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44"/>
        <w:ind w:left="1962" w:right="2319" w:firstLine="0"/>
        <w:jc w:val="center"/>
        <w:rPr>
          <w:rFonts w:ascii="Calibri"/>
          <w:b/>
          <w:sz w:val="40"/>
        </w:rPr>
      </w:pPr>
      <w:r>
        <w:rPr>
          <w:rFonts w:ascii="Calibri"/>
          <w:b/>
          <w:sz w:val="40"/>
        </w:rPr>
        <w:drawing>
          <wp:anchor distT="0" distB="0" distL="0" distR="0" allowOverlap="1" layoutInCell="1" locked="0" behindDoc="1" simplePos="0" relativeHeight="473524736">
            <wp:simplePos x="0" y="0"/>
            <wp:positionH relativeFrom="page">
              <wp:posOffset>9525</wp:posOffset>
            </wp:positionH>
            <wp:positionV relativeFrom="page">
              <wp:posOffset>297208</wp:posOffset>
            </wp:positionV>
            <wp:extent cx="7762874" cy="974848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762874" cy="9748489"/>
                    </a:xfrm>
                    <a:prstGeom prst="rect">
                      <a:avLst/>
                    </a:prstGeom>
                  </pic:spPr>
                </pic:pic>
              </a:graphicData>
            </a:graphic>
          </wp:anchor>
        </w:drawing>
      </w:r>
      <w:r>
        <w:rPr>
          <w:rFonts w:ascii="Calibri"/>
          <w:b/>
          <w:color w:val="808080"/>
          <w:sz w:val="40"/>
        </w:rPr>
        <w:t>INSTITUTO</w:t>
      </w:r>
      <w:r>
        <w:rPr>
          <w:rFonts w:ascii="Calibri"/>
          <w:b/>
          <w:color w:val="808080"/>
          <w:spacing w:val="-22"/>
          <w:sz w:val="40"/>
        </w:rPr>
        <w:t> </w:t>
      </w:r>
      <w:r>
        <w:rPr>
          <w:rFonts w:ascii="Calibri"/>
          <w:b/>
          <w:color w:val="808080"/>
          <w:sz w:val="40"/>
        </w:rPr>
        <w:t>MIXTO</w:t>
      </w:r>
      <w:r>
        <w:rPr>
          <w:rFonts w:ascii="Calibri"/>
          <w:b/>
          <w:color w:val="808080"/>
          <w:spacing w:val="-22"/>
          <w:sz w:val="40"/>
        </w:rPr>
        <w:t> </w:t>
      </w:r>
      <w:r>
        <w:rPr>
          <w:rFonts w:ascii="Calibri"/>
          <w:b/>
          <w:color w:val="808080"/>
          <w:sz w:val="40"/>
        </w:rPr>
        <w:t>DE</w:t>
      </w:r>
      <w:r>
        <w:rPr>
          <w:rFonts w:ascii="Calibri"/>
          <w:b/>
          <w:color w:val="808080"/>
          <w:spacing w:val="-22"/>
          <w:sz w:val="40"/>
        </w:rPr>
        <w:t> </w:t>
      </w:r>
      <w:r>
        <w:rPr>
          <w:rFonts w:ascii="Calibri"/>
          <w:b/>
          <w:color w:val="808080"/>
          <w:sz w:val="40"/>
        </w:rPr>
        <w:t>AYUDA</w:t>
      </w:r>
      <w:r>
        <w:rPr>
          <w:rFonts w:ascii="Calibri"/>
          <w:b/>
          <w:color w:val="808080"/>
          <w:spacing w:val="-22"/>
          <w:sz w:val="40"/>
        </w:rPr>
        <w:t> </w:t>
      </w:r>
      <w:r>
        <w:rPr>
          <w:rFonts w:ascii="Calibri"/>
          <w:b/>
          <w:color w:val="808080"/>
          <w:spacing w:val="-2"/>
          <w:sz w:val="40"/>
        </w:rPr>
        <w:t>SOCIAL</w:t>
      </w:r>
    </w:p>
    <w:p>
      <w:pPr>
        <w:spacing w:before="198"/>
        <w:ind w:left="1962" w:right="2317" w:firstLine="0"/>
        <w:jc w:val="center"/>
        <w:rPr>
          <w:rFonts w:ascii="Calibri" w:hAnsi="Calibri"/>
          <w:b/>
          <w:sz w:val="40"/>
        </w:rPr>
      </w:pPr>
      <w:r>
        <w:rPr>
          <w:rFonts w:ascii="Calibri" w:hAnsi="Calibri"/>
          <w:b/>
          <w:color w:val="808080"/>
          <w:spacing w:val="-2"/>
          <w:sz w:val="40"/>
        </w:rPr>
        <w:t>Código:14227</w:t>
      </w:r>
    </w:p>
    <w:p>
      <w:pPr>
        <w:pStyle w:val="BodyText"/>
        <w:rPr>
          <w:rFonts w:ascii="Calibri"/>
          <w:b/>
          <w:sz w:val="40"/>
        </w:rPr>
      </w:pPr>
    </w:p>
    <w:p>
      <w:pPr>
        <w:pStyle w:val="BodyText"/>
        <w:rPr>
          <w:rFonts w:ascii="Calibri"/>
          <w:b/>
          <w:sz w:val="40"/>
        </w:rPr>
      </w:pPr>
    </w:p>
    <w:p>
      <w:pPr>
        <w:pStyle w:val="BodyText"/>
        <w:rPr>
          <w:rFonts w:ascii="Calibri"/>
          <w:b/>
          <w:sz w:val="40"/>
        </w:rPr>
      </w:pPr>
    </w:p>
    <w:p>
      <w:pPr>
        <w:pStyle w:val="BodyText"/>
        <w:rPr>
          <w:rFonts w:ascii="Calibri"/>
          <w:b/>
          <w:sz w:val="40"/>
        </w:rPr>
      </w:pPr>
    </w:p>
    <w:p>
      <w:pPr>
        <w:pStyle w:val="BodyText"/>
        <w:rPr>
          <w:rFonts w:ascii="Calibri"/>
          <w:b/>
          <w:sz w:val="40"/>
        </w:rPr>
      </w:pPr>
    </w:p>
    <w:p>
      <w:pPr>
        <w:pStyle w:val="BodyText"/>
        <w:spacing w:before="17"/>
        <w:rPr>
          <w:rFonts w:ascii="Calibri"/>
          <w:b/>
          <w:sz w:val="40"/>
        </w:rPr>
      </w:pPr>
    </w:p>
    <w:p>
      <w:pPr>
        <w:pStyle w:val="Title"/>
        <w:spacing w:line="276" w:lineRule="auto"/>
      </w:pPr>
      <w:r>
        <w:rPr/>
        <w:t>ESTADO</w:t>
      </w:r>
      <w:r>
        <w:rPr>
          <w:spacing w:val="-13"/>
        </w:rPr>
        <w:t> </w:t>
      </w:r>
      <w:r>
        <w:rPr/>
        <w:t>DE</w:t>
      </w:r>
      <w:r>
        <w:rPr>
          <w:spacing w:val="-14"/>
        </w:rPr>
        <w:t> </w:t>
      </w:r>
      <w:r>
        <w:rPr/>
        <w:t>NOTAS</w:t>
      </w:r>
      <w:r>
        <w:rPr>
          <w:spacing w:val="-16"/>
        </w:rPr>
        <w:t> </w:t>
      </w:r>
      <w:r>
        <w:rPr/>
        <w:t>CONTABLES AL 31 DE JULIO 2026</w:t>
      </w:r>
    </w:p>
    <w:p>
      <w:pPr>
        <w:pStyle w:val="BodyText"/>
        <w:spacing w:line="276" w:lineRule="auto"/>
        <w:ind w:left="2014" w:right="2373"/>
        <w:jc w:val="center"/>
        <w:rPr>
          <w:rFonts w:ascii="Arial Narrow" w:hAnsi="Arial Narrow"/>
        </w:rPr>
      </w:pPr>
      <w:r>
        <w:rPr>
          <w:rFonts w:ascii="Arial Narrow" w:hAnsi="Arial Narrow"/>
          <w:color w:val="808080"/>
        </w:rPr>
        <w:t>En</w:t>
      </w:r>
      <w:r>
        <w:rPr>
          <w:rFonts w:ascii="Arial Narrow" w:hAnsi="Arial Narrow"/>
          <w:color w:val="808080"/>
          <w:spacing w:val="-4"/>
        </w:rPr>
        <w:t> </w:t>
      </w:r>
      <w:r>
        <w:rPr>
          <w:rFonts w:ascii="Arial Narrow" w:hAnsi="Arial Narrow"/>
          <w:color w:val="808080"/>
        </w:rPr>
        <w:t>formato</w:t>
      </w:r>
      <w:r>
        <w:rPr>
          <w:rFonts w:ascii="Arial Narrow" w:hAnsi="Arial Narrow"/>
          <w:color w:val="808080"/>
          <w:spacing w:val="-6"/>
        </w:rPr>
        <w:t> </w:t>
      </w:r>
      <w:r>
        <w:rPr>
          <w:rFonts w:ascii="Arial Narrow" w:hAnsi="Arial Narrow"/>
          <w:color w:val="808080"/>
        </w:rPr>
        <w:t>emitido</w:t>
      </w:r>
      <w:r>
        <w:rPr>
          <w:rFonts w:ascii="Arial Narrow" w:hAnsi="Arial Narrow"/>
          <w:color w:val="808080"/>
          <w:spacing w:val="-4"/>
        </w:rPr>
        <w:t> </w:t>
      </w:r>
      <w:r>
        <w:rPr>
          <w:rFonts w:ascii="Arial Narrow" w:hAnsi="Arial Narrow"/>
          <w:color w:val="808080"/>
        </w:rPr>
        <w:t>por</w:t>
      </w:r>
      <w:r>
        <w:rPr>
          <w:rFonts w:ascii="Arial Narrow" w:hAnsi="Arial Narrow"/>
          <w:color w:val="808080"/>
          <w:spacing w:val="-4"/>
        </w:rPr>
        <w:t> </w:t>
      </w:r>
      <w:r>
        <w:rPr>
          <w:rFonts w:ascii="Arial Narrow" w:hAnsi="Arial Narrow"/>
          <w:color w:val="808080"/>
        </w:rPr>
        <w:t>la</w:t>
      </w:r>
      <w:r>
        <w:rPr>
          <w:rFonts w:ascii="Arial Narrow" w:hAnsi="Arial Narrow"/>
          <w:color w:val="808080"/>
          <w:spacing w:val="-4"/>
        </w:rPr>
        <w:t> </w:t>
      </w:r>
      <w:r>
        <w:rPr>
          <w:rFonts w:ascii="Arial Narrow" w:hAnsi="Arial Narrow"/>
          <w:color w:val="808080"/>
        </w:rPr>
        <w:t>Dirección</w:t>
      </w:r>
      <w:r>
        <w:rPr>
          <w:rFonts w:ascii="Arial Narrow" w:hAnsi="Arial Narrow"/>
          <w:color w:val="808080"/>
          <w:spacing w:val="-7"/>
        </w:rPr>
        <w:t> </w:t>
      </w:r>
      <w:r>
        <w:rPr>
          <w:rFonts w:ascii="Arial Narrow" w:hAnsi="Arial Narrow"/>
          <w:color w:val="808080"/>
        </w:rPr>
        <w:t>General</w:t>
      </w:r>
      <w:r>
        <w:rPr>
          <w:rFonts w:ascii="Arial Narrow" w:hAnsi="Arial Narrow"/>
          <w:color w:val="808080"/>
          <w:spacing w:val="-4"/>
        </w:rPr>
        <w:t> </w:t>
      </w:r>
      <w:r>
        <w:rPr>
          <w:rFonts w:ascii="Arial Narrow" w:hAnsi="Arial Narrow"/>
          <w:color w:val="808080"/>
        </w:rPr>
        <w:t>de</w:t>
      </w:r>
      <w:r>
        <w:rPr>
          <w:rFonts w:ascii="Arial Narrow" w:hAnsi="Arial Narrow"/>
          <w:color w:val="808080"/>
          <w:spacing w:val="-4"/>
        </w:rPr>
        <w:t> </w:t>
      </w:r>
      <w:r>
        <w:rPr>
          <w:rFonts w:ascii="Arial Narrow" w:hAnsi="Arial Narrow"/>
          <w:color w:val="808080"/>
        </w:rPr>
        <w:t>Contabilidad</w:t>
      </w:r>
      <w:r>
        <w:rPr>
          <w:rFonts w:ascii="Arial Narrow" w:hAnsi="Arial Narrow"/>
          <w:color w:val="808080"/>
          <w:spacing w:val="-7"/>
        </w:rPr>
        <w:t> </w:t>
      </w:r>
      <w:r>
        <w:rPr>
          <w:rFonts w:ascii="Arial Narrow" w:hAnsi="Arial Narrow"/>
          <w:color w:val="808080"/>
        </w:rPr>
        <w:t>Nacional (</w:t>
      </w:r>
      <w:r>
        <w:rPr/>
        <w:t>Cifras expresadas en miles de colones costarricenses</w:t>
      </w:r>
      <w:r>
        <w:rPr>
          <w:rFonts w:ascii="Arial Narrow" w:hAnsi="Arial Narrow"/>
          <w:color w:val="808080"/>
        </w:rPr>
        <w:t>)</w:t>
      </w: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rPr>
          <w:rFonts w:ascii="Arial Narrow"/>
        </w:rPr>
      </w:pPr>
    </w:p>
    <w:p>
      <w:pPr>
        <w:pStyle w:val="BodyText"/>
        <w:spacing w:before="44"/>
        <w:rPr>
          <w:rFonts w:ascii="Arial Narrow"/>
        </w:rPr>
      </w:pPr>
    </w:p>
    <w:p>
      <w:pPr>
        <w:spacing w:before="1"/>
        <w:ind w:left="1962" w:right="2321" w:firstLine="0"/>
        <w:jc w:val="center"/>
        <w:rPr>
          <w:rFonts w:ascii="Calibri"/>
          <w:sz w:val="30"/>
        </w:rPr>
      </w:pPr>
      <w:r>
        <w:rPr>
          <w:rFonts w:ascii="Calibri"/>
          <w:color w:val="808080"/>
          <w:spacing w:val="-2"/>
          <w:sz w:val="30"/>
        </w:rPr>
        <w:t>Agosto,</w:t>
      </w:r>
      <w:r>
        <w:rPr>
          <w:rFonts w:ascii="Calibri"/>
          <w:color w:val="808080"/>
          <w:spacing w:val="-8"/>
          <w:sz w:val="30"/>
        </w:rPr>
        <w:t> </w:t>
      </w:r>
      <w:r>
        <w:rPr>
          <w:rFonts w:ascii="Calibri"/>
          <w:color w:val="808080"/>
          <w:spacing w:val="-4"/>
          <w:sz w:val="30"/>
        </w:rPr>
        <w:t>2026</w:t>
      </w:r>
    </w:p>
    <w:p>
      <w:pPr>
        <w:spacing w:after="0"/>
        <w:jc w:val="center"/>
        <w:rPr>
          <w:rFonts w:ascii="Calibri"/>
          <w:sz w:val="30"/>
        </w:rPr>
        <w:sectPr>
          <w:type w:val="continuous"/>
          <w:pgSz w:w="12240" w:h="15840"/>
          <w:pgMar w:top="18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25248">
                <wp:simplePos x="0" y="0"/>
                <wp:positionH relativeFrom="page">
                  <wp:posOffset>9525</wp:posOffset>
                </wp:positionH>
                <wp:positionV relativeFrom="page">
                  <wp:posOffset>297208</wp:posOffset>
                </wp:positionV>
                <wp:extent cx="7762875" cy="974852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62875" cy="9748520"/>
                          <a:chExt cx="7762875" cy="9748520"/>
                        </a:xfrm>
                      </wpg:grpSpPr>
                      <pic:pic>
                        <pic:nvPicPr>
                          <pic:cNvPr id="3" name="Image 3"/>
                          <pic:cNvPicPr/>
                        </pic:nvPicPr>
                        <pic:blipFill>
                          <a:blip r:embed="rId5" cstate="print"/>
                          <a:stretch>
                            <a:fillRect/>
                          </a:stretch>
                        </pic:blipFill>
                        <pic:spPr>
                          <a:xfrm>
                            <a:off x="0" y="0"/>
                            <a:ext cx="7762874" cy="9748489"/>
                          </a:xfrm>
                          <a:prstGeom prst="rect">
                            <a:avLst/>
                          </a:prstGeom>
                        </pic:spPr>
                      </pic:pic>
                      <wps:wsp>
                        <wps:cNvPr id="4" name="Graphic 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91232" id="docshapegroup1" coordorigin="15,468" coordsize="12225,15352">
                <v:shape style="position:absolute;left:15;top:468;width:12225;height:15352" type="#_x0000_t75" id="docshape2" stroked="false">
                  <v:imagedata r:id="rId5" o:title=""/>
                </v:shape>
                <v:rect style="position:absolute;left:1673;top:2028;width:8897;height:15" id="docshape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10"/>
          <w:sz w:val="20"/>
        </w:rPr>
        <w:t>2</w:t>
      </w:r>
    </w:p>
    <w:p>
      <w:pPr>
        <w:pStyle w:val="BodyText"/>
        <w:rPr>
          <w:sz w:val="18"/>
        </w:rPr>
      </w:pPr>
    </w:p>
    <w:p>
      <w:pPr>
        <w:pStyle w:val="BodyText"/>
        <w:rPr>
          <w:sz w:val="18"/>
        </w:rPr>
      </w:pPr>
    </w:p>
    <w:p>
      <w:pPr>
        <w:pStyle w:val="BodyText"/>
        <w:spacing w:before="157"/>
        <w:rPr>
          <w:sz w:val="18"/>
        </w:rPr>
      </w:pPr>
    </w:p>
    <w:p>
      <w:pPr>
        <w:spacing w:before="0"/>
        <w:ind w:left="622" w:right="0" w:firstLine="0"/>
        <w:jc w:val="left"/>
        <w:rPr>
          <w:rFonts w:ascii="Calibri"/>
          <w:sz w:val="18"/>
        </w:rPr>
      </w:pPr>
      <w:r>
        <w:rPr>
          <w:rFonts w:ascii="Calibri"/>
          <w:sz w:val="18"/>
        </w:rPr>
        <w:t>TABLA</w:t>
      </w:r>
      <w:r>
        <w:rPr>
          <w:rFonts w:ascii="Calibri"/>
          <w:spacing w:val="-13"/>
          <w:sz w:val="18"/>
        </w:rPr>
        <w:t> </w:t>
      </w:r>
      <w:r>
        <w:rPr>
          <w:rFonts w:ascii="Calibri"/>
          <w:sz w:val="18"/>
        </w:rPr>
        <w:t>DE</w:t>
      </w:r>
      <w:r>
        <w:rPr>
          <w:rFonts w:ascii="Calibri"/>
          <w:spacing w:val="-8"/>
          <w:sz w:val="18"/>
        </w:rPr>
        <w:t> </w:t>
      </w:r>
      <w:r>
        <w:rPr>
          <w:rFonts w:ascii="Calibri"/>
          <w:spacing w:val="-2"/>
          <w:sz w:val="18"/>
        </w:rPr>
        <w:t>CONTENIDO</w:t>
      </w:r>
    </w:p>
    <w:p>
      <w:pPr>
        <w:spacing w:after="0"/>
        <w:jc w:val="left"/>
        <w:rPr>
          <w:rFonts w:ascii="Calibri"/>
          <w:sz w:val="18"/>
        </w:rPr>
        <w:sectPr>
          <w:pgSz w:w="12240" w:h="15840"/>
          <w:pgMar w:top="1720" w:bottom="20" w:left="1080" w:right="720"/>
        </w:sectPr>
      </w:pPr>
    </w:p>
    <w:sdt>
      <w:sdtPr>
        <w:docPartObj>
          <w:docPartGallery w:val="Table of Contents"/>
          <w:docPartUnique/>
        </w:docPartObj>
      </w:sdtPr>
      <w:sdtEndPr/>
      <w:sdtContent>
        <w:p>
          <w:pPr>
            <w:pStyle w:val="TOC1"/>
            <w:tabs>
              <w:tab w:pos="9451" w:val="right" w:leader="dot"/>
            </w:tabs>
            <w:spacing w:before="378"/>
            <w:rPr>
              <w:rFonts w:ascii="Times New Roman"/>
            </w:rPr>
          </w:pPr>
          <w:hyperlink w:history="true" w:anchor="_bookmark0">
            <w:r>
              <w:rPr/>
              <w:t>NOTAS</w:t>
            </w:r>
            <w:r>
              <w:rPr>
                <w:spacing w:val="-6"/>
              </w:rPr>
              <w:t> </w:t>
            </w:r>
            <w:r>
              <w:rPr/>
              <w:t>A</w:t>
            </w:r>
            <w:r>
              <w:rPr>
                <w:spacing w:val="-3"/>
              </w:rPr>
              <w:t> </w:t>
            </w:r>
            <w:r>
              <w:rPr/>
              <w:t>LOS</w:t>
            </w:r>
            <w:r>
              <w:rPr>
                <w:spacing w:val="-3"/>
              </w:rPr>
              <w:t> </w:t>
            </w:r>
            <w:r>
              <w:rPr/>
              <w:t>ESTADOS</w:t>
            </w:r>
            <w:r>
              <w:rPr>
                <w:spacing w:val="-3"/>
              </w:rPr>
              <w:t> </w:t>
            </w:r>
            <w:r>
              <w:rPr>
                <w:spacing w:val="-2"/>
              </w:rPr>
              <w:t>FINANCIEROS</w:t>
            </w:r>
            <w:r>
              <w:rPr/>
              <w:tab/>
            </w:r>
            <w:r>
              <w:rPr>
                <w:rFonts w:ascii="Times New Roman"/>
                <w:spacing w:val="-10"/>
              </w:rPr>
              <w:t>9</w:t>
            </w:r>
          </w:hyperlink>
        </w:p>
        <w:p>
          <w:pPr>
            <w:pStyle w:val="TOC1"/>
            <w:tabs>
              <w:tab w:pos="9451" w:val="right" w:leader="dot"/>
            </w:tabs>
            <w:spacing w:before="366"/>
            <w:rPr>
              <w:rFonts w:ascii="Times New Roman" w:hAnsi="Times New Roman"/>
            </w:rPr>
          </w:pPr>
          <w:hyperlink w:history="true" w:anchor="_bookmark1">
            <w:r>
              <w:rPr/>
              <w:t>DECLARACIÓN</w:t>
            </w:r>
            <w:r>
              <w:rPr>
                <w:spacing w:val="-5"/>
              </w:rPr>
              <w:t> </w:t>
            </w:r>
            <w:r>
              <w:rPr/>
              <w:t>DE</w:t>
            </w:r>
            <w:r>
              <w:rPr>
                <w:spacing w:val="-9"/>
              </w:rPr>
              <w:t> </w:t>
            </w:r>
            <w:r>
              <w:rPr>
                <w:spacing w:val="-2"/>
              </w:rPr>
              <w:t>CUMPLIMIENTO</w:t>
            </w:r>
            <w:r>
              <w:rPr/>
              <w:tab/>
            </w:r>
            <w:r>
              <w:rPr>
                <w:rFonts w:ascii="Times New Roman" w:hAnsi="Times New Roman"/>
                <w:spacing w:val="-10"/>
              </w:rPr>
              <w:t>9</w:t>
            </w:r>
          </w:hyperlink>
        </w:p>
        <w:p>
          <w:pPr>
            <w:pStyle w:val="TOC6"/>
            <w:tabs>
              <w:tab w:pos="9451" w:val="right" w:leader="dot"/>
            </w:tabs>
            <w:spacing w:before="129"/>
            <w:rPr>
              <w:rFonts w:ascii="Times New Roman" w:hAnsi="Times New Roman"/>
            </w:rPr>
          </w:pPr>
          <w:hyperlink w:history="true" w:anchor="_bookmark2">
            <w:r>
              <w:rPr/>
              <w:t>NOTA</w:t>
            </w:r>
            <w:r>
              <w:rPr>
                <w:spacing w:val="-1"/>
              </w:rPr>
              <w:t> </w:t>
            </w:r>
            <w:r>
              <w:rPr/>
              <w:t>N° </w:t>
            </w:r>
            <w:r>
              <w:rPr>
                <w:spacing w:val="-10"/>
              </w:rPr>
              <w:t>1</w:t>
            </w:r>
            <w:r>
              <w:rPr/>
              <w:tab/>
            </w:r>
            <w:r>
              <w:rPr>
                <w:rFonts w:ascii="Times New Roman" w:hAnsi="Times New Roman"/>
                <w:spacing w:val="-5"/>
              </w:rPr>
              <w:t>10</w:t>
            </w:r>
          </w:hyperlink>
        </w:p>
        <w:p>
          <w:pPr>
            <w:pStyle w:val="TOC2"/>
            <w:tabs>
              <w:tab w:pos="9451" w:val="right" w:leader="dot"/>
            </w:tabs>
            <w:spacing w:before="367"/>
            <w:rPr>
              <w:rFonts w:ascii="Times New Roman" w:hAnsi="Times New Roman"/>
            </w:rPr>
          </w:pPr>
          <w:hyperlink w:history="true" w:anchor="_bookmark3">
            <w:r>
              <w:rPr/>
              <w:t>Identificación</w:t>
            </w:r>
            <w:r>
              <w:rPr>
                <w:spacing w:val="-2"/>
              </w:rPr>
              <w:t> </w:t>
            </w:r>
            <w:r>
              <w:rPr/>
              <w:t>de</w:t>
            </w:r>
            <w:r>
              <w:rPr>
                <w:spacing w:val="-2"/>
              </w:rPr>
              <w:t> </w:t>
            </w:r>
            <w:r>
              <w:rPr/>
              <w:t>la</w:t>
            </w:r>
            <w:r>
              <w:rPr>
                <w:spacing w:val="-5"/>
              </w:rPr>
              <w:t> </w:t>
            </w:r>
            <w:r>
              <w:rPr>
                <w:spacing w:val="-2"/>
              </w:rPr>
              <w:t>entidad</w:t>
            </w:r>
            <w:r>
              <w:rPr/>
              <w:tab/>
            </w:r>
            <w:r>
              <w:rPr>
                <w:rFonts w:ascii="Times New Roman" w:hAnsi="Times New Roman"/>
                <w:spacing w:val="-5"/>
              </w:rPr>
              <w:t>10</w:t>
            </w:r>
          </w:hyperlink>
        </w:p>
        <w:p>
          <w:pPr>
            <w:pStyle w:val="TOC2"/>
            <w:tabs>
              <w:tab w:pos="9451" w:val="right" w:leader="dot"/>
            </w:tabs>
            <w:rPr>
              <w:rFonts w:ascii="Times New Roman" w:hAnsi="Times New Roman"/>
            </w:rPr>
          </w:pPr>
          <w:hyperlink w:history="true" w:anchor="_bookmark4">
            <w:r>
              <w:rPr/>
              <w:t>Preparación</w:t>
            </w:r>
            <w:r>
              <w:rPr>
                <w:spacing w:val="-4"/>
              </w:rPr>
              <w:t> </w:t>
            </w:r>
            <w:r>
              <w:rPr/>
              <w:t>de</w:t>
            </w:r>
            <w:r>
              <w:rPr>
                <w:spacing w:val="-3"/>
              </w:rPr>
              <w:t> </w:t>
            </w:r>
            <w:r>
              <w:rPr/>
              <w:t>los</w:t>
            </w:r>
            <w:r>
              <w:rPr>
                <w:spacing w:val="-5"/>
              </w:rPr>
              <w:t> </w:t>
            </w:r>
            <w:r>
              <w:rPr/>
              <w:t>estados</w:t>
            </w:r>
            <w:r>
              <w:rPr>
                <w:spacing w:val="-4"/>
              </w:rPr>
              <w:t> </w:t>
            </w:r>
            <w:r>
              <w:rPr>
                <w:spacing w:val="-2"/>
              </w:rPr>
              <w:t>financieros</w:t>
            </w:r>
            <w:r>
              <w:rPr/>
              <w:tab/>
            </w:r>
            <w:r>
              <w:rPr>
                <w:rFonts w:ascii="Times New Roman" w:hAnsi="Times New Roman"/>
                <w:spacing w:val="-7"/>
              </w:rPr>
              <w:t>12</w:t>
            </w:r>
          </w:hyperlink>
        </w:p>
        <w:p>
          <w:pPr>
            <w:pStyle w:val="TOC5"/>
            <w:numPr>
              <w:ilvl w:val="0"/>
              <w:numId w:val="1"/>
            </w:numPr>
            <w:tabs>
              <w:tab w:pos="1341" w:val="left" w:leader="none"/>
              <w:tab w:pos="9451" w:val="right" w:leader="dot"/>
            </w:tabs>
            <w:spacing w:line="240" w:lineRule="auto" w:before="126" w:after="0"/>
            <w:ind w:left="1341" w:right="0" w:hanging="479"/>
            <w:jc w:val="left"/>
            <w:rPr>
              <w:rFonts w:ascii="Times New Roman"/>
            </w:rPr>
          </w:pPr>
          <w:hyperlink w:history="true" w:anchor="_bookmark5">
            <w:r>
              <w:rPr/>
              <w:t>Marco</w:t>
            </w:r>
            <w:r>
              <w:rPr>
                <w:spacing w:val="-5"/>
              </w:rPr>
              <w:t> </w:t>
            </w:r>
            <w:r>
              <w:rPr/>
              <w:t>normativo</w:t>
            </w:r>
            <w:r>
              <w:rPr>
                <w:spacing w:val="-5"/>
              </w:rPr>
              <w:t> </w:t>
            </w:r>
            <w:r>
              <w:rPr/>
              <w:t>utilizado</w:t>
            </w:r>
            <w:r>
              <w:rPr>
                <w:spacing w:val="-4"/>
              </w:rPr>
              <w:t> </w:t>
            </w:r>
            <w:r>
              <w:rPr>
                <w:spacing w:val="-2"/>
              </w:rPr>
              <w:t>(NICSP).</w:t>
            </w:r>
            <w:r>
              <w:rPr/>
              <w:tab/>
            </w:r>
            <w:r>
              <w:rPr>
                <w:rFonts w:ascii="Times New Roman"/>
                <w:spacing w:val="-5"/>
              </w:rPr>
              <w:t>12</w:t>
            </w:r>
          </w:hyperlink>
        </w:p>
        <w:p>
          <w:pPr>
            <w:pStyle w:val="TOC5"/>
            <w:numPr>
              <w:ilvl w:val="0"/>
              <w:numId w:val="1"/>
            </w:numPr>
            <w:tabs>
              <w:tab w:pos="1341" w:val="left" w:leader="none"/>
              <w:tab w:pos="9451" w:val="right" w:leader="dot"/>
            </w:tabs>
            <w:spacing w:line="240" w:lineRule="auto" w:before="127" w:after="0"/>
            <w:ind w:left="1341" w:right="0" w:hanging="479"/>
            <w:jc w:val="left"/>
            <w:rPr>
              <w:rFonts w:ascii="Times New Roman" w:hAnsi="Times New Roman"/>
            </w:rPr>
          </w:pPr>
          <w:hyperlink w:history="true" w:anchor="_bookmark6">
            <w:r>
              <w:rPr/>
              <w:t>Moneda</w:t>
            </w:r>
            <w:r>
              <w:rPr>
                <w:spacing w:val="-4"/>
              </w:rPr>
              <w:t> </w:t>
            </w:r>
            <w:r>
              <w:rPr/>
              <w:t>funcional</w:t>
            </w:r>
            <w:r>
              <w:rPr>
                <w:spacing w:val="-4"/>
              </w:rPr>
              <w:t> </w:t>
            </w:r>
            <w:r>
              <w:rPr/>
              <w:t>y</w:t>
            </w:r>
            <w:r>
              <w:rPr>
                <w:spacing w:val="-3"/>
              </w:rPr>
              <w:t> </w:t>
            </w:r>
            <w:r>
              <w:rPr/>
              <w:t>de</w:t>
            </w:r>
            <w:r>
              <w:rPr>
                <w:spacing w:val="-2"/>
              </w:rPr>
              <w:t> presentación</w:t>
            </w:r>
            <w:r>
              <w:rPr/>
              <w:tab/>
            </w:r>
            <w:r>
              <w:rPr>
                <w:rFonts w:ascii="Times New Roman" w:hAnsi="Times New Roman"/>
                <w:spacing w:val="-5"/>
              </w:rPr>
              <w:t>14</w:t>
            </w:r>
          </w:hyperlink>
        </w:p>
        <w:p>
          <w:pPr>
            <w:pStyle w:val="TOC5"/>
            <w:numPr>
              <w:ilvl w:val="0"/>
              <w:numId w:val="1"/>
            </w:numPr>
            <w:tabs>
              <w:tab w:pos="1341" w:val="left" w:leader="none"/>
              <w:tab w:pos="9451" w:val="right" w:leader="dot"/>
            </w:tabs>
            <w:spacing w:line="240" w:lineRule="auto" w:before="126" w:after="0"/>
            <w:ind w:left="1341" w:right="0" w:hanging="479"/>
            <w:jc w:val="left"/>
            <w:rPr>
              <w:rFonts w:ascii="Times New Roman" w:hAnsi="Times New Roman"/>
            </w:rPr>
          </w:pPr>
          <w:hyperlink w:history="true" w:anchor="_bookmark7">
            <w:r>
              <w:rPr/>
              <w:t>Período</w:t>
            </w:r>
            <w:r>
              <w:rPr>
                <w:spacing w:val="-4"/>
              </w:rPr>
              <w:t> </w:t>
            </w:r>
            <w:r>
              <w:rPr/>
              <w:t>contable</w:t>
            </w:r>
            <w:r>
              <w:rPr>
                <w:spacing w:val="-5"/>
              </w:rPr>
              <w:t> </w:t>
            </w:r>
            <w:r>
              <w:rPr/>
              <w:t>que</w:t>
            </w:r>
            <w:r>
              <w:rPr>
                <w:spacing w:val="-3"/>
              </w:rPr>
              <w:t> </w:t>
            </w:r>
            <w:r>
              <w:rPr/>
              <w:t>abarcan</w:t>
            </w:r>
            <w:r>
              <w:rPr>
                <w:spacing w:val="-3"/>
              </w:rPr>
              <w:t> </w:t>
            </w:r>
            <w:r>
              <w:rPr/>
              <w:t>los</w:t>
            </w:r>
            <w:r>
              <w:rPr>
                <w:spacing w:val="-2"/>
              </w:rPr>
              <w:t> EEFF.</w:t>
            </w:r>
            <w:r>
              <w:rPr/>
              <w:tab/>
            </w:r>
            <w:r>
              <w:rPr>
                <w:rFonts w:ascii="Times New Roman" w:hAnsi="Times New Roman"/>
                <w:spacing w:val="-5"/>
              </w:rPr>
              <w:t>15</w:t>
            </w:r>
          </w:hyperlink>
        </w:p>
        <w:p>
          <w:pPr>
            <w:pStyle w:val="TOC2"/>
            <w:tabs>
              <w:tab w:pos="9451" w:val="right" w:leader="dot"/>
            </w:tabs>
            <w:rPr>
              <w:rFonts w:ascii="Times New Roman" w:hAnsi="Times New Roman"/>
            </w:rPr>
          </w:pPr>
          <w:hyperlink w:history="true" w:anchor="_bookmark8">
            <w:r>
              <w:rPr/>
              <w:t>Políticas</w:t>
            </w:r>
            <w:r>
              <w:rPr>
                <w:spacing w:val="-5"/>
              </w:rPr>
              <w:t> </w:t>
            </w:r>
            <w:r>
              <w:rPr/>
              <w:t>contables</w:t>
            </w:r>
            <w:r>
              <w:rPr>
                <w:spacing w:val="-4"/>
              </w:rPr>
              <w:t> </w:t>
            </w:r>
            <w:r>
              <w:rPr/>
              <w:t>significativas</w:t>
            </w:r>
            <w:r>
              <w:rPr>
                <w:spacing w:val="-5"/>
              </w:rPr>
              <w:t> </w:t>
            </w:r>
            <w:r>
              <w:rPr/>
              <w:t>generales</w:t>
            </w:r>
            <w:r>
              <w:rPr>
                <w:spacing w:val="-4"/>
              </w:rPr>
              <w:t> </w:t>
            </w:r>
            <w:r>
              <w:rPr/>
              <w:t>y</w:t>
            </w:r>
            <w:r>
              <w:rPr>
                <w:spacing w:val="-6"/>
              </w:rPr>
              <w:t> </w:t>
            </w:r>
            <w:r>
              <w:rPr>
                <w:spacing w:val="-2"/>
              </w:rPr>
              <w:t>particulares</w:t>
            </w:r>
            <w:r>
              <w:rPr/>
              <w:tab/>
            </w:r>
            <w:r>
              <w:rPr>
                <w:rFonts w:ascii="Times New Roman" w:hAnsi="Times New Roman"/>
                <w:spacing w:val="-5"/>
              </w:rPr>
              <w:t>16</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9">
            <w:r>
              <w:rPr/>
              <w:t>Reconocimiento</w:t>
            </w:r>
            <w:r>
              <w:rPr>
                <w:spacing w:val="-4"/>
              </w:rPr>
              <w:t> </w:t>
            </w:r>
            <w:r>
              <w:rPr/>
              <w:t>de</w:t>
            </w:r>
            <w:r>
              <w:rPr>
                <w:spacing w:val="-4"/>
              </w:rPr>
              <w:t> </w:t>
            </w:r>
            <w:r>
              <w:rPr/>
              <w:t>ingresos</w:t>
            </w:r>
            <w:r>
              <w:rPr>
                <w:spacing w:val="-4"/>
              </w:rPr>
              <w:t> </w:t>
            </w:r>
            <w:r>
              <w:rPr/>
              <w:t>y</w:t>
            </w:r>
            <w:r>
              <w:rPr>
                <w:spacing w:val="-4"/>
              </w:rPr>
              <w:t> </w:t>
            </w:r>
            <w:r>
              <w:rPr>
                <w:spacing w:val="-2"/>
              </w:rPr>
              <w:t>gastos</w:t>
            </w:r>
            <w:r>
              <w:rPr/>
              <w:tab/>
            </w:r>
            <w:r>
              <w:rPr>
                <w:rFonts w:ascii="Times New Roman"/>
                <w:spacing w:val="-5"/>
              </w:rPr>
              <w:t>16</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10">
            <w:r>
              <w:rPr/>
              <w:t>Cuentas</w:t>
            </w:r>
            <w:r>
              <w:rPr>
                <w:spacing w:val="-3"/>
              </w:rPr>
              <w:t> </w:t>
            </w:r>
            <w:r>
              <w:rPr/>
              <w:t>por</w:t>
            </w:r>
            <w:r>
              <w:rPr>
                <w:spacing w:val="-2"/>
              </w:rPr>
              <w:t> </w:t>
            </w:r>
            <w:r>
              <w:rPr/>
              <w:t>cobrar</w:t>
            </w:r>
            <w:r>
              <w:rPr>
                <w:spacing w:val="-2"/>
              </w:rPr>
              <w:t> </w:t>
            </w:r>
            <w:r>
              <w:rPr/>
              <w:t>y</w:t>
            </w:r>
            <w:r>
              <w:rPr>
                <w:spacing w:val="-4"/>
              </w:rPr>
              <w:t> </w:t>
            </w:r>
            <w:r>
              <w:rPr/>
              <w:t>cuentas</w:t>
            </w:r>
            <w:r>
              <w:rPr>
                <w:spacing w:val="-1"/>
              </w:rPr>
              <w:t> </w:t>
            </w:r>
            <w:r>
              <w:rPr/>
              <w:t>por</w:t>
            </w:r>
            <w:r>
              <w:rPr>
                <w:spacing w:val="-2"/>
              </w:rPr>
              <w:t> pagar.</w:t>
            </w:r>
            <w:r>
              <w:rPr/>
              <w:tab/>
            </w:r>
            <w:r>
              <w:rPr>
                <w:rFonts w:ascii="Times New Roman"/>
                <w:spacing w:val="-5"/>
              </w:rPr>
              <w:t>18</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hAnsi="Times New Roman"/>
            </w:rPr>
          </w:pPr>
          <w:hyperlink w:history="true" w:anchor="_bookmark11">
            <w:r>
              <w:rPr/>
              <w:t>Políticas</w:t>
            </w:r>
            <w:r>
              <w:rPr>
                <w:spacing w:val="-4"/>
              </w:rPr>
              <w:t> </w:t>
            </w:r>
            <w:r>
              <w:rPr/>
              <w:t>de</w:t>
            </w:r>
            <w:r>
              <w:rPr>
                <w:spacing w:val="-4"/>
              </w:rPr>
              <w:t> </w:t>
            </w:r>
            <w:r>
              <w:rPr/>
              <w:t>consolidación</w:t>
            </w:r>
            <w:r>
              <w:rPr>
                <w:spacing w:val="-4"/>
              </w:rPr>
              <w:t> </w:t>
            </w:r>
            <w:r>
              <w:rPr/>
              <w:t>(No</w:t>
            </w:r>
            <w:r>
              <w:rPr>
                <w:spacing w:val="-4"/>
              </w:rPr>
              <w:t> </w:t>
            </w:r>
            <w:r>
              <w:rPr>
                <w:spacing w:val="-2"/>
              </w:rPr>
              <w:t>aplica).</w:t>
            </w:r>
            <w:r>
              <w:rPr/>
              <w:tab/>
            </w:r>
            <w:r>
              <w:rPr>
                <w:rFonts w:ascii="Times New Roman" w:hAnsi="Times New Roman"/>
                <w:spacing w:val="-5"/>
              </w:rPr>
              <w:t>22</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hAnsi="Times New Roman"/>
            </w:rPr>
          </w:pPr>
          <w:hyperlink w:history="true" w:anchor="_bookmark12">
            <w:r>
              <w:rPr/>
              <w:t>Políticas</w:t>
            </w:r>
            <w:r>
              <w:rPr>
                <w:spacing w:val="-3"/>
              </w:rPr>
              <w:t> </w:t>
            </w:r>
            <w:r>
              <w:rPr/>
              <w:t>de</w:t>
            </w:r>
            <w:r>
              <w:rPr>
                <w:spacing w:val="-4"/>
              </w:rPr>
              <w:t> </w:t>
            </w:r>
            <w:r>
              <w:rPr/>
              <w:t>conversión</w:t>
            </w:r>
            <w:r>
              <w:rPr>
                <w:spacing w:val="-3"/>
              </w:rPr>
              <w:t> </w:t>
            </w:r>
            <w:r>
              <w:rPr/>
              <w:t>de</w:t>
            </w:r>
            <w:r>
              <w:rPr>
                <w:spacing w:val="-6"/>
              </w:rPr>
              <w:t> </w:t>
            </w:r>
            <w:r>
              <w:rPr/>
              <w:t>moneda</w:t>
            </w:r>
            <w:r>
              <w:rPr>
                <w:spacing w:val="-4"/>
              </w:rPr>
              <w:t> </w:t>
            </w:r>
            <w:r>
              <w:rPr>
                <w:spacing w:val="-2"/>
              </w:rPr>
              <w:t>extranjera</w:t>
            </w:r>
            <w:r>
              <w:rPr/>
              <w:tab/>
            </w:r>
            <w:r>
              <w:rPr>
                <w:rFonts w:ascii="Times New Roman" w:hAnsi="Times New Roman"/>
                <w:spacing w:val="-5"/>
              </w:rPr>
              <w:t>23</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13">
            <w:r>
              <w:rPr>
                <w:spacing w:val="-2"/>
              </w:rPr>
              <w:t>Arrendamientos</w:t>
            </w:r>
            <w:r>
              <w:rPr/>
              <w:tab/>
            </w:r>
            <w:r>
              <w:rPr>
                <w:rFonts w:ascii="Times New Roman"/>
                <w:spacing w:val="-5"/>
              </w:rPr>
              <w:t>24</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hAnsi="Times New Roman"/>
            </w:rPr>
          </w:pPr>
          <w:hyperlink w:history="true" w:anchor="_bookmark14">
            <w:r>
              <w:rPr/>
              <w:t>Valoración</w:t>
            </w:r>
            <w:r>
              <w:rPr>
                <w:spacing w:val="-3"/>
              </w:rPr>
              <w:t> </w:t>
            </w:r>
            <w:r>
              <w:rPr/>
              <w:t>y</w:t>
            </w:r>
            <w:r>
              <w:rPr>
                <w:spacing w:val="-4"/>
              </w:rPr>
              <w:t> </w:t>
            </w:r>
            <w:r>
              <w:rPr/>
              <w:t>depreciación</w:t>
            </w:r>
            <w:r>
              <w:rPr>
                <w:spacing w:val="-3"/>
              </w:rPr>
              <w:t> </w:t>
            </w:r>
            <w:r>
              <w:rPr/>
              <w:t>de</w:t>
            </w:r>
            <w:r>
              <w:rPr>
                <w:spacing w:val="-3"/>
              </w:rPr>
              <w:t> </w:t>
            </w:r>
            <w:r>
              <w:rPr/>
              <w:t>activos</w:t>
            </w:r>
            <w:r>
              <w:rPr>
                <w:spacing w:val="-3"/>
              </w:rPr>
              <w:t> </w:t>
            </w:r>
            <w:r>
              <w:rPr/>
              <w:t>no</w:t>
            </w:r>
            <w:r>
              <w:rPr>
                <w:spacing w:val="-3"/>
              </w:rPr>
              <w:t> </w:t>
            </w:r>
            <w:r>
              <w:rPr>
                <w:spacing w:val="-2"/>
              </w:rPr>
              <w:t>corrientes</w:t>
            </w:r>
            <w:r>
              <w:rPr/>
              <w:tab/>
            </w:r>
            <w:r>
              <w:rPr>
                <w:rFonts w:ascii="Times New Roman" w:hAnsi="Times New Roman"/>
                <w:spacing w:val="-5"/>
              </w:rPr>
              <w:t>25</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rPr>
          </w:pPr>
          <w:hyperlink w:history="true" w:anchor="_bookmark15">
            <w:r>
              <w:rPr/>
              <w:t>Tratamiento</w:t>
            </w:r>
            <w:r>
              <w:rPr>
                <w:spacing w:val="-4"/>
              </w:rPr>
              <w:t> </w:t>
            </w:r>
            <w:r>
              <w:rPr/>
              <w:t>de</w:t>
            </w:r>
            <w:r>
              <w:rPr>
                <w:spacing w:val="-3"/>
              </w:rPr>
              <w:t> </w:t>
            </w:r>
            <w:r>
              <w:rPr>
                <w:spacing w:val="-2"/>
              </w:rPr>
              <w:t>inventarios</w:t>
            </w:r>
            <w:r>
              <w:rPr/>
              <w:tab/>
            </w:r>
            <w:r>
              <w:rPr>
                <w:rFonts w:ascii="Times New Roman"/>
                <w:spacing w:val="-5"/>
              </w:rPr>
              <w:t>27</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16">
            <w:r>
              <w:rPr/>
              <w:t>Provisiones,</w:t>
            </w:r>
            <w:r>
              <w:rPr>
                <w:spacing w:val="-4"/>
              </w:rPr>
              <w:t> </w:t>
            </w:r>
            <w:r>
              <w:rPr/>
              <w:t>pasivos</w:t>
            </w:r>
            <w:r>
              <w:rPr>
                <w:spacing w:val="-3"/>
              </w:rPr>
              <w:t> </w:t>
            </w:r>
            <w:r>
              <w:rPr/>
              <w:t>y</w:t>
            </w:r>
            <w:r>
              <w:rPr>
                <w:spacing w:val="-4"/>
              </w:rPr>
              <w:t> </w:t>
            </w:r>
            <w:r>
              <w:rPr/>
              <w:t>activos</w:t>
            </w:r>
            <w:r>
              <w:rPr>
                <w:spacing w:val="-2"/>
              </w:rPr>
              <w:t> contingentes</w:t>
            </w:r>
            <w:r>
              <w:rPr/>
              <w:tab/>
            </w:r>
            <w:r>
              <w:rPr>
                <w:rFonts w:ascii="Times New Roman"/>
                <w:spacing w:val="-5"/>
              </w:rPr>
              <w:t>30</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rPr>
          </w:pPr>
          <w:hyperlink w:history="true" w:anchor="_bookmark17">
            <w:r>
              <w:rPr/>
              <w:t>Tratamiento</w:t>
            </w:r>
            <w:r>
              <w:rPr>
                <w:spacing w:val="-7"/>
              </w:rPr>
              <w:t> </w:t>
            </w:r>
            <w:r>
              <w:rPr/>
              <w:t>de</w:t>
            </w:r>
            <w:r>
              <w:rPr>
                <w:spacing w:val="-3"/>
              </w:rPr>
              <w:t> </w:t>
            </w:r>
            <w:r>
              <w:rPr/>
              <w:t>deterioro</w:t>
            </w:r>
            <w:r>
              <w:rPr>
                <w:spacing w:val="-5"/>
              </w:rPr>
              <w:t> </w:t>
            </w:r>
            <w:r>
              <w:rPr/>
              <w:t>de</w:t>
            </w:r>
            <w:r>
              <w:rPr>
                <w:spacing w:val="-3"/>
              </w:rPr>
              <w:t> </w:t>
            </w:r>
            <w:r>
              <w:rPr>
                <w:spacing w:val="-2"/>
              </w:rPr>
              <w:t>activos</w:t>
            </w:r>
            <w:r>
              <w:rPr/>
              <w:tab/>
            </w:r>
            <w:r>
              <w:rPr>
                <w:rFonts w:ascii="Times New Roman"/>
                <w:spacing w:val="-5"/>
              </w:rPr>
              <w:t>32</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18">
            <w:r>
              <w:rPr/>
              <w:t>Beneficios</w:t>
            </w:r>
            <w:r>
              <w:rPr>
                <w:spacing w:val="-2"/>
              </w:rPr>
              <w:t> </w:t>
            </w:r>
            <w:r>
              <w:rPr/>
              <w:t>a</w:t>
            </w:r>
            <w:r>
              <w:rPr>
                <w:spacing w:val="-2"/>
              </w:rPr>
              <w:t> empleados</w:t>
            </w:r>
            <w:r>
              <w:rPr/>
              <w:tab/>
            </w:r>
            <w:r>
              <w:rPr>
                <w:rFonts w:ascii="Times New Roman"/>
                <w:spacing w:val="-5"/>
              </w:rPr>
              <w:t>34</w:t>
            </w:r>
          </w:hyperlink>
        </w:p>
        <w:p>
          <w:pPr>
            <w:pStyle w:val="TOC5"/>
            <w:numPr>
              <w:ilvl w:val="0"/>
              <w:numId w:val="2"/>
            </w:numPr>
            <w:tabs>
              <w:tab w:pos="1341" w:val="left" w:leader="none"/>
              <w:tab w:pos="9451" w:val="right" w:leader="dot"/>
            </w:tabs>
            <w:spacing w:line="240" w:lineRule="auto" w:before="127" w:after="0"/>
            <w:ind w:left="1341" w:right="0" w:hanging="479"/>
            <w:jc w:val="left"/>
            <w:rPr>
              <w:rFonts w:ascii="Times New Roman"/>
            </w:rPr>
          </w:pPr>
          <w:hyperlink w:history="true" w:anchor="_bookmark19">
            <w:r>
              <w:rPr/>
              <w:t>Instrumentos</w:t>
            </w:r>
            <w:r>
              <w:rPr>
                <w:spacing w:val="-6"/>
              </w:rPr>
              <w:t> </w:t>
            </w:r>
            <w:r>
              <w:rPr>
                <w:spacing w:val="-2"/>
              </w:rPr>
              <w:t>financieros</w:t>
            </w:r>
            <w:r>
              <w:rPr/>
              <w:tab/>
            </w:r>
            <w:r>
              <w:rPr>
                <w:rFonts w:ascii="Times New Roman"/>
                <w:spacing w:val="-5"/>
              </w:rPr>
              <w:t>36</w:t>
            </w:r>
          </w:hyperlink>
        </w:p>
        <w:p>
          <w:pPr>
            <w:pStyle w:val="TOC5"/>
            <w:numPr>
              <w:ilvl w:val="0"/>
              <w:numId w:val="2"/>
            </w:numPr>
            <w:tabs>
              <w:tab w:pos="1341" w:val="left" w:leader="none"/>
              <w:tab w:pos="9451" w:val="right" w:leader="dot"/>
            </w:tabs>
            <w:spacing w:line="240" w:lineRule="auto" w:before="126" w:after="0"/>
            <w:ind w:left="1341" w:right="0" w:hanging="479"/>
            <w:jc w:val="left"/>
            <w:rPr>
              <w:rFonts w:ascii="Times New Roman" w:hAnsi="Times New Roman"/>
            </w:rPr>
          </w:pPr>
          <w:hyperlink w:history="true" w:anchor="_bookmark20">
            <w:r>
              <w:rPr/>
              <w:t>Indicar</w:t>
            </w:r>
            <w:r>
              <w:rPr>
                <w:spacing w:val="-3"/>
              </w:rPr>
              <w:t> </w:t>
            </w:r>
            <w:r>
              <w:rPr/>
              <w:t>las</w:t>
            </w:r>
            <w:r>
              <w:rPr>
                <w:spacing w:val="-4"/>
              </w:rPr>
              <w:t> </w:t>
            </w:r>
            <w:r>
              <w:rPr/>
              <w:t>Políticas</w:t>
            </w:r>
            <w:r>
              <w:rPr>
                <w:spacing w:val="-6"/>
              </w:rPr>
              <w:t> </w:t>
            </w:r>
            <w:r>
              <w:rPr/>
              <w:t>materiales</w:t>
            </w:r>
            <w:r>
              <w:rPr>
                <w:spacing w:val="-4"/>
              </w:rPr>
              <w:t> </w:t>
            </w:r>
            <w:r>
              <w:rPr/>
              <w:t>del</w:t>
            </w:r>
            <w:r>
              <w:rPr>
                <w:spacing w:val="-4"/>
              </w:rPr>
              <w:t> </w:t>
            </w:r>
            <w:r>
              <w:rPr>
                <w:spacing w:val="-2"/>
              </w:rPr>
              <w:t>periodo</w:t>
            </w:r>
            <w:r>
              <w:rPr/>
              <w:tab/>
            </w:r>
            <w:r>
              <w:rPr>
                <w:rFonts w:ascii="Times New Roman" w:hAnsi="Times New Roman"/>
                <w:spacing w:val="-5"/>
              </w:rPr>
              <w:t>39</w:t>
            </w:r>
          </w:hyperlink>
        </w:p>
        <w:p>
          <w:pPr>
            <w:pStyle w:val="TOC5"/>
            <w:numPr>
              <w:ilvl w:val="0"/>
              <w:numId w:val="2"/>
            </w:numPr>
            <w:tabs>
              <w:tab w:pos="1581" w:val="left" w:leader="none"/>
              <w:tab w:pos="9451" w:val="right" w:leader="dot"/>
            </w:tabs>
            <w:spacing w:line="240" w:lineRule="auto" w:before="126" w:after="0"/>
            <w:ind w:left="1581" w:right="0" w:hanging="719"/>
            <w:jc w:val="left"/>
            <w:rPr>
              <w:rFonts w:ascii="Times New Roman" w:hAnsi="Times New Roman"/>
            </w:rPr>
          </w:pPr>
          <w:hyperlink w:history="true" w:anchor="_bookmark21">
            <w:r>
              <w:rPr/>
              <w:t>Cualquier</w:t>
            </w:r>
            <w:r>
              <w:rPr>
                <w:spacing w:val="-6"/>
              </w:rPr>
              <w:t> </w:t>
            </w:r>
            <w:r>
              <w:rPr/>
              <w:t>otra</w:t>
            </w:r>
            <w:r>
              <w:rPr>
                <w:spacing w:val="-3"/>
              </w:rPr>
              <w:t> </w:t>
            </w:r>
            <w:r>
              <w:rPr/>
              <w:t>política</w:t>
            </w:r>
            <w:r>
              <w:rPr>
                <w:spacing w:val="-4"/>
              </w:rPr>
              <w:t> </w:t>
            </w:r>
            <w:r>
              <w:rPr/>
              <w:t>contable</w:t>
            </w:r>
            <w:r>
              <w:rPr>
                <w:spacing w:val="-1"/>
              </w:rPr>
              <w:t> </w:t>
            </w:r>
            <w:r>
              <w:rPr/>
              <w:t>relevante</w:t>
            </w:r>
            <w:r>
              <w:rPr>
                <w:spacing w:val="-2"/>
              </w:rPr>
              <w:t> </w:t>
            </w:r>
            <w:r>
              <w:rPr/>
              <w:t>para</w:t>
            </w:r>
            <w:r>
              <w:rPr>
                <w:spacing w:val="-4"/>
              </w:rPr>
              <w:t> </w:t>
            </w:r>
            <w:r>
              <w:rPr/>
              <w:t>la</w:t>
            </w:r>
            <w:r>
              <w:rPr>
                <w:spacing w:val="-4"/>
              </w:rPr>
              <w:t> </w:t>
            </w:r>
            <w:r>
              <w:rPr>
                <w:spacing w:val="-2"/>
              </w:rPr>
              <w:t>entidad.</w:t>
            </w:r>
            <w:r>
              <w:rPr/>
              <w:tab/>
            </w:r>
            <w:r>
              <w:rPr>
                <w:rFonts w:ascii="Times New Roman" w:hAnsi="Times New Roman"/>
                <w:spacing w:val="-5"/>
              </w:rPr>
              <w:t>39</w:t>
            </w:r>
          </w:hyperlink>
        </w:p>
        <w:p>
          <w:pPr>
            <w:pStyle w:val="TOC2"/>
            <w:tabs>
              <w:tab w:pos="9451" w:val="right" w:leader="dot"/>
            </w:tabs>
            <w:spacing w:before="369"/>
            <w:rPr>
              <w:rFonts w:ascii="Times New Roman" w:hAnsi="Times New Roman"/>
            </w:rPr>
          </w:pPr>
          <w:hyperlink w:history="true" w:anchor="_bookmark22">
            <w:r>
              <w:rPr/>
              <w:t>Resumen-</w:t>
            </w:r>
            <w:r>
              <w:rPr>
                <w:spacing w:val="-9"/>
              </w:rPr>
              <w:t> </w:t>
            </w:r>
            <w:r>
              <w:rPr/>
              <w:t>Aplicación</w:t>
            </w:r>
            <w:r>
              <w:rPr>
                <w:spacing w:val="-6"/>
              </w:rPr>
              <w:t> </w:t>
            </w:r>
            <w:r>
              <w:rPr>
                <w:spacing w:val="-4"/>
              </w:rPr>
              <w:t>NICSP</w:t>
            </w:r>
            <w:r>
              <w:rPr/>
              <w:tab/>
            </w:r>
            <w:r>
              <w:rPr>
                <w:rFonts w:ascii="Times New Roman" w:hAnsi="Times New Roman"/>
                <w:spacing w:val="-5"/>
              </w:rPr>
              <w:t>41</w:t>
            </w:r>
          </w:hyperlink>
        </w:p>
        <w:p>
          <w:pPr>
            <w:pStyle w:val="TOC2"/>
            <w:tabs>
              <w:tab w:pos="9451" w:val="right" w:leader="dot"/>
            </w:tabs>
            <w:spacing w:after="240"/>
            <w:rPr>
              <w:rFonts w:ascii="Times New Roman" w:hAnsi="Times New Roman"/>
            </w:rPr>
          </w:pPr>
          <w:hyperlink w:history="true" w:anchor="_bookmark23">
            <w:r>
              <w:rPr/>
              <w:t>Bases</w:t>
            </w:r>
            <w:r>
              <w:rPr>
                <w:spacing w:val="-3"/>
              </w:rPr>
              <w:t> </w:t>
            </w:r>
            <w:r>
              <w:rPr/>
              <w:t>de</w:t>
            </w:r>
            <w:r>
              <w:rPr>
                <w:spacing w:val="-4"/>
              </w:rPr>
              <w:t> </w:t>
            </w:r>
            <w:r>
              <w:rPr/>
              <w:t>Reconocimiento</w:t>
            </w:r>
            <w:r>
              <w:rPr>
                <w:spacing w:val="-1"/>
              </w:rPr>
              <w:t> </w:t>
            </w:r>
            <w:r>
              <w:rPr/>
              <w:t>y</w:t>
            </w:r>
            <w:r>
              <w:rPr>
                <w:spacing w:val="-5"/>
              </w:rPr>
              <w:t> </w:t>
            </w:r>
            <w:r>
              <w:rPr>
                <w:spacing w:val="-2"/>
              </w:rPr>
              <w:t>Medición</w:t>
            </w:r>
            <w:r>
              <w:rPr/>
              <w:tab/>
            </w:r>
            <w:r>
              <w:rPr>
                <w:rFonts w:ascii="Times New Roman" w:hAnsi="Times New Roman"/>
                <w:spacing w:val="-5"/>
              </w:rPr>
              <w:t>42</w:t>
            </w:r>
          </w:hyperlink>
        </w:p>
        <w:p>
          <w:pPr>
            <w:pStyle w:val="TOC3"/>
          </w:pPr>
          <w:r>
            <w:rPr/>
            <mc:AlternateContent>
              <mc:Choice Requires="wps">
                <w:drawing>
                  <wp:anchor distT="0" distB="0" distL="0" distR="0" allowOverlap="1" layoutInCell="1" locked="0" behindDoc="1" simplePos="0" relativeHeight="473525760">
                    <wp:simplePos x="0" y="0"/>
                    <wp:positionH relativeFrom="page">
                      <wp:posOffset>9525</wp:posOffset>
                    </wp:positionH>
                    <wp:positionV relativeFrom="page">
                      <wp:posOffset>297208</wp:posOffset>
                    </wp:positionV>
                    <wp:extent cx="7762875" cy="974852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762875" cy="9748520"/>
                              <a:chExt cx="7762875" cy="9748520"/>
                            </a:xfrm>
                          </wpg:grpSpPr>
                          <pic:pic>
                            <pic:nvPicPr>
                              <pic:cNvPr id="6" name="Image 6"/>
                              <pic:cNvPicPr/>
                            </pic:nvPicPr>
                            <pic:blipFill>
                              <a:blip r:embed="rId5" cstate="print"/>
                              <a:stretch>
                                <a:fillRect/>
                              </a:stretch>
                            </pic:blipFill>
                            <pic:spPr>
                              <a:xfrm>
                                <a:off x="0" y="0"/>
                                <a:ext cx="7762874" cy="9748489"/>
                              </a:xfrm>
                              <a:prstGeom prst="rect">
                                <a:avLst/>
                              </a:prstGeom>
                            </pic:spPr>
                          </pic:pic>
                          <wps:wsp>
                            <wps:cNvPr id="7" name="Graphic 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90720" id="docshapegroup4" coordorigin="15,468" coordsize="12225,15352">
                    <v:shape style="position:absolute;left:15;top:468;width:12225;height:15352" type="#_x0000_t75" id="docshape5" stroked="false">
                      <v:imagedata r:id="rId5" o:title=""/>
                    </v:shape>
                    <v:rect style="position:absolute;left:1673;top:2028;width:8897;height:15" id="docshape6" filled="true" fillcolor="#000000" stroked="false">
                      <v:fill type="solid"/>
                    </v:rect>
                    <w10:wrap type="none"/>
                  </v:group>
                </w:pict>
              </mc:Fallback>
            </mc:AlternateContent>
          </w:r>
          <w:r>
            <w:rPr>
              <w:color w:val="172951"/>
            </w:rPr>
            <w:t>Pág.</w:t>
          </w:r>
          <w:r>
            <w:rPr>
              <w:color w:val="172951"/>
              <w:spacing w:val="-7"/>
            </w:rPr>
            <w:t> </w:t>
          </w:r>
          <w:r>
            <w:rPr>
              <w:color w:val="172951"/>
              <w:spacing w:val="-10"/>
            </w:rPr>
            <w:t>3</w:t>
          </w:r>
        </w:p>
        <w:p>
          <w:pPr>
            <w:pStyle w:val="TOC1"/>
            <w:tabs>
              <w:tab w:pos="9230" w:val="left" w:leader="dot"/>
            </w:tabs>
            <w:spacing w:before="218"/>
            <w:rPr>
              <w:rFonts w:ascii="Times New Roman" w:hAnsi="Times New Roman"/>
            </w:rPr>
          </w:pPr>
          <w:hyperlink w:history="true" w:anchor="_bookmark24">
            <w:r>
              <w:rPr/>
              <w:t>REVELACIÓN</w:t>
            </w:r>
            <w:r>
              <w:rPr>
                <w:spacing w:val="-11"/>
              </w:rPr>
              <w:t> </w:t>
            </w:r>
            <w:r>
              <w:rPr/>
              <w:t>NORMAS</w:t>
            </w:r>
            <w:r>
              <w:rPr>
                <w:spacing w:val="-9"/>
              </w:rPr>
              <w:t> </w:t>
            </w:r>
            <w:r>
              <w:rPr/>
              <w:t>INTERNACIONALES</w:t>
            </w:r>
            <w:r>
              <w:rPr>
                <w:spacing w:val="-7"/>
              </w:rPr>
              <w:t> </w:t>
            </w:r>
            <w:r>
              <w:rPr/>
              <w:t>DEL</w:t>
            </w:r>
            <w:r>
              <w:rPr>
                <w:spacing w:val="-7"/>
              </w:rPr>
              <w:t> </w:t>
            </w:r>
            <w:r>
              <w:rPr/>
              <w:t>SECTOR</w:t>
            </w:r>
            <w:r>
              <w:rPr>
                <w:spacing w:val="-7"/>
              </w:rPr>
              <w:t> </w:t>
            </w:r>
            <w:r>
              <w:rPr>
                <w:spacing w:val="-2"/>
              </w:rPr>
              <w:t>PUBLICO</w:t>
            </w:r>
            <w:r>
              <w:rPr/>
              <w:tab/>
            </w:r>
            <w:r>
              <w:rPr>
                <w:rFonts w:ascii="Times New Roman" w:hAnsi="Times New Roman"/>
                <w:spacing w:val="-5"/>
              </w:rPr>
              <w:t>44</w:t>
            </w:r>
          </w:hyperlink>
        </w:p>
        <w:p>
          <w:pPr>
            <w:pStyle w:val="TOC6"/>
            <w:tabs>
              <w:tab w:pos="9230" w:val="left" w:leader="dot"/>
            </w:tabs>
            <w:spacing w:before="127"/>
            <w:rPr>
              <w:rFonts w:ascii="Times New Roman" w:hAnsi="Times New Roman"/>
            </w:rPr>
          </w:pPr>
          <w:hyperlink w:history="true" w:anchor="_bookmark25">
            <w:r>
              <w:rPr/>
              <w:t>NOTA</w:t>
            </w:r>
            <w:r>
              <w:rPr>
                <w:spacing w:val="-1"/>
              </w:rPr>
              <w:t> </w:t>
            </w:r>
            <w:r>
              <w:rPr/>
              <w:t>N° </w:t>
            </w:r>
            <w:r>
              <w:rPr>
                <w:spacing w:val="-10"/>
              </w:rPr>
              <w:t>2</w:t>
            </w:r>
            <w:r>
              <w:rPr/>
              <w:tab/>
            </w:r>
            <w:r>
              <w:rPr>
                <w:rFonts w:ascii="Times New Roman" w:hAnsi="Times New Roman"/>
                <w:spacing w:val="-5"/>
              </w:rPr>
              <w:t>44</w:t>
            </w:r>
          </w:hyperlink>
        </w:p>
        <w:p>
          <w:pPr>
            <w:pStyle w:val="TOC1"/>
            <w:tabs>
              <w:tab w:pos="9230" w:val="left" w:leader="dot"/>
            </w:tabs>
            <w:rPr>
              <w:rFonts w:ascii="Times New Roman"/>
            </w:rPr>
          </w:pPr>
          <w:hyperlink w:history="true" w:anchor="_bookmark26">
            <w:r>
              <w:rPr/>
              <w:t>NOTAS</w:t>
            </w:r>
            <w:r>
              <w:rPr>
                <w:spacing w:val="-8"/>
              </w:rPr>
              <w:t> </w:t>
            </w:r>
            <w:r>
              <w:rPr/>
              <w:t>A</w:t>
            </w:r>
            <w:r>
              <w:rPr>
                <w:spacing w:val="-4"/>
              </w:rPr>
              <w:t> </w:t>
            </w:r>
            <w:r>
              <w:rPr/>
              <w:t>LAS</w:t>
            </w:r>
            <w:r>
              <w:rPr>
                <w:spacing w:val="-4"/>
              </w:rPr>
              <w:t> </w:t>
            </w:r>
            <w:r>
              <w:rPr/>
              <w:t>PARTIDAS</w:t>
            </w:r>
            <w:r>
              <w:rPr>
                <w:spacing w:val="-2"/>
              </w:rPr>
              <w:t> </w:t>
            </w:r>
            <w:r>
              <w:rPr/>
              <w:t>DE</w:t>
            </w:r>
            <w:r>
              <w:rPr>
                <w:spacing w:val="-5"/>
              </w:rPr>
              <w:t> </w:t>
            </w:r>
            <w:r>
              <w:rPr/>
              <w:t>LOS</w:t>
            </w:r>
            <w:r>
              <w:rPr>
                <w:spacing w:val="-4"/>
              </w:rPr>
              <w:t> </w:t>
            </w:r>
            <w:r>
              <w:rPr/>
              <w:t>ESTADOS</w:t>
            </w:r>
            <w:r>
              <w:rPr>
                <w:spacing w:val="-5"/>
              </w:rPr>
              <w:t> </w:t>
            </w:r>
            <w:r>
              <w:rPr>
                <w:spacing w:val="-2"/>
              </w:rPr>
              <w:t>FINANCIEROS</w:t>
            </w:r>
            <w:r>
              <w:rPr/>
              <w:tab/>
            </w:r>
            <w:r>
              <w:rPr>
                <w:rFonts w:ascii="Times New Roman"/>
                <w:spacing w:val="-5"/>
              </w:rPr>
              <w:t>44</w:t>
            </w:r>
          </w:hyperlink>
        </w:p>
        <w:p>
          <w:pPr>
            <w:pStyle w:val="TOC1"/>
            <w:tabs>
              <w:tab w:pos="9230" w:val="left" w:leader="dot"/>
            </w:tabs>
            <w:rPr>
              <w:rFonts w:ascii="Times New Roman"/>
            </w:rPr>
          </w:pPr>
          <w:hyperlink w:history="true" w:anchor="_bookmark27">
            <w:r>
              <w:rPr/>
              <w:t>NOTAS</w:t>
            </w:r>
            <w:r>
              <w:rPr>
                <w:spacing w:val="-3"/>
              </w:rPr>
              <w:t> </w:t>
            </w:r>
            <w:r>
              <w:rPr/>
              <w:t>ESTADO</w:t>
            </w:r>
            <w:r>
              <w:rPr>
                <w:spacing w:val="-4"/>
              </w:rPr>
              <w:t> </w:t>
            </w:r>
            <w:r>
              <w:rPr/>
              <w:t>DE</w:t>
            </w:r>
            <w:r>
              <w:rPr>
                <w:spacing w:val="-8"/>
              </w:rPr>
              <w:t> </w:t>
            </w:r>
            <w:r>
              <w:rPr/>
              <w:t>SITUACION</w:t>
            </w:r>
            <w:r>
              <w:rPr>
                <w:spacing w:val="-3"/>
              </w:rPr>
              <w:t> </w:t>
            </w:r>
            <w:r>
              <w:rPr>
                <w:spacing w:val="-2"/>
              </w:rPr>
              <w:t>FINANCIERA</w:t>
            </w:r>
            <w:r>
              <w:rPr/>
              <w:tab/>
            </w:r>
            <w:r>
              <w:rPr>
                <w:rFonts w:ascii="Times New Roman"/>
                <w:spacing w:val="-5"/>
              </w:rPr>
              <w:t>44</w:t>
            </w:r>
          </w:hyperlink>
        </w:p>
        <w:p>
          <w:pPr>
            <w:pStyle w:val="TOC4"/>
            <w:numPr>
              <w:ilvl w:val="1"/>
              <w:numId w:val="3"/>
            </w:numPr>
            <w:tabs>
              <w:tab w:pos="1239" w:val="left" w:leader="none"/>
              <w:tab w:pos="9230" w:val="left" w:leader="dot"/>
            </w:tabs>
            <w:spacing w:line="240" w:lineRule="auto" w:before="127" w:after="0"/>
            <w:ind w:left="1239" w:right="0" w:hanging="377"/>
            <w:jc w:val="left"/>
            <w:rPr>
              <w:rFonts w:ascii="Times New Roman"/>
            </w:rPr>
          </w:pPr>
          <w:hyperlink w:history="true" w:anchor="_bookmark28">
            <w:r>
              <w:rPr>
                <w:spacing w:val="-2"/>
              </w:rPr>
              <w:t>ACTIVO</w:t>
            </w:r>
            <w:r>
              <w:rPr/>
              <w:tab/>
            </w:r>
            <w:r>
              <w:rPr>
                <w:rFonts w:ascii="Times New Roman"/>
                <w:spacing w:val="-5"/>
              </w:rPr>
              <w:t>44</w:t>
            </w:r>
          </w:hyperlink>
        </w:p>
        <w:p>
          <w:pPr>
            <w:pStyle w:val="TOC4"/>
            <w:numPr>
              <w:ilvl w:val="1"/>
              <w:numId w:val="4"/>
            </w:numPr>
            <w:tabs>
              <w:tab w:pos="1186" w:val="left" w:leader="none"/>
              <w:tab w:pos="9230" w:val="left" w:leader="dot"/>
            </w:tabs>
            <w:spacing w:line="240" w:lineRule="auto" w:before="129" w:after="0"/>
            <w:ind w:left="1186" w:right="0" w:hanging="324"/>
            <w:jc w:val="left"/>
            <w:rPr>
              <w:rFonts w:ascii="Times New Roman"/>
            </w:rPr>
          </w:pPr>
          <w:hyperlink w:history="true" w:anchor="_bookmark29">
            <w:r>
              <w:rPr/>
              <w:t>ACTIVO</w:t>
            </w:r>
            <w:r>
              <w:rPr>
                <w:spacing w:val="-6"/>
              </w:rPr>
              <w:t> </w:t>
            </w:r>
            <w:r>
              <w:rPr>
                <w:spacing w:val="-2"/>
              </w:rPr>
              <w:t>CORRIENTE</w:t>
            </w:r>
            <w:r>
              <w:rPr/>
              <w:tab/>
            </w:r>
            <w:r>
              <w:rPr>
                <w:rFonts w:ascii="Times New Roman"/>
                <w:spacing w:val="-5"/>
              </w:rPr>
              <w:t>44</w:t>
            </w:r>
          </w:hyperlink>
        </w:p>
        <w:p>
          <w:pPr>
            <w:pStyle w:val="TOC6"/>
            <w:tabs>
              <w:tab w:pos="9230" w:val="left" w:leader="dot"/>
            </w:tabs>
            <w:rPr>
              <w:rFonts w:ascii="Times New Roman" w:hAnsi="Times New Roman"/>
            </w:rPr>
          </w:pPr>
          <w:hyperlink w:history="true" w:anchor="_bookmark30">
            <w:r>
              <w:rPr/>
              <w:t>NOTA N° </w:t>
            </w:r>
            <w:r>
              <w:rPr>
                <w:spacing w:val="-10"/>
              </w:rPr>
              <w:t>3</w:t>
            </w:r>
            <w:r>
              <w:rPr/>
              <w:tab/>
            </w:r>
            <w:r>
              <w:rPr>
                <w:rFonts w:ascii="Times New Roman" w:hAnsi="Times New Roman"/>
                <w:spacing w:val="-5"/>
              </w:rPr>
              <w:t>44</w:t>
            </w:r>
          </w:hyperlink>
        </w:p>
        <w:p>
          <w:pPr>
            <w:pStyle w:val="TOC6"/>
            <w:tabs>
              <w:tab w:pos="9230" w:val="left" w:leader="dot"/>
            </w:tabs>
            <w:spacing w:before="127"/>
            <w:rPr>
              <w:rFonts w:ascii="Times New Roman" w:hAnsi="Times New Roman"/>
            </w:rPr>
          </w:pPr>
          <w:hyperlink w:history="true" w:anchor="_bookmark31">
            <w:r>
              <w:rPr/>
              <w:t>NOTA</w:t>
            </w:r>
            <w:r>
              <w:rPr>
                <w:spacing w:val="-1"/>
              </w:rPr>
              <w:t> </w:t>
            </w:r>
            <w:r>
              <w:rPr/>
              <w:t>N° </w:t>
            </w:r>
            <w:r>
              <w:rPr>
                <w:spacing w:val="-10"/>
              </w:rPr>
              <w:t>4</w:t>
            </w:r>
            <w:r>
              <w:rPr/>
              <w:tab/>
            </w:r>
            <w:r>
              <w:rPr>
                <w:rFonts w:ascii="Times New Roman" w:hAnsi="Times New Roman"/>
                <w:spacing w:val="-5"/>
              </w:rPr>
              <w:t>47</w:t>
            </w:r>
          </w:hyperlink>
        </w:p>
        <w:p>
          <w:pPr>
            <w:pStyle w:val="TOC6"/>
            <w:tabs>
              <w:tab w:pos="9230" w:val="left" w:leader="dot"/>
            </w:tabs>
            <w:rPr>
              <w:rFonts w:ascii="Times New Roman" w:hAnsi="Times New Roman"/>
            </w:rPr>
          </w:pPr>
          <w:hyperlink w:history="true" w:anchor="_bookmark32">
            <w:r>
              <w:rPr/>
              <w:t>NOTA</w:t>
            </w:r>
            <w:r>
              <w:rPr>
                <w:spacing w:val="-1"/>
              </w:rPr>
              <w:t> </w:t>
            </w:r>
            <w:r>
              <w:rPr/>
              <w:t>N° </w:t>
            </w:r>
            <w:r>
              <w:rPr>
                <w:spacing w:val="-10"/>
              </w:rPr>
              <w:t>5</w:t>
            </w:r>
            <w:r>
              <w:rPr/>
              <w:tab/>
            </w:r>
            <w:r>
              <w:rPr>
                <w:rFonts w:ascii="Times New Roman" w:hAnsi="Times New Roman"/>
                <w:spacing w:val="-5"/>
              </w:rPr>
              <w:t>48</w:t>
            </w:r>
          </w:hyperlink>
        </w:p>
        <w:p>
          <w:pPr>
            <w:pStyle w:val="TOC7"/>
            <w:tabs>
              <w:tab w:pos="9230" w:val="left" w:leader="dot"/>
            </w:tabs>
            <w:rPr>
              <w:rFonts w:ascii="Times New Roman" w:hAnsi="Times New Roman"/>
              <w:i w:val="0"/>
              <w:sz w:val="22"/>
            </w:rPr>
          </w:pPr>
          <w:hyperlink w:history="true" w:anchor="_bookmark33">
            <w:r>
              <w:rPr>
                <w:i w:val="0"/>
                <w:spacing w:val="-2"/>
                <w:sz w:val="22"/>
              </w:rPr>
              <w:t>Revelación</w:t>
            </w:r>
            <w:r>
              <w:rPr>
                <w:i w:val="0"/>
                <w:spacing w:val="-11"/>
                <w:sz w:val="22"/>
              </w:rPr>
              <w:t> </w:t>
            </w:r>
            <w:r>
              <w:rPr>
                <w:i w:val="0"/>
                <w:spacing w:val="-2"/>
                <w:sz w:val="22"/>
              </w:rPr>
              <w:t>NICSP</w:t>
            </w:r>
            <w:r>
              <w:rPr>
                <w:i w:val="0"/>
                <w:spacing w:val="-9"/>
                <w:sz w:val="22"/>
              </w:rPr>
              <w:t> </w:t>
            </w:r>
            <w:r>
              <w:rPr>
                <w:i w:val="0"/>
                <w:spacing w:val="-2"/>
                <w:sz w:val="22"/>
              </w:rPr>
              <w:t>9</w:t>
            </w:r>
            <w:r>
              <w:rPr>
                <w:i w:val="0"/>
                <w:spacing w:val="-9"/>
                <w:sz w:val="22"/>
              </w:rPr>
              <w:t> </w:t>
            </w:r>
            <w:r>
              <w:rPr>
                <w:spacing w:val="-2"/>
                <w:sz w:val="23"/>
              </w:rPr>
              <w:t>Ingresos</w:t>
            </w:r>
            <w:r>
              <w:rPr>
                <w:spacing w:val="-12"/>
                <w:sz w:val="23"/>
              </w:rPr>
              <w:t> </w:t>
            </w:r>
            <w:r>
              <w:rPr>
                <w:spacing w:val="-2"/>
                <w:sz w:val="23"/>
              </w:rPr>
              <w:t>de</w:t>
            </w:r>
            <w:r>
              <w:rPr>
                <w:spacing w:val="-11"/>
                <w:sz w:val="23"/>
              </w:rPr>
              <w:t> </w:t>
            </w:r>
            <w:r>
              <w:rPr>
                <w:spacing w:val="-2"/>
                <w:sz w:val="23"/>
              </w:rPr>
              <w:t>transacciones</w:t>
            </w:r>
            <w:r>
              <w:rPr>
                <w:spacing w:val="-11"/>
                <w:sz w:val="23"/>
              </w:rPr>
              <w:t> </w:t>
            </w:r>
            <w:r>
              <w:rPr>
                <w:spacing w:val="-2"/>
                <w:sz w:val="23"/>
              </w:rPr>
              <w:t>con</w:t>
            </w:r>
            <w:r>
              <w:rPr>
                <w:spacing w:val="-12"/>
                <w:sz w:val="23"/>
              </w:rPr>
              <w:t> </w:t>
            </w:r>
            <w:r>
              <w:rPr>
                <w:spacing w:val="-2"/>
                <w:sz w:val="23"/>
              </w:rPr>
              <w:t>contraprestación</w:t>
            </w:r>
            <w:r>
              <w:rPr>
                <w:sz w:val="23"/>
              </w:rPr>
              <w:tab/>
            </w:r>
            <w:r>
              <w:rPr>
                <w:rFonts w:ascii="Times New Roman" w:hAnsi="Times New Roman"/>
                <w:i w:val="0"/>
                <w:spacing w:val="-5"/>
                <w:sz w:val="22"/>
              </w:rPr>
              <w:t>55</w:t>
            </w:r>
          </w:hyperlink>
        </w:p>
        <w:p>
          <w:pPr>
            <w:pStyle w:val="TOC6"/>
            <w:tabs>
              <w:tab w:pos="9230" w:val="left" w:leader="dot"/>
            </w:tabs>
            <w:spacing w:before="124"/>
            <w:rPr>
              <w:rFonts w:ascii="Times New Roman" w:hAnsi="Times New Roman"/>
            </w:rPr>
          </w:pPr>
          <w:hyperlink w:history="true" w:anchor="_bookmark34">
            <w:r>
              <w:rPr/>
              <w:t>NOTA N° </w:t>
            </w:r>
            <w:r>
              <w:rPr>
                <w:spacing w:val="-10"/>
              </w:rPr>
              <w:t>6</w:t>
            </w:r>
            <w:r>
              <w:rPr/>
              <w:tab/>
            </w:r>
            <w:r>
              <w:rPr>
                <w:rFonts w:ascii="Times New Roman" w:hAnsi="Times New Roman"/>
                <w:spacing w:val="-5"/>
              </w:rPr>
              <w:t>57</w:t>
            </w:r>
          </w:hyperlink>
        </w:p>
        <w:p>
          <w:pPr>
            <w:pStyle w:val="TOC7"/>
            <w:tabs>
              <w:tab w:pos="9230" w:val="left" w:leader="dot"/>
            </w:tabs>
            <w:spacing w:before="127"/>
            <w:rPr>
              <w:rFonts w:ascii="Times New Roman" w:hAnsi="Times New Roman"/>
              <w:i w:val="0"/>
              <w:sz w:val="22"/>
            </w:rPr>
          </w:pPr>
          <w:hyperlink w:history="true" w:anchor="_bookmark35">
            <w:r>
              <w:rPr>
                <w:i w:val="0"/>
                <w:sz w:val="22"/>
              </w:rPr>
              <w:t>Revelación</w:t>
            </w:r>
            <w:r>
              <w:rPr>
                <w:i w:val="0"/>
                <w:spacing w:val="-6"/>
                <w:sz w:val="22"/>
              </w:rPr>
              <w:t> </w:t>
            </w:r>
            <w:r>
              <w:rPr>
                <w:i w:val="0"/>
                <w:sz w:val="22"/>
              </w:rPr>
              <w:t>NICSP</w:t>
            </w:r>
            <w:r>
              <w:rPr>
                <w:i w:val="0"/>
                <w:spacing w:val="-3"/>
                <w:sz w:val="22"/>
              </w:rPr>
              <w:t> </w:t>
            </w:r>
            <w:r>
              <w:rPr>
                <w:i w:val="0"/>
                <w:sz w:val="22"/>
              </w:rPr>
              <w:t>12</w:t>
            </w:r>
            <w:r>
              <w:rPr>
                <w:i w:val="0"/>
                <w:spacing w:val="-2"/>
                <w:sz w:val="22"/>
              </w:rPr>
              <w:t> </w:t>
            </w:r>
            <w:r>
              <w:rPr>
                <w:spacing w:val="-2"/>
                <w:sz w:val="23"/>
              </w:rPr>
              <w:t>Inventario</w:t>
            </w:r>
            <w:r>
              <w:rPr>
                <w:sz w:val="23"/>
              </w:rPr>
              <w:tab/>
            </w:r>
            <w:r>
              <w:rPr>
                <w:rFonts w:ascii="Times New Roman" w:hAnsi="Times New Roman"/>
                <w:i w:val="0"/>
                <w:spacing w:val="-5"/>
                <w:sz w:val="22"/>
              </w:rPr>
              <w:t>59</w:t>
            </w:r>
          </w:hyperlink>
        </w:p>
        <w:p>
          <w:pPr>
            <w:pStyle w:val="TOC6"/>
            <w:tabs>
              <w:tab w:pos="9230" w:val="left" w:leader="dot"/>
            </w:tabs>
            <w:spacing w:before="123"/>
            <w:rPr>
              <w:rFonts w:ascii="Times New Roman" w:hAnsi="Times New Roman"/>
            </w:rPr>
          </w:pPr>
          <w:hyperlink w:history="true" w:anchor="_bookmark36">
            <w:r>
              <w:rPr/>
              <w:t>NOTA</w:t>
            </w:r>
            <w:r>
              <w:rPr>
                <w:spacing w:val="-1"/>
              </w:rPr>
              <w:t> </w:t>
            </w:r>
            <w:r>
              <w:rPr/>
              <w:t>N° </w:t>
            </w:r>
            <w:r>
              <w:rPr>
                <w:spacing w:val="-10"/>
              </w:rPr>
              <w:t>7</w:t>
            </w:r>
            <w:r>
              <w:rPr/>
              <w:tab/>
            </w:r>
            <w:r>
              <w:rPr>
                <w:rFonts w:ascii="Times New Roman" w:hAnsi="Times New Roman"/>
                <w:spacing w:val="-5"/>
              </w:rPr>
              <w:t>62</w:t>
            </w:r>
          </w:hyperlink>
        </w:p>
        <w:p>
          <w:pPr>
            <w:pStyle w:val="TOC4"/>
            <w:numPr>
              <w:ilvl w:val="1"/>
              <w:numId w:val="4"/>
            </w:numPr>
            <w:tabs>
              <w:tab w:pos="1186" w:val="left" w:leader="none"/>
              <w:tab w:pos="9230" w:val="left" w:leader="dot"/>
            </w:tabs>
            <w:spacing w:line="240" w:lineRule="auto" w:before="127" w:after="0"/>
            <w:ind w:left="1186" w:right="0" w:hanging="324"/>
            <w:jc w:val="left"/>
            <w:rPr>
              <w:rFonts w:ascii="Times New Roman"/>
            </w:rPr>
          </w:pPr>
          <w:hyperlink w:history="true" w:anchor="_bookmark37">
            <w:r>
              <w:rPr/>
              <w:t>ACTIVO</w:t>
            </w:r>
            <w:r>
              <w:rPr>
                <w:spacing w:val="-5"/>
              </w:rPr>
              <w:t> </w:t>
            </w:r>
            <w:r>
              <w:rPr/>
              <w:t>NO</w:t>
            </w:r>
            <w:r>
              <w:rPr>
                <w:spacing w:val="-4"/>
              </w:rPr>
              <w:t> </w:t>
            </w:r>
            <w:r>
              <w:rPr>
                <w:spacing w:val="-2"/>
              </w:rPr>
              <w:t>CORRIENTE</w:t>
            </w:r>
            <w:r>
              <w:rPr/>
              <w:tab/>
            </w:r>
            <w:r>
              <w:rPr>
                <w:rFonts w:ascii="Times New Roman"/>
                <w:spacing w:val="-5"/>
              </w:rPr>
              <w:t>63</w:t>
            </w:r>
          </w:hyperlink>
        </w:p>
        <w:p>
          <w:pPr>
            <w:pStyle w:val="TOC6"/>
            <w:tabs>
              <w:tab w:pos="9230" w:val="left" w:leader="dot"/>
            </w:tabs>
            <w:spacing w:before="127"/>
            <w:rPr>
              <w:rFonts w:ascii="Times New Roman" w:hAnsi="Times New Roman"/>
            </w:rPr>
          </w:pPr>
          <w:hyperlink w:history="true" w:anchor="_bookmark38">
            <w:r>
              <w:rPr/>
              <w:t>NOTA</w:t>
            </w:r>
            <w:r>
              <w:rPr>
                <w:spacing w:val="-1"/>
              </w:rPr>
              <w:t> </w:t>
            </w:r>
            <w:r>
              <w:rPr/>
              <w:t>N° </w:t>
            </w:r>
            <w:r>
              <w:rPr>
                <w:spacing w:val="-10"/>
              </w:rPr>
              <w:t>8</w:t>
            </w:r>
            <w:r>
              <w:rPr/>
              <w:tab/>
            </w:r>
            <w:r>
              <w:rPr>
                <w:rFonts w:ascii="Times New Roman" w:hAnsi="Times New Roman"/>
                <w:spacing w:val="-5"/>
              </w:rPr>
              <w:t>63</w:t>
            </w:r>
          </w:hyperlink>
        </w:p>
        <w:p>
          <w:pPr>
            <w:pStyle w:val="TOC6"/>
            <w:tabs>
              <w:tab w:pos="9230" w:val="left" w:leader="dot"/>
            </w:tabs>
            <w:rPr>
              <w:rFonts w:ascii="Times New Roman" w:hAnsi="Times New Roman"/>
            </w:rPr>
          </w:pPr>
          <w:hyperlink w:history="true" w:anchor="_bookmark39">
            <w:r>
              <w:rPr/>
              <w:t>NOTA</w:t>
            </w:r>
            <w:r>
              <w:rPr>
                <w:spacing w:val="-1"/>
              </w:rPr>
              <w:t> </w:t>
            </w:r>
            <w:r>
              <w:rPr/>
              <w:t>N° </w:t>
            </w:r>
            <w:r>
              <w:rPr>
                <w:spacing w:val="-10"/>
              </w:rPr>
              <w:t>9</w:t>
            </w:r>
            <w:r>
              <w:rPr/>
              <w:tab/>
            </w:r>
            <w:r>
              <w:rPr>
                <w:rFonts w:ascii="Times New Roman" w:hAnsi="Times New Roman"/>
                <w:spacing w:val="-5"/>
              </w:rPr>
              <w:t>64</w:t>
            </w:r>
          </w:hyperlink>
        </w:p>
        <w:p>
          <w:pPr>
            <w:pStyle w:val="TOC6"/>
            <w:tabs>
              <w:tab w:pos="9230" w:val="left" w:leader="dot"/>
            </w:tabs>
            <w:rPr>
              <w:rFonts w:ascii="Times New Roman" w:hAnsi="Times New Roman"/>
            </w:rPr>
          </w:pPr>
          <w:hyperlink w:history="true" w:anchor="_bookmark40">
            <w:r>
              <w:rPr/>
              <w:t>NOTA N° </w:t>
            </w:r>
            <w:r>
              <w:rPr>
                <w:spacing w:val="-7"/>
              </w:rPr>
              <w:t>10</w:t>
            </w:r>
            <w:r>
              <w:rPr/>
              <w:tab/>
            </w:r>
            <w:r>
              <w:rPr>
                <w:rFonts w:ascii="Times New Roman" w:hAnsi="Times New Roman"/>
                <w:spacing w:val="-5"/>
              </w:rPr>
              <w:t>65</w:t>
            </w:r>
          </w:hyperlink>
        </w:p>
        <w:p>
          <w:pPr>
            <w:pStyle w:val="TOC6"/>
            <w:tabs>
              <w:tab w:pos="9230" w:val="left" w:leader="dot"/>
            </w:tabs>
            <w:spacing w:before="127"/>
            <w:rPr>
              <w:rFonts w:ascii="Times New Roman" w:hAnsi="Times New Roman"/>
            </w:rPr>
          </w:pPr>
          <w:hyperlink w:history="true" w:anchor="_bookmark41">
            <w:r>
              <w:rPr/>
              <w:t>NOTA</w:t>
            </w:r>
            <w:r>
              <w:rPr>
                <w:spacing w:val="-1"/>
              </w:rPr>
              <w:t> </w:t>
            </w:r>
            <w:r>
              <w:rPr/>
              <w:t>N° </w:t>
            </w:r>
            <w:r>
              <w:rPr>
                <w:spacing w:val="-5"/>
              </w:rPr>
              <w:t>11</w:t>
            </w:r>
            <w:r>
              <w:rPr/>
              <w:tab/>
            </w:r>
            <w:r>
              <w:rPr>
                <w:rFonts w:ascii="Times New Roman" w:hAnsi="Times New Roman"/>
                <w:spacing w:val="-5"/>
              </w:rPr>
              <w:t>66</w:t>
            </w:r>
          </w:hyperlink>
        </w:p>
        <w:p>
          <w:pPr>
            <w:pStyle w:val="TOC6"/>
            <w:tabs>
              <w:tab w:pos="9230" w:val="left" w:leader="dot"/>
            </w:tabs>
            <w:rPr>
              <w:rFonts w:ascii="Times New Roman" w:hAnsi="Times New Roman"/>
            </w:rPr>
          </w:pPr>
          <w:hyperlink w:history="true" w:anchor="_bookmark42">
            <w:r>
              <w:rPr/>
              <w:t>NOTA</w:t>
            </w:r>
            <w:r>
              <w:rPr>
                <w:spacing w:val="-1"/>
              </w:rPr>
              <w:t> </w:t>
            </w:r>
            <w:r>
              <w:rPr/>
              <w:t>N° </w:t>
            </w:r>
            <w:r>
              <w:rPr>
                <w:spacing w:val="-5"/>
              </w:rPr>
              <w:t>12</w:t>
            </w:r>
            <w:r>
              <w:rPr/>
              <w:tab/>
            </w:r>
            <w:r>
              <w:rPr>
                <w:rFonts w:ascii="Times New Roman" w:hAnsi="Times New Roman"/>
                <w:spacing w:val="-5"/>
              </w:rPr>
              <w:t>66</w:t>
            </w:r>
          </w:hyperlink>
        </w:p>
        <w:p>
          <w:pPr>
            <w:pStyle w:val="TOC6"/>
            <w:tabs>
              <w:tab w:pos="9230" w:val="left" w:leader="dot"/>
            </w:tabs>
            <w:rPr>
              <w:rFonts w:ascii="Times New Roman" w:hAnsi="Times New Roman"/>
            </w:rPr>
          </w:pPr>
          <w:hyperlink w:history="true" w:anchor="_bookmark43">
            <w:r>
              <w:rPr/>
              <w:t>NOTA</w:t>
            </w:r>
            <w:r>
              <w:rPr>
                <w:spacing w:val="-1"/>
              </w:rPr>
              <w:t> </w:t>
            </w:r>
            <w:r>
              <w:rPr/>
              <w:t>N° </w:t>
            </w:r>
            <w:r>
              <w:rPr>
                <w:spacing w:val="-5"/>
              </w:rPr>
              <w:t>13</w:t>
            </w:r>
            <w:r>
              <w:rPr/>
              <w:tab/>
            </w:r>
            <w:r>
              <w:rPr>
                <w:rFonts w:ascii="Times New Roman" w:hAnsi="Times New Roman"/>
                <w:spacing w:val="-5"/>
              </w:rPr>
              <w:t>70</w:t>
            </w:r>
          </w:hyperlink>
        </w:p>
        <w:p>
          <w:pPr>
            <w:pStyle w:val="TOC4"/>
            <w:numPr>
              <w:ilvl w:val="0"/>
              <w:numId w:val="5"/>
            </w:numPr>
            <w:tabs>
              <w:tab w:pos="1078" w:val="left" w:leader="none"/>
              <w:tab w:pos="9230" w:val="left" w:leader="dot"/>
            </w:tabs>
            <w:spacing w:line="240" w:lineRule="auto" w:before="127" w:after="0"/>
            <w:ind w:left="1078" w:right="0" w:hanging="216"/>
            <w:jc w:val="left"/>
            <w:rPr>
              <w:rFonts w:ascii="Times New Roman"/>
            </w:rPr>
          </w:pPr>
          <w:hyperlink w:history="true" w:anchor="_bookmark44">
            <w:r>
              <w:rPr>
                <w:spacing w:val="-2"/>
              </w:rPr>
              <w:t>PASIVO</w:t>
            </w:r>
            <w:r>
              <w:rPr/>
              <w:tab/>
            </w:r>
            <w:r>
              <w:rPr>
                <w:rFonts w:ascii="Times New Roman"/>
                <w:spacing w:val="-5"/>
              </w:rPr>
              <w:t>71</w:t>
            </w:r>
          </w:hyperlink>
        </w:p>
        <w:p>
          <w:pPr>
            <w:pStyle w:val="TOC4"/>
            <w:numPr>
              <w:ilvl w:val="1"/>
              <w:numId w:val="5"/>
            </w:numPr>
            <w:tabs>
              <w:tab w:pos="1186" w:val="left" w:leader="none"/>
              <w:tab w:pos="9230" w:val="left" w:leader="dot"/>
            </w:tabs>
            <w:spacing w:line="240" w:lineRule="auto" w:before="126" w:after="0"/>
            <w:ind w:left="1186" w:right="0" w:hanging="324"/>
            <w:jc w:val="left"/>
            <w:rPr>
              <w:rFonts w:ascii="Times New Roman"/>
            </w:rPr>
          </w:pPr>
          <w:hyperlink w:history="true" w:anchor="_bookmark45">
            <w:r>
              <w:rPr/>
              <w:t>PASIVO</w:t>
            </w:r>
            <w:r>
              <w:rPr>
                <w:spacing w:val="-5"/>
              </w:rPr>
              <w:t> </w:t>
            </w:r>
            <w:r>
              <w:rPr>
                <w:spacing w:val="-2"/>
              </w:rPr>
              <w:t>CORRIENTE</w:t>
            </w:r>
            <w:r>
              <w:rPr/>
              <w:tab/>
            </w:r>
            <w:r>
              <w:rPr>
                <w:rFonts w:ascii="Times New Roman"/>
                <w:spacing w:val="-5"/>
              </w:rPr>
              <w:t>71</w:t>
            </w:r>
          </w:hyperlink>
        </w:p>
        <w:p>
          <w:pPr>
            <w:pStyle w:val="TOC6"/>
            <w:tabs>
              <w:tab w:pos="9230" w:val="left" w:leader="dot"/>
            </w:tabs>
            <w:spacing w:before="127"/>
            <w:rPr>
              <w:rFonts w:ascii="Times New Roman" w:hAnsi="Times New Roman"/>
            </w:rPr>
          </w:pPr>
          <w:hyperlink w:history="true" w:anchor="_bookmark46">
            <w:r>
              <w:rPr/>
              <w:t>NOTA</w:t>
            </w:r>
            <w:r>
              <w:rPr>
                <w:spacing w:val="-1"/>
              </w:rPr>
              <w:t> </w:t>
            </w:r>
            <w:r>
              <w:rPr/>
              <w:t>N° </w:t>
            </w:r>
            <w:r>
              <w:rPr>
                <w:spacing w:val="-5"/>
              </w:rPr>
              <w:t>14</w:t>
            </w:r>
            <w:r>
              <w:rPr/>
              <w:tab/>
            </w:r>
            <w:r>
              <w:rPr>
                <w:rFonts w:ascii="Times New Roman" w:hAnsi="Times New Roman"/>
                <w:spacing w:val="-5"/>
              </w:rPr>
              <w:t>71</w:t>
            </w:r>
          </w:hyperlink>
        </w:p>
        <w:p>
          <w:pPr>
            <w:pStyle w:val="TOC6"/>
            <w:tabs>
              <w:tab w:pos="9230" w:val="left" w:leader="dot"/>
            </w:tabs>
            <w:rPr>
              <w:rFonts w:ascii="Times New Roman" w:hAnsi="Times New Roman"/>
            </w:rPr>
          </w:pPr>
          <w:hyperlink w:history="true" w:anchor="_bookmark47">
            <w:r>
              <w:rPr/>
              <w:t>NOTA</w:t>
            </w:r>
            <w:r>
              <w:rPr>
                <w:spacing w:val="-1"/>
              </w:rPr>
              <w:t> </w:t>
            </w:r>
            <w:r>
              <w:rPr/>
              <w:t>N° </w:t>
            </w:r>
            <w:r>
              <w:rPr>
                <w:spacing w:val="-5"/>
              </w:rPr>
              <w:t>15</w:t>
            </w:r>
            <w:r>
              <w:rPr/>
              <w:tab/>
            </w:r>
            <w:r>
              <w:rPr>
                <w:rFonts w:ascii="Times New Roman" w:hAnsi="Times New Roman"/>
                <w:spacing w:val="-5"/>
              </w:rPr>
              <w:t>76</w:t>
            </w:r>
          </w:hyperlink>
        </w:p>
        <w:p>
          <w:pPr>
            <w:pStyle w:val="TOC6"/>
            <w:tabs>
              <w:tab w:pos="9230" w:val="left" w:leader="dot"/>
            </w:tabs>
            <w:spacing w:before="127"/>
            <w:rPr>
              <w:rFonts w:ascii="Times New Roman" w:hAnsi="Times New Roman"/>
            </w:rPr>
          </w:pPr>
          <w:hyperlink w:history="true" w:anchor="_bookmark48">
            <w:r>
              <w:rPr/>
              <w:t>NOTA</w:t>
            </w:r>
            <w:r>
              <w:rPr>
                <w:spacing w:val="-1"/>
              </w:rPr>
              <w:t> </w:t>
            </w:r>
            <w:r>
              <w:rPr/>
              <w:t>N° </w:t>
            </w:r>
            <w:r>
              <w:rPr>
                <w:spacing w:val="-5"/>
              </w:rPr>
              <w:t>16</w:t>
            </w:r>
            <w:r>
              <w:rPr/>
              <w:tab/>
            </w:r>
            <w:r>
              <w:rPr>
                <w:rFonts w:ascii="Times New Roman" w:hAnsi="Times New Roman"/>
                <w:spacing w:val="-5"/>
              </w:rPr>
              <w:t>77</w:t>
            </w:r>
          </w:hyperlink>
        </w:p>
        <w:p>
          <w:pPr>
            <w:pStyle w:val="TOC6"/>
            <w:tabs>
              <w:tab w:pos="9230" w:val="left" w:leader="dot"/>
            </w:tabs>
            <w:spacing w:before="129"/>
            <w:rPr>
              <w:rFonts w:ascii="Times New Roman" w:hAnsi="Times New Roman"/>
            </w:rPr>
          </w:pPr>
          <w:hyperlink w:history="true" w:anchor="_bookmark49">
            <w:r>
              <w:rPr/>
              <w:t>NOTA</w:t>
            </w:r>
            <w:r>
              <w:rPr>
                <w:spacing w:val="-1"/>
              </w:rPr>
              <w:t> </w:t>
            </w:r>
            <w:r>
              <w:rPr/>
              <w:t>N° </w:t>
            </w:r>
            <w:r>
              <w:rPr>
                <w:spacing w:val="-5"/>
              </w:rPr>
              <w:t>17</w:t>
            </w:r>
            <w:r>
              <w:rPr/>
              <w:tab/>
            </w:r>
            <w:r>
              <w:rPr>
                <w:rFonts w:ascii="Times New Roman" w:hAnsi="Times New Roman"/>
                <w:spacing w:val="-5"/>
              </w:rPr>
              <w:t>79</w:t>
            </w:r>
          </w:hyperlink>
        </w:p>
        <w:p>
          <w:pPr>
            <w:pStyle w:val="TOC7"/>
            <w:tabs>
              <w:tab w:pos="9230" w:val="left" w:leader="dot"/>
            </w:tabs>
            <w:rPr>
              <w:rFonts w:ascii="Times New Roman" w:hAnsi="Times New Roman"/>
              <w:i w:val="0"/>
              <w:sz w:val="22"/>
            </w:rPr>
          </w:pPr>
          <w:hyperlink w:history="true" w:anchor="_bookmark50">
            <w:r>
              <w:rPr>
                <w:i w:val="0"/>
                <w:spacing w:val="-4"/>
                <w:sz w:val="22"/>
              </w:rPr>
              <w:t>Revelación</w:t>
            </w:r>
            <w:r>
              <w:rPr>
                <w:i w:val="0"/>
                <w:sz w:val="22"/>
              </w:rPr>
              <w:t> </w:t>
            </w:r>
            <w:r>
              <w:rPr>
                <w:i w:val="0"/>
                <w:spacing w:val="-4"/>
                <w:sz w:val="22"/>
              </w:rPr>
              <w:t>NICSP19</w:t>
            </w:r>
            <w:r>
              <w:rPr>
                <w:i w:val="0"/>
                <w:spacing w:val="4"/>
                <w:sz w:val="22"/>
              </w:rPr>
              <w:t> </w:t>
            </w:r>
            <w:r>
              <w:rPr>
                <w:spacing w:val="-4"/>
                <w:sz w:val="23"/>
              </w:rPr>
              <w:t>Provisiones,</w:t>
            </w:r>
            <w:r>
              <w:rPr>
                <w:sz w:val="23"/>
              </w:rPr>
              <w:t> </w:t>
            </w:r>
            <w:r>
              <w:rPr>
                <w:spacing w:val="-4"/>
                <w:sz w:val="23"/>
              </w:rPr>
              <w:t>Pasivos</w:t>
            </w:r>
            <w:r>
              <w:rPr>
                <w:spacing w:val="1"/>
                <w:sz w:val="23"/>
              </w:rPr>
              <w:t> </w:t>
            </w:r>
            <w:r>
              <w:rPr>
                <w:spacing w:val="-4"/>
                <w:sz w:val="23"/>
              </w:rPr>
              <w:t>contingentes</w:t>
            </w:r>
            <w:r>
              <w:rPr>
                <w:spacing w:val="-2"/>
                <w:sz w:val="23"/>
              </w:rPr>
              <w:t> </w:t>
            </w:r>
            <w:r>
              <w:rPr>
                <w:spacing w:val="-4"/>
                <w:sz w:val="23"/>
              </w:rPr>
              <w:t>y</w:t>
            </w:r>
            <w:r>
              <w:rPr>
                <w:spacing w:val="-1"/>
                <w:sz w:val="23"/>
              </w:rPr>
              <w:t> </w:t>
            </w:r>
            <w:r>
              <w:rPr>
                <w:spacing w:val="-4"/>
                <w:sz w:val="23"/>
              </w:rPr>
              <w:t>Activos</w:t>
            </w:r>
            <w:r>
              <w:rPr>
                <w:spacing w:val="1"/>
                <w:sz w:val="23"/>
              </w:rPr>
              <w:t> </w:t>
            </w:r>
            <w:r>
              <w:rPr>
                <w:spacing w:val="-4"/>
                <w:sz w:val="23"/>
              </w:rPr>
              <w:t>Contingentes</w:t>
            </w:r>
            <w:r>
              <w:rPr>
                <w:sz w:val="23"/>
              </w:rPr>
              <w:tab/>
            </w:r>
            <w:r>
              <w:rPr>
                <w:rFonts w:ascii="Times New Roman" w:hAnsi="Times New Roman"/>
                <w:i w:val="0"/>
                <w:spacing w:val="-5"/>
                <w:sz w:val="22"/>
              </w:rPr>
              <w:t>80</w:t>
            </w:r>
          </w:hyperlink>
        </w:p>
        <w:p>
          <w:pPr>
            <w:pStyle w:val="TOC6"/>
            <w:tabs>
              <w:tab w:pos="9230" w:val="left" w:leader="dot"/>
            </w:tabs>
            <w:spacing w:before="124"/>
            <w:rPr>
              <w:rFonts w:ascii="Times New Roman" w:hAnsi="Times New Roman"/>
            </w:rPr>
          </w:pPr>
          <w:hyperlink w:history="true" w:anchor="_bookmark51">
            <w:r>
              <w:rPr/>
              <w:t>NOTA</w:t>
            </w:r>
            <w:r>
              <w:rPr>
                <w:spacing w:val="-1"/>
              </w:rPr>
              <w:t> </w:t>
            </w:r>
            <w:r>
              <w:rPr/>
              <w:t>N° </w:t>
            </w:r>
            <w:r>
              <w:rPr>
                <w:spacing w:val="-5"/>
              </w:rPr>
              <w:t>18</w:t>
            </w:r>
            <w:r>
              <w:rPr/>
              <w:tab/>
            </w:r>
            <w:r>
              <w:rPr>
                <w:rFonts w:ascii="Times New Roman" w:hAnsi="Times New Roman"/>
                <w:spacing w:val="-5"/>
              </w:rPr>
              <w:t>86</w:t>
            </w:r>
          </w:hyperlink>
        </w:p>
        <w:p>
          <w:pPr>
            <w:pStyle w:val="TOC4"/>
            <w:numPr>
              <w:ilvl w:val="1"/>
              <w:numId w:val="5"/>
            </w:numPr>
            <w:tabs>
              <w:tab w:pos="1185" w:val="left" w:leader="none"/>
              <w:tab w:pos="9230" w:val="left" w:leader="dot"/>
            </w:tabs>
            <w:spacing w:line="240" w:lineRule="auto" w:before="126" w:after="0"/>
            <w:ind w:left="1185" w:right="0" w:hanging="323"/>
            <w:jc w:val="left"/>
            <w:rPr>
              <w:rFonts w:ascii="Times New Roman"/>
            </w:rPr>
          </w:pPr>
          <w:hyperlink w:history="true" w:anchor="_bookmark52">
            <w:r>
              <w:rPr/>
              <w:t>PASIVO</w:t>
            </w:r>
            <w:r>
              <w:rPr>
                <w:spacing w:val="-4"/>
              </w:rPr>
              <w:t> </w:t>
            </w:r>
            <w:r>
              <w:rPr/>
              <w:t>NO</w:t>
            </w:r>
            <w:r>
              <w:rPr>
                <w:spacing w:val="-5"/>
              </w:rPr>
              <w:t> </w:t>
            </w:r>
            <w:r>
              <w:rPr>
                <w:spacing w:val="-2"/>
              </w:rPr>
              <w:t>CORRIENTE</w:t>
            </w:r>
            <w:r>
              <w:rPr/>
              <w:tab/>
            </w:r>
            <w:r>
              <w:rPr>
                <w:rFonts w:ascii="Times New Roman"/>
                <w:spacing w:val="-5"/>
              </w:rPr>
              <w:t>86</w:t>
            </w:r>
          </w:hyperlink>
        </w:p>
      </w:sdtContent>
    </w:sdt>
    <w:p>
      <w:pPr>
        <w:pStyle w:val="TOC4"/>
        <w:spacing w:after="0" w:line="240" w:lineRule="auto"/>
        <w:jc w:val="left"/>
        <w:rPr>
          <w:rFonts w:ascii="Times New Roman"/>
        </w:rPr>
        <w:sectPr>
          <w:type w:val="continuous"/>
          <w:pgSz w:w="12240" w:h="15840"/>
          <w:pgMar w:top="1720" w:bottom="2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10"/>
          <w:sz w:val="20"/>
        </w:rPr>
        <w:t>4</w:t>
      </w:r>
    </w:p>
    <w:p>
      <w:pPr>
        <w:pStyle w:val="Heading5"/>
        <w:tabs>
          <w:tab w:pos="8349" w:val="right" w:leader="dot"/>
        </w:tabs>
        <w:spacing w:before="508"/>
        <w:ind w:left="0"/>
        <w:rPr>
          <w:rFonts w:ascii="Times New Roman" w:hAnsi="Times New Roman"/>
        </w:rPr>
      </w:pPr>
      <w:r>
        <w:rPr>
          <w:b w:val="0"/>
        </w:rPr>
        <w:br w:type="column"/>
      </w:r>
      <w:hyperlink w:history="true" w:anchor="_bookmark53">
        <w:r>
          <w:rPr/>
          <w:t>NOTA</w:t>
        </w:r>
        <w:r>
          <w:rPr>
            <w:spacing w:val="-1"/>
          </w:rPr>
          <w:t> </w:t>
        </w:r>
        <w:r>
          <w:rPr/>
          <w:t>N° </w:t>
        </w:r>
        <w:r>
          <w:rPr>
            <w:spacing w:val="-5"/>
          </w:rPr>
          <w:t>19</w:t>
        </w:r>
        <w:r>
          <w:rPr/>
          <w:tab/>
        </w:r>
        <w:r>
          <w:rPr>
            <w:rFonts w:ascii="Times New Roman" w:hAnsi="Times New Roman"/>
            <w:spacing w:val="-5"/>
          </w:rPr>
          <w:t>86</w:t>
        </w:r>
      </w:hyperlink>
    </w:p>
    <w:p>
      <w:pPr>
        <w:pStyle w:val="Heading5"/>
        <w:tabs>
          <w:tab w:pos="8349" w:val="right" w:leader="dot"/>
        </w:tabs>
        <w:spacing w:before="127"/>
        <w:ind w:left="0"/>
        <w:rPr>
          <w:rFonts w:ascii="Times New Roman" w:hAnsi="Times New Roman"/>
        </w:rPr>
      </w:pPr>
      <w:hyperlink w:history="true" w:anchor="_bookmark54">
        <w:r>
          <w:rPr/>
          <w:t>NOTA</w:t>
        </w:r>
        <w:r>
          <w:rPr>
            <w:spacing w:val="-1"/>
          </w:rPr>
          <w:t> </w:t>
        </w:r>
        <w:r>
          <w:rPr/>
          <w:t>N° </w:t>
        </w:r>
        <w:r>
          <w:rPr>
            <w:spacing w:val="-5"/>
          </w:rPr>
          <w:t>20</w:t>
        </w:r>
        <w:r>
          <w:rPr/>
          <w:tab/>
        </w:r>
        <w:r>
          <w:rPr>
            <w:rFonts w:ascii="Times New Roman" w:hAnsi="Times New Roman"/>
            <w:spacing w:val="-5"/>
          </w:rPr>
          <w:t>87</w:t>
        </w:r>
      </w:hyperlink>
    </w:p>
    <w:p>
      <w:pPr>
        <w:pStyle w:val="Heading5"/>
        <w:tabs>
          <w:tab w:pos="8349" w:val="right" w:leader="dot"/>
        </w:tabs>
        <w:spacing w:before="126"/>
        <w:ind w:left="0"/>
        <w:rPr>
          <w:rFonts w:ascii="Times New Roman" w:hAnsi="Times New Roman"/>
        </w:rPr>
      </w:pPr>
      <w:hyperlink w:history="true" w:anchor="_bookmark55">
        <w:r>
          <w:rPr/>
          <w:t>NOTA</w:t>
        </w:r>
        <w:r>
          <w:rPr>
            <w:spacing w:val="-1"/>
          </w:rPr>
          <w:t> </w:t>
        </w:r>
        <w:r>
          <w:rPr/>
          <w:t>N° </w:t>
        </w:r>
        <w:r>
          <w:rPr>
            <w:spacing w:val="-5"/>
          </w:rPr>
          <w:t>21</w:t>
        </w:r>
        <w:r>
          <w:rPr/>
          <w:tab/>
        </w:r>
        <w:r>
          <w:rPr>
            <w:rFonts w:ascii="Times New Roman" w:hAnsi="Times New Roman"/>
            <w:spacing w:val="-5"/>
          </w:rPr>
          <w:t>87</w:t>
        </w:r>
      </w:hyperlink>
    </w:p>
    <w:p>
      <w:pPr>
        <w:pStyle w:val="Heading5"/>
        <w:tabs>
          <w:tab w:pos="8349" w:val="right" w:leader="dot"/>
        </w:tabs>
        <w:spacing w:before="126"/>
        <w:ind w:left="0"/>
        <w:rPr>
          <w:rFonts w:ascii="Times New Roman" w:hAnsi="Times New Roman"/>
        </w:rPr>
      </w:pPr>
      <w:hyperlink w:history="true" w:anchor="_bookmark56">
        <w:r>
          <w:rPr/>
          <w:t>NOTA</w:t>
        </w:r>
        <w:r>
          <w:rPr>
            <w:spacing w:val="-1"/>
          </w:rPr>
          <w:t> </w:t>
        </w:r>
        <w:r>
          <w:rPr/>
          <w:t>N° </w:t>
        </w:r>
        <w:r>
          <w:rPr>
            <w:spacing w:val="-5"/>
          </w:rPr>
          <w:t>22</w:t>
        </w:r>
        <w:r>
          <w:rPr/>
          <w:tab/>
        </w:r>
        <w:r>
          <w:rPr>
            <w:rFonts w:ascii="Times New Roman" w:hAnsi="Times New Roman"/>
            <w:spacing w:val="-5"/>
          </w:rPr>
          <w:t>88</w:t>
        </w:r>
      </w:hyperlink>
    </w:p>
    <w:p>
      <w:pPr>
        <w:pStyle w:val="Heading5"/>
        <w:tabs>
          <w:tab w:pos="8349" w:val="right" w:leader="dot"/>
        </w:tabs>
        <w:spacing w:before="127"/>
        <w:ind w:left="0"/>
        <w:rPr>
          <w:rFonts w:ascii="Times New Roman" w:hAnsi="Times New Roman"/>
        </w:rPr>
      </w:pPr>
      <w:hyperlink w:history="true" w:anchor="_bookmark57">
        <w:r>
          <w:rPr/>
          <w:t>NOTA</w:t>
        </w:r>
        <w:r>
          <w:rPr>
            <w:spacing w:val="-1"/>
          </w:rPr>
          <w:t> </w:t>
        </w:r>
        <w:r>
          <w:rPr/>
          <w:t>N° </w:t>
        </w:r>
        <w:r>
          <w:rPr>
            <w:spacing w:val="-5"/>
          </w:rPr>
          <w:t>23</w:t>
        </w:r>
        <w:r>
          <w:rPr/>
          <w:tab/>
        </w:r>
        <w:r>
          <w:rPr>
            <w:rFonts w:ascii="Times New Roman" w:hAnsi="Times New Roman"/>
            <w:spacing w:val="-5"/>
          </w:rPr>
          <w:t>89</w:t>
        </w:r>
      </w:hyperlink>
    </w:p>
    <w:p>
      <w:pPr>
        <w:pStyle w:val="Heading5"/>
        <w:spacing w:after="0"/>
        <w:rPr>
          <w:rFonts w:ascii="Times New Roman" w:hAnsi="Times New Roman"/>
        </w:rPr>
        <w:sectPr>
          <w:pgSz w:w="12240" w:h="15840"/>
          <w:pgMar w:top="1720" w:bottom="280" w:left="1080" w:right="720"/>
          <w:cols w:num="2" w:equalWidth="0">
            <w:col w:w="1100" w:space="2"/>
            <w:col w:w="9338"/>
          </w:cols>
        </w:sectPr>
      </w:pPr>
    </w:p>
    <w:p>
      <w:pPr>
        <w:pStyle w:val="Heading5"/>
        <w:numPr>
          <w:ilvl w:val="0"/>
          <w:numId w:val="5"/>
        </w:numPr>
        <w:tabs>
          <w:tab w:pos="1078" w:val="left" w:leader="none"/>
          <w:tab w:pos="9230" w:val="left" w:leader="dot"/>
        </w:tabs>
        <w:spacing w:line="240" w:lineRule="auto" w:before="129" w:after="0"/>
        <w:ind w:left="1078" w:right="0" w:hanging="216"/>
        <w:jc w:val="left"/>
        <w:rPr>
          <w:rFonts w:ascii="Times New Roman"/>
        </w:rPr>
      </w:pPr>
      <w:r>
        <w:rPr>
          <w:rFonts w:ascii="Times New Roman"/>
        </w:rPr>
        <mc:AlternateContent>
          <mc:Choice Requires="wps">
            <w:drawing>
              <wp:anchor distT="0" distB="0" distL="0" distR="0" allowOverlap="1" layoutInCell="1" locked="0" behindDoc="1" simplePos="0" relativeHeight="473526272">
                <wp:simplePos x="0" y="0"/>
                <wp:positionH relativeFrom="page">
                  <wp:posOffset>9525</wp:posOffset>
                </wp:positionH>
                <wp:positionV relativeFrom="page">
                  <wp:posOffset>297208</wp:posOffset>
                </wp:positionV>
                <wp:extent cx="7762875" cy="974852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762875" cy="9748520"/>
                          <a:chExt cx="7762875" cy="9748520"/>
                        </a:xfrm>
                      </wpg:grpSpPr>
                      <pic:pic>
                        <pic:nvPicPr>
                          <pic:cNvPr id="9" name="Image 9"/>
                          <pic:cNvPicPr/>
                        </pic:nvPicPr>
                        <pic:blipFill>
                          <a:blip r:embed="rId5" cstate="print"/>
                          <a:stretch>
                            <a:fillRect/>
                          </a:stretch>
                        </pic:blipFill>
                        <pic:spPr>
                          <a:xfrm>
                            <a:off x="0" y="0"/>
                            <a:ext cx="7762874" cy="9748489"/>
                          </a:xfrm>
                          <a:prstGeom prst="rect">
                            <a:avLst/>
                          </a:prstGeom>
                        </pic:spPr>
                      </pic:pic>
                      <wps:wsp>
                        <wps:cNvPr id="10" name="Graphic 1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90208" id="docshapegroup7" coordorigin="15,468" coordsize="12225,15352">
                <v:shape style="position:absolute;left:15;top:468;width:12225;height:15352" type="#_x0000_t75" id="docshape8" stroked="false">
                  <v:imagedata r:id="rId5" o:title=""/>
                </v:shape>
                <v:rect style="position:absolute;left:1673;top:2028;width:8897;height:15" id="docshape9" filled="true" fillcolor="#000000" stroked="false">
                  <v:fill type="solid"/>
                </v:rect>
                <w10:wrap type="none"/>
              </v:group>
            </w:pict>
          </mc:Fallback>
        </mc:AlternateContent>
      </w:r>
      <w:hyperlink w:history="true" w:anchor="_bookmark58">
        <w:r>
          <w:rPr>
            <w:spacing w:val="-2"/>
          </w:rPr>
          <w:t>PATRIMONIO</w:t>
        </w:r>
        <w:r>
          <w:rPr/>
          <w:tab/>
        </w:r>
        <w:r>
          <w:rPr>
            <w:rFonts w:ascii="Times New Roman"/>
            <w:spacing w:val="-5"/>
          </w:rPr>
          <w:t>90</w:t>
        </w:r>
      </w:hyperlink>
    </w:p>
    <w:p>
      <w:pPr>
        <w:pStyle w:val="Heading5"/>
        <w:numPr>
          <w:ilvl w:val="1"/>
          <w:numId w:val="5"/>
        </w:numPr>
        <w:tabs>
          <w:tab w:pos="1186" w:val="left" w:leader="none"/>
          <w:tab w:pos="9230" w:val="left" w:leader="dot"/>
        </w:tabs>
        <w:spacing w:line="240" w:lineRule="auto" w:before="126" w:after="0"/>
        <w:ind w:left="1186" w:right="0" w:hanging="324"/>
        <w:jc w:val="left"/>
        <w:rPr>
          <w:rFonts w:ascii="Times New Roman"/>
        </w:rPr>
      </w:pPr>
      <w:hyperlink w:history="true" w:anchor="_bookmark59">
        <w:r>
          <w:rPr/>
          <w:t>PATRIMONIO</w:t>
        </w:r>
        <w:r>
          <w:rPr>
            <w:spacing w:val="-7"/>
          </w:rPr>
          <w:t> </w:t>
        </w:r>
        <w:r>
          <w:rPr>
            <w:spacing w:val="-2"/>
          </w:rPr>
          <w:t>PUBLICO</w:t>
        </w:r>
        <w:r>
          <w:rPr/>
          <w:tab/>
        </w:r>
        <w:r>
          <w:rPr>
            <w:rFonts w:ascii="Times New Roman"/>
            <w:spacing w:val="-7"/>
          </w:rPr>
          <w:t>90</w:t>
        </w:r>
      </w:hyperlink>
    </w:p>
    <w:p>
      <w:pPr>
        <w:pStyle w:val="Heading5"/>
        <w:tabs>
          <w:tab w:pos="9230" w:val="left" w:leader="dot"/>
        </w:tabs>
        <w:spacing w:before="127"/>
        <w:ind w:left="1101"/>
        <w:rPr>
          <w:rFonts w:ascii="Times New Roman" w:hAnsi="Times New Roman"/>
        </w:rPr>
      </w:pPr>
      <w:hyperlink w:history="true" w:anchor="_bookmark60">
        <w:r>
          <w:rPr/>
          <w:t>NOTA</w:t>
        </w:r>
        <w:r>
          <w:rPr>
            <w:spacing w:val="-1"/>
          </w:rPr>
          <w:t> </w:t>
        </w:r>
        <w:r>
          <w:rPr/>
          <w:t>N° </w:t>
        </w:r>
        <w:r>
          <w:rPr>
            <w:spacing w:val="-5"/>
          </w:rPr>
          <w:t>24</w:t>
        </w:r>
        <w:r>
          <w:rPr/>
          <w:tab/>
        </w:r>
        <w:r>
          <w:rPr>
            <w:rFonts w:ascii="Times New Roman" w:hAnsi="Times New Roman"/>
            <w:spacing w:val="-5"/>
          </w:rPr>
          <w:t>90</w:t>
        </w:r>
      </w:hyperlink>
    </w:p>
    <w:p>
      <w:pPr>
        <w:pStyle w:val="Heading5"/>
        <w:tabs>
          <w:tab w:pos="9230" w:val="left" w:leader="dot"/>
        </w:tabs>
        <w:spacing w:before="126"/>
        <w:ind w:left="1101"/>
        <w:rPr>
          <w:rFonts w:ascii="Times New Roman" w:hAnsi="Times New Roman"/>
        </w:rPr>
      </w:pPr>
      <w:hyperlink w:history="true" w:anchor="_bookmark61">
        <w:r>
          <w:rPr/>
          <w:t>NOTA</w:t>
        </w:r>
        <w:r>
          <w:rPr>
            <w:spacing w:val="-1"/>
          </w:rPr>
          <w:t> </w:t>
        </w:r>
        <w:r>
          <w:rPr/>
          <w:t>N° </w:t>
        </w:r>
        <w:r>
          <w:rPr>
            <w:spacing w:val="-5"/>
          </w:rPr>
          <w:t>25</w:t>
        </w:r>
        <w:r>
          <w:rPr/>
          <w:tab/>
        </w:r>
        <w:r>
          <w:rPr>
            <w:rFonts w:ascii="Times New Roman" w:hAnsi="Times New Roman"/>
            <w:spacing w:val="-5"/>
          </w:rPr>
          <w:t>90</w:t>
        </w:r>
      </w:hyperlink>
    </w:p>
    <w:p>
      <w:pPr>
        <w:pStyle w:val="Heading5"/>
        <w:tabs>
          <w:tab w:pos="9230" w:val="left" w:leader="dot"/>
        </w:tabs>
        <w:spacing w:before="127"/>
        <w:ind w:left="1101"/>
        <w:rPr>
          <w:rFonts w:ascii="Times New Roman" w:hAnsi="Times New Roman"/>
        </w:rPr>
      </w:pPr>
      <w:hyperlink w:history="true" w:anchor="_bookmark62">
        <w:r>
          <w:rPr/>
          <w:t>NOTA</w:t>
        </w:r>
        <w:r>
          <w:rPr>
            <w:spacing w:val="-1"/>
          </w:rPr>
          <w:t> </w:t>
        </w:r>
        <w:r>
          <w:rPr/>
          <w:t>N° </w:t>
        </w:r>
        <w:r>
          <w:rPr>
            <w:spacing w:val="-5"/>
          </w:rPr>
          <w:t>26</w:t>
        </w:r>
        <w:r>
          <w:rPr/>
          <w:tab/>
        </w:r>
        <w:r>
          <w:rPr>
            <w:rFonts w:ascii="Times New Roman" w:hAnsi="Times New Roman"/>
            <w:spacing w:val="-5"/>
          </w:rPr>
          <w:t>90</w:t>
        </w:r>
      </w:hyperlink>
    </w:p>
    <w:p>
      <w:pPr>
        <w:pStyle w:val="Heading5"/>
        <w:tabs>
          <w:tab w:pos="9230" w:val="left" w:leader="dot"/>
        </w:tabs>
        <w:spacing w:before="126"/>
        <w:ind w:left="1101"/>
        <w:rPr>
          <w:rFonts w:ascii="Times New Roman" w:hAnsi="Times New Roman"/>
        </w:rPr>
      </w:pPr>
      <w:hyperlink w:history="true" w:anchor="_bookmark63">
        <w:r>
          <w:rPr/>
          <w:t>NOTA</w:t>
        </w:r>
        <w:r>
          <w:rPr>
            <w:spacing w:val="-1"/>
          </w:rPr>
          <w:t> </w:t>
        </w:r>
        <w:r>
          <w:rPr/>
          <w:t>N° </w:t>
        </w:r>
        <w:r>
          <w:rPr>
            <w:spacing w:val="-5"/>
          </w:rPr>
          <w:t>27</w:t>
        </w:r>
        <w:r>
          <w:rPr/>
          <w:tab/>
        </w:r>
        <w:r>
          <w:rPr>
            <w:rFonts w:ascii="Times New Roman" w:hAnsi="Times New Roman"/>
            <w:spacing w:val="-5"/>
          </w:rPr>
          <w:t>91</w:t>
        </w:r>
      </w:hyperlink>
    </w:p>
    <w:p>
      <w:pPr>
        <w:pStyle w:val="Heading5"/>
        <w:tabs>
          <w:tab w:pos="9230" w:val="left" w:leader="dot"/>
        </w:tabs>
        <w:spacing w:before="126"/>
        <w:ind w:left="1101"/>
        <w:rPr>
          <w:rFonts w:ascii="Times New Roman" w:hAnsi="Times New Roman"/>
        </w:rPr>
      </w:pPr>
      <w:hyperlink w:history="true" w:anchor="_bookmark64">
        <w:r>
          <w:rPr/>
          <w:t>NOTA</w:t>
        </w:r>
        <w:r>
          <w:rPr>
            <w:spacing w:val="-1"/>
          </w:rPr>
          <w:t> </w:t>
        </w:r>
        <w:r>
          <w:rPr/>
          <w:t>N° </w:t>
        </w:r>
        <w:r>
          <w:rPr>
            <w:spacing w:val="-5"/>
          </w:rPr>
          <w:t>28</w:t>
        </w:r>
        <w:r>
          <w:rPr/>
          <w:tab/>
        </w:r>
        <w:r>
          <w:rPr>
            <w:rFonts w:ascii="Times New Roman" w:hAnsi="Times New Roman"/>
            <w:spacing w:val="-5"/>
          </w:rPr>
          <w:t>91</w:t>
        </w:r>
      </w:hyperlink>
    </w:p>
    <w:p>
      <w:pPr>
        <w:pStyle w:val="Heading5"/>
        <w:tabs>
          <w:tab w:pos="9230" w:val="left" w:leader="dot"/>
        </w:tabs>
        <w:spacing w:before="127"/>
        <w:ind w:left="1101"/>
        <w:rPr>
          <w:rFonts w:ascii="Times New Roman" w:hAnsi="Times New Roman"/>
        </w:rPr>
      </w:pPr>
      <w:hyperlink w:history="true" w:anchor="_bookmark65">
        <w:r>
          <w:rPr/>
          <w:t>NOTA</w:t>
        </w:r>
        <w:r>
          <w:rPr>
            <w:spacing w:val="-1"/>
          </w:rPr>
          <w:t> </w:t>
        </w:r>
        <w:r>
          <w:rPr/>
          <w:t>N° </w:t>
        </w:r>
        <w:r>
          <w:rPr>
            <w:spacing w:val="-5"/>
          </w:rPr>
          <w:t>29</w:t>
        </w:r>
        <w:r>
          <w:rPr/>
          <w:tab/>
        </w:r>
        <w:r>
          <w:rPr>
            <w:rFonts w:ascii="Times New Roman" w:hAnsi="Times New Roman"/>
            <w:spacing w:val="-5"/>
          </w:rPr>
          <w:t>93</w:t>
        </w:r>
      </w:hyperlink>
    </w:p>
    <w:p>
      <w:pPr>
        <w:pStyle w:val="Heading5"/>
        <w:tabs>
          <w:tab w:pos="9230" w:val="left" w:leader="dot"/>
        </w:tabs>
        <w:spacing w:before="126"/>
        <w:ind w:left="1101"/>
        <w:rPr>
          <w:rFonts w:ascii="Times New Roman" w:hAnsi="Times New Roman"/>
        </w:rPr>
      </w:pPr>
      <w:hyperlink w:history="true" w:anchor="_bookmark66">
        <w:r>
          <w:rPr/>
          <w:t>NOTA</w:t>
        </w:r>
        <w:r>
          <w:rPr>
            <w:spacing w:val="-1"/>
          </w:rPr>
          <w:t> </w:t>
        </w:r>
        <w:r>
          <w:rPr/>
          <w:t>N° </w:t>
        </w:r>
        <w:r>
          <w:rPr>
            <w:spacing w:val="-5"/>
          </w:rPr>
          <w:t>30</w:t>
        </w:r>
        <w:r>
          <w:rPr/>
          <w:tab/>
        </w:r>
        <w:r>
          <w:rPr>
            <w:rFonts w:ascii="Times New Roman" w:hAnsi="Times New Roman"/>
            <w:spacing w:val="-5"/>
          </w:rPr>
          <w:t>94</w:t>
        </w:r>
      </w:hyperlink>
    </w:p>
    <w:p>
      <w:pPr>
        <w:pStyle w:val="Heading5"/>
        <w:tabs>
          <w:tab w:pos="9230" w:val="left" w:leader="dot"/>
        </w:tabs>
        <w:spacing w:before="366"/>
        <w:rPr>
          <w:rFonts w:ascii="Times New Roman"/>
        </w:rPr>
      </w:pPr>
      <w:hyperlink w:history="true" w:anchor="_bookmark67">
        <w:r>
          <w:rPr/>
          <w:t>NOTAS</w:t>
        </w:r>
        <w:r>
          <w:rPr>
            <w:spacing w:val="-6"/>
          </w:rPr>
          <w:t> </w:t>
        </w:r>
        <w:r>
          <w:rPr/>
          <w:t>EXPLICATIVAS</w:t>
        </w:r>
        <w:r>
          <w:rPr>
            <w:spacing w:val="-5"/>
          </w:rPr>
          <w:t> </w:t>
        </w:r>
        <w:r>
          <w:rPr/>
          <w:t>AL</w:t>
        </w:r>
        <w:r>
          <w:rPr>
            <w:spacing w:val="-4"/>
          </w:rPr>
          <w:t> </w:t>
        </w:r>
        <w:r>
          <w:rPr/>
          <w:t>ESTADO</w:t>
        </w:r>
        <w:r>
          <w:rPr>
            <w:spacing w:val="-4"/>
          </w:rPr>
          <w:t> </w:t>
        </w:r>
        <w:r>
          <w:rPr/>
          <w:t>DE</w:t>
        </w:r>
        <w:r>
          <w:rPr>
            <w:spacing w:val="-8"/>
          </w:rPr>
          <w:t> </w:t>
        </w:r>
        <w:r>
          <w:rPr/>
          <w:t>RENDIMIENTO</w:t>
        </w:r>
        <w:r>
          <w:rPr>
            <w:spacing w:val="-4"/>
          </w:rPr>
          <w:t> </w:t>
        </w:r>
        <w:r>
          <w:rPr>
            <w:spacing w:val="-2"/>
          </w:rPr>
          <w:t>FINANCIERO</w:t>
        </w:r>
        <w:r>
          <w:rPr/>
          <w:tab/>
        </w:r>
        <w:r>
          <w:rPr>
            <w:rFonts w:ascii="Times New Roman"/>
            <w:spacing w:val="-5"/>
          </w:rPr>
          <w:t>95</w:t>
        </w:r>
      </w:hyperlink>
    </w:p>
    <w:p>
      <w:pPr>
        <w:pStyle w:val="Heading5"/>
        <w:numPr>
          <w:ilvl w:val="0"/>
          <w:numId w:val="5"/>
        </w:numPr>
        <w:tabs>
          <w:tab w:pos="1078" w:val="left" w:leader="none"/>
          <w:tab w:pos="9230" w:val="left" w:leader="dot"/>
        </w:tabs>
        <w:spacing w:line="240" w:lineRule="auto" w:before="127" w:after="0"/>
        <w:ind w:left="1078" w:right="0" w:hanging="216"/>
        <w:jc w:val="left"/>
        <w:rPr>
          <w:rFonts w:ascii="Times New Roman"/>
        </w:rPr>
      </w:pPr>
      <w:hyperlink w:history="true" w:anchor="_bookmark68">
        <w:r>
          <w:rPr>
            <w:spacing w:val="-2"/>
          </w:rPr>
          <w:t>INGRESOS</w:t>
        </w:r>
        <w:r>
          <w:rPr/>
          <w:tab/>
        </w:r>
        <w:r>
          <w:rPr>
            <w:rFonts w:ascii="Times New Roman"/>
            <w:spacing w:val="-5"/>
          </w:rPr>
          <w:t>95</w:t>
        </w:r>
      </w:hyperlink>
    </w:p>
    <w:p>
      <w:pPr>
        <w:pStyle w:val="Heading5"/>
        <w:numPr>
          <w:ilvl w:val="1"/>
          <w:numId w:val="5"/>
        </w:numPr>
        <w:tabs>
          <w:tab w:pos="1186" w:val="left" w:leader="none"/>
          <w:tab w:pos="9230" w:val="left" w:leader="dot"/>
        </w:tabs>
        <w:spacing w:line="240" w:lineRule="auto" w:before="127" w:after="0"/>
        <w:ind w:left="1186" w:right="0" w:hanging="324"/>
        <w:jc w:val="left"/>
        <w:rPr>
          <w:rFonts w:ascii="Times New Roman"/>
        </w:rPr>
      </w:pPr>
      <w:hyperlink w:history="true" w:anchor="_bookmark69">
        <w:r>
          <w:rPr>
            <w:spacing w:val="-2"/>
          </w:rPr>
          <w:t>IMPUESTOS</w:t>
        </w:r>
        <w:r>
          <w:rPr/>
          <w:tab/>
        </w:r>
        <w:r>
          <w:rPr>
            <w:rFonts w:ascii="Times New Roman"/>
            <w:spacing w:val="-5"/>
          </w:rPr>
          <w:t>95</w:t>
        </w:r>
      </w:hyperlink>
    </w:p>
    <w:p>
      <w:pPr>
        <w:pStyle w:val="Heading5"/>
        <w:tabs>
          <w:tab w:pos="9230" w:val="left" w:leader="dot"/>
        </w:tabs>
        <w:spacing w:before="126"/>
        <w:ind w:left="1101"/>
        <w:rPr>
          <w:rFonts w:ascii="Times New Roman" w:hAnsi="Times New Roman"/>
        </w:rPr>
      </w:pPr>
      <w:hyperlink w:history="true" w:anchor="_bookmark70">
        <w:r>
          <w:rPr/>
          <w:t>NOTA</w:t>
        </w:r>
        <w:r>
          <w:rPr>
            <w:spacing w:val="-1"/>
          </w:rPr>
          <w:t> </w:t>
        </w:r>
        <w:r>
          <w:rPr/>
          <w:t>N° </w:t>
        </w:r>
        <w:r>
          <w:rPr>
            <w:spacing w:val="-5"/>
          </w:rPr>
          <w:t>31</w:t>
        </w:r>
        <w:r>
          <w:rPr/>
          <w:tab/>
        </w:r>
        <w:r>
          <w:rPr>
            <w:rFonts w:ascii="Times New Roman" w:hAnsi="Times New Roman"/>
            <w:spacing w:val="-5"/>
          </w:rPr>
          <w:t>95</w:t>
        </w:r>
      </w:hyperlink>
    </w:p>
    <w:p>
      <w:pPr>
        <w:pStyle w:val="Heading5"/>
        <w:tabs>
          <w:tab w:pos="9230" w:val="left" w:leader="dot"/>
        </w:tabs>
        <w:spacing w:before="126"/>
        <w:ind w:left="1101"/>
        <w:rPr>
          <w:rFonts w:ascii="Times New Roman" w:hAnsi="Times New Roman"/>
        </w:rPr>
      </w:pPr>
      <w:hyperlink w:history="true" w:anchor="_bookmark71">
        <w:r>
          <w:rPr/>
          <w:t>NOTA</w:t>
        </w:r>
        <w:r>
          <w:rPr>
            <w:spacing w:val="-1"/>
          </w:rPr>
          <w:t> </w:t>
        </w:r>
        <w:r>
          <w:rPr/>
          <w:t>N° </w:t>
        </w:r>
        <w:r>
          <w:rPr>
            <w:spacing w:val="-5"/>
          </w:rPr>
          <w:t>32</w:t>
        </w:r>
        <w:r>
          <w:rPr/>
          <w:tab/>
        </w:r>
        <w:r>
          <w:rPr>
            <w:rFonts w:ascii="Times New Roman" w:hAnsi="Times New Roman"/>
            <w:spacing w:val="-5"/>
          </w:rPr>
          <w:t>95</w:t>
        </w:r>
      </w:hyperlink>
    </w:p>
    <w:p>
      <w:pPr>
        <w:pStyle w:val="Heading5"/>
        <w:tabs>
          <w:tab w:pos="9230" w:val="left" w:leader="dot"/>
        </w:tabs>
        <w:spacing w:before="127"/>
        <w:ind w:left="1101"/>
        <w:rPr>
          <w:rFonts w:ascii="Times New Roman" w:hAnsi="Times New Roman"/>
        </w:rPr>
      </w:pPr>
      <w:hyperlink w:history="true" w:anchor="_bookmark72">
        <w:r>
          <w:rPr/>
          <w:t>NOTA</w:t>
        </w:r>
        <w:r>
          <w:rPr>
            <w:spacing w:val="-1"/>
          </w:rPr>
          <w:t> </w:t>
        </w:r>
        <w:r>
          <w:rPr/>
          <w:t>N° </w:t>
        </w:r>
        <w:r>
          <w:rPr>
            <w:spacing w:val="-5"/>
          </w:rPr>
          <w:t>33</w:t>
        </w:r>
        <w:r>
          <w:rPr/>
          <w:tab/>
        </w:r>
        <w:r>
          <w:rPr>
            <w:rFonts w:ascii="Times New Roman" w:hAnsi="Times New Roman"/>
            <w:spacing w:val="-5"/>
          </w:rPr>
          <w:t>96</w:t>
        </w:r>
      </w:hyperlink>
    </w:p>
    <w:p>
      <w:pPr>
        <w:pStyle w:val="Heading5"/>
        <w:tabs>
          <w:tab w:pos="9230" w:val="left" w:leader="dot"/>
        </w:tabs>
        <w:spacing w:before="126"/>
        <w:ind w:left="1101"/>
        <w:rPr>
          <w:rFonts w:ascii="Times New Roman" w:hAnsi="Times New Roman"/>
        </w:rPr>
      </w:pPr>
      <w:hyperlink w:history="true" w:anchor="_bookmark73">
        <w:r>
          <w:rPr/>
          <w:t>NOTA</w:t>
        </w:r>
        <w:r>
          <w:rPr>
            <w:spacing w:val="-1"/>
          </w:rPr>
          <w:t> </w:t>
        </w:r>
        <w:r>
          <w:rPr/>
          <w:t>N° </w:t>
        </w:r>
        <w:r>
          <w:rPr>
            <w:spacing w:val="-5"/>
          </w:rPr>
          <w:t>34</w:t>
        </w:r>
        <w:r>
          <w:rPr/>
          <w:tab/>
        </w:r>
        <w:r>
          <w:rPr>
            <w:rFonts w:ascii="Times New Roman" w:hAnsi="Times New Roman"/>
            <w:spacing w:val="-5"/>
          </w:rPr>
          <w:t>97</w:t>
        </w:r>
      </w:hyperlink>
    </w:p>
    <w:p>
      <w:pPr>
        <w:pStyle w:val="Heading5"/>
        <w:tabs>
          <w:tab w:pos="9230" w:val="left" w:leader="dot"/>
        </w:tabs>
        <w:spacing w:before="126"/>
        <w:ind w:left="1101"/>
        <w:rPr>
          <w:rFonts w:ascii="Times New Roman" w:hAnsi="Times New Roman"/>
        </w:rPr>
      </w:pPr>
      <w:hyperlink w:history="true" w:anchor="_bookmark74">
        <w:r>
          <w:rPr/>
          <w:t>NOTA</w:t>
        </w:r>
        <w:r>
          <w:rPr>
            <w:spacing w:val="-1"/>
          </w:rPr>
          <w:t> </w:t>
        </w:r>
        <w:r>
          <w:rPr/>
          <w:t>N° </w:t>
        </w:r>
        <w:r>
          <w:rPr>
            <w:spacing w:val="-5"/>
          </w:rPr>
          <w:t>35</w:t>
        </w:r>
        <w:r>
          <w:rPr/>
          <w:tab/>
        </w:r>
        <w:r>
          <w:rPr>
            <w:rFonts w:ascii="Times New Roman" w:hAnsi="Times New Roman"/>
            <w:spacing w:val="-5"/>
          </w:rPr>
          <w:t>98</w:t>
        </w:r>
      </w:hyperlink>
    </w:p>
    <w:p>
      <w:pPr>
        <w:pStyle w:val="Heading5"/>
        <w:numPr>
          <w:ilvl w:val="1"/>
          <w:numId w:val="5"/>
        </w:numPr>
        <w:tabs>
          <w:tab w:pos="1186" w:val="left" w:leader="none"/>
          <w:tab w:pos="9230" w:val="left" w:leader="dot"/>
        </w:tabs>
        <w:spacing w:line="240" w:lineRule="auto" w:before="127" w:after="0"/>
        <w:ind w:left="1186" w:right="0" w:hanging="324"/>
        <w:jc w:val="left"/>
        <w:rPr>
          <w:rFonts w:ascii="Times New Roman"/>
        </w:rPr>
      </w:pPr>
      <w:hyperlink w:history="true" w:anchor="_bookmark75">
        <w:r>
          <w:rPr/>
          <w:t>CONTRIBUCIONES</w:t>
        </w:r>
        <w:r>
          <w:rPr>
            <w:spacing w:val="-13"/>
          </w:rPr>
          <w:t> </w:t>
        </w:r>
        <w:r>
          <w:rPr>
            <w:spacing w:val="-2"/>
          </w:rPr>
          <w:t>SOCIALES</w:t>
        </w:r>
        <w:r>
          <w:rPr/>
          <w:tab/>
        </w:r>
        <w:r>
          <w:rPr>
            <w:rFonts w:ascii="Times New Roman"/>
            <w:spacing w:val="-5"/>
          </w:rPr>
          <w:t>98</w:t>
        </w:r>
      </w:hyperlink>
    </w:p>
    <w:p>
      <w:pPr>
        <w:pStyle w:val="Heading5"/>
        <w:tabs>
          <w:tab w:pos="9230" w:val="left" w:leader="dot"/>
        </w:tabs>
        <w:spacing w:before="126"/>
        <w:ind w:left="1101"/>
        <w:rPr>
          <w:rFonts w:ascii="Times New Roman" w:hAnsi="Times New Roman"/>
        </w:rPr>
      </w:pPr>
      <w:hyperlink w:history="true" w:anchor="_bookmark76">
        <w:r>
          <w:rPr/>
          <w:t>NOTA</w:t>
        </w:r>
        <w:r>
          <w:rPr>
            <w:spacing w:val="-1"/>
          </w:rPr>
          <w:t> </w:t>
        </w:r>
        <w:r>
          <w:rPr/>
          <w:t>N° </w:t>
        </w:r>
        <w:r>
          <w:rPr>
            <w:spacing w:val="-5"/>
          </w:rPr>
          <w:t>36</w:t>
        </w:r>
        <w:r>
          <w:rPr/>
          <w:tab/>
        </w:r>
        <w:r>
          <w:rPr>
            <w:rFonts w:ascii="Times New Roman" w:hAnsi="Times New Roman"/>
            <w:spacing w:val="-5"/>
          </w:rPr>
          <w:t>98</w:t>
        </w:r>
      </w:hyperlink>
    </w:p>
    <w:p>
      <w:pPr>
        <w:pStyle w:val="Heading5"/>
        <w:tabs>
          <w:tab w:pos="9230" w:val="left" w:leader="dot"/>
        </w:tabs>
        <w:spacing w:before="127"/>
        <w:ind w:left="1101"/>
        <w:rPr>
          <w:rFonts w:ascii="Times New Roman" w:hAnsi="Times New Roman"/>
        </w:rPr>
      </w:pPr>
      <w:hyperlink w:history="true" w:anchor="_bookmark77">
        <w:r>
          <w:rPr/>
          <w:t>NOTA</w:t>
        </w:r>
        <w:r>
          <w:rPr>
            <w:spacing w:val="-1"/>
          </w:rPr>
          <w:t> </w:t>
        </w:r>
        <w:r>
          <w:rPr/>
          <w:t>N° </w:t>
        </w:r>
        <w:r>
          <w:rPr>
            <w:spacing w:val="-5"/>
          </w:rPr>
          <w:t>37</w:t>
        </w:r>
        <w:r>
          <w:rPr/>
          <w:tab/>
        </w:r>
        <w:r>
          <w:rPr>
            <w:rFonts w:ascii="Times New Roman" w:hAnsi="Times New Roman"/>
            <w:spacing w:val="-5"/>
          </w:rPr>
          <w:t>99</w:t>
        </w:r>
      </w:hyperlink>
    </w:p>
    <w:p>
      <w:pPr>
        <w:pStyle w:val="Heading5"/>
        <w:numPr>
          <w:ilvl w:val="1"/>
          <w:numId w:val="5"/>
        </w:numPr>
        <w:tabs>
          <w:tab w:pos="1186" w:val="left" w:leader="none"/>
          <w:tab w:pos="9119" w:val="left" w:leader="dot"/>
        </w:tabs>
        <w:spacing w:line="357" w:lineRule="auto" w:before="128" w:after="0"/>
        <w:ind w:left="862" w:right="986" w:firstLine="0"/>
        <w:jc w:val="left"/>
        <w:rPr>
          <w:rFonts w:ascii="Times New Roman"/>
        </w:rPr>
      </w:pPr>
      <w:hyperlink w:history="true" w:anchor="_bookmark78">
        <w:r>
          <w:rPr/>
          <w:t>MULTAS, SANCIONES, REMATES Y CONFISCACIONES DE ORIGEN NO</w:t>
        </w:r>
      </w:hyperlink>
      <w:r>
        <w:rPr/>
        <w:t> </w:t>
      </w:r>
      <w:hyperlink w:history="true" w:anchor="_bookmark78">
        <w:r>
          <w:rPr>
            <w:spacing w:val="-2"/>
          </w:rPr>
          <w:t>TRIBUTARIO</w:t>
        </w:r>
        <w:r>
          <w:rPr/>
          <w:tab/>
        </w:r>
        <w:r>
          <w:rPr>
            <w:rFonts w:ascii="Times New Roman"/>
            <w:spacing w:val="-5"/>
          </w:rPr>
          <w:t>100</w:t>
        </w:r>
      </w:hyperlink>
    </w:p>
    <w:p>
      <w:pPr>
        <w:pStyle w:val="Heading5"/>
        <w:tabs>
          <w:tab w:pos="9119" w:val="left" w:leader="dot"/>
        </w:tabs>
        <w:spacing w:before="4"/>
        <w:ind w:left="1101"/>
        <w:rPr>
          <w:rFonts w:ascii="Times New Roman" w:hAnsi="Times New Roman"/>
        </w:rPr>
      </w:pPr>
      <w:hyperlink w:history="true" w:anchor="_bookmark79">
        <w:r>
          <w:rPr/>
          <w:t>NOTA</w:t>
        </w:r>
        <w:r>
          <w:rPr>
            <w:spacing w:val="-1"/>
          </w:rPr>
          <w:t> </w:t>
        </w:r>
        <w:r>
          <w:rPr/>
          <w:t>N° </w:t>
        </w:r>
        <w:r>
          <w:rPr>
            <w:spacing w:val="-5"/>
          </w:rPr>
          <w:t>38</w:t>
        </w:r>
        <w:r>
          <w:rPr/>
          <w:tab/>
        </w:r>
        <w:r>
          <w:rPr>
            <w:rFonts w:ascii="Times New Roman" w:hAnsi="Times New Roman"/>
            <w:spacing w:val="-5"/>
          </w:rPr>
          <w:t>100</w:t>
        </w:r>
      </w:hyperlink>
    </w:p>
    <w:p>
      <w:pPr>
        <w:pStyle w:val="Heading5"/>
        <w:tabs>
          <w:tab w:pos="9119" w:val="left" w:leader="dot"/>
        </w:tabs>
        <w:spacing w:before="126"/>
        <w:ind w:left="1101"/>
        <w:rPr>
          <w:rFonts w:ascii="Times New Roman" w:hAnsi="Times New Roman"/>
        </w:rPr>
      </w:pPr>
      <w:hyperlink w:history="true" w:anchor="_bookmark80">
        <w:r>
          <w:rPr/>
          <w:t>NOTA</w:t>
        </w:r>
        <w:r>
          <w:rPr>
            <w:spacing w:val="-1"/>
          </w:rPr>
          <w:t> </w:t>
        </w:r>
        <w:r>
          <w:rPr/>
          <w:t>N° </w:t>
        </w:r>
        <w:r>
          <w:rPr>
            <w:spacing w:val="-5"/>
          </w:rPr>
          <w:t>39</w:t>
        </w:r>
        <w:r>
          <w:rPr/>
          <w:tab/>
        </w:r>
        <w:r>
          <w:rPr>
            <w:rFonts w:ascii="Times New Roman" w:hAnsi="Times New Roman"/>
            <w:spacing w:val="-5"/>
          </w:rPr>
          <w:t>101</w:t>
        </w:r>
      </w:hyperlink>
    </w:p>
    <w:p>
      <w:pPr>
        <w:pStyle w:val="Heading5"/>
        <w:tabs>
          <w:tab w:pos="9119" w:val="left" w:leader="dot"/>
        </w:tabs>
        <w:spacing w:before="129"/>
        <w:ind w:left="1101"/>
        <w:rPr>
          <w:rFonts w:ascii="Times New Roman" w:hAnsi="Times New Roman"/>
        </w:rPr>
      </w:pPr>
      <w:hyperlink w:history="true" w:anchor="_bookmark81">
        <w:r>
          <w:rPr/>
          <w:t>NOTA</w:t>
        </w:r>
        <w:r>
          <w:rPr>
            <w:spacing w:val="-1"/>
          </w:rPr>
          <w:t> </w:t>
        </w:r>
        <w:r>
          <w:rPr/>
          <w:t>N° </w:t>
        </w:r>
        <w:r>
          <w:rPr>
            <w:spacing w:val="-5"/>
          </w:rPr>
          <w:t>40</w:t>
        </w:r>
        <w:r>
          <w:rPr/>
          <w:tab/>
        </w:r>
        <w:r>
          <w:rPr>
            <w:rFonts w:ascii="Times New Roman" w:hAnsi="Times New Roman"/>
            <w:spacing w:val="-5"/>
          </w:rPr>
          <w:t>102</w:t>
        </w:r>
      </w:hyperlink>
    </w:p>
    <w:p>
      <w:pPr>
        <w:pStyle w:val="Heading5"/>
        <w:numPr>
          <w:ilvl w:val="1"/>
          <w:numId w:val="5"/>
        </w:numPr>
        <w:tabs>
          <w:tab w:pos="1185" w:val="left" w:leader="none"/>
          <w:tab w:pos="9119" w:val="left" w:leader="dot"/>
        </w:tabs>
        <w:spacing w:line="240" w:lineRule="auto" w:before="126" w:after="0"/>
        <w:ind w:left="1185" w:right="0" w:hanging="323"/>
        <w:jc w:val="left"/>
        <w:rPr>
          <w:rFonts w:ascii="Times New Roman"/>
        </w:rPr>
      </w:pPr>
      <w:hyperlink w:history="true" w:anchor="_bookmark82">
        <w:r>
          <w:rPr/>
          <w:t>INGRESOS</w:t>
        </w:r>
        <w:r>
          <w:rPr>
            <w:spacing w:val="-3"/>
          </w:rPr>
          <w:t> </w:t>
        </w:r>
        <w:r>
          <w:rPr/>
          <w:t>Y</w:t>
        </w:r>
        <w:r>
          <w:rPr>
            <w:spacing w:val="-9"/>
          </w:rPr>
          <w:t> </w:t>
        </w:r>
        <w:r>
          <w:rPr/>
          <w:t>RESULTADOS</w:t>
        </w:r>
        <w:r>
          <w:rPr>
            <w:spacing w:val="-4"/>
          </w:rPr>
          <w:t> </w:t>
        </w:r>
        <w:r>
          <w:rPr/>
          <w:t>POSITIVOS</w:t>
        </w:r>
        <w:r>
          <w:rPr>
            <w:spacing w:val="-5"/>
          </w:rPr>
          <w:t> </w:t>
        </w:r>
        <w:r>
          <w:rPr/>
          <w:t>POR</w:t>
        </w:r>
        <w:r>
          <w:rPr>
            <w:spacing w:val="-4"/>
          </w:rPr>
          <w:t> </w:t>
        </w:r>
        <w:r>
          <w:rPr>
            <w:spacing w:val="-2"/>
          </w:rPr>
          <w:t>VENTAS</w:t>
        </w:r>
        <w:r>
          <w:rPr/>
          <w:tab/>
        </w:r>
        <w:r>
          <w:rPr>
            <w:rFonts w:ascii="Times New Roman"/>
            <w:spacing w:val="-5"/>
          </w:rPr>
          <w:t>103</w:t>
        </w:r>
      </w:hyperlink>
    </w:p>
    <w:p>
      <w:pPr>
        <w:pStyle w:val="Heading5"/>
        <w:spacing w:after="0" w:line="240" w:lineRule="auto"/>
        <w:jc w:val="left"/>
        <w:rPr>
          <w:rFonts w:ascii="Times New Roman"/>
        </w:rPr>
        <w:sectPr>
          <w:type w:val="continuous"/>
          <w:pgSz w:w="12240" w:h="15840"/>
          <w:pgMar w:top="18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10"/>
          <w:sz w:val="20"/>
        </w:rPr>
        <w:t>5</w:t>
      </w:r>
    </w:p>
    <w:p>
      <w:pPr>
        <w:pStyle w:val="Heading5"/>
        <w:tabs>
          <w:tab w:pos="8349" w:val="right" w:leader="dot"/>
        </w:tabs>
        <w:spacing w:before="508"/>
        <w:ind w:left="0"/>
        <w:rPr>
          <w:rFonts w:ascii="Times New Roman" w:hAnsi="Times New Roman"/>
        </w:rPr>
      </w:pPr>
      <w:r>
        <w:rPr>
          <w:b w:val="0"/>
        </w:rPr>
        <w:br w:type="column"/>
      </w:r>
      <w:hyperlink w:history="true" w:anchor="_bookmark83">
        <w:r>
          <w:rPr/>
          <w:t>NOTA N° </w:t>
        </w:r>
        <w:r>
          <w:rPr>
            <w:spacing w:val="-7"/>
          </w:rPr>
          <w:t>41</w:t>
        </w:r>
        <w:r>
          <w:rPr/>
          <w:tab/>
        </w:r>
        <w:r>
          <w:rPr>
            <w:rFonts w:ascii="Times New Roman" w:hAnsi="Times New Roman"/>
            <w:spacing w:val="-5"/>
          </w:rPr>
          <w:t>103</w:t>
        </w:r>
      </w:hyperlink>
    </w:p>
    <w:p>
      <w:pPr>
        <w:tabs>
          <w:tab w:pos="8349" w:val="right" w:leader="dot"/>
        </w:tabs>
        <w:spacing w:before="127"/>
        <w:ind w:left="0" w:right="0" w:firstLine="0"/>
        <w:jc w:val="left"/>
        <w:rPr>
          <w:rFonts w:ascii="Times New Roman" w:hAnsi="Times New Roman"/>
          <w:b/>
          <w:sz w:val="22"/>
        </w:rPr>
      </w:pPr>
      <w:hyperlink w:history="true" w:anchor="_bookmark84">
        <w:r>
          <w:rPr>
            <w:b/>
            <w:spacing w:val="-2"/>
            <w:sz w:val="22"/>
          </w:rPr>
          <w:t>Revelación</w:t>
        </w:r>
        <w:r>
          <w:rPr>
            <w:b/>
            <w:spacing w:val="-11"/>
            <w:sz w:val="22"/>
          </w:rPr>
          <w:t> </w:t>
        </w:r>
        <w:r>
          <w:rPr>
            <w:b/>
            <w:spacing w:val="-2"/>
            <w:sz w:val="22"/>
          </w:rPr>
          <w:t>NICSP</w:t>
        </w:r>
        <w:r>
          <w:rPr>
            <w:b/>
            <w:spacing w:val="-9"/>
            <w:sz w:val="22"/>
          </w:rPr>
          <w:t> </w:t>
        </w:r>
        <w:r>
          <w:rPr>
            <w:b/>
            <w:spacing w:val="-2"/>
            <w:sz w:val="22"/>
          </w:rPr>
          <w:t>9</w:t>
        </w:r>
        <w:r>
          <w:rPr>
            <w:b/>
            <w:spacing w:val="-9"/>
            <w:sz w:val="22"/>
          </w:rPr>
          <w:t> </w:t>
        </w:r>
        <w:r>
          <w:rPr>
            <w:b/>
            <w:i/>
            <w:spacing w:val="-2"/>
            <w:sz w:val="23"/>
          </w:rPr>
          <w:t>Ingresos</w:t>
        </w:r>
        <w:r>
          <w:rPr>
            <w:b/>
            <w:i/>
            <w:spacing w:val="-12"/>
            <w:sz w:val="23"/>
          </w:rPr>
          <w:t> </w:t>
        </w:r>
        <w:r>
          <w:rPr>
            <w:b/>
            <w:i/>
            <w:spacing w:val="-2"/>
            <w:sz w:val="23"/>
          </w:rPr>
          <w:t>de</w:t>
        </w:r>
        <w:r>
          <w:rPr>
            <w:b/>
            <w:i/>
            <w:spacing w:val="-11"/>
            <w:sz w:val="23"/>
          </w:rPr>
          <w:t> </w:t>
        </w:r>
        <w:r>
          <w:rPr>
            <w:b/>
            <w:i/>
            <w:spacing w:val="-2"/>
            <w:sz w:val="23"/>
          </w:rPr>
          <w:t>transacciones</w:t>
        </w:r>
        <w:r>
          <w:rPr>
            <w:b/>
            <w:i/>
            <w:spacing w:val="-11"/>
            <w:sz w:val="23"/>
          </w:rPr>
          <w:t> </w:t>
        </w:r>
        <w:r>
          <w:rPr>
            <w:b/>
            <w:i/>
            <w:spacing w:val="-2"/>
            <w:sz w:val="23"/>
          </w:rPr>
          <w:t>con</w:t>
        </w:r>
        <w:r>
          <w:rPr>
            <w:b/>
            <w:i/>
            <w:spacing w:val="-12"/>
            <w:sz w:val="23"/>
          </w:rPr>
          <w:t> </w:t>
        </w:r>
        <w:r>
          <w:rPr>
            <w:b/>
            <w:i/>
            <w:spacing w:val="-2"/>
            <w:sz w:val="23"/>
          </w:rPr>
          <w:t>contraprestación</w:t>
        </w:r>
        <w:r>
          <w:rPr>
            <w:b/>
            <w:i/>
            <w:sz w:val="23"/>
          </w:rPr>
          <w:tab/>
        </w:r>
        <w:r>
          <w:rPr>
            <w:rFonts w:ascii="Times New Roman" w:hAnsi="Times New Roman"/>
            <w:b/>
            <w:spacing w:val="-5"/>
            <w:sz w:val="22"/>
          </w:rPr>
          <w:t>104</w:t>
        </w:r>
      </w:hyperlink>
    </w:p>
    <w:p>
      <w:pPr>
        <w:pStyle w:val="Heading5"/>
        <w:tabs>
          <w:tab w:pos="8349" w:val="right" w:leader="dot"/>
        </w:tabs>
        <w:spacing w:before="123"/>
        <w:ind w:left="0"/>
        <w:rPr>
          <w:rFonts w:ascii="Times New Roman" w:hAnsi="Times New Roman"/>
        </w:rPr>
      </w:pPr>
      <w:hyperlink w:history="true" w:anchor="_bookmark85">
        <w:r>
          <w:rPr/>
          <w:t>NOTA</w:t>
        </w:r>
        <w:r>
          <w:rPr>
            <w:spacing w:val="-1"/>
          </w:rPr>
          <w:t> </w:t>
        </w:r>
        <w:r>
          <w:rPr/>
          <w:t>N° </w:t>
        </w:r>
        <w:r>
          <w:rPr>
            <w:spacing w:val="-5"/>
          </w:rPr>
          <w:t>42</w:t>
        </w:r>
        <w:r>
          <w:rPr/>
          <w:tab/>
        </w:r>
        <w:r>
          <w:rPr>
            <w:rFonts w:ascii="Times New Roman" w:hAnsi="Times New Roman"/>
            <w:spacing w:val="-5"/>
          </w:rPr>
          <w:t>105</w:t>
        </w:r>
      </w:hyperlink>
    </w:p>
    <w:p>
      <w:pPr>
        <w:pStyle w:val="Heading5"/>
        <w:tabs>
          <w:tab w:pos="8349" w:val="right" w:leader="dot"/>
        </w:tabs>
        <w:spacing w:before="127"/>
        <w:ind w:left="0"/>
        <w:rPr>
          <w:rFonts w:ascii="Times New Roman" w:hAnsi="Times New Roman"/>
        </w:rPr>
      </w:pPr>
      <w:hyperlink w:history="true" w:anchor="_bookmark86">
        <w:r>
          <w:rPr/>
          <w:t>NOTA</w:t>
        </w:r>
        <w:r>
          <w:rPr>
            <w:spacing w:val="-1"/>
          </w:rPr>
          <w:t> </w:t>
        </w:r>
        <w:r>
          <w:rPr/>
          <w:t>N° </w:t>
        </w:r>
        <w:r>
          <w:rPr>
            <w:spacing w:val="-5"/>
          </w:rPr>
          <w:t>43</w:t>
        </w:r>
        <w:r>
          <w:rPr/>
          <w:tab/>
        </w:r>
        <w:r>
          <w:rPr>
            <w:rFonts w:ascii="Times New Roman" w:hAnsi="Times New Roman"/>
            <w:spacing w:val="-5"/>
          </w:rPr>
          <w:t>106</w:t>
        </w:r>
      </w:hyperlink>
    </w:p>
    <w:p>
      <w:pPr>
        <w:pStyle w:val="Heading5"/>
        <w:tabs>
          <w:tab w:pos="8349" w:val="right" w:leader="dot"/>
        </w:tabs>
        <w:spacing w:before="126"/>
        <w:ind w:left="0"/>
        <w:rPr>
          <w:rFonts w:ascii="Times New Roman" w:hAnsi="Times New Roman"/>
        </w:rPr>
      </w:pPr>
      <w:hyperlink w:history="true" w:anchor="_bookmark87">
        <w:r>
          <w:rPr/>
          <w:t>NOTA</w:t>
        </w:r>
        <w:r>
          <w:rPr>
            <w:spacing w:val="-1"/>
          </w:rPr>
          <w:t> </w:t>
        </w:r>
        <w:r>
          <w:rPr/>
          <w:t>N° </w:t>
        </w:r>
        <w:r>
          <w:rPr>
            <w:spacing w:val="-5"/>
          </w:rPr>
          <w:t>44</w:t>
        </w:r>
        <w:r>
          <w:rPr/>
          <w:tab/>
        </w:r>
        <w:r>
          <w:rPr>
            <w:rFonts w:ascii="Times New Roman" w:hAnsi="Times New Roman"/>
            <w:spacing w:val="-5"/>
          </w:rPr>
          <w:t>106</w:t>
        </w:r>
      </w:hyperlink>
    </w:p>
    <w:p>
      <w:pPr>
        <w:pStyle w:val="Heading5"/>
        <w:tabs>
          <w:tab w:pos="8349" w:val="right" w:leader="dot"/>
        </w:tabs>
        <w:spacing w:before="129"/>
        <w:ind w:left="0"/>
        <w:rPr>
          <w:rFonts w:ascii="Times New Roman" w:hAnsi="Times New Roman"/>
        </w:rPr>
      </w:pPr>
      <w:hyperlink w:history="true" w:anchor="_bookmark88">
        <w:r>
          <w:rPr/>
          <w:t>NOTA</w:t>
        </w:r>
        <w:r>
          <w:rPr>
            <w:spacing w:val="-1"/>
          </w:rPr>
          <w:t> </w:t>
        </w:r>
        <w:r>
          <w:rPr/>
          <w:t>N° </w:t>
        </w:r>
        <w:r>
          <w:rPr>
            <w:spacing w:val="-5"/>
          </w:rPr>
          <w:t>45</w:t>
        </w:r>
        <w:r>
          <w:rPr/>
          <w:tab/>
        </w:r>
        <w:r>
          <w:rPr>
            <w:rFonts w:ascii="Times New Roman" w:hAnsi="Times New Roman"/>
            <w:spacing w:val="-5"/>
          </w:rPr>
          <w:t>107</w:t>
        </w:r>
      </w:hyperlink>
    </w:p>
    <w:p>
      <w:pPr>
        <w:pStyle w:val="Heading5"/>
        <w:tabs>
          <w:tab w:pos="8349" w:val="right" w:leader="dot"/>
        </w:tabs>
        <w:spacing w:before="126"/>
        <w:ind w:left="0"/>
        <w:rPr>
          <w:rFonts w:ascii="Times New Roman" w:hAnsi="Times New Roman"/>
        </w:rPr>
      </w:pPr>
      <w:hyperlink w:history="true" w:anchor="_bookmark89">
        <w:r>
          <w:rPr/>
          <w:t>NOTA</w:t>
        </w:r>
        <w:r>
          <w:rPr>
            <w:spacing w:val="-1"/>
          </w:rPr>
          <w:t> </w:t>
        </w:r>
        <w:r>
          <w:rPr/>
          <w:t>N° </w:t>
        </w:r>
        <w:r>
          <w:rPr>
            <w:spacing w:val="-5"/>
          </w:rPr>
          <w:t>46</w:t>
        </w:r>
        <w:r>
          <w:rPr/>
          <w:tab/>
        </w:r>
        <w:r>
          <w:rPr>
            <w:rFonts w:ascii="Times New Roman" w:hAnsi="Times New Roman"/>
            <w:spacing w:val="-5"/>
          </w:rPr>
          <w:t>107</w:t>
        </w:r>
      </w:hyperlink>
    </w:p>
    <w:p>
      <w:pPr>
        <w:pStyle w:val="Heading5"/>
        <w:spacing w:after="0"/>
        <w:rPr>
          <w:rFonts w:ascii="Times New Roman" w:hAnsi="Times New Roman"/>
        </w:rPr>
        <w:sectPr>
          <w:pgSz w:w="12240" w:h="15840"/>
          <w:pgMar w:top="1720" w:bottom="280" w:left="1080" w:right="720"/>
          <w:cols w:num="2" w:equalWidth="0">
            <w:col w:w="1100" w:space="2"/>
            <w:col w:w="9338"/>
          </w:cols>
        </w:sectPr>
      </w:pPr>
    </w:p>
    <w:p>
      <w:pPr>
        <w:pStyle w:val="Heading5"/>
        <w:numPr>
          <w:ilvl w:val="1"/>
          <w:numId w:val="5"/>
        </w:numPr>
        <w:tabs>
          <w:tab w:pos="1186" w:val="left" w:leader="none"/>
          <w:tab w:pos="9451" w:val="right" w:leader="dot"/>
        </w:tabs>
        <w:spacing w:line="240" w:lineRule="auto" w:before="127" w:after="0"/>
        <w:ind w:left="1186" w:right="0" w:hanging="324"/>
        <w:jc w:val="left"/>
        <w:rPr>
          <w:rFonts w:ascii="Times New Roman"/>
        </w:rPr>
      </w:pPr>
      <w:r>
        <w:rPr>
          <w:rFonts w:ascii="Times New Roman"/>
        </w:rPr>
        <mc:AlternateContent>
          <mc:Choice Requires="wps">
            <w:drawing>
              <wp:anchor distT="0" distB="0" distL="0" distR="0" allowOverlap="1" layoutInCell="1" locked="0" behindDoc="1" simplePos="0" relativeHeight="473526784">
                <wp:simplePos x="0" y="0"/>
                <wp:positionH relativeFrom="page">
                  <wp:posOffset>9525</wp:posOffset>
                </wp:positionH>
                <wp:positionV relativeFrom="page">
                  <wp:posOffset>297208</wp:posOffset>
                </wp:positionV>
                <wp:extent cx="7762875" cy="974852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762875" cy="9748520"/>
                          <a:chExt cx="7762875" cy="9748520"/>
                        </a:xfrm>
                      </wpg:grpSpPr>
                      <pic:pic>
                        <pic:nvPicPr>
                          <pic:cNvPr id="12" name="Image 12"/>
                          <pic:cNvPicPr/>
                        </pic:nvPicPr>
                        <pic:blipFill>
                          <a:blip r:embed="rId5" cstate="print"/>
                          <a:stretch>
                            <a:fillRect/>
                          </a:stretch>
                        </pic:blipFill>
                        <pic:spPr>
                          <a:xfrm>
                            <a:off x="0" y="0"/>
                            <a:ext cx="7762874" cy="9748489"/>
                          </a:xfrm>
                          <a:prstGeom prst="rect">
                            <a:avLst/>
                          </a:prstGeom>
                        </pic:spPr>
                      </pic:pic>
                      <wps:wsp>
                        <wps:cNvPr id="13" name="Graphic 1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9696" id="docshapegroup10" coordorigin="15,468" coordsize="12225,15352">
                <v:shape style="position:absolute;left:15;top:468;width:12225;height:15352" type="#_x0000_t75" id="docshape11" stroked="false">
                  <v:imagedata r:id="rId5" o:title=""/>
                </v:shape>
                <v:rect style="position:absolute;left:1673;top:2028;width:8897;height:15" id="docshape12" filled="true" fillcolor="#000000" stroked="false">
                  <v:fill type="solid"/>
                </v:rect>
                <w10:wrap type="none"/>
              </v:group>
            </w:pict>
          </mc:Fallback>
        </mc:AlternateContent>
      </w:r>
      <w:hyperlink w:history="true" w:anchor="_bookmark90">
        <w:r>
          <w:rPr/>
          <w:t>INGRESOS</w:t>
        </w:r>
        <w:r>
          <w:rPr>
            <w:spacing w:val="-4"/>
          </w:rPr>
          <w:t> </w:t>
        </w:r>
        <w:r>
          <w:rPr/>
          <w:t>DE</w:t>
        </w:r>
        <w:r>
          <w:rPr>
            <w:spacing w:val="-4"/>
          </w:rPr>
          <w:t> </w:t>
        </w:r>
        <w:r>
          <w:rPr/>
          <w:t>LA</w:t>
        </w:r>
        <w:r>
          <w:rPr>
            <w:spacing w:val="-3"/>
          </w:rPr>
          <w:t> </w:t>
        </w:r>
        <w:r>
          <w:rPr>
            <w:spacing w:val="-2"/>
          </w:rPr>
          <w:t>PROPIEDAD</w:t>
        </w:r>
        <w:r>
          <w:rPr/>
          <w:tab/>
        </w:r>
        <w:r>
          <w:rPr>
            <w:rFonts w:ascii="Times New Roman"/>
            <w:spacing w:val="-5"/>
          </w:rPr>
          <w:t>108</w:t>
        </w:r>
      </w:hyperlink>
    </w:p>
    <w:p>
      <w:pPr>
        <w:pStyle w:val="Heading5"/>
        <w:tabs>
          <w:tab w:pos="9451" w:val="right" w:leader="dot"/>
        </w:tabs>
        <w:spacing w:before="127"/>
        <w:ind w:left="1101"/>
        <w:rPr>
          <w:rFonts w:ascii="Times New Roman" w:hAnsi="Times New Roman"/>
        </w:rPr>
      </w:pPr>
      <w:hyperlink w:history="true" w:anchor="_bookmark91">
        <w:r>
          <w:rPr/>
          <w:t>NOTA</w:t>
        </w:r>
        <w:r>
          <w:rPr>
            <w:spacing w:val="-1"/>
          </w:rPr>
          <w:t> </w:t>
        </w:r>
        <w:r>
          <w:rPr/>
          <w:t>N° </w:t>
        </w:r>
        <w:r>
          <w:rPr>
            <w:spacing w:val="-5"/>
          </w:rPr>
          <w:t>47</w:t>
        </w:r>
        <w:r>
          <w:rPr/>
          <w:tab/>
        </w:r>
        <w:r>
          <w:rPr>
            <w:rFonts w:ascii="Times New Roman" w:hAnsi="Times New Roman"/>
            <w:spacing w:val="-5"/>
          </w:rPr>
          <w:t>108</w:t>
        </w:r>
      </w:hyperlink>
    </w:p>
    <w:p>
      <w:pPr>
        <w:pStyle w:val="Heading5"/>
        <w:tabs>
          <w:tab w:pos="9451" w:val="right" w:leader="dot"/>
        </w:tabs>
        <w:spacing w:before="126"/>
        <w:ind w:left="1101"/>
        <w:rPr>
          <w:rFonts w:ascii="Times New Roman" w:hAnsi="Times New Roman"/>
        </w:rPr>
      </w:pPr>
      <w:hyperlink w:history="true" w:anchor="_bookmark92">
        <w:r>
          <w:rPr/>
          <w:t>NOTA</w:t>
        </w:r>
        <w:r>
          <w:rPr>
            <w:spacing w:val="-1"/>
          </w:rPr>
          <w:t> </w:t>
        </w:r>
        <w:r>
          <w:rPr/>
          <w:t>N° </w:t>
        </w:r>
        <w:r>
          <w:rPr>
            <w:spacing w:val="-5"/>
          </w:rPr>
          <w:t>48</w:t>
        </w:r>
        <w:r>
          <w:rPr/>
          <w:tab/>
        </w:r>
        <w:r>
          <w:rPr>
            <w:rFonts w:ascii="Times New Roman" w:hAnsi="Times New Roman"/>
            <w:spacing w:val="-5"/>
          </w:rPr>
          <w:t>109</w:t>
        </w:r>
      </w:hyperlink>
    </w:p>
    <w:p>
      <w:pPr>
        <w:pStyle w:val="Heading5"/>
        <w:tabs>
          <w:tab w:pos="9451" w:val="right" w:leader="dot"/>
        </w:tabs>
        <w:spacing w:before="126"/>
        <w:ind w:left="1101"/>
        <w:rPr>
          <w:rFonts w:ascii="Times New Roman" w:hAnsi="Times New Roman"/>
        </w:rPr>
      </w:pPr>
      <w:hyperlink w:history="true" w:anchor="_bookmark93">
        <w:r>
          <w:rPr/>
          <w:t>NOTA</w:t>
        </w:r>
        <w:r>
          <w:rPr>
            <w:spacing w:val="-1"/>
          </w:rPr>
          <w:t> </w:t>
        </w:r>
        <w:r>
          <w:rPr/>
          <w:t>N° </w:t>
        </w:r>
        <w:r>
          <w:rPr>
            <w:spacing w:val="-5"/>
          </w:rPr>
          <w:t>49</w:t>
        </w:r>
        <w:r>
          <w:rPr/>
          <w:tab/>
        </w:r>
        <w:r>
          <w:rPr>
            <w:rFonts w:ascii="Times New Roman" w:hAnsi="Times New Roman"/>
            <w:spacing w:val="-5"/>
          </w:rPr>
          <w:t>111</w:t>
        </w:r>
      </w:hyperlink>
    </w:p>
    <w:p>
      <w:pPr>
        <w:pStyle w:val="Heading5"/>
        <w:numPr>
          <w:ilvl w:val="1"/>
          <w:numId w:val="5"/>
        </w:numPr>
        <w:tabs>
          <w:tab w:pos="1186" w:val="left" w:leader="none"/>
          <w:tab w:pos="9451" w:val="right" w:leader="dot"/>
        </w:tabs>
        <w:spacing w:line="240" w:lineRule="auto" w:before="127" w:after="0"/>
        <w:ind w:left="1186" w:right="0" w:hanging="324"/>
        <w:jc w:val="left"/>
        <w:rPr>
          <w:rFonts w:ascii="Times New Roman"/>
        </w:rPr>
      </w:pPr>
      <w:hyperlink w:history="true" w:anchor="_bookmark94">
        <w:r>
          <w:rPr>
            <w:spacing w:val="-2"/>
          </w:rPr>
          <w:t>TRANSFERENCIAS</w:t>
        </w:r>
        <w:r>
          <w:rPr/>
          <w:tab/>
        </w:r>
        <w:r>
          <w:rPr>
            <w:rFonts w:ascii="Times New Roman"/>
            <w:spacing w:val="-5"/>
          </w:rPr>
          <w:t>112</w:t>
        </w:r>
      </w:hyperlink>
    </w:p>
    <w:p>
      <w:pPr>
        <w:pStyle w:val="Heading5"/>
        <w:tabs>
          <w:tab w:pos="9451" w:val="right" w:leader="dot"/>
        </w:tabs>
        <w:spacing w:before="126"/>
        <w:ind w:left="1101"/>
        <w:rPr>
          <w:rFonts w:ascii="Times New Roman" w:hAnsi="Times New Roman"/>
        </w:rPr>
      </w:pPr>
      <w:hyperlink w:history="true" w:anchor="_bookmark95">
        <w:r>
          <w:rPr/>
          <w:t>NOTA</w:t>
        </w:r>
        <w:r>
          <w:rPr>
            <w:spacing w:val="-1"/>
          </w:rPr>
          <w:t> </w:t>
        </w:r>
        <w:r>
          <w:rPr/>
          <w:t>N° </w:t>
        </w:r>
        <w:r>
          <w:rPr>
            <w:spacing w:val="-5"/>
          </w:rPr>
          <w:t>50</w:t>
        </w:r>
        <w:r>
          <w:rPr/>
          <w:tab/>
        </w:r>
        <w:r>
          <w:rPr>
            <w:rFonts w:ascii="Times New Roman" w:hAnsi="Times New Roman"/>
            <w:spacing w:val="-5"/>
          </w:rPr>
          <w:t>112</w:t>
        </w:r>
      </w:hyperlink>
    </w:p>
    <w:p>
      <w:pPr>
        <w:pStyle w:val="Heading5"/>
        <w:tabs>
          <w:tab w:pos="9451" w:val="right" w:leader="dot"/>
        </w:tabs>
        <w:spacing w:before="127"/>
        <w:ind w:left="1101"/>
        <w:rPr>
          <w:rFonts w:ascii="Times New Roman" w:hAnsi="Times New Roman"/>
        </w:rPr>
      </w:pPr>
      <w:hyperlink w:history="true" w:anchor="_bookmark96">
        <w:r>
          <w:rPr/>
          <w:t>NOTA</w:t>
        </w:r>
        <w:r>
          <w:rPr>
            <w:spacing w:val="-1"/>
          </w:rPr>
          <w:t> </w:t>
        </w:r>
        <w:r>
          <w:rPr/>
          <w:t>N° </w:t>
        </w:r>
        <w:r>
          <w:rPr>
            <w:spacing w:val="-5"/>
          </w:rPr>
          <w:t>51</w:t>
        </w:r>
        <w:r>
          <w:rPr/>
          <w:tab/>
        </w:r>
        <w:r>
          <w:rPr>
            <w:rFonts w:ascii="Times New Roman" w:hAnsi="Times New Roman"/>
            <w:spacing w:val="-5"/>
          </w:rPr>
          <w:t>113</w:t>
        </w:r>
      </w:hyperlink>
    </w:p>
    <w:p>
      <w:pPr>
        <w:pStyle w:val="Heading5"/>
        <w:tabs>
          <w:tab w:pos="9451" w:val="right" w:leader="dot"/>
        </w:tabs>
        <w:spacing w:before="126"/>
        <w:ind w:left="862"/>
        <w:rPr>
          <w:rFonts w:ascii="Times New Roman"/>
        </w:rPr>
      </w:pPr>
      <w:hyperlink w:history="true" w:anchor="_bookmark97">
        <w:r>
          <w:rPr/>
          <w:t>4.9</w:t>
        </w:r>
        <w:r>
          <w:rPr>
            <w:spacing w:val="-4"/>
          </w:rPr>
          <w:t> </w:t>
        </w:r>
        <w:r>
          <w:rPr/>
          <w:t>OTROS</w:t>
        </w:r>
        <w:r>
          <w:rPr>
            <w:spacing w:val="-2"/>
          </w:rPr>
          <w:t> INGRESOS</w:t>
        </w:r>
        <w:r>
          <w:rPr/>
          <w:tab/>
        </w:r>
        <w:r>
          <w:rPr>
            <w:rFonts w:ascii="Times New Roman"/>
            <w:spacing w:val="-5"/>
          </w:rPr>
          <w:t>115</w:t>
        </w:r>
      </w:hyperlink>
    </w:p>
    <w:p>
      <w:pPr>
        <w:pStyle w:val="Heading5"/>
        <w:tabs>
          <w:tab w:pos="9451" w:val="right" w:leader="dot"/>
        </w:tabs>
        <w:spacing w:before="126"/>
        <w:ind w:left="1101"/>
        <w:rPr>
          <w:rFonts w:ascii="Times New Roman" w:hAnsi="Times New Roman"/>
        </w:rPr>
      </w:pPr>
      <w:hyperlink w:history="true" w:anchor="_bookmark98">
        <w:r>
          <w:rPr/>
          <w:t>NOTA</w:t>
        </w:r>
        <w:r>
          <w:rPr>
            <w:spacing w:val="-1"/>
          </w:rPr>
          <w:t> </w:t>
        </w:r>
        <w:r>
          <w:rPr/>
          <w:t>N° </w:t>
        </w:r>
        <w:r>
          <w:rPr>
            <w:spacing w:val="-5"/>
          </w:rPr>
          <w:t>52</w:t>
        </w:r>
        <w:r>
          <w:rPr/>
          <w:tab/>
        </w:r>
        <w:r>
          <w:rPr>
            <w:rFonts w:ascii="Times New Roman" w:hAnsi="Times New Roman"/>
            <w:spacing w:val="-5"/>
          </w:rPr>
          <w:t>115</w:t>
        </w:r>
      </w:hyperlink>
    </w:p>
    <w:p>
      <w:pPr>
        <w:pStyle w:val="Heading5"/>
        <w:tabs>
          <w:tab w:pos="9451" w:val="right" w:leader="dot"/>
        </w:tabs>
        <w:spacing w:before="127"/>
        <w:ind w:left="1101"/>
        <w:rPr>
          <w:rFonts w:ascii="Times New Roman" w:hAnsi="Times New Roman"/>
        </w:rPr>
      </w:pPr>
      <w:hyperlink w:history="true" w:anchor="_bookmark99">
        <w:r>
          <w:rPr/>
          <w:t>NOTA</w:t>
        </w:r>
        <w:r>
          <w:rPr>
            <w:spacing w:val="-1"/>
          </w:rPr>
          <w:t> </w:t>
        </w:r>
        <w:r>
          <w:rPr/>
          <w:t>N° </w:t>
        </w:r>
        <w:r>
          <w:rPr>
            <w:spacing w:val="-5"/>
          </w:rPr>
          <w:t>53</w:t>
        </w:r>
        <w:r>
          <w:rPr/>
          <w:tab/>
        </w:r>
        <w:r>
          <w:rPr>
            <w:rFonts w:ascii="Times New Roman" w:hAnsi="Times New Roman"/>
            <w:spacing w:val="-5"/>
          </w:rPr>
          <w:t>116</w:t>
        </w:r>
      </w:hyperlink>
    </w:p>
    <w:p>
      <w:pPr>
        <w:pStyle w:val="Heading5"/>
        <w:tabs>
          <w:tab w:pos="9451" w:val="right" w:leader="dot"/>
        </w:tabs>
        <w:spacing w:before="126"/>
        <w:ind w:left="1101"/>
        <w:rPr>
          <w:rFonts w:ascii="Times New Roman" w:hAnsi="Times New Roman"/>
        </w:rPr>
      </w:pPr>
      <w:hyperlink w:history="true" w:anchor="_bookmark100">
        <w:r>
          <w:rPr/>
          <w:t>NOTA</w:t>
        </w:r>
        <w:r>
          <w:rPr>
            <w:spacing w:val="-1"/>
          </w:rPr>
          <w:t> </w:t>
        </w:r>
        <w:r>
          <w:rPr/>
          <w:t>N° </w:t>
        </w:r>
        <w:r>
          <w:rPr>
            <w:spacing w:val="-5"/>
          </w:rPr>
          <w:t>54</w:t>
        </w:r>
        <w:r>
          <w:rPr/>
          <w:tab/>
        </w:r>
        <w:r>
          <w:rPr>
            <w:rFonts w:ascii="Times New Roman" w:hAnsi="Times New Roman"/>
            <w:spacing w:val="-5"/>
          </w:rPr>
          <w:t>117</w:t>
        </w:r>
      </w:hyperlink>
    </w:p>
    <w:p>
      <w:pPr>
        <w:pStyle w:val="Heading5"/>
        <w:tabs>
          <w:tab w:pos="9451" w:val="right" w:leader="dot"/>
        </w:tabs>
        <w:spacing w:before="127"/>
        <w:ind w:left="1101"/>
        <w:rPr>
          <w:rFonts w:ascii="Times New Roman" w:hAnsi="Times New Roman"/>
        </w:rPr>
      </w:pPr>
      <w:hyperlink w:history="true" w:anchor="_bookmark101">
        <w:r>
          <w:rPr/>
          <w:t>NOTA</w:t>
        </w:r>
        <w:r>
          <w:rPr>
            <w:spacing w:val="-1"/>
          </w:rPr>
          <w:t> </w:t>
        </w:r>
        <w:r>
          <w:rPr/>
          <w:t>N° </w:t>
        </w:r>
        <w:r>
          <w:rPr>
            <w:spacing w:val="-5"/>
          </w:rPr>
          <w:t>55</w:t>
        </w:r>
        <w:r>
          <w:rPr/>
          <w:tab/>
        </w:r>
        <w:r>
          <w:rPr>
            <w:rFonts w:ascii="Times New Roman" w:hAnsi="Times New Roman"/>
            <w:spacing w:val="-5"/>
          </w:rPr>
          <w:t>118</w:t>
        </w:r>
      </w:hyperlink>
    </w:p>
    <w:p>
      <w:pPr>
        <w:pStyle w:val="Heading5"/>
        <w:tabs>
          <w:tab w:pos="9451" w:val="right" w:leader="dot"/>
        </w:tabs>
        <w:spacing w:before="126"/>
        <w:ind w:left="1101"/>
        <w:rPr>
          <w:rFonts w:ascii="Times New Roman" w:hAnsi="Times New Roman"/>
        </w:rPr>
      </w:pPr>
      <w:hyperlink w:history="true" w:anchor="_bookmark102">
        <w:r>
          <w:rPr/>
          <w:t>NOTA</w:t>
        </w:r>
        <w:r>
          <w:rPr>
            <w:spacing w:val="-1"/>
          </w:rPr>
          <w:t> </w:t>
        </w:r>
        <w:r>
          <w:rPr/>
          <w:t>N° </w:t>
        </w:r>
        <w:r>
          <w:rPr>
            <w:spacing w:val="-5"/>
          </w:rPr>
          <w:t>56</w:t>
        </w:r>
        <w:r>
          <w:rPr/>
          <w:tab/>
        </w:r>
        <w:r>
          <w:rPr>
            <w:rFonts w:ascii="Times New Roman" w:hAnsi="Times New Roman"/>
            <w:spacing w:val="-5"/>
          </w:rPr>
          <w:t>119</w:t>
        </w:r>
      </w:hyperlink>
    </w:p>
    <w:p>
      <w:pPr>
        <w:pStyle w:val="Heading5"/>
        <w:tabs>
          <w:tab w:pos="9451" w:val="right" w:leader="dot"/>
        </w:tabs>
        <w:spacing w:before="126"/>
        <w:ind w:left="1101"/>
        <w:rPr>
          <w:rFonts w:ascii="Times New Roman" w:hAnsi="Times New Roman"/>
        </w:rPr>
      </w:pPr>
      <w:hyperlink w:history="true" w:anchor="_bookmark103">
        <w:r>
          <w:rPr/>
          <w:t>NOTA</w:t>
        </w:r>
        <w:r>
          <w:rPr>
            <w:spacing w:val="-1"/>
          </w:rPr>
          <w:t> </w:t>
        </w:r>
        <w:r>
          <w:rPr/>
          <w:t>N° </w:t>
        </w:r>
        <w:r>
          <w:rPr>
            <w:spacing w:val="-5"/>
          </w:rPr>
          <w:t>57</w:t>
        </w:r>
        <w:r>
          <w:rPr/>
          <w:tab/>
        </w:r>
        <w:r>
          <w:rPr>
            <w:rFonts w:ascii="Times New Roman" w:hAnsi="Times New Roman"/>
            <w:spacing w:val="-5"/>
          </w:rPr>
          <w:t>121</w:t>
        </w:r>
      </w:hyperlink>
    </w:p>
    <w:p>
      <w:pPr>
        <w:pStyle w:val="Heading5"/>
        <w:tabs>
          <w:tab w:pos="9451" w:val="right" w:leader="dot"/>
        </w:tabs>
        <w:spacing w:before="127"/>
        <w:ind w:left="1101"/>
        <w:rPr>
          <w:rFonts w:ascii="Times New Roman" w:hAnsi="Times New Roman"/>
        </w:rPr>
      </w:pPr>
      <w:hyperlink w:history="true" w:anchor="_bookmark104">
        <w:r>
          <w:rPr/>
          <w:t>NOTA</w:t>
        </w:r>
        <w:r>
          <w:rPr>
            <w:spacing w:val="-1"/>
          </w:rPr>
          <w:t> </w:t>
        </w:r>
        <w:r>
          <w:rPr/>
          <w:t>N° </w:t>
        </w:r>
        <w:r>
          <w:rPr>
            <w:spacing w:val="-5"/>
          </w:rPr>
          <w:t>58</w:t>
        </w:r>
        <w:r>
          <w:rPr/>
          <w:tab/>
        </w:r>
        <w:r>
          <w:rPr>
            <w:rFonts w:ascii="Times New Roman" w:hAnsi="Times New Roman"/>
            <w:spacing w:val="-5"/>
          </w:rPr>
          <w:t>121</w:t>
        </w:r>
      </w:hyperlink>
    </w:p>
    <w:p>
      <w:pPr>
        <w:pStyle w:val="Heading5"/>
        <w:numPr>
          <w:ilvl w:val="0"/>
          <w:numId w:val="5"/>
        </w:numPr>
        <w:tabs>
          <w:tab w:pos="1078" w:val="left" w:leader="none"/>
          <w:tab w:pos="9451" w:val="right" w:leader="dot"/>
        </w:tabs>
        <w:spacing w:line="240" w:lineRule="auto" w:before="126" w:after="0"/>
        <w:ind w:left="1078" w:right="0" w:hanging="216"/>
        <w:jc w:val="left"/>
        <w:rPr>
          <w:rFonts w:ascii="Times New Roman"/>
        </w:rPr>
      </w:pPr>
      <w:hyperlink w:history="true" w:anchor="_bookmark105">
        <w:r>
          <w:rPr>
            <w:spacing w:val="-2"/>
          </w:rPr>
          <w:t>GASTOS</w:t>
        </w:r>
        <w:r>
          <w:rPr/>
          <w:tab/>
        </w:r>
        <w:r>
          <w:rPr>
            <w:rFonts w:ascii="Times New Roman"/>
            <w:spacing w:val="-5"/>
          </w:rPr>
          <w:t>122</w:t>
        </w:r>
      </w:hyperlink>
    </w:p>
    <w:p>
      <w:pPr>
        <w:pStyle w:val="Heading5"/>
        <w:numPr>
          <w:ilvl w:val="1"/>
          <w:numId w:val="5"/>
        </w:numPr>
        <w:tabs>
          <w:tab w:pos="1186" w:val="left" w:leader="none"/>
          <w:tab w:pos="9451" w:val="right" w:leader="dot"/>
        </w:tabs>
        <w:spacing w:line="240" w:lineRule="auto" w:before="127" w:after="0"/>
        <w:ind w:left="1186" w:right="0" w:hanging="324"/>
        <w:jc w:val="left"/>
        <w:rPr>
          <w:rFonts w:ascii="Times New Roman"/>
        </w:rPr>
      </w:pPr>
      <w:hyperlink w:history="true" w:anchor="_bookmark106">
        <w:r>
          <w:rPr/>
          <w:t>GASTOS</w:t>
        </w:r>
        <w:r>
          <w:rPr>
            <w:spacing w:val="-4"/>
          </w:rPr>
          <w:t> </w:t>
        </w:r>
        <w:r>
          <w:rPr/>
          <w:t>DE</w:t>
        </w:r>
        <w:r>
          <w:rPr>
            <w:spacing w:val="-4"/>
          </w:rPr>
          <w:t> </w:t>
        </w:r>
        <w:r>
          <w:rPr>
            <w:spacing w:val="-2"/>
          </w:rPr>
          <w:t>FUNCIONAMIENTO</w:t>
        </w:r>
        <w:r>
          <w:rPr/>
          <w:tab/>
        </w:r>
        <w:r>
          <w:rPr>
            <w:rFonts w:ascii="Times New Roman"/>
            <w:spacing w:val="-5"/>
          </w:rPr>
          <w:t>122</w:t>
        </w:r>
      </w:hyperlink>
    </w:p>
    <w:p>
      <w:pPr>
        <w:pStyle w:val="Heading6"/>
        <w:tabs>
          <w:tab w:pos="9451" w:val="right" w:leader="dot"/>
        </w:tabs>
        <w:spacing w:before="127"/>
        <w:ind w:left="1101"/>
        <w:rPr>
          <w:rFonts w:ascii="Times New Roman" w:hAnsi="Times New Roman"/>
        </w:rPr>
      </w:pPr>
      <w:hyperlink w:history="true" w:anchor="_bookmark107">
        <w:r>
          <w:rPr/>
          <w:t>NOTA</w:t>
        </w:r>
        <w:r>
          <w:rPr>
            <w:spacing w:val="-2"/>
          </w:rPr>
          <w:t> </w:t>
        </w:r>
        <w:r>
          <w:rPr/>
          <w:t>N°</w:t>
        </w:r>
        <w:r>
          <w:rPr>
            <w:spacing w:val="-1"/>
          </w:rPr>
          <w:t> </w:t>
        </w:r>
        <w:r>
          <w:rPr/>
          <w:t>59</w:t>
        </w:r>
        <w:r>
          <w:rPr>
            <w:spacing w:val="-2"/>
          </w:rPr>
          <w:t> </w:t>
        </w:r>
        <w:r>
          <w:rPr/>
          <w:t>Gastos</w:t>
        </w:r>
        <w:r>
          <w:rPr>
            <w:spacing w:val="-3"/>
          </w:rPr>
          <w:t> </w:t>
        </w:r>
        <w:r>
          <w:rPr/>
          <w:t>en</w:t>
        </w:r>
        <w:r>
          <w:rPr>
            <w:spacing w:val="-1"/>
          </w:rPr>
          <w:t> </w:t>
        </w:r>
        <w:r>
          <w:rPr>
            <w:spacing w:val="-2"/>
          </w:rPr>
          <w:t>personal</w:t>
        </w:r>
        <w:r>
          <w:rPr/>
          <w:tab/>
        </w:r>
        <w:r>
          <w:rPr>
            <w:rFonts w:ascii="Times New Roman" w:hAnsi="Times New Roman"/>
            <w:spacing w:val="-5"/>
          </w:rPr>
          <w:t>122</w:t>
        </w:r>
      </w:hyperlink>
    </w:p>
    <w:p>
      <w:pPr>
        <w:tabs>
          <w:tab w:pos="9451" w:val="right" w:leader="dot"/>
        </w:tabs>
        <w:spacing w:before="128"/>
        <w:ind w:left="1101" w:right="0" w:firstLine="0"/>
        <w:jc w:val="left"/>
        <w:rPr>
          <w:rFonts w:ascii="Times New Roman" w:hAnsi="Times New Roman"/>
          <w:b/>
          <w:sz w:val="22"/>
        </w:rPr>
      </w:pPr>
      <w:hyperlink w:history="true" w:anchor="_bookmark108">
        <w:r>
          <w:rPr>
            <w:b/>
            <w:spacing w:val="-2"/>
            <w:sz w:val="22"/>
          </w:rPr>
          <w:t>Revelación</w:t>
        </w:r>
        <w:r>
          <w:rPr>
            <w:b/>
            <w:spacing w:val="-5"/>
            <w:sz w:val="22"/>
          </w:rPr>
          <w:t> </w:t>
        </w:r>
        <w:r>
          <w:rPr>
            <w:b/>
            <w:spacing w:val="-2"/>
            <w:sz w:val="22"/>
          </w:rPr>
          <w:t>NICSP</w:t>
        </w:r>
        <w:r>
          <w:rPr>
            <w:b/>
            <w:spacing w:val="-3"/>
            <w:sz w:val="22"/>
          </w:rPr>
          <w:t> </w:t>
        </w:r>
        <w:r>
          <w:rPr>
            <w:b/>
            <w:spacing w:val="-2"/>
            <w:sz w:val="22"/>
          </w:rPr>
          <w:t>39 </w:t>
        </w:r>
        <w:r>
          <w:rPr>
            <w:b/>
            <w:i/>
            <w:spacing w:val="-2"/>
            <w:sz w:val="23"/>
          </w:rPr>
          <w:t>Beneficios</w:t>
        </w:r>
        <w:r>
          <w:rPr>
            <w:b/>
            <w:i/>
            <w:spacing w:val="-5"/>
            <w:sz w:val="23"/>
          </w:rPr>
          <w:t> </w:t>
        </w:r>
        <w:r>
          <w:rPr>
            <w:b/>
            <w:i/>
            <w:spacing w:val="-2"/>
            <w:sz w:val="23"/>
          </w:rPr>
          <w:t>a</w:t>
        </w:r>
        <w:r>
          <w:rPr>
            <w:b/>
            <w:i/>
            <w:spacing w:val="-7"/>
            <w:sz w:val="23"/>
          </w:rPr>
          <w:t> </w:t>
        </w:r>
        <w:r>
          <w:rPr>
            <w:b/>
            <w:i/>
            <w:spacing w:val="-2"/>
            <w:sz w:val="23"/>
          </w:rPr>
          <w:t>los</w:t>
        </w:r>
        <w:r>
          <w:rPr>
            <w:b/>
            <w:i/>
            <w:spacing w:val="-7"/>
            <w:sz w:val="23"/>
          </w:rPr>
          <w:t> </w:t>
        </w:r>
        <w:r>
          <w:rPr>
            <w:b/>
            <w:i/>
            <w:spacing w:val="-2"/>
            <w:sz w:val="23"/>
          </w:rPr>
          <w:t>empleados</w:t>
        </w:r>
        <w:r>
          <w:rPr>
            <w:b/>
            <w:i/>
            <w:sz w:val="23"/>
          </w:rPr>
          <w:tab/>
        </w:r>
        <w:r>
          <w:rPr>
            <w:rFonts w:ascii="Times New Roman" w:hAnsi="Times New Roman"/>
            <w:b/>
            <w:spacing w:val="-5"/>
            <w:sz w:val="22"/>
          </w:rPr>
          <w:t>125</w:t>
        </w:r>
      </w:hyperlink>
    </w:p>
    <w:p>
      <w:pPr>
        <w:pStyle w:val="Heading5"/>
        <w:tabs>
          <w:tab w:pos="9451" w:val="right" w:leader="dot"/>
        </w:tabs>
        <w:spacing w:before="124"/>
        <w:ind w:left="1101"/>
        <w:rPr>
          <w:rFonts w:ascii="Times New Roman" w:hAnsi="Times New Roman"/>
        </w:rPr>
      </w:pPr>
      <w:hyperlink w:history="true" w:anchor="_bookmark109">
        <w:r>
          <w:rPr/>
          <w:t>NOTA</w:t>
        </w:r>
        <w:r>
          <w:rPr>
            <w:spacing w:val="-1"/>
          </w:rPr>
          <w:t> </w:t>
        </w:r>
        <w:r>
          <w:rPr/>
          <w:t>N° </w:t>
        </w:r>
        <w:r>
          <w:rPr>
            <w:spacing w:val="-5"/>
          </w:rPr>
          <w:t>60</w:t>
        </w:r>
        <w:r>
          <w:rPr/>
          <w:tab/>
        </w:r>
        <w:r>
          <w:rPr>
            <w:rFonts w:ascii="Times New Roman" w:hAnsi="Times New Roman"/>
            <w:spacing w:val="-5"/>
          </w:rPr>
          <w:t>132</w:t>
        </w:r>
      </w:hyperlink>
    </w:p>
    <w:p>
      <w:pPr>
        <w:tabs>
          <w:tab w:pos="9451" w:val="right" w:leader="dot"/>
        </w:tabs>
        <w:spacing w:before="126"/>
        <w:ind w:left="1101" w:right="0" w:firstLine="0"/>
        <w:jc w:val="left"/>
        <w:rPr>
          <w:rFonts w:ascii="Times New Roman" w:hAnsi="Times New Roman"/>
          <w:b/>
          <w:sz w:val="22"/>
        </w:rPr>
      </w:pPr>
      <w:hyperlink w:history="true" w:anchor="_bookmark110">
        <w:r>
          <w:rPr>
            <w:b/>
            <w:spacing w:val="-2"/>
            <w:sz w:val="22"/>
          </w:rPr>
          <w:t>Revelación</w:t>
        </w:r>
        <w:r>
          <w:rPr>
            <w:b/>
            <w:spacing w:val="-11"/>
            <w:sz w:val="22"/>
          </w:rPr>
          <w:t> </w:t>
        </w:r>
        <w:r>
          <w:rPr>
            <w:b/>
            <w:spacing w:val="-2"/>
            <w:sz w:val="22"/>
          </w:rPr>
          <w:t>NICSP</w:t>
        </w:r>
        <w:r>
          <w:rPr>
            <w:b/>
            <w:spacing w:val="-8"/>
            <w:sz w:val="22"/>
          </w:rPr>
          <w:t> </w:t>
        </w:r>
        <w:r>
          <w:rPr>
            <w:b/>
            <w:spacing w:val="-2"/>
            <w:sz w:val="22"/>
          </w:rPr>
          <w:t>13</w:t>
        </w:r>
        <w:r>
          <w:rPr>
            <w:b/>
            <w:spacing w:val="-7"/>
            <w:sz w:val="22"/>
          </w:rPr>
          <w:t> </w:t>
        </w:r>
        <w:r>
          <w:rPr>
            <w:b/>
            <w:i/>
            <w:spacing w:val="-2"/>
            <w:sz w:val="23"/>
          </w:rPr>
          <w:t>Arrendamientos</w:t>
        </w:r>
        <w:r>
          <w:rPr>
            <w:b/>
            <w:i/>
            <w:spacing w:val="-11"/>
            <w:sz w:val="23"/>
          </w:rPr>
          <w:t> </w:t>
        </w:r>
        <w:r>
          <w:rPr>
            <w:b/>
            <w:i/>
            <w:spacing w:val="-2"/>
            <w:sz w:val="23"/>
          </w:rPr>
          <w:t>(Arrendador)</w:t>
        </w:r>
        <w:r>
          <w:rPr>
            <w:b/>
            <w:i/>
            <w:sz w:val="23"/>
          </w:rPr>
          <w:tab/>
        </w:r>
        <w:r>
          <w:rPr>
            <w:rFonts w:ascii="Times New Roman" w:hAnsi="Times New Roman"/>
            <w:b/>
            <w:spacing w:val="-5"/>
            <w:sz w:val="22"/>
          </w:rPr>
          <w:t>135</w:t>
        </w:r>
      </w:hyperlink>
    </w:p>
    <w:p>
      <w:pPr>
        <w:pStyle w:val="Heading5"/>
        <w:tabs>
          <w:tab w:pos="9451" w:val="right" w:leader="dot"/>
        </w:tabs>
        <w:spacing w:before="124"/>
        <w:ind w:left="1101"/>
        <w:rPr>
          <w:rFonts w:ascii="Times New Roman" w:hAnsi="Times New Roman"/>
        </w:rPr>
      </w:pPr>
      <w:hyperlink w:history="true" w:anchor="_bookmark111">
        <w:r>
          <w:rPr/>
          <w:t>NOTA N° </w:t>
        </w:r>
        <w:r>
          <w:rPr>
            <w:spacing w:val="-7"/>
          </w:rPr>
          <w:t>61</w:t>
        </w:r>
        <w:r>
          <w:rPr/>
          <w:tab/>
        </w:r>
        <w:r>
          <w:rPr>
            <w:rFonts w:ascii="Times New Roman" w:hAnsi="Times New Roman"/>
            <w:spacing w:val="-5"/>
          </w:rPr>
          <w:t>139</w:t>
        </w:r>
      </w:hyperlink>
    </w:p>
    <w:p>
      <w:pPr>
        <w:pStyle w:val="Heading5"/>
        <w:tabs>
          <w:tab w:pos="9451" w:val="right" w:leader="dot"/>
        </w:tabs>
        <w:spacing w:before="127"/>
        <w:ind w:left="1101"/>
        <w:rPr>
          <w:rFonts w:ascii="Times New Roman" w:hAnsi="Times New Roman"/>
        </w:rPr>
      </w:pPr>
      <w:hyperlink w:history="true" w:anchor="_bookmark112">
        <w:r>
          <w:rPr/>
          <w:t>NOTA</w:t>
        </w:r>
        <w:r>
          <w:rPr>
            <w:spacing w:val="-1"/>
          </w:rPr>
          <w:t> </w:t>
        </w:r>
        <w:r>
          <w:rPr/>
          <w:t>N° </w:t>
        </w:r>
        <w:r>
          <w:rPr>
            <w:spacing w:val="-5"/>
          </w:rPr>
          <w:t>62</w:t>
        </w:r>
        <w:r>
          <w:rPr/>
          <w:tab/>
        </w:r>
        <w:r>
          <w:rPr>
            <w:rFonts w:ascii="Times New Roman" w:hAnsi="Times New Roman"/>
            <w:spacing w:val="-5"/>
          </w:rPr>
          <w:t>143</w:t>
        </w:r>
      </w:hyperlink>
    </w:p>
    <w:p>
      <w:pPr>
        <w:pStyle w:val="Heading5"/>
        <w:tabs>
          <w:tab w:pos="9451" w:val="right" w:leader="dot"/>
        </w:tabs>
        <w:spacing w:before="126"/>
        <w:ind w:left="1101"/>
        <w:rPr>
          <w:rFonts w:ascii="Times New Roman" w:hAnsi="Times New Roman"/>
        </w:rPr>
      </w:pPr>
      <w:hyperlink w:history="true" w:anchor="_bookmark113">
        <w:r>
          <w:rPr/>
          <w:t>NOTA</w:t>
        </w:r>
        <w:r>
          <w:rPr>
            <w:spacing w:val="-1"/>
          </w:rPr>
          <w:t> </w:t>
        </w:r>
        <w:r>
          <w:rPr/>
          <w:t>N° </w:t>
        </w:r>
        <w:r>
          <w:rPr>
            <w:spacing w:val="-5"/>
          </w:rPr>
          <w:t>63</w:t>
        </w:r>
        <w:r>
          <w:rPr/>
          <w:tab/>
        </w:r>
        <w:r>
          <w:rPr>
            <w:rFonts w:ascii="Times New Roman" w:hAnsi="Times New Roman"/>
            <w:spacing w:val="-5"/>
          </w:rPr>
          <w:t>144</w:t>
        </w:r>
      </w:hyperlink>
    </w:p>
    <w:p>
      <w:pPr>
        <w:pStyle w:val="Heading5"/>
        <w:spacing w:after="0"/>
        <w:rPr>
          <w:rFonts w:ascii="Times New Roman" w:hAnsi="Times New Roman"/>
        </w:rPr>
        <w:sectPr>
          <w:type w:val="continuous"/>
          <w:pgSz w:w="12240" w:h="15840"/>
          <w:pgMar w:top="18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10"/>
          <w:sz w:val="20"/>
        </w:rPr>
        <w:t>6</w:t>
      </w:r>
    </w:p>
    <w:p>
      <w:pPr>
        <w:pStyle w:val="Heading5"/>
        <w:tabs>
          <w:tab w:pos="8349" w:val="right" w:leader="dot"/>
        </w:tabs>
        <w:spacing w:before="508"/>
        <w:ind w:left="0"/>
        <w:rPr>
          <w:rFonts w:ascii="Times New Roman" w:hAnsi="Times New Roman"/>
        </w:rPr>
      </w:pPr>
      <w:r>
        <w:rPr>
          <w:b w:val="0"/>
        </w:rPr>
        <w:br w:type="column"/>
      </w:r>
      <w:hyperlink w:history="true" w:anchor="_bookmark114">
        <w:r>
          <w:rPr/>
          <w:t>NOTA</w:t>
        </w:r>
        <w:r>
          <w:rPr>
            <w:spacing w:val="-1"/>
          </w:rPr>
          <w:t> </w:t>
        </w:r>
        <w:r>
          <w:rPr/>
          <w:t>N° </w:t>
        </w:r>
        <w:r>
          <w:rPr>
            <w:spacing w:val="-5"/>
          </w:rPr>
          <w:t>64</w:t>
        </w:r>
        <w:r>
          <w:rPr/>
          <w:tab/>
        </w:r>
        <w:r>
          <w:rPr>
            <w:rFonts w:ascii="Times New Roman" w:hAnsi="Times New Roman"/>
            <w:spacing w:val="-5"/>
          </w:rPr>
          <w:t>145</w:t>
        </w:r>
      </w:hyperlink>
    </w:p>
    <w:p>
      <w:pPr>
        <w:pStyle w:val="Heading5"/>
        <w:tabs>
          <w:tab w:pos="8349" w:val="right" w:leader="dot"/>
        </w:tabs>
        <w:spacing w:before="127"/>
        <w:ind w:left="0"/>
        <w:rPr>
          <w:rFonts w:ascii="Times New Roman" w:hAnsi="Times New Roman"/>
        </w:rPr>
      </w:pPr>
      <w:hyperlink w:history="true" w:anchor="_bookmark115">
        <w:r>
          <w:rPr/>
          <w:t>NOTA</w:t>
        </w:r>
        <w:r>
          <w:rPr>
            <w:spacing w:val="-1"/>
          </w:rPr>
          <w:t> </w:t>
        </w:r>
        <w:r>
          <w:rPr/>
          <w:t>N° </w:t>
        </w:r>
        <w:r>
          <w:rPr>
            <w:spacing w:val="-5"/>
          </w:rPr>
          <w:t>65</w:t>
        </w:r>
        <w:r>
          <w:rPr/>
          <w:tab/>
        </w:r>
        <w:r>
          <w:rPr>
            <w:rFonts w:ascii="Times New Roman" w:hAnsi="Times New Roman"/>
            <w:spacing w:val="-5"/>
          </w:rPr>
          <w:t>146</w:t>
        </w:r>
      </w:hyperlink>
    </w:p>
    <w:p>
      <w:pPr>
        <w:pStyle w:val="Heading5"/>
        <w:tabs>
          <w:tab w:pos="8349" w:val="right" w:leader="dot"/>
        </w:tabs>
        <w:spacing w:before="126"/>
        <w:ind w:left="0"/>
        <w:rPr>
          <w:rFonts w:ascii="Times New Roman" w:hAnsi="Times New Roman"/>
        </w:rPr>
      </w:pPr>
      <w:hyperlink w:history="true" w:anchor="_bookmark116">
        <w:r>
          <w:rPr/>
          <w:t>NOTA</w:t>
        </w:r>
        <w:r>
          <w:rPr>
            <w:spacing w:val="-1"/>
          </w:rPr>
          <w:t> </w:t>
        </w:r>
        <w:r>
          <w:rPr/>
          <w:t>N° </w:t>
        </w:r>
        <w:r>
          <w:rPr>
            <w:spacing w:val="-5"/>
          </w:rPr>
          <w:t>66</w:t>
        </w:r>
        <w:r>
          <w:rPr/>
          <w:tab/>
        </w:r>
        <w:r>
          <w:rPr>
            <w:rFonts w:ascii="Times New Roman" w:hAnsi="Times New Roman"/>
            <w:spacing w:val="-5"/>
          </w:rPr>
          <w:t>147</w:t>
        </w:r>
      </w:hyperlink>
    </w:p>
    <w:p>
      <w:pPr>
        <w:pStyle w:val="Heading5"/>
        <w:spacing w:after="0"/>
        <w:rPr>
          <w:rFonts w:ascii="Times New Roman" w:hAnsi="Times New Roman"/>
        </w:rPr>
        <w:sectPr>
          <w:pgSz w:w="12240" w:h="15840"/>
          <w:pgMar w:top="1720" w:bottom="280" w:left="1080" w:right="720"/>
          <w:cols w:num="2" w:equalWidth="0">
            <w:col w:w="1100" w:space="2"/>
            <w:col w:w="9338"/>
          </w:cols>
        </w:sectPr>
      </w:pPr>
    </w:p>
    <w:p>
      <w:pPr>
        <w:pStyle w:val="Heading5"/>
        <w:numPr>
          <w:ilvl w:val="1"/>
          <w:numId w:val="5"/>
        </w:numPr>
        <w:tabs>
          <w:tab w:pos="1185" w:val="left" w:leader="none"/>
          <w:tab w:pos="9451" w:val="right" w:leader="dot"/>
        </w:tabs>
        <w:spacing w:line="240" w:lineRule="auto" w:before="126" w:after="0"/>
        <w:ind w:left="1185" w:right="0" w:hanging="323"/>
        <w:jc w:val="left"/>
        <w:rPr>
          <w:rFonts w:ascii="Times New Roman"/>
        </w:rPr>
      </w:pPr>
      <w:r>
        <w:rPr>
          <w:rFonts w:ascii="Times New Roman"/>
        </w:rPr>
        <mc:AlternateContent>
          <mc:Choice Requires="wps">
            <w:drawing>
              <wp:anchor distT="0" distB="0" distL="0" distR="0" allowOverlap="1" layoutInCell="1" locked="0" behindDoc="1" simplePos="0" relativeHeight="473527296">
                <wp:simplePos x="0" y="0"/>
                <wp:positionH relativeFrom="page">
                  <wp:posOffset>9525</wp:posOffset>
                </wp:positionH>
                <wp:positionV relativeFrom="page">
                  <wp:posOffset>297208</wp:posOffset>
                </wp:positionV>
                <wp:extent cx="7762875" cy="974852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7762875" cy="9748520"/>
                          <a:chExt cx="7762875" cy="9748520"/>
                        </a:xfrm>
                      </wpg:grpSpPr>
                      <pic:pic>
                        <pic:nvPicPr>
                          <pic:cNvPr id="15" name="Image 15"/>
                          <pic:cNvPicPr/>
                        </pic:nvPicPr>
                        <pic:blipFill>
                          <a:blip r:embed="rId5" cstate="print"/>
                          <a:stretch>
                            <a:fillRect/>
                          </a:stretch>
                        </pic:blipFill>
                        <pic:spPr>
                          <a:xfrm>
                            <a:off x="0" y="0"/>
                            <a:ext cx="7762874" cy="9748489"/>
                          </a:xfrm>
                          <a:prstGeom prst="rect">
                            <a:avLst/>
                          </a:prstGeom>
                        </pic:spPr>
                      </pic:pic>
                      <wps:wsp>
                        <wps:cNvPr id="16" name="Graphic 1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9184" id="docshapegroup13" coordorigin="15,468" coordsize="12225,15352">
                <v:shape style="position:absolute;left:15;top:468;width:12225;height:15352" type="#_x0000_t75" id="docshape14" stroked="false">
                  <v:imagedata r:id="rId5" o:title=""/>
                </v:shape>
                <v:rect style="position:absolute;left:1673;top:2028;width:8897;height:15" id="docshape15" filled="true" fillcolor="#000000" stroked="false">
                  <v:fill type="solid"/>
                </v:rect>
                <w10:wrap type="none"/>
              </v:group>
            </w:pict>
          </mc:Fallback>
        </mc:AlternateContent>
      </w:r>
      <w:hyperlink w:history="true" w:anchor="_bookmark117">
        <w:r>
          <w:rPr/>
          <w:t>GASTOS</w:t>
        </w:r>
        <w:r>
          <w:rPr>
            <w:spacing w:val="-5"/>
          </w:rPr>
          <w:t> </w:t>
        </w:r>
        <w:r>
          <w:rPr>
            <w:spacing w:val="-2"/>
          </w:rPr>
          <w:t>FINANCIEROS</w:t>
        </w:r>
        <w:r>
          <w:rPr/>
          <w:tab/>
        </w:r>
        <w:r>
          <w:rPr>
            <w:rFonts w:ascii="Times New Roman"/>
            <w:spacing w:val="-5"/>
          </w:rPr>
          <w:t>150</w:t>
        </w:r>
      </w:hyperlink>
    </w:p>
    <w:p>
      <w:pPr>
        <w:pStyle w:val="Heading5"/>
        <w:tabs>
          <w:tab w:pos="9451" w:val="right" w:leader="dot"/>
        </w:tabs>
        <w:spacing w:before="127"/>
        <w:ind w:left="1101"/>
        <w:rPr>
          <w:rFonts w:ascii="Times New Roman" w:hAnsi="Times New Roman"/>
        </w:rPr>
      </w:pPr>
      <w:hyperlink w:history="true" w:anchor="_bookmark118">
        <w:r>
          <w:rPr/>
          <w:t>NOTA</w:t>
        </w:r>
        <w:r>
          <w:rPr>
            <w:spacing w:val="-1"/>
          </w:rPr>
          <w:t> </w:t>
        </w:r>
        <w:r>
          <w:rPr/>
          <w:t>N° </w:t>
        </w:r>
        <w:r>
          <w:rPr>
            <w:spacing w:val="-5"/>
          </w:rPr>
          <w:t>67</w:t>
        </w:r>
        <w:r>
          <w:rPr/>
          <w:tab/>
        </w:r>
        <w:r>
          <w:rPr>
            <w:rFonts w:ascii="Times New Roman" w:hAnsi="Times New Roman"/>
            <w:spacing w:val="-5"/>
          </w:rPr>
          <w:t>150</w:t>
        </w:r>
      </w:hyperlink>
    </w:p>
    <w:p>
      <w:pPr>
        <w:pStyle w:val="Heading5"/>
        <w:tabs>
          <w:tab w:pos="9451" w:val="right" w:leader="dot"/>
        </w:tabs>
        <w:spacing w:before="129"/>
        <w:ind w:left="1101"/>
        <w:rPr>
          <w:rFonts w:ascii="Times New Roman" w:hAnsi="Times New Roman"/>
        </w:rPr>
      </w:pPr>
      <w:hyperlink w:history="true" w:anchor="_bookmark119">
        <w:r>
          <w:rPr/>
          <w:t>NOTA</w:t>
        </w:r>
        <w:r>
          <w:rPr>
            <w:spacing w:val="-1"/>
          </w:rPr>
          <w:t> </w:t>
        </w:r>
        <w:r>
          <w:rPr/>
          <w:t>N° </w:t>
        </w:r>
        <w:r>
          <w:rPr>
            <w:spacing w:val="-5"/>
          </w:rPr>
          <w:t>68</w:t>
        </w:r>
        <w:r>
          <w:rPr/>
          <w:tab/>
        </w:r>
        <w:r>
          <w:rPr>
            <w:rFonts w:ascii="Times New Roman" w:hAnsi="Times New Roman"/>
            <w:spacing w:val="-5"/>
          </w:rPr>
          <w:t>150</w:t>
        </w:r>
      </w:hyperlink>
    </w:p>
    <w:p>
      <w:pPr>
        <w:pStyle w:val="Heading5"/>
        <w:numPr>
          <w:ilvl w:val="1"/>
          <w:numId w:val="5"/>
        </w:numPr>
        <w:tabs>
          <w:tab w:pos="1185" w:val="left" w:leader="none"/>
          <w:tab w:pos="9451" w:val="right" w:leader="dot"/>
        </w:tabs>
        <w:spacing w:line="240" w:lineRule="auto" w:before="126" w:after="0"/>
        <w:ind w:left="1185" w:right="0" w:hanging="323"/>
        <w:jc w:val="left"/>
        <w:rPr>
          <w:rFonts w:ascii="Times New Roman"/>
        </w:rPr>
      </w:pPr>
      <w:hyperlink w:history="true" w:anchor="_bookmark120">
        <w:r>
          <w:rPr/>
          <w:t>GASTOS</w:t>
        </w:r>
        <w:r>
          <w:rPr>
            <w:spacing w:val="-4"/>
          </w:rPr>
          <w:t> </w:t>
        </w:r>
        <w:r>
          <w:rPr/>
          <w:t>Y</w:t>
        </w:r>
        <w:r>
          <w:rPr>
            <w:spacing w:val="-5"/>
          </w:rPr>
          <w:t> </w:t>
        </w:r>
        <w:r>
          <w:rPr/>
          <w:t>RESULTADOS</w:t>
        </w:r>
        <w:r>
          <w:rPr>
            <w:spacing w:val="-7"/>
          </w:rPr>
          <w:t> </w:t>
        </w:r>
        <w:r>
          <w:rPr/>
          <w:t>NEGATIVOS</w:t>
        </w:r>
        <w:r>
          <w:rPr>
            <w:spacing w:val="-4"/>
          </w:rPr>
          <w:t> </w:t>
        </w:r>
        <w:r>
          <w:rPr/>
          <w:t>POR</w:t>
        </w:r>
        <w:r>
          <w:rPr>
            <w:spacing w:val="-6"/>
          </w:rPr>
          <w:t> </w:t>
        </w:r>
        <w:r>
          <w:rPr>
            <w:spacing w:val="-2"/>
          </w:rPr>
          <w:t>VENTAS</w:t>
        </w:r>
        <w:r>
          <w:rPr/>
          <w:tab/>
        </w:r>
        <w:r>
          <w:rPr>
            <w:rFonts w:ascii="Times New Roman"/>
            <w:spacing w:val="-5"/>
          </w:rPr>
          <w:t>151</w:t>
        </w:r>
      </w:hyperlink>
    </w:p>
    <w:p>
      <w:pPr>
        <w:pStyle w:val="Heading5"/>
        <w:tabs>
          <w:tab w:pos="9451" w:val="right" w:leader="dot"/>
        </w:tabs>
        <w:spacing w:before="127"/>
        <w:ind w:left="1101"/>
        <w:rPr>
          <w:rFonts w:ascii="Times New Roman" w:hAnsi="Times New Roman"/>
        </w:rPr>
      </w:pPr>
      <w:hyperlink w:history="true" w:anchor="_bookmark121">
        <w:r>
          <w:rPr/>
          <w:t>NOTA</w:t>
        </w:r>
        <w:r>
          <w:rPr>
            <w:spacing w:val="-1"/>
          </w:rPr>
          <w:t> </w:t>
        </w:r>
        <w:r>
          <w:rPr/>
          <w:t>N° </w:t>
        </w:r>
        <w:r>
          <w:rPr>
            <w:spacing w:val="-5"/>
          </w:rPr>
          <w:t>69</w:t>
        </w:r>
        <w:r>
          <w:rPr/>
          <w:tab/>
        </w:r>
        <w:r>
          <w:rPr>
            <w:rFonts w:ascii="Times New Roman" w:hAnsi="Times New Roman"/>
            <w:spacing w:val="-5"/>
          </w:rPr>
          <w:t>151</w:t>
        </w:r>
      </w:hyperlink>
    </w:p>
    <w:p>
      <w:pPr>
        <w:pStyle w:val="Heading5"/>
        <w:tabs>
          <w:tab w:pos="9451" w:val="right" w:leader="dot"/>
        </w:tabs>
        <w:spacing w:before="126"/>
        <w:ind w:left="1101"/>
        <w:rPr>
          <w:rFonts w:ascii="Times New Roman" w:hAnsi="Times New Roman"/>
        </w:rPr>
      </w:pPr>
      <w:hyperlink w:history="true" w:anchor="_bookmark122">
        <w:r>
          <w:rPr/>
          <w:t>NOTA</w:t>
        </w:r>
        <w:r>
          <w:rPr>
            <w:spacing w:val="-1"/>
          </w:rPr>
          <w:t> </w:t>
        </w:r>
        <w:r>
          <w:rPr/>
          <w:t>N° </w:t>
        </w:r>
        <w:r>
          <w:rPr>
            <w:spacing w:val="-5"/>
          </w:rPr>
          <w:t>70</w:t>
        </w:r>
        <w:r>
          <w:rPr/>
          <w:tab/>
        </w:r>
        <w:r>
          <w:rPr>
            <w:rFonts w:ascii="Times New Roman" w:hAnsi="Times New Roman"/>
            <w:spacing w:val="-5"/>
          </w:rPr>
          <w:t>152</w:t>
        </w:r>
      </w:hyperlink>
    </w:p>
    <w:p>
      <w:pPr>
        <w:pStyle w:val="Heading5"/>
        <w:tabs>
          <w:tab w:pos="9451" w:val="right" w:leader="dot"/>
        </w:tabs>
        <w:spacing w:before="127"/>
        <w:ind w:left="1101"/>
        <w:rPr>
          <w:rFonts w:ascii="Times New Roman" w:hAnsi="Times New Roman"/>
        </w:rPr>
      </w:pPr>
      <w:hyperlink w:history="true" w:anchor="_bookmark123">
        <w:r>
          <w:rPr/>
          <w:t>NOTA</w:t>
        </w:r>
        <w:r>
          <w:rPr>
            <w:spacing w:val="-1"/>
          </w:rPr>
          <w:t> </w:t>
        </w:r>
        <w:r>
          <w:rPr/>
          <w:t>N° </w:t>
        </w:r>
        <w:r>
          <w:rPr>
            <w:spacing w:val="-5"/>
          </w:rPr>
          <w:t>71</w:t>
        </w:r>
        <w:r>
          <w:rPr/>
          <w:tab/>
        </w:r>
        <w:r>
          <w:rPr>
            <w:rFonts w:ascii="Times New Roman" w:hAnsi="Times New Roman"/>
            <w:spacing w:val="-5"/>
          </w:rPr>
          <w:t>152</w:t>
        </w:r>
      </w:hyperlink>
    </w:p>
    <w:p>
      <w:pPr>
        <w:pStyle w:val="Heading5"/>
        <w:numPr>
          <w:ilvl w:val="1"/>
          <w:numId w:val="5"/>
        </w:numPr>
        <w:tabs>
          <w:tab w:pos="1185" w:val="left" w:leader="none"/>
          <w:tab w:pos="9451" w:val="right" w:leader="dot"/>
        </w:tabs>
        <w:spacing w:line="240" w:lineRule="auto" w:before="126" w:after="0"/>
        <w:ind w:left="1185" w:right="0" w:hanging="323"/>
        <w:jc w:val="left"/>
        <w:rPr>
          <w:rFonts w:ascii="Times New Roman"/>
        </w:rPr>
      </w:pPr>
      <w:hyperlink w:history="true" w:anchor="_bookmark124">
        <w:r>
          <w:rPr>
            <w:spacing w:val="-2"/>
          </w:rPr>
          <w:t>TRANSFERENCIAS</w:t>
        </w:r>
        <w:r>
          <w:rPr/>
          <w:tab/>
        </w:r>
        <w:r>
          <w:rPr>
            <w:rFonts w:ascii="Times New Roman"/>
            <w:spacing w:val="-5"/>
          </w:rPr>
          <w:t>155</w:t>
        </w:r>
      </w:hyperlink>
    </w:p>
    <w:p>
      <w:pPr>
        <w:pStyle w:val="Heading5"/>
        <w:tabs>
          <w:tab w:pos="9451" w:val="right" w:leader="dot"/>
        </w:tabs>
        <w:spacing w:before="126"/>
        <w:ind w:left="1101"/>
        <w:rPr>
          <w:rFonts w:ascii="Times New Roman" w:hAnsi="Times New Roman"/>
        </w:rPr>
      </w:pPr>
      <w:hyperlink w:history="true" w:anchor="_bookmark125">
        <w:r>
          <w:rPr/>
          <w:t>NOTA</w:t>
        </w:r>
        <w:r>
          <w:rPr>
            <w:spacing w:val="-1"/>
          </w:rPr>
          <w:t> </w:t>
        </w:r>
        <w:r>
          <w:rPr/>
          <w:t>N° </w:t>
        </w:r>
        <w:r>
          <w:rPr>
            <w:spacing w:val="-5"/>
          </w:rPr>
          <w:t>72</w:t>
        </w:r>
        <w:r>
          <w:rPr/>
          <w:tab/>
        </w:r>
        <w:r>
          <w:rPr>
            <w:rFonts w:ascii="Times New Roman" w:hAnsi="Times New Roman"/>
            <w:spacing w:val="-5"/>
          </w:rPr>
          <w:t>155</w:t>
        </w:r>
      </w:hyperlink>
    </w:p>
    <w:p>
      <w:pPr>
        <w:pStyle w:val="Heading5"/>
        <w:tabs>
          <w:tab w:pos="9451" w:val="right" w:leader="dot"/>
        </w:tabs>
        <w:spacing w:before="127"/>
        <w:ind w:left="1101"/>
        <w:rPr>
          <w:rFonts w:ascii="Times New Roman" w:hAnsi="Times New Roman"/>
        </w:rPr>
      </w:pPr>
      <w:hyperlink w:history="true" w:anchor="_bookmark126">
        <w:r>
          <w:rPr/>
          <w:t>NOTA</w:t>
        </w:r>
        <w:r>
          <w:rPr>
            <w:spacing w:val="-1"/>
          </w:rPr>
          <w:t> </w:t>
        </w:r>
        <w:r>
          <w:rPr/>
          <w:t>N° </w:t>
        </w:r>
        <w:r>
          <w:rPr>
            <w:spacing w:val="-5"/>
          </w:rPr>
          <w:t>73</w:t>
        </w:r>
        <w:r>
          <w:rPr/>
          <w:tab/>
        </w:r>
        <w:r>
          <w:rPr>
            <w:rFonts w:ascii="Times New Roman" w:hAnsi="Times New Roman"/>
            <w:spacing w:val="-5"/>
          </w:rPr>
          <w:t>157</w:t>
        </w:r>
      </w:hyperlink>
    </w:p>
    <w:p>
      <w:pPr>
        <w:pStyle w:val="Heading5"/>
        <w:tabs>
          <w:tab w:pos="9451" w:val="right" w:leader="dot"/>
        </w:tabs>
        <w:spacing w:before="126"/>
        <w:ind w:left="862"/>
        <w:rPr>
          <w:rFonts w:ascii="Times New Roman"/>
        </w:rPr>
      </w:pPr>
      <w:hyperlink w:history="true" w:anchor="_bookmark127">
        <w:r>
          <w:rPr/>
          <w:t>5.9</w:t>
        </w:r>
        <w:r>
          <w:rPr>
            <w:spacing w:val="-3"/>
          </w:rPr>
          <w:t> </w:t>
        </w:r>
        <w:r>
          <w:rPr/>
          <w:t>OTROS</w:t>
        </w:r>
        <w:r>
          <w:rPr>
            <w:spacing w:val="-3"/>
          </w:rPr>
          <w:t> </w:t>
        </w:r>
        <w:r>
          <w:rPr>
            <w:spacing w:val="-2"/>
          </w:rPr>
          <w:t>GASTOS</w:t>
        </w:r>
        <w:r>
          <w:rPr/>
          <w:tab/>
        </w:r>
        <w:r>
          <w:rPr>
            <w:rFonts w:ascii="Times New Roman"/>
            <w:spacing w:val="-5"/>
          </w:rPr>
          <w:t>159</w:t>
        </w:r>
      </w:hyperlink>
    </w:p>
    <w:p>
      <w:pPr>
        <w:pStyle w:val="Heading5"/>
        <w:tabs>
          <w:tab w:pos="9451" w:val="right" w:leader="dot"/>
        </w:tabs>
        <w:spacing w:before="126"/>
        <w:ind w:left="1101"/>
        <w:rPr>
          <w:rFonts w:ascii="Times New Roman" w:hAnsi="Times New Roman"/>
        </w:rPr>
      </w:pPr>
      <w:hyperlink w:history="true" w:anchor="_bookmark128">
        <w:r>
          <w:rPr/>
          <w:t>NOTA</w:t>
        </w:r>
        <w:r>
          <w:rPr>
            <w:spacing w:val="-1"/>
          </w:rPr>
          <w:t> </w:t>
        </w:r>
        <w:r>
          <w:rPr/>
          <w:t>N° </w:t>
        </w:r>
        <w:r>
          <w:rPr>
            <w:spacing w:val="-5"/>
          </w:rPr>
          <w:t>74</w:t>
        </w:r>
        <w:r>
          <w:rPr/>
          <w:tab/>
        </w:r>
        <w:r>
          <w:rPr>
            <w:rFonts w:ascii="Times New Roman" w:hAnsi="Times New Roman"/>
            <w:spacing w:val="-5"/>
          </w:rPr>
          <w:t>159</w:t>
        </w:r>
      </w:hyperlink>
    </w:p>
    <w:p>
      <w:pPr>
        <w:pStyle w:val="Heading5"/>
        <w:tabs>
          <w:tab w:pos="9451" w:val="right" w:leader="dot"/>
        </w:tabs>
        <w:spacing w:before="127"/>
        <w:ind w:left="1101"/>
        <w:rPr>
          <w:rFonts w:ascii="Times New Roman" w:hAnsi="Times New Roman"/>
        </w:rPr>
      </w:pPr>
      <w:hyperlink w:history="true" w:anchor="_bookmark129">
        <w:r>
          <w:rPr/>
          <w:t>NOTA</w:t>
        </w:r>
        <w:r>
          <w:rPr>
            <w:spacing w:val="-1"/>
          </w:rPr>
          <w:t> </w:t>
        </w:r>
        <w:r>
          <w:rPr/>
          <w:t>N° </w:t>
        </w:r>
        <w:r>
          <w:rPr>
            <w:spacing w:val="-5"/>
          </w:rPr>
          <w:t>75</w:t>
        </w:r>
        <w:r>
          <w:rPr/>
          <w:tab/>
        </w:r>
        <w:r>
          <w:rPr>
            <w:rFonts w:ascii="Times New Roman" w:hAnsi="Times New Roman"/>
            <w:spacing w:val="-5"/>
          </w:rPr>
          <w:t>161</w:t>
        </w:r>
      </w:hyperlink>
    </w:p>
    <w:p>
      <w:pPr>
        <w:pStyle w:val="Heading5"/>
        <w:tabs>
          <w:tab w:pos="9451" w:val="right" w:leader="dot"/>
        </w:tabs>
        <w:spacing w:before="127"/>
        <w:ind w:left="1101"/>
        <w:rPr>
          <w:rFonts w:ascii="Times New Roman" w:hAnsi="Times New Roman"/>
        </w:rPr>
      </w:pPr>
      <w:hyperlink w:history="true" w:anchor="_bookmark130">
        <w:r>
          <w:rPr/>
          <w:t>NOTA</w:t>
        </w:r>
        <w:r>
          <w:rPr>
            <w:spacing w:val="-1"/>
          </w:rPr>
          <w:t> </w:t>
        </w:r>
        <w:r>
          <w:rPr/>
          <w:t>N° </w:t>
        </w:r>
        <w:r>
          <w:rPr>
            <w:spacing w:val="-5"/>
          </w:rPr>
          <w:t>76</w:t>
        </w:r>
        <w:r>
          <w:rPr/>
          <w:tab/>
        </w:r>
        <w:r>
          <w:rPr>
            <w:rFonts w:ascii="Times New Roman" w:hAnsi="Times New Roman"/>
            <w:spacing w:val="-5"/>
          </w:rPr>
          <w:t>161</w:t>
        </w:r>
      </w:hyperlink>
    </w:p>
    <w:p>
      <w:pPr>
        <w:pStyle w:val="Heading5"/>
        <w:tabs>
          <w:tab w:pos="9451" w:val="right" w:leader="dot"/>
        </w:tabs>
        <w:spacing w:before="126"/>
        <w:ind w:left="1101"/>
        <w:rPr>
          <w:rFonts w:ascii="Times New Roman"/>
        </w:rPr>
      </w:pPr>
      <w:hyperlink w:history="true" w:anchor="_bookmark131">
        <w:r>
          <w:rPr/>
          <w:t>NOTAS</w:t>
        </w:r>
        <w:r>
          <w:rPr>
            <w:spacing w:val="-5"/>
          </w:rPr>
          <w:t> </w:t>
        </w:r>
        <w:r>
          <w:rPr/>
          <w:t>ESTADO</w:t>
        </w:r>
        <w:r>
          <w:rPr>
            <w:spacing w:val="-1"/>
          </w:rPr>
          <w:t> </w:t>
        </w:r>
        <w:r>
          <w:rPr/>
          <w:t>DE</w:t>
        </w:r>
        <w:r>
          <w:rPr>
            <w:spacing w:val="-4"/>
          </w:rPr>
          <w:t> </w:t>
        </w:r>
        <w:r>
          <w:rPr/>
          <w:t>FLUJO</w:t>
        </w:r>
        <w:r>
          <w:rPr>
            <w:spacing w:val="-3"/>
          </w:rPr>
          <w:t> </w:t>
        </w:r>
        <w:r>
          <w:rPr/>
          <w:t>DE</w:t>
        </w:r>
        <w:r>
          <w:rPr>
            <w:spacing w:val="-4"/>
          </w:rPr>
          <w:t> </w:t>
        </w:r>
        <w:r>
          <w:rPr>
            <w:spacing w:val="-2"/>
          </w:rPr>
          <w:t>EFECTIVO</w:t>
        </w:r>
        <w:r>
          <w:rPr/>
          <w:tab/>
        </w:r>
        <w:r>
          <w:rPr>
            <w:rFonts w:ascii="Times New Roman"/>
            <w:spacing w:val="-5"/>
          </w:rPr>
          <w:t>162</w:t>
        </w:r>
      </w:hyperlink>
    </w:p>
    <w:p>
      <w:pPr>
        <w:pStyle w:val="Heading5"/>
        <w:tabs>
          <w:tab w:pos="9451" w:val="right" w:leader="dot"/>
        </w:tabs>
        <w:spacing w:before="126"/>
        <w:ind w:left="1101"/>
        <w:rPr>
          <w:rFonts w:ascii="Times New Roman" w:hAnsi="Times New Roman"/>
        </w:rPr>
      </w:pPr>
      <w:hyperlink w:history="true" w:anchor="_bookmark132">
        <w:r>
          <w:rPr/>
          <w:t>FLUJOS</w:t>
        </w:r>
        <w:r>
          <w:rPr>
            <w:spacing w:val="-8"/>
          </w:rPr>
          <w:t> </w:t>
        </w:r>
        <w:r>
          <w:rPr/>
          <w:t>DE</w:t>
        </w:r>
        <w:r>
          <w:rPr>
            <w:spacing w:val="-4"/>
          </w:rPr>
          <w:t> </w:t>
        </w:r>
        <w:r>
          <w:rPr/>
          <w:t>EFECTIVO</w:t>
        </w:r>
        <w:r>
          <w:rPr>
            <w:spacing w:val="-5"/>
          </w:rPr>
          <w:t> </w:t>
        </w:r>
        <w:r>
          <w:rPr/>
          <w:t>DE</w:t>
        </w:r>
        <w:r>
          <w:rPr>
            <w:spacing w:val="-5"/>
          </w:rPr>
          <w:t> </w:t>
        </w:r>
        <w:r>
          <w:rPr/>
          <w:t>LAS</w:t>
        </w:r>
        <w:r>
          <w:rPr>
            <w:spacing w:val="-2"/>
          </w:rPr>
          <w:t> </w:t>
        </w:r>
        <w:r>
          <w:rPr/>
          <w:t>ACTIVIDADES</w:t>
        </w:r>
        <w:r>
          <w:rPr>
            <w:spacing w:val="-5"/>
          </w:rPr>
          <w:t> </w:t>
        </w:r>
        <w:r>
          <w:rPr/>
          <w:t>DE</w:t>
        </w:r>
        <w:r>
          <w:rPr>
            <w:spacing w:val="-4"/>
          </w:rPr>
          <w:t> </w:t>
        </w:r>
        <w:r>
          <w:rPr>
            <w:spacing w:val="-2"/>
          </w:rPr>
          <w:t>OPERACIÓN</w:t>
        </w:r>
        <w:r>
          <w:rPr/>
          <w:tab/>
        </w:r>
        <w:r>
          <w:rPr>
            <w:rFonts w:ascii="Times New Roman" w:hAnsi="Times New Roman"/>
            <w:spacing w:val="-5"/>
          </w:rPr>
          <w:t>162</w:t>
        </w:r>
      </w:hyperlink>
    </w:p>
    <w:p>
      <w:pPr>
        <w:pStyle w:val="Heading5"/>
        <w:tabs>
          <w:tab w:pos="9451" w:val="right" w:leader="dot"/>
        </w:tabs>
        <w:spacing w:before="127"/>
        <w:ind w:left="1101"/>
        <w:rPr>
          <w:rFonts w:ascii="Times New Roman" w:hAnsi="Times New Roman"/>
        </w:rPr>
      </w:pPr>
      <w:hyperlink w:history="true" w:anchor="_bookmark133">
        <w:r>
          <w:rPr/>
          <w:t>NOTA</w:t>
        </w:r>
        <w:r>
          <w:rPr>
            <w:spacing w:val="-1"/>
          </w:rPr>
          <w:t> </w:t>
        </w:r>
        <w:r>
          <w:rPr/>
          <w:t>N° </w:t>
        </w:r>
        <w:r>
          <w:rPr>
            <w:spacing w:val="-5"/>
          </w:rPr>
          <w:t>77</w:t>
        </w:r>
        <w:r>
          <w:rPr/>
          <w:tab/>
        </w:r>
        <w:r>
          <w:rPr>
            <w:rFonts w:ascii="Times New Roman" w:hAnsi="Times New Roman"/>
            <w:spacing w:val="-5"/>
          </w:rPr>
          <w:t>162</w:t>
        </w:r>
      </w:hyperlink>
    </w:p>
    <w:p>
      <w:pPr>
        <w:pStyle w:val="Heading5"/>
        <w:tabs>
          <w:tab w:pos="9451" w:val="right" w:leader="dot"/>
        </w:tabs>
        <w:spacing w:before="126"/>
        <w:ind w:left="1101"/>
        <w:rPr>
          <w:rFonts w:ascii="Times New Roman" w:hAnsi="Times New Roman"/>
        </w:rPr>
      </w:pPr>
      <w:hyperlink w:history="true" w:anchor="_bookmark134">
        <w:r>
          <w:rPr/>
          <w:t>NOTA N° </w:t>
        </w:r>
        <w:r>
          <w:rPr>
            <w:spacing w:val="-7"/>
          </w:rPr>
          <w:t>78</w:t>
        </w:r>
        <w:r>
          <w:rPr/>
          <w:tab/>
        </w:r>
        <w:r>
          <w:rPr>
            <w:rFonts w:ascii="Times New Roman" w:hAnsi="Times New Roman"/>
            <w:spacing w:val="-5"/>
          </w:rPr>
          <w:t>165</w:t>
        </w:r>
      </w:hyperlink>
    </w:p>
    <w:p>
      <w:pPr>
        <w:pStyle w:val="Heading5"/>
        <w:tabs>
          <w:tab w:pos="9451" w:val="right" w:leader="dot"/>
        </w:tabs>
        <w:spacing w:before="126"/>
        <w:ind w:left="1101"/>
        <w:rPr>
          <w:rFonts w:ascii="Times New Roman" w:hAnsi="Times New Roman"/>
        </w:rPr>
      </w:pPr>
      <w:hyperlink w:history="true" w:anchor="_bookmark135">
        <w:r>
          <w:rPr/>
          <w:t>FLUJOS</w:t>
        </w:r>
        <w:r>
          <w:rPr>
            <w:spacing w:val="-8"/>
          </w:rPr>
          <w:t> </w:t>
        </w:r>
        <w:r>
          <w:rPr/>
          <w:t>DE</w:t>
        </w:r>
        <w:r>
          <w:rPr>
            <w:spacing w:val="-4"/>
          </w:rPr>
          <w:t> </w:t>
        </w:r>
        <w:r>
          <w:rPr/>
          <w:t>EFECTIVO</w:t>
        </w:r>
        <w:r>
          <w:rPr>
            <w:spacing w:val="-5"/>
          </w:rPr>
          <w:t> </w:t>
        </w:r>
        <w:r>
          <w:rPr/>
          <w:t>DE</w:t>
        </w:r>
        <w:r>
          <w:rPr>
            <w:spacing w:val="-5"/>
          </w:rPr>
          <w:t> </w:t>
        </w:r>
        <w:r>
          <w:rPr/>
          <w:t>LAS</w:t>
        </w:r>
        <w:r>
          <w:rPr>
            <w:spacing w:val="-2"/>
          </w:rPr>
          <w:t> </w:t>
        </w:r>
        <w:r>
          <w:rPr/>
          <w:t>ACTIVIDADES</w:t>
        </w:r>
        <w:r>
          <w:rPr>
            <w:spacing w:val="-5"/>
          </w:rPr>
          <w:t> </w:t>
        </w:r>
        <w:r>
          <w:rPr/>
          <w:t>DE</w:t>
        </w:r>
        <w:r>
          <w:rPr>
            <w:spacing w:val="-4"/>
          </w:rPr>
          <w:t> </w:t>
        </w:r>
        <w:r>
          <w:rPr>
            <w:spacing w:val="-2"/>
          </w:rPr>
          <w:t>INVERSIÓN</w:t>
        </w:r>
        <w:r>
          <w:rPr/>
          <w:tab/>
        </w:r>
        <w:r>
          <w:rPr>
            <w:rFonts w:ascii="Times New Roman" w:hAnsi="Times New Roman"/>
            <w:spacing w:val="-5"/>
          </w:rPr>
          <w:t>166</w:t>
        </w:r>
      </w:hyperlink>
    </w:p>
    <w:p>
      <w:pPr>
        <w:pStyle w:val="Heading5"/>
        <w:tabs>
          <w:tab w:pos="9451" w:val="right" w:leader="dot"/>
        </w:tabs>
        <w:spacing w:before="127"/>
        <w:ind w:left="1101"/>
        <w:rPr>
          <w:rFonts w:ascii="Times New Roman" w:hAnsi="Times New Roman"/>
        </w:rPr>
      </w:pPr>
      <w:hyperlink w:history="true" w:anchor="_bookmark136">
        <w:r>
          <w:rPr/>
          <w:t>NOTA</w:t>
        </w:r>
        <w:r>
          <w:rPr>
            <w:spacing w:val="-1"/>
          </w:rPr>
          <w:t> </w:t>
        </w:r>
        <w:r>
          <w:rPr/>
          <w:t>N° </w:t>
        </w:r>
        <w:r>
          <w:rPr>
            <w:spacing w:val="-5"/>
          </w:rPr>
          <w:t>79</w:t>
        </w:r>
        <w:r>
          <w:rPr/>
          <w:tab/>
        </w:r>
        <w:r>
          <w:rPr>
            <w:rFonts w:ascii="Times New Roman" w:hAnsi="Times New Roman"/>
            <w:spacing w:val="-5"/>
          </w:rPr>
          <w:t>166</w:t>
        </w:r>
      </w:hyperlink>
    </w:p>
    <w:p>
      <w:pPr>
        <w:pStyle w:val="Heading5"/>
        <w:tabs>
          <w:tab w:pos="9451" w:val="right" w:leader="dot"/>
        </w:tabs>
        <w:spacing w:before="126"/>
        <w:ind w:left="1101"/>
        <w:rPr>
          <w:rFonts w:ascii="Times New Roman" w:hAnsi="Times New Roman"/>
        </w:rPr>
      </w:pPr>
      <w:hyperlink w:history="true" w:anchor="_bookmark137">
        <w:r>
          <w:rPr/>
          <w:t>NOTA</w:t>
        </w:r>
        <w:r>
          <w:rPr>
            <w:spacing w:val="-1"/>
          </w:rPr>
          <w:t> </w:t>
        </w:r>
        <w:r>
          <w:rPr/>
          <w:t>N° </w:t>
        </w:r>
        <w:r>
          <w:rPr>
            <w:spacing w:val="-5"/>
          </w:rPr>
          <w:t>80</w:t>
        </w:r>
        <w:r>
          <w:rPr/>
          <w:tab/>
        </w:r>
        <w:r>
          <w:rPr>
            <w:rFonts w:ascii="Times New Roman" w:hAnsi="Times New Roman"/>
            <w:spacing w:val="-5"/>
          </w:rPr>
          <w:t>167</w:t>
        </w:r>
      </w:hyperlink>
    </w:p>
    <w:p>
      <w:pPr>
        <w:pStyle w:val="Heading5"/>
        <w:tabs>
          <w:tab w:pos="9451" w:val="right" w:leader="dot"/>
        </w:tabs>
        <w:spacing w:before="127"/>
        <w:ind w:left="1101"/>
        <w:rPr>
          <w:rFonts w:ascii="Times New Roman" w:hAnsi="Times New Roman"/>
        </w:rPr>
      </w:pPr>
      <w:hyperlink w:history="true" w:anchor="_bookmark138">
        <w:r>
          <w:rPr/>
          <w:t>FLUJOS</w:t>
        </w:r>
        <w:r>
          <w:rPr>
            <w:spacing w:val="-8"/>
          </w:rPr>
          <w:t> </w:t>
        </w:r>
        <w:r>
          <w:rPr/>
          <w:t>DE</w:t>
        </w:r>
        <w:r>
          <w:rPr>
            <w:spacing w:val="-4"/>
          </w:rPr>
          <w:t> </w:t>
        </w:r>
        <w:r>
          <w:rPr/>
          <w:t>EFECTIVO</w:t>
        </w:r>
        <w:r>
          <w:rPr>
            <w:spacing w:val="-5"/>
          </w:rPr>
          <w:t> </w:t>
        </w:r>
        <w:r>
          <w:rPr/>
          <w:t>DE</w:t>
        </w:r>
        <w:r>
          <w:rPr>
            <w:spacing w:val="-5"/>
          </w:rPr>
          <w:t> </w:t>
        </w:r>
        <w:r>
          <w:rPr/>
          <w:t>LAS</w:t>
        </w:r>
        <w:r>
          <w:rPr>
            <w:spacing w:val="-2"/>
          </w:rPr>
          <w:t> </w:t>
        </w:r>
        <w:r>
          <w:rPr/>
          <w:t>ACTIVIDADES</w:t>
        </w:r>
        <w:r>
          <w:rPr>
            <w:spacing w:val="-5"/>
          </w:rPr>
          <w:t> </w:t>
        </w:r>
        <w:r>
          <w:rPr/>
          <w:t>DE</w:t>
        </w:r>
        <w:r>
          <w:rPr>
            <w:spacing w:val="-4"/>
          </w:rPr>
          <w:t> </w:t>
        </w:r>
        <w:r>
          <w:rPr>
            <w:spacing w:val="-2"/>
          </w:rPr>
          <w:t>FINANCIACIÓN</w:t>
        </w:r>
        <w:r>
          <w:rPr/>
          <w:tab/>
        </w:r>
        <w:r>
          <w:rPr>
            <w:rFonts w:ascii="Times New Roman" w:hAnsi="Times New Roman"/>
            <w:spacing w:val="-5"/>
          </w:rPr>
          <w:t>168</w:t>
        </w:r>
      </w:hyperlink>
    </w:p>
    <w:p>
      <w:pPr>
        <w:pStyle w:val="Heading5"/>
        <w:tabs>
          <w:tab w:pos="9451" w:val="right" w:leader="dot"/>
        </w:tabs>
        <w:spacing w:before="129"/>
        <w:ind w:left="1101"/>
        <w:rPr>
          <w:rFonts w:ascii="Times New Roman" w:hAnsi="Times New Roman"/>
        </w:rPr>
      </w:pPr>
      <w:hyperlink w:history="true" w:anchor="_bookmark139">
        <w:r>
          <w:rPr/>
          <w:t>NOTA</w:t>
        </w:r>
        <w:r>
          <w:rPr>
            <w:spacing w:val="-1"/>
          </w:rPr>
          <w:t> </w:t>
        </w:r>
        <w:r>
          <w:rPr/>
          <w:t>N° </w:t>
        </w:r>
        <w:r>
          <w:rPr>
            <w:spacing w:val="-5"/>
          </w:rPr>
          <w:t>81</w:t>
        </w:r>
        <w:r>
          <w:rPr/>
          <w:tab/>
        </w:r>
        <w:r>
          <w:rPr>
            <w:rFonts w:ascii="Times New Roman" w:hAnsi="Times New Roman"/>
            <w:spacing w:val="-5"/>
          </w:rPr>
          <w:t>168</w:t>
        </w:r>
      </w:hyperlink>
    </w:p>
    <w:p>
      <w:pPr>
        <w:pStyle w:val="Heading5"/>
        <w:tabs>
          <w:tab w:pos="9451" w:val="right" w:leader="dot"/>
        </w:tabs>
        <w:spacing w:before="126"/>
        <w:ind w:left="1101"/>
        <w:rPr>
          <w:rFonts w:ascii="Times New Roman" w:hAnsi="Times New Roman"/>
        </w:rPr>
      </w:pPr>
      <w:hyperlink w:history="true" w:anchor="_bookmark140">
        <w:r>
          <w:rPr/>
          <w:t>NOTA N° </w:t>
        </w:r>
        <w:r>
          <w:rPr>
            <w:spacing w:val="-7"/>
          </w:rPr>
          <w:t>82</w:t>
        </w:r>
        <w:r>
          <w:rPr/>
          <w:tab/>
        </w:r>
        <w:r>
          <w:rPr>
            <w:rFonts w:ascii="Times New Roman" w:hAnsi="Times New Roman"/>
            <w:spacing w:val="-5"/>
          </w:rPr>
          <w:t>168</w:t>
        </w:r>
      </w:hyperlink>
    </w:p>
    <w:p>
      <w:pPr>
        <w:pStyle w:val="Heading5"/>
        <w:tabs>
          <w:tab w:pos="9451" w:val="right" w:leader="dot"/>
        </w:tabs>
        <w:spacing w:before="127"/>
        <w:ind w:left="1101"/>
        <w:rPr>
          <w:rFonts w:ascii="Times New Roman" w:hAnsi="Times New Roman"/>
        </w:rPr>
      </w:pPr>
      <w:hyperlink w:history="true" w:anchor="_bookmark141">
        <w:r>
          <w:rPr/>
          <w:t>NOTA</w:t>
        </w:r>
        <w:r>
          <w:rPr>
            <w:spacing w:val="-1"/>
          </w:rPr>
          <w:t> </w:t>
        </w:r>
        <w:r>
          <w:rPr/>
          <w:t>N° </w:t>
        </w:r>
        <w:r>
          <w:rPr>
            <w:spacing w:val="-5"/>
          </w:rPr>
          <w:t>84</w:t>
        </w:r>
        <w:r>
          <w:rPr/>
          <w:tab/>
        </w:r>
        <w:r>
          <w:rPr>
            <w:rFonts w:ascii="Times New Roman" w:hAnsi="Times New Roman"/>
            <w:spacing w:val="-5"/>
          </w:rPr>
          <w:t>173</w:t>
        </w:r>
      </w:hyperlink>
    </w:p>
    <w:p>
      <w:pPr>
        <w:pStyle w:val="Heading5"/>
        <w:numPr>
          <w:ilvl w:val="0"/>
          <w:numId w:val="6"/>
        </w:numPr>
        <w:tabs>
          <w:tab w:pos="838" w:val="left" w:leader="none"/>
          <w:tab w:pos="9451" w:val="right" w:leader="dot"/>
        </w:tabs>
        <w:spacing w:line="240" w:lineRule="auto" w:before="366" w:after="0"/>
        <w:ind w:left="838" w:right="0" w:hanging="216"/>
        <w:jc w:val="left"/>
        <w:rPr>
          <w:rFonts w:ascii="Times New Roman"/>
        </w:rPr>
      </w:pPr>
      <w:hyperlink w:history="true" w:anchor="_bookmark142">
        <w:r>
          <w:rPr>
            <w:spacing w:val="-2"/>
          </w:rPr>
          <w:t>PATRIMONIO</w:t>
        </w:r>
        <w:r>
          <w:rPr/>
          <w:tab/>
        </w:r>
        <w:r>
          <w:rPr>
            <w:rFonts w:ascii="Times New Roman"/>
            <w:spacing w:val="-5"/>
          </w:rPr>
          <w:t>173</w:t>
        </w:r>
      </w:hyperlink>
    </w:p>
    <w:p>
      <w:pPr>
        <w:pStyle w:val="Heading5"/>
        <w:numPr>
          <w:ilvl w:val="1"/>
          <w:numId w:val="6"/>
        </w:numPr>
        <w:tabs>
          <w:tab w:pos="1186" w:val="left" w:leader="none"/>
          <w:tab w:pos="9451" w:val="right" w:leader="dot"/>
        </w:tabs>
        <w:spacing w:line="240" w:lineRule="auto" w:before="126" w:after="0"/>
        <w:ind w:left="1186" w:right="0" w:hanging="324"/>
        <w:jc w:val="left"/>
        <w:rPr>
          <w:rFonts w:ascii="Times New Roman"/>
        </w:rPr>
      </w:pPr>
      <w:hyperlink w:history="true" w:anchor="_bookmark143">
        <w:r>
          <w:rPr/>
          <w:t>PATRIMONIO</w:t>
        </w:r>
        <w:r>
          <w:rPr>
            <w:spacing w:val="-7"/>
          </w:rPr>
          <w:t> </w:t>
        </w:r>
        <w:r>
          <w:rPr>
            <w:spacing w:val="-2"/>
          </w:rPr>
          <w:t>PUBLICO</w:t>
        </w:r>
        <w:r>
          <w:rPr/>
          <w:tab/>
        </w:r>
        <w:r>
          <w:rPr>
            <w:rFonts w:ascii="Times New Roman"/>
            <w:spacing w:val="-5"/>
          </w:rPr>
          <w:t>173</w:t>
        </w:r>
      </w:hyperlink>
    </w:p>
    <w:p>
      <w:pPr>
        <w:pStyle w:val="Heading5"/>
        <w:tabs>
          <w:tab w:pos="9451" w:val="right" w:leader="dot"/>
        </w:tabs>
        <w:spacing w:before="127"/>
        <w:ind w:left="1101"/>
        <w:rPr>
          <w:rFonts w:ascii="Times New Roman" w:hAnsi="Times New Roman"/>
        </w:rPr>
      </w:pPr>
      <w:hyperlink w:history="true" w:anchor="_bookmark144">
        <w:r>
          <w:rPr/>
          <w:t>NOTA</w:t>
        </w:r>
        <w:r>
          <w:rPr>
            <w:spacing w:val="-1"/>
          </w:rPr>
          <w:t> </w:t>
        </w:r>
        <w:r>
          <w:rPr/>
          <w:t>N° </w:t>
        </w:r>
        <w:r>
          <w:rPr>
            <w:spacing w:val="-5"/>
          </w:rPr>
          <w:t>85</w:t>
        </w:r>
        <w:r>
          <w:rPr/>
          <w:tab/>
        </w:r>
        <w:r>
          <w:rPr>
            <w:rFonts w:ascii="Times New Roman" w:hAnsi="Times New Roman"/>
            <w:spacing w:val="-5"/>
          </w:rPr>
          <w:t>174</w:t>
        </w:r>
      </w:hyperlink>
    </w:p>
    <w:p>
      <w:pPr>
        <w:pStyle w:val="Heading5"/>
        <w:spacing w:after="0"/>
        <w:rPr>
          <w:rFonts w:ascii="Times New Roman" w:hAnsi="Times New Roman"/>
        </w:rPr>
        <w:sectPr>
          <w:type w:val="continuous"/>
          <w:pgSz w:w="12240" w:h="15840"/>
          <w:pgMar w:top="18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10"/>
          <w:sz w:val="20"/>
        </w:rPr>
        <w:t>7</w:t>
      </w:r>
    </w:p>
    <w:p>
      <w:pPr>
        <w:pStyle w:val="Heading5"/>
        <w:tabs>
          <w:tab w:pos="8349" w:val="right" w:leader="dot"/>
        </w:tabs>
        <w:spacing w:before="508"/>
        <w:ind w:left="0"/>
        <w:rPr>
          <w:rFonts w:ascii="Times New Roman" w:hAnsi="Times New Roman"/>
        </w:rPr>
      </w:pPr>
      <w:r>
        <w:rPr>
          <w:b w:val="0"/>
        </w:rPr>
        <w:br w:type="column"/>
      </w:r>
      <w:hyperlink w:history="true" w:anchor="_bookmark145">
        <w:r>
          <w:rPr/>
          <w:t>NOTA</w:t>
        </w:r>
        <w:r>
          <w:rPr>
            <w:spacing w:val="-1"/>
          </w:rPr>
          <w:t> </w:t>
        </w:r>
        <w:r>
          <w:rPr/>
          <w:t>N° </w:t>
        </w:r>
        <w:r>
          <w:rPr>
            <w:spacing w:val="-5"/>
          </w:rPr>
          <w:t>86</w:t>
        </w:r>
        <w:r>
          <w:rPr/>
          <w:tab/>
        </w:r>
        <w:r>
          <w:rPr>
            <w:rFonts w:ascii="Times New Roman" w:hAnsi="Times New Roman"/>
            <w:spacing w:val="-5"/>
          </w:rPr>
          <w:t>175</w:t>
        </w:r>
      </w:hyperlink>
    </w:p>
    <w:p>
      <w:pPr>
        <w:pStyle w:val="Heading5"/>
        <w:tabs>
          <w:tab w:pos="8349" w:val="right" w:leader="dot"/>
        </w:tabs>
        <w:spacing w:before="127"/>
        <w:ind w:left="0"/>
        <w:rPr>
          <w:rFonts w:ascii="Times New Roman" w:hAnsi="Times New Roman"/>
        </w:rPr>
      </w:pPr>
      <w:hyperlink w:history="true" w:anchor="_bookmark146">
        <w:r>
          <w:rPr/>
          <w:t>NOTA</w:t>
        </w:r>
        <w:r>
          <w:rPr>
            <w:spacing w:val="-1"/>
          </w:rPr>
          <w:t> </w:t>
        </w:r>
        <w:r>
          <w:rPr/>
          <w:t>N° </w:t>
        </w:r>
        <w:r>
          <w:rPr>
            <w:spacing w:val="-5"/>
          </w:rPr>
          <w:t>87</w:t>
        </w:r>
        <w:r>
          <w:rPr/>
          <w:tab/>
        </w:r>
        <w:r>
          <w:rPr>
            <w:rFonts w:ascii="Times New Roman" w:hAnsi="Times New Roman"/>
            <w:spacing w:val="-5"/>
          </w:rPr>
          <w:t>175</w:t>
        </w:r>
      </w:hyperlink>
    </w:p>
    <w:p>
      <w:pPr>
        <w:pStyle w:val="Heading5"/>
        <w:tabs>
          <w:tab w:pos="8349" w:val="right" w:leader="dot"/>
        </w:tabs>
        <w:spacing w:before="126"/>
        <w:ind w:left="0"/>
        <w:rPr>
          <w:rFonts w:ascii="Times New Roman" w:hAnsi="Times New Roman"/>
        </w:rPr>
      </w:pPr>
      <w:hyperlink w:history="true" w:anchor="_bookmark147">
        <w:r>
          <w:rPr/>
          <w:t>NOTA</w:t>
        </w:r>
        <w:r>
          <w:rPr>
            <w:spacing w:val="-1"/>
          </w:rPr>
          <w:t> </w:t>
        </w:r>
        <w:r>
          <w:rPr/>
          <w:t>N° </w:t>
        </w:r>
        <w:r>
          <w:rPr>
            <w:spacing w:val="-5"/>
          </w:rPr>
          <w:t>88</w:t>
        </w:r>
        <w:r>
          <w:rPr/>
          <w:tab/>
        </w:r>
        <w:r>
          <w:rPr>
            <w:rFonts w:ascii="Times New Roman" w:hAnsi="Times New Roman"/>
            <w:spacing w:val="-5"/>
          </w:rPr>
          <w:t>175</w:t>
        </w:r>
      </w:hyperlink>
    </w:p>
    <w:p>
      <w:pPr>
        <w:pStyle w:val="Heading5"/>
        <w:tabs>
          <w:tab w:pos="8349" w:val="right" w:leader="dot"/>
        </w:tabs>
        <w:spacing w:before="126"/>
        <w:ind w:left="0"/>
        <w:rPr>
          <w:rFonts w:ascii="Times New Roman" w:hAnsi="Times New Roman"/>
        </w:rPr>
      </w:pPr>
      <w:hyperlink w:history="true" w:anchor="_bookmark148">
        <w:r>
          <w:rPr/>
          <w:t>NOTA</w:t>
        </w:r>
        <w:r>
          <w:rPr>
            <w:spacing w:val="-1"/>
          </w:rPr>
          <w:t> </w:t>
        </w:r>
        <w:r>
          <w:rPr/>
          <w:t>N° </w:t>
        </w:r>
        <w:r>
          <w:rPr>
            <w:spacing w:val="-5"/>
          </w:rPr>
          <w:t>89</w:t>
        </w:r>
        <w:r>
          <w:rPr/>
          <w:tab/>
        </w:r>
        <w:r>
          <w:rPr>
            <w:rFonts w:ascii="Times New Roman" w:hAnsi="Times New Roman"/>
            <w:spacing w:val="-5"/>
          </w:rPr>
          <w:t>178</w:t>
        </w:r>
      </w:hyperlink>
    </w:p>
    <w:p>
      <w:pPr>
        <w:pStyle w:val="Heading5"/>
        <w:spacing w:after="0"/>
        <w:rPr>
          <w:rFonts w:ascii="Times New Roman" w:hAnsi="Times New Roman"/>
        </w:rPr>
        <w:sectPr>
          <w:pgSz w:w="12240" w:h="15840"/>
          <w:pgMar w:top="1720" w:bottom="280" w:left="1080" w:right="720"/>
          <w:cols w:num="2" w:equalWidth="0">
            <w:col w:w="1100" w:space="2"/>
            <w:col w:w="9338"/>
          </w:cols>
        </w:sectPr>
      </w:pPr>
    </w:p>
    <w:p>
      <w:pPr>
        <w:pStyle w:val="Heading5"/>
        <w:numPr>
          <w:ilvl w:val="1"/>
          <w:numId w:val="6"/>
        </w:numPr>
        <w:tabs>
          <w:tab w:pos="1186" w:val="left" w:leader="none"/>
          <w:tab w:pos="9119" w:val="left" w:leader="dot"/>
        </w:tabs>
        <w:spacing w:line="240" w:lineRule="auto" w:before="127" w:after="0"/>
        <w:ind w:left="1186" w:right="0" w:hanging="324"/>
        <w:jc w:val="left"/>
        <w:rPr>
          <w:rFonts w:ascii="Times New Roman"/>
        </w:rPr>
      </w:pPr>
      <w:r>
        <w:rPr>
          <w:rFonts w:ascii="Times New Roman"/>
        </w:rPr>
        <mc:AlternateContent>
          <mc:Choice Requires="wps">
            <w:drawing>
              <wp:anchor distT="0" distB="0" distL="0" distR="0" allowOverlap="1" layoutInCell="1" locked="0" behindDoc="1" simplePos="0" relativeHeight="473527808">
                <wp:simplePos x="0" y="0"/>
                <wp:positionH relativeFrom="page">
                  <wp:posOffset>9525</wp:posOffset>
                </wp:positionH>
                <wp:positionV relativeFrom="page">
                  <wp:posOffset>297208</wp:posOffset>
                </wp:positionV>
                <wp:extent cx="7762875" cy="974852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7762875" cy="9748520"/>
                          <a:chExt cx="7762875" cy="9748520"/>
                        </a:xfrm>
                      </wpg:grpSpPr>
                      <pic:pic>
                        <pic:nvPicPr>
                          <pic:cNvPr id="18" name="Image 18"/>
                          <pic:cNvPicPr/>
                        </pic:nvPicPr>
                        <pic:blipFill>
                          <a:blip r:embed="rId5" cstate="print"/>
                          <a:stretch>
                            <a:fillRect/>
                          </a:stretch>
                        </pic:blipFill>
                        <pic:spPr>
                          <a:xfrm>
                            <a:off x="0" y="0"/>
                            <a:ext cx="7762874" cy="9748489"/>
                          </a:xfrm>
                          <a:prstGeom prst="rect">
                            <a:avLst/>
                          </a:prstGeom>
                        </pic:spPr>
                      </pic:pic>
                      <wps:wsp>
                        <wps:cNvPr id="19" name="Graphic 1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8672" id="docshapegroup16" coordorigin="15,468" coordsize="12225,15352">
                <v:shape style="position:absolute;left:15;top:468;width:12225;height:15352" type="#_x0000_t75" id="docshape17" stroked="false">
                  <v:imagedata r:id="rId5" o:title=""/>
                </v:shape>
                <v:rect style="position:absolute;left:1673;top:2028;width:8897;height:15" id="docshape18" filled="true" fillcolor="#000000" stroked="false">
                  <v:fill type="solid"/>
                </v:rect>
                <w10:wrap type="none"/>
              </v:group>
            </w:pict>
          </mc:Fallback>
        </mc:AlternateContent>
      </w:r>
      <w:hyperlink w:history="true" w:anchor="_bookmark149">
        <w:r>
          <w:rPr/>
          <w:t>INTERESES</w:t>
        </w:r>
        <w:r>
          <w:rPr>
            <w:spacing w:val="-10"/>
          </w:rPr>
          <w:t> </w:t>
        </w:r>
        <w:r>
          <w:rPr>
            <w:spacing w:val="-2"/>
          </w:rPr>
          <w:t>MINORITARIOS</w:t>
        </w:r>
        <w:r>
          <w:rPr/>
          <w:tab/>
        </w:r>
        <w:r>
          <w:rPr>
            <w:rFonts w:ascii="Times New Roman"/>
            <w:spacing w:val="-5"/>
          </w:rPr>
          <w:t>178</w:t>
        </w:r>
      </w:hyperlink>
    </w:p>
    <w:p>
      <w:pPr>
        <w:pStyle w:val="Heading5"/>
        <w:tabs>
          <w:tab w:pos="9119" w:val="left" w:leader="dot"/>
        </w:tabs>
        <w:spacing w:before="129"/>
        <w:ind w:left="1101"/>
        <w:rPr>
          <w:rFonts w:ascii="Times New Roman" w:hAnsi="Times New Roman"/>
        </w:rPr>
      </w:pPr>
      <w:hyperlink w:history="true" w:anchor="_bookmark150">
        <w:r>
          <w:rPr/>
          <w:t>NOTA</w:t>
        </w:r>
        <w:r>
          <w:rPr>
            <w:spacing w:val="-1"/>
          </w:rPr>
          <w:t> </w:t>
        </w:r>
        <w:r>
          <w:rPr/>
          <w:t>N° </w:t>
        </w:r>
        <w:r>
          <w:rPr>
            <w:spacing w:val="-5"/>
          </w:rPr>
          <w:t>90</w:t>
        </w:r>
        <w:r>
          <w:rPr/>
          <w:tab/>
        </w:r>
        <w:r>
          <w:rPr>
            <w:rFonts w:ascii="Times New Roman" w:hAnsi="Times New Roman"/>
            <w:spacing w:val="-5"/>
          </w:rPr>
          <w:t>179</w:t>
        </w:r>
      </w:hyperlink>
    </w:p>
    <w:p>
      <w:pPr>
        <w:pStyle w:val="Heading5"/>
        <w:tabs>
          <w:tab w:pos="9119" w:val="left" w:leader="dot"/>
        </w:tabs>
        <w:spacing w:before="367"/>
        <w:rPr>
          <w:rFonts w:ascii="Times New Roman" w:hAnsi="Times New Roman"/>
        </w:rPr>
      </w:pPr>
      <w:hyperlink w:history="true" w:anchor="_bookmark151">
        <w:r>
          <w:rPr/>
          <w:t>NOTAS</w:t>
        </w:r>
        <w:r>
          <w:rPr>
            <w:spacing w:val="-5"/>
          </w:rPr>
          <w:t> </w:t>
        </w:r>
        <w:r>
          <w:rPr/>
          <w:t>DEL</w:t>
        </w:r>
        <w:r>
          <w:rPr>
            <w:spacing w:val="-4"/>
          </w:rPr>
          <w:t> </w:t>
        </w:r>
        <w:r>
          <w:rPr/>
          <w:t>ESTADO</w:t>
        </w:r>
        <w:r>
          <w:rPr>
            <w:spacing w:val="-4"/>
          </w:rPr>
          <w:t> </w:t>
        </w:r>
        <w:r>
          <w:rPr/>
          <w:t>DE</w:t>
        </w:r>
        <w:r>
          <w:rPr>
            <w:spacing w:val="-5"/>
          </w:rPr>
          <w:t> </w:t>
        </w:r>
        <w:r>
          <w:rPr/>
          <w:t>SITUACIÓN</w:t>
        </w:r>
        <w:r>
          <w:rPr>
            <w:spacing w:val="-3"/>
          </w:rPr>
          <w:t> </w:t>
        </w:r>
        <w:r>
          <w:rPr/>
          <w:t>Y</w:t>
        </w:r>
        <w:r>
          <w:rPr>
            <w:spacing w:val="-5"/>
          </w:rPr>
          <w:t> </w:t>
        </w:r>
        <w:r>
          <w:rPr/>
          <w:t>EVOLUCIÓN</w:t>
        </w:r>
        <w:r>
          <w:rPr>
            <w:spacing w:val="-3"/>
          </w:rPr>
          <w:t> </w:t>
        </w:r>
        <w:r>
          <w:rPr/>
          <w:t>DE</w:t>
        </w:r>
        <w:r>
          <w:rPr>
            <w:spacing w:val="-4"/>
          </w:rPr>
          <w:t> </w:t>
        </w:r>
        <w:r>
          <w:rPr>
            <w:spacing w:val="-2"/>
          </w:rPr>
          <w:t>BIENES</w:t>
        </w:r>
        <w:r>
          <w:rPr/>
          <w:tab/>
        </w:r>
        <w:r>
          <w:rPr>
            <w:rFonts w:ascii="Times New Roman" w:hAnsi="Times New Roman"/>
            <w:spacing w:val="-5"/>
          </w:rPr>
          <w:t>179</w:t>
        </w:r>
      </w:hyperlink>
    </w:p>
    <w:p>
      <w:pPr>
        <w:pStyle w:val="Heading5"/>
        <w:tabs>
          <w:tab w:pos="9119" w:val="left" w:leader="dot"/>
        </w:tabs>
        <w:spacing w:before="126"/>
        <w:ind w:left="1101"/>
        <w:rPr>
          <w:rFonts w:ascii="Times New Roman" w:hAnsi="Times New Roman"/>
        </w:rPr>
      </w:pPr>
      <w:hyperlink w:history="true" w:anchor="_bookmark152">
        <w:r>
          <w:rPr/>
          <w:t>NOTA N° </w:t>
        </w:r>
        <w:r>
          <w:rPr>
            <w:spacing w:val="-7"/>
          </w:rPr>
          <w:t>91</w:t>
        </w:r>
        <w:r>
          <w:rPr/>
          <w:tab/>
        </w:r>
        <w:r>
          <w:rPr>
            <w:rFonts w:ascii="Times New Roman" w:hAnsi="Times New Roman"/>
            <w:spacing w:val="-5"/>
          </w:rPr>
          <w:t>179</w:t>
        </w:r>
      </w:hyperlink>
    </w:p>
    <w:p>
      <w:pPr>
        <w:tabs>
          <w:tab w:pos="9119" w:val="left" w:leader="dot"/>
        </w:tabs>
        <w:spacing w:before="126"/>
        <w:ind w:left="1101" w:right="0" w:firstLine="0"/>
        <w:jc w:val="left"/>
        <w:rPr>
          <w:rFonts w:ascii="Times New Roman" w:hAnsi="Times New Roman"/>
          <w:b/>
          <w:sz w:val="22"/>
        </w:rPr>
      </w:pPr>
      <w:hyperlink w:history="true" w:anchor="_bookmark153">
        <w:r>
          <w:rPr>
            <w:b/>
            <w:spacing w:val="-2"/>
            <w:sz w:val="22"/>
          </w:rPr>
          <w:t>Revelación</w:t>
        </w:r>
        <w:r>
          <w:rPr>
            <w:b/>
            <w:spacing w:val="-9"/>
            <w:sz w:val="22"/>
          </w:rPr>
          <w:t> </w:t>
        </w:r>
        <w:r>
          <w:rPr>
            <w:b/>
            <w:spacing w:val="-2"/>
            <w:sz w:val="22"/>
          </w:rPr>
          <w:t>NICSP</w:t>
        </w:r>
        <w:r>
          <w:rPr>
            <w:b/>
            <w:spacing w:val="-6"/>
            <w:sz w:val="22"/>
          </w:rPr>
          <w:t> </w:t>
        </w:r>
        <w:r>
          <w:rPr>
            <w:b/>
            <w:spacing w:val="-2"/>
            <w:sz w:val="22"/>
          </w:rPr>
          <w:t>17</w:t>
        </w:r>
        <w:r>
          <w:rPr>
            <w:b/>
            <w:spacing w:val="-6"/>
            <w:sz w:val="22"/>
          </w:rPr>
          <w:t> </w:t>
        </w:r>
        <w:r>
          <w:rPr>
            <w:b/>
            <w:i/>
            <w:spacing w:val="-2"/>
            <w:sz w:val="23"/>
          </w:rPr>
          <w:t>Propiedad,</w:t>
        </w:r>
        <w:r>
          <w:rPr>
            <w:b/>
            <w:i/>
            <w:spacing w:val="-9"/>
            <w:sz w:val="23"/>
          </w:rPr>
          <w:t> </w:t>
        </w:r>
        <w:r>
          <w:rPr>
            <w:b/>
            <w:i/>
            <w:spacing w:val="-2"/>
            <w:sz w:val="23"/>
          </w:rPr>
          <w:t>Planta</w:t>
        </w:r>
        <w:r>
          <w:rPr>
            <w:b/>
            <w:i/>
            <w:spacing w:val="-10"/>
            <w:sz w:val="23"/>
          </w:rPr>
          <w:t> </w:t>
        </w:r>
        <w:r>
          <w:rPr>
            <w:b/>
            <w:i/>
            <w:spacing w:val="-2"/>
            <w:sz w:val="23"/>
          </w:rPr>
          <w:t>y</w:t>
        </w:r>
        <w:r>
          <w:rPr>
            <w:b/>
            <w:i/>
            <w:spacing w:val="-10"/>
            <w:sz w:val="23"/>
          </w:rPr>
          <w:t> </w:t>
        </w:r>
        <w:r>
          <w:rPr>
            <w:b/>
            <w:i/>
            <w:spacing w:val="-2"/>
            <w:sz w:val="23"/>
          </w:rPr>
          <w:t>Equipo</w:t>
        </w:r>
        <w:r>
          <w:rPr>
            <w:b/>
            <w:i/>
            <w:sz w:val="23"/>
          </w:rPr>
          <w:tab/>
        </w:r>
        <w:r>
          <w:rPr>
            <w:rFonts w:ascii="Times New Roman" w:hAnsi="Times New Roman"/>
            <w:b/>
            <w:spacing w:val="-5"/>
            <w:sz w:val="22"/>
          </w:rPr>
          <w:t>180</w:t>
        </w:r>
      </w:hyperlink>
    </w:p>
    <w:p>
      <w:pPr>
        <w:tabs>
          <w:tab w:pos="9119" w:val="left" w:leader="dot"/>
        </w:tabs>
        <w:spacing w:before="124"/>
        <w:ind w:left="1101" w:right="0" w:firstLine="0"/>
        <w:jc w:val="left"/>
        <w:rPr>
          <w:rFonts w:ascii="Times New Roman" w:hAnsi="Times New Roman"/>
          <w:b/>
          <w:sz w:val="22"/>
        </w:rPr>
      </w:pPr>
      <w:hyperlink w:history="true" w:anchor="_bookmark154">
        <w:r>
          <w:rPr>
            <w:b/>
            <w:sz w:val="22"/>
          </w:rPr>
          <w:t>Revelación</w:t>
        </w:r>
        <w:r>
          <w:rPr>
            <w:b/>
            <w:spacing w:val="-14"/>
            <w:sz w:val="22"/>
          </w:rPr>
          <w:t> </w:t>
        </w:r>
        <w:r>
          <w:rPr>
            <w:b/>
            <w:sz w:val="22"/>
          </w:rPr>
          <w:t>NICSP</w:t>
        </w:r>
        <w:r>
          <w:rPr>
            <w:b/>
            <w:spacing w:val="-14"/>
            <w:sz w:val="22"/>
          </w:rPr>
          <w:t> </w:t>
        </w:r>
        <w:r>
          <w:rPr>
            <w:b/>
            <w:sz w:val="22"/>
          </w:rPr>
          <w:t>31</w:t>
        </w:r>
        <w:r>
          <w:rPr>
            <w:b/>
            <w:spacing w:val="-11"/>
            <w:sz w:val="22"/>
          </w:rPr>
          <w:t> </w:t>
        </w:r>
        <w:r>
          <w:rPr>
            <w:b/>
            <w:i/>
            <w:sz w:val="23"/>
          </w:rPr>
          <w:t>Activos</w:t>
        </w:r>
        <w:r>
          <w:rPr>
            <w:b/>
            <w:i/>
            <w:spacing w:val="-15"/>
            <w:sz w:val="23"/>
          </w:rPr>
          <w:t> </w:t>
        </w:r>
        <w:r>
          <w:rPr>
            <w:b/>
            <w:i/>
            <w:spacing w:val="-2"/>
            <w:sz w:val="23"/>
          </w:rPr>
          <w:t>Intangibles</w:t>
        </w:r>
        <w:r>
          <w:rPr>
            <w:b/>
            <w:i/>
            <w:sz w:val="23"/>
          </w:rPr>
          <w:tab/>
        </w:r>
        <w:r>
          <w:rPr>
            <w:rFonts w:ascii="Times New Roman" w:hAnsi="Times New Roman"/>
            <w:b/>
            <w:spacing w:val="-5"/>
            <w:sz w:val="22"/>
          </w:rPr>
          <w:t>198</w:t>
        </w:r>
      </w:hyperlink>
    </w:p>
    <w:p>
      <w:pPr>
        <w:pStyle w:val="Heading5"/>
        <w:tabs>
          <w:tab w:pos="9119" w:val="left" w:leader="dot"/>
        </w:tabs>
        <w:spacing w:before="124"/>
        <w:ind w:left="1101"/>
        <w:rPr>
          <w:rFonts w:ascii="Times New Roman" w:hAnsi="Times New Roman"/>
        </w:rPr>
      </w:pPr>
      <w:hyperlink w:history="true" w:anchor="_bookmark155">
        <w:r>
          <w:rPr/>
          <w:t>NOTA</w:t>
        </w:r>
        <w:r>
          <w:rPr>
            <w:spacing w:val="-1"/>
          </w:rPr>
          <w:t> </w:t>
        </w:r>
        <w:r>
          <w:rPr/>
          <w:t>N° </w:t>
        </w:r>
        <w:r>
          <w:rPr>
            <w:spacing w:val="-5"/>
          </w:rPr>
          <w:t>92</w:t>
        </w:r>
        <w:r>
          <w:rPr/>
          <w:tab/>
        </w:r>
        <w:r>
          <w:rPr>
            <w:rFonts w:ascii="Times New Roman" w:hAnsi="Times New Roman"/>
            <w:spacing w:val="-5"/>
          </w:rPr>
          <w:t>208</w:t>
        </w:r>
      </w:hyperlink>
    </w:p>
    <w:p>
      <w:pPr>
        <w:pStyle w:val="Heading5"/>
        <w:tabs>
          <w:tab w:pos="9119" w:val="left" w:leader="dot"/>
        </w:tabs>
        <w:spacing w:line="360" w:lineRule="auto" w:before="126"/>
        <w:ind w:left="1101" w:right="986"/>
        <w:rPr>
          <w:rFonts w:ascii="Times New Roman"/>
        </w:rPr>
      </w:pPr>
      <w:hyperlink w:history="true" w:anchor="_bookmark156">
        <w:r>
          <w:rPr/>
          <w:t>NICSP 24 PRESENTACION DE INFORMACION DEL PRESUPUESTO EN LOS</w:t>
        </w:r>
      </w:hyperlink>
      <w:r>
        <w:rPr/>
        <w:t> </w:t>
      </w:r>
      <w:hyperlink w:history="true" w:anchor="_bookmark156">
        <w:r>
          <w:rPr/>
          <w:t>ESTADOS</w:t>
        </w:r>
        <w:r>
          <w:rPr>
            <w:spacing w:val="-4"/>
          </w:rPr>
          <w:t> </w:t>
        </w:r>
        <w:r>
          <w:rPr>
            <w:spacing w:val="-2"/>
          </w:rPr>
          <w:t>FINANCIEROS</w:t>
        </w:r>
        <w:r>
          <w:rPr/>
          <w:tab/>
        </w:r>
        <w:r>
          <w:rPr>
            <w:rFonts w:ascii="Times New Roman"/>
            <w:spacing w:val="-5"/>
          </w:rPr>
          <w:t>211</w:t>
        </w:r>
      </w:hyperlink>
    </w:p>
    <w:p>
      <w:pPr>
        <w:pStyle w:val="Heading5"/>
        <w:tabs>
          <w:tab w:pos="9119" w:val="left" w:leader="dot"/>
        </w:tabs>
        <w:ind w:left="1101"/>
        <w:rPr>
          <w:rFonts w:ascii="Times New Roman" w:hAnsi="Times New Roman"/>
        </w:rPr>
      </w:pPr>
      <w:hyperlink w:history="true" w:anchor="_bookmark157">
        <w:r>
          <w:rPr/>
          <w:t>NOTA</w:t>
        </w:r>
        <w:r>
          <w:rPr>
            <w:spacing w:val="-1"/>
          </w:rPr>
          <w:t> </w:t>
        </w:r>
        <w:r>
          <w:rPr/>
          <w:t>N° </w:t>
        </w:r>
        <w:r>
          <w:rPr>
            <w:spacing w:val="-5"/>
          </w:rPr>
          <w:t>93</w:t>
        </w:r>
        <w:r>
          <w:rPr/>
          <w:tab/>
        </w:r>
        <w:r>
          <w:rPr>
            <w:rFonts w:ascii="Times New Roman" w:hAnsi="Times New Roman"/>
            <w:spacing w:val="-5"/>
          </w:rPr>
          <w:t>211</w:t>
        </w:r>
      </w:hyperlink>
    </w:p>
    <w:p>
      <w:pPr>
        <w:pStyle w:val="Heading5"/>
        <w:tabs>
          <w:tab w:pos="9119" w:val="left" w:leader="dot"/>
        </w:tabs>
        <w:spacing w:line="360" w:lineRule="auto" w:before="487"/>
        <w:ind w:right="986"/>
        <w:rPr>
          <w:rFonts w:ascii="Times New Roman"/>
        </w:rPr>
      </w:pPr>
      <w:hyperlink w:history="true" w:anchor="_bookmark158">
        <w:r>
          <w:rPr/>
          <w:t>NICSP 28-29-30 INSTRUMENTOS FINANCIEROS (PRESENTACION RECONOCIMIENTO</w:t>
        </w:r>
      </w:hyperlink>
      <w:r>
        <w:rPr/>
        <w:t> </w:t>
      </w:r>
      <w:hyperlink w:history="true" w:anchor="_bookmark158">
        <w:r>
          <w:rPr/>
          <w:t>Y</w:t>
        </w:r>
        <w:r>
          <w:rPr>
            <w:spacing w:val="-4"/>
          </w:rPr>
          <w:t> </w:t>
        </w:r>
        <w:r>
          <w:rPr/>
          <w:t>MEDICION</w:t>
        </w:r>
        <w:r>
          <w:rPr>
            <w:spacing w:val="-2"/>
          </w:rPr>
          <w:t> REVELACION)</w:t>
        </w:r>
        <w:r>
          <w:rPr/>
          <w:tab/>
        </w:r>
        <w:r>
          <w:rPr>
            <w:rFonts w:ascii="Times New Roman"/>
            <w:spacing w:val="-5"/>
          </w:rPr>
          <w:t>227</w:t>
        </w:r>
      </w:hyperlink>
    </w:p>
    <w:p>
      <w:pPr>
        <w:pStyle w:val="Heading5"/>
        <w:tabs>
          <w:tab w:pos="9119" w:val="left" w:leader="dot"/>
        </w:tabs>
        <w:ind w:left="1101"/>
        <w:rPr>
          <w:rFonts w:ascii="Times New Roman" w:hAnsi="Times New Roman"/>
        </w:rPr>
      </w:pPr>
      <w:hyperlink w:history="true" w:anchor="_bookmark159">
        <w:r>
          <w:rPr/>
          <w:t>NOTA</w:t>
        </w:r>
        <w:r>
          <w:rPr>
            <w:spacing w:val="-1"/>
          </w:rPr>
          <w:t> </w:t>
        </w:r>
        <w:r>
          <w:rPr/>
          <w:t>N° </w:t>
        </w:r>
        <w:r>
          <w:rPr>
            <w:spacing w:val="-5"/>
          </w:rPr>
          <w:t>94</w:t>
        </w:r>
        <w:r>
          <w:rPr/>
          <w:tab/>
        </w:r>
        <w:r>
          <w:rPr>
            <w:rFonts w:ascii="Times New Roman" w:hAnsi="Times New Roman"/>
            <w:spacing w:val="-5"/>
          </w:rPr>
          <w:t>227</w:t>
        </w:r>
      </w:hyperlink>
    </w:p>
    <w:p>
      <w:pPr>
        <w:pStyle w:val="Heading5"/>
        <w:tabs>
          <w:tab w:pos="9119" w:val="left" w:leader="dot"/>
        </w:tabs>
        <w:spacing w:line="360" w:lineRule="auto" w:before="486"/>
        <w:ind w:right="986"/>
        <w:rPr>
          <w:rFonts w:ascii="Times New Roman" w:hAnsi="Times New Roman"/>
        </w:rPr>
      </w:pPr>
      <w:hyperlink w:history="true" w:anchor="_bookmark160">
        <w:r>
          <w:rPr/>
          <w:t>NICSP 33 - ADOPCIÓN POR PRIMERA VEZ DE LAS NICSP DE BASE DE</w:t>
        </w:r>
      </w:hyperlink>
      <w:r>
        <w:rPr>
          <w:spacing w:val="40"/>
        </w:rPr>
        <w:t> </w:t>
      </w:r>
      <w:hyperlink w:history="true" w:anchor="_bookmark160">
        <w:r>
          <w:rPr/>
          <w:t>ACUMULACIÓN</w:t>
        </w:r>
        <w:r>
          <w:rPr>
            <w:spacing w:val="-6"/>
          </w:rPr>
          <w:t> </w:t>
        </w:r>
        <w:r>
          <w:rPr/>
          <w:t>(O</w:t>
        </w:r>
        <w:r>
          <w:rPr>
            <w:spacing w:val="-5"/>
          </w:rPr>
          <w:t> </w:t>
        </w:r>
        <w:r>
          <w:rPr>
            <w:spacing w:val="-2"/>
          </w:rPr>
          <w:t>DEVENGO)</w:t>
        </w:r>
        <w:r>
          <w:rPr/>
          <w:tab/>
        </w:r>
        <w:r>
          <w:rPr>
            <w:rFonts w:ascii="Times New Roman" w:hAnsi="Times New Roman"/>
            <w:spacing w:val="-5"/>
          </w:rPr>
          <w:t>244</w:t>
        </w:r>
      </w:hyperlink>
    </w:p>
    <w:p>
      <w:pPr>
        <w:pStyle w:val="Heading5"/>
        <w:tabs>
          <w:tab w:pos="9119" w:val="left" w:leader="dot"/>
        </w:tabs>
        <w:spacing w:before="1"/>
        <w:ind w:left="1101"/>
        <w:rPr>
          <w:rFonts w:ascii="Times New Roman" w:hAnsi="Times New Roman"/>
        </w:rPr>
      </w:pPr>
      <w:hyperlink w:history="true" w:anchor="_bookmark161">
        <w:r>
          <w:rPr/>
          <w:t>NOTA</w:t>
        </w:r>
        <w:r>
          <w:rPr>
            <w:spacing w:val="-1"/>
          </w:rPr>
          <w:t> </w:t>
        </w:r>
        <w:r>
          <w:rPr/>
          <w:t>N° </w:t>
        </w:r>
        <w:r>
          <w:rPr>
            <w:spacing w:val="-5"/>
          </w:rPr>
          <w:t>95</w:t>
        </w:r>
        <w:r>
          <w:rPr/>
          <w:tab/>
        </w:r>
        <w:r>
          <w:rPr>
            <w:rFonts w:ascii="Times New Roman" w:hAnsi="Times New Roman"/>
            <w:spacing w:val="-5"/>
          </w:rPr>
          <w:t>244</w:t>
        </w:r>
      </w:hyperlink>
    </w:p>
    <w:p>
      <w:pPr>
        <w:pStyle w:val="Heading5"/>
        <w:tabs>
          <w:tab w:pos="9119" w:val="left" w:leader="dot"/>
        </w:tabs>
        <w:spacing w:before="366"/>
        <w:rPr>
          <w:rFonts w:ascii="Times New Roman"/>
        </w:rPr>
      </w:pPr>
      <w:hyperlink w:history="true" w:anchor="_bookmark162">
        <w:r>
          <w:rPr/>
          <w:t>NOTAS</w:t>
        </w:r>
        <w:r>
          <w:rPr>
            <w:spacing w:val="-4"/>
          </w:rPr>
          <w:t> </w:t>
        </w:r>
        <w:r>
          <w:rPr/>
          <w:t>INFORME</w:t>
        </w:r>
        <w:r>
          <w:rPr>
            <w:spacing w:val="-6"/>
          </w:rPr>
          <w:t> </w:t>
        </w:r>
        <w:r>
          <w:rPr/>
          <w:t>ESTADO</w:t>
        </w:r>
        <w:r>
          <w:rPr>
            <w:spacing w:val="-5"/>
          </w:rPr>
          <w:t> </w:t>
        </w:r>
        <w:r>
          <w:rPr/>
          <w:t>POR</w:t>
        </w:r>
        <w:r>
          <w:rPr>
            <w:spacing w:val="-6"/>
          </w:rPr>
          <w:t> </w:t>
        </w:r>
        <w:r>
          <w:rPr>
            <w:spacing w:val="-2"/>
          </w:rPr>
          <w:t>SEGMENTOS</w:t>
        </w:r>
        <w:r>
          <w:rPr/>
          <w:tab/>
        </w:r>
        <w:r>
          <w:rPr>
            <w:rFonts w:ascii="Times New Roman"/>
            <w:spacing w:val="-5"/>
          </w:rPr>
          <w:t>246</w:t>
        </w:r>
      </w:hyperlink>
    </w:p>
    <w:p>
      <w:pPr>
        <w:pStyle w:val="Heading5"/>
        <w:tabs>
          <w:tab w:pos="9119" w:val="left" w:leader="dot"/>
        </w:tabs>
        <w:spacing w:before="127"/>
        <w:ind w:left="1101"/>
        <w:rPr>
          <w:rFonts w:ascii="Times New Roman" w:hAnsi="Times New Roman"/>
        </w:rPr>
      </w:pPr>
      <w:hyperlink w:history="true" w:anchor="_bookmark163">
        <w:r>
          <w:rPr/>
          <w:t>NOTA</w:t>
        </w:r>
        <w:r>
          <w:rPr>
            <w:spacing w:val="-1"/>
          </w:rPr>
          <w:t> </w:t>
        </w:r>
        <w:r>
          <w:rPr/>
          <w:t>N° </w:t>
        </w:r>
        <w:r>
          <w:rPr>
            <w:spacing w:val="-5"/>
          </w:rPr>
          <w:t>96</w:t>
        </w:r>
        <w:r>
          <w:rPr/>
          <w:tab/>
        </w:r>
        <w:r>
          <w:rPr>
            <w:rFonts w:ascii="Times New Roman" w:hAnsi="Times New Roman"/>
            <w:spacing w:val="-5"/>
          </w:rPr>
          <w:t>246</w:t>
        </w:r>
      </w:hyperlink>
    </w:p>
    <w:p>
      <w:pPr>
        <w:pStyle w:val="Heading5"/>
        <w:tabs>
          <w:tab w:pos="9119" w:val="left" w:leader="dot"/>
        </w:tabs>
        <w:spacing w:before="367"/>
        <w:rPr>
          <w:rFonts w:ascii="Times New Roman" w:hAnsi="Times New Roman"/>
        </w:rPr>
      </w:pPr>
      <w:hyperlink w:history="true" w:anchor="_bookmark164">
        <w:r>
          <w:rPr/>
          <w:t>NOTAS</w:t>
        </w:r>
        <w:r>
          <w:rPr>
            <w:spacing w:val="-6"/>
          </w:rPr>
          <w:t> </w:t>
        </w:r>
        <w:r>
          <w:rPr/>
          <w:t>AL</w:t>
        </w:r>
        <w:r>
          <w:rPr>
            <w:spacing w:val="-4"/>
          </w:rPr>
          <w:t> </w:t>
        </w:r>
        <w:r>
          <w:rPr/>
          <w:t>INFORME</w:t>
        </w:r>
        <w:r>
          <w:rPr>
            <w:spacing w:val="-5"/>
          </w:rPr>
          <w:t> </w:t>
        </w:r>
        <w:r>
          <w:rPr/>
          <w:t>DEUDA</w:t>
        </w:r>
        <w:r>
          <w:rPr>
            <w:spacing w:val="-3"/>
          </w:rPr>
          <w:t> </w:t>
        </w:r>
        <w:r>
          <w:rPr>
            <w:spacing w:val="-2"/>
          </w:rPr>
          <w:t>PÚBLICA</w:t>
        </w:r>
        <w:r>
          <w:rPr/>
          <w:tab/>
        </w:r>
        <w:r>
          <w:rPr>
            <w:rFonts w:ascii="Times New Roman" w:hAnsi="Times New Roman"/>
            <w:spacing w:val="-5"/>
          </w:rPr>
          <w:t>249</w:t>
        </w:r>
      </w:hyperlink>
    </w:p>
    <w:p>
      <w:pPr>
        <w:pStyle w:val="Heading6"/>
        <w:tabs>
          <w:tab w:pos="9119" w:val="left" w:leader="dot"/>
        </w:tabs>
        <w:spacing w:before="126"/>
        <w:ind w:left="1101"/>
        <w:rPr>
          <w:rFonts w:ascii="Times New Roman" w:hAnsi="Times New Roman"/>
        </w:rPr>
      </w:pPr>
      <w:hyperlink w:history="true" w:anchor="_bookmark165">
        <w:r>
          <w:rPr/>
          <w:t>NOTA</w:t>
        </w:r>
        <w:r>
          <w:rPr>
            <w:spacing w:val="-2"/>
          </w:rPr>
          <w:t> </w:t>
        </w:r>
        <w:r>
          <w:rPr/>
          <w:t>N°</w:t>
        </w:r>
        <w:r>
          <w:rPr>
            <w:spacing w:val="-1"/>
          </w:rPr>
          <w:t> </w:t>
        </w:r>
        <w:r>
          <w:rPr/>
          <w:t>97</w:t>
        </w:r>
        <w:r>
          <w:rPr>
            <w:spacing w:val="-4"/>
          </w:rPr>
          <w:t> </w:t>
        </w:r>
        <w:r>
          <w:rPr/>
          <w:t>Saldos</w:t>
        </w:r>
        <w:r>
          <w:rPr>
            <w:spacing w:val="-1"/>
          </w:rPr>
          <w:t> </w:t>
        </w:r>
        <w:r>
          <w:rPr/>
          <w:t>de la</w:t>
        </w:r>
        <w:r>
          <w:rPr>
            <w:spacing w:val="-5"/>
          </w:rPr>
          <w:t> </w:t>
        </w:r>
        <w:r>
          <w:rPr/>
          <w:t>deuda</w:t>
        </w:r>
        <w:r>
          <w:rPr>
            <w:spacing w:val="-2"/>
          </w:rPr>
          <w:t> pública</w:t>
        </w:r>
        <w:r>
          <w:rPr/>
          <w:tab/>
        </w:r>
        <w:r>
          <w:rPr>
            <w:rFonts w:ascii="Times New Roman" w:hAnsi="Times New Roman"/>
            <w:spacing w:val="-5"/>
          </w:rPr>
          <w:t>249</w:t>
        </w:r>
      </w:hyperlink>
    </w:p>
    <w:p>
      <w:pPr>
        <w:pStyle w:val="Heading5"/>
        <w:tabs>
          <w:tab w:pos="9119" w:val="left" w:leader="dot"/>
        </w:tabs>
        <w:spacing w:before="367"/>
        <w:rPr>
          <w:rFonts w:ascii="Times New Roman"/>
        </w:rPr>
      </w:pPr>
      <w:hyperlink w:history="true" w:anchor="_bookmark166">
        <w:r>
          <w:rPr/>
          <w:t>NOTAS</w:t>
        </w:r>
        <w:r>
          <w:rPr>
            <w:spacing w:val="-7"/>
          </w:rPr>
          <w:t> </w:t>
        </w:r>
        <w:r>
          <w:rPr/>
          <w:t>CONTABLES</w:t>
        </w:r>
        <w:r>
          <w:rPr>
            <w:spacing w:val="-5"/>
          </w:rPr>
          <w:t> </w:t>
        </w:r>
        <w:r>
          <w:rPr>
            <w:spacing w:val="-2"/>
          </w:rPr>
          <w:t>PARTICULARES</w:t>
        </w:r>
        <w:r>
          <w:rPr/>
          <w:tab/>
        </w:r>
        <w:r>
          <w:rPr>
            <w:rFonts w:ascii="Times New Roman"/>
            <w:spacing w:val="-5"/>
          </w:rPr>
          <w:t>250</w:t>
        </w:r>
      </w:hyperlink>
    </w:p>
    <w:p>
      <w:pPr>
        <w:pStyle w:val="Heading6"/>
        <w:tabs>
          <w:tab w:pos="9119" w:val="left" w:leader="dot"/>
        </w:tabs>
        <w:spacing w:before="126"/>
        <w:ind w:left="1101"/>
        <w:rPr>
          <w:rFonts w:ascii="Times New Roman" w:hAnsi="Times New Roman"/>
        </w:rPr>
      </w:pPr>
      <w:hyperlink w:history="true" w:anchor="_bookmark167">
        <w:r>
          <w:rPr/>
          <w:t>NOTA</w:t>
        </w:r>
        <w:r>
          <w:rPr>
            <w:spacing w:val="-3"/>
          </w:rPr>
          <w:t> </w:t>
        </w:r>
        <w:r>
          <w:rPr/>
          <w:t>N°</w:t>
        </w:r>
        <w:r>
          <w:rPr>
            <w:spacing w:val="-3"/>
          </w:rPr>
          <w:t> </w:t>
        </w:r>
        <w:r>
          <w:rPr/>
          <w:t>98</w:t>
        </w:r>
        <w:r>
          <w:rPr>
            <w:spacing w:val="-5"/>
          </w:rPr>
          <w:t> </w:t>
        </w:r>
        <w:r>
          <w:rPr/>
          <w:t>Revelaciones</w:t>
        </w:r>
        <w:r>
          <w:rPr>
            <w:spacing w:val="-4"/>
          </w:rPr>
          <w:t> </w:t>
        </w:r>
        <w:r>
          <w:rPr>
            <w:spacing w:val="-2"/>
          </w:rPr>
          <w:t>particulares</w:t>
        </w:r>
        <w:r>
          <w:rPr/>
          <w:tab/>
        </w:r>
        <w:r>
          <w:rPr>
            <w:rFonts w:ascii="Times New Roman" w:hAnsi="Times New Roman"/>
            <w:spacing w:val="-5"/>
          </w:rPr>
          <w:t>250</w:t>
        </w:r>
      </w:hyperlink>
    </w:p>
    <w:p>
      <w:pPr>
        <w:pStyle w:val="Heading6"/>
        <w:spacing w:after="0"/>
        <w:rPr>
          <w:rFonts w:ascii="Times New Roman" w:hAnsi="Times New Roman"/>
        </w:rPr>
        <w:sectPr>
          <w:type w:val="continuous"/>
          <w:pgSz w:w="12240" w:h="15840"/>
          <w:pgMar w:top="18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28320">
                <wp:simplePos x="0" y="0"/>
                <wp:positionH relativeFrom="page">
                  <wp:posOffset>9525</wp:posOffset>
                </wp:positionH>
                <wp:positionV relativeFrom="page">
                  <wp:posOffset>297208</wp:posOffset>
                </wp:positionV>
                <wp:extent cx="7762875" cy="974852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7762875" cy="9748520"/>
                          <a:chExt cx="7762875" cy="9748520"/>
                        </a:xfrm>
                      </wpg:grpSpPr>
                      <pic:pic>
                        <pic:nvPicPr>
                          <pic:cNvPr id="21" name="Image 21"/>
                          <pic:cNvPicPr/>
                        </pic:nvPicPr>
                        <pic:blipFill>
                          <a:blip r:embed="rId5" cstate="print"/>
                          <a:stretch>
                            <a:fillRect/>
                          </a:stretch>
                        </pic:blipFill>
                        <pic:spPr>
                          <a:xfrm>
                            <a:off x="0" y="0"/>
                            <a:ext cx="7762874" cy="9748489"/>
                          </a:xfrm>
                          <a:prstGeom prst="rect">
                            <a:avLst/>
                          </a:prstGeom>
                        </pic:spPr>
                      </pic:pic>
                      <wps:wsp>
                        <wps:cNvPr id="22" name="Graphic 2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8160" id="docshapegroup19" coordorigin="15,468" coordsize="12225,15352">
                <v:shape style="position:absolute;left:15;top:468;width:12225;height:15352" type="#_x0000_t75" id="docshape20" stroked="false">
                  <v:imagedata r:id="rId5" o:title=""/>
                </v:shape>
                <v:rect style="position:absolute;left:1673;top:2028;width:8897;height:15" id="docshape2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10"/>
          <w:sz w:val="20"/>
        </w:rPr>
        <w:t>8</w:t>
      </w:r>
    </w:p>
    <w:p>
      <w:pPr>
        <w:pStyle w:val="Heading6"/>
        <w:tabs>
          <w:tab w:pos="9119" w:val="left" w:leader="dot"/>
        </w:tabs>
        <w:spacing w:before="218"/>
        <w:ind w:left="622"/>
        <w:rPr>
          <w:rFonts w:ascii="Times New Roman" w:hAnsi="Times New Roman"/>
        </w:rPr>
      </w:pPr>
      <w:hyperlink w:history="true" w:anchor="_bookmark168">
        <w:r>
          <w:rPr/>
          <w:t>Entrega</w:t>
        </w:r>
        <w:r>
          <w:rPr>
            <w:spacing w:val="-2"/>
          </w:rPr>
          <w:t> </w:t>
        </w:r>
        <w:r>
          <w:rPr/>
          <w:t>de</w:t>
        </w:r>
        <w:r>
          <w:rPr>
            <w:spacing w:val="-1"/>
          </w:rPr>
          <w:t> </w:t>
        </w:r>
        <w:r>
          <w:rPr>
            <w:spacing w:val="-2"/>
          </w:rPr>
          <w:t>Información</w:t>
        </w:r>
        <w:r>
          <w:rPr/>
          <w:tab/>
        </w:r>
        <w:r>
          <w:rPr>
            <w:rFonts w:ascii="Times New Roman" w:hAnsi="Times New Roman"/>
            <w:spacing w:val="-5"/>
          </w:rPr>
          <w:t>250</w:t>
        </w:r>
      </w:hyperlink>
    </w:p>
    <w:p>
      <w:pPr>
        <w:pStyle w:val="Heading5"/>
        <w:tabs>
          <w:tab w:pos="9119" w:val="left" w:leader="dot"/>
        </w:tabs>
        <w:spacing w:before="487"/>
        <w:rPr>
          <w:rFonts w:ascii="Times New Roman"/>
        </w:rPr>
      </w:pPr>
      <w:hyperlink w:history="true" w:anchor="_bookmark169">
        <w:r>
          <w:rPr>
            <w:rFonts w:ascii="Times New Roman"/>
            <w:spacing w:val="-2"/>
          </w:rPr>
          <w:t>ANEXOS</w:t>
        </w:r>
        <w:r>
          <w:rPr>
            <w:rFonts w:ascii="Times New Roman"/>
          </w:rPr>
          <w:tab/>
        </w:r>
        <w:r>
          <w:rPr>
            <w:rFonts w:ascii="Times New Roman"/>
            <w:spacing w:val="-5"/>
          </w:rPr>
          <w:t>251</w:t>
        </w:r>
      </w:hyperlink>
    </w:p>
    <w:p>
      <w:pPr>
        <w:pStyle w:val="Heading5"/>
        <w:tabs>
          <w:tab w:pos="9119" w:val="left" w:leader="dot"/>
        </w:tabs>
        <w:spacing w:before="486"/>
        <w:rPr>
          <w:rFonts w:ascii="Times New Roman"/>
        </w:rPr>
      </w:pPr>
      <w:hyperlink w:history="true" w:anchor="_bookmark170">
        <w:r>
          <w:rPr>
            <w:rFonts w:ascii="Times New Roman"/>
          </w:rPr>
          <w:t>ANEXOS</w:t>
        </w:r>
        <w:r>
          <w:rPr>
            <w:rFonts w:ascii="Times New Roman"/>
            <w:spacing w:val="-7"/>
          </w:rPr>
          <w:t> </w:t>
        </w:r>
        <w:r>
          <w:rPr>
            <w:rFonts w:ascii="Times New Roman"/>
            <w:spacing w:val="-10"/>
          </w:rPr>
          <w:t>1</w:t>
        </w:r>
        <w:r>
          <w:rPr>
            <w:rFonts w:ascii="Times New Roman"/>
          </w:rPr>
          <w:tab/>
        </w:r>
        <w:r>
          <w:rPr>
            <w:rFonts w:ascii="Times New Roman"/>
            <w:spacing w:val="-5"/>
          </w:rPr>
          <w:t>251</w:t>
        </w:r>
      </w:hyperlink>
    </w:p>
    <w:p>
      <w:pPr>
        <w:pStyle w:val="Heading5"/>
        <w:tabs>
          <w:tab w:pos="9119" w:val="left" w:leader="dot"/>
        </w:tabs>
        <w:spacing w:before="368"/>
        <w:rPr>
          <w:rFonts w:ascii="Times New Roman"/>
        </w:rPr>
      </w:pPr>
      <w:hyperlink w:history="true" w:anchor="_bookmark171">
        <w:r>
          <w:rPr>
            <w:rFonts w:ascii="Times New Roman"/>
            <w:spacing w:val="-2"/>
          </w:rPr>
          <w:t>NICSP</w:t>
        </w:r>
        <w:r>
          <w:rPr>
            <w:rFonts w:ascii="Times New Roman"/>
          </w:rPr>
          <w:tab/>
        </w:r>
        <w:r>
          <w:rPr>
            <w:rFonts w:ascii="Times New Roman"/>
            <w:spacing w:val="-5"/>
          </w:rPr>
          <w:t>251</w:t>
        </w:r>
      </w:hyperlink>
    </w:p>
    <w:p>
      <w:pPr>
        <w:pStyle w:val="Heading5"/>
        <w:tabs>
          <w:tab w:pos="9119" w:val="left" w:leader="dot"/>
        </w:tabs>
        <w:spacing w:before="127"/>
        <w:ind w:left="862"/>
        <w:rPr>
          <w:rFonts w:ascii="Times New Roman"/>
        </w:rPr>
      </w:pPr>
      <w:hyperlink w:history="true" w:anchor="_bookmark172">
        <w:r>
          <w:rPr>
            <w:rFonts w:ascii="Times New Roman"/>
          </w:rPr>
          <w:t>NICSP</w:t>
        </w:r>
        <w:r>
          <w:rPr>
            <w:rFonts w:ascii="Times New Roman"/>
            <w:spacing w:val="-3"/>
          </w:rPr>
          <w:t> </w:t>
        </w:r>
        <w:r>
          <w:rPr>
            <w:rFonts w:ascii="Times New Roman"/>
          </w:rPr>
          <w:t>13</w:t>
        </w:r>
        <w:r>
          <w:rPr>
            <w:rFonts w:ascii="Times New Roman"/>
            <w:spacing w:val="-2"/>
          </w:rPr>
          <w:t> ARRENDAMIENTOS</w:t>
        </w:r>
        <w:r>
          <w:rPr>
            <w:rFonts w:ascii="Times New Roman"/>
          </w:rPr>
          <w:tab/>
        </w:r>
        <w:r>
          <w:rPr>
            <w:rFonts w:ascii="Times New Roman"/>
            <w:spacing w:val="-5"/>
          </w:rPr>
          <w:t>251</w:t>
        </w:r>
      </w:hyperlink>
    </w:p>
    <w:p>
      <w:pPr>
        <w:pStyle w:val="Heading5"/>
        <w:tabs>
          <w:tab w:pos="9119" w:val="left" w:leader="dot"/>
        </w:tabs>
        <w:spacing w:before="126"/>
        <w:ind w:left="862"/>
        <w:rPr>
          <w:rFonts w:ascii="Times New Roman"/>
        </w:rPr>
      </w:pPr>
      <w:hyperlink w:history="true" w:anchor="_bookmark173">
        <w:r>
          <w:rPr>
            <w:rFonts w:ascii="Times New Roman"/>
          </w:rPr>
          <w:t>NICSP</w:t>
        </w:r>
        <w:r>
          <w:rPr>
            <w:rFonts w:ascii="Times New Roman"/>
            <w:spacing w:val="-3"/>
          </w:rPr>
          <w:t> </w:t>
        </w:r>
        <w:r>
          <w:rPr>
            <w:rFonts w:ascii="Times New Roman"/>
          </w:rPr>
          <w:t>27-</w:t>
        </w:r>
        <w:r>
          <w:rPr>
            <w:rFonts w:ascii="Times New Roman"/>
            <w:spacing w:val="-2"/>
          </w:rPr>
          <w:t> AGRICULTURA</w:t>
        </w:r>
        <w:r>
          <w:rPr>
            <w:rFonts w:ascii="Times New Roman"/>
          </w:rPr>
          <w:tab/>
        </w:r>
        <w:r>
          <w:rPr>
            <w:rFonts w:ascii="Times New Roman"/>
            <w:spacing w:val="-5"/>
          </w:rPr>
          <w:t>252</w:t>
        </w:r>
      </w:hyperlink>
    </w:p>
    <w:p>
      <w:pPr>
        <w:pStyle w:val="Heading5"/>
        <w:tabs>
          <w:tab w:pos="9119" w:val="left" w:leader="dot"/>
        </w:tabs>
        <w:spacing w:before="127"/>
        <w:ind w:left="862"/>
        <w:rPr>
          <w:rFonts w:ascii="Times New Roman"/>
        </w:rPr>
      </w:pPr>
      <w:hyperlink w:history="true" w:anchor="_bookmark174">
        <w:r>
          <w:rPr>
            <w:rFonts w:ascii="Times New Roman"/>
          </w:rPr>
          <w:t>NICSP</w:t>
        </w:r>
        <w:r>
          <w:rPr>
            <w:rFonts w:ascii="Times New Roman"/>
            <w:spacing w:val="-5"/>
          </w:rPr>
          <w:t> </w:t>
        </w:r>
        <w:r>
          <w:rPr>
            <w:rFonts w:ascii="Times New Roman"/>
          </w:rPr>
          <w:t>28-</w:t>
        </w:r>
        <w:r>
          <w:rPr>
            <w:rFonts w:ascii="Times New Roman"/>
            <w:spacing w:val="-2"/>
          </w:rPr>
          <w:t> </w:t>
        </w:r>
        <w:r>
          <w:rPr>
            <w:rFonts w:ascii="Times New Roman"/>
          </w:rPr>
          <w:t>29-</w:t>
        </w:r>
        <w:r>
          <w:rPr>
            <w:rFonts w:ascii="Times New Roman"/>
            <w:spacing w:val="-2"/>
          </w:rPr>
          <w:t> </w:t>
        </w:r>
        <w:r>
          <w:rPr>
            <w:rFonts w:ascii="Times New Roman"/>
            <w:spacing w:val="-5"/>
          </w:rPr>
          <w:t>30</w:t>
        </w:r>
        <w:r>
          <w:rPr>
            <w:rFonts w:ascii="Times New Roman"/>
          </w:rPr>
          <w:tab/>
        </w:r>
        <w:r>
          <w:rPr>
            <w:rFonts w:ascii="Times New Roman"/>
            <w:spacing w:val="-5"/>
          </w:rPr>
          <w:t>253</w:t>
        </w:r>
      </w:hyperlink>
    </w:p>
    <w:p>
      <w:pPr>
        <w:pStyle w:val="Heading5"/>
        <w:tabs>
          <w:tab w:pos="9119" w:val="left" w:leader="dot"/>
        </w:tabs>
        <w:spacing w:before="486"/>
        <w:rPr>
          <w:rFonts w:ascii="Times New Roman"/>
        </w:rPr>
      </w:pPr>
      <w:hyperlink w:history="true" w:anchor="_bookmark175">
        <w:r>
          <w:rPr>
            <w:rFonts w:ascii="Times New Roman"/>
          </w:rPr>
          <w:t>ANEXOS</w:t>
        </w:r>
        <w:r>
          <w:rPr>
            <w:rFonts w:ascii="Times New Roman"/>
            <w:spacing w:val="-7"/>
          </w:rPr>
          <w:t> </w:t>
        </w:r>
        <w:r>
          <w:rPr>
            <w:rFonts w:ascii="Times New Roman"/>
            <w:spacing w:val="-10"/>
          </w:rPr>
          <w:t>2</w:t>
        </w:r>
        <w:r>
          <w:rPr>
            <w:rFonts w:ascii="Times New Roman"/>
          </w:rPr>
          <w:tab/>
        </w:r>
        <w:r>
          <w:rPr>
            <w:rFonts w:ascii="Times New Roman"/>
            <w:spacing w:val="-5"/>
          </w:rPr>
          <w:t>253</w:t>
        </w:r>
      </w:hyperlink>
    </w:p>
    <w:p>
      <w:pPr>
        <w:pStyle w:val="Heading6"/>
        <w:tabs>
          <w:tab w:pos="9119" w:val="left" w:leader="dot"/>
        </w:tabs>
        <w:spacing w:before="486"/>
        <w:ind w:left="622"/>
        <w:rPr>
          <w:rFonts w:ascii="Times New Roman" w:hAnsi="Times New Roman"/>
        </w:rPr>
      </w:pPr>
      <w:hyperlink w:history="true" w:anchor="_bookmark176">
        <w:r>
          <w:rPr>
            <w:rFonts w:ascii="Times New Roman" w:hAnsi="Times New Roman"/>
          </w:rPr>
          <w:t>Información</w:t>
        </w:r>
        <w:r>
          <w:rPr>
            <w:rFonts w:ascii="Times New Roman" w:hAnsi="Times New Roman"/>
            <w:spacing w:val="-5"/>
          </w:rPr>
          <w:t> </w:t>
        </w:r>
        <w:r>
          <w:rPr>
            <w:rFonts w:ascii="Times New Roman" w:hAnsi="Times New Roman"/>
            <w:spacing w:val="-2"/>
          </w:rPr>
          <w:t>Complementaria</w:t>
        </w:r>
        <w:r>
          <w:rPr>
            <w:rFonts w:ascii="Times New Roman" w:hAnsi="Times New Roman"/>
          </w:rPr>
          <w:tab/>
        </w:r>
        <w:r>
          <w:rPr>
            <w:rFonts w:ascii="Times New Roman" w:hAnsi="Times New Roman"/>
            <w:spacing w:val="-5"/>
          </w:rPr>
          <w:t>253</w:t>
        </w:r>
      </w:hyperlink>
    </w:p>
    <w:p>
      <w:pPr>
        <w:pStyle w:val="Heading6"/>
        <w:spacing w:after="0"/>
        <w:rPr>
          <w:rFonts w:ascii="Times New Roman" w:hAnsi="Times New Roman"/>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28832">
                <wp:simplePos x="0" y="0"/>
                <wp:positionH relativeFrom="page">
                  <wp:posOffset>9525</wp:posOffset>
                </wp:positionH>
                <wp:positionV relativeFrom="page">
                  <wp:posOffset>297208</wp:posOffset>
                </wp:positionV>
                <wp:extent cx="7762875" cy="974852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7762875" cy="9748520"/>
                          <a:chExt cx="7762875" cy="9748520"/>
                        </a:xfrm>
                      </wpg:grpSpPr>
                      <pic:pic>
                        <pic:nvPicPr>
                          <pic:cNvPr id="24" name="Image 24"/>
                          <pic:cNvPicPr/>
                        </pic:nvPicPr>
                        <pic:blipFill>
                          <a:blip r:embed="rId5" cstate="print"/>
                          <a:stretch>
                            <a:fillRect/>
                          </a:stretch>
                        </pic:blipFill>
                        <pic:spPr>
                          <a:xfrm>
                            <a:off x="0" y="0"/>
                            <a:ext cx="7762874" cy="9748489"/>
                          </a:xfrm>
                          <a:prstGeom prst="rect">
                            <a:avLst/>
                          </a:prstGeom>
                        </pic:spPr>
                      </pic:pic>
                      <wps:wsp>
                        <wps:cNvPr id="25" name="Graphic 2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26" name="Image 26" descr="Tabla  El contenido generado por IA puede ser incorrecto."/>
                          <pic:cNvPicPr/>
                        </pic:nvPicPr>
                        <pic:blipFill>
                          <a:blip r:embed="rId6" cstate="print"/>
                          <a:stretch>
                            <a:fillRect/>
                          </a:stretch>
                        </pic:blipFill>
                        <pic:spPr>
                          <a:xfrm>
                            <a:off x="1807844" y="1277095"/>
                            <a:ext cx="4137659" cy="1165593"/>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87648" id="docshapegroup22" coordorigin="15,468" coordsize="12225,15352">
                <v:shape style="position:absolute;left:15;top:468;width:12225;height:15352" type="#_x0000_t75" id="docshape23" stroked="false">
                  <v:imagedata r:id="rId5" o:title=""/>
                </v:shape>
                <v:rect style="position:absolute;left:1673;top:2028;width:8897;height:15" id="docshape24" filled="true" fillcolor="#000000" stroked="false">
                  <v:fill type="solid"/>
                </v:rect>
                <v:shape style="position:absolute;left:2862;top:2479;width:6516;height:1836" type="#_x0000_t75" id="docshape25" alt="Tabla  El contenido generado por IA puede ser incorrecto." stroked="false">
                  <v:imagedata r:id="rId6" o:title=""/>
                </v:shape>
                <w10:wrap type="none"/>
              </v:group>
            </w:pict>
          </mc:Fallback>
        </mc:AlternateContent>
      </w:r>
      <w:r>
        <w:rPr>
          <w:color w:val="172951"/>
          <w:sz w:val="20"/>
        </w:rPr>
        <w:t>Pág.</w:t>
      </w:r>
      <w:r>
        <w:rPr>
          <w:color w:val="172951"/>
          <w:spacing w:val="-7"/>
          <w:sz w:val="20"/>
        </w:rPr>
        <w:t> </w:t>
      </w:r>
      <w:r>
        <w:rPr>
          <w:color w:val="172951"/>
          <w:spacing w:val="-10"/>
          <w:sz w:val="20"/>
        </w:rPr>
        <w:t>9</w:t>
      </w:r>
    </w:p>
    <w:p>
      <w:pPr>
        <w:pStyle w:val="Heading5"/>
        <w:spacing w:before="218"/>
      </w:pPr>
      <w:bookmarkStart w:name="_bookmark0" w:id="1"/>
      <w:bookmarkEnd w:id="1"/>
      <w:r>
        <w:rPr>
          <w:b w:val="0"/>
        </w:rPr>
      </w:r>
      <w:r>
        <w:rPr/>
        <w:t>NOTAS</w:t>
      </w:r>
      <w:r>
        <w:rPr>
          <w:spacing w:val="-6"/>
        </w:rPr>
        <w:t> </w:t>
      </w:r>
      <w:r>
        <w:rPr/>
        <w:t>A</w:t>
      </w:r>
      <w:r>
        <w:rPr>
          <w:spacing w:val="-3"/>
        </w:rPr>
        <w:t> </w:t>
      </w:r>
      <w:r>
        <w:rPr/>
        <w:t>LOS</w:t>
      </w:r>
      <w:r>
        <w:rPr>
          <w:spacing w:val="-3"/>
        </w:rPr>
        <w:t> </w:t>
      </w:r>
      <w:r>
        <w:rPr/>
        <w:t>ESTADOS</w:t>
      </w:r>
      <w:r>
        <w:rPr>
          <w:spacing w:val="-3"/>
        </w:rPr>
        <w:t> </w:t>
      </w:r>
      <w:r>
        <w:rPr>
          <w:spacing w:val="-2"/>
        </w:rPr>
        <w:t>FINANCIEROS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
        <w:rPr>
          <w:b/>
        </w:rPr>
      </w:pPr>
    </w:p>
    <w:p>
      <w:pPr>
        <w:pStyle w:val="BodyText"/>
        <w:spacing w:line="259" w:lineRule="auto"/>
        <w:ind w:left="622" w:right="1001"/>
      </w:pPr>
      <w:r>
        <w:rPr/>
        <w:t>Deben contener información adicional en los estados principales y complementarios. Éstas proporcionan descripciones narrativas o desagregaciones de partidas reveladas en dichos estados y contienen</w:t>
      </w:r>
      <w:r>
        <w:rPr>
          <w:spacing w:val="-3"/>
        </w:rPr>
        <w:t> </w:t>
      </w:r>
      <w:r>
        <w:rPr/>
        <w:t>información</w:t>
      </w:r>
      <w:r>
        <w:rPr>
          <w:spacing w:val="-5"/>
        </w:rPr>
        <w:t> </w:t>
      </w:r>
      <w:r>
        <w:rPr/>
        <w:t>sobre</w:t>
      </w:r>
      <w:r>
        <w:rPr>
          <w:spacing w:val="-2"/>
        </w:rPr>
        <w:t> </w:t>
      </w:r>
      <w:r>
        <w:rPr/>
        <w:t>las</w:t>
      </w:r>
      <w:r>
        <w:rPr>
          <w:spacing w:val="-5"/>
        </w:rPr>
        <w:t> </w:t>
      </w:r>
      <w:r>
        <w:rPr/>
        <w:t>que</w:t>
      </w:r>
      <w:r>
        <w:rPr>
          <w:spacing w:val="-2"/>
        </w:rPr>
        <w:t> </w:t>
      </w:r>
      <w:r>
        <w:rPr/>
        <w:t>no</w:t>
      </w:r>
      <w:r>
        <w:rPr>
          <w:spacing w:val="-5"/>
        </w:rPr>
        <w:t> </w:t>
      </w:r>
      <w:r>
        <w:rPr/>
        <w:t>cumplen</w:t>
      </w:r>
      <w:r>
        <w:rPr>
          <w:spacing w:val="-3"/>
        </w:rPr>
        <w:t> </w:t>
      </w:r>
      <w:r>
        <w:rPr/>
        <w:t>las</w:t>
      </w:r>
      <w:r>
        <w:rPr>
          <w:spacing w:val="-2"/>
        </w:rPr>
        <w:t> </w:t>
      </w:r>
      <w:r>
        <w:rPr/>
        <w:t>condiciones</w:t>
      </w:r>
      <w:r>
        <w:rPr>
          <w:spacing w:val="-2"/>
        </w:rPr>
        <w:t> </w:t>
      </w:r>
      <w:r>
        <w:rPr/>
        <w:t>para</w:t>
      </w:r>
      <w:r>
        <w:rPr>
          <w:spacing w:val="-4"/>
        </w:rPr>
        <w:t> </w:t>
      </w:r>
      <w:r>
        <w:rPr/>
        <w:t>ser</w:t>
      </w:r>
      <w:r>
        <w:rPr>
          <w:spacing w:val="-3"/>
        </w:rPr>
        <w:t> </w:t>
      </w:r>
      <w:r>
        <w:rPr/>
        <w:t>reconocidas</w:t>
      </w:r>
      <w:r>
        <w:rPr>
          <w:spacing w:val="-2"/>
        </w:rPr>
        <w:t> </w:t>
      </w:r>
      <w:r>
        <w:rPr/>
        <w:t>en</w:t>
      </w:r>
      <w:r>
        <w:rPr>
          <w:spacing w:val="-5"/>
        </w:rPr>
        <w:t> </w:t>
      </w:r>
      <w:r>
        <w:rPr/>
        <w:t>los</w:t>
      </w:r>
      <w:r>
        <w:rPr>
          <w:spacing w:val="-2"/>
        </w:rPr>
        <w:t> </w:t>
      </w:r>
      <w:r>
        <w:rPr/>
        <w:t>estados. La estructura de las notas deberá:</w:t>
      </w:r>
    </w:p>
    <w:p>
      <w:pPr>
        <w:pStyle w:val="ListParagraph"/>
        <w:numPr>
          <w:ilvl w:val="2"/>
          <w:numId w:val="6"/>
        </w:numPr>
        <w:tabs>
          <w:tab w:pos="1342" w:val="left" w:leader="none"/>
        </w:tabs>
        <w:spacing w:line="360" w:lineRule="auto" w:before="160" w:after="0"/>
        <w:ind w:left="1342" w:right="980" w:hanging="360"/>
        <w:jc w:val="left"/>
        <w:rPr>
          <w:sz w:val="22"/>
        </w:rPr>
      </w:pPr>
      <w:r>
        <w:rPr>
          <w:sz w:val="22"/>
        </w:rPr>
        <w:t>presentar</w:t>
      </w:r>
      <w:r>
        <w:rPr>
          <w:spacing w:val="-8"/>
          <w:sz w:val="22"/>
        </w:rPr>
        <w:t> </w:t>
      </w:r>
      <w:r>
        <w:rPr>
          <w:sz w:val="22"/>
        </w:rPr>
        <w:t>información</w:t>
      </w:r>
      <w:r>
        <w:rPr>
          <w:spacing w:val="-8"/>
          <w:sz w:val="22"/>
        </w:rPr>
        <w:t> </w:t>
      </w:r>
      <w:r>
        <w:rPr>
          <w:sz w:val="22"/>
        </w:rPr>
        <w:t>acerca</w:t>
      </w:r>
      <w:r>
        <w:rPr>
          <w:spacing w:val="-9"/>
          <w:sz w:val="22"/>
        </w:rPr>
        <w:t> </w:t>
      </w:r>
      <w:r>
        <w:rPr>
          <w:sz w:val="22"/>
        </w:rPr>
        <w:t>de</w:t>
      </w:r>
      <w:r>
        <w:rPr>
          <w:spacing w:val="-8"/>
          <w:sz w:val="22"/>
        </w:rPr>
        <w:t> </w:t>
      </w:r>
      <w:r>
        <w:rPr>
          <w:sz w:val="22"/>
        </w:rPr>
        <w:t>las</w:t>
      </w:r>
      <w:r>
        <w:rPr>
          <w:spacing w:val="-7"/>
          <w:sz w:val="22"/>
        </w:rPr>
        <w:t> </w:t>
      </w:r>
      <w:r>
        <w:rPr>
          <w:sz w:val="22"/>
        </w:rPr>
        <w:t>bases</w:t>
      </w:r>
      <w:r>
        <w:rPr>
          <w:spacing w:val="-7"/>
          <w:sz w:val="22"/>
        </w:rPr>
        <w:t> </w:t>
      </w:r>
      <w:r>
        <w:rPr>
          <w:sz w:val="22"/>
        </w:rPr>
        <w:t>para</w:t>
      </w:r>
      <w:r>
        <w:rPr>
          <w:spacing w:val="-9"/>
          <w:sz w:val="22"/>
        </w:rPr>
        <w:t> </w:t>
      </w:r>
      <w:r>
        <w:rPr>
          <w:sz w:val="22"/>
        </w:rPr>
        <w:t>la</w:t>
      </w:r>
      <w:r>
        <w:rPr>
          <w:spacing w:val="-9"/>
          <w:sz w:val="22"/>
        </w:rPr>
        <w:t> </w:t>
      </w:r>
      <w:r>
        <w:rPr>
          <w:sz w:val="22"/>
        </w:rPr>
        <w:t>preparación</w:t>
      </w:r>
      <w:r>
        <w:rPr>
          <w:spacing w:val="-8"/>
          <w:sz w:val="22"/>
        </w:rPr>
        <w:t> </w:t>
      </w:r>
      <w:r>
        <w:rPr>
          <w:sz w:val="22"/>
        </w:rPr>
        <w:t>de</w:t>
      </w:r>
      <w:r>
        <w:rPr>
          <w:spacing w:val="-8"/>
          <w:sz w:val="22"/>
        </w:rPr>
        <w:t> </w:t>
      </w:r>
      <w:r>
        <w:rPr>
          <w:sz w:val="22"/>
        </w:rPr>
        <w:t>los</w:t>
      </w:r>
      <w:r>
        <w:rPr>
          <w:spacing w:val="-9"/>
          <w:sz w:val="22"/>
        </w:rPr>
        <w:t> </w:t>
      </w:r>
      <w:r>
        <w:rPr>
          <w:sz w:val="22"/>
        </w:rPr>
        <w:t>EEFF</w:t>
      </w:r>
      <w:r>
        <w:rPr>
          <w:spacing w:val="-8"/>
          <w:sz w:val="22"/>
        </w:rPr>
        <w:t> </w:t>
      </w:r>
      <w:r>
        <w:rPr>
          <w:sz w:val="22"/>
        </w:rPr>
        <w:t>y</w:t>
      </w:r>
      <w:r>
        <w:rPr>
          <w:spacing w:val="-9"/>
          <w:sz w:val="22"/>
        </w:rPr>
        <w:t> </w:t>
      </w:r>
      <w:r>
        <w:rPr>
          <w:sz w:val="22"/>
        </w:rPr>
        <w:t>sobre</w:t>
      </w:r>
      <w:r>
        <w:rPr>
          <w:spacing w:val="-7"/>
          <w:sz w:val="22"/>
        </w:rPr>
        <w:t> </w:t>
      </w:r>
      <w:r>
        <w:rPr>
          <w:sz w:val="22"/>
        </w:rPr>
        <w:t>las</w:t>
      </w:r>
      <w:r>
        <w:rPr>
          <w:spacing w:val="-7"/>
          <w:sz w:val="22"/>
        </w:rPr>
        <w:t> </w:t>
      </w:r>
      <w:r>
        <w:rPr>
          <w:sz w:val="22"/>
        </w:rPr>
        <w:t>políticas contables específicas utilizadas</w:t>
      </w:r>
    </w:p>
    <w:p>
      <w:pPr>
        <w:pStyle w:val="ListParagraph"/>
        <w:numPr>
          <w:ilvl w:val="2"/>
          <w:numId w:val="6"/>
        </w:numPr>
        <w:tabs>
          <w:tab w:pos="1340" w:val="left" w:leader="none"/>
          <w:tab w:pos="1342" w:val="left" w:leader="none"/>
        </w:tabs>
        <w:spacing w:line="360" w:lineRule="auto" w:before="0" w:after="0"/>
        <w:ind w:left="1342" w:right="983" w:hanging="360"/>
        <w:jc w:val="left"/>
        <w:rPr>
          <w:sz w:val="22"/>
        </w:rPr>
      </w:pPr>
      <w:r>
        <w:rPr>
          <w:sz w:val="22"/>
        </w:rPr>
        <w:t>revelar la</w:t>
      </w:r>
      <w:r>
        <w:rPr>
          <w:spacing w:val="-1"/>
          <w:sz w:val="22"/>
        </w:rPr>
        <w:t> </w:t>
      </w:r>
      <w:r>
        <w:rPr>
          <w:sz w:val="22"/>
        </w:rPr>
        <w:t>información requerida</w:t>
      </w:r>
      <w:r>
        <w:rPr>
          <w:spacing w:val="-1"/>
          <w:sz w:val="22"/>
        </w:rPr>
        <w:t> </w:t>
      </w:r>
      <w:r>
        <w:rPr>
          <w:sz w:val="22"/>
        </w:rPr>
        <w:t>por las NICSP</w:t>
      </w:r>
      <w:r>
        <w:rPr>
          <w:spacing w:val="-2"/>
          <w:sz w:val="22"/>
        </w:rPr>
        <w:t> </w:t>
      </w:r>
      <w:r>
        <w:rPr>
          <w:sz w:val="22"/>
        </w:rPr>
        <w:t>que no</w:t>
      </w:r>
      <w:r>
        <w:rPr>
          <w:spacing w:val="-2"/>
          <w:sz w:val="22"/>
        </w:rPr>
        <w:t> </w:t>
      </w:r>
      <w:r>
        <w:rPr>
          <w:sz w:val="22"/>
        </w:rPr>
        <w:t>se presenta en los</w:t>
      </w:r>
      <w:r>
        <w:rPr>
          <w:spacing w:val="-1"/>
          <w:sz w:val="22"/>
        </w:rPr>
        <w:t> </w:t>
      </w:r>
      <w:r>
        <w:rPr>
          <w:sz w:val="22"/>
        </w:rPr>
        <w:t>estados</w:t>
      </w:r>
      <w:r>
        <w:rPr>
          <w:spacing w:val="-1"/>
          <w:sz w:val="22"/>
        </w:rPr>
        <w:t> </w:t>
      </w:r>
      <w:r>
        <w:rPr>
          <w:sz w:val="22"/>
        </w:rPr>
        <w:t>principales y complementarios de los EEFF; y</w:t>
      </w:r>
    </w:p>
    <w:p>
      <w:pPr>
        <w:pStyle w:val="ListParagraph"/>
        <w:numPr>
          <w:ilvl w:val="2"/>
          <w:numId w:val="6"/>
        </w:numPr>
        <w:tabs>
          <w:tab w:pos="1342" w:val="left" w:leader="none"/>
        </w:tabs>
        <w:spacing w:line="360" w:lineRule="auto" w:before="0" w:after="0"/>
        <w:ind w:left="1342" w:right="980" w:hanging="360"/>
        <w:jc w:val="left"/>
        <w:rPr>
          <w:sz w:val="22"/>
        </w:rPr>
      </w:pPr>
      <w:r>
        <w:rPr>
          <w:sz w:val="22"/>
        </w:rPr>
        <w:t>suministrar la información adicional que, no presentándose en los estados principales y com-plementarios de los EEFF, sea relevante para la comprensión de alguno de ellos.</w:t>
      </w:r>
    </w:p>
    <w:p>
      <w:pPr>
        <w:pStyle w:val="BodyText"/>
        <w:spacing w:before="159"/>
        <w:ind w:left="622"/>
      </w:pPr>
      <w:bookmarkStart w:name="_bookmark1" w:id="2"/>
      <w:bookmarkEnd w:id="2"/>
      <w:r>
        <w:rPr/>
      </w:r>
      <w:r>
        <w:rPr>
          <w:color w:val="1F3863"/>
        </w:rPr>
        <w:t>DECLARACIÓN</w:t>
      </w:r>
      <w:r>
        <w:rPr>
          <w:color w:val="1F3863"/>
          <w:spacing w:val="-8"/>
        </w:rPr>
        <w:t> </w:t>
      </w:r>
      <w:r>
        <w:rPr>
          <w:color w:val="1F3863"/>
        </w:rPr>
        <w:t>DE</w:t>
      </w:r>
      <w:r>
        <w:rPr>
          <w:color w:val="1F3863"/>
          <w:spacing w:val="-7"/>
        </w:rPr>
        <w:t> </w:t>
      </w:r>
      <w:r>
        <w:rPr>
          <w:color w:val="1F3863"/>
          <w:spacing w:val="-2"/>
        </w:rPr>
        <w:t>CUMPLIMIENTO</w:t>
      </w:r>
    </w:p>
    <w:p>
      <w:pPr>
        <w:pStyle w:val="BodyText"/>
        <w:spacing w:before="114"/>
      </w:pPr>
    </w:p>
    <w:p>
      <w:pPr>
        <w:pStyle w:val="BodyText"/>
        <w:spacing w:line="264" w:lineRule="auto" w:before="1"/>
        <w:ind w:left="622" w:right="974"/>
        <w:jc w:val="both"/>
      </w:pPr>
      <w:r>
        <w:rPr/>
        <w:t>En caso de que el Ente cumpla con lo establecido en la Resolución DCN-0003-2022 conforme a los plazos</w:t>
      </w:r>
      <w:r>
        <w:rPr>
          <w:spacing w:val="-6"/>
        </w:rPr>
        <w:t> </w:t>
      </w:r>
      <w:r>
        <w:rPr/>
        <w:t>y</w:t>
      </w:r>
      <w:r>
        <w:rPr>
          <w:spacing w:val="-6"/>
        </w:rPr>
        <w:t> </w:t>
      </w:r>
      <w:r>
        <w:rPr/>
        <w:t>ya</w:t>
      </w:r>
      <w:r>
        <w:rPr>
          <w:spacing w:val="-8"/>
        </w:rPr>
        <w:t> </w:t>
      </w:r>
      <w:r>
        <w:rPr/>
        <w:t>esté</w:t>
      </w:r>
      <w:r>
        <w:rPr>
          <w:spacing w:val="-6"/>
        </w:rPr>
        <w:t> </w:t>
      </w:r>
      <w:r>
        <w:rPr/>
        <w:t>en</w:t>
      </w:r>
      <w:r>
        <w:rPr>
          <w:spacing w:val="-4"/>
        </w:rPr>
        <w:t> </w:t>
      </w:r>
      <w:r>
        <w:rPr/>
        <w:t>aplicación</w:t>
      </w:r>
      <w:r>
        <w:rPr>
          <w:spacing w:val="-4"/>
        </w:rPr>
        <w:t> </w:t>
      </w:r>
      <w:r>
        <w:rPr/>
        <w:t>de</w:t>
      </w:r>
      <w:r>
        <w:rPr>
          <w:spacing w:val="-4"/>
        </w:rPr>
        <w:t> </w:t>
      </w:r>
      <w:r>
        <w:rPr/>
        <w:t>las</w:t>
      </w:r>
      <w:r>
        <w:rPr>
          <w:spacing w:val="-8"/>
        </w:rPr>
        <w:t> </w:t>
      </w:r>
      <w:r>
        <w:rPr/>
        <w:t>NICSP</w:t>
      </w:r>
      <w:r>
        <w:rPr>
          <w:spacing w:val="-5"/>
        </w:rPr>
        <w:t> </w:t>
      </w:r>
      <w:r>
        <w:rPr/>
        <w:t>y</w:t>
      </w:r>
      <w:r>
        <w:rPr>
          <w:spacing w:val="-8"/>
        </w:rPr>
        <w:t> </w:t>
      </w:r>
      <w:r>
        <w:rPr/>
        <w:t>las</w:t>
      </w:r>
      <w:r>
        <w:rPr>
          <w:spacing w:val="-6"/>
        </w:rPr>
        <w:t> </w:t>
      </w:r>
      <w:r>
        <w:rPr/>
        <w:t>Políticas</w:t>
      </w:r>
      <w:r>
        <w:rPr>
          <w:spacing w:val="-6"/>
        </w:rPr>
        <w:t> </w:t>
      </w:r>
      <w:r>
        <w:rPr/>
        <w:t>Contables</w:t>
      </w:r>
      <w:r>
        <w:rPr>
          <w:spacing w:val="-6"/>
        </w:rPr>
        <w:t> </w:t>
      </w:r>
      <w:r>
        <w:rPr/>
        <w:t>Generales,</w:t>
      </w:r>
      <w:r>
        <w:rPr>
          <w:spacing w:val="-11"/>
        </w:rPr>
        <w:t> </w:t>
      </w:r>
      <w:r>
        <w:rPr/>
        <w:t>debe</w:t>
      </w:r>
      <w:r>
        <w:rPr>
          <w:spacing w:val="-6"/>
        </w:rPr>
        <w:t> </w:t>
      </w:r>
      <w:r>
        <w:rPr/>
        <w:t>llenar</w:t>
      </w:r>
      <w:r>
        <w:rPr>
          <w:spacing w:val="-8"/>
        </w:rPr>
        <w:t> </w:t>
      </w:r>
      <w:r>
        <w:rPr/>
        <w:t>y</w:t>
      </w:r>
      <w:r>
        <w:rPr>
          <w:spacing w:val="-6"/>
        </w:rPr>
        <w:t> </w:t>
      </w:r>
      <w:r>
        <w:rPr/>
        <w:t>presentar los datos de la siguiente afirmación:</w:t>
      </w:r>
    </w:p>
    <w:p>
      <w:pPr>
        <w:pStyle w:val="BodyText"/>
        <w:spacing w:before="156"/>
        <w:ind w:left="622"/>
        <w:jc w:val="both"/>
      </w:pPr>
      <w:r>
        <w:rPr/>
        <w:t>Indicar</w:t>
      </w:r>
      <w:r>
        <w:rPr>
          <w:spacing w:val="-3"/>
        </w:rPr>
        <w:t> </w:t>
      </w:r>
      <w:r>
        <w:rPr/>
        <w:t>SI</w:t>
      </w:r>
      <w:r>
        <w:rPr>
          <w:spacing w:val="-3"/>
        </w:rPr>
        <w:t> </w:t>
      </w:r>
      <w:r>
        <w:rPr/>
        <w:t>o</w:t>
      </w:r>
      <w:r>
        <w:rPr>
          <w:spacing w:val="-4"/>
        </w:rPr>
        <w:t> </w:t>
      </w:r>
      <w:r>
        <w:rPr/>
        <w:t>NO</w:t>
      </w:r>
      <w:r>
        <w:rPr>
          <w:spacing w:val="-3"/>
        </w:rPr>
        <w:t> </w:t>
      </w:r>
      <w:r>
        <w:rPr/>
        <w:t>de</w:t>
      </w:r>
      <w:r>
        <w:rPr>
          <w:spacing w:val="-5"/>
        </w:rPr>
        <w:t> </w:t>
      </w:r>
      <w:r>
        <w:rPr/>
        <w:t>acuerdo</w:t>
      </w:r>
      <w:r>
        <w:rPr>
          <w:spacing w:val="-2"/>
        </w:rPr>
        <w:t> </w:t>
      </w:r>
      <w:r>
        <w:rPr/>
        <w:t>a</w:t>
      </w:r>
      <w:r>
        <w:rPr>
          <w:spacing w:val="-4"/>
        </w:rPr>
        <w:t> </w:t>
      </w:r>
      <w:r>
        <w:rPr/>
        <w:t>las</w:t>
      </w:r>
      <w:r>
        <w:rPr>
          <w:spacing w:val="-2"/>
        </w:rPr>
        <w:t> </w:t>
      </w:r>
      <w:r>
        <w:rPr/>
        <w:t>condiciones</w:t>
      </w:r>
      <w:r>
        <w:rPr>
          <w:spacing w:val="-1"/>
        </w:rPr>
        <w:t> </w:t>
      </w:r>
      <w:r>
        <w:rPr/>
        <w:t>de</w:t>
      </w:r>
      <w:r>
        <w:rPr>
          <w:spacing w:val="-2"/>
        </w:rPr>
        <w:t> </w:t>
      </w:r>
      <w:r>
        <w:rPr/>
        <w:t>la</w:t>
      </w:r>
      <w:r>
        <w:rPr>
          <w:spacing w:val="-4"/>
        </w:rPr>
        <w:t> </w:t>
      </w:r>
      <w:r>
        <w:rPr>
          <w:spacing w:val="-2"/>
        </w:rPr>
        <w:t>entidad:</w:t>
      </w:r>
    </w:p>
    <w:p>
      <w:pPr>
        <w:pStyle w:val="BodyText"/>
        <w:spacing w:before="9"/>
        <w:rPr>
          <w:sz w:val="15"/>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1"/>
        <w:gridCol w:w="1842"/>
      </w:tblGrid>
      <w:tr>
        <w:trPr>
          <w:trHeight w:val="431" w:hRule="atLeast"/>
        </w:trPr>
        <w:tc>
          <w:tcPr>
            <w:tcW w:w="2401" w:type="dxa"/>
            <w:shd w:val="clear" w:color="auto" w:fill="365F92"/>
          </w:tcPr>
          <w:p>
            <w:pPr>
              <w:pStyle w:val="TableParagraph"/>
              <w:ind w:left="107"/>
              <w:rPr>
                <w:sz w:val="22"/>
              </w:rPr>
            </w:pPr>
            <w:r>
              <w:rPr>
                <w:spacing w:val="-2"/>
                <w:sz w:val="22"/>
              </w:rPr>
              <w:t>APLICACIÓN</w:t>
            </w:r>
          </w:p>
        </w:tc>
        <w:tc>
          <w:tcPr>
            <w:tcW w:w="1842" w:type="dxa"/>
          </w:tcPr>
          <w:p>
            <w:pPr>
              <w:pStyle w:val="TableParagraph"/>
              <w:ind w:left="162"/>
              <w:rPr>
                <w:sz w:val="22"/>
              </w:rPr>
            </w:pPr>
            <w:r>
              <w:rPr>
                <w:spacing w:val="-5"/>
                <w:sz w:val="22"/>
              </w:rPr>
              <w:t>SI</w:t>
            </w:r>
          </w:p>
        </w:tc>
      </w:tr>
    </w:tbl>
    <w:p>
      <w:pPr>
        <w:pStyle w:val="BodyText"/>
        <w:spacing w:before="179"/>
      </w:pPr>
    </w:p>
    <w:p>
      <w:pPr>
        <w:pStyle w:val="Heading6"/>
        <w:spacing w:line="259" w:lineRule="auto"/>
        <w:ind w:left="622" w:right="977"/>
        <w:jc w:val="both"/>
      </w:pPr>
      <w:r>
        <w:rPr>
          <w:u w:val="single"/>
        </w:rPr>
        <w:t>El</w:t>
      </w:r>
      <w:r>
        <w:rPr>
          <w:spacing w:val="-1"/>
          <w:u w:val="single"/>
        </w:rPr>
        <w:t> </w:t>
      </w:r>
      <w:r>
        <w:rPr>
          <w:u w:val="single"/>
        </w:rPr>
        <w:t>IMAS,</w:t>
      </w:r>
      <w:r>
        <w:rPr>
          <w:spacing w:val="-2"/>
          <w:u w:val="single"/>
        </w:rPr>
        <w:t> </w:t>
      </w:r>
      <w:r>
        <w:rPr>
          <w:u w:val="single"/>
        </w:rPr>
        <w:t>cédula</w:t>
      </w:r>
      <w:r>
        <w:rPr>
          <w:spacing w:val="-4"/>
          <w:u w:val="single"/>
        </w:rPr>
        <w:t> </w:t>
      </w:r>
      <w:r>
        <w:rPr>
          <w:u w:val="single"/>
        </w:rPr>
        <w:t>jurídica</w:t>
      </w:r>
      <w:r>
        <w:rPr>
          <w:spacing w:val="-3"/>
          <w:u w:val="single"/>
        </w:rPr>
        <w:t> </w:t>
      </w:r>
      <w:r>
        <w:rPr>
          <w:u w:val="single"/>
        </w:rPr>
        <w:t>4-000-042144</w:t>
      </w:r>
      <w:r>
        <w:rPr>
          <w:spacing w:val="-1"/>
          <w:u w:val="single"/>
        </w:rPr>
        <w:t> </w:t>
      </w:r>
      <w:r>
        <w:rPr>
          <w:u w:val="single"/>
        </w:rPr>
        <w:t>y</w:t>
      </w:r>
      <w:r>
        <w:rPr>
          <w:spacing w:val="-3"/>
          <w:u w:val="single"/>
        </w:rPr>
        <w:t> </w:t>
      </w:r>
      <w:r>
        <w:rPr>
          <w:u w:val="single"/>
        </w:rPr>
        <w:t>cuyo</w:t>
      </w:r>
      <w:r>
        <w:rPr>
          <w:spacing w:val="-2"/>
          <w:u w:val="single"/>
        </w:rPr>
        <w:t> </w:t>
      </w:r>
      <w:r>
        <w:rPr>
          <w:u w:val="single"/>
        </w:rPr>
        <w:t>Representante</w:t>
      </w:r>
      <w:r>
        <w:rPr>
          <w:spacing w:val="-1"/>
          <w:u w:val="single"/>
        </w:rPr>
        <w:t> </w:t>
      </w:r>
      <w:r>
        <w:rPr>
          <w:u w:val="single"/>
        </w:rPr>
        <w:t>Legal</w:t>
      </w:r>
      <w:r>
        <w:rPr>
          <w:spacing w:val="-4"/>
          <w:u w:val="single"/>
        </w:rPr>
        <w:t> </w:t>
      </w:r>
      <w:r>
        <w:rPr>
          <w:u w:val="single"/>
        </w:rPr>
        <w:t>es</w:t>
      </w:r>
      <w:r>
        <w:rPr>
          <w:spacing w:val="-1"/>
          <w:u w:val="single"/>
        </w:rPr>
        <w:t> </w:t>
      </w:r>
      <w:r>
        <w:rPr>
          <w:u w:val="single"/>
        </w:rPr>
        <w:t>Silvia</w:t>
      </w:r>
      <w:r>
        <w:rPr>
          <w:spacing w:val="-3"/>
          <w:u w:val="single"/>
        </w:rPr>
        <w:t> </w:t>
      </w:r>
      <w:r>
        <w:rPr>
          <w:u w:val="single"/>
        </w:rPr>
        <w:t>Marlene</w:t>
      </w:r>
      <w:r>
        <w:rPr>
          <w:spacing w:val="-1"/>
          <w:u w:val="single"/>
        </w:rPr>
        <w:t> </w:t>
      </w:r>
      <w:r>
        <w:rPr>
          <w:u w:val="single"/>
        </w:rPr>
        <w:t>Castro</w:t>
      </w:r>
      <w:r>
        <w:rPr>
          <w:spacing w:val="-2"/>
          <w:u w:val="single"/>
        </w:rPr>
        <w:t> </w:t>
      </w:r>
      <w:r>
        <w:rPr>
          <w:u w:val="single"/>
        </w:rPr>
        <w:t>Quesada</w:t>
      </w:r>
      <w:r>
        <w:rPr>
          <w:u w:val="none"/>
        </w:rPr>
        <w:t> </w:t>
      </w:r>
      <w:r>
        <w:rPr>
          <w:u w:val="single"/>
        </w:rPr>
        <w:t>Segura, portadora de la cédula de identidad 1-0838-0148, Afirmó explicita e incondicionalmente el</w:t>
      </w:r>
      <w:r>
        <w:rPr>
          <w:u w:val="none"/>
        </w:rPr>
        <w:t> </w:t>
      </w:r>
      <w:r>
        <w:rPr>
          <w:u w:val="single"/>
        </w:rPr>
        <w:t>cumplimiento de las NICSP y de las Políticas Contables Generales, en el tratamiento contable que</w:t>
      </w:r>
      <w:r>
        <w:rPr>
          <w:u w:val="none"/>
        </w:rPr>
        <w:t> </w:t>
      </w:r>
      <w:r>
        <w:rPr>
          <w:u w:val="single"/>
        </w:rPr>
        <w:t>utiliza esta entidad.</w:t>
      </w:r>
    </w:p>
    <w:p>
      <w:pPr>
        <w:spacing w:before="239"/>
        <w:ind w:left="622" w:right="0" w:firstLine="0"/>
        <w:jc w:val="left"/>
        <w:rPr>
          <w:b/>
          <w:sz w:val="22"/>
        </w:rPr>
      </w:pPr>
      <w:r>
        <w:rPr>
          <w:sz w:val="22"/>
        </w:rPr>
        <w:t>Documento</w:t>
      </w:r>
      <w:r>
        <w:rPr>
          <w:spacing w:val="-4"/>
          <w:sz w:val="22"/>
        </w:rPr>
        <w:t> </w:t>
      </w:r>
      <w:r>
        <w:rPr>
          <w:sz w:val="22"/>
        </w:rPr>
        <w:t>con</w:t>
      </w:r>
      <w:r>
        <w:rPr>
          <w:spacing w:val="-5"/>
          <w:sz w:val="22"/>
        </w:rPr>
        <w:t> </w:t>
      </w:r>
      <w:r>
        <w:rPr>
          <w:sz w:val="22"/>
        </w:rPr>
        <w:t>firma</w:t>
      </w:r>
      <w:r>
        <w:rPr>
          <w:spacing w:val="-6"/>
          <w:sz w:val="22"/>
        </w:rPr>
        <w:t> </w:t>
      </w:r>
      <w:r>
        <w:rPr>
          <w:sz w:val="22"/>
        </w:rPr>
        <w:t>digital</w:t>
      </w:r>
      <w:r>
        <w:rPr>
          <w:spacing w:val="-4"/>
          <w:sz w:val="22"/>
        </w:rPr>
        <w:t> </w:t>
      </w:r>
      <w:r>
        <w:rPr>
          <w:b/>
          <w:sz w:val="22"/>
        </w:rPr>
        <w:t>Anexo</w:t>
      </w:r>
      <w:r>
        <w:rPr>
          <w:b/>
          <w:spacing w:val="-4"/>
          <w:sz w:val="22"/>
        </w:rPr>
        <w:t> No.1</w:t>
      </w:r>
    </w:p>
    <w:p>
      <w:pPr>
        <w:pStyle w:val="BodyText"/>
        <w:spacing w:before="9"/>
        <w:rPr>
          <w:b/>
        </w:rPr>
      </w:pPr>
    </w:p>
    <w:p>
      <w:pPr>
        <w:pStyle w:val="BodyText"/>
        <w:spacing w:line="259" w:lineRule="auto"/>
        <w:ind w:left="622" w:right="1001"/>
      </w:pPr>
      <w:r>
        <w:rPr/>
        <w:t>En</w:t>
      </w:r>
      <w:r>
        <w:rPr>
          <w:spacing w:val="-3"/>
        </w:rPr>
        <w:t> </w:t>
      </w:r>
      <w:r>
        <w:rPr/>
        <w:t>caso</w:t>
      </w:r>
      <w:r>
        <w:rPr>
          <w:spacing w:val="-3"/>
        </w:rPr>
        <w:t> </w:t>
      </w:r>
      <w:r>
        <w:rPr/>
        <w:t>de</w:t>
      </w:r>
      <w:r>
        <w:rPr>
          <w:spacing w:val="-5"/>
        </w:rPr>
        <w:t> </w:t>
      </w:r>
      <w:r>
        <w:rPr/>
        <w:t>que</w:t>
      </w:r>
      <w:r>
        <w:rPr>
          <w:spacing w:val="-3"/>
        </w:rPr>
        <w:t> </w:t>
      </w:r>
      <w:r>
        <w:rPr/>
        <w:t>la</w:t>
      </w:r>
      <w:r>
        <w:rPr>
          <w:spacing w:val="-7"/>
        </w:rPr>
        <w:t> </w:t>
      </w:r>
      <w:r>
        <w:rPr/>
        <w:t>entidad</w:t>
      </w:r>
      <w:r>
        <w:rPr>
          <w:spacing w:val="-3"/>
        </w:rPr>
        <w:t> </w:t>
      </w:r>
      <w:r>
        <w:rPr/>
        <w:t>no</w:t>
      </w:r>
      <w:r>
        <w:rPr>
          <w:spacing w:val="-3"/>
        </w:rPr>
        <w:t> </w:t>
      </w:r>
      <w:r>
        <w:rPr/>
        <w:t>se</w:t>
      </w:r>
      <w:r>
        <w:rPr>
          <w:spacing w:val="-5"/>
        </w:rPr>
        <w:t> </w:t>
      </w:r>
      <w:r>
        <w:rPr/>
        <w:t>encuentre</w:t>
      </w:r>
      <w:r>
        <w:rPr>
          <w:spacing w:val="-2"/>
        </w:rPr>
        <w:t> </w:t>
      </w:r>
      <w:r>
        <w:rPr/>
        <w:t>aplicando</w:t>
      </w:r>
      <w:r>
        <w:rPr>
          <w:spacing w:val="-3"/>
        </w:rPr>
        <w:t> </w:t>
      </w:r>
      <w:r>
        <w:rPr/>
        <w:t>todos</w:t>
      </w:r>
      <w:r>
        <w:rPr>
          <w:spacing w:val="-2"/>
        </w:rPr>
        <w:t> </w:t>
      </w:r>
      <w:r>
        <w:rPr/>
        <w:t>los</w:t>
      </w:r>
      <w:r>
        <w:rPr>
          <w:spacing w:val="-2"/>
        </w:rPr>
        <w:t> </w:t>
      </w:r>
      <w:r>
        <w:rPr/>
        <w:t>requerimientos</w:t>
      </w:r>
      <w:r>
        <w:rPr>
          <w:spacing w:val="-2"/>
        </w:rPr>
        <w:t> </w:t>
      </w:r>
      <w:r>
        <w:rPr/>
        <w:t>de</w:t>
      </w:r>
      <w:r>
        <w:rPr>
          <w:spacing w:val="-2"/>
        </w:rPr>
        <w:t> </w:t>
      </w:r>
      <w:r>
        <w:rPr/>
        <w:t>las</w:t>
      </w:r>
      <w:r>
        <w:rPr>
          <w:spacing w:val="-2"/>
        </w:rPr>
        <w:t> </w:t>
      </w:r>
      <w:r>
        <w:rPr/>
        <w:t>NICSP</w:t>
      </w:r>
      <w:r>
        <w:rPr>
          <w:spacing w:val="-3"/>
        </w:rPr>
        <w:t> </w:t>
      </w:r>
      <w:r>
        <w:rPr/>
        <w:t>indicar las brechas pendientes de acuerdo con la NICSP 33 (párrafo 137) en la NOTA N° 95.</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0880">
                <wp:simplePos x="0" y="0"/>
                <wp:positionH relativeFrom="page">
                  <wp:posOffset>9525</wp:posOffset>
                </wp:positionH>
                <wp:positionV relativeFrom="page">
                  <wp:posOffset>297208</wp:posOffset>
                </wp:positionV>
                <wp:extent cx="7762875" cy="974852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7762875" cy="9748520"/>
                          <a:chExt cx="7762875" cy="9748520"/>
                        </a:xfrm>
                      </wpg:grpSpPr>
                      <pic:pic>
                        <pic:nvPicPr>
                          <pic:cNvPr id="28" name="Image 28"/>
                          <pic:cNvPicPr/>
                        </pic:nvPicPr>
                        <pic:blipFill>
                          <a:blip r:embed="rId5" cstate="print"/>
                          <a:stretch>
                            <a:fillRect/>
                          </a:stretch>
                        </pic:blipFill>
                        <pic:spPr>
                          <a:xfrm>
                            <a:off x="0" y="0"/>
                            <a:ext cx="7762874" cy="9748489"/>
                          </a:xfrm>
                          <a:prstGeom prst="rect">
                            <a:avLst/>
                          </a:prstGeom>
                        </pic:spPr>
                      </pic:pic>
                      <wps:wsp>
                        <wps:cNvPr id="29" name="Graphic 2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5600" id="docshapegroup26" coordorigin="15,468" coordsize="12225,15352">
                <v:shape style="position:absolute;left:15;top:468;width:12225;height:15352" type="#_x0000_t75" id="docshape27" stroked="false">
                  <v:imagedata r:id="rId5" o:title=""/>
                </v:shape>
                <v:rect style="position:absolute;left:1673;top:2028;width:8897;height:15" id="docshape2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w:t>
      </w:r>
    </w:p>
    <w:p>
      <w:pPr>
        <w:pStyle w:val="Heading5"/>
        <w:spacing w:before="218"/>
      </w:pPr>
      <w:bookmarkStart w:name="_bookmark2" w:id="3"/>
      <w:bookmarkEnd w:id="3"/>
      <w:r>
        <w:rPr>
          <w:b w:val="0"/>
        </w:rPr>
      </w:r>
      <w:r>
        <w:rPr/>
        <w:t>NOTA</w:t>
      </w:r>
      <w:r>
        <w:rPr>
          <w:spacing w:val="-1"/>
        </w:rPr>
        <w:t> </w:t>
      </w:r>
      <w:r>
        <w:rPr/>
        <w:t>N° </w:t>
      </w:r>
      <w:r>
        <w:rPr>
          <w:spacing w:val="-10"/>
        </w:rPr>
        <w:t>1</w:t>
      </w:r>
    </w:p>
    <w:p>
      <w:pPr>
        <w:spacing w:before="126"/>
        <w:ind w:left="622" w:right="0" w:firstLine="0"/>
        <w:jc w:val="left"/>
        <w:rPr>
          <w:b/>
          <w:sz w:val="22"/>
        </w:rPr>
      </w:pPr>
      <w:r>
        <w:rPr>
          <w:b/>
          <w:sz w:val="22"/>
          <w:u w:val="single"/>
        </w:rPr>
        <w:t>Se</w:t>
      </w:r>
      <w:r>
        <w:rPr>
          <w:b/>
          <w:spacing w:val="-1"/>
          <w:sz w:val="22"/>
          <w:u w:val="single"/>
        </w:rPr>
        <w:t> </w:t>
      </w:r>
      <w:r>
        <w:rPr>
          <w:b/>
          <w:sz w:val="22"/>
          <w:u w:val="single"/>
        </w:rPr>
        <w:t>debe</w:t>
      </w:r>
      <w:r>
        <w:rPr>
          <w:b/>
          <w:spacing w:val="-4"/>
          <w:sz w:val="22"/>
          <w:u w:val="single"/>
        </w:rPr>
        <w:t> </w:t>
      </w:r>
      <w:r>
        <w:rPr>
          <w:b/>
          <w:sz w:val="22"/>
          <w:u w:val="single"/>
        </w:rPr>
        <w:t>revelar</w:t>
      </w:r>
      <w:r>
        <w:rPr>
          <w:b/>
          <w:spacing w:val="-2"/>
          <w:sz w:val="22"/>
          <w:u w:val="single"/>
        </w:rPr>
        <w:t> </w:t>
      </w:r>
      <w:r>
        <w:rPr>
          <w:b/>
          <w:sz w:val="22"/>
          <w:u w:val="single"/>
        </w:rPr>
        <w:t>lo</w:t>
      </w:r>
      <w:r>
        <w:rPr>
          <w:b/>
          <w:spacing w:val="-1"/>
          <w:sz w:val="22"/>
          <w:u w:val="single"/>
        </w:rPr>
        <w:t> </w:t>
      </w:r>
      <w:r>
        <w:rPr>
          <w:b/>
          <w:spacing w:val="-2"/>
          <w:sz w:val="22"/>
          <w:u w:val="single"/>
        </w:rPr>
        <w:t>siguiente:</w:t>
      </w:r>
    </w:p>
    <w:p>
      <w:pPr>
        <w:pStyle w:val="Heading6"/>
        <w:spacing w:before="181"/>
        <w:ind w:left="622"/>
      </w:pPr>
      <w:bookmarkStart w:name="_bookmark3" w:id="4"/>
      <w:bookmarkEnd w:id="4"/>
      <w:r>
        <w:rPr>
          <w:b w:val="0"/>
        </w:rPr>
      </w:r>
      <w:r>
        <w:rPr>
          <w:color w:val="1F3863"/>
        </w:rPr>
        <w:t>Identificación</w:t>
      </w:r>
      <w:r>
        <w:rPr>
          <w:color w:val="1F3863"/>
          <w:spacing w:val="-2"/>
        </w:rPr>
        <w:t> </w:t>
      </w:r>
      <w:r>
        <w:rPr>
          <w:color w:val="1F3863"/>
        </w:rPr>
        <w:t>de</w:t>
      </w:r>
      <w:r>
        <w:rPr>
          <w:color w:val="1F3863"/>
          <w:spacing w:val="-2"/>
        </w:rPr>
        <w:t> </w:t>
      </w:r>
      <w:r>
        <w:rPr>
          <w:color w:val="1F3863"/>
        </w:rPr>
        <w:t>la</w:t>
      </w:r>
      <w:r>
        <w:rPr>
          <w:color w:val="1F3863"/>
          <w:spacing w:val="-5"/>
        </w:rPr>
        <w:t> </w:t>
      </w:r>
      <w:r>
        <w:rPr>
          <w:color w:val="1F3863"/>
          <w:spacing w:val="-2"/>
        </w:rPr>
        <w:t>entidad</w:t>
      </w:r>
    </w:p>
    <w:p>
      <w:pPr>
        <w:pStyle w:val="Heading5"/>
        <w:numPr>
          <w:ilvl w:val="0"/>
          <w:numId w:val="7"/>
        </w:numPr>
        <w:tabs>
          <w:tab w:pos="1341" w:val="left" w:leader="none"/>
        </w:tabs>
        <w:spacing w:line="240" w:lineRule="auto" w:before="123" w:after="0"/>
        <w:ind w:left="1341" w:right="0" w:hanging="360"/>
        <w:jc w:val="left"/>
      </w:pPr>
      <w:r>
        <w:rPr/>
        <w:t>INSTITUTO</w:t>
      </w:r>
      <w:r>
        <w:rPr>
          <w:spacing w:val="-4"/>
        </w:rPr>
        <w:t> </w:t>
      </w:r>
      <w:r>
        <w:rPr/>
        <w:t>MIXTO</w:t>
      </w:r>
      <w:r>
        <w:rPr>
          <w:spacing w:val="-4"/>
        </w:rPr>
        <w:t> </w:t>
      </w:r>
      <w:r>
        <w:rPr/>
        <w:t>DE</w:t>
      </w:r>
      <w:r>
        <w:rPr>
          <w:spacing w:val="-6"/>
        </w:rPr>
        <w:t> </w:t>
      </w:r>
      <w:r>
        <w:rPr/>
        <w:t>AYUDA</w:t>
      </w:r>
      <w:r>
        <w:rPr>
          <w:spacing w:val="-3"/>
        </w:rPr>
        <w:t> </w:t>
      </w:r>
      <w:r>
        <w:rPr>
          <w:spacing w:val="-2"/>
        </w:rPr>
        <w:t>SOCIAL</w:t>
      </w:r>
    </w:p>
    <w:p>
      <w:pPr>
        <w:pStyle w:val="BodyText"/>
        <w:spacing w:before="34"/>
        <w:rPr>
          <w:b/>
          <w:sz w:val="20"/>
        </w:rPr>
      </w:pPr>
      <w:r>
        <w:rPr>
          <w:b/>
          <w:sz w:val="20"/>
        </w:rPr>
        <mc:AlternateContent>
          <mc:Choice Requires="wps">
            <w:drawing>
              <wp:anchor distT="0" distB="0" distL="0" distR="0" allowOverlap="1" layoutInCell="1" locked="0" behindDoc="1" simplePos="0" relativeHeight="487592448">
                <wp:simplePos x="0" y="0"/>
                <wp:positionH relativeFrom="page">
                  <wp:posOffset>1083868</wp:posOffset>
                </wp:positionH>
                <wp:positionV relativeFrom="paragraph">
                  <wp:posOffset>184991</wp:posOffset>
                </wp:positionV>
                <wp:extent cx="5607050" cy="3306445"/>
                <wp:effectExtent l="0" t="0" r="0" b="0"/>
                <wp:wrapTopAndBottom/>
                <wp:docPr id="30" name="Textbox 30"/>
                <wp:cNvGraphicFramePr>
                  <a:graphicFrameLocks/>
                </wp:cNvGraphicFramePr>
                <a:graphic>
                  <a:graphicData uri="http://schemas.microsoft.com/office/word/2010/wordprocessingShape">
                    <wps:wsp>
                      <wps:cNvPr id="30" name="Textbox 30"/>
                      <wps:cNvSpPr txBox="1"/>
                      <wps:spPr>
                        <a:xfrm>
                          <a:off x="0" y="0"/>
                          <a:ext cx="5607050" cy="330644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b/>
                                <w:sz w:val="22"/>
                              </w:rPr>
                            </w:pPr>
                            <w:r>
                              <w:rPr>
                                <w:b/>
                                <w:sz w:val="22"/>
                              </w:rPr>
                              <w:t>Información</w:t>
                            </w:r>
                            <w:r>
                              <w:rPr>
                                <w:b/>
                                <w:spacing w:val="-4"/>
                                <w:sz w:val="22"/>
                              </w:rPr>
                              <w:t> </w:t>
                            </w:r>
                            <w:r>
                              <w:rPr>
                                <w:b/>
                                <w:sz w:val="22"/>
                              </w:rPr>
                              <w:t>general</w:t>
                            </w:r>
                            <w:r>
                              <w:rPr>
                                <w:b/>
                                <w:spacing w:val="-3"/>
                                <w:sz w:val="22"/>
                              </w:rPr>
                              <w:t> </w:t>
                            </w:r>
                            <w:r>
                              <w:rPr>
                                <w:b/>
                                <w:sz w:val="22"/>
                              </w:rPr>
                              <w:t>de</w:t>
                            </w:r>
                            <w:r>
                              <w:rPr>
                                <w:b/>
                                <w:spacing w:val="-2"/>
                                <w:sz w:val="22"/>
                              </w:rPr>
                              <w:t> </w:t>
                            </w:r>
                            <w:r>
                              <w:rPr>
                                <w:b/>
                                <w:sz w:val="22"/>
                              </w:rPr>
                              <w:t>la</w:t>
                            </w:r>
                            <w:r>
                              <w:rPr>
                                <w:b/>
                                <w:spacing w:val="-4"/>
                                <w:sz w:val="22"/>
                              </w:rPr>
                              <w:t> </w:t>
                            </w:r>
                            <w:r>
                              <w:rPr>
                                <w:b/>
                                <w:spacing w:val="-2"/>
                                <w:sz w:val="22"/>
                              </w:rPr>
                              <w:t>entidad</w:t>
                            </w:r>
                          </w:p>
                          <w:p>
                            <w:pPr>
                              <w:pStyle w:val="BodyText"/>
                              <w:spacing w:line="259" w:lineRule="auto" w:before="180"/>
                              <w:ind w:left="103" w:right="103"/>
                              <w:jc w:val="both"/>
                            </w:pPr>
                            <w:r>
                              <w:rPr/>
                              <w:t>El Instituto Mixto de Ayuda Social (en adelante “IMAS”), es una Institución Descentralizada no empresarial, con la personería jurídica No. 4-000-042144.</w:t>
                            </w:r>
                          </w:p>
                          <w:p>
                            <w:pPr>
                              <w:pStyle w:val="BodyText"/>
                              <w:spacing w:before="20"/>
                            </w:pPr>
                          </w:p>
                          <w:p>
                            <w:pPr>
                              <w:pStyle w:val="BodyText"/>
                              <w:spacing w:line="256" w:lineRule="auto"/>
                              <w:ind w:left="103" w:right="102"/>
                              <w:jc w:val="both"/>
                            </w:pPr>
                            <w:r>
                              <w:rPr/>
                              <w:t>Fue</w:t>
                            </w:r>
                            <w:r>
                              <w:rPr>
                                <w:spacing w:val="-5"/>
                              </w:rPr>
                              <w:t> </w:t>
                            </w:r>
                            <w:r>
                              <w:rPr/>
                              <w:t>creada</w:t>
                            </w:r>
                            <w:r>
                              <w:rPr>
                                <w:spacing w:val="-5"/>
                              </w:rPr>
                              <w:t> </w:t>
                            </w:r>
                            <w:r>
                              <w:rPr/>
                              <w:t>con</w:t>
                            </w:r>
                            <w:r>
                              <w:rPr>
                                <w:spacing w:val="-3"/>
                              </w:rPr>
                              <w:t> </w:t>
                            </w:r>
                            <w:r>
                              <w:rPr/>
                              <w:t>Ley</w:t>
                            </w:r>
                            <w:r>
                              <w:rPr>
                                <w:spacing w:val="-5"/>
                              </w:rPr>
                              <w:t> </w:t>
                            </w:r>
                            <w:r>
                              <w:rPr/>
                              <w:t>No.</w:t>
                            </w:r>
                            <w:r>
                              <w:rPr>
                                <w:spacing w:val="-5"/>
                              </w:rPr>
                              <w:t> </w:t>
                            </w:r>
                            <w:r>
                              <w:rPr/>
                              <w:t>4760</w:t>
                            </w:r>
                            <w:r>
                              <w:rPr>
                                <w:spacing w:val="-5"/>
                              </w:rPr>
                              <w:t> </w:t>
                            </w:r>
                            <w:r>
                              <w:rPr/>
                              <w:t>ley</w:t>
                            </w:r>
                            <w:r>
                              <w:rPr>
                                <w:spacing w:val="-5"/>
                              </w:rPr>
                              <w:t> </w:t>
                            </w:r>
                            <w:r>
                              <w:rPr/>
                              <w:t>de</w:t>
                            </w:r>
                            <w:r>
                              <w:rPr>
                                <w:spacing w:val="-5"/>
                              </w:rPr>
                              <w:t> </w:t>
                            </w:r>
                            <w:r>
                              <w:rPr/>
                              <w:t>creación</w:t>
                            </w:r>
                            <w:r>
                              <w:rPr>
                                <w:spacing w:val="-3"/>
                              </w:rPr>
                              <w:t> </w:t>
                            </w:r>
                            <w:r>
                              <w:rPr/>
                              <w:t>del</w:t>
                            </w:r>
                            <w:r>
                              <w:rPr>
                                <w:spacing w:val="-4"/>
                              </w:rPr>
                              <w:t> </w:t>
                            </w:r>
                            <w:r>
                              <w:rPr/>
                              <w:t>Instituto</w:t>
                            </w:r>
                            <w:r>
                              <w:rPr>
                                <w:spacing w:val="-3"/>
                              </w:rPr>
                              <w:t> </w:t>
                            </w:r>
                            <w:r>
                              <w:rPr/>
                              <w:t>Mixto</w:t>
                            </w:r>
                            <w:r>
                              <w:rPr>
                                <w:spacing w:val="-3"/>
                              </w:rPr>
                              <w:t> </w:t>
                            </w:r>
                            <w:r>
                              <w:rPr/>
                              <w:t>de</w:t>
                            </w:r>
                            <w:r>
                              <w:rPr>
                                <w:spacing w:val="-8"/>
                              </w:rPr>
                              <w:t> </w:t>
                            </w:r>
                            <w:r>
                              <w:rPr/>
                              <w:t>Ayuda</w:t>
                            </w:r>
                            <w:r>
                              <w:rPr>
                                <w:spacing w:val="-5"/>
                              </w:rPr>
                              <w:t> </w:t>
                            </w:r>
                            <w:r>
                              <w:rPr/>
                              <w:t>Social</w:t>
                            </w:r>
                            <w:r>
                              <w:rPr>
                                <w:spacing w:val="-7"/>
                              </w:rPr>
                              <w:t> </w:t>
                            </w:r>
                            <w:r>
                              <w:rPr/>
                              <w:t>del</w:t>
                            </w:r>
                            <w:r>
                              <w:rPr>
                                <w:spacing w:val="-4"/>
                              </w:rPr>
                              <w:t> </w:t>
                            </w:r>
                            <w:r>
                              <w:rPr/>
                              <w:t>30</w:t>
                            </w:r>
                            <w:r>
                              <w:rPr>
                                <w:spacing w:val="-5"/>
                              </w:rPr>
                              <w:t> </w:t>
                            </w:r>
                            <w:r>
                              <w:rPr/>
                              <w:t>de</w:t>
                            </w:r>
                            <w:r>
                              <w:rPr>
                                <w:spacing w:val="-5"/>
                              </w:rPr>
                              <w:t> </w:t>
                            </w:r>
                            <w:r>
                              <w:rPr/>
                              <w:t>abril</w:t>
                            </w:r>
                            <w:r>
                              <w:rPr>
                                <w:spacing w:val="-4"/>
                              </w:rPr>
                              <w:t> </w:t>
                            </w:r>
                            <w:r>
                              <w:rPr/>
                              <w:t>de 1971, vigente a partir del 08 de mayo de ese mismo año.</w:t>
                            </w:r>
                          </w:p>
                          <w:p>
                            <w:pPr>
                              <w:pStyle w:val="BodyText"/>
                              <w:spacing w:before="23"/>
                            </w:pPr>
                          </w:p>
                          <w:p>
                            <w:pPr>
                              <w:pStyle w:val="BodyText"/>
                              <w:spacing w:line="259" w:lineRule="auto"/>
                              <w:ind w:left="103" w:right="100"/>
                              <w:jc w:val="both"/>
                            </w:pPr>
                            <w:r>
                              <w:rPr/>
                              <w:t>El IMAS se encuentra domiciliado en la Provincia de San José, Cantón Central, Barrio Francisco Peralta, 75 al sur de Pollos KFC. Es un ente descentralizado, con rango de institución autónoma, que goza de autonomía administrativa, pero que está sujeto a la ley en materia de gobierno. La jurisdicción en que opera es costarricense.</w:t>
                            </w:r>
                          </w:p>
                          <w:p>
                            <w:pPr>
                              <w:pStyle w:val="BodyText"/>
                              <w:spacing w:before="19"/>
                            </w:pPr>
                          </w:p>
                          <w:p>
                            <w:pPr>
                              <w:pStyle w:val="BodyText"/>
                              <w:spacing w:line="259" w:lineRule="auto"/>
                              <w:ind w:left="103" w:right="98"/>
                              <w:jc w:val="both"/>
                            </w:pPr>
                            <w:r>
                              <w:rPr/>
                              <w:t>Además, tiene un órgano adscrito, el Sistema Nacional de Información y Registro Único de Beneficiarios (SINIRUBE). Ley 9137 de creación del Sistema Nacional de Información y Registro Único</w:t>
                            </w:r>
                            <w:r>
                              <w:rPr>
                                <w:spacing w:val="-6"/>
                              </w:rPr>
                              <w:t> </w:t>
                            </w:r>
                            <w:r>
                              <w:rPr/>
                              <w:t>de</w:t>
                            </w:r>
                            <w:r>
                              <w:rPr>
                                <w:spacing w:val="-9"/>
                              </w:rPr>
                              <w:t> </w:t>
                            </w:r>
                            <w:r>
                              <w:rPr/>
                              <w:t>Beneficiarios</w:t>
                            </w:r>
                            <w:r>
                              <w:rPr>
                                <w:spacing w:val="-6"/>
                              </w:rPr>
                              <w:t> </w:t>
                            </w:r>
                            <w:r>
                              <w:rPr/>
                              <w:t>del</w:t>
                            </w:r>
                            <w:r>
                              <w:rPr>
                                <w:spacing w:val="-8"/>
                              </w:rPr>
                              <w:t> </w:t>
                            </w:r>
                            <w:r>
                              <w:rPr/>
                              <w:t>Estado</w:t>
                            </w:r>
                            <w:r>
                              <w:rPr>
                                <w:spacing w:val="-9"/>
                              </w:rPr>
                              <w:t> </w:t>
                            </w:r>
                            <w:r>
                              <w:rPr/>
                              <w:t>que</w:t>
                            </w:r>
                            <w:r>
                              <w:rPr>
                                <w:spacing w:val="-8"/>
                              </w:rPr>
                              <w:t> </w:t>
                            </w:r>
                            <w:r>
                              <w:rPr/>
                              <w:t>establece</w:t>
                            </w:r>
                            <w:r>
                              <w:rPr>
                                <w:spacing w:val="-9"/>
                              </w:rPr>
                              <w:t> </w:t>
                            </w:r>
                            <w:r>
                              <w:rPr/>
                              <w:t>en</w:t>
                            </w:r>
                            <w:r>
                              <w:rPr>
                                <w:spacing w:val="-7"/>
                              </w:rPr>
                              <w:t> </w:t>
                            </w:r>
                            <w:r>
                              <w:rPr/>
                              <w:t>su</w:t>
                            </w:r>
                            <w:r>
                              <w:rPr>
                                <w:spacing w:val="-7"/>
                              </w:rPr>
                              <w:t> </w:t>
                            </w:r>
                            <w:r>
                              <w:rPr/>
                              <w:t>artículo</w:t>
                            </w:r>
                            <w:r>
                              <w:rPr>
                                <w:spacing w:val="-6"/>
                              </w:rPr>
                              <w:t> </w:t>
                            </w:r>
                            <w:r>
                              <w:rPr/>
                              <w:t>1°</w:t>
                            </w:r>
                            <w:r>
                              <w:rPr>
                                <w:spacing w:val="-8"/>
                              </w:rPr>
                              <w:t> </w:t>
                            </w:r>
                            <w:r>
                              <w:rPr/>
                              <w:t>al</w:t>
                            </w:r>
                            <w:r>
                              <w:rPr>
                                <w:spacing w:val="-5"/>
                              </w:rPr>
                              <w:t> </w:t>
                            </w:r>
                            <w:r>
                              <w:rPr/>
                              <w:t>SINIRUBE</w:t>
                            </w:r>
                            <w:r>
                              <w:rPr>
                                <w:spacing w:val="-6"/>
                              </w:rPr>
                              <w:t> </w:t>
                            </w:r>
                            <w:r>
                              <w:rPr/>
                              <w:t>como</w:t>
                            </w:r>
                            <w:r>
                              <w:rPr>
                                <w:spacing w:val="-6"/>
                              </w:rPr>
                              <w:t> </w:t>
                            </w:r>
                            <w:r>
                              <w:rPr/>
                              <w:t>un</w:t>
                            </w:r>
                            <w:r>
                              <w:rPr>
                                <w:spacing w:val="-9"/>
                              </w:rPr>
                              <w:t> </w:t>
                            </w:r>
                            <w:r>
                              <w:rPr/>
                              <w:t>órgano</w:t>
                            </w:r>
                            <w:r>
                              <w:rPr>
                                <w:spacing w:val="-6"/>
                              </w:rPr>
                              <w:t> </w:t>
                            </w:r>
                            <w:r>
                              <w:rPr/>
                              <w:t>de desconcentración máxima, adscrito al Instituto Mixto de Ayuda Social (IMAS), el cual contará con personalidad jurídica instrumental para el logro de sus objetivos.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5.344002pt;margin-top:14.566245pt;width:441.5pt;height:260.3500pt;mso-position-horizontal-relative:page;mso-position-vertical-relative:paragraph;z-index:-15724032;mso-wrap-distance-left:0;mso-wrap-distance-right:0" type="#_x0000_t202" id="docshape2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b/>
                          <w:sz w:val="22"/>
                        </w:rPr>
                      </w:pPr>
                      <w:r>
                        <w:rPr>
                          <w:b/>
                          <w:sz w:val="22"/>
                        </w:rPr>
                        <w:t>Información</w:t>
                      </w:r>
                      <w:r>
                        <w:rPr>
                          <w:b/>
                          <w:spacing w:val="-4"/>
                          <w:sz w:val="22"/>
                        </w:rPr>
                        <w:t> </w:t>
                      </w:r>
                      <w:r>
                        <w:rPr>
                          <w:b/>
                          <w:sz w:val="22"/>
                        </w:rPr>
                        <w:t>general</w:t>
                      </w:r>
                      <w:r>
                        <w:rPr>
                          <w:b/>
                          <w:spacing w:val="-3"/>
                          <w:sz w:val="22"/>
                        </w:rPr>
                        <w:t> </w:t>
                      </w:r>
                      <w:r>
                        <w:rPr>
                          <w:b/>
                          <w:sz w:val="22"/>
                        </w:rPr>
                        <w:t>de</w:t>
                      </w:r>
                      <w:r>
                        <w:rPr>
                          <w:b/>
                          <w:spacing w:val="-2"/>
                          <w:sz w:val="22"/>
                        </w:rPr>
                        <w:t> </w:t>
                      </w:r>
                      <w:r>
                        <w:rPr>
                          <w:b/>
                          <w:sz w:val="22"/>
                        </w:rPr>
                        <w:t>la</w:t>
                      </w:r>
                      <w:r>
                        <w:rPr>
                          <w:b/>
                          <w:spacing w:val="-4"/>
                          <w:sz w:val="22"/>
                        </w:rPr>
                        <w:t> </w:t>
                      </w:r>
                      <w:r>
                        <w:rPr>
                          <w:b/>
                          <w:spacing w:val="-2"/>
                          <w:sz w:val="22"/>
                        </w:rPr>
                        <w:t>entidad</w:t>
                      </w:r>
                    </w:p>
                    <w:p>
                      <w:pPr>
                        <w:pStyle w:val="BodyText"/>
                        <w:spacing w:line="259" w:lineRule="auto" w:before="180"/>
                        <w:ind w:left="103" w:right="103"/>
                        <w:jc w:val="both"/>
                      </w:pPr>
                      <w:r>
                        <w:rPr/>
                        <w:t>El Instituto Mixto de Ayuda Social (en adelante “IMAS”), es una Institución Descentralizada no empresarial, con la personería jurídica No. 4-000-042144.</w:t>
                      </w:r>
                    </w:p>
                    <w:p>
                      <w:pPr>
                        <w:pStyle w:val="BodyText"/>
                        <w:spacing w:before="20"/>
                      </w:pPr>
                    </w:p>
                    <w:p>
                      <w:pPr>
                        <w:pStyle w:val="BodyText"/>
                        <w:spacing w:line="256" w:lineRule="auto"/>
                        <w:ind w:left="103" w:right="102"/>
                        <w:jc w:val="both"/>
                      </w:pPr>
                      <w:r>
                        <w:rPr/>
                        <w:t>Fue</w:t>
                      </w:r>
                      <w:r>
                        <w:rPr>
                          <w:spacing w:val="-5"/>
                        </w:rPr>
                        <w:t> </w:t>
                      </w:r>
                      <w:r>
                        <w:rPr/>
                        <w:t>creada</w:t>
                      </w:r>
                      <w:r>
                        <w:rPr>
                          <w:spacing w:val="-5"/>
                        </w:rPr>
                        <w:t> </w:t>
                      </w:r>
                      <w:r>
                        <w:rPr/>
                        <w:t>con</w:t>
                      </w:r>
                      <w:r>
                        <w:rPr>
                          <w:spacing w:val="-3"/>
                        </w:rPr>
                        <w:t> </w:t>
                      </w:r>
                      <w:r>
                        <w:rPr/>
                        <w:t>Ley</w:t>
                      </w:r>
                      <w:r>
                        <w:rPr>
                          <w:spacing w:val="-5"/>
                        </w:rPr>
                        <w:t> </w:t>
                      </w:r>
                      <w:r>
                        <w:rPr/>
                        <w:t>No.</w:t>
                      </w:r>
                      <w:r>
                        <w:rPr>
                          <w:spacing w:val="-5"/>
                        </w:rPr>
                        <w:t> </w:t>
                      </w:r>
                      <w:r>
                        <w:rPr/>
                        <w:t>4760</w:t>
                      </w:r>
                      <w:r>
                        <w:rPr>
                          <w:spacing w:val="-5"/>
                        </w:rPr>
                        <w:t> </w:t>
                      </w:r>
                      <w:r>
                        <w:rPr/>
                        <w:t>ley</w:t>
                      </w:r>
                      <w:r>
                        <w:rPr>
                          <w:spacing w:val="-5"/>
                        </w:rPr>
                        <w:t> </w:t>
                      </w:r>
                      <w:r>
                        <w:rPr/>
                        <w:t>de</w:t>
                      </w:r>
                      <w:r>
                        <w:rPr>
                          <w:spacing w:val="-5"/>
                        </w:rPr>
                        <w:t> </w:t>
                      </w:r>
                      <w:r>
                        <w:rPr/>
                        <w:t>creación</w:t>
                      </w:r>
                      <w:r>
                        <w:rPr>
                          <w:spacing w:val="-3"/>
                        </w:rPr>
                        <w:t> </w:t>
                      </w:r>
                      <w:r>
                        <w:rPr/>
                        <w:t>del</w:t>
                      </w:r>
                      <w:r>
                        <w:rPr>
                          <w:spacing w:val="-4"/>
                        </w:rPr>
                        <w:t> </w:t>
                      </w:r>
                      <w:r>
                        <w:rPr/>
                        <w:t>Instituto</w:t>
                      </w:r>
                      <w:r>
                        <w:rPr>
                          <w:spacing w:val="-3"/>
                        </w:rPr>
                        <w:t> </w:t>
                      </w:r>
                      <w:r>
                        <w:rPr/>
                        <w:t>Mixto</w:t>
                      </w:r>
                      <w:r>
                        <w:rPr>
                          <w:spacing w:val="-3"/>
                        </w:rPr>
                        <w:t> </w:t>
                      </w:r>
                      <w:r>
                        <w:rPr/>
                        <w:t>de</w:t>
                      </w:r>
                      <w:r>
                        <w:rPr>
                          <w:spacing w:val="-8"/>
                        </w:rPr>
                        <w:t> </w:t>
                      </w:r>
                      <w:r>
                        <w:rPr/>
                        <w:t>Ayuda</w:t>
                      </w:r>
                      <w:r>
                        <w:rPr>
                          <w:spacing w:val="-5"/>
                        </w:rPr>
                        <w:t> </w:t>
                      </w:r>
                      <w:r>
                        <w:rPr/>
                        <w:t>Social</w:t>
                      </w:r>
                      <w:r>
                        <w:rPr>
                          <w:spacing w:val="-7"/>
                        </w:rPr>
                        <w:t> </w:t>
                      </w:r>
                      <w:r>
                        <w:rPr/>
                        <w:t>del</w:t>
                      </w:r>
                      <w:r>
                        <w:rPr>
                          <w:spacing w:val="-4"/>
                        </w:rPr>
                        <w:t> </w:t>
                      </w:r>
                      <w:r>
                        <w:rPr/>
                        <w:t>30</w:t>
                      </w:r>
                      <w:r>
                        <w:rPr>
                          <w:spacing w:val="-5"/>
                        </w:rPr>
                        <w:t> </w:t>
                      </w:r>
                      <w:r>
                        <w:rPr/>
                        <w:t>de</w:t>
                      </w:r>
                      <w:r>
                        <w:rPr>
                          <w:spacing w:val="-5"/>
                        </w:rPr>
                        <w:t> </w:t>
                      </w:r>
                      <w:r>
                        <w:rPr/>
                        <w:t>abril</w:t>
                      </w:r>
                      <w:r>
                        <w:rPr>
                          <w:spacing w:val="-4"/>
                        </w:rPr>
                        <w:t> </w:t>
                      </w:r>
                      <w:r>
                        <w:rPr/>
                        <w:t>de 1971, vigente a partir del 08 de mayo de ese mismo año.</w:t>
                      </w:r>
                    </w:p>
                    <w:p>
                      <w:pPr>
                        <w:pStyle w:val="BodyText"/>
                        <w:spacing w:before="23"/>
                      </w:pPr>
                    </w:p>
                    <w:p>
                      <w:pPr>
                        <w:pStyle w:val="BodyText"/>
                        <w:spacing w:line="259" w:lineRule="auto"/>
                        <w:ind w:left="103" w:right="100"/>
                        <w:jc w:val="both"/>
                      </w:pPr>
                      <w:r>
                        <w:rPr/>
                        <w:t>El IMAS se encuentra domiciliado en la Provincia de San José, Cantón Central, Barrio Francisco Peralta, 75 al sur de Pollos KFC. Es un ente descentralizado, con rango de institución autónoma, que goza de autonomía administrativa, pero que está sujeto a la ley en materia de gobierno. La jurisdicción en que opera es costarricense.</w:t>
                      </w:r>
                    </w:p>
                    <w:p>
                      <w:pPr>
                        <w:pStyle w:val="BodyText"/>
                        <w:spacing w:before="19"/>
                      </w:pPr>
                    </w:p>
                    <w:p>
                      <w:pPr>
                        <w:pStyle w:val="BodyText"/>
                        <w:spacing w:line="259" w:lineRule="auto"/>
                        <w:ind w:left="103" w:right="98"/>
                        <w:jc w:val="both"/>
                      </w:pPr>
                      <w:r>
                        <w:rPr/>
                        <w:t>Además, tiene un órgano adscrito, el Sistema Nacional de Información y Registro Único de Beneficiarios (SINIRUBE). Ley 9137 de creación del Sistema Nacional de Información y Registro Único</w:t>
                      </w:r>
                      <w:r>
                        <w:rPr>
                          <w:spacing w:val="-6"/>
                        </w:rPr>
                        <w:t> </w:t>
                      </w:r>
                      <w:r>
                        <w:rPr/>
                        <w:t>de</w:t>
                      </w:r>
                      <w:r>
                        <w:rPr>
                          <w:spacing w:val="-9"/>
                        </w:rPr>
                        <w:t> </w:t>
                      </w:r>
                      <w:r>
                        <w:rPr/>
                        <w:t>Beneficiarios</w:t>
                      </w:r>
                      <w:r>
                        <w:rPr>
                          <w:spacing w:val="-6"/>
                        </w:rPr>
                        <w:t> </w:t>
                      </w:r>
                      <w:r>
                        <w:rPr/>
                        <w:t>del</w:t>
                      </w:r>
                      <w:r>
                        <w:rPr>
                          <w:spacing w:val="-8"/>
                        </w:rPr>
                        <w:t> </w:t>
                      </w:r>
                      <w:r>
                        <w:rPr/>
                        <w:t>Estado</w:t>
                      </w:r>
                      <w:r>
                        <w:rPr>
                          <w:spacing w:val="-9"/>
                        </w:rPr>
                        <w:t> </w:t>
                      </w:r>
                      <w:r>
                        <w:rPr/>
                        <w:t>que</w:t>
                      </w:r>
                      <w:r>
                        <w:rPr>
                          <w:spacing w:val="-8"/>
                        </w:rPr>
                        <w:t> </w:t>
                      </w:r>
                      <w:r>
                        <w:rPr/>
                        <w:t>establece</w:t>
                      </w:r>
                      <w:r>
                        <w:rPr>
                          <w:spacing w:val="-9"/>
                        </w:rPr>
                        <w:t> </w:t>
                      </w:r>
                      <w:r>
                        <w:rPr/>
                        <w:t>en</w:t>
                      </w:r>
                      <w:r>
                        <w:rPr>
                          <w:spacing w:val="-7"/>
                        </w:rPr>
                        <w:t> </w:t>
                      </w:r>
                      <w:r>
                        <w:rPr/>
                        <w:t>su</w:t>
                      </w:r>
                      <w:r>
                        <w:rPr>
                          <w:spacing w:val="-7"/>
                        </w:rPr>
                        <w:t> </w:t>
                      </w:r>
                      <w:r>
                        <w:rPr/>
                        <w:t>artículo</w:t>
                      </w:r>
                      <w:r>
                        <w:rPr>
                          <w:spacing w:val="-6"/>
                        </w:rPr>
                        <w:t> </w:t>
                      </w:r>
                      <w:r>
                        <w:rPr/>
                        <w:t>1°</w:t>
                      </w:r>
                      <w:r>
                        <w:rPr>
                          <w:spacing w:val="-8"/>
                        </w:rPr>
                        <w:t> </w:t>
                      </w:r>
                      <w:r>
                        <w:rPr/>
                        <w:t>al</w:t>
                      </w:r>
                      <w:r>
                        <w:rPr>
                          <w:spacing w:val="-5"/>
                        </w:rPr>
                        <w:t> </w:t>
                      </w:r>
                      <w:r>
                        <w:rPr/>
                        <w:t>SINIRUBE</w:t>
                      </w:r>
                      <w:r>
                        <w:rPr>
                          <w:spacing w:val="-6"/>
                        </w:rPr>
                        <w:t> </w:t>
                      </w:r>
                      <w:r>
                        <w:rPr/>
                        <w:t>como</w:t>
                      </w:r>
                      <w:r>
                        <w:rPr>
                          <w:spacing w:val="-6"/>
                        </w:rPr>
                        <w:t> </w:t>
                      </w:r>
                      <w:r>
                        <w:rPr/>
                        <w:t>un</w:t>
                      </w:r>
                      <w:r>
                        <w:rPr>
                          <w:spacing w:val="-9"/>
                        </w:rPr>
                        <w:t> </w:t>
                      </w:r>
                      <w:r>
                        <w:rPr/>
                        <w:t>órgano</w:t>
                      </w:r>
                      <w:r>
                        <w:rPr>
                          <w:spacing w:val="-6"/>
                        </w:rPr>
                        <w:t> </w:t>
                      </w:r>
                      <w:r>
                        <w:rPr/>
                        <w:t>de desconcentración máxima, adscrito al Instituto Mixto de Ayuda Social (IMAS), el cual contará con personalidad jurídica instrumental para el logro de sus objetivos.</w:t>
                      </w:r>
                    </w:p>
                  </w:txbxContent>
                </v:textbox>
                <v:stroke dashstyle="solid"/>
                <w10:wrap type="topAndBottom"/>
              </v:shape>
            </w:pict>
          </mc:Fallback>
        </mc:AlternateContent>
      </w:r>
    </w:p>
    <w:p>
      <w:pPr>
        <w:pStyle w:val="BodyText"/>
        <w:spacing w:before="183"/>
        <w:rPr>
          <w:b/>
        </w:rPr>
      </w:pPr>
    </w:p>
    <w:p>
      <w:pPr>
        <w:pStyle w:val="ListParagraph"/>
        <w:numPr>
          <w:ilvl w:val="0"/>
          <w:numId w:val="7"/>
        </w:numPr>
        <w:tabs>
          <w:tab w:pos="1339" w:val="left" w:leader="none"/>
        </w:tabs>
        <w:spacing w:line="240" w:lineRule="auto" w:before="1" w:after="0"/>
        <w:ind w:left="1339" w:right="0" w:hanging="358"/>
        <w:jc w:val="left"/>
        <w:rPr>
          <w:sz w:val="22"/>
        </w:rPr>
      </w:pPr>
      <w:r>
        <w:rPr>
          <w:sz w:val="22"/>
        </w:rPr>
        <w:t>Naturaleza</w:t>
      </w:r>
      <w:r>
        <w:rPr>
          <w:spacing w:val="-6"/>
          <w:sz w:val="22"/>
        </w:rPr>
        <w:t> </w:t>
      </w:r>
      <w:r>
        <w:rPr>
          <w:sz w:val="22"/>
        </w:rPr>
        <w:t>de</w:t>
      </w:r>
      <w:r>
        <w:rPr>
          <w:spacing w:val="-7"/>
          <w:sz w:val="22"/>
        </w:rPr>
        <w:t> </w:t>
      </w:r>
      <w:r>
        <w:rPr>
          <w:sz w:val="22"/>
        </w:rPr>
        <w:t>sus</w:t>
      </w:r>
      <w:r>
        <w:rPr>
          <w:spacing w:val="-4"/>
          <w:sz w:val="22"/>
        </w:rPr>
        <w:t> </w:t>
      </w:r>
      <w:r>
        <w:rPr>
          <w:sz w:val="22"/>
        </w:rPr>
        <w:t>operaciones</w:t>
      </w:r>
      <w:r>
        <w:rPr>
          <w:spacing w:val="-4"/>
          <w:sz w:val="22"/>
        </w:rPr>
        <w:t> </w:t>
      </w:r>
      <w:r>
        <w:rPr>
          <w:sz w:val="22"/>
        </w:rPr>
        <w:t>y</w:t>
      </w:r>
      <w:r>
        <w:rPr>
          <w:spacing w:val="-6"/>
          <w:sz w:val="22"/>
        </w:rPr>
        <w:t> </w:t>
      </w:r>
      <w:r>
        <w:rPr>
          <w:sz w:val="22"/>
        </w:rPr>
        <w:t>principales</w:t>
      </w:r>
      <w:r>
        <w:rPr>
          <w:spacing w:val="-4"/>
          <w:sz w:val="22"/>
        </w:rPr>
        <w:t> </w:t>
      </w:r>
      <w:r>
        <w:rPr>
          <w:spacing w:val="-2"/>
          <w:sz w:val="22"/>
        </w:rPr>
        <w:t>actividades.</w:t>
      </w:r>
    </w:p>
    <w:p>
      <w:pPr>
        <w:pStyle w:val="BodyText"/>
        <w:spacing w:before="33"/>
        <w:rPr>
          <w:sz w:val="20"/>
        </w:rPr>
      </w:pPr>
      <w:r>
        <w:rPr>
          <w:sz w:val="20"/>
        </w:rPr>
        <mc:AlternateContent>
          <mc:Choice Requires="wps">
            <w:drawing>
              <wp:anchor distT="0" distB="0" distL="0" distR="0" allowOverlap="1" layoutInCell="1" locked="0" behindDoc="1" simplePos="0" relativeHeight="487592960">
                <wp:simplePos x="0" y="0"/>
                <wp:positionH relativeFrom="page">
                  <wp:posOffset>1083868</wp:posOffset>
                </wp:positionH>
                <wp:positionV relativeFrom="paragraph">
                  <wp:posOffset>184737</wp:posOffset>
                </wp:positionV>
                <wp:extent cx="5607050" cy="1127125"/>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5607050" cy="112712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98"/>
                              <w:ind w:left="103" w:right="100"/>
                              <w:jc w:val="both"/>
                            </w:pPr>
                            <w:r>
                              <w:rPr/>
                              <w:t>El</w:t>
                            </w:r>
                            <w:r>
                              <w:rPr>
                                <w:spacing w:val="-3"/>
                              </w:rPr>
                              <w:t> </w:t>
                            </w:r>
                            <w:r>
                              <w:rPr/>
                              <w:t>IMAS</w:t>
                            </w:r>
                            <w:r>
                              <w:rPr>
                                <w:spacing w:val="-2"/>
                              </w:rPr>
                              <w:t> </w:t>
                            </w:r>
                            <w:r>
                              <w:rPr/>
                              <w:t>es</w:t>
                            </w:r>
                            <w:r>
                              <w:rPr>
                                <w:spacing w:val="-4"/>
                              </w:rPr>
                              <w:t> </w:t>
                            </w:r>
                            <w:r>
                              <w:rPr/>
                              <w:t>una</w:t>
                            </w:r>
                            <w:r>
                              <w:rPr>
                                <w:spacing w:val="-4"/>
                              </w:rPr>
                              <w:t> </w:t>
                            </w:r>
                            <w:r>
                              <w:rPr/>
                              <w:t>entidad</w:t>
                            </w:r>
                            <w:r>
                              <w:rPr>
                                <w:spacing w:val="-3"/>
                              </w:rPr>
                              <w:t> </w:t>
                            </w:r>
                            <w:r>
                              <w:rPr/>
                              <w:t>pública</w:t>
                            </w:r>
                            <w:r>
                              <w:rPr>
                                <w:spacing w:val="-4"/>
                              </w:rPr>
                              <w:t> </w:t>
                            </w:r>
                            <w:r>
                              <w:rPr/>
                              <w:t>que</w:t>
                            </w:r>
                            <w:r>
                              <w:rPr>
                                <w:spacing w:val="-4"/>
                              </w:rPr>
                              <w:t> </w:t>
                            </w:r>
                            <w:r>
                              <w:rPr/>
                              <w:t>entrega</w:t>
                            </w:r>
                            <w:r>
                              <w:rPr>
                                <w:spacing w:val="-4"/>
                              </w:rPr>
                              <w:t> </w:t>
                            </w:r>
                            <w:r>
                              <w:rPr/>
                              <w:t>subsidios</w:t>
                            </w:r>
                            <w:r>
                              <w:rPr>
                                <w:spacing w:val="-4"/>
                              </w:rPr>
                              <w:t> </w:t>
                            </w:r>
                            <w:r>
                              <w:rPr/>
                              <w:t>estatales</w:t>
                            </w:r>
                            <w:r>
                              <w:rPr>
                                <w:spacing w:val="-2"/>
                              </w:rPr>
                              <w:t> </w:t>
                            </w:r>
                            <w:r>
                              <w:rPr/>
                              <w:t>mediante</w:t>
                            </w:r>
                            <w:r>
                              <w:rPr>
                                <w:spacing w:val="-3"/>
                              </w:rPr>
                              <w:t> </w:t>
                            </w:r>
                            <w:r>
                              <w:rPr/>
                              <w:t>el</w:t>
                            </w:r>
                            <w:r>
                              <w:rPr>
                                <w:spacing w:val="-3"/>
                              </w:rPr>
                              <w:t> </w:t>
                            </w:r>
                            <w:r>
                              <w:rPr/>
                              <w:t>financiamiento</w:t>
                            </w:r>
                            <w:r>
                              <w:rPr>
                                <w:spacing w:val="-2"/>
                              </w:rPr>
                              <w:t> </w:t>
                            </w:r>
                            <w:r>
                              <w:rPr/>
                              <w:t>estatal</w:t>
                            </w:r>
                            <w:r>
                              <w:rPr>
                                <w:spacing w:val="-4"/>
                              </w:rPr>
                              <w:t> </w:t>
                            </w:r>
                            <w:r>
                              <w:rPr/>
                              <w:t>y de</w:t>
                            </w:r>
                            <w:r>
                              <w:rPr>
                                <w:spacing w:val="-2"/>
                              </w:rPr>
                              <w:t> </w:t>
                            </w:r>
                            <w:r>
                              <w:rPr/>
                              <w:t>otras entidades,</w:t>
                            </w:r>
                            <w:r>
                              <w:rPr>
                                <w:spacing w:val="-2"/>
                              </w:rPr>
                              <w:t> </w:t>
                            </w:r>
                            <w:r>
                              <w:rPr/>
                              <w:t>y</w:t>
                            </w:r>
                            <w:r>
                              <w:rPr>
                                <w:spacing w:val="-1"/>
                              </w:rPr>
                              <w:t> </w:t>
                            </w:r>
                            <w:r>
                              <w:rPr/>
                              <w:t>con la</w:t>
                            </w:r>
                            <w:r>
                              <w:rPr>
                                <w:spacing w:val="-4"/>
                              </w:rPr>
                              <w:t> </w:t>
                            </w:r>
                            <w:r>
                              <w:rPr/>
                              <w:t>recaudación de</w:t>
                            </w:r>
                            <w:r>
                              <w:rPr>
                                <w:spacing w:val="-2"/>
                              </w:rPr>
                              <w:t> </w:t>
                            </w:r>
                            <w:r>
                              <w:rPr/>
                              <w:t>impuestos a</w:t>
                            </w:r>
                            <w:r>
                              <w:rPr>
                                <w:spacing w:val="-3"/>
                              </w:rPr>
                              <w:t> </w:t>
                            </w:r>
                            <w:r>
                              <w:rPr/>
                              <w:t>los</w:t>
                            </w:r>
                            <w:r>
                              <w:rPr>
                                <w:spacing w:val="-3"/>
                              </w:rPr>
                              <w:t> </w:t>
                            </w:r>
                            <w:r>
                              <w:rPr/>
                              <w:t>moteles</w:t>
                            </w:r>
                            <w:r>
                              <w:rPr>
                                <w:spacing w:val="-1"/>
                              </w:rPr>
                              <w:t> </w:t>
                            </w:r>
                            <w:r>
                              <w:rPr/>
                              <w:t>y</w:t>
                            </w:r>
                            <w:r>
                              <w:rPr>
                                <w:spacing w:val="-1"/>
                              </w:rPr>
                              <w:t> </w:t>
                            </w:r>
                            <w:r>
                              <w:rPr/>
                              <w:t>con la</w:t>
                            </w:r>
                            <w:r>
                              <w:rPr>
                                <w:spacing w:val="-1"/>
                              </w:rPr>
                              <w:t> </w:t>
                            </w:r>
                            <w:r>
                              <w:rPr/>
                              <w:t>contribución</w:t>
                            </w:r>
                            <w:r>
                              <w:rPr>
                                <w:spacing w:val="-2"/>
                              </w:rPr>
                              <w:t> </w:t>
                            </w:r>
                            <w:r>
                              <w:rPr/>
                              <w:t>social</w:t>
                            </w:r>
                            <w:r>
                              <w:rPr>
                                <w:spacing w:val="-1"/>
                              </w:rPr>
                              <w:t> </w:t>
                            </w:r>
                            <w:r>
                              <w:rPr/>
                              <w:t>del 0,5% de carga patronal sobre planillas a nivel nacional, teniendo además la actividad secundaria de ventas de bienes en los aeropuertos, puertos.</w:t>
                            </w:r>
                          </w:p>
                        </w:txbxContent>
                      </wps:txbx>
                      <wps:bodyPr wrap="square" lIns="0" tIns="0" rIns="0" bIns="0" rtlCol="0">
                        <a:noAutofit/>
                      </wps:bodyPr>
                    </wps:wsp>
                  </a:graphicData>
                </a:graphic>
              </wp:anchor>
            </w:drawing>
          </mc:Choice>
          <mc:Fallback>
            <w:pict>
              <v:shape style="position:absolute;margin-left:85.344002pt;margin-top:14.54625pt;width:441.5pt;height:88.75pt;mso-position-horizontal-relative:page;mso-position-vertical-relative:paragraph;z-index:-15723520;mso-wrap-distance-left:0;mso-wrap-distance-right:0" type="#_x0000_t202" id="docshape3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98"/>
                        <w:ind w:left="103" w:right="100"/>
                        <w:jc w:val="both"/>
                      </w:pPr>
                      <w:r>
                        <w:rPr/>
                        <w:t>El</w:t>
                      </w:r>
                      <w:r>
                        <w:rPr>
                          <w:spacing w:val="-3"/>
                        </w:rPr>
                        <w:t> </w:t>
                      </w:r>
                      <w:r>
                        <w:rPr/>
                        <w:t>IMAS</w:t>
                      </w:r>
                      <w:r>
                        <w:rPr>
                          <w:spacing w:val="-2"/>
                        </w:rPr>
                        <w:t> </w:t>
                      </w:r>
                      <w:r>
                        <w:rPr/>
                        <w:t>es</w:t>
                      </w:r>
                      <w:r>
                        <w:rPr>
                          <w:spacing w:val="-4"/>
                        </w:rPr>
                        <w:t> </w:t>
                      </w:r>
                      <w:r>
                        <w:rPr/>
                        <w:t>una</w:t>
                      </w:r>
                      <w:r>
                        <w:rPr>
                          <w:spacing w:val="-4"/>
                        </w:rPr>
                        <w:t> </w:t>
                      </w:r>
                      <w:r>
                        <w:rPr/>
                        <w:t>entidad</w:t>
                      </w:r>
                      <w:r>
                        <w:rPr>
                          <w:spacing w:val="-3"/>
                        </w:rPr>
                        <w:t> </w:t>
                      </w:r>
                      <w:r>
                        <w:rPr/>
                        <w:t>pública</w:t>
                      </w:r>
                      <w:r>
                        <w:rPr>
                          <w:spacing w:val="-4"/>
                        </w:rPr>
                        <w:t> </w:t>
                      </w:r>
                      <w:r>
                        <w:rPr/>
                        <w:t>que</w:t>
                      </w:r>
                      <w:r>
                        <w:rPr>
                          <w:spacing w:val="-4"/>
                        </w:rPr>
                        <w:t> </w:t>
                      </w:r>
                      <w:r>
                        <w:rPr/>
                        <w:t>entrega</w:t>
                      </w:r>
                      <w:r>
                        <w:rPr>
                          <w:spacing w:val="-4"/>
                        </w:rPr>
                        <w:t> </w:t>
                      </w:r>
                      <w:r>
                        <w:rPr/>
                        <w:t>subsidios</w:t>
                      </w:r>
                      <w:r>
                        <w:rPr>
                          <w:spacing w:val="-4"/>
                        </w:rPr>
                        <w:t> </w:t>
                      </w:r>
                      <w:r>
                        <w:rPr/>
                        <w:t>estatales</w:t>
                      </w:r>
                      <w:r>
                        <w:rPr>
                          <w:spacing w:val="-2"/>
                        </w:rPr>
                        <w:t> </w:t>
                      </w:r>
                      <w:r>
                        <w:rPr/>
                        <w:t>mediante</w:t>
                      </w:r>
                      <w:r>
                        <w:rPr>
                          <w:spacing w:val="-3"/>
                        </w:rPr>
                        <w:t> </w:t>
                      </w:r>
                      <w:r>
                        <w:rPr/>
                        <w:t>el</w:t>
                      </w:r>
                      <w:r>
                        <w:rPr>
                          <w:spacing w:val="-3"/>
                        </w:rPr>
                        <w:t> </w:t>
                      </w:r>
                      <w:r>
                        <w:rPr/>
                        <w:t>financiamiento</w:t>
                      </w:r>
                      <w:r>
                        <w:rPr>
                          <w:spacing w:val="-2"/>
                        </w:rPr>
                        <w:t> </w:t>
                      </w:r>
                      <w:r>
                        <w:rPr/>
                        <w:t>estatal</w:t>
                      </w:r>
                      <w:r>
                        <w:rPr>
                          <w:spacing w:val="-4"/>
                        </w:rPr>
                        <w:t> </w:t>
                      </w:r>
                      <w:r>
                        <w:rPr/>
                        <w:t>y de</w:t>
                      </w:r>
                      <w:r>
                        <w:rPr>
                          <w:spacing w:val="-2"/>
                        </w:rPr>
                        <w:t> </w:t>
                      </w:r>
                      <w:r>
                        <w:rPr/>
                        <w:t>otras entidades,</w:t>
                      </w:r>
                      <w:r>
                        <w:rPr>
                          <w:spacing w:val="-2"/>
                        </w:rPr>
                        <w:t> </w:t>
                      </w:r>
                      <w:r>
                        <w:rPr/>
                        <w:t>y</w:t>
                      </w:r>
                      <w:r>
                        <w:rPr>
                          <w:spacing w:val="-1"/>
                        </w:rPr>
                        <w:t> </w:t>
                      </w:r>
                      <w:r>
                        <w:rPr/>
                        <w:t>con la</w:t>
                      </w:r>
                      <w:r>
                        <w:rPr>
                          <w:spacing w:val="-4"/>
                        </w:rPr>
                        <w:t> </w:t>
                      </w:r>
                      <w:r>
                        <w:rPr/>
                        <w:t>recaudación de</w:t>
                      </w:r>
                      <w:r>
                        <w:rPr>
                          <w:spacing w:val="-2"/>
                        </w:rPr>
                        <w:t> </w:t>
                      </w:r>
                      <w:r>
                        <w:rPr/>
                        <w:t>impuestos a</w:t>
                      </w:r>
                      <w:r>
                        <w:rPr>
                          <w:spacing w:val="-3"/>
                        </w:rPr>
                        <w:t> </w:t>
                      </w:r>
                      <w:r>
                        <w:rPr/>
                        <w:t>los</w:t>
                      </w:r>
                      <w:r>
                        <w:rPr>
                          <w:spacing w:val="-3"/>
                        </w:rPr>
                        <w:t> </w:t>
                      </w:r>
                      <w:r>
                        <w:rPr/>
                        <w:t>moteles</w:t>
                      </w:r>
                      <w:r>
                        <w:rPr>
                          <w:spacing w:val="-1"/>
                        </w:rPr>
                        <w:t> </w:t>
                      </w:r>
                      <w:r>
                        <w:rPr/>
                        <w:t>y</w:t>
                      </w:r>
                      <w:r>
                        <w:rPr>
                          <w:spacing w:val="-1"/>
                        </w:rPr>
                        <w:t> </w:t>
                      </w:r>
                      <w:r>
                        <w:rPr/>
                        <w:t>con la</w:t>
                      </w:r>
                      <w:r>
                        <w:rPr>
                          <w:spacing w:val="-1"/>
                        </w:rPr>
                        <w:t> </w:t>
                      </w:r>
                      <w:r>
                        <w:rPr/>
                        <w:t>contribución</w:t>
                      </w:r>
                      <w:r>
                        <w:rPr>
                          <w:spacing w:val="-2"/>
                        </w:rPr>
                        <w:t> </w:t>
                      </w:r>
                      <w:r>
                        <w:rPr/>
                        <w:t>social</w:t>
                      </w:r>
                      <w:r>
                        <w:rPr>
                          <w:spacing w:val="-1"/>
                        </w:rPr>
                        <w:t> </w:t>
                      </w:r>
                      <w:r>
                        <w:rPr/>
                        <w:t>del 0,5% de carga patronal sobre planillas a nivel nacional, teniendo además la actividad secundaria de ventas de bienes en los aeropuertos, puertos.</w:t>
                      </w:r>
                    </w:p>
                  </w:txbxContent>
                </v:textbox>
                <v:stroke dashstyle="solid"/>
                <w10:wrap type="topAndBottom"/>
              </v:shape>
            </w:pict>
          </mc:Fallback>
        </mc:AlternateContent>
      </w:r>
    </w:p>
    <w:p>
      <w:pPr>
        <w:pStyle w:val="BodyText"/>
        <w:spacing w:before="183"/>
      </w:pPr>
    </w:p>
    <w:p>
      <w:pPr>
        <w:pStyle w:val="ListParagraph"/>
        <w:numPr>
          <w:ilvl w:val="0"/>
          <w:numId w:val="7"/>
        </w:numPr>
        <w:tabs>
          <w:tab w:pos="1341" w:val="left" w:leader="none"/>
        </w:tabs>
        <w:spacing w:line="240" w:lineRule="auto" w:before="1" w:after="0"/>
        <w:ind w:left="1341" w:right="0" w:hanging="360"/>
        <w:jc w:val="left"/>
        <w:rPr>
          <w:sz w:val="22"/>
        </w:rPr>
      </w:pPr>
      <w:r>
        <w:rPr>
          <w:sz w:val="22"/>
        </w:rPr>
        <w:t>Responsabilidad</w:t>
      </w:r>
      <w:r>
        <w:rPr>
          <w:spacing w:val="-5"/>
          <w:sz w:val="22"/>
        </w:rPr>
        <w:t> </w:t>
      </w:r>
      <w:r>
        <w:rPr>
          <w:sz w:val="22"/>
        </w:rPr>
        <w:t>por</w:t>
      </w:r>
      <w:r>
        <w:rPr>
          <w:spacing w:val="-4"/>
          <w:sz w:val="22"/>
        </w:rPr>
        <w:t> </w:t>
      </w:r>
      <w:r>
        <w:rPr>
          <w:sz w:val="22"/>
        </w:rPr>
        <w:t>la</w:t>
      </w:r>
      <w:r>
        <w:rPr>
          <w:spacing w:val="-7"/>
          <w:sz w:val="22"/>
        </w:rPr>
        <w:t> </w:t>
      </w:r>
      <w:r>
        <w:rPr>
          <w:sz w:val="22"/>
        </w:rPr>
        <w:t>emisión</w:t>
      </w:r>
      <w:r>
        <w:rPr>
          <w:spacing w:val="-4"/>
          <w:sz w:val="22"/>
        </w:rPr>
        <w:t> </w:t>
      </w:r>
      <w:r>
        <w:rPr>
          <w:sz w:val="22"/>
        </w:rPr>
        <w:t>de</w:t>
      </w:r>
      <w:r>
        <w:rPr>
          <w:spacing w:val="-3"/>
          <w:sz w:val="22"/>
        </w:rPr>
        <w:t> </w:t>
      </w:r>
      <w:r>
        <w:rPr>
          <w:sz w:val="22"/>
        </w:rPr>
        <w:t>los</w:t>
      </w:r>
      <w:r>
        <w:rPr>
          <w:spacing w:val="-3"/>
          <w:sz w:val="22"/>
        </w:rPr>
        <w:t> </w:t>
      </w:r>
      <w:r>
        <w:rPr>
          <w:sz w:val="22"/>
        </w:rPr>
        <w:t>Estados</w:t>
      </w:r>
      <w:r>
        <w:rPr>
          <w:spacing w:val="-3"/>
          <w:sz w:val="22"/>
        </w:rPr>
        <w:t> </w:t>
      </w:r>
      <w:r>
        <w:rPr>
          <w:spacing w:val="-2"/>
          <w:sz w:val="22"/>
        </w:rPr>
        <w:t>Financieros</w:t>
      </w:r>
    </w:p>
    <w:p>
      <w:pPr>
        <w:pStyle w:val="BodyText"/>
        <w:spacing w:before="9"/>
        <w:rPr>
          <w:sz w:val="8"/>
        </w:rPr>
      </w:pPr>
      <w:r>
        <w:rPr>
          <w:sz w:val="8"/>
        </w:rPr>
        <mc:AlternateContent>
          <mc:Choice Requires="wps">
            <w:drawing>
              <wp:anchor distT="0" distB="0" distL="0" distR="0" allowOverlap="1" layoutInCell="1" locked="0" behindDoc="1" simplePos="0" relativeHeight="487593472">
                <wp:simplePos x="0" y="0"/>
                <wp:positionH relativeFrom="page">
                  <wp:posOffset>1083868</wp:posOffset>
                </wp:positionH>
                <wp:positionV relativeFrom="paragraph">
                  <wp:posOffset>82073</wp:posOffset>
                </wp:positionV>
                <wp:extent cx="5607050" cy="93599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5607050" cy="935990"/>
                        </a:xfrm>
                        <a:prstGeom prst="rect">
                          <a:avLst/>
                        </a:prstGeom>
                        <a:ln w="6095">
                          <a:solidFill>
                            <a:srgbClr val="000000"/>
                          </a:solidFill>
                          <a:prstDash val="solid"/>
                        </a:ln>
                      </wps:spPr>
                      <wps:txbx>
                        <w:txbxContent>
                          <w:p>
                            <w:pPr>
                              <w:spacing w:line="273" w:lineRule="exact" w:before="0"/>
                              <w:ind w:left="463" w:right="0" w:firstLine="0"/>
                              <w:jc w:val="both"/>
                              <w:rPr>
                                <w:sz w:val="22"/>
                              </w:rPr>
                            </w:pPr>
                            <w:r>
                              <w:rPr>
                                <w:sz w:val="24"/>
                              </w:rPr>
                              <w:t>1.</w:t>
                            </w:r>
                            <w:r>
                              <w:rPr>
                                <w:spacing w:val="120"/>
                                <w:sz w:val="24"/>
                              </w:rPr>
                              <w:t> </w:t>
                            </w:r>
                            <w:r>
                              <w:rPr>
                                <w:b/>
                                <w:color w:val="1F4E79"/>
                                <w:spacing w:val="-2"/>
                                <w:sz w:val="22"/>
                                <w:u w:val="single" w:color="1F4E79"/>
                              </w:rPr>
                              <w:t>Revelación</w:t>
                            </w:r>
                            <w:r>
                              <w:rPr>
                                <w:spacing w:val="-2"/>
                                <w:sz w:val="22"/>
                                <w:u w:val="none"/>
                              </w:rPr>
                              <w:t>:</w:t>
                            </w:r>
                          </w:p>
                          <w:p>
                            <w:pPr>
                              <w:pStyle w:val="BodyText"/>
                              <w:spacing w:line="276" w:lineRule="auto" w:before="34"/>
                              <w:ind w:left="103" w:right="101"/>
                              <w:jc w:val="both"/>
                            </w:pPr>
                            <w:r>
                              <w:rPr/>
                              <w:t>Conforme a la NICSP No1, párrafo 19 la responsabilidad en la preparación y presentación de los EEFF</w:t>
                            </w:r>
                            <w:r>
                              <w:rPr>
                                <w:spacing w:val="-6"/>
                              </w:rPr>
                              <w:t> </w:t>
                            </w:r>
                            <w:r>
                              <w:rPr/>
                              <w:t>varía</w:t>
                            </w:r>
                            <w:r>
                              <w:rPr>
                                <w:spacing w:val="-7"/>
                              </w:rPr>
                              <w:t> </w:t>
                            </w:r>
                            <w:r>
                              <w:rPr/>
                              <w:t>dentro</w:t>
                            </w:r>
                            <w:r>
                              <w:rPr>
                                <w:spacing w:val="-5"/>
                              </w:rPr>
                              <w:t> </w:t>
                            </w:r>
                            <w:r>
                              <w:rPr/>
                              <w:t>de</w:t>
                            </w:r>
                            <w:r>
                              <w:rPr>
                                <w:spacing w:val="-8"/>
                              </w:rPr>
                              <w:t> </w:t>
                            </w:r>
                            <w:r>
                              <w:rPr/>
                              <w:t>cada</w:t>
                            </w:r>
                            <w:r>
                              <w:rPr>
                                <w:spacing w:val="-7"/>
                              </w:rPr>
                              <w:t> </w:t>
                            </w:r>
                            <w:r>
                              <w:rPr/>
                              <w:t>jurisdicción</w:t>
                            </w:r>
                            <w:r>
                              <w:rPr>
                                <w:spacing w:val="-6"/>
                              </w:rPr>
                              <w:t> </w:t>
                            </w:r>
                            <w:r>
                              <w:rPr/>
                              <w:t>y</w:t>
                            </w:r>
                            <w:r>
                              <w:rPr>
                                <w:spacing w:val="-7"/>
                              </w:rPr>
                              <w:t> </w:t>
                            </w:r>
                            <w:r>
                              <w:rPr/>
                              <w:t>entre</w:t>
                            </w:r>
                            <w:r>
                              <w:rPr>
                                <w:spacing w:val="-7"/>
                              </w:rPr>
                              <w:t> </w:t>
                            </w:r>
                            <w:r>
                              <w:rPr/>
                              <w:t>jurisdicciones</w:t>
                            </w:r>
                            <w:r>
                              <w:rPr>
                                <w:spacing w:val="-5"/>
                              </w:rPr>
                              <w:t> </w:t>
                            </w:r>
                            <w:r>
                              <w:rPr/>
                              <w:t>distintas,</w:t>
                            </w:r>
                            <w:r>
                              <w:rPr>
                                <w:spacing w:val="-6"/>
                              </w:rPr>
                              <w:t> </w:t>
                            </w:r>
                            <w:r>
                              <w:rPr/>
                              <w:t>dependiendo</w:t>
                            </w:r>
                            <w:r>
                              <w:rPr>
                                <w:spacing w:val="-8"/>
                              </w:rPr>
                              <w:t> </w:t>
                            </w:r>
                            <w:r>
                              <w:rPr/>
                              <w:t>de</w:t>
                            </w:r>
                            <w:r>
                              <w:rPr>
                                <w:spacing w:val="-8"/>
                              </w:rPr>
                              <w:t> </w:t>
                            </w:r>
                            <w:r>
                              <w:rPr/>
                              <w:t>la</w:t>
                            </w:r>
                            <w:r>
                              <w:rPr>
                                <w:spacing w:val="-5"/>
                              </w:rPr>
                              <w:t> </w:t>
                            </w:r>
                            <w:r>
                              <w:rPr/>
                              <w:t>estructura que</w:t>
                            </w:r>
                            <w:r>
                              <w:rPr>
                                <w:spacing w:val="-11"/>
                              </w:rPr>
                              <w:t> </w:t>
                            </w:r>
                            <w:r>
                              <w:rPr/>
                              <w:t>las</w:t>
                            </w:r>
                            <w:r>
                              <w:rPr>
                                <w:spacing w:val="-9"/>
                              </w:rPr>
                              <w:t> </w:t>
                            </w:r>
                            <w:r>
                              <w:rPr/>
                              <w:t>entidades</w:t>
                            </w:r>
                            <w:r>
                              <w:rPr>
                                <w:spacing w:val="-11"/>
                              </w:rPr>
                              <w:t> </w:t>
                            </w:r>
                            <w:r>
                              <w:rPr/>
                              <w:t>tengan.</w:t>
                            </w:r>
                            <w:r>
                              <w:rPr>
                                <w:spacing w:val="-11"/>
                              </w:rPr>
                              <w:t> </w:t>
                            </w:r>
                            <w:r>
                              <w:rPr/>
                              <w:t>Los</w:t>
                            </w:r>
                            <w:r>
                              <w:rPr>
                                <w:spacing w:val="-9"/>
                              </w:rPr>
                              <w:t> </w:t>
                            </w:r>
                            <w:r>
                              <w:rPr/>
                              <w:t>EEFF</w:t>
                            </w:r>
                            <w:r>
                              <w:rPr>
                                <w:spacing w:val="-10"/>
                              </w:rPr>
                              <w:t> </w:t>
                            </w:r>
                            <w:r>
                              <w:rPr/>
                              <w:t>deberán</w:t>
                            </w:r>
                            <w:r>
                              <w:rPr>
                                <w:spacing w:val="-12"/>
                              </w:rPr>
                              <w:t> </w:t>
                            </w:r>
                            <w:r>
                              <w:rPr/>
                              <w:t>ser</w:t>
                            </w:r>
                            <w:r>
                              <w:rPr>
                                <w:spacing w:val="-10"/>
                              </w:rPr>
                              <w:t> </w:t>
                            </w:r>
                            <w:r>
                              <w:rPr/>
                              <w:t>firmados</w:t>
                            </w:r>
                            <w:r>
                              <w:rPr>
                                <w:spacing w:val="-9"/>
                              </w:rPr>
                              <w:t> </w:t>
                            </w:r>
                            <w:r>
                              <w:rPr/>
                              <w:t>por</w:t>
                            </w:r>
                            <w:r>
                              <w:rPr>
                                <w:spacing w:val="-10"/>
                              </w:rPr>
                              <w:t> </w:t>
                            </w:r>
                            <w:r>
                              <w:rPr/>
                              <w:t>el</w:t>
                            </w:r>
                            <w:r>
                              <w:rPr>
                                <w:spacing w:val="-10"/>
                              </w:rPr>
                              <w:t> </w:t>
                            </w:r>
                            <w:r>
                              <w:rPr/>
                              <w:t>Contador</w:t>
                            </w:r>
                            <w:r>
                              <w:rPr>
                                <w:spacing w:val="-10"/>
                              </w:rPr>
                              <w:t> </w:t>
                            </w:r>
                            <w:r>
                              <w:rPr/>
                              <w:t>a</w:t>
                            </w:r>
                            <w:r>
                              <w:rPr>
                                <w:spacing w:val="-10"/>
                              </w:rPr>
                              <w:t> </w:t>
                            </w:r>
                            <w:r>
                              <w:rPr/>
                              <w:t>cargo,</w:t>
                            </w:r>
                            <w:r>
                              <w:rPr>
                                <w:spacing w:val="-9"/>
                              </w:rPr>
                              <w:t> </w:t>
                            </w:r>
                            <w:r>
                              <w:rPr/>
                              <w:t>el</w:t>
                            </w:r>
                            <w:r>
                              <w:rPr>
                                <w:spacing w:val="-13"/>
                              </w:rPr>
                              <w:t> </w:t>
                            </w:r>
                            <w:r>
                              <w:rPr/>
                              <w:t>cual</w:t>
                            </w:r>
                            <w:r>
                              <w:rPr>
                                <w:spacing w:val="-10"/>
                              </w:rPr>
                              <w:t> </w:t>
                            </w:r>
                            <w:r>
                              <w:rPr/>
                              <w:t>debe</w:t>
                            </w:r>
                            <w:r>
                              <w:rPr>
                                <w:spacing w:val="-11"/>
                              </w:rPr>
                              <w:t> </w:t>
                            </w:r>
                            <w:r>
                              <w:rPr/>
                              <w:t>estar debidamente acreditado para ello, requiriéndose adicionalmente la firma y aprobación del director</w:t>
                            </w:r>
                          </w:p>
                        </w:txbxContent>
                      </wps:txbx>
                      <wps:bodyPr wrap="square" lIns="0" tIns="0" rIns="0" bIns="0" rtlCol="0">
                        <a:noAutofit/>
                      </wps:bodyPr>
                    </wps:wsp>
                  </a:graphicData>
                </a:graphic>
              </wp:anchor>
            </w:drawing>
          </mc:Choice>
          <mc:Fallback>
            <w:pict>
              <v:shape style="position:absolute;margin-left:85.344002pt;margin-top:6.4625pt;width:441.5pt;height:73.7pt;mso-position-horizontal-relative:page;mso-position-vertical-relative:paragraph;z-index:-15723008;mso-wrap-distance-left:0;mso-wrap-distance-right:0" type="#_x0000_t202" id="docshape31" filled="false" stroked="true" strokeweight=".47998pt" strokecolor="#000000">
                <v:textbox inset="0,0,0,0">
                  <w:txbxContent>
                    <w:p>
                      <w:pPr>
                        <w:spacing w:line="273" w:lineRule="exact" w:before="0"/>
                        <w:ind w:left="463" w:right="0" w:firstLine="0"/>
                        <w:jc w:val="both"/>
                        <w:rPr>
                          <w:sz w:val="22"/>
                        </w:rPr>
                      </w:pPr>
                      <w:r>
                        <w:rPr>
                          <w:sz w:val="24"/>
                        </w:rPr>
                        <w:t>1.</w:t>
                      </w:r>
                      <w:r>
                        <w:rPr>
                          <w:spacing w:val="120"/>
                          <w:sz w:val="24"/>
                        </w:rPr>
                        <w:t> </w:t>
                      </w:r>
                      <w:r>
                        <w:rPr>
                          <w:b/>
                          <w:color w:val="1F4E79"/>
                          <w:spacing w:val="-2"/>
                          <w:sz w:val="22"/>
                          <w:u w:val="single" w:color="1F4E79"/>
                        </w:rPr>
                        <w:t>Revelación</w:t>
                      </w:r>
                      <w:r>
                        <w:rPr>
                          <w:spacing w:val="-2"/>
                          <w:sz w:val="22"/>
                          <w:u w:val="none"/>
                        </w:rPr>
                        <w:t>:</w:t>
                      </w:r>
                    </w:p>
                    <w:p>
                      <w:pPr>
                        <w:pStyle w:val="BodyText"/>
                        <w:spacing w:line="276" w:lineRule="auto" w:before="34"/>
                        <w:ind w:left="103" w:right="101"/>
                        <w:jc w:val="both"/>
                      </w:pPr>
                      <w:r>
                        <w:rPr/>
                        <w:t>Conforme a la NICSP No1, párrafo 19 la responsabilidad en la preparación y presentación de los EEFF</w:t>
                      </w:r>
                      <w:r>
                        <w:rPr>
                          <w:spacing w:val="-6"/>
                        </w:rPr>
                        <w:t> </w:t>
                      </w:r>
                      <w:r>
                        <w:rPr/>
                        <w:t>varía</w:t>
                      </w:r>
                      <w:r>
                        <w:rPr>
                          <w:spacing w:val="-7"/>
                        </w:rPr>
                        <w:t> </w:t>
                      </w:r>
                      <w:r>
                        <w:rPr/>
                        <w:t>dentro</w:t>
                      </w:r>
                      <w:r>
                        <w:rPr>
                          <w:spacing w:val="-5"/>
                        </w:rPr>
                        <w:t> </w:t>
                      </w:r>
                      <w:r>
                        <w:rPr/>
                        <w:t>de</w:t>
                      </w:r>
                      <w:r>
                        <w:rPr>
                          <w:spacing w:val="-8"/>
                        </w:rPr>
                        <w:t> </w:t>
                      </w:r>
                      <w:r>
                        <w:rPr/>
                        <w:t>cada</w:t>
                      </w:r>
                      <w:r>
                        <w:rPr>
                          <w:spacing w:val="-7"/>
                        </w:rPr>
                        <w:t> </w:t>
                      </w:r>
                      <w:r>
                        <w:rPr/>
                        <w:t>jurisdicción</w:t>
                      </w:r>
                      <w:r>
                        <w:rPr>
                          <w:spacing w:val="-6"/>
                        </w:rPr>
                        <w:t> </w:t>
                      </w:r>
                      <w:r>
                        <w:rPr/>
                        <w:t>y</w:t>
                      </w:r>
                      <w:r>
                        <w:rPr>
                          <w:spacing w:val="-7"/>
                        </w:rPr>
                        <w:t> </w:t>
                      </w:r>
                      <w:r>
                        <w:rPr/>
                        <w:t>entre</w:t>
                      </w:r>
                      <w:r>
                        <w:rPr>
                          <w:spacing w:val="-7"/>
                        </w:rPr>
                        <w:t> </w:t>
                      </w:r>
                      <w:r>
                        <w:rPr/>
                        <w:t>jurisdicciones</w:t>
                      </w:r>
                      <w:r>
                        <w:rPr>
                          <w:spacing w:val="-5"/>
                        </w:rPr>
                        <w:t> </w:t>
                      </w:r>
                      <w:r>
                        <w:rPr/>
                        <w:t>distintas,</w:t>
                      </w:r>
                      <w:r>
                        <w:rPr>
                          <w:spacing w:val="-6"/>
                        </w:rPr>
                        <w:t> </w:t>
                      </w:r>
                      <w:r>
                        <w:rPr/>
                        <w:t>dependiendo</w:t>
                      </w:r>
                      <w:r>
                        <w:rPr>
                          <w:spacing w:val="-8"/>
                        </w:rPr>
                        <w:t> </w:t>
                      </w:r>
                      <w:r>
                        <w:rPr/>
                        <w:t>de</w:t>
                      </w:r>
                      <w:r>
                        <w:rPr>
                          <w:spacing w:val="-8"/>
                        </w:rPr>
                        <w:t> </w:t>
                      </w:r>
                      <w:r>
                        <w:rPr/>
                        <w:t>la</w:t>
                      </w:r>
                      <w:r>
                        <w:rPr>
                          <w:spacing w:val="-5"/>
                        </w:rPr>
                        <w:t> </w:t>
                      </w:r>
                      <w:r>
                        <w:rPr/>
                        <w:t>estructura que</w:t>
                      </w:r>
                      <w:r>
                        <w:rPr>
                          <w:spacing w:val="-11"/>
                        </w:rPr>
                        <w:t> </w:t>
                      </w:r>
                      <w:r>
                        <w:rPr/>
                        <w:t>las</w:t>
                      </w:r>
                      <w:r>
                        <w:rPr>
                          <w:spacing w:val="-9"/>
                        </w:rPr>
                        <w:t> </w:t>
                      </w:r>
                      <w:r>
                        <w:rPr/>
                        <w:t>entidades</w:t>
                      </w:r>
                      <w:r>
                        <w:rPr>
                          <w:spacing w:val="-11"/>
                        </w:rPr>
                        <w:t> </w:t>
                      </w:r>
                      <w:r>
                        <w:rPr/>
                        <w:t>tengan.</w:t>
                      </w:r>
                      <w:r>
                        <w:rPr>
                          <w:spacing w:val="-11"/>
                        </w:rPr>
                        <w:t> </w:t>
                      </w:r>
                      <w:r>
                        <w:rPr/>
                        <w:t>Los</w:t>
                      </w:r>
                      <w:r>
                        <w:rPr>
                          <w:spacing w:val="-9"/>
                        </w:rPr>
                        <w:t> </w:t>
                      </w:r>
                      <w:r>
                        <w:rPr/>
                        <w:t>EEFF</w:t>
                      </w:r>
                      <w:r>
                        <w:rPr>
                          <w:spacing w:val="-10"/>
                        </w:rPr>
                        <w:t> </w:t>
                      </w:r>
                      <w:r>
                        <w:rPr/>
                        <w:t>deberán</w:t>
                      </w:r>
                      <w:r>
                        <w:rPr>
                          <w:spacing w:val="-12"/>
                        </w:rPr>
                        <w:t> </w:t>
                      </w:r>
                      <w:r>
                        <w:rPr/>
                        <w:t>ser</w:t>
                      </w:r>
                      <w:r>
                        <w:rPr>
                          <w:spacing w:val="-10"/>
                        </w:rPr>
                        <w:t> </w:t>
                      </w:r>
                      <w:r>
                        <w:rPr/>
                        <w:t>firmados</w:t>
                      </w:r>
                      <w:r>
                        <w:rPr>
                          <w:spacing w:val="-9"/>
                        </w:rPr>
                        <w:t> </w:t>
                      </w:r>
                      <w:r>
                        <w:rPr/>
                        <w:t>por</w:t>
                      </w:r>
                      <w:r>
                        <w:rPr>
                          <w:spacing w:val="-10"/>
                        </w:rPr>
                        <w:t> </w:t>
                      </w:r>
                      <w:r>
                        <w:rPr/>
                        <w:t>el</w:t>
                      </w:r>
                      <w:r>
                        <w:rPr>
                          <w:spacing w:val="-10"/>
                        </w:rPr>
                        <w:t> </w:t>
                      </w:r>
                      <w:r>
                        <w:rPr/>
                        <w:t>Contador</w:t>
                      </w:r>
                      <w:r>
                        <w:rPr>
                          <w:spacing w:val="-10"/>
                        </w:rPr>
                        <w:t> </w:t>
                      </w:r>
                      <w:r>
                        <w:rPr/>
                        <w:t>a</w:t>
                      </w:r>
                      <w:r>
                        <w:rPr>
                          <w:spacing w:val="-10"/>
                        </w:rPr>
                        <w:t> </w:t>
                      </w:r>
                      <w:r>
                        <w:rPr/>
                        <w:t>cargo,</w:t>
                      </w:r>
                      <w:r>
                        <w:rPr>
                          <w:spacing w:val="-9"/>
                        </w:rPr>
                        <w:t> </w:t>
                      </w:r>
                      <w:r>
                        <w:rPr/>
                        <w:t>el</w:t>
                      </w:r>
                      <w:r>
                        <w:rPr>
                          <w:spacing w:val="-13"/>
                        </w:rPr>
                        <w:t> </w:t>
                      </w:r>
                      <w:r>
                        <w:rPr/>
                        <w:t>cual</w:t>
                      </w:r>
                      <w:r>
                        <w:rPr>
                          <w:spacing w:val="-10"/>
                        </w:rPr>
                        <w:t> </w:t>
                      </w:r>
                      <w:r>
                        <w:rPr/>
                        <w:t>debe</w:t>
                      </w:r>
                      <w:r>
                        <w:rPr>
                          <w:spacing w:val="-11"/>
                        </w:rPr>
                        <w:t> </w:t>
                      </w:r>
                      <w:r>
                        <w:rPr/>
                        <w:t>estar debidamente acreditado para ello, requiriéndose adicionalmente la firma y aprobación del director</w:t>
                      </w:r>
                    </w:p>
                  </w:txbxContent>
                </v:textbox>
                <v:stroke dashstyle="solid"/>
                <w10:wrap type="topAndBottom"/>
              </v:shape>
            </w:pict>
          </mc:Fallback>
        </mc:AlternateContent>
      </w:r>
    </w:p>
    <w:p>
      <w:pPr>
        <w:pStyle w:val="BodyText"/>
        <w:spacing w:after="0"/>
        <w:rPr>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2416">
                <wp:simplePos x="0" y="0"/>
                <wp:positionH relativeFrom="page">
                  <wp:posOffset>9525</wp:posOffset>
                </wp:positionH>
                <wp:positionV relativeFrom="page">
                  <wp:posOffset>297208</wp:posOffset>
                </wp:positionV>
                <wp:extent cx="7762875" cy="974852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7762875" cy="9748520"/>
                          <a:chExt cx="7762875" cy="9748520"/>
                        </a:xfrm>
                      </wpg:grpSpPr>
                      <pic:pic>
                        <pic:nvPicPr>
                          <pic:cNvPr id="34" name="Image 34"/>
                          <pic:cNvPicPr/>
                        </pic:nvPicPr>
                        <pic:blipFill>
                          <a:blip r:embed="rId5" cstate="print"/>
                          <a:stretch>
                            <a:fillRect/>
                          </a:stretch>
                        </pic:blipFill>
                        <pic:spPr>
                          <a:xfrm>
                            <a:off x="0" y="0"/>
                            <a:ext cx="7762874" cy="9748489"/>
                          </a:xfrm>
                          <a:prstGeom prst="rect">
                            <a:avLst/>
                          </a:prstGeom>
                        </pic:spPr>
                      </pic:pic>
                      <wps:wsp>
                        <wps:cNvPr id="35" name="Graphic 3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4064" id="docshapegroup32" coordorigin="15,468" coordsize="12225,15352">
                <v:shape style="position:absolute;left:15;top:468;width:12225;height:15352" type="#_x0000_t75" id="docshape33" stroked="false">
                  <v:imagedata r:id="rId5" o:title=""/>
                </v:shape>
                <v:rect style="position:absolute;left:1673;top:2028;width:8897;height:15" id="docshape3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w:t>
      </w:r>
    </w:p>
    <w:p>
      <w:pPr>
        <w:pStyle w:val="BodyText"/>
        <w:spacing w:before="10"/>
        <w:rPr>
          <w:sz w:val="16"/>
        </w:rPr>
      </w:pPr>
      <w:r>
        <w:rPr>
          <w:sz w:val="16"/>
        </w:rPr>
        <mc:AlternateContent>
          <mc:Choice Requires="wps">
            <w:drawing>
              <wp:anchor distT="0" distB="0" distL="0" distR="0" allowOverlap="1" layoutInCell="1" locked="0" behindDoc="1" simplePos="0" relativeHeight="487594496">
                <wp:simplePos x="0" y="0"/>
                <wp:positionH relativeFrom="page">
                  <wp:posOffset>1083868</wp:posOffset>
                </wp:positionH>
                <wp:positionV relativeFrom="paragraph">
                  <wp:posOffset>141144</wp:posOffset>
                </wp:positionV>
                <wp:extent cx="5607050" cy="2021205"/>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5607050" cy="2021205"/>
                        </a:xfrm>
                        <a:prstGeom prst="rect">
                          <a:avLst/>
                        </a:prstGeom>
                        <a:ln w="6095">
                          <a:solidFill>
                            <a:srgbClr val="000000"/>
                          </a:solidFill>
                          <a:prstDash val="solid"/>
                        </a:ln>
                      </wps:spPr>
                      <wps:txbx>
                        <w:txbxContent>
                          <w:p>
                            <w:pPr>
                              <w:pStyle w:val="BodyText"/>
                              <w:ind w:left="103"/>
                              <w:jc w:val="both"/>
                            </w:pPr>
                            <w:r>
                              <w:rPr/>
                              <w:t>ejecutivo</w:t>
                            </w:r>
                            <w:r>
                              <w:rPr>
                                <w:spacing w:val="-8"/>
                              </w:rPr>
                              <w:t> </w:t>
                            </w:r>
                            <w:r>
                              <w:rPr/>
                              <w:t>o</w:t>
                            </w:r>
                            <w:r>
                              <w:rPr>
                                <w:spacing w:val="-4"/>
                              </w:rPr>
                              <w:t> </w:t>
                            </w:r>
                            <w:r>
                              <w:rPr/>
                              <w:t>jerarca</w:t>
                            </w:r>
                            <w:r>
                              <w:rPr>
                                <w:spacing w:val="-6"/>
                              </w:rPr>
                              <w:t> </w:t>
                            </w:r>
                            <w:r>
                              <w:rPr/>
                              <w:t>de</w:t>
                            </w:r>
                            <w:r>
                              <w:rPr>
                                <w:spacing w:val="-7"/>
                              </w:rPr>
                              <w:t> </w:t>
                            </w:r>
                            <w:r>
                              <w:rPr/>
                              <w:t>la</w:t>
                            </w:r>
                            <w:r>
                              <w:rPr>
                                <w:spacing w:val="-7"/>
                              </w:rPr>
                              <w:t> </w:t>
                            </w:r>
                            <w:r>
                              <w:rPr/>
                              <w:t>entidad</w:t>
                            </w:r>
                            <w:r>
                              <w:rPr>
                                <w:spacing w:val="-5"/>
                              </w:rPr>
                              <w:t> </w:t>
                            </w:r>
                            <w:r>
                              <w:rPr/>
                              <w:t>correspondiente,</w:t>
                            </w:r>
                            <w:r>
                              <w:rPr>
                                <w:spacing w:val="-8"/>
                              </w:rPr>
                              <w:t> </w:t>
                            </w:r>
                            <w:r>
                              <w:rPr/>
                              <w:t>siendo</w:t>
                            </w:r>
                            <w:r>
                              <w:rPr>
                                <w:spacing w:val="-5"/>
                              </w:rPr>
                              <w:t> </w:t>
                            </w:r>
                            <w:r>
                              <w:rPr/>
                              <w:t>ambos</w:t>
                            </w:r>
                            <w:r>
                              <w:rPr>
                                <w:spacing w:val="-5"/>
                              </w:rPr>
                              <w:t> </w:t>
                            </w:r>
                            <w:r>
                              <w:rPr/>
                              <w:t>los</w:t>
                            </w:r>
                            <w:r>
                              <w:rPr>
                                <w:spacing w:val="-7"/>
                              </w:rPr>
                              <w:t> </w:t>
                            </w:r>
                            <w:r>
                              <w:rPr/>
                              <w:t>responsables</w:t>
                            </w:r>
                            <w:r>
                              <w:rPr>
                                <w:spacing w:val="-4"/>
                              </w:rPr>
                              <w:t> </w:t>
                            </w:r>
                            <w:r>
                              <w:rPr/>
                              <w:t>de</w:t>
                            </w:r>
                            <w:r>
                              <w:rPr>
                                <w:spacing w:val="-6"/>
                              </w:rPr>
                              <w:t> </w:t>
                            </w:r>
                            <w:r>
                              <w:rPr/>
                              <w:t>dichos</w:t>
                            </w:r>
                            <w:r>
                              <w:rPr>
                                <w:spacing w:val="-4"/>
                              </w:rPr>
                              <w:t> </w:t>
                            </w:r>
                            <w:r>
                              <w:rPr>
                                <w:spacing w:val="-2"/>
                              </w:rPr>
                              <w:t>estados.</w:t>
                            </w:r>
                          </w:p>
                          <w:p>
                            <w:pPr>
                              <w:pStyle w:val="BodyText"/>
                              <w:spacing w:before="198"/>
                              <w:ind w:left="103"/>
                              <w:jc w:val="both"/>
                            </w:pPr>
                            <w:r>
                              <w:rPr/>
                              <w:t>En</w:t>
                            </w:r>
                            <w:r>
                              <w:rPr>
                                <w:spacing w:val="-3"/>
                              </w:rPr>
                              <w:t> </w:t>
                            </w:r>
                            <w:r>
                              <w:rPr/>
                              <w:t>el</w:t>
                            </w:r>
                            <w:r>
                              <w:rPr>
                                <w:spacing w:val="-3"/>
                              </w:rPr>
                              <w:t> </w:t>
                            </w:r>
                            <w:r>
                              <w:rPr/>
                              <w:t>IMAS,</w:t>
                            </w:r>
                            <w:r>
                              <w:rPr>
                                <w:spacing w:val="-6"/>
                              </w:rPr>
                              <w:t> </w:t>
                            </w:r>
                            <w:r>
                              <w:rPr/>
                              <w:t>se</w:t>
                            </w:r>
                            <w:r>
                              <w:rPr>
                                <w:spacing w:val="-3"/>
                              </w:rPr>
                              <w:t> </w:t>
                            </w:r>
                            <w:r>
                              <w:rPr/>
                              <w:t>emitió</w:t>
                            </w:r>
                            <w:r>
                              <w:rPr>
                                <w:spacing w:val="-5"/>
                              </w:rPr>
                              <w:t> </w:t>
                            </w:r>
                            <w:r>
                              <w:rPr/>
                              <w:t>un</w:t>
                            </w:r>
                            <w:r>
                              <w:rPr>
                                <w:spacing w:val="-3"/>
                              </w:rPr>
                              <w:t> </w:t>
                            </w:r>
                            <w:r>
                              <w:rPr/>
                              <w:t>lineamiento</w:t>
                            </w:r>
                            <w:r>
                              <w:rPr>
                                <w:spacing w:val="-1"/>
                              </w:rPr>
                              <w:t> </w:t>
                            </w:r>
                            <w:r>
                              <w:rPr>
                                <w:spacing w:val="-2"/>
                              </w:rPr>
                              <w:t>interno</w:t>
                            </w:r>
                          </w:p>
                          <w:p>
                            <w:pPr>
                              <w:spacing w:line="264" w:lineRule="auto" w:before="31"/>
                              <w:ind w:left="103" w:right="103" w:firstLine="0"/>
                              <w:jc w:val="both"/>
                              <w:rPr>
                                <w:i/>
                                <w:sz w:val="23"/>
                              </w:rPr>
                            </w:pPr>
                            <w:r>
                              <w:rPr>
                                <w:i/>
                                <w:sz w:val="23"/>
                              </w:rPr>
                              <w:t>EEFF04: Los EEFF deben presentarse firmados por el Contador a cargo, el cual debe estar </w:t>
                            </w:r>
                            <w:r>
                              <w:rPr>
                                <w:i/>
                                <w:spacing w:val="-4"/>
                                <w:sz w:val="23"/>
                              </w:rPr>
                              <w:t>debidamente</w:t>
                            </w:r>
                            <w:r>
                              <w:rPr>
                                <w:i/>
                                <w:spacing w:val="-7"/>
                                <w:sz w:val="23"/>
                              </w:rPr>
                              <w:t> </w:t>
                            </w:r>
                            <w:r>
                              <w:rPr>
                                <w:i/>
                                <w:spacing w:val="-4"/>
                                <w:sz w:val="23"/>
                              </w:rPr>
                              <w:t>acreditado</w:t>
                            </w:r>
                            <w:r>
                              <w:rPr>
                                <w:i/>
                                <w:spacing w:val="-6"/>
                                <w:sz w:val="23"/>
                              </w:rPr>
                              <w:t> </w:t>
                            </w:r>
                            <w:r>
                              <w:rPr>
                                <w:i/>
                                <w:spacing w:val="-4"/>
                                <w:sz w:val="23"/>
                              </w:rPr>
                              <w:t>para</w:t>
                            </w:r>
                            <w:r>
                              <w:rPr>
                                <w:i/>
                                <w:spacing w:val="-7"/>
                                <w:sz w:val="23"/>
                              </w:rPr>
                              <w:t> </w:t>
                            </w:r>
                            <w:r>
                              <w:rPr>
                                <w:i/>
                                <w:spacing w:val="-4"/>
                                <w:sz w:val="23"/>
                              </w:rPr>
                              <w:t>ello,</w:t>
                            </w:r>
                            <w:r>
                              <w:rPr>
                                <w:i/>
                                <w:spacing w:val="-6"/>
                                <w:sz w:val="23"/>
                              </w:rPr>
                              <w:t> </w:t>
                            </w:r>
                            <w:r>
                              <w:rPr>
                                <w:i/>
                                <w:spacing w:val="-4"/>
                                <w:sz w:val="23"/>
                              </w:rPr>
                              <w:t>requiriéndose</w:t>
                            </w:r>
                            <w:r>
                              <w:rPr>
                                <w:i/>
                                <w:spacing w:val="-7"/>
                                <w:sz w:val="23"/>
                              </w:rPr>
                              <w:t> </w:t>
                            </w:r>
                            <w:r>
                              <w:rPr>
                                <w:i/>
                                <w:spacing w:val="-4"/>
                                <w:sz w:val="23"/>
                              </w:rPr>
                              <w:t>adicionalmente</w:t>
                            </w:r>
                            <w:r>
                              <w:rPr>
                                <w:i/>
                                <w:spacing w:val="-7"/>
                                <w:sz w:val="23"/>
                              </w:rPr>
                              <w:t> </w:t>
                            </w:r>
                            <w:r>
                              <w:rPr>
                                <w:i/>
                                <w:spacing w:val="-4"/>
                                <w:sz w:val="23"/>
                              </w:rPr>
                              <w:t>la</w:t>
                            </w:r>
                            <w:r>
                              <w:rPr>
                                <w:i/>
                                <w:spacing w:val="-7"/>
                                <w:sz w:val="23"/>
                              </w:rPr>
                              <w:t> </w:t>
                            </w:r>
                            <w:r>
                              <w:rPr>
                                <w:i/>
                                <w:spacing w:val="-4"/>
                                <w:sz w:val="23"/>
                              </w:rPr>
                              <w:t>firma</w:t>
                            </w:r>
                            <w:r>
                              <w:rPr>
                                <w:i/>
                                <w:spacing w:val="-7"/>
                                <w:sz w:val="23"/>
                              </w:rPr>
                              <w:t> </w:t>
                            </w:r>
                            <w:r>
                              <w:rPr>
                                <w:i/>
                                <w:spacing w:val="-4"/>
                                <w:sz w:val="23"/>
                              </w:rPr>
                              <w:t>y</w:t>
                            </w:r>
                            <w:r>
                              <w:rPr>
                                <w:i/>
                                <w:spacing w:val="-7"/>
                                <w:sz w:val="23"/>
                              </w:rPr>
                              <w:t> </w:t>
                            </w:r>
                            <w:r>
                              <w:rPr>
                                <w:i/>
                                <w:spacing w:val="-4"/>
                                <w:sz w:val="23"/>
                              </w:rPr>
                              <w:t>aprobación</w:t>
                            </w:r>
                            <w:r>
                              <w:rPr>
                                <w:i/>
                                <w:spacing w:val="-6"/>
                                <w:sz w:val="23"/>
                              </w:rPr>
                              <w:t> </w:t>
                            </w:r>
                            <w:r>
                              <w:rPr>
                                <w:i/>
                                <w:spacing w:val="-4"/>
                                <w:sz w:val="23"/>
                              </w:rPr>
                              <w:t>del</w:t>
                            </w:r>
                            <w:r>
                              <w:rPr>
                                <w:i/>
                                <w:spacing w:val="-7"/>
                                <w:sz w:val="23"/>
                              </w:rPr>
                              <w:t> </w:t>
                            </w:r>
                            <w:r>
                              <w:rPr>
                                <w:i/>
                                <w:spacing w:val="-4"/>
                                <w:sz w:val="23"/>
                              </w:rPr>
                              <w:t>Gerente </w:t>
                            </w:r>
                            <w:r>
                              <w:rPr>
                                <w:i/>
                                <w:sz w:val="23"/>
                              </w:rPr>
                              <w:t>General</w:t>
                            </w:r>
                            <w:r>
                              <w:rPr>
                                <w:i/>
                                <w:spacing w:val="-15"/>
                                <w:sz w:val="23"/>
                              </w:rPr>
                              <w:t> </w:t>
                            </w:r>
                            <w:r>
                              <w:rPr>
                                <w:i/>
                                <w:sz w:val="23"/>
                              </w:rPr>
                              <w:t>o</w:t>
                            </w:r>
                            <w:r>
                              <w:rPr>
                                <w:i/>
                                <w:spacing w:val="-14"/>
                                <w:sz w:val="23"/>
                              </w:rPr>
                              <w:t> </w:t>
                            </w:r>
                            <w:r>
                              <w:rPr>
                                <w:i/>
                                <w:sz w:val="23"/>
                              </w:rPr>
                              <w:t>jerarca</w:t>
                            </w:r>
                            <w:r>
                              <w:rPr>
                                <w:i/>
                                <w:spacing w:val="-15"/>
                                <w:sz w:val="23"/>
                              </w:rPr>
                              <w:t> </w:t>
                            </w:r>
                            <w:r>
                              <w:rPr>
                                <w:i/>
                                <w:sz w:val="23"/>
                              </w:rPr>
                              <w:t>de</w:t>
                            </w:r>
                            <w:r>
                              <w:rPr>
                                <w:i/>
                                <w:spacing w:val="-14"/>
                                <w:sz w:val="23"/>
                              </w:rPr>
                              <w:t> </w:t>
                            </w:r>
                            <w:r>
                              <w:rPr>
                                <w:i/>
                                <w:sz w:val="23"/>
                              </w:rPr>
                              <w:t>la</w:t>
                            </w:r>
                            <w:r>
                              <w:rPr>
                                <w:i/>
                                <w:spacing w:val="-14"/>
                                <w:sz w:val="23"/>
                              </w:rPr>
                              <w:t> </w:t>
                            </w:r>
                            <w:r>
                              <w:rPr>
                                <w:i/>
                                <w:sz w:val="23"/>
                              </w:rPr>
                              <w:t>entidad,</w:t>
                            </w:r>
                            <w:r>
                              <w:rPr>
                                <w:i/>
                                <w:spacing w:val="-15"/>
                                <w:sz w:val="23"/>
                              </w:rPr>
                              <w:t> </w:t>
                            </w:r>
                            <w:r>
                              <w:rPr>
                                <w:i/>
                                <w:sz w:val="23"/>
                              </w:rPr>
                              <w:t>siendo</w:t>
                            </w:r>
                            <w:r>
                              <w:rPr>
                                <w:i/>
                                <w:spacing w:val="-14"/>
                                <w:sz w:val="23"/>
                              </w:rPr>
                              <w:t> </w:t>
                            </w:r>
                            <w:r>
                              <w:rPr>
                                <w:i/>
                                <w:sz w:val="23"/>
                              </w:rPr>
                              <w:t>ambos</w:t>
                            </w:r>
                            <w:r>
                              <w:rPr>
                                <w:i/>
                                <w:spacing w:val="-14"/>
                                <w:sz w:val="23"/>
                              </w:rPr>
                              <w:t> </w:t>
                            </w:r>
                            <w:r>
                              <w:rPr>
                                <w:i/>
                                <w:sz w:val="23"/>
                              </w:rPr>
                              <w:t>los</w:t>
                            </w:r>
                            <w:r>
                              <w:rPr>
                                <w:i/>
                                <w:spacing w:val="-15"/>
                                <w:sz w:val="23"/>
                              </w:rPr>
                              <w:t> </w:t>
                            </w:r>
                            <w:r>
                              <w:rPr>
                                <w:i/>
                                <w:sz w:val="23"/>
                              </w:rPr>
                              <w:t>responsables</w:t>
                            </w:r>
                            <w:r>
                              <w:rPr>
                                <w:i/>
                                <w:spacing w:val="-14"/>
                                <w:sz w:val="23"/>
                              </w:rPr>
                              <w:t> </w:t>
                            </w:r>
                            <w:r>
                              <w:rPr>
                                <w:i/>
                                <w:sz w:val="23"/>
                              </w:rPr>
                              <w:t>de</w:t>
                            </w:r>
                            <w:r>
                              <w:rPr>
                                <w:i/>
                                <w:spacing w:val="-15"/>
                                <w:sz w:val="23"/>
                              </w:rPr>
                              <w:t> </w:t>
                            </w:r>
                            <w:r>
                              <w:rPr>
                                <w:i/>
                                <w:sz w:val="23"/>
                              </w:rPr>
                              <w:t>dichos</w:t>
                            </w:r>
                            <w:r>
                              <w:rPr>
                                <w:i/>
                                <w:spacing w:val="-14"/>
                                <w:sz w:val="23"/>
                              </w:rPr>
                              <w:t> </w:t>
                            </w:r>
                            <w:r>
                              <w:rPr>
                                <w:i/>
                                <w:sz w:val="23"/>
                              </w:rPr>
                              <w:t>estados.</w:t>
                            </w:r>
                          </w:p>
                          <w:p>
                            <w:pPr>
                              <w:pStyle w:val="BodyText"/>
                              <w:spacing w:line="278" w:lineRule="auto" w:before="7"/>
                              <w:ind w:left="103" w:right="103"/>
                              <w:jc w:val="both"/>
                            </w:pPr>
                            <w:r>
                              <w:rPr/>
                              <w:t>En</w:t>
                            </w:r>
                            <w:r>
                              <w:rPr>
                                <w:spacing w:val="-2"/>
                              </w:rPr>
                              <w:t> </w:t>
                            </w:r>
                            <w:r>
                              <w:rPr/>
                              <w:t>el</w:t>
                            </w:r>
                            <w:r>
                              <w:rPr>
                                <w:spacing w:val="-2"/>
                              </w:rPr>
                              <w:t> </w:t>
                            </w:r>
                            <w:r>
                              <w:rPr/>
                              <w:t>caso</w:t>
                            </w:r>
                            <w:r>
                              <w:rPr>
                                <w:spacing w:val="-2"/>
                              </w:rPr>
                              <w:t> </w:t>
                            </w:r>
                            <w:r>
                              <w:rPr/>
                              <w:t>de</w:t>
                            </w:r>
                            <w:r>
                              <w:rPr>
                                <w:spacing w:val="-4"/>
                              </w:rPr>
                              <w:t> </w:t>
                            </w:r>
                            <w:r>
                              <w:rPr/>
                              <w:t>que,</w:t>
                            </w:r>
                            <w:r>
                              <w:rPr>
                                <w:spacing w:val="-2"/>
                              </w:rPr>
                              <w:t> </w:t>
                            </w:r>
                            <w:r>
                              <w:rPr/>
                              <w:t>la</w:t>
                            </w:r>
                            <w:r>
                              <w:rPr>
                                <w:spacing w:val="-3"/>
                              </w:rPr>
                              <w:t> </w:t>
                            </w:r>
                            <w:r>
                              <w:rPr/>
                              <w:t>presentación</w:t>
                            </w:r>
                            <w:r>
                              <w:rPr>
                                <w:spacing w:val="-2"/>
                              </w:rPr>
                              <w:t> </w:t>
                            </w:r>
                            <w:r>
                              <w:rPr/>
                              <w:t>se</w:t>
                            </w:r>
                            <w:r>
                              <w:rPr>
                                <w:spacing w:val="-3"/>
                              </w:rPr>
                              <w:t> </w:t>
                            </w:r>
                            <w:r>
                              <w:rPr/>
                              <w:t>efectúe</w:t>
                            </w:r>
                            <w:r>
                              <w:rPr>
                                <w:spacing w:val="-3"/>
                              </w:rPr>
                              <w:t> </w:t>
                            </w:r>
                            <w:r>
                              <w:rPr/>
                              <w:t>en</w:t>
                            </w:r>
                            <w:r>
                              <w:rPr>
                                <w:spacing w:val="-2"/>
                              </w:rPr>
                              <w:t> </w:t>
                            </w:r>
                            <w:r>
                              <w:rPr/>
                              <w:t>formato</w:t>
                            </w:r>
                            <w:r>
                              <w:rPr>
                                <w:spacing w:val="-4"/>
                              </w:rPr>
                              <w:t> </w:t>
                            </w:r>
                            <w:r>
                              <w:rPr/>
                              <w:t>digital,</w:t>
                            </w:r>
                            <w:r>
                              <w:rPr>
                                <w:spacing w:val="-2"/>
                              </w:rPr>
                              <w:t> </w:t>
                            </w:r>
                            <w:r>
                              <w:rPr/>
                              <w:t>deberá</w:t>
                            </w:r>
                            <w:r>
                              <w:rPr>
                                <w:spacing w:val="-1"/>
                              </w:rPr>
                              <w:t> </w:t>
                            </w:r>
                            <w:r>
                              <w:rPr/>
                              <w:t>contener</w:t>
                            </w:r>
                            <w:r>
                              <w:rPr>
                                <w:spacing w:val="-2"/>
                              </w:rPr>
                              <w:t> </w:t>
                            </w:r>
                            <w:r>
                              <w:rPr/>
                              <w:t>las</w:t>
                            </w:r>
                            <w:r>
                              <w:rPr>
                                <w:spacing w:val="-1"/>
                              </w:rPr>
                              <w:t> </w:t>
                            </w:r>
                            <w:r>
                              <w:rPr/>
                              <w:t>firmas</w:t>
                            </w:r>
                            <w:r>
                              <w:rPr>
                                <w:spacing w:val="-1"/>
                              </w:rPr>
                              <w:t> </w:t>
                            </w:r>
                            <w:r>
                              <w:rPr/>
                              <w:t>digitales del contador a cargo y el jerarca, según lo establecido en el párrafo anterior.</w:t>
                            </w:r>
                          </w:p>
                          <w:p>
                            <w:pPr>
                              <w:pStyle w:val="BodyText"/>
                              <w:spacing w:before="194"/>
                            </w:pPr>
                          </w:p>
                          <w:p>
                            <w:pPr>
                              <w:pStyle w:val="BodyText"/>
                              <w:spacing w:line="259" w:lineRule="auto"/>
                              <w:ind w:left="103" w:right="102"/>
                              <w:jc w:val="both"/>
                            </w:pPr>
                            <w:r>
                              <w:rPr/>
                              <w:t>Dicho lineamiento fue aprobado con oficio IMAS-GG-0273-2022 e incluido en Plan General Contable del IMAS.</w:t>
                            </w:r>
                          </w:p>
                        </w:txbxContent>
                      </wps:txbx>
                      <wps:bodyPr wrap="square" lIns="0" tIns="0" rIns="0" bIns="0" rtlCol="0">
                        <a:noAutofit/>
                      </wps:bodyPr>
                    </wps:wsp>
                  </a:graphicData>
                </a:graphic>
              </wp:anchor>
            </w:drawing>
          </mc:Choice>
          <mc:Fallback>
            <w:pict>
              <v:shape style="position:absolute;margin-left:85.344002pt;margin-top:11.11375pt;width:441.5pt;height:159.15pt;mso-position-horizontal-relative:page;mso-position-vertical-relative:paragraph;z-index:-15721984;mso-wrap-distance-left:0;mso-wrap-distance-right:0" type="#_x0000_t202" id="docshape35" filled="false" stroked="true" strokeweight=".47998pt" strokecolor="#000000">
                <v:textbox inset="0,0,0,0">
                  <w:txbxContent>
                    <w:p>
                      <w:pPr>
                        <w:pStyle w:val="BodyText"/>
                        <w:ind w:left="103"/>
                        <w:jc w:val="both"/>
                      </w:pPr>
                      <w:r>
                        <w:rPr/>
                        <w:t>ejecutivo</w:t>
                      </w:r>
                      <w:r>
                        <w:rPr>
                          <w:spacing w:val="-8"/>
                        </w:rPr>
                        <w:t> </w:t>
                      </w:r>
                      <w:r>
                        <w:rPr/>
                        <w:t>o</w:t>
                      </w:r>
                      <w:r>
                        <w:rPr>
                          <w:spacing w:val="-4"/>
                        </w:rPr>
                        <w:t> </w:t>
                      </w:r>
                      <w:r>
                        <w:rPr/>
                        <w:t>jerarca</w:t>
                      </w:r>
                      <w:r>
                        <w:rPr>
                          <w:spacing w:val="-6"/>
                        </w:rPr>
                        <w:t> </w:t>
                      </w:r>
                      <w:r>
                        <w:rPr/>
                        <w:t>de</w:t>
                      </w:r>
                      <w:r>
                        <w:rPr>
                          <w:spacing w:val="-7"/>
                        </w:rPr>
                        <w:t> </w:t>
                      </w:r>
                      <w:r>
                        <w:rPr/>
                        <w:t>la</w:t>
                      </w:r>
                      <w:r>
                        <w:rPr>
                          <w:spacing w:val="-7"/>
                        </w:rPr>
                        <w:t> </w:t>
                      </w:r>
                      <w:r>
                        <w:rPr/>
                        <w:t>entidad</w:t>
                      </w:r>
                      <w:r>
                        <w:rPr>
                          <w:spacing w:val="-5"/>
                        </w:rPr>
                        <w:t> </w:t>
                      </w:r>
                      <w:r>
                        <w:rPr/>
                        <w:t>correspondiente,</w:t>
                      </w:r>
                      <w:r>
                        <w:rPr>
                          <w:spacing w:val="-8"/>
                        </w:rPr>
                        <w:t> </w:t>
                      </w:r>
                      <w:r>
                        <w:rPr/>
                        <w:t>siendo</w:t>
                      </w:r>
                      <w:r>
                        <w:rPr>
                          <w:spacing w:val="-5"/>
                        </w:rPr>
                        <w:t> </w:t>
                      </w:r>
                      <w:r>
                        <w:rPr/>
                        <w:t>ambos</w:t>
                      </w:r>
                      <w:r>
                        <w:rPr>
                          <w:spacing w:val="-5"/>
                        </w:rPr>
                        <w:t> </w:t>
                      </w:r>
                      <w:r>
                        <w:rPr/>
                        <w:t>los</w:t>
                      </w:r>
                      <w:r>
                        <w:rPr>
                          <w:spacing w:val="-7"/>
                        </w:rPr>
                        <w:t> </w:t>
                      </w:r>
                      <w:r>
                        <w:rPr/>
                        <w:t>responsables</w:t>
                      </w:r>
                      <w:r>
                        <w:rPr>
                          <w:spacing w:val="-4"/>
                        </w:rPr>
                        <w:t> </w:t>
                      </w:r>
                      <w:r>
                        <w:rPr/>
                        <w:t>de</w:t>
                      </w:r>
                      <w:r>
                        <w:rPr>
                          <w:spacing w:val="-6"/>
                        </w:rPr>
                        <w:t> </w:t>
                      </w:r>
                      <w:r>
                        <w:rPr/>
                        <w:t>dichos</w:t>
                      </w:r>
                      <w:r>
                        <w:rPr>
                          <w:spacing w:val="-4"/>
                        </w:rPr>
                        <w:t> </w:t>
                      </w:r>
                      <w:r>
                        <w:rPr>
                          <w:spacing w:val="-2"/>
                        </w:rPr>
                        <w:t>estados.</w:t>
                      </w:r>
                    </w:p>
                    <w:p>
                      <w:pPr>
                        <w:pStyle w:val="BodyText"/>
                        <w:spacing w:before="198"/>
                        <w:ind w:left="103"/>
                        <w:jc w:val="both"/>
                      </w:pPr>
                      <w:r>
                        <w:rPr/>
                        <w:t>En</w:t>
                      </w:r>
                      <w:r>
                        <w:rPr>
                          <w:spacing w:val="-3"/>
                        </w:rPr>
                        <w:t> </w:t>
                      </w:r>
                      <w:r>
                        <w:rPr/>
                        <w:t>el</w:t>
                      </w:r>
                      <w:r>
                        <w:rPr>
                          <w:spacing w:val="-3"/>
                        </w:rPr>
                        <w:t> </w:t>
                      </w:r>
                      <w:r>
                        <w:rPr/>
                        <w:t>IMAS,</w:t>
                      </w:r>
                      <w:r>
                        <w:rPr>
                          <w:spacing w:val="-6"/>
                        </w:rPr>
                        <w:t> </w:t>
                      </w:r>
                      <w:r>
                        <w:rPr/>
                        <w:t>se</w:t>
                      </w:r>
                      <w:r>
                        <w:rPr>
                          <w:spacing w:val="-3"/>
                        </w:rPr>
                        <w:t> </w:t>
                      </w:r>
                      <w:r>
                        <w:rPr/>
                        <w:t>emitió</w:t>
                      </w:r>
                      <w:r>
                        <w:rPr>
                          <w:spacing w:val="-5"/>
                        </w:rPr>
                        <w:t> </w:t>
                      </w:r>
                      <w:r>
                        <w:rPr/>
                        <w:t>un</w:t>
                      </w:r>
                      <w:r>
                        <w:rPr>
                          <w:spacing w:val="-3"/>
                        </w:rPr>
                        <w:t> </w:t>
                      </w:r>
                      <w:r>
                        <w:rPr/>
                        <w:t>lineamiento</w:t>
                      </w:r>
                      <w:r>
                        <w:rPr>
                          <w:spacing w:val="-1"/>
                        </w:rPr>
                        <w:t> </w:t>
                      </w:r>
                      <w:r>
                        <w:rPr>
                          <w:spacing w:val="-2"/>
                        </w:rPr>
                        <w:t>interno</w:t>
                      </w:r>
                    </w:p>
                    <w:p>
                      <w:pPr>
                        <w:spacing w:line="264" w:lineRule="auto" w:before="31"/>
                        <w:ind w:left="103" w:right="103" w:firstLine="0"/>
                        <w:jc w:val="both"/>
                        <w:rPr>
                          <w:i/>
                          <w:sz w:val="23"/>
                        </w:rPr>
                      </w:pPr>
                      <w:r>
                        <w:rPr>
                          <w:i/>
                          <w:sz w:val="23"/>
                        </w:rPr>
                        <w:t>EEFF04: Los EEFF deben presentarse firmados por el Contador a cargo, el cual debe estar </w:t>
                      </w:r>
                      <w:r>
                        <w:rPr>
                          <w:i/>
                          <w:spacing w:val="-4"/>
                          <w:sz w:val="23"/>
                        </w:rPr>
                        <w:t>debidamente</w:t>
                      </w:r>
                      <w:r>
                        <w:rPr>
                          <w:i/>
                          <w:spacing w:val="-7"/>
                          <w:sz w:val="23"/>
                        </w:rPr>
                        <w:t> </w:t>
                      </w:r>
                      <w:r>
                        <w:rPr>
                          <w:i/>
                          <w:spacing w:val="-4"/>
                          <w:sz w:val="23"/>
                        </w:rPr>
                        <w:t>acreditado</w:t>
                      </w:r>
                      <w:r>
                        <w:rPr>
                          <w:i/>
                          <w:spacing w:val="-6"/>
                          <w:sz w:val="23"/>
                        </w:rPr>
                        <w:t> </w:t>
                      </w:r>
                      <w:r>
                        <w:rPr>
                          <w:i/>
                          <w:spacing w:val="-4"/>
                          <w:sz w:val="23"/>
                        </w:rPr>
                        <w:t>para</w:t>
                      </w:r>
                      <w:r>
                        <w:rPr>
                          <w:i/>
                          <w:spacing w:val="-7"/>
                          <w:sz w:val="23"/>
                        </w:rPr>
                        <w:t> </w:t>
                      </w:r>
                      <w:r>
                        <w:rPr>
                          <w:i/>
                          <w:spacing w:val="-4"/>
                          <w:sz w:val="23"/>
                        </w:rPr>
                        <w:t>ello,</w:t>
                      </w:r>
                      <w:r>
                        <w:rPr>
                          <w:i/>
                          <w:spacing w:val="-6"/>
                          <w:sz w:val="23"/>
                        </w:rPr>
                        <w:t> </w:t>
                      </w:r>
                      <w:r>
                        <w:rPr>
                          <w:i/>
                          <w:spacing w:val="-4"/>
                          <w:sz w:val="23"/>
                        </w:rPr>
                        <w:t>requiriéndose</w:t>
                      </w:r>
                      <w:r>
                        <w:rPr>
                          <w:i/>
                          <w:spacing w:val="-7"/>
                          <w:sz w:val="23"/>
                        </w:rPr>
                        <w:t> </w:t>
                      </w:r>
                      <w:r>
                        <w:rPr>
                          <w:i/>
                          <w:spacing w:val="-4"/>
                          <w:sz w:val="23"/>
                        </w:rPr>
                        <w:t>adicionalmente</w:t>
                      </w:r>
                      <w:r>
                        <w:rPr>
                          <w:i/>
                          <w:spacing w:val="-7"/>
                          <w:sz w:val="23"/>
                        </w:rPr>
                        <w:t> </w:t>
                      </w:r>
                      <w:r>
                        <w:rPr>
                          <w:i/>
                          <w:spacing w:val="-4"/>
                          <w:sz w:val="23"/>
                        </w:rPr>
                        <w:t>la</w:t>
                      </w:r>
                      <w:r>
                        <w:rPr>
                          <w:i/>
                          <w:spacing w:val="-7"/>
                          <w:sz w:val="23"/>
                        </w:rPr>
                        <w:t> </w:t>
                      </w:r>
                      <w:r>
                        <w:rPr>
                          <w:i/>
                          <w:spacing w:val="-4"/>
                          <w:sz w:val="23"/>
                        </w:rPr>
                        <w:t>firma</w:t>
                      </w:r>
                      <w:r>
                        <w:rPr>
                          <w:i/>
                          <w:spacing w:val="-7"/>
                          <w:sz w:val="23"/>
                        </w:rPr>
                        <w:t> </w:t>
                      </w:r>
                      <w:r>
                        <w:rPr>
                          <w:i/>
                          <w:spacing w:val="-4"/>
                          <w:sz w:val="23"/>
                        </w:rPr>
                        <w:t>y</w:t>
                      </w:r>
                      <w:r>
                        <w:rPr>
                          <w:i/>
                          <w:spacing w:val="-7"/>
                          <w:sz w:val="23"/>
                        </w:rPr>
                        <w:t> </w:t>
                      </w:r>
                      <w:r>
                        <w:rPr>
                          <w:i/>
                          <w:spacing w:val="-4"/>
                          <w:sz w:val="23"/>
                        </w:rPr>
                        <w:t>aprobación</w:t>
                      </w:r>
                      <w:r>
                        <w:rPr>
                          <w:i/>
                          <w:spacing w:val="-6"/>
                          <w:sz w:val="23"/>
                        </w:rPr>
                        <w:t> </w:t>
                      </w:r>
                      <w:r>
                        <w:rPr>
                          <w:i/>
                          <w:spacing w:val="-4"/>
                          <w:sz w:val="23"/>
                        </w:rPr>
                        <w:t>del</w:t>
                      </w:r>
                      <w:r>
                        <w:rPr>
                          <w:i/>
                          <w:spacing w:val="-7"/>
                          <w:sz w:val="23"/>
                        </w:rPr>
                        <w:t> </w:t>
                      </w:r>
                      <w:r>
                        <w:rPr>
                          <w:i/>
                          <w:spacing w:val="-4"/>
                          <w:sz w:val="23"/>
                        </w:rPr>
                        <w:t>Gerente </w:t>
                      </w:r>
                      <w:r>
                        <w:rPr>
                          <w:i/>
                          <w:sz w:val="23"/>
                        </w:rPr>
                        <w:t>General</w:t>
                      </w:r>
                      <w:r>
                        <w:rPr>
                          <w:i/>
                          <w:spacing w:val="-15"/>
                          <w:sz w:val="23"/>
                        </w:rPr>
                        <w:t> </w:t>
                      </w:r>
                      <w:r>
                        <w:rPr>
                          <w:i/>
                          <w:sz w:val="23"/>
                        </w:rPr>
                        <w:t>o</w:t>
                      </w:r>
                      <w:r>
                        <w:rPr>
                          <w:i/>
                          <w:spacing w:val="-14"/>
                          <w:sz w:val="23"/>
                        </w:rPr>
                        <w:t> </w:t>
                      </w:r>
                      <w:r>
                        <w:rPr>
                          <w:i/>
                          <w:sz w:val="23"/>
                        </w:rPr>
                        <w:t>jerarca</w:t>
                      </w:r>
                      <w:r>
                        <w:rPr>
                          <w:i/>
                          <w:spacing w:val="-15"/>
                          <w:sz w:val="23"/>
                        </w:rPr>
                        <w:t> </w:t>
                      </w:r>
                      <w:r>
                        <w:rPr>
                          <w:i/>
                          <w:sz w:val="23"/>
                        </w:rPr>
                        <w:t>de</w:t>
                      </w:r>
                      <w:r>
                        <w:rPr>
                          <w:i/>
                          <w:spacing w:val="-14"/>
                          <w:sz w:val="23"/>
                        </w:rPr>
                        <w:t> </w:t>
                      </w:r>
                      <w:r>
                        <w:rPr>
                          <w:i/>
                          <w:sz w:val="23"/>
                        </w:rPr>
                        <w:t>la</w:t>
                      </w:r>
                      <w:r>
                        <w:rPr>
                          <w:i/>
                          <w:spacing w:val="-14"/>
                          <w:sz w:val="23"/>
                        </w:rPr>
                        <w:t> </w:t>
                      </w:r>
                      <w:r>
                        <w:rPr>
                          <w:i/>
                          <w:sz w:val="23"/>
                        </w:rPr>
                        <w:t>entidad,</w:t>
                      </w:r>
                      <w:r>
                        <w:rPr>
                          <w:i/>
                          <w:spacing w:val="-15"/>
                          <w:sz w:val="23"/>
                        </w:rPr>
                        <w:t> </w:t>
                      </w:r>
                      <w:r>
                        <w:rPr>
                          <w:i/>
                          <w:sz w:val="23"/>
                        </w:rPr>
                        <w:t>siendo</w:t>
                      </w:r>
                      <w:r>
                        <w:rPr>
                          <w:i/>
                          <w:spacing w:val="-14"/>
                          <w:sz w:val="23"/>
                        </w:rPr>
                        <w:t> </w:t>
                      </w:r>
                      <w:r>
                        <w:rPr>
                          <w:i/>
                          <w:sz w:val="23"/>
                        </w:rPr>
                        <w:t>ambos</w:t>
                      </w:r>
                      <w:r>
                        <w:rPr>
                          <w:i/>
                          <w:spacing w:val="-14"/>
                          <w:sz w:val="23"/>
                        </w:rPr>
                        <w:t> </w:t>
                      </w:r>
                      <w:r>
                        <w:rPr>
                          <w:i/>
                          <w:sz w:val="23"/>
                        </w:rPr>
                        <w:t>los</w:t>
                      </w:r>
                      <w:r>
                        <w:rPr>
                          <w:i/>
                          <w:spacing w:val="-15"/>
                          <w:sz w:val="23"/>
                        </w:rPr>
                        <w:t> </w:t>
                      </w:r>
                      <w:r>
                        <w:rPr>
                          <w:i/>
                          <w:sz w:val="23"/>
                        </w:rPr>
                        <w:t>responsables</w:t>
                      </w:r>
                      <w:r>
                        <w:rPr>
                          <w:i/>
                          <w:spacing w:val="-14"/>
                          <w:sz w:val="23"/>
                        </w:rPr>
                        <w:t> </w:t>
                      </w:r>
                      <w:r>
                        <w:rPr>
                          <w:i/>
                          <w:sz w:val="23"/>
                        </w:rPr>
                        <w:t>de</w:t>
                      </w:r>
                      <w:r>
                        <w:rPr>
                          <w:i/>
                          <w:spacing w:val="-15"/>
                          <w:sz w:val="23"/>
                        </w:rPr>
                        <w:t> </w:t>
                      </w:r>
                      <w:r>
                        <w:rPr>
                          <w:i/>
                          <w:sz w:val="23"/>
                        </w:rPr>
                        <w:t>dichos</w:t>
                      </w:r>
                      <w:r>
                        <w:rPr>
                          <w:i/>
                          <w:spacing w:val="-14"/>
                          <w:sz w:val="23"/>
                        </w:rPr>
                        <w:t> </w:t>
                      </w:r>
                      <w:r>
                        <w:rPr>
                          <w:i/>
                          <w:sz w:val="23"/>
                        </w:rPr>
                        <w:t>estados.</w:t>
                      </w:r>
                    </w:p>
                    <w:p>
                      <w:pPr>
                        <w:pStyle w:val="BodyText"/>
                        <w:spacing w:line="278" w:lineRule="auto" w:before="7"/>
                        <w:ind w:left="103" w:right="103"/>
                        <w:jc w:val="both"/>
                      </w:pPr>
                      <w:r>
                        <w:rPr/>
                        <w:t>En</w:t>
                      </w:r>
                      <w:r>
                        <w:rPr>
                          <w:spacing w:val="-2"/>
                        </w:rPr>
                        <w:t> </w:t>
                      </w:r>
                      <w:r>
                        <w:rPr/>
                        <w:t>el</w:t>
                      </w:r>
                      <w:r>
                        <w:rPr>
                          <w:spacing w:val="-2"/>
                        </w:rPr>
                        <w:t> </w:t>
                      </w:r>
                      <w:r>
                        <w:rPr/>
                        <w:t>caso</w:t>
                      </w:r>
                      <w:r>
                        <w:rPr>
                          <w:spacing w:val="-2"/>
                        </w:rPr>
                        <w:t> </w:t>
                      </w:r>
                      <w:r>
                        <w:rPr/>
                        <w:t>de</w:t>
                      </w:r>
                      <w:r>
                        <w:rPr>
                          <w:spacing w:val="-4"/>
                        </w:rPr>
                        <w:t> </w:t>
                      </w:r>
                      <w:r>
                        <w:rPr/>
                        <w:t>que,</w:t>
                      </w:r>
                      <w:r>
                        <w:rPr>
                          <w:spacing w:val="-2"/>
                        </w:rPr>
                        <w:t> </w:t>
                      </w:r>
                      <w:r>
                        <w:rPr/>
                        <w:t>la</w:t>
                      </w:r>
                      <w:r>
                        <w:rPr>
                          <w:spacing w:val="-3"/>
                        </w:rPr>
                        <w:t> </w:t>
                      </w:r>
                      <w:r>
                        <w:rPr/>
                        <w:t>presentación</w:t>
                      </w:r>
                      <w:r>
                        <w:rPr>
                          <w:spacing w:val="-2"/>
                        </w:rPr>
                        <w:t> </w:t>
                      </w:r>
                      <w:r>
                        <w:rPr/>
                        <w:t>se</w:t>
                      </w:r>
                      <w:r>
                        <w:rPr>
                          <w:spacing w:val="-3"/>
                        </w:rPr>
                        <w:t> </w:t>
                      </w:r>
                      <w:r>
                        <w:rPr/>
                        <w:t>efectúe</w:t>
                      </w:r>
                      <w:r>
                        <w:rPr>
                          <w:spacing w:val="-3"/>
                        </w:rPr>
                        <w:t> </w:t>
                      </w:r>
                      <w:r>
                        <w:rPr/>
                        <w:t>en</w:t>
                      </w:r>
                      <w:r>
                        <w:rPr>
                          <w:spacing w:val="-2"/>
                        </w:rPr>
                        <w:t> </w:t>
                      </w:r>
                      <w:r>
                        <w:rPr/>
                        <w:t>formato</w:t>
                      </w:r>
                      <w:r>
                        <w:rPr>
                          <w:spacing w:val="-4"/>
                        </w:rPr>
                        <w:t> </w:t>
                      </w:r>
                      <w:r>
                        <w:rPr/>
                        <w:t>digital,</w:t>
                      </w:r>
                      <w:r>
                        <w:rPr>
                          <w:spacing w:val="-2"/>
                        </w:rPr>
                        <w:t> </w:t>
                      </w:r>
                      <w:r>
                        <w:rPr/>
                        <w:t>deberá</w:t>
                      </w:r>
                      <w:r>
                        <w:rPr>
                          <w:spacing w:val="-1"/>
                        </w:rPr>
                        <w:t> </w:t>
                      </w:r>
                      <w:r>
                        <w:rPr/>
                        <w:t>contener</w:t>
                      </w:r>
                      <w:r>
                        <w:rPr>
                          <w:spacing w:val="-2"/>
                        </w:rPr>
                        <w:t> </w:t>
                      </w:r>
                      <w:r>
                        <w:rPr/>
                        <w:t>las</w:t>
                      </w:r>
                      <w:r>
                        <w:rPr>
                          <w:spacing w:val="-1"/>
                        </w:rPr>
                        <w:t> </w:t>
                      </w:r>
                      <w:r>
                        <w:rPr/>
                        <w:t>firmas</w:t>
                      </w:r>
                      <w:r>
                        <w:rPr>
                          <w:spacing w:val="-1"/>
                        </w:rPr>
                        <w:t> </w:t>
                      </w:r>
                      <w:r>
                        <w:rPr/>
                        <w:t>digitales del contador a cargo y el jerarca, según lo establecido en el párrafo anterior.</w:t>
                      </w:r>
                    </w:p>
                    <w:p>
                      <w:pPr>
                        <w:pStyle w:val="BodyText"/>
                        <w:spacing w:before="194"/>
                      </w:pPr>
                    </w:p>
                    <w:p>
                      <w:pPr>
                        <w:pStyle w:val="BodyText"/>
                        <w:spacing w:line="259" w:lineRule="auto"/>
                        <w:ind w:left="103" w:right="102"/>
                        <w:jc w:val="both"/>
                      </w:pPr>
                      <w:r>
                        <w:rPr/>
                        <w:t>Dicho lineamiento fue aprobado con oficio IMAS-GG-0273-2022 e incluido en Plan General Contable del IMAS.</w:t>
                      </w:r>
                    </w:p>
                  </w:txbxContent>
                </v:textbox>
                <v:stroke dashstyle="solid"/>
                <w10:wrap type="topAndBottom"/>
              </v:shape>
            </w:pict>
          </mc:Fallback>
        </mc:AlternateContent>
      </w:r>
    </w:p>
    <w:p>
      <w:pPr>
        <w:pStyle w:val="BodyText"/>
        <w:spacing w:before="183"/>
      </w:pPr>
    </w:p>
    <w:p>
      <w:pPr>
        <w:pStyle w:val="ListParagraph"/>
        <w:numPr>
          <w:ilvl w:val="0"/>
          <w:numId w:val="7"/>
        </w:numPr>
        <w:tabs>
          <w:tab w:pos="1340" w:val="left" w:leader="none"/>
        </w:tabs>
        <w:spacing w:line="240" w:lineRule="auto" w:before="1" w:after="0"/>
        <w:ind w:left="1340" w:right="0" w:hanging="359"/>
        <w:jc w:val="left"/>
        <w:rPr>
          <w:sz w:val="22"/>
        </w:rPr>
      </w:pPr>
      <w:r>
        <w:rPr>
          <w:sz w:val="22"/>
        </w:rPr>
        <w:t>Legislación</w:t>
      </w:r>
      <w:r>
        <w:rPr>
          <w:spacing w:val="-5"/>
          <w:sz w:val="22"/>
        </w:rPr>
        <w:t> </w:t>
      </w:r>
      <w:r>
        <w:rPr>
          <w:sz w:val="22"/>
        </w:rPr>
        <w:t>que</w:t>
      </w:r>
      <w:r>
        <w:rPr>
          <w:spacing w:val="-3"/>
          <w:sz w:val="22"/>
        </w:rPr>
        <w:t> </w:t>
      </w:r>
      <w:r>
        <w:rPr>
          <w:sz w:val="22"/>
        </w:rPr>
        <w:t>rige</w:t>
      </w:r>
      <w:r>
        <w:rPr>
          <w:spacing w:val="-3"/>
          <w:sz w:val="22"/>
        </w:rPr>
        <w:t> </w:t>
      </w:r>
      <w:r>
        <w:rPr>
          <w:sz w:val="22"/>
        </w:rPr>
        <w:t>las</w:t>
      </w:r>
      <w:r>
        <w:rPr>
          <w:spacing w:val="-6"/>
          <w:sz w:val="22"/>
        </w:rPr>
        <w:t> </w:t>
      </w:r>
      <w:r>
        <w:rPr>
          <w:sz w:val="22"/>
        </w:rPr>
        <w:t>operaciones</w:t>
      </w:r>
      <w:r>
        <w:rPr>
          <w:spacing w:val="-3"/>
          <w:sz w:val="22"/>
        </w:rPr>
        <w:t> </w:t>
      </w:r>
      <w:r>
        <w:rPr>
          <w:sz w:val="22"/>
        </w:rPr>
        <w:t>de</w:t>
      </w:r>
      <w:r>
        <w:rPr>
          <w:spacing w:val="-3"/>
          <w:sz w:val="22"/>
        </w:rPr>
        <w:t> </w:t>
      </w:r>
      <w:r>
        <w:rPr>
          <w:sz w:val="22"/>
        </w:rPr>
        <w:t>la</w:t>
      </w:r>
      <w:r>
        <w:rPr>
          <w:spacing w:val="-6"/>
          <w:sz w:val="22"/>
        </w:rPr>
        <w:t> </w:t>
      </w:r>
      <w:r>
        <w:rPr>
          <w:spacing w:val="-2"/>
          <w:sz w:val="22"/>
        </w:rPr>
        <w:t>entidad</w:t>
      </w:r>
    </w:p>
    <w:p>
      <w:pPr>
        <w:pStyle w:val="BodyText"/>
        <w:spacing w:before="33"/>
        <w:rPr>
          <w:sz w:val="20"/>
        </w:rPr>
      </w:pPr>
      <w:r>
        <w:rPr>
          <w:sz w:val="20"/>
        </w:rPr>
        <mc:AlternateContent>
          <mc:Choice Requires="wps">
            <w:drawing>
              <wp:anchor distT="0" distB="0" distL="0" distR="0" allowOverlap="1" layoutInCell="1" locked="0" behindDoc="1" simplePos="0" relativeHeight="487595008">
                <wp:simplePos x="0" y="0"/>
                <wp:positionH relativeFrom="page">
                  <wp:posOffset>1083868</wp:posOffset>
                </wp:positionH>
                <wp:positionV relativeFrom="paragraph">
                  <wp:posOffset>184229</wp:posOffset>
                </wp:positionV>
                <wp:extent cx="5607050" cy="4118610"/>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5607050" cy="41186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7"/>
                              <w:jc w:val="both"/>
                            </w:pPr>
                            <w:r>
                              <w:rPr/>
                              <w:t>La Ley de Creación del IMAS número 4760 regula la actuación institucional y le asigna funciones específicas, sin embargo, existen además una serie de disposiciones legales y reglamentarias adicionales, las cuales se incluyen en el </w:t>
                            </w:r>
                            <w:r>
                              <w:rPr>
                                <w:b/>
                              </w:rPr>
                              <w:t>Anexo No.2</w:t>
                            </w:r>
                            <w:r>
                              <w:rPr/>
                              <w:t>.</w:t>
                            </w:r>
                          </w:p>
                          <w:p>
                            <w:pPr>
                              <w:pStyle w:val="BodyText"/>
                              <w:spacing w:before="161"/>
                              <w:ind w:left="103"/>
                              <w:jc w:val="both"/>
                            </w:pPr>
                            <w:r>
                              <w:rPr/>
                              <w:t>La</w:t>
                            </w:r>
                            <w:r>
                              <w:rPr>
                                <w:spacing w:val="-3"/>
                              </w:rPr>
                              <w:t> </w:t>
                            </w:r>
                            <w:r>
                              <w:rPr/>
                              <w:t>Ley</w:t>
                            </w:r>
                            <w:r>
                              <w:rPr>
                                <w:spacing w:val="-3"/>
                              </w:rPr>
                              <w:t> </w:t>
                            </w:r>
                            <w:r>
                              <w:rPr/>
                              <w:t>4760</w:t>
                            </w:r>
                            <w:r>
                              <w:rPr>
                                <w:spacing w:val="-4"/>
                              </w:rPr>
                              <w:t> </w:t>
                            </w:r>
                            <w:r>
                              <w:rPr/>
                              <w:t>señala</w:t>
                            </w:r>
                            <w:r>
                              <w:rPr>
                                <w:spacing w:val="-3"/>
                              </w:rPr>
                              <w:t> </w:t>
                            </w:r>
                            <w:r>
                              <w:rPr/>
                              <w:t>en</w:t>
                            </w:r>
                            <w:r>
                              <w:rPr>
                                <w:spacing w:val="-2"/>
                              </w:rPr>
                              <w:t> </w:t>
                            </w:r>
                            <w:r>
                              <w:rPr/>
                              <w:t>su</w:t>
                            </w:r>
                            <w:r>
                              <w:rPr>
                                <w:spacing w:val="-2"/>
                              </w:rPr>
                              <w:t> </w:t>
                            </w:r>
                            <w:r>
                              <w:rPr/>
                              <w:t>Artículo</w:t>
                            </w:r>
                            <w:r>
                              <w:rPr>
                                <w:spacing w:val="-2"/>
                              </w:rPr>
                              <w:t> </w:t>
                            </w:r>
                            <w:r>
                              <w:rPr/>
                              <w:t>2º-,</w:t>
                            </w:r>
                            <w:r>
                              <w:rPr>
                                <w:spacing w:val="-2"/>
                              </w:rPr>
                              <w:t> </w:t>
                            </w:r>
                            <w:r>
                              <w:rPr/>
                              <w:t>lo</w:t>
                            </w:r>
                            <w:r>
                              <w:rPr>
                                <w:spacing w:val="-3"/>
                              </w:rPr>
                              <w:t> </w:t>
                            </w:r>
                            <w:r>
                              <w:rPr>
                                <w:spacing w:val="-2"/>
                              </w:rPr>
                              <w:t>siguiente:</w:t>
                            </w:r>
                          </w:p>
                          <w:p>
                            <w:pPr>
                              <w:spacing w:line="247" w:lineRule="auto" w:before="171"/>
                              <w:ind w:left="103" w:right="554" w:firstLine="0"/>
                              <w:jc w:val="both"/>
                              <w:rPr>
                                <w:i/>
                                <w:sz w:val="23"/>
                              </w:rPr>
                            </w:pPr>
                            <w:r>
                              <w:rPr>
                                <w:i/>
                                <w:spacing w:val="-2"/>
                                <w:sz w:val="23"/>
                              </w:rPr>
                              <w:t>“El</w:t>
                            </w:r>
                            <w:r>
                              <w:rPr>
                                <w:i/>
                                <w:spacing w:val="-15"/>
                                <w:sz w:val="23"/>
                              </w:rPr>
                              <w:t> </w:t>
                            </w:r>
                            <w:r>
                              <w:rPr>
                                <w:i/>
                                <w:spacing w:val="-2"/>
                                <w:sz w:val="23"/>
                              </w:rPr>
                              <w:t>IMAS</w:t>
                            </w:r>
                            <w:r>
                              <w:rPr>
                                <w:i/>
                                <w:spacing w:val="-12"/>
                                <w:sz w:val="23"/>
                              </w:rPr>
                              <w:t> </w:t>
                            </w:r>
                            <w:r>
                              <w:rPr>
                                <w:i/>
                                <w:spacing w:val="-2"/>
                                <w:sz w:val="23"/>
                              </w:rPr>
                              <w:t>tiene</w:t>
                            </w:r>
                            <w:r>
                              <w:rPr>
                                <w:i/>
                                <w:spacing w:val="-13"/>
                                <w:sz w:val="23"/>
                              </w:rPr>
                              <w:t> </w:t>
                            </w:r>
                            <w:r>
                              <w:rPr>
                                <w:i/>
                                <w:spacing w:val="-2"/>
                                <w:sz w:val="23"/>
                              </w:rPr>
                              <w:t>como</w:t>
                            </w:r>
                            <w:r>
                              <w:rPr>
                                <w:i/>
                                <w:spacing w:val="-12"/>
                                <w:sz w:val="23"/>
                              </w:rPr>
                              <w:t> </w:t>
                            </w:r>
                            <w:r>
                              <w:rPr>
                                <w:i/>
                                <w:spacing w:val="-2"/>
                                <w:sz w:val="23"/>
                              </w:rPr>
                              <w:t>finalidad</w:t>
                            </w:r>
                            <w:r>
                              <w:rPr>
                                <w:i/>
                                <w:spacing w:val="-12"/>
                                <w:sz w:val="23"/>
                              </w:rPr>
                              <w:t> </w:t>
                            </w:r>
                            <w:r>
                              <w:rPr>
                                <w:i/>
                                <w:spacing w:val="-2"/>
                                <w:sz w:val="23"/>
                              </w:rPr>
                              <w:t>resolver</w:t>
                            </w:r>
                            <w:r>
                              <w:rPr>
                                <w:i/>
                                <w:spacing w:val="-13"/>
                                <w:sz w:val="23"/>
                              </w:rPr>
                              <w:t> </w:t>
                            </w:r>
                            <w:r>
                              <w:rPr>
                                <w:i/>
                                <w:spacing w:val="-2"/>
                                <w:sz w:val="23"/>
                              </w:rPr>
                              <w:t>el</w:t>
                            </w:r>
                            <w:r>
                              <w:rPr>
                                <w:i/>
                                <w:spacing w:val="-12"/>
                                <w:sz w:val="23"/>
                              </w:rPr>
                              <w:t> </w:t>
                            </w:r>
                            <w:r>
                              <w:rPr>
                                <w:i/>
                                <w:spacing w:val="-2"/>
                                <w:sz w:val="23"/>
                              </w:rPr>
                              <w:t>problema</w:t>
                            </w:r>
                            <w:r>
                              <w:rPr>
                                <w:i/>
                                <w:spacing w:val="-12"/>
                                <w:sz w:val="23"/>
                              </w:rPr>
                              <w:t> </w:t>
                            </w:r>
                            <w:r>
                              <w:rPr>
                                <w:i/>
                                <w:spacing w:val="-2"/>
                                <w:sz w:val="23"/>
                              </w:rPr>
                              <w:t>de</w:t>
                            </w:r>
                            <w:r>
                              <w:rPr>
                                <w:i/>
                                <w:spacing w:val="-13"/>
                                <w:sz w:val="23"/>
                              </w:rPr>
                              <w:t> </w:t>
                            </w:r>
                            <w:r>
                              <w:rPr>
                                <w:i/>
                                <w:spacing w:val="-2"/>
                                <w:sz w:val="23"/>
                              </w:rPr>
                              <w:t>la</w:t>
                            </w:r>
                            <w:r>
                              <w:rPr>
                                <w:i/>
                                <w:spacing w:val="-12"/>
                                <w:sz w:val="23"/>
                              </w:rPr>
                              <w:t> </w:t>
                            </w:r>
                            <w:r>
                              <w:rPr>
                                <w:i/>
                                <w:spacing w:val="-2"/>
                                <w:sz w:val="23"/>
                              </w:rPr>
                              <w:t>pobreza</w:t>
                            </w:r>
                            <w:r>
                              <w:rPr>
                                <w:i/>
                                <w:spacing w:val="-13"/>
                                <w:sz w:val="23"/>
                              </w:rPr>
                              <w:t> </w:t>
                            </w:r>
                            <w:r>
                              <w:rPr>
                                <w:i/>
                                <w:spacing w:val="-2"/>
                                <w:sz w:val="23"/>
                              </w:rPr>
                              <w:t>extrema</w:t>
                            </w:r>
                            <w:r>
                              <w:rPr>
                                <w:i/>
                                <w:spacing w:val="-12"/>
                                <w:sz w:val="23"/>
                              </w:rPr>
                              <w:t> </w:t>
                            </w:r>
                            <w:r>
                              <w:rPr>
                                <w:i/>
                                <w:spacing w:val="-2"/>
                                <w:sz w:val="23"/>
                              </w:rPr>
                              <w:t>en</w:t>
                            </w:r>
                            <w:r>
                              <w:rPr>
                                <w:i/>
                                <w:spacing w:val="-12"/>
                                <w:sz w:val="23"/>
                              </w:rPr>
                              <w:t> </w:t>
                            </w:r>
                            <w:r>
                              <w:rPr>
                                <w:i/>
                                <w:spacing w:val="-2"/>
                                <w:sz w:val="23"/>
                              </w:rPr>
                              <w:t>el</w:t>
                            </w:r>
                            <w:r>
                              <w:rPr>
                                <w:i/>
                                <w:spacing w:val="-13"/>
                                <w:sz w:val="23"/>
                              </w:rPr>
                              <w:t> </w:t>
                            </w:r>
                            <w:r>
                              <w:rPr>
                                <w:i/>
                                <w:spacing w:val="-2"/>
                                <w:sz w:val="23"/>
                              </w:rPr>
                              <w:t>país,</w:t>
                            </w:r>
                            <w:r>
                              <w:rPr>
                                <w:i/>
                                <w:spacing w:val="-12"/>
                                <w:sz w:val="23"/>
                              </w:rPr>
                              <w:t> </w:t>
                            </w:r>
                            <w:r>
                              <w:rPr>
                                <w:i/>
                                <w:spacing w:val="-2"/>
                                <w:sz w:val="23"/>
                              </w:rPr>
                              <w:t>para</w:t>
                            </w:r>
                            <w:r>
                              <w:rPr>
                                <w:i/>
                                <w:spacing w:val="-12"/>
                                <w:sz w:val="23"/>
                              </w:rPr>
                              <w:t> </w:t>
                            </w:r>
                            <w:r>
                              <w:rPr>
                                <w:i/>
                                <w:spacing w:val="-2"/>
                                <w:sz w:val="23"/>
                              </w:rPr>
                              <w:t>lo </w:t>
                            </w:r>
                            <w:r>
                              <w:rPr>
                                <w:i/>
                                <w:sz w:val="23"/>
                              </w:rPr>
                              <w:t>cual</w:t>
                            </w:r>
                            <w:r>
                              <w:rPr>
                                <w:i/>
                                <w:spacing w:val="-15"/>
                                <w:sz w:val="23"/>
                              </w:rPr>
                              <w:t> </w:t>
                            </w:r>
                            <w:r>
                              <w:rPr>
                                <w:i/>
                                <w:sz w:val="23"/>
                              </w:rPr>
                              <w:t>deberá</w:t>
                            </w:r>
                            <w:r>
                              <w:rPr>
                                <w:i/>
                                <w:spacing w:val="-14"/>
                                <w:sz w:val="23"/>
                              </w:rPr>
                              <w:t> </w:t>
                            </w:r>
                            <w:r>
                              <w:rPr>
                                <w:i/>
                                <w:sz w:val="23"/>
                              </w:rPr>
                              <w:t>planear,</w:t>
                            </w:r>
                            <w:r>
                              <w:rPr>
                                <w:i/>
                                <w:spacing w:val="-15"/>
                                <w:sz w:val="23"/>
                              </w:rPr>
                              <w:t> </w:t>
                            </w:r>
                            <w:r>
                              <w:rPr>
                                <w:i/>
                                <w:sz w:val="23"/>
                              </w:rPr>
                              <w:t>dirigir,</w:t>
                            </w:r>
                            <w:r>
                              <w:rPr>
                                <w:i/>
                                <w:spacing w:val="-14"/>
                                <w:sz w:val="23"/>
                              </w:rPr>
                              <w:t> </w:t>
                            </w:r>
                            <w:r>
                              <w:rPr>
                                <w:i/>
                                <w:sz w:val="23"/>
                              </w:rPr>
                              <w:t>ejecutar</w:t>
                            </w:r>
                            <w:r>
                              <w:rPr>
                                <w:i/>
                                <w:spacing w:val="-14"/>
                                <w:sz w:val="23"/>
                              </w:rPr>
                              <w:t> </w:t>
                            </w:r>
                            <w:r>
                              <w:rPr>
                                <w:i/>
                                <w:sz w:val="23"/>
                              </w:rPr>
                              <w:t>y</w:t>
                            </w:r>
                            <w:r>
                              <w:rPr>
                                <w:i/>
                                <w:spacing w:val="-15"/>
                                <w:sz w:val="23"/>
                              </w:rPr>
                              <w:t> </w:t>
                            </w:r>
                            <w:r>
                              <w:rPr>
                                <w:i/>
                                <w:sz w:val="23"/>
                              </w:rPr>
                              <w:t>controlar</w:t>
                            </w:r>
                            <w:r>
                              <w:rPr>
                                <w:i/>
                                <w:spacing w:val="-14"/>
                                <w:sz w:val="23"/>
                              </w:rPr>
                              <w:t> </w:t>
                            </w:r>
                            <w:r>
                              <w:rPr>
                                <w:i/>
                                <w:sz w:val="23"/>
                              </w:rPr>
                              <w:t>un</w:t>
                            </w:r>
                            <w:r>
                              <w:rPr>
                                <w:i/>
                                <w:spacing w:val="-14"/>
                                <w:sz w:val="23"/>
                              </w:rPr>
                              <w:t> </w:t>
                            </w:r>
                            <w:r>
                              <w:rPr>
                                <w:i/>
                                <w:sz w:val="23"/>
                              </w:rPr>
                              <w:t>plan</w:t>
                            </w:r>
                            <w:r>
                              <w:rPr>
                                <w:i/>
                                <w:spacing w:val="-15"/>
                                <w:sz w:val="23"/>
                              </w:rPr>
                              <w:t> </w:t>
                            </w:r>
                            <w:r>
                              <w:rPr>
                                <w:i/>
                                <w:sz w:val="23"/>
                              </w:rPr>
                              <w:t>nacional</w:t>
                            </w:r>
                            <w:r>
                              <w:rPr>
                                <w:i/>
                                <w:spacing w:val="-14"/>
                                <w:sz w:val="23"/>
                              </w:rPr>
                              <w:t> </w:t>
                            </w:r>
                            <w:r>
                              <w:rPr>
                                <w:i/>
                                <w:sz w:val="23"/>
                              </w:rPr>
                              <w:t>destinado</w:t>
                            </w:r>
                            <w:r>
                              <w:rPr>
                                <w:i/>
                                <w:spacing w:val="-15"/>
                                <w:sz w:val="23"/>
                              </w:rPr>
                              <w:t> </w:t>
                            </w:r>
                            <w:r>
                              <w:rPr>
                                <w:i/>
                                <w:sz w:val="23"/>
                              </w:rPr>
                              <w:t>a</w:t>
                            </w:r>
                            <w:r>
                              <w:rPr>
                                <w:i/>
                                <w:spacing w:val="-14"/>
                                <w:sz w:val="23"/>
                              </w:rPr>
                              <w:t> </w:t>
                            </w:r>
                            <w:r>
                              <w:rPr>
                                <w:i/>
                                <w:sz w:val="23"/>
                              </w:rPr>
                              <w:t>dicho</w:t>
                            </w:r>
                            <w:r>
                              <w:rPr>
                                <w:i/>
                                <w:spacing w:val="-14"/>
                                <w:sz w:val="23"/>
                              </w:rPr>
                              <w:t> </w:t>
                            </w:r>
                            <w:r>
                              <w:rPr>
                                <w:i/>
                                <w:sz w:val="23"/>
                              </w:rPr>
                              <w:t>fin.</w:t>
                            </w:r>
                            <w:r>
                              <w:rPr>
                                <w:i/>
                                <w:spacing w:val="-15"/>
                                <w:sz w:val="23"/>
                              </w:rPr>
                              <w:t> </w:t>
                            </w:r>
                            <w:r>
                              <w:rPr>
                                <w:i/>
                                <w:sz w:val="23"/>
                              </w:rPr>
                              <w:t>Para </w:t>
                            </w:r>
                            <w:r>
                              <w:rPr>
                                <w:i/>
                                <w:spacing w:val="-2"/>
                                <w:sz w:val="23"/>
                              </w:rPr>
                              <w:t>ese</w:t>
                            </w:r>
                            <w:r>
                              <w:rPr>
                                <w:i/>
                                <w:spacing w:val="-13"/>
                                <w:sz w:val="23"/>
                              </w:rPr>
                              <w:t> </w:t>
                            </w:r>
                            <w:r>
                              <w:rPr>
                                <w:i/>
                                <w:spacing w:val="-2"/>
                                <w:sz w:val="23"/>
                              </w:rPr>
                              <w:t>objetivo</w:t>
                            </w:r>
                            <w:r>
                              <w:rPr>
                                <w:i/>
                                <w:spacing w:val="-12"/>
                                <w:sz w:val="23"/>
                              </w:rPr>
                              <w:t> </w:t>
                            </w:r>
                            <w:r>
                              <w:rPr>
                                <w:i/>
                                <w:spacing w:val="-2"/>
                                <w:sz w:val="23"/>
                              </w:rPr>
                              <w:t>utilizará</w:t>
                            </w:r>
                            <w:r>
                              <w:rPr>
                                <w:i/>
                                <w:spacing w:val="-13"/>
                                <w:sz w:val="23"/>
                              </w:rPr>
                              <w:t> </w:t>
                            </w:r>
                            <w:r>
                              <w:rPr>
                                <w:i/>
                                <w:spacing w:val="-2"/>
                                <w:sz w:val="23"/>
                              </w:rPr>
                              <w:t>todos</w:t>
                            </w:r>
                            <w:r>
                              <w:rPr>
                                <w:i/>
                                <w:spacing w:val="-12"/>
                                <w:sz w:val="23"/>
                              </w:rPr>
                              <w:t> </w:t>
                            </w:r>
                            <w:r>
                              <w:rPr>
                                <w:i/>
                                <w:spacing w:val="-2"/>
                                <w:sz w:val="23"/>
                              </w:rPr>
                              <w:t>los</w:t>
                            </w:r>
                            <w:r>
                              <w:rPr>
                                <w:i/>
                                <w:spacing w:val="-12"/>
                                <w:sz w:val="23"/>
                              </w:rPr>
                              <w:t> </w:t>
                            </w:r>
                            <w:r>
                              <w:rPr>
                                <w:i/>
                                <w:spacing w:val="-2"/>
                                <w:sz w:val="23"/>
                              </w:rPr>
                              <w:t>recursos</w:t>
                            </w:r>
                            <w:r>
                              <w:rPr>
                                <w:i/>
                                <w:spacing w:val="-13"/>
                                <w:sz w:val="23"/>
                              </w:rPr>
                              <w:t> </w:t>
                            </w:r>
                            <w:r>
                              <w:rPr>
                                <w:i/>
                                <w:spacing w:val="-2"/>
                                <w:sz w:val="23"/>
                              </w:rPr>
                              <w:t>humanos</w:t>
                            </w:r>
                            <w:r>
                              <w:rPr>
                                <w:i/>
                                <w:spacing w:val="-12"/>
                                <w:sz w:val="23"/>
                              </w:rPr>
                              <w:t> </w:t>
                            </w:r>
                            <w:r>
                              <w:rPr>
                                <w:i/>
                                <w:spacing w:val="-2"/>
                                <w:sz w:val="23"/>
                              </w:rPr>
                              <w:t>y</w:t>
                            </w:r>
                            <w:r>
                              <w:rPr>
                                <w:i/>
                                <w:spacing w:val="-12"/>
                                <w:sz w:val="23"/>
                              </w:rPr>
                              <w:t> </w:t>
                            </w:r>
                            <w:r>
                              <w:rPr>
                                <w:i/>
                                <w:spacing w:val="-2"/>
                                <w:sz w:val="23"/>
                              </w:rPr>
                              <w:t>económicos</w:t>
                            </w:r>
                            <w:r>
                              <w:rPr>
                                <w:i/>
                                <w:spacing w:val="-13"/>
                                <w:sz w:val="23"/>
                              </w:rPr>
                              <w:t> </w:t>
                            </w:r>
                            <w:r>
                              <w:rPr>
                                <w:i/>
                                <w:spacing w:val="-2"/>
                                <w:sz w:val="23"/>
                              </w:rPr>
                              <w:t>que</w:t>
                            </w:r>
                            <w:r>
                              <w:rPr>
                                <w:i/>
                                <w:spacing w:val="-12"/>
                                <w:sz w:val="23"/>
                              </w:rPr>
                              <w:t> </w:t>
                            </w:r>
                            <w:r>
                              <w:rPr>
                                <w:i/>
                                <w:spacing w:val="-2"/>
                                <w:sz w:val="23"/>
                              </w:rPr>
                              <w:t>sean</w:t>
                            </w:r>
                            <w:r>
                              <w:rPr>
                                <w:i/>
                                <w:spacing w:val="-13"/>
                                <w:sz w:val="23"/>
                              </w:rPr>
                              <w:t> </w:t>
                            </w:r>
                            <w:r>
                              <w:rPr>
                                <w:i/>
                                <w:spacing w:val="-2"/>
                                <w:sz w:val="23"/>
                              </w:rPr>
                              <w:t>puestos</w:t>
                            </w:r>
                            <w:r>
                              <w:rPr>
                                <w:i/>
                                <w:spacing w:val="-12"/>
                                <w:sz w:val="23"/>
                              </w:rPr>
                              <w:t> </w:t>
                            </w:r>
                            <w:r>
                              <w:rPr>
                                <w:i/>
                                <w:spacing w:val="-2"/>
                                <w:sz w:val="23"/>
                              </w:rPr>
                              <w:t>a</w:t>
                            </w:r>
                            <w:r>
                              <w:rPr>
                                <w:i/>
                                <w:spacing w:val="-12"/>
                                <w:sz w:val="23"/>
                              </w:rPr>
                              <w:t> </w:t>
                            </w:r>
                            <w:r>
                              <w:rPr>
                                <w:i/>
                                <w:spacing w:val="-2"/>
                                <w:sz w:val="23"/>
                              </w:rPr>
                              <w:t>su</w:t>
                            </w:r>
                            <w:r>
                              <w:rPr>
                                <w:i/>
                                <w:spacing w:val="-13"/>
                                <w:sz w:val="23"/>
                              </w:rPr>
                              <w:t> </w:t>
                            </w:r>
                            <w:r>
                              <w:rPr>
                                <w:i/>
                                <w:spacing w:val="-2"/>
                                <w:sz w:val="23"/>
                              </w:rPr>
                              <w:t>servicio </w:t>
                            </w:r>
                            <w:r>
                              <w:rPr>
                                <w:i/>
                                <w:sz w:val="23"/>
                              </w:rPr>
                              <w:t>por los empresarios y trabajadores del país, instituciones del sector público nacionales o </w:t>
                            </w:r>
                            <w:r>
                              <w:rPr>
                                <w:i/>
                                <w:spacing w:val="-4"/>
                                <w:sz w:val="23"/>
                              </w:rPr>
                              <w:t>extranjeras,</w:t>
                            </w:r>
                            <w:r>
                              <w:rPr>
                                <w:i/>
                                <w:spacing w:val="-6"/>
                                <w:sz w:val="23"/>
                              </w:rPr>
                              <w:t> </w:t>
                            </w:r>
                            <w:r>
                              <w:rPr>
                                <w:i/>
                                <w:spacing w:val="-4"/>
                                <w:sz w:val="23"/>
                              </w:rPr>
                              <w:t>organizaciones</w:t>
                            </w:r>
                            <w:r>
                              <w:rPr>
                                <w:i/>
                                <w:spacing w:val="-9"/>
                                <w:sz w:val="23"/>
                              </w:rPr>
                              <w:t> </w:t>
                            </w:r>
                            <w:r>
                              <w:rPr>
                                <w:i/>
                                <w:spacing w:val="-4"/>
                                <w:sz w:val="23"/>
                              </w:rPr>
                              <w:t>privadas</w:t>
                            </w:r>
                            <w:r>
                              <w:rPr>
                                <w:i/>
                                <w:spacing w:val="-5"/>
                                <w:sz w:val="23"/>
                              </w:rPr>
                              <w:t> </w:t>
                            </w:r>
                            <w:r>
                              <w:rPr>
                                <w:i/>
                                <w:spacing w:val="-4"/>
                                <w:sz w:val="23"/>
                              </w:rPr>
                              <w:t>de</w:t>
                            </w:r>
                            <w:r>
                              <w:rPr>
                                <w:i/>
                                <w:spacing w:val="-7"/>
                                <w:sz w:val="23"/>
                              </w:rPr>
                              <w:t> </w:t>
                            </w:r>
                            <w:r>
                              <w:rPr>
                                <w:i/>
                                <w:spacing w:val="-4"/>
                                <w:sz w:val="23"/>
                              </w:rPr>
                              <w:t>toda</w:t>
                            </w:r>
                            <w:r>
                              <w:rPr>
                                <w:i/>
                                <w:spacing w:val="-9"/>
                                <w:sz w:val="23"/>
                              </w:rPr>
                              <w:t> </w:t>
                            </w:r>
                            <w:r>
                              <w:rPr>
                                <w:i/>
                                <w:spacing w:val="-4"/>
                                <w:sz w:val="23"/>
                              </w:rPr>
                              <w:t>naturaleza,</w:t>
                            </w:r>
                            <w:r>
                              <w:rPr>
                                <w:i/>
                                <w:spacing w:val="-9"/>
                                <w:sz w:val="23"/>
                              </w:rPr>
                              <w:t> </w:t>
                            </w:r>
                            <w:r>
                              <w:rPr>
                                <w:i/>
                                <w:spacing w:val="-4"/>
                                <w:sz w:val="23"/>
                              </w:rPr>
                              <w:t>instituciones</w:t>
                            </w:r>
                            <w:r>
                              <w:rPr>
                                <w:i/>
                                <w:spacing w:val="-5"/>
                                <w:sz w:val="23"/>
                              </w:rPr>
                              <w:t> </w:t>
                            </w:r>
                            <w:r>
                              <w:rPr>
                                <w:i/>
                                <w:spacing w:val="-4"/>
                                <w:sz w:val="23"/>
                              </w:rPr>
                              <w:t>religiosas</w:t>
                            </w:r>
                            <w:r>
                              <w:rPr>
                                <w:i/>
                                <w:spacing w:val="-7"/>
                                <w:sz w:val="23"/>
                              </w:rPr>
                              <w:t> </w:t>
                            </w:r>
                            <w:r>
                              <w:rPr>
                                <w:i/>
                                <w:spacing w:val="-4"/>
                                <w:sz w:val="23"/>
                              </w:rPr>
                              <w:t>y</w:t>
                            </w:r>
                            <w:r>
                              <w:rPr>
                                <w:i/>
                                <w:spacing w:val="-7"/>
                                <w:sz w:val="23"/>
                              </w:rPr>
                              <w:t> </w:t>
                            </w:r>
                            <w:r>
                              <w:rPr>
                                <w:i/>
                                <w:spacing w:val="-4"/>
                                <w:sz w:val="23"/>
                              </w:rPr>
                              <w:t>demás</w:t>
                            </w:r>
                            <w:r>
                              <w:rPr>
                                <w:i/>
                                <w:spacing w:val="-7"/>
                                <w:sz w:val="23"/>
                              </w:rPr>
                              <w:t> </w:t>
                            </w:r>
                            <w:r>
                              <w:rPr>
                                <w:i/>
                                <w:spacing w:val="-4"/>
                                <w:sz w:val="23"/>
                              </w:rPr>
                              <w:t>grupos </w:t>
                            </w:r>
                            <w:r>
                              <w:rPr>
                                <w:i/>
                                <w:sz w:val="23"/>
                              </w:rPr>
                              <w:t>interesados</w:t>
                            </w:r>
                            <w:r>
                              <w:rPr>
                                <w:i/>
                                <w:spacing w:val="-15"/>
                                <w:sz w:val="23"/>
                              </w:rPr>
                              <w:t> </w:t>
                            </w:r>
                            <w:r>
                              <w:rPr>
                                <w:i/>
                                <w:sz w:val="23"/>
                              </w:rPr>
                              <w:t>en</w:t>
                            </w:r>
                            <w:r>
                              <w:rPr>
                                <w:i/>
                                <w:spacing w:val="-14"/>
                                <w:sz w:val="23"/>
                              </w:rPr>
                              <w:t> </w:t>
                            </w:r>
                            <w:r>
                              <w:rPr>
                                <w:i/>
                                <w:sz w:val="23"/>
                              </w:rPr>
                              <w:t>participar</w:t>
                            </w:r>
                            <w:r>
                              <w:rPr>
                                <w:i/>
                                <w:spacing w:val="-15"/>
                                <w:sz w:val="23"/>
                              </w:rPr>
                              <w:t> </w:t>
                            </w:r>
                            <w:r>
                              <w:rPr>
                                <w:i/>
                                <w:sz w:val="23"/>
                              </w:rPr>
                              <w:t>en</w:t>
                            </w:r>
                            <w:r>
                              <w:rPr>
                                <w:i/>
                                <w:spacing w:val="-14"/>
                                <w:sz w:val="23"/>
                              </w:rPr>
                              <w:t> </w:t>
                            </w:r>
                            <w:r>
                              <w:rPr>
                                <w:i/>
                                <w:sz w:val="23"/>
                              </w:rPr>
                              <w:t>el</w:t>
                            </w:r>
                            <w:r>
                              <w:rPr>
                                <w:i/>
                                <w:spacing w:val="-14"/>
                                <w:sz w:val="23"/>
                              </w:rPr>
                              <w:t> </w:t>
                            </w:r>
                            <w:r>
                              <w:rPr>
                                <w:i/>
                                <w:sz w:val="23"/>
                              </w:rPr>
                              <w:t>Plan</w:t>
                            </w:r>
                            <w:r>
                              <w:rPr>
                                <w:i/>
                                <w:spacing w:val="-15"/>
                                <w:sz w:val="23"/>
                              </w:rPr>
                              <w:t> </w:t>
                            </w:r>
                            <w:r>
                              <w:rPr>
                                <w:i/>
                                <w:sz w:val="23"/>
                              </w:rPr>
                              <w:t>Nacional</w:t>
                            </w:r>
                            <w:r>
                              <w:rPr>
                                <w:i/>
                                <w:spacing w:val="-14"/>
                                <w:sz w:val="23"/>
                              </w:rPr>
                              <w:t> </w:t>
                            </w:r>
                            <w:r>
                              <w:rPr>
                                <w:i/>
                                <w:sz w:val="23"/>
                              </w:rPr>
                              <w:t>de</w:t>
                            </w:r>
                            <w:r>
                              <w:rPr>
                                <w:i/>
                                <w:spacing w:val="-14"/>
                                <w:sz w:val="23"/>
                              </w:rPr>
                              <w:t> </w:t>
                            </w:r>
                            <w:r>
                              <w:rPr>
                                <w:i/>
                                <w:sz w:val="23"/>
                              </w:rPr>
                              <w:t>Lucha</w:t>
                            </w:r>
                            <w:r>
                              <w:rPr>
                                <w:i/>
                                <w:spacing w:val="-15"/>
                                <w:sz w:val="23"/>
                              </w:rPr>
                              <w:t> </w:t>
                            </w:r>
                            <w:r>
                              <w:rPr>
                                <w:i/>
                                <w:sz w:val="23"/>
                              </w:rPr>
                              <w:t>contra</w:t>
                            </w:r>
                            <w:r>
                              <w:rPr>
                                <w:i/>
                                <w:spacing w:val="-14"/>
                                <w:sz w:val="23"/>
                              </w:rPr>
                              <w:t> </w:t>
                            </w:r>
                            <w:r>
                              <w:rPr>
                                <w:i/>
                                <w:sz w:val="23"/>
                              </w:rPr>
                              <w:t>la</w:t>
                            </w:r>
                            <w:r>
                              <w:rPr>
                                <w:i/>
                                <w:spacing w:val="-15"/>
                                <w:sz w:val="23"/>
                              </w:rPr>
                              <w:t> </w:t>
                            </w:r>
                            <w:r>
                              <w:rPr>
                                <w:i/>
                                <w:sz w:val="23"/>
                              </w:rPr>
                              <w:t>Pobreza.”.</w:t>
                            </w:r>
                          </w:p>
                          <w:p>
                            <w:pPr>
                              <w:spacing w:before="173"/>
                              <w:ind w:left="103" w:right="0" w:firstLine="0"/>
                              <w:jc w:val="both"/>
                              <w:rPr>
                                <w:b/>
                                <w:sz w:val="22"/>
                              </w:rPr>
                            </w:pPr>
                            <w:r>
                              <w:rPr>
                                <w:b/>
                                <w:sz w:val="22"/>
                              </w:rPr>
                              <w:t>Actividad</w:t>
                            </w:r>
                            <w:r>
                              <w:rPr>
                                <w:b/>
                                <w:spacing w:val="-8"/>
                                <w:sz w:val="22"/>
                              </w:rPr>
                              <w:t> </w:t>
                            </w:r>
                            <w:r>
                              <w:rPr>
                                <w:b/>
                                <w:sz w:val="22"/>
                              </w:rPr>
                              <w:t>secundaria:</w:t>
                            </w:r>
                            <w:r>
                              <w:rPr>
                                <w:b/>
                                <w:spacing w:val="-7"/>
                                <w:sz w:val="22"/>
                              </w:rPr>
                              <w:t> </w:t>
                            </w:r>
                            <w:r>
                              <w:rPr>
                                <w:b/>
                                <w:sz w:val="22"/>
                              </w:rPr>
                              <w:t>Tiendas</w:t>
                            </w:r>
                            <w:r>
                              <w:rPr>
                                <w:b/>
                                <w:spacing w:val="-6"/>
                                <w:sz w:val="22"/>
                              </w:rPr>
                              <w:t> </w:t>
                            </w:r>
                            <w:r>
                              <w:rPr>
                                <w:b/>
                                <w:spacing w:val="-2"/>
                                <w:sz w:val="22"/>
                              </w:rPr>
                              <w:t>libres</w:t>
                            </w:r>
                          </w:p>
                          <w:p>
                            <w:pPr>
                              <w:pStyle w:val="BodyText"/>
                              <w:spacing w:line="259" w:lineRule="auto" w:before="178"/>
                              <w:ind w:left="103" w:right="100"/>
                              <w:jc w:val="both"/>
                            </w:pPr>
                            <w:r>
                              <w:rPr/>
                              <w:t>La</w:t>
                            </w:r>
                            <w:r>
                              <w:rPr>
                                <w:spacing w:val="-4"/>
                              </w:rPr>
                              <w:t> </w:t>
                            </w:r>
                            <w:r>
                              <w:rPr/>
                              <w:t>explotación</w:t>
                            </w:r>
                            <w:r>
                              <w:rPr>
                                <w:spacing w:val="-3"/>
                              </w:rPr>
                              <w:t> </w:t>
                            </w:r>
                            <w:r>
                              <w:rPr/>
                              <w:t>exclusiva</w:t>
                            </w:r>
                            <w:r>
                              <w:rPr>
                                <w:spacing w:val="-4"/>
                              </w:rPr>
                              <w:t> </w:t>
                            </w:r>
                            <w:r>
                              <w:rPr/>
                              <w:t>de</w:t>
                            </w:r>
                            <w:r>
                              <w:rPr>
                                <w:spacing w:val="-3"/>
                              </w:rPr>
                              <w:t> </w:t>
                            </w:r>
                            <w:r>
                              <w:rPr/>
                              <w:t>los</w:t>
                            </w:r>
                            <w:r>
                              <w:rPr>
                                <w:spacing w:val="-2"/>
                              </w:rPr>
                              <w:t> </w:t>
                            </w:r>
                            <w:r>
                              <w:rPr/>
                              <w:t>Puestos</w:t>
                            </w:r>
                            <w:r>
                              <w:rPr>
                                <w:spacing w:val="-2"/>
                              </w:rPr>
                              <w:t> </w:t>
                            </w:r>
                            <w:r>
                              <w:rPr/>
                              <w:t>Libres</w:t>
                            </w:r>
                            <w:r>
                              <w:rPr>
                                <w:spacing w:val="-2"/>
                              </w:rPr>
                              <w:t> </w:t>
                            </w:r>
                            <w:r>
                              <w:rPr/>
                              <w:t>de</w:t>
                            </w:r>
                            <w:r>
                              <w:rPr>
                                <w:spacing w:val="-5"/>
                              </w:rPr>
                              <w:t> </w:t>
                            </w:r>
                            <w:r>
                              <w:rPr/>
                              <w:t>Derechos,</w:t>
                            </w:r>
                            <w:r>
                              <w:rPr>
                                <w:spacing w:val="-3"/>
                              </w:rPr>
                              <w:t> </w:t>
                            </w:r>
                            <w:r>
                              <w:rPr/>
                              <w:t>también</w:t>
                            </w:r>
                            <w:r>
                              <w:rPr>
                                <w:spacing w:val="-3"/>
                              </w:rPr>
                              <w:t> </w:t>
                            </w:r>
                            <w:r>
                              <w:rPr/>
                              <w:t>denominados</w:t>
                            </w:r>
                            <w:r>
                              <w:rPr>
                                <w:spacing w:val="-2"/>
                              </w:rPr>
                              <w:t> </w:t>
                            </w:r>
                            <w:r>
                              <w:rPr/>
                              <w:t>Tiendas</w:t>
                            </w:r>
                            <w:r>
                              <w:rPr>
                                <w:spacing w:val="-2"/>
                              </w:rPr>
                              <w:t> </w:t>
                            </w:r>
                            <w:r>
                              <w:rPr/>
                              <w:t>Libres de</w:t>
                            </w:r>
                            <w:r>
                              <w:rPr>
                                <w:spacing w:val="-14"/>
                              </w:rPr>
                              <w:t> </w:t>
                            </w:r>
                            <w:r>
                              <w:rPr/>
                              <w:t>Impuestos</w:t>
                            </w:r>
                            <w:r>
                              <w:rPr>
                                <w:spacing w:val="-14"/>
                              </w:rPr>
                              <w:t> </w:t>
                            </w:r>
                            <w:r>
                              <w:rPr/>
                              <w:t>en</w:t>
                            </w:r>
                            <w:r>
                              <w:rPr>
                                <w:spacing w:val="-14"/>
                              </w:rPr>
                              <w:t> </w:t>
                            </w:r>
                            <w:r>
                              <w:rPr/>
                              <w:t>los</w:t>
                            </w:r>
                            <w:r>
                              <w:rPr>
                                <w:spacing w:val="-13"/>
                              </w:rPr>
                              <w:t> </w:t>
                            </w:r>
                            <w:r>
                              <w:rPr/>
                              <w:t>aeropuertos</w:t>
                            </w:r>
                            <w:r>
                              <w:rPr>
                                <w:spacing w:val="-14"/>
                              </w:rPr>
                              <w:t> </w:t>
                            </w:r>
                            <w:r>
                              <w:rPr/>
                              <w:t>internacionales</w:t>
                            </w:r>
                            <w:r>
                              <w:rPr>
                                <w:spacing w:val="-14"/>
                              </w:rPr>
                              <w:t> </w:t>
                            </w:r>
                            <w:r>
                              <w:rPr/>
                              <w:t>del</w:t>
                            </w:r>
                            <w:r>
                              <w:rPr>
                                <w:spacing w:val="-14"/>
                              </w:rPr>
                              <w:t> </w:t>
                            </w:r>
                            <w:r>
                              <w:rPr/>
                              <w:t>país</w:t>
                            </w:r>
                            <w:r>
                              <w:rPr>
                                <w:spacing w:val="-13"/>
                              </w:rPr>
                              <w:t> </w:t>
                            </w:r>
                            <w:r>
                              <w:rPr/>
                              <w:t>son</w:t>
                            </w:r>
                            <w:r>
                              <w:rPr>
                                <w:spacing w:val="-14"/>
                              </w:rPr>
                              <w:t> </w:t>
                            </w:r>
                            <w:r>
                              <w:rPr/>
                              <w:t>operadas</w:t>
                            </w:r>
                            <w:r>
                              <w:rPr>
                                <w:spacing w:val="-14"/>
                              </w:rPr>
                              <w:t> </w:t>
                            </w:r>
                            <w:r>
                              <w:rPr/>
                              <w:t>por</w:t>
                            </w:r>
                            <w:r>
                              <w:rPr>
                                <w:spacing w:val="-14"/>
                              </w:rPr>
                              <w:t> </w:t>
                            </w:r>
                            <w:r>
                              <w:rPr/>
                              <w:t>el</w:t>
                            </w:r>
                            <w:r>
                              <w:rPr>
                                <w:spacing w:val="-13"/>
                              </w:rPr>
                              <w:t> </w:t>
                            </w:r>
                            <w:r>
                              <w:rPr/>
                              <w:t>IMAS,</w:t>
                            </w:r>
                            <w:r>
                              <w:rPr>
                                <w:spacing w:val="-14"/>
                              </w:rPr>
                              <w:t> </w:t>
                            </w:r>
                            <w:r>
                              <w:rPr/>
                              <w:t>de</w:t>
                            </w:r>
                            <w:r>
                              <w:rPr>
                                <w:spacing w:val="-14"/>
                              </w:rPr>
                              <w:t> </w:t>
                            </w:r>
                            <w:r>
                              <w:rPr/>
                              <w:t>conformidad con la Ley 4760 (Ley de Creación del IMAS) en su artículo 14 inciso h, que</w:t>
                            </w:r>
                            <w:r>
                              <w:rPr>
                                <w:spacing w:val="-1"/>
                              </w:rPr>
                              <w:t> </w:t>
                            </w:r>
                            <w:r>
                              <w:rPr/>
                              <w:t>otorga a la institución la explotación exclusiva de puestos libres de derechos en los puertos, fronteras y aeropuertos </w:t>
                            </w:r>
                            <w:r>
                              <w:rPr>
                                <w:spacing w:val="-2"/>
                              </w:rPr>
                              <w:t>internacionales.</w:t>
                            </w:r>
                          </w:p>
                          <w:p>
                            <w:pPr>
                              <w:pStyle w:val="BodyText"/>
                              <w:spacing w:line="259" w:lineRule="auto" w:before="160"/>
                              <w:ind w:left="103" w:right="104"/>
                              <w:jc w:val="both"/>
                            </w:pPr>
                            <w:r>
                              <w:rPr/>
                              <w:t>El programa de Empresas Comerciales de la institución tiene como objetivo contribuir con la sostenibilidad financiera de los programas de inversión social mediante la generación de recursos económicos en las tiendas libres de impuestos.</w:t>
                            </w:r>
                          </w:p>
                        </w:txbxContent>
                      </wps:txbx>
                      <wps:bodyPr wrap="square" lIns="0" tIns="0" rIns="0" bIns="0" rtlCol="0">
                        <a:noAutofit/>
                      </wps:bodyPr>
                    </wps:wsp>
                  </a:graphicData>
                </a:graphic>
              </wp:anchor>
            </w:drawing>
          </mc:Choice>
          <mc:Fallback>
            <w:pict>
              <v:shape style="position:absolute;margin-left:85.344002pt;margin-top:14.50625pt;width:441.5pt;height:324.3pt;mso-position-horizontal-relative:page;mso-position-vertical-relative:paragraph;z-index:-15721472;mso-wrap-distance-left:0;mso-wrap-distance-right:0" type="#_x0000_t202" id="docshape3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7"/>
                        <w:jc w:val="both"/>
                      </w:pPr>
                      <w:r>
                        <w:rPr/>
                        <w:t>La Ley de Creación del IMAS número 4760 regula la actuación institucional y le asigna funciones específicas, sin embargo, existen además una serie de disposiciones legales y reglamentarias adicionales, las cuales se incluyen en el </w:t>
                      </w:r>
                      <w:r>
                        <w:rPr>
                          <w:b/>
                        </w:rPr>
                        <w:t>Anexo No.2</w:t>
                      </w:r>
                      <w:r>
                        <w:rPr/>
                        <w:t>.</w:t>
                      </w:r>
                    </w:p>
                    <w:p>
                      <w:pPr>
                        <w:pStyle w:val="BodyText"/>
                        <w:spacing w:before="161"/>
                        <w:ind w:left="103"/>
                        <w:jc w:val="both"/>
                      </w:pPr>
                      <w:r>
                        <w:rPr/>
                        <w:t>La</w:t>
                      </w:r>
                      <w:r>
                        <w:rPr>
                          <w:spacing w:val="-3"/>
                        </w:rPr>
                        <w:t> </w:t>
                      </w:r>
                      <w:r>
                        <w:rPr/>
                        <w:t>Ley</w:t>
                      </w:r>
                      <w:r>
                        <w:rPr>
                          <w:spacing w:val="-3"/>
                        </w:rPr>
                        <w:t> </w:t>
                      </w:r>
                      <w:r>
                        <w:rPr/>
                        <w:t>4760</w:t>
                      </w:r>
                      <w:r>
                        <w:rPr>
                          <w:spacing w:val="-4"/>
                        </w:rPr>
                        <w:t> </w:t>
                      </w:r>
                      <w:r>
                        <w:rPr/>
                        <w:t>señala</w:t>
                      </w:r>
                      <w:r>
                        <w:rPr>
                          <w:spacing w:val="-3"/>
                        </w:rPr>
                        <w:t> </w:t>
                      </w:r>
                      <w:r>
                        <w:rPr/>
                        <w:t>en</w:t>
                      </w:r>
                      <w:r>
                        <w:rPr>
                          <w:spacing w:val="-2"/>
                        </w:rPr>
                        <w:t> </w:t>
                      </w:r>
                      <w:r>
                        <w:rPr/>
                        <w:t>su</w:t>
                      </w:r>
                      <w:r>
                        <w:rPr>
                          <w:spacing w:val="-2"/>
                        </w:rPr>
                        <w:t> </w:t>
                      </w:r>
                      <w:r>
                        <w:rPr/>
                        <w:t>Artículo</w:t>
                      </w:r>
                      <w:r>
                        <w:rPr>
                          <w:spacing w:val="-2"/>
                        </w:rPr>
                        <w:t> </w:t>
                      </w:r>
                      <w:r>
                        <w:rPr/>
                        <w:t>2º-,</w:t>
                      </w:r>
                      <w:r>
                        <w:rPr>
                          <w:spacing w:val="-2"/>
                        </w:rPr>
                        <w:t> </w:t>
                      </w:r>
                      <w:r>
                        <w:rPr/>
                        <w:t>lo</w:t>
                      </w:r>
                      <w:r>
                        <w:rPr>
                          <w:spacing w:val="-3"/>
                        </w:rPr>
                        <w:t> </w:t>
                      </w:r>
                      <w:r>
                        <w:rPr>
                          <w:spacing w:val="-2"/>
                        </w:rPr>
                        <w:t>siguiente:</w:t>
                      </w:r>
                    </w:p>
                    <w:p>
                      <w:pPr>
                        <w:spacing w:line="247" w:lineRule="auto" w:before="171"/>
                        <w:ind w:left="103" w:right="554" w:firstLine="0"/>
                        <w:jc w:val="both"/>
                        <w:rPr>
                          <w:i/>
                          <w:sz w:val="23"/>
                        </w:rPr>
                      </w:pPr>
                      <w:r>
                        <w:rPr>
                          <w:i/>
                          <w:spacing w:val="-2"/>
                          <w:sz w:val="23"/>
                        </w:rPr>
                        <w:t>“El</w:t>
                      </w:r>
                      <w:r>
                        <w:rPr>
                          <w:i/>
                          <w:spacing w:val="-15"/>
                          <w:sz w:val="23"/>
                        </w:rPr>
                        <w:t> </w:t>
                      </w:r>
                      <w:r>
                        <w:rPr>
                          <w:i/>
                          <w:spacing w:val="-2"/>
                          <w:sz w:val="23"/>
                        </w:rPr>
                        <w:t>IMAS</w:t>
                      </w:r>
                      <w:r>
                        <w:rPr>
                          <w:i/>
                          <w:spacing w:val="-12"/>
                          <w:sz w:val="23"/>
                        </w:rPr>
                        <w:t> </w:t>
                      </w:r>
                      <w:r>
                        <w:rPr>
                          <w:i/>
                          <w:spacing w:val="-2"/>
                          <w:sz w:val="23"/>
                        </w:rPr>
                        <w:t>tiene</w:t>
                      </w:r>
                      <w:r>
                        <w:rPr>
                          <w:i/>
                          <w:spacing w:val="-13"/>
                          <w:sz w:val="23"/>
                        </w:rPr>
                        <w:t> </w:t>
                      </w:r>
                      <w:r>
                        <w:rPr>
                          <w:i/>
                          <w:spacing w:val="-2"/>
                          <w:sz w:val="23"/>
                        </w:rPr>
                        <w:t>como</w:t>
                      </w:r>
                      <w:r>
                        <w:rPr>
                          <w:i/>
                          <w:spacing w:val="-12"/>
                          <w:sz w:val="23"/>
                        </w:rPr>
                        <w:t> </w:t>
                      </w:r>
                      <w:r>
                        <w:rPr>
                          <w:i/>
                          <w:spacing w:val="-2"/>
                          <w:sz w:val="23"/>
                        </w:rPr>
                        <w:t>finalidad</w:t>
                      </w:r>
                      <w:r>
                        <w:rPr>
                          <w:i/>
                          <w:spacing w:val="-12"/>
                          <w:sz w:val="23"/>
                        </w:rPr>
                        <w:t> </w:t>
                      </w:r>
                      <w:r>
                        <w:rPr>
                          <w:i/>
                          <w:spacing w:val="-2"/>
                          <w:sz w:val="23"/>
                        </w:rPr>
                        <w:t>resolver</w:t>
                      </w:r>
                      <w:r>
                        <w:rPr>
                          <w:i/>
                          <w:spacing w:val="-13"/>
                          <w:sz w:val="23"/>
                        </w:rPr>
                        <w:t> </w:t>
                      </w:r>
                      <w:r>
                        <w:rPr>
                          <w:i/>
                          <w:spacing w:val="-2"/>
                          <w:sz w:val="23"/>
                        </w:rPr>
                        <w:t>el</w:t>
                      </w:r>
                      <w:r>
                        <w:rPr>
                          <w:i/>
                          <w:spacing w:val="-12"/>
                          <w:sz w:val="23"/>
                        </w:rPr>
                        <w:t> </w:t>
                      </w:r>
                      <w:r>
                        <w:rPr>
                          <w:i/>
                          <w:spacing w:val="-2"/>
                          <w:sz w:val="23"/>
                        </w:rPr>
                        <w:t>problema</w:t>
                      </w:r>
                      <w:r>
                        <w:rPr>
                          <w:i/>
                          <w:spacing w:val="-12"/>
                          <w:sz w:val="23"/>
                        </w:rPr>
                        <w:t> </w:t>
                      </w:r>
                      <w:r>
                        <w:rPr>
                          <w:i/>
                          <w:spacing w:val="-2"/>
                          <w:sz w:val="23"/>
                        </w:rPr>
                        <w:t>de</w:t>
                      </w:r>
                      <w:r>
                        <w:rPr>
                          <w:i/>
                          <w:spacing w:val="-13"/>
                          <w:sz w:val="23"/>
                        </w:rPr>
                        <w:t> </w:t>
                      </w:r>
                      <w:r>
                        <w:rPr>
                          <w:i/>
                          <w:spacing w:val="-2"/>
                          <w:sz w:val="23"/>
                        </w:rPr>
                        <w:t>la</w:t>
                      </w:r>
                      <w:r>
                        <w:rPr>
                          <w:i/>
                          <w:spacing w:val="-12"/>
                          <w:sz w:val="23"/>
                        </w:rPr>
                        <w:t> </w:t>
                      </w:r>
                      <w:r>
                        <w:rPr>
                          <w:i/>
                          <w:spacing w:val="-2"/>
                          <w:sz w:val="23"/>
                        </w:rPr>
                        <w:t>pobreza</w:t>
                      </w:r>
                      <w:r>
                        <w:rPr>
                          <w:i/>
                          <w:spacing w:val="-13"/>
                          <w:sz w:val="23"/>
                        </w:rPr>
                        <w:t> </w:t>
                      </w:r>
                      <w:r>
                        <w:rPr>
                          <w:i/>
                          <w:spacing w:val="-2"/>
                          <w:sz w:val="23"/>
                        </w:rPr>
                        <w:t>extrema</w:t>
                      </w:r>
                      <w:r>
                        <w:rPr>
                          <w:i/>
                          <w:spacing w:val="-12"/>
                          <w:sz w:val="23"/>
                        </w:rPr>
                        <w:t> </w:t>
                      </w:r>
                      <w:r>
                        <w:rPr>
                          <w:i/>
                          <w:spacing w:val="-2"/>
                          <w:sz w:val="23"/>
                        </w:rPr>
                        <w:t>en</w:t>
                      </w:r>
                      <w:r>
                        <w:rPr>
                          <w:i/>
                          <w:spacing w:val="-12"/>
                          <w:sz w:val="23"/>
                        </w:rPr>
                        <w:t> </w:t>
                      </w:r>
                      <w:r>
                        <w:rPr>
                          <w:i/>
                          <w:spacing w:val="-2"/>
                          <w:sz w:val="23"/>
                        </w:rPr>
                        <w:t>el</w:t>
                      </w:r>
                      <w:r>
                        <w:rPr>
                          <w:i/>
                          <w:spacing w:val="-13"/>
                          <w:sz w:val="23"/>
                        </w:rPr>
                        <w:t> </w:t>
                      </w:r>
                      <w:r>
                        <w:rPr>
                          <w:i/>
                          <w:spacing w:val="-2"/>
                          <w:sz w:val="23"/>
                        </w:rPr>
                        <w:t>país,</w:t>
                      </w:r>
                      <w:r>
                        <w:rPr>
                          <w:i/>
                          <w:spacing w:val="-12"/>
                          <w:sz w:val="23"/>
                        </w:rPr>
                        <w:t> </w:t>
                      </w:r>
                      <w:r>
                        <w:rPr>
                          <w:i/>
                          <w:spacing w:val="-2"/>
                          <w:sz w:val="23"/>
                        </w:rPr>
                        <w:t>para</w:t>
                      </w:r>
                      <w:r>
                        <w:rPr>
                          <w:i/>
                          <w:spacing w:val="-12"/>
                          <w:sz w:val="23"/>
                        </w:rPr>
                        <w:t> </w:t>
                      </w:r>
                      <w:r>
                        <w:rPr>
                          <w:i/>
                          <w:spacing w:val="-2"/>
                          <w:sz w:val="23"/>
                        </w:rPr>
                        <w:t>lo </w:t>
                      </w:r>
                      <w:r>
                        <w:rPr>
                          <w:i/>
                          <w:sz w:val="23"/>
                        </w:rPr>
                        <w:t>cual</w:t>
                      </w:r>
                      <w:r>
                        <w:rPr>
                          <w:i/>
                          <w:spacing w:val="-15"/>
                          <w:sz w:val="23"/>
                        </w:rPr>
                        <w:t> </w:t>
                      </w:r>
                      <w:r>
                        <w:rPr>
                          <w:i/>
                          <w:sz w:val="23"/>
                        </w:rPr>
                        <w:t>deberá</w:t>
                      </w:r>
                      <w:r>
                        <w:rPr>
                          <w:i/>
                          <w:spacing w:val="-14"/>
                          <w:sz w:val="23"/>
                        </w:rPr>
                        <w:t> </w:t>
                      </w:r>
                      <w:r>
                        <w:rPr>
                          <w:i/>
                          <w:sz w:val="23"/>
                        </w:rPr>
                        <w:t>planear,</w:t>
                      </w:r>
                      <w:r>
                        <w:rPr>
                          <w:i/>
                          <w:spacing w:val="-15"/>
                          <w:sz w:val="23"/>
                        </w:rPr>
                        <w:t> </w:t>
                      </w:r>
                      <w:r>
                        <w:rPr>
                          <w:i/>
                          <w:sz w:val="23"/>
                        </w:rPr>
                        <w:t>dirigir,</w:t>
                      </w:r>
                      <w:r>
                        <w:rPr>
                          <w:i/>
                          <w:spacing w:val="-14"/>
                          <w:sz w:val="23"/>
                        </w:rPr>
                        <w:t> </w:t>
                      </w:r>
                      <w:r>
                        <w:rPr>
                          <w:i/>
                          <w:sz w:val="23"/>
                        </w:rPr>
                        <w:t>ejecutar</w:t>
                      </w:r>
                      <w:r>
                        <w:rPr>
                          <w:i/>
                          <w:spacing w:val="-14"/>
                          <w:sz w:val="23"/>
                        </w:rPr>
                        <w:t> </w:t>
                      </w:r>
                      <w:r>
                        <w:rPr>
                          <w:i/>
                          <w:sz w:val="23"/>
                        </w:rPr>
                        <w:t>y</w:t>
                      </w:r>
                      <w:r>
                        <w:rPr>
                          <w:i/>
                          <w:spacing w:val="-15"/>
                          <w:sz w:val="23"/>
                        </w:rPr>
                        <w:t> </w:t>
                      </w:r>
                      <w:r>
                        <w:rPr>
                          <w:i/>
                          <w:sz w:val="23"/>
                        </w:rPr>
                        <w:t>controlar</w:t>
                      </w:r>
                      <w:r>
                        <w:rPr>
                          <w:i/>
                          <w:spacing w:val="-14"/>
                          <w:sz w:val="23"/>
                        </w:rPr>
                        <w:t> </w:t>
                      </w:r>
                      <w:r>
                        <w:rPr>
                          <w:i/>
                          <w:sz w:val="23"/>
                        </w:rPr>
                        <w:t>un</w:t>
                      </w:r>
                      <w:r>
                        <w:rPr>
                          <w:i/>
                          <w:spacing w:val="-14"/>
                          <w:sz w:val="23"/>
                        </w:rPr>
                        <w:t> </w:t>
                      </w:r>
                      <w:r>
                        <w:rPr>
                          <w:i/>
                          <w:sz w:val="23"/>
                        </w:rPr>
                        <w:t>plan</w:t>
                      </w:r>
                      <w:r>
                        <w:rPr>
                          <w:i/>
                          <w:spacing w:val="-15"/>
                          <w:sz w:val="23"/>
                        </w:rPr>
                        <w:t> </w:t>
                      </w:r>
                      <w:r>
                        <w:rPr>
                          <w:i/>
                          <w:sz w:val="23"/>
                        </w:rPr>
                        <w:t>nacional</w:t>
                      </w:r>
                      <w:r>
                        <w:rPr>
                          <w:i/>
                          <w:spacing w:val="-14"/>
                          <w:sz w:val="23"/>
                        </w:rPr>
                        <w:t> </w:t>
                      </w:r>
                      <w:r>
                        <w:rPr>
                          <w:i/>
                          <w:sz w:val="23"/>
                        </w:rPr>
                        <w:t>destinado</w:t>
                      </w:r>
                      <w:r>
                        <w:rPr>
                          <w:i/>
                          <w:spacing w:val="-15"/>
                          <w:sz w:val="23"/>
                        </w:rPr>
                        <w:t> </w:t>
                      </w:r>
                      <w:r>
                        <w:rPr>
                          <w:i/>
                          <w:sz w:val="23"/>
                        </w:rPr>
                        <w:t>a</w:t>
                      </w:r>
                      <w:r>
                        <w:rPr>
                          <w:i/>
                          <w:spacing w:val="-14"/>
                          <w:sz w:val="23"/>
                        </w:rPr>
                        <w:t> </w:t>
                      </w:r>
                      <w:r>
                        <w:rPr>
                          <w:i/>
                          <w:sz w:val="23"/>
                        </w:rPr>
                        <w:t>dicho</w:t>
                      </w:r>
                      <w:r>
                        <w:rPr>
                          <w:i/>
                          <w:spacing w:val="-14"/>
                          <w:sz w:val="23"/>
                        </w:rPr>
                        <w:t> </w:t>
                      </w:r>
                      <w:r>
                        <w:rPr>
                          <w:i/>
                          <w:sz w:val="23"/>
                        </w:rPr>
                        <w:t>fin.</w:t>
                      </w:r>
                      <w:r>
                        <w:rPr>
                          <w:i/>
                          <w:spacing w:val="-15"/>
                          <w:sz w:val="23"/>
                        </w:rPr>
                        <w:t> </w:t>
                      </w:r>
                      <w:r>
                        <w:rPr>
                          <w:i/>
                          <w:sz w:val="23"/>
                        </w:rPr>
                        <w:t>Para </w:t>
                      </w:r>
                      <w:r>
                        <w:rPr>
                          <w:i/>
                          <w:spacing w:val="-2"/>
                          <w:sz w:val="23"/>
                        </w:rPr>
                        <w:t>ese</w:t>
                      </w:r>
                      <w:r>
                        <w:rPr>
                          <w:i/>
                          <w:spacing w:val="-13"/>
                          <w:sz w:val="23"/>
                        </w:rPr>
                        <w:t> </w:t>
                      </w:r>
                      <w:r>
                        <w:rPr>
                          <w:i/>
                          <w:spacing w:val="-2"/>
                          <w:sz w:val="23"/>
                        </w:rPr>
                        <w:t>objetivo</w:t>
                      </w:r>
                      <w:r>
                        <w:rPr>
                          <w:i/>
                          <w:spacing w:val="-12"/>
                          <w:sz w:val="23"/>
                        </w:rPr>
                        <w:t> </w:t>
                      </w:r>
                      <w:r>
                        <w:rPr>
                          <w:i/>
                          <w:spacing w:val="-2"/>
                          <w:sz w:val="23"/>
                        </w:rPr>
                        <w:t>utilizará</w:t>
                      </w:r>
                      <w:r>
                        <w:rPr>
                          <w:i/>
                          <w:spacing w:val="-13"/>
                          <w:sz w:val="23"/>
                        </w:rPr>
                        <w:t> </w:t>
                      </w:r>
                      <w:r>
                        <w:rPr>
                          <w:i/>
                          <w:spacing w:val="-2"/>
                          <w:sz w:val="23"/>
                        </w:rPr>
                        <w:t>todos</w:t>
                      </w:r>
                      <w:r>
                        <w:rPr>
                          <w:i/>
                          <w:spacing w:val="-12"/>
                          <w:sz w:val="23"/>
                        </w:rPr>
                        <w:t> </w:t>
                      </w:r>
                      <w:r>
                        <w:rPr>
                          <w:i/>
                          <w:spacing w:val="-2"/>
                          <w:sz w:val="23"/>
                        </w:rPr>
                        <w:t>los</w:t>
                      </w:r>
                      <w:r>
                        <w:rPr>
                          <w:i/>
                          <w:spacing w:val="-12"/>
                          <w:sz w:val="23"/>
                        </w:rPr>
                        <w:t> </w:t>
                      </w:r>
                      <w:r>
                        <w:rPr>
                          <w:i/>
                          <w:spacing w:val="-2"/>
                          <w:sz w:val="23"/>
                        </w:rPr>
                        <w:t>recursos</w:t>
                      </w:r>
                      <w:r>
                        <w:rPr>
                          <w:i/>
                          <w:spacing w:val="-13"/>
                          <w:sz w:val="23"/>
                        </w:rPr>
                        <w:t> </w:t>
                      </w:r>
                      <w:r>
                        <w:rPr>
                          <w:i/>
                          <w:spacing w:val="-2"/>
                          <w:sz w:val="23"/>
                        </w:rPr>
                        <w:t>humanos</w:t>
                      </w:r>
                      <w:r>
                        <w:rPr>
                          <w:i/>
                          <w:spacing w:val="-12"/>
                          <w:sz w:val="23"/>
                        </w:rPr>
                        <w:t> </w:t>
                      </w:r>
                      <w:r>
                        <w:rPr>
                          <w:i/>
                          <w:spacing w:val="-2"/>
                          <w:sz w:val="23"/>
                        </w:rPr>
                        <w:t>y</w:t>
                      </w:r>
                      <w:r>
                        <w:rPr>
                          <w:i/>
                          <w:spacing w:val="-12"/>
                          <w:sz w:val="23"/>
                        </w:rPr>
                        <w:t> </w:t>
                      </w:r>
                      <w:r>
                        <w:rPr>
                          <w:i/>
                          <w:spacing w:val="-2"/>
                          <w:sz w:val="23"/>
                        </w:rPr>
                        <w:t>económicos</w:t>
                      </w:r>
                      <w:r>
                        <w:rPr>
                          <w:i/>
                          <w:spacing w:val="-13"/>
                          <w:sz w:val="23"/>
                        </w:rPr>
                        <w:t> </w:t>
                      </w:r>
                      <w:r>
                        <w:rPr>
                          <w:i/>
                          <w:spacing w:val="-2"/>
                          <w:sz w:val="23"/>
                        </w:rPr>
                        <w:t>que</w:t>
                      </w:r>
                      <w:r>
                        <w:rPr>
                          <w:i/>
                          <w:spacing w:val="-12"/>
                          <w:sz w:val="23"/>
                        </w:rPr>
                        <w:t> </w:t>
                      </w:r>
                      <w:r>
                        <w:rPr>
                          <w:i/>
                          <w:spacing w:val="-2"/>
                          <w:sz w:val="23"/>
                        </w:rPr>
                        <w:t>sean</w:t>
                      </w:r>
                      <w:r>
                        <w:rPr>
                          <w:i/>
                          <w:spacing w:val="-13"/>
                          <w:sz w:val="23"/>
                        </w:rPr>
                        <w:t> </w:t>
                      </w:r>
                      <w:r>
                        <w:rPr>
                          <w:i/>
                          <w:spacing w:val="-2"/>
                          <w:sz w:val="23"/>
                        </w:rPr>
                        <w:t>puestos</w:t>
                      </w:r>
                      <w:r>
                        <w:rPr>
                          <w:i/>
                          <w:spacing w:val="-12"/>
                          <w:sz w:val="23"/>
                        </w:rPr>
                        <w:t> </w:t>
                      </w:r>
                      <w:r>
                        <w:rPr>
                          <w:i/>
                          <w:spacing w:val="-2"/>
                          <w:sz w:val="23"/>
                        </w:rPr>
                        <w:t>a</w:t>
                      </w:r>
                      <w:r>
                        <w:rPr>
                          <w:i/>
                          <w:spacing w:val="-12"/>
                          <w:sz w:val="23"/>
                        </w:rPr>
                        <w:t> </w:t>
                      </w:r>
                      <w:r>
                        <w:rPr>
                          <w:i/>
                          <w:spacing w:val="-2"/>
                          <w:sz w:val="23"/>
                        </w:rPr>
                        <w:t>su</w:t>
                      </w:r>
                      <w:r>
                        <w:rPr>
                          <w:i/>
                          <w:spacing w:val="-13"/>
                          <w:sz w:val="23"/>
                        </w:rPr>
                        <w:t> </w:t>
                      </w:r>
                      <w:r>
                        <w:rPr>
                          <w:i/>
                          <w:spacing w:val="-2"/>
                          <w:sz w:val="23"/>
                        </w:rPr>
                        <w:t>servicio </w:t>
                      </w:r>
                      <w:r>
                        <w:rPr>
                          <w:i/>
                          <w:sz w:val="23"/>
                        </w:rPr>
                        <w:t>por los empresarios y trabajadores del país, instituciones del sector público nacionales o </w:t>
                      </w:r>
                      <w:r>
                        <w:rPr>
                          <w:i/>
                          <w:spacing w:val="-4"/>
                          <w:sz w:val="23"/>
                        </w:rPr>
                        <w:t>extranjeras,</w:t>
                      </w:r>
                      <w:r>
                        <w:rPr>
                          <w:i/>
                          <w:spacing w:val="-6"/>
                          <w:sz w:val="23"/>
                        </w:rPr>
                        <w:t> </w:t>
                      </w:r>
                      <w:r>
                        <w:rPr>
                          <w:i/>
                          <w:spacing w:val="-4"/>
                          <w:sz w:val="23"/>
                        </w:rPr>
                        <w:t>organizaciones</w:t>
                      </w:r>
                      <w:r>
                        <w:rPr>
                          <w:i/>
                          <w:spacing w:val="-9"/>
                          <w:sz w:val="23"/>
                        </w:rPr>
                        <w:t> </w:t>
                      </w:r>
                      <w:r>
                        <w:rPr>
                          <w:i/>
                          <w:spacing w:val="-4"/>
                          <w:sz w:val="23"/>
                        </w:rPr>
                        <w:t>privadas</w:t>
                      </w:r>
                      <w:r>
                        <w:rPr>
                          <w:i/>
                          <w:spacing w:val="-5"/>
                          <w:sz w:val="23"/>
                        </w:rPr>
                        <w:t> </w:t>
                      </w:r>
                      <w:r>
                        <w:rPr>
                          <w:i/>
                          <w:spacing w:val="-4"/>
                          <w:sz w:val="23"/>
                        </w:rPr>
                        <w:t>de</w:t>
                      </w:r>
                      <w:r>
                        <w:rPr>
                          <w:i/>
                          <w:spacing w:val="-7"/>
                          <w:sz w:val="23"/>
                        </w:rPr>
                        <w:t> </w:t>
                      </w:r>
                      <w:r>
                        <w:rPr>
                          <w:i/>
                          <w:spacing w:val="-4"/>
                          <w:sz w:val="23"/>
                        </w:rPr>
                        <w:t>toda</w:t>
                      </w:r>
                      <w:r>
                        <w:rPr>
                          <w:i/>
                          <w:spacing w:val="-9"/>
                          <w:sz w:val="23"/>
                        </w:rPr>
                        <w:t> </w:t>
                      </w:r>
                      <w:r>
                        <w:rPr>
                          <w:i/>
                          <w:spacing w:val="-4"/>
                          <w:sz w:val="23"/>
                        </w:rPr>
                        <w:t>naturaleza,</w:t>
                      </w:r>
                      <w:r>
                        <w:rPr>
                          <w:i/>
                          <w:spacing w:val="-9"/>
                          <w:sz w:val="23"/>
                        </w:rPr>
                        <w:t> </w:t>
                      </w:r>
                      <w:r>
                        <w:rPr>
                          <w:i/>
                          <w:spacing w:val="-4"/>
                          <w:sz w:val="23"/>
                        </w:rPr>
                        <w:t>instituciones</w:t>
                      </w:r>
                      <w:r>
                        <w:rPr>
                          <w:i/>
                          <w:spacing w:val="-5"/>
                          <w:sz w:val="23"/>
                        </w:rPr>
                        <w:t> </w:t>
                      </w:r>
                      <w:r>
                        <w:rPr>
                          <w:i/>
                          <w:spacing w:val="-4"/>
                          <w:sz w:val="23"/>
                        </w:rPr>
                        <w:t>religiosas</w:t>
                      </w:r>
                      <w:r>
                        <w:rPr>
                          <w:i/>
                          <w:spacing w:val="-7"/>
                          <w:sz w:val="23"/>
                        </w:rPr>
                        <w:t> </w:t>
                      </w:r>
                      <w:r>
                        <w:rPr>
                          <w:i/>
                          <w:spacing w:val="-4"/>
                          <w:sz w:val="23"/>
                        </w:rPr>
                        <w:t>y</w:t>
                      </w:r>
                      <w:r>
                        <w:rPr>
                          <w:i/>
                          <w:spacing w:val="-7"/>
                          <w:sz w:val="23"/>
                        </w:rPr>
                        <w:t> </w:t>
                      </w:r>
                      <w:r>
                        <w:rPr>
                          <w:i/>
                          <w:spacing w:val="-4"/>
                          <w:sz w:val="23"/>
                        </w:rPr>
                        <w:t>demás</w:t>
                      </w:r>
                      <w:r>
                        <w:rPr>
                          <w:i/>
                          <w:spacing w:val="-7"/>
                          <w:sz w:val="23"/>
                        </w:rPr>
                        <w:t> </w:t>
                      </w:r>
                      <w:r>
                        <w:rPr>
                          <w:i/>
                          <w:spacing w:val="-4"/>
                          <w:sz w:val="23"/>
                        </w:rPr>
                        <w:t>grupos </w:t>
                      </w:r>
                      <w:r>
                        <w:rPr>
                          <w:i/>
                          <w:sz w:val="23"/>
                        </w:rPr>
                        <w:t>interesados</w:t>
                      </w:r>
                      <w:r>
                        <w:rPr>
                          <w:i/>
                          <w:spacing w:val="-15"/>
                          <w:sz w:val="23"/>
                        </w:rPr>
                        <w:t> </w:t>
                      </w:r>
                      <w:r>
                        <w:rPr>
                          <w:i/>
                          <w:sz w:val="23"/>
                        </w:rPr>
                        <w:t>en</w:t>
                      </w:r>
                      <w:r>
                        <w:rPr>
                          <w:i/>
                          <w:spacing w:val="-14"/>
                          <w:sz w:val="23"/>
                        </w:rPr>
                        <w:t> </w:t>
                      </w:r>
                      <w:r>
                        <w:rPr>
                          <w:i/>
                          <w:sz w:val="23"/>
                        </w:rPr>
                        <w:t>participar</w:t>
                      </w:r>
                      <w:r>
                        <w:rPr>
                          <w:i/>
                          <w:spacing w:val="-15"/>
                          <w:sz w:val="23"/>
                        </w:rPr>
                        <w:t> </w:t>
                      </w:r>
                      <w:r>
                        <w:rPr>
                          <w:i/>
                          <w:sz w:val="23"/>
                        </w:rPr>
                        <w:t>en</w:t>
                      </w:r>
                      <w:r>
                        <w:rPr>
                          <w:i/>
                          <w:spacing w:val="-14"/>
                          <w:sz w:val="23"/>
                        </w:rPr>
                        <w:t> </w:t>
                      </w:r>
                      <w:r>
                        <w:rPr>
                          <w:i/>
                          <w:sz w:val="23"/>
                        </w:rPr>
                        <w:t>el</w:t>
                      </w:r>
                      <w:r>
                        <w:rPr>
                          <w:i/>
                          <w:spacing w:val="-14"/>
                          <w:sz w:val="23"/>
                        </w:rPr>
                        <w:t> </w:t>
                      </w:r>
                      <w:r>
                        <w:rPr>
                          <w:i/>
                          <w:sz w:val="23"/>
                        </w:rPr>
                        <w:t>Plan</w:t>
                      </w:r>
                      <w:r>
                        <w:rPr>
                          <w:i/>
                          <w:spacing w:val="-15"/>
                          <w:sz w:val="23"/>
                        </w:rPr>
                        <w:t> </w:t>
                      </w:r>
                      <w:r>
                        <w:rPr>
                          <w:i/>
                          <w:sz w:val="23"/>
                        </w:rPr>
                        <w:t>Nacional</w:t>
                      </w:r>
                      <w:r>
                        <w:rPr>
                          <w:i/>
                          <w:spacing w:val="-14"/>
                          <w:sz w:val="23"/>
                        </w:rPr>
                        <w:t> </w:t>
                      </w:r>
                      <w:r>
                        <w:rPr>
                          <w:i/>
                          <w:sz w:val="23"/>
                        </w:rPr>
                        <w:t>de</w:t>
                      </w:r>
                      <w:r>
                        <w:rPr>
                          <w:i/>
                          <w:spacing w:val="-14"/>
                          <w:sz w:val="23"/>
                        </w:rPr>
                        <w:t> </w:t>
                      </w:r>
                      <w:r>
                        <w:rPr>
                          <w:i/>
                          <w:sz w:val="23"/>
                        </w:rPr>
                        <w:t>Lucha</w:t>
                      </w:r>
                      <w:r>
                        <w:rPr>
                          <w:i/>
                          <w:spacing w:val="-15"/>
                          <w:sz w:val="23"/>
                        </w:rPr>
                        <w:t> </w:t>
                      </w:r>
                      <w:r>
                        <w:rPr>
                          <w:i/>
                          <w:sz w:val="23"/>
                        </w:rPr>
                        <w:t>contra</w:t>
                      </w:r>
                      <w:r>
                        <w:rPr>
                          <w:i/>
                          <w:spacing w:val="-14"/>
                          <w:sz w:val="23"/>
                        </w:rPr>
                        <w:t> </w:t>
                      </w:r>
                      <w:r>
                        <w:rPr>
                          <w:i/>
                          <w:sz w:val="23"/>
                        </w:rPr>
                        <w:t>la</w:t>
                      </w:r>
                      <w:r>
                        <w:rPr>
                          <w:i/>
                          <w:spacing w:val="-15"/>
                          <w:sz w:val="23"/>
                        </w:rPr>
                        <w:t> </w:t>
                      </w:r>
                      <w:r>
                        <w:rPr>
                          <w:i/>
                          <w:sz w:val="23"/>
                        </w:rPr>
                        <w:t>Pobreza.”.</w:t>
                      </w:r>
                    </w:p>
                    <w:p>
                      <w:pPr>
                        <w:spacing w:before="173"/>
                        <w:ind w:left="103" w:right="0" w:firstLine="0"/>
                        <w:jc w:val="both"/>
                        <w:rPr>
                          <w:b/>
                          <w:sz w:val="22"/>
                        </w:rPr>
                      </w:pPr>
                      <w:r>
                        <w:rPr>
                          <w:b/>
                          <w:sz w:val="22"/>
                        </w:rPr>
                        <w:t>Actividad</w:t>
                      </w:r>
                      <w:r>
                        <w:rPr>
                          <w:b/>
                          <w:spacing w:val="-8"/>
                          <w:sz w:val="22"/>
                        </w:rPr>
                        <w:t> </w:t>
                      </w:r>
                      <w:r>
                        <w:rPr>
                          <w:b/>
                          <w:sz w:val="22"/>
                        </w:rPr>
                        <w:t>secundaria:</w:t>
                      </w:r>
                      <w:r>
                        <w:rPr>
                          <w:b/>
                          <w:spacing w:val="-7"/>
                          <w:sz w:val="22"/>
                        </w:rPr>
                        <w:t> </w:t>
                      </w:r>
                      <w:r>
                        <w:rPr>
                          <w:b/>
                          <w:sz w:val="22"/>
                        </w:rPr>
                        <w:t>Tiendas</w:t>
                      </w:r>
                      <w:r>
                        <w:rPr>
                          <w:b/>
                          <w:spacing w:val="-6"/>
                          <w:sz w:val="22"/>
                        </w:rPr>
                        <w:t> </w:t>
                      </w:r>
                      <w:r>
                        <w:rPr>
                          <w:b/>
                          <w:spacing w:val="-2"/>
                          <w:sz w:val="22"/>
                        </w:rPr>
                        <w:t>libres</w:t>
                      </w:r>
                    </w:p>
                    <w:p>
                      <w:pPr>
                        <w:pStyle w:val="BodyText"/>
                        <w:spacing w:line="259" w:lineRule="auto" w:before="178"/>
                        <w:ind w:left="103" w:right="100"/>
                        <w:jc w:val="both"/>
                      </w:pPr>
                      <w:r>
                        <w:rPr/>
                        <w:t>La</w:t>
                      </w:r>
                      <w:r>
                        <w:rPr>
                          <w:spacing w:val="-4"/>
                        </w:rPr>
                        <w:t> </w:t>
                      </w:r>
                      <w:r>
                        <w:rPr/>
                        <w:t>explotación</w:t>
                      </w:r>
                      <w:r>
                        <w:rPr>
                          <w:spacing w:val="-3"/>
                        </w:rPr>
                        <w:t> </w:t>
                      </w:r>
                      <w:r>
                        <w:rPr/>
                        <w:t>exclusiva</w:t>
                      </w:r>
                      <w:r>
                        <w:rPr>
                          <w:spacing w:val="-4"/>
                        </w:rPr>
                        <w:t> </w:t>
                      </w:r>
                      <w:r>
                        <w:rPr/>
                        <w:t>de</w:t>
                      </w:r>
                      <w:r>
                        <w:rPr>
                          <w:spacing w:val="-3"/>
                        </w:rPr>
                        <w:t> </w:t>
                      </w:r>
                      <w:r>
                        <w:rPr/>
                        <w:t>los</w:t>
                      </w:r>
                      <w:r>
                        <w:rPr>
                          <w:spacing w:val="-2"/>
                        </w:rPr>
                        <w:t> </w:t>
                      </w:r>
                      <w:r>
                        <w:rPr/>
                        <w:t>Puestos</w:t>
                      </w:r>
                      <w:r>
                        <w:rPr>
                          <w:spacing w:val="-2"/>
                        </w:rPr>
                        <w:t> </w:t>
                      </w:r>
                      <w:r>
                        <w:rPr/>
                        <w:t>Libres</w:t>
                      </w:r>
                      <w:r>
                        <w:rPr>
                          <w:spacing w:val="-2"/>
                        </w:rPr>
                        <w:t> </w:t>
                      </w:r>
                      <w:r>
                        <w:rPr/>
                        <w:t>de</w:t>
                      </w:r>
                      <w:r>
                        <w:rPr>
                          <w:spacing w:val="-5"/>
                        </w:rPr>
                        <w:t> </w:t>
                      </w:r>
                      <w:r>
                        <w:rPr/>
                        <w:t>Derechos,</w:t>
                      </w:r>
                      <w:r>
                        <w:rPr>
                          <w:spacing w:val="-3"/>
                        </w:rPr>
                        <w:t> </w:t>
                      </w:r>
                      <w:r>
                        <w:rPr/>
                        <w:t>también</w:t>
                      </w:r>
                      <w:r>
                        <w:rPr>
                          <w:spacing w:val="-3"/>
                        </w:rPr>
                        <w:t> </w:t>
                      </w:r>
                      <w:r>
                        <w:rPr/>
                        <w:t>denominados</w:t>
                      </w:r>
                      <w:r>
                        <w:rPr>
                          <w:spacing w:val="-2"/>
                        </w:rPr>
                        <w:t> </w:t>
                      </w:r>
                      <w:r>
                        <w:rPr/>
                        <w:t>Tiendas</w:t>
                      </w:r>
                      <w:r>
                        <w:rPr>
                          <w:spacing w:val="-2"/>
                        </w:rPr>
                        <w:t> </w:t>
                      </w:r>
                      <w:r>
                        <w:rPr/>
                        <w:t>Libres de</w:t>
                      </w:r>
                      <w:r>
                        <w:rPr>
                          <w:spacing w:val="-14"/>
                        </w:rPr>
                        <w:t> </w:t>
                      </w:r>
                      <w:r>
                        <w:rPr/>
                        <w:t>Impuestos</w:t>
                      </w:r>
                      <w:r>
                        <w:rPr>
                          <w:spacing w:val="-14"/>
                        </w:rPr>
                        <w:t> </w:t>
                      </w:r>
                      <w:r>
                        <w:rPr/>
                        <w:t>en</w:t>
                      </w:r>
                      <w:r>
                        <w:rPr>
                          <w:spacing w:val="-14"/>
                        </w:rPr>
                        <w:t> </w:t>
                      </w:r>
                      <w:r>
                        <w:rPr/>
                        <w:t>los</w:t>
                      </w:r>
                      <w:r>
                        <w:rPr>
                          <w:spacing w:val="-13"/>
                        </w:rPr>
                        <w:t> </w:t>
                      </w:r>
                      <w:r>
                        <w:rPr/>
                        <w:t>aeropuertos</w:t>
                      </w:r>
                      <w:r>
                        <w:rPr>
                          <w:spacing w:val="-14"/>
                        </w:rPr>
                        <w:t> </w:t>
                      </w:r>
                      <w:r>
                        <w:rPr/>
                        <w:t>internacionales</w:t>
                      </w:r>
                      <w:r>
                        <w:rPr>
                          <w:spacing w:val="-14"/>
                        </w:rPr>
                        <w:t> </w:t>
                      </w:r>
                      <w:r>
                        <w:rPr/>
                        <w:t>del</w:t>
                      </w:r>
                      <w:r>
                        <w:rPr>
                          <w:spacing w:val="-14"/>
                        </w:rPr>
                        <w:t> </w:t>
                      </w:r>
                      <w:r>
                        <w:rPr/>
                        <w:t>país</w:t>
                      </w:r>
                      <w:r>
                        <w:rPr>
                          <w:spacing w:val="-13"/>
                        </w:rPr>
                        <w:t> </w:t>
                      </w:r>
                      <w:r>
                        <w:rPr/>
                        <w:t>son</w:t>
                      </w:r>
                      <w:r>
                        <w:rPr>
                          <w:spacing w:val="-14"/>
                        </w:rPr>
                        <w:t> </w:t>
                      </w:r>
                      <w:r>
                        <w:rPr/>
                        <w:t>operadas</w:t>
                      </w:r>
                      <w:r>
                        <w:rPr>
                          <w:spacing w:val="-14"/>
                        </w:rPr>
                        <w:t> </w:t>
                      </w:r>
                      <w:r>
                        <w:rPr/>
                        <w:t>por</w:t>
                      </w:r>
                      <w:r>
                        <w:rPr>
                          <w:spacing w:val="-14"/>
                        </w:rPr>
                        <w:t> </w:t>
                      </w:r>
                      <w:r>
                        <w:rPr/>
                        <w:t>el</w:t>
                      </w:r>
                      <w:r>
                        <w:rPr>
                          <w:spacing w:val="-13"/>
                        </w:rPr>
                        <w:t> </w:t>
                      </w:r>
                      <w:r>
                        <w:rPr/>
                        <w:t>IMAS,</w:t>
                      </w:r>
                      <w:r>
                        <w:rPr>
                          <w:spacing w:val="-14"/>
                        </w:rPr>
                        <w:t> </w:t>
                      </w:r>
                      <w:r>
                        <w:rPr/>
                        <w:t>de</w:t>
                      </w:r>
                      <w:r>
                        <w:rPr>
                          <w:spacing w:val="-14"/>
                        </w:rPr>
                        <w:t> </w:t>
                      </w:r>
                      <w:r>
                        <w:rPr/>
                        <w:t>conformidad con la Ley 4760 (Ley de Creación del IMAS) en su artículo 14 inciso h, que</w:t>
                      </w:r>
                      <w:r>
                        <w:rPr>
                          <w:spacing w:val="-1"/>
                        </w:rPr>
                        <w:t> </w:t>
                      </w:r>
                      <w:r>
                        <w:rPr/>
                        <w:t>otorga a la institución la explotación exclusiva de puestos libres de derechos en los puertos, fronteras y aeropuertos </w:t>
                      </w:r>
                      <w:r>
                        <w:rPr>
                          <w:spacing w:val="-2"/>
                        </w:rPr>
                        <w:t>internacionales.</w:t>
                      </w:r>
                    </w:p>
                    <w:p>
                      <w:pPr>
                        <w:pStyle w:val="BodyText"/>
                        <w:spacing w:line="259" w:lineRule="auto" w:before="160"/>
                        <w:ind w:left="103" w:right="104"/>
                        <w:jc w:val="both"/>
                      </w:pPr>
                      <w:r>
                        <w:rPr/>
                        <w:t>El programa de Empresas Comerciales de la institución tiene como objetivo contribuir con la sostenibilidad financiera de los programas de inversión social mediante la generación de recursos económicos en las tiendas libres de impuestos.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2928">
                <wp:simplePos x="0" y="0"/>
                <wp:positionH relativeFrom="page">
                  <wp:posOffset>9525</wp:posOffset>
                </wp:positionH>
                <wp:positionV relativeFrom="page">
                  <wp:posOffset>297208</wp:posOffset>
                </wp:positionV>
                <wp:extent cx="7762875" cy="974852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7762875" cy="9748520"/>
                          <a:chExt cx="7762875" cy="9748520"/>
                        </a:xfrm>
                      </wpg:grpSpPr>
                      <pic:pic>
                        <pic:nvPicPr>
                          <pic:cNvPr id="39" name="Image 39"/>
                          <pic:cNvPicPr/>
                        </pic:nvPicPr>
                        <pic:blipFill>
                          <a:blip r:embed="rId5" cstate="print"/>
                          <a:stretch>
                            <a:fillRect/>
                          </a:stretch>
                        </pic:blipFill>
                        <pic:spPr>
                          <a:xfrm>
                            <a:off x="0" y="0"/>
                            <a:ext cx="7762874" cy="9748489"/>
                          </a:xfrm>
                          <a:prstGeom prst="rect">
                            <a:avLst/>
                          </a:prstGeom>
                        </pic:spPr>
                      </pic:pic>
                      <wps:wsp>
                        <wps:cNvPr id="40" name="Graphic 40"/>
                        <wps:cNvSpPr/>
                        <wps:spPr>
                          <a:xfrm>
                            <a:off x="1053007" y="990837"/>
                            <a:ext cx="5649595" cy="7773670"/>
                          </a:xfrm>
                          <a:custGeom>
                            <a:avLst/>
                            <a:gdLst/>
                            <a:ahLst/>
                            <a:cxnLst/>
                            <a:rect l="l" t="t" r="r" b="b"/>
                            <a:pathLst>
                              <a:path w="5649595" h="7773670">
                                <a:moveTo>
                                  <a:pt x="5630862" y="883983"/>
                                </a:moveTo>
                                <a:lnTo>
                                  <a:pt x="5624779" y="883983"/>
                                </a:lnTo>
                                <a:lnTo>
                                  <a:pt x="5624779" y="7767256"/>
                                </a:lnTo>
                                <a:lnTo>
                                  <a:pt x="24384" y="7767256"/>
                                </a:lnTo>
                                <a:lnTo>
                                  <a:pt x="24384" y="883983"/>
                                </a:lnTo>
                                <a:lnTo>
                                  <a:pt x="18288" y="883983"/>
                                </a:lnTo>
                                <a:lnTo>
                                  <a:pt x="18288" y="7767256"/>
                                </a:lnTo>
                                <a:lnTo>
                                  <a:pt x="18288" y="7773352"/>
                                </a:lnTo>
                                <a:lnTo>
                                  <a:pt x="24384" y="7773352"/>
                                </a:lnTo>
                                <a:lnTo>
                                  <a:pt x="5624779" y="7773352"/>
                                </a:lnTo>
                                <a:lnTo>
                                  <a:pt x="5630862" y="7773352"/>
                                </a:lnTo>
                                <a:lnTo>
                                  <a:pt x="5630862" y="7767256"/>
                                </a:lnTo>
                                <a:lnTo>
                                  <a:pt x="5630862" y="883983"/>
                                </a:lnTo>
                                <a:close/>
                              </a:path>
                              <a:path w="5649595" h="7773670">
                                <a:moveTo>
                                  <a:pt x="5630862" y="877811"/>
                                </a:moveTo>
                                <a:lnTo>
                                  <a:pt x="5624830" y="877811"/>
                                </a:lnTo>
                                <a:lnTo>
                                  <a:pt x="24384" y="877811"/>
                                </a:lnTo>
                                <a:lnTo>
                                  <a:pt x="18288" y="877811"/>
                                </a:lnTo>
                                <a:lnTo>
                                  <a:pt x="18288" y="883907"/>
                                </a:lnTo>
                                <a:lnTo>
                                  <a:pt x="24384" y="883907"/>
                                </a:lnTo>
                                <a:lnTo>
                                  <a:pt x="5624779" y="883907"/>
                                </a:lnTo>
                                <a:lnTo>
                                  <a:pt x="5630862" y="883907"/>
                                </a:lnTo>
                                <a:lnTo>
                                  <a:pt x="5630862" y="877811"/>
                                </a:lnTo>
                                <a:close/>
                              </a:path>
                              <a:path w="5649595" h="777367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3552" id="docshapegroup37" coordorigin="15,468" coordsize="12225,15352">
                <v:shape style="position:absolute;left:15;top:468;width:12225;height:15352" type="#_x0000_t75" id="docshape38" stroked="false">
                  <v:imagedata r:id="rId5" o:title=""/>
                </v:shape>
                <v:shape style="position:absolute;left:1673;top:2028;width:8897;height:12242" id="docshape39" coordorigin="1673,2028" coordsize="8897,12242" path="m10541,3421l10531,3421,10531,14260,1712,14260,1712,3421,1702,3421,1702,14260,1702,14270,1712,14270,10531,14270,10531,14270,10541,14270,10541,14260,10541,3421xm10541,3411l10531,3411,10531,3411,1712,3411,1702,3411,1702,3420,1712,3420,10531,3420,10531,3420,10541,3420,10541,3411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12</w:t>
      </w:r>
    </w:p>
    <w:p>
      <w:pPr>
        <w:pStyle w:val="Heading6"/>
        <w:spacing w:before="218"/>
        <w:ind w:left="622"/>
      </w:pPr>
      <w:bookmarkStart w:name="_bookmark4" w:id="5"/>
      <w:bookmarkEnd w:id="5"/>
      <w:r>
        <w:rPr>
          <w:b w:val="0"/>
        </w:rPr>
      </w:r>
      <w:r>
        <w:rPr>
          <w:color w:val="1F3863"/>
        </w:rPr>
        <w:t>Preparación</w:t>
      </w:r>
      <w:r>
        <w:rPr>
          <w:color w:val="1F3863"/>
          <w:spacing w:val="-4"/>
        </w:rPr>
        <w:t> </w:t>
      </w:r>
      <w:r>
        <w:rPr>
          <w:color w:val="1F3863"/>
        </w:rPr>
        <w:t>de</w:t>
      </w:r>
      <w:r>
        <w:rPr>
          <w:color w:val="1F3863"/>
          <w:spacing w:val="-3"/>
        </w:rPr>
        <w:t> </w:t>
      </w:r>
      <w:r>
        <w:rPr>
          <w:color w:val="1F3863"/>
        </w:rPr>
        <w:t>los</w:t>
      </w:r>
      <w:r>
        <w:rPr>
          <w:color w:val="1F3863"/>
          <w:spacing w:val="-5"/>
        </w:rPr>
        <w:t> </w:t>
      </w:r>
      <w:r>
        <w:rPr>
          <w:color w:val="1F3863"/>
        </w:rPr>
        <w:t>estados</w:t>
      </w:r>
      <w:r>
        <w:rPr>
          <w:color w:val="1F3863"/>
          <w:spacing w:val="-4"/>
        </w:rPr>
        <w:t> </w:t>
      </w:r>
      <w:r>
        <w:rPr>
          <w:color w:val="1F3863"/>
          <w:spacing w:val="-2"/>
        </w:rPr>
        <w:t>financieros</w:t>
      </w:r>
    </w:p>
    <w:p>
      <w:pPr>
        <w:pStyle w:val="BodyText"/>
        <w:rPr>
          <w:b/>
        </w:rPr>
      </w:pPr>
    </w:p>
    <w:p>
      <w:pPr>
        <w:pStyle w:val="BodyText"/>
        <w:spacing w:before="55"/>
        <w:rPr>
          <w:b/>
        </w:rPr>
      </w:pPr>
    </w:p>
    <w:p>
      <w:pPr>
        <w:pStyle w:val="Heading6"/>
        <w:numPr>
          <w:ilvl w:val="0"/>
          <w:numId w:val="8"/>
        </w:numPr>
        <w:tabs>
          <w:tab w:pos="1341" w:val="left" w:leader="none"/>
        </w:tabs>
        <w:spacing w:line="240" w:lineRule="auto" w:before="1" w:after="0"/>
        <w:ind w:left="1341" w:right="0" w:hanging="360"/>
        <w:jc w:val="left"/>
      </w:pPr>
      <w:bookmarkStart w:name="_bookmark5" w:id="6"/>
      <w:bookmarkEnd w:id="6"/>
      <w:r>
        <w:rPr>
          <w:b w:val="0"/>
        </w:rPr>
      </w:r>
      <w:r>
        <w:rPr>
          <w:color w:val="1F3762"/>
        </w:rPr>
        <w:t>Marco</w:t>
      </w:r>
      <w:r>
        <w:rPr>
          <w:color w:val="1F3762"/>
          <w:spacing w:val="-5"/>
        </w:rPr>
        <w:t> </w:t>
      </w:r>
      <w:r>
        <w:rPr>
          <w:color w:val="1F3762"/>
        </w:rPr>
        <w:t>normativo</w:t>
      </w:r>
      <w:r>
        <w:rPr>
          <w:color w:val="1F3762"/>
          <w:spacing w:val="-5"/>
        </w:rPr>
        <w:t> </w:t>
      </w:r>
      <w:r>
        <w:rPr>
          <w:color w:val="1F3762"/>
        </w:rPr>
        <w:t>utilizado</w:t>
      </w:r>
      <w:r>
        <w:rPr>
          <w:color w:val="1F3762"/>
          <w:spacing w:val="-4"/>
        </w:rPr>
        <w:t> </w:t>
      </w:r>
      <w:r>
        <w:rPr>
          <w:color w:val="1F3762"/>
          <w:spacing w:val="-2"/>
        </w:rPr>
        <w:t>(NICSP).</w:t>
      </w:r>
    </w:p>
    <w:p>
      <w:pPr>
        <w:spacing w:before="135"/>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734" w:right="1088"/>
        <w:jc w:val="both"/>
      </w:pPr>
      <w:r>
        <w:rPr/>
        <w:t>La información financiera se elabora y presenta con base en un marco normativo de aplicación obligatoria para todas las entidades del sector público costarricense, cuyo propósito es asegurar la consistencia, comparabilidad y transparencia de los Estados Financieros del Gobierno de la República</w:t>
      </w:r>
      <w:r>
        <w:rPr>
          <w:spacing w:val="-10"/>
        </w:rPr>
        <w:t> </w:t>
      </w:r>
      <w:r>
        <w:rPr/>
        <w:t>de</w:t>
      </w:r>
      <w:r>
        <w:rPr>
          <w:spacing w:val="-11"/>
        </w:rPr>
        <w:t> </w:t>
      </w:r>
      <w:r>
        <w:rPr/>
        <w:t>Costa</w:t>
      </w:r>
      <w:r>
        <w:rPr>
          <w:spacing w:val="-12"/>
        </w:rPr>
        <w:t> </w:t>
      </w:r>
      <w:r>
        <w:rPr/>
        <w:t>Rica,</w:t>
      </w:r>
      <w:r>
        <w:rPr>
          <w:spacing w:val="-9"/>
        </w:rPr>
        <w:t> </w:t>
      </w:r>
      <w:r>
        <w:rPr/>
        <w:t>así</w:t>
      </w:r>
      <w:r>
        <w:rPr>
          <w:spacing w:val="-13"/>
        </w:rPr>
        <w:t> </w:t>
      </w:r>
      <w:r>
        <w:rPr/>
        <w:t>como</w:t>
      </w:r>
      <w:r>
        <w:rPr>
          <w:spacing w:val="-11"/>
        </w:rPr>
        <w:t> </w:t>
      </w:r>
      <w:r>
        <w:rPr/>
        <w:t>facilitar</w:t>
      </w:r>
      <w:r>
        <w:rPr>
          <w:spacing w:val="-10"/>
        </w:rPr>
        <w:t> </w:t>
      </w:r>
      <w:r>
        <w:rPr/>
        <w:t>su</w:t>
      </w:r>
      <w:r>
        <w:rPr>
          <w:spacing w:val="-12"/>
        </w:rPr>
        <w:t> </w:t>
      </w:r>
      <w:r>
        <w:rPr/>
        <w:t>adecuada</w:t>
      </w:r>
      <w:r>
        <w:rPr>
          <w:spacing w:val="-13"/>
        </w:rPr>
        <w:t> </w:t>
      </w:r>
      <w:r>
        <w:rPr/>
        <w:t>consolidación</w:t>
      </w:r>
      <w:r>
        <w:rPr>
          <w:spacing w:val="-9"/>
        </w:rPr>
        <w:t> </w:t>
      </w:r>
      <w:r>
        <w:rPr/>
        <w:t>a</w:t>
      </w:r>
      <w:r>
        <w:rPr>
          <w:spacing w:val="-13"/>
        </w:rPr>
        <w:t> </w:t>
      </w:r>
      <w:r>
        <w:rPr/>
        <w:t>nivel</w:t>
      </w:r>
      <w:r>
        <w:rPr>
          <w:spacing w:val="-10"/>
        </w:rPr>
        <w:t> </w:t>
      </w:r>
      <w:r>
        <w:rPr/>
        <w:t>nacional.</w:t>
      </w:r>
      <w:r>
        <w:rPr>
          <w:spacing w:val="-11"/>
        </w:rPr>
        <w:t> </w:t>
      </w:r>
      <w:r>
        <w:rPr/>
        <w:t>Dicho</w:t>
      </w:r>
      <w:r>
        <w:rPr>
          <w:spacing w:val="-9"/>
        </w:rPr>
        <w:t> </w:t>
      </w:r>
      <w:r>
        <w:rPr/>
        <w:t>marco regulatorio es definido y emitido por la DGCN, en ejercicio de las competencias que le confiere la Ley N° 8131, Ley de la Administración Financiera de la República y Presupuestos Públicos.</w:t>
      </w:r>
    </w:p>
    <w:p>
      <w:pPr>
        <w:pStyle w:val="BodyText"/>
        <w:spacing w:before="160"/>
        <w:ind w:left="734" w:right="1088"/>
        <w:jc w:val="both"/>
      </w:pPr>
      <w:r>
        <w:rPr/>
        <w:t>Los</w:t>
      </w:r>
      <w:r>
        <w:rPr>
          <w:spacing w:val="-6"/>
        </w:rPr>
        <w:t> </w:t>
      </w:r>
      <w:r>
        <w:rPr/>
        <w:t>Estados</w:t>
      </w:r>
      <w:r>
        <w:rPr>
          <w:spacing w:val="-7"/>
        </w:rPr>
        <w:t> </w:t>
      </w:r>
      <w:r>
        <w:rPr/>
        <w:t>Financieros</w:t>
      </w:r>
      <w:r>
        <w:rPr>
          <w:spacing w:val="-7"/>
        </w:rPr>
        <w:t> </w:t>
      </w:r>
      <w:r>
        <w:rPr/>
        <w:t>han</w:t>
      </w:r>
      <w:r>
        <w:rPr>
          <w:spacing w:val="-5"/>
        </w:rPr>
        <w:t> </w:t>
      </w:r>
      <w:r>
        <w:rPr/>
        <w:t>sido</w:t>
      </w:r>
      <w:r>
        <w:rPr>
          <w:spacing w:val="-7"/>
        </w:rPr>
        <w:t> </w:t>
      </w:r>
      <w:r>
        <w:rPr/>
        <w:t>preparados</w:t>
      </w:r>
      <w:r>
        <w:rPr>
          <w:spacing w:val="-5"/>
        </w:rPr>
        <w:t> </w:t>
      </w:r>
      <w:r>
        <w:rPr/>
        <w:t>según</w:t>
      </w:r>
      <w:r>
        <w:rPr>
          <w:spacing w:val="-5"/>
        </w:rPr>
        <w:t> </w:t>
      </w:r>
      <w:r>
        <w:rPr/>
        <w:t>las</w:t>
      </w:r>
      <w:r>
        <w:rPr>
          <w:spacing w:val="-8"/>
        </w:rPr>
        <w:t> </w:t>
      </w:r>
      <w:r>
        <w:rPr/>
        <w:t>bases</w:t>
      </w:r>
      <w:r>
        <w:rPr>
          <w:spacing w:val="-5"/>
        </w:rPr>
        <w:t> </w:t>
      </w:r>
      <w:r>
        <w:rPr/>
        <w:t>de</w:t>
      </w:r>
      <w:r>
        <w:rPr>
          <w:spacing w:val="-9"/>
        </w:rPr>
        <w:t> </w:t>
      </w:r>
      <w:r>
        <w:rPr/>
        <w:t>medición</w:t>
      </w:r>
      <w:r>
        <w:rPr>
          <w:spacing w:val="-5"/>
        </w:rPr>
        <w:t> </w:t>
      </w:r>
      <w:r>
        <w:rPr/>
        <w:t>contenidas</w:t>
      </w:r>
      <w:r>
        <w:rPr>
          <w:spacing w:val="-5"/>
        </w:rPr>
        <w:t> </w:t>
      </w:r>
      <w:r>
        <w:rPr/>
        <w:t>en</w:t>
      </w:r>
      <w:r>
        <w:rPr>
          <w:spacing w:val="-5"/>
        </w:rPr>
        <w:t> </w:t>
      </w:r>
      <w:r>
        <w:rPr/>
        <w:t>las</w:t>
      </w:r>
      <w:r>
        <w:rPr>
          <w:spacing w:val="-7"/>
        </w:rPr>
        <w:t> </w:t>
      </w:r>
      <w:r>
        <w:rPr/>
        <w:t>NICSP (2018)</w:t>
      </w:r>
      <w:r>
        <w:rPr>
          <w:spacing w:val="-13"/>
        </w:rPr>
        <w:t> </w:t>
      </w:r>
      <w:r>
        <w:rPr/>
        <w:t>para</w:t>
      </w:r>
      <w:r>
        <w:rPr>
          <w:spacing w:val="-13"/>
        </w:rPr>
        <w:t> </w:t>
      </w:r>
      <w:r>
        <w:rPr/>
        <w:t>cada</w:t>
      </w:r>
      <w:r>
        <w:rPr>
          <w:spacing w:val="-14"/>
        </w:rPr>
        <w:t> </w:t>
      </w:r>
      <w:r>
        <w:rPr/>
        <w:t>saldo</w:t>
      </w:r>
      <w:r>
        <w:rPr>
          <w:spacing w:val="-12"/>
        </w:rPr>
        <w:t> </w:t>
      </w:r>
      <w:r>
        <w:rPr/>
        <w:t>de</w:t>
      </w:r>
      <w:r>
        <w:rPr>
          <w:spacing w:val="-14"/>
        </w:rPr>
        <w:t> </w:t>
      </w:r>
      <w:r>
        <w:rPr/>
        <w:t>cuenta.</w:t>
      </w:r>
      <w:r>
        <w:rPr>
          <w:spacing w:val="-14"/>
        </w:rPr>
        <w:t> </w:t>
      </w:r>
      <w:r>
        <w:rPr/>
        <w:t>Las</w:t>
      </w:r>
      <w:r>
        <w:rPr>
          <w:spacing w:val="-12"/>
        </w:rPr>
        <w:t> </w:t>
      </w:r>
      <w:r>
        <w:rPr/>
        <w:t>principales</w:t>
      </w:r>
      <w:r>
        <w:rPr>
          <w:spacing w:val="-12"/>
        </w:rPr>
        <w:t> </w:t>
      </w:r>
      <w:r>
        <w:rPr/>
        <w:t>bases</w:t>
      </w:r>
      <w:r>
        <w:rPr>
          <w:spacing w:val="-14"/>
        </w:rPr>
        <w:t> </w:t>
      </w:r>
      <w:r>
        <w:rPr/>
        <w:t>están</w:t>
      </w:r>
      <w:r>
        <w:rPr>
          <w:spacing w:val="-13"/>
        </w:rPr>
        <w:t> </w:t>
      </w:r>
      <w:r>
        <w:rPr/>
        <w:t>determinadas</w:t>
      </w:r>
      <w:r>
        <w:rPr>
          <w:spacing w:val="-12"/>
        </w:rPr>
        <w:t> </w:t>
      </w:r>
      <w:r>
        <w:rPr/>
        <w:t>en</w:t>
      </w:r>
      <w:r>
        <w:rPr>
          <w:spacing w:val="-13"/>
        </w:rPr>
        <w:t> </w:t>
      </w:r>
      <w:r>
        <w:rPr/>
        <w:t>las</w:t>
      </w:r>
      <w:r>
        <w:rPr>
          <w:spacing w:val="-12"/>
        </w:rPr>
        <w:t> </w:t>
      </w:r>
      <w:r>
        <w:rPr/>
        <w:t>Políticas</w:t>
      </w:r>
      <w:r>
        <w:rPr>
          <w:spacing w:val="-12"/>
        </w:rPr>
        <w:t> </w:t>
      </w:r>
      <w:r>
        <w:rPr/>
        <w:t>Contables Generales emitidas por la Contabilidad Nacional versión (2021) y la emisión de la Metodología de Implementación</w:t>
      </w:r>
      <w:r>
        <w:rPr>
          <w:spacing w:val="-3"/>
        </w:rPr>
        <w:t> </w:t>
      </w:r>
      <w:r>
        <w:rPr/>
        <w:t>de</w:t>
      </w:r>
      <w:r>
        <w:rPr>
          <w:spacing w:val="-5"/>
        </w:rPr>
        <w:t> </w:t>
      </w:r>
      <w:r>
        <w:rPr/>
        <w:t>NICSP</w:t>
      </w:r>
      <w:r>
        <w:rPr>
          <w:spacing w:val="-7"/>
        </w:rPr>
        <w:t> </w:t>
      </w:r>
      <w:r>
        <w:rPr/>
        <w:t>la</w:t>
      </w:r>
      <w:r>
        <w:rPr>
          <w:spacing w:val="-5"/>
        </w:rPr>
        <w:t> </w:t>
      </w:r>
      <w:r>
        <w:rPr/>
        <w:t>versión</w:t>
      </w:r>
      <w:r>
        <w:rPr>
          <w:spacing w:val="-3"/>
        </w:rPr>
        <w:t> </w:t>
      </w:r>
      <w:r>
        <w:rPr/>
        <w:t>del</w:t>
      </w:r>
      <w:r>
        <w:rPr>
          <w:spacing w:val="-4"/>
        </w:rPr>
        <w:t> </w:t>
      </w:r>
      <w:r>
        <w:rPr/>
        <w:t>2021</w:t>
      </w:r>
      <w:r>
        <w:rPr>
          <w:spacing w:val="-5"/>
        </w:rPr>
        <w:t> </w:t>
      </w:r>
      <w:r>
        <w:rPr/>
        <w:t>y</w:t>
      </w:r>
      <w:r>
        <w:rPr>
          <w:spacing w:val="-5"/>
        </w:rPr>
        <w:t> </w:t>
      </w:r>
      <w:r>
        <w:rPr/>
        <w:t>en</w:t>
      </w:r>
      <w:r>
        <w:rPr>
          <w:spacing w:val="-3"/>
        </w:rPr>
        <w:t> </w:t>
      </w:r>
      <w:r>
        <w:rPr/>
        <w:t>cuanto</w:t>
      </w:r>
      <w:r>
        <w:rPr>
          <w:spacing w:val="-3"/>
        </w:rPr>
        <w:t> </w:t>
      </w:r>
      <w:r>
        <w:rPr/>
        <w:t>al</w:t>
      </w:r>
      <w:r>
        <w:rPr>
          <w:spacing w:val="-4"/>
        </w:rPr>
        <w:t> </w:t>
      </w:r>
      <w:r>
        <w:rPr/>
        <w:t>Plan</w:t>
      </w:r>
      <w:r>
        <w:rPr>
          <w:spacing w:val="-3"/>
        </w:rPr>
        <w:t> </w:t>
      </w:r>
      <w:r>
        <w:rPr/>
        <w:t>General</w:t>
      </w:r>
      <w:r>
        <w:rPr>
          <w:spacing w:val="-4"/>
        </w:rPr>
        <w:t> </w:t>
      </w:r>
      <w:r>
        <w:rPr/>
        <w:t>de</w:t>
      </w:r>
      <w:r>
        <w:rPr>
          <w:spacing w:val="-5"/>
        </w:rPr>
        <w:t> </w:t>
      </w:r>
      <w:r>
        <w:rPr/>
        <w:t>Cuentas</w:t>
      </w:r>
      <w:r>
        <w:rPr>
          <w:spacing w:val="-3"/>
        </w:rPr>
        <w:t> </w:t>
      </w:r>
      <w:r>
        <w:rPr/>
        <w:t>y</w:t>
      </w:r>
      <w:r>
        <w:rPr>
          <w:spacing w:val="-5"/>
        </w:rPr>
        <w:t> </w:t>
      </w:r>
      <w:r>
        <w:rPr/>
        <w:t>el</w:t>
      </w:r>
      <w:r>
        <w:rPr>
          <w:spacing w:val="-4"/>
        </w:rPr>
        <w:t> </w:t>
      </w:r>
      <w:r>
        <w:rPr/>
        <w:t>Manual Funcional de Cuentas Contable para el Sector Público.</w:t>
      </w:r>
    </w:p>
    <w:p>
      <w:pPr>
        <w:pStyle w:val="BodyText"/>
        <w:spacing w:line="276" w:lineRule="auto" w:before="162"/>
        <w:ind w:left="734" w:right="1088"/>
        <w:jc w:val="both"/>
      </w:pPr>
      <w:r>
        <w:rPr/>
        <w:t>En concordancia con lo anterior, la entidad aplica de manera integral los lineamientos técnicos emitidos</w:t>
      </w:r>
      <w:r>
        <w:rPr>
          <w:spacing w:val="-4"/>
        </w:rPr>
        <w:t> </w:t>
      </w:r>
      <w:r>
        <w:rPr/>
        <w:t>por</w:t>
      </w:r>
      <w:r>
        <w:rPr>
          <w:spacing w:val="-5"/>
        </w:rPr>
        <w:t> </w:t>
      </w:r>
      <w:r>
        <w:rPr/>
        <w:t>la</w:t>
      </w:r>
      <w:r>
        <w:rPr>
          <w:spacing w:val="-5"/>
        </w:rPr>
        <w:t> </w:t>
      </w:r>
      <w:r>
        <w:rPr/>
        <w:t>DGCN,</w:t>
      </w:r>
      <w:r>
        <w:rPr>
          <w:spacing w:val="-3"/>
        </w:rPr>
        <w:t> </w:t>
      </w:r>
      <w:r>
        <w:rPr/>
        <w:t>incluyendo</w:t>
      </w:r>
      <w:r>
        <w:rPr>
          <w:spacing w:val="-3"/>
        </w:rPr>
        <w:t> </w:t>
      </w:r>
      <w:r>
        <w:rPr/>
        <w:t>el</w:t>
      </w:r>
      <w:r>
        <w:rPr>
          <w:spacing w:val="-3"/>
        </w:rPr>
        <w:t> </w:t>
      </w:r>
      <w:r>
        <w:rPr/>
        <w:t>Plan</w:t>
      </w:r>
      <w:r>
        <w:rPr>
          <w:spacing w:val="-3"/>
        </w:rPr>
        <w:t> </w:t>
      </w:r>
      <w:r>
        <w:rPr/>
        <w:t>de</w:t>
      </w:r>
      <w:r>
        <w:rPr>
          <w:spacing w:val="-7"/>
        </w:rPr>
        <w:t> </w:t>
      </w:r>
      <w:r>
        <w:rPr/>
        <w:t>Cuentas</w:t>
      </w:r>
      <w:r>
        <w:rPr>
          <w:spacing w:val="-5"/>
        </w:rPr>
        <w:t> </w:t>
      </w:r>
      <w:r>
        <w:rPr/>
        <w:t>para</w:t>
      </w:r>
      <w:r>
        <w:rPr>
          <w:spacing w:val="-4"/>
        </w:rPr>
        <w:t> </w:t>
      </w:r>
      <w:r>
        <w:rPr/>
        <w:t>el</w:t>
      </w:r>
      <w:r>
        <w:rPr>
          <w:spacing w:val="-3"/>
        </w:rPr>
        <w:t> </w:t>
      </w:r>
      <w:r>
        <w:rPr/>
        <w:t>Sector</w:t>
      </w:r>
      <w:r>
        <w:rPr>
          <w:spacing w:val="-5"/>
        </w:rPr>
        <w:t> </w:t>
      </w:r>
      <w:r>
        <w:rPr/>
        <w:t>Público,</w:t>
      </w:r>
      <w:r>
        <w:rPr>
          <w:spacing w:val="-6"/>
        </w:rPr>
        <w:t> </w:t>
      </w:r>
      <w:r>
        <w:rPr/>
        <w:t>el</w:t>
      </w:r>
      <w:r>
        <w:rPr>
          <w:spacing w:val="-3"/>
        </w:rPr>
        <w:t> </w:t>
      </w:r>
      <w:r>
        <w:rPr/>
        <w:t>Manual</w:t>
      </w:r>
      <w:r>
        <w:rPr>
          <w:spacing w:val="-3"/>
        </w:rPr>
        <w:t> </w:t>
      </w:r>
      <w:r>
        <w:rPr/>
        <w:t>Funcional de</w:t>
      </w:r>
      <w:r>
        <w:rPr>
          <w:spacing w:val="-9"/>
        </w:rPr>
        <w:t> </w:t>
      </w:r>
      <w:r>
        <w:rPr/>
        <w:t>Cuentas</w:t>
      </w:r>
      <w:r>
        <w:rPr>
          <w:spacing w:val="-6"/>
        </w:rPr>
        <w:t> </w:t>
      </w:r>
      <w:r>
        <w:rPr/>
        <w:t>y</w:t>
      </w:r>
      <w:r>
        <w:rPr>
          <w:spacing w:val="-8"/>
        </w:rPr>
        <w:t> </w:t>
      </w:r>
      <w:r>
        <w:rPr/>
        <w:t>la</w:t>
      </w:r>
      <w:r>
        <w:rPr>
          <w:spacing w:val="-8"/>
        </w:rPr>
        <w:t> </w:t>
      </w:r>
      <w:r>
        <w:rPr/>
        <w:t>estructura</w:t>
      </w:r>
      <w:r>
        <w:rPr>
          <w:spacing w:val="-8"/>
        </w:rPr>
        <w:t> </w:t>
      </w:r>
      <w:r>
        <w:rPr/>
        <w:t>oficial</w:t>
      </w:r>
      <w:r>
        <w:rPr>
          <w:spacing w:val="-8"/>
        </w:rPr>
        <w:t> </w:t>
      </w:r>
      <w:r>
        <w:rPr/>
        <w:t>de</w:t>
      </w:r>
      <w:r>
        <w:rPr>
          <w:spacing w:val="-7"/>
        </w:rPr>
        <w:t> </w:t>
      </w:r>
      <w:r>
        <w:rPr/>
        <w:t>los</w:t>
      </w:r>
      <w:r>
        <w:rPr>
          <w:spacing w:val="-6"/>
        </w:rPr>
        <w:t> </w:t>
      </w:r>
      <w:r>
        <w:rPr/>
        <w:t>Estados</w:t>
      </w:r>
      <w:r>
        <w:rPr>
          <w:spacing w:val="-6"/>
        </w:rPr>
        <w:t> </w:t>
      </w:r>
      <w:r>
        <w:rPr/>
        <w:t>Financieros,</w:t>
      </w:r>
      <w:r>
        <w:rPr>
          <w:spacing w:val="-7"/>
        </w:rPr>
        <w:t> </w:t>
      </w:r>
      <w:r>
        <w:rPr/>
        <w:t>las</w:t>
      </w:r>
      <w:r>
        <w:rPr>
          <w:spacing w:val="-6"/>
        </w:rPr>
        <w:t> </w:t>
      </w:r>
      <w:r>
        <w:rPr/>
        <w:t>Normas</w:t>
      </w:r>
      <w:r>
        <w:rPr>
          <w:spacing w:val="-6"/>
        </w:rPr>
        <w:t> </w:t>
      </w:r>
      <w:r>
        <w:rPr/>
        <w:t>Técnicas,</w:t>
      </w:r>
      <w:r>
        <w:rPr>
          <w:spacing w:val="-7"/>
        </w:rPr>
        <w:t> </w:t>
      </w:r>
      <w:r>
        <w:rPr/>
        <w:t>las</w:t>
      </w:r>
      <w:r>
        <w:rPr>
          <w:spacing w:val="-6"/>
        </w:rPr>
        <w:t> </w:t>
      </w:r>
      <w:r>
        <w:rPr/>
        <w:t>Herramientas de</w:t>
      </w:r>
      <w:r>
        <w:rPr>
          <w:spacing w:val="-4"/>
        </w:rPr>
        <w:t> </w:t>
      </w:r>
      <w:r>
        <w:rPr/>
        <w:t>Validación</w:t>
      </w:r>
      <w:r>
        <w:rPr>
          <w:spacing w:val="-2"/>
        </w:rPr>
        <w:t> </w:t>
      </w:r>
      <w:r>
        <w:rPr/>
        <w:t>y</w:t>
      </w:r>
      <w:r>
        <w:rPr>
          <w:spacing w:val="-3"/>
        </w:rPr>
        <w:t> </w:t>
      </w:r>
      <w:r>
        <w:rPr/>
        <w:t>demás</w:t>
      </w:r>
      <w:r>
        <w:rPr>
          <w:spacing w:val="-1"/>
        </w:rPr>
        <w:t> </w:t>
      </w:r>
      <w:r>
        <w:rPr/>
        <w:t>instrumentos</w:t>
      </w:r>
      <w:r>
        <w:rPr>
          <w:spacing w:val="-1"/>
        </w:rPr>
        <w:t> </w:t>
      </w:r>
      <w:r>
        <w:rPr/>
        <w:t>dados,</w:t>
      </w:r>
      <w:r>
        <w:rPr>
          <w:spacing w:val="-2"/>
        </w:rPr>
        <w:t> </w:t>
      </w:r>
      <w:r>
        <w:rPr/>
        <w:t>esto</w:t>
      </w:r>
      <w:r>
        <w:rPr>
          <w:spacing w:val="-1"/>
        </w:rPr>
        <w:t> </w:t>
      </w:r>
      <w:r>
        <w:rPr/>
        <w:t>con</w:t>
      </w:r>
      <w:r>
        <w:rPr>
          <w:spacing w:val="-2"/>
        </w:rPr>
        <w:t> </w:t>
      </w:r>
      <w:r>
        <w:rPr/>
        <w:t>el</w:t>
      </w:r>
      <w:r>
        <w:rPr>
          <w:spacing w:val="-2"/>
        </w:rPr>
        <w:t> </w:t>
      </w:r>
      <w:r>
        <w:rPr/>
        <w:t>fin</w:t>
      </w:r>
      <w:r>
        <w:rPr>
          <w:spacing w:val="-2"/>
        </w:rPr>
        <w:t> </w:t>
      </w:r>
      <w:r>
        <w:rPr/>
        <w:t>de</w:t>
      </w:r>
      <w:r>
        <w:rPr>
          <w:spacing w:val="-4"/>
        </w:rPr>
        <w:t> </w:t>
      </w:r>
      <w:r>
        <w:rPr/>
        <w:t>asegurar</w:t>
      </w:r>
      <w:r>
        <w:rPr>
          <w:spacing w:val="-2"/>
        </w:rPr>
        <w:t> </w:t>
      </w:r>
      <w:r>
        <w:rPr/>
        <w:t>la</w:t>
      </w:r>
      <w:r>
        <w:rPr>
          <w:spacing w:val="-3"/>
        </w:rPr>
        <w:t> </w:t>
      </w:r>
      <w:r>
        <w:rPr/>
        <w:t>uniformidad</w:t>
      </w:r>
      <w:r>
        <w:rPr>
          <w:spacing w:val="-2"/>
        </w:rPr>
        <w:t> </w:t>
      </w:r>
      <w:r>
        <w:rPr/>
        <w:t>en</w:t>
      </w:r>
      <w:r>
        <w:rPr>
          <w:spacing w:val="-2"/>
        </w:rPr>
        <w:t> </w:t>
      </w:r>
      <w:r>
        <w:rPr/>
        <w:t>el</w:t>
      </w:r>
      <w:r>
        <w:rPr>
          <w:spacing w:val="-2"/>
        </w:rPr>
        <w:t> </w:t>
      </w:r>
      <w:r>
        <w:rPr/>
        <w:t>registro contable y la adecuada presentación de la información aquí expuesta.</w:t>
      </w:r>
    </w:p>
    <w:p>
      <w:pPr>
        <w:pStyle w:val="BodyText"/>
        <w:spacing w:line="276" w:lineRule="auto" w:before="120"/>
        <w:ind w:left="734" w:right="1089"/>
        <w:jc w:val="both"/>
      </w:pPr>
      <w:r>
        <w:rPr/>
        <w:t>Asimismo,</w:t>
      </w:r>
      <w:r>
        <w:rPr>
          <w:spacing w:val="-3"/>
        </w:rPr>
        <w:t> </w:t>
      </w:r>
      <w:r>
        <w:rPr/>
        <w:t>el</w:t>
      </w:r>
      <w:r>
        <w:rPr>
          <w:spacing w:val="-2"/>
        </w:rPr>
        <w:t> </w:t>
      </w:r>
      <w:r>
        <w:rPr/>
        <w:t>marco</w:t>
      </w:r>
      <w:r>
        <w:rPr>
          <w:spacing w:val="-3"/>
        </w:rPr>
        <w:t> </w:t>
      </w:r>
      <w:r>
        <w:rPr/>
        <w:t>normativo</w:t>
      </w:r>
      <w:r>
        <w:rPr>
          <w:spacing w:val="-1"/>
        </w:rPr>
        <w:t> </w:t>
      </w:r>
      <w:r>
        <w:rPr/>
        <w:t>adoptado</w:t>
      </w:r>
      <w:r>
        <w:rPr>
          <w:spacing w:val="-1"/>
        </w:rPr>
        <w:t> </w:t>
      </w:r>
      <w:r>
        <w:rPr/>
        <w:t>permite</w:t>
      </w:r>
      <w:r>
        <w:rPr>
          <w:spacing w:val="-2"/>
        </w:rPr>
        <w:t> </w:t>
      </w:r>
      <w:r>
        <w:rPr/>
        <w:t>reflejar</w:t>
      </w:r>
      <w:r>
        <w:rPr>
          <w:spacing w:val="-2"/>
        </w:rPr>
        <w:t> </w:t>
      </w:r>
      <w:r>
        <w:rPr/>
        <w:t>razonablemente</w:t>
      </w:r>
      <w:r>
        <w:rPr>
          <w:spacing w:val="-2"/>
        </w:rPr>
        <w:t> </w:t>
      </w:r>
      <w:r>
        <w:rPr/>
        <w:t>la</w:t>
      </w:r>
      <w:r>
        <w:rPr>
          <w:spacing w:val="-5"/>
        </w:rPr>
        <w:t> </w:t>
      </w:r>
      <w:r>
        <w:rPr/>
        <w:t>situación</w:t>
      </w:r>
      <w:r>
        <w:rPr>
          <w:spacing w:val="-2"/>
        </w:rPr>
        <w:t> </w:t>
      </w:r>
      <w:r>
        <w:rPr/>
        <w:t>financiera,</w:t>
      </w:r>
      <w:r>
        <w:rPr>
          <w:spacing w:val="-2"/>
        </w:rPr>
        <w:t> </w:t>
      </w:r>
      <w:r>
        <w:rPr/>
        <w:t>el desempeño</w:t>
      </w:r>
      <w:r>
        <w:rPr>
          <w:spacing w:val="-4"/>
        </w:rPr>
        <w:t> </w:t>
      </w:r>
      <w:r>
        <w:rPr/>
        <w:t>económico</w:t>
      </w:r>
      <w:r>
        <w:rPr>
          <w:spacing w:val="-4"/>
        </w:rPr>
        <w:t> </w:t>
      </w:r>
      <w:r>
        <w:rPr/>
        <w:t>y</w:t>
      </w:r>
      <w:r>
        <w:rPr>
          <w:spacing w:val="-3"/>
        </w:rPr>
        <w:t> </w:t>
      </w:r>
      <w:r>
        <w:rPr/>
        <w:t>los</w:t>
      </w:r>
      <w:r>
        <w:rPr>
          <w:spacing w:val="-1"/>
        </w:rPr>
        <w:t> </w:t>
      </w:r>
      <w:r>
        <w:rPr/>
        <w:t>flujos</w:t>
      </w:r>
      <w:r>
        <w:rPr>
          <w:spacing w:val="-4"/>
        </w:rPr>
        <w:t> </w:t>
      </w:r>
      <w:r>
        <w:rPr/>
        <w:t>de</w:t>
      </w:r>
      <w:r>
        <w:rPr>
          <w:spacing w:val="-4"/>
        </w:rPr>
        <w:t> </w:t>
      </w:r>
      <w:r>
        <w:rPr/>
        <w:t>recursos</w:t>
      </w:r>
      <w:r>
        <w:rPr>
          <w:spacing w:val="-4"/>
        </w:rPr>
        <w:t> </w:t>
      </w:r>
      <w:r>
        <w:rPr/>
        <w:t>de</w:t>
      </w:r>
      <w:r>
        <w:rPr>
          <w:spacing w:val="-4"/>
        </w:rPr>
        <w:t> </w:t>
      </w:r>
      <w:r>
        <w:rPr/>
        <w:t>la</w:t>
      </w:r>
      <w:r>
        <w:rPr>
          <w:spacing w:val="-4"/>
        </w:rPr>
        <w:t> </w:t>
      </w:r>
      <w:r>
        <w:rPr/>
        <w:t>institución,</w:t>
      </w:r>
      <w:r>
        <w:rPr>
          <w:spacing w:val="-4"/>
        </w:rPr>
        <w:t> </w:t>
      </w:r>
      <w:r>
        <w:rPr/>
        <w:t>en</w:t>
      </w:r>
      <w:r>
        <w:rPr>
          <w:spacing w:val="-4"/>
        </w:rPr>
        <w:t> </w:t>
      </w:r>
      <w:r>
        <w:rPr/>
        <w:t>observancia</w:t>
      </w:r>
      <w:r>
        <w:rPr>
          <w:spacing w:val="-3"/>
        </w:rPr>
        <w:t> </w:t>
      </w:r>
      <w:r>
        <w:rPr/>
        <w:t>de</w:t>
      </w:r>
      <w:r>
        <w:rPr>
          <w:spacing w:val="-4"/>
        </w:rPr>
        <w:t> </w:t>
      </w:r>
      <w:r>
        <w:rPr/>
        <w:t>los</w:t>
      </w:r>
      <w:r>
        <w:rPr>
          <w:spacing w:val="-4"/>
        </w:rPr>
        <w:t> </w:t>
      </w:r>
      <w:r>
        <w:rPr/>
        <w:t>principios</w:t>
      </w:r>
      <w:r>
        <w:rPr>
          <w:spacing w:val="-4"/>
        </w:rPr>
        <w:t> </w:t>
      </w:r>
      <w:r>
        <w:rPr/>
        <w:t>de devengo, relevancia, representación fiel y prudencia, propios de la contabilidad pública basada en </w:t>
      </w:r>
      <w:r>
        <w:rPr>
          <w:spacing w:val="-2"/>
        </w:rPr>
        <w:t>NICSP.</w:t>
      </w:r>
    </w:p>
    <w:p>
      <w:pPr>
        <w:pStyle w:val="BodyText"/>
        <w:spacing w:line="276" w:lineRule="auto" w:before="120"/>
        <w:ind w:left="734" w:right="1088"/>
        <w:jc w:val="both"/>
      </w:pPr>
      <w:r>
        <w:rPr/>
        <w:t>Tomando en consideración la Ley de Fortalecimiento de las Finanzas Públicas (9635) y su Reglamento,</w:t>
      </w:r>
      <w:r>
        <w:rPr>
          <w:spacing w:val="-7"/>
        </w:rPr>
        <w:t> </w:t>
      </w:r>
      <w:r>
        <w:rPr/>
        <w:t>la</w:t>
      </w:r>
      <w:r>
        <w:rPr>
          <w:spacing w:val="-8"/>
        </w:rPr>
        <w:t> </w:t>
      </w:r>
      <w:r>
        <w:rPr/>
        <w:t>Directriz</w:t>
      </w:r>
      <w:r>
        <w:rPr>
          <w:spacing w:val="-7"/>
        </w:rPr>
        <w:t> </w:t>
      </w:r>
      <w:r>
        <w:rPr/>
        <w:t>DCN-0012-2022</w:t>
      </w:r>
      <w:r>
        <w:rPr>
          <w:spacing w:val="-8"/>
        </w:rPr>
        <w:t> </w:t>
      </w:r>
      <w:r>
        <w:rPr/>
        <w:t>y</w:t>
      </w:r>
      <w:r>
        <w:rPr>
          <w:spacing w:val="-6"/>
        </w:rPr>
        <w:t> </w:t>
      </w:r>
      <w:r>
        <w:rPr/>
        <w:t>la</w:t>
      </w:r>
      <w:r>
        <w:rPr>
          <w:spacing w:val="-8"/>
        </w:rPr>
        <w:t> </w:t>
      </w:r>
      <w:r>
        <w:rPr/>
        <w:t>Resolución</w:t>
      </w:r>
      <w:r>
        <w:rPr>
          <w:spacing w:val="-7"/>
        </w:rPr>
        <w:t> </w:t>
      </w:r>
      <w:r>
        <w:rPr/>
        <w:t>de</w:t>
      </w:r>
      <w:r>
        <w:rPr>
          <w:spacing w:val="-9"/>
        </w:rPr>
        <w:t> </w:t>
      </w:r>
      <w:r>
        <w:rPr/>
        <w:t>Alcance</w:t>
      </w:r>
      <w:r>
        <w:rPr>
          <w:spacing w:val="-9"/>
        </w:rPr>
        <w:t> </w:t>
      </w:r>
      <w:r>
        <w:rPr/>
        <w:t>General</w:t>
      </w:r>
      <w:r>
        <w:rPr>
          <w:spacing w:val="-6"/>
        </w:rPr>
        <w:t> </w:t>
      </w:r>
      <w:r>
        <w:rPr/>
        <w:t>N.º</w:t>
      </w:r>
      <w:r>
        <w:rPr>
          <w:spacing w:val="-4"/>
        </w:rPr>
        <w:t> </w:t>
      </w:r>
      <w:r>
        <w:rPr/>
        <w:t>DCN-0003-2022 que establece los plazos para que un ente alcance el grado óptimo de la aplicación de las Normas Internacional de Contabilidad del Sector Público (NICSP) versión 2018, son 35 Normas que han sido adoptadas en el país.</w:t>
      </w:r>
    </w:p>
    <w:p>
      <w:pPr>
        <w:pStyle w:val="Heading6"/>
        <w:spacing w:before="160"/>
        <w:ind w:left="734"/>
        <w:jc w:val="both"/>
      </w:pPr>
      <w:r>
        <w:rPr/>
        <w:t>Normas</w:t>
      </w:r>
      <w:r>
        <w:rPr>
          <w:spacing w:val="-5"/>
        </w:rPr>
        <w:t> </w:t>
      </w:r>
      <w:r>
        <w:rPr/>
        <w:t>aplicadas</w:t>
      </w:r>
      <w:r>
        <w:rPr>
          <w:spacing w:val="-5"/>
        </w:rPr>
        <w:t> </w:t>
      </w:r>
      <w:r>
        <w:rPr>
          <w:spacing w:val="-4"/>
        </w:rPr>
        <w:t>NICSP</w:t>
      </w:r>
    </w:p>
    <w:p>
      <w:pPr>
        <w:pStyle w:val="BodyText"/>
        <w:spacing w:line="276" w:lineRule="auto" w:before="198"/>
        <w:ind w:left="734" w:right="1089"/>
        <w:jc w:val="both"/>
      </w:pPr>
      <w:r>
        <w:rPr/>
        <w:t>Las</w:t>
      </w:r>
      <w:r>
        <w:rPr>
          <w:spacing w:val="-2"/>
        </w:rPr>
        <w:t> </w:t>
      </w:r>
      <w:r>
        <w:rPr/>
        <w:t>actividades</w:t>
      </w:r>
      <w:r>
        <w:rPr>
          <w:spacing w:val="-2"/>
        </w:rPr>
        <w:t> </w:t>
      </w:r>
      <w:r>
        <w:rPr/>
        <w:t>y</w:t>
      </w:r>
      <w:r>
        <w:rPr>
          <w:spacing w:val="-4"/>
        </w:rPr>
        <w:t> </w:t>
      </w:r>
      <w:r>
        <w:rPr/>
        <w:t>operaciones</w:t>
      </w:r>
      <w:r>
        <w:rPr>
          <w:spacing w:val="-2"/>
        </w:rPr>
        <w:t> </w:t>
      </w:r>
      <w:r>
        <w:rPr/>
        <w:t>que</w:t>
      </w:r>
      <w:r>
        <w:rPr>
          <w:spacing w:val="-5"/>
        </w:rPr>
        <w:t> </w:t>
      </w:r>
      <w:r>
        <w:rPr/>
        <w:t>desempeña</w:t>
      </w:r>
      <w:r>
        <w:rPr>
          <w:spacing w:val="-3"/>
        </w:rPr>
        <w:t> </w:t>
      </w:r>
      <w:r>
        <w:rPr/>
        <w:t>el</w:t>
      </w:r>
      <w:r>
        <w:rPr>
          <w:spacing w:val="-3"/>
        </w:rPr>
        <w:t> </w:t>
      </w:r>
      <w:r>
        <w:rPr/>
        <w:t>IMAS</w:t>
      </w:r>
      <w:r>
        <w:rPr>
          <w:spacing w:val="-4"/>
        </w:rPr>
        <w:t> </w:t>
      </w:r>
      <w:r>
        <w:rPr/>
        <w:t>generan</w:t>
      </w:r>
      <w:r>
        <w:rPr>
          <w:spacing w:val="-3"/>
        </w:rPr>
        <w:t> </w:t>
      </w:r>
      <w:r>
        <w:rPr/>
        <w:t>transacciones</w:t>
      </w:r>
      <w:r>
        <w:rPr>
          <w:spacing w:val="-2"/>
        </w:rPr>
        <w:t> </w:t>
      </w:r>
      <w:r>
        <w:rPr/>
        <w:t>económicas</w:t>
      </w:r>
      <w:r>
        <w:rPr>
          <w:spacing w:val="-5"/>
        </w:rPr>
        <w:t> </w:t>
      </w:r>
      <w:r>
        <w:rPr/>
        <w:t>que,</w:t>
      </w:r>
      <w:r>
        <w:rPr>
          <w:spacing w:val="-3"/>
        </w:rPr>
        <w:t> </w:t>
      </w:r>
      <w:r>
        <w:rPr/>
        <w:t>por su naturaleza, se exige la adopción e implementación de normas contables específicas para el reconocimiento,</w:t>
      </w:r>
      <w:r>
        <w:rPr>
          <w:spacing w:val="-14"/>
        </w:rPr>
        <w:t> </w:t>
      </w:r>
      <w:r>
        <w:rPr/>
        <w:t>medición,</w:t>
      </w:r>
      <w:r>
        <w:rPr>
          <w:spacing w:val="-14"/>
        </w:rPr>
        <w:t> </w:t>
      </w:r>
      <w:r>
        <w:rPr/>
        <w:t>revelación</w:t>
      </w:r>
      <w:r>
        <w:rPr>
          <w:spacing w:val="-12"/>
        </w:rPr>
        <w:t> </w:t>
      </w:r>
      <w:r>
        <w:rPr/>
        <w:t>y</w:t>
      </w:r>
      <w:r>
        <w:rPr>
          <w:spacing w:val="-13"/>
        </w:rPr>
        <w:t> </w:t>
      </w:r>
      <w:r>
        <w:rPr/>
        <w:t>presentación</w:t>
      </w:r>
      <w:r>
        <w:rPr>
          <w:spacing w:val="-11"/>
        </w:rPr>
        <w:t> </w:t>
      </w:r>
      <w:r>
        <w:rPr/>
        <w:t>de</w:t>
      </w:r>
      <w:r>
        <w:rPr>
          <w:spacing w:val="-13"/>
        </w:rPr>
        <w:t> </w:t>
      </w:r>
      <w:r>
        <w:rPr/>
        <w:t>la</w:t>
      </w:r>
      <w:r>
        <w:rPr>
          <w:spacing w:val="-13"/>
        </w:rPr>
        <w:t> </w:t>
      </w:r>
      <w:r>
        <w:rPr/>
        <w:t>información</w:t>
      </w:r>
      <w:r>
        <w:rPr>
          <w:spacing w:val="-10"/>
        </w:rPr>
        <w:t> </w:t>
      </w:r>
      <w:r>
        <w:rPr/>
        <w:t>financiera.</w:t>
      </w:r>
      <w:r>
        <w:rPr>
          <w:spacing w:val="-13"/>
        </w:rPr>
        <w:t> </w:t>
      </w:r>
      <w:r>
        <w:rPr/>
        <w:t>Estas</w:t>
      </w:r>
      <w:r>
        <w:rPr>
          <w:spacing w:val="-11"/>
        </w:rPr>
        <w:t> </w:t>
      </w:r>
      <w:r>
        <w:rPr/>
        <w:t>normas</w:t>
      </w:r>
      <w:r>
        <w:rPr>
          <w:spacing w:val="-13"/>
        </w:rPr>
        <w:t> </w:t>
      </w:r>
      <w:r>
        <w:rPr/>
        <w:t>son fundamentales</w:t>
      </w:r>
      <w:r>
        <w:rPr>
          <w:spacing w:val="-6"/>
        </w:rPr>
        <w:t> </w:t>
      </w:r>
      <w:r>
        <w:rPr/>
        <w:t>para</w:t>
      </w:r>
      <w:r>
        <w:rPr>
          <w:spacing w:val="-10"/>
        </w:rPr>
        <w:t> </w:t>
      </w:r>
      <w:r>
        <w:rPr/>
        <w:t>garantizar</w:t>
      </w:r>
      <w:r>
        <w:rPr>
          <w:spacing w:val="-7"/>
        </w:rPr>
        <w:t> </w:t>
      </w:r>
      <w:r>
        <w:rPr/>
        <w:t>la</w:t>
      </w:r>
      <w:r>
        <w:rPr>
          <w:spacing w:val="-8"/>
        </w:rPr>
        <w:t> </w:t>
      </w:r>
      <w:r>
        <w:rPr/>
        <w:t>precisión</w:t>
      </w:r>
      <w:r>
        <w:rPr>
          <w:spacing w:val="-7"/>
        </w:rPr>
        <w:t> </w:t>
      </w:r>
      <w:r>
        <w:rPr/>
        <w:t>y</w:t>
      </w:r>
      <w:r>
        <w:rPr>
          <w:spacing w:val="-8"/>
        </w:rPr>
        <w:t> </w:t>
      </w:r>
      <w:r>
        <w:rPr/>
        <w:t>transparencia</w:t>
      </w:r>
      <w:r>
        <w:rPr>
          <w:spacing w:val="-8"/>
        </w:rPr>
        <w:t> </w:t>
      </w:r>
      <w:r>
        <w:rPr/>
        <w:t>de</w:t>
      </w:r>
      <w:r>
        <w:rPr>
          <w:spacing w:val="-9"/>
        </w:rPr>
        <w:t> </w:t>
      </w:r>
      <w:r>
        <w:rPr/>
        <w:t>los</w:t>
      </w:r>
      <w:r>
        <w:rPr>
          <w:spacing w:val="-6"/>
        </w:rPr>
        <w:t> </w:t>
      </w:r>
      <w:r>
        <w:rPr/>
        <w:t>Estados</w:t>
      </w:r>
      <w:r>
        <w:rPr>
          <w:spacing w:val="-6"/>
        </w:rPr>
        <w:t> </w:t>
      </w:r>
      <w:r>
        <w:rPr/>
        <w:t>Financieros,</w:t>
      </w:r>
      <w:r>
        <w:rPr>
          <w:spacing w:val="-7"/>
        </w:rPr>
        <w:t> </w:t>
      </w:r>
      <w:r>
        <w:rPr/>
        <w:t>conforme</w:t>
      </w:r>
      <w:r>
        <w:rPr>
          <w:spacing w:val="-8"/>
        </w:rPr>
        <w:t> </w:t>
      </w:r>
      <w:r>
        <w:rPr/>
        <w:t>a</w:t>
      </w:r>
      <w:r>
        <w:rPr>
          <w:spacing w:val="-8"/>
        </w:rPr>
        <w:t> </w:t>
      </w:r>
      <w:r>
        <w:rPr/>
        <w:t>la matriz de autoevaluación NICSP, del total de Normas a aplicar y del análisis realizado en el IMAS les son de aplicación 24 Normas, específicamente las NICSP siguientes:</w:t>
      </w:r>
    </w:p>
    <w:p>
      <w:pPr>
        <w:pStyle w:val="ListParagraph"/>
        <w:numPr>
          <w:ilvl w:val="0"/>
          <w:numId w:val="9"/>
        </w:numPr>
        <w:tabs>
          <w:tab w:pos="2161" w:val="left" w:leader="none"/>
        </w:tabs>
        <w:spacing w:line="240" w:lineRule="auto" w:before="118" w:after="0"/>
        <w:ind w:left="2161" w:right="0" w:hanging="359"/>
        <w:jc w:val="both"/>
        <w:rPr>
          <w:sz w:val="22"/>
        </w:rPr>
      </w:pPr>
      <w:r>
        <w:rPr>
          <w:sz w:val="22"/>
        </w:rPr>
        <w:t>NICSP</w:t>
      </w:r>
      <w:r>
        <w:rPr>
          <w:spacing w:val="-4"/>
          <w:sz w:val="22"/>
        </w:rPr>
        <w:t> </w:t>
      </w:r>
      <w:r>
        <w:rPr>
          <w:sz w:val="22"/>
        </w:rPr>
        <w:t>1</w:t>
      </w:r>
      <w:r>
        <w:rPr>
          <w:spacing w:val="-4"/>
          <w:sz w:val="22"/>
        </w:rPr>
        <w:t> </w:t>
      </w:r>
      <w:r>
        <w:rPr>
          <w:sz w:val="22"/>
        </w:rPr>
        <w:t>Presentación</w:t>
      </w:r>
      <w:r>
        <w:rPr>
          <w:spacing w:val="-4"/>
          <w:sz w:val="22"/>
        </w:rPr>
        <w:t> </w:t>
      </w:r>
      <w:r>
        <w:rPr>
          <w:sz w:val="22"/>
        </w:rPr>
        <w:t>Estados</w:t>
      </w:r>
      <w:r>
        <w:rPr>
          <w:spacing w:val="-2"/>
          <w:sz w:val="22"/>
        </w:rPr>
        <w:t> Financieros</w:t>
      </w:r>
    </w:p>
    <w:p>
      <w:pPr>
        <w:pStyle w:val="ListParagraph"/>
        <w:numPr>
          <w:ilvl w:val="0"/>
          <w:numId w:val="9"/>
        </w:numPr>
        <w:tabs>
          <w:tab w:pos="2161" w:val="left" w:leader="none"/>
        </w:tabs>
        <w:spacing w:line="240" w:lineRule="auto" w:before="38" w:after="0"/>
        <w:ind w:left="2161" w:right="0" w:hanging="359"/>
        <w:jc w:val="both"/>
        <w:rPr>
          <w:sz w:val="22"/>
        </w:rPr>
      </w:pPr>
      <w:r>
        <w:rPr>
          <w:sz w:val="22"/>
        </w:rPr>
        <w:t>NICSP</w:t>
      </w:r>
      <w:r>
        <w:rPr>
          <w:spacing w:val="-3"/>
          <w:sz w:val="22"/>
        </w:rPr>
        <w:t> </w:t>
      </w:r>
      <w:r>
        <w:rPr>
          <w:sz w:val="22"/>
        </w:rPr>
        <w:t>2</w:t>
      </w:r>
      <w:r>
        <w:rPr>
          <w:spacing w:val="-4"/>
          <w:sz w:val="22"/>
        </w:rPr>
        <w:t> </w:t>
      </w:r>
      <w:r>
        <w:rPr>
          <w:sz w:val="22"/>
        </w:rPr>
        <w:t>Estado</w:t>
      </w:r>
      <w:r>
        <w:rPr>
          <w:spacing w:val="-3"/>
          <w:sz w:val="22"/>
        </w:rPr>
        <w:t> </w:t>
      </w:r>
      <w:r>
        <w:rPr>
          <w:sz w:val="22"/>
        </w:rPr>
        <w:t>Flujo</w:t>
      </w:r>
      <w:r>
        <w:rPr>
          <w:spacing w:val="-3"/>
          <w:sz w:val="22"/>
        </w:rPr>
        <w:t> </w:t>
      </w:r>
      <w:r>
        <w:rPr>
          <w:sz w:val="22"/>
        </w:rPr>
        <w:t>de</w:t>
      </w:r>
      <w:r>
        <w:rPr>
          <w:spacing w:val="-1"/>
          <w:sz w:val="22"/>
        </w:rPr>
        <w:t> </w:t>
      </w:r>
      <w:r>
        <w:rPr>
          <w:spacing w:val="-2"/>
          <w:sz w:val="22"/>
        </w:rPr>
        <w:t>Efectivo</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5"/>
          <w:sz w:val="20"/>
        </w:rPr>
        <w:t>13</w:t>
      </w:r>
    </w:p>
    <w:p>
      <w:pPr>
        <w:pStyle w:val="BodyText"/>
      </w:pPr>
      <w:r>
        <w:rPr/>
        <w:br w:type="column"/>
      </w:r>
      <w:r>
        <w:rPr/>
      </w:r>
    </w:p>
    <w:p>
      <w:pPr>
        <w:pStyle w:val="BodyText"/>
        <w:spacing w:before="14"/>
      </w:pPr>
    </w:p>
    <w:p>
      <w:pPr>
        <w:pStyle w:val="ListParagraph"/>
        <w:numPr>
          <w:ilvl w:val="0"/>
          <w:numId w:val="10"/>
        </w:numPr>
        <w:tabs>
          <w:tab w:pos="923" w:val="left" w:leader="none"/>
        </w:tabs>
        <w:spacing w:line="240" w:lineRule="auto" w:before="0" w:after="0"/>
        <w:ind w:left="923" w:right="0" w:hanging="359"/>
        <w:jc w:val="left"/>
        <w:rPr>
          <w:sz w:val="22"/>
        </w:rPr>
      </w:pPr>
      <w:r>
        <w:rPr>
          <w:sz w:val="22"/>
        </w:rPr>
        <w:t>NICSP</w:t>
      </w:r>
      <w:r>
        <w:rPr>
          <w:spacing w:val="-7"/>
          <w:sz w:val="22"/>
        </w:rPr>
        <w:t> </w:t>
      </w:r>
      <w:r>
        <w:rPr>
          <w:sz w:val="22"/>
        </w:rPr>
        <w:t>3</w:t>
      </w:r>
      <w:r>
        <w:rPr>
          <w:spacing w:val="-6"/>
          <w:sz w:val="22"/>
        </w:rPr>
        <w:t> </w:t>
      </w:r>
      <w:r>
        <w:rPr>
          <w:sz w:val="22"/>
        </w:rPr>
        <w:t>Políticas</w:t>
      </w:r>
      <w:r>
        <w:rPr>
          <w:spacing w:val="-4"/>
          <w:sz w:val="22"/>
        </w:rPr>
        <w:t> </w:t>
      </w:r>
      <w:r>
        <w:rPr>
          <w:sz w:val="22"/>
        </w:rPr>
        <w:t>Contables,</w:t>
      </w:r>
      <w:r>
        <w:rPr>
          <w:spacing w:val="-4"/>
          <w:sz w:val="22"/>
        </w:rPr>
        <w:t> </w:t>
      </w:r>
      <w:r>
        <w:rPr>
          <w:sz w:val="22"/>
        </w:rPr>
        <w:t>cambios</w:t>
      </w:r>
      <w:r>
        <w:rPr>
          <w:spacing w:val="-7"/>
          <w:sz w:val="22"/>
        </w:rPr>
        <w:t> </w:t>
      </w:r>
      <w:r>
        <w:rPr>
          <w:sz w:val="22"/>
        </w:rPr>
        <w:t>en</w:t>
      </w:r>
      <w:r>
        <w:rPr>
          <w:spacing w:val="-5"/>
          <w:sz w:val="22"/>
        </w:rPr>
        <w:t> </w:t>
      </w:r>
      <w:r>
        <w:rPr>
          <w:sz w:val="22"/>
        </w:rPr>
        <w:t>las</w:t>
      </w:r>
      <w:r>
        <w:rPr>
          <w:spacing w:val="-3"/>
          <w:sz w:val="22"/>
        </w:rPr>
        <w:t> </w:t>
      </w:r>
      <w:r>
        <w:rPr>
          <w:sz w:val="22"/>
        </w:rPr>
        <w:t>estimaciones</w:t>
      </w:r>
      <w:r>
        <w:rPr>
          <w:spacing w:val="-4"/>
          <w:sz w:val="22"/>
        </w:rPr>
        <w:t> </w:t>
      </w:r>
      <w:r>
        <w:rPr>
          <w:sz w:val="22"/>
        </w:rPr>
        <w:t>y</w:t>
      </w:r>
      <w:r>
        <w:rPr>
          <w:spacing w:val="-8"/>
          <w:sz w:val="22"/>
        </w:rPr>
        <w:t> </w:t>
      </w:r>
      <w:r>
        <w:rPr>
          <w:spacing w:val="-2"/>
          <w:sz w:val="22"/>
        </w:rPr>
        <w:t>errores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4</w:t>
      </w:r>
      <w:r>
        <w:rPr>
          <w:spacing w:val="-4"/>
          <w:sz w:val="22"/>
        </w:rPr>
        <w:t> </w:t>
      </w:r>
      <w:r>
        <w:rPr>
          <w:sz w:val="22"/>
        </w:rPr>
        <w:t>Efectos</w:t>
      </w:r>
      <w:r>
        <w:rPr>
          <w:spacing w:val="-2"/>
          <w:sz w:val="22"/>
        </w:rPr>
        <w:t> </w:t>
      </w:r>
      <w:r>
        <w:rPr>
          <w:sz w:val="22"/>
        </w:rPr>
        <w:t>de</w:t>
      </w:r>
      <w:r>
        <w:rPr>
          <w:spacing w:val="-2"/>
          <w:sz w:val="22"/>
        </w:rPr>
        <w:t> </w:t>
      </w:r>
      <w:r>
        <w:rPr>
          <w:sz w:val="22"/>
        </w:rPr>
        <w:t>las</w:t>
      </w:r>
      <w:r>
        <w:rPr>
          <w:spacing w:val="-3"/>
          <w:sz w:val="22"/>
        </w:rPr>
        <w:t> </w:t>
      </w:r>
      <w:r>
        <w:rPr>
          <w:sz w:val="22"/>
        </w:rPr>
        <w:t>variaciones</w:t>
      </w:r>
      <w:r>
        <w:rPr>
          <w:spacing w:val="-2"/>
          <w:sz w:val="22"/>
        </w:rPr>
        <w:t> </w:t>
      </w:r>
      <w:r>
        <w:rPr>
          <w:sz w:val="22"/>
        </w:rPr>
        <w:t>en</w:t>
      </w:r>
      <w:r>
        <w:rPr>
          <w:spacing w:val="-3"/>
          <w:sz w:val="22"/>
        </w:rPr>
        <w:t> </w:t>
      </w:r>
      <w:r>
        <w:rPr>
          <w:sz w:val="22"/>
        </w:rPr>
        <w:t>las</w:t>
      </w:r>
      <w:r>
        <w:rPr>
          <w:spacing w:val="-2"/>
          <w:sz w:val="22"/>
        </w:rPr>
        <w:t> </w:t>
      </w:r>
      <w:r>
        <w:rPr>
          <w:sz w:val="22"/>
        </w:rPr>
        <w:t>tasas</w:t>
      </w:r>
      <w:r>
        <w:rPr>
          <w:spacing w:val="-3"/>
          <w:sz w:val="22"/>
        </w:rPr>
        <w:t> </w:t>
      </w:r>
      <w:r>
        <w:rPr>
          <w:sz w:val="22"/>
        </w:rPr>
        <w:t>de</w:t>
      </w:r>
      <w:r>
        <w:rPr>
          <w:spacing w:val="-2"/>
          <w:sz w:val="22"/>
        </w:rPr>
        <w:t> </w:t>
      </w:r>
      <w:r>
        <w:rPr>
          <w:sz w:val="22"/>
        </w:rPr>
        <w:t>cambio</w:t>
      </w:r>
      <w:r>
        <w:rPr>
          <w:spacing w:val="-3"/>
          <w:sz w:val="22"/>
        </w:rPr>
        <w:t> </w:t>
      </w:r>
      <w:r>
        <w:rPr>
          <w:sz w:val="22"/>
        </w:rPr>
        <w:t>de</w:t>
      </w:r>
      <w:r>
        <w:rPr>
          <w:spacing w:val="-4"/>
          <w:sz w:val="22"/>
        </w:rPr>
        <w:t> </w:t>
      </w:r>
      <w:r>
        <w:rPr>
          <w:sz w:val="22"/>
        </w:rPr>
        <w:t>la</w:t>
      </w:r>
      <w:r>
        <w:rPr>
          <w:spacing w:val="-6"/>
          <w:sz w:val="22"/>
        </w:rPr>
        <w:t> </w:t>
      </w:r>
      <w:r>
        <w:rPr>
          <w:spacing w:val="-2"/>
          <w:sz w:val="22"/>
        </w:rPr>
        <w:t>moneda</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9</w:t>
      </w:r>
      <w:r>
        <w:rPr>
          <w:spacing w:val="-4"/>
          <w:sz w:val="22"/>
        </w:rPr>
        <w:t> </w:t>
      </w:r>
      <w:r>
        <w:rPr>
          <w:sz w:val="22"/>
        </w:rPr>
        <w:t>Ingresos</w:t>
      </w:r>
      <w:r>
        <w:rPr>
          <w:spacing w:val="-2"/>
          <w:sz w:val="22"/>
        </w:rPr>
        <w:t> </w:t>
      </w:r>
      <w:r>
        <w:rPr>
          <w:sz w:val="22"/>
        </w:rPr>
        <w:t>de</w:t>
      </w:r>
      <w:r>
        <w:rPr>
          <w:spacing w:val="-3"/>
          <w:sz w:val="22"/>
        </w:rPr>
        <w:t> </w:t>
      </w:r>
      <w:r>
        <w:rPr>
          <w:sz w:val="22"/>
        </w:rPr>
        <w:t>transacciones</w:t>
      </w:r>
      <w:r>
        <w:rPr>
          <w:spacing w:val="-2"/>
          <w:sz w:val="22"/>
        </w:rPr>
        <w:t> </w:t>
      </w:r>
      <w:r>
        <w:rPr>
          <w:sz w:val="22"/>
        </w:rPr>
        <w:t>con</w:t>
      </w:r>
      <w:r>
        <w:rPr>
          <w:spacing w:val="-3"/>
          <w:sz w:val="22"/>
        </w:rPr>
        <w:t> </w:t>
      </w:r>
      <w:r>
        <w:rPr>
          <w:spacing w:val="-2"/>
          <w:sz w:val="22"/>
        </w:rPr>
        <w:t>contraprestación</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11</w:t>
      </w:r>
      <w:r>
        <w:rPr>
          <w:spacing w:val="-5"/>
          <w:sz w:val="22"/>
        </w:rPr>
        <w:t> </w:t>
      </w:r>
      <w:r>
        <w:rPr>
          <w:sz w:val="22"/>
        </w:rPr>
        <w:t>Contratos</w:t>
      </w:r>
      <w:r>
        <w:rPr>
          <w:spacing w:val="-2"/>
          <w:sz w:val="22"/>
        </w:rPr>
        <w:t> </w:t>
      </w:r>
      <w:r>
        <w:rPr>
          <w:sz w:val="22"/>
        </w:rPr>
        <w:t>de</w:t>
      </w:r>
      <w:r>
        <w:rPr>
          <w:spacing w:val="-2"/>
          <w:sz w:val="22"/>
        </w:rPr>
        <w:t> construcción</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12</w:t>
      </w:r>
      <w:r>
        <w:rPr>
          <w:spacing w:val="-2"/>
          <w:sz w:val="22"/>
        </w:rPr>
        <w:t> Inventarios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2"/>
          <w:sz w:val="22"/>
        </w:rPr>
        <w:t> </w:t>
      </w:r>
      <w:r>
        <w:rPr>
          <w:sz w:val="22"/>
        </w:rPr>
        <w:t>13</w:t>
      </w:r>
      <w:r>
        <w:rPr>
          <w:spacing w:val="-2"/>
          <w:sz w:val="22"/>
        </w:rPr>
        <w:t> Arrendamientos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3"/>
          <w:sz w:val="22"/>
        </w:rPr>
        <w:t> </w:t>
      </w:r>
      <w:r>
        <w:rPr>
          <w:sz w:val="22"/>
        </w:rPr>
        <w:t>14</w:t>
      </w:r>
      <w:r>
        <w:rPr>
          <w:spacing w:val="-3"/>
          <w:sz w:val="22"/>
        </w:rPr>
        <w:t> </w:t>
      </w:r>
      <w:r>
        <w:rPr>
          <w:sz w:val="22"/>
        </w:rPr>
        <w:t>Hechos</w:t>
      </w:r>
      <w:r>
        <w:rPr>
          <w:spacing w:val="-5"/>
          <w:sz w:val="22"/>
        </w:rPr>
        <w:t> </w:t>
      </w:r>
      <w:r>
        <w:rPr>
          <w:sz w:val="22"/>
        </w:rPr>
        <w:t>ocurridos</w:t>
      </w:r>
      <w:r>
        <w:rPr>
          <w:spacing w:val="-2"/>
          <w:sz w:val="22"/>
        </w:rPr>
        <w:t> </w:t>
      </w:r>
      <w:r>
        <w:rPr>
          <w:sz w:val="22"/>
        </w:rPr>
        <w:t>después</w:t>
      </w:r>
      <w:r>
        <w:rPr>
          <w:spacing w:val="-2"/>
          <w:sz w:val="22"/>
        </w:rPr>
        <w:t> </w:t>
      </w:r>
      <w:r>
        <w:rPr>
          <w:sz w:val="22"/>
        </w:rPr>
        <w:t>de</w:t>
      </w:r>
      <w:r>
        <w:rPr>
          <w:spacing w:val="-2"/>
          <w:sz w:val="22"/>
        </w:rPr>
        <w:t> </w:t>
      </w:r>
      <w:r>
        <w:rPr>
          <w:sz w:val="22"/>
        </w:rPr>
        <w:t>la</w:t>
      </w:r>
      <w:r>
        <w:rPr>
          <w:spacing w:val="-5"/>
          <w:sz w:val="22"/>
        </w:rPr>
        <w:t> </w:t>
      </w:r>
      <w:r>
        <w:rPr>
          <w:sz w:val="22"/>
        </w:rPr>
        <w:t>fecha</w:t>
      </w:r>
      <w:r>
        <w:rPr>
          <w:spacing w:val="-4"/>
          <w:sz w:val="22"/>
        </w:rPr>
        <w:t> </w:t>
      </w:r>
      <w:r>
        <w:rPr>
          <w:sz w:val="22"/>
        </w:rPr>
        <w:t>de</w:t>
      </w:r>
      <w:r>
        <w:rPr>
          <w:spacing w:val="-2"/>
          <w:sz w:val="22"/>
        </w:rPr>
        <w:t> presentación</w:t>
      </w:r>
    </w:p>
    <w:p>
      <w:pPr>
        <w:pStyle w:val="ListParagraph"/>
        <w:numPr>
          <w:ilvl w:val="0"/>
          <w:numId w:val="10"/>
        </w:numPr>
        <w:tabs>
          <w:tab w:pos="923" w:val="left" w:leader="none"/>
        </w:tabs>
        <w:spacing w:line="240" w:lineRule="auto" w:before="36" w:after="0"/>
        <w:ind w:left="923" w:right="0" w:hanging="359"/>
        <w:jc w:val="left"/>
        <w:rPr>
          <w:sz w:val="22"/>
        </w:rPr>
      </w:pPr>
      <w:r>
        <w:rPr>
          <w:sz w:val="22"/>
        </w:rPr>
        <w:t>NICSP</w:t>
      </w:r>
      <w:r>
        <w:rPr>
          <w:spacing w:val="-5"/>
          <w:sz w:val="22"/>
        </w:rPr>
        <w:t> </w:t>
      </w:r>
      <w:r>
        <w:rPr>
          <w:sz w:val="22"/>
        </w:rPr>
        <w:t>17</w:t>
      </w:r>
      <w:r>
        <w:rPr>
          <w:spacing w:val="-4"/>
          <w:sz w:val="22"/>
        </w:rPr>
        <w:t> </w:t>
      </w:r>
      <w:r>
        <w:rPr>
          <w:sz w:val="22"/>
        </w:rPr>
        <w:t>Propiedad,</w:t>
      </w:r>
      <w:r>
        <w:rPr>
          <w:spacing w:val="-4"/>
          <w:sz w:val="22"/>
        </w:rPr>
        <w:t> </w:t>
      </w:r>
      <w:r>
        <w:rPr>
          <w:sz w:val="22"/>
        </w:rPr>
        <w:t>planta</w:t>
      </w:r>
      <w:r>
        <w:rPr>
          <w:spacing w:val="-5"/>
          <w:sz w:val="22"/>
        </w:rPr>
        <w:t> </w:t>
      </w:r>
      <w:r>
        <w:rPr>
          <w:sz w:val="22"/>
        </w:rPr>
        <w:t>y</w:t>
      </w:r>
      <w:r>
        <w:rPr>
          <w:spacing w:val="-4"/>
          <w:sz w:val="22"/>
        </w:rPr>
        <w:t> </w:t>
      </w:r>
      <w:r>
        <w:rPr>
          <w:spacing w:val="-2"/>
          <w:sz w:val="22"/>
        </w:rPr>
        <w:t>equipo</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5"/>
          <w:sz w:val="22"/>
        </w:rPr>
        <w:t> </w:t>
      </w:r>
      <w:r>
        <w:rPr>
          <w:sz w:val="22"/>
        </w:rPr>
        <w:t>18</w:t>
      </w:r>
      <w:r>
        <w:rPr>
          <w:spacing w:val="-4"/>
          <w:sz w:val="22"/>
        </w:rPr>
        <w:t> </w:t>
      </w:r>
      <w:r>
        <w:rPr>
          <w:sz w:val="22"/>
        </w:rPr>
        <w:t>Información</w:t>
      </w:r>
      <w:r>
        <w:rPr>
          <w:spacing w:val="-6"/>
          <w:sz w:val="22"/>
        </w:rPr>
        <w:t> </w:t>
      </w:r>
      <w:r>
        <w:rPr>
          <w:sz w:val="22"/>
        </w:rPr>
        <w:t>financiera</w:t>
      </w:r>
      <w:r>
        <w:rPr>
          <w:spacing w:val="-5"/>
          <w:sz w:val="22"/>
        </w:rPr>
        <w:t> </w:t>
      </w:r>
      <w:r>
        <w:rPr>
          <w:sz w:val="22"/>
        </w:rPr>
        <w:t>por</w:t>
      </w:r>
      <w:r>
        <w:rPr>
          <w:spacing w:val="-5"/>
          <w:sz w:val="22"/>
        </w:rPr>
        <w:t> </w:t>
      </w:r>
      <w:r>
        <w:rPr>
          <w:spacing w:val="-2"/>
          <w:sz w:val="22"/>
        </w:rPr>
        <w:t>segmentos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7"/>
          <w:sz w:val="22"/>
        </w:rPr>
        <w:t> </w:t>
      </w:r>
      <w:r>
        <w:rPr>
          <w:sz w:val="22"/>
        </w:rPr>
        <w:t>19</w:t>
      </w:r>
      <w:r>
        <w:rPr>
          <w:spacing w:val="-5"/>
          <w:sz w:val="22"/>
        </w:rPr>
        <w:t> </w:t>
      </w:r>
      <w:r>
        <w:rPr>
          <w:sz w:val="22"/>
        </w:rPr>
        <w:t>Provisiones</w:t>
      </w:r>
      <w:r>
        <w:rPr>
          <w:spacing w:val="-4"/>
          <w:sz w:val="22"/>
        </w:rPr>
        <w:t> </w:t>
      </w:r>
      <w:r>
        <w:rPr>
          <w:sz w:val="22"/>
        </w:rPr>
        <w:t>pasivos</w:t>
      </w:r>
      <w:r>
        <w:rPr>
          <w:spacing w:val="-5"/>
          <w:sz w:val="22"/>
        </w:rPr>
        <w:t> </w:t>
      </w:r>
      <w:r>
        <w:rPr>
          <w:sz w:val="22"/>
        </w:rPr>
        <w:t>contingentes</w:t>
      </w:r>
      <w:r>
        <w:rPr>
          <w:spacing w:val="-4"/>
          <w:sz w:val="22"/>
        </w:rPr>
        <w:t> </w:t>
      </w:r>
      <w:r>
        <w:rPr>
          <w:sz w:val="22"/>
        </w:rPr>
        <w:t>y</w:t>
      </w:r>
      <w:r>
        <w:rPr>
          <w:spacing w:val="-5"/>
          <w:sz w:val="22"/>
        </w:rPr>
        <w:t> </w:t>
      </w:r>
      <w:r>
        <w:rPr>
          <w:sz w:val="22"/>
        </w:rPr>
        <w:t>activos</w:t>
      </w:r>
      <w:r>
        <w:rPr>
          <w:spacing w:val="-4"/>
          <w:sz w:val="22"/>
        </w:rPr>
        <w:t> </w:t>
      </w:r>
      <w:r>
        <w:rPr>
          <w:spacing w:val="-2"/>
          <w:sz w:val="22"/>
        </w:rPr>
        <w:t>contingentes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20</w:t>
      </w:r>
      <w:r>
        <w:rPr>
          <w:spacing w:val="-3"/>
          <w:sz w:val="22"/>
        </w:rPr>
        <w:t> </w:t>
      </w:r>
      <w:r>
        <w:rPr>
          <w:sz w:val="22"/>
        </w:rPr>
        <w:t>Información</w:t>
      </w:r>
      <w:r>
        <w:rPr>
          <w:spacing w:val="-4"/>
          <w:sz w:val="22"/>
        </w:rPr>
        <w:t> </w:t>
      </w:r>
      <w:r>
        <w:rPr>
          <w:sz w:val="22"/>
        </w:rPr>
        <w:t>a</w:t>
      </w:r>
      <w:r>
        <w:rPr>
          <w:spacing w:val="-6"/>
          <w:sz w:val="22"/>
        </w:rPr>
        <w:t> </w:t>
      </w:r>
      <w:r>
        <w:rPr>
          <w:sz w:val="22"/>
        </w:rPr>
        <w:t>revelar</w:t>
      </w:r>
      <w:r>
        <w:rPr>
          <w:spacing w:val="-4"/>
          <w:sz w:val="22"/>
        </w:rPr>
        <w:t> </w:t>
      </w:r>
      <w:r>
        <w:rPr>
          <w:sz w:val="22"/>
        </w:rPr>
        <w:t>de</w:t>
      </w:r>
      <w:r>
        <w:rPr>
          <w:spacing w:val="-3"/>
          <w:sz w:val="22"/>
        </w:rPr>
        <w:t> </w:t>
      </w:r>
      <w:r>
        <w:rPr>
          <w:sz w:val="22"/>
        </w:rPr>
        <w:t>partes</w:t>
      </w:r>
      <w:r>
        <w:rPr>
          <w:spacing w:val="-2"/>
          <w:sz w:val="22"/>
        </w:rPr>
        <w:t> relacionadas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6"/>
          <w:sz w:val="22"/>
        </w:rPr>
        <w:t> </w:t>
      </w:r>
      <w:r>
        <w:rPr>
          <w:sz w:val="22"/>
        </w:rPr>
        <w:t>21</w:t>
      </w:r>
      <w:r>
        <w:rPr>
          <w:spacing w:val="-4"/>
          <w:sz w:val="22"/>
        </w:rPr>
        <w:t> </w:t>
      </w:r>
      <w:r>
        <w:rPr>
          <w:sz w:val="22"/>
        </w:rPr>
        <w:t>Deterioro</w:t>
      </w:r>
      <w:r>
        <w:rPr>
          <w:spacing w:val="-4"/>
          <w:sz w:val="22"/>
        </w:rPr>
        <w:t> </w:t>
      </w:r>
      <w:r>
        <w:rPr>
          <w:sz w:val="22"/>
        </w:rPr>
        <w:t>de</w:t>
      </w:r>
      <w:r>
        <w:rPr>
          <w:spacing w:val="-3"/>
          <w:sz w:val="22"/>
        </w:rPr>
        <w:t> </w:t>
      </w:r>
      <w:r>
        <w:rPr>
          <w:sz w:val="22"/>
        </w:rPr>
        <w:t>valor</w:t>
      </w:r>
      <w:r>
        <w:rPr>
          <w:spacing w:val="-4"/>
          <w:sz w:val="22"/>
        </w:rPr>
        <w:t> </w:t>
      </w:r>
      <w:r>
        <w:rPr>
          <w:sz w:val="22"/>
        </w:rPr>
        <w:t>de</w:t>
      </w:r>
      <w:r>
        <w:rPr>
          <w:spacing w:val="-4"/>
          <w:sz w:val="22"/>
        </w:rPr>
        <w:t> </w:t>
      </w:r>
      <w:r>
        <w:rPr>
          <w:sz w:val="22"/>
        </w:rPr>
        <w:t>activos</w:t>
      </w:r>
      <w:r>
        <w:rPr>
          <w:spacing w:val="-5"/>
          <w:sz w:val="22"/>
        </w:rPr>
        <w:t> </w:t>
      </w:r>
      <w:r>
        <w:rPr>
          <w:sz w:val="22"/>
        </w:rPr>
        <w:t>no</w:t>
      </w:r>
      <w:r>
        <w:rPr>
          <w:spacing w:val="-6"/>
          <w:sz w:val="22"/>
        </w:rPr>
        <w:t> </w:t>
      </w:r>
      <w:r>
        <w:rPr>
          <w:sz w:val="22"/>
        </w:rPr>
        <w:t>generadores</w:t>
      </w:r>
      <w:r>
        <w:rPr>
          <w:spacing w:val="-3"/>
          <w:sz w:val="22"/>
        </w:rPr>
        <w:t> </w:t>
      </w:r>
      <w:r>
        <w:rPr>
          <w:sz w:val="22"/>
        </w:rPr>
        <w:t>de</w:t>
      </w:r>
      <w:r>
        <w:rPr>
          <w:spacing w:val="-5"/>
          <w:sz w:val="22"/>
        </w:rPr>
        <w:t> </w:t>
      </w:r>
      <w:r>
        <w:rPr>
          <w:spacing w:val="-2"/>
          <w:sz w:val="22"/>
        </w:rPr>
        <w:t>efectivo</w:t>
      </w:r>
    </w:p>
    <w:p>
      <w:pPr>
        <w:pStyle w:val="ListParagraph"/>
        <w:numPr>
          <w:ilvl w:val="0"/>
          <w:numId w:val="10"/>
        </w:numPr>
        <w:tabs>
          <w:tab w:pos="924" w:val="left" w:leader="none"/>
        </w:tabs>
        <w:spacing w:line="276" w:lineRule="auto" w:before="38" w:after="0"/>
        <w:ind w:left="924" w:right="1093" w:hanging="360"/>
        <w:jc w:val="left"/>
        <w:rPr>
          <w:sz w:val="22"/>
        </w:rPr>
      </w:pPr>
      <w:r>
        <w:rPr>
          <w:sz w:val="22"/>
        </w:rPr>
        <w:t>NICSP 23 Ingresos ordinarios provenientes de transacciones sin contraprestación (impuestos y transferencias)</w:t>
      </w:r>
    </w:p>
    <w:p>
      <w:pPr>
        <w:pStyle w:val="ListParagraph"/>
        <w:numPr>
          <w:ilvl w:val="0"/>
          <w:numId w:val="10"/>
        </w:numPr>
        <w:tabs>
          <w:tab w:pos="923" w:val="left" w:leader="none"/>
        </w:tabs>
        <w:spacing w:line="255" w:lineRule="exact" w:before="0" w:after="0"/>
        <w:ind w:left="923" w:right="0" w:hanging="359"/>
        <w:jc w:val="left"/>
        <w:rPr>
          <w:sz w:val="22"/>
        </w:rPr>
      </w:pPr>
      <w:r>
        <w:rPr>
          <w:sz w:val="22"/>
        </w:rPr>
        <w:t>NICSP</w:t>
      </w:r>
      <w:r>
        <w:rPr>
          <w:spacing w:val="-7"/>
          <w:sz w:val="22"/>
        </w:rPr>
        <w:t> </w:t>
      </w:r>
      <w:r>
        <w:rPr>
          <w:sz w:val="22"/>
        </w:rPr>
        <w:t>24</w:t>
      </w:r>
      <w:r>
        <w:rPr>
          <w:spacing w:val="-5"/>
          <w:sz w:val="22"/>
        </w:rPr>
        <w:t> </w:t>
      </w:r>
      <w:r>
        <w:rPr>
          <w:sz w:val="22"/>
        </w:rPr>
        <w:t>Presentación</w:t>
      </w:r>
      <w:r>
        <w:rPr>
          <w:spacing w:val="-4"/>
          <w:sz w:val="22"/>
        </w:rPr>
        <w:t> </w:t>
      </w:r>
      <w:r>
        <w:rPr>
          <w:sz w:val="22"/>
        </w:rPr>
        <w:t>de</w:t>
      </w:r>
      <w:r>
        <w:rPr>
          <w:spacing w:val="-4"/>
          <w:sz w:val="22"/>
        </w:rPr>
        <w:t> </w:t>
      </w:r>
      <w:r>
        <w:rPr>
          <w:sz w:val="22"/>
        </w:rPr>
        <w:t>información</w:t>
      </w:r>
      <w:r>
        <w:rPr>
          <w:spacing w:val="-4"/>
          <w:sz w:val="22"/>
        </w:rPr>
        <w:t> </w:t>
      </w:r>
      <w:r>
        <w:rPr>
          <w:sz w:val="22"/>
        </w:rPr>
        <w:t>del</w:t>
      </w:r>
      <w:r>
        <w:rPr>
          <w:spacing w:val="-5"/>
          <w:sz w:val="22"/>
        </w:rPr>
        <w:t> </w:t>
      </w:r>
      <w:r>
        <w:rPr>
          <w:sz w:val="22"/>
        </w:rPr>
        <w:t>presupuesto</w:t>
      </w:r>
      <w:r>
        <w:rPr>
          <w:spacing w:val="-6"/>
          <w:sz w:val="22"/>
        </w:rPr>
        <w:t> </w:t>
      </w:r>
      <w:r>
        <w:rPr>
          <w:sz w:val="22"/>
        </w:rPr>
        <w:t>en</w:t>
      </w:r>
      <w:r>
        <w:rPr>
          <w:spacing w:val="-5"/>
          <w:sz w:val="22"/>
        </w:rPr>
        <w:t> </w:t>
      </w:r>
      <w:r>
        <w:rPr>
          <w:sz w:val="22"/>
        </w:rPr>
        <w:t>los</w:t>
      </w:r>
      <w:r>
        <w:rPr>
          <w:spacing w:val="-6"/>
          <w:sz w:val="22"/>
        </w:rPr>
        <w:t> </w:t>
      </w:r>
      <w:r>
        <w:rPr>
          <w:sz w:val="22"/>
        </w:rPr>
        <w:t>estados</w:t>
      </w:r>
      <w:r>
        <w:rPr>
          <w:spacing w:val="-3"/>
          <w:sz w:val="22"/>
        </w:rPr>
        <w:t> </w:t>
      </w:r>
      <w:r>
        <w:rPr>
          <w:spacing w:val="-2"/>
          <w:sz w:val="22"/>
        </w:rPr>
        <w:t>financieros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26</w:t>
      </w:r>
      <w:r>
        <w:rPr>
          <w:spacing w:val="-4"/>
          <w:sz w:val="22"/>
        </w:rPr>
        <w:t> </w:t>
      </w:r>
      <w:r>
        <w:rPr>
          <w:sz w:val="22"/>
        </w:rPr>
        <w:t>Deterioro</w:t>
      </w:r>
      <w:r>
        <w:rPr>
          <w:spacing w:val="-4"/>
          <w:sz w:val="22"/>
        </w:rPr>
        <w:t> </w:t>
      </w:r>
      <w:r>
        <w:rPr>
          <w:sz w:val="22"/>
        </w:rPr>
        <w:t>del</w:t>
      </w:r>
      <w:r>
        <w:rPr>
          <w:spacing w:val="-4"/>
          <w:sz w:val="22"/>
        </w:rPr>
        <w:t> </w:t>
      </w:r>
      <w:r>
        <w:rPr>
          <w:sz w:val="22"/>
        </w:rPr>
        <w:t>valor</w:t>
      </w:r>
      <w:r>
        <w:rPr>
          <w:spacing w:val="-3"/>
          <w:sz w:val="22"/>
        </w:rPr>
        <w:t> </w:t>
      </w:r>
      <w:r>
        <w:rPr>
          <w:sz w:val="22"/>
        </w:rPr>
        <w:t>de</w:t>
      </w:r>
      <w:r>
        <w:rPr>
          <w:spacing w:val="-4"/>
          <w:sz w:val="22"/>
        </w:rPr>
        <w:t> </w:t>
      </w:r>
      <w:r>
        <w:rPr>
          <w:sz w:val="22"/>
        </w:rPr>
        <w:t>activos</w:t>
      </w:r>
      <w:r>
        <w:rPr>
          <w:spacing w:val="-6"/>
          <w:sz w:val="22"/>
        </w:rPr>
        <w:t> </w:t>
      </w:r>
      <w:r>
        <w:rPr>
          <w:sz w:val="22"/>
        </w:rPr>
        <w:t>generadores</w:t>
      </w:r>
      <w:r>
        <w:rPr>
          <w:spacing w:val="-3"/>
          <w:sz w:val="22"/>
        </w:rPr>
        <w:t> </w:t>
      </w:r>
      <w:r>
        <w:rPr>
          <w:sz w:val="22"/>
        </w:rPr>
        <w:t>de</w:t>
      </w:r>
      <w:r>
        <w:rPr>
          <w:spacing w:val="-2"/>
          <w:sz w:val="22"/>
        </w:rPr>
        <w:t> Efectivo</w:t>
      </w:r>
    </w:p>
    <w:p>
      <w:pPr>
        <w:pStyle w:val="ListParagraph"/>
        <w:numPr>
          <w:ilvl w:val="0"/>
          <w:numId w:val="10"/>
        </w:numPr>
        <w:tabs>
          <w:tab w:pos="923" w:val="left" w:leader="none"/>
        </w:tabs>
        <w:spacing w:line="240" w:lineRule="auto" w:before="36" w:after="0"/>
        <w:ind w:left="923" w:right="0" w:hanging="359"/>
        <w:jc w:val="left"/>
        <w:rPr>
          <w:sz w:val="22"/>
        </w:rPr>
      </w:pPr>
      <w:r>
        <w:rPr>
          <w:sz w:val="22"/>
        </w:rPr>
        <w:t>NICSP</w:t>
      </w:r>
      <w:r>
        <w:rPr>
          <w:spacing w:val="-7"/>
          <w:sz w:val="22"/>
        </w:rPr>
        <w:t> </w:t>
      </w:r>
      <w:r>
        <w:rPr>
          <w:sz w:val="22"/>
        </w:rPr>
        <w:t>28</w:t>
      </w:r>
      <w:r>
        <w:rPr>
          <w:spacing w:val="-6"/>
          <w:sz w:val="22"/>
        </w:rPr>
        <w:t> </w:t>
      </w:r>
      <w:r>
        <w:rPr>
          <w:sz w:val="22"/>
        </w:rPr>
        <w:t>Instrumentos</w:t>
      </w:r>
      <w:r>
        <w:rPr>
          <w:spacing w:val="-7"/>
          <w:sz w:val="22"/>
        </w:rPr>
        <w:t> </w:t>
      </w:r>
      <w:r>
        <w:rPr>
          <w:sz w:val="22"/>
        </w:rPr>
        <w:t>Financieros-</w:t>
      </w:r>
      <w:r>
        <w:rPr>
          <w:spacing w:val="-2"/>
          <w:sz w:val="22"/>
        </w:rPr>
        <w:t>Presentación</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7"/>
          <w:sz w:val="22"/>
        </w:rPr>
        <w:t> </w:t>
      </w:r>
      <w:r>
        <w:rPr>
          <w:sz w:val="22"/>
        </w:rPr>
        <w:t>29</w:t>
      </w:r>
      <w:r>
        <w:rPr>
          <w:spacing w:val="-7"/>
          <w:sz w:val="22"/>
        </w:rPr>
        <w:t> </w:t>
      </w:r>
      <w:r>
        <w:rPr>
          <w:sz w:val="22"/>
        </w:rPr>
        <w:t>Instrumentos</w:t>
      </w:r>
      <w:r>
        <w:rPr>
          <w:spacing w:val="-9"/>
          <w:sz w:val="22"/>
        </w:rPr>
        <w:t> </w:t>
      </w:r>
      <w:r>
        <w:rPr>
          <w:sz w:val="22"/>
        </w:rPr>
        <w:t>Financieros-Reconocimiento</w:t>
      </w:r>
      <w:r>
        <w:rPr>
          <w:spacing w:val="-9"/>
          <w:sz w:val="22"/>
        </w:rPr>
        <w:t> </w:t>
      </w:r>
      <w:r>
        <w:rPr>
          <w:sz w:val="22"/>
        </w:rPr>
        <w:t>y</w:t>
      </w:r>
      <w:r>
        <w:rPr>
          <w:spacing w:val="-7"/>
          <w:sz w:val="22"/>
        </w:rPr>
        <w:t> </w:t>
      </w:r>
      <w:r>
        <w:rPr>
          <w:spacing w:val="-2"/>
          <w:sz w:val="22"/>
        </w:rPr>
        <w:t>medición</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6"/>
          <w:sz w:val="22"/>
        </w:rPr>
        <w:t> </w:t>
      </w:r>
      <w:r>
        <w:rPr>
          <w:sz w:val="22"/>
        </w:rPr>
        <w:t>30</w:t>
      </w:r>
      <w:r>
        <w:rPr>
          <w:spacing w:val="-5"/>
          <w:sz w:val="22"/>
        </w:rPr>
        <w:t> </w:t>
      </w:r>
      <w:r>
        <w:rPr>
          <w:sz w:val="22"/>
        </w:rPr>
        <w:t>Instrumentos</w:t>
      </w:r>
      <w:r>
        <w:rPr>
          <w:spacing w:val="-8"/>
          <w:sz w:val="22"/>
        </w:rPr>
        <w:t> </w:t>
      </w:r>
      <w:r>
        <w:rPr>
          <w:sz w:val="22"/>
        </w:rPr>
        <w:t>Financieros-Información</w:t>
      </w:r>
      <w:r>
        <w:rPr>
          <w:spacing w:val="-7"/>
          <w:sz w:val="22"/>
        </w:rPr>
        <w:t> </w:t>
      </w:r>
      <w:r>
        <w:rPr>
          <w:sz w:val="22"/>
        </w:rPr>
        <w:t>a</w:t>
      </w:r>
      <w:r>
        <w:rPr>
          <w:spacing w:val="-6"/>
          <w:sz w:val="22"/>
        </w:rPr>
        <w:t> </w:t>
      </w:r>
      <w:r>
        <w:rPr>
          <w:spacing w:val="-2"/>
          <w:sz w:val="22"/>
        </w:rPr>
        <w:t>revelar</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31</w:t>
      </w:r>
      <w:r>
        <w:rPr>
          <w:spacing w:val="-3"/>
          <w:sz w:val="22"/>
        </w:rPr>
        <w:t> </w:t>
      </w:r>
      <w:r>
        <w:rPr>
          <w:sz w:val="22"/>
        </w:rPr>
        <w:t>Activos</w:t>
      </w:r>
      <w:r>
        <w:rPr>
          <w:spacing w:val="-2"/>
          <w:sz w:val="22"/>
        </w:rPr>
        <w:t> intangibles</w:t>
      </w:r>
    </w:p>
    <w:p>
      <w:pPr>
        <w:pStyle w:val="ListParagraph"/>
        <w:numPr>
          <w:ilvl w:val="0"/>
          <w:numId w:val="10"/>
        </w:numPr>
        <w:tabs>
          <w:tab w:pos="924" w:val="left" w:leader="none"/>
        </w:tabs>
        <w:spacing w:line="278" w:lineRule="auto" w:before="38" w:after="0"/>
        <w:ind w:left="924" w:right="1096" w:hanging="360"/>
        <w:jc w:val="left"/>
        <w:rPr>
          <w:sz w:val="22"/>
        </w:rPr>
      </w:pPr>
      <w:r>
        <w:rPr>
          <w:sz w:val="22"/>
        </w:rPr>
        <w:t>NICSP 33 Adopción por primera vez de las NICSP de base de acumulación ( o</w:t>
      </w:r>
      <w:r>
        <w:rPr>
          <w:spacing w:val="40"/>
          <w:sz w:val="22"/>
        </w:rPr>
        <w:t> </w:t>
      </w:r>
      <w:r>
        <w:rPr>
          <w:spacing w:val="-2"/>
          <w:sz w:val="22"/>
        </w:rPr>
        <w:t>devengo)</w:t>
      </w:r>
    </w:p>
    <w:p>
      <w:pPr>
        <w:pStyle w:val="ListParagraph"/>
        <w:numPr>
          <w:ilvl w:val="0"/>
          <w:numId w:val="10"/>
        </w:numPr>
        <w:tabs>
          <w:tab w:pos="923" w:val="left" w:leader="none"/>
        </w:tabs>
        <w:spacing w:line="250" w:lineRule="exact" w:before="0" w:after="0"/>
        <w:ind w:left="923" w:right="0" w:hanging="359"/>
        <w:jc w:val="left"/>
        <w:rPr>
          <w:sz w:val="22"/>
        </w:rPr>
      </w:pPr>
      <w:r>
        <w:rPr>
          <w:sz w:val="22"/>
        </w:rPr>
        <w:t>NICSP</w:t>
      </w:r>
      <w:r>
        <w:rPr>
          <w:spacing w:val="-5"/>
          <w:sz w:val="22"/>
        </w:rPr>
        <w:t> </w:t>
      </w:r>
      <w:r>
        <w:rPr>
          <w:sz w:val="22"/>
        </w:rPr>
        <w:t>34</w:t>
      </w:r>
      <w:r>
        <w:rPr>
          <w:spacing w:val="-4"/>
          <w:sz w:val="22"/>
        </w:rPr>
        <w:t> </w:t>
      </w:r>
      <w:r>
        <w:rPr>
          <w:sz w:val="22"/>
        </w:rPr>
        <w:t>Estados</w:t>
      </w:r>
      <w:r>
        <w:rPr>
          <w:spacing w:val="-3"/>
          <w:sz w:val="22"/>
        </w:rPr>
        <w:t> </w:t>
      </w:r>
      <w:r>
        <w:rPr>
          <w:sz w:val="22"/>
        </w:rPr>
        <w:t>Financieros</w:t>
      </w:r>
      <w:r>
        <w:rPr>
          <w:spacing w:val="-6"/>
          <w:sz w:val="22"/>
        </w:rPr>
        <w:t> </w:t>
      </w:r>
      <w:r>
        <w:rPr>
          <w:spacing w:val="-2"/>
          <w:sz w:val="22"/>
        </w:rPr>
        <w:t>separados</w:t>
      </w:r>
    </w:p>
    <w:p>
      <w:pPr>
        <w:pStyle w:val="ListParagraph"/>
        <w:numPr>
          <w:ilvl w:val="0"/>
          <w:numId w:val="10"/>
        </w:numPr>
        <w:tabs>
          <w:tab w:pos="923" w:val="left" w:leader="none"/>
        </w:tabs>
        <w:spacing w:line="240" w:lineRule="auto" w:before="38" w:after="0"/>
        <w:ind w:left="923" w:right="0" w:hanging="359"/>
        <w:jc w:val="left"/>
        <w:rPr>
          <w:sz w:val="22"/>
        </w:rPr>
      </w:pPr>
      <w:r>
        <w:rPr>
          <w:sz w:val="22"/>
        </w:rPr>
        <w:t>NICSP</w:t>
      </w:r>
      <w:r>
        <w:rPr>
          <w:spacing w:val="-4"/>
          <w:sz w:val="22"/>
        </w:rPr>
        <w:t> </w:t>
      </w:r>
      <w:r>
        <w:rPr>
          <w:sz w:val="22"/>
        </w:rPr>
        <w:t>39</w:t>
      </w:r>
      <w:r>
        <w:rPr>
          <w:spacing w:val="-4"/>
          <w:sz w:val="22"/>
        </w:rPr>
        <w:t> </w:t>
      </w:r>
      <w:r>
        <w:rPr>
          <w:sz w:val="22"/>
        </w:rPr>
        <w:t>Beneficios</w:t>
      </w:r>
      <w:r>
        <w:rPr>
          <w:spacing w:val="-2"/>
          <w:sz w:val="22"/>
        </w:rPr>
        <w:t> </w:t>
      </w:r>
      <w:r>
        <w:rPr>
          <w:sz w:val="22"/>
        </w:rPr>
        <w:t>para</w:t>
      </w:r>
      <w:r>
        <w:rPr>
          <w:spacing w:val="-6"/>
          <w:sz w:val="22"/>
        </w:rPr>
        <w:t> </w:t>
      </w:r>
      <w:r>
        <w:rPr>
          <w:spacing w:val="-2"/>
          <w:sz w:val="22"/>
        </w:rPr>
        <w:t>empleados</w:t>
      </w:r>
    </w:p>
    <w:p>
      <w:pPr>
        <w:pStyle w:val="ListParagraph"/>
        <w:spacing w:after="0" w:line="240" w:lineRule="auto"/>
        <w:jc w:val="left"/>
        <w:rPr>
          <w:sz w:val="22"/>
        </w:rPr>
        <w:sectPr>
          <w:pgSz w:w="12240" w:h="15840"/>
          <w:pgMar w:top="1720" w:bottom="280" w:left="1080" w:right="720"/>
          <w:cols w:num="2" w:equalWidth="0">
            <w:col w:w="1199" w:space="40"/>
            <w:col w:w="9201"/>
          </w:cols>
        </w:sectPr>
      </w:pPr>
    </w:p>
    <w:p>
      <w:pPr>
        <w:pStyle w:val="BodyText"/>
        <w:spacing w:before="76"/>
      </w:pPr>
      <w:r>
        <w:rPr/>
        <mc:AlternateContent>
          <mc:Choice Requires="wps">
            <w:drawing>
              <wp:anchor distT="0" distB="0" distL="0" distR="0" allowOverlap="1" layoutInCell="1" locked="0" behindDoc="1" simplePos="0" relativeHeight="473533440">
                <wp:simplePos x="0" y="0"/>
                <wp:positionH relativeFrom="page">
                  <wp:posOffset>9525</wp:posOffset>
                </wp:positionH>
                <wp:positionV relativeFrom="page">
                  <wp:posOffset>297208</wp:posOffset>
                </wp:positionV>
                <wp:extent cx="7762875" cy="974852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7762875" cy="9748520"/>
                          <a:chExt cx="7762875" cy="9748520"/>
                        </a:xfrm>
                      </wpg:grpSpPr>
                      <pic:pic>
                        <pic:nvPicPr>
                          <pic:cNvPr id="42" name="Image 42"/>
                          <pic:cNvPicPr/>
                        </pic:nvPicPr>
                        <pic:blipFill>
                          <a:blip r:embed="rId5" cstate="print"/>
                          <a:stretch>
                            <a:fillRect/>
                          </a:stretch>
                        </pic:blipFill>
                        <pic:spPr>
                          <a:xfrm>
                            <a:off x="0" y="0"/>
                            <a:ext cx="7762874" cy="9748489"/>
                          </a:xfrm>
                          <a:prstGeom prst="rect">
                            <a:avLst/>
                          </a:prstGeom>
                        </pic:spPr>
                      </pic:pic>
                      <wps:wsp>
                        <wps:cNvPr id="43" name="Graphic 43"/>
                        <wps:cNvSpPr/>
                        <wps:spPr>
                          <a:xfrm>
                            <a:off x="1053007" y="990837"/>
                            <a:ext cx="5649595" cy="7846695"/>
                          </a:xfrm>
                          <a:custGeom>
                            <a:avLst/>
                            <a:gdLst/>
                            <a:ahLst/>
                            <a:cxnLst/>
                            <a:rect l="l" t="t" r="r" b="b"/>
                            <a:pathLst>
                              <a:path w="5649595" h="7846695">
                                <a:moveTo>
                                  <a:pt x="24384" y="132651"/>
                                </a:moveTo>
                                <a:lnTo>
                                  <a:pt x="18288" y="132651"/>
                                </a:lnTo>
                                <a:lnTo>
                                  <a:pt x="18288" y="7840408"/>
                                </a:lnTo>
                                <a:lnTo>
                                  <a:pt x="24384" y="7840408"/>
                                </a:lnTo>
                                <a:lnTo>
                                  <a:pt x="24384" y="132651"/>
                                </a:lnTo>
                                <a:close/>
                              </a:path>
                              <a:path w="5649595" h="7846695">
                                <a:moveTo>
                                  <a:pt x="5630862" y="7840421"/>
                                </a:moveTo>
                                <a:lnTo>
                                  <a:pt x="5624830" y="7840421"/>
                                </a:lnTo>
                                <a:lnTo>
                                  <a:pt x="24384" y="7840421"/>
                                </a:lnTo>
                                <a:lnTo>
                                  <a:pt x="18288" y="7840421"/>
                                </a:lnTo>
                                <a:lnTo>
                                  <a:pt x="18288" y="7846504"/>
                                </a:lnTo>
                                <a:lnTo>
                                  <a:pt x="24384" y="7846504"/>
                                </a:lnTo>
                                <a:lnTo>
                                  <a:pt x="5624779" y="7846504"/>
                                </a:lnTo>
                                <a:lnTo>
                                  <a:pt x="5630862" y="7846504"/>
                                </a:lnTo>
                                <a:lnTo>
                                  <a:pt x="5630862" y="7840421"/>
                                </a:lnTo>
                                <a:close/>
                              </a:path>
                              <a:path w="5649595" h="7846695">
                                <a:moveTo>
                                  <a:pt x="5630862" y="132651"/>
                                </a:moveTo>
                                <a:lnTo>
                                  <a:pt x="5624779" y="132651"/>
                                </a:lnTo>
                                <a:lnTo>
                                  <a:pt x="5624779" y="7840408"/>
                                </a:lnTo>
                                <a:lnTo>
                                  <a:pt x="5630862" y="7840408"/>
                                </a:lnTo>
                                <a:lnTo>
                                  <a:pt x="5630862" y="132651"/>
                                </a:lnTo>
                                <a:close/>
                              </a:path>
                              <a:path w="5649595" h="7846695">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84669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3040" id="docshapegroup40" coordorigin="15,468" coordsize="12225,15352">
                <v:shape style="position:absolute;left:15;top:468;width:12225;height:15352" type="#_x0000_t75" id="docshape41" stroked="false">
                  <v:imagedata r:id="rId5" o:title=""/>
                </v:shape>
                <v:shape style="position:absolute;left:1673;top:2028;width:8897;height:12357" id="docshape42" coordorigin="1673,2028" coordsize="8897,12357" path="m1712,2237l1702,2237,1702,14376,1712,14376,1712,2237xm10541,14376l10531,14376,10531,14376,1712,14376,1702,14376,1702,14385,1712,14385,10531,14385,10531,14385,10541,14385,10541,14376xm10541,2237l10531,2237,10531,14376,10541,14376,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p>
    <w:p>
      <w:pPr>
        <w:pStyle w:val="BodyText"/>
        <w:spacing w:line="276" w:lineRule="auto"/>
        <w:ind w:left="734" w:right="1090"/>
        <w:jc w:val="both"/>
      </w:pPr>
      <w:r>
        <w:rPr/>
        <w:t>Cualquier aspecto no contemplado de forma expresa en las políticas contables institucionales es atendido</w:t>
      </w:r>
      <w:r>
        <w:rPr>
          <w:spacing w:val="-8"/>
        </w:rPr>
        <w:t> </w:t>
      </w:r>
      <w:r>
        <w:rPr/>
        <w:t>conforme</w:t>
      </w:r>
      <w:r>
        <w:rPr>
          <w:spacing w:val="-9"/>
        </w:rPr>
        <w:t> </w:t>
      </w:r>
      <w:r>
        <w:rPr/>
        <w:t>a</w:t>
      </w:r>
      <w:r>
        <w:rPr>
          <w:spacing w:val="-9"/>
        </w:rPr>
        <w:t> </w:t>
      </w:r>
      <w:r>
        <w:rPr/>
        <w:t>las</w:t>
      </w:r>
      <w:r>
        <w:rPr>
          <w:spacing w:val="-7"/>
        </w:rPr>
        <w:t> </w:t>
      </w:r>
      <w:r>
        <w:rPr/>
        <w:t>disposiciones</w:t>
      </w:r>
      <w:r>
        <w:rPr>
          <w:spacing w:val="-7"/>
        </w:rPr>
        <w:t> </w:t>
      </w:r>
      <w:r>
        <w:rPr/>
        <w:t>específicas</w:t>
      </w:r>
      <w:r>
        <w:rPr>
          <w:spacing w:val="-7"/>
        </w:rPr>
        <w:t> </w:t>
      </w:r>
      <w:r>
        <w:rPr/>
        <w:t>establecidas</w:t>
      </w:r>
      <w:r>
        <w:rPr>
          <w:spacing w:val="-7"/>
        </w:rPr>
        <w:t> </w:t>
      </w:r>
      <w:r>
        <w:rPr/>
        <w:t>en</w:t>
      </w:r>
      <w:r>
        <w:rPr>
          <w:spacing w:val="-8"/>
        </w:rPr>
        <w:t> </w:t>
      </w:r>
      <w:r>
        <w:rPr/>
        <w:t>las</w:t>
      </w:r>
      <w:r>
        <w:rPr>
          <w:spacing w:val="-7"/>
        </w:rPr>
        <w:t> </w:t>
      </w:r>
      <w:r>
        <w:rPr/>
        <w:t>NICSP</w:t>
      </w:r>
      <w:r>
        <w:rPr>
          <w:spacing w:val="-9"/>
        </w:rPr>
        <w:t> </w:t>
      </w:r>
      <w:r>
        <w:rPr/>
        <w:t>vigentes</w:t>
      </w:r>
      <w:r>
        <w:rPr>
          <w:spacing w:val="-7"/>
        </w:rPr>
        <w:t> </w:t>
      </w:r>
      <w:r>
        <w:rPr/>
        <w:t>y</w:t>
      </w:r>
      <w:r>
        <w:rPr>
          <w:spacing w:val="-9"/>
        </w:rPr>
        <w:t> </w:t>
      </w:r>
      <w:r>
        <w:rPr/>
        <w:t>a</w:t>
      </w:r>
      <w:r>
        <w:rPr>
          <w:spacing w:val="-9"/>
        </w:rPr>
        <w:t> </w:t>
      </w:r>
      <w:r>
        <w:rPr/>
        <w:t>los</w:t>
      </w:r>
      <w:r>
        <w:rPr>
          <w:spacing w:val="-7"/>
        </w:rPr>
        <w:t> </w:t>
      </w:r>
      <w:r>
        <w:rPr/>
        <w:t>criterios técnicos</w:t>
      </w:r>
      <w:r>
        <w:rPr>
          <w:spacing w:val="-1"/>
        </w:rPr>
        <w:t> </w:t>
      </w:r>
      <w:r>
        <w:rPr/>
        <w:t>emitidos</w:t>
      </w:r>
      <w:r>
        <w:rPr>
          <w:spacing w:val="-1"/>
        </w:rPr>
        <w:t> </w:t>
      </w:r>
      <w:r>
        <w:rPr/>
        <w:t>por</w:t>
      </w:r>
      <w:r>
        <w:rPr>
          <w:spacing w:val="-2"/>
        </w:rPr>
        <w:t> </w:t>
      </w:r>
      <w:r>
        <w:rPr/>
        <w:t>los</w:t>
      </w:r>
      <w:r>
        <w:rPr>
          <w:spacing w:val="-1"/>
        </w:rPr>
        <w:t> </w:t>
      </w:r>
      <w:r>
        <w:rPr/>
        <w:t>entes</w:t>
      </w:r>
      <w:r>
        <w:rPr>
          <w:spacing w:val="-1"/>
        </w:rPr>
        <w:t> </w:t>
      </w:r>
      <w:r>
        <w:rPr/>
        <w:t>rectores</w:t>
      </w:r>
      <w:r>
        <w:rPr>
          <w:spacing w:val="-1"/>
        </w:rPr>
        <w:t> </w:t>
      </w:r>
      <w:r>
        <w:rPr/>
        <w:t>competentes,</w:t>
      </w:r>
      <w:r>
        <w:rPr>
          <w:spacing w:val="-4"/>
        </w:rPr>
        <w:t> </w:t>
      </w:r>
      <w:r>
        <w:rPr/>
        <w:t>garantizando</w:t>
      </w:r>
      <w:r>
        <w:rPr>
          <w:spacing w:val="-4"/>
        </w:rPr>
        <w:t> </w:t>
      </w:r>
      <w:r>
        <w:rPr/>
        <w:t>la</w:t>
      </w:r>
      <w:r>
        <w:rPr>
          <w:spacing w:val="-3"/>
        </w:rPr>
        <w:t> </w:t>
      </w:r>
      <w:r>
        <w:rPr/>
        <w:t>correcta</w:t>
      </w:r>
      <w:r>
        <w:rPr>
          <w:spacing w:val="-3"/>
        </w:rPr>
        <w:t> </w:t>
      </w:r>
      <w:r>
        <w:rPr/>
        <w:t>aplicación</w:t>
      </w:r>
      <w:r>
        <w:rPr>
          <w:spacing w:val="-2"/>
        </w:rPr>
        <w:t> </w:t>
      </w:r>
      <w:r>
        <w:rPr/>
        <w:t>del</w:t>
      </w:r>
      <w:r>
        <w:rPr>
          <w:spacing w:val="-3"/>
        </w:rPr>
        <w:t> </w:t>
      </w:r>
      <w:r>
        <w:rPr/>
        <w:t>marco contable en todas las operaciones institucionales.</w:t>
      </w:r>
    </w:p>
    <w:p>
      <w:pPr>
        <w:pStyle w:val="BodyText"/>
        <w:spacing w:line="276" w:lineRule="auto" w:before="120"/>
        <w:ind w:left="734" w:right="1090"/>
        <w:jc w:val="both"/>
      </w:pPr>
      <w:r>
        <w:rPr/>
        <w:t>En</w:t>
      </w:r>
      <w:r>
        <w:rPr>
          <w:spacing w:val="-5"/>
        </w:rPr>
        <w:t> </w:t>
      </w:r>
      <w:r>
        <w:rPr/>
        <w:t>aquellos</w:t>
      </w:r>
      <w:r>
        <w:rPr>
          <w:spacing w:val="-5"/>
        </w:rPr>
        <w:t> </w:t>
      </w:r>
      <w:r>
        <w:rPr/>
        <w:t>casos</w:t>
      </w:r>
      <w:r>
        <w:rPr>
          <w:spacing w:val="-5"/>
        </w:rPr>
        <w:t> </w:t>
      </w:r>
      <w:r>
        <w:rPr/>
        <w:t>en</w:t>
      </w:r>
      <w:r>
        <w:rPr>
          <w:spacing w:val="-7"/>
        </w:rPr>
        <w:t> </w:t>
      </w:r>
      <w:r>
        <w:rPr/>
        <w:t>que</w:t>
      </w:r>
      <w:r>
        <w:rPr>
          <w:spacing w:val="-8"/>
        </w:rPr>
        <w:t> </w:t>
      </w:r>
      <w:r>
        <w:rPr/>
        <w:t>las</w:t>
      </w:r>
      <w:r>
        <w:rPr>
          <w:spacing w:val="-7"/>
        </w:rPr>
        <w:t> </w:t>
      </w:r>
      <w:r>
        <w:rPr/>
        <w:t>NICSP</w:t>
      </w:r>
      <w:r>
        <w:rPr>
          <w:spacing w:val="-8"/>
        </w:rPr>
        <w:t> </w:t>
      </w:r>
      <w:r>
        <w:rPr/>
        <w:t>no</w:t>
      </w:r>
      <w:r>
        <w:rPr>
          <w:spacing w:val="-5"/>
        </w:rPr>
        <w:t> </w:t>
      </w:r>
      <w:r>
        <w:rPr/>
        <w:t>regulen</w:t>
      </w:r>
      <w:r>
        <w:rPr>
          <w:spacing w:val="-5"/>
        </w:rPr>
        <w:t> </w:t>
      </w:r>
      <w:r>
        <w:rPr/>
        <w:t>ni</w:t>
      </w:r>
      <w:r>
        <w:rPr>
          <w:spacing w:val="-6"/>
        </w:rPr>
        <w:t> </w:t>
      </w:r>
      <w:r>
        <w:rPr/>
        <w:t>aclaren</w:t>
      </w:r>
      <w:r>
        <w:rPr>
          <w:spacing w:val="-5"/>
        </w:rPr>
        <w:t> </w:t>
      </w:r>
      <w:r>
        <w:rPr/>
        <w:t>un</w:t>
      </w:r>
      <w:r>
        <w:rPr>
          <w:spacing w:val="-7"/>
        </w:rPr>
        <w:t> </w:t>
      </w:r>
      <w:r>
        <w:rPr/>
        <w:t>tratamiento</w:t>
      </w:r>
      <w:r>
        <w:rPr>
          <w:spacing w:val="-7"/>
        </w:rPr>
        <w:t> </w:t>
      </w:r>
      <w:r>
        <w:rPr/>
        <w:t>específico,</w:t>
      </w:r>
      <w:r>
        <w:rPr>
          <w:spacing w:val="-9"/>
        </w:rPr>
        <w:t> </w:t>
      </w:r>
      <w:r>
        <w:rPr/>
        <w:t>se</w:t>
      </w:r>
      <w:r>
        <w:rPr>
          <w:spacing w:val="-7"/>
        </w:rPr>
        <w:t> </w:t>
      </w:r>
      <w:r>
        <w:rPr/>
        <w:t>aplicarán</w:t>
      </w:r>
      <w:r>
        <w:rPr>
          <w:spacing w:val="-5"/>
        </w:rPr>
        <w:t> </w:t>
      </w:r>
      <w:r>
        <w:rPr/>
        <w:t>de forma supletoria y consistente las normas complementarias pertinentes, tales como las Normas Internacionales de Información Financiera (NIIF), las Normas Internacionales de Contabilidad (NIC) u otra regulación técnica aplicable, siempre que no contravengan el marco normativo del sector público costarricense.</w:t>
      </w:r>
    </w:p>
    <w:p>
      <w:pPr>
        <w:pStyle w:val="Heading6"/>
        <w:spacing w:before="120"/>
        <w:ind w:left="734"/>
        <w:jc w:val="both"/>
      </w:pPr>
      <w:r>
        <w:rPr/>
        <w:t>Normas</w:t>
      </w:r>
      <w:r>
        <w:rPr>
          <w:spacing w:val="-5"/>
        </w:rPr>
        <w:t> </w:t>
      </w:r>
      <w:r>
        <w:rPr/>
        <w:t>sin</w:t>
      </w:r>
      <w:r>
        <w:rPr>
          <w:spacing w:val="-3"/>
        </w:rPr>
        <w:t> </w:t>
      </w:r>
      <w:r>
        <w:rPr/>
        <w:t>aplicación</w:t>
      </w:r>
      <w:r>
        <w:rPr>
          <w:spacing w:val="-3"/>
        </w:rPr>
        <w:t> </w:t>
      </w:r>
      <w:r>
        <w:rPr>
          <w:spacing w:val="-2"/>
        </w:rPr>
        <w:t>(NICSP)</w:t>
      </w:r>
    </w:p>
    <w:p>
      <w:pPr>
        <w:pStyle w:val="BodyText"/>
        <w:spacing w:line="276" w:lineRule="auto" w:before="158"/>
        <w:ind w:left="734" w:right="1090"/>
        <w:jc w:val="both"/>
      </w:pPr>
      <w:r>
        <w:rPr/>
        <w:t>Debido</w:t>
      </w:r>
      <w:r>
        <w:rPr>
          <w:spacing w:val="-3"/>
        </w:rPr>
        <w:t> </w:t>
      </w:r>
      <w:r>
        <w:rPr/>
        <w:t>a</w:t>
      </w:r>
      <w:r>
        <w:rPr>
          <w:spacing w:val="-3"/>
        </w:rPr>
        <w:t> </w:t>
      </w:r>
      <w:r>
        <w:rPr/>
        <w:t>la</w:t>
      </w:r>
      <w:r>
        <w:rPr>
          <w:spacing w:val="-6"/>
        </w:rPr>
        <w:t> </w:t>
      </w:r>
      <w:r>
        <w:rPr/>
        <w:t>naturaleza</w:t>
      </w:r>
      <w:r>
        <w:rPr>
          <w:spacing w:val="-3"/>
        </w:rPr>
        <w:t> </w:t>
      </w:r>
      <w:r>
        <w:rPr/>
        <w:t>de</w:t>
      </w:r>
      <w:r>
        <w:rPr>
          <w:spacing w:val="-4"/>
        </w:rPr>
        <w:t> </w:t>
      </w:r>
      <w:r>
        <w:rPr/>
        <w:t>las</w:t>
      </w:r>
      <w:r>
        <w:rPr>
          <w:spacing w:val="-5"/>
        </w:rPr>
        <w:t> </w:t>
      </w:r>
      <w:r>
        <w:rPr/>
        <w:t>operaciones</w:t>
      </w:r>
      <w:r>
        <w:rPr>
          <w:spacing w:val="-5"/>
        </w:rPr>
        <w:t> </w:t>
      </w:r>
      <w:r>
        <w:rPr/>
        <w:t>económicas</w:t>
      </w:r>
      <w:r>
        <w:rPr>
          <w:spacing w:val="-5"/>
        </w:rPr>
        <w:t> </w:t>
      </w:r>
      <w:r>
        <w:rPr/>
        <w:t>de</w:t>
      </w:r>
      <w:r>
        <w:rPr>
          <w:spacing w:val="-4"/>
        </w:rPr>
        <w:t> </w:t>
      </w:r>
      <w:r>
        <w:rPr/>
        <w:t>la</w:t>
      </w:r>
      <w:r>
        <w:rPr>
          <w:spacing w:val="-5"/>
        </w:rPr>
        <w:t> </w:t>
      </w:r>
      <w:r>
        <w:rPr/>
        <w:t>organización,</w:t>
      </w:r>
      <w:r>
        <w:rPr>
          <w:spacing w:val="-5"/>
        </w:rPr>
        <w:t> </w:t>
      </w:r>
      <w:r>
        <w:rPr/>
        <w:t>tales</w:t>
      </w:r>
      <w:r>
        <w:rPr>
          <w:spacing w:val="-2"/>
        </w:rPr>
        <w:t> </w:t>
      </w:r>
      <w:r>
        <w:rPr/>
        <w:t>como</w:t>
      </w:r>
      <w:r>
        <w:rPr>
          <w:spacing w:val="-3"/>
        </w:rPr>
        <w:t> </w:t>
      </w:r>
      <w:r>
        <w:rPr/>
        <w:t>las</w:t>
      </w:r>
      <w:r>
        <w:rPr>
          <w:spacing w:val="-5"/>
        </w:rPr>
        <w:t> </w:t>
      </w:r>
      <w:r>
        <w:rPr/>
        <w:t>actividades gubernamentales</w:t>
      </w:r>
      <w:r>
        <w:rPr>
          <w:spacing w:val="-14"/>
        </w:rPr>
        <w:t> </w:t>
      </w:r>
      <w:r>
        <w:rPr/>
        <w:t>sin</w:t>
      </w:r>
      <w:r>
        <w:rPr>
          <w:spacing w:val="-14"/>
        </w:rPr>
        <w:t> </w:t>
      </w:r>
      <w:r>
        <w:rPr/>
        <w:t>fines</w:t>
      </w:r>
      <w:r>
        <w:rPr>
          <w:spacing w:val="-14"/>
        </w:rPr>
        <w:t> </w:t>
      </w:r>
      <w:r>
        <w:rPr/>
        <w:t>de</w:t>
      </w:r>
      <w:r>
        <w:rPr>
          <w:spacing w:val="-13"/>
        </w:rPr>
        <w:t> </w:t>
      </w:r>
      <w:r>
        <w:rPr/>
        <w:t>lucro,</w:t>
      </w:r>
      <w:r>
        <w:rPr>
          <w:spacing w:val="-14"/>
        </w:rPr>
        <w:t> </w:t>
      </w:r>
      <w:r>
        <w:rPr/>
        <w:t>el</w:t>
      </w:r>
      <w:r>
        <w:rPr>
          <w:spacing w:val="-14"/>
        </w:rPr>
        <w:t> </w:t>
      </w:r>
      <w:r>
        <w:rPr/>
        <w:t>enfoque</w:t>
      </w:r>
      <w:r>
        <w:rPr>
          <w:spacing w:val="-14"/>
        </w:rPr>
        <w:t> </w:t>
      </w:r>
      <w:r>
        <w:rPr/>
        <w:t>operativo</w:t>
      </w:r>
      <w:r>
        <w:rPr>
          <w:spacing w:val="-13"/>
        </w:rPr>
        <w:t> </w:t>
      </w:r>
      <w:r>
        <w:rPr/>
        <w:t>hacia</w:t>
      </w:r>
      <w:r>
        <w:rPr>
          <w:spacing w:val="-14"/>
        </w:rPr>
        <w:t> </w:t>
      </w:r>
      <w:r>
        <w:rPr/>
        <w:t>la</w:t>
      </w:r>
      <w:r>
        <w:rPr>
          <w:spacing w:val="-14"/>
        </w:rPr>
        <w:t> </w:t>
      </w:r>
      <w:r>
        <w:rPr/>
        <w:t>prestación</w:t>
      </w:r>
      <w:r>
        <w:rPr>
          <w:spacing w:val="-14"/>
        </w:rPr>
        <w:t> </w:t>
      </w:r>
      <w:r>
        <w:rPr/>
        <w:t>de</w:t>
      </w:r>
      <w:r>
        <w:rPr>
          <w:spacing w:val="-13"/>
        </w:rPr>
        <w:t> </w:t>
      </w:r>
      <w:r>
        <w:rPr/>
        <w:t>servicios,</w:t>
      </w:r>
      <w:r>
        <w:rPr>
          <w:spacing w:val="-14"/>
        </w:rPr>
        <w:t> </w:t>
      </w:r>
      <w:r>
        <w:rPr/>
        <w:t>los</w:t>
      </w:r>
      <w:r>
        <w:rPr>
          <w:spacing w:val="-14"/>
        </w:rPr>
        <w:t> </w:t>
      </w:r>
      <w:r>
        <w:rPr/>
        <w:t>objetivos y limitaciones establecidos por la ley y el entorno macroeconómico en el que opera, se excluye la aplicación y la adopción de las siguientes normas contables específicas:</w:t>
      </w:r>
    </w:p>
    <w:p>
      <w:pPr>
        <w:pStyle w:val="ListParagraph"/>
        <w:numPr>
          <w:ilvl w:val="1"/>
          <w:numId w:val="10"/>
        </w:numPr>
        <w:tabs>
          <w:tab w:pos="1334" w:val="left" w:leader="none"/>
        </w:tabs>
        <w:spacing w:line="240" w:lineRule="auto" w:before="119" w:after="0"/>
        <w:ind w:left="1334" w:right="0" w:hanging="280"/>
        <w:jc w:val="left"/>
        <w:rPr>
          <w:sz w:val="22"/>
        </w:rPr>
      </w:pPr>
      <w:r>
        <w:rPr>
          <w:sz w:val="22"/>
        </w:rPr>
        <w:t>NICSP</w:t>
      </w:r>
      <w:r>
        <w:rPr>
          <w:spacing w:val="-3"/>
          <w:sz w:val="22"/>
        </w:rPr>
        <w:t> </w:t>
      </w:r>
      <w:r>
        <w:rPr>
          <w:sz w:val="22"/>
        </w:rPr>
        <w:t>5</w:t>
      </w:r>
      <w:r>
        <w:rPr>
          <w:spacing w:val="-6"/>
          <w:sz w:val="22"/>
        </w:rPr>
        <w:t> </w:t>
      </w:r>
      <w:r>
        <w:rPr>
          <w:sz w:val="22"/>
        </w:rPr>
        <w:t>Costos</w:t>
      </w:r>
      <w:r>
        <w:rPr>
          <w:spacing w:val="-1"/>
          <w:sz w:val="22"/>
        </w:rPr>
        <w:t> </w:t>
      </w:r>
      <w:r>
        <w:rPr>
          <w:sz w:val="22"/>
        </w:rPr>
        <w:t>por</w:t>
      </w:r>
      <w:r>
        <w:rPr>
          <w:spacing w:val="-2"/>
          <w:sz w:val="22"/>
        </w:rPr>
        <w:t> préstamos.</w:t>
      </w:r>
    </w:p>
    <w:p>
      <w:pPr>
        <w:pStyle w:val="ListParagraph"/>
        <w:spacing w:after="0" w:line="240" w:lineRule="auto"/>
        <w:jc w:val="left"/>
        <w:rPr>
          <w:sz w:val="22"/>
        </w:rPr>
        <w:sectPr>
          <w:type w:val="continuous"/>
          <w:pgSz w:w="12240" w:h="15840"/>
          <w:pgMar w:top="18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4464">
                <wp:simplePos x="0" y="0"/>
                <wp:positionH relativeFrom="page">
                  <wp:posOffset>9525</wp:posOffset>
                </wp:positionH>
                <wp:positionV relativeFrom="page">
                  <wp:posOffset>297208</wp:posOffset>
                </wp:positionV>
                <wp:extent cx="7762875" cy="974852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7762875" cy="9748520"/>
                          <a:chExt cx="7762875" cy="9748520"/>
                        </a:xfrm>
                      </wpg:grpSpPr>
                      <pic:pic>
                        <pic:nvPicPr>
                          <pic:cNvPr id="45" name="Image 45"/>
                          <pic:cNvPicPr/>
                        </pic:nvPicPr>
                        <pic:blipFill>
                          <a:blip r:embed="rId5" cstate="print"/>
                          <a:stretch>
                            <a:fillRect/>
                          </a:stretch>
                        </pic:blipFill>
                        <pic:spPr>
                          <a:xfrm>
                            <a:off x="0" y="0"/>
                            <a:ext cx="7762874" cy="9748489"/>
                          </a:xfrm>
                          <a:prstGeom prst="rect">
                            <a:avLst/>
                          </a:prstGeom>
                        </pic:spPr>
                      </pic:pic>
                      <wps:wsp>
                        <wps:cNvPr id="46" name="Graphic 46"/>
                        <wps:cNvSpPr/>
                        <wps:spPr>
                          <a:xfrm>
                            <a:off x="1053007" y="990837"/>
                            <a:ext cx="5649595" cy="7548245"/>
                          </a:xfrm>
                          <a:custGeom>
                            <a:avLst/>
                            <a:gdLst/>
                            <a:ahLst/>
                            <a:cxnLst/>
                            <a:rect l="l" t="t" r="r" b="b"/>
                            <a:pathLst>
                              <a:path w="5649595" h="7548245">
                                <a:moveTo>
                                  <a:pt x="5630862" y="4475162"/>
                                </a:moveTo>
                                <a:lnTo>
                                  <a:pt x="5624779" y="4475162"/>
                                </a:lnTo>
                                <a:lnTo>
                                  <a:pt x="5624779" y="7541704"/>
                                </a:lnTo>
                                <a:lnTo>
                                  <a:pt x="24384" y="7541704"/>
                                </a:lnTo>
                                <a:lnTo>
                                  <a:pt x="24384" y="4475162"/>
                                </a:lnTo>
                                <a:lnTo>
                                  <a:pt x="18288" y="4475162"/>
                                </a:lnTo>
                                <a:lnTo>
                                  <a:pt x="18288" y="7541704"/>
                                </a:lnTo>
                                <a:lnTo>
                                  <a:pt x="18288" y="7547800"/>
                                </a:lnTo>
                                <a:lnTo>
                                  <a:pt x="24384" y="7547800"/>
                                </a:lnTo>
                                <a:lnTo>
                                  <a:pt x="5624779" y="7547800"/>
                                </a:lnTo>
                                <a:lnTo>
                                  <a:pt x="5630862" y="7547800"/>
                                </a:lnTo>
                                <a:lnTo>
                                  <a:pt x="5630862" y="7541704"/>
                                </a:lnTo>
                                <a:lnTo>
                                  <a:pt x="5630862" y="4475162"/>
                                </a:lnTo>
                                <a:close/>
                              </a:path>
                              <a:path w="5649595" h="7548245">
                                <a:moveTo>
                                  <a:pt x="5630862" y="4469003"/>
                                </a:moveTo>
                                <a:lnTo>
                                  <a:pt x="5624830" y="4469003"/>
                                </a:lnTo>
                                <a:lnTo>
                                  <a:pt x="24384" y="4469003"/>
                                </a:lnTo>
                                <a:lnTo>
                                  <a:pt x="18288" y="4469003"/>
                                </a:lnTo>
                                <a:lnTo>
                                  <a:pt x="18288" y="4475086"/>
                                </a:lnTo>
                                <a:lnTo>
                                  <a:pt x="24384" y="4475086"/>
                                </a:lnTo>
                                <a:lnTo>
                                  <a:pt x="5624779" y="4475086"/>
                                </a:lnTo>
                                <a:lnTo>
                                  <a:pt x="5630862" y="4475086"/>
                                </a:lnTo>
                                <a:lnTo>
                                  <a:pt x="5630862" y="4469003"/>
                                </a:lnTo>
                                <a:close/>
                              </a:path>
                              <a:path w="5649595" h="754824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2016" id="docshapegroup43" coordorigin="15,468" coordsize="12225,15352">
                <v:shape style="position:absolute;left:15;top:468;width:12225;height:15352" type="#_x0000_t75" id="docshape44" stroked="false">
                  <v:imagedata r:id="rId5" o:title=""/>
                </v:shape>
                <v:shape style="position:absolute;left:1673;top:2028;width:8897;height:11887" id="docshape45" coordorigin="1673,2028" coordsize="8897,11887" path="m10541,9076l10531,9076,10531,13905,1712,13905,1712,9076,1702,9076,1702,13905,1702,13915,1712,13915,10531,13915,10531,13915,10541,13915,10541,13905,10541,9076xm10541,9066l10531,9066,10531,9066,1712,9066,1702,9066,1702,9076,1712,9076,10531,9076,10531,9076,10541,9076,10541,9066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14</w:t>
      </w:r>
    </w:p>
    <w:p>
      <w:pPr>
        <w:pStyle w:val="BodyText"/>
        <w:spacing w:before="10"/>
        <w:rPr>
          <w:sz w:val="16"/>
        </w:rPr>
      </w:pPr>
      <w:r>
        <w:rPr>
          <w:sz w:val="16"/>
        </w:rPr>
        <mc:AlternateContent>
          <mc:Choice Requires="wps">
            <w:drawing>
              <wp:anchor distT="0" distB="0" distL="0" distR="0" allowOverlap="1" layoutInCell="1" locked="0" behindDoc="1" simplePos="0" relativeHeight="487597056">
                <wp:simplePos x="0" y="0"/>
                <wp:positionH relativeFrom="page">
                  <wp:posOffset>1083868</wp:posOffset>
                </wp:positionH>
                <wp:positionV relativeFrom="paragraph">
                  <wp:posOffset>141144</wp:posOffset>
                </wp:positionV>
                <wp:extent cx="5607050" cy="3006090"/>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5607050" cy="3006090"/>
                        </a:xfrm>
                        <a:prstGeom prst="rect">
                          <a:avLst/>
                        </a:prstGeom>
                        <a:ln w="6095">
                          <a:solidFill>
                            <a:srgbClr val="000000"/>
                          </a:solidFill>
                          <a:prstDash val="solid"/>
                        </a:ln>
                      </wps:spPr>
                      <wps:txbx>
                        <w:txbxContent>
                          <w:p>
                            <w:pPr>
                              <w:pStyle w:val="BodyText"/>
                              <w:numPr>
                                <w:ilvl w:val="0"/>
                                <w:numId w:val="11"/>
                              </w:numPr>
                              <w:tabs>
                                <w:tab w:pos="702" w:val="left" w:leader="none"/>
                              </w:tabs>
                              <w:spacing w:line="278" w:lineRule="exact" w:before="0" w:after="0"/>
                              <w:ind w:left="702" w:right="0" w:hanging="280"/>
                              <w:jc w:val="left"/>
                            </w:pPr>
                            <w:r>
                              <w:rPr/>
                              <w:t>NICSP</w:t>
                            </w:r>
                            <w:r>
                              <w:rPr>
                                <w:spacing w:val="-8"/>
                              </w:rPr>
                              <w:t> </w:t>
                            </w:r>
                            <w:r>
                              <w:rPr/>
                              <w:t>10</w:t>
                            </w:r>
                            <w:r>
                              <w:rPr>
                                <w:spacing w:val="-5"/>
                              </w:rPr>
                              <w:t> </w:t>
                            </w:r>
                            <w:r>
                              <w:rPr/>
                              <w:t>Información</w:t>
                            </w:r>
                            <w:r>
                              <w:rPr>
                                <w:spacing w:val="-7"/>
                              </w:rPr>
                              <w:t> </w:t>
                            </w:r>
                            <w:r>
                              <w:rPr/>
                              <w:t>financiera</w:t>
                            </w:r>
                            <w:r>
                              <w:rPr>
                                <w:spacing w:val="-7"/>
                              </w:rPr>
                              <w:t> </w:t>
                            </w:r>
                            <w:r>
                              <w:rPr/>
                              <w:t>en</w:t>
                            </w:r>
                            <w:r>
                              <w:rPr>
                                <w:spacing w:val="-5"/>
                              </w:rPr>
                              <w:t> </w:t>
                            </w:r>
                            <w:r>
                              <w:rPr/>
                              <w:t>economías</w:t>
                            </w:r>
                            <w:r>
                              <w:rPr>
                                <w:spacing w:val="-4"/>
                              </w:rPr>
                              <w:t> </w:t>
                            </w:r>
                            <w:r>
                              <w:rPr>
                                <w:spacing w:val="-2"/>
                              </w:rPr>
                              <w:t>hiperinflacionarias.</w:t>
                            </w:r>
                          </w:p>
                          <w:p>
                            <w:pPr>
                              <w:pStyle w:val="BodyText"/>
                              <w:numPr>
                                <w:ilvl w:val="0"/>
                                <w:numId w:val="11"/>
                              </w:numPr>
                              <w:tabs>
                                <w:tab w:pos="702" w:val="left" w:leader="none"/>
                              </w:tabs>
                              <w:spacing w:line="240" w:lineRule="auto" w:before="38" w:after="0"/>
                              <w:ind w:left="702" w:right="0" w:hanging="280"/>
                              <w:jc w:val="left"/>
                            </w:pPr>
                            <w:r>
                              <w:rPr/>
                              <w:t>NICSP</w:t>
                            </w:r>
                            <w:r>
                              <w:rPr>
                                <w:spacing w:val="-5"/>
                              </w:rPr>
                              <w:t> </w:t>
                            </w:r>
                            <w:r>
                              <w:rPr/>
                              <w:t>16</w:t>
                            </w:r>
                            <w:r>
                              <w:rPr>
                                <w:spacing w:val="-4"/>
                              </w:rPr>
                              <w:t> </w:t>
                            </w:r>
                            <w:r>
                              <w:rPr/>
                              <w:t>Propiedades</w:t>
                            </w:r>
                            <w:r>
                              <w:rPr>
                                <w:spacing w:val="-4"/>
                              </w:rPr>
                              <w:t> </w:t>
                            </w:r>
                            <w:r>
                              <w:rPr/>
                              <w:t>de</w:t>
                            </w:r>
                            <w:r>
                              <w:rPr>
                                <w:spacing w:val="-3"/>
                              </w:rPr>
                              <w:t> </w:t>
                            </w:r>
                            <w:r>
                              <w:rPr>
                                <w:spacing w:val="-2"/>
                              </w:rPr>
                              <w:t>inversión.</w:t>
                            </w:r>
                          </w:p>
                          <w:p>
                            <w:pPr>
                              <w:pStyle w:val="BodyText"/>
                              <w:numPr>
                                <w:ilvl w:val="0"/>
                                <w:numId w:val="11"/>
                              </w:numPr>
                              <w:tabs>
                                <w:tab w:pos="702" w:val="left" w:leader="none"/>
                              </w:tabs>
                              <w:spacing w:line="240" w:lineRule="auto" w:before="39" w:after="0"/>
                              <w:ind w:left="702" w:right="0" w:hanging="280"/>
                              <w:jc w:val="left"/>
                            </w:pPr>
                            <w:r>
                              <w:rPr/>
                              <w:t>NICSP</w:t>
                            </w:r>
                            <w:r>
                              <w:rPr>
                                <w:spacing w:val="-6"/>
                              </w:rPr>
                              <w:t> </w:t>
                            </w:r>
                            <w:r>
                              <w:rPr/>
                              <w:t>22</w:t>
                            </w:r>
                            <w:r>
                              <w:rPr>
                                <w:spacing w:val="-6"/>
                              </w:rPr>
                              <w:t> </w:t>
                            </w:r>
                            <w:r>
                              <w:rPr/>
                              <w:t>Revelación</w:t>
                            </w:r>
                            <w:r>
                              <w:rPr>
                                <w:spacing w:val="-4"/>
                              </w:rPr>
                              <w:t> </w:t>
                            </w:r>
                            <w:r>
                              <w:rPr/>
                              <w:t>de</w:t>
                            </w:r>
                            <w:r>
                              <w:rPr>
                                <w:spacing w:val="-2"/>
                              </w:rPr>
                              <w:t> </w:t>
                            </w:r>
                            <w:r>
                              <w:rPr/>
                              <w:t>información</w:t>
                            </w:r>
                            <w:r>
                              <w:rPr>
                                <w:spacing w:val="-6"/>
                              </w:rPr>
                              <w:t> </w:t>
                            </w:r>
                            <w:r>
                              <w:rPr/>
                              <w:t>financiera</w:t>
                            </w:r>
                            <w:r>
                              <w:rPr>
                                <w:spacing w:val="-6"/>
                              </w:rPr>
                              <w:t> </w:t>
                            </w:r>
                            <w:r>
                              <w:rPr/>
                              <w:t>sobre</w:t>
                            </w:r>
                            <w:r>
                              <w:rPr>
                                <w:spacing w:val="-5"/>
                              </w:rPr>
                              <w:t> </w:t>
                            </w:r>
                            <w:r>
                              <w:rPr/>
                              <w:t>el</w:t>
                            </w:r>
                            <w:r>
                              <w:rPr>
                                <w:spacing w:val="-4"/>
                              </w:rPr>
                              <w:t> </w:t>
                            </w:r>
                            <w:r>
                              <w:rPr/>
                              <w:t>sector</w:t>
                            </w:r>
                            <w:r>
                              <w:rPr>
                                <w:spacing w:val="-3"/>
                              </w:rPr>
                              <w:t> </w:t>
                            </w:r>
                            <w:r>
                              <w:rPr/>
                              <w:t>del</w:t>
                            </w:r>
                            <w:r>
                              <w:rPr>
                                <w:spacing w:val="-4"/>
                              </w:rPr>
                              <w:t> </w:t>
                            </w:r>
                            <w:r>
                              <w:rPr/>
                              <w:t>gobierno</w:t>
                            </w:r>
                            <w:r>
                              <w:rPr>
                                <w:spacing w:val="-3"/>
                              </w:rPr>
                              <w:t> </w:t>
                            </w:r>
                            <w:r>
                              <w:rPr>
                                <w:spacing w:val="-2"/>
                              </w:rPr>
                              <w:t>general.</w:t>
                            </w:r>
                          </w:p>
                          <w:p>
                            <w:pPr>
                              <w:pStyle w:val="BodyText"/>
                              <w:numPr>
                                <w:ilvl w:val="0"/>
                                <w:numId w:val="11"/>
                              </w:numPr>
                              <w:tabs>
                                <w:tab w:pos="702" w:val="left" w:leader="none"/>
                              </w:tabs>
                              <w:spacing w:line="240" w:lineRule="auto" w:before="36" w:after="0"/>
                              <w:ind w:left="702" w:right="0" w:hanging="280"/>
                              <w:jc w:val="left"/>
                            </w:pPr>
                            <w:r>
                              <w:rPr/>
                              <w:t>NICSP</w:t>
                            </w:r>
                            <w:r>
                              <w:rPr>
                                <w:spacing w:val="-2"/>
                              </w:rPr>
                              <w:t> </w:t>
                            </w:r>
                            <w:r>
                              <w:rPr/>
                              <w:t>27</w:t>
                            </w:r>
                            <w:r>
                              <w:rPr>
                                <w:spacing w:val="-2"/>
                              </w:rPr>
                              <w:t> Agricultura.</w:t>
                            </w:r>
                          </w:p>
                          <w:p>
                            <w:pPr>
                              <w:pStyle w:val="BodyText"/>
                              <w:numPr>
                                <w:ilvl w:val="0"/>
                                <w:numId w:val="11"/>
                              </w:numPr>
                              <w:tabs>
                                <w:tab w:pos="702" w:val="left" w:leader="none"/>
                              </w:tabs>
                              <w:spacing w:line="240" w:lineRule="auto" w:before="39" w:after="0"/>
                              <w:ind w:left="702" w:right="0" w:hanging="280"/>
                              <w:jc w:val="left"/>
                            </w:pPr>
                            <w:r>
                              <w:rPr/>
                              <w:t>NICSP</w:t>
                            </w:r>
                            <w:r>
                              <w:rPr>
                                <w:spacing w:val="-5"/>
                              </w:rPr>
                              <w:t> </w:t>
                            </w:r>
                            <w:r>
                              <w:rPr/>
                              <w:t>32</w:t>
                            </w:r>
                            <w:r>
                              <w:rPr>
                                <w:spacing w:val="-4"/>
                              </w:rPr>
                              <w:t> </w:t>
                            </w:r>
                            <w:r>
                              <w:rPr/>
                              <w:t>Acuerdos</w:t>
                            </w:r>
                            <w:r>
                              <w:rPr>
                                <w:spacing w:val="-3"/>
                              </w:rPr>
                              <w:t> </w:t>
                            </w:r>
                            <w:r>
                              <w:rPr/>
                              <w:t>de</w:t>
                            </w:r>
                            <w:r>
                              <w:rPr>
                                <w:spacing w:val="-3"/>
                              </w:rPr>
                              <w:t> </w:t>
                            </w:r>
                            <w:r>
                              <w:rPr/>
                              <w:t>concesión</w:t>
                            </w:r>
                            <w:r>
                              <w:rPr>
                                <w:spacing w:val="-4"/>
                              </w:rPr>
                              <w:t> </w:t>
                            </w:r>
                            <w:r>
                              <w:rPr/>
                              <w:t>de</w:t>
                            </w:r>
                            <w:r>
                              <w:rPr>
                                <w:spacing w:val="-3"/>
                              </w:rPr>
                              <w:t> </w:t>
                            </w:r>
                            <w:r>
                              <w:rPr>
                                <w:spacing w:val="-2"/>
                              </w:rPr>
                              <w:t>servicios.</w:t>
                            </w:r>
                          </w:p>
                          <w:p>
                            <w:pPr>
                              <w:pStyle w:val="BodyText"/>
                              <w:numPr>
                                <w:ilvl w:val="0"/>
                                <w:numId w:val="11"/>
                              </w:numPr>
                              <w:tabs>
                                <w:tab w:pos="702" w:val="left" w:leader="none"/>
                              </w:tabs>
                              <w:spacing w:line="240" w:lineRule="auto" w:before="36" w:after="0"/>
                              <w:ind w:left="702" w:right="0" w:hanging="280"/>
                              <w:jc w:val="left"/>
                            </w:pPr>
                            <w:r>
                              <w:rPr/>
                              <w:t>NICSP</w:t>
                            </w:r>
                            <w:r>
                              <w:rPr>
                                <w:spacing w:val="-5"/>
                              </w:rPr>
                              <w:t> </w:t>
                            </w:r>
                            <w:r>
                              <w:rPr/>
                              <w:t>35</w:t>
                            </w:r>
                            <w:r>
                              <w:rPr>
                                <w:spacing w:val="-4"/>
                              </w:rPr>
                              <w:t> </w:t>
                            </w:r>
                            <w:r>
                              <w:rPr/>
                              <w:t>Estados</w:t>
                            </w:r>
                            <w:r>
                              <w:rPr>
                                <w:spacing w:val="-3"/>
                              </w:rPr>
                              <w:t> </w:t>
                            </w:r>
                            <w:r>
                              <w:rPr/>
                              <w:t>Financieros</w:t>
                            </w:r>
                            <w:r>
                              <w:rPr>
                                <w:spacing w:val="-3"/>
                              </w:rPr>
                              <w:t> </w:t>
                            </w:r>
                            <w:r>
                              <w:rPr>
                                <w:spacing w:val="-2"/>
                              </w:rPr>
                              <w:t>consolidados.</w:t>
                            </w:r>
                          </w:p>
                          <w:p>
                            <w:pPr>
                              <w:pStyle w:val="BodyText"/>
                              <w:numPr>
                                <w:ilvl w:val="0"/>
                                <w:numId w:val="11"/>
                              </w:numPr>
                              <w:tabs>
                                <w:tab w:pos="702" w:val="left" w:leader="none"/>
                              </w:tabs>
                              <w:spacing w:line="240" w:lineRule="auto" w:before="38" w:after="0"/>
                              <w:ind w:left="702" w:right="0" w:hanging="280"/>
                              <w:jc w:val="left"/>
                            </w:pPr>
                            <w:r>
                              <w:rPr/>
                              <w:t>NICSP</w:t>
                            </w:r>
                            <w:r>
                              <w:rPr>
                                <w:spacing w:val="-5"/>
                              </w:rPr>
                              <w:t> </w:t>
                            </w:r>
                            <w:r>
                              <w:rPr/>
                              <w:t>36</w:t>
                            </w:r>
                            <w:r>
                              <w:rPr>
                                <w:spacing w:val="-4"/>
                              </w:rPr>
                              <w:t> </w:t>
                            </w:r>
                            <w:r>
                              <w:rPr/>
                              <w:t>Inversiones</w:t>
                            </w:r>
                            <w:r>
                              <w:rPr>
                                <w:spacing w:val="-4"/>
                              </w:rPr>
                              <w:t> </w:t>
                            </w:r>
                            <w:r>
                              <w:rPr/>
                              <w:t>en</w:t>
                            </w:r>
                            <w:r>
                              <w:rPr>
                                <w:spacing w:val="-4"/>
                              </w:rPr>
                              <w:t> </w:t>
                            </w:r>
                            <w:r>
                              <w:rPr/>
                              <w:t>asociadas</w:t>
                            </w:r>
                            <w:r>
                              <w:rPr>
                                <w:spacing w:val="-4"/>
                              </w:rPr>
                              <w:t> </w:t>
                            </w:r>
                            <w:r>
                              <w:rPr/>
                              <w:t>y</w:t>
                            </w:r>
                            <w:r>
                              <w:rPr>
                                <w:spacing w:val="-5"/>
                              </w:rPr>
                              <w:t> </w:t>
                            </w:r>
                            <w:r>
                              <w:rPr/>
                              <w:t>negocios</w:t>
                            </w:r>
                            <w:r>
                              <w:rPr>
                                <w:spacing w:val="-3"/>
                              </w:rPr>
                              <w:t> </w:t>
                            </w:r>
                            <w:r>
                              <w:rPr>
                                <w:spacing w:val="-2"/>
                              </w:rPr>
                              <w:t>conjuntos.</w:t>
                            </w:r>
                          </w:p>
                          <w:p>
                            <w:pPr>
                              <w:pStyle w:val="BodyText"/>
                              <w:numPr>
                                <w:ilvl w:val="0"/>
                                <w:numId w:val="11"/>
                              </w:numPr>
                              <w:tabs>
                                <w:tab w:pos="702" w:val="left" w:leader="none"/>
                              </w:tabs>
                              <w:spacing w:line="240" w:lineRule="auto" w:before="39" w:after="0"/>
                              <w:ind w:left="702" w:right="0" w:hanging="280"/>
                              <w:jc w:val="left"/>
                            </w:pPr>
                            <w:r>
                              <w:rPr/>
                              <w:t>NICSP</w:t>
                            </w:r>
                            <w:r>
                              <w:rPr>
                                <w:spacing w:val="-4"/>
                              </w:rPr>
                              <w:t> </w:t>
                            </w:r>
                            <w:r>
                              <w:rPr/>
                              <w:t>37</w:t>
                            </w:r>
                            <w:r>
                              <w:rPr>
                                <w:spacing w:val="-3"/>
                              </w:rPr>
                              <w:t> </w:t>
                            </w:r>
                            <w:r>
                              <w:rPr/>
                              <w:t>Acuerdos</w:t>
                            </w:r>
                            <w:r>
                              <w:rPr>
                                <w:spacing w:val="-2"/>
                              </w:rPr>
                              <w:t> conjuntos.</w:t>
                            </w:r>
                          </w:p>
                          <w:p>
                            <w:pPr>
                              <w:pStyle w:val="BodyText"/>
                              <w:numPr>
                                <w:ilvl w:val="0"/>
                                <w:numId w:val="11"/>
                              </w:numPr>
                              <w:tabs>
                                <w:tab w:pos="702" w:val="left" w:leader="none"/>
                              </w:tabs>
                              <w:spacing w:line="240" w:lineRule="auto" w:before="37" w:after="0"/>
                              <w:ind w:left="702" w:right="0" w:hanging="280"/>
                              <w:jc w:val="left"/>
                            </w:pPr>
                            <w:r>
                              <w:rPr/>
                              <w:t>NICSP</w:t>
                            </w:r>
                            <w:r>
                              <w:rPr>
                                <w:spacing w:val="-4"/>
                              </w:rPr>
                              <w:t> </w:t>
                            </w:r>
                            <w:r>
                              <w:rPr/>
                              <w:t>38</w:t>
                            </w:r>
                            <w:r>
                              <w:rPr>
                                <w:spacing w:val="-6"/>
                              </w:rPr>
                              <w:t> </w:t>
                            </w:r>
                            <w:r>
                              <w:rPr/>
                              <w:t>Revelación</w:t>
                            </w:r>
                            <w:r>
                              <w:rPr>
                                <w:spacing w:val="-4"/>
                              </w:rPr>
                              <w:t> </w:t>
                            </w:r>
                            <w:r>
                              <w:rPr/>
                              <w:t>de</w:t>
                            </w:r>
                            <w:r>
                              <w:rPr>
                                <w:spacing w:val="-3"/>
                              </w:rPr>
                              <w:t> </w:t>
                            </w:r>
                            <w:r>
                              <w:rPr/>
                              <w:t>intereses</w:t>
                            </w:r>
                            <w:r>
                              <w:rPr>
                                <w:spacing w:val="-2"/>
                              </w:rPr>
                              <w:t> </w:t>
                            </w:r>
                            <w:r>
                              <w:rPr/>
                              <w:t>en</w:t>
                            </w:r>
                            <w:r>
                              <w:rPr>
                                <w:spacing w:val="-4"/>
                              </w:rPr>
                              <w:t> </w:t>
                            </w:r>
                            <w:r>
                              <w:rPr/>
                              <w:t>otras</w:t>
                            </w:r>
                            <w:r>
                              <w:rPr>
                                <w:spacing w:val="-5"/>
                              </w:rPr>
                              <w:t> </w:t>
                            </w:r>
                            <w:r>
                              <w:rPr>
                                <w:spacing w:val="-2"/>
                              </w:rPr>
                              <w:t>entidades.</w:t>
                            </w:r>
                          </w:p>
                          <w:p>
                            <w:pPr>
                              <w:pStyle w:val="BodyText"/>
                              <w:numPr>
                                <w:ilvl w:val="0"/>
                                <w:numId w:val="11"/>
                              </w:numPr>
                              <w:tabs>
                                <w:tab w:pos="704" w:val="left" w:leader="none"/>
                              </w:tabs>
                              <w:spacing w:line="240" w:lineRule="auto" w:before="38" w:after="0"/>
                              <w:ind w:left="704" w:right="0" w:hanging="282"/>
                              <w:jc w:val="left"/>
                            </w:pPr>
                            <w:r>
                              <w:rPr/>
                              <w:t>NICSP</w:t>
                            </w:r>
                            <w:r>
                              <w:rPr>
                                <w:spacing w:val="-3"/>
                              </w:rPr>
                              <w:t> </w:t>
                            </w:r>
                            <w:r>
                              <w:rPr/>
                              <w:t>40</w:t>
                            </w:r>
                            <w:r>
                              <w:rPr>
                                <w:spacing w:val="-6"/>
                              </w:rPr>
                              <w:t> </w:t>
                            </w:r>
                            <w:r>
                              <w:rPr/>
                              <w:t>Combinaciones</w:t>
                            </w:r>
                            <w:r>
                              <w:rPr>
                                <w:spacing w:val="-5"/>
                              </w:rPr>
                              <w:t> </w:t>
                            </w:r>
                            <w:r>
                              <w:rPr/>
                              <w:t>en</w:t>
                            </w:r>
                            <w:r>
                              <w:rPr>
                                <w:spacing w:val="-5"/>
                              </w:rPr>
                              <w:t> </w:t>
                            </w:r>
                            <w:r>
                              <w:rPr/>
                              <w:t>el</w:t>
                            </w:r>
                            <w:r>
                              <w:rPr>
                                <w:spacing w:val="-3"/>
                              </w:rPr>
                              <w:t> </w:t>
                            </w:r>
                            <w:r>
                              <w:rPr/>
                              <w:t>sector</w:t>
                            </w:r>
                            <w:r>
                              <w:rPr>
                                <w:spacing w:val="-2"/>
                              </w:rPr>
                              <w:t> público.</w:t>
                            </w:r>
                          </w:p>
                          <w:p>
                            <w:pPr>
                              <w:pStyle w:val="BodyText"/>
                              <w:spacing w:line="276" w:lineRule="auto" w:before="159"/>
                              <w:ind w:left="103" w:right="99"/>
                              <w:jc w:val="both"/>
                            </w:pPr>
                            <w:r>
                              <w:rPr/>
                              <w:t>Se consideran como normas contables “no aplicables” aquellas para las cuales, en la actualidad, la entidad no lleva a cabo ninguna transacción que se encuentre dentro del ámbito regulatorio o prescriptivo, ni tampoco prevé que se realicen en el corto o mediano plazo. La justificación y fundamento</w:t>
                            </w:r>
                            <w:r>
                              <w:rPr>
                                <w:spacing w:val="-13"/>
                              </w:rPr>
                              <w:t> </w:t>
                            </w:r>
                            <w:r>
                              <w:rPr/>
                              <w:t>técnico</w:t>
                            </w:r>
                            <w:r>
                              <w:rPr>
                                <w:spacing w:val="-14"/>
                              </w:rPr>
                              <w:t> </w:t>
                            </w:r>
                            <w:r>
                              <w:rPr/>
                              <w:t>de</w:t>
                            </w:r>
                            <w:r>
                              <w:rPr>
                                <w:spacing w:val="-13"/>
                              </w:rPr>
                              <w:t> </w:t>
                            </w:r>
                            <w:r>
                              <w:rPr/>
                              <w:t>esta</w:t>
                            </w:r>
                            <w:r>
                              <w:rPr>
                                <w:spacing w:val="-14"/>
                              </w:rPr>
                              <w:t> </w:t>
                            </w:r>
                            <w:r>
                              <w:rPr/>
                              <w:t>exclusión</w:t>
                            </w:r>
                            <w:r>
                              <w:rPr>
                                <w:spacing w:val="-11"/>
                              </w:rPr>
                              <w:t> </w:t>
                            </w:r>
                            <w:r>
                              <w:rPr/>
                              <w:t>es</w:t>
                            </w:r>
                            <w:r>
                              <w:rPr>
                                <w:spacing w:val="-12"/>
                              </w:rPr>
                              <w:t> </w:t>
                            </w:r>
                            <w:r>
                              <w:rPr/>
                              <w:t>detallado</w:t>
                            </w:r>
                            <w:r>
                              <w:rPr>
                                <w:spacing w:val="-12"/>
                              </w:rPr>
                              <w:t> </w:t>
                            </w:r>
                            <w:r>
                              <w:rPr/>
                              <w:t>y</w:t>
                            </w:r>
                            <w:r>
                              <w:rPr>
                                <w:spacing w:val="-14"/>
                              </w:rPr>
                              <w:t> </w:t>
                            </w:r>
                            <w:r>
                              <w:rPr/>
                              <w:t>revelado</w:t>
                            </w:r>
                            <w:r>
                              <w:rPr>
                                <w:spacing w:val="-11"/>
                              </w:rPr>
                              <w:t> </w:t>
                            </w:r>
                            <w:r>
                              <w:rPr/>
                              <w:t>en</w:t>
                            </w:r>
                            <w:r>
                              <w:rPr>
                                <w:spacing w:val="-13"/>
                              </w:rPr>
                              <w:t> </w:t>
                            </w:r>
                            <w:r>
                              <w:rPr/>
                              <w:t>los</w:t>
                            </w:r>
                            <w:r>
                              <w:rPr>
                                <w:spacing w:val="-14"/>
                              </w:rPr>
                              <w:t> </w:t>
                            </w:r>
                            <w:r>
                              <w:rPr/>
                              <w:t>siguientes</w:t>
                            </w:r>
                            <w:r>
                              <w:rPr>
                                <w:spacing w:val="-11"/>
                              </w:rPr>
                              <w:t> </w:t>
                            </w:r>
                            <w:r>
                              <w:rPr/>
                              <w:t>apartados</w:t>
                            </w:r>
                            <w:r>
                              <w:rPr>
                                <w:spacing w:val="-12"/>
                              </w:rPr>
                              <w:t> </w:t>
                            </w:r>
                            <w:r>
                              <w:rPr/>
                              <w:t>del</w:t>
                            </w:r>
                            <w:r>
                              <w:rPr>
                                <w:spacing w:val="-13"/>
                              </w:rPr>
                              <w:t> </w:t>
                            </w:r>
                            <w:r>
                              <w:rPr/>
                              <w:t>presente </w:t>
                            </w:r>
                            <w:r>
                              <w:rPr>
                                <w:spacing w:val="-2"/>
                              </w:rPr>
                              <w:t>documento.</w:t>
                            </w:r>
                          </w:p>
                        </w:txbxContent>
                      </wps:txbx>
                      <wps:bodyPr wrap="square" lIns="0" tIns="0" rIns="0" bIns="0" rtlCol="0">
                        <a:noAutofit/>
                      </wps:bodyPr>
                    </wps:wsp>
                  </a:graphicData>
                </a:graphic>
              </wp:anchor>
            </w:drawing>
          </mc:Choice>
          <mc:Fallback>
            <w:pict>
              <v:shape style="position:absolute;margin-left:85.344002pt;margin-top:11.11375pt;width:441.5pt;height:236.7pt;mso-position-horizontal-relative:page;mso-position-vertical-relative:paragraph;z-index:-15719424;mso-wrap-distance-left:0;mso-wrap-distance-right:0" type="#_x0000_t202" id="docshape46" filled="false" stroked="true" strokeweight=".47998pt" strokecolor="#000000">
                <v:textbox inset="0,0,0,0">
                  <w:txbxContent>
                    <w:p>
                      <w:pPr>
                        <w:pStyle w:val="BodyText"/>
                        <w:numPr>
                          <w:ilvl w:val="0"/>
                          <w:numId w:val="11"/>
                        </w:numPr>
                        <w:tabs>
                          <w:tab w:pos="702" w:val="left" w:leader="none"/>
                        </w:tabs>
                        <w:spacing w:line="278" w:lineRule="exact" w:before="0" w:after="0"/>
                        <w:ind w:left="702" w:right="0" w:hanging="280"/>
                        <w:jc w:val="left"/>
                      </w:pPr>
                      <w:r>
                        <w:rPr/>
                        <w:t>NICSP</w:t>
                      </w:r>
                      <w:r>
                        <w:rPr>
                          <w:spacing w:val="-8"/>
                        </w:rPr>
                        <w:t> </w:t>
                      </w:r>
                      <w:r>
                        <w:rPr/>
                        <w:t>10</w:t>
                      </w:r>
                      <w:r>
                        <w:rPr>
                          <w:spacing w:val="-5"/>
                        </w:rPr>
                        <w:t> </w:t>
                      </w:r>
                      <w:r>
                        <w:rPr/>
                        <w:t>Información</w:t>
                      </w:r>
                      <w:r>
                        <w:rPr>
                          <w:spacing w:val="-7"/>
                        </w:rPr>
                        <w:t> </w:t>
                      </w:r>
                      <w:r>
                        <w:rPr/>
                        <w:t>financiera</w:t>
                      </w:r>
                      <w:r>
                        <w:rPr>
                          <w:spacing w:val="-7"/>
                        </w:rPr>
                        <w:t> </w:t>
                      </w:r>
                      <w:r>
                        <w:rPr/>
                        <w:t>en</w:t>
                      </w:r>
                      <w:r>
                        <w:rPr>
                          <w:spacing w:val="-5"/>
                        </w:rPr>
                        <w:t> </w:t>
                      </w:r>
                      <w:r>
                        <w:rPr/>
                        <w:t>economías</w:t>
                      </w:r>
                      <w:r>
                        <w:rPr>
                          <w:spacing w:val="-4"/>
                        </w:rPr>
                        <w:t> </w:t>
                      </w:r>
                      <w:r>
                        <w:rPr>
                          <w:spacing w:val="-2"/>
                        </w:rPr>
                        <w:t>hiperinflacionarias.</w:t>
                      </w:r>
                    </w:p>
                    <w:p>
                      <w:pPr>
                        <w:pStyle w:val="BodyText"/>
                        <w:numPr>
                          <w:ilvl w:val="0"/>
                          <w:numId w:val="11"/>
                        </w:numPr>
                        <w:tabs>
                          <w:tab w:pos="702" w:val="left" w:leader="none"/>
                        </w:tabs>
                        <w:spacing w:line="240" w:lineRule="auto" w:before="38" w:after="0"/>
                        <w:ind w:left="702" w:right="0" w:hanging="280"/>
                        <w:jc w:val="left"/>
                      </w:pPr>
                      <w:r>
                        <w:rPr/>
                        <w:t>NICSP</w:t>
                      </w:r>
                      <w:r>
                        <w:rPr>
                          <w:spacing w:val="-5"/>
                        </w:rPr>
                        <w:t> </w:t>
                      </w:r>
                      <w:r>
                        <w:rPr/>
                        <w:t>16</w:t>
                      </w:r>
                      <w:r>
                        <w:rPr>
                          <w:spacing w:val="-4"/>
                        </w:rPr>
                        <w:t> </w:t>
                      </w:r>
                      <w:r>
                        <w:rPr/>
                        <w:t>Propiedades</w:t>
                      </w:r>
                      <w:r>
                        <w:rPr>
                          <w:spacing w:val="-4"/>
                        </w:rPr>
                        <w:t> </w:t>
                      </w:r>
                      <w:r>
                        <w:rPr/>
                        <w:t>de</w:t>
                      </w:r>
                      <w:r>
                        <w:rPr>
                          <w:spacing w:val="-3"/>
                        </w:rPr>
                        <w:t> </w:t>
                      </w:r>
                      <w:r>
                        <w:rPr>
                          <w:spacing w:val="-2"/>
                        </w:rPr>
                        <w:t>inversión.</w:t>
                      </w:r>
                    </w:p>
                    <w:p>
                      <w:pPr>
                        <w:pStyle w:val="BodyText"/>
                        <w:numPr>
                          <w:ilvl w:val="0"/>
                          <w:numId w:val="11"/>
                        </w:numPr>
                        <w:tabs>
                          <w:tab w:pos="702" w:val="left" w:leader="none"/>
                        </w:tabs>
                        <w:spacing w:line="240" w:lineRule="auto" w:before="39" w:after="0"/>
                        <w:ind w:left="702" w:right="0" w:hanging="280"/>
                        <w:jc w:val="left"/>
                      </w:pPr>
                      <w:r>
                        <w:rPr/>
                        <w:t>NICSP</w:t>
                      </w:r>
                      <w:r>
                        <w:rPr>
                          <w:spacing w:val="-6"/>
                        </w:rPr>
                        <w:t> </w:t>
                      </w:r>
                      <w:r>
                        <w:rPr/>
                        <w:t>22</w:t>
                      </w:r>
                      <w:r>
                        <w:rPr>
                          <w:spacing w:val="-6"/>
                        </w:rPr>
                        <w:t> </w:t>
                      </w:r>
                      <w:r>
                        <w:rPr/>
                        <w:t>Revelación</w:t>
                      </w:r>
                      <w:r>
                        <w:rPr>
                          <w:spacing w:val="-4"/>
                        </w:rPr>
                        <w:t> </w:t>
                      </w:r>
                      <w:r>
                        <w:rPr/>
                        <w:t>de</w:t>
                      </w:r>
                      <w:r>
                        <w:rPr>
                          <w:spacing w:val="-2"/>
                        </w:rPr>
                        <w:t> </w:t>
                      </w:r>
                      <w:r>
                        <w:rPr/>
                        <w:t>información</w:t>
                      </w:r>
                      <w:r>
                        <w:rPr>
                          <w:spacing w:val="-6"/>
                        </w:rPr>
                        <w:t> </w:t>
                      </w:r>
                      <w:r>
                        <w:rPr/>
                        <w:t>financiera</w:t>
                      </w:r>
                      <w:r>
                        <w:rPr>
                          <w:spacing w:val="-6"/>
                        </w:rPr>
                        <w:t> </w:t>
                      </w:r>
                      <w:r>
                        <w:rPr/>
                        <w:t>sobre</w:t>
                      </w:r>
                      <w:r>
                        <w:rPr>
                          <w:spacing w:val="-5"/>
                        </w:rPr>
                        <w:t> </w:t>
                      </w:r>
                      <w:r>
                        <w:rPr/>
                        <w:t>el</w:t>
                      </w:r>
                      <w:r>
                        <w:rPr>
                          <w:spacing w:val="-4"/>
                        </w:rPr>
                        <w:t> </w:t>
                      </w:r>
                      <w:r>
                        <w:rPr/>
                        <w:t>sector</w:t>
                      </w:r>
                      <w:r>
                        <w:rPr>
                          <w:spacing w:val="-3"/>
                        </w:rPr>
                        <w:t> </w:t>
                      </w:r>
                      <w:r>
                        <w:rPr/>
                        <w:t>del</w:t>
                      </w:r>
                      <w:r>
                        <w:rPr>
                          <w:spacing w:val="-4"/>
                        </w:rPr>
                        <w:t> </w:t>
                      </w:r>
                      <w:r>
                        <w:rPr/>
                        <w:t>gobierno</w:t>
                      </w:r>
                      <w:r>
                        <w:rPr>
                          <w:spacing w:val="-3"/>
                        </w:rPr>
                        <w:t> </w:t>
                      </w:r>
                      <w:r>
                        <w:rPr>
                          <w:spacing w:val="-2"/>
                        </w:rPr>
                        <w:t>general.</w:t>
                      </w:r>
                    </w:p>
                    <w:p>
                      <w:pPr>
                        <w:pStyle w:val="BodyText"/>
                        <w:numPr>
                          <w:ilvl w:val="0"/>
                          <w:numId w:val="11"/>
                        </w:numPr>
                        <w:tabs>
                          <w:tab w:pos="702" w:val="left" w:leader="none"/>
                        </w:tabs>
                        <w:spacing w:line="240" w:lineRule="auto" w:before="36" w:after="0"/>
                        <w:ind w:left="702" w:right="0" w:hanging="280"/>
                        <w:jc w:val="left"/>
                      </w:pPr>
                      <w:r>
                        <w:rPr/>
                        <w:t>NICSP</w:t>
                      </w:r>
                      <w:r>
                        <w:rPr>
                          <w:spacing w:val="-2"/>
                        </w:rPr>
                        <w:t> </w:t>
                      </w:r>
                      <w:r>
                        <w:rPr/>
                        <w:t>27</w:t>
                      </w:r>
                      <w:r>
                        <w:rPr>
                          <w:spacing w:val="-2"/>
                        </w:rPr>
                        <w:t> Agricultura.</w:t>
                      </w:r>
                    </w:p>
                    <w:p>
                      <w:pPr>
                        <w:pStyle w:val="BodyText"/>
                        <w:numPr>
                          <w:ilvl w:val="0"/>
                          <w:numId w:val="11"/>
                        </w:numPr>
                        <w:tabs>
                          <w:tab w:pos="702" w:val="left" w:leader="none"/>
                        </w:tabs>
                        <w:spacing w:line="240" w:lineRule="auto" w:before="39" w:after="0"/>
                        <w:ind w:left="702" w:right="0" w:hanging="280"/>
                        <w:jc w:val="left"/>
                      </w:pPr>
                      <w:r>
                        <w:rPr/>
                        <w:t>NICSP</w:t>
                      </w:r>
                      <w:r>
                        <w:rPr>
                          <w:spacing w:val="-5"/>
                        </w:rPr>
                        <w:t> </w:t>
                      </w:r>
                      <w:r>
                        <w:rPr/>
                        <w:t>32</w:t>
                      </w:r>
                      <w:r>
                        <w:rPr>
                          <w:spacing w:val="-4"/>
                        </w:rPr>
                        <w:t> </w:t>
                      </w:r>
                      <w:r>
                        <w:rPr/>
                        <w:t>Acuerdos</w:t>
                      </w:r>
                      <w:r>
                        <w:rPr>
                          <w:spacing w:val="-3"/>
                        </w:rPr>
                        <w:t> </w:t>
                      </w:r>
                      <w:r>
                        <w:rPr/>
                        <w:t>de</w:t>
                      </w:r>
                      <w:r>
                        <w:rPr>
                          <w:spacing w:val="-3"/>
                        </w:rPr>
                        <w:t> </w:t>
                      </w:r>
                      <w:r>
                        <w:rPr/>
                        <w:t>concesión</w:t>
                      </w:r>
                      <w:r>
                        <w:rPr>
                          <w:spacing w:val="-4"/>
                        </w:rPr>
                        <w:t> </w:t>
                      </w:r>
                      <w:r>
                        <w:rPr/>
                        <w:t>de</w:t>
                      </w:r>
                      <w:r>
                        <w:rPr>
                          <w:spacing w:val="-3"/>
                        </w:rPr>
                        <w:t> </w:t>
                      </w:r>
                      <w:r>
                        <w:rPr>
                          <w:spacing w:val="-2"/>
                        </w:rPr>
                        <w:t>servicios.</w:t>
                      </w:r>
                    </w:p>
                    <w:p>
                      <w:pPr>
                        <w:pStyle w:val="BodyText"/>
                        <w:numPr>
                          <w:ilvl w:val="0"/>
                          <w:numId w:val="11"/>
                        </w:numPr>
                        <w:tabs>
                          <w:tab w:pos="702" w:val="left" w:leader="none"/>
                        </w:tabs>
                        <w:spacing w:line="240" w:lineRule="auto" w:before="36" w:after="0"/>
                        <w:ind w:left="702" w:right="0" w:hanging="280"/>
                        <w:jc w:val="left"/>
                      </w:pPr>
                      <w:r>
                        <w:rPr/>
                        <w:t>NICSP</w:t>
                      </w:r>
                      <w:r>
                        <w:rPr>
                          <w:spacing w:val="-5"/>
                        </w:rPr>
                        <w:t> </w:t>
                      </w:r>
                      <w:r>
                        <w:rPr/>
                        <w:t>35</w:t>
                      </w:r>
                      <w:r>
                        <w:rPr>
                          <w:spacing w:val="-4"/>
                        </w:rPr>
                        <w:t> </w:t>
                      </w:r>
                      <w:r>
                        <w:rPr/>
                        <w:t>Estados</w:t>
                      </w:r>
                      <w:r>
                        <w:rPr>
                          <w:spacing w:val="-3"/>
                        </w:rPr>
                        <w:t> </w:t>
                      </w:r>
                      <w:r>
                        <w:rPr/>
                        <w:t>Financieros</w:t>
                      </w:r>
                      <w:r>
                        <w:rPr>
                          <w:spacing w:val="-3"/>
                        </w:rPr>
                        <w:t> </w:t>
                      </w:r>
                      <w:r>
                        <w:rPr>
                          <w:spacing w:val="-2"/>
                        </w:rPr>
                        <w:t>consolidados.</w:t>
                      </w:r>
                    </w:p>
                    <w:p>
                      <w:pPr>
                        <w:pStyle w:val="BodyText"/>
                        <w:numPr>
                          <w:ilvl w:val="0"/>
                          <w:numId w:val="11"/>
                        </w:numPr>
                        <w:tabs>
                          <w:tab w:pos="702" w:val="left" w:leader="none"/>
                        </w:tabs>
                        <w:spacing w:line="240" w:lineRule="auto" w:before="38" w:after="0"/>
                        <w:ind w:left="702" w:right="0" w:hanging="280"/>
                        <w:jc w:val="left"/>
                      </w:pPr>
                      <w:r>
                        <w:rPr/>
                        <w:t>NICSP</w:t>
                      </w:r>
                      <w:r>
                        <w:rPr>
                          <w:spacing w:val="-5"/>
                        </w:rPr>
                        <w:t> </w:t>
                      </w:r>
                      <w:r>
                        <w:rPr/>
                        <w:t>36</w:t>
                      </w:r>
                      <w:r>
                        <w:rPr>
                          <w:spacing w:val="-4"/>
                        </w:rPr>
                        <w:t> </w:t>
                      </w:r>
                      <w:r>
                        <w:rPr/>
                        <w:t>Inversiones</w:t>
                      </w:r>
                      <w:r>
                        <w:rPr>
                          <w:spacing w:val="-4"/>
                        </w:rPr>
                        <w:t> </w:t>
                      </w:r>
                      <w:r>
                        <w:rPr/>
                        <w:t>en</w:t>
                      </w:r>
                      <w:r>
                        <w:rPr>
                          <w:spacing w:val="-4"/>
                        </w:rPr>
                        <w:t> </w:t>
                      </w:r>
                      <w:r>
                        <w:rPr/>
                        <w:t>asociadas</w:t>
                      </w:r>
                      <w:r>
                        <w:rPr>
                          <w:spacing w:val="-4"/>
                        </w:rPr>
                        <w:t> </w:t>
                      </w:r>
                      <w:r>
                        <w:rPr/>
                        <w:t>y</w:t>
                      </w:r>
                      <w:r>
                        <w:rPr>
                          <w:spacing w:val="-5"/>
                        </w:rPr>
                        <w:t> </w:t>
                      </w:r>
                      <w:r>
                        <w:rPr/>
                        <w:t>negocios</w:t>
                      </w:r>
                      <w:r>
                        <w:rPr>
                          <w:spacing w:val="-3"/>
                        </w:rPr>
                        <w:t> </w:t>
                      </w:r>
                      <w:r>
                        <w:rPr>
                          <w:spacing w:val="-2"/>
                        </w:rPr>
                        <w:t>conjuntos.</w:t>
                      </w:r>
                    </w:p>
                    <w:p>
                      <w:pPr>
                        <w:pStyle w:val="BodyText"/>
                        <w:numPr>
                          <w:ilvl w:val="0"/>
                          <w:numId w:val="11"/>
                        </w:numPr>
                        <w:tabs>
                          <w:tab w:pos="702" w:val="left" w:leader="none"/>
                        </w:tabs>
                        <w:spacing w:line="240" w:lineRule="auto" w:before="39" w:after="0"/>
                        <w:ind w:left="702" w:right="0" w:hanging="280"/>
                        <w:jc w:val="left"/>
                      </w:pPr>
                      <w:r>
                        <w:rPr/>
                        <w:t>NICSP</w:t>
                      </w:r>
                      <w:r>
                        <w:rPr>
                          <w:spacing w:val="-4"/>
                        </w:rPr>
                        <w:t> </w:t>
                      </w:r>
                      <w:r>
                        <w:rPr/>
                        <w:t>37</w:t>
                      </w:r>
                      <w:r>
                        <w:rPr>
                          <w:spacing w:val="-3"/>
                        </w:rPr>
                        <w:t> </w:t>
                      </w:r>
                      <w:r>
                        <w:rPr/>
                        <w:t>Acuerdos</w:t>
                      </w:r>
                      <w:r>
                        <w:rPr>
                          <w:spacing w:val="-2"/>
                        </w:rPr>
                        <w:t> conjuntos.</w:t>
                      </w:r>
                    </w:p>
                    <w:p>
                      <w:pPr>
                        <w:pStyle w:val="BodyText"/>
                        <w:numPr>
                          <w:ilvl w:val="0"/>
                          <w:numId w:val="11"/>
                        </w:numPr>
                        <w:tabs>
                          <w:tab w:pos="702" w:val="left" w:leader="none"/>
                        </w:tabs>
                        <w:spacing w:line="240" w:lineRule="auto" w:before="37" w:after="0"/>
                        <w:ind w:left="702" w:right="0" w:hanging="280"/>
                        <w:jc w:val="left"/>
                      </w:pPr>
                      <w:r>
                        <w:rPr/>
                        <w:t>NICSP</w:t>
                      </w:r>
                      <w:r>
                        <w:rPr>
                          <w:spacing w:val="-4"/>
                        </w:rPr>
                        <w:t> </w:t>
                      </w:r>
                      <w:r>
                        <w:rPr/>
                        <w:t>38</w:t>
                      </w:r>
                      <w:r>
                        <w:rPr>
                          <w:spacing w:val="-6"/>
                        </w:rPr>
                        <w:t> </w:t>
                      </w:r>
                      <w:r>
                        <w:rPr/>
                        <w:t>Revelación</w:t>
                      </w:r>
                      <w:r>
                        <w:rPr>
                          <w:spacing w:val="-4"/>
                        </w:rPr>
                        <w:t> </w:t>
                      </w:r>
                      <w:r>
                        <w:rPr/>
                        <w:t>de</w:t>
                      </w:r>
                      <w:r>
                        <w:rPr>
                          <w:spacing w:val="-3"/>
                        </w:rPr>
                        <w:t> </w:t>
                      </w:r>
                      <w:r>
                        <w:rPr/>
                        <w:t>intereses</w:t>
                      </w:r>
                      <w:r>
                        <w:rPr>
                          <w:spacing w:val="-2"/>
                        </w:rPr>
                        <w:t> </w:t>
                      </w:r>
                      <w:r>
                        <w:rPr/>
                        <w:t>en</w:t>
                      </w:r>
                      <w:r>
                        <w:rPr>
                          <w:spacing w:val="-4"/>
                        </w:rPr>
                        <w:t> </w:t>
                      </w:r>
                      <w:r>
                        <w:rPr/>
                        <w:t>otras</w:t>
                      </w:r>
                      <w:r>
                        <w:rPr>
                          <w:spacing w:val="-5"/>
                        </w:rPr>
                        <w:t> </w:t>
                      </w:r>
                      <w:r>
                        <w:rPr>
                          <w:spacing w:val="-2"/>
                        </w:rPr>
                        <w:t>entidades.</w:t>
                      </w:r>
                    </w:p>
                    <w:p>
                      <w:pPr>
                        <w:pStyle w:val="BodyText"/>
                        <w:numPr>
                          <w:ilvl w:val="0"/>
                          <w:numId w:val="11"/>
                        </w:numPr>
                        <w:tabs>
                          <w:tab w:pos="704" w:val="left" w:leader="none"/>
                        </w:tabs>
                        <w:spacing w:line="240" w:lineRule="auto" w:before="38" w:after="0"/>
                        <w:ind w:left="704" w:right="0" w:hanging="282"/>
                        <w:jc w:val="left"/>
                      </w:pPr>
                      <w:r>
                        <w:rPr/>
                        <w:t>NICSP</w:t>
                      </w:r>
                      <w:r>
                        <w:rPr>
                          <w:spacing w:val="-3"/>
                        </w:rPr>
                        <w:t> </w:t>
                      </w:r>
                      <w:r>
                        <w:rPr/>
                        <w:t>40</w:t>
                      </w:r>
                      <w:r>
                        <w:rPr>
                          <w:spacing w:val="-6"/>
                        </w:rPr>
                        <w:t> </w:t>
                      </w:r>
                      <w:r>
                        <w:rPr/>
                        <w:t>Combinaciones</w:t>
                      </w:r>
                      <w:r>
                        <w:rPr>
                          <w:spacing w:val="-5"/>
                        </w:rPr>
                        <w:t> </w:t>
                      </w:r>
                      <w:r>
                        <w:rPr/>
                        <w:t>en</w:t>
                      </w:r>
                      <w:r>
                        <w:rPr>
                          <w:spacing w:val="-5"/>
                        </w:rPr>
                        <w:t> </w:t>
                      </w:r>
                      <w:r>
                        <w:rPr/>
                        <w:t>el</w:t>
                      </w:r>
                      <w:r>
                        <w:rPr>
                          <w:spacing w:val="-3"/>
                        </w:rPr>
                        <w:t> </w:t>
                      </w:r>
                      <w:r>
                        <w:rPr/>
                        <w:t>sector</w:t>
                      </w:r>
                      <w:r>
                        <w:rPr>
                          <w:spacing w:val="-2"/>
                        </w:rPr>
                        <w:t> público.</w:t>
                      </w:r>
                    </w:p>
                    <w:p>
                      <w:pPr>
                        <w:pStyle w:val="BodyText"/>
                        <w:spacing w:line="276" w:lineRule="auto" w:before="159"/>
                        <w:ind w:left="103" w:right="99"/>
                        <w:jc w:val="both"/>
                      </w:pPr>
                      <w:r>
                        <w:rPr/>
                        <w:t>Se consideran como normas contables “no aplicables” aquellas para las cuales, en la actualidad, la entidad no lleva a cabo ninguna transacción que se encuentre dentro del ámbito regulatorio o prescriptivo, ni tampoco prevé que se realicen en el corto o mediano plazo. La justificación y fundamento</w:t>
                      </w:r>
                      <w:r>
                        <w:rPr>
                          <w:spacing w:val="-13"/>
                        </w:rPr>
                        <w:t> </w:t>
                      </w:r>
                      <w:r>
                        <w:rPr/>
                        <w:t>técnico</w:t>
                      </w:r>
                      <w:r>
                        <w:rPr>
                          <w:spacing w:val="-14"/>
                        </w:rPr>
                        <w:t> </w:t>
                      </w:r>
                      <w:r>
                        <w:rPr/>
                        <w:t>de</w:t>
                      </w:r>
                      <w:r>
                        <w:rPr>
                          <w:spacing w:val="-13"/>
                        </w:rPr>
                        <w:t> </w:t>
                      </w:r>
                      <w:r>
                        <w:rPr/>
                        <w:t>esta</w:t>
                      </w:r>
                      <w:r>
                        <w:rPr>
                          <w:spacing w:val="-14"/>
                        </w:rPr>
                        <w:t> </w:t>
                      </w:r>
                      <w:r>
                        <w:rPr/>
                        <w:t>exclusión</w:t>
                      </w:r>
                      <w:r>
                        <w:rPr>
                          <w:spacing w:val="-11"/>
                        </w:rPr>
                        <w:t> </w:t>
                      </w:r>
                      <w:r>
                        <w:rPr/>
                        <w:t>es</w:t>
                      </w:r>
                      <w:r>
                        <w:rPr>
                          <w:spacing w:val="-12"/>
                        </w:rPr>
                        <w:t> </w:t>
                      </w:r>
                      <w:r>
                        <w:rPr/>
                        <w:t>detallado</w:t>
                      </w:r>
                      <w:r>
                        <w:rPr>
                          <w:spacing w:val="-12"/>
                        </w:rPr>
                        <w:t> </w:t>
                      </w:r>
                      <w:r>
                        <w:rPr/>
                        <w:t>y</w:t>
                      </w:r>
                      <w:r>
                        <w:rPr>
                          <w:spacing w:val="-14"/>
                        </w:rPr>
                        <w:t> </w:t>
                      </w:r>
                      <w:r>
                        <w:rPr/>
                        <w:t>revelado</w:t>
                      </w:r>
                      <w:r>
                        <w:rPr>
                          <w:spacing w:val="-11"/>
                        </w:rPr>
                        <w:t> </w:t>
                      </w:r>
                      <w:r>
                        <w:rPr/>
                        <w:t>en</w:t>
                      </w:r>
                      <w:r>
                        <w:rPr>
                          <w:spacing w:val="-13"/>
                        </w:rPr>
                        <w:t> </w:t>
                      </w:r>
                      <w:r>
                        <w:rPr/>
                        <w:t>los</w:t>
                      </w:r>
                      <w:r>
                        <w:rPr>
                          <w:spacing w:val="-14"/>
                        </w:rPr>
                        <w:t> </w:t>
                      </w:r>
                      <w:r>
                        <w:rPr/>
                        <w:t>siguientes</w:t>
                      </w:r>
                      <w:r>
                        <w:rPr>
                          <w:spacing w:val="-11"/>
                        </w:rPr>
                        <w:t> </w:t>
                      </w:r>
                      <w:r>
                        <w:rPr/>
                        <w:t>apartados</w:t>
                      </w:r>
                      <w:r>
                        <w:rPr>
                          <w:spacing w:val="-12"/>
                        </w:rPr>
                        <w:t> </w:t>
                      </w:r>
                      <w:r>
                        <w:rPr/>
                        <w:t>del</w:t>
                      </w:r>
                      <w:r>
                        <w:rPr>
                          <w:spacing w:val="-13"/>
                        </w:rPr>
                        <w:t> </w:t>
                      </w:r>
                      <w:r>
                        <w:rPr/>
                        <w:t>presente </w:t>
                      </w:r>
                      <w:r>
                        <w:rPr>
                          <w:spacing w:val="-2"/>
                        </w:rPr>
                        <w:t>documento.</w:t>
                      </w:r>
                    </w:p>
                  </w:txbxContent>
                </v:textbox>
                <v:stroke dashstyle="solid"/>
                <w10:wrap type="topAndBottom"/>
              </v:shape>
            </w:pict>
          </mc:Fallback>
        </mc:AlternateContent>
      </w:r>
    </w:p>
    <w:p>
      <w:pPr>
        <w:pStyle w:val="BodyText"/>
        <w:spacing w:before="183"/>
      </w:pPr>
    </w:p>
    <w:p>
      <w:pPr>
        <w:pStyle w:val="Heading6"/>
        <w:numPr>
          <w:ilvl w:val="0"/>
          <w:numId w:val="8"/>
        </w:numPr>
        <w:tabs>
          <w:tab w:pos="1339" w:val="left" w:leader="none"/>
        </w:tabs>
        <w:spacing w:line="240" w:lineRule="auto" w:before="1" w:after="0"/>
        <w:ind w:left="1339" w:right="0" w:hanging="358"/>
        <w:jc w:val="both"/>
      </w:pPr>
      <w:bookmarkStart w:name="_bookmark6" w:id="7"/>
      <w:bookmarkEnd w:id="7"/>
      <w:r>
        <w:rPr>
          <w:b w:val="0"/>
        </w:rPr>
      </w:r>
      <w:r>
        <w:rPr>
          <w:color w:val="1F3762"/>
        </w:rPr>
        <w:t>Moneda</w:t>
      </w:r>
      <w:r>
        <w:rPr>
          <w:color w:val="1F3762"/>
          <w:spacing w:val="-4"/>
        </w:rPr>
        <w:t> </w:t>
      </w:r>
      <w:r>
        <w:rPr>
          <w:color w:val="1F3762"/>
        </w:rPr>
        <w:t>funcional</w:t>
      </w:r>
      <w:r>
        <w:rPr>
          <w:color w:val="1F3762"/>
          <w:spacing w:val="-4"/>
        </w:rPr>
        <w:t> </w:t>
      </w:r>
      <w:r>
        <w:rPr>
          <w:color w:val="1F3762"/>
        </w:rPr>
        <w:t>y</w:t>
      </w:r>
      <w:r>
        <w:rPr>
          <w:color w:val="1F3762"/>
          <w:spacing w:val="-3"/>
        </w:rPr>
        <w:t> </w:t>
      </w:r>
      <w:r>
        <w:rPr>
          <w:color w:val="1F3762"/>
        </w:rPr>
        <w:t>de</w:t>
      </w:r>
      <w:r>
        <w:rPr>
          <w:color w:val="1F3762"/>
          <w:spacing w:val="-2"/>
        </w:rPr>
        <w:t> presentación.</w:t>
      </w:r>
    </w:p>
    <w:p>
      <w:pPr>
        <w:pStyle w:val="ListParagraph"/>
        <w:numPr>
          <w:ilvl w:val="1"/>
          <w:numId w:val="8"/>
        </w:numPr>
        <w:tabs>
          <w:tab w:pos="2062" w:val="left" w:leader="none"/>
        </w:tabs>
        <w:spacing w:line="360" w:lineRule="auto" w:before="126" w:after="0"/>
        <w:ind w:left="2062" w:right="976" w:hanging="360"/>
        <w:jc w:val="both"/>
        <w:rPr>
          <w:sz w:val="22"/>
        </w:rPr>
      </w:pPr>
      <w:r>
        <w:rPr>
          <w:sz w:val="22"/>
        </w:rPr>
        <w:t>De</w:t>
      </w:r>
      <w:r>
        <w:rPr>
          <w:spacing w:val="-9"/>
          <w:sz w:val="22"/>
        </w:rPr>
        <w:t> </w:t>
      </w:r>
      <w:r>
        <w:rPr>
          <w:sz w:val="22"/>
        </w:rPr>
        <w:t>acuerdo</w:t>
      </w:r>
      <w:r>
        <w:rPr>
          <w:spacing w:val="-9"/>
          <w:sz w:val="22"/>
        </w:rPr>
        <w:t> </w:t>
      </w:r>
      <w:r>
        <w:rPr>
          <w:sz w:val="22"/>
        </w:rPr>
        <w:t>con</w:t>
      </w:r>
      <w:r>
        <w:rPr>
          <w:spacing w:val="-9"/>
          <w:sz w:val="22"/>
        </w:rPr>
        <w:t> </w:t>
      </w:r>
      <w:r>
        <w:rPr>
          <w:sz w:val="22"/>
        </w:rPr>
        <w:t>la</w:t>
      </w:r>
      <w:r>
        <w:rPr>
          <w:spacing w:val="-11"/>
          <w:sz w:val="22"/>
        </w:rPr>
        <w:t> </w:t>
      </w:r>
      <w:r>
        <w:rPr>
          <w:sz w:val="22"/>
        </w:rPr>
        <w:t>NICSP</w:t>
      </w:r>
      <w:r>
        <w:rPr>
          <w:spacing w:val="-10"/>
          <w:sz w:val="22"/>
        </w:rPr>
        <w:t> </w:t>
      </w:r>
      <w:r>
        <w:rPr>
          <w:sz w:val="22"/>
        </w:rPr>
        <w:t>4-</w:t>
      </w:r>
      <w:r>
        <w:rPr>
          <w:spacing w:val="-10"/>
          <w:sz w:val="22"/>
        </w:rPr>
        <w:t> </w:t>
      </w:r>
      <w:r>
        <w:rPr>
          <w:sz w:val="22"/>
        </w:rPr>
        <w:t>Efectos</w:t>
      </w:r>
      <w:r>
        <w:rPr>
          <w:spacing w:val="-9"/>
          <w:sz w:val="22"/>
        </w:rPr>
        <w:t> </w:t>
      </w:r>
      <w:r>
        <w:rPr>
          <w:sz w:val="22"/>
        </w:rPr>
        <w:t>de</w:t>
      </w:r>
      <w:r>
        <w:rPr>
          <w:spacing w:val="-9"/>
          <w:sz w:val="22"/>
        </w:rPr>
        <w:t> </w:t>
      </w:r>
      <w:r>
        <w:rPr>
          <w:sz w:val="22"/>
        </w:rPr>
        <w:t>variaciones</w:t>
      </w:r>
      <w:r>
        <w:rPr>
          <w:spacing w:val="-9"/>
          <w:sz w:val="22"/>
        </w:rPr>
        <w:t> </w:t>
      </w:r>
      <w:r>
        <w:rPr>
          <w:sz w:val="22"/>
        </w:rPr>
        <w:t>en</w:t>
      </w:r>
      <w:r>
        <w:rPr>
          <w:spacing w:val="-9"/>
          <w:sz w:val="22"/>
        </w:rPr>
        <w:t> </w:t>
      </w:r>
      <w:r>
        <w:rPr>
          <w:sz w:val="22"/>
        </w:rPr>
        <w:t>las</w:t>
      </w:r>
      <w:r>
        <w:rPr>
          <w:spacing w:val="-9"/>
          <w:sz w:val="22"/>
        </w:rPr>
        <w:t> </w:t>
      </w:r>
      <w:r>
        <w:rPr>
          <w:sz w:val="22"/>
        </w:rPr>
        <w:t>tasas</w:t>
      </w:r>
      <w:r>
        <w:rPr>
          <w:spacing w:val="-9"/>
          <w:sz w:val="22"/>
        </w:rPr>
        <w:t> </w:t>
      </w:r>
      <w:r>
        <w:rPr>
          <w:sz w:val="22"/>
        </w:rPr>
        <w:t>de</w:t>
      </w:r>
      <w:r>
        <w:rPr>
          <w:spacing w:val="-8"/>
          <w:sz w:val="22"/>
        </w:rPr>
        <w:t> </w:t>
      </w:r>
      <w:r>
        <w:rPr>
          <w:sz w:val="22"/>
        </w:rPr>
        <w:t>cambio</w:t>
      </w:r>
      <w:r>
        <w:rPr>
          <w:spacing w:val="-9"/>
          <w:sz w:val="22"/>
        </w:rPr>
        <w:t> </w:t>
      </w:r>
      <w:r>
        <w:rPr>
          <w:sz w:val="22"/>
        </w:rPr>
        <w:t>de</w:t>
      </w:r>
      <w:r>
        <w:rPr>
          <w:spacing w:val="-8"/>
          <w:sz w:val="22"/>
        </w:rPr>
        <w:t> </w:t>
      </w:r>
      <w:r>
        <w:rPr>
          <w:sz w:val="22"/>
        </w:rPr>
        <w:t>moneda extranjera, indicar si esta norma afecta SI o NO a la institución (revelar en el Estado de</w:t>
      </w:r>
      <w:r>
        <w:rPr>
          <w:spacing w:val="-13"/>
          <w:sz w:val="22"/>
        </w:rPr>
        <w:t> </w:t>
      </w:r>
      <w:r>
        <w:rPr>
          <w:sz w:val="22"/>
        </w:rPr>
        <w:t>Rendimiento</w:t>
      </w:r>
      <w:r>
        <w:rPr>
          <w:spacing w:val="-13"/>
          <w:sz w:val="22"/>
        </w:rPr>
        <w:t> </w:t>
      </w:r>
      <w:r>
        <w:rPr>
          <w:sz w:val="22"/>
        </w:rPr>
        <w:t>Financiero</w:t>
      </w:r>
      <w:r>
        <w:rPr>
          <w:spacing w:val="-14"/>
          <w:sz w:val="22"/>
        </w:rPr>
        <w:t> </w:t>
      </w:r>
      <w:r>
        <w:rPr>
          <w:sz w:val="22"/>
        </w:rPr>
        <w:t>el</w:t>
      </w:r>
      <w:r>
        <w:rPr>
          <w:spacing w:val="-13"/>
          <w:sz w:val="22"/>
        </w:rPr>
        <w:t> </w:t>
      </w:r>
      <w:r>
        <w:rPr>
          <w:sz w:val="22"/>
        </w:rPr>
        <w:t>resultado</w:t>
      </w:r>
      <w:r>
        <w:rPr>
          <w:spacing w:val="-13"/>
          <w:sz w:val="22"/>
        </w:rPr>
        <w:t> </w:t>
      </w:r>
      <w:r>
        <w:rPr>
          <w:sz w:val="22"/>
        </w:rPr>
        <w:t>positivo</w:t>
      </w:r>
      <w:r>
        <w:rPr>
          <w:spacing w:val="-13"/>
          <w:sz w:val="22"/>
        </w:rPr>
        <w:t> </w:t>
      </w:r>
      <w:r>
        <w:rPr>
          <w:sz w:val="22"/>
        </w:rPr>
        <w:t>o</w:t>
      </w:r>
      <w:r>
        <w:rPr>
          <w:spacing w:val="-13"/>
          <w:sz w:val="22"/>
        </w:rPr>
        <w:t> </w:t>
      </w:r>
      <w:r>
        <w:rPr>
          <w:sz w:val="22"/>
        </w:rPr>
        <w:t>negativo</w:t>
      </w:r>
      <w:r>
        <w:rPr>
          <w:spacing w:val="-13"/>
          <w:sz w:val="22"/>
        </w:rPr>
        <w:t> </w:t>
      </w:r>
      <w:r>
        <w:rPr>
          <w:sz w:val="22"/>
        </w:rPr>
        <w:t>por</w:t>
      </w:r>
      <w:r>
        <w:rPr>
          <w:spacing w:val="-13"/>
          <w:sz w:val="22"/>
        </w:rPr>
        <w:t> </w:t>
      </w:r>
      <w:r>
        <w:rPr>
          <w:sz w:val="22"/>
        </w:rPr>
        <w:t>diferencial</w:t>
      </w:r>
      <w:r>
        <w:rPr>
          <w:spacing w:val="-14"/>
          <w:sz w:val="22"/>
        </w:rPr>
        <w:t> </w:t>
      </w:r>
      <w:r>
        <w:rPr>
          <w:sz w:val="22"/>
        </w:rPr>
        <w:t>cambiario).</w:t>
      </w:r>
    </w:p>
    <w:p>
      <w:pPr>
        <w:pStyle w:val="Heading6"/>
        <w:spacing w:before="172"/>
        <w:ind w:left="734"/>
        <w:rPr>
          <w:b w:val="0"/>
        </w:rPr>
      </w:pPr>
      <w:r>
        <w:rPr>
          <w:color w:val="1F4E79"/>
          <w:spacing w:val="-2"/>
          <w:u w:val="single" w:color="1F4E79"/>
        </w:rPr>
        <w:t>Revelación</w:t>
      </w:r>
      <w:r>
        <w:rPr>
          <w:b w:val="0"/>
          <w:spacing w:val="-2"/>
          <w:u w:val="none"/>
        </w:rPr>
        <w:t>:</w:t>
      </w:r>
    </w:p>
    <w:p>
      <w:pPr>
        <w:pStyle w:val="BodyText"/>
        <w:spacing w:line="259" w:lineRule="auto" w:before="178"/>
        <w:ind w:left="734" w:right="1001"/>
      </w:pPr>
      <w:r>
        <w:rPr/>
        <w:t>De</w:t>
      </w:r>
      <w:r>
        <w:rPr>
          <w:spacing w:val="-4"/>
        </w:rPr>
        <w:t> </w:t>
      </w:r>
      <w:r>
        <w:rPr/>
        <w:t>acuerdo</w:t>
      </w:r>
      <w:r>
        <w:rPr>
          <w:spacing w:val="-2"/>
        </w:rPr>
        <w:t> </w:t>
      </w:r>
      <w:r>
        <w:rPr/>
        <w:t>con</w:t>
      </w:r>
      <w:r>
        <w:rPr>
          <w:spacing w:val="-2"/>
        </w:rPr>
        <w:t> </w:t>
      </w:r>
      <w:r>
        <w:rPr/>
        <w:t>la</w:t>
      </w:r>
      <w:r>
        <w:rPr>
          <w:spacing w:val="-3"/>
        </w:rPr>
        <w:t> </w:t>
      </w:r>
      <w:r>
        <w:rPr/>
        <w:t>NICSP</w:t>
      </w:r>
      <w:r>
        <w:rPr>
          <w:spacing w:val="-2"/>
        </w:rPr>
        <w:t> </w:t>
      </w:r>
      <w:r>
        <w:rPr/>
        <w:t>4-</w:t>
      </w:r>
      <w:r>
        <w:rPr>
          <w:spacing w:val="-3"/>
        </w:rPr>
        <w:t> </w:t>
      </w:r>
      <w:r>
        <w:rPr/>
        <w:t>Efectos</w:t>
      </w:r>
      <w:r>
        <w:rPr>
          <w:spacing w:val="-1"/>
        </w:rPr>
        <w:t> </w:t>
      </w:r>
      <w:r>
        <w:rPr/>
        <w:t>de</w:t>
      </w:r>
      <w:r>
        <w:rPr>
          <w:spacing w:val="-4"/>
        </w:rPr>
        <w:t> </w:t>
      </w:r>
      <w:r>
        <w:rPr/>
        <w:t>variaciones</w:t>
      </w:r>
      <w:r>
        <w:rPr>
          <w:spacing w:val="-1"/>
        </w:rPr>
        <w:t> </w:t>
      </w:r>
      <w:r>
        <w:rPr/>
        <w:t>en</w:t>
      </w:r>
      <w:r>
        <w:rPr>
          <w:spacing w:val="-2"/>
        </w:rPr>
        <w:t> </w:t>
      </w:r>
      <w:r>
        <w:rPr/>
        <w:t>las</w:t>
      </w:r>
      <w:r>
        <w:rPr>
          <w:spacing w:val="-1"/>
        </w:rPr>
        <w:t> </w:t>
      </w:r>
      <w:r>
        <w:rPr/>
        <w:t>tasas</w:t>
      </w:r>
      <w:r>
        <w:rPr>
          <w:spacing w:val="-1"/>
        </w:rPr>
        <w:t> </w:t>
      </w:r>
      <w:r>
        <w:rPr/>
        <w:t>de</w:t>
      </w:r>
      <w:r>
        <w:rPr>
          <w:spacing w:val="-4"/>
        </w:rPr>
        <w:t> </w:t>
      </w:r>
      <w:r>
        <w:rPr/>
        <w:t>cambio</w:t>
      </w:r>
      <w:r>
        <w:rPr>
          <w:spacing w:val="-2"/>
        </w:rPr>
        <w:t> </w:t>
      </w:r>
      <w:r>
        <w:rPr/>
        <w:t>de</w:t>
      </w:r>
      <w:r>
        <w:rPr>
          <w:spacing w:val="-6"/>
        </w:rPr>
        <w:t> </w:t>
      </w:r>
      <w:r>
        <w:rPr/>
        <w:t>moneda</w:t>
      </w:r>
      <w:r>
        <w:rPr>
          <w:spacing w:val="-3"/>
        </w:rPr>
        <w:t> </w:t>
      </w:r>
      <w:r>
        <w:rPr/>
        <w:t>extranjera, indicar si este rubro afecta SI o NO a la institución, además del porcentaje de avance en la implementación que presenta.</w:t>
      </w:r>
    </w:p>
    <w:p>
      <w:pPr>
        <w:pStyle w:val="BodyText"/>
        <w:spacing w:before="10"/>
        <w:rPr>
          <w:sz w:val="13"/>
        </w:rPr>
      </w:pPr>
    </w:p>
    <w:tbl>
      <w:tblPr>
        <w:tblW w:w="0" w:type="auto"/>
        <w:jc w:val="left"/>
        <w:tblInd w:w="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01"/>
        <w:gridCol w:w="1822"/>
      </w:tblGrid>
      <w:tr>
        <w:trPr>
          <w:trHeight w:val="431" w:hRule="atLeast"/>
        </w:trPr>
        <w:tc>
          <w:tcPr>
            <w:tcW w:w="2401" w:type="dxa"/>
            <w:shd w:val="clear" w:color="auto" w:fill="17365D"/>
          </w:tcPr>
          <w:p>
            <w:pPr>
              <w:pStyle w:val="TableParagraph"/>
              <w:spacing w:before="2"/>
              <w:ind w:left="69"/>
              <w:rPr>
                <w:sz w:val="22"/>
              </w:rPr>
            </w:pPr>
            <w:r>
              <w:rPr>
                <w:color w:val="FFFFFF"/>
                <w:spacing w:val="-2"/>
                <w:sz w:val="22"/>
              </w:rPr>
              <w:t>Aplica</w:t>
            </w:r>
          </w:p>
        </w:tc>
        <w:tc>
          <w:tcPr>
            <w:tcW w:w="1822" w:type="dxa"/>
            <w:tcBorders>
              <w:top w:val="single" w:sz="4" w:space="0" w:color="000000"/>
              <w:bottom w:val="single" w:sz="4" w:space="0" w:color="000000"/>
              <w:right w:val="single" w:sz="4" w:space="0" w:color="000000"/>
            </w:tcBorders>
          </w:tcPr>
          <w:p>
            <w:pPr>
              <w:pStyle w:val="TableParagraph"/>
              <w:spacing w:line="231" w:lineRule="exact" w:before="180"/>
              <w:ind w:left="14"/>
              <w:jc w:val="center"/>
              <w:rPr>
                <w:sz w:val="22"/>
              </w:rPr>
            </w:pPr>
            <w:r>
              <w:rPr>
                <w:spacing w:val="-5"/>
                <w:sz w:val="22"/>
              </w:rPr>
              <w:t>SI</w:t>
            </w:r>
          </w:p>
        </w:tc>
      </w:tr>
      <w:tr>
        <w:trPr>
          <w:trHeight w:val="325" w:hRule="atLeast"/>
        </w:trPr>
        <w:tc>
          <w:tcPr>
            <w:tcW w:w="2401" w:type="dxa"/>
            <w:shd w:val="clear" w:color="auto" w:fill="17365D"/>
          </w:tcPr>
          <w:p>
            <w:pPr>
              <w:pStyle w:val="TableParagraph"/>
              <w:spacing w:before="36"/>
              <w:ind w:left="69"/>
              <w:rPr>
                <w:sz w:val="22"/>
              </w:rPr>
            </w:pPr>
            <w:r>
              <w:rPr>
                <w:color w:val="FFFFFF"/>
                <w:sz w:val="22"/>
              </w:rPr>
              <w:t>Porcentaje</w:t>
            </w:r>
            <w:r>
              <w:rPr>
                <w:color w:val="FFFFFF"/>
                <w:spacing w:val="-8"/>
                <w:sz w:val="22"/>
              </w:rPr>
              <w:t> </w:t>
            </w:r>
            <w:r>
              <w:rPr>
                <w:color w:val="FFFFFF"/>
                <w:spacing w:val="-2"/>
                <w:sz w:val="22"/>
              </w:rPr>
              <w:t>Avance</w:t>
            </w:r>
          </w:p>
        </w:tc>
        <w:tc>
          <w:tcPr>
            <w:tcW w:w="1822" w:type="dxa"/>
            <w:tcBorders>
              <w:top w:val="single" w:sz="4" w:space="0" w:color="000000"/>
              <w:bottom w:val="single" w:sz="4" w:space="0" w:color="000000"/>
              <w:right w:val="single" w:sz="4" w:space="0" w:color="000000"/>
            </w:tcBorders>
          </w:tcPr>
          <w:p>
            <w:pPr>
              <w:pStyle w:val="TableParagraph"/>
              <w:spacing w:line="233" w:lineRule="exact" w:before="72"/>
              <w:ind w:left="14" w:right="6"/>
              <w:jc w:val="center"/>
              <w:rPr>
                <w:sz w:val="22"/>
              </w:rPr>
            </w:pPr>
            <w:r>
              <w:rPr>
                <w:spacing w:val="-2"/>
                <w:sz w:val="22"/>
              </w:rPr>
              <w:t>100,00%</w:t>
            </w:r>
          </w:p>
        </w:tc>
      </w:tr>
    </w:tbl>
    <w:p>
      <w:pPr>
        <w:pStyle w:val="Heading6"/>
        <w:ind w:left="3435"/>
      </w:pPr>
      <w:r>
        <w:rPr/>
        <w:t>-Aplicación</w:t>
      </w:r>
      <w:r>
        <w:rPr>
          <w:spacing w:val="-11"/>
        </w:rPr>
        <w:t> </w:t>
      </w:r>
      <w:r>
        <w:rPr>
          <w:spacing w:val="-2"/>
        </w:rPr>
        <w:t>Obligatoria-</w:t>
      </w:r>
    </w:p>
    <w:p>
      <w:pPr>
        <w:pStyle w:val="BodyText"/>
        <w:spacing w:line="259" w:lineRule="auto" w:before="179"/>
        <w:ind w:left="734" w:right="1087"/>
        <w:jc w:val="both"/>
      </w:pPr>
      <w:r>
        <w:rPr/>
        <w:t>La información financiera del IMAS se muestra en colones costarricenses, representados con el símbolo</w:t>
      </w:r>
      <w:r>
        <w:rPr>
          <w:spacing w:val="-3"/>
        </w:rPr>
        <w:t> </w:t>
      </w:r>
      <w:r>
        <w:rPr/>
        <w:t>(</w:t>
      </w:r>
      <w:r>
        <w:rPr>
          <w:rFonts w:ascii="Times New Roman" w:hAnsi="Times New Roman"/>
        </w:rPr>
        <w:t>₡</w:t>
      </w:r>
      <w:r>
        <w:rPr/>
        <w:t>),</w:t>
      </w:r>
      <w:r>
        <w:rPr>
          <w:spacing w:val="-3"/>
        </w:rPr>
        <w:t> </w:t>
      </w:r>
      <w:r>
        <w:rPr/>
        <w:t>la</w:t>
      </w:r>
      <w:r>
        <w:rPr>
          <w:spacing w:val="-5"/>
        </w:rPr>
        <w:t> </w:t>
      </w:r>
      <w:r>
        <w:rPr/>
        <w:t>cual</w:t>
      </w:r>
      <w:r>
        <w:rPr>
          <w:spacing w:val="-4"/>
        </w:rPr>
        <w:t> </w:t>
      </w:r>
      <w:r>
        <w:rPr/>
        <w:t>corresponde</w:t>
      </w:r>
      <w:r>
        <w:rPr>
          <w:spacing w:val="-5"/>
        </w:rPr>
        <w:t> </w:t>
      </w:r>
      <w:r>
        <w:rPr/>
        <w:t>a</w:t>
      </w:r>
      <w:r>
        <w:rPr>
          <w:spacing w:val="-4"/>
        </w:rPr>
        <w:t> </w:t>
      </w:r>
      <w:r>
        <w:rPr/>
        <w:t>la</w:t>
      </w:r>
      <w:r>
        <w:rPr>
          <w:spacing w:val="-5"/>
        </w:rPr>
        <w:t> </w:t>
      </w:r>
      <w:r>
        <w:rPr/>
        <w:t>unidad</w:t>
      </w:r>
      <w:r>
        <w:rPr>
          <w:spacing w:val="-4"/>
        </w:rPr>
        <w:t> </w:t>
      </w:r>
      <w:r>
        <w:rPr/>
        <w:t>monetaria</w:t>
      </w:r>
      <w:r>
        <w:rPr>
          <w:spacing w:val="-7"/>
        </w:rPr>
        <w:t> </w:t>
      </w:r>
      <w:r>
        <w:rPr/>
        <w:t>oficial</w:t>
      </w:r>
      <w:r>
        <w:rPr>
          <w:spacing w:val="-4"/>
        </w:rPr>
        <w:t> </w:t>
      </w:r>
      <w:r>
        <w:rPr/>
        <w:t>de</w:t>
      </w:r>
      <w:r>
        <w:rPr>
          <w:spacing w:val="-5"/>
        </w:rPr>
        <w:t> </w:t>
      </w:r>
      <w:r>
        <w:rPr/>
        <w:t>la</w:t>
      </w:r>
      <w:r>
        <w:rPr>
          <w:spacing w:val="-5"/>
        </w:rPr>
        <w:t> </w:t>
      </w:r>
      <w:r>
        <w:rPr/>
        <w:t>República</w:t>
      </w:r>
      <w:r>
        <w:rPr>
          <w:spacing w:val="-4"/>
        </w:rPr>
        <w:t> </w:t>
      </w:r>
      <w:r>
        <w:rPr/>
        <w:t>de</w:t>
      </w:r>
      <w:r>
        <w:rPr>
          <w:spacing w:val="-5"/>
        </w:rPr>
        <w:t> </w:t>
      </w:r>
      <w:r>
        <w:rPr/>
        <w:t>Costa</w:t>
      </w:r>
      <w:r>
        <w:rPr>
          <w:spacing w:val="-6"/>
        </w:rPr>
        <w:t> </w:t>
      </w:r>
      <w:r>
        <w:rPr/>
        <w:t>Rica</w:t>
      </w:r>
      <w:r>
        <w:rPr>
          <w:spacing w:val="-4"/>
        </w:rPr>
        <w:t> </w:t>
      </w:r>
      <w:r>
        <w:rPr/>
        <w:t>que</w:t>
      </w:r>
      <w:r>
        <w:rPr>
          <w:spacing w:val="-5"/>
        </w:rPr>
        <w:t> </w:t>
      </w:r>
      <w:r>
        <w:rPr/>
        <w:t>ha sido</w:t>
      </w:r>
      <w:r>
        <w:rPr>
          <w:spacing w:val="-1"/>
        </w:rPr>
        <w:t> </w:t>
      </w:r>
      <w:r>
        <w:rPr/>
        <w:t>definida</w:t>
      </w:r>
      <w:r>
        <w:rPr>
          <w:spacing w:val="-2"/>
        </w:rPr>
        <w:t> </w:t>
      </w:r>
      <w:r>
        <w:rPr/>
        <w:t>por</w:t>
      </w:r>
      <w:r>
        <w:rPr>
          <w:spacing w:val="-1"/>
        </w:rPr>
        <w:t> </w:t>
      </w:r>
      <w:r>
        <w:rPr/>
        <w:t>la</w:t>
      </w:r>
      <w:r>
        <w:rPr>
          <w:spacing w:val="-2"/>
        </w:rPr>
        <w:t> </w:t>
      </w:r>
      <w:r>
        <w:rPr/>
        <w:t>entidad como</w:t>
      </w:r>
      <w:r>
        <w:rPr>
          <w:spacing w:val="-1"/>
        </w:rPr>
        <w:t> </w:t>
      </w:r>
      <w:r>
        <w:rPr/>
        <w:t>su</w:t>
      </w:r>
      <w:r>
        <w:rPr>
          <w:spacing w:val="-1"/>
        </w:rPr>
        <w:t> </w:t>
      </w:r>
      <w:r>
        <w:rPr/>
        <w:t>moneda</w:t>
      </w:r>
      <w:r>
        <w:rPr>
          <w:spacing w:val="-2"/>
        </w:rPr>
        <w:t> </w:t>
      </w:r>
      <w:r>
        <w:rPr/>
        <w:t>funcional.</w:t>
      </w:r>
      <w:r>
        <w:rPr>
          <w:spacing w:val="-2"/>
        </w:rPr>
        <w:t> </w:t>
      </w:r>
      <w:r>
        <w:rPr/>
        <w:t>Esta</w:t>
      </w:r>
      <w:r>
        <w:rPr>
          <w:spacing w:val="-1"/>
        </w:rPr>
        <w:t> </w:t>
      </w:r>
      <w:r>
        <w:rPr/>
        <w:t>es la</w:t>
      </w:r>
      <w:r>
        <w:rPr>
          <w:spacing w:val="-3"/>
        </w:rPr>
        <w:t> </w:t>
      </w:r>
      <w:r>
        <w:rPr/>
        <w:t>moneda</w:t>
      </w:r>
      <w:r>
        <w:rPr>
          <w:spacing w:val="-2"/>
        </w:rPr>
        <w:t> </w:t>
      </w:r>
      <w:r>
        <w:rPr/>
        <w:t>en</w:t>
      </w:r>
      <w:r>
        <w:rPr>
          <w:spacing w:val="-1"/>
        </w:rPr>
        <w:t> </w:t>
      </w:r>
      <w:r>
        <w:rPr/>
        <w:t>curso</w:t>
      </w:r>
      <w:r>
        <w:rPr>
          <w:spacing w:val="-3"/>
        </w:rPr>
        <w:t> </w:t>
      </w:r>
      <w:r>
        <w:rPr/>
        <w:t>legal</w:t>
      </w:r>
      <w:r>
        <w:rPr>
          <w:spacing w:val="-2"/>
        </w:rPr>
        <w:t> </w:t>
      </w:r>
      <w:r>
        <w:rPr/>
        <w:t>del</w:t>
      </w:r>
      <w:r>
        <w:rPr>
          <w:spacing w:val="-1"/>
        </w:rPr>
        <w:t> </w:t>
      </w:r>
      <w:r>
        <w:rPr/>
        <w:t>país y refleja las transacciones, eventos y condiciones económicas que subyacen dentro de las gestiones </w:t>
      </w:r>
      <w:r>
        <w:rPr>
          <w:spacing w:val="-2"/>
        </w:rPr>
        <w:t>institucionales.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5488">
                <wp:simplePos x="0" y="0"/>
                <wp:positionH relativeFrom="page">
                  <wp:posOffset>9525</wp:posOffset>
                </wp:positionH>
                <wp:positionV relativeFrom="page">
                  <wp:posOffset>297208</wp:posOffset>
                </wp:positionV>
                <wp:extent cx="7762875" cy="9748520"/>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7762875" cy="9748520"/>
                          <a:chExt cx="7762875" cy="9748520"/>
                        </a:xfrm>
                      </wpg:grpSpPr>
                      <pic:pic>
                        <pic:nvPicPr>
                          <pic:cNvPr id="49" name="Image 49"/>
                          <pic:cNvPicPr/>
                        </pic:nvPicPr>
                        <pic:blipFill>
                          <a:blip r:embed="rId5" cstate="print"/>
                          <a:stretch>
                            <a:fillRect/>
                          </a:stretch>
                        </pic:blipFill>
                        <pic:spPr>
                          <a:xfrm>
                            <a:off x="0" y="0"/>
                            <a:ext cx="7762874" cy="9748489"/>
                          </a:xfrm>
                          <a:prstGeom prst="rect">
                            <a:avLst/>
                          </a:prstGeom>
                        </pic:spPr>
                      </pic:pic>
                      <wps:wsp>
                        <wps:cNvPr id="50" name="Graphic 50"/>
                        <wps:cNvSpPr/>
                        <wps:spPr>
                          <a:xfrm>
                            <a:off x="1053007" y="990837"/>
                            <a:ext cx="5649595" cy="4876165"/>
                          </a:xfrm>
                          <a:custGeom>
                            <a:avLst/>
                            <a:gdLst/>
                            <a:ahLst/>
                            <a:cxnLst/>
                            <a:rect l="l" t="t" r="r" b="b"/>
                            <a:pathLst>
                              <a:path w="5649595" h="4876165">
                                <a:moveTo>
                                  <a:pt x="5630862" y="4869815"/>
                                </a:moveTo>
                                <a:lnTo>
                                  <a:pt x="5624830" y="4869815"/>
                                </a:lnTo>
                                <a:lnTo>
                                  <a:pt x="24384" y="4869815"/>
                                </a:lnTo>
                                <a:lnTo>
                                  <a:pt x="18288" y="4869815"/>
                                </a:lnTo>
                                <a:lnTo>
                                  <a:pt x="18288" y="4875898"/>
                                </a:lnTo>
                                <a:lnTo>
                                  <a:pt x="24384" y="4875898"/>
                                </a:lnTo>
                                <a:lnTo>
                                  <a:pt x="5624779" y="4875898"/>
                                </a:lnTo>
                                <a:lnTo>
                                  <a:pt x="5630862" y="4875898"/>
                                </a:lnTo>
                                <a:lnTo>
                                  <a:pt x="5630862" y="4869815"/>
                                </a:lnTo>
                                <a:close/>
                              </a:path>
                              <a:path w="5649595" h="4876165">
                                <a:moveTo>
                                  <a:pt x="5630862" y="126479"/>
                                </a:moveTo>
                                <a:lnTo>
                                  <a:pt x="5624830" y="126479"/>
                                </a:lnTo>
                                <a:lnTo>
                                  <a:pt x="24384" y="126479"/>
                                </a:lnTo>
                                <a:lnTo>
                                  <a:pt x="18288" y="126479"/>
                                </a:lnTo>
                                <a:lnTo>
                                  <a:pt x="18288" y="132575"/>
                                </a:lnTo>
                                <a:lnTo>
                                  <a:pt x="18288" y="4869802"/>
                                </a:lnTo>
                                <a:lnTo>
                                  <a:pt x="24384" y="4869802"/>
                                </a:lnTo>
                                <a:lnTo>
                                  <a:pt x="24384" y="132575"/>
                                </a:lnTo>
                                <a:lnTo>
                                  <a:pt x="5624779" y="132575"/>
                                </a:lnTo>
                                <a:lnTo>
                                  <a:pt x="5624779" y="4869802"/>
                                </a:lnTo>
                                <a:lnTo>
                                  <a:pt x="5630862" y="4869802"/>
                                </a:lnTo>
                                <a:lnTo>
                                  <a:pt x="5630862" y="132575"/>
                                </a:lnTo>
                                <a:lnTo>
                                  <a:pt x="5630862" y="126479"/>
                                </a:lnTo>
                                <a:close/>
                              </a:path>
                              <a:path w="5649595" h="487616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80992" id="docshapegroup47" coordorigin="15,468" coordsize="12225,15352">
                <v:shape style="position:absolute;left:15;top:468;width:12225;height:15352" type="#_x0000_t75" id="docshape48" stroked="false">
                  <v:imagedata r:id="rId5" o:title=""/>
                </v:shape>
                <v:shape style="position:absolute;left:1673;top:2028;width:8897;height:7679" id="docshape49" coordorigin="1673,2028" coordsize="8897,7679" path="m10541,9697l10531,9697,10531,9697,1712,9697,1702,9697,1702,9707,1712,9707,10531,9707,10531,9707,10541,9707,10541,9697xm10541,2228l10531,2228,10531,2228,1712,2228,1702,2228,1702,2237,1702,9697,1712,9697,1712,2237,10531,2237,10531,9697,10541,969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15</w:t>
      </w:r>
    </w:p>
    <w:p>
      <w:pPr>
        <w:pStyle w:val="BodyText"/>
        <w:spacing w:line="259" w:lineRule="auto" w:before="227"/>
        <w:ind w:left="734" w:right="1087"/>
        <w:jc w:val="both"/>
      </w:pPr>
      <w:r>
        <w:rPr/>
        <w:t>Cuando</w:t>
      </w:r>
      <w:r>
        <w:rPr>
          <w:spacing w:val="-7"/>
        </w:rPr>
        <w:t> </w:t>
      </w:r>
      <w:r>
        <w:rPr/>
        <w:t>una</w:t>
      </w:r>
      <w:r>
        <w:rPr>
          <w:spacing w:val="-8"/>
        </w:rPr>
        <w:t> </w:t>
      </w:r>
      <w:r>
        <w:rPr/>
        <w:t>transacción</w:t>
      </w:r>
      <w:r>
        <w:rPr>
          <w:spacing w:val="-7"/>
        </w:rPr>
        <w:t> </w:t>
      </w:r>
      <w:r>
        <w:rPr/>
        <w:t>se</w:t>
      </w:r>
      <w:r>
        <w:rPr>
          <w:spacing w:val="-8"/>
        </w:rPr>
        <w:t> </w:t>
      </w:r>
      <w:r>
        <w:rPr/>
        <w:t>realice</w:t>
      </w:r>
      <w:r>
        <w:rPr>
          <w:spacing w:val="-6"/>
        </w:rPr>
        <w:t> </w:t>
      </w:r>
      <w:r>
        <w:rPr/>
        <w:t>en</w:t>
      </w:r>
      <w:r>
        <w:rPr>
          <w:spacing w:val="-4"/>
        </w:rPr>
        <w:t> </w:t>
      </w:r>
      <w:r>
        <w:rPr/>
        <w:t>una</w:t>
      </w:r>
      <w:r>
        <w:rPr>
          <w:spacing w:val="-5"/>
        </w:rPr>
        <w:t> </w:t>
      </w:r>
      <w:r>
        <w:rPr/>
        <w:t>moneda</w:t>
      </w:r>
      <w:r>
        <w:rPr>
          <w:spacing w:val="-6"/>
        </w:rPr>
        <w:t> </w:t>
      </w:r>
      <w:r>
        <w:rPr/>
        <w:t>distinta</w:t>
      </w:r>
      <w:r>
        <w:rPr>
          <w:spacing w:val="-5"/>
        </w:rPr>
        <w:t> </w:t>
      </w:r>
      <w:r>
        <w:rPr/>
        <w:t>de</w:t>
      </w:r>
      <w:r>
        <w:rPr>
          <w:spacing w:val="-6"/>
        </w:rPr>
        <w:t> </w:t>
      </w:r>
      <w:r>
        <w:rPr/>
        <w:t>la</w:t>
      </w:r>
      <w:r>
        <w:rPr>
          <w:spacing w:val="-8"/>
        </w:rPr>
        <w:t> </w:t>
      </w:r>
      <w:r>
        <w:rPr/>
        <w:t>moneda</w:t>
      </w:r>
      <w:r>
        <w:rPr>
          <w:spacing w:val="-6"/>
        </w:rPr>
        <w:t> </w:t>
      </w:r>
      <w:r>
        <w:rPr/>
        <w:t>funcional,</w:t>
      </w:r>
      <w:r>
        <w:rPr>
          <w:spacing w:val="-7"/>
        </w:rPr>
        <w:t> </w:t>
      </w:r>
      <w:r>
        <w:rPr/>
        <w:t>como</w:t>
      </w:r>
      <w:r>
        <w:rPr>
          <w:spacing w:val="-4"/>
        </w:rPr>
        <w:t> </w:t>
      </w:r>
      <w:r>
        <w:rPr/>
        <w:t>puede</w:t>
      </w:r>
      <w:r>
        <w:rPr>
          <w:spacing w:val="-6"/>
        </w:rPr>
        <w:t> </w:t>
      </w:r>
      <w:r>
        <w:rPr/>
        <w:t>ser el caso de dólares, euros, pesos u otros, esta será convertida a colones costarricense durante su reconocimiento</w:t>
      </w:r>
      <w:r>
        <w:rPr>
          <w:spacing w:val="-10"/>
        </w:rPr>
        <w:t> </w:t>
      </w:r>
      <w:r>
        <w:rPr/>
        <w:t>contable</w:t>
      </w:r>
      <w:r>
        <w:rPr>
          <w:spacing w:val="-12"/>
        </w:rPr>
        <w:t> </w:t>
      </w:r>
      <w:r>
        <w:rPr/>
        <w:t>inicial,</w:t>
      </w:r>
      <w:r>
        <w:rPr>
          <w:spacing w:val="-11"/>
        </w:rPr>
        <w:t> </w:t>
      </w:r>
      <w:r>
        <w:rPr/>
        <w:t>utilizando</w:t>
      </w:r>
      <w:r>
        <w:rPr>
          <w:spacing w:val="-10"/>
        </w:rPr>
        <w:t> </w:t>
      </w:r>
      <w:r>
        <w:rPr/>
        <w:t>el</w:t>
      </w:r>
      <w:r>
        <w:rPr>
          <w:spacing w:val="-11"/>
        </w:rPr>
        <w:t> </w:t>
      </w:r>
      <w:r>
        <w:rPr/>
        <w:t>tipo</w:t>
      </w:r>
      <w:r>
        <w:rPr>
          <w:spacing w:val="-12"/>
        </w:rPr>
        <w:t> </w:t>
      </w:r>
      <w:r>
        <w:rPr/>
        <w:t>de</w:t>
      </w:r>
      <w:r>
        <w:rPr>
          <w:spacing w:val="-12"/>
        </w:rPr>
        <w:t> </w:t>
      </w:r>
      <w:r>
        <w:rPr/>
        <w:t>cambio</w:t>
      </w:r>
      <w:r>
        <w:rPr>
          <w:spacing w:val="-10"/>
        </w:rPr>
        <w:t> </w:t>
      </w:r>
      <w:r>
        <w:rPr/>
        <w:t>vigente</w:t>
      </w:r>
      <w:r>
        <w:rPr>
          <w:spacing w:val="-11"/>
        </w:rPr>
        <w:t> </w:t>
      </w:r>
      <w:r>
        <w:rPr/>
        <w:t>publicado</w:t>
      </w:r>
      <w:r>
        <w:rPr>
          <w:spacing w:val="-10"/>
        </w:rPr>
        <w:t> </w:t>
      </w:r>
      <w:r>
        <w:rPr/>
        <w:t>por</w:t>
      </w:r>
      <w:r>
        <w:rPr>
          <w:spacing w:val="-13"/>
        </w:rPr>
        <w:t> </w:t>
      </w:r>
      <w:r>
        <w:rPr/>
        <w:t>el</w:t>
      </w:r>
      <w:r>
        <w:rPr>
          <w:spacing w:val="-11"/>
        </w:rPr>
        <w:t> </w:t>
      </w:r>
      <w:r>
        <w:rPr/>
        <w:t>Banco</w:t>
      </w:r>
      <w:r>
        <w:rPr>
          <w:spacing w:val="-12"/>
        </w:rPr>
        <w:t> </w:t>
      </w:r>
      <w:r>
        <w:rPr/>
        <w:t>Central de Costa Rica a la fecha en que ocurra la transacción.</w:t>
      </w:r>
    </w:p>
    <w:p>
      <w:pPr>
        <w:pStyle w:val="BodyText"/>
        <w:spacing w:before="21"/>
      </w:pPr>
    </w:p>
    <w:p>
      <w:pPr>
        <w:pStyle w:val="BodyText"/>
        <w:spacing w:line="276" w:lineRule="auto"/>
        <w:ind w:left="734" w:right="1090"/>
        <w:jc w:val="both"/>
      </w:pPr>
      <w:r>
        <w:rPr/>
        <w:t>En relación con los efectos derivados de las variaciones en las tasas de cambio de la moneda extranjera,</w:t>
      </w:r>
      <w:r>
        <w:rPr>
          <w:spacing w:val="-14"/>
        </w:rPr>
        <w:t> </w:t>
      </w:r>
      <w:r>
        <w:rPr/>
        <w:t>la</w:t>
      </w:r>
      <w:r>
        <w:rPr>
          <w:spacing w:val="-14"/>
        </w:rPr>
        <w:t> </w:t>
      </w:r>
      <w:r>
        <w:rPr/>
        <w:t>institución</w:t>
      </w:r>
      <w:r>
        <w:rPr>
          <w:spacing w:val="-14"/>
        </w:rPr>
        <w:t> </w:t>
      </w:r>
      <w:r>
        <w:rPr/>
        <w:t>reconoce</w:t>
      </w:r>
      <w:r>
        <w:rPr>
          <w:spacing w:val="-13"/>
        </w:rPr>
        <w:t> </w:t>
      </w:r>
      <w:r>
        <w:rPr/>
        <w:t>en</w:t>
      </w:r>
      <w:r>
        <w:rPr>
          <w:spacing w:val="-14"/>
        </w:rPr>
        <w:t> </w:t>
      </w:r>
      <w:r>
        <w:rPr/>
        <w:t>los</w:t>
      </w:r>
      <w:r>
        <w:rPr>
          <w:spacing w:val="-14"/>
        </w:rPr>
        <w:t> </w:t>
      </w:r>
      <w:r>
        <w:rPr/>
        <w:t>resultados</w:t>
      </w:r>
      <w:r>
        <w:rPr>
          <w:spacing w:val="-14"/>
        </w:rPr>
        <w:t> </w:t>
      </w:r>
      <w:r>
        <w:rPr/>
        <w:t>del</w:t>
      </w:r>
      <w:r>
        <w:rPr>
          <w:spacing w:val="-13"/>
        </w:rPr>
        <w:t> </w:t>
      </w:r>
      <w:r>
        <w:rPr/>
        <w:t>período</w:t>
      </w:r>
      <w:r>
        <w:rPr>
          <w:spacing w:val="-14"/>
        </w:rPr>
        <w:t> </w:t>
      </w:r>
      <w:r>
        <w:rPr/>
        <w:t>tanto</w:t>
      </w:r>
      <w:r>
        <w:rPr>
          <w:spacing w:val="-14"/>
        </w:rPr>
        <w:t> </w:t>
      </w:r>
      <w:r>
        <w:rPr/>
        <w:t>las</w:t>
      </w:r>
      <w:r>
        <w:rPr>
          <w:spacing w:val="-14"/>
        </w:rPr>
        <w:t> </w:t>
      </w:r>
      <w:r>
        <w:rPr/>
        <w:t>ganancias</w:t>
      </w:r>
      <w:r>
        <w:rPr>
          <w:spacing w:val="-13"/>
        </w:rPr>
        <w:t> </w:t>
      </w:r>
      <w:r>
        <w:rPr/>
        <w:t>como</w:t>
      </w:r>
      <w:r>
        <w:rPr>
          <w:spacing w:val="-13"/>
        </w:rPr>
        <w:t> </w:t>
      </w:r>
      <w:r>
        <w:rPr/>
        <w:t>las</w:t>
      </w:r>
      <w:r>
        <w:rPr>
          <w:spacing w:val="-13"/>
        </w:rPr>
        <w:t> </w:t>
      </w:r>
      <w:r>
        <w:rPr/>
        <w:t>pérdidas generadas por dichas variaciones, de conformidad con lo establecido en la NICSP 4. Las políticas, procedimientos, saldos y criterios aplicados para la gestión y el reconocimiento de estos efectos cambiarios se revelan con mayor detalle en la Notas 52 y 74 del presente documento.</w:t>
      </w:r>
    </w:p>
    <w:p>
      <w:pPr>
        <w:pStyle w:val="BodyText"/>
        <w:spacing w:line="259" w:lineRule="auto" w:before="120"/>
        <w:ind w:left="734" w:right="1089"/>
        <w:jc w:val="both"/>
      </w:pPr>
      <w:r>
        <w:rPr/>
        <w:t>Conforme a la política contable general 5.55 el tipo de cambio a utilizar para la conversión de las monedas a la moneda funcional es el siguiente: para las cuentas de activo, el tipo de cambio de compra y para las cuentas de pasivo, el tipo de cambio de venta, que emite el Banco Central de Costa Rica para las operaciones con el Sector Público no bancario.</w:t>
      </w:r>
    </w:p>
    <w:p>
      <w:pPr>
        <w:pStyle w:val="BodyText"/>
        <w:spacing w:before="19"/>
      </w:pPr>
    </w:p>
    <w:p>
      <w:pPr>
        <w:pStyle w:val="BodyText"/>
        <w:ind w:left="734"/>
        <w:jc w:val="both"/>
      </w:pPr>
      <w:r>
        <w:rPr/>
        <w:t>El</w:t>
      </w:r>
      <w:r>
        <w:rPr>
          <w:spacing w:val="-3"/>
        </w:rPr>
        <w:t> </w:t>
      </w:r>
      <w:r>
        <w:rPr/>
        <w:t>ajuste</w:t>
      </w:r>
      <w:r>
        <w:rPr>
          <w:spacing w:val="-4"/>
        </w:rPr>
        <w:t> </w:t>
      </w:r>
      <w:r>
        <w:rPr/>
        <w:t>por</w:t>
      </w:r>
      <w:r>
        <w:rPr>
          <w:spacing w:val="-3"/>
        </w:rPr>
        <w:t> </w:t>
      </w:r>
      <w:r>
        <w:rPr/>
        <w:t>el</w:t>
      </w:r>
      <w:r>
        <w:rPr>
          <w:spacing w:val="-3"/>
        </w:rPr>
        <w:t> </w:t>
      </w:r>
      <w:r>
        <w:rPr/>
        <w:t>diferencial</w:t>
      </w:r>
      <w:r>
        <w:rPr>
          <w:spacing w:val="-3"/>
        </w:rPr>
        <w:t> </w:t>
      </w:r>
      <w:r>
        <w:rPr/>
        <w:t>cambiario</w:t>
      </w:r>
      <w:r>
        <w:rPr>
          <w:spacing w:val="-3"/>
        </w:rPr>
        <w:t> </w:t>
      </w:r>
      <w:r>
        <w:rPr/>
        <w:t>se</w:t>
      </w:r>
      <w:r>
        <w:rPr>
          <w:spacing w:val="-4"/>
        </w:rPr>
        <w:t> </w:t>
      </w:r>
      <w:r>
        <w:rPr/>
        <w:t>realiza</w:t>
      </w:r>
      <w:r>
        <w:rPr>
          <w:spacing w:val="-3"/>
        </w:rPr>
        <w:t> </w:t>
      </w:r>
      <w:r>
        <w:rPr/>
        <w:t>el</w:t>
      </w:r>
      <w:r>
        <w:rPr>
          <w:spacing w:val="-3"/>
        </w:rPr>
        <w:t> </w:t>
      </w:r>
      <w:r>
        <w:rPr/>
        <w:t>último</w:t>
      </w:r>
      <w:r>
        <w:rPr>
          <w:spacing w:val="-5"/>
        </w:rPr>
        <w:t> </w:t>
      </w:r>
      <w:r>
        <w:rPr/>
        <w:t>día</w:t>
      </w:r>
      <w:r>
        <w:rPr>
          <w:spacing w:val="-4"/>
        </w:rPr>
        <w:t> </w:t>
      </w:r>
      <w:r>
        <w:rPr/>
        <w:t>de</w:t>
      </w:r>
      <w:r>
        <w:rPr>
          <w:spacing w:val="-5"/>
        </w:rPr>
        <w:t> </w:t>
      </w:r>
      <w:r>
        <w:rPr/>
        <w:t>cada</w:t>
      </w:r>
      <w:r>
        <w:rPr>
          <w:spacing w:val="-3"/>
        </w:rPr>
        <w:t> </w:t>
      </w:r>
      <w:r>
        <w:rPr>
          <w:spacing w:val="-4"/>
        </w:rPr>
        <w:t>mes.</w:t>
      </w:r>
    </w:p>
    <w:p>
      <w:pPr>
        <w:pStyle w:val="BodyText"/>
        <w:spacing w:before="40"/>
      </w:pPr>
    </w:p>
    <w:p>
      <w:pPr>
        <w:pStyle w:val="BodyText"/>
        <w:spacing w:line="276" w:lineRule="auto" w:before="1"/>
        <w:ind w:left="734" w:right="1090"/>
        <w:jc w:val="both"/>
      </w:pPr>
      <w:r>
        <w:rPr/>
        <w:t>Con el fin de garantizar una exposición clara y comprensible de la información, según los usuarios generales a los que va dirigido, los datos cuantitativos exhibidos dentro de los Informes y Estados Financieros de carácter institucional</w:t>
      </w:r>
      <w:r>
        <w:rPr>
          <w:spacing w:val="40"/>
        </w:rPr>
        <w:t> </w:t>
      </w:r>
      <w:r>
        <w:rPr/>
        <w:t>y</w:t>
      </w:r>
      <w:r>
        <w:rPr>
          <w:spacing w:val="40"/>
        </w:rPr>
        <w:t> </w:t>
      </w:r>
      <w:r>
        <w:rPr/>
        <w:t>para efectos de remisión de los informes requeridos por la DGCN,</w:t>
      </w:r>
      <w:r>
        <w:rPr>
          <w:spacing w:val="-5"/>
        </w:rPr>
        <w:t> </w:t>
      </w:r>
      <w:r>
        <w:rPr/>
        <w:t>y</w:t>
      </w:r>
      <w:r>
        <w:rPr>
          <w:spacing w:val="-6"/>
        </w:rPr>
        <w:t> </w:t>
      </w:r>
      <w:r>
        <w:rPr/>
        <w:t>conforme</w:t>
      </w:r>
      <w:r>
        <w:rPr>
          <w:spacing w:val="-6"/>
        </w:rPr>
        <w:t> </w:t>
      </w:r>
      <w:r>
        <w:rPr/>
        <w:t>a</w:t>
      </w:r>
      <w:r>
        <w:rPr>
          <w:spacing w:val="-5"/>
        </w:rPr>
        <w:t> </w:t>
      </w:r>
      <w:r>
        <w:rPr/>
        <w:t>sus</w:t>
      </w:r>
      <w:r>
        <w:rPr>
          <w:spacing w:val="-4"/>
        </w:rPr>
        <w:t> </w:t>
      </w:r>
      <w:r>
        <w:rPr/>
        <w:t>requerimientos,</w:t>
      </w:r>
      <w:r>
        <w:rPr>
          <w:spacing w:val="-5"/>
        </w:rPr>
        <w:t> </w:t>
      </w:r>
      <w:r>
        <w:rPr/>
        <w:t>las</w:t>
      </w:r>
      <w:r>
        <w:rPr>
          <w:spacing w:val="-4"/>
        </w:rPr>
        <w:t> </w:t>
      </w:r>
      <w:r>
        <w:rPr/>
        <w:t>cifras</w:t>
      </w:r>
      <w:r>
        <w:rPr>
          <w:spacing w:val="-4"/>
        </w:rPr>
        <w:t> </w:t>
      </w:r>
      <w:r>
        <w:rPr/>
        <w:t>serán</w:t>
      </w:r>
      <w:r>
        <w:rPr>
          <w:spacing w:val="-4"/>
        </w:rPr>
        <w:t> </w:t>
      </w:r>
      <w:r>
        <w:rPr/>
        <w:t>presentadas</w:t>
      </w:r>
      <w:r>
        <w:rPr>
          <w:spacing w:val="-4"/>
        </w:rPr>
        <w:t> </w:t>
      </w:r>
      <w:r>
        <w:rPr/>
        <w:t>de</w:t>
      </w:r>
      <w:r>
        <w:rPr>
          <w:spacing w:val="-6"/>
        </w:rPr>
        <w:t> </w:t>
      </w:r>
      <w:r>
        <w:rPr/>
        <w:t>forma</w:t>
      </w:r>
      <w:r>
        <w:rPr>
          <w:spacing w:val="-5"/>
        </w:rPr>
        <w:t> </w:t>
      </w:r>
      <w:r>
        <w:rPr/>
        <w:t>abreviada</w:t>
      </w:r>
      <w:r>
        <w:rPr>
          <w:spacing w:val="-6"/>
        </w:rPr>
        <w:t> </w:t>
      </w:r>
      <w:r>
        <w:rPr/>
        <w:t>en</w:t>
      </w:r>
      <w:r>
        <w:rPr>
          <w:spacing w:val="-4"/>
        </w:rPr>
        <w:t> </w:t>
      </w:r>
      <w:r>
        <w:rPr/>
        <w:t>“miles de colones”.</w:t>
      </w:r>
    </w:p>
    <w:p>
      <w:pPr>
        <w:pStyle w:val="BodyText"/>
        <w:spacing w:line="259" w:lineRule="auto" w:before="119"/>
        <w:ind w:left="734" w:right="1088"/>
        <w:jc w:val="both"/>
      </w:pPr>
      <w:r>
        <w:rPr/>
        <w:t>La abreviación en miles de colones se utiliza para facilitar la lectura de las cifras a un nivel de conciliación de saldos con el gobierno central y, además, esta se muestra a dos decimales. Es importante</w:t>
      </w:r>
      <w:r>
        <w:rPr>
          <w:spacing w:val="-9"/>
        </w:rPr>
        <w:t> </w:t>
      </w:r>
      <w:r>
        <w:rPr/>
        <w:t>destacar</w:t>
      </w:r>
      <w:r>
        <w:rPr>
          <w:spacing w:val="-11"/>
        </w:rPr>
        <w:t> </w:t>
      </w:r>
      <w:r>
        <w:rPr/>
        <w:t>que</w:t>
      </w:r>
      <w:r>
        <w:rPr>
          <w:spacing w:val="-9"/>
        </w:rPr>
        <w:t> </w:t>
      </w:r>
      <w:r>
        <w:rPr/>
        <w:t>en</w:t>
      </w:r>
      <w:r>
        <w:rPr>
          <w:spacing w:val="-10"/>
        </w:rPr>
        <w:t> </w:t>
      </w:r>
      <w:r>
        <w:rPr/>
        <w:t>todos</w:t>
      </w:r>
      <w:r>
        <w:rPr>
          <w:spacing w:val="-7"/>
        </w:rPr>
        <w:t> </w:t>
      </w:r>
      <w:r>
        <w:rPr/>
        <w:t>los</w:t>
      </w:r>
      <w:r>
        <w:rPr>
          <w:spacing w:val="-7"/>
        </w:rPr>
        <w:t> </w:t>
      </w:r>
      <w:r>
        <w:rPr/>
        <w:t>casos</w:t>
      </w:r>
      <w:r>
        <w:rPr>
          <w:spacing w:val="-7"/>
        </w:rPr>
        <w:t> </w:t>
      </w:r>
      <w:r>
        <w:rPr/>
        <w:t>las</w:t>
      </w:r>
      <w:r>
        <w:rPr>
          <w:spacing w:val="-7"/>
        </w:rPr>
        <w:t> </w:t>
      </w:r>
      <w:r>
        <w:rPr/>
        <w:t>cantidades</w:t>
      </w:r>
      <w:r>
        <w:rPr>
          <w:spacing w:val="-9"/>
        </w:rPr>
        <w:t> </w:t>
      </w:r>
      <w:r>
        <w:rPr/>
        <w:t>expuestas</w:t>
      </w:r>
      <w:r>
        <w:rPr>
          <w:spacing w:val="-10"/>
        </w:rPr>
        <w:t> </w:t>
      </w:r>
      <w:r>
        <w:rPr/>
        <w:t>mantienen</w:t>
      </w:r>
      <w:r>
        <w:rPr>
          <w:spacing w:val="-10"/>
        </w:rPr>
        <w:t> </w:t>
      </w:r>
      <w:r>
        <w:rPr/>
        <w:t>su</w:t>
      </w:r>
      <w:r>
        <w:rPr>
          <w:spacing w:val="-8"/>
        </w:rPr>
        <w:t> </w:t>
      </w:r>
      <w:r>
        <w:rPr/>
        <w:t>valor</w:t>
      </w:r>
      <w:r>
        <w:rPr>
          <w:spacing w:val="-8"/>
        </w:rPr>
        <w:t> </w:t>
      </w:r>
      <w:r>
        <w:rPr/>
        <w:t>real;</w:t>
      </w:r>
      <w:r>
        <w:rPr>
          <w:spacing w:val="-8"/>
        </w:rPr>
        <w:t> </w:t>
      </w:r>
      <w:r>
        <w:rPr/>
        <w:t>la</w:t>
      </w:r>
      <w:r>
        <w:rPr>
          <w:spacing w:val="-9"/>
        </w:rPr>
        <w:t> </w:t>
      </w:r>
      <w:r>
        <w:rPr/>
        <w:t>única diferencia radica en la forma de presentación numérica (ya sea completa o abreviada).</w:t>
      </w:r>
    </w:p>
    <w:p>
      <w:pPr>
        <w:pStyle w:val="BodyText"/>
        <w:spacing w:before="189"/>
      </w:pPr>
    </w:p>
    <w:p>
      <w:pPr>
        <w:pStyle w:val="Heading6"/>
        <w:numPr>
          <w:ilvl w:val="0"/>
          <w:numId w:val="8"/>
        </w:numPr>
        <w:tabs>
          <w:tab w:pos="1341" w:val="left" w:leader="none"/>
        </w:tabs>
        <w:spacing w:line="240" w:lineRule="auto" w:before="0" w:after="0"/>
        <w:ind w:left="1341" w:right="0" w:hanging="360"/>
        <w:jc w:val="left"/>
      </w:pPr>
      <w:bookmarkStart w:name="_bookmark7" w:id="8"/>
      <w:bookmarkEnd w:id="8"/>
      <w:r>
        <w:rPr>
          <w:b w:val="0"/>
        </w:rPr>
      </w:r>
      <w:r>
        <w:rPr>
          <w:color w:val="1F3762"/>
        </w:rPr>
        <w:t>Período</w:t>
      </w:r>
      <w:r>
        <w:rPr>
          <w:color w:val="1F3762"/>
          <w:spacing w:val="-4"/>
        </w:rPr>
        <w:t> </w:t>
      </w:r>
      <w:r>
        <w:rPr>
          <w:color w:val="1F3762"/>
        </w:rPr>
        <w:t>contable</w:t>
      </w:r>
      <w:r>
        <w:rPr>
          <w:color w:val="1F3762"/>
          <w:spacing w:val="-5"/>
        </w:rPr>
        <w:t> </w:t>
      </w:r>
      <w:r>
        <w:rPr>
          <w:color w:val="1F3762"/>
        </w:rPr>
        <w:t>que</w:t>
      </w:r>
      <w:r>
        <w:rPr>
          <w:color w:val="1F3762"/>
          <w:spacing w:val="-3"/>
        </w:rPr>
        <w:t> </w:t>
      </w:r>
      <w:r>
        <w:rPr>
          <w:color w:val="1F3762"/>
        </w:rPr>
        <w:t>abarcan</w:t>
      </w:r>
      <w:r>
        <w:rPr>
          <w:color w:val="1F3762"/>
          <w:spacing w:val="-3"/>
        </w:rPr>
        <w:t> </w:t>
      </w:r>
      <w:r>
        <w:rPr>
          <w:color w:val="1F3762"/>
        </w:rPr>
        <w:t>los</w:t>
      </w:r>
      <w:r>
        <w:rPr>
          <w:color w:val="1F3762"/>
          <w:spacing w:val="-2"/>
        </w:rPr>
        <w:t> EEFF.</w:t>
      </w:r>
    </w:p>
    <w:p>
      <w:pPr>
        <w:pStyle w:val="BodyText"/>
        <w:spacing w:before="10"/>
        <w:rPr>
          <w:b/>
          <w:sz w:val="8"/>
        </w:rPr>
      </w:pPr>
      <w:r>
        <w:rPr>
          <w:b/>
          <w:sz w:val="8"/>
        </w:rPr>
        <mc:AlternateContent>
          <mc:Choice Requires="wps">
            <w:drawing>
              <wp:anchor distT="0" distB="0" distL="0" distR="0" allowOverlap="1" layoutInCell="1" locked="0" behindDoc="1" simplePos="0" relativeHeight="487598080">
                <wp:simplePos x="0" y="0"/>
                <wp:positionH relativeFrom="page">
                  <wp:posOffset>1083868</wp:posOffset>
                </wp:positionH>
                <wp:positionV relativeFrom="paragraph">
                  <wp:posOffset>82708</wp:posOffset>
                </wp:positionV>
                <wp:extent cx="5607050" cy="2242185"/>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5607050" cy="2242185"/>
                        </a:xfrm>
                        <a:prstGeom prst="rect">
                          <a:avLst/>
                        </a:prstGeom>
                        <a:ln w="6095">
                          <a:solidFill>
                            <a:srgbClr val="000000"/>
                          </a:solidFill>
                          <a:prstDash val="solid"/>
                        </a:ln>
                      </wps:spPr>
                      <wps:txbx>
                        <w:txbxContent>
                          <w:p>
                            <w:pPr>
                              <w:pStyle w:val="BodyText"/>
                              <w:ind w:left="103"/>
                            </w:pPr>
                            <w:r>
                              <w:rPr>
                                <w:spacing w:val="-2"/>
                              </w:rPr>
                              <w:t>Revelación:</w:t>
                            </w:r>
                          </w:p>
                          <w:p>
                            <w:pPr>
                              <w:pStyle w:val="BodyText"/>
                              <w:spacing w:line="259" w:lineRule="auto" w:before="20"/>
                              <w:ind w:left="103" w:right="98"/>
                              <w:jc w:val="both"/>
                            </w:pPr>
                            <w:r>
                              <w:rPr/>
                              <w:t>Los</w:t>
                            </w:r>
                            <w:r>
                              <w:rPr>
                                <w:spacing w:val="-1"/>
                              </w:rPr>
                              <w:t> </w:t>
                            </w:r>
                            <w:r>
                              <w:rPr/>
                              <w:t>Estados</w:t>
                            </w:r>
                            <w:r>
                              <w:rPr>
                                <w:spacing w:val="-1"/>
                              </w:rPr>
                              <w:t> </w:t>
                            </w:r>
                            <w:r>
                              <w:rPr/>
                              <w:t>Financieros</w:t>
                            </w:r>
                            <w:r>
                              <w:rPr>
                                <w:spacing w:val="-1"/>
                              </w:rPr>
                              <w:t> </w:t>
                            </w:r>
                            <w:r>
                              <w:rPr/>
                              <w:t>se</w:t>
                            </w:r>
                            <w:r>
                              <w:rPr>
                                <w:spacing w:val="-6"/>
                              </w:rPr>
                              <w:t> </w:t>
                            </w:r>
                            <w:r>
                              <w:rPr/>
                              <w:t>elaboran</w:t>
                            </w:r>
                            <w:r>
                              <w:rPr>
                                <w:spacing w:val="-2"/>
                              </w:rPr>
                              <w:t> </w:t>
                            </w:r>
                            <w:r>
                              <w:rPr/>
                              <w:t>con</w:t>
                            </w:r>
                            <w:r>
                              <w:rPr>
                                <w:spacing w:val="-2"/>
                              </w:rPr>
                              <w:t> </w:t>
                            </w:r>
                            <w:r>
                              <w:rPr/>
                              <w:t>una</w:t>
                            </w:r>
                            <w:r>
                              <w:rPr>
                                <w:spacing w:val="-2"/>
                              </w:rPr>
                              <w:t> </w:t>
                            </w:r>
                            <w:r>
                              <w:rPr/>
                              <w:t>periodicidad</w:t>
                            </w:r>
                            <w:r>
                              <w:rPr>
                                <w:spacing w:val="-2"/>
                              </w:rPr>
                              <w:t> </w:t>
                            </w:r>
                            <w:r>
                              <w:rPr/>
                              <w:t>anual,</w:t>
                            </w:r>
                            <w:r>
                              <w:rPr>
                                <w:spacing w:val="-2"/>
                              </w:rPr>
                              <w:t> </w:t>
                            </w:r>
                            <w:r>
                              <w:rPr/>
                              <w:t>sin</w:t>
                            </w:r>
                            <w:r>
                              <w:rPr>
                                <w:spacing w:val="-2"/>
                              </w:rPr>
                              <w:t> </w:t>
                            </w:r>
                            <w:r>
                              <w:rPr/>
                              <w:t>perjuicio</w:t>
                            </w:r>
                            <w:r>
                              <w:rPr>
                                <w:spacing w:val="-2"/>
                              </w:rPr>
                              <w:t> </w:t>
                            </w:r>
                            <w:r>
                              <w:rPr/>
                              <w:t>que</w:t>
                            </w:r>
                            <w:r>
                              <w:rPr>
                                <w:spacing w:val="-4"/>
                              </w:rPr>
                              <w:t> </w:t>
                            </w:r>
                            <w:r>
                              <w:rPr/>
                              <w:t>la</w:t>
                            </w:r>
                            <w:r>
                              <w:rPr>
                                <w:spacing w:val="-4"/>
                              </w:rPr>
                              <w:t> </w:t>
                            </w:r>
                            <w:r>
                              <w:rPr/>
                              <w:t>DGCN</w:t>
                            </w:r>
                            <w:r>
                              <w:rPr>
                                <w:spacing w:val="-3"/>
                              </w:rPr>
                              <w:t> </w:t>
                            </w:r>
                            <w:r>
                              <w:rPr/>
                              <w:t>podrá solicitar informaciones contables intermedias.</w:t>
                            </w:r>
                            <w:r>
                              <w:rPr>
                                <w:spacing w:val="40"/>
                              </w:rPr>
                              <w:t> </w:t>
                            </w:r>
                            <w:r>
                              <w:rPr/>
                              <w:t>Los que se presentan, son parciales y comprenden las</w:t>
                            </w:r>
                            <w:r>
                              <w:rPr>
                                <w:spacing w:val="-2"/>
                              </w:rPr>
                              <w:t> </w:t>
                            </w:r>
                            <w:r>
                              <w:rPr/>
                              <w:t>operaciones,</w:t>
                            </w:r>
                            <w:r>
                              <w:rPr>
                                <w:spacing w:val="-3"/>
                              </w:rPr>
                              <w:t> </w:t>
                            </w:r>
                            <w:r>
                              <w:rPr/>
                              <w:t>transacciones</w:t>
                            </w:r>
                            <w:r>
                              <w:rPr>
                                <w:spacing w:val="-2"/>
                              </w:rPr>
                              <w:t> </w:t>
                            </w:r>
                            <w:r>
                              <w:rPr/>
                              <w:t>y</w:t>
                            </w:r>
                            <w:r>
                              <w:rPr>
                                <w:spacing w:val="-4"/>
                              </w:rPr>
                              <w:t> </w:t>
                            </w:r>
                            <w:r>
                              <w:rPr/>
                              <w:t>hechos</w:t>
                            </w:r>
                            <w:r>
                              <w:rPr>
                                <w:spacing w:val="-2"/>
                              </w:rPr>
                              <w:t> </w:t>
                            </w:r>
                            <w:r>
                              <w:rPr/>
                              <w:t>económicos</w:t>
                            </w:r>
                            <w:r>
                              <w:rPr>
                                <w:spacing w:val="-2"/>
                              </w:rPr>
                              <w:t> </w:t>
                            </w:r>
                            <w:r>
                              <w:rPr/>
                              <w:t>ocurridos</w:t>
                            </w:r>
                            <w:r>
                              <w:rPr>
                                <w:spacing w:val="-2"/>
                              </w:rPr>
                              <w:t> </w:t>
                            </w:r>
                            <w:r>
                              <w:rPr/>
                              <w:t>durante</w:t>
                            </w:r>
                            <w:r>
                              <w:rPr>
                                <w:spacing w:val="-3"/>
                              </w:rPr>
                              <w:t> </w:t>
                            </w:r>
                            <w:r>
                              <w:rPr/>
                              <w:t>el</w:t>
                            </w:r>
                            <w:r>
                              <w:rPr>
                                <w:spacing w:val="-3"/>
                              </w:rPr>
                              <w:t> </w:t>
                            </w:r>
                            <w:r>
                              <w:rPr/>
                              <w:t>período</w:t>
                            </w:r>
                            <w:r>
                              <w:rPr>
                                <w:spacing w:val="-3"/>
                              </w:rPr>
                              <w:t> </w:t>
                            </w:r>
                            <w:r>
                              <w:rPr/>
                              <w:t>contable</w:t>
                            </w:r>
                            <w:r>
                              <w:rPr>
                                <w:spacing w:val="-4"/>
                              </w:rPr>
                              <w:t> </w:t>
                            </w:r>
                            <w:r>
                              <w:rPr/>
                              <w:t>iniciado el 01 de enero y finalizado al 31 de julio del año 2026. La información financiera expuesta incluye, de</w:t>
                            </w:r>
                            <w:r>
                              <w:rPr>
                                <w:spacing w:val="-9"/>
                              </w:rPr>
                              <w:t> </w:t>
                            </w:r>
                            <w:r>
                              <w:rPr/>
                              <w:t>forma</w:t>
                            </w:r>
                            <w:r>
                              <w:rPr>
                                <w:spacing w:val="-8"/>
                              </w:rPr>
                              <w:t> </w:t>
                            </w:r>
                            <w:r>
                              <w:rPr/>
                              <w:t>integral,</w:t>
                            </w:r>
                            <w:r>
                              <w:rPr>
                                <w:spacing w:val="-7"/>
                              </w:rPr>
                              <w:t> </w:t>
                            </w:r>
                            <w:r>
                              <w:rPr/>
                              <w:t>los</w:t>
                            </w:r>
                            <w:r>
                              <w:rPr>
                                <w:spacing w:val="-8"/>
                              </w:rPr>
                              <w:t> </w:t>
                            </w:r>
                            <w:r>
                              <w:rPr/>
                              <w:t>resultados</w:t>
                            </w:r>
                            <w:r>
                              <w:rPr>
                                <w:spacing w:val="-6"/>
                              </w:rPr>
                              <w:t> </w:t>
                            </w:r>
                            <w:r>
                              <w:rPr/>
                              <w:t>de</w:t>
                            </w:r>
                            <w:r>
                              <w:rPr>
                                <w:spacing w:val="-9"/>
                              </w:rPr>
                              <w:t> </w:t>
                            </w:r>
                            <w:r>
                              <w:rPr/>
                              <w:t>la</w:t>
                            </w:r>
                            <w:r>
                              <w:rPr>
                                <w:spacing w:val="-8"/>
                              </w:rPr>
                              <w:t> </w:t>
                            </w:r>
                            <w:r>
                              <w:rPr/>
                              <w:t>gestión</w:t>
                            </w:r>
                            <w:r>
                              <w:rPr>
                                <w:spacing w:val="-7"/>
                              </w:rPr>
                              <w:t> </w:t>
                            </w:r>
                            <w:r>
                              <w:rPr/>
                              <w:t>institucional</w:t>
                            </w:r>
                            <w:r>
                              <w:rPr>
                                <w:spacing w:val="-8"/>
                              </w:rPr>
                              <w:t> </w:t>
                            </w:r>
                            <w:r>
                              <w:rPr/>
                              <w:t>y</w:t>
                            </w:r>
                            <w:r>
                              <w:rPr>
                                <w:spacing w:val="-8"/>
                              </w:rPr>
                              <w:t> </w:t>
                            </w:r>
                            <w:r>
                              <w:rPr/>
                              <w:t>la</w:t>
                            </w:r>
                            <w:r>
                              <w:rPr>
                                <w:spacing w:val="-8"/>
                              </w:rPr>
                              <w:t> </w:t>
                            </w:r>
                            <w:r>
                              <w:rPr/>
                              <w:t>situación</w:t>
                            </w:r>
                            <w:r>
                              <w:rPr>
                                <w:spacing w:val="-7"/>
                              </w:rPr>
                              <w:t> </w:t>
                            </w:r>
                            <w:r>
                              <w:rPr/>
                              <w:t>económica</w:t>
                            </w:r>
                            <w:r>
                              <w:rPr>
                                <w:spacing w:val="-8"/>
                              </w:rPr>
                              <w:t> </w:t>
                            </w:r>
                            <w:r>
                              <w:rPr/>
                              <w:t>al</w:t>
                            </w:r>
                            <w:r>
                              <w:rPr>
                                <w:spacing w:val="-8"/>
                              </w:rPr>
                              <w:t> </w:t>
                            </w:r>
                            <w:r>
                              <w:rPr/>
                              <w:t>cierre</w:t>
                            </w:r>
                            <w:r>
                              <w:rPr>
                                <w:spacing w:val="-8"/>
                              </w:rPr>
                              <w:t> </w:t>
                            </w:r>
                            <w:r>
                              <w:rPr/>
                              <w:t>de</w:t>
                            </w:r>
                            <w:r>
                              <w:rPr>
                                <w:spacing w:val="-3"/>
                              </w:rPr>
                              <w:t> </w:t>
                            </w:r>
                            <w:r>
                              <w:rPr/>
                              <w:t>julio, de conformidad con el marco normativo contable aplicable al sector público.</w:t>
                            </w:r>
                          </w:p>
                          <w:p>
                            <w:pPr>
                              <w:pStyle w:val="BodyText"/>
                              <w:spacing w:before="20"/>
                            </w:pPr>
                          </w:p>
                          <w:p>
                            <w:pPr>
                              <w:pStyle w:val="BodyText"/>
                              <w:spacing w:line="259" w:lineRule="auto"/>
                              <w:ind w:left="103" w:right="105"/>
                              <w:jc w:val="both"/>
                            </w:pPr>
                            <w:r>
                              <w:rPr/>
                              <w:t>Los estados financieros han sido preparados con base al principio de negocio en marcha, con respaldo de la Ley de Creación del IMAS Ley No.4760 se considera que las actividades del IMAS se desarrollarán de forma continua, cuya existencia tiene plena vigencia y proyección futura.</w:t>
                            </w:r>
                          </w:p>
                        </w:txbxContent>
                      </wps:txbx>
                      <wps:bodyPr wrap="square" lIns="0" tIns="0" rIns="0" bIns="0" rtlCol="0">
                        <a:noAutofit/>
                      </wps:bodyPr>
                    </wps:wsp>
                  </a:graphicData>
                </a:graphic>
              </wp:anchor>
            </w:drawing>
          </mc:Choice>
          <mc:Fallback>
            <w:pict>
              <v:shape style="position:absolute;margin-left:85.344002pt;margin-top:6.5125pt;width:441.5pt;height:176.55pt;mso-position-horizontal-relative:page;mso-position-vertical-relative:paragraph;z-index:-15718400;mso-wrap-distance-left:0;mso-wrap-distance-right:0" type="#_x0000_t202" id="docshape50" filled="false" stroked="true" strokeweight=".47998pt" strokecolor="#000000">
                <v:textbox inset="0,0,0,0">
                  <w:txbxContent>
                    <w:p>
                      <w:pPr>
                        <w:pStyle w:val="BodyText"/>
                        <w:ind w:left="103"/>
                      </w:pPr>
                      <w:r>
                        <w:rPr>
                          <w:spacing w:val="-2"/>
                        </w:rPr>
                        <w:t>Revelación:</w:t>
                      </w:r>
                    </w:p>
                    <w:p>
                      <w:pPr>
                        <w:pStyle w:val="BodyText"/>
                        <w:spacing w:line="259" w:lineRule="auto" w:before="20"/>
                        <w:ind w:left="103" w:right="98"/>
                        <w:jc w:val="both"/>
                      </w:pPr>
                      <w:r>
                        <w:rPr/>
                        <w:t>Los</w:t>
                      </w:r>
                      <w:r>
                        <w:rPr>
                          <w:spacing w:val="-1"/>
                        </w:rPr>
                        <w:t> </w:t>
                      </w:r>
                      <w:r>
                        <w:rPr/>
                        <w:t>Estados</w:t>
                      </w:r>
                      <w:r>
                        <w:rPr>
                          <w:spacing w:val="-1"/>
                        </w:rPr>
                        <w:t> </w:t>
                      </w:r>
                      <w:r>
                        <w:rPr/>
                        <w:t>Financieros</w:t>
                      </w:r>
                      <w:r>
                        <w:rPr>
                          <w:spacing w:val="-1"/>
                        </w:rPr>
                        <w:t> </w:t>
                      </w:r>
                      <w:r>
                        <w:rPr/>
                        <w:t>se</w:t>
                      </w:r>
                      <w:r>
                        <w:rPr>
                          <w:spacing w:val="-6"/>
                        </w:rPr>
                        <w:t> </w:t>
                      </w:r>
                      <w:r>
                        <w:rPr/>
                        <w:t>elaboran</w:t>
                      </w:r>
                      <w:r>
                        <w:rPr>
                          <w:spacing w:val="-2"/>
                        </w:rPr>
                        <w:t> </w:t>
                      </w:r>
                      <w:r>
                        <w:rPr/>
                        <w:t>con</w:t>
                      </w:r>
                      <w:r>
                        <w:rPr>
                          <w:spacing w:val="-2"/>
                        </w:rPr>
                        <w:t> </w:t>
                      </w:r>
                      <w:r>
                        <w:rPr/>
                        <w:t>una</w:t>
                      </w:r>
                      <w:r>
                        <w:rPr>
                          <w:spacing w:val="-2"/>
                        </w:rPr>
                        <w:t> </w:t>
                      </w:r>
                      <w:r>
                        <w:rPr/>
                        <w:t>periodicidad</w:t>
                      </w:r>
                      <w:r>
                        <w:rPr>
                          <w:spacing w:val="-2"/>
                        </w:rPr>
                        <w:t> </w:t>
                      </w:r>
                      <w:r>
                        <w:rPr/>
                        <w:t>anual,</w:t>
                      </w:r>
                      <w:r>
                        <w:rPr>
                          <w:spacing w:val="-2"/>
                        </w:rPr>
                        <w:t> </w:t>
                      </w:r>
                      <w:r>
                        <w:rPr/>
                        <w:t>sin</w:t>
                      </w:r>
                      <w:r>
                        <w:rPr>
                          <w:spacing w:val="-2"/>
                        </w:rPr>
                        <w:t> </w:t>
                      </w:r>
                      <w:r>
                        <w:rPr/>
                        <w:t>perjuicio</w:t>
                      </w:r>
                      <w:r>
                        <w:rPr>
                          <w:spacing w:val="-2"/>
                        </w:rPr>
                        <w:t> </w:t>
                      </w:r>
                      <w:r>
                        <w:rPr/>
                        <w:t>que</w:t>
                      </w:r>
                      <w:r>
                        <w:rPr>
                          <w:spacing w:val="-4"/>
                        </w:rPr>
                        <w:t> </w:t>
                      </w:r>
                      <w:r>
                        <w:rPr/>
                        <w:t>la</w:t>
                      </w:r>
                      <w:r>
                        <w:rPr>
                          <w:spacing w:val="-4"/>
                        </w:rPr>
                        <w:t> </w:t>
                      </w:r>
                      <w:r>
                        <w:rPr/>
                        <w:t>DGCN</w:t>
                      </w:r>
                      <w:r>
                        <w:rPr>
                          <w:spacing w:val="-3"/>
                        </w:rPr>
                        <w:t> </w:t>
                      </w:r>
                      <w:r>
                        <w:rPr/>
                        <w:t>podrá solicitar informaciones contables intermedias.</w:t>
                      </w:r>
                      <w:r>
                        <w:rPr>
                          <w:spacing w:val="40"/>
                        </w:rPr>
                        <w:t> </w:t>
                      </w:r>
                      <w:r>
                        <w:rPr/>
                        <w:t>Los que se presentan, son parciales y comprenden las</w:t>
                      </w:r>
                      <w:r>
                        <w:rPr>
                          <w:spacing w:val="-2"/>
                        </w:rPr>
                        <w:t> </w:t>
                      </w:r>
                      <w:r>
                        <w:rPr/>
                        <w:t>operaciones,</w:t>
                      </w:r>
                      <w:r>
                        <w:rPr>
                          <w:spacing w:val="-3"/>
                        </w:rPr>
                        <w:t> </w:t>
                      </w:r>
                      <w:r>
                        <w:rPr/>
                        <w:t>transacciones</w:t>
                      </w:r>
                      <w:r>
                        <w:rPr>
                          <w:spacing w:val="-2"/>
                        </w:rPr>
                        <w:t> </w:t>
                      </w:r>
                      <w:r>
                        <w:rPr/>
                        <w:t>y</w:t>
                      </w:r>
                      <w:r>
                        <w:rPr>
                          <w:spacing w:val="-4"/>
                        </w:rPr>
                        <w:t> </w:t>
                      </w:r>
                      <w:r>
                        <w:rPr/>
                        <w:t>hechos</w:t>
                      </w:r>
                      <w:r>
                        <w:rPr>
                          <w:spacing w:val="-2"/>
                        </w:rPr>
                        <w:t> </w:t>
                      </w:r>
                      <w:r>
                        <w:rPr/>
                        <w:t>económicos</w:t>
                      </w:r>
                      <w:r>
                        <w:rPr>
                          <w:spacing w:val="-2"/>
                        </w:rPr>
                        <w:t> </w:t>
                      </w:r>
                      <w:r>
                        <w:rPr/>
                        <w:t>ocurridos</w:t>
                      </w:r>
                      <w:r>
                        <w:rPr>
                          <w:spacing w:val="-2"/>
                        </w:rPr>
                        <w:t> </w:t>
                      </w:r>
                      <w:r>
                        <w:rPr/>
                        <w:t>durante</w:t>
                      </w:r>
                      <w:r>
                        <w:rPr>
                          <w:spacing w:val="-3"/>
                        </w:rPr>
                        <w:t> </w:t>
                      </w:r>
                      <w:r>
                        <w:rPr/>
                        <w:t>el</w:t>
                      </w:r>
                      <w:r>
                        <w:rPr>
                          <w:spacing w:val="-3"/>
                        </w:rPr>
                        <w:t> </w:t>
                      </w:r>
                      <w:r>
                        <w:rPr/>
                        <w:t>período</w:t>
                      </w:r>
                      <w:r>
                        <w:rPr>
                          <w:spacing w:val="-3"/>
                        </w:rPr>
                        <w:t> </w:t>
                      </w:r>
                      <w:r>
                        <w:rPr/>
                        <w:t>contable</w:t>
                      </w:r>
                      <w:r>
                        <w:rPr>
                          <w:spacing w:val="-4"/>
                        </w:rPr>
                        <w:t> </w:t>
                      </w:r>
                      <w:r>
                        <w:rPr/>
                        <w:t>iniciado el 01 de enero y finalizado al 31 de julio del año 2026. La información financiera expuesta incluye, de</w:t>
                      </w:r>
                      <w:r>
                        <w:rPr>
                          <w:spacing w:val="-9"/>
                        </w:rPr>
                        <w:t> </w:t>
                      </w:r>
                      <w:r>
                        <w:rPr/>
                        <w:t>forma</w:t>
                      </w:r>
                      <w:r>
                        <w:rPr>
                          <w:spacing w:val="-8"/>
                        </w:rPr>
                        <w:t> </w:t>
                      </w:r>
                      <w:r>
                        <w:rPr/>
                        <w:t>integral,</w:t>
                      </w:r>
                      <w:r>
                        <w:rPr>
                          <w:spacing w:val="-7"/>
                        </w:rPr>
                        <w:t> </w:t>
                      </w:r>
                      <w:r>
                        <w:rPr/>
                        <w:t>los</w:t>
                      </w:r>
                      <w:r>
                        <w:rPr>
                          <w:spacing w:val="-8"/>
                        </w:rPr>
                        <w:t> </w:t>
                      </w:r>
                      <w:r>
                        <w:rPr/>
                        <w:t>resultados</w:t>
                      </w:r>
                      <w:r>
                        <w:rPr>
                          <w:spacing w:val="-6"/>
                        </w:rPr>
                        <w:t> </w:t>
                      </w:r>
                      <w:r>
                        <w:rPr/>
                        <w:t>de</w:t>
                      </w:r>
                      <w:r>
                        <w:rPr>
                          <w:spacing w:val="-9"/>
                        </w:rPr>
                        <w:t> </w:t>
                      </w:r>
                      <w:r>
                        <w:rPr/>
                        <w:t>la</w:t>
                      </w:r>
                      <w:r>
                        <w:rPr>
                          <w:spacing w:val="-8"/>
                        </w:rPr>
                        <w:t> </w:t>
                      </w:r>
                      <w:r>
                        <w:rPr/>
                        <w:t>gestión</w:t>
                      </w:r>
                      <w:r>
                        <w:rPr>
                          <w:spacing w:val="-7"/>
                        </w:rPr>
                        <w:t> </w:t>
                      </w:r>
                      <w:r>
                        <w:rPr/>
                        <w:t>institucional</w:t>
                      </w:r>
                      <w:r>
                        <w:rPr>
                          <w:spacing w:val="-8"/>
                        </w:rPr>
                        <w:t> </w:t>
                      </w:r>
                      <w:r>
                        <w:rPr/>
                        <w:t>y</w:t>
                      </w:r>
                      <w:r>
                        <w:rPr>
                          <w:spacing w:val="-8"/>
                        </w:rPr>
                        <w:t> </w:t>
                      </w:r>
                      <w:r>
                        <w:rPr/>
                        <w:t>la</w:t>
                      </w:r>
                      <w:r>
                        <w:rPr>
                          <w:spacing w:val="-8"/>
                        </w:rPr>
                        <w:t> </w:t>
                      </w:r>
                      <w:r>
                        <w:rPr/>
                        <w:t>situación</w:t>
                      </w:r>
                      <w:r>
                        <w:rPr>
                          <w:spacing w:val="-7"/>
                        </w:rPr>
                        <w:t> </w:t>
                      </w:r>
                      <w:r>
                        <w:rPr/>
                        <w:t>económica</w:t>
                      </w:r>
                      <w:r>
                        <w:rPr>
                          <w:spacing w:val="-8"/>
                        </w:rPr>
                        <w:t> </w:t>
                      </w:r>
                      <w:r>
                        <w:rPr/>
                        <w:t>al</w:t>
                      </w:r>
                      <w:r>
                        <w:rPr>
                          <w:spacing w:val="-8"/>
                        </w:rPr>
                        <w:t> </w:t>
                      </w:r>
                      <w:r>
                        <w:rPr/>
                        <w:t>cierre</w:t>
                      </w:r>
                      <w:r>
                        <w:rPr>
                          <w:spacing w:val="-8"/>
                        </w:rPr>
                        <w:t> </w:t>
                      </w:r>
                      <w:r>
                        <w:rPr/>
                        <w:t>de</w:t>
                      </w:r>
                      <w:r>
                        <w:rPr>
                          <w:spacing w:val="-3"/>
                        </w:rPr>
                        <w:t> </w:t>
                      </w:r>
                      <w:r>
                        <w:rPr/>
                        <w:t>julio, de conformidad con el marco normativo contable aplicable al sector público.</w:t>
                      </w:r>
                    </w:p>
                    <w:p>
                      <w:pPr>
                        <w:pStyle w:val="BodyText"/>
                        <w:spacing w:before="20"/>
                      </w:pPr>
                    </w:p>
                    <w:p>
                      <w:pPr>
                        <w:pStyle w:val="BodyText"/>
                        <w:spacing w:line="259" w:lineRule="auto"/>
                        <w:ind w:left="103" w:right="105"/>
                        <w:jc w:val="both"/>
                      </w:pPr>
                      <w:r>
                        <w:rPr/>
                        <w:t>Los estados financieros han sido preparados con base al principio de negocio en marcha, con respaldo de la Ley de Creación del IMAS Ley No.4760 se considera que las actividades del IMAS se desarrollarán de forma continua, cuya existencia tiene plena vigencia y proyección futura.</w:t>
                      </w:r>
                    </w:p>
                  </w:txbxContent>
                </v:textbox>
                <v:stroke dashstyle="solid"/>
                <w10:wrap type="topAndBottom"/>
              </v:shape>
            </w:pict>
          </mc:Fallback>
        </mc:AlternateContent>
      </w:r>
    </w:p>
    <w:p>
      <w:pPr>
        <w:pStyle w:val="BodyText"/>
        <w:spacing w:after="0"/>
        <w:rPr>
          <w:b/>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6512">
                <wp:simplePos x="0" y="0"/>
                <wp:positionH relativeFrom="page">
                  <wp:posOffset>9525</wp:posOffset>
                </wp:positionH>
                <wp:positionV relativeFrom="page">
                  <wp:posOffset>297208</wp:posOffset>
                </wp:positionV>
                <wp:extent cx="7762875" cy="974852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7762875" cy="9748520"/>
                          <a:chExt cx="7762875" cy="9748520"/>
                        </a:xfrm>
                      </wpg:grpSpPr>
                      <pic:pic>
                        <pic:nvPicPr>
                          <pic:cNvPr id="53" name="Image 53"/>
                          <pic:cNvPicPr/>
                        </pic:nvPicPr>
                        <pic:blipFill>
                          <a:blip r:embed="rId5" cstate="print"/>
                          <a:stretch>
                            <a:fillRect/>
                          </a:stretch>
                        </pic:blipFill>
                        <pic:spPr>
                          <a:xfrm>
                            <a:off x="0" y="0"/>
                            <a:ext cx="7762874" cy="9748489"/>
                          </a:xfrm>
                          <a:prstGeom prst="rect">
                            <a:avLst/>
                          </a:prstGeom>
                        </pic:spPr>
                      </pic:pic>
                      <wps:wsp>
                        <wps:cNvPr id="54" name="Graphic 54"/>
                        <wps:cNvSpPr/>
                        <wps:spPr>
                          <a:xfrm>
                            <a:off x="1053007" y="990837"/>
                            <a:ext cx="5649595" cy="7654925"/>
                          </a:xfrm>
                          <a:custGeom>
                            <a:avLst/>
                            <a:gdLst/>
                            <a:ahLst/>
                            <a:cxnLst/>
                            <a:rect l="l" t="t" r="r" b="b"/>
                            <a:pathLst>
                              <a:path w="5649595" h="7654925">
                                <a:moveTo>
                                  <a:pt x="5630862" y="7648397"/>
                                </a:moveTo>
                                <a:lnTo>
                                  <a:pt x="5624830" y="7648397"/>
                                </a:lnTo>
                                <a:lnTo>
                                  <a:pt x="24384" y="7648397"/>
                                </a:lnTo>
                                <a:lnTo>
                                  <a:pt x="18288" y="7648397"/>
                                </a:lnTo>
                                <a:lnTo>
                                  <a:pt x="18288" y="7654480"/>
                                </a:lnTo>
                                <a:lnTo>
                                  <a:pt x="24384" y="7654480"/>
                                </a:lnTo>
                                <a:lnTo>
                                  <a:pt x="5624779" y="7654480"/>
                                </a:lnTo>
                                <a:lnTo>
                                  <a:pt x="5630862" y="7654480"/>
                                </a:lnTo>
                                <a:lnTo>
                                  <a:pt x="5630862" y="7648397"/>
                                </a:lnTo>
                                <a:close/>
                              </a:path>
                              <a:path w="5649595" h="7654925">
                                <a:moveTo>
                                  <a:pt x="5630862" y="3763124"/>
                                </a:moveTo>
                                <a:lnTo>
                                  <a:pt x="5624830" y="3763124"/>
                                </a:lnTo>
                                <a:lnTo>
                                  <a:pt x="24384" y="3763124"/>
                                </a:lnTo>
                                <a:lnTo>
                                  <a:pt x="18288" y="3763124"/>
                                </a:lnTo>
                                <a:lnTo>
                                  <a:pt x="18288" y="3769169"/>
                                </a:lnTo>
                                <a:lnTo>
                                  <a:pt x="18288" y="7648384"/>
                                </a:lnTo>
                                <a:lnTo>
                                  <a:pt x="24384" y="7648384"/>
                                </a:lnTo>
                                <a:lnTo>
                                  <a:pt x="24384" y="3769220"/>
                                </a:lnTo>
                                <a:lnTo>
                                  <a:pt x="5624779" y="3769220"/>
                                </a:lnTo>
                                <a:lnTo>
                                  <a:pt x="5624779" y="7648384"/>
                                </a:lnTo>
                                <a:lnTo>
                                  <a:pt x="5630862" y="7648384"/>
                                </a:lnTo>
                                <a:lnTo>
                                  <a:pt x="5630862" y="3769220"/>
                                </a:lnTo>
                                <a:lnTo>
                                  <a:pt x="5630862" y="3763124"/>
                                </a:lnTo>
                                <a:close/>
                              </a:path>
                              <a:path w="5649595" h="765492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s:wsp>
                        <wps:cNvPr id="55" name="Textbox 55"/>
                        <wps:cNvSpPr txBox="1"/>
                        <wps:spPr>
                          <a:xfrm>
                            <a:off x="1142923" y="4778346"/>
                            <a:ext cx="5482590" cy="2680335"/>
                          </a:xfrm>
                          <a:prstGeom prst="rect">
                            <a:avLst/>
                          </a:prstGeom>
                        </wps:spPr>
                        <wps:txbx>
                          <w:txbxContent>
                            <w:p>
                              <w:pPr>
                                <w:spacing w:line="223" w:lineRule="exact" w:before="0"/>
                                <w:ind w:left="0" w:right="0" w:firstLine="0"/>
                                <w:jc w:val="left"/>
                                <w:rPr>
                                  <w:sz w:val="22"/>
                                </w:rPr>
                              </w:pPr>
                              <w:r>
                                <w:rPr>
                                  <w:b/>
                                  <w:color w:val="1F4E79"/>
                                  <w:spacing w:val="-2"/>
                                  <w:sz w:val="22"/>
                                  <w:u w:val="single" w:color="1F4E79"/>
                                </w:rPr>
                                <w:t>Revelación</w:t>
                              </w:r>
                              <w:r>
                                <w:rPr>
                                  <w:spacing w:val="-2"/>
                                  <w:sz w:val="22"/>
                                  <w:u w:val="none"/>
                                </w:rPr>
                                <w:t>:</w:t>
                              </w:r>
                            </w:p>
                            <w:p>
                              <w:pPr>
                                <w:spacing w:before="181"/>
                                <w:ind w:left="0" w:right="0" w:firstLine="0"/>
                                <w:jc w:val="both"/>
                                <w:rPr>
                                  <w:sz w:val="22"/>
                                </w:rPr>
                              </w:pPr>
                              <w:r>
                                <w:rPr>
                                  <w:sz w:val="22"/>
                                </w:rPr>
                                <w:t>Para</w:t>
                              </w:r>
                              <w:r>
                                <w:rPr>
                                  <w:spacing w:val="-6"/>
                                  <w:sz w:val="22"/>
                                </w:rPr>
                                <w:t> </w:t>
                              </w:r>
                              <w:r>
                                <w:rPr>
                                  <w:sz w:val="22"/>
                                </w:rPr>
                                <w:t>la</w:t>
                              </w:r>
                              <w:r>
                                <w:rPr>
                                  <w:spacing w:val="-4"/>
                                  <w:sz w:val="22"/>
                                </w:rPr>
                                <w:t> </w:t>
                              </w:r>
                              <w:r>
                                <w:rPr>
                                  <w:sz w:val="22"/>
                                </w:rPr>
                                <w:t>elaboración</w:t>
                              </w:r>
                              <w:r>
                                <w:rPr>
                                  <w:spacing w:val="-3"/>
                                  <w:sz w:val="22"/>
                                </w:rPr>
                                <w:t> </w:t>
                              </w:r>
                              <w:r>
                                <w:rPr>
                                  <w:sz w:val="22"/>
                                </w:rPr>
                                <w:t>de</w:t>
                              </w:r>
                              <w:r>
                                <w:rPr>
                                  <w:spacing w:val="-4"/>
                                  <w:sz w:val="22"/>
                                </w:rPr>
                                <w:t> </w:t>
                              </w:r>
                              <w:r>
                                <w:rPr>
                                  <w:sz w:val="22"/>
                                </w:rPr>
                                <w:t>los</w:t>
                              </w:r>
                              <w:r>
                                <w:rPr>
                                  <w:spacing w:val="-1"/>
                                  <w:sz w:val="22"/>
                                </w:rPr>
                                <w:t> </w:t>
                              </w:r>
                              <w:r>
                                <w:rPr>
                                  <w:sz w:val="22"/>
                                </w:rPr>
                                <w:t>estados</w:t>
                              </w:r>
                              <w:r>
                                <w:rPr>
                                  <w:spacing w:val="-2"/>
                                  <w:sz w:val="22"/>
                                </w:rPr>
                                <w:t> </w:t>
                              </w:r>
                              <w:r>
                                <w:rPr>
                                  <w:sz w:val="22"/>
                                </w:rPr>
                                <w:t>se</w:t>
                              </w:r>
                              <w:r>
                                <w:rPr>
                                  <w:spacing w:val="-3"/>
                                  <w:sz w:val="22"/>
                                </w:rPr>
                                <w:t> </w:t>
                              </w:r>
                              <w:r>
                                <w:rPr>
                                  <w:sz w:val="22"/>
                                </w:rPr>
                                <w:t>utiliza</w:t>
                              </w:r>
                              <w:r>
                                <w:rPr>
                                  <w:spacing w:val="-4"/>
                                  <w:sz w:val="22"/>
                                </w:rPr>
                                <w:t> </w:t>
                              </w:r>
                              <w:r>
                                <w:rPr>
                                  <w:sz w:val="22"/>
                                </w:rPr>
                                <w:t>la</w:t>
                              </w:r>
                              <w:r>
                                <w:rPr>
                                  <w:spacing w:val="-4"/>
                                  <w:sz w:val="22"/>
                                </w:rPr>
                                <w:t> </w:t>
                              </w:r>
                              <w:r>
                                <w:rPr>
                                  <w:sz w:val="22"/>
                                </w:rPr>
                                <w:t>Base</w:t>
                              </w:r>
                              <w:r>
                                <w:rPr>
                                  <w:spacing w:val="-2"/>
                                  <w:sz w:val="22"/>
                                </w:rPr>
                                <w:t> </w:t>
                              </w:r>
                              <w:r>
                                <w:rPr>
                                  <w:sz w:val="22"/>
                                </w:rPr>
                                <w:t>de</w:t>
                              </w:r>
                              <w:r>
                                <w:rPr>
                                  <w:spacing w:val="-4"/>
                                  <w:sz w:val="22"/>
                                </w:rPr>
                                <w:t> </w:t>
                              </w:r>
                              <w:r>
                                <w:rPr>
                                  <w:sz w:val="22"/>
                                </w:rPr>
                                <w:t>acumulación</w:t>
                              </w:r>
                              <w:r>
                                <w:rPr>
                                  <w:spacing w:val="-2"/>
                                  <w:sz w:val="22"/>
                                </w:rPr>
                                <w:t> </w:t>
                              </w:r>
                              <w:r>
                                <w:rPr>
                                  <w:sz w:val="22"/>
                                </w:rPr>
                                <w:t>(o</w:t>
                              </w:r>
                              <w:r>
                                <w:rPr>
                                  <w:spacing w:val="-2"/>
                                  <w:sz w:val="22"/>
                                </w:rPr>
                                <w:t> devengo).</w:t>
                              </w:r>
                            </w:p>
                            <w:p>
                              <w:pPr>
                                <w:spacing w:before="179"/>
                                <w:ind w:left="0" w:right="22" w:firstLine="0"/>
                                <w:jc w:val="both"/>
                                <w:rPr>
                                  <w:sz w:val="22"/>
                                </w:rPr>
                              </w:pPr>
                              <w:r>
                                <w:rPr>
                                  <w:sz w:val="22"/>
                                </w:rPr>
                                <w:t>El IMAS utiliza para sus registros contables el sistema de contabilidad acumulativa, con base en el devengado,</w:t>
                              </w:r>
                              <w:r>
                                <w:rPr>
                                  <w:spacing w:val="-7"/>
                                  <w:sz w:val="22"/>
                                </w:rPr>
                                <w:t> </w:t>
                              </w:r>
                              <w:r>
                                <w:rPr>
                                  <w:sz w:val="22"/>
                                </w:rPr>
                                <w:t>los</w:t>
                              </w:r>
                              <w:r>
                                <w:rPr>
                                  <w:spacing w:val="-6"/>
                                  <w:sz w:val="22"/>
                                </w:rPr>
                                <w:t> </w:t>
                              </w:r>
                              <w:r>
                                <w:rPr>
                                  <w:sz w:val="22"/>
                                </w:rPr>
                                <w:t>ingresos</w:t>
                              </w:r>
                              <w:r>
                                <w:rPr>
                                  <w:spacing w:val="-6"/>
                                  <w:sz w:val="22"/>
                                </w:rPr>
                                <w:t> </w:t>
                              </w:r>
                              <w:r>
                                <w:rPr>
                                  <w:sz w:val="22"/>
                                </w:rPr>
                                <w:t>se</w:t>
                              </w:r>
                              <w:r>
                                <w:rPr>
                                  <w:spacing w:val="-8"/>
                                  <w:sz w:val="22"/>
                                </w:rPr>
                                <w:t> </w:t>
                              </w:r>
                              <w:r>
                                <w:rPr>
                                  <w:sz w:val="22"/>
                                </w:rPr>
                                <w:t>reconocen</w:t>
                              </w:r>
                              <w:r>
                                <w:rPr>
                                  <w:spacing w:val="-7"/>
                                  <w:sz w:val="22"/>
                                </w:rPr>
                                <w:t> </w:t>
                              </w:r>
                              <w:r>
                                <w:rPr>
                                  <w:sz w:val="22"/>
                                </w:rPr>
                                <w:t>en</w:t>
                              </w:r>
                              <w:r>
                                <w:rPr>
                                  <w:spacing w:val="-7"/>
                                  <w:sz w:val="22"/>
                                </w:rPr>
                                <w:t> </w:t>
                              </w:r>
                              <w:r>
                                <w:rPr>
                                  <w:sz w:val="22"/>
                                </w:rPr>
                                <w:t>el</w:t>
                              </w:r>
                              <w:r>
                                <w:rPr>
                                  <w:spacing w:val="-8"/>
                                  <w:sz w:val="22"/>
                                </w:rPr>
                                <w:t> </w:t>
                              </w:r>
                              <w:r>
                                <w:rPr>
                                  <w:sz w:val="22"/>
                                </w:rPr>
                                <w:t>momento</w:t>
                              </w:r>
                              <w:r>
                                <w:rPr>
                                  <w:spacing w:val="-6"/>
                                  <w:sz w:val="22"/>
                                </w:rPr>
                                <w:t> </w:t>
                              </w:r>
                              <w:r>
                                <w:rPr>
                                  <w:sz w:val="22"/>
                                </w:rPr>
                                <w:t>en</w:t>
                              </w:r>
                              <w:r>
                                <w:rPr>
                                  <w:spacing w:val="-7"/>
                                  <w:sz w:val="22"/>
                                </w:rPr>
                                <w:t> </w:t>
                              </w:r>
                              <w:r>
                                <w:rPr>
                                  <w:sz w:val="22"/>
                                </w:rPr>
                                <w:t>que</w:t>
                              </w:r>
                              <w:r>
                                <w:rPr>
                                  <w:spacing w:val="-8"/>
                                  <w:sz w:val="22"/>
                                </w:rPr>
                                <w:t> </w:t>
                              </w:r>
                              <w:r>
                                <w:rPr>
                                  <w:sz w:val="22"/>
                                </w:rPr>
                                <w:t>ocurren</w:t>
                              </w:r>
                              <w:r>
                                <w:rPr>
                                  <w:spacing w:val="-7"/>
                                  <w:sz w:val="22"/>
                                </w:rPr>
                                <w:t> </w:t>
                              </w:r>
                              <w:r>
                                <w:rPr>
                                  <w:sz w:val="22"/>
                                </w:rPr>
                                <w:t>y</w:t>
                              </w:r>
                              <w:r>
                                <w:rPr>
                                  <w:spacing w:val="-8"/>
                                  <w:sz w:val="22"/>
                                </w:rPr>
                                <w:t> </w:t>
                              </w:r>
                              <w:r>
                                <w:rPr>
                                  <w:sz w:val="22"/>
                                </w:rPr>
                                <w:t>los</w:t>
                              </w:r>
                              <w:r>
                                <w:rPr>
                                  <w:spacing w:val="-6"/>
                                  <w:sz w:val="22"/>
                                </w:rPr>
                                <w:t> </w:t>
                              </w:r>
                              <w:r>
                                <w:rPr>
                                  <w:sz w:val="22"/>
                                </w:rPr>
                                <w:t>gastos</w:t>
                              </w:r>
                              <w:r>
                                <w:rPr>
                                  <w:spacing w:val="-6"/>
                                  <w:sz w:val="22"/>
                                </w:rPr>
                                <w:t> </w:t>
                              </w:r>
                              <w:r>
                                <w:rPr>
                                  <w:sz w:val="22"/>
                                </w:rPr>
                                <w:t>en</w:t>
                              </w:r>
                              <w:r>
                                <w:rPr>
                                  <w:spacing w:val="-7"/>
                                  <w:sz w:val="22"/>
                                </w:rPr>
                                <w:t> </w:t>
                              </w:r>
                              <w:r>
                                <w:rPr>
                                  <w:sz w:val="22"/>
                                </w:rPr>
                                <w:t>el</w:t>
                              </w:r>
                              <w:r>
                                <w:rPr>
                                  <w:spacing w:val="-8"/>
                                  <w:sz w:val="22"/>
                                </w:rPr>
                                <w:t> </w:t>
                              </w:r>
                              <w:r>
                                <w:rPr>
                                  <w:sz w:val="22"/>
                                </w:rPr>
                                <w:t>momento</w:t>
                              </w:r>
                              <w:r>
                                <w:rPr>
                                  <w:spacing w:val="-6"/>
                                  <w:sz w:val="22"/>
                                </w:rPr>
                                <w:t> </w:t>
                              </w:r>
                              <w:r>
                                <w:rPr>
                                  <w:sz w:val="22"/>
                                </w:rPr>
                                <w:t>en que incurren.</w:t>
                              </w:r>
                            </w:p>
                            <w:p>
                              <w:pPr>
                                <w:spacing w:line="276" w:lineRule="auto" w:before="159"/>
                                <w:ind w:left="0" w:right="19" w:firstLine="0"/>
                                <w:jc w:val="both"/>
                                <w:rPr>
                                  <w:sz w:val="22"/>
                                </w:rPr>
                              </w:pPr>
                              <w:r>
                                <w:rPr>
                                  <w:sz w:val="22"/>
                                </w:rPr>
                                <w:t>La</w:t>
                              </w:r>
                              <w:r>
                                <w:rPr>
                                  <w:spacing w:val="-1"/>
                                  <w:sz w:val="22"/>
                                </w:rPr>
                                <w:t> </w:t>
                              </w:r>
                              <w:r>
                                <w:rPr>
                                  <w:sz w:val="22"/>
                                </w:rPr>
                                <w:t>medición inicial</w:t>
                              </w:r>
                              <w:r>
                                <w:rPr>
                                  <w:spacing w:val="-1"/>
                                  <w:sz w:val="22"/>
                                </w:rPr>
                                <w:t> </w:t>
                              </w:r>
                              <w:r>
                                <w:rPr>
                                  <w:sz w:val="22"/>
                                </w:rPr>
                                <w:t>de</w:t>
                              </w:r>
                              <w:r>
                                <w:rPr>
                                  <w:spacing w:val="-2"/>
                                  <w:sz w:val="22"/>
                                </w:rPr>
                                <w:t> </w:t>
                              </w:r>
                              <w:r>
                                <w:rPr>
                                  <w:sz w:val="22"/>
                                </w:rPr>
                                <w:t>los</w:t>
                              </w:r>
                              <w:r>
                                <w:rPr>
                                  <w:spacing w:val="-1"/>
                                  <w:sz w:val="22"/>
                                </w:rPr>
                                <w:t> </w:t>
                              </w:r>
                              <w:r>
                                <w:rPr>
                                  <w:sz w:val="22"/>
                                </w:rPr>
                                <w:t>elementos de</w:t>
                              </w:r>
                              <w:r>
                                <w:rPr>
                                  <w:spacing w:val="-2"/>
                                  <w:sz w:val="22"/>
                                </w:rPr>
                                <w:t> </w:t>
                              </w:r>
                              <w:r>
                                <w:rPr>
                                  <w:sz w:val="22"/>
                                </w:rPr>
                                <w:t>ingresos y</w:t>
                              </w:r>
                              <w:r>
                                <w:rPr>
                                  <w:spacing w:val="-1"/>
                                  <w:sz w:val="22"/>
                                </w:rPr>
                                <w:t> </w:t>
                              </w:r>
                              <w:r>
                                <w:rPr>
                                  <w:sz w:val="22"/>
                                </w:rPr>
                                <w:t>gastos se</w:t>
                              </w:r>
                              <w:r>
                                <w:rPr>
                                  <w:spacing w:val="-3"/>
                                  <w:sz w:val="22"/>
                                </w:rPr>
                                <w:t> </w:t>
                              </w:r>
                              <w:r>
                                <w:rPr>
                                  <w:sz w:val="22"/>
                                </w:rPr>
                                <w:t>realiza de</w:t>
                              </w:r>
                              <w:r>
                                <w:rPr>
                                  <w:spacing w:val="-2"/>
                                  <w:sz w:val="22"/>
                                </w:rPr>
                                <w:t> </w:t>
                              </w:r>
                              <w:r>
                                <w:rPr>
                                  <w:sz w:val="22"/>
                                </w:rPr>
                                <w:t>conformidad</w:t>
                              </w:r>
                              <w:r>
                                <w:rPr>
                                  <w:spacing w:val="-2"/>
                                  <w:sz w:val="22"/>
                                </w:rPr>
                                <w:t> </w:t>
                              </w:r>
                              <w:r>
                                <w:rPr>
                                  <w:sz w:val="22"/>
                                </w:rPr>
                                <w:t>con las</w:t>
                              </w:r>
                              <w:r>
                                <w:rPr>
                                  <w:spacing w:val="-1"/>
                                  <w:sz w:val="22"/>
                                </w:rPr>
                                <w:t> </w:t>
                              </w:r>
                              <w:r>
                                <w:rPr>
                                  <w:sz w:val="22"/>
                                </w:rPr>
                                <w:t>normas específicas aplicables a cada caso en cuestión, dado que los criterios de medición varían según el alcance de la NICSP correspondiente. En consecuencia, a lo largo del presente documento se desarrollan y detallan las políticas contables aplicables para los ingresos y gastos derivados de cada norma en particular aplicable.</w:t>
                              </w:r>
                            </w:p>
                            <w:p>
                              <w:pPr>
                                <w:spacing w:before="120"/>
                                <w:ind w:left="0" w:right="18" w:firstLine="0"/>
                                <w:jc w:val="both"/>
                                <w:rPr>
                                  <w:sz w:val="22"/>
                                </w:rPr>
                              </w:pPr>
                              <w:r>
                                <w:rPr>
                                  <w:sz w:val="22"/>
                                </w:rPr>
                                <w:t>En</w:t>
                              </w:r>
                              <w:r>
                                <w:rPr>
                                  <w:spacing w:val="-9"/>
                                  <w:sz w:val="22"/>
                                </w:rPr>
                                <w:t> </w:t>
                              </w:r>
                              <w:r>
                                <w:rPr>
                                  <w:sz w:val="22"/>
                                </w:rPr>
                                <w:t>los</w:t>
                              </w:r>
                              <w:r>
                                <w:rPr>
                                  <w:spacing w:val="-8"/>
                                  <w:sz w:val="22"/>
                                </w:rPr>
                                <w:t> </w:t>
                              </w:r>
                              <w:r>
                                <w:rPr>
                                  <w:sz w:val="22"/>
                                </w:rPr>
                                <w:t>casos</w:t>
                              </w:r>
                              <w:r>
                                <w:rPr>
                                  <w:spacing w:val="-9"/>
                                  <w:sz w:val="22"/>
                                </w:rPr>
                                <w:t> </w:t>
                              </w:r>
                              <w:r>
                                <w:rPr>
                                  <w:sz w:val="22"/>
                                </w:rPr>
                                <w:t>de</w:t>
                              </w:r>
                              <w:r>
                                <w:rPr>
                                  <w:spacing w:val="-11"/>
                                  <w:sz w:val="22"/>
                                </w:rPr>
                                <w:t> </w:t>
                              </w:r>
                              <w:r>
                                <w:rPr>
                                  <w:sz w:val="22"/>
                                </w:rPr>
                                <w:t>que</w:t>
                              </w:r>
                              <w:r>
                                <w:rPr>
                                  <w:spacing w:val="-11"/>
                                  <w:sz w:val="22"/>
                                </w:rPr>
                                <w:t> </w:t>
                              </w:r>
                              <w:r>
                                <w:rPr>
                                  <w:sz w:val="22"/>
                                </w:rPr>
                                <w:t>el</w:t>
                              </w:r>
                              <w:r>
                                <w:rPr>
                                  <w:spacing w:val="-10"/>
                                  <w:sz w:val="22"/>
                                </w:rPr>
                                <w:t> </w:t>
                              </w:r>
                              <w:r>
                                <w:rPr>
                                  <w:sz w:val="22"/>
                                </w:rPr>
                                <w:t>devengo</w:t>
                              </w:r>
                              <w:r>
                                <w:rPr>
                                  <w:spacing w:val="-8"/>
                                  <w:sz w:val="22"/>
                                </w:rPr>
                                <w:t> </w:t>
                              </w:r>
                              <w:r>
                                <w:rPr>
                                  <w:sz w:val="22"/>
                                </w:rPr>
                                <w:t>de</w:t>
                              </w:r>
                              <w:r>
                                <w:rPr>
                                  <w:spacing w:val="-11"/>
                                  <w:sz w:val="22"/>
                                </w:rPr>
                                <w:t> </w:t>
                              </w:r>
                              <w:r>
                                <w:rPr>
                                  <w:sz w:val="22"/>
                                </w:rPr>
                                <w:t>ciertos</w:t>
                              </w:r>
                              <w:r>
                                <w:rPr>
                                  <w:spacing w:val="-9"/>
                                  <w:sz w:val="22"/>
                                </w:rPr>
                                <w:t> </w:t>
                              </w:r>
                              <w:r>
                                <w:rPr>
                                  <w:sz w:val="22"/>
                                </w:rPr>
                                <w:t>ingresos</w:t>
                              </w:r>
                              <w:r>
                                <w:rPr>
                                  <w:spacing w:val="-9"/>
                                  <w:sz w:val="22"/>
                                </w:rPr>
                                <w:t> </w:t>
                              </w:r>
                              <w:r>
                                <w:rPr>
                                  <w:sz w:val="22"/>
                                </w:rPr>
                                <w:t>y</w:t>
                              </w:r>
                              <w:r>
                                <w:rPr>
                                  <w:spacing w:val="-11"/>
                                  <w:sz w:val="22"/>
                                </w:rPr>
                                <w:t> </w:t>
                              </w:r>
                              <w:r>
                                <w:rPr>
                                  <w:sz w:val="22"/>
                                </w:rPr>
                                <w:t>gastos</w:t>
                              </w:r>
                              <w:r>
                                <w:rPr>
                                  <w:spacing w:val="-9"/>
                                  <w:sz w:val="22"/>
                                </w:rPr>
                                <w:t> </w:t>
                              </w:r>
                              <w:r>
                                <w:rPr>
                                  <w:sz w:val="22"/>
                                </w:rPr>
                                <w:t>no</w:t>
                              </w:r>
                              <w:r>
                                <w:rPr>
                                  <w:spacing w:val="-9"/>
                                  <w:sz w:val="22"/>
                                </w:rPr>
                                <w:t> </w:t>
                              </w:r>
                              <w:r>
                                <w:rPr>
                                  <w:sz w:val="22"/>
                                </w:rPr>
                                <w:t>se</w:t>
                              </w:r>
                              <w:r>
                                <w:rPr>
                                  <w:spacing w:val="-11"/>
                                  <w:sz w:val="22"/>
                                </w:rPr>
                                <w:t> </w:t>
                              </w:r>
                              <w:r>
                                <w:rPr>
                                  <w:sz w:val="22"/>
                                </w:rPr>
                                <w:t>logren</w:t>
                              </w:r>
                              <w:r>
                                <w:rPr>
                                  <w:spacing w:val="-9"/>
                                  <w:sz w:val="22"/>
                                </w:rPr>
                                <w:t> </w:t>
                              </w:r>
                              <w:r>
                                <w:rPr>
                                  <w:sz w:val="22"/>
                                </w:rPr>
                                <w:t>identificar,</w:t>
                              </w:r>
                              <w:r>
                                <w:rPr>
                                  <w:spacing w:val="-8"/>
                                  <w:sz w:val="22"/>
                                </w:rPr>
                                <w:t> </w:t>
                              </w:r>
                              <w:r>
                                <w:rPr>
                                  <w:sz w:val="22"/>
                                </w:rPr>
                                <w:t>se</w:t>
                              </w:r>
                              <w:r>
                                <w:rPr>
                                  <w:spacing w:val="-11"/>
                                  <w:sz w:val="22"/>
                                </w:rPr>
                                <w:t> </w:t>
                              </w:r>
                              <w:r>
                                <w:rPr>
                                  <w:sz w:val="22"/>
                                </w:rPr>
                                <w:t>registran</w:t>
                              </w:r>
                              <w:r>
                                <w:rPr>
                                  <w:spacing w:val="-9"/>
                                  <w:sz w:val="22"/>
                                </w:rPr>
                                <w:t> </w:t>
                              </w:r>
                              <w:r>
                                <w:rPr>
                                  <w:sz w:val="22"/>
                                </w:rPr>
                                <w:t>como pasivos, mientras se efectúa el reconocimiento.</w:t>
                              </w:r>
                            </w:p>
                            <w:p>
                              <w:pPr>
                                <w:spacing w:line="249" w:lineRule="exact" w:before="161"/>
                                <w:ind w:left="0" w:right="0" w:firstLine="0"/>
                                <w:jc w:val="left"/>
                                <w:rPr>
                                  <w:sz w:val="22"/>
                                </w:rPr>
                              </w:pPr>
                              <w:r>
                                <w:rPr>
                                  <w:sz w:val="22"/>
                                </w:rPr>
                                <w:t>Los</w:t>
                              </w:r>
                              <w:r>
                                <w:rPr>
                                  <w:spacing w:val="-3"/>
                                  <w:sz w:val="22"/>
                                </w:rPr>
                                <w:t> </w:t>
                              </w:r>
                              <w:r>
                                <w:rPr>
                                  <w:sz w:val="22"/>
                                </w:rPr>
                                <w:t>ingresos</w:t>
                              </w:r>
                              <w:r>
                                <w:rPr>
                                  <w:spacing w:val="-4"/>
                                  <w:sz w:val="22"/>
                                </w:rPr>
                                <w:t> </w:t>
                              </w:r>
                              <w:r>
                                <w:rPr>
                                  <w:sz w:val="22"/>
                                </w:rPr>
                                <w:t>se</w:t>
                              </w:r>
                              <w:r>
                                <w:rPr>
                                  <w:spacing w:val="-4"/>
                                  <w:sz w:val="22"/>
                                </w:rPr>
                                <w:t> </w:t>
                              </w:r>
                              <w:r>
                                <w:rPr>
                                  <w:sz w:val="22"/>
                                </w:rPr>
                                <w:t>originarán</w:t>
                              </w:r>
                              <w:r>
                                <w:rPr>
                                  <w:spacing w:val="-3"/>
                                  <w:sz w:val="22"/>
                                </w:rPr>
                                <w:t> </w:t>
                              </w:r>
                              <w:r>
                                <w:rPr>
                                  <w:spacing w:val="-5"/>
                                  <w:sz w:val="22"/>
                                </w:rPr>
                                <w:t>en:</w:t>
                              </w:r>
                            </w:p>
                          </w:txbxContent>
                        </wps:txbx>
                        <wps:bodyPr wrap="square" lIns="0" tIns="0" rIns="0" bIns="0" rtlCol="0">
                          <a:noAutofit/>
                        </wps:bodyPr>
                      </wps:wsp>
                      <wps:wsp>
                        <wps:cNvPr id="56" name="Textbox 56"/>
                        <wps:cNvSpPr txBox="1"/>
                        <wps:spPr>
                          <a:xfrm>
                            <a:off x="1773808" y="7592285"/>
                            <a:ext cx="125730" cy="506095"/>
                          </a:xfrm>
                          <a:prstGeom prst="rect">
                            <a:avLst/>
                          </a:prstGeom>
                        </wps:spPr>
                        <wps:txbx>
                          <w:txbxContent>
                            <w:p>
                              <w:pPr>
                                <w:spacing w:line="223" w:lineRule="exact" w:before="0"/>
                                <w:ind w:left="0" w:right="0" w:firstLine="0"/>
                                <w:jc w:val="left"/>
                                <w:rPr>
                                  <w:sz w:val="22"/>
                                </w:rPr>
                              </w:pPr>
                              <w:r>
                                <w:rPr>
                                  <w:spacing w:val="-5"/>
                                  <w:sz w:val="22"/>
                                </w:rPr>
                                <w:t>a)</w:t>
                              </w:r>
                            </w:p>
                            <w:p>
                              <w:pPr>
                                <w:spacing w:before="37"/>
                                <w:ind w:left="0" w:right="0" w:firstLine="0"/>
                                <w:jc w:val="left"/>
                                <w:rPr>
                                  <w:sz w:val="22"/>
                                </w:rPr>
                              </w:pPr>
                              <w:r>
                                <w:rPr>
                                  <w:spacing w:val="-5"/>
                                  <w:sz w:val="22"/>
                                </w:rPr>
                                <w:t>b)</w:t>
                              </w:r>
                            </w:p>
                            <w:p>
                              <w:pPr>
                                <w:spacing w:line="249" w:lineRule="exact" w:before="37"/>
                                <w:ind w:left="0" w:right="0" w:firstLine="0"/>
                                <w:jc w:val="left"/>
                                <w:rPr>
                                  <w:sz w:val="22"/>
                                </w:rPr>
                              </w:pPr>
                              <w:r>
                                <w:rPr>
                                  <w:spacing w:val="-5"/>
                                  <w:sz w:val="22"/>
                                </w:rPr>
                                <w:t>c)</w:t>
                              </w:r>
                            </w:p>
                          </w:txbxContent>
                        </wps:txbx>
                        <wps:bodyPr wrap="square" lIns="0" tIns="0" rIns="0" bIns="0" rtlCol="0">
                          <a:noAutofit/>
                        </wps:bodyPr>
                      </wps:wsp>
                      <wps:wsp>
                        <wps:cNvPr id="57" name="Textbox 57"/>
                        <wps:cNvSpPr txBox="1"/>
                        <wps:spPr>
                          <a:xfrm>
                            <a:off x="2249677" y="7592285"/>
                            <a:ext cx="3175000" cy="506095"/>
                          </a:xfrm>
                          <a:prstGeom prst="rect">
                            <a:avLst/>
                          </a:prstGeom>
                        </wps:spPr>
                        <wps:txbx>
                          <w:txbxContent>
                            <w:p>
                              <w:pPr>
                                <w:spacing w:line="223" w:lineRule="exact" w:before="0"/>
                                <w:ind w:left="0" w:right="0" w:firstLine="0"/>
                                <w:jc w:val="left"/>
                                <w:rPr>
                                  <w:sz w:val="22"/>
                                </w:rPr>
                              </w:pPr>
                              <w:r>
                                <w:rPr>
                                  <w:sz w:val="22"/>
                                </w:rPr>
                                <w:t>transacciones</w:t>
                              </w:r>
                              <w:r>
                                <w:rPr>
                                  <w:spacing w:val="-3"/>
                                  <w:sz w:val="22"/>
                                </w:rPr>
                                <w:t> </w:t>
                              </w:r>
                              <w:r>
                                <w:rPr>
                                  <w:sz w:val="22"/>
                                </w:rPr>
                                <w:t>y</w:t>
                              </w:r>
                              <w:r>
                                <w:rPr>
                                  <w:spacing w:val="-4"/>
                                  <w:sz w:val="22"/>
                                </w:rPr>
                                <w:t> </w:t>
                              </w:r>
                              <w:r>
                                <w:rPr>
                                  <w:sz w:val="22"/>
                                </w:rPr>
                                <w:t>eventos</w:t>
                              </w:r>
                              <w:r>
                                <w:rPr>
                                  <w:spacing w:val="-2"/>
                                  <w:sz w:val="22"/>
                                </w:rPr>
                                <w:t> </w:t>
                              </w:r>
                              <w:r>
                                <w:rPr>
                                  <w:sz w:val="22"/>
                                </w:rPr>
                                <w:t>con</w:t>
                              </w:r>
                              <w:r>
                                <w:rPr>
                                  <w:spacing w:val="-5"/>
                                  <w:sz w:val="22"/>
                                </w:rPr>
                                <w:t> </w:t>
                              </w:r>
                              <w:r>
                                <w:rPr>
                                  <w:spacing w:val="-2"/>
                                  <w:sz w:val="22"/>
                                </w:rPr>
                                <w:t>contraprestación,</w:t>
                              </w:r>
                            </w:p>
                            <w:p>
                              <w:pPr>
                                <w:spacing w:line="290" w:lineRule="atLeast" w:before="0"/>
                                <w:ind w:left="0" w:right="0" w:firstLine="0"/>
                                <w:jc w:val="left"/>
                                <w:rPr>
                                  <w:sz w:val="22"/>
                                </w:rPr>
                              </w:pPr>
                              <w:r>
                                <w:rPr>
                                  <w:sz w:val="22"/>
                                </w:rPr>
                                <w:t>transacciones y eventos sin contraprestación, y combinación</w:t>
                              </w:r>
                              <w:r>
                                <w:rPr>
                                  <w:spacing w:val="-7"/>
                                  <w:sz w:val="22"/>
                                </w:rPr>
                                <w:t> </w:t>
                              </w:r>
                              <w:r>
                                <w:rPr>
                                  <w:sz w:val="22"/>
                                </w:rPr>
                                <w:t>de</w:t>
                              </w:r>
                              <w:r>
                                <w:rPr>
                                  <w:spacing w:val="-8"/>
                                  <w:sz w:val="22"/>
                                </w:rPr>
                                <w:t> </w:t>
                              </w:r>
                              <w:r>
                                <w:rPr>
                                  <w:sz w:val="22"/>
                                </w:rPr>
                                <w:t>transacciones</w:t>
                              </w:r>
                              <w:r>
                                <w:rPr>
                                  <w:spacing w:val="-6"/>
                                  <w:sz w:val="22"/>
                                </w:rPr>
                                <w:t> </w:t>
                              </w:r>
                              <w:r>
                                <w:rPr>
                                  <w:sz w:val="22"/>
                                </w:rPr>
                                <w:t>con</w:t>
                              </w:r>
                              <w:r>
                                <w:rPr>
                                  <w:spacing w:val="-7"/>
                                  <w:sz w:val="22"/>
                                </w:rPr>
                                <w:t> </w:t>
                              </w:r>
                              <w:r>
                                <w:rPr>
                                  <w:sz w:val="22"/>
                                </w:rPr>
                                <w:t>y</w:t>
                              </w:r>
                              <w:r>
                                <w:rPr>
                                  <w:spacing w:val="-7"/>
                                  <w:sz w:val="22"/>
                                </w:rPr>
                                <w:t> </w:t>
                              </w:r>
                              <w:r>
                                <w:rPr>
                                  <w:sz w:val="22"/>
                                </w:rPr>
                                <w:t>sin</w:t>
                              </w:r>
                              <w:r>
                                <w:rPr>
                                  <w:spacing w:val="-7"/>
                                  <w:sz w:val="22"/>
                                </w:rPr>
                                <w:t> </w:t>
                              </w:r>
                              <w:r>
                                <w:rPr>
                                  <w:sz w:val="22"/>
                                </w:rPr>
                                <w:t>contraprestación.</w:t>
                              </w:r>
                            </w:p>
                          </w:txbxContent>
                        </wps:txbx>
                        <wps:bodyPr wrap="square" lIns="0" tIns="0" rIns="0" bIns="0" rtlCol="0">
                          <a:noAutofit/>
                        </wps:bodyPr>
                      </wps:wsp>
                    </wpg:wgp>
                  </a:graphicData>
                </a:graphic>
              </wp:anchor>
            </w:drawing>
          </mc:Choice>
          <mc:Fallback>
            <w:pict>
              <v:group style="position:absolute;margin-left:.75001pt;margin-top:23.402267pt;width:611.25pt;height:767.6pt;mso-position-horizontal-relative:page;mso-position-vertical-relative:page;z-index:-29779968" id="docshapegroup51" coordorigin="15,468" coordsize="12225,15352">
                <v:shape style="position:absolute;left:15;top:468;width:12225;height:15352" type="#_x0000_t75" id="docshape52" stroked="false">
                  <v:imagedata r:id="rId5" o:title=""/>
                </v:shape>
                <v:shape style="position:absolute;left:1673;top:2028;width:8897;height:12055" id="docshape53" coordorigin="1673,2028" coordsize="8897,12055" path="m10541,14073l10531,14073,10531,14073,1712,14073,1702,14073,1702,14083,1712,14083,10531,14083,10531,14083,10541,14083,10541,14073xm10541,7955l10531,7955,10531,7955,1712,7955,1702,7955,1702,7964,1702,7964,1702,14073,1712,14073,1712,7964,10531,7964,10531,14073,10541,14073,10541,7964,10541,7964,10541,7955xm10570,2028l1673,2028,1673,2043,10570,2043,10570,2028xe" filled="true" fillcolor="#000000" stroked="false">
                  <v:path arrowok="t"/>
                  <v:fill type="solid"/>
                </v:shape>
                <v:shape style="position:absolute;left:1814;top:7993;width:8634;height:4221" type="#_x0000_t202" id="docshape54" filled="false" stroked="false">
                  <v:textbox inset="0,0,0,0">
                    <w:txbxContent>
                      <w:p>
                        <w:pPr>
                          <w:spacing w:line="223" w:lineRule="exact" w:before="0"/>
                          <w:ind w:left="0" w:right="0" w:firstLine="0"/>
                          <w:jc w:val="left"/>
                          <w:rPr>
                            <w:sz w:val="22"/>
                          </w:rPr>
                        </w:pPr>
                        <w:r>
                          <w:rPr>
                            <w:b/>
                            <w:color w:val="1F4E79"/>
                            <w:spacing w:val="-2"/>
                            <w:sz w:val="22"/>
                            <w:u w:val="single" w:color="1F4E79"/>
                          </w:rPr>
                          <w:t>Revelación</w:t>
                        </w:r>
                        <w:r>
                          <w:rPr>
                            <w:spacing w:val="-2"/>
                            <w:sz w:val="22"/>
                            <w:u w:val="none"/>
                          </w:rPr>
                          <w:t>:</w:t>
                        </w:r>
                      </w:p>
                      <w:p>
                        <w:pPr>
                          <w:spacing w:before="181"/>
                          <w:ind w:left="0" w:right="0" w:firstLine="0"/>
                          <w:jc w:val="both"/>
                          <w:rPr>
                            <w:sz w:val="22"/>
                          </w:rPr>
                        </w:pPr>
                        <w:r>
                          <w:rPr>
                            <w:sz w:val="22"/>
                          </w:rPr>
                          <w:t>Para</w:t>
                        </w:r>
                        <w:r>
                          <w:rPr>
                            <w:spacing w:val="-6"/>
                            <w:sz w:val="22"/>
                          </w:rPr>
                          <w:t> </w:t>
                        </w:r>
                        <w:r>
                          <w:rPr>
                            <w:sz w:val="22"/>
                          </w:rPr>
                          <w:t>la</w:t>
                        </w:r>
                        <w:r>
                          <w:rPr>
                            <w:spacing w:val="-4"/>
                            <w:sz w:val="22"/>
                          </w:rPr>
                          <w:t> </w:t>
                        </w:r>
                        <w:r>
                          <w:rPr>
                            <w:sz w:val="22"/>
                          </w:rPr>
                          <w:t>elaboración</w:t>
                        </w:r>
                        <w:r>
                          <w:rPr>
                            <w:spacing w:val="-3"/>
                            <w:sz w:val="22"/>
                          </w:rPr>
                          <w:t> </w:t>
                        </w:r>
                        <w:r>
                          <w:rPr>
                            <w:sz w:val="22"/>
                          </w:rPr>
                          <w:t>de</w:t>
                        </w:r>
                        <w:r>
                          <w:rPr>
                            <w:spacing w:val="-4"/>
                            <w:sz w:val="22"/>
                          </w:rPr>
                          <w:t> </w:t>
                        </w:r>
                        <w:r>
                          <w:rPr>
                            <w:sz w:val="22"/>
                          </w:rPr>
                          <w:t>los</w:t>
                        </w:r>
                        <w:r>
                          <w:rPr>
                            <w:spacing w:val="-1"/>
                            <w:sz w:val="22"/>
                          </w:rPr>
                          <w:t> </w:t>
                        </w:r>
                        <w:r>
                          <w:rPr>
                            <w:sz w:val="22"/>
                          </w:rPr>
                          <w:t>estados</w:t>
                        </w:r>
                        <w:r>
                          <w:rPr>
                            <w:spacing w:val="-2"/>
                            <w:sz w:val="22"/>
                          </w:rPr>
                          <w:t> </w:t>
                        </w:r>
                        <w:r>
                          <w:rPr>
                            <w:sz w:val="22"/>
                          </w:rPr>
                          <w:t>se</w:t>
                        </w:r>
                        <w:r>
                          <w:rPr>
                            <w:spacing w:val="-3"/>
                            <w:sz w:val="22"/>
                          </w:rPr>
                          <w:t> </w:t>
                        </w:r>
                        <w:r>
                          <w:rPr>
                            <w:sz w:val="22"/>
                          </w:rPr>
                          <w:t>utiliza</w:t>
                        </w:r>
                        <w:r>
                          <w:rPr>
                            <w:spacing w:val="-4"/>
                            <w:sz w:val="22"/>
                          </w:rPr>
                          <w:t> </w:t>
                        </w:r>
                        <w:r>
                          <w:rPr>
                            <w:sz w:val="22"/>
                          </w:rPr>
                          <w:t>la</w:t>
                        </w:r>
                        <w:r>
                          <w:rPr>
                            <w:spacing w:val="-4"/>
                            <w:sz w:val="22"/>
                          </w:rPr>
                          <w:t> </w:t>
                        </w:r>
                        <w:r>
                          <w:rPr>
                            <w:sz w:val="22"/>
                          </w:rPr>
                          <w:t>Base</w:t>
                        </w:r>
                        <w:r>
                          <w:rPr>
                            <w:spacing w:val="-2"/>
                            <w:sz w:val="22"/>
                          </w:rPr>
                          <w:t> </w:t>
                        </w:r>
                        <w:r>
                          <w:rPr>
                            <w:sz w:val="22"/>
                          </w:rPr>
                          <w:t>de</w:t>
                        </w:r>
                        <w:r>
                          <w:rPr>
                            <w:spacing w:val="-4"/>
                            <w:sz w:val="22"/>
                          </w:rPr>
                          <w:t> </w:t>
                        </w:r>
                        <w:r>
                          <w:rPr>
                            <w:sz w:val="22"/>
                          </w:rPr>
                          <w:t>acumulación</w:t>
                        </w:r>
                        <w:r>
                          <w:rPr>
                            <w:spacing w:val="-2"/>
                            <w:sz w:val="22"/>
                          </w:rPr>
                          <w:t> </w:t>
                        </w:r>
                        <w:r>
                          <w:rPr>
                            <w:sz w:val="22"/>
                          </w:rPr>
                          <w:t>(o</w:t>
                        </w:r>
                        <w:r>
                          <w:rPr>
                            <w:spacing w:val="-2"/>
                            <w:sz w:val="22"/>
                          </w:rPr>
                          <w:t> devengo).</w:t>
                        </w:r>
                      </w:p>
                      <w:p>
                        <w:pPr>
                          <w:spacing w:before="179"/>
                          <w:ind w:left="0" w:right="22" w:firstLine="0"/>
                          <w:jc w:val="both"/>
                          <w:rPr>
                            <w:sz w:val="22"/>
                          </w:rPr>
                        </w:pPr>
                        <w:r>
                          <w:rPr>
                            <w:sz w:val="22"/>
                          </w:rPr>
                          <w:t>El IMAS utiliza para sus registros contables el sistema de contabilidad acumulativa, con base en el devengado,</w:t>
                        </w:r>
                        <w:r>
                          <w:rPr>
                            <w:spacing w:val="-7"/>
                            <w:sz w:val="22"/>
                          </w:rPr>
                          <w:t> </w:t>
                        </w:r>
                        <w:r>
                          <w:rPr>
                            <w:sz w:val="22"/>
                          </w:rPr>
                          <w:t>los</w:t>
                        </w:r>
                        <w:r>
                          <w:rPr>
                            <w:spacing w:val="-6"/>
                            <w:sz w:val="22"/>
                          </w:rPr>
                          <w:t> </w:t>
                        </w:r>
                        <w:r>
                          <w:rPr>
                            <w:sz w:val="22"/>
                          </w:rPr>
                          <w:t>ingresos</w:t>
                        </w:r>
                        <w:r>
                          <w:rPr>
                            <w:spacing w:val="-6"/>
                            <w:sz w:val="22"/>
                          </w:rPr>
                          <w:t> </w:t>
                        </w:r>
                        <w:r>
                          <w:rPr>
                            <w:sz w:val="22"/>
                          </w:rPr>
                          <w:t>se</w:t>
                        </w:r>
                        <w:r>
                          <w:rPr>
                            <w:spacing w:val="-8"/>
                            <w:sz w:val="22"/>
                          </w:rPr>
                          <w:t> </w:t>
                        </w:r>
                        <w:r>
                          <w:rPr>
                            <w:sz w:val="22"/>
                          </w:rPr>
                          <w:t>reconocen</w:t>
                        </w:r>
                        <w:r>
                          <w:rPr>
                            <w:spacing w:val="-7"/>
                            <w:sz w:val="22"/>
                          </w:rPr>
                          <w:t> </w:t>
                        </w:r>
                        <w:r>
                          <w:rPr>
                            <w:sz w:val="22"/>
                          </w:rPr>
                          <w:t>en</w:t>
                        </w:r>
                        <w:r>
                          <w:rPr>
                            <w:spacing w:val="-7"/>
                            <w:sz w:val="22"/>
                          </w:rPr>
                          <w:t> </w:t>
                        </w:r>
                        <w:r>
                          <w:rPr>
                            <w:sz w:val="22"/>
                          </w:rPr>
                          <w:t>el</w:t>
                        </w:r>
                        <w:r>
                          <w:rPr>
                            <w:spacing w:val="-8"/>
                            <w:sz w:val="22"/>
                          </w:rPr>
                          <w:t> </w:t>
                        </w:r>
                        <w:r>
                          <w:rPr>
                            <w:sz w:val="22"/>
                          </w:rPr>
                          <w:t>momento</w:t>
                        </w:r>
                        <w:r>
                          <w:rPr>
                            <w:spacing w:val="-6"/>
                            <w:sz w:val="22"/>
                          </w:rPr>
                          <w:t> </w:t>
                        </w:r>
                        <w:r>
                          <w:rPr>
                            <w:sz w:val="22"/>
                          </w:rPr>
                          <w:t>en</w:t>
                        </w:r>
                        <w:r>
                          <w:rPr>
                            <w:spacing w:val="-7"/>
                            <w:sz w:val="22"/>
                          </w:rPr>
                          <w:t> </w:t>
                        </w:r>
                        <w:r>
                          <w:rPr>
                            <w:sz w:val="22"/>
                          </w:rPr>
                          <w:t>que</w:t>
                        </w:r>
                        <w:r>
                          <w:rPr>
                            <w:spacing w:val="-8"/>
                            <w:sz w:val="22"/>
                          </w:rPr>
                          <w:t> </w:t>
                        </w:r>
                        <w:r>
                          <w:rPr>
                            <w:sz w:val="22"/>
                          </w:rPr>
                          <w:t>ocurren</w:t>
                        </w:r>
                        <w:r>
                          <w:rPr>
                            <w:spacing w:val="-7"/>
                            <w:sz w:val="22"/>
                          </w:rPr>
                          <w:t> </w:t>
                        </w:r>
                        <w:r>
                          <w:rPr>
                            <w:sz w:val="22"/>
                          </w:rPr>
                          <w:t>y</w:t>
                        </w:r>
                        <w:r>
                          <w:rPr>
                            <w:spacing w:val="-8"/>
                            <w:sz w:val="22"/>
                          </w:rPr>
                          <w:t> </w:t>
                        </w:r>
                        <w:r>
                          <w:rPr>
                            <w:sz w:val="22"/>
                          </w:rPr>
                          <w:t>los</w:t>
                        </w:r>
                        <w:r>
                          <w:rPr>
                            <w:spacing w:val="-6"/>
                            <w:sz w:val="22"/>
                          </w:rPr>
                          <w:t> </w:t>
                        </w:r>
                        <w:r>
                          <w:rPr>
                            <w:sz w:val="22"/>
                          </w:rPr>
                          <w:t>gastos</w:t>
                        </w:r>
                        <w:r>
                          <w:rPr>
                            <w:spacing w:val="-6"/>
                            <w:sz w:val="22"/>
                          </w:rPr>
                          <w:t> </w:t>
                        </w:r>
                        <w:r>
                          <w:rPr>
                            <w:sz w:val="22"/>
                          </w:rPr>
                          <w:t>en</w:t>
                        </w:r>
                        <w:r>
                          <w:rPr>
                            <w:spacing w:val="-7"/>
                            <w:sz w:val="22"/>
                          </w:rPr>
                          <w:t> </w:t>
                        </w:r>
                        <w:r>
                          <w:rPr>
                            <w:sz w:val="22"/>
                          </w:rPr>
                          <w:t>el</w:t>
                        </w:r>
                        <w:r>
                          <w:rPr>
                            <w:spacing w:val="-8"/>
                            <w:sz w:val="22"/>
                          </w:rPr>
                          <w:t> </w:t>
                        </w:r>
                        <w:r>
                          <w:rPr>
                            <w:sz w:val="22"/>
                          </w:rPr>
                          <w:t>momento</w:t>
                        </w:r>
                        <w:r>
                          <w:rPr>
                            <w:spacing w:val="-6"/>
                            <w:sz w:val="22"/>
                          </w:rPr>
                          <w:t> </w:t>
                        </w:r>
                        <w:r>
                          <w:rPr>
                            <w:sz w:val="22"/>
                          </w:rPr>
                          <w:t>en que incurren.</w:t>
                        </w:r>
                      </w:p>
                      <w:p>
                        <w:pPr>
                          <w:spacing w:line="276" w:lineRule="auto" w:before="159"/>
                          <w:ind w:left="0" w:right="19" w:firstLine="0"/>
                          <w:jc w:val="both"/>
                          <w:rPr>
                            <w:sz w:val="22"/>
                          </w:rPr>
                        </w:pPr>
                        <w:r>
                          <w:rPr>
                            <w:sz w:val="22"/>
                          </w:rPr>
                          <w:t>La</w:t>
                        </w:r>
                        <w:r>
                          <w:rPr>
                            <w:spacing w:val="-1"/>
                            <w:sz w:val="22"/>
                          </w:rPr>
                          <w:t> </w:t>
                        </w:r>
                        <w:r>
                          <w:rPr>
                            <w:sz w:val="22"/>
                          </w:rPr>
                          <w:t>medición inicial</w:t>
                        </w:r>
                        <w:r>
                          <w:rPr>
                            <w:spacing w:val="-1"/>
                            <w:sz w:val="22"/>
                          </w:rPr>
                          <w:t> </w:t>
                        </w:r>
                        <w:r>
                          <w:rPr>
                            <w:sz w:val="22"/>
                          </w:rPr>
                          <w:t>de</w:t>
                        </w:r>
                        <w:r>
                          <w:rPr>
                            <w:spacing w:val="-2"/>
                            <w:sz w:val="22"/>
                          </w:rPr>
                          <w:t> </w:t>
                        </w:r>
                        <w:r>
                          <w:rPr>
                            <w:sz w:val="22"/>
                          </w:rPr>
                          <w:t>los</w:t>
                        </w:r>
                        <w:r>
                          <w:rPr>
                            <w:spacing w:val="-1"/>
                            <w:sz w:val="22"/>
                          </w:rPr>
                          <w:t> </w:t>
                        </w:r>
                        <w:r>
                          <w:rPr>
                            <w:sz w:val="22"/>
                          </w:rPr>
                          <w:t>elementos de</w:t>
                        </w:r>
                        <w:r>
                          <w:rPr>
                            <w:spacing w:val="-2"/>
                            <w:sz w:val="22"/>
                          </w:rPr>
                          <w:t> </w:t>
                        </w:r>
                        <w:r>
                          <w:rPr>
                            <w:sz w:val="22"/>
                          </w:rPr>
                          <w:t>ingresos y</w:t>
                        </w:r>
                        <w:r>
                          <w:rPr>
                            <w:spacing w:val="-1"/>
                            <w:sz w:val="22"/>
                          </w:rPr>
                          <w:t> </w:t>
                        </w:r>
                        <w:r>
                          <w:rPr>
                            <w:sz w:val="22"/>
                          </w:rPr>
                          <w:t>gastos se</w:t>
                        </w:r>
                        <w:r>
                          <w:rPr>
                            <w:spacing w:val="-3"/>
                            <w:sz w:val="22"/>
                          </w:rPr>
                          <w:t> </w:t>
                        </w:r>
                        <w:r>
                          <w:rPr>
                            <w:sz w:val="22"/>
                          </w:rPr>
                          <w:t>realiza de</w:t>
                        </w:r>
                        <w:r>
                          <w:rPr>
                            <w:spacing w:val="-2"/>
                            <w:sz w:val="22"/>
                          </w:rPr>
                          <w:t> </w:t>
                        </w:r>
                        <w:r>
                          <w:rPr>
                            <w:sz w:val="22"/>
                          </w:rPr>
                          <w:t>conformidad</w:t>
                        </w:r>
                        <w:r>
                          <w:rPr>
                            <w:spacing w:val="-2"/>
                            <w:sz w:val="22"/>
                          </w:rPr>
                          <w:t> </w:t>
                        </w:r>
                        <w:r>
                          <w:rPr>
                            <w:sz w:val="22"/>
                          </w:rPr>
                          <w:t>con las</w:t>
                        </w:r>
                        <w:r>
                          <w:rPr>
                            <w:spacing w:val="-1"/>
                            <w:sz w:val="22"/>
                          </w:rPr>
                          <w:t> </w:t>
                        </w:r>
                        <w:r>
                          <w:rPr>
                            <w:sz w:val="22"/>
                          </w:rPr>
                          <w:t>normas específicas aplicables a cada caso en cuestión, dado que los criterios de medición varían según el alcance de la NICSP correspondiente. En consecuencia, a lo largo del presente documento se desarrollan y detallan las políticas contables aplicables para los ingresos y gastos derivados de cada norma en particular aplicable.</w:t>
                        </w:r>
                      </w:p>
                      <w:p>
                        <w:pPr>
                          <w:spacing w:before="120"/>
                          <w:ind w:left="0" w:right="18" w:firstLine="0"/>
                          <w:jc w:val="both"/>
                          <w:rPr>
                            <w:sz w:val="22"/>
                          </w:rPr>
                        </w:pPr>
                        <w:r>
                          <w:rPr>
                            <w:sz w:val="22"/>
                          </w:rPr>
                          <w:t>En</w:t>
                        </w:r>
                        <w:r>
                          <w:rPr>
                            <w:spacing w:val="-9"/>
                            <w:sz w:val="22"/>
                          </w:rPr>
                          <w:t> </w:t>
                        </w:r>
                        <w:r>
                          <w:rPr>
                            <w:sz w:val="22"/>
                          </w:rPr>
                          <w:t>los</w:t>
                        </w:r>
                        <w:r>
                          <w:rPr>
                            <w:spacing w:val="-8"/>
                            <w:sz w:val="22"/>
                          </w:rPr>
                          <w:t> </w:t>
                        </w:r>
                        <w:r>
                          <w:rPr>
                            <w:sz w:val="22"/>
                          </w:rPr>
                          <w:t>casos</w:t>
                        </w:r>
                        <w:r>
                          <w:rPr>
                            <w:spacing w:val="-9"/>
                            <w:sz w:val="22"/>
                          </w:rPr>
                          <w:t> </w:t>
                        </w:r>
                        <w:r>
                          <w:rPr>
                            <w:sz w:val="22"/>
                          </w:rPr>
                          <w:t>de</w:t>
                        </w:r>
                        <w:r>
                          <w:rPr>
                            <w:spacing w:val="-11"/>
                            <w:sz w:val="22"/>
                          </w:rPr>
                          <w:t> </w:t>
                        </w:r>
                        <w:r>
                          <w:rPr>
                            <w:sz w:val="22"/>
                          </w:rPr>
                          <w:t>que</w:t>
                        </w:r>
                        <w:r>
                          <w:rPr>
                            <w:spacing w:val="-11"/>
                            <w:sz w:val="22"/>
                          </w:rPr>
                          <w:t> </w:t>
                        </w:r>
                        <w:r>
                          <w:rPr>
                            <w:sz w:val="22"/>
                          </w:rPr>
                          <w:t>el</w:t>
                        </w:r>
                        <w:r>
                          <w:rPr>
                            <w:spacing w:val="-10"/>
                            <w:sz w:val="22"/>
                          </w:rPr>
                          <w:t> </w:t>
                        </w:r>
                        <w:r>
                          <w:rPr>
                            <w:sz w:val="22"/>
                          </w:rPr>
                          <w:t>devengo</w:t>
                        </w:r>
                        <w:r>
                          <w:rPr>
                            <w:spacing w:val="-8"/>
                            <w:sz w:val="22"/>
                          </w:rPr>
                          <w:t> </w:t>
                        </w:r>
                        <w:r>
                          <w:rPr>
                            <w:sz w:val="22"/>
                          </w:rPr>
                          <w:t>de</w:t>
                        </w:r>
                        <w:r>
                          <w:rPr>
                            <w:spacing w:val="-11"/>
                            <w:sz w:val="22"/>
                          </w:rPr>
                          <w:t> </w:t>
                        </w:r>
                        <w:r>
                          <w:rPr>
                            <w:sz w:val="22"/>
                          </w:rPr>
                          <w:t>ciertos</w:t>
                        </w:r>
                        <w:r>
                          <w:rPr>
                            <w:spacing w:val="-9"/>
                            <w:sz w:val="22"/>
                          </w:rPr>
                          <w:t> </w:t>
                        </w:r>
                        <w:r>
                          <w:rPr>
                            <w:sz w:val="22"/>
                          </w:rPr>
                          <w:t>ingresos</w:t>
                        </w:r>
                        <w:r>
                          <w:rPr>
                            <w:spacing w:val="-9"/>
                            <w:sz w:val="22"/>
                          </w:rPr>
                          <w:t> </w:t>
                        </w:r>
                        <w:r>
                          <w:rPr>
                            <w:sz w:val="22"/>
                          </w:rPr>
                          <w:t>y</w:t>
                        </w:r>
                        <w:r>
                          <w:rPr>
                            <w:spacing w:val="-11"/>
                            <w:sz w:val="22"/>
                          </w:rPr>
                          <w:t> </w:t>
                        </w:r>
                        <w:r>
                          <w:rPr>
                            <w:sz w:val="22"/>
                          </w:rPr>
                          <w:t>gastos</w:t>
                        </w:r>
                        <w:r>
                          <w:rPr>
                            <w:spacing w:val="-9"/>
                            <w:sz w:val="22"/>
                          </w:rPr>
                          <w:t> </w:t>
                        </w:r>
                        <w:r>
                          <w:rPr>
                            <w:sz w:val="22"/>
                          </w:rPr>
                          <w:t>no</w:t>
                        </w:r>
                        <w:r>
                          <w:rPr>
                            <w:spacing w:val="-9"/>
                            <w:sz w:val="22"/>
                          </w:rPr>
                          <w:t> </w:t>
                        </w:r>
                        <w:r>
                          <w:rPr>
                            <w:sz w:val="22"/>
                          </w:rPr>
                          <w:t>se</w:t>
                        </w:r>
                        <w:r>
                          <w:rPr>
                            <w:spacing w:val="-11"/>
                            <w:sz w:val="22"/>
                          </w:rPr>
                          <w:t> </w:t>
                        </w:r>
                        <w:r>
                          <w:rPr>
                            <w:sz w:val="22"/>
                          </w:rPr>
                          <w:t>logren</w:t>
                        </w:r>
                        <w:r>
                          <w:rPr>
                            <w:spacing w:val="-9"/>
                            <w:sz w:val="22"/>
                          </w:rPr>
                          <w:t> </w:t>
                        </w:r>
                        <w:r>
                          <w:rPr>
                            <w:sz w:val="22"/>
                          </w:rPr>
                          <w:t>identificar,</w:t>
                        </w:r>
                        <w:r>
                          <w:rPr>
                            <w:spacing w:val="-8"/>
                            <w:sz w:val="22"/>
                          </w:rPr>
                          <w:t> </w:t>
                        </w:r>
                        <w:r>
                          <w:rPr>
                            <w:sz w:val="22"/>
                          </w:rPr>
                          <w:t>se</w:t>
                        </w:r>
                        <w:r>
                          <w:rPr>
                            <w:spacing w:val="-11"/>
                            <w:sz w:val="22"/>
                          </w:rPr>
                          <w:t> </w:t>
                        </w:r>
                        <w:r>
                          <w:rPr>
                            <w:sz w:val="22"/>
                          </w:rPr>
                          <w:t>registran</w:t>
                        </w:r>
                        <w:r>
                          <w:rPr>
                            <w:spacing w:val="-9"/>
                            <w:sz w:val="22"/>
                          </w:rPr>
                          <w:t> </w:t>
                        </w:r>
                        <w:r>
                          <w:rPr>
                            <w:sz w:val="22"/>
                          </w:rPr>
                          <w:t>como pasivos, mientras se efectúa el reconocimiento.</w:t>
                        </w:r>
                      </w:p>
                      <w:p>
                        <w:pPr>
                          <w:spacing w:line="249" w:lineRule="exact" w:before="161"/>
                          <w:ind w:left="0" w:right="0" w:firstLine="0"/>
                          <w:jc w:val="left"/>
                          <w:rPr>
                            <w:sz w:val="22"/>
                          </w:rPr>
                        </w:pPr>
                        <w:r>
                          <w:rPr>
                            <w:sz w:val="22"/>
                          </w:rPr>
                          <w:t>Los</w:t>
                        </w:r>
                        <w:r>
                          <w:rPr>
                            <w:spacing w:val="-3"/>
                            <w:sz w:val="22"/>
                          </w:rPr>
                          <w:t> </w:t>
                        </w:r>
                        <w:r>
                          <w:rPr>
                            <w:sz w:val="22"/>
                          </w:rPr>
                          <w:t>ingresos</w:t>
                        </w:r>
                        <w:r>
                          <w:rPr>
                            <w:spacing w:val="-4"/>
                            <w:sz w:val="22"/>
                          </w:rPr>
                          <w:t> </w:t>
                        </w:r>
                        <w:r>
                          <w:rPr>
                            <w:sz w:val="22"/>
                          </w:rPr>
                          <w:t>se</w:t>
                        </w:r>
                        <w:r>
                          <w:rPr>
                            <w:spacing w:val="-4"/>
                            <w:sz w:val="22"/>
                          </w:rPr>
                          <w:t> </w:t>
                        </w:r>
                        <w:r>
                          <w:rPr>
                            <w:sz w:val="22"/>
                          </w:rPr>
                          <w:t>originarán</w:t>
                        </w:r>
                        <w:r>
                          <w:rPr>
                            <w:spacing w:val="-3"/>
                            <w:sz w:val="22"/>
                          </w:rPr>
                          <w:t> </w:t>
                        </w:r>
                        <w:r>
                          <w:rPr>
                            <w:spacing w:val="-5"/>
                            <w:sz w:val="22"/>
                          </w:rPr>
                          <w:t>en:</w:t>
                        </w:r>
                      </w:p>
                    </w:txbxContent>
                  </v:textbox>
                  <w10:wrap type="none"/>
                </v:shape>
                <v:shape style="position:absolute;left:2808;top:12424;width:198;height:797" type="#_x0000_t202" id="docshape55" filled="false" stroked="false">
                  <v:textbox inset="0,0,0,0">
                    <w:txbxContent>
                      <w:p>
                        <w:pPr>
                          <w:spacing w:line="223" w:lineRule="exact" w:before="0"/>
                          <w:ind w:left="0" w:right="0" w:firstLine="0"/>
                          <w:jc w:val="left"/>
                          <w:rPr>
                            <w:sz w:val="22"/>
                          </w:rPr>
                        </w:pPr>
                        <w:r>
                          <w:rPr>
                            <w:spacing w:val="-5"/>
                            <w:sz w:val="22"/>
                          </w:rPr>
                          <w:t>a)</w:t>
                        </w:r>
                      </w:p>
                      <w:p>
                        <w:pPr>
                          <w:spacing w:before="37"/>
                          <w:ind w:left="0" w:right="0" w:firstLine="0"/>
                          <w:jc w:val="left"/>
                          <w:rPr>
                            <w:sz w:val="22"/>
                          </w:rPr>
                        </w:pPr>
                        <w:r>
                          <w:rPr>
                            <w:spacing w:val="-5"/>
                            <w:sz w:val="22"/>
                          </w:rPr>
                          <w:t>b)</w:t>
                        </w:r>
                      </w:p>
                      <w:p>
                        <w:pPr>
                          <w:spacing w:line="249" w:lineRule="exact" w:before="37"/>
                          <w:ind w:left="0" w:right="0" w:firstLine="0"/>
                          <w:jc w:val="left"/>
                          <w:rPr>
                            <w:sz w:val="22"/>
                          </w:rPr>
                        </w:pPr>
                        <w:r>
                          <w:rPr>
                            <w:spacing w:val="-5"/>
                            <w:sz w:val="22"/>
                          </w:rPr>
                          <w:t>c)</w:t>
                        </w:r>
                      </w:p>
                    </w:txbxContent>
                  </v:textbox>
                  <w10:wrap type="none"/>
                </v:shape>
                <v:shape style="position:absolute;left:3557;top:12424;width:5000;height:797" type="#_x0000_t202" id="docshape56" filled="false" stroked="false">
                  <v:textbox inset="0,0,0,0">
                    <w:txbxContent>
                      <w:p>
                        <w:pPr>
                          <w:spacing w:line="223" w:lineRule="exact" w:before="0"/>
                          <w:ind w:left="0" w:right="0" w:firstLine="0"/>
                          <w:jc w:val="left"/>
                          <w:rPr>
                            <w:sz w:val="22"/>
                          </w:rPr>
                        </w:pPr>
                        <w:r>
                          <w:rPr>
                            <w:sz w:val="22"/>
                          </w:rPr>
                          <w:t>transacciones</w:t>
                        </w:r>
                        <w:r>
                          <w:rPr>
                            <w:spacing w:val="-3"/>
                            <w:sz w:val="22"/>
                          </w:rPr>
                          <w:t> </w:t>
                        </w:r>
                        <w:r>
                          <w:rPr>
                            <w:sz w:val="22"/>
                          </w:rPr>
                          <w:t>y</w:t>
                        </w:r>
                        <w:r>
                          <w:rPr>
                            <w:spacing w:val="-4"/>
                            <w:sz w:val="22"/>
                          </w:rPr>
                          <w:t> </w:t>
                        </w:r>
                        <w:r>
                          <w:rPr>
                            <w:sz w:val="22"/>
                          </w:rPr>
                          <w:t>eventos</w:t>
                        </w:r>
                        <w:r>
                          <w:rPr>
                            <w:spacing w:val="-2"/>
                            <w:sz w:val="22"/>
                          </w:rPr>
                          <w:t> </w:t>
                        </w:r>
                        <w:r>
                          <w:rPr>
                            <w:sz w:val="22"/>
                          </w:rPr>
                          <w:t>con</w:t>
                        </w:r>
                        <w:r>
                          <w:rPr>
                            <w:spacing w:val="-5"/>
                            <w:sz w:val="22"/>
                          </w:rPr>
                          <w:t> </w:t>
                        </w:r>
                        <w:r>
                          <w:rPr>
                            <w:spacing w:val="-2"/>
                            <w:sz w:val="22"/>
                          </w:rPr>
                          <w:t>contraprestación,</w:t>
                        </w:r>
                      </w:p>
                      <w:p>
                        <w:pPr>
                          <w:spacing w:line="290" w:lineRule="atLeast" w:before="0"/>
                          <w:ind w:left="0" w:right="0" w:firstLine="0"/>
                          <w:jc w:val="left"/>
                          <w:rPr>
                            <w:sz w:val="22"/>
                          </w:rPr>
                        </w:pPr>
                        <w:r>
                          <w:rPr>
                            <w:sz w:val="22"/>
                          </w:rPr>
                          <w:t>transacciones y eventos sin contraprestación, y combinación</w:t>
                        </w:r>
                        <w:r>
                          <w:rPr>
                            <w:spacing w:val="-7"/>
                            <w:sz w:val="22"/>
                          </w:rPr>
                          <w:t> </w:t>
                        </w:r>
                        <w:r>
                          <w:rPr>
                            <w:sz w:val="22"/>
                          </w:rPr>
                          <w:t>de</w:t>
                        </w:r>
                        <w:r>
                          <w:rPr>
                            <w:spacing w:val="-8"/>
                            <w:sz w:val="22"/>
                          </w:rPr>
                          <w:t> </w:t>
                        </w:r>
                        <w:r>
                          <w:rPr>
                            <w:sz w:val="22"/>
                          </w:rPr>
                          <w:t>transacciones</w:t>
                        </w:r>
                        <w:r>
                          <w:rPr>
                            <w:spacing w:val="-6"/>
                            <w:sz w:val="22"/>
                          </w:rPr>
                          <w:t> </w:t>
                        </w:r>
                        <w:r>
                          <w:rPr>
                            <w:sz w:val="22"/>
                          </w:rPr>
                          <w:t>con</w:t>
                        </w:r>
                        <w:r>
                          <w:rPr>
                            <w:spacing w:val="-7"/>
                            <w:sz w:val="22"/>
                          </w:rPr>
                          <w:t> </w:t>
                        </w:r>
                        <w:r>
                          <w:rPr>
                            <w:sz w:val="22"/>
                          </w:rPr>
                          <w:t>y</w:t>
                        </w:r>
                        <w:r>
                          <w:rPr>
                            <w:spacing w:val="-7"/>
                            <w:sz w:val="22"/>
                          </w:rPr>
                          <w:t> </w:t>
                        </w:r>
                        <w:r>
                          <w:rPr>
                            <w:sz w:val="22"/>
                          </w:rPr>
                          <w:t>sin</w:t>
                        </w:r>
                        <w:r>
                          <w:rPr>
                            <w:spacing w:val="-7"/>
                            <w:sz w:val="22"/>
                          </w:rPr>
                          <w:t> </w:t>
                        </w:r>
                        <w:r>
                          <w:rPr>
                            <w:sz w:val="22"/>
                          </w:rPr>
                          <w:t>contraprestación.</w:t>
                        </w:r>
                      </w:p>
                    </w:txbxContent>
                  </v:textbox>
                  <w10:wrap type="none"/>
                </v:shape>
                <w10:wrap type="none"/>
              </v:group>
            </w:pict>
          </mc:Fallback>
        </mc:AlternateContent>
      </w:r>
      <w:r>
        <w:rPr>
          <w:color w:val="172951"/>
          <w:sz w:val="20"/>
        </w:rPr>
        <w:t>Pág.</w:t>
      </w:r>
      <w:r>
        <w:rPr>
          <w:color w:val="172951"/>
          <w:spacing w:val="-7"/>
          <w:sz w:val="20"/>
        </w:rPr>
        <w:t> </w:t>
      </w:r>
      <w:r>
        <w:rPr>
          <w:color w:val="172951"/>
          <w:spacing w:val="-5"/>
          <w:sz w:val="20"/>
        </w:rPr>
        <w:t>16</w:t>
      </w:r>
    </w:p>
    <w:p>
      <w:pPr>
        <w:pStyle w:val="BodyText"/>
        <w:spacing w:before="10"/>
        <w:rPr>
          <w:sz w:val="16"/>
        </w:rPr>
      </w:pPr>
      <w:r>
        <w:rPr>
          <w:sz w:val="16"/>
        </w:rPr>
        <mc:AlternateContent>
          <mc:Choice Requires="wps">
            <w:drawing>
              <wp:anchor distT="0" distB="0" distL="0" distR="0" allowOverlap="1" layoutInCell="1" locked="0" behindDoc="1" simplePos="0" relativeHeight="487599104">
                <wp:simplePos x="0" y="0"/>
                <wp:positionH relativeFrom="page">
                  <wp:posOffset>1083868</wp:posOffset>
                </wp:positionH>
                <wp:positionV relativeFrom="paragraph">
                  <wp:posOffset>141144</wp:posOffset>
                </wp:positionV>
                <wp:extent cx="5607050" cy="285369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5607050" cy="2853690"/>
                        </a:xfrm>
                        <a:prstGeom prst="rect">
                          <a:avLst/>
                        </a:prstGeom>
                        <a:ln w="6095">
                          <a:solidFill>
                            <a:srgbClr val="000000"/>
                          </a:solidFill>
                          <a:prstDash val="solid"/>
                        </a:ln>
                      </wps:spPr>
                      <wps:txbx>
                        <w:txbxContent>
                          <w:p>
                            <w:pPr>
                              <w:spacing w:before="0"/>
                              <w:ind w:left="103" w:right="0" w:firstLine="0"/>
                              <w:jc w:val="both"/>
                              <w:rPr>
                                <w:b/>
                                <w:sz w:val="22"/>
                              </w:rPr>
                            </w:pPr>
                            <w:r>
                              <w:rPr>
                                <w:b/>
                                <w:color w:val="365F92"/>
                                <w:sz w:val="22"/>
                              </w:rPr>
                              <w:t>Publicación</w:t>
                            </w:r>
                            <w:r>
                              <w:rPr>
                                <w:b/>
                                <w:color w:val="365F92"/>
                                <w:spacing w:val="-5"/>
                                <w:sz w:val="22"/>
                              </w:rPr>
                              <w:t> </w:t>
                            </w:r>
                            <w:r>
                              <w:rPr>
                                <w:b/>
                                <w:color w:val="365F92"/>
                                <w:sz w:val="22"/>
                              </w:rPr>
                              <w:t>de</w:t>
                            </w:r>
                            <w:r>
                              <w:rPr>
                                <w:b/>
                                <w:color w:val="365F92"/>
                                <w:spacing w:val="-4"/>
                                <w:sz w:val="22"/>
                              </w:rPr>
                              <w:t> </w:t>
                            </w:r>
                            <w:r>
                              <w:rPr>
                                <w:b/>
                                <w:color w:val="365F92"/>
                                <w:sz w:val="22"/>
                              </w:rPr>
                              <w:t>la</w:t>
                            </w:r>
                            <w:r>
                              <w:rPr>
                                <w:b/>
                                <w:color w:val="365F92"/>
                                <w:spacing w:val="-5"/>
                                <w:sz w:val="22"/>
                              </w:rPr>
                              <w:t> </w:t>
                            </w:r>
                            <w:r>
                              <w:rPr>
                                <w:b/>
                                <w:color w:val="365F92"/>
                                <w:sz w:val="22"/>
                              </w:rPr>
                              <w:t>información</w:t>
                            </w:r>
                            <w:r>
                              <w:rPr>
                                <w:b/>
                                <w:color w:val="365F92"/>
                                <w:spacing w:val="-4"/>
                                <w:sz w:val="22"/>
                              </w:rPr>
                              <w:t> </w:t>
                            </w:r>
                            <w:r>
                              <w:rPr>
                                <w:b/>
                                <w:color w:val="365F92"/>
                                <w:spacing w:val="-2"/>
                                <w:sz w:val="22"/>
                              </w:rPr>
                              <w:t>financiera</w:t>
                            </w:r>
                          </w:p>
                          <w:p>
                            <w:pPr>
                              <w:pStyle w:val="BodyText"/>
                              <w:spacing w:line="276" w:lineRule="auto" w:before="160"/>
                              <w:ind w:left="103" w:right="107"/>
                              <w:jc w:val="both"/>
                            </w:pPr>
                            <w:r>
                              <w:rPr/>
                              <w:t>En cumplimiento de</w:t>
                            </w:r>
                            <w:r>
                              <w:rPr>
                                <w:spacing w:val="-2"/>
                              </w:rPr>
                              <w:t> </w:t>
                            </w:r>
                            <w:r>
                              <w:rPr/>
                              <w:t>los principios de</w:t>
                            </w:r>
                            <w:r>
                              <w:rPr>
                                <w:spacing w:val="-2"/>
                              </w:rPr>
                              <w:t> </w:t>
                            </w:r>
                            <w:r>
                              <w:rPr/>
                              <w:t>transparencia</w:t>
                            </w:r>
                            <w:r>
                              <w:rPr>
                                <w:spacing w:val="-1"/>
                              </w:rPr>
                              <w:t> </w:t>
                            </w:r>
                            <w:r>
                              <w:rPr/>
                              <w:t>y</w:t>
                            </w:r>
                            <w:r>
                              <w:rPr>
                                <w:spacing w:val="-1"/>
                              </w:rPr>
                              <w:t> </w:t>
                            </w:r>
                            <w:r>
                              <w:rPr/>
                              <w:t>rendición de</w:t>
                            </w:r>
                            <w:r>
                              <w:rPr>
                                <w:spacing w:val="-2"/>
                              </w:rPr>
                              <w:t> </w:t>
                            </w:r>
                            <w:r>
                              <w:rPr/>
                              <w:t>cuentas, la</w:t>
                            </w:r>
                            <w:r>
                              <w:rPr>
                                <w:spacing w:val="-1"/>
                              </w:rPr>
                              <w:t> </w:t>
                            </w:r>
                            <w:r>
                              <w:rPr/>
                              <w:t>entidad</w:t>
                            </w:r>
                            <w:r>
                              <w:rPr>
                                <w:spacing w:val="-1"/>
                              </w:rPr>
                              <w:t> </w:t>
                            </w:r>
                            <w:r>
                              <w:rPr/>
                              <w:t>establece</w:t>
                            </w:r>
                            <w:r>
                              <w:rPr>
                                <w:spacing w:val="-2"/>
                              </w:rPr>
                              <w:t> </w:t>
                            </w:r>
                            <w:r>
                              <w:rPr/>
                              <w:t>las siguientes políticas contables respecto a la publicación de sus Estados Financieros:</w:t>
                            </w:r>
                          </w:p>
                          <w:p>
                            <w:pPr>
                              <w:pStyle w:val="BodyText"/>
                              <w:numPr>
                                <w:ilvl w:val="0"/>
                                <w:numId w:val="12"/>
                              </w:numPr>
                              <w:tabs>
                                <w:tab w:pos="703" w:val="left" w:leader="none"/>
                              </w:tabs>
                              <w:spacing w:line="273" w:lineRule="auto" w:before="118" w:after="0"/>
                              <w:ind w:left="703" w:right="103" w:hanging="281"/>
                              <w:jc w:val="both"/>
                            </w:pPr>
                            <w:r>
                              <w:rPr/>
                              <w:t>Periodicidad y accesibilidad: Los Estados Financieros serán publicados mensualmente, ase-gurando</w:t>
                            </w:r>
                            <w:r>
                              <w:rPr>
                                <w:spacing w:val="-9"/>
                              </w:rPr>
                              <w:t> </w:t>
                            </w:r>
                            <w:r>
                              <w:rPr/>
                              <w:t>su</w:t>
                            </w:r>
                            <w:r>
                              <w:rPr>
                                <w:spacing w:val="-7"/>
                              </w:rPr>
                              <w:t> </w:t>
                            </w:r>
                            <w:r>
                              <w:rPr/>
                              <w:t>disponibilidad</w:t>
                            </w:r>
                            <w:r>
                              <w:rPr>
                                <w:spacing w:val="-8"/>
                              </w:rPr>
                              <w:t> </w:t>
                            </w:r>
                            <w:r>
                              <w:rPr/>
                              <w:t>para</w:t>
                            </w:r>
                            <w:r>
                              <w:rPr>
                                <w:spacing w:val="-8"/>
                              </w:rPr>
                              <w:t> </w:t>
                            </w:r>
                            <w:r>
                              <w:rPr/>
                              <w:t>el</w:t>
                            </w:r>
                            <w:r>
                              <w:rPr>
                                <w:spacing w:val="-8"/>
                              </w:rPr>
                              <w:t> </w:t>
                            </w:r>
                            <w:r>
                              <w:rPr/>
                              <w:t>público</w:t>
                            </w:r>
                            <w:r>
                              <w:rPr>
                                <w:spacing w:val="-6"/>
                              </w:rPr>
                              <w:t> </w:t>
                            </w:r>
                            <w:r>
                              <w:rPr/>
                              <w:t>en</w:t>
                            </w:r>
                            <w:r>
                              <w:rPr>
                                <w:spacing w:val="-7"/>
                              </w:rPr>
                              <w:t> </w:t>
                            </w:r>
                            <w:r>
                              <w:rPr/>
                              <w:t>general.</w:t>
                            </w:r>
                            <w:r>
                              <w:rPr>
                                <w:spacing w:val="-7"/>
                              </w:rPr>
                              <w:t> </w:t>
                            </w:r>
                            <w:r>
                              <w:rPr/>
                              <w:t>Como</w:t>
                            </w:r>
                            <w:r>
                              <w:rPr>
                                <w:spacing w:val="-6"/>
                              </w:rPr>
                              <w:t> </w:t>
                            </w:r>
                            <w:r>
                              <w:rPr/>
                              <w:t>entidad</w:t>
                            </w:r>
                            <w:r>
                              <w:rPr>
                                <w:spacing w:val="-8"/>
                              </w:rPr>
                              <w:t> </w:t>
                            </w:r>
                            <w:r>
                              <w:rPr/>
                              <w:t>estatal,</w:t>
                            </w:r>
                            <w:r>
                              <w:rPr>
                                <w:spacing w:val="-7"/>
                              </w:rPr>
                              <w:t> </w:t>
                            </w:r>
                            <w:r>
                              <w:rPr/>
                              <w:t>esta</w:t>
                            </w:r>
                            <w:r>
                              <w:rPr>
                                <w:spacing w:val="-7"/>
                              </w:rPr>
                              <w:t> </w:t>
                            </w:r>
                            <w:r>
                              <w:rPr/>
                              <w:t>información es de acceso libre para toda la ciudadanía.</w:t>
                            </w:r>
                          </w:p>
                          <w:p>
                            <w:pPr>
                              <w:pStyle w:val="BodyText"/>
                              <w:numPr>
                                <w:ilvl w:val="0"/>
                                <w:numId w:val="12"/>
                              </w:numPr>
                              <w:tabs>
                                <w:tab w:pos="703" w:val="left" w:leader="none"/>
                              </w:tabs>
                              <w:spacing w:line="276" w:lineRule="auto" w:before="4" w:after="0"/>
                              <w:ind w:left="703" w:right="99" w:hanging="281"/>
                              <w:jc w:val="both"/>
                            </w:pPr>
                            <w:r>
                              <w:rPr/>
                              <w:t>Medios de publicación:</w:t>
                            </w:r>
                            <w:r>
                              <w:rPr>
                                <w:spacing w:val="-2"/>
                              </w:rPr>
                              <w:t> </w:t>
                            </w:r>
                            <w:r>
                              <w:rPr/>
                              <w:t>Los</w:t>
                            </w:r>
                            <w:r>
                              <w:rPr>
                                <w:spacing w:val="-2"/>
                              </w:rPr>
                              <w:t> </w:t>
                            </w:r>
                            <w:r>
                              <w:rPr/>
                              <w:t>Estados Financieros</w:t>
                            </w:r>
                            <w:r>
                              <w:rPr>
                                <w:spacing w:val="-2"/>
                              </w:rPr>
                              <w:t> </w:t>
                            </w:r>
                            <w:r>
                              <w:rPr/>
                              <w:t>estarán</w:t>
                            </w:r>
                            <w:r>
                              <w:rPr>
                                <w:spacing w:val="-1"/>
                              </w:rPr>
                              <w:t> </w:t>
                            </w:r>
                            <w:r>
                              <w:rPr/>
                              <w:t>disponibles en</w:t>
                            </w:r>
                            <w:r>
                              <w:rPr>
                                <w:spacing w:val="-1"/>
                              </w:rPr>
                              <w:t> </w:t>
                            </w:r>
                            <w:r>
                              <w:rPr/>
                              <w:t>la</w:t>
                            </w:r>
                            <w:r>
                              <w:rPr>
                                <w:spacing w:val="-2"/>
                              </w:rPr>
                              <w:t> </w:t>
                            </w:r>
                            <w:r>
                              <w:rPr/>
                              <w:t>página</w:t>
                            </w:r>
                            <w:r>
                              <w:rPr>
                                <w:spacing w:val="-4"/>
                              </w:rPr>
                              <w:t> </w:t>
                            </w:r>
                            <w:r>
                              <w:rPr/>
                              <w:t>web</w:t>
                            </w:r>
                            <w:r>
                              <w:rPr>
                                <w:spacing w:val="-1"/>
                              </w:rPr>
                              <w:t> </w:t>
                            </w:r>
                            <w:r>
                              <w:rPr/>
                              <w:t>oficial de</w:t>
                            </w:r>
                            <w:r>
                              <w:rPr>
                                <w:spacing w:val="-3"/>
                              </w:rPr>
                              <w:t> </w:t>
                            </w:r>
                            <w:r>
                              <w:rPr/>
                              <w:t>la</w:t>
                            </w:r>
                            <w:r>
                              <w:rPr>
                                <w:spacing w:val="-5"/>
                              </w:rPr>
                              <w:t> </w:t>
                            </w:r>
                            <w:r>
                              <w:rPr/>
                              <w:t>institución.</w:t>
                            </w:r>
                            <w:r>
                              <w:rPr>
                                <w:spacing w:val="-5"/>
                              </w:rPr>
                              <w:t> </w:t>
                            </w:r>
                            <w:r>
                              <w:rPr/>
                              <w:t>Además,</w:t>
                            </w:r>
                            <w:r>
                              <w:rPr>
                                <w:spacing w:val="-3"/>
                              </w:rPr>
                              <w:t> </w:t>
                            </w:r>
                            <w:r>
                              <w:rPr/>
                              <w:t>se</w:t>
                            </w:r>
                            <w:r>
                              <w:rPr>
                                <w:spacing w:val="-2"/>
                              </w:rPr>
                              <w:t> </w:t>
                            </w:r>
                            <w:r>
                              <w:rPr/>
                              <w:t>publicarán</w:t>
                            </w:r>
                            <w:r>
                              <w:rPr>
                                <w:spacing w:val="-3"/>
                              </w:rPr>
                              <w:t> </w:t>
                            </w:r>
                            <w:r>
                              <w:rPr/>
                              <w:t>los</w:t>
                            </w:r>
                            <w:r>
                              <w:rPr>
                                <w:spacing w:val="-2"/>
                              </w:rPr>
                              <w:t> </w:t>
                            </w:r>
                            <w:r>
                              <w:rPr/>
                              <w:t>informes</w:t>
                            </w:r>
                            <w:r>
                              <w:rPr>
                                <w:spacing w:val="-2"/>
                              </w:rPr>
                              <w:t> </w:t>
                            </w:r>
                            <w:r>
                              <w:rPr/>
                              <w:t>de</w:t>
                            </w:r>
                            <w:r>
                              <w:rPr>
                                <w:spacing w:val="-5"/>
                              </w:rPr>
                              <w:t> </w:t>
                            </w:r>
                            <w:r>
                              <w:rPr/>
                              <w:t>ejecución</w:t>
                            </w:r>
                            <w:r>
                              <w:rPr>
                                <w:spacing w:val="-5"/>
                              </w:rPr>
                              <w:t> </w:t>
                            </w:r>
                            <w:r>
                              <w:rPr/>
                              <w:t>presupuestaria</w:t>
                            </w:r>
                            <w:r>
                              <w:rPr>
                                <w:spacing w:val="-4"/>
                              </w:rPr>
                              <w:t> </w:t>
                            </w:r>
                            <w:r>
                              <w:rPr/>
                              <w:t>y</w:t>
                            </w:r>
                            <w:r>
                              <w:rPr>
                                <w:spacing w:val="-4"/>
                              </w:rPr>
                              <w:t> </w:t>
                            </w:r>
                            <w:r>
                              <w:rPr/>
                              <w:t>los</w:t>
                            </w:r>
                            <w:r>
                              <w:rPr>
                                <w:spacing w:val="-5"/>
                              </w:rPr>
                              <w:t> </w:t>
                            </w:r>
                            <w:r>
                              <w:rPr/>
                              <w:t>resul-tados de auditorías, garantizando un acceso integral a la información financiera. Asimismo, serán remitidos a los entes reguladores con una periodicidad trimestral.</w:t>
                            </w:r>
                          </w:p>
                          <w:p>
                            <w:pPr>
                              <w:pStyle w:val="BodyText"/>
                              <w:numPr>
                                <w:ilvl w:val="0"/>
                                <w:numId w:val="12"/>
                              </w:numPr>
                              <w:tabs>
                                <w:tab w:pos="703" w:val="left" w:leader="none"/>
                              </w:tabs>
                              <w:spacing w:line="276" w:lineRule="auto" w:before="0" w:after="0"/>
                              <w:ind w:left="703" w:right="101" w:hanging="281"/>
                              <w:jc w:val="both"/>
                            </w:pPr>
                            <w:r>
                              <w:rPr/>
                              <w:t>Elaboración, revisión y aprobación: Los Estados Financieros son elaborados por la jefatura de</w:t>
                            </w:r>
                            <w:r>
                              <w:rPr>
                                <w:spacing w:val="-3"/>
                              </w:rPr>
                              <w:t> </w:t>
                            </w:r>
                            <w:r>
                              <w:rPr/>
                              <w:t>la</w:t>
                            </w:r>
                            <w:r>
                              <w:rPr>
                                <w:spacing w:val="-5"/>
                              </w:rPr>
                              <w:t> </w:t>
                            </w:r>
                            <w:r>
                              <w:rPr/>
                              <w:t>Unidad</w:t>
                            </w:r>
                            <w:r>
                              <w:rPr>
                                <w:spacing w:val="-3"/>
                              </w:rPr>
                              <w:t> </w:t>
                            </w:r>
                            <w:r>
                              <w:rPr/>
                              <w:t>de</w:t>
                            </w:r>
                            <w:r>
                              <w:rPr>
                                <w:spacing w:val="-2"/>
                              </w:rPr>
                              <w:t> </w:t>
                            </w:r>
                            <w:r>
                              <w:rPr/>
                              <w:t>Contabilidad,</w:t>
                            </w:r>
                            <w:r>
                              <w:rPr>
                                <w:spacing w:val="-3"/>
                              </w:rPr>
                              <w:t> </w:t>
                            </w:r>
                            <w:r>
                              <w:rPr/>
                              <w:t>revisados</w:t>
                            </w:r>
                            <w:r>
                              <w:rPr>
                                <w:spacing w:val="-2"/>
                              </w:rPr>
                              <w:t> </w:t>
                            </w:r>
                            <w:r>
                              <w:rPr/>
                              <w:t>por</w:t>
                            </w:r>
                            <w:r>
                              <w:rPr>
                                <w:spacing w:val="-3"/>
                              </w:rPr>
                              <w:t> </w:t>
                            </w:r>
                            <w:r>
                              <w:rPr/>
                              <w:t>el</w:t>
                            </w:r>
                            <w:r>
                              <w:rPr>
                                <w:spacing w:val="-3"/>
                              </w:rPr>
                              <w:t> </w:t>
                            </w:r>
                            <w:r>
                              <w:rPr/>
                              <w:t>Departamento</w:t>
                            </w:r>
                            <w:r>
                              <w:rPr>
                                <w:spacing w:val="-2"/>
                              </w:rPr>
                              <w:t> </w:t>
                            </w:r>
                            <w:r>
                              <w:rPr/>
                              <w:t>de</w:t>
                            </w:r>
                            <w:r>
                              <w:rPr>
                                <w:spacing w:val="-2"/>
                              </w:rPr>
                              <w:t> </w:t>
                            </w:r>
                            <w:r>
                              <w:rPr/>
                              <w:t>Administración</w:t>
                            </w:r>
                            <w:r>
                              <w:rPr>
                                <w:spacing w:val="-3"/>
                              </w:rPr>
                              <w:t> </w:t>
                            </w:r>
                            <w:r>
                              <w:rPr/>
                              <w:t>Financiera para</w:t>
                            </w:r>
                            <w:r>
                              <w:rPr>
                                <w:spacing w:val="-8"/>
                              </w:rPr>
                              <w:t> </w:t>
                            </w:r>
                            <w:r>
                              <w:rPr/>
                              <w:t>verificar</w:t>
                            </w:r>
                            <w:r>
                              <w:rPr>
                                <w:spacing w:val="-7"/>
                              </w:rPr>
                              <w:t> </w:t>
                            </w:r>
                            <w:r>
                              <w:rPr/>
                              <w:t>su</w:t>
                            </w:r>
                            <w:r>
                              <w:rPr>
                                <w:spacing w:val="-10"/>
                              </w:rPr>
                              <w:t> </w:t>
                            </w:r>
                            <w:r>
                              <w:rPr/>
                              <w:t>exactitud</w:t>
                            </w:r>
                            <w:r>
                              <w:rPr>
                                <w:spacing w:val="-10"/>
                              </w:rPr>
                              <w:t> </w:t>
                            </w:r>
                            <w:r>
                              <w:rPr/>
                              <w:t>y</w:t>
                            </w:r>
                            <w:r>
                              <w:rPr>
                                <w:spacing w:val="-8"/>
                              </w:rPr>
                              <w:t> </w:t>
                            </w:r>
                            <w:r>
                              <w:rPr/>
                              <w:t>aprobados</w:t>
                            </w:r>
                            <w:r>
                              <w:rPr>
                                <w:spacing w:val="-6"/>
                              </w:rPr>
                              <w:t> </w:t>
                            </w:r>
                            <w:r>
                              <w:rPr/>
                              <w:t>finalmente</w:t>
                            </w:r>
                            <w:r>
                              <w:rPr>
                                <w:spacing w:val="-6"/>
                              </w:rPr>
                              <w:t> </w:t>
                            </w:r>
                            <w:r>
                              <w:rPr/>
                              <w:t>por</w:t>
                            </w:r>
                            <w:r>
                              <w:rPr>
                                <w:spacing w:val="-7"/>
                              </w:rPr>
                              <w:t> </w:t>
                            </w:r>
                            <w:r>
                              <w:rPr/>
                              <w:t>la</w:t>
                            </w:r>
                            <w:r>
                              <w:rPr>
                                <w:spacing w:val="-11"/>
                              </w:rPr>
                              <w:t> </w:t>
                            </w:r>
                            <w:r>
                              <w:rPr/>
                              <w:t>Gerencia</w:t>
                            </w:r>
                            <w:r>
                              <w:rPr>
                                <w:spacing w:val="-8"/>
                              </w:rPr>
                              <w:t> </w:t>
                            </w:r>
                            <w:r>
                              <w:rPr/>
                              <w:t>General</w:t>
                            </w:r>
                            <w:r>
                              <w:rPr>
                                <w:spacing w:val="-8"/>
                              </w:rPr>
                              <w:t> </w:t>
                            </w:r>
                            <w:r>
                              <w:rPr/>
                              <w:t>de</w:t>
                            </w:r>
                            <w:r>
                              <w:rPr>
                                <w:spacing w:val="-6"/>
                              </w:rPr>
                              <w:t> </w:t>
                            </w:r>
                            <w:r>
                              <w:rPr/>
                              <w:t>la</w:t>
                            </w:r>
                            <w:r>
                              <w:rPr>
                                <w:spacing w:val="-11"/>
                              </w:rPr>
                              <w:t> </w:t>
                            </w:r>
                            <w:r>
                              <w:rPr/>
                              <w:t>entidad</w:t>
                            </w:r>
                            <w:r>
                              <w:rPr>
                                <w:spacing w:val="-8"/>
                              </w:rPr>
                              <w:t> </w:t>
                            </w:r>
                            <w:r>
                              <w:rPr/>
                              <w:t>para su validación y publicación.</w:t>
                            </w:r>
                          </w:p>
                        </w:txbxContent>
                      </wps:txbx>
                      <wps:bodyPr wrap="square" lIns="0" tIns="0" rIns="0" bIns="0" rtlCol="0">
                        <a:noAutofit/>
                      </wps:bodyPr>
                    </wps:wsp>
                  </a:graphicData>
                </a:graphic>
              </wp:anchor>
            </w:drawing>
          </mc:Choice>
          <mc:Fallback>
            <w:pict>
              <v:shape style="position:absolute;margin-left:85.344002pt;margin-top:11.11375pt;width:441.5pt;height:224.7pt;mso-position-horizontal-relative:page;mso-position-vertical-relative:paragraph;z-index:-15717376;mso-wrap-distance-left:0;mso-wrap-distance-right:0" type="#_x0000_t202" id="docshape57" filled="false" stroked="true" strokeweight=".47998pt" strokecolor="#000000">
                <v:textbox inset="0,0,0,0">
                  <w:txbxContent>
                    <w:p>
                      <w:pPr>
                        <w:spacing w:before="0"/>
                        <w:ind w:left="103" w:right="0" w:firstLine="0"/>
                        <w:jc w:val="both"/>
                        <w:rPr>
                          <w:b/>
                          <w:sz w:val="22"/>
                        </w:rPr>
                      </w:pPr>
                      <w:r>
                        <w:rPr>
                          <w:b/>
                          <w:color w:val="365F92"/>
                          <w:sz w:val="22"/>
                        </w:rPr>
                        <w:t>Publicación</w:t>
                      </w:r>
                      <w:r>
                        <w:rPr>
                          <w:b/>
                          <w:color w:val="365F92"/>
                          <w:spacing w:val="-5"/>
                          <w:sz w:val="22"/>
                        </w:rPr>
                        <w:t> </w:t>
                      </w:r>
                      <w:r>
                        <w:rPr>
                          <w:b/>
                          <w:color w:val="365F92"/>
                          <w:sz w:val="22"/>
                        </w:rPr>
                        <w:t>de</w:t>
                      </w:r>
                      <w:r>
                        <w:rPr>
                          <w:b/>
                          <w:color w:val="365F92"/>
                          <w:spacing w:val="-4"/>
                          <w:sz w:val="22"/>
                        </w:rPr>
                        <w:t> </w:t>
                      </w:r>
                      <w:r>
                        <w:rPr>
                          <w:b/>
                          <w:color w:val="365F92"/>
                          <w:sz w:val="22"/>
                        </w:rPr>
                        <w:t>la</w:t>
                      </w:r>
                      <w:r>
                        <w:rPr>
                          <w:b/>
                          <w:color w:val="365F92"/>
                          <w:spacing w:val="-5"/>
                          <w:sz w:val="22"/>
                        </w:rPr>
                        <w:t> </w:t>
                      </w:r>
                      <w:r>
                        <w:rPr>
                          <w:b/>
                          <w:color w:val="365F92"/>
                          <w:sz w:val="22"/>
                        </w:rPr>
                        <w:t>información</w:t>
                      </w:r>
                      <w:r>
                        <w:rPr>
                          <w:b/>
                          <w:color w:val="365F92"/>
                          <w:spacing w:val="-4"/>
                          <w:sz w:val="22"/>
                        </w:rPr>
                        <w:t> </w:t>
                      </w:r>
                      <w:r>
                        <w:rPr>
                          <w:b/>
                          <w:color w:val="365F92"/>
                          <w:spacing w:val="-2"/>
                          <w:sz w:val="22"/>
                        </w:rPr>
                        <w:t>financiera</w:t>
                      </w:r>
                    </w:p>
                    <w:p>
                      <w:pPr>
                        <w:pStyle w:val="BodyText"/>
                        <w:spacing w:line="276" w:lineRule="auto" w:before="160"/>
                        <w:ind w:left="103" w:right="107"/>
                        <w:jc w:val="both"/>
                      </w:pPr>
                      <w:r>
                        <w:rPr/>
                        <w:t>En cumplimiento de</w:t>
                      </w:r>
                      <w:r>
                        <w:rPr>
                          <w:spacing w:val="-2"/>
                        </w:rPr>
                        <w:t> </w:t>
                      </w:r>
                      <w:r>
                        <w:rPr/>
                        <w:t>los principios de</w:t>
                      </w:r>
                      <w:r>
                        <w:rPr>
                          <w:spacing w:val="-2"/>
                        </w:rPr>
                        <w:t> </w:t>
                      </w:r>
                      <w:r>
                        <w:rPr/>
                        <w:t>transparencia</w:t>
                      </w:r>
                      <w:r>
                        <w:rPr>
                          <w:spacing w:val="-1"/>
                        </w:rPr>
                        <w:t> </w:t>
                      </w:r>
                      <w:r>
                        <w:rPr/>
                        <w:t>y</w:t>
                      </w:r>
                      <w:r>
                        <w:rPr>
                          <w:spacing w:val="-1"/>
                        </w:rPr>
                        <w:t> </w:t>
                      </w:r>
                      <w:r>
                        <w:rPr/>
                        <w:t>rendición de</w:t>
                      </w:r>
                      <w:r>
                        <w:rPr>
                          <w:spacing w:val="-2"/>
                        </w:rPr>
                        <w:t> </w:t>
                      </w:r>
                      <w:r>
                        <w:rPr/>
                        <w:t>cuentas, la</w:t>
                      </w:r>
                      <w:r>
                        <w:rPr>
                          <w:spacing w:val="-1"/>
                        </w:rPr>
                        <w:t> </w:t>
                      </w:r>
                      <w:r>
                        <w:rPr/>
                        <w:t>entidad</w:t>
                      </w:r>
                      <w:r>
                        <w:rPr>
                          <w:spacing w:val="-1"/>
                        </w:rPr>
                        <w:t> </w:t>
                      </w:r>
                      <w:r>
                        <w:rPr/>
                        <w:t>establece</w:t>
                      </w:r>
                      <w:r>
                        <w:rPr>
                          <w:spacing w:val="-2"/>
                        </w:rPr>
                        <w:t> </w:t>
                      </w:r>
                      <w:r>
                        <w:rPr/>
                        <w:t>las siguientes políticas contables respecto a la publicación de sus Estados Financieros:</w:t>
                      </w:r>
                    </w:p>
                    <w:p>
                      <w:pPr>
                        <w:pStyle w:val="BodyText"/>
                        <w:numPr>
                          <w:ilvl w:val="0"/>
                          <w:numId w:val="12"/>
                        </w:numPr>
                        <w:tabs>
                          <w:tab w:pos="703" w:val="left" w:leader="none"/>
                        </w:tabs>
                        <w:spacing w:line="273" w:lineRule="auto" w:before="118" w:after="0"/>
                        <w:ind w:left="703" w:right="103" w:hanging="281"/>
                        <w:jc w:val="both"/>
                      </w:pPr>
                      <w:r>
                        <w:rPr/>
                        <w:t>Periodicidad y accesibilidad: Los Estados Financieros serán publicados mensualmente, ase-gurando</w:t>
                      </w:r>
                      <w:r>
                        <w:rPr>
                          <w:spacing w:val="-9"/>
                        </w:rPr>
                        <w:t> </w:t>
                      </w:r>
                      <w:r>
                        <w:rPr/>
                        <w:t>su</w:t>
                      </w:r>
                      <w:r>
                        <w:rPr>
                          <w:spacing w:val="-7"/>
                        </w:rPr>
                        <w:t> </w:t>
                      </w:r>
                      <w:r>
                        <w:rPr/>
                        <w:t>disponibilidad</w:t>
                      </w:r>
                      <w:r>
                        <w:rPr>
                          <w:spacing w:val="-8"/>
                        </w:rPr>
                        <w:t> </w:t>
                      </w:r>
                      <w:r>
                        <w:rPr/>
                        <w:t>para</w:t>
                      </w:r>
                      <w:r>
                        <w:rPr>
                          <w:spacing w:val="-8"/>
                        </w:rPr>
                        <w:t> </w:t>
                      </w:r>
                      <w:r>
                        <w:rPr/>
                        <w:t>el</w:t>
                      </w:r>
                      <w:r>
                        <w:rPr>
                          <w:spacing w:val="-8"/>
                        </w:rPr>
                        <w:t> </w:t>
                      </w:r>
                      <w:r>
                        <w:rPr/>
                        <w:t>público</w:t>
                      </w:r>
                      <w:r>
                        <w:rPr>
                          <w:spacing w:val="-6"/>
                        </w:rPr>
                        <w:t> </w:t>
                      </w:r>
                      <w:r>
                        <w:rPr/>
                        <w:t>en</w:t>
                      </w:r>
                      <w:r>
                        <w:rPr>
                          <w:spacing w:val="-7"/>
                        </w:rPr>
                        <w:t> </w:t>
                      </w:r>
                      <w:r>
                        <w:rPr/>
                        <w:t>general.</w:t>
                      </w:r>
                      <w:r>
                        <w:rPr>
                          <w:spacing w:val="-7"/>
                        </w:rPr>
                        <w:t> </w:t>
                      </w:r>
                      <w:r>
                        <w:rPr/>
                        <w:t>Como</w:t>
                      </w:r>
                      <w:r>
                        <w:rPr>
                          <w:spacing w:val="-6"/>
                        </w:rPr>
                        <w:t> </w:t>
                      </w:r>
                      <w:r>
                        <w:rPr/>
                        <w:t>entidad</w:t>
                      </w:r>
                      <w:r>
                        <w:rPr>
                          <w:spacing w:val="-8"/>
                        </w:rPr>
                        <w:t> </w:t>
                      </w:r>
                      <w:r>
                        <w:rPr/>
                        <w:t>estatal,</w:t>
                      </w:r>
                      <w:r>
                        <w:rPr>
                          <w:spacing w:val="-7"/>
                        </w:rPr>
                        <w:t> </w:t>
                      </w:r>
                      <w:r>
                        <w:rPr/>
                        <w:t>esta</w:t>
                      </w:r>
                      <w:r>
                        <w:rPr>
                          <w:spacing w:val="-7"/>
                        </w:rPr>
                        <w:t> </w:t>
                      </w:r>
                      <w:r>
                        <w:rPr/>
                        <w:t>información es de acceso libre para toda la ciudadanía.</w:t>
                      </w:r>
                    </w:p>
                    <w:p>
                      <w:pPr>
                        <w:pStyle w:val="BodyText"/>
                        <w:numPr>
                          <w:ilvl w:val="0"/>
                          <w:numId w:val="12"/>
                        </w:numPr>
                        <w:tabs>
                          <w:tab w:pos="703" w:val="left" w:leader="none"/>
                        </w:tabs>
                        <w:spacing w:line="276" w:lineRule="auto" w:before="4" w:after="0"/>
                        <w:ind w:left="703" w:right="99" w:hanging="281"/>
                        <w:jc w:val="both"/>
                      </w:pPr>
                      <w:r>
                        <w:rPr/>
                        <w:t>Medios de publicación:</w:t>
                      </w:r>
                      <w:r>
                        <w:rPr>
                          <w:spacing w:val="-2"/>
                        </w:rPr>
                        <w:t> </w:t>
                      </w:r>
                      <w:r>
                        <w:rPr/>
                        <w:t>Los</w:t>
                      </w:r>
                      <w:r>
                        <w:rPr>
                          <w:spacing w:val="-2"/>
                        </w:rPr>
                        <w:t> </w:t>
                      </w:r>
                      <w:r>
                        <w:rPr/>
                        <w:t>Estados Financieros</w:t>
                      </w:r>
                      <w:r>
                        <w:rPr>
                          <w:spacing w:val="-2"/>
                        </w:rPr>
                        <w:t> </w:t>
                      </w:r>
                      <w:r>
                        <w:rPr/>
                        <w:t>estarán</w:t>
                      </w:r>
                      <w:r>
                        <w:rPr>
                          <w:spacing w:val="-1"/>
                        </w:rPr>
                        <w:t> </w:t>
                      </w:r>
                      <w:r>
                        <w:rPr/>
                        <w:t>disponibles en</w:t>
                      </w:r>
                      <w:r>
                        <w:rPr>
                          <w:spacing w:val="-1"/>
                        </w:rPr>
                        <w:t> </w:t>
                      </w:r>
                      <w:r>
                        <w:rPr/>
                        <w:t>la</w:t>
                      </w:r>
                      <w:r>
                        <w:rPr>
                          <w:spacing w:val="-2"/>
                        </w:rPr>
                        <w:t> </w:t>
                      </w:r>
                      <w:r>
                        <w:rPr/>
                        <w:t>página</w:t>
                      </w:r>
                      <w:r>
                        <w:rPr>
                          <w:spacing w:val="-4"/>
                        </w:rPr>
                        <w:t> </w:t>
                      </w:r>
                      <w:r>
                        <w:rPr/>
                        <w:t>web</w:t>
                      </w:r>
                      <w:r>
                        <w:rPr>
                          <w:spacing w:val="-1"/>
                        </w:rPr>
                        <w:t> </w:t>
                      </w:r>
                      <w:r>
                        <w:rPr/>
                        <w:t>oficial de</w:t>
                      </w:r>
                      <w:r>
                        <w:rPr>
                          <w:spacing w:val="-3"/>
                        </w:rPr>
                        <w:t> </w:t>
                      </w:r>
                      <w:r>
                        <w:rPr/>
                        <w:t>la</w:t>
                      </w:r>
                      <w:r>
                        <w:rPr>
                          <w:spacing w:val="-5"/>
                        </w:rPr>
                        <w:t> </w:t>
                      </w:r>
                      <w:r>
                        <w:rPr/>
                        <w:t>institución.</w:t>
                      </w:r>
                      <w:r>
                        <w:rPr>
                          <w:spacing w:val="-5"/>
                        </w:rPr>
                        <w:t> </w:t>
                      </w:r>
                      <w:r>
                        <w:rPr/>
                        <w:t>Además,</w:t>
                      </w:r>
                      <w:r>
                        <w:rPr>
                          <w:spacing w:val="-3"/>
                        </w:rPr>
                        <w:t> </w:t>
                      </w:r>
                      <w:r>
                        <w:rPr/>
                        <w:t>se</w:t>
                      </w:r>
                      <w:r>
                        <w:rPr>
                          <w:spacing w:val="-2"/>
                        </w:rPr>
                        <w:t> </w:t>
                      </w:r>
                      <w:r>
                        <w:rPr/>
                        <w:t>publicarán</w:t>
                      </w:r>
                      <w:r>
                        <w:rPr>
                          <w:spacing w:val="-3"/>
                        </w:rPr>
                        <w:t> </w:t>
                      </w:r>
                      <w:r>
                        <w:rPr/>
                        <w:t>los</w:t>
                      </w:r>
                      <w:r>
                        <w:rPr>
                          <w:spacing w:val="-2"/>
                        </w:rPr>
                        <w:t> </w:t>
                      </w:r>
                      <w:r>
                        <w:rPr/>
                        <w:t>informes</w:t>
                      </w:r>
                      <w:r>
                        <w:rPr>
                          <w:spacing w:val="-2"/>
                        </w:rPr>
                        <w:t> </w:t>
                      </w:r>
                      <w:r>
                        <w:rPr/>
                        <w:t>de</w:t>
                      </w:r>
                      <w:r>
                        <w:rPr>
                          <w:spacing w:val="-5"/>
                        </w:rPr>
                        <w:t> </w:t>
                      </w:r>
                      <w:r>
                        <w:rPr/>
                        <w:t>ejecución</w:t>
                      </w:r>
                      <w:r>
                        <w:rPr>
                          <w:spacing w:val="-5"/>
                        </w:rPr>
                        <w:t> </w:t>
                      </w:r>
                      <w:r>
                        <w:rPr/>
                        <w:t>presupuestaria</w:t>
                      </w:r>
                      <w:r>
                        <w:rPr>
                          <w:spacing w:val="-4"/>
                        </w:rPr>
                        <w:t> </w:t>
                      </w:r>
                      <w:r>
                        <w:rPr/>
                        <w:t>y</w:t>
                      </w:r>
                      <w:r>
                        <w:rPr>
                          <w:spacing w:val="-4"/>
                        </w:rPr>
                        <w:t> </w:t>
                      </w:r>
                      <w:r>
                        <w:rPr/>
                        <w:t>los</w:t>
                      </w:r>
                      <w:r>
                        <w:rPr>
                          <w:spacing w:val="-5"/>
                        </w:rPr>
                        <w:t> </w:t>
                      </w:r>
                      <w:r>
                        <w:rPr/>
                        <w:t>resul-tados de auditorías, garantizando un acceso integral a la información financiera. Asimismo, serán remitidos a los entes reguladores con una periodicidad trimestral.</w:t>
                      </w:r>
                    </w:p>
                    <w:p>
                      <w:pPr>
                        <w:pStyle w:val="BodyText"/>
                        <w:numPr>
                          <w:ilvl w:val="0"/>
                          <w:numId w:val="12"/>
                        </w:numPr>
                        <w:tabs>
                          <w:tab w:pos="703" w:val="left" w:leader="none"/>
                        </w:tabs>
                        <w:spacing w:line="276" w:lineRule="auto" w:before="0" w:after="0"/>
                        <w:ind w:left="703" w:right="101" w:hanging="281"/>
                        <w:jc w:val="both"/>
                      </w:pPr>
                      <w:r>
                        <w:rPr/>
                        <w:t>Elaboración, revisión y aprobación: Los Estados Financieros son elaborados por la jefatura de</w:t>
                      </w:r>
                      <w:r>
                        <w:rPr>
                          <w:spacing w:val="-3"/>
                        </w:rPr>
                        <w:t> </w:t>
                      </w:r>
                      <w:r>
                        <w:rPr/>
                        <w:t>la</w:t>
                      </w:r>
                      <w:r>
                        <w:rPr>
                          <w:spacing w:val="-5"/>
                        </w:rPr>
                        <w:t> </w:t>
                      </w:r>
                      <w:r>
                        <w:rPr/>
                        <w:t>Unidad</w:t>
                      </w:r>
                      <w:r>
                        <w:rPr>
                          <w:spacing w:val="-3"/>
                        </w:rPr>
                        <w:t> </w:t>
                      </w:r>
                      <w:r>
                        <w:rPr/>
                        <w:t>de</w:t>
                      </w:r>
                      <w:r>
                        <w:rPr>
                          <w:spacing w:val="-2"/>
                        </w:rPr>
                        <w:t> </w:t>
                      </w:r>
                      <w:r>
                        <w:rPr/>
                        <w:t>Contabilidad,</w:t>
                      </w:r>
                      <w:r>
                        <w:rPr>
                          <w:spacing w:val="-3"/>
                        </w:rPr>
                        <w:t> </w:t>
                      </w:r>
                      <w:r>
                        <w:rPr/>
                        <w:t>revisados</w:t>
                      </w:r>
                      <w:r>
                        <w:rPr>
                          <w:spacing w:val="-2"/>
                        </w:rPr>
                        <w:t> </w:t>
                      </w:r>
                      <w:r>
                        <w:rPr/>
                        <w:t>por</w:t>
                      </w:r>
                      <w:r>
                        <w:rPr>
                          <w:spacing w:val="-3"/>
                        </w:rPr>
                        <w:t> </w:t>
                      </w:r>
                      <w:r>
                        <w:rPr/>
                        <w:t>el</w:t>
                      </w:r>
                      <w:r>
                        <w:rPr>
                          <w:spacing w:val="-3"/>
                        </w:rPr>
                        <w:t> </w:t>
                      </w:r>
                      <w:r>
                        <w:rPr/>
                        <w:t>Departamento</w:t>
                      </w:r>
                      <w:r>
                        <w:rPr>
                          <w:spacing w:val="-2"/>
                        </w:rPr>
                        <w:t> </w:t>
                      </w:r>
                      <w:r>
                        <w:rPr/>
                        <w:t>de</w:t>
                      </w:r>
                      <w:r>
                        <w:rPr>
                          <w:spacing w:val="-2"/>
                        </w:rPr>
                        <w:t> </w:t>
                      </w:r>
                      <w:r>
                        <w:rPr/>
                        <w:t>Administración</w:t>
                      </w:r>
                      <w:r>
                        <w:rPr>
                          <w:spacing w:val="-3"/>
                        </w:rPr>
                        <w:t> </w:t>
                      </w:r>
                      <w:r>
                        <w:rPr/>
                        <w:t>Financiera para</w:t>
                      </w:r>
                      <w:r>
                        <w:rPr>
                          <w:spacing w:val="-8"/>
                        </w:rPr>
                        <w:t> </w:t>
                      </w:r>
                      <w:r>
                        <w:rPr/>
                        <w:t>verificar</w:t>
                      </w:r>
                      <w:r>
                        <w:rPr>
                          <w:spacing w:val="-7"/>
                        </w:rPr>
                        <w:t> </w:t>
                      </w:r>
                      <w:r>
                        <w:rPr/>
                        <w:t>su</w:t>
                      </w:r>
                      <w:r>
                        <w:rPr>
                          <w:spacing w:val="-10"/>
                        </w:rPr>
                        <w:t> </w:t>
                      </w:r>
                      <w:r>
                        <w:rPr/>
                        <w:t>exactitud</w:t>
                      </w:r>
                      <w:r>
                        <w:rPr>
                          <w:spacing w:val="-10"/>
                        </w:rPr>
                        <w:t> </w:t>
                      </w:r>
                      <w:r>
                        <w:rPr/>
                        <w:t>y</w:t>
                      </w:r>
                      <w:r>
                        <w:rPr>
                          <w:spacing w:val="-8"/>
                        </w:rPr>
                        <w:t> </w:t>
                      </w:r>
                      <w:r>
                        <w:rPr/>
                        <w:t>aprobados</w:t>
                      </w:r>
                      <w:r>
                        <w:rPr>
                          <w:spacing w:val="-6"/>
                        </w:rPr>
                        <w:t> </w:t>
                      </w:r>
                      <w:r>
                        <w:rPr/>
                        <w:t>finalmente</w:t>
                      </w:r>
                      <w:r>
                        <w:rPr>
                          <w:spacing w:val="-6"/>
                        </w:rPr>
                        <w:t> </w:t>
                      </w:r>
                      <w:r>
                        <w:rPr/>
                        <w:t>por</w:t>
                      </w:r>
                      <w:r>
                        <w:rPr>
                          <w:spacing w:val="-7"/>
                        </w:rPr>
                        <w:t> </w:t>
                      </w:r>
                      <w:r>
                        <w:rPr/>
                        <w:t>la</w:t>
                      </w:r>
                      <w:r>
                        <w:rPr>
                          <w:spacing w:val="-11"/>
                        </w:rPr>
                        <w:t> </w:t>
                      </w:r>
                      <w:r>
                        <w:rPr/>
                        <w:t>Gerencia</w:t>
                      </w:r>
                      <w:r>
                        <w:rPr>
                          <w:spacing w:val="-8"/>
                        </w:rPr>
                        <w:t> </w:t>
                      </w:r>
                      <w:r>
                        <w:rPr/>
                        <w:t>General</w:t>
                      </w:r>
                      <w:r>
                        <w:rPr>
                          <w:spacing w:val="-8"/>
                        </w:rPr>
                        <w:t> </w:t>
                      </w:r>
                      <w:r>
                        <w:rPr/>
                        <w:t>de</w:t>
                      </w:r>
                      <w:r>
                        <w:rPr>
                          <w:spacing w:val="-6"/>
                        </w:rPr>
                        <w:t> </w:t>
                      </w:r>
                      <w:r>
                        <w:rPr/>
                        <w:t>la</w:t>
                      </w:r>
                      <w:r>
                        <w:rPr>
                          <w:spacing w:val="-11"/>
                        </w:rPr>
                        <w:t> </w:t>
                      </w:r>
                      <w:r>
                        <w:rPr/>
                        <w:t>entidad</w:t>
                      </w:r>
                      <w:r>
                        <w:rPr>
                          <w:spacing w:val="-8"/>
                        </w:rPr>
                        <w:t> </w:t>
                      </w:r>
                      <w:r>
                        <w:rPr/>
                        <w:t>para su validación y publicación.</w:t>
                      </w:r>
                    </w:p>
                  </w:txbxContent>
                </v:textbox>
                <v:stroke dashstyle="solid"/>
                <w10:wrap type="topAndBottom"/>
              </v:shape>
            </w:pict>
          </mc:Fallback>
        </mc:AlternateContent>
      </w:r>
    </w:p>
    <w:p>
      <w:pPr>
        <w:pStyle w:val="BodyText"/>
        <w:spacing w:before="186"/>
      </w:pPr>
    </w:p>
    <w:p>
      <w:pPr>
        <w:pStyle w:val="Heading6"/>
        <w:ind w:left="622"/>
      </w:pPr>
      <w:bookmarkStart w:name="_bookmark8" w:id="9"/>
      <w:bookmarkEnd w:id="9"/>
      <w:r>
        <w:rPr>
          <w:b w:val="0"/>
        </w:rPr>
      </w:r>
      <w:r>
        <w:rPr>
          <w:color w:val="1F3863"/>
        </w:rPr>
        <w:t>Políticas</w:t>
      </w:r>
      <w:r>
        <w:rPr>
          <w:color w:val="1F3863"/>
          <w:spacing w:val="-5"/>
        </w:rPr>
        <w:t> </w:t>
      </w:r>
      <w:r>
        <w:rPr>
          <w:color w:val="1F3863"/>
        </w:rPr>
        <w:t>contables</w:t>
      </w:r>
      <w:r>
        <w:rPr>
          <w:color w:val="1F3863"/>
          <w:spacing w:val="-4"/>
        </w:rPr>
        <w:t> </w:t>
      </w:r>
      <w:r>
        <w:rPr>
          <w:color w:val="1F3863"/>
        </w:rPr>
        <w:t>significativas</w:t>
      </w:r>
      <w:r>
        <w:rPr>
          <w:color w:val="1F3863"/>
          <w:spacing w:val="-5"/>
        </w:rPr>
        <w:t> </w:t>
      </w:r>
      <w:r>
        <w:rPr>
          <w:color w:val="1F3863"/>
        </w:rPr>
        <w:t>generales</w:t>
      </w:r>
      <w:r>
        <w:rPr>
          <w:color w:val="1F3863"/>
          <w:spacing w:val="-4"/>
        </w:rPr>
        <w:t> </w:t>
      </w:r>
      <w:r>
        <w:rPr>
          <w:color w:val="1F3863"/>
        </w:rPr>
        <w:t>y</w:t>
      </w:r>
      <w:r>
        <w:rPr>
          <w:color w:val="1F3863"/>
          <w:spacing w:val="-6"/>
        </w:rPr>
        <w:t> </w:t>
      </w:r>
      <w:r>
        <w:rPr>
          <w:color w:val="1F3863"/>
          <w:spacing w:val="-2"/>
        </w:rPr>
        <w:t>particulares</w:t>
      </w:r>
    </w:p>
    <w:p>
      <w:pPr>
        <w:pStyle w:val="Heading6"/>
        <w:numPr>
          <w:ilvl w:val="0"/>
          <w:numId w:val="13"/>
        </w:numPr>
        <w:tabs>
          <w:tab w:pos="1341" w:val="left" w:leader="none"/>
        </w:tabs>
        <w:spacing w:line="240" w:lineRule="auto" w:before="164" w:after="0"/>
        <w:ind w:left="1341" w:right="0" w:hanging="360"/>
        <w:jc w:val="left"/>
      </w:pPr>
      <w:bookmarkStart w:name="_bookmark9" w:id="10"/>
      <w:bookmarkEnd w:id="10"/>
      <w:r>
        <w:rPr>
          <w:b w:val="0"/>
        </w:rPr>
      </w:r>
      <w:r>
        <w:rPr>
          <w:color w:val="1F3762"/>
        </w:rPr>
        <w:t>Reconocimiento</w:t>
      </w:r>
      <w:r>
        <w:rPr>
          <w:color w:val="1F3762"/>
          <w:spacing w:val="-4"/>
        </w:rPr>
        <w:t> </w:t>
      </w:r>
      <w:r>
        <w:rPr>
          <w:color w:val="1F3762"/>
        </w:rPr>
        <w:t>de</w:t>
      </w:r>
      <w:r>
        <w:rPr>
          <w:color w:val="1F3762"/>
          <w:spacing w:val="-4"/>
        </w:rPr>
        <w:t> </w:t>
      </w:r>
      <w:r>
        <w:rPr>
          <w:color w:val="1F3762"/>
        </w:rPr>
        <w:t>ingresos</w:t>
      </w:r>
      <w:r>
        <w:rPr>
          <w:color w:val="1F3762"/>
          <w:spacing w:val="-4"/>
        </w:rPr>
        <w:t> </w:t>
      </w:r>
      <w:r>
        <w:rPr>
          <w:color w:val="1F3762"/>
        </w:rPr>
        <w:t>y</w:t>
      </w:r>
      <w:r>
        <w:rPr>
          <w:color w:val="1F3762"/>
          <w:spacing w:val="-4"/>
        </w:rPr>
        <w:t> </w:t>
      </w:r>
      <w:r>
        <w:rPr>
          <w:color w:val="1F3762"/>
          <w:spacing w:val="-2"/>
        </w:rPr>
        <w:t>gastos.</w:t>
      </w:r>
    </w:p>
    <w:p>
      <w:pPr>
        <w:pStyle w:val="Heading6"/>
        <w:spacing w:after="0" w:line="240" w:lineRule="auto"/>
        <w:jc w:val="left"/>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7024">
                <wp:simplePos x="0" y="0"/>
                <wp:positionH relativeFrom="page">
                  <wp:posOffset>9525</wp:posOffset>
                </wp:positionH>
                <wp:positionV relativeFrom="page">
                  <wp:posOffset>297208</wp:posOffset>
                </wp:positionV>
                <wp:extent cx="7762875" cy="974852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7762875" cy="9748520"/>
                          <a:chExt cx="7762875" cy="9748520"/>
                        </a:xfrm>
                      </wpg:grpSpPr>
                      <pic:pic>
                        <pic:nvPicPr>
                          <pic:cNvPr id="60" name="Image 60"/>
                          <pic:cNvPicPr/>
                        </pic:nvPicPr>
                        <pic:blipFill>
                          <a:blip r:embed="rId5" cstate="print"/>
                          <a:stretch>
                            <a:fillRect/>
                          </a:stretch>
                        </pic:blipFill>
                        <pic:spPr>
                          <a:xfrm>
                            <a:off x="0" y="0"/>
                            <a:ext cx="7762874" cy="9748489"/>
                          </a:xfrm>
                          <a:prstGeom prst="rect">
                            <a:avLst/>
                          </a:prstGeom>
                        </pic:spPr>
                      </pic:pic>
                      <wps:wsp>
                        <wps:cNvPr id="61" name="Graphic 61"/>
                        <wps:cNvSpPr/>
                        <wps:spPr>
                          <a:xfrm>
                            <a:off x="1053007" y="990837"/>
                            <a:ext cx="5649595" cy="7750809"/>
                          </a:xfrm>
                          <a:custGeom>
                            <a:avLst/>
                            <a:gdLst/>
                            <a:ahLst/>
                            <a:cxnLst/>
                            <a:rect l="l" t="t" r="r" b="b"/>
                            <a:pathLst>
                              <a:path w="5649595" h="7750809">
                                <a:moveTo>
                                  <a:pt x="24384" y="132651"/>
                                </a:moveTo>
                                <a:lnTo>
                                  <a:pt x="18288" y="132651"/>
                                </a:lnTo>
                                <a:lnTo>
                                  <a:pt x="18288" y="7744396"/>
                                </a:lnTo>
                                <a:lnTo>
                                  <a:pt x="24384" y="7744396"/>
                                </a:lnTo>
                                <a:lnTo>
                                  <a:pt x="24384" y="132651"/>
                                </a:lnTo>
                                <a:close/>
                              </a:path>
                              <a:path w="5649595" h="7750809">
                                <a:moveTo>
                                  <a:pt x="5630862" y="7744409"/>
                                </a:moveTo>
                                <a:lnTo>
                                  <a:pt x="5624830" y="7744409"/>
                                </a:lnTo>
                                <a:lnTo>
                                  <a:pt x="24384" y="7744409"/>
                                </a:lnTo>
                                <a:lnTo>
                                  <a:pt x="18288" y="7744409"/>
                                </a:lnTo>
                                <a:lnTo>
                                  <a:pt x="18288" y="7750492"/>
                                </a:lnTo>
                                <a:lnTo>
                                  <a:pt x="24384" y="7750492"/>
                                </a:lnTo>
                                <a:lnTo>
                                  <a:pt x="5624779" y="7750492"/>
                                </a:lnTo>
                                <a:lnTo>
                                  <a:pt x="5630862" y="7750492"/>
                                </a:lnTo>
                                <a:lnTo>
                                  <a:pt x="5630862" y="7744409"/>
                                </a:lnTo>
                                <a:close/>
                              </a:path>
                              <a:path w="5649595" h="7750809">
                                <a:moveTo>
                                  <a:pt x="5630862" y="132651"/>
                                </a:moveTo>
                                <a:lnTo>
                                  <a:pt x="5624779" y="132651"/>
                                </a:lnTo>
                                <a:lnTo>
                                  <a:pt x="5624779" y="7744396"/>
                                </a:lnTo>
                                <a:lnTo>
                                  <a:pt x="5630862" y="7744396"/>
                                </a:lnTo>
                                <a:lnTo>
                                  <a:pt x="5630862" y="132651"/>
                                </a:lnTo>
                                <a:close/>
                              </a:path>
                              <a:path w="5649595" h="7750809">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5080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9456" id="docshapegroup58" coordorigin="15,468" coordsize="12225,15352">
                <v:shape style="position:absolute;left:15;top:468;width:12225;height:15352" type="#_x0000_t75" id="docshape59" stroked="false">
                  <v:imagedata r:id="rId5" o:title=""/>
                </v:shape>
                <v:shape style="position:absolute;left:1673;top:2028;width:8897;height:12206" id="docshape60" coordorigin="1673,2028" coordsize="8897,12206" path="m1712,2237l1702,2237,1702,14224,1712,14224,1712,2237xm10541,14224l10531,14224,10531,14224,1712,14224,1702,14224,1702,14234,1712,14234,10531,14234,10531,14234,10541,14234,10541,14224xm10541,2237l10531,2237,10531,14224,10541,14224,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17</w:t>
      </w:r>
    </w:p>
    <w:p>
      <w:pPr>
        <w:pStyle w:val="BodyText"/>
        <w:spacing w:line="259" w:lineRule="auto" w:before="227"/>
        <w:ind w:left="734" w:right="1086"/>
        <w:jc w:val="both"/>
      </w:pPr>
      <w:r>
        <w:rPr/>
        <w:t>Para determinar si una transacción tiene componentes con contraprestación y sin contraprestación identificables deberá aplicarse el juicio profesional y tenerse en cuenta la esencia más que la forma de la transacción. Cuando no sea posible distinguir componentes con contraprestación y sin contraprestación por separado, la transacción</w:t>
      </w:r>
      <w:r>
        <w:rPr>
          <w:spacing w:val="-1"/>
        </w:rPr>
        <w:t> </w:t>
      </w:r>
      <w:r>
        <w:rPr/>
        <w:t>se tratará</w:t>
      </w:r>
      <w:r>
        <w:rPr>
          <w:spacing w:val="-3"/>
        </w:rPr>
        <w:t> </w:t>
      </w:r>
      <w:r>
        <w:rPr/>
        <w:t>como una transacción</w:t>
      </w:r>
      <w:r>
        <w:rPr>
          <w:spacing w:val="-1"/>
        </w:rPr>
        <w:t> </w:t>
      </w:r>
      <w:r>
        <w:rPr/>
        <w:t>sin contraprestación.</w:t>
      </w:r>
    </w:p>
    <w:p>
      <w:pPr>
        <w:pStyle w:val="BodyText"/>
        <w:spacing w:before="21"/>
      </w:pPr>
    </w:p>
    <w:p>
      <w:pPr>
        <w:pStyle w:val="BodyText"/>
        <w:spacing w:line="259" w:lineRule="auto"/>
        <w:ind w:left="734" w:right="1088"/>
        <w:jc w:val="both"/>
      </w:pPr>
      <w:r>
        <w:rPr/>
        <w:t>Transacciones con contraprestación, son aquéllas en las que la entidad recibe activos o servicios, o cancela obligaciones, y asigna directamente un valor aproximadamente igual (mayoritariamente en forma</w:t>
      </w:r>
      <w:r>
        <w:rPr>
          <w:spacing w:val="-14"/>
        </w:rPr>
        <w:t> </w:t>
      </w:r>
      <w:r>
        <w:rPr/>
        <w:t>de</w:t>
      </w:r>
      <w:r>
        <w:rPr>
          <w:spacing w:val="-14"/>
        </w:rPr>
        <w:t> </w:t>
      </w:r>
      <w:r>
        <w:rPr/>
        <w:t>productos,</w:t>
      </w:r>
      <w:r>
        <w:rPr>
          <w:spacing w:val="-14"/>
        </w:rPr>
        <w:t> </w:t>
      </w:r>
      <w:r>
        <w:rPr/>
        <w:t>servicios</w:t>
      </w:r>
      <w:r>
        <w:rPr>
          <w:spacing w:val="-13"/>
        </w:rPr>
        <w:t> </w:t>
      </w:r>
      <w:r>
        <w:rPr/>
        <w:t>o</w:t>
      </w:r>
      <w:r>
        <w:rPr>
          <w:spacing w:val="-14"/>
        </w:rPr>
        <w:t> </w:t>
      </w:r>
      <w:r>
        <w:rPr/>
        <w:t>uso</w:t>
      </w:r>
      <w:r>
        <w:rPr>
          <w:spacing w:val="-14"/>
        </w:rPr>
        <w:t> </w:t>
      </w:r>
      <w:r>
        <w:rPr/>
        <w:t>de</w:t>
      </w:r>
      <w:r>
        <w:rPr>
          <w:spacing w:val="-14"/>
        </w:rPr>
        <w:t> </w:t>
      </w:r>
      <w:r>
        <w:rPr/>
        <w:t>activos)</w:t>
      </w:r>
      <w:r>
        <w:rPr>
          <w:spacing w:val="-13"/>
        </w:rPr>
        <w:t> </w:t>
      </w:r>
      <w:r>
        <w:rPr/>
        <w:t>a</w:t>
      </w:r>
      <w:r>
        <w:rPr>
          <w:spacing w:val="-14"/>
        </w:rPr>
        <w:t> </w:t>
      </w:r>
      <w:r>
        <w:rPr/>
        <w:t>la</w:t>
      </w:r>
      <w:r>
        <w:rPr>
          <w:spacing w:val="-14"/>
        </w:rPr>
        <w:t> </w:t>
      </w:r>
      <w:r>
        <w:rPr/>
        <w:t>otra</w:t>
      </w:r>
      <w:r>
        <w:rPr>
          <w:spacing w:val="-14"/>
        </w:rPr>
        <w:t> </w:t>
      </w:r>
      <w:r>
        <w:rPr/>
        <w:t>parte</w:t>
      </w:r>
      <w:r>
        <w:rPr>
          <w:spacing w:val="-13"/>
        </w:rPr>
        <w:t> </w:t>
      </w:r>
      <w:r>
        <w:rPr/>
        <w:t>del</w:t>
      </w:r>
      <w:r>
        <w:rPr>
          <w:spacing w:val="-14"/>
        </w:rPr>
        <w:t> </w:t>
      </w:r>
      <w:r>
        <w:rPr/>
        <w:t>intercambio,</w:t>
      </w:r>
      <w:r>
        <w:rPr>
          <w:spacing w:val="-14"/>
        </w:rPr>
        <w:t> </w:t>
      </w:r>
      <w:r>
        <w:rPr/>
        <w:t>entre</w:t>
      </w:r>
      <w:r>
        <w:rPr>
          <w:spacing w:val="-14"/>
        </w:rPr>
        <w:t> </w:t>
      </w:r>
      <w:r>
        <w:rPr/>
        <w:t>las</w:t>
      </w:r>
      <w:r>
        <w:rPr>
          <w:spacing w:val="-13"/>
        </w:rPr>
        <w:t> </w:t>
      </w:r>
      <w:r>
        <w:rPr/>
        <w:t>que</w:t>
      </w:r>
      <w:r>
        <w:rPr>
          <w:spacing w:val="-14"/>
        </w:rPr>
        <w:t> </w:t>
      </w:r>
      <w:r>
        <w:rPr/>
        <w:t>se</w:t>
      </w:r>
      <w:r>
        <w:rPr>
          <w:spacing w:val="-14"/>
        </w:rPr>
        <w:t> </w:t>
      </w:r>
      <w:r>
        <w:rPr/>
        <w:t>podrán </w:t>
      </w:r>
      <w:r>
        <w:rPr>
          <w:spacing w:val="-2"/>
        </w:rPr>
        <w:t>incluir:</w:t>
      </w:r>
    </w:p>
    <w:p>
      <w:pPr>
        <w:pStyle w:val="BodyText"/>
        <w:spacing w:line="259" w:lineRule="auto"/>
        <w:ind w:left="734" w:right="7409"/>
      </w:pPr>
      <w:r>
        <w:rPr/>
        <w:t>la</w:t>
      </w:r>
      <w:r>
        <w:rPr>
          <w:spacing w:val="-13"/>
        </w:rPr>
        <w:t> </w:t>
      </w:r>
      <w:r>
        <w:rPr/>
        <w:t>prestación</w:t>
      </w:r>
      <w:r>
        <w:rPr>
          <w:spacing w:val="-11"/>
        </w:rPr>
        <w:t> </w:t>
      </w:r>
      <w:r>
        <w:rPr/>
        <w:t>de</w:t>
      </w:r>
      <w:r>
        <w:rPr>
          <w:spacing w:val="-13"/>
        </w:rPr>
        <w:t> </w:t>
      </w:r>
      <w:r>
        <w:rPr/>
        <w:t>servicios; la venta de bienes;</w:t>
      </w:r>
    </w:p>
    <w:p>
      <w:pPr>
        <w:pStyle w:val="BodyText"/>
        <w:ind w:left="734"/>
      </w:pPr>
      <w:r>
        <w:rPr/>
        <w:t>el</w:t>
      </w:r>
      <w:r>
        <w:rPr>
          <w:spacing w:val="-2"/>
        </w:rPr>
        <w:t> </w:t>
      </w:r>
      <w:r>
        <w:rPr/>
        <w:t>uso,</w:t>
      </w:r>
      <w:r>
        <w:rPr>
          <w:spacing w:val="-2"/>
        </w:rPr>
        <w:t> </w:t>
      </w:r>
      <w:r>
        <w:rPr/>
        <w:t>por</w:t>
      </w:r>
      <w:r>
        <w:rPr>
          <w:spacing w:val="-2"/>
        </w:rPr>
        <w:t> </w:t>
      </w:r>
      <w:r>
        <w:rPr/>
        <w:t>parte</w:t>
      </w:r>
      <w:r>
        <w:rPr>
          <w:spacing w:val="-3"/>
        </w:rPr>
        <w:t> </w:t>
      </w:r>
      <w:r>
        <w:rPr/>
        <w:t>de</w:t>
      </w:r>
      <w:r>
        <w:rPr>
          <w:spacing w:val="-4"/>
        </w:rPr>
        <w:t> </w:t>
      </w:r>
      <w:r>
        <w:rPr/>
        <w:t>terceros</w:t>
      </w:r>
      <w:r>
        <w:rPr>
          <w:spacing w:val="-4"/>
        </w:rPr>
        <w:t> </w:t>
      </w:r>
      <w:r>
        <w:rPr/>
        <w:t>de</w:t>
      </w:r>
      <w:r>
        <w:rPr>
          <w:spacing w:val="-4"/>
        </w:rPr>
        <w:t> </w:t>
      </w:r>
      <w:r>
        <w:rPr/>
        <w:t>activos de</w:t>
      </w:r>
      <w:r>
        <w:rPr>
          <w:spacing w:val="-4"/>
        </w:rPr>
        <w:t> </w:t>
      </w:r>
      <w:r>
        <w:rPr/>
        <w:t>la</w:t>
      </w:r>
      <w:r>
        <w:rPr>
          <w:spacing w:val="-4"/>
        </w:rPr>
        <w:t> </w:t>
      </w:r>
      <w:r>
        <w:rPr/>
        <w:t>entidad</w:t>
      </w:r>
      <w:r>
        <w:rPr>
          <w:spacing w:val="-2"/>
        </w:rPr>
        <w:t> </w:t>
      </w:r>
      <w:r>
        <w:rPr/>
        <w:t>que</w:t>
      </w:r>
      <w:r>
        <w:rPr>
          <w:spacing w:val="-6"/>
        </w:rPr>
        <w:t> </w:t>
      </w:r>
      <w:r>
        <w:rPr/>
        <w:t>produzcan</w:t>
      </w:r>
      <w:r>
        <w:rPr>
          <w:spacing w:val="-2"/>
        </w:rPr>
        <w:t> </w:t>
      </w:r>
      <w:r>
        <w:rPr/>
        <w:t>intereses</w:t>
      </w:r>
      <w:r>
        <w:rPr>
          <w:spacing w:val="-1"/>
        </w:rPr>
        <w:t> </w:t>
      </w:r>
      <w:r>
        <w:rPr/>
        <w:t>y</w:t>
      </w:r>
      <w:r>
        <w:rPr>
          <w:spacing w:val="-2"/>
        </w:rPr>
        <w:t> regalías;</w:t>
      </w:r>
    </w:p>
    <w:p>
      <w:pPr>
        <w:pStyle w:val="ListParagraph"/>
        <w:numPr>
          <w:ilvl w:val="1"/>
          <w:numId w:val="13"/>
        </w:numPr>
        <w:tabs>
          <w:tab w:pos="2477" w:val="left" w:leader="none"/>
        </w:tabs>
        <w:spacing w:line="240" w:lineRule="auto" w:before="17" w:after="0"/>
        <w:ind w:left="2477" w:right="0" w:hanging="749"/>
        <w:jc w:val="left"/>
        <w:rPr>
          <w:sz w:val="22"/>
        </w:rPr>
      </w:pPr>
      <w:r>
        <w:rPr>
          <w:sz w:val="22"/>
        </w:rPr>
        <w:t>los</w:t>
      </w:r>
      <w:r>
        <w:rPr>
          <w:spacing w:val="-3"/>
          <w:sz w:val="22"/>
        </w:rPr>
        <w:t> </w:t>
      </w:r>
      <w:r>
        <w:rPr>
          <w:sz w:val="22"/>
        </w:rPr>
        <w:t>ingresos</w:t>
      </w:r>
      <w:r>
        <w:rPr>
          <w:spacing w:val="-2"/>
          <w:sz w:val="22"/>
        </w:rPr>
        <w:t> </w:t>
      </w:r>
      <w:r>
        <w:rPr>
          <w:sz w:val="22"/>
        </w:rPr>
        <w:t>producto</w:t>
      </w:r>
      <w:r>
        <w:rPr>
          <w:spacing w:val="-3"/>
          <w:sz w:val="22"/>
        </w:rPr>
        <w:t> </w:t>
      </w:r>
      <w:r>
        <w:rPr>
          <w:sz w:val="22"/>
        </w:rPr>
        <w:t>de</w:t>
      </w:r>
      <w:r>
        <w:rPr>
          <w:spacing w:val="-2"/>
          <w:sz w:val="22"/>
        </w:rPr>
        <w:t> </w:t>
      </w:r>
      <w:r>
        <w:rPr>
          <w:sz w:val="22"/>
        </w:rPr>
        <w:t>los</w:t>
      </w:r>
      <w:r>
        <w:rPr>
          <w:spacing w:val="-5"/>
          <w:sz w:val="22"/>
        </w:rPr>
        <w:t> </w:t>
      </w:r>
      <w:r>
        <w:rPr>
          <w:sz w:val="22"/>
        </w:rPr>
        <w:t>cambios</w:t>
      </w:r>
      <w:r>
        <w:rPr>
          <w:spacing w:val="-4"/>
          <w:sz w:val="22"/>
        </w:rPr>
        <w:t> </w:t>
      </w:r>
      <w:r>
        <w:rPr>
          <w:sz w:val="22"/>
        </w:rPr>
        <w:t>en</w:t>
      </w:r>
      <w:r>
        <w:rPr>
          <w:spacing w:val="-3"/>
          <w:sz w:val="22"/>
        </w:rPr>
        <w:t> </w:t>
      </w:r>
      <w:r>
        <w:rPr>
          <w:sz w:val="22"/>
        </w:rPr>
        <w:t>el</w:t>
      </w:r>
      <w:r>
        <w:rPr>
          <w:spacing w:val="-3"/>
          <w:sz w:val="22"/>
        </w:rPr>
        <w:t> </w:t>
      </w:r>
      <w:r>
        <w:rPr>
          <w:sz w:val="22"/>
        </w:rPr>
        <w:t>valor</w:t>
      </w:r>
      <w:r>
        <w:rPr>
          <w:spacing w:val="-3"/>
          <w:sz w:val="22"/>
        </w:rPr>
        <w:t> </w:t>
      </w:r>
      <w:r>
        <w:rPr>
          <w:spacing w:val="-2"/>
          <w:sz w:val="22"/>
        </w:rPr>
        <w:t>razonable.</w:t>
      </w:r>
    </w:p>
    <w:p>
      <w:pPr>
        <w:pStyle w:val="BodyText"/>
        <w:spacing w:before="188"/>
      </w:pPr>
    </w:p>
    <w:p>
      <w:pPr>
        <w:spacing w:before="0"/>
        <w:ind w:left="734" w:right="0" w:firstLine="0"/>
        <w:jc w:val="left"/>
        <w:rPr>
          <w:i/>
          <w:sz w:val="23"/>
        </w:rPr>
      </w:pPr>
      <w:r>
        <w:rPr>
          <w:i/>
          <w:spacing w:val="-5"/>
          <w:sz w:val="23"/>
        </w:rPr>
        <w:t>Lineamiento</w:t>
      </w:r>
      <w:r>
        <w:rPr>
          <w:i/>
          <w:spacing w:val="-2"/>
          <w:sz w:val="23"/>
        </w:rPr>
        <w:t> interno</w:t>
      </w:r>
    </w:p>
    <w:p>
      <w:pPr>
        <w:pStyle w:val="BodyText"/>
        <w:spacing w:before="35"/>
        <w:rPr>
          <w:i/>
          <w:sz w:val="23"/>
        </w:rPr>
      </w:pPr>
    </w:p>
    <w:p>
      <w:pPr>
        <w:spacing w:before="0"/>
        <w:ind w:left="734" w:right="0" w:firstLine="0"/>
        <w:jc w:val="left"/>
        <w:rPr>
          <w:i/>
          <w:sz w:val="23"/>
        </w:rPr>
      </w:pPr>
      <w:r>
        <w:rPr>
          <w:i/>
          <w:spacing w:val="-4"/>
          <w:sz w:val="23"/>
        </w:rPr>
        <w:t>INGC-01:</w:t>
      </w:r>
      <w:r>
        <w:rPr>
          <w:i/>
          <w:spacing w:val="-11"/>
          <w:sz w:val="23"/>
        </w:rPr>
        <w:t> </w:t>
      </w:r>
      <w:r>
        <w:rPr>
          <w:i/>
          <w:spacing w:val="-4"/>
          <w:sz w:val="23"/>
        </w:rPr>
        <w:t>Los</w:t>
      </w:r>
      <w:r>
        <w:rPr>
          <w:i/>
          <w:spacing w:val="-6"/>
          <w:sz w:val="23"/>
        </w:rPr>
        <w:t> </w:t>
      </w:r>
      <w:r>
        <w:rPr>
          <w:i/>
          <w:spacing w:val="-4"/>
          <w:sz w:val="23"/>
        </w:rPr>
        <w:t>ingresos</w:t>
      </w:r>
      <w:r>
        <w:rPr>
          <w:i/>
          <w:spacing w:val="-6"/>
          <w:sz w:val="23"/>
        </w:rPr>
        <w:t> </w:t>
      </w:r>
      <w:r>
        <w:rPr>
          <w:i/>
          <w:spacing w:val="-4"/>
          <w:sz w:val="23"/>
        </w:rPr>
        <w:t>de</w:t>
      </w:r>
      <w:r>
        <w:rPr>
          <w:i/>
          <w:spacing w:val="-9"/>
          <w:sz w:val="23"/>
        </w:rPr>
        <w:t> </w:t>
      </w:r>
      <w:r>
        <w:rPr>
          <w:i/>
          <w:spacing w:val="-4"/>
          <w:sz w:val="23"/>
        </w:rPr>
        <w:t>transacciones</w:t>
      </w:r>
      <w:r>
        <w:rPr>
          <w:i/>
          <w:spacing w:val="-6"/>
          <w:sz w:val="23"/>
        </w:rPr>
        <w:t> </w:t>
      </w:r>
      <w:r>
        <w:rPr>
          <w:i/>
          <w:spacing w:val="-4"/>
          <w:sz w:val="23"/>
        </w:rPr>
        <w:t>con</w:t>
      </w:r>
      <w:r>
        <w:rPr>
          <w:i/>
          <w:spacing w:val="-8"/>
          <w:sz w:val="23"/>
        </w:rPr>
        <w:t> </w:t>
      </w:r>
      <w:r>
        <w:rPr>
          <w:i/>
          <w:spacing w:val="-4"/>
          <w:sz w:val="23"/>
        </w:rPr>
        <w:t>contraprestación</w:t>
      </w:r>
      <w:r>
        <w:rPr>
          <w:i/>
          <w:spacing w:val="-7"/>
          <w:sz w:val="23"/>
        </w:rPr>
        <w:t> </w:t>
      </w:r>
      <w:r>
        <w:rPr>
          <w:i/>
          <w:spacing w:val="-4"/>
          <w:sz w:val="23"/>
        </w:rPr>
        <w:t>del</w:t>
      </w:r>
      <w:r>
        <w:rPr>
          <w:i/>
          <w:spacing w:val="-8"/>
          <w:sz w:val="23"/>
        </w:rPr>
        <w:t> </w:t>
      </w:r>
      <w:r>
        <w:rPr>
          <w:i/>
          <w:spacing w:val="-4"/>
          <w:sz w:val="23"/>
        </w:rPr>
        <w:t>IMAS</w:t>
      </w:r>
      <w:r>
        <w:rPr>
          <w:i/>
          <w:spacing w:val="-7"/>
          <w:sz w:val="23"/>
        </w:rPr>
        <w:t> </w:t>
      </w:r>
      <w:r>
        <w:rPr>
          <w:i/>
          <w:spacing w:val="-4"/>
          <w:sz w:val="23"/>
        </w:rPr>
        <w:t>se</w:t>
      </w:r>
      <w:r>
        <w:rPr>
          <w:i/>
          <w:spacing w:val="-8"/>
          <w:sz w:val="23"/>
        </w:rPr>
        <w:t> </w:t>
      </w:r>
      <w:r>
        <w:rPr>
          <w:i/>
          <w:spacing w:val="-4"/>
          <w:sz w:val="23"/>
        </w:rPr>
        <w:t>derivan</w:t>
      </w:r>
      <w:r>
        <w:rPr>
          <w:i/>
          <w:spacing w:val="-9"/>
          <w:sz w:val="23"/>
        </w:rPr>
        <w:t> </w:t>
      </w:r>
      <w:r>
        <w:rPr>
          <w:i/>
          <w:spacing w:val="-5"/>
          <w:sz w:val="23"/>
        </w:rPr>
        <w:t>de:</w:t>
      </w:r>
    </w:p>
    <w:p>
      <w:pPr>
        <w:pStyle w:val="ListParagraph"/>
        <w:numPr>
          <w:ilvl w:val="0"/>
          <w:numId w:val="14"/>
        </w:numPr>
        <w:tabs>
          <w:tab w:pos="1454" w:val="left" w:leader="none"/>
        </w:tabs>
        <w:spacing w:line="257" w:lineRule="exact" w:before="167" w:after="0"/>
        <w:ind w:left="1454" w:right="0" w:hanging="360"/>
        <w:jc w:val="left"/>
        <w:rPr>
          <w:i/>
          <w:sz w:val="23"/>
        </w:rPr>
      </w:pPr>
      <w:r>
        <w:rPr>
          <w:i/>
          <w:spacing w:val="-4"/>
          <w:sz w:val="23"/>
        </w:rPr>
        <w:t>la</w:t>
      </w:r>
      <w:r>
        <w:rPr>
          <w:i/>
          <w:spacing w:val="-8"/>
          <w:sz w:val="23"/>
        </w:rPr>
        <w:t> </w:t>
      </w:r>
      <w:r>
        <w:rPr>
          <w:i/>
          <w:spacing w:val="-4"/>
          <w:sz w:val="23"/>
        </w:rPr>
        <w:t>venta</w:t>
      </w:r>
      <w:r>
        <w:rPr>
          <w:i/>
          <w:spacing w:val="-6"/>
          <w:sz w:val="23"/>
        </w:rPr>
        <w:t> </w:t>
      </w:r>
      <w:r>
        <w:rPr>
          <w:i/>
          <w:spacing w:val="-4"/>
          <w:sz w:val="23"/>
        </w:rPr>
        <w:t>de</w:t>
      </w:r>
      <w:r>
        <w:rPr>
          <w:i/>
          <w:spacing w:val="-5"/>
          <w:sz w:val="23"/>
        </w:rPr>
        <w:t> </w:t>
      </w:r>
      <w:r>
        <w:rPr>
          <w:i/>
          <w:spacing w:val="-4"/>
          <w:sz w:val="23"/>
        </w:rPr>
        <w:t>bienes</w:t>
      </w:r>
      <w:r>
        <w:rPr>
          <w:i/>
          <w:spacing w:val="-5"/>
          <w:sz w:val="23"/>
        </w:rPr>
        <w:t> </w:t>
      </w:r>
      <w:r>
        <w:rPr>
          <w:i/>
          <w:spacing w:val="-4"/>
          <w:sz w:val="23"/>
        </w:rPr>
        <w:t>terminados</w:t>
      </w:r>
      <w:r>
        <w:rPr>
          <w:i/>
          <w:spacing w:val="-7"/>
          <w:sz w:val="23"/>
        </w:rPr>
        <w:t> </w:t>
      </w:r>
      <w:r>
        <w:rPr>
          <w:i/>
          <w:spacing w:val="-4"/>
          <w:sz w:val="23"/>
        </w:rPr>
        <w:t>en</w:t>
      </w:r>
      <w:r>
        <w:rPr>
          <w:i/>
          <w:spacing w:val="-6"/>
          <w:sz w:val="23"/>
        </w:rPr>
        <w:t> </w:t>
      </w:r>
      <w:r>
        <w:rPr>
          <w:i/>
          <w:spacing w:val="-4"/>
          <w:sz w:val="23"/>
        </w:rPr>
        <w:t>los</w:t>
      </w:r>
      <w:r>
        <w:rPr>
          <w:i/>
          <w:spacing w:val="-5"/>
          <w:sz w:val="23"/>
        </w:rPr>
        <w:t> </w:t>
      </w:r>
      <w:r>
        <w:rPr>
          <w:i/>
          <w:spacing w:val="-4"/>
          <w:sz w:val="23"/>
        </w:rPr>
        <w:t>puertos,</w:t>
      </w:r>
      <w:r>
        <w:rPr>
          <w:i/>
          <w:spacing w:val="-6"/>
          <w:sz w:val="23"/>
        </w:rPr>
        <w:t> </w:t>
      </w:r>
      <w:r>
        <w:rPr>
          <w:i/>
          <w:spacing w:val="-4"/>
          <w:sz w:val="23"/>
        </w:rPr>
        <w:t>aeropuertos;</w:t>
      </w:r>
    </w:p>
    <w:p>
      <w:pPr>
        <w:pStyle w:val="ListParagraph"/>
        <w:numPr>
          <w:ilvl w:val="0"/>
          <w:numId w:val="14"/>
        </w:numPr>
        <w:tabs>
          <w:tab w:pos="1452" w:val="left" w:leader="none"/>
        </w:tabs>
        <w:spacing w:line="251" w:lineRule="exact" w:before="0" w:after="0"/>
        <w:ind w:left="1452" w:right="0" w:hanging="358"/>
        <w:jc w:val="left"/>
        <w:rPr>
          <w:i/>
          <w:sz w:val="23"/>
        </w:rPr>
      </w:pPr>
      <w:r>
        <w:rPr>
          <w:i/>
          <w:spacing w:val="-2"/>
          <w:sz w:val="23"/>
        </w:rPr>
        <w:t>la</w:t>
      </w:r>
      <w:r>
        <w:rPr>
          <w:i/>
          <w:spacing w:val="-13"/>
          <w:sz w:val="23"/>
        </w:rPr>
        <w:t> </w:t>
      </w:r>
      <w:r>
        <w:rPr>
          <w:i/>
          <w:spacing w:val="-2"/>
          <w:sz w:val="23"/>
        </w:rPr>
        <w:t>venta</w:t>
      </w:r>
      <w:r>
        <w:rPr>
          <w:i/>
          <w:spacing w:val="-11"/>
          <w:sz w:val="23"/>
        </w:rPr>
        <w:t> </w:t>
      </w:r>
      <w:r>
        <w:rPr>
          <w:i/>
          <w:spacing w:val="-2"/>
          <w:sz w:val="23"/>
        </w:rPr>
        <w:t>de</w:t>
      </w:r>
      <w:r>
        <w:rPr>
          <w:i/>
          <w:spacing w:val="-11"/>
          <w:sz w:val="23"/>
        </w:rPr>
        <w:t> </w:t>
      </w:r>
      <w:r>
        <w:rPr>
          <w:i/>
          <w:spacing w:val="-2"/>
          <w:sz w:val="23"/>
        </w:rPr>
        <w:t>terrenos</w:t>
      </w:r>
      <w:r>
        <w:rPr>
          <w:i/>
          <w:spacing w:val="-10"/>
          <w:sz w:val="23"/>
        </w:rPr>
        <w:t> </w:t>
      </w:r>
      <w:r>
        <w:rPr>
          <w:i/>
          <w:spacing w:val="-2"/>
          <w:sz w:val="23"/>
        </w:rPr>
        <w:t>a</w:t>
      </w:r>
      <w:r>
        <w:rPr>
          <w:i/>
          <w:spacing w:val="-11"/>
          <w:sz w:val="23"/>
        </w:rPr>
        <w:t> </w:t>
      </w:r>
      <w:r>
        <w:rPr>
          <w:i/>
          <w:spacing w:val="-2"/>
          <w:sz w:val="23"/>
        </w:rPr>
        <w:t>terceros;</w:t>
      </w:r>
    </w:p>
    <w:p>
      <w:pPr>
        <w:pStyle w:val="ListParagraph"/>
        <w:numPr>
          <w:ilvl w:val="0"/>
          <w:numId w:val="14"/>
        </w:numPr>
        <w:tabs>
          <w:tab w:pos="1454" w:val="left" w:leader="none"/>
        </w:tabs>
        <w:spacing w:line="251" w:lineRule="exact" w:before="0" w:after="0"/>
        <w:ind w:left="1454" w:right="0" w:hanging="360"/>
        <w:jc w:val="left"/>
        <w:rPr>
          <w:i/>
          <w:sz w:val="23"/>
        </w:rPr>
      </w:pPr>
      <w:r>
        <w:rPr>
          <w:i/>
          <w:spacing w:val="-4"/>
          <w:sz w:val="23"/>
        </w:rPr>
        <w:t>intereses;</w:t>
      </w:r>
      <w:r>
        <w:rPr>
          <w:i/>
          <w:spacing w:val="-2"/>
          <w:sz w:val="23"/>
        </w:rPr>
        <w:t> </w:t>
      </w:r>
      <w:r>
        <w:rPr>
          <w:i/>
          <w:spacing w:val="-10"/>
          <w:sz w:val="23"/>
        </w:rPr>
        <w:t>y</w:t>
      </w:r>
    </w:p>
    <w:p>
      <w:pPr>
        <w:pStyle w:val="ListParagraph"/>
        <w:numPr>
          <w:ilvl w:val="0"/>
          <w:numId w:val="14"/>
        </w:numPr>
        <w:tabs>
          <w:tab w:pos="1453" w:val="left" w:leader="none"/>
        </w:tabs>
        <w:spacing w:line="257" w:lineRule="exact" w:before="0" w:after="0"/>
        <w:ind w:left="1453" w:right="0" w:hanging="359"/>
        <w:jc w:val="left"/>
        <w:rPr>
          <w:i/>
          <w:sz w:val="23"/>
        </w:rPr>
      </w:pPr>
      <w:r>
        <w:rPr>
          <w:i/>
          <w:spacing w:val="-4"/>
          <w:sz w:val="23"/>
        </w:rPr>
        <w:t>ganancias netas</w:t>
      </w:r>
      <w:r>
        <w:rPr>
          <w:i/>
          <w:spacing w:val="-6"/>
          <w:sz w:val="23"/>
        </w:rPr>
        <w:t> </w:t>
      </w:r>
      <w:r>
        <w:rPr>
          <w:i/>
          <w:spacing w:val="-4"/>
          <w:sz w:val="23"/>
        </w:rPr>
        <w:t>derivadas</w:t>
      </w:r>
      <w:r>
        <w:rPr>
          <w:i/>
          <w:spacing w:val="-6"/>
          <w:sz w:val="23"/>
        </w:rPr>
        <w:t> </w:t>
      </w:r>
      <w:r>
        <w:rPr>
          <w:i/>
          <w:spacing w:val="-4"/>
          <w:sz w:val="23"/>
        </w:rPr>
        <w:t>de</w:t>
      </w:r>
      <w:r>
        <w:rPr>
          <w:i/>
          <w:spacing w:val="-3"/>
          <w:sz w:val="23"/>
        </w:rPr>
        <w:t> </w:t>
      </w:r>
      <w:r>
        <w:rPr>
          <w:i/>
          <w:spacing w:val="-4"/>
          <w:sz w:val="23"/>
        </w:rPr>
        <w:t>la</w:t>
      </w:r>
      <w:r>
        <w:rPr>
          <w:i/>
          <w:spacing w:val="-6"/>
          <w:sz w:val="23"/>
        </w:rPr>
        <w:t> </w:t>
      </w:r>
      <w:r>
        <w:rPr>
          <w:i/>
          <w:spacing w:val="-4"/>
          <w:sz w:val="23"/>
        </w:rPr>
        <w:t>venta</w:t>
      </w:r>
      <w:r>
        <w:rPr>
          <w:i/>
          <w:spacing w:val="-5"/>
          <w:sz w:val="23"/>
        </w:rPr>
        <w:t> </w:t>
      </w:r>
      <w:r>
        <w:rPr>
          <w:i/>
          <w:spacing w:val="-4"/>
          <w:sz w:val="23"/>
        </w:rPr>
        <w:t>de</w:t>
      </w:r>
      <w:r>
        <w:rPr>
          <w:i/>
          <w:spacing w:val="-5"/>
          <w:sz w:val="23"/>
        </w:rPr>
        <w:t> </w:t>
      </w:r>
      <w:r>
        <w:rPr>
          <w:i/>
          <w:spacing w:val="-4"/>
          <w:sz w:val="23"/>
        </w:rPr>
        <w:t>activos.</w:t>
      </w:r>
    </w:p>
    <w:p>
      <w:pPr>
        <w:pStyle w:val="BodyText"/>
        <w:spacing w:before="176"/>
        <w:rPr>
          <w:i/>
          <w:sz w:val="23"/>
        </w:rPr>
      </w:pPr>
    </w:p>
    <w:p>
      <w:pPr>
        <w:spacing w:line="247" w:lineRule="auto" w:before="0"/>
        <w:ind w:left="734" w:right="1090" w:firstLine="0"/>
        <w:jc w:val="both"/>
        <w:rPr>
          <w:i/>
          <w:sz w:val="23"/>
        </w:rPr>
      </w:pPr>
      <w:r>
        <w:rPr>
          <w:i/>
          <w:sz w:val="23"/>
        </w:rPr>
        <w:t>INGC-02:</w:t>
      </w:r>
      <w:r>
        <w:rPr>
          <w:i/>
          <w:spacing w:val="40"/>
          <w:sz w:val="23"/>
        </w:rPr>
        <w:t> </w:t>
      </w:r>
      <w:r>
        <w:rPr>
          <w:i/>
          <w:sz w:val="23"/>
        </w:rPr>
        <w:t>Los ingresos propios del IMAS incluyen entre otros, aquellos los ingresos como </w:t>
      </w:r>
      <w:r>
        <w:rPr>
          <w:i/>
          <w:spacing w:val="-2"/>
          <w:sz w:val="23"/>
        </w:rPr>
        <w:t>expresión</w:t>
      </w:r>
      <w:r>
        <w:rPr>
          <w:i/>
          <w:spacing w:val="-13"/>
          <w:sz w:val="23"/>
        </w:rPr>
        <w:t> </w:t>
      </w:r>
      <w:r>
        <w:rPr>
          <w:i/>
          <w:spacing w:val="-2"/>
          <w:sz w:val="23"/>
        </w:rPr>
        <w:t>monetaria</w:t>
      </w:r>
      <w:r>
        <w:rPr>
          <w:i/>
          <w:spacing w:val="-12"/>
          <w:sz w:val="23"/>
        </w:rPr>
        <w:t> </w:t>
      </w:r>
      <w:r>
        <w:rPr>
          <w:i/>
          <w:spacing w:val="-2"/>
          <w:sz w:val="23"/>
        </w:rPr>
        <w:t>de</w:t>
      </w:r>
      <w:r>
        <w:rPr>
          <w:i/>
          <w:spacing w:val="-13"/>
          <w:sz w:val="23"/>
        </w:rPr>
        <w:t> </w:t>
      </w:r>
      <w:r>
        <w:rPr>
          <w:i/>
          <w:spacing w:val="-2"/>
          <w:sz w:val="23"/>
        </w:rPr>
        <w:t>los</w:t>
      </w:r>
      <w:r>
        <w:rPr>
          <w:i/>
          <w:spacing w:val="-12"/>
          <w:sz w:val="23"/>
        </w:rPr>
        <w:t> </w:t>
      </w:r>
      <w:r>
        <w:rPr>
          <w:i/>
          <w:spacing w:val="-2"/>
          <w:sz w:val="23"/>
        </w:rPr>
        <w:t>valores</w:t>
      </w:r>
      <w:r>
        <w:rPr>
          <w:i/>
          <w:spacing w:val="-11"/>
          <w:sz w:val="23"/>
        </w:rPr>
        <w:t> </w:t>
      </w:r>
      <w:r>
        <w:rPr>
          <w:i/>
          <w:spacing w:val="-2"/>
          <w:sz w:val="23"/>
        </w:rPr>
        <w:t>recibidos</w:t>
      </w:r>
      <w:r>
        <w:rPr>
          <w:i/>
          <w:spacing w:val="-12"/>
          <w:sz w:val="23"/>
        </w:rPr>
        <w:t> </w:t>
      </w:r>
      <w:r>
        <w:rPr>
          <w:i/>
          <w:spacing w:val="-2"/>
          <w:sz w:val="23"/>
        </w:rPr>
        <w:t>o</w:t>
      </w:r>
      <w:r>
        <w:rPr>
          <w:i/>
          <w:spacing w:val="-11"/>
          <w:sz w:val="23"/>
        </w:rPr>
        <w:t> </w:t>
      </w:r>
      <w:r>
        <w:rPr>
          <w:i/>
          <w:spacing w:val="-2"/>
          <w:sz w:val="23"/>
        </w:rPr>
        <w:t>causados</w:t>
      </w:r>
      <w:r>
        <w:rPr>
          <w:i/>
          <w:spacing w:val="-11"/>
          <w:sz w:val="23"/>
        </w:rPr>
        <w:t> </w:t>
      </w:r>
      <w:r>
        <w:rPr>
          <w:i/>
          <w:spacing w:val="-2"/>
          <w:sz w:val="23"/>
        </w:rPr>
        <w:t>por</w:t>
      </w:r>
      <w:r>
        <w:rPr>
          <w:i/>
          <w:spacing w:val="-13"/>
          <w:sz w:val="23"/>
        </w:rPr>
        <w:t> </w:t>
      </w:r>
      <w:r>
        <w:rPr>
          <w:i/>
          <w:spacing w:val="-2"/>
          <w:sz w:val="23"/>
        </w:rPr>
        <w:t>la</w:t>
      </w:r>
      <w:r>
        <w:rPr>
          <w:i/>
          <w:spacing w:val="-12"/>
          <w:sz w:val="23"/>
        </w:rPr>
        <w:t> </w:t>
      </w:r>
      <w:r>
        <w:rPr>
          <w:i/>
          <w:spacing w:val="-2"/>
          <w:sz w:val="23"/>
        </w:rPr>
        <w:t>venta</w:t>
      </w:r>
      <w:r>
        <w:rPr>
          <w:i/>
          <w:spacing w:val="-11"/>
          <w:sz w:val="23"/>
        </w:rPr>
        <w:t> </w:t>
      </w:r>
      <w:r>
        <w:rPr>
          <w:i/>
          <w:spacing w:val="-2"/>
          <w:sz w:val="23"/>
        </w:rPr>
        <w:t>de</w:t>
      </w:r>
      <w:r>
        <w:rPr>
          <w:i/>
          <w:spacing w:val="-13"/>
          <w:sz w:val="23"/>
        </w:rPr>
        <w:t> </w:t>
      </w:r>
      <w:r>
        <w:rPr>
          <w:i/>
          <w:spacing w:val="-2"/>
          <w:sz w:val="23"/>
        </w:rPr>
        <w:t>bienes,</w:t>
      </w:r>
      <w:r>
        <w:rPr>
          <w:i/>
          <w:spacing w:val="-11"/>
          <w:sz w:val="23"/>
        </w:rPr>
        <w:t> </w:t>
      </w:r>
      <w:r>
        <w:rPr>
          <w:i/>
          <w:spacing w:val="-2"/>
          <w:sz w:val="23"/>
        </w:rPr>
        <w:t>en</w:t>
      </w:r>
      <w:r>
        <w:rPr>
          <w:i/>
          <w:spacing w:val="-13"/>
          <w:sz w:val="23"/>
        </w:rPr>
        <w:t> </w:t>
      </w:r>
      <w:r>
        <w:rPr>
          <w:i/>
          <w:spacing w:val="-2"/>
          <w:sz w:val="23"/>
        </w:rPr>
        <w:t>el</w:t>
      </w:r>
      <w:r>
        <w:rPr>
          <w:i/>
          <w:spacing w:val="-12"/>
          <w:sz w:val="23"/>
        </w:rPr>
        <w:t> </w:t>
      </w:r>
      <w:r>
        <w:rPr>
          <w:i/>
          <w:spacing w:val="-2"/>
          <w:sz w:val="23"/>
        </w:rPr>
        <w:t>desarrollo</w:t>
      </w:r>
      <w:r>
        <w:rPr>
          <w:i/>
          <w:spacing w:val="-11"/>
          <w:sz w:val="23"/>
        </w:rPr>
        <w:t> </w:t>
      </w:r>
      <w:r>
        <w:rPr>
          <w:i/>
          <w:spacing w:val="-2"/>
          <w:sz w:val="23"/>
        </w:rPr>
        <w:t>de </w:t>
      </w:r>
      <w:r>
        <w:rPr>
          <w:i/>
          <w:spacing w:val="-4"/>
          <w:sz w:val="23"/>
        </w:rPr>
        <w:t>las</w:t>
      </w:r>
      <w:r>
        <w:rPr>
          <w:i/>
          <w:spacing w:val="-11"/>
          <w:sz w:val="23"/>
        </w:rPr>
        <w:t> </w:t>
      </w:r>
      <w:r>
        <w:rPr>
          <w:i/>
          <w:spacing w:val="-4"/>
          <w:sz w:val="23"/>
        </w:rPr>
        <w:t>actividades</w:t>
      </w:r>
      <w:r>
        <w:rPr>
          <w:i/>
          <w:spacing w:val="-10"/>
          <w:sz w:val="23"/>
        </w:rPr>
        <w:t> </w:t>
      </w:r>
      <w:r>
        <w:rPr>
          <w:i/>
          <w:spacing w:val="-4"/>
          <w:sz w:val="23"/>
        </w:rPr>
        <w:t>financieras</w:t>
      </w:r>
      <w:r>
        <w:rPr>
          <w:i/>
          <w:spacing w:val="-11"/>
          <w:sz w:val="23"/>
        </w:rPr>
        <w:t> </w:t>
      </w:r>
      <w:r>
        <w:rPr>
          <w:i/>
          <w:spacing w:val="-4"/>
          <w:sz w:val="23"/>
        </w:rPr>
        <w:t>y</w:t>
      </w:r>
      <w:r>
        <w:rPr>
          <w:i/>
          <w:spacing w:val="-10"/>
          <w:sz w:val="23"/>
        </w:rPr>
        <w:t> </w:t>
      </w:r>
      <w:r>
        <w:rPr>
          <w:i/>
          <w:spacing w:val="-4"/>
          <w:sz w:val="23"/>
        </w:rPr>
        <w:t>económicas</w:t>
      </w:r>
      <w:r>
        <w:rPr>
          <w:i/>
          <w:spacing w:val="-10"/>
          <w:sz w:val="23"/>
        </w:rPr>
        <w:t> </w:t>
      </w:r>
      <w:r>
        <w:rPr>
          <w:i/>
          <w:spacing w:val="-4"/>
          <w:sz w:val="23"/>
        </w:rPr>
        <w:t>de</w:t>
      </w:r>
      <w:r>
        <w:rPr>
          <w:i/>
          <w:spacing w:val="-11"/>
          <w:sz w:val="23"/>
        </w:rPr>
        <w:t> </w:t>
      </w:r>
      <w:r>
        <w:rPr>
          <w:i/>
          <w:spacing w:val="-4"/>
          <w:sz w:val="23"/>
        </w:rPr>
        <w:t>las</w:t>
      </w:r>
      <w:r>
        <w:rPr>
          <w:i/>
          <w:spacing w:val="-10"/>
          <w:sz w:val="23"/>
        </w:rPr>
        <w:t> </w:t>
      </w:r>
      <w:r>
        <w:rPr>
          <w:i/>
          <w:spacing w:val="-4"/>
          <w:sz w:val="23"/>
        </w:rPr>
        <w:t>Tiendas</w:t>
      </w:r>
      <w:r>
        <w:rPr>
          <w:i/>
          <w:spacing w:val="-10"/>
          <w:sz w:val="23"/>
        </w:rPr>
        <w:t> </w:t>
      </w:r>
      <w:r>
        <w:rPr>
          <w:i/>
          <w:spacing w:val="-4"/>
          <w:sz w:val="23"/>
        </w:rPr>
        <w:t>Libres</w:t>
      </w:r>
      <w:r>
        <w:rPr>
          <w:i/>
          <w:spacing w:val="-11"/>
          <w:sz w:val="23"/>
        </w:rPr>
        <w:t> </w:t>
      </w:r>
      <w:r>
        <w:rPr>
          <w:i/>
          <w:spacing w:val="-4"/>
          <w:sz w:val="23"/>
        </w:rPr>
        <w:t>de</w:t>
      </w:r>
      <w:r>
        <w:rPr>
          <w:i/>
          <w:spacing w:val="-10"/>
          <w:sz w:val="23"/>
        </w:rPr>
        <w:t> </w:t>
      </w:r>
      <w:r>
        <w:rPr>
          <w:i/>
          <w:spacing w:val="-4"/>
          <w:sz w:val="23"/>
        </w:rPr>
        <w:t>Derechos</w:t>
      </w:r>
      <w:r>
        <w:rPr>
          <w:i/>
          <w:spacing w:val="-11"/>
          <w:sz w:val="23"/>
        </w:rPr>
        <w:t> </w:t>
      </w:r>
      <w:r>
        <w:rPr>
          <w:i/>
          <w:spacing w:val="-4"/>
          <w:sz w:val="23"/>
        </w:rPr>
        <w:t>en</w:t>
      </w:r>
      <w:r>
        <w:rPr>
          <w:i/>
          <w:spacing w:val="-10"/>
          <w:sz w:val="23"/>
        </w:rPr>
        <w:t> </w:t>
      </w:r>
      <w:r>
        <w:rPr>
          <w:i/>
          <w:spacing w:val="-4"/>
          <w:sz w:val="23"/>
        </w:rPr>
        <w:t>los</w:t>
      </w:r>
      <w:r>
        <w:rPr>
          <w:i/>
          <w:spacing w:val="-10"/>
          <w:sz w:val="23"/>
        </w:rPr>
        <w:t> </w:t>
      </w:r>
      <w:r>
        <w:rPr>
          <w:i/>
          <w:spacing w:val="-4"/>
          <w:sz w:val="23"/>
        </w:rPr>
        <w:t>puertos,</w:t>
      </w:r>
      <w:r>
        <w:rPr>
          <w:i/>
          <w:spacing w:val="-11"/>
          <w:sz w:val="23"/>
        </w:rPr>
        <w:t> </w:t>
      </w:r>
      <w:r>
        <w:rPr>
          <w:i/>
          <w:spacing w:val="-4"/>
          <w:sz w:val="23"/>
        </w:rPr>
        <w:t>fronteras </w:t>
      </w:r>
      <w:r>
        <w:rPr>
          <w:i/>
          <w:sz w:val="23"/>
        </w:rPr>
        <w:t>y los aeropuertos internacionales.</w:t>
      </w:r>
    </w:p>
    <w:p>
      <w:pPr>
        <w:pStyle w:val="BodyText"/>
        <w:spacing w:before="19"/>
        <w:rPr>
          <w:i/>
          <w:sz w:val="23"/>
        </w:rPr>
      </w:pPr>
    </w:p>
    <w:p>
      <w:pPr>
        <w:pStyle w:val="BodyText"/>
        <w:spacing w:before="1"/>
        <w:ind w:left="734"/>
      </w:pPr>
      <w:r>
        <w:rPr/>
        <w:t>Los</w:t>
      </w:r>
      <w:r>
        <w:rPr>
          <w:spacing w:val="-5"/>
        </w:rPr>
        <w:t> </w:t>
      </w:r>
      <w:r>
        <w:rPr/>
        <w:t>ingresos</w:t>
      </w:r>
      <w:r>
        <w:rPr>
          <w:spacing w:val="-6"/>
        </w:rPr>
        <w:t> </w:t>
      </w:r>
      <w:r>
        <w:rPr/>
        <w:t>sin</w:t>
      </w:r>
      <w:r>
        <w:rPr>
          <w:spacing w:val="-3"/>
        </w:rPr>
        <w:t> </w:t>
      </w:r>
      <w:r>
        <w:rPr/>
        <w:t>contraprestación</w:t>
      </w:r>
      <w:r>
        <w:rPr>
          <w:spacing w:val="-4"/>
        </w:rPr>
        <w:t> </w:t>
      </w:r>
      <w:r>
        <w:rPr/>
        <w:t>son</w:t>
      </w:r>
      <w:r>
        <w:rPr>
          <w:spacing w:val="-4"/>
        </w:rPr>
        <w:t> </w:t>
      </w:r>
      <w:r>
        <w:rPr/>
        <w:t>reconocidos</w:t>
      </w:r>
      <w:r>
        <w:rPr>
          <w:spacing w:val="-2"/>
        </w:rPr>
        <w:t> </w:t>
      </w:r>
      <w:r>
        <w:rPr/>
        <w:t>de</w:t>
      </w:r>
      <w:r>
        <w:rPr>
          <w:spacing w:val="-6"/>
        </w:rPr>
        <w:t> </w:t>
      </w:r>
      <w:r>
        <w:rPr/>
        <w:t>acuerdo</w:t>
      </w:r>
      <w:r>
        <w:rPr>
          <w:spacing w:val="-4"/>
        </w:rPr>
        <w:t> </w:t>
      </w:r>
      <w:r>
        <w:rPr/>
        <w:t>con</w:t>
      </w:r>
      <w:r>
        <w:rPr>
          <w:spacing w:val="-3"/>
        </w:rPr>
        <w:t> </w:t>
      </w:r>
      <w:r>
        <w:rPr/>
        <w:t>la</w:t>
      </w:r>
      <w:r>
        <w:rPr>
          <w:spacing w:val="-5"/>
        </w:rPr>
        <w:t> </w:t>
      </w:r>
      <w:r>
        <w:rPr/>
        <w:t>NICSP</w:t>
      </w:r>
      <w:r>
        <w:rPr>
          <w:spacing w:val="-3"/>
        </w:rPr>
        <w:t> </w:t>
      </w:r>
      <w:r>
        <w:rPr>
          <w:spacing w:val="-5"/>
        </w:rPr>
        <w:t>23.</w:t>
      </w:r>
    </w:p>
    <w:p>
      <w:pPr>
        <w:pStyle w:val="BodyText"/>
        <w:spacing w:before="39"/>
      </w:pPr>
    </w:p>
    <w:p>
      <w:pPr>
        <w:pStyle w:val="ListParagraph"/>
        <w:numPr>
          <w:ilvl w:val="0"/>
          <w:numId w:val="15"/>
        </w:numPr>
        <w:tabs>
          <w:tab w:pos="1454" w:val="left" w:leader="none"/>
        </w:tabs>
        <w:spacing w:line="259" w:lineRule="auto" w:before="0" w:after="0"/>
        <w:ind w:left="1454" w:right="1086" w:hanging="360"/>
        <w:jc w:val="both"/>
        <w:rPr>
          <w:sz w:val="22"/>
        </w:rPr>
      </w:pPr>
      <w:r>
        <w:rPr>
          <w:b/>
          <w:sz w:val="22"/>
        </w:rPr>
        <w:t>Por</w:t>
      </w:r>
      <w:r>
        <w:rPr>
          <w:b/>
          <w:spacing w:val="40"/>
          <w:sz w:val="22"/>
        </w:rPr>
        <w:t> </w:t>
      </w:r>
      <w:r>
        <w:rPr>
          <w:b/>
          <w:sz w:val="22"/>
        </w:rPr>
        <w:t>Impuestos</w:t>
      </w:r>
      <w:r>
        <w:rPr>
          <w:sz w:val="22"/>
        </w:rPr>
        <w:t>: Se reconocen cuando se ha devengado el hecho imponible generador del impuesto</w:t>
      </w:r>
      <w:r>
        <w:rPr>
          <w:spacing w:val="-2"/>
          <w:sz w:val="22"/>
        </w:rPr>
        <w:t> </w:t>
      </w:r>
      <w:r>
        <w:rPr>
          <w:sz w:val="22"/>
        </w:rPr>
        <w:t>correspondiente</w:t>
      </w:r>
      <w:r>
        <w:rPr>
          <w:spacing w:val="-2"/>
          <w:sz w:val="22"/>
        </w:rPr>
        <w:t> </w:t>
      </w:r>
      <w:r>
        <w:rPr>
          <w:sz w:val="22"/>
        </w:rPr>
        <w:t>al</w:t>
      </w:r>
      <w:r>
        <w:rPr>
          <w:spacing w:val="-2"/>
          <w:sz w:val="22"/>
        </w:rPr>
        <w:t> </w:t>
      </w:r>
      <w:r>
        <w:rPr>
          <w:sz w:val="22"/>
        </w:rPr>
        <w:t>cobro</w:t>
      </w:r>
      <w:r>
        <w:rPr>
          <w:spacing w:val="-2"/>
          <w:sz w:val="22"/>
        </w:rPr>
        <w:t> </w:t>
      </w:r>
      <w:r>
        <w:rPr>
          <w:sz w:val="22"/>
        </w:rPr>
        <w:t>del</w:t>
      </w:r>
      <w:r>
        <w:rPr>
          <w:spacing w:val="-2"/>
          <w:sz w:val="22"/>
        </w:rPr>
        <w:t> </w:t>
      </w:r>
      <w:r>
        <w:rPr>
          <w:sz w:val="22"/>
        </w:rPr>
        <w:t>impuesto</w:t>
      </w:r>
      <w:r>
        <w:rPr>
          <w:spacing w:val="-4"/>
          <w:sz w:val="22"/>
        </w:rPr>
        <w:t> </w:t>
      </w:r>
      <w:r>
        <w:rPr>
          <w:sz w:val="22"/>
        </w:rPr>
        <w:t>según</w:t>
      </w:r>
      <w:r>
        <w:rPr>
          <w:spacing w:val="-4"/>
          <w:sz w:val="22"/>
        </w:rPr>
        <w:t> </w:t>
      </w:r>
      <w:r>
        <w:rPr>
          <w:sz w:val="22"/>
        </w:rPr>
        <w:t>Ley</w:t>
      </w:r>
      <w:r>
        <w:rPr>
          <w:spacing w:val="-3"/>
          <w:sz w:val="22"/>
        </w:rPr>
        <w:t> </w:t>
      </w:r>
      <w:r>
        <w:rPr>
          <w:sz w:val="22"/>
        </w:rPr>
        <w:t>9326</w:t>
      </w:r>
      <w:r>
        <w:rPr>
          <w:spacing w:val="-4"/>
          <w:sz w:val="22"/>
        </w:rPr>
        <w:t> </w:t>
      </w:r>
      <w:r>
        <w:rPr>
          <w:sz w:val="22"/>
        </w:rPr>
        <w:t>de</w:t>
      </w:r>
      <w:r>
        <w:rPr>
          <w:spacing w:val="-4"/>
          <w:sz w:val="22"/>
        </w:rPr>
        <w:t> </w:t>
      </w:r>
      <w:r>
        <w:rPr>
          <w:sz w:val="22"/>
        </w:rPr>
        <w:t>Moteles</w:t>
      </w:r>
      <w:r>
        <w:rPr>
          <w:spacing w:val="-1"/>
          <w:sz w:val="22"/>
        </w:rPr>
        <w:t> </w:t>
      </w:r>
      <w:r>
        <w:rPr>
          <w:sz w:val="22"/>
        </w:rPr>
        <w:t>y</w:t>
      </w:r>
      <w:r>
        <w:rPr>
          <w:spacing w:val="-3"/>
          <w:sz w:val="22"/>
        </w:rPr>
        <w:t> </w:t>
      </w:r>
      <w:r>
        <w:rPr>
          <w:sz w:val="22"/>
        </w:rPr>
        <w:t>afines;</w:t>
      </w:r>
      <w:r>
        <w:rPr>
          <w:spacing w:val="-2"/>
          <w:sz w:val="22"/>
        </w:rPr>
        <w:t> </w:t>
      </w:r>
      <w:r>
        <w:rPr>
          <w:sz w:val="22"/>
        </w:rPr>
        <w:t>en</w:t>
      </w:r>
      <w:r>
        <w:rPr>
          <w:spacing w:val="-2"/>
          <w:sz w:val="22"/>
        </w:rPr>
        <w:t> </w:t>
      </w:r>
      <w:r>
        <w:rPr>
          <w:sz w:val="22"/>
        </w:rPr>
        <w:t>la cual</w:t>
      </w:r>
      <w:r>
        <w:rPr>
          <w:spacing w:val="-5"/>
          <w:sz w:val="22"/>
        </w:rPr>
        <w:t> </w:t>
      </w:r>
      <w:r>
        <w:rPr>
          <w:sz w:val="22"/>
        </w:rPr>
        <w:t>crea</w:t>
      </w:r>
      <w:r>
        <w:rPr>
          <w:spacing w:val="-5"/>
          <w:sz w:val="22"/>
        </w:rPr>
        <w:t> </w:t>
      </w:r>
      <w:r>
        <w:rPr>
          <w:sz w:val="22"/>
        </w:rPr>
        <w:t>un</w:t>
      </w:r>
      <w:r>
        <w:rPr>
          <w:spacing w:val="-5"/>
          <w:sz w:val="22"/>
        </w:rPr>
        <w:t> </w:t>
      </w:r>
      <w:r>
        <w:rPr>
          <w:sz w:val="22"/>
        </w:rPr>
        <w:t>impuesto</w:t>
      </w:r>
      <w:r>
        <w:rPr>
          <w:spacing w:val="-4"/>
          <w:sz w:val="22"/>
        </w:rPr>
        <w:t> </w:t>
      </w:r>
      <w:r>
        <w:rPr>
          <w:sz w:val="22"/>
        </w:rPr>
        <w:t>a</w:t>
      </w:r>
      <w:r>
        <w:rPr>
          <w:spacing w:val="-5"/>
          <w:sz w:val="22"/>
        </w:rPr>
        <w:t> </w:t>
      </w:r>
      <w:r>
        <w:rPr>
          <w:sz w:val="22"/>
        </w:rPr>
        <w:t>favor</w:t>
      </w:r>
      <w:r>
        <w:rPr>
          <w:spacing w:val="-5"/>
          <w:sz w:val="22"/>
        </w:rPr>
        <w:t> </w:t>
      </w:r>
      <w:r>
        <w:rPr>
          <w:sz w:val="22"/>
        </w:rPr>
        <w:t>del</w:t>
      </w:r>
      <w:r>
        <w:rPr>
          <w:spacing w:val="-5"/>
          <w:sz w:val="22"/>
        </w:rPr>
        <w:t> </w:t>
      </w:r>
      <w:r>
        <w:rPr>
          <w:sz w:val="22"/>
        </w:rPr>
        <w:t>Instituto</w:t>
      </w:r>
      <w:r>
        <w:rPr>
          <w:spacing w:val="-4"/>
          <w:sz w:val="22"/>
        </w:rPr>
        <w:t> </w:t>
      </w:r>
      <w:r>
        <w:rPr>
          <w:sz w:val="22"/>
        </w:rPr>
        <w:t>Mixto</w:t>
      </w:r>
      <w:r>
        <w:rPr>
          <w:spacing w:val="-4"/>
          <w:sz w:val="22"/>
        </w:rPr>
        <w:t> </w:t>
      </w:r>
      <w:r>
        <w:rPr>
          <w:sz w:val="22"/>
        </w:rPr>
        <w:t>de</w:t>
      </w:r>
      <w:r>
        <w:rPr>
          <w:spacing w:val="-6"/>
          <w:sz w:val="22"/>
        </w:rPr>
        <w:t> </w:t>
      </w:r>
      <w:r>
        <w:rPr>
          <w:sz w:val="22"/>
        </w:rPr>
        <w:t>Ayuda</w:t>
      </w:r>
      <w:r>
        <w:rPr>
          <w:spacing w:val="-5"/>
          <w:sz w:val="22"/>
        </w:rPr>
        <w:t> </w:t>
      </w:r>
      <w:r>
        <w:rPr>
          <w:sz w:val="22"/>
        </w:rPr>
        <w:t>Social</w:t>
      </w:r>
      <w:r>
        <w:rPr>
          <w:spacing w:val="-5"/>
          <w:sz w:val="22"/>
        </w:rPr>
        <w:t> </w:t>
      </w:r>
      <w:r>
        <w:rPr>
          <w:sz w:val="22"/>
        </w:rPr>
        <w:t>(IMAS),</w:t>
      </w:r>
      <w:r>
        <w:rPr>
          <w:spacing w:val="-7"/>
          <w:sz w:val="22"/>
        </w:rPr>
        <w:t> </w:t>
      </w:r>
      <w:r>
        <w:rPr>
          <w:sz w:val="22"/>
        </w:rPr>
        <w:t>que</w:t>
      </w:r>
      <w:r>
        <w:rPr>
          <w:spacing w:val="-6"/>
          <w:sz w:val="22"/>
        </w:rPr>
        <w:t> </w:t>
      </w:r>
      <w:r>
        <w:rPr>
          <w:sz w:val="22"/>
        </w:rPr>
        <w:t>será</w:t>
      </w:r>
      <w:r>
        <w:rPr>
          <w:spacing w:val="-8"/>
          <w:sz w:val="22"/>
        </w:rPr>
        <w:t> </w:t>
      </w:r>
      <w:r>
        <w:rPr>
          <w:sz w:val="22"/>
        </w:rPr>
        <w:t>pagado por los negocios calificados y autorizados por dicho Instituto, que tengan la propiedad o ejerzan el derecho de explotación comercial, uso o disfrute de un bien o bienes utilizados como</w:t>
      </w:r>
      <w:r>
        <w:rPr>
          <w:spacing w:val="-4"/>
          <w:sz w:val="22"/>
        </w:rPr>
        <w:t> </w:t>
      </w:r>
      <w:r>
        <w:rPr>
          <w:sz w:val="22"/>
        </w:rPr>
        <w:t>moteles,</w:t>
      </w:r>
      <w:r>
        <w:rPr>
          <w:spacing w:val="-5"/>
          <w:sz w:val="22"/>
        </w:rPr>
        <w:t> </w:t>
      </w:r>
      <w:r>
        <w:rPr>
          <w:sz w:val="22"/>
        </w:rPr>
        <w:t>hoteles</w:t>
      </w:r>
      <w:r>
        <w:rPr>
          <w:spacing w:val="-4"/>
          <w:sz w:val="22"/>
        </w:rPr>
        <w:t> </w:t>
      </w:r>
      <w:r>
        <w:rPr>
          <w:sz w:val="22"/>
        </w:rPr>
        <w:t>sin</w:t>
      </w:r>
      <w:r>
        <w:rPr>
          <w:spacing w:val="-4"/>
          <w:sz w:val="22"/>
        </w:rPr>
        <w:t> </w:t>
      </w:r>
      <w:r>
        <w:rPr>
          <w:sz w:val="22"/>
        </w:rPr>
        <w:t>registro,</w:t>
      </w:r>
      <w:r>
        <w:rPr>
          <w:spacing w:val="-5"/>
          <w:sz w:val="22"/>
        </w:rPr>
        <w:t> </w:t>
      </w:r>
      <w:r>
        <w:rPr>
          <w:sz w:val="22"/>
        </w:rPr>
        <w:t>hoteles</w:t>
      </w:r>
      <w:r>
        <w:rPr>
          <w:spacing w:val="-4"/>
          <w:sz w:val="22"/>
        </w:rPr>
        <w:t> </w:t>
      </w:r>
      <w:r>
        <w:rPr>
          <w:sz w:val="22"/>
        </w:rPr>
        <w:t>de</w:t>
      </w:r>
      <w:r>
        <w:rPr>
          <w:spacing w:val="-6"/>
          <w:sz w:val="22"/>
        </w:rPr>
        <w:t> </w:t>
      </w:r>
      <w:r>
        <w:rPr>
          <w:sz w:val="22"/>
        </w:rPr>
        <w:t>paso,</w:t>
      </w:r>
      <w:r>
        <w:rPr>
          <w:spacing w:val="-5"/>
          <w:sz w:val="22"/>
        </w:rPr>
        <w:t> </w:t>
      </w:r>
      <w:r>
        <w:rPr>
          <w:sz w:val="22"/>
        </w:rPr>
        <w:t>casas</w:t>
      </w:r>
      <w:r>
        <w:rPr>
          <w:spacing w:val="-4"/>
          <w:sz w:val="22"/>
        </w:rPr>
        <w:t> </w:t>
      </w:r>
      <w:r>
        <w:rPr>
          <w:sz w:val="22"/>
        </w:rPr>
        <w:t>de</w:t>
      </w:r>
      <w:r>
        <w:rPr>
          <w:spacing w:val="-6"/>
          <w:sz w:val="22"/>
        </w:rPr>
        <w:t> </w:t>
      </w:r>
      <w:r>
        <w:rPr>
          <w:sz w:val="22"/>
        </w:rPr>
        <w:t>alojamiento</w:t>
      </w:r>
      <w:r>
        <w:rPr>
          <w:spacing w:val="-4"/>
          <w:sz w:val="22"/>
        </w:rPr>
        <w:t> </w:t>
      </w:r>
      <w:r>
        <w:rPr>
          <w:sz w:val="22"/>
        </w:rPr>
        <w:t>ocasional,</w:t>
      </w:r>
      <w:r>
        <w:rPr>
          <w:spacing w:val="-8"/>
          <w:sz w:val="22"/>
        </w:rPr>
        <w:t> </w:t>
      </w:r>
      <w:r>
        <w:rPr>
          <w:sz w:val="22"/>
        </w:rPr>
        <w:t>salas</w:t>
      </w:r>
      <w:r>
        <w:rPr>
          <w:spacing w:val="-4"/>
          <w:sz w:val="22"/>
        </w:rPr>
        <w:t> </w:t>
      </w:r>
      <w:r>
        <w:rPr>
          <w:sz w:val="22"/>
        </w:rPr>
        <w:t>de masaje,</w:t>
      </w:r>
      <w:r>
        <w:rPr>
          <w:spacing w:val="-14"/>
          <w:sz w:val="22"/>
        </w:rPr>
        <w:t> </w:t>
      </w:r>
      <w:r>
        <w:rPr>
          <w:sz w:val="22"/>
        </w:rPr>
        <w:t>"night</w:t>
      </w:r>
      <w:r>
        <w:rPr>
          <w:spacing w:val="-13"/>
          <w:sz w:val="22"/>
        </w:rPr>
        <w:t> </w:t>
      </w:r>
      <w:r>
        <w:rPr>
          <w:sz w:val="22"/>
        </w:rPr>
        <w:t>clubs"</w:t>
      </w:r>
      <w:r>
        <w:rPr>
          <w:spacing w:val="-12"/>
          <w:sz w:val="22"/>
        </w:rPr>
        <w:t> </w:t>
      </w:r>
      <w:r>
        <w:rPr>
          <w:sz w:val="22"/>
        </w:rPr>
        <w:t>con</w:t>
      </w:r>
      <w:r>
        <w:rPr>
          <w:spacing w:val="-14"/>
          <w:sz w:val="22"/>
        </w:rPr>
        <w:t> </w:t>
      </w:r>
      <w:r>
        <w:rPr>
          <w:sz w:val="22"/>
        </w:rPr>
        <w:t>servicio</w:t>
      </w:r>
      <w:r>
        <w:rPr>
          <w:spacing w:val="-11"/>
          <w:sz w:val="22"/>
        </w:rPr>
        <w:t> </w:t>
      </w:r>
      <w:r>
        <w:rPr>
          <w:sz w:val="22"/>
        </w:rPr>
        <w:t>de</w:t>
      </w:r>
      <w:r>
        <w:rPr>
          <w:spacing w:val="-13"/>
          <w:sz w:val="22"/>
        </w:rPr>
        <w:t> </w:t>
      </w:r>
      <w:r>
        <w:rPr>
          <w:sz w:val="22"/>
        </w:rPr>
        <w:t>habitación</w:t>
      </w:r>
      <w:r>
        <w:rPr>
          <w:spacing w:val="-14"/>
          <w:sz w:val="22"/>
        </w:rPr>
        <w:t> </w:t>
      </w:r>
      <w:r>
        <w:rPr>
          <w:sz w:val="22"/>
        </w:rPr>
        <w:t>y</w:t>
      </w:r>
      <w:r>
        <w:rPr>
          <w:spacing w:val="-13"/>
          <w:sz w:val="22"/>
        </w:rPr>
        <w:t> </w:t>
      </w:r>
      <w:r>
        <w:rPr>
          <w:sz w:val="22"/>
        </w:rPr>
        <w:t>similares,</w:t>
      </w:r>
      <w:r>
        <w:rPr>
          <w:spacing w:val="-12"/>
          <w:sz w:val="22"/>
        </w:rPr>
        <w:t> </w:t>
      </w:r>
      <w:r>
        <w:rPr>
          <w:sz w:val="22"/>
        </w:rPr>
        <w:t>en</w:t>
      </w:r>
      <w:r>
        <w:rPr>
          <w:spacing w:val="-14"/>
          <w:sz w:val="22"/>
        </w:rPr>
        <w:t> </w:t>
      </w:r>
      <w:r>
        <w:rPr>
          <w:sz w:val="22"/>
        </w:rPr>
        <w:t>los</w:t>
      </w:r>
      <w:r>
        <w:rPr>
          <w:spacing w:val="-14"/>
          <w:sz w:val="22"/>
        </w:rPr>
        <w:t> </w:t>
      </w:r>
      <w:r>
        <w:rPr>
          <w:sz w:val="22"/>
        </w:rPr>
        <w:t>que</w:t>
      </w:r>
      <w:r>
        <w:rPr>
          <w:spacing w:val="-14"/>
          <w:sz w:val="22"/>
        </w:rPr>
        <w:t> </w:t>
      </w:r>
      <w:r>
        <w:rPr>
          <w:sz w:val="22"/>
        </w:rPr>
        <w:t>se</w:t>
      </w:r>
      <w:r>
        <w:rPr>
          <w:spacing w:val="-12"/>
          <w:sz w:val="22"/>
        </w:rPr>
        <w:t> </w:t>
      </w:r>
      <w:r>
        <w:rPr>
          <w:sz w:val="22"/>
        </w:rPr>
        <w:t>descanse</w:t>
      </w:r>
      <w:r>
        <w:rPr>
          <w:spacing w:val="-13"/>
          <w:sz w:val="22"/>
        </w:rPr>
        <w:t> </w:t>
      </w:r>
      <w:r>
        <w:rPr>
          <w:sz w:val="22"/>
        </w:rPr>
        <w:t>y</w:t>
      </w:r>
      <w:r>
        <w:rPr>
          <w:spacing w:val="-14"/>
          <w:sz w:val="22"/>
        </w:rPr>
        <w:t> </w:t>
      </w:r>
      <w:r>
        <w:rPr>
          <w:sz w:val="22"/>
        </w:rPr>
        <w:t>se</w:t>
      </w:r>
      <w:r>
        <w:rPr>
          <w:spacing w:val="-13"/>
          <w:sz w:val="22"/>
        </w:rPr>
        <w:t> </w:t>
      </w:r>
      <w:r>
        <w:rPr>
          <w:sz w:val="22"/>
        </w:rPr>
        <w:t>realice la reunión íntima por un plazo determinado, mediante el pago de un precio establecido.</w:t>
      </w:r>
    </w:p>
    <w:p>
      <w:pPr>
        <w:pStyle w:val="BodyText"/>
        <w:spacing w:before="18"/>
      </w:pPr>
    </w:p>
    <w:p>
      <w:pPr>
        <w:pStyle w:val="ListParagraph"/>
        <w:numPr>
          <w:ilvl w:val="0"/>
          <w:numId w:val="15"/>
        </w:numPr>
        <w:tabs>
          <w:tab w:pos="1454" w:val="left" w:leader="none"/>
        </w:tabs>
        <w:spacing w:line="240" w:lineRule="auto" w:before="0" w:after="0"/>
        <w:ind w:left="1454" w:right="1090" w:hanging="360"/>
        <w:jc w:val="both"/>
        <w:rPr>
          <w:sz w:val="22"/>
        </w:rPr>
      </w:pPr>
      <w:r>
        <w:rPr>
          <w:b/>
          <w:sz w:val="22"/>
        </w:rPr>
        <w:t>Contribuciones Sociales diversas: </w:t>
      </w:r>
      <w:r>
        <w:rPr>
          <w:sz w:val="22"/>
        </w:rPr>
        <w:t>Corresponden al cobro de</w:t>
      </w:r>
      <w:r>
        <w:rPr>
          <w:spacing w:val="80"/>
          <w:w w:val="150"/>
          <w:sz w:val="22"/>
        </w:rPr>
        <w:t> </w:t>
      </w:r>
      <w:r>
        <w:rPr>
          <w:sz w:val="22"/>
        </w:rPr>
        <w:t>contribuciones salariales definidas</w:t>
      </w:r>
      <w:r>
        <w:rPr>
          <w:spacing w:val="-4"/>
          <w:sz w:val="22"/>
        </w:rPr>
        <w:t> </w:t>
      </w:r>
      <w:r>
        <w:rPr>
          <w:sz w:val="22"/>
        </w:rPr>
        <w:t>como</w:t>
      </w:r>
      <w:r>
        <w:rPr>
          <w:spacing w:val="-4"/>
          <w:sz w:val="22"/>
        </w:rPr>
        <w:t> </w:t>
      </w:r>
      <w:r>
        <w:rPr>
          <w:sz w:val="22"/>
        </w:rPr>
        <w:t>financiamiento</w:t>
      </w:r>
      <w:r>
        <w:rPr>
          <w:spacing w:val="-4"/>
          <w:sz w:val="22"/>
        </w:rPr>
        <w:t> </w:t>
      </w:r>
      <w:r>
        <w:rPr>
          <w:sz w:val="22"/>
        </w:rPr>
        <w:t>en</w:t>
      </w:r>
      <w:r>
        <w:rPr>
          <w:spacing w:val="-4"/>
          <w:sz w:val="22"/>
        </w:rPr>
        <w:t> </w:t>
      </w:r>
      <w:r>
        <w:rPr>
          <w:sz w:val="22"/>
        </w:rPr>
        <w:t>el</w:t>
      </w:r>
      <w:r>
        <w:rPr>
          <w:spacing w:val="40"/>
          <w:sz w:val="22"/>
        </w:rPr>
        <w:t> </w:t>
      </w:r>
      <w:r>
        <w:rPr>
          <w:sz w:val="22"/>
        </w:rPr>
        <w:t>artículo</w:t>
      </w:r>
      <w:r>
        <w:rPr>
          <w:spacing w:val="-4"/>
          <w:sz w:val="22"/>
        </w:rPr>
        <w:t> </w:t>
      </w:r>
      <w:r>
        <w:rPr>
          <w:sz w:val="22"/>
        </w:rPr>
        <w:t>14</w:t>
      </w:r>
      <w:r>
        <w:rPr>
          <w:spacing w:val="-6"/>
          <w:sz w:val="22"/>
        </w:rPr>
        <w:t> </w:t>
      </w:r>
      <w:r>
        <w:rPr>
          <w:sz w:val="22"/>
        </w:rPr>
        <w:t>inciso</w:t>
      </w:r>
      <w:r>
        <w:rPr>
          <w:spacing w:val="-1"/>
          <w:sz w:val="22"/>
        </w:rPr>
        <w:t> </w:t>
      </w:r>
      <w:r>
        <w:rPr>
          <w:sz w:val="22"/>
        </w:rPr>
        <w:t>a)</w:t>
      </w:r>
      <w:r>
        <w:rPr>
          <w:spacing w:val="-5"/>
          <w:sz w:val="22"/>
        </w:rPr>
        <w:t> </w:t>
      </w:r>
      <w:r>
        <w:rPr>
          <w:sz w:val="22"/>
        </w:rPr>
        <w:t>de</w:t>
      </w:r>
      <w:r>
        <w:rPr>
          <w:spacing w:val="-6"/>
          <w:sz w:val="22"/>
        </w:rPr>
        <w:t> </w:t>
      </w:r>
      <w:r>
        <w:rPr>
          <w:sz w:val="22"/>
        </w:rPr>
        <w:t>la</w:t>
      </w:r>
      <w:r>
        <w:rPr>
          <w:spacing w:val="-4"/>
          <w:sz w:val="22"/>
        </w:rPr>
        <w:t> </w:t>
      </w:r>
      <w:r>
        <w:rPr>
          <w:sz w:val="22"/>
        </w:rPr>
        <w:t>Ley</w:t>
      </w:r>
      <w:r>
        <w:rPr>
          <w:spacing w:val="-4"/>
          <w:sz w:val="22"/>
        </w:rPr>
        <w:t> </w:t>
      </w:r>
      <w:r>
        <w:rPr>
          <w:sz w:val="22"/>
        </w:rPr>
        <w:t>No.</w:t>
      </w:r>
      <w:r>
        <w:rPr>
          <w:spacing w:val="-6"/>
          <w:sz w:val="22"/>
        </w:rPr>
        <w:t> </w:t>
      </w:r>
      <w:r>
        <w:rPr>
          <w:sz w:val="22"/>
        </w:rPr>
        <w:t>4760</w:t>
      </w:r>
      <w:r>
        <w:rPr>
          <w:spacing w:val="-4"/>
          <w:sz w:val="22"/>
        </w:rPr>
        <w:t> </w:t>
      </w:r>
      <w:r>
        <w:rPr>
          <w:sz w:val="22"/>
        </w:rPr>
        <w:t>Ley</w:t>
      </w:r>
      <w:r>
        <w:rPr>
          <w:spacing w:val="-3"/>
          <w:sz w:val="22"/>
        </w:rPr>
        <w:t> </w:t>
      </w:r>
      <w:r>
        <w:rPr>
          <w:sz w:val="22"/>
        </w:rPr>
        <w:t>Creación del</w:t>
      </w:r>
      <w:r>
        <w:rPr>
          <w:spacing w:val="-13"/>
          <w:sz w:val="22"/>
        </w:rPr>
        <w:t> </w:t>
      </w:r>
      <w:r>
        <w:rPr>
          <w:sz w:val="22"/>
        </w:rPr>
        <w:t>IMAS</w:t>
      </w:r>
      <w:r>
        <w:rPr>
          <w:spacing w:val="-11"/>
          <w:sz w:val="22"/>
        </w:rPr>
        <w:t> </w:t>
      </w:r>
      <w:r>
        <w:rPr>
          <w:sz w:val="22"/>
        </w:rPr>
        <w:t>y</w:t>
      </w:r>
      <w:r>
        <w:rPr>
          <w:spacing w:val="-13"/>
          <w:sz w:val="22"/>
        </w:rPr>
        <w:t> </w:t>
      </w:r>
      <w:r>
        <w:rPr>
          <w:sz w:val="22"/>
        </w:rPr>
        <w:t>la</w:t>
      </w:r>
      <w:r>
        <w:rPr>
          <w:spacing w:val="-13"/>
          <w:sz w:val="22"/>
        </w:rPr>
        <w:t> </w:t>
      </w:r>
      <w:r>
        <w:rPr>
          <w:sz w:val="22"/>
        </w:rPr>
        <w:t>Ley</w:t>
      </w:r>
      <w:r>
        <w:rPr>
          <w:spacing w:val="-13"/>
          <w:sz w:val="22"/>
        </w:rPr>
        <w:t> </w:t>
      </w:r>
      <w:r>
        <w:rPr>
          <w:sz w:val="22"/>
        </w:rPr>
        <w:t>No.6443</w:t>
      </w:r>
      <w:r>
        <w:rPr>
          <w:spacing w:val="-14"/>
          <w:sz w:val="22"/>
        </w:rPr>
        <w:t> </w:t>
      </w:r>
      <w:r>
        <w:rPr>
          <w:sz w:val="22"/>
        </w:rPr>
        <w:t>Reforma</w:t>
      </w:r>
      <w:r>
        <w:rPr>
          <w:spacing w:val="-12"/>
          <w:sz w:val="22"/>
        </w:rPr>
        <w:t> </w:t>
      </w:r>
      <w:r>
        <w:rPr>
          <w:sz w:val="22"/>
        </w:rPr>
        <w:t>Ley</w:t>
      </w:r>
      <w:r>
        <w:rPr>
          <w:spacing w:val="-13"/>
          <w:sz w:val="22"/>
        </w:rPr>
        <w:t> </w:t>
      </w:r>
      <w:r>
        <w:rPr>
          <w:sz w:val="22"/>
        </w:rPr>
        <w:t>de</w:t>
      </w:r>
      <w:r>
        <w:rPr>
          <w:spacing w:val="-13"/>
          <w:sz w:val="22"/>
        </w:rPr>
        <w:t> </w:t>
      </w:r>
      <w:r>
        <w:rPr>
          <w:sz w:val="22"/>
        </w:rPr>
        <w:t>Creación</w:t>
      </w:r>
      <w:r>
        <w:rPr>
          <w:spacing w:val="-12"/>
          <w:sz w:val="22"/>
        </w:rPr>
        <w:t> </w:t>
      </w:r>
      <w:r>
        <w:rPr>
          <w:sz w:val="22"/>
        </w:rPr>
        <w:t>del</w:t>
      </w:r>
      <w:r>
        <w:rPr>
          <w:spacing w:val="-12"/>
          <w:sz w:val="22"/>
        </w:rPr>
        <w:t> </w:t>
      </w:r>
      <w:r>
        <w:rPr>
          <w:sz w:val="22"/>
        </w:rPr>
        <w:t>IMAS,</w:t>
      </w:r>
      <w:r>
        <w:rPr>
          <w:spacing w:val="30"/>
          <w:sz w:val="22"/>
        </w:rPr>
        <w:t> </w:t>
      </w:r>
      <w:r>
        <w:rPr>
          <w:sz w:val="22"/>
        </w:rPr>
        <w:t>correspondiente</w:t>
      </w:r>
      <w:r>
        <w:rPr>
          <w:spacing w:val="-12"/>
          <w:sz w:val="22"/>
        </w:rPr>
        <w:t> </w:t>
      </w:r>
      <w:r>
        <w:rPr>
          <w:sz w:val="22"/>
        </w:rPr>
        <w:t>al</w:t>
      </w:r>
      <w:r>
        <w:rPr>
          <w:spacing w:val="-12"/>
          <w:sz w:val="22"/>
        </w:rPr>
        <w:t> </w:t>
      </w:r>
      <w:r>
        <w:rPr>
          <w:sz w:val="22"/>
        </w:rPr>
        <w:t>medio por</w:t>
      </w:r>
      <w:r>
        <w:rPr>
          <w:spacing w:val="-3"/>
          <w:sz w:val="22"/>
        </w:rPr>
        <w:t> </w:t>
      </w:r>
      <w:r>
        <w:rPr>
          <w:sz w:val="22"/>
        </w:rPr>
        <w:t>ciento</w:t>
      </w:r>
      <w:r>
        <w:rPr>
          <w:spacing w:val="-4"/>
          <w:sz w:val="22"/>
        </w:rPr>
        <w:t> </w:t>
      </w:r>
      <w:r>
        <w:rPr>
          <w:sz w:val="22"/>
        </w:rPr>
        <w:t>mensual</w:t>
      </w:r>
      <w:r>
        <w:rPr>
          <w:spacing w:val="-3"/>
          <w:sz w:val="22"/>
        </w:rPr>
        <w:t> </w:t>
      </w:r>
      <w:r>
        <w:rPr>
          <w:sz w:val="22"/>
        </w:rPr>
        <w:t>sobre</w:t>
      </w:r>
      <w:r>
        <w:rPr>
          <w:spacing w:val="-4"/>
          <w:sz w:val="22"/>
        </w:rPr>
        <w:t> </w:t>
      </w:r>
      <w:r>
        <w:rPr>
          <w:sz w:val="22"/>
        </w:rPr>
        <w:t>las</w:t>
      </w:r>
      <w:r>
        <w:rPr>
          <w:spacing w:val="-2"/>
          <w:sz w:val="22"/>
        </w:rPr>
        <w:t> </w:t>
      </w:r>
      <w:r>
        <w:rPr>
          <w:sz w:val="22"/>
        </w:rPr>
        <w:t>remuneraciones,</w:t>
      </w:r>
      <w:r>
        <w:rPr>
          <w:spacing w:val="-3"/>
          <w:sz w:val="22"/>
        </w:rPr>
        <w:t> </w:t>
      </w:r>
      <w:r>
        <w:rPr>
          <w:sz w:val="22"/>
        </w:rPr>
        <w:t>sean</w:t>
      </w:r>
      <w:r>
        <w:rPr>
          <w:spacing w:val="-3"/>
          <w:sz w:val="22"/>
        </w:rPr>
        <w:t> </w:t>
      </w:r>
      <w:r>
        <w:rPr>
          <w:sz w:val="22"/>
        </w:rPr>
        <w:t>salarios</w:t>
      </w:r>
      <w:r>
        <w:rPr>
          <w:spacing w:val="-4"/>
          <w:sz w:val="22"/>
        </w:rPr>
        <w:t> </w:t>
      </w:r>
      <w:r>
        <w:rPr>
          <w:sz w:val="22"/>
        </w:rPr>
        <w:t>o</w:t>
      </w:r>
      <w:r>
        <w:rPr>
          <w:spacing w:val="-3"/>
          <w:sz w:val="22"/>
        </w:rPr>
        <w:t> </w:t>
      </w:r>
      <w:r>
        <w:rPr>
          <w:sz w:val="22"/>
        </w:rPr>
        <w:t>sueldos,</w:t>
      </w:r>
      <w:r>
        <w:rPr>
          <w:spacing w:val="-5"/>
          <w:sz w:val="22"/>
        </w:rPr>
        <w:t> </w:t>
      </w:r>
      <w:r>
        <w:rPr>
          <w:sz w:val="22"/>
        </w:rPr>
        <w:t>ordinarios</w:t>
      </w:r>
      <w:r>
        <w:rPr>
          <w:spacing w:val="-4"/>
          <w:sz w:val="22"/>
        </w:rPr>
        <w:t> </w:t>
      </w:r>
      <w:r>
        <w:rPr>
          <w:sz w:val="22"/>
        </w:rPr>
        <w:t>o</w:t>
      </w:r>
      <w:r>
        <w:rPr>
          <w:spacing w:val="-4"/>
          <w:sz w:val="22"/>
        </w:rPr>
        <w:t> </w:t>
      </w:r>
      <w:r>
        <w:rPr>
          <w:sz w:val="22"/>
        </w:rPr>
        <w:t>extraor-dinarios,</w:t>
      </w:r>
      <w:r>
        <w:rPr>
          <w:spacing w:val="80"/>
          <w:sz w:val="22"/>
        </w:rPr>
        <w:t> </w:t>
      </w:r>
      <w:r>
        <w:rPr>
          <w:sz w:val="22"/>
        </w:rPr>
        <w:t>que</w:t>
      </w:r>
      <w:r>
        <w:rPr>
          <w:spacing w:val="80"/>
          <w:sz w:val="22"/>
        </w:rPr>
        <w:t> </w:t>
      </w:r>
      <w:r>
        <w:rPr>
          <w:sz w:val="22"/>
        </w:rPr>
        <w:t>paguen</w:t>
      </w:r>
      <w:r>
        <w:rPr>
          <w:spacing w:val="80"/>
          <w:sz w:val="22"/>
        </w:rPr>
        <w:t> </w:t>
      </w:r>
      <w:r>
        <w:rPr>
          <w:sz w:val="22"/>
        </w:rPr>
        <w:t>a</w:t>
      </w:r>
      <w:r>
        <w:rPr>
          <w:spacing w:val="80"/>
          <w:sz w:val="22"/>
        </w:rPr>
        <w:t> </w:t>
      </w:r>
      <w:r>
        <w:rPr>
          <w:sz w:val="22"/>
        </w:rPr>
        <w:t>los</w:t>
      </w:r>
      <w:r>
        <w:rPr>
          <w:spacing w:val="80"/>
          <w:sz w:val="22"/>
        </w:rPr>
        <w:t> </w:t>
      </w:r>
      <w:r>
        <w:rPr>
          <w:sz w:val="22"/>
        </w:rPr>
        <w:t>trabajadores</w:t>
      </w:r>
      <w:r>
        <w:rPr>
          <w:spacing w:val="80"/>
          <w:sz w:val="22"/>
        </w:rPr>
        <w:t> </w:t>
      </w:r>
      <w:r>
        <w:rPr>
          <w:sz w:val="22"/>
        </w:rPr>
        <w:t>de</w:t>
      </w:r>
      <w:r>
        <w:rPr>
          <w:spacing w:val="80"/>
          <w:sz w:val="22"/>
        </w:rPr>
        <w:t> </w:t>
      </w:r>
      <w:r>
        <w:rPr>
          <w:sz w:val="22"/>
        </w:rPr>
        <w:t>sus</w:t>
      </w:r>
      <w:r>
        <w:rPr>
          <w:spacing w:val="80"/>
          <w:sz w:val="22"/>
        </w:rPr>
        <w:t> </w:t>
      </w:r>
      <w:r>
        <w:rPr>
          <w:sz w:val="22"/>
        </w:rPr>
        <w:t>respectivas</w:t>
      </w:r>
      <w:r>
        <w:rPr>
          <w:spacing w:val="80"/>
          <w:sz w:val="22"/>
        </w:rPr>
        <w:t> </w:t>
      </w:r>
      <w:r>
        <w:rPr>
          <w:sz w:val="22"/>
        </w:rPr>
        <w:t>actividades</w:t>
      </w:r>
      <w:r>
        <w:rPr>
          <w:spacing w:val="80"/>
          <w:sz w:val="22"/>
        </w:rPr>
        <w:t> </w:t>
      </w:r>
      <w:r>
        <w:rPr>
          <w:sz w:val="22"/>
        </w:rPr>
        <w:t>que</w:t>
      </w:r>
      <w:r>
        <w:rPr>
          <w:spacing w:val="80"/>
          <w:sz w:val="22"/>
        </w:rPr>
        <w:t> </w:t>
      </w:r>
      <w:r>
        <w:rPr>
          <w:sz w:val="22"/>
        </w:rPr>
        <w:t>estén</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8560">
                <wp:simplePos x="0" y="0"/>
                <wp:positionH relativeFrom="page">
                  <wp:posOffset>9525</wp:posOffset>
                </wp:positionH>
                <wp:positionV relativeFrom="page">
                  <wp:posOffset>297208</wp:posOffset>
                </wp:positionV>
                <wp:extent cx="7762875" cy="974852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762875" cy="9748520"/>
                          <a:chExt cx="7762875" cy="9748520"/>
                        </a:xfrm>
                      </wpg:grpSpPr>
                      <pic:pic>
                        <pic:nvPicPr>
                          <pic:cNvPr id="63" name="Image 63"/>
                          <pic:cNvPicPr/>
                        </pic:nvPicPr>
                        <pic:blipFill>
                          <a:blip r:embed="rId5" cstate="print"/>
                          <a:stretch>
                            <a:fillRect/>
                          </a:stretch>
                        </pic:blipFill>
                        <pic:spPr>
                          <a:xfrm>
                            <a:off x="0" y="0"/>
                            <a:ext cx="7762874" cy="9748489"/>
                          </a:xfrm>
                          <a:prstGeom prst="rect">
                            <a:avLst/>
                          </a:prstGeom>
                        </pic:spPr>
                      </pic:pic>
                      <wps:wsp>
                        <wps:cNvPr id="64" name="Graphic 6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7920" id="docshapegroup61" coordorigin="15,468" coordsize="12225,15352">
                <v:shape style="position:absolute;left:15;top:468;width:12225;height:15352" type="#_x0000_t75" id="docshape62" stroked="false">
                  <v:imagedata r:id="rId5" o:title=""/>
                </v:shape>
                <v:rect style="position:absolute;left:1673;top:2028;width:8897;height:15" id="docshape6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w:t>
      </w:r>
    </w:p>
    <w:p>
      <w:pPr>
        <w:pStyle w:val="BodyText"/>
        <w:spacing w:before="10"/>
        <w:rPr>
          <w:sz w:val="16"/>
        </w:rPr>
      </w:pPr>
      <w:r>
        <w:rPr>
          <w:sz w:val="16"/>
        </w:rPr>
        <mc:AlternateContent>
          <mc:Choice Requires="wps">
            <w:drawing>
              <wp:anchor distT="0" distB="0" distL="0" distR="0" allowOverlap="1" layoutInCell="1" locked="0" behindDoc="1" simplePos="0" relativeHeight="487600640">
                <wp:simplePos x="0" y="0"/>
                <wp:positionH relativeFrom="page">
                  <wp:posOffset>1083868</wp:posOffset>
                </wp:positionH>
                <wp:positionV relativeFrom="paragraph">
                  <wp:posOffset>141144</wp:posOffset>
                </wp:positionV>
                <wp:extent cx="5607050" cy="3674745"/>
                <wp:effectExtent l="0" t="0" r="0" b="0"/>
                <wp:wrapTopAndBottom/>
                <wp:docPr id="65" name="Textbox 65"/>
                <wp:cNvGraphicFramePr>
                  <a:graphicFrameLocks/>
                </wp:cNvGraphicFramePr>
                <a:graphic>
                  <a:graphicData uri="http://schemas.microsoft.com/office/word/2010/wordprocessingShape">
                    <wps:wsp>
                      <wps:cNvPr id="65" name="Textbox 65"/>
                      <wps:cNvSpPr txBox="1"/>
                      <wps:spPr>
                        <a:xfrm>
                          <a:off x="0" y="0"/>
                          <a:ext cx="5607050" cy="3674745"/>
                        </a:xfrm>
                        <a:prstGeom prst="rect">
                          <a:avLst/>
                        </a:prstGeom>
                        <a:ln w="6095">
                          <a:solidFill>
                            <a:srgbClr val="000000"/>
                          </a:solidFill>
                          <a:prstDash val="solid"/>
                        </a:ln>
                      </wps:spPr>
                      <wps:txbx>
                        <w:txbxContent>
                          <w:p>
                            <w:pPr>
                              <w:pStyle w:val="BodyText"/>
                              <w:ind w:left="823" w:right="100"/>
                              <w:jc w:val="both"/>
                            </w:pPr>
                            <w:r>
                              <w:rPr/>
                              <w:t>empadronados en el Instituto Nacional de Aprendizaje (INA)</w:t>
                            </w:r>
                            <w:r>
                              <w:rPr>
                                <w:spacing w:val="40"/>
                              </w:rPr>
                              <w:t> </w:t>
                            </w:r>
                            <w:r>
                              <w:rPr/>
                              <w:t>y el Seguro Social o en el Banco Popular y de Desarrollo Comunal los patronos de la empresa privada en general, también están</w:t>
                            </w:r>
                            <w:r>
                              <w:rPr>
                                <w:spacing w:val="80"/>
                                <w:w w:val="150"/>
                              </w:rPr>
                              <w:t> </w:t>
                            </w:r>
                            <w:r>
                              <w:rPr/>
                              <w:t>obligados a pagar el aporte, a que se refiere este inciso, las instituciones autónomas del país, cuyos recursos no provengan del presupuesto general ordinario de la </w:t>
                            </w:r>
                            <w:r>
                              <w:rPr>
                                <w:spacing w:val="-2"/>
                              </w:rPr>
                              <w:t>República.</w:t>
                            </w:r>
                          </w:p>
                          <w:p>
                            <w:pPr>
                              <w:pStyle w:val="BodyText"/>
                              <w:spacing w:before="158"/>
                            </w:pPr>
                          </w:p>
                          <w:p>
                            <w:pPr>
                              <w:pStyle w:val="BodyText"/>
                              <w:spacing w:line="276" w:lineRule="auto"/>
                              <w:ind w:left="103" w:right="102"/>
                              <w:jc w:val="both"/>
                            </w:pPr>
                            <w:r>
                              <w:rPr/>
                              <w:t>Cuando</w:t>
                            </w:r>
                            <w:r>
                              <w:rPr>
                                <w:spacing w:val="-10"/>
                              </w:rPr>
                              <w:t> </w:t>
                            </w:r>
                            <w:r>
                              <w:rPr/>
                              <w:t>los</w:t>
                            </w:r>
                            <w:r>
                              <w:rPr>
                                <w:spacing w:val="-7"/>
                              </w:rPr>
                              <w:t> </w:t>
                            </w:r>
                            <w:r>
                              <w:rPr/>
                              <w:t>recursos</w:t>
                            </w:r>
                            <w:r>
                              <w:rPr>
                                <w:spacing w:val="-7"/>
                              </w:rPr>
                              <w:t> </w:t>
                            </w:r>
                            <w:r>
                              <w:rPr/>
                              <w:t>recibidos</w:t>
                            </w:r>
                            <w:r>
                              <w:rPr>
                                <w:spacing w:val="-9"/>
                              </w:rPr>
                              <w:t> </w:t>
                            </w:r>
                            <w:r>
                              <w:rPr/>
                              <w:t>estén</w:t>
                            </w:r>
                            <w:r>
                              <w:rPr>
                                <w:spacing w:val="-10"/>
                              </w:rPr>
                              <w:t> </w:t>
                            </w:r>
                            <w:r>
                              <w:rPr/>
                              <w:t>sujetos</w:t>
                            </w:r>
                            <w:r>
                              <w:rPr>
                                <w:spacing w:val="-7"/>
                              </w:rPr>
                              <w:t> </w:t>
                            </w:r>
                            <w:r>
                              <w:rPr/>
                              <w:t>a</w:t>
                            </w:r>
                            <w:r>
                              <w:rPr>
                                <w:spacing w:val="-9"/>
                              </w:rPr>
                              <w:t> </w:t>
                            </w:r>
                            <w:r>
                              <w:rPr/>
                              <w:t>condiciones,</w:t>
                            </w:r>
                            <w:r>
                              <w:rPr>
                                <w:spacing w:val="-8"/>
                              </w:rPr>
                              <w:t> </w:t>
                            </w:r>
                            <w:r>
                              <w:rPr/>
                              <w:t>afectaciones</w:t>
                            </w:r>
                            <w:r>
                              <w:rPr>
                                <w:spacing w:val="-9"/>
                              </w:rPr>
                              <w:t> </w:t>
                            </w:r>
                            <w:r>
                              <w:rPr/>
                              <w:t>específicas</w:t>
                            </w:r>
                            <w:r>
                              <w:rPr>
                                <w:spacing w:val="-10"/>
                              </w:rPr>
                              <w:t> </w:t>
                            </w:r>
                            <w:r>
                              <w:rPr/>
                              <w:t>o</w:t>
                            </w:r>
                            <w:r>
                              <w:rPr>
                                <w:spacing w:val="-10"/>
                              </w:rPr>
                              <w:t> </w:t>
                            </w:r>
                            <w:r>
                              <w:rPr/>
                              <w:t>eventos</w:t>
                            </w:r>
                            <w:r>
                              <w:rPr>
                                <w:spacing w:val="-9"/>
                              </w:rPr>
                              <w:t> </w:t>
                            </w:r>
                            <w:r>
                              <w:rPr/>
                              <w:t>futuros que</w:t>
                            </w:r>
                            <w:r>
                              <w:rPr>
                                <w:spacing w:val="-12"/>
                              </w:rPr>
                              <w:t> </w:t>
                            </w:r>
                            <w:r>
                              <w:rPr/>
                              <w:t>condicionen</w:t>
                            </w:r>
                            <w:r>
                              <w:rPr>
                                <w:spacing w:val="-10"/>
                              </w:rPr>
                              <w:t> </w:t>
                            </w:r>
                            <w:r>
                              <w:rPr/>
                              <w:t>su</w:t>
                            </w:r>
                            <w:r>
                              <w:rPr>
                                <w:spacing w:val="-11"/>
                              </w:rPr>
                              <w:t> </w:t>
                            </w:r>
                            <w:r>
                              <w:rPr/>
                              <w:t>utilización,</w:t>
                            </w:r>
                            <w:r>
                              <w:rPr>
                                <w:spacing w:val="-10"/>
                              </w:rPr>
                              <w:t> </w:t>
                            </w:r>
                            <w:r>
                              <w:rPr/>
                              <w:t>estos</w:t>
                            </w:r>
                            <w:r>
                              <w:rPr>
                                <w:spacing w:val="-12"/>
                              </w:rPr>
                              <w:t> </w:t>
                            </w:r>
                            <w:r>
                              <w:rPr/>
                              <w:t>se</w:t>
                            </w:r>
                            <w:r>
                              <w:rPr>
                                <w:spacing w:val="-12"/>
                              </w:rPr>
                              <w:t> </w:t>
                            </w:r>
                            <w:r>
                              <w:rPr/>
                              <w:t>reconocen</w:t>
                            </w:r>
                            <w:r>
                              <w:rPr>
                                <w:spacing w:val="-10"/>
                              </w:rPr>
                              <w:t> </w:t>
                            </w:r>
                            <w:r>
                              <w:rPr/>
                              <w:t>inicialmente</w:t>
                            </w:r>
                            <w:r>
                              <w:rPr>
                                <w:spacing w:val="-11"/>
                              </w:rPr>
                              <w:t> </w:t>
                            </w:r>
                            <w:r>
                              <w:rPr/>
                              <w:t>como</w:t>
                            </w:r>
                            <w:r>
                              <w:rPr>
                                <w:spacing w:val="-12"/>
                              </w:rPr>
                              <w:t> </w:t>
                            </w:r>
                            <w:r>
                              <w:rPr/>
                              <w:t>un</w:t>
                            </w:r>
                            <w:r>
                              <w:rPr>
                                <w:spacing w:val="-10"/>
                              </w:rPr>
                              <w:t> </w:t>
                            </w:r>
                            <w:r>
                              <w:rPr/>
                              <w:t>pasivo</w:t>
                            </w:r>
                            <w:r>
                              <w:rPr>
                                <w:spacing w:val="-10"/>
                              </w:rPr>
                              <w:t> </w:t>
                            </w:r>
                            <w:r>
                              <w:rPr/>
                              <w:t>hasta</w:t>
                            </w:r>
                            <w:r>
                              <w:rPr>
                                <w:spacing w:val="-11"/>
                              </w:rPr>
                              <w:t> </w:t>
                            </w:r>
                            <w:r>
                              <w:rPr/>
                              <w:t>que</w:t>
                            </w:r>
                            <w:r>
                              <w:rPr>
                                <w:spacing w:val="-12"/>
                              </w:rPr>
                              <w:t> </w:t>
                            </w:r>
                            <w:r>
                              <w:rPr/>
                              <w:t>se</w:t>
                            </w:r>
                            <w:r>
                              <w:rPr>
                                <w:spacing w:val="-12"/>
                              </w:rPr>
                              <w:t> </w:t>
                            </w:r>
                            <w:r>
                              <w:rPr/>
                              <w:t>cumpla el hecho que permita su devengo como ingreso.</w:t>
                            </w:r>
                          </w:p>
                          <w:p>
                            <w:pPr>
                              <w:pStyle w:val="BodyText"/>
                              <w:spacing w:line="276" w:lineRule="auto" w:before="121"/>
                              <w:ind w:left="103" w:right="99"/>
                              <w:jc w:val="both"/>
                            </w:pPr>
                            <w:r>
                              <w:rPr/>
                              <w:t>Por otra parte, cuando corresponde a transacciones que originen gastos, estos se reconocen en el momento en que se produce la disminución de los beneficios económicos futuros o del potencial de</w:t>
                            </w:r>
                            <w:r>
                              <w:rPr>
                                <w:spacing w:val="-11"/>
                              </w:rPr>
                              <w:t> </w:t>
                            </w:r>
                            <w:r>
                              <w:rPr/>
                              <w:t>servicio,</w:t>
                            </w:r>
                            <w:r>
                              <w:rPr>
                                <w:spacing w:val="-9"/>
                              </w:rPr>
                              <w:t> </w:t>
                            </w:r>
                            <w:r>
                              <w:rPr/>
                              <w:t>derivada</w:t>
                            </w:r>
                            <w:r>
                              <w:rPr>
                                <w:spacing w:val="-8"/>
                              </w:rPr>
                              <w:t> </w:t>
                            </w:r>
                            <w:r>
                              <w:rPr/>
                              <w:t>del</w:t>
                            </w:r>
                            <w:r>
                              <w:rPr>
                                <w:spacing w:val="-8"/>
                              </w:rPr>
                              <w:t> </w:t>
                            </w:r>
                            <w:r>
                              <w:rPr/>
                              <w:t>consumo</w:t>
                            </w:r>
                            <w:r>
                              <w:rPr>
                                <w:spacing w:val="-9"/>
                              </w:rPr>
                              <w:t> </w:t>
                            </w:r>
                            <w:r>
                              <w:rPr/>
                              <w:t>de</w:t>
                            </w:r>
                            <w:r>
                              <w:rPr>
                                <w:spacing w:val="-11"/>
                              </w:rPr>
                              <w:t> </w:t>
                            </w:r>
                            <w:r>
                              <w:rPr/>
                              <w:t>activos</w:t>
                            </w:r>
                            <w:r>
                              <w:rPr>
                                <w:spacing w:val="-8"/>
                              </w:rPr>
                              <w:t> </w:t>
                            </w:r>
                            <w:r>
                              <w:rPr/>
                              <w:t>o</w:t>
                            </w:r>
                            <w:r>
                              <w:rPr>
                                <w:spacing w:val="-9"/>
                              </w:rPr>
                              <w:t> </w:t>
                            </w:r>
                            <w:r>
                              <w:rPr/>
                              <w:t>del</w:t>
                            </w:r>
                            <w:r>
                              <w:rPr>
                                <w:spacing w:val="-10"/>
                              </w:rPr>
                              <w:t> </w:t>
                            </w:r>
                            <w:r>
                              <w:rPr/>
                              <w:t>surgimiento</w:t>
                            </w:r>
                            <w:r>
                              <w:rPr>
                                <w:spacing w:val="-8"/>
                              </w:rPr>
                              <w:t> </w:t>
                            </w:r>
                            <w:r>
                              <w:rPr/>
                              <w:t>de</w:t>
                            </w:r>
                            <w:r>
                              <w:rPr>
                                <w:spacing w:val="-7"/>
                              </w:rPr>
                              <w:t> </w:t>
                            </w:r>
                            <w:r>
                              <w:rPr/>
                              <w:t>obligaciones,</w:t>
                            </w:r>
                            <w:r>
                              <w:rPr>
                                <w:spacing w:val="-9"/>
                              </w:rPr>
                              <w:t> </w:t>
                            </w:r>
                            <w:r>
                              <w:rPr/>
                              <w:t>y</w:t>
                            </w:r>
                            <w:r>
                              <w:rPr>
                                <w:spacing w:val="-11"/>
                              </w:rPr>
                              <w:t> </w:t>
                            </w:r>
                            <w:r>
                              <w:rPr/>
                              <w:t>cuando</w:t>
                            </w:r>
                            <w:r>
                              <w:rPr>
                                <w:spacing w:val="-9"/>
                              </w:rPr>
                              <w:t> </w:t>
                            </w:r>
                            <w:r>
                              <w:rPr/>
                              <w:t>su</w:t>
                            </w:r>
                            <w:r>
                              <w:rPr>
                                <w:spacing w:val="-10"/>
                              </w:rPr>
                              <w:t> </w:t>
                            </w:r>
                            <w:r>
                              <w:rPr/>
                              <w:t>importe pueda ser determinado de forma fiable.</w:t>
                            </w:r>
                            <w:r>
                              <w:rPr>
                                <w:spacing w:val="40"/>
                              </w:rPr>
                              <w:t> </w:t>
                            </w:r>
                            <w:r>
                              <w:rPr/>
                              <w:t>Dentro de los gastos, la entidad reconoce principalmente aquellos asociados a remuneraciones al personal, adquisición de bienes y servicios, depreciaciones y amortizaciones, diferenciales cambiarios, transferencias, entre otros gastos de menor cuantía.</w:t>
                            </w:r>
                          </w:p>
                          <w:p>
                            <w:pPr>
                              <w:pStyle w:val="BodyText"/>
                              <w:spacing w:line="276" w:lineRule="auto" w:before="121"/>
                              <w:ind w:left="103" w:right="101"/>
                              <w:jc w:val="both"/>
                            </w:pPr>
                            <w:r>
                              <w:rPr/>
                              <w:t>La entidad establece que las políticas específicas de reconocimiento, medición y registro contable, tanto de los ingresos como de los gastos se desarrollan y detallan en las notas asociadas a cada tipo de transacción, en concordancia con las NICSP aplicables y las disposiciones técnicas emitidas por Contabilidad Nacional.</w:t>
                            </w:r>
                          </w:p>
                        </w:txbxContent>
                      </wps:txbx>
                      <wps:bodyPr wrap="square" lIns="0" tIns="0" rIns="0" bIns="0" rtlCol="0">
                        <a:noAutofit/>
                      </wps:bodyPr>
                    </wps:wsp>
                  </a:graphicData>
                </a:graphic>
              </wp:anchor>
            </w:drawing>
          </mc:Choice>
          <mc:Fallback>
            <w:pict>
              <v:shape style="position:absolute;margin-left:85.344002pt;margin-top:11.11375pt;width:441.5pt;height:289.350pt;mso-position-horizontal-relative:page;mso-position-vertical-relative:paragraph;z-index:-15715840;mso-wrap-distance-left:0;mso-wrap-distance-right:0" type="#_x0000_t202" id="docshape64" filled="false" stroked="true" strokeweight=".47998pt" strokecolor="#000000">
                <v:textbox inset="0,0,0,0">
                  <w:txbxContent>
                    <w:p>
                      <w:pPr>
                        <w:pStyle w:val="BodyText"/>
                        <w:ind w:left="823" w:right="100"/>
                        <w:jc w:val="both"/>
                      </w:pPr>
                      <w:r>
                        <w:rPr/>
                        <w:t>empadronados en el Instituto Nacional de Aprendizaje (INA)</w:t>
                      </w:r>
                      <w:r>
                        <w:rPr>
                          <w:spacing w:val="40"/>
                        </w:rPr>
                        <w:t> </w:t>
                      </w:r>
                      <w:r>
                        <w:rPr/>
                        <w:t>y el Seguro Social o en el Banco Popular y de Desarrollo Comunal los patronos de la empresa privada en general, también están</w:t>
                      </w:r>
                      <w:r>
                        <w:rPr>
                          <w:spacing w:val="80"/>
                          <w:w w:val="150"/>
                        </w:rPr>
                        <w:t> </w:t>
                      </w:r>
                      <w:r>
                        <w:rPr/>
                        <w:t>obligados a pagar el aporte, a que se refiere este inciso, las instituciones autónomas del país, cuyos recursos no provengan del presupuesto general ordinario de la </w:t>
                      </w:r>
                      <w:r>
                        <w:rPr>
                          <w:spacing w:val="-2"/>
                        </w:rPr>
                        <w:t>República.</w:t>
                      </w:r>
                    </w:p>
                    <w:p>
                      <w:pPr>
                        <w:pStyle w:val="BodyText"/>
                        <w:spacing w:before="158"/>
                      </w:pPr>
                    </w:p>
                    <w:p>
                      <w:pPr>
                        <w:pStyle w:val="BodyText"/>
                        <w:spacing w:line="276" w:lineRule="auto"/>
                        <w:ind w:left="103" w:right="102"/>
                        <w:jc w:val="both"/>
                      </w:pPr>
                      <w:r>
                        <w:rPr/>
                        <w:t>Cuando</w:t>
                      </w:r>
                      <w:r>
                        <w:rPr>
                          <w:spacing w:val="-10"/>
                        </w:rPr>
                        <w:t> </w:t>
                      </w:r>
                      <w:r>
                        <w:rPr/>
                        <w:t>los</w:t>
                      </w:r>
                      <w:r>
                        <w:rPr>
                          <w:spacing w:val="-7"/>
                        </w:rPr>
                        <w:t> </w:t>
                      </w:r>
                      <w:r>
                        <w:rPr/>
                        <w:t>recursos</w:t>
                      </w:r>
                      <w:r>
                        <w:rPr>
                          <w:spacing w:val="-7"/>
                        </w:rPr>
                        <w:t> </w:t>
                      </w:r>
                      <w:r>
                        <w:rPr/>
                        <w:t>recibidos</w:t>
                      </w:r>
                      <w:r>
                        <w:rPr>
                          <w:spacing w:val="-9"/>
                        </w:rPr>
                        <w:t> </w:t>
                      </w:r>
                      <w:r>
                        <w:rPr/>
                        <w:t>estén</w:t>
                      </w:r>
                      <w:r>
                        <w:rPr>
                          <w:spacing w:val="-10"/>
                        </w:rPr>
                        <w:t> </w:t>
                      </w:r>
                      <w:r>
                        <w:rPr/>
                        <w:t>sujetos</w:t>
                      </w:r>
                      <w:r>
                        <w:rPr>
                          <w:spacing w:val="-7"/>
                        </w:rPr>
                        <w:t> </w:t>
                      </w:r>
                      <w:r>
                        <w:rPr/>
                        <w:t>a</w:t>
                      </w:r>
                      <w:r>
                        <w:rPr>
                          <w:spacing w:val="-9"/>
                        </w:rPr>
                        <w:t> </w:t>
                      </w:r>
                      <w:r>
                        <w:rPr/>
                        <w:t>condiciones,</w:t>
                      </w:r>
                      <w:r>
                        <w:rPr>
                          <w:spacing w:val="-8"/>
                        </w:rPr>
                        <w:t> </w:t>
                      </w:r>
                      <w:r>
                        <w:rPr/>
                        <w:t>afectaciones</w:t>
                      </w:r>
                      <w:r>
                        <w:rPr>
                          <w:spacing w:val="-9"/>
                        </w:rPr>
                        <w:t> </w:t>
                      </w:r>
                      <w:r>
                        <w:rPr/>
                        <w:t>específicas</w:t>
                      </w:r>
                      <w:r>
                        <w:rPr>
                          <w:spacing w:val="-10"/>
                        </w:rPr>
                        <w:t> </w:t>
                      </w:r>
                      <w:r>
                        <w:rPr/>
                        <w:t>o</w:t>
                      </w:r>
                      <w:r>
                        <w:rPr>
                          <w:spacing w:val="-10"/>
                        </w:rPr>
                        <w:t> </w:t>
                      </w:r>
                      <w:r>
                        <w:rPr/>
                        <w:t>eventos</w:t>
                      </w:r>
                      <w:r>
                        <w:rPr>
                          <w:spacing w:val="-9"/>
                        </w:rPr>
                        <w:t> </w:t>
                      </w:r>
                      <w:r>
                        <w:rPr/>
                        <w:t>futuros que</w:t>
                      </w:r>
                      <w:r>
                        <w:rPr>
                          <w:spacing w:val="-12"/>
                        </w:rPr>
                        <w:t> </w:t>
                      </w:r>
                      <w:r>
                        <w:rPr/>
                        <w:t>condicionen</w:t>
                      </w:r>
                      <w:r>
                        <w:rPr>
                          <w:spacing w:val="-10"/>
                        </w:rPr>
                        <w:t> </w:t>
                      </w:r>
                      <w:r>
                        <w:rPr/>
                        <w:t>su</w:t>
                      </w:r>
                      <w:r>
                        <w:rPr>
                          <w:spacing w:val="-11"/>
                        </w:rPr>
                        <w:t> </w:t>
                      </w:r>
                      <w:r>
                        <w:rPr/>
                        <w:t>utilización,</w:t>
                      </w:r>
                      <w:r>
                        <w:rPr>
                          <w:spacing w:val="-10"/>
                        </w:rPr>
                        <w:t> </w:t>
                      </w:r>
                      <w:r>
                        <w:rPr/>
                        <w:t>estos</w:t>
                      </w:r>
                      <w:r>
                        <w:rPr>
                          <w:spacing w:val="-12"/>
                        </w:rPr>
                        <w:t> </w:t>
                      </w:r>
                      <w:r>
                        <w:rPr/>
                        <w:t>se</w:t>
                      </w:r>
                      <w:r>
                        <w:rPr>
                          <w:spacing w:val="-12"/>
                        </w:rPr>
                        <w:t> </w:t>
                      </w:r>
                      <w:r>
                        <w:rPr/>
                        <w:t>reconocen</w:t>
                      </w:r>
                      <w:r>
                        <w:rPr>
                          <w:spacing w:val="-10"/>
                        </w:rPr>
                        <w:t> </w:t>
                      </w:r>
                      <w:r>
                        <w:rPr/>
                        <w:t>inicialmente</w:t>
                      </w:r>
                      <w:r>
                        <w:rPr>
                          <w:spacing w:val="-11"/>
                        </w:rPr>
                        <w:t> </w:t>
                      </w:r>
                      <w:r>
                        <w:rPr/>
                        <w:t>como</w:t>
                      </w:r>
                      <w:r>
                        <w:rPr>
                          <w:spacing w:val="-12"/>
                        </w:rPr>
                        <w:t> </w:t>
                      </w:r>
                      <w:r>
                        <w:rPr/>
                        <w:t>un</w:t>
                      </w:r>
                      <w:r>
                        <w:rPr>
                          <w:spacing w:val="-10"/>
                        </w:rPr>
                        <w:t> </w:t>
                      </w:r>
                      <w:r>
                        <w:rPr/>
                        <w:t>pasivo</w:t>
                      </w:r>
                      <w:r>
                        <w:rPr>
                          <w:spacing w:val="-10"/>
                        </w:rPr>
                        <w:t> </w:t>
                      </w:r>
                      <w:r>
                        <w:rPr/>
                        <w:t>hasta</w:t>
                      </w:r>
                      <w:r>
                        <w:rPr>
                          <w:spacing w:val="-11"/>
                        </w:rPr>
                        <w:t> </w:t>
                      </w:r>
                      <w:r>
                        <w:rPr/>
                        <w:t>que</w:t>
                      </w:r>
                      <w:r>
                        <w:rPr>
                          <w:spacing w:val="-12"/>
                        </w:rPr>
                        <w:t> </w:t>
                      </w:r>
                      <w:r>
                        <w:rPr/>
                        <w:t>se</w:t>
                      </w:r>
                      <w:r>
                        <w:rPr>
                          <w:spacing w:val="-12"/>
                        </w:rPr>
                        <w:t> </w:t>
                      </w:r>
                      <w:r>
                        <w:rPr/>
                        <w:t>cumpla el hecho que permita su devengo como ingreso.</w:t>
                      </w:r>
                    </w:p>
                    <w:p>
                      <w:pPr>
                        <w:pStyle w:val="BodyText"/>
                        <w:spacing w:line="276" w:lineRule="auto" w:before="121"/>
                        <w:ind w:left="103" w:right="99"/>
                        <w:jc w:val="both"/>
                      </w:pPr>
                      <w:r>
                        <w:rPr/>
                        <w:t>Por otra parte, cuando corresponde a transacciones que originen gastos, estos se reconocen en el momento en que se produce la disminución de los beneficios económicos futuros o del potencial de</w:t>
                      </w:r>
                      <w:r>
                        <w:rPr>
                          <w:spacing w:val="-11"/>
                        </w:rPr>
                        <w:t> </w:t>
                      </w:r>
                      <w:r>
                        <w:rPr/>
                        <w:t>servicio,</w:t>
                      </w:r>
                      <w:r>
                        <w:rPr>
                          <w:spacing w:val="-9"/>
                        </w:rPr>
                        <w:t> </w:t>
                      </w:r>
                      <w:r>
                        <w:rPr/>
                        <w:t>derivada</w:t>
                      </w:r>
                      <w:r>
                        <w:rPr>
                          <w:spacing w:val="-8"/>
                        </w:rPr>
                        <w:t> </w:t>
                      </w:r>
                      <w:r>
                        <w:rPr/>
                        <w:t>del</w:t>
                      </w:r>
                      <w:r>
                        <w:rPr>
                          <w:spacing w:val="-8"/>
                        </w:rPr>
                        <w:t> </w:t>
                      </w:r>
                      <w:r>
                        <w:rPr/>
                        <w:t>consumo</w:t>
                      </w:r>
                      <w:r>
                        <w:rPr>
                          <w:spacing w:val="-9"/>
                        </w:rPr>
                        <w:t> </w:t>
                      </w:r>
                      <w:r>
                        <w:rPr/>
                        <w:t>de</w:t>
                      </w:r>
                      <w:r>
                        <w:rPr>
                          <w:spacing w:val="-11"/>
                        </w:rPr>
                        <w:t> </w:t>
                      </w:r>
                      <w:r>
                        <w:rPr/>
                        <w:t>activos</w:t>
                      </w:r>
                      <w:r>
                        <w:rPr>
                          <w:spacing w:val="-8"/>
                        </w:rPr>
                        <w:t> </w:t>
                      </w:r>
                      <w:r>
                        <w:rPr/>
                        <w:t>o</w:t>
                      </w:r>
                      <w:r>
                        <w:rPr>
                          <w:spacing w:val="-9"/>
                        </w:rPr>
                        <w:t> </w:t>
                      </w:r>
                      <w:r>
                        <w:rPr/>
                        <w:t>del</w:t>
                      </w:r>
                      <w:r>
                        <w:rPr>
                          <w:spacing w:val="-10"/>
                        </w:rPr>
                        <w:t> </w:t>
                      </w:r>
                      <w:r>
                        <w:rPr/>
                        <w:t>surgimiento</w:t>
                      </w:r>
                      <w:r>
                        <w:rPr>
                          <w:spacing w:val="-8"/>
                        </w:rPr>
                        <w:t> </w:t>
                      </w:r>
                      <w:r>
                        <w:rPr/>
                        <w:t>de</w:t>
                      </w:r>
                      <w:r>
                        <w:rPr>
                          <w:spacing w:val="-7"/>
                        </w:rPr>
                        <w:t> </w:t>
                      </w:r>
                      <w:r>
                        <w:rPr/>
                        <w:t>obligaciones,</w:t>
                      </w:r>
                      <w:r>
                        <w:rPr>
                          <w:spacing w:val="-9"/>
                        </w:rPr>
                        <w:t> </w:t>
                      </w:r>
                      <w:r>
                        <w:rPr/>
                        <w:t>y</w:t>
                      </w:r>
                      <w:r>
                        <w:rPr>
                          <w:spacing w:val="-11"/>
                        </w:rPr>
                        <w:t> </w:t>
                      </w:r>
                      <w:r>
                        <w:rPr/>
                        <w:t>cuando</w:t>
                      </w:r>
                      <w:r>
                        <w:rPr>
                          <w:spacing w:val="-9"/>
                        </w:rPr>
                        <w:t> </w:t>
                      </w:r>
                      <w:r>
                        <w:rPr/>
                        <w:t>su</w:t>
                      </w:r>
                      <w:r>
                        <w:rPr>
                          <w:spacing w:val="-10"/>
                        </w:rPr>
                        <w:t> </w:t>
                      </w:r>
                      <w:r>
                        <w:rPr/>
                        <w:t>importe pueda ser determinado de forma fiable.</w:t>
                      </w:r>
                      <w:r>
                        <w:rPr>
                          <w:spacing w:val="40"/>
                        </w:rPr>
                        <w:t> </w:t>
                      </w:r>
                      <w:r>
                        <w:rPr/>
                        <w:t>Dentro de los gastos, la entidad reconoce principalmente aquellos asociados a remuneraciones al personal, adquisición de bienes y servicios, depreciaciones y amortizaciones, diferenciales cambiarios, transferencias, entre otros gastos de menor cuantía.</w:t>
                      </w:r>
                    </w:p>
                    <w:p>
                      <w:pPr>
                        <w:pStyle w:val="BodyText"/>
                        <w:spacing w:line="276" w:lineRule="auto" w:before="121"/>
                        <w:ind w:left="103" w:right="101"/>
                        <w:jc w:val="both"/>
                      </w:pPr>
                      <w:r>
                        <w:rPr/>
                        <w:t>La entidad establece que las políticas específicas de reconocimiento, medición y registro contable, tanto de los ingresos como de los gastos se desarrollan y detallan en las notas asociadas a cada tipo de transacción, en concordancia con las NICSP aplicables y las disposiciones técnicas emitidas por Contabilidad Nacional.</w:t>
                      </w:r>
                    </w:p>
                  </w:txbxContent>
                </v:textbox>
                <v:stroke dashstyle="solid"/>
                <w10:wrap type="topAndBottom"/>
              </v:shape>
            </w:pict>
          </mc:Fallback>
        </mc:AlternateContent>
      </w:r>
    </w:p>
    <w:p>
      <w:pPr>
        <w:pStyle w:val="BodyText"/>
        <w:spacing w:before="184"/>
      </w:pPr>
    </w:p>
    <w:p>
      <w:pPr>
        <w:pStyle w:val="Heading6"/>
        <w:numPr>
          <w:ilvl w:val="0"/>
          <w:numId w:val="13"/>
        </w:numPr>
        <w:tabs>
          <w:tab w:pos="1339" w:val="left" w:leader="none"/>
        </w:tabs>
        <w:spacing w:line="240" w:lineRule="auto" w:before="0" w:after="0"/>
        <w:ind w:left="1339" w:right="0" w:hanging="358"/>
        <w:jc w:val="left"/>
      </w:pPr>
      <w:bookmarkStart w:name="_bookmark10" w:id="11"/>
      <w:bookmarkEnd w:id="11"/>
      <w:r>
        <w:rPr>
          <w:b w:val="0"/>
        </w:rPr>
      </w:r>
      <w:r>
        <w:rPr>
          <w:color w:val="1F3762"/>
        </w:rPr>
        <w:t>Cuentas</w:t>
      </w:r>
      <w:r>
        <w:rPr>
          <w:color w:val="1F3762"/>
          <w:spacing w:val="-3"/>
        </w:rPr>
        <w:t> </w:t>
      </w:r>
      <w:r>
        <w:rPr>
          <w:color w:val="1F3762"/>
        </w:rPr>
        <w:t>por</w:t>
      </w:r>
      <w:r>
        <w:rPr>
          <w:color w:val="1F3762"/>
          <w:spacing w:val="-2"/>
        </w:rPr>
        <w:t> </w:t>
      </w:r>
      <w:r>
        <w:rPr>
          <w:color w:val="1F3762"/>
        </w:rPr>
        <w:t>cobrar</w:t>
      </w:r>
      <w:r>
        <w:rPr>
          <w:color w:val="1F3762"/>
          <w:spacing w:val="-2"/>
        </w:rPr>
        <w:t> </w:t>
      </w:r>
      <w:r>
        <w:rPr>
          <w:color w:val="1F3762"/>
        </w:rPr>
        <w:t>y</w:t>
      </w:r>
      <w:r>
        <w:rPr>
          <w:color w:val="1F3762"/>
          <w:spacing w:val="-4"/>
        </w:rPr>
        <w:t> </w:t>
      </w:r>
      <w:r>
        <w:rPr>
          <w:color w:val="1F3762"/>
        </w:rPr>
        <w:t>cuentas</w:t>
      </w:r>
      <w:r>
        <w:rPr>
          <w:color w:val="1F3762"/>
          <w:spacing w:val="-1"/>
        </w:rPr>
        <w:t> </w:t>
      </w:r>
      <w:r>
        <w:rPr>
          <w:color w:val="1F3762"/>
        </w:rPr>
        <w:t>por</w:t>
      </w:r>
      <w:r>
        <w:rPr>
          <w:color w:val="1F3762"/>
          <w:spacing w:val="-2"/>
        </w:rPr>
        <w:t> pagar.</w:t>
      </w:r>
    </w:p>
    <w:p>
      <w:pPr>
        <w:pStyle w:val="BodyText"/>
        <w:spacing w:before="10"/>
        <w:rPr>
          <w:b/>
          <w:sz w:val="8"/>
        </w:rPr>
      </w:pPr>
      <w:r>
        <w:rPr>
          <w:b/>
          <w:sz w:val="8"/>
        </w:rPr>
        <mc:AlternateContent>
          <mc:Choice Requires="wps">
            <w:drawing>
              <wp:anchor distT="0" distB="0" distL="0" distR="0" allowOverlap="1" layoutInCell="1" locked="0" behindDoc="1" simplePos="0" relativeHeight="487601152">
                <wp:simplePos x="0" y="0"/>
                <wp:positionH relativeFrom="page">
                  <wp:posOffset>1083868</wp:posOffset>
                </wp:positionH>
                <wp:positionV relativeFrom="paragraph">
                  <wp:posOffset>82708</wp:posOffset>
                </wp:positionV>
                <wp:extent cx="5607050" cy="3350260"/>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5607050" cy="3350260"/>
                        </a:xfrm>
                        <a:prstGeom prst="rect">
                          <a:avLst/>
                        </a:prstGeom>
                        <a:ln w="6095">
                          <a:solidFill>
                            <a:srgbClr val="000000"/>
                          </a:solidFill>
                          <a:prstDash val="solid"/>
                        </a:ln>
                      </wps:spPr>
                      <wps:txbx>
                        <w:txbxContent>
                          <w:p>
                            <w:pPr>
                              <w:pStyle w:val="BodyText"/>
                              <w:ind w:right="7708"/>
                              <w:jc w:val="right"/>
                            </w:pPr>
                            <w:r>
                              <w:rPr>
                                <w:spacing w:val="-2"/>
                              </w:rPr>
                              <w:t>Revelación:</w:t>
                            </w:r>
                          </w:p>
                          <w:p>
                            <w:pPr>
                              <w:pStyle w:val="BodyText"/>
                              <w:spacing w:before="181"/>
                              <w:ind w:right="1770"/>
                              <w:jc w:val="right"/>
                            </w:pPr>
                            <w:r>
                              <w:rPr/>
                              <w:t>Las</w:t>
                            </w:r>
                            <w:r>
                              <w:rPr>
                                <w:spacing w:val="-4"/>
                              </w:rPr>
                              <w:t> </w:t>
                            </w:r>
                            <w:r>
                              <w:rPr/>
                              <w:t>cuentas</w:t>
                            </w:r>
                            <w:r>
                              <w:rPr>
                                <w:spacing w:val="-3"/>
                              </w:rPr>
                              <w:t> </w:t>
                            </w:r>
                            <w:r>
                              <w:rPr/>
                              <w:t>por</w:t>
                            </w:r>
                            <w:r>
                              <w:rPr>
                                <w:spacing w:val="-3"/>
                              </w:rPr>
                              <w:t> </w:t>
                            </w:r>
                            <w:r>
                              <w:rPr/>
                              <w:t>cobrar</w:t>
                            </w:r>
                            <w:r>
                              <w:rPr>
                                <w:spacing w:val="-3"/>
                              </w:rPr>
                              <w:t> </w:t>
                            </w:r>
                            <w:r>
                              <w:rPr/>
                              <w:t>a</w:t>
                            </w:r>
                            <w:r>
                              <w:rPr>
                                <w:spacing w:val="-4"/>
                              </w:rPr>
                              <w:t> </w:t>
                            </w:r>
                            <w:r>
                              <w:rPr/>
                              <w:t>favor</w:t>
                            </w:r>
                            <w:r>
                              <w:rPr>
                                <w:spacing w:val="-3"/>
                              </w:rPr>
                              <w:t> </w:t>
                            </w:r>
                            <w:r>
                              <w:rPr/>
                              <w:t>de</w:t>
                            </w:r>
                            <w:r>
                              <w:rPr>
                                <w:spacing w:val="-5"/>
                              </w:rPr>
                              <w:t> </w:t>
                            </w:r>
                            <w:r>
                              <w:rPr/>
                              <w:t>una</w:t>
                            </w:r>
                            <w:r>
                              <w:rPr>
                                <w:spacing w:val="-4"/>
                              </w:rPr>
                              <w:t> </w:t>
                            </w:r>
                            <w:r>
                              <w:rPr/>
                              <w:t>entidad</w:t>
                            </w:r>
                            <w:r>
                              <w:rPr>
                                <w:spacing w:val="-3"/>
                              </w:rPr>
                              <w:t> </w:t>
                            </w:r>
                            <w:r>
                              <w:rPr/>
                              <w:t>gubernamental</w:t>
                            </w:r>
                            <w:r>
                              <w:rPr>
                                <w:spacing w:val="-4"/>
                              </w:rPr>
                              <w:t> </w:t>
                            </w:r>
                            <w:r>
                              <w:rPr/>
                              <w:t>se</w:t>
                            </w:r>
                            <w:r>
                              <w:rPr>
                                <w:spacing w:val="-3"/>
                              </w:rPr>
                              <w:t> </w:t>
                            </w:r>
                            <w:r>
                              <w:rPr>
                                <w:spacing w:val="-2"/>
                              </w:rPr>
                              <w:t>reconocen:</w:t>
                            </w:r>
                          </w:p>
                          <w:p>
                            <w:pPr>
                              <w:pStyle w:val="BodyText"/>
                              <w:numPr>
                                <w:ilvl w:val="0"/>
                                <w:numId w:val="16"/>
                              </w:numPr>
                              <w:tabs>
                                <w:tab w:pos="1009" w:val="left" w:leader="none"/>
                              </w:tabs>
                              <w:spacing w:line="250" w:lineRule="exact" w:before="160" w:after="0"/>
                              <w:ind w:left="1009" w:right="0" w:hanging="225"/>
                              <w:jc w:val="both"/>
                            </w:pPr>
                            <w:r>
                              <w:rPr/>
                              <w:t>cuando</w:t>
                            </w:r>
                            <w:r>
                              <w:rPr>
                                <w:spacing w:val="-4"/>
                              </w:rPr>
                              <w:t> </w:t>
                            </w:r>
                            <w:r>
                              <w:rPr/>
                              <w:t>se</w:t>
                            </w:r>
                            <w:r>
                              <w:rPr>
                                <w:spacing w:val="-3"/>
                              </w:rPr>
                              <w:t> </w:t>
                            </w:r>
                            <w:r>
                              <w:rPr/>
                              <w:t>ha</w:t>
                            </w:r>
                            <w:r>
                              <w:rPr>
                                <w:spacing w:val="-3"/>
                              </w:rPr>
                              <w:t> </w:t>
                            </w:r>
                            <w:r>
                              <w:rPr/>
                              <w:t>devengado</w:t>
                            </w:r>
                            <w:r>
                              <w:rPr>
                                <w:spacing w:val="-2"/>
                              </w:rPr>
                              <w:t> </w:t>
                            </w:r>
                            <w:r>
                              <w:rPr/>
                              <w:t>el</w:t>
                            </w:r>
                            <w:r>
                              <w:rPr>
                                <w:spacing w:val="-5"/>
                              </w:rPr>
                              <w:t> </w:t>
                            </w:r>
                            <w:r>
                              <w:rPr/>
                              <w:t>hecho</w:t>
                            </w:r>
                            <w:r>
                              <w:rPr>
                                <w:spacing w:val="-1"/>
                              </w:rPr>
                              <w:t> </w:t>
                            </w:r>
                            <w:r>
                              <w:rPr/>
                              <w:t>imponible</w:t>
                            </w:r>
                            <w:r>
                              <w:rPr>
                                <w:spacing w:val="-4"/>
                              </w:rPr>
                              <w:t> </w:t>
                            </w:r>
                            <w:r>
                              <w:rPr/>
                              <w:t>generador</w:t>
                            </w:r>
                            <w:r>
                              <w:rPr>
                                <w:spacing w:val="-4"/>
                              </w:rPr>
                              <w:t> </w:t>
                            </w:r>
                            <w:r>
                              <w:rPr/>
                              <w:t>de</w:t>
                            </w:r>
                            <w:r>
                              <w:rPr>
                                <w:spacing w:val="-4"/>
                              </w:rPr>
                              <w:t> </w:t>
                            </w:r>
                            <w:r>
                              <w:rPr/>
                              <w:t>un</w:t>
                            </w:r>
                            <w:r>
                              <w:rPr>
                                <w:spacing w:val="-1"/>
                              </w:rPr>
                              <w:t> </w:t>
                            </w:r>
                            <w:r>
                              <w:rPr>
                                <w:spacing w:val="-2"/>
                              </w:rPr>
                              <w:t>impuesto;</w:t>
                            </w:r>
                          </w:p>
                          <w:p>
                            <w:pPr>
                              <w:pStyle w:val="BodyText"/>
                              <w:numPr>
                                <w:ilvl w:val="0"/>
                                <w:numId w:val="16"/>
                              </w:numPr>
                              <w:tabs>
                                <w:tab w:pos="1008" w:val="left" w:leader="none"/>
                                <w:tab w:pos="1010" w:val="left" w:leader="none"/>
                              </w:tabs>
                              <w:spacing w:line="240" w:lineRule="auto" w:before="0" w:after="0"/>
                              <w:ind w:left="1010" w:right="104" w:hanging="226"/>
                              <w:jc w:val="both"/>
                            </w:pPr>
                            <w:r>
                              <w:rPr/>
                              <w:t>cuando existen obligaciones contraídas por terceros en concepto de aportes y contribu-ciones de los sectores privado y público a los distintos regímenes de prestación de la se-guridad social, desarrollo y asistencia social;</w:t>
                            </w:r>
                          </w:p>
                          <w:p>
                            <w:pPr>
                              <w:pStyle w:val="BodyText"/>
                              <w:numPr>
                                <w:ilvl w:val="0"/>
                                <w:numId w:val="16"/>
                              </w:numPr>
                              <w:tabs>
                                <w:tab w:pos="1008" w:val="left" w:leader="none"/>
                              </w:tabs>
                              <w:spacing w:line="250" w:lineRule="exact" w:before="0" w:after="0"/>
                              <w:ind w:left="1008" w:right="0" w:hanging="224"/>
                              <w:jc w:val="both"/>
                            </w:pPr>
                            <w:r>
                              <w:rPr/>
                              <w:t>por</w:t>
                            </w:r>
                            <w:r>
                              <w:rPr>
                                <w:spacing w:val="-2"/>
                              </w:rPr>
                              <w:t> </w:t>
                            </w:r>
                            <w:r>
                              <w:rPr/>
                              <w:t>la</w:t>
                            </w:r>
                            <w:r>
                              <w:rPr>
                                <w:spacing w:val="-3"/>
                              </w:rPr>
                              <w:t> </w:t>
                            </w:r>
                            <w:r>
                              <w:rPr/>
                              <w:t>venta</w:t>
                            </w:r>
                            <w:r>
                              <w:rPr>
                                <w:spacing w:val="-2"/>
                              </w:rPr>
                              <w:t> </w:t>
                            </w:r>
                            <w:r>
                              <w:rPr/>
                              <w:t>de</w:t>
                            </w:r>
                            <w:r>
                              <w:rPr>
                                <w:spacing w:val="-3"/>
                              </w:rPr>
                              <w:t> </w:t>
                            </w:r>
                            <w:r>
                              <w:rPr/>
                              <w:t>bienes</w:t>
                            </w:r>
                            <w:r>
                              <w:rPr>
                                <w:spacing w:val="-1"/>
                              </w:rPr>
                              <w:t> </w:t>
                            </w:r>
                            <w:r>
                              <w:rPr/>
                              <w:t>y</w:t>
                            </w:r>
                            <w:r>
                              <w:rPr>
                                <w:spacing w:val="-3"/>
                              </w:rPr>
                              <w:t> </w:t>
                            </w:r>
                            <w:r>
                              <w:rPr/>
                              <w:t>servicios de</w:t>
                            </w:r>
                            <w:r>
                              <w:rPr>
                                <w:spacing w:val="-4"/>
                              </w:rPr>
                              <w:t> </w:t>
                            </w:r>
                            <w:r>
                              <w:rPr/>
                              <w:t>la</w:t>
                            </w:r>
                            <w:r>
                              <w:rPr>
                                <w:spacing w:val="-3"/>
                              </w:rPr>
                              <w:t> </w:t>
                            </w:r>
                            <w:r>
                              <w:rPr>
                                <w:spacing w:val="-2"/>
                              </w:rPr>
                              <w:t>entidad;</w:t>
                            </w:r>
                          </w:p>
                          <w:p>
                            <w:pPr>
                              <w:pStyle w:val="BodyText"/>
                              <w:numPr>
                                <w:ilvl w:val="0"/>
                                <w:numId w:val="16"/>
                              </w:numPr>
                              <w:tabs>
                                <w:tab w:pos="1008" w:val="left" w:leader="none"/>
                              </w:tabs>
                              <w:spacing w:line="250" w:lineRule="exact" w:before="0" w:after="0"/>
                              <w:ind w:left="1008" w:right="0" w:hanging="224"/>
                              <w:jc w:val="both"/>
                            </w:pPr>
                            <w:r>
                              <w:rPr/>
                              <w:t>por</w:t>
                            </w:r>
                            <w:r>
                              <w:rPr>
                                <w:spacing w:val="-3"/>
                              </w:rPr>
                              <w:t> </w:t>
                            </w:r>
                            <w:r>
                              <w:rPr/>
                              <w:t>los</w:t>
                            </w:r>
                            <w:r>
                              <w:rPr>
                                <w:spacing w:val="-2"/>
                              </w:rPr>
                              <w:t> </w:t>
                            </w:r>
                            <w:r>
                              <w:rPr/>
                              <w:t>anticipos</w:t>
                            </w:r>
                            <w:r>
                              <w:rPr>
                                <w:spacing w:val="-1"/>
                              </w:rPr>
                              <w:t> </w:t>
                            </w:r>
                            <w:r>
                              <w:rPr>
                                <w:spacing w:val="-2"/>
                              </w:rPr>
                              <w:t>entregados;</w:t>
                            </w:r>
                          </w:p>
                          <w:p>
                            <w:pPr>
                              <w:spacing w:before="1"/>
                              <w:ind w:left="0" w:right="7645" w:firstLine="0"/>
                              <w:jc w:val="right"/>
                              <w:rPr>
                                <w:sz w:val="22"/>
                              </w:rPr>
                            </w:pPr>
                            <w:r>
                              <w:rPr>
                                <w:spacing w:val="-10"/>
                                <w:sz w:val="22"/>
                              </w:rPr>
                              <w:t>…</w:t>
                            </w:r>
                          </w:p>
                          <w:p>
                            <w:pPr>
                              <w:pStyle w:val="BodyText"/>
                              <w:spacing w:before="162"/>
                              <w:ind w:left="875"/>
                            </w:pPr>
                            <w:r>
                              <w:rPr/>
                              <w:t>h)</w:t>
                            </w:r>
                            <w:r>
                              <w:rPr>
                                <w:spacing w:val="-8"/>
                              </w:rPr>
                              <w:t> </w:t>
                            </w:r>
                            <w:r>
                              <w:rPr/>
                              <w:t>por</w:t>
                            </w:r>
                            <w:r>
                              <w:rPr>
                                <w:spacing w:val="-6"/>
                              </w:rPr>
                              <w:t> </w:t>
                            </w:r>
                            <w:r>
                              <w:rPr/>
                              <w:t>el</w:t>
                            </w:r>
                            <w:r>
                              <w:rPr>
                                <w:spacing w:val="-9"/>
                              </w:rPr>
                              <w:t> </w:t>
                            </w:r>
                            <w:r>
                              <w:rPr/>
                              <w:t>otorgamiento</w:t>
                            </w:r>
                            <w:r>
                              <w:rPr>
                                <w:spacing w:val="-5"/>
                              </w:rPr>
                              <w:t> </w:t>
                            </w:r>
                            <w:r>
                              <w:rPr/>
                              <w:t>de</w:t>
                            </w:r>
                            <w:r>
                              <w:rPr>
                                <w:spacing w:val="-7"/>
                              </w:rPr>
                              <w:t> </w:t>
                            </w:r>
                            <w:r>
                              <w:rPr/>
                              <w:t>nuevos</w:t>
                            </w:r>
                            <w:r>
                              <w:rPr>
                                <w:spacing w:val="-6"/>
                              </w:rPr>
                              <w:t> </w:t>
                            </w:r>
                            <w:r>
                              <w:rPr/>
                              <w:t>plazos</w:t>
                            </w:r>
                            <w:r>
                              <w:rPr>
                                <w:spacing w:val="-5"/>
                              </w:rPr>
                              <w:t> </w:t>
                            </w:r>
                            <w:r>
                              <w:rPr/>
                              <w:t>para</w:t>
                            </w:r>
                            <w:r>
                              <w:rPr>
                                <w:spacing w:val="-6"/>
                              </w:rPr>
                              <w:t> </w:t>
                            </w:r>
                            <w:r>
                              <w:rPr/>
                              <w:t>el</w:t>
                            </w:r>
                            <w:r>
                              <w:rPr>
                                <w:spacing w:val="-9"/>
                              </w:rPr>
                              <w:t> </w:t>
                            </w:r>
                            <w:r>
                              <w:rPr/>
                              <w:t>cobro</w:t>
                            </w:r>
                            <w:r>
                              <w:rPr>
                                <w:spacing w:val="-7"/>
                              </w:rPr>
                              <w:t> </w:t>
                            </w:r>
                            <w:r>
                              <w:rPr/>
                              <w:t>de</w:t>
                            </w:r>
                            <w:r>
                              <w:rPr>
                                <w:spacing w:val="-7"/>
                              </w:rPr>
                              <w:t> </w:t>
                            </w:r>
                            <w:r>
                              <w:rPr/>
                              <w:t>cuentas</w:t>
                            </w:r>
                            <w:r>
                              <w:rPr>
                                <w:spacing w:val="-5"/>
                              </w:rPr>
                              <w:t> </w:t>
                            </w:r>
                            <w:r>
                              <w:rPr/>
                              <w:t>por</w:t>
                            </w:r>
                            <w:r>
                              <w:rPr>
                                <w:spacing w:val="-6"/>
                              </w:rPr>
                              <w:t> </w:t>
                            </w:r>
                            <w:r>
                              <w:rPr/>
                              <w:t>cobrar</w:t>
                            </w:r>
                            <w:r>
                              <w:rPr>
                                <w:spacing w:val="-5"/>
                              </w:rPr>
                              <w:t> </w:t>
                            </w:r>
                            <w:r>
                              <w:rPr>
                                <w:spacing w:val="-2"/>
                              </w:rPr>
                              <w:t>preexistentes;</w:t>
                            </w:r>
                          </w:p>
                          <w:p>
                            <w:pPr>
                              <w:pStyle w:val="BodyText"/>
                              <w:numPr>
                                <w:ilvl w:val="1"/>
                                <w:numId w:val="16"/>
                              </w:numPr>
                              <w:tabs>
                                <w:tab w:pos="118" w:val="left" w:leader="none"/>
                              </w:tabs>
                              <w:spacing w:line="240" w:lineRule="auto" w:before="160" w:after="0"/>
                              <w:ind w:left="118" w:right="1835" w:hanging="118"/>
                              <w:jc w:val="right"/>
                            </w:pPr>
                            <w:r>
                              <w:rPr/>
                              <w:t>por</w:t>
                            </w:r>
                            <w:r>
                              <w:rPr>
                                <w:spacing w:val="-6"/>
                              </w:rPr>
                              <w:t> </w:t>
                            </w:r>
                            <w:r>
                              <w:rPr/>
                              <w:t>el</w:t>
                            </w:r>
                            <w:r>
                              <w:rPr>
                                <w:spacing w:val="-4"/>
                              </w:rPr>
                              <w:t> </w:t>
                            </w:r>
                            <w:r>
                              <w:rPr/>
                              <w:t>devengamiento</w:t>
                            </w:r>
                            <w:r>
                              <w:rPr>
                                <w:spacing w:val="-3"/>
                              </w:rPr>
                              <w:t> </w:t>
                            </w:r>
                            <w:r>
                              <w:rPr/>
                              <w:t>del</w:t>
                            </w:r>
                            <w:r>
                              <w:rPr>
                                <w:spacing w:val="-6"/>
                              </w:rPr>
                              <w:t> </w:t>
                            </w:r>
                            <w:r>
                              <w:rPr/>
                              <w:t>derecho</w:t>
                            </w:r>
                            <w:r>
                              <w:rPr>
                                <w:spacing w:val="-4"/>
                              </w:rPr>
                              <w:t> </w:t>
                            </w:r>
                            <w:r>
                              <w:rPr/>
                              <w:t>al</w:t>
                            </w:r>
                            <w:r>
                              <w:rPr>
                                <w:spacing w:val="-4"/>
                              </w:rPr>
                              <w:t> </w:t>
                            </w:r>
                            <w:r>
                              <w:rPr/>
                              <w:t>cobro</w:t>
                            </w:r>
                            <w:r>
                              <w:rPr>
                                <w:spacing w:val="-3"/>
                              </w:rPr>
                              <w:t> </w:t>
                            </w:r>
                            <w:r>
                              <w:rPr/>
                              <w:t>impositivo</w:t>
                            </w:r>
                            <w:r>
                              <w:rPr>
                                <w:spacing w:val="-6"/>
                              </w:rPr>
                              <w:t> </w:t>
                            </w:r>
                            <w:r>
                              <w:rPr/>
                              <w:t>o</w:t>
                            </w:r>
                            <w:r>
                              <w:rPr>
                                <w:spacing w:val="-4"/>
                              </w:rPr>
                              <w:t> </w:t>
                            </w:r>
                            <w:r>
                              <w:rPr/>
                              <w:t>contractual;</w:t>
                            </w:r>
                            <w:r>
                              <w:rPr>
                                <w:spacing w:val="-3"/>
                              </w:rPr>
                              <w:t> </w:t>
                            </w:r>
                            <w:r>
                              <w:rPr>
                                <w:spacing w:val="-10"/>
                              </w:rPr>
                              <w:t>y</w:t>
                            </w:r>
                          </w:p>
                          <w:p>
                            <w:pPr>
                              <w:pStyle w:val="BodyText"/>
                              <w:numPr>
                                <w:ilvl w:val="1"/>
                                <w:numId w:val="16"/>
                              </w:numPr>
                              <w:tabs>
                                <w:tab w:pos="894" w:val="left" w:leader="none"/>
                              </w:tabs>
                              <w:spacing w:line="240" w:lineRule="auto" w:before="159" w:after="0"/>
                              <w:ind w:left="894" w:right="0" w:hanging="110"/>
                              <w:jc w:val="left"/>
                            </w:pPr>
                            <w:r>
                              <w:rPr/>
                              <w:t>por</w:t>
                            </w:r>
                            <w:r>
                              <w:rPr>
                                <w:spacing w:val="-4"/>
                              </w:rPr>
                              <w:t> </w:t>
                            </w:r>
                            <w:r>
                              <w:rPr/>
                              <w:t>el</w:t>
                            </w:r>
                            <w:r>
                              <w:rPr>
                                <w:spacing w:val="-4"/>
                              </w:rPr>
                              <w:t> </w:t>
                            </w:r>
                            <w:r>
                              <w:rPr/>
                              <w:t>compromiso</w:t>
                            </w:r>
                            <w:r>
                              <w:rPr>
                                <w:spacing w:val="-6"/>
                              </w:rPr>
                              <w:t> </w:t>
                            </w:r>
                            <w:r>
                              <w:rPr/>
                              <w:t>formalizado</w:t>
                            </w:r>
                            <w:r>
                              <w:rPr>
                                <w:spacing w:val="-3"/>
                              </w:rPr>
                              <w:t> </w:t>
                            </w:r>
                            <w:r>
                              <w:rPr/>
                              <w:t>de</w:t>
                            </w:r>
                            <w:r>
                              <w:rPr>
                                <w:spacing w:val="-6"/>
                              </w:rPr>
                              <w:t> </w:t>
                            </w:r>
                            <w:r>
                              <w:rPr/>
                              <w:t>transferencia</w:t>
                            </w:r>
                            <w:r>
                              <w:rPr>
                                <w:spacing w:val="-5"/>
                              </w:rPr>
                              <w:t> </w:t>
                            </w:r>
                            <w:r>
                              <w:rPr/>
                              <w:t>de</w:t>
                            </w:r>
                            <w:r>
                              <w:rPr>
                                <w:spacing w:val="-5"/>
                              </w:rPr>
                              <w:t> </w:t>
                            </w:r>
                            <w:r>
                              <w:rPr>
                                <w:spacing w:val="-2"/>
                              </w:rPr>
                              <w:t>fondos.</w:t>
                            </w:r>
                          </w:p>
                          <w:p>
                            <w:pPr>
                              <w:pStyle w:val="BodyText"/>
                              <w:spacing w:line="276" w:lineRule="auto" w:before="160"/>
                              <w:ind w:left="103" w:right="100"/>
                              <w:jc w:val="both"/>
                            </w:pPr>
                            <w:r>
                              <w:rPr/>
                              <w:t>La entidad reconoce como cuentas por cobrar los derechos exigibles frente a terceros que surgen como</w:t>
                            </w:r>
                            <w:r>
                              <w:rPr>
                                <w:spacing w:val="-9"/>
                              </w:rPr>
                              <w:t> </w:t>
                            </w:r>
                            <w:r>
                              <w:rPr/>
                              <w:t>consecuencia</w:t>
                            </w:r>
                            <w:r>
                              <w:rPr>
                                <w:spacing w:val="-10"/>
                              </w:rPr>
                              <w:t> </w:t>
                            </w:r>
                            <w:r>
                              <w:rPr/>
                              <w:t>de</w:t>
                            </w:r>
                            <w:r>
                              <w:rPr>
                                <w:spacing w:val="-11"/>
                              </w:rPr>
                              <w:t> </w:t>
                            </w:r>
                            <w:r>
                              <w:rPr/>
                              <w:t>transacciones</w:t>
                            </w:r>
                            <w:r>
                              <w:rPr>
                                <w:spacing w:val="-9"/>
                              </w:rPr>
                              <w:t> </w:t>
                            </w:r>
                            <w:r>
                              <w:rPr/>
                              <w:t>pasadas</w:t>
                            </w:r>
                            <w:r>
                              <w:rPr>
                                <w:spacing w:val="-9"/>
                              </w:rPr>
                              <w:t> </w:t>
                            </w:r>
                            <w:r>
                              <w:rPr/>
                              <w:t>y</w:t>
                            </w:r>
                            <w:r>
                              <w:rPr>
                                <w:spacing w:val="-13"/>
                              </w:rPr>
                              <w:t> </w:t>
                            </w:r>
                            <w:r>
                              <w:rPr/>
                              <w:t>que</w:t>
                            </w:r>
                            <w:r>
                              <w:rPr>
                                <w:spacing w:val="-11"/>
                              </w:rPr>
                              <w:t> </w:t>
                            </w:r>
                            <w:r>
                              <w:rPr/>
                              <w:t>otorgan</w:t>
                            </w:r>
                            <w:r>
                              <w:rPr>
                                <w:spacing w:val="-10"/>
                              </w:rPr>
                              <w:t> </w:t>
                            </w:r>
                            <w:r>
                              <w:rPr/>
                              <w:t>a</w:t>
                            </w:r>
                            <w:r>
                              <w:rPr>
                                <w:spacing w:val="-10"/>
                              </w:rPr>
                              <w:t> </w:t>
                            </w:r>
                            <w:r>
                              <w:rPr/>
                              <w:t>la</w:t>
                            </w:r>
                            <w:r>
                              <w:rPr>
                                <w:spacing w:val="-11"/>
                              </w:rPr>
                              <w:t> </w:t>
                            </w:r>
                            <w:r>
                              <w:rPr/>
                              <w:t>institución</w:t>
                            </w:r>
                            <w:r>
                              <w:rPr>
                                <w:spacing w:val="-9"/>
                              </w:rPr>
                              <w:t> </w:t>
                            </w:r>
                            <w:r>
                              <w:rPr/>
                              <w:t>la</w:t>
                            </w:r>
                            <w:r>
                              <w:rPr>
                                <w:spacing w:val="-11"/>
                              </w:rPr>
                              <w:t> </w:t>
                            </w:r>
                            <w:r>
                              <w:rPr/>
                              <w:t>facultad</w:t>
                            </w:r>
                            <w:r>
                              <w:rPr>
                                <w:spacing w:val="-10"/>
                              </w:rPr>
                              <w:t> </w:t>
                            </w:r>
                            <w:r>
                              <w:rPr/>
                              <w:t>legal</w:t>
                            </w:r>
                            <w:r>
                              <w:rPr>
                                <w:spacing w:val="-11"/>
                              </w:rPr>
                              <w:t> </w:t>
                            </w:r>
                            <w:r>
                              <w:rPr/>
                              <w:t>de</w:t>
                            </w:r>
                            <w:r>
                              <w:rPr>
                                <w:spacing w:val="-11"/>
                              </w:rPr>
                              <w:t> </w:t>
                            </w:r>
                            <w:r>
                              <w:rPr/>
                              <w:t>recibir efectivo</w:t>
                            </w:r>
                            <w:r>
                              <w:rPr>
                                <w:spacing w:val="-4"/>
                              </w:rPr>
                              <w:t> </w:t>
                            </w:r>
                            <w:r>
                              <w:rPr/>
                              <w:t>u</w:t>
                            </w:r>
                            <w:r>
                              <w:rPr>
                                <w:spacing w:val="-5"/>
                              </w:rPr>
                              <w:t> </w:t>
                            </w:r>
                            <w:r>
                              <w:rPr/>
                              <w:t>otro</w:t>
                            </w:r>
                            <w:r>
                              <w:rPr>
                                <w:spacing w:val="-4"/>
                              </w:rPr>
                              <w:t> </w:t>
                            </w:r>
                            <w:r>
                              <w:rPr/>
                              <w:t>activo</w:t>
                            </w:r>
                            <w:r>
                              <w:rPr>
                                <w:spacing w:val="-6"/>
                              </w:rPr>
                              <w:t> </w:t>
                            </w:r>
                            <w:r>
                              <w:rPr/>
                              <w:t>financiero</w:t>
                            </w:r>
                            <w:r>
                              <w:rPr>
                                <w:spacing w:val="-4"/>
                              </w:rPr>
                              <w:t> </w:t>
                            </w:r>
                            <w:r>
                              <w:rPr/>
                              <w:t>dentro</w:t>
                            </w:r>
                            <w:r>
                              <w:rPr>
                                <w:spacing w:val="-4"/>
                              </w:rPr>
                              <w:t> </w:t>
                            </w:r>
                            <w:r>
                              <w:rPr/>
                              <w:t>de</w:t>
                            </w:r>
                            <w:r>
                              <w:rPr>
                                <w:spacing w:val="-6"/>
                              </w:rPr>
                              <w:t> </w:t>
                            </w:r>
                            <w:r>
                              <w:rPr/>
                              <w:t>un</w:t>
                            </w:r>
                            <w:r>
                              <w:rPr>
                                <w:spacing w:val="-5"/>
                              </w:rPr>
                              <w:t> </w:t>
                            </w:r>
                            <w:r>
                              <w:rPr/>
                              <w:t>plazo</w:t>
                            </w:r>
                            <w:r>
                              <w:rPr>
                                <w:spacing w:val="-4"/>
                              </w:rPr>
                              <w:t> </w:t>
                            </w:r>
                            <w:r>
                              <w:rPr/>
                              <w:t>determinado,</w:t>
                            </w:r>
                            <w:r>
                              <w:rPr>
                                <w:spacing w:val="-7"/>
                              </w:rPr>
                              <w:t> </w:t>
                            </w:r>
                            <w:r>
                              <w:rPr/>
                              <w:t>generalmente</w:t>
                            </w:r>
                            <w:r>
                              <w:rPr>
                                <w:spacing w:val="-5"/>
                              </w:rPr>
                              <w:t> </w:t>
                            </w:r>
                            <w:r>
                              <w:rPr/>
                              <w:t>igual</w:t>
                            </w:r>
                            <w:r>
                              <w:rPr>
                                <w:spacing w:val="-5"/>
                              </w:rPr>
                              <w:t> </w:t>
                            </w:r>
                            <w:r>
                              <w:rPr/>
                              <w:t>o</w:t>
                            </w:r>
                            <w:r>
                              <w:rPr>
                                <w:spacing w:val="-4"/>
                              </w:rPr>
                              <w:t> </w:t>
                            </w:r>
                            <w:r>
                              <w:rPr/>
                              <w:t>inferior</w:t>
                            </w:r>
                            <w:r>
                              <w:rPr>
                                <w:spacing w:val="-5"/>
                              </w:rPr>
                              <w:t> </w:t>
                            </w:r>
                            <w:r>
                              <w:rPr/>
                              <w:t>a</w:t>
                            </w:r>
                            <w:r>
                              <w:rPr>
                                <w:spacing w:val="-5"/>
                              </w:rPr>
                              <w:t> </w:t>
                            </w:r>
                            <w:r>
                              <w:rPr/>
                              <w:t>un </w:t>
                            </w:r>
                            <w:r>
                              <w:rPr>
                                <w:spacing w:val="-4"/>
                              </w:rPr>
                              <w:t>año.</w:t>
                            </w:r>
                          </w:p>
                        </w:txbxContent>
                      </wps:txbx>
                      <wps:bodyPr wrap="square" lIns="0" tIns="0" rIns="0" bIns="0" rtlCol="0">
                        <a:noAutofit/>
                      </wps:bodyPr>
                    </wps:wsp>
                  </a:graphicData>
                </a:graphic>
              </wp:anchor>
            </w:drawing>
          </mc:Choice>
          <mc:Fallback>
            <w:pict>
              <v:shape style="position:absolute;margin-left:85.344002pt;margin-top:6.5125pt;width:441.5pt;height:263.8pt;mso-position-horizontal-relative:page;mso-position-vertical-relative:paragraph;z-index:-15715328;mso-wrap-distance-left:0;mso-wrap-distance-right:0" type="#_x0000_t202" id="docshape65" filled="false" stroked="true" strokeweight=".47998pt" strokecolor="#000000">
                <v:textbox inset="0,0,0,0">
                  <w:txbxContent>
                    <w:p>
                      <w:pPr>
                        <w:pStyle w:val="BodyText"/>
                        <w:ind w:right="7708"/>
                        <w:jc w:val="right"/>
                      </w:pPr>
                      <w:r>
                        <w:rPr>
                          <w:spacing w:val="-2"/>
                        </w:rPr>
                        <w:t>Revelación:</w:t>
                      </w:r>
                    </w:p>
                    <w:p>
                      <w:pPr>
                        <w:pStyle w:val="BodyText"/>
                        <w:spacing w:before="181"/>
                        <w:ind w:right="1770"/>
                        <w:jc w:val="right"/>
                      </w:pPr>
                      <w:r>
                        <w:rPr/>
                        <w:t>Las</w:t>
                      </w:r>
                      <w:r>
                        <w:rPr>
                          <w:spacing w:val="-4"/>
                        </w:rPr>
                        <w:t> </w:t>
                      </w:r>
                      <w:r>
                        <w:rPr/>
                        <w:t>cuentas</w:t>
                      </w:r>
                      <w:r>
                        <w:rPr>
                          <w:spacing w:val="-3"/>
                        </w:rPr>
                        <w:t> </w:t>
                      </w:r>
                      <w:r>
                        <w:rPr/>
                        <w:t>por</w:t>
                      </w:r>
                      <w:r>
                        <w:rPr>
                          <w:spacing w:val="-3"/>
                        </w:rPr>
                        <w:t> </w:t>
                      </w:r>
                      <w:r>
                        <w:rPr/>
                        <w:t>cobrar</w:t>
                      </w:r>
                      <w:r>
                        <w:rPr>
                          <w:spacing w:val="-3"/>
                        </w:rPr>
                        <w:t> </w:t>
                      </w:r>
                      <w:r>
                        <w:rPr/>
                        <w:t>a</w:t>
                      </w:r>
                      <w:r>
                        <w:rPr>
                          <w:spacing w:val="-4"/>
                        </w:rPr>
                        <w:t> </w:t>
                      </w:r>
                      <w:r>
                        <w:rPr/>
                        <w:t>favor</w:t>
                      </w:r>
                      <w:r>
                        <w:rPr>
                          <w:spacing w:val="-3"/>
                        </w:rPr>
                        <w:t> </w:t>
                      </w:r>
                      <w:r>
                        <w:rPr/>
                        <w:t>de</w:t>
                      </w:r>
                      <w:r>
                        <w:rPr>
                          <w:spacing w:val="-5"/>
                        </w:rPr>
                        <w:t> </w:t>
                      </w:r>
                      <w:r>
                        <w:rPr/>
                        <w:t>una</w:t>
                      </w:r>
                      <w:r>
                        <w:rPr>
                          <w:spacing w:val="-4"/>
                        </w:rPr>
                        <w:t> </w:t>
                      </w:r>
                      <w:r>
                        <w:rPr/>
                        <w:t>entidad</w:t>
                      </w:r>
                      <w:r>
                        <w:rPr>
                          <w:spacing w:val="-3"/>
                        </w:rPr>
                        <w:t> </w:t>
                      </w:r>
                      <w:r>
                        <w:rPr/>
                        <w:t>gubernamental</w:t>
                      </w:r>
                      <w:r>
                        <w:rPr>
                          <w:spacing w:val="-4"/>
                        </w:rPr>
                        <w:t> </w:t>
                      </w:r>
                      <w:r>
                        <w:rPr/>
                        <w:t>se</w:t>
                      </w:r>
                      <w:r>
                        <w:rPr>
                          <w:spacing w:val="-3"/>
                        </w:rPr>
                        <w:t> </w:t>
                      </w:r>
                      <w:r>
                        <w:rPr>
                          <w:spacing w:val="-2"/>
                        </w:rPr>
                        <w:t>reconocen:</w:t>
                      </w:r>
                    </w:p>
                    <w:p>
                      <w:pPr>
                        <w:pStyle w:val="BodyText"/>
                        <w:numPr>
                          <w:ilvl w:val="0"/>
                          <w:numId w:val="16"/>
                        </w:numPr>
                        <w:tabs>
                          <w:tab w:pos="1009" w:val="left" w:leader="none"/>
                        </w:tabs>
                        <w:spacing w:line="250" w:lineRule="exact" w:before="160" w:after="0"/>
                        <w:ind w:left="1009" w:right="0" w:hanging="225"/>
                        <w:jc w:val="both"/>
                      </w:pPr>
                      <w:r>
                        <w:rPr/>
                        <w:t>cuando</w:t>
                      </w:r>
                      <w:r>
                        <w:rPr>
                          <w:spacing w:val="-4"/>
                        </w:rPr>
                        <w:t> </w:t>
                      </w:r>
                      <w:r>
                        <w:rPr/>
                        <w:t>se</w:t>
                      </w:r>
                      <w:r>
                        <w:rPr>
                          <w:spacing w:val="-3"/>
                        </w:rPr>
                        <w:t> </w:t>
                      </w:r>
                      <w:r>
                        <w:rPr/>
                        <w:t>ha</w:t>
                      </w:r>
                      <w:r>
                        <w:rPr>
                          <w:spacing w:val="-3"/>
                        </w:rPr>
                        <w:t> </w:t>
                      </w:r>
                      <w:r>
                        <w:rPr/>
                        <w:t>devengado</w:t>
                      </w:r>
                      <w:r>
                        <w:rPr>
                          <w:spacing w:val="-2"/>
                        </w:rPr>
                        <w:t> </w:t>
                      </w:r>
                      <w:r>
                        <w:rPr/>
                        <w:t>el</w:t>
                      </w:r>
                      <w:r>
                        <w:rPr>
                          <w:spacing w:val="-5"/>
                        </w:rPr>
                        <w:t> </w:t>
                      </w:r>
                      <w:r>
                        <w:rPr/>
                        <w:t>hecho</w:t>
                      </w:r>
                      <w:r>
                        <w:rPr>
                          <w:spacing w:val="-1"/>
                        </w:rPr>
                        <w:t> </w:t>
                      </w:r>
                      <w:r>
                        <w:rPr/>
                        <w:t>imponible</w:t>
                      </w:r>
                      <w:r>
                        <w:rPr>
                          <w:spacing w:val="-4"/>
                        </w:rPr>
                        <w:t> </w:t>
                      </w:r>
                      <w:r>
                        <w:rPr/>
                        <w:t>generador</w:t>
                      </w:r>
                      <w:r>
                        <w:rPr>
                          <w:spacing w:val="-4"/>
                        </w:rPr>
                        <w:t> </w:t>
                      </w:r>
                      <w:r>
                        <w:rPr/>
                        <w:t>de</w:t>
                      </w:r>
                      <w:r>
                        <w:rPr>
                          <w:spacing w:val="-4"/>
                        </w:rPr>
                        <w:t> </w:t>
                      </w:r>
                      <w:r>
                        <w:rPr/>
                        <w:t>un</w:t>
                      </w:r>
                      <w:r>
                        <w:rPr>
                          <w:spacing w:val="-1"/>
                        </w:rPr>
                        <w:t> </w:t>
                      </w:r>
                      <w:r>
                        <w:rPr>
                          <w:spacing w:val="-2"/>
                        </w:rPr>
                        <w:t>impuesto;</w:t>
                      </w:r>
                    </w:p>
                    <w:p>
                      <w:pPr>
                        <w:pStyle w:val="BodyText"/>
                        <w:numPr>
                          <w:ilvl w:val="0"/>
                          <w:numId w:val="16"/>
                        </w:numPr>
                        <w:tabs>
                          <w:tab w:pos="1008" w:val="left" w:leader="none"/>
                          <w:tab w:pos="1010" w:val="left" w:leader="none"/>
                        </w:tabs>
                        <w:spacing w:line="240" w:lineRule="auto" w:before="0" w:after="0"/>
                        <w:ind w:left="1010" w:right="104" w:hanging="226"/>
                        <w:jc w:val="both"/>
                      </w:pPr>
                      <w:r>
                        <w:rPr/>
                        <w:t>cuando existen obligaciones contraídas por terceros en concepto de aportes y contribu-ciones de los sectores privado y público a los distintos regímenes de prestación de la se-guridad social, desarrollo y asistencia social;</w:t>
                      </w:r>
                    </w:p>
                    <w:p>
                      <w:pPr>
                        <w:pStyle w:val="BodyText"/>
                        <w:numPr>
                          <w:ilvl w:val="0"/>
                          <w:numId w:val="16"/>
                        </w:numPr>
                        <w:tabs>
                          <w:tab w:pos="1008" w:val="left" w:leader="none"/>
                        </w:tabs>
                        <w:spacing w:line="250" w:lineRule="exact" w:before="0" w:after="0"/>
                        <w:ind w:left="1008" w:right="0" w:hanging="224"/>
                        <w:jc w:val="both"/>
                      </w:pPr>
                      <w:r>
                        <w:rPr/>
                        <w:t>por</w:t>
                      </w:r>
                      <w:r>
                        <w:rPr>
                          <w:spacing w:val="-2"/>
                        </w:rPr>
                        <w:t> </w:t>
                      </w:r>
                      <w:r>
                        <w:rPr/>
                        <w:t>la</w:t>
                      </w:r>
                      <w:r>
                        <w:rPr>
                          <w:spacing w:val="-3"/>
                        </w:rPr>
                        <w:t> </w:t>
                      </w:r>
                      <w:r>
                        <w:rPr/>
                        <w:t>venta</w:t>
                      </w:r>
                      <w:r>
                        <w:rPr>
                          <w:spacing w:val="-2"/>
                        </w:rPr>
                        <w:t> </w:t>
                      </w:r>
                      <w:r>
                        <w:rPr/>
                        <w:t>de</w:t>
                      </w:r>
                      <w:r>
                        <w:rPr>
                          <w:spacing w:val="-3"/>
                        </w:rPr>
                        <w:t> </w:t>
                      </w:r>
                      <w:r>
                        <w:rPr/>
                        <w:t>bienes</w:t>
                      </w:r>
                      <w:r>
                        <w:rPr>
                          <w:spacing w:val="-1"/>
                        </w:rPr>
                        <w:t> </w:t>
                      </w:r>
                      <w:r>
                        <w:rPr/>
                        <w:t>y</w:t>
                      </w:r>
                      <w:r>
                        <w:rPr>
                          <w:spacing w:val="-3"/>
                        </w:rPr>
                        <w:t> </w:t>
                      </w:r>
                      <w:r>
                        <w:rPr/>
                        <w:t>servicios de</w:t>
                      </w:r>
                      <w:r>
                        <w:rPr>
                          <w:spacing w:val="-4"/>
                        </w:rPr>
                        <w:t> </w:t>
                      </w:r>
                      <w:r>
                        <w:rPr/>
                        <w:t>la</w:t>
                      </w:r>
                      <w:r>
                        <w:rPr>
                          <w:spacing w:val="-3"/>
                        </w:rPr>
                        <w:t> </w:t>
                      </w:r>
                      <w:r>
                        <w:rPr>
                          <w:spacing w:val="-2"/>
                        </w:rPr>
                        <w:t>entidad;</w:t>
                      </w:r>
                    </w:p>
                    <w:p>
                      <w:pPr>
                        <w:pStyle w:val="BodyText"/>
                        <w:numPr>
                          <w:ilvl w:val="0"/>
                          <w:numId w:val="16"/>
                        </w:numPr>
                        <w:tabs>
                          <w:tab w:pos="1008" w:val="left" w:leader="none"/>
                        </w:tabs>
                        <w:spacing w:line="250" w:lineRule="exact" w:before="0" w:after="0"/>
                        <w:ind w:left="1008" w:right="0" w:hanging="224"/>
                        <w:jc w:val="both"/>
                      </w:pPr>
                      <w:r>
                        <w:rPr/>
                        <w:t>por</w:t>
                      </w:r>
                      <w:r>
                        <w:rPr>
                          <w:spacing w:val="-3"/>
                        </w:rPr>
                        <w:t> </w:t>
                      </w:r>
                      <w:r>
                        <w:rPr/>
                        <w:t>los</w:t>
                      </w:r>
                      <w:r>
                        <w:rPr>
                          <w:spacing w:val="-2"/>
                        </w:rPr>
                        <w:t> </w:t>
                      </w:r>
                      <w:r>
                        <w:rPr/>
                        <w:t>anticipos</w:t>
                      </w:r>
                      <w:r>
                        <w:rPr>
                          <w:spacing w:val="-1"/>
                        </w:rPr>
                        <w:t> </w:t>
                      </w:r>
                      <w:r>
                        <w:rPr>
                          <w:spacing w:val="-2"/>
                        </w:rPr>
                        <w:t>entregados;</w:t>
                      </w:r>
                    </w:p>
                    <w:p>
                      <w:pPr>
                        <w:spacing w:before="1"/>
                        <w:ind w:left="0" w:right="7645" w:firstLine="0"/>
                        <w:jc w:val="right"/>
                        <w:rPr>
                          <w:sz w:val="22"/>
                        </w:rPr>
                      </w:pPr>
                      <w:r>
                        <w:rPr>
                          <w:spacing w:val="-10"/>
                          <w:sz w:val="22"/>
                        </w:rPr>
                        <w:t>…</w:t>
                      </w:r>
                    </w:p>
                    <w:p>
                      <w:pPr>
                        <w:pStyle w:val="BodyText"/>
                        <w:spacing w:before="162"/>
                        <w:ind w:left="875"/>
                      </w:pPr>
                      <w:r>
                        <w:rPr/>
                        <w:t>h)</w:t>
                      </w:r>
                      <w:r>
                        <w:rPr>
                          <w:spacing w:val="-8"/>
                        </w:rPr>
                        <w:t> </w:t>
                      </w:r>
                      <w:r>
                        <w:rPr/>
                        <w:t>por</w:t>
                      </w:r>
                      <w:r>
                        <w:rPr>
                          <w:spacing w:val="-6"/>
                        </w:rPr>
                        <w:t> </w:t>
                      </w:r>
                      <w:r>
                        <w:rPr/>
                        <w:t>el</w:t>
                      </w:r>
                      <w:r>
                        <w:rPr>
                          <w:spacing w:val="-9"/>
                        </w:rPr>
                        <w:t> </w:t>
                      </w:r>
                      <w:r>
                        <w:rPr/>
                        <w:t>otorgamiento</w:t>
                      </w:r>
                      <w:r>
                        <w:rPr>
                          <w:spacing w:val="-5"/>
                        </w:rPr>
                        <w:t> </w:t>
                      </w:r>
                      <w:r>
                        <w:rPr/>
                        <w:t>de</w:t>
                      </w:r>
                      <w:r>
                        <w:rPr>
                          <w:spacing w:val="-7"/>
                        </w:rPr>
                        <w:t> </w:t>
                      </w:r>
                      <w:r>
                        <w:rPr/>
                        <w:t>nuevos</w:t>
                      </w:r>
                      <w:r>
                        <w:rPr>
                          <w:spacing w:val="-6"/>
                        </w:rPr>
                        <w:t> </w:t>
                      </w:r>
                      <w:r>
                        <w:rPr/>
                        <w:t>plazos</w:t>
                      </w:r>
                      <w:r>
                        <w:rPr>
                          <w:spacing w:val="-5"/>
                        </w:rPr>
                        <w:t> </w:t>
                      </w:r>
                      <w:r>
                        <w:rPr/>
                        <w:t>para</w:t>
                      </w:r>
                      <w:r>
                        <w:rPr>
                          <w:spacing w:val="-6"/>
                        </w:rPr>
                        <w:t> </w:t>
                      </w:r>
                      <w:r>
                        <w:rPr/>
                        <w:t>el</w:t>
                      </w:r>
                      <w:r>
                        <w:rPr>
                          <w:spacing w:val="-9"/>
                        </w:rPr>
                        <w:t> </w:t>
                      </w:r>
                      <w:r>
                        <w:rPr/>
                        <w:t>cobro</w:t>
                      </w:r>
                      <w:r>
                        <w:rPr>
                          <w:spacing w:val="-7"/>
                        </w:rPr>
                        <w:t> </w:t>
                      </w:r>
                      <w:r>
                        <w:rPr/>
                        <w:t>de</w:t>
                      </w:r>
                      <w:r>
                        <w:rPr>
                          <w:spacing w:val="-7"/>
                        </w:rPr>
                        <w:t> </w:t>
                      </w:r>
                      <w:r>
                        <w:rPr/>
                        <w:t>cuentas</w:t>
                      </w:r>
                      <w:r>
                        <w:rPr>
                          <w:spacing w:val="-5"/>
                        </w:rPr>
                        <w:t> </w:t>
                      </w:r>
                      <w:r>
                        <w:rPr/>
                        <w:t>por</w:t>
                      </w:r>
                      <w:r>
                        <w:rPr>
                          <w:spacing w:val="-6"/>
                        </w:rPr>
                        <w:t> </w:t>
                      </w:r>
                      <w:r>
                        <w:rPr/>
                        <w:t>cobrar</w:t>
                      </w:r>
                      <w:r>
                        <w:rPr>
                          <w:spacing w:val="-5"/>
                        </w:rPr>
                        <w:t> </w:t>
                      </w:r>
                      <w:r>
                        <w:rPr>
                          <w:spacing w:val="-2"/>
                        </w:rPr>
                        <w:t>preexistentes;</w:t>
                      </w:r>
                    </w:p>
                    <w:p>
                      <w:pPr>
                        <w:pStyle w:val="BodyText"/>
                        <w:numPr>
                          <w:ilvl w:val="1"/>
                          <w:numId w:val="16"/>
                        </w:numPr>
                        <w:tabs>
                          <w:tab w:pos="118" w:val="left" w:leader="none"/>
                        </w:tabs>
                        <w:spacing w:line="240" w:lineRule="auto" w:before="160" w:after="0"/>
                        <w:ind w:left="118" w:right="1835" w:hanging="118"/>
                        <w:jc w:val="right"/>
                      </w:pPr>
                      <w:r>
                        <w:rPr/>
                        <w:t>por</w:t>
                      </w:r>
                      <w:r>
                        <w:rPr>
                          <w:spacing w:val="-6"/>
                        </w:rPr>
                        <w:t> </w:t>
                      </w:r>
                      <w:r>
                        <w:rPr/>
                        <w:t>el</w:t>
                      </w:r>
                      <w:r>
                        <w:rPr>
                          <w:spacing w:val="-4"/>
                        </w:rPr>
                        <w:t> </w:t>
                      </w:r>
                      <w:r>
                        <w:rPr/>
                        <w:t>devengamiento</w:t>
                      </w:r>
                      <w:r>
                        <w:rPr>
                          <w:spacing w:val="-3"/>
                        </w:rPr>
                        <w:t> </w:t>
                      </w:r>
                      <w:r>
                        <w:rPr/>
                        <w:t>del</w:t>
                      </w:r>
                      <w:r>
                        <w:rPr>
                          <w:spacing w:val="-6"/>
                        </w:rPr>
                        <w:t> </w:t>
                      </w:r>
                      <w:r>
                        <w:rPr/>
                        <w:t>derecho</w:t>
                      </w:r>
                      <w:r>
                        <w:rPr>
                          <w:spacing w:val="-4"/>
                        </w:rPr>
                        <w:t> </w:t>
                      </w:r>
                      <w:r>
                        <w:rPr/>
                        <w:t>al</w:t>
                      </w:r>
                      <w:r>
                        <w:rPr>
                          <w:spacing w:val="-4"/>
                        </w:rPr>
                        <w:t> </w:t>
                      </w:r>
                      <w:r>
                        <w:rPr/>
                        <w:t>cobro</w:t>
                      </w:r>
                      <w:r>
                        <w:rPr>
                          <w:spacing w:val="-3"/>
                        </w:rPr>
                        <w:t> </w:t>
                      </w:r>
                      <w:r>
                        <w:rPr/>
                        <w:t>impositivo</w:t>
                      </w:r>
                      <w:r>
                        <w:rPr>
                          <w:spacing w:val="-6"/>
                        </w:rPr>
                        <w:t> </w:t>
                      </w:r>
                      <w:r>
                        <w:rPr/>
                        <w:t>o</w:t>
                      </w:r>
                      <w:r>
                        <w:rPr>
                          <w:spacing w:val="-4"/>
                        </w:rPr>
                        <w:t> </w:t>
                      </w:r>
                      <w:r>
                        <w:rPr/>
                        <w:t>contractual;</w:t>
                      </w:r>
                      <w:r>
                        <w:rPr>
                          <w:spacing w:val="-3"/>
                        </w:rPr>
                        <w:t> </w:t>
                      </w:r>
                      <w:r>
                        <w:rPr>
                          <w:spacing w:val="-10"/>
                        </w:rPr>
                        <w:t>y</w:t>
                      </w:r>
                    </w:p>
                    <w:p>
                      <w:pPr>
                        <w:pStyle w:val="BodyText"/>
                        <w:numPr>
                          <w:ilvl w:val="1"/>
                          <w:numId w:val="16"/>
                        </w:numPr>
                        <w:tabs>
                          <w:tab w:pos="894" w:val="left" w:leader="none"/>
                        </w:tabs>
                        <w:spacing w:line="240" w:lineRule="auto" w:before="159" w:after="0"/>
                        <w:ind w:left="894" w:right="0" w:hanging="110"/>
                        <w:jc w:val="left"/>
                      </w:pPr>
                      <w:r>
                        <w:rPr/>
                        <w:t>por</w:t>
                      </w:r>
                      <w:r>
                        <w:rPr>
                          <w:spacing w:val="-4"/>
                        </w:rPr>
                        <w:t> </w:t>
                      </w:r>
                      <w:r>
                        <w:rPr/>
                        <w:t>el</w:t>
                      </w:r>
                      <w:r>
                        <w:rPr>
                          <w:spacing w:val="-4"/>
                        </w:rPr>
                        <w:t> </w:t>
                      </w:r>
                      <w:r>
                        <w:rPr/>
                        <w:t>compromiso</w:t>
                      </w:r>
                      <w:r>
                        <w:rPr>
                          <w:spacing w:val="-6"/>
                        </w:rPr>
                        <w:t> </w:t>
                      </w:r>
                      <w:r>
                        <w:rPr/>
                        <w:t>formalizado</w:t>
                      </w:r>
                      <w:r>
                        <w:rPr>
                          <w:spacing w:val="-3"/>
                        </w:rPr>
                        <w:t> </w:t>
                      </w:r>
                      <w:r>
                        <w:rPr/>
                        <w:t>de</w:t>
                      </w:r>
                      <w:r>
                        <w:rPr>
                          <w:spacing w:val="-6"/>
                        </w:rPr>
                        <w:t> </w:t>
                      </w:r>
                      <w:r>
                        <w:rPr/>
                        <w:t>transferencia</w:t>
                      </w:r>
                      <w:r>
                        <w:rPr>
                          <w:spacing w:val="-5"/>
                        </w:rPr>
                        <w:t> </w:t>
                      </w:r>
                      <w:r>
                        <w:rPr/>
                        <w:t>de</w:t>
                      </w:r>
                      <w:r>
                        <w:rPr>
                          <w:spacing w:val="-5"/>
                        </w:rPr>
                        <w:t> </w:t>
                      </w:r>
                      <w:r>
                        <w:rPr>
                          <w:spacing w:val="-2"/>
                        </w:rPr>
                        <w:t>fondos.</w:t>
                      </w:r>
                    </w:p>
                    <w:p>
                      <w:pPr>
                        <w:pStyle w:val="BodyText"/>
                        <w:spacing w:line="276" w:lineRule="auto" w:before="160"/>
                        <w:ind w:left="103" w:right="100"/>
                        <w:jc w:val="both"/>
                      </w:pPr>
                      <w:r>
                        <w:rPr/>
                        <w:t>La entidad reconoce como cuentas por cobrar los derechos exigibles frente a terceros que surgen como</w:t>
                      </w:r>
                      <w:r>
                        <w:rPr>
                          <w:spacing w:val="-9"/>
                        </w:rPr>
                        <w:t> </w:t>
                      </w:r>
                      <w:r>
                        <w:rPr/>
                        <w:t>consecuencia</w:t>
                      </w:r>
                      <w:r>
                        <w:rPr>
                          <w:spacing w:val="-10"/>
                        </w:rPr>
                        <w:t> </w:t>
                      </w:r>
                      <w:r>
                        <w:rPr/>
                        <w:t>de</w:t>
                      </w:r>
                      <w:r>
                        <w:rPr>
                          <w:spacing w:val="-11"/>
                        </w:rPr>
                        <w:t> </w:t>
                      </w:r>
                      <w:r>
                        <w:rPr/>
                        <w:t>transacciones</w:t>
                      </w:r>
                      <w:r>
                        <w:rPr>
                          <w:spacing w:val="-9"/>
                        </w:rPr>
                        <w:t> </w:t>
                      </w:r>
                      <w:r>
                        <w:rPr/>
                        <w:t>pasadas</w:t>
                      </w:r>
                      <w:r>
                        <w:rPr>
                          <w:spacing w:val="-9"/>
                        </w:rPr>
                        <w:t> </w:t>
                      </w:r>
                      <w:r>
                        <w:rPr/>
                        <w:t>y</w:t>
                      </w:r>
                      <w:r>
                        <w:rPr>
                          <w:spacing w:val="-13"/>
                        </w:rPr>
                        <w:t> </w:t>
                      </w:r>
                      <w:r>
                        <w:rPr/>
                        <w:t>que</w:t>
                      </w:r>
                      <w:r>
                        <w:rPr>
                          <w:spacing w:val="-11"/>
                        </w:rPr>
                        <w:t> </w:t>
                      </w:r>
                      <w:r>
                        <w:rPr/>
                        <w:t>otorgan</w:t>
                      </w:r>
                      <w:r>
                        <w:rPr>
                          <w:spacing w:val="-10"/>
                        </w:rPr>
                        <w:t> </w:t>
                      </w:r>
                      <w:r>
                        <w:rPr/>
                        <w:t>a</w:t>
                      </w:r>
                      <w:r>
                        <w:rPr>
                          <w:spacing w:val="-10"/>
                        </w:rPr>
                        <w:t> </w:t>
                      </w:r>
                      <w:r>
                        <w:rPr/>
                        <w:t>la</w:t>
                      </w:r>
                      <w:r>
                        <w:rPr>
                          <w:spacing w:val="-11"/>
                        </w:rPr>
                        <w:t> </w:t>
                      </w:r>
                      <w:r>
                        <w:rPr/>
                        <w:t>institución</w:t>
                      </w:r>
                      <w:r>
                        <w:rPr>
                          <w:spacing w:val="-9"/>
                        </w:rPr>
                        <w:t> </w:t>
                      </w:r>
                      <w:r>
                        <w:rPr/>
                        <w:t>la</w:t>
                      </w:r>
                      <w:r>
                        <w:rPr>
                          <w:spacing w:val="-11"/>
                        </w:rPr>
                        <w:t> </w:t>
                      </w:r>
                      <w:r>
                        <w:rPr/>
                        <w:t>facultad</w:t>
                      </w:r>
                      <w:r>
                        <w:rPr>
                          <w:spacing w:val="-10"/>
                        </w:rPr>
                        <w:t> </w:t>
                      </w:r>
                      <w:r>
                        <w:rPr/>
                        <w:t>legal</w:t>
                      </w:r>
                      <w:r>
                        <w:rPr>
                          <w:spacing w:val="-11"/>
                        </w:rPr>
                        <w:t> </w:t>
                      </w:r>
                      <w:r>
                        <w:rPr/>
                        <w:t>de</w:t>
                      </w:r>
                      <w:r>
                        <w:rPr>
                          <w:spacing w:val="-11"/>
                        </w:rPr>
                        <w:t> </w:t>
                      </w:r>
                      <w:r>
                        <w:rPr/>
                        <w:t>recibir efectivo</w:t>
                      </w:r>
                      <w:r>
                        <w:rPr>
                          <w:spacing w:val="-4"/>
                        </w:rPr>
                        <w:t> </w:t>
                      </w:r>
                      <w:r>
                        <w:rPr/>
                        <w:t>u</w:t>
                      </w:r>
                      <w:r>
                        <w:rPr>
                          <w:spacing w:val="-5"/>
                        </w:rPr>
                        <w:t> </w:t>
                      </w:r>
                      <w:r>
                        <w:rPr/>
                        <w:t>otro</w:t>
                      </w:r>
                      <w:r>
                        <w:rPr>
                          <w:spacing w:val="-4"/>
                        </w:rPr>
                        <w:t> </w:t>
                      </w:r>
                      <w:r>
                        <w:rPr/>
                        <w:t>activo</w:t>
                      </w:r>
                      <w:r>
                        <w:rPr>
                          <w:spacing w:val="-6"/>
                        </w:rPr>
                        <w:t> </w:t>
                      </w:r>
                      <w:r>
                        <w:rPr/>
                        <w:t>financiero</w:t>
                      </w:r>
                      <w:r>
                        <w:rPr>
                          <w:spacing w:val="-4"/>
                        </w:rPr>
                        <w:t> </w:t>
                      </w:r>
                      <w:r>
                        <w:rPr/>
                        <w:t>dentro</w:t>
                      </w:r>
                      <w:r>
                        <w:rPr>
                          <w:spacing w:val="-4"/>
                        </w:rPr>
                        <w:t> </w:t>
                      </w:r>
                      <w:r>
                        <w:rPr/>
                        <w:t>de</w:t>
                      </w:r>
                      <w:r>
                        <w:rPr>
                          <w:spacing w:val="-6"/>
                        </w:rPr>
                        <w:t> </w:t>
                      </w:r>
                      <w:r>
                        <w:rPr/>
                        <w:t>un</w:t>
                      </w:r>
                      <w:r>
                        <w:rPr>
                          <w:spacing w:val="-5"/>
                        </w:rPr>
                        <w:t> </w:t>
                      </w:r>
                      <w:r>
                        <w:rPr/>
                        <w:t>plazo</w:t>
                      </w:r>
                      <w:r>
                        <w:rPr>
                          <w:spacing w:val="-4"/>
                        </w:rPr>
                        <w:t> </w:t>
                      </w:r>
                      <w:r>
                        <w:rPr/>
                        <w:t>determinado,</w:t>
                      </w:r>
                      <w:r>
                        <w:rPr>
                          <w:spacing w:val="-7"/>
                        </w:rPr>
                        <w:t> </w:t>
                      </w:r>
                      <w:r>
                        <w:rPr/>
                        <w:t>generalmente</w:t>
                      </w:r>
                      <w:r>
                        <w:rPr>
                          <w:spacing w:val="-5"/>
                        </w:rPr>
                        <w:t> </w:t>
                      </w:r>
                      <w:r>
                        <w:rPr/>
                        <w:t>igual</w:t>
                      </w:r>
                      <w:r>
                        <w:rPr>
                          <w:spacing w:val="-5"/>
                        </w:rPr>
                        <w:t> </w:t>
                      </w:r>
                      <w:r>
                        <w:rPr/>
                        <w:t>o</w:t>
                      </w:r>
                      <w:r>
                        <w:rPr>
                          <w:spacing w:val="-4"/>
                        </w:rPr>
                        <w:t> </w:t>
                      </w:r>
                      <w:r>
                        <w:rPr/>
                        <w:t>inferior</w:t>
                      </w:r>
                      <w:r>
                        <w:rPr>
                          <w:spacing w:val="-5"/>
                        </w:rPr>
                        <w:t> </w:t>
                      </w:r>
                      <w:r>
                        <w:rPr/>
                        <w:t>a</w:t>
                      </w:r>
                      <w:r>
                        <w:rPr>
                          <w:spacing w:val="-5"/>
                        </w:rPr>
                        <w:t> </w:t>
                      </w:r>
                      <w:r>
                        <w:rPr/>
                        <w:t>un </w:t>
                      </w:r>
                      <w:r>
                        <w:rPr>
                          <w:spacing w:val="-4"/>
                        </w:rPr>
                        <w:t>año.</w:t>
                      </w:r>
                    </w:p>
                  </w:txbxContent>
                </v:textbox>
                <v:stroke dashstyle="solid"/>
                <w10:wrap type="topAndBottom"/>
              </v:shape>
            </w:pict>
          </mc:Fallback>
        </mc:AlternateContent>
      </w:r>
    </w:p>
    <w:p>
      <w:pPr>
        <w:pStyle w:val="BodyText"/>
        <w:spacing w:after="0"/>
        <w:rPr>
          <w:b/>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9072">
                <wp:simplePos x="0" y="0"/>
                <wp:positionH relativeFrom="page">
                  <wp:posOffset>9525</wp:posOffset>
                </wp:positionH>
                <wp:positionV relativeFrom="page">
                  <wp:posOffset>297208</wp:posOffset>
                </wp:positionV>
                <wp:extent cx="7762875" cy="974852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762875" cy="9748520"/>
                          <a:chExt cx="7762875" cy="9748520"/>
                        </a:xfrm>
                      </wpg:grpSpPr>
                      <pic:pic>
                        <pic:nvPicPr>
                          <pic:cNvPr id="68" name="Image 68"/>
                          <pic:cNvPicPr/>
                        </pic:nvPicPr>
                        <pic:blipFill>
                          <a:blip r:embed="rId5" cstate="print"/>
                          <a:stretch>
                            <a:fillRect/>
                          </a:stretch>
                        </pic:blipFill>
                        <pic:spPr>
                          <a:xfrm>
                            <a:off x="0" y="0"/>
                            <a:ext cx="7762874" cy="9748489"/>
                          </a:xfrm>
                          <a:prstGeom prst="rect">
                            <a:avLst/>
                          </a:prstGeom>
                        </pic:spPr>
                      </pic:pic>
                      <wps:wsp>
                        <wps:cNvPr id="69" name="Graphic 69"/>
                        <wps:cNvSpPr/>
                        <wps:spPr>
                          <a:xfrm>
                            <a:off x="1053007" y="990837"/>
                            <a:ext cx="5649595" cy="7724775"/>
                          </a:xfrm>
                          <a:custGeom>
                            <a:avLst/>
                            <a:gdLst/>
                            <a:ahLst/>
                            <a:cxnLst/>
                            <a:rect l="l" t="t" r="r" b="b"/>
                            <a:pathLst>
                              <a:path w="5649595" h="7724775">
                                <a:moveTo>
                                  <a:pt x="24384" y="132664"/>
                                </a:moveTo>
                                <a:lnTo>
                                  <a:pt x="18288" y="132664"/>
                                </a:lnTo>
                                <a:lnTo>
                                  <a:pt x="18288" y="7718488"/>
                                </a:lnTo>
                                <a:lnTo>
                                  <a:pt x="24384" y="7718488"/>
                                </a:lnTo>
                                <a:lnTo>
                                  <a:pt x="24384" y="132664"/>
                                </a:lnTo>
                                <a:close/>
                              </a:path>
                              <a:path w="5649595" h="7724775">
                                <a:moveTo>
                                  <a:pt x="5630862" y="7718501"/>
                                </a:moveTo>
                                <a:lnTo>
                                  <a:pt x="5624830" y="7718501"/>
                                </a:lnTo>
                                <a:lnTo>
                                  <a:pt x="24384" y="7718501"/>
                                </a:lnTo>
                                <a:lnTo>
                                  <a:pt x="18288" y="7718501"/>
                                </a:lnTo>
                                <a:lnTo>
                                  <a:pt x="18288" y="7724584"/>
                                </a:lnTo>
                                <a:lnTo>
                                  <a:pt x="24384" y="7724584"/>
                                </a:lnTo>
                                <a:lnTo>
                                  <a:pt x="5624779" y="7724584"/>
                                </a:lnTo>
                                <a:lnTo>
                                  <a:pt x="5630862" y="7724584"/>
                                </a:lnTo>
                                <a:lnTo>
                                  <a:pt x="5630862" y="7718501"/>
                                </a:lnTo>
                                <a:close/>
                              </a:path>
                              <a:path w="5649595" h="7724775">
                                <a:moveTo>
                                  <a:pt x="5630862" y="132664"/>
                                </a:moveTo>
                                <a:lnTo>
                                  <a:pt x="5624779" y="132664"/>
                                </a:lnTo>
                                <a:lnTo>
                                  <a:pt x="5624779" y="7718488"/>
                                </a:lnTo>
                                <a:lnTo>
                                  <a:pt x="5630862" y="7718488"/>
                                </a:lnTo>
                                <a:lnTo>
                                  <a:pt x="5630862" y="132664"/>
                                </a:lnTo>
                                <a:close/>
                              </a:path>
                              <a:path w="5649595" h="7724775">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2477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7408" id="docshapegroup66" coordorigin="15,468" coordsize="12225,15352">
                <v:shape style="position:absolute;left:15;top:468;width:12225;height:15352" type="#_x0000_t75" id="docshape67" stroked="false">
                  <v:imagedata r:id="rId5" o:title=""/>
                </v:shape>
                <v:shape style="position:absolute;left:1673;top:2028;width:8897;height:12165" id="docshape68" coordorigin="1673,2028" coordsize="8897,12165" path="m1712,2237l1702,2237,1702,14184,1712,14184,1712,2237xm10541,14184l10531,14184,10531,14184,1712,14184,1702,14184,1702,14193,1712,14193,10531,14193,10531,14193,10541,14193,10541,14184xm10541,2237l10531,2237,10531,14184,10541,14184,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19</w:t>
      </w:r>
    </w:p>
    <w:p>
      <w:pPr>
        <w:pStyle w:val="BodyText"/>
        <w:spacing w:line="276" w:lineRule="auto" w:before="227"/>
        <w:ind w:left="734" w:right="1092"/>
        <w:jc w:val="both"/>
      </w:pPr>
      <w:r>
        <w:rPr/>
        <w:t>Las cuentas por cobrar se reconocen cuando existe evidencia objetiva del derecho a cobro y la entidad ha obtenido el control del activo financiero, independientemente del momento en que se produzca la entrada de efectivo. Normalmente se encuentran conformadas por el cobro de las transferencias corrientes, ventas de servicios, adelantos, derechos administrativos, entre otras de menor cuantía.</w:t>
      </w:r>
    </w:p>
    <w:p>
      <w:pPr>
        <w:pStyle w:val="BodyText"/>
        <w:spacing w:line="276" w:lineRule="auto" w:before="122"/>
        <w:ind w:left="734" w:right="1088"/>
        <w:jc w:val="both"/>
      </w:pPr>
      <w:r>
        <w:rPr/>
        <w:t>El reconocimiento inicial de</w:t>
      </w:r>
      <w:r>
        <w:rPr>
          <w:spacing w:val="-1"/>
        </w:rPr>
        <w:t> </w:t>
      </w:r>
      <w:r>
        <w:rPr/>
        <w:t>las cuentas por cobrar</w:t>
      </w:r>
      <w:r>
        <w:rPr>
          <w:spacing w:val="-1"/>
        </w:rPr>
        <w:t> </w:t>
      </w:r>
      <w:r>
        <w:rPr/>
        <w:t>se efectúa por su valor razonable en la fecha de la</w:t>
      </w:r>
      <w:r>
        <w:rPr>
          <w:spacing w:val="-8"/>
        </w:rPr>
        <w:t> </w:t>
      </w:r>
      <w:r>
        <w:rPr/>
        <w:t>transacción,</w:t>
      </w:r>
      <w:r>
        <w:rPr>
          <w:spacing w:val="-7"/>
        </w:rPr>
        <w:t> </w:t>
      </w:r>
      <w:r>
        <w:rPr/>
        <w:t>salvo</w:t>
      </w:r>
      <w:r>
        <w:rPr>
          <w:spacing w:val="-9"/>
        </w:rPr>
        <w:t> </w:t>
      </w:r>
      <w:r>
        <w:rPr/>
        <w:t>que</w:t>
      </w:r>
      <w:r>
        <w:rPr>
          <w:spacing w:val="-8"/>
        </w:rPr>
        <w:t> </w:t>
      </w:r>
      <w:r>
        <w:rPr/>
        <w:t>NICSP</w:t>
      </w:r>
      <w:r>
        <w:rPr>
          <w:spacing w:val="-10"/>
        </w:rPr>
        <w:t> </w:t>
      </w:r>
      <w:r>
        <w:rPr/>
        <w:t>especifica</w:t>
      </w:r>
      <w:r>
        <w:rPr>
          <w:spacing w:val="-8"/>
        </w:rPr>
        <w:t> </w:t>
      </w:r>
      <w:r>
        <w:rPr/>
        <w:t>indique</w:t>
      </w:r>
      <w:r>
        <w:rPr>
          <w:spacing w:val="-8"/>
        </w:rPr>
        <w:t> </w:t>
      </w:r>
      <w:r>
        <w:rPr/>
        <w:t>lo</w:t>
      </w:r>
      <w:r>
        <w:rPr>
          <w:spacing w:val="-9"/>
        </w:rPr>
        <w:t> </w:t>
      </w:r>
      <w:r>
        <w:rPr/>
        <w:t>contrario.</w:t>
      </w:r>
      <w:r>
        <w:rPr>
          <w:spacing w:val="-8"/>
        </w:rPr>
        <w:t> </w:t>
      </w:r>
      <w:r>
        <w:rPr/>
        <w:t>En</w:t>
      </w:r>
      <w:r>
        <w:rPr>
          <w:spacing w:val="-7"/>
        </w:rPr>
        <w:t> </w:t>
      </w:r>
      <w:r>
        <w:rPr/>
        <w:t>caso</w:t>
      </w:r>
      <w:r>
        <w:rPr>
          <w:spacing w:val="-9"/>
        </w:rPr>
        <w:t> </w:t>
      </w:r>
      <w:r>
        <w:rPr/>
        <w:t>de</w:t>
      </w:r>
      <w:r>
        <w:rPr>
          <w:spacing w:val="-9"/>
        </w:rPr>
        <w:t> </w:t>
      </w:r>
      <w:r>
        <w:rPr/>
        <w:t>que</w:t>
      </w:r>
      <w:r>
        <w:rPr>
          <w:spacing w:val="-8"/>
        </w:rPr>
        <w:t> </w:t>
      </w:r>
      <w:r>
        <w:rPr/>
        <w:t>la</w:t>
      </w:r>
      <w:r>
        <w:rPr>
          <w:spacing w:val="-11"/>
        </w:rPr>
        <w:t> </w:t>
      </w:r>
      <w:r>
        <w:rPr/>
        <w:t>operación</w:t>
      </w:r>
      <w:r>
        <w:rPr>
          <w:spacing w:val="-7"/>
        </w:rPr>
        <w:t> </w:t>
      </w:r>
      <w:r>
        <w:rPr/>
        <w:t>incluya un</w:t>
      </w:r>
      <w:r>
        <w:rPr>
          <w:spacing w:val="-2"/>
        </w:rPr>
        <w:t> </w:t>
      </w:r>
      <w:r>
        <w:rPr/>
        <w:t>componente</w:t>
      </w:r>
      <w:r>
        <w:rPr>
          <w:spacing w:val="-2"/>
        </w:rPr>
        <w:t> </w:t>
      </w:r>
      <w:r>
        <w:rPr/>
        <w:t>financiero</w:t>
      </w:r>
      <w:r>
        <w:rPr>
          <w:spacing w:val="-2"/>
        </w:rPr>
        <w:t> </w:t>
      </w:r>
      <w:r>
        <w:rPr/>
        <w:t>implícito,</w:t>
      </w:r>
      <w:r>
        <w:rPr>
          <w:spacing w:val="-2"/>
        </w:rPr>
        <w:t> </w:t>
      </w:r>
      <w:r>
        <w:rPr/>
        <w:t>este</w:t>
      </w:r>
      <w:r>
        <w:rPr>
          <w:spacing w:val="-3"/>
        </w:rPr>
        <w:t> </w:t>
      </w:r>
      <w:r>
        <w:rPr/>
        <w:t>se</w:t>
      </w:r>
      <w:r>
        <w:rPr>
          <w:spacing w:val="-3"/>
        </w:rPr>
        <w:t> </w:t>
      </w:r>
      <w:r>
        <w:rPr/>
        <w:t>incorpora al</w:t>
      </w:r>
      <w:r>
        <w:rPr>
          <w:spacing w:val="-2"/>
        </w:rPr>
        <w:t> </w:t>
      </w:r>
      <w:r>
        <w:rPr/>
        <w:t>valor</w:t>
      </w:r>
      <w:r>
        <w:rPr>
          <w:spacing w:val="-2"/>
        </w:rPr>
        <w:t> </w:t>
      </w:r>
      <w:r>
        <w:rPr/>
        <w:t>inicial</w:t>
      </w:r>
      <w:r>
        <w:rPr>
          <w:spacing w:val="-1"/>
        </w:rPr>
        <w:t> </w:t>
      </w:r>
      <w:r>
        <w:rPr/>
        <w:t>y</w:t>
      </w:r>
      <w:r>
        <w:rPr>
          <w:spacing w:val="-3"/>
        </w:rPr>
        <w:t> </w:t>
      </w:r>
      <w:r>
        <w:rPr/>
        <w:t>recibe</w:t>
      </w:r>
      <w:r>
        <w:rPr>
          <w:spacing w:val="-2"/>
        </w:rPr>
        <w:t> </w:t>
      </w:r>
      <w:r>
        <w:rPr/>
        <w:t>el</w:t>
      </w:r>
      <w:r>
        <w:rPr>
          <w:spacing w:val="-2"/>
        </w:rPr>
        <w:t> </w:t>
      </w:r>
      <w:r>
        <w:rPr/>
        <w:t>mismo</w:t>
      </w:r>
      <w:r>
        <w:rPr>
          <w:spacing w:val="-2"/>
        </w:rPr>
        <w:t> </w:t>
      </w:r>
      <w:r>
        <w:rPr/>
        <w:t>tratamiento contable que el principal.</w:t>
      </w:r>
    </w:p>
    <w:p>
      <w:pPr>
        <w:pStyle w:val="BodyText"/>
        <w:spacing w:before="118"/>
        <w:ind w:left="734" w:right="1090"/>
        <w:jc w:val="both"/>
      </w:pPr>
      <w:r>
        <w:rPr/>
        <w:t>Del</w:t>
      </w:r>
      <w:r>
        <w:rPr>
          <w:spacing w:val="-9"/>
        </w:rPr>
        <w:t> </w:t>
      </w:r>
      <w:r>
        <w:rPr/>
        <w:t>análisis</w:t>
      </w:r>
      <w:r>
        <w:rPr>
          <w:spacing w:val="-7"/>
        </w:rPr>
        <w:t> </w:t>
      </w:r>
      <w:r>
        <w:rPr/>
        <w:t>de</w:t>
      </w:r>
      <w:r>
        <w:rPr>
          <w:spacing w:val="-10"/>
        </w:rPr>
        <w:t> </w:t>
      </w:r>
      <w:r>
        <w:rPr/>
        <w:t>los</w:t>
      </w:r>
      <w:r>
        <w:rPr>
          <w:spacing w:val="-9"/>
        </w:rPr>
        <w:t> </w:t>
      </w:r>
      <w:r>
        <w:rPr/>
        <w:t>activos</w:t>
      </w:r>
      <w:r>
        <w:rPr>
          <w:spacing w:val="-7"/>
        </w:rPr>
        <w:t> </w:t>
      </w:r>
      <w:r>
        <w:rPr/>
        <w:t>financieros</w:t>
      </w:r>
      <w:r>
        <w:rPr>
          <w:spacing w:val="-7"/>
        </w:rPr>
        <w:t> </w:t>
      </w:r>
      <w:r>
        <w:rPr/>
        <w:t>del</w:t>
      </w:r>
      <w:r>
        <w:rPr>
          <w:spacing w:val="-9"/>
        </w:rPr>
        <w:t> </w:t>
      </w:r>
      <w:r>
        <w:rPr/>
        <w:t>IMAS,</w:t>
      </w:r>
      <w:r>
        <w:rPr>
          <w:spacing w:val="-8"/>
        </w:rPr>
        <w:t> </w:t>
      </w:r>
      <w:r>
        <w:rPr/>
        <w:t>las</w:t>
      </w:r>
      <w:r>
        <w:rPr>
          <w:spacing w:val="-7"/>
        </w:rPr>
        <w:t> </w:t>
      </w:r>
      <w:r>
        <w:rPr/>
        <w:t>cuentas</w:t>
      </w:r>
      <w:r>
        <w:rPr>
          <w:spacing w:val="-7"/>
        </w:rPr>
        <w:t> </w:t>
      </w:r>
      <w:r>
        <w:rPr/>
        <w:t>por</w:t>
      </w:r>
      <w:r>
        <w:rPr>
          <w:spacing w:val="-8"/>
        </w:rPr>
        <w:t> </w:t>
      </w:r>
      <w:r>
        <w:rPr/>
        <w:t>cobrar</w:t>
      </w:r>
      <w:r>
        <w:rPr>
          <w:spacing w:val="-8"/>
        </w:rPr>
        <w:t> </w:t>
      </w:r>
      <w:r>
        <w:rPr/>
        <w:t>se</w:t>
      </w:r>
      <w:r>
        <w:rPr>
          <w:spacing w:val="-9"/>
        </w:rPr>
        <w:t> </w:t>
      </w:r>
      <w:r>
        <w:rPr/>
        <w:t>encuentran</w:t>
      </w:r>
      <w:r>
        <w:rPr>
          <w:spacing w:val="-8"/>
        </w:rPr>
        <w:t> </w:t>
      </w:r>
      <w:r>
        <w:rPr/>
        <w:t>en</w:t>
      </w:r>
      <w:r>
        <w:rPr>
          <w:spacing w:val="-8"/>
        </w:rPr>
        <w:t> </w:t>
      </w:r>
      <w:r>
        <w:rPr/>
        <w:t>la</w:t>
      </w:r>
      <w:r>
        <w:rPr>
          <w:spacing w:val="-9"/>
        </w:rPr>
        <w:t> </w:t>
      </w:r>
      <w:r>
        <w:rPr/>
        <w:t>categoría según Norma correspondería a la categoría 3 que se muestra:</w:t>
      </w:r>
    </w:p>
    <w:p>
      <w:pPr>
        <w:pStyle w:val="BodyText"/>
        <w:spacing w:before="161"/>
        <w:ind w:left="1442"/>
        <w:jc w:val="both"/>
      </w:pPr>
      <w:r>
        <w:rPr/>
        <w:t>“Categoría</w:t>
      </w:r>
      <w:r>
        <w:rPr>
          <w:spacing w:val="-4"/>
        </w:rPr>
        <w:t> </w:t>
      </w:r>
      <w:r>
        <w:rPr>
          <w:spacing w:val="-5"/>
        </w:rPr>
        <w:t>3:</w:t>
      </w:r>
    </w:p>
    <w:p>
      <w:pPr>
        <w:pStyle w:val="BodyText"/>
        <w:spacing w:before="159"/>
        <w:ind w:left="1442" w:right="1093"/>
        <w:jc w:val="both"/>
      </w:pPr>
      <w:r>
        <w:rPr/>
        <w:t>Préstamos y partidas por cobrar: Son activos financieros no derivados, con cobros fijos o determinables, que no se negocian en un mercado activo y que son distintos de:</w:t>
      </w:r>
    </w:p>
    <w:p>
      <w:pPr>
        <w:pStyle w:val="ListParagraph"/>
        <w:numPr>
          <w:ilvl w:val="0"/>
          <w:numId w:val="17"/>
        </w:numPr>
        <w:tabs>
          <w:tab w:pos="1658" w:val="left" w:leader="none"/>
        </w:tabs>
        <w:spacing w:line="240" w:lineRule="auto" w:before="161" w:after="0"/>
        <w:ind w:left="1442" w:right="1088" w:firstLine="0"/>
        <w:jc w:val="both"/>
        <w:rPr>
          <w:sz w:val="22"/>
        </w:rPr>
      </w:pPr>
      <w:r>
        <w:rPr>
          <w:sz w:val="22"/>
        </w:rPr>
        <w:t>los que</w:t>
      </w:r>
      <w:r>
        <w:rPr>
          <w:spacing w:val="-1"/>
          <w:sz w:val="22"/>
        </w:rPr>
        <w:t> </w:t>
      </w:r>
      <w:r>
        <w:rPr>
          <w:sz w:val="22"/>
        </w:rPr>
        <w:t>la</w:t>
      </w:r>
      <w:r>
        <w:rPr>
          <w:spacing w:val="-1"/>
          <w:sz w:val="22"/>
        </w:rPr>
        <w:t> </w:t>
      </w:r>
      <w:r>
        <w:rPr>
          <w:sz w:val="22"/>
        </w:rPr>
        <w:t>entidad</w:t>
      </w:r>
      <w:r>
        <w:rPr>
          <w:spacing w:val="-1"/>
          <w:sz w:val="22"/>
        </w:rPr>
        <w:t> </w:t>
      </w:r>
      <w:r>
        <w:rPr>
          <w:sz w:val="22"/>
        </w:rPr>
        <w:t>tenga la</w:t>
      </w:r>
      <w:r>
        <w:rPr>
          <w:spacing w:val="-1"/>
          <w:sz w:val="22"/>
        </w:rPr>
        <w:t> </w:t>
      </w:r>
      <w:r>
        <w:rPr>
          <w:sz w:val="22"/>
        </w:rPr>
        <w:t>intención de</w:t>
      </w:r>
      <w:r>
        <w:rPr>
          <w:spacing w:val="-2"/>
          <w:sz w:val="22"/>
        </w:rPr>
        <w:t> </w:t>
      </w:r>
      <w:r>
        <w:rPr>
          <w:sz w:val="22"/>
        </w:rPr>
        <w:t>vender inmediatamente</w:t>
      </w:r>
      <w:r>
        <w:rPr>
          <w:spacing w:val="-1"/>
          <w:sz w:val="22"/>
        </w:rPr>
        <w:t> </w:t>
      </w:r>
      <w:r>
        <w:rPr>
          <w:sz w:val="22"/>
        </w:rPr>
        <w:t>o en un futuro próximo, que</w:t>
      </w:r>
      <w:r>
        <w:rPr>
          <w:spacing w:val="-1"/>
          <w:sz w:val="22"/>
        </w:rPr>
        <w:t> </w:t>
      </w:r>
      <w:r>
        <w:rPr>
          <w:sz w:val="22"/>
        </w:rPr>
        <w:t>serán</w:t>
      </w:r>
      <w:r>
        <w:rPr>
          <w:spacing w:val="-2"/>
          <w:sz w:val="22"/>
        </w:rPr>
        <w:t> </w:t>
      </w:r>
      <w:r>
        <w:rPr>
          <w:sz w:val="22"/>
        </w:rPr>
        <w:t>clasificados como</w:t>
      </w:r>
      <w:r>
        <w:rPr>
          <w:spacing w:val="-2"/>
          <w:sz w:val="22"/>
        </w:rPr>
        <w:t> </w:t>
      </w:r>
      <w:r>
        <w:rPr>
          <w:sz w:val="22"/>
        </w:rPr>
        <w:t>mantenidos</w:t>
      </w:r>
      <w:r>
        <w:rPr>
          <w:spacing w:val="-1"/>
          <w:sz w:val="22"/>
        </w:rPr>
        <w:t> </w:t>
      </w:r>
      <w:r>
        <w:rPr>
          <w:sz w:val="22"/>
        </w:rPr>
        <w:t>para</w:t>
      </w:r>
      <w:r>
        <w:rPr>
          <w:spacing w:val="-1"/>
          <w:sz w:val="22"/>
        </w:rPr>
        <w:t> </w:t>
      </w:r>
      <w:r>
        <w:rPr>
          <w:sz w:val="22"/>
        </w:rPr>
        <w:t>negociar y</w:t>
      </w:r>
      <w:r>
        <w:rPr>
          <w:spacing w:val="-1"/>
          <w:sz w:val="22"/>
        </w:rPr>
        <w:t> </w:t>
      </w:r>
      <w:r>
        <w:rPr>
          <w:sz w:val="22"/>
        </w:rPr>
        <w:t>los</w:t>
      </w:r>
      <w:r>
        <w:rPr>
          <w:spacing w:val="-1"/>
          <w:sz w:val="22"/>
        </w:rPr>
        <w:t> </w:t>
      </w:r>
      <w:r>
        <w:rPr>
          <w:sz w:val="22"/>
        </w:rPr>
        <w:t>que</w:t>
      </w:r>
      <w:r>
        <w:rPr>
          <w:spacing w:val="-1"/>
          <w:sz w:val="22"/>
        </w:rPr>
        <w:t> </w:t>
      </w:r>
      <w:r>
        <w:rPr>
          <w:sz w:val="22"/>
        </w:rPr>
        <w:t>la</w:t>
      </w:r>
      <w:r>
        <w:rPr>
          <w:spacing w:val="-1"/>
          <w:sz w:val="22"/>
        </w:rPr>
        <w:t> </w:t>
      </w:r>
      <w:r>
        <w:rPr>
          <w:sz w:val="22"/>
        </w:rPr>
        <w:t>entidad, en el</w:t>
      </w:r>
      <w:r>
        <w:rPr>
          <w:spacing w:val="-2"/>
          <w:sz w:val="22"/>
        </w:rPr>
        <w:t> </w:t>
      </w:r>
      <w:r>
        <w:rPr>
          <w:sz w:val="22"/>
        </w:rPr>
        <w:t>momento del reconocimiento inicial, haya designado para su contabilización al valor razonable con cambios en resultados;</w:t>
      </w:r>
    </w:p>
    <w:p>
      <w:pPr>
        <w:pStyle w:val="ListParagraph"/>
        <w:numPr>
          <w:ilvl w:val="0"/>
          <w:numId w:val="17"/>
        </w:numPr>
        <w:tabs>
          <w:tab w:pos="1601" w:val="left" w:leader="none"/>
        </w:tabs>
        <w:spacing w:line="240" w:lineRule="auto" w:before="160" w:after="0"/>
        <w:ind w:left="1442" w:right="1093" w:firstLine="0"/>
        <w:jc w:val="both"/>
        <w:rPr>
          <w:sz w:val="22"/>
        </w:rPr>
      </w:pPr>
      <w:r>
        <w:rPr>
          <w:sz w:val="22"/>
        </w:rPr>
        <w:t>los que la entidad designe en el momento de reconocimiento inicial como disponibles para la venta; y</w:t>
      </w:r>
    </w:p>
    <w:p>
      <w:pPr>
        <w:pStyle w:val="ListParagraph"/>
        <w:numPr>
          <w:ilvl w:val="0"/>
          <w:numId w:val="17"/>
        </w:numPr>
        <w:tabs>
          <w:tab w:pos="1601" w:val="left" w:leader="none"/>
        </w:tabs>
        <w:spacing w:line="240" w:lineRule="auto" w:before="161" w:after="0"/>
        <w:ind w:left="1442" w:right="1091" w:firstLine="0"/>
        <w:jc w:val="both"/>
        <w:rPr>
          <w:sz w:val="22"/>
        </w:rPr>
      </w:pPr>
      <w:r>
        <w:rPr>
          <w:sz w:val="22"/>
        </w:rPr>
        <w:t>aquéllos en los cuales el tenedor no pueda recuperar sustancialmente toda la inversión inicial, por circunstancias diferentes al deterioro crediticio, que serán clasificados como disponibles para la venta.”</w:t>
      </w:r>
    </w:p>
    <w:p>
      <w:pPr>
        <w:pStyle w:val="BodyText"/>
        <w:spacing w:before="159"/>
        <w:ind w:left="734"/>
        <w:jc w:val="both"/>
      </w:pPr>
      <w:r>
        <w:rPr/>
        <w:t>El</w:t>
      </w:r>
      <w:r>
        <w:rPr>
          <w:spacing w:val="-4"/>
        </w:rPr>
        <w:t> </w:t>
      </w:r>
      <w:r>
        <w:rPr/>
        <w:t>IMAS</w:t>
      </w:r>
      <w:r>
        <w:rPr>
          <w:spacing w:val="-3"/>
        </w:rPr>
        <w:t> </w:t>
      </w:r>
      <w:r>
        <w:rPr/>
        <w:t>aplica</w:t>
      </w:r>
      <w:r>
        <w:rPr>
          <w:spacing w:val="-4"/>
        </w:rPr>
        <w:t> </w:t>
      </w:r>
      <w:r>
        <w:rPr/>
        <w:t>la</w:t>
      </w:r>
      <w:r>
        <w:rPr>
          <w:spacing w:val="-6"/>
        </w:rPr>
        <w:t> </w:t>
      </w:r>
      <w:r>
        <w:rPr/>
        <w:t>política</w:t>
      </w:r>
      <w:r>
        <w:rPr>
          <w:spacing w:val="-4"/>
        </w:rPr>
        <w:t> </w:t>
      </w:r>
      <w:r>
        <w:rPr/>
        <w:t>contable</w:t>
      </w:r>
      <w:r>
        <w:rPr>
          <w:spacing w:val="-5"/>
        </w:rPr>
        <w:t> </w:t>
      </w:r>
      <w:r>
        <w:rPr/>
        <w:t>general</w:t>
      </w:r>
      <w:r>
        <w:rPr>
          <w:spacing w:val="-3"/>
        </w:rPr>
        <w:t> </w:t>
      </w:r>
      <w:r>
        <w:rPr>
          <w:spacing w:val="-4"/>
        </w:rPr>
        <w:t>1.49:</w:t>
      </w:r>
    </w:p>
    <w:p>
      <w:pPr>
        <w:pStyle w:val="BodyText"/>
        <w:spacing w:before="160"/>
        <w:ind w:left="1442" w:right="1089"/>
        <w:jc w:val="both"/>
      </w:pPr>
      <w:r>
        <w:rPr/>
        <w:t>“…en</w:t>
      </w:r>
      <w:r>
        <w:rPr>
          <w:spacing w:val="-4"/>
        </w:rPr>
        <w:t> </w:t>
      </w:r>
      <w:r>
        <w:rPr/>
        <w:t>la</w:t>
      </w:r>
      <w:r>
        <w:rPr>
          <w:spacing w:val="-6"/>
        </w:rPr>
        <w:t> </w:t>
      </w:r>
      <w:r>
        <w:rPr/>
        <w:t>generalidad</w:t>
      </w:r>
      <w:r>
        <w:rPr>
          <w:spacing w:val="-5"/>
        </w:rPr>
        <w:t> </w:t>
      </w:r>
      <w:r>
        <w:rPr/>
        <w:t>de</w:t>
      </w:r>
      <w:r>
        <w:rPr>
          <w:spacing w:val="-6"/>
        </w:rPr>
        <w:t> </w:t>
      </w:r>
      <w:r>
        <w:rPr/>
        <w:t>los</w:t>
      </w:r>
      <w:r>
        <w:rPr>
          <w:spacing w:val="-4"/>
        </w:rPr>
        <w:t> </w:t>
      </w:r>
      <w:r>
        <w:rPr/>
        <w:t>casos,</w:t>
      </w:r>
      <w:r>
        <w:rPr>
          <w:spacing w:val="-5"/>
        </w:rPr>
        <w:t> </w:t>
      </w:r>
      <w:r>
        <w:rPr/>
        <w:t>la</w:t>
      </w:r>
      <w:r>
        <w:rPr>
          <w:spacing w:val="-6"/>
        </w:rPr>
        <w:t> </w:t>
      </w:r>
      <w:r>
        <w:rPr/>
        <w:t>medición</w:t>
      </w:r>
      <w:r>
        <w:rPr>
          <w:spacing w:val="-7"/>
        </w:rPr>
        <w:t> </w:t>
      </w:r>
      <w:r>
        <w:rPr/>
        <w:t>contable</w:t>
      </w:r>
      <w:r>
        <w:rPr>
          <w:spacing w:val="-6"/>
        </w:rPr>
        <w:t> </w:t>
      </w:r>
      <w:r>
        <w:rPr/>
        <w:t>inicial</w:t>
      </w:r>
      <w:r>
        <w:rPr>
          <w:spacing w:val="-5"/>
        </w:rPr>
        <w:t> </w:t>
      </w:r>
      <w:r>
        <w:rPr/>
        <w:t>de</w:t>
      </w:r>
      <w:r>
        <w:rPr>
          <w:spacing w:val="-6"/>
        </w:rPr>
        <w:t> </w:t>
      </w:r>
      <w:r>
        <w:rPr/>
        <w:t>una</w:t>
      </w:r>
      <w:r>
        <w:rPr>
          <w:spacing w:val="-5"/>
        </w:rPr>
        <w:t> </w:t>
      </w:r>
      <w:r>
        <w:rPr/>
        <w:t>cuenta</w:t>
      </w:r>
      <w:r>
        <w:rPr>
          <w:spacing w:val="-5"/>
        </w:rPr>
        <w:t> </w:t>
      </w:r>
      <w:r>
        <w:rPr/>
        <w:t>por</w:t>
      </w:r>
      <w:r>
        <w:rPr>
          <w:spacing w:val="-4"/>
        </w:rPr>
        <w:t> </w:t>
      </w:r>
      <w:r>
        <w:rPr/>
        <w:t>cobrar</w:t>
      </w:r>
      <w:r>
        <w:rPr>
          <w:spacing w:val="-5"/>
        </w:rPr>
        <w:t> </w:t>
      </w:r>
      <w:r>
        <w:rPr/>
        <w:t>será por su valor razonable en la</w:t>
      </w:r>
      <w:r>
        <w:rPr>
          <w:spacing w:val="-1"/>
        </w:rPr>
        <w:t> </w:t>
      </w:r>
      <w:r>
        <w:rPr/>
        <w:t>fecha de contratación. En todos los casos debe considerarse la realidad</w:t>
      </w:r>
      <w:r>
        <w:rPr>
          <w:spacing w:val="-6"/>
        </w:rPr>
        <w:t> </w:t>
      </w:r>
      <w:r>
        <w:rPr/>
        <w:t>económica</w:t>
      </w:r>
      <w:r>
        <w:rPr>
          <w:spacing w:val="-6"/>
        </w:rPr>
        <w:t> </w:t>
      </w:r>
      <w:r>
        <w:rPr/>
        <w:t>subyacente</w:t>
      </w:r>
      <w:r>
        <w:rPr>
          <w:spacing w:val="-6"/>
        </w:rPr>
        <w:t> </w:t>
      </w:r>
      <w:r>
        <w:rPr/>
        <w:t>en</w:t>
      </w:r>
      <w:r>
        <w:rPr>
          <w:spacing w:val="-5"/>
        </w:rPr>
        <w:t> </w:t>
      </w:r>
      <w:r>
        <w:rPr/>
        <w:t>las</w:t>
      </w:r>
      <w:r>
        <w:rPr>
          <w:spacing w:val="-7"/>
        </w:rPr>
        <w:t> </w:t>
      </w:r>
      <w:r>
        <w:rPr/>
        <w:t>operaciones,</w:t>
      </w:r>
      <w:r>
        <w:rPr>
          <w:spacing w:val="-8"/>
        </w:rPr>
        <w:t> </w:t>
      </w:r>
      <w:r>
        <w:rPr/>
        <w:t>por</w:t>
      </w:r>
      <w:r>
        <w:rPr>
          <w:spacing w:val="-5"/>
        </w:rPr>
        <w:t> </w:t>
      </w:r>
      <w:r>
        <w:rPr/>
        <w:t>lo</w:t>
      </w:r>
      <w:r>
        <w:rPr>
          <w:spacing w:val="-5"/>
        </w:rPr>
        <w:t> </w:t>
      </w:r>
      <w:r>
        <w:rPr/>
        <w:t>cual</w:t>
      </w:r>
      <w:r>
        <w:rPr>
          <w:spacing w:val="-6"/>
        </w:rPr>
        <w:t> </w:t>
      </w:r>
      <w:r>
        <w:rPr/>
        <w:t>los</w:t>
      </w:r>
      <w:r>
        <w:rPr>
          <w:spacing w:val="-5"/>
        </w:rPr>
        <w:t> </w:t>
      </w:r>
      <w:r>
        <w:rPr/>
        <w:t>componentes</w:t>
      </w:r>
      <w:r>
        <w:rPr>
          <w:spacing w:val="-8"/>
        </w:rPr>
        <w:t> </w:t>
      </w:r>
      <w:r>
        <w:rPr/>
        <w:t>financieros implícitos</w:t>
      </w:r>
      <w:r>
        <w:rPr>
          <w:spacing w:val="-14"/>
        </w:rPr>
        <w:t> </w:t>
      </w:r>
      <w:r>
        <w:rPr/>
        <w:t>incluidos</w:t>
      </w:r>
      <w:r>
        <w:rPr>
          <w:spacing w:val="-14"/>
        </w:rPr>
        <w:t> </w:t>
      </w:r>
      <w:r>
        <w:rPr/>
        <w:t>en</w:t>
      </w:r>
      <w:r>
        <w:rPr>
          <w:spacing w:val="-14"/>
        </w:rPr>
        <w:t> </w:t>
      </w:r>
      <w:r>
        <w:rPr/>
        <w:t>las</w:t>
      </w:r>
      <w:r>
        <w:rPr>
          <w:spacing w:val="-13"/>
        </w:rPr>
        <w:t> </w:t>
      </w:r>
      <w:r>
        <w:rPr/>
        <w:t>sumas</w:t>
      </w:r>
      <w:r>
        <w:rPr>
          <w:spacing w:val="-14"/>
        </w:rPr>
        <w:t> </w:t>
      </w:r>
      <w:r>
        <w:rPr/>
        <w:t>a</w:t>
      </w:r>
      <w:r>
        <w:rPr>
          <w:spacing w:val="-14"/>
        </w:rPr>
        <w:t> </w:t>
      </w:r>
      <w:r>
        <w:rPr/>
        <w:t>cobrar</w:t>
      </w:r>
      <w:r>
        <w:rPr>
          <w:spacing w:val="-14"/>
        </w:rPr>
        <w:t> </w:t>
      </w:r>
      <w:r>
        <w:rPr/>
        <w:t>deben</w:t>
      </w:r>
      <w:r>
        <w:rPr>
          <w:spacing w:val="-13"/>
        </w:rPr>
        <w:t> </w:t>
      </w:r>
      <w:r>
        <w:rPr/>
        <w:t>tener</w:t>
      </w:r>
      <w:r>
        <w:rPr>
          <w:spacing w:val="-14"/>
        </w:rPr>
        <w:t> </w:t>
      </w:r>
      <w:r>
        <w:rPr/>
        <w:t>el</w:t>
      </w:r>
      <w:r>
        <w:rPr>
          <w:spacing w:val="-13"/>
        </w:rPr>
        <w:t> </w:t>
      </w:r>
      <w:r>
        <w:rPr/>
        <w:t>mismo</w:t>
      </w:r>
      <w:r>
        <w:rPr>
          <w:spacing w:val="-13"/>
        </w:rPr>
        <w:t> </w:t>
      </w:r>
      <w:r>
        <w:rPr/>
        <w:t>tratamiento</w:t>
      </w:r>
      <w:r>
        <w:rPr>
          <w:spacing w:val="-13"/>
        </w:rPr>
        <w:t> </w:t>
      </w:r>
      <w:r>
        <w:rPr/>
        <w:t>que</w:t>
      </w:r>
      <w:r>
        <w:rPr>
          <w:spacing w:val="-14"/>
        </w:rPr>
        <w:t> </w:t>
      </w:r>
      <w:r>
        <w:rPr/>
        <w:t>el</w:t>
      </w:r>
      <w:r>
        <w:rPr>
          <w:spacing w:val="-14"/>
        </w:rPr>
        <w:t> </w:t>
      </w:r>
      <w:r>
        <w:rPr/>
        <w:t>principal, más allá de que el interés se liquide en forma anticipada o vencida.</w:t>
      </w:r>
    </w:p>
    <w:p>
      <w:pPr>
        <w:pStyle w:val="BodyText"/>
        <w:spacing w:before="161"/>
        <w:ind w:left="1442"/>
        <w:jc w:val="both"/>
      </w:pPr>
      <w:r>
        <w:rPr/>
        <w:t>Sí</w:t>
      </w:r>
      <w:r>
        <w:rPr>
          <w:spacing w:val="-6"/>
        </w:rPr>
        <w:t> </w:t>
      </w:r>
      <w:r>
        <w:rPr/>
        <w:t>dicho</w:t>
      </w:r>
      <w:r>
        <w:rPr>
          <w:spacing w:val="-3"/>
        </w:rPr>
        <w:t> </w:t>
      </w:r>
      <w:r>
        <w:rPr/>
        <w:t>valor</w:t>
      </w:r>
      <w:r>
        <w:rPr>
          <w:spacing w:val="-4"/>
        </w:rPr>
        <w:t> </w:t>
      </w:r>
      <w:r>
        <w:rPr/>
        <w:t>razonable</w:t>
      </w:r>
      <w:r>
        <w:rPr>
          <w:spacing w:val="-5"/>
        </w:rPr>
        <w:t> </w:t>
      </w:r>
      <w:r>
        <w:rPr/>
        <w:t>no</w:t>
      </w:r>
      <w:r>
        <w:rPr>
          <w:spacing w:val="-5"/>
        </w:rPr>
        <w:t> </w:t>
      </w:r>
      <w:r>
        <w:rPr/>
        <w:t>puede</w:t>
      </w:r>
      <w:r>
        <w:rPr>
          <w:spacing w:val="-6"/>
        </w:rPr>
        <w:t> </w:t>
      </w:r>
      <w:r>
        <w:rPr/>
        <w:t>ser</w:t>
      </w:r>
      <w:r>
        <w:rPr>
          <w:spacing w:val="-3"/>
        </w:rPr>
        <w:t> </w:t>
      </w:r>
      <w:r>
        <w:rPr/>
        <w:t>medido</w:t>
      </w:r>
      <w:r>
        <w:rPr>
          <w:spacing w:val="-3"/>
        </w:rPr>
        <w:t> </w:t>
      </w:r>
      <w:r>
        <w:rPr/>
        <w:t>con</w:t>
      </w:r>
      <w:r>
        <w:rPr>
          <w:spacing w:val="-6"/>
        </w:rPr>
        <w:t> </w:t>
      </w:r>
      <w:r>
        <w:rPr/>
        <w:t>fiabilidad,</w:t>
      </w:r>
      <w:r>
        <w:rPr>
          <w:spacing w:val="-3"/>
        </w:rPr>
        <w:t> </w:t>
      </w:r>
      <w:r>
        <w:rPr/>
        <w:t>la</w:t>
      </w:r>
      <w:r>
        <w:rPr>
          <w:spacing w:val="-4"/>
        </w:rPr>
        <w:t> </w:t>
      </w:r>
      <w:r>
        <w:rPr/>
        <w:t>medición</w:t>
      </w:r>
      <w:r>
        <w:rPr>
          <w:spacing w:val="-4"/>
        </w:rPr>
        <w:t> </w:t>
      </w:r>
      <w:r>
        <w:rPr/>
        <w:t>será</w:t>
      </w:r>
      <w:r>
        <w:rPr>
          <w:spacing w:val="-4"/>
        </w:rPr>
        <w:t> </w:t>
      </w:r>
      <w:r>
        <w:rPr/>
        <w:t>al</w:t>
      </w:r>
      <w:r>
        <w:rPr>
          <w:spacing w:val="-3"/>
        </w:rPr>
        <w:t> </w:t>
      </w:r>
      <w:r>
        <w:rPr>
          <w:spacing w:val="-2"/>
        </w:rPr>
        <w:t>costo.”</w:t>
      </w:r>
    </w:p>
    <w:p>
      <w:pPr>
        <w:pStyle w:val="BodyText"/>
        <w:spacing w:before="160"/>
        <w:ind w:left="734" w:right="1095"/>
        <w:jc w:val="both"/>
      </w:pPr>
      <w:r>
        <w:rPr/>
        <w:t>Las cuentas por cobrar del IMAS provienen de ingresos sin contraprestación, y deben ser reconocidos de acuerdo con la NICSP 23.</w:t>
      </w:r>
    </w:p>
    <w:p>
      <w:pPr>
        <w:pStyle w:val="BodyText"/>
        <w:spacing w:line="251" w:lineRule="exact"/>
        <w:ind w:left="734"/>
        <w:jc w:val="both"/>
      </w:pPr>
      <w:r>
        <w:rPr/>
        <w:t>El</w:t>
      </w:r>
      <w:r>
        <w:rPr>
          <w:spacing w:val="-3"/>
        </w:rPr>
        <w:t> </w:t>
      </w:r>
      <w:r>
        <w:rPr/>
        <w:t>IMAS</w:t>
      </w:r>
      <w:r>
        <w:rPr>
          <w:spacing w:val="-1"/>
        </w:rPr>
        <w:t> </w:t>
      </w:r>
      <w:r>
        <w:rPr/>
        <w:t>tiene</w:t>
      </w:r>
      <w:r>
        <w:rPr>
          <w:spacing w:val="-3"/>
        </w:rPr>
        <w:t> </w:t>
      </w:r>
      <w:r>
        <w:rPr/>
        <w:t>una</w:t>
      </w:r>
      <w:r>
        <w:rPr>
          <w:spacing w:val="-3"/>
        </w:rPr>
        <w:t> </w:t>
      </w:r>
      <w:r>
        <w:rPr/>
        <w:t>cuenta</w:t>
      </w:r>
      <w:r>
        <w:rPr>
          <w:spacing w:val="-2"/>
        </w:rPr>
        <w:t> </w:t>
      </w:r>
      <w:r>
        <w:rPr/>
        <w:t>por</w:t>
      </w:r>
      <w:r>
        <w:rPr>
          <w:spacing w:val="-2"/>
        </w:rPr>
        <w:t> </w:t>
      </w:r>
      <w:r>
        <w:rPr/>
        <w:t>pagar</w:t>
      </w:r>
      <w:r>
        <w:rPr>
          <w:spacing w:val="-2"/>
        </w:rPr>
        <w:t> cuando:</w:t>
      </w:r>
    </w:p>
    <w:p>
      <w:pPr>
        <w:pStyle w:val="ListParagraph"/>
        <w:numPr>
          <w:ilvl w:val="1"/>
          <w:numId w:val="17"/>
        </w:numPr>
        <w:tabs>
          <w:tab w:pos="2391" w:val="left" w:leader="none"/>
        </w:tabs>
        <w:spacing w:line="240" w:lineRule="auto" w:before="160" w:after="0"/>
        <w:ind w:left="2150" w:right="1092" w:firstLine="0"/>
        <w:jc w:val="left"/>
        <w:rPr>
          <w:sz w:val="22"/>
        </w:rPr>
      </w:pPr>
      <w:r>
        <w:rPr>
          <w:sz w:val="22"/>
        </w:rPr>
        <w:t>debido</w:t>
      </w:r>
      <w:r>
        <w:rPr>
          <w:spacing w:val="27"/>
          <w:sz w:val="22"/>
        </w:rPr>
        <w:t> </w:t>
      </w:r>
      <w:r>
        <w:rPr>
          <w:sz w:val="22"/>
        </w:rPr>
        <w:t>a</w:t>
      </w:r>
      <w:r>
        <w:rPr>
          <w:spacing w:val="26"/>
          <w:sz w:val="22"/>
        </w:rPr>
        <w:t> </w:t>
      </w:r>
      <w:r>
        <w:rPr>
          <w:sz w:val="22"/>
        </w:rPr>
        <w:t>un</w:t>
      </w:r>
      <w:r>
        <w:rPr>
          <w:spacing w:val="26"/>
          <w:sz w:val="22"/>
        </w:rPr>
        <w:t> </w:t>
      </w:r>
      <w:r>
        <w:rPr>
          <w:sz w:val="22"/>
        </w:rPr>
        <w:t>hecho</w:t>
      </w:r>
      <w:r>
        <w:rPr>
          <w:spacing w:val="27"/>
          <w:sz w:val="22"/>
        </w:rPr>
        <w:t> </w:t>
      </w:r>
      <w:r>
        <w:rPr>
          <w:sz w:val="22"/>
        </w:rPr>
        <w:t>ya</w:t>
      </w:r>
      <w:r>
        <w:rPr>
          <w:spacing w:val="26"/>
          <w:sz w:val="22"/>
        </w:rPr>
        <w:t> </w:t>
      </w:r>
      <w:r>
        <w:rPr>
          <w:sz w:val="22"/>
        </w:rPr>
        <w:t>ocurrido,</w:t>
      </w:r>
      <w:r>
        <w:rPr>
          <w:spacing w:val="27"/>
          <w:sz w:val="22"/>
        </w:rPr>
        <w:t> </w:t>
      </w:r>
      <w:r>
        <w:rPr>
          <w:sz w:val="22"/>
        </w:rPr>
        <w:t>tiene</w:t>
      </w:r>
      <w:r>
        <w:rPr>
          <w:spacing w:val="25"/>
          <w:sz w:val="22"/>
        </w:rPr>
        <w:t> </w:t>
      </w:r>
      <w:r>
        <w:rPr>
          <w:sz w:val="22"/>
        </w:rPr>
        <w:t>una</w:t>
      </w:r>
      <w:r>
        <w:rPr>
          <w:spacing w:val="26"/>
          <w:sz w:val="22"/>
        </w:rPr>
        <w:t> </w:t>
      </w:r>
      <w:r>
        <w:rPr>
          <w:sz w:val="22"/>
        </w:rPr>
        <w:t>obligación</w:t>
      </w:r>
      <w:r>
        <w:rPr>
          <w:spacing w:val="27"/>
          <w:sz w:val="22"/>
        </w:rPr>
        <w:t> </w:t>
      </w:r>
      <w:r>
        <w:rPr>
          <w:sz w:val="22"/>
        </w:rPr>
        <w:t>de</w:t>
      </w:r>
      <w:r>
        <w:rPr>
          <w:spacing w:val="24"/>
          <w:sz w:val="22"/>
        </w:rPr>
        <w:t> </w:t>
      </w:r>
      <w:r>
        <w:rPr>
          <w:sz w:val="22"/>
        </w:rPr>
        <w:t>entregar</w:t>
      </w:r>
      <w:r>
        <w:rPr>
          <w:spacing w:val="26"/>
          <w:sz w:val="22"/>
        </w:rPr>
        <w:t> </w:t>
      </w:r>
      <w:r>
        <w:rPr>
          <w:sz w:val="22"/>
        </w:rPr>
        <w:t>un</w:t>
      </w:r>
      <w:r>
        <w:rPr>
          <w:spacing w:val="26"/>
          <w:sz w:val="22"/>
        </w:rPr>
        <w:t> </w:t>
      </w:r>
      <w:r>
        <w:rPr>
          <w:sz w:val="22"/>
        </w:rPr>
        <w:t>activo</w:t>
      </w:r>
      <w:r>
        <w:rPr>
          <w:spacing w:val="27"/>
          <w:sz w:val="22"/>
        </w:rPr>
        <w:t> </w:t>
      </w:r>
      <w:r>
        <w:rPr>
          <w:sz w:val="22"/>
        </w:rPr>
        <w:t>o prestar un servicio;</w:t>
      </w:r>
    </w:p>
    <w:p>
      <w:pPr>
        <w:pStyle w:val="ListParagraph"/>
        <w:numPr>
          <w:ilvl w:val="1"/>
          <w:numId w:val="17"/>
        </w:numPr>
        <w:tabs>
          <w:tab w:pos="2381" w:val="left" w:leader="none"/>
        </w:tabs>
        <w:spacing w:line="240" w:lineRule="auto" w:before="160" w:after="0"/>
        <w:ind w:left="2381" w:right="0" w:hanging="231"/>
        <w:jc w:val="left"/>
        <w:rPr>
          <w:sz w:val="22"/>
        </w:rPr>
      </w:pPr>
      <w:r>
        <w:rPr>
          <w:sz w:val="22"/>
        </w:rPr>
        <w:t>la</w:t>
      </w:r>
      <w:r>
        <w:rPr>
          <w:spacing w:val="-5"/>
          <w:sz w:val="22"/>
        </w:rPr>
        <w:t> </w:t>
      </w:r>
      <w:r>
        <w:rPr>
          <w:sz w:val="22"/>
        </w:rPr>
        <w:t>cancelación</w:t>
      </w:r>
      <w:r>
        <w:rPr>
          <w:spacing w:val="-4"/>
          <w:sz w:val="22"/>
        </w:rPr>
        <w:t> </w:t>
      </w:r>
      <w:r>
        <w:rPr>
          <w:sz w:val="22"/>
        </w:rPr>
        <w:t>de</w:t>
      </w:r>
      <w:r>
        <w:rPr>
          <w:spacing w:val="-6"/>
          <w:sz w:val="22"/>
        </w:rPr>
        <w:t> </w:t>
      </w:r>
      <w:r>
        <w:rPr>
          <w:sz w:val="22"/>
        </w:rPr>
        <w:t>dicha</w:t>
      </w:r>
      <w:r>
        <w:rPr>
          <w:spacing w:val="-4"/>
          <w:sz w:val="22"/>
        </w:rPr>
        <w:t> </w:t>
      </w:r>
      <w:r>
        <w:rPr>
          <w:spacing w:val="-2"/>
          <w:sz w:val="22"/>
        </w:rPr>
        <w:t>obligación:</w:t>
      </w:r>
    </w:p>
    <w:p>
      <w:pPr>
        <w:pStyle w:val="ListParagraph"/>
        <w:numPr>
          <w:ilvl w:val="2"/>
          <w:numId w:val="17"/>
        </w:numPr>
        <w:tabs>
          <w:tab w:pos="3018" w:val="left" w:leader="none"/>
        </w:tabs>
        <w:spacing w:line="240" w:lineRule="auto" w:before="162" w:after="0"/>
        <w:ind w:left="3018" w:right="0" w:hanging="159"/>
        <w:jc w:val="left"/>
        <w:rPr>
          <w:sz w:val="22"/>
        </w:rPr>
      </w:pPr>
      <w:r>
        <w:rPr>
          <w:sz w:val="22"/>
        </w:rPr>
        <w:t>es</w:t>
      </w:r>
      <w:r>
        <w:rPr>
          <w:spacing w:val="-4"/>
          <w:sz w:val="22"/>
        </w:rPr>
        <w:t> </w:t>
      </w:r>
      <w:r>
        <w:rPr>
          <w:sz w:val="22"/>
        </w:rPr>
        <w:t>ineludible</w:t>
      </w:r>
      <w:r>
        <w:rPr>
          <w:spacing w:val="-5"/>
          <w:sz w:val="22"/>
        </w:rPr>
        <w:t> </w:t>
      </w:r>
      <w:r>
        <w:rPr>
          <w:sz w:val="22"/>
        </w:rPr>
        <w:t>o</w:t>
      </w:r>
      <w:r>
        <w:rPr>
          <w:spacing w:val="-5"/>
          <w:sz w:val="22"/>
        </w:rPr>
        <w:t> </w:t>
      </w:r>
      <w:r>
        <w:rPr>
          <w:sz w:val="22"/>
        </w:rPr>
        <w:t>probable;</w:t>
      </w:r>
      <w:r>
        <w:rPr>
          <w:spacing w:val="-4"/>
          <w:sz w:val="22"/>
        </w:rPr>
        <w:t> </w:t>
      </w:r>
      <w:r>
        <w:rPr>
          <w:spacing w:val="-10"/>
          <w:sz w:val="22"/>
        </w:rPr>
        <w:t>y</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39584">
                <wp:simplePos x="0" y="0"/>
                <wp:positionH relativeFrom="page">
                  <wp:posOffset>9525</wp:posOffset>
                </wp:positionH>
                <wp:positionV relativeFrom="page">
                  <wp:posOffset>297208</wp:posOffset>
                </wp:positionV>
                <wp:extent cx="7762875" cy="974852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7762875" cy="9748520"/>
                          <a:chExt cx="7762875" cy="9748520"/>
                        </a:xfrm>
                      </wpg:grpSpPr>
                      <pic:pic>
                        <pic:nvPicPr>
                          <pic:cNvPr id="71" name="Image 71"/>
                          <pic:cNvPicPr/>
                        </pic:nvPicPr>
                        <pic:blipFill>
                          <a:blip r:embed="rId5" cstate="print"/>
                          <a:stretch>
                            <a:fillRect/>
                          </a:stretch>
                        </pic:blipFill>
                        <pic:spPr>
                          <a:xfrm>
                            <a:off x="0" y="0"/>
                            <a:ext cx="7762874" cy="9748489"/>
                          </a:xfrm>
                          <a:prstGeom prst="rect">
                            <a:avLst/>
                          </a:prstGeom>
                        </pic:spPr>
                      </pic:pic>
                      <wps:wsp>
                        <wps:cNvPr id="72" name="Graphic 72"/>
                        <wps:cNvSpPr/>
                        <wps:spPr>
                          <a:xfrm>
                            <a:off x="1053007" y="990837"/>
                            <a:ext cx="5649595" cy="7579995"/>
                          </a:xfrm>
                          <a:custGeom>
                            <a:avLst/>
                            <a:gdLst/>
                            <a:ahLst/>
                            <a:cxnLst/>
                            <a:rect l="l" t="t" r="r" b="b"/>
                            <a:pathLst>
                              <a:path w="5649595" h="7579995">
                                <a:moveTo>
                                  <a:pt x="24384" y="132651"/>
                                </a:moveTo>
                                <a:lnTo>
                                  <a:pt x="18288" y="132651"/>
                                </a:lnTo>
                                <a:lnTo>
                                  <a:pt x="18288" y="7573708"/>
                                </a:lnTo>
                                <a:lnTo>
                                  <a:pt x="24384" y="7573708"/>
                                </a:lnTo>
                                <a:lnTo>
                                  <a:pt x="24384" y="132651"/>
                                </a:lnTo>
                                <a:close/>
                              </a:path>
                              <a:path w="5649595" h="7579995">
                                <a:moveTo>
                                  <a:pt x="5630862" y="7573721"/>
                                </a:moveTo>
                                <a:lnTo>
                                  <a:pt x="5624830" y="7573721"/>
                                </a:lnTo>
                                <a:lnTo>
                                  <a:pt x="24384" y="7573721"/>
                                </a:lnTo>
                                <a:lnTo>
                                  <a:pt x="18288" y="7573721"/>
                                </a:lnTo>
                                <a:lnTo>
                                  <a:pt x="18288" y="7579804"/>
                                </a:lnTo>
                                <a:lnTo>
                                  <a:pt x="24384" y="7579804"/>
                                </a:lnTo>
                                <a:lnTo>
                                  <a:pt x="5624779" y="7579804"/>
                                </a:lnTo>
                                <a:lnTo>
                                  <a:pt x="5630862" y="7579804"/>
                                </a:lnTo>
                                <a:lnTo>
                                  <a:pt x="5630862" y="7573721"/>
                                </a:lnTo>
                                <a:close/>
                              </a:path>
                              <a:path w="5649595" h="7579995">
                                <a:moveTo>
                                  <a:pt x="5630862" y="132651"/>
                                </a:moveTo>
                                <a:lnTo>
                                  <a:pt x="5624779" y="132651"/>
                                </a:lnTo>
                                <a:lnTo>
                                  <a:pt x="5624779" y="7573708"/>
                                </a:lnTo>
                                <a:lnTo>
                                  <a:pt x="5630862" y="7573708"/>
                                </a:lnTo>
                                <a:lnTo>
                                  <a:pt x="5630862" y="132651"/>
                                </a:lnTo>
                                <a:close/>
                              </a:path>
                              <a:path w="5649595" h="7579995">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57999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6896" id="docshapegroup69" coordorigin="15,468" coordsize="12225,15352">
                <v:shape style="position:absolute;left:15;top:468;width:12225;height:15352" type="#_x0000_t75" id="docshape70" stroked="false">
                  <v:imagedata r:id="rId5" o:title=""/>
                </v:shape>
                <v:shape style="position:absolute;left:1673;top:2028;width:8897;height:11937" id="docshape71" coordorigin="1673,2028" coordsize="8897,11937" path="m1712,2237l1702,2237,1702,13956,1712,13956,1712,2237xm10541,13956l10531,13956,10531,13956,1712,13956,1702,13956,1702,13965,1712,13965,10531,13965,10531,13965,10541,13965,10541,13956xm10541,2237l10531,2237,10531,13956,10541,13956,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w:t>
      </w:r>
    </w:p>
    <w:p>
      <w:pPr>
        <w:pStyle w:val="ListParagraph"/>
        <w:numPr>
          <w:ilvl w:val="2"/>
          <w:numId w:val="17"/>
        </w:numPr>
        <w:tabs>
          <w:tab w:pos="3075" w:val="left" w:leader="none"/>
        </w:tabs>
        <w:spacing w:line="240" w:lineRule="auto" w:before="227" w:after="0"/>
        <w:ind w:left="2859" w:right="1089" w:firstLine="0"/>
        <w:jc w:val="left"/>
        <w:rPr>
          <w:sz w:val="22"/>
        </w:rPr>
      </w:pPr>
      <w:r>
        <w:rPr>
          <w:sz w:val="22"/>
        </w:rPr>
        <w:t>deberá efectuarse en una fecha determinada o determinable debido a la ocurrencia de cierto hecho.</w:t>
      </w:r>
    </w:p>
    <w:p>
      <w:pPr>
        <w:pStyle w:val="BodyText"/>
        <w:spacing w:line="276" w:lineRule="auto" w:before="161"/>
        <w:ind w:left="734" w:right="1090"/>
        <w:jc w:val="both"/>
      </w:pPr>
      <w:r>
        <w:rPr/>
        <w:t>Las cuentas por cobrar se clasifican como corrientes cuando su vencimiento o fecha esperada de recuperación es igual o inferior a doce meses contados desde la fecha de los Estados Financieros. Aquellas con vencimientos superiores se clasifican como no corrientes, debiendo reclasificarse a corto plazo cuando resten doce meses o menos para su cancelación.</w:t>
      </w:r>
    </w:p>
    <w:p>
      <w:pPr>
        <w:pStyle w:val="BodyText"/>
        <w:spacing w:line="276" w:lineRule="auto" w:before="120"/>
        <w:ind w:left="734" w:right="1087"/>
        <w:jc w:val="both"/>
      </w:pPr>
      <w:r>
        <w:rPr/>
        <w:t>La entidad evalúa periódicamente la recuperabilidad de las cuentas por cobrar y reconoce estimaciones</w:t>
      </w:r>
      <w:r>
        <w:rPr>
          <w:spacing w:val="-14"/>
        </w:rPr>
        <w:t> </w:t>
      </w:r>
      <w:r>
        <w:rPr/>
        <w:t>por</w:t>
      </w:r>
      <w:r>
        <w:rPr>
          <w:spacing w:val="-14"/>
        </w:rPr>
        <w:t> </w:t>
      </w:r>
      <w:r>
        <w:rPr/>
        <w:t>deterioro</w:t>
      </w:r>
      <w:r>
        <w:rPr>
          <w:spacing w:val="-14"/>
        </w:rPr>
        <w:t> </w:t>
      </w:r>
      <w:r>
        <w:rPr/>
        <w:t>cuando</w:t>
      </w:r>
      <w:r>
        <w:rPr>
          <w:spacing w:val="-13"/>
        </w:rPr>
        <w:t> </w:t>
      </w:r>
      <w:r>
        <w:rPr/>
        <w:t>exista</w:t>
      </w:r>
      <w:r>
        <w:rPr>
          <w:spacing w:val="-14"/>
        </w:rPr>
        <w:t> </w:t>
      </w:r>
      <w:r>
        <w:rPr/>
        <w:t>evidencia</w:t>
      </w:r>
      <w:r>
        <w:rPr>
          <w:spacing w:val="-14"/>
        </w:rPr>
        <w:t> </w:t>
      </w:r>
      <w:r>
        <w:rPr/>
        <w:t>objetiva</w:t>
      </w:r>
      <w:r>
        <w:rPr>
          <w:spacing w:val="-14"/>
        </w:rPr>
        <w:t> </w:t>
      </w:r>
      <w:r>
        <w:rPr/>
        <w:t>de</w:t>
      </w:r>
      <w:r>
        <w:rPr>
          <w:spacing w:val="-13"/>
        </w:rPr>
        <w:t> </w:t>
      </w:r>
      <w:r>
        <w:rPr/>
        <w:t>incobrabilidad,</w:t>
      </w:r>
      <w:r>
        <w:rPr>
          <w:spacing w:val="-14"/>
        </w:rPr>
        <w:t> </w:t>
      </w:r>
      <w:r>
        <w:rPr/>
        <w:t>considerando</w:t>
      </w:r>
      <w:r>
        <w:rPr>
          <w:spacing w:val="-14"/>
        </w:rPr>
        <w:t> </w:t>
      </w:r>
      <w:r>
        <w:rPr/>
        <w:t>factores como el vencimiento, el historial de pagos y la capacidad financiera del deudor. El deterioro se reconoce como gasto del período y se mide por el importe que se estima no recuperable.</w:t>
      </w:r>
    </w:p>
    <w:p>
      <w:pPr>
        <w:pStyle w:val="BodyText"/>
        <w:spacing w:line="276" w:lineRule="auto" w:before="121"/>
        <w:ind w:left="734" w:right="1092"/>
        <w:jc w:val="both"/>
      </w:pPr>
      <w:r>
        <w:rPr/>
        <w:t>Las transferencias por cobrar se reconocen cuando existe un derecho exigible respaldado por disposición legal o administrativa en firme, que garantice razonablemente la percepción de los recursos y el acceso a los beneficios económicos o al potencial de servicio asociado.</w:t>
      </w:r>
    </w:p>
    <w:p>
      <w:pPr>
        <w:pStyle w:val="BodyText"/>
        <w:spacing w:before="118"/>
        <w:ind w:left="734" w:right="1093"/>
        <w:jc w:val="both"/>
      </w:pPr>
      <w:r>
        <w:rPr/>
        <w:t>Dentro de la normativa vigente y recientemente emitida tenemos el Reglamento para la Gestión Administrativa y Judicial de las Cuentas por Cobrar del IMAS aprobada el 28 de junio del 2022.</w:t>
      </w:r>
    </w:p>
    <w:p>
      <w:pPr>
        <w:pStyle w:val="BodyText"/>
        <w:spacing w:before="159"/>
      </w:pPr>
    </w:p>
    <w:p>
      <w:pPr>
        <w:pStyle w:val="Heading6"/>
        <w:ind w:left="734"/>
        <w:jc w:val="both"/>
      </w:pPr>
      <w:r>
        <w:rPr/>
        <w:t>De</w:t>
      </w:r>
      <w:r>
        <w:rPr>
          <w:spacing w:val="-2"/>
        </w:rPr>
        <w:t> </w:t>
      </w:r>
      <w:r>
        <w:rPr/>
        <w:t>la</w:t>
      </w:r>
      <w:r>
        <w:rPr>
          <w:spacing w:val="-4"/>
        </w:rPr>
        <w:t> </w:t>
      </w:r>
      <w:r>
        <w:rPr/>
        <w:t>incobrabilidad</w:t>
      </w:r>
      <w:r>
        <w:rPr>
          <w:spacing w:val="-3"/>
        </w:rPr>
        <w:t> </w:t>
      </w:r>
      <w:r>
        <w:rPr/>
        <w:t>de</w:t>
      </w:r>
      <w:r>
        <w:rPr>
          <w:spacing w:val="-1"/>
        </w:rPr>
        <w:t> </w:t>
      </w:r>
      <w:r>
        <w:rPr/>
        <w:t>las</w:t>
      </w:r>
      <w:r>
        <w:rPr>
          <w:spacing w:val="-2"/>
        </w:rPr>
        <w:t> </w:t>
      </w:r>
      <w:r>
        <w:rPr/>
        <w:t>cuentas</w:t>
      </w:r>
      <w:r>
        <w:rPr>
          <w:spacing w:val="-2"/>
        </w:rPr>
        <w:t> </w:t>
      </w:r>
      <w:r>
        <w:rPr/>
        <w:t>por</w:t>
      </w:r>
      <w:r>
        <w:rPr>
          <w:spacing w:val="-2"/>
        </w:rPr>
        <w:t> cobrar:</w:t>
      </w:r>
    </w:p>
    <w:p>
      <w:pPr>
        <w:pStyle w:val="BodyText"/>
        <w:spacing w:line="276" w:lineRule="auto" w:before="1"/>
        <w:ind w:left="734" w:right="1087"/>
        <w:jc w:val="both"/>
      </w:pPr>
      <w:r>
        <w:rPr/>
        <w:t>La entidad aplica políticas contables específicas para la administración del crédito, el control de la morosidad y el reconocimiento de pérdidas por incobrables, en complemento a lo establecido en las NICSP,</w:t>
      </w:r>
      <w:r>
        <w:rPr>
          <w:spacing w:val="-1"/>
        </w:rPr>
        <w:t> </w:t>
      </w:r>
      <w:r>
        <w:rPr/>
        <w:t>con</w:t>
      </w:r>
      <w:r>
        <w:rPr>
          <w:spacing w:val="-1"/>
        </w:rPr>
        <w:t> </w:t>
      </w:r>
      <w:r>
        <w:rPr/>
        <w:t>el</w:t>
      </w:r>
      <w:r>
        <w:rPr>
          <w:spacing w:val="-1"/>
        </w:rPr>
        <w:t> </w:t>
      </w:r>
      <w:r>
        <w:rPr/>
        <w:t>fin</w:t>
      </w:r>
      <w:r>
        <w:rPr>
          <w:spacing w:val="-1"/>
        </w:rPr>
        <w:t> </w:t>
      </w:r>
      <w:r>
        <w:rPr/>
        <w:t>de</w:t>
      </w:r>
      <w:r>
        <w:rPr>
          <w:spacing w:val="-3"/>
        </w:rPr>
        <w:t> </w:t>
      </w:r>
      <w:r>
        <w:rPr/>
        <w:t>asegurar</w:t>
      </w:r>
      <w:r>
        <w:rPr>
          <w:spacing w:val="-1"/>
        </w:rPr>
        <w:t> </w:t>
      </w:r>
      <w:r>
        <w:rPr/>
        <w:t>una</w:t>
      </w:r>
      <w:r>
        <w:rPr>
          <w:spacing w:val="-2"/>
        </w:rPr>
        <w:t> </w:t>
      </w:r>
      <w:r>
        <w:rPr/>
        <w:t>gestión</w:t>
      </w:r>
      <w:r>
        <w:rPr>
          <w:spacing w:val="-1"/>
        </w:rPr>
        <w:t> </w:t>
      </w:r>
      <w:r>
        <w:rPr/>
        <w:t>adecuada de</w:t>
      </w:r>
      <w:r>
        <w:rPr>
          <w:spacing w:val="-3"/>
        </w:rPr>
        <w:t> </w:t>
      </w:r>
      <w:r>
        <w:rPr/>
        <w:t>las cuentas</w:t>
      </w:r>
      <w:r>
        <w:rPr>
          <w:spacing w:val="-1"/>
        </w:rPr>
        <w:t> </w:t>
      </w:r>
      <w:r>
        <w:rPr/>
        <w:t>por</w:t>
      </w:r>
      <w:r>
        <w:rPr>
          <w:spacing w:val="-1"/>
        </w:rPr>
        <w:t> </w:t>
      </w:r>
      <w:r>
        <w:rPr/>
        <w:t>cobrar</w:t>
      </w:r>
      <w:r>
        <w:rPr>
          <w:spacing w:val="-1"/>
        </w:rPr>
        <w:t> </w:t>
      </w:r>
      <w:r>
        <w:rPr/>
        <w:t>y</w:t>
      </w:r>
      <w:r>
        <w:rPr>
          <w:spacing w:val="-3"/>
        </w:rPr>
        <w:t> </w:t>
      </w:r>
      <w:r>
        <w:rPr/>
        <w:t>la</w:t>
      </w:r>
      <w:r>
        <w:rPr>
          <w:spacing w:val="-3"/>
        </w:rPr>
        <w:t> </w:t>
      </w:r>
      <w:r>
        <w:rPr/>
        <w:t>razonabilidad de los activos reconocidos dentro de los Estados Financieros.</w:t>
      </w:r>
    </w:p>
    <w:p>
      <w:pPr>
        <w:pStyle w:val="BodyText"/>
        <w:spacing w:line="259" w:lineRule="auto" w:before="121"/>
        <w:ind w:left="734" w:right="1086"/>
        <w:jc w:val="both"/>
      </w:pPr>
      <w:r>
        <w:rPr/>
        <w:t>La</w:t>
      </w:r>
      <w:r>
        <w:rPr>
          <w:spacing w:val="-8"/>
        </w:rPr>
        <w:t> </w:t>
      </w:r>
      <w:r>
        <w:rPr/>
        <w:t>metodología</w:t>
      </w:r>
      <w:r>
        <w:rPr>
          <w:spacing w:val="-8"/>
        </w:rPr>
        <w:t> </w:t>
      </w:r>
      <w:r>
        <w:rPr/>
        <w:t>de</w:t>
      </w:r>
      <w:r>
        <w:rPr>
          <w:spacing w:val="-9"/>
        </w:rPr>
        <w:t> </w:t>
      </w:r>
      <w:r>
        <w:rPr/>
        <w:t>conformidad</w:t>
      </w:r>
      <w:r>
        <w:rPr>
          <w:spacing w:val="-8"/>
        </w:rPr>
        <w:t> </w:t>
      </w:r>
      <w:r>
        <w:rPr/>
        <w:t>con</w:t>
      </w:r>
      <w:r>
        <w:rPr>
          <w:spacing w:val="-9"/>
        </w:rPr>
        <w:t> </w:t>
      </w:r>
      <w:r>
        <w:rPr/>
        <w:t>oficio</w:t>
      </w:r>
      <w:r>
        <w:rPr>
          <w:spacing w:val="-9"/>
        </w:rPr>
        <w:t> </w:t>
      </w:r>
      <w:r>
        <w:rPr/>
        <w:t>GG-1827-07-2015</w:t>
      </w:r>
      <w:r>
        <w:rPr>
          <w:spacing w:val="-8"/>
        </w:rPr>
        <w:t> </w:t>
      </w:r>
      <w:r>
        <w:rPr/>
        <w:t>del</w:t>
      </w:r>
      <w:r>
        <w:rPr>
          <w:spacing w:val="-8"/>
        </w:rPr>
        <w:t> </w:t>
      </w:r>
      <w:r>
        <w:rPr/>
        <w:t>22</w:t>
      </w:r>
      <w:r>
        <w:rPr>
          <w:spacing w:val="-8"/>
        </w:rPr>
        <w:t> </w:t>
      </w:r>
      <w:r>
        <w:rPr/>
        <w:t>de</w:t>
      </w:r>
      <w:r>
        <w:rPr>
          <w:spacing w:val="-9"/>
        </w:rPr>
        <w:t> </w:t>
      </w:r>
      <w:r>
        <w:rPr/>
        <w:t>julio</w:t>
      </w:r>
      <w:r>
        <w:rPr>
          <w:spacing w:val="-7"/>
        </w:rPr>
        <w:t> </w:t>
      </w:r>
      <w:r>
        <w:rPr/>
        <w:t>2015</w:t>
      </w:r>
      <w:r>
        <w:rPr>
          <w:spacing w:val="-8"/>
        </w:rPr>
        <w:t> </w:t>
      </w:r>
      <w:r>
        <w:rPr/>
        <w:t>y</w:t>
      </w:r>
      <w:r>
        <w:rPr>
          <w:spacing w:val="-11"/>
        </w:rPr>
        <w:t> </w:t>
      </w:r>
      <w:r>
        <w:rPr/>
        <w:t>al</w:t>
      </w:r>
      <w:r>
        <w:rPr>
          <w:spacing w:val="-8"/>
        </w:rPr>
        <w:t> </w:t>
      </w:r>
      <w:r>
        <w:rPr/>
        <w:t>GG</w:t>
      </w:r>
      <w:r>
        <w:rPr>
          <w:spacing w:val="-8"/>
        </w:rPr>
        <w:t> </w:t>
      </w:r>
      <w:r>
        <w:rPr/>
        <w:t>2763-11-2018 del 26 de enero del 2018, la Gerencia General autorizo el método de antigüedad de saldos y se procedió con la actualización con el oficio IMAS-GG-0530-2024. Utilizando la información de antigüedad</w:t>
      </w:r>
      <w:r>
        <w:rPr>
          <w:spacing w:val="-1"/>
        </w:rPr>
        <w:t> </w:t>
      </w:r>
      <w:r>
        <w:rPr/>
        <w:t>de</w:t>
      </w:r>
      <w:r>
        <w:rPr>
          <w:spacing w:val="-2"/>
        </w:rPr>
        <w:t> </w:t>
      </w:r>
      <w:r>
        <w:rPr/>
        <w:t>saldos, establecidos y</w:t>
      </w:r>
      <w:r>
        <w:rPr>
          <w:spacing w:val="-1"/>
        </w:rPr>
        <w:t> </w:t>
      </w:r>
      <w:r>
        <w:rPr/>
        <w:t>la</w:t>
      </w:r>
      <w:r>
        <w:rPr>
          <w:spacing w:val="-1"/>
        </w:rPr>
        <w:t> </w:t>
      </w:r>
      <w:r>
        <w:rPr/>
        <w:t>experiencia</w:t>
      </w:r>
      <w:r>
        <w:rPr>
          <w:spacing w:val="-1"/>
        </w:rPr>
        <w:t> </w:t>
      </w:r>
      <w:r>
        <w:rPr/>
        <w:t>se</w:t>
      </w:r>
      <w:r>
        <w:rPr>
          <w:spacing w:val="-1"/>
        </w:rPr>
        <w:t> </w:t>
      </w:r>
      <w:r>
        <w:rPr/>
        <w:t>realiza una</w:t>
      </w:r>
      <w:r>
        <w:rPr>
          <w:spacing w:val="-1"/>
        </w:rPr>
        <w:t> </w:t>
      </w:r>
      <w:r>
        <w:rPr/>
        <w:t>estimación</w:t>
      </w:r>
      <w:r>
        <w:rPr>
          <w:spacing w:val="-2"/>
        </w:rPr>
        <w:t> </w:t>
      </w:r>
      <w:r>
        <w:rPr/>
        <w:t>de</w:t>
      </w:r>
      <w:r>
        <w:rPr>
          <w:spacing w:val="-2"/>
        </w:rPr>
        <w:t> </w:t>
      </w:r>
      <w:r>
        <w:rPr/>
        <w:t>cuentas incobrables más acertada. La estimación de cuentas incobrables está compuesta por dos variables, deterioro individual (prescritas) y deterioro colectivo (cuentas no prescritas)</w:t>
      </w:r>
    </w:p>
    <w:p>
      <w:pPr>
        <w:pStyle w:val="BodyText"/>
        <w:spacing w:before="18"/>
      </w:pPr>
    </w:p>
    <w:p>
      <w:pPr>
        <w:pStyle w:val="BodyText"/>
        <w:spacing w:line="256" w:lineRule="auto" w:before="1"/>
        <w:ind w:left="734" w:right="1001"/>
      </w:pPr>
      <w:r>
        <w:rPr/>
        <w:t>Utilizando</w:t>
      </w:r>
      <w:r>
        <w:rPr>
          <w:spacing w:val="-2"/>
        </w:rPr>
        <w:t> </w:t>
      </w:r>
      <w:r>
        <w:rPr/>
        <w:t>la</w:t>
      </w:r>
      <w:r>
        <w:rPr>
          <w:spacing w:val="-3"/>
        </w:rPr>
        <w:t> </w:t>
      </w:r>
      <w:r>
        <w:rPr/>
        <w:t>información</w:t>
      </w:r>
      <w:r>
        <w:rPr>
          <w:spacing w:val="-4"/>
        </w:rPr>
        <w:t> </w:t>
      </w:r>
      <w:r>
        <w:rPr/>
        <w:t>del</w:t>
      </w:r>
      <w:r>
        <w:rPr>
          <w:spacing w:val="-2"/>
        </w:rPr>
        <w:t> </w:t>
      </w:r>
      <w:r>
        <w:rPr/>
        <w:t>reporte</w:t>
      </w:r>
      <w:r>
        <w:rPr>
          <w:spacing w:val="-3"/>
        </w:rPr>
        <w:t> </w:t>
      </w:r>
      <w:r>
        <w:rPr/>
        <w:t>de</w:t>
      </w:r>
      <w:r>
        <w:rPr>
          <w:spacing w:val="-4"/>
        </w:rPr>
        <w:t> </w:t>
      </w:r>
      <w:r>
        <w:rPr/>
        <w:t>antigüedad</w:t>
      </w:r>
      <w:r>
        <w:rPr>
          <w:spacing w:val="-2"/>
        </w:rPr>
        <w:t> </w:t>
      </w:r>
      <w:r>
        <w:rPr/>
        <w:t>de</w:t>
      </w:r>
      <w:r>
        <w:rPr>
          <w:spacing w:val="-3"/>
        </w:rPr>
        <w:t> </w:t>
      </w:r>
      <w:r>
        <w:rPr/>
        <w:t>saldos</w:t>
      </w:r>
      <w:r>
        <w:rPr>
          <w:spacing w:val="-2"/>
        </w:rPr>
        <w:t> </w:t>
      </w:r>
      <w:r>
        <w:rPr/>
        <w:t>y</w:t>
      </w:r>
      <w:r>
        <w:rPr>
          <w:spacing w:val="-3"/>
        </w:rPr>
        <w:t> </w:t>
      </w:r>
      <w:r>
        <w:rPr/>
        <w:t>la</w:t>
      </w:r>
      <w:r>
        <w:rPr>
          <w:spacing w:val="-4"/>
        </w:rPr>
        <w:t> </w:t>
      </w:r>
      <w:r>
        <w:rPr/>
        <w:t>experiencia</w:t>
      </w:r>
      <w:r>
        <w:rPr>
          <w:spacing w:val="-3"/>
        </w:rPr>
        <w:t> </w:t>
      </w:r>
      <w:r>
        <w:rPr/>
        <w:t>se</w:t>
      </w:r>
      <w:r>
        <w:rPr>
          <w:spacing w:val="-3"/>
        </w:rPr>
        <w:t> </w:t>
      </w:r>
      <w:r>
        <w:rPr/>
        <w:t>realiza</w:t>
      </w:r>
      <w:r>
        <w:rPr>
          <w:spacing w:val="-2"/>
        </w:rPr>
        <w:t> </w:t>
      </w:r>
      <w:r>
        <w:rPr/>
        <w:t>una estimación de cuentas incobrables más acertada.</w:t>
      </w:r>
    </w:p>
    <w:p>
      <w:pPr>
        <w:pStyle w:val="BodyText"/>
        <w:spacing w:before="3"/>
        <w:ind w:left="734"/>
      </w:pPr>
      <w:r>
        <w:rPr/>
        <w:t>La</w:t>
      </w:r>
      <w:r>
        <w:rPr>
          <w:spacing w:val="-7"/>
        </w:rPr>
        <w:t> </w:t>
      </w:r>
      <w:r>
        <w:rPr/>
        <w:t>estimación</w:t>
      </w:r>
      <w:r>
        <w:rPr>
          <w:spacing w:val="-4"/>
        </w:rPr>
        <w:t> </w:t>
      </w:r>
      <w:r>
        <w:rPr/>
        <w:t>de</w:t>
      </w:r>
      <w:r>
        <w:rPr>
          <w:spacing w:val="-6"/>
        </w:rPr>
        <w:t> </w:t>
      </w:r>
      <w:r>
        <w:rPr/>
        <w:t>cuentas</w:t>
      </w:r>
      <w:r>
        <w:rPr>
          <w:spacing w:val="-3"/>
        </w:rPr>
        <w:t> </w:t>
      </w:r>
      <w:r>
        <w:rPr/>
        <w:t>incobrables</w:t>
      </w:r>
      <w:r>
        <w:rPr>
          <w:spacing w:val="-3"/>
        </w:rPr>
        <w:t> </w:t>
      </w:r>
      <w:r>
        <w:rPr/>
        <w:t>está</w:t>
      </w:r>
      <w:r>
        <w:rPr>
          <w:spacing w:val="-4"/>
        </w:rPr>
        <w:t> </w:t>
      </w:r>
      <w:r>
        <w:rPr/>
        <w:t>compuesta</w:t>
      </w:r>
      <w:r>
        <w:rPr>
          <w:spacing w:val="-4"/>
        </w:rPr>
        <w:t> </w:t>
      </w:r>
      <w:r>
        <w:rPr/>
        <w:t>por</w:t>
      </w:r>
      <w:r>
        <w:rPr>
          <w:spacing w:val="-4"/>
        </w:rPr>
        <w:t> </w:t>
      </w:r>
      <w:r>
        <w:rPr/>
        <w:t>dos</w:t>
      </w:r>
      <w:r>
        <w:rPr>
          <w:spacing w:val="-2"/>
        </w:rPr>
        <w:t> variables:</w:t>
      </w:r>
    </w:p>
    <w:p>
      <w:pPr>
        <w:pStyle w:val="ListParagraph"/>
        <w:numPr>
          <w:ilvl w:val="0"/>
          <w:numId w:val="18"/>
        </w:numPr>
        <w:tabs>
          <w:tab w:pos="1601" w:val="left" w:leader="none"/>
        </w:tabs>
        <w:spacing w:line="240" w:lineRule="auto" w:before="20" w:after="0"/>
        <w:ind w:left="1601" w:right="0" w:hanging="159"/>
        <w:jc w:val="left"/>
        <w:rPr>
          <w:sz w:val="22"/>
        </w:rPr>
      </w:pPr>
      <w:r>
        <w:rPr>
          <w:sz w:val="22"/>
        </w:rPr>
        <w:t>Deterioro</w:t>
      </w:r>
      <w:r>
        <w:rPr>
          <w:spacing w:val="-6"/>
          <w:sz w:val="22"/>
        </w:rPr>
        <w:t> </w:t>
      </w:r>
      <w:r>
        <w:rPr>
          <w:sz w:val="22"/>
        </w:rPr>
        <w:t>Individual</w:t>
      </w:r>
      <w:r>
        <w:rPr>
          <w:spacing w:val="-6"/>
          <w:sz w:val="22"/>
        </w:rPr>
        <w:t> </w:t>
      </w:r>
      <w:r>
        <w:rPr>
          <w:sz w:val="22"/>
        </w:rPr>
        <w:t>(cuentas</w:t>
      </w:r>
      <w:r>
        <w:rPr>
          <w:spacing w:val="-6"/>
          <w:sz w:val="22"/>
        </w:rPr>
        <w:t> </w:t>
      </w:r>
      <w:r>
        <w:rPr>
          <w:spacing w:val="-2"/>
          <w:sz w:val="22"/>
        </w:rPr>
        <w:t>prescritas)</w:t>
      </w:r>
    </w:p>
    <w:p>
      <w:pPr>
        <w:pStyle w:val="ListParagraph"/>
        <w:numPr>
          <w:ilvl w:val="0"/>
          <w:numId w:val="18"/>
        </w:numPr>
        <w:tabs>
          <w:tab w:pos="1653" w:val="left" w:leader="none"/>
        </w:tabs>
        <w:spacing w:line="240" w:lineRule="auto" w:before="21" w:after="0"/>
        <w:ind w:left="1653" w:right="0" w:hanging="211"/>
        <w:jc w:val="left"/>
        <w:rPr>
          <w:sz w:val="22"/>
        </w:rPr>
      </w:pPr>
      <w:r>
        <w:rPr>
          <w:sz w:val="22"/>
        </w:rPr>
        <w:t>Deterioro</w:t>
      </w:r>
      <w:r>
        <w:rPr>
          <w:spacing w:val="-5"/>
          <w:sz w:val="22"/>
        </w:rPr>
        <w:t> </w:t>
      </w:r>
      <w:r>
        <w:rPr>
          <w:sz w:val="22"/>
        </w:rPr>
        <w:t>Colectivo</w:t>
      </w:r>
      <w:r>
        <w:rPr>
          <w:spacing w:val="-4"/>
          <w:sz w:val="22"/>
        </w:rPr>
        <w:t> </w:t>
      </w:r>
      <w:r>
        <w:rPr>
          <w:sz w:val="22"/>
        </w:rPr>
        <w:t>(cuentas</w:t>
      </w:r>
      <w:r>
        <w:rPr>
          <w:spacing w:val="-5"/>
          <w:sz w:val="22"/>
        </w:rPr>
        <w:t> </w:t>
      </w:r>
      <w:r>
        <w:rPr>
          <w:sz w:val="22"/>
        </w:rPr>
        <w:t>no</w:t>
      </w:r>
      <w:r>
        <w:rPr>
          <w:spacing w:val="-4"/>
          <w:sz w:val="22"/>
        </w:rPr>
        <w:t> </w:t>
      </w:r>
      <w:r>
        <w:rPr>
          <w:spacing w:val="-2"/>
          <w:sz w:val="22"/>
        </w:rPr>
        <w:t>prescritas)</w:t>
      </w:r>
    </w:p>
    <w:p>
      <w:pPr>
        <w:pStyle w:val="BodyText"/>
        <w:spacing w:before="198"/>
      </w:pPr>
    </w:p>
    <w:p>
      <w:pPr>
        <w:pStyle w:val="Heading6"/>
        <w:spacing w:before="1"/>
        <w:ind w:left="734"/>
      </w:pPr>
      <w:r>
        <w:rPr/>
        <w:t>Previsiones</w:t>
      </w:r>
      <w:r>
        <w:rPr>
          <w:spacing w:val="-3"/>
        </w:rPr>
        <w:t> </w:t>
      </w:r>
      <w:r>
        <w:rPr/>
        <w:t>para</w:t>
      </w:r>
      <w:r>
        <w:rPr>
          <w:spacing w:val="-4"/>
        </w:rPr>
        <w:t> </w:t>
      </w:r>
      <w:r>
        <w:rPr>
          <w:spacing w:val="-2"/>
        </w:rPr>
        <w:t>deterioro</w:t>
      </w:r>
    </w:p>
    <w:p>
      <w:pPr>
        <w:pStyle w:val="BodyText"/>
        <w:spacing w:line="259" w:lineRule="auto" w:before="181"/>
        <w:ind w:left="734" w:right="1093"/>
        <w:jc w:val="both"/>
      </w:pPr>
      <w:r>
        <w:rPr/>
        <w:t>El Instituto ha establecido una estimación para cubrir posibles pérdidas por incobrabilidad de las cuentas y</w:t>
      </w:r>
      <w:r>
        <w:rPr>
          <w:spacing w:val="-1"/>
        </w:rPr>
        <w:t> </w:t>
      </w:r>
      <w:r>
        <w:rPr/>
        <w:t>documentos</w:t>
      </w:r>
      <w:r>
        <w:rPr>
          <w:spacing w:val="-1"/>
        </w:rPr>
        <w:t> </w:t>
      </w:r>
      <w:r>
        <w:rPr/>
        <w:t>por</w:t>
      </w:r>
      <w:r>
        <w:rPr>
          <w:spacing w:val="-2"/>
        </w:rPr>
        <w:t> </w:t>
      </w:r>
      <w:r>
        <w:rPr/>
        <w:t>cobrar a</w:t>
      </w:r>
      <w:r>
        <w:rPr>
          <w:spacing w:val="-1"/>
        </w:rPr>
        <w:t> </w:t>
      </w:r>
      <w:r>
        <w:rPr/>
        <w:t>largo plazo,</w:t>
      </w:r>
      <w:r>
        <w:rPr>
          <w:spacing w:val="-2"/>
        </w:rPr>
        <w:t> </w:t>
      </w:r>
      <w:r>
        <w:rPr/>
        <w:t>mediante</w:t>
      </w:r>
      <w:r>
        <w:rPr>
          <w:spacing w:val="-1"/>
        </w:rPr>
        <w:t> </w:t>
      </w:r>
      <w:r>
        <w:rPr/>
        <w:t>el</w:t>
      </w:r>
      <w:r>
        <w:rPr>
          <w:spacing w:val="-1"/>
        </w:rPr>
        <w:t> </w:t>
      </w:r>
      <w:r>
        <w:rPr/>
        <w:t>método</w:t>
      </w:r>
      <w:r>
        <w:rPr>
          <w:spacing w:val="-2"/>
        </w:rPr>
        <w:t> </w:t>
      </w:r>
      <w:r>
        <w:rPr/>
        <w:t>de</w:t>
      </w:r>
      <w:r>
        <w:rPr>
          <w:spacing w:val="-2"/>
        </w:rPr>
        <w:t> </w:t>
      </w:r>
      <w:r>
        <w:rPr/>
        <w:t>antigüedad</w:t>
      </w:r>
      <w:r>
        <w:rPr>
          <w:spacing w:val="-2"/>
        </w:rPr>
        <w:t> </w:t>
      </w:r>
      <w:r>
        <w:rPr/>
        <w:t>de</w:t>
      </w:r>
      <w:r>
        <w:rPr>
          <w:spacing w:val="-1"/>
        </w:rPr>
        <w:t> </w:t>
      </w:r>
      <w:r>
        <w:rPr/>
        <w:t>saldos</w:t>
      </w:r>
      <w:r>
        <w:rPr>
          <w:spacing w:val="-1"/>
        </w:rPr>
        <w:t> </w:t>
      </w:r>
      <w:r>
        <w:rPr/>
        <w:t>de</w:t>
      </w:r>
      <w:r>
        <w:rPr>
          <w:spacing w:val="-2"/>
        </w:rPr>
        <w:t> </w:t>
      </w:r>
      <w:r>
        <w:rPr/>
        <w:t>las cuentas por cobrar.</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0096">
                <wp:simplePos x="0" y="0"/>
                <wp:positionH relativeFrom="page">
                  <wp:posOffset>9525</wp:posOffset>
                </wp:positionH>
                <wp:positionV relativeFrom="page">
                  <wp:posOffset>297208</wp:posOffset>
                </wp:positionV>
                <wp:extent cx="7762875" cy="974852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7762875" cy="9748520"/>
                          <a:chExt cx="7762875" cy="9748520"/>
                        </a:xfrm>
                      </wpg:grpSpPr>
                      <pic:pic>
                        <pic:nvPicPr>
                          <pic:cNvPr id="74" name="Image 74"/>
                          <pic:cNvPicPr/>
                        </pic:nvPicPr>
                        <pic:blipFill>
                          <a:blip r:embed="rId5" cstate="print"/>
                          <a:stretch>
                            <a:fillRect/>
                          </a:stretch>
                        </pic:blipFill>
                        <pic:spPr>
                          <a:xfrm>
                            <a:off x="0" y="0"/>
                            <a:ext cx="7762874" cy="9748489"/>
                          </a:xfrm>
                          <a:prstGeom prst="rect">
                            <a:avLst/>
                          </a:prstGeom>
                        </pic:spPr>
                      </pic:pic>
                      <wps:wsp>
                        <wps:cNvPr id="75" name="Graphic 75"/>
                        <wps:cNvSpPr/>
                        <wps:spPr>
                          <a:xfrm>
                            <a:off x="1053007" y="990837"/>
                            <a:ext cx="5649595" cy="7741920"/>
                          </a:xfrm>
                          <a:custGeom>
                            <a:avLst/>
                            <a:gdLst/>
                            <a:ahLst/>
                            <a:cxnLst/>
                            <a:rect l="l" t="t" r="r" b="b"/>
                            <a:pathLst>
                              <a:path w="5649595" h="7741920">
                                <a:moveTo>
                                  <a:pt x="24384" y="132651"/>
                                </a:moveTo>
                                <a:lnTo>
                                  <a:pt x="18288" y="132651"/>
                                </a:lnTo>
                                <a:lnTo>
                                  <a:pt x="18288" y="7735252"/>
                                </a:lnTo>
                                <a:lnTo>
                                  <a:pt x="24384" y="7735252"/>
                                </a:lnTo>
                                <a:lnTo>
                                  <a:pt x="24384" y="132651"/>
                                </a:lnTo>
                                <a:close/>
                              </a:path>
                              <a:path w="5649595" h="7741920">
                                <a:moveTo>
                                  <a:pt x="5630862" y="7735265"/>
                                </a:moveTo>
                                <a:lnTo>
                                  <a:pt x="5624830" y="7735265"/>
                                </a:lnTo>
                                <a:lnTo>
                                  <a:pt x="24384" y="7735265"/>
                                </a:lnTo>
                                <a:lnTo>
                                  <a:pt x="18288" y="7735265"/>
                                </a:lnTo>
                                <a:lnTo>
                                  <a:pt x="18288" y="7741348"/>
                                </a:lnTo>
                                <a:lnTo>
                                  <a:pt x="24384" y="7741348"/>
                                </a:lnTo>
                                <a:lnTo>
                                  <a:pt x="5624779" y="7741348"/>
                                </a:lnTo>
                                <a:lnTo>
                                  <a:pt x="5630862" y="7741348"/>
                                </a:lnTo>
                                <a:lnTo>
                                  <a:pt x="5630862" y="7735265"/>
                                </a:lnTo>
                                <a:close/>
                              </a:path>
                              <a:path w="5649595" h="7741920">
                                <a:moveTo>
                                  <a:pt x="5630862" y="132651"/>
                                </a:moveTo>
                                <a:lnTo>
                                  <a:pt x="5624779" y="132651"/>
                                </a:lnTo>
                                <a:lnTo>
                                  <a:pt x="5624779" y="7735252"/>
                                </a:lnTo>
                                <a:lnTo>
                                  <a:pt x="5630862" y="7735252"/>
                                </a:lnTo>
                                <a:lnTo>
                                  <a:pt x="5630862" y="132651"/>
                                </a:lnTo>
                                <a:close/>
                              </a:path>
                              <a:path w="5649595" h="7741920">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4192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6384" id="docshapegroup72" coordorigin="15,468" coordsize="12225,15352">
                <v:shape style="position:absolute;left:15;top:468;width:12225;height:15352" type="#_x0000_t75" id="docshape73" stroked="false">
                  <v:imagedata r:id="rId5" o:title=""/>
                </v:shape>
                <v:shape style="position:absolute;left:1673;top:2028;width:8897;height:12192" id="docshape74" coordorigin="1673,2028" coordsize="8897,12192" path="m1712,2237l1702,2237,1702,14210,1712,14210,1712,2237xm10541,14210l10531,14210,10531,14210,1712,14210,1702,14210,1702,14220,1712,14220,10531,14220,10531,14220,10541,14220,10541,14210xm10541,2237l10531,2237,10531,14210,10541,14210,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21</w:t>
      </w:r>
    </w:p>
    <w:p>
      <w:pPr>
        <w:pStyle w:val="BodyText"/>
        <w:spacing w:line="259" w:lineRule="auto" w:before="227"/>
        <w:ind w:left="734" w:right="1088"/>
        <w:jc w:val="both"/>
      </w:pPr>
      <w:r>
        <w:rPr/>
        <w:t>El</w:t>
      </w:r>
      <w:r>
        <w:rPr>
          <w:spacing w:val="-8"/>
        </w:rPr>
        <w:t> </w:t>
      </w:r>
      <w:r>
        <w:rPr/>
        <w:t>Método</w:t>
      </w:r>
      <w:r>
        <w:rPr>
          <w:spacing w:val="-7"/>
        </w:rPr>
        <w:t> </w:t>
      </w:r>
      <w:r>
        <w:rPr/>
        <w:t>es</w:t>
      </w:r>
      <w:r>
        <w:rPr>
          <w:spacing w:val="-6"/>
        </w:rPr>
        <w:t> </w:t>
      </w:r>
      <w:r>
        <w:rPr/>
        <w:t>porcentaje</w:t>
      </w:r>
      <w:r>
        <w:rPr>
          <w:spacing w:val="-8"/>
        </w:rPr>
        <w:t> </w:t>
      </w:r>
      <w:r>
        <w:rPr/>
        <w:t>sobre</w:t>
      </w:r>
      <w:r>
        <w:rPr>
          <w:spacing w:val="-9"/>
        </w:rPr>
        <w:t> </w:t>
      </w:r>
      <w:r>
        <w:rPr/>
        <w:t>las</w:t>
      </w:r>
      <w:r>
        <w:rPr>
          <w:spacing w:val="-6"/>
        </w:rPr>
        <w:t> </w:t>
      </w:r>
      <w:r>
        <w:rPr/>
        <w:t>cuentas</w:t>
      </w:r>
      <w:r>
        <w:rPr>
          <w:spacing w:val="-6"/>
        </w:rPr>
        <w:t> </w:t>
      </w:r>
      <w:r>
        <w:rPr/>
        <w:t>por</w:t>
      </w:r>
      <w:r>
        <w:rPr>
          <w:spacing w:val="-7"/>
        </w:rPr>
        <w:t> </w:t>
      </w:r>
      <w:r>
        <w:rPr/>
        <w:t>cobrar</w:t>
      </w:r>
      <w:r>
        <w:rPr>
          <w:spacing w:val="-7"/>
        </w:rPr>
        <w:t> </w:t>
      </w:r>
      <w:r>
        <w:rPr/>
        <w:t>para</w:t>
      </w:r>
      <w:r>
        <w:rPr>
          <w:spacing w:val="-8"/>
        </w:rPr>
        <w:t> </w:t>
      </w:r>
      <w:r>
        <w:rPr/>
        <w:t>la</w:t>
      </w:r>
      <w:r>
        <w:rPr>
          <w:spacing w:val="-7"/>
        </w:rPr>
        <w:t> </w:t>
      </w:r>
      <w:r>
        <w:rPr/>
        <w:t>estimación</w:t>
      </w:r>
      <w:r>
        <w:rPr>
          <w:spacing w:val="-7"/>
        </w:rPr>
        <w:t> </w:t>
      </w:r>
      <w:r>
        <w:rPr/>
        <w:t>para</w:t>
      </w:r>
      <w:r>
        <w:rPr>
          <w:spacing w:val="-8"/>
        </w:rPr>
        <w:t> </w:t>
      </w:r>
      <w:r>
        <w:rPr/>
        <w:t>incobrables</w:t>
      </w:r>
      <w:r>
        <w:rPr>
          <w:spacing w:val="-5"/>
        </w:rPr>
        <w:t> </w:t>
      </w:r>
      <w:r>
        <w:rPr/>
        <w:t>y</w:t>
      </w:r>
      <w:r>
        <w:rPr>
          <w:spacing w:val="-8"/>
        </w:rPr>
        <w:t> </w:t>
      </w:r>
      <w:r>
        <w:rPr/>
        <w:t>se</w:t>
      </w:r>
      <w:r>
        <w:rPr>
          <w:spacing w:val="-8"/>
        </w:rPr>
        <w:t> </w:t>
      </w:r>
      <w:r>
        <w:rPr/>
        <w:t>utiliza un</w:t>
      </w:r>
      <w:r>
        <w:rPr>
          <w:spacing w:val="-12"/>
        </w:rPr>
        <w:t> </w:t>
      </w:r>
      <w:r>
        <w:rPr/>
        <w:t>cálculo</w:t>
      </w:r>
      <w:r>
        <w:rPr>
          <w:spacing w:val="-11"/>
        </w:rPr>
        <w:t> </w:t>
      </w:r>
      <w:r>
        <w:rPr/>
        <w:t>de</w:t>
      </w:r>
      <w:r>
        <w:rPr>
          <w:spacing w:val="-13"/>
        </w:rPr>
        <w:t> </w:t>
      </w:r>
      <w:r>
        <w:rPr/>
        <w:t>información</w:t>
      </w:r>
      <w:r>
        <w:rPr>
          <w:spacing w:val="-14"/>
        </w:rPr>
        <w:t> </w:t>
      </w:r>
      <w:r>
        <w:rPr/>
        <w:t>mediante</w:t>
      </w:r>
      <w:r>
        <w:rPr>
          <w:spacing w:val="-12"/>
        </w:rPr>
        <w:t> </w:t>
      </w:r>
      <w:r>
        <w:rPr/>
        <w:t>la</w:t>
      </w:r>
      <w:r>
        <w:rPr>
          <w:spacing w:val="-13"/>
        </w:rPr>
        <w:t> </w:t>
      </w:r>
      <w:r>
        <w:rPr/>
        <w:t>antigüedad</w:t>
      </w:r>
      <w:r>
        <w:rPr>
          <w:spacing w:val="-12"/>
        </w:rPr>
        <w:t> </w:t>
      </w:r>
      <w:r>
        <w:rPr/>
        <w:t>de</w:t>
      </w:r>
      <w:r>
        <w:rPr>
          <w:spacing w:val="-13"/>
        </w:rPr>
        <w:t> </w:t>
      </w:r>
      <w:r>
        <w:rPr/>
        <w:t>saldos.</w:t>
      </w:r>
      <w:r>
        <w:rPr>
          <w:spacing w:val="77"/>
        </w:rPr>
        <w:t> </w:t>
      </w:r>
      <w:r>
        <w:rPr/>
        <w:t>Según</w:t>
      </w:r>
      <w:r>
        <w:rPr>
          <w:spacing w:val="-12"/>
        </w:rPr>
        <w:t> </w:t>
      </w:r>
      <w:r>
        <w:rPr/>
        <w:t>dicha</w:t>
      </w:r>
      <w:r>
        <w:rPr>
          <w:spacing w:val="-12"/>
        </w:rPr>
        <w:t> </w:t>
      </w:r>
      <w:r>
        <w:rPr/>
        <w:t>metodología</w:t>
      </w:r>
      <w:r>
        <w:rPr>
          <w:spacing w:val="-13"/>
        </w:rPr>
        <w:t> </w:t>
      </w:r>
      <w:r>
        <w:rPr/>
        <w:t>se</w:t>
      </w:r>
      <w:r>
        <w:rPr>
          <w:spacing w:val="-13"/>
        </w:rPr>
        <w:t> </w:t>
      </w:r>
      <w:r>
        <w:rPr/>
        <w:t>encuentra provisionado con deterioro e incobrabilidad son los siguientes:</w:t>
      </w:r>
    </w:p>
    <w:p>
      <w:pPr>
        <w:pStyle w:val="BodyText"/>
        <w:spacing w:before="43"/>
        <w:rPr>
          <w:sz w:val="20"/>
        </w:rPr>
      </w:pPr>
    </w:p>
    <w:tbl>
      <w:tblPr>
        <w:tblW w:w="0" w:type="auto"/>
        <w:jc w:val="left"/>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1"/>
        <w:gridCol w:w="3065"/>
      </w:tblGrid>
      <w:tr>
        <w:trPr>
          <w:trHeight w:val="306" w:hRule="atLeast"/>
        </w:trPr>
        <w:tc>
          <w:tcPr>
            <w:tcW w:w="4611" w:type="dxa"/>
          </w:tcPr>
          <w:p>
            <w:pPr>
              <w:pStyle w:val="TableParagraph"/>
              <w:rPr>
                <w:rFonts w:ascii="Times New Roman"/>
                <w:sz w:val="22"/>
              </w:rPr>
            </w:pPr>
          </w:p>
        </w:tc>
        <w:tc>
          <w:tcPr>
            <w:tcW w:w="3065" w:type="dxa"/>
          </w:tcPr>
          <w:p>
            <w:pPr>
              <w:pStyle w:val="TableParagraph"/>
              <w:ind w:left="10"/>
              <w:jc w:val="center"/>
              <w:rPr>
                <w:b/>
                <w:sz w:val="22"/>
              </w:rPr>
            </w:pPr>
            <w:r>
              <w:rPr>
                <w:b/>
                <w:sz w:val="22"/>
              </w:rPr>
              <w:t>Porcentaje</w:t>
            </w:r>
            <w:r>
              <w:rPr>
                <w:b/>
                <w:spacing w:val="-6"/>
                <w:sz w:val="22"/>
              </w:rPr>
              <w:t> </w:t>
            </w:r>
            <w:r>
              <w:rPr>
                <w:b/>
                <w:spacing w:val="-2"/>
                <w:sz w:val="22"/>
              </w:rPr>
              <w:t>provisionado</w:t>
            </w:r>
          </w:p>
        </w:tc>
      </w:tr>
      <w:tr>
        <w:trPr>
          <w:trHeight w:val="309" w:hRule="atLeast"/>
        </w:trPr>
        <w:tc>
          <w:tcPr>
            <w:tcW w:w="4611" w:type="dxa"/>
          </w:tcPr>
          <w:p>
            <w:pPr>
              <w:pStyle w:val="TableParagraph"/>
              <w:ind w:left="107"/>
              <w:rPr>
                <w:sz w:val="22"/>
              </w:rPr>
            </w:pPr>
            <w:r>
              <w:rPr>
                <w:sz w:val="22"/>
              </w:rPr>
              <w:t>Cuentas</w:t>
            </w:r>
            <w:r>
              <w:rPr>
                <w:spacing w:val="-4"/>
                <w:sz w:val="22"/>
              </w:rPr>
              <w:t> </w:t>
            </w:r>
            <w:r>
              <w:rPr>
                <w:sz w:val="22"/>
              </w:rPr>
              <w:t>por</w:t>
            </w:r>
            <w:r>
              <w:rPr>
                <w:spacing w:val="-3"/>
                <w:sz w:val="22"/>
              </w:rPr>
              <w:t> </w:t>
            </w:r>
            <w:r>
              <w:rPr>
                <w:sz w:val="22"/>
              </w:rPr>
              <w:t>cobrar</w:t>
            </w:r>
            <w:r>
              <w:rPr>
                <w:spacing w:val="-3"/>
                <w:sz w:val="22"/>
              </w:rPr>
              <w:t> </w:t>
            </w:r>
            <w:r>
              <w:rPr>
                <w:spacing w:val="-2"/>
                <w:sz w:val="22"/>
              </w:rPr>
              <w:t>Impuestos</w:t>
            </w:r>
          </w:p>
        </w:tc>
        <w:tc>
          <w:tcPr>
            <w:tcW w:w="3065" w:type="dxa"/>
          </w:tcPr>
          <w:p>
            <w:pPr>
              <w:pStyle w:val="TableParagraph"/>
              <w:ind w:left="10" w:right="1"/>
              <w:jc w:val="center"/>
              <w:rPr>
                <w:sz w:val="22"/>
              </w:rPr>
            </w:pPr>
            <w:r>
              <w:rPr>
                <w:spacing w:val="-2"/>
                <w:sz w:val="22"/>
              </w:rPr>
              <w:t>88,19%</w:t>
            </w:r>
          </w:p>
        </w:tc>
      </w:tr>
      <w:tr>
        <w:trPr>
          <w:trHeight w:val="299" w:hRule="atLeast"/>
        </w:trPr>
        <w:tc>
          <w:tcPr>
            <w:tcW w:w="4611" w:type="dxa"/>
          </w:tcPr>
          <w:p>
            <w:pPr>
              <w:pStyle w:val="TableParagraph"/>
              <w:ind w:left="107"/>
              <w:rPr>
                <w:sz w:val="22"/>
              </w:rPr>
            </w:pPr>
            <w:r>
              <w:rPr>
                <w:sz w:val="22"/>
              </w:rPr>
              <w:t>Cuentas</w:t>
            </w:r>
            <w:r>
              <w:rPr>
                <w:spacing w:val="-4"/>
                <w:sz w:val="22"/>
              </w:rPr>
              <w:t> </w:t>
            </w:r>
            <w:r>
              <w:rPr>
                <w:sz w:val="22"/>
              </w:rPr>
              <w:t>por</w:t>
            </w:r>
            <w:r>
              <w:rPr>
                <w:spacing w:val="-3"/>
                <w:sz w:val="22"/>
              </w:rPr>
              <w:t> </w:t>
            </w:r>
            <w:r>
              <w:rPr>
                <w:sz w:val="22"/>
              </w:rPr>
              <w:t>cobrar</w:t>
            </w:r>
            <w:r>
              <w:rPr>
                <w:spacing w:val="-6"/>
                <w:sz w:val="22"/>
              </w:rPr>
              <w:t> </w:t>
            </w:r>
            <w:r>
              <w:rPr>
                <w:spacing w:val="-2"/>
                <w:sz w:val="22"/>
              </w:rPr>
              <w:t>Contribuciones</w:t>
            </w:r>
          </w:p>
        </w:tc>
        <w:tc>
          <w:tcPr>
            <w:tcW w:w="3065" w:type="dxa"/>
          </w:tcPr>
          <w:p>
            <w:pPr>
              <w:pStyle w:val="TableParagraph"/>
              <w:ind w:left="10" w:right="1"/>
              <w:jc w:val="center"/>
              <w:rPr>
                <w:sz w:val="22"/>
              </w:rPr>
            </w:pPr>
            <w:r>
              <w:rPr>
                <w:spacing w:val="-2"/>
                <w:sz w:val="22"/>
              </w:rPr>
              <w:t>78,41%</w:t>
            </w:r>
          </w:p>
        </w:tc>
      </w:tr>
      <w:tr>
        <w:trPr>
          <w:trHeight w:val="306" w:hRule="atLeast"/>
        </w:trPr>
        <w:tc>
          <w:tcPr>
            <w:tcW w:w="4611" w:type="dxa"/>
          </w:tcPr>
          <w:p>
            <w:pPr>
              <w:pStyle w:val="TableParagraph"/>
              <w:ind w:left="107"/>
              <w:rPr>
                <w:sz w:val="22"/>
              </w:rPr>
            </w:pPr>
            <w:r>
              <w:rPr>
                <w:sz w:val="22"/>
              </w:rPr>
              <w:t>Documentos</w:t>
            </w:r>
            <w:r>
              <w:rPr>
                <w:spacing w:val="-4"/>
                <w:sz w:val="22"/>
              </w:rPr>
              <w:t> </w:t>
            </w:r>
            <w:r>
              <w:rPr>
                <w:sz w:val="22"/>
              </w:rPr>
              <w:t>por</w:t>
            </w:r>
            <w:r>
              <w:rPr>
                <w:spacing w:val="-5"/>
                <w:sz w:val="22"/>
              </w:rPr>
              <w:t> </w:t>
            </w:r>
            <w:r>
              <w:rPr>
                <w:spacing w:val="-2"/>
                <w:sz w:val="22"/>
              </w:rPr>
              <w:t>cobrar</w:t>
            </w:r>
          </w:p>
        </w:tc>
        <w:tc>
          <w:tcPr>
            <w:tcW w:w="3065" w:type="dxa"/>
          </w:tcPr>
          <w:p>
            <w:pPr>
              <w:pStyle w:val="TableParagraph"/>
              <w:ind w:left="10" w:right="1"/>
              <w:jc w:val="center"/>
              <w:rPr>
                <w:sz w:val="22"/>
              </w:rPr>
            </w:pPr>
            <w:r>
              <w:rPr>
                <w:spacing w:val="-2"/>
                <w:sz w:val="22"/>
              </w:rPr>
              <w:t>98,74%</w:t>
            </w:r>
          </w:p>
        </w:tc>
      </w:tr>
      <w:tr>
        <w:trPr>
          <w:trHeight w:val="309" w:hRule="atLeast"/>
        </w:trPr>
        <w:tc>
          <w:tcPr>
            <w:tcW w:w="4611" w:type="dxa"/>
          </w:tcPr>
          <w:p>
            <w:pPr>
              <w:pStyle w:val="TableParagraph"/>
              <w:ind w:left="107"/>
              <w:rPr>
                <w:sz w:val="22"/>
              </w:rPr>
            </w:pPr>
            <w:r>
              <w:rPr>
                <w:sz w:val="22"/>
              </w:rPr>
              <w:t>Cuentas</w:t>
            </w:r>
            <w:r>
              <w:rPr>
                <w:spacing w:val="-5"/>
                <w:sz w:val="22"/>
              </w:rPr>
              <w:t> </w:t>
            </w:r>
            <w:r>
              <w:rPr>
                <w:sz w:val="22"/>
              </w:rPr>
              <w:t>por</w:t>
            </w:r>
            <w:r>
              <w:rPr>
                <w:spacing w:val="-4"/>
                <w:sz w:val="22"/>
              </w:rPr>
              <w:t> </w:t>
            </w:r>
            <w:r>
              <w:rPr>
                <w:sz w:val="22"/>
              </w:rPr>
              <w:t>cobrar</w:t>
            </w:r>
            <w:r>
              <w:rPr>
                <w:spacing w:val="-4"/>
                <w:sz w:val="22"/>
              </w:rPr>
              <w:t> </w:t>
            </w:r>
            <w:r>
              <w:rPr>
                <w:sz w:val="22"/>
              </w:rPr>
              <w:t>empleados</w:t>
            </w:r>
            <w:r>
              <w:rPr>
                <w:spacing w:val="-4"/>
                <w:sz w:val="22"/>
              </w:rPr>
              <w:t> </w:t>
            </w:r>
            <w:r>
              <w:rPr>
                <w:sz w:val="22"/>
              </w:rPr>
              <w:t>y</w:t>
            </w:r>
            <w:r>
              <w:rPr>
                <w:spacing w:val="-7"/>
                <w:sz w:val="22"/>
              </w:rPr>
              <w:t> </w:t>
            </w:r>
            <w:r>
              <w:rPr>
                <w:spacing w:val="-2"/>
                <w:sz w:val="22"/>
              </w:rPr>
              <w:t>otros</w:t>
            </w:r>
          </w:p>
        </w:tc>
        <w:tc>
          <w:tcPr>
            <w:tcW w:w="3065" w:type="dxa"/>
          </w:tcPr>
          <w:p>
            <w:pPr>
              <w:pStyle w:val="TableParagraph"/>
              <w:ind w:left="10" w:right="1"/>
              <w:jc w:val="center"/>
              <w:rPr>
                <w:sz w:val="22"/>
              </w:rPr>
            </w:pPr>
            <w:r>
              <w:rPr>
                <w:spacing w:val="-2"/>
                <w:sz w:val="22"/>
              </w:rPr>
              <w:t>67,57%</w:t>
            </w:r>
          </w:p>
        </w:tc>
      </w:tr>
      <w:tr>
        <w:trPr>
          <w:trHeight w:val="307" w:hRule="atLeast"/>
        </w:trPr>
        <w:tc>
          <w:tcPr>
            <w:tcW w:w="4611" w:type="dxa"/>
          </w:tcPr>
          <w:p>
            <w:pPr>
              <w:pStyle w:val="TableParagraph"/>
              <w:spacing w:before="1"/>
              <w:ind w:left="107"/>
              <w:rPr>
                <w:sz w:val="22"/>
              </w:rPr>
            </w:pPr>
            <w:r>
              <w:rPr>
                <w:sz w:val="22"/>
              </w:rPr>
              <w:t>Otras</w:t>
            </w:r>
            <w:r>
              <w:rPr>
                <w:spacing w:val="-4"/>
                <w:sz w:val="22"/>
              </w:rPr>
              <w:t> </w:t>
            </w:r>
            <w:r>
              <w:rPr>
                <w:sz w:val="22"/>
              </w:rPr>
              <w:t>cuentas</w:t>
            </w:r>
            <w:r>
              <w:rPr>
                <w:spacing w:val="-2"/>
                <w:sz w:val="22"/>
              </w:rPr>
              <w:t> </w:t>
            </w:r>
            <w:r>
              <w:rPr>
                <w:sz w:val="22"/>
              </w:rPr>
              <w:t>por</w:t>
            </w:r>
            <w:r>
              <w:rPr>
                <w:spacing w:val="-2"/>
                <w:sz w:val="22"/>
              </w:rPr>
              <w:t> cobrar</w:t>
            </w:r>
          </w:p>
        </w:tc>
        <w:tc>
          <w:tcPr>
            <w:tcW w:w="3065" w:type="dxa"/>
          </w:tcPr>
          <w:p>
            <w:pPr>
              <w:pStyle w:val="TableParagraph"/>
              <w:spacing w:before="1"/>
              <w:ind w:left="10" w:right="1"/>
              <w:jc w:val="center"/>
              <w:rPr>
                <w:sz w:val="22"/>
              </w:rPr>
            </w:pPr>
            <w:r>
              <w:rPr>
                <w:spacing w:val="-2"/>
                <w:sz w:val="22"/>
              </w:rPr>
              <w:t>92,99%</w:t>
            </w:r>
          </w:p>
        </w:tc>
      </w:tr>
    </w:tbl>
    <w:p>
      <w:pPr>
        <w:pStyle w:val="Heading4"/>
        <w:ind w:left="1442"/>
        <w:jc w:val="left"/>
      </w:pPr>
      <w:r>
        <w:rPr>
          <w:spacing w:val="-8"/>
        </w:rPr>
        <w:t>FUENTE:</w:t>
      </w:r>
      <w:r>
        <w:rPr>
          <w:spacing w:val="15"/>
        </w:rPr>
        <w:t> </w:t>
      </w:r>
      <w:r>
        <w:rPr>
          <w:spacing w:val="-8"/>
        </w:rPr>
        <w:t>Oficio</w:t>
      </w:r>
      <w:r>
        <w:rPr>
          <w:spacing w:val="18"/>
        </w:rPr>
        <w:t> </w:t>
      </w:r>
      <w:r>
        <w:rPr>
          <w:spacing w:val="-8"/>
        </w:rPr>
        <w:t>IMAS-DGR-DCR-AT-0022-2026</w:t>
      </w:r>
    </w:p>
    <w:p>
      <w:pPr>
        <w:pStyle w:val="BodyText"/>
        <w:spacing w:before="157"/>
        <w:rPr>
          <w:b/>
          <w:i/>
          <w:sz w:val="23"/>
        </w:rPr>
      </w:pPr>
    </w:p>
    <w:p>
      <w:pPr>
        <w:pStyle w:val="BodyText"/>
        <w:spacing w:line="276" w:lineRule="auto"/>
        <w:ind w:left="734" w:right="1088"/>
        <w:jc w:val="both"/>
      </w:pPr>
      <w:r>
        <w:rPr/>
        <w:t>Cuando exista incertidumbre respecto a la recuperabilidad de los importes reconocidos como cuentas por cobrar, la entidad reconoce el efecto correspondiente como un deterioro del valor del activo, registrando la pérdida como gasto del período, sin modificar el ingreso originalmente reconocido conforme al principio del devengo.</w:t>
      </w:r>
    </w:p>
    <w:p>
      <w:pPr>
        <w:pStyle w:val="BodyText"/>
        <w:spacing w:line="276" w:lineRule="auto" w:before="120"/>
        <w:ind w:left="734" w:right="1089"/>
        <w:jc w:val="both"/>
      </w:pPr>
      <w:r>
        <w:rPr/>
        <w:t>Los</w:t>
      </w:r>
      <w:r>
        <w:rPr>
          <w:spacing w:val="-4"/>
        </w:rPr>
        <w:t> </w:t>
      </w:r>
      <w:r>
        <w:rPr/>
        <w:t>incobrables</w:t>
      </w:r>
      <w:r>
        <w:rPr>
          <w:spacing w:val="-7"/>
        </w:rPr>
        <w:t> </w:t>
      </w:r>
      <w:r>
        <w:rPr/>
        <w:t>serán</w:t>
      </w:r>
      <w:r>
        <w:rPr>
          <w:spacing w:val="-5"/>
        </w:rPr>
        <w:t> </w:t>
      </w:r>
      <w:r>
        <w:rPr/>
        <w:t>cuentas</w:t>
      </w:r>
      <w:r>
        <w:rPr>
          <w:spacing w:val="-5"/>
        </w:rPr>
        <w:t> </w:t>
      </w:r>
      <w:r>
        <w:rPr/>
        <w:t>que</w:t>
      </w:r>
      <w:r>
        <w:rPr>
          <w:spacing w:val="-7"/>
        </w:rPr>
        <w:t> </w:t>
      </w:r>
      <w:r>
        <w:rPr/>
        <w:t>restarán</w:t>
      </w:r>
      <w:r>
        <w:rPr>
          <w:spacing w:val="-5"/>
        </w:rPr>
        <w:t> </w:t>
      </w:r>
      <w:r>
        <w:rPr/>
        <w:t>a</w:t>
      </w:r>
      <w:r>
        <w:rPr>
          <w:spacing w:val="-9"/>
        </w:rPr>
        <w:t> </w:t>
      </w:r>
      <w:r>
        <w:rPr/>
        <w:t>sus</w:t>
      </w:r>
      <w:r>
        <w:rPr>
          <w:spacing w:val="-7"/>
        </w:rPr>
        <w:t> </w:t>
      </w:r>
      <w:r>
        <w:rPr/>
        <w:t>respectivos</w:t>
      </w:r>
      <w:r>
        <w:rPr>
          <w:spacing w:val="-5"/>
        </w:rPr>
        <w:t> </w:t>
      </w:r>
      <w:r>
        <w:rPr/>
        <w:t>activos</w:t>
      </w:r>
      <w:r>
        <w:rPr>
          <w:spacing w:val="-5"/>
        </w:rPr>
        <w:t> </w:t>
      </w:r>
      <w:r>
        <w:rPr/>
        <w:t>asociados</w:t>
      </w:r>
      <w:r>
        <w:rPr>
          <w:spacing w:val="-5"/>
        </w:rPr>
        <w:t> </w:t>
      </w:r>
      <w:r>
        <w:rPr/>
        <w:t>dentro</w:t>
      </w:r>
      <w:r>
        <w:rPr>
          <w:spacing w:val="-5"/>
        </w:rPr>
        <w:t> </w:t>
      </w:r>
      <w:r>
        <w:rPr/>
        <w:t>de</w:t>
      </w:r>
      <w:r>
        <w:rPr>
          <w:spacing w:val="-7"/>
        </w:rPr>
        <w:t> </w:t>
      </w:r>
      <w:r>
        <w:rPr/>
        <w:t>los</w:t>
      </w:r>
      <w:r>
        <w:rPr>
          <w:spacing w:val="-7"/>
        </w:rPr>
        <w:t> </w:t>
      </w:r>
      <w:r>
        <w:rPr/>
        <w:t>Estados Financieros. Las pérdidas por incobrables se miden como la diferencia entre el importe en libros del activo y el valor estimado de recuperación, y se reconocen mediante una cuenta correctora, afectando los resultados del período en que se identifica el deterioro.</w:t>
      </w:r>
    </w:p>
    <w:p>
      <w:pPr>
        <w:pStyle w:val="BodyText"/>
        <w:spacing w:line="276" w:lineRule="auto" w:before="121"/>
        <w:ind w:left="734" w:right="1090"/>
        <w:jc w:val="both"/>
      </w:pPr>
      <w:r>
        <w:rPr/>
        <w:t>La</w:t>
      </w:r>
      <w:r>
        <w:rPr>
          <w:spacing w:val="-9"/>
        </w:rPr>
        <w:t> </w:t>
      </w:r>
      <w:r>
        <w:rPr/>
        <w:t>entidad</w:t>
      </w:r>
      <w:r>
        <w:rPr>
          <w:spacing w:val="-9"/>
        </w:rPr>
        <w:t> </w:t>
      </w:r>
      <w:r>
        <w:rPr/>
        <w:t>establece</w:t>
      </w:r>
      <w:r>
        <w:rPr>
          <w:spacing w:val="-10"/>
        </w:rPr>
        <w:t> </w:t>
      </w:r>
      <w:r>
        <w:rPr/>
        <w:t>que</w:t>
      </w:r>
      <w:r>
        <w:rPr>
          <w:spacing w:val="-12"/>
        </w:rPr>
        <w:t> </w:t>
      </w:r>
      <w:r>
        <w:rPr/>
        <w:t>las</w:t>
      </w:r>
      <w:r>
        <w:rPr>
          <w:spacing w:val="-10"/>
        </w:rPr>
        <w:t> </w:t>
      </w:r>
      <w:r>
        <w:rPr/>
        <w:t>pérdidas</w:t>
      </w:r>
      <w:r>
        <w:rPr>
          <w:spacing w:val="-7"/>
        </w:rPr>
        <w:t> </w:t>
      </w:r>
      <w:r>
        <w:rPr/>
        <w:t>por</w:t>
      </w:r>
      <w:r>
        <w:rPr>
          <w:spacing w:val="-10"/>
        </w:rPr>
        <w:t> </w:t>
      </w:r>
      <w:r>
        <w:rPr/>
        <w:t>incobrables</w:t>
      </w:r>
      <w:r>
        <w:rPr>
          <w:spacing w:val="-9"/>
        </w:rPr>
        <w:t> </w:t>
      </w:r>
      <w:r>
        <w:rPr/>
        <w:t>podrán</w:t>
      </w:r>
      <w:r>
        <w:rPr>
          <w:spacing w:val="-8"/>
        </w:rPr>
        <w:t> </w:t>
      </w:r>
      <w:r>
        <w:rPr/>
        <w:t>ser</w:t>
      </w:r>
      <w:r>
        <w:rPr>
          <w:spacing w:val="-11"/>
        </w:rPr>
        <w:t> </w:t>
      </w:r>
      <w:r>
        <w:rPr/>
        <w:t>revertidas</w:t>
      </w:r>
      <w:r>
        <w:rPr>
          <w:spacing w:val="-7"/>
        </w:rPr>
        <w:t> </w:t>
      </w:r>
      <w:r>
        <w:rPr/>
        <w:t>en</w:t>
      </w:r>
      <w:r>
        <w:rPr>
          <w:spacing w:val="-10"/>
        </w:rPr>
        <w:t> </w:t>
      </w:r>
      <w:r>
        <w:rPr/>
        <w:t>períodos</w:t>
      </w:r>
      <w:r>
        <w:rPr>
          <w:spacing w:val="-9"/>
        </w:rPr>
        <w:t> </w:t>
      </w:r>
      <w:r>
        <w:rPr/>
        <w:t>posteriores, cuando existan evidencias objetivas de eventos que demuestren una mejora en la capacidad de recuperación. Dichas reversiones se reconocerán como ingreso del período, sin que el importe en libros del</w:t>
      </w:r>
      <w:r>
        <w:rPr>
          <w:spacing w:val="-2"/>
        </w:rPr>
        <w:t> </w:t>
      </w:r>
      <w:r>
        <w:rPr/>
        <w:t>activo</w:t>
      </w:r>
      <w:r>
        <w:rPr>
          <w:spacing w:val="-3"/>
        </w:rPr>
        <w:t> </w:t>
      </w:r>
      <w:r>
        <w:rPr/>
        <w:t>supere</w:t>
      </w:r>
      <w:r>
        <w:rPr>
          <w:spacing w:val="-2"/>
        </w:rPr>
        <w:t> </w:t>
      </w:r>
      <w:r>
        <w:rPr/>
        <w:t>el</w:t>
      </w:r>
      <w:r>
        <w:rPr>
          <w:spacing w:val="-2"/>
        </w:rPr>
        <w:t> </w:t>
      </w:r>
      <w:r>
        <w:rPr/>
        <w:t>costo amortizado</w:t>
      </w:r>
      <w:r>
        <w:rPr>
          <w:spacing w:val="-3"/>
        </w:rPr>
        <w:t> </w:t>
      </w:r>
      <w:r>
        <w:rPr/>
        <w:t>que</w:t>
      </w:r>
      <w:r>
        <w:rPr>
          <w:spacing w:val="-2"/>
        </w:rPr>
        <w:t> </w:t>
      </w:r>
      <w:r>
        <w:rPr/>
        <w:t>habría</w:t>
      </w:r>
      <w:r>
        <w:rPr>
          <w:spacing w:val="-4"/>
        </w:rPr>
        <w:t> </w:t>
      </w:r>
      <w:r>
        <w:rPr/>
        <w:t>correspondido</w:t>
      </w:r>
      <w:r>
        <w:rPr>
          <w:spacing w:val="-3"/>
        </w:rPr>
        <w:t> </w:t>
      </w:r>
      <w:r>
        <w:rPr/>
        <w:t>de</w:t>
      </w:r>
      <w:r>
        <w:rPr>
          <w:spacing w:val="-3"/>
        </w:rPr>
        <w:t> </w:t>
      </w:r>
      <w:r>
        <w:rPr/>
        <w:t>no haberse</w:t>
      </w:r>
      <w:r>
        <w:rPr>
          <w:spacing w:val="-2"/>
        </w:rPr>
        <w:t> </w:t>
      </w:r>
      <w:r>
        <w:rPr/>
        <w:t>reconocido</w:t>
      </w:r>
      <w:r>
        <w:rPr>
          <w:spacing w:val="-3"/>
        </w:rPr>
        <w:t> </w:t>
      </w:r>
      <w:r>
        <w:rPr/>
        <w:t>el </w:t>
      </w:r>
      <w:r>
        <w:rPr>
          <w:spacing w:val="-2"/>
        </w:rPr>
        <w:t>deterioro.</w:t>
      </w:r>
    </w:p>
    <w:p>
      <w:pPr>
        <w:pStyle w:val="BodyText"/>
      </w:pPr>
    </w:p>
    <w:p>
      <w:pPr>
        <w:pStyle w:val="BodyText"/>
        <w:spacing w:before="28"/>
      </w:pPr>
    </w:p>
    <w:p>
      <w:pPr>
        <w:pStyle w:val="Heading6"/>
        <w:ind w:left="734"/>
        <w:jc w:val="both"/>
      </w:pPr>
      <w:r>
        <w:rPr>
          <w:color w:val="365F92"/>
        </w:rPr>
        <w:t>Cuentas</w:t>
      </w:r>
      <w:r>
        <w:rPr>
          <w:color w:val="365F92"/>
          <w:spacing w:val="-3"/>
        </w:rPr>
        <w:t> </w:t>
      </w:r>
      <w:r>
        <w:rPr>
          <w:color w:val="365F92"/>
        </w:rPr>
        <w:t>por</w:t>
      </w:r>
      <w:r>
        <w:rPr>
          <w:color w:val="365F92"/>
          <w:spacing w:val="-2"/>
        </w:rPr>
        <w:t> pagar</w:t>
      </w:r>
    </w:p>
    <w:p>
      <w:pPr>
        <w:pStyle w:val="BodyText"/>
        <w:spacing w:line="276" w:lineRule="auto" w:before="157"/>
        <w:ind w:left="734" w:right="1088"/>
        <w:jc w:val="both"/>
      </w:pPr>
      <w:r>
        <w:rPr/>
        <w:t>La entidad reconoce como cuentas por pagar todas aquellas obligaciones presentes que surgen de hechos pasados, derivadas de la adquisición de bienes, la recepción de servicios o el cumplimiento de disposiciones legales, cuando exista un compromiso cierto o probable de entregar efectivo, equivalentes de efectivo u otros recursos económicos.</w:t>
      </w:r>
    </w:p>
    <w:p>
      <w:pPr>
        <w:pStyle w:val="BodyText"/>
        <w:spacing w:line="276" w:lineRule="auto" w:before="121"/>
        <w:ind w:left="734" w:right="1088"/>
        <w:jc w:val="both"/>
      </w:pPr>
      <w:r>
        <w:rPr/>
        <w:t>Una</w:t>
      </w:r>
      <w:r>
        <w:rPr>
          <w:spacing w:val="-9"/>
        </w:rPr>
        <w:t> </w:t>
      </w:r>
      <w:r>
        <w:rPr/>
        <w:t>cuenta</w:t>
      </w:r>
      <w:r>
        <w:rPr>
          <w:spacing w:val="-9"/>
        </w:rPr>
        <w:t> </w:t>
      </w:r>
      <w:r>
        <w:rPr/>
        <w:t>por</w:t>
      </w:r>
      <w:r>
        <w:rPr>
          <w:spacing w:val="-8"/>
        </w:rPr>
        <w:t> </w:t>
      </w:r>
      <w:r>
        <w:rPr/>
        <w:t>pagar</w:t>
      </w:r>
      <w:r>
        <w:rPr>
          <w:spacing w:val="-9"/>
        </w:rPr>
        <w:t> </w:t>
      </w:r>
      <w:r>
        <w:rPr/>
        <w:t>se</w:t>
      </w:r>
      <w:r>
        <w:rPr>
          <w:spacing w:val="-10"/>
        </w:rPr>
        <w:t> </w:t>
      </w:r>
      <w:r>
        <w:rPr/>
        <w:t>reconoce</w:t>
      </w:r>
      <w:r>
        <w:rPr>
          <w:spacing w:val="-10"/>
        </w:rPr>
        <w:t> </w:t>
      </w:r>
      <w:r>
        <w:rPr/>
        <w:t>cuando,</w:t>
      </w:r>
      <w:r>
        <w:rPr>
          <w:spacing w:val="-8"/>
        </w:rPr>
        <w:t> </w:t>
      </w:r>
      <w:r>
        <w:rPr/>
        <w:t>como</w:t>
      </w:r>
      <w:r>
        <w:rPr>
          <w:spacing w:val="-8"/>
        </w:rPr>
        <w:t> </w:t>
      </w:r>
      <w:r>
        <w:rPr/>
        <w:t>resultado</w:t>
      </w:r>
      <w:r>
        <w:rPr>
          <w:spacing w:val="-8"/>
        </w:rPr>
        <w:t> </w:t>
      </w:r>
      <w:r>
        <w:rPr/>
        <w:t>de</w:t>
      </w:r>
      <w:r>
        <w:rPr>
          <w:spacing w:val="-10"/>
        </w:rPr>
        <w:t> </w:t>
      </w:r>
      <w:r>
        <w:rPr/>
        <w:t>una</w:t>
      </w:r>
      <w:r>
        <w:rPr>
          <w:spacing w:val="-9"/>
        </w:rPr>
        <w:t> </w:t>
      </w:r>
      <w:r>
        <w:rPr/>
        <w:t>transacción</w:t>
      </w:r>
      <w:r>
        <w:rPr>
          <w:spacing w:val="-8"/>
        </w:rPr>
        <w:t> </w:t>
      </w:r>
      <w:r>
        <w:rPr/>
        <w:t>o</w:t>
      </w:r>
      <w:r>
        <w:rPr>
          <w:spacing w:val="-8"/>
        </w:rPr>
        <w:t> </w:t>
      </w:r>
      <w:r>
        <w:rPr/>
        <w:t>evento</w:t>
      </w:r>
      <w:r>
        <w:rPr>
          <w:spacing w:val="-7"/>
        </w:rPr>
        <w:t> </w:t>
      </w:r>
      <w:r>
        <w:rPr/>
        <w:t>ya</w:t>
      </w:r>
      <w:r>
        <w:rPr>
          <w:spacing w:val="-9"/>
        </w:rPr>
        <w:t> </w:t>
      </w:r>
      <w:r>
        <w:rPr/>
        <w:t>ocurrido, la</w:t>
      </w:r>
      <w:r>
        <w:rPr>
          <w:spacing w:val="-1"/>
        </w:rPr>
        <w:t> </w:t>
      </w:r>
      <w:r>
        <w:rPr/>
        <w:t>entidad</w:t>
      </w:r>
      <w:r>
        <w:rPr>
          <w:spacing w:val="-1"/>
        </w:rPr>
        <w:t> </w:t>
      </w:r>
      <w:r>
        <w:rPr/>
        <w:t>adquiere</w:t>
      </w:r>
      <w:r>
        <w:rPr>
          <w:spacing w:val="-1"/>
        </w:rPr>
        <w:t> </w:t>
      </w:r>
      <w:r>
        <w:rPr/>
        <w:t>una</w:t>
      </w:r>
      <w:r>
        <w:rPr>
          <w:spacing w:val="-1"/>
        </w:rPr>
        <w:t> </w:t>
      </w:r>
      <w:r>
        <w:rPr/>
        <w:t>obligación exigible</w:t>
      </w:r>
      <w:r>
        <w:rPr>
          <w:spacing w:val="-1"/>
        </w:rPr>
        <w:t> </w:t>
      </w:r>
      <w:r>
        <w:rPr/>
        <w:t>y</w:t>
      </w:r>
      <w:r>
        <w:rPr>
          <w:spacing w:val="-1"/>
        </w:rPr>
        <w:t> </w:t>
      </w:r>
      <w:r>
        <w:rPr/>
        <w:t>es probable</w:t>
      </w:r>
      <w:r>
        <w:rPr>
          <w:spacing w:val="-2"/>
        </w:rPr>
        <w:t> </w:t>
      </w:r>
      <w:r>
        <w:rPr/>
        <w:t>que</w:t>
      </w:r>
      <w:r>
        <w:rPr>
          <w:spacing w:val="-1"/>
        </w:rPr>
        <w:t> </w:t>
      </w:r>
      <w:r>
        <w:rPr/>
        <w:t>su liquidación implique</w:t>
      </w:r>
      <w:r>
        <w:rPr>
          <w:spacing w:val="-1"/>
        </w:rPr>
        <w:t> </w:t>
      </w:r>
      <w:r>
        <w:rPr/>
        <w:t>una</w:t>
      </w:r>
      <w:r>
        <w:rPr>
          <w:spacing w:val="-1"/>
        </w:rPr>
        <w:t> </w:t>
      </w:r>
      <w:r>
        <w:rPr/>
        <w:t>salida</w:t>
      </w:r>
      <w:r>
        <w:rPr>
          <w:spacing w:val="-1"/>
        </w:rPr>
        <w:t> </w:t>
      </w:r>
      <w:r>
        <w:rPr/>
        <w:t>de recursos</w:t>
      </w:r>
      <w:r>
        <w:rPr>
          <w:spacing w:val="-1"/>
        </w:rPr>
        <w:t> </w:t>
      </w:r>
      <w:r>
        <w:rPr/>
        <w:t>que</w:t>
      </w:r>
      <w:r>
        <w:rPr>
          <w:spacing w:val="-4"/>
        </w:rPr>
        <w:t> </w:t>
      </w:r>
      <w:r>
        <w:rPr/>
        <w:t>incorporen</w:t>
      </w:r>
      <w:r>
        <w:rPr>
          <w:spacing w:val="-2"/>
        </w:rPr>
        <w:t> </w:t>
      </w:r>
      <w:r>
        <w:rPr/>
        <w:t>beneficios</w:t>
      </w:r>
      <w:r>
        <w:rPr>
          <w:spacing w:val="-1"/>
        </w:rPr>
        <w:t> </w:t>
      </w:r>
      <w:r>
        <w:rPr/>
        <w:t>económicos</w:t>
      </w:r>
      <w:r>
        <w:rPr>
          <w:spacing w:val="-1"/>
        </w:rPr>
        <w:t> </w:t>
      </w:r>
      <w:r>
        <w:rPr/>
        <w:t>futuros</w:t>
      </w:r>
      <w:r>
        <w:rPr>
          <w:spacing w:val="-4"/>
        </w:rPr>
        <w:t> </w:t>
      </w:r>
      <w:r>
        <w:rPr/>
        <w:t>o</w:t>
      </w:r>
      <w:r>
        <w:rPr>
          <w:spacing w:val="-2"/>
        </w:rPr>
        <w:t> </w:t>
      </w:r>
      <w:r>
        <w:rPr/>
        <w:t>potencial</w:t>
      </w:r>
      <w:r>
        <w:rPr>
          <w:spacing w:val="-2"/>
        </w:rPr>
        <w:t> </w:t>
      </w:r>
      <w:r>
        <w:rPr/>
        <w:t>de</w:t>
      </w:r>
      <w:r>
        <w:rPr>
          <w:spacing w:val="-3"/>
        </w:rPr>
        <w:t> </w:t>
      </w:r>
      <w:r>
        <w:rPr/>
        <w:t>servicio,</w:t>
      </w:r>
      <w:r>
        <w:rPr>
          <w:spacing w:val="-2"/>
        </w:rPr>
        <w:t> </w:t>
      </w:r>
      <w:r>
        <w:rPr/>
        <w:t>y</w:t>
      </w:r>
      <w:r>
        <w:rPr>
          <w:spacing w:val="-3"/>
        </w:rPr>
        <w:t> </w:t>
      </w:r>
      <w:r>
        <w:rPr/>
        <w:t>su</w:t>
      </w:r>
      <w:r>
        <w:rPr>
          <w:spacing w:val="-2"/>
        </w:rPr>
        <w:t> </w:t>
      </w:r>
      <w:r>
        <w:rPr/>
        <w:t>importe</w:t>
      </w:r>
      <w:r>
        <w:rPr>
          <w:spacing w:val="-3"/>
        </w:rPr>
        <w:t> </w:t>
      </w:r>
      <w:r>
        <w:rPr/>
        <w:t>pueda ser medido de forma fiable.</w:t>
      </w:r>
    </w:p>
    <w:p>
      <w:pPr>
        <w:pStyle w:val="BodyText"/>
        <w:spacing w:line="391" w:lineRule="auto" w:before="120"/>
        <w:ind w:left="734" w:right="3082"/>
        <w:jc w:val="both"/>
      </w:pPr>
      <w:r>
        <w:rPr/>
        <w:t>Las</w:t>
      </w:r>
      <w:r>
        <w:rPr>
          <w:spacing w:val="-3"/>
        </w:rPr>
        <w:t> </w:t>
      </w:r>
      <w:r>
        <w:rPr/>
        <w:t>cuentas</w:t>
      </w:r>
      <w:r>
        <w:rPr>
          <w:spacing w:val="-4"/>
        </w:rPr>
        <w:t> </w:t>
      </w:r>
      <w:r>
        <w:rPr/>
        <w:t>por</w:t>
      </w:r>
      <w:r>
        <w:rPr>
          <w:spacing w:val="-4"/>
        </w:rPr>
        <w:t> </w:t>
      </w:r>
      <w:r>
        <w:rPr/>
        <w:t>pagar</w:t>
      </w:r>
      <w:r>
        <w:rPr>
          <w:spacing w:val="-4"/>
        </w:rPr>
        <w:t> </w:t>
      </w:r>
      <w:r>
        <w:rPr/>
        <w:t>comprenden,</w:t>
      </w:r>
      <w:r>
        <w:rPr>
          <w:spacing w:val="-4"/>
        </w:rPr>
        <w:t> </w:t>
      </w:r>
      <w:r>
        <w:rPr/>
        <w:t>entre</w:t>
      </w:r>
      <w:r>
        <w:rPr>
          <w:spacing w:val="-4"/>
        </w:rPr>
        <w:t> </w:t>
      </w:r>
      <w:r>
        <w:rPr/>
        <w:t>otras,</w:t>
      </w:r>
      <w:r>
        <w:rPr>
          <w:spacing w:val="-7"/>
        </w:rPr>
        <w:t> </w:t>
      </w:r>
      <w:r>
        <w:rPr/>
        <w:t>obligaciones</w:t>
      </w:r>
      <w:r>
        <w:rPr>
          <w:spacing w:val="-6"/>
        </w:rPr>
        <w:t> </w:t>
      </w:r>
      <w:r>
        <w:rPr/>
        <w:t>originadas</w:t>
      </w:r>
      <w:r>
        <w:rPr>
          <w:spacing w:val="-3"/>
        </w:rPr>
        <w:t> </w:t>
      </w:r>
      <w:r>
        <w:rPr/>
        <w:t>por: Las cuentas por pagar por parte son reconocidas, entre otras causales:</w:t>
      </w:r>
    </w:p>
    <w:p>
      <w:pPr>
        <w:pStyle w:val="BodyText"/>
        <w:spacing w:after="0" w:line="391" w:lineRule="auto"/>
        <w:jc w:val="both"/>
        <w:sectPr>
          <w:pgSz w:w="12240" w:h="15840"/>
          <w:pgMar w:top="17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5"/>
          <w:sz w:val="20"/>
        </w:rPr>
        <w:t>22</w:t>
      </w:r>
    </w:p>
    <w:p>
      <w:pPr>
        <w:pStyle w:val="BodyText"/>
      </w:pPr>
      <w:r>
        <w:rPr/>
        <w:br w:type="column"/>
      </w:r>
      <w:r>
        <w:rPr/>
      </w:r>
    </w:p>
    <w:p>
      <w:pPr>
        <w:pStyle w:val="BodyText"/>
        <w:spacing w:before="14"/>
      </w:pPr>
    </w:p>
    <w:p>
      <w:pPr>
        <w:pStyle w:val="ListParagraph"/>
        <w:numPr>
          <w:ilvl w:val="0"/>
          <w:numId w:val="19"/>
        </w:numPr>
        <w:tabs>
          <w:tab w:pos="936" w:val="left" w:leader="none"/>
        </w:tabs>
        <w:spacing w:line="240" w:lineRule="auto" w:before="0" w:after="0"/>
        <w:ind w:left="936" w:right="1262" w:hanging="360"/>
        <w:jc w:val="both"/>
        <w:rPr>
          <w:sz w:val="22"/>
        </w:rPr>
      </w:pPr>
      <w:r>
        <w:rPr>
          <w:sz w:val="22"/>
        </w:rPr>
        <w:t>cuando existen obligaciones contraídas por la entidad en concepto de aportes y contribuciones de los sectores privado y público a los distintos regímenes de jubilación o prestación de la seguridad social, desarrollo y asistencia social;</w:t>
      </w:r>
    </w:p>
    <w:p>
      <w:pPr>
        <w:pStyle w:val="ListParagraph"/>
        <w:numPr>
          <w:ilvl w:val="0"/>
          <w:numId w:val="19"/>
        </w:numPr>
        <w:tabs>
          <w:tab w:pos="935" w:val="left" w:leader="none"/>
        </w:tabs>
        <w:spacing w:line="255" w:lineRule="exact" w:before="2" w:after="0"/>
        <w:ind w:left="935" w:right="0" w:hanging="359"/>
        <w:jc w:val="both"/>
        <w:rPr>
          <w:sz w:val="22"/>
        </w:rPr>
      </w:pPr>
      <w:r>
        <w:rPr>
          <w:sz w:val="22"/>
        </w:rPr>
        <w:t>por</w:t>
      </w:r>
      <w:r>
        <w:rPr>
          <w:spacing w:val="-2"/>
          <w:sz w:val="22"/>
        </w:rPr>
        <w:t> </w:t>
      </w:r>
      <w:r>
        <w:rPr>
          <w:sz w:val="22"/>
        </w:rPr>
        <w:t>la</w:t>
      </w:r>
      <w:r>
        <w:rPr>
          <w:spacing w:val="-3"/>
          <w:sz w:val="22"/>
        </w:rPr>
        <w:t> </w:t>
      </w:r>
      <w:r>
        <w:rPr>
          <w:sz w:val="22"/>
        </w:rPr>
        <w:t>compra</w:t>
      </w:r>
      <w:r>
        <w:rPr>
          <w:spacing w:val="-4"/>
          <w:sz w:val="22"/>
        </w:rPr>
        <w:t> </w:t>
      </w:r>
      <w:r>
        <w:rPr>
          <w:sz w:val="22"/>
        </w:rPr>
        <w:t>de</w:t>
      </w:r>
      <w:r>
        <w:rPr>
          <w:spacing w:val="-2"/>
          <w:sz w:val="22"/>
        </w:rPr>
        <w:t> </w:t>
      </w:r>
      <w:r>
        <w:rPr>
          <w:sz w:val="22"/>
        </w:rPr>
        <w:t>bienes</w:t>
      </w:r>
      <w:r>
        <w:rPr>
          <w:spacing w:val="-4"/>
          <w:sz w:val="22"/>
        </w:rPr>
        <w:t> </w:t>
      </w:r>
      <w:r>
        <w:rPr>
          <w:sz w:val="22"/>
        </w:rPr>
        <w:t>y/o</w:t>
      </w:r>
      <w:r>
        <w:rPr>
          <w:spacing w:val="-3"/>
          <w:sz w:val="22"/>
        </w:rPr>
        <w:t> </w:t>
      </w:r>
      <w:r>
        <w:rPr>
          <w:spacing w:val="-2"/>
          <w:sz w:val="22"/>
        </w:rPr>
        <w:t>servicios;</w:t>
      </w:r>
    </w:p>
    <w:p>
      <w:pPr>
        <w:pStyle w:val="ListParagraph"/>
        <w:numPr>
          <w:ilvl w:val="0"/>
          <w:numId w:val="19"/>
        </w:numPr>
        <w:tabs>
          <w:tab w:pos="935" w:val="left" w:leader="none"/>
        </w:tabs>
        <w:spacing w:line="254" w:lineRule="exact" w:before="0" w:after="0"/>
        <w:ind w:left="935" w:right="0" w:hanging="359"/>
        <w:jc w:val="both"/>
        <w:rPr>
          <w:sz w:val="22"/>
        </w:rPr>
      </w:pPr>
      <w:r>
        <w:rPr>
          <w:sz w:val="22"/>
        </w:rPr>
        <w:t>por</w:t>
      </w:r>
      <w:r>
        <w:rPr>
          <w:spacing w:val="-3"/>
          <w:sz w:val="22"/>
        </w:rPr>
        <w:t> </w:t>
      </w:r>
      <w:r>
        <w:rPr>
          <w:sz w:val="22"/>
        </w:rPr>
        <w:t>los</w:t>
      </w:r>
      <w:r>
        <w:rPr>
          <w:spacing w:val="-2"/>
          <w:sz w:val="22"/>
        </w:rPr>
        <w:t> </w:t>
      </w:r>
      <w:r>
        <w:rPr>
          <w:sz w:val="22"/>
        </w:rPr>
        <w:t>anticipos</w:t>
      </w:r>
      <w:r>
        <w:rPr>
          <w:spacing w:val="-1"/>
          <w:sz w:val="22"/>
        </w:rPr>
        <w:t> </w:t>
      </w:r>
      <w:r>
        <w:rPr>
          <w:spacing w:val="-2"/>
          <w:sz w:val="22"/>
        </w:rPr>
        <w:t>recibidos;</w:t>
      </w:r>
    </w:p>
    <w:p>
      <w:pPr>
        <w:pStyle w:val="ListParagraph"/>
        <w:numPr>
          <w:ilvl w:val="0"/>
          <w:numId w:val="19"/>
        </w:numPr>
        <w:tabs>
          <w:tab w:pos="936" w:val="left" w:leader="none"/>
        </w:tabs>
        <w:spacing w:line="240" w:lineRule="auto" w:before="0" w:after="0"/>
        <w:ind w:left="936" w:right="1259" w:hanging="360"/>
        <w:jc w:val="left"/>
        <w:rPr>
          <w:sz w:val="22"/>
        </w:rPr>
      </w:pPr>
      <w:r>
        <w:rPr>
          <w:sz w:val="22"/>
        </w:rPr>
        <w:t>por las transferencias presupuestarias aprobadas y no entregadas a otra entidad gubernamental o a otro ente privado o persona física;</w:t>
      </w:r>
    </w:p>
    <w:p>
      <w:pPr>
        <w:pStyle w:val="ListParagraph"/>
        <w:numPr>
          <w:ilvl w:val="0"/>
          <w:numId w:val="19"/>
        </w:numPr>
        <w:tabs>
          <w:tab w:pos="936" w:val="left" w:leader="none"/>
        </w:tabs>
        <w:spacing w:line="255" w:lineRule="exact" w:before="0" w:after="0"/>
        <w:ind w:left="936" w:right="0" w:hanging="360"/>
        <w:jc w:val="left"/>
        <w:rPr>
          <w:sz w:val="22"/>
        </w:rPr>
      </w:pPr>
      <w:r>
        <w:rPr>
          <w:sz w:val="22"/>
        </w:rPr>
        <w:t>por</w:t>
      </w:r>
      <w:r>
        <w:rPr>
          <w:spacing w:val="-5"/>
          <w:sz w:val="22"/>
        </w:rPr>
        <w:t> </w:t>
      </w:r>
      <w:r>
        <w:rPr>
          <w:sz w:val="22"/>
        </w:rPr>
        <w:t>la</w:t>
      </w:r>
      <w:r>
        <w:rPr>
          <w:spacing w:val="-5"/>
          <w:sz w:val="22"/>
        </w:rPr>
        <w:t> </w:t>
      </w:r>
      <w:r>
        <w:rPr>
          <w:sz w:val="22"/>
        </w:rPr>
        <w:t>obtención</w:t>
      </w:r>
      <w:r>
        <w:rPr>
          <w:spacing w:val="-4"/>
          <w:sz w:val="22"/>
        </w:rPr>
        <w:t> </w:t>
      </w:r>
      <w:r>
        <w:rPr>
          <w:sz w:val="22"/>
        </w:rPr>
        <w:t>de</w:t>
      </w:r>
      <w:r>
        <w:rPr>
          <w:spacing w:val="-3"/>
          <w:sz w:val="22"/>
        </w:rPr>
        <w:t> </w:t>
      </w:r>
      <w:r>
        <w:rPr>
          <w:sz w:val="22"/>
        </w:rPr>
        <w:t>nuevos</w:t>
      </w:r>
      <w:r>
        <w:rPr>
          <w:spacing w:val="-6"/>
          <w:sz w:val="22"/>
        </w:rPr>
        <w:t> </w:t>
      </w:r>
      <w:r>
        <w:rPr>
          <w:sz w:val="22"/>
        </w:rPr>
        <w:t>plazos</w:t>
      </w:r>
      <w:r>
        <w:rPr>
          <w:spacing w:val="-3"/>
          <w:sz w:val="22"/>
        </w:rPr>
        <w:t> </w:t>
      </w:r>
      <w:r>
        <w:rPr>
          <w:sz w:val="22"/>
        </w:rPr>
        <w:t>para</w:t>
      </w:r>
      <w:r>
        <w:rPr>
          <w:spacing w:val="-7"/>
          <w:sz w:val="22"/>
        </w:rPr>
        <w:t> </w:t>
      </w:r>
      <w:r>
        <w:rPr>
          <w:sz w:val="22"/>
        </w:rPr>
        <w:t>el</w:t>
      </w:r>
      <w:r>
        <w:rPr>
          <w:spacing w:val="-4"/>
          <w:sz w:val="22"/>
        </w:rPr>
        <w:t> </w:t>
      </w:r>
      <w:r>
        <w:rPr>
          <w:sz w:val="22"/>
        </w:rPr>
        <w:t>pago</w:t>
      </w:r>
      <w:r>
        <w:rPr>
          <w:spacing w:val="-3"/>
          <w:sz w:val="22"/>
        </w:rPr>
        <w:t> </w:t>
      </w:r>
      <w:r>
        <w:rPr>
          <w:sz w:val="22"/>
        </w:rPr>
        <w:t>de</w:t>
      </w:r>
      <w:r>
        <w:rPr>
          <w:spacing w:val="-6"/>
          <w:sz w:val="22"/>
        </w:rPr>
        <w:t> </w:t>
      </w:r>
      <w:r>
        <w:rPr>
          <w:sz w:val="22"/>
        </w:rPr>
        <w:t>obligaciones</w:t>
      </w:r>
      <w:r>
        <w:rPr>
          <w:spacing w:val="-3"/>
          <w:sz w:val="22"/>
        </w:rPr>
        <w:t> </w:t>
      </w:r>
      <w:r>
        <w:rPr>
          <w:sz w:val="22"/>
        </w:rPr>
        <w:t>preexistentes;</w:t>
      </w:r>
      <w:r>
        <w:rPr>
          <w:spacing w:val="-4"/>
          <w:sz w:val="22"/>
        </w:rPr>
        <w:t> </w:t>
      </w:r>
      <w:r>
        <w:rPr>
          <w:spacing w:val="-10"/>
          <w:sz w:val="22"/>
        </w:rPr>
        <w:t>y</w:t>
      </w:r>
    </w:p>
    <w:p>
      <w:pPr>
        <w:pStyle w:val="ListParagraph"/>
        <w:numPr>
          <w:ilvl w:val="0"/>
          <w:numId w:val="19"/>
        </w:numPr>
        <w:tabs>
          <w:tab w:pos="936" w:val="left" w:leader="none"/>
        </w:tabs>
        <w:spacing w:line="255" w:lineRule="exact" w:before="0" w:after="0"/>
        <w:ind w:left="936" w:right="0" w:hanging="360"/>
        <w:jc w:val="left"/>
        <w:rPr>
          <w:sz w:val="22"/>
        </w:rPr>
      </w:pPr>
      <w:r>
        <w:rPr>
          <w:sz w:val="22"/>
        </w:rPr>
        <w:t>por</w:t>
      </w:r>
      <w:r>
        <w:rPr>
          <w:spacing w:val="-5"/>
          <w:sz w:val="22"/>
        </w:rPr>
        <w:t> </w:t>
      </w:r>
      <w:r>
        <w:rPr>
          <w:sz w:val="22"/>
        </w:rPr>
        <w:t>el</w:t>
      </w:r>
      <w:r>
        <w:rPr>
          <w:spacing w:val="-4"/>
          <w:sz w:val="22"/>
        </w:rPr>
        <w:t> </w:t>
      </w:r>
      <w:r>
        <w:rPr>
          <w:sz w:val="22"/>
        </w:rPr>
        <w:t>devengamiento</w:t>
      </w:r>
      <w:r>
        <w:rPr>
          <w:spacing w:val="-3"/>
          <w:sz w:val="22"/>
        </w:rPr>
        <w:t> </w:t>
      </w:r>
      <w:r>
        <w:rPr>
          <w:sz w:val="22"/>
        </w:rPr>
        <w:t>de</w:t>
      </w:r>
      <w:r>
        <w:rPr>
          <w:spacing w:val="-6"/>
          <w:sz w:val="22"/>
        </w:rPr>
        <w:t> </w:t>
      </w:r>
      <w:r>
        <w:rPr>
          <w:sz w:val="22"/>
        </w:rPr>
        <w:t>obligaciones</w:t>
      </w:r>
      <w:r>
        <w:rPr>
          <w:spacing w:val="-3"/>
          <w:sz w:val="22"/>
        </w:rPr>
        <w:t> </w:t>
      </w:r>
      <w:r>
        <w:rPr>
          <w:spacing w:val="-2"/>
          <w:sz w:val="22"/>
        </w:rPr>
        <w:t>contractuales</w:t>
      </w:r>
    </w:p>
    <w:p>
      <w:pPr>
        <w:pStyle w:val="ListParagraph"/>
        <w:spacing w:after="0" w:line="255" w:lineRule="exact"/>
        <w:jc w:val="left"/>
        <w:rPr>
          <w:sz w:val="22"/>
        </w:rPr>
        <w:sectPr>
          <w:pgSz w:w="12240" w:h="15840"/>
          <w:pgMar w:top="1720" w:bottom="280" w:left="1080" w:right="720"/>
          <w:cols w:num="2" w:equalWidth="0">
            <w:col w:w="1199" w:space="40"/>
            <w:col w:w="9201"/>
          </w:cols>
        </w:sectPr>
      </w:pPr>
    </w:p>
    <w:p>
      <w:pPr>
        <w:pStyle w:val="BodyText"/>
        <w:spacing w:before="3"/>
      </w:pPr>
      <w:r>
        <w:rPr/>
        <mc:AlternateContent>
          <mc:Choice Requires="wps">
            <w:drawing>
              <wp:anchor distT="0" distB="0" distL="0" distR="0" allowOverlap="1" layoutInCell="1" locked="0" behindDoc="1" simplePos="0" relativeHeight="473541120">
                <wp:simplePos x="0" y="0"/>
                <wp:positionH relativeFrom="page">
                  <wp:posOffset>9525</wp:posOffset>
                </wp:positionH>
                <wp:positionV relativeFrom="page">
                  <wp:posOffset>297208</wp:posOffset>
                </wp:positionV>
                <wp:extent cx="7762875" cy="974852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7762875" cy="9748520"/>
                          <a:chExt cx="7762875" cy="9748520"/>
                        </a:xfrm>
                      </wpg:grpSpPr>
                      <pic:pic>
                        <pic:nvPicPr>
                          <pic:cNvPr id="77" name="Image 77"/>
                          <pic:cNvPicPr/>
                        </pic:nvPicPr>
                        <pic:blipFill>
                          <a:blip r:embed="rId5" cstate="print"/>
                          <a:stretch>
                            <a:fillRect/>
                          </a:stretch>
                        </pic:blipFill>
                        <pic:spPr>
                          <a:xfrm>
                            <a:off x="0" y="0"/>
                            <a:ext cx="7762874" cy="9748489"/>
                          </a:xfrm>
                          <a:prstGeom prst="rect">
                            <a:avLst/>
                          </a:prstGeom>
                        </pic:spPr>
                      </pic:pic>
                      <wps:wsp>
                        <wps:cNvPr id="78" name="Graphic 78"/>
                        <wps:cNvSpPr/>
                        <wps:spPr>
                          <a:xfrm>
                            <a:off x="1053007" y="990837"/>
                            <a:ext cx="5649595" cy="5280025"/>
                          </a:xfrm>
                          <a:custGeom>
                            <a:avLst/>
                            <a:gdLst/>
                            <a:ahLst/>
                            <a:cxnLst/>
                            <a:rect l="l" t="t" r="r" b="b"/>
                            <a:pathLst>
                              <a:path w="5649595" h="5280025">
                                <a:moveTo>
                                  <a:pt x="5630862" y="5273675"/>
                                </a:moveTo>
                                <a:lnTo>
                                  <a:pt x="5624830" y="5273675"/>
                                </a:lnTo>
                                <a:lnTo>
                                  <a:pt x="24384" y="5273675"/>
                                </a:lnTo>
                                <a:lnTo>
                                  <a:pt x="18288" y="5273675"/>
                                </a:lnTo>
                                <a:lnTo>
                                  <a:pt x="18288" y="5279758"/>
                                </a:lnTo>
                                <a:lnTo>
                                  <a:pt x="24384" y="5279758"/>
                                </a:lnTo>
                                <a:lnTo>
                                  <a:pt x="5624779" y="5279758"/>
                                </a:lnTo>
                                <a:lnTo>
                                  <a:pt x="5630862" y="5279758"/>
                                </a:lnTo>
                                <a:lnTo>
                                  <a:pt x="5630862" y="5273675"/>
                                </a:lnTo>
                                <a:close/>
                              </a:path>
                              <a:path w="5649595" h="5280025">
                                <a:moveTo>
                                  <a:pt x="5630862" y="126479"/>
                                </a:moveTo>
                                <a:lnTo>
                                  <a:pt x="5624830" y="126479"/>
                                </a:lnTo>
                                <a:lnTo>
                                  <a:pt x="24384" y="126479"/>
                                </a:lnTo>
                                <a:lnTo>
                                  <a:pt x="18288" y="126479"/>
                                </a:lnTo>
                                <a:lnTo>
                                  <a:pt x="18288" y="132575"/>
                                </a:lnTo>
                                <a:lnTo>
                                  <a:pt x="18288" y="5273662"/>
                                </a:lnTo>
                                <a:lnTo>
                                  <a:pt x="24384" y="5273662"/>
                                </a:lnTo>
                                <a:lnTo>
                                  <a:pt x="24384" y="132575"/>
                                </a:lnTo>
                                <a:lnTo>
                                  <a:pt x="5624779" y="132575"/>
                                </a:lnTo>
                                <a:lnTo>
                                  <a:pt x="5624779" y="5273662"/>
                                </a:lnTo>
                                <a:lnTo>
                                  <a:pt x="5630862" y="5273662"/>
                                </a:lnTo>
                                <a:lnTo>
                                  <a:pt x="5630862" y="132575"/>
                                </a:lnTo>
                                <a:lnTo>
                                  <a:pt x="5630862" y="126479"/>
                                </a:lnTo>
                                <a:close/>
                              </a:path>
                              <a:path w="5649595" h="528002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5360" id="docshapegroup75" coordorigin="15,468" coordsize="12225,15352">
                <v:shape style="position:absolute;left:15;top:468;width:12225;height:15352" type="#_x0000_t75" id="docshape76" stroked="false">
                  <v:imagedata r:id="rId5" o:title=""/>
                </v:shape>
                <v:shape style="position:absolute;left:1673;top:2028;width:8897;height:8315" id="docshape77" coordorigin="1673,2028" coordsize="8897,8315" path="m10541,10333l10531,10333,10531,10333,1712,10333,1702,10333,1702,10343,1712,10343,10531,10343,10531,10343,10541,10343,10541,10333xm10541,2228l10531,2228,10531,2228,1712,2228,1702,2228,1702,2237,1702,10333,1712,10333,1712,2237,10531,2237,10531,10333,10541,10333,10541,2237,10541,2228xm10570,2028l1673,2028,1673,2043,10570,2043,10570,2028xe" filled="true" fillcolor="#000000" stroked="false">
                  <v:path arrowok="t"/>
                  <v:fill type="solid"/>
                </v:shape>
                <w10:wrap type="none"/>
              </v:group>
            </w:pict>
          </mc:Fallback>
        </mc:AlternateContent>
      </w:r>
    </w:p>
    <w:p>
      <w:pPr>
        <w:pStyle w:val="BodyText"/>
        <w:spacing w:line="276" w:lineRule="auto"/>
        <w:ind w:left="734" w:right="1088"/>
        <w:jc w:val="both"/>
      </w:pPr>
      <w:r>
        <w:rPr/>
        <w:t>El reconocimiento de las deudas comerciales se efectúa cuando los bienes o servicios han sido recibidos</w:t>
      </w:r>
      <w:r>
        <w:rPr>
          <w:spacing w:val="-6"/>
        </w:rPr>
        <w:t> </w:t>
      </w:r>
      <w:r>
        <w:rPr/>
        <w:t>conforme</w:t>
      </w:r>
      <w:r>
        <w:rPr>
          <w:spacing w:val="-8"/>
        </w:rPr>
        <w:t> </w:t>
      </w:r>
      <w:r>
        <w:rPr/>
        <w:t>a</w:t>
      </w:r>
      <w:r>
        <w:rPr>
          <w:spacing w:val="-8"/>
        </w:rPr>
        <w:t> </w:t>
      </w:r>
      <w:r>
        <w:rPr/>
        <w:t>lo</w:t>
      </w:r>
      <w:r>
        <w:rPr>
          <w:spacing w:val="-7"/>
        </w:rPr>
        <w:t> </w:t>
      </w:r>
      <w:r>
        <w:rPr/>
        <w:t>pactado</w:t>
      </w:r>
      <w:r>
        <w:rPr>
          <w:spacing w:val="-7"/>
        </w:rPr>
        <w:t> </w:t>
      </w:r>
      <w:r>
        <w:rPr/>
        <w:t>y</w:t>
      </w:r>
      <w:r>
        <w:rPr>
          <w:spacing w:val="-8"/>
        </w:rPr>
        <w:t> </w:t>
      </w:r>
      <w:r>
        <w:rPr/>
        <w:t>existe</w:t>
      </w:r>
      <w:r>
        <w:rPr>
          <w:spacing w:val="-8"/>
        </w:rPr>
        <w:t> </w:t>
      </w:r>
      <w:r>
        <w:rPr/>
        <w:t>un</w:t>
      </w:r>
      <w:r>
        <w:rPr>
          <w:spacing w:val="-7"/>
        </w:rPr>
        <w:t> </w:t>
      </w:r>
      <w:r>
        <w:rPr/>
        <w:t>respaldo</w:t>
      </w:r>
      <w:r>
        <w:rPr>
          <w:spacing w:val="-6"/>
        </w:rPr>
        <w:t> </w:t>
      </w:r>
      <w:r>
        <w:rPr/>
        <w:t>documental</w:t>
      </w:r>
      <w:r>
        <w:rPr>
          <w:spacing w:val="-8"/>
        </w:rPr>
        <w:t> </w:t>
      </w:r>
      <w:r>
        <w:rPr/>
        <w:t>válido</w:t>
      </w:r>
      <w:r>
        <w:rPr>
          <w:spacing w:val="-7"/>
        </w:rPr>
        <w:t> </w:t>
      </w:r>
      <w:r>
        <w:rPr/>
        <w:t>que</w:t>
      </w:r>
      <w:r>
        <w:rPr>
          <w:spacing w:val="-8"/>
        </w:rPr>
        <w:t> </w:t>
      </w:r>
      <w:r>
        <w:rPr/>
        <w:t>formaliza</w:t>
      </w:r>
      <w:r>
        <w:rPr>
          <w:spacing w:val="-8"/>
        </w:rPr>
        <w:t> </w:t>
      </w:r>
      <w:r>
        <w:rPr/>
        <w:t>la</w:t>
      </w:r>
      <w:r>
        <w:rPr>
          <w:spacing w:val="-8"/>
        </w:rPr>
        <w:t> </w:t>
      </w:r>
      <w:r>
        <w:rPr/>
        <w:t>obligación. En</w:t>
      </w:r>
      <w:r>
        <w:rPr>
          <w:spacing w:val="-4"/>
        </w:rPr>
        <w:t> </w:t>
      </w:r>
      <w:r>
        <w:rPr/>
        <w:t>el</w:t>
      </w:r>
      <w:r>
        <w:rPr>
          <w:spacing w:val="-5"/>
        </w:rPr>
        <w:t> </w:t>
      </w:r>
      <w:r>
        <w:rPr/>
        <w:t>caso</w:t>
      </w:r>
      <w:r>
        <w:rPr>
          <w:spacing w:val="-6"/>
        </w:rPr>
        <w:t> </w:t>
      </w:r>
      <w:r>
        <w:rPr/>
        <w:t>de</w:t>
      </w:r>
      <w:r>
        <w:rPr>
          <w:spacing w:val="-6"/>
        </w:rPr>
        <w:t> </w:t>
      </w:r>
      <w:r>
        <w:rPr/>
        <w:t>obligaciones</w:t>
      </w:r>
      <w:r>
        <w:rPr>
          <w:spacing w:val="-4"/>
        </w:rPr>
        <w:t> </w:t>
      </w:r>
      <w:r>
        <w:rPr/>
        <w:t>laborales,</w:t>
      </w:r>
      <w:r>
        <w:rPr>
          <w:spacing w:val="-5"/>
        </w:rPr>
        <w:t> </w:t>
      </w:r>
      <w:r>
        <w:rPr/>
        <w:t>fiscales</w:t>
      </w:r>
      <w:r>
        <w:rPr>
          <w:spacing w:val="-4"/>
        </w:rPr>
        <w:t> </w:t>
      </w:r>
      <w:r>
        <w:rPr/>
        <w:t>y</w:t>
      </w:r>
      <w:r>
        <w:rPr>
          <w:spacing w:val="-8"/>
        </w:rPr>
        <w:t> </w:t>
      </w:r>
      <w:r>
        <w:rPr/>
        <w:t>sociales,</w:t>
      </w:r>
      <w:r>
        <w:rPr>
          <w:spacing w:val="-7"/>
        </w:rPr>
        <w:t> </w:t>
      </w:r>
      <w:r>
        <w:rPr/>
        <w:t>el</w:t>
      </w:r>
      <w:r>
        <w:rPr>
          <w:spacing w:val="-3"/>
        </w:rPr>
        <w:t> </w:t>
      </w:r>
      <w:r>
        <w:rPr/>
        <w:t>pasivo</w:t>
      </w:r>
      <w:r>
        <w:rPr>
          <w:spacing w:val="-6"/>
        </w:rPr>
        <w:t> </w:t>
      </w:r>
      <w:r>
        <w:rPr/>
        <w:t>se</w:t>
      </w:r>
      <w:r>
        <w:rPr>
          <w:spacing w:val="-6"/>
        </w:rPr>
        <w:t> </w:t>
      </w:r>
      <w:r>
        <w:rPr/>
        <w:t>reconoce</w:t>
      </w:r>
      <w:r>
        <w:rPr>
          <w:spacing w:val="-6"/>
        </w:rPr>
        <w:t> </w:t>
      </w:r>
      <w:r>
        <w:rPr/>
        <w:t>en</w:t>
      </w:r>
      <w:r>
        <w:rPr>
          <w:spacing w:val="-4"/>
        </w:rPr>
        <w:t> </w:t>
      </w:r>
      <w:r>
        <w:rPr/>
        <w:t>el</w:t>
      </w:r>
      <w:r>
        <w:rPr>
          <w:spacing w:val="-8"/>
        </w:rPr>
        <w:t> </w:t>
      </w:r>
      <w:r>
        <w:rPr/>
        <w:t>momento</w:t>
      </w:r>
      <w:r>
        <w:rPr>
          <w:spacing w:val="-4"/>
        </w:rPr>
        <w:t> </w:t>
      </w:r>
      <w:r>
        <w:rPr/>
        <w:t>en</w:t>
      </w:r>
      <w:r>
        <w:rPr>
          <w:spacing w:val="-7"/>
        </w:rPr>
        <w:t> </w:t>
      </w:r>
      <w:r>
        <w:rPr/>
        <w:t>que se genera el derecho del tercero o la obligación legal de pago o retención.</w:t>
      </w:r>
    </w:p>
    <w:p>
      <w:pPr>
        <w:pStyle w:val="BodyText"/>
        <w:spacing w:line="276" w:lineRule="auto" w:before="120"/>
        <w:ind w:left="734" w:right="1088"/>
        <w:jc w:val="both"/>
      </w:pPr>
      <w:r>
        <w:rPr/>
        <w:t>Las cuentas por pagar</w:t>
      </w:r>
      <w:r>
        <w:rPr>
          <w:spacing w:val="-1"/>
        </w:rPr>
        <w:t> </w:t>
      </w:r>
      <w:r>
        <w:rPr/>
        <w:t>se clasifican como corrientes cuando su vencimiento o cancelación esperada ocurre</w:t>
      </w:r>
      <w:r>
        <w:rPr>
          <w:spacing w:val="-4"/>
        </w:rPr>
        <w:t> </w:t>
      </w:r>
      <w:r>
        <w:rPr/>
        <w:t>dentro</w:t>
      </w:r>
      <w:r>
        <w:rPr>
          <w:spacing w:val="-2"/>
        </w:rPr>
        <w:t> </w:t>
      </w:r>
      <w:r>
        <w:rPr/>
        <w:t>de</w:t>
      </w:r>
      <w:r>
        <w:rPr>
          <w:spacing w:val="-4"/>
        </w:rPr>
        <w:t> </w:t>
      </w:r>
      <w:r>
        <w:rPr/>
        <w:t>los</w:t>
      </w:r>
      <w:r>
        <w:rPr>
          <w:spacing w:val="-1"/>
        </w:rPr>
        <w:t> </w:t>
      </w:r>
      <w:r>
        <w:rPr/>
        <w:t>doce</w:t>
      </w:r>
      <w:r>
        <w:rPr>
          <w:spacing w:val="-6"/>
        </w:rPr>
        <w:t> </w:t>
      </w:r>
      <w:r>
        <w:rPr/>
        <w:t>meses</w:t>
      </w:r>
      <w:r>
        <w:rPr>
          <w:spacing w:val="-4"/>
        </w:rPr>
        <w:t> </w:t>
      </w:r>
      <w:r>
        <w:rPr/>
        <w:t>siguientes</w:t>
      </w:r>
      <w:r>
        <w:rPr>
          <w:spacing w:val="-1"/>
        </w:rPr>
        <w:t> </w:t>
      </w:r>
      <w:r>
        <w:rPr/>
        <w:t>a</w:t>
      </w:r>
      <w:r>
        <w:rPr>
          <w:spacing w:val="-3"/>
        </w:rPr>
        <w:t> </w:t>
      </w:r>
      <w:r>
        <w:rPr/>
        <w:t>la</w:t>
      </w:r>
      <w:r>
        <w:rPr>
          <w:spacing w:val="-6"/>
        </w:rPr>
        <w:t> </w:t>
      </w:r>
      <w:r>
        <w:rPr/>
        <w:t>fecha</w:t>
      </w:r>
      <w:r>
        <w:rPr>
          <w:spacing w:val="-3"/>
        </w:rPr>
        <w:t> </w:t>
      </w:r>
      <w:r>
        <w:rPr/>
        <w:t>de</w:t>
      </w:r>
      <w:r>
        <w:rPr>
          <w:spacing w:val="-4"/>
        </w:rPr>
        <w:t> </w:t>
      </w:r>
      <w:r>
        <w:rPr/>
        <w:t>cierre</w:t>
      </w:r>
      <w:r>
        <w:rPr>
          <w:spacing w:val="-4"/>
        </w:rPr>
        <w:t> </w:t>
      </w:r>
      <w:r>
        <w:rPr/>
        <w:t>del</w:t>
      </w:r>
      <w:r>
        <w:rPr>
          <w:spacing w:val="-2"/>
        </w:rPr>
        <w:t> </w:t>
      </w:r>
      <w:r>
        <w:rPr/>
        <w:t>período</w:t>
      </w:r>
      <w:r>
        <w:rPr>
          <w:spacing w:val="-2"/>
        </w:rPr>
        <w:t> </w:t>
      </w:r>
      <w:r>
        <w:rPr/>
        <w:t>sobre</w:t>
      </w:r>
      <w:r>
        <w:rPr>
          <w:spacing w:val="-4"/>
        </w:rPr>
        <w:t> </w:t>
      </w:r>
      <w:r>
        <w:rPr/>
        <w:t>el</w:t>
      </w:r>
      <w:r>
        <w:rPr>
          <w:spacing w:val="-2"/>
        </w:rPr>
        <w:t> </w:t>
      </w:r>
      <w:r>
        <w:rPr/>
        <w:t>que</w:t>
      </w:r>
      <w:r>
        <w:rPr>
          <w:spacing w:val="-6"/>
        </w:rPr>
        <w:t> </w:t>
      </w:r>
      <w:r>
        <w:rPr/>
        <w:t>se</w:t>
      </w:r>
      <w:r>
        <w:rPr>
          <w:spacing w:val="-3"/>
        </w:rPr>
        <w:t> </w:t>
      </w:r>
      <w:r>
        <w:rPr/>
        <w:t>informa. Aquellas</w:t>
      </w:r>
      <w:r>
        <w:rPr>
          <w:spacing w:val="-9"/>
        </w:rPr>
        <w:t> </w:t>
      </w:r>
      <w:r>
        <w:rPr/>
        <w:t>cuyo</w:t>
      </w:r>
      <w:r>
        <w:rPr>
          <w:spacing w:val="-9"/>
        </w:rPr>
        <w:t> </w:t>
      </w:r>
      <w:r>
        <w:rPr/>
        <w:t>plazo</w:t>
      </w:r>
      <w:r>
        <w:rPr>
          <w:spacing w:val="-9"/>
        </w:rPr>
        <w:t> </w:t>
      </w:r>
      <w:r>
        <w:rPr/>
        <w:t>excede</w:t>
      </w:r>
      <w:r>
        <w:rPr>
          <w:spacing w:val="-9"/>
        </w:rPr>
        <w:t> </w:t>
      </w:r>
      <w:r>
        <w:rPr/>
        <w:t>dicho</w:t>
      </w:r>
      <w:r>
        <w:rPr>
          <w:spacing w:val="-9"/>
        </w:rPr>
        <w:t> </w:t>
      </w:r>
      <w:r>
        <w:rPr/>
        <w:t>período</w:t>
      </w:r>
      <w:r>
        <w:rPr>
          <w:spacing w:val="-9"/>
        </w:rPr>
        <w:t> </w:t>
      </w:r>
      <w:r>
        <w:rPr/>
        <w:t>se</w:t>
      </w:r>
      <w:r>
        <w:rPr>
          <w:spacing w:val="-11"/>
        </w:rPr>
        <w:t> </w:t>
      </w:r>
      <w:r>
        <w:rPr/>
        <w:t>presentan</w:t>
      </w:r>
      <w:r>
        <w:rPr>
          <w:spacing w:val="-12"/>
        </w:rPr>
        <w:t> </w:t>
      </w:r>
      <w:r>
        <w:rPr/>
        <w:t>como</w:t>
      </w:r>
      <w:r>
        <w:rPr>
          <w:spacing w:val="-7"/>
        </w:rPr>
        <w:t> </w:t>
      </w:r>
      <w:r>
        <w:rPr/>
        <w:t>no</w:t>
      </w:r>
      <w:r>
        <w:rPr>
          <w:spacing w:val="-9"/>
        </w:rPr>
        <w:t> </w:t>
      </w:r>
      <w:r>
        <w:rPr/>
        <w:t>corrientes,</w:t>
      </w:r>
      <w:r>
        <w:rPr>
          <w:spacing w:val="-9"/>
        </w:rPr>
        <w:t> </w:t>
      </w:r>
      <w:r>
        <w:rPr/>
        <w:t>reclasificándose</w:t>
      </w:r>
      <w:r>
        <w:rPr>
          <w:spacing w:val="-11"/>
        </w:rPr>
        <w:t> </w:t>
      </w:r>
      <w:r>
        <w:rPr/>
        <w:t>a</w:t>
      </w:r>
      <w:r>
        <w:rPr>
          <w:spacing w:val="-10"/>
        </w:rPr>
        <w:t> </w:t>
      </w:r>
      <w:r>
        <w:rPr/>
        <w:t>corto plazo cuando su vencimiento se sitúe dentro del año siguiente.</w:t>
      </w:r>
    </w:p>
    <w:p>
      <w:pPr>
        <w:pStyle w:val="BodyText"/>
        <w:spacing w:before="118"/>
        <w:ind w:left="734" w:right="1261"/>
        <w:jc w:val="both"/>
      </w:pPr>
      <w:r>
        <w:rPr/>
        <w:t>Inicialmente,</w:t>
      </w:r>
      <w:r>
        <w:rPr>
          <w:spacing w:val="-2"/>
        </w:rPr>
        <w:t> </w:t>
      </w:r>
      <w:r>
        <w:rPr/>
        <w:t>las cuentas por</w:t>
      </w:r>
      <w:r>
        <w:rPr>
          <w:spacing w:val="-1"/>
        </w:rPr>
        <w:t> </w:t>
      </w:r>
      <w:r>
        <w:rPr/>
        <w:t>pagar</w:t>
      </w:r>
      <w:r>
        <w:rPr>
          <w:spacing w:val="-3"/>
        </w:rPr>
        <w:t> </w:t>
      </w:r>
      <w:r>
        <w:rPr/>
        <w:t>se</w:t>
      </w:r>
      <w:r>
        <w:rPr>
          <w:spacing w:val="-2"/>
        </w:rPr>
        <w:t> </w:t>
      </w:r>
      <w:r>
        <w:rPr/>
        <w:t>reconocen</w:t>
      </w:r>
      <w:r>
        <w:rPr>
          <w:spacing w:val="-1"/>
        </w:rPr>
        <w:t> </w:t>
      </w:r>
      <w:r>
        <w:rPr/>
        <w:t>por</w:t>
      </w:r>
      <w:r>
        <w:rPr>
          <w:spacing w:val="-3"/>
        </w:rPr>
        <w:t> </w:t>
      </w:r>
      <w:r>
        <w:rPr/>
        <w:t>su</w:t>
      </w:r>
      <w:r>
        <w:rPr>
          <w:spacing w:val="-4"/>
        </w:rPr>
        <w:t> </w:t>
      </w:r>
      <w:r>
        <w:rPr/>
        <w:t>valor</w:t>
      </w:r>
      <w:r>
        <w:rPr>
          <w:spacing w:val="-1"/>
        </w:rPr>
        <w:t> </w:t>
      </w:r>
      <w:r>
        <w:rPr/>
        <w:t>nominal,</w:t>
      </w:r>
      <w:r>
        <w:rPr>
          <w:spacing w:val="-3"/>
        </w:rPr>
        <w:t> </w:t>
      </w:r>
      <w:r>
        <w:rPr/>
        <w:t>que</w:t>
      </w:r>
      <w:r>
        <w:rPr>
          <w:spacing w:val="-2"/>
        </w:rPr>
        <w:t> </w:t>
      </w:r>
      <w:r>
        <w:rPr/>
        <w:t>representa</w:t>
      </w:r>
      <w:r>
        <w:rPr>
          <w:spacing w:val="-1"/>
        </w:rPr>
        <w:t> </w:t>
      </w:r>
      <w:r>
        <w:rPr/>
        <w:t>el</w:t>
      </w:r>
      <w:r>
        <w:rPr>
          <w:spacing w:val="-2"/>
        </w:rPr>
        <w:t> </w:t>
      </w:r>
      <w:r>
        <w:rPr/>
        <w:t>importe exigible al momento del reconocimiento, salvo que una NICSP especifica indique lo contrario.</w:t>
      </w:r>
    </w:p>
    <w:p>
      <w:pPr>
        <w:pStyle w:val="BodyText"/>
      </w:pPr>
    </w:p>
    <w:p>
      <w:pPr>
        <w:pStyle w:val="BodyText"/>
        <w:spacing w:line="276" w:lineRule="auto" w:before="1"/>
        <w:ind w:left="734" w:right="1089"/>
        <w:jc w:val="both"/>
      </w:pPr>
      <w:r>
        <w:rPr/>
        <w:t>Los fondos recibidos por cuenta de terceros o en calidad de garantía se reconocen como pasivos, dado</w:t>
      </w:r>
      <w:r>
        <w:rPr>
          <w:spacing w:val="-9"/>
        </w:rPr>
        <w:t> </w:t>
      </w:r>
      <w:r>
        <w:rPr/>
        <w:t>que</w:t>
      </w:r>
      <w:r>
        <w:rPr>
          <w:spacing w:val="-13"/>
        </w:rPr>
        <w:t> </w:t>
      </w:r>
      <w:r>
        <w:rPr/>
        <w:t>no</w:t>
      </w:r>
      <w:r>
        <w:rPr>
          <w:spacing w:val="-11"/>
        </w:rPr>
        <w:t> </w:t>
      </w:r>
      <w:r>
        <w:rPr/>
        <w:t>representan</w:t>
      </w:r>
      <w:r>
        <w:rPr>
          <w:spacing w:val="-12"/>
        </w:rPr>
        <w:t> </w:t>
      </w:r>
      <w:r>
        <w:rPr/>
        <w:t>recursos</w:t>
      </w:r>
      <w:r>
        <w:rPr>
          <w:spacing w:val="-9"/>
        </w:rPr>
        <w:t> </w:t>
      </w:r>
      <w:r>
        <w:rPr/>
        <w:t>propios</w:t>
      </w:r>
      <w:r>
        <w:rPr>
          <w:spacing w:val="-9"/>
        </w:rPr>
        <w:t> </w:t>
      </w:r>
      <w:r>
        <w:rPr/>
        <w:t>de</w:t>
      </w:r>
      <w:r>
        <w:rPr>
          <w:spacing w:val="-11"/>
        </w:rPr>
        <w:t> </w:t>
      </w:r>
      <w:r>
        <w:rPr/>
        <w:t>la</w:t>
      </w:r>
      <w:r>
        <w:rPr>
          <w:spacing w:val="-11"/>
        </w:rPr>
        <w:t> </w:t>
      </w:r>
      <w:r>
        <w:rPr/>
        <w:t>entidad</w:t>
      </w:r>
      <w:r>
        <w:rPr>
          <w:spacing w:val="-10"/>
        </w:rPr>
        <w:t> </w:t>
      </w:r>
      <w:r>
        <w:rPr/>
        <w:t>ni</w:t>
      </w:r>
      <w:r>
        <w:rPr>
          <w:spacing w:val="-10"/>
        </w:rPr>
        <w:t> </w:t>
      </w:r>
      <w:r>
        <w:rPr/>
        <w:t>afectan</w:t>
      </w:r>
      <w:r>
        <w:rPr>
          <w:spacing w:val="-12"/>
        </w:rPr>
        <w:t> </w:t>
      </w:r>
      <w:r>
        <w:rPr/>
        <w:t>su</w:t>
      </w:r>
      <w:r>
        <w:rPr>
          <w:spacing w:val="-12"/>
        </w:rPr>
        <w:t> </w:t>
      </w:r>
      <w:r>
        <w:rPr/>
        <w:t>patrimonio</w:t>
      </w:r>
      <w:r>
        <w:rPr>
          <w:spacing w:val="-11"/>
        </w:rPr>
        <w:t> </w:t>
      </w:r>
      <w:r>
        <w:rPr/>
        <w:t>neto.</w:t>
      </w:r>
      <w:r>
        <w:rPr>
          <w:spacing w:val="-11"/>
        </w:rPr>
        <w:t> </w:t>
      </w:r>
      <w:r>
        <w:rPr/>
        <w:t>Estos</w:t>
      </w:r>
      <w:r>
        <w:rPr>
          <w:spacing w:val="-13"/>
        </w:rPr>
        <w:t> </w:t>
      </w:r>
      <w:r>
        <w:rPr/>
        <w:t>montos se mantienen separados de los fondos institucionales y se registran por el importe que se espera devolver o transferir, según las condiciones contractuales o normativas que les dieron origen.</w:t>
      </w:r>
    </w:p>
    <w:p>
      <w:pPr>
        <w:pStyle w:val="BodyText"/>
        <w:spacing w:line="276" w:lineRule="auto" w:before="120"/>
        <w:ind w:left="734" w:right="1093"/>
        <w:jc w:val="both"/>
      </w:pPr>
      <w:r>
        <w:rPr/>
        <w:t>La entidad reconoce ingresos contra estos pasivos únicamente cuando se cumplen las condiciones que extinguen la obligación, tales como el incumplimiento de los términos contractuales por parte del tercero o cuando una disposición legal así lo autorice.</w:t>
      </w:r>
    </w:p>
    <w:p>
      <w:pPr>
        <w:pStyle w:val="BodyText"/>
      </w:pPr>
    </w:p>
    <w:p>
      <w:pPr>
        <w:pStyle w:val="BodyText"/>
        <w:spacing w:before="60"/>
      </w:pPr>
    </w:p>
    <w:p>
      <w:pPr>
        <w:pStyle w:val="Heading6"/>
        <w:numPr>
          <w:ilvl w:val="0"/>
          <w:numId w:val="13"/>
        </w:numPr>
        <w:tabs>
          <w:tab w:pos="1341" w:val="left" w:leader="none"/>
        </w:tabs>
        <w:spacing w:line="240" w:lineRule="auto" w:before="0" w:after="0"/>
        <w:ind w:left="1341" w:right="0" w:hanging="360"/>
        <w:jc w:val="left"/>
      </w:pPr>
      <w:bookmarkStart w:name="_bookmark11" w:id="12"/>
      <w:bookmarkEnd w:id="12"/>
      <w:r>
        <w:rPr>
          <w:b w:val="0"/>
        </w:rPr>
      </w:r>
      <w:r>
        <w:rPr>
          <w:color w:val="1F3762"/>
        </w:rPr>
        <w:t>Políticas</w:t>
      </w:r>
      <w:r>
        <w:rPr>
          <w:color w:val="1F3762"/>
          <w:spacing w:val="-4"/>
        </w:rPr>
        <w:t> </w:t>
      </w:r>
      <w:r>
        <w:rPr>
          <w:color w:val="1F3762"/>
        </w:rPr>
        <w:t>de</w:t>
      </w:r>
      <w:r>
        <w:rPr>
          <w:color w:val="1F3762"/>
          <w:spacing w:val="-4"/>
        </w:rPr>
        <w:t> </w:t>
      </w:r>
      <w:r>
        <w:rPr>
          <w:color w:val="1F3762"/>
        </w:rPr>
        <w:t>consolidación</w:t>
      </w:r>
      <w:r>
        <w:rPr>
          <w:color w:val="1F3762"/>
          <w:spacing w:val="-4"/>
        </w:rPr>
        <w:t> </w:t>
      </w:r>
      <w:r>
        <w:rPr>
          <w:color w:val="1F3762"/>
        </w:rPr>
        <w:t>(No</w:t>
      </w:r>
      <w:r>
        <w:rPr>
          <w:color w:val="1F3762"/>
          <w:spacing w:val="-4"/>
        </w:rPr>
        <w:t> </w:t>
      </w:r>
      <w:r>
        <w:rPr>
          <w:color w:val="1F3762"/>
          <w:spacing w:val="-2"/>
        </w:rPr>
        <w:t>aplica).</w:t>
      </w:r>
    </w:p>
    <w:p>
      <w:pPr>
        <w:pStyle w:val="BodyText"/>
        <w:spacing w:before="8"/>
        <w:rPr>
          <w:b/>
          <w:sz w:val="8"/>
        </w:rPr>
      </w:pPr>
      <w:r>
        <w:rPr>
          <w:b/>
          <w:sz w:val="8"/>
        </w:rPr>
        <mc:AlternateContent>
          <mc:Choice Requires="wps">
            <w:drawing>
              <wp:anchor distT="0" distB="0" distL="0" distR="0" allowOverlap="1" layoutInCell="1" locked="0" behindDoc="1" simplePos="0" relativeHeight="487603712">
                <wp:simplePos x="0" y="0"/>
                <wp:positionH relativeFrom="page">
                  <wp:posOffset>1083868</wp:posOffset>
                </wp:positionH>
                <wp:positionV relativeFrom="paragraph">
                  <wp:posOffset>81438</wp:posOffset>
                </wp:positionV>
                <wp:extent cx="5607050" cy="1482090"/>
                <wp:effectExtent l="0" t="0" r="0" b="0"/>
                <wp:wrapTopAndBottom/>
                <wp:docPr id="79" name="Textbox 79"/>
                <wp:cNvGraphicFramePr>
                  <a:graphicFrameLocks/>
                </wp:cNvGraphicFramePr>
                <a:graphic>
                  <a:graphicData uri="http://schemas.microsoft.com/office/word/2010/wordprocessingShape">
                    <wps:wsp>
                      <wps:cNvPr id="79" name="Textbox 79"/>
                      <wps:cNvSpPr txBox="1"/>
                      <wps:spPr>
                        <a:xfrm>
                          <a:off x="0" y="0"/>
                          <a:ext cx="5607050" cy="148209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2"/>
                              <w:jc w:val="both"/>
                            </w:pPr>
                            <w:r>
                              <w:rPr/>
                              <w:t>El IMAS prepara y presenta su información financieros de forma individual, sin aplicar políticas ni procedimientos de consolidación, debido a que no mantiene control, influencia significativa ni participación en otras entidades que requieran ser incluidas dentro de sus operaciones, en conformidad con los criterios establecidos en las NICSP aplicables.</w:t>
                            </w:r>
                            <w:r>
                              <w:rPr>
                                <w:spacing w:val="40"/>
                              </w:rPr>
                              <w:t> </w:t>
                            </w:r>
                            <w:r>
                              <w:rPr/>
                              <w:t>Asimismo, no disponen de subsidiarias, entidades controladas, negocios conjuntos ni inversiones en entidades asociadas que generen la obligación de presentar Estados Financieros consolidados.</w:t>
                            </w:r>
                          </w:p>
                        </w:txbxContent>
                      </wps:txbx>
                      <wps:bodyPr wrap="square" lIns="0" tIns="0" rIns="0" bIns="0" rtlCol="0">
                        <a:noAutofit/>
                      </wps:bodyPr>
                    </wps:wsp>
                  </a:graphicData>
                </a:graphic>
              </wp:anchor>
            </w:drawing>
          </mc:Choice>
          <mc:Fallback>
            <w:pict>
              <v:shape style="position:absolute;margin-left:85.344002pt;margin-top:6.4125pt;width:441.5pt;height:116.7pt;mso-position-horizontal-relative:page;mso-position-vertical-relative:paragraph;z-index:-15712768;mso-wrap-distance-left:0;mso-wrap-distance-right:0" type="#_x0000_t202" id="docshape78"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2"/>
                        <w:jc w:val="both"/>
                      </w:pPr>
                      <w:r>
                        <w:rPr/>
                        <w:t>El IMAS prepara y presenta su información financieros de forma individual, sin aplicar políticas ni procedimientos de consolidación, debido a que no mantiene control, influencia significativa ni participación en otras entidades que requieran ser incluidas dentro de sus operaciones, en conformidad con los criterios establecidos en las NICSP aplicables.</w:t>
                      </w:r>
                      <w:r>
                        <w:rPr>
                          <w:spacing w:val="40"/>
                        </w:rPr>
                        <w:t> </w:t>
                      </w:r>
                      <w:r>
                        <w:rPr/>
                        <w:t>Asimismo, no disponen de subsidiarias, entidades controladas, negocios conjuntos ni inversiones en entidades asociadas que generen la obligación de presentar Estados Financieros consolidados.</w:t>
                      </w:r>
                    </w:p>
                  </w:txbxContent>
                </v:textbox>
                <v:stroke dashstyle="solid"/>
                <w10:wrap type="topAndBottom"/>
              </v:shape>
            </w:pict>
          </mc:Fallback>
        </mc:AlternateContent>
      </w:r>
    </w:p>
    <w:p>
      <w:pPr>
        <w:pStyle w:val="BodyText"/>
        <w:spacing w:after="0"/>
        <w:rPr>
          <w:b/>
          <w:sz w:val="8"/>
        </w:rPr>
        <w:sectPr>
          <w:type w:val="continuous"/>
          <w:pgSz w:w="12240" w:h="15840"/>
          <w:pgMar w:top="18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1632">
                <wp:simplePos x="0" y="0"/>
                <wp:positionH relativeFrom="page">
                  <wp:posOffset>9525</wp:posOffset>
                </wp:positionH>
                <wp:positionV relativeFrom="page">
                  <wp:posOffset>297208</wp:posOffset>
                </wp:positionV>
                <wp:extent cx="7762875" cy="974852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7762875" cy="9748520"/>
                          <a:chExt cx="7762875" cy="9748520"/>
                        </a:xfrm>
                      </wpg:grpSpPr>
                      <pic:pic>
                        <pic:nvPicPr>
                          <pic:cNvPr id="81" name="Image 81"/>
                          <pic:cNvPicPr/>
                        </pic:nvPicPr>
                        <pic:blipFill>
                          <a:blip r:embed="rId5" cstate="print"/>
                          <a:stretch>
                            <a:fillRect/>
                          </a:stretch>
                        </pic:blipFill>
                        <pic:spPr>
                          <a:xfrm>
                            <a:off x="0" y="0"/>
                            <a:ext cx="7762874" cy="9748489"/>
                          </a:xfrm>
                          <a:prstGeom prst="rect">
                            <a:avLst/>
                          </a:prstGeom>
                        </pic:spPr>
                      </pic:pic>
                      <wps:wsp>
                        <wps:cNvPr id="82" name="Graphic 82"/>
                        <wps:cNvSpPr/>
                        <wps:spPr>
                          <a:xfrm>
                            <a:off x="1053007" y="990837"/>
                            <a:ext cx="5649595" cy="7607300"/>
                          </a:xfrm>
                          <a:custGeom>
                            <a:avLst/>
                            <a:gdLst/>
                            <a:ahLst/>
                            <a:cxnLst/>
                            <a:rect l="l" t="t" r="r" b="b"/>
                            <a:pathLst>
                              <a:path w="5649595" h="7607300">
                                <a:moveTo>
                                  <a:pt x="24384" y="371919"/>
                                </a:moveTo>
                                <a:lnTo>
                                  <a:pt x="18288" y="371919"/>
                                </a:lnTo>
                                <a:lnTo>
                                  <a:pt x="18288" y="7601140"/>
                                </a:lnTo>
                                <a:lnTo>
                                  <a:pt x="24384" y="7601140"/>
                                </a:lnTo>
                                <a:lnTo>
                                  <a:pt x="24384" y="371919"/>
                                </a:lnTo>
                                <a:close/>
                              </a:path>
                              <a:path w="5649595" h="7607300">
                                <a:moveTo>
                                  <a:pt x="5630862" y="7601153"/>
                                </a:moveTo>
                                <a:lnTo>
                                  <a:pt x="5624830" y="7601153"/>
                                </a:lnTo>
                                <a:lnTo>
                                  <a:pt x="24384" y="7601153"/>
                                </a:lnTo>
                                <a:lnTo>
                                  <a:pt x="18288" y="7601153"/>
                                </a:lnTo>
                                <a:lnTo>
                                  <a:pt x="18288" y="7607236"/>
                                </a:lnTo>
                                <a:lnTo>
                                  <a:pt x="24384" y="7607236"/>
                                </a:lnTo>
                                <a:lnTo>
                                  <a:pt x="5624779" y="7607236"/>
                                </a:lnTo>
                                <a:lnTo>
                                  <a:pt x="5630862" y="7607236"/>
                                </a:lnTo>
                                <a:lnTo>
                                  <a:pt x="5630862" y="7601153"/>
                                </a:lnTo>
                                <a:close/>
                              </a:path>
                              <a:path w="5649595" h="7607300">
                                <a:moveTo>
                                  <a:pt x="5630862" y="371919"/>
                                </a:moveTo>
                                <a:lnTo>
                                  <a:pt x="5624779" y="371919"/>
                                </a:lnTo>
                                <a:lnTo>
                                  <a:pt x="5624779" y="7601140"/>
                                </a:lnTo>
                                <a:lnTo>
                                  <a:pt x="5630862" y="7601140"/>
                                </a:lnTo>
                                <a:lnTo>
                                  <a:pt x="5630862" y="371919"/>
                                </a:lnTo>
                                <a:close/>
                              </a:path>
                              <a:path w="5649595" h="7607300">
                                <a:moveTo>
                                  <a:pt x="5630862" y="365747"/>
                                </a:moveTo>
                                <a:lnTo>
                                  <a:pt x="5624830" y="365747"/>
                                </a:lnTo>
                                <a:lnTo>
                                  <a:pt x="24384" y="365747"/>
                                </a:lnTo>
                                <a:lnTo>
                                  <a:pt x="18288" y="365747"/>
                                </a:lnTo>
                                <a:lnTo>
                                  <a:pt x="18288" y="371843"/>
                                </a:lnTo>
                                <a:lnTo>
                                  <a:pt x="24384" y="371843"/>
                                </a:lnTo>
                                <a:lnTo>
                                  <a:pt x="5624779" y="371843"/>
                                </a:lnTo>
                                <a:lnTo>
                                  <a:pt x="5630862" y="371843"/>
                                </a:lnTo>
                                <a:lnTo>
                                  <a:pt x="5630862" y="365747"/>
                                </a:lnTo>
                                <a:close/>
                              </a:path>
                              <a:path w="5649595" h="760730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4848" id="docshapegroup79" coordorigin="15,468" coordsize="12225,15352">
                <v:shape style="position:absolute;left:15;top:468;width:12225;height:15352" type="#_x0000_t75" id="docshape80" stroked="false">
                  <v:imagedata r:id="rId5" o:title=""/>
                </v:shape>
                <v:shape style="position:absolute;left:1673;top:2028;width:8897;height:11980" id="docshape81" coordorigin="1673,2028" coordsize="8897,11980" path="m1712,2614l1702,2614,1702,13999,1712,13999,1712,2614xm10541,13999l10531,13999,10531,13999,1712,13999,1702,13999,1702,14008,1712,14008,10531,14008,10531,14008,10541,14008,10541,13999xm10541,2614l10531,2614,10531,13999,10541,13999,10541,2614xm10541,2604l10531,2604,10531,2604,1712,2604,1702,2604,1702,2614,1712,2614,10531,2614,10531,2614,10541,2614,10541,2604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w:t>
      </w:r>
    </w:p>
    <w:p>
      <w:pPr>
        <w:pStyle w:val="Heading6"/>
        <w:numPr>
          <w:ilvl w:val="0"/>
          <w:numId w:val="13"/>
        </w:numPr>
        <w:tabs>
          <w:tab w:pos="1339" w:val="left" w:leader="none"/>
        </w:tabs>
        <w:spacing w:line="240" w:lineRule="auto" w:before="218" w:after="0"/>
        <w:ind w:left="1339" w:right="0" w:hanging="358"/>
        <w:jc w:val="left"/>
      </w:pPr>
      <w:bookmarkStart w:name="_bookmark12" w:id="13"/>
      <w:bookmarkEnd w:id="13"/>
      <w:r>
        <w:rPr>
          <w:b w:val="0"/>
        </w:rPr>
      </w:r>
      <w:r>
        <w:rPr>
          <w:color w:val="1F3762"/>
        </w:rPr>
        <w:t>Políticas</w:t>
      </w:r>
      <w:r>
        <w:rPr>
          <w:color w:val="1F3762"/>
          <w:spacing w:val="-3"/>
        </w:rPr>
        <w:t> </w:t>
      </w:r>
      <w:r>
        <w:rPr>
          <w:color w:val="1F3762"/>
        </w:rPr>
        <w:t>de</w:t>
      </w:r>
      <w:r>
        <w:rPr>
          <w:color w:val="1F3762"/>
          <w:spacing w:val="-4"/>
        </w:rPr>
        <w:t> </w:t>
      </w:r>
      <w:r>
        <w:rPr>
          <w:color w:val="1F3762"/>
        </w:rPr>
        <w:t>conversión</w:t>
      </w:r>
      <w:r>
        <w:rPr>
          <w:color w:val="1F3762"/>
          <w:spacing w:val="-3"/>
        </w:rPr>
        <w:t> </w:t>
      </w:r>
      <w:r>
        <w:rPr>
          <w:color w:val="1F3762"/>
        </w:rPr>
        <w:t>de</w:t>
      </w:r>
      <w:r>
        <w:rPr>
          <w:color w:val="1F3762"/>
          <w:spacing w:val="-6"/>
        </w:rPr>
        <w:t> </w:t>
      </w:r>
      <w:r>
        <w:rPr>
          <w:color w:val="1F3762"/>
        </w:rPr>
        <w:t>moneda</w:t>
      </w:r>
      <w:r>
        <w:rPr>
          <w:color w:val="1F3762"/>
          <w:spacing w:val="-4"/>
        </w:rPr>
        <w:t> </w:t>
      </w:r>
      <w:r>
        <w:rPr>
          <w:color w:val="1F3762"/>
          <w:spacing w:val="-2"/>
        </w:rPr>
        <w:t>extranjera.</w:t>
      </w:r>
    </w:p>
    <w:p>
      <w:pPr>
        <w:spacing w:before="135"/>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before="9" w:after="1"/>
        <w:rPr>
          <w:sz w:val="15"/>
        </w:r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1277"/>
      </w:tblGrid>
      <w:tr>
        <w:trPr>
          <w:trHeight w:val="251" w:hRule="atLeast"/>
        </w:trPr>
        <w:tc>
          <w:tcPr>
            <w:tcW w:w="2156" w:type="dxa"/>
            <w:shd w:val="clear" w:color="auto" w:fill="365F92"/>
          </w:tcPr>
          <w:p>
            <w:pPr>
              <w:pStyle w:val="TableParagraph"/>
              <w:spacing w:line="232" w:lineRule="exact"/>
              <w:ind w:left="146"/>
              <w:rPr>
                <w:sz w:val="22"/>
              </w:rPr>
            </w:pPr>
            <w:r>
              <w:rPr>
                <w:color w:val="FFFFFF"/>
                <w:sz w:val="22"/>
              </w:rPr>
              <w:t>Afecta</w:t>
            </w:r>
            <w:r>
              <w:rPr>
                <w:color w:val="FFFFFF"/>
                <w:spacing w:val="-2"/>
                <w:sz w:val="22"/>
              </w:rPr>
              <w:t> </w:t>
            </w:r>
            <w:r>
              <w:rPr>
                <w:color w:val="FFFFFF"/>
                <w:sz w:val="22"/>
              </w:rPr>
              <w:t>a</w:t>
            </w:r>
            <w:r>
              <w:rPr>
                <w:color w:val="FFFFFF"/>
                <w:spacing w:val="-2"/>
                <w:sz w:val="22"/>
              </w:rPr>
              <w:t> </w:t>
            </w:r>
            <w:r>
              <w:rPr>
                <w:color w:val="FFFFFF"/>
                <w:sz w:val="22"/>
              </w:rPr>
              <w:t>la</w:t>
            </w:r>
            <w:r>
              <w:rPr>
                <w:color w:val="FFFFFF"/>
                <w:spacing w:val="-2"/>
                <w:sz w:val="22"/>
              </w:rPr>
              <w:t> institución</w:t>
            </w:r>
          </w:p>
        </w:tc>
        <w:tc>
          <w:tcPr>
            <w:tcW w:w="1277" w:type="dxa"/>
          </w:tcPr>
          <w:p>
            <w:pPr>
              <w:pStyle w:val="TableParagraph"/>
              <w:spacing w:line="232" w:lineRule="exact"/>
              <w:ind w:left="5"/>
              <w:jc w:val="center"/>
              <w:rPr>
                <w:sz w:val="22"/>
              </w:rPr>
            </w:pPr>
            <w:r>
              <w:rPr>
                <w:spacing w:val="-5"/>
                <w:sz w:val="22"/>
              </w:rPr>
              <w:t>Si</w:t>
            </w:r>
          </w:p>
        </w:tc>
      </w:tr>
    </w:tbl>
    <w:p>
      <w:pPr>
        <w:pStyle w:val="BodyText"/>
        <w:spacing w:before="179"/>
      </w:pPr>
    </w:p>
    <w:p>
      <w:pPr>
        <w:pStyle w:val="BodyText"/>
        <w:spacing w:line="259" w:lineRule="auto"/>
        <w:ind w:left="734" w:right="1089"/>
        <w:jc w:val="both"/>
      </w:pPr>
      <w:r>
        <w:rPr/>
        <w:t>Las</w:t>
      </w:r>
      <w:r>
        <w:rPr>
          <w:spacing w:val="-11"/>
        </w:rPr>
        <w:t> </w:t>
      </w:r>
      <w:r>
        <w:rPr/>
        <w:t>partidas</w:t>
      </w:r>
      <w:r>
        <w:rPr>
          <w:spacing w:val="-13"/>
        </w:rPr>
        <w:t> </w:t>
      </w:r>
      <w:r>
        <w:rPr/>
        <w:t>monetarias</w:t>
      </w:r>
      <w:r>
        <w:rPr>
          <w:spacing w:val="-11"/>
        </w:rPr>
        <w:t> </w:t>
      </w:r>
      <w:r>
        <w:rPr/>
        <w:t>en</w:t>
      </w:r>
      <w:r>
        <w:rPr>
          <w:spacing w:val="-14"/>
        </w:rPr>
        <w:t> </w:t>
      </w:r>
      <w:r>
        <w:rPr/>
        <w:t>moneda</w:t>
      </w:r>
      <w:r>
        <w:rPr>
          <w:spacing w:val="-12"/>
        </w:rPr>
        <w:t> </w:t>
      </w:r>
      <w:r>
        <w:rPr/>
        <w:t>extranjera</w:t>
      </w:r>
      <w:r>
        <w:rPr>
          <w:spacing w:val="-12"/>
        </w:rPr>
        <w:t> </w:t>
      </w:r>
      <w:r>
        <w:rPr/>
        <w:t>se</w:t>
      </w:r>
      <w:r>
        <w:rPr>
          <w:spacing w:val="-13"/>
        </w:rPr>
        <w:t> </w:t>
      </w:r>
      <w:r>
        <w:rPr/>
        <w:t>convertirán</w:t>
      </w:r>
      <w:r>
        <w:rPr>
          <w:spacing w:val="-12"/>
        </w:rPr>
        <w:t> </w:t>
      </w:r>
      <w:r>
        <w:rPr/>
        <w:t>a</w:t>
      </w:r>
      <w:r>
        <w:rPr>
          <w:spacing w:val="-12"/>
        </w:rPr>
        <w:t> </w:t>
      </w:r>
      <w:r>
        <w:rPr/>
        <w:t>la</w:t>
      </w:r>
      <w:r>
        <w:rPr>
          <w:spacing w:val="-13"/>
        </w:rPr>
        <w:t> </w:t>
      </w:r>
      <w:r>
        <w:rPr/>
        <w:t>moneda</w:t>
      </w:r>
      <w:r>
        <w:rPr>
          <w:spacing w:val="-13"/>
        </w:rPr>
        <w:t> </w:t>
      </w:r>
      <w:r>
        <w:rPr/>
        <w:t>funcional</w:t>
      </w:r>
      <w:r>
        <w:rPr>
          <w:spacing w:val="-14"/>
        </w:rPr>
        <w:t> </w:t>
      </w:r>
      <w:r>
        <w:rPr/>
        <w:t>utilizando</w:t>
      </w:r>
      <w:r>
        <w:rPr>
          <w:spacing w:val="-11"/>
        </w:rPr>
        <w:t> </w:t>
      </w:r>
      <w:r>
        <w:rPr/>
        <w:t>la</w:t>
      </w:r>
      <w:r>
        <w:rPr>
          <w:spacing w:val="-13"/>
        </w:rPr>
        <w:t> </w:t>
      </w:r>
      <w:r>
        <w:rPr/>
        <w:t>tasa de cambio de la fecha de cierre de los EEFF.</w:t>
      </w:r>
    </w:p>
    <w:p>
      <w:pPr>
        <w:pStyle w:val="BodyText"/>
        <w:spacing w:line="259" w:lineRule="auto"/>
        <w:ind w:left="734" w:right="1090"/>
        <w:jc w:val="both"/>
      </w:pPr>
      <w:r>
        <w:rPr/>
        <w:t>Los</w:t>
      </w:r>
      <w:r>
        <w:rPr>
          <w:spacing w:val="-3"/>
        </w:rPr>
        <w:t> </w:t>
      </w:r>
      <w:r>
        <w:rPr/>
        <w:t>Estados</w:t>
      </w:r>
      <w:r>
        <w:rPr>
          <w:spacing w:val="-4"/>
        </w:rPr>
        <w:t> </w:t>
      </w:r>
      <w:r>
        <w:rPr/>
        <w:t>Financieros</w:t>
      </w:r>
      <w:r>
        <w:rPr>
          <w:spacing w:val="-6"/>
        </w:rPr>
        <w:t> </w:t>
      </w:r>
      <w:r>
        <w:rPr/>
        <w:t>se</w:t>
      </w:r>
      <w:r>
        <w:rPr>
          <w:spacing w:val="-6"/>
        </w:rPr>
        <w:t> </w:t>
      </w:r>
      <w:r>
        <w:rPr/>
        <w:t>presentan</w:t>
      </w:r>
      <w:r>
        <w:rPr>
          <w:spacing w:val="-5"/>
        </w:rPr>
        <w:t> </w:t>
      </w:r>
      <w:r>
        <w:rPr/>
        <w:t>en</w:t>
      </w:r>
      <w:r>
        <w:rPr>
          <w:spacing w:val="-4"/>
        </w:rPr>
        <w:t> </w:t>
      </w:r>
      <w:r>
        <w:rPr/>
        <w:t>colones</w:t>
      </w:r>
      <w:r>
        <w:rPr>
          <w:spacing w:val="-4"/>
        </w:rPr>
        <w:t> </w:t>
      </w:r>
      <w:r>
        <w:rPr/>
        <w:t>costarricenses</w:t>
      </w:r>
      <w:r>
        <w:rPr>
          <w:spacing w:val="-4"/>
        </w:rPr>
        <w:t> </w:t>
      </w:r>
      <w:r>
        <w:rPr/>
        <w:t>(¢),</w:t>
      </w:r>
      <w:r>
        <w:rPr>
          <w:spacing w:val="-5"/>
        </w:rPr>
        <w:t> </w:t>
      </w:r>
      <w:r>
        <w:rPr/>
        <w:t>la</w:t>
      </w:r>
      <w:r>
        <w:rPr>
          <w:spacing w:val="-6"/>
        </w:rPr>
        <w:t> </w:t>
      </w:r>
      <w:r>
        <w:rPr/>
        <w:t>cual</w:t>
      </w:r>
      <w:r>
        <w:rPr>
          <w:spacing w:val="-5"/>
        </w:rPr>
        <w:t> </w:t>
      </w:r>
      <w:r>
        <w:rPr/>
        <w:t>ha</w:t>
      </w:r>
      <w:r>
        <w:rPr>
          <w:spacing w:val="-6"/>
        </w:rPr>
        <w:t> </w:t>
      </w:r>
      <w:r>
        <w:rPr/>
        <w:t>sido</w:t>
      </w:r>
      <w:r>
        <w:rPr>
          <w:spacing w:val="-4"/>
        </w:rPr>
        <w:t> </w:t>
      </w:r>
      <w:r>
        <w:rPr/>
        <w:t>determinada</w:t>
      </w:r>
      <w:r>
        <w:rPr>
          <w:spacing w:val="-6"/>
        </w:rPr>
        <w:t> </w:t>
      </w:r>
      <w:r>
        <w:rPr/>
        <w:t>por esta entidad como su moneda funcional. Toda información financiera contenida en los Estados Financieros y sus notas se presentan en colones.</w:t>
      </w:r>
    </w:p>
    <w:p>
      <w:pPr>
        <w:pStyle w:val="BodyText"/>
        <w:spacing w:before="19"/>
      </w:pPr>
    </w:p>
    <w:p>
      <w:pPr>
        <w:pStyle w:val="BodyText"/>
        <w:spacing w:line="259" w:lineRule="auto"/>
        <w:ind w:left="734" w:right="1089"/>
        <w:jc w:val="both"/>
      </w:pPr>
      <w:r>
        <w:rPr/>
        <w:t>La moneda funcional es la de curso legal del país, el colón costarricense. La misma refleja las transacciones,</w:t>
      </w:r>
      <w:r>
        <w:rPr>
          <w:spacing w:val="-7"/>
        </w:rPr>
        <w:t> </w:t>
      </w:r>
      <w:r>
        <w:rPr/>
        <w:t>sucesos</w:t>
      </w:r>
      <w:r>
        <w:rPr>
          <w:spacing w:val="-6"/>
        </w:rPr>
        <w:t> </w:t>
      </w:r>
      <w:r>
        <w:rPr/>
        <w:t>y</w:t>
      </w:r>
      <w:r>
        <w:rPr>
          <w:spacing w:val="-6"/>
        </w:rPr>
        <w:t> </w:t>
      </w:r>
      <w:r>
        <w:rPr/>
        <w:t>condiciones</w:t>
      </w:r>
      <w:r>
        <w:rPr>
          <w:spacing w:val="-6"/>
        </w:rPr>
        <w:t> </w:t>
      </w:r>
      <w:r>
        <w:rPr/>
        <w:t>que</w:t>
      </w:r>
      <w:r>
        <w:rPr>
          <w:spacing w:val="-6"/>
        </w:rPr>
        <w:t> </w:t>
      </w:r>
      <w:r>
        <w:rPr/>
        <w:t>subyacen</w:t>
      </w:r>
      <w:r>
        <w:rPr>
          <w:spacing w:val="-4"/>
        </w:rPr>
        <w:t> </w:t>
      </w:r>
      <w:r>
        <w:rPr/>
        <w:t>y</w:t>
      </w:r>
      <w:r>
        <w:rPr>
          <w:spacing w:val="-6"/>
        </w:rPr>
        <w:t> </w:t>
      </w:r>
      <w:r>
        <w:rPr/>
        <w:t>son</w:t>
      </w:r>
      <w:r>
        <w:rPr>
          <w:spacing w:val="-7"/>
        </w:rPr>
        <w:t> </w:t>
      </w:r>
      <w:r>
        <w:rPr/>
        <w:t>relevantes</w:t>
      </w:r>
      <w:r>
        <w:rPr>
          <w:spacing w:val="-4"/>
        </w:rPr>
        <w:t> </w:t>
      </w:r>
      <w:r>
        <w:rPr/>
        <w:t>para</w:t>
      </w:r>
      <w:r>
        <w:rPr>
          <w:spacing w:val="-5"/>
        </w:rPr>
        <w:t> </w:t>
      </w:r>
      <w:r>
        <w:rPr/>
        <w:t>la</w:t>
      </w:r>
      <w:r>
        <w:rPr>
          <w:spacing w:val="-8"/>
        </w:rPr>
        <w:t> </w:t>
      </w:r>
      <w:r>
        <w:rPr/>
        <w:t>misma.</w:t>
      </w:r>
      <w:r>
        <w:rPr>
          <w:spacing w:val="-6"/>
        </w:rPr>
        <w:t> </w:t>
      </w:r>
      <w:r>
        <w:rPr/>
        <w:t>A</w:t>
      </w:r>
      <w:r>
        <w:rPr>
          <w:spacing w:val="-7"/>
        </w:rPr>
        <w:t> </w:t>
      </w:r>
      <w:r>
        <w:rPr/>
        <w:t>la</w:t>
      </w:r>
      <w:r>
        <w:rPr>
          <w:spacing w:val="-6"/>
        </w:rPr>
        <w:t> </w:t>
      </w:r>
      <w:r>
        <w:rPr/>
        <w:t>fecha</w:t>
      </w:r>
      <w:r>
        <w:rPr>
          <w:spacing w:val="-6"/>
        </w:rPr>
        <w:t> </w:t>
      </w:r>
      <w:r>
        <w:rPr/>
        <w:t>que</w:t>
      </w:r>
      <w:r>
        <w:rPr>
          <w:spacing w:val="-8"/>
        </w:rPr>
        <w:t> </w:t>
      </w:r>
      <w:r>
        <w:rPr/>
        <w:t>se informa no se ha producido cambios en la moneda funcional.</w:t>
      </w:r>
    </w:p>
    <w:p>
      <w:pPr>
        <w:pStyle w:val="BodyText"/>
        <w:spacing w:before="21"/>
      </w:pPr>
    </w:p>
    <w:p>
      <w:pPr>
        <w:pStyle w:val="BodyText"/>
        <w:ind w:left="734"/>
      </w:pPr>
      <w:r>
        <w:rPr/>
        <w:t>El</w:t>
      </w:r>
      <w:r>
        <w:rPr>
          <w:spacing w:val="-5"/>
        </w:rPr>
        <w:t> </w:t>
      </w:r>
      <w:r>
        <w:rPr/>
        <w:t>diferencial</w:t>
      </w:r>
      <w:r>
        <w:rPr>
          <w:spacing w:val="-4"/>
        </w:rPr>
        <w:t> </w:t>
      </w:r>
      <w:r>
        <w:rPr/>
        <w:t>cambiario</w:t>
      </w:r>
      <w:r>
        <w:rPr>
          <w:spacing w:val="-5"/>
        </w:rPr>
        <w:t> </w:t>
      </w:r>
      <w:r>
        <w:rPr/>
        <w:t>cuenta</w:t>
      </w:r>
      <w:r>
        <w:rPr>
          <w:spacing w:val="-4"/>
        </w:rPr>
        <w:t> </w:t>
      </w:r>
      <w:r>
        <w:rPr/>
        <w:t>con</w:t>
      </w:r>
      <w:r>
        <w:rPr>
          <w:spacing w:val="-5"/>
        </w:rPr>
        <w:t> </w:t>
      </w:r>
      <w:r>
        <w:rPr/>
        <w:t>contenido</w:t>
      </w:r>
      <w:r>
        <w:rPr>
          <w:spacing w:val="-6"/>
        </w:rPr>
        <w:t> </w:t>
      </w:r>
      <w:r>
        <w:rPr/>
        <w:t>presupuestario,</w:t>
      </w:r>
      <w:r>
        <w:rPr>
          <w:spacing w:val="-7"/>
        </w:rPr>
        <w:t> </w:t>
      </w:r>
      <w:r>
        <w:rPr/>
        <w:t>sea</w:t>
      </w:r>
      <w:r>
        <w:rPr>
          <w:spacing w:val="-6"/>
        </w:rPr>
        <w:t> </w:t>
      </w:r>
      <w:r>
        <w:rPr/>
        <w:t>positivo</w:t>
      </w:r>
      <w:r>
        <w:rPr>
          <w:spacing w:val="-6"/>
        </w:rPr>
        <w:t> </w:t>
      </w:r>
      <w:r>
        <w:rPr/>
        <w:t>o</w:t>
      </w:r>
      <w:r>
        <w:rPr>
          <w:spacing w:val="-4"/>
        </w:rPr>
        <w:t> </w:t>
      </w:r>
      <w:r>
        <w:rPr>
          <w:spacing w:val="-2"/>
        </w:rPr>
        <w:t>negativo.</w:t>
      </w:r>
    </w:p>
    <w:p>
      <w:pPr>
        <w:pStyle w:val="BodyText"/>
        <w:spacing w:before="38"/>
      </w:pPr>
    </w:p>
    <w:p>
      <w:pPr>
        <w:pStyle w:val="BodyText"/>
        <w:spacing w:line="276" w:lineRule="auto"/>
        <w:ind w:left="734" w:right="1090"/>
        <w:jc w:val="both"/>
      </w:pPr>
      <w:r>
        <w:rPr/>
        <w:t>La</w:t>
      </w:r>
      <w:r>
        <w:rPr>
          <w:spacing w:val="-14"/>
        </w:rPr>
        <w:t> </w:t>
      </w:r>
      <w:r>
        <w:rPr/>
        <w:t>entidad</w:t>
      </w:r>
      <w:r>
        <w:rPr>
          <w:spacing w:val="-14"/>
        </w:rPr>
        <w:t> </w:t>
      </w:r>
      <w:r>
        <w:rPr/>
        <w:t>reconoce</w:t>
      </w:r>
      <w:r>
        <w:rPr>
          <w:spacing w:val="-14"/>
        </w:rPr>
        <w:t> </w:t>
      </w:r>
      <w:r>
        <w:rPr/>
        <w:t>y</w:t>
      </w:r>
      <w:r>
        <w:rPr>
          <w:spacing w:val="-13"/>
        </w:rPr>
        <w:t> </w:t>
      </w:r>
      <w:r>
        <w:rPr/>
        <w:t>registra</w:t>
      </w:r>
      <w:r>
        <w:rPr>
          <w:spacing w:val="-14"/>
        </w:rPr>
        <w:t> </w:t>
      </w:r>
      <w:r>
        <w:rPr/>
        <w:t>las</w:t>
      </w:r>
      <w:r>
        <w:rPr>
          <w:spacing w:val="-14"/>
        </w:rPr>
        <w:t> </w:t>
      </w:r>
      <w:r>
        <w:rPr/>
        <w:t>transacciones</w:t>
      </w:r>
      <w:r>
        <w:rPr>
          <w:spacing w:val="-14"/>
        </w:rPr>
        <w:t> </w:t>
      </w:r>
      <w:r>
        <w:rPr/>
        <w:t>realizadas</w:t>
      </w:r>
      <w:r>
        <w:rPr>
          <w:spacing w:val="-13"/>
        </w:rPr>
        <w:t> </w:t>
      </w:r>
      <w:r>
        <w:rPr/>
        <w:t>en</w:t>
      </w:r>
      <w:r>
        <w:rPr>
          <w:spacing w:val="-14"/>
        </w:rPr>
        <w:t> </w:t>
      </w:r>
      <w:r>
        <w:rPr/>
        <w:t>moneda</w:t>
      </w:r>
      <w:r>
        <w:rPr>
          <w:spacing w:val="-14"/>
        </w:rPr>
        <w:t> </w:t>
      </w:r>
      <w:r>
        <w:rPr/>
        <w:t>distinta</w:t>
      </w:r>
      <w:r>
        <w:rPr>
          <w:spacing w:val="-14"/>
        </w:rPr>
        <w:t> </w:t>
      </w:r>
      <w:r>
        <w:rPr/>
        <w:t>a</w:t>
      </w:r>
      <w:r>
        <w:rPr>
          <w:spacing w:val="-13"/>
        </w:rPr>
        <w:t> </w:t>
      </w:r>
      <w:r>
        <w:rPr/>
        <w:t>su</w:t>
      </w:r>
      <w:r>
        <w:rPr>
          <w:spacing w:val="-14"/>
        </w:rPr>
        <w:t> </w:t>
      </w:r>
      <w:r>
        <w:rPr/>
        <w:t>moneda</w:t>
      </w:r>
      <w:r>
        <w:rPr>
          <w:spacing w:val="-14"/>
        </w:rPr>
        <w:t> </w:t>
      </w:r>
      <w:r>
        <w:rPr/>
        <w:t>funcional, definida como el colón costarricense, aplicando criterios uniformes y consistentes de conformidad con</w:t>
      </w:r>
      <w:r>
        <w:rPr>
          <w:spacing w:val="-4"/>
        </w:rPr>
        <w:t> </w:t>
      </w:r>
      <w:r>
        <w:rPr/>
        <w:t>las</w:t>
      </w:r>
      <w:r>
        <w:rPr>
          <w:spacing w:val="-4"/>
        </w:rPr>
        <w:t> </w:t>
      </w:r>
      <w:r>
        <w:rPr/>
        <w:t>NICSP</w:t>
      </w:r>
      <w:r>
        <w:rPr>
          <w:spacing w:val="-5"/>
        </w:rPr>
        <w:t> </w:t>
      </w:r>
      <w:r>
        <w:rPr/>
        <w:t>y</w:t>
      </w:r>
      <w:r>
        <w:rPr>
          <w:spacing w:val="-6"/>
        </w:rPr>
        <w:t> </w:t>
      </w:r>
      <w:r>
        <w:rPr/>
        <w:t>la</w:t>
      </w:r>
      <w:r>
        <w:rPr>
          <w:spacing w:val="-6"/>
        </w:rPr>
        <w:t> </w:t>
      </w:r>
      <w:r>
        <w:rPr/>
        <w:t>normativa</w:t>
      </w:r>
      <w:r>
        <w:rPr>
          <w:spacing w:val="-6"/>
        </w:rPr>
        <w:t> </w:t>
      </w:r>
      <w:r>
        <w:rPr/>
        <w:t>nacional</w:t>
      </w:r>
      <w:r>
        <w:rPr>
          <w:spacing w:val="-6"/>
        </w:rPr>
        <w:t> </w:t>
      </w:r>
      <w:r>
        <w:rPr/>
        <w:t>vigente.</w:t>
      </w:r>
      <w:r>
        <w:rPr>
          <w:spacing w:val="-7"/>
        </w:rPr>
        <w:t> </w:t>
      </w:r>
      <w:r>
        <w:rPr/>
        <w:t>Para</w:t>
      </w:r>
      <w:r>
        <w:rPr>
          <w:spacing w:val="-5"/>
        </w:rPr>
        <w:t> </w:t>
      </w:r>
      <w:r>
        <w:rPr/>
        <w:t>ello,</w:t>
      </w:r>
      <w:r>
        <w:rPr>
          <w:spacing w:val="-5"/>
        </w:rPr>
        <w:t> </w:t>
      </w:r>
      <w:r>
        <w:rPr/>
        <w:t>se</w:t>
      </w:r>
      <w:r>
        <w:rPr>
          <w:spacing w:val="-6"/>
        </w:rPr>
        <w:t> </w:t>
      </w:r>
      <w:r>
        <w:rPr/>
        <w:t>aplican</w:t>
      </w:r>
      <w:r>
        <w:rPr>
          <w:spacing w:val="-4"/>
        </w:rPr>
        <w:t> </w:t>
      </w:r>
      <w:r>
        <w:rPr/>
        <w:t>las</w:t>
      </w:r>
      <w:r>
        <w:rPr>
          <w:spacing w:val="-4"/>
        </w:rPr>
        <w:t> </w:t>
      </w:r>
      <w:r>
        <w:rPr/>
        <w:t>siguientes</w:t>
      </w:r>
      <w:r>
        <w:rPr>
          <w:spacing w:val="-4"/>
        </w:rPr>
        <w:t> </w:t>
      </w:r>
      <w:r>
        <w:rPr/>
        <w:t>políticas</w:t>
      </w:r>
      <w:r>
        <w:rPr>
          <w:spacing w:val="-4"/>
        </w:rPr>
        <w:t> </w:t>
      </w:r>
      <w:r>
        <w:rPr/>
        <w:t>contables relacionadas con la conversión de moneda extranjera:</w:t>
      </w:r>
    </w:p>
    <w:p>
      <w:pPr>
        <w:pStyle w:val="BodyText"/>
        <w:spacing w:before="141"/>
      </w:pPr>
    </w:p>
    <w:p>
      <w:pPr>
        <w:pStyle w:val="BodyText"/>
        <w:ind w:left="734"/>
        <w:jc w:val="both"/>
      </w:pPr>
      <w:r>
        <w:rPr/>
        <w:t>El</w:t>
      </w:r>
      <w:r>
        <w:rPr>
          <w:spacing w:val="-4"/>
        </w:rPr>
        <w:t> </w:t>
      </w:r>
      <w:r>
        <w:rPr/>
        <w:t>ajuste</w:t>
      </w:r>
      <w:r>
        <w:rPr>
          <w:spacing w:val="-4"/>
        </w:rPr>
        <w:t> </w:t>
      </w:r>
      <w:r>
        <w:rPr/>
        <w:t>por</w:t>
      </w:r>
      <w:r>
        <w:rPr>
          <w:spacing w:val="-3"/>
        </w:rPr>
        <w:t> </w:t>
      </w:r>
      <w:r>
        <w:rPr/>
        <w:t>el</w:t>
      </w:r>
      <w:r>
        <w:rPr>
          <w:spacing w:val="-3"/>
        </w:rPr>
        <w:t> </w:t>
      </w:r>
      <w:r>
        <w:rPr/>
        <w:t>diferencial</w:t>
      </w:r>
      <w:r>
        <w:rPr>
          <w:spacing w:val="-3"/>
        </w:rPr>
        <w:t> </w:t>
      </w:r>
      <w:r>
        <w:rPr/>
        <w:t>cambiario</w:t>
      </w:r>
      <w:r>
        <w:rPr>
          <w:spacing w:val="-3"/>
        </w:rPr>
        <w:t> </w:t>
      </w:r>
      <w:r>
        <w:rPr/>
        <w:t>de</w:t>
      </w:r>
      <w:r>
        <w:rPr>
          <w:spacing w:val="-5"/>
        </w:rPr>
        <w:t> </w:t>
      </w:r>
      <w:r>
        <w:rPr/>
        <w:t>las</w:t>
      </w:r>
      <w:r>
        <w:rPr>
          <w:spacing w:val="-5"/>
        </w:rPr>
        <w:t> </w:t>
      </w:r>
      <w:r>
        <w:rPr/>
        <w:t>monedas</w:t>
      </w:r>
      <w:r>
        <w:rPr>
          <w:spacing w:val="-2"/>
        </w:rPr>
        <w:t> </w:t>
      </w:r>
      <w:r>
        <w:rPr/>
        <w:t>a</w:t>
      </w:r>
      <w:r>
        <w:rPr>
          <w:spacing w:val="-4"/>
        </w:rPr>
        <w:t> </w:t>
      </w:r>
      <w:r>
        <w:rPr/>
        <w:t>la</w:t>
      </w:r>
      <w:r>
        <w:rPr>
          <w:spacing w:val="-5"/>
        </w:rPr>
        <w:t> </w:t>
      </w:r>
      <w:r>
        <w:rPr/>
        <w:t>moneda</w:t>
      </w:r>
      <w:r>
        <w:rPr>
          <w:spacing w:val="-4"/>
        </w:rPr>
        <w:t> </w:t>
      </w:r>
      <w:r>
        <w:rPr/>
        <w:t>funcional</w:t>
      </w:r>
      <w:r>
        <w:rPr>
          <w:spacing w:val="-3"/>
        </w:rPr>
        <w:t> </w:t>
      </w:r>
      <w:r>
        <w:rPr>
          <w:spacing w:val="-5"/>
        </w:rPr>
        <w:t>es:</w:t>
      </w:r>
    </w:p>
    <w:p>
      <w:pPr>
        <w:pStyle w:val="ListParagraph"/>
        <w:numPr>
          <w:ilvl w:val="1"/>
          <w:numId w:val="19"/>
        </w:numPr>
        <w:tabs>
          <w:tab w:pos="1335" w:val="left" w:leader="none"/>
          <w:tab w:pos="1337" w:val="left" w:leader="none"/>
        </w:tabs>
        <w:spacing w:line="276" w:lineRule="auto" w:before="20" w:after="0"/>
        <w:ind w:left="1337" w:right="1092" w:hanging="284"/>
        <w:jc w:val="both"/>
        <w:rPr>
          <w:sz w:val="22"/>
        </w:rPr>
      </w:pPr>
      <w:r>
        <w:rPr>
          <w:sz w:val="22"/>
        </w:rPr>
        <w:t>Las transacciones en moneda extranjera se reconocen inicialmente en la moneda funcional utilizando</w:t>
      </w:r>
      <w:r>
        <w:rPr>
          <w:spacing w:val="-2"/>
          <w:sz w:val="22"/>
        </w:rPr>
        <w:t> </w:t>
      </w:r>
      <w:r>
        <w:rPr>
          <w:sz w:val="22"/>
        </w:rPr>
        <w:t>el</w:t>
      </w:r>
      <w:r>
        <w:rPr>
          <w:spacing w:val="-2"/>
          <w:sz w:val="22"/>
        </w:rPr>
        <w:t> </w:t>
      </w:r>
      <w:r>
        <w:rPr>
          <w:sz w:val="22"/>
        </w:rPr>
        <w:t>tipo</w:t>
      </w:r>
      <w:r>
        <w:rPr>
          <w:spacing w:val="-2"/>
          <w:sz w:val="22"/>
        </w:rPr>
        <w:t> </w:t>
      </w:r>
      <w:r>
        <w:rPr>
          <w:sz w:val="22"/>
        </w:rPr>
        <w:t>de</w:t>
      </w:r>
      <w:r>
        <w:rPr>
          <w:spacing w:val="-1"/>
          <w:sz w:val="22"/>
        </w:rPr>
        <w:t> </w:t>
      </w:r>
      <w:r>
        <w:rPr>
          <w:sz w:val="22"/>
        </w:rPr>
        <w:t>cambio</w:t>
      </w:r>
      <w:r>
        <w:rPr>
          <w:spacing w:val="-4"/>
          <w:sz w:val="22"/>
        </w:rPr>
        <w:t> </w:t>
      </w:r>
      <w:r>
        <w:rPr>
          <w:sz w:val="22"/>
        </w:rPr>
        <w:t>de</w:t>
      </w:r>
      <w:r>
        <w:rPr>
          <w:spacing w:val="-2"/>
          <w:sz w:val="22"/>
        </w:rPr>
        <w:t> </w:t>
      </w:r>
      <w:r>
        <w:rPr>
          <w:sz w:val="22"/>
        </w:rPr>
        <w:t>contado</w:t>
      </w:r>
      <w:r>
        <w:rPr>
          <w:spacing w:val="-2"/>
          <w:sz w:val="22"/>
        </w:rPr>
        <w:t> </w:t>
      </w:r>
      <w:r>
        <w:rPr>
          <w:sz w:val="22"/>
        </w:rPr>
        <w:t>vigente</w:t>
      </w:r>
      <w:r>
        <w:rPr>
          <w:spacing w:val="-1"/>
          <w:sz w:val="22"/>
        </w:rPr>
        <w:t> </w:t>
      </w:r>
      <w:r>
        <w:rPr>
          <w:sz w:val="22"/>
        </w:rPr>
        <w:t>a</w:t>
      </w:r>
      <w:r>
        <w:rPr>
          <w:spacing w:val="-3"/>
          <w:sz w:val="22"/>
        </w:rPr>
        <w:t> </w:t>
      </w:r>
      <w:r>
        <w:rPr>
          <w:sz w:val="22"/>
        </w:rPr>
        <w:t>la</w:t>
      </w:r>
      <w:r>
        <w:rPr>
          <w:spacing w:val="-4"/>
          <w:sz w:val="22"/>
        </w:rPr>
        <w:t> </w:t>
      </w:r>
      <w:r>
        <w:rPr>
          <w:sz w:val="22"/>
        </w:rPr>
        <w:t>fecha</w:t>
      </w:r>
      <w:r>
        <w:rPr>
          <w:spacing w:val="-3"/>
          <w:sz w:val="22"/>
        </w:rPr>
        <w:t> </w:t>
      </w:r>
      <w:r>
        <w:rPr>
          <w:sz w:val="22"/>
        </w:rPr>
        <w:t>de</w:t>
      </w:r>
      <w:r>
        <w:rPr>
          <w:spacing w:val="-2"/>
          <w:sz w:val="22"/>
        </w:rPr>
        <w:t> </w:t>
      </w:r>
      <w:r>
        <w:rPr>
          <w:sz w:val="22"/>
        </w:rPr>
        <w:t>la</w:t>
      </w:r>
      <w:r>
        <w:rPr>
          <w:spacing w:val="-4"/>
          <w:sz w:val="22"/>
        </w:rPr>
        <w:t> </w:t>
      </w:r>
      <w:r>
        <w:rPr>
          <w:sz w:val="22"/>
        </w:rPr>
        <w:t>transacción,</w:t>
      </w:r>
      <w:r>
        <w:rPr>
          <w:spacing w:val="-2"/>
          <w:sz w:val="22"/>
        </w:rPr>
        <w:t> </w:t>
      </w:r>
      <w:r>
        <w:rPr>
          <w:sz w:val="22"/>
        </w:rPr>
        <w:t>correspondiente al tipo de cambio de referencia publicado por el Banco Central de Costa Rica.</w:t>
      </w:r>
    </w:p>
    <w:p>
      <w:pPr>
        <w:pStyle w:val="ListParagraph"/>
        <w:numPr>
          <w:ilvl w:val="0"/>
          <w:numId w:val="20"/>
        </w:numPr>
        <w:tabs>
          <w:tab w:pos="1454" w:val="left" w:leader="none"/>
        </w:tabs>
        <w:spacing w:line="259" w:lineRule="auto" w:before="116" w:after="0"/>
        <w:ind w:left="1454" w:right="1089" w:hanging="360"/>
        <w:jc w:val="both"/>
        <w:rPr>
          <w:sz w:val="22"/>
        </w:rPr>
      </w:pPr>
      <w:r>
        <w:rPr>
          <w:sz w:val="22"/>
        </w:rPr>
        <w:t>para</w:t>
      </w:r>
      <w:r>
        <w:rPr>
          <w:spacing w:val="-16"/>
          <w:sz w:val="22"/>
        </w:rPr>
        <w:t> </w:t>
      </w:r>
      <w:r>
        <w:rPr>
          <w:sz w:val="22"/>
        </w:rPr>
        <w:t>las</w:t>
      </w:r>
      <w:r>
        <w:rPr>
          <w:spacing w:val="-14"/>
          <w:sz w:val="22"/>
        </w:rPr>
        <w:t> </w:t>
      </w:r>
      <w:r>
        <w:rPr>
          <w:sz w:val="22"/>
        </w:rPr>
        <w:t>cuentas</w:t>
      </w:r>
      <w:r>
        <w:rPr>
          <w:spacing w:val="-14"/>
          <w:sz w:val="22"/>
        </w:rPr>
        <w:t> </w:t>
      </w:r>
      <w:r>
        <w:rPr>
          <w:sz w:val="22"/>
        </w:rPr>
        <w:t>de</w:t>
      </w:r>
      <w:r>
        <w:rPr>
          <w:spacing w:val="-13"/>
          <w:sz w:val="22"/>
        </w:rPr>
        <w:t> </w:t>
      </w:r>
      <w:r>
        <w:rPr>
          <w:sz w:val="22"/>
        </w:rPr>
        <w:t>activo</w:t>
      </w:r>
      <w:r>
        <w:rPr>
          <w:spacing w:val="-14"/>
          <w:sz w:val="22"/>
        </w:rPr>
        <w:t> </w:t>
      </w:r>
      <w:r>
        <w:rPr>
          <w:sz w:val="22"/>
        </w:rPr>
        <w:t>el</w:t>
      </w:r>
      <w:r>
        <w:rPr>
          <w:spacing w:val="-14"/>
          <w:sz w:val="22"/>
        </w:rPr>
        <w:t> </w:t>
      </w:r>
      <w:r>
        <w:rPr>
          <w:sz w:val="22"/>
        </w:rPr>
        <w:t>tipo</w:t>
      </w:r>
      <w:r>
        <w:rPr>
          <w:spacing w:val="-14"/>
          <w:sz w:val="22"/>
        </w:rPr>
        <w:t> </w:t>
      </w:r>
      <w:r>
        <w:rPr>
          <w:sz w:val="22"/>
        </w:rPr>
        <w:t>de</w:t>
      </w:r>
      <w:r>
        <w:rPr>
          <w:spacing w:val="-13"/>
          <w:sz w:val="22"/>
        </w:rPr>
        <w:t> </w:t>
      </w:r>
      <w:r>
        <w:rPr>
          <w:sz w:val="22"/>
        </w:rPr>
        <w:t>cambio</w:t>
      </w:r>
      <w:r>
        <w:rPr>
          <w:spacing w:val="-14"/>
          <w:sz w:val="22"/>
        </w:rPr>
        <w:t> </w:t>
      </w:r>
      <w:r>
        <w:rPr>
          <w:sz w:val="22"/>
        </w:rPr>
        <w:t>de</w:t>
      </w:r>
      <w:r>
        <w:rPr>
          <w:spacing w:val="-14"/>
          <w:sz w:val="22"/>
        </w:rPr>
        <w:t> </w:t>
      </w:r>
      <w:r>
        <w:rPr>
          <w:sz w:val="22"/>
        </w:rPr>
        <w:t>referencia</w:t>
      </w:r>
      <w:r>
        <w:rPr>
          <w:spacing w:val="-14"/>
          <w:sz w:val="22"/>
        </w:rPr>
        <w:t> </w:t>
      </w:r>
      <w:r>
        <w:rPr>
          <w:sz w:val="22"/>
        </w:rPr>
        <w:t>compra</w:t>
      </w:r>
      <w:r>
        <w:rPr>
          <w:spacing w:val="-13"/>
          <w:sz w:val="22"/>
        </w:rPr>
        <w:t> </w:t>
      </w:r>
      <w:r>
        <w:rPr>
          <w:sz w:val="22"/>
        </w:rPr>
        <w:t>que</w:t>
      </w:r>
      <w:r>
        <w:rPr>
          <w:spacing w:val="-14"/>
          <w:sz w:val="22"/>
        </w:rPr>
        <w:t> </w:t>
      </w:r>
      <w:r>
        <w:rPr>
          <w:sz w:val="22"/>
        </w:rPr>
        <w:t>emite</w:t>
      </w:r>
      <w:r>
        <w:rPr>
          <w:spacing w:val="-14"/>
          <w:sz w:val="22"/>
        </w:rPr>
        <w:t> </w:t>
      </w:r>
      <w:r>
        <w:rPr>
          <w:sz w:val="22"/>
        </w:rPr>
        <w:t>el</w:t>
      </w:r>
      <w:r>
        <w:rPr>
          <w:spacing w:val="-14"/>
          <w:sz w:val="22"/>
        </w:rPr>
        <w:t> </w:t>
      </w:r>
      <w:r>
        <w:rPr>
          <w:sz w:val="22"/>
        </w:rPr>
        <w:t>Banco</w:t>
      </w:r>
      <w:r>
        <w:rPr>
          <w:spacing w:val="-13"/>
          <w:sz w:val="22"/>
        </w:rPr>
        <w:t> </w:t>
      </w:r>
      <w:r>
        <w:rPr>
          <w:sz w:val="22"/>
        </w:rPr>
        <w:t>Central de Costa Rica;</w:t>
      </w:r>
    </w:p>
    <w:p>
      <w:pPr>
        <w:pStyle w:val="ListParagraph"/>
        <w:numPr>
          <w:ilvl w:val="0"/>
          <w:numId w:val="20"/>
        </w:numPr>
        <w:tabs>
          <w:tab w:pos="1454" w:val="left" w:leader="none"/>
        </w:tabs>
        <w:spacing w:line="261" w:lineRule="auto" w:before="0" w:after="0"/>
        <w:ind w:left="1454" w:right="1090" w:hanging="360"/>
        <w:jc w:val="both"/>
        <w:rPr>
          <w:sz w:val="22"/>
        </w:rPr>
      </w:pPr>
      <w:r>
        <w:rPr>
          <w:sz w:val="22"/>
        </w:rPr>
        <w:t>Las</w:t>
      </w:r>
      <w:r>
        <w:rPr>
          <w:spacing w:val="-5"/>
          <w:sz w:val="22"/>
        </w:rPr>
        <w:t> </w:t>
      </w:r>
      <w:r>
        <w:rPr>
          <w:sz w:val="22"/>
        </w:rPr>
        <w:t>cuentas</w:t>
      </w:r>
      <w:r>
        <w:rPr>
          <w:spacing w:val="-5"/>
          <w:sz w:val="22"/>
        </w:rPr>
        <w:t> </w:t>
      </w:r>
      <w:r>
        <w:rPr>
          <w:sz w:val="22"/>
        </w:rPr>
        <w:t>de</w:t>
      </w:r>
      <w:r>
        <w:rPr>
          <w:spacing w:val="-8"/>
          <w:sz w:val="22"/>
        </w:rPr>
        <w:t> </w:t>
      </w:r>
      <w:r>
        <w:rPr>
          <w:sz w:val="22"/>
        </w:rPr>
        <w:t>pasivo,</w:t>
      </w:r>
      <w:r>
        <w:rPr>
          <w:spacing w:val="-6"/>
          <w:sz w:val="22"/>
        </w:rPr>
        <w:t> </w:t>
      </w:r>
      <w:r>
        <w:rPr>
          <w:sz w:val="22"/>
        </w:rPr>
        <w:t>el</w:t>
      </w:r>
      <w:r>
        <w:rPr>
          <w:spacing w:val="-7"/>
          <w:sz w:val="22"/>
        </w:rPr>
        <w:t> </w:t>
      </w:r>
      <w:r>
        <w:rPr>
          <w:sz w:val="22"/>
        </w:rPr>
        <w:t>tipo</w:t>
      </w:r>
      <w:r>
        <w:rPr>
          <w:spacing w:val="-5"/>
          <w:sz w:val="22"/>
        </w:rPr>
        <w:t> </w:t>
      </w:r>
      <w:r>
        <w:rPr>
          <w:sz w:val="22"/>
        </w:rPr>
        <w:t>de</w:t>
      </w:r>
      <w:r>
        <w:rPr>
          <w:spacing w:val="-8"/>
          <w:sz w:val="22"/>
        </w:rPr>
        <w:t> </w:t>
      </w:r>
      <w:r>
        <w:rPr>
          <w:sz w:val="22"/>
        </w:rPr>
        <w:t>cambio</w:t>
      </w:r>
      <w:r>
        <w:rPr>
          <w:spacing w:val="-5"/>
          <w:sz w:val="22"/>
        </w:rPr>
        <w:t> </w:t>
      </w:r>
      <w:r>
        <w:rPr>
          <w:sz w:val="22"/>
        </w:rPr>
        <w:t>de</w:t>
      </w:r>
      <w:r>
        <w:rPr>
          <w:spacing w:val="-8"/>
          <w:sz w:val="22"/>
        </w:rPr>
        <w:t> </w:t>
      </w:r>
      <w:r>
        <w:rPr>
          <w:sz w:val="22"/>
        </w:rPr>
        <w:t>referencia,</w:t>
      </w:r>
      <w:r>
        <w:rPr>
          <w:spacing w:val="-6"/>
          <w:sz w:val="22"/>
        </w:rPr>
        <w:t> </w:t>
      </w:r>
      <w:r>
        <w:rPr>
          <w:sz w:val="22"/>
        </w:rPr>
        <w:t>venta</w:t>
      </w:r>
      <w:r>
        <w:rPr>
          <w:spacing w:val="-6"/>
          <w:sz w:val="22"/>
        </w:rPr>
        <w:t> </w:t>
      </w:r>
      <w:r>
        <w:rPr>
          <w:sz w:val="22"/>
        </w:rPr>
        <w:t>que</w:t>
      </w:r>
      <w:r>
        <w:rPr>
          <w:spacing w:val="-7"/>
          <w:sz w:val="22"/>
        </w:rPr>
        <w:t> </w:t>
      </w:r>
      <w:r>
        <w:rPr>
          <w:sz w:val="22"/>
        </w:rPr>
        <w:t>emite</w:t>
      </w:r>
      <w:r>
        <w:rPr>
          <w:spacing w:val="-7"/>
          <w:sz w:val="22"/>
        </w:rPr>
        <w:t> </w:t>
      </w:r>
      <w:r>
        <w:rPr>
          <w:sz w:val="22"/>
        </w:rPr>
        <w:t>el</w:t>
      </w:r>
      <w:r>
        <w:rPr>
          <w:spacing w:val="-7"/>
          <w:sz w:val="22"/>
        </w:rPr>
        <w:t> </w:t>
      </w:r>
      <w:r>
        <w:rPr>
          <w:sz w:val="22"/>
        </w:rPr>
        <w:t>Banco</w:t>
      </w:r>
      <w:r>
        <w:rPr>
          <w:spacing w:val="-5"/>
          <w:sz w:val="22"/>
        </w:rPr>
        <w:t> </w:t>
      </w:r>
      <w:r>
        <w:rPr>
          <w:sz w:val="22"/>
        </w:rPr>
        <w:t>Central</w:t>
      </w:r>
      <w:r>
        <w:rPr>
          <w:spacing w:val="-7"/>
          <w:sz w:val="22"/>
        </w:rPr>
        <w:t> </w:t>
      </w:r>
      <w:r>
        <w:rPr>
          <w:sz w:val="22"/>
        </w:rPr>
        <w:t>de Costa Rica.</w:t>
      </w:r>
    </w:p>
    <w:p>
      <w:pPr>
        <w:pStyle w:val="ListParagraph"/>
        <w:numPr>
          <w:ilvl w:val="0"/>
          <w:numId w:val="20"/>
        </w:numPr>
        <w:tabs>
          <w:tab w:pos="1454" w:val="left" w:leader="none"/>
        </w:tabs>
        <w:spacing w:line="261" w:lineRule="auto" w:before="0" w:after="0"/>
        <w:ind w:left="1454" w:right="1095" w:hanging="360"/>
        <w:jc w:val="both"/>
        <w:rPr>
          <w:sz w:val="22"/>
        </w:rPr>
      </w:pPr>
      <w:r>
        <w:rPr>
          <w:sz w:val="22"/>
        </w:rPr>
        <w:t>Las entradas de mercadería para la venta, bienes, activos y servicios se utilizará el tipo de cambio de referencia, venta que emite el Banco Central de Costa Rica de la fecha de la </w:t>
      </w:r>
      <w:r>
        <w:rPr>
          <w:spacing w:val="-2"/>
          <w:sz w:val="22"/>
        </w:rPr>
        <w:t>transacción.</w:t>
      </w:r>
    </w:p>
    <w:p>
      <w:pPr>
        <w:pStyle w:val="BodyText"/>
        <w:spacing w:line="259" w:lineRule="auto"/>
        <w:ind w:left="734" w:right="1090"/>
        <w:jc w:val="both"/>
      </w:pPr>
      <w:r>
        <w:rPr/>
        <w:t>Política contable particular, aprobada mediante oficio IMAS-GG-0561-2024 se aprobaron políticas internas</w:t>
      </w:r>
      <w:r>
        <w:rPr>
          <w:spacing w:val="-11"/>
        </w:rPr>
        <w:t> </w:t>
      </w:r>
      <w:r>
        <w:rPr/>
        <w:t>para</w:t>
      </w:r>
      <w:r>
        <w:rPr>
          <w:spacing w:val="-12"/>
        </w:rPr>
        <w:t> </w:t>
      </w:r>
      <w:r>
        <w:rPr/>
        <w:t>el</w:t>
      </w:r>
      <w:r>
        <w:rPr>
          <w:spacing w:val="-12"/>
        </w:rPr>
        <w:t> </w:t>
      </w:r>
      <w:r>
        <w:rPr/>
        <w:t>reconocimiento</w:t>
      </w:r>
      <w:r>
        <w:rPr>
          <w:spacing w:val="-11"/>
        </w:rPr>
        <w:t> </w:t>
      </w:r>
      <w:r>
        <w:rPr/>
        <w:t>y</w:t>
      </w:r>
      <w:r>
        <w:rPr>
          <w:spacing w:val="-13"/>
        </w:rPr>
        <w:t> </w:t>
      </w:r>
      <w:r>
        <w:rPr/>
        <w:t>medición</w:t>
      </w:r>
      <w:r>
        <w:rPr>
          <w:spacing w:val="-12"/>
        </w:rPr>
        <w:t> </w:t>
      </w:r>
      <w:r>
        <w:rPr/>
        <w:t>de</w:t>
      </w:r>
      <w:r>
        <w:rPr>
          <w:spacing w:val="-13"/>
        </w:rPr>
        <w:t> </w:t>
      </w:r>
      <w:r>
        <w:rPr/>
        <w:t>los</w:t>
      </w:r>
      <w:r>
        <w:rPr>
          <w:spacing w:val="-11"/>
        </w:rPr>
        <w:t> </w:t>
      </w:r>
      <w:r>
        <w:rPr/>
        <w:t>efectos</w:t>
      </w:r>
      <w:r>
        <w:rPr>
          <w:spacing w:val="-11"/>
        </w:rPr>
        <w:t> </w:t>
      </w:r>
      <w:r>
        <w:rPr/>
        <w:t>de</w:t>
      </w:r>
      <w:r>
        <w:rPr>
          <w:spacing w:val="-13"/>
        </w:rPr>
        <w:t> </w:t>
      </w:r>
      <w:r>
        <w:rPr/>
        <w:t>los</w:t>
      </w:r>
      <w:r>
        <w:rPr>
          <w:spacing w:val="-11"/>
        </w:rPr>
        <w:t> </w:t>
      </w:r>
      <w:r>
        <w:rPr/>
        <w:t>cambios</w:t>
      </w:r>
      <w:r>
        <w:rPr>
          <w:spacing w:val="-11"/>
        </w:rPr>
        <w:t> </w:t>
      </w:r>
      <w:r>
        <w:rPr/>
        <w:t>en</w:t>
      </w:r>
      <w:r>
        <w:rPr>
          <w:spacing w:val="-12"/>
        </w:rPr>
        <w:t> </w:t>
      </w:r>
      <w:r>
        <w:rPr/>
        <w:t>las</w:t>
      </w:r>
      <w:r>
        <w:rPr>
          <w:spacing w:val="-11"/>
        </w:rPr>
        <w:t> </w:t>
      </w:r>
      <w:r>
        <w:rPr/>
        <w:t>divisas</w:t>
      </w:r>
      <w:r>
        <w:rPr>
          <w:spacing w:val="-11"/>
        </w:rPr>
        <w:t> </w:t>
      </w:r>
      <w:r>
        <w:rPr/>
        <w:t>en</w:t>
      </w:r>
      <w:r>
        <w:rPr>
          <w:spacing w:val="-12"/>
        </w:rPr>
        <w:t> </w:t>
      </w:r>
      <w:r>
        <w:rPr/>
        <w:t>los</w:t>
      </w:r>
      <w:r>
        <w:rPr>
          <w:spacing w:val="-11"/>
        </w:rPr>
        <w:t> </w:t>
      </w:r>
      <w:r>
        <w:rPr/>
        <w:t>estados </w:t>
      </w:r>
      <w:r>
        <w:rPr>
          <w:spacing w:val="-2"/>
        </w:rPr>
        <w:t>financieros.</w:t>
      </w:r>
    </w:p>
    <w:p>
      <w:pPr>
        <w:pStyle w:val="BodyText"/>
        <w:spacing w:before="6"/>
      </w:pPr>
    </w:p>
    <w:p>
      <w:pPr>
        <w:pStyle w:val="ListParagraph"/>
        <w:numPr>
          <w:ilvl w:val="1"/>
          <w:numId w:val="19"/>
        </w:numPr>
        <w:tabs>
          <w:tab w:pos="1335" w:val="left" w:leader="none"/>
          <w:tab w:pos="1337" w:val="left" w:leader="none"/>
        </w:tabs>
        <w:spacing w:line="276" w:lineRule="auto" w:before="0" w:after="0"/>
        <w:ind w:left="1337" w:right="1085" w:hanging="284"/>
        <w:jc w:val="both"/>
        <w:rPr>
          <w:sz w:val="22"/>
        </w:rPr>
      </w:pPr>
      <w:r>
        <w:rPr>
          <w:sz w:val="22"/>
        </w:rPr>
        <w:t>Para</w:t>
      </w:r>
      <w:r>
        <w:rPr>
          <w:spacing w:val="-8"/>
          <w:sz w:val="22"/>
        </w:rPr>
        <w:t> </w:t>
      </w:r>
      <w:r>
        <w:rPr>
          <w:sz w:val="22"/>
        </w:rPr>
        <w:t>efectos</w:t>
      </w:r>
      <w:r>
        <w:rPr>
          <w:spacing w:val="-6"/>
          <w:sz w:val="22"/>
        </w:rPr>
        <w:t> </w:t>
      </w:r>
      <w:r>
        <w:rPr>
          <w:sz w:val="22"/>
        </w:rPr>
        <w:t>de</w:t>
      </w:r>
      <w:r>
        <w:rPr>
          <w:spacing w:val="-7"/>
          <w:sz w:val="22"/>
        </w:rPr>
        <w:t> </w:t>
      </w:r>
      <w:r>
        <w:rPr>
          <w:sz w:val="22"/>
        </w:rPr>
        <w:t>la</w:t>
      </w:r>
      <w:r>
        <w:rPr>
          <w:spacing w:val="-8"/>
          <w:sz w:val="22"/>
        </w:rPr>
        <w:t> </w:t>
      </w:r>
      <w:r>
        <w:rPr>
          <w:sz w:val="22"/>
        </w:rPr>
        <w:t>reconversión,</w:t>
      </w:r>
      <w:r>
        <w:rPr>
          <w:spacing w:val="-7"/>
          <w:sz w:val="22"/>
        </w:rPr>
        <w:t> </w:t>
      </w:r>
      <w:r>
        <w:rPr>
          <w:sz w:val="22"/>
        </w:rPr>
        <w:t>las</w:t>
      </w:r>
      <w:r>
        <w:rPr>
          <w:spacing w:val="-6"/>
          <w:sz w:val="22"/>
        </w:rPr>
        <w:t> </w:t>
      </w:r>
      <w:r>
        <w:rPr>
          <w:sz w:val="22"/>
        </w:rPr>
        <w:t>partidas</w:t>
      </w:r>
      <w:r>
        <w:rPr>
          <w:spacing w:val="-6"/>
          <w:sz w:val="22"/>
        </w:rPr>
        <w:t> </w:t>
      </w:r>
      <w:r>
        <w:rPr>
          <w:sz w:val="22"/>
        </w:rPr>
        <w:t>monetarias</w:t>
      </w:r>
      <w:r>
        <w:rPr>
          <w:spacing w:val="-9"/>
          <w:sz w:val="22"/>
        </w:rPr>
        <w:t> </w:t>
      </w:r>
      <w:r>
        <w:rPr>
          <w:sz w:val="22"/>
        </w:rPr>
        <w:t>de</w:t>
      </w:r>
      <w:r>
        <w:rPr>
          <w:spacing w:val="-7"/>
          <w:sz w:val="22"/>
        </w:rPr>
        <w:t> </w:t>
      </w:r>
      <w:r>
        <w:rPr>
          <w:sz w:val="22"/>
        </w:rPr>
        <w:t>activos</w:t>
      </w:r>
      <w:r>
        <w:rPr>
          <w:spacing w:val="-6"/>
          <w:sz w:val="22"/>
        </w:rPr>
        <w:t> </w:t>
      </w:r>
      <w:r>
        <w:rPr>
          <w:sz w:val="22"/>
        </w:rPr>
        <w:t>se</w:t>
      </w:r>
      <w:r>
        <w:rPr>
          <w:spacing w:val="-6"/>
          <w:sz w:val="22"/>
        </w:rPr>
        <w:t> </w:t>
      </w:r>
      <w:r>
        <w:rPr>
          <w:sz w:val="22"/>
        </w:rPr>
        <w:t>ajustan</w:t>
      </w:r>
      <w:r>
        <w:rPr>
          <w:spacing w:val="-7"/>
          <w:sz w:val="22"/>
        </w:rPr>
        <w:t> </w:t>
      </w:r>
      <w:r>
        <w:rPr>
          <w:sz w:val="22"/>
        </w:rPr>
        <w:t>utilizando</w:t>
      </w:r>
      <w:r>
        <w:rPr>
          <w:spacing w:val="-7"/>
          <w:sz w:val="22"/>
        </w:rPr>
        <w:t> </w:t>
      </w:r>
      <w:r>
        <w:rPr>
          <w:sz w:val="22"/>
        </w:rPr>
        <w:t>el</w:t>
      </w:r>
      <w:r>
        <w:rPr>
          <w:spacing w:val="-8"/>
          <w:sz w:val="22"/>
        </w:rPr>
        <w:t> </w:t>
      </w:r>
      <w:r>
        <w:rPr>
          <w:sz w:val="22"/>
        </w:rPr>
        <w:t>tipo de cambio de compra y las partidas monetarias de pasivos utilizando el tipo de cambio de venta,</w:t>
      </w:r>
      <w:r>
        <w:rPr>
          <w:spacing w:val="-10"/>
          <w:sz w:val="22"/>
        </w:rPr>
        <w:t> </w:t>
      </w:r>
      <w:r>
        <w:rPr>
          <w:sz w:val="22"/>
        </w:rPr>
        <w:t>correspondiente</w:t>
      </w:r>
      <w:r>
        <w:rPr>
          <w:spacing w:val="-7"/>
          <w:sz w:val="22"/>
        </w:rPr>
        <w:t> </w:t>
      </w:r>
      <w:r>
        <w:rPr>
          <w:sz w:val="22"/>
        </w:rPr>
        <w:t>al</w:t>
      </w:r>
      <w:r>
        <w:rPr>
          <w:spacing w:val="-11"/>
          <w:sz w:val="22"/>
        </w:rPr>
        <w:t> </w:t>
      </w:r>
      <w:r>
        <w:rPr>
          <w:sz w:val="22"/>
        </w:rPr>
        <w:t>tipo</w:t>
      </w:r>
      <w:r>
        <w:rPr>
          <w:spacing w:val="-7"/>
          <w:sz w:val="22"/>
        </w:rPr>
        <w:t> </w:t>
      </w:r>
      <w:r>
        <w:rPr>
          <w:sz w:val="22"/>
        </w:rPr>
        <w:t>de</w:t>
      </w:r>
      <w:r>
        <w:rPr>
          <w:spacing w:val="-7"/>
          <w:sz w:val="22"/>
        </w:rPr>
        <w:t> </w:t>
      </w:r>
      <w:r>
        <w:rPr>
          <w:sz w:val="22"/>
        </w:rPr>
        <w:t>cambio</w:t>
      </w:r>
      <w:r>
        <w:rPr>
          <w:spacing w:val="-7"/>
          <w:sz w:val="22"/>
        </w:rPr>
        <w:t> </w:t>
      </w:r>
      <w:r>
        <w:rPr>
          <w:sz w:val="22"/>
        </w:rPr>
        <w:t>de</w:t>
      </w:r>
      <w:r>
        <w:rPr>
          <w:spacing w:val="-7"/>
          <w:sz w:val="22"/>
        </w:rPr>
        <w:t> </w:t>
      </w:r>
      <w:r>
        <w:rPr>
          <w:sz w:val="22"/>
        </w:rPr>
        <w:t>venta</w:t>
      </w:r>
      <w:r>
        <w:rPr>
          <w:spacing w:val="-8"/>
          <w:sz w:val="22"/>
        </w:rPr>
        <w:t> </w:t>
      </w:r>
      <w:r>
        <w:rPr>
          <w:sz w:val="22"/>
        </w:rPr>
        <w:t>de</w:t>
      </w:r>
      <w:r>
        <w:rPr>
          <w:spacing w:val="-7"/>
          <w:sz w:val="22"/>
        </w:rPr>
        <w:t> </w:t>
      </w:r>
      <w:r>
        <w:rPr>
          <w:sz w:val="22"/>
        </w:rPr>
        <w:t>referencia</w:t>
      </w:r>
      <w:r>
        <w:rPr>
          <w:spacing w:val="-9"/>
          <w:sz w:val="22"/>
        </w:rPr>
        <w:t> </w:t>
      </w:r>
      <w:r>
        <w:rPr>
          <w:sz w:val="22"/>
        </w:rPr>
        <w:t>publicado</w:t>
      </w:r>
      <w:r>
        <w:rPr>
          <w:spacing w:val="-8"/>
          <w:sz w:val="22"/>
        </w:rPr>
        <w:t> </w:t>
      </w:r>
      <w:r>
        <w:rPr>
          <w:sz w:val="22"/>
        </w:rPr>
        <w:t>por</w:t>
      </w:r>
      <w:r>
        <w:rPr>
          <w:spacing w:val="-11"/>
          <w:sz w:val="22"/>
        </w:rPr>
        <w:t> </w:t>
      </w:r>
      <w:r>
        <w:rPr>
          <w:sz w:val="22"/>
        </w:rPr>
        <w:t>el</w:t>
      </w:r>
      <w:r>
        <w:rPr>
          <w:spacing w:val="-9"/>
          <w:sz w:val="22"/>
        </w:rPr>
        <w:t> </w:t>
      </w:r>
      <w:r>
        <w:rPr>
          <w:sz w:val="22"/>
        </w:rPr>
        <w:t>Banco</w:t>
      </w:r>
      <w:r>
        <w:rPr>
          <w:spacing w:val="-10"/>
          <w:sz w:val="22"/>
        </w:rPr>
        <w:t> </w:t>
      </w:r>
      <w:r>
        <w:rPr>
          <w:sz w:val="22"/>
        </w:rPr>
        <w:t>Cen-tral de Costa Rica.</w:t>
      </w:r>
    </w:p>
    <w:p>
      <w:pPr>
        <w:pStyle w:val="ListParagraph"/>
        <w:spacing w:after="0" w:line="276"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2656">
                <wp:simplePos x="0" y="0"/>
                <wp:positionH relativeFrom="page">
                  <wp:posOffset>9525</wp:posOffset>
                </wp:positionH>
                <wp:positionV relativeFrom="page">
                  <wp:posOffset>297208</wp:posOffset>
                </wp:positionV>
                <wp:extent cx="7762875" cy="974852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7762875" cy="9748520"/>
                          <a:chExt cx="7762875" cy="9748520"/>
                        </a:xfrm>
                      </wpg:grpSpPr>
                      <pic:pic>
                        <pic:nvPicPr>
                          <pic:cNvPr id="84" name="Image 84"/>
                          <pic:cNvPicPr/>
                        </pic:nvPicPr>
                        <pic:blipFill>
                          <a:blip r:embed="rId5" cstate="print"/>
                          <a:stretch>
                            <a:fillRect/>
                          </a:stretch>
                        </pic:blipFill>
                        <pic:spPr>
                          <a:xfrm>
                            <a:off x="0" y="0"/>
                            <a:ext cx="7762874" cy="9748489"/>
                          </a:xfrm>
                          <a:prstGeom prst="rect">
                            <a:avLst/>
                          </a:prstGeom>
                        </pic:spPr>
                      </pic:pic>
                      <wps:wsp>
                        <wps:cNvPr id="85" name="Graphic 85"/>
                        <wps:cNvSpPr/>
                        <wps:spPr>
                          <a:xfrm>
                            <a:off x="1053007" y="990837"/>
                            <a:ext cx="5649595" cy="7839075"/>
                          </a:xfrm>
                          <a:custGeom>
                            <a:avLst/>
                            <a:gdLst/>
                            <a:ahLst/>
                            <a:cxnLst/>
                            <a:rect l="l" t="t" r="r" b="b"/>
                            <a:pathLst>
                              <a:path w="5649595" h="7839075">
                                <a:moveTo>
                                  <a:pt x="5630862" y="7832801"/>
                                </a:moveTo>
                                <a:lnTo>
                                  <a:pt x="5624830" y="7832801"/>
                                </a:lnTo>
                                <a:lnTo>
                                  <a:pt x="24384" y="7832801"/>
                                </a:lnTo>
                                <a:lnTo>
                                  <a:pt x="18288" y="7832801"/>
                                </a:lnTo>
                                <a:lnTo>
                                  <a:pt x="18288" y="7838884"/>
                                </a:lnTo>
                                <a:lnTo>
                                  <a:pt x="24384" y="7838884"/>
                                </a:lnTo>
                                <a:lnTo>
                                  <a:pt x="5624779" y="7838884"/>
                                </a:lnTo>
                                <a:lnTo>
                                  <a:pt x="5630862" y="7838884"/>
                                </a:lnTo>
                                <a:lnTo>
                                  <a:pt x="5630862" y="7832801"/>
                                </a:lnTo>
                                <a:close/>
                              </a:path>
                              <a:path w="5649595" h="7839075">
                                <a:moveTo>
                                  <a:pt x="5630862" y="3145904"/>
                                </a:moveTo>
                                <a:lnTo>
                                  <a:pt x="5624830" y="3145904"/>
                                </a:lnTo>
                                <a:lnTo>
                                  <a:pt x="24384" y="3145904"/>
                                </a:lnTo>
                                <a:lnTo>
                                  <a:pt x="18288" y="3145904"/>
                                </a:lnTo>
                                <a:lnTo>
                                  <a:pt x="18288" y="3151949"/>
                                </a:lnTo>
                                <a:lnTo>
                                  <a:pt x="18288" y="7832788"/>
                                </a:lnTo>
                                <a:lnTo>
                                  <a:pt x="24384" y="7832788"/>
                                </a:lnTo>
                                <a:lnTo>
                                  <a:pt x="24384" y="3152000"/>
                                </a:lnTo>
                                <a:lnTo>
                                  <a:pt x="5624779" y="3152000"/>
                                </a:lnTo>
                                <a:lnTo>
                                  <a:pt x="5624779" y="7832788"/>
                                </a:lnTo>
                                <a:lnTo>
                                  <a:pt x="5630862" y="7832788"/>
                                </a:lnTo>
                                <a:lnTo>
                                  <a:pt x="5630862" y="3152000"/>
                                </a:lnTo>
                                <a:lnTo>
                                  <a:pt x="5630862" y="3145904"/>
                                </a:lnTo>
                                <a:close/>
                              </a:path>
                              <a:path w="5649595" h="783907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3824" id="docshapegroup82" coordorigin="15,468" coordsize="12225,15352">
                <v:shape style="position:absolute;left:15;top:468;width:12225;height:15352" type="#_x0000_t75" id="docshape83" stroked="false">
                  <v:imagedata r:id="rId5" o:title=""/>
                </v:shape>
                <v:shape style="position:absolute;left:1673;top:2028;width:8897;height:12345" id="docshape84" coordorigin="1673,2028" coordsize="8897,12345" path="m10541,14364l10531,14364,10531,14364,1712,14364,1702,14364,1702,14373,1712,14373,10531,14373,10531,14373,10541,14373,10541,14364xm10541,6983l10531,6983,10531,6983,1712,6983,1702,6983,1702,6992,1702,6992,1702,14364,1712,14364,1712,6992,10531,6992,10531,14364,10541,14364,10541,6992,10541,6992,10541,6983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w:t>
      </w:r>
    </w:p>
    <w:p>
      <w:pPr>
        <w:pStyle w:val="BodyText"/>
        <w:spacing w:before="10"/>
        <w:rPr>
          <w:sz w:val="16"/>
        </w:rPr>
      </w:pPr>
      <w:r>
        <w:rPr>
          <w:sz w:val="16"/>
        </w:rPr>
        <mc:AlternateContent>
          <mc:Choice Requires="wps">
            <w:drawing>
              <wp:anchor distT="0" distB="0" distL="0" distR="0" allowOverlap="1" layoutInCell="1" locked="0" behindDoc="1" simplePos="0" relativeHeight="487605248">
                <wp:simplePos x="0" y="0"/>
                <wp:positionH relativeFrom="page">
                  <wp:posOffset>1083868</wp:posOffset>
                </wp:positionH>
                <wp:positionV relativeFrom="paragraph">
                  <wp:posOffset>141144</wp:posOffset>
                </wp:positionV>
                <wp:extent cx="5607050" cy="2501265"/>
                <wp:effectExtent l="0" t="0" r="0" b="0"/>
                <wp:wrapTopAndBottom/>
                <wp:docPr id="86" name="Textbox 86"/>
                <wp:cNvGraphicFramePr>
                  <a:graphicFrameLocks/>
                </wp:cNvGraphicFramePr>
                <a:graphic>
                  <a:graphicData uri="http://schemas.microsoft.com/office/word/2010/wordprocessingShape">
                    <wps:wsp>
                      <wps:cNvPr id="86" name="Textbox 86"/>
                      <wps:cNvSpPr txBox="1"/>
                      <wps:spPr>
                        <a:xfrm>
                          <a:off x="0" y="0"/>
                          <a:ext cx="5607050" cy="2501265"/>
                        </a:xfrm>
                        <a:prstGeom prst="rect">
                          <a:avLst/>
                        </a:prstGeom>
                        <a:ln w="6095">
                          <a:solidFill>
                            <a:srgbClr val="000000"/>
                          </a:solidFill>
                          <a:prstDash val="solid"/>
                        </a:ln>
                      </wps:spPr>
                      <wps:txbx>
                        <w:txbxContent>
                          <w:p>
                            <w:pPr>
                              <w:pStyle w:val="BodyText"/>
                              <w:numPr>
                                <w:ilvl w:val="0"/>
                                <w:numId w:val="21"/>
                              </w:numPr>
                              <w:tabs>
                                <w:tab w:pos="703" w:val="left" w:leader="none"/>
                                <w:tab w:pos="705" w:val="left" w:leader="none"/>
                              </w:tabs>
                              <w:spacing w:line="276" w:lineRule="auto" w:before="0" w:after="0"/>
                              <w:ind w:left="705" w:right="98" w:hanging="284"/>
                              <w:jc w:val="both"/>
                            </w:pPr>
                            <w:r>
                              <w:rPr/>
                              <w:t>Las partidas no monetarias en moneda extranjera se mantienen al tipo de cambio histórico de la fecha de la transacción. En caso de que estas partidas sean medidas al valor razonable, su</w:t>
                            </w:r>
                            <w:r>
                              <w:rPr>
                                <w:spacing w:val="-10"/>
                              </w:rPr>
                              <w:t> </w:t>
                            </w:r>
                            <w:r>
                              <w:rPr/>
                              <w:t>conversión</w:t>
                            </w:r>
                            <w:r>
                              <w:rPr>
                                <w:spacing w:val="-12"/>
                              </w:rPr>
                              <w:t> </w:t>
                            </w:r>
                            <w:r>
                              <w:rPr/>
                              <w:t>a</w:t>
                            </w:r>
                            <w:r>
                              <w:rPr>
                                <w:spacing w:val="-10"/>
                              </w:rPr>
                              <w:t> </w:t>
                            </w:r>
                            <w:r>
                              <w:rPr/>
                              <w:t>la</w:t>
                            </w:r>
                            <w:r>
                              <w:rPr>
                                <w:spacing w:val="-13"/>
                              </w:rPr>
                              <w:t> </w:t>
                            </w:r>
                            <w:r>
                              <w:rPr/>
                              <w:t>moneda</w:t>
                            </w:r>
                            <w:r>
                              <w:rPr>
                                <w:spacing w:val="-11"/>
                              </w:rPr>
                              <w:t> </w:t>
                            </w:r>
                            <w:r>
                              <w:rPr/>
                              <w:t>funcional</w:t>
                            </w:r>
                            <w:r>
                              <w:rPr>
                                <w:spacing w:val="-13"/>
                              </w:rPr>
                              <w:t> </w:t>
                            </w:r>
                            <w:r>
                              <w:rPr/>
                              <w:t>se</w:t>
                            </w:r>
                            <w:r>
                              <w:rPr>
                                <w:spacing w:val="-11"/>
                              </w:rPr>
                              <w:t> </w:t>
                            </w:r>
                            <w:r>
                              <w:rPr/>
                              <w:t>realiza</w:t>
                            </w:r>
                            <w:r>
                              <w:rPr>
                                <w:spacing w:val="-10"/>
                              </w:rPr>
                              <w:t> </w:t>
                            </w:r>
                            <w:r>
                              <w:rPr/>
                              <w:t>utilizando</w:t>
                            </w:r>
                            <w:r>
                              <w:rPr>
                                <w:spacing w:val="-11"/>
                              </w:rPr>
                              <w:t> </w:t>
                            </w:r>
                            <w:r>
                              <w:rPr/>
                              <w:t>el</w:t>
                            </w:r>
                            <w:r>
                              <w:rPr>
                                <w:spacing w:val="-10"/>
                              </w:rPr>
                              <w:t> </w:t>
                            </w:r>
                            <w:r>
                              <w:rPr/>
                              <w:t>tipo</w:t>
                            </w:r>
                            <w:r>
                              <w:rPr>
                                <w:spacing w:val="-9"/>
                              </w:rPr>
                              <w:t> </w:t>
                            </w:r>
                            <w:r>
                              <w:rPr/>
                              <w:t>de</w:t>
                            </w:r>
                            <w:r>
                              <w:rPr>
                                <w:spacing w:val="-11"/>
                              </w:rPr>
                              <w:t> </w:t>
                            </w:r>
                            <w:r>
                              <w:rPr/>
                              <w:t>cambio</w:t>
                            </w:r>
                            <w:r>
                              <w:rPr>
                                <w:spacing w:val="-12"/>
                              </w:rPr>
                              <w:t> </w:t>
                            </w:r>
                            <w:r>
                              <w:rPr/>
                              <w:t>vigente</w:t>
                            </w:r>
                            <w:r>
                              <w:rPr>
                                <w:spacing w:val="-11"/>
                              </w:rPr>
                              <w:t> </w:t>
                            </w:r>
                            <w:r>
                              <w:rPr/>
                              <w:t>en</w:t>
                            </w:r>
                            <w:r>
                              <w:rPr>
                                <w:spacing w:val="-9"/>
                              </w:rPr>
                              <w:t> </w:t>
                            </w:r>
                            <w:r>
                              <w:rPr/>
                              <w:t>la</w:t>
                            </w:r>
                            <w:r>
                              <w:rPr>
                                <w:spacing w:val="-11"/>
                              </w:rPr>
                              <w:t> </w:t>
                            </w:r>
                            <w:r>
                              <w:rPr/>
                              <w:t>fecha en que dicho valor fue determinado.</w:t>
                            </w:r>
                          </w:p>
                          <w:p>
                            <w:pPr>
                              <w:pStyle w:val="BodyText"/>
                              <w:numPr>
                                <w:ilvl w:val="0"/>
                                <w:numId w:val="21"/>
                              </w:numPr>
                              <w:tabs>
                                <w:tab w:pos="703" w:val="left" w:leader="none"/>
                                <w:tab w:pos="705" w:val="left" w:leader="none"/>
                              </w:tabs>
                              <w:spacing w:line="271" w:lineRule="auto" w:before="0" w:after="0"/>
                              <w:ind w:left="705" w:right="108" w:hanging="284"/>
                              <w:jc w:val="both"/>
                            </w:pPr>
                            <w:r>
                              <w:rPr/>
                              <w:t>La entidad reconoce todas las diferencias de cambio generadas, tanto en el reconocimiento inicial como en la reconversión al cierre de cada periodo, en los resultados del ejercicio.</w:t>
                            </w:r>
                          </w:p>
                          <w:p>
                            <w:pPr>
                              <w:pStyle w:val="BodyText"/>
                              <w:numPr>
                                <w:ilvl w:val="0"/>
                                <w:numId w:val="21"/>
                              </w:numPr>
                              <w:tabs>
                                <w:tab w:pos="703" w:val="left" w:leader="none"/>
                                <w:tab w:pos="705" w:val="left" w:leader="none"/>
                              </w:tabs>
                              <w:spacing w:line="271" w:lineRule="auto" w:before="6" w:after="0"/>
                              <w:ind w:left="705" w:right="105" w:hanging="284"/>
                              <w:jc w:val="both"/>
                            </w:pPr>
                            <w:r>
                              <w:rPr/>
                              <w:t>No</w:t>
                            </w:r>
                            <w:r>
                              <w:rPr>
                                <w:spacing w:val="-5"/>
                              </w:rPr>
                              <w:t> </w:t>
                            </w:r>
                            <w:r>
                              <w:rPr/>
                              <w:t>se</w:t>
                            </w:r>
                            <w:r>
                              <w:rPr>
                                <w:spacing w:val="-2"/>
                              </w:rPr>
                              <w:t> </w:t>
                            </w:r>
                            <w:r>
                              <w:rPr/>
                              <w:t>aplican</w:t>
                            </w:r>
                            <w:r>
                              <w:rPr>
                                <w:spacing w:val="-3"/>
                              </w:rPr>
                              <w:t> </w:t>
                            </w:r>
                            <w:r>
                              <w:rPr/>
                              <w:t>disposiciones</w:t>
                            </w:r>
                            <w:r>
                              <w:rPr>
                                <w:spacing w:val="-5"/>
                              </w:rPr>
                              <w:t> </w:t>
                            </w:r>
                            <w:r>
                              <w:rPr/>
                              <w:t>relacionadas</w:t>
                            </w:r>
                            <w:r>
                              <w:rPr>
                                <w:spacing w:val="-2"/>
                              </w:rPr>
                              <w:t> </w:t>
                            </w:r>
                            <w:r>
                              <w:rPr/>
                              <w:t>con</w:t>
                            </w:r>
                            <w:r>
                              <w:rPr>
                                <w:spacing w:val="-3"/>
                              </w:rPr>
                              <w:t> </w:t>
                            </w:r>
                            <w:r>
                              <w:rPr/>
                              <w:t>economías</w:t>
                            </w:r>
                            <w:r>
                              <w:rPr>
                                <w:spacing w:val="-5"/>
                              </w:rPr>
                              <w:t> </w:t>
                            </w:r>
                            <w:r>
                              <w:rPr/>
                              <w:t>hiperinflacionarias,</w:t>
                            </w:r>
                            <w:r>
                              <w:rPr>
                                <w:spacing w:val="-3"/>
                              </w:rPr>
                              <w:t> </w:t>
                            </w:r>
                            <w:r>
                              <w:rPr/>
                              <w:t>dado</w:t>
                            </w:r>
                            <w:r>
                              <w:rPr>
                                <w:spacing w:val="-3"/>
                              </w:rPr>
                              <w:t> </w:t>
                            </w:r>
                            <w:r>
                              <w:rPr/>
                              <w:t>que</w:t>
                            </w:r>
                            <w:r>
                              <w:rPr>
                                <w:spacing w:val="-3"/>
                              </w:rPr>
                              <w:t> </w:t>
                            </w:r>
                            <w:r>
                              <w:rPr/>
                              <w:t>el</w:t>
                            </w:r>
                            <w:r>
                              <w:rPr>
                                <w:spacing w:val="-6"/>
                              </w:rPr>
                              <w:t> </w:t>
                            </w:r>
                            <w:r>
                              <w:rPr/>
                              <w:t>en-torno económico del país no presenta dichas condiciones.</w:t>
                            </w:r>
                          </w:p>
                          <w:p>
                            <w:pPr>
                              <w:pStyle w:val="BodyText"/>
                              <w:numPr>
                                <w:ilvl w:val="0"/>
                                <w:numId w:val="21"/>
                              </w:numPr>
                              <w:tabs>
                                <w:tab w:pos="703" w:val="left" w:leader="none"/>
                                <w:tab w:pos="705" w:val="left" w:leader="none"/>
                              </w:tabs>
                              <w:spacing w:line="273" w:lineRule="auto" w:before="6" w:after="0"/>
                              <w:ind w:left="705" w:right="103" w:hanging="284"/>
                              <w:jc w:val="both"/>
                            </w:pPr>
                            <w:r>
                              <w:rPr/>
                              <w:t>La entidad no emite Estados Financieros en una moneda distinta a su moneda funcional ni mantiene</w:t>
                            </w:r>
                            <w:r>
                              <w:rPr>
                                <w:spacing w:val="-14"/>
                              </w:rPr>
                              <w:t> </w:t>
                            </w:r>
                            <w:r>
                              <w:rPr/>
                              <w:t>operaciones</w:t>
                            </w:r>
                            <w:r>
                              <w:rPr>
                                <w:spacing w:val="-14"/>
                              </w:rPr>
                              <w:t> </w:t>
                            </w:r>
                            <w:r>
                              <w:rPr/>
                              <w:t>en</w:t>
                            </w:r>
                            <w:r>
                              <w:rPr>
                                <w:spacing w:val="-14"/>
                              </w:rPr>
                              <w:t> </w:t>
                            </w:r>
                            <w:r>
                              <w:rPr/>
                              <w:t>el</w:t>
                            </w:r>
                            <w:r>
                              <w:rPr>
                                <w:spacing w:val="-15"/>
                              </w:rPr>
                              <w:t> </w:t>
                            </w:r>
                            <w:r>
                              <w:rPr/>
                              <w:t>extranjero</w:t>
                            </w:r>
                            <w:r>
                              <w:rPr>
                                <w:spacing w:val="-16"/>
                              </w:rPr>
                              <w:t> </w:t>
                            </w:r>
                            <w:r>
                              <w:rPr/>
                              <w:t>que</w:t>
                            </w:r>
                            <w:r>
                              <w:rPr>
                                <w:spacing w:val="-14"/>
                              </w:rPr>
                              <w:t> </w:t>
                            </w:r>
                            <w:r>
                              <w:rPr/>
                              <w:t>requieran</w:t>
                            </w:r>
                            <w:r>
                              <w:rPr>
                                <w:spacing w:val="-14"/>
                              </w:rPr>
                              <w:t> </w:t>
                            </w:r>
                            <w:r>
                              <w:rPr/>
                              <w:t>procesos</w:t>
                            </w:r>
                            <w:r>
                              <w:rPr>
                                <w:spacing w:val="-14"/>
                              </w:rPr>
                              <w:t> </w:t>
                            </w:r>
                            <w:r>
                              <w:rPr/>
                              <w:t>de</w:t>
                            </w:r>
                            <w:r>
                              <w:rPr>
                                <w:spacing w:val="-14"/>
                              </w:rPr>
                              <w:t> </w:t>
                            </w:r>
                            <w:r>
                              <w:rPr/>
                              <w:t>conversión</w:t>
                            </w:r>
                            <w:r>
                              <w:rPr>
                                <w:spacing w:val="-14"/>
                              </w:rPr>
                              <w:t> </w:t>
                            </w:r>
                            <w:r>
                              <w:rPr/>
                              <w:t>o</w:t>
                            </w:r>
                            <w:r>
                              <w:rPr>
                                <w:spacing w:val="-14"/>
                              </w:rPr>
                              <w:t> </w:t>
                            </w:r>
                            <w:r>
                              <w:rPr/>
                              <w:t>consolidación.</w:t>
                            </w:r>
                          </w:p>
                          <w:p>
                            <w:pPr>
                              <w:pStyle w:val="BodyText"/>
                              <w:spacing w:line="259" w:lineRule="auto" w:before="124"/>
                              <w:ind w:left="103" w:right="105"/>
                              <w:jc w:val="both"/>
                            </w:pPr>
                            <w:r>
                              <w:rPr/>
                              <w:t>El</w:t>
                            </w:r>
                            <w:r>
                              <w:rPr>
                                <w:spacing w:val="-1"/>
                              </w:rPr>
                              <w:t> </w:t>
                            </w:r>
                            <w:r>
                              <w:rPr/>
                              <w:t>detalle</w:t>
                            </w:r>
                            <w:r>
                              <w:rPr>
                                <w:spacing w:val="-2"/>
                              </w:rPr>
                              <w:t> </w:t>
                            </w:r>
                            <w:r>
                              <w:rPr/>
                              <w:t>ampliado de</w:t>
                            </w:r>
                            <w:r>
                              <w:rPr>
                                <w:spacing w:val="-2"/>
                              </w:rPr>
                              <w:t> </w:t>
                            </w:r>
                            <w:r>
                              <w:rPr/>
                              <w:t>los efectos</w:t>
                            </w:r>
                            <w:r>
                              <w:rPr>
                                <w:spacing w:val="-1"/>
                              </w:rPr>
                              <w:t> </w:t>
                            </w:r>
                            <w:r>
                              <w:rPr/>
                              <w:t>derivados de</w:t>
                            </w:r>
                            <w:r>
                              <w:rPr>
                                <w:spacing w:val="-2"/>
                              </w:rPr>
                              <w:t> </w:t>
                            </w:r>
                            <w:r>
                              <w:rPr/>
                              <w:t>la</w:t>
                            </w:r>
                            <w:r>
                              <w:rPr>
                                <w:spacing w:val="-1"/>
                              </w:rPr>
                              <w:t> </w:t>
                            </w:r>
                            <w:r>
                              <w:rPr/>
                              <w:t>aplicación de</w:t>
                            </w:r>
                            <w:r>
                              <w:rPr>
                                <w:spacing w:val="-2"/>
                              </w:rPr>
                              <w:t> </w:t>
                            </w:r>
                            <w:r>
                              <w:rPr/>
                              <w:t>estas políticas, así</w:t>
                            </w:r>
                            <w:r>
                              <w:rPr>
                                <w:spacing w:val="-1"/>
                              </w:rPr>
                              <w:t> </w:t>
                            </w:r>
                            <w:r>
                              <w:rPr/>
                              <w:t>como</w:t>
                            </w:r>
                            <w:r>
                              <w:rPr>
                                <w:spacing w:val="-2"/>
                              </w:rPr>
                              <w:t> </w:t>
                            </w:r>
                            <w:r>
                              <w:rPr/>
                              <w:t>su impacto en los resultados del periodo, se revela en las notas 52 y 74 de los presentes Estados Financieros.</w:t>
                            </w:r>
                          </w:p>
                        </w:txbxContent>
                      </wps:txbx>
                      <wps:bodyPr wrap="square" lIns="0" tIns="0" rIns="0" bIns="0" rtlCol="0">
                        <a:noAutofit/>
                      </wps:bodyPr>
                    </wps:wsp>
                  </a:graphicData>
                </a:graphic>
              </wp:anchor>
            </w:drawing>
          </mc:Choice>
          <mc:Fallback>
            <w:pict>
              <v:shape style="position:absolute;margin-left:85.344002pt;margin-top:11.11375pt;width:441.5pt;height:196.95pt;mso-position-horizontal-relative:page;mso-position-vertical-relative:paragraph;z-index:-15711232;mso-wrap-distance-left:0;mso-wrap-distance-right:0" type="#_x0000_t202" id="docshape85" filled="false" stroked="true" strokeweight=".47998pt" strokecolor="#000000">
                <v:textbox inset="0,0,0,0">
                  <w:txbxContent>
                    <w:p>
                      <w:pPr>
                        <w:pStyle w:val="BodyText"/>
                        <w:numPr>
                          <w:ilvl w:val="0"/>
                          <w:numId w:val="21"/>
                        </w:numPr>
                        <w:tabs>
                          <w:tab w:pos="703" w:val="left" w:leader="none"/>
                          <w:tab w:pos="705" w:val="left" w:leader="none"/>
                        </w:tabs>
                        <w:spacing w:line="276" w:lineRule="auto" w:before="0" w:after="0"/>
                        <w:ind w:left="705" w:right="98" w:hanging="284"/>
                        <w:jc w:val="both"/>
                      </w:pPr>
                      <w:r>
                        <w:rPr/>
                        <w:t>Las partidas no monetarias en moneda extranjera se mantienen al tipo de cambio histórico de la fecha de la transacción. En caso de que estas partidas sean medidas al valor razonable, su</w:t>
                      </w:r>
                      <w:r>
                        <w:rPr>
                          <w:spacing w:val="-10"/>
                        </w:rPr>
                        <w:t> </w:t>
                      </w:r>
                      <w:r>
                        <w:rPr/>
                        <w:t>conversión</w:t>
                      </w:r>
                      <w:r>
                        <w:rPr>
                          <w:spacing w:val="-12"/>
                        </w:rPr>
                        <w:t> </w:t>
                      </w:r>
                      <w:r>
                        <w:rPr/>
                        <w:t>a</w:t>
                      </w:r>
                      <w:r>
                        <w:rPr>
                          <w:spacing w:val="-10"/>
                        </w:rPr>
                        <w:t> </w:t>
                      </w:r>
                      <w:r>
                        <w:rPr/>
                        <w:t>la</w:t>
                      </w:r>
                      <w:r>
                        <w:rPr>
                          <w:spacing w:val="-13"/>
                        </w:rPr>
                        <w:t> </w:t>
                      </w:r>
                      <w:r>
                        <w:rPr/>
                        <w:t>moneda</w:t>
                      </w:r>
                      <w:r>
                        <w:rPr>
                          <w:spacing w:val="-11"/>
                        </w:rPr>
                        <w:t> </w:t>
                      </w:r>
                      <w:r>
                        <w:rPr/>
                        <w:t>funcional</w:t>
                      </w:r>
                      <w:r>
                        <w:rPr>
                          <w:spacing w:val="-13"/>
                        </w:rPr>
                        <w:t> </w:t>
                      </w:r>
                      <w:r>
                        <w:rPr/>
                        <w:t>se</w:t>
                      </w:r>
                      <w:r>
                        <w:rPr>
                          <w:spacing w:val="-11"/>
                        </w:rPr>
                        <w:t> </w:t>
                      </w:r>
                      <w:r>
                        <w:rPr/>
                        <w:t>realiza</w:t>
                      </w:r>
                      <w:r>
                        <w:rPr>
                          <w:spacing w:val="-10"/>
                        </w:rPr>
                        <w:t> </w:t>
                      </w:r>
                      <w:r>
                        <w:rPr/>
                        <w:t>utilizando</w:t>
                      </w:r>
                      <w:r>
                        <w:rPr>
                          <w:spacing w:val="-11"/>
                        </w:rPr>
                        <w:t> </w:t>
                      </w:r>
                      <w:r>
                        <w:rPr/>
                        <w:t>el</w:t>
                      </w:r>
                      <w:r>
                        <w:rPr>
                          <w:spacing w:val="-10"/>
                        </w:rPr>
                        <w:t> </w:t>
                      </w:r>
                      <w:r>
                        <w:rPr/>
                        <w:t>tipo</w:t>
                      </w:r>
                      <w:r>
                        <w:rPr>
                          <w:spacing w:val="-9"/>
                        </w:rPr>
                        <w:t> </w:t>
                      </w:r>
                      <w:r>
                        <w:rPr/>
                        <w:t>de</w:t>
                      </w:r>
                      <w:r>
                        <w:rPr>
                          <w:spacing w:val="-11"/>
                        </w:rPr>
                        <w:t> </w:t>
                      </w:r>
                      <w:r>
                        <w:rPr/>
                        <w:t>cambio</w:t>
                      </w:r>
                      <w:r>
                        <w:rPr>
                          <w:spacing w:val="-12"/>
                        </w:rPr>
                        <w:t> </w:t>
                      </w:r>
                      <w:r>
                        <w:rPr/>
                        <w:t>vigente</w:t>
                      </w:r>
                      <w:r>
                        <w:rPr>
                          <w:spacing w:val="-11"/>
                        </w:rPr>
                        <w:t> </w:t>
                      </w:r>
                      <w:r>
                        <w:rPr/>
                        <w:t>en</w:t>
                      </w:r>
                      <w:r>
                        <w:rPr>
                          <w:spacing w:val="-9"/>
                        </w:rPr>
                        <w:t> </w:t>
                      </w:r>
                      <w:r>
                        <w:rPr/>
                        <w:t>la</w:t>
                      </w:r>
                      <w:r>
                        <w:rPr>
                          <w:spacing w:val="-11"/>
                        </w:rPr>
                        <w:t> </w:t>
                      </w:r>
                      <w:r>
                        <w:rPr/>
                        <w:t>fecha en que dicho valor fue determinado.</w:t>
                      </w:r>
                    </w:p>
                    <w:p>
                      <w:pPr>
                        <w:pStyle w:val="BodyText"/>
                        <w:numPr>
                          <w:ilvl w:val="0"/>
                          <w:numId w:val="21"/>
                        </w:numPr>
                        <w:tabs>
                          <w:tab w:pos="703" w:val="left" w:leader="none"/>
                          <w:tab w:pos="705" w:val="left" w:leader="none"/>
                        </w:tabs>
                        <w:spacing w:line="271" w:lineRule="auto" w:before="0" w:after="0"/>
                        <w:ind w:left="705" w:right="108" w:hanging="284"/>
                        <w:jc w:val="both"/>
                      </w:pPr>
                      <w:r>
                        <w:rPr/>
                        <w:t>La entidad reconoce todas las diferencias de cambio generadas, tanto en el reconocimiento inicial como en la reconversión al cierre de cada periodo, en los resultados del ejercicio.</w:t>
                      </w:r>
                    </w:p>
                    <w:p>
                      <w:pPr>
                        <w:pStyle w:val="BodyText"/>
                        <w:numPr>
                          <w:ilvl w:val="0"/>
                          <w:numId w:val="21"/>
                        </w:numPr>
                        <w:tabs>
                          <w:tab w:pos="703" w:val="left" w:leader="none"/>
                          <w:tab w:pos="705" w:val="left" w:leader="none"/>
                        </w:tabs>
                        <w:spacing w:line="271" w:lineRule="auto" w:before="6" w:after="0"/>
                        <w:ind w:left="705" w:right="105" w:hanging="284"/>
                        <w:jc w:val="both"/>
                      </w:pPr>
                      <w:r>
                        <w:rPr/>
                        <w:t>No</w:t>
                      </w:r>
                      <w:r>
                        <w:rPr>
                          <w:spacing w:val="-5"/>
                        </w:rPr>
                        <w:t> </w:t>
                      </w:r>
                      <w:r>
                        <w:rPr/>
                        <w:t>se</w:t>
                      </w:r>
                      <w:r>
                        <w:rPr>
                          <w:spacing w:val="-2"/>
                        </w:rPr>
                        <w:t> </w:t>
                      </w:r>
                      <w:r>
                        <w:rPr/>
                        <w:t>aplican</w:t>
                      </w:r>
                      <w:r>
                        <w:rPr>
                          <w:spacing w:val="-3"/>
                        </w:rPr>
                        <w:t> </w:t>
                      </w:r>
                      <w:r>
                        <w:rPr/>
                        <w:t>disposiciones</w:t>
                      </w:r>
                      <w:r>
                        <w:rPr>
                          <w:spacing w:val="-5"/>
                        </w:rPr>
                        <w:t> </w:t>
                      </w:r>
                      <w:r>
                        <w:rPr/>
                        <w:t>relacionadas</w:t>
                      </w:r>
                      <w:r>
                        <w:rPr>
                          <w:spacing w:val="-2"/>
                        </w:rPr>
                        <w:t> </w:t>
                      </w:r>
                      <w:r>
                        <w:rPr/>
                        <w:t>con</w:t>
                      </w:r>
                      <w:r>
                        <w:rPr>
                          <w:spacing w:val="-3"/>
                        </w:rPr>
                        <w:t> </w:t>
                      </w:r>
                      <w:r>
                        <w:rPr/>
                        <w:t>economías</w:t>
                      </w:r>
                      <w:r>
                        <w:rPr>
                          <w:spacing w:val="-5"/>
                        </w:rPr>
                        <w:t> </w:t>
                      </w:r>
                      <w:r>
                        <w:rPr/>
                        <w:t>hiperinflacionarias,</w:t>
                      </w:r>
                      <w:r>
                        <w:rPr>
                          <w:spacing w:val="-3"/>
                        </w:rPr>
                        <w:t> </w:t>
                      </w:r>
                      <w:r>
                        <w:rPr/>
                        <w:t>dado</w:t>
                      </w:r>
                      <w:r>
                        <w:rPr>
                          <w:spacing w:val="-3"/>
                        </w:rPr>
                        <w:t> </w:t>
                      </w:r>
                      <w:r>
                        <w:rPr/>
                        <w:t>que</w:t>
                      </w:r>
                      <w:r>
                        <w:rPr>
                          <w:spacing w:val="-3"/>
                        </w:rPr>
                        <w:t> </w:t>
                      </w:r>
                      <w:r>
                        <w:rPr/>
                        <w:t>el</w:t>
                      </w:r>
                      <w:r>
                        <w:rPr>
                          <w:spacing w:val="-6"/>
                        </w:rPr>
                        <w:t> </w:t>
                      </w:r>
                      <w:r>
                        <w:rPr/>
                        <w:t>en-torno económico del país no presenta dichas condiciones.</w:t>
                      </w:r>
                    </w:p>
                    <w:p>
                      <w:pPr>
                        <w:pStyle w:val="BodyText"/>
                        <w:numPr>
                          <w:ilvl w:val="0"/>
                          <w:numId w:val="21"/>
                        </w:numPr>
                        <w:tabs>
                          <w:tab w:pos="703" w:val="left" w:leader="none"/>
                          <w:tab w:pos="705" w:val="left" w:leader="none"/>
                        </w:tabs>
                        <w:spacing w:line="273" w:lineRule="auto" w:before="6" w:after="0"/>
                        <w:ind w:left="705" w:right="103" w:hanging="284"/>
                        <w:jc w:val="both"/>
                      </w:pPr>
                      <w:r>
                        <w:rPr/>
                        <w:t>La entidad no emite Estados Financieros en una moneda distinta a su moneda funcional ni mantiene</w:t>
                      </w:r>
                      <w:r>
                        <w:rPr>
                          <w:spacing w:val="-14"/>
                        </w:rPr>
                        <w:t> </w:t>
                      </w:r>
                      <w:r>
                        <w:rPr/>
                        <w:t>operaciones</w:t>
                      </w:r>
                      <w:r>
                        <w:rPr>
                          <w:spacing w:val="-14"/>
                        </w:rPr>
                        <w:t> </w:t>
                      </w:r>
                      <w:r>
                        <w:rPr/>
                        <w:t>en</w:t>
                      </w:r>
                      <w:r>
                        <w:rPr>
                          <w:spacing w:val="-14"/>
                        </w:rPr>
                        <w:t> </w:t>
                      </w:r>
                      <w:r>
                        <w:rPr/>
                        <w:t>el</w:t>
                      </w:r>
                      <w:r>
                        <w:rPr>
                          <w:spacing w:val="-15"/>
                        </w:rPr>
                        <w:t> </w:t>
                      </w:r>
                      <w:r>
                        <w:rPr/>
                        <w:t>extranjero</w:t>
                      </w:r>
                      <w:r>
                        <w:rPr>
                          <w:spacing w:val="-16"/>
                        </w:rPr>
                        <w:t> </w:t>
                      </w:r>
                      <w:r>
                        <w:rPr/>
                        <w:t>que</w:t>
                      </w:r>
                      <w:r>
                        <w:rPr>
                          <w:spacing w:val="-14"/>
                        </w:rPr>
                        <w:t> </w:t>
                      </w:r>
                      <w:r>
                        <w:rPr/>
                        <w:t>requieran</w:t>
                      </w:r>
                      <w:r>
                        <w:rPr>
                          <w:spacing w:val="-14"/>
                        </w:rPr>
                        <w:t> </w:t>
                      </w:r>
                      <w:r>
                        <w:rPr/>
                        <w:t>procesos</w:t>
                      </w:r>
                      <w:r>
                        <w:rPr>
                          <w:spacing w:val="-14"/>
                        </w:rPr>
                        <w:t> </w:t>
                      </w:r>
                      <w:r>
                        <w:rPr/>
                        <w:t>de</w:t>
                      </w:r>
                      <w:r>
                        <w:rPr>
                          <w:spacing w:val="-14"/>
                        </w:rPr>
                        <w:t> </w:t>
                      </w:r>
                      <w:r>
                        <w:rPr/>
                        <w:t>conversión</w:t>
                      </w:r>
                      <w:r>
                        <w:rPr>
                          <w:spacing w:val="-14"/>
                        </w:rPr>
                        <w:t> </w:t>
                      </w:r>
                      <w:r>
                        <w:rPr/>
                        <w:t>o</w:t>
                      </w:r>
                      <w:r>
                        <w:rPr>
                          <w:spacing w:val="-14"/>
                        </w:rPr>
                        <w:t> </w:t>
                      </w:r>
                      <w:r>
                        <w:rPr/>
                        <w:t>consolidación.</w:t>
                      </w:r>
                    </w:p>
                    <w:p>
                      <w:pPr>
                        <w:pStyle w:val="BodyText"/>
                        <w:spacing w:line="259" w:lineRule="auto" w:before="124"/>
                        <w:ind w:left="103" w:right="105"/>
                        <w:jc w:val="both"/>
                      </w:pPr>
                      <w:r>
                        <w:rPr/>
                        <w:t>El</w:t>
                      </w:r>
                      <w:r>
                        <w:rPr>
                          <w:spacing w:val="-1"/>
                        </w:rPr>
                        <w:t> </w:t>
                      </w:r>
                      <w:r>
                        <w:rPr/>
                        <w:t>detalle</w:t>
                      </w:r>
                      <w:r>
                        <w:rPr>
                          <w:spacing w:val="-2"/>
                        </w:rPr>
                        <w:t> </w:t>
                      </w:r>
                      <w:r>
                        <w:rPr/>
                        <w:t>ampliado de</w:t>
                      </w:r>
                      <w:r>
                        <w:rPr>
                          <w:spacing w:val="-2"/>
                        </w:rPr>
                        <w:t> </w:t>
                      </w:r>
                      <w:r>
                        <w:rPr/>
                        <w:t>los efectos</w:t>
                      </w:r>
                      <w:r>
                        <w:rPr>
                          <w:spacing w:val="-1"/>
                        </w:rPr>
                        <w:t> </w:t>
                      </w:r>
                      <w:r>
                        <w:rPr/>
                        <w:t>derivados de</w:t>
                      </w:r>
                      <w:r>
                        <w:rPr>
                          <w:spacing w:val="-2"/>
                        </w:rPr>
                        <w:t> </w:t>
                      </w:r>
                      <w:r>
                        <w:rPr/>
                        <w:t>la</w:t>
                      </w:r>
                      <w:r>
                        <w:rPr>
                          <w:spacing w:val="-1"/>
                        </w:rPr>
                        <w:t> </w:t>
                      </w:r>
                      <w:r>
                        <w:rPr/>
                        <w:t>aplicación de</w:t>
                      </w:r>
                      <w:r>
                        <w:rPr>
                          <w:spacing w:val="-2"/>
                        </w:rPr>
                        <w:t> </w:t>
                      </w:r>
                      <w:r>
                        <w:rPr/>
                        <w:t>estas políticas, así</w:t>
                      </w:r>
                      <w:r>
                        <w:rPr>
                          <w:spacing w:val="-1"/>
                        </w:rPr>
                        <w:t> </w:t>
                      </w:r>
                      <w:r>
                        <w:rPr/>
                        <w:t>como</w:t>
                      </w:r>
                      <w:r>
                        <w:rPr>
                          <w:spacing w:val="-2"/>
                        </w:rPr>
                        <w:t> </w:t>
                      </w:r>
                      <w:r>
                        <w:rPr/>
                        <w:t>su impacto en los resultados del periodo, se revela en las notas 52 y 74 de los presentes Estados Financieros.</w:t>
                      </w:r>
                    </w:p>
                  </w:txbxContent>
                </v:textbox>
                <v:stroke dashstyle="solid"/>
                <w10:wrap type="topAndBottom"/>
              </v:shape>
            </w:pict>
          </mc:Fallback>
        </mc:AlternateContent>
      </w:r>
    </w:p>
    <w:p>
      <w:pPr>
        <w:pStyle w:val="BodyText"/>
        <w:spacing w:before="183"/>
      </w:pPr>
    </w:p>
    <w:p>
      <w:pPr>
        <w:pStyle w:val="Heading6"/>
        <w:numPr>
          <w:ilvl w:val="0"/>
          <w:numId w:val="13"/>
        </w:numPr>
        <w:tabs>
          <w:tab w:pos="1340" w:val="left" w:leader="none"/>
        </w:tabs>
        <w:spacing w:line="240" w:lineRule="auto" w:before="1" w:after="0"/>
        <w:ind w:left="1340" w:right="0" w:hanging="359"/>
        <w:jc w:val="left"/>
      </w:pPr>
      <w:bookmarkStart w:name="_bookmark13" w:id="14"/>
      <w:bookmarkEnd w:id="14"/>
      <w:r>
        <w:rPr>
          <w:b w:val="0"/>
        </w:rPr>
      </w:r>
      <w:r>
        <w:rPr>
          <w:color w:val="1F3762"/>
          <w:spacing w:val="-2"/>
        </w:rPr>
        <w:t>Arrendamientos.</w:t>
      </w:r>
    </w:p>
    <w:p>
      <w:pPr>
        <w:spacing w:before="138"/>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before="21" w:after="1"/>
        <w:rPr>
          <w:sz w:val="20"/>
        </w:rPr>
      </w:pPr>
    </w:p>
    <w:tbl>
      <w:tblPr>
        <w:tblW w:w="0" w:type="auto"/>
        <w:jc w:val="left"/>
        <w:tblInd w:w="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96"/>
        <w:gridCol w:w="1738"/>
      </w:tblGrid>
      <w:tr>
        <w:trPr>
          <w:trHeight w:val="278" w:hRule="atLeast"/>
        </w:trPr>
        <w:tc>
          <w:tcPr>
            <w:tcW w:w="4134" w:type="dxa"/>
            <w:gridSpan w:val="2"/>
            <w:tcBorders>
              <w:top w:val="nil"/>
              <w:left w:val="nil"/>
              <w:right w:val="nil"/>
            </w:tcBorders>
          </w:tcPr>
          <w:p>
            <w:pPr>
              <w:pStyle w:val="TableParagraph"/>
              <w:spacing w:line="223" w:lineRule="exact"/>
              <w:ind w:left="79"/>
              <w:rPr>
                <w:sz w:val="22"/>
              </w:rPr>
            </w:pPr>
            <w:r>
              <w:rPr>
                <w:color w:val="1F3863"/>
                <w:sz w:val="22"/>
              </w:rPr>
              <w:t>NICSP</w:t>
            </w:r>
            <w:r>
              <w:rPr>
                <w:color w:val="1F3863"/>
                <w:spacing w:val="-3"/>
                <w:sz w:val="22"/>
              </w:rPr>
              <w:t> </w:t>
            </w:r>
            <w:r>
              <w:rPr>
                <w:color w:val="1F3863"/>
                <w:spacing w:val="-5"/>
                <w:sz w:val="22"/>
              </w:rPr>
              <w:t>13</w:t>
            </w:r>
          </w:p>
        </w:tc>
      </w:tr>
      <w:tr>
        <w:trPr>
          <w:trHeight w:val="344" w:hRule="atLeast"/>
        </w:trPr>
        <w:tc>
          <w:tcPr>
            <w:tcW w:w="2396" w:type="dxa"/>
            <w:shd w:val="clear" w:color="auto" w:fill="17365D"/>
          </w:tcPr>
          <w:p>
            <w:pPr>
              <w:pStyle w:val="TableParagraph"/>
              <w:spacing w:before="45"/>
              <w:ind w:left="69"/>
              <w:rPr>
                <w:sz w:val="22"/>
              </w:rPr>
            </w:pPr>
            <w:r>
              <w:rPr>
                <w:color w:val="FFFFFF"/>
                <w:spacing w:val="-2"/>
                <w:sz w:val="22"/>
              </w:rPr>
              <w:t>Aplica</w:t>
            </w:r>
          </w:p>
        </w:tc>
        <w:tc>
          <w:tcPr>
            <w:tcW w:w="1738" w:type="dxa"/>
            <w:tcBorders>
              <w:top w:val="single" w:sz="4" w:space="0" w:color="000000"/>
              <w:bottom w:val="single" w:sz="4" w:space="0" w:color="000000"/>
              <w:right w:val="single" w:sz="4" w:space="0" w:color="000000"/>
            </w:tcBorders>
          </w:tcPr>
          <w:p>
            <w:pPr>
              <w:pStyle w:val="TableParagraph"/>
              <w:spacing w:line="231" w:lineRule="exact" w:before="93"/>
              <w:ind w:left="11" w:right="1"/>
              <w:jc w:val="center"/>
              <w:rPr>
                <w:sz w:val="22"/>
              </w:rPr>
            </w:pPr>
            <w:r>
              <w:rPr>
                <w:spacing w:val="-5"/>
                <w:sz w:val="22"/>
              </w:rPr>
              <w:t>Si</w:t>
            </w:r>
          </w:p>
        </w:tc>
      </w:tr>
      <w:tr>
        <w:trPr>
          <w:trHeight w:val="347" w:hRule="atLeast"/>
        </w:trPr>
        <w:tc>
          <w:tcPr>
            <w:tcW w:w="2396" w:type="dxa"/>
            <w:shd w:val="clear" w:color="auto" w:fill="17365D"/>
          </w:tcPr>
          <w:p>
            <w:pPr>
              <w:pStyle w:val="TableParagraph"/>
              <w:spacing w:before="48"/>
              <w:ind w:left="69"/>
              <w:rPr>
                <w:sz w:val="22"/>
              </w:rPr>
            </w:pPr>
            <w:r>
              <w:rPr>
                <w:color w:val="FFFFFF"/>
                <w:sz w:val="22"/>
              </w:rPr>
              <w:t>Porcentaje</w:t>
            </w:r>
            <w:r>
              <w:rPr>
                <w:color w:val="FFFFFF"/>
                <w:spacing w:val="-8"/>
                <w:sz w:val="22"/>
              </w:rPr>
              <w:t> </w:t>
            </w:r>
            <w:r>
              <w:rPr>
                <w:color w:val="FFFFFF"/>
                <w:spacing w:val="-2"/>
                <w:sz w:val="22"/>
              </w:rPr>
              <w:t>Avance</w:t>
            </w:r>
          </w:p>
        </w:tc>
        <w:tc>
          <w:tcPr>
            <w:tcW w:w="1738" w:type="dxa"/>
            <w:tcBorders>
              <w:top w:val="single" w:sz="4" w:space="0" w:color="000000"/>
              <w:bottom w:val="single" w:sz="4" w:space="0" w:color="000000"/>
              <w:right w:val="single" w:sz="4" w:space="0" w:color="000000"/>
            </w:tcBorders>
          </w:tcPr>
          <w:p>
            <w:pPr>
              <w:pStyle w:val="TableParagraph"/>
              <w:spacing w:line="233" w:lineRule="exact" w:before="94"/>
              <w:ind w:left="11"/>
              <w:jc w:val="center"/>
              <w:rPr>
                <w:sz w:val="22"/>
              </w:rPr>
            </w:pPr>
            <w:r>
              <w:rPr>
                <w:spacing w:val="-2"/>
                <w:sz w:val="22"/>
              </w:rPr>
              <w:t>100,00%</w:t>
            </w:r>
          </w:p>
        </w:tc>
      </w:tr>
    </w:tbl>
    <w:p>
      <w:pPr>
        <w:pStyle w:val="BodyText"/>
        <w:spacing w:before="170"/>
      </w:pPr>
    </w:p>
    <w:p>
      <w:pPr>
        <w:pStyle w:val="BodyText"/>
        <w:spacing w:line="259" w:lineRule="auto"/>
        <w:ind w:left="734" w:right="1087"/>
        <w:jc w:val="both"/>
      </w:pPr>
      <w:r>
        <w:rPr/>
        <w:t>La entidad reconoce como arrendamiento todo acuerdo contractual mediante el cual una de las partes concede a otra, a cambio de una contraprestación económica, el derecho a utilizar un activo especifico durante un plazo determinado, bajo condiciones previamente pactadas. Este tipo de contratos se contabiliza atendiendo a lo dispuesto en la NICSP 13.</w:t>
      </w:r>
    </w:p>
    <w:p>
      <w:pPr>
        <w:pStyle w:val="BodyText"/>
        <w:spacing w:before="19"/>
      </w:pPr>
    </w:p>
    <w:p>
      <w:pPr>
        <w:pStyle w:val="BodyText"/>
        <w:spacing w:line="259" w:lineRule="auto"/>
        <w:ind w:left="734" w:right="1089"/>
        <w:jc w:val="both"/>
      </w:pPr>
      <w:r>
        <w:rPr/>
        <w:t>Los</w:t>
      </w:r>
      <w:r>
        <w:rPr>
          <w:spacing w:val="-1"/>
        </w:rPr>
        <w:t> </w:t>
      </w:r>
      <w:r>
        <w:rPr/>
        <w:t>arrendamientos</w:t>
      </w:r>
      <w:r>
        <w:rPr>
          <w:spacing w:val="-1"/>
        </w:rPr>
        <w:t> </w:t>
      </w:r>
      <w:r>
        <w:rPr/>
        <w:t>pueden</w:t>
      </w:r>
      <w:r>
        <w:rPr>
          <w:spacing w:val="-2"/>
        </w:rPr>
        <w:t> </w:t>
      </w:r>
      <w:r>
        <w:rPr/>
        <w:t>analizarse</w:t>
      </w:r>
      <w:r>
        <w:rPr>
          <w:spacing w:val="-2"/>
        </w:rPr>
        <w:t> </w:t>
      </w:r>
      <w:r>
        <w:rPr/>
        <w:t>desde</w:t>
      </w:r>
      <w:r>
        <w:rPr>
          <w:spacing w:val="-4"/>
        </w:rPr>
        <w:t> </w:t>
      </w:r>
      <w:r>
        <w:rPr/>
        <w:t>dos</w:t>
      </w:r>
      <w:r>
        <w:rPr>
          <w:spacing w:val="-1"/>
        </w:rPr>
        <w:t> </w:t>
      </w:r>
      <w:r>
        <w:rPr/>
        <w:t>perspectivas:</w:t>
      </w:r>
      <w:r>
        <w:rPr>
          <w:spacing w:val="-3"/>
        </w:rPr>
        <w:t> </w:t>
      </w:r>
      <w:r>
        <w:rPr/>
        <w:t>la</w:t>
      </w:r>
      <w:r>
        <w:rPr>
          <w:spacing w:val="-4"/>
        </w:rPr>
        <w:t> </w:t>
      </w:r>
      <w:r>
        <w:rPr/>
        <w:t>del</w:t>
      </w:r>
      <w:r>
        <w:rPr>
          <w:spacing w:val="-2"/>
        </w:rPr>
        <w:t> </w:t>
      </w:r>
      <w:r>
        <w:rPr/>
        <w:t>arrendador,</w:t>
      </w:r>
      <w:r>
        <w:rPr>
          <w:spacing w:val="-2"/>
        </w:rPr>
        <w:t> </w:t>
      </w:r>
      <w:r>
        <w:rPr/>
        <w:t>quien</w:t>
      </w:r>
      <w:r>
        <w:rPr>
          <w:spacing w:val="-2"/>
        </w:rPr>
        <w:t> </w:t>
      </w:r>
      <w:r>
        <w:rPr/>
        <w:t>conserva</w:t>
      </w:r>
      <w:r>
        <w:rPr>
          <w:spacing w:val="-3"/>
        </w:rPr>
        <w:t> </w:t>
      </w:r>
      <w:r>
        <w:rPr/>
        <w:t>la propiedad del bien y cede su uso, y la del arrendatario, quien obtiene el derecho de utilización del activo. Asimismo, de acuerdo con su sustancia económica, los arrendamientos se clasifican en financieros u operativos, distinción que resulta determinante para su tratamiento contable.</w:t>
      </w:r>
    </w:p>
    <w:p>
      <w:pPr>
        <w:pStyle w:val="BodyText"/>
        <w:spacing w:before="19"/>
      </w:pPr>
    </w:p>
    <w:p>
      <w:pPr>
        <w:pStyle w:val="BodyText"/>
        <w:spacing w:line="259" w:lineRule="auto"/>
        <w:ind w:left="734" w:right="1089"/>
        <w:jc w:val="both"/>
      </w:pPr>
      <w:r>
        <w:rPr/>
        <w:t>De conformidad con el marco legal y las funciones institucionales, la entidad no participa ni tiene autorización</w:t>
      </w:r>
      <w:r>
        <w:rPr>
          <w:spacing w:val="-14"/>
        </w:rPr>
        <w:t> </w:t>
      </w:r>
      <w:r>
        <w:rPr/>
        <w:t>para</w:t>
      </w:r>
      <w:r>
        <w:rPr>
          <w:spacing w:val="-14"/>
        </w:rPr>
        <w:t> </w:t>
      </w:r>
      <w:r>
        <w:rPr/>
        <w:t>operar</w:t>
      </w:r>
      <w:r>
        <w:rPr>
          <w:spacing w:val="-14"/>
        </w:rPr>
        <w:t> </w:t>
      </w:r>
      <w:r>
        <w:rPr/>
        <w:t>en</w:t>
      </w:r>
      <w:r>
        <w:rPr>
          <w:spacing w:val="-13"/>
        </w:rPr>
        <w:t> </w:t>
      </w:r>
      <w:r>
        <w:rPr/>
        <w:t>calidad</w:t>
      </w:r>
      <w:r>
        <w:rPr>
          <w:spacing w:val="-14"/>
        </w:rPr>
        <w:t> </w:t>
      </w:r>
      <w:r>
        <w:rPr/>
        <w:t>de</w:t>
      </w:r>
      <w:r>
        <w:rPr>
          <w:spacing w:val="-14"/>
        </w:rPr>
        <w:t> </w:t>
      </w:r>
      <w:r>
        <w:rPr/>
        <w:t>arrendador;</w:t>
      </w:r>
      <w:r>
        <w:rPr>
          <w:spacing w:val="-14"/>
        </w:rPr>
        <w:t> </w:t>
      </w:r>
      <w:r>
        <w:rPr/>
        <w:t>por</w:t>
      </w:r>
      <w:r>
        <w:rPr>
          <w:spacing w:val="-13"/>
        </w:rPr>
        <w:t> </w:t>
      </w:r>
      <w:r>
        <w:rPr/>
        <w:t>tanto,</w:t>
      </w:r>
      <w:r>
        <w:rPr>
          <w:spacing w:val="-14"/>
        </w:rPr>
        <w:t> </w:t>
      </w:r>
      <w:r>
        <w:rPr/>
        <w:t>las</w:t>
      </w:r>
      <w:r>
        <w:rPr>
          <w:spacing w:val="-14"/>
        </w:rPr>
        <w:t> </w:t>
      </w:r>
      <w:r>
        <w:rPr/>
        <w:t>políticas</w:t>
      </w:r>
      <w:r>
        <w:rPr>
          <w:spacing w:val="-14"/>
        </w:rPr>
        <w:t> </w:t>
      </w:r>
      <w:r>
        <w:rPr/>
        <w:t>contables</w:t>
      </w:r>
      <w:r>
        <w:rPr>
          <w:spacing w:val="-13"/>
        </w:rPr>
        <w:t> </w:t>
      </w:r>
      <w:r>
        <w:rPr/>
        <w:t>asociadas</w:t>
      </w:r>
      <w:r>
        <w:rPr>
          <w:spacing w:val="-14"/>
        </w:rPr>
        <w:t> </w:t>
      </w:r>
      <w:r>
        <w:rPr/>
        <w:t>a</w:t>
      </w:r>
      <w:r>
        <w:rPr>
          <w:spacing w:val="-14"/>
        </w:rPr>
        <w:t> </w:t>
      </w:r>
      <w:r>
        <w:rPr/>
        <w:t>dicha condición no resultan aplicables. En consecuencia, esta nota se circunscribe exclusivamente al tratamiento de los arrendamientos desde la posición de arrendatario.</w:t>
      </w:r>
    </w:p>
    <w:p>
      <w:pPr>
        <w:pStyle w:val="BodyText"/>
        <w:spacing w:before="19"/>
      </w:pPr>
    </w:p>
    <w:p>
      <w:pPr>
        <w:pStyle w:val="BodyText"/>
        <w:spacing w:line="259" w:lineRule="auto"/>
        <w:ind w:left="734" w:right="1089"/>
        <w:jc w:val="both"/>
      </w:pPr>
      <w:r>
        <w:rPr/>
        <w:t>No se cuenta con arrendamientos como arrendador. Todos los arrendamientos son como arrendatarios, clasificados como arrendamientos operativos, por cuanto no se evidencia la transferencia</w:t>
      </w:r>
      <w:r>
        <w:rPr>
          <w:spacing w:val="-1"/>
        </w:rPr>
        <w:t> </w:t>
      </w:r>
      <w:r>
        <w:rPr/>
        <w:t>sustancial de los riesgos y</w:t>
      </w:r>
      <w:r>
        <w:rPr>
          <w:spacing w:val="-1"/>
        </w:rPr>
        <w:t> </w:t>
      </w:r>
      <w:r>
        <w:rPr/>
        <w:t>ventajas asociados a la propiedad del activo.</w:t>
      </w:r>
      <w:r>
        <w:rPr>
          <w:spacing w:val="-1"/>
        </w:rPr>
        <w:t> </w:t>
      </w:r>
      <w:r>
        <w:rPr/>
        <w:t>En estos casos, el contrato concede únicamente un derecho de uso temporal, manteniéndose la propiedad y los riesgos</w:t>
      </w:r>
      <w:r>
        <w:rPr>
          <w:spacing w:val="-5"/>
        </w:rPr>
        <w:t> </w:t>
      </w:r>
      <w:r>
        <w:rPr/>
        <w:t>relevantes</w:t>
      </w:r>
      <w:r>
        <w:rPr>
          <w:spacing w:val="-4"/>
        </w:rPr>
        <w:t> </w:t>
      </w:r>
      <w:r>
        <w:rPr/>
        <w:t>en</w:t>
      </w:r>
      <w:r>
        <w:rPr>
          <w:spacing w:val="-3"/>
        </w:rPr>
        <w:t> </w:t>
      </w:r>
      <w:r>
        <w:rPr/>
        <w:t>cabeza</w:t>
      </w:r>
      <w:r>
        <w:rPr>
          <w:spacing w:val="-4"/>
        </w:rPr>
        <w:t> </w:t>
      </w:r>
      <w:r>
        <w:rPr/>
        <w:t>del</w:t>
      </w:r>
      <w:r>
        <w:rPr>
          <w:spacing w:val="-3"/>
        </w:rPr>
        <w:t> </w:t>
      </w:r>
      <w:r>
        <w:rPr/>
        <w:t>arrendador.</w:t>
      </w:r>
      <w:r>
        <w:rPr>
          <w:spacing w:val="-5"/>
        </w:rPr>
        <w:t> </w:t>
      </w:r>
      <w:r>
        <w:rPr/>
        <w:t>Los</w:t>
      </w:r>
      <w:r>
        <w:rPr>
          <w:spacing w:val="-2"/>
        </w:rPr>
        <w:t> </w:t>
      </w:r>
      <w:r>
        <w:rPr/>
        <w:t>arrendamientos</w:t>
      </w:r>
      <w:r>
        <w:rPr>
          <w:spacing w:val="-3"/>
        </w:rPr>
        <w:t> </w:t>
      </w:r>
      <w:r>
        <w:rPr/>
        <w:t>de</w:t>
      </w:r>
      <w:r>
        <w:rPr>
          <w:spacing w:val="-5"/>
        </w:rPr>
        <w:t> </w:t>
      </w:r>
      <w:r>
        <w:rPr/>
        <w:t>terrenos</w:t>
      </w:r>
      <w:r>
        <w:rPr>
          <w:spacing w:val="-3"/>
        </w:rPr>
        <w:t> </w:t>
      </w:r>
      <w:r>
        <w:rPr/>
        <w:t>y</w:t>
      </w:r>
      <w:r>
        <w:rPr>
          <w:spacing w:val="-5"/>
        </w:rPr>
        <w:t> </w:t>
      </w:r>
      <w:r>
        <w:rPr/>
        <w:t>edificios,</w:t>
      </w:r>
      <w:r>
        <w:rPr>
          <w:spacing w:val="-3"/>
        </w:rPr>
        <w:t> </w:t>
      </w:r>
      <w:r>
        <w:rPr/>
        <w:t>cuando</w:t>
      </w:r>
      <w:r>
        <w:rPr>
          <w:spacing w:val="-5"/>
        </w:rPr>
        <w:t> no</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3680">
                <wp:simplePos x="0" y="0"/>
                <wp:positionH relativeFrom="page">
                  <wp:posOffset>9525</wp:posOffset>
                </wp:positionH>
                <wp:positionV relativeFrom="page">
                  <wp:posOffset>297208</wp:posOffset>
                </wp:positionV>
                <wp:extent cx="7762875" cy="974852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762875" cy="9748520"/>
                          <a:chExt cx="7762875" cy="9748520"/>
                        </a:xfrm>
                      </wpg:grpSpPr>
                      <pic:pic>
                        <pic:nvPicPr>
                          <pic:cNvPr id="88" name="Image 88"/>
                          <pic:cNvPicPr/>
                        </pic:nvPicPr>
                        <pic:blipFill>
                          <a:blip r:embed="rId5" cstate="print"/>
                          <a:stretch>
                            <a:fillRect/>
                          </a:stretch>
                        </pic:blipFill>
                        <pic:spPr>
                          <a:xfrm>
                            <a:off x="0" y="0"/>
                            <a:ext cx="7762874" cy="9748489"/>
                          </a:xfrm>
                          <a:prstGeom prst="rect">
                            <a:avLst/>
                          </a:prstGeom>
                        </pic:spPr>
                      </pic:pic>
                      <wps:wsp>
                        <wps:cNvPr id="89" name="Graphic 89"/>
                        <wps:cNvSpPr/>
                        <wps:spPr>
                          <a:xfrm>
                            <a:off x="1053007" y="990837"/>
                            <a:ext cx="5649595" cy="4783455"/>
                          </a:xfrm>
                          <a:custGeom>
                            <a:avLst/>
                            <a:gdLst/>
                            <a:ahLst/>
                            <a:cxnLst/>
                            <a:rect l="l" t="t" r="r" b="b"/>
                            <a:pathLst>
                              <a:path w="5649595" h="4783455">
                                <a:moveTo>
                                  <a:pt x="5630862" y="126479"/>
                                </a:moveTo>
                                <a:lnTo>
                                  <a:pt x="5624830" y="126479"/>
                                </a:lnTo>
                                <a:lnTo>
                                  <a:pt x="5624779" y="132575"/>
                                </a:lnTo>
                                <a:lnTo>
                                  <a:pt x="5624779" y="4776838"/>
                                </a:lnTo>
                                <a:lnTo>
                                  <a:pt x="24384" y="4776838"/>
                                </a:lnTo>
                                <a:lnTo>
                                  <a:pt x="24384" y="132575"/>
                                </a:lnTo>
                                <a:lnTo>
                                  <a:pt x="5624779" y="132575"/>
                                </a:lnTo>
                                <a:lnTo>
                                  <a:pt x="5624779" y="126479"/>
                                </a:lnTo>
                                <a:lnTo>
                                  <a:pt x="24384" y="126479"/>
                                </a:lnTo>
                                <a:lnTo>
                                  <a:pt x="18288" y="126479"/>
                                </a:lnTo>
                                <a:lnTo>
                                  <a:pt x="18288" y="132575"/>
                                </a:lnTo>
                                <a:lnTo>
                                  <a:pt x="18288" y="4776838"/>
                                </a:lnTo>
                                <a:lnTo>
                                  <a:pt x="18288" y="4782934"/>
                                </a:lnTo>
                                <a:lnTo>
                                  <a:pt x="24384" y="4782934"/>
                                </a:lnTo>
                                <a:lnTo>
                                  <a:pt x="5624779" y="4782934"/>
                                </a:lnTo>
                                <a:lnTo>
                                  <a:pt x="5630862" y="4782934"/>
                                </a:lnTo>
                                <a:lnTo>
                                  <a:pt x="5630862" y="4776838"/>
                                </a:lnTo>
                                <a:lnTo>
                                  <a:pt x="5630862" y="132575"/>
                                </a:lnTo>
                                <a:lnTo>
                                  <a:pt x="5630862" y="126479"/>
                                </a:lnTo>
                                <a:close/>
                              </a:path>
                              <a:path w="5649595" h="478345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2800" id="docshapegroup86" coordorigin="15,468" coordsize="12225,15352">
                <v:shape style="position:absolute;left:15;top:468;width:12225;height:15352" type="#_x0000_t75" id="docshape87" stroked="false">
                  <v:imagedata r:id="rId5" o:title=""/>
                </v:shape>
                <v:shape style="position:absolute;left:1673;top:2028;width:8897;height:7533" id="docshape88" coordorigin="1673,2028" coordsize="8897,7533" path="m10541,2228l10531,2228,10531,2228,10531,2237,10531,9551,1712,9551,1712,2237,10531,2237,10531,2228,1712,2228,1702,2228,1702,2237,1702,9551,1702,9561,1712,9561,10531,9561,10531,9561,10541,9561,10541,9551,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25</w:t>
      </w:r>
    </w:p>
    <w:p>
      <w:pPr>
        <w:pStyle w:val="BodyText"/>
        <w:spacing w:line="259" w:lineRule="auto" w:before="227"/>
        <w:ind w:left="734" w:right="1092"/>
        <w:jc w:val="both"/>
      </w:pPr>
      <w:r>
        <w:rPr/>
        <w:t>contemplan opción de compra ni transferencia de la propiedad al término del contrato, se consideran, por regla general, arrendamientos operativos, dada la naturaleza indefinida de su vida </w:t>
      </w:r>
      <w:r>
        <w:rPr>
          <w:spacing w:val="-2"/>
        </w:rPr>
        <w:t>económica.</w:t>
      </w:r>
    </w:p>
    <w:p>
      <w:pPr>
        <w:pStyle w:val="BodyText"/>
        <w:spacing w:before="21"/>
      </w:pPr>
    </w:p>
    <w:p>
      <w:pPr>
        <w:pStyle w:val="BodyText"/>
        <w:spacing w:line="259" w:lineRule="auto"/>
        <w:ind w:left="734" w:right="1089"/>
        <w:jc w:val="both"/>
      </w:pPr>
      <w:r>
        <w:rPr/>
        <w:t>El</w:t>
      </w:r>
      <w:r>
        <w:rPr>
          <w:spacing w:val="-13"/>
        </w:rPr>
        <w:t> </w:t>
      </w:r>
      <w:r>
        <w:rPr/>
        <w:t>reconocimiento</w:t>
      </w:r>
      <w:r>
        <w:rPr>
          <w:spacing w:val="-11"/>
        </w:rPr>
        <w:t> </w:t>
      </w:r>
      <w:r>
        <w:rPr/>
        <w:t>inicial</w:t>
      </w:r>
      <w:r>
        <w:rPr>
          <w:spacing w:val="-12"/>
        </w:rPr>
        <w:t> </w:t>
      </w:r>
      <w:r>
        <w:rPr/>
        <w:t>de</w:t>
      </w:r>
      <w:r>
        <w:rPr>
          <w:spacing w:val="-13"/>
        </w:rPr>
        <w:t> </w:t>
      </w:r>
      <w:r>
        <w:rPr/>
        <w:t>un</w:t>
      </w:r>
      <w:r>
        <w:rPr>
          <w:spacing w:val="-12"/>
        </w:rPr>
        <w:t> </w:t>
      </w:r>
      <w:r>
        <w:rPr/>
        <w:t>arrendamiento</w:t>
      </w:r>
      <w:r>
        <w:rPr>
          <w:spacing w:val="-11"/>
        </w:rPr>
        <w:t> </w:t>
      </w:r>
      <w:r>
        <w:rPr/>
        <w:t>se</w:t>
      </w:r>
      <w:r>
        <w:rPr>
          <w:spacing w:val="-13"/>
        </w:rPr>
        <w:t> </w:t>
      </w:r>
      <w:r>
        <w:rPr/>
        <w:t>realiza</w:t>
      </w:r>
      <w:r>
        <w:rPr>
          <w:spacing w:val="-14"/>
        </w:rPr>
        <w:t> </w:t>
      </w:r>
      <w:r>
        <w:rPr/>
        <w:t>en</w:t>
      </w:r>
      <w:r>
        <w:rPr>
          <w:spacing w:val="-12"/>
        </w:rPr>
        <w:t> </w:t>
      </w:r>
      <w:r>
        <w:rPr/>
        <w:t>la</w:t>
      </w:r>
      <w:r>
        <w:rPr>
          <w:spacing w:val="-13"/>
        </w:rPr>
        <w:t> </w:t>
      </w:r>
      <w:r>
        <w:rPr/>
        <w:t>fecha</w:t>
      </w:r>
      <w:r>
        <w:rPr>
          <w:spacing w:val="-13"/>
        </w:rPr>
        <w:t> </w:t>
      </w:r>
      <w:r>
        <w:rPr/>
        <w:t>en</w:t>
      </w:r>
      <w:r>
        <w:rPr>
          <w:spacing w:val="-12"/>
        </w:rPr>
        <w:t> </w:t>
      </w:r>
      <w:r>
        <w:rPr/>
        <w:t>que</w:t>
      </w:r>
      <w:r>
        <w:rPr>
          <w:spacing w:val="-13"/>
        </w:rPr>
        <w:t> </w:t>
      </w:r>
      <w:r>
        <w:rPr/>
        <w:t>el</w:t>
      </w:r>
      <w:r>
        <w:rPr>
          <w:spacing w:val="-12"/>
        </w:rPr>
        <w:t> </w:t>
      </w:r>
      <w:r>
        <w:rPr/>
        <w:t>contrato</w:t>
      </w:r>
      <w:r>
        <w:rPr>
          <w:spacing w:val="-11"/>
        </w:rPr>
        <w:t> </w:t>
      </w:r>
      <w:r>
        <w:rPr/>
        <w:t>entra</w:t>
      </w:r>
      <w:r>
        <w:rPr>
          <w:spacing w:val="-12"/>
        </w:rPr>
        <w:t> </w:t>
      </w:r>
      <w:r>
        <w:rPr/>
        <w:t>en</w:t>
      </w:r>
      <w:r>
        <w:rPr>
          <w:spacing w:val="-12"/>
        </w:rPr>
        <w:t> </w:t>
      </w:r>
      <w:r>
        <w:rPr/>
        <w:t>vigor o</w:t>
      </w:r>
      <w:r>
        <w:rPr>
          <w:spacing w:val="-3"/>
        </w:rPr>
        <w:t> </w:t>
      </w:r>
      <w:r>
        <w:rPr/>
        <w:t>cuando</w:t>
      </w:r>
      <w:r>
        <w:rPr>
          <w:spacing w:val="-3"/>
        </w:rPr>
        <w:t> </w:t>
      </w:r>
      <w:r>
        <w:rPr/>
        <w:t>las</w:t>
      </w:r>
      <w:r>
        <w:rPr>
          <w:spacing w:val="-5"/>
        </w:rPr>
        <w:t> </w:t>
      </w:r>
      <w:r>
        <w:rPr/>
        <w:t>partes</w:t>
      </w:r>
      <w:r>
        <w:rPr>
          <w:spacing w:val="-7"/>
        </w:rPr>
        <w:t> </w:t>
      </w:r>
      <w:r>
        <w:rPr/>
        <w:t>quedan</w:t>
      </w:r>
      <w:r>
        <w:rPr>
          <w:spacing w:val="-5"/>
        </w:rPr>
        <w:t> </w:t>
      </w:r>
      <w:r>
        <w:rPr/>
        <w:t>obligadas</w:t>
      </w:r>
      <w:r>
        <w:rPr>
          <w:spacing w:val="-2"/>
        </w:rPr>
        <w:t> </w:t>
      </w:r>
      <w:r>
        <w:rPr/>
        <w:t>por</w:t>
      </w:r>
      <w:r>
        <w:rPr>
          <w:spacing w:val="-6"/>
        </w:rPr>
        <w:t> </w:t>
      </w:r>
      <w:r>
        <w:rPr/>
        <w:t>sus</w:t>
      </w:r>
      <w:r>
        <w:rPr>
          <w:spacing w:val="-2"/>
        </w:rPr>
        <w:t> </w:t>
      </w:r>
      <w:r>
        <w:rPr/>
        <w:t>condiciones</w:t>
      </w:r>
      <w:r>
        <w:rPr>
          <w:spacing w:val="-2"/>
        </w:rPr>
        <w:t> </w:t>
      </w:r>
      <w:r>
        <w:rPr/>
        <w:t>esenciales,</w:t>
      </w:r>
      <w:r>
        <w:rPr>
          <w:spacing w:val="-3"/>
        </w:rPr>
        <w:t> </w:t>
      </w:r>
      <w:r>
        <w:rPr/>
        <w:t>lo</w:t>
      </w:r>
      <w:r>
        <w:rPr>
          <w:spacing w:val="-5"/>
        </w:rPr>
        <w:t> </w:t>
      </w:r>
      <w:r>
        <w:rPr/>
        <w:t>que</w:t>
      </w:r>
      <w:r>
        <w:rPr>
          <w:spacing w:val="-7"/>
        </w:rPr>
        <w:t> </w:t>
      </w:r>
      <w:r>
        <w:rPr/>
        <w:t>ocurra</w:t>
      </w:r>
      <w:r>
        <w:rPr>
          <w:spacing w:val="-6"/>
        </w:rPr>
        <w:t> </w:t>
      </w:r>
      <w:r>
        <w:rPr/>
        <w:t>primero.</w:t>
      </w:r>
      <w:r>
        <w:rPr>
          <w:spacing w:val="-4"/>
        </w:rPr>
        <w:t> </w:t>
      </w:r>
      <w:r>
        <w:rPr/>
        <w:t>Desde ese momento, el contrato se clasifica como financiero u operativo, clasificación que no se</w:t>
      </w:r>
      <w:r>
        <w:rPr>
          <w:spacing w:val="-1"/>
        </w:rPr>
        <w:t> </w:t>
      </w:r>
      <w:r>
        <w:rPr/>
        <w:t>modifica posteriormente, salvo cambios sustanciales en los términos contractuales.</w:t>
      </w:r>
    </w:p>
    <w:p>
      <w:pPr>
        <w:pStyle w:val="BodyText"/>
        <w:spacing w:before="19"/>
      </w:pPr>
    </w:p>
    <w:p>
      <w:pPr>
        <w:pStyle w:val="BodyText"/>
        <w:spacing w:line="259" w:lineRule="auto"/>
        <w:ind w:left="734" w:right="1089"/>
        <w:jc w:val="both"/>
      </w:pPr>
      <w:r>
        <w:rPr/>
        <w:t>En</w:t>
      </w:r>
      <w:r>
        <w:rPr>
          <w:spacing w:val="-9"/>
        </w:rPr>
        <w:t> </w:t>
      </w:r>
      <w:r>
        <w:rPr/>
        <w:t>el</w:t>
      </w:r>
      <w:r>
        <w:rPr>
          <w:spacing w:val="-10"/>
        </w:rPr>
        <w:t> </w:t>
      </w:r>
      <w:r>
        <w:rPr/>
        <w:t>caso</w:t>
      </w:r>
      <w:r>
        <w:rPr>
          <w:spacing w:val="-9"/>
        </w:rPr>
        <w:t> </w:t>
      </w:r>
      <w:r>
        <w:rPr/>
        <w:t>de</w:t>
      </w:r>
      <w:r>
        <w:rPr>
          <w:spacing w:val="-11"/>
        </w:rPr>
        <w:t> </w:t>
      </w:r>
      <w:r>
        <w:rPr/>
        <w:t>los</w:t>
      </w:r>
      <w:r>
        <w:rPr>
          <w:spacing w:val="-8"/>
        </w:rPr>
        <w:t> </w:t>
      </w:r>
      <w:r>
        <w:rPr/>
        <w:t>arrendamientos</w:t>
      </w:r>
      <w:r>
        <w:rPr>
          <w:spacing w:val="-11"/>
        </w:rPr>
        <w:t> </w:t>
      </w:r>
      <w:r>
        <w:rPr/>
        <w:t>operativos,</w:t>
      </w:r>
      <w:r>
        <w:rPr>
          <w:spacing w:val="-9"/>
        </w:rPr>
        <w:t> </w:t>
      </w:r>
      <w:r>
        <w:rPr/>
        <w:t>que</w:t>
      </w:r>
      <w:r>
        <w:rPr>
          <w:spacing w:val="-11"/>
        </w:rPr>
        <w:t> </w:t>
      </w:r>
      <w:r>
        <w:rPr/>
        <w:t>constituyen</w:t>
      </w:r>
      <w:r>
        <w:rPr>
          <w:spacing w:val="-9"/>
        </w:rPr>
        <w:t> </w:t>
      </w:r>
      <w:r>
        <w:rPr/>
        <w:t>la</w:t>
      </w:r>
      <w:r>
        <w:rPr>
          <w:spacing w:val="-11"/>
        </w:rPr>
        <w:t> </w:t>
      </w:r>
      <w:r>
        <w:rPr/>
        <w:t>modalidad</w:t>
      </w:r>
      <w:r>
        <w:rPr>
          <w:spacing w:val="-10"/>
        </w:rPr>
        <w:t> </w:t>
      </w:r>
      <w:r>
        <w:rPr/>
        <w:t>aplicable</w:t>
      </w:r>
      <w:r>
        <w:rPr>
          <w:spacing w:val="-8"/>
        </w:rPr>
        <w:t> </w:t>
      </w:r>
      <w:r>
        <w:rPr/>
        <w:t>a</w:t>
      </w:r>
      <w:r>
        <w:rPr>
          <w:spacing w:val="-10"/>
        </w:rPr>
        <w:t> </w:t>
      </w:r>
      <w:r>
        <w:rPr/>
        <w:t>la</w:t>
      </w:r>
      <w:r>
        <w:rPr>
          <w:spacing w:val="-11"/>
        </w:rPr>
        <w:t> </w:t>
      </w:r>
      <w:r>
        <w:rPr/>
        <w:t>entidad,</w:t>
      </w:r>
      <w:r>
        <w:rPr>
          <w:spacing w:val="-7"/>
        </w:rPr>
        <w:t> </w:t>
      </w:r>
      <w:r>
        <w:rPr/>
        <w:t>los pagos derivados del contrato se reconocen como gasto de forma sistemática y lineal a lo largo del plazo del arrendamiento, a menos que otra base de distribución refleje de mejor manera el patrón de consumo de los beneficios económicos o potencial de servicio. Los incentivos otorgados por el arrendador</w:t>
      </w:r>
      <w:r>
        <w:rPr>
          <w:spacing w:val="-9"/>
        </w:rPr>
        <w:t> </w:t>
      </w:r>
      <w:r>
        <w:rPr/>
        <w:t>se</w:t>
      </w:r>
      <w:r>
        <w:rPr>
          <w:spacing w:val="-10"/>
        </w:rPr>
        <w:t> </w:t>
      </w:r>
      <w:r>
        <w:rPr/>
        <w:t>registran</w:t>
      </w:r>
      <w:r>
        <w:rPr>
          <w:spacing w:val="-9"/>
        </w:rPr>
        <w:t> </w:t>
      </w:r>
      <w:r>
        <w:rPr/>
        <w:t>como</w:t>
      </w:r>
      <w:r>
        <w:rPr>
          <w:spacing w:val="-9"/>
        </w:rPr>
        <w:t> </w:t>
      </w:r>
      <w:r>
        <w:rPr/>
        <w:t>una</w:t>
      </w:r>
      <w:r>
        <w:rPr>
          <w:spacing w:val="-10"/>
        </w:rPr>
        <w:t> </w:t>
      </w:r>
      <w:r>
        <w:rPr/>
        <w:t>disminución</w:t>
      </w:r>
      <w:r>
        <w:rPr>
          <w:spacing w:val="-9"/>
        </w:rPr>
        <w:t> </w:t>
      </w:r>
      <w:r>
        <w:rPr/>
        <w:t>del</w:t>
      </w:r>
      <w:r>
        <w:rPr>
          <w:spacing w:val="-10"/>
        </w:rPr>
        <w:t> </w:t>
      </w:r>
      <w:r>
        <w:rPr/>
        <w:t>gasto</w:t>
      </w:r>
      <w:r>
        <w:rPr>
          <w:spacing w:val="-10"/>
        </w:rPr>
        <w:t> </w:t>
      </w:r>
      <w:r>
        <w:rPr/>
        <w:t>por</w:t>
      </w:r>
      <w:r>
        <w:rPr>
          <w:spacing w:val="-9"/>
        </w:rPr>
        <w:t> </w:t>
      </w:r>
      <w:r>
        <w:rPr/>
        <w:t>arrendamiento</w:t>
      </w:r>
      <w:r>
        <w:rPr>
          <w:spacing w:val="-8"/>
        </w:rPr>
        <w:t> </w:t>
      </w:r>
      <w:r>
        <w:rPr/>
        <w:t>y</w:t>
      </w:r>
      <w:r>
        <w:rPr>
          <w:spacing w:val="-10"/>
        </w:rPr>
        <w:t> </w:t>
      </w:r>
      <w:r>
        <w:rPr/>
        <w:t>se</w:t>
      </w:r>
      <w:r>
        <w:rPr>
          <w:spacing w:val="-10"/>
        </w:rPr>
        <w:t> </w:t>
      </w:r>
      <w:r>
        <w:rPr/>
        <w:t>distribuyen</w:t>
      </w:r>
      <w:r>
        <w:rPr>
          <w:spacing w:val="-9"/>
        </w:rPr>
        <w:t> </w:t>
      </w:r>
      <w:r>
        <w:rPr/>
        <w:t>durante la vigencia del contrato.</w:t>
      </w:r>
    </w:p>
    <w:p>
      <w:pPr>
        <w:pStyle w:val="BodyText"/>
        <w:spacing w:before="19"/>
      </w:pPr>
    </w:p>
    <w:p>
      <w:pPr>
        <w:pStyle w:val="BodyText"/>
        <w:spacing w:line="259" w:lineRule="auto"/>
        <w:ind w:left="734" w:right="1089"/>
        <w:jc w:val="both"/>
      </w:pPr>
      <w:r>
        <w:rPr/>
        <w:t>Bajo</w:t>
      </w:r>
      <w:r>
        <w:rPr>
          <w:spacing w:val="-14"/>
        </w:rPr>
        <w:t> </w:t>
      </w:r>
      <w:r>
        <w:rPr/>
        <w:t>esta</w:t>
      </w:r>
      <w:r>
        <w:rPr>
          <w:spacing w:val="-14"/>
        </w:rPr>
        <w:t> </w:t>
      </w:r>
      <w:r>
        <w:rPr/>
        <w:t>modalidad,</w:t>
      </w:r>
      <w:r>
        <w:rPr>
          <w:spacing w:val="-14"/>
        </w:rPr>
        <w:t> </w:t>
      </w:r>
      <w:r>
        <w:rPr/>
        <w:t>la</w:t>
      </w:r>
      <w:r>
        <w:rPr>
          <w:spacing w:val="-13"/>
        </w:rPr>
        <w:t> </w:t>
      </w:r>
      <w:r>
        <w:rPr/>
        <w:t>entidad</w:t>
      </w:r>
      <w:r>
        <w:rPr>
          <w:spacing w:val="-14"/>
        </w:rPr>
        <w:t> </w:t>
      </w:r>
      <w:r>
        <w:rPr/>
        <w:t>no</w:t>
      </w:r>
      <w:r>
        <w:rPr>
          <w:spacing w:val="-14"/>
        </w:rPr>
        <w:t> </w:t>
      </w:r>
      <w:r>
        <w:rPr/>
        <w:t>reconoce</w:t>
      </w:r>
      <w:r>
        <w:rPr>
          <w:spacing w:val="-14"/>
        </w:rPr>
        <w:t> </w:t>
      </w:r>
      <w:r>
        <w:rPr/>
        <w:t>activos</w:t>
      </w:r>
      <w:r>
        <w:rPr>
          <w:spacing w:val="-13"/>
        </w:rPr>
        <w:t> </w:t>
      </w:r>
      <w:r>
        <w:rPr/>
        <w:t>asociados</w:t>
      </w:r>
      <w:r>
        <w:rPr>
          <w:spacing w:val="-14"/>
        </w:rPr>
        <w:t> </w:t>
      </w:r>
      <w:r>
        <w:rPr/>
        <w:t>al</w:t>
      </w:r>
      <w:r>
        <w:rPr>
          <w:spacing w:val="-14"/>
        </w:rPr>
        <w:t> </w:t>
      </w:r>
      <w:r>
        <w:rPr/>
        <w:t>bien</w:t>
      </w:r>
      <w:r>
        <w:rPr>
          <w:spacing w:val="-14"/>
        </w:rPr>
        <w:t> </w:t>
      </w:r>
      <w:r>
        <w:rPr/>
        <w:t>arrendado,</w:t>
      </w:r>
      <w:r>
        <w:rPr>
          <w:spacing w:val="-13"/>
        </w:rPr>
        <w:t> </w:t>
      </w:r>
      <w:r>
        <w:rPr/>
        <w:t>dado</w:t>
      </w:r>
      <w:r>
        <w:rPr>
          <w:spacing w:val="-14"/>
        </w:rPr>
        <w:t> </w:t>
      </w:r>
      <w:r>
        <w:rPr/>
        <w:t>que</w:t>
      </w:r>
      <w:r>
        <w:rPr>
          <w:spacing w:val="-14"/>
        </w:rPr>
        <w:t> </w:t>
      </w:r>
      <w:r>
        <w:rPr/>
        <w:t>no</w:t>
      </w:r>
      <w:r>
        <w:rPr>
          <w:spacing w:val="-14"/>
        </w:rPr>
        <w:t> </w:t>
      </w:r>
      <w:r>
        <w:rPr/>
        <w:t>asume la propiedad ni los riesgos significativos del</w:t>
      </w:r>
      <w:r>
        <w:rPr>
          <w:spacing w:val="-1"/>
        </w:rPr>
        <w:t> </w:t>
      </w:r>
      <w:r>
        <w:rPr/>
        <w:t>mismo. Tampoco se registran cargos por depreciación, amortización</w:t>
      </w:r>
      <w:r>
        <w:rPr>
          <w:spacing w:val="-5"/>
        </w:rPr>
        <w:t> </w:t>
      </w:r>
      <w:r>
        <w:rPr/>
        <w:t>o</w:t>
      </w:r>
      <w:r>
        <w:rPr>
          <w:spacing w:val="-5"/>
        </w:rPr>
        <w:t> </w:t>
      </w:r>
      <w:r>
        <w:rPr/>
        <w:t>deterioro</w:t>
      </w:r>
      <w:r>
        <w:rPr>
          <w:spacing w:val="-5"/>
        </w:rPr>
        <w:t> </w:t>
      </w:r>
      <w:r>
        <w:rPr/>
        <w:t>relacionados</w:t>
      </w:r>
      <w:r>
        <w:rPr>
          <w:spacing w:val="-5"/>
        </w:rPr>
        <w:t> </w:t>
      </w:r>
      <w:r>
        <w:rPr/>
        <w:t>con</w:t>
      </w:r>
      <w:r>
        <w:rPr>
          <w:spacing w:val="-5"/>
        </w:rPr>
        <w:t> </w:t>
      </w:r>
      <w:r>
        <w:rPr/>
        <w:t>los</w:t>
      </w:r>
      <w:r>
        <w:rPr>
          <w:spacing w:val="-5"/>
        </w:rPr>
        <w:t> </w:t>
      </w:r>
      <w:r>
        <w:rPr/>
        <w:t>activos</w:t>
      </w:r>
      <w:r>
        <w:rPr>
          <w:spacing w:val="-5"/>
        </w:rPr>
        <w:t> </w:t>
      </w:r>
      <w:r>
        <w:rPr/>
        <w:t>objeto</w:t>
      </w:r>
      <w:r>
        <w:rPr>
          <w:spacing w:val="-5"/>
        </w:rPr>
        <w:t> </w:t>
      </w:r>
      <w:r>
        <w:rPr/>
        <w:t>del</w:t>
      </w:r>
      <w:r>
        <w:rPr>
          <w:spacing w:val="-6"/>
        </w:rPr>
        <w:t> </w:t>
      </w:r>
      <w:r>
        <w:rPr/>
        <w:t>arrendamiento.</w:t>
      </w:r>
      <w:r>
        <w:rPr>
          <w:spacing w:val="-7"/>
        </w:rPr>
        <w:t> </w:t>
      </w:r>
      <w:r>
        <w:rPr/>
        <w:t>Los</w:t>
      </w:r>
      <w:r>
        <w:rPr>
          <w:spacing w:val="-6"/>
        </w:rPr>
        <w:t> </w:t>
      </w:r>
      <w:r>
        <w:rPr/>
        <w:t>costos</w:t>
      </w:r>
      <w:r>
        <w:rPr>
          <w:spacing w:val="-5"/>
        </w:rPr>
        <w:t> </w:t>
      </w:r>
      <w:r>
        <w:rPr/>
        <w:t>directos iniciales derivados de la formalización del contrato se reconocen como gasto en el periodo en que se incurren.</w:t>
      </w:r>
    </w:p>
    <w:p>
      <w:pPr>
        <w:pStyle w:val="BodyText"/>
        <w:spacing w:before="19"/>
      </w:pPr>
    </w:p>
    <w:p>
      <w:pPr>
        <w:pStyle w:val="BodyText"/>
        <w:spacing w:line="259" w:lineRule="auto" w:before="1"/>
        <w:ind w:left="734" w:right="1088"/>
        <w:jc w:val="both"/>
      </w:pPr>
      <w:r>
        <w:rPr/>
        <w:t>El reconocimiento del gasto por arrendamiento operativo se efectúa conforme al principio de devengo, registrándose en los resultados del periodo en que se recibe el servicio o se obtiene el derecho de uso. De manera simultánea, se reconoce la obligación correspondiente hasta su cancelación,</w:t>
      </w:r>
      <w:r>
        <w:rPr>
          <w:spacing w:val="-14"/>
        </w:rPr>
        <w:t> </w:t>
      </w:r>
      <w:r>
        <w:rPr/>
        <w:t>de</w:t>
      </w:r>
      <w:r>
        <w:rPr>
          <w:spacing w:val="-13"/>
        </w:rPr>
        <w:t> </w:t>
      </w:r>
      <w:r>
        <w:rPr/>
        <w:t>acuerdo</w:t>
      </w:r>
      <w:r>
        <w:rPr>
          <w:spacing w:val="-12"/>
        </w:rPr>
        <w:t> </w:t>
      </w:r>
      <w:r>
        <w:rPr/>
        <w:t>con</w:t>
      </w:r>
      <w:r>
        <w:rPr>
          <w:spacing w:val="-14"/>
        </w:rPr>
        <w:t> </w:t>
      </w:r>
      <w:r>
        <w:rPr/>
        <w:t>las</w:t>
      </w:r>
      <w:r>
        <w:rPr>
          <w:spacing w:val="-12"/>
        </w:rPr>
        <w:t> </w:t>
      </w:r>
      <w:r>
        <w:rPr/>
        <w:t>condiciones</w:t>
      </w:r>
      <w:r>
        <w:rPr>
          <w:spacing w:val="-14"/>
        </w:rPr>
        <w:t> </w:t>
      </w:r>
      <w:r>
        <w:rPr/>
        <w:t>de</w:t>
      </w:r>
      <w:r>
        <w:rPr>
          <w:spacing w:val="-14"/>
        </w:rPr>
        <w:t> </w:t>
      </w:r>
      <w:r>
        <w:rPr/>
        <w:t>pago</w:t>
      </w:r>
      <w:r>
        <w:rPr>
          <w:spacing w:val="-12"/>
        </w:rPr>
        <w:t> </w:t>
      </w:r>
      <w:r>
        <w:rPr/>
        <w:t>establecidas</w:t>
      </w:r>
      <w:r>
        <w:rPr>
          <w:spacing w:val="-12"/>
        </w:rPr>
        <w:t> </w:t>
      </w:r>
      <w:r>
        <w:rPr/>
        <w:t>en</w:t>
      </w:r>
      <w:r>
        <w:rPr>
          <w:spacing w:val="-13"/>
        </w:rPr>
        <w:t> </w:t>
      </w:r>
      <w:r>
        <w:rPr/>
        <w:t>el</w:t>
      </w:r>
      <w:r>
        <w:rPr>
          <w:spacing w:val="-13"/>
        </w:rPr>
        <w:t> </w:t>
      </w:r>
      <w:r>
        <w:rPr/>
        <w:t>contrato</w:t>
      </w:r>
      <w:r>
        <w:rPr>
          <w:spacing w:val="-14"/>
        </w:rPr>
        <w:t> </w:t>
      </w:r>
      <w:r>
        <w:rPr/>
        <w:t>o</w:t>
      </w:r>
      <w:r>
        <w:rPr>
          <w:spacing w:val="-14"/>
        </w:rPr>
        <w:t> </w:t>
      </w:r>
      <w:r>
        <w:rPr/>
        <w:t>en</w:t>
      </w:r>
      <w:r>
        <w:rPr>
          <w:spacing w:val="-13"/>
        </w:rPr>
        <w:t> </w:t>
      </w:r>
      <w:r>
        <w:rPr/>
        <w:t>los</w:t>
      </w:r>
      <w:r>
        <w:rPr>
          <w:spacing w:val="-14"/>
        </w:rPr>
        <w:t> </w:t>
      </w:r>
      <w:r>
        <w:rPr/>
        <w:t>documentos de respaldo. se revela mayor detalle en la nota 60 de los presentes Estados Financieros.</w:t>
      </w:r>
    </w:p>
    <w:p>
      <w:pPr>
        <w:pStyle w:val="BodyText"/>
        <w:spacing w:before="189"/>
      </w:pPr>
    </w:p>
    <w:p>
      <w:pPr>
        <w:pStyle w:val="Heading6"/>
        <w:numPr>
          <w:ilvl w:val="0"/>
          <w:numId w:val="13"/>
        </w:numPr>
        <w:tabs>
          <w:tab w:pos="1341" w:val="left" w:leader="none"/>
        </w:tabs>
        <w:spacing w:line="240" w:lineRule="auto" w:before="0" w:after="0"/>
        <w:ind w:left="1341" w:right="0" w:hanging="360"/>
        <w:jc w:val="left"/>
      </w:pPr>
      <w:bookmarkStart w:name="_bookmark14" w:id="15"/>
      <w:bookmarkEnd w:id="15"/>
      <w:r>
        <w:rPr>
          <w:b w:val="0"/>
        </w:rPr>
      </w:r>
      <w:r>
        <w:rPr>
          <w:color w:val="1F3762"/>
        </w:rPr>
        <w:t>Valoración</w:t>
      </w:r>
      <w:r>
        <w:rPr>
          <w:color w:val="1F3762"/>
          <w:spacing w:val="-3"/>
        </w:rPr>
        <w:t> </w:t>
      </w:r>
      <w:r>
        <w:rPr>
          <w:color w:val="1F3762"/>
        </w:rPr>
        <w:t>y</w:t>
      </w:r>
      <w:r>
        <w:rPr>
          <w:color w:val="1F3762"/>
          <w:spacing w:val="-4"/>
        </w:rPr>
        <w:t> </w:t>
      </w:r>
      <w:r>
        <w:rPr>
          <w:color w:val="1F3762"/>
        </w:rPr>
        <w:t>depreciación</w:t>
      </w:r>
      <w:r>
        <w:rPr>
          <w:color w:val="1F3762"/>
          <w:spacing w:val="-3"/>
        </w:rPr>
        <w:t> </w:t>
      </w:r>
      <w:r>
        <w:rPr>
          <w:color w:val="1F3762"/>
        </w:rPr>
        <w:t>de</w:t>
      </w:r>
      <w:r>
        <w:rPr>
          <w:color w:val="1F3762"/>
          <w:spacing w:val="-3"/>
        </w:rPr>
        <w:t> </w:t>
      </w:r>
      <w:r>
        <w:rPr>
          <w:color w:val="1F3762"/>
        </w:rPr>
        <w:t>activos</w:t>
      </w:r>
      <w:r>
        <w:rPr>
          <w:color w:val="1F3762"/>
          <w:spacing w:val="-3"/>
        </w:rPr>
        <w:t> </w:t>
      </w:r>
      <w:r>
        <w:rPr>
          <w:color w:val="1F3762"/>
        </w:rPr>
        <w:t>no</w:t>
      </w:r>
      <w:r>
        <w:rPr>
          <w:color w:val="1F3762"/>
          <w:spacing w:val="-3"/>
        </w:rPr>
        <w:t> </w:t>
      </w:r>
      <w:r>
        <w:rPr>
          <w:color w:val="1F3762"/>
          <w:spacing w:val="-2"/>
        </w:rPr>
        <w:t>corrientes.</w:t>
      </w:r>
    </w:p>
    <w:p>
      <w:pPr>
        <w:pStyle w:val="BodyText"/>
        <w:spacing w:before="9"/>
        <w:rPr>
          <w:b/>
          <w:sz w:val="8"/>
        </w:rPr>
      </w:pPr>
      <w:r>
        <w:rPr>
          <w:b/>
          <w:sz w:val="8"/>
        </w:rPr>
        <mc:AlternateContent>
          <mc:Choice Requires="wps">
            <w:drawing>
              <wp:anchor distT="0" distB="0" distL="0" distR="0" allowOverlap="1" layoutInCell="1" locked="0" behindDoc="1" simplePos="0" relativeHeight="487606272">
                <wp:simplePos x="0" y="0"/>
                <wp:positionH relativeFrom="page">
                  <wp:posOffset>1083868</wp:posOffset>
                </wp:positionH>
                <wp:positionV relativeFrom="paragraph">
                  <wp:posOffset>82073</wp:posOffset>
                </wp:positionV>
                <wp:extent cx="5607050" cy="2515235"/>
                <wp:effectExtent l="0" t="0" r="0" b="0"/>
                <wp:wrapTopAndBottom/>
                <wp:docPr id="90" name="Textbox 90"/>
                <wp:cNvGraphicFramePr>
                  <a:graphicFrameLocks/>
                </wp:cNvGraphicFramePr>
                <a:graphic>
                  <a:graphicData uri="http://schemas.microsoft.com/office/word/2010/wordprocessingShape">
                    <wps:wsp>
                      <wps:cNvPr id="90" name="Textbox 90"/>
                      <wps:cNvSpPr txBox="1"/>
                      <wps:spPr>
                        <a:xfrm>
                          <a:off x="0" y="0"/>
                          <a:ext cx="5607050" cy="251523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100"/>
                              <w:jc w:val="both"/>
                            </w:pPr>
                            <w:r>
                              <w:rPr/>
                              <w:t>La</w:t>
                            </w:r>
                            <w:r>
                              <w:rPr>
                                <w:spacing w:val="-8"/>
                              </w:rPr>
                              <w:t> </w:t>
                            </w:r>
                            <w:r>
                              <w:rPr/>
                              <w:t>entidad</w:t>
                            </w:r>
                            <w:r>
                              <w:rPr>
                                <w:spacing w:val="-8"/>
                              </w:rPr>
                              <w:t> </w:t>
                            </w:r>
                            <w:r>
                              <w:rPr/>
                              <w:t>reconoce</w:t>
                            </w:r>
                            <w:r>
                              <w:rPr>
                                <w:spacing w:val="-9"/>
                              </w:rPr>
                              <w:t> </w:t>
                            </w:r>
                            <w:r>
                              <w:rPr/>
                              <w:t>como</w:t>
                            </w:r>
                            <w:r>
                              <w:rPr>
                                <w:spacing w:val="-6"/>
                              </w:rPr>
                              <w:t> </w:t>
                            </w:r>
                            <w:r>
                              <w:rPr/>
                              <w:t>activos</w:t>
                            </w:r>
                            <w:r>
                              <w:rPr>
                                <w:spacing w:val="-6"/>
                              </w:rPr>
                              <w:t> </w:t>
                            </w:r>
                            <w:r>
                              <w:rPr/>
                              <w:t>no</w:t>
                            </w:r>
                            <w:r>
                              <w:rPr>
                                <w:spacing w:val="-6"/>
                              </w:rPr>
                              <w:t> </w:t>
                            </w:r>
                            <w:r>
                              <w:rPr/>
                              <w:t>corrientes</w:t>
                            </w:r>
                            <w:r>
                              <w:rPr>
                                <w:spacing w:val="-7"/>
                              </w:rPr>
                              <w:t> </w:t>
                            </w:r>
                            <w:r>
                              <w:rPr/>
                              <w:t>aquellos</w:t>
                            </w:r>
                            <w:r>
                              <w:rPr>
                                <w:spacing w:val="-6"/>
                              </w:rPr>
                              <w:t> </w:t>
                            </w:r>
                            <w:r>
                              <w:rPr/>
                              <w:t>recursos</w:t>
                            </w:r>
                            <w:r>
                              <w:rPr>
                                <w:spacing w:val="-6"/>
                              </w:rPr>
                              <w:t> </w:t>
                            </w:r>
                            <w:r>
                              <w:rPr/>
                              <w:t>controlados</w:t>
                            </w:r>
                            <w:r>
                              <w:rPr>
                                <w:spacing w:val="-6"/>
                              </w:rPr>
                              <w:t> </w:t>
                            </w:r>
                            <w:r>
                              <w:rPr/>
                              <w:t>por</w:t>
                            </w:r>
                            <w:r>
                              <w:rPr>
                                <w:spacing w:val="-7"/>
                              </w:rPr>
                              <w:t> </w:t>
                            </w:r>
                            <w:r>
                              <w:rPr/>
                              <w:t>sucesos</w:t>
                            </w:r>
                            <w:r>
                              <w:rPr>
                                <w:spacing w:val="-6"/>
                              </w:rPr>
                              <w:t> </w:t>
                            </w:r>
                            <w:r>
                              <w:rPr/>
                              <w:t>pasados, de los cuales se espera obtener beneficios económicos futuros o potencial de servicio durante más de un periodo contable, incluyendo la propiedad, planta y equipo y los activos intangibles, contabilizados según las NICSP 17 y 31. Un activo no corriente se reconoce únicamente si es probable</w:t>
                            </w:r>
                            <w:r>
                              <w:rPr>
                                <w:spacing w:val="-5"/>
                              </w:rPr>
                              <w:t> </w:t>
                            </w:r>
                            <w:r>
                              <w:rPr/>
                              <w:t>que</w:t>
                            </w:r>
                            <w:r>
                              <w:rPr>
                                <w:spacing w:val="-5"/>
                              </w:rPr>
                              <w:t> </w:t>
                            </w:r>
                            <w:r>
                              <w:rPr/>
                              <w:t>genere</w:t>
                            </w:r>
                            <w:r>
                              <w:rPr>
                                <w:spacing w:val="-5"/>
                              </w:rPr>
                              <w:t> </w:t>
                            </w:r>
                            <w:r>
                              <w:rPr/>
                              <w:t>beneficios</w:t>
                            </w:r>
                            <w:r>
                              <w:rPr>
                                <w:spacing w:val="-3"/>
                              </w:rPr>
                              <w:t> </w:t>
                            </w:r>
                            <w:r>
                              <w:rPr/>
                              <w:t>o</w:t>
                            </w:r>
                            <w:r>
                              <w:rPr>
                                <w:spacing w:val="-5"/>
                              </w:rPr>
                              <w:t> </w:t>
                            </w:r>
                            <w:r>
                              <w:rPr/>
                              <w:t>servicio,</w:t>
                            </w:r>
                            <w:r>
                              <w:rPr>
                                <w:spacing w:val="-4"/>
                              </w:rPr>
                              <w:t> </w:t>
                            </w:r>
                            <w:r>
                              <w:rPr/>
                              <w:t>su</w:t>
                            </w:r>
                            <w:r>
                              <w:rPr>
                                <w:spacing w:val="-4"/>
                              </w:rPr>
                              <w:t> </w:t>
                            </w:r>
                            <w:r>
                              <w:rPr/>
                              <w:t>costo</w:t>
                            </w:r>
                            <w:r>
                              <w:rPr>
                                <w:spacing w:val="-3"/>
                              </w:rPr>
                              <w:t> </w:t>
                            </w:r>
                            <w:r>
                              <w:rPr/>
                              <w:t>puede</w:t>
                            </w:r>
                            <w:r>
                              <w:rPr>
                                <w:spacing w:val="-5"/>
                              </w:rPr>
                              <w:t> </w:t>
                            </w:r>
                            <w:r>
                              <w:rPr/>
                              <w:t>medirse</w:t>
                            </w:r>
                            <w:r>
                              <w:rPr>
                                <w:spacing w:val="-5"/>
                              </w:rPr>
                              <w:t> </w:t>
                            </w:r>
                            <w:r>
                              <w:rPr/>
                              <w:t>de</w:t>
                            </w:r>
                            <w:r>
                              <w:rPr>
                                <w:spacing w:val="-5"/>
                              </w:rPr>
                              <w:t> </w:t>
                            </w:r>
                            <w:r>
                              <w:rPr/>
                              <w:t>manera</w:t>
                            </w:r>
                            <w:r>
                              <w:rPr>
                                <w:spacing w:val="-4"/>
                              </w:rPr>
                              <w:t> </w:t>
                            </w:r>
                            <w:r>
                              <w:rPr/>
                              <w:t>fiable</w:t>
                            </w:r>
                            <w:r>
                              <w:rPr>
                                <w:spacing w:val="-5"/>
                              </w:rPr>
                              <w:t> </w:t>
                            </w:r>
                            <w:r>
                              <w:rPr/>
                              <w:t>y,</w:t>
                            </w:r>
                            <w:r>
                              <w:rPr>
                                <w:spacing w:val="-4"/>
                              </w:rPr>
                              <w:t> </w:t>
                            </w:r>
                            <w:r>
                              <w:rPr/>
                              <w:t>en</w:t>
                            </w:r>
                            <w:r>
                              <w:rPr>
                                <w:spacing w:val="-3"/>
                              </w:rPr>
                              <w:t> </w:t>
                            </w:r>
                            <w:r>
                              <w:rPr/>
                              <w:t>el</w:t>
                            </w:r>
                            <w:r>
                              <w:rPr>
                                <w:spacing w:val="-4"/>
                              </w:rPr>
                              <w:t> </w:t>
                            </w:r>
                            <w:r>
                              <w:rPr/>
                              <w:t>caso</w:t>
                            </w:r>
                            <w:r>
                              <w:rPr>
                                <w:spacing w:val="-3"/>
                              </w:rPr>
                              <w:t> </w:t>
                            </w:r>
                            <w:r>
                              <w:rPr/>
                              <w:t>de los intangibles, si es identificable, controlable y atribuible a la entidad.</w:t>
                            </w:r>
                          </w:p>
                          <w:p>
                            <w:pPr>
                              <w:pStyle w:val="BodyText"/>
                              <w:spacing w:before="17"/>
                            </w:pPr>
                          </w:p>
                          <w:p>
                            <w:pPr>
                              <w:pStyle w:val="BodyText"/>
                              <w:spacing w:line="259" w:lineRule="auto" w:before="1"/>
                              <w:ind w:left="103" w:right="101"/>
                              <w:jc w:val="both"/>
                            </w:pPr>
                            <w:r>
                              <w:rPr/>
                              <w:t>Gastos</w:t>
                            </w:r>
                            <w:r>
                              <w:rPr>
                                <w:spacing w:val="-14"/>
                              </w:rPr>
                              <w:t> </w:t>
                            </w:r>
                            <w:r>
                              <w:rPr/>
                              <w:t>como</w:t>
                            </w:r>
                            <w:r>
                              <w:rPr>
                                <w:spacing w:val="-14"/>
                              </w:rPr>
                              <w:t> </w:t>
                            </w:r>
                            <w:r>
                              <w:rPr/>
                              <w:t>investigación,</w:t>
                            </w:r>
                            <w:r>
                              <w:rPr>
                                <w:spacing w:val="-14"/>
                              </w:rPr>
                              <w:t> </w:t>
                            </w:r>
                            <w:r>
                              <w:rPr/>
                              <w:t>capacitación</w:t>
                            </w:r>
                            <w:r>
                              <w:rPr>
                                <w:spacing w:val="-13"/>
                              </w:rPr>
                              <w:t> </w:t>
                            </w:r>
                            <w:r>
                              <w:rPr/>
                              <w:t>o</w:t>
                            </w:r>
                            <w:r>
                              <w:rPr>
                                <w:spacing w:val="-14"/>
                              </w:rPr>
                              <w:t> </w:t>
                            </w:r>
                            <w:r>
                              <w:rPr/>
                              <w:t>publicidad</w:t>
                            </w:r>
                            <w:r>
                              <w:rPr>
                                <w:spacing w:val="-14"/>
                              </w:rPr>
                              <w:t> </w:t>
                            </w:r>
                            <w:r>
                              <w:rPr/>
                              <w:t>no</w:t>
                            </w:r>
                            <w:r>
                              <w:rPr>
                                <w:spacing w:val="-14"/>
                              </w:rPr>
                              <w:t> </w:t>
                            </w:r>
                            <w:r>
                              <w:rPr/>
                              <w:t>se</w:t>
                            </w:r>
                            <w:r>
                              <w:rPr>
                                <w:spacing w:val="-13"/>
                              </w:rPr>
                              <w:t> </w:t>
                            </w:r>
                            <w:r>
                              <w:rPr/>
                              <w:t>capitalizan,</w:t>
                            </w:r>
                            <w:r>
                              <w:rPr>
                                <w:spacing w:val="-14"/>
                              </w:rPr>
                              <w:t> </w:t>
                            </w:r>
                            <w:r>
                              <w:rPr/>
                              <w:t>y</w:t>
                            </w:r>
                            <w:r>
                              <w:rPr>
                                <w:spacing w:val="-14"/>
                              </w:rPr>
                              <w:t> </w:t>
                            </w:r>
                            <w:r>
                              <w:rPr/>
                              <w:t>la</w:t>
                            </w:r>
                            <w:r>
                              <w:rPr>
                                <w:spacing w:val="-14"/>
                              </w:rPr>
                              <w:t> </w:t>
                            </w:r>
                            <w:r>
                              <w:rPr/>
                              <w:t>medición</w:t>
                            </w:r>
                            <w:r>
                              <w:rPr>
                                <w:spacing w:val="-13"/>
                              </w:rPr>
                              <w:t> </w:t>
                            </w:r>
                            <w:r>
                              <w:rPr/>
                              <w:t>inicial</w:t>
                            </w:r>
                            <w:r>
                              <w:rPr>
                                <w:spacing w:val="-14"/>
                              </w:rPr>
                              <w:t> </w:t>
                            </w:r>
                            <w:r>
                              <w:rPr/>
                              <w:t>se</w:t>
                            </w:r>
                            <w:r>
                              <w:rPr>
                                <w:spacing w:val="-14"/>
                              </w:rPr>
                              <w:t> </w:t>
                            </w:r>
                            <w:r>
                              <w:rPr/>
                              <w:t>realiza al</w:t>
                            </w:r>
                            <w:r>
                              <w:rPr>
                                <w:spacing w:val="-3"/>
                              </w:rPr>
                              <w:t> </w:t>
                            </w:r>
                            <w:r>
                              <w:rPr/>
                              <w:t>costo,</w:t>
                            </w:r>
                            <w:r>
                              <w:rPr>
                                <w:spacing w:val="-3"/>
                              </w:rPr>
                              <w:t> </w:t>
                            </w:r>
                            <w:r>
                              <w:rPr/>
                              <w:t>incluyendo</w:t>
                            </w:r>
                            <w:r>
                              <w:rPr>
                                <w:spacing w:val="-3"/>
                              </w:rPr>
                              <w:t> </w:t>
                            </w:r>
                            <w:r>
                              <w:rPr/>
                              <w:t>solo</w:t>
                            </w:r>
                            <w:r>
                              <w:rPr>
                                <w:spacing w:val="-3"/>
                              </w:rPr>
                              <w:t> </w:t>
                            </w:r>
                            <w:r>
                              <w:rPr/>
                              <w:t>los</w:t>
                            </w:r>
                            <w:r>
                              <w:rPr>
                                <w:spacing w:val="-4"/>
                              </w:rPr>
                              <w:t> </w:t>
                            </w:r>
                            <w:r>
                              <w:rPr/>
                              <w:t>desembolsos</w:t>
                            </w:r>
                            <w:r>
                              <w:rPr>
                                <w:spacing w:val="-2"/>
                              </w:rPr>
                              <w:t> </w:t>
                            </w:r>
                            <w:r>
                              <w:rPr/>
                              <w:t>directamente</w:t>
                            </w:r>
                            <w:r>
                              <w:rPr>
                                <w:spacing w:val="-4"/>
                              </w:rPr>
                              <w:t> </w:t>
                            </w:r>
                            <w:r>
                              <w:rPr/>
                              <w:t>atribuibles</w:t>
                            </w:r>
                            <w:r>
                              <w:rPr>
                                <w:spacing w:val="-2"/>
                              </w:rPr>
                              <w:t> </w:t>
                            </w:r>
                            <w:r>
                              <w:rPr/>
                              <w:t>a</w:t>
                            </w:r>
                            <w:r>
                              <w:rPr>
                                <w:spacing w:val="-4"/>
                              </w:rPr>
                              <w:t> </w:t>
                            </w:r>
                            <w:r>
                              <w:rPr/>
                              <w:t>poner</w:t>
                            </w:r>
                            <w:r>
                              <w:rPr>
                                <w:spacing w:val="-3"/>
                              </w:rPr>
                              <w:t> </w:t>
                            </w:r>
                            <w:r>
                              <w:rPr/>
                              <w:t>el</w:t>
                            </w:r>
                            <w:r>
                              <w:rPr>
                                <w:spacing w:val="-3"/>
                              </w:rPr>
                              <w:t> </w:t>
                            </w:r>
                            <w:r>
                              <w:rPr/>
                              <w:t>activo en</w:t>
                            </w:r>
                            <w:r>
                              <w:rPr>
                                <w:spacing w:val="-3"/>
                              </w:rPr>
                              <w:t> </w:t>
                            </w:r>
                            <w:r>
                              <w:rPr/>
                              <w:t>condiciones de uso. Los intangibles generados internamente capitalizan únicamente la fase de desarrollo, mientras que la fase de investigación se reconoce como gasto. La entidad aplica umbrales internos para diferenciar bienes capitalizables de activos de menor cuantía, que se registran directamente como gasto del periodo.</w:t>
                            </w:r>
                          </w:p>
                        </w:txbxContent>
                      </wps:txbx>
                      <wps:bodyPr wrap="square" lIns="0" tIns="0" rIns="0" bIns="0" rtlCol="0">
                        <a:noAutofit/>
                      </wps:bodyPr>
                    </wps:wsp>
                  </a:graphicData>
                </a:graphic>
              </wp:anchor>
            </w:drawing>
          </mc:Choice>
          <mc:Fallback>
            <w:pict>
              <v:shape style="position:absolute;margin-left:85.344002pt;margin-top:6.4625pt;width:441.5pt;height:198.05pt;mso-position-horizontal-relative:page;mso-position-vertical-relative:paragraph;z-index:-15710208;mso-wrap-distance-left:0;mso-wrap-distance-right:0" type="#_x0000_t202" id="docshape8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100"/>
                        <w:jc w:val="both"/>
                      </w:pPr>
                      <w:r>
                        <w:rPr/>
                        <w:t>La</w:t>
                      </w:r>
                      <w:r>
                        <w:rPr>
                          <w:spacing w:val="-8"/>
                        </w:rPr>
                        <w:t> </w:t>
                      </w:r>
                      <w:r>
                        <w:rPr/>
                        <w:t>entidad</w:t>
                      </w:r>
                      <w:r>
                        <w:rPr>
                          <w:spacing w:val="-8"/>
                        </w:rPr>
                        <w:t> </w:t>
                      </w:r>
                      <w:r>
                        <w:rPr/>
                        <w:t>reconoce</w:t>
                      </w:r>
                      <w:r>
                        <w:rPr>
                          <w:spacing w:val="-9"/>
                        </w:rPr>
                        <w:t> </w:t>
                      </w:r>
                      <w:r>
                        <w:rPr/>
                        <w:t>como</w:t>
                      </w:r>
                      <w:r>
                        <w:rPr>
                          <w:spacing w:val="-6"/>
                        </w:rPr>
                        <w:t> </w:t>
                      </w:r>
                      <w:r>
                        <w:rPr/>
                        <w:t>activos</w:t>
                      </w:r>
                      <w:r>
                        <w:rPr>
                          <w:spacing w:val="-6"/>
                        </w:rPr>
                        <w:t> </w:t>
                      </w:r>
                      <w:r>
                        <w:rPr/>
                        <w:t>no</w:t>
                      </w:r>
                      <w:r>
                        <w:rPr>
                          <w:spacing w:val="-6"/>
                        </w:rPr>
                        <w:t> </w:t>
                      </w:r>
                      <w:r>
                        <w:rPr/>
                        <w:t>corrientes</w:t>
                      </w:r>
                      <w:r>
                        <w:rPr>
                          <w:spacing w:val="-7"/>
                        </w:rPr>
                        <w:t> </w:t>
                      </w:r>
                      <w:r>
                        <w:rPr/>
                        <w:t>aquellos</w:t>
                      </w:r>
                      <w:r>
                        <w:rPr>
                          <w:spacing w:val="-6"/>
                        </w:rPr>
                        <w:t> </w:t>
                      </w:r>
                      <w:r>
                        <w:rPr/>
                        <w:t>recursos</w:t>
                      </w:r>
                      <w:r>
                        <w:rPr>
                          <w:spacing w:val="-6"/>
                        </w:rPr>
                        <w:t> </w:t>
                      </w:r>
                      <w:r>
                        <w:rPr/>
                        <w:t>controlados</w:t>
                      </w:r>
                      <w:r>
                        <w:rPr>
                          <w:spacing w:val="-6"/>
                        </w:rPr>
                        <w:t> </w:t>
                      </w:r>
                      <w:r>
                        <w:rPr/>
                        <w:t>por</w:t>
                      </w:r>
                      <w:r>
                        <w:rPr>
                          <w:spacing w:val="-7"/>
                        </w:rPr>
                        <w:t> </w:t>
                      </w:r>
                      <w:r>
                        <w:rPr/>
                        <w:t>sucesos</w:t>
                      </w:r>
                      <w:r>
                        <w:rPr>
                          <w:spacing w:val="-6"/>
                        </w:rPr>
                        <w:t> </w:t>
                      </w:r>
                      <w:r>
                        <w:rPr/>
                        <w:t>pasados, de los cuales se espera obtener beneficios económicos futuros o potencial de servicio durante más de un periodo contable, incluyendo la propiedad, planta y equipo y los activos intangibles, contabilizados según las NICSP 17 y 31. Un activo no corriente se reconoce únicamente si es probable</w:t>
                      </w:r>
                      <w:r>
                        <w:rPr>
                          <w:spacing w:val="-5"/>
                        </w:rPr>
                        <w:t> </w:t>
                      </w:r>
                      <w:r>
                        <w:rPr/>
                        <w:t>que</w:t>
                      </w:r>
                      <w:r>
                        <w:rPr>
                          <w:spacing w:val="-5"/>
                        </w:rPr>
                        <w:t> </w:t>
                      </w:r>
                      <w:r>
                        <w:rPr/>
                        <w:t>genere</w:t>
                      </w:r>
                      <w:r>
                        <w:rPr>
                          <w:spacing w:val="-5"/>
                        </w:rPr>
                        <w:t> </w:t>
                      </w:r>
                      <w:r>
                        <w:rPr/>
                        <w:t>beneficios</w:t>
                      </w:r>
                      <w:r>
                        <w:rPr>
                          <w:spacing w:val="-3"/>
                        </w:rPr>
                        <w:t> </w:t>
                      </w:r>
                      <w:r>
                        <w:rPr/>
                        <w:t>o</w:t>
                      </w:r>
                      <w:r>
                        <w:rPr>
                          <w:spacing w:val="-5"/>
                        </w:rPr>
                        <w:t> </w:t>
                      </w:r>
                      <w:r>
                        <w:rPr/>
                        <w:t>servicio,</w:t>
                      </w:r>
                      <w:r>
                        <w:rPr>
                          <w:spacing w:val="-4"/>
                        </w:rPr>
                        <w:t> </w:t>
                      </w:r>
                      <w:r>
                        <w:rPr/>
                        <w:t>su</w:t>
                      </w:r>
                      <w:r>
                        <w:rPr>
                          <w:spacing w:val="-4"/>
                        </w:rPr>
                        <w:t> </w:t>
                      </w:r>
                      <w:r>
                        <w:rPr/>
                        <w:t>costo</w:t>
                      </w:r>
                      <w:r>
                        <w:rPr>
                          <w:spacing w:val="-3"/>
                        </w:rPr>
                        <w:t> </w:t>
                      </w:r>
                      <w:r>
                        <w:rPr/>
                        <w:t>puede</w:t>
                      </w:r>
                      <w:r>
                        <w:rPr>
                          <w:spacing w:val="-5"/>
                        </w:rPr>
                        <w:t> </w:t>
                      </w:r>
                      <w:r>
                        <w:rPr/>
                        <w:t>medirse</w:t>
                      </w:r>
                      <w:r>
                        <w:rPr>
                          <w:spacing w:val="-5"/>
                        </w:rPr>
                        <w:t> </w:t>
                      </w:r>
                      <w:r>
                        <w:rPr/>
                        <w:t>de</w:t>
                      </w:r>
                      <w:r>
                        <w:rPr>
                          <w:spacing w:val="-5"/>
                        </w:rPr>
                        <w:t> </w:t>
                      </w:r>
                      <w:r>
                        <w:rPr/>
                        <w:t>manera</w:t>
                      </w:r>
                      <w:r>
                        <w:rPr>
                          <w:spacing w:val="-4"/>
                        </w:rPr>
                        <w:t> </w:t>
                      </w:r>
                      <w:r>
                        <w:rPr/>
                        <w:t>fiable</w:t>
                      </w:r>
                      <w:r>
                        <w:rPr>
                          <w:spacing w:val="-5"/>
                        </w:rPr>
                        <w:t> </w:t>
                      </w:r>
                      <w:r>
                        <w:rPr/>
                        <w:t>y,</w:t>
                      </w:r>
                      <w:r>
                        <w:rPr>
                          <w:spacing w:val="-4"/>
                        </w:rPr>
                        <w:t> </w:t>
                      </w:r>
                      <w:r>
                        <w:rPr/>
                        <w:t>en</w:t>
                      </w:r>
                      <w:r>
                        <w:rPr>
                          <w:spacing w:val="-3"/>
                        </w:rPr>
                        <w:t> </w:t>
                      </w:r>
                      <w:r>
                        <w:rPr/>
                        <w:t>el</w:t>
                      </w:r>
                      <w:r>
                        <w:rPr>
                          <w:spacing w:val="-4"/>
                        </w:rPr>
                        <w:t> </w:t>
                      </w:r>
                      <w:r>
                        <w:rPr/>
                        <w:t>caso</w:t>
                      </w:r>
                      <w:r>
                        <w:rPr>
                          <w:spacing w:val="-3"/>
                        </w:rPr>
                        <w:t> </w:t>
                      </w:r>
                      <w:r>
                        <w:rPr/>
                        <w:t>de los intangibles, si es identificable, controlable y atribuible a la entidad.</w:t>
                      </w:r>
                    </w:p>
                    <w:p>
                      <w:pPr>
                        <w:pStyle w:val="BodyText"/>
                        <w:spacing w:before="17"/>
                      </w:pPr>
                    </w:p>
                    <w:p>
                      <w:pPr>
                        <w:pStyle w:val="BodyText"/>
                        <w:spacing w:line="259" w:lineRule="auto" w:before="1"/>
                        <w:ind w:left="103" w:right="101"/>
                        <w:jc w:val="both"/>
                      </w:pPr>
                      <w:r>
                        <w:rPr/>
                        <w:t>Gastos</w:t>
                      </w:r>
                      <w:r>
                        <w:rPr>
                          <w:spacing w:val="-14"/>
                        </w:rPr>
                        <w:t> </w:t>
                      </w:r>
                      <w:r>
                        <w:rPr/>
                        <w:t>como</w:t>
                      </w:r>
                      <w:r>
                        <w:rPr>
                          <w:spacing w:val="-14"/>
                        </w:rPr>
                        <w:t> </w:t>
                      </w:r>
                      <w:r>
                        <w:rPr/>
                        <w:t>investigación,</w:t>
                      </w:r>
                      <w:r>
                        <w:rPr>
                          <w:spacing w:val="-14"/>
                        </w:rPr>
                        <w:t> </w:t>
                      </w:r>
                      <w:r>
                        <w:rPr/>
                        <w:t>capacitación</w:t>
                      </w:r>
                      <w:r>
                        <w:rPr>
                          <w:spacing w:val="-13"/>
                        </w:rPr>
                        <w:t> </w:t>
                      </w:r>
                      <w:r>
                        <w:rPr/>
                        <w:t>o</w:t>
                      </w:r>
                      <w:r>
                        <w:rPr>
                          <w:spacing w:val="-14"/>
                        </w:rPr>
                        <w:t> </w:t>
                      </w:r>
                      <w:r>
                        <w:rPr/>
                        <w:t>publicidad</w:t>
                      </w:r>
                      <w:r>
                        <w:rPr>
                          <w:spacing w:val="-14"/>
                        </w:rPr>
                        <w:t> </w:t>
                      </w:r>
                      <w:r>
                        <w:rPr/>
                        <w:t>no</w:t>
                      </w:r>
                      <w:r>
                        <w:rPr>
                          <w:spacing w:val="-14"/>
                        </w:rPr>
                        <w:t> </w:t>
                      </w:r>
                      <w:r>
                        <w:rPr/>
                        <w:t>se</w:t>
                      </w:r>
                      <w:r>
                        <w:rPr>
                          <w:spacing w:val="-13"/>
                        </w:rPr>
                        <w:t> </w:t>
                      </w:r>
                      <w:r>
                        <w:rPr/>
                        <w:t>capitalizan,</w:t>
                      </w:r>
                      <w:r>
                        <w:rPr>
                          <w:spacing w:val="-14"/>
                        </w:rPr>
                        <w:t> </w:t>
                      </w:r>
                      <w:r>
                        <w:rPr/>
                        <w:t>y</w:t>
                      </w:r>
                      <w:r>
                        <w:rPr>
                          <w:spacing w:val="-14"/>
                        </w:rPr>
                        <w:t> </w:t>
                      </w:r>
                      <w:r>
                        <w:rPr/>
                        <w:t>la</w:t>
                      </w:r>
                      <w:r>
                        <w:rPr>
                          <w:spacing w:val="-14"/>
                        </w:rPr>
                        <w:t> </w:t>
                      </w:r>
                      <w:r>
                        <w:rPr/>
                        <w:t>medición</w:t>
                      </w:r>
                      <w:r>
                        <w:rPr>
                          <w:spacing w:val="-13"/>
                        </w:rPr>
                        <w:t> </w:t>
                      </w:r>
                      <w:r>
                        <w:rPr/>
                        <w:t>inicial</w:t>
                      </w:r>
                      <w:r>
                        <w:rPr>
                          <w:spacing w:val="-14"/>
                        </w:rPr>
                        <w:t> </w:t>
                      </w:r>
                      <w:r>
                        <w:rPr/>
                        <w:t>se</w:t>
                      </w:r>
                      <w:r>
                        <w:rPr>
                          <w:spacing w:val="-14"/>
                        </w:rPr>
                        <w:t> </w:t>
                      </w:r>
                      <w:r>
                        <w:rPr/>
                        <w:t>realiza al</w:t>
                      </w:r>
                      <w:r>
                        <w:rPr>
                          <w:spacing w:val="-3"/>
                        </w:rPr>
                        <w:t> </w:t>
                      </w:r>
                      <w:r>
                        <w:rPr/>
                        <w:t>costo,</w:t>
                      </w:r>
                      <w:r>
                        <w:rPr>
                          <w:spacing w:val="-3"/>
                        </w:rPr>
                        <w:t> </w:t>
                      </w:r>
                      <w:r>
                        <w:rPr/>
                        <w:t>incluyendo</w:t>
                      </w:r>
                      <w:r>
                        <w:rPr>
                          <w:spacing w:val="-3"/>
                        </w:rPr>
                        <w:t> </w:t>
                      </w:r>
                      <w:r>
                        <w:rPr/>
                        <w:t>solo</w:t>
                      </w:r>
                      <w:r>
                        <w:rPr>
                          <w:spacing w:val="-3"/>
                        </w:rPr>
                        <w:t> </w:t>
                      </w:r>
                      <w:r>
                        <w:rPr/>
                        <w:t>los</w:t>
                      </w:r>
                      <w:r>
                        <w:rPr>
                          <w:spacing w:val="-4"/>
                        </w:rPr>
                        <w:t> </w:t>
                      </w:r>
                      <w:r>
                        <w:rPr/>
                        <w:t>desembolsos</w:t>
                      </w:r>
                      <w:r>
                        <w:rPr>
                          <w:spacing w:val="-2"/>
                        </w:rPr>
                        <w:t> </w:t>
                      </w:r>
                      <w:r>
                        <w:rPr/>
                        <w:t>directamente</w:t>
                      </w:r>
                      <w:r>
                        <w:rPr>
                          <w:spacing w:val="-4"/>
                        </w:rPr>
                        <w:t> </w:t>
                      </w:r>
                      <w:r>
                        <w:rPr/>
                        <w:t>atribuibles</w:t>
                      </w:r>
                      <w:r>
                        <w:rPr>
                          <w:spacing w:val="-2"/>
                        </w:rPr>
                        <w:t> </w:t>
                      </w:r>
                      <w:r>
                        <w:rPr/>
                        <w:t>a</w:t>
                      </w:r>
                      <w:r>
                        <w:rPr>
                          <w:spacing w:val="-4"/>
                        </w:rPr>
                        <w:t> </w:t>
                      </w:r>
                      <w:r>
                        <w:rPr/>
                        <w:t>poner</w:t>
                      </w:r>
                      <w:r>
                        <w:rPr>
                          <w:spacing w:val="-3"/>
                        </w:rPr>
                        <w:t> </w:t>
                      </w:r>
                      <w:r>
                        <w:rPr/>
                        <w:t>el</w:t>
                      </w:r>
                      <w:r>
                        <w:rPr>
                          <w:spacing w:val="-3"/>
                        </w:rPr>
                        <w:t> </w:t>
                      </w:r>
                      <w:r>
                        <w:rPr/>
                        <w:t>activo en</w:t>
                      </w:r>
                      <w:r>
                        <w:rPr>
                          <w:spacing w:val="-3"/>
                        </w:rPr>
                        <w:t> </w:t>
                      </w:r>
                      <w:r>
                        <w:rPr/>
                        <w:t>condiciones de uso. Los intangibles generados internamente capitalizan únicamente la fase de desarrollo, mientras que la fase de investigación se reconoce como gasto. La entidad aplica umbrales internos para diferenciar bienes capitalizables de activos de menor cuantía, que se registran directamente como gasto del periodo.</w:t>
                      </w:r>
                    </w:p>
                  </w:txbxContent>
                </v:textbox>
                <v:stroke dashstyle="solid"/>
                <w10:wrap type="topAndBottom"/>
              </v:shape>
            </w:pict>
          </mc:Fallback>
        </mc:AlternateContent>
      </w:r>
    </w:p>
    <w:p>
      <w:pPr>
        <w:pStyle w:val="BodyText"/>
        <w:spacing w:after="0"/>
        <w:rPr>
          <w:b/>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4192">
                <wp:simplePos x="0" y="0"/>
                <wp:positionH relativeFrom="page">
                  <wp:posOffset>9525</wp:posOffset>
                </wp:positionH>
                <wp:positionV relativeFrom="page">
                  <wp:posOffset>297208</wp:posOffset>
                </wp:positionV>
                <wp:extent cx="7762875" cy="974852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7762875" cy="9748520"/>
                          <a:chExt cx="7762875" cy="9748520"/>
                        </a:xfrm>
                      </wpg:grpSpPr>
                      <pic:pic>
                        <pic:nvPicPr>
                          <pic:cNvPr id="92" name="Image 92"/>
                          <pic:cNvPicPr/>
                        </pic:nvPicPr>
                        <pic:blipFill>
                          <a:blip r:embed="rId5" cstate="print"/>
                          <a:stretch>
                            <a:fillRect/>
                          </a:stretch>
                        </pic:blipFill>
                        <pic:spPr>
                          <a:xfrm>
                            <a:off x="0" y="0"/>
                            <a:ext cx="7762874" cy="9748489"/>
                          </a:xfrm>
                          <a:prstGeom prst="rect">
                            <a:avLst/>
                          </a:prstGeom>
                        </pic:spPr>
                      </pic:pic>
                      <wps:wsp>
                        <wps:cNvPr id="93" name="Graphic 93"/>
                        <wps:cNvSpPr/>
                        <wps:spPr>
                          <a:xfrm>
                            <a:off x="1053007" y="990837"/>
                            <a:ext cx="5649595" cy="7706359"/>
                          </a:xfrm>
                          <a:custGeom>
                            <a:avLst/>
                            <a:gdLst/>
                            <a:ahLst/>
                            <a:cxnLst/>
                            <a:rect l="l" t="t" r="r" b="b"/>
                            <a:pathLst>
                              <a:path w="5649595" h="7706359">
                                <a:moveTo>
                                  <a:pt x="24384" y="132651"/>
                                </a:moveTo>
                                <a:lnTo>
                                  <a:pt x="18288" y="132651"/>
                                </a:lnTo>
                                <a:lnTo>
                                  <a:pt x="18288" y="7700200"/>
                                </a:lnTo>
                                <a:lnTo>
                                  <a:pt x="24384" y="7700200"/>
                                </a:lnTo>
                                <a:lnTo>
                                  <a:pt x="24384" y="132651"/>
                                </a:lnTo>
                                <a:close/>
                              </a:path>
                              <a:path w="5649595" h="7706359">
                                <a:moveTo>
                                  <a:pt x="5630862" y="7700213"/>
                                </a:moveTo>
                                <a:lnTo>
                                  <a:pt x="5624830" y="7700213"/>
                                </a:lnTo>
                                <a:lnTo>
                                  <a:pt x="24384" y="7700213"/>
                                </a:lnTo>
                                <a:lnTo>
                                  <a:pt x="18288" y="7700213"/>
                                </a:lnTo>
                                <a:lnTo>
                                  <a:pt x="18288" y="7706296"/>
                                </a:lnTo>
                                <a:lnTo>
                                  <a:pt x="24384" y="7706296"/>
                                </a:lnTo>
                                <a:lnTo>
                                  <a:pt x="5624779" y="7706296"/>
                                </a:lnTo>
                                <a:lnTo>
                                  <a:pt x="5630862" y="7706296"/>
                                </a:lnTo>
                                <a:lnTo>
                                  <a:pt x="5630862" y="7700213"/>
                                </a:lnTo>
                                <a:close/>
                              </a:path>
                              <a:path w="5649595" h="7706359">
                                <a:moveTo>
                                  <a:pt x="5630862" y="132651"/>
                                </a:moveTo>
                                <a:lnTo>
                                  <a:pt x="5624779" y="132651"/>
                                </a:lnTo>
                                <a:lnTo>
                                  <a:pt x="5624779" y="7700200"/>
                                </a:lnTo>
                                <a:lnTo>
                                  <a:pt x="5630862" y="7700200"/>
                                </a:lnTo>
                                <a:lnTo>
                                  <a:pt x="5630862" y="132651"/>
                                </a:lnTo>
                                <a:close/>
                              </a:path>
                              <a:path w="5649595" h="7706359">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0635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2288" id="docshapegroup90" coordorigin="15,468" coordsize="12225,15352">
                <v:shape style="position:absolute;left:15;top:468;width:12225;height:15352" type="#_x0000_t75" id="docshape91" stroked="false">
                  <v:imagedata r:id="rId5" o:title=""/>
                </v:shape>
                <v:shape style="position:absolute;left:1673;top:2028;width:8897;height:12136" id="docshape92" coordorigin="1673,2028" coordsize="8897,12136" path="m1712,2237l1702,2237,1702,14155,1712,14155,1712,2237xm10541,14155l10531,14155,10531,14155,1712,14155,1702,14155,1702,14164,1712,14164,10531,14164,10531,14164,10541,14164,10541,14155xm10541,2237l10531,2237,10531,14155,10541,14155,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26</w:t>
      </w:r>
    </w:p>
    <w:p>
      <w:pPr>
        <w:pStyle w:val="BodyText"/>
        <w:spacing w:before="247"/>
      </w:pPr>
    </w:p>
    <w:p>
      <w:pPr>
        <w:pStyle w:val="BodyText"/>
        <w:spacing w:line="259" w:lineRule="auto" w:before="1"/>
        <w:ind w:left="734" w:right="1088"/>
        <w:jc w:val="both"/>
      </w:pPr>
      <w:r>
        <w:rPr/>
        <w:t>El reconocimiento inicial es al costo, el cual incluye todos los costos necesarios para conseguir que el</w:t>
      </w:r>
      <w:r>
        <w:rPr>
          <w:spacing w:val="-12"/>
        </w:rPr>
        <w:t> </w:t>
      </w:r>
      <w:r>
        <w:rPr/>
        <w:t>activo</w:t>
      </w:r>
      <w:r>
        <w:rPr>
          <w:spacing w:val="-11"/>
        </w:rPr>
        <w:t> </w:t>
      </w:r>
      <w:r>
        <w:rPr/>
        <w:t>esté</w:t>
      </w:r>
      <w:r>
        <w:rPr>
          <w:spacing w:val="-12"/>
        </w:rPr>
        <w:t> </w:t>
      </w:r>
      <w:r>
        <w:rPr/>
        <w:t>listo</w:t>
      </w:r>
      <w:r>
        <w:rPr>
          <w:spacing w:val="-11"/>
        </w:rPr>
        <w:t> </w:t>
      </w:r>
      <w:r>
        <w:rPr/>
        <w:t>para</w:t>
      </w:r>
      <w:r>
        <w:rPr>
          <w:spacing w:val="-12"/>
        </w:rPr>
        <w:t> </w:t>
      </w:r>
      <w:r>
        <w:rPr/>
        <w:t>el</w:t>
      </w:r>
      <w:r>
        <w:rPr>
          <w:spacing w:val="-12"/>
        </w:rPr>
        <w:t> </w:t>
      </w:r>
      <w:r>
        <w:rPr/>
        <w:t>uso</w:t>
      </w:r>
      <w:r>
        <w:rPr>
          <w:spacing w:val="-13"/>
        </w:rPr>
        <w:t> </w:t>
      </w:r>
      <w:r>
        <w:rPr/>
        <w:t>que</w:t>
      </w:r>
      <w:r>
        <w:rPr>
          <w:spacing w:val="-13"/>
        </w:rPr>
        <w:t> </w:t>
      </w:r>
      <w:r>
        <w:rPr/>
        <w:t>se</w:t>
      </w:r>
      <w:r>
        <w:rPr>
          <w:spacing w:val="-13"/>
        </w:rPr>
        <w:t> </w:t>
      </w:r>
      <w:r>
        <w:rPr/>
        <w:t>tiene</w:t>
      </w:r>
      <w:r>
        <w:rPr>
          <w:spacing w:val="-13"/>
        </w:rPr>
        <w:t> </w:t>
      </w:r>
      <w:r>
        <w:rPr/>
        <w:t>la</w:t>
      </w:r>
      <w:r>
        <w:rPr>
          <w:spacing w:val="-13"/>
        </w:rPr>
        <w:t> </w:t>
      </w:r>
      <w:r>
        <w:rPr/>
        <w:t>intención</w:t>
      </w:r>
      <w:r>
        <w:rPr>
          <w:spacing w:val="-12"/>
        </w:rPr>
        <w:t> </w:t>
      </w:r>
      <w:r>
        <w:rPr/>
        <w:t>darle.</w:t>
      </w:r>
      <w:r>
        <w:rPr>
          <w:spacing w:val="-13"/>
        </w:rPr>
        <w:t> </w:t>
      </w:r>
      <w:r>
        <w:rPr/>
        <w:t>Cuando</w:t>
      </w:r>
      <w:r>
        <w:rPr>
          <w:spacing w:val="-11"/>
        </w:rPr>
        <w:t> </w:t>
      </w:r>
      <w:r>
        <w:rPr/>
        <w:t>un</w:t>
      </w:r>
      <w:r>
        <w:rPr>
          <w:spacing w:val="-12"/>
        </w:rPr>
        <w:t> </w:t>
      </w:r>
      <w:r>
        <w:rPr/>
        <w:t>activo</w:t>
      </w:r>
      <w:r>
        <w:rPr>
          <w:spacing w:val="-11"/>
        </w:rPr>
        <w:t> </w:t>
      </w:r>
      <w:r>
        <w:rPr/>
        <w:t>es</w:t>
      </w:r>
      <w:r>
        <w:rPr>
          <w:spacing w:val="-11"/>
        </w:rPr>
        <w:t> </w:t>
      </w:r>
      <w:r>
        <w:rPr/>
        <w:t>adquirido</w:t>
      </w:r>
      <w:r>
        <w:rPr>
          <w:spacing w:val="-11"/>
        </w:rPr>
        <w:t> </w:t>
      </w:r>
      <w:r>
        <w:rPr/>
        <w:t>sin</w:t>
      </w:r>
      <w:r>
        <w:rPr>
          <w:spacing w:val="-12"/>
        </w:rPr>
        <w:t> </w:t>
      </w:r>
      <w:r>
        <w:rPr/>
        <w:t>costo, o por un costo nominal, su costo es su valor razonable a la fecha de adquisición.</w:t>
      </w:r>
    </w:p>
    <w:p>
      <w:pPr>
        <w:pStyle w:val="BodyText"/>
        <w:spacing w:before="20"/>
      </w:pPr>
    </w:p>
    <w:p>
      <w:pPr>
        <w:pStyle w:val="BodyText"/>
        <w:spacing w:line="256" w:lineRule="auto"/>
        <w:ind w:left="734" w:right="1093"/>
        <w:jc w:val="both"/>
      </w:pPr>
      <w:r>
        <w:rPr/>
        <w:t>Las</w:t>
      </w:r>
      <w:r>
        <w:rPr>
          <w:spacing w:val="-14"/>
        </w:rPr>
        <w:t> </w:t>
      </w:r>
      <w:r>
        <w:rPr/>
        <w:t>piezas</w:t>
      </w:r>
      <w:r>
        <w:rPr>
          <w:spacing w:val="-14"/>
        </w:rPr>
        <w:t> </w:t>
      </w:r>
      <w:r>
        <w:rPr/>
        <w:t>de</w:t>
      </w:r>
      <w:r>
        <w:rPr>
          <w:spacing w:val="-14"/>
        </w:rPr>
        <w:t> </w:t>
      </w:r>
      <w:r>
        <w:rPr/>
        <w:t>repuesto</w:t>
      </w:r>
      <w:r>
        <w:rPr>
          <w:spacing w:val="-13"/>
        </w:rPr>
        <w:t> </w:t>
      </w:r>
      <w:r>
        <w:rPr/>
        <w:t>importantes</w:t>
      </w:r>
      <w:r>
        <w:rPr>
          <w:spacing w:val="-14"/>
        </w:rPr>
        <w:t> </w:t>
      </w:r>
      <w:r>
        <w:rPr/>
        <w:t>y</w:t>
      </w:r>
      <w:r>
        <w:rPr>
          <w:spacing w:val="-14"/>
        </w:rPr>
        <w:t> </w:t>
      </w:r>
      <w:r>
        <w:rPr/>
        <w:t>el</w:t>
      </w:r>
      <w:r>
        <w:rPr>
          <w:spacing w:val="-14"/>
        </w:rPr>
        <w:t> </w:t>
      </w:r>
      <w:r>
        <w:rPr/>
        <w:t>equipo</w:t>
      </w:r>
      <w:r>
        <w:rPr>
          <w:spacing w:val="-13"/>
        </w:rPr>
        <w:t> </w:t>
      </w:r>
      <w:r>
        <w:rPr/>
        <w:t>de</w:t>
      </w:r>
      <w:r>
        <w:rPr>
          <w:spacing w:val="-14"/>
        </w:rPr>
        <w:t> </w:t>
      </w:r>
      <w:r>
        <w:rPr/>
        <w:t>mantenimiento</w:t>
      </w:r>
      <w:r>
        <w:rPr>
          <w:spacing w:val="-14"/>
        </w:rPr>
        <w:t> </w:t>
      </w:r>
      <w:r>
        <w:rPr/>
        <w:t>permanente,</w:t>
      </w:r>
      <w:r>
        <w:rPr>
          <w:spacing w:val="-14"/>
        </w:rPr>
        <w:t> </w:t>
      </w:r>
      <w:r>
        <w:rPr/>
        <w:t>que</w:t>
      </w:r>
      <w:r>
        <w:rPr>
          <w:spacing w:val="-13"/>
        </w:rPr>
        <w:t> </w:t>
      </w:r>
      <w:r>
        <w:rPr/>
        <w:t>la</w:t>
      </w:r>
      <w:r>
        <w:rPr>
          <w:spacing w:val="-14"/>
        </w:rPr>
        <w:t> </w:t>
      </w:r>
      <w:r>
        <w:rPr/>
        <w:t>entidad</w:t>
      </w:r>
      <w:r>
        <w:rPr>
          <w:spacing w:val="-14"/>
        </w:rPr>
        <w:t> </w:t>
      </w:r>
      <w:r>
        <w:rPr/>
        <w:t>espere utilizar durante más de un periodo, se califican como elementos de propiedades, planta y equipo.</w:t>
      </w:r>
    </w:p>
    <w:p>
      <w:pPr>
        <w:pStyle w:val="BodyText"/>
        <w:spacing w:before="23"/>
      </w:pPr>
    </w:p>
    <w:p>
      <w:pPr>
        <w:pStyle w:val="BodyText"/>
        <w:spacing w:before="1"/>
        <w:ind w:left="734"/>
        <w:jc w:val="both"/>
      </w:pPr>
      <w:r>
        <w:rPr/>
        <w:t>No</w:t>
      </w:r>
      <w:r>
        <w:rPr>
          <w:spacing w:val="-4"/>
        </w:rPr>
        <w:t> </w:t>
      </w:r>
      <w:r>
        <w:rPr/>
        <w:t>se</w:t>
      </w:r>
      <w:r>
        <w:rPr>
          <w:spacing w:val="-4"/>
        </w:rPr>
        <w:t> </w:t>
      </w:r>
      <w:r>
        <w:rPr/>
        <w:t>cuenta</w:t>
      </w:r>
      <w:r>
        <w:rPr>
          <w:spacing w:val="-3"/>
        </w:rPr>
        <w:t> </w:t>
      </w:r>
      <w:r>
        <w:rPr/>
        <w:t>con</w:t>
      </w:r>
      <w:r>
        <w:rPr>
          <w:spacing w:val="-3"/>
        </w:rPr>
        <w:t> </w:t>
      </w:r>
      <w:r>
        <w:rPr/>
        <w:t>activos</w:t>
      </w:r>
      <w:r>
        <w:rPr>
          <w:spacing w:val="-2"/>
        </w:rPr>
        <w:t> </w:t>
      </w:r>
      <w:r>
        <w:rPr/>
        <w:t>denominados</w:t>
      </w:r>
      <w:r>
        <w:rPr>
          <w:spacing w:val="-2"/>
        </w:rPr>
        <w:t> infraestructuras.</w:t>
      </w:r>
    </w:p>
    <w:p>
      <w:pPr>
        <w:pStyle w:val="BodyText"/>
      </w:pPr>
    </w:p>
    <w:p>
      <w:pPr>
        <w:pStyle w:val="BodyText"/>
        <w:spacing w:before="61"/>
      </w:pPr>
    </w:p>
    <w:p>
      <w:pPr>
        <w:pStyle w:val="Heading6"/>
        <w:ind w:left="734"/>
        <w:jc w:val="both"/>
      </w:pPr>
      <w:r>
        <w:rPr/>
        <w:t>Umbrales</w:t>
      </w:r>
      <w:r>
        <w:rPr>
          <w:spacing w:val="-2"/>
        </w:rPr>
        <w:t> </w:t>
      </w:r>
      <w:r>
        <w:rPr/>
        <w:t>de</w:t>
      </w:r>
      <w:r>
        <w:rPr>
          <w:spacing w:val="-1"/>
        </w:rPr>
        <w:t> </w:t>
      </w:r>
      <w:r>
        <w:rPr>
          <w:spacing w:val="-2"/>
        </w:rPr>
        <w:t>reconocimiento</w:t>
      </w:r>
    </w:p>
    <w:p>
      <w:pPr>
        <w:pStyle w:val="BodyText"/>
        <w:spacing w:line="259" w:lineRule="auto" w:before="18"/>
        <w:ind w:left="734" w:right="1090"/>
        <w:jc w:val="both"/>
      </w:pPr>
      <w:r>
        <w:rPr/>
        <w:t>Cada entidad tiene que determinar el valor por encima del cual los activos se capitalizan y se informan</w:t>
      </w:r>
      <w:r>
        <w:rPr>
          <w:spacing w:val="-9"/>
        </w:rPr>
        <w:t> </w:t>
      </w:r>
      <w:r>
        <w:rPr/>
        <w:t>en</w:t>
      </w:r>
      <w:r>
        <w:rPr>
          <w:spacing w:val="-9"/>
        </w:rPr>
        <w:t> </w:t>
      </w:r>
      <w:r>
        <w:rPr/>
        <w:t>los</w:t>
      </w:r>
      <w:r>
        <w:rPr>
          <w:spacing w:val="-9"/>
        </w:rPr>
        <w:t> </w:t>
      </w:r>
      <w:r>
        <w:rPr/>
        <w:t>estados</w:t>
      </w:r>
      <w:r>
        <w:rPr>
          <w:spacing w:val="-9"/>
        </w:rPr>
        <w:t> </w:t>
      </w:r>
      <w:r>
        <w:rPr/>
        <w:t>financieros.</w:t>
      </w:r>
      <w:r>
        <w:rPr>
          <w:spacing w:val="80"/>
        </w:rPr>
        <w:t> </w:t>
      </w:r>
      <w:r>
        <w:rPr/>
        <w:t>Cuando</w:t>
      </w:r>
      <w:r>
        <w:rPr>
          <w:spacing w:val="-9"/>
        </w:rPr>
        <w:t> </w:t>
      </w:r>
      <w:r>
        <w:rPr/>
        <w:t>una</w:t>
      </w:r>
      <w:r>
        <w:rPr>
          <w:spacing w:val="-10"/>
        </w:rPr>
        <w:t> </w:t>
      </w:r>
      <w:r>
        <w:rPr/>
        <w:t>entidad</w:t>
      </w:r>
      <w:r>
        <w:rPr>
          <w:spacing w:val="-10"/>
        </w:rPr>
        <w:t> </w:t>
      </w:r>
      <w:r>
        <w:rPr/>
        <w:t>establece</w:t>
      </w:r>
      <w:r>
        <w:rPr>
          <w:spacing w:val="-11"/>
        </w:rPr>
        <w:t> </w:t>
      </w:r>
      <w:r>
        <w:rPr/>
        <w:t>un</w:t>
      </w:r>
      <w:r>
        <w:rPr>
          <w:spacing w:val="-9"/>
        </w:rPr>
        <w:t> </w:t>
      </w:r>
      <w:r>
        <w:rPr/>
        <w:t>umbral</w:t>
      </w:r>
      <w:r>
        <w:rPr>
          <w:spacing w:val="-10"/>
        </w:rPr>
        <w:t> </w:t>
      </w:r>
      <w:r>
        <w:rPr/>
        <w:t>de</w:t>
      </w:r>
      <w:r>
        <w:rPr>
          <w:spacing w:val="-11"/>
        </w:rPr>
        <w:t> </w:t>
      </w:r>
      <w:r>
        <w:rPr/>
        <w:t>capitalización,</w:t>
      </w:r>
      <w:r>
        <w:rPr>
          <w:spacing w:val="-9"/>
        </w:rPr>
        <w:t> </w:t>
      </w:r>
      <w:r>
        <w:rPr/>
        <w:t>los activos</w:t>
      </w:r>
      <w:r>
        <w:rPr>
          <w:spacing w:val="-11"/>
        </w:rPr>
        <w:t> </w:t>
      </w:r>
      <w:r>
        <w:rPr/>
        <w:t>por</w:t>
      </w:r>
      <w:r>
        <w:rPr>
          <w:spacing w:val="-13"/>
        </w:rPr>
        <w:t> </w:t>
      </w:r>
      <w:r>
        <w:rPr/>
        <w:t>debajo</w:t>
      </w:r>
      <w:r>
        <w:rPr>
          <w:spacing w:val="-10"/>
        </w:rPr>
        <w:t> </w:t>
      </w:r>
      <w:r>
        <w:rPr/>
        <w:t>del</w:t>
      </w:r>
      <w:r>
        <w:rPr>
          <w:spacing w:val="-11"/>
        </w:rPr>
        <w:t> </w:t>
      </w:r>
      <w:r>
        <w:rPr/>
        <w:t>umbral</w:t>
      </w:r>
      <w:r>
        <w:rPr>
          <w:spacing w:val="-11"/>
        </w:rPr>
        <w:t> </w:t>
      </w:r>
      <w:r>
        <w:rPr/>
        <w:t>relevante</w:t>
      </w:r>
      <w:r>
        <w:rPr>
          <w:spacing w:val="-11"/>
        </w:rPr>
        <w:t> </w:t>
      </w:r>
      <w:r>
        <w:rPr/>
        <w:t>se</w:t>
      </w:r>
      <w:r>
        <w:rPr>
          <w:spacing w:val="-12"/>
        </w:rPr>
        <w:t> </w:t>
      </w:r>
      <w:r>
        <w:rPr/>
        <w:t>reflejan</w:t>
      </w:r>
      <w:r>
        <w:rPr>
          <w:spacing w:val="-10"/>
        </w:rPr>
        <w:t> </w:t>
      </w:r>
      <w:r>
        <w:rPr/>
        <w:t>como</w:t>
      </w:r>
      <w:r>
        <w:rPr>
          <w:spacing w:val="-12"/>
        </w:rPr>
        <w:t> </w:t>
      </w:r>
      <w:r>
        <w:rPr/>
        <w:t>gastos</w:t>
      </w:r>
      <w:r>
        <w:rPr>
          <w:spacing w:val="-10"/>
        </w:rPr>
        <w:t> </w:t>
      </w:r>
      <w:r>
        <w:rPr/>
        <w:t>en</w:t>
      </w:r>
      <w:r>
        <w:rPr>
          <w:spacing w:val="-13"/>
        </w:rPr>
        <w:t> </w:t>
      </w:r>
      <w:r>
        <w:rPr/>
        <w:t>el</w:t>
      </w:r>
      <w:r>
        <w:rPr>
          <w:spacing w:val="-11"/>
        </w:rPr>
        <w:t> </w:t>
      </w:r>
      <w:r>
        <w:rPr/>
        <w:t>periodo</w:t>
      </w:r>
      <w:r>
        <w:rPr>
          <w:spacing w:val="-12"/>
        </w:rPr>
        <w:t> </w:t>
      </w:r>
      <w:r>
        <w:rPr/>
        <w:t>de</w:t>
      </w:r>
      <w:r>
        <w:rPr>
          <w:spacing w:val="-12"/>
        </w:rPr>
        <w:t> </w:t>
      </w:r>
      <w:r>
        <w:rPr/>
        <w:t>compra</w:t>
      </w:r>
      <w:r>
        <w:rPr>
          <w:spacing w:val="-12"/>
        </w:rPr>
        <w:t> </w:t>
      </w:r>
      <w:r>
        <w:rPr/>
        <w:t>y</w:t>
      </w:r>
      <w:r>
        <w:rPr>
          <w:spacing w:val="-12"/>
        </w:rPr>
        <w:t> </w:t>
      </w:r>
      <w:r>
        <w:rPr/>
        <w:t>los</w:t>
      </w:r>
      <w:r>
        <w:rPr>
          <w:spacing w:val="-10"/>
        </w:rPr>
        <w:t> </w:t>
      </w:r>
      <w:r>
        <w:rPr/>
        <w:t>activos por encima del umbral se reconocen como activos en el estado de situación financiera.</w:t>
      </w:r>
    </w:p>
    <w:p>
      <w:pPr>
        <w:pStyle w:val="BodyText"/>
        <w:spacing w:before="21"/>
      </w:pPr>
    </w:p>
    <w:p>
      <w:pPr>
        <w:pStyle w:val="BodyText"/>
        <w:spacing w:line="259" w:lineRule="auto"/>
        <w:ind w:left="734" w:right="1084"/>
        <w:jc w:val="both"/>
      </w:pPr>
      <w:r>
        <w:rPr/>
        <w:t>El IMAS definió el umbral de reconocimiento con la Resolución Administrativa IMAS-SGSA-RESO-0008-2023,</w:t>
      </w:r>
      <w:r>
        <w:rPr>
          <w:spacing w:val="-3"/>
        </w:rPr>
        <w:t> </w:t>
      </w:r>
      <w:r>
        <w:rPr/>
        <w:t>que</w:t>
      </w:r>
      <w:r>
        <w:rPr>
          <w:spacing w:val="-7"/>
        </w:rPr>
        <w:t> </w:t>
      </w:r>
      <w:r>
        <w:rPr/>
        <w:t>en</w:t>
      </w:r>
      <w:r>
        <w:rPr>
          <w:spacing w:val="-3"/>
        </w:rPr>
        <w:t> </w:t>
      </w:r>
      <w:r>
        <w:rPr/>
        <w:t>el</w:t>
      </w:r>
      <w:r>
        <w:rPr>
          <w:spacing w:val="-6"/>
        </w:rPr>
        <w:t> </w:t>
      </w:r>
      <w:r>
        <w:rPr/>
        <w:t>Por</w:t>
      </w:r>
      <w:r>
        <w:rPr>
          <w:spacing w:val="-5"/>
        </w:rPr>
        <w:t> </w:t>
      </w:r>
      <w:r>
        <w:rPr/>
        <w:t>Tanto</w:t>
      </w:r>
      <w:r>
        <w:rPr>
          <w:spacing w:val="-3"/>
        </w:rPr>
        <w:t> </w:t>
      </w:r>
      <w:r>
        <w:rPr/>
        <w:t>5</w:t>
      </w:r>
      <w:r>
        <w:rPr>
          <w:spacing w:val="-3"/>
        </w:rPr>
        <w:t> </w:t>
      </w:r>
      <w:r>
        <w:rPr/>
        <w:t>estableció</w:t>
      </w:r>
      <w:r>
        <w:rPr>
          <w:spacing w:val="-5"/>
        </w:rPr>
        <w:t> </w:t>
      </w:r>
      <w:r>
        <w:rPr/>
        <w:t>que</w:t>
      </w:r>
      <w:r>
        <w:rPr>
          <w:spacing w:val="-7"/>
        </w:rPr>
        <w:t> </w:t>
      </w:r>
      <w:r>
        <w:rPr/>
        <w:t>serán</w:t>
      </w:r>
      <w:r>
        <w:rPr>
          <w:spacing w:val="-3"/>
        </w:rPr>
        <w:t> </w:t>
      </w:r>
      <w:r>
        <w:rPr/>
        <w:t>reconocidos</w:t>
      </w:r>
      <w:r>
        <w:rPr>
          <w:spacing w:val="-2"/>
        </w:rPr>
        <w:t> </w:t>
      </w:r>
      <w:r>
        <w:rPr/>
        <w:t>como</w:t>
      </w:r>
      <w:r>
        <w:rPr>
          <w:spacing w:val="-3"/>
        </w:rPr>
        <w:t> </w:t>
      </w:r>
      <w:r>
        <w:rPr/>
        <w:t>activos</w:t>
      </w:r>
      <w:r>
        <w:rPr>
          <w:spacing w:val="-2"/>
        </w:rPr>
        <w:t> </w:t>
      </w:r>
      <w:r>
        <w:rPr/>
        <w:t>cuyo</w:t>
      </w:r>
      <w:r>
        <w:rPr>
          <w:spacing w:val="-3"/>
        </w:rPr>
        <w:t> </w:t>
      </w:r>
      <w:r>
        <w:rPr/>
        <w:t>valor se mayor a ¢ 150.000.</w:t>
      </w:r>
    </w:p>
    <w:p>
      <w:pPr>
        <w:pStyle w:val="BodyText"/>
        <w:spacing w:before="18"/>
      </w:pPr>
    </w:p>
    <w:p>
      <w:pPr>
        <w:pStyle w:val="BodyText"/>
        <w:spacing w:line="259" w:lineRule="auto"/>
        <w:ind w:left="734" w:right="1093"/>
        <w:jc w:val="both"/>
      </w:pPr>
      <w:r>
        <w:rPr/>
        <w:t>Los bienes de patrimonio histórico artístico y/o cultural no requieren ser reconocidos según los criterios de reconocimiento de los elementos de propiedad, planta y equipo.</w:t>
      </w:r>
      <w:r>
        <w:rPr>
          <w:spacing w:val="40"/>
        </w:rPr>
        <w:t> </w:t>
      </w:r>
      <w:r>
        <w:rPr/>
        <w:t>La base de medición es el costo histórico, los mismos no se deprecian.</w:t>
      </w:r>
    </w:p>
    <w:p>
      <w:pPr>
        <w:pStyle w:val="BodyText"/>
        <w:spacing w:before="19"/>
      </w:pPr>
    </w:p>
    <w:p>
      <w:pPr>
        <w:pStyle w:val="BodyText"/>
        <w:spacing w:line="259" w:lineRule="auto"/>
        <w:ind w:left="734" w:right="1090"/>
        <w:jc w:val="both"/>
      </w:pPr>
      <w:r>
        <w:rPr/>
        <w:t>Posteriormente, todo elemento de propiedades, planta y equipo, que cumpla las condiciones para ser reconocido como un activo, se mide aplicando el modelo de costo. El modelo de costo es el criterio</w:t>
      </w:r>
      <w:r>
        <w:rPr>
          <w:spacing w:val="-5"/>
        </w:rPr>
        <w:t> </w:t>
      </w:r>
      <w:r>
        <w:rPr/>
        <w:t>general</w:t>
      </w:r>
      <w:r>
        <w:rPr>
          <w:spacing w:val="-6"/>
        </w:rPr>
        <w:t> </w:t>
      </w:r>
      <w:r>
        <w:rPr/>
        <w:t>que</w:t>
      </w:r>
      <w:r>
        <w:rPr>
          <w:spacing w:val="-7"/>
        </w:rPr>
        <w:t> </w:t>
      </w:r>
      <w:r>
        <w:rPr/>
        <w:t>el</w:t>
      </w:r>
      <w:r>
        <w:rPr>
          <w:spacing w:val="-6"/>
        </w:rPr>
        <w:t> </w:t>
      </w:r>
      <w:r>
        <w:rPr/>
        <w:t>IMAS</w:t>
      </w:r>
      <w:r>
        <w:rPr>
          <w:spacing w:val="-5"/>
        </w:rPr>
        <w:t> </w:t>
      </w:r>
      <w:r>
        <w:rPr/>
        <w:t>aplica</w:t>
      </w:r>
      <w:r>
        <w:rPr>
          <w:spacing w:val="-6"/>
        </w:rPr>
        <w:t> </w:t>
      </w:r>
      <w:r>
        <w:rPr/>
        <w:t>para</w:t>
      </w:r>
      <w:r>
        <w:rPr>
          <w:spacing w:val="-6"/>
        </w:rPr>
        <w:t> </w:t>
      </w:r>
      <w:r>
        <w:rPr/>
        <w:t>la</w:t>
      </w:r>
      <w:r>
        <w:rPr>
          <w:spacing w:val="-7"/>
        </w:rPr>
        <w:t> </w:t>
      </w:r>
      <w:r>
        <w:rPr/>
        <w:t>medición</w:t>
      </w:r>
      <w:r>
        <w:rPr>
          <w:spacing w:val="-5"/>
        </w:rPr>
        <w:t> </w:t>
      </w:r>
      <w:r>
        <w:rPr/>
        <w:t>y</w:t>
      </w:r>
      <w:r>
        <w:rPr>
          <w:spacing w:val="-7"/>
        </w:rPr>
        <w:t> </w:t>
      </w:r>
      <w:r>
        <w:rPr/>
        <w:t>reconocimiento</w:t>
      </w:r>
      <w:r>
        <w:rPr>
          <w:spacing w:val="-5"/>
        </w:rPr>
        <w:t> </w:t>
      </w:r>
      <w:r>
        <w:rPr/>
        <w:t>posteriores</w:t>
      </w:r>
      <w:r>
        <w:rPr>
          <w:spacing w:val="-7"/>
        </w:rPr>
        <w:t> </w:t>
      </w:r>
      <w:r>
        <w:rPr/>
        <w:t>de</w:t>
      </w:r>
      <w:r>
        <w:rPr>
          <w:spacing w:val="-7"/>
        </w:rPr>
        <w:t> </w:t>
      </w:r>
      <w:r>
        <w:rPr/>
        <w:t>los</w:t>
      </w:r>
      <w:r>
        <w:rPr>
          <w:spacing w:val="-5"/>
        </w:rPr>
        <w:t> </w:t>
      </w:r>
      <w:r>
        <w:rPr/>
        <w:t>elementos de propiedades, planta y equipo.</w:t>
      </w:r>
    </w:p>
    <w:p>
      <w:pPr>
        <w:pStyle w:val="BodyText"/>
        <w:spacing w:before="21"/>
      </w:pPr>
    </w:p>
    <w:p>
      <w:pPr>
        <w:pStyle w:val="BodyText"/>
        <w:spacing w:line="259" w:lineRule="auto"/>
        <w:ind w:left="734" w:right="1090" w:firstLine="55"/>
        <w:jc w:val="both"/>
      </w:pPr>
      <w:r>
        <w:rPr/>
        <w:t>De conformidad con la Políticas Contables General 1.101.1, el modelo de costo será el criterio general que las entidades deberán aplicar para la medición y reconocimiento posteriores de los elementos</w:t>
      </w:r>
      <w:r>
        <w:rPr>
          <w:spacing w:val="-9"/>
        </w:rPr>
        <w:t> </w:t>
      </w:r>
      <w:r>
        <w:rPr/>
        <w:t>de</w:t>
      </w:r>
      <w:r>
        <w:rPr>
          <w:spacing w:val="-10"/>
        </w:rPr>
        <w:t> </w:t>
      </w:r>
      <w:r>
        <w:rPr/>
        <w:t>propiedades,</w:t>
      </w:r>
      <w:r>
        <w:rPr>
          <w:spacing w:val="-10"/>
        </w:rPr>
        <w:t> </w:t>
      </w:r>
      <w:r>
        <w:rPr/>
        <w:t>planta</w:t>
      </w:r>
      <w:r>
        <w:rPr>
          <w:spacing w:val="-8"/>
        </w:rPr>
        <w:t> </w:t>
      </w:r>
      <w:r>
        <w:rPr/>
        <w:t>y</w:t>
      </w:r>
      <w:r>
        <w:rPr>
          <w:spacing w:val="-9"/>
        </w:rPr>
        <w:t> </w:t>
      </w:r>
      <w:r>
        <w:rPr/>
        <w:t>equipo.</w:t>
      </w:r>
      <w:r>
        <w:rPr>
          <w:spacing w:val="-9"/>
        </w:rPr>
        <w:t> </w:t>
      </w:r>
      <w:r>
        <w:rPr/>
        <w:t>Con</w:t>
      </w:r>
      <w:r>
        <w:rPr>
          <w:spacing w:val="-10"/>
        </w:rPr>
        <w:t> </w:t>
      </w:r>
      <w:r>
        <w:rPr/>
        <w:t>posterioridad</w:t>
      </w:r>
      <w:r>
        <w:rPr>
          <w:spacing w:val="-9"/>
        </w:rPr>
        <w:t> </w:t>
      </w:r>
      <w:r>
        <w:rPr/>
        <w:t>a</w:t>
      </w:r>
      <w:r>
        <w:rPr>
          <w:spacing w:val="-11"/>
        </w:rPr>
        <w:t> </w:t>
      </w:r>
      <w:r>
        <w:rPr/>
        <w:t>su</w:t>
      </w:r>
      <w:r>
        <w:rPr>
          <w:spacing w:val="-9"/>
        </w:rPr>
        <w:t> </w:t>
      </w:r>
      <w:r>
        <w:rPr/>
        <w:t>reconocimiento</w:t>
      </w:r>
      <w:r>
        <w:rPr>
          <w:spacing w:val="-10"/>
        </w:rPr>
        <w:t> </w:t>
      </w:r>
      <w:r>
        <w:rPr/>
        <w:t>como</w:t>
      </w:r>
      <w:r>
        <w:rPr>
          <w:spacing w:val="-7"/>
        </w:rPr>
        <w:t> </w:t>
      </w:r>
      <w:r>
        <w:rPr/>
        <w:t>activo,</w:t>
      </w:r>
      <w:r>
        <w:rPr>
          <w:spacing w:val="-8"/>
        </w:rPr>
        <w:t> </w:t>
      </w:r>
      <w:r>
        <w:rPr/>
        <w:t>un elemento de propiedades, planta y equipo se contabilizará por su costo menos la depreciación y el importe acumulados de las pérdidas por deterioro del valor.</w:t>
      </w:r>
    </w:p>
    <w:p>
      <w:pPr>
        <w:pStyle w:val="BodyText"/>
        <w:spacing w:before="19"/>
      </w:pPr>
    </w:p>
    <w:p>
      <w:pPr>
        <w:pStyle w:val="BodyText"/>
        <w:spacing w:line="516" w:lineRule="auto" w:before="1"/>
        <w:ind w:left="734" w:right="1082"/>
      </w:pPr>
      <w:r>
        <w:rPr/>
        <w:t>Todos</w:t>
      </w:r>
      <w:r>
        <w:rPr>
          <w:spacing w:val="-1"/>
        </w:rPr>
        <w:t> </w:t>
      </w:r>
      <w:r>
        <w:rPr/>
        <w:t>los</w:t>
      </w:r>
      <w:r>
        <w:rPr>
          <w:spacing w:val="-1"/>
        </w:rPr>
        <w:t> </w:t>
      </w:r>
      <w:r>
        <w:rPr/>
        <w:t>componentes</w:t>
      </w:r>
      <w:r>
        <w:rPr>
          <w:spacing w:val="-2"/>
        </w:rPr>
        <w:t> </w:t>
      </w:r>
      <w:r>
        <w:rPr/>
        <w:t>del</w:t>
      </w:r>
      <w:r>
        <w:rPr>
          <w:spacing w:val="-5"/>
        </w:rPr>
        <w:t> </w:t>
      </w:r>
      <w:r>
        <w:rPr/>
        <w:t>rubro</w:t>
      </w:r>
      <w:r>
        <w:rPr>
          <w:spacing w:val="-2"/>
        </w:rPr>
        <w:t> </w:t>
      </w:r>
      <w:r>
        <w:rPr/>
        <w:t>de</w:t>
      </w:r>
      <w:r>
        <w:rPr>
          <w:spacing w:val="-4"/>
        </w:rPr>
        <w:t> </w:t>
      </w:r>
      <w:r>
        <w:rPr/>
        <w:t>propiedad,</w:t>
      </w:r>
      <w:r>
        <w:rPr>
          <w:spacing w:val="-2"/>
        </w:rPr>
        <w:t> </w:t>
      </w:r>
      <w:r>
        <w:rPr/>
        <w:t>planta</w:t>
      </w:r>
      <w:r>
        <w:rPr>
          <w:spacing w:val="-5"/>
        </w:rPr>
        <w:t> </w:t>
      </w:r>
      <w:r>
        <w:rPr/>
        <w:t>y</w:t>
      </w:r>
      <w:r>
        <w:rPr>
          <w:spacing w:val="-3"/>
        </w:rPr>
        <w:t> </w:t>
      </w:r>
      <w:r>
        <w:rPr/>
        <w:t>equipo</w:t>
      </w:r>
      <w:r>
        <w:rPr>
          <w:spacing w:val="-2"/>
        </w:rPr>
        <w:t> </w:t>
      </w:r>
      <w:r>
        <w:rPr/>
        <w:t>se</w:t>
      </w:r>
      <w:r>
        <w:rPr>
          <w:spacing w:val="-3"/>
        </w:rPr>
        <w:t> </w:t>
      </w:r>
      <w:r>
        <w:rPr/>
        <w:t>registran</w:t>
      </w:r>
      <w:r>
        <w:rPr>
          <w:spacing w:val="-2"/>
        </w:rPr>
        <w:t> </w:t>
      </w:r>
      <w:r>
        <w:rPr/>
        <w:t>a</w:t>
      </w:r>
      <w:r>
        <w:rPr>
          <w:spacing w:val="-6"/>
        </w:rPr>
        <w:t> </w:t>
      </w:r>
      <w:r>
        <w:rPr/>
        <w:t>su</w:t>
      </w:r>
      <w:r>
        <w:rPr>
          <w:spacing w:val="-2"/>
        </w:rPr>
        <w:t> </w:t>
      </w:r>
      <w:r>
        <w:rPr/>
        <w:t>costo</w:t>
      </w:r>
      <w:r>
        <w:rPr>
          <w:spacing w:val="-2"/>
        </w:rPr>
        <w:t> </w:t>
      </w:r>
      <w:r>
        <w:rPr/>
        <w:t>histórico. Las reparaciones que no extienden la vida útil se cargan a resultados.</w:t>
      </w:r>
    </w:p>
    <w:p>
      <w:pPr>
        <w:pStyle w:val="BodyText"/>
        <w:spacing w:before="3"/>
        <w:ind w:left="734"/>
      </w:pPr>
      <w:r>
        <w:rPr/>
        <w:t>La</w:t>
      </w:r>
      <w:r>
        <w:rPr>
          <w:spacing w:val="-6"/>
        </w:rPr>
        <w:t> </w:t>
      </w:r>
      <w:r>
        <w:rPr/>
        <w:t>depreciación</w:t>
      </w:r>
      <w:r>
        <w:rPr>
          <w:spacing w:val="-4"/>
        </w:rPr>
        <w:t> </w:t>
      </w:r>
      <w:r>
        <w:rPr/>
        <w:t>se</w:t>
      </w:r>
      <w:r>
        <w:rPr>
          <w:spacing w:val="-4"/>
        </w:rPr>
        <w:t> </w:t>
      </w:r>
      <w:r>
        <w:rPr/>
        <w:t>registra</w:t>
      </w:r>
      <w:r>
        <w:rPr>
          <w:spacing w:val="-5"/>
        </w:rPr>
        <w:t> </w:t>
      </w:r>
      <w:r>
        <w:rPr/>
        <w:t>a</w:t>
      </w:r>
      <w:r>
        <w:rPr>
          <w:spacing w:val="-4"/>
        </w:rPr>
        <w:t> </w:t>
      </w:r>
      <w:r>
        <w:rPr/>
        <w:t>las</w:t>
      </w:r>
      <w:r>
        <w:rPr>
          <w:spacing w:val="-3"/>
        </w:rPr>
        <w:t> </w:t>
      </w:r>
      <w:r>
        <w:rPr/>
        <w:t>tasas</w:t>
      </w:r>
      <w:r>
        <w:rPr>
          <w:spacing w:val="-4"/>
        </w:rPr>
        <w:t> </w:t>
      </w:r>
      <w:r>
        <w:rPr/>
        <w:t>necesarias</w:t>
      </w:r>
      <w:r>
        <w:rPr>
          <w:spacing w:val="-3"/>
        </w:rPr>
        <w:t> </w:t>
      </w:r>
      <w:r>
        <w:rPr/>
        <w:t>para</w:t>
      </w:r>
      <w:r>
        <w:rPr>
          <w:spacing w:val="-4"/>
        </w:rPr>
        <w:t> </w:t>
      </w:r>
      <w:r>
        <w:rPr/>
        <w:t>amortizar</w:t>
      </w:r>
      <w:r>
        <w:rPr>
          <w:spacing w:val="-4"/>
        </w:rPr>
        <w:t> </w:t>
      </w:r>
      <w:r>
        <w:rPr/>
        <w:t>el</w:t>
      </w:r>
      <w:r>
        <w:rPr>
          <w:spacing w:val="-3"/>
        </w:rPr>
        <w:t> </w:t>
      </w:r>
      <w:r>
        <w:rPr/>
        <w:t>costo</w:t>
      </w:r>
      <w:r>
        <w:rPr>
          <w:spacing w:val="-5"/>
        </w:rPr>
        <w:t> </w:t>
      </w:r>
      <w:r>
        <w:rPr/>
        <w:t>según</w:t>
      </w:r>
      <w:r>
        <w:rPr>
          <w:spacing w:val="-4"/>
        </w:rPr>
        <w:t> </w:t>
      </w:r>
      <w:r>
        <w:rPr/>
        <w:t>su</w:t>
      </w:r>
      <w:r>
        <w:rPr>
          <w:spacing w:val="-4"/>
        </w:rPr>
        <w:t> </w:t>
      </w:r>
      <w:r>
        <w:rPr/>
        <w:t>vida</w:t>
      </w:r>
      <w:r>
        <w:rPr>
          <w:spacing w:val="-3"/>
        </w:rPr>
        <w:t> </w:t>
      </w:r>
      <w:r>
        <w:rPr/>
        <w:t>útil</w:t>
      </w:r>
      <w:r>
        <w:rPr>
          <w:spacing w:val="-4"/>
        </w:rPr>
        <w:t> </w:t>
      </w:r>
      <w:r>
        <w:rPr>
          <w:spacing w:val="-2"/>
        </w:rPr>
        <w:t>estimada:</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5216">
                <wp:simplePos x="0" y="0"/>
                <wp:positionH relativeFrom="page">
                  <wp:posOffset>9525</wp:posOffset>
                </wp:positionH>
                <wp:positionV relativeFrom="page">
                  <wp:posOffset>297208</wp:posOffset>
                </wp:positionV>
                <wp:extent cx="7762875" cy="974852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7762875" cy="9748520"/>
                          <a:chExt cx="7762875" cy="9748520"/>
                        </a:xfrm>
                      </wpg:grpSpPr>
                      <pic:pic>
                        <pic:nvPicPr>
                          <pic:cNvPr id="95" name="Image 95"/>
                          <pic:cNvPicPr/>
                        </pic:nvPicPr>
                        <pic:blipFill>
                          <a:blip r:embed="rId5" cstate="print"/>
                          <a:stretch>
                            <a:fillRect/>
                          </a:stretch>
                        </pic:blipFill>
                        <pic:spPr>
                          <a:xfrm>
                            <a:off x="0" y="0"/>
                            <a:ext cx="7762874" cy="9748489"/>
                          </a:xfrm>
                          <a:prstGeom prst="rect">
                            <a:avLst/>
                          </a:prstGeom>
                        </pic:spPr>
                      </pic:pic>
                      <wps:wsp>
                        <wps:cNvPr id="96" name="Graphic 9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1264" id="docshapegroup93" coordorigin="15,468" coordsize="12225,15352">
                <v:shape style="position:absolute;left:15;top:468;width:12225;height:15352" type="#_x0000_t75" id="docshape94" stroked="false">
                  <v:imagedata r:id="rId5" o:title=""/>
                </v:shape>
                <v:rect style="position:absolute;left:1673;top:2028;width:8897;height:15" id="docshape9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27</w:t>
      </w:r>
    </w:p>
    <w:p>
      <w:pPr>
        <w:pStyle w:val="BodyText"/>
        <w:spacing w:before="7"/>
        <w:rPr>
          <w:sz w:val="18"/>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8"/>
        <w:gridCol w:w="3421"/>
        <w:gridCol w:w="2012"/>
        <w:gridCol w:w="1109"/>
      </w:tblGrid>
      <w:tr>
        <w:trPr>
          <w:trHeight w:val="275" w:hRule="atLeast"/>
        </w:trPr>
        <w:tc>
          <w:tcPr>
            <w:tcW w:w="2288" w:type="dxa"/>
            <w:vMerge w:val="restart"/>
            <w:tcBorders>
              <w:bottom w:val="nil"/>
            </w:tcBorders>
          </w:tcPr>
          <w:p>
            <w:pPr>
              <w:pStyle w:val="TableParagraph"/>
              <w:rPr>
                <w:rFonts w:ascii="Times New Roman"/>
                <w:sz w:val="22"/>
              </w:rPr>
            </w:pPr>
          </w:p>
        </w:tc>
        <w:tc>
          <w:tcPr>
            <w:tcW w:w="3421" w:type="dxa"/>
            <w:tcBorders>
              <w:top w:val="single" w:sz="8" w:space="0" w:color="000000"/>
            </w:tcBorders>
            <w:shd w:val="clear" w:color="auto" w:fill="F1F1F1"/>
          </w:tcPr>
          <w:p>
            <w:pPr>
              <w:pStyle w:val="TableParagraph"/>
              <w:spacing w:line="248" w:lineRule="exact" w:before="7"/>
              <w:ind w:left="66"/>
              <w:rPr>
                <w:sz w:val="22"/>
              </w:rPr>
            </w:pPr>
            <w:r>
              <w:rPr>
                <w:spacing w:val="-2"/>
                <w:sz w:val="22"/>
              </w:rPr>
              <w:t>Descripción</w:t>
            </w:r>
          </w:p>
        </w:tc>
        <w:tc>
          <w:tcPr>
            <w:tcW w:w="2012" w:type="dxa"/>
            <w:tcBorders>
              <w:top w:val="single" w:sz="8" w:space="0" w:color="000000"/>
            </w:tcBorders>
            <w:shd w:val="clear" w:color="auto" w:fill="F1F1F1"/>
          </w:tcPr>
          <w:p>
            <w:pPr>
              <w:pStyle w:val="TableParagraph"/>
              <w:spacing w:line="248" w:lineRule="exact" w:before="7"/>
              <w:ind w:left="66"/>
              <w:rPr>
                <w:sz w:val="22"/>
              </w:rPr>
            </w:pPr>
            <w:r>
              <w:rPr>
                <w:sz w:val="22"/>
              </w:rPr>
              <w:t>Vida</w:t>
            </w:r>
            <w:r>
              <w:rPr>
                <w:spacing w:val="-4"/>
                <w:sz w:val="22"/>
              </w:rPr>
              <w:t> </w:t>
            </w:r>
            <w:r>
              <w:rPr>
                <w:sz w:val="22"/>
              </w:rPr>
              <w:t>útil</w:t>
            </w:r>
            <w:r>
              <w:rPr>
                <w:spacing w:val="-4"/>
                <w:sz w:val="22"/>
              </w:rPr>
              <w:t> </w:t>
            </w:r>
            <w:r>
              <w:rPr>
                <w:sz w:val="22"/>
              </w:rPr>
              <w:t>en</w:t>
            </w:r>
            <w:r>
              <w:rPr>
                <w:spacing w:val="-2"/>
                <w:sz w:val="22"/>
              </w:rPr>
              <w:t> </w:t>
            </w:r>
            <w:r>
              <w:rPr>
                <w:spacing w:val="-4"/>
                <w:sz w:val="22"/>
              </w:rPr>
              <w:t>años</w:t>
            </w:r>
          </w:p>
        </w:tc>
        <w:tc>
          <w:tcPr>
            <w:tcW w:w="1109" w:type="dxa"/>
            <w:vMerge w:val="restart"/>
            <w:tcBorders>
              <w:bottom w:val="nil"/>
            </w:tcBorders>
          </w:tcPr>
          <w:p>
            <w:pPr>
              <w:pStyle w:val="TableParagraph"/>
              <w:rPr>
                <w:rFonts w:ascii="Times New Roman"/>
                <w:sz w:val="22"/>
              </w:rPr>
            </w:pPr>
          </w:p>
        </w:tc>
      </w:tr>
      <w:tr>
        <w:trPr>
          <w:trHeight w:val="270" w:hRule="atLeast"/>
        </w:trPr>
        <w:tc>
          <w:tcPr>
            <w:tcW w:w="2288" w:type="dxa"/>
            <w:vMerge/>
            <w:tcBorders>
              <w:top w:val="nil"/>
              <w:bottom w:val="nil"/>
            </w:tcBorders>
          </w:tcPr>
          <w:p>
            <w:pPr>
              <w:rPr>
                <w:sz w:val="2"/>
                <w:szCs w:val="2"/>
              </w:rPr>
            </w:pPr>
          </w:p>
        </w:tc>
        <w:tc>
          <w:tcPr>
            <w:tcW w:w="3421" w:type="dxa"/>
          </w:tcPr>
          <w:p>
            <w:pPr>
              <w:pStyle w:val="TableParagraph"/>
              <w:spacing w:line="248" w:lineRule="exact" w:before="2"/>
              <w:ind w:left="66"/>
              <w:rPr>
                <w:sz w:val="22"/>
              </w:rPr>
            </w:pPr>
            <w:r>
              <w:rPr>
                <w:spacing w:val="-2"/>
                <w:sz w:val="22"/>
              </w:rPr>
              <w:t>Edificios</w:t>
            </w:r>
          </w:p>
        </w:tc>
        <w:tc>
          <w:tcPr>
            <w:tcW w:w="2012" w:type="dxa"/>
          </w:tcPr>
          <w:p>
            <w:pPr>
              <w:pStyle w:val="TableParagraph"/>
              <w:spacing w:line="248" w:lineRule="exact" w:before="2"/>
              <w:ind w:left="66"/>
              <w:rPr>
                <w:sz w:val="22"/>
              </w:rPr>
            </w:pPr>
            <w:r>
              <w:rPr>
                <w:spacing w:val="-5"/>
                <w:sz w:val="22"/>
              </w:rPr>
              <w:t>50</w:t>
            </w:r>
          </w:p>
        </w:tc>
        <w:tc>
          <w:tcPr>
            <w:tcW w:w="1109" w:type="dxa"/>
            <w:vMerge/>
            <w:tcBorders>
              <w:top w:val="nil"/>
              <w:bottom w:val="nil"/>
            </w:tcBorders>
          </w:tcPr>
          <w:p>
            <w:pPr>
              <w:rPr>
                <w:sz w:val="2"/>
                <w:szCs w:val="2"/>
              </w:rPr>
            </w:pPr>
          </w:p>
        </w:tc>
      </w:tr>
      <w:tr>
        <w:trPr>
          <w:trHeight w:val="270" w:hRule="atLeast"/>
        </w:trPr>
        <w:tc>
          <w:tcPr>
            <w:tcW w:w="2288" w:type="dxa"/>
            <w:vMerge/>
            <w:tcBorders>
              <w:top w:val="nil"/>
              <w:bottom w:val="nil"/>
            </w:tcBorders>
          </w:tcPr>
          <w:p>
            <w:pPr>
              <w:rPr>
                <w:sz w:val="2"/>
                <w:szCs w:val="2"/>
              </w:rPr>
            </w:pPr>
          </w:p>
        </w:tc>
        <w:tc>
          <w:tcPr>
            <w:tcW w:w="3421" w:type="dxa"/>
          </w:tcPr>
          <w:p>
            <w:pPr>
              <w:pStyle w:val="TableParagraph"/>
              <w:spacing w:line="248" w:lineRule="exact" w:before="2"/>
              <w:ind w:left="66"/>
              <w:rPr>
                <w:sz w:val="22"/>
              </w:rPr>
            </w:pPr>
            <w:r>
              <w:rPr>
                <w:sz w:val="22"/>
              </w:rPr>
              <w:t>Mobiliario</w:t>
            </w:r>
            <w:r>
              <w:rPr>
                <w:spacing w:val="-7"/>
                <w:sz w:val="22"/>
              </w:rPr>
              <w:t> </w:t>
            </w:r>
            <w:r>
              <w:rPr>
                <w:sz w:val="22"/>
              </w:rPr>
              <w:t>y</w:t>
            </w:r>
            <w:r>
              <w:rPr>
                <w:spacing w:val="-4"/>
                <w:sz w:val="22"/>
              </w:rPr>
              <w:t> </w:t>
            </w:r>
            <w:r>
              <w:rPr>
                <w:spacing w:val="-2"/>
                <w:sz w:val="22"/>
              </w:rPr>
              <w:t>equipo</w:t>
            </w:r>
          </w:p>
        </w:tc>
        <w:tc>
          <w:tcPr>
            <w:tcW w:w="2012" w:type="dxa"/>
          </w:tcPr>
          <w:p>
            <w:pPr>
              <w:pStyle w:val="TableParagraph"/>
              <w:spacing w:line="248" w:lineRule="exact" w:before="2"/>
              <w:ind w:left="66"/>
              <w:rPr>
                <w:sz w:val="22"/>
              </w:rPr>
            </w:pPr>
            <w:r>
              <w:rPr>
                <w:spacing w:val="-5"/>
                <w:sz w:val="22"/>
              </w:rPr>
              <w:t>10</w:t>
            </w:r>
          </w:p>
        </w:tc>
        <w:tc>
          <w:tcPr>
            <w:tcW w:w="1109" w:type="dxa"/>
            <w:vMerge/>
            <w:tcBorders>
              <w:top w:val="nil"/>
              <w:bottom w:val="nil"/>
            </w:tcBorders>
          </w:tcPr>
          <w:p>
            <w:pPr>
              <w:rPr>
                <w:sz w:val="2"/>
                <w:szCs w:val="2"/>
              </w:rPr>
            </w:pPr>
          </w:p>
        </w:tc>
      </w:tr>
      <w:tr>
        <w:trPr>
          <w:trHeight w:val="270" w:hRule="atLeast"/>
        </w:trPr>
        <w:tc>
          <w:tcPr>
            <w:tcW w:w="2288" w:type="dxa"/>
            <w:vMerge/>
            <w:tcBorders>
              <w:top w:val="nil"/>
              <w:bottom w:val="nil"/>
            </w:tcBorders>
          </w:tcPr>
          <w:p>
            <w:pPr>
              <w:rPr>
                <w:sz w:val="2"/>
                <w:szCs w:val="2"/>
              </w:rPr>
            </w:pPr>
          </w:p>
        </w:tc>
        <w:tc>
          <w:tcPr>
            <w:tcW w:w="3421" w:type="dxa"/>
          </w:tcPr>
          <w:p>
            <w:pPr>
              <w:pStyle w:val="TableParagraph"/>
              <w:spacing w:line="248" w:lineRule="exact" w:before="2"/>
              <w:ind w:left="66"/>
              <w:rPr>
                <w:sz w:val="22"/>
              </w:rPr>
            </w:pPr>
            <w:r>
              <w:rPr>
                <w:spacing w:val="-2"/>
                <w:sz w:val="22"/>
              </w:rPr>
              <w:t>Vehículos</w:t>
            </w:r>
          </w:p>
        </w:tc>
        <w:tc>
          <w:tcPr>
            <w:tcW w:w="2012" w:type="dxa"/>
          </w:tcPr>
          <w:p>
            <w:pPr>
              <w:pStyle w:val="TableParagraph"/>
              <w:spacing w:line="248" w:lineRule="exact" w:before="2"/>
              <w:ind w:left="66"/>
              <w:rPr>
                <w:sz w:val="22"/>
              </w:rPr>
            </w:pPr>
            <w:r>
              <w:rPr>
                <w:spacing w:val="-5"/>
                <w:sz w:val="22"/>
              </w:rPr>
              <w:t>10</w:t>
            </w:r>
          </w:p>
        </w:tc>
        <w:tc>
          <w:tcPr>
            <w:tcW w:w="1109" w:type="dxa"/>
            <w:vMerge/>
            <w:tcBorders>
              <w:top w:val="nil"/>
              <w:bottom w:val="nil"/>
            </w:tcBorders>
          </w:tcPr>
          <w:p>
            <w:pPr>
              <w:rPr>
                <w:sz w:val="2"/>
                <w:szCs w:val="2"/>
              </w:rPr>
            </w:pPr>
          </w:p>
        </w:tc>
      </w:tr>
      <w:tr>
        <w:trPr>
          <w:trHeight w:val="270" w:hRule="atLeast"/>
        </w:trPr>
        <w:tc>
          <w:tcPr>
            <w:tcW w:w="2288" w:type="dxa"/>
            <w:vMerge/>
            <w:tcBorders>
              <w:top w:val="nil"/>
              <w:bottom w:val="nil"/>
            </w:tcBorders>
          </w:tcPr>
          <w:p>
            <w:pPr>
              <w:rPr>
                <w:sz w:val="2"/>
                <w:szCs w:val="2"/>
              </w:rPr>
            </w:pPr>
          </w:p>
        </w:tc>
        <w:tc>
          <w:tcPr>
            <w:tcW w:w="3421" w:type="dxa"/>
          </w:tcPr>
          <w:p>
            <w:pPr>
              <w:pStyle w:val="TableParagraph"/>
              <w:spacing w:line="248" w:lineRule="exact" w:before="2"/>
              <w:ind w:left="66"/>
              <w:rPr>
                <w:sz w:val="22"/>
              </w:rPr>
            </w:pPr>
            <w:r>
              <w:rPr>
                <w:spacing w:val="-2"/>
                <w:sz w:val="22"/>
              </w:rPr>
              <w:t>Maquinaria</w:t>
            </w:r>
          </w:p>
        </w:tc>
        <w:tc>
          <w:tcPr>
            <w:tcW w:w="2012" w:type="dxa"/>
          </w:tcPr>
          <w:p>
            <w:pPr>
              <w:pStyle w:val="TableParagraph"/>
              <w:spacing w:line="248" w:lineRule="exact" w:before="2"/>
              <w:ind w:left="66"/>
              <w:rPr>
                <w:sz w:val="22"/>
              </w:rPr>
            </w:pPr>
            <w:r>
              <w:rPr>
                <w:spacing w:val="-10"/>
                <w:sz w:val="22"/>
              </w:rPr>
              <w:t>7</w:t>
            </w:r>
          </w:p>
        </w:tc>
        <w:tc>
          <w:tcPr>
            <w:tcW w:w="1109" w:type="dxa"/>
            <w:vMerge/>
            <w:tcBorders>
              <w:top w:val="nil"/>
              <w:bottom w:val="nil"/>
            </w:tcBorders>
          </w:tcPr>
          <w:p>
            <w:pPr>
              <w:rPr>
                <w:sz w:val="2"/>
                <w:szCs w:val="2"/>
              </w:rPr>
            </w:pPr>
          </w:p>
        </w:tc>
      </w:tr>
      <w:tr>
        <w:trPr>
          <w:trHeight w:val="273" w:hRule="atLeast"/>
        </w:trPr>
        <w:tc>
          <w:tcPr>
            <w:tcW w:w="2288" w:type="dxa"/>
            <w:vMerge/>
            <w:tcBorders>
              <w:top w:val="nil"/>
              <w:bottom w:val="nil"/>
            </w:tcBorders>
          </w:tcPr>
          <w:p>
            <w:pPr>
              <w:rPr>
                <w:sz w:val="2"/>
                <w:szCs w:val="2"/>
              </w:rPr>
            </w:pPr>
          </w:p>
        </w:tc>
        <w:tc>
          <w:tcPr>
            <w:tcW w:w="3421" w:type="dxa"/>
          </w:tcPr>
          <w:p>
            <w:pPr>
              <w:pStyle w:val="TableParagraph"/>
              <w:spacing w:line="250" w:lineRule="exact" w:before="2"/>
              <w:ind w:left="66"/>
              <w:rPr>
                <w:sz w:val="22"/>
              </w:rPr>
            </w:pPr>
            <w:r>
              <w:rPr>
                <w:sz w:val="22"/>
              </w:rPr>
              <w:t>Equipo</w:t>
            </w:r>
            <w:r>
              <w:rPr>
                <w:spacing w:val="-2"/>
                <w:sz w:val="22"/>
              </w:rPr>
              <w:t> </w:t>
            </w:r>
            <w:r>
              <w:rPr>
                <w:sz w:val="22"/>
              </w:rPr>
              <w:t>de</w:t>
            </w:r>
            <w:r>
              <w:rPr>
                <w:spacing w:val="-3"/>
                <w:sz w:val="22"/>
              </w:rPr>
              <w:t> </w:t>
            </w:r>
            <w:r>
              <w:rPr>
                <w:spacing w:val="-2"/>
                <w:sz w:val="22"/>
              </w:rPr>
              <w:t>cómputo</w:t>
            </w:r>
          </w:p>
        </w:tc>
        <w:tc>
          <w:tcPr>
            <w:tcW w:w="2012" w:type="dxa"/>
          </w:tcPr>
          <w:p>
            <w:pPr>
              <w:pStyle w:val="TableParagraph"/>
              <w:spacing w:line="250" w:lineRule="exact" w:before="2"/>
              <w:ind w:left="66"/>
              <w:rPr>
                <w:sz w:val="22"/>
              </w:rPr>
            </w:pPr>
            <w:r>
              <w:rPr>
                <w:spacing w:val="-10"/>
                <w:sz w:val="22"/>
              </w:rPr>
              <w:t>5</w:t>
            </w:r>
          </w:p>
        </w:tc>
        <w:tc>
          <w:tcPr>
            <w:tcW w:w="1109" w:type="dxa"/>
            <w:vMerge/>
            <w:tcBorders>
              <w:top w:val="nil"/>
              <w:bottom w:val="nil"/>
            </w:tcBorders>
          </w:tcPr>
          <w:p>
            <w:pPr>
              <w:rPr>
                <w:sz w:val="2"/>
                <w:szCs w:val="2"/>
              </w:rPr>
            </w:pPr>
          </w:p>
        </w:tc>
      </w:tr>
      <w:tr>
        <w:trPr>
          <w:trHeight w:val="3458" w:hRule="atLeast"/>
        </w:trPr>
        <w:tc>
          <w:tcPr>
            <w:tcW w:w="8830" w:type="dxa"/>
            <w:gridSpan w:val="4"/>
            <w:tcBorders>
              <w:top w:val="nil"/>
            </w:tcBorders>
          </w:tcPr>
          <w:p>
            <w:pPr>
              <w:pStyle w:val="TableParagraph"/>
              <w:spacing w:before="18"/>
              <w:rPr>
                <w:sz w:val="22"/>
              </w:rPr>
            </w:pPr>
          </w:p>
          <w:p>
            <w:pPr>
              <w:pStyle w:val="TableParagraph"/>
              <w:spacing w:line="259" w:lineRule="auto"/>
              <w:ind w:left="107"/>
              <w:rPr>
                <w:sz w:val="22"/>
              </w:rPr>
            </w:pPr>
            <w:r>
              <w:rPr>
                <w:sz w:val="22"/>
              </w:rPr>
              <w:t>Los gastos por depreciación</w:t>
            </w:r>
            <w:r>
              <w:rPr>
                <w:spacing w:val="-1"/>
                <w:sz w:val="22"/>
              </w:rPr>
              <w:t> </w:t>
            </w:r>
            <w:r>
              <w:rPr>
                <w:sz w:val="22"/>
              </w:rPr>
              <w:t>de</w:t>
            </w:r>
            <w:r>
              <w:rPr>
                <w:spacing w:val="-1"/>
                <w:sz w:val="22"/>
              </w:rPr>
              <w:t> </w:t>
            </w:r>
            <w:r>
              <w:rPr>
                <w:sz w:val="22"/>
              </w:rPr>
              <w:t>estos activos se calculan por el sistema de</w:t>
            </w:r>
            <w:r>
              <w:rPr>
                <w:spacing w:val="-1"/>
                <w:sz w:val="22"/>
              </w:rPr>
              <w:t> </w:t>
            </w:r>
            <w:r>
              <w:rPr>
                <w:sz w:val="22"/>
              </w:rPr>
              <w:t>línea recta con base en la vida útil estimada.</w:t>
            </w:r>
          </w:p>
          <w:p>
            <w:pPr>
              <w:pStyle w:val="TableParagraph"/>
              <w:spacing w:before="21"/>
              <w:rPr>
                <w:sz w:val="22"/>
              </w:rPr>
            </w:pPr>
          </w:p>
          <w:p>
            <w:pPr>
              <w:pStyle w:val="TableParagraph"/>
              <w:spacing w:line="259" w:lineRule="auto"/>
              <w:ind w:left="107"/>
              <w:rPr>
                <w:sz w:val="22"/>
              </w:rPr>
            </w:pPr>
            <w:r>
              <w:rPr>
                <w:sz w:val="22"/>
              </w:rPr>
              <w:t>Los</w:t>
            </w:r>
            <w:r>
              <w:rPr>
                <w:spacing w:val="-10"/>
                <w:sz w:val="22"/>
              </w:rPr>
              <w:t> </w:t>
            </w:r>
            <w:r>
              <w:rPr>
                <w:sz w:val="22"/>
              </w:rPr>
              <w:t>activos</w:t>
            </w:r>
            <w:r>
              <w:rPr>
                <w:spacing w:val="-11"/>
                <w:sz w:val="22"/>
              </w:rPr>
              <w:t> </w:t>
            </w:r>
            <w:r>
              <w:rPr>
                <w:sz w:val="22"/>
              </w:rPr>
              <w:t>depreciados</w:t>
            </w:r>
            <w:r>
              <w:rPr>
                <w:spacing w:val="-11"/>
                <w:sz w:val="22"/>
              </w:rPr>
              <w:t> </w:t>
            </w:r>
            <w:r>
              <w:rPr>
                <w:sz w:val="22"/>
              </w:rPr>
              <w:t>se</w:t>
            </w:r>
            <w:r>
              <w:rPr>
                <w:spacing w:val="-13"/>
                <w:sz w:val="22"/>
              </w:rPr>
              <w:t> </w:t>
            </w:r>
            <w:r>
              <w:rPr>
                <w:sz w:val="22"/>
              </w:rPr>
              <w:t>encuentran</w:t>
            </w:r>
            <w:r>
              <w:rPr>
                <w:spacing w:val="-12"/>
                <w:sz w:val="22"/>
              </w:rPr>
              <w:t> </w:t>
            </w:r>
            <w:r>
              <w:rPr>
                <w:sz w:val="22"/>
              </w:rPr>
              <w:t>al</w:t>
            </w:r>
            <w:r>
              <w:rPr>
                <w:spacing w:val="-12"/>
                <w:sz w:val="22"/>
              </w:rPr>
              <w:t> </w:t>
            </w:r>
            <w:r>
              <w:rPr>
                <w:sz w:val="22"/>
              </w:rPr>
              <w:t>valor</w:t>
            </w:r>
            <w:r>
              <w:rPr>
                <w:spacing w:val="-12"/>
                <w:sz w:val="22"/>
              </w:rPr>
              <w:t> </w:t>
            </w:r>
            <w:r>
              <w:rPr>
                <w:sz w:val="22"/>
              </w:rPr>
              <w:t>residual</w:t>
            </w:r>
            <w:r>
              <w:rPr>
                <w:spacing w:val="-12"/>
                <w:sz w:val="22"/>
              </w:rPr>
              <w:t> </w:t>
            </w:r>
            <w:r>
              <w:rPr>
                <w:sz w:val="22"/>
              </w:rPr>
              <w:t>de</w:t>
            </w:r>
            <w:r>
              <w:rPr>
                <w:spacing w:val="-13"/>
                <w:sz w:val="22"/>
              </w:rPr>
              <w:t> </w:t>
            </w:r>
            <w:r>
              <w:rPr>
                <w:sz w:val="22"/>
              </w:rPr>
              <w:t>¢</w:t>
            </w:r>
            <w:r>
              <w:rPr>
                <w:spacing w:val="-12"/>
                <w:sz w:val="22"/>
              </w:rPr>
              <w:t> </w:t>
            </w:r>
            <w:r>
              <w:rPr>
                <w:sz w:val="22"/>
              </w:rPr>
              <w:t>500</w:t>
            </w:r>
            <w:r>
              <w:rPr>
                <w:spacing w:val="-12"/>
                <w:sz w:val="22"/>
              </w:rPr>
              <w:t> </w:t>
            </w:r>
            <w:r>
              <w:rPr>
                <w:sz w:val="22"/>
              </w:rPr>
              <w:t>en</w:t>
            </w:r>
            <w:r>
              <w:rPr>
                <w:spacing w:val="-12"/>
                <w:sz w:val="22"/>
              </w:rPr>
              <w:t> </w:t>
            </w:r>
            <w:r>
              <w:rPr>
                <w:sz w:val="22"/>
              </w:rPr>
              <w:t>sus</w:t>
            </w:r>
            <w:r>
              <w:rPr>
                <w:spacing w:val="-11"/>
                <w:sz w:val="22"/>
              </w:rPr>
              <w:t> </w:t>
            </w:r>
            <w:r>
              <w:rPr>
                <w:sz w:val="22"/>
              </w:rPr>
              <w:t>activos,</w:t>
            </w:r>
            <w:r>
              <w:rPr>
                <w:spacing w:val="-12"/>
                <w:sz w:val="22"/>
              </w:rPr>
              <w:t> </w:t>
            </w:r>
            <w:r>
              <w:rPr>
                <w:sz w:val="22"/>
              </w:rPr>
              <w:t>y</w:t>
            </w:r>
            <w:r>
              <w:rPr>
                <w:spacing w:val="-13"/>
                <w:sz w:val="22"/>
              </w:rPr>
              <w:t> </w:t>
            </w:r>
            <w:r>
              <w:rPr>
                <w:sz w:val="22"/>
              </w:rPr>
              <w:t>vidas</w:t>
            </w:r>
            <w:r>
              <w:rPr>
                <w:spacing w:val="-11"/>
                <w:sz w:val="22"/>
              </w:rPr>
              <w:t> </w:t>
            </w:r>
            <w:r>
              <w:rPr>
                <w:sz w:val="22"/>
              </w:rPr>
              <w:t>útiles</w:t>
            </w:r>
            <w:r>
              <w:rPr>
                <w:spacing w:val="-11"/>
                <w:sz w:val="22"/>
              </w:rPr>
              <w:t> </w:t>
            </w:r>
            <w:r>
              <w:rPr>
                <w:sz w:val="22"/>
              </w:rPr>
              <w:t>y</w:t>
            </w:r>
            <w:r>
              <w:rPr>
                <w:spacing w:val="-13"/>
                <w:sz w:val="22"/>
              </w:rPr>
              <w:t> </w:t>
            </w:r>
            <w:r>
              <w:rPr>
                <w:sz w:val="22"/>
              </w:rPr>
              <w:t>valores residuales se revisan anualmente, aplicando prospectivamente los cambios de estimación.</w:t>
            </w:r>
          </w:p>
          <w:p>
            <w:pPr>
              <w:pStyle w:val="TableParagraph"/>
              <w:spacing w:before="18"/>
              <w:rPr>
                <w:sz w:val="22"/>
              </w:rPr>
            </w:pPr>
          </w:p>
          <w:p>
            <w:pPr>
              <w:pStyle w:val="TableParagraph"/>
              <w:spacing w:line="276" w:lineRule="auto"/>
              <w:ind w:left="107"/>
              <w:rPr>
                <w:sz w:val="22"/>
              </w:rPr>
            </w:pPr>
            <w:r>
              <w:rPr>
                <w:sz w:val="22"/>
              </w:rPr>
              <w:t>La entidad evalúa periódicamente indicios de deterioro y reconoce pérdidas o reversiones en los resultados del periodo. Un activo se da de baja cuando se dispone de él, se transfiere, se dona, se retira</w:t>
            </w:r>
            <w:r>
              <w:rPr>
                <w:spacing w:val="-3"/>
                <w:sz w:val="22"/>
              </w:rPr>
              <w:t> </w:t>
            </w:r>
            <w:r>
              <w:rPr>
                <w:sz w:val="22"/>
              </w:rPr>
              <w:t>de</w:t>
            </w:r>
            <w:r>
              <w:rPr>
                <w:spacing w:val="-4"/>
                <w:sz w:val="22"/>
              </w:rPr>
              <w:t> </w:t>
            </w:r>
            <w:r>
              <w:rPr>
                <w:sz w:val="22"/>
              </w:rPr>
              <w:t>uso</w:t>
            </w:r>
            <w:r>
              <w:rPr>
                <w:spacing w:val="-4"/>
                <w:sz w:val="22"/>
              </w:rPr>
              <w:t> </w:t>
            </w:r>
            <w:r>
              <w:rPr>
                <w:sz w:val="22"/>
              </w:rPr>
              <w:t>o</w:t>
            </w:r>
            <w:r>
              <w:rPr>
                <w:spacing w:val="-2"/>
                <w:sz w:val="22"/>
              </w:rPr>
              <w:t> </w:t>
            </w:r>
            <w:r>
              <w:rPr>
                <w:sz w:val="22"/>
              </w:rPr>
              <w:t>deja</w:t>
            </w:r>
            <w:r>
              <w:rPr>
                <w:spacing w:val="-3"/>
                <w:sz w:val="22"/>
              </w:rPr>
              <w:t> </w:t>
            </w:r>
            <w:r>
              <w:rPr>
                <w:sz w:val="22"/>
              </w:rPr>
              <w:t>de</w:t>
            </w:r>
            <w:r>
              <w:rPr>
                <w:spacing w:val="-4"/>
                <w:sz w:val="22"/>
              </w:rPr>
              <w:t> </w:t>
            </w:r>
            <w:r>
              <w:rPr>
                <w:sz w:val="22"/>
              </w:rPr>
              <w:t>generar</w:t>
            </w:r>
            <w:r>
              <w:rPr>
                <w:spacing w:val="-2"/>
                <w:sz w:val="22"/>
              </w:rPr>
              <w:t> </w:t>
            </w:r>
            <w:r>
              <w:rPr>
                <w:sz w:val="22"/>
              </w:rPr>
              <w:t>beneficios,</w:t>
            </w:r>
            <w:r>
              <w:rPr>
                <w:spacing w:val="-2"/>
                <w:sz w:val="22"/>
              </w:rPr>
              <w:t> </w:t>
            </w:r>
            <w:r>
              <w:rPr>
                <w:sz w:val="22"/>
              </w:rPr>
              <w:t>registrándose</w:t>
            </w:r>
            <w:r>
              <w:rPr>
                <w:spacing w:val="-6"/>
                <w:sz w:val="22"/>
              </w:rPr>
              <w:t> </w:t>
            </w:r>
            <w:r>
              <w:rPr>
                <w:sz w:val="22"/>
              </w:rPr>
              <w:t>en resultados</w:t>
            </w:r>
            <w:r>
              <w:rPr>
                <w:spacing w:val="-1"/>
                <w:sz w:val="22"/>
              </w:rPr>
              <w:t> </w:t>
            </w:r>
            <w:r>
              <w:rPr>
                <w:sz w:val="22"/>
              </w:rPr>
              <w:t>la</w:t>
            </w:r>
            <w:r>
              <w:rPr>
                <w:spacing w:val="-4"/>
                <w:sz w:val="22"/>
              </w:rPr>
              <w:t> </w:t>
            </w:r>
            <w:r>
              <w:rPr>
                <w:sz w:val="22"/>
              </w:rPr>
              <w:t>diferencia</w:t>
            </w:r>
            <w:r>
              <w:rPr>
                <w:spacing w:val="-3"/>
                <w:sz w:val="22"/>
              </w:rPr>
              <w:t> </w:t>
            </w:r>
            <w:r>
              <w:rPr>
                <w:sz w:val="22"/>
              </w:rPr>
              <w:t>entre</w:t>
            </w:r>
            <w:r>
              <w:rPr>
                <w:spacing w:val="-2"/>
                <w:sz w:val="22"/>
              </w:rPr>
              <w:t> </w:t>
            </w:r>
            <w:r>
              <w:rPr>
                <w:sz w:val="22"/>
              </w:rPr>
              <w:t>el</w:t>
            </w:r>
            <w:r>
              <w:rPr>
                <w:spacing w:val="-2"/>
                <w:sz w:val="22"/>
              </w:rPr>
              <w:t> </w:t>
            </w:r>
            <w:r>
              <w:rPr>
                <w:sz w:val="22"/>
              </w:rPr>
              <w:t>valor</w:t>
            </w:r>
            <w:r>
              <w:rPr>
                <w:spacing w:val="-2"/>
                <w:sz w:val="22"/>
              </w:rPr>
              <w:t> </w:t>
            </w:r>
            <w:r>
              <w:rPr>
                <w:sz w:val="22"/>
              </w:rPr>
              <w:t>en libros y cualquier contraprestación recibida. En la nota</w:t>
            </w:r>
            <w:r>
              <w:rPr>
                <w:spacing w:val="-2"/>
                <w:sz w:val="22"/>
              </w:rPr>
              <w:t> </w:t>
            </w:r>
            <w:r>
              <w:rPr>
                <w:sz w:val="22"/>
              </w:rPr>
              <w:t>10, 91 y 92</w:t>
            </w:r>
            <w:r>
              <w:rPr>
                <w:spacing w:val="-1"/>
                <w:sz w:val="22"/>
              </w:rPr>
              <w:t> </w:t>
            </w:r>
            <w:r>
              <w:rPr>
                <w:sz w:val="22"/>
              </w:rPr>
              <w:t>se revelan con mayor detalle</w:t>
            </w:r>
            <w:r>
              <w:rPr>
                <w:spacing w:val="-1"/>
                <w:sz w:val="22"/>
              </w:rPr>
              <w:t> </w:t>
            </w:r>
            <w:r>
              <w:rPr>
                <w:sz w:val="22"/>
              </w:rPr>
              <w:t>las políticas, procedimientos y saldos de los activos no corrientes del periodo.</w:t>
            </w:r>
          </w:p>
        </w:tc>
      </w:tr>
    </w:tbl>
    <w:p>
      <w:pPr>
        <w:pStyle w:val="BodyText"/>
        <w:spacing w:before="205"/>
        <w:rPr>
          <w:sz w:val="20"/>
        </w:rPr>
      </w:pPr>
    </w:p>
    <w:p>
      <w:pPr>
        <w:pStyle w:val="Heading6"/>
        <w:numPr>
          <w:ilvl w:val="0"/>
          <w:numId w:val="13"/>
        </w:numPr>
        <w:tabs>
          <w:tab w:pos="1341" w:val="left" w:leader="none"/>
        </w:tabs>
        <w:spacing w:line="240" w:lineRule="auto" w:before="0" w:after="0"/>
        <w:ind w:left="1341" w:right="0" w:hanging="360"/>
        <w:jc w:val="left"/>
      </w:pPr>
      <w:bookmarkStart w:name="_bookmark15" w:id="16"/>
      <w:bookmarkEnd w:id="16"/>
      <w:r>
        <w:rPr>
          <w:b w:val="0"/>
        </w:rPr>
      </w:r>
      <w:r>
        <w:rPr>
          <w:color w:val="1F3762"/>
        </w:rPr>
        <w:t>Tratamiento</w:t>
      </w:r>
      <w:r>
        <w:rPr>
          <w:color w:val="1F3762"/>
          <w:spacing w:val="-4"/>
        </w:rPr>
        <w:t> </w:t>
      </w:r>
      <w:r>
        <w:rPr>
          <w:color w:val="1F3762"/>
        </w:rPr>
        <w:t>de</w:t>
      </w:r>
      <w:r>
        <w:rPr>
          <w:color w:val="1F3762"/>
          <w:spacing w:val="-3"/>
        </w:rPr>
        <w:t> </w:t>
      </w:r>
      <w:r>
        <w:rPr>
          <w:color w:val="1F3762"/>
          <w:spacing w:val="-2"/>
        </w:rPr>
        <w:t>inventarios.</w:t>
      </w:r>
    </w:p>
    <w:p>
      <w:pPr>
        <w:pStyle w:val="BodyText"/>
        <w:spacing w:before="10"/>
        <w:rPr>
          <w:b/>
          <w:sz w:val="8"/>
        </w:rPr>
      </w:pPr>
      <w:r>
        <w:rPr>
          <w:b/>
          <w:sz w:val="8"/>
        </w:rPr>
        <mc:AlternateContent>
          <mc:Choice Requires="wps">
            <w:drawing>
              <wp:anchor distT="0" distB="0" distL="0" distR="0" allowOverlap="1" layoutInCell="1" locked="0" behindDoc="1" simplePos="0" relativeHeight="487607808">
                <wp:simplePos x="0" y="0"/>
                <wp:positionH relativeFrom="page">
                  <wp:posOffset>1083868</wp:posOffset>
                </wp:positionH>
                <wp:positionV relativeFrom="paragraph">
                  <wp:posOffset>82708</wp:posOffset>
                </wp:positionV>
                <wp:extent cx="5607050" cy="2468245"/>
                <wp:effectExtent l="0" t="0" r="0" b="0"/>
                <wp:wrapTopAndBottom/>
                <wp:docPr id="97" name="Textbox 97"/>
                <wp:cNvGraphicFramePr>
                  <a:graphicFrameLocks/>
                </wp:cNvGraphicFramePr>
                <a:graphic>
                  <a:graphicData uri="http://schemas.microsoft.com/office/word/2010/wordprocessingShape">
                    <wps:wsp>
                      <wps:cNvPr id="97" name="Textbox 97"/>
                      <wps:cNvSpPr txBox="1"/>
                      <wps:spPr>
                        <a:xfrm>
                          <a:off x="0" y="0"/>
                          <a:ext cx="5607050" cy="2468245"/>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jc w:val="both"/>
                            </w:pPr>
                            <w:r>
                              <w:rPr/>
                              <w:t>El</w:t>
                            </w:r>
                            <w:r>
                              <w:rPr>
                                <w:spacing w:val="-5"/>
                              </w:rPr>
                              <w:t> </w:t>
                            </w:r>
                            <w:r>
                              <w:rPr/>
                              <w:t>IMAS</w:t>
                            </w:r>
                            <w:r>
                              <w:rPr>
                                <w:spacing w:val="-2"/>
                              </w:rPr>
                              <w:t> </w:t>
                            </w:r>
                            <w:r>
                              <w:rPr/>
                              <w:t>cuenta</w:t>
                            </w:r>
                            <w:r>
                              <w:rPr>
                                <w:spacing w:val="-3"/>
                              </w:rPr>
                              <w:t> </w:t>
                            </w:r>
                            <w:r>
                              <w:rPr/>
                              <w:t>con</w:t>
                            </w:r>
                            <w:r>
                              <w:rPr>
                                <w:spacing w:val="-2"/>
                              </w:rPr>
                              <w:t> </w:t>
                            </w:r>
                            <w:r>
                              <w:rPr/>
                              <w:t>tres</w:t>
                            </w:r>
                            <w:r>
                              <w:rPr>
                                <w:spacing w:val="-2"/>
                              </w:rPr>
                              <w:t> </w:t>
                            </w:r>
                            <w:r>
                              <w:rPr/>
                              <w:t>tipos</w:t>
                            </w:r>
                            <w:r>
                              <w:rPr>
                                <w:spacing w:val="-2"/>
                              </w:rPr>
                              <w:t> </w:t>
                            </w:r>
                            <w:r>
                              <w:rPr/>
                              <w:t>de</w:t>
                            </w:r>
                            <w:r>
                              <w:rPr>
                                <w:spacing w:val="-4"/>
                              </w:rPr>
                              <w:t> </w:t>
                            </w:r>
                            <w:r>
                              <w:rPr>
                                <w:spacing w:val="-2"/>
                              </w:rPr>
                              <w:t>inventarios:</w:t>
                            </w:r>
                          </w:p>
                          <w:p>
                            <w:pPr>
                              <w:pStyle w:val="BodyText"/>
                              <w:numPr>
                                <w:ilvl w:val="0"/>
                                <w:numId w:val="22"/>
                              </w:numPr>
                              <w:tabs>
                                <w:tab w:pos="823" w:val="left" w:leader="none"/>
                              </w:tabs>
                              <w:spacing w:line="240" w:lineRule="auto" w:before="19" w:after="0"/>
                              <w:ind w:left="823" w:right="101" w:hanging="360"/>
                              <w:jc w:val="both"/>
                            </w:pPr>
                            <w:r>
                              <w:rPr/>
                              <w:t>los</w:t>
                            </w:r>
                            <w:r>
                              <w:rPr>
                                <w:spacing w:val="-1"/>
                              </w:rPr>
                              <w:t> </w:t>
                            </w:r>
                            <w:r>
                              <w:rPr/>
                              <w:t>materiales y</w:t>
                            </w:r>
                            <w:r>
                              <w:rPr>
                                <w:spacing w:val="-3"/>
                              </w:rPr>
                              <w:t> </w:t>
                            </w:r>
                            <w:r>
                              <w:rPr/>
                              <w:t>suministros</w:t>
                            </w:r>
                            <w:r>
                              <w:rPr>
                                <w:spacing w:val="-4"/>
                              </w:rPr>
                              <w:t> </w:t>
                            </w:r>
                            <w:r>
                              <w:rPr/>
                              <w:t>en espera</w:t>
                            </w:r>
                            <w:r>
                              <w:rPr>
                                <w:spacing w:val="-1"/>
                              </w:rPr>
                              <w:t> </w:t>
                            </w:r>
                            <w:r>
                              <w:rPr/>
                              <w:t>de</w:t>
                            </w:r>
                            <w:r>
                              <w:rPr>
                                <w:spacing w:val="-2"/>
                              </w:rPr>
                              <w:t> </w:t>
                            </w:r>
                            <w:r>
                              <w:rPr/>
                              <w:t>ser utilizados</w:t>
                            </w:r>
                            <w:r>
                              <w:rPr>
                                <w:spacing w:val="-3"/>
                              </w:rPr>
                              <w:t> </w:t>
                            </w:r>
                            <w:r>
                              <w:rPr/>
                              <w:t>para</w:t>
                            </w:r>
                            <w:r>
                              <w:rPr>
                                <w:spacing w:val="-1"/>
                              </w:rPr>
                              <w:t> </w:t>
                            </w:r>
                            <w:r>
                              <w:rPr/>
                              <w:t>brindar un</w:t>
                            </w:r>
                            <w:r>
                              <w:rPr>
                                <w:spacing w:val="-2"/>
                              </w:rPr>
                              <w:t> </w:t>
                            </w:r>
                            <w:r>
                              <w:rPr/>
                              <w:t>servicio con</w:t>
                            </w:r>
                            <w:r>
                              <w:rPr>
                                <w:spacing w:val="-2"/>
                              </w:rPr>
                              <w:t> </w:t>
                            </w:r>
                            <w:r>
                              <w:rPr/>
                              <w:t>contra-prestación o sin contraprestación, y que estén sujetos al concepto de materialidad e impor-tancia relativa, caso contrario se reconocen en el resultado del periodo.</w:t>
                            </w:r>
                          </w:p>
                          <w:p>
                            <w:pPr>
                              <w:pStyle w:val="BodyText"/>
                              <w:numPr>
                                <w:ilvl w:val="0"/>
                                <w:numId w:val="22"/>
                              </w:numPr>
                              <w:tabs>
                                <w:tab w:pos="822" w:val="left" w:leader="none"/>
                              </w:tabs>
                              <w:spacing w:line="240" w:lineRule="auto" w:before="0" w:after="0"/>
                              <w:ind w:left="822" w:right="0" w:hanging="359"/>
                              <w:jc w:val="both"/>
                            </w:pPr>
                            <w:r>
                              <w:rPr/>
                              <w:t>Los</w:t>
                            </w:r>
                            <w:r>
                              <w:rPr>
                                <w:spacing w:val="-5"/>
                              </w:rPr>
                              <w:t> </w:t>
                            </w:r>
                            <w:r>
                              <w:rPr/>
                              <w:t>bienes</w:t>
                            </w:r>
                            <w:r>
                              <w:rPr>
                                <w:spacing w:val="-2"/>
                              </w:rPr>
                              <w:t> </w:t>
                            </w:r>
                            <w:r>
                              <w:rPr/>
                              <w:t>comprados</w:t>
                            </w:r>
                            <w:r>
                              <w:rPr>
                                <w:spacing w:val="-2"/>
                              </w:rPr>
                              <w:t> </w:t>
                            </w:r>
                            <w:r>
                              <w:rPr/>
                              <w:t>para</w:t>
                            </w:r>
                            <w:r>
                              <w:rPr>
                                <w:spacing w:val="-6"/>
                              </w:rPr>
                              <w:t> </w:t>
                            </w:r>
                            <w:r>
                              <w:rPr/>
                              <w:t>ser</w:t>
                            </w:r>
                            <w:r>
                              <w:rPr>
                                <w:spacing w:val="-4"/>
                              </w:rPr>
                              <w:t> </w:t>
                            </w:r>
                            <w:r>
                              <w:rPr/>
                              <w:t>vendidos</w:t>
                            </w:r>
                            <w:r>
                              <w:rPr>
                                <w:spacing w:val="-2"/>
                              </w:rPr>
                              <w:t> </w:t>
                            </w:r>
                            <w:r>
                              <w:rPr/>
                              <w:t>en</w:t>
                            </w:r>
                            <w:r>
                              <w:rPr>
                                <w:spacing w:val="-5"/>
                              </w:rPr>
                              <w:t> </w:t>
                            </w:r>
                            <w:r>
                              <w:rPr/>
                              <w:t>las</w:t>
                            </w:r>
                            <w:r>
                              <w:rPr>
                                <w:spacing w:val="-2"/>
                              </w:rPr>
                              <w:t> </w:t>
                            </w:r>
                            <w:r>
                              <w:rPr/>
                              <w:t>Tiendas</w:t>
                            </w:r>
                            <w:r>
                              <w:rPr>
                                <w:spacing w:val="-6"/>
                              </w:rPr>
                              <w:t> </w:t>
                            </w:r>
                            <w:r>
                              <w:rPr/>
                              <w:t>Libres</w:t>
                            </w:r>
                            <w:r>
                              <w:rPr>
                                <w:spacing w:val="-2"/>
                              </w:rPr>
                              <w:t> </w:t>
                            </w:r>
                            <w:r>
                              <w:rPr/>
                              <w:t>de</w:t>
                            </w:r>
                            <w:r>
                              <w:rPr>
                                <w:spacing w:val="-5"/>
                              </w:rPr>
                              <w:t> </w:t>
                            </w:r>
                            <w:r>
                              <w:rPr/>
                              <w:t>puertos</w:t>
                            </w:r>
                            <w:r>
                              <w:rPr>
                                <w:spacing w:val="-2"/>
                              </w:rPr>
                              <w:t> </w:t>
                            </w:r>
                            <w:r>
                              <w:rPr/>
                              <w:t>y</w:t>
                            </w:r>
                            <w:r>
                              <w:rPr>
                                <w:spacing w:val="-4"/>
                              </w:rPr>
                              <w:t> </w:t>
                            </w:r>
                            <w:r>
                              <w:rPr>
                                <w:spacing w:val="-2"/>
                              </w:rPr>
                              <w:t>aeropuertos.</w:t>
                            </w:r>
                          </w:p>
                          <w:p>
                            <w:pPr>
                              <w:pStyle w:val="BodyText"/>
                              <w:numPr>
                                <w:ilvl w:val="0"/>
                                <w:numId w:val="22"/>
                              </w:numPr>
                              <w:tabs>
                                <w:tab w:pos="823" w:val="left" w:leader="none"/>
                              </w:tabs>
                              <w:spacing w:line="240" w:lineRule="auto" w:before="0" w:after="0"/>
                              <w:ind w:left="823" w:right="99" w:hanging="360"/>
                              <w:jc w:val="both"/>
                            </w:pPr>
                            <w:r>
                              <w:rPr/>
                              <w:t>Los</w:t>
                            </w:r>
                            <w:r>
                              <w:rPr>
                                <w:spacing w:val="-4"/>
                              </w:rPr>
                              <w:t> </w:t>
                            </w:r>
                            <w:r>
                              <w:rPr/>
                              <w:t>bienes</w:t>
                            </w:r>
                            <w:r>
                              <w:rPr>
                                <w:spacing w:val="-5"/>
                              </w:rPr>
                              <w:t> </w:t>
                            </w:r>
                            <w:r>
                              <w:rPr/>
                              <w:t>muebles</w:t>
                            </w:r>
                            <w:r>
                              <w:rPr>
                                <w:spacing w:val="-3"/>
                              </w:rPr>
                              <w:t> </w:t>
                            </w:r>
                            <w:r>
                              <w:rPr/>
                              <w:t>recibidos</w:t>
                            </w:r>
                            <w:r>
                              <w:rPr>
                                <w:spacing w:val="-4"/>
                              </w:rPr>
                              <w:t> </w:t>
                            </w:r>
                            <w:r>
                              <w:rPr/>
                              <w:t>como</w:t>
                            </w:r>
                            <w:r>
                              <w:rPr>
                                <w:spacing w:val="-5"/>
                              </w:rPr>
                              <w:t> </w:t>
                            </w:r>
                            <w:r>
                              <w:rPr/>
                              <w:t>donaciones</w:t>
                            </w:r>
                            <w:r>
                              <w:rPr>
                                <w:spacing w:val="-3"/>
                              </w:rPr>
                              <w:t> </w:t>
                            </w:r>
                            <w:r>
                              <w:rPr/>
                              <w:t>provenientes</w:t>
                            </w:r>
                            <w:r>
                              <w:rPr>
                                <w:spacing w:val="-4"/>
                              </w:rPr>
                              <w:t> </w:t>
                            </w:r>
                            <w:r>
                              <w:rPr/>
                              <w:t>de</w:t>
                            </w:r>
                            <w:r>
                              <w:rPr>
                                <w:spacing w:val="-5"/>
                              </w:rPr>
                              <w:t> </w:t>
                            </w:r>
                            <w:r>
                              <w:rPr/>
                              <w:t>entes</w:t>
                            </w:r>
                            <w:r>
                              <w:rPr>
                                <w:spacing w:val="-5"/>
                              </w:rPr>
                              <w:t> </w:t>
                            </w:r>
                            <w:r>
                              <w:rPr/>
                              <w:t>públicos,</w:t>
                            </w:r>
                            <w:r>
                              <w:rPr>
                                <w:spacing w:val="-4"/>
                              </w:rPr>
                              <w:t> </w:t>
                            </w:r>
                            <w:r>
                              <w:rPr/>
                              <w:t>o</w:t>
                            </w:r>
                            <w:r>
                              <w:rPr>
                                <w:spacing w:val="-5"/>
                              </w:rPr>
                              <w:t> </w:t>
                            </w:r>
                            <w:r>
                              <w:rPr/>
                              <w:t>privados sean personas físicas o jurídicas, así como los bienes muebles y suministros propiedad del IMAS declarados en desuso, para ser dispuestos para donaciones a entes públicos, organi-zaciones</w:t>
                            </w:r>
                            <w:r>
                              <w:rPr>
                                <w:spacing w:val="-5"/>
                              </w:rPr>
                              <w:t> </w:t>
                            </w:r>
                            <w:r>
                              <w:rPr/>
                              <w:t>sociales</w:t>
                            </w:r>
                            <w:r>
                              <w:rPr>
                                <w:spacing w:val="-5"/>
                              </w:rPr>
                              <w:t> </w:t>
                            </w:r>
                            <w:r>
                              <w:rPr/>
                              <w:t>sin</w:t>
                            </w:r>
                            <w:r>
                              <w:rPr>
                                <w:spacing w:val="-3"/>
                              </w:rPr>
                              <w:t> </w:t>
                            </w:r>
                            <w:r>
                              <w:rPr/>
                              <w:t>fines</w:t>
                            </w:r>
                            <w:r>
                              <w:rPr>
                                <w:spacing w:val="-2"/>
                              </w:rPr>
                              <w:t> </w:t>
                            </w:r>
                            <w:r>
                              <w:rPr/>
                              <w:t>de</w:t>
                            </w:r>
                            <w:r>
                              <w:rPr>
                                <w:spacing w:val="-4"/>
                              </w:rPr>
                              <w:t> </w:t>
                            </w:r>
                            <w:r>
                              <w:rPr/>
                              <w:t>lucro</w:t>
                            </w:r>
                            <w:r>
                              <w:rPr>
                                <w:spacing w:val="-3"/>
                              </w:rPr>
                              <w:t> </w:t>
                            </w:r>
                            <w:r>
                              <w:rPr/>
                              <w:t>y</w:t>
                            </w:r>
                            <w:r>
                              <w:rPr>
                                <w:spacing w:val="-4"/>
                              </w:rPr>
                              <w:t> </w:t>
                            </w:r>
                            <w:r>
                              <w:rPr/>
                              <w:t>organizaciones</w:t>
                            </w:r>
                            <w:r>
                              <w:rPr>
                                <w:spacing w:val="-2"/>
                              </w:rPr>
                              <w:t> </w:t>
                            </w:r>
                            <w:r>
                              <w:rPr/>
                              <w:t>amparadas</w:t>
                            </w:r>
                            <w:r>
                              <w:rPr>
                                <w:spacing w:val="-2"/>
                              </w:rPr>
                              <w:t> </w:t>
                            </w:r>
                            <w:r>
                              <w:rPr/>
                              <w:t>al</w:t>
                            </w:r>
                            <w:r>
                              <w:rPr>
                                <w:spacing w:val="-3"/>
                              </w:rPr>
                              <w:t> </w:t>
                            </w:r>
                            <w:r>
                              <w:rPr/>
                              <w:t>régimen</w:t>
                            </w:r>
                            <w:r>
                              <w:rPr>
                                <w:spacing w:val="-3"/>
                              </w:rPr>
                              <w:t> </w:t>
                            </w:r>
                            <w:r>
                              <w:rPr/>
                              <w:t>de</w:t>
                            </w:r>
                            <w:r>
                              <w:rPr>
                                <w:spacing w:val="-4"/>
                              </w:rPr>
                              <w:t> </w:t>
                            </w:r>
                            <w:r>
                              <w:rPr/>
                              <w:t>Zona</w:t>
                            </w:r>
                            <w:r>
                              <w:rPr>
                                <w:spacing w:val="-6"/>
                              </w:rPr>
                              <w:t> </w:t>
                            </w:r>
                            <w:r>
                              <w:rPr/>
                              <w:t>Franca.</w:t>
                            </w:r>
                          </w:p>
                          <w:p>
                            <w:pPr>
                              <w:pStyle w:val="BodyText"/>
                              <w:spacing w:before="20"/>
                            </w:pPr>
                          </w:p>
                          <w:p>
                            <w:pPr>
                              <w:pStyle w:val="BodyText"/>
                              <w:spacing w:line="259" w:lineRule="auto"/>
                              <w:ind w:left="103" w:right="103"/>
                              <w:jc w:val="both"/>
                            </w:pPr>
                            <w:r>
                              <w:rPr/>
                              <w:t>Los inventarios deberán medirse al costo o al valor realizable neto, el que sea menor excepto lo estipulado</w:t>
                            </w:r>
                            <w:r>
                              <w:rPr>
                                <w:spacing w:val="-7"/>
                              </w:rPr>
                              <w:t> </w:t>
                            </w:r>
                            <w:r>
                              <w:rPr/>
                              <w:t>en</w:t>
                            </w:r>
                            <w:r>
                              <w:rPr>
                                <w:spacing w:val="-7"/>
                              </w:rPr>
                              <w:t> </w:t>
                            </w:r>
                            <w:r>
                              <w:rPr/>
                              <w:t>las</w:t>
                            </w:r>
                            <w:r>
                              <w:rPr>
                                <w:spacing w:val="-6"/>
                              </w:rPr>
                              <w:t> </w:t>
                            </w:r>
                            <w:r>
                              <w:rPr/>
                              <w:t>excepciones.</w:t>
                            </w:r>
                            <w:r>
                              <w:rPr>
                                <w:spacing w:val="-8"/>
                              </w:rPr>
                              <w:t> </w:t>
                            </w:r>
                            <w:r>
                              <w:rPr/>
                              <w:t>No</w:t>
                            </w:r>
                            <w:r>
                              <w:rPr>
                                <w:spacing w:val="-9"/>
                              </w:rPr>
                              <w:t> </w:t>
                            </w:r>
                            <w:r>
                              <w:rPr/>
                              <w:t>se</w:t>
                            </w:r>
                            <w:r>
                              <w:rPr>
                                <w:spacing w:val="-8"/>
                              </w:rPr>
                              <w:t> </w:t>
                            </w:r>
                            <w:r>
                              <w:rPr/>
                              <w:t>incluyen</w:t>
                            </w:r>
                            <w:r>
                              <w:rPr>
                                <w:spacing w:val="-7"/>
                              </w:rPr>
                              <w:t> </w:t>
                            </w:r>
                            <w:r>
                              <w:rPr/>
                              <w:t>dentro</w:t>
                            </w:r>
                            <w:r>
                              <w:rPr>
                                <w:spacing w:val="-6"/>
                              </w:rPr>
                              <w:t> </w:t>
                            </w:r>
                            <w:r>
                              <w:rPr/>
                              <w:t>de</w:t>
                            </w:r>
                            <w:r>
                              <w:rPr>
                                <w:spacing w:val="-11"/>
                              </w:rPr>
                              <w:t> </w:t>
                            </w:r>
                            <w:r>
                              <w:rPr/>
                              <w:t>la</w:t>
                            </w:r>
                            <w:r>
                              <w:rPr>
                                <w:spacing w:val="-8"/>
                              </w:rPr>
                              <w:t> </w:t>
                            </w:r>
                            <w:r>
                              <w:rPr/>
                              <w:t>medición</w:t>
                            </w:r>
                            <w:r>
                              <w:rPr>
                                <w:spacing w:val="-7"/>
                              </w:rPr>
                              <w:t> </w:t>
                            </w:r>
                            <w:r>
                              <w:rPr/>
                              <w:t>general</w:t>
                            </w:r>
                            <w:r>
                              <w:rPr>
                                <w:spacing w:val="-8"/>
                              </w:rPr>
                              <w:t> </w:t>
                            </w:r>
                            <w:r>
                              <w:rPr/>
                              <w:t>y</w:t>
                            </w:r>
                            <w:r>
                              <w:rPr>
                                <w:spacing w:val="-11"/>
                              </w:rPr>
                              <w:t> </w:t>
                            </w:r>
                            <w:r>
                              <w:rPr/>
                              <w:t>se</w:t>
                            </w:r>
                            <w:r>
                              <w:rPr>
                                <w:spacing w:val="-11"/>
                              </w:rPr>
                              <w:t> </w:t>
                            </w:r>
                            <w:r>
                              <w:rPr/>
                              <w:t>medirán,</w:t>
                            </w:r>
                            <w:r>
                              <w:rPr>
                                <w:spacing w:val="-7"/>
                              </w:rPr>
                              <w:t> </w:t>
                            </w:r>
                            <w:r>
                              <w:rPr/>
                              <w:t>según</w:t>
                            </w:r>
                            <w:r>
                              <w:rPr>
                                <w:spacing w:val="-9"/>
                              </w:rPr>
                              <w:t> </w:t>
                            </w:r>
                            <w:r>
                              <w:rPr/>
                              <w:t>sea el caso, de acuerdo con el siguiente esquema:</w:t>
                            </w:r>
                          </w:p>
                        </w:txbxContent>
                      </wps:txbx>
                      <wps:bodyPr wrap="square" lIns="0" tIns="0" rIns="0" bIns="0" rtlCol="0">
                        <a:noAutofit/>
                      </wps:bodyPr>
                    </wps:wsp>
                  </a:graphicData>
                </a:graphic>
              </wp:anchor>
            </w:drawing>
          </mc:Choice>
          <mc:Fallback>
            <w:pict>
              <v:shape style="position:absolute;margin-left:85.344002pt;margin-top:6.5125pt;width:441.5pt;height:194.35pt;mso-position-horizontal-relative:page;mso-position-vertical-relative:paragraph;z-index:-15708672;mso-wrap-distance-left:0;mso-wrap-distance-right:0" type="#_x0000_t202" id="docshape96"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jc w:val="both"/>
                      </w:pPr>
                      <w:r>
                        <w:rPr/>
                        <w:t>El</w:t>
                      </w:r>
                      <w:r>
                        <w:rPr>
                          <w:spacing w:val="-5"/>
                        </w:rPr>
                        <w:t> </w:t>
                      </w:r>
                      <w:r>
                        <w:rPr/>
                        <w:t>IMAS</w:t>
                      </w:r>
                      <w:r>
                        <w:rPr>
                          <w:spacing w:val="-2"/>
                        </w:rPr>
                        <w:t> </w:t>
                      </w:r>
                      <w:r>
                        <w:rPr/>
                        <w:t>cuenta</w:t>
                      </w:r>
                      <w:r>
                        <w:rPr>
                          <w:spacing w:val="-3"/>
                        </w:rPr>
                        <w:t> </w:t>
                      </w:r>
                      <w:r>
                        <w:rPr/>
                        <w:t>con</w:t>
                      </w:r>
                      <w:r>
                        <w:rPr>
                          <w:spacing w:val="-2"/>
                        </w:rPr>
                        <w:t> </w:t>
                      </w:r>
                      <w:r>
                        <w:rPr/>
                        <w:t>tres</w:t>
                      </w:r>
                      <w:r>
                        <w:rPr>
                          <w:spacing w:val="-2"/>
                        </w:rPr>
                        <w:t> </w:t>
                      </w:r>
                      <w:r>
                        <w:rPr/>
                        <w:t>tipos</w:t>
                      </w:r>
                      <w:r>
                        <w:rPr>
                          <w:spacing w:val="-2"/>
                        </w:rPr>
                        <w:t> </w:t>
                      </w:r>
                      <w:r>
                        <w:rPr/>
                        <w:t>de</w:t>
                      </w:r>
                      <w:r>
                        <w:rPr>
                          <w:spacing w:val="-4"/>
                        </w:rPr>
                        <w:t> </w:t>
                      </w:r>
                      <w:r>
                        <w:rPr>
                          <w:spacing w:val="-2"/>
                        </w:rPr>
                        <w:t>inventarios:</w:t>
                      </w:r>
                    </w:p>
                    <w:p>
                      <w:pPr>
                        <w:pStyle w:val="BodyText"/>
                        <w:numPr>
                          <w:ilvl w:val="0"/>
                          <w:numId w:val="22"/>
                        </w:numPr>
                        <w:tabs>
                          <w:tab w:pos="823" w:val="left" w:leader="none"/>
                        </w:tabs>
                        <w:spacing w:line="240" w:lineRule="auto" w:before="19" w:after="0"/>
                        <w:ind w:left="823" w:right="101" w:hanging="360"/>
                        <w:jc w:val="both"/>
                      </w:pPr>
                      <w:r>
                        <w:rPr/>
                        <w:t>los</w:t>
                      </w:r>
                      <w:r>
                        <w:rPr>
                          <w:spacing w:val="-1"/>
                        </w:rPr>
                        <w:t> </w:t>
                      </w:r>
                      <w:r>
                        <w:rPr/>
                        <w:t>materiales y</w:t>
                      </w:r>
                      <w:r>
                        <w:rPr>
                          <w:spacing w:val="-3"/>
                        </w:rPr>
                        <w:t> </w:t>
                      </w:r>
                      <w:r>
                        <w:rPr/>
                        <w:t>suministros</w:t>
                      </w:r>
                      <w:r>
                        <w:rPr>
                          <w:spacing w:val="-4"/>
                        </w:rPr>
                        <w:t> </w:t>
                      </w:r>
                      <w:r>
                        <w:rPr/>
                        <w:t>en espera</w:t>
                      </w:r>
                      <w:r>
                        <w:rPr>
                          <w:spacing w:val="-1"/>
                        </w:rPr>
                        <w:t> </w:t>
                      </w:r>
                      <w:r>
                        <w:rPr/>
                        <w:t>de</w:t>
                      </w:r>
                      <w:r>
                        <w:rPr>
                          <w:spacing w:val="-2"/>
                        </w:rPr>
                        <w:t> </w:t>
                      </w:r>
                      <w:r>
                        <w:rPr/>
                        <w:t>ser utilizados</w:t>
                      </w:r>
                      <w:r>
                        <w:rPr>
                          <w:spacing w:val="-3"/>
                        </w:rPr>
                        <w:t> </w:t>
                      </w:r>
                      <w:r>
                        <w:rPr/>
                        <w:t>para</w:t>
                      </w:r>
                      <w:r>
                        <w:rPr>
                          <w:spacing w:val="-1"/>
                        </w:rPr>
                        <w:t> </w:t>
                      </w:r>
                      <w:r>
                        <w:rPr/>
                        <w:t>brindar un</w:t>
                      </w:r>
                      <w:r>
                        <w:rPr>
                          <w:spacing w:val="-2"/>
                        </w:rPr>
                        <w:t> </w:t>
                      </w:r>
                      <w:r>
                        <w:rPr/>
                        <w:t>servicio con</w:t>
                      </w:r>
                      <w:r>
                        <w:rPr>
                          <w:spacing w:val="-2"/>
                        </w:rPr>
                        <w:t> </w:t>
                      </w:r>
                      <w:r>
                        <w:rPr/>
                        <w:t>contra-prestación o sin contraprestación, y que estén sujetos al concepto de materialidad e impor-tancia relativa, caso contrario se reconocen en el resultado del periodo.</w:t>
                      </w:r>
                    </w:p>
                    <w:p>
                      <w:pPr>
                        <w:pStyle w:val="BodyText"/>
                        <w:numPr>
                          <w:ilvl w:val="0"/>
                          <w:numId w:val="22"/>
                        </w:numPr>
                        <w:tabs>
                          <w:tab w:pos="822" w:val="left" w:leader="none"/>
                        </w:tabs>
                        <w:spacing w:line="240" w:lineRule="auto" w:before="0" w:after="0"/>
                        <w:ind w:left="822" w:right="0" w:hanging="359"/>
                        <w:jc w:val="both"/>
                      </w:pPr>
                      <w:r>
                        <w:rPr/>
                        <w:t>Los</w:t>
                      </w:r>
                      <w:r>
                        <w:rPr>
                          <w:spacing w:val="-5"/>
                        </w:rPr>
                        <w:t> </w:t>
                      </w:r>
                      <w:r>
                        <w:rPr/>
                        <w:t>bienes</w:t>
                      </w:r>
                      <w:r>
                        <w:rPr>
                          <w:spacing w:val="-2"/>
                        </w:rPr>
                        <w:t> </w:t>
                      </w:r>
                      <w:r>
                        <w:rPr/>
                        <w:t>comprados</w:t>
                      </w:r>
                      <w:r>
                        <w:rPr>
                          <w:spacing w:val="-2"/>
                        </w:rPr>
                        <w:t> </w:t>
                      </w:r>
                      <w:r>
                        <w:rPr/>
                        <w:t>para</w:t>
                      </w:r>
                      <w:r>
                        <w:rPr>
                          <w:spacing w:val="-6"/>
                        </w:rPr>
                        <w:t> </w:t>
                      </w:r>
                      <w:r>
                        <w:rPr/>
                        <w:t>ser</w:t>
                      </w:r>
                      <w:r>
                        <w:rPr>
                          <w:spacing w:val="-4"/>
                        </w:rPr>
                        <w:t> </w:t>
                      </w:r>
                      <w:r>
                        <w:rPr/>
                        <w:t>vendidos</w:t>
                      </w:r>
                      <w:r>
                        <w:rPr>
                          <w:spacing w:val="-2"/>
                        </w:rPr>
                        <w:t> </w:t>
                      </w:r>
                      <w:r>
                        <w:rPr/>
                        <w:t>en</w:t>
                      </w:r>
                      <w:r>
                        <w:rPr>
                          <w:spacing w:val="-5"/>
                        </w:rPr>
                        <w:t> </w:t>
                      </w:r>
                      <w:r>
                        <w:rPr/>
                        <w:t>las</w:t>
                      </w:r>
                      <w:r>
                        <w:rPr>
                          <w:spacing w:val="-2"/>
                        </w:rPr>
                        <w:t> </w:t>
                      </w:r>
                      <w:r>
                        <w:rPr/>
                        <w:t>Tiendas</w:t>
                      </w:r>
                      <w:r>
                        <w:rPr>
                          <w:spacing w:val="-6"/>
                        </w:rPr>
                        <w:t> </w:t>
                      </w:r>
                      <w:r>
                        <w:rPr/>
                        <w:t>Libres</w:t>
                      </w:r>
                      <w:r>
                        <w:rPr>
                          <w:spacing w:val="-2"/>
                        </w:rPr>
                        <w:t> </w:t>
                      </w:r>
                      <w:r>
                        <w:rPr/>
                        <w:t>de</w:t>
                      </w:r>
                      <w:r>
                        <w:rPr>
                          <w:spacing w:val="-5"/>
                        </w:rPr>
                        <w:t> </w:t>
                      </w:r>
                      <w:r>
                        <w:rPr/>
                        <w:t>puertos</w:t>
                      </w:r>
                      <w:r>
                        <w:rPr>
                          <w:spacing w:val="-2"/>
                        </w:rPr>
                        <w:t> </w:t>
                      </w:r>
                      <w:r>
                        <w:rPr/>
                        <w:t>y</w:t>
                      </w:r>
                      <w:r>
                        <w:rPr>
                          <w:spacing w:val="-4"/>
                        </w:rPr>
                        <w:t> </w:t>
                      </w:r>
                      <w:r>
                        <w:rPr>
                          <w:spacing w:val="-2"/>
                        </w:rPr>
                        <w:t>aeropuertos.</w:t>
                      </w:r>
                    </w:p>
                    <w:p>
                      <w:pPr>
                        <w:pStyle w:val="BodyText"/>
                        <w:numPr>
                          <w:ilvl w:val="0"/>
                          <w:numId w:val="22"/>
                        </w:numPr>
                        <w:tabs>
                          <w:tab w:pos="823" w:val="left" w:leader="none"/>
                        </w:tabs>
                        <w:spacing w:line="240" w:lineRule="auto" w:before="0" w:after="0"/>
                        <w:ind w:left="823" w:right="99" w:hanging="360"/>
                        <w:jc w:val="both"/>
                      </w:pPr>
                      <w:r>
                        <w:rPr/>
                        <w:t>Los</w:t>
                      </w:r>
                      <w:r>
                        <w:rPr>
                          <w:spacing w:val="-4"/>
                        </w:rPr>
                        <w:t> </w:t>
                      </w:r>
                      <w:r>
                        <w:rPr/>
                        <w:t>bienes</w:t>
                      </w:r>
                      <w:r>
                        <w:rPr>
                          <w:spacing w:val="-5"/>
                        </w:rPr>
                        <w:t> </w:t>
                      </w:r>
                      <w:r>
                        <w:rPr/>
                        <w:t>muebles</w:t>
                      </w:r>
                      <w:r>
                        <w:rPr>
                          <w:spacing w:val="-3"/>
                        </w:rPr>
                        <w:t> </w:t>
                      </w:r>
                      <w:r>
                        <w:rPr/>
                        <w:t>recibidos</w:t>
                      </w:r>
                      <w:r>
                        <w:rPr>
                          <w:spacing w:val="-4"/>
                        </w:rPr>
                        <w:t> </w:t>
                      </w:r>
                      <w:r>
                        <w:rPr/>
                        <w:t>como</w:t>
                      </w:r>
                      <w:r>
                        <w:rPr>
                          <w:spacing w:val="-5"/>
                        </w:rPr>
                        <w:t> </w:t>
                      </w:r>
                      <w:r>
                        <w:rPr/>
                        <w:t>donaciones</w:t>
                      </w:r>
                      <w:r>
                        <w:rPr>
                          <w:spacing w:val="-3"/>
                        </w:rPr>
                        <w:t> </w:t>
                      </w:r>
                      <w:r>
                        <w:rPr/>
                        <w:t>provenientes</w:t>
                      </w:r>
                      <w:r>
                        <w:rPr>
                          <w:spacing w:val="-4"/>
                        </w:rPr>
                        <w:t> </w:t>
                      </w:r>
                      <w:r>
                        <w:rPr/>
                        <w:t>de</w:t>
                      </w:r>
                      <w:r>
                        <w:rPr>
                          <w:spacing w:val="-5"/>
                        </w:rPr>
                        <w:t> </w:t>
                      </w:r>
                      <w:r>
                        <w:rPr/>
                        <w:t>entes</w:t>
                      </w:r>
                      <w:r>
                        <w:rPr>
                          <w:spacing w:val="-5"/>
                        </w:rPr>
                        <w:t> </w:t>
                      </w:r>
                      <w:r>
                        <w:rPr/>
                        <w:t>públicos,</w:t>
                      </w:r>
                      <w:r>
                        <w:rPr>
                          <w:spacing w:val="-4"/>
                        </w:rPr>
                        <w:t> </w:t>
                      </w:r>
                      <w:r>
                        <w:rPr/>
                        <w:t>o</w:t>
                      </w:r>
                      <w:r>
                        <w:rPr>
                          <w:spacing w:val="-5"/>
                        </w:rPr>
                        <w:t> </w:t>
                      </w:r>
                      <w:r>
                        <w:rPr/>
                        <w:t>privados sean personas físicas o jurídicas, así como los bienes muebles y suministros propiedad del IMAS declarados en desuso, para ser dispuestos para donaciones a entes públicos, organi-zaciones</w:t>
                      </w:r>
                      <w:r>
                        <w:rPr>
                          <w:spacing w:val="-5"/>
                        </w:rPr>
                        <w:t> </w:t>
                      </w:r>
                      <w:r>
                        <w:rPr/>
                        <w:t>sociales</w:t>
                      </w:r>
                      <w:r>
                        <w:rPr>
                          <w:spacing w:val="-5"/>
                        </w:rPr>
                        <w:t> </w:t>
                      </w:r>
                      <w:r>
                        <w:rPr/>
                        <w:t>sin</w:t>
                      </w:r>
                      <w:r>
                        <w:rPr>
                          <w:spacing w:val="-3"/>
                        </w:rPr>
                        <w:t> </w:t>
                      </w:r>
                      <w:r>
                        <w:rPr/>
                        <w:t>fines</w:t>
                      </w:r>
                      <w:r>
                        <w:rPr>
                          <w:spacing w:val="-2"/>
                        </w:rPr>
                        <w:t> </w:t>
                      </w:r>
                      <w:r>
                        <w:rPr/>
                        <w:t>de</w:t>
                      </w:r>
                      <w:r>
                        <w:rPr>
                          <w:spacing w:val="-4"/>
                        </w:rPr>
                        <w:t> </w:t>
                      </w:r>
                      <w:r>
                        <w:rPr/>
                        <w:t>lucro</w:t>
                      </w:r>
                      <w:r>
                        <w:rPr>
                          <w:spacing w:val="-3"/>
                        </w:rPr>
                        <w:t> </w:t>
                      </w:r>
                      <w:r>
                        <w:rPr/>
                        <w:t>y</w:t>
                      </w:r>
                      <w:r>
                        <w:rPr>
                          <w:spacing w:val="-4"/>
                        </w:rPr>
                        <w:t> </w:t>
                      </w:r>
                      <w:r>
                        <w:rPr/>
                        <w:t>organizaciones</w:t>
                      </w:r>
                      <w:r>
                        <w:rPr>
                          <w:spacing w:val="-2"/>
                        </w:rPr>
                        <w:t> </w:t>
                      </w:r>
                      <w:r>
                        <w:rPr/>
                        <w:t>amparadas</w:t>
                      </w:r>
                      <w:r>
                        <w:rPr>
                          <w:spacing w:val="-2"/>
                        </w:rPr>
                        <w:t> </w:t>
                      </w:r>
                      <w:r>
                        <w:rPr/>
                        <w:t>al</w:t>
                      </w:r>
                      <w:r>
                        <w:rPr>
                          <w:spacing w:val="-3"/>
                        </w:rPr>
                        <w:t> </w:t>
                      </w:r>
                      <w:r>
                        <w:rPr/>
                        <w:t>régimen</w:t>
                      </w:r>
                      <w:r>
                        <w:rPr>
                          <w:spacing w:val="-3"/>
                        </w:rPr>
                        <w:t> </w:t>
                      </w:r>
                      <w:r>
                        <w:rPr/>
                        <w:t>de</w:t>
                      </w:r>
                      <w:r>
                        <w:rPr>
                          <w:spacing w:val="-4"/>
                        </w:rPr>
                        <w:t> </w:t>
                      </w:r>
                      <w:r>
                        <w:rPr/>
                        <w:t>Zona</w:t>
                      </w:r>
                      <w:r>
                        <w:rPr>
                          <w:spacing w:val="-6"/>
                        </w:rPr>
                        <w:t> </w:t>
                      </w:r>
                      <w:r>
                        <w:rPr/>
                        <w:t>Franca.</w:t>
                      </w:r>
                    </w:p>
                    <w:p>
                      <w:pPr>
                        <w:pStyle w:val="BodyText"/>
                        <w:spacing w:before="20"/>
                      </w:pPr>
                    </w:p>
                    <w:p>
                      <w:pPr>
                        <w:pStyle w:val="BodyText"/>
                        <w:spacing w:line="259" w:lineRule="auto"/>
                        <w:ind w:left="103" w:right="103"/>
                        <w:jc w:val="both"/>
                      </w:pPr>
                      <w:r>
                        <w:rPr/>
                        <w:t>Los inventarios deberán medirse al costo o al valor realizable neto, el que sea menor excepto lo estipulado</w:t>
                      </w:r>
                      <w:r>
                        <w:rPr>
                          <w:spacing w:val="-7"/>
                        </w:rPr>
                        <w:t> </w:t>
                      </w:r>
                      <w:r>
                        <w:rPr/>
                        <w:t>en</w:t>
                      </w:r>
                      <w:r>
                        <w:rPr>
                          <w:spacing w:val="-7"/>
                        </w:rPr>
                        <w:t> </w:t>
                      </w:r>
                      <w:r>
                        <w:rPr/>
                        <w:t>las</w:t>
                      </w:r>
                      <w:r>
                        <w:rPr>
                          <w:spacing w:val="-6"/>
                        </w:rPr>
                        <w:t> </w:t>
                      </w:r>
                      <w:r>
                        <w:rPr/>
                        <w:t>excepciones.</w:t>
                      </w:r>
                      <w:r>
                        <w:rPr>
                          <w:spacing w:val="-8"/>
                        </w:rPr>
                        <w:t> </w:t>
                      </w:r>
                      <w:r>
                        <w:rPr/>
                        <w:t>No</w:t>
                      </w:r>
                      <w:r>
                        <w:rPr>
                          <w:spacing w:val="-9"/>
                        </w:rPr>
                        <w:t> </w:t>
                      </w:r>
                      <w:r>
                        <w:rPr/>
                        <w:t>se</w:t>
                      </w:r>
                      <w:r>
                        <w:rPr>
                          <w:spacing w:val="-8"/>
                        </w:rPr>
                        <w:t> </w:t>
                      </w:r>
                      <w:r>
                        <w:rPr/>
                        <w:t>incluyen</w:t>
                      </w:r>
                      <w:r>
                        <w:rPr>
                          <w:spacing w:val="-7"/>
                        </w:rPr>
                        <w:t> </w:t>
                      </w:r>
                      <w:r>
                        <w:rPr/>
                        <w:t>dentro</w:t>
                      </w:r>
                      <w:r>
                        <w:rPr>
                          <w:spacing w:val="-6"/>
                        </w:rPr>
                        <w:t> </w:t>
                      </w:r>
                      <w:r>
                        <w:rPr/>
                        <w:t>de</w:t>
                      </w:r>
                      <w:r>
                        <w:rPr>
                          <w:spacing w:val="-11"/>
                        </w:rPr>
                        <w:t> </w:t>
                      </w:r>
                      <w:r>
                        <w:rPr/>
                        <w:t>la</w:t>
                      </w:r>
                      <w:r>
                        <w:rPr>
                          <w:spacing w:val="-8"/>
                        </w:rPr>
                        <w:t> </w:t>
                      </w:r>
                      <w:r>
                        <w:rPr/>
                        <w:t>medición</w:t>
                      </w:r>
                      <w:r>
                        <w:rPr>
                          <w:spacing w:val="-7"/>
                        </w:rPr>
                        <w:t> </w:t>
                      </w:r>
                      <w:r>
                        <w:rPr/>
                        <w:t>general</w:t>
                      </w:r>
                      <w:r>
                        <w:rPr>
                          <w:spacing w:val="-8"/>
                        </w:rPr>
                        <w:t> </w:t>
                      </w:r>
                      <w:r>
                        <w:rPr/>
                        <w:t>y</w:t>
                      </w:r>
                      <w:r>
                        <w:rPr>
                          <w:spacing w:val="-11"/>
                        </w:rPr>
                        <w:t> </w:t>
                      </w:r>
                      <w:r>
                        <w:rPr/>
                        <w:t>se</w:t>
                      </w:r>
                      <w:r>
                        <w:rPr>
                          <w:spacing w:val="-11"/>
                        </w:rPr>
                        <w:t> </w:t>
                      </w:r>
                      <w:r>
                        <w:rPr/>
                        <w:t>medirán,</w:t>
                      </w:r>
                      <w:r>
                        <w:rPr>
                          <w:spacing w:val="-7"/>
                        </w:rPr>
                        <w:t> </w:t>
                      </w:r>
                      <w:r>
                        <w:rPr/>
                        <w:t>según</w:t>
                      </w:r>
                      <w:r>
                        <w:rPr>
                          <w:spacing w:val="-9"/>
                        </w:rPr>
                        <w:t> </w:t>
                      </w:r>
                      <w:r>
                        <w:rPr/>
                        <w:t>sea el caso, de acuerdo con el siguiente esquema:</w:t>
                      </w:r>
                    </w:p>
                  </w:txbxContent>
                </v:textbox>
                <v:stroke dashstyle="solid"/>
                <w10:wrap type="topAndBottom"/>
              </v:shape>
            </w:pict>
          </mc:Fallback>
        </mc:AlternateContent>
      </w:r>
    </w:p>
    <w:p>
      <w:pPr>
        <w:pStyle w:val="BodyText"/>
        <w:spacing w:after="0"/>
        <w:rPr>
          <w:b/>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5728">
                <wp:simplePos x="0" y="0"/>
                <wp:positionH relativeFrom="page">
                  <wp:posOffset>9525</wp:posOffset>
                </wp:positionH>
                <wp:positionV relativeFrom="page">
                  <wp:posOffset>297208</wp:posOffset>
                </wp:positionV>
                <wp:extent cx="7762875" cy="974852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7762875" cy="9748520"/>
                          <a:chExt cx="7762875" cy="9748520"/>
                        </a:xfrm>
                      </wpg:grpSpPr>
                      <pic:pic>
                        <pic:nvPicPr>
                          <pic:cNvPr id="99" name="Image 99"/>
                          <pic:cNvPicPr/>
                        </pic:nvPicPr>
                        <pic:blipFill>
                          <a:blip r:embed="rId5" cstate="print"/>
                          <a:stretch>
                            <a:fillRect/>
                          </a:stretch>
                        </pic:blipFill>
                        <pic:spPr>
                          <a:xfrm>
                            <a:off x="0" y="0"/>
                            <a:ext cx="7762874" cy="9748489"/>
                          </a:xfrm>
                          <a:prstGeom prst="rect">
                            <a:avLst/>
                          </a:prstGeom>
                        </pic:spPr>
                      </pic:pic>
                      <wps:wsp>
                        <wps:cNvPr id="100" name="Graphic 10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0752" id="docshapegroup97" coordorigin="15,468" coordsize="12225,15352">
                <v:shape style="position:absolute;left:15;top:468;width:12225;height:15352" type="#_x0000_t75" id="docshape98" stroked="false">
                  <v:imagedata r:id="rId5" o:title=""/>
                </v:shape>
                <v:rect style="position:absolute;left:1673;top:2028;width:8897;height:15" id="docshape9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28</w:t>
      </w:r>
    </w:p>
    <w:p>
      <w:pPr>
        <w:pStyle w:val="BodyText"/>
        <w:spacing w:before="8"/>
        <w:rPr>
          <w:sz w:val="18"/>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409"/>
        <w:gridCol w:w="2902"/>
        <w:gridCol w:w="3819"/>
        <w:gridCol w:w="1020"/>
      </w:tblGrid>
      <w:tr>
        <w:trPr>
          <w:trHeight w:val="453" w:hRule="atLeast"/>
        </w:trPr>
        <w:tc>
          <w:tcPr>
            <w:tcW w:w="682" w:type="dxa"/>
            <w:vMerge w:val="restart"/>
            <w:tcBorders>
              <w:bottom w:val="nil"/>
            </w:tcBorders>
          </w:tcPr>
          <w:p>
            <w:pPr>
              <w:pStyle w:val="TableParagraph"/>
              <w:rPr>
                <w:rFonts w:ascii="Times New Roman"/>
                <w:sz w:val="20"/>
              </w:rPr>
            </w:pPr>
          </w:p>
        </w:tc>
        <w:tc>
          <w:tcPr>
            <w:tcW w:w="3311" w:type="dxa"/>
            <w:gridSpan w:val="2"/>
            <w:tcBorders>
              <w:top w:val="single" w:sz="8" w:space="0" w:color="000000"/>
            </w:tcBorders>
          </w:tcPr>
          <w:p>
            <w:pPr>
              <w:pStyle w:val="TableParagraph"/>
              <w:spacing w:before="1"/>
              <w:ind w:left="28"/>
              <w:jc w:val="center"/>
              <w:rPr>
                <w:rFonts w:ascii="Calibri"/>
                <w:b/>
                <w:sz w:val="22"/>
              </w:rPr>
            </w:pPr>
            <w:r>
              <w:rPr>
                <w:rFonts w:ascii="Calibri"/>
                <w:b/>
                <w:spacing w:val="-2"/>
                <w:sz w:val="22"/>
              </w:rPr>
              <w:t>Inventarios</w:t>
            </w:r>
          </w:p>
        </w:tc>
        <w:tc>
          <w:tcPr>
            <w:tcW w:w="3819" w:type="dxa"/>
            <w:tcBorders>
              <w:top w:val="single" w:sz="8" w:space="0" w:color="000000"/>
            </w:tcBorders>
          </w:tcPr>
          <w:p>
            <w:pPr>
              <w:pStyle w:val="TableParagraph"/>
              <w:spacing w:before="1"/>
              <w:ind w:left="19" w:right="5"/>
              <w:jc w:val="center"/>
              <w:rPr>
                <w:rFonts w:ascii="Calibri" w:hAnsi="Calibri"/>
                <w:b/>
                <w:sz w:val="22"/>
              </w:rPr>
            </w:pPr>
            <w:r>
              <w:rPr>
                <w:rFonts w:ascii="Calibri" w:hAnsi="Calibri"/>
                <w:b/>
                <w:w w:val="85"/>
                <w:sz w:val="22"/>
              </w:rPr>
              <w:t>Medición</w:t>
            </w:r>
            <w:r>
              <w:rPr>
                <w:rFonts w:ascii="Calibri" w:hAnsi="Calibri"/>
                <w:b/>
                <w:spacing w:val="9"/>
                <w:sz w:val="22"/>
              </w:rPr>
              <w:t> </w:t>
            </w:r>
            <w:r>
              <w:rPr>
                <w:rFonts w:ascii="Calibri" w:hAnsi="Calibri"/>
                <w:b/>
                <w:spacing w:val="-2"/>
                <w:sz w:val="22"/>
              </w:rPr>
              <w:t>Especial</w:t>
            </w:r>
          </w:p>
        </w:tc>
        <w:tc>
          <w:tcPr>
            <w:tcW w:w="1020" w:type="dxa"/>
            <w:vMerge w:val="restart"/>
            <w:tcBorders>
              <w:bottom w:val="nil"/>
            </w:tcBorders>
          </w:tcPr>
          <w:p>
            <w:pPr>
              <w:pStyle w:val="TableParagraph"/>
              <w:rPr>
                <w:rFonts w:ascii="Times New Roman"/>
                <w:sz w:val="20"/>
              </w:rPr>
            </w:pPr>
          </w:p>
        </w:tc>
      </w:tr>
      <w:tr>
        <w:trPr>
          <w:trHeight w:val="736" w:hRule="atLeast"/>
        </w:trPr>
        <w:tc>
          <w:tcPr>
            <w:tcW w:w="682" w:type="dxa"/>
            <w:vMerge/>
            <w:tcBorders>
              <w:top w:val="nil"/>
              <w:bottom w:val="nil"/>
            </w:tcBorders>
          </w:tcPr>
          <w:p>
            <w:pPr>
              <w:rPr>
                <w:sz w:val="2"/>
                <w:szCs w:val="2"/>
              </w:rPr>
            </w:pPr>
          </w:p>
        </w:tc>
        <w:tc>
          <w:tcPr>
            <w:tcW w:w="409" w:type="dxa"/>
          </w:tcPr>
          <w:p>
            <w:pPr>
              <w:pStyle w:val="TableParagraph"/>
              <w:spacing w:line="266" w:lineRule="exact"/>
              <w:ind w:left="14" w:right="51"/>
              <w:jc w:val="center"/>
              <w:rPr>
                <w:rFonts w:ascii="Calibri"/>
                <w:sz w:val="22"/>
              </w:rPr>
            </w:pPr>
            <w:r>
              <w:rPr>
                <w:rFonts w:ascii="Calibri"/>
                <w:spacing w:val="-5"/>
                <w:sz w:val="22"/>
              </w:rPr>
              <w:t>a)</w:t>
            </w:r>
          </w:p>
        </w:tc>
        <w:tc>
          <w:tcPr>
            <w:tcW w:w="2902" w:type="dxa"/>
          </w:tcPr>
          <w:p>
            <w:pPr>
              <w:pStyle w:val="TableParagraph"/>
              <w:spacing w:line="256" w:lineRule="auto"/>
              <w:ind w:left="96"/>
              <w:rPr>
                <w:rFonts w:ascii="Calibri" w:hAnsi="Calibri"/>
                <w:sz w:val="22"/>
              </w:rPr>
            </w:pPr>
            <w:r>
              <w:rPr>
                <w:rFonts w:ascii="Calibri" w:hAnsi="Calibri"/>
                <w:w w:val="85"/>
                <w:sz w:val="22"/>
              </w:rPr>
              <w:t>Adquiridos a través de transacción </w:t>
            </w:r>
            <w:r>
              <w:rPr>
                <w:rFonts w:ascii="Calibri" w:hAnsi="Calibri"/>
                <w:spacing w:val="-4"/>
                <w:sz w:val="22"/>
              </w:rPr>
              <w:t>sin</w:t>
            </w:r>
            <w:r>
              <w:rPr>
                <w:rFonts w:ascii="Calibri" w:hAnsi="Calibri"/>
                <w:spacing w:val="-9"/>
                <w:sz w:val="22"/>
              </w:rPr>
              <w:t> </w:t>
            </w:r>
            <w:r>
              <w:rPr>
                <w:rFonts w:ascii="Calibri" w:hAnsi="Calibri"/>
                <w:spacing w:val="-4"/>
                <w:sz w:val="22"/>
              </w:rPr>
              <w:t>contraprestación</w:t>
            </w:r>
          </w:p>
        </w:tc>
        <w:tc>
          <w:tcPr>
            <w:tcW w:w="3819" w:type="dxa"/>
          </w:tcPr>
          <w:p>
            <w:pPr>
              <w:pStyle w:val="TableParagraph"/>
              <w:spacing w:line="266" w:lineRule="exact"/>
              <w:ind w:left="14" w:right="19"/>
              <w:jc w:val="center"/>
              <w:rPr>
                <w:rFonts w:ascii="Calibri" w:hAnsi="Calibri"/>
                <w:b/>
                <w:sz w:val="22"/>
              </w:rPr>
            </w:pPr>
            <w:r>
              <w:rPr>
                <w:rFonts w:ascii="Calibri" w:hAnsi="Calibri"/>
                <w:b/>
                <w:w w:val="85"/>
                <w:sz w:val="22"/>
              </w:rPr>
              <w:t>A</w:t>
            </w:r>
            <w:r>
              <w:rPr>
                <w:rFonts w:ascii="Calibri" w:hAnsi="Calibri"/>
                <w:b/>
                <w:spacing w:val="-1"/>
                <w:sz w:val="22"/>
              </w:rPr>
              <w:t> </w:t>
            </w:r>
            <w:r>
              <w:rPr>
                <w:rFonts w:ascii="Calibri" w:hAnsi="Calibri"/>
                <w:b/>
                <w:w w:val="85"/>
                <w:sz w:val="22"/>
              </w:rPr>
              <w:t>su</w:t>
            </w:r>
            <w:r>
              <w:rPr>
                <w:rFonts w:ascii="Calibri" w:hAnsi="Calibri"/>
                <w:b/>
                <w:sz w:val="22"/>
              </w:rPr>
              <w:t> </w:t>
            </w:r>
            <w:r>
              <w:rPr>
                <w:rFonts w:ascii="Calibri" w:hAnsi="Calibri"/>
                <w:b/>
                <w:w w:val="85"/>
                <w:sz w:val="22"/>
              </w:rPr>
              <w:t>valor</w:t>
            </w:r>
            <w:r>
              <w:rPr>
                <w:rFonts w:ascii="Calibri" w:hAnsi="Calibri"/>
                <w:b/>
                <w:spacing w:val="-1"/>
                <w:sz w:val="22"/>
              </w:rPr>
              <w:t> </w:t>
            </w:r>
            <w:r>
              <w:rPr>
                <w:rFonts w:ascii="Calibri" w:hAnsi="Calibri"/>
                <w:b/>
                <w:w w:val="85"/>
                <w:sz w:val="22"/>
              </w:rPr>
              <w:t>razonable</w:t>
            </w:r>
            <w:r>
              <w:rPr>
                <w:rFonts w:ascii="Calibri" w:hAnsi="Calibri"/>
                <w:b/>
                <w:sz w:val="22"/>
              </w:rPr>
              <w:t> </w:t>
            </w:r>
            <w:r>
              <w:rPr>
                <w:rFonts w:ascii="Calibri" w:hAnsi="Calibri"/>
                <w:b/>
                <w:w w:val="85"/>
                <w:sz w:val="22"/>
              </w:rPr>
              <w:t>a</w:t>
            </w:r>
            <w:r>
              <w:rPr>
                <w:rFonts w:ascii="Calibri" w:hAnsi="Calibri"/>
                <w:b/>
                <w:spacing w:val="-4"/>
                <w:w w:val="85"/>
                <w:sz w:val="22"/>
              </w:rPr>
              <w:t> </w:t>
            </w:r>
            <w:r>
              <w:rPr>
                <w:rFonts w:ascii="Calibri" w:hAnsi="Calibri"/>
                <w:b/>
                <w:w w:val="85"/>
                <w:sz w:val="22"/>
              </w:rPr>
              <w:t>la</w:t>
            </w:r>
            <w:r>
              <w:rPr>
                <w:rFonts w:ascii="Calibri" w:hAnsi="Calibri"/>
                <w:b/>
                <w:spacing w:val="-4"/>
                <w:sz w:val="22"/>
              </w:rPr>
              <w:t> </w:t>
            </w:r>
            <w:r>
              <w:rPr>
                <w:rFonts w:ascii="Calibri" w:hAnsi="Calibri"/>
                <w:b/>
                <w:w w:val="85"/>
                <w:sz w:val="22"/>
              </w:rPr>
              <w:t>fecha</w:t>
            </w:r>
            <w:r>
              <w:rPr>
                <w:rFonts w:ascii="Calibri" w:hAnsi="Calibri"/>
                <w:b/>
                <w:spacing w:val="-4"/>
                <w:w w:val="85"/>
                <w:sz w:val="22"/>
              </w:rPr>
              <w:t> </w:t>
            </w:r>
            <w:r>
              <w:rPr>
                <w:rFonts w:ascii="Calibri" w:hAnsi="Calibri"/>
                <w:b/>
                <w:w w:val="85"/>
                <w:sz w:val="22"/>
              </w:rPr>
              <w:t>de</w:t>
            </w:r>
            <w:r>
              <w:rPr>
                <w:rFonts w:ascii="Calibri" w:hAnsi="Calibri"/>
                <w:b/>
                <w:spacing w:val="1"/>
                <w:sz w:val="22"/>
              </w:rPr>
              <w:t> </w:t>
            </w:r>
            <w:r>
              <w:rPr>
                <w:rFonts w:ascii="Calibri" w:hAnsi="Calibri"/>
                <w:b/>
                <w:spacing w:val="-2"/>
                <w:w w:val="85"/>
                <w:sz w:val="22"/>
              </w:rPr>
              <w:t>adquisición</w:t>
            </w:r>
          </w:p>
        </w:tc>
        <w:tc>
          <w:tcPr>
            <w:tcW w:w="1020" w:type="dxa"/>
            <w:vMerge/>
            <w:tcBorders>
              <w:top w:val="nil"/>
              <w:bottom w:val="nil"/>
            </w:tcBorders>
          </w:tcPr>
          <w:p>
            <w:pPr>
              <w:rPr>
                <w:sz w:val="2"/>
                <w:szCs w:val="2"/>
              </w:rPr>
            </w:pPr>
          </w:p>
        </w:tc>
      </w:tr>
      <w:tr>
        <w:trPr>
          <w:trHeight w:val="1024" w:hRule="atLeast"/>
        </w:trPr>
        <w:tc>
          <w:tcPr>
            <w:tcW w:w="682" w:type="dxa"/>
            <w:vMerge/>
            <w:tcBorders>
              <w:top w:val="nil"/>
              <w:bottom w:val="nil"/>
            </w:tcBorders>
          </w:tcPr>
          <w:p>
            <w:pPr>
              <w:rPr>
                <w:sz w:val="2"/>
                <w:szCs w:val="2"/>
              </w:rPr>
            </w:pPr>
          </w:p>
        </w:tc>
        <w:tc>
          <w:tcPr>
            <w:tcW w:w="409" w:type="dxa"/>
          </w:tcPr>
          <w:p>
            <w:pPr>
              <w:pStyle w:val="TableParagraph"/>
              <w:spacing w:line="266" w:lineRule="exact"/>
              <w:ind w:left="18" w:right="51"/>
              <w:jc w:val="center"/>
              <w:rPr>
                <w:rFonts w:ascii="Calibri"/>
                <w:sz w:val="22"/>
              </w:rPr>
            </w:pPr>
            <w:r>
              <w:rPr>
                <w:rFonts w:ascii="Calibri"/>
                <w:spacing w:val="-5"/>
                <w:sz w:val="22"/>
              </w:rPr>
              <w:t>b)</w:t>
            </w:r>
          </w:p>
        </w:tc>
        <w:tc>
          <w:tcPr>
            <w:tcW w:w="2902" w:type="dxa"/>
          </w:tcPr>
          <w:p>
            <w:pPr>
              <w:pStyle w:val="TableParagraph"/>
              <w:spacing w:line="259" w:lineRule="auto"/>
              <w:ind w:left="96"/>
              <w:rPr>
                <w:rFonts w:ascii="Calibri" w:hAnsi="Calibri"/>
                <w:sz w:val="22"/>
              </w:rPr>
            </w:pPr>
            <w:r>
              <w:rPr>
                <w:rFonts w:ascii="Calibri" w:hAnsi="Calibri"/>
                <w:w w:val="85"/>
                <w:sz w:val="22"/>
              </w:rPr>
              <w:t>A distribuir sin</w:t>
            </w:r>
            <w:r>
              <w:rPr>
                <w:rFonts w:ascii="Calibri" w:hAnsi="Calibri"/>
                <w:spacing w:val="-3"/>
                <w:w w:val="85"/>
                <w:sz w:val="22"/>
              </w:rPr>
              <w:t> </w:t>
            </w:r>
            <w:r>
              <w:rPr>
                <w:rFonts w:ascii="Calibri" w:hAnsi="Calibri"/>
                <w:w w:val="85"/>
                <w:sz w:val="22"/>
              </w:rPr>
              <w:t>contraprestación</w:t>
            </w:r>
            <w:r>
              <w:rPr>
                <w:rFonts w:ascii="Calibri" w:hAnsi="Calibri"/>
                <w:spacing w:val="-3"/>
                <w:w w:val="85"/>
                <w:sz w:val="22"/>
              </w:rPr>
              <w:t> </w:t>
            </w:r>
            <w:r>
              <w:rPr>
                <w:rFonts w:ascii="Calibri" w:hAnsi="Calibri"/>
                <w:w w:val="85"/>
                <w:sz w:val="22"/>
              </w:rPr>
              <w:t>a </w:t>
            </w:r>
            <w:r>
              <w:rPr>
                <w:rFonts w:ascii="Calibri" w:hAnsi="Calibri"/>
                <w:sz w:val="22"/>
              </w:rPr>
              <w:t>cambio,</w:t>
            </w:r>
            <w:r>
              <w:rPr>
                <w:rFonts w:ascii="Calibri" w:hAnsi="Calibri"/>
                <w:spacing w:val="-13"/>
                <w:sz w:val="22"/>
              </w:rPr>
              <w:t> </w:t>
            </w:r>
            <w:r>
              <w:rPr>
                <w:rFonts w:ascii="Calibri" w:hAnsi="Calibri"/>
                <w:sz w:val="22"/>
              </w:rPr>
              <w:t>o</w:t>
            </w:r>
            <w:r>
              <w:rPr>
                <w:rFonts w:ascii="Calibri" w:hAnsi="Calibri"/>
                <w:spacing w:val="-12"/>
                <w:sz w:val="22"/>
              </w:rPr>
              <w:t> </w:t>
            </w:r>
            <w:r>
              <w:rPr>
                <w:rFonts w:ascii="Calibri" w:hAnsi="Calibri"/>
                <w:sz w:val="22"/>
              </w:rPr>
              <w:t>por</w:t>
            </w:r>
            <w:r>
              <w:rPr>
                <w:rFonts w:ascii="Calibri" w:hAnsi="Calibri"/>
                <w:spacing w:val="-13"/>
                <w:sz w:val="22"/>
              </w:rPr>
              <w:t> </w:t>
            </w:r>
            <w:r>
              <w:rPr>
                <w:rFonts w:ascii="Calibri" w:hAnsi="Calibri"/>
                <w:sz w:val="22"/>
              </w:rPr>
              <w:t>una </w:t>
            </w:r>
            <w:r>
              <w:rPr>
                <w:rFonts w:ascii="Calibri" w:hAnsi="Calibri"/>
                <w:spacing w:val="-8"/>
                <w:sz w:val="22"/>
              </w:rPr>
              <w:t>contraprestación insignificante</w:t>
            </w:r>
          </w:p>
        </w:tc>
        <w:tc>
          <w:tcPr>
            <w:tcW w:w="3819" w:type="dxa"/>
          </w:tcPr>
          <w:p>
            <w:pPr>
              <w:pStyle w:val="TableParagraph"/>
              <w:spacing w:line="256" w:lineRule="auto"/>
              <w:ind w:left="101"/>
              <w:rPr>
                <w:rFonts w:ascii="Calibri" w:hAnsi="Calibri"/>
                <w:b/>
                <w:sz w:val="22"/>
              </w:rPr>
            </w:pPr>
            <w:r>
              <w:rPr>
                <w:rFonts w:ascii="Calibri" w:hAnsi="Calibri"/>
                <w:b/>
                <w:spacing w:val="-4"/>
                <w:w w:val="90"/>
                <w:sz w:val="22"/>
              </w:rPr>
              <w:t>Al</w:t>
            </w:r>
            <w:r>
              <w:rPr>
                <w:rFonts w:ascii="Calibri" w:hAnsi="Calibri"/>
                <w:b/>
                <w:spacing w:val="-4"/>
                <w:sz w:val="22"/>
              </w:rPr>
              <w:t> </w:t>
            </w:r>
            <w:r>
              <w:rPr>
                <w:rFonts w:ascii="Calibri" w:hAnsi="Calibri"/>
                <w:b/>
                <w:spacing w:val="-4"/>
                <w:w w:val="90"/>
                <w:sz w:val="22"/>
              </w:rPr>
              <w:t>menor</w:t>
            </w:r>
            <w:r>
              <w:rPr>
                <w:rFonts w:ascii="Calibri" w:hAnsi="Calibri"/>
                <w:b/>
                <w:spacing w:val="-6"/>
                <w:sz w:val="22"/>
              </w:rPr>
              <w:t> </w:t>
            </w:r>
            <w:r>
              <w:rPr>
                <w:rFonts w:ascii="Calibri" w:hAnsi="Calibri"/>
                <w:b/>
                <w:spacing w:val="-4"/>
                <w:w w:val="90"/>
                <w:sz w:val="22"/>
              </w:rPr>
              <w:t>valor</w:t>
            </w:r>
            <w:r>
              <w:rPr>
                <w:rFonts w:ascii="Calibri" w:hAnsi="Calibri"/>
                <w:b/>
                <w:spacing w:val="-8"/>
                <w:w w:val="90"/>
                <w:sz w:val="22"/>
              </w:rPr>
              <w:t> </w:t>
            </w:r>
            <w:r>
              <w:rPr>
                <w:rFonts w:ascii="Calibri" w:hAnsi="Calibri"/>
                <w:b/>
                <w:spacing w:val="-4"/>
                <w:w w:val="90"/>
                <w:sz w:val="22"/>
              </w:rPr>
              <w:t>entre</w:t>
            </w:r>
            <w:r>
              <w:rPr>
                <w:rFonts w:ascii="Calibri" w:hAnsi="Calibri"/>
                <w:b/>
                <w:spacing w:val="-5"/>
                <w:w w:val="90"/>
                <w:sz w:val="22"/>
              </w:rPr>
              <w:t> </w:t>
            </w:r>
            <w:r>
              <w:rPr>
                <w:rFonts w:ascii="Calibri" w:hAnsi="Calibri"/>
                <w:b/>
                <w:spacing w:val="-4"/>
                <w:w w:val="90"/>
                <w:sz w:val="22"/>
              </w:rPr>
              <w:t>el</w:t>
            </w:r>
            <w:r>
              <w:rPr>
                <w:rFonts w:ascii="Calibri" w:hAnsi="Calibri"/>
                <w:b/>
                <w:spacing w:val="-4"/>
                <w:sz w:val="22"/>
              </w:rPr>
              <w:t> </w:t>
            </w:r>
            <w:r>
              <w:rPr>
                <w:rFonts w:ascii="Calibri" w:hAnsi="Calibri"/>
                <w:b/>
                <w:spacing w:val="-4"/>
                <w:w w:val="90"/>
                <w:sz w:val="22"/>
              </w:rPr>
              <w:t>costo</w:t>
            </w:r>
            <w:r>
              <w:rPr>
                <w:rFonts w:ascii="Calibri" w:hAnsi="Calibri"/>
                <w:b/>
                <w:spacing w:val="-6"/>
                <w:w w:val="90"/>
                <w:sz w:val="22"/>
              </w:rPr>
              <w:t> </w:t>
            </w:r>
            <w:r>
              <w:rPr>
                <w:rFonts w:ascii="Calibri" w:hAnsi="Calibri"/>
                <w:b/>
                <w:spacing w:val="-4"/>
                <w:w w:val="90"/>
                <w:sz w:val="22"/>
              </w:rPr>
              <w:t>y</w:t>
            </w:r>
            <w:r>
              <w:rPr>
                <w:rFonts w:ascii="Calibri" w:hAnsi="Calibri"/>
                <w:b/>
                <w:spacing w:val="-6"/>
                <w:w w:val="90"/>
                <w:sz w:val="22"/>
              </w:rPr>
              <w:t> </w:t>
            </w:r>
            <w:r>
              <w:rPr>
                <w:rFonts w:ascii="Calibri" w:hAnsi="Calibri"/>
                <w:b/>
                <w:spacing w:val="-4"/>
                <w:w w:val="90"/>
                <w:sz w:val="22"/>
              </w:rPr>
              <w:t>el</w:t>
            </w:r>
            <w:r>
              <w:rPr>
                <w:rFonts w:ascii="Calibri" w:hAnsi="Calibri"/>
                <w:b/>
                <w:spacing w:val="-4"/>
                <w:sz w:val="22"/>
              </w:rPr>
              <w:t> </w:t>
            </w:r>
            <w:r>
              <w:rPr>
                <w:rFonts w:ascii="Calibri" w:hAnsi="Calibri"/>
                <w:b/>
                <w:spacing w:val="-4"/>
                <w:w w:val="90"/>
                <w:sz w:val="22"/>
              </w:rPr>
              <w:t>costo </w:t>
            </w:r>
            <w:r>
              <w:rPr>
                <w:rFonts w:ascii="Calibri" w:hAnsi="Calibri"/>
                <w:b/>
                <w:spacing w:val="-4"/>
                <w:sz w:val="22"/>
              </w:rPr>
              <w:t>corriente</w:t>
            </w:r>
            <w:r>
              <w:rPr>
                <w:rFonts w:ascii="Calibri" w:hAnsi="Calibri"/>
                <w:b/>
                <w:spacing w:val="-9"/>
                <w:sz w:val="22"/>
              </w:rPr>
              <w:t> </w:t>
            </w:r>
            <w:r>
              <w:rPr>
                <w:rFonts w:ascii="Calibri" w:hAnsi="Calibri"/>
                <w:b/>
                <w:spacing w:val="-4"/>
                <w:sz w:val="22"/>
              </w:rPr>
              <w:t>de</w:t>
            </w:r>
            <w:r>
              <w:rPr>
                <w:rFonts w:ascii="Calibri" w:hAnsi="Calibri"/>
                <w:b/>
                <w:spacing w:val="-11"/>
                <w:sz w:val="22"/>
              </w:rPr>
              <w:t> </w:t>
            </w:r>
            <w:r>
              <w:rPr>
                <w:rFonts w:ascii="Calibri" w:hAnsi="Calibri"/>
                <w:b/>
                <w:spacing w:val="-4"/>
                <w:sz w:val="22"/>
              </w:rPr>
              <w:t>reposición</w:t>
            </w:r>
          </w:p>
        </w:tc>
        <w:tc>
          <w:tcPr>
            <w:tcW w:w="1020" w:type="dxa"/>
            <w:vMerge/>
            <w:tcBorders>
              <w:top w:val="nil"/>
              <w:bottom w:val="nil"/>
            </w:tcBorders>
          </w:tcPr>
          <w:p>
            <w:pPr>
              <w:rPr>
                <w:sz w:val="2"/>
                <w:szCs w:val="2"/>
              </w:rPr>
            </w:pPr>
          </w:p>
        </w:tc>
      </w:tr>
      <w:tr>
        <w:trPr>
          <w:trHeight w:val="743" w:hRule="atLeast"/>
        </w:trPr>
        <w:tc>
          <w:tcPr>
            <w:tcW w:w="682" w:type="dxa"/>
            <w:vMerge/>
            <w:tcBorders>
              <w:top w:val="nil"/>
              <w:bottom w:val="nil"/>
            </w:tcBorders>
          </w:tcPr>
          <w:p>
            <w:pPr>
              <w:rPr>
                <w:sz w:val="2"/>
                <w:szCs w:val="2"/>
              </w:rPr>
            </w:pPr>
          </w:p>
        </w:tc>
        <w:tc>
          <w:tcPr>
            <w:tcW w:w="409" w:type="dxa"/>
          </w:tcPr>
          <w:p>
            <w:pPr>
              <w:pStyle w:val="TableParagraph"/>
              <w:spacing w:before="4"/>
              <w:ind w:right="51"/>
              <w:jc w:val="center"/>
              <w:rPr>
                <w:rFonts w:ascii="Calibri"/>
                <w:sz w:val="22"/>
              </w:rPr>
            </w:pPr>
            <w:r>
              <w:rPr>
                <w:rFonts w:ascii="Calibri"/>
                <w:spacing w:val="-5"/>
                <w:sz w:val="22"/>
              </w:rPr>
              <w:t>c)</w:t>
            </w:r>
          </w:p>
        </w:tc>
        <w:tc>
          <w:tcPr>
            <w:tcW w:w="2902" w:type="dxa"/>
          </w:tcPr>
          <w:p>
            <w:pPr>
              <w:pStyle w:val="TableParagraph"/>
              <w:spacing w:line="256" w:lineRule="auto" w:before="4"/>
              <w:ind w:left="96"/>
              <w:rPr>
                <w:rFonts w:ascii="Calibri" w:hAnsi="Calibri"/>
                <w:sz w:val="22"/>
              </w:rPr>
            </w:pPr>
            <w:r>
              <w:rPr>
                <w:rFonts w:ascii="Calibri" w:hAnsi="Calibri"/>
                <w:w w:val="85"/>
                <w:sz w:val="22"/>
              </w:rPr>
              <w:t>Para consumirlos en el proceso de </w:t>
            </w:r>
            <w:r>
              <w:rPr>
                <w:rFonts w:ascii="Calibri" w:hAnsi="Calibri"/>
                <w:spacing w:val="-4"/>
                <w:sz w:val="22"/>
              </w:rPr>
              <w:t>producción</w:t>
            </w:r>
            <w:r>
              <w:rPr>
                <w:rFonts w:ascii="Calibri" w:hAnsi="Calibri"/>
                <w:spacing w:val="-9"/>
                <w:sz w:val="22"/>
              </w:rPr>
              <w:t> </w:t>
            </w:r>
            <w:r>
              <w:rPr>
                <w:rFonts w:ascii="Calibri" w:hAnsi="Calibri"/>
                <w:spacing w:val="-4"/>
                <w:sz w:val="22"/>
              </w:rPr>
              <w:t>de</w:t>
            </w:r>
            <w:r>
              <w:rPr>
                <w:rFonts w:ascii="Calibri" w:hAnsi="Calibri"/>
                <w:spacing w:val="-9"/>
                <w:sz w:val="22"/>
              </w:rPr>
              <w:t> </w:t>
            </w:r>
            <w:r>
              <w:rPr>
                <w:rFonts w:ascii="Calibri" w:hAnsi="Calibri"/>
                <w:spacing w:val="-4"/>
                <w:sz w:val="22"/>
              </w:rPr>
              <w:t>bienes</w:t>
            </w:r>
          </w:p>
        </w:tc>
        <w:tc>
          <w:tcPr>
            <w:tcW w:w="3819" w:type="dxa"/>
          </w:tcPr>
          <w:p>
            <w:pPr>
              <w:pStyle w:val="TableParagraph"/>
              <w:spacing w:line="256" w:lineRule="auto" w:before="4"/>
              <w:ind w:left="101"/>
              <w:rPr>
                <w:rFonts w:ascii="Calibri" w:hAnsi="Calibri"/>
                <w:b/>
                <w:sz w:val="22"/>
              </w:rPr>
            </w:pPr>
            <w:r>
              <w:rPr>
                <w:rFonts w:ascii="Calibri" w:hAnsi="Calibri"/>
                <w:b/>
                <w:spacing w:val="-4"/>
                <w:w w:val="90"/>
                <w:sz w:val="22"/>
              </w:rPr>
              <w:t>Al</w:t>
            </w:r>
            <w:r>
              <w:rPr>
                <w:rFonts w:ascii="Calibri" w:hAnsi="Calibri"/>
                <w:b/>
                <w:spacing w:val="-4"/>
                <w:sz w:val="22"/>
              </w:rPr>
              <w:t> </w:t>
            </w:r>
            <w:r>
              <w:rPr>
                <w:rFonts w:ascii="Calibri" w:hAnsi="Calibri"/>
                <w:b/>
                <w:spacing w:val="-4"/>
                <w:w w:val="90"/>
                <w:sz w:val="22"/>
              </w:rPr>
              <w:t>menor</w:t>
            </w:r>
            <w:r>
              <w:rPr>
                <w:rFonts w:ascii="Calibri" w:hAnsi="Calibri"/>
                <w:b/>
                <w:spacing w:val="-6"/>
                <w:sz w:val="22"/>
              </w:rPr>
              <w:t> </w:t>
            </w:r>
            <w:r>
              <w:rPr>
                <w:rFonts w:ascii="Calibri" w:hAnsi="Calibri"/>
                <w:b/>
                <w:spacing w:val="-4"/>
                <w:w w:val="90"/>
                <w:sz w:val="22"/>
              </w:rPr>
              <w:t>valor</w:t>
            </w:r>
            <w:r>
              <w:rPr>
                <w:rFonts w:ascii="Calibri" w:hAnsi="Calibri"/>
                <w:b/>
                <w:spacing w:val="-8"/>
                <w:w w:val="90"/>
                <w:sz w:val="22"/>
              </w:rPr>
              <w:t> </w:t>
            </w:r>
            <w:r>
              <w:rPr>
                <w:rFonts w:ascii="Calibri" w:hAnsi="Calibri"/>
                <w:b/>
                <w:spacing w:val="-4"/>
                <w:w w:val="90"/>
                <w:sz w:val="22"/>
              </w:rPr>
              <w:t>entre</w:t>
            </w:r>
            <w:r>
              <w:rPr>
                <w:rFonts w:ascii="Calibri" w:hAnsi="Calibri"/>
                <w:b/>
                <w:spacing w:val="-5"/>
                <w:w w:val="90"/>
                <w:sz w:val="22"/>
              </w:rPr>
              <w:t> </w:t>
            </w:r>
            <w:r>
              <w:rPr>
                <w:rFonts w:ascii="Calibri" w:hAnsi="Calibri"/>
                <w:b/>
                <w:spacing w:val="-4"/>
                <w:w w:val="90"/>
                <w:sz w:val="22"/>
              </w:rPr>
              <w:t>el</w:t>
            </w:r>
            <w:r>
              <w:rPr>
                <w:rFonts w:ascii="Calibri" w:hAnsi="Calibri"/>
                <w:b/>
                <w:spacing w:val="-4"/>
                <w:sz w:val="22"/>
              </w:rPr>
              <w:t> </w:t>
            </w:r>
            <w:r>
              <w:rPr>
                <w:rFonts w:ascii="Calibri" w:hAnsi="Calibri"/>
                <w:b/>
                <w:spacing w:val="-4"/>
                <w:w w:val="90"/>
                <w:sz w:val="22"/>
              </w:rPr>
              <w:t>costo</w:t>
            </w:r>
            <w:r>
              <w:rPr>
                <w:rFonts w:ascii="Calibri" w:hAnsi="Calibri"/>
                <w:b/>
                <w:spacing w:val="-6"/>
                <w:w w:val="90"/>
                <w:sz w:val="22"/>
              </w:rPr>
              <w:t> </w:t>
            </w:r>
            <w:r>
              <w:rPr>
                <w:rFonts w:ascii="Calibri" w:hAnsi="Calibri"/>
                <w:b/>
                <w:spacing w:val="-4"/>
                <w:w w:val="90"/>
                <w:sz w:val="22"/>
              </w:rPr>
              <w:t>y</w:t>
            </w:r>
            <w:r>
              <w:rPr>
                <w:rFonts w:ascii="Calibri" w:hAnsi="Calibri"/>
                <w:b/>
                <w:spacing w:val="-6"/>
                <w:w w:val="90"/>
                <w:sz w:val="22"/>
              </w:rPr>
              <w:t> </w:t>
            </w:r>
            <w:r>
              <w:rPr>
                <w:rFonts w:ascii="Calibri" w:hAnsi="Calibri"/>
                <w:b/>
                <w:spacing w:val="-4"/>
                <w:w w:val="90"/>
                <w:sz w:val="22"/>
              </w:rPr>
              <w:t>el</w:t>
            </w:r>
            <w:r>
              <w:rPr>
                <w:rFonts w:ascii="Calibri" w:hAnsi="Calibri"/>
                <w:b/>
                <w:spacing w:val="-4"/>
                <w:sz w:val="22"/>
              </w:rPr>
              <w:t> </w:t>
            </w:r>
            <w:r>
              <w:rPr>
                <w:rFonts w:ascii="Calibri" w:hAnsi="Calibri"/>
                <w:b/>
                <w:spacing w:val="-4"/>
                <w:w w:val="90"/>
                <w:sz w:val="22"/>
              </w:rPr>
              <w:t>costo </w:t>
            </w:r>
            <w:r>
              <w:rPr>
                <w:rFonts w:ascii="Calibri" w:hAnsi="Calibri"/>
                <w:b/>
                <w:spacing w:val="-4"/>
                <w:sz w:val="22"/>
              </w:rPr>
              <w:t>corriente</w:t>
            </w:r>
            <w:r>
              <w:rPr>
                <w:rFonts w:ascii="Calibri" w:hAnsi="Calibri"/>
                <w:b/>
                <w:spacing w:val="-9"/>
                <w:sz w:val="22"/>
              </w:rPr>
              <w:t> </w:t>
            </w:r>
            <w:r>
              <w:rPr>
                <w:rFonts w:ascii="Calibri" w:hAnsi="Calibri"/>
                <w:b/>
                <w:spacing w:val="-4"/>
                <w:sz w:val="22"/>
              </w:rPr>
              <w:t>de</w:t>
            </w:r>
            <w:r>
              <w:rPr>
                <w:rFonts w:ascii="Calibri" w:hAnsi="Calibri"/>
                <w:b/>
                <w:spacing w:val="-11"/>
                <w:sz w:val="22"/>
              </w:rPr>
              <w:t> </w:t>
            </w:r>
            <w:r>
              <w:rPr>
                <w:rFonts w:ascii="Calibri" w:hAnsi="Calibri"/>
                <w:b/>
                <w:spacing w:val="-4"/>
                <w:sz w:val="22"/>
              </w:rPr>
              <w:t>reposición</w:t>
            </w:r>
          </w:p>
        </w:tc>
        <w:tc>
          <w:tcPr>
            <w:tcW w:w="1020" w:type="dxa"/>
            <w:vMerge/>
            <w:tcBorders>
              <w:top w:val="nil"/>
              <w:bottom w:val="nil"/>
            </w:tcBorders>
          </w:tcPr>
          <w:p>
            <w:pPr>
              <w:rPr>
                <w:sz w:val="2"/>
                <w:szCs w:val="2"/>
              </w:rPr>
            </w:pPr>
          </w:p>
        </w:tc>
      </w:tr>
      <w:tr>
        <w:trPr>
          <w:trHeight w:val="8868" w:hRule="atLeast"/>
        </w:trPr>
        <w:tc>
          <w:tcPr>
            <w:tcW w:w="8832" w:type="dxa"/>
            <w:gridSpan w:val="5"/>
            <w:tcBorders>
              <w:top w:val="nil"/>
            </w:tcBorders>
          </w:tcPr>
          <w:p>
            <w:pPr>
              <w:pStyle w:val="TableParagraph"/>
              <w:spacing w:before="221"/>
              <w:rPr>
                <w:sz w:val="22"/>
              </w:rPr>
            </w:pPr>
          </w:p>
          <w:p>
            <w:pPr>
              <w:pStyle w:val="TableParagraph"/>
              <w:spacing w:line="259" w:lineRule="auto" w:before="1"/>
              <w:ind w:left="107" w:right="96"/>
              <w:jc w:val="both"/>
              <w:rPr>
                <w:sz w:val="22"/>
              </w:rPr>
            </w:pPr>
            <w:r>
              <w:rPr>
                <w:sz w:val="22"/>
              </w:rPr>
              <w:t>El método de valuación del inventario al cierre del periodo es por el Método de Promedio Ponderado (PP), según autorización de la Dirección General de Contabilidad oficio MH-DGCN-DIR-OF-0388-2023</w:t>
            </w:r>
            <w:r>
              <w:rPr>
                <w:spacing w:val="-10"/>
                <w:sz w:val="22"/>
              </w:rPr>
              <w:t> </w:t>
            </w:r>
            <w:r>
              <w:rPr>
                <w:sz w:val="22"/>
              </w:rPr>
              <w:t>del</w:t>
            </w:r>
            <w:r>
              <w:rPr>
                <w:spacing w:val="-9"/>
                <w:sz w:val="22"/>
              </w:rPr>
              <w:t> </w:t>
            </w:r>
            <w:r>
              <w:rPr>
                <w:sz w:val="22"/>
              </w:rPr>
              <w:t>25</w:t>
            </w:r>
            <w:r>
              <w:rPr>
                <w:spacing w:val="-7"/>
                <w:sz w:val="22"/>
              </w:rPr>
              <w:t> </w:t>
            </w:r>
            <w:r>
              <w:rPr>
                <w:sz w:val="22"/>
              </w:rPr>
              <w:t>de</w:t>
            </w:r>
            <w:r>
              <w:rPr>
                <w:spacing w:val="-10"/>
                <w:sz w:val="22"/>
              </w:rPr>
              <w:t> </w:t>
            </w:r>
            <w:r>
              <w:rPr>
                <w:sz w:val="22"/>
              </w:rPr>
              <w:t>mayo</w:t>
            </w:r>
            <w:r>
              <w:rPr>
                <w:spacing w:val="-8"/>
                <w:sz w:val="22"/>
              </w:rPr>
              <w:t> </w:t>
            </w:r>
            <w:r>
              <w:rPr>
                <w:sz w:val="22"/>
              </w:rPr>
              <w:t>del</w:t>
            </w:r>
            <w:r>
              <w:rPr>
                <w:spacing w:val="-9"/>
                <w:sz w:val="22"/>
              </w:rPr>
              <w:t> </w:t>
            </w:r>
            <w:r>
              <w:rPr>
                <w:sz w:val="22"/>
              </w:rPr>
              <w:t>2023</w:t>
            </w:r>
            <w:r>
              <w:rPr>
                <w:spacing w:val="-10"/>
                <w:sz w:val="22"/>
              </w:rPr>
              <w:t> </w:t>
            </w:r>
            <w:r>
              <w:rPr>
                <w:sz w:val="22"/>
              </w:rPr>
              <w:t>para</w:t>
            </w:r>
            <w:r>
              <w:rPr>
                <w:spacing w:val="-7"/>
                <w:sz w:val="22"/>
              </w:rPr>
              <w:t> </w:t>
            </w:r>
            <w:r>
              <w:rPr>
                <w:sz w:val="22"/>
              </w:rPr>
              <w:t>el</w:t>
            </w:r>
            <w:r>
              <w:rPr>
                <w:spacing w:val="-9"/>
                <w:sz w:val="22"/>
              </w:rPr>
              <w:t> </w:t>
            </w:r>
            <w:r>
              <w:rPr>
                <w:sz w:val="22"/>
              </w:rPr>
              <w:t>uso</w:t>
            </w:r>
            <w:r>
              <w:rPr>
                <w:spacing w:val="-8"/>
                <w:sz w:val="22"/>
              </w:rPr>
              <w:t> </w:t>
            </w:r>
            <w:r>
              <w:rPr>
                <w:sz w:val="22"/>
              </w:rPr>
              <w:t>del</w:t>
            </w:r>
            <w:r>
              <w:rPr>
                <w:spacing w:val="-9"/>
                <w:sz w:val="22"/>
              </w:rPr>
              <w:t> </w:t>
            </w:r>
            <w:r>
              <w:rPr>
                <w:sz w:val="22"/>
              </w:rPr>
              <w:t>Promedio</w:t>
            </w:r>
            <w:r>
              <w:rPr>
                <w:spacing w:val="-8"/>
                <w:sz w:val="22"/>
              </w:rPr>
              <w:t> </w:t>
            </w:r>
            <w:r>
              <w:rPr>
                <w:sz w:val="22"/>
              </w:rPr>
              <w:t>ponderado,</w:t>
            </w:r>
            <w:r>
              <w:rPr>
                <w:spacing w:val="-7"/>
                <w:sz w:val="22"/>
              </w:rPr>
              <w:t> </w:t>
            </w:r>
            <w:r>
              <w:rPr>
                <w:sz w:val="22"/>
              </w:rPr>
              <w:t>ya</w:t>
            </w:r>
            <w:r>
              <w:rPr>
                <w:spacing w:val="-9"/>
                <w:sz w:val="22"/>
              </w:rPr>
              <w:t> </w:t>
            </w:r>
            <w:r>
              <w:rPr>
                <w:sz w:val="22"/>
              </w:rPr>
              <w:t>se</w:t>
            </w:r>
            <w:r>
              <w:rPr>
                <w:spacing w:val="-10"/>
                <w:sz w:val="22"/>
              </w:rPr>
              <w:t> </w:t>
            </w:r>
            <w:r>
              <w:rPr>
                <w:sz w:val="22"/>
              </w:rPr>
              <w:t>cuenta</w:t>
            </w:r>
            <w:r>
              <w:rPr>
                <w:spacing w:val="-9"/>
                <w:sz w:val="22"/>
              </w:rPr>
              <w:t> </w:t>
            </w:r>
            <w:r>
              <w:rPr>
                <w:sz w:val="22"/>
              </w:rPr>
              <w:t>con una la política particular al respecto, incluido en el Plan Contable, las políticas aprobadas son las </w:t>
            </w:r>
            <w:r>
              <w:rPr>
                <w:spacing w:val="-2"/>
                <w:sz w:val="22"/>
              </w:rPr>
              <w:t>siguientes:</w:t>
            </w:r>
          </w:p>
          <w:p>
            <w:pPr>
              <w:pStyle w:val="TableParagraph"/>
              <w:spacing w:before="9"/>
              <w:rPr>
                <w:sz w:val="22"/>
              </w:rPr>
            </w:pPr>
          </w:p>
          <w:p>
            <w:pPr>
              <w:pStyle w:val="TableParagraph"/>
              <w:spacing w:line="247" w:lineRule="auto" w:before="1"/>
              <w:ind w:left="107" w:right="104"/>
              <w:jc w:val="both"/>
              <w:rPr>
                <w:i/>
                <w:sz w:val="23"/>
              </w:rPr>
            </w:pPr>
            <w:r>
              <w:rPr>
                <w:i/>
                <w:sz w:val="23"/>
              </w:rPr>
              <w:t>INV06:</w:t>
            </w:r>
            <w:r>
              <w:rPr>
                <w:i/>
                <w:spacing w:val="39"/>
                <w:sz w:val="23"/>
              </w:rPr>
              <w:t> </w:t>
            </w:r>
            <w:r>
              <w:rPr>
                <w:i/>
                <w:sz w:val="23"/>
              </w:rPr>
              <w:t>El</w:t>
            </w:r>
            <w:r>
              <w:rPr>
                <w:i/>
                <w:spacing w:val="-10"/>
                <w:sz w:val="23"/>
              </w:rPr>
              <w:t> </w:t>
            </w:r>
            <w:r>
              <w:rPr>
                <w:i/>
                <w:sz w:val="23"/>
              </w:rPr>
              <w:t>costo</w:t>
            </w:r>
            <w:r>
              <w:rPr>
                <w:i/>
                <w:spacing w:val="-9"/>
                <w:sz w:val="23"/>
              </w:rPr>
              <w:t> </w:t>
            </w:r>
            <w:r>
              <w:rPr>
                <w:i/>
                <w:sz w:val="23"/>
              </w:rPr>
              <w:t>de</w:t>
            </w:r>
            <w:r>
              <w:rPr>
                <w:i/>
                <w:spacing w:val="-10"/>
                <w:sz w:val="23"/>
              </w:rPr>
              <w:t> </w:t>
            </w:r>
            <w:r>
              <w:rPr>
                <w:i/>
                <w:sz w:val="23"/>
              </w:rPr>
              <w:t>los</w:t>
            </w:r>
            <w:r>
              <w:rPr>
                <w:i/>
                <w:spacing w:val="-9"/>
                <w:sz w:val="23"/>
              </w:rPr>
              <w:t> </w:t>
            </w:r>
            <w:r>
              <w:rPr>
                <w:i/>
                <w:sz w:val="23"/>
              </w:rPr>
              <w:t>inventarios</w:t>
            </w:r>
            <w:r>
              <w:rPr>
                <w:i/>
                <w:spacing w:val="-10"/>
                <w:sz w:val="23"/>
              </w:rPr>
              <w:t> </w:t>
            </w:r>
            <w:r>
              <w:rPr>
                <w:i/>
                <w:sz w:val="23"/>
              </w:rPr>
              <w:t>del</w:t>
            </w:r>
            <w:r>
              <w:rPr>
                <w:i/>
                <w:spacing w:val="-10"/>
                <w:sz w:val="23"/>
              </w:rPr>
              <w:t> </w:t>
            </w:r>
            <w:r>
              <w:rPr>
                <w:i/>
                <w:sz w:val="23"/>
              </w:rPr>
              <w:t>IMAS</w:t>
            </w:r>
            <w:r>
              <w:rPr>
                <w:i/>
                <w:spacing w:val="-10"/>
                <w:sz w:val="23"/>
              </w:rPr>
              <w:t> </w:t>
            </w:r>
            <w:r>
              <w:rPr>
                <w:i/>
                <w:sz w:val="23"/>
              </w:rPr>
              <w:t>se</w:t>
            </w:r>
            <w:r>
              <w:rPr>
                <w:i/>
                <w:spacing w:val="-10"/>
                <w:sz w:val="23"/>
              </w:rPr>
              <w:t> </w:t>
            </w:r>
            <w:r>
              <w:rPr>
                <w:i/>
                <w:sz w:val="23"/>
              </w:rPr>
              <w:t>asignarán</w:t>
            </w:r>
            <w:r>
              <w:rPr>
                <w:i/>
                <w:spacing w:val="-9"/>
                <w:sz w:val="23"/>
              </w:rPr>
              <w:t> </w:t>
            </w:r>
            <w:r>
              <w:rPr>
                <w:i/>
                <w:sz w:val="23"/>
              </w:rPr>
              <w:t>utilizando</w:t>
            </w:r>
            <w:r>
              <w:rPr>
                <w:i/>
                <w:spacing w:val="-11"/>
                <w:sz w:val="23"/>
              </w:rPr>
              <w:t> </w:t>
            </w:r>
            <w:r>
              <w:rPr>
                <w:i/>
                <w:sz w:val="23"/>
              </w:rPr>
              <w:t>el</w:t>
            </w:r>
            <w:r>
              <w:rPr>
                <w:i/>
                <w:spacing w:val="-10"/>
                <w:sz w:val="23"/>
              </w:rPr>
              <w:t> </w:t>
            </w:r>
            <w:r>
              <w:rPr>
                <w:i/>
                <w:sz w:val="23"/>
              </w:rPr>
              <w:t>método</w:t>
            </w:r>
            <w:r>
              <w:rPr>
                <w:i/>
                <w:spacing w:val="-11"/>
                <w:sz w:val="23"/>
              </w:rPr>
              <w:t> </w:t>
            </w:r>
            <w:r>
              <w:rPr>
                <w:i/>
                <w:sz w:val="23"/>
              </w:rPr>
              <w:t>costo</w:t>
            </w:r>
            <w:r>
              <w:rPr>
                <w:i/>
                <w:spacing w:val="-9"/>
                <w:sz w:val="23"/>
              </w:rPr>
              <w:t> </w:t>
            </w:r>
            <w:r>
              <w:rPr>
                <w:i/>
                <w:sz w:val="23"/>
              </w:rPr>
              <w:t>promedio </w:t>
            </w:r>
            <w:r>
              <w:rPr>
                <w:i/>
                <w:spacing w:val="-2"/>
                <w:sz w:val="23"/>
              </w:rPr>
              <w:t>ponderado.</w:t>
            </w:r>
          </w:p>
          <w:p>
            <w:pPr>
              <w:pStyle w:val="TableParagraph"/>
              <w:spacing w:before="8"/>
              <w:rPr>
                <w:sz w:val="23"/>
              </w:rPr>
            </w:pPr>
          </w:p>
          <w:p>
            <w:pPr>
              <w:pStyle w:val="TableParagraph"/>
              <w:spacing w:line="247" w:lineRule="auto"/>
              <w:ind w:left="107" w:right="101"/>
              <w:jc w:val="both"/>
              <w:rPr>
                <w:i/>
                <w:sz w:val="23"/>
              </w:rPr>
            </w:pPr>
            <w:r>
              <w:rPr>
                <w:i/>
                <w:spacing w:val="-2"/>
                <w:sz w:val="23"/>
              </w:rPr>
              <w:t>INV07:</w:t>
            </w:r>
            <w:r>
              <w:rPr>
                <w:i/>
                <w:spacing w:val="-15"/>
                <w:sz w:val="23"/>
              </w:rPr>
              <w:t> </w:t>
            </w:r>
            <w:r>
              <w:rPr>
                <w:i/>
                <w:spacing w:val="-2"/>
                <w:sz w:val="23"/>
              </w:rPr>
              <w:t>Al</w:t>
            </w:r>
            <w:r>
              <w:rPr>
                <w:i/>
                <w:spacing w:val="-12"/>
                <w:sz w:val="23"/>
              </w:rPr>
              <w:t> </w:t>
            </w:r>
            <w:r>
              <w:rPr>
                <w:i/>
                <w:spacing w:val="-2"/>
                <w:sz w:val="23"/>
              </w:rPr>
              <w:t>utilizar</w:t>
            </w:r>
            <w:r>
              <w:rPr>
                <w:i/>
                <w:spacing w:val="-13"/>
                <w:sz w:val="23"/>
              </w:rPr>
              <w:t> </w:t>
            </w:r>
            <w:r>
              <w:rPr>
                <w:i/>
                <w:spacing w:val="-2"/>
                <w:sz w:val="23"/>
              </w:rPr>
              <w:t>el</w:t>
            </w:r>
            <w:r>
              <w:rPr>
                <w:i/>
                <w:spacing w:val="-12"/>
                <w:sz w:val="23"/>
              </w:rPr>
              <w:t> </w:t>
            </w:r>
            <w:r>
              <w:rPr>
                <w:i/>
                <w:spacing w:val="-2"/>
                <w:sz w:val="23"/>
              </w:rPr>
              <w:t>método</w:t>
            </w:r>
            <w:r>
              <w:rPr>
                <w:i/>
                <w:spacing w:val="-12"/>
                <w:sz w:val="23"/>
              </w:rPr>
              <w:t> </w:t>
            </w:r>
            <w:r>
              <w:rPr>
                <w:i/>
                <w:spacing w:val="-2"/>
                <w:sz w:val="23"/>
              </w:rPr>
              <w:t>o</w:t>
            </w:r>
            <w:r>
              <w:rPr>
                <w:i/>
                <w:spacing w:val="-13"/>
                <w:sz w:val="23"/>
              </w:rPr>
              <w:t> </w:t>
            </w:r>
            <w:r>
              <w:rPr>
                <w:i/>
                <w:spacing w:val="-2"/>
                <w:sz w:val="23"/>
              </w:rPr>
              <w:t>fórmula</w:t>
            </w:r>
            <w:r>
              <w:rPr>
                <w:i/>
                <w:spacing w:val="-12"/>
                <w:sz w:val="23"/>
              </w:rPr>
              <w:t> </w:t>
            </w:r>
            <w:r>
              <w:rPr>
                <w:i/>
                <w:spacing w:val="-2"/>
                <w:sz w:val="23"/>
              </w:rPr>
              <w:t>del</w:t>
            </w:r>
            <w:r>
              <w:rPr>
                <w:i/>
                <w:spacing w:val="-12"/>
                <w:sz w:val="23"/>
              </w:rPr>
              <w:t> </w:t>
            </w:r>
            <w:r>
              <w:rPr>
                <w:i/>
                <w:spacing w:val="-2"/>
                <w:sz w:val="23"/>
              </w:rPr>
              <w:t>costo</w:t>
            </w:r>
            <w:r>
              <w:rPr>
                <w:i/>
                <w:spacing w:val="-13"/>
                <w:sz w:val="23"/>
              </w:rPr>
              <w:t> </w:t>
            </w:r>
            <w:r>
              <w:rPr>
                <w:i/>
                <w:spacing w:val="-2"/>
                <w:sz w:val="23"/>
              </w:rPr>
              <w:t>promedio</w:t>
            </w:r>
            <w:r>
              <w:rPr>
                <w:i/>
                <w:spacing w:val="-12"/>
                <w:sz w:val="23"/>
              </w:rPr>
              <w:t> </w:t>
            </w:r>
            <w:r>
              <w:rPr>
                <w:i/>
                <w:spacing w:val="-2"/>
                <w:sz w:val="23"/>
              </w:rPr>
              <w:t>ponderado,</w:t>
            </w:r>
            <w:r>
              <w:rPr>
                <w:i/>
                <w:spacing w:val="-13"/>
                <w:sz w:val="23"/>
              </w:rPr>
              <w:t> </w:t>
            </w:r>
            <w:r>
              <w:rPr>
                <w:i/>
                <w:spacing w:val="-2"/>
                <w:sz w:val="23"/>
              </w:rPr>
              <w:t>el</w:t>
            </w:r>
            <w:r>
              <w:rPr>
                <w:i/>
                <w:spacing w:val="-12"/>
                <w:sz w:val="23"/>
              </w:rPr>
              <w:t> </w:t>
            </w:r>
            <w:r>
              <w:rPr>
                <w:i/>
                <w:spacing w:val="-2"/>
                <w:sz w:val="23"/>
              </w:rPr>
              <w:t>costo</w:t>
            </w:r>
            <w:r>
              <w:rPr>
                <w:i/>
                <w:spacing w:val="-12"/>
                <w:sz w:val="23"/>
              </w:rPr>
              <w:t> </w:t>
            </w:r>
            <w:r>
              <w:rPr>
                <w:i/>
                <w:spacing w:val="-2"/>
                <w:sz w:val="23"/>
              </w:rPr>
              <w:t>de</w:t>
            </w:r>
            <w:r>
              <w:rPr>
                <w:i/>
                <w:spacing w:val="-13"/>
                <w:sz w:val="23"/>
              </w:rPr>
              <w:t> </w:t>
            </w:r>
            <w:r>
              <w:rPr>
                <w:i/>
                <w:spacing w:val="-2"/>
                <w:sz w:val="23"/>
              </w:rPr>
              <w:t>cada</w:t>
            </w:r>
            <w:r>
              <w:rPr>
                <w:i/>
                <w:spacing w:val="-12"/>
                <w:sz w:val="23"/>
              </w:rPr>
              <w:t> </w:t>
            </w:r>
            <w:r>
              <w:rPr>
                <w:i/>
                <w:spacing w:val="-2"/>
                <w:sz w:val="23"/>
              </w:rPr>
              <w:t>partida</w:t>
            </w:r>
            <w:r>
              <w:rPr>
                <w:i/>
                <w:spacing w:val="-12"/>
                <w:sz w:val="23"/>
              </w:rPr>
              <w:t> </w:t>
            </w:r>
            <w:r>
              <w:rPr>
                <w:i/>
                <w:spacing w:val="-2"/>
                <w:sz w:val="23"/>
              </w:rPr>
              <w:t>se </w:t>
            </w:r>
            <w:r>
              <w:rPr>
                <w:i/>
                <w:spacing w:val="-6"/>
                <w:sz w:val="23"/>
              </w:rPr>
              <w:t>determinará</w:t>
            </w:r>
            <w:r>
              <w:rPr>
                <w:i/>
                <w:spacing w:val="-9"/>
                <w:sz w:val="23"/>
              </w:rPr>
              <w:t> </w:t>
            </w:r>
            <w:r>
              <w:rPr>
                <w:i/>
                <w:spacing w:val="-6"/>
                <w:sz w:val="23"/>
              </w:rPr>
              <w:t>a</w:t>
            </w:r>
            <w:r>
              <w:rPr>
                <w:i/>
                <w:spacing w:val="-8"/>
                <w:sz w:val="23"/>
              </w:rPr>
              <w:t> </w:t>
            </w:r>
            <w:r>
              <w:rPr>
                <w:i/>
                <w:spacing w:val="-6"/>
                <w:sz w:val="23"/>
              </w:rPr>
              <w:t>partir</w:t>
            </w:r>
            <w:r>
              <w:rPr>
                <w:i/>
                <w:spacing w:val="-9"/>
                <w:sz w:val="23"/>
              </w:rPr>
              <w:t> </w:t>
            </w:r>
            <w:r>
              <w:rPr>
                <w:i/>
                <w:spacing w:val="-6"/>
                <w:sz w:val="23"/>
              </w:rPr>
              <w:t>del</w:t>
            </w:r>
            <w:r>
              <w:rPr>
                <w:i/>
                <w:spacing w:val="-8"/>
                <w:sz w:val="23"/>
              </w:rPr>
              <w:t> </w:t>
            </w:r>
            <w:r>
              <w:rPr>
                <w:i/>
                <w:spacing w:val="-6"/>
                <w:sz w:val="23"/>
              </w:rPr>
              <w:t>promedio</w:t>
            </w:r>
            <w:r>
              <w:rPr>
                <w:i/>
                <w:spacing w:val="-7"/>
                <w:sz w:val="23"/>
              </w:rPr>
              <w:t> </w:t>
            </w:r>
            <w:r>
              <w:rPr>
                <w:i/>
                <w:spacing w:val="-6"/>
                <w:sz w:val="23"/>
              </w:rPr>
              <w:t>ponderado</w:t>
            </w:r>
            <w:r>
              <w:rPr>
                <w:i/>
                <w:spacing w:val="-7"/>
                <w:sz w:val="23"/>
              </w:rPr>
              <w:t> </w:t>
            </w:r>
            <w:r>
              <w:rPr>
                <w:i/>
                <w:spacing w:val="-6"/>
                <w:sz w:val="23"/>
              </w:rPr>
              <w:t>del</w:t>
            </w:r>
            <w:r>
              <w:rPr>
                <w:i/>
                <w:spacing w:val="-9"/>
                <w:sz w:val="23"/>
              </w:rPr>
              <w:t> </w:t>
            </w:r>
            <w:r>
              <w:rPr>
                <w:i/>
                <w:spacing w:val="-6"/>
                <w:sz w:val="23"/>
              </w:rPr>
              <w:t>costo</w:t>
            </w:r>
            <w:r>
              <w:rPr>
                <w:i/>
                <w:spacing w:val="-8"/>
                <w:sz w:val="23"/>
              </w:rPr>
              <w:t> </w:t>
            </w:r>
            <w:r>
              <w:rPr>
                <w:i/>
                <w:spacing w:val="-6"/>
                <w:sz w:val="23"/>
              </w:rPr>
              <w:t>de</w:t>
            </w:r>
            <w:r>
              <w:rPr>
                <w:i/>
                <w:spacing w:val="-9"/>
                <w:sz w:val="23"/>
              </w:rPr>
              <w:t> </w:t>
            </w:r>
            <w:r>
              <w:rPr>
                <w:i/>
                <w:spacing w:val="-6"/>
                <w:sz w:val="23"/>
              </w:rPr>
              <w:t>partidas</w:t>
            </w:r>
            <w:r>
              <w:rPr>
                <w:i/>
                <w:spacing w:val="-5"/>
                <w:sz w:val="23"/>
              </w:rPr>
              <w:t> </w:t>
            </w:r>
            <w:r>
              <w:rPr>
                <w:i/>
                <w:spacing w:val="-6"/>
                <w:sz w:val="23"/>
              </w:rPr>
              <w:t>similares al</w:t>
            </w:r>
            <w:r>
              <w:rPr>
                <w:i/>
                <w:spacing w:val="-9"/>
                <w:sz w:val="23"/>
              </w:rPr>
              <w:t> </w:t>
            </w:r>
            <w:r>
              <w:rPr>
                <w:i/>
                <w:spacing w:val="-6"/>
                <w:sz w:val="23"/>
              </w:rPr>
              <w:t>principio del</w:t>
            </w:r>
            <w:r>
              <w:rPr>
                <w:i/>
                <w:spacing w:val="-9"/>
                <w:sz w:val="23"/>
              </w:rPr>
              <w:t> </w:t>
            </w:r>
            <w:r>
              <w:rPr>
                <w:i/>
                <w:spacing w:val="-6"/>
                <w:sz w:val="23"/>
              </w:rPr>
              <w:t>periodo, </w:t>
            </w:r>
            <w:r>
              <w:rPr>
                <w:i/>
                <w:sz w:val="23"/>
              </w:rPr>
              <w:t>y del costo de partidas similares compradas durante el periodo. El promedio se calcula </w:t>
            </w:r>
            <w:r>
              <w:rPr>
                <w:i/>
                <w:spacing w:val="-2"/>
                <w:sz w:val="23"/>
              </w:rPr>
              <w:t>automáticamente</w:t>
            </w:r>
            <w:r>
              <w:rPr>
                <w:i/>
                <w:spacing w:val="-6"/>
                <w:sz w:val="23"/>
              </w:rPr>
              <w:t> </w:t>
            </w:r>
            <w:r>
              <w:rPr>
                <w:i/>
                <w:spacing w:val="-2"/>
                <w:sz w:val="23"/>
              </w:rPr>
              <w:t>en</w:t>
            </w:r>
            <w:r>
              <w:rPr>
                <w:i/>
                <w:spacing w:val="-6"/>
                <w:sz w:val="23"/>
              </w:rPr>
              <w:t> </w:t>
            </w:r>
            <w:r>
              <w:rPr>
                <w:i/>
                <w:spacing w:val="-2"/>
                <w:sz w:val="23"/>
              </w:rPr>
              <w:t>el</w:t>
            </w:r>
            <w:r>
              <w:rPr>
                <w:i/>
                <w:spacing w:val="-6"/>
                <w:sz w:val="23"/>
              </w:rPr>
              <w:t> </w:t>
            </w:r>
            <w:r>
              <w:rPr>
                <w:i/>
                <w:spacing w:val="-2"/>
                <w:sz w:val="23"/>
              </w:rPr>
              <w:t>sistema</w:t>
            </w:r>
            <w:r>
              <w:rPr>
                <w:i/>
                <w:spacing w:val="-6"/>
                <w:sz w:val="23"/>
              </w:rPr>
              <w:t> </w:t>
            </w:r>
            <w:r>
              <w:rPr>
                <w:i/>
                <w:spacing w:val="-2"/>
                <w:sz w:val="23"/>
              </w:rPr>
              <w:t>respectivo,</w:t>
            </w:r>
            <w:r>
              <w:rPr>
                <w:i/>
                <w:spacing w:val="-5"/>
                <w:sz w:val="23"/>
              </w:rPr>
              <w:t> </w:t>
            </w:r>
            <w:r>
              <w:rPr>
                <w:i/>
                <w:spacing w:val="-2"/>
                <w:sz w:val="23"/>
              </w:rPr>
              <w:t>después</w:t>
            </w:r>
            <w:r>
              <w:rPr>
                <w:i/>
                <w:spacing w:val="-5"/>
                <w:sz w:val="23"/>
              </w:rPr>
              <w:t> </w:t>
            </w:r>
            <w:r>
              <w:rPr>
                <w:i/>
                <w:spacing w:val="-2"/>
                <w:sz w:val="23"/>
              </w:rPr>
              <w:t>de</w:t>
            </w:r>
            <w:r>
              <w:rPr>
                <w:i/>
                <w:spacing w:val="-7"/>
                <w:sz w:val="23"/>
              </w:rPr>
              <w:t> </w:t>
            </w:r>
            <w:r>
              <w:rPr>
                <w:i/>
                <w:spacing w:val="-2"/>
                <w:sz w:val="23"/>
              </w:rPr>
              <w:t>registrar</w:t>
            </w:r>
            <w:r>
              <w:rPr>
                <w:i/>
                <w:spacing w:val="-6"/>
                <w:sz w:val="23"/>
              </w:rPr>
              <w:t> </w:t>
            </w:r>
            <w:r>
              <w:rPr>
                <w:i/>
                <w:spacing w:val="-2"/>
                <w:sz w:val="23"/>
              </w:rPr>
              <w:t>cada</w:t>
            </w:r>
            <w:r>
              <w:rPr>
                <w:i/>
                <w:spacing w:val="-7"/>
                <w:sz w:val="23"/>
              </w:rPr>
              <w:t> </w:t>
            </w:r>
            <w:r>
              <w:rPr>
                <w:i/>
                <w:spacing w:val="-2"/>
                <w:sz w:val="23"/>
              </w:rPr>
              <w:t>adquisición.</w:t>
            </w:r>
          </w:p>
          <w:p>
            <w:pPr>
              <w:pStyle w:val="TableParagraph"/>
              <w:spacing w:line="247" w:lineRule="auto" w:before="4"/>
              <w:ind w:left="107" w:right="102"/>
              <w:jc w:val="both"/>
              <w:rPr>
                <w:i/>
                <w:sz w:val="23"/>
              </w:rPr>
            </w:pPr>
            <w:r>
              <w:rPr>
                <w:i/>
                <w:spacing w:val="-4"/>
                <w:sz w:val="23"/>
              </w:rPr>
              <w:t>INV08:</w:t>
            </w:r>
            <w:r>
              <w:rPr>
                <w:i/>
                <w:spacing w:val="-7"/>
                <w:sz w:val="23"/>
              </w:rPr>
              <w:t> </w:t>
            </w:r>
            <w:r>
              <w:rPr>
                <w:i/>
                <w:spacing w:val="-4"/>
                <w:sz w:val="23"/>
              </w:rPr>
              <w:t>El</w:t>
            </w:r>
            <w:r>
              <w:rPr>
                <w:i/>
                <w:spacing w:val="-6"/>
                <w:sz w:val="23"/>
              </w:rPr>
              <w:t> </w:t>
            </w:r>
            <w:r>
              <w:rPr>
                <w:i/>
                <w:spacing w:val="-4"/>
                <w:sz w:val="23"/>
              </w:rPr>
              <w:t>IMAS</w:t>
            </w:r>
            <w:r>
              <w:rPr>
                <w:i/>
                <w:spacing w:val="-5"/>
                <w:sz w:val="23"/>
              </w:rPr>
              <w:t> </w:t>
            </w:r>
            <w:r>
              <w:rPr>
                <w:i/>
                <w:spacing w:val="-4"/>
                <w:sz w:val="23"/>
              </w:rPr>
              <w:t>aplicará</w:t>
            </w:r>
            <w:r>
              <w:rPr>
                <w:i/>
                <w:spacing w:val="-6"/>
                <w:sz w:val="23"/>
              </w:rPr>
              <w:t> </w:t>
            </w:r>
            <w:r>
              <w:rPr>
                <w:i/>
                <w:spacing w:val="-4"/>
                <w:sz w:val="23"/>
              </w:rPr>
              <w:t>al</w:t>
            </w:r>
            <w:r>
              <w:rPr>
                <w:i/>
                <w:spacing w:val="-6"/>
                <w:sz w:val="23"/>
              </w:rPr>
              <w:t> </w:t>
            </w:r>
            <w:r>
              <w:rPr>
                <w:i/>
                <w:spacing w:val="-4"/>
                <w:sz w:val="23"/>
              </w:rPr>
              <w:t>costo</w:t>
            </w:r>
            <w:r>
              <w:rPr>
                <w:i/>
                <w:spacing w:val="-5"/>
                <w:sz w:val="23"/>
              </w:rPr>
              <w:t> </w:t>
            </w:r>
            <w:r>
              <w:rPr>
                <w:i/>
                <w:spacing w:val="-4"/>
                <w:sz w:val="23"/>
              </w:rPr>
              <w:t>de</w:t>
            </w:r>
            <w:r>
              <w:rPr>
                <w:i/>
                <w:spacing w:val="-9"/>
                <w:sz w:val="23"/>
              </w:rPr>
              <w:t> </w:t>
            </w:r>
            <w:r>
              <w:rPr>
                <w:i/>
                <w:spacing w:val="-4"/>
                <w:sz w:val="23"/>
              </w:rPr>
              <w:t>sus</w:t>
            </w:r>
            <w:r>
              <w:rPr>
                <w:i/>
                <w:spacing w:val="-7"/>
                <w:sz w:val="23"/>
              </w:rPr>
              <w:t> </w:t>
            </w:r>
            <w:r>
              <w:rPr>
                <w:i/>
                <w:spacing w:val="-4"/>
                <w:sz w:val="23"/>
              </w:rPr>
              <w:t>diferentes</w:t>
            </w:r>
            <w:r>
              <w:rPr>
                <w:i/>
                <w:spacing w:val="-5"/>
                <w:sz w:val="23"/>
              </w:rPr>
              <w:t> </w:t>
            </w:r>
            <w:r>
              <w:rPr>
                <w:i/>
                <w:spacing w:val="-4"/>
                <w:sz w:val="23"/>
              </w:rPr>
              <w:t>inventarios</w:t>
            </w:r>
            <w:r>
              <w:rPr>
                <w:i/>
                <w:spacing w:val="-7"/>
                <w:sz w:val="23"/>
              </w:rPr>
              <w:t> </w:t>
            </w:r>
            <w:r>
              <w:rPr>
                <w:i/>
                <w:spacing w:val="-4"/>
                <w:sz w:val="23"/>
              </w:rPr>
              <w:t>el</w:t>
            </w:r>
            <w:r>
              <w:rPr>
                <w:i/>
                <w:spacing w:val="-6"/>
                <w:sz w:val="23"/>
              </w:rPr>
              <w:t> </w:t>
            </w:r>
            <w:r>
              <w:rPr>
                <w:i/>
                <w:spacing w:val="-4"/>
                <w:sz w:val="23"/>
              </w:rPr>
              <w:t>método</w:t>
            </w:r>
            <w:r>
              <w:rPr>
                <w:i/>
                <w:spacing w:val="-5"/>
                <w:sz w:val="23"/>
              </w:rPr>
              <w:t> </w:t>
            </w:r>
            <w:r>
              <w:rPr>
                <w:i/>
                <w:spacing w:val="-4"/>
                <w:sz w:val="23"/>
              </w:rPr>
              <w:t>de</w:t>
            </w:r>
            <w:r>
              <w:rPr>
                <w:i/>
                <w:spacing w:val="-7"/>
                <w:sz w:val="23"/>
              </w:rPr>
              <w:t> </w:t>
            </w:r>
            <w:r>
              <w:rPr>
                <w:i/>
                <w:spacing w:val="-4"/>
                <w:sz w:val="23"/>
              </w:rPr>
              <w:t>promedio</w:t>
            </w:r>
            <w:r>
              <w:rPr>
                <w:i/>
                <w:spacing w:val="-5"/>
                <w:sz w:val="23"/>
              </w:rPr>
              <w:t> </w:t>
            </w:r>
            <w:r>
              <w:rPr>
                <w:i/>
                <w:spacing w:val="-4"/>
                <w:sz w:val="23"/>
              </w:rPr>
              <w:t>ponderado </w:t>
            </w:r>
            <w:r>
              <w:rPr>
                <w:i/>
                <w:sz w:val="23"/>
              </w:rPr>
              <w:t>de</w:t>
            </w:r>
            <w:r>
              <w:rPr>
                <w:i/>
                <w:spacing w:val="-12"/>
                <w:sz w:val="23"/>
              </w:rPr>
              <w:t> </w:t>
            </w:r>
            <w:r>
              <w:rPr>
                <w:i/>
                <w:sz w:val="23"/>
              </w:rPr>
              <w:t>conformidad</w:t>
            </w:r>
            <w:r>
              <w:rPr>
                <w:i/>
                <w:spacing w:val="-11"/>
                <w:sz w:val="23"/>
              </w:rPr>
              <w:t> </w:t>
            </w:r>
            <w:r>
              <w:rPr>
                <w:i/>
                <w:sz w:val="23"/>
              </w:rPr>
              <w:t>de</w:t>
            </w:r>
            <w:r>
              <w:rPr>
                <w:i/>
                <w:spacing w:val="-12"/>
                <w:sz w:val="23"/>
              </w:rPr>
              <w:t> </w:t>
            </w:r>
            <w:r>
              <w:rPr>
                <w:i/>
                <w:sz w:val="23"/>
              </w:rPr>
              <w:t>la</w:t>
            </w:r>
            <w:r>
              <w:rPr>
                <w:i/>
                <w:spacing w:val="-11"/>
                <w:sz w:val="23"/>
              </w:rPr>
              <w:t> </w:t>
            </w:r>
            <w:r>
              <w:rPr>
                <w:i/>
                <w:sz w:val="23"/>
              </w:rPr>
              <w:t>autorización</w:t>
            </w:r>
            <w:r>
              <w:rPr>
                <w:i/>
                <w:spacing w:val="-10"/>
                <w:sz w:val="23"/>
              </w:rPr>
              <w:t> </w:t>
            </w:r>
            <w:r>
              <w:rPr>
                <w:i/>
                <w:sz w:val="23"/>
              </w:rPr>
              <w:t>previa</w:t>
            </w:r>
            <w:r>
              <w:rPr>
                <w:i/>
                <w:spacing w:val="-11"/>
                <w:sz w:val="23"/>
              </w:rPr>
              <w:t> </w:t>
            </w:r>
            <w:r>
              <w:rPr>
                <w:i/>
                <w:sz w:val="23"/>
              </w:rPr>
              <w:t>de</w:t>
            </w:r>
            <w:r>
              <w:rPr>
                <w:i/>
                <w:spacing w:val="-12"/>
                <w:sz w:val="23"/>
              </w:rPr>
              <w:t> </w:t>
            </w:r>
            <w:r>
              <w:rPr>
                <w:i/>
                <w:sz w:val="23"/>
              </w:rPr>
              <w:t>la</w:t>
            </w:r>
            <w:r>
              <w:rPr>
                <w:i/>
                <w:spacing w:val="-11"/>
                <w:sz w:val="23"/>
              </w:rPr>
              <w:t> </w:t>
            </w:r>
            <w:r>
              <w:rPr>
                <w:i/>
                <w:sz w:val="23"/>
              </w:rPr>
              <w:t>Contabilidad</w:t>
            </w:r>
            <w:r>
              <w:rPr>
                <w:i/>
                <w:spacing w:val="-11"/>
                <w:sz w:val="23"/>
              </w:rPr>
              <w:t> </w:t>
            </w:r>
            <w:r>
              <w:rPr>
                <w:i/>
                <w:sz w:val="23"/>
              </w:rPr>
              <w:t>Nacional,</w:t>
            </w:r>
            <w:r>
              <w:rPr>
                <w:i/>
                <w:spacing w:val="-10"/>
                <w:sz w:val="23"/>
              </w:rPr>
              <w:t> </w:t>
            </w:r>
            <w:r>
              <w:rPr>
                <w:i/>
                <w:sz w:val="23"/>
              </w:rPr>
              <w:t>otorgada</w:t>
            </w:r>
            <w:r>
              <w:rPr>
                <w:i/>
                <w:spacing w:val="-12"/>
                <w:sz w:val="23"/>
              </w:rPr>
              <w:t> </w:t>
            </w:r>
            <w:r>
              <w:rPr>
                <w:i/>
                <w:sz w:val="23"/>
              </w:rPr>
              <w:t>mediante</w:t>
            </w:r>
            <w:r>
              <w:rPr>
                <w:i/>
                <w:spacing w:val="-11"/>
                <w:sz w:val="23"/>
              </w:rPr>
              <w:t> </w:t>
            </w:r>
            <w:r>
              <w:rPr>
                <w:i/>
                <w:sz w:val="23"/>
              </w:rPr>
              <w:t>oficio MH-DGCN-DIR-OF-0388-2023</w:t>
            </w:r>
            <w:r>
              <w:rPr>
                <w:i/>
                <w:spacing w:val="-15"/>
                <w:sz w:val="23"/>
              </w:rPr>
              <w:t> </w:t>
            </w:r>
            <w:r>
              <w:rPr>
                <w:i/>
                <w:sz w:val="23"/>
              </w:rPr>
              <w:t>del</w:t>
            </w:r>
            <w:r>
              <w:rPr>
                <w:i/>
                <w:spacing w:val="-14"/>
                <w:sz w:val="23"/>
              </w:rPr>
              <w:t> </w:t>
            </w:r>
            <w:r>
              <w:rPr>
                <w:i/>
                <w:sz w:val="23"/>
              </w:rPr>
              <w:t>25</w:t>
            </w:r>
            <w:r>
              <w:rPr>
                <w:i/>
                <w:spacing w:val="-15"/>
                <w:sz w:val="23"/>
              </w:rPr>
              <w:t> </w:t>
            </w:r>
            <w:r>
              <w:rPr>
                <w:i/>
                <w:sz w:val="23"/>
              </w:rPr>
              <w:t>de</w:t>
            </w:r>
            <w:r>
              <w:rPr>
                <w:i/>
                <w:spacing w:val="-14"/>
                <w:sz w:val="23"/>
              </w:rPr>
              <w:t> </w:t>
            </w:r>
            <w:r>
              <w:rPr>
                <w:i/>
                <w:sz w:val="23"/>
              </w:rPr>
              <w:t>mayo</w:t>
            </w:r>
            <w:r>
              <w:rPr>
                <w:i/>
                <w:spacing w:val="-14"/>
                <w:sz w:val="23"/>
              </w:rPr>
              <w:t> </w:t>
            </w:r>
            <w:r>
              <w:rPr>
                <w:i/>
                <w:sz w:val="23"/>
              </w:rPr>
              <w:t>del</w:t>
            </w:r>
            <w:r>
              <w:rPr>
                <w:i/>
                <w:spacing w:val="-15"/>
                <w:sz w:val="23"/>
              </w:rPr>
              <w:t> </w:t>
            </w:r>
            <w:r>
              <w:rPr>
                <w:i/>
                <w:sz w:val="23"/>
              </w:rPr>
              <w:t>2023.</w:t>
            </w:r>
          </w:p>
          <w:p>
            <w:pPr>
              <w:pStyle w:val="TableParagraph"/>
              <w:spacing w:before="18"/>
              <w:rPr>
                <w:sz w:val="23"/>
              </w:rPr>
            </w:pPr>
          </w:p>
          <w:p>
            <w:pPr>
              <w:pStyle w:val="TableParagraph"/>
              <w:spacing w:line="259" w:lineRule="auto" w:before="1"/>
              <w:ind w:left="107" w:right="103"/>
              <w:jc w:val="both"/>
              <w:rPr>
                <w:sz w:val="22"/>
              </w:rPr>
            </w:pPr>
            <w:r>
              <w:rPr>
                <w:sz w:val="22"/>
              </w:rPr>
              <w:t>Se trata contablemente por inventario permanente y se realiza anualmente un recuento físico ajustando las diferencias.</w:t>
            </w:r>
          </w:p>
          <w:p>
            <w:pPr>
              <w:pStyle w:val="TableParagraph"/>
              <w:spacing w:before="20"/>
              <w:rPr>
                <w:sz w:val="22"/>
              </w:rPr>
            </w:pPr>
          </w:p>
          <w:p>
            <w:pPr>
              <w:pStyle w:val="TableParagraph"/>
              <w:spacing w:line="256" w:lineRule="auto"/>
              <w:ind w:left="107" w:right="97"/>
              <w:jc w:val="both"/>
              <w:rPr>
                <w:sz w:val="22"/>
              </w:rPr>
            </w:pPr>
            <w:r>
              <w:rPr>
                <w:sz w:val="22"/>
              </w:rPr>
              <w:t>Los</w:t>
            </w:r>
            <w:r>
              <w:rPr>
                <w:spacing w:val="-10"/>
                <w:sz w:val="22"/>
              </w:rPr>
              <w:t> </w:t>
            </w:r>
            <w:r>
              <w:rPr>
                <w:sz w:val="22"/>
              </w:rPr>
              <w:t>inventarios</w:t>
            </w:r>
            <w:r>
              <w:rPr>
                <w:spacing w:val="-9"/>
                <w:sz w:val="22"/>
              </w:rPr>
              <w:t> </w:t>
            </w:r>
            <w:r>
              <w:rPr>
                <w:sz w:val="22"/>
              </w:rPr>
              <w:t>adquiridos</w:t>
            </w:r>
            <w:r>
              <w:rPr>
                <w:spacing w:val="-9"/>
                <w:sz w:val="22"/>
              </w:rPr>
              <w:t> </w:t>
            </w:r>
            <w:r>
              <w:rPr>
                <w:sz w:val="22"/>
              </w:rPr>
              <w:t>a</w:t>
            </w:r>
            <w:r>
              <w:rPr>
                <w:spacing w:val="-13"/>
                <w:sz w:val="22"/>
              </w:rPr>
              <w:t> </w:t>
            </w:r>
            <w:r>
              <w:rPr>
                <w:sz w:val="22"/>
              </w:rPr>
              <w:t>través</w:t>
            </w:r>
            <w:r>
              <w:rPr>
                <w:spacing w:val="-9"/>
                <w:sz w:val="22"/>
              </w:rPr>
              <w:t> </w:t>
            </w:r>
            <w:r>
              <w:rPr>
                <w:sz w:val="22"/>
              </w:rPr>
              <w:t>de</w:t>
            </w:r>
            <w:r>
              <w:rPr>
                <w:spacing w:val="-13"/>
                <w:sz w:val="22"/>
              </w:rPr>
              <w:t> </w:t>
            </w:r>
            <w:r>
              <w:rPr>
                <w:sz w:val="22"/>
              </w:rPr>
              <w:t>transacción</w:t>
            </w:r>
            <w:r>
              <w:rPr>
                <w:spacing w:val="-11"/>
                <w:sz w:val="22"/>
              </w:rPr>
              <w:t> </w:t>
            </w:r>
            <w:r>
              <w:rPr>
                <w:sz w:val="22"/>
              </w:rPr>
              <w:t>sin</w:t>
            </w:r>
            <w:r>
              <w:rPr>
                <w:spacing w:val="-12"/>
                <w:sz w:val="22"/>
              </w:rPr>
              <w:t> </w:t>
            </w:r>
            <w:r>
              <w:rPr>
                <w:sz w:val="22"/>
              </w:rPr>
              <w:t>contraprestación</w:t>
            </w:r>
            <w:r>
              <w:rPr>
                <w:spacing w:val="-14"/>
                <w:sz w:val="22"/>
              </w:rPr>
              <w:t> </w:t>
            </w:r>
            <w:r>
              <w:rPr>
                <w:sz w:val="22"/>
              </w:rPr>
              <w:t>se</w:t>
            </w:r>
            <w:r>
              <w:rPr>
                <w:spacing w:val="-11"/>
                <w:sz w:val="22"/>
              </w:rPr>
              <w:t> </w:t>
            </w:r>
            <w:r>
              <w:rPr>
                <w:sz w:val="22"/>
              </w:rPr>
              <w:t>miden</w:t>
            </w:r>
            <w:r>
              <w:rPr>
                <w:spacing w:val="-12"/>
                <w:sz w:val="22"/>
              </w:rPr>
              <w:t> </w:t>
            </w:r>
            <w:r>
              <w:rPr>
                <w:sz w:val="22"/>
              </w:rPr>
              <w:t>a</w:t>
            </w:r>
            <w:r>
              <w:rPr>
                <w:spacing w:val="-10"/>
                <w:sz w:val="22"/>
              </w:rPr>
              <w:t> </w:t>
            </w:r>
            <w:r>
              <w:rPr>
                <w:sz w:val="22"/>
              </w:rPr>
              <w:t>su</w:t>
            </w:r>
            <w:r>
              <w:rPr>
                <w:spacing w:val="-12"/>
                <w:sz w:val="22"/>
              </w:rPr>
              <w:t> </w:t>
            </w:r>
            <w:r>
              <w:rPr>
                <w:sz w:val="22"/>
              </w:rPr>
              <w:t>valor</w:t>
            </w:r>
            <w:r>
              <w:rPr>
                <w:spacing w:val="-9"/>
                <w:sz w:val="22"/>
              </w:rPr>
              <w:t> </w:t>
            </w:r>
            <w:r>
              <w:rPr>
                <w:sz w:val="22"/>
              </w:rPr>
              <w:t>razonable a la fecha de adquisición.</w:t>
            </w:r>
          </w:p>
          <w:p>
            <w:pPr>
              <w:pStyle w:val="TableParagraph"/>
              <w:spacing w:before="24"/>
              <w:rPr>
                <w:sz w:val="22"/>
              </w:rPr>
            </w:pPr>
          </w:p>
          <w:p>
            <w:pPr>
              <w:pStyle w:val="TableParagraph"/>
              <w:spacing w:line="259" w:lineRule="auto"/>
              <w:ind w:left="107" w:right="99"/>
              <w:jc w:val="both"/>
              <w:rPr>
                <w:sz w:val="22"/>
              </w:rPr>
            </w:pPr>
            <w:r>
              <w:rPr>
                <w:sz w:val="22"/>
              </w:rPr>
              <w:t>Los</w:t>
            </w:r>
            <w:r>
              <w:rPr>
                <w:spacing w:val="-3"/>
                <w:sz w:val="22"/>
              </w:rPr>
              <w:t> </w:t>
            </w:r>
            <w:r>
              <w:rPr>
                <w:sz w:val="22"/>
              </w:rPr>
              <w:t>costos</w:t>
            </w:r>
            <w:r>
              <w:rPr>
                <w:spacing w:val="-4"/>
                <w:sz w:val="22"/>
              </w:rPr>
              <w:t> </w:t>
            </w:r>
            <w:r>
              <w:rPr>
                <w:sz w:val="22"/>
              </w:rPr>
              <w:t>de</w:t>
            </w:r>
            <w:r>
              <w:rPr>
                <w:spacing w:val="-6"/>
                <w:sz w:val="22"/>
              </w:rPr>
              <w:t> </w:t>
            </w:r>
            <w:r>
              <w:rPr>
                <w:sz w:val="22"/>
              </w:rPr>
              <w:t>los</w:t>
            </w:r>
            <w:r>
              <w:rPr>
                <w:spacing w:val="-6"/>
                <w:sz w:val="22"/>
              </w:rPr>
              <w:t> </w:t>
            </w:r>
            <w:r>
              <w:rPr>
                <w:sz w:val="22"/>
              </w:rPr>
              <w:t>inventarios,</w:t>
            </w:r>
            <w:r>
              <w:rPr>
                <w:spacing w:val="-5"/>
                <w:sz w:val="22"/>
              </w:rPr>
              <w:t> </w:t>
            </w:r>
            <w:r>
              <w:rPr>
                <w:sz w:val="22"/>
              </w:rPr>
              <w:t>incluye</w:t>
            </w:r>
            <w:r>
              <w:rPr>
                <w:spacing w:val="-6"/>
                <w:sz w:val="22"/>
              </w:rPr>
              <w:t> </w:t>
            </w:r>
            <w:r>
              <w:rPr>
                <w:sz w:val="22"/>
              </w:rPr>
              <w:t>todos</w:t>
            </w:r>
            <w:r>
              <w:rPr>
                <w:spacing w:val="-4"/>
                <w:sz w:val="22"/>
              </w:rPr>
              <w:t> </w:t>
            </w:r>
            <w:r>
              <w:rPr>
                <w:sz w:val="22"/>
              </w:rPr>
              <w:t>los</w:t>
            </w:r>
            <w:r>
              <w:rPr>
                <w:spacing w:val="-4"/>
                <w:sz w:val="22"/>
              </w:rPr>
              <w:t> </w:t>
            </w:r>
            <w:r>
              <w:rPr>
                <w:sz w:val="22"/>
              </w:rPr>
              <w:t>costos</w:t>
            </w:r>
            <w:r>
              <w:rPr>
                <w:spacing w:val="-6"/>
                <w:sz w:val="22"/>
              </w:rPr>
              <w:t> </w:t>
            </w:r>
            <w:r>
              <w:rPr>
                <w:sz w:val="22"/>
              </w:rPr>
              <w:t>derivados</w:t>
            </w:r>
            <w:r>
              <w:rPr>
                <w:spacing w:val="-4"/>
                <w:sz w:val="22"/>
              </w:rPr>
              <w:t> </w:t>
            </w:r>
            <w:r>
              <w:rPr>
                <w:sz w:val="22"/>
              </w:rPr>
              <w:t>de</w:t>
            </w:r>
            <w:r>
              <w:rPr>
                <w:spacing w:val="-6"/>
                <w:sz w:val="22"/>
              </w:rPr>
              <w:t> </w:t>
            </w:r>
            <w:r>
              <w:rPr>
                <w:sz w:val="22"/>
              </w:rPr>
              <w:t>su</w:t>
            </w:r>
            <w:r>
              <w:rPr>
                <w:spacing w:val="-5"/>
                <w:sz w:val="22"/>
              </w:rPr>
              <w:t> </w:t>
            </w:r>
            <w:r>
              <w:rPr>
                <w:sz w:val="22"/>
              </w:rPr>
              <w:t>adquisición</w:t>
            </w:r>
            <w:r>
              <w:rPr>
                <w:spacing w:val="-7"/>
                <w:sz w:val="22"/>
              </w:rPr>
              <w:t> </w:t>
            </w:r>
            <w:r>
              <w:rPr>
                <w:sz w:val="22"/>
              </w:rPr>
              <w:t>y</w:t>
            </w:r>
            <w:r>
              <w:rPr>
                <w:spacing w:val="-6"/>
                <w:sz w:val="22"/>
              </w:rPr>
              <w:t> </w:t>
            </w:r>
            <w:r>
              <w:rPr>
                <w:sz w:val="22"/>
              </w:rPr>
              <w:t>transformación, así como otros costos en los que se haya incurrido para darles su condición y ubicación actuales.</w:t>
            </w:r>
          </w:p>
          <w:p>
            <w:pPr>
              <w:pStyle w:val="TableParagraph"/>
              <w:spacing w:before="21"/>
              <w:rPr>
                <w:sz w:val="22"/>
              </w:rPr>
            </w:pPr>
          </w:p>
          <w:p>
            <w:pPr>
              <w:pStyle w:val="TableParagraph"/>
              <w:spacing w:line="259" w:lineRule="auto"/>
              <w:ind w:left="107" w:right="96"/>
              <w:jc w:val="both"/>
              <w:rPr>
                <w:sz w:val="22"/>
              </w:rPr>
            </w:pPr>
            <w:r>
              <w:rPr>
                <w:sz w:val="22"/>
              </w:rPr>
              <w:t>Cuando</w:t>
            </w:r>
            <w:r>
              <w:rPr>
                <w:spacing w:val="-14"/>
                <w:sz w:val="22"/>
              </w:rPr>
              <w:t> </w:t>
            </w:r>
            <w:r>
              <w:rPr>
                <w:sz w:val="22"/>
              </w:rPr>
              <w:t>los</w:t>
            </w:r>
            <w:r>
              <w:rPr>
                <w:spacing w:val="-13"/>
                <w:sz w:val="22"/>
              </w:rPr>
              <w:t> </w:t>
            </w:r>
            <w:r>
              <w:rPr>
                <w:sz w:val="22"/>
              </w:rPr>
              <w:t>inventarios</w:t>
            </w:r>
            <w:r>
              <w:rPr>
                <w:spacing w:val="-13"/>
                <w:sz w:val="22"/>
              </w:rPr>
              <w:t> </w:t>
            </w:r>
            <w:r>
              <w:rPr>
                <w:sz w:val="22"/>
              </w:rPr>
              <w:t>son</w:t>
            </w:r>
            <w:r>
              <w:rPr>
                <w:spacing w:val="-14"/>
                <w:sz w:val="22"/>
              </w:rPr>
              <w:t> </w:t>
            </w:r>
            <w:r>
              <w:rPr>
                <w:sz w:val="22"/>
              </w:rPr>
              <w:t>vendidos,</w:t>
            </w:r>
            <w:r>
              <w:rPr>
                <w:spacing w:val="-14"/>
                <w:sz w:val="22"/>
              </w:rPr>
              <w:t> </w:t>
            </w:r>
            <w:r>
              <w:rPr>
                <w:sz w:val="22"/>
              </w:rPr>
              <w:t>intercambiados,</w:t>
            </w:r>
            <w:r>
              <w:rPr>
                <w:spacing w:val="-14"/>
                <w:sz w:val="22"/>
              </w:rPr>
              <w:t> </w:t>
            </w:r>
            <w:r>
              <w:rPr>
                <w:sz w:val="22"/>
              </w:rPr>
              <w:t>o</w:t>
            </w:r>
            <w:r>
              <w:rPr>
                <w:spacing w:val="-13"/>
                <w:sz w:val="22"/>
              </w:rPr>
              <w:t> </w:t>
            </w:r>
            <w:r>
              <w:rPr>
                <w:sz w:val="22"/>
              </w:rPr>
              <w:t>distribuidos,</w:t>
            </w:r>
            <w:r>
              <w:rPr>
                <w:spacing w:val="-14"/>
                <w:sz w:val="22"/>
              </w:rPr>
              <w:t> </w:t>
            </w:r>
            <w:r>
              <w:rPr>
                <w:sz w:val="22"/>
              </w:rPr>
              <w:t>el</w:t>
            </w:r>
            <w:r>
              <w:rPr>
                <w:spacing w:val="-12"/>
                <w:sz w:val="22"/>
              </w:rPr>
              <w:t> </w:t>
            </w:r>
            <w:r>
              <w:rPr>
                <w:sz w:val="22"/>
              </w:rPr>
              <w:t>valor</w:t>
            </w:r>
            <w:r>
              <w:rPr>
                <w:spacing w:val="-14"/>
                <w:sz w:val="22"/>
              </w:rPr>
              <w:t> </w:t>
            </w:r>
            <w:r>
              <w:rPr>
                <w:sz w:val="22"/>
              </w:rPr>
              <w:t>en</w:t>
            </w:r>
            <w:r>
              <w:rPr>
                <w:spacing w:val="-12"/>
                <w:sz w:val="22"/>
              </w:rPr>
              <w:t> </w:t>
            </w:r>
            <w:r>
              <w:rPr>
                <w:sz w:val="22"/>
              </w:rPr>
              <w:t>libros</w:t>
            </w:r>
            <w:r>
              <w:rPr>
                <w:spacing w:val="-13"/>
                <w:sz w:val="22"/>
              </w:rPr>
              <w:t> </w:t>
            </w:r>
            <w:r>
              <w:rPr>
                <w:sz w:val="22"/>
              </w:rPr>
              <w:t>es</w:t>
            </w:r>
            <w:r>
              <w:rPr>
                <w:spacing w:val="-13"/>
                <w:sz w:val="22"/>
              </w:rPr>
              <w:t> </w:t>
            </w:r>
            <w:r>
              <w:rPr>
                <w:sz w:val="22"/>
              </w:rPr>
              <w:t>reconocido como</w:t>
            </w:r>
            <w:r>
              <w:rPr>
                <w:spacing w:val="-4"/>
                <w:sz w:val="22"/>
              </w:rPr>
              <w:t> </w:t>
            </w:r>
            <w:r>
              <w:rPr>
                <w:sz w:val="22"/>
              </w:rPr>
              <w:t>un</w:t>
            </w:r>
            <w:r>
              <w:rPr>
                <w:spacing w:val="-5"/>
                <w:sz w:val="22"/>
              </w:rPr>
              <w:t> </w:t>
            </w:r>
            <w:r>
              <w:rPr>
                <w:sz w:val="22"/>
              </w:rPr>
              <w:t>gasto</w:t>
            </w:r>
            <w:r>
              <w:rPr>
                <w:spacing w:val="-4"/>
                <w:sz w:val="22"/>
              </w:rPr>
              <w:t> </w:t>
            </w:r>
            <w:r>
              <w:rPr>
                <w:sz w:val="22"/>
              </w:rPr>
              <w:t>en</w:t>
            </w:r>
            <w:r>
              <w:rPr>
                <w:spacing w:val="-4"/>
                <w:sz w:val="22"/>
              </w:rPr>
              <w:t> </w:t>
            </w:r>
            <w:r>
              <w:rPr>
                <w:sz w:val="22"/>
              </w:rPr>
              <w:t>el</w:t>
            </w:r>
            <w:r>
              <w:rPr>
                <w:spacing w:val="-5"/>
                <w:sz w:val="22"/>
              </w:rPr>
              <w:t> </w:t>
            </w:r>
            <w:r>
              <w:rPr>
                <w:sz w:val="22"/>
              </w:rPr>
              <w:t>período</w:t>
            </w:r>
            <w:r>
              <w:rPr>
                <w:spacing w:val="-4"/>
                <w:sz w:val="22"/>
              </w:rPr>
              <w:t> </w:t>
            </w:r>
            <w:r>
              <w:rPr>
                <w:sz w:val="22"/>
              </w:rPr>
              <w:t>en</w:t>
            </w:r>
            <w:r>
              <w:rPr>
                <w:spacing w:val="-4"/>
                <w:sz w:val="22"/>
              </w:rPr>
              <w:t> </w:t>
            </w:r>
            <w:r>
              <w:rPr>
                <w:sz w:val="22"/>
              </w:rPr>
              <w:t>el</w:t>
            </w:r>
            <w:r>
              <w:rPr>
                <w:spacing w:val="-5"/>
                <w:sz w:val="22"/>
              </w:rPr>
              <w:t> </w:t>
            </w:r>
            <w:r>
              <w:rPr>
                <w:sz w:val="22"/>
              </w:rPr>
              <w:t>cual</w:t>
            </w:r>
            <w:r>
              <w:rPr>
                <w:spacing w:val="-3"/>
                <w:sz w:val="22"/>
              </w:rPr>
              <w:t> </w:t>
            </w:r>
            <w:r>
              <w:rPr>
                <w:sz w:val="22"/>
              </w:rPr>
              <w:t>se</w:t>
            </w:r>
            <w:r>
              <w:rPr>
                <w:spacing w:val="-6"/>
                <w:sz w:val="22"/>
              </w:rPr>
              <w:t> </w:t>
            </w:r>
            <w:r>
              <w:rPr>
                <w:sz w:val="22"/>
              </w:rPr>
              <w:t>reconocen</w:t>
            </w:r>
            <w:r>
              <w:rPr>
                <w:spacing w:val="-4"/>
                <w:sz w:val="22"/>
              </w:rPr>
              <w:t> </w:t>
            </w:r>
            <w:r>
              <w:rPr>
                <w:sz w:val="22"/>
              </w:rPr>
              <w:t>los</w:t>
            </w:r>
            <w:r>
              <w:rPr>
                <w:spacing w:val="-4"/>
                <w:sz w:val="22"/>
              </w:rPr>
              <w:t> </w:t>
            </w:r>
            <w:r>
              <w:rPr>
                <w:sz w:val="22"/>
              </w:rPr>
              <w:t>ingresos</w:t>
            </w:r>
            <w:r>
              <w:rPr>
                <w:spacing w:val="-4"/>
                <w:sz w:val="22"/>
              </w:rPr>
              <w:t> </w:t>
            </w:r>
            <w:r>
              <w:rPr>
                <w:sz w:val="22"/>
              </w:rPr>
              <w:t>ordinarios</w:t>
            </w:r>
            <w:r>
              <w:rPr>
                <w:spacing w:val="-4"/>
                <w:sz w:val="22"/>
              </w:rPr>
              <w:t> </w:t>
            </w:r>
            <w:r>
              <w:rPr>
                <w:sz w:val="22"/>
              </w:rPr>
              <w:t>relacionados.</w:t>
            </w:r>
            <w:r>
              <w:rPr>
                <w:spacing w:val="-2"/>
                <w:sz w:val="22"/>
              </w:rPr>
              <w:t> </w:t>
            </w:r>
            <w:r>
              <w:rPr>
                <w:sz w:val="22"/>
              </w:rPr>
              <w:t>Si</w:t>
            </w:r>
            <w:r>
              <w:rPr>
                <w:spacing w:val="-5"/>
                <w:sz w:val="22"/>
              </w:rPr>
              <w:t> </w:t>
            </w:r>
            <w:r>
              <w:rPr>
                <w:sz w:val="22"/>
              </w:rPr>
              <w:t>no</w:t>
            </w:r>
            <w:r>
              <w:rPr>
                <w:spacing w:val="-4"/>
                <w:sz w:val="22"/>
              </w:rPr>
              <w:t> </w:t>
            </w:r>
            <w:r>
              <w:rPr>
                <w:sz w:val="22"/>
              </w:rPr>
              <w:t>hay ingresos ordinarios relacionados, el gasto se reconoce cuando los bienes sean distribuidos o hayan sido prestados los servicios relacionados.</w:t>
            </w:r>
          </w:p>
        </w:tc>
      </w:tr>
    </w:tbl>
    <w:p>
      <w:pPr>
        <w:pStyle w:val="TableParagraph"/>
        <w:spacing w:after="0" w:line="259"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6240">
                <wp:simplePos x="0" y="0"/>
                <wp:positionH relativeFrom="page">
                  <wp:posOffset>9525</wp:posOffset>
                </wp:positionH>
                <wp:positionV relativeFrom="page">
                  <wp:posOffset>297208</wp:posOffset>
                </wp:positionV>
                <wp:extent cx="7762875" cy="974852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762875" cy="9748520"/>
                          <a:chExt cx="7762875" cy="9748520"/>
                        </a:xfrm>
                      </wpg:grpSpPr>
                      <pic:pic>
                        <pic:nvPicPr>
                          <pic:cNvPr id="102" name="Image 102"/>
                          <pic:cNvPicPr/>
                        </pic:nvPicPr>
                        <pic:blipFill>
                          <a:blip r:embed="rId5" cstate="print"/>
                          <a:stretch>
                            <a:fillRect/>
                          </a:stretch>
                        </pic:blipFill>
                        <pic:spPr>
                          <a:xfrm>
                            <a:off x="0" y="0"/>
                            <a:ext cx="7762874" cy="9748489"/>
                          </a:xfrm>
                          <a:prstGeom prst="rect">
                            <a:avLst/>
                          </a:prstGeom>
                        </pic:spPr>
                      </pic:pic>
                      <wps:wsp>
                        <wps:cNvPr id="103" name="Graphic 103"/>
                        <wps:cNvSpPr/>
                        <wps:spPr>
                          <a:xfrm>
                            <a:off x="1053007" y="990837"/>
                            <a:ext cx="5649595" cy="6583680"/>
                          </a:xfrm>
                          <a:custGeom>
                            <a:avLst/>
                            <a:gdLst/>
                            <a:ahLst/>
                            <a:cxnLst/>
                            <a:rect l="l" t="t" r="r" b="b"/>
                            <a:pathLst>
                              <a:path w="5649595" h="6583680">
                                <a:moveTo>
                                  <a:pt x="24384" y="132702"/>
                                </a:moveTo>
                                <a:lnTo>
                                  <a:pt x="18288" y="132702"/>
                                </a:lnTo>
                                <a:lnTo>
                                  <a:pt x="18288" y="6577063"/>
                                </a:lnTo>
                                <a:lnTo>
                                  <a:pt x="24384" y="6577063"/>
                                </a:lnTo>
                                <a:lnTo>
                                  <a:pt x="24384" y="132702"/>
                                </a:lnTo>
                                <a:close/>
                              </a:path>
                              <a:path w="5649595" h="6583680">
                                <a:moveTo>
                                  <a:pt x="5630862" y="6577076"/>
                                </a:moveTo>
                                <a:lnTo>
                                  <a:pt x="5624830" y="6577076"/>
                                </a:lnTo>
                                <a:lnTo>
                                  <a:pt x="24384" y="6577076"/>
                                </a:lnTo>
                                <a:lnTo>
                                  <a:pt x="18288" y="6577076"/>
                                </a:lnTo>
                                <a:lnTo>
                                  <a:pt x="18288" y="6583159"/>
                                </a:lnTo>
                                <a:lnTo>
                                  <a:pt x="24384" y="6583159"/>
                                </a:lnTo>
                                <a:lnTo>
                                  <a:pt x="5624779" y="6583159"/>
                                </a:lnTo>
                                <a:lnTo>
                                  <a:pt x="5630862" y="6583159"/>
                                </a:lnTo>
                                <a:lnTo>
                                  <a:pt x="5630862" y="6577076"/>
                                </a:lnTo>
                                <a:close/>
                              </a:path>
                              <a:path w="5649595" h="6583680">
                                <a:moveTo>
                                  <a:pt x="5630862" y="132702"/>
                                </a:moveTo>
                                <a:lnTo>
                                  <a:pt x="5624779" y="132702"/>
                                </a:lnTo>
                                <a:lnTo>
                                  <a:pt x="5624779" y="6577063"/>
                                </a:lnTo>
                                <a:lnTo>
                                  <a:pt x="5630862" y="6577063"/>
                                </a:lnTo>
                                <a:lnTo>
                                  <a:pt x="5630862" y="132702"/>
                                </a:lnTo>
                                <a:close/>
                              </a:path>
                              <a:path w="5649595" h="6583680">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658368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70240" id="docshapegroup100" coordorigin="15,468" coordsize="12225,15352">
                <v:shape style="position:absolute;left:15;top:468;width:12225;height:15352" type="#_x0000_t75" id="docshape101" stroked="false">
                  <v:imagedata r:id="rId5" o:title=""/>
                </v:shape>
                <v:shape style="position:absolute;left:1673;top:2028;width:8897;height:10368" id="docshape102" coordorigin="1673,2028" coordsize="8897,10368" path="m1712,2237l1702,2237,1702,12386,1712,12386,1712,2237xm10541,12386l10531,12386,10531,12386,1712,12386,1702,12386,1702,12396,1712,12396,10531,12396,10531,12396,10541,12396,10541,12386xm10541,2237l10531,2237,10531,12386,10541,12386,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29</w:t>
      </w:r>
    </w:p>
    <w:p>
      <w:pPr>
        <w:pStyle w:val="BodyText"/>
        <w:spacing w:line="259" w:lineRule="auto" w:before="227"/>
        <w:ind w:left="734" w:right="1090"/>
        <w:jc w:val="both"/>
      </w:pPr>
      <w:r>
        <w:rPr/>
        <w:t>Los costos incluyen todos los costos de compra, costos de conversión (materiales, mano de obra, y gastos</w:t>
      </w:r>
      <w:r>
        <w:rPr>
          <w:spacing w:val="-1"/>
        </w:rPr>
        <w:t> </w:t>
      </w:r>
      <w:r>
        <w:rPr/>
        <w:t>generales), y</w:t>
      </w:r>
      <w:r>
        <w:rPr>
          <w:spacing w:val="-1"/>
        </w:rPr>
        <w:t> </w:t>
      </w:r>
      <w:r>
        <w:rPr/>
        <w:t>los otros</w:t>
      </w:r>
      <w:r>
        <w:rPr>
          <w:spacing w:val="-1"/>
        </w:rPr>
        <w:t> </w:t>
      </w:r>
      <w:r>
        <w:rPr/>
        <w:t>costos necesarios para</w:t>
      </w:r>
      <w:r>
        <w:rPr>
          <w:spacing w:val="-1"/>
        </w:rPr>
        <w:t> </w:t>
      </w:r>
      <w:r>
        <w:rPr/>
        <w:t>llevar el</w:t>
      </w:r>
      <w:r>
        <w:rPr>
          <w:spacing w:val="-1"/>
        </w:rPr>
        <w:t> </w:t>
      </w:r>
      <w:r>
        <w:rPr/>
        <w:t>inventario a</w:t>
      </w:r>
      <w:r>
        <w:rPr>
          <w:spacing w:val="-3"/>
        </w:rPr>
        <w:t> </w:t>
      </w:r>
      <w:r>
        <w:rPr/>
        <w:t>su localización y</w:t>
      </w:r>
      <w:r>
        <w:rPr>
          <w:spacing w:val="-1"/>
        </w:rPr>
        <w:t> </w:t>
      </w:r>
      <w:r>
        <w:rPr/>
        <w:t>condición presente, pero no las diferencias de cambio y los costos de venta. Los descuentos comerciales, rebajas, y otros elementos similares se deducen en la determinación de los costos de compra.</w:t>
      </w:r>
    </w:p>
    <w:p>
      <w:pPr>
        <w:pStyle w:val="BodyText"/>
        <w:spacing w:before="21"/>
      </w:pPr>
    </w:p>
    <w:p>
      <w:pPr>
        <w:pStyle w:val="BodyText"/>
        <w:spacing w:line="256" w:lineRule="auto"/>
        <w:ind w:left="734" w:right="1093"/>
        <w:jc w:val="both"/>
      </w:pPr>
      <w:r>
        <w:rPr/>
        <w:t>Los costos de inventarios de los bienes recibidos por un valor ínfimo o nulo (sin contraprestación) serán imputados por su valor razonable a la fecha de ingreso al activo.</w:t>
      </w:r>
    </w:p>
    <w:p>
      <w:pPr>
        <w:pStyle w:val="BodyText"/>
        <w:spacing w:before="23"/>
      </w:pPr>
    </w:p>
    <w:p>
      <w:pPr>
        <w:pStyle w:val="Heading6"/>
        <w:spacing w:before="1"/>
        <w:ind w:left="734"/>
        <w:rPr>
          <w:b w:val="0"/>
        </w:rPr>
      </w:pPr>
      <w:r>
        <w:rPr>
          <w:spacing w:val="-2"/>
        </w:rPr>
        <w:t>Medición</w:t>
      </w:r>
      <w:r>
        <w:rPr>
          <w:b w:val="0"/>
          <w:spacing w:val="-2"/>
        </w:rPr>
        <w:t>:</w:t>
      </w:r>
    </w:p>
    <w:p>
      <w:pPr>
        <w:pStyle w:val="BodyText"/>
        <w:spacing w:line="259" w:lineRule="auto" w:before="20"/>
        <w:ind w:left="734" w:right="1001"/>
      </w:pPr>
      <w:r>
        <w:rPr/>
        <w:t>Según</w:t>
      </w:r>
      <w:r>
        <w:rPr>
          <w:spacing w:val="-7"/>
        </w:rPr>
        <w:t> </w:t>
      </w:r>
      <w:r>
        <w:rPr/>
        <w:t>la</w:t>
      </w:r>
      <w:r>
        <w:rPr>
          <w:spacing w:val="-8"/>
        </w:rPr>
        <w:t> </w:t>
      </w:r>
      <w:r>
        <w:rPr/>
        <w:t>Política</w:t>
      </w:r>
      <w:r>
        <w:rPr>
          <w:spacing w:val="-8"/>
        </w:rPr>
        <w:t> </w:t>
      </w:r>
      <w:r>
        <w:rPr/>
        <w:t>Contable</w:t>
      </w:r>
      <w:r>
        <w:rPr>
          <w:spacing w:val="-11"/>
        </w:rPr>
        <w:t> </w:t>
      </w:r>
      <w:r>
        <w:rPr/>
        <w:t>General</w:t>
      </w:r>
      <w:r>
        <w:rPr>
          <w:spacing w:val="-8"/>
        </w:rPr>
        <w:t> </w:t>
      </w:r>
      <w:r>
        <w:rPr/>
        <w:t>1.</w:t>
      </w:r>
      <w:r>
        <w:rPr>
          <w:spacing w:val="-9"/>
        </w:rPr>
        <w:t> </w:t>
      </w:r>
      <w:r>
        <w:rPr/>
        <w:t>76</w:t>
      </w:r>
      <w:r>
        <w:rPr>
          <w:spacing w:val="-8"/>
        </w:rPr>
        <w:t> </w:t>
      </w:r>
      <w:r>
        <w:rPr/>
        <w:t>la</w:t>
      </w:r>
      <w:r>
        <w:rPr>
          <w:spacing w:val="-8"/>
        </w:rPr>
        <w:t> </w:t>
      </w:r>
      <w:r>
        <w:rPr/>
        <w:t>medición</w:t>
      </w:r>
      <w:r>
        <w:rPr>
          <w:spacing w:val="-7"/>
        </w:rPr>
        <w:t> </w:t>
      </w:r>
      <w:r>
        <w:rPr/>
        <w:t>general</w:t>
      </w:r>
      <w:r>
        <w:rPr>
          <w:spacing w:val="-8"/>
        </w:rPr>
        <w:t> </w:t>
      </w:r>
      <w:r>
        <w:rPr/>
        <w:t>de</w:t>
      </w:r>
      <w:r>
        <w:rPr>
          <w:spacing w:val="-9"/>
        </w:rPr>
        <w:t> </w:t>
      </w:r>
      <w:r>
        <w:rPr/>
        <w:t>los</w:t>
      </w:r>
      <w:r>
        <w:rPr>
          <w:spacing w:val="-6"/>
        </w:rPr>
        <w:t> </w:t>
      </w:r>
      <w:r>
        <w:rPr/>
        <w:t>inventarios</w:t>
      </w:r>
      <w:r>
        <w:rPr>
          <w:spacing w:val="-6"/>
        </w:rPr>
        <w:t> </w:t>
      </w:r>
      <w:r>
        <w:rPr/>
        <w:t>es,</w:t>
      </w:r>
      <w:r>
        <w:rPr>
          <w:spacing w:val="-9"/>
        </w:rPr>
        <w:t> </w:t>
      </w:r>
      <w:r>
        <w:rPr/>
        <w:t>al</w:t>
      </w:r>
      <w:r>
        <w:rPr>
          <w:spacing w:val="-8"/>
        </w:rPr>
        <w:t> </w:t>
      </w:r>
      <w:r>
        <w:rPr/>
        <w:t>costo</w:t>
      </w:r>
      <w:r>
        <w:rPr>
          <w:spacing w:val="-6"/>
        </w:rPr>
        <w:t> </w:t>
      </w:r>
      <w:r>
        <w:rPr/>
        <w:t>o</w:t>
      </w:r>
      <w:r>
        <w:rPr>
          <w:spacing w:val="-6"/>
        </w:rPr>
        <w:t> </w:t>
      </w:r>
      <w:r>
        <w:rPr/>
        <w:t>al</w:t>
      </w:r>
      <w:r>
        <w:rPr>
          <w:spacing w:val="-8"/>
        </w:rPr>
        <w:t> </w:t>
      </w:r>
      <w:r>
        <w:rPr/>
        <w:t>valor realizable neto, el que sea menor excepto lo estipulado en las excepciones de la Norma.</w:t>
      </w:r>
    </w:p>
    <w:p>
      <w:pPr>
        <w:pStyle w:val="BodyText"/>
        <w:spacing w:before="18"/>
      </w:pPr>
    </w:p>
    <w:p>
      <w:pPr>
        <w:pStyle w:val="BodyText"/>
        <w:spacing w:line="278" w:lineRule="auto" w:before="1"/>
        <w:ind w:left="734" w:right="1001"/>
      </w:pPr>
      <w:r>
        <w:rPr/>
        <w:t>De</w:t>
      </w:r>
      <w:r>
        <w:rPr>
          <w:spacing w:val="-4"/>
        </w:rPr>
        <w:t> </w:t>
      </w:r>
      <w:r>
        <w:rPr/>
        <w:t>conformidad</w:t>
      </w:r>
      <w:r>
        <w:rPr>
          <w:spacing w:val="-2"/>
        </w:rPr>
        <w:t> </w:t>
      </w:r>
      <w:r>
        <w:rPr/>
        <w:t>con</w:t>
      </w:r>
      <w:r>
        <w:rPr>
          <w:spacing w:val="-2"/>
        </w:rPr>
        <w:t> </w:t>
      </w:r>
      <w:r>
        <w:rPr/>
        <w:t>NICSP</w:t>
      </w:r>
      <w:r>
        <w:rPr>
          <w:spacing w:val="-2"/>
        </w:rPr>
        <w:t> </w:t>
      </w:r>
      <w:r>
        <w:rPr/>
        <w:t>12</w:t>
      </w:r>
      <w:r>
        <w:rPr>
          <w:spacing w:val="-2"/>
        </w:rPr>
        <w:t> </w:t>
      </w:r>
      <w:r>
        <w:rPr/>
        <w:t>párr.</w:t>
      </w:r>
      <w:r>
        <w:rPr>
          <w:spacing w:val="-3"/>
        </w:rPr>
        <w:t> </w:t>
      </w:r>
      <w:r>
        <w:rPr/>
        <w:t>15,</w:t>
      </w:r>
      <w:r>
        <w:rPr>
          <w:spacing w:val="-2"/>
        </w:rPr>
        <w:t> </w:t>
      </w:r>
      <w:r>
        <w:rPr/>
        <w:t>el</w:t>
      </w:r>
      <w:r>
        <w:rPr>
          <w:spacing w:val="-2"/>
        </w:rPr>
        <w:t> </w:t>
      </w:r>
      <w:r>
        <w:rPr/>
        <w:t>IMAS</w:t>
      </w:r>
      <w:r>
        <w:rPr>
          <w:spacing w:val="-1"/>
        </w:rPr>
        <w:t> </w:t>
      </w:r>
      <w:r>
        <w:rPr/>
        <w:t>valúa</w:t>
      </w:r>
      <w:r>
        <w:rPr>
          <w:spacing w:val="-3"/>
        </w:rPr>
        <w:t> </w:t>
      </w:r>
      <w:r>
        <w:rPr/>
        <w:t>sus</w:t>
      </w:r>
      <w:r>
        <w:rPr>
          <w:spacing w:val="-2"/>
        </w:rPr>
        <w:t> </w:t>
      </w:r>
      <w:r>
        <w:rPr/>
        <w:t>inventarios</w:t>
      </w:r>
      <w:r>
        <w:rPr>
          <w:spacing w:val="-1"/>
        </w:rPr>
        <w:t> </w:t>
      </w:r>
      <w:r>
        <w:rPr/>
        <w:t>al:</w:t>
      </w:r>
      <w:r>
        <w:rPr>
          <w:spacing w:val="-4"/>
        </w:rPr>
        <w:t> </w:t>
      </w:r>
      <w:r>
        <w:rPr/>
        <w:t>Menor</w:t>
      </w:r>
      <w:r>
        <w:rPr>
          <w:spacing w:val="-5"/>
        </w:rPr>
        <w:t> </w:t>
      </w:r>
      <w:r>
        <w:rPr/>
        <w:t>valor</w:t>
      </w:r>
      <w:r>
        <w:rPr>
          <w:spacing w:val="-2"/>
        </w:rPr>
        <w:t> </w:t>
      </w:r>
      <w:r>
        <w:rPr/>
        <w:t>entre</w:t>
      </w:r>
      <w:r>
        <w:rPr>
          <w:spacing w:val="-2"/>
        </w:rPr>
        <w:t> </w:t>
      </w:r>
      <w:r>
        <w:rPr/>
        <w:t>el costo y el valor realizable neto (VRN)</w:t>
      </w:r>
    </w:p>
    <w:p>
      <w:pPr>
        <w:pStyle w:val="BodyText"/>
        <w:spacing w:before="33"/>
      </w:pPr>
    </w:p>
    <w:p>
      <w:pPr>
        <w:pStyle w:val="BodyText"/>
        <w:ind w:left="734"/>
      </w:pPr>
      <w:r>
        <w:rPr/>
        <w:t>El</w:t>
      </w:r>
      <w:r>
        <w:rPr>
          <w:spacing w:val="-2"/>
        </w:rPr>
        <w:t> </w:t>
      </w:r>
      <w:r>
        <w:rPr/>
        <w:t>VRN</w:t>
      </w:r>
      <w:r>
        <w:rPr>
          <w:spacing w:val="-3"/>
        </w:rPr>
        <w:t> </w:t>
      </w:r>
      <w:r>
        <w:rPr/>
        <w:t>es </w:t>
      </w:r>
      <w:r>
        <w:rPr>
          <w:spacing w:val="-2"/>
        </w:rPr>
        <w:t>aplicable:</w:t>
      </w:r>
    </w:p>
    <w:p>
      <w:pPr>
        <w:pStyle w:val="ListParagraph"/>
        <w:numPr>
          <w:ilvl w:val="0"/>
          <w:numId w:val="23"/>
        </w:numPr>
        <w:tabs>
          <w:tab w:pos="1454" w:val="left" w:leader="none"/>
        </w:tabs>
        <w:spacing w:line="240" w:lineRule="auto" w:before="37" w:after="0"/>
        <w:ind w:left="1454" w:right="0" w:hanging="360"/>
        <w:jc w:val="left"/>
        <w:rPr>
          <w:sz w:val="22"/>
        </w:rPr>
      </w:pPr>
      <w:r>
        <w:rPr>
          <w:sz w:val="22"/>
        </w:rPr>
        <w:t>cuando</w:t>
      </w:r>
      <w:r>
        <w:rPr>
          <w:spacing w:val="-6"/>
          <w:sz w:val="22"/>
        </w:rPr>
        <w:t> </w:t>
      </w:r>
      <w:r>
        <w:rPr>
          <w:sz w:val="22"/>
        </w:rPr>
        <w:t>los</w:t>
      </w:r>
      <w:r>
        <w:rPr>
          <w:spacing w:val="-4"/>
          <w:sz w:val="22"/>
        </w:rPr>
        <w:t> </w:t>
      </w:r>
      <w:r>
        <w:rPr>
          <w:sz w:val="22"/>
        </w:rPr>
        <w:t>inventarios</w:t>
      </w:r>
      <w:r>
        <w:rPr>
          <w:spacing w:val="-4"/>
          <w:sz w:val="22"/>
        </w:rPr>
        <w:t> </w:t>
      </w:r>
      <w:r>
        <w:rPr>
          <w:sz w:val="22"/>
        </w:rPr>
        <w:t>estén</w:t>
      </w:r>
      <w:r>
        <w:rPr>
          <w:spacing w:val="-7"/>
          <w:sz w:val="22"/>
        </w:rPr>
        <w:t> </w:t>
      </w:r>
      <w:r>
        <w:rPr>
          <w:spacing w:val="-2"/>
          <w:sz w:val="22"/>
        </w:rPr>
        <w:t>dañados,</w:t>
      </w:r>
    </w:p>
    <w:p>
      <w:pPr>
        <w:pStyle w:val="ListParagraph"/>
        <w:numPr>
          <w:ilvl w:val="0"/>
          <w:numId w:val="23"/>
        </w:numPr>
        <w:tabs>
          <w:tab w:pos="1454" w:val="left" w:leader="none"/>
        </w:tabs>
        <w:spacing w:line="240" w:lineRule="auto" w:before="40" w:after="0"/>
        <w:ind w:left="1454" w:right="0" w:hanging="360"/>
        <w:jc w:val="left"/>
        <w:rPr>
          <w:sz w:val="22"/>
        </w:rPr>
      </w:pPr>
      <w:r>
        <w:rPr>
          <w:sz w:val="22"/>
        </w:rPr>
        <w:t>se</w:t>
      </w:r>
      <w:r>
        <w:rPr>
          <w:spacing w:val="-2"/>
          <w:sz w:val="22"/>
        </w:rPr>
        <w:t> </w:t>
      </w:r>
      <w:r>
        <w:rPr>
          <w:sz w:val="22"/>
        </w:rPr>
        <w:t>han</w:t>
      </w:r>
      <w:r>
        <w:rPr>
          <w:spacing w:val="-2"/>
          <w:sz w:val="22"/>
        </w:rPr>
        <w:t> </w:t>
      </w:r>
      <w:r>
        <w:rPr>
          <w:sz w:val="22"/>
        </w:rPr>
        <w:t>vuelto</w:t>
      </w:r>
      <w:r>
        <w:rPr>
          <w:spacing w:val="-2"/>
          <w:sz w:val="22"/>
        </w:rPr>
        <w:t> obsoletos,</w:t>
      </w:r>
    </w:p>
    <w:p>
      <w:pPr>
        <w:pStyle w:val="ListParagraph"/>
        <w:numPr>
          <w:ilvl w:val="0"/>
          <w:numId w:val="23"/>
        </w:numPr>
        <w:tabs>
          <w:tab w:pos="1454" w:val="left" w:leader="none"/>
        </w:tabs>
        <w:spacing w:line="240" w:lineRule="auto" w:before="37" w:after="0"/>
        <w:ind w:left="1454" w:right="0" w:hanging="360"/>
        <w:jc w:val="left"/>
        <w:rPr>
          <w:sz w:val="22"/>
        </w:rPr>
      </w:pPr>
      <w:r>
        <w:rPr>
          <w:sz w:val="22"/>
        </w:rPr>
        <w:t>existe</w:t>
      </w:r>
      <w:r>
        <w:rPr>
          <w:spacing w:val="-5"/>
          <w:sz w:val="22"/>
        </w:rPr>
        <w:t> </w:t>
      </w:r>
      <w:r>
        <w:rPr>
          <w:sz w:val="22"/>
        </w:rPr>
        <w:t>evidencia</w:t>
      </w:r>
      <w:r>
        <w:rPr>
          <w:spacing w:val="-5"/>
          <w:sz w:val="22"/>
        </w:rPr>
        <w:t> </w:t>
      </w:r>
      <w:r>
        <w:rPr>
          <w:sz w:val="22"/>
        </w:rPr>
        <w:t>de</w:t>
      </w:r>
      <w:r>
        <w:rPr>
          <w:spacing w:val="-6"/>
          <w:sz w:val="22"/>
        </w:rPr>
        <w:t> </w:t>
      </w:r>
      <w:r>
        <w:rPr>
          <w:sz w:val="22"/>
        </w:rPr>
        <w:t>deterioro</w:t>
      </w:r>
      <w:r>
        <w:rPr>
          <w:spacing w:val="-4"/>
          <w:sz w:val="22"/>
        </w:rPr>
        <w:t> </w:t>
      </w:r>
      <w:r>
        <w:rPr>
          <w:spacing w:val="-2"/>
          <w:sz w:val="22"/>
        </w:rPr>
        <w:t>físico,</w:t>
      </w:r>
    </w:p>
    <w:p>
      <w:pPr>
        <w:pStyle w:val="ListParagraph"/>
        <w:numPr>
          <w:ilvl w:val="0"/>
          <w:numId w:val="23"/>
        </w:numPr>
        <w:tabs>
          <w:tab w:pos="1454" w:val="left" w:leader="none"/>
        </w:tabs>
        <w:spacing w:line="240" w:lineRule="auto" w:before="37" w:after="0"/>
        <w:ind w:left="1454" w:right="0" w:hanging="360"/>
        <w:jc w:val="left"/>
        <w:rPr>
          <w:sz w:val="22"/>
        </w:rPr>
      </w:pPr>
      <w:r>
        <w:rPr>
          <w:sz w:val="22"/>
        </w:rPr>
        <w:t>los</w:t>
      </w:r>
      <w:r>
        <w:rPr>
          <w:spacing w:val="-5"/>
          <w:sz w:val="22"/>
        </w:rPr>
        <w:t> </w:t>
      </w:r>
      <w:r>
        <w:rPr>
          <w:sz w:val="22"/>
        </w:rPr>
        <w:t>bienes</w:t>
      </w:r>
      <w:r>
        <w:rPr>
          <w:spacing w:val="-2"/>
          <w:sz w:val="22"/>
        </w:rPr>
        <w:t> </w:t>
      </w:r>
      <w:r>
        <w:rPr>
          <w:sz w:val="22"/>
        </w:rPr>
        <w:t>destinados</w:t>
      </w:r>
      <w:r>
        <w:rPr>
          <w:spacing w:val="-2"/>
          <w:sz w:val="22"/>
        </w:rPr>
        <w:t> </w:t>
      </w:r>
      <w:r>
        <w:rPr>
          <w:sz w:val="22"/>
        </w:rPr>
        <w:t>a</w:t>
      </w:r>
      <w:r>
        <w:rPr>
          <w:spacing w:val="-4"/>
          <w:sz w:val="22"/>
        </w:rPr>
        <w:t> </w:t>
      </w:r>
      <w:r>
        <w:rPr>
          <w:sz w:val="22"/>
        </w:rPr>
        <w:t>distribuirse</w:t>
      </w:r>
      <w:r>
        <w:rPr>
          <w:spacing w:val="-4"/>
          <w:sz w:val="22"/>
        </w:rPr>
        <w:t> </w:t>
      </w:r>
      <w:r>
        <w:rPr>
          <w:sz w:val="22"/>
        </w:rPr>
        <w:t>ya</w:t>
      </w:r>
      <w:r>
        <w:rPr>
          <w:spacing w:val="-4"/>
          <w:sz w:val="22"/>
        </w:rPr>
        <w:t> </w:t>
      </w:r>
      <w:r>
        <w:rPr>
          <w:sz w:val="22"/>
        </w:rPr>
        <w:t>no</w:t>
      </w:r>
      <w:r>
        <w:rPr>
          <w:spacing w:val="-3"/>
          <w:sz w:val="22"/>
        </w:rPr>
        <w:t> </w:t>
      </w:r>
      <w:r>
        <w:rPr>
          <w:sz w:val="22"/>
        </w:rPr>
        <w:t>cumplirán</w:t>
      </w:r>
      <w:r>
        <w:rPr>
          <w:spacing w:val="-4"/>
          <w:sz w:val="22"/>
        </w:rPr>
        <w:t> </w:t>
      </w:r>
      <w:r>
        <w:rPr>
          <w:sz w:val="22"/>
        </w:rPr>
        <w:t>su</w:t>
      </w:r>
      <w:r>
        <w:rPr>
          <w:spacing w:val="-3"/>
          <w:sz w:val="22"/>
        </w:rPr>
        <w:t> </w:t>
      </w:r>
      <w:r>
        <w:rPr>
          <w:sz w:val="22"/>
        </w:rPr>
        <w:t>función</w:t>
      </w:r>
      <w:r>
        <w:rPr>
          <w:spacing w:val="-3"/>
          <w:sz w:val="22"/>
        </w:rPr>
        <w:t> </w:t>
      </w:r>
      <w:r>
        <w:rPr>
          <w:spacing w:val="-2"/>
          <w:sz w:val="22"/>
        </w:rPr>
        <w:t>original.</w:t>
      </w:r>
    </w:p>
    <w:p>
      <w:pPr>
        <w:pStyle w:val="BodyText"/>
        <w:spacing w:before="235"/>
      </w:pPr>
    </w:p>
    <w:p>
      <w:pPr>
        <w:pStyle w:val="BodyText"/>
        <w:spacing w:line="259" w:lineRule="auto"/>
        <w:ind w:left="734" w:right="1001"/>
      </w:pPr>
      <w:r>
        <w:rPr/>
        <w:t>No hay reversiones por rebajas de valor reconocidas en el estado de rendimiento financieros del</w:t>
      </w:r>
      <w:r>
        <w:rPr>
          <w:spacing w:val="40"/>
        </w:rPr>
        <w:t> </w:t>
      </w:r>
      <w:r>
        <w:rPr>
          <w:spacing w:val="-2"/>
        </w:rPr>
        <w:t>periodo.</w:t>
      </w:r>
    </w:p>
    <w:p>
      <w:pPr>
        <w:pStyle w:val="BodyText"/>
        <w:spacing w:before="20"/>
      </w:pPr>
    </w:p>
    <w:p>
      <w:pPr>
        <w:pStyle w:val="BodyText"/>
        <w:spacing w:line="259" w:lineRule="auto" w:before="1"/>
        <w:ind w:left="734" w:right="1088"/>
        <w:jc w:val="both"/>
      </w:pPr>
      <w:r>
        <w:rPr/>
        <w:t>El costo de los inventarios no sufre rebajas ni se realizan reversiones de rebajas, lo que se utilizan son estrategias de mercadeo donde el precio de venta de un producto se ve afectado al vender dos o más artículos del mismo tipo (ventas por volumen), rebajas el precio de venta por aplicación de descuentos y/o promociones para rotación de</w:t>
      </w:r>
      <w:r>
        <w:rPr>
          <w:spacing w:val="-1"/>
        </w:rPr>
        <w:t> </w:t>
      </w:r>
      <w:r>
        <w:rPr/>
        <w:t>este. En</w:t>
      </w:r>
      <w:r>
        <w:rPr>
          <w:spacing w:val="-1"/>
        </w:rPr>
        <w:t> </w:t>
      </w:r>
      <w:r>
        <w:rPr/>
        <w:t>caso de</w:t>
      </w:r>
      <w:r>
        <w:rPr>
          <w:spacing w:val="-1"/>
        </w:rPr>
        <w:t> </w:t>
      </w:r>
      <w:r>
        <w:rPr/>
        <w:t>que un</w:t>
      </w:r>
      <w:r>
        <w:rPr>
          <w:spacing w:val="-1"/>
        </w:rPr>
        <w:t> </w:t>
      </w:r>
      <w:r>
        <w:rPr/>
        <w:t>artículo</w:t>
      </w:r>
      <w:r>
        <w:rPr>
          <w:spacing w:val="-1"/>
        </w:rPr>
        <w:t> </w:t>
      </w:r>
      <w:r>
        <w:rPr/>
        <w:t>se encuentre en mal estado o venga dañado de fábrica el artículo se da de baja contra una nota de crédito que cubre el proveedor</w:t>
      </w:r>
      <w:r>
        <w:rPr>
          <w:spacing w:val="-4"/>
        </w:rPr>
        <w:t> </w:t>
      </w:r>
      <w:r>
        <w:rPr/>
        <w:t>o</w:t>
      </w:r>
      <w:r>
        <w:rPr>
          <w:spacing w:val="-4"/>
        </w:rPr>
        <w:t> </w:t>
      </w:r>
      <w:r>
        <w:rPr/>
        <w:t>si</w:t>
      </w:r>
      <w:r>
        <w:rPr>
          <w:spacing w:val="-2"/>
        </w:rPr>
        <w:t> </w:t>
      </w:r>
      <w:r>
        <w:rPr/>
        <w:t>corresponde,</w:t>
      </w:r>
      <w:r>
        <w:rPr>
          <w:spacing w:val="-5"/>
        </w:rPr>
        <w:t> </w:t>
      </w:r>
      <w:r>
        <w:rPr/>
        <w:t>se</w:t>
      </w:r>
      <w:r>
        <w:rPr>
          <w:spacing w:val="-6"/>
        </w:rPr>
        <w:t> </w:t>
      </w:r>
      <w:r>
        <w:rPr/>
        <w:t>registra</w:t>
      </w:r>
      <w:r>
        <w:rPr>
          <w:spacing w:val="-5"/>
        </w:rPr>
        <w:t> </w:t>
      </w:r>
      <w:r>
        <w:rPr/>
        <w:t>mediante</w:t>
      </w:r>
      <w:r>
        <w:rPr>
          <w:spacing w:val="-2"/>
        </w:rPr>
        <w:t> </w:t>
      </w:r>
      <w:r>
        <w:rPr/>
        <w:t>el</w:t>
      </w:r>
      <w:r>
        <w:rPr>
          <w:spacing w:val="-5"/>
        </w:rPr>
        <w:t> </w:t>
      </w:r>
      <w:r>
        <w:rPr/>
        <w:t>uso</w:t>
      </w:r>
      <w:r>
        <w:rPr>
          <w:spacing w:val="-4"/>
        </w:rPr>
        <w:t> </w:t>
      </w:r>
      <w:r>
        <w:rPr/>
        <w:t>de</w:t>
      </w:r>
      <w:r>
        <w:rPr>
          <w:spacing w:val="-4"/>
        </w:rPr>
        <w:t> </w:t>
      </w:r>
      <w:r>
        <w:rPr/>
        <w:t>la</w:t>
      </w:r>
      <w:r>
        <w:rPr>
          <w:spacing w:val="-4"/>
        </w:rPr>
        <w:t> </w:t>
      </w:r>
      <w:r>
        <w:rPr/>
        <w:t>previsión</w:t>
      </w:r>
      <w:r>
        <w:rPr>
          <w:spacing w:val="-4"/>
        </w:rPr>
        <w:t> </w:t>
      </w:r>
      <w:r>
        <w:rPr/>
        <w:t>para</w:t>
      </w:r>
      <w:r>
        <w:rPr>
          <w:spacing w:val="-3"/>
        </w:rPr>
        <w:t> </w:t>
      </w:r>
      <w:r>
        <w:rPr/>
        <w:t>deterioro</w:t>
      </w:r>
      <w:r>
        <w:rPr>
          <w:spacing w:val="-2"/>
        </w:rPr>
        <w:t> </w:t>
      </w:r>
      <w:r>
        <w:rPr/>
        <w:t>y</w:t>
      </w:r>
      <w:r>
        <w:rPr>
          <w:spacing w:val="-3"/>
        </w:rPr>
        <w:t> </w:t>
      </w:r>
      <w:r>
        <w:rPr/>
        <w:t>pérdidas</w:t>
      </w:r>
      <w:r>
        <w:rPr>
          <w:spacing w:val="-4"/>
        </w:rPr>
        <w:t> </w:t>
      </w:r>
      <w:r>
        <w:rPr/>
        <w:t>de </w:t>
      </w:r>
      <w:r>
        <w:rPr>
          <w:spacing w:val="-2"/>
        </w:rPr>
        <w:t>inventario.</w:t>
      </w:r>
    </w:p>
    <w:p>
      <w:pPr>
        <w:pStyle w:val="BodyText"/>
        <w:spacing w:line="256" w:lineRule="auto"/>
        <w:ind w:left="734" w:right="1096"/>
        <w:jc w:val="both"/>
      </w:pPr>
      <w:r>
        <w:rPr/>
        <w:t>No se evidencian circunstancias o eventos que hayan producido la reversión de las rebajas de </w:t>
      </w:r>
      <w:r>
        <w:rPr>
          <w:spacing w:val="-2"/>
        </w:rPr>
        <w:t>inventario.</w:t>
      </w:r>
    </w:p>
    <w:p>
      <w:pPr>
        <w:pStyle w:val="BodyText"/>
        <w:spacing w:line="259" w:lineRule="auto" w:before="163"/>
        <w:ind w:left="734" w:right="1001"/>
      </w:pPr>
      <w:r>
        <w:rPr/>
        <w:t>En</w:t>
      </w:r>
      <w:r>
        <w:rPr>
          <w:spacing w:val="40"/>
        </w:rPr>
        <w:t> </w:t>
      </w:r>
      <w:r>
        <w:rPr/>
        <w:t>la</w:t>
      </w:r>
      <w:r>
        <w:rPr>
          <w:spacing w:val="40"/>
        </w:rPr>
        <w:t> </w:t>
      </w:r>
      <w:r>
        <w:rPr/>
        <w:t>nota</w:t>
      </w:r>
      <w:r>
        <w:rPr>
          <w:spacing w:val="40"/>
        </w:rPr>
        <w:t> </w:t>
      </w:r>
      <w:r>
        <w:rPr/>
        <w:t>N°6</w:t>
      </w:r>
      <w:r>
        <w:rPr>
          <w:spacing w:val="40"/>
        </w:rPr>
        <w:t> </w:t>
      </w:r>
      <w:r>
        <w:rPr/>
        <w:t>y</w:t>
      </w:r>
      <w:r>
        <w:rPr>
          <w:spacing w:val="40"/>
        </w:rPr>
        <w:t> </w:t>
      </w:r>
      <w:r>
        <w:rPr/>
        <w:t>61</w:t>
      </w:r>
      <w:r>
        <w:rPr>
          <w:spacing w:val="40"/>
        </w:rPr>
        <w:t> </w:t>
      </w:r>
      <w:r>
        <w:rPr/>
        <w:t>se</w:t>
      </w:r>
      <w:r>
        <w:rPr>
          <w:spacing w:val="40"/>
        </w:rPr>
        <w:t> </w:t>
      </w:r>
      <w:r>
        <w:rPr/>
        <w:t>revelan</w:t>
      </w:r>
      <w:r>
        <w:rPr>
          <w:spacing w:val="40"/>
        </w:rPr>
        <w:t> </w:t>
      </w:r>
      <w:r>
        <w:rPr/>
        <w:t>mayor</w:t>
      </w:r>
      <w:r>
        <w:rPr>
          <w:spacing w:val="40"/>
        </w:rPr>
        <w:t> </w:t>
      </w:r>
      <w:r>
        <w:rPr/>
        <w:t>detalle</w:t>
      </w:r>
      <w:r>
        <w:rPr>
          <w:spacing w:val="40"/>
        </w:rPr>
        <w:t> </w:t>
      </w:r>
      <w:r>
        <w:rPr/>
        <w:t>de</w:t>
      </w:r>
      <w:r>
        <w:rPr>
          <w:spacing w:val="40"/>
        </w:rPr>
        <w:t> </w:t>
      </w:r>
      <w:r>
        <w:rPr/>
        <w:t>las</w:t>
      </w:r>
      <w:r>
        <w:rPr>
          <w:spacing w:val="40"/>
        </w:rPr>
        <w:t> </w:t>
      </w:r>
      <w:r>
        <w:rPr/>
        <w:t>políticas,</w:t>
      </w:r>
      <w:r>
        <w:rPr>
          <w:spacing w:val="40"/>
        </w:rPr>
        <w:t> </w:t>
      </w:r>
      <w:r>
        <w:rPr/>
        <w:t>procedimiento</w:t>
      </w:r>
      <w:r>
        <w:rPr>
          <w:spacing w:val="40"/>
        </w:rPr>
        <w:t> </w:t>
      </w:r>
      <w:r>
        <w:rPr/>
        <w:t>y</w:t>
      </w:r>
      <w:r>
        <w:rPr>
          <w:spacing w:val="40"/>
        </w:rPr>
        <w:t> </w:t>
      </w:r>
      <w:r>
        <w:rPr/>
        <w:t>saldos</w:t>
      </w:r>
      <w:r>
        <w:rPr>
          <w:spacing w:val="40"/>
        </w:rPr>
        <w:t> </w:t>
      </w:r>
      <w:r>
        <w:rPr/>
        <w:t>de</w:t>
      </w:r>
      <w:r>
        <w:rPr>
          <w:spacing w:val="40"/>
        </w:rPr>
        <w:t> </w:t>
      </w:r>
      <w:r>
        <w:rPr/>
        <w:t>los inventarios del periodo.</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6752">
                <wp:simplePos x="0" y="0"/>
                <wp:positionH relativeFrom="page">
                  <wp:posOffset>9525</wp:posOffset>
                </wp:positionH>
                <wp:positionV relativeFrom="page">
                  <wp:posOffset>297208</wp:posOffset>
                </wp:positionV>
                <wp:extent cx="7762875" cy="974852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7762875" cy="9748520"/>
                          <a:chExt cx="7762875" cy="9748520"/>
                        </a:xfrm>
                      </wpg:grpSpPr>
                      <pic:pic>
                        <pic:nvPicPr>
                          <pic:cNvPr id="105" name="Image 105"/>
                          <pic:cNvPicPr/>
                        </pic:nvPicPr>
                        <pic:blipFill>
                          <a:blip r:embed="rId5" cstate="print"/>
                          <a:stretch>
                            <a:fillRect/>
                          </a:stretch>
                        </pic:blipFill>
                        <pic:spPr>
                          <a:xfrm>
                            <a:off x="0" y="0"/>
                            <a:ext cx="7762874" cy="9748489"/>
                          </a:xfrm>
                          <a:prstGeom prst="rect">
                            <a:avLst/>
                          </a:prstGeom>
                        </pic:spPr>
                      </pic:pic>
                      <wps:wsp>
                        <wps:cNvPr id="106" name="Graphic 106"/>
                        <wps:cNvSpPr/>
                        <wps:spPr>
                          <a:xfrm>
                            <a:off x="1053007" y="990837"/>
                            <a:ext cx="5649595" cy="7327265"/>
                          </a:xfrm>
                          <a:custGeom>
                            <a:avLst/>
                            <a:gdLst/>
                            <a:ahLst/>
                            <a:cxnLst/>
                            <a:rect l="l" t="t" r="r" b="b"/>
                            <a:pathLst>
                              <a:path w="5649595" h="7327265">
                                <a:moveTo>
                                  <a:pt x="24384" y="371970"/>
                                </a:moveTo>
                                <a:lnTo>
                                  <a:pt x="18288" y="371970"/>
                                </a:lnTo>
                                <a:lnTo>
                                  <a:pt x="18288" y="7320775"/>
                                </a:lnTo>
                                <a:lnTo>
                                  <a:pt x="24384" y="7320775"/>
                                </a:lnTo>
                                <a:lnTo>
                                  <a:pt x="24384" y="371970"/>
                                </a:lnTo>
                                <a:close/>
                              </a:path>
                              <a:path w="5649595" h="7327265">
                                <a:moveTo>
                                  <a:pt x="5630862" y="7320788"/>
                                </a:moveTo>
                                <a:lnTo>
                                  <a:pt x="5624830" y="7320788"/>
                                </a:lnTo>
                                <a:lnTo>
                                  <a:pt x="24384" y="7320788"/>
                                </a:lnTo>
                                <a:lnTo>
                                  <a:pt x="18288" y="7320788"/>
                                </a:lnTo>
                                <a:lnTo>
                                  <a:pt x="18288" y="7326871"/>
                                </a:lnTo>
                                <a:lnTo>
                                  <a:pt x="24384" y="7326871"/>
                                </a:lnTo>
                                <a:lnTo>
                                  <a:pt x="5624779" y="7326871"/>
                                </a:lnTo>
                                <a:lnTo>
                                  <a:pt x="5630862" y="7326871"/>
                                </a:lnTo>
                                <a:lnTo>
                                  <a:pt x="5630862" y="7320788"/>
                                </a:lnTo>
                                <a:close/>
                              </a:path>
                              <a:path w="5649595" h="7327265">
                                <a:moveTo>
                                  <a:pt x="5630862" y="371970"/>
                                </a:moveTo>
                                <a:lnTo>
                                  <a:pt x="5624779" y="371970"/>
                                </a:lnTo>
                                <a:lnTo>
                                  <a:pt x="5624779" y="7320775"/>
                                </a:lnTo>
                                <a:lnTo>
                                  <a:pt x="5630862" y="7320775"/>
                                </a:lnTo>
                                <a:lnTo>
                                  <a:pt x="5630862" y="371970"/>
                                </a:lnTo>
                                <a:close/>
                              </a:path>
                              <a:path w="5649595" h="7327265">
                                <a:moveTo>
                                  <a:pt x="5630862" y="365747"/>
                                </a:moveTo>
                                <a:lnTo>
                                  <a:pt x="5624830" y="365747"/>
                                </a:lnTo>
                                <a:lnTo>
                                  <a:pt x="24384" y="365747"/>
                                </a:lnTo>
                                <a:lnTo>
                                  <a:pt x="18288" y="365747"/>
                                </a:lnTo>
                                <a:lnTo>
                                  <a:pt x="18288" y="371843"/>
                                </a:lnTo>
                                <a:lnTo>
                                  <a:pt x="24384" y="371843"/>
                                </a:lnTo>
                                <a:lnTo>
                                  <a:pt x="5624779" y="371843"/>
                                </a:lnTo>
                                <a:lnTo>
                                  <a:pt x="5630862" y="371843"/>
                                </a:lnTo>
                                <a:lnTo>
                                  <a:pt x="5630862" y="365747"/>
                                </a:lnTo>
                                <a:close/>
                              </a:path>
                              <a:path w="5649595" h="732726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9728" id="docshapegroup103" coordorigin="15,468" coordsize="12225,15352">
                <v:shape style="position:absolute;left:15;top:468;width:12225;height:15352" type="#_x0000_t75" id="docshape104" stroked="false">
                  <v:imagedata r:id="rId5" o:title=""/>
                </v:shape>
                <v:shape style="position:absolute;left:1673;top:2028;width:8897;height:11539" id="docshape105" coordorigin="1673,2028" coordsize="8897,11539" path="m1712,2614l1702,2614,1702,13557,1712,13557,1712,2614xm10541,13557l10531,13557,10531,13557,1712,13557,1702,13557,1702,13567,1712,13567,10531,13567,10531,13567,10541,13567,10541,13557xm10541,2614l10531,2614,10531,13557,10541,13557,10541,2614xm10541,2604l10531,2604,10531,2604,1712,2604,1702,2604,1702,2614,1712,2614,10531,2614,10531,2614,10541,2614,10541,2604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30</w:t>
      </w:r>
    </w:p>
    <w:p>
      <w:pPr>
        <w:pStyle w:val="Heading6"/>
        <w:numPr>
          <w:ilvl w:val="0"/>
          <w:numId w:val="13"/>
        </w:numPr>
        <w:tabs>
          <w:tab w:pos="1339" w:val="left" w:leader="none"/>
        </w:tabs>
        <w:spacing w:line="240" w:lineRule="auto" w:before="218" w:after="0"/>
        <w:ind w:left="1339" w:right="0" w:hanging="358"/>
        <w:jc w:val="left"/>
      </w:pPr>
      <w:bookmarkStart w:name="_bookmark16" w:id="17"/>
      <w:bookmarkEnd w:id="17"/>
      <w:r>
        <w:rPr>
          <w:b w:val="0"/>
        </w:rPr>
      </w:r>
      <w:r>
        <w:rPr>
          <w:color w:val="1F3762"/>
        </w:rPr>
        <w:t>Provisiones,</w:t>
      </w:r>
      <w:r>
        <w:rPr>
          <w:color w:val="1F3762"/>
          <w:spacing w:val="-4"/>
        </w:rPr>
        <w:t> </w:t>
      </w:r>
      <w:r>
        <w:rPr>
          <w:color w:val="1F3762"/>
        </w:rPr>
        <w:t>pasivos</w:t>
      </w:r>
      <w:r>
        <w:rPr>
          <w:color w:val="1F3762"/>
          <w:spacing w:val="-3"/>
        </w:rPr>
        <w:t> </w:t>
      </w:r>
      <w:r>
        <w:rPr>
          <w:color w:val="1F3762"/>
        </w:rPr>
        <w:t>y</w:t>
      </w:r>
      <w:r>
        <w:rPr>
          <w:color w:val="1F3762"/>
          <w:spacing w:val="-4"/>
        </w:rPr>
        <w:t> </w:t>
      </w:r>
      <w:r>
        <w:rPr>
          <w:color w:val="1F3762"/>
        </w:rPr>
        <w:t>activos</w:t>
      </w:r>
      <w:r>
        <w:rPr>
          <w:color w:val="1F3762"/>
          <w:spacing w:val="-2"/>
        </w:rPr>
        <w:t> contingentes.</w:t>
      </w:r>
    </w:p>
    <w:p>
      <w:pPr>
        <w:pStyle w:val="BodyText"/>
        <w:spacing w:before="135"/>
        <w:ind w:left="734"/>
      </w:pPr>
      <w:r>
        <w:rPr>
          <w:spacing w:val="-2"/>
        </w:rPr>
        <w:t>Revelación:</w:t>
      </w:r>
    </w:p>
    <w:p>
      <w:pPr>
        <w:pStyle w:val="BodyText"/>
        <w:spacing w:line="259" w:lineRule="auto" w:before="181"/>
        <w:ind w:left="734" w:right="1089"/>
        <w:jc w:val="both"/>
      </w:pPr>
      <w:r>
        <w:rPr/>
        <w:t>La entidad establece como política contable el tratamiento de las provisiones, pasivos y activos contingentes de conformidad con lo dispuesto en la NICSP 19, aplicando criterios de reconocimiento, medición y evaluación basados en la existencia de derechos u obligaciones presentes, el grado de incertidumbre asociado y la probabilidad de ocurrencia de eventos futuros.</w:t>
      </w:r>
    </w:p>
    <w:p>
      <w:pPr>
        <w:pStyle w:val="BodyText"/>
        <w:spacing w:before="19"/>
      </w:pPr>
    </w:p>
    <w:p>
      <w:pPr>
        <w:pStyle w:val="BodyText"/>
        <w:spacing w:line="259" w:lineRule="auto"/>
        <w:ind w:left="734" w:right="1088"/>
        <w:jc w:val="both"/>
      </w:pPr>
      <w:r>
        <w:rPr/>
        <w:t>La entidad realiza una evaluación sistemática de los hechos y circunstancias que puedan dar origen a provisiones, pasivos o activos contingentes, considerando compromisos contractuales, procesos administrativos, reclamos, litigios judiciales u otras situaciones similares. Esta evaluación se fundamenta en el análisis de la probabilidad de flujos futuros de recursos, ya sean de entrada o de salida, y en su impacto potencial sobre los beneficios económicos o el potencial de servicio </w:t>
      </w:r>
      <w:r>
        <w:rPr>
          <w:spacing w:val="-2"/>
        </w:rPr>
        <w:t>institucional.</w:t>
      </w:r>
    </w:p>
    <w:p>
      <w:pPr>
        <w:pStyle w:val="BodyText"/>
        <w:spacing w:before="19"/>
      </w:pPr>
    </w:p>
    <w:p>
      <w:pPr>
        <w:pStyle w:val="BodyText"/>
        <w:ind w:left="734"/>
        <w:jc w:val="both"/>
      </w:pPr>
      <w:r>
        <w:rPr/>
        <w:t>Con</w:t>
      </w:r>
      <w:r>
        <w:rPr>
          <w:spacing w:val="-7"/>
        </w:rPr>
        <w:t> </w:t>
      </w:r>
      <w:r>
        <w:rPr/>
        <w:t>base</w:t>
      </w:r>
      <w:r>
        <w:rPr>
          <w:spacing w:val="-3"/>
        </w:rPr>
        <w:t> </w:t>
      </w:r>
      <w:r>
        <w:rPr/>
        <w:t>en</w:t>
      </w:r>
      <w:r>
        <w:rPr>
          <w:spacing w:val="-3"/>
        </w:rPr>
        <w:t> </w:t>
      </w:r>
      <w:r>
        <w:rPr/>
        <w:t>dicha</w:t>
      </w:r>
      <w:r>
        <w:rPr>
          <w:spacing w:val="-3"/>
        </w:rPr>
        <w:t> </w:t>
      </w:r>
      <w:r>
        <w:rPr/>
        <w:t>evaluación,</w:t>
      </w:r>
      <w:r>
        <w:rPr>
          <w:spacing w:val="-5"/>
        </w:rPr>
        <w:t> </w:t>
      </w:r>
      <w:r>
        <w:rPr/>
        <w:t>se</w:t>
      </w:r>
      <w:r>
        <w:rPr>
          <w:spacing w:val="-3"/>
        </w:rPr>
        <w:t> </w:t>
      </w:r>
      <w:r>
        <w:rPr/>
        <w:t>adopta</w:t>
      </w:r>
      <w:r>
        <w:rPr>
          <w:spacing w:val="-3"/>
        </w:rPr>
        <w:t> </w:t>
      </w:r>
      <w:r>
        <w:rPr/>
        <w:t>el</w:t>
      </w:r>
      <w:r>
        <w:rPr>
          <w:spacing w:val="-2"/>
        </w:rPr>
        <w:t> </w:t>
      </w:r>
      <w:r>
        <w:rPr/>
        <w:t>siguiente</w:t>
      </w:r>
      <w:r>
        <w:rPr>
          <w:spacing w:val="-2"/>
        </w:rPr>
        <w:t> tratamiento:</w:t>
      </w:r>
    </w:p>
    <w:p>
      <w:pPr>
        <w:pStyle w:val="ListParagraph"/>
        <w:numPr>
          <w:ilvl w:val="0"/>
          <w:numId w:val="24"/>
        </w:numPr>
        <w:tabs>
          <w:tab w:pos="1454" w:val="left" w:leader="none"/>
        </w:tabs>
        <w:spacing w:line="240" w:lineRule="auto" w:before="19" w:after="0"/>
        <w:ind w:left="1454" w:right="1091" w:hanging="360"/>
        <w:jc w:val="both"/>
        <w:rPr>
          <w:sz w:val="22"/>
        </w:rPr>
      </w:pPr>
      <w:r>
        <w:rPr>
          <w:sz w:val="22"/>
        </w:rPr>
        <w:t>Cuando</w:t>
      </w:r>
      <w:r>
        <w:rPr>
          <w:spacing w:val="-12"/>
          <w:sz w:val="22"/>
        </w:rPr>
        <w:t> </w:t>
      </w:r>
      <w:r>
        <w:rPr>
          <w:sz w:val="22"/>
        </w:rPr>
        <w:t>la</w:t>
      </w:r>
      <w:r>
        <w:rPr>
          <w:spacing w:val="-14"/>
          <w:sz w:val="22"/>
        </w:rPr>
        <w:t> </w:t>
      </w:r>
      <w:r>
        <w:rPr>
          <w:sz w:val="22"/>
        </w:rPr>
        <w:t>ocurrencia</w:t>
      </w:r>
      <w:r>
        <w:rPr>
          <w:spacing w:val="-11"/>
          <w:sz w:val="22"/>
        </w:rPr>
        <w:t> </w:t>
      </w:r>
      <w:r>
        <w:rPr>
          <w:sz w:val="22"/>
        </w:rPr>
        <w:t>del</w:t>
      </w:r>
      <w:r>
        <w:rPr>
          <w:spacing w:val="-11"/>
          <w:sz w:val="22"/>
        </w:rPr>
        <w:t> </w:t>
      </w:r>
      <w:r>
        <w:rPr>
          <w:sz w:val="22"/>
        </w:rPr>
        <w:t>evento</w:t>
      </w:r>
      <w:r>
        <w:rPr>
          <w:spacing w:val="-12"/>
          <w:sz w:val="22"/>
        </w:rPr>
        <w:t> </w:t>
      </w:r>
      <w:r>
        <w:rPr>
          <w:sz w:val="22"/>
        </w:rPr>
        <w:t>futuro</w:t>
      </w:r>
      <w:r>
        <w:rPr>
          <w:spacing w:val="-11"/>
          <w:sz w:val="22"/>
        </w:rPr>
        <w:t> </w:t>
      </w:r>
      <w:r>
        <w:rPr>
          <w:sz w:val="22"/>
        </w:rPr>
        <w:t>es</w:t>
      </w:r>
      <w:r>
        <w:rPr>
          <w:spacing w:val="-11"/>
          <w:sz w:val="22"/>
        </w:rPr>
        <w:t> </w:t>
      </w:r>
      <w:r>
        <w:rPr>
          <w:sz w:val="22"/>
        </w:rPr>
        <w:t>prácticamente</w:t>
      </w:r>
      <w:r>
        <w:rPr>
          <w:spacing w:val="-11"/>
          <w:sz w:val="22"/>
        </w:rPr>
        <w:t> </w:t>
      </w:r>
      <w:r>
        <w:rPr>
          <w:sz w:val="22"/>
        </w:rPr>
        <w:t>cierta,</w:t>
      </w:r>
      <w:r>
        <w:rPr>
          <w:spacing w:val="-11"/>
          <w:sz w:val="22"/>
        </w:rPr>
        <w:t> </w:t>
      </w:r>
      <w:r>
        <w:rPr>
          <w:sz w:val="22"/>
        </w:rPr>
        <w:t>el</w:t>
      </w:r>
      <w:r>
        <w:rPr>
          <w:spacing w:val="-11"/>
          <w:sz w:val="22"/>
        </w:rPr>
        <w:t> </w:t>
      </w:r>
      <w:r>
        <w:rPr>
          <w:sz w:val="22"/>
        </w:rPr>
        <w:t>derecho</w:t>
      </w:r>
      <w:r>
        <w:rPr>
          <w:spacing w:val="-11"/>
          <w:sz w:val="22"/>
        </w:rPr>
        <w:t> </w:t>
      </w:r>
      <w:r>
        <w:rPr>
          <w:sz w:val="22"/>
        </w:rPr>
        <w:t>u</w:t>
      </w:r>
      <w:r>
        <w:rPr>
          <w:spacing w:val="-13"/>
          <w:sz w:val="22"/>
        </w:rPr>
        <w:t> </w:t>
      </w:r>
      <w:r>
        <w:rPr>
          <w:sz w:val="22"/>
        </w:rPr>
        <w:t>obligación</w:t>
      </w:r>
      <w:r>
        <w:rPr>
          <w:spacing w:val="-11"/>
          <w:sz w:val="22"/>
        </w:rPr>
        <w:t> </w:t>
      </w:r>
      <w:r>
        <w:rPr>
          <w:sz w:val="22"/>
        </w:rPr>
        <w:t>deja de ser contingente y se reconoce como un activo o pasivo real en los Estados Financieros.</w:t>
      </w:r>
    </w:p>
    <w:p>
      <w:pPr>
        <w:pStyle w:val="ListParagraph"/>
        <w:numPr>
          <w:ilvl w:val="0"/>
          <w:numId w:val="24"/>
        </w:numPr>
        <w:tabs>
          <w:tab w:pos="1454" w:val="left" w:leader="none"/>
        </w:tabs>
        <w:spacing w:line="240" w:lineRule="auto" w:before="0" w:after="0"/>
        <w:ind w:left="1454" w:right="1090" w:hanging="360"/>
        <w:jc w:val="both"/>
        <w:rPr>
          <w:sz w:val="22"/>
        </w:rPr>
      </w:pPr>
      <w:r>
        <w:rPr>
          <w:sz w:val="22"/>
        </w:rPr>
        <w:t>Cuando</w:t>
      </w:r>
      <w:r>
        <w:rPr>
          <w:spacing w:val="-8"/>
          <w:sz w:val="22"/>
        </w:rPr>
        <w:t> </w:t>
      </w:r>
      <w:r>
        <w:rPr>
          <w:sz w:val="22"/>
        </w:rPr>
        <w:t>la</w:t>
      </w:r>
      <w:r>
        <w:rPr>
          <w:spacing w:val="-7"/>
          <w:sz w:val="22"/>
        </w:rPr>
        <w:t> </w:t>
      </w:r>
      <w:r>
        <w:rPr>
          <w:sz w:val="22"/>
        </w:rPr>
        <w:t>ocurrencia</w:t>
      </w:r>
      <w:r>
        <w:rPr>
          <w:spacing w:val="-6"/>
          <w:sz w:val="22"/>
        </w:rPr>
        <w:t> </w:t>
      </w:r>
      <w:r>
        <w:rPr>
          <w:sz w:val="22"/>
        </w:rPr>
        <w:t>del</w:t>
      </w:r>
      <w:r>
        <w:rPr>
          <w:spacing w:val="-6"/>
          <w:sz w:val="22"/>
        </w:rPr>
        <w:t> </w:t>
      </w:r>
      <w:r>
        <w:rPr>
          <w:sz w:val="22"/>
        </w:rPr>
        <w:t>evento</w:t>
      </w:r>
      <w:r>
        <w:rPr>
          <w:spacing w:val="-5"/>
          <w:sz w:val="22"/>
        </w:rPr>
        <w:t> </w:t>
      </w:r>
      <w:r>
        <w:rPr>
          <w:sz w:val="22"/>
        </w:rPr>
        <w:t>es</w:t>
      </w:r>
      <w:r>
        <w:rPr>
          <w:spacing w:val="-5"/>
          <w:sz w:val="22"/>
        </w:rPr>
        <w:t> </w:t>
      </w:r>
      <w:r>
        <w:rPr>
          <w:sz w:val="22"/>
        </w:rPr>
        <w:t>probable,</w:t>
      </w:r>
      <w:r>
        <w:rPr>
          <w:spacing w:val="-6"/>
          <w:sz w:val="22"/>
        </w:rPr>
        <w:t> </w:t>
      </w:r>
      <w:r>
        <w:rPr>
          <w:sz w:val="22"/>
        </w:rPr>
        <w:t>los</w:t>
      </w:r>
      <w:r>
        <w:rPr>
          <w:spacing w:val="-5"/>
          <w:sz w:val="22"/>
        </w:rPr>
        <w:t> </w:t>
      </w:r>
      <w:r>
        <w:rPr>
          <w:sz w:val="22"/>
        </w:rPr>
        <w:t>pasivos</w:t>
      </w:r>
      <w:r>
        <w:rPr>
          <w:spacing w:val="-5"/>
          <w:sz w:val="22"/>
        </w:rPr>
        <w:t> </w:t>
      </w:r>
      <w:r>
        <w:rPr>
          <w:sz w:val="22"/>
        </w:rPr>
        <w:t>se</w:t>
      </w:r>
      <w:r>
        <w:rPr>
          <w:spacing w:val="-7"/>
          <w:sz w:val="22"/>
        </w:rPr>
        <w:t> </w:t>
      </w:r>
      <w:r>
        <w:rPr>
          <w:sz w:val="22"/>
        </w:rPr>
        <w:t>reconocen</w:t>
      </w:r>
      <w:r>
        <w:rPr>
          <w:spacing w:val="-8"/>
          <w:sz w:val="22"/>
        </w:rPr>
        <w:t> </w:t>
      </w:r>
      <w:r>
        <w:rPr>
          <w:sz w:val="22"/>
        </w:rPr>
        <w:t>mediante</w:t>
      </w:r>
      <w:r>
        <w:rPr>
          <w:spacing w:val="-6"/>
          <w:sz w:val="22"/>
        </w:rPr>
        <w:t> </w:t>
      </w:r>
      <w:r>
        <w:rPr>
          <w:sz w:val="22"/>
        </w:rPr>
        <w:t>una</w:t>
      </w:r>
      <w:r>
        <w:rPr>
          <w:spacing w:val="-6"/>
          <w:sz w:val="22"/>
        </w:rPr>
        <w:t> </w:t>
      </w:r>
      <w:r>
        <w:rPr>
          <w:sz w:val="22"/>
        </w:rPr>
        <w:t>provi-sión, mientras que los activos no se reconocen contablemente.</w:t>
      </w:r>
    </w:p>
    <w:p>
      <w:pPr>
        <w:pStyle w:val="ListParagraph"/>
        <w:numPr>
          <w:ilvl w:val="0"/>
          <w:numId w:val="24"/>
        </w:numPr>
        <w:tabs>
          <w:tab w:pos="1454" w:val="left" w:leader="none"/>
        </w:tabs>
        <w:spacing w:line="240" w:lineRule="auto" w:before="0" w:after="0"/>
        <w:ind w:left="1454" w:right="1089" w:hanging="360"/>
        <w:jc w:val="both"/>
        <w:rPr>
          <w:sz w:val="22"/>
        </w:rPr>
      </w:pPr>
      <w:r>
        <w:rPr>
          <w:sz w:val="22"/>
        </w:rPr>
        <w:t>Cuando</w:t>
      </w:r>
      <w:r>
        <w:rPr>
          <w:spacing w:val="-14"/>
          <w:sz w:val="22"/>
        </w:rPr>
        <w:t> </w:t>
      </w:r>
      <w:r>
        <w:rPr>
          <w:sz w:val="22"/>
        </w:rPr>
        <w:t>la</w:t>
      </w:r>
      <w:r>
        <w:rPr>
          <w:spacing w:val="-13"/>
          <w:sz w:val="22"/>
        </w:rPr>
        <w:t> </w:t>
      </w:r>
      <w:r>
        <w:rPr>
          <w:sz w:val="22"/>
        </w:rPr>
        <w:t>ocurrencia</w:t>
      </w:r>
      <w:r>
        <w:rPr>
          <w:spacing w:val="-12"/>
          <w:sz w:val="22"/>
        </w:rPr>
        <w:t> </w:t>
      </w:r>
      <w:r>
        <w:rPr>
          <w:sz w:val="22"/>
        </w:rPr>
        <w:t>del</w:t>
      </w:r>
      <w:r>
        <w:rPr>
          <w:spacing w:val="-12"/>
          <w:sz w:val="22"/>
        </w:rPr>
        <w:t> </w:t>
      </w:r>
      <w:r>
        <w:rPr>
          <w:sz w:val="22"/>
        </w:rPr>
        <w:t>evento</w:t>
      </w:r>
      <w:r>
        <w:rPr>
          <w:spacing w:val="-11"/>
          <w:sz w:val="22"/>
        </w:rPr>
        <w:t> </w:t>
      </w:r>
      <w:r>
        <w:rPr>
          <w:sz w:val="22"/>
        </w:rPr>
        <w:t>es</w:t>
      </w:r>
      <w:r>
        <w:rPr>
          <w:spacing w:val="-11"/>
          <w:sz w:val="22"/>
        </w:rPr>
        <w:t> </w:t>
      </w:r>
      <w:r>
        <w:rPr>
          <w:sz w:val="22"/>
        </w:rPr>
        <w:t>posible</w:t>
      </w:r>
      <w:r>
        <w:rPr>
          <w:spacing w:val="-13"/>
          <w:sz w:val="22"/>
        </w:rPr>
        <w:t> </w:t>
      </w:r>
      <w:r>
        <w:rPr>
          <w:sz w:val="22"/>
        </w:rPr>
        <w:t>o</w:t>
      </w:r>
      <w:r>
        <w:rPr>
          <w:spacing w:val="-13"/>
          <w:sz w:val="22"/>
        </w:rPr>
        <w:t> </w:t>
      </w:r>
      <w:r>
        <w:rPr>
          <w:sz w:val="22"/>
        </w:rPr>
        <w:t>remota,</w:t>
      </w:r>
      <w:r>
        <w:rPr>
          <w:spacing w:val="-12"/>
          <w:sz w:val="22"/>
        </w:rPr>
        <w:t> </w:t>
      </w:r>
      <w:r>
        <w:rPr>
          <w:sz w:val="22"/>
        </w:rPr>
        <w:t>no</w:t>
      </w:r>
      <w:r>
        <w:rPr>
          <w:spacing w:val="-13"/>
          <w:sz w:val="22"/>
        </w:rPr>
        <w:t> </w:t>
      </w:r>
      <w:r>
        <w:rPr>
          <w:sz w:val="22"/>
        </w:rPr>
        <w:t>se</w:t>
      </w:r>
      <w:r>
        <w:rPr>
          <w:spacing w:val="-13"/>
          <w:sz w:val="22"/>
        </w:rPr>
        <w:t> </w:t>
      </w:r>
      <w:r>
        <w:rPr>
          <w:sz w:val="22"/>
        </w:rPr>
        <w:t>reconoce</w:t>
      </w:r>
      <w:r>
        <w:rPr>
          <w:spacing w:val="-13"/>
          <w:sz w:val="22"/>
        </w:rPr>
        <w:t> </w:t>
      </w:r>
      <w:r>
        <w:rPr>
          <w:sz w:val="22"/>
        </w:rPr>
        <w:t>ningún</w:t>
      </w:r>
      <w:r>
        <w:rPr>
          <w:spacing w:val="-12"/>
          <w:sz w:val="22"/>
        </w:rPr>
        <w:t> </w:t>
      </w:r>
      <w:r>
        <w:rPr>
          <w:sz w:val="22"/>
        </w:rPr>
        <w:t>activo</w:t>
      </w:r>
      <w:r>
        <w:rPr>
          <w:spacing w:val="-11"/>
          <w:sz w:val="22"/>
        </w:rPr>
        <w:t> </w:t>
      </w:r>
      <w:r>
        <w:rPr>
          <w:sz w:val="22"/>
        </w:rPr>
        <w:t>o</w:t>
      </w:r>
      <w:r>
        <w:rPr>
          <w:spacing w:val="-13"/>
          <w:sz w:val="22"/>
        </w:rPr>
        <w:t> </w:t>
      </w:r>
      <w:r>
        <w:rPr>
          <w:sz w:val="22"/>
        </w:rPr>
        <w:t>pasivo, manteniéndose</w:t>
      </w:r>
      <w:r>
        <w:rPr>
          <w:spacing w:val="-14"/>
          <w:sz w:val="22"/>
        </w:rPr>
        <w:t> </w:t>
      </w:r>
      <w:r>
        <w:rPr>
          <w:sz w:val="22"/>
        </w:rPr>
        <w:t>únicamente</w:t>
      </w:r>
      <w:r>
        <w:rPr>
          <w:spacing w:val="-14"/>
          <w:sz w:val="22"/>
        </w:rPr>
        <w:t> </w:t>
      </w:r>
      <w:r>
        <w:rPr>
          <w:sz w:val="22"/>
        </w:rPr>
        <w:t>el</w:t>
      </w:r>
      <w:r>
        <w:rPr>
          <w:spacing w:val="-14"/>
          <w:sz w:val="22"/>
        </w:rPr>
        <w:t> </w:t>
      </w:r>
      <w:r>
        <w:rPr>
          <w:sz w:val="22"/>
        </w:rPr>
        <w:t>seguimiento</w:t>
      </w:r>
      <w:r>
        <w:rPr>
          <w:spacing w:val="-12"/>
          <w:sz w:val="22"/>
        </w:rPr>
        <w:t> </w:t>
      </w:r>
      <w:r>
        <w:rPr>
          <w:sz w:val="22"/>
        </w:rPr>
        <w:t>administrativo</w:t>
      </w:r>
      <w:r>
        <w:rPr>
          <w:spacing w:val="-12"/>
          <w:sz w:val="22"/>
        </w:rPr>
        <w:t> </w:t>
      </w:r>
      <w:r>
        <w:rPr>
          <w:sz w:val="22"/>
        </w:rPr>
        <w:t>correspondiente</w:t>
      </w:r>
      <w:r>
        <w:rPr>
          <w:spacing w:val="-13"/>
          <w:sz w:val="22"/>
        </w:rPr>
        <w:t> </w:t>
      </w:r>
      <w:r>
        <w:rPr>
          <w:sz w:val="22"/>
        </w:rPr>
        <w:t>y</w:t>
      </w:r>
      <w:r>
        <w:rPr>
          <w:spacing w:val="-14"/>
          <w:sz w:val="22"/>
        </w:rPr>
        <w:t> </w:t>
      </w:r>
      <w:r>
        <w:rPr>
          <w:sz w:val="22"/>
        </w:rPr>
        <w:t>revelándose</w:t>
      </w:r>
      <w:r>
        <w:rPr>
          <w:spacing w:val="-14"/>
          <w:sz w:val="22"/>
        </w:rPr>
        <w:t> </w:t>
      </w:r>
      <w:r>
        <w:rPr>
          <w:sz w:val="22"/>
        </w:rPr>
        <w:t>en </w:t>
      </w:r>
      <w:r>
        <w:rPr>
          <w:spacing w:val="-2"/>
          <w:sz w:val="22"/>
        </w:rPr>
        <w:t>notas.</w:t>
      </w:r>
    </w:p>
    <w:p>
      <w:pPr>
        <w:pStyle w:val="BodyText"/>
        <w:spacing w:line="259" w:lineRule="auto"/>
        <w:ind w:left="734" w:right="1094"/>
        <w:jc w:val="both"/>
      </w:pPr>
      <w:r>
        <w:rPr/>
        <w:t>Además, la administración provisiona el porcentaje por los salarios devengados según las disposiciones legales que regulan las leyes laborales del país, tales como aguinaldo y vacaciones.</w:t>
      </w:r>
    </w:p>
    <w:p>
      <w:pPr>
        <w:pStyle w:val="BodyText"/>
        <w:spacing w:before="21"/>
      </w:pPr>
    </w:p>
    <w:p>
      <w:pPr>
        <w:pStyle w:val="BodyText"/>
        <w:spacing w:line="259" w:lineRule="auto"/>
        <w:ind w:left="734" w:right="1089"/>
        <w:jc w:val="both"/>
      </w:pPr>
      <w:r>
        <w:rPr/>
        <w:t>En</w:t>
      </w:r>
      <w:r>
        <w:rPr>
          <w:spacing w:val="-8"/>
        </w:rPr>
        <w:t> </w:t>
      </w:r>
      <w:r>
        <w:rPr/>
        <w:t>ningún</w:t>
      </w:r>
      <w:r>
        <w:rPr>
          <w:spacing w:val="-8"/>
        </w:rPr>
        <w:t> </w:t>
      </w:r>
      <w:r>
        <w:rPr/>
        <w:t>caso</w:t>
      </w:r>
      <w:r>
        <w:rPr>
          <w:spacing w:val="-7"/>
        </w:rPr>
        <w:t> </w:t>
      </w:r>
      <w:r>
        <w:rPr/>
        <w:t>los</w:t>
      </w:r>
      <w:r>
        <w:rPr>
          <w:spacing w:val="-7"/>
        </w:rPr>
        <w:t> </w:t>
      </w:r>
      <w:r>
        <w:rPr/>
        <w:t>activos</w:t>
      </w:r>
      <w:r>
        <w:rPr>
          <w:spacing w:val="-7"/>
        </w:rPr>
        <w:t> </w:t>
      </w:r>
      <w:r>
        <w:rPr/>
        <w:t>contingentes</w:t>
      </w:r>
      <w:r>
        <w:rPr>
          <w:spacing w:val="-7"/>
        </w:rPr>
        <w:t> </w:t>
      </w:r>
      <w:r>
        <w:rPr/>
        <w:t>son</w:t>
      </w:r>
      <w:r>
        <w:rPr>
          <w:spacing w:val="-10"/>
        </w:rPr>
        <w:t> </w:t>
      </w:r>
      <w:r>
        <w:rPr/>
        <w:t>objeto</w:t>
      </w:r>
      <w:r>
        <w:rPr>
          <w:spacing w:val="-7"/>
        </w:rPr>
        <w:t> </w:t>
      </w:r>
      <w:r>
        <w:rPr/>
        <w:t>de</w:t>
      </w:r>
      <w:r>
        <w:rPr>
          <w:spacing w:val="-10"/>
        </w:rPr>
        <w:t> </w:t>
      </w:r>
      <w:r>
        <w:rPr/>
        <w:t>reconocimiento</w:t>
      </w:r>
      <w:r>
        <w:rPr>
          <w:spacing w:val="-7"/>
        </w:rPr>
        <w:t> </w:t>
      </w:r>
      <w:r>
        <w:rPr/>
        <w:t>contable</w:t>
      </w:r>
      <w:r>
        <w:rPr>
          <w:spacing w:val="-9"/>
        </w:rPr>
        <w:t> </w:t>
      </w:r>
      <w:r>
        <w:rPr/>
        <w:t>mientras</w:t>
      </w:r>
      <w:r>
        <w:rPr>
          <w:spacing w:val="-10"/>
        </w:rPr>
        <w:t> </w:t>
      </w:r>
      <w:r>
        <w:rPr/>
        <w:t>mantengan su</w:t>
      </w:r>
      <w:r>
        <w:rPr>
          <w:spacing w:val="-14"/>
        </w:rPr>
        <w:t> </w:t>
      </w:r>
      <w:r>
        <w:rPr/>
        <w:t>carácter</w:t>
      </w:r>
      <w:r>
        <w:rPr>
          <w:spacing w:val="-14"/>
        </w:rPr>
        <w:t> </w:t>
      </w:r>
      <w:r>
        <w:rPr/>
        <w:t>de</w:t>
      </w:r>
      <w:r>
        <w:rPr>
          <w:spacing w:val="-14"/>
        </w:rPr>
        <w:t> </w:t>
      </w:r>
      <w:r>
        <w:rPr/>
        <w:t>alto</w:t>
      </w:r>
      <w:r>
        <w:rPr>
          <w:spacing w:val="-13"/>
        </w:rPr>
        <w:t> </w:t>
      </w:r>
      <w:r>
        <w:rPr/>
        <w:t>o</w:t>
      </w:r>
      <w:r>
        <w:rPr>
          <w:spacing w:val="-13"/>
        </w:rPr>
        <w:t> </w:t>
      </w:r>
      <w:r>
        <w:rPr/>
        <w:t>poco</w:t>
      </w:r>
      <w:r>
        <w:rPr>
          <w:spacing w:val="-13"/>
        </w:rPr>
        <w:t> </w:t>
      </w:r>
      <w:r>
        <w:rPr/>
        <w:t>grado</w:t>
      </w:r>
      <w:r>
        <w:rPr>
          <w:spacing w:val="-12"/>
        </w:rPr>
        <w:t> </w:t>
      </w:r>
      <w:r>
        <w:rPr/>
        <w:t>de</w:t>
      </w:r>
      <w:r>
        <w:rPr>
          <w:spacing w:val="-14"/>
        </w:rPr>
        <w:t> </w:t>
      </w:r>
      <w:r>
        <w:rPr/>
        <w:t>probabilidad,</w:t>
      </w:r>
      <w:r>
        <w:rPr>
          <w:spacing w:val="-13"/>
        </w:rPr>
        <w:t> </w:t>
      </w:r>
      <w:r>
        <w:rPr/>
        <w:t>con</w:t>
      </w:r>
      <w:r>
        <w:rPr>
          <w:spacing w:val="-13"/>
        </w:rPr>
        <w:t> </w:t>
      </w:r>
      <w:r>
        <w:rPr/>
        <w:t>el</w:t>
      </w:r>
      <w:r>
        <w:rPr>
          <w:spacing w:val="-14"/>
        </w:rPr>
        <w:t> </w:t>
      </w:r>
      <w:r>
        <w:rPr/>
        <w:t>fin</w:t>
      </w:r>
      <w:r>
        <w:rPr>
          <w:spacing w:val="-14"/>
        </w:rPr>
        <w:t> </w:t>
      </w:r>
      <w:r>
        <w:rPr/>
        <w:t>de</w:t>
      </w:r>
      <w:r>
        <w:rPr>
          <w:spacing w:val="-14"/>
        </w:rPr>
        <w:t> </w:t>
      </w:r>
      <w:r>
        <w:rPr/>
        <w:t>evitar</w:t>
      </w:r>
      <w:r>
        <w:rPr>
          <w:spacing w:val="-10"/>
        </w:rPr>
        <w:t> </w:t>
      </w:r>
      <w:r>
        <w:rPr/>
        <w:t>el</w:t>
      </w:r>
      <w:r>
        <w:rPr>
          <w:spacing w:val="-14"/>
        </w:rPr>
        <w:t> </w:t>
      </w:r>
      <w:r>
        <w:rPr/>
        <w:t>registro</w:t>
      </w:r>
      <w:r>
        <w:rPr>
          <w:spacing w:val="-12"/>
        </w:rPr>
        <w:t> </w:t>
      </w:r>
      <w:r>
        <w:rPr/>
        <w:t>anticipado</w:t>
      </w:r>
      <w:r>
        <w:rPr>
          <w:spacing w:val="-13"/>
        </w:rPr>
        <w:t> </w:t>
      </w:r>
      <w:r>
        <w:rPr/>
        <w:t>de</w:t>
      </w:r>
      <w:r>
        <w:rPr>
          <w:spacing w:val="-14"/>
        </w:rPr>
        <w:t> </w:t>
      </w:r>
      <w:r>
        <w:rPr/>
        <w:t>ingresos que podrían no concretarse, situación que alteraría los saldos y afectaría la toma de decisiones.</w:t>
      </w:r>
    </w:p>
    <w:p>
      <w:pPr>
        <w:pStyle w:val="BodyText"/>
        <w:spacing w:before="157"/>
      </w:pPr>
    </w:p>
    <w:p>
      <w:pPr>
        <w:pStyle w:val="BodyText"/>
        <w:spacing w:line="276" w:lineRule="auto" w:before="1"/>
        <w:ind w:left="734" w:right="1089"/>
        <w:jc w:val="both"/>
      </w:pPr>
      <w:r>
        <w:rPr/>
        <w:t>La identificación y evaluación de provisiones, pasivos y activos contingentes se realiza de forma periódica mediante la coordinación entre las áreas técnicas responsables, la Asesoría Legal y las instancias administrativas pertinentes. El análisis se apoya en el juicio profesional, particularmente en materia legal, para determinar el nivel de incertidumbre y la probabilidad de ocurrencia de los eventos asociados.</w:t>
      </w:r>
    </w:p>
    <w:p>
      <w:pPr>
        <w:pStyle w:val="BodyText"/>
        <w:spacing w:before="140"/>
      </w:pPr>
    </w:p>
    <w:p>
      <w:pPr>
        <w:pStyle w:val="BodyText"/>
        <w:spacing w:line="259" w:lineRule="auto"/>
        <w:ind w:left="734" w:right="1082"/>
      </w:pPr>
      <w:r>
        <w:rPr/>
        <w:t>Mensualmente</w:t>
      </w:r>
      <w:r>
        <w:rPr>
          <w:spacing w:val="80"/>
        </w:rPr>
        <w:t> </w:t>
      </w:r>
      <w:r>
        <w:rPr/>
        <w:t>el</w:t>
      </w:r>
      <w:r>
        <w:rPr>
          <w:spacing w:val="80"/>
        </w:rPr>
        <w:t> </w:t>
      </w:r>
      <w:r>
        <w:rPr/>
        <w:t>Área</w:t>
      </w:r>
      <w:r>
        <w:rPr>
          <w:spacing w:val="80"/>
        </w:rPr>
        <w:t> </w:t>
      </w:r>
      <w:r>
        <w:rPr/>
        <w:t>Jurídica</w:t>
      </w:r>
      <w:r>
        <w:rPr>
          <w:spacing w:val="80"/>
        </w:rPr>
        <w:t> </w:t>
      </w:r>
      <w:r>
        <w:rPr/>
        <w:t>realiza</w:t>
      </w:r>
      <w:r>
        <w:rPr>
          <w:spacing w:val="80"/>
        </w:rPr>
        <w:t> </w:t>
      </w:r>
      <w:r>
        <w:rPr/>
        <w:t>un</w:t>
      </w:r>
      <w:r>
        <w:rPr>
          <w:spacing w:val="80"/>
        </w:rPr>
        <w:t> </w:t>
      </w:r>
      <w:r>
        <w:rPr/>
        <w:t>informe</w:t>
      </w:r>
      <w:r>
        <w:rPr>
          <w:spacing w:val="80"/>
        </w:rPr>
        <w:t> </w:t>
      </w:r>
      <w:r>
        <w:rPr/>
        <w:t>con</w:t>
      </w:r>
      <w:r>
        <w:rPr>
          <w:spacing w:val="80"/>
        </w:rPr>
        <w:t> </w:t>
      </w:r>
      <w:r>
        <w:rPr/>
        <w:t>los</w:t>
      </w:r>
      <w:r>
        <w:rPr>
          <w:spacing w:val="80"/>
        </w:rPr>
        <w:t> </w:t>
      </w:r>
      <w:r>
        <w:rPr/>
        <w:t>procesos</w:t>
      </w:r>
      <w:r>
        <w:rPr>
          <w:spacing w:val="80"/>
        </w:rPr>
        <w:t> </w:t>
      </w:r>
      <w:r>
        <w:rPr/>
        <w:t>judiciales</w:t>
      </w:r>
      <w:r>
        <w:rPr>
          <w:spacing w:val="80"/>
        </w:rPr>
        <w:t> </w:t>
      </w:r>
      <w:r>
        <w:rPr/>
        <w:t>existentes, estableciendo la posibilidad del fracaso y el estado de conformidad con la Directriz CN-001-2014. El</w:t>
      </w:r>
      <w:r>
        <w:rPr>
          <w:spacing w:val="30"/>
        </w:rPr>
        <w:t> </w:t>
      </w:r>
      <w:r>
        <w:rPr/>
        <w:t>criterio</w:t>
      </w:r>
      <w:r>
        <w:rPr>
          <w:spacing w:val="32"/>
        </w:rPr>
        <w:t> </w:t>
      </w:r>
      <w:r>
        <w:rPr/>
        <w:t>vigente</w:t>
      </w:r>
      <w:r>
        <w:rPr>
          <w:spacing w:val="30"/>
        </w:rPr>
        <w:t> </w:t>
      </w:r>
      <w:r>
        <w:rPr/>
        <w:t>definido</w:t>
      </w:r>
      <w:r>
        <w:rPr>
          <w:spacing w:val="32"/>
        </w:rPr>
        <w:t> </w:t>
      </w:r>
      <w:r>
        <w:rPr/>
        <w:t>por</w:t>
      </w:r>
      <w:r>
        <w:rPr>
          <w:spacing w:val="31"/>
        </w:rPr>
        <w:t> </w:t>
      </w:r>
      <w:r>
        <w:rPr/>
        <w:t>la</w:t>
      </w:r>
      <w:r>
        <w:rPr>
          <w:spacing w:val="30"/>
        </w:rPr>
        <w:t> </w:t>
      </w:r>
      <w:r>
        <w:rPr/>
        <w:t>Dirección</w:t>
      </w:r>
      <w:r>
        <w:rPr>
          <w:spacing w:val="32"/>
        </w:rPr>
        <w:t> </w:t>
      </w:r>
      <w:r>
        <w:rPr/>
        <w:t>de</w:t>
      </w:r>
      <w:r>
        <w:rPr>
          <w:spacing w:val="29"/>
        </w:rPr>
        <w:t> </w:t>
      </w:r>
      <w:r>
        <w:rPr/>
        <w:t>Soporte</w:t>
      </w:r>
      <w:r>
        <w:rPr>
          <w:spacing w:val="30"/>
        </w:rPr>
        <w:t> </w:t>
      </w:r>
      <w:r>
        <w:rPr/>
        <w:t>Administrativo</w:t>
      </w:r>
      <w:r>
        <w:rPr>
          <w:spacing w:val="29"/>
        </w:rPr>
        <w:t> </w:t>
      </w:r>
      <w:r>
        <w:rPr/>
        <w:t>sobre</w:t>
      </w:r>
      <w:r>
        <w:rPr>
          <w:spacing w:val="30"/>
        </w:rPr>
        <w:t> </w:t>
      </w:r>
      <w:r>
        <w:rPr/>
        <w:t>los</w:t>
      </w:r>
      <w:r>
        <w:rPr>
          <w:spacing w:val="32"/>
        </w:rPr>
        <w:t> </w:t>
      </w:r>
      <w:r>
        <w:rPr/>
        <w:t>porcentajes</w:t>
      </w:r>
      <w:r>
        <w:rPr>
          <w:spacing w:val="32"/>
        </w:rPr>
        <w:t> </w:t>
      </w:r>
      <w:r>
        <w:rPr/>
        <w:t>a provisionar</w:t>
      </w:r>
      <w:r>
        <w:rPr>
          <w:spacing w:val="-3"/>
        </w:rPr>
        <w:t> </w:t>
      </w:r>
      <w:r>
        <w:rPr/>
        <w:t>con</w:t>
      </w:r>
      <w:r>
        <w:rPr>
          <w:spacing w:val="-3"/>
        </w:rPr>
        <w:t> </w:t>
      </w:r>
      <w:r>
        <w:rPr/>
        <w:t>relación</w:t>
      </w:r>
      <w:r>
        <w:rPr>
          <w:spacing w:val="-5"/>
        </w:rPr>
        <w:t> </w:t>
      </w:r>
      <w:r>
        <w:rPr/>
        <w:t>a</w:t>
      </w:r>
      <w:r>
        <w:rPr>
          <w:spacing w:val="-4"/>
        </w:rPr>
        <w:t> </w:t>
      </w:r>
      <w:r>
        <w:rPr/>
        <w:t>la</w:t>
      </w:r>
      <w:r>
        <w:rPr>
          <w:spacing w:val="-7"/>
        </w:rPr>
        <w:t> </w:t>
      </w:r>
      <w:r>
        <w:rPr/>
        <w:t>probabilidad</w:t>
      </w:r>
      <w:r>
        <w:rPr>
          <w:spacing w:val="-3"/>
        </w:rPr>
        <w:t> </w:t>
      </w:r>
      <w:r>
        <w:rPr/>
        <w:t>de</w:t>
      </w:r>
      <w:r>
        <w:rPr>
          <w:spacing w:val="-4"/>
        </w:rPr>
        <w:t> </w:t>
      </w:r>
      <w:r>
        <w:rPr/>
        <w:t>fracaso</w:t>
      </w:r>
      <w:r>
        <w:rPr>
          <w:spacing w:val="-3"/>
        </w:rPr>
        <w:t> </w:t>
      </w:r>
      <w:r>
        <w:rPr/>
        <w:t>establecida</w:t>
      </w:r>
      <w:r>
        <w:rPr>
          <w:spacing w:val="-4"/>
        </w:rPr>
        <w:t> </w:t>
      </w:r>
      <w:r>
        <w:rPr/>
        <w:t>por</w:t>
      </w:r>
      <w:r>
        <w:rPr>
          <w:spacing w:val="-3"/>
        </w:rPr>
        <w:t> </w:t>
      </w:r>
      <w:r>
        <w:rPr/>
        <w:t>la</w:t>
      </w:r>
      <w:r>
        <w:rPr>
          <w:spacing w:val="-4"/>
        </w:rPr>
        <w:t> </w:t>
      </w:r>
      <w:r>
        <w:rPr/>
        <w:t>Asesoría</w:t>
      </w:r>
      <w:r>
        <w:rPr>
          <w:spacing w:val="-4"/>
        </w:rPr>
        <w:t> </w:t>
      </w:r>
      <w:r>
        <w:rPr/>
        <w:t>Jurídica</w:t>
      </w:r>
      <w:r>
        <w:rPr>
          <w:spacing w:val="-5"/>
        </w:rPr>
        <w:t> </w:t>
      </w:r>
      <w:r>
        <w:rPr/>
        <w:t>se</w:t>
      </w:r>
      <w:r>
        <w:rPr>
          <w:spacing w:val="-4"/>
        </w:rPr>
        <w:t> </w:t>
      </w:r>
      <w:r>
        <w:rPr/>
        <w:t>muestra en la siguiente imagen</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7264">
                <wp:simplePos x="0" y="0"/>
                <wp:positionH relativeFrom="page">
                  <wp:posOffset>9525</wp:posOffset>
                </wp:positionH>
                <wp:positionV relativeFrom="page">
                  <wp:posOffset>297208</wp:posOffset>
                </wp:positionV>
                <wp:extent cx="7762875" cy="974852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7762875" cy="9748520"/>
                          <a:chExt cx="7762875" cy="9748520"/>
                        </a:xfrm>
                      </wpg:grpSpPr>
                      <pic:pic>
                        <pic:nvPicPr>
                          <pic:cNvPr id="108" name="Image 108"/>
                          <pic:cNvPicPr/>
                        </pic:nvPicPr>
                        <pic:blipFill>
                          <a:blip r:embed="rId5" cstate="print"/>
                          <a:stretch>
                            <a:fillRect/>
                          </a:stretch>
                        </pic:blipFill>
                        <pic:spPr>
                          <a:xfrm>
                            <a:off x="0" y="0"/>
                            <a:ext cx="7762874" cy="9748489"/>
                          </a:xfrm>
                          <a:prstGeom prst="rect">
                            <a:avLst/>
                          </a:prstGeom>
                        </pic:spPr>
                      </pic:pic>
                      <wps:wsp>
                        <wps:cNvPr id="109" name="Graphic 109"/>
                        <wps:cNvSpPr/>
                        <wps:spPr>
                          <a:xfrm>
                            <a:off x="1053007" y="990837"/>
                            <a:ext cx="5649595" cy="7871459"/>
                          </a:xfrm>
                          <a:custGeom>
                            <a:avLst/>
                            <a:gdLst/>
                            <a:ahLst/>
                            <a:cxnLst/>
                            <a:rect l="l" t="t" r="r" b="b"/>
                            <a:pathLst>
                              <a:path w="5649595" h="7871459">
                                <a:moveTo>
                                  <a:pt x="5630862" y="132651"/>
                                </a:moveTo>
                                <a:lnTo>
                                  <a:pt x="5624779" y="132651"/>
                                </a:lnTo>
                                <a:lnTo>
                                  <a:pt x="5624779" y="7864792"/>
                                </a:lnTo>
                                <a:lnTo>
                                  <a:pt x="24384" y="7864792"/>
                                </a:lnTo>
                                <a:lnTo>
                                  <a:pt x="24384" y="132651"/>
                                </a:lnTo>
                                <a:lnTo>
                                  <a:pt x="18288" y="132651"/>
                                </a:lnTo>
                                <a:lnTo>
                                  <a:pt x="18288" y="7864792"/>
                                </a:lnTo>
                                <a:lnTo>
                                  <a:pt x="18288" y="7870888"/>
                                </a:lnTo>
                                <a:lnTo>
                                  <a:pt x="24384" y="7870888"/>
                                </a:lnTo>
                                <a:lnTo>
                                  <a:pt x="5624779" y="7870888"/>
                                </a:lnTo>
                                <a:lnTo>
                                  <a:pt x="5630862" y="7870888"/>
                                </a:lnTo>
                                <a:lnTo>
                                  <a:pt x="5630862" y="7864792"/>
                                </a:lnTo>
                                <a:lnTo>
                                  <a:pt x="5630862" y="132651"/>
                                </a:lnTo>
                                <a:close/>
                              </a:path>
                              <a:path w="5649595" h="7871459">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87145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pic:pic>
                        <pic:nvPicPr>
                          <pic:cNvPr id="110" name="Image 110" descr="Tabla  El contenido generado por IA puede ser incorrecto."/>
                          <pic:cNvPicPr/>
                        </pic:nvPicPr>
                        <pic:blipFill>
                          <a:blip r:embed="rId7" cstate="print"/>
                          <a:stretch>
                            <a:fillRect/>
                          </a:stretch>
                        </pic:blipFill>
                        <pic:spPr>
                          <a:xfrm>
                            <a:off x="1142364" y="1123794"/>
                            <a:ext cx="5533898" cy="152654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69216" id="docshapegroup106" coordorigin="15,468" coordsize="12225,15352">
                <v:shape style="position:absolute;left:15;top:468;width:12225;height:15352" type="#_x0000_t75" id="docshape107" stroked="false">
                  <v:imagedata r:id="rId5" o:title=""/>
                </v:shape>
                <v:shape style="position:absolute;left:1673;top:2028;width:8897;height:12396" id="docshape108" coordorigin="1673,2028" coordsize="8897,12396" path="m10541,2237l10531,2237,10531,14414,1712,14414,1712,2237,1702,2237,1702,14414,1702,14424,1712,14424,10531,14424,10531,14424,10541,14424,10541,14414,10541,2237xm10541,2228l10531,2228,10531,2228,1712,2228,1702,2228,1702,2237,1712,2237,10531,2237,10531,2237,10541,2237,10541,2228xm10570,2028l1673,2028,1673,2043,10570,2043,10570,2028xe" filled="true" fillcolor="#000000" stroked="false">
                  <v:path arrowok="t"/>
                  <v:fill type="solid"/>
                </v:shape>
                <v:shape style="position:absolute;left:1814;top:2237;width:8715;height:2404" type="#_x0000_t75" id="docshape109" alt="Tabla  El contenido generado por IA puede ser incorrecto." stroked="false">
                  <v:imagedata r:id="rId7" o:title=""/>
                </v:shape>
                <w10:wrap type="none"/>
              </v:group>
            </w:pict>
          </mc:Fallback>
        </mc:AlternateContent>
      </w:r>
      <w:r>
        <w:rPr>
          <w:color w:val="172951"/>
          <w:sz w:val="20"/>
        </w:rPr>
        <w:t>Pág.</w:t>
      </w:r>
      <w:r>
        <w:rPr>
          <w:color w:val="172951"/>
          <w:spacing w:val="-7"/>
          <w:sz w:val="20"/>
        </w:rPr>
        <w:t> </w:t>
      </w:r>
      <w:r>
        <w:rPr>
          <w:color w:val="172951"/>
          <w:spacing w:val="-5"/>
          <w:sz w:val="20"/>
        </w:rPr>
        <w:t>31</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3"/>
      </w:pPr>
    </w:p>
    <w:p>
      <w:pPr>
        <w:pStyle w:val="BodyText"/>
        <w:spacing w:line="259" w:lineRule="auto"/>
        <w:ind w:left="734" w:right="1091"/>
        <w:jc w:val="both"/>
      </w:pPr>
      <w:r>
        <w:rPr/>
        <w:t>Las provisiones</w:t>
      </w:r>
      <w:r>
        <w:rPr>
          <w:spacing w:val="-2"/>
        </w:rPr>
        <w:t> </w:t>
      </w:r>
      <w:r>
        <w:rPr/>
        <w:t>se</w:t>
      </w:r>
      <w:r>
        <w:rPr>
          <w:spacing w:val="-3"/>
        </w:rPr>
        <w:t> </w:t>
      </w:r>
      <w:r>
        <w:rPr/>
        <w:t>miden</w:t>
      </w:r>
      <w:r>
        <w:rPr>
          <w:spacing w:val="-1"/>
        </w:rPr>
        <w:t> </w:t>
      </w:r>
      <w:r>
        <w:rPr/>
        <w:t>inicialmente</w:t>
      </w:r>
      <w:r>
        <w:rPr>
          <w:spacing w:val="-2"/>
        </w:rPr>
        <w:t> </w:t>
      </w:r>
      <w:r>
        <w:rPr/>
        <w:t>por</w:t>
      </w:r>
      <w:r>
        <w:rPr>
          <w:spacing w:val="-1"/>
        </w:rPr>
        <w:t> </w:t>
      </w:r>
      <w:r>
        <w:rPr/>
        <w:t>el</w:t>
      </w:r>
      <w:r>
        <w:rPr>
          <w:spacing w:val="-2"/>
        </w:rPr>
        <w:t> </w:t>
      </w:r>
      <w:r>
        <w:rPr/>
        <w:t>valor</w:t>
      </w:r>
      <w:r>
        <w:rPr>
          <w:spacing w:val="-1"/>
        </w:rPr>
        <w:t> </w:t>
      </w:r>
      <w:r>
        <w:rPr/>
        <w:t>presente</w:t>
      </w:r>
      <w:r>
        <w:rPr>
          <w:spacing w:val="-2"/>
        </w:rPr>
        <w:t> </w:t>
      </w:r>
      <w:r>
        <w:rPr/>
        <w:t>de</w:t>
      </w:r>
      <w:r>
        <w:rPr>
          <w:spacing w:val="-3"/>
        </w:rPr>
        <w:t> </w:t>
      </w:r>
      <w:r>
        <w:rPr/>
        <w:t>la</w:t>
      </w:r>
      <w:r>
        <w:rPr>
          <w:spacing w:val="-2"/>
        </w:rPr>
        <w:t> </w:t>
      </w:r>
      <w:r>
        <w:rPr/>
        <w:t>mejor</w:t>
      </w:r>
      <w:r>
        <w:rPr>
          <w:spacing w:val="-3"/>
        </w:rPr>
        <w:t> </w:t>
      </w:r>
      <w:r>
        <w:rPr/>
        <w:t>estimación</w:t>
      </w:r>
      <w:r>
        <w:rPr>
          <w:spacing w:val="-4"/>
        </w:rPr>
        <w:t> </w:t>
      </w:r>
      <w:r>
        <w:rPr/>
        <w:t>del</w:t>
      </w:r>
      <w:r>
        <w:rPr>
          <w:spacing w:val="-2"/>
        </w:rPr>
        <w:t> </w:t>
      </w:r>
      <w:r>
        <w:rPr/>
        <w:t>desembolso necesario</w:t>
      </w:r>
      <w:r>
        <w:rPr>
          <w:spacing w:val="-3"/>
        </w:rPr>
        <w:t> </w:t>
      </w:r>
      <w:r>
        <w:rPr/>
        <w:t>para</w:t>
      </w:r>
      <w:r>
        <w:rPr>
          <w:spacing w:val="-4"/>
        </w:rPr>
        <w:t> </w:t>
      </w:r>
      <w:r>
        <w:rPr/>
        <w:t>cancelar</w:t>
      </w:r>
      <w:r>
        <w:rPr>
          <w:spacing w:val="-4"/>
        </w:rPr>
        <w:t> </w:t>
      </w:r>
      <w:r>
        <w:rPr/>
        <w:t>la</w:t>
      </w:r>
      <w:r>
        <w:rPr>
          <w:spacing w:val="-4"/>
        </w:rPr>
        <w:t> </w:t>
      </w:r>
      <w:r>
        <w:rPr/>
        <w:t>obligación</w:t>
      </w:r>
      <w:r>
        <w:rPr>
          <w:spacing w:val="-3"/>
        </w:rPr>
        <w:t> </w:t>
      </w:r>
      <w:r>
        <w:rPr/>
        <w:t>existente</w:t>
      </w:r>
      <w:r>
        <w:rPr>
          <w:spacing w:val="-4"/>
        </w:rPr>
        <w:t> </w:t>
      </w:r>
      <w:r>
        <w:rPr/>
        <w:t>a</w:t>
      </w:r>
      <w:r>
        <w:rPr>
          <w:spacing w:val="-4"/>
        </w:rPr>
        <w:t> </w:t>
      </w:r>
      <w:r>
        <w:rPr/>
        <w:t>la</w:t>
      </w:r>
      <w:r>
        <w:rPr>
          <w:spacing w:val="-5"/>
        </w:rPr>
        <w:t> </w:t>
      </w:r>
      <w:r>
        <w:rPr/>
        <w:t>fecha</w:t>
      </w:r>
      <w:r>
        <w:rPr>
          <w:spacing w:val="-3"/>
        </w:rPr>
        <w:t> </w:t>
      </w:r>
      <w:r>
        <w:rPr/>
        <w:t>de</w:t>
      </w:r>
      <w:r>
        <w:rPr>
          <w:spacing w:val="-5"/>
        </w:rPr>
        <w:t> </w:t>
      </w:r>
      <w:r>
        <w:rPr/>
        <w:t>los</w:t>
      </w:r>
      <w:r>
        <w:rPr>
          <w:spacing w:val="-3"/>
        </w:rPr>
        <w:t> </w:t>
      </w:r>
      <w:r>
        <w:rPr/>
        <w:t>Estados</w:t>
      </w:r>
      <w:r>
        <w:rPr>
          <w:spacing w:val="-3"/>
        </w:rPr>
        <w:t> </w:t>
      </w:r>
      <w:r>
        <w:rPr/>
        <w:t>Financieros.</w:t>
      </w:r>
      <w:r>
        <w:rPr>
          <w:spacing w:val="-7"/>
        </w:rPr>
        <w:t> </w:t>
      </w:r>
      <w:r>
        <w:rPr/>
        <w:t>Para</w:t>
      </w:r>
      <w:r>
        <w:rPr>
          <w:spacing w:val="-4"/>
        </w:rPr>
        <w:t> </w:t>
      </w:r>
      <w:r>
        <w:rPr/>
        <w:t>efectos</w:t>
      </w:r>
      <w:r>
        <w:rPr>
          <w:spacing w:val="-3"/>
        </w:rPr>
        <w:t> </w:t>
      </w:r>
      <w:r>
        <w:rPr/>
        <w:t>de esta estimación, la entidad considera la experiencia histórica, informes técnicos, criterios legales y otros</w:t>
      </w:r>
      <w:r>
        <w:rPr>
          <w:spacing w:val="-14"/>
        </w:rPr>
        <w:t> </w:t>
      </w:r>
      <w:r>
        <w:rPr/>
        <w:t>antecedentes</w:t>
      </w:r>
      <w:r>
        <w:rPr>
          <w:spacing w:val="-14"/>
        </w:rPr>
        <w:t> </w:t>
      </w:r>
      <w:r>
        <w:rPr/>
        <w:t>relevantes,</w:t>
      </w:r>
      <w:r>
        <w:rPr>
          <w:spacing w:val="-14"/>
        </w:rPr>
        <w:t> </w:t>
      </w:r>
      <w:r>
        <w:rPr/>
        <w:t>incorporando,</w:t>
      </w:r>
      <w:r>
        <w:rPr>
          <w:spacing w:val="-13"/>
        </w:rPr>
        <w:t> </w:t>
      </w:r>
      <w:r>
        <w:rPr/>
        <w:t>cuando</w:t>
      </w:r>
      <w:r>
        <w:rPr>
          <w:spacing w:val="-14"/>
        </w:rPr>
        <w:t> </w:t>
      </w:r>
      <w:r>
        <w:rPr/>
        <w:t>resulta</w:t>
      </w:r>
      <w:r>
        <w:rPr>
          <w:spacing w:val="-14"/>
        </w:rPr>
        <w:t> </w:t>
      </w:r>
      <w:r>
        <w:rPr/>
        <w:t>pertinente,</w:t>
      </w:r>
      <w:r>
        <w:rPr>
          <w:spacing w:val="-13"/>
        </w:rPr>
        <w:t> </w:t>
      </w:r>
      <w:r>
        <w:rPr/>
        <w:t>el</w:t>
      </w:r>
      <w:r>
        <w:rPr>
          <w:spacing w:val="-14"/>
        </w:rPr>
        <w:t> </w:t>
      </w:r>
      <w:r>
        <w:rPr/>
        <w:t>efecto</w:t>
      </w:r>
      <w:r>
        <w:rPr>
          <w:spacing w:val="-13"/>
        </w:rPr>
        <w:t> </w:t>
      </w:r>
      <w:r>
        <w:rPr/>
        <w:t>del</w:t>
      </w:r>
      <w:r>
        <w:rPr>
          <w:spacing w:val="-14"/>
        </w:rPr>
        <w:t> </w:t>
      </w:r>
      <w:r>
        <w:rPr/>
        <w:t>valor</w:t>
      </w:r>
      <w:r>
        <w:rPr>
          <w:spacing w:val="-13"/>
        </w:rPr>
        <w:t> </w:t>
      </w:r>
      <w:r>
        <w:rPr/>
        <w:t>del</w:t>
      </w:r>
      <w:r>
        <w:rPr>
          <w:spacing w:val="-14"/>
        </w:rPr>
        <w:t> </w:t>
      </w:r>
      <w:r>
        <w:rPr/>
        <w:t>dinero en el tiempo.</w:t>
      </w:r>
    </w:p>
    <w:p>
      <w:pPr>
        <w:pStyle w:val="BodyText"/>
        <w:spacing w:before="19"/>
      </w:pPr>
    </w:p>
    <w:p>
      <w:pPr>
        <w:pStyle w:val="BodyText"/>
        <w:spacing w:line="259" w:lineRule="auto"/>
        <w:ind w:left="734" w:right="1090"/>
        <w:jc w:val="both"/>
      </w:pPr>
      <w:r>
        <w:rPr/>
        <w:t>Las provisiones se revisan periódicamente y se ajustan para reflejar la mejor estimación disponible al cierre de cada periodo contable. En caso de que deje de ser probable la salida de recursos, la provisión se reversa contra resultados del periodo, reconociendo un gasto o ingreso, según </w:t>
      </w:r>
      <w:r>
        <w:rPr>
          <w:spacing w:val="-2"/>
        </w:rPr>
        <w:t>corresponda.</w:t>
      </w:r>
    </w:p>
    <w:p>
      <w:pPr>
        <w:pStyle w:val="BodyText"/>
        <w:spacing w:before="19"/>
      </w:pPr>
    </w:p>
    <w:p>
      <w:pPr>
        <w:pStyle w:val="BodyText"/>
        <w:spacing w:line="259" w:lineRule="auto"/>
        <w:ind w:left="734" w:right="1090"/>
        <w:jc w:val="both"/>
      </w:pPr>
      <w:r>
        <w:rPr/>
        <w:t>Los</w:t>
      </w:r>
      <w:r>
        <w:rPr>
          <w:spacing w:val="-3"/>
        </w:rPr>
        <w:t> </w:t>
      </w:r>
      <w:r>
        <w:rPr/>
        <w:t>activos</w:t>
      </w:r>
      <w:r>
        <w:rPr>
          <w:spacing w:val="-4"/>
        </w:rPr>
        <w:t> </w:t>
      </w:r>
      <w:r>
        <w:rPr/>
        <w:t>contingentes</w:t>
      </w:r>
      <w:r>
        <w:rPr>
          <w:spacing w:val="-4"/>
        </w:rPr>
        <w:t> </w:t>
      </w:r>
      <w:r>
        <w:rPr/>
        <w:t>no</w:t>
      </w:r>
      <w:r>
        <w:rPr>
          <w:spacing w:val="-4"/>
        </w:rPr>
        <w:t> </w:t>
      </w:r>
      <w:r>
        <w:rPr/>
        <w:t>se</w:t>
      </w:r>
      <w:r>
        <w:rPr>
          <w:spacing w:val="-6"/>
        </w:rPr>
        <w:t> </w:t>
      </w:r>
      <w:r>
        <w:rPr/>
        <w:t>miden</w:t>
      </w:r>
      <w:r>
        <w:rPr>
          <w:spacing w:val="-4"/>
        </w:rPr>
        <w:t> </w:t>
      </w:r>
      <w:r>
        <w:rPr/>
        <w:t>ni</w:t>
      </w:r>
      <w:r>
        <w:rPr>
          <w:spacing w:val="-5"/>
        </w:rPr>
        <w:t> </w:t>
      </w:r>
      <w:r>
        <w:rPr/>
        <w:t>se</w:t>
      </w:r>
      <w:r>
        <w:rPr>
          <w:spacing w:val="-6"/>
        </w:rPr>
        <w:t> </w:t>
      </w:r>
      <w:r>
        <w:rPr/>
        <w:t>reconocen</w:t>
      </w:r>
      <w:r>
        <w:rPr>
          <w:spacing w:val="-4"/>
        </w:rPr>
        <w:t> </w:t>
      </w:r>
      <w:r>
        <w:rPr/>
        <w:t>contablemente</w:t>
      </w:r>
      <w:r>
        <w:rPr>
          <w:spacing w:val="-5"/>
        </w:rPr>
        <w:t> </w:t>
      </w:r>
      <w:r>
        <w:rPr/>
        <w:t>mientras</w:t>
      </w:r>
      <w:r>
        <w:rPr>
          <w:spacing w:val="-4"/>
        </w:rPr>
        <w:t> </w:t>
      </w:r>
      <w:r>
        <w:rPr/>
        <w:t>su</w:t>
      </w:r>
      <w:r>
        <w:rPr>
          <w:spacing w:val="-5"/>
        </w:rPr>
        <w:t> </w:t>
      </w:r>
      <w:r>
        <w:rPr/>
        <w:t>realización</w:t>
      </w:r>
      <w:r>
        <w:rPr>
          <w:spacing w:val="-4"/>
        </w:rPr>
        <w:t> </w:t>
      </w:r>
      <w:r>
        <w:rPr/>
        <w:t>no</w:t>
      </w:r>
      <w:r>
        <w:rPr>
          <w:spacing w:val="-4"/>
        </w:rPr>
        <w:t> </w:t>
      </w:r>
      <w:r>
        <w:rPr/>
        <w:t>sea prácticamente segura. Únicamente cuando se alcanza un grado de certeza prácticamente probable sobre la obtención de los beneficios económicos o del potencial de servicio, el activo deja de ser contingente y se reconoce conforme a la normativa aplicable, utilizando criterios de medición consistentes con su naturaleza.</w:t>
      </w:r>
    </w:p>
    <w:p>
      <w:pPr>
        <w:pStyle w:val="BodyText"/>
        <w:spacing w:before="18"/>
      </w:pPr>
    </w:p>
    <w:p>
      <w:pPr>
        <w:pStyle w:val="BodyText"/>
        <w:spacing w:line="259" w:lineRule="auto" w:before="1"/>
        <w:ind w:left="734" w:right="1089"/>
        <w:jc w:val="both"/>
      </w:pPr>
      <w:r>
        <w:rPr/>
        <w:t>Las</w:t>
      </w:r>
      <w:r>
        <w:rPr>
          <w:spacing w:val="-16"/>
        </w:rPr>
        <w:t> </w:t>
      </w:r>
      <w:r>
        <w:rPr/>
        <w:t>obligaciones</w:t>
      </w:r>
      <w:r>
        <w:rPr>
          <w:spacing w:val="-14"/>
        </w:rPr>
        <w:t> </w:t>
      </w:r>
      <w:r>
        <w:rPr/>
        <w:t>derivadas</w:t>
      </w:r>
      <w:r>
        <w:rPr>
          <w:spacing w:val="-14"/>
        </w:rPr>
        <w:t> </w:t>
      </w:r>
      <w:r>
        <w:rPr/>
        <w:t>de</w:t>
      </w:r>
      <w:r>
        <w:rPr>
          <w:spacing w:val="-13"/>
        </w:rPr>
        <w:t> </w:t>
      </w:r>
      <w:r>
        <w:rPr/>
        <w:t>procesos</w:t>
      </w:r>
      <w:r>
        <w:rPr>
          <w:spacing w:val="-14"/>
        </w:rPr>
        <w:t> </w:t>
      </w:r>
      <w:r>
        <w:rPr/>
        <w:t>de</w:t>
      </w:r>
      <w:r>
        <w:rPr>
          <w:spacing w:val="-14"/>
        </w:rPr>
        <w:t> </w:t>
      </w:r>
      <w:r>
        <w:rPr/>
        <w:t>contratación</w:t>
      </w:r>
      <w:r>
        <w:rPr>
          <w:spacing w:val="-14"/>
        </w:rPr>
        <w:t> </w:t>
      </w:r>
      <w:r>
        <w:rPr/>
        <w:t>administrativa</w:t>
      </w:r>
      <w:r>
        <w:rPr>
          <w:spacing w:val="-13"/>
        </w:rPr>
        <w:t> </w:t>
      </w:r>
      <w:r>
        <w:rPr/>
        <w:t>no</w:t>
      </w:r>
      <w:r>
        <w:rPr>
          <w:spacing w:val="-14"/>
        </w:rPr>
        <w:t> </w:t>
      </w:r>
      <w:r>
        <w:rPr/>
        <w:t>se</w:t>
      </w:r>
      <w:r>
        <w:rPr>
          <w:spacing w:val="-14"/>
        </w:rPr>
        <w:t> </w:t>
      </w:r>
      <w:r>
        <w:rPr/>
        <w:t>reconocen</w:t>
      </w:r>
      <w:r>
        <w:rPr>
          <w:spacing w:val="-14"/>
        </w:rPr>
        <w:t> </w:t>
      </w:r>
      <w:r>
        <w:rPr/>
        <w:t>como</w:t>
      </w:r>
      <w:r>
        <w:rPr>
          <w:spacing w:val="-13"/>
        </w:rPr>
        <w:t> </w:t>
      </w:r>
      <w:r>
        <w:rPr/>
        <w:t>pasivos ni generan provisiones mientras no se hayan cumplido todas las condiciones contractuales que den origen a una obligación presente exigible. Dichas condiciones incluyen, entre otros aspectos, la recepción</w:t>
      </w:r>
      <w:r>
        <w:rPr>
          <w:spacing w:val="-9"/>
        </w:rPr>
        <w:t> </w:t>
      </w:r>
      <w:r>
        <w:rPr/>
        <w:t>conforme</w:t>
      </w:r>
      <w:r>
        <w:rPr>
          <w:spacing w:val="-11"/>
        </w:rPr>
        <w:t> </w:t>
      </w:r>
      <w:r>
        <w:rPr/>
        <w:t>de</w:t>
      </w:r>
      <w:r>
        <w:rPr>
          <w:spacing w:val="-11"/>
        </w:rPr>
        <w:t> </w:t>
      </w:r>
      <w:r>
        <w:rPr/>
        <w:t>los</w:t>
      </w:r>
      <w:r>
        <w:rPr>
          <w:spacing w:val="-11"/>
        </w:rPr>
        <w:t> </w:t>
      </w:r>
      <w:r>
        <w:rPr/>
        <w:t>bienes</w:t>
      </w:r>
      <w:r>
        <w:rPr>
          <w:spacing w:val="-9"/>
        </w:rPr>
        <w:t> </w:t>
      </w:r>
      <w:r>
        <w:rPr/>
        <w:t>o</w:t>
      </w:r>
      <w:r>
        <w:rPr>
          <w:spacing w:val="-11"/>
        </w:rPr>
        <w:t> </w:t>
      </w:r>
      <w:r>
        <w:rPr/>
        <w:t>servicios</w:t>
      </w:r>
      <w:r>
        <w:rPr>
          <w:spacing w:val="-9"/>
        </w:rPr>
        <w:t> </w:t>
      </w:r>
      <w:r>
        <w:rPr/>
        <w:t>y</w:t>
      </w:r>
      <w:r>
        <w:rPr>
          <w:spacing w:val="-11"/>
        </w:rPr>
        <w:t> </w:t>
      </w:r>
      <w:r>
        <w:rPr/>
        <w:t>la</w:t>
      </w:r>
      <w:r>
        <w:rPr>
          <w:spacing w:val="-11"/>
        </w:rPr>
        <w:t> </w:t>
      </w:r>
      <w:r>
        <w:rPr/>
        <w:t>presentación</w:t>
      </w:r>
      <w:r>
        <w:rPr>
          <w:spacing w:val="-9"/>
        </w:rPr>
        <w:t> </w:t>
      </w:r>
      <w:r>
        <w:rPr/>
        <w:t>de</w:t>
      </w:r>
      <w:r>
        <w:rPr>
          <w:spacing w:val="-11"/>
        </w:rPr>
        <w:t> </w:t>
      </w:r>
      <w:r>
        <w:rPr/>
        <w:t>la</w:t>
      </w:r>
      <w:r>
        <w:rPr>
          <w:spacing w:val="-11"/>
        </w:rPr>
        <w:t> </w:t>
      </w:r>
      <w:r>
        <w:rPr/>
        <w:t>documentación</w:t>
      </w:r>
      <w:r>
        <w:rPr>
          <w:spacing w:val="-9"/>
        </w:rPr>
        <w:t> </w:t>
      </w:r>
      <w:r>
        <w:rPr/>
        <w:t>de</w:t>
      </w:r>
      <w:r>
        <w:rPr>
          <w:spacing w:val="-11"/>
        </w:rPr>
        <w:t> </w:t>
      </w:r>
      <w:r>
        <w:rPr/>
        <w:t>cobro</w:t>
      </w:r>
      <w:r>
        <w:rPr>
          <w:spacing w:val="-11"/>
        </w:rPr>
        <w:t> </w:t>
      </w:r>
      <w:r>
        <w:rPr/>
        <w:t>válida. Hasta ese momento, estos compromisos no se consideran pasivos reales ni contingentes desde el punto de vista contable.</w:t>
      </w:r>
    </w:p>
    <w:p>
      <w:pPr>
        <w:pStyle w:val="BodyText"/>
        <w:spacing w:before="19"/>
      </w:pPr>
    </w:p>
    <w:p>
      <w:pPr>
        <w:pStyle w:val="BodyText"/>
        <w:spacing w:line="259" w:lineRule="auto"/>
        <w:ind w:left="734" w:right="1091"/>
        <w:jc w:val="both"/>
      </w:pPr>
      <w:r>
        <w:rPr/>
        <w:t>La entidad reconoce provisiones por beneficios al personal cuando corresponde, de conformidad con</w:t>
      </w:r>
      <w:r>
        <w:rPr>
          <w:spacing w:val="-7"/>
        </w:rPr>
        <w:t> </w:t>
      </w:r>
      <w:r>
        <w:rPr/>
        <w:t>la</w:t>
      </w:r>
      <w:r>
        <w:rPr>
          <w:spacing w:val="-8"/>
        </w:rPr>
        <w:t> </w:t>
      </w:r>
      <w:r>
        <w:rPr/>
        <w:t>normativa</w:t>
      </w:r>
      <w:r>
        <w:rPr>
          <w:spacing w:val="-8"/>
        </w:rPr>
        <w:t> </w:t>
      </w:r>
      <w:r>
        <w:rPr/>
        <w:t>específica</w:t>
      </w:r>
      <w:r>
        <w:rPr>
          <w:spacing w:val="-8"/>
        </w:rPr>
        <w:t> </w:t>
      </w:r>
      <w:r>
        <w:rPr/>
        <w:t>aplicable.</w:t>
      </w:r>
      <w:r>
        <w:rPr>
          <w:spacing w:val="-8"/>
        </w:rPr>
        <w:t> </w:t>
      </w:r>
      <w:r>
        <w:rPr/>
        <w:t>En</w:t>
      </w:r>
      <w:r>
        <w:rPr>
          <w:spacing w:val="-7"/>
        </w:rPr>
        <w:t> </w:t>
      </w:r>
      <w:r>
        <w:rPr/>
        <w:t>particular,</w:t>
      </w:r>
      <w:r>
        <w:rPr>
          <w:spacing w:val="-7"/>
        </w:rPr>
        <w:t> </w:t>
      </w:r>
      <w:r>
        <w:rPr/>
        <w:t>se</w:t>
      </w:r>
      <w:r>
        <w:rPr>
          <w:spacing w:val="-6"/>
        </w:rPr>
        <w:t> </w:t>
      </w:r>
      <w:r>
        <w:rPr/>
        <w:t>mantiene</w:t>
      </w:r>
      <w:r>
        <w:rPr>
          <w:spacing w:val="-8"/>
        </w:rPr>
        <w:t> </w:t>
      </w:r>
      <w:r>
        <w:rPr/>
        <w:t>una</w:t>
      </w:r>
      <w:r>
        <w:rPr>
          <w:spacing w:val="-8"/>
        </w:rPr>
        <w:t> </w:t>
      </w:r>
      <w:r>
        <w:rPr/>
        <w:t>provisión</w:t>
      </w:r>
      <w:r>
        <w:rPr>
          <w:spacing w:val="-7"/>
        </w:rPr>
        <w:t> </w:t>
      </w:r>
      <w:r>
        <w:rPr/>
        <w:t>por</w:t>
      </w:r>
      <w:r>
        <w:rPr>
          <w:spacing w:val="-10"/>
        </w:rPr>
        <w:t> </w:t>
      </w:r>
      <w:r>
        <w:rPr/>
        <w:t>vacaciones,</w:t>
      </w:r>
      <w:r>
        <w:rPr>
          <w:spacing w:val="-7"/>
        </w:rPr>
        <w:t> </w:t>
      </w:r>
      <w:r>
        <w:rPr/>
        <w:t>dado que constituye una obligación presente derivada de servicios ya prestados por los funcionarios.</w:t>
      </w:r>
    </w:p>
    <w:p>
      <w:pPr>
        <w:pStyle w:val="BodyText"/>
        <w:spacing w:before="18"/>
      </w:pPr>
    </w:p>
    <w:p>
      <w:pPr>
        <w:pStyle w:val="BodyText"/>
        <w:spacing w:line="259" w:lineRule="auto" w:before="1"/>
        <w:ind w:left="734" w:right="1089"/>
        <w:jc w:val="both"/>
      </w:pPr>
      <w:r>
        <w:rPr/>
        <w:t>En</w:t>
      </w:r>
      <w:r>
        <w:rPr>
          <w:spacing w:val="-4"/>
        </w:rPr>
        <w:t> </w:t>
      </w:r>
      <w:r>
        <w:rPr/>
        <w:t>cuanto</w:t>
      </w:r>
      <w:r>
        <w:rPr>
          <w:spacing w:val="-6"/>
        </w:rPr>
        <w:t> </w:t>
      </w:r>
      <w:r>
        <w:rPr/>
        <w:t>a</w:t>
      </w:r>
      <w:r>
        <w:rPr>
          <w:spacing w:val="-5"/>
        </w:rPr>
        <w:t> </w:t>
      </w:r>
      <w:r>
        <w:rPr/>
        <w:t>la</w:t>
      </w:r>
      <w:r>
        <w:rPr>
          <w:spacing w:val="-6"/>
        </w:rPr>
        <w:t> </w:t>
      </w:r>
      <w:r>
        <w:rPr/>
        <w:t>cesantía,</w:t>
      </w:r>
      <w:r>
        <w:rPr>
          <w:spacing w:val="-5"/>
        </w:rPr>
        <w:t> </w:t>
      </w:r>
      <w:r>
        <w:rPr/>
        <w:t>se</w:t>
      </w:r>
      <w:r>
        <w:rPr>
          <w:spacing w:val="-8"/>
        </w:rPr>
        <w:t> </w:t>
      </w:r>
      <w:r>
        <w:rPr/>
        <w:t>reconocen</w:t>
      </w:r>
      <w:r>
        <w:rPr>
          <w:spacing w:val="-4"/>
        </w:rPr>
        <w:t> </w:t>
      </w:r>
      <w:r>
        <w:rPr/>
        <w:t>provisiones</w:t>
      </w:r>
      <w:r>
        <w:rPr>
          <w:spacing w:val="-6"/>
        </w:rPr>
        <w:t> </w:t>
      </w:r>
      <w:r>
        <w:rPr/>
        <w:t>por</w:t>
      </w:r>
      <w:r>
        <w:rPr>
          <w:spacing w:val="-7"/>
        </w:rPr>
        <w:t> </w:t>
      </w:r>
      <w:r>
        <w:rPr/>
        <w:t>el</w:t>
      </w:r>
      <w:r>
        <w:rPr>
          <w:spacing w:val="-5"/>
        </w:rPr>
        <w:t> </w:t>
      </w:r>
      <w:r>
        <w:rPr/>
        <w:t>personal</w:t>
      </w:r>
      <w:r>
        <w:rPr>
          <w:spacing w:val="-6"/>
        </w:rPr>
        <w:t> </w:t>
      </w:r>
      <w:r>
        <w:rPr/>
        <w:t>que</w:t>
      </w:r>
      <w:r>
        <w:rPr>
          <w:spacing w:val="-8"/>
        </w:rPr>
        <w:t> </w:t>
      </w:r>
      <w:r>
        <w:rPr/>
        <w:t>no</w:t>
      </w:r>
      <w:r>
        <w:rPr>
          <w:spacing w:val="-6"/>
        </w:rPr>
        <w:t> </w:t>
      </w:r>
      <w:r>
        <w:rPr/>
        <w:t>se</w:t>
      </w:r>
      <w:r>
        <w:rPr>
          <w:spacing w:val="-6"/>
        </w:rPr>
        <w:t> </w:t>
      </w:r>
      <w:r>
        <w:rPr/>
        <w:t>encuentra</w:t>
      </w:r>
      <w:r>
        <w:rPr>
          <w:spacing w:val="-5"/>
        </w:rPr>
        <w:t> </w:t>
      </w:r>
      <w:r>
        <w:rPr/>
        <w:t>afiliado</w:t>
      </w:r>
      <w:r>
        <w:rPr>
          <w:spacing w:val="-4"/>
        </w:rPr>
        <w:t> </w:t>
      </w:r>
      <w:r>
        <w:rPr/>
        <w:t>a</w:t>
      </w:r>
      <w:r>
        <w:rPr>
          <w:spacing w:val="-5"/>
        </w:rPr>
        <w:t> </w:t>
      </w:r>
      <w:r>
        <w:rPr/>
        <w:t>una asociación solidarista, ya que no se traslada el riesgo y la obligación principal del ámbito directo es de la entidad.</w:t>
      </w:r>
    </w:p>
    <w:p>
      <w:pPr>
        <w:pStyle w:val="BodyText"/>
        <w:spacing w:before="20"/>
      </w:pPr>
    </w:p>
    <w:p>
      <w:pPr>
        <w:pStyle w:val="BodyText"/>
        <w:spacing w:line="259" w:lineRule="auto"/>
        <w:ind w:left="734" w:right="1089"/>
        <w:jc w:val="both"/>
      </w:pPr>
      <w:r>
        <w:rPr/>
        <w:t>Los</w:t>
      </w:r>
      <w:r>
        <w:rPr>
          <w:spacing w:val="-14"/>
        </w:rPr>
        <w:t> </w:t>
      </w:r>
      <w:r>
        <w:rPr/>
        <w:t>beneficios</w:t>
      </w:r>
      <w:r>
        <w:rPr>
          <w:spacing w:val="-14"/>
        </w:rPr>
        <w:t> </w:t>
      </w:r>
      <w:r>
        <w:rPr/>
        <w:t>al</w:t>
      </w:r>
      <w:r>
        <w:rPr>
          <w:spacing w:val="-13"/>
        </w:rPr>
        <w:t> </w:t>
      </w:r>
      <w:r>
        <w:rPr/>
        <w:t>personal</w:t>
      </w:r>
      <w:r>
        <w:rPr>
          <w:spacing w:val="-13"/>
        </w:rPr>
        <w:t> </w:t>
      </w:r>
      <w:r>
        <w:rPr/>
        <w:t>que</w:t>
      </w:r>
      <w:r>
        <w:rPr>
          <w:spacing w:val="-13"/>
        </w:rPr>
        <w:t> </w:t>
      </w:r>
      <w:r>
        <w:rPr/>
        <w:t>no</w:t>
      </w:r>
      <w:r>
        <w:rPr>
          <w:spacing w:val="-13"/>
        </w:rPr>
        <w:t> </w:t>
      </w:r>
      <w:r>
        <w:rPr/>
        <w:t>califican</w:t>
      </w:r>
      <w:r>
        <w:rPr>
          <w:spacing w:val="-12"/>
        </w:rPr>
        <w:t> </w:t>
      </w:r>
      <w:r>
        <w:rPr/>
        <w:t>como</w:t>
      </w:r>
      <w:r>
        <w:rPr>
          <w:spacing w:val="-13"/>
        </w:rPr>
        <w:t> </w:t>
      </w:r>
      <w:r>
        <w:rPr/>
        <w:t>contingentes</w:t>
      </w:r>
      <w:r>
        <w:rPr>
          <w:spacing w:val="-14"/>
        </w:rPr>
        <w:t> </w:t>
      </w:r>
      <w:r>
        <w:rPr/>
        <w:t>se</w:t>
      </w:r>
      <w:r>
        <w:rPr>
          <w:spacing w:val="-13"/>
        </w:rPr>
        <w:t> </w:t>
      </w:r>
      <w:r>
        <w:rPr/>
        <w:t>rigen</w:t>
      </w:r>
      <w:r>
        <w:rPr>
          <w:spacing w:val="-14"/>
        </w:rPr>
        <w:t> </w:t>
      </w:r>
      <w:r>
        <w:rPr/>
        <w:t>por</w:t>
      </w:r>
      <w:r>
        <w:rPr>
          <w:spacing w:val="-14"/>
        </w:rPr>
        <w:t> </w:t>
      </w:r>
      <w:r>
        <w:rPr/>
        <w:t>la</w:t>
      </w:r>
      <w:r>
        <w:rPr>
          <w:spacing w:val="-12"/>
        </w:rPr>
        <w:t> </w:t>
      </w:r>
      <w:r>
        <w:rPr/>
        <w:t>NICSP</w:t>
      </w:r>
      <w:r>
        <w:rPr>
          <w:spacing w:val="-14"/>
        </w:rPr>
        <w:t> </w:t>
      </w:r>
      <w:r>
        <w:rPr/>
        <w:t>39,</w:t>
      </w:r>
      <w:r>
        <w:rPr>
          <w:spacing w:val="-12"/>
        </w:rPr>
        <w:t> </w:t>
      </w:r>
      <w:r>
        <w:rPr/>
        <w:t>sin</w:t>
      </w:r>
      <w:r>
        <w:rPr>
          <w:spacing w:val="-14"/>
        </w:rPr>
        <w:t> </w:t>
      </w:r>
      <w:r>
        <w:rPr/>
        <w:t>perjuicio de su adecuada clasificación contable.</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7776">
                <wp:simplePos x="0" y="0"/>
                <wp:positionH relativeFrom="page">
                  <wp:posOffset>9525</wp:posOffset>
                </wp:positionH>
                <wp:positionV relativeFrom="page">
                  <wp:posOffset>297208</wp:posOffset>
                </wp:positionV>
                <wp:extent cx="7762875" cy="974852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7762875" cy="9748520"/>
                          <a:chExt cx="7762875" cy="9748520"/>
                        </a:xfrm>
                      </wpg:grpSpPr>
                      <pic:pic>
                        <pic:nvPicPr>
                          <pic:cNvPr id="112" name="Image 112"/>
                          <pic:cNvPicPr/>
                        </pic:nvPicPr>
                        <pic:blipFill>
                          <a:blip r:embed="rId5" cstate="print"/>
                          <a:stretch>
                            <a:fillRect/>
                          </a:stretch>
                        </pic:blipFill>
                        <pic:spPr>
                          <a:xfrm>
                            <a:off x="0" y="0"/>
                            <a:ext cx="7762874" cy="9748489"/>
                          </a:xfrm>
                          <a:prstGeom prst="rect">
                            <a:avLst/>
                          </a:prstGeom>
                        </pic:spPr>
                      </pic:pic>
                      <wps:wsp>
                        <wps:cNvPr id="113" name="Graphic 113"/>
                        <wps:cNvSpPr/>
                        <wps:spPr>
                          <a:xfrm>
                            <a:off x="1053007" y="990837"/>
                            <a:ext cx="5649595" cy="7662545"/>
                          </a:xfrm>
                          <a:custGeom>
                            <a:avLst/>
                            <a:gdLst/>
                            <a:ahLst/>
                            <a:cxnLst/>
                            <a:rect l="l" t="t" r="r" b="b"/>
                            <a:pathLst>
                              <a:path w="5649595" h="7662545">
                                <a:moveTo>
                                  <a:pt x="5630862" y="646239"/>
                                </a:moveTo>
                                <a:lnTo>
                                  <a:pt x="5624779" y="646239"/>
                                </a:lnTo>
                                <a:lnTo>
                                  <a:pt x="5624779" y="7656004"/>
                                </a:lnTo>
                                <a:lnTo>
                                  <a:pt x="24384" y="7656004"/>
                                </a:lnTo>
                                <a:lnTo>
                                  <a:pt x="24384" y="646239"/>
                                </a:lnTo>
                                <a:lnTo>
                                  <a:pt x="18288" y="646239"/>
                                </a:lnTo>
                                <a:lnTo>
                                  <a:pt x="18288" y="7656004"/>
                                </a:lnTo>
                                <a:lnTo>
                                  <a:pt x="18288" y="7662100"/>
                                </a:lnTo>
                                <a:lnTo>
                                  <a:pt x="24384" y="7662100"/>
                                </a:lnTo>
                                <a:lnTo>
                                  <a:pt x="5624779" y="7662100"/>
                                </a:lnTo>
                                <a:lnTo>
                                  <a:pt x="5630862" y="7662100"/>
                                </a:lnTo>
                                <a:lnTo>
                                  <a:pt x="5630862" y="7656004"/>
                                </a:lnTo>
                                <a:lnTo>
                                  <a:pt x="5630862" y="646239"/>
                                </a:lnTo>
                                <a:close/>
                              </a:path>
                              <a:path w="5649595" h="7662545">
                                <a:moveTo>
                                  <a:pt x="5630862" y="640067"/>
                                </a:moveTo>
                                <a:lnTo>
                                  <a:pt x="5624830" y="640067"/>
                                </a:lnTo>
                                <a:lnTo>
                                  <a:pt x="24384" y="640067"/>
                                </a:lnTo>
                                <a:lnTo>
                                  <a:pt x="18288" y="640067"/>
                                </a:lnTo>
                                <a:lnTo>
                                  <a:pt x="18288" y="646163"/>
                                </a:lnTo>
                                <a:lnTo>
                                  <a:pt x="24384" y="646163"/>
                                </a:lnTo>
                                <a:lnTo>
                                  <a:pt x="5624779" y="646163"/>
                                </a:lnTo>
                                <a:lnTo>
                                  <a:pt x="5630862" y="646163"/>
                                </a:lnTo>
                                <a:lnTo>
                                  <a:pt x="5630862" y="640067"/>
                                </a:lnTo>
                                <a:close/>
                              </a:path>
                              <a:path w="5649595" h="766254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8704" id="docshapegroup110" coordorigin="15,468" coordsize="12225,15352">
                <v:shape style="position:absolute;left:15;top:468;width:12225;height:15352" type="#_x0000_t75" id="docshape111" stroked="false">
                  <v:imagedata r:id="rId5" o:title=""/>
                </v:shape>
                <v:shape style="position:absolute;left:1673;top:2028;width:8897;height:12067" id="docshape112" coordorigin="1673,2028" coordsize="8897,12067" path="m10541,3046l10531,3046,10531,14085,1712,14085,1712,3046,1702,3046,1702,14085,1702,14095,1712,14095,10531,14095,10531,14095,10541,14095,10541,14085,10541,3046xm10541,3036l10531,3036,10531,3036,1712,3036,1702,3036,1702,3046,1712,3046,10531,3046,10531,3046,10541,3046,10541,3036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32</w:t>
      </w:r>
    </w:p>
    <w:p>
      <w:pPr>
        <w:pStyle w:val="BodyText"/>
      </w:pPr>
    </w:p>
    <w:p>
      <w:pPr>
        <w:pStyle w:val="BodyText"/>
        <w:spacing w:before="148"/>
      </w:pPr>
    </w:p>
    <w:p>
      <w:pPr>
        <w:pStyle w:val="Heading6"/>
        <w:numPr>
          <w:ilvl w:val="0"/>
          <w:numId w:val="13"/>
        </w:numPr>
        <w:tabs>
          <w:tab w:pos="1341" w:val="left" w:leader="none"/>
        </w:tabs>
        <w:spacing w:line="240" w:lineRule="auto" w:before="0" w:after="0"/>
        <w:ind w:left="1341" w:right="0" w:hanging="360"/>
        <w:jc w:val="left"/>
      </w:pPr>
      <w:bookmarkStart w:name="_bookmark17" w:id="18"/>
      <w:bookmarkEnd w:id="18"/>
      <w:r>
        <w:rPr>
          <w:b w:val="0"/>
        </w:rPr>
      </w:r>
      <w:r>
        <w:rPr>
          <w:color w:val="1F3762"/>
        </w:rPr>
        <w:t>Tratamiento</w:t>
      </w:r>
      <w:r>
        <w:rPr>
          <w:color w:val="1F3762"/>
          <w:spacing w:val="-7"/>
        </w:rPr>
        <w:t> </w:t>
      </w:r>
      <w:r>
        <w:rPr>
          <w:color w:val="1F3762"/>
        </w:rPr>
        <w:t>de</w:t>
      </w:r>
      <w:r>
        <w:rPr>
          <w:color w:val="1F3762"/>
          <w:spacing w:val="-3"/>
        </w:rPr>
        <w:t> </w:t>
      </w:r>
      <w:r>
        <w:rPr>
          <w:color w:val="1F3762"/>
        </w:rPr>
        <w:t>deterioro</w:t>
      </w:r>
      <w:r>
        <w:rPr>
          <w:color w:val="1F3762"/>
          <w:spacing w:val="-5"/>
        </w:rPr>
        <w:t> </w:t>
      </w:r>
      <w:r>
        <w:rPr>
          <w:color w:val="1F3762"/>
        </w:rPr>
        <w:t>de</w:t>
      </w:r>
      <w:r>
        <w:rPr>
          <w:color w:val="1F3762"/>
          <w:spacing w:val="-3"/>
        </w:rPr>
        <w:t> </w:t>
      </w:r>
      <w:r>
        <w:rPr>
          <w:color w:val="1F3762"/>
          <w:spacing w:val="-2"/>
        </w:rPr>
        <w:t>activos</w:t>
      </w:r>
    </w:p>
    <w:p>
      <w:pPr>
        <w:spacing w:before="135"/>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734" w:right="1089"/>
        <w:jc w:val="both"/>
      </w:pPr>
      <w:r>
        <w:rPr/>
        <w:t>El</w:t>
      </w:r>
      <w:r>
        <w:rPr>
          <w:spacing w:val="-13"/>
        </w:rPr>
        <w:t> </w:t>
      </w:r>
      <w:r>
        <w:rPr/>
        <w:t>IMAS</w:t>
      </w:r>
      <w:r>
        <w:rPr>
          <w:spacing w:val="-12"/>
        </w:rPr>
        <w:t> </w:t>
      </w:r>
      <w:r>
        <w:rPr/>
        <w:t>evalúa</w:t>
      </w:r>
      <w:r>
        <w:rPr>
          <w:spacing w:val="-13"/>
        </w:rPr>
        <w:t> </w:t>
      </w:r>
      <w:r>
        <w:rPr/>
        <w:t>el</w:t>
      </w:r>
      <w:r>
        <w:rPr>
          <w:spacing w:val="-13"/>
        </w:rPr>
        <w:t> </w:t>
      </w:r>
      <w:r>
        <w:rPr/>
        <w:t>deterioro</w:t>
      </w:r>
      <w:r>
        <w:rPr>
          <w:spacing w:val="-14"/>
        </w:rPr>
        <w:t> </w:t>
      </w:r>
      <w:r>
        <w:rPr/>
        <w:t>de</w:t>
      </w:r>
      <w:r>
        <w:rPr>
          <w:spacing w:val="-14"/>
        </w:rPr>
        <w:t> </w:t>
      </w:r>
      <w:r>
        <w:rPr/>
        <w:t>sus</w:t>
      </w:r>
      <w:r>
        <w:rPr>
          <w:spacing w:val="-13"/>
        </w:rPr>
        <w:t> </w:t>
      </w:r>
      <w:r>
        <w:rPr/>
        <w:t>activos</w:t>
      </w:r>
      <w:r>
        <w:rPr>
          <w:spacing w:val="-12"/>
        </w:rPr>
        <w:t> </w:t>
      </w:r>
      <w:r>
        <w:rPr/>
        <w:t>considerando</w:t>
      </w:r>
      <w:r>
        <w:rPr>
          <w:spacing w:val="-14"/>
        </w:rPr>
        <w:t> </w:t>
      </w:r>
      <w:r>
        <w:rPr/>
        <w:t>su</w:t>
      </w:r>
      <w:r>
        <w:rPr>
          <w:spacing w:val="-13"/>
        </w:rPr>
        <w:t> </w:t>
      </w:r>
      <w:r>
        <w:rPr/>
        <w:t>uso</w:t>
      </w:r>
      <w:r>
        <w:rPr>
          <w:spacing w:val="-14"/>
        </w:rPr>
        <w:t> </w:t>
      </w:r>
      <w:r>
        <w:rPr/>
        <w:t>principal,</w:t>
      </w:r>
      <w:r>
        <w:rPr>
          <w:spacing w:val="-13"/>
        </w:rPr>
        <w:t> </w:t>
      </w:r>
      <w:r>
        <w:rPr/>
        <w:t>distinguiendo</w:t>
      </w:r>
      <w:r>
        <w:rPr>
          <w:spacing w:val="-12"/>
        </w:rPr>
        <w:t> </w:t>
      </w:r>
      <w:r>
        <w:rPr/>
        <w:t>entre</w:t>
      </w:r>
      <w:r>
        <w:rPr>
          <w:spacing w:val="-13"/>
        </w:rPr>
        <w:t> </w:t>
      </w:r>
      <w:r>
        <w:rPr/>
        <w:t>activos destinados</w:t>
      </w:r>
      <w:r>
        <w:rPr>
          <w:spacing w:val="-6"/>
        </w:rPr>
        <w:t> </w:t>
      </w:r>
      <w:r>
        <w:rPr/>
        <w:t>a</w:t>
      </w:r>
      <w:r>
        <w:rPr>
          <w:spacing w:val="-8"/>
        </w:rPr>
        <w:t> </w:t>
      </w:r>
      <w:r>
        <w:rPr/>
        <w:t>la</w:t>
      </w:r>
      <w:r>
        <w:rPr>
          <w:spacing w:val="-11"/>
        </w:rPr>
        <w:t> </w:t>
      </w:r>
      <w:r>
        <w:rPr/>
        <w:t>prestación</w:t>
      </w:r>
      <w:r>
        <w:rPr>
          <w:spacing w:val="-7"/>
        </w:rPr>
        <w:t> </w:t>
      </w:r>
      <w:r>
        <w:rPr/>
        <w:t>de</w:t>
      </w:r>
      <w:r>
        <w:rPr>
          <w:spacing w:val="-8"/>
        </w:rPr>
        <w:t> </w:t>
      </w:r>
      <w:r>
        <w:rPr/>
        <w:t>servicios</w:t>
      </w:r>
      <w:r>
        <w:rPr>
          <w:spacing w:val="-8"/>
        </w:rPr>
        <w:t> </w:t>
      </w:r>
      <w:r>
        <w:rPr/>
        <w:t>sin</w:t>
      </w:r>
      <w:r>
        <w:rPr>
          <w:spacing w:val="-10"/>
        </w:rPr>
        <w:t> </w:t>
      </w:r>
      <w:r>
        <w:rPr/>
        <w:t>fines</w:t>
      </w:r>
      <w:r>
        <w:rPr>
          <w:spacing w:val="-6"/>
        </w:rPr>
        <w:t> </w:t>
      </w:r>
      <w:r>
        <w:rPr/>
        <w:t>de</w:t>
      </w:r>
      <w:r>
        <w:rPr>
          <w:spacing w:val="-9"/>
        </w:rPr>
        <w:t> </w:t>
      </w:r>
      <w:r>
        <w:rPr/>
        <w:t>lucro</w:t>
      </w:r>
      <w:r>
        <w:rPr>
          <w:spacing w:val="-9"/>
        </w:rPr>
        <w:t> </w:t>
      </w:r>
      <w:r>
        <w:rPr/>
        <w:t>(no</w:t>
      </w:r>
      <w:r>
        <w:rPr>
          <w:spacing w:val="-9"/>
        </w:rPr>
        <w:t> </w:t>
      </w:r>
      <w:r>
        <w:rPr/>
        <w:t>generadores</w:t>
      </w:r>
      <w:r>
        <w:rPr>
          <w:spacing w:val="-8"/>
        </w:rPr>
        <w:t> </w:t>
      </w:r>
      <w:r>
        <w:rPr/>
        <w:t>de</w:t>
      </w:r>
      <w:r>
        <w:rPr>
          <w:spacing w:val="-9"/>
        </w:rPr>
        <w:t> </w:t>
      </w:r>
      <w:r>
        <w:rPr/>
        <w:t>efectivo)</w:t>
      </w:r>
      <w:r>
        <w:rPr>
          <w:spacing w:val="-9"/>
        </w:rPr>
        <w:t> </w:t>
      </w:r>
      <w:r>
        <w:rPr/>
        <w:t>y</w:t>
      </w:r>
      <w:r>
        <w:rPr>
          <w:spacing w:val="-8"/>
        </w:rPr>
        <w:t> </w:t>
      </w:r>
      <w:r>
        <w:rPr/>
        <w:t>aquellos</w:t>
      </w:r>
      <w:r>
        <w:rPr>
          <w:spacing w:val="-6"/>
        </w:rPr>
        <w:t> </w:t>
      </w:r>
      <w:r>
        <w:rPr/>
        <w:t>cuyo objetivo es generar rendimientos comerciales (generadores de efectivo). Un activo se considera deteriorado cuando su importe en libros excede su importe recuperable, calculado como el mayor entre el valor razonable menos costos de disposición y su valor en uso o flujos de efectivo futuros descontados, según corresponda.</w:t>
      </w:r>
    </w:p>
    <w:p>
      <w:pPr>
        <w:pStyle w:val="BodyText"/>
        <w:spacing w:line="276" w:lineRule="auto" w:before="122"/>
        <w:ind w:left="734" w:right="1088"/>
        <w:jc w:val="both"/>
      </w:pPr>
      <w:r>
        <w:rPr/>
        <w:t>La entidad realiza revisiones anuales para identificar indicios de deterioro, considerando factores como cambios en la demanda de servicios, daños, obsolescencia, inactividad prolongada, modificaciones legales o tecnológicas y resultados inferiores a los esperados. Cuando se confirma deterioro, se reconoce una pérdida contra resultados, ajustando la depreciación o amortización futura sobre la vida útil remanente del activo.</w:t>
      </w:r>
    </w:p>
    <w:p>
      <w:pPr>
        <w:pStyle w:val="BodyText"/>
        <w:spacing w:line="276" w:lineRule="auto" w:before="119"/>
        <w:ind w:left="734" w:right="1093"/>
        <w:jc w:val="both"/>
      </w:pPr>
      <w:r>
        <w:rPr/>
        <w:t>Si posteriormente se evidencia que la pérdida ha disminuido o desaparecido, se procede a revertir total o parcialmente la pérdida, sin superar el valor que el activo tendría neto de depreciación o amortización si no se hubiera reconocido deterioro anteriormente.</w:t>
      </w:r>
    </w:p>
    <w:p>
      <w:pPr>
        <w:pStyle w:val="BodyText"/>
        <w:spacing w:before="121"/>
        <w:ind w:left="734"/>
        <w:jc w:val="both"/>
      </w:pPr>
      <w:r>
        <w:rPr/>
        <w:t>Los</w:t>
      </w:r>
      <w:r>
        <w:rPr>
          <w:spacing w:val="-4"/>
        </w:rPr>
        <w:t> </w:t>
      </w:r>
      <w:r>
        <w:rPr/>
        <w:t>activos</w:t>
      </w:r>
      <w:r>
        <w:rPr>
          <w:spacing w:val="-5"/>
        </w:rPr>
        <w:t> </w:t>
      </w:r>
      <w:r>
        <w:rPr/>
        <w:t>sujetos</w:t>
      </w:r>
      <w:r>
        <w:rPr>
          <w:spacing w:val="-4"/>
        </w:rPr>
        <w:t> </w:t>
      </w:r>
      <w:r>
        <w:rPr/>
        <w:t>a</w:t>
      </w:r>
      <w:r>
        <w:rPr>
          <w:spacing w:val="-5"/>
        </w:rPr>
        <w:t> </w:t>
      </w:r>
      <w:r>
        <w:rPr/>
        <w:t>evaluación</w:t>
      </w:r>
      <w:r>
        <w:rPr>
          <w:spacing w:val="-4"/>
        </w:rPr>
        <w:t> </w:t>
      </w:r>
      <w:r>
        <w:rPr/>
        <w:t>y</w:t>
      </w:r>
      <w:r>
        <w:rPr>
          <w:spacing w:val="-5"/>
        </w:rPr>
        <w:t> </w:t>
      </w:r>
      <w:r>
        <w:rPr/>
        <w:t>reconocimiento</w:t>
      </w:r>
      <w:r>
        <w:rPr>
          <w:spacing w:val="-5"/>
        </w:rPr>
        <w:t> </w:t>
      </w:r>
      <w:r>
        <w:rPr/>
        <w:t>de</w:t>
      </w:r>
      <w:r>
        <w:rPr>
          <w:spacing w:val="-5"/>
        </w:rPr>
        <w:t> </w:t>
      </w:r>
      <w:r>
        <w:rPr/>
        <w:t>deterioro</w:t>
      </w:r>
      <w:r>
        <w:rPr>
          <w:spacing w:val="-4"/>
        </w:rPr>
        <w:t> </w:t>
      </w:r>
      <w:r>
        <w:rPr/>
        <w:t>pueden</w:t>
      </w:r>
      <w:r>
        <w:rPr>
          <w:spacing w:val="-4"/>
        </w:rPr>
        <w:t> ser:</w:t>
      </w:r>
    </w:p>
    <w:p>
      <w:pPr>
        <w:pStyle w:val="ListParagraph"/>
        <w:numPr>
          <w:ilvl w:val="0"/>
          <w:numId w:val="25"/>
        </w:numPr>
        <w:tabs>
          <w:tab w:pos="935" w:val="left" w:leader="none"/>
        </w:tabs>
        <w:spacing w:line="240" w:lineRule="auto" w:before="160" w:after="0"/>
        <w:ind w:left="935" w:right="0" w:hanging="201"/>
        <w:jc w:val="left"/>
        <w:rPr>
          <w:sz w:val="22"/>
        </w:rPr>
      </w:pPr>
      <w:r>
        <w:rPr>
          <w:sz w:val="22"/>
        </w:rPr>
        <w:t>activos</w:t>
      </w:r>
      <w:r>
        <w:rPr>
          <w:spacing w:val="-4"/>
          <w:sz w:val="22"/>
        </w:rPr>
        <w:t> </w:t>
      </w:r>
      <w:r>
        <w:rPr>
          <w:sz w:val="22"/>
        </w:rPr>
        <w:t>no</w:t>
      </w:r>
      <w:r>
        <w:rPr>
          <w:spacing w:val="-5"/>
          <w:sz w:val="22"/>
        </w:rPr>
        <w:t> </w:t>
      </w:r>
      <w:r>
        <w:rPr>
          <w:sz w:val="22"/>
        </w:rPr>
        <w:t>generadores</w:t>
      </w:r>
      <w:r>
        <w:rPr>
          <w:spacing w:val="-4"/>
          <w:sz w:val="22"/>
        </w:rPr>
        <w:t> </w:t>
      </w:r>
      <w:r>
        <w:rPr>
          <w:sz w:val="22"/>
        </w:rPr>
        <w:t>de</w:t>
      </w:r>
      <w:r>
        <w:rPr>
          <w:spacing w:val="-8"/>
          <w:sz w:val="22"/>
        </w:rPr>
        <w:t> </w:t>
      </w:r>
      <w:r>
        <w:rPr>
          <w:sz w:val="22"/>
        </w:rPr>
        <w:t>efectivo;</w:t>
      </w:r>
      <w:r>
        <w:rPr>
          <w:spacing w:val="-4"/>
          <w:sz w:val="22"/>
        </w:rPr>
        <w:t> </w:t>
      </w:r>
      <w:r>
        <w:rPr>
          <w:spacing w:val="-10"/>
          <w:sz w:val="22"/>
        </w:rPr>
        <w:t>o</w:t>
      </w:r>
    </w:p>
    <w:p>
      <w:pPr>
        <w:pStyle w:val="ListParagraph"/>
        <w:numPr>
          <w:ilvl w:val="0"/>
          <w:numId w:val="25"/>
        </w:numPr>
        <w:tabs>
          <w:tab w:pos="935" w:val="left" w:leader="none"/>
        </w:tabs>
        <w:spacing w:line="240" w:lineRule="auto" w:before="159" w:after="0"/>
        <w:ind w:left="935" w:right="0" w:hanging="201"/>
        <w:jc w:val="left"/>
        <w:rPr>
          <w:sz w:val="22"/>
        </w:rPr>
      </w:pPr>
      <w:r>
        <w:rPr>
          <w:sz w:val="22"/>
        </w:rPr>
        <w:t>activos</w:t>
      </w:r>
      <w:r>
        <w:rPr>
          <w:spacing w:val="-4"/>
          <w:sz w:val="22"/>
        </w:rPr>
        <w:t> </w:t>
      </w:r>
      <w:r>
        <w:rPr>
          <w:sz w:val="22"/>
        </w:rPr>
        <w:t>generadores</w:t>
      </w:r>
      <w:r>
        <w:rPr>
          <w:spacing w:val="-3"/>
          <w:sz w:val="22"/>
        </w:rPr>
        <w:t> </w:t>
      </w:r>
      <w:r>
        <w:rPr>
          <w:sz w:val="22"/>
        </w:rPr>
        <w:t>de</w:t>
      </w:r>
      <w:r>
        <w:rPr>
          <w:spacing w:val="-5"/>
          <w:sz w:val="22"/>
        </w:rPr>
        <w:t> </w:t>
      </w:r>
      <w:r>
        <w:rPr>
          <w:spacing w:val="-2"/>
          <w:sz w:val="22"/>
        </w:rPr>
        <w:t>efectivo.</w:t>
      </w:r>
    </w:p>
    <w:p>
      <w:pPr>
        <w:pStyle w:val="BodyText"/>
        <w:spacing w:before="160"/>
        <w:ind w:left="734" w:right="1089"/>
        <w:jc w:val="both"/>
      </w:pPr>
      <w:r>
        <w:rPr/>
        <w:t>Los activos no generadores de efectivo son activos que no están afectados a la obtención de un rendimiento comercial, sino que se los utiliza exclusiva o principalmente para la prestación de servicios sin</w:t>
      </w:r>
      <w:r>
        <w:rPr>
          <w:spacing w:val="-1"/>
        </w:rPr>
        <w:t> </w:t>
      </w:r>
      <w:r>
        <w:rPr/>
        <w:t>ánimo</w:t>
      </w:r>
      <w:r>
        <w:rPr>
          <w:spacing w:val="-1"/>
        </w:rPr>
        <w:t> </w:t>
      </w:r>
      <w:r>
        <w:rPr/>
        <w:t>de</w:t>
      </w:r>
      <w:r>
        <w:rPr>
          <w:spacing w:val="-3"/>
        </w:rPr>
        <w:t> </w:t>
      </w:r>
      <w:r>
        <w:rPr/>
        <w:t>lucro.</w:t>
      </w:r>
      <w:r>
        <w:rPr>
          <w:spacing w:val="-2"/>
        </w:rPr>
        <w:t> </w:t>
      </w:r>
      <w:r>
        <w:rPr/>
        <w:t>En</w:t>
      </w:r>
      <w:r>
        <w:rPr>
          <w:spacing w:val="-1"/>
        </w:rPr>
        <w:t> </w:t>
      </w:r>
      <w:r>
        <w:rPr/>
        <w:t>ciertos casos,</w:t>
      </w:r>
      <w:r>
        <w:rPr>
          <w:spacing w:val="-1"/>
        </w:rPr>
        <w:t> </w:t>
      </w:r>
      <w:r>
        <w:rPr/>
        <w:t>un</w:t>
      </w:r>
      <w:r>
        <w:rPr>
          <w:spacing w:val="-1"/>
        </w:rPr>
        <w:t> </w:t>
      </w:r>
      <w:r>
        <w:rPr/>
        <w:t>activo</w:t>
      </w:r>
      <w:r>
        <w:rPr>
          <w:spacing w:val="-3"/>
        </w:rPr>
        <w:t> </w:t>
      </w:r>
      <w:r>
        <w:rPr/>
        <w:t>puede</w:t>
      </w:r>
      <w:r>
        <w:rPr>
          <w:spacing w:val="-3"/>
        </w:rPr>
        <w:t> </w:t>
      </w:r>
      <w:r>
        <w:rPr/>
        <w:t>generar</w:t>
      </w:r>
      <w:r>
        <w:rPr>
          <w:spacing w:val="-1"/>
        </w:rPr>
        <w:t> </w:t>
      </w:r>
      <w:r>
        <w:rPr/>
        <w:t>flujos de</w:t>
      </w:r>
      <w:r>
        <w:rPr>
          <w:spacing w:val="-1"/>
        </w:rPr>
        <w:t> </w:t>
      </w:r>
      <w:r>
        <w:rPr/>
        <w:t>efectivo,</w:t>
      </w:r>
      <w:r>
        <w:rPr>
          <w:spacing w:val="-1"/>
        </w:rPr>
        <w:t> </w:t>
      </w:r>
      <w:r>
        <w:rPr/>
        <w:t>aunque</w:t>
      </w:r>
      <w:r>
        <w:rPr>
          <w:spacing w:val="-3"/>
        </w:rPr>
        <w:t> </w:t>
      </w:r>
      <w:r>
        <w:rPr/>
        <w:t>se mantenga</w:t>
      </w:r>
      <w:r>
        <w:rPr>
          <w:spacing w:val="-11"/>
        </w:rPr>
        <w:t> </w:t>
      </w:r>
      <w:r>
        <w:rPr/>
        <w:t>con</w:t>
      </w:r>
      <w:r>
        <w:rPr>
          <w:spacing w:val="-7"/>
        </w:rPr>
        <w:t> </w:t>
      </w:r>
      <w:r>
        <w:rPr/>
        <w:t>el</w:t>
      </w:r>
      <w:r>
        <w:rPr>
          <w:spacing w:val="-6"/>
        </w:rPr>
        <w:t> </w:t>
      </w:r>
      <w:r>
        <w:rPr/>
        <w:t>objetivo</w:t>
      </w:r>
      <w:r>
        <w:rPr>
          <w:spacing w:val="-7"/>
        </w:rPr>
        <w:t> </w:t>
      </w:r>
      <w:r>
        <w:rPr/>
        <w:t>fundamental</w:t>
      </w:r>
      <w:r>
        <w:rPr>
          <w:spacing w:val="-6"/>
        </w:rPr>
        <w:t> </w:t>
      </w:r>
      <w:r>
        <w:rPr/>
        <w:t>de</w:t>
      </w:r>
      <w:r>
        <w:rPr>
          <w:spacing w:val="-6"/>
        </w:rPr>
        <w:t> </w:t>
      </w:r>
      <w:r>
        <w:rPr/>
        <w:t>prestación</w:t>
      </w:r>
      <w:r>
        <w:rPr>
          <w:spacing w:val="-8"/>
        </w:rPr>
        <w:t> </w:t>
      </w:r>
      <w:r>
        <w:rPr/>
        <w:t>de</w:t>
      </w:r>
      <w:r>
        <w:rPr>
          <w:spacing w:val="-9"/>
        </w:rPr>
        <w:t> </w:t>
      </w:r>
      <w:r>
        <w:rPr/>
        <w:t>servicios,</w:t>
      </w:r>
      <w:r>
        <w:rPr>
          <w:spacing w:val="-8"/>
        </w:rPr>
        <w:t> </w:t>
      </w:r>
      <w:r>
        <w:rPr/>
        <w:t>por</w:t>
      </w:r>
      <w:r>
        <w:rPr>
          <w:spacing w:val="-7"/>
        </w:rPr>
        <w:t> </w:t>
      </w:r>
      <w:r>
        <w:rPr/>
        <w:t>lo</w:t>
      </w:r>
      <w:r>
        <w:rPr>
          <w:spacing w:val="-8"/>
        </w:rPr>
        <w:t> </w:t>
      </w:r>
      <w:r>
        <w:rPr/>
        <w:t>que</w:t>
      </w:r>
      <w:r>
        <w:rPr>
          <w:spacing w:val="-8"/>
        </w:rPr>
        <w:t> </w:t>
      </w:r>
      <w:r>
        <w:rPr/>
        <w:t>no</w:t>
      </w:r>
      <w:r>
        <w:rPr>
          <w:spacing w:val="-6"/>
        </w:rPr>
        <w:t> </w:t>
      </w:r>
      <w:r>
        <w:rPr/>
        <w:t>perderá</w:t>
      </w:r>
      <w:r>
        <w:rPr>
          <w:spacing w:val="-6"/>
        </w:rPr>
        <w:t> </w:t>
      </w:r>
      <w:r>
        <w:rPr/>
        <w:t>tal</w:t>
      </w:r>
      <w:r>
        <w:rPr>
          <w:spacing w:val="-6"/>
        </w:rPr>
        <w:t> </w:t>
      </w:r>
      <w:r>
        <w:rPr>
          <w:spacing w:val="-2"/>
        </w:rPr>
        <w:t>carácter.</w:t>
      </w:r>
    </w:p>
    <w:p>
      <w:pPr>
        <w:pStyle w:val="BodyText"/>
        <w:spacing w:before="160"/>
        <w:ind w:left="734" w:right="1091"/>
        <w:jc w:val="both"/>
      </w:pPr>
      <w:r>
        <w:rPr/>
        <w:t>Se</w:t>
      </w:r>
      <w:r>
        <w:rPr>
          <w:spacing w:val="-14"/>
        </w:rPr>
        <w:t> </w:t>
      </w:r>
      <w:r>
        <w:rPr/>
        <w:t>define</w:t>
      </w:r>
      <w:r>
        <w:rPr>
          <w:spacing w:val="-14"/>
        </w:rPr>
        <w:t> </w:t>
      </w:r>
      <w:r>
        <w:rPr/>
        <w:t>el</w:t>
      </w:r>
      <w:r>
        <w:rPr>
          <w:spacing w:val="-14"/>
        </w:rPr>
        <w:t> </w:t>
      </w:r>
      <w:r>
        <w:rPr/>
        <w:t>deterioro</w:t>
      </w:r>
      <w:r>
        <w:rPr>
          <w:spacing w:val="-13"/>
        </w:rPr>
        <w:t> </w:t>
      </w:r>
      <w:r>
        <w:rPr/>
        <w:t>como</w:t>
      </w:r>
      <w:r>
        <w:rPr>
          <w:spacing w:val="-14"/>
        </w:rPr>
        <w:t> </w:t>
      </w:r>
      <w:r>
        <w:rPr/>
        <w:t>una</w:t>
      </w:r>
      <w:r>
        <w:rPr>
          <w:spacing w:val="-14"/>
        </w:rPr>
        <w:t> </w:t>
      </w:r>
      <w:r>
        <w:rPr/>
        <w:t>pérdida</w:t>
      </w:r>
      <w:r>
        <w:rPr>
          <w:spacing w:val="-14"/>
        </w:rPr>
        <w:t> </w:t>
      </w:r>
      <w:r>
        <w:rPr/>
        <w:t>en</w:t>
      </w:r>
      <w:r>
        <w:rPr>
          <w:spacing w:val="-13"/>
        </w:rPr>
        <w:t> </w:t>
      </w:r>
      <w:r>
        <w:rPr/>
        <w:t>los</w:t>
      </w:r>
      <w:r>
        <w:rPr>
          <w:spacing w:val="-14"/>
        </w:rPr>
        <w:t> </w:t>
      </w:r>
      <w:r>
        <w:rPr/>
        <w:t>beneficios</w:t>
      </w:r>
      <w:r>
        <w:rPr>
          <w:spacing w:val="-14"/>
        </w:rPr>
        <w:t> </w:t>
      </w:r>
      <w:r>
        <w:rPr/>
        <w:t>económicos</w:t>
      </w:r>
      <w:r>
        <w:rPr>
          <w:spacing w:val="-14"/>
        </w:rPr>
        <w:t> </w:t>
      </w:r>
      <w:r>
        <w:rPr/>
        <w:t>o</w:t>
      </w:r>
      <w:r>
        <w:rPr>
          <w:spacing w:val="-13"/>
        </w:rPr>
        <w:t> </w:t>
      </w:r>
      <w:r>
        <w:rPr/>
        <w:t>potencial</w:t>
      </w:r>
      <w:r>
        <w:rPr>
          <w:spacing w:val="-14"/>
        </w:rPr>
        <w:t> </w:t>
      </w:r>
      <w:r>
        <w:rPr/>
        <w:t>de</w:t>
      </w:r>
      <w:r>
        <w:rPr>
          <w:spacing w:val="-14"/>
        </w:rPr>
        <w:t> </w:t>
      </w:r>
      <w:r>
        <w:rPr/>
        <w:t>servicio</w:t>
      </w:r>
      <w:r>
        <w:rPr>
          <w:spacing w:val="-14"/>
        </w:rPr>
        <w:t> </w:t>
      </w:r>
      <w:r>
        <w:rPr/>
        <w:t>futuros de un activo, además del reconocimiento sistemático de la pérdida de beneficios económicos o potencial de servicio futuros que se lleva a cabo a través de la depreciación.</w:t>
      </w:r>
    </w:p>
    <w:p>
      <w:pPr>
        <w:pStyle w:val="BodyText"/>
        <w:spacing w:before="159"/>
        <w:ind w:left="734" w:right="1090"/>
        <w:jc w:val="both"/>
      </w:pPr>
      <w:r>
        <w:rPr/>
        <w:t>Se</w:t>
      </w:r>
      <w:r>
        <w:rPr>
          <w:spacing w:val="-3"/>
        </w:rPr>
        <w:t> </w:t>
      </w:r>
      <w:r>
        <w:rPr/>
        <w:t>define</w:t>
      </w:r>
      <w:r>
        <w:rPr>
          <w:spacing w:val="-3"/>
        </w:rPr>
        <w:t> </w:t>
      </w:r>
      <w:r>
        <w:rPr/>
        <w:t>la</w:t>
      </w:r>
      <w:r>
        <w:rPr>
          <w:spacing w:val="-4"/>
        </w:rPr>
        <w:t> </w:t>
      </w:r>
      <w:r>
        <w:rPr/>
        <w:t>entidad</w:t>
      </w:r>
      <w:r>
        <w:rPr>
          <w:spacing w:val="-5"/>
        </w:rPr>
        <w:t> </w:t>
      </w:r>
      <w:r>
        <w:rPr/>
        <w:t>el</w:t>
      </w:r>
      <w:r>
        <w:rPr>
          <w:spacing w:val="-2"/>
        </w:rPr>
        <w:t> </w:t>
      </w:r>
      <w:r>
        <w:rPr/>
        <w:t>monto</w:t>
      </w:r>
      <w:r>
        <w:rPr>
          <w:spacing w:val="-2"/>
        </w:rPr>
        <w:t> </w:t>
      </w:r>
      <w:r>
        <w:rPr/>
        <w:t>de</w:t>
      </w:r>
      <w:r>
        <w:rPr>
          <w:spacing w:val="-6"/>
        </w:rPr>
        <w:t> </w:t>
      </w:r>
      <w:r>
        <w:rPr/>
        <w:t>servicio</w:t>
      </w:r>
      <w:r>
        <w:rPr>
          <w:spacing w:val="-2"/>
        </w:rPr>
        <w:t> </w:t>
      </w:r>
      <w:r>
        <w:rPr/>
        <w:t>recuperable</w:t>
      </w:r>
      <w:r>
        <w:rPr>
          <w:spacing w:val="-3"/>
        </w:rPr>
        <w:t> </w:t>
      </w:r>
      <w:r>
        <w:rPr/>
        <w:t>como</w:t>
      </w:r>
      <w:r>
        <w:rPr>
          <w:spacing w:val="-4"/>
        </w:rPr>
        <w:t> </w:t>
      </w:r>
      <w:r>
        <w:rPr/>
        <w:t>el</w:t>
      </w:r>
      <w:r>
        <w:rPr>
          <w:spacing w:val="-2"/>
        </w:rPr>
        <w:t> </w:t>
      </w:r>
      <w:r>
        <w:rPr/>
        <w:t>mayor</w:t>
      </w:r>
      <w:r>
        <w:rPr>
          <w:spacing w:val="-2"/>
        </w:rPr>
        <w:t> </w:t>
      </w:r>
      <w:r>
        <w:rPr/>
        <w:t>entre</w:t>
      </w:r>
      <w:r>
        <w:rPr>
          <w:spacing w:val="-5"/>
        </w:rPr>
        <w:t> </w:t>
      </w:r>
      <w:r>
        <w:rPr/>
        <w:t>el</w:t>
      </w:r>
      <w:r>
        <w:rPr>
          <w:spacing w:val="-2"/>
        </w:rPr>
        <w:t> </w:t>
      </w:r>
      <w:r>
        <w:rPr/>
        <w:t>valor</w:t>
      </w:r>
      <w:r>
        <w:rPr>
          <w:spacing w:val="-4"/>
        </w:rPr>
        <w:t> </w:t>
      </w:r>
      <w:r>
        <w:rPr/>
        <w:t>razonable</w:t>
      </w:r>
      <w:r>
        <w:rPr>
          <w:spacing w:val="-4"/>
        </w:rPr>
        <w:t> </w:t>
      </w:r>
      <w:r>
        <w:rPr/>
        <w:t>de</w:t>
      </w:r>
      <w:r>
        <w:rPr>
          <w:spacing w:val="-4"/>
        </w:rPr>
        <w:t> </w:t>
      </w:r>
      <w:r>
        <w:rPr/>
        <w:t>un activo que no genera efectivo, menos los costos de venta y su valor en uso.</w:t>
      </w:r>
    </w:p>
    <w:p>
      <w:pPr>
        <w:pStyle w:val="BodyText"/>
        <w:spacing w:before="161"/>
        <w:ind w:left="734" w:right="1090"/>
        <w:jc w:val="both"/>
      </w:pPr>
      <w:r>
        <w:rPr/>
        <w:t>En</w:t>
      </w:r>
      <w:r>
        <w:rPr>
          <w:spacing w:val="-7"/>
        </w:rPr>
        <w:t> </w:t>
      </w:r>
      <w:r>
        <w:rPr/>
        <w:t>cada</w:t>
      </w:r>
      <w:r>
        <w:rPr>
          <w:spacing w:val="-8"/>
        </w:rPr>
        <w:t> </w:t>
      </w:r>
      <w:r>
        <w:rPr/>
        <w:t>fecha</w:t>
      </w:r>
      <w:r>
        <w:rPr>
          <w:spacing w:val="-8"/>
        </w:rPr>
        <w:t> </w:t>
      </w:r>
      <w:r>
        <w:rPr/>
        <w:t>sobre</w:t>
      </w:r>
      <w:r>
        <w:rPr>
          <w:spacing w:val="-9"/>
        </w:rPr>
        <w:t> </w:t>
      </w:r>
      <w:r>
        <w:rPr/>
        <w:t>la</w:t>
      </w:r>
      <w:r>
        <w:rPr>
          <w:spacing w:val="-11"/>
        </w:rPr>
        <w:t> </w:t>
      </w:r>
      <w:r>
        <w:rPr/>
        <w:t>que</w:t>
      </w:r>
      <w:r>
        <w:rPr>
          <w:spacing w:val="-8"/>
        </w:rPr>
        <w:t> </w:t>
      </w:r>
      <w:r>
        <w:rPr/>
        <w:t>se</w:t>
      </w:r>
      <w:r>
        <w:rPr>
          <w:spacing w:val="-8"/>
        </w:rPr>
        <w:t> </w:t>
      </w:r>
      <w:r>
        <w:rPr/>
        <w:t>informa,</w:t>
      </w:r>
      <w:r>
        <w:rPr>
          <w:spacing w:val="-7"/>
        </w:rPr>
        <w:t> </w:t>
      </w:r>
      <w:r>
        <w:rPr/>
        <w:t>deberá</w:t>
      </w:r>
      <w:r>
        <w:rPr>
          <w:spacing w:val="-8"/>
        </w:rPr>
        <w:t> </w:t>
      </w:r>
      <w:r>
        <w:rPr/>
        <w:t>evaluarse</w:t>
      </w:r>
      <w:r>
        <w:rPr>
          <w:spacing w:val="-8"/>
        </w:rPr>
        <w:t> </w:t>
      </w:r>
      <w:r>
        <w:rPr/>
        <w:t>si</w:t>
      </w:r>
      <w:r>
        <w:rPr>
          <w:spacing w:val="-8"/>
        </w:rPr>
        <w:t> </w:t>
      </w:r>
      <w:r>
        <w:rPr/>
        <w:t>existe</w:t>
      </w:r>
      <w:r>
        <w:rPr>
          <w:spacing w:val="-8"/>
        </w:rPr>
        <w:t> </w:t>
      </w:r>
      <w:r>
        <w:rPr/>
        <w:t>algún</w:t>
      </w:r>
      <w:r>
        <w:rPr>
          <w:spacing w:val="-7"/>
        </w:rPr>
        <w:t> </w:t>
      </w:r>
      <w:r>
        <w:rPr/>
        <w:t>indicio</w:t>
      </w:r>
      <w:r>
        <w:rPr>
          <w:spacing w:val="-7"/>
        </w:rPr>
        <w:t> </w:t>
      </w:r>
      <w:r>
        <w:rPr/>
        <w:t>de</w:t>
      </w:r>
      <w:r>
        <w:rPr>
          <w:spacing w:val="-9"/>
        </w:rPr>
        <w:t> </w:t>
      </w:r>
      <w:r>
        <w:rPr/>
        <w:t>deterioro</w:t>
      </w:r>
      <w:r>
        <w:rPr>
          <w:spacing w:val="-6"/>
        </w:rPr>
        <w:t> </w:t>
      </w:r>
      <w:r>
        <w:rPr/>
        <w:t>del</w:t>
      </w:r>
      <w:r>
        <w:rPr>
          <w:spacing w:val="-8"/>
        </w:rPr>
        <w:t> </w:t>
      </w:r>
      <w:r>
        <w:rPr/>
        <w:t>valor de los activos. Si se detectase algún indicio, deberá estimarse el monto recuperable.</w:t>
      </w:r>
    </w:p>
    <w:p>
      <w:pPr>
        <w:pStyle w:val="BodyText"/>
        <w:spacing w:before="161"/>
        <w:ind w:left="734" w:right="1088"/>
        <w:jc w:val="both"/>
      </w:pPr>
      <w:r>
        <w:rPr/>
        <w:t>Con independencia de la existencia de algún indicio de deterioro de valor, anualmente se comprobará</w:t>
      </w:r>
      <w:r>
        <w:rPr>
          <w:spacing w:val="-10"/>
        </w:rPr>
        <w:t> </w:t>
      </w:r>
      <w:r>
        <w:rPr/>
        <w:t>la</w:t>
      </w:r>
      <w:r>
        <w:rPr>
          <w:spacing w:val="-13"/>
        </w:rPr>
        <w:t> </w:t>
      </w:r>
      <w:r>
        <w:rPr/>
        <w:t>existencia</w:t>
      </w:r>
      <w:r>
        <w:rPr>
          <w:spacing w:val="-10"/>
        </w:rPr>
        <w:t> </w:t>
      </w:r>
      <w:r>
        <w:rPr/>
        <w:t>de</w:t>
      </w:r>
      <w:r>
        <w:rPr>
          <w:spacing w:val="-13"/>
        </w:rPr>
        <w:t> </w:t>
      </w:r>
      <w:r>
        <w:rPr/>
        <w:t>deterioro</w:t>
      </w:r>
      <w:r>
        <w:rPr>
          <w:spacing w:val="-9"/>
        </w:rPr>
        <w:t> </w:t>
      </w:r>
      <w:r>
        <w:rPr/>
        <w:t>del</w:t>
      </w:r>
      <w:r>
        <w:rPr>
          <w:spacing w:val="-10"/>
        </w:rPr>
        <w:t> </w:t>
      </w:r>
      <w:r>
        <w:rPr/>
        <w:t>valor</w:t>
      </w:r>
      <w:r>
        <w:rPr>
          <w:spacing w:val="-10"/>
        </w:rPr>
        <w:t> </w:t>
      </w:r>
      <w:r>
        <w:rPr/>
        <w:t>de</w:t>
      </w:r>
      <w:r>
        <w:rPr>
          <w:spacing w:val="-13"/>
        </w:rPr>
        <w:t> </w:t>
      </w:r>
      <w:r>
        <w:rPr/>
        <w:t>cada</w:t>
      </w:r>
      <w:r>
        <w:rPr>
          <w:spacing w:val="-11"/>
        </w:rPr>
        <w:t> </w:t>
      </w:r>
      <w:r>
        <w:rPr/>
        <w:t>activo</w:t>
      </w:r>
      <w:r>
        <w:rPr>
          <w:spacing w:val="-9"/>
        </w:rPr>
        <w:t> </w:t>
      </w:r>
      <w:r>
        <w:rPr/>
        <w:t>intangible</w:t>
      </w:r>
      <w:r>
        <w:rPr>
          <w:spacing w:val="-11"/>
        </w:rPr>
        <w:t> </w:t>
      </w:r>
      <w:r>
        <w:rPr/>
        <w:t>con</w:t>
      </w:r>
      <w:r>
        <w:rPr>
          <w:spacing w:val="-11"/>
        </w:rPr>
        <w:t> </w:t>
      </w:r>
      <w:r>
        <w:rPr/>
        <w:t>una</w:t>
      </w:r>
      <w:r>
        <w:rPr>
          <w:spacing w:val="-13"/>
        </w:rPr>
        <w:t> </w:t>
      </w:r>
      <w:r>
        <w:rPr/>
        <w:t>vida</w:t>
      </w:r>
      <w:r>
        <w:rPr>
          <w:spacing w:val="-11"/>
        </w:rPr>
        <w:t> </w:t>
      </w:r>
      <w:r>
        <w:rPr/>
        <w:t>útil</w:t>
      </w:r>
      <w:r>
        <w:rPr>
          <w:spacing w:val="-11"/>
        </w:rPr>
        <w:t> </w:t>
      </w:r>
      <w:r>
        <w:rPr/>
        <w:t>indefinida, así</w:t>
      </w:r>
      <w:r>
        <w:rPr>
          <w:spacing w:val="-14"/>
        </w:rPr>
        <w:t> </w:t>
      </w:r>
      <w:r>
        <w:rPr/>
        <w:t>como</w:t>
      </w:r>
      <w:r>
        <w:rPr>
          <w:spacing w:val="-14"/>
        </w:rPr>
        <w:t> </w:t>
      </w:r>
      <w:r>
        <w:rPr/>
        <w:t>de</w:t>
      </w:r>
      <w:r>
        <w:rPr>
          <w:spacing w:val="-13"/>
        </w:rPr>
        <w:t> </w:t>
      </w:r>
      <w:r>
        <w:rPr/>
        <w:t>los</w:t>
      </w:r>
      <w:r>
        <w:rPr>
          <w:spacing w:val="-12"/>
        </w:rPr>
        <w:t> </w:t>
      </w:r>
      <w:r>
        <w:rPr/>
        <w:t>activos</w:t>
      </w:r>
      <w:r>
        <w:rPr>
          <w:spacing w:val="-12"/>
        </w:rPr>
        <w:t> </w:t>
      </w:r>
      <w:r>
        <w:rPr/>
        <w:t>intangibles</w:t>
      </w:r>
      <w:r>
        <w:rPr>
          <w:spacing w:val="-12"/>
        </w:rPr>
        <w:t> </w:t>
      </w:r>
      <w:r>
        <w:rPr/>
        <w:t>que</w:t>
      </w:r>
      <w:r>
        <w:rPr>
          <w:spacing w:val="-14"/>
        </w:rPr>
        <w:t> </w:t>
      </w:r>
      <w:r>
        <w:rPr/>
        <w:t>aún</w:t>
      </w:r>
      <w:r>
        <w:rPr>
          <w:spacing w:val="-12"/>
        </w:rPr>
        <w:t> </w:t>
      </w:r>
      <w:r>
        <w:rPr/>
        <w:t>no</w:t>
      </w:r>
      <w:r>
        <w:rPr>
          <w:spacing w:val="-12"/>
        </w:rPr>
        <w:t> </w:t>
      </w:r>
      <w:r>
        <w:rPr/>
        <w:t>estén</w:t>
      </w:r>
      <w:r>
        <w:rPr>
          <w:spacing w:val="-13"/>
        </w:rPr>
        <w:t> </w:t>
      </w:r>
      <w:r>
        <w:rPr/>
        <w:t>disponibles</w:t>
      </w:r>
      <w:r>
        <w:rPr>
          <w:spacing w:val="-12"/>
        </w:rPr>
        <w:t> </w:t>
      </w:r>
      <w:r>
        <w:rPr/>
        <w:t>para</w:t>
      </w:r>
      <w:r>
        <w:rPr>
          <w:spacing w:val="-14"/>
        </w:rPr>
        <w:t> </w:t>
      </w:r>
      <w:r>
        <w:rPr/>
        <w:t>su</w:t>
      </w:r>
      <w:r>
        <w:rPr>
          <w:spacing w:val="-12"/>
        </w:rPr>
        <w:t> </w:t>
      </w:r>
      <w:r>
        <w:rPr/>
        <w:t>uso,</w:t>
      </w:r>
      <w:r>
        <w:rPr>
          <w:spacing w:val="-13"/>
        </w:rPr>
        <w:t> </w:t>
      </w:r>
      <w:r>
        <w:rPr/>
        <w:t>comparando</w:t>
      </w:r>
      <w:r>
        <w:rPr>
          <w:spacing w:val="-14"/>
        </w:rPr>
        <w:t> </w:t>
      </w:r>
      <w:r>
        <w:rPr/>
        <w:t>su</w:t>
      </w:r>
      <w:r>
        <w:rPr>
          <w:spacing w:val="-12"/>
        </w:rPr>
        <w:t> </w:t>
      </w:r>
      <w:r>
        <w:rPr/>
        <w:t>importe en libros con monto recuperable.</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8288">
                <wp:simplePos x="0" y="0"/>
                <wp:positionH relativeFrom="page">
                  <wp:posOffset>9525</wp:posOffset>
                </wp:positionH>
                <wp:positionV relativeFrom="page">
                  <wp:posOffset>297208</wp:posOffset>
                </wp:positionV>
                <wp:extent cx="7762875" cy="974852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7762875" cy="9748520"/>
                          <a:chExt cx="7762875" cy="9748520"/>
                        </a:xfrm>
                      </wpg:grpSpPr>
                      <pic:pic>
                        <pic:nvPicPr>
                          <pic:cNvPr id="115" name="Image 115"/>
                          <pic:cNvPicPr/>
                        </pic:nvPicPr>
                        <pic:blipFill>
                          <a:blip r:embed="rId5" cstate="print"/>
                          <a:stretch>
                            <a:fillRect/>
                          </a:stretch>
                        </pic:blipFill>
                        <pic:spPr>
                          <a:xfrm>
                            <a:off x="0" y="0"/>
                            <a:ext cx="7762874" cy="9748489"/>
                          </a:xfrm>
                          <a:prstGeom prst="rect">
                            <a:avLst/>
                          </a:prstGeom>
                        </pic:spPr>
                      </pic:pic>
                      <wps:wsp>
                        <wps:cNvPr id="116" name="Graphic 116"/>
                        <wps:cNvSpPr/>
                        <wps:spPr>
                          <a:xfrm>
                            <a:off x="1053007" y="990837"/>
                            <a:ext cx="5649595" cy="7342505"/>
                          </a:xfrm>
                          <a:custGeom>
                            <a:avLst/>
                            <a:gdLst/>
                            <a:ahLst/>
                            <a:cxnLst/>
                            <a:rect l="l" t="t" r="r" b="b"/>
                            <a:pathLst>
                              <a:path w="5649595" h="7342505">
                                <a:moveTo>
                                  <a:pt x="24384" y="132702"/>
                                </a:moveTo>
                                <a:lnTo>
                                  <a:pt x="18288" y="132702"/>
                                </a:lnTo>
                                <a:lnTo>
                                  <a:pt x="18288" y="7336015"/>
                                </a:lnTo>
                                <a:lnTo>
                                  <a:pt x="24384" y="7336015"/>
                                </a:lnTo>
                                <a:lnTo>
                                  <a:pt x="24384" y="132702"/>
                                </a:lnTo>
                                <a:close/>
                              </a:path>
                              <a:path w="5649595" h="7342505">
                                <a:moveTo>
                                  <a:pt x="5630862" y="7336028"/>
                                </a:moveTo>
                                <a:lnTo>
                                  <a:pt x="5624830" y="7336028"/>
                                </a:lnTo>
                                <a:lnTo>
                                  <a:pt x="24384" y="7336028"/>
                                </a:lnTo>
                                <a:lnTo>
                                  <a:pt x="18288" y="7336028"/>
                                </a:lnTo>
                                <a:lnTo>
                                  <a:pt x="18288" y="7342111"/>
                                </a:lnTo>
                                <a:lnTo>
                                  <a:pt x="24384" y="7342111"/>
                                </a:lnTo>
                                <a:lnTo>
                                  <a:pt x="5624779" y="7342111"/>
                                </a:lnTo>
                                <a:lnTo>
                                  <a:pt x="5630862" y="7342111"/>
                                </a:lnTo>
                                <a:lnTo>
                                  <a:pt x="5630862" y="7336028"/>
                                </a:lnTo>
                                <a:close/>
                              </a:path>
                              <a:path w="5649595" h="7342505">
                                <a:moveTo>
                                  <a:pt x="5630862" y="132702"/>
                                </a:moveTo>
                                <a:lnTo>
                                  <a:pt x="5624779" y="132702"/>
                                </a:lnTo>
                                <a:lnTo>
                                  <a:pt x="5624779" y="7336015"/>
                                </a:lnTo>
                                <a:lnTo>
                                  <a:pt x="5630862" y="7336015"/>
                                </a:lnTo>
                                <a:lnTo>
                                  <a:pt x="5630862" y="132702"/>
                                </a:lnTo>
                                <a:close/>
                              </a:path>
                              <a:path w="5649595" h="7342505">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34250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8192" id="docshapegroup113" coordorigin="15,468" coordsize="12225,15352">
                <v:shape style="position:absolute;left:15;top:468;width:12225;height:15352" type="#_x0000_t75" id="docshape114" stroked="false">
                  <v:imagedata r:id="rId5" o:title=""/>
                </v:shape>
                <v:shape style="position:absolute;left:1673;top:2028;width:8897;height:11563" id="docshape115" coordorigin="1673,2028" coordsize="8897,11563" path="m1712,2237l1702,2237,1702,13581,1712,13581,1712,2237xm10541,13581l10531,13581,10531,13581,1712,13581,1702,13581,1702,13591,1712,13591,10531,13591,10531,13591,10541,13591,10541,13581xm10541,2237l10531,2237,10531,13581,10541,13581,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33</w:t>
      </w:r>
    </w:p>
    <w:p>
      <w:pPr>
        <w:pStyle w:val="BodyText"/>
        <w:spacing w:before="227"/>
        <w:ind w:left="734"/>
        <w:jc w:val="both"/>
      </w:pPr>
      <w:r>
        <w:rPr/>
        <w:t>"Para</w:t>
      </w:r>
      <w:r>
        <w:rPr>
          <w:spacing w:val="-5"/>
        </w:rPr>
        <w:t> </w:t>
      </w:r>
      <w:r>
        <w:rPr/>
        <w:t>la</w:t>
      </w:r>
      <w:r>
        <w:rPr>
          <w:spacing w:val="-5"/>
        </w:rPr>
        <w:t> </w:t>
      </w:r>
      <w:r>
        <w:rPr/>
        <w:t>medición</w:t>
      </w:r>
      <w:r>
        <w:rPr>
          <w:spacing w:val="-4"/>
        </w:rPr>
        <w:t> </w:t>
      </w:r>
      <w:r>
        <w:rPr/>
        <w:t>del</w:t>
      </w:r>
      <w:r>
        <w:rPr>
          <w:spacing w:val="-3"/>
        </w:rPr>
        <w:t> </w:t>
      </w:r>
      <w:r>
        <w:rPr/>
        <w:t>valor</w:t>
      </w:r>
      <w:r>
        <w:rPr>
          <w:spacing w:val="-3"/>
        </w:rPr>
        <w:t> </w:t>
      </w:r>
      <w:r>
        <w:rPr/>
        <w:t>en</w:t>
      </w:r>
      <w:r>
        <w:rPr>
          <w:spacing w:val="-4"/>
        </w:rPr>
        <w:t> </w:t>
      </w:r>
      <w:r>
        <w:rPr/>
        <w:t>uso,</w:t>
      </w:r>
      <w:r>
        <w:rPr>
          <w:spacing w:val="-6"/>
        </w:rPr>
        <w:t> </w:t>
      </w:r>
      <w:r>
        <w:rPr/>
        <w:t>las</w:t>
      </w:r>
      <w:r>
        <w:rPr>
          <w:spacing w:val="-3"/>
        </w:rPr>
        <w:t> </w:t>
      </w:r>
      <w:r>
        <w:rPr/>
        <w:t>políticas</w:t>
      </w:r>
      <w:r>
        <w:rPr>
          <w:spacing w:val="-2"/>
        </w:rPr>
        <w:t> </w:t>
      </w:r>
      <w:r>
        <w:rPr/>
        <w:t>contables</w:t>
      </w:r>
      <w:r>
        <w:rPr>
          <w:spacing w:val="-2"/>
        </w:rPr>
        <w:t> </w:t>
      </w:r>
      <w:r>
        <w:rPr/>
        <w:t>de</w:t>
      </w:r>
      <w:r>
        <w:rPr>
          <w:spacing w:val="-6"/>
        </w:rPr>
        <w:t> </w:t>
      </w:r>
      <w:r>
        <w:rPr/>
        <w:t>la</w:t>
      </w:r>
      <w:r>
        <w:rPr>
          <w:spacing w:val="-5"/>
        </w:rPr>
        <w:t> </w:t>
      </w:r>
      <w:r>
        <w:rPr/>
        <w:t>entidad</w:t>
      </w:r>
      <w:r>
        <w:rPr>
          <w:spacing w:val="-3"/>
        </w:rPr>
        <w:t> </w:t>
      </w:r>
      <w:r>
        <w:rPr>
          <w:spacing w:val="-2"/>
        </w:rPr>
        <w:t>permiten</w:t>
      </w:r>
    </w:p>
    <w:p>
      <w:pPr>
        <w:pStyle w:val="ListParagraph"/>
        <w:numPr>
          <w:ilvl w:val="0"/>
          <w:numId w:val="26"/>
        </w:numPr>
        <w:tabs>
          <w:tab w:pos="1010" w:val="left" w:leader="none"/>
        </w:tabs>
        <w:spacing w:line="240" w:lineRule="auto" w:before="162" w:after="0"/>
        <w:ind w:left="1010" w:right="0" w:hanging="276"/>
        <w:jc w:val="left"/>
        <w:rPr>
          <w:sz w:val="22"/>
        </w:rPr>
      </w:pPr>
      <w:r>
        <w:rPr>
          <w:sz w:val="22"/>
        </w:rPr>
        <w:t>enfoque</w:t>
      </w:r>
      <w:r>
        <w:rPr>
          <w:spacing w:val="-5"/>
          <w:sz w:val="22"/>
        </w:rPr>
        <w:t> </w:t>
      </w:r>
      <w:r>
        <w:rPr>
          <w:sz w:val="22"/>
        </w:rPr>
        <w:t>de</w:t>
      </w:r>
      <w:r>
        <w:rPr>
          <w:spacing w:val="-4"/>
          <w:sz w:val="22"/>
        </w:rPr>
        <w:t> </w:t>
      </w:r>
      <w:r>
        <w:rPr>
          <w:sz w:val="22"/>
        </w:rPr>
        <w:t>costo</w:t>
      </w:r>
      <w:r>
        <w:rPr>
          <w:spacing w:val="-3"/>
          <w:sz w:val="22"/>
        </w:rPr>
        <w:t> </w:t>
      </w:r>
      <w:r>
        <w:rPr>
          <w:sz w:val="22"/>
        </w:rPr>
        <w:t>de</w:t>
      </w:r>
      <w:r>
        <w:rPr>
          <w:spacing w:val="-4"/>
          <w:sz w:val="22"/>
        </w:rPr>
        <w:t> </w:t>
      </w:r>
      <w:r>
        <w:rPr>
          <w:sz w:val="22"/>
        </w:rPr>
        <w:t>reposición</w:t>
      </w:r>
      <w:r>
        <w:rPr>
          <w:spacing w:val="-4"/>
          <w:sz w:val="22"/>
        </w:rPr>
        <w:t> </w:t>
      </w:r>
      <w:r>
        <w:rPr>
          <w:spacing w:val="-2"/>
          <w:sz w:val="22"/>
        </w:rPr>
        <w:t>depreciado;</w:t>
      </w:r>
    </w:p>
    <w:p>
      <w:pPr>
        <w:pStyle w:val="ListParagraph"/>
        <w:numPr>
          <w:ilvl w:val="0"/>
          <w:numId w:val="26"/>
        </w:numPr>
        <w:tabs>
          <w:tab w:pos="1029" w:val="left" w:leader="none"/>
        </w:tabs>
        <w:spacing w:line="240" w:lineRule="auto" w:before="160" w:after="0"/>
        <w:ind w:left="1029" w:right="0" w:hanging="295"/>
        <w:jc w:val="left"/>
        <w:rPr>
          <w:sz w:val="22"/>
        </w:rPr>
      </w:pPr>
      <w:r>
        <w:rPr>
          <w:sz w:val="22"/>
        </w:rPr>
        <w:t>enfoque</w:t>
      </w:r>
      <w:r>
        <w:rPr>
          <w:spacing w:val="-6"/>
          <w:sz w:val="22"/>
        </w:rPr>
        <w:t> </w:t>
      </w:r>
      <w:r>
        <w:rPr>
          <w:sz w:val="22"/>
        </w:rPr>
        <w:t>de</w:t>
      </w:r>
      <w:r>
        <w:rPr>
          <w:spacing w:val="-6"/>
          <w:sz w:val="22"/>
        </w:rPr>
        <w:t> </w:t>
      </w:r>
      <w:r>
        <w:rPr>
          <w:sz w:val="22"/>
        </w:rPr>
        <w:t>costo</w:t>
      </w:r>
      <w:r>
        <w:rPr>
          <w:spacing w:val="-2"/>
          <w:sz w:val="22"/>
        </w:rPr>
        <w:t> </w:t>
      </w:r>
      <w:r>
        <w:rPr>
          <w:sz w:val="22"/>
        </w:rPr>
        <w:t>de</w:t>
      </w:r>
      <w:r>
        <w:rPr>
          <w:spacing w:val="-6"/>
          <w:sz w:val="22"/>
        </w:rPr>
        <w:t> </w:t>
      </w:r>
      <w:r>
        <w:rPr>
          <w:sz w:val="22"/>
        </w:rPr>
        <w:t>restauración;</w:t>
      </w:r>
      <w:r>
        <w:rPr>
          <w:spacing w:val="-3"/>
          <w:sz w:val="22"/>
        </w:rPr>
        <w:t> </w:t>
      </w:r>
      <w:r>
        <w:rPr>
          <w:spacing w:val="-10"/>
          <w:sz w:val="22"/>
        </w:rPr>
        <w:t>o</w:t>
      </w:r>
    </w:p>
    <w:p>
      <w:pPr>
        <w:pStyle w:val="ListParagraph"/>
        <w:numPr>
          <w:ilvl w:val="0"/>
          <w:numId w:val="26"/>
        </w:numPr>
        <w:tabs>
          <w:tab w:pos="1008" w:val="left" w:leader="none"/>
        </w:tabs>
        <w:spacing w:line="240" w:lineRule="auto" w:before="159" w:after="0"/>
        <w:ind w:left="1008" w:right="0" w:hanging="274"/>
        <w:jc w:val="left"/>
        <w:rPr>
          <w:sz w:val="22"/>
        </w:rPr>
      </w:pPr>
      <w:r>
        <w:rPr>
          <w:sz w:val="22"/>
        </w:rPr>
        <w:t>enfoque</w:t>
      </w:r>
      <w:r>
        <w:rPr>
          <w:spacing w:val="-5"/>
          <w:sz w:val="22"/>
        </w:rPr>
        <w:t> </w:t>
      </w:r>
      <w:r>
        <w:rPr>
          <w:sz w:val="22"/>
        </w:rPr>
        <w:t>de</w:t>
      </w:r>
      <w:r>
        <w:rPr>
          <w:spacing w:val="-5"/>
          <w:sz w:val="22"/>
        </w:rPr>
        <w:t> </w:t>
      </w:r>
      <w:r>
        <w:rPr>
          <w:sz w:val="22"/>
        </w:rPr>
        <w:t>unidades</w:t>
      </w:r>
      <w:r>
        <w:rPr>
          <w:spacing w:val="-2"/>
          <w:sz w:val="22"/>
        </w:rPr>
        <w:t> </w:t>
      </w:r>
      <w:r>
        <w:rPr>
          <w:sz w:val="22"/>
        </w:rPr>
        <w:t>de</w:t>
      </w:r>
      <w:r>
        <w:rPr>
          <w:spacing w:val="-4"/>
          <w:sz w:val="22"/>
        </w:rPr>
        <w:t> </w:t>
      </w:r>
      <w:r>
        <w:rPr>
          <w:spacing w:val="-2"/>
          <w:sz w:val="22"/>
        </w:rPr>
        <w:t>servicio</w:t>
      </w:r>
    </w:p>
    <w:p>
      <w:pPr>
        <w:pStyle w:val="BodyText"/>
        <w:spacing w:before="160"/>
        <w:ind w:left="734" w:right="1089"/>
        <w:jc w:val="both"/>
      </w:pPr>
      <w:r>
        <w:rPr/>
        <w:t>Según la política general 1. 208 se debe utilizar el enfoque del costo de reposición depreciado del activo: es el monto total que insumiría, a través de una reposición, reponer el potencial de servicio bruto del activo, y se mide como el costo de reproducción o el costo de reposición del activo, el menor</w:t>
      </w:r>
      <w:r>
        <w:rPr>
          <w:spacing w:val="-12"/>
        </w:rPr>
        <w:t> </w:t>
      </w:r>
      <w:r>
        <w:rPr/>
        <w:t>de</w:t>
      </w:r>
      <w:r>
        <w:rPr>
          <w:spacing w:val="-13"/>
        </w:rPr>
        <w:t> </w:t>
      </w:r>
      <w:r>
        <w:rPr/>
        <w:t>ambos,</w:t>
      </w:r>
      <w:r>
        <w:rPr>
          <w:spacing w:val="-14"/>
        </w:rPr>
        <w:t> </w:t>
      </w:r>
      <w:r>
        <w:rPr/>
        <w:t>menos</w:t>
      </w:r>
      <w:r>
        <w:rPr>
          <w:spacing w:val="-10"/>
        </w:rPr>
        <w:t> </w:t>
      </w:r>
      <w:r>
        <w:rPr/>
        <w:t>la</w:t>
      </w:r>
      <w:r>
        <w:rPr>
          <w:spacing w:val="-14"/>
        </w:rPr>
        <w:t> </w:t>
      </w:r>
      <w:r>
        <w:rPr/>
        <w:t>depreciación</w:t>
      </w:r>
      <w:r>
        <w:rPr>
          <w:spacing w:val="-11"/>
        </w:rPr>
        <w:t> </w:t>
      </w:r>
      <w:r>
        <w:rPr/>
        <w:t>acumulada</w:t>
      </w:r>
      <w:r>
        <w:rPr>
          <w:spacing w:val="-13"/>
        </w:rPr>
        <w:t> </w:t>
      </w:r>
      <w:r>
        <w:rPr/>
        <w:t>calculada</w:t>
      </w:r>
      <w:r>
        <w:rPr>
          <w:spacing w:val="-13"/>
        </w:rPr>
        <w:t> </w:t>
      </w:r>
      <w:r>
        <w:rPr/>
        <w:t>sobre</w:t>
      </w:r>
      <w:r>
        <w:rPr>
          <w:spacing w:val="-13"/>
        </w:rPr>
        <w:t> </w:t>
      </w:r>
      <w:r>
        <w:rPr/>
        <w:t>la</w:t>
      </w:r>
      <w:r>
        <w:rPr>
          <w:spacing w:val="-13"/>
        </w:rPr>
        <w:t> </w:t>
      </w:r>
      <w:r>
        <w:rPr/>
        <w:t>base</w:t>
      </w:r>
      <w:r>
        <w:rPr>
          <w:spacing w:val="-13"/>
        </w:rPr>
        <w:t> </w:t>
      </w:r>
      <w:r>
        <w:rPr/>
        <w:t>de</w:t>
      </w:r>
      <w:r>
        <w:rPr>
          <w:spacing w:val="-13"/>
        </w:rPr>
        <w:t> </w:t>
      </w:r>
      <w:r>
        <w:rPr/>
        <w:t>tal</w:t>
      </w:r>
      <w:r>
        <w:rPr>
          <w:spacing w:val="-13"/>
        </w:rPr>
        <w:t> </w:t>
      </w:r>
      <w:r>
        <w:rPr/>
        <w:t>costo,</w:t>
      </w:r>
      <w:r>
        <w:rPr>
          <w:spacing w:val="-12"/>
        </w:rPr>
        <w:t> </w:t>
      </w:r>
      <w:r>
        <w:rPr/>
        <w:t>para</w:t>
      </w:r>
      <w:r>
        <w:rPr>
          <w:spacing w:val="-12"/>
        </w:rPr>
        <w:t> </w:t>
      </w:r>
      <w:r>
        <w:rPr/>
        <w:t>reflejar la parte ya consumida o potencial de servicio agotado del activo. A efectos de identificar el servicio bruto</w:t>
      </w:r>
      <w:r>
        <w:rPr>
          <w:spacing w:val="-9"/>
        </w:rPr>
        <w:t> </w:t>
      </w:r>
      <w:r>
        <w:rPr/>
        <w:t>a</w:t>
      </w:r>
      <w:r>
        <w:rPr>
          <w:spacing w:val="-10"/>
        </w:rPr>
        <w:t> </w:t>
      </w:r>
      <w:r>
        <w:rPr/>
        <w:t>reponer</w:t>
      </w:r>
      <w:r>
        <w:rPr>
          <w:spacing w:val="-10"/>
        </w:rPr>
        <w:t> </w:t>
      </w:r>
      <w:r>
        <w:rPr/>
        <w:t>debe</w:t>
      </w:r>
      <w:r>
        <w:rPr>
          <w:spacing w:val="-11"/>
        </w:rPr>
        <w:t> </w:t>
      </w:r>
      <w:r>
        <w:rPr/>
        <w:t>prestarse</w:t>
      </w:r>
      <w:r>
        <w:rPr>
          <w:spacing w:val="-11"/>
        </w:rPr>
        <w:t> </w:t>
      </w:r>
      <w:r>
        <w:rPr/>
        <w:t>atención</w:t>
      </w:r>
      <w:r>
        <w:rPr>
          <w:spacing w:val="-9"/>
        </w:rPr>
        <w:t> </w:t>
      </w:r>
      <w:r>
        <w:rPr/>
        <w:t>al</w:t>
      </w:r>
      <w:r>
        <w:rPr>
          <w:spacing w:val="-10"/>
        </w:rPr>
        <w:t> </w:t>
      </w:r>
      <w:r>
        <w:rPr/>
        <w:t>servicio</w:t>
      </w:r>
      <w:r>
        <w:rPr>
          <w:spacing w:val="-9"/>
        </w:rPr>
        <w:t> </w:t>
      </w:r>
      <w:r>
        <w:rPr/>
        <w:t>efectivamente</w:t>
      </w:r>
      <w:r>
        <w:rPr>
          <w:spacing w:val="-10"/>
        </w:rPr>
        <w:t> </w:t>
      </w:r>
      <w:r>
        <w:rPr/>
        <w:t>prestado</w:t>
      </w:r>
      <w:r>
        <w:rPr>
          <w:spacing w:val="-9"/>
        </w:rPr>
        <w:t> </w:t>
      </w:r>
      <w:r>
        <w:rPr/>
        <w:t>con</w:t>
      </w:r>
      <w:r>
        <w:rPr>
          <w:spacing w:val="-9"/>
        </w:rPr>
        <w:t> </w:t>
      </w:r>
      <w:r>
        <w:rPr/>
        <w:t>el</w:t>
      </w:r>
      <w:r>
        <w:rPr>
          <w:spacing w:val="-10"/>
        </w:rPr>
        <w:t> </w:t>
      </w:r>
      <w:r>
        <w:rPr/>
        <w:t>activo</w:t>
      </w:r>
      <w:r>
        <w:rPr>
          <w:spacing w:val="-9"/>
        </w:rPr>
        <w:t> </w:t>
      </w:r>
      <w:r>
        <w:rPr/>
        <w:t>(en</w:t>
      </w:r>
      <w:r>
        <w:rPr>
          <w:spacing w:val="-9"/>
        </w:rPr>
        <w:t> </w:t>
      </w:r>
      <w:r>
        <w:rPr/>
        <w:t>los</w:t>
      </w:r>
      <w:r>
        <w:rPr>
          <w:spacing w:val="-9"/>
        </w:rPr>
        <w:t> </w:t>
      </w:r>
      <w:r>
        <w:rPr/>
        <w:t>casos que se subutilice el potencial de servicio del activo), así como a la eventual necesidad de mantener permanentemente un potencial de servicio mayor al realmente prestado, como ser contar con equipos adicionales al efectivamente utilizado, para atender imponderables de ausencia de funcionamiento del equipo principal.</w:t>
      </w:r>
    </w:p>
    <w:p>
      <w:pPr>
        <w:pStyle w:val="BodyText"/>
        <w:spacing w:before="160"/>
        <w:ind w:left="734" w:right="1145"/>
        <w:jc w:val="both"/>
      </w:pPr>
      <w:r>
        <w:rPr/>
        <w:t>La</w:t>
      </w:r>
      <w:r>
        <w:rPr>
          <w:spacing w:val="-3"/>
        </w:rPr>
        <w:t> </w:t>
      </w:r>
      <w:r>
        <w:rPr/>
        <w:t>entidad</w:t>
      </w:r>
      <w:r>
        <w:rPr>
          <w:spacing w:val="-2"/>
        </w:rPr>
        <w:t> </w:t>
      </w:r>
      <w:r>
        <w:rPr/>
        <w:t>y</w:t>
      </w:r>
      <w:r>
        <w:rPr>
          <w:spacing w:val="-2"/>
        </w:rPr>
        <w:t> </w:t>
      </w:r>
      <w:r>
        <w:rPr/>
        <w:t>de</w:t>
      </w:r>
      <w:r>
        <w:rPr>
          <w:spacing w:val="-2"/>
        </w:rPr>
        <w:t> </w:t>
      </w:r>
      <w:r>
        <w:rPr/>
        <w:t>conformidad</w:t>
      </w:r>
      <w:r>
        <w:rPr>
          <w:spacing w:val="-2"/>
        </w:rPr>
        <w:t> </w:t>
      </w:r>
      <w:r>
        <w:rPr/>
        <w:t>con</w:t>
      </w:r>
      <w:r>
        <w:rPr>
          <w:spacing w:val="-2"/>
        </w:rPr>
        <w:t> </w:t>
      </w:r>
      <w:r>
        <w:rPr/>
        <w:t>las</w:t>
      </w:r>
      <w:r>
        <w:rPr>
          <w:spacing w:val="-1"/>
        </w:rPr>
        <w:t> </w:t>
      </w:r>
      <w:r>
        <w:rPr/>
        <w:t>políticas</w:t>
      </w:r>
      <w:r>
        <w:rPr>
          <w:spacing w:val="-1"/>
        </w:rPr>
        <w:t> </w:t>
      </w:r>
      <w:r>
        <w:rPr/>
        <w:t>contables,</w:t>
      </w:r>
      <w:r>
        <w:rPr>
          <w:spacing w:val="-2"/>
        </w:rPr>
        <w:t> </w:t>
      </w:r>
      <w:r>
        <w:rPr/>
        <w:t>define</w:t>
      </w:r>
      <w:r>
        <w:rPr>
          <w:spacing w:val="-3"/>
        </w:rPr>
        <w:t> </w:t>
      </w:r>
      <w:r>
        <w:rPr/>
        <w:t>las</w:t>
      </w:r>
      <w:r>
        <w:rPr>
          <w:spacing w:val="-1"/>
        </w:rPr>
        <w:t> </w:t>
      </w:r>
      <w:r>
        <w:rPr/>
        <w:t>actividades</w:t>
      </w:r>
      <w:r>
        <w:rPr>
          <w:spacing w:val="-1"/>
        </w:rPr>
        <w:t> </w:t>
      </w:r>
      <w:r>
        <w:rPr/>
        <w:t>de</w:t>
      </w:r>
      <w:r>
        <w:rPr>
          <w:spacing w:val="-4"/>
        </w:rPr>
        <w:t> </w:t>
      </w:r>
      <w:r>
        <w:rPr/>
        <w:t>oficinas</w:t>
      </w:r>
      <w:r>
        <w:rPr>
          <w:spacing w:val="-1"/>
        </w:rPr>
        <w:t> </w:t>
      </w:r>
      <w:r>
        <w:rPr/>
        <w:t>centrales y Áreas Regionales como unidades no generadoras de efectivo, con exclusión de la Unidad de Administración Tributaria.</w:t>
      </w:r>
    </w:p>
    <w:p>
      <w:pPr>
        <w:pStyle w:val="BodyText"/>
        <w:spacing w:before="159"/>
        <w:ind w:left="734" w:right="1139"/>
        <w:jc w:val="both"/>
      </w:pPr>
      <w:r>
        <w:rPr/>
        <w:t>Dentro</w:t>
      </w:r>
      <w:r>
        <w:rPr>
          <w:spacing w:val="-14"/>
        </w:rPr>
        <w:t> </w:t>
      </w:r>
      <w:r>
        <w:rPr/>
        <w:t>de</w:t>
      </w:r>
      <w:r>
        <w:rPr>
          <w:spacing w:val="-14"/>
        </w:rPr>
        <w:t> </w:t>
      </w:r>
      <w:r>
        <w:rPr/>
        <w:t>su</w:t>
      </w:r>
      <w:r>
        <w:rPr>
          <w:spacing w:val="-14"/>
        </w:rPr>
        <w:t> </w:t>
      </w:r>
      <w:r>
        <w:rPr/>
        <w:t>normativa</w:t>
      </w:r>
      <w:r>
        <w:rPr>
          <w:spacing w:val="-13"/>
        </w:rPr>
        <w:t> </w:t>
      </w:r>
      <w:r>
        <w:rPr/>
        <w:t>interna,</w:t>
      </w:r>
      <w:r>
        <w:rPr>
          <w:spacing w:val="-14"/>
        </w:rPr>
        <w:t> </w:t>
      </w:r>
      <w:r>
        <w:rPr/>
        <w:t>se</w:t>
      </w:r>
      <w:r>
        <w:rPr>
          <w:spacing w:val="-13"/>
        </w:rPr>
        <w:t> </w:t>
      </w:r>
      <w:r>
        <w:rPr/>
        <w:t>ha</w:t>
      </w:r>
      <w:r>
        <w:rPr>
          <w:spacing w:val="-13"/>
        </w:rPr>
        <w:t> </w:t>
      </w:r>
      <w:r>
        <w:rPr/>
        <w:t>establecido</w:t>
      </w:r>
      <w:r>
        <w:rPr>
          <w:spacing w:val="-11"/>
        </w:rPr>
        <w:t> </w:t>
      </w:r>
      <w:r>
        <w:rPr/>
        <w:t>que</w:t>
      </w:r>
      <w:r>
        <w:rPr>
          <w:spacing w:val="-14"/>
        </w:rPr>
        <w:t> </w:t>
      </w:r>
      <w:r>
        <w:rPr/>
        <w:t>los</w:t>
      </w:r>
      <w:r>
        <w:rPr>
          <w:spacing w:val="-11"/>
        </w:rPr>
        <w:t> </w:t>
      </w:r>
      <w:r>
        <w:rPr/>
        <w:t>bienes</w:t>
      </w:r>
      <w:r>
        <w:rPr>
          <w:spacing w:val="-13"/>
        </w:rPr>
        <w:t> </w:t>
      </w:r>
      <w:r>
        <w:rPr/>
        <w:t>en</w:t>
      </w:r>
      <w:r>
        <w:rPr>
          <w:spacing w:val="-12"/>
        </w:rPr>
        <w:t> </w:t>
      </w:r>
      <w:r>
        <w:rPr/>
        <w:t>desuso</w:t>
      </w:r>
      <w:r>
        <w:rPr>
          <w:spacing w:val="-11"/>
        </w:rPr>
        <w:t> </w:t>
      </w:r>
      <w:r>
        <w:rPr/>
        <w:t>y</w:t>
      </w:r>
      <w:r>
        <w:rPr>
          <w:spacing w:val="-14"/>
        </w:rPr>
        <w:t> </w:t>
      </w:r>
      <w:r>
        <w:rPr/>
        <w:t>mal</w:t>
      </w:r>
      <w:r>
        <w:rPr>
          <w:spacing w:val="-12"/>
        </w:rPr>
        <w:t> </w:t>
      </w:r>
      <w:r>
        <w:rPr/>
        <w:t>estado</w:t>
      </w:r>
      <w:r>
        <w:rPr>
          <w:spacing w:val="-14"/>
        </w:rPr>
        <w:t> </w:t>
      </w:r>
      <w:r>
        <w:rPr/>
        <w:t>se</w:t>
      </w:r>
      <w:r>
        <w:rPr>
          <w:spacing w:val="-13"/>
        </w:rPr>
        <w:t> </w:t>
      </w:r>
      <w:r>
        <w:rPr/>
        <w:t>disponen de ellos para donación, dándoseles de baja en el periodo. Sin embargo, si se aplica deterioro, los saldos acumulados se refieren a los registros del periodo 2019 de los siguientes terrenos, en el periodo que se presenta no hay indicios de recuperación.</w:t>
      </w:r>
    </w:p>
    <w:p>
      <w:pPr>
        <w:pStyle w:val="BodyText"/>
        <w:spacing w:before="1"/>
        <w:rPr>
          <w:sz w:val="14"/>
        </w:rPr>
      </w:pPr>
    </w:p>
    <w:tbl>
      <w:tblPr>
        <w:tblW w:w="0" w:type="auto"/>
        <w:jc w:val="left"/>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
        <w:gridCol w:w="606"/>
        <w:gridCol w:w="621"/>
        <w:gridCol w:w="606"/>
        <w:gridCol w:w="606"/>
        <w:gridCol w:w="606"/>
        <w:gridCol w:w="902"/>
        <w:gridCol w:w="606"/>
        <w:gridCol w:w="697"/>
        <w:gridCol w:w="902"/>
        <w:gridCol w:w="735"/>
        <w:gridCol w:w="675"/>
      </w:tblGrid>
      <w:tr>
        <w:trPr>
          <w:trHeight w:val="596" w:hRule="atLeast"/>
        </w:trPr>
        <w:tc>
          <w:tcPr>
            <w:tcW w:w="606" w:type="dxa"/>
            <w:shd w:val="clear" w:color="auto" w:fill="D9D9D9"/>
          </w:tcPr>
          <w:p>
            <w:pPr>
              <w:pStyle w:val="TableParagraph"/>
              <w:spacing w:line="271" w:lineRule="auto" w:before="7"/>
              <w:ind w:left="222" w:hanging="190"/>
              <w:rPr>
                <w:rFonts w:ascii="Calibri"/>
                <w:b/>
                <w:sz w:val="11"/>
              </w:rPr>
            </w:pPr>
            <w:r>
              <w:rPr>
                <w:rFonts w:ascii="Calibri"/>
                <w:b/>
                <w:spacing w:val="-2"/>
                <w:sz w:val="11"/>
              </w:rPr>
              <w:t>Expediente</w:t>
            </w:r>
            <w:r>
              <w:rPr>
                <w:rFonts w:ascii="Calibri"/>
                <w:b/>
                <w:spacing w:val="40"/>
                <w:w w:val="105"/>
                <w:sz w:val="11"/>
              </w:rPr>
              <w:t> </w:t>
            </w:r>
            <w:r>
              <w:rPr>
                <w:rFonts w:ascii="Calibri"/>
                <w:b/>
                <w:spacing w:val="-4"/>
                <w:w w:val="105"/>
                <w:sz w:val="11"/>
              </w:rPr>
              <w:t>No.</w:t>
            </w:r>
          </w:p>
        </w:tc>
        <w:tc>
          <w:tcPr>
            <w:tcW w:w="606" w:type="dxa"/>
            <w:shd w:val="clear" w:color="auto" w:fill="D9D9D9"/>
          </w:tcPr>
          <w:p>
            <w:pPr>
              <w:pStyle w:val="TableParagraph"/>
              <w:spacing w:before="7"/>
              <w:ind w:left="16" w:right="7"/>
              <w:jc w:val="center"/>
              <w:rPr>
                <w:rFonts w:ascii="Calibri"/>
                <w:b/>
                <w:sz w:val="11"/>
              </w:rPr>
            </w:pPr>
            <w:r>
              <w:rPr>
                <w:rFonts w:ascii="Calibri"/>
                <w:b/>
                <w:sz w:val="11"/>
              </w:rPr>
              <w:t>Nuevo</w:t>
            </w:r>
            <w:r>
              <w:rPr>
                <w:rFonts w:ascii="Calibri"/>
                <w:b/>
                <w:spacing w:val="6"/>
                <w:sz w:val="11"/>
              </w:rPr>
              <w:t> </w:t>
            </w:r>
            <w:r>
              <w:rPr>
                <w:rFonts w:ascii="Calibri"/>
                <w:b/>
                <w:spacing w:val="-4"/>
                <w:sz w:val="11"/>
              </w:rPr>
              <w:t>#Act</w:t>
            </w:r>
          </w:p>
        </w:tc>
        <w:tc>
          <w:tcPr>
            <w:tcW w:w="621" w:type="dxa"/>
            <w:shd w:val="clear" w:color="auto" w:fill="D9D9D9"/>
          </w:tcPr>
          <w:p>
            <w:pPr>
              <w:pStyle w:val="TableParagraph"/>
              <w:spacing w:line="271" w:lineRule="auto" w:before="7"/>
              <w:ind w:left="101" w:right="89" w:firstLine="75"/>
              <w:rPr>
                <w:rFonts w:ascii="Calibri"/>
                <w:b/>
                <w:sz w:val="11"/>
              </w:rPr>
            </w:pPr>
            <w:r>
              <w:rPr>
                <w:rFonts w:ascii="Calibri"/>
                <w:b/>
                <w:spacing w:val="-4"/>
                <w:w w:val="105"/>
                <w:sz w:val="11"/>
              </w:rPr>
              <w:t>Costo</w:t>
            </w:r>
            <w:r>
              <w:rPr>
                <w:rFonts w:ascii="Calibri"/>
                <w:b/>
                <w:spacing w:val="40"/>
                <w:w w:val="105"/>
                <w:sz w:val="11"/>
              </w:rPr>
              <w:t> </w:t>
            </w:r>
            <w:r>
              <w:rPr>
                <w:rFonts w:ascii="Calibri"/>
                <w:b/>
                <w:spacing w:val="-2"/>
                <w:w w:val="105"/>
                <w:sz w:val="11"/>
              </w:rPr>
              <w:t>historico</w:t>
            </w:r>
          </w:p>
        </w:tc>
        <w:tc>
          <w:tcPr>
            <w:tcW w:w="606" w:type="dxa"/>
            <w:shd w:val="clear" w:color="auto" w:fill="D9D9D9"/>
          </w:tcPr>
          <w:p>
            <w:pPr>
              <w:pStyle w:val="TableParagraph"/>
              <w:spacing w:before="7"/>
              <w:ind w:left="177"/>
              <w:rPr>
                <w:rFonts w:ascii="Calibri"/>
                <w:b/>
                <w:sz w:val="11"/>
              </w:rPr>
            </w:pPr>
            <w:r>
              <w:rPr>
                <w:rFonts w:ascii="Calibri"/>
                <w:b/>
                <w:spacing w:val="-2"/>
                <w:w w:val="105"/>
                <w:sz w:val="11"/>
              </w:rPr>
              <w:t>Finca</w:t>
            </w:r>
          </w:p>
        </w:tc>
        <w:tc>
          <w:tcPr>
            <w:tcW w:w="606" w:type="dxa"/>
            <w:shd w:val="clear" w:color="auto" w:fill="D9D9D9"/>
          </w:tcPr>
          <w:p>
            <w:pPr>
              <w:pStyle w:val="TableParagraph"/>
              <w:spacing w:before="7"/>
              <w:ind w:left="132"/>
              <w:rPr>
                <w:rFonts w:ascii="Calibri"/>
                <w:b/>
                <w:sz w:val="11"/>
              </w:rPr>
            </w:pPr>
            <w:r>
              <w:rPr>
                <w:rFonts w:ascii="Calibri"/>
                <w:b/>
                <w:spacing w:val="-2"/>
                <w:w w:val="105"/>
                <w:sz w:val="11"/>
              </w:rPr>
              <w:t>distrito</w:t>
            </w:r>
          </w:p>
        </w:tc>
        <w:tc>
          <w:tcPr>
            <w:tcW w:w="606" w:type="dxa"/>
            <w:shd w:val="clear" w:color="auto" w:fill="D9D9D9"/>
          </w:tcPr>
          <w:p>
            <w:pPr>
              <w:pStyle w:val="TableParagraph"/>
              <w:spacing w:before="7"/>
              <w:ind w:left="34"/>
              <w:rPr>
                <w:rFonts w:ascii="Calibri"/>
                <w:b/>
                <w:sz w:val="11"/>
              </w:rPr>
            </w:pPr>
            <w:r>
              <w:rPr>
                <w:rFonts w:ascii="Calibri"/>
                <w:b/>
                <w:spacing w:val="-2"/>
                <w:w w:val="105"/>
                <w:sz w:val="11"/>
              </w:rPr>
              <w:t>codigo_zon</w:t>
            </w:r>
          </w:p>
        </w:tc>
        <w:tc>
          <w:tcPr>
            <w:tcW w:w="902" w:type="dxa"/>
            <w:shd w:val="clear" w:color="auto" w:fill="D9D9D9"/>
          </w:tcPr>
          <w:p>
            <w:pPr>
              <w:pStyle w:val="TableParagraph"/>
              <w:spacing w:before="7"/>
              <w:ind w:left="140"/>
              <w:rPr>
                <w:rFonts w:ascii="Calibri"/>
                <w:b/>
                <w:sz w:val="11"/>
              </w:rPr>
            </w:pPr>
            <w:r>
              <w:rPr>
                <w:rFonts w:ascii="Calibri"/>
                <w:b/>
                <w:spacing w:val="-2"/>
                <w:w w:val="105"/>
                <w:sz w:val="11"/>
              </w:rPr>
              <w:t>valor_urbano</w:t>
            </w:r>
          </w:p>
        </w:tc>
        <w:tc>
          <w:tcPr>
            <w:tcW w:w="606" w:type="dxa"/>
            <w:shd w:val="clear" w:color="auto" w:fill="D9D9D9"/>
          </w:tcPr>
          <w:p>
            <w:pPr>
              <w:pStyle w:val="TableParagraph"/>
              <w:spacing w:before="7"/>
              <w:ind w:right="39"/>
              <w:jc w:val="right"/>
              <w:rPr>
                <w:rFonts w:ascii="Calibri"/>
                <w:b/>
                <w:sz w:val="11"/>
              </w:rPr>
            </w:pPr>
            <w:r>
              <w:rPr>
                <w:rFonts w:ascii="Calibri"/>
                <w:b/>
                <w:spacing w:val="-2"/>
                <w:w w:val="105"/>
                <w:sz w:val="11"/>
              </w:rPr>
              <w:t>valor_rural</w:t>
            </w:r>
          </w:p>
        </w:tc>
        <w:tc>
          <w:tcPr>
            <w:tcW w:w="697" w:type="dxa"/>
            <w:shd w:val="clear" w:color="auto" w:fill="D9D9D9"/>
          </w:tcPr>
          <w:p>
            <w:pPr>
              <w:pStyle w:val="TableParagraph"/>
              <w:spacing w:line="271" w:lineRule="auto" w:before="7"/>
              <w:ind w:left="19" w:right="16"/>
              <w:jc w:val="center"/>
              <w:rPr>
                <w:rFonts w:ascii="Calibri"/>
                <w:b/>
                <w:sz w:val="11"/>
              </w:rPr>
            </w:pPr>
            <w:r>
              <w:rPr>
                <w:rFonts w:ascii="Calibri"/>
                <w:b/>
                <w:spacing w:val="-2"/>
                <w:w w:val="105"/>
                <w:sz w:val="11"/>
              </w:rPr>
              <w:t>Area</w:t>
            </w:r>
            <w:r>
              <w:rPr>
                <w:rFonts w:ascii="Calibri"/>
                <w:b/>
                <w:spacing w:val="-8"/>
                <w:w w:val="105"/>
                <w:sz w:val="11"/>
              </w:rPr>
              <w:t> </w:t>
            </w:r>
            <w:r>
              <w:rPr>
                <w:rFonts w:ascii="Calibri"/>
                <w:b/>
                <w:spacing w:val="-2"/>
                <w:w w:val="105"/>
                <w:sz w:val="11"/>
              </w:rPr>
              <w:t>Registral</w:t>
            </w:r>
            <w:r>
              <w:rPr>
                <w:rFonts w:ascii="Calibri"/>
                <w:b/>
                <w:spacing w:val="40"/>
                <w:w w:val="105"/>
                <w:sz w:val="11"/>
              </w:rPr>
              <w:t> </w:t>
            </w:r>
            <w:r>
              <w:rPr>
                <w:rFonts w:ascii="Calibri"/>
                <w:b/>
                <w:spacing w:val="-2"/>
                <w:w w:val="105"/>
                <w:sz w:val="11"/>
              </w:rPr>
              <w:t>(metros</w:t>
            </w:r>
            <w:r>
              <w:rPr>
                <w:rFonts w:ascii="Calibri"/>
                <w:b/>
                <w:spacing w:val="40"/>
                <w:w w:val="105"/>
                <w:sz w:val="11"/>
              </w:rPr>
              <w:t> </w:t>
            </w:r>
            <w:r>
              <w:rPr>
                <w:rFonts w:ascii="Calibri"/>
                <w:b/>
                <w:spacing w:val="-2"/>
                <w:w w:val="105"/>
                <w:sz w:val="11"/>
              </w:rPr>
              <w:t>cuadrados)</w:t>
            </w:r>
          </w:p>
        </w:tc>
        <w:tc>
          <w:tcPr>
            <w:tcW w:w="902" w:type="dxa"/>
            <w:shd w:val="clear" w:color="auto" w:fill="D9D9D9"/>
          </w:tcPr>
          <w:p>
            <w:pPr>
              <w:pStyle w:val="TableParagraph"/>
              <w:spacing w:before="109"/>
              <w:rPr>
                <w:sz w:val="11"/>
              </w:rPr>
            </w:pPr>
          </w:p>
          <w:p>
            <w:pPr>
              <w:pStyle w:val="TableParagraph"/>
              <w:ind w:right="21"/>
              <w:jc w:val="right"/>
              <w:rPr>
                <w:rFonts w:ascii="Calibri"/>
                <w:b/>
                <w:sz w:val="11"/>
              </w:rPr>
            </w:pPr>
            <w:r>
              <w:rPr>
                <w:rFonts w:ascii="Calibri"/>
                <w:b/>
                <w:sz w:val="11"/>
              </w:rPr>
              <w:t>VALOR</w:t>
            </w:r>
            <w:r>
              <w:rPr>
                <w:rFonts w:ascii="Calibri"/>
                <w:b/>
                <w:spacing w:val="-4"/>
                <w:sz w:val="11"/>
              </w:rPr>
              <w:t> </w:t>
            </w:r>
            <w:r>
              <w:rPr>
                <w:rFonts w:ascii="Calibri"/>
                <w:b/>
                <w:spacing w:val="-2"/>
                <w:sz w:val="11"/>
              </w:rPr>
              <w:t>ESTIMADO</w:t>
            </w:r>
          </w:p>
        </w:tc>
        <w:tc>
          <w:tcPr>
            <w:tcW w:w="735" w:type="dxa"/>
            <w:shd w:val="clear" w:color="auto" w:fill="D9D9D9"/>
          </w:tcPr>
          <w:p>
            <w:pPr>
              <w:pStyle w:val="TableParagraph"/>
              <w:spacing w:line="271" w:lineRule="auto" w:before="7"/>
              <w:ind w:left="247" w:right="46" w:hanging="198"/>
              <w:rPr>
                <w:rFonts w:ascii="Calibri"/>
                <w:b/>
                <w:sz w:val="11"/>
              </w:rPr>
            </w:pPr>
            <w:r>
              <w:rPr>
                <w:rFonts w:ascii="Calibri"/>
                <w:b/>
                <w:spacing w:val="-2"/>
                <w:w w:val="105"/>
                <w:sz w:val="11"/>
              </w:rPr>
              <w:t>Deterioro</w:t>
            </w:r>
            <w:r>
              <w:rPr>
                <w:rFonts w:ascii="Calibri"/>
                <w:b/>
                <w:spacing w:val="-5"/>
                <w:w w:val="105"/>
                <w:sz w:val="11"/>
              </w:rPr>
              <w:t> </w:t>
            </w:r>
            <w:r>
              <w:rPr>
                <w:rFonts w:ascii="Calibri"/>
                <w:b/>
                <w:spacing w:val="-2"/>
                <w:w w:val="105"/>
                <w:sz w:val="11"/>
              </w:rPr>
              <w:t>del</w:t>
            </w:r>
            <w:r>
              <w:rPr>
                <w:rFonts w:ascii="Calibri"/>
                <w:b/>
                <w:spacing w:val="40"/>
                <w:w w:val="105"/>
                <w:sz w:val="11"/>
              </w:rPr>
              <w:t> </w:t>
            </w:r>
            <w:r>
              <w:rPr>
                <w:rFonts w:ascii="Calibri"/>
                <w:b/>
                <w:spacing w:val="-2"/>
                <w:w w:val="105"/>
                <w:sz w:val="11"/>
              </w:rPr>
              <w:t>valor</w:t>
            </w:r>
          </w:p>
        </w:tc>
        <w:tc>
          <w:tcPr>
            <w:tcW w:w="675" w:type="dxa"/>
            <w:shd w:val="clear" w:color="auto" w:fill="D9D9D9"/>
          </w:tcPr>
          <w:p>
            <w:pPr>
              <w:pStyle w:val="TableParagraph"/>
              <w:spacing w:line="271" w:lineRule="auto" w:before="7"/>
              <w:ind w:left="209" w:right="122" w:hanging="69"/>
              <w:rPr>
                <w:rFonts w:ascii="Calibri"/>
                <w:b/>
                <w:sz w:val="11"/>
              </w:rPr>
            </w:pPr>
            <w:r>
              <w:rPr>
                <w:rFonts w:ascii="Calibri"/>
                <w:b/>
                <w:spacing w:val="-2"/>
                <w:w w:val="105"/>
                <w:sz w:val="11"/>
              </w:rPr>
              <w:t>Valor</w:t>
            </w:r>
            <w:r>
              <w:rPr>
                <w:rFonts w:ascii="Calibri"/>
                <w:b/>
                <w:spacing w:val="-7"/>
                <w:w w:val="105"/>
                <w:sz w:val="11"/>
              </w:rPr>
              <w:t> </w:t>
            </w:r>
            <w:r>
              <w:rPr>
                <w:rFonts w:ascii="Calibri"/>
                <w:b/>
                <w:spacing w:val="-2"/>
                <w:w w:val="105"/>
                <w:sz w:val="11"/>
              </w:rPr>
              <w:t>en</w:t>
            </w:r>
            <w:r>
              <w:rPr>
                <w:rFonts w:ascii="Calibri"/>
                <w:b/>
                <w:spacing w:val="40"/>
                <w:w w:val="105"/>
                <w:sz w:val="11"/>
              </w:rPr>
              <w:t> </w:t>
            </w:r>
            <w:r>
              <w:rPr>
                <w:rFonts w:ascii="Calibri"/>
                <w:b/>
                <w:spacing w:val="-2"/>
                <w:w w:val="105"/>
                <w:sz w:val="11"/>
              </w:rPr>
              <w:t>libros</w:t>
            </w:r>
          </w:p>
        </w:tc>
      </w:tr>
      <w:tr>
        <w:trPr>
          <w:trHeight w:val="141" w:hRule="atLeast"/>
        </w:trPr>
        <w:tc>
          <w:tcPr>
            <w:tcW w:w="606" w:type="dxa"/>
          </w:tcPr>
          <w:p>
            <w:pPr>
              <w:pStyle w:val="TableParagraph"/>
              <w:spacing w:line="84" w:lineRule="exact" w:before="37"/>
              <w:ind w:left="31"/>
              <w:jc w:val="center"/>
              <w:rPr>
                <w:rFonts w:ascii="Arial"/>
                <w:sz w:val="8"/>
              </w:rPr>
            </w:pPr>
            <w:r>
              <w:rPr>
                <w:rFonts w:ascii="Arial"/>
                <w:sz w:val="8"/>
              </w:rPr>
              <w:t>7-</w:t>
            </w:r>
            <w:r>
              <w:rPr>
                <w:rFonts w:ascii="Arial"/>
                <w:spacing w:val="-5"/>
                <w:sz w:val="8"/>
              </w:rPr>
              <w:t>65</w:t>
            </w:r>
          </w:p>
        </w:tc>
        <w:tc>
          <w:tcPr>
            <w:tcW w:w="606" w:type="dxa"/>
          </w:tcPr>
          <w:p>
            <w:pPr>
              <w:pStyle w:val="TableParagraph"/>
              <w:spacing w:line="84" w:lineRule="exact" w:before="37"/>
              <w:ind w:left="16" w:right="1"/>
              <w:jc w:val="center"/>
              <w:rPr>
                <w:rFonts w:ascii="Arial"/>
                <w:sz w:val="8"/>
              </w:rPr>
            </w:pPr>
            <w:r>
              <w:rPr>
                <w:rFonts w:ascii="Arial"/>
                <w:spacing w:val="-2"/>
                <w:w w:val="105"/>
                <w:sz w:val="8"/>
              </w:rPr>
              <w:t>2000235</w:t>
            </w:r>
          </w:p>
        </w:tc>
        <w:tc>
          <w:tcPr>
            <w:tcW w:w="621" w:type="dxa"/>
          </w:tcPr>
          <w:p>
            <w:pPr>
              <w:pStyle w:val="TableParagraph"/>
              <w:spacing w:line="84" w:lineRule="exact" w:before="37"/>
              <w:ind w:right="6"/>
              <w:jc w:val="right"/>
              <w:rPr>
                <w:rFonts w:ascii="Arial"/>
                <w:sz w:val="8"/>
              </w:rPr>
            </w:pPr>
            <w:r>
              <w:rPr>
                <w:rFonts w:ascii="Arial"/>
                <w:w w:val="105"/>
                <w:sz w:val="8"/>
              </w:rPr>
              <w:t>1</w:t>
            </w:r>
            <w:r>
              <w:rPr>
                <w:rFonts w:ascii="Arial"/>
                <w:spacing w:val="-7"/>
                <w:w w:val="105"/>
                <w:sz w:val="8"/>
              </w:rPr>
              <w:t> </w:t>
            </w:r>
            <w:r>
              <w:rPr>
                <w:rFonts w:ascii="Arial"/>
                <w:w w:val="105"/>
                <w:sz w:val="8"/>
              </w:rPr>
              <w:t>310</w:t>
            </w:r>
            <w:r>
              <w:rPr>
                <w:rFonts w:ascii="Arial"/>
                <w:spacing w:val="-5"/>
                <w:w w:val="105"/>
                <w:sz w:val="8"/>
              </w:rPr>
              <w:t> </w:t>
            </w:r>
            <w:r>
              <w:rPr>
                <w:rFonts w:ascii="Arial"/>
                <w:spacing w:val="-2"/>
                <w:w w:val="105"/>
                <w:sz w:val="8"/>
              </w:rPr>
              <w:t>000,00</w:t>
            </w:r>
          </w:p>
        </w:tc>
        <w:tc>
          <w:tcPr>
            <w:tcW w:w="606" w:type="dxa"/>
          </w:tcPr>
          <w:p>
            <w:pPr>
              <w:pStyle w:val="TableParagraph"/>
              <w:spacing w:line="84" w:lineRule="exact" w:before="37"/>
              <w:ind w:left="223"/>
              <w:rPr>
                <w:rFonts w:ascii="Arial"/>
                <w:sz w:val="8"/>
              </w:rPr>
            </w:pPr>
            <w:r>
              <w:rPr>
                <w:rFonts w:ascii="Arial"/>
                <w:w w:val="105"/>
                <w:sz w:val="8"/>
              </w:rPr>
              <w:t>96</w:t>
            </w:r>
            <w:r>
              <w:rPr>
                <w:rFonts w:ascii="Arial"/>
                <w:spacing w:val="-7"/>
                <w:w w:val="105"/>
                <w:sz w:val="8"/>
              </w:rPr>
              <w:t> </w:t>
            </w:r>
            <w:r>
              <w:rPr>
                <w:rFonts w:ascii="Arial"/>
                <w:spacing w:val="-2"/>
                <w:w w:val="105"/>
                <w:sz w:val="8"/>
              </w:rPr>
              <w:t>325,00</w:t>
            </w:r>
          </w:p>
        </w:tc>
        <w:tc>
          <w:tcPr>
            <w:tcW w:w="606" w:type="dxa"/>
          </w:tcPr>
          <w:p>
            <w:pPr>
              <w:pStyle w:val="TableParagraph"/>
              <w:spacing w:line="84" w:lineRule="exact" w:before="37"/>
              <w:ind w:right="5"/>
              <w:jc w:val="right"/>
              <w:rPr>
                <w:rFonts w:ascii="Arial"/>
                <w:sz w:val="8"/>
              </w:rPr>
            </w:pPr>
            <w:r>
              <w:rPr>
                <w:rFonts w:ascii="Arial"/>
                <w:w w:val="105"/>
                <w:sz w:val="8"/>
              </w:rPr>
              <w:t>70</w:t>
            </w:r>
            <w:r>
              <w:rPr>
                <w:rFonts w:ascii="Arial"/>
                <w:spacing w:val="-7"/>
                <w:w w:val="105"/>
                <w:sz w:val="8"/>
              </w:rPr>
              <w:t> </w:t>
            </w:r>
            <w:r>
              <w:rPr>
                <w:rFonts w:ascii="Arial"/>
                <w:spacing w:val="-2"/>
                <w:w w:val="105"/>
                <w:sz w:val="8"/>
              </w:rPr>
              <w:t>604,00</w:t>
            </w:r>
          </w:p>
        </w:tc>
        <w:tc>
          <w:tcPr>
            <w:tcW w:w="606" w:type="dxa"/>
          </w:tcPr>
          <w:p>
            <w:pPr>
              <w:pStyle w:val="TableParagraph"/>
              <w:spacing w:line="84" w:lineRule="exact" w:before="37"/>
              <w:ind w:left="19"/>
              <w:rPr>
                <w:rFonts w:ascii="Arial"/>
                <w:sz w:val="8"/>
              </w:rPr>
            </w:pPr>
            <w:r>
              <w:rPr>
                <w:rFonts w:ascii="Arial"/>
                <w:spacing w:val="-2"/>
                <w:w w:val="105"/>
                <w:sz w:val="8"/>
              </w:rPr>
              <w:t>R03/U03</w:t>
            </w:r>
          </w:p>
        </w:tc>
        <w:tc>
          <w:tcPr>
            <w:tcW w:w="902" w:type="dxa"/>
          </w:tcPr>
          <w:p>
            <w:pPr>
              <w:pStyle w:val="TableParagraph"/>
              <w:spacing w:line="84" w:lineRule="exact" w:before="37"/>
              <w:ind w:right="5"/>
              <w:jc w:val="right"/>
              <w:rPr>
                <w:rFonts w:ascii="Arial"/>
                <w:sz w:val="8"/>
              </w:rPr>
            </w:pPr>
            <w:r>
              <w:rPr>
                <w:rFonts w:ascii="Arial"/>
                <w:w w:val="105"/>
                <w:sz w:val="8"/>
              </w:rPr>
              <w:t>3</w:t>
            </w:r>
            <w:r>
              <w:rPr>
                <w:rFonts w:ascii="Arial"/>
                <w:spacing w:val="-3"/>
                <w:w w:val="105"/>
                <w:sz w:val="8"/>
              </w:rPr>
              <w:t> </w:t>
            </w:r>
            <w:r>
              <w:rPr>
                <w:rFonts w:ascii="Arial"/>
                <w:spacing w:val="-2"/>
                <w:w w:val="105"/>
                <w:sz w:val="8"/>
              </w:rPr>
              <w:t>600,00</w:t>
            </w:r>
          </w:p>
        </w:tc>
        <w:tc>
          <w:tcPr>
            <w:tcW w:w="606" w:type="dxa"/>
          </w:tcPr>
          <w:p>
            <w:pPr>
              <w:pStyle w:val="TableParagraph"/>
              <w:spacing w:line="84" w:lineRule="exact" w:before="37"/>
              <w:ind w:right="5"/>
              <w:jc w:val="right"/>
              <w:rPr>
                <w:rFonts w:ascii="Arial"/>
                <w:sz w:val="8"/>
              </w:rPr>
            </w:pPr>
            <w:r>
              <w:rPr>
                <w:rFonts w:ascii="Arial"/>
                <w:w w:val="105"/>
                <w:sz w:val="8"/>
              </w:rPr>
              <w:t>1</w:t>
            </w:r>
            <w:r>
              <w:rPr>
                <w:rFonts w:ascii="Arial"/>
                <w:spacing w:val="-3"/>
                <w:w w:val="105"/>
                <w:sz w:val="8"/>
              </w:rPr>
              <w:t> </w:t>
            </w:r>
            <w:r>
              <w:rPr>
                <w:rFonts w:ascii="Arial"/>
                <w:spacing w:val="-2"/>
                <w:w w:val="105"/>
                <w:sz w:val="8"/>
              </w:rPr>
              <w:t>600,00</w:t>
            </w:r>
          </w:p>
        </w:tc>
        <w:tc>
          <w:tcPr>
            <w:tcW w:w="697" w:type="dxa"/>
          </w:tcPr>
          <w:p>
            <w:pPr>
              <w:pStyle w:val="TableParagraph"/>
              <w:spacing w:line="84" w:lineRule="exact" w:before="37"/>
              <w:ind w:right="5"/>
              <w:jc w:val="right"/>
              <w:rPr>
                <w:rFonts w:ascii="Arial"/>
                <w:sz w:val="8"/>
              </w:rPr>
            </w:pPr>
            <w:r>
              <w:rPr>
                <w:rFonts w:ascii="Arial"/>
                <w:spacing w:val="-2"/>
                <w:w w:val="105"/>
                <w:sz w:val="8"/>
              </w:rPr>
              <w:t>180,63</w:t>
            </w:r>
          </w:p>
        </w:tc>
        <w:tc>
          <w:tcPr>
            <w:tcW w:w="902" w:type="dxa"/>
          </w:tcPr>
          <w:p>
            <w:pPr>
              <w:pStyle w:val="TableParagraph"/>
              <w:spacing w:line="84" w:lineRule="exact" w:before="37"/>
              <w:ind w:right="5"/>
              <w:jc w:val="right"/>
              <w:rPr>
                <w:rFonts w:ascii="Arial"/>
                <w:sz w:val="8"/>
              </w:rPr>
            </w:pPr>
            <w:r>
              <w:rPr>
                <w:rFonts w:ascii="Arial"/>
                <w:spacing w:val="-2"/>
                <w:w w:val="105"/>
                <w:sz w:val="8"/>
              </w:rPr>
              <w:t>650</w:t>
            </w:r>
            <w:r>
              <w:rPr>
                <w:rFonts w:ascii="Arial"/>
                <w:spacing w:val="-1"/>
                <w:sz w:val="8"/>
              </w:rPr>
              <w:t> </w:t>
            </w:r>
            <w:r>
              <w:rPr>
                <w:rFonts w:ascii="Arial"/>
                <w:spacing w:val="-2"/>
                <w:w w:val="105"/>
                <w:sz w:val="8"/>
              </w:rPr>
              <w:t>268,00</w:t>
            </w:r>
          </w:p>
        </w:tc>
        <w:tc>
          <w:tcPr>
            <w:tcW w:w="735" w:type="dxa"/>
          </w:tcPr>
          <w:p>
            <w:pPr>
              <w:pStyle w:val="TableParagraph"/>
              <w:spacing w:line="84" w:lineRule="exact" w:before="37"/>
              <w:ind w:right="5"/>
              <w:jc w:val="right"/>
              <w:rPr>
                <w:rFonts w:ascii="Arial"/>
                <w:sz w:val="8"/>
              </w:rPr>
            </w:pPr>
            <w:r>
              <w:rPr>
                <w:rFonts w:ascii="Arial"/>
                <w:spacing w:val="-2"/>
                <w:w w:val="105"/>
                <w:sz w:val="8"/>
              </w:rPr>
              <w:t>659</w:t>
            </w:r>
            <w:r>
              <w:rPr>
                <w:rFonts w:ascii="Arial"/>
                <w:spacing w:val="-1"/>
                <w:sz w:val="8"/>
              </w:rPr>
              <w:t> </w:t>
            </w:r>
            <w:r>
              <w:rPr>
                <w:rFonts w:ascii="Arial"/>
                <w:spacing w:val="-2"/>
                <w:w w:val="105"/>
                <w:sz w:val="8"/>
              </w:rPr>
              <w:t>732,00</w:t>
            </w:r>
          </w:p>
        </w:tc>
        <w:tc>
          <w:tcPr>
            <w:tcW w:w="675" w:type="dxa"/>
          </w:tcPr>
          <w:p>
            <w:pPr>
              <w:pStyle w:val="TableParagraph"/>
              <w:spacing w:line="84" w:lineRule="exact" w:before="37"/>
              <w:ind w:right="6"/>
              <w:jc w:val="right"/>
              <w:rPr>
                <w:rFonts w:ascii="Arial"/>
                <w:sz w:val="8"/>
              </w:rPr>
            </w:pPr>
            <w:r>
              <w:rPr>
                <w:rFonts w:ascii="Arial"/>
                <w:spacing w:val="-2"/>
                <w:w w:val="105"/>
                <w:sz w:val="8"/>
              </w:rPr>
              <w:t>650</w:t>
            </w:r>
            <w:r>
              <w:rPr>
                <w:rFonts w:ascii="Arial"/>
                <w:spacing w:val="-1"/>
                <w:sz w:val="8"/>
              </w:rPr>
              <w:t> </w:t>
            </w:r>
            <w:r>
              <w:rPr>
                <w:rFonts w:ascii="Arial"/>
                <w:spacing w:val="-2"/>
                <w:w w:val="105"/>
                <w:sz w:val="8"/>
              </w:rPr>
              <w:t>268,00</w:t>
            </w:r>
          </w:p>
        </w:tc>
      </w:tr>
      <w:tr>
        <w:trPr>
          <w:trHeight w:val="141" w:hRule="atLeast"/>
        </w:trPr>
        <w:tc>
          <w:tcPr>
            <w:tcW w:w="606" w:type="dxa"/>
          </w:tcPr>
          <w:p>
            <w:pPr>
              <w:pStyle w:val="TableParagraph"/>
              <w:spacing w:line="84" w:lineRule="exact" w:before="37"/>
              <w:ind w:left="31"/>
              <w:jc w:val="center"/>
              <w:rPr>
                <w:rFonts w:ascii="Arial"/>
                <w:sz w:val="8"/>
              </w:rPr>
            </w:pPr>
            <w:r>
              <w:rPr>
                <w:rFonts w:ascii="Arial"/>
                <w:sz w:val="8"/>
              </w:rPr>
              <w:t>7-</w:t>
            </w:r>
            <w:r>
              <w:rPr>
                <w:rFonts w:ascii="Arial"/>
                <w:spacing w:val="-5"/>
                <w:sz w:val="8"/>
              </w:rPr>
              <w:t>63</w:t>
            </w:r>
          </w:p>
        </w:tc>
        <w:tc>
          <w:tcPr>
            <w:tcW w:w="606" w:type="dxa"/>
          </w:tcPr>
          <w:p>
            <w:pPr>
              <w:pStyle w:val="TableParagraph"/>
              <w:spacing w:line="84" w:lineRule="exact" w:before="37"/>
              <w:ind w:left="16" w:right="1"/>
              <w:jc w:val="center"/>
              <w:rPr>
                <w:rFonts w:ascii="Arial"/>
                <w:sz w:val="8"/>
              </w:rPr>
            </w:pPr>
            <w:r>
              <w:rPr>
                <w:rFonts w:ascii="Arial"/>
                <w:spacing w:val="-2"/>
                <w:w w:val="105"/>
                <w:sz w:val="8"/>
              </w:rPr>
              <w:t>2000299</w:t>
            </w:r>
          </w:p>
        </w:tc>
        <w:tc>
          <w:tcPr>
            <w:tcW w:w="621" w:type="dxa"/>
          </w:tcPr>
          <w:p>
            <w:pPr>
              <w:pStyle w:val="TableParagraph"/>
              <w:spacing w:line="84" w:lineRule="exact" w:before="37"/>
              <w:ind w:right="6"/>
              <w:jc w:val="right"/>
              <w:rPr>
                <w:rFonts w:ascii="Arial"/>
                <w:sz w:val="8"/>
              </w:rPr>
            </w:pPr>
            <w:r>
              <w:rPr>
                <w:rFonts w:ascii="Arial"/>
                <w:w w:val="105"/>
                <w:sz w:val="8"/>
              </w:rPr>
              <w:t>1</w:t>
            </w:r>
            <w:r>
              <w:rPr>
                <w:rFonts w:ascii="Arial"/>
                <w:spacing w:val="-7"/>
                <w:w w:val="105"/>
                <w:sz w:val="8"/>
              </w:rPr>
              <w:t> </w:t>
            </w:r>
            <w:r>
              <w:rPr>
                <w:rFonts w:ascii="Arial"/>
                <w:w w:val="105"/>
                <w:sz w:val="8"/>
              </w:rPr>
              <w:t>230</w:t>
            </w:r>
            <w:r>
              <w:rPr>
                <w:rFonts w:ascii="Arial"/>
                <w:spacing w:val="-5"/>
                <w:w w:val="105"/>
                <w:sz w:val="8"/>
              </w:rPr>
              <w:t> </w:t>
            </w:r>
            <w:r>
              <w:rPr>
                <w:rFonts w:ascii="Arial"/>
                <w:spacing w:val="-2"/>
                <w:w w:val="105"/>
                <w:sz w:val="8"/>
              </w:rPr>
              <w:t>000,00</w:t>
            </w:r>
          </w:p>
        </w:tc>
        <w:tc>
          <w:tcPr>
            <w:tcW w:w="606" w:type="dxa"/>
          </w:tcPr>
          <w:p>
            <w:pPr>
              <w:pStyle w:val="TableParagraph"/>
              <w:spacing w:line="84" w:lineRule="exact" w:before="37"/>
              <w:ind w:left="223"/>
              <w:rPr>
                <w:rFonts w:ascii="Arial"/>
                <w:sz w:val="8"/>
              </w:rPr>
            </w:pPr>
            <w:r>
              <w:rPr>
                <w:rFonts w:ascii="Arial"/>
                <w:w w:val="105"/>
                <w:sz w:val="8"/>
              </w:rPr>
              <w:t>96</w:t>
            </w:r>
            <w:r>
              <w:rPr>
                <w:rFonts w:ascii="Arial"/>
                <w:spacing w:val="-7"/>
                <w:w w:val="105"/>
                <w:sz w:val="8"/>
              </w:rPr>
              <w:t> </w:t>
            </w:r>
            <w:r>
              <w:rPr>
                <w:rFonts w:ascii="Arial"/>
                <w:spacing w:val="-2"/>
                <w:w w:val="105"/>
                <w:sz w:val="8"/>
              </w:rPr>
              <w:t>207,00</w:t>
            </w:r>
          </w:p>
        </w:tc>
        <w:tc>
          <w:tcPr>
            <w:tcW w:w="606" w:type="dxa"/>
          </w:tcPr>
          <w:p>
            <w:pPr>
              <w:pStyle w:val="TableParagraph"/>
              <w:spacing w:line="84" w:lineRule="exact" w:before="37"/>
              <w:ind w:right="5"/>
              <w:jc w:val="right"/>
              <w:rPr>
                <w:rFonts w:ascii="Arial"/>
                <w:sz w:val="8"/>
              </w:rPr>
            </w:pPr>
            <w:r>
              <w:rPr>
                <w:rFonts w:ascii="Arial"/>
                <w:w w:val="105"/>
                <w:sz w:val="8"/>
              </w:rPr>
              <w:t>70</w:t>
            </w:r>
            <w:r>
              <w:rPr>
                <w:rFonts w:ascii="Arial"/>
                <w:spacing w:val="-7"/>
                <w:w w:val="105"/>
                <w:sz w:val="8"/>
              </w:rPr>
              <w:t> </w:t>
            </w:r>
            <w:r>
              <w:rPr>
                <w:rFonts w:ascii="Arial"/>
                <w:spacing w:val="-2"/>
                <w:w w:val="105"/>
                <w:sz w:val="8"/>
              </w:rPr>
              <w:t>502,00</w:t>
            </w:r>
          </w:p>
        </w:tc>
        <w:tc>
          <w:tcPr>
            <w:tcW w:w="606" w:type="dxa"/>
          </w:tcPr>
          <w:p>
            <w:pPr>
              <w:pStyle w:val="TableParagraph"/>
              <w:spacing w:line="84" w:lineRule="exact" w:before="37"/>
              <w:ind w:left="19"/>
              <w:rPr>
                <w:rFonts w:ascii="Arial"/>
                <w:sz w:val="8"/>
              </w:rPr>
            </w:pPr>
            <w:r>
              <w:rPr>
                <w:rFonts w:ascii="Arial"/>
                <w:spacing w:val="-5"/>
                <w:w w:val="105"/>
                <w:sz w:val="8"/>
              </w:rPr>
              <w:t>U18</w:t>
            </w:r>
          </w:p>
        </w:tc>
        <w:tc>
          <w:tcPr>
            <w:tcW w:w="902" w:type="dxa"/>
          </w:tcPr>
          <w:p>
            <w:pPr>
              <w:pStyle w:val="TableParagraph"/>
              <w:spacing w:line="84" w:lineRule="exact" w:before="37"/>
              <w:ind w:right="5"/>
              <w:jc w:val="right"/>
              <w:rPr>
                <w:rFonts w:ascii="Arial"/>
                <w:sz w:val="8"/>
              </w:rPr>
            </w:pPr>
            <w:r>
              <w:rPr>
                <w:rFonts w:ascii="Arial"/>
                <w:w w:val="105"/>
                <w:sz w:val="8"/>
              </w:rPr>
              <w:t>5</w:t>
            </w:r>
            <w:r>
              <w:rPr>
                <w:rFonts w:ascii="Arial"/>
                <w:spacing w:val="-3"/>
                <w:w w:val="105"/>
                <w:sz w:val="8"/>
              </w:rPr>
              <w:t> </w:t>
            </w:r>
            <w:r>
              <w:rPr>
                <w:rFonts w:ascii="Arial"/>
                <w:spacing w:val="-2"/>
                <w:w w:val="105"/>
                <w:sz w:val="8"/>
              </w:rPr>
              <w:t>500,00</w:t>
            </w:r>
          </w:p>
        </w:tc>
        <w:tc>
          <w:tcPr>
            <w:tcW w:w="606" w:type="dxa"/>
          </w:tcPr>
          <w:p>
            <w:pPr>
              <w:pStyle w:val="TableParagraph"/>
              <w:spacing w:line="84" w:lineRule="exact" w:before="37"/>
              <w:ind w:right="5"/>
              <w:jc w:val="right"/>
              <w:rPr>
                <w:rFonts w:ascii="Arial"/>
                <w:sz w:val="8"/>
              </w:rPr>
            </w:pPr>
            <w:r>
              <w:rPr>
                <w:rFonts w:ascii="Arial"/>
                <w:spacing w:val="-4"/>
                <w:w w:val="105"/>
                <w:sz w:val="8"/>
              </w:rPr>
              <w:t>0,00</w:t>
            </w:r>
          </w:p>
        </w:tc>
        <w:tc>
          <w:tcPr>
            <w:tcW w:w="697" w:type="dxa"/>
          </w:tcPr>
          <w:p>
            <w:pPr>
              <w:pStyle w:val="TableParagraph"/>
              <w:spacing w:line="84" w:lineRule="exact" w:before="37"/>
              <w:ind w:right="5"/>
              <w:jc w:val="right"/>
              <w:rPr>
                <w:rFonts w:ascii="Arial"/>
                <w:sz w:val="8"/>
              </w:rPr>
            </w:pPr>
            <w:r>
              <w:rPr>
                <w:rFonts w:ascii="Arial"/>
                <w:spacing w:val="-2"/>
                <w:w w:val="105"/>
                <w:sz w:val="8"/>
              </w:rPr>
              <w:t>140,00</w:t>
            </w:r>
          </w:p>
        </w:tc>
        <w:tc>
          <w:tcPr>
            <w:tcW w:w="902" w:type="dxa"/>
          </w:tcPr>
          <w:p>
            <w:pPr>
              <w:pStyle w:val="TableParagraph"/>
              <w:spacing w:line="84" w:lineRule="exact" w:before="37"/>
              <w:ind w:right="5"/>
              <w:jc w:val="right"/>
              <w:rPr>
                <w:rFonts w:ascii="Arial"/>
                <w:sz w:val="8"/>
              </w:rPr>
            </w:pPr>
            <w:r>
              <w:rPr>
                <w:rFonts w:ascii="Arial"/>
                <w:spacing w:val="-2"/>
                <w:w w:val="105"/>
                <w:sz w:val="8"/>
              </w:rPr>
              <w:t>770</w:t>
            </w:r>
            <w:r>
              <w:rPr>
                <w:rFonts w:ascii="Arial"/>
                <w:spacing w:val="-1"/>
                <w:sz w:val="8"/>
              </w:rPr>
              <w:t> </w:t>
            </w:r>
            <w:r>
              <w:rPr>
                <w:rFonts w:ascii="Arial"/>
                <w:spacing w:val="-2"/>
                <w:w w:val="105"/>
                <w:sz w:val="8"/>
              </w:rPr>
              <w:t>000,00</w:t>
            </w:r>
          </w:p>
        </w:tc>
        <w:tc>
          <w:tcPr>
            <w:tcW w:w="735" w:type="dxa"/>
          </w:tcPr>
          <w:p>
            <w:pPr>
              <w:pStyle w:val="TableParagraph"/>
              <w:spacing w:line="84" w:lineRule="exact" w:before="37"/>
              <w:ind w:right="5"/>
              <w:jc w:val="right"/>
              <w:rPr>
                <w:rFonts w:ascii="Arial"/>
                <w:sz w:val="8"/>
              </w:rPr>
            </w:pPr>
            <w:r>
              <w:rPr>
                <w:rFonts w:ascii="Arial"/>
                <w:spacing w:val="-2"/>
                <w:w w:val="105"/>
                <w:sz w:val="8"/>
              </w:rPr>
              <w:t>460</w:t>
            </w:r>
            <w:r>
              <w:rPr>
                <w:rFonts w:ascii="Arial"/>
                <w:spacing w:val="-1"/>
                <w:sz w:val="8"/>
              </w:rPr>
              <w:t> </w:t>
            </w:r>
            <w:r>
              <w:rPr>
                <w:rFonts w:ascii="Arial"/>
                <w:spacing w:val="-2"/>
                <w:w w:val="105"/>
                <w:sz w:val="8"/>
              </w:rPr>
              <w:t>000,00</w:t>
            </w:r>
          </w:p>
        </w:tc>
        <w:tc>
          <w:tcPr>
            <w:tcW w:w="675" w:type="dxa"/>
          </w:tcPr>
          <w:p>
            <w:pPr>
              <w:pStyle w:val="TableParagraph"/>
              <w:spacing w:line="84" w:lineRule="exact" w:before="37"/>
              <w:ind w:right="6"/>
              <w:jc w:val="right"/>
              <w:rPr>
                <w:rFonts w:ascii="Arial"/>
                <w:sz w:val="8"/>
              </w:rPr>
            </w:pPr>
            <w:r>
              <w:rPr>
                <w:rFonts w:ascii="Arial"/>
                <w:spacing w:val="-2"/>
                <w:w w:val="105"/>
                <w:sz w:val="8"/>
              </w:rPr>
              <w:t>770</w:t>
            </w:r>
            <w:r>
              <w:rPr>
                <w:rFonts w:ascii="Arial"/>
                <w:spacing w:val="-1"/>
                <w:sz w:val="8"/>
              </w:rPr>
              <w:t> </w:t>
            </w:r>
            <w:r>
              <w:rPr>
                <w:rFonts w:ascii="Arial"/>
                <w:spacing w:val="-2"/>
                <w:w w:val="105"/>
                <w:sz w:val="8"/>
              </w:rPr>
              <w:t>000,00</w:t>
            </w:r>
          </w:p>
        </w:tc>
      </w:tr>
      <w:tr>
        <w:trPr>
          <w:trHeight w:val="141" w:hRule="atLeast"/>
        </w:trPr>
        <w:tc>
          <w:tcPr>
            <w:tcW w:w="606" w:type="dxa"/>
          </w:tcPr>
          <w:p>
            <w:pPr>
              <w:pStyle w:val="TableParagraph"/>
              <w:spacing w:line="84" w:lineRule="exact" w:before="37"/>
              <w:ind w:left="16"/>
              <w:jc w:val="center"/>
              <w:rPr>
                <w:rFonts w:ascii="Arial"/>
                <w:sz w:val="8"/>
              </w:rPr>
            </w:pPr>
            <w:r>
              <w:rPr>
                <w:rFonts w:ascii="Arial"/>
                <w:sz w:val="8"/>
              </w:rPr>
              <w:t>1-</w:t>
            </w:r>
            <w:r>
              <w:rPr>
                <w:rFonts w:ascii="Arial"/>
                <w:spacing w:val="-5"/>
                <w:sz w:val="8"/>
              </w:rPr>
              <w:t>396</w:t>
            </w:r>
          </w:p>
        </w:tc>
        <w:tc>
          <w:tcPr>
            <w:tcW w:w="606" w:type="dxa"/>
          </w:tcPr>
          <w:p>
            <w:pPr>
              <w:pStyle w:val="TableParagraph"/>
              <w:spacing w:line="84" w:lineRule="exact" w:before="37"/>
              <w:ind w:left="16" w:right="1"/>
              <w:jc w:val="center"/>
              <w:rPr>
                <w:rFonts w:ascii="Arial"/>
                <w:sz w:val="8"/>
              </w:rPr>
            </w:pPr>
            <w:r>
              <w:rPr>
                <w:rFonts w:ascii="Arial"/>
                <w:spacing w:val="-2"/>
                <w:w w:val="105"/>
                <w:sz w:val="8"/>
              </w:rPr>
              <w:t>54000000</w:t>
            </w:r>
          </w:p>
        </w:tc>
        <w:tc>
          <w:tcPr>
            <w:tcW w:w="621" w:type="dxa"/>
          </w:tcPr>
          <w:p>
            <w:pPr>
              <w:pStyle w:val="TableParagraph"/>
              <w:spacing w:line="84" w:lineRule="exact" w:before="37"/>
              <w:ind w:right="6"/>
              <w:jc w:val="right"/>
              <w:rPr>
                <w:rFonts w:ascii="Arial"/>
                <w:sz w:val="8"/>
              </w:rPr>
            </w:pPr>
            <w:r>
              <w:rPr>
                <w:rFonts w:ascii="Arial"/>
                <w:spacing w:val="-2"/>
                <w:w w:val="105"/>
                <w:sz w:val="8"/>
              </w:rPr>
              <w:t>108</w:t>
            </w:r>
            <w:r>
              <w:rPr>
                <w:rFonts w:ascii="Arial"/>
                <w:spacing w:val="-1"/>
                <w:sz w:val="8"/>
              </w:rPr>
              <w:t> </w:t>
            </w:r>
            <w:r>
              <w:rPr>
                <w:rFonts w:ascii="Arial"/>
                <w:spacing w:val="-2"/>
                <w:w w:val="105"/>
                <w:sz w:val="8"/>
              </w:rPr>
              <w:t>864</w:t>
            </w:r>
            <w:r>
              <w:rPr>
                <w:rFonts w:ascii="Arial"/>
                <w:spacing w:val="-1"/>
                <w:w w:val="105"/>
                <w:sz w:val="8"/>
              </w:rPr>
              <w:t> </w:t>
            </w:r>
            <w:r>
              <w:rPr>
                <w:rFonts w:ascii="Arial"/>
                <w:spacing w:val="-2"/>
                <w:w w:val="105"/>
                <w:sz w:val="8"/>
              </w:rPr>
              <w:t>000,00</w:t>
            </w:r>
          </w:p>
        </w:tc>
        <w:tc>
          <w:tcPr>
            <w:tcW w:w="606" w:type="dxa"/>
          </w:tcPr>
          <w:p>
            <w:pPr>
              <w:pStyle w:val="TableParagraph"/>
              <w:spacing w:line="84" w:lineRule="exact" w:before="37"/>
              <w:ind w:left="177"/>
              <w:rPr>
                <w:rFonts w:ascii="Arial"/>
                <w:sz w:val="8"/>
              </w:rPr>
            </w:pPr>
            <w:r>
              <w:rPr>
                <w:rFonts w:ascii="Arial"/>
                <w:spacing w:val="-2"/>
                <w:w w:val="105"/>
                <w:sz w:val="8"/>
              </w:rPr>
              <w:t>126</w:t>
            </w:r>
            <w:r>
              <w:rPr>
                <w:rFonts w:ascii="Arial"/>
                <w:spacing w:val="-1"/>
                <w:sz w:val="8"/>
              </w:rPr>
              <w:t> </w:t>
            </w:r>
            <w:r>
              <w:rPr>
                <w:rFonts w:ascii="Arial"/>
                <w:spacing w:val="-2"/>
                <w:w w:val="105"/>
                <w:sz w:val="8"/>
              </w:rPr>
              <w:t>312,00</w:t>
            </w:r>
          </w:p>
        </w:tc>
        <w:tc>
          <w:tcPr>
            <w:tcW w:w="606" w:type="dxa"/>
          </w:tcPr>
          <w:p>
            <w:pPr>
              <w:pStyle w:val="TableParagraph"/>
              <w:spacing w:line="84" w:lineRule="exact" w:before="37"/>
              <w:ind w:right="5"/>
              <w:jc w:val="right"/>
              <w:rPr>
                <w:rFonts w:ascii="Arial"/>
                <w:sz w:val="8"/>
              </w:rPr>
            </w:pPr>
            <w:r>
              <w:rPr>
                <w:rFonts w:ascii="Arial"/>
                <w:w w:val="105"/>
                <w:sz w:val="8"/>
              </w:rPr>
              <w:t>10</w:t>
            </w:r>
            <w:r>
              <w:rPr>
                <w:rFonts w:ascii="Arial"/>
                <w:spacing w:val="-7"/>
                <w:w w:val="105"/>
                <w:sz w:val="8"/>
              </w:rPr>
              <w:t> </w:t>
            </w:r>
            <w:r>
              <w:rPr>
                <w:rFonts w:ascii="Arial"/>
                <w:spacing w:val="-2"/>
                <w:w w:val="105"/>
                <w:sz w:val="8"/>
              </w:rPr>
              <w:t>104,00</w:t>
            </w:r>
          </w:p>
        </w:tc>
        <w:tc>
          <w:tcPr>
            <w:tcW w:w="606" w:type="dxa"/>
          </w:tcPr>
          <w:p>
            <w:pPr>
              <w:pStyle w:val="TableParagraph"/>
              <w:spacing w:line="84" w:lineRule="exact" w:before="37"/>
              <w:ind w:left="19"/>
              <w:rPr>
                <w:rFonts w:ascii="Arial"/>
                <w:sz w:val="8"/>
              </w:rPr>
            </w:pPr>
            <w:r>
              <w:rPr>
                <w:rFonts w:ascii="Arial"/>
                <w:spacing w:val="-5"/>
                <w:w w:val="105"/>
                <w:sz w:val="8"/>
              </w:rPr>
              <w:t>U04</w:t>
            </w:r>
          </w:p>
        </w:tc>
        <w:tc>
          <w:tcPr>
            <w:tcW w:w="902" w:type="dxa"/>
          </w:tcPr>
          <w:p>
            <w:pPr>
              <w:pStyle w:val="TableParagraph"/>
              <w:spacing w:line="84" w:lineRule="exact" w:before="37"/>
              <w:ind w:right="5"/>
              <w:jc w:val="right"/>
              <w:rPr>
                <w:rFonts w:ascii="Arial"/>
                <w:sz w:val="8"/>
              </w:rPr>
            </w:pPr>
            <w:r>
              <w:rPr>
                <w:rFonts w:ascii="Arial"/>
                <w:spacing w:val="-2"/>
                <w:w w:val="105"/>
                <w:sz w:val="8"/>
              </w:rPr>
              <w:t>135</w:t>
            </w:r>
            <w:r>
              <w:rPr>
                <w:rFonts w:ascii="Arial"/>
                <w:spacing w:val="-1"/>
                <w:sz w:val="8"/>
              </w:rPr>
              <w:t> </w:t>
            </w:r>
            <w:r>
              <w:rPr>
                <w:rFonts w:ascii="Arial"/>
                <w:spacing w:val="-2"/>
                <w:w w:val="105"/>
                <w:sz w:val="8"/>
              </w:rPr>
              <w:t>000,00</w:t>
            </w:r>
          </w:p>
        </w:tc>
        <w:tc>
          <w:tcPr>
            <w:tcW w:w="606" w:type="dxa"/>
          </w:tcPr>
          <w:p>
            <w:pPr>
              <w:pStyle w:val="TableParagraph"/>
              <w:spacing w:line="84" w:lineRule="exact" w:before="37"/>
              <w:ind w:right="5"/>
              <w:jc w:val="right"/>
              <w:rPr>
                <w:rFonts w:ascii="Arial"/>
                <w:sz w:val="8"/>
              </w:rPr>
            </w:pPr>
            <w:r>
              <w:rPr>
                <w:rFonts w:ascii="Arial"/>
                <w:spacing w:val="-4"/>
                <w:w w:val="105"/>
                <w:sz w:val="8"/>
              </w:rPr>
              <w:t>0,00</w:t>
            </w:r>
          </w:p>
        </w:tc>
        <w:tc>
          <w:tcPr>
            <w:tcW w:w="697" w:type="dxa"/>
          </w:tcPr>
          <w:p>
            <w:pPr>
              <w:pStyle w:val="TableParagraph"/>
              <w:spacing w:line="84" w:lineRule="exact" w:before="37"/>
              <w:ind w:right="5"/>
              <w:jc w:val="right"/>
              <w:rPr>
                <w:rFonts w:ascii="Arial"/>
                <w:sz w:val="8"/>
              </w:rPr>
            </w:pPr>
            <w:r>
              <w:rPr>
                <w:rFonts w:ascii="Arial"/>
                <w:spacing w:val="-2"/>
                <w:w w:val="105"/>
                <w:sz w:val="8"/>
              </w:rPr>
              <w:t>576,00</w:t>
            </w:r>
          </w:p>
        </w:tc>
        <w:tc>
          <w:tcPr>
            <w:tcW w:w="902" w:type="dxa"/>
          </w:tcPr>
          <w:p>
            <w:pPr>
              <w:pStyle w:val="TableParagraph"/>
              <w:spacing w:line="84" w:lineRule="exact" w:before="37"/>
              <w:ind w:right="5"/>
              <w:jc w:val="right"/>
              <w:rPr>
                <w:rFonts w:ascii="Arial"/>
                <w:sz w:val="8"/>
              </w:rPr>
            </w:pPr>
            <w:r>
              <w:rPr>
                <w:rFonts w:ascii="Arial"/>
                <w:spacing w:val="-2"/>
                <w:w w:val="105"/>
                <w:sz w:val="8"/>
              </w:rPr>
              <w:t>77</w:t>
            </w:r>
            <w:r>
              <w:rPr>
                <w:rFonts w:ascii="Arial"/>
                <w:spacing w:val="-1"/>
                <w:sz w:val="8"/>
              </w:rPr>
              <w:t> </w:t>
            </w:r>
            <w:r>
              <w:rPr>
                <w:rFonts w:ascii="Arial"/>
                <w:spacing w:val="-2"/>
                <w:w w:val="105"/>
                <w:sz w:val="8"/>
              </w:rPr>
              <w:t>760</w:t>
            </w:r>
            <w:r>
              <w:rPr>
                <w:rFonts w:ascii="Arial"/>
                <w:spacing w:val="-1"/>
                <w:w w:val="105"/>
                <w:sz w:val="8"/>
              </w:rPr>
              <w:t> </w:t>
            </w:r>
            <w:r>
              <w:rPr>
                <w:rFonts w:ascii="Arial"/>
                <w:spacing w:val="-2"/>
                <w:w w:val="105"/>
                <w:sz w:val="8"/>
              </w:rPr>
              <w:t>000,00</w:t>
            </w:r>
          </w:p>
        </w:tc>
        <w:tc>
          <w:tcPr>
            <w:tcW w:w="735" w:type="dxa"/>
          </w:tcPr>
          <w:p>
            <w:pPr>
              <w:pStyle w:val="TableParagraph"/>
              <w:spacing w:line="84" w:lineRule="exact" w:before="37"/>
              <w:ind w:right="5"/>
              <w:jc w:val="right"/>
              <w:rPr>
                <w:rFonts w:ascii="Arial"/>
                <w:sz w:val="8"/>
              </w:rPr>
            </w:pPr>
            <w:r>
              <w:rPr>
                <w:rFonts w:ascii="Arial"/>
                <w:spacing w:val="-2"/>
                <w:w w:val="105"/>
                <w:sz w:val="8"/>
              </w:rPr>
              <w:t>31</w:t>
            </w:r>
            <w:r>
              <w:rPr>
                <w:rFonts w:ascii="Arial"/>
                <w:spacing w:val="-1"/>
                <w:sz w:val="8"/>
              </w:rPr>
              <w:t> </w:t>
            </w:r>
            <w:r>
              <w:rPr>
                <w:rFonts w:ascii="Arial"/>
                <w:spacing w:val="-2"/>
                <w:w w:val="105"/>
                <w:sz w:val="8"/>
              </w:rPr>
              <w:t>104</w:t>
            </w:r>
            <w:r>
              <w:rPr>
                <w:rFonts w:ascii="Arial"/>
                <w:spacing w:val="-1"/>
                <w:w w:val="105"/>
                <w:sz w:val="8"/>
              </w:rPr>
              <w:t> </w:t>
            </w:r>
            <w:r>
              <w:rPr>
                <w:rFonts w:ascii="Arial"/>
                <w:spacing w:val="-2"/>
                <w:w w:val="105"/>
                <w:sz w:val="8"/>
              </w:rPr>
              <w:t>000,00</w:t>
            </w:r>
          </w:p>
        </w:tc>
        <w:tc>
          <w:tcPr>
            <w:tcW w:w="675" w:type="dxa"/>
          </w:tcPr>
          <w:p>
            <w:pPr>
              <w:pStyle w:val="TableParagraph"/>
              <w:spacing w:line="84" w:lineRule="exact" w:before="37"/>
              <w:ind w:right="6"/>
              <w:jc w:val="right"/>
              <w:rPr>
                <w:rFonts w:ascii="Arial"/>
                <w:sz w:val="8"/>
              </w:rPr>
            </w:pPr>
            <w:r>
              <w:rPr>
                <w:rFonts w:ascii="Arial"/>
                <w:spacing w:val="-2"/>
                <w:w w:val="105"/>
                <w:sz w:val="8"/>
              </w:rPr>
              <w:t>77</w:t>
            </w:r>
            <w:r>
              <w:rPr>
                <w:rFonts w:ascii="Arial"/>
                <w:spacing w:val="-1"/>
                <w:sz w:val="8"/>
              </w:rPr>
              <w:t> </w:t>
            </w:r>
            <w:r>
              <w:rPr>
                <w:rFonts w:ascii="Arial"/>
                <w:spacing w:val="-2"/>
                <w:w w:val="105"/>
                <w:sz w:val="8"/>
              </w:rPr>
              <w:t>760</w:t>
            </w:r>
            <w:r>
              <w:rPr>
                <w:rFonts w:ascii="Arial"/>
                <w:spacing w:val="-1"/>
                <w:w w:val="105"/>
                <w:sz w:val="8"/>
              </w:rPr>
              <w:t> </w:t>
            </w:r>
            <w:r>
              <w:rPr>
                <w:rFonts w:ascii="Arial"/>
                <w:spacing w:val="-2"/>
                <w:w w:val="105"/>
                <w:sz w:val="8"/>
              </w:rPr>
              <w:t>000,00</w:t>
            </w:r>
          </w:p>
        </w:tc>
      </w:tr>
      <w:tr>
        <w:trPr>
          <w:trHeight w:val="139" w:hRule="atLeast"/>
        </w:trPr>
        <w:tc>
          <w:tcPr>
            <w:tcW w:w="606" w:type="dxa"/>
          </w:tcPr>
          <w:p>
            <w:pPr>
              <w:pStyle w:val="TableParagraph"/>
              <w:spacing w:line="82" w:lineRule="exact" w:before="37"/>
              <w:ind w:left="16"/>
              <w:jc w:val="center"/>
              <w:rPr>
                <w:rFonts w:ascii="Arial"/>
                <w:sz w:val="8"/>
              </w:rPr>
            </w:pPr>
            <w:r>
              <w:rPr>
                <w:rFonts w:ascii="Arial"/>
                <w:sz w:val="8"/>
              </w:rPr>
              <w:t>4-</w:t>
            </w:r>
            <w:r>
              <w:rPr>
                <w:rFonts w:ascii="Arial"/>
                <w:spacing w:val="-10"/>
                <w:sz w:val="8"/>
              </w:rPr>
              <w:t>2</w:t>
            </w:r>
          </w:p>
        </w:tc>
        <w:tc>
          <w:tcPr>
            <w:tcW w:w="606" w:type="dxa"/>
          </w:tcPr>
          <w:p>
            <w:pPr>
              <w:pStyle w:val="TableParagraph"/>
              <w:spacing w:line="82" w:lineRule="exact" w:before="37"/>
              <w:ind w:left="16" w:right="1"/>
              <w:jc w:val="center"/>
              <w:rPr>
                <w:rFonts w:ascii="Arial"/>
                <w:sz w:val="8"/>
              </w:rPr>
            </w:pPr>
            <w:r>
              <w:rPr>
                <w:rFonts w:ascii="Arial"/>
                <w:spacing w:val="-2"/>
                <w:w w:val="105"/>
                <w:sz w:val="8"/>
              </w:rPr>
              <w:t>2000591</w:t>
            </w:r>
          </w:p>
        </w:tc>
        <w:tc>
          <w:tcPr>
            <w:tcW w:w="621" w:type="dxa"/>
            <w:tcBorders>
              <w:bottom w:val="single" w:sz="6" w:space="0" w:color="888888"/>
            </w:tcBorders>
          </w:tcPr>
          <w:p>
            <w:pPr>
              <w:pStyle w:val="TableParagraph"/>
              <w:spacing w:line="82" w:lineRule="exact" w:before="37"/>
              <w:ind w:right="6"/>
              <w:jc w:val="right"/>
              <w:rPr>
                <w:rFonts w:ascii="Arial"/>
                <w:sz w:val="8"/>
              </w:rPr>
            </w:pPr>
            <w:r>
              <w:rPr>
                <w:rFonts w:ascii="Arial"/>
                <w:w w:val="105"/>
                <w:sz w:val="8"/>
              </w:rPr>
              <w:t>3</w:t>
            </w:r>
            <w:r>
              <w:rPr>
                <w:rFonts w:ascii="Arial"/>
                <w:spacing w:val="-7"/>
                <w:w w:val="105"/>
                <w:sz w:val="8"/>
              </w:rPr>
              <w:t> </w:t>
            </w:r>
            <w:r>
              <w:rPr>
                <w:rFonts w:ascii="Arial"/>
                <w:w w:val="105"/>
                <w:sz w:val="8"/>
              </w:rPr>
              <w:t>948</w:t>
            </w:r>
            <w:r>
              <w:rPr>
                <w:rFonts w:ascii="Arial"/>
                <w:spacing w:val="-5"/>
                <w:w w:val="105"/>
                <w:sz w:val="8"/>
              </w:rPr>
              <w:t> </w:t>
            </w:r>
            <w:r>
              <w:rPr>
                <w:rFonts w:ascii="Arial"/>
                <w:spacing w:val="-2"/>
                <w:w w:val="105"/>
                <w:sz w:val="8"/>
              </w:rPr>
              <w:t>799,00</w:t>
            </w:r>
          </w:p>
        </w:tc>
        <w:tc>
          <w:tcPr>
            <w:tcW w:w="606" w:type="dxa"/>
            <w:tcBorders>
              <w:bottom w:val="single" w:sz="6" w:space="0" w:color="888888"/>
            </w:tcBorders>
          </w:tcPr>
          <w:p>
            <w:pPr>
              <w:pStyle w:val="TableParagraph"/>
              <w:spacing w:line="82" w:lineRule="exact" w:before="37"/>
              <w:ind w:left="223"/>
              <w:rPr>
                <w:rFonts w:ascii="Arial"/>
                <w:sz w:val="8"/>
              </w:rPr>
            </w:pPr>
            <w:r>
              <w:rPr>
                <w:rFonts w:ascii="Arial"/>
                <w:w w:val="105"/>
                <w:sz w:val="8"/>
              </w:rPr>
              <w:t>58</w:t>
            </w:r>
            <w:r>
              <w:rPr>
                <w:rFonts w:ascii="Arial"/>
                <w:spacing w:val="-7"/>
                <w:w w:val="105"/>
                <w:sz w:val="8"/>
              </w:rPr>
              <w:t> </w:t>
            </w:r>
            <w:r>
              <w:rPr>
                <w:rFonts w:ascii="Arial"/>
                <w:spacing w:val="-2"/>
                <w:w w:val="105"/>
                <w:sz w:val="8"/>
              </w:rPr>
              <w:t>653,00</w:t>
            </w:r>
          </w:p>
        </w:tc>
        <w:tc>
          <w:tcPr>
            <w:tcW w:w="606" w:type="dxa"/>
          </w:tcPr>
          <w:p>
            <w:pPr>
              <w:pStyle w:val="TableParagraph"/>
              <w:spacing w:line="82" w:lineRule="exact" w:before="37"/>
              <w:ind w:left="19"/>
              <w:rPr>
                <w:rFonts w:ascii="Arial"/>
                <w:sz w:val="8"/>
              </w:rPr>
            </w:pPr>
            <w:r>
              <w:rPr>
                <w:rFonts w:ascii="Arial"/>
                <w:spacing w:val="-2"/>
                <w:w w:val="105"/>
                <w:sz w:val="8"/>
              </w:rPr>
              <w:t>41001</w:t>
            </w:r>
          </w:p>
        </w:tc>
        <w:tc>
          <w:tcPr>
            <w:tcW w:w="606" w:type="dxa"/>
          </w:tcPr>
          <w:p>
            <w:pPr>
              <w:pStyle w:val="TableParagraph"/>
              <w:spacing w:line="82" w:lineRule="exact" w:before="37"/>
              <w:ind w:left="19"/>
              <w:rPr>
                <w:rFonts w:ascii="Arial"/>
                <w:sz w:val="8"/>
              </w:rPr>
            </w:pPr>
            <w:r>
              <w:rPr>
                <w:rFonts w:ascii="Arial"/>
                <w:spacing w:val="-2"/>
                <w:w w:val="105"/>
                <w:sz w:val="8"/>
              </w:rPr>
              <w:t>R25/U25</w:t>
            </w:r>
          </w:p>
        </w:tc>
        <w:tc>
          <w:tcPr>
            <w:tcW w:w="902" w:type="dxa"/>
          </w:tcPr>
          <w:p>
            <w:pPr>
              <w:pStyle w:val="TableParagraph"/>
              <w:spacing w:line="82" w:lineRule="exact" w:before="37"/>
              <w:ind w:right="5"/>
              <w:jc w:val="right"/>
              <w:rPr>
                <w:rFonts w:ascii="Arial"/>
                <w:sz w:val="8"/>
              </w:rPr>
            </w:pPr>
            <w:r>
              <w:rPr>
                <w:rFonts w:ascii="Arial"/>
                <w:w w:val="105"/>
                <w:sz w:val="8"/>
              </w:rPr>
              <w:t>2</w:t>
            </w:r>
            <w:r>
              <w:rPr>
                <w:rFonts w:ascii="Arial"/>
                <w:spacing w:val="-3"/>
                <w:w w:val="105"/>
                <w:sz w:val="8"/>
              </w:rPr>
              <w:t> </w:t>
            </w:r>
            <w:r>
              <w:rPr>
                <w:rFonts w:ascii="Arial"/>
                <w:spacing w:val="-2"/>
                <w:w w:val="105"/>
                <w:sz w:val="8"/>
              </w:rPr>
              <w:t>500,00</w:t>
            </w:r>
          </w:p>
        </w:tc>
        <w:tc>
          <w:tcPr>
            <w:tcW w:w="606" w:type="dxa"/>
          </w:tcPr>
          <w:p>
            <w:pPr>
              <w:pStyle w:val="TableParagraph"/>
              <w:spacing w:line="82" w:lineRule="exact" w:before="37"/>
              <w:ind w:right="5"/>
              <w:jc w:val="right"/>
              <w:rPr>
                <w:rFonts w:ascii="Arial"/>
                <w:sz w:val="8"/>
              </w:rPr>
            </w:pPr>
            <w:r>
              <w:rPr>
                <w:rFonts w:ascii="Arial"/>
                <w:spacing w:val="-2"/>
                <w:w w:val="105"/>
                <w:sz w:val="8"/>
              </w:rPr>
              <w:t>450,00</w:t>
            </w:r>
          </w:p>
        </w:tc>
        <w:tc>
          <w:tcPr>
            <w:tcW w:w="697" w:type="dxa"/>
          </w:tcPr>
          <w:p>
            <w:pPr>
              <w:pStyle w:val="TableParagraph"/>
              <w:spacing w:line="82" w:lineRule="exact" w:before="37"/>
              <w:ind w:right="5"/>
              <w:jc w:val="right"/>
              <w:rPr>
                <w:rFonts w:ascii="Arial"/>
                <w:sz w:val="8"/>
              </w:rPr>
            </w:pPr>
            <w:r>
              <w:rPr>
                <w:rFonts w:ascii="Arial"/>
                <w:spacing w:val="-2"/>
                <w:w w:val="105"/>
                <w:sz w:val="8"/>
              </w:rPr>
              <w:t>100,00</w:t>
            </w:r>
          </w:p>
        </w:tc>
        <w:tc>
          <w:tcPr>
            <w:tcW w:w="902" w:type="dxa"/>
          </w:tcPr>
          <w:p>
            <w:pPr>
              <w:pStyle w:val="TableParagraph"/>
              <w:spacing w:line="82" w:lineRule="exact" w:before="37"/>
              <w:ind w:right="5"/>
              <w:jc w:val="right"/>
              <w:rPr>
                <w:rFonts w:ascii="Arial"/>
                <w:sz w:val="8"/>
              </w:rPr>
            </w:pPr>
            <w:r>
              <w:rPr>
                <w:rFonts w:ascii="Arial"/>
                <w:spacing w:val="-2"/>
                <w:w w:val="105"/>
                <w:sz w:val="8"/>
              </w:rPr>
              <w:t>250</w:t>
            </w:r>
            <w:r>
              <w:rPr>
                <w:rFonts w:ascii="Arial"/>
                <w:spacing w:val="-1"/>
                <w:sz w:val="8"/>
              </w:rPr>
              <w:t> </w:t>
            </w:r>
            <w:r>
              <w:rPr>
                <w:rFonts w:ascii="Arial"/>
                <w:spacing w:val="-2"/>
                <w:w w:val="105"/>
                <w:sz w:val="8"/>
              </w:rPr>
              <w:t>000,00</w:t>
            </w:r>
          </w:p>
        </w:tc>
        <w:tc>
          <w:tcPr>
            <w:tcW w:w="735" w:type="dxa"/>
          </w:tcPr>
          <w:p>
            <w:pPr>
              <w:pStyle w:val="TableParagraph"/>
              <w:spacing w:line="82" w:lineRule="exact" w:before="37"/>
              <w:ind w:right="5"/>
              <w:jc w:val="right"/>
              <w:rPr>
                <w:rFonts w:ascii="Arial"/>
                <w:sz w:val="8"/>
              </w:rPr>
            </w:pPr>
            <w:r>
              <w:rPr>
                <w:rFonts w:ascii="Arial"/>
                <w:w w:val="105"/>
                <w:sz w:val="8"/>
              </w:rPr>
              <w:t>3</w:t>
            </w:r>
            <w:r>
              <w:rPr>
                <w:rFonts w:ascii="Arial"/>
                <w:spacing w:val="-7"/>
                <w:w w:val="105"/>
                <w:sz w:val="8"/>
              </w:rPr>
              <w:t> </w:t>
            </w:r>
            <w:r>
              <w:rPr>
                <w:rFonts w:ascii="Arial"/>
                <w:w w:val="105"/>
                <w:sz w:val="8"/>
              </w:rPr>
              <w:t>698</w:t>
            </w:r>
            <w:r>
              <w:rPr>
                <w:rFonts w:ascii="Arial"/>
                <w:spacing w:val="-5"/>
                <w:w w:val="105"/>
                <w:sz w:val="8"/>
              </w:rPr>
              <w:t> </w:t>
            </w:r>
            <w:r>
              <w:rPr>
                <w:rFonts w:ascii="Arial"/>
                <w:spacing w:val="-2"/>
                <w:w w:val="105"/>
                <w:sz w:val="8"/>
              </w:rPr>
              <w:t>799,00</w:t>
            </w:r>
          </w:p>
        </w:tc>
        <w:tc>
          <w:tcPr>
            <w:tcW w:w="675" w:type="dxa"/>
          </w:tcPr>
          <w:p>
            <w:pPr>
              <w:pStyle w:val="TableParagraph"/>
              <w:spacing w:line="82" w:lineRule="exact" w:before="37"/>
              <w:ind w:right="6"/>
              <w:jc w:val="right"/>
              <w:rPr>
                <w:rFonts w:ascii="Arial"/>
                <w:sz w:val="8"/>
              </w:rPr>
            </w:pPr>
            <w:r>
              <w:rPr>
                <w:rFonts w:ascii="Arial"/>
                <w:spacing w:val="-2"/>
                <w:w w:val="105"/>
                <w:sz w:val="8"/>
              </w:rPr>
              <w:t>250</w:t>
            </w:r>
            <w:r>
              <w:rPr>
                <w:rFonts w:ascii="Arial"/>
                <w:spacing w:val="-1"/>
                <w:sz w:val="8"/>
              </w:rPr>
              <w:t> </w:t>
            </w:r>
            <w:r>
              <w:rPr>
                <w:rFonts w:ascii="Arial"/>
                <w:spacing w:val="-2"/>
                <w:w w:val="105"/>
                <w:sz w:val="8"/>
              </w:rPr>
              <w:t>000,00</w:t>
            </w:r>
          </w:p>
        </w:tc>
      </w:tr>
      <w:tr>
        <w:trPr>
          <w:trHeight w:val="139" w:hRule="atLeast"/>
        </w:trPr>
        <w:tc>
          <w:tcPr>
            <w:tcW w:w="606" w:type="dxa"/>
          </w:tcPr>
          <w:p>
            <w:pPr>
              <w:pStyle w:val="TableParagraph"/>
              <w:spacing w:line="84" w:lineRule="exact" w:before="34"/>
              <w:ind w:left="31"/>
              <w:jc w:val="center"/>
              <w:rPr>
                <w:rFonts w:ascii="Arial"/>
                <w:sz w:val="8"/>
              </w:rPr>
            </w:pPr>
            <w:r>
              <w:rPr>
                <w:rFonts w:ascii="Arial"/>
                <w:sz w:val="8"/>
              </w:rPr>
              <w:t>4-</w:t>
            </w:r>
            <w:r>
              <w:rPr>
                <w:rFonts w:ascii="Arial"/>
                <w:spacing w:val="-5"/>
                <w:sz w:val="8"/>
              </w:rPr>
              <w:t>66</w:t>
            </w:r>
          </w:p>
        </w:tc>
        <w:tc>
          <w:tcPr>
            <w:tcW w:w="606" w:type="dxa"/>
          </w:tcPr>
          <w:p>
            <w:pPr>
              <w:pStyle w:val="TableParagraph"/>
              <w:spacing w:line="84" w:lineRule="exact" w:before="34"/>
              <w:ind w:left="16" w:right="1"/>
              <w:jc w:val="center"/>
              <w:rPr>
                <w:rFonts w:ascii="Arial"/>
                <w:sz w:val="8"/>
              </w:rPr>
            </w:pPr>
            <w:r>
              <w:rPr>
                <w:rFonts w:ascii="Arial"/>
                <w:spacing w:val="-2"/>
                <w:w w:val="105"/>
                <w:sz w:val="8"/>
              </w:rPr>
              <w:t>54000002</w:t>
            </w:r>
          </w:p>
        </w:tc>
        <w:tc>
          <w:tcPr>
            <w:tcW w:w="621" w:type="dxa"/>
            <w:tcBorders>
              <w:top w:val="single" w:sz="6" w:space="0" w:color="888888"/>
            </w:tcBorders>
          </w:tcPr>
          <w:p>
            <w:pPr>
              <w:pStyle w:val="TableParagraph"/>
              <w:spacing w:line="84" w:lineRule="exact" w:before="34"/>
              <w:ind w:right="6"/>
              <w:jc w:val="right"/>
              <w:rPr>
                <w:rFonts w:ascii="Arial"/>
                <w:sz w:val="8"/>
              </w:rPr>
            </w:pPr>
            <w:r>
              <w:rPr>
                <w:rFonts w:ascii="Arial"/>
                <w:spacing w:val="-2"/>
                <w:w w:val="105"/>
                <w:sz w:val="8"/>
              </w:rPr>
              <w:t>53</w:t>
            </w:r>
            <w:r>
              <w:rPr>
                <w:rFonts w:ascii="Arial"/>
                <w:spacing w:val="-1"/>
                <w:sz w:val="8"/>
              </w:rPr>
              <w:t> </w:t>
            </w:r>
            <w:r>
              <w:rPr>
                <w:rFonts w:ascii="Arial"/>
                <w:spacing w:val="-2"/>
                <w:w w:val="105"/>
                <w:sz w:val="8"/>
              </w:rPr>
              <w:t>017</w:t>
            </w:r>
            <w:r>
              <w:rPr>
                <w:rFonts w:ascii="Arial"/>
                <w:spacing w:val="-1"/>
                <w:w w:val="105"/>
                <w:sz w:val="8"/>
              </w:rPr>
              <w:t> </w:t>
            </w:r>
            <w:r>
              <w:rPr>
                <w:rFonts w:ascii="Arial"/>
                <w:spacing w:val="-2"/>
                <w:w w:val="105"/>
                <w:sz w:val="8"/>
              </w:rPr>
              <w:t>000,00</w:t>
            </w:r>
          </w:p>
        </w:tc>
        <w:tc>
          <w:tcPr>
            <w:tcW w:w="606" w:type="dxa"/>
            <w:tcBorders>
              <w:top w:val="single" w:sz="6" w:space="0" w:color="888888"/>
            </w:tcBorders>
          </w:tcPr>
          <w:p>
            <w:pPr>
              <w:pStyle w:val="TableParagraph"/>
              <w:spacing w:line="84" w:lineRule="exact" w:before="34"/>
              <w:ind w:left="177"/>
              <w:rPr>
                <w:rFonts w:ascii="Arial"/>
                <w:sz w:val="8"/>
              </w:rPr>
            </w:pPr>
            <w:r>
              <w:rPr>
                <w:rFonts w:ascii="Arial"/>
                <w:spacing w:val="-2"/>
                <w:w w:val="105"/>
                <w:sz w:val="8"/>
              </w:rPr>
              <w:t>240</w:t>
            </w:r>
            <w:r>
              <w:rPr>
                <w:rFonts w:ascii="Arial"/>
                <w:spacing w:val="-1"/>
                <w:sz w:val="8"/>
              </w:rPr>
              <w:t> </w:t>
            </w:r>
            <w:r>
              <w:rPr>
                <w:rFonts w:ascii="Arial"/>
                <w:spacing w:val="-2"/>
                <w:w w:val="105"/>
                <w:sz w:val="8"/>
              </w:rPr>
              <w:t>778,00</w:t>
            </w:r>
          </w:p>
        </w:tc>
        <w:tc>
          <w:tcPr>
            <w:tcW w:w="606" w:type="dxa"/>
          </w:tcPr>
          <w:p>
            <w:pPr>
              <w:pStyle w:val="TableParagraph"/>
              <w:spacing w:line="84" w:lineRule="exact" w:before="34"/>
              <w:ind w:left="19"/>
              <w:rPr>
                <w:rFonts w:ascii="Arial"/>
                <w:sz w:val="8"/>
              </w:rPr>
            </w:pPr>
            <w:r>
              <w:rPr>
                <w:rFonts w:ascii="Arial"/>
                <w:spacing w:val="-2"/>
                <w:w w:val="105"/>
                <w:sz w:val="8"/>
              </w:rPr>
              <w:t>41001</w:t>
            </w:r>
          </w:p>
        </w:tc>
        <w:tc>
          <w:tcPr>
            <w:tcW w:w="606" w:type="dxa"/>
          </w:tcPr>
          <w:p>
            <w:pPr>
              <w:pStyle w:val="TableParagraph"/>
              <w:spacing w:line="84" w:lineRule="exact" w:before="34"/>
              <w:ind w:left="19"/>
              <w:rPr>
                <w:rFonts w:ascii="Arial"/>
                <w:sz w:val="8"/>
              </w:rPr>
            </w:pPr>
            <w:r>
              <w:rPr>
                <w:rFonts w:ascii="Arial"/>
                <w:spacing w:val="-5"/>
                <w:w w:val="105"/>
                <w:sz w:val="8"/>
              </w:rPr>
              <w:t>U01</w:t>
            </w:r>
          </w:p>
        </w:tc>
        <w:tc>
          <w:tcPr>
            <w:tcW w:w="902" w:type="dxa"/>
          </w:tcPr>
          <w:p>
            <w:pPr>
              <w:pStyle w:val="TableParagraph"/>
              <w:spacing w:line="84" w:lineRule="exact" w:before="34"/>
              <w:ind w:right="5"/>
              <w:jc w:val="right"/>
              <w:rPr>
                <w:rFonts w:ascii="Arial"/>
                <w:sz w:val="8"/>
              </w:rPr>
            </w:pPr>
            <w:r>
              <w:rPr>
                <w:rFonts w:ascii="Arial"/>
                <w:w w:val="105"/>
                <w:sz w:val="8"/>
              </w:rPr>
              <w:t>75</w:t>
            </w:r>
            <w:r>
              <w:rPr>
                <w:rFonts w:ascii="Arial"/>
                <w:spacing w:val="-7"/>
                <w:w w:val="105"/>
                <w:sz w:val="8"/>
              </w:rPr>
              <w:t> </w:t>
            </w:r>
            <w:r>
              <w:rPr>
                <w:rFonts w:ascii="Arial"/>
                <w:spacing w:val="-2"/>
                <w:w w:val="105"/>
                <w:sz w:val="8"/>
              </w:rPr>
              <w:t>000,00</w:t>
            </w:r>
          </w:p>
        </w:tc>
        <w:tc>
          <w:tcPr>
            <w:tcW w:w="606" w:type="dxa"/>
          </w:tcPr>
          <w:p>
            <w:pPr>
              <w:pStyle w:val="TableParagraph"/>
              <w:spacing w:line="84" w:lineRule="exact" w:before="34"/>
              <w:ind w:right="5"/>
              <w:jc w:val="right"/>
              <w:rPr>
                <w:rFonts w:ascii="Arial"/>
                <w:sz w:val="8"/>
              </w:rPr>
            </w:pPr>
            <w:r>
              <w:rPr>
                <w:rFonts w:ascii="Arial"/>
                <w:spacing w:val="-4"/>
                <w:w w:val="105"/>
                <w:sz w:val="8"/>
              </w:rPr>
              <w:t>0,00</w:t>
            </w:r>
          </w:p>
        </w:tc>
        <w:tc>
          <w:tcPr>
            <w:tcW w:w="697" w:type="dxa"/>
          </w:tcPr>
          <w:p>
            <w:pPr>
              <w:pStyle w:val="TableParagraph"/>
              <w:spacing w:line="84" w:lineRule="exact" w:before="34"/>
              <w:ind w:right="5"/>
              <w:jc w:val="right"/>
              <w:rPr>
                <w:rFonts w:ascii="Arial"/>
                <w:sz w:val="8"/>
              </w:rPr>
            </w:pPr>
            <w:r>
              <w:rPr>
                <w:rFonts w:ascii="Arial"/>
                <w:spacing w:val="-2"/>
                <w:w w:val="105"/>
                <w:sz w:val="8"/>
              </w:rPr>
              <w:t>340,00</w:t>
            </w:r>
          </w:p>
        </w:tc>
        <w:tc>
          <w:tcPr>
            <w:tcW w:w="902" w:type="dxa"/>
          </w:tcPr>
          <w:p>
            <w:pPr>
              <w:pStyle w:val="TableParagraph"/>
              <w:spacing w:line="84" w:lineRule="exact" w:before="34"/>
              <w:ind w:right="5"/>
              <w:jc w:val="right"/>
              <w:rPr>
                <w:rFonts w:ascii="Arial"/>
                <w:sz w:val="8"/>
              </w:rPr>
            </w:pPr>
            <w:r>
              <w:rPr>
                <w:rFonts w:ascii="Arial"/>
                <w:spacing w:val="-2"/>
                <w:w w:val="105"/>
                <w:sz w:val="8"/>
              </w:rPr>
              <w:t>25</w:t>
            </w:r>
            <w:r>
              <w:rPr>
                <w:rFonts w:ascii="Arial"/>
                <w:spacing w:val="-1"/>
                <w:sz w:val="8"/>
              </w:rPr>
              <w:t> </w:t>
            </w:r>
            <w:r>
              <w:rPr>
                <w:rFonts w:ascii="Arial"/>
                <w:spacing w:val="-2"/>
                <w:w w:val="105"/>
                <w:sz w:val="8"/>
              </w:rPr>
              <w:t>500</w:t>
            </w:r>
            <w:r>
              <w:rPr>
                <w:rFonts w:ascii="Arial"/>
                <w:spacing w:val="-1"/>
                <w:w w:val="105"/>
                <w:sz w:val="8"/>
              </w:rPr>
              <w:t> </w:t>
            </w:r>
            <w:r>
              <w:rPr>
                <w:rFonts w:ascii="Arial"/>
                <w:spacing w:val="-2"/>
                <w:w w:val="105"/>
                <w:sz w:val="8"/>
              </w:rPr>
              <w:t>000,00</w:t>
            </w:r>
          </w:p>
        </w:tc>
        <w:tc>
          <w:tcPr>
            <w:tcW w:w="735" w:type="dxa"/>
          </w:tcPr>
          <w:p>
            <w:pPr>
              <w:pStyle w:val="TableParagraph"/>
              <w:spacing w:line="84" w:lineRule="exact" w:before="34"/>
              <w:ind w:right="5"/>
              <w:jc w:val="right"/>
              <w:rPr>
                <w:rFonts w:ascii="Arial"/>
                <w:sz w:val="8"/>
              </w:rPr>
            </w:pPr>
            <w:r>
              <w:rPr>
                <w:rFonts w:ascii="Arial"/>
                <w:spacing w:val="-2"/>
                <w:w w:val="105"/>
                <w:sz w:val="8"/>
              </w:rPr>
              <w:t>27</w:t>
            </w:r>
            <w:r>
              <w:rPr>
                <w:rFonts w:ascii="Arial"/>
                <w:spacing w:val="-1"/>
                <w:sz w:val="8"/>
              </w:rPr>
              <w:t> </w:t>
            </w:r>
            <w:r>
              <w:rPr>
                <w:rFonts w:ascii="Arial"/>
                <w:spacing w:val="-2"/>
                <w:w w:val="105"/>
                <w:sz w:val="8"/>
              </w:rPr>
              <w:t>517</w:t>
            </w:r>
            <w:r>
              <w:rPr>
                <w:rFonts w:ascii="Arial"/>
                <w:spacing w:val="-1"/>
                <w:w w:val="105"/>
                <w:sz w:val="8"/>
              </w:rPr>
              <w:t> </w:t>
            </w:r>
            <w:r>
              <w:rPr>
                <w:rFonts w:ascii="Arial"/>
                <w:spacing w:val="-2"/>
                <w:w w:val="105"/>
                <w:sz w:val="8"/>
              </w:rPr>
              <w:t>000,00</w:t>
            </w:r>
          </w:p>
        </w:tc>
        <w:tc>
          <w:tcPr>
            <w:tcW w:w="675" w:type="dxa"/>
          </w:tcPr>
          <w:p>
            <w:pPr>
              <w:pStyle w:val="TableParagraph"/>
              <w:spacing w:line="84" w:lineRule="exact" w:before="34"/>
              <w:ind w:right="6"/>
              <w:jc w:val="right"/>
              <w:rPr>
                <w:rFonts w:ascii="Arial"/>
                <w:sz w:val="8"/>
              </w:rPr>
            </w:pPr>
            <w:r>
              <w:rPr>
                <w:rFonts w:ascii="Arial"/>
                <w:spacing w:val="-2"/>
                <w:w w:val="105"/>
                <w:sz w:val="8"/>
              </w:rPr>
              <w:t>25</w:t>
            </w:r>
            <w:r>
              <w:rPr>
                <w:rFonts w:ascii="Arial"/>
                <w:spacing w:val="-1"/>
                <w:sz w:val="8"/>
              </w:rPr>
              <w:t> </w:t>
            </w:r>
            <w:r>
              <w:rPr>
                <w:rFonts w:ascii="Arial"/>
                <w:spacing w:val="-2"/>
                <w:w w:val="105"/>
                <w:sz w:val="8"/>
              </w:rPr>
              <w:t>500</w:t>
            </w:r>
            <w:r>
              <w:rPr>
                <w:rFonts w:ascii="Arial"/>
                <w:spacing w:val="-1"/>
                <w:w w:val="105"/>
                <w:sz w:val="8"/>
              </w:rPr>
              <w:t> </w:t>
            </w:r>
            <w:r>
              <w:rPr>
                <w:rFonts w:ascii="Arial"/>
                <w:spacing w:val="-2"/>
                <w:w w:val="105"/>
                <w:sz w:val="8"/>
              </w:rPr>
              <w:t>000,00</w:t>
            </w:r>
          </w:p>
        </w:tc>
      </w:tr>
    </w:tbl>
    <w:p>
      <w:pPr>
        <w:spacing w:before="8"/>
        <w:ind w:left="0" w:right="2008" w:firstLine="0"/>
        <w:jc w:val="right"/>
        <w:rPr>
          <w:rFonts w:ascii="Calibri" w:hAnsi="Calibri"/>
          <w:b/>
          <w:sz w:val="11"/>
        </w:rPr>
      </w:pPr>
      <w:r>
        <w:rPr>
          <w:rFonts w:ascii="Calibri" w:hAnsi="Calibri"/>
          <w:b/>
          <w:spacing w:val="26"/>
          <w:sz w:val="11"/>
          <w:u w:val="single"/>
        </w:rPr>
        <w:t> </w:t>
      </w:r>
      <w:r>
        <w:rPr>
          <w:rFonts w:ascii="Calibri" w:hAnsi="Calibri"/>
          <w:b/>
          <w:spacing w:val="-2"/>
          <w:sz w:val="11"/>
          <w:u w:val="single"/>
        </w:rPr>
        <w:t>₡63</w:t>
      </w:r>
      <w:r>
        <w:rPr>
          <w:rFonts w:ascii="Calibri" w:hAnsi="Calibri"/>
          <w:b/>
          <w:spacing w:val="-5"/>
          <w:sz w:val="11"/>
          <w:u w:val="single"/>
        </w:rPr>
        <w:t> </w:t>
      </w:r>
      <w:r>
        <w:rPr>
          <w:rFonts w:ascii="Calibri" w:hAnsi="Calibri"/>
          <w:b/>
          <w:spacing w:val="-2"/>
          <w:sz w:val="11"/>
          <w:u w:val="single"/>
        </w:rPr>
        <w:t>439</w:t>
      </w:r>
      <w:r>
        <w:rPr>
          <w:rFonts w:ascii="Calibri" w:hAnsi="Calibri"/>
          <w:b/>
          <w:spacing w:val="-6"/>
          <w:sz w:val="11"/>
          <w:u w:val="single"/>
        </w:rPr>
        <w:t> </w:t>
      </w:r>
      <w:r>
        <w:rPr>
          <w:rFonts w:ascii="Calibri" w:hAnsi="Calibri"/>
          <w:b/>
          <w:spacing w:val="-2"/>
          <w:sz w:val="11"/>
          <w:u w:val="single"/>
        </w:rPr>
        <w:t>531,00</w:t>
      </w:r>
    </w:p>
    <w:p>
      <w:pPr>
        <w:pStyle w:val="BodyText"/>
        <w:spacing w:before="197"/>
        <w:ind w:left="734" w:right="1091"/>
        <w:jc w:val="both"/>
      </w:pPr>
      <w:r>
        <w:rPr/>
        <w:t>La NICSP 21 aplica a todos los activos que no generen efectivo, excepto los activos que surgen de contratos de construcción (vea la NICSP 11), inventarios (vea la NICSP 12), propiedad, planta y equipo que no genera efectivo que es medida a cantidades revaluadas (vea la NICSP 17), y otros activos</w:t>
      </w:r>
      <w:r>
        <w:rPr>
          <w:spacing w:val="-2"/>
        </w:rPr>
        <w:t> </w:t>
      </w:r>
      <w:r>
        <w:rPr/>
        <w:t>con</w:t>
      </w:r>
      <w:r>
        <w:rPr>
          <w:spacing w:val="-3"/>
        </w:rPr>
        <w:t> </w:t>
      </w:r>
      <w:r>
        <w:rPr/>
        <w:t>relación</w:t>
      </w:r>
      <w:r>
        <w:rPr>
          <w:spacing w:val="-3"/>
        </w:rPr>
        <w:t> </w:t>
      </w:r>
      <w:r>
        <w:rPr/>
        <w:t>a</w:t>
      </w:r>
      <w:r>
        <w:rPr>
          <w:spacing w:val="-3"/>
        </w:rPr>
        <w:t> </w:t>
      </w:r>
      <w:r>
        <w:rPr/>
        <w:t>los</w:t>
      </w:r>
      <w:r>
        <w:rPr>
          <w:spacing w:val="-5"/>
        </w:rPr>
        <w:t> </w:t>
      </w:r>
      <w:r>
        <w:rPr/>
        <w:t>cuales</w:t>
      </w:r>
      <w:r>
        <w:rPr>
          <w:spacing w:val="-2"/>
        </w:rPr>
        <w:t> </w:t>
      </w:r>
      <w:r>
        <w:rPr/>
        <w:t>requerimientos</w:t>
      </w:r>
      <w:r>
        <w:rPr>
          <w:spacing w:val="-2"/>
        </w:rPr>
        <w:t> </w:t>
      </w:r>
      <w:r>
        <w:rPr/>
        <w:t>de</w:t>
      </w:r>
      <w:r>
        <w:rPr>
          <w:spacing w:val="-5"/>
        </w:rPr>
        <w:t> </w:t>
      </w:r>
      <w:r>
        <w:rPr/>
        <w:t>contabilidad</w:t>
      </w:r>
      <w:r>
        <w:rPr>
          <w:spacing w:val="-3"/>
        </w:rPr>
        <w:t> </w:t>
      </w:r>
      <w:r>
        <w:rPr/>
        <w:t>para</w:t>
      </w:r>
      <w:r>
        <w:rPr>
          <w:spacing w:val="-4"/>
        </w:rPr>
        <w:t> </w:t>
      </w:r>
      <w:r>
        <w:rPr/>
        <w:t>el</w:t>
      </w:r>
      <w:r>
        <w:rPr>
          <w:spacing w:val="-3"/>
        </w:rPr>
        <w:t> </w:t>
      </w:r>
      <w:r>
        <w:rPr/>
        <w:t>deterioro</w:t>
      </w:r>
      <w:r>
        <w:rPr>
          <w:spacing w:val="-3"/>
        </w:rPr>
        <w:t> </w:t>
      </w:r>
      <w:r>
        <w:rPr/>
        <w:t>estén</w:t>
      </w:r>
      <w:r>
        <w:rPr>
          <w:spacing w:val="-3"/>
        </w:rPr>
        <w:t> </w:t>
      </w:r>
      <w:r>
        <w:rPr/>
        <w:t>incluidos</w:t>
      </w:r>
      <w:r>
        <w:rPr>
          <w:spacing w:val="-2"/>
        </w:rPr>
        <w:t> </w:t>
      </w:r>
      <w:r>
        <w:rPr/>
        <w:t>en otras NICSP.</w:t>
      </w:r>
    </w:p>
    <w:p>
      <w:pPr>
        <w:pStyle w:val="BodyText"/>
        <w:spacing w:before="159"/>
        <w:ind w:left="734" w:right="1093"/>
        <w:jc w:val="both"/>
      </w:pPr>
      <w:r>
        <w:rPr/>
        <w:t>La pérdida por deterioro de un activo que no genera efectivo es la cantidad por la cual el valor en libros del activo excede su cantidad de servicio recuperable.</w:t>
      </w:r>
    </w:p>
    <w:p>
      <w:pPr>
        <w:pStyle w:val="BodyText"/>
        <w:spacing w:before="161"/>
        <w:ind w:left="734" w:right="1091"/>
        <w:jc w:val="both"/>
      </w:pPr>
      <w:r>
        <w:rPr/>
        <w:t>La pérdida por deterioro tiene es reconocida inmediatamente en superávit o déficit. Después del reconocimiento</w:t>
      </w:r>
      <w:r>
        <w:rPr>
          <w:spacing w:val="-14"/>
        </w:rPr>
        <w:t> </w:t>
      </w:r>
      <w:r>
        <w:rPr/>
        <w:t>de</w:t>
      </w:r>
      <w:r>
        <w:rPr>
          <w:spacing w:val="-14"/>
        </w:rPr>
        <w:t> </w:t>
      </w:r>
      <w:r>
        <w:rPr/>
        <w:t>una</w:t>
      </w:r>
      <w:r>
        <w:rPr>
          <w:spacing w:val="-14"/>
        </w:rPr>
        <w:t> </w:t>
      </w:r>
      <w:r>
        <w:rPr/>
        <w:t>pérdida</w:t>
      </w:r>
      <w:r>
        <w:rPr>
          <w:spacing w:val="-13"/>
        </w:rPr>
        <w:t> </w:t>
      </w:r>
      <w:r>
        <w:rPr/>
        <w:t>por</w:t>
      </w:r>
      <w:r>
        <w:rPr>
          <w:spacing w:val="-14"/>
        </w:rPr>
        <w:t> </w:t>
      </w:r>
      <w:r>
        <w:rPr/>
        <w:t>deterioro,</w:t>
      </w:r>
      <w:r>
        <w:rPr>
          <w:spacing w:val="-14"/>
        </w:rPr>
        <w:t> </w:t>
      </w:r>
      <w:r>
        <w:rPr/>
        <w:t>el</w:t>
      </w:r>
      <w:r>
        <w:rPr>
          <w:spacing w:val="-14"/>
        </w:rPr>
        <w:t> </w:t>
      </w:r>
      <w:r>
        <w:rPr/>
        <w:t>cargo</w:t>
      </w:r>
      <w:r>
        <w:rPr>
          <w:spacing w:val="-13"/>
        </w:rPr>
        <w:t> </w:t>
      </w:r>
      <w:r>
        <w:rPr/>
        <w:t>por</w:t>
      </w:r>
      <w:r>
        <w:rPr>
          <w:spacing w:val="-14"/>
        </w:rPr>
        <w:t> </w:t>
      </w:r>
      <w:r>
        <w:rPr/>
        <w:t>depreciación</w:t>
      </w:r>
      <w:r>
        <w:rPr>
          <w:spacing w:val="-14"/>
        </w:rPr>
        <w:t> </w:t>
      </w:r>
      <w:r>
        <w:rPr/>
        <w:t>(amortización)</w:t>
      </w:r>
      <w:r>
        <w:rPr>
          <w:spacing w:val="-14"/>
        </w:rPr>
        <w:t> </w:t>
      </w:r>
      <w:r>
        <w:rPr/>
        <w:t>para</w:t>
      </w:r>
      <w:r>
        <w:rPr>
          <w:spacing w:val="-13"/>
        </w:rPr>
        <w:t> </w:t>
      </w:r>
      <w:r>
        <w:rPr/>
        <w:t>el</w:t>
      </w:r>
      <w:r>
        <w:rPr>
          <w:spacing w:val="-14"/>
        </w:rPr>
        <w:t> </w:t>
      </w:r>
      <w:r>
        <w:rPr/>
        <w:t>activo tiene</w:t>
      </w:r>
      <w:r>
        <w:rPr>
          <w:spacing w:val="-1"/>
        </w:rPr>
        <w:t> </w:t>
      </w:r>
      <w:r>
        <w:rPr/>
        <w:t>que</w:t>
      </w:r>
      <w:r>
        <w:rPr>
          <w:spacing w:val="-1"/>
        </w:rPr>
        <w:t> </w:t>
      </w:r>
      <w:r>
        <w:rPr/>
        <w:t>ser ajustado en períodos futuros para</w:t>
      </w:r>
      <w:r>
        <w:rPr>
          <w:spacing w:val="-1"/>
        </w:rPr>
        <w:t> </w:t>
      </w:r>
      <w:r>
        <w:rPr/>
        <w:t>asignar</w:t>
      </w:r>
      <w:r>
        <w:rPr>
          <w:spacing w:val="-2"/>
        </w:rPr>
        <w:t> </w:t>
      </w:r>
      <w:r>
        <w:rPr/>
        <w:t>el valor en libros revisado del</w:t>
      </w:r>
      <w:r>
        <w:rPr>
          <w:spacing w:val="-1"/>
        </w:rPr>
        <w:t> </w:t>
      </w:r>
      <w:r>
        <w:rPr/>
        <w:t>activo, menos su valor residual (si lo hay), sobre una base sistemática durante su vida útil restante.</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8800">
                <wp:simplePos x="0" y="0"/>
                <wp:positionH relativeFrom="page">
                  <wp:posOffset>9525</wp:posOffset>
                </wp:positionH>
                <wp:positionV relativeFrom="page">
                  <wp:posOffset>297208</wp:posOffset>
                </wp:positionV>
                <wp:extent cx="7762875" cy="974852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7762875" cy="9748520"/>
                          <a:chExt cx="7762875" cy="9748520"/>
                        </a:xfrm>
                      </wpg:grpSpPr>
                      <pic:pic>
                        <pic:nvPicPr>
                          <pic:cNvPr id="118" name="Image 118"/>
                          <pic:cNvPicPr/>
                        </pic:nvPicPr>
                        <pic:blipFill>
                          <a:blip r:embed="rId5" cstate="print"/>
                          <a:stretch>
                            <a:fillRect/>
                          </a:stretch>
                        </pic:blipFill>
                        <pic:spPr>
                          <a:xfrm>
                            <a:off x="0" y="0"/>
                            <a:ext cx="7762874" cy="9748489"/>
                          </a:xfrm>
                          <a:prstGeom prst="rect">
                            <a:avLst/>
                          </a:prstGeom>
                        </pic:spPr>
                      </pic:pic>
                      <wps:wsp>
                        <wps:cNvPr id="119" name="Graphic 119"/>
                        <wps:cNvSpPr/>
                        <wps:spPr>
                          <a:xfrm>
                            <a:off x="1053007" y="990837"/>
                            <a:ext cx="5649595" cy="7477759"/>
                          </a:xfrm>
                          <a:custGeom>
                            <a:avLst/>
                            <a:gdLst/>
                            <a:ahLst/>
                            <a:cxnLst/>
                            <a:rect l="l" t="t" r="r" b="b"/>
                            <a:pathLst>
                              <a:path w="5649595" h="7477759">
                                <a:moveTo>
                                  <a:pt x="24384" y="371970"/>
                                </a:moveTo>
                                <a:lnTo>
                                  <a:pt x="18288" y="371970"/>
                                </a:lnTo>
                                <a:lnTo>
                                  <a:pt x="18288" y="7471651"/>
                                </a:lnTo>
                                <a:lnTo>
                                  <a:pt x="24384" y="7471651"/>
                                </a:lnTo>
                                <a:lnTo>
                                  <a:pt x="24384" y="371970"/>
                                </a:lnTo>
                                <a:close/>
                              </a:path>
                              <a:path w="5649595" h="7477759">
                                <a:moveTo>
                                  <a:pt x="5630862" y="7471664"/>
                                </a:moveTo>
                                <a:lnTo>
                                  <a:pt x="5624830" y="7471664"/>
                                </a:lnTo>
                                <a:lnTo>
                                  <a:pt x="24384" y="7471664"/>
                                </a:lnTo>
                                <a:lnTo>
                                  <a:pt x="18288" y="7471664"/>
                                </a:lnTo>
                                <a:lnTo>
                                  <a:pt x="18288" y="7477747"/>
                                </a:lnTo>
                                <a:lnTo>
                                  <a:pt x="24384" y="7477747"/>
                                </a:lnTo>
                                <a:lnTo>
                                  <a:pt x="5624779" y="7477747"/>
                                </a:lnTo>
                                <a:lnTo>
                                  <a:pt x="5630862" y="7477747"/>
                                </a:lnTo>
                                <a:lnTo>
                                  <a:pt x="5630862" y="7471664"/>
                                </a:lnTo>
                                <a:close/>
                              </a:path>
                              <a:path w="5649595" h="7477759">
                                <a:moveTo>
                                  <a:pt x="5630862" y="371970"/>
                                </a:moveTo>
                                <a:lnTo>
                                  <a:pt x="5624779" y="371970"/>
                                </a:lnTo>
                                <a:lnTo>
                                  <a:pt x="5624779" y="7471651"/>
                                </a:lnTo>
                                <a:lnTo>
                                  <a:pt x="5630862" y="7471651"/>
                                </a:lnTo>
                                <a:lnTo>
                                  <a:pt x="5630862" y="371970"/>
                                </a:lnTo>
                                <a:close/>
                              </a:path>
                              <a:path w="5649595" h="7477759">
                                <a:moveTo>
                                  <a:pt x="5630862" y="365747"/>
                                </a:moveTo>
                                <a:lnTo>
                                  <a:pt x="5624830" y="365747"/>
                                </a:lnTo>
                                <a:lnTo>
                                  <a:pt x="24384" y="365747"/>
                                </a:lnTo>
                                <a:lnTo>
                                  <a:pt x="18288" y="365747"/>
                                </a:lnTo>
                                <a:lnTo>
                                  <a:pt x="18288" y="371843"/>
                                </a:lnTo>
                                <a:lnTo>
                                  <a:pt x="24384" y="371843"/>
                                </a:lnTo>
                                <a:lnTo>
                                  <a:pt x="5624779" y="371843"/>
                                </a:lnTo>
                                <a:lnTo>
                                  <a:pt x="5630862" y="371843"/>
                                </a:lnTo>
                                <a:lnTo>
                                  <a:pt x="5630862" y="365747"/>
                                </a:lnTo>
                                <a:close/>
                              </a:path>
                              <a:path w="5649595" h="747775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7680" id="docshapegroup116" coordorigin="15,468" coordsize="12225,15352">
                <v:shape style="position:absolute;left:15;top:468;width:12225;height:15352" type="#_x0000_t75" id="docshape117" stroked="false">
                  <v:imagedata r:id="rId5" o:title=""/>
                </v:shape>
                <v:shape style="position:absolute;left:1673;top:2028;width:8897;height:11776" id="docshape118" coordorigin="1673,2028" coordsize="8897,11776" path="m1712,2614l1702,2614,1702,13795,1712,13795,1712,2614xm10541,13795l10531,13795,10531,13795,1712,13795,1702,13795,1702,13804,1712,13804,10531,13804,10531,13804,10541,13804,10541,13795xm10541,2614l10531,2614,10531,13795,10541,13795,10541,2614xm10541,2604l10531,2604,10531,2604,1712,2604,1702,2604,1702,2614,1712,2614,10531,2614,10531,2614,10541,2614,10541,2604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34</w:t>
      </w:r>
    </w:p>
    <w:p>
      <w:pPr>
        <w:pStyle w:val="Heading6"/>
        <w:numPr>
          <w:ilvl w:val="0"/>
          <w:numId w:val="13"/>
        </w:numPr>
        <w:tabs>
          <w:tab w:pos="1341" w:val="left" w:leader="none"/>
        </w:tabs>
        <w:spacing w:line="240" w:lineRule="auto" w:before="218" w:after="0"/>
        <w:ind w:left="1341" w:right="0" w:hanging="360"/>
        <w:jc w:val="left"/>
      </w:pPr>
      <w:bookmarkStart w:name="_bookmark18" w:id="19"/>
      <w:bookmarkEnd w:id="19"/>
      <w:r>
        <w:rPr>
          <w:b w:val="0"/>
        </w:rPr>
      </w:r>
      <w:r>
        <w:rPr>
          <w:color w:val="1F3762"/>
        </w:rPr>
        <w:t>Beneficios</w:t>
      </w:r>
      <w:r>
        <w:rPr>
          <w:color w:val="1F3762"/>
          <w:spacing w:val="-2"/>
        </w:rPr>
        <w:t> </w:t>
      </w:r>
      <w:r>
        <w:rPr>
          <w:color w:val="1F3762"/>
        </w:rPr>
        <w:t>a</w:t>
      </w:r>
      <w:r>
        <w:rPr>
          <w:color w:val="1F3762"/>
          <w:spacing w:val="-2"/>
        </w:rPr>
        <w:t> empleados.</w:t>
      </w:r>
    </w:p>
    <w:p>
      <w:pPr>
        <w:spacing w:before="135"/>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734" w:right="1089"/>
        <w:jc w:val="both"/>
      </w:pPr>
      <w:r>
        <w:rPr/>
        <w:t>La entidad reconoce como beneficios a los empleados todas las contraprestaciones de carácter obligatorio, monetarias o no monetarias, otorgadas al personal como resultado de la prestación de servicios,</w:t>
      </w:r>
      <w:r>
        <w:rPr>
          <w:spacing w:val="-4"/>
        </w:rPr>
        <w:t> </w:t>
      </w:r>
      <w:r>
        <w:rPr/>
        <w:t>ya</w:t>
      </w:r>
      <w:r>
        <w:rPr>
          <w:spacing w:val="-5"/>
        </w:rPr>
        <w:t> </w:t>
      </w:r>
      <w:r>
        <w:rPr/>
        <w:t>sea</w:t>
      </w:r>
      <w:r>
        <w:rPr>
          <w:spacing w:val="-5"/>
        </w:rPr>
        <w:t> </w:t>
      </w:r>
      <w:r>
        <w:rPr/>
        <w:t>por</w:t>
      </w:r>
      <w:r>
        <w:rPr>
          <w:spacing w:val="-4"/>
        </w:rPr>
        <w:t> </w:t>
      </w:r>
      <w:r>
        <w:rPr/>
        <w:t>disposición</w:t>
      </w:r>
      <w:r>
        <w:rPr>
          <w:spacing w:val="-4"/>
        </w:rPr>
        <w:t> </w:t>
      </w:r>
      <w:r>
        <w:rPr/>
        <w:t>legal,</w:t>
      </w:r>
      <w:r>
        <w:rPr>
          <w:spacing w:val="-4"/>
        </w:rPr>
        <w:t> </w:t>
      </w:r>
      <w:r>
        <w:rPr/>
        <w:t>normativa</w:t>
      </w:r>
      <w:r>
        <w:rPr>
          <w:spacing w:val="-5"/>
        </w:rPr>
        <w:t> </w:t>
      </w:r>
      <w:r>
        <w:rPr/>
        <w:t>interna,</w:t>
      </w:r>
      <w:r>
        <w:rPr>
          <w:spacing w:val="-4"/>
        </w:rPr>
        <w:t> </w:t>
      </w:r>
      <w:r>
        <w:rPr/>
        <w:t>acuerdos</w:t>
      </w:r>
      <w:r>
        <w:rPr>
          <w:spacing w:val="-3"/>
        </w:rPr>
        <w:t> </w:t>
      </w:r>
      <w:r>
        <w:rPr/>
        <w:t>colectivos,</w:t>
      </w:r>
      <w:r>
        <w:rPr>
          <w:spacing w:val="-4"/>
        </w:rPr>
        <w:t> </w:t>
      </w:r>
      <w:r>
        <w:rPr/>
        <w:t>contratos</w:t>
      </w:r>
      <w:r>
        <w:rPr>
          <w:spacing w:val="-3"/>
        </w:rPr>
        <w:t> </w:t>
      </w:r>
      <w:r>
        <w:rPr/>
        <w:t>individuales o prácticas institucionales que generen una obligación implícita.</w:t>
      </w:r>
    </w:p>
    <w:p>
      <w:pPr>
        <w:pStyle w:val="BodyText"/>
        <w:spacing w:before="19"/>
      </w:pPr>
    </w:p>
    <w:p>
      <w:pPr>
        <w:pStyle w:val="BodyText"/>
        <w:spacing w:line="259" w:lineRule="auto"/>
        <w:ind w:left="734" w:right="1092"/>
        <w:jc w:val="both"/>
      </w:pPr>
      <w:r>
        <w:rPr/>
        <w:t>Los beneficios a</w:t>
      </w:r>
      <w:r>
        <w:rPr>
          <w:spacing w:val="-1"/>
        </w:rPr>
        <w:t> </w:t>
      </w:r>
      <w:r>
        <w:rPr/>
        <w:t>los empleados</w:t>
      </w:r>
      <w:r>
        <w:rPr>
          <w:spacing w:val="-1"/>
        </w:rPr>
        <w:t> </w:t>
      </w:r>
      <w:r>
        <w:rPr/>
        <w:t>se</w:t>
      </w:r>
      <w:r>
        <w:rPr>
          <w:spacing w:val="-1"/>
        </w:rPr>
        <w:t> </w:t>
      </w:r>
      <w:r>
        <w:rPr/>
        <w:t>reconocen aplicando</w:t>
      </w:r>
      <w:r>
        <w:rPr>
          <w:spacing w:val="-2"/>
        </w:rPr>
        <w:t> </w:t>
      </w:r>
      <w:r>
        <w:rPr/>
        <w:t>el</w:t>
      </w:r>
      <w:r>
        <w:rPr>
          <w:spacing w:val="-1"/>
        </w:rPr>
        <w:t> </w:t>
      </w:r>
      <w:r>
        <w:rPr/>
        <w:t>principio del</w:t>
      </w:r>
      <w:r>
        <w:rPr>
          <w:spacing w:val="-1"/>
        </w:rPr>
        <w:t> </w:t>
      </w:r>
      <w:r>
        <w:rPr/>
        <w:t>devengo.</w:t>
      </w:r>
      <w:r>
        <w:rPr>
          <w:spacing w:val="-1"/>
        </w:rPr>
        <w:t> </w:t>
      </w:r>
      <w:r>
        <w:rPr/>
        <w:t>En consecuencia, se incurre un gasto en el período en que el funcionario presta el servicio que origina el beneficio y un pasivo cuando existe una obligación presente de efectuar pagos o suministrar bienes o servicios en el futuro.</w:t>
      </w:r>
    </w:p>
    <w:p>
      <w:pPr>
        <w:pStyle w:val="BodyText"/>
        <w:spacing w:before="19"/>
      </w:pPr>
    </w:p>
    <w:p>
      <w:pPr>
        <w:pStyle w:val="BodyText"/>
        <w:spacing w:line="259" w:lineRule="auto"/>
        <w:ind w:left="734" w:right="1093"/>
        <w:jc w:val="both"/>
      </w:pPr>
      <w:r>
        <w:rPr/>
        <w:t>Las obligaciones por beneficios a los empleados se registran cuando la entidad no tiene una alternativa realista distinta a cumplir con el pago correspondiente, aun cuando su liquidación se realice en períodos posteriores.</w:t>
      </w:r>
    </w:p>
    <w:p>
      <w:pPr>
        <w:pStyle w:val="BodyText"/>
        <w:spacing w:before="18"/>
      </w:pPr>
    </w:p>
    <w:p>
      <w:pPr>
        <w:pStyle w:val="BodyText"/>
        <w:ind w:left="734"/>
        <w:jc w:val="both"/>
      </w:pPr>
      <w:r>
        <w:rPr/>
        <w:t>Los</w:t>
      </w:r>
      <w:r>
        <w:rPr>
          <w:spacing w:val="-4"/>
        </w:rPr>
        <w:t> </w:t>
      </w:r>
      <w:r>
        <w:rPr/>
        <w:t>beneficios</w:t>
      </w:r>
      <w:r>
        <w:rPr>
          <w:spacing w:val="-3"/>
        </w:rPr>
        <w:t> </w:t>
      </w:r>
      <w:r>
        <w:rPr/>
        <w:t>a</w:t>
      </w:r>
      <w:r>
        <w:rPr>
          <w:spacing w:val="-6"/>
        </w:rPr>
        <w:t> </w:t>
      </w:r>
      <w:r>
        <w:rPr/>
        <w:t>los</w:t>
      </w:r>
      <w:r>
        <w:rPr>
          <w:spacing w:val="-3"/>
        </w:rPr>
        <w:t> </w:t>
      </w:r>
      <w:r>
        <w:rPr/>
        <w:t>empleados</w:t>
      </w:r>
      <w:r>
        <w:rPr>
          <w:spacing w:val="-3"/>
        </w:rPr>
        <w:t> </w:t>
      </w:r>
      <w:r>
        <w:rPr>
          <w:spacing w:val="-2"/>
        </w:rPr>
        <w:t>comprenden:</w:t>
      </w:r>
    </w:p>
    <w:p>
      <w:pPr>
        <w:pStyle w:val="ListParagraph"/>
        <w:numPr>
          <w:ilvl w:val="0"/>
          <w:numId w:val="27"/>
        </w:numPr>
        <w:tabs>
          <w:tab w:pos="1454" w:val="left" w:leader="none"/>
        </w:tabs>
        <w:spacing w:line="240" w:lineRule="auto" w:before="19" w:after="0"/>
        <w:ind w:left="1454" w:right="1092" w:hanging="360"/>
        <w:jc w:val="both"/>
        <w:rPr>
          <w:sz w:val="22"/>
        </w:rPr>
      </w:pPr>
      <w:r>
        <w:rPr>
          <w:sz w:val="22"/>
        </w:rPr>
        <w:t>los</w:t>
      </w:r>
      <w:r>
        <w:rPr>
          <w:spacing w:val="-6"/>
          <w:sz w:val="22"/>
        </w:rPr>
        <w:t> </w:t>
      </w:r>
      <w:r>
        <w:rPr>
          <w:sz w:val="22"/>
        </w:rPr>
        <w:t>beneficios</w:t>
      </w:r>
      <w:r>
        <w:rPr>
          <w:spacing w:val="-6"/>
          <w:sz w:val="22"/>
        </w:rPr>
        <w:t> </w:t>
      </w:r>
      <w:r>
        <w:rPr>
          <w:sz w:val="22"/>
        </w:rPr>
        <w:t>a</w:t>
      </w:r>
      <w:r>
        <w:rPr>
          <w:spacing w:val="-8"/>
          <w:sz w:val="22"/>
        </w:rPr>
        <w:t> </w:t>
      </w:r>
      <w:r>
        <w:rPr>
          <w:sz w:val="22"/>
        </w:rPr>
        <w:t>los</w:t>
      </w:r>
      <w:r>
        <w:rPr>
          <w:spacing w:val="-6"/>
          <w:sz w:val="22"/>
        </w:rPr>
        <w:t> </w:t>
      </w:r>
      <w:r>
        <w:rPr>
          <w:sz w:val="22"/>
        </w:rPr>
        <w:t>empleados</w:t>
      </w:r>
      <w:r>
        <w:rPr>
          <w:spacing w:val="-6"/>
          <w:sz w:val="22"/>
        </w:rPr>
        <w:t> </w:t>
      </w:r>
      <w:r>
        <w:rPr>
          <w:sz w:val="22"/>
        </w:rPr>
        <w:t>a</w:t>
      </w:r>
      <w:r>
        <w:rPr>
          <w:spacing w:val="-8"/>
          <w:sz w:val="22"/>
        </w:rPr>
        <w:t> </w:t>
      </w:r>
      <w:r>
        <w:rPr>
          <w:sz w:val="22"/>
        </w:rPr>
        <w:t>corto</w:t>
      </w:r>
      <w:r>
        <w:rPr>
          <w:spacing w:val="-6"/>
          <w:sz w:val="22"/>
        </w:rPr>
        <w:t> </w:t>
      </w:r>
      <w:r>
        <w:rPr>
          <w:sz w:val="22"/>
        </w:rPr>
        <w:t>plazo,</w:t>
      </w:r>
      <w:r>
        <w:rPr>
          <w:spacing w:val="-7"/>
          <w:sz w:val="22"/>
        </w:rPr>
        <w:t> </w:t>
      </w:r>
      <w:r>
        <w:rPr>
          <w:sz w:val="22"/>
        </w:rPr>
        <w:t>tales</w:t>
      </w:r>
      <w:r>
        <w:rPr>
          <w:spacing w:val="-6"/>
          <w:sz w:val="22"/>
        </w:rPr>
        <w:t> </w:t>
      </w:r>
      <w:r>
        <w:rPr>
          <w:sz w:val="22"/>
        </w:rPr>
        <w:t>como</w:t>
      </w:r>
      <w:r>
        <w:rPr>
          <w:spacing w:val="-9"/>
          <w:sz w:val="22"/>
        </w:rPr>
        <w:t> </w:t>
      </w:r>
      <w:r>
        <w:rPr>
          <w:sz w:val="22"/>
        </w:rPr>
        <w:t>los</w:t>
      </w:r>
      <w:r>
        <w:rPr>
          <w:spacing w:val="-6"/>
          <w:sz w:val="22"/>
        </w:rPr>
        <w:t> </w:t>
      </w:r>
      <w:r>
        <w:rPr>
          <w:sz w:val="22"/>
        </w:rPr>
        <w:t>siguientes,</w:t>
      </w:r>
      <w:r>
        <w:rPr>
          <w:spacing w:val="-7"/>
          <w:sz w:val="22"/>
        </w:rPr>
        <w:t> </w:t>
      </w:r>
      <w:r>
        <w:rPr>
          <w:sz w:val="22"/>
        </w:rPr>
        <w:t>si</w:t>
      </w:r>
      <w:r>
        <w:rPr>
          <w:spacing w:val="-10"/>
          <w:sz w:val="22"/>
        </w:rPr>
        <w:t> </w:t>
      </w:r>
      <w:r>
        <w:rPr>
          <w:sz w:val="22"/>
        </w:rPr>
        <w:t>se</w:t>
      </w:r>
      <w:r>
        <w:rPr>
          <w:spacing w:val="-8"/>
          <w:sz w:val="22"/>
        </w:rPr>
        <w:t> </w:t>
      </w:r>
      <w:r>
        <w:rPr>
          <w:sz w:val="22"/>
        </w:rPr>
        <w:t>esperan</w:t>
      </w:r>
      <w:r>
        <w:rPr>
          <w:spacing w:val="-7"/>
          <w:sz w:val="22"/>
        </w:rPr>
        <w:t> </w:t>
      </w:r>
      <w:r>
        <w:rPr>
          <w:sz w:val="22"/>
        </w:rPr>
        <w:t>liquidar totalmente</w:t>
      </w:r>
      <w:r>
        <w:rPr>
          <w:spacing w:val="-1"/>
          <w:sz w:val="22"/>
        </w:rPr>
        <w:t> </w:t>
      </w:r>
      <w:r>
        <w:rPr>
          <w:sz w:val="22"/>
        </w:rPr>
        <w:t>antes de</w:t>
      </w:r>
      <w:r>
        <w:rPr>
          <w:spacing w:val="-2"/>
          <w:sz w:val="22"/>
        </w:rPr>
        <w:t> </w:t>
      </w:r>
      <w:r>
        <w:rPr>
          <w:sz w:val="22"/>
        </w:rPr>
        <w:t>los doce</w:t>
      </w:r>
      <w:r>
        <w:rPr>
          <w:spacing w:val="-2"/>
          <w:sz w:val="22"/>
        </w:rPr>
        <w:t> </w:t>
      </w:r>
      <w:r>
        <w:rPr>
          <w:sz w:val="22"/>
        </w:rPr>
        <w:t>meses posteriores al</w:t>
      </w:r>
      <w:r>
        <w:rPr>
          <w:spacing w:val="-1"/>
          <w:sz w:val="22"/>
        </w:rPr>
        <w:t> </w:t>
      </w:r>
      <w:r>
        <w:rPr>
          <w:sz w:val="22"/>
        </w:rPr>
        <w:t>final</w:t>
      </w:r>
      <w:r>
        <w:rPr>
          <w:spacing w:val="-3"/>
          <w:sz w:val="22"/>
        </w:rPr>
        <w:t> </w:t>
      </w:r>
      <w:r>
        <w:rPr>
          <w:sz w:val="22"/>
        </w:rPr>
        <w:t>del</w:t>
      </w:r>
      <w:r>
        <w:rPr>
          <w:spacing w:val="-1"/>
          <w:sz w:val="22"/>
        </w:rPr>
        <w:t> </w:t>
      </w:r>
      <w:r>
        <w:rPr>
          <w:sz w:val="22"/>
        </w:rPr>
        <w:t>periodo sobre</w:t>
      </w:r>
      <w:r>
        <w:rPr>
          <w:spacing w:val="-2"/>
          <w:sz w:val="22"/>
        </w:rPr>
        <w:t> </w:t>
      </w:r>
      <w:r>
        <w:rPr>
          <w:sz w:val="22"/>
        </w:rPr>
        <w:t>el</w:t>
      </w:r>
      <w:r>
        <w:rPr>
          <w:spacing w:val="-1"/>
          <w:sz w:val="22"/>
        </w:rPr>
        <w:t> </w:t>
      </w:r>
      <w:r>
        <w:rPr>
          <w:sz w:val="22"/>
        </w:rPr>
        <w:t>que</w:t>
      </w:r>
      <w:r>
        <w:rPr>
          <w:spacing w:val="-1"/>
          <w:sz w:val="22"/>
        </w:rPr>
        <w:t> </w:t>
      </w:r>
      <w:r>
        <w:rPr>
          <w:sz w:val="22"/>
        </w:rPr>
        <w:t>se</w:t>
      </w:r>
      <w:r>
        <w:rPr>
          <w:spacing w:val="-3"/>
          <w:sz w:val="22"/>
        </w:rPr>
        <w:t> </w:t>
      </w:r>
      <w:r>
        <w:rPr>
          <w:sz w:val="22"/>
        </w:rPr>
        <w:t>informa en el que los empleados presten los servicios relacionados:</w:t>
      </w:r>
    </w:p>
    <w:p>
      <w:pPr>
        <w:pStyle w:val="BodyText"/>
        <w:spacing w:before="3"/>
        <w:ind w:left="734"/>
        <w:jc w:val="both"/>
      </w:pPr>
      <w:r>
        <w:rPr/>
        <w:t>sueldos,</w:t>
      </w:r>
      <w:r>
        <w:rPr>
          <w:spacing w:val="-7"/>
        </w:rPr>
        <w:t> </w:t>
      </w:r>
      <w:r>
        <w:rPr/>
        <w:t>salarios</w:t>
      </w:r>
      <w:r>
        <w:rPr>
          <w:spacing w:val="-2"/>
        </w:rPr>
        <w:t> </w:t>
      </w:r>
      <w:r>
        <w:rPr/>
        <w:t>y</w:t>
      </w:r>
      <w:r>
        <w:rPr>
          <w:spacing w:val="-4"/>
        </w:rPr>
        <w:t> </w:t>
      </w:r>
      <w:r>
        <w:rPr/>
        <w:t>contribuciones</w:t>
      </w:r>
      <w:r>
        <w:rPr>
          <w:spacing w:val="-3"/>
        </w:rPr>
        <w:t> </w:t>
      </w:r>
      <w:r>
        <w:rPr/>
        <w:t>a</w:t>
      </w:r>
      <w:r>
        <w:rPr>
          <w:spacing w:val="-4"/>
        </w:rPr>
        <w:t> </w:t>
      </w:r>
      <w:r>
        <w:rPr/>
        <w:t>la</w:t>
      </w:r>
      <w:r>
        <w:rPr>
          <w:spacing w:val="-5"/>
        </w:rPr>
        <w:t> </w:t>
      </w:r>
      <w:r>
        <w:rPr/>
        <w:t>seguridad</w:t>
      </w:r>
      <w:r>
        <w:rPr>
          <w:spacing w:val="-6"/>
        </w:rPr>
        <w:t> </w:t>
      </w:r>
      <w:r>
        <w:rPr>
          <w:spacing w:val="-2"/>
        </w:rPr>
        <w:t>social;</w:t>
      </w:r>
    </w:p>
    <w:p>
      <w:pPr>
        <w:pStyle w:val="BodyText"/>
        <w:spacing w:before="21"/>
        <w:ind w:left="734"/>
        <w:jc w:val="both"/>
      </w:pPr>
      <w:r>
        <w:rPr/>
        <w:t>ausencias</w:t>
      </w:r>
      <w:r>
        <w:rPr>
          <w:spacing w:val="-8"/>
        </w:rPr>
        <w:t> </w:t>
      </w:r>
      <w:r>
        <w:rPr/>
        <w:t>remuneradas</w:t>
      </w:r>
      <w:r>
        <w:rPr>
          <w:spacing w:val="-6"/>
        </w:rPr>
        <w:t> </w:t>
      </w:r>
      <w:r>
        <w:rPr/>
        <w:t>anuales,</w:t>
      </w:r>
      <w:r>
        <w:rPr>
          <w:spacing w:val="-7"/>
        </w:rPr>
        <w:t> </w:t>
      </w:r>
      <w:r>
        <w:rPr/>
        <w:t>ausencias</w:t>
      </w:r>
      <w:r>
        <w:rPr>
          <w:spacing w:val="-5"/>
        </w:rPr>
        <w:t> </w:t>
      </w:r>
      <w:r>
        <w:rPr/>
        <w:t>remuneradas</w:t>
      </w:r>
      <w:r>
        <w:rPr>
          <w:spacing w:val="-9"/>
        </w:rPr>
        <w:t> </w:t>
      </w:r>
      <w:r>
        <w:rPr/>
        <w:t>por</w:t>
      </w:r>
      <w:r>
        <w:rPr>
          <w:spacing w:val="-6"/>
        </w:rPr>
        <w:t> </w:t>
      </w:r>
      <w:r>
        <w:rPr>
          <w:spacing w:val="-2"/>
        </w:rPr>
        <w:t>enfermedad;</w:t>
      </w:r>
    </w:p>
    <w:p>
      <w:pPr>
        <w:pStyle w:val="ListParagraph"/>
        <w:numPr>
          <w:ilvl w:val="0"/>
          <w:numId w:val="27"/>
        </w:numPr>
        <w:tabs>
          <w:tab w:pos="1453" w:val="left" w:leader="none"/>
        </w:tabs>
        <w:spacing w:line="240" w:lineRule="auto" w:before="16" w:after="0"/>
        <w:ind w:left="1453" w:right="0" w:hanging="359"/>
        <w:jc w:val="both"/>
        <w:rPr>
          <w:sz w:val="22"/>
        </w:rPr>
      </w:pPr>
      <w:r>
        <w:rPr>
          <w:sz w:val="22"/>
        </w:rPr>
        <w:t>beneficios</w:t>
      </w:r>
      <w:r>
        <w:rPr>
          <w:spacing w:val="-4"/>
          <w:sz w:val="22"/>
        </w:rPr>
        <w:t> </w:t>
      </w:r>
      <w:r>
        <w:rPr>
          <w:sz w:val="22"/>
        </w:rPr>
        <w:t>post-empleo</w:t>
      </w:r>
      <w:r>
        <w:rPr>
          <w:spacing w:val="-7"/>
          <w:sz w:val="22"/>
        </w:rPr>
        <w:t> </w:t>
      </w:r>
      <w:r>
        <w:rPr>
          <w:sz w:val="22"/>
        </w:rPr>
        <w:t>tales</w:t>
      </w:r>
      <w:r>
        <w:rPr>
          <w:spacing w:val="-7"/>
          <w:sz w:val="22"/>
        </w:rPr>
        <w:t> </w:t>
      </w:r>
      <w:r>
        <w:rPr>
          <w:sz w:val="22"/>
        </w:rPr>
        <w:t>como</w:t>
      </w:r>
      <w:r>
        <w:rPr>
          <w:spacing w:val="-5"/>
          <w:sz w:val="22"/>
        </w:rPr>
        <w:t> </w:t>
      </w:r>
      <w:r>
        <w:rPr>
          <w:sz w:val="22"/>
        </w:rPr>
        <w:t>los</w:t>
      </w:r>
      <w:r>
        <w:rPr>
          <w:spacing w:val="-3"/>
          <w:sz w:val="22"/>
        </w:rPr>
        <w:t> </w:t>
      </w:r>
      <w:r>
        <w:rPr>
          <w:spacing w:val="-2"/>
          <w:sz w:val="22"/>
        </w:rPr>
        <w:t>siguientes:</w:t>
      </w:r>
    </w:p>
    <w:p>
      <w:pPr>
        <w:pStyle w:val="BodyText"/>
        <w:spacing w:before="3"/>
        <w:ind w:left="734"/>
        <w:jc w:val="both"/>
      </w:pPr>
      <w:r>
        <w:rPr/>
        <w:t>beneficios</w:t>
      </w:r>
      <w:r>
        <w:rPr>
          <w:spacing w:val="-5"/>
        </w:rPr>
        <w:t> </w:t>
      </w:r>
      <w:r>
        <w:rPr/>
        <w:t>por</w:t>
      </w:r>
      <w:r>
        <w:rPr>
          <w:spacing w:val="-6"/>
        </w:rPr>
        <w:t> </w:t>
      </w:r>
      <w:r>
        <w:rPr/>
        <w:t>retiro</w:t>
      </w:r>
      <w:r>
        <w:rPr>
          <w:spacing w:val="-4"/>
        </w:rPr>
        <w:t> </w:t>
      </w:r>
      <w:r>
        <w:rPr/>
        <w:t>(por</w:t>
      </w:r>
      <w:r>
        <w:rPr>
          <w:spacing w:val="-4"/>
        </w:rPr>
        <w:t> </w:t>
      </w:r>
      <w:r>
        <w:rPr/>
        <w:t>ejemplo,</w:t>
      </w:r>
      <w:r>
        <w:rPr>
          <w:spacing w:val="-4"/>
        </w:rPr>
        <w:t> </w:t>
      </w:r>
      <w:r>
        <w:rPr/>
        <w:t>pensiones</w:t>
      </w:r>
      <w:r>
        <w:rPr>
          <w:spacing w:val="-3"/>
        </w:rPr>
        <w:t> </w:t>
      </w:r>
      <w:r>
        <w:rPr/>
        <w:t>y</w:t>
      </w:r>
      <w:r>
        <w:rPr>
          <w:spacing w:val="-5"/>
        </w:rPr>
        <w:t> </w:t>
      </w:r>
      <w:r>
        <w:rPr/>
        <w:t>pagos</w:t>
      </w:r>
      <w:r>
        <w:rPr>
          <w:spacing w:val="-6"/>
        </w:rPr>
        <w:t> </w:t>
      </w:r>
      <w:r>
        <w:rPr/>
        <w:t>únicos</w:t>
      </w:r>
      <w:r>
        <w:rPr>
          <w:spacing w:val="-3"/>
        </w:rPr>
        <w:t> </w:t>
      </w:r>
      <w:r>
        <w:rPr/>
        <w:t>por</w:t>
      </w:r>
      <w:r>
        <w:rPr>
          <w:spacing w:val="-4"/>
        </w:rPr>
        <w:t> </w:t>
      </w:r>
      <w:r>
        <w:rPr/>
        <w:t>retiro);</w:t>
      </w:r>
      <w:r>
        <w:rPr>
          <w:spacing w:val="-3"/>
        </w:rPr>
        <w:t> </w:t>
      </w:r>
      <w:r>
        <w:rPr>
          <w:spacing w:val="-10"/>
        </w:rPr>
        <w:t>y</w:t>
      </w:r>
    </w:p>
    <w:p>
      <w:pPr>
        <w:pStyle w:val="ListParagraph"/>
        <w:numPr>
          <w:ilvl w:val="0"/>
          <w:numId w:val="27"/>
        </w:numPr>
        <w:tabs>
          <w:tab w:pos="1453" w:val="left" w:leader="none"/>
        </w:tabs>
        <w:spacing w:line="240" w:lineRule="auto" w:before="18" w:after="0"/>
        <w:ind w:left="1453" w:right="0" w:hanging="359"/>
        <w:jc w:val="both"/>
        <w:rPr>
          <w:sz w:val="22"/>
        </w:rPr>
      </w:pPr>
      <w:r>
        <w:rPr>
          <w:sz w:val="22"/>
        </w:rPr>
        <w:t>indemnizaciones</w:t>
      </w:r>
      <w:r>
        <w:rPr>
          <w:spacing w:val="-8"/>
          <w:sz w:val="22"/>
        </w:rPr>
        <w:t> </w:t>
      </w:r>
      <w:r>
        <w:rPr>
          <w:sz w:val="22"/>
        </w:rPr>
        <w:t>por</w:t>
      </w:r>
      <w:r>
        <w:rPr>
          <w:spacing w:val="-5"/>
          <w:sz w:val="22"/>
        </w:rPr>
        <w:t> </w:t>
      </w:r>
      <w:r>
        <w:rPr>
          <w:spacing w:val="-4"/>
          <w:sz w:val="22"/>
        </w:rPr>
        <w:t>cese.</w:t>
      </w:r>
    </w:p>
    <w:p>
      <w:pPr>
        <w:pStyle w:val="BodyText"/>
        <w:spacing w:before="2"/>
      </w:pPr>
    </w:p>
    <w:p>
      <w:pPr>
        <w:pStyle w:val="BodyText"/>
        <w:spacing w:line="259" w:lineRule="auto" w:before="1"/>
        <w:ind w:left="734" w:right="1001"/>
      </w:pPr>
      <w:r>
        <w:rPr/>
        <w:t>Para efectos contables, los beneficios a los empleados se clasifican en las siguientes categorías: Beneficios</w:t>
      </w:r>
      <w:r>
        <w:rPr>
          <w:spacing w:val="22"/>
        </w:rPr>
        <w:t> </w:t>
      </w:r>
      <w:r>
        <w:rPr/>
        <w:t>a</w:t>
      </w:r>
      <w:r>
        <w:rPr>
          <w:spacing w:val="20"/>
        </w:rPr>
        <w:t> </w:t>
      </w:r>
      <w:r>
        <w:rPr/>
        <w:t>corto</w:t>
      </w:r>
      <w:r>
        <w:rPr>
          <w:spacing w:val="20"/>
        </w:rPr>
        <w:t> </w:t>
      </w:r>
      <w:r>
        <w:rPr/>
        <w:t>plazo:</w:t>
      </w:r>
      <w:r>
        <w:rPr>
          <w:spacing w:val="19"/>
        </w:rPr>
        <w:t> </w:t>
      </w:r>
      <w:r>
        <w:rPr/>
        <w:t>se</w:t>
      </w:r>
      <w:r>
        <w:rPr>
          <w:spacing w:val="20"/>
        </w:rPr>
        <w:t> </w:t>
      </w:r>
      <w:r>
        <w:rPr/>
        <w:t>reconocen</w:t>
      </w:r>
      <w:r>
        <w:rPr>
          <w:spacing w:val="21"/>
        </w:rPr>
        <w:t> </w:t>
      </w:r>
      <w:r>
        <w:rPr/>
        <w:t>como</w:t>
      </w:r>
      <w:r>
        <w:rPr>
          <w:spacing w:val="21"/>
        </w:rPr>
        <w:t> </w:t>
      </w:r>
      <w:r>
        <w:rPr/>
        <w:t>gasto</w:t>
      </w:r>
      <w:r>
        <w:rPr>
          <w:spacing w:val="22"/>
        </w:rPr>
        <w:t> </w:t>
      </w:r>
      <w:r>
        <w:rPr/>
        <w:t>conforme</w:t>
      </w:r>
      <w:r>
        <w:rPr>
          <w:spacing w:val="20"/>
        </w:rPr>
        <w:t> </w:t>
      </w:r>
      <w:r>
        <w:rPr/>
        <w:t>se</w:t>
      </w:r>
      <w:r>
        <w:rPr>
          <w:spacing w:val="20"/>
        </w:rPr>
        <w:t> </w:t>
      </w:r>
      <w:r>
        <w:rPr/>
        <w:t>devengan</w:t>
      </w:r>
      <w:r>
        <w:rPr>
          <w:spacing w:val="20"/>
        </w:rPr>
        <w:t> </w:t>
      </w:r>
      <w:r>
        <w:rPr/>
        <w:t>y</w:t>
      </w:r>
      <w:r>
        <w:rPr>
          <w:spacing w:val="19"/>
        </w:rPr>
        <w:t> </w:t>
      </w:r>
      <w:r>
        <w:rPr/>
        <w:t>como</w:t>
      </w:r>
      <w:r>
        <w:rPr>
          <w:spacing w:val="21"/>
        </w:rPr>
        <w:t> </w:t>
      </w:r>
      <w:r>
        <w:rPr/>
        <w:t>pasivo</w:t>
      </w:r>
      <w:r>
        <w:rPr>
          <w:spacing w:val="21"/>
        </w:rPr>
        <w:t> </w:t>
      </w:r>
      <w:r>
        <w:rPr/>
        <w:t>por</w:t>
      </w:r>
      <w:r>
        <w:rPr>
          <w:spacing w:val="21"/>
        </w:rPr>
        <w:t> </w:t>
      </w:r>
      <w:r>
        <w:rPr/>
        <w:t>el importe</w:t>
      </w:r>
      <w:r>
        <w:rPr>
          <w:spacing w:val="-12"/>
        </w:rPr>
        <w:t> </w:t>
      </w:r>
      <w:r>
        <w:rPr/>
        <w:t>que</w:t>
      </w:r>
      <w:r>
        <w:rPr>
          <w:spacing w:val="-10"/>
        </w:rPr>
        <w:t> </w:t>
      </w:r>
      <w:r>
        <w:rPr/>
        <w:t>se</w:t>
      </w:r>
      <w:r>
        <w:rPr>
          <w:spacing w:val="-10"/>
        </w:rPr>
        <w:t> </w:t>
      </w:r>
      <w:r>
        <w:rPr/>
        <w:t>espera</w:t>
      </w:r>
      <w:r>
        <w:rPr>
          <w:spacing w:val="-10"/>
        </w:rPr>
        <w:t> </w:t>
      </w:r>
      <w:r>
        <w:rPr/>
        <w:t>liquidar</w:t>
      </w:r>
      <w:r>
        <w:rPr>
          <w:spacing w:val="-10"/>
        </w:rPr>
        <w:t> </w:t>
      </w:r>
      <w:r>
        <w:rPr/>
        <w:t>dentro</w:t>
      </w:r>
      <w:r>
        <w:rPr>
          <w:spacing w:val="-8"/>
        </w:rPr>
        <w:t> </w:t>
      </w:r>
      <w:r>
        <w:rPr/>
        <w:t>de</w:t>
      </w:r>
      <w:r>
        <w:rPr>
          <w:spacing w:val="-10"/>
        </w:rPr>
        <w:t> </w:t>
      </w:r>
      <w:r>
        <w:rPr/>
        <w:t>los</w:t>
      </w:r>
      <w:r>
        <w:rPr>
          <w:spacing w:val="-8"/>
        </w:rPr>
        <w:t> </w:t>
      </w:r>
      <w:r>
        <w:rPr/>
        <w:t>doce</w:t>
      </w:r>
      <w:r>
        <w:rPr>
          <w:spacing w:val="-10"/>
        </w:rPr>
        <w:t> </w:t>
      </w:r>
      <w:r>
        <w:rPr/>
        <w:t>meses</w:t>
      </w:r>
      <w:r>
        <w:rPr>
          <w:spacing w:val="-10"/>
        </w:rPr>
        <w:t> </w:t>
      </w:r>
      <w:r>
        <w:rPr/>
        <w:t>siguientes</w:t>
      </w:r>
      <w:r>
        <w:rPr>
          <w:spacing w:val="-9"/>
        </w:rPr>
        <w:t> </w:t>
      </w:r>
      <w:r>
        <w:rPr/>
        <w:t>al</w:t>
      </w:r>
      <w:r>
        <w:rPr>
          <w:spacing w:val="-10"/>
        </w:rPr>
        <w:t> </w:t>
      </w:r>
      <w:r>
        <w:rPr/>
        <w:t>cierre</w:t>
      </w:r>
      <w:r>
        <w:rPr>
          <w:spacing w:val="-10"/>
        </w:rPr>
        <w:t> </w:t>
      </w:r>
      <w:r>
        <w:rPr/>
        <w:t>del</w:t>
      </w:r>
      <w:r>
        <w:rPr>
          <w:spacing w:val="-10"/>
        </w:rPr>
        <w:t> </w:t>
      </w:r>
      <w:r>
        <w:rPr/>
        <w:t>período</w:t>
      </w:r>
      <w:r>
        <w:rPr>
          <w:spacing w:val="-9"/>
        </w:rPr>
        <w:t> </w:t>
      </w:r>
      <w:r>
        <w:rPr/>
        <w:t>sobre</w:t>
      </w:r>
      <w:r>
        <w:rPr>
          <w:spacing w:val="-10"/>
        </w:rPr>
        <w:t> </w:t>
      </w:r>
      <w:r>
        <w:rPr/>
        <w:t>el</w:t>
      </w:r>
      <w:r>
        <w:rPr>
          <w:spacing w:val="-10"/>
        </w:rPr>
        <w:t> </w:t>
      </w:r>
      <w:r>
        <w:rPr/>
        <w:t>que se informa.</w:t>
      </w:r>
    </w:p>
    <w:p>
      <w:pPr>
        <w:pStyle w:val="BodyText"/>
        <w:spacing w:before="18"/>
      </w:pPr>
    </w:p>
    <w:p>
      <w:pPr>
        <w:pStyle w:val="BodyText"/>
        <w:spacing w:line="259" w:lineRule="auto"/>
        <w:ind w:left="734" w:right="1090"/>
        <w:jc w:val="both"/>
      </w:pPr>
      <w:r>
        <w:rPr/>
        <w:t>Beneficios</w:t>
      </w:r>
      <w:r>
        <w:rPr>
          <w:spacing w:val="-6"/>
        </w:rPr>
        <w:t> </w:t>
      </w:r>
      <w:r>
        <w:rPr/>
        <w:t>post</w:t>
      </w:r>
      <w:r>
        <w:rPr>
          <w:spacing w:val="-7"/>
        </w:rPr>
        <w:t> </w:t>
      </w:r>
      <w:r>
        <w:rPr/>
        <w:t>empleo:</w:t>
      </w:r>
      <w:r>
        <w:rPr>
          <w:spacing w:val="-8"/>
        </w:rPr>
        <w:t> </w:t>
      </w:r>
      <w:r>
        <w:rPr/>
        <w:t>se</w:t>
      </w:r>
      <w:r>
        <w:rPr>
          <w:spacing w:val="-8"/>
        </w:rPr>
        <w:t> </w:t>
      </w:r>
      <w:r>
        <w:rPr/>
        <w:t>reconocen</w:t>
      </w:r>
      <w:r>
        <w:rPr>
          <w:spacing w:val="-7"/>
        </w:rPr>
        <w:t> </w:t>
      </w:r>
      <w:r>
        <w:rPr/>
        <w:t>de</w:t>
      </w:r>
      <w:r>
        <w:rPr>
          <w:spacing w:val="-9"/>
        </w:rPr>
        <w:t> </w:t>
      </w:r>
      <w:r>
        <w:rPr/>
        <w:t>acuerdo</w:t>
      </w:r>
      <w:r>
        <w:rPr>
          <w:spacing w:val="-7"/>
        </w:rPr>
        <w:t> </w:t>
      </w:r>
      <w:r>
        <w:rPr/>
        <w:t>con</w:t>
      </w:r>
      <w:r>
        <w:rPr>
          <w:spacing w:val="-7"/>
        </w:rPr>
        <w:t> </w:t>
      </w:r>
      <w:r>
        <w:rPr/>
        <w:t>la</w:t>
      </w:r>
      <w:r>
        <w:rPr>
          <w:spacing w:val="-8"/>
        </w:rPr>
        <w:t> </w:t>
      </w:r>
      <w:r>
        <w:rPr/>
        <w:t>naturaleza</w:t>
      </w:r>
      <w:r>
        <w:rPr>
          <w:spacing w:val="-8"/>
        </w:rPr>
        <w:t> </w:t>
      </w:r>
      <w:r>
        <w:rPr/>
        <w:t>del</w:t>
      </w:r>
      <w:r>
        <w:rPr>
          <w:spacing w:val="-8"/>
        </w:rPr>
        <w:t> </w:t>
      </w:r>
      <w:r>
        <w:rPr/>
        <w:t>plan</w:t>
      </w:r>
      <w:r>
        <w:rPr>
          <w:spacing w:val="-7"/>
        </w:rPr>
        <w:t> </w:t>
      </w:r>
      <w:r>
        <w:rPr/>
        <w:t>aplicable.</w:t>
      </w:r>
      <w:r>
        <w:rPr>
          <w:spacing w:val="-8"/>
        </w:rPr>
        <w:t> </w:t>
      </w:r>
      <w:r>
        <w:rPr/>
        <w:t>En</w:t>
      </w:r>
      <w:r>
        <w:rPr>
          <w:spacing w:val="-7"/>
        </w:rPr>
        <w:t> </w:t>
      </w:r>
      <w:r>
        <w:rPr/>
        <w:t>los</w:t>
      </w:r>
      <w:r>
        <w:rPr>
          <w:spacing w:val="-6"/>
        </w:rPr>
        <w:t> </w:t>
      </w:r>
      <w:r>
        <w:rPr/>
        <w:t>planes de contribuciones definidas, el gasto corresponde a las contribuciones devengadas del período. En los planes de beneficios definidos, el pasivo se reconoce por el valor presente de la obligación estimada, conforme a evaluaciones actuariales.</w:t>
      </w:r>
    </w:p>
    <w:p>
      <w:pPr>
        <w:pStyle w:val="BodyText"/>
        <w:spacing w:before="19"/>
      </w:pPr>
    </w:p>
    <w:p>
      <w:pPr>
        <w:pStyle w:val="BodyText"/>
        <w:spacing w:line="259" w:lineRule="auto"/>
        <w:ind w:left="734" w:right="1094"/>
        <w:jc w:val="both"/>
      </w:pPr>
      <w:r>
        <w:rPr/>
        <w:t>Beneficios a largo plazo: se reconocen y miden considerando el valor presente de la obligación, reconociendo los cambios en las estimaciones directamente en los resultados del período.</w:t>
      </w:r>
    </w:p>
    <w:p>
      <w:pPr>
        <w:pStyle w:val="BodyText"/>
        <w:spacing w:line="259" w:lineRule="auto" w:before="1"/>
        <w:ind w:left="734" w:right="1093"/>
        <w:jc w:val="both"/>
      </w:pPr>
      <w:r>
        <w:rPr/>
        <w:t>Indemnizaciones por cese: se reconocen como pasivo y gasto cuando la entidad ha tomado la decisión de finalizar la relación laboral o cuando existe un compromiso formal que genera una obligación presente.</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49312">
                <wp:simplePos x="0" y="0"/>
                <wp:positionH relativeFrom="page">
                  <wp:posOffset>9525</wp:posOffset>
                </wp:positionH>
                <wp:positionV relativeFrom="page">
                  <wp:posOffset>297208</wp:posOffset>
                </wp:positionV>
                <wp:extent cx="7762875" cy="9748520"/>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7762875" cy="9748520"/>
                          <a:chExt cx="7762875" cy="9748520"/>
                        </a:xfrm>
                      </wpg:grpSpPr>
                      <pic:pic>
                        <pic:nvPicPr>
                          <pic:cNvPr id="121" name="Image 121"/>
                          <pic:cNvPicPr/>
                        </pic:nvPicPr>
                        <pic:blipFill>
                          <a:blip r:embed="rId5" cstate="print"/>
                          <a:stretch>
                            <a:fillRect/>
                          </a:stretch>
                        </pic:blipFill>
                        <pic:spPr>
                          <a:xfrm>
                            <a:off x="0" y="0"/>
                            <a:ext cx="7762874" cy="9748489"/>
                          </a:xfrm>
                          <a:prstGeom prst="rect">
                            <a:avLst/>
                          </a:prstGeom>
                        </pic:spPr>
                      </pic:pic>
                      <wps:wsp>
                        <wps:cNvPr id="122" name="Graphic 122"/>
                        <wps:cNvSpPr/>
                        <wps:spPr>
                          <a:xfrm>
                            <a:off x="1053007" y="990837"/>
                            <a:ext cx="5649595" cy="7773670"/>
                          </a:xfrm>
                          <a:custGeom>
                            <a:avLst/>
                            <a:gdLst/>
                            <a:ahLst/>
                            <a:cxnLst/>
                            <a:rect l="l" t="t" r="r" b="b"/>
                            <a:pathLst>
                              <a:path w="5649595" h="7773670">
                                <a:moveTo>
                                  <a:pt x="5630862" y="132651"/>
                                </a:moveTo>
                                <a:lnTo>
                                  <a:pt x="5624779" y="132651"/>
                                </a:lnTo>
                                <a:lnTo>
                                  <a:pt x="5624779" y="7767256"/>
                                </a:lnTo>
                                <a:lnTo>
                                  <a:pt x="24384" y="7767256"/>
                                </a:lnTo>
                                <a:lnTo>
                                  <a:pt x="24384" y="132651"/>
                                </a:lnTo>
                                <a:lnTo>
                                  <a:pt x="18288" y="132651"/>
                                </a:lnTo>
                                <a:lnTo>
                                  <a:pt x="18288" y="7767256"/>
                                </a:lnTo>
                                <a:lnTo>
                                  <a:pt x="18288" y="7773352"/>
                                </a:lnTo>
                                <a:lnTo>
                                  <a:pt x="24384" y="7773352"/>
                                </a:lnTo>
                                <a:lnTo>
                                  <a:pt x="5624779" y="7773352"/>
                                </a:lnTo>
                                <a:lnTo>
                                  <a:pt x="5630862" y="7773352"/>
                                </a:lnTo>
                                <a:lnTo>
                                  <a:pt x="5630862" y="7767256"/>
                                </a:lnTo>
                                <a:lnTo>
                                  <a:pt x="5630862" y="132651"/>
                                </a:lnTo>
                                <a:close/>
                              </a:path>
                              <a:path w="5649595" h="7773670">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7367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7168" id="docshapegroup119" coordorigin="15,468" coordsize="12225,15352">
                <v:shape style="position:absolute;left:15;top:468;width:12225;height:15352" type="#_x0000_t75" id="docshape120" stroked="false">
                  <v:imagedata r:id="rId5" o:title=""/>
                </v:shape>
                <v:shape style="position:absolute;left:1673;top:2028;width:8897;height:12242" id="docshape121" coordorigin="1673,2028" coordsize="8897,12242" path="m10541,2237l10531,2237,10531,14260,1712,14260,1712,2237,1702,2237,1702,14260,1702,14270,1712,14270,10531,14270,10531,14270,10541,14270,10541,14260,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35</w:t>
      </w:r>
    </w:p>
    <w:p>
      <w:pPr>
        <w:pStyle w:val="BodyText"/>
        <w:spacing w:line="259" w:lineRule="auto" w:before="227"/>
        <w:ind w:left="734" w:right="1094"/>
        <w:jc w:val="both"/>
      </w:pPr>
      <w:r>
        <w:rPr/>
        <w:t>La medición de los pasivos por beneficios a los empleados se realiza por la mejor estimación del desembolso requerido para cancelar la obligación a la fecha de los Estados Financieros, considerando el valor del dinero en el tiempo cuando el efecto sea significativo.</w:t>
      </w:r>
    </w:p>
    <w:p>
      <w:pPr>
        <w:pStyle w:val="BodyText"/>
        <w:spacing w:before="21"/>
      </w:pPr>
    </w:p>
    <w:p>
      <w:pPr>
        <w:pStyle w:val="BodyText"/>
        <w:spacing w:line="259" w:lineRule="auto"/>
        <w:ind w:left="734" w:right="1087"/>
        <w:jc w:val="both"/>
      </w:pPr>
      <w:r>
        <w:rPr/>
        <w:t>La entidad tiene actualmente políticas contables para los siguientes beneficios para empleados Beneficios a los empleados a corto plazo son beneficios a los empleados (diferentes de las indemnizaciones por cese) que se espera liquidar totalmente antes de los doce meses siguientes al final</w:t>
      </w:r>
      <w:r>
        <w:rPr>
          <w:spacing w:val="-6"/>
        </w:rPr>
        <w:t> </w:t>
      </w:r>
      <w:r>
        <w:rPr/>
        <w:t>del</w:t>
      </w:r>
      <w:r>
        <w:rPr>
          <w:spacing w:val="-5"/>
        </w:rPr>
        <w:t> </w:t>
      </w:r>
      <w:r>
        <w:rPr/>
        <w:t>periodo</w:t>
      </w:r>
      <w:r>
        <w:rPr>
          <w:spacing w:val="-7"/>
        </w:rPr>
        <w:t> </w:t>
      </w:r>
      <w:r>
        <w:rPr/>
        <w:t>anual</w:t>
      </w:r>
      <w:r>
        <w:rPr>
          <w:spacing w:val="-8"/>
        </w:rPr>
        <w:t> </w:t>
      </w:r>
      <w:r>
        <w:rPr/>
        <w:t>sobre</w:t>
      </w:r>
      <w:r>
        <w:rPr>
          <w:spacing w:val="-6"/>
        </w:rPr>
        <w:t> </w:t>
      </w:r>
      <w:r>
        <w:rPr/>
        <w:t>el</w:t>
      </w:r>
      <w:r>
        <w:rPr>
          <w:spacing w:val="-5"/>
        </w:rPr>
        <w:t> </w:t>
      </w:r>
      <w:r>
        <w:rPr/>
        <w:t>que</w:t>
      </w:r>
      <w:r>
        <w:rPr>
          <w:spacing w:val="-8"/>
        </w:rPr>
        <w:t> </w:t>
      </w:r>
      <w:r>
        <w:rPr/>
        <w:t>se</w:t>
      </w:r>
      <w:r>
        <w:rPr>
          <w:spacing w:val="-6"/>
        </w:rPr>
        <w:t> </w:t>
      </w:r>
      <w:r>
        <w:rPr/>
        <w:t>informa</w:t>
      </w:r>
      <w:r>
        <w:rPr>
          <w:spacing w:val="-5"/>
        </w:rPr>
        <w:t> </w:t>
      </w:r>
      <w:r>
        <w:rPr/>
        <w:t>en</w:t>
      </w:r>
      <w:r>
        <w:rPr>
          <w:spacing w:val="-7"/>
        </w:rPr>
        <w:t> </w:t>
      </w:r>
      <w:r>
        <w:rPr/>
        <w:t>el</w:t>
      </w:r>
      <w:r>
        <w:rPr>
          <w:spacing w:val="-5"/>
        </w:rPr>
        <w:t> </w:t>
      </w:r>
      <w:r>
        <w:rPr/>
        <w:t>que</w:t>
      </w:r>
      <w:r>
        <w:rPr>
          <w:spacing w:val="-6"/>
        </w:rPr>
        <w:t> </w:t>
      </w:r>
      <w:r>
        <w:rPr/>
        <w:t>los</w:t>
      </w:r>
      <w:r>
        <w:rPr>
          <w:spacing w:val="-6"/>
        </w:rPr>
        <w:t> </w:t>
      </w:r>
      <w:r>
        <w:rPr/>
        <w:t>empleados</w:t>
      </w:r>
      <w:r>
        <w:rPr>
          <w:spacing w:val="-4"/>
        </w:rPr>
        <w:t> </w:t>
      </w:r>
      <w:r>
        <w:rPr/>
        <w:t>hayan</w:t>
      </w:r>
      <w:r>
        <w:rPr>
          <w:spacing w:val="-4"/>
        </w:rPr>
        <w:t> </w:t>
      </w:r>
      <w:r>
        <w:rPr/>
        <w:t>prestado</w:t>
      </w:r>
      <w:r>
        <w:rPr>
          <w:spacing w:val="-4"/>
        </w:rPr>
        <w:t> </w:t>
      </w:r>
      <w:r>
        <w:rPr/>
        <w:t>los</w:t>
      </w:r>
      <w:r>
        <w:rPr>
          <w:spacing w:val="-6"/>
        </w:rPr>
        <w:t> </w:t>
      </w:r>
      <w:r>
        <w:rPr/>
        <w:t>servicios </w:t>
      </w:r>
      <w:r>
        <w:rPr>
          <w:spacing w:val="-2"/>
        </w:rPr>
        <w:t>relacionados.</w:t>
      </w:r>
    </w:p>
    <w:p>
      <w:pPr>
        <w:pStyle w:val="BodyText"/>
        <w:spacing w:before="19"/>
      </w:pPr>
    </w:p>
    <w:p>
      <w:pPr>
        <w:pStyle w:val="BodyText"/>
        <w:spacing w:line="259" w:lineRule="auto" w:before="1"/>
        <w:ind w:left="734" w:right="1090"/>
        <w:jc w:val="both"/>
      </w:pPr>
      <w:r>
        <w:rPr/>
        <w:t>Planes</w:t>
      </w:r>
      <w:r>
        <w:rPr>
          <w:spacing w:val="-1"/>
        </w:rPr>
        <w:t> </w:t>
      </w:r>
      <w:r>
        <w:rPr/>
        <w:t>de</w:t>
      </w:r>
      <w:r>
        <w:rPr>
          <w:spacing w:val="-4"/>
        </w:rPr>
        <w:t> </w:t>
      </w:r>
      <w:r>
        <w:rPr/>
        <w:t>contribuciones</w:t>
      </w:r>
      <w:r>
        <w:rPr>
          <w:spacing w:val="-1"/>
        </w:rPr>
        <w:t> </w:t>
      </w:r>
      <w:r>
        <w:rPr/>
        <w:t>definidas</w:t>
      </w:r>
      <w:r>
        <w:rPr>
          <w:spacing w:val="-1"/>
        </w:rPr>
        <w:t> </w:t>
      </w:r>
      <w:r>
        <w:rPr/>
        <w:t>son</w:t>
      </w:r>
      <w:r>
        <w:rPr>
          <w:spacing w:val="-2"/>
        </w:rPr>
        <w:t> </w:t>
      </w:r>
      <w:r>
        <w:rPr/>
        <w:t>planes</w:t>
      </w:r>
      <w:r>
        <w:rPr>
          <w:spacing w:val="-1"/>
        </w:rPr>
        <w:t> </w:t>
      </w:r>
      <w:r>
        <w:rPr/>
        <w:t>de</w:t>
      </w:r>
      <w:r>
        <w:rPr>
          <w:spacing w:val="-4"/>
        </w:rPr>
        <w:t> </w:t>
      </w:r>
      <w:r>
        <w:rPr/>
        <w:t>beneficios</w:t>
      </w:r>
      <w:r>
        <w:rPr>
          <w:spacing w:val="-1"/>
        </w:rPr>
        <w:t> </w:t>
      </w:r>
      <w:r>
        <w:rPr/>
        <w:t>post-empleo,</w:t>
      </w:r>
      <w:r>
        <w:rPr>
          <w:spacing w:val="-2"/>
        </w:rPr>
        <w:t> </w:t>
      </w:r>
      <w:r>
        <w:rPr/>
        <w:t>en</w:t>
      </w:r>
      <w:r>
        <w:rPr>
          <w:spacing w:val="-2"/>
        </w:rPr>
        <w:t> </w:t>
      </w:r>
      <w:r>
        <w:rPr/>
        <w:t>los</w:t>
      </w:r>
      <w:r>
        <w:rPr>
          <w:spacing w:val="-1"/>
        </w:rPr>
        <w:t> </w:t>
      </w:r>
      <w:r>
        <w:rPr/>
        <w:t>cuales</w:t>
      </w:r>
      <w:r>
        <w:rPr>
          <w:spacing w:val="-1"/>
        </w:rPr>
        <w:t> </w:t>
      </w:r>
      <w:r>
        <w:rPr/>
        <w:t>una</w:t>
      </w:r>
      <w:r>
        <w:rPr>
          <w:spacing w:val="-3"/>
        </w:rPr>
        <w:t> </w:t>
      </w:r>
      <w:r>
        <w:rPr/>
        <w:t>entidad realiza</w:t>
      </w:r>
      <w:r>
        <w:rPr>
          <w:spacing w:val="-5"/>
        </w:rPr>
        <w:t> </w:t>
      </w:r>
      <w:r>
        <w:rPr/>
        <w:t>contribuciones</w:t>
      </w:r>
      <w:r>
        <w:rPr>
          <w:spacing w:val="-4"/>
        </w:rPr>
        <w:t> </w:t>
      </w:r>
      <w:r>
        <w:rPr/>
        <w:t>fijas</w:t>
      </w:r>
      <w:r>
        <w:rPr>
          <w:spacing w:val="-4"/>
        </w:rPr>
        <w:t> </w:t>
      </w:r>
      <w:r>
        <w:rPr/>
        <w:t>a</w:t>
      </w:r>
      <w:r>
        <w:rPr>
          <w:spacing w:val="-7"/>
        </w:rPr>
        <w:t> </w:t>
      </w:r>
      <w:r>
        <w:rPr/>
        <w:t>una</w:t>
      </w:r>
      <w:r>
        <w:rPr>
          <w:spacing w:val="-5"/>
        </w:rPr>
        <w:t> </w:t>
      </w:r>
      <w:r>
        <w:rPr/>
        <w:t>entidad</w:t>
      </w:r>
      <w:r>
        <w:rPr>
          <w:spacing w:val="-5"/>
        </w:rPr>
        <w:t> </w:t>
      </w:r>
      <w:r>
        <w:rPr/>
        <w:t>separada</w:t>
      </w:r>
      <w:r>
        <w:rPr>
          <w:spacing w:val="-6"/>
        </w:rPr>
        <w:t> </w:t>
      </w:r>
      <w:r>
        <w:rPr/>
        <w:t>(un</w:t>
      </w:r>
      <w:r>
        <w:rPr>
          <w:spacing w:val="-5"/>
        </w:rPr>
        <w:t> </w:t>
      </w:r>
      <w:r>
        <w:rPr/>
        <w:t>fondo)</w:t>
      </w:r>
      <w:r>
        <w:rPr>
          <w:spacing w:val="-4"/>
        </w:rPr>
        <w:t> </w:t>
      </w:r>
      <w:r>
        <w:rPr/>
        <w:t>y</w:t>
      </w:r>
      <w:r>
        <w:rPr>
          <w:spacing w:val="-6"/>
        </w:rPr>
        <w:t> </w:t>
      </w:r>
      <w:r>
        <w:rPr/>
        <w:t>no</w:t>
      </w:r>
      <w:r>
        <w:rPr>
          <w:spacing w:val="-4"/>
        </w:rPr>
        <w:t> </w:t>
      </w:r>
      <w:r>
        <w:rPr/>
        <w:t>tiene</w:t>
      </w:r>
      <w:r>
        <w:rPr>
          <w:spacing w:val="-6"/>
        </w:rPr>
        <w:t> </w:t>
      </w:r>
      <w:r>
        <w:rPr/>
        <w:t>obligación</w:t>
      </w:r>
      <w:r>
        <w:rPr>
          <w:spacing w:val="-6"/>
        </w:rPr>
        <w:t> </w:t>
      </w:r>
      <w:r>
        <w:rPr/>
        <w:t>legal</w:t>
      </w:r>
      <w:r>
        <w:rPr>
          <w:spacing w:val="-6"/>
        </w:rPr>
        <w:t> </w:t>
      </w:r>
      <w:r>
        <w:rPr/>
        <w:t>ni</w:t>
      </w:r>
      <w:r>
        <w:rPr>
          <w:spacing w:val="-5"/>
        </w:rPr>
        <w:t> </w:t>
      </w:r>
      <w:r>
        <w:rPr/>
        <w:t>implícita de realizar contribuciones adicionales en el caso de que el fondo no tenga suficientes activos para atender</w:t>
      </w:r>
      <w:r>
        <w:rPr>
          <w:spacing w:val="-7"/>
        </w:rPr>
        <w:t> </w:t>
      </w:r>
      <w:r>
        <w:rPr/>
        <w:t>los</w:t>
      </w:r>
      <w:r>
        <w:rPr>
          <w:spacing w:val="-6"/>
        </w:rPr>
        <w:t> </w:t>
      </w:r>
      <w:r>
        <w:rPr/>
        <w:t>beneficios</w:t>
      </w:r>
      <w:r>
        <w:rPr>
          <w:spacing w:val="-6"/>
        </w:rPr>
        <w:t> </w:t>
      </w:r>
      <w:r>
        <w:rPr/>
        <w:t>a</w:t>
      </w:r>
      <w:r>
        <w:rPr>
          <w:spacing w:val="-8"/>
        </w:rPr>
        <w:t> </w:t>
      </w:r>
      <w:r>
        <w:rPr/>
        <w:t>los</w:t>
      </w:r>
      <w:r>
        <w:rPr>
          <w:spacing w:val="-9"/>
        </w:rPr>
        <w:t> </w:t>
      </w:r>
      <w:r>
        <w:rPr/>
        <w:t>empleados</w:t>
      </w:r>
      <w:r>
        <w:rPr>
          <w:spacing w:val="-6"/>
        </w:rPr>
        <w:t> </w:t>
      </w:r>
      <w:r>
        <w:rPr/>
        <w:t>que</w:t>
      </w:r>
      <w:r>
        <w:rPr>
          <w:spacing w:val="-11"/>
        </w:rPr>
        <w:t> </w:t>
      </w:r>
      <w:r>
        <w:rPr/>
        <w:t>se</w:t>
      </w:r>
      <w:r>
        <w:rPr>
          <w:spacing w:val="-8"/>
        </w:rPr>
        <w:t> </w:t>
      </w:r>
      <w:r>
        <w:rPr/>
        <w:t>relacionen</w:t>
      </w:r>
      <w:r>
        <w:rPr>
          <w:spacing w:val="-7"/>
        </w:rPr>
        <w:t> </w:t>
      </w:r>
      <w:r>
        <w:rPr/>
        <w:t>con</w:t>
      </w:r>
      <w:r>
        <w:rPr>
          <w:spacing w:val="-7"/>
        </w:rPr>
        <w:t> </w:t>
      </w:r>
      <w:r>
        <w:rPr/>
        <w:t>los</w:t>
      </w:r>
      <w:r>
        <w:rPr>
          <w:spacing w:val="-6"/>
        </w:rPr>
        <w:t> </w:t>
      </w:r>
      <w:r>
        <w:rPr/>
        <w:t>servicios</w:t>
      </w:r>
      <w:r>
        <w:rPr>
          <w:spacing w:val="-6"/>
        </w:rPr>
        <w:t> </w:t>
      </w:r>
      <w:r>
        <w:rPr/>
        <w:t>que</w:t>
      </w:r>
      <w:r>
        <w:rPr>
          <w:spacing w:val="-8"/>
        </w:rPr>
        <w:t> </w:t>
      </w:r>
      <w:r>
        <w:rPr/>
        <w:t>éstos</w:t>
      </w:r>
      <w:r>
        <w:rPr>
          <w:spacing w:val="-8"/>
        </w:rPr>
        <w:t> </w:t>
      </w:r>
      <w:r>
        <w:rPr/>
        <w:t>han</w:t>
      </w:r>
      <w:r>
        <w:rPr>
          <w:spacing w:val="-7"/>
        </w:rPr>
        <w:t> </w:t>
      </w:r>
      <w:r>
        <w:rPr/>
        <w:t>prestado</w:t>
      </w:r>
      <w:r>
        <w:rPr>
          <w:spacing w:val="-6"/>
        </w:rPr>
        <w:t> </w:t>
      </w:r>
      <w:r>
        <w:rPr/>
        <w:t>en el periodo presente y en los anteriores.</w:t>
      </w:r>
    </w:p>
    <w:p>
      <w:pPr>
        <w:pStyle w:val="BodyText"/>
        <w:spacing w:before="18"/>
      </w:pPr>
    </w:p>
    <w:p>
      <w:pPr>
        <w:pStyle w:val="BodyText"/>
        <w:spacing w:line="259" w:lineRule="auto"/>
        <w:ind w:left="734" w:right="1001"/>
      </w:pPr>
      <w:r>
        <w:rPr/>
        <w:t>Planes</w:t>
      </w:r>
      <w:r>
        <w:rPr>
          <w:spacing w:val="24"/>
        </w:rPr>
        <w:t> </w:t>
      </w:r>
      <w:r>
        <w:rPr/>
        <w:t>de beneficios</w:t>
      </w:r>
      <w:r>
        <w:rPr>
          <w:spacing w:val="24"/>
        </w:rPr>
        <w:t> </w:t>
      </w:r>
      <w:r>
        <w:rPr/>
        <w:t>definidos son planes</w:t>
      </w:r>
      <w:r>
        <w:rPr>
          <w:spacing w:val="24"/>
        </w:rPr>
        <w:t> </w:t>
      </w:r>
      <w:r>
        <w:rPr/>
        <w:t>de beneficios post-empleo diferentes de los planes</w:t>
      </w:r>
      <w:r>
        <w:rPr>
          <w:spacing w:val="24"/>
        </w:rPr>
        <w:t> </w:t>
      </w:r>
      <w:r>
        <w:rPr/>
        <w:t>de </w:t>
      </w:r>
      <w:r>
        <w:rPr>
          <w:spacing w:val="-2"/>
        </w:rPr>
        <w:t>contribuciones</w:t>
      </w:r>
    </w:p>
    <w:p>
      <w:pPr>
        <w:pStyle w:val="BodyText"/>
        <w:spacing w:line="249" w:lineRule="exact"/>
        <w:ind w:left="734"/>
      </w:pPr>
      <w:r>
        <w:rPr>
          <w:spacing w:val="-2"/>
        </w:rPr>
        <w:t>definidas.</w:t>
      </w:r>
    </w:p>
    <w:p>
      <w:pPr>
        <w:pStyle w:val="BodyText"/>
        <w:spacing w:line="259" w:lineRule="auto" w:before="21"/>
        <w:ind w:left="734" w:right="1088"/>
        <w:jc w:val="both"/>
      </w:pPr>
      <w:r>
        <w:rPr/>
        <w:t>Otros beneficios a los empleados a largo plazo son todos los beneficios a los empleados diferentes de</w:t>
      </w:r>
      <w:r>
        <w:rPr>
          <w:spacing w:val="-10"/>
        </w:rPr>
        <w:t> </w:t>
      </w:r>
      <w:r>
        <w:rPr/>
        <w:t>los</w:t>
      </w:r>
      <w:r>
        <w:rPr>
          <w:spacing w:val="-7"/>
        </w:rPr>
        <w:t> </w:t>
      </w:r>
      <w:r>
        <w:rPr/>
        <w:t>beneficios</w:t>
      </w:r>
      <w:r>
        <w:rPr>
          <w:spacing w:val="-7"/>
        </w:rPr>
        <w:t> </w:t>
      </w:r>
      <w:r>
        <w:rPr/>
        <w:t>a</w:t>
      </w:r>
      <w:r>
        <w:rPr>
          <w:spacing w:val="-11"/>
        </w:rPr>
        <w:t> </w:t>
      </w:r>
      <w:r>
        <w:rPr/>
        <w:t>los</w:t>
      </w:r>
      <w:r>
        <w:rPr>
          <w:spacing w:val="-7"/>
        </w:rPr>
        <w:t> </w:t>
      </w:r>
      <w:r>
        <w:rPr/>
        <w:t>empleados</w:t>
      </w:r>
      <w:r>
        <w:rPr>
          <w:spacing w:val="-7"/>
        </w:rPr>
        <w:t> </w:t>
      </w:r>
      <w:r>
        <w:rPr/>
        <w:t>a</w:t>
      </w:r>
      <w:r>
        <w:rPr>
          <w:spacing w:val="-9"/>
        </w:rPr>
        <w:t> </w:t>
      </w:r>
      <w:r>
        <w:rPr/>
        <w:t>corto</w:t>
      </w:r>
      <w:r>
        <w:rPr>
          <w:spacing w:val="-7"/>
        </w:rPr>
        <w:t> </w:t>
      </w:r>
      <w:r>
        <w:rPr/>
        <w:t>plazo,</w:t>
      </w:r>
      <w:r>
        <w:rPr>
          <w:spacing w:val="-8"/>
        </w:rPr>
        <w:t> </w:t>
      </w:r>
      <w:r>
        <w:rPr/>
        <w:t>beneficios</w:t>
      </w:r>
      <w:r>
        <w:rPr>
          <w:spacing w:val="-9"/>
        </w:rPr>
        <w:t> </w:t>
      </w:r>
      <w:r>
        <w:rPr/>
        <w:t>post-empleo</w:t>
      </w:r>
      <w:r>
        <w:rPr>
          <w:spacing w:val="-10"/>
        </w:rPr>
        <w:t> </w:t>
      </w:r>
      <w:r>
        <w:rPr/>
        <w:t>e</w:t>
      </w:r>
      <w:r>
        <w:rPr>
          <w:spacing w:val="-9"/>
        </w:rPr>
        <w:t> </w:t>
      </w:r>
      <w:r>
        <w:rPr/>
        <w:t>indemnizaciones</w:t>
      </w:r>
      <w:r>
        <w:rPr>
          <w:spacing w:val="-7"/>
        </w:rPr>
        <w:t> </w:t>
      </w:r>
      <w:r>
        <w:rPr/>
        <w:t>por</w:t>
      </w:r>
      <w:r>
        <w:rPr>
          <w:spacing w:val="-8"/>
        </w:rPr>
        <w:t> </w:t>
      </w:r>
      <w:r>
        <w:rPr/>
        <w:t>cese. Indemnizaciones</w:t>
      </w:r>
      <w:r>
        <w:rPr>
          <w:spacing w:val="-14"/>
        </w:rPr>
        <w:t> </w:t>
      </w:r>
      <w:r>
        <w:rPr/>
        <w:t>por</w:t>
      </w:r>
      <w:r>
        <w:rPr>
          <w:spacing w:val="-14"/>
        </w:rPr>
        <w:t> </w:t>
      </w:r>
      <w:r>
        <w:rPr/>
        <w:t>cese</w:t>
      </w:r>
      <w:r>
        <w:rPr>
          <w:spacing w:val="-14"/>
        </w:rPr>
        <w:t> </w:t>
      </w:r>
      <w:r>
        <w:rPr/>
        <w:t>son</w:t>
      </w:r>
      <w:r>
        <w:rPr>
          <w:spacing w:val="-13"/>
        </w:rPr>
        <w:t> </w:t>
      </w:r>
      <w:r>
        <w:rPr/>
        <w:t>los</w:t>
      </w:r>
      <w:r>
        <w:rPr>
          <w:spacing w:val="-14"/>
        </w:rPr>
        <w:t> </w:t>
      </w:r>
      <w:r>
        <w:rPr/>
        <w:t>beneficios</w:t>
      </w:r>
      <w:r>
        <w:rPr>
          <w:spacing w:val="-14"/>
        </w:rPr>
        <w:t> </w:t>
      </w:r>
      <w:r>
        <w:rPr/>
        <w:t>a</w:t>
      </w:r>
      <w:r>
        <w:rPr>
          <w:spacing w:val="-14"/>
        </w:rPr>
        <w:t> </w:t>
      </w:r>
      <w:r>
        <w:rPr/>
        <w:t>los</w:t>
      </w:r>
      <w:r>
        <w:rPr>
          <w:spacing w:val="-13"/>
        </w:rPr>
        <w:t> </w:t>
      </w:r>
      <w:r>
        <w:rPr/>
        <w:t>empleados</w:t>
      </w:r>
      <w:r>
        <w:rPr>
          <w:spacing w:val="-14"/>
        </w:rPr>
        <w:t> </w:t>
      </w:r>
      <w:r>
        <w:rPr/>
        <w:t>proporcionados</w:t>
      </w:r>
      <w:r>
        <w:rPr>
          <w:spacing w:val="-14"/>
        </w:rPr>
        <w:t> </w:t>
      </w:r>
      <w:r>
        <w:rPr/>
        <w:t>por</w:t>
      </w:r>
      <w:r>
        <w:rPr>
          <w:spacing w:val="-14"/>
        </w:rPr>
        <w:t> </w:t>
      </w:r>
      <w:r>
        <w:rPr/>
        <w:t>el</w:t>
      </w:r>
      <w:r>
        <w:rPr>
          <w:spacing w:val="-13"/>
        </w:rPr>
        <w:t> </w:t>
      </w:r>
      <w:r>
        <w:rPr/>
        <w:t>cese</w:t>
      </w:r>
      <w:r>
        <w:rPr>
          <w:spacing w:val="-14"/>
        </w:rPr>
        <w:t> </w:t>
      </w:r>
      <w:r>
        <w:rPr/>
        <w:t>del</w:t>
      </w:r>
      <w:r>
        <w:rPr>
          <w:spacing w:val="-14"/>
        </w:rPr>
        <w:t> </w:t>
      </w:r>
      <w:r>
        <w:rPr/>
        <w:t>empleo de un empleado como consecuencia de:</w:t>
      </w:r>
    </w:p>
    <w:p>
      <w:pPr>
        <w:pStyle w:val="BodyText"/>
        <w:spacing w:before="18"/>
      </w:pPr>
    </w:p>
    <w:p>
      <w:pPr>
        <w:pStyle w:val="ListParagraph"/>
        <w:numPr>
          <w:ilvl w:val="0"/>
          <w:numId w:val="28"/>
        </w:numPr>
        <w:tabs>
          <w:tab w:pos="1031" w:val="left" w:leader="none"/>
          <w:tab w:pos="9234" w:val="left" w:leader="none"/>
        </w:tabs>
        <w:spacing w:line="259" w:lineRule="auto" w:before="1" w:after="0"/>
        <w:ind w:left="734" w:right="1089" w:firstLine="0"/>
        <w:jc w:val="both"/>
        <w:rPr>
          <w:sz w:val="22"/>
        </w:rPr>
      </w:pPr>
      <w:r>
        <w:rPr>
          <w:sz w:val="22"/>
        </w:rPr>
        <w:t>la decisión de la entidad de finalizar el contrato de un empleado antes de la edad normal de </w:t>
      </w:r>
      <w:r>
        <w:rPr>
          <w:spacing w:val="-2"/>
          <w:sz w:val="22"/>
        </w:rPr>
        <w:t>retiro;</w:t>
      </w:r>
      <w:r>
        <w:rPr>
          <w:sz w:val="22"/>
        </w:rPr>
        <w:tab/>
      </w:r>
      <w:r>
        <w:rPr>
          <w:spacing w:val="-10"/>
          <w:sz w:val="22"/>
        </w:rPr>
        <w:t>o</w:t>
      </w:r>
    </w:p>
    <w:p>
      <w:pPr>
        <w:pStyle w:val="ListParagraph"/>
        <w:numPr>
          <w:ilvl w:val="0"/>
          <w:numId w:val="28"/>
        </w:numPr>
        <w:tabs>
          <w:tab w:pos="1029" w:val="left" w:leader="none"/>
        </w:tabs>
        <w:spacing w:line="259" w:lineRule="auto" w:before="0" w:after="0"/>
        <w:ind w:left="734" w:right="1092" w:firstLine="0"/>
        <w:jc w:val="both"/>
        <w:rPr>
          <w:sz w:val="22"/>
        </w:rPr>
      </w:pPr>
      <w:r>
        <w:rPr>
          <w:sz w:val="22"/>
        </w:rPr>
        <w:t>la</w:t>
      </w:r>
      <w:r>
        <w:rPr>
          <w:spacing w:val="-4"/>
          <w:sz w:val="22"/>
        </w:rPr>
        <w:t> </w:t>
      </w:r>
      <w:r>
        <w:rPr>
          <w:sz w:val="22"/>
        </w:rPr>
        <w:t>decisión</w:t>
      </w:r>
      <w:r>
        <w:rPr>
          <w:spacing w:val="-3"/>
          <w:sz w:val="22"/>
        </w:rPr>
        <w:t> </w:t>
      </w:r>
      <w:r>
        <w:rPr>
          <w:sz w:val="22"/>
        </w:rPr>
        <w:t>del</w:t>
      </w:r>
      <w:r>
        <w:rPr>
          <w:spacing w:val="-3"/>
          <w:sz w:val="22"/>
        </w:rPr>
        <w:t> </w:t>
      </w:r>
      <w:r>
        <w:rPr>
          <w:sz w:val="22"/>
        </w:rPr>
        <w:t>empleado</w:t>
      </w:r>
      <w:r>
        <w:rPr>
          <w:spacing w:val="-3"/>
          <w:sz w:val="22"/>
        </w:rPr>
        <w:t> </w:t>
      </w:r>
      <w:r>
        <w:rPr>
          <w:sz w:val="22"/>
        </w:rPr>
        <w:t>de</w:t>
      </w:r>
      <w:r>
        <w:rPr>
          <w:spacing w:val="-5"/>
          <w:sz w:val="22"/>
        </w:rPr>
        <w:t> </w:t>
      </w:r>
      <w:r>
        <w:rPr>
          <w:sz w:val="22"/>
        </w:rPr>
        <w:t>aceptar</w:t>
      </w:r>
      <w:r>
        <w:rPr>
          <w:spacing w:val="-5"/>
          <w:sz w:val="22"/>
        </w:rPr>
        <w:t> </w:t>
      </w:r>
      <w:r>
        <w:rPr>
          <w:sz w:val="22"/>
        </w:rPr>
        <w:t>una</w:t>
      </w:r>
      <w:r>
        <w:rPr>
          <w:spacing w:val="-5"/>
          <w:sz w:val="22"/>
        </w:rPr>
        <w:t> </w:t>
      </w:r>
      <w:r>
        <w:rPr>
          <w:sz w:val="22"/>
        </w:rPr>
        <w:t>oferta</w:t>
      </w:r>
      <w:r>
        <w:rPr>
          <w:spacing w:val="-6"/>
          <w:sz w:val="22"/>
        </w:rPr>
        <w:t> </w:t>
      </w:r>
      <w:r>
        <w:rPr>
          <w:sz w:val="22"/>
        </w:rPr>
        <w:t>de</w:t>
      </w:r>
      <w:r>
        <w:rPr>
          <w:spacing w:val="-5"/>
          <w:sz w:val="22"/>
        </w:rPr>
        <w:t> </w:t>
      </w:r>
      <w:r>
        <w:rPr>
          <w:sz w:val="22"/>
        </w:rPr>
        <w:t>indemnización</w:t>
      </w:r>
      <w:r>
        <w:rPr>
          <w:spacing w:val="-5"/>
          <w:sz w:val="22"/>
        </w:rPr>
        <w:t> </w:t>
      </w:r>
      <w:r>
        <w:rPr>
          <w:sz w:val="22"/>
        </w:rPr>
        <w:t>a</w:t>
      </w:r>
      <w:r>
        <w:rPr>
          <w:spacing w:val="-4"/>
          <w:sz w:val="22"/>
        </w:rPr>
        <w:t> </w:t>
      </w:r>
      <w:r>
        <w:rPr>
          <w:sz w:val="22"/>
        </w:rPr>
        <w:t>cambio</w:t>
      </w:r>
      <w:r>
        <w:rPr>
          <w:spacing w:val="-5"/>
          <w:sz w:val="22"/>
        </w:rPr>
        <w:t> </w:t>
      </w:r>
      <w:r>
        <w:rPr>
          <w:sz w:val="22"/>
        </w:rPr>
        <w:t>de</w:t>
      </w:r>
      <w:r>
        <w:rPr>
          <w:spacing w:val="-5"/>
          <w:sz w:val="22"/>
        </w:rPr>
        <w:t> </w:t>
      </w:r>
      <w:r>
        <w:rPr>
          <w:sz w:val="22"/>
        </w:rPr>
        <w:t>la</w:t>
      </w:r>
      <w:r>
        <w:rPr>
          <w:spacing w:val="-4"/>
          <w:sz w:val="22"/>
        </w:rPr>
        <w:t> </w:t>
      </w:r>
      <w:r>
        <w:rPr>
          <w:sz w:val="22"/>
        </w:rPr>
        <w:t>finalización</w:t>
      </w:r>
      <w:r>
        <w:rPr>
          <w:spacing w:val="-5"/>
          <w:sz w:val="22"/>
        </w:rPr>
        <w:t> </w:t>
      </w:r>
      <w:r>
        <w:rPr>
          <w:sz w:val="22"/>
        </w:rPr>
        <w:t>del vínculo laboral.</w:t>
      </w:r>
    </w:p>
    <w:p>
      <w:pPr>
        <w:pStyle w:val="BodyText"/>
        <w:spacing w:before="20"/>
      </w:pPr>
    </w:p>
    <w:p>
      <w:pPr>
        <w:pStyle w:val="BodyText"/>
        <w:spacing w:line="259" w:lineRule="auto" w:before="1"/>
        <w:ind w:left="734" w:right="1001"/>
      </w:pPr>
      <w:r>
        <w:rPr/>
        <w:t>El</w:t>
      </w:r>
      <w:r>
        <w:rPr>
          <w:spacing w:val="-5"/>
        </w:rPr>
        <w:t> </w:t>
      </w:r>
      <w:r>
        <w:rPr/>
        <w:t>IMAS</w:t>
      </w:r>
      <w:r>
        <w:rPr>
          <w:spacing w:val="-4"/>
        </w:rPr>
        <w:t> </w:t>
      </w:r>
      <w:r>
        <w:rPr/>
        <w:t>cuenta</w:t>
      </w:r>
      <w:r>
        <w:rPr>
          <w:spacing w:val="-5"/>
        </w:rPr>
        <w:t> </w:t>
      </w:r>
      <w:r>
        <w:rPr/>
        <w:t>con</w:t>
      </w:r>
      <w:r>
        <w:rPr>
          <w:spacing w:val="-4"/>
        </w:rPr>
        <w:t> </w:t>
      </w:r>
      <w:r>
        <w:rPr/>
        <w:t>el</w:t>
      </w:r>
      <w:r>
        <w:rPr>
          <w:spacing w:val="-5"/>
        </w:rPr>
        <w:t> </w:t>
      </w:r>
      <w:r>
        <w:rPr/>
        <w:t>disfrute</w:t>
      </w:r>
      <w:r>
        <w:rPr>
          <w:spacing w:val="-6"/>
        </w:rPr>
        <w:t> </w:t>
      </w:r>
      <w:r>
        <w:rPr/>
        <w:t>de</w:t>
      </w:r>
      <w:r>
        <w:rPr>
          <w:spacing w:val="-6"/>
        </w:rPr>
        <w:t> </w:t>
      </w:r>
      <w:r>
        <w:rPr/>
        <w:t>los</w:t>
      </w:r>
      <w:r>
        <w:rPr>
          <w:spacing w:val="-4"/>
        </w:rPr>
        <w:t> </w:t>
      </w:r>
      <w:r>
        <w:rPr/>
        <w:t>siguientes</w:t>
      </w:r>
      <w:r>
        <w:rPr>
          <w:spacing w:val="-5"/>
        </w:rPr>
        <w:t> </w:t>
      </w:r>
      <w:r>
        <w:rPr/>
        <w:t>beneficios</w:t>
      </w:r>
      <w:r>
        <w:rPr>
          <w:spacing w:val="-4"/>
        </w:rPr>
        <w:t> </w:t>
      </w:r>
      <w:r>
        <w:rPr/>
        <w:t>a</w:t>
      </w:r>
      <w:r>
        <w:rPr>
          <w:spacing w:val="-5"/>
        </w:rPr>
        <w:t> </w:t>
      </w:r>
      <w:r>
        <w:rPr/>
        <w:t>corto</w:t>
      </w:r>
      <w:r>
        <w:rPr>
          <w:spacing w:val="-4"/>
        </w:rPr>
        <w:t> </w:t>
      </w:r>
      <w:r>
        <w:rPr/>
        <w:t>plazo</w:t>
      </w:r>
      <w:r>
        <w:rPr>
          <w:spacing w:val="-5"/>
        </w:rPr>
        <w:t> </w:t>
      </w:r>
      <w:r>
        <w:rPr/>
        <w:t>a</w:t>
      </w:r>
      <w:r>
        <w:rPr>
          <w:spacing w:val="-5"/>
        </w:rPr>
        <w:t> </w:t>
      </w:r>
      <w:r>
        <w:rPr/>
        <w:t>los</w:t>
      </w:r>
      <w:r>
        <w:rPr>
          <w:spacing w:val="-4"/>
        </w:rPr>
        <w:t> </w:t>
      </w:r>
      <w:r>
        <w:rPr/>
        <w:t>empleados,</w:t>
      </w:r>
      <w:r>
        <w:rPr>
          <w:spacing w:val="-5"/>
        </w:rPr>
        <w:t> </w:t>
      </w:r>
      <w:r>
        <w:rPr/>
        <w:t>los</w:t>
      </w:r>
      <w:r>
        <w:rPr>
          <w:spacing w:val="-4"/>
        </w:rPr>
        <w:t> </w:t>
      </w:r>
      <w:r>
        <w:rPr/>
        <w:t>cuales no son acumulativos:</w:t>
      </w:r>
    </w:p>
    <w:p>
      <w:pPr>
        <w:pStyle w:val="ListParagraph"/>
        <w:numPr>
          <w:ilvl w:val="1"/>
          <w:numId w:val="28"/>
        </w:numPr>
        <w:tabs>
          <w:tab w:pos="899" w:val="left" w:leader="none"/>
        </w:tabs>
        <w:spacing w:line="295" w:lineRule="exact" w:before="0" w:after="0"/>
        <w:ind w:left="899" w:right="0" w:hanging="165"/>
        <w:jc w:val="both"/>
        <w:rPr>
          <w:rFonts w:ascii="Segoe UI Symbol" w:hAnsi="Segoe UI Symbol"/>
          <w:sz w:val="20"/>
        </w:rPr>
      </w:pPr>
      <w:r>
        <w:rPr>
          <w:i/>
          <w:spacing w:val="-4"/>
          <w:sz w:val="23"/>
        </w:rPr>
        <w:t>Cinco</w:t>
      </w:r>
      <w:r>
        <w:rPr>
          <w:i/>
          <w:spacing w:val="-7"/>
          <w:sz w:val="23"/>
        </w:rPr>
        <w:t> </w:t>
      </w:r>
      <w:r>
        <w:rPr>
          <w:i/>
          <w:spacing w:val="-4"/>
          <w:sz w:val="23"/>
        </w:rPr>
        <w:t>días hábiles</w:t>
      </w:r>
      <w:r>
        <w:rPr>
          <w:i/>
          <w:spacing w:val="-5"/>
          <w:sz w:val="23"/>
        </w:rPr>
        <w:t> </w:t>
      </w:r>
      <w:r>
        <w:rPr>
          <w:i/>
          <w:spacing w:val="-4"/>
          <w:sz w:val="23"/>
        </w:rPr>
        <w:t>con</w:t>
      </w:r>
      <w:r>
        <w:rPr>
          <w:i/>
          <w:spacing w:val="-7"/>
          <w:sz w:val="23"/>
        </w:rPr>
        <w:t> </w:t>
      </w:r>
      <w:r>
        <w:rPr>
          <w:i/>
          <w:spacing w:val="-4"/>
          <w:sz w:val="23"/>
        </w:rPr>
        <w:t>goce</w:t>
      </w:r>
      <w:r>
        <w:rPr>
          <w:i/>
          <w:spacing w:val="-6"/>
          <w:sz w:val="23"/>
        </w:rPr>
        <w:t> </w:t>
      </w:r>
      <w:r>
        <w:rPr>
          <w:i/>
          <w:spacing w:val="-4"/>
          <w:sz w:val="23"/>
        </w:rPr>
        <w:t>sueldo en</w:t>
      </w:r>
      <w:r>
        <w:rPr>
          <w:i/>
          <w:spacing w:val="-6"/>
          <w:sz w:val="23"/>
        </w:rPr>
        <w:t> </w:t>
      </w:r>
      <w:r>
        <w:rPr>
          <w:i/>
          <w:spacing w:val="-4"/>
          <w:sz w:val="23"/>
        </w:rPr>
        <w:t>los casos de</w:t>
      </w:r>
      <w:r>
        <w:rPr>
          <w:i/>
          <w:spacing w:val="-7"/>
          <w:sz w:val="23"/>
        </w:rPr>
        <w:t> </w:t>
      </w:r>
      <w:r>
        <w:rPr>
          <w:i/>
          <w:spacing w:val="-4"/>
          <w:sz w:val="23"/>
        </w:rPr>
        <w:t>matrimonio</w:t>
      </w:r>
    </w:p>
    <w:p>
      <w:pPr>
        <w:pStyle w:val="ListParagraph"/>
        <w:numPr>
          <w:ilvl w:val="1"/>
          <w:numId w:val="28"/>
        </w:numPr>
        <w:tabs>
          <w:tab w:pos="899" w:val="left" w:leader="none"/>
        </w:tabs>
        <w:spacing w:line="249" w:lineRule="auto" w:before="11" w:after="0"/>
        <w:ind w:left="734" w:right="1091" w:firstLine="0"/>
        <w:jc w:val="both"/>
        <w:rPr>
          <w:rFonts w:ascii="Segoe UI Symbol" w:hAnsi="Segoe UI Symbol"/>
          <w:i/>
          <w:sz w:val="21"/>
        </w:rPr>
      </w:pPr>
      <w:r>
        <w:rPr>
          <w:i/>
          <w:sz w:val="23"/>
        </w:rPr>
        <w:t>Cinco días hábiles con goce sueldo en caso fallecimiento de cualquiera de los padres, hijos, hermanos o cónyuge.</w:t>
      </w:r>
    </w:p>
    <w:p>
      <w:pPr>
        <w:pStyle w:val="ListParagraph"/>
        <w:numPr>
          <w:ilvl w:val="1"/>
          <w:numId w:val="28"/>
        </w:numPr>
        <w:tabs>
          <w:tab w:pos="899" w:val="left" w:leader="none"/>
        </w:tabs>
        <w:spacing w:line="304" w:lineRule="exact" w:before="0" w:after="0"/>
        <w:ind w:left="899" w:right="0" w:hanging="165"/>
        <w:jc w:val="both"/>
        <w:rPr>
          <w:rFonts w:ascii="Segoe UI Symbol" w:hAnsi="Segoe UI Symbol"/>
          <w:i/>
          <w:sz w:val="21"/>
        </w:rPr>
      </w:pPr>
      <w:r>
        <w:rPr>
          <w:i/>
          <w:spacing w:val="-4"/>
          <w:sz w:val="23"/>
        </w:rPr>
        <w:t>Tratándose</w:t>
      </w:r>
      <w:r>
        <w:rPr>
          <w:i/>
          <w:spacing w:val="-8"/>
          <w:sz w:val="23"/>
        </w:rPr>
        <w:t> </w:t>
      </w:r>
      <w:r>
        <w:rPr>
          <w:i/>
          <w:spacing w:val="-4"/>
          <w:sz w:val="23"/>
        </w:rPr>
        <w:t>de</w:t>
      </w:r>
      <w:r>
        <w:rPr>
          <w:i/>
          <w:spacing w:val="-7"/>
          <w:sz w:val="23"/>
        </w:rPr>
        <w:t> </w:t>
      </w:r>
      <w:r>
        <w:rPr>
          <w:i/>
          <w:spacing w:val="-4"/>
          <w:sz w:val="23"/>
        </w:rPr>
        <w:t>funcionarios</w:t>
      </w:r>
      <w:r>
        <w:rPr>
          <w:i/>
          <w:spacing w:val="-5"/>
          <w:sz w:val="23"/>
        </w:rPr>
        <w:t> </w:t>
      </w:r>
      <w:r>
        <w:rPr>
          <w:i/>
          <w:spacing w:val="-4"/>
          <w:sz w:val="23"/>
        </w:rPr>
        <w:t>varones</w:t>
      </w:r>
      <w:r>
        <w:rPr>
          <w:i/>
          <w:spacing w:val="-8"/>
          <w:sz w:val="23"/>
        </w:rPr>
        <w:t> </w:t>
      </w:r>
      <w:r>
        <w:rPr>
          <w:i/>
          <w:spacing w:val="-4"/>
          <w:sz w:val="23"/>
        </w:rPr>
        <w:t>tres</w:t>
      </w:r>
      <w:r>
        <w:rPr>
          <w:i/>
          <w:spacing w:val="-5"/>
          <w:sz w:val="23"/>
        </w:rPr>
        <w:t> </w:t>
      </w:r>
      <w:r>
        <w:rPr>
          <w:i/>
          <w:spacing w:val="-4"/>
          <w:sz w:val="23"/>
        </w:rPr>
        <w:t>días</w:t>
      </w:r>
      <w:r>
        <w:rPr>
          <w:i/>
          <w:spacing w:val="-7"/>
          <w:sz w:val="23"/>
        </w:rPr>
        <w:t> </w:t>
      </w:r>
      <w:r>
        <w:rPr>
          <w:i/>
          <w:spacing w:val="-4"/>
          <w:sz w:val="23"/>
        </w:rPr>
        <w:t>hábiles</w:t>
      </w:r>
      <w:r>
        <w:rPr>
          <w:i/>
          <w:spacing w:val="-6"/>
          <w:sz w:val="23"/>
        </w:rPr>
        <w:t> </w:t>
      </w:r>
      <w:r>
        <w:rPr>
          <w:i/>
          <w:spacing w:val="-4"/>
          <w:sz w:val="23"/>
        </w:rPr>
        <w:t>por</w:t>
      </w:r>
      <w:r>
        <w:rPr>
          <w:i/>
          <w:spacing w:val="-6"/>
          <w:sz w:val="23"/>
        </w:rPr>
        <w:t> </w:t>
      </w:r>
      <w:r>
        <w:rPr>
          <w:i/>
          <w:spacing w:val="-4"/>
          <w:sz w:val="23"/>
        </w:rPr>
        <w:t>nacimiento</w:t>
      </w:r>
      <w:r>
        <w:rPr>
          <w:i/>
          <w:spacing w:val="-5"/>
          <w:sz w:val="23"/>
        </w:rPr>
        <w:t> </w:t>
      </w:r>
      <w:r>
        <w:rPr>
          <w:i/>
          <w:spacing w:val="-4"/>
          <w:sz w:val="23"/>
        </w:rPr>
        <w:t>de</w:t>
      </w:r>
      <w:r>
        <w:rPr>
          <w:i/>
          <w:spacing w:val="-8"/>
          <w:sz w:val="23"/>
        </w:rPr>
        <w:t> </w:t>
      </w:r>
      <w:r>
        <w:rPr>
          <w:i/>
          <w:spacing w:val="-4"/>
          <w:sz w:val="23"/>
        </w:rPr>
        <w:t>hijos.</w:t>
      </w:r>
    </w:p>
    <w:p>
      <w:pPr>
        <w:pStyle w:val="ListParagraph"/>
        <w:numPr>
          <w:ilvl w:val="1"/>
          <w:numId w:val="28"/>
        </w:numPr>
        <w:tabs>
          <w:tab w:pos="899" w:val="left" w:leader="none"/>
        </w:tabs>
        <w:spacing w:line="240" w:lineRule="auto" w:before="9" w:after="0"/>
        <w:ind w:left="899" w:right="0" w:hanging="165"/>
        <w:jc w:val="both"/>
        <w:rPr>
          <w:rFonts w:ascii="Segoe UI Symbol" w:hAnsi="Segoe UI Symbol"/>
          <w:i/>
          <w:sz w:val="21"/>
        </w:rPr>
      </w:pPr>
      <w:r>
        <w:rPr>
          <w:i/>
          <w:spacing w:val="-4"/>
          <w:sz w:val="23"/>
        </w:rPr>
        <w:t>Cinco</w:t>
      </w:r>
      <w:r>
        <w:rPr>
          <w:i/>
          <w:spacing w:val="-7"/>
          <w:sz w:val="23"/>
        </w:rPr>
        <w:t> </w:t>
      </w:r>
      <w:r>
        <w:rPr>
          <w:i/>
          <w:spacing w:val="-4"/>
          <w:sz w:val="23"/>
        </w:rPr>
        <w:t>días</w:t>
      </w:r>
      <w:r>
        <w:rPr>
          <w:i/>
          <w:spacing w:val="-5"/>
          <w:sz w:val="23"/>
        </w:rPr>
        <w:t> </w:t>
      </w:r>
      <w:r>
        <w:rPr>
          <w:i/>
          <w:spacing w:val="-4"/>
          <w:sz w:val="23"/>
        </w:rPr>
        <w:t>hábiles</w:t>
      </w:r>
      <w:r>
        <w:rPr>
          <w:i/>
          <w:spacing w:val="-5"/>
          <w:sz w:val="23"/>
        </w:rPr>
        <w:t> </w:t>
      </w:r>
      <w:r>
        <w:rPr>
          <w:i/>
          <w:spacing w:val="-4"/>
          <w:sz w:val="23"/>
        </w:rPr>
        <w:t>en</w:t>
      </w:r>
      <w:r>
        <w:rPr>
          <w:i/>
          <w:spacing w:val="-6"/>
          <w:sz w:val="23"/>
        </w:rPr>
        <w:t> </w:t>
      </w:r>
      <w:r>
        <w:rPr>
          <w:i/>
          <w:spacing w:val="-4"/>
          <w:sz w:val="23"/>
        </w:rPr>
        <w:t>caso</w:t>
      </w:r>
      <w:r>
        <w:rPr>
          <w:i/>
          <w:spacing w:val="-7"/>
          <w:sz w:val="23"/>
        </w:rPr>
        <w:t> </w:t>
      </w:r>
      <w:r>
        <w:rPr>
          <w:i/>
          <w:spacing w:val="-4"/>
          <w:sz w:val="23"/>
        </w:rPr>
        <w:t>de</w:t>
      </w:r>
      <w:r>
        <w:rPr>
          <w:i/>
          <w:spacing w:val="-7"/>
          <w:sz w:val="23"/>
        </w:rPr>
        <w:t> </w:t>
      </w:r>
      <w:r>
        <w:rPr>
          <w:i/>
          <w:spacing w:val="-4"/>
          <w:sz w:val="23"/>
        </w:rPr>
        <w:t>enfermedad</w:t>
      </w:r>
      <w:r>
        <w:rPr>
          <w:i/>
          <w:spacing w:val="-6"/>
          <w:sz w:val="23"/>
        </w:rPr>
        <w:t> </w:t>
      </w:r>
      <w:r>
        <w:rPr>
          <w:i/>
          <w:spacing w:val="-4"/>
          <w:sz w:val="23"/>
        </w:rPr>
        <w:t>grave</w:t>
      </w:r>
      <w:r>
        <w:rPr>
          <w:i/>
          <w:spacing w:val="-7"/>
          <w:sz w:val="23"/>
        </w:rPr>
        <w:t> </w:t>
      </w:r>
      <w:r>
        <w:rPr>
          <w:i/>
          <w:spacing w:val="-4"/>
          <w:sz w:val="23"/>
        </w:rPr>
        <w:t>de</w:t>
      </w:r>
      <w:r>
        <w:rPr>
          <w:i/>
          <w:spacing w:val="-7"/>
          <w:sz w:val="23"/>
        </w:rPr>
        <w:t> </w:t>
      </w:r>
      <w:r>
        <w:rPr>
          <w:i/>
          <w:spacing w:val="-4"/>
          <w:sz w:val="23"/>
        </w:rPr>
        <w:t>los</w:t>
      </w:r>
      <w:r>
        <w:rPr>
          <w:i/>
          <w:spacing w:val="-7"/>
          <w:sz w:val="23"/>
        </w:rPr>
        <w:t> </w:t>
      </w:r>
      <w:r>
        <w:rPr>
          <w:i/>
          <w:spacing w:val="-4"/>
          <w:sz w:val="23"/>
        </w:rPr>
        <w:t>parientes</w:t>
      </w:r>
      <w:r>
        <w:rPr>
          <w:i/>
          <w:spacing w:val="-6"/>
          <w:sz w:val="23"/>
        </w:rPr>
        <w:t> </w:t>
      </w:r>
      <w:r>
        <w:rPr>
          <w:i/>
          <w:spacing w:val="-4"/>
          <w:sz w:val="23"/>
        </w:rPr>
        <w:t>citados en</w:t>
      </w:r>
      <w:r>
        <w:rPr>
          <w:i/>
          <w:spacing w:val="-6"/>
          <w:sz w:val="23"/>
        </w:rPr>
        <w:t> </w:t>
      </w:r>
      <w:r>
        <w:rPr>
          <w:i/>
          <w:spacing w:val="-4"/>
          <w:sz w:val="23"/>
        </w:rPr>
        <w:t>el</w:t>
      </w:r>
      <w:r>
        <w:rPr>
          <w:i/>
          <w:spacing w:val="-6"/>
          <w:sz w:val="23"/>
        </w:rPr>
        <w:t> </w:t>
      </w:r>
      <w:r>
        <w:rPr>
          <w:i/>
          <w:spacing w:val="-4"/>
          <w:sz w:val="23"/>
        </w:rPr>
        <w:t>punto</w:t>
      </w:r>
      <w:r>
        <w:rPr>
          <w:i/>
          <w:spacing w:val="-5"/>
          <w:sz w:val="23"/>
        </w:rPr>
        <w:t> </w:t>
      </w:r>
      <w:r>
        <w:rPr>
          <w:i/>
          <w:spacing w:val="-4"/>
          <w:sz w:val="23"/>
        </w:rPr>
        <w:t>dos.</w:t>
      </w:r>
    </w:p>
    <w:p>
      <w:pPr>
        <w:pStyle w:val="ListParagraph"/>
        <w:numPr>
          <w:ilvl w:val="1"/>
          <w:numId w:val="28"/>
        </w:numPr>
        <w:tabs>
          <w:tab w:pos="899" w:val="left" w:leader="none"/>
        </w:tabs>
        <w:spacing w:line="249" w:lineRule="auto" w:before="11" w:after="0"/>
        <w:ind w:left="734" w:right="1089" w:firstLine="0"/>
        <w:jc w:val="both"/>
        <w:rPr>
          <w:rFonts w:ascii="Segoe UI Symbol" w:hAnsi="Segoe UI Symbol"/>
          <w:i/>
          <w:sz w:val="21"/>
        </w:rPr>
      </w:pPr>
      <w:r>
        <w:rPr>
          <w:i/>
          <w:spacing w:val="-4"/>
          <w:sz w:val="23"/>
        </w:rPr>
        <w:t>Medio</w:t>
      </w:r>
      <w:r>
        <w:rPr>
          <w:i/>
          <w:spacing w:val="-9"/>
          <w:sz w:val="23"/>
        </w:rPr>
        <w:t> </w:t>
      </w:r>
      <w:r>
        <w:rPr>
          <w:i/>
          <w:spacing w:val="-4"/>
          <w:sz w:val="23"/>
        </w:rPr>
        <w:t>día</w:t>
      </w:r>
      <w:r>
        <w:rPr>
          <w:i/>
          <w:spacing w:val="-11"/>
          <w:sz w:val="23"/>
        </w:rPr>
        <w:t> </w:t>
      </w:r>
      <w:r>
        <w:rPr>
          <w:i/>
          <w:spacing w:val="-4"/>
          <w:sz w:val="23"/>
        </w:rPr>
        <w:t>completo</w:t>
      </w:r>
      <w:r>
        <w:rPr>
          <w:i/>
          <w:spacing w:val="-8"/>
          <w:sz w:val="23"/>
        </w:rPr>
        <w:t> </w:t>
      </w:r>
      <w:r>
        <w:rPr>
          <w:i/>
          <w:spacing w:val="-4"/>
          <w:sz w:val="23"/>
        </w:rPr>
        <w:t>en</w:t>
      </w:r>
      <w:r>
        <w:rPr>
          <w:i/>
          <w:spacing w:val="-10"/>
          <w:sz w:val="23"/>
        </w:rPr>
        <w:t> </w:t>
      </w:r>
      <w:r>
        <w:rPr>
          <w:i/>
          <w:spacing w:val="-4"/>
          <w:sz w:val="23"/>
        </w:rPr>
        <w:t>cada</w:t>
      </w:r>
      <w:r>
        <w:rPr>
          <w:i/>
          <w:spacing w:val="-11"/>
          <w:sz w:val="23"/>
        </w:rPr>
        <w:t> </w:t>
      </w:r>
      <w:r>
        <w:rPr>
          <w:i/>
          <w:spacing w:val="-4"/>
          <w:sz w:val="23"/>
        </w:rPr>
        <w:t>ocasión,</w:t>
      </w:r>
      <w:r>
        <w:rPr>
          <w:i/>
          <w:spacing w:val="-9"/>
          <w:sz w:val="23"/>
        </w:rPr>
        <w:t> </w:t>
      </w:r>
      <w:r>
        <w:rPr>
          <w:i/>
          <w:spacing w:val="-4"/>
          <w:sz w:val="23"/>
        </w:rPr>
        <w:t>para</w:t>
      </w:r>
      <w:r>
        <w:rPr>
          <w:i/>
          <w:spacing w:val="-11"/>
          <w:sz w:val="23"/>
        </w:rPr>
        <w:t> </w:t>
      </w:r>
      <w:r>
        <w:rPr>
          <w:i/>
          <w:spacing w:val="-4"/>
          <w:sz w:val="23"/>
        </w:rPr>
        <w:t>efectuar</w:t>
      </w:r>
      <w:r>
        <w:rPr>
          <w:i/>
          <w:spacing w:val="-10"/>
          <w:sz w:val="23"/>
        </w:rPr>
        <w:t> </w:t>
      </w:r>
      <w:r>
        <w:rPr>
          <w:i/>
          <w:spacing w:val="-4"/>
          <w:sz w:val="23"/>
        </w:rPr>
        <w:t>diligencias</w:t>
      </w:r>
      <w:r>
        <w:rPr>
          <w:i/>
          <w:spacing w:val="-9"/>
          <w:sz w:val="23"/>
        </w:rPr>
        <w:t> </w:t>
      </w:r>
      <w:r>
        <w:rPr>
          <w:i/>
          <w:spacing w:val="-4"/>
          <w:sz w:val="23"/>
        </w:rPr>
        <w:t>personales</w:t>
      </w:r>
      <w:r>
        <w:rPr>
          <w:i/>
          <w:spacing w:val="-9"/>
          <w:sz w:val="23"/>
        </w:rPr>
        <w:t> </w:t>
      </w:r>
      <w:r>
        <w:rPr>
          <w:i/>
          <w:spacing w:val="-4"/>
          <w:sz w:val="23"/>
        </w:rPr>
        <w:t>debidamente</w:t>
      </w:r>
      <w:r>
        <w:rPr>
          <w:i/>
          <w:spacing w:val="-11"/>
          <w:sz w:val="23"/>
        </w:rPr>
        <w:t> </w:t>
      </w:r>
      <w:r>
        <w:rPr>
          <w:i/>
          <w:spacing w:val="-4"/>
          <w:sz w:val="23"/>
        </w:rPr>
        <w:t>justificas</w:t>
      </w:r>
      <w:r>
        <w:rPr>
          <w:i/>
          <w:spacing w:val="-8"/>
          <w:sz w:val="23"/>
        </w:rPr>
        <w:t> </w:t>
      </w:r>
      <w:r>
        <w:rPr>
          <w:i/>
          <w:spacing w:val="-4"/>
          <w:sz w:val="23"/>
        </w:rPr>
        <w:t>y </w:t>
      </w:r>
      <w:r>
        <w:rPr>
          <w:i/>
          <w:sz w:val="23"/>
        </w:rPr>
        <w:t>ellos casos en que el servicio se necesita coincida solamente con el horario de trabajo de la </w:t>
      </w:r>
      <w:r>
        <w:rPr>
          <w:i/>
          <w:spacing w:val="-2"/>
          <w:sz w:val="23"/>
        </w:rPr>
        <w:t>Institución.</w:t>
      </w:r>
    </w:p>
    <w:p>
      <w:pPr>
        <w:pStyle w:val="ListParagraph"/>
        <w:numPr>
          <w:ilvl w:val="1"/>
          <w:numId w:val="28"/>
        </w:numPr>
        <w:tabs>
          <w:tab w:pos="899" w:val="left" w:leader="none"/>
        </w:tabs>
        <w:spacing w:line="301" w:lineRule="exact" w:before="0" w:after="0"/>
        <w:ind w:left="899" w:right="0" w:hanging="165"/>
        <w:jc w:val="both"/>
        <w:rPr>
          <w:rFonts w:ascii="Segoe UI Symbol" w:hAnsi="Segoe UI Symbol"/>
          <w:i/>
          <w:sz w:val="21"/>
        </w:rPr>
      </w:pPr>
      <w:r>
        <w:rPr>
          <w:i/>
          <w:spacing w:val="-4"/>
          <w:sz w:val="23"/>
        </w:rPr>
        <w:t>Licencia</w:t>
      </w:r>
      <w:r>
        <w:rPr>
          <w:i/>
          <w:spacing w:val="-6"/>
          <w:sz w:val="23"/>
        </w:rPr>
        <w:t> </w:t>
      </w:r>
      <w:r>
        <w:rPr>
          <w:i/>
          <w:spacing w:val="-4"/>
          <w:sz w:val="23"/>
        </w:rPr>
        <w:t>con</w:t>
      </w:r>
      <w:r>
        <w:rPr>
          <w:i/>
          <w:spacing w:val="-5"/>
          <w:sz w:val="23"/>
        </w:rPr>
        <w:t> </w:t>
      </w:r>
      <w:r>
        <w:rPr>
          <w:i/>
          <w:spacing w:val="-4"/>
          <w:sz w:val="23"/>
        </w:rPr>
        <w:t>goce</w:t>
      </w:r>
      <w:r>
        <w:rPr>
          <w:i/>
          <w:spacing w:val="-6"/>
          <w:sz w:val="23"/>
        </w:rPr>
        <w:t> </w:t>
      </w:r>
      <w:r>
        <w:rPr>
          <w:i/>
          <w:spacing w:val="-4"/>
          <w:sz w:val="23"/>
        </w:rPr>
        <w:t>de</w:t>
      </w:r>
      <w:r>
        <w:rPr>
          <w:i/>
          <w:spacing w:val="-6"/>
          <w:sz w:val="23"/>
        </w:rPr>
        <w:t> </w:t>
      </w:r>
      <w:r>
        <w:rPr>
          <w:i/>
          <w:spacing w:val="-4"/>
          <w:sz w:val="23"/>
        </w:rPr>
        <w:t>salario</w:t>
      </w:r>
      <w:r>
        <w:rPr>
          <w:i/>
          <w:spacing w:val="-5"/>
          <w:sz w:val="23"/>
        </w:rPr>
        <w:t> </w:t>
      </w:r>
      <w:r>
        <w:rPr>
          <w:i/>
          <w:spacing w:val="-4"/>
          <w:sz w:val="23"/>
        </w:rPr>
        <w:t>por</w:t>
      </w:r>
      <w:r>
        <w:rPr>
          <w:i/>
          <w:spacing w:val="-6"/>
          <w:sz w:val="23"/>
        </w:rPr>
        <w:t> </w:t>
      </w:r>
      <w:r>
        <w:rPr>
          <w:i/>
          <w:spacing w:val="-4"/>
          <w:sz w:val="23"/>
        </w:rPr>
        <w:t>tres</w:t>
      </w:r>
      <w:r>
        <w:rPr>
          <w:i/>
          <w:spacing w:val="-6"/>
          <w:sz w:val="23"/>
        </w:rPr>
        <w:t> </w:t>
      </w:r>
      <w:r>
        <w:rPr>
          <w:i/>
          <w:spacing w:val="-4"/>
          <w:sz w:val="23"/>
        </w:rPr>
        <w:t>meses a</w:t>
      </w:r>
      <w:r>
        <w:rPr>
          <w:i/>
          <w:spacing w:val="-5"/>
          <w:sz w:val="23"/>
        </w:rPr>
        <w:t> </w:t>
      </w:r>
      <w:r>
        <w:rPr>
          <w:i/>
          <w:spacing w:val="-4"/>
          <w:sz w:val="23"/>
        </w:rPr>
        <w:t>los</w:t>
      </w:r>
      <w:r>
        <w:rPr>
          <w:i/>
          <w:spacing w:val="-6"/>
          <w:sz w:val="23"/>
        </w:rPr>
        <w:t> </w:t>
      </w:r>
      <w:r>
        <w:rPr>
          <w:i/>
          <w:spacing w:val="-4"/>
          <w:sz w:val="23"/>
        </w:rPr>
        <w:t>servidores</w:t>
      </w:r>
      <w:r>
        <w:rPr>
          <w:i/>
          <w:spacing w:val="-7"/>
          <w:sz w:val="23"/>
        </w:rPr>
        <w:t> </w:t>
      </w:r>
      <w:r>
        <w:rPr>
          <w:i/>
          <w:spacing w:val="-4"/>
          <w:sz w:val="23"/>
        </w:rPr>
        <w:t>que</w:t>
      </w:r>
      <w:r>
        <w:rPr>
          <w:i/>
          <w:spacing w:val="-6"/>
          <w:sz w:val="23"/>
        </w:rPr>
        <w:t> </w:t>
      </w:r>
      <w:r>
        <w:rPr>
          <w:i/>
          <w:spacing w:val="-4"/>
          <w:sz w:val="23"/>
        </w:rPr>
        <w:t>adopte</w:t>
      </w:r>
      <w:r>
        <w:rPr>
          <w:i/>
          <w:spacing w:val="-6"/>
          <w:sz w:val="23"/>
        </w:rPr>
        <w:t> </w:t>
      </w:r>
      <w:r>
        <w:rPr>
          <w:i/>
          <w:spacing w:val="-4"/>
          <w:sz w:val="23"/>
        </w:rPr>
        <w:t>aún</w:t>
      </w:r>
      <w:r>
        <w:rPr>
          <w:i/>
          <w:spacing w:val="-7"/>
          <w:sz w:val="23"/>
        </w:rPr>
        <w:t> </w:t>
      </w:r>
      <w:r>
        <w:rPr>
          <w:i/>
          <w:spacing w:val="-4"/>
          <w:sz w:val="23"/>
        </w:rPr>
        <w:t>menor</w:t>
      </w:r>
      <w:r>
        <w:rPr>
          <w:i/>
          <w:spacing w:val="-5"/>
          <w:sz w:val="23"/>
        </w:rPr>
        <w:t> </w:t>
      </w:r>
      <w:r>
        <w:rPr>
          <w:i/>
          <w:spacing w:val="-4"/>
          <w:sz w:val="23"/>
        </w:rPr>
        <w:t>de</w:t>
      </w:r>
      <w:r>
        <w:rPr>
          <w:i/>
          <w:spacing w:val="-6"/>
          <w:sz w:val="23"/>
        </w:rPr>
        <w:t> </w:t>
      </w:r>
      <w:r>
        <w:rPr>
          <w:i/>
          <w:spacing w:val="-4"/>
          <w:sz w:val="23"/>
        </w:rPr>
        <w:t>edad.</w:t>
      </w:r>
    </w:p>
    <w:p>
      <w:pPr>
        <w:pStyle w:val="ListParagraph"/>
        <w:numPr>
          <w:ilvl w:val="1"/>
          <w:numId w:val="28"/>
        </w:numPr>
        <w:tabs>
          <w:tab w:pos="899" w:val="left" w:leader="none"/>
        </w:tabs>
        <w:spacing w:line="249" w:lineRule="auto" w:before="9" w:after="0"/>
        <w:ind w:left="734" w:right="1094" w:firstLine="0"/>
        <w:jc w:val="both"/>
        <w:rPr>
          <w:rFonts w:ascii="Segoe UI Symbol" w:hAnsi="Segoe UI Symbol"/>
          <w:i/>
          <w:sz w:val="21"/>
        </w:rPr>
      </w:pPr>
      <w:r>
        <w:rPr>
          <w:i/>
          <w:spacing w:val="-4"/>
          <w:sz w:val="23"/>
        </w:rPr>
        <w:t>En</w:t>
      </w:r>
      <w:r>
        <w:rPr>
          <w:i/>
          <w:spacing w:val="-11"/>
          <w:sz w:val="23"/>
        </w:rPr>
        <w:t> </w:t>
      </w:r>
      <w:r>
        <w:rPr>
          <w:i/>
          <w:spacing w:val="-4"/>
          <w:sz w:val="23"/>
        </w:rPr>
        <w:t>caso</w:t>
      </w:r>
      <w:r>
        <w:rPr>
          <w:i/>
          <w:spacing w:val="-10"/>
          <w:sz w:val="23"/>
        </w:rPr>
        <w:t> </w:t>
      </w:r>
      <w:r>
        <w:rPr>
          <w:i/>
          <w:spacing w:val="-4"/>
          <w:sz w:val="23"/>
        </w:rPr>
        <w:t>de</w:t>
      </w:r>
      <w:r>
        <w:rPr>
          <w:i/>
          <w:spacing w:val="-11"/>
          <w:sz w:val="23"/>
        </w:rPr>
        <w:t> </w:t>
      </w:r>
      <w:r>
        <w:rPr>
          <w:i/>
          <w:spacing w:val="-4"/>
          <w:sz w:val="23"/>
        </w:rPr>
        <w:t>fenómenos</w:t>
      </w:r>
      <w:r>
        <w:rPr>
          <w:i/>
          <w:spacing w:val="-10"/>
          <w:sz w:val="23"/>
        </w:rPr>
        <w:t> </w:t>
      </w:r>
      <w:r>
        <w:rPr>
          <w:i/>
          <w:spacing w:val="-4"/>
          <w:sz w:val="23"/>
        </w:rPr>
        <w:t>naturales</w:t>
      </w:r>
      <w:r>
        <w:rPr>
          <w:i/>
          <w:spacing w:val="-10"/>
          <w:sz w:val="23"/>
        </w:rPr>
        <w:t> </w:t>
      </w:r>
      <w:r>
        <w:rPr>
          <w:i/>
          <w:spacing w:val="-4"/>
          <w:sz w:val="23"/>
        </w:rPr>
        <w:t>o</w:t>
      </w:r>
      <w:r>
        <w:rPr>
          <w:i/>
          <w:spacing w:val="-11"/>
          <w:sz w:val="23"/>
        </w:rPr>
        <w:t> </w:t>
      </w:r>
      <w:r>
        <w:rPr>
          <w:i/>
          <w:spacing w:val="-4"/>
          <w:sz w:val="23"/>
        </w:rPr>
        <w:t>incendio</w:t>
      </w:r>
      <w:r>
        <w:rPr>
          <w:i/>
          <w:spacing w:val="-10"/>
          <w:sz w:val="23"/>
        </w:rPr>
        <w:t> </w:t>
      </w:r>
      <w:r>
        <w:rPr>
          <w:i/>
          <w:spacing w:val="-4"/>
          <w:sz w:val="23"/>
        </w:rPr>
        <w:t>que</w:t>
      </w:r>
      <w:r>
        <w:rPr>
          <w:i/>
          <w:spacing w:val="-10"/>
          <w:sz w:val="23"/>
        </w:rPr>
        <w:t> </w:t>
      </w:r>
      <w:r>
        <w:rPr>
          <w:i/>
          <w:spacing w:val="-4"/>
          <w:sz w:val="23"/>
        </w:rPr>
        <w:t>cause</w:t>
      </w:r>
      <w:r>
        <w:rPr>
          <w:i/>
          <w:spacing w:val="-11"/>
          <w:sz w:val="23"/>
        </w:rPr>
        <w:t> </w:t>
      </w:r>
      <w:r>
        <w:rPr>
          <w:i/>
          <w:spacing w:val="-4"/>
          <w:sz w:val="23"/>
        </w:rPr>
        <w:t>daños</w:t>
      </w:r>
      <w:r>
        <w:rPr>
          <w:i/>
          <w:spacing w:val="-10"/>
          <w:sz w:val="23"/>
        </w:rPr>
        <w:t> </w:t>
      </w:r>
      <w:r>
        <w:rPr>
          <w:i/>
          <w:spacing w:val="-4"/>
          <w:sz w:val="23"/>
        </w:rPr>
        <w:t>serios</w:t>
      </w:r>
      <w:r>
        <w:rPr>
          <w:i/>
          <w:spacing w:val="-11"/>
          <w:sz w:val="23"/>
        </w:rPr>
        <w:t> </w:t>
      </w:r>
      <w:r>
        <w:rPr>
          <w:i/>
          <w:spacing w:val="-4"/>
          <w:sz w:val="23"/>
        </w:rPr>
        <w:t>a</w:t>
      </w:r>
      <w:r>
        <w:rPr>
          <w:i/>
          <w:spacing w:val="-10"/>
          <w:sz w:val="23"/>
        </w:rPr>
        <w:t> </w:t>
      </w:r>
      <w:r>
        <w:rPr>
          <w:i/>
          <w:spacing w:val="-4"/>
          <w:sz w:val="23"/>
        </w:rPr>
        <w:t>la</w:t>
      </w:r>
      <w:r>
        <w:rPr>
          <w:i/>
          <w:spacing w:val="-10"/>
          <w:sz w:val="23"/>
        </w:rPr>
        <w:t> </w:t>
      </w:r>
      <w:r>
        <w:rPr>
          <w:i/>
          <w:spacing w:val="-4"/>
          <w:sz w:val="23"/>
        </w:rPr>
        <w:t>propiedad</w:t>
      </w:r>
      <w:r>
        <w:rPr>
          <w:i/>
          <w:spacing w:val="-11"/>
          <w:sz w:val="23"/>
        </w:rPr>
        <w:t> </w:t>
      </w:r>
      <w:r>
        <w:rPr>
          <w:i/>
          <w:spacing w:val="-4"/>
          <w:sz w:val="23"/>
        </w:rPr>
        <w:t>del</w:t>
      </w:r>
      <w:r>
        <w:rPr>
          <w:i/>
          <w:spacing w:val="-10"/>
          <w:sz w:val="23"/>
        </w:rPr>
        <w:t> </w:t>
      </w:r>
      <w:r>
        <w:rPr>
          <w:i/>
          <w:spacing w:val="-4"/>
          <w:sz w:val="23"/>
        </w:rPr>
        <w:t>funcionario </w:t>
      </w:r>
      <w:r>
        <w:rPr>
          <w:i/>
          <w:sz w:val="23"/>
        </w:rPr>
        <w:t>tres días hábiles.</w:t>
      </w:r>
    </w:p>
    <w:p>
      <w:pPr>
        <w:pStyle w:val="ListParagraph"/>
        <w:numPr>
          <w:ilvl w:val="1"/>
          <w:numId w:val="28"/>
        </w:numPr>
        <w:tabs>
          <w:tab w:pos="899" w:val="left" w:leader="none"/>
        </w:tabs>
        <w:spacing w:line="303" w:lineRule="exact" w:before="0" w:after="0"/>
        <w:ind w:left="899" w:right="0" w:hanging="165"/>
        <w:jc w:val="both"/>
        <w:rPr>
          <w:rFonts w:ascii="Segoe UI Symbol" w:hAnsi="Segoe UI Symbol"/>
          <w:i/>
          <w:sz w:val="21"/>
        </w:rPr>
      </w:pPr>
      <w:r>
        <w:rPr>
          <w:i/>
          <w:spacing w:val="-4"/>
          <w:sz w:val="23"/>
        </w:rPr>
        <w:t>Un</w:t>
      </w:r>
      <w:r>
        <w:rPr>
          <w:i/>
          <w:spacing w:val="-6"/>
          <w:sz w:val="23"/>
        </w:rPr>
        <w:t> </w:t>
      </w:r>
      <w:r>
        <w:rPr>
          <w:i/>
          <w:spacing w:val="-4"/>
          <w:sz w:val="23"/>
        </w:rPr>
        <w:t>día</w:t>
      </w:r>
      <w:r>
        <w:rPr>
          <w:i/>
          <w:spacing w:val="-5"/>
          <w:sz w:val="23"/>
        </w:rPr>
        <w:t> </w:t>
      </w:r>
      <w:r>
        <w:rPr>
          <w:i/>
          <w:spacing w:val="-4"/>
          <w:sz w:val="23"/>
        </w:rPr>
        <w:t>con</w:t>
      </w:r>
      <w:r>
        <w:rPr>
          <w:i/>
          <w:spacing w:val="-5"/>
          <w:sz w:val="23"/>
        </w:rPr>
        <w:t> </w:t>
      </w:r>
      <w:r>
        <w:rPr>
          <w:i/>
          <w:spacing w:val="-4"/>
          <w:sz w:val="23"/>
        </w:rPr>
        <w:t>goce</w:t>
      </w:r>
      <w:r>
        <w:rPr>
          <w:i/>
          <w:spacing w:val="-7"/>
          <w:sz w:val="23"/>
        </w:rPr>
        <w:t> </w:t>
      </w:r>
      <w:r>
        <w:rPr>
          <w:i/>
          <w:spacing w:val="-4"/>
          <w:sz w:val="23"/>
        </w:rPr>
        <w:t>de</w:t>
      </w:r>
      <w:r>
        <w:rPr>
          <w:i/>
          <w:spacing w:val="-6"/>
          <w:sz w:val="23"/>
        </w:rPr>
        <w:t> </w:t>
      </w:r>
      <w:r>
        <w:rPr>
          <w:i/>
          <w:spacing w:val="-4"/>
          <w:sz w:val="23"/>
        </w:rPr>
        <w:t>salarios por</w:t>
      </w:r>
      <w:r>
        <w:rPr>
          <w:i/>
          <w:spacing w:val="-5"/>
          <w:sz w:val="23"/>
        </w:rPr>
        <w:t> </w:t>
      </w:r>
      <w:r>
        <w:rPr>
          <w:i/>
          <w:spacing w:val="-4"/>
          <w:sz w:val="23"/>
        </w:rPr>
        <w:t>concepto</w:t>
      </w:r>
      <w:r>
        <w:rPr>
          <w:i/>
          <w:spacing w:val="-5"/>
          <w:sz w:val="23"/>
        </w:rPr>
        <w:t> </w:t>
      </w:r>
      <w:r>
        <w:rPr>
          <w:i/>
          <w:spacing w:val="-4"/>
          <w:sz w:val="23"/>
        </w:rPr>
        <w:t>de</w:t>
      </w:r>
      <w:r>
        <w:rPr>
          <w:i/>
          <w:spacing w:val="-6"/>
          <w:sz w:val="23"/>
        </w:rPr>
        <w:t> </w:t>
      </w:r>
      <w:r>
        <w:rPr>
          <w:i/>
          <w:spacing w:val="-4"/>
          <w:sz w:val="23"/>
        </w:rPr>
        <w:t>cumpleaños.</w:t>
      </w:r>
    </w:p>
    <w:p>
      <w:pPr>
        <w:pStyle w:val="ListParagraph"/>
        <w:spacing w:after="0" w:line="303" w:lineRule="exact"/>
        <w:jc w:val="both"/>
        <w:rPr>
          <w:rFonts w:ascii="Segoe UI Symbol" w:hAnsi="Segoe UI Symbol"/>
          <w:i/>
          <w:sz w:val="21"/>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0336">
                <wp:simplePos x="0" y="0"/>
                <wp:positionH relativeFrom="page">
                  <wp:posOffset>9525</wp:posOffset>
                </wp:positionH>
                <wp:positionV relativeFrom="page">
                  <wp:posOffset>297208</wp:posOffset>
                </wp:positionV>
                <wp:extent cx="7762875" cy="9748520"/>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7762875" cy="9748520"/>
                          <a:chExt cx="7762875" cy="9748520"/>
                        </a:xfrm>
                      </wpg:grpSpPr>
                      <pic:pic>
                        <pic:nvPicPr>
                          <pic:cNvPr id="124" name="Image 124"/>
                          <pic:cNvPicPr/>
                        </pic:nvPicPr>
                        <pic:blipFill>
                          <a:blip r:embed="rId5" cstate="print"/>
                          <a:stretch>
                            <a:fillRect/>
                          </a:stretch>
                        </pic:blipFill>
                        <pic:spPr>
                          <a:xfrm>
                            <a:off x="0" y="0"/>
                            <a:ext cx="7762874" cy="9748489"/>
                          </a:xfrm>
                          <a:prstGeom prst="rect">
                            <a:avLst/>
                          </a:prstGeom>
                        </pic:spPr>
                      </pic:pic>
                      <wps:wsp>
                        <wps:cNvPr id="125" name="Graphic 125"/>
                        <wps:cNvSpPr/>
                        <wps:spPr>
                          <a:xfrm>
                            <a:off x="1053007" y="990837"/>
                            <a:ext cx="5649595" cy="7828280"/>
                          </a:xfrm>
                          <a:custGeom>
                            <a:avLst/>
                            <a:gdLst/>
                            <a:ahLst/>
                            <a:cxnLst/>
                            <a:rect l="l" t="t" r="r" b="b"/>
                            <a:pathLst>
                              <a:path w="5649595" h="7828280">
                                <a:moveTo>
                                  <a:pt x="5630862" y="7822133"/>
                                </a:moveTo>
                                <a:lnTo>
                                  <a:pt x="5624830" y="7822133"/>
                                </a:lnTo>
                                <a:lnTo>
                                  <a:pt x="24384" y="7822133"/>
                                </a:lnTo>
                                <a:lnTo>
                                  <a:pt x="18288" y="7822133"/>
                                </a:lnTo>
                                <a:lnTo>
                                  <a:pt x="18288" y="7828216"/>
                                </a:lnTo>
                                <a:lnTo>
                                  <a:pt x="24384" y="7828216"/>
                                </a:lnTo>
                                <a:lnTo>
                                  <a:pt x="5624779" y="7828216"/>
                                </a:lnTo>
                                <a:lnTo>
                                  <a:pt x="5630862" y="7828216"/>
                                </a:lnTo>
                                <a:lnTo>
                                  <a:pt x="5630862" y="7822133"/>
                                </a:lnTo>
                                <a:close/>
                              </a:path>
                              <a:path w="5649595" h="7828280">
                                <a:moveTo>
                                  <a:pt x="5630862" y="2818244"/>
                                </a:moveTo>
                                <a:lnTo>
                                  <a:pt x="5624830" y="2818244"/>
                                </a:lnTo>
                                <a:lnTo>
                                  <a:pt x="24384" y="2818244"/>
                                </a:lnTo>
                                <a:lnTo>
                                  <a:pt x="18288" y="2818244"/>
                                </a:lnTo>
                                <a:lnTo>
                                  <a:pt x="18288" y="2824302"/>
                                </a:lnTo>
                                <a:lnTo>
                                  <a:pt x="18288" y="7822120"/>
                                </a:lnTo>
                                <a:lnTo>
                                  <a:pt x="24384" y="7822120"/>
                                </a:lnTo>
                                <a:lnTo>
                                  <a:pt x="24384" y="2824340"/>
                                </a:lnTo>
                                <a:lnTo>
                                  <a:pt x="5624779" y="2824340"/>
                                </a:lnTo>
                                <a:lnTo>
                                  <a:pt x="5624779" y="7822120"/>
                                </a:lnTo>
                                <a:lnTo>
                                  <a:pt x="5630862" y="7822120"/>
                                </a:lnTo>
                                <a:lnTo>
                                  <a:pt x="5630862" y="2824340"/>
                                </a:lnTo>
                                <a:lnTo>
                                  <a:pt x="5630862" y="2818244"/>
                                </a:lnTo>
                                <a:close/>
                              </a:path>
                              <a:path w="5649595" h="782828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6144" id="docshapegroup122" coordorigin="15,468" coordsize="12225,15352">
                <v:shape style="position:absolute;left:15;top:468;width:12225;height:15352" type="#_x0000_t75" id="docshape123" stroked="false">
                  <v:imagedata r:id="rId5" o:title=""/>
                </v:shape>
                <v:shape style="position:absolute;left:1673;top:2028;width:8897;height:12328" id="docshape124" coordorigin="1673,2028" coordsize="8897,12328" path="m10541,14347l10531,14347,10531,14347,1712,14347,1702,14347,1702,14356,1712,14356,10531,14356,10531,14356,10541,14356,10541,14347xm10541,6467l10531,6467,10531,6467,1712,6467,1702,6467,1702,6476,1702,6476,1702,14347,1712,14347,1712,6476,10531,6476,10531,14347,10541,14347,10541,6476,10541,6476,10541,6467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36</w:t>
      </w:r>
    </w:p>
    <w:p>
      <w:pPr>
        <w:pStyle w:val="BodyText"/>
        <w:spacing w:before="10"/>
        <w:rPr>
          <w:sz w:val="16"/>
        </w:rPr>
      </w:pPr>
      <w:r>
        <w:rPr>
          <w:sz w:val="16"/>
        </w:rPr>
        <mc:AlternateContent>
          <mc:Choice Requires="wps">
            <w:drawing>
              <wp:anchor distT="0" distB="0" distL="0" distR="0" allowOverlap="1" layoutInCell="1" locked="0" behindDoc="1" simplePos="0" relativeHeight="487612928">
                <wp:simplePos x="0" y="0"/>
                <wp:positionH relativeFrom="page">
                  <wp:posOffset>1083868</wp:posOffset>
                </wp:positionH>
                <wp:positionV relativeFrom="paragraph">
                  <wp:posOffset>141144</wp:posOffset>
                </wp:positionV>
                <wp:extent cx="5607050" cy="2172335"/>
                <wp:effectExtent l="0" t="0" r="0" b="0"/>
                <wp:wrapTopAndBottom/>
                <wp:docPr id="126" name="Textbox 126"/>
                <wp:cNvGraphicFramePr>
                  <a:graphicFrameLocks/>
                </wp:cNvGraphicFramePr>
                <a:graphic>
                  <a:graphicData uri="http://schemas.microsoft.com/office/word/2010/wordprocessingShape">
                    <wps:wsp>
                      <wps:cNvPr id="126" name="Textbox 126"/>
                      <wps:cNvSpPr txBox="1"/>
                      <wps:spPr>
                        <a:xfrm>
                          <a:off x="0" y="0"/>
                          <a:ext cx="5607050" cy="2172335"/>
                        </a:xfrm>
                        <a:prstGeom prst="rect">
                          <a:avLst/>
                        </a:prstGeom>
                        <a:ln w="6095">
                          <a:solidFill>
                            <a:srgbClr val="000000"/>
                          </a:solidFill>
                          <a:prstDash val="solid"/>
                        </a:ln>
                      </wps:spPr>
                      <wps:txbx>
                        <w:txbxContent>
                          <w:p>
                            <w:pPr>
                              <w:pStyle w:val="BodyText"/>
                              <w:spacing w:before="20"/>
                            </w:pPr>
                          </w:p>
                          <w:p>
                            <w:pPr>
                              <w:pStyle w:val="BodyText"/>
                              <w:spacing w:line="259" w:lineRule="auto"/>
                              <w:ind w:left="103" w:right="99"/>
                              <w:jc w:val="both"/>
                            </w:pPr>
                            <w:r>
                              <w:rPr/>
                              <w:t>La institución con las ausencias retribuidas acumulativas o las vacaciones, el Área de Desarrollo Humano brinda la información de las vacaciones acumuladas y vacaciones disfrutadas mensualmente, con corte al día último de cada mes.</w:t>
                            </w:r>
                            <w:r>
                              <w:rPr>
                                <w:spacing w:val="40"/>
                              </w:rPr>
                              <w:t> </w:t>
                            </w:r>
                            <w:r>
                              <w:rPr/>
                              <w:t>Dentro de los beneficios por terminación se cuenta con la cuenta provisión de vacaciones, el</w:t>
                            </w:r>
                            <w:r>
                              <w:rPr>
                                <w:spacing w:val="-1"/>
                              </w:rPr>
                              <w:t> </w:t>
                            </w:r>
                            <w:r>
                              <w:rPr/>
                              <w:t>saldo de la cuenta contable Otras Reservas técnica</w:t>
                            </w:r>
                          </w:p>
                          <w:p>
                            <w:pPr>
                              <w:pStyle w:val="BodyText"/>
                              <w:spacing w:before="1"/>
                              <w:ind w:left="103"/>
                              <w:jc w:val="both"/>
                            </w:pPr>
                            <w:r>
                              <w:rPr/>
                              <w:t>2.1.4.02</w:t>
                            </w:r>
                            <w:r>
                              <w:rPr>
                                <w:spacing w:val="-7"/>
                              </w:rPr>
                              <w:t> </w:t>
                            </w:r>
                            <w:r>
                              <w:rPr/>
                              <w:t>refleja</w:t>
                            </w:r>
                            <w:r>
                              <w:rPr>
                                <w:spacing w:val="-3"/>
                              </w:rPr>
                              <w:t> </w:t>
                            </w:r>
                            <w:r>
                              <w:rPr/>
                              <w:t>en</w:t>
                            </w:r>
                            <w:r>
                              <w:rPr>
                                <w:spacing w:val="-5"/>
                              </w:rPr>
                              <w:t> </w:t>
                            </w:r>
                            <w:r>
                              <w:rPr/>
                              <w:t>el</w:t>
                            </w:r>
                            <w:r>
                              <w:rPr>
                                <w:spacing w:val="-4"/>
                              </w:rPr>
                              <w:t> </w:t>
                            </w:r>
                            <w:r>
                              <w:rPr/>
                              <w:t>concepto</w:t>
                            </w:r>
                            <w:r>
                              <w:rPr>
                                <w:spacing w:val="-5"/>
                              </w:rPr>
                              <w:t> </w:t>
                            </w:r>
                            <w:r>
                              <w:rPr/>
                              <w:t>de</w:t>
                            </w:r>
                            <w:r>
                              <w:rPr>
                                <w:spacing w:val="-6"/>
                              </w:rPr>
                              <w:t> </w:t>
                            </w:r>
                            <w:r>
                              <w:rPr/>
                              <w:t>vacaciones,</w:t>
                            </w:r>
                            <w:r>
                              <w:rPr>
                                <w:spacing w:val="-4"/>
                              </w:rPr>
                              <w:t> </w:t>
                            </w:r>
                            <w:r>
                              <w:rPr/>
                              <w:t>el</w:t>
                            </w:r>
                            <w:r>
                              <w:rPr>
                                <w:spacing w:val="-5"/>
                              </w:rPr>
                              <w:t> </w:t>
                            </w:r>
                            <w:r>
                              <w:rPr/>
                              <w:t>saldo</w:t>
                            </w:r>
                            <w:r>
                              <w:rPr>
                                <w:spacing w:val="-4"/>
                              </w:rPr>
                              <w:t> </w:t>
                            </w:r>
                            <w:r>
                              <w:rPr/>
                              <w:t>pendiente</w:t>
                            </w:r>
                            <w:r>
                              <w:rPr>
                                <w:spacing w:val="-5"/>
                              </w:rPr>
                              <w:t> </w:t>
                            </w:r>
                            <w:r>
                              <w:rPr/>
                              <w:t>de</w:t>
                            </w:r>
                            <w:r>
                              <w:rPr>
                                <w:spacing w:val="-5"/>
                              </w:rPr>
                              <w:t> </w:t>
                            </w:r>
                            <w:r>
                              <w:rPr/>
                              <w:t>vacaciones</w:t>
                            </w:r>
                            <w:r>
                              <w:rPr>
                                <w:spacing w:val="-3"/>
                              </w:rPr>
                              <w:t> </w:t>
                            </w:r>
                            <w:r>
                              <w:rPr>
                                <w:spacing w:val="-2"/>
                              </w:rPr>
                              <w:t>acumuladas.</w:t>
                            </w:r>
                          </w:p>
                          <w:p>
                            <w:pPr>
                              <w:pStyle w:val="BodyText"/>
                              <w:spacing w:before="38"/>
                            </w:pPr>
                          </w:p>
                          <w:p>
                            <w:pPr>
                              <w:pStyle w:val="BodyText"/>
                              <w:spacing w:line="259" w:lineRule="auto"/>
                              <w:ind w:left="103" w:right="105"/>
                              <w:jc w:val="both"/>
                            </w:pPr>
                            <w:r>
                              <w:rPr/>
                              <w:t>La institución mensualmente realiza el aporte patronal a las Asociación Solidarista Empleados del Instituto Mixto de Ayuda Social de la cesantía de los funcionarios de la institución.</w:t>
                            </w:r>
                          </w:p>
                          <w:p>
                            <w:pPr>
                              <w:pStyle w:val="BodyText"/>
                              <w:spacing w:before="21"/>
                            </w:pPr>
                          </w:p>
                          <w:p>
                            <w:pPr>
                              <w:pStyle w:val="BodyText"/>
                              <w:spacing w:line="259" w:lineRule="auto" w:before="1"/>
                              <w:ind w:left="103" w:right="163"/>
                              <w:jc w:val="both"/>
                            </w:pPr>
                            <w:r>
                              <w:rPr/>
                              <w:t>Las</w:t>
                            </w:r>
                            <w:r>
                              <w:rPr>
                                <w:spacing w:val="-2"/>
                              </w:rPr>
                              <w:t> </w:t>
                            </w:r>
                            <w:r>
                              <w:rPr/>
                              <w:t>políticas</w:t>
                            </w:r>
                            <w:r>
                              <w:rPr>
                                <w:spacing w:val="-2"/>
                              </w:rPr>
                              <w:t> </w:t>
                            </w:r>
                            <w:r>
                              <w:rPr/>
                              <w:t>y</w:t>
                            </w:r>
                            <w:r>
                              <w:rPr>
                                <w:spacing w:val="-4"/>
                              </w:rPr>
                              <w:t> </w:t>
                            </w:r>
                            <w:r>
                              <w:rPr/>
                              <w:t>criterios</w:t>
                            </w:r>
                            <w:r>
                              <w:rPr>
                                <w:spacing w:val="-2"/>
                              </w:rPr>
                              <w:t> </w:t>
                            </w:r>
                            <w:r>
                              <w:rPr/>
                              <w:t>específicos</w:t>
                            </w:r>
                            <w:r>
                              <w:rPr>
                                <w:spacing w:val="-2"/>
                              </w:rPr>
                              <w:t> </w:t>
                            </w:r>
                            <w:r>
                              <w:rPr/>
                              <w:t>aplicables</w:t>
                            </w:r>
                            <w:r>
                              <w:rPr>
                                <w:spacing w:val="-2"/>
                              </w:rPr>
                              <w:t> </w:t>
                            </w:r>
                            <w:r>
                              <w:rPr/>
                              <w:t>a</w:t>
                            </w:r>
                            <w:r>
                              <w:rPr>
                                <w:spacing w:val="-4"/>
                              </w:rPr>
                              <w:t> </w:t>
                            </w:r>
                            <w:r>
                              <w:rPr/>
                              <w:t>estos</w:t>
                            </w:r>
                            <w:r>
                              <w:rPr>
                                <w:spacing w:val="-2"/>
                              </w:rPr>
                              <w:t> </w:t>
                            </w:r>
                            <w:r>
                              <w:rPr/>
                              <w:t>beneficios</w:t>
                            </w:r>
                            <w:r>
                              <w:rPr>
                                <w:spacing w:val="-2"/>
                              </w:rPr>
                              <w:t> </w:t>
                            </w:r>
                            <w:r>
                              <w:rPr/>
                              <w:t>se</w:t>
                            </w:r>
                            <w:r>
                              <w:rPr>
                                <w:spacing w:val="-4"/>
                              </w:rPr>
                              <w:t> </w:t>
                            </w:r>
                            <w:r>
                              <w:rPr/>
                              <w:t>desarrollan</w:t>
                            </w:r>
                            <w:r>
                              <w:rPr>
                                <w:spacing w:val="-3"/>
                              </w:rPr>
                              <w:t> </w:t>
                            </w:r>
                            <w:r>
                              <w:rPr/>
                              <w:t>con</w:t>
                            </w:r>
                            <w:r>
                              <w:rPr>
                                <w:spacing w:val="-3"/>
                              </w:rPr>
                              <w:t> </w:t>
                            </w:r>
                            <w:r>
                              <w:rPr/>
                              <w:t>mayor</w:t>
                            </w:r>
                            <w:r>
                              <w:rPr>
                                <w:spacing w:val="-3"/>
                              </w:rPr>
                              <w:t> </w:t>
                            </w:r>
                            <w:r>
                              <w:rPr/>
                              <w:t>detalle</w:t>
                            </w:r>
                            <w:r>
                              <w:rPr>
                                <w:spacing w:val="-5"/>
                              </w:rPr>
                              <w:t> </w:t>
                            </w:r>
                            <w:r>
                              <w:rPr/>
                              <w:t>en la Nota 59 de los presentes Estados Financieros.</w:t>
                            </w:r>
                          </w:p>
                        </w:txbxContent>
                      </wps:txbx>
                      <wps:bodyPr wrap="square" lIns="0" tIns="0" rIns="0" bIns="0" rtlCol="0">
                        <a:noAutofit/>
                      </wps:bodyPr>
                    </wps:wsp>
                  </a:graphicData>
                </a:graphic>
              </wp:anchor>
            </w:drawing>
          </mc:Choice>
          <mc:Fallback>
            <w:pict>
              <v:shape style="position:absolute;margin-left:85.344002pt;margin-top:11.11375pt;width:441.5pt;height:171.05pt;mso-position-horizontal-relative:page;mso-position-vertical-relative:paragraph;z-index:-15703552;mso-wrap-distance-left:0;mso-wrap-distance-right:0" type="#_x0000_t202" id="docshape125" filled="false" stroked="true" strokeweight=".47998pt" strokecolor="#000000">
                <v:textbox inset="0,0,0,0">
                  <w:txbxContent>
                    <w:p>
                      <w:pPr>
                        <w:pStyle w:val="BodyText"/>
                        <w:spacing w:before="20"/>
                      </w:pPr>
                    </w:p>
                    <w:p>
                      <w:pPr>
                        <w:pStyle w:val="BodyText"/>
                        <w:spacing w:line="259" w:lineRule="auto"/>
                        <w:ind w:left="103" w:right="99"/>
                        <w:jc w:val="both"/>
                      </w:pPr>
                      <w:r>
                        <w:rPr/>
                        <w:t>La institución con las ausencias retribuidas acumulativas o las vacaciones, el Área de Desarrollo Humano brinda la información de las vacaciones acumuladas y vacaciones disfrutadas mensualmente, con corte al día último de cada mes.</w:t>
                      </w:r>
                      <w:r>
                        <w:rPr>
                          <w:spacing w:val="40"/>
                        </w:rPr>
                        <w:t> </w:t>
                      </w:r>
                      <w:r>
                        <w:rPr/>
                        <w:t>Dentro de los beneficios por terminación se cuenta con la cuenta provisión de vacaciones, el</w:t>
                      </w:r>
                      <w:r>
                        <w:rPr>
                          <w:spacing w:val="-1"/>
                        </w:rPr>
                        <w:t> </w:t>
                      </w:r>
                      <w:r>
                        <w:rPr/>
                        <w:t>saldo de la cuenta contable Otras Reservas técnica</w:t>
                      </w:r>
                    </w:p>
                    <w:p>
                      <w:pPr>
                        <w:pStyle w:val="BodyText"/>
                        <w:spacing w:before="1"/>
                        <w:ind w:left="103"/>
                        <w:jc w:val="both"/>
                      </w:pPr>
                      <w:r>
                        <w:rPr/>
                        <w:t>2.1.4.02</w:t>
                      </w:r>
                      <w:r>
                        <w:rPr>
                          <w:spacing w:val="-7"/>
                        </w:rPr>
                        <w:t> </w:t>
                      </w:r>
                      <w:r>
                        <w:rPr/>
                        <w:t>refleja</w:t>
                      </w:r>
                      <w:r>
                        <w:rPr>
                          <w:spacing w:val="-3"/>
                        </w:rPr>
                        <w:t> </w:t>
                      </w:r>
                      <w:r>
                        <w:rPr/>
                        <w:t>en</w:t>
                      </w:r>
                      <w:r>
                        <w:rPr>
                          <w:spacing w:val="-5"/>
                        </w:rPr>
                        <w:t> </w:t>
                      </w:r>
                      <w:r>
                        <w:rPr/>
                        <w:t>el</w:t>
                      </w:r>
                      <w:r>
                        <w:rPr>
                          <w:spacing w:val="-4"/>
                        </w:rPr>
                        <w:t> </w:t>
                      </w:r>
                      <w:r>
                        <w:rPr/>
                        <w:t>concepto</w:t>
                      </w:r>
                      <w:r>
                        <w:rPr>
                          <w:spacing w:val="-5"/>
                        </w:rPr>
                        <w:t> </w:t>
                      </w:r>
                      <w:r>
                        <w:rPr/>
                        <w:t>de</w:t>
                      </w:r>
                      <w:r>
                        <w:rPr>
                          <w:spacing w:val="-6"/>
                        </w:rPr>
                        <w:t> </w:t>
                      </w:r>
                      <w:r>
                        <w:rPr/>
                        <w:t>vacaciones,</w:t>
                      </w:r>
                      <w:r>
                        <w:rPr>
                          <w:spacing w:val="-4"/>
                        </w:rPr>
                        <w:t> </w:t>
                      </w:r>
                      <w:r>
                        <w:rPr/>
                        <w:t>el</w:t>
                      </w:r>
                      <w:r>
                        <w:rPr>
                          <w:spacing w:val="-5"/>
                        </w:rPr>
                        <w:t> </w:t>
                      </w:r>
                      <w:r>
                        <w:rPr/>
                        <w:t>saldo</w:t>
                      </w:r>
                      <w:r>
                        <w:rPr>
                          <w:spacing w:val="-4"/>
                        </w:rPr>
                        <w:t> </w:t>
                      </w:r>
                      <w:r>
                        <w:rPr/>
                        <w:t>pendiente</w:t>
                      </w:r>
                      <w:r>
                        <w:rPr>
                          <w:spacing w:val="-5"/>
                        </w:rPr>
                        <w:t> </w:t>
                      </w:r>
                      <w:r>
                        <w:rPr/>
                        <w:t>de</w:t>
                      </w:r>
                      <w:r>
                        <w:rPr>
                          <w:spacing w:val="-5"/>
                        </w:rPr>
                        <w:t> </w:t>
                      </w:r>
                      <w:r>
                        <w:rPr/>
                        <w:t>vacaciones</w:t>
                      </w:r>
                      <w:r>
                        <w:rPr>
                          <w:spacing w:val="-3"/>
                        </w:rPr>
                        <w:t> </w:t>
                      </w:r>
                      <w:r>
                        <w:rPr>
                          <w:spacing w:val="-2"/>
                        </w:rPr>
                        <w:t>acumuladas.</w:t>
                      </w:r>
                    </w:p>
                    <w:p>
                      <w:pPr>
                        <w:pStyle w:val="BodyText"/>
                        <w:spacing w:before="38"/>
                      </w:pPr>
                    </w:p>
                    <w:p>
                      <w:pPr>
                        <w:pStyle w:val="BodyText"/>
                        <w:spacing w:line="259" w:lineRule="auto"/>
                        <w:ind w:left="103" w:right="105"/>
                        <w:jc w:val="both"/>
                      </w:pPr>
                      <w:r>
                        <w:rPr/>
                        <w:t>La institución mensualmente realiza el aporte patronal a las Asociación Solidarista Empleados del Instituto Mixto de Ayuda Social de la cesantía de los funcionarios de la institución.</w:t>
                      </w:r>
                    </w:p>
                    <w:p>
                      <w:pPr>
                        <w:pStyle w:val="BodyText"/>
                        <w:spacing w:before="21"/>
                      </w:pPr>
                    </w:p>
                    <w:p>
                      <w:pPr>
                        <w:pStyle w:val="BodyText"/>
                        <w:spacing w:line="259" w:lineRule="auto" w:before="1"/>
                        <w:ind w:left="103" w:right="163"/>
                        <w:jc w:val="both"/>
                      </w:pPr>
                      <w:r>
                        <w:rPr/>
                        <w:t>Las</w:t>
                      </w:r>
                      <w:r>
                        <w:rPr>
                          <w:spacing w:val="-2"/>
                        </w:rPr>
                        <w:t> </w:t>
                      </w:r>
                      <w:r>
                        <w:rPr/>
                        <w:t>políticas</w:t>
                      </w:r>
                      <w:r>
                        <w:rPr>
                          <w:spacing w:val="-2"/>
                        </w:rPr>
                        <w:t> </w:t>
                      </w:r>
                      <w:r>
                        <w:rPr/>
                        <w:t>y</w:t>
                      </w:r>
                      <w:r>
                        <w:rPr>
                          <w:spacing w:val="-4"/>
                        </w:rPr>
                        <w:t> </w:t>
                      </w:r>
                      <w:r>
                        <w:rPr/>
                        <w:t>criterios</w:t>
                      </w:r>
                      <w:r>
                        <w:rPr>
                          <w:spacing w:val="-2"/>
                        </w:rPr>
                        <w:t> </w:t>
                      </w:r>
                      <w:r>
                        <w:rPr/>
                        <w:t>específicos</w:t>
                      </w:r>
                      <w:r>
                        <w:rPr>
                          <w:spacing w:val="-2"/>
                        </w:rPr>
                        <w:t> </w:t>
                      </w:r>
                      <w:r>
                        <w:rPr/>
                        <w:t>aplicables</w:t>
                      </w:r>
                      <w:r>
                        <w:rPr>
                          <w:spacing w:val="-2"/>
                        </w:rPr>
                        <w:t> </w:t>
                      </w:r>
                      <w:r>
                        <w:rPr/>
                        <w:t>a</w:t>
                      </w:r>
                      <w:r>
                        <w:rPr>
                          <w:spacing w:val="-4"/>
                        </w:rPr>
                        <w:t> </w:t>
                      </w:r>
                      <w:r>
                        <w:rPr/>
                        <w:t>estos</w:t>
                      </w:r>
                      <w:r>
                        <w:rPr>
                          <w:spacing w:val="-2"/>
                        </w:rPr>
                        <w:t> </w:t>
                      </w:r>
                      <w:r>
                        <w:rPr/>
                        <w:t>beneficios</w:t>
                      </w:r>
                      <w:r>
                        <w:rPr>
                          <w:spacing w:val="-2"/>
                        </w:rPr>
                        <w:t> </w:t>
                      </w:r>
                      <w:r>
                        <w:rPr/>
                        <w:t>se</w:t>
                      </w:r>
                      <w:r>
                        <w:rPr>
                          <w:spacing w:val="-4"/>
                        </w:rPr>
                        <w:t> </w:t>
                      </w:r>
                      <w:r>
                        <w:rPr/>
                        <w:t>desarrollan</w:t>
                      </w:r>
                      <w:r>
                        <w:rPr>
                          <w:spacing w:val="-3"/>
                        </w:rPr>
                        <w:t> </w:t>
                      </w:r>
                      <w:r>
                        <w:rPr/>
                        <w:t>con</w:t>
                      </w:r>
                      <w:r>
                        <w:rPr>
                          <w:spacing w:val="-3"/>
                        </w:rPr>
                        <w:t> </w:t>
                      </w:r>
                      <w:r>
                        <w:rPr/>
                        <w:t>mayor</w:t>
                      </w:r>
                      <w:r>
                        <w:rPr>
                          <w:spacing w:val="-3"/>
                        </w:rPr>
                        <w:t> </w:t>
                      </w:r>
                      <w:r>
                        <w:rPr/>
                        <w:t>detalle</w:t>
                      </w:r>
                      <w:r>
                        <w:rPr>
                          <w:spacing w:val="-5"/>
                        </w:rPr>
                        <w:t> </w:t>
                      </w:r>
                      <w:r>
                        <w:rPr/>
                        <w:t>en la Nota 59 de los presentes Estados Financieros.</w:t>
                      </w:r>
                    </w:p>
                  </w:txbxContent>
                </v:textbox>
                <v:stroke dashstyle="solid"/>
                <w10:wrap type="topAndBottom"/>
              </v:shape>
            </w:pict>
          </mc:Fallback>
        </mc:AlternateContent>
      </w:r>
    </w:p>
    <w:p>
      <w:pPr>
        <w:pStyle w:val="BodyText"/>
        <w:spacing w:before="186"/>
      </w:pPr>
    </w:p>
    <w:p>
      <w:pPr>
        <w:pStyle w:val="Heading6"/>
        <w:numPr>
          <w:ilvl w:val="0"/>
          <w:numId w:val="13"/>
        </w:numPr>
        <w:tabs>
          <w:tab w:pos="1338" w:val="left" w:leader="none"/>
        </w:tabs>
        <w:spacing w:line="240" w:lineRule="auto" w:before="0" w:after="0"/>
        <w:ind w:left="1338" w:right="0" w:hanging="357"/>
        <w:jc w:val="left"/>
      </w:pPr>
      <w:bookmarkStart w:name="_bookmark19" w:id="20"/>
      <w:bookmarkEnd w:id="20"/>
      <w:r>
        <w:rPr>
          <w:b w:val="0"/>
        </w:rPr>
      </w:r>
      <w:r>
        <w:rPr>
          <w:color w:val="1F3762"/>
        </w:rPr>
        <w:t>Instrumentos</w:t>
      </w:r>
      <w:r>
        <w:rPr>
          <w:color w:val="1F3762"/>
          <w:spacing w:val="-6"/>
        </w:rPr>
        <w:t> </w:t>
      </w:r>
      <w:r>
        <w:rPr>
          <w:color w:val="1F3762"/>
          <w:spacing w:val="-2"/>
        </w:rPr>
        <w:t>financieros.</w:t>
      </w:r>
    </w:p>
    <w:p>
      <w:pPr>
        <w:spacing w:before="136"/>
        <w:ind w:left="734" w:right="0" w:firstLine="0"/>
        <w:jc w:val="left"/>
        <w:rPr>
          <w:sz w:val="22"/>
        </w:rPr>
      </w:pPr>
      <w:r>
        <w:rPr>
          <w:b/>
          <w:color w:val="1F4E79"/>
          <w:spacing w:val="-2"/>
          <w:sz w:val="22"/>
          <w:u w:val="single" w:color="1F4E79"/>
        </w:rPr>
        <w:t>Revelación</w:t>
      </w:r>
      <w:r>
        <w:rPr>
          <w:spacing w:val="-2"/>
          <w:sz w:val="22"/>
          <w:u w:val="none"/>
        </w:rPr>
        <w:t>:</w:t>
      </w:r>
    </w:p>
    <w:p>
      <w:pPr>
        <w:pStyle w:val="BodyText"/>
        <w:spacing w:before="24"/>
        <w:rPr>
          <w:sz w:val="20"/>
        </w:rPr>
      </w:pPr>
    </w:p>
    <w:tbl>
      <w:tblPr>
        <w:tblW w:w="0" w:type="auto"/>
        <w:jc w:val="left"/>
        <w:tblInd w:w="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7"/>
        <w:gridCol w:w="1976"/>
      </w:tblGrid>
      <w:tr>
        <w:trPr>
          <w:trHeight w:val="275" w:hRule="atLeast"/>
        </w:trPr>
        <w:tc>
          <w:tcPr>
            <w:tcW w:w="4173" w:type="dxa"/>
            <w:gridSpan w:val="2"/>
            <w:tcBorders>
              <w:top w:val="nil"/>
              <w:left w:val="nil"/>
              <w:right w:val="nil"/>
            </w:tcBorders>
          </w:tcPr>
          <w:p>
            <w:pPr>
              <w:pStyle w:val="TableParagraph"/>
              <w:spacing w:line="223" w:lineRule="exact"/>
              <w:ind w:left="79"/>
              <w:rPr>
                <w:sz w:val="22"/>
              </w:rPr>
            </w:pPr>
            <w:r>
              <w:rPr>
                <w:color w:val="1F3863"/>
                <w:sz w:val="22"/>
              </w:rPr>
              <w:t>NICSP</w:t>
            </w:r>
            <w:r>
              <w:rPr>
                <w:color w:val="1F3863"/>
                <w:spacing w:val="-3"/>
                <w:sz w:val="22"/>
              </w:rPr>
              <w:t> </w:t>
            </w:r>
            <w:r>
              <w:rPr>
                <w:color w:val="1F3863"/>
                <w:spacing w:val="-5"/>
                <w:sz w:val="22"/>
              </w:rPr>
              <w:t>28</w:t>
            </w:r>
          </w:p>
        </w:tc>
      </w:tr>
      <w:tr>
        <w:trPr>
          <w:trHeight w:val="344" w:hRule="atLeast"/>
        </w:trPr>
        <w:tc>
          <w:tcPr>
            <w:tcW w:w="2197" w:type="dxa"/>
            <w:shd w:val="clear" w:color="auto" w:fill="17365D"/>
          </w:tcPr>
          <w:p>
            <w:pPr>
              <w:pStyle w:val="TableParagraph"/>
              <w:spacing w:before="48"/>
              <w:ind w:left="69"/>
              <w:rPr>
                <w:sz w:val="22"/>
              </w:rPr>
            </w:pPr>
            <w:r>
              <w:rPr>
                <w:color w:val="FFFFFF"/>
                <w:spacing w:val="-2"/>
                <w:sz w:val="22"/>
              </w:rPr>
              <w:t>Aplica</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5"/>
                <w:sz w:val="22"/>
              </w:rPr>
              <w:t>Si</w:t>
            </w:r>
          </w:p>
        </w:tc>
      </w:tr>
      <w:tr>
        <w:trPr>
          <w:trHeight w:val="344" w:hRule="atLeast"/>
        </w:trPr>
        <w:tc>
          <w:tcPr>
            <w:tcW w:w="2197" w:type="dxa"/>
            <w:shd w:val="clear" w:color="auto" w:fill="17365D"/>
          </w:tcPr>
          <w:p>
            <w:pPr>
              <w:pStyle w:val="TableParagraph"/>
              <w:spacing w:before="48"/>
              <w:ind w:left="69"/>
              <w:rPr>
                <w:sz w:val="22"/>
              </w:rPr>
            </w:pPr>
            <w:r>
              <w:rPr>
                <w:color w:val="FFFFFF"/>
                <w:sz w:val="22"/>
              </w:rPr>
              <w:t>Porcentaje</w:t>
            </w:r>
            <w:r>
              <w:rPr>
                <w:color w:val="FFFFFF"/>
                <w:spacing w:val="-8"/>
                <w:sz w:val="22"/>
              </w:rPr>
              <w:t> </w:t>
            </w:r>
            <w:r>
              <w:rPr>
                <w:color w:val="FFFFFF"/>
                <w:spacing w:val="-2"/>
                <w:sz w:val="22"/>
              </w:rPr>
              <w:t>Avance</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2"/>
                <w:sz w:val="22"/>
              </w:rPr>
              <w:t>100,00%</w:t>
            </w:r>
          </w:p>
        </w:tc>
      </w:tr>
      <w:tr>
        <w:trPr>
          <w:trHeight w:val="690" w:hRule="atLeast"/>
        </w:trPr>
        <w:tc>
          <w:tcPr>
            <w:tcW w:w="4173" w:type="dxa"/>
            <w:gridSpan w:val="2"/>
            <w:tcBorders>
              <w:left w:val="nil"/>
              <w:right w:val="nil"/>
            </w:tcBorders>
          </w:tcPr>
          <w:p>
            <w:pPr>
              <w:pStyle w:val="TableParagraph"/>
              <w:spacing w:before="135"/>
              <w:rPr>
                <w:sz w:val="22"/>
              </w:rPr>
            </w:pPr>
          </w:p>
          <w:p>
            <w:pPr>
              <w:pStyle w:val="TableParagraph"/>
              <w:spacing w:before="1"/>
              <w:ind w:left="79"/>
              <w:rPr>
                <w:sz w:val="22"/>
              </w:rPr>
            </w:pPr>
            <w:r>
              <w:rPr>
                <w:color w:val="1F3863"/>
                <w:sz w:val="22"/>
              </w:rPr>
              <w:t>NICSP</w:t>
            </w:r>
            <w:r>
              <w:rPr>
                <w:color w:val="1F3863"/>
                <w:spacing w:val="-3"/>
                <w:sz w:val="22"/>
              </w:rPr>
              <w:t> </w:t>
            </w:r>
            <w:r>
              <w:rPr>
                <w:color w:val="1F3863"/>
                <w:spacing w:val="-5"/>
                <w:sz w:val="22"/>
              </w:rPr>
              <w:t>29</w:t>
            </w:r>
          </w:p>
        </w:tc>
      </w:tr>
      <w:tr>
        <w:trPr>
          <w:trHeight w:val="344" w:hRule="atLeast"/>
        </w:trPr>
        <w:tc>
          <w:tcPr>
            <w:tcW w:w="2197" w:type="dxa"/>
            <w:shd w:val="clear" w:color="auto" w:fill="17365D"/>
          </w:tcPr>
          <w:p>
            <w:pPr>
              <w:pStyle w:val="TableParagraph"/>
              <w:spacing w:before="48"/>
              <w:ind w:left="69"/>
              <w:rPr>
                <w:sz w:val="22"/>
              </w:rPr>
            </w:pPr>
            <w:r>
              <w:rPr>
                <w:color w:val="FFFFFF"/>
                <w:spacing w:val="-2"/>
                <w:sz w:val="22"/>
              </w:rPr>
              <w:t>Aplica</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5"/>
                <w:sz w:val="22"/>
              </w:rPr>
              <w:t>Si</w:t>
            </w:r>
          </w:p>
        </w:tc>
      </w:tr>
      <w:tr>
        <w:trPr>
          <w:trHeight w:val="344" w:hRule="atLeast"/>
        </w:trPr>
        <w:tc>
          <w:tcPr>
            <w:tcW w:w="2197" w:type="dxa"/>
            <w:shd w:val="clear" w:color="auto" w:fill="17365D"/>
          </w:tcPr>
          <w:p>
            <w:pPr>
              <w:pStyle w:val="TableParagraph"/>
              <w:spacing w:before="48"/>
              <w:ind w:left="69"/>
              <w:rPr>
                <w:sz w:val="22"/>
              </w:rPr>
            </w:pPr>
            <w:r>
              <w:rPr>
                <w:color w:val="FFFFFF"/>
                <w:sz w:val="22"/>
              </w:rPr>
              <w:t>porcentaje</w:t>
            </w:r>
            <w:r>
              <w:rPr>
                <w:color w:val="FFFFFF"/>
                <w:spacing w:val="-8"/>
                <w:sz w:val="22"/>
              </w:rPr>
              <w:t> </w:t>
            </w:r>
            <w:r>
              <w:rPr>
                <w:color w:val="FFFFFF"/>
                <w:spacing w:val="-2"/>
                <w:sz w:val="22"/>
              </w:rPr>
              <w:t>Avance</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2"/>
                <w:sz w:val="22"/>
              </w:rPr>
              <w:t>100,00%</w:t>
            </w:r>
          </w:p>
        </w:tc>
      </w:tr>
      <w:tr>
        <w:trPr>
          <w:trHeight w:val="863" w:hRule="atLeast"/>
        </w:trPr>
        <w:tc>
          <w:tcPr>
            <w:tcW w:w="4173" w:type="dxa"/>
            <w:gridSpan w:val="2"/>
            <w:tcBorders>
              <w:left w:val="nil"/>
              <w:right w:val="nil"/>
            </w:tcBorders>
          </w:tcPr>
          <w:p>
            <w:pPr>
              <w:pStyle w:val="TableParagraph"/>
              <w:rPr>
                <w:sz w:val="22"/>
              </w:rPr>
            </w:pPr>
          </w:p>
          <w:p>
            <w:pPr>
              <w:pStyle w:val="TableParagraph"/>
              <w:spacing w:before="55"/>
              <w:rPr>
                <w:sz w:val="22"/>
              </w:rPr>
            </w:pPr>
          </w:p>
          <w:p>
            <w:pPr>
              <w:pStyle w:val="TableParagraph"/>
              <w:ind w:left="79"/>
              <w:rPr>
                <w:sz w:val="22"/>
              </w:rPr>
            </w:pPr>
            <w:r>
              <w:rPr>
                <w:color w:val="1F3863"/>
                <w:sz w:val="22"/>
              </w:rPr>
              <w:t>NICSP</w:t>
            </w:r>
            <w:r>
              <w:rPr>
                <w:color w:val="1F3863"/>
                <w:spacing w:val="-3"/>
                <w:sz w:val="22"/>
              </w:rPr>
              <w:t> </w:t>
            </w:r>
            <w:r>
              <w:rPr>
                <w:color w:val="1F3863"/>
                <w:spacing w:val="-5"/>
                <w:sz w:val="22"/>
              </w:rPr>
              <w:t>30</w:t>
            </w:r>
          </w:p>
        </w:tc>
      </w:tr>
      <w:tr>
        <w:trPr>
          <w:trHeight w:val="344" w:hRule="atLeast"/>
        </w:trPr>
        <w:tc>
          <w:tcPr>
            <w:tcW w:w="2197" w:type="dxa"/>
            <w:shd w:val="clear" w:color="auto" w:fill="17365D"/>
          </w:tcPr>
          <w:p>
            <w:pPr>
              <w:pStyle w:val="TableParagraph"/>
              <w:spacing w:before="45"/>
              <w:ind w:left="69"/>
              <w:rPr>
                <w:sz w:val="22"/>
              </w:rPr>
            </w:pPr>
            <w:r>
              <w:rPr>
                <w:color w:val="FFFFFF"/>
                <w:spacing w:val="-2"/>
                <w:sz w:val="22"/>
              </w:rPr>
              <w:t>Aplica</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5"/>
                <w:sz w:val="22"/>
              </w:rPr>
              <w:t>Si</w:t>
            </w:r>
          </w:p>
        </w:tc>
      </w:tr>
      <w:tr>
        <w:trPr>
          <w:trHeight w:val="344" w:hRule="atLeast"/>
        </w:trPr>
        <w:tc>
          <w:tcPr>
            <w:tcW w:w="2197" w:type="dxa"/>
            <w:shd w:val="clear" w:color="auto" w:fill="17365D"/>
          </w:tcPr>
          <w:p>
            <w:pPr>
              <w:pStyle w:val="TableParagraph"/>
              <w:spacing w:before="45"/>
              <w:ind w:left="69"/>
              <w:rPr>
                <w:sz w:val="22"/>
              </w:rPr>
            </w:pPr>
            <w:r>
              <w:rPr>
                <w:color w:val="FFFFFF"/>
                <w:sz w:val="22"/>
              </w:rPr>
              <w:t>porcentaje</w:t>
            </w:r>
            <w:r>
              <w:rPr>
                <w:color w:val="FFFFFF"/>
                <w:spacing w:val="-8"/>
                <w:sz w:val="22"/>
              </w:rPr>
              <w:t> </w:t>
            </w:r>
            <w:r>
              <w:rPr>
                <w:color w:val="FFFFFF"/>
                <w:spacing w:val="-2"/>
                <w:sz w:val="22"/>
              </w:rPr>
              <w:t>Avance</w:t>
            </w:r>
          </w:p>
        </w:tc>
        <w:tc>
          <w:tcPr>
            <w:tcW w:w="1976" w:type="dxa"/>
            <w:tcBorders>
              <w:top w:val="single" w:sz="4" w:space="0" w:color="000000"/>
              <w:bottom w:val="single" w:sz="4" w:space="0" w:color="000000"/>
              <w:right w:val="single" w:sz="4" w:space="0" w:color="000000"/>
            </w:tcBorders>
          </w:tcPr>
          <w:p>
            <w:pPr>
              <w:pStyle w:val="TableParagraph"/>
              <w:spacing w:line="231" w:lineRule="exact" w:before="93"/>
              <w:ind w:left="68"/>
              <w:rPr>
                <w:sz w:val="22"/>
              </w:rPr>
            </w:pPr>
            <w:r>
              <w:rPr>
                <w:spacing w:val="-2"/>
                <w:sz w:val="22"/>
              </w:rPr>
              <w:t>100,00%</w:t>
            </w:r>
          </w:p>
        </w:tc>
      </w:tr>
    </w:tbl>
    <w:p>
      <w:pPr>
        <w:pStyle w:val="BodyText"/>
        <w:spacing w:before="197"/>
      </w:pPr>
    </w:p>
    <w:p>
      <w:pPr>
        <w:spacing w:before="0"/>
        <w:ind w:left="734" w:right="0" w:firstLine="0"/>
        <w:jc w:val="left"/>
        <w:rPr>
          <w:b/>
          <w:sz w:val="22"/>
        </w:rPr>
      </w:pPr>
      <w:r>
        <w:rPr>
          <w:b/>
          <w:color w:val="365F92"/>
          <w:sz w:val="22"/>
        </w:rPr>
        <w:t>Activos</w:t>
      </w:r>
      <w:r>
        <w:rPr>
          <w:b/>
          <w:color w:val="365F92"/>
          <w:spacing w:val="-2"/>
          <w:sz w:val="22"/>
        </w:rPr>
        <w:t> financieros</w:t>
      </w:r>
    </w:p>
    <w:p>
      <w:pPr>
        <w:pStyle w:val="BodyText"/>
        <w:spacing w:line="259" w:lineRule="auto" w:before="158"/>
        <w:ind w:left="734" w:right="1088"/>
        <w:jc w:val="both"/>
      </w:pPr>
      <w:r>
        <w:rPr/>
        <w:t>Los activos financieros se reconocen cuando existe un derecho contractual a recibir efectivo u otro activo financiero, o a intercambiar instrumentos financieros en condiciones favorables. La entidad reconoce</w:t>
      </w:r>
      <w:r>
        <w:rPr>
          <w:spacing w:val="-9"/>
        </w:rPr>
        <w:t> </w:t>
      </w:r>
      <w:r>
        <w:rPr/>
        <w:t>como</w:t>
      </w:r>
      <w:r>
        <w:rPr>
          <w:spacing w:val="-6"/>
        </w:rPr>
        <w:t> </w:t>
      </w:r>
      <w:r>
        <w:rPr/>
        <w:t>activos</w:t>
      </w:r>
      <w:r>
        <w:rPr>
          <w:spacing w:val="-6"/>
        </w:rPr>
        <w:t> </w:t>
      </w:r>
      <w:r>
        <w:rPr/>
        <w:t>financieros,</w:t>
      </w:r>
      <w:r>
        <w:rPr>
          <w:spacing w:val="-7"/>
        </w:rPr>
        <w:t> </w:t>
      </w:r>
      <w:r>
        <w:rPr/>
        <w:t>entre</w:t>
      </w:r>
      <w:r>
        <w:rPr>
          <w:spacing w:val="-8"/>
        </w:rPr>
        <w:t> </w:t>
      </w:r>
      <w:r>
        <w:rPr/>
        <w:t>otros,</w:t>
      </w:r>
      <w:r>
        <w:rPr>
          <w:spacing w:val="-7"/>
        </w:rPr>
        <w:t> </w:t>
      </w:r>
      <w:r>
        <w:rPr/>
        <w:t>el</w:t>
      </w:r>
      <w:r>
        <w:rPr>
          <w:spacing w:val="-8"/>
        </w:rPr>
        <w:t> </w:t>
      </w:r>
      <w:r>
        <w:rPr/>
        <w:t>efectivo</w:t>
      </w:r>
      <w:r>
        <w:rPr>
          <w:spacing w:val="-6"/>
        </w:rPr>
        <w:t> </w:t>
      </w:r>
      <w:r>
        <w:rPr/>
        <w:t>y</w:t>
      </w:r>
      <w:r>
        <w:rPr>
          <w:spacing w:val="-8"/>
        </w:rPr>
        <w:t> </w:t>
      </w:r>
      <w:r>
        <w:rPr/>
        <w:t>equivalentes</w:t>
      </w:r>
      <w:r>
        <w:rPr>
          <w:spacing w:val="-7"/>
        </w:rPr>
        <w:t> </w:t>
      </w:r>
      <w:r>
        <w:rPr/>
        <w:t>de</w:t>
      </w:r>
      <w:r>
        <w:rPr>
          <w:spacing w:val="-9"/>
        </w:rPr>
        <w:t> </w:t>
      </w:r>
      <w:r>
        <w:rPr/>
        <w:t>efectivo,</w:t>
      </w:r>
      <w:r>
        <w:rPr>
          <w:spacing w:val="-7"/>
        </w:rPr>
        <w:t> </w:t>
      </w:r>
      <w:r>
        <w:rPr/>
        <w:t>las</w:t>
      </w:r>
      <w:r>
        <w:rPr>
          <w:spacing w:val="-6"/>
        </w:rPr>
        <w:t> </w:t>
      </w:r>
      <w:r>
        <w:rPr/>
        <w:t>cuentas</w:t>
      </w:r>
      <w:r>
        <w:rPr>
          <w:spacing w:val="-6"/>
        </w:rPr>
        <w:t> </w:t>
      </w:r>
      <w:r>
        <w:rPr/>
        <w:t>por cobrar y determinadas inversiones financieras.</w:t>
      </w:r>
    </w:p>
    <w:p>
      <w:pPr>
        <w:pStyle w:val="BodyText"/>
        <w:spacing w:before="18"/>
      </w:pPr>
    </w:p>
    <w:p>
      <w:pPr>
        <w:pStyle w:val="BodyText"/>
        <w:spacing w:line="259" w:lineRule="auto"/>
        <w:ind w:left="734" w:right="1001"/>
      </w:pPr>
      <w:r>
        <w:rPr/>
        <w:t>Desde</w:t>
      </w:r>
      <w:r>
        <w:rPr>
          <w:spacing w:val="-14"/>
        </w:rPr>
        <w:t> </w:t>
      </w:r>
      <w:r>
        <w:rPr/>
        <w:t>su</w:t>
      </w:r>
      <w:r>
        <w:rPr>
          <w:spacing w:val="-12"/>
        </w:rPr>
        <w:t> </w:t>
      </w:r>
      <w:r>
        <w:rPr/>
        <w:t>reconocimiento</w:t>
      </w:r>
      <w:r>
        <w:rPr>
          <w:spacing w:val="-12"/>
        </w:rPr>
        <w:t> </w:t>
      </w:r>
      <w:r>
        <w:rPr/>
        <w:t>inicial,</w:t>
      </w:r>
      <w:r>
        <w:rPr>
          <w:spacing w:val="-13"/>
        </w:rPr>
        <w:t> </w:t>
      </w:r>
      <w:r>
        <w:rPr/>
        <w:t>los</w:t>
      </w:r>
      <w:r>
        <w:rPr>
          <w:spacing w:val="-12"/>
        </w:rPr>
        <w:t> </w:t>
      </w:r>
      <w:r>
        <w:rPr/>
        <w:t>activos</w:t>
      </w:r>
      <w:r>
        <w:rPr>
          <w:spacing w:val="-14"/>
        </w:rPr>
        <w:t> </w:t>
      </w:r>
      <w:r>
        <w:rPr/>
        <w:t>financieros</w:t>
      </w:r>
      <w:r>
        <w:rPr>
          <w:spacing w:val="-11"/>
        </w:rPr>
        <w:t> </w:t>
      </w:r>
      <w:r>
        <w:rPr/>
        <w:t>se</w:t>
      </w:r>
      <w:r>
        <w:rPr>
          <w:spacing w:val="-14"/>
        </w:rPr>
        <w:t> </w:t>
      </w:r>
      <w:r>
        <w:rPr/>
        <w:t>clasifican,</w:t>
      </w:r>
      <w:r>
        <w:rPr>
          <w:spacing w:val="-12"/>
        </w:rPr>
        <w:t> </w:t>
      </w:r>
      <w:r>
        <w:rPr/>
        <w:t>según</w:t>
      </w:r>
      <w:r>
        <w:rPr>
          <w:spacing w:val="-14"/>
        </w:rPr>
        <w:t> </w:t>
      </w:r>
      <w:r>
        <w:rPr/>
        <w:t>su</w:t>
      </w:r>
      <w:r>
        <w:rPr>
          <w:spacing w:val="-12"/>
        </w:rPr>
        <w:t> </w:t>
      </w:r>
      <w:r>
        <w:rPr/>
        <w:t>naturaleza</w:t>
      </w:r>
      <w:r>
        <w:rPr>
          <w:spacing w:val="-13"/>
        </w:rPr>
        <w:t> </w:t>
      </w:r>
      <w:r>
        <w:rPr/>
        <w:t>y</w:t>
      </w:r>
      <w:r>
        <w:rPr>
          <w:spacing w:val="-14"/>
        </w:rPr>
        <w:t> </w:t>
      </w:r>
      <w:r>
        <w:rPr/>
        <w:t>propósito, en las siguientes categorías:</w:t>
      </w:r>
    </w:p>
    <w:p>
      <w:pPr>
        <w:pStyle w:val="BodyText"/>
        <w:spacing w:line="259" w:lineRule="auto"/>
        <w:ind w:left="734" w:right="3682"/>
      </w:pPr>
      <w:r>
        <w:rPr/>
        <w:t>Activos</w:t>
      </w:r>
      <w:r>
        <w:rPr>
          <w:spacing w:val="-4"/>
        </w:rPr>
        <w:t> </w:t>
      </w:r>
      <w:r>
        <w:rPr/>
        <w:t>financieros</w:t>
      </w:r>
      <w:r>
        <w:rPr>
          <w:spacing w:val="-4"/>
        </w:rPr>
        <w:t> </w:t>
      </w:r>
      <w:r>
        <w:rPr/>
        <w:t>a</w:t>
      </w:r>
      <w:r>
        <w:rPr>
          <w:spacing w:val="-6"/>
        </w:rPr>
        <w:t> </w:t>
      </w:r>
      <w:r>
        <w:rPr/>
        <w:t>valor</w:t>
      </w:r>
      <w:r>
        <w:rPr>
          <w:spacing w:val="-5"/>
        </w:rPr>
        <w:t> </w:t>
      </w:r>
      <w:r>
        <w:rPr/>
        <w:t>razonable</w:t>
      </w:r>
      <w:r>
        <w:rPr>
          <w:spacing w:val="-7"/>
        </w:rPr>
        <w:t> </w:t>
      </w:r>
      <w:r>
        <w:rPr/>
        <w:t>con</w:t>
      </w:r>
      <w:r>
        <w:rPr>
          <w:spacing w:val="-5"/>
        </w:rPr>
        <w:t> </w:t>
      </w:r>
      <w:r>
        <w:rPr/>
        <w:t>cambios</w:t>
      </w:r>
      <w:r>
        <w:rPr>
          <w:spacing w:val="-4"/>
        </w:rPr>
        <w:t> </w:t>
      </w:r>
      <w:r>
        <w:rPr/>
        <w:t>en</w:t>
      </w:r>
      <w:r>
        <w:rPr>
          <w:spacing w:val="-5"/>
        </w:rPr>
        <w:t> </w:t>
      </w:r>
      <w:r>
        <w:rPr/>
        <w:t>resultados Préstamos y partidas por cobrar</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0848">
                <wp:simplePos x="0" y="0"/>
                <wp:positionH relativeFrom="page">
                  <wp:posOffset>9525</wp:posOffset>
                </wp:positionH>
                <wp:positionV relativeFrom="page">
                  <wp:posOffset>297208</wp:posOffset>
                </wp:positionV>
                <wp:extent cx="7762875" cy="9748520"/>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7762875" cy="9748520"/>
                          <a:chExt cx="7762875" cy="9748520"/>
                        </a:xfrm>
                      </wpg:grpSpPr>
                      <pic:pic>
                        <pic:nvPicPr>
                          <pic:cNvPr id="128" name="Image 128"/>
                          <pic:cNvPicPr/>
                        </pic:nvPicPr>
                        <pic:blipFill>
                          <a:blip r:embed="rId5" cstate="print"/>
                          <a:stretch>
                            <a:fillRect/>
                          </a:stretch>
                        </pic:blipFill>
                        <pic:spPr>
                          <a:xfrm>
                            <a:off x="0" y="0"/>
                            <a:ext cx="7762874" cy="9748489"/>
                          </a:xfrm>
                          <a:prstGeom prst="rect">
                            <a:avLst/>
                          </a:prstGeom>
                        </pic:spPr>
                      </pic:pic>
                      <wps:wsp>
                        <wps:cNvPr id="129" name="Graphic 129"/>
                        <wps:cNvSpPr/>
                        <wps:spPr>
                          <a:xfrm>
                            <a:off x="1053007" y="990837"/>
                            <a:ext cx="5649595" cy="7706359"/>
                          </a:xfrm>
                          <a:custGeom>
                            <a:avLst/>
                            <a:gdLst/>
                            <a:ahLst/>
                            <a:cxnLst/>
                            <a:rect l="l" t="t" r="r" b="b"/>
                            <a:pathLst>
                              <a:path w="5649595" h="7706359">
                                <a:moveTo>
                                  <a:pt x="24384" y="132651"/>
                                </a:moveTo>
                                <a:lnTo>
                                  <a:pt x="18288" y="132651"/>
                                </a:lnTo>
                                <a:lnTo>
                                  <a:pt x="18288" y="7700200"/>
                                </a:lnTo>
                                <a:lnTo>
                                  <a:pt x="24384" y="7700200"/>
                                </a:lnTo>
                                <a:lnTo>
                                  <a:pt x="24384" y="132651"/>
                                </a:lnTo>
                                <a:close/>
                              </a:path>
                              <a:path w="5649595" h="7706359">
                                <a:moveTo>
                                  <a:pt x="5630862" y="7700213"/>
                                </a:moveTo>
                                <a:lnTo>
                                  <a:pt x="5624830" y="7700213"/>
                                </a:lnTo>
                                <a:lnTo>
                                  <a:pt x="24384" y="7700213"/>
                                </a:lnTo>
                                <a:lnTo>
                                  <a:pt x="18288" y="7700213"/>
                                </a:lnTo>
                                <a:lnTo>
                                  <a:pt x="18288" y="7706296"/>
                                </a:lnTo>
                                <a:lnTo>
                                  <a:pt x="24384" y="7706296"/>
                                </a:lnTo>
                                <a:lnTo>
                                  <a:pt x="5624779" y="7706296"/>
                                </a:lnTo>
                                <a:lnTo>
                                  <a:pt x="5630862" y="7706296"/>
                                </a:lnTo>
                                <a:lnTo>
                                  <a:pt x="5630862" y="7700213"/>
                                </a:lnTo>
                                <a:close/>
                              </a:path>
                              <a:path w="5649595" h="7706359">
                                <a:moveTo>
                                  <a:pt x="5630862" y="132651"/>
                                </a:moveTo>
                                <a:lnTo>
                                  <a:pt x="5624779" y="132651"/>
                                </a:lnTo>
                                <a:lnTo>
                                  <a:pt x="5624779" y="7700200"/>
                                </a:lnTo>
                                <a:lnTo>
                                  <a:pt x="5630862" y="7700200"/>
                                </a:lnTo>
                                <a:lnTo>
                                  <a:pt x="5630862" y="132651"/>
                                </a:lnTo>
                                <a:close/>
                              </a:path>
                              <a:path w="5649595" h="7706359">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70635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5632" id="docshapegroup126" coordorigin="15,468" coordsize="12225,15352">
                <v:shape style="position:absolute;left:15;top:468;width:12225;height:15352" type="#_x0000_t75" id="docshape127" stroked="false">
                  <v:imagedata r:id="rId5" o:title=""/>
                </v:shape>
                <v:shape style="position:absolute;left:1673;top:2028;width:8897;height:12136" id="docshape128" coordorigin="1673,2028" coordsize="8897,12136" path="m1712,2237l1702,2237,1702,14155,1712,14155,1712,2237xm10541,14155l10531,14155,10531,14155,1712,14155,1702,14155,1702,14164,1712,14164,10531,14164,10531,14164,10541,14164,10541,14155xm10541,2237l10531,2237,10531,14155,10541,14155,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37</w:t>
      </w:r>
    </w:p>
    <w:p>
      <w:pPr>
        <w:pStyle w:val="BodyText"/>
        <w:spacing w:before="247"/>
      </w:pPr>
    </w:p>
    <w:p>
      <w:pPr>
        <w:pStyle w:val="BodyText"/>
        <w:spacing w:line="259" w:lineRule="auto" w:before="1"/>
        <w:ind w:left="734" w:right="1088"/>
        <w:jc w:val="both"/>
      </w:pPr>
      <w:r>
        <w:rPr/>
        <w:t>La</w:t>
      </w:r>
      <w:r>
        <w:rPr>
          <w:spacing w:val="-14"/>
        </w:rPr>
        <w:t> </w:t>
      </w:r>
      <w:r>
        <w:rPr/>
        <w:t>clasificación</w:t>
      </w:r>
      <w:r>
        <w:rPr>
          <w:spacing w:val="-13"/>
        </w:rPr>
        <w:t> </w:t>
      </w:r>
      <w:r>
        <w:rPr/>
        <w:t>se</w:t>
      </w:r>
      <w:r>
        <w:rPr>
          <w:spacing w:val="-14"/>
        </w:rPr>
        <w:t> </w:t>
      </w:r>
      <w:r>
        <w:rPr/>
        <w:t>realiza</w:t>
      </w:r>
      <w:r>
        <w:rPr>
          <w:spacing w:val="-13"/>
        </w:rPr>
        <w:t> </w:t>
      </w:r>
      <w:r>
        <w:rPr/>
        <w:t>considerando</w:t>
      </w:r>
      <w:r>
        <w:rPr>
          <w:spacing w:val="-12"/>
        </w:rPr>
        <w:t> </w:t>
      </w:r>
      <w:r>
        <w:rPr/>
        <w:t>la</w:t>
      </w:r>
      <w:r>
        <w:rPr>
          <w:spacing w:val="-14"/>
        </w:rPr>
        <w:t> </w:t>
      </w:r>
      <w:r>
        <w:rPr/>
        <w:t>intención</w:t>
      </w:r>
      <w:r>
        <w:rPr>
          <w:spacing w:val="-13"/>
        </w:rPr>
        <w:t> </w:t>
      </w:r>
      <w:r>
        <w:rPr/>
        <w:t>de</w:t>
      </w:r>
      <w:r>
        <w:rPr>
          <w:spacing w:val="-14"/>
        </w:rPr>
        <w:t> </w:t>
      </w:r>
      <w:r>
        <w:rPr/>
        <w:t>la</w:t>
      </w:r>
      <w:r>
        <w:rPr>
          <w:spacing w:val="-13"/>
        </w:rPr>
        <w:t> </w:t>
      </w:r>
      <w:r>
        <w:rPr/>
        <w:t>administración,</w:t>
      </w:r>
      <w:r>
        <w:rPr>
          <w:spacing w:val="-13"/>
        </w:rPr>
        <w:t> </w:t>
      </w:r>
      <w:r>
        <w:rPr/>
        <w:t>la</w:t>
      </w:r>
      <w:r>
        <w:rPr>
          <w:spacing w:val="-14"/>
        </w:rPr>
        <w:t> </w:t>
      </w:r>
      <w:r>
        <w:rPr/>
        <w:t>capacidad</w:t>
      </w:r>
      <w:r>
        <w:rPr>
          <w:spacing w:val="-13"/>
        </w:rPr>
        <w:t> </w:t>
      </w:r>
      <w:r>
        <w:rPr/>
        <w:t>operativa</w:t>
      </w:r>
      <w:r>
        <w:rPr>
          <w:spacing w:val="-14"/>
        </w:rPr>
        <w:t> </w:t>
      </w:r>
      <w:r>
        <w:rPr/>
        <w:t>para mantener los instrumentos y las características contractuales de los flujos de efectivo</w:t>
      </w:r>
    </w:p>
    <w:p>
      <w:pPr>
        <w:pStyle w:val="BodyText"/>
        <w:spacing w:line="259" w:lineRule="auto"/>
        <w:ind w:left="734" w:right="1091"/>
        <w:jc w:val="both"/>
      </w:pPr>
      <w:r>
        <w:rPr/>
        <w:t>Para</w:t>
      </w:r>
      <w:r>
        <w:rPr>
          <w:spacing w:val="-7"/>
        </w:rPr>
        <w:t> </w:t>
      </w:r>
      <w:r>
        <w:rPr/>
        <w:t>el</w:t>
      </w:r>
      <w:r>
        <w:rPr>
          <w:spacing w:val="-7"/>
        </w:rPr>
        <w:t> </w:t>
      </w:r>
      <w:r>
        <w:rPr/>
        <w:t>reconocimiento</w:t>
      </w:r>
      <w:r>
        <w:rPr>
          <w:spacing w:val="-5"/>
        </w:rPr>
        <w:t> </w:t>
      </w:r>
      <w:r>
        <w:rPr/>
        <w:t>inicial</w:t>
      </w:r>
      <w:r>
        <w:rPr>
          <w:spacing w:val="-7"/>
        </w:rPr>
        <w:t> </w:t>
      </w:r>
      <w:r>
        <w:rPr/>
        <w:t>la</w:t>
      </w:r>
      <w:r>
        <w:rPr>
          <w:spacing w:val="-5"/>
        </w:rPr>
        <w:t> </w:t>
      </w:r>
      <w:r>
        <w:rPr/>
        <w:t>Norma</w:t>
      </w:r>
      <w:r>
        <w:rPr>
          <w:spacing w:val="-7"/>
        </w:rPr>
        <w:t> </w:t>
      </w:r>
      <w:r>
        <w:rPr/>
        <w:t>establece</w:t>
      </w:r>
      <w:r>
        <w:rPr>
          <w:spacing w:val="-8"/>
        </w:rPr>
        <w:t> </w:t>
      </w:r>
      <w:r>
        <w:rPr/>
        <w:t>que,</w:t>
      </w:r>
      <w:r>
        <w:rPr>
          <w:spacing w:val="-6"/>
        </w:rPr>
        <w:t> </w:t>
      </w:r>
      <w:r>
        <w:rPr/>
        <w:t>un</w:t>
      </w:r>
      <w:r>
        <w:rPr>
          <w:spacing w:val="-6"/>
        </w:rPr>
        <w:t> </w:t>
      </w:r>
      <w:r>
        <w:rPr/>
        <w:t>activo</w:t>
      </w:r>
      <w:r>
        <w:rPr>
          <w:spacing w:val="-5"/>
        </w:rPr>
        <w:t> </w:t>
      </w:r>
      <w:r>
        <w:rPr/>
        <w:t>financiero</w:t>
      </w:r>
      <w:r>
        <w:rPr>
          <w:spacing w:val="-5"/>
        </w:rPr>
        <w:t> </w:t>
      </w:r>
      <w:r>
        <w:rPr/>
        <w:t>se</w:t>
      </w:r>
      <w:r>
        <w:rPr>
          <w:spacing w:val="-7"/>
        </w:rPr>
        <w:t> </w:t>
      </w:r>
      <w:r>
        <w:rPr/>
        <w:t>reconocerá</w:t>
      </w:r>
      <w:r>
        <w:rPr>
          <w:spacing w:val="-7"/>
        </w:rPr>
        <w:t> </w:t>
      </w:r>
      <w:r>
        <w:rPr/>
        <w:t>en</w:t>
      </w:r>
      <w:r>
        <w:rPr>
          <w:spacing w:val="-6"/>
        </w:rPr>
        <w:t> </w:t>
      </w:r>
      <w:r>
        <w:rPr/>
        <w:t>el</w:t>
      </w:r>
      <w:r>
        <w:rPr>
          <w:spacing w:val="-5"/>
        </w:rPr>
        <w:t> </w:t>
      </w:r>
      <w:r>
        <w:rPr/>
        <w:t>ESF sólo cuando la entidad se convierta en parte obligada, según las cláusulas contractuales del instrumento en cuestión.</w:t>
      </w:r>
    </w:p>
    <w:p>
      <w:pPr>
        <w:pStyle w:val="BodyText"/>
        <w:spacing w:before="18"/>
      </w:pPr>
    </w:p>
    <w:p>
      <w:pPr>
        <w:pStyle w:val="BodyText"/>
        <w:ind w:left="734"/>
        <w:jc w:val="both"/>
      </w:pPr>
      <w:r>
        <w:rPr/>
        <w:t>El</w:t>
      </w:r>
      <w:r>
        <w:rPr>
          <w:spacing w:val="-4"/>
        </w:rPr>
        <w:t> </w:t>
      </w:r>
      <w:r>
        <w:rPr/>
        <w:t>IMAS</w:t>
      </w:r>
      <w:r>
        <w:rPr>
          <w:spacing w:val="-3"/>
        </w:rPr>
        <w:t> </w:t>
      </w:r>
      <w:r>
        <w:rPr/>
        <w:t>aplica</w:t>
      </w:r>
      <w:r>
        <w:rPr>
          <w:spacing w:val="-4"/>
        </w:rPr>
        <w:t> </w:t>
      </w:r>
      <w:r>
        <w:rPr/>
        <w:t>la</w:t>
      </w:r>
      <w:r>
        <w:rPr>
          <w:spacing w:val="-6"/>
        </w:rPr>
        <w:t> </w:t>
      </w:r>
      <w:r>
        <w:rPr/>
        <w:t>política</w:t>
      </w:r>
      <w:r>
        <w:rPr>
          <w:spacing w:val="-4"/>
        </w:rPr>
        <w:t> </w:t>
      </w:r>
      <w:r>
        <w:rPr/>
        <w:t>contable</w:t>
      </w:r>
      <w:r>
        <w:rPr>
          <w:spacing w:val="-5"/>
        </w:rPr>
        <w:t> </w:t>
      </w:r>
      <w:r>
        <w:rPr/>
        <w:t>general</w:t>
      </w:r>
      <w:r>
        <w:rPr>
          <w:spacing w:val="-3"/>
        </w:rPr>
        <w:t> </w:t>
      </w:r>
      <w:r>
        <w:rPr>
          <w:spacing w:val="-4"/>
        </w:rPr>
        <w:t>1.49:</w:t>
      </w:r>
    </w:p>
    <w:p>
      <w:pPr>
        <w:spacing w:line="247" w:lineRule="auto" w:before="12"/>
        <w:ind w:left="734" w:right="1089" w:firstLine="0"/>
        <w:jc w:val="both"/>
        <w:rPr>
          <w:i/>
          <w:sz w:val="23"/>
        </w:rPr>
      </w:pPr>
      <w:r>
        <w:rPr>
          <w:i/>
          <w:spacing w:val="-2"/>
          <w:sz w:val="23"/>
        </w:rPr>
        <w:t>“…en</w:t>
      </w:r>
      <w:r>
        <w:rPr>
          <w:i/>
          <w:spacing w:val="-12"/>
          <w:sz w:val="23"/>
        </w:rPr>
        <w:t> </w:t>
      </w:r>
      <w:r>
        <w:rPr>
          <w:b/>
          <w:i/>
          <w:spacing w:val="-2"/>
          <w:sz w:val="23"/>
        </w:rPr>
        <w:t>la</w:t>
      </w:r>
      <w:r>
        <w:rPr>
          <w:b/>
          <w:i/>
          <w:spacing w:val="-11"/>
          <w:sz w:val="23"/>
        </w:rPr>
        <w:t> </w:t>
      </w:r>
      <w:r>
        <w:rPr>
          <w:b/>
          <w:i/>
          <w:spacing w:val="-2"/>
          <w:sz w:val="23"/>
        </w:rPr>
        <w:t>generalidad</w:t>
      </w:r>
      <w:r>
        <w:rPr>
          <w:b/>
          <w:i/>
          <w:spacing w:val="-13"/>
          <w:sz w:val="23"/>
        </w:rPr>
        <w:t> </w:t>
      </w:r>
      <w:r>
        <w:rPr>
          <w:b/>
          <w:i/>
          <w:spacing w:val="-2"/>
          <w:sz w:val="23"/>
        </w:rPr>
        <w:t>de</w:t>
      </w:r>
      <w:r>
        <w:rPr>
          <w:b/>
          <w:i/>
          <w:spacing w:val="-11"/>
          <w:sz w:val="23"/>
        </w:rPr>
        <w:t> </w:t>
      </w:r>
      <w:r>
        <w:rPr>
          <w:b/>
          <w:i/>
          <w:spacing w:val="-2"/>
          <w:sz w:val="23"/>
        </w:rPr>
        <w:t>los</w:t>
      </w:r>
      <w:r>
        <w:rPr>
          <w:b/>
          <w:i/>
          <w:spacing w:val="-11"/>
          <w:sz w:val="23"/>
        </w:rPr>
        <w:t> </w:t>
      </w:r>
      <w:r>
        <w:rPr>
          <w:b/>
          <w:i/>
          <w:spacing w:val="-2"/>
          <w:sz w:val="23"/>
        </w:rPr>
        <w:t>casos</w:t>
      </w:r>
      <w:r>
        <w:rPr>
          <w:i/>
          <w:spacing w:val="-2"/>
          <w:sz w:val="23"/>
        </w:rPr>
        <w:t>,</w:t>
      </w:r>
      <w:r>
        <w:rPr>
          <w:i/>
          <w:spacing w:val="-12"/>
          <w:sz w:val="23"/>
        </w:rPr>
        <w:t> </w:t>
      </w:r>
      <w:r>
        <w:rPr>
          <w:i/>
          <w:spacing w:val="-2"/>
          <w:sz w:val="23"/>
        </w:rPr>
        <w:t>la</w:t>
      </w:r>
      <w:r>
        <w:rPr>
          <w:i/>
          <w:spacing w:val="-13"/>
          <w:sz w:val="23"/>
        </w:rPr>
        <w:t> </w:t>
      </w:r>
      <w:r>
        <w:rPr>
          <w:i/>
          <w:spacing w:val="-2"/>
          <w:sz w:val="23"/>
        </w:rPr>
        <w:t>medición</w:t>
      </w:r>
      <w:r>
        <w:rPr>
          <w:i/>
          <w:spacing w:val="-11"/>
          <w:sz w:val="23"/>
        </w:rPr>
        <w:t> </w:t>
      </w:r>
      <w:r>
        <w:rPr>
          <w:i/>
          <w:spacing w:val="-2"/>
          <w:sz w:val="23"/>
        </w:rPr>
        <w:t>contable</w:t>
      </w:r>
      <w:r>
        <w:rPr>
          <w:i/>
          <w:spacing w:val="-13"/>
          <w:sz w:val="23"/>
        </w:rPr>
        <w:t> </w:t>
      </w:r>
      <w:r>
        <w:rPr>
          <w:i/>
          <w:spacing w:val="-2"/>
          <w:sz w:val="23"/>
        </w:rPr>
        <w:t>inicial</w:t>
      </w:r>
      <w:r>
        <w:rPr>
          <w:i/>
          <w:spacing w:val="-12"/>
          <w:sz w:val="23"/>
        </w:rPr>
        <w:t> </w:t>
      </w:r>
      <w:r>
        <w:rPr>
          <w:i/>
          <w:spacing w:val="-2"/>
          <w:sz w:val="23"/>
        </w:rPr>
        <w:t>de</w:t>
      </w:r>
      <w:r>
        <w:rPr>
          <w:i/>
          <w:spacing w:val="-13"/>
          <w:sz w:val="23"/>
        </w:rPr>
        <w:t> </w:t>
      </w:r>
      <w:r>
        <w:rPr>
          <w:i/>
          <w:spacing w:val="-2"/>
          <w:sz w:val="23"/>
        </w:rPr>
        <w:t>una</w:t>
      </w:r>
      <w:r>
        <w:rPr>
          <w:i/>
          <w:spacing w:val="-12"/>
          <w:sz w:val="23"/>
        </w:rPr>
        <w:t> </w:t>
      </w:r>
      <w:r>
        <w:rPr>
          <w:i/>
          <w:spacing w:val="-2"/>
          <w:sz w:val="23"/>
        </w:rPr>
        <w:t>cuenta</w:t>
      </w:r>
      <w:r>
        <w:rPr>
          <w:i/>
          <w:spacing w:val="-10"/>
          <w:sz w:val="23"/>
        </w:rPr>
        <w:t> </w:t>
      </w:r>
      <w:r>
        <w:rPr>
          <w:i/>
          <w:spacing w:val="-2"/>
          <w:sz w:val="23"/>
        </w:rPr>
        <w:t>por</w:t>
      </w:r>
      <w:r>
        <w:rPr>
          <w:i/>
          <w:spacing w:val="-12"/>
          <w:sz w:val="23"/>
        </w:rPr>
        <w:t> </w:t>
      </w:r>
      <w:r>
        <w:rPr>
          <w:i/>
          <w:spacing w:val="-2"/>
          <w:sz w:val="23"/>
        </w:rPr>
        <w:t>cobrar</w:t>
      </w:r>
      <w:r>
        <w:rPr>
          <w:i/>
          <w:spacing w:val="-13"/>
          <w:sz w:val="23"/>
        </w:rPr>
        <w:t> </w:t>
      </w:r>
      <w:r>
        <w:rPr>
          <w:i/>
          <w:spacing w:val="-2"/>
          <w:sz w:val="23"/>
        </w:rPr>
        <w:t>será</w:t>
      </w:r>
      <w:r>
        <w:rPr>
          <w:i/>
          <w:spacing w:val="-12"/>
          <w:sz w:val="23"/>
        </w:rPr>
        <w:t> </w:t>
      </w:r>
      <w:r>
        <w:rPr>
          <w:i/>
          <w:spacing w:val="-2"/>
          <w:sz w:val="23"/>
        </w:rPr>
        <w:t>por</w:t>
      </w:r>
      <w:r>
        <w:rPr>
          <w:i/>
          <w:spacing w:val="-11"/>
          <w:sz w:val="23"/>
        </w:rPr>
        <w:t> </w:t>
      </w:r>
      <w:r>
        <w:rPr>
          <w:i/>
          <w:spacing w:val="-2"/>
          <w:sz w:val="23"/>
        </w:rPr>
        <w:t>su </w:t>
      </w:r>
      <w:r>
        <w:rPr>
          <w:b/>
          <w:i/>
          <w:sz w:val="23"/>
        </w:rPr>
        <w:t>valor razonable </w:t>
      </w:r>
      <w:r>
        <w:rPr>
          <w:i/>
          <w:sz w:val="23"/>
        </w:rPr>
        <w:t>en la fecha de contratación. En todos los casos debe considerarse la realidad económica subyacente en las operaciones, por lo cual los componentes financieros implícitos </w:t>
      </w:r>
      <w:r>
        <w:rPr>
          <w:i/>
          <w:spacing w:val="-2"/>
          <w:sz w:val="23"/>
        </w:rPr>
        <w:t>incluidos</w:t>
      </w:r>
      <w:r>
        <w:rPr>
          <w:i/>
          <w:spacing w:val="-13"/>
          <w:sz w:val="23"/>
        </w:rPr>
        <w:t> </w:t>
      </w:r>
      <w:r>
        <w:rPr>
          <w:i/>
          <w:spacing w:val="-2"/>
          <w:sz w:val="23"/>
        </w:rPr>
        <w:t>en</w:t>
      </w:r>
      <w:r>
        <w:rPr>
          <w:i/>
          <w:spacing w:val="-12"/>
          <w:sz w:val="23"/>
        </w:rPr>
        <w:t> </w:t>
      </w:r>
      <w:r>
        <w:rPr>
          <w:i/>
          <w:spacing w:val="-2"/>
          <w:sz w:val="23"/>
        </w:rPr>
        <w:t>las</w:t>
      </w:r>
      <w:r>
        <w:rPr>
          <w:i/>
          <w:spacing w:val="-13"/>
          <w:sz w:val="23"/>
        </w:rPr>
        <w:t> </w:t>
      </w:r>
      <w:r>
        <w:rPr>
          <w:i/>
          <w:spacing w:val="-2"/>
          <w:sz w:val="23"/>
        </w:rPr>
        <w:t>sumas</w:t>
      </w:r>
      <w:r>
        <w:rPr>
          <w:i/>
          <w:spacing w:val="-12"/>
          <w:sz w:val="23"/>
        </w:rPr>
        <w:t> </w:t>
      </w:r>
      <w:r>
        <w:rPr>
          <w:i/>
          <w:spacing w:val="-2"/>
          <w:sz w:val="23"/>
        </w:rPr>
        <w:t>a</w:t>
      </w:r>
      <w:r>
        <w:rPr>
          <w:i/>
          <w:spacing w:val="-12"/>
          <w:sz w:val="23"/>
        </w:rPr>
        <w:t> </w:t>
      </w:r>
      <w:r>
        <w:rPr>
          <w:i/>
          <w:spacing w:val="-2"/>
          <w:sz w:val="23"/>
        </w:rPr>
        <w:t>cobrar</w:t>
      </w:r>
      <w:r>
        <w:rPr>
          <w:i/>
          <w:spacing w:val="-13"/>
          <w:sz w:val="23"/>
        </w:rPr>
        <w:t> </w:t>
      </w:r>
      <w:r>
        <w:rPr>
          <w:i/>
          <w:spacing w:val="-2"/>
          <w:sz w:val="23"/>
        </w:rPr>
        <w:t>deben</w:t>
      </w:r>
      <w:r>
        <w:rPr>
          <w:i/>
          <w:spacing w:val="-12"/>
          <w:sz w:val="23"/>
        </w:rPr>
        <w:t> </w:t>
      </w:r>
      <w:r>
        <w:rPr>
          <w:i/>
          <w:spacing w:val="-2"/>
          <w:sz w:val="23"/>
        </w:rPr>
        <w:t>tener</w:t>
      </w:r>
      <w:r>
        <w:rPr>
          <w:i/>
          <w:spacing w:val="-12"/>
          <w:sz w:val="23"/>
        </w:rPr>
        <w:t> </w:t>
      </w:r>
      <w:r>
        <w:rPr>
          <w:i/>
          <w:spacing w:val="-2"/>
          <w:sz w:val="23"/>
        </w:rPr>
        <w:t>el</w:t>
      </w:r>
      <w:r>
        <w:rPr>
          <w:i/>
          <w:spacing w:val="-13"/>
          <w:sz w:val="23"/>
        </w:rPr>
        <w:t> </w:t>
      </w:r>
      <w:r>
        <w:rPr>
          <w:i/>
          <w:spacing w:val="-2"/>
          <w:sz w:val="23"/>
        </w:rPr>
        <w:t>mismo</w:t>
      </w:r>
      <w:r>
        <w:rPr>
          <w:i/>
          <w:spacing w:val="-12"/>
          <w:sz w:val="23"/>
        </w:rPr>
        <w:t> </w:t>
      </w:r>
      <w:r>
        <w:rPr>
          <w:i/>
          <w:spacing w:val="-2"/>
          <w:sz w:val="23"/>
        </w:rPr>
        <w:t>tratamiento</w:t>
      </w:r>
      <w:r>
        <w:rPr>
          <w:i/>
          <w:spacing w:val="-13"/>
          <w:sz w:val="23"/>
        </w:rPr>
        <w:t> </w:t>
      </w:r>
      <w:r>
        <w:rPr>
          <w:i/>
          <w:spacing w:val="-2"/>
          <w:sz w:val="23"/>
        </w:rPr>
        <w:t>que</w:t>
      </w:r>
      <w:r>
        <w:rPr>
          <w:i/>
          <w:spacing w:val="-12"/>
          <w:sz w:val="23"/>
        </w:rPr>
        <w:t> </w:t>
      </w:r>
      <w:r>
        <w:rPr>
          <w:i/>
          <w:spacing w:val="-2"/>
          <w:sz w:val="23"/>
        </w:rPr>
        <w:t>el</w:t>
      </w:r>
      <w:r>
        <w:rPr>
          <w:i/>
          <w:spacing w:val="-12"/>
          <w:sz w:val="23"/>
        </w:rPr>
        <w:t> </w:t>
      </w:r>
      <w:r>
        <w:rPr>
          <w:i/>
          <w:spacing w:val="-2"/>
          <w:sz w:val="23"/>
        </w:rPr>
        <w:t>principal,</w:t>
      </w:r>
      <w:r>
        <w:rPr>
          <w:i/>
          <w:spacing w:val="-13"/>
          <w:sz w:val="23"/>
        </w:rPr>
        <w:t> </w:t>
      </w:r>
      <w:r>
        <w:rPr>
          <w:i/>
          <w:spacing w:val="-2"/>
          <w:sz w:val="23"/>
        </w:rPr>
        <w:t>más</w:t>
      </w:r>
      <w:r>
        <w:rPr>
          <w:i/>
          <w:spacing w:val="-10"/>
          <w:sz w:val="23"/>
        </w:rPr>
        <w:t> </w:t>
      </w:r>
      <w:r>
        <w:rPr>
          <w:i/>
          <w:spacing w:val="-2"/>
          <w:sz w:val="23"/>
        </w:rPr>
        <w:t>allá</w:t>
      </w:r>
      <w:r>
        <w:rPr>
          <w:i/>
          <w:spacing w:val="-13"/>
          <w:sz w:val="23"/>
        </w:rPr>
        <w:t> </w:t>
      </w:r>
      <w:r>
        <w:rPr>
          <w:i/>
          <w:spacing w:val="-2"/>
          <w:sz w:val="23"/>
        </w:rPr>
        <w:t>de</w:t>
      </w:r>
      <w:r>
        <w:rPr>
          <w:i/>
          <w:spacing w:val="-12"/>
          <w:sz w:val="23"/>
        </w:rPr>
        <w:t> </w:t>
      </w:r>
      <w:r>
        <w:rPr>
          <w:i/>
          <w:spacing w:val="-2"/>
          <w:sz w:val="23"/>
        </w:rPr>
        <w:t>que </w:t>
      </w:r>
      <w:r>
        <w:rPr>
          <w:i/>
          <w:sz w:val="23"/>
        </w:rPr>
        <w:t>el</w:t>
      </w:r>
      <w:r>
        <w:rPr>
          <w:i/>
          <w:spacing w:val="-8"/>
          <w:sz w:val="23"/>
        </w:rPr>
        <w:t> </w:t>
      </w:r>
      <w:r>
        <w:rPr>
          <w:i/>
          <w:sz w:val="23"/>
        </w:rPr>
        <w:t>interés</w:t>
      </w:r>
      <w:r>
        <w:rPr>
          <w:i/>
          <w:spacing w:val="-7"/>
          <w:sz w:val="23"/>
        </w:rPr>
        <w:t> </w:t>
      </w:r>
      <w:r>
        <w:rPr>
          <w:i/>
          <w:sz w:val="23"/>
        </w:rPr>
        <w:t>se</w:t>
      </w:r>
      <w:r>
        <w:rPr>
          <w:i/>
          <w:spacing w:val="-9"/>
          <w:sz w:val="23"/>
        </w:rPr>
        <w:t> </w:t>
      </w:r>
      <w:r>
        <w:rPr>
          <w:i/>
          <w:sz w:val="23"/>
        </w:rPr>
        <w:t>liquide</w:t>
      </w:r>
      <w:r>
        <w:rPr>
          <w:i/>
          <w:spacing w:val="-9"/>
          <w:sz w:val="23"/>
        </w:rPr>
        <w:t> </w:t>
      </w:r>
      <w:r>
        <w:rPr>
          <w:i/>
          <w:sz w:val="23"/>
        </w:rPr>
        <w:t>en</w:t>
      </w:r>
      <w:r>
        <w:rPr>
          <w:i/>
          <w:spacing w:val="-8"/>
          <w:sz w:val="23"/>
        </w:rPr>
        <w:t> </w:t>
      </w:r>
      <w:r>
        <w:rPr>
          <w:i/>
          <w:sz w:val="23"/>
        </w:rPr>
        <w:t>forma</w:t>
      </w:r>
      <w:r>
        <w:rPr>
          <w:i/>
          <w:spacing w:val="-8"/>
          <w:sz w:val="23"/>
        </w:rPr>
        <w:t> </w:t>
      </w:r>
      <w:r>
        <w:rPr>
          <w:i/>
          <w:sz w:val="23"/>
        </w:rPr>
        <w:t>anticipada</w:t>
      </w:r>
      <w:r>
        <w:rPr>
          <w:i/>
          <w:spacing w:val="-9"/>
          <w:sz w:val="23"/>
        </w:rPr>
        <w:t> </w:t>
      </w:r>
      <w:r>
        <w:rPr>
          <w:i/>
          <w:sz w:val="23"/>
        </w:rPr>
        <w:t>o</w:t>
      </w:r>
      <w:r>
        <w:rPr>
          <w:i/>
          <w:spacing w:val="-7"/>
          <w:sz w:val="23"/>
        </w:rPr>
        <w:t> </w:t>
      </w:r>
      <w:r>
        <w:rPr>
          <w:i/>
          <w:sz w:val="23"/>
        </w:rPr>
        <w:t>vencida.</w:t>
      </w:r>
    </w:p>
    <w:p>
      <w:pPr>
        <w:spacing w:before="3"/>
        <w:ind w:left="734" w:right="0" w:firstLine="0"/>
        <w:jc w:val="both"/>
        <w:rPr>
          <w:b/>
          <w:i/>
          <w:sz w:val="23"/>
        </w:rPr>
      </w:pPr>
      <w:r>
        <w:rPr>
          <w:i/>
          <w:spacing w:val="-4"/>
          <w:sz w:val="23"/>
        </w:rPr>
        <w:t>Sí</w:t>
      </w:r>
      <w:r>
        <w:rPr>
          <w:i/>
          <w:spacing w:val="-6"/>
          <w:sz w:val="23"/>
        </w:rPr>
        <w:t> </w:t>
      </w:r>
      <w:r>
        <w:rPr>
          <w:i/>
          <w:spacing w:val="-4"/>
          <w:sz w:val="23"/>
        </w:rPr>
        <w:t>dicho</w:t>
      </w:r>
      <w:r>
        <w:rPr>
          <w:i/>
          <w:spacing w:val="-6"/>
          <w:sz w:val="23"/>
        </w:rPr>
        <w:t> </w:t>
      </w:r>
      <w:r>
        <w:rPr>
          <w:i/>
          <w:spacing w:val="-4"/>
          <w:sz w:val="23"/>
        </w:rPr>
        <w:t>valor</w:t>
      </w:r>
      <w:r>
        <w:rPr>
          <w:i/>
          <w:spacing w:val="-6"/>
          <w:sz w:val="23"/>
        </w:rPr>
        <w:t> </w:t>
      </w:r>
      <w:r>
        <w:rPr>
          <w:i/>
          <w:spacing w:val="-4"/>
          <w:sz w:val="23"/>
        </w:rPr>
        <w:t>razonable</w:t>
      </w:r>
      <w:r>
        <w:rPr>
          <w:i/>
          <w:spacing w:val="-7"/>
          <w:sz w:val="23"/>
        </w:rPr>
        <w:t> </w:t>
      </w:r>
      <w:r>
        <w:rPr>
          <w:i/>
          <w:spacing w:val="-4"/>
          <w:sz w:val="23"/>
        </w:rPr>
        <w:t>no</w:t>
      </w:r>
      <w:r>
        <w:rPr>
          <w:i/>
          <w:spacing w:val="-7"/>
          <w:sz w:val="23"/>
        </w:rPr>
        <w:t> </w:t>
      </w:r>
      <w:r>
        <w:rPr>
          <w:i/>
          <w:spacing w:val="-4"/>
          <w:sz w:val="23"/>
        </w:rPr>
        <w:t>puede</w:t>
      </w:r>
      <w:r>
        <w:rPr>
          <w:i/>
          <w:spacing w:val="-7"/>
          <w:sz w:val="23"/>
        </w:rPr>
        <w:t> </w:t>
      </w:r>
      <w:r>
        <w:rPr>
          <w:i/>
          <w:spacing w:val="-4"/>
          <w:sz w:val="23"/>
        </w:rPr>
        <w:t>ser</w:t>
      </w:r>
      <w:r>
        <w:rPr>
          <w:i/>
          <w:spacing w:val="-6"/>
          <w:sz w:val="23"/>
        </w:rPr>
        <w:t> </w:t>
      </w:r>
      <w:r>
        <w:rPr>
          <w:i/>
          <w:spacing w:val="-4"/>
          <w:sz w:val="23"/>
        </w:rPr>
        <w:t>medido</w:t>
      </w:r>
      <w:r>
        <w:rPr>
          <w:i/>
          <w:spacing w:val="-6"/>
          <w:sz w:val="23"/>
        </w:rPr>
        <w:t> </w:t>
      </w:r>
      <w:r>
        <w:rPr>
          <w:i/>
          <w:spacing w:val="-4"/>
          <w:sz w:val="23"/>
        </w:rPr>
        <w:t>con</w:t>
      </w:r>
      <w:r>
        <w:rPr>
          <w:i/>
          <w:spacing w:val="-7"/>
          <w:sz w:val="23"/>
        </w:rPr>
        <w:t> </w:t>
      </w:r>
      <w:r>
        <w:rPr>
          <w:i/>
          <w:spacing w:val="-4"/>
          <w:sz w:val="23"/>
        </w:rPr>
        <w:t>fiabilidad,</w:t>
      </w:r>
      <w:r>
        <w:rPr>
          <w:i/>
          <w:spacing w:val="-6"/>
          <w:sz w:val="23"/>
        </w:rPr>
        <w:t> </w:t>
      </w:r>
      <w:r>
        <w:rPr>
          <w:i/>
          <w:spacing w:val="-4"/>
          <w:sz w:val="23"/>
        </w:rPr>
        <w:t>la</w:t>
      </w:r>
      <w:r>
        <w:rPr>
          <w:i/>
          <w:spacing w:val="-6"/>
          <w:sz w:val="23"/>
        </w:rPr>
        <w:t> </w:t>
      </w:r>
      <w:r>
        <w:rPr>
          <w:i/>
          <w:spacing w:val="-4"/>
          <w:sz w:val="23"/>
        </w:rPr>
        <w:t>medición</w:t>
      </w:r>
      <w:r>
        <w:rPr>
          <w:i/>
          <w:spacing w:val="-6"/>
          <w:sz w:val="23"/>
        </w:rPr>
        <w:t> </w:t>
      </w:r>
      <w:r>
        <w:rPr>
          <w:i/>
          <w:spacing w:val="-4"/>
          <w:sz w:val="23"/>
        </w:rPr>
        <w:t>será</w:t>
      </w:r>
      <w:r>
        <w:rPr>
          <w:i/>
          <w:spacing w:val="-6"/>
          <w:sz w:val="23"/>
        </w:rPr>
        <w:t> </w:t>
      </w:r>
      <w:r>
        <w:rPr>
          <w:b/>
          <w:i/>
          <w:spacing w:val="-4"/>
          <w:sz w:val="23"/>
        </w:rPr>
        <w:t>al</w:t>
      </w:r>
      <w:r>
        <w:rPr>
          <w:b/>
          <w:i/>
          <w:spacing w:val="-6"/>
          <w:sz w:val="23"/>
        </w:rPr>
        <w:t> </w:t>
      </w:r>
      <w:r>
        <w:rPr>
          <w:b/>
          <w:i/>
          <w:spacing w:val="-4"/>
          <w:sz w:val="23"/>
        </w:rPr>
        <w:t>costo.”</w:t>
      </w:r>
    </w:p>
    <w:p>
      <w:pPr>
        <w:pStyle w:val="BodyText"/>
        <w:spacing w:before="26"/>
        <w:rPr>
          <w:b/>
          <w:i/>
          <w:sz w:val="23"/>
        </w:rPr>
      </w:pPr>
    </w:p>
    <w:p>
      <w:pPr>
        <w:pStyle w:val="BodyText"/>
        <w:spacing w:line="259" w:lineRule="auto"/>
        <w:ind w:left="734" w:right="1089"/>
        <w:jc w:val="both"/>
      </w:pPr>
      <w:r>
        <w:rPr/>
        <w:t>El</w:t>
      </w:r>
      <w:r>
        <w:rPr>
          <w:spacing w:val="-6"/>
        </w:rPr>
        <w:t> </w:t>
      </w:r>
      <w:r>
        <w:rPr/>
        <w:t>IMAS</w:t>
      </w:r>
      <w:r>
        <w:rPr>
          <w:spacing w:val="-6"/>
        </w:rPr>
        <w:t> </w:t>
      </w:r>
      <w:r>
        <w:rPr/>
        <w:t>aplica</w:t>
      </w:r>
      <w:r>
        <w:rPr>
          <w:spacing w:val="-6"/>
        </w:rPr>
        <w:t> </w:t>
      </w:r>
      <w:r>
        <w:rPr/>
        <w:t>la</w:t>
      </w:r>
      <w:r>
        <w:rPr>
          <w:spacing w:val="-6"/>
        </w:rPr>
        <w:t> </w:t>
      </w:r>
      <w:r>
        <w:rPr/>
        <w:t>política</w:t>
      </w:r>
      <w:r>
        <w:rPr>
          <w:spacing w:val="-6"/>
        </w:rPr>
        <w:t> </w:t>
      </w:r>
      <w:r>
        <w:rPr/>
        <w:t>contable</w:t>
      </w:r>
      <w:r>
        <w:rPr>
          <w:spacing w:val="-6"/>
        </w:rPr>
        <w:t> </w:t>
      </w:r>
      <w:r>
        <w:rPr/>
        <w:t>general</w:t>
      </w:r>
      <w:r>
        <w:rPr>
          <w:spacing w:val="-6"/>
        </w:rPr>
        <w:t> </w:t>
      </w:r>
      <w:r>
        <w:rPr/>
        <w:t>1.50</w:t>
      </w:r>
      <w:r>
        <w:rPr>
          <w:spacing w:val="-6"/>
        </w:rPr>
        <w:t> </w:t>
      </w:r>
      <w:r>
        <w:rPr/>
        <w:t>en</w:t>
      </w:r>
      <w:r>
        <w:rPr>
          <w:spacing w:val="-5"/>
        </w:rPr>
        <w:t> </w:t>
      </w:r>
      <w:r>
        <w:rPr/>
        <w:t>la</w:t>
      </w:r>
      <w:r>
        <w:rPr>
          <w:spacing w:val="-8"/>
        </w:rPr>
        <w:t> </w:t>
      </w:r>
      <w:r>
        <w:rPr/>
        <w:t>generalidad</w:t>
      </w:r>
      <w:r>
        <w:rPr>
          <w:spacing w:val="-6"/>
        </w:rPr>
        <w:t> </w:t>
      </w:r>
      <w:r>
        <w:rPr/>
        <w:t>de</w:t>
      </w:r>
      <w:r>
        <w:rPr>
          <w:spacing w:val="-6"/>
        </w:rPr>
        <w:t> </w:t>
      </w:r>
      <w:r>
        <w:rPr/>
        <w:t>los</w:t>
      </w:r>
      <w:r>
        <w:rPr>
          <w:spacing w:val="-5"/>
        </w:rPr>
        <w:t> </w:t>
      </w:r>
      <w:r>
        <w:rPr/>
        <w:t>casos,</w:t>
      </w:r>
      <w:r>
        <w:rPr>
          <w:spacing w:val="-6"/>
        </w:rPr>
        <w:t> </w:t>
      </w:r>
      <w:r>
        <w:rPr/>
        <w:t>la</w:t>
      </w:r>
      <w:r>
        <w:rPr>
          <w:spacing w:val="-8"/>
        </w:rPr>
        <w:t> </w:t>
      </w:r>
      <w:r>
        <w:rPr/>
        <w:t>medición</w:t>
      </w:r>
      <w:r>
        <w:rPr>
          <w:spacing w:val="-5"/>
        </w:rPr>
        <w:t> </w:t>
      </w:r>
      <w:r>
        <w:rPr/>
        <w:t>contable posterior de las cuentas por cobrar deberá realizarse por el costo amortizado utilizando el método de la tasa de interés efectiva.</w:t>
      </w:r>
    </w:p>
    <w:p>
      <w:pPr>
        <w:pStyle w:val="BodyText"/>
        <w:spacing w:before="19"/>
      </w:pPr>
    </w:p>
    <w:p>
      <w:pPr>
        <w:pStyle w:val="BodyText"/>
        <w:ind w:left="790"/>
        <w:jc w:val="both"/>
      </w:pPr>
      <w:r>
        <w:rPr/>
        <w:t>Situaciones</w:t>
      </w:r>
      <w:r>
        <w:rPr>
          <w:spacing w:val="-6"/>
        </w:rPr>
        <w:t> </w:t>
      </w:r>
      <w:r>
        <w:rPr/>
        <w:t>especiales</w:t>
      </w:r>
      <w:r>
        <w:rPr>
          <w:spacing w:val="-4"/>
        </w:rPr>
        <w:t> </w:t>
      </w:r>
      <w:r>
        <w:rPr/>
        <w:t>cuentas</w:t>
      </w:r>
      <w:r>
        <w:rPr>
          <w:spacing w:val="-4"/>
        </w:rPr>
        <w:t> </w:t>
      </w:r>
      <w:r>
        <w:rPr/>
        <w:t>por</w:t>
      </w:r>
      <w:r>
        <w:rPr>
          <w:spacing w:val="-5"/>
        </w:rPr>
        <w:t> </w:t>
      </w:r>
      <w:r>
        <w:rPr/>
        <w:t>cobrar</w:t>
      </w:r>
      <w:r>
        <w:rPr>
          <w:spacing w:val="-4"/>
        </w:rPr>
        <w:t> IMAS</w:t>
      </w:r>
    </w:p>
    <w:p>
      <w:pPr>
        <w:pStyle w:val="BodyText"/>
        <w:spacing w:line="259" w:lineRule="auto" w:before="20"/>
        <w:ind w:left="734" w:right="1094"/>
        <w:jc w:val="both"/>
      </w:pPr>
      <w:r>
        <w:rPr/>
        <w:t>Las cuentas por cobrar del IMAS provienen de ingresos sin contraprestación, y deben ser reconocidos de acuerdo con la NICSP 23.</w:t>
      </w:r>
    </w:p>
    <w:p>
      <w:pPr>
        <w:pStyle w:val="BodyText"/>
        <w:spacing w:before="21"/>
      </w:pPr>
    </w:p>
    <w:p>
      <w:pPr>
        <w:pStyle w:val="BodyText"/>
        <w:spacing w:line="259" w:lineRule="auto"/>
        <w:ind w:left="734" w:right="1088"/>
        <w:jc w:val="both"/>
      </w:pPr>
      <w:r>
        <w:rPr/>
        <w:t>Las cuentas por cobrar impositivas con que cuenta la Institución, le es aplicable la</w:t>
      </w:r>
      <w:r>
        <w:rPr>
          <w:spacing w:val="-1"/>
        </w:rPr>
        <w:t> </w:t>
      </w:r>
      <w:r>
        <w:rPr/>
        <w:t>política contable general</w:t>
      </w:r>
      <w:r>
        <w:rPr>
          <w:spacing w:val="-1"/>
        </w:rPr>
        <w:t> </w:t>
      </w:r>
      <w:r>
        <w:rPr/>
        <w:t>1.60</w:t>
      </w:r>
      <w:r>
        <w:rPr>
          <w:spacing w:val="-1"/>
        </w:rPr>
        <w:t> </w:t>
      </w:r>
      <w:r>
        <w:rPr/>
        <w:t>la</w:t>
      </w:r>
      <w:r>
        <w:rPr>
          <w:spacing w:val="-1"/>
        </w:rPr>
        <w:t> </w:t>
      </w:r>
      <w:r>
        <w:rPr/>
        <w:t>cual</w:t>
      </w:r>
      <w:r>
        <w:rPr>
          <w:spacing w:val="-1"/>
        </w:rPr>
        <w:t> </w:t>
      </w:r>
      <w:r>
        <w:rPr/>
        <w:t>establece</w:t>
      </w:r>
      <w:r>
        <w:rPr>
          <w:spacing w:val="-1"/>
        </w:rPr>
        <w:t> </w:t>
      </w:r>
      <w:r>
        <w:rPr/>
        <w:t>que, los</w:t>
      </w:r>
      <w:r>
        <w:rPr>
          <w:spacing w:val="-1"/>
        </w:rPr>
        <w:t> </w:t>
      </w:r>
      <w:r>
        <w:rPr/>
        <w:t>activos que</w:t>
      </w:r>
      <w:r>
        <w:rPr>
          <w:spacing w:val="-4"/>
        </w:rPr>
        <w:t> </w:t>
      </w:r>
      <w:r>
        <w:rPr/>
        <w:t>surgen de</w:t>
      </w:r>
      <w:r>
        <w:rPr>
          <w:spacing w:val="-2"/>
        </w:rPr>
        <w:t> </w:t>
      </w:r>
      <w:r>
        <w:rPr/>
        <w:t>transacciones impositivas se</w:t>
      </w:r>
      <w:r>
        <w:rPr>
          <w:spacing w:val="-3"/>
        </w:rPr>
        <w:t> </w:t>
      </w:r>
      <w:r>
        <w:rPr/>
        <w:t>miden por la mejor estimación de la entrada de recursos a la entidad, por lo cual la diferencia entre dicha estimación y la recaudación real dará origen a las cuentas por cobrar impositivas, </w:t>
      </w:r>
      <w:r>
        <w:rPr>
          <w:u w:val="single"/>
        </w:rPr>
        <w:t>cuyo monto será</w:t>
      </w:r>
      <w:r>
        <w:rPr>
          <w:u w:val="none"/>
        </w:rPr>
        <w:t> </w:t>
      </w:r>
      <w:r>
        <w:rPr>
          <w:u w:val="single"/>
        </w:rPr>
        <w:t>reconocido como medición al costo de dicha cuenta por cobrar.</w:t>
      </w:r>
    </w:p>
    <w:p>
      <w:pPr>
        <w:pStyle w:val="BodyText"/>
        <w:spacing w:before="19"/>
      </w:pPr>
    </w:p>
    <w:p>
      <w:pPr>
        <w:pStyle w:val="BodyText"/>
        <w:spacing w:line="259" w:lineRule="auto"/>
        <w:ind w:left="734" w:right="1094" w:firstLine="55"/>
        <w:jc w:val="both"/>
      </w:pPr>
      <w:r>
        <w:rPr/>
        <w:t>Las contribuciones sociales por cobrar le aplican la política 1.63 que indica que, el monto de las contribuciones sociales registradas como cuentas por cobrar deberán relacionarse con el ingreso comprometido de manera real (a través de documento) e impago a la fecha en que se informa.</w:t>
      </w:r>
    </w:p>
    <w:p>
      <w:pPr>
        <w:pStyle w:val="BodyText"/>
        <w:spacing w:before="18"/>
      </w:pPr>
    </w:p>
    <w:p>
      <w:pPr>
        <w:pStyle w:val="BodyText"/>
        <w:spacing w:line="259" w:lineRule="auto"/>
        <w:ind w:left="734" w:right="1088"/>
        <w:jc w:val="both"/>
      </w:pPr>
      <w:r>
        <w:rPr/>
        <w:t>En</w:t>
      </w:r>
      <w:r>
        <w:rPr>
          <w:spacing w:val="-9"/>
        </w:rPr>
        <w:t> </w:t>
      </w:r>
      <w:r>
        <w:rPr/>
        <w:t>las</w:t>
      </w:r>
      <w:r>
        <w:rPr>
          <w:spacing w:val="-11"/>
        </w:rPr>
        <w:t> </w:t>
      </w:r>
      <w:r>
        <w:rPr/>
        <w:t>trasferencias</w:t>
      </w:r>
      <w:r>
        <w:rPr>
          <w:spacing w:val="-9"/>
        </w:rPr>
        <w:t> </w:t>
      </w:r>
      <w:r>
        <w:rPr/>
        <w:t>por</w:t>
      </w:r>
      <w:r>
        <w:rPr>
          <w:spacing w:val="-10"/>
        </w:rPr>
        <w:t> </w:t>
      </w:r>
      <w:r>
        <w:rPr/>
        <w:t>cobrar</w:t>
      </w:r>
      <w:r>
        <w:rPr>
          <w:spacing w:val="-10"/>
        </w:rPr>
        <w:t> </w:t>
      </w:r>
      <w:r>
        <w:rPr/>
        <w:t>se</w:t>
      </w:r>
      <w:r>
        <w:rPr>
          <w:spacing w:val="-13"/>
        </w:rPr>
        <w:t> </w:t>
      </w:r>
      <w:r>
        <w:rPr/>
        <w:t>miden</w:t>
      </w:r>
      <w:r>
        <w:rPr>
          <w:spacing w:val="-9"/>
        </w:rPr>
        <w:t> </w:t>
      </w:r>
      <w:r>
        <w:rPr/>
        <w:t>por</w:t>
      </w:r>
      <w:r>
        <w:rPr>
          <w:spacing w:val="-12"/>
        </w:rPr>
        <w:t> </w:t>
      </w:r>
      <w:r>
        <w:rPr/>
        <w:t>su</w:t>
      </w:r>
      <w:r>
        <w:rPr>
          <w:spacing w:val="-10"/>
        </w:rPr>
        <w:t> </w:t>
      </w:r>
      <w:r>
        <w:rPr/>
        <w:t>valor</w:t>
      </w:r>
      <w:r>
        <w:rPr>
          <w:spacing w:val="-10"/>
        </w:rPr>
        <w:t> </w:t>
      </w:r>
      <w:r>
        <w:rPr/>
        <w:t>razonable</w:t>
      </w:r>
      <w:r>
        <w:rPr>
          <w:spacing w:val="-9"/>
        </w:rPr>
        <w:t> </w:t>
      </w:r>
      <w:r>
        <w:rPr/>
        <w:t>a</w:t>
      </w:r>
      <w:r>
        <w:rPr>
          <w:spacing w:val="-10"/>
        </w:rPr>
        <w:t> </w:t>
      </w:r>
      <w:r>
        <w:rPr/>
        <w:t>la</w:t>
      </w:r>
      <w:r>
        <w:rPr>
          <w:spacing w:val="-11"/>
        </w:rPr>
        <w:t> </w:t>
      </w:r>
      <w:r>
        <w:rPr/>
        <w:t>fecha</w:t>
      </w:r>
      <w:r>
        <w:rPr>
          <w:spacing w:val="-11"/>
        </w:rPr>
        <w:t> </w:t>
      </w:r>
      <w:r>
        <w:rPr/>
        <w:t>de</w:t>
      </w:r>
      <w:r>
        <w:rPr>
          <w:spacing w:val="-11"/>
        </w:rPr>
        <w:t> </w:t>
      </w:r>
      <w:r>
        <w:rPr/>
        <w:t>adquisición,</w:t>
      </w:r>
      <w:r>
        <w:rPr>
          <w:spacing w:val="-9"/>
        </w:rPr>
        <w:t> </w:t>
      </w:r>
      <w:r>
        <w:rPr/>
        <w:t>los</w:t>
      </w:r>
      <w:r>
        <w:rPr>
          <w:spacing w:val="-11"/>
        </w:rPr>
        <w:t> </w:t>
      </w:r>
      <w:r>
        <w:rPr/>
        <w:t>créditos que se generan por transferencias se miden por el monto comprometido, por la entidad que transfiere, mediante disposición en firme de dicha entidad, por la cual se garantiza el derecho a percibir la transferencia.</w:t>
      </w:r>
    </w:p>
    <w:p>
      <w:pPr>
        <w:pStyle w:val="BodyText"/>
        <w:spacing w:before="19"/>
      </w:pPr>
    </w:p>
    <w:p>
      <w:pPr>
        <w:pStyle w:val="BodyText"/>
        <w:spacing w:line="259" w:lineRule="auto" w:before="1"/>
        <w:ind w:left="734" w:right="1088"/>
        <w:jc w:val="both"/>
      </w:pPr>
      <w:r>
        <w:rPr/>
        <w:t>Según la Norma las cuentas y préstamos por cobrar, para el registro posterior les aplica la metodología de costo amortizado, pero deben cumplir las condiciones que el activo se conserve dentro de un modelo de negocio que tiene como objetivo mantener los activos financieros para obtener los flujos de efectivo contractuales, y que esas condiciones establezcan fechas específicas para recibir y aplicar los flujos como pago al principal e intereses sobre el importe pendiente del </w:t>
      </w:r>
      <w:r>
        <w:rPr>
          <w:spacing w:val="-2"/>
        </w:rPr>
        <w:t>documento.</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1360">
                <wp:simplePos x="0" y="0"/>
                <wp:positionH relativeFrom="page">
                  <wp:posOffset>9525</wp:posOffset>
                </wp:positionH>
                <wp:positionV relativeFrom="page">
                  <wp:posOffset>297208</wp:posOffset>
                </wp:positionV>
                <wp:extent cx="7762875" cy="974852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7762875" cy="9748520"/>
                          <a:chExt cx="7762875" cy="9748520"/>
                        </a:xfrm>
                      </wpg:grpSpPr>
                      <pic:pic>
                        <pic:nvPicPr>
                          <pic:cNvPr id="131" name="Image 131"/>
                          <pic:cNvPicPr/>
                        </pic:nvPicPr>
                        <pic:blipFill>
                          <a:blip r:embed="rId5" cstate="print"/>
                          <a:stretch>
                            <a:fillRect/>
                          </a:stretch>
                        </pic:blipFill>
                        <pic:spPr>
                          <a:xfrm>
                            <a:off x="0" y="0"/>
                            <a:ext cx="7762874" cy="9748489"/>
                          </a:xfrm>
                          <a:prstGeom prst="rect">
                            <a:avLst/>
                          </a:prstGeom>
                        </pic:spPr>
                      </pic:pic>
                      <wps:wsp>
                        <wps:cNvPr id="132" name="Graphic 132"/>
                        <wps:cNvSpPr/>
                        <wps:spPr>
                          <a:xfrm>
                            <a:off x="1053007" y="990837"/>
                            <a:ext cx="5649595" cy="7827009"/>
                          </a:xfrm>
                          <a:custGeom>
                            <a:avLst/>
                            <a:gdLst/>
                            <a:ahLst/>
                            <a:cxnLst/>
                            <a:rect l="l" t="t" r="r" b="b"/>
                            <a:pathLst>
                              <a:path w="5649595" h="7827009">
                                <a:moveTo>
                                  <a:pt x="24384" y="132651"/>
                                </a:moveTo>
                                <a:lnTo>
                                  <a:pt x="18288" y="132651"/>
                                </a:lnTo>
                                <a:lnTo>
                                  <a:pt x="18288" y="7820596"/>
                                </a:lnTo>
                                <a:lnTo>
                                  <a:pt x="24384" y="7820596"/>
                                </a:lnTo>
                                <a:lnTo>
                                  <a:pt x="24384" y="132651"/>
                                </a:lnTo>
                                <a:close/>
                              </a:path>
                              <a:path w="5649595" h="7827009">
                                <a:moveTo>
                                  <a:pt x="5630862" y="7820609"/>
                                </a:moveTo>
                                <a:lnTo>
                                  <a:pt x="5624830" y="7820609"/>
                                </a:lnTo>
                                <a:lnTo>
                                  <a:pt x="24384" y="7820609"/>
                                </a:lnTo>
                                <a:lnTo>
                                  <a:pt x="18288" y="7820609"/>
                                </a:lnTo>
                                <a:lnTo>
                                  <a:pt x="18288" y="7826692"/>
                                </a:lnTo>
                                <a:lnTo>
                                  <a:pt x="24384" y="7826692"/>
                                </a:lnTo>
                                <a:lnTo>
                                  <a:pt x="5624779" y="7826692"/>
                                </a:lnTo>
                                <a:lnTo>
                                  <a:pt x="5630862" y="7826692"/>
                                </a:lnTo>
                                <a:lnTo>
                                  <a:pt x="5630862" y="7820609"/>
                                </a:lnTo>
                                <a:close/>
                              </a:path>
                              <a:path w="5649595" h="7827009">
                                <a:moveTo>
                                  <a:pt x="5630862" y="132651"/>
                                </a:moveTo>
                                <a:lnTo>
                                  <a:pt x="5624779" y="132651"/>
                                </a:lnTo>
                                <a:lnTo>
                                  <a:pt x="5624779" y="7820596"/>
                                </a:lnTo>
                                <a:lnTo>
                                  <a:pt x="5630862" y="7820596"/>
                                </a:lnTo>
                                <a:lnTo>
                                  <a:pt x="5630862" y="132651"/>
                                </a:lnTo>
                                <a:close/>
                              </a:path>
                              <a:path w="5649595" h="7827009">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82700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5120" id="docshapegroup129" coordorigin="15,468" coordsize="12225,15352">
                <v:shape style="position:absolute;left:15;top:468;width:12225;height:15352" type="#_x0000_t75" id="docshape130" stroked="false">
                  <v:imagedata r:id="rId5" o:title=""/>
                </v:shape>
                <v:shape style="position:absolute;left:1673;top:2028;width:8897;height:12326" id="docshape131" coordorigin="1673,2028" coordsize="8897,12326" path="m1712,2237l1702,2237,1702,14344,1712,14344,1712,2237xm10541,14344l10531,14344,10531,14344,1712,14344,1702,14344,1702,14354,1712,14354,10531,14354,10531,14354,10541,14354,10541,14344xm10541,2237l10531,2237,10531,14344,10541,14344,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38</w:t>
      </w:r>
    </w:p>
    <w:p>
      <w:pPr>
        <w:pStyle w:val="BodyText"/>
        <w:spacing w:before="247"/>
      </w:pPr>
    </w:p>
    <w:p>
      <w:pPr>
        <w:pStyle w:val="BodyText"/>
        <w:spacing w:before="1"/>
        <w:ind w:left="734"/>
      </w:pPr>
      <w:r>
        <w:rPr/>
        <w:t>La</w:t>
      </w:r>
      <w:r>
        <w:rPr>
          <w:spacing w:val="-7"/>
        </w:rPr>
        <w:t> </w:t>
      </w:r>
      <w:r>
        <w:rPr/>
        <w:t>Norma</w:t>
      </w:r>
      <w:r>
        <w:rPr>
          <w:spacing w:val="-4"/>
        </w:rPr>
        <w:t> </w:t>
      </w:r>
      <w:r>
        <w:rPr/>
        <w:t>define</w:t>
      </w:r>
      <w:r>
        <w:rPr>
          <w:spacing w:val="-4"/>
        </w:rPr>
        <w:t> </w:t>
      </w:r>
      <w:r>
        <w:rPr/>
        <w:t>al</w:t>
      </w:r>
      <w:r>
        <w:rPr>
          <w:spacing w:val="-3"/>
        </w:rPr>
        <w:t> </w:t>
      </w:r>
      <w:r>
        <w:rPr/>
        <w:t>costo</w:t>
      </w:r>
      <w:r>
        <w:rPr>
          <w:spacing w:val="-3"/>
        </w:rPr>
        <w:t> </w:t>
      </w:r>
      <w:r>
        <w:rPr/>
        <w:t>amortizado</w:t>
      </w:r>
      <w:r>
        <w:rPr>
          <w:spacing w:val="-4"/>
        </w:rPr>
        <w:t> </w:t>
      </w:r>
      <w:r>
        <w:rPr/>
        <w:t>de</w:t>
      </w:r>
      <w:r>
        <w:rPr>
          <w:spacing w:val="-5"/>
        </w:rPr>
        <w:t> </w:t>
      </w:r>
      <w:r>
        <w:rPr/>
        <w:t>un</w:t>
      </w:r>
      <w:r>
        <w:rPr>
          <w:spacing w:val="-3"/>
        </w:rPr>
        <w:t> </w:t>
      </w:r>
      <w:r>
        <w:rPr/>
        <w:t>activo</w:t>
      </w:r>
      <w:r>
        <w:rPr>
          <w:spacing w:val="-3"/>
        </w:rPr>
        <w:t> </w:t>
      </w:r>
      <w:r>
        <w:rPr/>
        <w:t>financiero</w:t>
      </w:r>
      <w:r>
        <w:rPr>
          <w:spacing w:val="-3"/>
        </w:rPr>
        <w:t> </w:t>
      </w:r>
      <w:r>
        <w:rPr/>
        <w:t>o</w:t>
      </w:r>
      <w:r>
        <w:rPr>
          <w:spacing w:val="-4"/>
        </w:rPr>
        <w:t> </w:t>
      </w:r>
      <w:r>
        <w:rPr/>
        <w:t>de</w:t>
      </w:r>
      <w:r>
        <w:rPr>
          <w:spacing w:val="-5"/>
        </w:rPr>
        <w:t> </w:t>
      </w:r>
      <w:r>
        <w:rPr/>
        <w:t>un</w:t>
      </w:r>
      <w:r>
        <w:rPr>
          <w:spacing w:val="-3"/>
        </w:rPr>
        <w:t> </w:t>
      </w:r>
      <w:r>
        <w:rPr/>
        <w:t>pasivo</w:t>
      </w:r>
      <w:r>
        <w:rPr>
          <w:spacing w:val="-3"/>
        </w:rPr>
        <w:t> </w:t>
      </w:r>
      <w:r>
        <w:rPr/>
        <w:t>financiero</w:t>
      </w:r>
      <w:r>
        <w:rPr>
          <w:spacing w:val="-3"/>
        </w:rPr>
        <w:t> </w:t>
      </w:r>
      <w:r>
        <w:rPr>
          <w:spacing w:val="-5"/>
        </w:rPr>
        <w:t>es:</w:t>
      </w:r>
    </w:p>
    <w:p>
      <w:pPr>
        <w:pStyle w:val="ListParagraph"/>
        <w:numPr>
          <w:ilvl w:val="0"/>
          <w:numId w:val="29"/>
        </w:numPr>
        <w:tabs>
          <w:tab w:pos="947" w:val="left" w:leader="none"/>
        </w:tabs>
        <w:spacing w:line="240" w:lineRule="auto" w:before="11" w:after="0"/>
        <w:ind w:left="947" w:right="0" w:hanging="213"/>
        <w:jc w:val="left"/>
        <w:rPr>
          <w:sz w:val="22"/>
        </w:rPr>
      </w:pPr>
      <w:r>
        <w:rPr>
          <w:i/>
          <w:spacing w:val="-4"/>
          <w:sz w:val="23"/>
        </w:rPr>
        <w:t>el</w:t>
      </w:r>
      <w:r>
        <w:rPr>
          <w:i/>
          <w:spacing w:val="-5"/>
          <w:sz w:val="23"/>
        </w:rPr>
        <w:t> </w:t>
      </w:r>
      <w:r>
        <w:rPr>
          <w:i/>
          <w:spacing w:val="-4"/>
          <w:sz w:val="23"/>
        </w:rPr>
        <w:t>importe</w:t>
      </w:r>
      <w:r>
        <w:rPr>
          <w:i/>
          <w:spacing w:val="-6"/>
          <w:sz w:val="23"/>
        </w:rPr>
        <w:t> </w:t>
      </w:r>
      <w:r>
        <w:rPr>
          <w:i/>
          <w:spacing w:val="-4"/>
          <w:sz w:val="23"/>
        </w:rPr>
        <w:t>al que</w:t>
      </w:r>
      <w:r>
        <w:rPr>
          <w:i/>
          <w:spacing w:val="-6"/>
          <w:sz w:val="23"/>
        </w:rPr>
        <w:t> </w:t>
      </w:r>
      <w:r>
        <w:rPr>
          <w:i/>
          <w:spacing w:val="-4"/>
          <w:sz w:val="23"/>
        </w:rPr>
        <w:t>fue</w:t>
      </w:r>
      <w:r>
        <w:rPr>
          <w:i/>
          <w:spacing w:val="-6"/>
          <w:sz w:val="23"/>
        </w:rPr>
        <w:t> </w:t>
      </w:r>
      <w:r>
        <w:rPr>
          <w:i/>
          <w:spacing w:val="-4"/>
          <w:sz w:val="23"/>
        </w:rPr>
        <w:t>valorado inicialmente</w:t>
      </w:r>
      <w:r>
        <w:rPr>
          <w:i/>
          <w:spacing w:val="-5"/>
          <w:sz w:val="23"/>
        </w:rPr>
        <w:t> </w:t>
      </w:r>
      <w:r>
        <w:rPr>
          <w:i/>
          <w:spacing w:val="-4"/>
          <w:sz w:val="23"/>
        </w:rPr>
        <w:t>el activo</w:t>
      </w:r>
      <w:r>
        <w:rPr>
          <w:i/>
          <w:spacing w:val="-5"/>
          <w:sz w:val="23"/>
        </w:rPr>
        <w:t> </w:t>
      </w:r>
      <w:r>
        <w:rPr>
          <w:i/>
          <w:spacing w:val="-4"/>
          <w:sz w:val="23"/>
        </w:rPr>
        <w:t>o</w:t>
      </w:r>
      <w:r>
        <w:rPr>
          <w:i/>
          <w:spacing w:val="-6"/>
          <w:sz w:val="23"/>
        </w:rPr>
        <w:t> </w:t>
      </w:r>
      <w:r>
        <w:rPr>
          <w:i/>
          <w:spacing w:val="-4"/>
          <w:sz w:val="23"/>
        </w:rPr>
        <w:t>el pasivo financiero;</w:t>
      </w:r>
      <w:r>
        <w:rPr>
          <w:i/>
          <w:spacing w:val="-6"/>
          <w:sz w:val="23"/>
        </w:rPr>
        <w:t> </w:t>
      </w:r>
      <w:r>
        <w:rPr>
          <w:i/>
          <w:spacing w:val="-4"/>
          <w:sz w:val="23"/>
        </w:rPr>
        <w:t>menos</w:t>
      </w:r>
    </w:p>
    <w:p>
      <w:pPr>
        <w:pStyle w:val="ListParagraph"/>
        <w:numPr>
          <w:ilvl w:val="0"/>
          <w:numId w:val="29"/>
        </w:numPr>
        <w:tabs>
          <w:tab w:pos="965" w:val="left" w:leader="none"/>
        </w:tabs>
        <w:spacing w:line="240" w:lineRule="auto" w:before="9" w:after="0"/>
        <w:ind w:left="965" w:right="0" w:hanging="231"/>
        <w:jc w:val="left"/>
        <w:rPr>
          <w:i/>
          <w:sz w:val="23"/>
        </w:rPr>
      </w:pPr>
      <w:r>
        <w:rPr>
          <w:i/>
          <w:spacing w:val="-4"/>
          <w:sz w:val="23"/>
        </w:rPr>
        <w:t>los</w:t>
      </w:r>
      <w:r>
        <w:rPr>
          <w:i/>
          <w:spacing w:val="-7"/>
          <w:sz w:val="23"/>
        </w:rPr>
        <w:t> </w:t>
      </w:r>
      <w:r>
        <w:rPr>
          <w:i/>
          <w:spacing w:val="-4"/>
          <w:sz w:val="23"/>
        </w:rPr>
        <w:t>reembolsos</w:t>
      </w:r>
      <w:r>
        <w:rPr>
          <w:i/>
          <w:spacing w:val="-6"/>
          <w:sz w:val="23"/>
        </w:rPr>
        <w:t> </w:t>
      </w:r>
      <w:r>
        <w:rPr>
          <w:i/>
          <w:spacing w:val="-4"/>
          <w:sz w:val="23"/>
        </w:rPr>
        <w:t>del</w:t>
      </w:r>
      <w:r>
        <w:rPr>
          <w:i/>
          <w:spacing w:val="-8"/>
          <w:sz w:val="23"/>
        </w:rPr>
        <w:t> </w:t>
      </w:r>
      <w:r>
        <w:rPr>
          <w:i/>
          <w:spacing w:val="-4"/>
          <w:sz w:val="23"/>
        </w:rPr>
        <w:t>principal;</w:t>
      </w:r>
      <w:r>
        <w:rPr>
          <w:i/>
          <w:spacing w:val="-7"/>
          <w:sz w:val="23"/>
        </w:rPr>
        <w:t> </w:t>
      </w:r>
      <w:r>
        <w:rPr>
          <w:i/>
          <w:spacing w:val="-4"/>
          <w:sz w:val="23"/>
        </w:rPr>
        <w:t>más</w:t>
      </w:r>
      <w:r>
        <w:rPr>
          <w:i/>
          <w:spacing w:val="-8"/>
          <w:sz w:val="23"/>
        </w:rPr>
        <w:t> </w:t>
      </w:r>
      <w:r>
        <w:rPr>
          <w:i/>
          <w:spacing w:val="-4"/>
          <w:sz w:val="23"/>
        </w:rPr>
        <w:t>o</w:t>
      </w:r>
      <w:r>
        <w:rPr>
          <w:i/>
          <w:spacing w:val="-7"/>
          <w:sz w:val="23"/>
        </w:rPr>
        <w:t> </w:t>
      </w:r>
      <w:r>
        <w:rPr>
          <w:i/>
          <w:spacing w:val="-4"/>
          <w:sz w:val="23"/>
        </w:rPr>
        <w:t>menos,</w:t>
      </w:r>
      <w:r>
        <w:rPr>
          <w:i/>
          <w:spacing w:val="-7"/>
          <w:sz w:val="23"/>
        </w:rPr>
        <w:t> </w:t>
      </w:r>
      <w:r>
        <w:rPr>
          <w:i/>
          <w:spacing w:val="-4"/>
          <w:sz w:val="23"/>
        </w:rPr>
        <w:t>según</w:t>
      </w:r>
      <w:r>
        <w:rPr>
          <w:i/>
          <w:spacing w:val="-7"/>
          <w:sz w:val="23"/>
        </w:rPr>
        <w:t> </w:t>
      </w:r>
      <w:r>
        <w:rPr>
          <w:i/>
          <w:spacing w:val="-4"/>
          <w:sz w:val="23"/>
        </w:rPr>
        <w:t>proceda,</w:t>
      </w:r>
    </w:p>
    <w:p>
      <w:pPr>
        <w:pStyle w:val="ListParagraph"/>
        <w:numPr>
          <w:ilvl w:val="0"/>
          <w:numId w:val="29"/>
        </w:numPr>
        <w:tabs>
          <w:tab w:pos="965" w:val="left" w:leader="none"/>
        </w:tabs>
        <w:spacing w:line="247" w:lineRule="auto" w:before="9" w:after="0"/>
        <w:ind w:left="734" w:right="1091" w:firstLine="0"/>
        <w:jc w:val="both"/>
        <w:rPr>
          <w:i/>
          <w:sz w:val="23"/>
        </w:rPr>
      </w:pPr>
      <w:r>
        <w:rPr>
          <w:i/>
          <w:sz w:val="23"/>
        </w:rPr>
        <w:t>la</w:t>
      </w:r>
      <w:r>
        <w:rPr>
          <w:i/>
          <w:spacing w:val="-14"/>
          <w:sz w:val="23"/>
        </w:rPr>
        <w:t> </w:t>
      </w:r>
      <w:r>
        <w:rPr>
          <w:i/>
          <w:sz w:val="23"/>
        </w:rPr>
        <w:t>imputación</w:t>
      </w:r>
      <w:r>
        <w:rPr>
          <w:i/>
          <w:spacing w:val="-14"/>
          <w:sz w:val="23"/>
        </w:rPr>
        <w:t> </w:t>
      </w:r>
      <w:r>
        <w:rPr>
          <w:i/>
          <w:sz w:val="23"/>
        </w:rPr>
        <w:t>o</w:t>
      </w:r>
      <w:r>
        <w:rPr>
          <w:i/>
          <w:spacing w:val="-12"/>
          <w:sz w:val="23"/>
        </w:rPr>
        <w:t> </w:t>
      </w:r>
      <w:r>
        <w:rPr>
          <w:i/>
          <w:sz w:val="23"/>
        </w:rPr>
        <w:t>amortización</w:t>
      </w:r>
      <w:r>
        <w:rPr>
          <w:i/>
          <w:spacing w:val="-12"/>
          <w:sz w:val="23"/>
        </w:rPr>
        <w:t> </w:t>
      </w:r>
      <w:r>
        <w:rPr>
          <w:i/>
          <w:sz w:val="23"/>
        </w:rPr>
        <w:t>gradual</w:t>
      </w:r>
      <w:r>
        <w:rPr>
          <w:i/>
          <w:spacing w:val="-13"/>
          <w:sz w:val="23"/>
        </w:rPr>
        <w:t> </w:t>
      </w:r>
      <w:r>
        <w:rPr>
          <w:i/>
          <w:sz w:val="23"/>
        </w:rPr>
        <w:t>acumulada,</w:t>
      </w:r>
      <w:r>
        <w:rPr>
          <w:i/>
          <w:spacing w:val="-12"/>
          <w:sz w:val="23"/>
        </w:rPr>
        <w:t> </w:t>
      </w:r>
      <w:r>
        <w:rPr>
          <w:i/>
          <w:sz w:val="23"/>
        </w:rPr>
        <w:t>utilizando</w:t>
      </w:r>
      <w:r>
        <w:rPr>
          <w:i/>
          <w:spacing w:val="-12"/>
          <w:sz w:val="23"/>
        </w:rPr>
        <w:t> </w:t>
      </w:r>
      <w:r>
        <w:rPr>
          <w:i/>
          <w:sz w:val="23"/>
        </w:rPr>
        <w:t>el</w:t>
      </w:r>
      <w:r>
        <w:rPr>
          <w:i/>
          <w:spacing w:val="-13"/>
          <w:sz w:val="23"/>
        </w:rPr>
        <w:t> </w:t>
      </w:r>
      <w:r>
        <w:rPr>
          <w:i/>
          <w:sz w:val="23"/>
        </w:rPr>
        <w:t>método</w:t>
      </w:r>
      <w:r>
        <w:rPr>
          <w:i/>
          <w:spacing w:val="-12"/>
          <w:sz w:val="23"/>
        </w:rPr>
        <w:t> </w:t>
      </w:r>
      <w:r>
        <w:rPr>
          <w:i/>
          <w:sz w:val="23"/>
        </w:rPr>
        <w:t>del</w:t>
      </w:r>
      <w:r>
        <w:rPr>
          <w:i/>
          <w:spacing w:val="-13"/>
          <w:sz w:val="23"/>
        </w:rPr>
        <w:t> </w:t>
      </w:r>
      <w:r>
        <w:rPr>
          <w:i/>
          <w:sz w:val="23"/>
        </w:rPr>
        <w:t>interés</w:t>
      </w:r>
      <w:r>
        <w:rPr>
          <w:i/>
          <w:spacing w:val="-12"/>
          <w:sz w:val="23"/>
        </w:rPr>
        <w:t> </w:t>
      </w:r>
      <w:r>
        <w:rPr>
          <w:i/>
          <w:sz w:val="23"/>
        </w:rPr>
        <w:t>efectivo,</w:t>
      </w:r>
      <w:r>
        <w:rPr>
          <w:i/>
          <w:spacing w:val="-12"/>
          <w:sz w:val="23"/>
        </w:rPr>
        <w:t> </w:t>
      </w:r>
      <w:r>
        <w:rPr>
          <w:i/>
          <w:sz w:val="23"/>
        </w:rPr>
        <w:t>de cualquier</w:t>
      </w:r>
      <w:r>
        <w:rPr>
          <w:i/>
          <w:spacing w:val="-6"/>
          <w:sz w:val="23"/>
        </w:rPr>
        <w:t> </w:t>
      </w:r>
      <w:r>
        <w:rPr>
          <w:i/>
          <w:sz w:val="23"/>
        </w:rPr>
        <w:t>diferencia</w:t>
      </w:r>
      <w:r>
        <w:rPr>
          <w:i/>
          <w:spacing w:val="-6"/>
          <w:sz w:val="23"/>
        </w:rPr>
        <w:t> </w:t>
      </w:r>
      <w:r>
        <w:rPr>
          <w:i/>
          <w:sz w:val="23"/>
        </w:rPr>
        <w:t>existente</w:t>
      </w:r>
      <w:r>
        <w:rPr>
          <w:i/>
          <w:spacing w:val="-6"/>
          <w:sz w:val="23"/>
        </w:rPr>
        <w:t> </w:t>
      </w:r>
      <w:r>
        <w:rPr>
          <w:i/>
          <w:sz w:val="23"/>
        </w:rPr>
        <w:t>entre</w:t>
      </w:r>
      <w:r>
        <w:rPr>
          <w:i/>
          <w:spacing w:val="-6"/>
          <w:sz w:val="23"/>
        </w:rPr>
        <w:t> </w:t>
      </w:r>
      <w:r>
        <w:rPr>
          <w:i/>
          <w:sz w:val="23"/>
        </w:rPr>
        <w:t>el</w:t>
      </w:r>
      <w:r>
        <w:rPr>
          <w:i/>
          <w:spacing w:val="-6"/>
          <w:sz w:val="23"/>
        </w:rPr>
        <w:t> </w:t>
      </w:r>
      <w:r>
        <w:rPr>
          <w:i/>
          <w:sz w:val="23"/>
        </w:rPr>
        <w:t>importe</w:t>
      </w:r>
      <w:r>
        <w:rPr>
          <w:i/>
          <w:spacing w:val="-6"/>
          <w:sz w:val="23"/>
        </w:rPr>
        <w:t> </w:t>
      </w:r>
      <w:r>
        <w:rPr>
          <w:i/>
          <w:sz w:val="23"/>
        </w:rPr>
        <w:t>inicial</w:t>
      </w:r>
      <w:r>
        <w:rPr>
          <w:i/>
          <w:spacing w:val="-6"/>
          <w:sz w:val="23"/>
        </w:rPr>
        <w:t> </w:t>
      </w:r>
      <w:r>
        <w:rPr>
          <w:i/>
          <w:sz w:val="23"/>
        </w:rPr>
        <w:t>y</w:t>
      </w:r>
      <w:r>
        <w:rPr>
          <w:i/>
          <w:spacing w:val="-6"/>
          <w:sz w:val="23"/>
        </w:rPr>
        <w:t> </w:t>
      </w:r>
      <w:r>
        <w:rPr>
          <w:i/>
          <w:sz w:val="23"/>
        </w:rPr>
        <w:t>el</w:t>
      </w:r>
      <w:r>
        <w:rPr>
          <w:i/>
          <w:spacing w:val="-6"/>
          <w:sz w:val="23"/>
        </w:rPr>
        <w:t> </w:t>
      </w:r>
      <w:r>
        <w:rPr>
          <w:i/>
          <w:sz w:val="23"/>
        </w:rPr>
        <w:t>valor</w:t>
      </w:r>
      <w:r>
        <w:rPr>
          <w:i/>
          <w:spacing w:val="-6"/>
          <w:sz w:val="23"/>
        </w:rPr>
        <w:t> </w:t>
      </w:r>
      <w:r>
        <w:rPr>
          <w:i/>
          <w:sz w:val="23"/>
        </w:rPr>
        <w:t>de</w:t>
      </w:r>
      <w:r>
        <w:rPr>
          <w:i/>
          <w:spacing w:val="-7"/>
          <w:sz w:val="23"/>
        </w:rPr>
        <w:t> </w:t>
      </w:r>
      <w:r>
        <w:rPr>
          <w:i/>
          <w:sz w:val="23"/>
        </w:rPr>
        <w:t>reembolso</w:t>
      </w:r>
      <w:r>
        <w:rPr>
          <w:i/>
          <w:spacing w:val="-5"/>
          <w:sz w:val="23"/>
        </w:rPr>
        <w:t> </w:t>
      </w:r>
      <w:r>
        <w:rPr>
          <w:i/>
          <w:sz w:val="23"/>
        </w:rPr>
        <w:t>en</w:t>
      </w:r>
      <w:r>
        <w:rPr>
          <w:i/>
          <w:spacing w:val="-8"/>
          <w:sz w:val="23"/>
        </w:rPr>
        <w:t> </w:t>
      </w:r>
      <w:r>
        <w:rPr>
          <w:i/>
          <w:sz w:val="23"/>
        </w:rPr>
        <w:t>el</w:t>
      </w:r>
      <w:r>
        <w:rPr>
          <w:i/>
          <w:spacing w:val="-6"/>
          <w:sz w:val="23"/>
        </w:rPr>
        <w:t> </w:t>
      </w:r>
      <w:r>
        <w:rPr>
          <w:i/>
          <w:sz w:val="23"/>
        </w:rPr>
        <w:t>vencimiento; </w:t>
      </w:r>
      <w:r>
        <w:rPr>
          <w:i/>
          <w:spacing w:val="-2"/>
          <w:sz w:val="23"/>
        </w:rPr>
        <w:t>menos</w:t>
      </w:r>
    </w:p>
    <w:p>
      <w:pPr>
        <w:pStyle w:val="ListParagraph"/>
        <w:numPr>
          <w:ilvl w:val="0"/>
          <w:numId w:val="29"/>
        </w:numPr>
        <w:tabs>
          <w:tab w:pos="967" w:val="left" w:leader="none"/>
        </w:tabs>
        <w:spacing w:line="240" w:lineRule="auto" w:before="0" w:after="0"/>
        <w:ind w:left="967" w:right="0" w:hanging="233"/>
        <w:jc w:val="both"/>
        <w:rPr>
          <w:i/>
          <w:sz w:val="23"/>
        </w:rPr>
      </w:pPr>
      <w:r>
        <w:rPr>
          <w:i/>
          <w:spacing w:val="-4"/>
          <w:sz w:val="23"/>
        </w:rPr>
        <w:t>cualquier</w:t>
      </w:r>
      <w:r>
        <w:rPr>
          <w:i/>
          <w:spacing w:val="-6"/>
          <w:sz w:val="23"/>
        </w:rPr>
        <w:t> </w:t>
      </w:r>
      <w:r>
        <w:rPr>
          <w:i/>
          <w:spacing w:val="-4"/>
          <w:sz w:val="23"/>
        </w:rPr>
        <w:t>disminución</w:t>
      </w:r>
      <w:r>
        <w:rPr>
          <w:i/>
          <w:spacing w:val="-6"/>
          <w:sz w:val="23"/>
        </w:rPr>
        <w:t> </w:t>
      </w:r>
      <w:r>
        <w:rPr>
          <w:i/>
          <w:spacing w:val="-4"/>
          <w:sz w:val="23"/>
        </w:rPr>
        <w:t>por</w:t>
      </w:r>
      <w:r>
        <w:rPr>
          <w:i/>
          <w:spacing w:val="-6"/>
          <w:sz w:val="23"/>
        </w:rPr>
        <w:t> </w:t>
      </w:r>
      <w:r>
        <w:rPr>
          <w:i/>
          <w:spacing w:val="-4"/>
          <w:sz w:val="23"/>
        </w:rPr>
        <w:t>deterioro del</w:t>
      </w:r>
      <w:r>
        <w:rPr>
          <w:i/>
          <w:spacing w:val="-6"/>
          <w:sz w:val="23"/>
        </w:rPr>
        <w:t> </w:t>
      </w:r>
      <w:r>
        <w:rPr>
          <w:i/>
          <w:spacing w:val="-4"/>
          <w:sz w:val="23"/>
        </w:rPr>
        <w:t>valor</w:t>
      </w:r>
      <w:r>
        <w:rPr>
          <w:i/>
          <w:spacing w:val="-8"/>
          <w:sz w:val="23"/>
        </w:rPr>
        <w:t> </w:t>
      </w:r>
      <w:r>
        <w:rPr>
          <w:i/>
          <w:spacing w:val="-4"/>
          <w:sz w:val="23"/>
        </w:rPr>
        <w:t>o incobrabilidad.</w:t>
      </w:r>
    </w:p>
    <w:p>
      <w:pPr>
        <w:pStyle w:val="BodyText"/>
        <w:spacing w:before="27"/>
        <w:rPr>
          <w:i/>
          <w:sz w:val="23"/>
        </w:rPr>
      </w:pPr>
    </w:p>
    <w:p>
      <w:pPr>
        <w:pStyle w:val="BodyText"/>
        <w:spacing w:line="259" w:lineRule="auto"/>
        <w:ind w:left="734" w:right="1090"/>
        <w:jc w:val="both"/>
      </w:pPr>
      <w:r>
        <w:rPr/>
        <w:t>Tomando en consideración de las cuentas y documentos por cobrar del IMAS, el valor inicial no cambia,</w:t>
      </w:r>
      <w:r>
        <w:rPr>
          <w:spacing w:val="-5"/>
        </w:rPr>
        <w:t> </w:t>
      </w:r>
      <w:r>
        <w:rPr/>
        <w:t>esto</w:t>
      </w:r>
      <w:r>
        <w:rPr>
          <w:spacing w:val="-4"/>
        </w:rPr>
        <w:t> </w:t>
      </w:r>
      <w:r>
        <w:rPr/>
        <w:t>implica</w:t>
      </w:r>
      <w:r>
        <w:rPr>
          <w:spacing w:val="-8"/>
        </w:rPr>
        <w:t> </w:t>
      </w:r>
      <w:r>
        <w:rPr/>
        <w:t>que</w:t>
      </w:r>
      <w:r>
        <w:rPr>
          <w:spacing w:val="-6"/>
        </w:rPr>
        <w:t> </w:t>
      </w:r>
      <w:r>
        <w:rPr/>
        <w:t>su</w:t>
      </w:r>
      <w:r>
        <w:rPr>
          <w:spacing w:val="-10"/>
        </w:rPr>
        <w:t> </w:t>
      </w:r>
      <w:r>
        <w:rPr/>
        <w:t>valor</w:t>
      </w:r>
      <w:r>
        <w:rPr>
          <w:spacing w:val="-4"/>
        </w:rPr>
        <w:t> </w:t>
      </w:r>
      <w:r>
        <w:rPr/>
        <w:t>futuro</w:t>
      </w:r>
      <w:r>
        <w:rPr>
          <w:spacing w:val="-4"/>
        </w:rPr>
        <w:t> </w:t>
      </w:r>
      <w:r>
        <w:rPr/>
        <w:t>es</w:t>
      </w:r>
      <w:r>
        <w:rPr>
          <w:spacing w:val="-4"/>
        </w:rPr>
        <w:t> </w:t>
      </w:r>
      <w:r>
        <w:rPr/>
        <w:t>igual</w:t>
      </w:r>
      <w:r>
        <w:rPr>
          <w:spacing w:val="-5"/>
        </w:rPr>
        <w:t> </w:t>
      </w:r>
      <w:r>
        <w:rPr/>
        <w:t>al</w:t>
      </w:r>
      <w:r>
        <w:rPr>
          <w:spacing w:val="-5"/>
        </w:rPr>
        <w:t> </w:t>
      </w:r>
      <w:r>
        <w:rPr/>
        <w:t>valor</w:t>
      </w:r>
      <w:r>
        <w:rPr>
          <w:spacing w:val="-9"/>
        </w:rPr>
        <w:t> </w:t>
      </w:r>
      <w:r>
        <w:rPr/>
        <w:t>de</w:t>
      </w:r>
      <w:r>
        <w:rPr>
          <w:spacing w:val="-6"/>
        </w:rPr>
        <w:t> </w:t>
      </w:r>
      <w:r>
        <w:rPr/>
        <w:t>inicio,</w:t>
      </w:r>
      <w:r>
        <w:rPr>
          <w:spacing w:val="-5"/>
        </w:rPr>
        <w:t> </w:t>
      </w:r>
      <w:r>
        <w:rPr/>
        <w:t>y</w:t>
      </w:r>
      <w:r>
        <w:rPr>
          <w:spacing w:val="-6"/>
        </w:rPr>
        <w:t> </w:t>
      </w:r>
      <w:r>
        <w:rPr/>
        <w:t>no</w:t>
      </w:r>
      <w:r>
        <w:rPr>
          <w:spacing w:val="-6"/>
        </w:rPr>
        <w:t> </w:t>
      </w:r>
      <w:r>
        <w:rPr/>
        <w:t>existen</w:t>
      </w:r>
      <w:r>
        <w:rPr>
          <w:spacing w:val="-4"/>
        </w:rPr>
        <w:t> </w:t>
      </w:r>
      <w:r>
        <w:rPr/>
        <w:t>primas</w:t>
      </w:r>
      <w:r>
        <w:rPr>
          <w:spacing w:val="-4"/>
        </w:rPr>
        <w:t> </w:t>
      </w:r>
      <w:r>
        <w:rPr/>
        <w:t>o</w:t>
      </w:r>
      <w:r>
        <w:rPr>
          <w:spacing w:val="-6"/>
        </w:rPr>
        <w:t> </w:t>
      </w:r>
      <w:r>
        <w:rPr/>
        <w:t>descuentos, que</w:t>
      </w:r>
      <w:r>
        <w:rPr>
          <w:spacing w:val="-8"/>
        </w:rPr>
        <w:t> </w:t>
      </w:r>
      <w:r>
        <w:rPr/>
        <w:t>se</w:t>
      </w:r>
      <w:r>
        <w:rPr>
          <w:spacing w:val="-8"/>
        </w:rPr>
        <w:t> </w:t>
      </w:r>
      <w:r>
        <w:rPr/>
        <w:t>paguen.</w:t>
      </w:r>
      <w:r>
        <w:rPr>
          <w:spacing w:val="-10"/>
        </w:rPr>
        <w:t> </w:t>
      </w:r>
      <w:r>
        <w:rPr/>
        <w:t>Ante</w:t>
      </w:r>
      <w:r>
        <w:rPr>
          <w:spacing w:val="-8"/>
        </w:rPr>
        <w:t> </w:t>
      </w:r>
      <w:r>
        <w:rPr/>
        <w:t>esta</w:t>
      </w:r>
      <w:r>
        <w:rPr>
          <w:spacing w:val="-7"/>
        </w:rPr>
        <w:t> </w:t>
      </w:r>
      <w:r>
        <w:rPr/>
        <w:t>realidad,</w:t>
      </w:r>
      <w:r>
        <w:rPr>
          <w:spacing w:val="-7"/>
        </w:rPr>
        <w:t> </w:t>
      </w:r>
      <w:r>
        <w:rPr/>
        <w:t>el</w:t>
      </w:r>
      <w:r>
        <w:rPr>
          <w:spacing w:val="-8"/>
        </w:rPr>
        <w:t> </w:t>
      </w:r>
      <w:r>
        <w:rPr/>
        <w:t>costo</w:t>
      </w:r>
      <w:r>
        <w:rPr>
          <w:spacing w:val="-8"/>
        </w:rPr>
        <w:t> </w:t>
      </w:r>
      <w:r>
        <w:rPr/>
        <w:t>amortizado</w:t>
      </w:r>
      <w:r>
        <w:rPr>
          <w:spacing w:val="-9"/>
        </w:rPr>
        <w:t> </w:t>
      </w:r>
      <w:r>
        <w:rPr/>
        <w:t>es</w:t>
      </w:r>
      <w:r>
        <w:rPr>
          <w:spacing w:val="-8"/>
        </w:rPr>
        <w:t> </w:t>
      </w:r>
      <w:r>
        <w:rPr/>
        <w:t>igual</w:t>
      </w:r>
      <w:r>
        <w:rPr>
          <w:spacing w:val="-8"/>
        </w:rPr>
        <w:t> </w:t>
      </w:r>
      <w:r>
        <w:rPr/>
        <w:t>a</w:t>
      </w:r>
      <w:r>
        <w:rPr>
          <w:spacing w:val="-8"/>
        </w:rPr>
        <w:t> </w:t>
      </w:r>
      <w:r>
        <w:rPr/>
        <w:t>su</w:t>
      </w:r>
      <w:r>
        <w:rPr>
          <w:spacing w:val="-7"/>
        </w:rPr>
        <w:t> </w:t>
      </w:r>
      <w:r>
        <w:rPr/>
        <w:t>valor</w:t>
      </w:r>
      <w:r>
        <w:rPr>
          <w:spacing w:val="-7"/>
        </w:rPr>
        <w:t> </w:t>
      </w:r>
      <w:r>
        <w:rPr/>
        <w:t>inicial</w:t>
      </w:r>
      <w:r>
        <w:rPr>
          <w:spacing w:val="-8"/>
        </w:rPr>
        <w:t> </w:t>
      </w:r>
      <w:r>
        <w:rPr/>
        <w:t>(valor</w:t>
      </w:r>
      <w:r>
        <w:rPr>
          <w:spacing w:val="-9"/>
        </w:rPr>
        <w:t> </w:t>
      </w:r>
      <w:r>
        <w:rPr/>
        <w:t>razonable</w:t>
      </w:r>
      <w:r>
        <w:rPr>
          <w:spacing w:val="-11"/>
        </w:rPr>
        <w:t> </w:t>
      </w:r>
      <w:r>
        <w:rPr/>
        <w:t>más costos de transacción), menos las amortizaciones recibidas de los deudores a ese valor inicial.</w:t>
      </w:r>
    </w:p>
    <w:p>
      <w:pPr>
        <w:pStyle w:val="BodyText"/>
        <w:spacing w:before="19"/>
      </w:pPr>
    </w:p>
    <w:p>
      <w:pPr>
        <w:pStyle w:val="BodyText"/>
        <w:spacing w:line="259" w:lineRule="auto"/>
        <w:ind w:left="734" w:right="1090"/>
        <w:jc w:val="both"/>
      </w:pPr>
      <w:r>
        <w:rPr/>
        <w:t>En</w:t>
      </w:r>
      <w:r>
        <w:rPr>
          <w:spacing w:val="-14"/>
        </w:rPr>
        <w:t> </w:t>
      </w:r>
      <w:r>
        <w:rPr/>
        <w:t>la</w:t>
      </w:r>
      <w:r>
        <w:rPr>
          <w:spacing w:val="-14"/>
        </w:rPr>
        <w:t> </w:t>
      </w:r>
      <w:r>
        <w:rPr/>
        <w:t>Nota</w:t>
      </w:r>
      <w:r>
        <w:rPr>
          <w:spacing w:val="-14"/>
        </w:rPr>
        <w:t> </w:t>
      </w:r>
      <w:r>
        <w:rPr/>
        <w:t>5</w:t>
      </w:r>
      <w:r>
        <w:rPr>
          <w:spacing w:val="-13"/>
        </w:rPr>
        <w:t> </w:t>
      </w:r>
      <w:r>
        <w:rPr/>
        <w:t>de</w:t>
      </w:r>
      <w:r>
        <w:rPr>
          <w:spacing w:val="-14"/>
        </w:rPr>
        <w:t> </w:t>
      </w:r>
      <w:r>
        <w:rPr/>
        <w:t>los</w:t>
      </w:r>
      <w:r>
        <w:rPr>
          <w:spacing w:val="-14"/>
        </w:rPr>
        <w:t> </w:t>
      </w:r>
      <w:r>
        <w:rPr/>
        <w:t>presentes</w:t>
      </w:r>
      <w:r>
        <w:rPr>
          <w:spacing w:val="-14"/>
        </w:rPr>
        <w:t> </w:t>
      </w:r>
      <w:r>
        <w:rPr/>
        <w:t>Estados</w:t>
      </w:r>
      <w:r>
        <w:rPr>
          <w:spacing w:val="-13"/>
        </w:rPr>
        <w:t> </w:t>
      </w:r>
      <w:r>
        <w:rPr/>
        <w:t>Financieros,</w:t>
      </w:r>
      <w:r>
        <w:rPr>
          <w:spacing w:val="-14"/>
        </w:rPr>
        <w:t> </w:t>
      </w:r>
      <w:r>
        <w:rPr/>
        <w:t>se</w:t>
      </w:r>
      <w:r>
        <w:rPr>
          <w:spacing w:val="-14"/>
        </w:rPr>
        <w:t> </w:t>
      </w:r>
      <w:r>
        <w:rPr/>
        <w:t>detalla</w:t>
      </w:r>
      <w:r>
        <w:rPr>
          <w:spacing w:val="-14"/>
        </w:rPr>
        <w:t> </w:t>
      </w:r>
      <w:r>
        <w:rPr/>
        <w:t>el</w:t>
      </w:r>
      <w:r>
        <w:rPr>
          <w:spacing w:val="-13"/>
        </w:rPr>
        <w:t> </w:t>
      </w:r>
      <w:r>
        <w:rPr/>
        <w:t>análisis</w:t>
      </w:r>
      <w:r>
        <w:rPr>
          <w:spacing w:val="-14"/>
        </w:rPr>
        <w:t> </w:t>
      </w:r>
      <w:r>
        <w:rPr/>
        <w:t>del</w:t>
      </w:r>
      <w:r>
        <w:rPr>
          <w:spacing w:val="-14"/>
        </w:rPr>
        <w:t> </w:t>
      </w:r>
      <w:r>
        <w:rPr/>
        <w:t>vencimiento</w:t>
      </w:r>
      <w:r>
        <w:rPr>
          <w:spacing w:val="-14"/>
        </w:rPr>
        <w:t> </w:t>
      </w:r>
      <w:r>
        <w:rPr/>
        <w:t>de</w:t>
      </w:r>
      <w:r>
        <w:rPr>
          <w:spacing w:val="-13"/>
        </w:rPr>
        <w:t> </w:t>
      </w:r>
      <w:r>
        <w:rPr/>
        <w:t>las</w:t>
      </w:r>
      <w:r>
        <w:rPr>
          <w:spacing w:val="-14"/>
        </w:rPr>
        <w:t> </w:t>
      </w:r>
      <w:r>
        <w:rPr/>
        <w:t>cuentas por cobrar registradas.</w:t>
      </w:r>
    </w:p>
    <w:p>
      <w:pPr>
        <w:pStyle w:val="BodyText"/>
        <w:spacing w:before="20"/>
      </w:pPr>
    </w:p>
    <w:p>
      <w:pPr>
        <w:pStyle w:val="BodyText"/>
        <w:spacing w:line="276" w:lineRule="auto" w:before="1"/>
        <w:ind w:left="734" w:right="1089" w:firstLine="55"/>
        <w:jc w:val="both"/>
      </w:pPr>
      <w:r>
        <w:rPr/>
        <w:t>Al cierre de cada período sobre el que se informa, la entidad evalúa si existe evidencia objetiva de deterioro de los activos financieros medidos al costo amortizado o clasificados como disponibles para la venta. El deterioro se reconoce únicamente cuando existe un evento ocurrido después del reconocimiento inicial que tenga un impacto medible y fiable sobre los flujos de efectivo futuros </w:t>
      </w:r>
      <w:r>
        <w:rPr>
          <w:spacing w:val="-2"/>
        </w:rPr>
        <w:t>estimados.</w:t>
      </w:r>
    </w:p>
    <w:p>
      <w:pPr>
        <w:pStyle w:val="BodyText"/>
        <w:spacing w:line="276" w:lineRule="auto" w:before="120"/>
        <w:ind w:left="734" w:right="1089"/>
        <w:jc w:val="both"/>
      </w:pPr>
      <w:r>
        <w:rPr/>
        <w:t>La pérdida por deterioro se reconoce en resultados y se mide como la diferencia entre el importe en libros del activo y su valor recuperable estimado. Las pérdidas por deterioro pueden revertirse en períodos posteriores cuando exista evidencia objetiva de recuperación, sin que el importe en libros</w:t>
      </w:r>
      <w:r>
        <w:rPr>
          <w:spacing w:val="-4"/>
        </w:rPr>
        <w:t> </w:t>
      </w:r>
      <w:r>
        <w:rPr/>
        <w:t>supere</w:t>
      </w:r>
      <w:r>
        <w:rPr>
          <w:spacing w:val="-5"/>
        </w:rPr>
        <w:t> </w:t>
      </w:r>
      <w:r>
        <w:rPr/>
        <w:t>el</w:t>
      </w:r>
      <w:r>
        <w:rPr>
          <w:spacing w:val="-3"/>
        </w:rPr>
        <w:t> </w:t>
      </w:r>
      <w:r>
        <w:rPr/>
        <w:t>costo</w:t>
      </w:r>
      <w:r>
        <w:rPr>
          <w:spacing w:val="-4"/>
        </w:rPr>
        <w:t> </w:t>
      </w:r>
      <w:r>
        <w:rPr/>
        <w:t>amortizado</w:t>
      </w:r>
      <w:r>
        <w:rPr>
          <w:spacing w:val="-5"/>
        </w:rPr>
        <w:t> </w:t>
      </w:r>
      <w:r>
        <w:rPr/>
        <w:t>que</w:t>
      </w:r>
      <w:r>
        <w:rPr>
          <w:spacing w:val="-5"/>
        </w:rPr>
        <w:t> </w:t>
      </w:r>
      <w:r>
        <w:rPr/>
        <w:t>habría</w:t>
      </w:r>
      <w:r>
        <w:rPr>
          <w:spacing w:val="-4"/>
        </w:rPr>
        <w:t> </w:t>
      </w:r>
      <w:r>
        <w:rPr/>
        <w:t>correspondido</w:t>
      </w:r>
      <w:r>
        <w:rPr>
          <w:spacing w:val="-3"/>
        </w:rPr>
        <w:t> </w:t>
      </w:r>
      <w:r>
        <w:rPr/>
        <w:t>de</w:t>
      </w:r>
      <w:r>
        <w:rPr>
          <w:spacing w:val="-5"/>
        </w:rPr>
        <w:t> </w:t>
      </w:r>
      <w:r>
        <w:rPr/>
        <w:t>no</w:t>
      </w:r>
      <w:r>
        <w:rPr>
          <w:spacing w:val="-5"/>
        </w:rPr>
        <w:t> </w:t>
      </w:r>
      <w:r>
        <w:rPr/>
        <w:t>haberse</w:t>
      </w:r>
      <w:r>
        <w:rPr>
          <w:spacing w:val="-4"/>
        </w:rPr>
        <w:t> </w:t>
      </w:r>
      <w:r>
        <w:rPr/>
        <w:t>reconocido</w:t>
      </w:r>
      <w:r>
        <w:rPr>
          <w:spacing w:val="-3"/>
        </w:rPr>
        <w:t> </w:t>
      </w:r>
      <w:r>
        <w:rPr/>
        <w:t>el</w:t>
      </w:r>
      <w:r>
        <w:rPr>
          <w:spacing w:val="-3"/>
        </w:rPr>
        <w:t> </w:t>
      </w:r>
      <w:r>
        <w:rPr/>
        <w:t>deterioro.</w:t>
      </w:r>
    </w:p>
    <w:p>
      <w:pPr>
        <w:pStyle w:val="Heading6"/>
        <w:spacing w:before="120"/>
        <w:ind w:left="734"/>
        <w:jc w:val="both"/>
      </w:pPr>
      <w:r>
        <w:rPr/>
        <w:t>Pasivos</w:t>
      </w:r>
      <w:r>
        <w:rPr>
          <w:spacing w:val="-2"/>
        </w:rPr>
        <w:t> financieros</w:t>
      </w:r>
    </w:p>
    <w:p>
      <w:pPr>
        <w:pStyle w:val="BodyText"/>
        <w:spacing w:line="276" w:lineRule="auto" w:before="178"/>
        <w:ind w:left="734" w:right="1092"/>
        <w:jc w:val="both"/>
      </w:pPr>
      <w:r>
        <w:rPr/>
        <w:t>Los pasivos financieros se reconocen cuando la entidad</w:t>
      </w:r>
      <w:r>
        <w:rPr>
          <w:spacing w:val="-1"/>
        </w:rPr>
        <w:t> </w:t>
      </w:r>
      <w:r>
        <w:rPr/>
        <w:t>asume una</w:t>
      </w:r>
      <w:r>
        <w:rPr>
          <w:spacing w:val="-1"/>
        </w:rPr>
        <w:t> </w:t>
      </w:r>
      <w:r>
        <w:rPr/>
        <w:t>obligación contractual presente de entregar efectivo u otro activo financiero, o de intercambiar instrumentos financieros en condiciones desfavorables.</w:t>
      </w:r>
    </w:p>
    <w:p>
      <w:pPr>
        <w:pStyle w:val="BodyText"/>
        <w:spacing w:line="276" w:lineRule="auto" w:before="121"/>
        <w:ind w:left="734" w:right="1090"/>
        <w:jc w:val="both"/>
      </w:pPr>
      <w:r>
        <w:rPr/>
        <w:t>El</w:t>
      </w:r>
      <w:r>
        <w:rPr>
          <w:spacing w:val="-1"/>
        </w:rPr>
        <w:t> </w:t>
      </w:r>
      <w:r>
        <w:rPr/>
        <w:t>reconocimiento inicial</w:t>
      </w:r>
      <w:r>
        <w:rPr>
          <w:spacing w:val="-1"/>
        </w:rPr>
        <w:t> </w:t>
      </w:r>
      <w:r>
        <w:rPr/>
        <w:t>de</w:t>
      </w:r>
      <w:r>
        <w:rPr>
          <w:spacing w:val="-2"/>
        </w:rPr>
        <w:t> </w:t>
      </w:r>
      <w:r>
        <w:rPr/>
        <w:t>los pasivos</w:t>
      </w:r>
      <w:r>
        <w:rPr>
          <w:spacing w:val="-1"/>
        </w:rPr>
        <w:t> </w:t>
      </w:r>
      <w:r>
        <w:rPr/>
        <w:t>financieros se</w:t>
      </w:r>
      <w:r>
        <w:rPr>
          <w:spacing w:val="-3"/>
        </w:rPr>
        <w:t> </w:t>
      </w:r>
      <w:r>
        <w:rPr/>
        <w:t>realiza por su valor</w:t>
      </w:r>
      <w:r>
        <w:rPr>
          <w:spacing w:val="-2"/>
        </w:rPr>
        <w:t> </w:t>
      </w:r>
      <w:r>
        <w:rPr/>
        <w:t>razonable, incrementado por los costos de transacción directamente atribuibles, excepto cuando se midan a valor razonable con cambios en resultados. Posteriormente, los pasivos financieros se miden al costo amortizado utilizando el método de la tasa de interés efectiva, salvo aquellos que deban mantenerse a valor razonable conforme a la normativa aplicable.</w:t>
      </w:r>
    </w:p>
    <w:p>
      <w:pPr>
        <w:pStyle w:val="BodyText"/>
        <w:spacing w:line="276" w:lineRule="auto" w:before="120"/>
        <w:ind w:left="734" w:right="1092"/>
        <w:jc w:val="both"/>
      </w:pPr>
      <w:r>
        <w:rPr/>
        <w:t>La clasificación de los pasivos financieros se efectúa atendiendo a su esencia económica, independientemente de su denominación legal.</w:t>
      </w:r>
    </w:p>
    <w:p>
      <w:pPr>
        <w:pStyle w:val="BodyText"/>
        <w:spacing w:before="121"/>
        <w:ind w:left="734"/>
        <w:jc w:val="both"/>
      </w:pPr>
      <w:r>
        <w:rPr/>
        <w:t>Baja</w:t>
      </w:r>
      <w:r>
        <w:rPr>
          <w:spacing w:val="-6"/>
        </w:rPr>
        <w:t> </w:t>
      </w:r>
      <w:r>
        <w:rPr/>
        <w:t>en</w:t>
      </w:r>
      <w:r>
        <w:rPr>
          <w:spacing w:val="-3"/>
        </w:rPr>
        <w:t> </w:t>
      </w:r>
      <w:r>
        <w:rPr>
          <w:spacing w:val="-2"/>
        </w:rPr>
        <w:t>cuentas</w:t>
      </w:r>
    </w:p>
    <w:p>
      <w:pPr>
        <w:pStyle w:val="BodyText"/>
        <w:spacing w:line="276" w:lineRule="auto" w:before="157"/>
        <w:ind w:left="734" w:right="1090"/>
        <w:jc w:val="both"/>
      </w:pPr>
      <w:r>
        <w:rPr/>
        <w:t>Un activo financiero se da de baja cuando expiran los derechos contractuales sobre los flujos de efectivo o</w:t>
      </w:r>
      <w:r>
        <w:rPr>
          <w:spacing w:val="2"/>
        </w:rPr>
        <w:t> </w:t>
      </w:r>
      <w:r>
        <w:rPr/>
        <w:t>cuando</w:t>
      </w:r>
      <w:r>
        <w:rPr>
          <w:spacing w:val="2"/>
        </w:rPr>
        <w:t> </w:t>
      </w:r>
      <w:r>
        <w:rPr/>
        <w:t>dichos</w:t>
      </w:r>
      <w:r>
        <w:rPr>
          <w:spacing w:val="2"/>
        </w:rPr>
        <w:t> </w:t>
      </w:r>
      <w:r>
        <w:rPr/>
        <w:t>derechos</w:t>
      </w:r>
      <w:r>
        <w:rPr>
          <w:spacing w:val="2"/>
        </w:rPr>
        <w:t> </w:t>
      </w:r>
      <w:r>
        <w:rPr/>
        <w:t>se</w:t>
      </w:r>
      <w:r>
        <w:rPr>
          <w:spacing w:val="1"/>
        </w:rPr>
        <w:t> </w:t>
      </w:r>
      <w:r>
        <w:rPr/>
        <w:t>transfieren</w:t>
      </w:r>
      <w:r>
        <w:rPr>
          <w:spacing w:val="1"/>
        </w:rPr>
        <w:t> </w:t>
      </w:r>
      <w:r>
        <w:rPr/>
        <w:t>y la entidad</w:t>
      </w:r>
      <w:r>
        <w:rPr>
          <w:spacing w:val="2"/>
        </w:rPr>
        <w:t> </w:t>
      </w:r>
      <w:r>
        <w:rPr/>
        <w:t>ha cedido</w:t>
      </w:r>
      <w:r>
        <w:rPr>
          <w:spacing w:val="2"/>
        </w:rPr>
        <w:t> </w:t>
      </w:r>
      <w:r>
        <w:rPr/>
        <w:t>sustancialmente</w:t>
      </w:r>
      <w:r>
        <w:rPr>
          <w:spacing w:val="1"/>
        </w:rPr>
        <w:t> </w:t>
      </w:r>
      <w:r>
        <w:rPr/>
        <w:t>los</w:t>
      </w:r>
      <w:r>
        <w:rPr>
          <w:spacing w:val="4"/>
        </w:rPr>
        <w:t> </w:t>
      </w:r>
      <w:r>
        <w:rPr>
          <w:spacing w:val="-2"/>
        </w:rPr>
        <w:t>riesgos</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3408">
                <wp:simplePos x="0" y="0"/>
                <wp:positionH relativeFrom="page">
                  <wp:posOffset>9525</wp:posOffset>
                </wp:positionH>
                <wp:positionV relativeFrom="page">
                  <wp:posOffset>297208</wp:posOffset>
                </wp:positionV>
                <wp:extent cx="7762875" cy="9748520"/>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7762875" cy="9748520"/>
                          <a:chExt cx="7762875" cy="9748520"/>
                        </a:xfrm>
                      </wpg:grpSpPr>
                      <pic:pic>
                        <pic:nvPicPr>
                          <pic:cNvPr id="134" name="Image 134"/>
                          <pic:cNvPicPr/>
                        </pic:nvPicPr>
                        <pic:blipFill>
                          <a:blip r:embed="rId5" cstate="print"/>
                          <a:stretch>
                            <a:fillRect/>
                          </a:stretch>
                        </pic:blipFill>
                        <pic:spPr>
                          <a:xfrm>
                            <a:off x="0" y="0"/>
                            <a:ext cx="7762874" cy="9748489"/>
                          </a:xfrm>
                          <a:prstGeom prst="rect">
                            <a:avLst/>
                          </a:prstGeom>
                        </pic:spPr>
                      </pic:pic>
                      <wps:wsp>
                        <wps:cNvPr id="135" name="Graphic 13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3072" id="docshapegroup132" coordorigin="15,468" coordsize="12225,15352">
                <v:shape style="position:absolute;left:15;top:468;width:12225;height:15352" type="#_x0000_t75" id="docshape133" stroked="false">
                  <v:imagedata r:id="rId5" o:title=""/>
                </v:shape>
                <v:rect style="position:absolute;left:1673;top:2028;width:8897;height:15" id="docshape13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39</w:t>
      </w:r>
    </w:p>
    <w:p>
      <w:pPr>
        <w:pStyle w:val="BodyText"/>
        <w:spacing w:before="10"/>
        <w:rPr>
          <w:sz w:val="16"/>
        </w:rPr>
      </w:pPr>
      <w:r>
        <w:rPr>
          <w:sz w:val="16"/>
        </w:rPr>
        <mc:AlternateContent>
          <mc:Choice Requires="wps">
            <w:drawing>
              <wp:anchor distT="0" distB="0" distL="0" distR="0" allowOverlap="1" layoutInCell="1" locked="0" behindDoc="1" simplePos="0" relativeHeight="487614976">
                <wp:simplePos x="0" y="0"/>
                <wp:positionH relativeFrom="page">
                  <wp:posOffset>1083868</wp:posOffset>
                </wp:positionH>
                <wp:positionV relativeFrom="paragraph">
                  <wp:posOffset>141144</wp:posOffset>
                </wp:positionV>
                <wp:extent cx="5607050" cy="1583690"/>
                <wp:effectExtent l="0" t="0" r="0" b="0"/>
                <wp:wrapTopAndBottom/>
                <wp:docPr id="136" name="Textbox 136"/>
                <wp:cNvGraphicFramePr>
                  <a:graphicFrameLocks/>
                </wp:cNvGraphicFramePr>
                <a:graphic>
                  <a:graphicData uri="http://schemas.microsoft.com/office/word/2010/wordprocessingShape">
                    <wps:wsp>
                      <wps:cNvPr id="136" name="Textbox 136"/>
                      <wps:cNvSpPr txBox="1"/>
                      <wps:spPr>
                        <a:xfrm>
                          <a:off x="0" y="0"/>
                          <a:ext cx="5607050" cy="1583690"/>
                        </a:xfrm>
                        <a:prstGeom prst="rect">
                          <a:avLst/>
                        </a:prstGeom>
                        <a:ln w="6095">
                          <a:solidFill>
                            <a:srgbClr val="000000"/>
                          </a:solidFill>
                          <a:prstDash val="solid"/>
                        </a:ln>
                      </wps:spPr>
                      <wps:txbx>
                        <w:txbxContent>
                          <w:p>
                            <w:pPr>
                              <w:pStyle w:val="BodyText"/>
                              <w:spacing w:line="278" w:lineRule="auto"/>
                              <w:ind w:left="103" w:right="103"/>
                              <w:jc w:val="both"/>
                            </w:pPr>
                            <w:r>
                              <w:rPr/>
                              <w:t>y</w:t>
                            </w:r>
                            <w:r>
                              <w:rPr>
                                <w:spacing w:val="-5"/>
                              </w:rPr>
                              <w:t> </w:t>
                            </w:r>
                            <w:r>
                              <w:rPr/>
                              <w:t>beneficios</w:t>
                            </w:r>
                            <w:r>
                              <w:rPr>
                                <w:spacing w:val="-3"/>
                              </w:rPr>
                              <w:t> </w:t>
                            </w:r>
                            <w:r>
                              <w:rPr/>
                              <w:t>asociados.</w:t>
                            </w:r>
                            <w:r>
                              <w:rPr>
                                <w:spacing w:val="-5"/>
                              </w:rPr>
                              <w:t> </w:t>
                            </w:r>
                            <w:r>
                              <w:rPr/>
                              <w:t>En</w:t>
                            </w:r>
                            <w:r>
                              <w:rPr>
                                <w:spacing w:val="-3"/>
                              </w:rPr>
                              <w:t> </w:t>
                            </w:r>
                            <w:r>
                              <w:rPr/>
                              <w:t>caso</w:t>
                            </w:r>
                            <w:r>
                              <w:rPr>
                                <w:spacing w:val="-3"/>
                              </w:rPr>
                              <w:t> </w:t>
                            </w:r>
                            <w:r>
                              <w:rPr/>
                              <w:t>de</w:t>
                            </w:r>
                            <w:r>
                              <w:rPr>
                                <w:spacing w:val="-5"/>
                              </w:rPr>
                              <w:t> </w:t>
                            </w:r>
                            <w:r>
                              <w:rPr/>
                              <w:t>que</w:t>
                            </w:r>
                            <w:r>
                              <w:rPr>
                                <w:spacing w:val="-5"/>
                              </w:rPr>
                              <w:t> </w:t>
                            </w:r>
                            <w:r>
                              <w:rPr/>
                              <w:t>la</w:t>
                            </w:r>
                            <w:r>
                              <w:rPr>
                                <w:spacing w:val="-5"/>
                              </w:rPr>
                              <w:t> </w:t>
                            </w:r>
                            <w:r>
                              <w:rPr/>
                              <w:t>entidad</w:t>
                            </w:r>
                            <w:r>
                              <w:rPr>
                                <w:spacing w:val="-4"/>
                              </w:rPr>
                              <w:t> </w:t>
                            </w:r>
                            <w:r>
                              <w:rPr/>
                              <w:t>conserve</w:t>
                            </w:r>
                            <w:r>
                              <w:rPr>
                                <w:spacing w:val="-5"/>
                              </w:rPr>
                              <w:t> </w:t>
                            </w:r>
                            <w:r>
                              <w:rPr/>
                              <w:t>el</w:t>
                            </w:r>
                            <w:r>
                              <w:rPr>
                                <w:spacing w:val="-4"/>
                              </w:rPr>
                              <w:t> </w:t>
                            </w:r>
                            <w:r>
                              <w:rPr/>
                              <w:t>control</w:t>
                            </w:r>
                            <w:r>
                              <w:rPr>
                                <w:spacing w:val="-4"/>
                              </w:rPr>
                              <w:t> </w:t>
                            </w:r>
                            <w:r>
                              <w:rPr/>
                              <w:t>o</w:t>
                            </w:r>
                            <w:r>
                              <w:rPr>
                                <w:spacing w:val="-3"/>
                              </w:rPr>
                              <w:t> </w:t>
                            </w:r>
                            <w:r>
                              <w:rPr/>
                              <w:t>una</w:t>
                            </w:r>
                            <w:r>
                              <w:rPr>
                                <w:spacing w:val="-4"/>
                              </w:rPr>
                              <w:t> </w:t>
                            </w:r>
                            <w:r>
                              <w:rPr/>
                              <w:t>implicación</w:t>
                            </w:r>
                            <w:r>
                              <w:rPr>
                                <w:spacing w:val="-3"/>
                              </w:rPr>
                              <w:t> </w:t>
                            </w:r>
                            <w:r>
                              <w:rPr/>
                              <w:t>continuada, el activo se mantiene reconocido en la medida correspondiente.</w:t>
                            </w:r>
                          </w:p>
                          <w:p>
                            <w:pPr>
                              <w:pStyle w:val="BodyText"/>
                              <w:spacing w:line="259" w:lineRule="auto" w:before="116"/>
                              <w:ind w:left="103" w:right="100"/>
                              <w:jc w:val="both"/>
                            </w:pPr>
                            <w:r>
                              <w:rPr/>
                              <w:t>Un pasivo financiero se da de baja cuando la obligación contractual se extingue, ya sea por pago, condonación, cancelación</w:t>
                            </w:r>
                            <w:r>
                              <w:rPr>
                                <w:spacing w:val="-1"/>
                              </w:rPr>
                              <w:t> </w:t>
                            </w:r>
                            <w:r>
                              <w:rPr/>
                              <w:t>o vencimiento. Las modificaciones sustanciales en las condiciones de un pasivo</w:t>
                            </w:r>
                            <w:r>
                              <w:rPr>
                                <w:spacing w:val="-7"/>
                              </w:rPr>
                              <w:t> </w:t>
                            </w:r>
                            <w:r>
                              <w:rPr/>
                              <w:t>financiero</w:t>
                            </w:r>
                            <w:r>
                              <w:rPr>
                                <w:spacing w:val="-7"/>
                              </w:rPr>
                              <w:t> </w:t>
                            </w:r>
                            <w:r>
                              <w:rPr/>
                              <w:t>se</w:t>
                            </w:r>
                            <w:r>
                              <w:rPr>
                                <w:spacing w:val="-7"/>
                              </w:rPr>
                              <w:t> </w:t>
                            </w:r>
                            <w:r>
                              <w:rPr/>
                              <w:t>contabilizan</w:t>
                            </w:r>
                            <w:r>
                              <w:rPr>
                                <w:spacing w:val="-5"/>
                              </w:rPr>
                              <w:t> </w:t>
                            </w:r>
                            <w:r>
                              <w:rPr/>
                              <w:t>como</w:t>
                            </w:r>
                            <w:r>
                              <w:rPr>
                                <w:spacing w:val="-7"/>
                              </w:rPr>
                              <w:t> </w:t>
                            </w:r>
                            <w:r>
                              <w:rPr/>
                              <w:t>la</w:t>
                            </w:r>
                            <w:r>
                              <w:rPr>
                                <w:spacing w:val="-7"/>
                              </w:rPr>
                              <w:t> </w:t>
                            </w:r>
                            <w:r>
                              <w:rPr/>
                              <w:t>baja</w:t>
                            </w:r>
                            <w:r>
                              <w:rPr>
                                <w:spacing w:val="-6"/>
                              </w:rPr>
                              <w:t> </w:t>
                            </w:r>
                            <w:r>
                              <w:rPr/>
                              <w:t>del</w:t>
                            </w:r>
                            <w:r>
                              <w:rPr>
                                <w:spacing w:val="-6"/>
                              </w:rPr>
                              <w:t> </w:t>
                            </w:r>
                            <w:r>
                              <w:rPr/>
                              <w:t>pasivo</w:t>
                            </w:r>
                            <w:r>
                              <w:rPr>
                                <w:spacing w:val="-7"/>
                              </w:rPr>
                              <w:t> </w:t>
                            </w:r>
                            <w:r>
                              <w:rPr/>
                              <w:t>original</w:t>
                            </w:r>
                            <w:r>
                              <w:rPr>
                                <w:spacing w:val="-8"/>
                              </w:rPr>
                              <w:t> </w:t>
                            </w:r>
                            <w:r>
                              <w:rPr/>
                              <w:t>y</w:t>
                            </w:r>
                            <w:r>
                              <w:rPr>
                                <w:spacing w:val="-7"/>
                              </w:rPr>
                              <w:t> </w:t>
                            </w:r>
                            <w:r>
                              <w:rPr/>
                              <w:t>el</w:t>
                            </w:r>
                            <w:r>
                              <w:rPr>
                                <w:spacing w:val="-6"/>
                              </w:rPr>
                              <w:t> </w:t>
                            </w:r>
                            <w:r>
                              <w:rPr/>
                              <w:t>reconocimiento</w:t>
                            </w:r>
                            <w:r>
                              <w:rPr>
                                <w:spacing w:val="-5"/>
                              </w:rPr>
                              <w:t> </w:t>
                            </w:r>
                            <w:r>
                              <w:rPr/>
                              <w:t>de</w:t>
                            </w:r>
                            <w:r>
                              <w:rPr>
                                <w:spacing w:val="-7"/>
                              </w:rPr>
                              <w:t> </w:t>
                            </w:r>
                            <w:r>
                              <w:rPr/>
                              <w:t>uno</w:t>
                            </w:r>
                            <w:r>
                              <w:rPr>
                                <w:spacing w:val="-7"/>
                              </w:rPr>
                              <w:t> </w:t>
                            </w:r>
                            <w:r>
                              <w:rPr/>
                              <w:t>nuevo. Las diferencias que surjan como resultado de la baja en cuentas de activos o pasivos financieros se reconocen</w:t>
                            </w:r>
                            <w:r>
                              <w:rPr>
                                <w:spacing w:val="-3"/>
                              </w:rPr>
                              <w:t> </w:t>
                            </w:r>
                            <w:r>
                              <w:rPr/>
                              <w:t>en</w:t>
                            </w:r>
                            <w:r>
                              <w:rPr>
                                <w:spacing w:val="-3"/>
                              </w:rPr>
                              <w:t> </w:t>
                            </w:r>
                            <w:r>
                              <w:rPr/>
                              <w:t>el</w:t>
                            </w:r>
                            <w:r>
                              <w:rPr>
                                <w:spacing w:val="-4"/>
                              </w:rPr>
                              <w:t> </w:t>
                            </w:r>
                            <w:r>
                              <w:rPr/>
                              <w:t>resultado</w:t>
                            </w:r>
                            <w:r>
                              <w:rPr>
                                <w:spacing w:val="-3"/>
                              </w:rPr>
                              <w:t> </w:t>
                            </w:r>
                            <w:r>
                              <w:rPr/>
                              <w:t>del</w:t>
                            </w:r>
                            <w:r>
                              <w:rPr>
                                <w:spacing w:val="-4"/>
                              </w:rPr>
                              <w:t> </w:t>
                            </w:r>
                            <w:r>
                              <w:rPr/>
                              <w:t>período</w:t>
                            </w:r>
                            <w:r>
                              <w:rPr>
                                <w:spacing w:val="-3"/>
                              </w:rPr>
                              <w:t> </w:t>
                            </w:r>
                            <w:r>
                              <w:rPr/>
                              <w:t>en</w:t>
                            </w:r>
                            <w:r>
                              <w:rPr>
                                <w:spacing w:val="-3"/>
                              </w:rPr>
                              <w:t> </w:t>
                            </w:r>
                            <w:r>
                              <w:rPr/>
                              <w:t>que</w:t>
                            </w:r>
                            <w:r>
                              <w:rPr>
                                <w:spacing w:val="-5"/>
                              </w:rPr>
                              <w:t> </w:t>
                            </w:r>
                            <w:r>
                              <w:rPr/>
                              <w:t>ocurren</w:t>
                            </w:r>
                            <w:r>
                              <w:rPr>
                                <w:spacing w:val="-3"/>
                              </w:rPr>
                              <w:t> </w:t>
                            </w:r>
                            <w:r>
                              <w:rPr/>
                              <w:t>(en</w:t>
                            </w:r>
                            <w:r>
                              <w:rPr>
                                <w:spacing w:val="-3"/>
                              </w:rPr>
                              <w:t> </w:t>
                            </w:r>
                            <w:r>
                              <w:rPr/>
                              <w:t>la</w:t>
                            </w:r>
                            <w:r>
                              <w:rPr>
                                <w:spacing w:val="-5"/>
                              </w:rPr>
                              <w:t> </w:t>
                            </w:r>
                            <w:r>
                              <w:rPr/>
                              <w:t>nota</w:t>
                            </w:r>
                            <w:r>
                              <w:rPr>
                                <w:spacing w:val="-4"/>
                              </w:rPr>
                              <w:t> </w:t>
                            </w:r>
                            <w:r>
                              <w:rPr/>
                              <w:t>N°</w:t>
                            </w:r>
                            <w:r>
                              <w:rPr>
                                <w:spacing w:val="-1"/>
                              </w:rPr>
                              <w:t> </w:t>
                            </w:r>
                            <w:r>
                              <w:rPr/>
                              <w:t>94</w:t>
                            </w:r>
                            <w:r>
                              <w:rPr>
                                <w:spacing w:val="-3"/>
                              </w:rPr>
                              <w:t> </w:t>
                            </w:r>
                            <w:r>
                              <w:rPr/>
                              <w:t>se</w:t>
                            </w:r>
                            <w:r>
                              <w:rPr>
                                <w:spacing w:val="-5"/>
                              </w:rPr>
                              <w:t> </w:t>
                            </w:r>
                            <w:r>
                              <w:rPr/>
                              <w:t>revelan</w:t>
                            </w:r>
                            <w:r>
                              <w:rPr>
                                <w:spacing w:val="-1"/>
                              </w:rPr>
                              <w:t> </w:t>
                            </w:r>
                            <w:r>
                              <w:rPr/>
                              <w:t>mayor</w:t>
                            </w:r>
                            <w:r>
                              <w:rPr>
                                <w:spacing w:val="-4"/>
                              </w:rPr>
                              <w:t> </w:t>
                            </w:r>
                            <w:r>
                              <w:rPr/>
                              <w:t>detalle</w:t>
                            </w:r>
                            <w:r>
                              <w:rPr>
                                <w:spacing w:val="-5"/>
                              </w:rPr>
                              <w:t> </w:t>
                            </w:r>
                            <w:r>
                              <w:rPr/>
                              <w:t>de las políticas, procedimiento y saldos de los instrumentos financieros del periodo).</w:t>
                            </w:r>
                          </w:p>
                        </w:txbxContent>
                      </wps:txbx>
                      <wps:bodyPr wrap="square" lIns="0" tIns="0" rIns="0" bIns="0" rtlCol="0">
                        <a:noAutofit/>
                      </wps:bodyPr>
                    </wps:wsp>
                  </a:graphicData>
                </a:graphic>
              </wp:anchor>
            </w:drawing>
          </mc:Choice>
          <mc:Fallback>
            <w:pict>
              <v:shape style="position:absolute;margin-left:85.344002pt;margin-top:11.11375pt;width:441.5pt;height:124.7pt;mso-position-horizontal-relative:page;mso-position-vertical-relative:paragraph;z-index:-15701504;mso-wrap-distance-left:0;mso-wrap-distance-right:0" type="#_x0000_t202" id="docshape135" filled="false" stroked="true" strokeweight=".47998pt" strokecolor="#000000">
                <v:textbox inset="0,0,0,0">
                  <w:txbxContent>
                    <w:p>
                      <w:pPr>
                        <w:pStyle w:val="BodyText"/>
                        <w:spacing w:line="278" w:lineRule="auto"/>
                        <w:ind w:left="103" w:right="103"/>
                        <w:jc w:val="both"/>
                      </w:pPr>
                      <w:r>
                        <w:rPr/>
                        <w:t>y</w:t>
                      </w:r>
                      <w:r>
                        <w:rPr>
                          <w:spacing w:val="-5"/>
                        </w:rPr>
                        <w:t> </w:t>
                      </w:r>
                      <w:r>
                        <w:rPr/>
                        <w:t>beneficios</w:t>
                      </w:r>
                      <w:r>
                        <w:rPr>
                          <w:spacing w:val="-3"/>
                        </w:rPr>
                        <w:t> </w:t>
                      </w:r>
                      <w:r>
                        <w:rPr/>
                        <w:t>asociados.</w:t>
                      </w:r>
                      <w:r>
                        <w:rPr>
                          <w:spacing w:val="-5"/>
                        </w:rPr>
                        <w:t> </w:t>
                      </w:r>
                      <w:r>
                        <w:rPr/>
                        <w:t>En</w:t>
                      </w:r>
                      <w:r>
                        <w:rPr>
                          <w:spacing w:val="-3"/>
                        </w:rPr>
                        <w:t> </w:t>
                      </w:r>
                      <w:r>
                        <w:rPr/>
                        <w:t>caso</w:t>
                      </w:r>
                      <w:r>
                        <w:rPr>
                          <w:spacing w:val="-3"/>
                        </w:rPr>
                        <w:t> </w:t>
                      </w:r>
                      <w:r>
                        <w:rPr/>
                        <w:t>de</w:t>
                      </w:r>
                      <w:r>
                        <w:rPr>
                          <w:spacing w:val="-5"/>
                        </w:rPr>
                        <w:t> </w:t>
                      </w:r>
                      <w:r>
                        <w:rPr/>
                        <w:t>que</w:t>
                      </w:r>
                      <w:r>
                        <w:rPr>
                          <w:spacing w:val="-5"/>
                        </w:rPr>
                        <w:t> </w:t>
                      </w:r>
                      <w:r>
                        <w:rPr/>
                        <w:t>la</w:t>
                      </w:r>
                      <w:r>
                        <w:rPr>
                          <w:spacing w:val="-5"/>
                        </w:rPr>
                        <w:t> </w:t>
                      </w:r>
                      <w:r>
                        <w:rPr/>
                        <w:t>entidad</w:t>
                      </w:r>
                      <w:r>
                        <w:rPr>
                          <w:spacing w:val="-4"/>
                        </w:rPr>
                        <w:t> </w:t>
                      </w:r>
                      <w:r>
                        <w:rPr/>
                        <w:t>conserve</w:t>
                      </w:r>
                      <w:r>
                        <w:rPr>
                          <w:spacing w:val="-5"/>
                        </w:rPr>
                        <w:t> </w:t>
                      </w:r>
                      <w:r>
                        <w:rPr/>
                        <w:t>el</w:t>
                      </w:r>
                      <w:r>
                        <w:rPr>
                          <w:spacing w:val="-4"/>
                        </w:rPr>
                        <w:t> </w:t>
                      </w:r>
                      <w:r>
                        <w:rPr/>
                        <w:t>control</w:t>
                      </w:r>
                      <w:r>
                        <w:rPr>
                          <w:spacing w:val="-4"/>
                        </w:rPr>
                        <w:t> </w:t>
                      </w:r>
                      <w:r>
                        <w:rPr/>
                        <w:t>o</w:t>
                      </w:r>
                      <w:r>
                        <w:rPr>
                          <w:spacing w:val="-3"/>
                        </w:rPr>
                        <w:t> </w:t>
                      </w:r>
                      <w:r>
                        <w:rPr/>
                        <w:t>una</w:t>
                      </w:r>
                      <w:r>
                        <w:rPr>
                          <w:spacing w:val="-4"/>
                        </w:rPr>
                        <w:t> </w:t>
                      </w:r>
                      <w:r>
                        <w:rPr/>
                        <w:t>implicación</w:t>
                      </w:r>
                      <w:r>
                        <w:rPr>
                          <w:spacing w:val="-3"/>
                        </w:rPr>
                        <w:t> </w:t>
                      </w:r>
                      <w:r>
                        <w:rPr/>
                        <w:t>continuada, el activo se mantiene reconocido en la medida correspondiente.</w:t>
                      </w:r>
                    </w:p>
                    <w:p>
                      <w:pPr>
                        <w:pStyle w:val="BodyText"/>
                        <w:spacing w:line="259" w:lineRule="auto" w:before="116"/>
                        <w:ind w:left="103" w:right="100"/>
                        <w:jc w:val="both"/>
                      </w:pPr>
                      <w:r>
                        <w:rPr/>
                        <w:t>Un pasivo financiero se da de baja cuando la obligación contractual se extingue, ya sea por pago, condonación, cancelación</w:t>
                      </w:r>
                      <w:r>
                        <w:rPr>
                          <w:spacing w:val="-1"/>
                        </w:rPr>
                        <w:t> </w:t>
                      </w:r>
                      <w:r>
                        <w:rPr/>
                        <w:t>o vencimiento. Las modificaciones sustanciales en las condiciones de un pasivo</w:t>
                      </w:r>
                      <w:r>
                        <w:rPr>
                          <w:spacing w:val="-7"/>
                        </w:rPr>
                        <w:t> </w:t>
                      </w:r>
                      <w:r>
                        <w:rPr/>
                        <w:t>financiero</w:t>
                      </w:r>
                      <w:r>
                        <w:rPr>
                          <w:spacing w:val="-7"/>
                        </w:rPr>
                        <w:t> </w:t>
                      </w:r>
                      <w:r>
                        <w:rPr/>
                        <w:t>se</w:t>
                      </w:r>
                      <w:r>
                        <w:rPr>
                          <w:spacing w:val="-7"/>
                        </w:rPr>
                        <w:t> </w:t>
                      </w:r>
                      <w:r>
                        <w:rPr/>
                        <w:t>contabilizan</w:t>
                      </w:r>
                      <w:r>
                        <w:rPr>
                          <w:spacing w:val="-5"/>
                        </w:rPr>
                        <w:t> </w:t>
                      </w:r>
                      <w:r>
                        <w:rPr/>
                        <w:t>como</w:t>
                      </w:r>
                      <w:r>
                        <w:rPr>
                          <w:spacing w:val="-7"/>
                        </w:rPr>
                        <w:t> </w:t>
                      </w:r>
                      <w:r>
                        <w:rPr/>
                        <w:t>la</w:t>
                      </w:r>
                      <w:r>
                        <w:rPr>
                          <w:spacing w:val="-7"/>
                        </w:rPr>
                        <w:t> </w:t>
                      </w:r>
                      <w:r>
                        <w:rPr/>
                        <w:t>baja</w:t>
                      </w:r>
                      <w:r>
                        <w:rPr>
                          <w:spacing w:val="-6"/>
                        </w:rPr>
                        <w:t> </w:t>
                      </w:r>
                      <w:r>
                        <w:rPr/>
                        <w:t>del</w:t>
                      </w:r>
                      <w:r>
                        <w:rPr>
                          <w:spacing w:val="-6"/>
                        </w:rPr>
                        <w:t> </w:t>
                      </w:r>
                      <w:r>
                        <w:rPr/>
                        <w:t>pasivo</w:t>
                      </w:r>
                      <w:r>
                        <w:rPr>
                          <w:spacing w:val="-7"/>
                        </w:rPr>
                        <w:t> </w:t>
                      </w:r>
                      <w:r>
                        <w:rPr/>
                        <w:t>original</w:t>
                      </w:r>
                      <w:r>
                        <w:rPr>
                          <w:spacing w:val="-8"/>
                        </w:rPr>
                        <w:t> </w:t>
                      </w:r>
                      <w:r>
                        <w:rPr/>
                        <w:t>y</w:t>
                      </w:r>
                      <w:r>
                        <w:rPr>
                          <w:spacing w:val="-7"/>
                        </w:rPr>
                        <w:t> </w:t>
                      </w:r>
                      <w:r>
                        <w:rPr/>
                        <w:t>el</w:t>
                      </w:r>
                      <w:r>
                        <w:rPr>
                          <w:spacing w:val="-6"/>
                        </w:rPr>
                        <w:t> </w:t>
                      </w:r>
                      <w:r>
                        <w:rPr/>
                        <w:t>reconocimiento</w:t>
                      </w:r>
                      <w:r>
                        <w:rPr>
                          <w:spacing w:val="-5"/>
                        </w:rPr>
                        <w:t> </w:t>
                      </w:r>
                      <w:r>
                        <w:rPr/>
                        <w:t>de</w:t>
                      </w:r>
                      <w:r>
                        <w:rPr>
                          <w:spacing w:val="-7"/>
                        </w:rPr>
                        <w:t> </w:t>
                      </w:r>
                      <w:r>
                        <w:rPr/>
                        <w:t>uno</w:t>
                      </w:r>
                      <w:r>
                        <w:rPr>
                          <w:spacing w:val="-7"/>
                        </w:rPr>
                        <w:t> </w:t>
                      </w:r>
                      <w:r>
                        <w:rPr/>
                        <w:t>nuevo. Las diferencias que surjan como resultado de la baja en cuentas de activos o pasivos financieros se reconocen</w:t>
                      </w:r>
                      <w:r>
                        <w:rPr>
                          <w:spacing w:val="-3"/>
                        </w:rPr>
                        <w:t> </w:t>
                      </w:r>
                      <w:r>
                        <w:rPr/>
                        <w:t>en</w:t>
                      </w:r>
                      <w:r>
                        <w:rPr>
                          <w:spacing w:val="-3"/>
                        </w:rPr>
                        <w:t> </w:t>
                      </w:r>
                      <w:r>
                        <w:rPr/>
                        <w:t>el</w:t>
                      </w:r>
                      <w:r>
                        <w:rPr>
                          <w:spacing w:val="-4"/>
                        </w:rPr>
                        <w:t> </w:t>
                      </w:r>
                      <w:r>
                        <w:rPr/>
                        <w:t>resultado</w:t>
                      </w:r>
                      <w:r>
                        <w:rPr>
                          <w:spacing w:val="-3"/>
                        </w:rPr>
                        <w:t> </w:t>
                      </w:r>
                      <w:r>
                        <w:rPr/>
                        <w:t>del</w:t>
                      </w:r>
                      <w:r>
                        <w:rPr>
                          <w:spacing w:val="-4"/>
                        </w:rPr>
                        <w:t> </w:t>
                      </w:r>
                      <w:r>
                        <w:rPr/>
                        <w:t>período</w:t>
                      </w:r>
                      <w:r>
                        <w:rPr>
                          <w:spacing w:val="-3"/>
                        </w:rPr>
                        <w:t> </w:t>
                      </w:r>
                      <w:r>
                        <w:rPr/>
                        <w:t>en</w:t>
                      </w:r>
                      <w:r>
                        <w:rPr>
                          <w:spacing w:val="-3"/>
                        </w:rPr>
                        <w:t> </w:t>
                      </w:r>
                      <w:r>
                        <w:rPr/>
                        <w:t>que</w:t>
                      </w:r>
                      <w:r>
                        <w:rPr>
                          <w:spacing w:val="-5"/>
                        </w:rPr>
                        <w:t> </w:t>
                      </w:r>
                      <w:r>
                        <w:rPr/>
                        <w:t>ocurren</w:t>
                      </w:r>
                      <w:r>
                        <w:rPr>
                          <w:spacing w:val="-3"/>
                        </w:rPr>
                        <w:t> </w:t>
                      </w:r>
                      <w:r>
                        <w:rPr/>
                        <w:t>(en</w:t>
                      </w:r>
                      <w:r>
                        <w:rPr>
                          <w:spacing w:val="-3"/>
                        </w:rPr>
                        <w:t> </w:t>
                      </w:r>
                      <w:r>
                        <w:rPr/>
                        <w:t>la</w:t>
                      </w:r>
                      <w:r>
                        <w:rPr>
                          <w:spacing w:val="-5"/>
                        </w:rPr>
                        <w:t> </w:t>
                      </w:r>
                      <w:r>
                        <w:rPr/>
                        <w:t>nota</w:t>
                      </w:r>
                      <w:r>
                        <w:rPr>
                          <w:spacing w:val="-4"/>
                        </w:rPr>
                        <w:t> </w:t>
                      </w:r>
                      <w:r>
                        <w:rPr/>
                        <w:t>N°</w:t>
                      </w:r>
                      <w:r>
                        <w:rPr>
                          <w:spacing w:val="-1"/>
                        </w:rPr>
                        <w:t> </w:t>
                      </w:r>
                      <w:r>
                        <w:rPr/>
                        <w:t>94</w:t>
                      </w:r>
                      <w:r>
                        <w:rPr>
                          <w:spacing w:val="-3"/>
                        </w:rPr>
                        <w:t> </w:t>
                      </w:r>
                      <w:r>
                        <w:rPr/>
                        <w:t>se</w:t>
                      </w:r>
                      <w:r>
                        <w:rPr>
                          <w:spacing w:val="-5"/>
                        </w:rPr>
                        <w:t> </w:t>
                      </w:r>
                      <w:r>
                        <w:rPr/>
                        <w:t>revelan</w:t>
                      </w:r>
                      <w:r>
                        <w:rPr>
                          <w:spacing w:val="-1"/>
                        </w:rPr>
                        <w:t> </w:t>
                      </w:r>
                      <w:r>
                        <w:rPr/>
                        <w:t>mayor</w:t>
                      </w:r>
                      <w:r>
                        <w:rPr>
                          <w:spacing w:val="-4"/>
                        </w:rPr>
                        <w:t> </w:t>
                      </w:r>
                      <w:r>
                        <w:rPr/>
                        <w:t>detalle</w:t>
                      </w:r>
                      <w:r>
                        <w:rPr>
                          <w:spacing w:val="-5"/>
                        </w:rPr>
                        <w:t> </w:t>
                      </w:r>
                      <w:r>
                        <w:rPr/>
                        <w:t>de las políticas, procedimiento y saldos de los instrumentos financieros del periodo).</w:t>
                      </w:r>
                    </w:p>
                  </w:txbxContent>
                </v:textbox>
                <v:stroke dashstyle="solid"/>
                <w10:wrap type="topAndBottom"/>
              </v:shape>
            </w:pict>
          </mc:Fallback>
        </mc:AlternateContent>
      </w:r>
    </w:p>
    <w:p>
      <w:pPr>
        <w:pStyle w:val="BodyText"/>
        <w:spacing w:before="184"/>
      </w:pPr>
    </w:p>
    <w:p>
      <w:pPr>
        <w:pStyle w:val="Heading6"/>
        <w:numPr>
          <w:ilvl w:val="0"/>
          <w:numId w:val="13"/>
        </w:numPr>
        <w:tabs>
          <w:tab w:pos="1341" w:val="left" w:leader="none"/>
        </w:tabs>
        <w:spacing w:line="240" w:lineRule="auto" w:before="0" w:after="0"/>
        <w:ind w:left="1341" w:right="0" w:hanging="360"/>
        <w:jc w:val="left"/>
      </w:pPr>
      <w:bookmarkStart w:name="_bookmark20" w:id="21"/>
      <w:bookmarkEnd w:id="21"/>
      <w:r>
        <w:rPr>
          <w:b w:val="0"/>
        </w:rPr>
      </w:r>
      <w:r>
        <w:rPr>
          <w:color w:val="1F3762"/>
        </w:rPr>
        <w:t>Indicar</w:t>
      </w:r>
      <w:r>
        <w:rPr>
          <w:color w:val="1F3762"/>
          <w:spacing w:val="-3"/>
        </w:rPr>
        <w:t> </w:t>
      </w:r>
      <w:r>
        <w:rPr>
          <w:color w:val="1F3762"/>
        </w:rPr>
        <w:t>las</w:t>
      </w:r>
      <w:r>
        <w:rPr>
          <w:color w:val="1F3762"/>
          <w:spacing w:val="-4"/>
        </w:rPr>
        <w:t> </w:t>
      </w:r>
      <w:r>
        <w:rPr>
          <w:color w:val="1F3762"/>
        </w:rPr>
        <w:t>Políticas</w:t>
      </w:r>
      <w:r>
        <w:rPr>
          <w:color w:val="1F3762"/>
          <w:spacing w:val="-6"/>
        </w:rPr>
        <w:t> </w:t>
      </w:r>
      <w:r>
        <w:rPr>
          <w:color w:val="1F3762"/>
        </w:rPr>
        <w:t>materiales</w:t>
      </w:r>
      <w:r>
        <w:rPr>
          <w:color w:val="1F3762"/>
          <w:spacing w:val="-4"/>
        </w:rPr>
        <w:t> </w:t>
      </w:r>
      <w:r>
        <w:rPr>
          <w:color w:val="1F3762"/>
        </w:rPr>
        <w:t>del</w:t>
      </w:r>
      <w:r>
        <w:rPr>
          <w:color w:val="1F3762"/>
          <w:spacing w:val="-4"/>
        </w:rPr>
        <w:t> </w:t>
      </w:r>
      <w:r>
        <w:rPr>
          <w:color w:val="1F3762"/>
          <w:spacing w:val="-2"/>
        </w:rPr>
        <w:t>periodo.</w:t>
      </w:r>
    </w:p>
    <w:p>
      <w:pPr>
        <w:pStyle w:val="BodyText"/>
        <w:spacing w:before="10"/>
        <w:rPr>
          <w:b/>
          <w:sz w:val="8"/>
        </w:rPr>
      </w:pPr>
      <w:r>
        <w:rPr>
          <w:b/>
          <w:sz w:val="8"/>
        </w:rPr>
        <mc:AlternateContent>
          <mc:Choice Requires="wps">
            <w:drawing>
              <wp:anchor distT="0" distB="0" distL="0" distR="0" allowOverlap="1" layoutInCell="1" locked="0" behindDoc="1" simplePos="0" relativeHeight="487615488">
                <wp:simplePos x="0" y="0"/>
                <wp:positionH relativeFrom="page">
                  <wp:posOffset>1083868</wp:posOffset>
                </wp:positionH>
                <wp:positionV relativeFrom="paragraph">
                  <wp:posOffset>83010</wp:posOffset>
                </wp:positionV>
                <wp:extent cx="5607050" cy="2510790"/>
                <wp:effectExtent l="0" t="0" r="0" b="0"/>
                <wp:wrapTopAndBottom/>
                <wp:docPr id="137" name="Textbox 137"/>
                <wp:cNvGraphicFramePr>
                  <a:graphicFrameLocks/>
                </wp:cNvGraphicFramePr>
                <a:graphic>
                  <a:graphicData uri="http://schemas.microsoft.com/office/word/2010/wordprocessingShape">
                    <wps:wsp>
                      <wps:cNvPr id="137" name="Textbox 137"/>
                      <wps:cNvSpPr txBox="1"/>
                      <wps:spPr>
                        <a:xfrm>
                          <a:off x="0" y="0"/>
                          <a:ext cx="5607050" cy="25107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99"/>
                              <w:jc w:val="both"/>
                            </w:pPr>
                            <w:r>
                              <w:rPr/>
                              <w:t>La</w:t>
                            </w:r>
                            <w:r>
                              <w:rPr>
                                <w:spacing w:val="-3"/>
                              </w:rPr>
                              <w:t> </w:t>
                            </w:r>
                            <w:r>
                              <w:rPr/>
                              <w:t>información</w:t>
                            </w:r>
                            <w:r>
                              <w:rPr>
                                <w:spacing w:val="-2"/>
                              </w:rPr>
                              <w:t> </w:t>
                            </w:r>
                            <w:r>
                              <w:rPr/>
                              <w:t>financiera</w:t>
                            </w:r>
                            <w:r>
                              <w:rPr>
                                <w:spacing w:val="-3"/>
                              </w:rPr>
                              <w:t> </w:t>
                            </w:r>
                            <w:r>
                              <w:rPr/>
                              <w:t>se</w:t>
                            </w:r>
                            <w:r>
                              <w:rPr>
                                <w:spacing w:val="-3"/>
                              </w:rPr>
                              <w:t> </w:t>
                            </w:r>
                            <w:r>
                              <w:rPr/>
                              <w:t>elabora</w:t>
                            </w:r>
                            <w:r>
                              <w:rPr>
                                <w:spacing w:val="-2"/>
                              </w:rPr>
                              <w:t> </w:t>
                            </w:r>
                            <w:r>
                              <w:rPr/>
                              <w:t>de</w:t>
                            </w:r>
                            <w:r>
                              <w:rPr>
                                <w:spacing w:val="-4"/>
                              </w:rPr>
                              <w:t> </w:t>
                            </w:r>
                            <w:r>
                              <w:rPr/>
                              <w:t>manera</w:t>
                            </w:r>
                            <w:r>
                              <w:rPr>
                                <w:spacing w:val="-3"/>
                              </w:rPr>
                              <w:t> </w:t>
                            </w:r>
                            <w:r>
                              <w:rPr/>
                              <w:t>continua</w:t>
                            </w:r>
                            <w:r>
                              <w:rPr>
                                <w:spacing w:val="-3"/>
                              </w:rPr>
                              <w:t> </w:t>
                            </w:r>
                            <w:r>
                              <w:rPr/>
                              <w:t>y</w:t>
                            </w:r>
                            <w:r>
                              <w:rPr>
                                <w:spacing w:val="-3"/>
                              </w:rPr>
                              <w:t> </w:t>
                            </w:r>
                            <w:r>
                              <w:rPr/>
                              <w:t>recurrente</w:t>
                            </w:r>
                            <w:r>
                              <w:rPr>
                                <w:spacing w:val="-2"/>
                              </w:rPr>
                              <w:t> </w:t>
                            </w:r>
                            <w:r>
                              <w:rPr/>
                              <w:t>mediante</w:t>
                            </w:r>
                            <w:r>
                              <w:rPr>
                                <w:spacing w:val="-2"/>
                              </w:rPr>
                              <w:t> </w:t>
                            </w:r>
                            <w:r>
                              <w:rPr/>
                              <w:t>la implementación de las Políticas Contables Generales emitidas por la DGCN en su versión 2021, basadas en las NICSP</w:t>
                            </w:r>
                            <w:r>
                              <w:rPr>
                                <w:spacing w:val="-5"/>
                              </w:rPr>
                              <w:t> </w:t>
                            </w:r>
                            <w:r>
                              <w:rPr/>
                              <w:t>versión</w:t>
                            </w:r>
                            <w:r>
                              <w:rPr>
                                <w:spacing w:val="-2"/>
                              </w:rPr>
                              <w:t> </w:t>
                            </w:r>
                            <w:r>
                              <w:rPr/>
                              <w:t>2018</w:t>
                            </w:r>
                            <w:r>
                              <w:rPr>
                                <w:spacing w:val="-4"/>
                              </w:rPr>
                              <w:t> </w:t>
                            </w:r>
                            <w:r>
                              <w:rPr/>
                              <w:t>y,</w:t>
                            </w:r>
                            <w:r>
                              <w:rPr>
                                <w:spacing w:val="-5"/>
                              </w:rPr>
                              <w:t> </w:t>
                            </w:r>
                            <w:r>
                              <w:rPr/>
                              <w:t>para</w:t>
                            </w:r>
                            <w:r>
                              <w:rPr>
                                <w:spacing w:val="-5"/>
                              </w:rPr>
                              <w:t> </w:t>
                            </w:r>
                            <w:r>
                              <w:rPr/>
                              <w:t>el</w:t>
                            </w:r>
                            <w:r>
                              <w:rPr>
                                <w:spacing w:val="-2"/>
                              </w:rPr>
                              <w:t> </w:t>
                            </w:r>
                            <w:r>
                              <w:rPr/>
                              <w:t>tratamiento</w:t>
                            </w:r>
                            <w:r>
                              <w:rPr>
                                <w:spacing w:val="-3"/>
                              </w:rPr>
                              <w:t> </w:t>
                            </w:r>
                            <w:r>
                              <w:rPr/>
                              <w:t>contable,</w:t>
                            </w:r>
                            <w:r>
                              <w:rPr>
                                <w:spacing w:val="-2"/>
                              </w:rPr>
                              <w:t> </w:t>
                            </w:r>
                            <w:r>
                              <w:rPr/>
                              <w:t>se</w:t>
                            </w:r>
                            <w:r>
                              <w:rPr>
                                <w:spacing w:val="-8"/>
                              </w:rPr>
                              <w:t> </w:t>
                            </w:r>
                            <w:r>
                              <w:rPr/>
                              <w:t>aplican</w:t>
                            </w:r>
                            <w:r>
                              <w:rPr>
                                <w:spacing w:val="-2"/>
                              </w:rPr>
                              <w:t> </w:t>
                            </w:r>
                            <w:r>
                              <w:rPr/>
                              <w:t>únicamente</w:t>
                            </w:r>
                            <w:r>
                              <w:rPr>
                                <w:spacing w:val="-2"/>
                              </w:rPr>
                              <w:t> </w:t>
                            </w:r>
                            <w:r>
                              <w:rPr/>
                              <w:t>aquellas</w:t>
                            </w:r>
                            <w:r>
                              <w:rPr>
                                <w:spacing w:val="-1"/>
                              </w:rPr>
                              <w:t> </w:t>
                            </w:r>
                            <w:r>
                              <w:rPr/>
                              <w:t>políticas</w:t>
                            </w:r>
                            <w:r>
                              <w:rPr>
                                <w:spacing w:val="-4"/>
                              </w:rPr>
                              <w:t> </w:t>
                            </w:r>
                            <w:r>
                              <w:rPr/>
                              <w:t>que</w:t>
                            </w:r>
                            <w:r>
                              <w:rPr>
                                <w:spacing w:val="-6"/>
                              </w:rPr>
                              <w:t> </w:t>
                            </w:r>
                            <w:r>
                              <w:rPr/>
                              <w:t>se ajustan al alcance operacional de la entidad.</w:t>
                            </w:r>
                          </w:p>
                          <w:p>
                            <w:pPr>
                              <w:pStyle w:val="BodyText"/>
                              <w:spacing w:before="118"/>
                              <w:ind w:left="103" w:right="112"/>
                              <w:jc w:val="both"/>
                              <w:rPr>
                                <w:b/>
                              </w:rPr>
                            </w:pPr>
                            <w:r>
                              <w:rPr/>
                              <w:t>Las</w:t>
                            </w:r>
                            <w:r>
                              <w:rPr>
                                <w:spacing w:val="-2"/>
                              </w:rPr>
                              <w:t> </w:t>
                            </w:r>
                            <w:r>
                              <w:rPr/>
                              <w:t>Políticas</w:t>
                            </w:r>
                            <w:r>
                              <w:rPr>
                                <w:spacing w:val="-5"/>
                              </w:rPr>
                              <w:t> </w:t>
                            </w:r>
                            <w:r>
                              <w:rPr/>
                              <w:t>Contables</w:t>
                            </w:r>
                            <w:r>
                              <w:rPr>
                                <w:spacing w:val="-2"/>
                              </w:rPr>
                              <w:t> </w:t>
                            </w:r>
                            <w:r>
                              <w:rPr/>
                              <w:t>Generales</w:t>
                            </w:r>
                            <w:r>
                              <w:rPr>
                                <w:spacing w:val="-2"/>
                              </w:rPr>
                              <w:t> </w:t>
                            </w:r>
                            <w:r>
                              <w:rPr/>
                              <w:t>emitidas</w:t>
                            </w:r>
                            <w:r>
                              <w:rPr>
                                <w:spacing w:val="-2"/>
                              </w:rPr>
                              <w:t> </w:t>
                            </w:r>
                            <w:r>
                              <w:rPr/>
                              <w:t>por</w:t>
                            </w:r>
                            <w:r>
                              <w:rPr>
                                <w:spacing w:val="-3"/>
                              </w:rPr>
                              <w:t> </w:t>
                            </w:r>
                            <w:r>
                              <w:rPr/>
                              <w:t>la</w:t>
                            </w:r>
                            <w:r>
                              <w:rPr>
                                <w:spacing w:val="-7"/>
                              </w:rPr>
                              <w:t> </w:t>
                            </w:r>
                            <w:r>
                              <w:rPr/>
                              <w:t>Contabilidad</w:t>
                            </w:r>
                            <w:r>
                              <w:rPr>
                                <w:spacing w:val="-3"/>
                              </w:rPr>
                              <w:t> </w:t>
                            </w:r>
                            <w:r>
                              <w:rPr/>
                              <w:t>Nacional</w:t>
                            </w:r>
                            <w:r>
                              <w:rPr>
                                <w:spacing w:val="-4"/>
                              </w:rPr>
                              <w:t> </w:t>
                            </w:r>
                            <w:r>
                              <w:rPr/>
                              <w:t>utilizadas</w:t>
                            </w:r>
                            <w:r>
                              <w:rPr>
                                <w:spacing w:val="-2"/>
                              </w:rPr>
                              <w:t> </w:t>
                            </w:r>
                            <w:r>
                              <w:rPr/>
                              <w:t>por</w:t>
                            </w:r>
                            <w:r>
                              <w:rPr>
                                <w:spacing w:val="-3"/>
                              </w:rPr>
                              <w:t> </w:t>
                            </w:r>
                            <w:r>
                              <w:rPr/>
                              <w:t>el</w:t>
                            </w:r>
                            <w:r>
                              <w:rPr>
                                <w:spacing w:val="-3"/>
                              </w:rPr>
                              <w:t> </w:t>
                            </w:r>
                            <w:r>
                              <w:rPr/>
                              <w:t>IMAS,</w:t>
                            </w:r>
                            <w:r>
                              <w:rPr>
                                <w:spacing w:val="-3"/>
                              </w:rPr>
                              <w:t> </w:t>
                            </w:r>
                            <w:r>
                              <w:rPr/>
                              <w:t>se muestran en el </w:t>
                            </w:r>
                            <w:r>
                              <w:rPr>
                                <w:b/>
                              </w:rPr>
                              <w:t>Anexo No3</w:t>
                            </w:r>
                          </w:p>
                          <w:p>
                            <w:pPr>
                              <w:spacing w:before="163"/>
                              <w:ind w:left="103" w:right="0" w:firstLine="0"/>
                              <w:jc w:val="both"/>
                              <w:rPr>
                                <w:b/>
                                <w:sz w:val="22"/>
                              </w:rPr>
                            </w:pPr>
                            <w:r>
                              <w:rPr>
                                <w:b/>
                                <w:sz w:val="22"/>
                              </w:rPr>
                              <w:t>Plan</w:t>
                            </w:r>
                            <w:r>
                              <w:rPr>
                                <w:b/>
                                <w:spacing w:val="-3"/>
                                <w:sz w:val="22"/>
                              </w:rPr>
                              <w:t> </w:t>
                            </w:r>
                            <w:r>
                              <w:rPr>
                                <w:b/>
                                <w:sz w:val="22"/>
                              </w:rPr>
                              <w:t>general</w:t>
                            </w:r>
                            <w:r>
                              <w:rPr>
                                <w:b/>
                                <w:spacing w:val="-3"/>
                                <w:sz w:val="22"/>
                              </w:rPr>
                              <w:t> </w:t>
                            </w:r>
                            <w:r>
                              <w:rPr>
                                <w:b/>
                                <w:spacing w:val="-2"/>
                                <w:sz w:val="22"/>
                              </w:rPr>
                              <w:t>contable</w:t>
                            </w:r>
                          </w:p>
                          <w:p>
                            <w:pPr>
                              <w:pStyle w:val="BodyText"/>
                              <w:spacing w:before="157"/>
                              <w:ind w:left="103" w:right="100"/>
                              <w:jc w:val="both"/>
                              <w:rPr>
                                <w:b/>
                              </w:rPr>
                            </w:pPr>
                            <w:r>
                              <w:rPr/>
                              <w:t>El</w:t>
                            </w:r>
                            <w:r>
                              <w:rPr>
                                <w:spacing w:val="-3"/>
                              </w:rPr>
                              <w:t> </w:t>
                            </w:r>
                            <w:r>
                              <w:rPr/>
                              <w:t>IMAS</w:t>
                            </w:r>
                            <w:r>
                              <w:rPr>
                                <w:spacing w:val="-2"/>
                              </w:rPr>
                              <w:t> </w:t>
                            </w:r>
                            <w:r>
                              <w:rPr/>
                              <w:t>cuenta</w:t>
                            </w:r>
                            <w:r>
                              <w:rPr>
                                <w:spacing w:val="-3"/>
                              </w:rPr>
                              <w:t> </w:t>
                            </w:r>
                            <w:r>
                              <w:rPr/>
                              <w:t>con</w:t>
                            </w:r>
                            <w:r>
                              <w:rPr>
                                <w:spacing w:val="-3"/>
                              </w:rPr>
                              <w:t> </w:t>
                            </w:r>
                            <w:r>
                              <w:rPr/>
                              <w:t>el</w:t>
                            </w:r>
                            <w:r>
                              <w:rPr>
                                <w:spacing w:val="-3"/>
                              </w:rPr>
                              <w:t> </w:t>
                            </w:r>
                            <w:r>
                              <w:rPr/>
                              <w:t>Plan</w:t>
                            </w:r>
                            <w:r>
                              <w:rPr>
                                <w:spacing w:val="-5"/>
                              </w:rPr>
                              <w:t> </w:t>
                            </w:r>
                            <w:r>
                              <w:rPr/>
                              <w:t>General</w:t>
                            </w:r>
                            <w:r>
                              <w:rPr>
                                <w:spacing w:val="-3"/>
                              </w:rPr>
                              <w:t> </w:t>
                            </w:r>
                            <w:r>
                              <w:rPr/>
                              <w:t>Contabilidad</w:t>
                            </w:r>
                            <w:r>
                              <w:rPr>
                                <w:spacing w:val="-3"/>
                              </w:rPr>
                              <w:t> </w:t>
                            </w:r>
                            <w:r>
                              <w:rPr/>
                              <w:t>IMAS,</w:t>
                            </w:r>
                            <w:r>
                              <w:rPr>
                                <w:spacing w:val="-3"/>
                              </w:rPr>
                              <w:t> </w:t>
                            </w:r>
                            <w:r>
                              <w:rPr/>
                              <w:t>documento</w:t>
                            </w:r>
                            <w:r>
                              <w:rPr>
                                <w:spacing w:val="-5"/>
                              </w:rPr>
                              <w:t> </w:t>
                            </w:r>
                            <w:r>
                              <w:rPr/>
                              <w:t>que</w:t>
                            </w:r>
                            <w:r>
                              <w:rPr>
                                <w:spacing w:val="-5"/>
                              </w:rPr>
                              <w:t> </w:t>
                            </w:r>
                            <w:r>
                              <w:rPr/>
                              <w:t>fue</w:t>
                            </w:r>
                            <w:r>
                              <w:rPr>
                                <w:spacing w:val="-4"/>
                              </w:rPr>
                              <w:t> </w:t>
                            </w:r>
                            <w:r>
                              <w:rPr/>
                              <w:t>conocido,</w:t>
                            </w:r>
                            <w:r>
                              <w:rPr>
                                <w:spacing w:val="-3"/>
                              </w:rPr>
                              <w:t> </w:t>
                            </w:r>
                            <w:r>
                              <w:rPr/>
                              <w:t>revisado</w:t>
                            </w:r>
                            <w:r>
                              <w:rPr>
                                <w:spacing w:val="-3"/>
                              </w:rPr>
                              <w:t> </w:t>
                            </w:r>
                            <w:r>
                              <w:rPr/>
                              <w:t>y aprobado a lo interno de la Comisión Institucional NICSP, y las modificaciones e inclusiones presentadas por dicha comisión, fueron de conocimiento y aprobación por parte de esta Gerencia. </w:t>
                            </w:r>
                            <w:r>
                              <w:rPr>
                                <w:b/>
                              </w:rPr>
                              <w:t>Anexo No.4 Plan General de Contabilidad IMAS 6.0</w:t>
                            </w:r>
                          </w:p>
                        </w:txbxContent>
                      </wps:txbx>
                      <wps:bodyPr wrap="square" lIns="0" tIns="0" rIns="0" bIns="0" rtlCol="0">
                        <a:noAutofit/>
                      </wps:bodyPr>
                    </wps:wsp>
                  </a:graphicData>
                </a:graphic>
              </wp:anchor>
            </w:drawing>
          </mc:Choice>
          <mc:Fallback>
            <w:pict>
              <v:shape style="position:absolute;margin-left:85.344002pt;margin-top:6.53625pt;width:441.5pt;height:197.7pt;mso-position-horizontal-relative:page;mso-position-vertical-relative:paragraph;z-index:-15700992;mso-wrap-distance-left:0;mso-wrap-distance-right:0" type="#_x0000_t202" id="docshape13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99"/>
                        <w:jc w:val="both"/>
                      </w:pPr>
                      <w:r>
                        <w:rPr/>
                        <w:t>La</w:t>
                      </w:r>
                      <w:r>
                        <w:rPr>
                          <w:spacing w:val="-3"/>
                        </w:rPr>
                        <w:t> </w:t>
                      </w:r>
                      <w:r>
                        <w:rPr/>
                        <w:t>información</w:t>
                      </w:r>
                      <w:r>
                        <w:rPr>
                          <w:spacing w:val="-2"/>
                        </w:rPr>
                        <w:t> </w:t>
                      </w:r>
                      <w:r>
                        <w:rPr/>
                        <w:t>financiera</w:t>
                      </w:r>
                      <w:r>
                        <w:rPr>
                          <w:spacing w:val="-3"/>
                        </w:rPr>
                        <w:t> </w:t>
                      </w:r>
                      <w:r>
                        <w:rPr/>
                        <w:t>se</w:t>
                      </w:r>
                      <w:r>
                        <w:rPr>
                          <w:spacing w:val="-3"/>
                        </w:rPr>
                        <w:t> </w:t>
                      </w:r>
                      <w:r>
                        <w:rPr/>
                        <w:t>elabora</w:t>
                      </w:r>
                      <w:r>
                        <w:rPr>
                          <w:spacing w:val="-2"/>
                        </w:rPr>
                        <w:t> </w:t>
                      </w:r>
                      <w:r>
                        <w:rPr/>
                        <w:t>de</w:t>
                      </w:r>
                      <w:r>
                        <w:rPr>
                          <w:spacing w:val="-4"/>
                        </w:rPr>
                        <w:t> </w:t>
                      </w:r>
                      <w:r>
                        <w:rPr/>
                        <w:t>manera</w:t>
                      </w:r>
                      <w:r>
                        <w:rPr>
                          <w:spacing w:val="-3"/>
                        </w:rPr>
                        <w:t> </w:t>
                      </w:r>
                      <w:r>
                        <w:rPr/>
                        <w:t>continua</w:t>
                      </w:r>
                      <w:r>
                        <w:rPr>
                          <w:spacing w:val="-3"/>
                        </w:rPr>
                        <w:t> </w:t>
                      </w:r>
                      <w:r>
                        <w:rPr/>
                        <w:t>y</w:t>
                      </w:r>
                      <w:r>
                        <w:rPr>
                          <w:spacing w:val="-3"/>
                        </w:rPr>
                        <w:t> </w:t>
                      </w:r>
                      <w:r>
                        <w:rPr/>
                        <w:t>recurrente</w:t>
                      </w:r>
                      <w:r>
                        <w:rPr>
                          <w:spacing w:val="-2"/>
                        </w:rPr>
                        <w:t> </w:t>
                      </w:r>
                      <w:r>
                        <w:rPr/>
                        <w:t>mediante</w:t>
                      </w:r>
                      <w:r>
                        <w:rPr>
                          <w:spacing w:val="-2"/>
                        </w:rPr>
                        <w:t> </w:t>
                      </w:r>
                      <w:r>
                        <w:rPr/>
                        <w:t>la implementación de las Políticas Contables Generales emitidas por la DGCN en su versión 2021, basadas en las NICSP</w:t>
                      </w:r>
                      <w:r>
                        <w:rPr>
                          <w:spacing w:val="-5"/>
                        </w:rPr>
                        <w:t> </w:t>
                      </w:r>
                      <w:r>
                        <w:rPr/>
                        <w:t>versión</w:t>
                      </w:r>
                      <w:r>
                        <w:rPr>
                          <w:spacing w:val="-2"/>
                        </w:rPr>
                        <w:t> </w:t>
                      </w:r>
                      <w:r>
                        <w:rPr/>
                        <w:t>2018</w:t>
                      </w:r>
                      <w:r>
                        <w:rPr>
                          <w:spacing w:val="-4"/>
                        </w:rPr>
                        <w:t> </w:t>
                      </w:r>
                      <w:r>
                        <w:rPr/>
                        <w:t>y,</w:t>
                      </w:r>
                      <w:r>
                        <w:rPr>
                          <w:spacing w:val="-5"/>
                        </w:rPr>
                        <w:t> </w:t>
                      </w:r>
                      <w:r>
                        <w:rPr/>
                        <w:t>para</w:t>
                      </w:r>
                      <w:r>
                        <w:rPr>
                          <w:spacing w:val="-5"/>
                        </w:rPr>
                        <w:t> </w:t>
                      </w:r>
                      <w:r>
                        <w:rPr/>
                        <w:t>el</w:t>
                      </w:r>
                      <w:r>
                        <w:rPr>
                          <w:spacing w:val="-2"/>
                        </w:rPr>
                        <w:t> </w:t>
                      </w:r>
                      <w:r>
                        <w:rPr/>
                        <w:t>tratamiento</w:t>
                      </w:r>
                      <w:r>
                        <w:rPr>
                          <w:spacing w:val="-3"/>
                        </w:rPr>
                        <w:t> </w:t>
                      </w:r>
                      <w:r>
                        <w:rPr/>
                        <w:t>contable,</w:t>
                      </w:r>
                      <w:r>
                        <w:rPr>
                          <w:spacing w:val="-2"/>
                        </w:rPr>
                        <w:t> </w:t>
                      </w:r>
                      <w:r>
                        <w:rPr/>
                        <w:t>se</w:t>
                      </w:r>
                      <w:r>
                        <w:rPr>
                          <w:spacing w:val="-8"/>
                        </w:rPr>
                        <w:t> </w:t>
                      </w:r>
                      <w:r>
                        <w:rPr/>
                        <w:t>aplican</w:t>
                      </w:r>
                      <w:r>
                        <w:rPr>
                          <w:spacing w:val="-2"/>
                        </w:rPr>
                        <w:t> </w:t>
                      </w:r>
                      <w:r>
                        <w:rPr/>
                        <w:t>únicamente</w:t>
                      </w:r>
                      <w:r>
                        <w:rPr>
                          <w:spacing w:val="-2"/>
                        </w:rPr>
                        <w:t> </w:t>
                      </w:r>
                      <w:r>
                        <w:rPr/>
                        <w:t>aquellas</w:t>
                      </w:r>
                      <w:r>
                        <w:rPr>
                          <w:spacing w:val="-1"/>
                        </w:rPr>
                        <w:t> </w:t>
                      </w:r>
                      <w:r>
                        <w:rPr/>
                        <w:t>políticas</w:t>
                      </w:r>
                      <w:r>
                        <w:rPr>
                          <w:spacing w:val="-4"/>
                        </w:rPr>
                        <w:t> </w:t>
                      </w:r>
                      <w:r>
                        <w:rPr/>
                        <w:t>que</w:t>
                      </w:r>
                      <w:r>
                        <w:rPr>
                          <w:spacing w:val="-6"/>
                        </w:rPr>
                        <w:t> </w:t>
                      </w:r>
                      <w:r>
                        <w:rPr/>
                        <w:t>se ajustan al alcance operacional de la entidad.</w:t>
                      </w:r>
                    </w:p>
                    <w:p>
                      <w:pPr>
                        <w:pStyle w:val="BodyText"/>
                        <w:spacing w:before="118"/>
                        <w:ind w:left="103" w:right="112"/>
                        <w:jc w:val="both"/>
                        <w:rPr>
                          <w:b/>
                        </w:rPr>
                      </w:pPr>
                      <w:r>
                        <w:rPr/>
                        <w:t>Las</w:t>
                      </w:r>
                      <w:r>
                        <w:rPr>
                          <w:spacing w:val="-2"/>
                        </w:rPr>
                        <w:t> </w:t>
                      </w:r>
                      <w:r>
                        <w:rPr/>
                        <w:t>Políticas</w:t>
                      </w:r>
                      <w:r>
                        <w:rPr>
                          <w:spacing w:val="-5"/>
                        </w:rPr>
                        <w:t> </w:t>
                      </w:r>
                      <w:r>
                        <w:rPr/>
                        <w:t>Contables</w:t>
                      </w:r>
                      <w:r>
                        <w:rPr>
                          <w:spacing w:val="-2"/>
                        </w:rPr>
                        <w:t> </w:t>
                      </w:r>
                      <w:r>
                        <w:rPr/>
                        <w:t>Generales</w:t>
                      </w:r>
                      <w:r>
                        <w:rPr>
                          <w:spacing w:val="-2"/>
                        </w:rPr>
                        <w:t> </w:t>
                      </w:r>
                      <w:r>
                        <w:rPr/>
                        <w:t>emitidas</w:t>
                      </w:r>
                      <w:r>
                        <w:rPr>
                          <w:spacing w:val="-2"/>
                        </w:rPr>
                        <w:t> </w:t>
                      </w:r>
                      <w:r>
                        <w:rPr/>
                        <w:t>por</w:t>
                      </w:r>
                      <w:r>
                        <w:rPr>
                          <w:spacing w:val="-3"/>
                        </w:rPr>
                        <w:t> </w:t>
                      </w:r>
                      <w:r>
                        <w:rPr/>
                        <w:t>la</w:t>
                      </w:r>
                      <w:r>
                        <w:rPr>
                          <w:spacing w:val="-7"/>
                        </w:rPr>
                        <w:t> </w:t>
                      </w:r>
                      <w:r>
                        <w:rPr/>
                        <w:t>Contabilidad</w:t>
                      </w:r>
                      <w:r>
                        <w:rPr>
                          <w:spacing w:val="-3"/>
                        </w:rPr>
                        <w:t> </w:t>
                      </w:r>
                      <w:r>
                        <w:rPr/>
                        <w:t>Nacional</w:t>
                      </w:r>
                      <w:r>
                        <w:rPr>
                          <w:spacing w:val="-4"/>
                        </w:rPr>
                        <w:t> </w:t>
                      </w:r>
                      <w:r>
                        <w:rPr/>
                        <w:t>utilizadas</w:t>
                      </w:r>
                      <w:r>
                        <w:rPr>
                          <w:spacing w:val="-2"/>
                        </w:rPr>
                        <w:t> </w:t>
                      </w:r>
                      <w:r>
                        <w:rPr/>
                        <w:t>por</w:t>
                      </w:r>
                      <w:r>
                        <w:rPr>
                          <w:spacing w:val="-3"/>
                        </w:rPr>
                        <w:t> </w:t>
                      </w:r>
                      <w:r>
                        <w:rPr/>
                        <w:t>el</w:t>
                      </w:r>
                      <w:r>
                        <w:rPr>
                          <w:spacing w:val="-3"/>
                        </w:rPr>
                        <w:t> </w:t>
                      </w:r>
                      <w:r>
                        <w:rPr/>
                        <w:t>IMAS,</w:t>
                      </w:r>
                      <w:r>
                        <w:rPr>
                          <w:spacing w:val="-3"/>
                        </w:rPr>
                        <w:t> </w:t>
                      </w:r>
                      <w:r>
                        <w:rPr/>
                        <w:t>se muestran en el </w:t>
                      </w:r>
                      <w:r>
                        <w:rPr>
                          <w:b/>
                        </w:rPr>
                        <w:t>Anexo No3</w:t>
                      </w:r>
                    </w:p>
                    <w:p>
                      <w:pPr>
                        <w:spacing w:before="163"/>
                        <w:ind w:left="103" w:right="0" w:firstLine="0"/>
                        <w:jc w:val="both"/>
                        <w:rPr>
                          <w:b/>
                          <w:sz w:val="22"/>
                        </w:rPr>
                      </w:pPr>
                      <w:r>
                        <w:rPr>
                          <w:b/>
                          <w:sz w:val="22"/>
                        </w:rPr>
                        <w:t>Plan</w:t>
                      </w:r>
                      <w:r>
                        <w:rPr>
                          <w:b/>
                          <w:spacing w:val="-3"/>
                          <w:sz w:val="22"/>
                        </w:rPr>
                        <w:t> </w:t>
                      </w:r>
                      <w:r>
                        <w:rPr>
                          <w:b/>
                          <w:sz w:val="22"/>
                        </w:rPr>
                        <w:t>general</w:t>
                      </w:r>
                      <w:r>
                        <w:rPr>
                          <w:b/>
                          <w:spacing w:val="-3"/>
                          <w:sz w:val="22"/>
                        </w:rPr>
                        <w:t> </w:t>
                      </w:r>
                      <w:r>
                        <w:rPr>
                          <w:b/>
                          <w:spacing w:val="-2"/>
                          <w:sz w:val="22"/>
                        </w:rPr>
                        <w:t>contable</w:t>
                      </w:r>
                    </w:p>
                    <w:p>
                      <w:pPr>
                        <w:pStyle w:val="BodyText"/>
                        <w:spacing w:before="157"/>
                        <w:ind w:left="103" w:right="100"/>
                        <w:jc w:val="both"/>
                        <w:rPr>
                          <w:b/>
                        </w:rPr>
                      </w:pPr>
                      <w:r>
                        <w:rPr/>
                        <w:t>El</w:t>
                      </w:r>
                      <w:r>
                        <w:rPr>
                          <w:spacing w:val="-3"/>
                        </w:rPr>
                        <w:t> </w:t>
                      </w:r>
                      <w:r>
                        <w:rPr/>
                        <w:t>IMAS</w:t>
                      </w:r>
                      <w:r>
                        <w:rPr>
                          <w:spacing w:val="-2"/>
                        </w:rPr>
                        <w:t> </w:t>
                      </w:r>
                      <w:r>
                        <w:rPr/>
                        <w:t>cuenta</w:t>
                      </w:r>
                      <w:r>
                        <w:rPr>
                          <w:spacing w:val="-3"/>
                        </w:rPr>
                        <w:t> </w:t>
                      </w:r>
                      <w:r>
                        <w:rPr/>
                        <w:t>con</w:t>
                      </w:r>
                      <w:r>
                        <w:rPr>
                          <w:spacing w:val="-3"/>
                        </w:rPr>
                        <w:t> </w:t>
                      </w:r>
                      <w:r>
                        <w:rPr/>
                        <w:t>el</w:t>
                      </w:r>
                      <w:r>
                        <w:rPr>
                          <w:spacing w:val="-3"/>
                        </w:rPr>
                        <w:t> </w:t>
                      </w:r>
                      <w:r>
                        <w:rPr/>
                        <w:t>Plan</w:t>
                      </w:r>
                      <w:r>
                        <w:rPr>
                          <w:spacing w:val="-5"/>
                        </w:rPr>
                        <w:t> </w:t>
                      </w:r>
                      <w:r>
                        <w:rPr/>
                        <w:t>General</w:t>
                      </w:r>
                      <w:r>
                        <w:rPr>
                          <w:spacing w:val="-3"/>
                        </w:rPr>
                        <w:t> </w:t>
                      </w:r>
                      <w:r>
                        <w:rPr/>
                        <w:t>Contabilidad</w:t>
                      </w:r>
                      <w:r>
                        <w:rPr>
                          <w:spacing w:val="-3"/>
                        </w:rPr>
                        <w:t> </w:t>
                      </w:r>
                      <w:r>
                        <w:rPr/>
                        <w:t>IMAS,</w:t>
                      </w:r>
                      <w:r>
                        <w:rPr>
                          <w:spacing w:val="-3"/>
                        </w:rPr>
                        <w:t> </w:t>
                      </w:r>
                      <w:r>
                        <w:rPr/>
                        <w:t>documento</w:t>
                      </w:r>
                      <w:r>
                        <w:rPr>
                          <w:spacing w:val="-5"/>
                        </w:rPr>
                        <w:t> </w:t>
                      </w:r>
                      <w:r>
                        <w:rPr/>
                        <w:t>que</w:t>
                      </w:r>
                      <w:r>
                        <w:rPr>
                          <w:spacing w:val="-5"/>
                        </w:rPr>
                        <w:t> </w:t>
                      </w:r>
                      <w:r>
                        <w:rPr/>
                        <w:t>fue</w:t>
                      </w:r>
                      <w:r>
                        <w:rPr>
                          <w:spacing w:val="-4"/>
                        </w:rPr>
                        <w:t> </w:t>
                      </w:r>
                      <w:r>
                        <w:rPr/>
                        <w:t>conocido,</w:t>
                      </w:r>
                      <w:r>
                        <w:rPr>
                          <w:spacing w:val="-3"/>
                        </w:rPr>
                        <w:t> </w:t>
                      </w:r>
                      <w:r>
                        <w:rPr/>
                        <w:t>revisado</w:t>
                      </w:r>
                      <w:r>
                        <w:rPr>
                          <w:spacing w:val="-3"/>
                        </w:rPr>
                        <w:t> </w:t>
                      </w:r>
                      <w:r>
                        <w:rPr/>
                        <w:t>y aprobado a lo interno de la Comisión Institucional NICSP, y las modificaciones e inclusiones presentadas por dicha comisión, fueron de conocimiento y aprobación por parte de esta Gerencia. </w:t>
                      </w:r>
                      <w:r>
                        <w:rPr>
                          <w:b/>
                        </w:rPr>
                        <w:t>Anexo No.4 Plan General de Contabilidad IMAS 6.0</w:t>
                      </w:r>
                    </w:p>
                  </w:txbxContent>
                </v:textbox>
                <v:stroke dashstyle="solid"/>
                <w10:wrap type="topAndBottom"/>
              </v:shape>
            </w:pict>
          </mc:Fallback>
        </mc:AlternateContent>
      </w:r>
    </w:p>
    <w:p>
      <w:pPr>
        <w:pStyle w:val="BodyText"/>
        <w:spacing w:before="183"/>
        <w:rPr>
          <w:b/>
        </w:rPr>
      </w:pPr>
    </w:p>
    <w:p>
      <w:pPr>
        <w:pStyle w:val="Heading6"/>
        <w:numPr>
          <w:ilvl w:val="0"/>
          <w:numId w:val="13"/>
        </w:numPr>
        <w:tabs>
          <w:tab w:pos="1339" w:val="left" w:leader="none"/>
        </w:tabs>
        <w:spacing w:line="240" w:lineRule="auto" w:before="1" w:after="0"/>
        <w:ind w:left="1339" w:right="0" w:hanging="358"/>
        <w:jc w:val="left"/>
      </w:pPr>
      <w:bookmarkStart w:name="_bookmark21" w:id="22"/>
      <w:bookmarkEnd w:id="22"/>
      <w:r>
        <w:rPr>
          <w:b w:val="0"/>
        </w:rPr>
      </w:r>
      <w:r>
        <w:rPr>
          <w:color w:val="1F3762"/>
        </w:rPr>
        <w:t>Cualquier</w:t>
      </w:r>
      <w:r>
        <w:rPr>
          <w:color w:val="1F3762"/>
          <w:spacing w:val="-6"/>
        </w:rPr>
        <w:t> </w:t>
      </w:r>
      <w:r>
        <w:rPr>
          <w:color w:val="1F3762"/>
        </w:rPr>
        <w:t>otra</w:t>
      </w:r>
      <w:r>
        <w:rPr>
          <w:color w:val="1F3762"/>
          <w:spacing w:val="-3"/>
        </w:rPr>
        <w:t> </w:t>
      </w:r>
      <w:r>
        <w:rPr>
          <w:color w:val="1F3762"/>
        </w:rPr>
        <w:t>política</w:t>
      </w:r>
      <w:r>
        <w:rPr>
          <w:color w:val="1F3762"/>
          <w:spacing w:val="-4"/>
        </w:rPr>
        <w:t> </w:t>
      </w:r>
      <w:r>
        <w:rPr>
          <w:color w:val="1F3762"/>
        </w:rPr>
        <w:t>contable</w:t>
      </w:r>
      <w:r>
        <w:rPr>
          <w:color w:val="1F3762"/>
          <w:spacing w:val="-1"/>
        </w:rPr>
        <w:t> </w:t>
      </w:r>
      <w:r>
        <w:rPr>
          <w:color w:val="1F3762"/>
        </w:rPr>
        <w:t>relevante</w:t>
      </w:r>
      <w:r>
        <w:rPr>
          <w:color w:val="1F3762"/>
          <w:spacing w:val="-2"/>
        </w:rPr>
        <w:t> </w:t>
      </w:r>
      <w:r>
        <w:rPr>
          <w:color w:val="1F3762"/>
        </w:rPr>
        <w:t>para</w:t>
      </w:r>
      <w:r>
        <w:rPr>
          <w:color w:val="1F3762"/>
          <w:spacing w:val="-4"/>
        </w:rPr>
        <w:t> </w:t>
      </w:r>
      <w:r>
        <w:rPr>
          <w:color w:val="1F3762"/>
        </w:rPr>
        <w:t>la</w:t>
      </w:r>
      <w:r>
        <w:rPr>
          <w:color w:val="1F3762"/>
          <w:spacing w:val="-4"/>
        </w:rPr>
        <w:t> </w:t>
      </w:r>
      <w:r>
        <w:rPr>
          <w:color w:val="1F3762"/>
          <w:spacing w:val="-2"/>
        </w:rPr>
        <w:t>entidad.</w:t>
      </w:r>
    </w:p>
    <w:p>
      <w:pPr>
        <w:pStyle w:val="BodyText"/>
        <w:spacing w:before="9"/>
        <w:rPr>
          <w:b/>
          <w:sz w:val="8"/>
        </w:rPr>
      </w:pPr>
      <w:r>
        <w:rPr>
          <w:b/>
          <w:sz w:val="8"/>
        </w:rPr>
        <mc:AlternateContent>
          <mc:Choice Requires="wps">
            <w:drawing>
              <wp:anchor distT="0" distB="0" distL="0" distR="0" allowOverlap="1" layoutInCell="1" locked="0" behindDoc="1" simplePos="0" relativeHeight="487616000">
                <wp:simplePos x="0" y="0"/>
                <wp:positionH relativeFrom="page">
                  <wp:posOffset>1083868</wp:posOffset>
                </wp:positionH>
                <wp:positionV relativeFrom="paragraph">
                  <wp:posOffset>82073</wp:posOffset>
                </wp:positionV>
                <wp:extent cx="5607050" cy="2498725"/>
                <wp:effectExtent l="0" t="0" r="0" b="0"/>
                <wp:wrapTopAndBottom/>
                <wp:docPr id="138" name="Textbox 138"/>
                <wp:cNvGraphicFramePr>
                  <a:graphicFrameLocks/>
                </wp:cNvGraphicFramePr>
                <a:graphic>
                  <a:graphicData uri="http://schemas.microsoft.com/office/word/2010/wordprocessingShape">
                    <wps:wsp>
                      <wps:cNvPr id="138" name="Textbox 138"/>
                      <wps:cNvSpPr txBox="1"/>
                      <wps:spPr>
                        <a:xfrm>
                          <a:off x="0" y="0"/>
                          <a:ext cx="5607050" cy="249872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9"/>
                              <w:jc w:val="both"/>
                            </w:pPr>
                            <w:r>
                              <w:rPr/>
                              <w:t>A</w:t>
                            </w:r>
                            <w:r>
                              <w:rPr>
                                <w:spacing w:val="-8"/>
                              </w:rPr>
                              <w:t> </w:t>
                            </w:r>
                            <w:r>
                              <w:rPr/>
                              <w:t>la</w:t>
                            </w:r>
                            <w:r>
                              <w:rPr>
                                <w:spacing w:val="-10"/>
                              </w:rPr>
                              <w:t> </w:t>
                            </w:r>
                            <w:r>
                              <w:rPr/>
                              <w:t>fecha</w:t>
                            </w:r>
                            <w:r>
                              <w:rPr>
                                <w:spacing w:val="-10"/>
                              </w:rPr>
                              <w:t> </w:t>
                            </w:r>
                            <w:r>
                              <w:rPr/>
                              <w:t>se</w:t>
                            </w:r>
                            <w:r>
                              <w:rPr>
                                <w:spacing w:val="-10"/>
                              </w:rPr>
                              <w:t> </w:t>
                            </w:r>
                            <w:r>
                              <w:rPr/>
                              <w:t>han</w:t>
                            </w:r>
                            <w:r>
                              <w:rPr>
                                <w:spacing w:val="-8"/>
                              </w:rPr>
                              <w:t> </w:t>
                            </w:r>
                            <w:r>
                              <w:rPr/>
                              <w:t>aprobado</w:t>
                            </w:r>
                            <w:r>
                              <w:rPr>
                                <w:spacing w:val="-10"/>
                              </w:rPr>
                              <w:t> </w:t>
                            </w:r>
                            <w:r>
                              <w:rPr/>
                              <w:t>políticas</w:t>
                            </w:r>
                            <w:r>
                              <w:rPr>
                                <w:spacing w:val="-8"/>
                              </w:rPr>
                              <w:t> </w:t>
                            </w:r>
                            <w:r>
                              <w:rPr/>
                              <w:t>particulares</w:t>
                            </w:r>
                            <w:r>
                              <w:rPr>
                                <w:spacing w:val="-8"/>
                              </w:rPr>
                              <w:t> </w:t>
                            </w:r>
                            <w:r>
                              <w:rPr/>
                              <w:t>para</w:t>
                            </w:r>
                            <w:r>
                              <w:rPr>
                                <w:spacing w:val="-9"/>
                              </w:rPr>
                              <w:t> </w:t>
                            </w:r>
                            <w:r>
                              <w:rPr/>
                              <w:t>la</w:t>
                            </w:r>
                            <w:r>
                              <w:rPr>
                                <w:spacing w:val="-10"/>
                              </w:rPr>
                              <w:t> </w:t>
                            </w:r>
                            <w:r>
                              <w:rPr/>
                              <w:t>aplicación</w:t>
                            </w:r>
                            <w:r>
                              <w:rPr>
                                <w:spacing w:val="-8"/>
                              </w:rPr>
                              <w:t> </w:t>
                            </w:r>
                            <w:r>
                              <w:rPr/>
                              <w:t>de</w:t>
                            </w:r>
                            <w:r>
                              <w:rPr>
                                <w:spacing w:val="-10"/>
                              </w:rPr>
                              <w:t> </w:t>
                            </w:r>
                            <w:r>
                              <w:rPr/>
                              <w:t>la</w:t>
                            </w:r>
                            <w:r>
                              <w:rPr>
                                <w:spacing w:val="-7"/>
                              </w:rPr>
                              <w:t> </w:t>
                            </w:r>
                            <w:r>
                              <w:rPr/>
                              <w:t>NICSP</w:t>
                            </w:r>
                            <w:r>
                              <w:rPr>
                                <w:spacing w:val="-9"/>
                              </w:rPr>
                              <w:t> </w:t>
                            </w:r>
                            <w:r>
                              <w:rPr/>
                              <w:t>1,</w:t>
                            </w:r>
                            <w:r>
                              <w:rPr>
                                <w:spacing w:val="-9"/>
                              </w:rPr>
                              <w:t> </w:t>
                            </w:r>
                            <w:r>
                              <w:rPr/>
                              <w:t>NICSP</w:t>
                            </w:r>
                            <w:r>
                              <w:rPr>
                                <w:spacing w:val="-9"/>
                              </w:rPr>
                              <w:t> </w:t>
                            </w:r>
                            <w:r>
                              <w:rPr/>
                              <w:t>2,</w:t>
                            </w:r>
                            <w:r>
                              <w:rPr>
                                <w:spacing w:val="-9"/>
                              </w:rPr>
                              <w:t> </w:t>
                            </w:r>
                            <w:r>
                              <w:rPr/>
                              <w:t>NICSP 4,</w:t>
                            </w:r>
                            <w:r>
                              <w:rPr>
                                <w:spacing w:val="-10"/>
                              </w:rPr>
                              <w:t> </w:t>
                            </w:r>
                            <w:r>
                              <w:rPr/>
                              <w:t>NICSP</w:t>
                            </w:r>
                            <w:r>
                              <w:rPr>
                                <w:spacing w:val="-12"/>
                              </w:rPr>
                              <w:t> </w:t>
                            </w:r>
                            <w:r>
                              <w:rPr/>
                              <w:t>9,</w:t>
                            </w:r>
                            <w:r>
                              <w:rPr>
                                <w:spacing w:val="-10"/>
                              </w:rPr>
                              <w:t> </w:t>
                            </w:r>
                            <w:r>
                              <w:rPr/>
                              <w:t>NICSP</w:t>
                            </w:r>
                            <w:r>
                              <w:rPr>
                                <w:spacing w:val="-12"/>
                              </w:rPr>
                              <w:t> </w:t>
                            </w:r>
                            <w:r>
                              <w:rPr/>
                              <w:t>12</w:t>
                            </w:r>
                            <w:r>
                              <w:rPr>
                                <w:spacing w:val="-11"/>
                              </w:rPr>
                              <w:t> </w:t>
                            </w:r>
                            <w:r>
                              <w:rPr/>
                              <w:t>(PARCIAL),</w:t>
                            </w:r>
                            <w:r>
                              <w:rPr>
                                <w:spacing w:val="-9"/>
                              </w:rPr>
                              <w:t> </w:t>
                            </w:r>
                            <w:r>
                              <w:rPr/>
                              <w:t>NICSP</w:t>
                            </w:r>
                            <w:r>
                              <w:rPr>
                                <w:spacing w:val="-12"/>
                              </w:rPr>
                              <w:t> </w:t>
                            </w:r>
                            <w:r>
                              <w:rPr/>
                              <w:t>14,</w:t>
                            </w:r>
                            <w:r>
                              <w:rPr>
                                <w:spacing w:val="-9"/>
                              </w:rPr>
                              <w:t> </w:t>
                            </w:r>
                            <w:r>
                              <w:rPr/>
                              <w:t>NICSP</w:t>
                            </w:r>
                            <w:r>
                              <w:rPr>
                                <w:spacing w:val="-12"/>
                              </w:rPr>
                              <w:t> </w:t>
                            </w:r>
                            <w:r>
                              <w:rPr/>
                              <w:t>20</w:t>
                            </w:r>
                            <w:r>
                              <w:rPr>
                                <w:spacing w:val="-11"/>
                              </w:rPr>
                              <w:t> </w:t>
                            </w:r>
                            <w:r>
                              <w:rPr/>
                              <w:t>y</w:t>
                            </w:r>
                            <w:r>
                              <w:rPr>
                                <w:spacing w:val="-11"/>
                              </w:rPr>
                              <w:t> </w:t>
                            </w:r>
                            <w:r>
                              <w:rPr/>
                              <w:t>NICSP</w:t>
                            </w:r>
                            <w:r>
                              <w:rPr>
                                <w:spacing w:val="-10"/>
                              </w:rPr>
                              <w:t> </w:t>
                            </w:r>
                            <w:r>
                              <w:rPr/>
                              <w:t>24</w:t>
                            </w:r>
                            <w:r>
                              <w:rPr>
                                <w:spacing w:val="-11"/>
                              </w:rPr>
                              <w:t> </w:t>
                            </w:r>
                            <w:r>
                              <w:rPr/>
                              <w:t>y</w:t>
                            </w:r>
                            <w:r>
                              <w:rPr>
                                <w:spacing w:val="-11"/>
                              </w:rPr>
                              <w:t> </w:t>
                            </w:r>
                            <w:r>
                              <w:rPr/>
                              <w:t>adicionalmente</w:t>
                            </w:r>
                            <w:r>
                              <w:rPr>
                                <w:spacing w:val="-10"/>
                              </w:rPr>
                              <w:t> </w:t>
                            </w:r>
                            <w:r>
                              <w:rPr/>
                              <w:t>a</w:t>
                            </w:r>
                            <w:r>
                              <w:rPr>
                                <w:spacing w:val="-12"/>
                              </w:rPr>
                              <w:t> </w:t>
                            </w:r>
                            <w:r>
                              <w:rPr/>
                              <w:t>solicitud de</w:t>
                            </w:r>
                            <w:r>
                              <w:rPr>
                                <w:spacing w:val="-6"/>
                              </w:rPr>
                              <w:t> </w:t>
                            </w:r>
                            <w:r>
                              <w:rPr/>
                              <w:t>la</w:t>
                            </w:r>
                            <w:r>
                              <w:rPr>
                                <w:spacing w:val="-6"/>
                              </w:rPr>
                              <w:t> </w:t>
                            </w:r>
                            <w:r>
                              <w:rPr/>
                              <w:t>Contabilidad</w:t>
                            </w:r>
                            <w:r>
                              <w:rPr>
                                <w:spacing w:val="-5"/>
                              </w:rPr>
                              <w:t> </w:t>
                            </w:r>
                            <w:r>
                              <w:rPr/>
                              <w:t>Nacional</w:t>
                            </w:r>
                            <w:r>
                              <w:rPr>
                                <w:spacing w:val="-8"/>
                              </w:rPr>
                              <w:t> </w:t>
                            </w:r>
                            <w:r>
                              <w:rPr/>
                              <w:t>se</w:t>
                            </w:r>
                            <w:r>
                              <w:rPr>
                                <w:spacing w:val="-6"/>
                              </w:rPr>
                              <w:t> </w:t>
                            </w:r>
                            <w:r>
                              <w:rPr/>
                              <w:t>establecieron</w:t>
                            </w:r>
                            <w:r>
                              <w:rPr>
                                <w:spacing w:val="-4"/>
                              </w:rPr>
                              <w:t> </w:t>
                            </w:r>
                            <w:r>
                              <w:rPr/>
                              <w:t>lineamientos</w:t>
                            </w:r>
                            <w:r>
                              <w:rPr>
                                <w:spacing w:val="-5"/>
                              </w:rPr>
                              <w:t> </w:t>
                            </w:r>
                            <w:r>
                              <w:rPr/>
                              <w:t>contables</w:t>
                            </w:r>
                            <w:r>
                              <w:rPr>
                                <w:spacing w:val="-4"/>
                              </w:rPr>
                              <w:t> </w:t>
                            </w:r>
                            <w:r>
                              <w:rPr/>
                              <w:t>para</w:t>
                            </w:r>
                            <w:r>
                              <w:rPr>
                                <w:spacing w:val="-8"/>
                              </w:rPr>
                              <w:t> </w:t>
                            </w:r>
                            <w:r>
                              <w:rPr/>
                              <w:t>la</w:t>
                            </w:r>
                            <w:r>
                              <w:rPr>
                                <w:spacing w:val="-6"/>
                              </w:rPr>
                              <w:t> </w:t>
                            </w:r>
                            <w:r>
                              <w:rPr/>
                              <w:t>confirmación</w:t>
                            </w:r>
                            <w:r>
                              <w:rPr>
                                <w:spacing w:val="-4"/>
                              </w:rPr>
                              <w:t> </w:t>
                            </w:r>
                            <w:r>
                              <w:rPr/>
                              <w:t>de</w:t>
                            </w:r>
                            <w:r>
                              <w:rPr>
                                <w:spacing w:val="-6"/>
                              </w:rPr>
                              <w:t> </w:t>
                            </w:r>
                            <w:r>
                              <w:rPr/>
                              <w:t>saldos.</w:t>
                            </w:r>
                          </w:p>
                          <w:p>
                            <w:pPr>
                              <w:pStyle w:val="BodyText"/>
                              <w:spacing w:before="162"/>
                              <w:ind w:left="103" w:right="100"/>
                              <w:jc w:val="both"/>
                            </w:pPr>
                            <w:r>
                              <w:rPr/>
                              <w:t>Con</w:t>
                            </w:r>
                            <w:r>
                              <w:rPr>
                                <w:spacing w:val="-2"/>
                              </w:rPr>
                              <w:t> </w:t>
                            </w:r>
                            <w:r>
                              <w:rPr/>
                              <w:t>el</w:t>
                            </w:r>
                            <w:r>
                              <w:rPr>
                                <w:spacing w:val="-1"/>
                              </w:rPr>
                              <w:t> </w:t>
                            </w:r>
                            <w:r>
                              <w:rPr/>
                              <w:t>oficio</w:t>
                            </w:r>
                            <w:r>
                              <w:rPr>
                                <w:spacing w:val="-2"/>
                              </w:rPr>
                              <w:t> </w:t>
                            </w:r>
                            <w:r>
                              <w:rPr/>
                              <w:t>MH-DGCN-DIR-OF-0834-del</w:t>
                            </w:r>
                            <w:r>
                              <w:rPr>
                                <w:spacing w:val="-1"/>
                              </w:rPr>
                              <w:t> </w:t>
                            </w:r>
                            <w:r>
                              <w:rPr/>
                              <w:t>10</w:t>
                            </w:r>
                            <w:r>
                              <w:rPr>
                                <w:spacing w:val="-1"/>
                              </w:rPr>
                              <w:t> </w:t>
                            </w:r>
                            <w:r>
                              <w:rPr/>
                              <w:t>de</w:t>
                            </w:r>
                            <w:r>
                              <w:rPr>
                                <w:spacing w:val="-2"/>
                              </w:rPr>
                              <w:t> </w:t>
                            </w:r>
                            <w:r>
                              <w:rPr/>
                              <w:t>junio 2024, solicita además</w:t>
                            </w:r>
                            <w:r>
                              <w:rPr>
                                <w:spacing w:val="-1"/>
                              </w:rPr>
                              <w:t> </w:t>
                            </w:r>
                            <w:r>
                              <w:rPr/>
                              <w:t>que</w:t>
                            </w:r>
                            <w:r>
                              <w:rPr>
                                <w:spacing w:val="-1"/>
                              </w:rPr>
                              <w:t> </w:t>
                            </w:r>
                            <w:r>
                              <w:rPr/>
                              <w:t>dentro del</w:t>
                            </w:r>
                            <w:r>
                              <w:rPr>
                                <w:spacing w:val="-1"/>
                              </w:rPr>
                              <w:t> </w:t>
                            </w:r>
                            <w:r>
                              <w:rPr/>
                              <w:t>Plan General</w:t>
                            </w:r>
                            <w:r>
                              <w:rPr>
                                <w:spacing w:val="-5"/>
                              </w:rPr>
                              <w:t> </w:t>
                            </w:r>
                            <w:r>
                              <w:rPr/>
                              <w:t>Contable</w:t>
                            </w:r>
                            <w:r>
                              <w:rPr>
                                <w:spacing w:val="-6"/>
                              </w:rPr>
                              <w:t> </w:t>
                            </w:r>
                            <w:r>
                              <w:rPr/>
                              <w:t>mencionado</w:t>
                            </w:r>
                            <w:r>
                              <w:rPr>
                                <w:spacing w:val="-4"/>
                              </w:rPr>
                              <w:t> </w:t>
                            </w:r>
                            <w:r>
                              <w:rPr/>
                              <w:t>anteriormente</w:t>
                            </w:r>
                            <w:r>
                              <w:rPr>
                                <w:spacing w:val="-5"/>
                              </w:rPr>
                              <w:t> </w:t>
                            </w:r>
                            <w:r>
                              <w:rPr/>
                              <w:t>se</w:t>
                            </w:r>
                            <w:r>
                              <w:rPr>
                                <w:spacing w:val="-6"/>
                              </w:rPr>
                              <w:t> </w:t>
                            </w:r>
                            <w:r>
                              <w:rPr/>
                              <w:t>deban</w:t>
                            </w:r>
                            <w:r>
                              <w:rPr>
                                <w:spacing w:val="-4"/>
                              </w:rPr>
                              <w:t> </w:t>
                            </w:r>
                            <w:r>
                              <w:rPr/>
                              <w:t>incluir</w:t>
                            </w:r>
                            <w:r>
                              <w:rPr>
                                <w:spacing w:val="-5"/>
                              </w:rPr>
                              <w:t> </w:t>
                            </w:r>
                            <w:r>
                              <w:rPr/>
                              <w:t>algunas</w:t>
                            </w:r>
                            <w:r>
                              <w:rPr>
                                <w:spacing w:val="-4"/>
                              </w:rPr>
                              <w:t> </w:t>
                            </w:r>
                            <w:r>
                              <w:rPr/>
                              <w:t>Políticas</w:t>
                            </w:r>
                            <w:r>
                              <w:rPr>
                                <w:spacing w:val="-4"/>
                              </w:rPr>
                              <w:t> </w:t>
                            </w:r>
                            <w:r>
                              <w:rPr/>
                              <w:t>Contables</w:t>
                            </w:r>
                            <w:r>
                              <w:rPr>
                                <w:spacing w:val="-4"/>
                              </w:rPr>
                              <w:t> </w:t>
                            </w:r>
                            <w:r>
                              <w:rPr/>
                              <w:t>de</w:t>
                            </w:r>
                            <w:r>
                              <w:rPr>
                                <w:spacing w:val="-6"/>
                              </w:rPr>
                              <w:t> </w:t>
                            </w:r>
                            <w:r>
                              <w:rPr/>
                              <w:t>temas específicos, dentro de</w:t>
                            </w:r>
                            <w:r>
                              <w:rPr>
                                <w:spacing w:val="-2"/>
                              </w:rPr>
                              <w:t> </w:t>
                            </w:r>
                            <w:r>
                              <w:rPr/>
                              <w:t>los cuales se</w:t>
                            </w:r>
                            <w:r>
                              <w:rPr>
                                <w:spacing w:val="-1"/>
                              </w:rPr>
                              <w:t> </w:t>
                            </w:r>
                            <w:r>
                              <w:rPr/>
                              <w:t>aprueba</w:t>
                            </w:r>
                            <w:r>
                              <w:rPr>
                                <w:spacing w:val="-1"/>
                              </w:rPr>
                              <w:t> </w:t>
                            </w:r>
                            <w:r>
                              <w:rPr/>
                              <w:t>con el oficio IMAS-GG-1243-2024</w:t>
                            </w:r>
                            <w:r>
                              <w:rPr>
                                <w:spacing w:val="-1"/>
                              </w:rPr>
                              <w:t> </w:t>
                            </w:r>
                            <w:r>
                              <w:rPr/>
                              <w:t>Política</w:t>
                            </w:r>
                            <w:r>
                              <w:rPr>
                                <w:spacing w:val="-1"/>
                              </w:rPr>
                              <w:t> </w:t>
                            </w:r>
                            <w:r>
                              <w:rPr/>
                              <w:t>de Proceso de Confirmación de Saldos Cta Rec. (NICSP 1) y Política e aplicación del Devengo (NICSP 1), adicionalmente se emite normativa interna adicional Circulares: IMAS-DSA-CIR-0050-2024 y IMAS-DSA-CIR-0010-2024 para dichos temas.</w:t>
                            </w:r>
                          </w:p>
                          <w:p>
                            <w:pPr>
                              <w:pStyle w:val="BodyText"/>
                              <w:spacing w:before="160"/>
                              <w:ind w:left="103" w:right="104"/>
                              <w:jc w:val="both"/>
                            </w:pPr>
                            <w:r>
                              <w:rPr/>
                              <w:t>La</w:t>
                            </w:r>
                            <w:r>
                              <w:rPr>
                                <w:spacing w:val="-4"/>
                              </w:rPr>
                              <w:t> </w:t>
                            </w:r>
                            <w:r>
                              <w:rPr/>
                              <w:t>Contabilidad</w:t>
                            </w:r>
                            <w:r>
                              <w:rPr>
                                <w:spacing w:val="-3"/>
                              </w:rPr>
                              <w:t> </w:t>
                            </w:r>
                            <w:r>
                              <w:rPr/>
                              <w:t>Nacional</w:t>
                            </w:r>
                            <w:r>
                              <w:rPr>
                                <w:spacing w:val="-4"/>
                              </w:rPr>
                              <w:t> </w:t>
                            </w:r>
                            <w:r>
                              <w:rPr/>
                              <w:t>solicita</w:t>
                            </w:r>
                            <w:r>
                              <w:rPr>
                                <w:spacing w:val="-3"/>
                              </w:rPr>
                              <w:t> </w:t>
                            </w:r>
                            <w:r>
                              <w:rPr/>
                              <w:t>además</w:t>
                            </w:r>
                            <w:r>
                              <w:rPr>
                                <w:spacing w:val="-2"/>
                              </w:rPr>
                              <w:t> </w:t>
                            </w:r>
                            <w:r>
                              <w:rPr/>
                              <w:t>políticas</w:t>
                            </w:r>
                            <w:r>
                              <w:rPr>
                                <w:spacing w:val="-2"/>
                              </w:rPr>
                              <w:t> </w:t>
                            </w:r>
                            <w:r>
                              <w:rPr/>
                              <w:t>de</w:t>
                            </w:r>
                            <w:r>
                              <w:rPr>
                                <w:spacing w:val="-5"/>
                              </w:rPr>
                              <w:t> </w:t>
                            </w:r>
                            <w:r>
                              <w:rPr/>
                              <w:t>los</w:t>
                            </w:r>
                            <w:r>
                              <w:rPr>
                                <w:spacing w:val="-5"/>
                              </w:rPr>
                              <w:t> </w:t>
                            </w:r>
                            <w:r>
                              <w:rPr/>
                              <w:t>siguientes</w:t>
                            </w:r>
                            <w:r>
                              <w:rPr>
                                <w:spacing w:val="-2"/>
                              </w:rPr>
                              <w:t> </w:t>
                            </w:r>
                            <w:r>
                              <w:rPr/>
                              <w:t>temas</w:t>
                            </w:r>
                            <w:r>
                              <w:rPr>
                                <w:spacing w:val="-5"/>
                              </w:rPr>
                              <w:t> </w:t>
                            </w:r>
                            <w:r>
                              <w:rPr/>
                              <w:t>que</w:t>
                            </w:r>
                            <w:r>
                              <w:rPr>
                                <w:spacing w:val="-7"/>
                              </w:rPr>
                              <w:t> </w:t>
                            </w:r>
                            <w:r>
                              <w:rPr/>
                              <w:t>se</w:t>
                            </w:r>
                            <w:r>
                              <w:rPr>
                                <w:spacing w:val="-7"/>
                              </w:rPr>
                              <w:t> </w:t>
                            </w:r>
                            <w:r>
                              <w:rPr/>
                              <w:t>muestran,</w:t>
                            </w:r>
                            <w:r>
                              <w:rPr>
                                <w:spacing w:val="-3"/>
                              </w:rPr>
                              <w:t> </w:t>
                            </w:r>
                            <w:r>
                              <w:rPr/>
                              <w:t>algunos de los cuales ya contaban con normativa interna, en cumplimiento de lo solicitado se aprobaron como políticas particulares según se muestra:</w:t>
                            </w:r>
                          </w:p>
                        </w:txbxContent>
                      </wps:txbx>
                      <wps:bodyPr wrap="square" lIns="0" tIns="0" rIns="0" bIns="0" rtlCol="0">
                        <a:noAutofit/>
                      </wps:bodyPr>
                    </wps:wsp>
                  </a:graphicData>
                </a:graphic>
              </wp:anchor>
            </w:drawing>
          </mc:Choice>
          <mc:Fallback>
            <w:pict>
              <v:shape style="position:absolute;margin-left:85.344002pt;margin-top:6.4625pt;width:441.5pt;height:196.75pt;mso-position-horizontal-relative:page;mso-position-vertical-relative:paragraph;z-index:-15700480;mso-wrap-distance-left:0;mso-wrap-distance-right:0" type="#_x0000_t202" id="docshape13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9"/>
                        <w:jc w:val="both"/>
                      </w:pPr>
                      <w:r>
                        <w:rPr/>
                        <w:t>A</w:t>
                      </w:r>
                      <w:r>
                        <w:rPr>
                          <w:spacing w:val="-8"/>
                        </w:rPr>
                        <w:t> </w:t>
                      </w:r>
                      <w:r>
                        <w:rPr/>
                        <w:t>la</w:t>
                      </w:r>
                      <w:r>
                        <w:rPr>
                          <w:spacing w:val="-10"/>
                        </w:rPr>
                        <w:t> </w:t>
                      </w:r>
                      <w:r>
                        <w:rPr/>
                        <w:t>fecha</w:t>
                      </w:r>
                      <w:r>
                        <w:rPr>
                          <w:spacing w:val="-10"/>
                        </w:rPr>
                        <w:t> </w:t>
                      </w:r>
                      <w:r>
                        <w:rPr/>
                        <w:t>se</w:t>
                      </w:r>
                      <w:r>
                        <w:rPr>
                          <w:spacing w:val="-10"/>
                        </w:rPr>
                        <w:t> </w:t>
                      </w:r>
                      <w:r>
                        <w:rPr/>
                        <w:t>han</w:t>
                      </w:r>
                      <w:r>
                        <w:rPr>
                          <w:spacing w:val="-8"/>
                        </w:rPr>
                        <w:t> </w:t>
                      </w:r>
                      <w:r>
                        <w:rPr/>
                        <w:t>aprobado</w:t>
                      </w:r>
                      <w:r>
                        <w:rPr>
                          <w:spacing w:val="-10"/>
                        </w:rPr>
                        <w:t> </w:t>
                      </w:r>
                      <w:r>
                        <w:rPr/>
                        <w:t>políticas</w:t>
                      </w:r>
                      <w:r>
                        <w:rPr>
                          <w:spacing w:val="-8"/>
                        </w:rPr>
                        <w:t> </w:t>
                      </w:r>
                      <w:r>
                        <w:rPr/>
                        <w:t>particulares</w:t>
                      </w:r>
                      <w:r>
                        <w:rPr>
                          <w:spacing w:val="-8"/>
                        </w:rPr>
                        <w:t> </w:t>
                      </w:r>
                      <w:r>
                        <w:rPr/>
                        <w:t>para</w:t>
                      </w:r>
                      <w:r>
                        <w:rPr>
                          <w:spacing w:val="-9"/>
                        </w:rPr>
                        <w:t> </w:t>
                      </w:r>
                      <w:r>
                        <w:rPr/>
                        <w:t>la</w:t>
                      </w:r>
                      <w:r>
                        <w:rPr>
                          <w:spacing w:val="-10"/>
                        </w:rPr>
                        <w:t> </w:t>
                      </w:r>
                      <w:r>
                        <w:rPr/>
                        <w:t>aplicación</w:t>
                      </w:r>
                      <w:r>
                        <w:rPr>
                          <w:spacing w:val="-8"/>
                        </w:rPr>
                        <w:t> </w:t>
                      </w:r>
                      <w:r>
                        <w:rPr/>
                        <w:t>de</w:t>
                      </w:r>
                      <w:r>
                        <w:rPr>
                          <w:spacing w:val="-10"/>
                        </w:rPr>
                        <w:t> </w:t>
                      </w:r>
                      <w:r>
                        <w:rPr/>
                        <w:t>la</w:t>
                      </w:r>
                      <w:r>
                        <w:rPr>
                          <w:spacing w:val="-7"/>
                        </w:rPr>
                        <w:t> </w:t>
                      </w:r>
                      <w:r>
                        <w:rPr/>
                        <w:t>NICSP</w:t>
                      </w:r>
                      <w:r>
                        <w:rPr>
                          <w:spacing w:val="-9"/>
                        </w:rPr>
                        <w:t> </w:t>
                      </w:r>
                      <w:r>
                        <w:rPr/>
                        <w:t>1,</w:t>
                      </w:r>
                      <w:r>
                        <w:rPr>
                          <w:spacing w:val="-9"/>
                        </w:rPr>
                        <w:t> </w:t>
                      </w:r>
                      <w:r>
                        <w:rPr/>
                        <w:t>NICSP</w:t>
                      </w:r>
                      <w:r>
                        <w:rPr>
                          <w:spacing w:val="-9"/>
                        </w:rPr>
                        <w:t> </w:t>
                      </w:r>
                      <w:r>
                        <w:rPr/>
                        <w:t>2,</w:t>
                      </w:r>
                      <w:r>
                        <w:rPr>
                          <w:spacing w:val="-9"/>
                        </w:rPr>
                        <w:t> </w:t>
                      </w:r>
                      <w:r>
                        <w:rPr/>
                        <w:t>NICSP 4,</w:t>
                      </w:r>
                      <w:r>
                        <w:rPr>
                          <w:spacing w:val="-10"/>
                        </w:rPr>
                        <w:t> </w:t>
                      </w:r>
                      <w:r>
                        <w:rPr/>
                        <w:t>NICSP</w:t>
                      </w:r>
                      <w:r>
                        <w:rPr>
                          <w:spacing w:val="-12"/>
                        </w:rPr>
                        <w:t> </w:t>
                      </w:r>
                      <w:r>
                        <w:rPr/>
                        <w:t>9,</w:t>
                      </w:r>
                      <w:r>
                        <w:rPr>
                          <w:spacing w:val="-10"/>
                        </w:rPr>
                        <w:t> </w:t>
                      </w:r>
                      <w:r>
                        <w:rPr/>
                        <w:t>NICSP</w:t>
                      </w:r>
                      <w:r>
                        <w:rPr>
                          <w:spacing w:val="-12"/>
                        </w:rPr>
                        <w:t> </w:t>
                      </w:r>
                      <w:r>
                        <w:rPr/>
                        <w:t>12</w:t>
                      </w:r>
                      <w:r>
                        <w:rPr>
                          <w:spacing w:val="-11"/>
                        </w:rPr>
                        <w:t> </w:t>
                      </w:r>
                      <w:r>
                        <w:rPr/>
                        <w:t>(PARCIAL),</w:t>
                      </w:r>
                      <w:r>
                        <w:rPr>
                          <w:spacing w:val="-9"/>
                        </w:rPr>
                        <w:t> </w:t>
                      </w:r>
                      <w:r>
                        <w:rPr/>
                        <w:t>NICSP</w:t>
                      </w:r>
                      <w:r>
                        <w:rPr>
                          <w:spacing w:val="-12"/>
                        </w:rPr>
                        <w:t> </w:t>
                      </w:r>
                      <w:r>
                        <w:rPr/>
                        <w:t>14,</w:t>
                      </w:r>
                      <w:r>
                        <w:rPr>
                          <w:spacing w:val="-9"/>
                        </w:rPr>
                        <w:t> </w:t>
                      </w:r>
                      <w:r>
                        <w:rPr/>
                        <w:t>NICSP</w:t>
                      </w:r>
                      <w:r>
                        <w:rPr>
                          <w:spacing w:val="-12"/>
                        </w:rPr>
                        <w:t> </w:t>
                      </w:r>
                      <w:r>
                        <w:rPr/>
                        <w:t>20</w:t>
                      </w:r>
                      <w:r>
                        <w:rPr>
                          <w:spacing w:val="-11"/>
                        </w:rPr>
                        <w:t> </w:t>
                      </w:r>
                      <w:r>
                        <w:rPr/>
                        <w:t>y</w:t>
                      </w:r>
                      <w:r>
                        <w:rPr>
                          <w:spacing w:val="-11"/>
                        </w:rPr>
                        <w:t> </w:t>
                      </w:r>
                      <w:r>
                        <w:rPr/>
                        <w:t>NICSP</w:t>
                      </w:r>
                      <w:r>
                        <w:rPr>
                          <w:spacing w:val="-10"/>
                        </w:rPr>
                        <w:t> </w:t>
                      </w:r>
                      <w:r>
                        <w:rPr/>
                        <w:t>24</w:t>
                      </w:r>
                      <w:r>
                        <w:rPr>
                          <w:spacing w:val="-11"/>
                        </w:rPr>
                        <w:t> </w:t>
                      </w:r>
                      <w:r>
                        <w:rPr/>
                        <w:t>y</w:t>
                      </w:r>
                      <w:r>
                        <w:rPr>
                          <w:spacing w:val="-11"/>
                        </w:rPr>
                        <w:t> </w:t>
                      </w:r>
                      <w:r>
                        <w:rPr/>
                        <w:t>adicionalmente</w:t>
                      </w:r>
                      <w:r>
                        <w:rPr>
                          <w:spacing w:val="-10"/>
                        </w:rPr>
                        <w:t> </w:t>
                      </w:r>
                      <w:r>
                        <w:rPr/>
                        <w:t>a</w:t>
                      </w:r>
                      <w:r>
                        <w:rPr>
                          <w:spacing w:val="-12"/>
                        </w:rPr>
                        <w:t> </w:t>
                      </w:r>
                      <w:r>
                        <w:rPr/>
                        <w:t>solicitud de</w:t>
                      </w:r>
                      <w:r>
                        <w:rPr>
                          <w:spacing w:val="-6"/>
                        </w:rPr>
                        <w:t> </w:t>
                      </w:r>
                      <w:r>
                        <w:rPr/>
                        <w:t>la</w:t>
                      </w:r>
                      <w:r>
                        <w:rPr>
                          <w:spacing w:val="-6"/>
                        </w:rPr>
                        <w:t> </w:t>
                      </w:r>
                      <w:r>
                        <w:rPr/>
                        <w:t>Contabilidad</w:t>
                      </w:r>
                      <w:r>
                        <w:rPr>
                          <w:spacing w:val="-5"/>
                        </w:rPr>
                        <w:t> </w:t>
                      </w:r>
                      <w:r>
                        <w:rPr/>
                        <w:t>Nacional</w:t>
                      </w:r>
                      <w:r>
                        <w:rPr>
                          <w:spacing w:val="-8"/>
                        </w:rPr>
                        <w:t> </w:t>
                      </w:r>
                      <w:r>
                        <w:rPr/>
                        <w:t>se</w:t>
                      </w:r>
                      <w:r>
                        <w:rPr>
                          <w:spacing w:val="-6"/>
                        </w:rPr>
                        <w:t> </w:t>
                      </w:r>
                      <w:r>
                        <w:rPr/>
                        <w:t>establecieron</w:t>
                      </w:r>
                      <w:r>
                        <w:rPr>
                          <w:spacing w:val="-4"/>
                        </w:rPr>
                        <w:t> </w:t>
                      </w:r>
                      <w:r>
                        <w:rPr/>
                        <w:t>lineamientos</w:t>
                      </w:r>
                      <w:r>
                        <w:rPr>
                          <w:spacing w:val="-5"/>
                        </w:rPr>
                        <w:t> </w:t>
                      </w:r>
                      <w:r>
                        <w:rPr/>
                        <w:t>contables</w:t>
                      </w:r>
                      <w:r>
                        <w:rPr>
                          <w:spacing w:val="-4"/>
                        </w:rPr>
                        <w:t> </w:t>
                      </w:r>
                      <w:r>
                        <w:rPr/>
                        <w:t>para</w:t>
                      </w:r>
                      <w:r>
                        <w:rPr>
                          <w:spacing w:val="-8"/>
                        </w:rPr>
                        <w:t> </w:t>
                      </w:r>
                      <w:r>
                        <w:rPr/>
                        <w:t>la</w:t>
                      </w:r>
                      <w:r>
                        <w:rPr>
                          <w:spacing w:val="-6"/>
                        </w:rPr>
                        <w:t> </w:t>
                      </w:r>
                      <w:r>
                        <w:rPr/>
                        <w:t>confirmación</w:t>
                      </w:r>
                      <w:r>
                        <w:rPr>
                          <w:spacing w:val="-4"/>
                        </w:rPr>
                        <w:t> </w:t>
                      </w:r>
                      <w:r>
                        <w:rPr/>
                        <w:t>de</w:t>
                      </w:r>
                      <w:r>
                        <w:rPr>
                          <w:spacing w:val="-6"/>
                        </w:rPr>
                        <w:t> </w:t>
                      </w:r>
                      <w:r>
                        <w:rPr/>
                        <w:t>saldos.</w:t>
                      </w:r>
                    </w:p>
                    <w:p>
                      <w:pPr>
                        <w:pStyle w:val="BodyText"/>
                        <w:spacing w:before="162"/>
                        <w:ind w:left="103" w:right="100"/>
                        <w:jc w:val="both"/>
                      </w:pPr>
                      <w:r>
                        <w:rPr/>
                        <w:t>Con</w:t>
                      </w:r>
                      <w:r>
                        <w:rPr>
                          <w:spacing w:val="-2"/>
                        </w:rPr>
                        <w:t> </w:t>
                      </w:r>
                      <w:r>
                        <w:rPr/>
                        <w:t>el</w:t>
                      </w:r>
                      <w:r>
                        <w:rPr>
                          <w:spacing w:val="-1"/>
                        </w:rPr>
                        <w:t> </w:t>
                      </w:r>
                      <w:r>
                        <w:rPr/>
                        <w:t>oficio</w:t>
                      </w:r>
                      <w:r>
                        <w:rPr>
                          <w:spacing w:val="-2"/>
                        </w:rPr>
                        <w:t> </w:t>
                      </w:r>
                      <w:r>
                        <w:rPr/>
                        <w:t>MH-DGCN-DIR-OF-0834-del</w:t>
                      </w:r>
                      <w:r>
                        <w:rPr>
                          <w:spacing w:val="-1"/>
                        </w:rPr>
                        <w:t> </w:t>
                      </w:r>
                      <w:r>
                        <w:rPr/>
                        <w:t>10</w:t>
                      </w:r>
                      <w:r>
                        <w:rPr>
                          <w:spacing w:val="-1"/>
                        </w:rPr>
                        <w:t> </w:t>
                      </w:r>
                      <w:r>
                        <w:rPr/>
                        <w:t>de</w:t>
                      </w:r>
                      <w:r>
                        <w:rPr>
                          <w:spacing w:val="-2"/>
                        </w:rPr>
                        <w:t> </w:t>
                      </w:r>
                      <w:r>
                        <w:rPr/>
                        <w:t>junio 2024, solicita además</w:t>
                      </w:r>
                      <w:r>
                        <w:rPr>
                          <w:spacing w:val="-1"/>
                        </w:rPr>
                        <w:t> </w:t>
                      </w:r>
                      <w:r>
                        <w:rPr/>
                        <w:t>que</w:t>
                      </w:r>
                      <w:r>
                        <w:rPr>
                          <w:spacing w:val="-1"/>
                        </w:rPr>
                        <w:t> </w:t>
                      </w:r>
                      <w:r>
                        <w:rPr/>
                        <w:t>dentro del</w:t>
                      </w:r>
                      <w:r>
                        <w:rPr>
                          <w:spacing w:val="-1"/>
                        </w:rPr>
                        <w:t> </w:t>
                      </w:r>
                      <w:r>
                        <w:rPr/>
                        <w:t>Plan General</w:t>
                      </w:r>
                      <w:r>
                        <w:rPr>
                          <w:spacing w:val="-5"/>
                        </w:rPr>
                        <w:t> </w:t>
                      </w:r>
                      <w:r>
                        <w:rPr/>
                        <w:t>Contable</w:t>
                      </w:r>
                      <w:r>
                        <w:rPr>
                          <w:spacing w:val="-6"/>
                        </w:rPr>
                        <w:t> </w:t>
                      </w:r>
                      <w:r>
                        <w:rPr/>
                        <w:t>mencionado</w:t>
                      </w:r>
                      <w:r>
                        <w:rPr>
                          <w:spacing w:val="-4"/>
                        </w:rPr>
                        <w:t> </w:t>
                      </w:r>
                      <w:r>
                        <w:rPr/>
                        <w:t>anteriormente</w:t>
                      </w:r>
                      <w:r>
                        <w:rPr>
                          <w:spacing w:val="-5"/>
                        </w:rPr>
                        <w:t> </w:t>
                      </w:r>
                      <w:r>
                        <w:rPr/>
                        <w:t>se</w:t>
                      </w:r>
                      <w:r>
                        <w:rPr>
                          <w:spacing w:val="-6"/>
                        </w:rPr>
                        <w:t> </w:t>
                      </w:r>
                      <w:r>
                        <w:rPr/>
                        <w:t>deban</w:t>
                      </w:r>
                      <w:r>
                        <w:rPr>
                          <w:spacing w:val="-4"/>
                        </w:rPr>
                        <w:t> </w:t>
                      </w:r>
                      <w:r>
                        <w:rPr/>
                        <w:t>incluir</w:t>
                      </w:r>
                      <w:r>
                        <w:rPr>
                          <w:spacing w:val="-5"/>
                        </w:rPr>
                        <w:t> </w:t>
                      </w:r>
                      <w:r>
                        <w:rPr/>
                        <w:t>algunas</w:t>
                      </w:r>
                      <w:r>
                        <w:rPr>
                          <w:spacing w:val="-4"/>
                        </w:rPr>
                        <w:t> </w:t>
                      </w:r>
                      <w:r>
                        <w:rPr/>
                        <w:t>Políticas</w:t>
                      </w:r>
                      <w:r>
                        <w:rPr>
                          <w:spacing w:val="-4"/>
                        </w:rPr>
                        <w:t> </w:t>
                      </w:r>
                      <w:r>
                        <w:rPr/>
                        <w:t>Contables</w:t>
                      </w:r>
                      <w:r>
                        <w:rPr>
                          <w:spacing w:val="-4"/>
                        </w:rPr>
                        <w:t> </w:t>
                      </w:r>
                      <w:r>
                        <w:rPr/>
                        <w:t>de</w:t>
                      </w:r>
                      <w:r>
                        <w:rPr>
                          <w:spacing w:val="-6"/>
                        </w:rPr>
                        <w:t> </w:t>
                      </w:r>
                      <w:r>
                        <w:rPr/>
                        <w:t>temas específicos, dentro de</w:t>
                      </w:r>
                      <w:r>
                        <w:rPr>
                          <w:spacing w:val="-2"/>
                        </w:rPr>
                        <w:t> </w:t>
                      </w:r>
                      <w:r>
                        <w:rPr/>
                        <w:t>los cuales se</w:t>
                      </w:r>
                      <w:r>
                        <w:rPr>
                          <w:spacing w:val="-1"/>
                        </w:rPr>
                        <w:t> </w:t>
                      </w:r>
                      <w:r>
                        <w:rPr/>
                        <w:t>aprueba</w:t>
                      </w:r>
                      <w:r>
                        <w:rPr>
                          <w:spacing w:val="-1"/>
                        </w:rPr>
                        <w:t> </w:t>
                      </w:r>
                      <w:r>
                        <w:rPr/>
                        <w:t>con el oficio IMAS-GG-1243-2024</w:t>
                      </w:r>
                      <w:r>
                        <w:rPr>
                          <w:spacing w:val="-1"/>
                        </w:rPr>
                        <w:t> </w:t>
                      </w:r>
                      <w:r>
                        <w:rPr/>
                        <w:t>Política</w:t>
                      </w:r>
                      <w:r>
                        <w:rPr>
                          <w:spacing w:val="-1"/>
                        </w:rPr>
                        <w:t> </w:t>
                      </w:r>
                      <w:r>
                        <w:rPr/>
                        <w:t>de Proceso de Confirmación de Saldos Cta Rec. (NICSP 1) y Política e aplicación del Devengo (NICSP 1), adicionalmente se emite normativa interna adicional Circulares: IMAS-DSA-CIR-0050-2024 y IMAS-DSA-CIR-0010-2024 para dichos temas.</w:t>
                      </w:r>
                    </w:p>
                    <w:p>
                      <w:pPr>
                        <w:pStyle w:val="BodyText"/>
                        <w:spacing w:before="160"/>
                        <w:ind w:left="103" w:right="104"/>
                        <w:jc w:val="both"/>
                      </w:pPr>
                      <w:r>
                        <w:rPr/>
                        <w:t>La</w:t>
                      </w:r>
                      <w:r>
                        <w:rPr>
                          <w:spacing w:val="-4"/>
                        </w:rPr>
                        <w:t> </w:t>
                      </w:r>
                      <w:r>
                        <w:rPr/>
                        <w:t>Contabilidad</w:t>
                      </w:r>
                      <w:r>
                        <w:rPr>
                          <w:spacing w:val="-3"/>
                        </w:rPr>
                        <w:t> </w:t>
                      </w:r>
                      <w:r>
                        <w:rPr/>
                        <w:t>Nacional</w:t>
                      </w:r>
                      <w:r>
                        <w:rPr>
                          <w:spacing w:val="-4"/>
                        </w:rPr>
                        <w:t> </w:t>
                      </w:r>
                      <w:r>
                        <w:rPr/>
                        <w:t>solicita</w:t>
                      </w:r>
                      <w:r>
                        <w:rPr>
                          <w:spacing w:val="-3"/>
                        </w:rPr>
                        <w:t> </w:t>
                      </w:r>
                      <w:r>
                        <w:rPr/>
                        <w:t>además</w:t>
                      </w:r>
                      <w:r>
                        <w:rPr>
                          <w:spacing w:val="-2"/>
                        </w:rPr>
                        <w:t> </w:t>
                      </w:r>
                      <w:r>
                        <w:rPr/>
                        <w:t>políticas</w:t>
                      </w:r>
                      <w:r>
                        <w:rPr>
                          <w:spacing w:val="-2"/>
                        </w:rPr>
                        <w:t> </w:t>
                      </w:r>
                      <w:r>
                        <w:rPr/>
                        <w:t>de</w:t>
                      </w:r>
                      <w:r>
                        <w:rPr>
                          <w:spacing w:val="-5"/>
                        </w:rPr>
                        <w:t> </w:t>
                      </w:r>
                      <w:r>
                        <w:rPr/>
                        <w:t>los</w:t>
                      </w:r>
                      <w:r>
                        <w:rPr>
                          <w:spacing w:val="-5"/>
                        </w:rPr>
                        <w:t> </w:t>
                      </w:r>
                      <w:r>
                        <w:rPr/>
                        <w:t>siguientes</w:t>
                      </w:r>
                      <w:r>
                        <w:rPr>
                          <w:spacing w:val="-2"/>
                        </w:rPr>
                        <w:t> </w:t>
                      </w:r>
                      <w:r>
                        <w:rPr/>
                        <w:t>temas</w:t>
                      </w:r>
                      <w:r>
                        <w:rPr>
                          <w:spacing w:val="-5"/>
                        </w:rPr>
                        <w:t> </w:t>
                      </w:r>
                      <w:r>
                        <w:rPr/>
                        <w:t>que</w:t>
                      </w:r>
                      <w:r>
                        <w:rPr>
                          <w:spacing w:val="-7"/>
                        </w:rPr>
                        <w:t> </w:t>
                      </w:r>
                      <w:r>
                        <w:rPr/>
                        <w:t>se</w:t>
                      </w:r>
                      <w:r>
                        <w:rPr>
                          <w:spacing w:val="-7"/>
                        </w:rPr>
                        <w:t> </w:t>
                      </w:r>
                      <w:r>
                        <w:rPr/>
                        <w:t>muestran,</w:t>
                      </w:r>
                      <w:r>
                        <w:rPr>
                          <w:spacing w:val="-3"/>
                        </w:rPr>
                        <w:t> </w:t>
                      </w:r>
                      <w:r>
                        <w:rPr/>
                        <w:t>algunos de los cuales ya contaban con normativa interna, en cumplimiento de lo solicitado se aprobaron como políticas particulares según se muestra:</w:t>
                      </w:r>
                    </w:p>
                  </w:txbxContent>
                </v:textbox>
                <v:stroke dashstyle="solid"/>
                <w10:wrap type="topAndBottom"/>
              </v:shape>
            </w:pict>
          </mc:Fallback>
        </mc:AlternateContent>
      </w:r>
    </w:p>
    <w:p>
      <w:pPr>
        <w:pStyle w:val="BodyText"/>
        <w:spacing w:after="0"/>
        <w:rPr>
          <w:b/>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3920">
                <wp:simplePos x="0" y="0"/>
                <wp:positionH relativeFrom="page">
                  <wp:posOffset>9525</wp:posOffset>
                </wp:positionH>
                <wp:positionV relativeFrom="page">
                  <wp:posOffset>297208</wp:posOffset>
                </wp:positionV>
                <wp:extent cx="7762875" cy="9748520"/>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7762875" cy="9748520"/>
                          <a:chExt cx="7762875" cy="9748520"/>
                        </a:xfrm>
                      </wpg:grpSpPr>
                      <pic:pic>
                        <pic:nvPicPr>
                          <pic:cNvPr id="140" name="Image 140"/>
                          <pic:cNvPicPr/>
                        </pic:nvPicPr>
                        <pic:blipFill>
                          <a:blip r:embed="rId5" cstate="print"/>
                          <a:stretch>
                            <a:fillRect/>
                          </a:stretch>
                        </pic:blipFill>
                        <pic:spPr>
                          <a:xfrm>
                            <a:off x="0" y="0"/>
                            <a:ext cx="7762874" cy="9748489"/>
                          </a:xfrm>
                          <a:prstGeom prst="rect">
                            <a:avLst/>
                          </a:prstGeom>
                        </pic:spPr>
                      </pic:pic>
                      <wps:wsp>
                        <wps:cNvPr id="141" name="Graphic 14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2560" id="docshapegroup138" coordorigin="15,468" coordsize="12225,15352">
                <v:shape style="position:absolute;left:15;top:468;width:12225;height:15352" type="#_x0000_t75" id="docshape139" stroked="false">
                  <v:imagedata r:id="rId5" o:title=""/>
                </v:shape>
                <v:rect style="position:absolute;left:1673;top:2028;width:8897;height:15" id="docshape14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40</w:t>
      </w:r>
    </w:p>
    <w:p>
      <w:pPr>
        <w:pStyle w:val="BodyText"/>
        <w:spacing w:before="7"/>
        <w:rPr>
          <w:sz w:val="18"/>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
        <w:gridCol w:w="3548"/>
        <w:gridCol w:w="1337"/>
        <w:gridCol w:w="3759"/>
        <w:gridCol w:w="72"/>
      </w:tblGrid>
      <w:tr>
        <w:trPr>
          <w:trHeight w:val="515" w:hRule="atLeast"/>
        </w:trPr>
        <w:tc>
          <w:tcPr>
            <w:tcW w:w="113" w:type="dxa"/>
            <w:tcBorders>
              <w:bottom w:val="nil"/>
            </w:tcBorders>
          </w:tcPr>
          <w:p>
            <w:pPr>
              <w:pStyle w:val="TableParagraph"/>
              <w:rPr>
                <w:rFonts w:ascii="Times New Roman"/>
                <w:sz w:val="22"/>
              </w:rPr>
            </w:pPr>
          </w:p>
        </w:tc>
        <w:tc>
          <w:tcPr>
            <w:tcW w:w="3548" w:type="dxa"/>
            <w:tcBorders>
              <w:top w:val="single" w:sz="8" w:space="0" w:color="000000"/>
            </w:tcBorders>
            <w:shd w:val="clear" w:color="auto" w:fill="001F5F"/>
          </w:tcPr>
          <w:p>
            <w:pPr>
              <w:pStyle w:val="TableParagraph"/>
              <w:spacing w:before="45"/>
              <w:ind w:left="9"/>
              <w:jc w:val="center"/>
              <w:rPr>
                <w:b/>
                <w:sz w:val="22"/>
              </w:rPr>
            </w:pPr>
            <w:r>
              <w:rPr>
                <w:b/>
                <w:color w:val="FFFFFF"/>
                <w:spacing w:val="-2"/>
                <w:sz w:val="22"/>
              </w:rPr>
              <w:t>Nombre</w:t>
            </w:r>
          </w:p>
        </w:tc>
        <w:tc>
          <w:tcPr>
            <w:tcW w:w="1337" w:type="dxa"/>
            <w:tcBorders>
              <w:top w:val="single" w:sz="8" w:space="0" w:color="000000"/>
            </w:tcBorders>
            <w:shd w:val="clear" w:color="auto" w:fill="001F5F"/>
          </w:tcPr>
          <w:p>
            <w:pPr>
              <w:pStyle w:val="TableParagraph"/>
              <w:spacing w:before="45"/>
              <w:ind w:left="366"/>
              <w:rPr>
                <w:b/>
                <w:sz w:val="22"/>
              </w:rPr>
            </w:pPr>
            <w:r>
              <w:rPr>
                <w:b/>
                <w:color w:val="FFFFFF"/>
                <w:spacing w:val="-2"/>
                <w:sz w:val="22"/>
              </w:rPr>
              <w:t>Estado</w:t>
            </w:r>
          </w:p>
        </w:tc>
        <w:tc>
          <w:tcPr>
            <w:tcW w:w="3759" w:type="dxa"/>
            <w:tcBorders>
              <w:top w:val="single" w:sz="8" w:space="0" w:color="000000"/>
            </w:tcBorders>
            <w:shd w:val="clear" w:color="auto" w:fill="001F5F"/>
          </w:tcPr>
          <w:p>
            <w:pPr>
              <w:pStyle w:val="TableParagraph"/>
              <w:spacing w:before="45"/>
              <w:ind w:left="6"/>
              <w:jc w:val="center"/>
              <w:rPr>
                <w:b/>
                <w:sz w:val="22"/>
              </w:rPr>
            </w:pPr>
            <w:r>
              <w:rPr>
                <w:b/>
                <w:color w:val="FFFFFF"/>
                <w:spacing w:val="-2"/>
                <w:sz w:val="22"/>
              </w:rPr>
              <w:t>Observación</w:t>
            </w:r>
          </w:p>
        </w:tc>
        <w:tc>
          <w:tcPr>
            <w:tcW w:w="72" w:type="dxa"/>
            <w:tcBorders>
              <w:bottom w:val="nil"/>
            </w:tcBorders>
            <w:shd w:val="clear" w:color="auto" w:fill="001F5F"/>
          </w:tcPr>
          <w:p>
            <w:pPr>
              <w:pStyle w:val="TableParagraph"/>
              <w:rPr>
                <w:rFonts w:ascii="Times New Roman"/>
                <w:sz w:val="22"/>
              </w:rPr>
            </w:pPr>
          </w:p>
        </w:tc>
      </w:tr>
      <w:tr>
        <w:trPr>
          <w:trHeight w:val="124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78" w:lineRule="auto"/>
              <w:ind w:left="107" w:right="103"/>
              <w:rPr>
                <w:sz w:val="22"/>
              </w:rPr>
            </w:pPr>
            <w:r>
              <w:rPr>
                <w:sz w:val="22"/>
              </w:rPr>
              <w:t>Política</w:t>
            </w:r>
            <w:r>
              <w:rPr>
                <w:spacing w:val="-14"/>
                <w:sz w:val="22"/>
              </w:rPr>
              <w:t> </w:t>
            </w:r>
            <w:r>
              <w:rPr>
                <w:sz w:val="22"/>
              </w:rPr>
              <w:t>de</w:t>
            </w:r>
            <w:r>
              <w:rPr>
                <w:spacing w:val="-14"/>
                <w:sz w:val="22"/>
              </w:rPr>
              <w:t> </w:t>
            </w:r>
            <w:r>
              <w:rPr>
                <w:sz w:val="22"/>
              </w:rPr>
              <w:t>Partes</w:t>
            </w:r>
            <w:r>
              <w:rPr>
                <w:spacing w:val="-11"/>
                <w:sz w:val="22"/>
              </w:rPr>
              <w:t> </w:t>
            </w:r>
            <w:r>
              <w:rPr>
                <w:sz w:val="22"/>
              </w:rPr>
              <w:t>Relacionadas (NICSP 20).</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356"/>
              <w:rPr>
                <w:sz w:val="22"/>
              </w:rPr>
            </w:pPr>
            <w:r>
              <w:rPr>
                <w:sz w:val="22"/>
              </w:rPr>
              <w:t>Aprobada</w:t>
            </w:r>
            <w:r>
              <w:rPr>
                <w:spacing w:val="-13"/>
                <w:sz w:val="22"/>
              </w:rPr>
              <w:t> </w:t>
            </w:r>
            <w:r>
              <w:rPr>
                <w:sz w:val="22"/>
              </w:rPr>
              <w:t>Acuerdo</w:t>
            </w:r>
            <w:r>
              <w:rPr>
                <w:spacing w:val="-12"/>
                <w:sz w:val="22"/>
              </w:rPr>
              <w:t> </w:t>
            </w:r>
            <w:r>
              <w:rPr>
                <w:sz w:val="22"/>
              </w:rPr>
              <w:t>Comisión</w:t>
            </w:r>
            <w:r>
              <w:rPr>
                <w:spacing w:val="-12"/>
                <w:sz w:val="22"/>
              </w:rPr>
              <w:t> </w:t>
            </w:r>
            <w:r>
              <w:rPr>
                <w:sz w:val="22"/>
              </w:rPr>
              <w:t>NICSP No.31-2024 considerando el oficio </w:t>
            </w:r>
            <w:r>
              <w:rPr>
                <w:spacing w:val="-2"/>
                <w:sz w:val="22"/>
              </w:rPr>
              <w:t>IMAS-DSA-DAF-0594-2024.</w:t>
            </w:r>
          </w:p>
          <w:p>
            <w:pPr>
              <w:pStyle w:val="TableParagraph"/>
              <w:spacing w:before="1"/>
              <w:ind w:left="105"/>
              <w:rPr>
                <w:sz w:val="22"/>
              </w:rPr>
            </w:pPr>
            <w:r>
              <w:rPr>
                <w:sz w:val="22"/>
              </w:rPr>
              <w:t>Publicación</w:t>
            </w:r>
            <w:r>
              <w:rPr>
                <w:spacing w:val="-4"/>
                <w:sz w:val="22"/>
              </w:rPr>
              <w:t> </w:t>
            </w:r>
            <w:r>
              <w:rPr>
                <w:sz w:val="22"/>
              </w:rPr>
              <w:t>versión</w:t>
            </w:r>
            <w:r>
              <w:rPr>
                <w:spacing w:val="-4"/>
                <w:sz w:val="22"/>
              </w:rPr>
              <w:t> </w:t>
            </w:r>
            <w:r>
              <w:rPr>
                <w:sz w:val="22"/>
              </w:rPr>
              <w:t>3</w:t>
            </w:r>
            <w:r>
              <w:rPr>
                <w:spacing w:val="-4"/>
                <w:sz w:val="22"/>
              </w:rPr>
              <w:t> </w:t>
            </w:r>
            <w:r>
              <w:rPr>
                <w:sz w:val="22"/>
              </w:rPr>
              <w:t>del</w:t>
            </w:r>
            <w:r>
              <w:rPr>
                <w:spacing w:val="-4"/>
                <w:sz w:val="22"/>
              </w:rPr>
              <w:t> </w:t>
            </w:r>
            <w:r>
              <w:rPr>
                <w:sz w:val="22"/>
              </w:rPr>
              <w:t>Plan</w:t>
            </w:r>
            <w:r>
              <w:rPr>
                <w:spacing w:val="-4"/>
                <w:sz w:val="22"/>
              </w:rPr>
              <w:t> </w:t>
            </w:r>
            <w:r>
              <w:rPr>
                <w:spacing w:val="-2"/>
                <w:sz w:val="22"/>
              </w:rPr>
              <w:t>Contable.</w:t>
            </w:r>
          </w:p>
        </w:tc>
        <w:tc>
          <w:tcPr>
            <w:tcW w:w="72" w:type="dxa"/>
            <w:tcBorders>
              <w:top w:val="nil"/>
              <w:bottom w:val="nil"/>
            </w:tcBorders>
          </w:tcPr>
          <w:p>
            <w:pPr>
              <w:pStyle w:val="TableParagraph"/>
              <w:rPr>
                <w:rFonts w:ascii="Times New Roman"/>
                <w:sz w:val="22"/>
              </w:rPr>
            </w:pPr>
          </w:p>
        </w:tc>
      </w:tr>
      <w:tr>
        <w:trPr>
          <w:trHeight w:val="113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9"/>
                <w:sz w:val="22"/>
              </w:rPr>
              <w:t> </w:t>
            </w:r>
            <w:r>
              <w:rPr>
                <w:sz w:val="22"/>
              </w:rPr>
              <w:t>de</w:t>
            </w:r>
            <w:r>
              <w:rPr>
                <w:spacing w:val="-10"/>
                <w:sz w:val="22"/>
              </w:rPr>
              <w:t> </w:t>
            </w:r>
            <w:r>
              <w:rPr>
                <w:sz w:val="22"/>
              </w:rPr>
              <w:t>Proceso</w:t>
            </w:r>
            <w:r>
              <w:rPr>
                <w:spacing w:val="-8"/>
                <w:sz w:val="22"/>
              </w:rPr>
              <w:t> </w:t>
            </w:r>
            <w:r>
              <w:rPr>
                <w:sz w:val="22"/>
              </w:rPr>
              <w:t>de</w:t>
            </w:r>
            <w:r>
              <w:rPr>
                <w:spacing w:val="-11"/>
                <w:sz w:val="22"/>
              </w:rPr>
              <w:t> </w:t>
            </w:r>
            <w:r>
              <w:rPr>
                <w:sz w:val="22"/>
              </w:rPr>
              <w:t>Confirmación de Saldos Cta Rec. (NICSP 1)</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275"/>
              <w:rPr>
                <w:sz w:val="22"/>
              </w:rPr>
            </w:pPr>
            <w:r>
              <w:rPr>
                <w:sz w:val="22"/>
              </w:rPr>
              <w:t>Fue</w:t>
            </w:r>
            <w:r>
              <w:rPr>
                <w:spacing w:val="-8"/>
                <w:sz w:val="22"/>
              </w:rPr>
              <w:t> </w:t>
            </w:r>
            <w:r>
              <w:rPr>
                <w:sz w:val="22"/>
              </w:rPr>
              <w:t>aprobada</w:t>
            </w:r>
            <w:r>
              <w:rPr>
                <w:spacing w:val="-8"/>
                <w:sz w:val="22"/>
              </w:rPr>
              <w:t> </w:t>
            </w:r>
            <w:r>
              <w:rPr>
                <w:sz w:val="22"/>
              </w:rPr>
              <w:t>con</w:t>
            </w:r>
            <w:r>
              <w:rPr>
                <w:spacing w:val="-7"/>
                <w:sz w:val="22"/>
              </w:rPr>
              <w:t> </w:t>
            </w:r>
            <w:r>
              <w:rPr>
                <w:sz w:val="22"/>
              </w:rPr>
              <w:t>el</w:t>
            </w:r>
            <w:r>
              <w:rPr>
                <w:spacing w:val="-7"/>
                <w:sz w:val="22"/>
              </w:rPr>
              <w:t> </w:t>
            </w:r>
            <w:r>
              <w:rPr>
                <w:sz w:val="22"/>
              </w:rPr>
              <w:t>oficio</w:t>
            </w:r>
            <w:r>
              <w:rPr>
                <w:spacing w:val="-8"/>
                <w:sz w:val="22"/>
              </w:rPr>
              <w:t> </w:t>
            </w:r>
            <w:r>
              <w:rPr>
                <w:sz w:val="22"/>
              </w:rPr>
              <w:t>IMAS-GG-1243-2024 del 08 de julio 2024.</w:t>
            </w:r>
          </w:p>
        </w:tc>
        <w:tc>
          <w:tcPr>
            <w:tcW w:w="72" w:type="dxa"/>
            <w:tcBorders>
              <w:top w:val="nil"/>
              <w:bottom w:val="nil"/>
            </w:tcBorders>
          </w:tcPr>
          <w:p>
            <w:pPr>
              <w:pStyle w:val="TableParagraph"/>
              <w:rPr>
                <w:rFonts w:ascii="Times New Roman"/>
                <w:sz w:val="22"/>
              </w:rPr>
            </w:pPr>
          </w:p>
        </w:tc>
      </w:tr>
      <w:tr>
        <w:trPr>
          <w:trHeight w:val="70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ind w:left="107"/>
              <w:rPr>
                <w:sz w:val="22"/>
              </w:rPr>
            </w:pPr>
            <w:r>
              <w:rPr>
                <w:sz w:val="22"/>
              </w:rPr>
              <w:t>Política</w:t>
            </w:r>
            <w:r>
              <w:rPr>
                <w:spacing w:val="-6"/>
                <w:sz w:val="22"/>
              </w:rPr>
              <w:t> </w:t>
            </w:r>
            <w:r>
              <w:rPr>
                <w:sz w:val="22"/>
              </w:rPr>
              <w:t>de</w:t>
            </w:r>
            <w:r>
              <w:rPr>
                <w:spacing w:val="-6"/>
                <w:sz w:val="22"/>
              </w:rPr>
              <w:t> </w:t>
            </w:r>
            <w:r>
              <w:rPr>
                <w:sz w:val="22"/>
              </w:rPr>
              <w:t>aplicación</w:t>
            </w:r>
            <w:r>
              <w:rPr>
                <w:spacing w:val="-4"/>
                <w:sz w:val="22"/>
              </w:rPr>
              <w:t> </w:t>
            </w:r>
            <w:r>
              <w:rPr>
                <w:sz w:val="22"/>
              </w:rPr>
              <w:t>del</w:t>
            </w:r>
            <w:r>
              <w:rPr>
                <w:spacing w:val="-4"/>
                <w:sz w:val="22"/>
              </w:rPr>
              <w:t> </w:t>
            </w:r>
            <w:r>
              <w:rPr>
                <w:spacing w:val="-2"/>
                <w:sz w:val="22"/>
              </w:rPr>
              <w:t>Devengo</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275"/>
              <w:rPr>
                <w:sz w:val="22"/>
              </w:rPr>
            </w:pPr>
            <w:r>
              <w:rPr>
                <w:sz w:val="22"/>
              </w:rPr>
              <w:t>Fue</w:t>
            </w:r>
            <w:r>
              <w:rPr>
                <w:spacing w:val="-8"/>
                <w:sz w:val="22"/>
              </w:rPr>
              <w:t> </w:t>
            </w:r>
            <w:r>
              <w:rPr>
                <w:sz w:val="22"/>
              </w:rPr>
              <w:t>aprobada</w:t>
            </w:r>
            <w:r>
              <w:rPr>
                <w:spacing w:val="-8"/>
                <w:sz w:val="22"/>
              </w:rPr>
              <w:t> </w:t>
            </w:r>
            <w:r>
              <w:rPr>
                <w:sz w:val="22"/>
              </w:rPr>
              <w:t>con</w:t>
            </w:r>
            <w:r>
              <w:rPr>
                <w:spacing w:val="-7"/>
                <w:sz w:val="22"/>
              </w:rPr>
              <w:t> </w:t>
            </w:r>
            <w:r>
              <w:rPr>
                <w:sz w:val="22"/>
              </w:rPr>
              <w:t>el</w:t>
            </w:r>
            <w:r>
              <w:rPr>
                <w:spacing w:val="-7"/>
                <w:sz w:val="22"/>
              </w:rPr>
              <w:t> </w:t>
            </w:r>
            <w:r>
              <w:rPr>
                <w:sz w:val="22"/>
              </w:rPr>
              <w:t>oficio</w:t>
            </w:r>
            <w:r>
              <w:rPr>
                <w:spacing w:val="-8"/>
                <w:sz w:val="22"/>
              </w:rPr>
              <w:t> </w:t>
            </w:r>
            <w:r>
              <w:rPr>
                <w:sz w:val="22"/>
              </w:rPr>
              <w:t>IMAS-GG-1243-2024 del 08 de julio 2024.</w:t>
            </w:r>
          </w:p>
        </w:tc>
        <w:tc>
          <w:tcPr>
            <w:tcW w:w="72" w:type="dxa"/>
            <w:tcBorders>
              <w:top w:val="nil"/>
              <w:bottom w:val="nil"/>
            </w:tcBorders>
          </w:tcPr>
          <w:p>
            <w:pPr>
              <w:pStyle w:val="TableParagraph"/>
              <w:rPr>
                <w:rFonts w:ascii="Times New Roman"/>
                <w:sz w:val="22"/>
              </w:rPr>
            </w:pPr>
          </w:p>
        </w:tc>
      </w:tr>
      <w:tr>
        <w:trPr>
          <w:trHeight w:val="971"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6"/>
                <w:sz w:val="22"/>
              </w:rPr>
              <w:t> </w:t>
            </w:r>
            <w:r>
              <w:rPr>
                <w:sz w:val="22"/>
              </w:rPr>
              <w:t>de</w:t>
            </w:r>
            <w:r>
              <w:rPr>
                <w:spacing w:val="-7"/>
                <w:sz w:val="22"/>
              </w:rPr>
              <w:t> </w:t>
            </w:r>
            <w:r>
              <w:rPr>
                <w:sz w:val="22"/>
              </w:rPr>
              <w:t>gestión</w:t>
            </w:r>
            <w:r>
              <w:rPr>
                <w:spacing w:val="-5"/>
                <w:sz w:val="22"/>
              </w:rPr>
              <w:t> </w:t>
            </w:r>
            <w:r>
              <w:rPr>
                <w:sz w:val="22"/>
              </w:rPr>
              <w:t>y</w:t>
            </w:r>
            <w:r>
              <w:rPr>
                <w:spacing w:val="-6"/>
                <w:sz w:val="22"/>
              </w:rPr>
              <w:t> </w:t>
            </w:r>
            <w:r>
              <w:rPr>
                <w:sz w:val="22"/>
              </w:rPr>
              <w:t>registro</w:t>
            </w:r>
            <w:r>
              <w:rPr>
                <w:spacing w:val="-6"/>
                <w:sz w:val="22"/>
              </w:rPr>
              <w:t> </w:t>
            </w:r>
            <w:r>
              <w:rPr>
                <w:sz w:val="22"/>
              </w:rPr>
              <w:t>de</w:t>
            </w:r>
            <w:r>
              <w:rPr>
                <w:spacing w:val="-7"/>
                <w:sz w:val="22"/>
              </w:rPr>
              <w:t> </w:t>
            </w:r>
            <w:r>
              <w:rPr>
                <w:sz w:val="22"/>
              </w:rPr>
              <w:t>activos (NICSP17- Propiedad, planta y </w:t>
            </w:r>
            <w:r>
              <w:rPr>
                <w:spacing w:val="-2"/>
                <w:sz w:val="22"/>
              </w:rPr>
              <w:t>Equipo)</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287"/>
              <w:rPr>
                <w:sz w:val="22"/>
              </w:rPr>
            </w:pPr>
            <w:r>
              <w:rPr>
                <w:sz w:val="22"/>
              </w:rPr>
              <w:t>Aprobada Acuerdo Comisión NICSP No.11-2025.</w:t>
            </w:r>
            <w:r>
              <w:rPr>
                <w:spacing w:val="-14"/>
                <w:sz w:val="22"/>
              </w:rPr>
              <w:t> </w:t>
            </w:r>
            <w:r>
              <w:rPr>
                <w:sz w:val="22"/>
              </w:rPr>
              <w:t>Pendiente</w:t>
            </w:r>
            <w:r>
              <w:rPr>
                <w:spacing w:val="-13"/>
                <w:sz w:val="22"/>
              </w:rPr>
              <w:t> </w:t>
            </w:r>
            <w:r>
              <w:rPr>
                <w:sz w:val="22"/>
              </w:rPr>
              <w:t>de</w:t>
            </w:r>
            <w:r>
              <w:rPr>
                <w:spacing w:val="-13"/>
                <w:sz w:val="22"/>
              </w:rPr>
              <w:t> </w:t>
            </w:r>
            <w:r>
              <w:rPr>
                <w:sz w:val="22"/>
              </w:rPr>
              <w:t>publicación en versión 5 del Plan Contable.</w:t>
            </w:r>
          </w:p>
        </w:tc>
        <w:tc>
          <w:tcPr>
            <w:tcW w:w="72" w:type="dxa"/>
            <w:tcBorders>
              <w:top w:val="nil"/>
              <w:bottom w:val="nil"/>
            </w:tcBorders>
          </w:tcPr>
          <w:p>
            <w:pPr>
              <w:pStyle w:val="TableParagraph"/>
              <w:rPr>
                <w:rFonts w:ascii="Times New Roman"/>
                <w:sz w:val="22"/>
              </w:rPr>
            </w:pPr>
          </w:p>
        </w:tc>
      </w:tr>
      <w:tr>
        <w:trPr>
          <w:trHeight w:val="70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10"/>
                <w:sz w:val="22"/>
              </w:rPr>
              <w:t> </w:t>
            </w:r>
            <w:r>
              <w:rPr>
                <w:sz w:val="22"/>
              </w:rPr>
              <w:t>de</w:t>
            </w:r>
            <w:r>
              <w:rPr>
                <w:spacing w:val="-10"/>
                <w:sz w:val="22"/>
              </w:rPr>
              <w:t> </w:t>
            </w:r>
            <w:r>
              <w:rPr>
                <w:sz w:val="22"/>
              </w:rPr>
              <w:t>Método</w:t>
            </w:r>
            <w:r>
              <w:rPr>
                <w:spacing w:val="-9"/>
                <w:sz w:val="22"/>
              </w:rPr>
              <w:t> </w:t>
            </w:r>
            <w:r>
              <w:rPr>
                <w:sz w:val="22"/>
              </w:rPr>
              <w:t>Directo</w:t>
            </w:r>
            <w:r>
              <w:rPr>
                <w:spacing w:val="-10"/>
                <w:sz w:val="22"/>
              </w:rPr>
              <w:t> </w:t>
            </w:r>
            <w:r>
              <w:rPr>
                <w:sz w:val="22"/>
              </w:rPr>
              <w:t>EFE (NICSP 2)</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275"/>
              <w:rPr>
                <w:sz w:val="22"/>
              </w:rPr>
            </w:pPr>
            <w:r>
              <w:rPr>
                <w:sz w:val="22"/>
              </w:rPr>
              <w:t>Fue</w:t>
            </w:r>
            <w:r>
              <w:rPr>
                <w:spacing w:val="-8"/>
                <w:sz w:val="22"/>
              </w:rPr>
              <w:t> </w:t>
            </w:r>
            <w:r>
              <w:rPr>
                <w:sz w:val="22"/>
              </w:rPr>
              <w:t>aprobada</w:t>
            </w:r>
            <w:r>
              <w:rPr>
                <w:spacing w:val="-8"/>
                <w:sz w:val="22"/>
              </w:rPr>
              <w:t> </w:t>
            </w:r>
            <w:r>
              <w:rPr>
                <w:sz w:val="22"/>
              </w:rPr>
              <w:t>con</w:t>
            </w:r>
            <w:r>
              <w:rPr>
                <w:spacing w:val="-7"/>
                <w:sz w:val="22"/>
              </w:rPr>
              <w:t> </w:t>
            </w:r>
            <w:r>
              <w:rPr>
                <w:sz w:val="22"/>
              </w:rPr>
              <w:t>el</w:t>
            </w:r>
            <w:r>
              <w:rPr>
                <w:spacing w:val="-7"/>
                <w:sz w:val="22"/>
              </w:rPr>
              <w:t> </w:t>
            </w:r>
            <w:r>
              <w:rPr>
                <w:sz w:val="22"/>
              </w:rPr>
              <w:t>oficio</w:t>
            </w:r>
            <w:r>
              <w:rPr>
                <w:spacing w:val="-8"/>
                <w:sz w:val="22"/>
              </w:rPr>
              <w:t> </w:t>
            </w:r>
            <w:r>
              <w:rPr>
                <w:sz w:val="22"/>
              </w:rPr>
              <w:t>IMAS-GG-0718-2024 del 18 de abril del 2024.</w:t>
            </w:r>
          </w:p>
        </w:tc>
        <w:tc>
          <w:tcPr>
            <w:tcW w:w="72" w:type="dxa"/>
            <w:tcBorders>
              <w:top w:val="nil"/>
              <w:bottom w:val="nil"/>
            </w:tcBorders>
          </w:tcPr>
          <w:p>
            <w:pPr>
              <w:pStyle w:val="TableParagraph"/>
              <w:rPr>
                <w:rFonts w:ascii="Times New Roman"/>
                <w:sz w:val="22"/>
              </w:rPr>
            </w:pPr>
          </w:p>
        </w:tc>
      </w:tr>
      <w:tr>
        <w:trPr>
          <w:trHeight w:val="97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12"/>
                <w:sz w:val="22"/>
              </w:rPr>
              <w:t> </w:t>
            </w:r>
            <w:r>
              <w:rPr>
                <w:sz w:val="22"/>
              </w:rPr>
              <w:t>gestión</w:t>
            </w:r>
            <w:r>
              <w:rPr>
                <w:spacing w:val="-11"/>
                <w:sz w:val="22"/>
              </w:rPr>
              <w:t> </w:t>
            </w:r>
            <w:r>
              <w:rPr>
                <w:sz w:val="22"/>
              </w:rPr>
              <w:t>de</w:t>
            </w:r>
            <w:r>
              <w:rPr>
                <w:spacing w:val="-13"/>
                <w:sz w:val="22"/>
              </w:rPr>
              <w:t> </w:t>
            </w:r>
            <w:r>
              <w:rPr>
                <w:sz w:val="22"/>
              </w:rPr>
              <w:t>cesantía-asociación solidarista (NICSP 39)</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jc w:val="both"/>
              <w:rPr>
                <w:sz w:val="22"/>
              </w:rPr>
            </w:pPr>
            <w:r>
              <w:rPr>
                <w:sz w:val="22"/>
              </w:rPr>
              <w:t>Aprobada Acuerdo Comisión NICSP No.11-2025. Pendiente de publicación en versión 5 del Plan Contable.</w:t>
            </w:r>
          </w:p>
        </w:tc>
        <w:tc>
          <w:tcPr>
            <w:tcW w:w="72" w:type="dxa"/>
            <w:tcBorders>
              <w:top w:val="nil"/>
              <w:bottom w:val="nil"/>
            </w:tcBorders>
          </w:tcPr>
          <w:p>
            <w:pPr>
              <w:pStyle w:val="TableParagraph"/>
              <w:rPr>
                <w:rFonts w:ascii="Times New Roman"/>
                <w:sz w:val="22"/>
              </w:rPr>
            </w:pPr>
          </w:p>
        </w:tc>
      </w:tr>
      <w:tr>
        <w:trPr>
          <w:trHeight w:val="971"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10"/>
                <w:sz w:val="22"/>
              </w:rPr>
              <w:t> </w:t>
            </w:r>
            <w:r>
              <w:rPr>
                <w:sz w:val="22"/>
              </w:rPr>
              <w:t>acumulación</w:t>
            </w:r>
            <w:r>
              <w:rPr>
                <w:spacing w:val="-9"/>
                <w:sz w:val="22"/>
              </w:rPr>
              <w:t> </w:t>
            </w:r>
            <w:r>
              <w:rPr>
                <w:sz w:val="22"/>
              </w:rPr>
              <w:t>de</w:t>
            </w:r>
            <w:r>
              <w:rPr>
                <w:spacing w:val="-11"/>
                <w:sz w:val="22"/>
              </w:rPr>
              <w:t> </w:t>
            </w:r>
            <w:r>
              <w:rPr>
                <w:sz w:val="22"/>
              </w:rPr>
              <w:t>vacaciones</w:t>
            </w:r>
            <w:r>
              <w:rPr>
                <w:spacing w:val="-8"/>
                <w:sz w:val="22"/>
              </w:rPr>
              <w:t> </w:t>
            </w:r>
            <w:r>
              <w:rPr>
                <w:sz w:val="22"/>
              </w:rPr>
              <w:t>y su pasivo (NICSP 39)</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jc w:val="both"/>
              <w:rPr>
                <w:sz w:val="22"/>
              </w:rPr>
            </w:pPr>
            <w:r>
              <w:rPr>
                <w:sz w:val="22"/>
              </w:rPr>
              <w:t>Aprobada Acuerdo Comisión NICSP No.11-2025. Pendiente de publicación en versión 5 del Plan Contable.</w:t>
            </w:r>
          </w:p>
        </w:tc>
        <w:tc>
          <w:tcPr>
            <w:tcW w:w="72" w:type="dxa"/>
            <w:tcBorders>
              <w:top w:val="nil"/>
              <w:bottom w:val="nil"/>
            </w:tcBorders>
          </w:tcPr>
          <w:p>
            <w:pPr>
              <w:pStyle w:val="TableParagraph"/>
              <w:rPr>
                <w:rFonts w:ascii="Times New Roman"/>
                <w:sz w:val="22"/>
              </w:rPr>
            </w:pPr>
          </w:p>
        </w:tc>
      </w:tr>
      <w:tr>
        <w:trPr>
          <w:trHeight w:val="702" w:hRule="atLeast"/>
        </w:trPr>
        <w:tc>
          <w:tcPr>
            <w:tcW w:w="113" w:type="dxa"/>
            <w:tcBorders>
              <w:top w:val="nil"/>
              <w:bottom w:val="nil"/>
            </w:tcBorders>
          </w:tcPr>
          <w:p>
            <w:pPr>
              <w:pStyle w:val="TableParagraph"/>
              <w:rPr>
                <w:rFonts w:ascii="Times New Roman"/>
                <w:sz w:val="22"/>
              </w:rPr>
            </w:pPr>
          </w:p>
        </w:tc>
        <w:tc>
          <w:tcPr>
            <w:tcW w:w="3548" w:type="dxa"/>
          </w:tcPr>
          <w:p>
            <w:pPr>
              <w:pStyle w:val="TableParagraph"/>
              <w:ind w:left="107"/>
              <w:rPr>
                <w:sz w:val="22"/>
              </w:rPr>
            </w:pPr>
            <w:r>
              <w:rPr>
                <w:sz w:val="22"/>
              </w:rPr>
              <w:t>Política</w:t>
            </w:r>
            <w:r>
              <w:rPr>
                <w:spacing w:val="-6"/>
                <w:sz w:val="22"/>
              </w:rPr>
              <w:t> </w:t>
            </w:r>
            <w:r>
              <w:rPr>
                <w:sz w:val="22"/>
              </w:rPr>
              <w:t>Ingresos</w:t>
            </w:r>
            <w:r>
              <w:rPr>
                <w:spacing w:val="-3"/>
                <w:sz w:val="22"/>
              </w:rPr>
              <w:t> </w:t>
            </w:r>
            <w:r>
              <w:rPr>
                <w:spacing w:val="-2"/>
                <w:sz w:val="22"/>
              </w:rPr>
              <w:t>Propios</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rPr>
                <w:sz w:val="22"/>
              </w:rPr>
            </w:pPr>
            <w:r>
              <w:rPr>
                <w:sz w:val="22"/>
              </w:rPr>
              <w:t>Aprobada</w:t>
            </w:r>
            <w:r>
              <w:rPr>
                <w:spacing w:val="40"/>
                <w:sz w:val="22"/>
              </w:rPr>
              <w:t> </w:t>
            </w:r>
            <w:r>
              <w:rPr>
                <w:sz w:val="22"/>
              </w:rPr>
              <w:t>Acuerdo</w:t>
            </w:r>
            <w:r>
              <w:rPr>
                <w:spacing w:val="40"/>
                <w:sz w:val="22"/>
              </w:rPr>
              <w:t> </w:t>
            </w:r>
            <w:r>
              <w:rPr>
                <w:sz w:val="22"/>
              </w:rPr>
              <w:t>Comisión</w:t>
            </w:r>
            <w:r>
              <w:rPr>
                <w:spacing w:val="40"/>
                <w:sz w:val="22"/>
              </w:rPr>
              <w:t> </w:t>
            </w:r>
            <w:r>
              <w:rPr>
                <w:sz w:val="22"/>
              </w:rPr>
              <w:t>NICSP No.29-2024. Plan Contable 3.0</w:t>
            </w:r>
          </w:p>
        </w:tc>
        <w:tc>
          <w:tcPr>
            <w:tcW w:w="72" w:type="dxa"/>
            <w:tcBorders>
              <w:top w:val="nil"/>
              <w:bottom w:val="nil"/>
            </w:tcBorders>
          </w:tcPr>
          <w:p>
            <w:pPr>
              <w:pStyle w:val="TableParagraph"/>
              <w:rPr>
                <w:rFonts w:ascii="Times New Roman"/>
                <w:sz w:val="22"/>
              </w:rPr>
            </w:pPr>
          </w:p>
        </w:tc>
      </w:tr>
      <w:tr>
        <w:trPr>
          <w:trHeight w:val="700"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9"/>
                <w:sz w:val="22"/>
              </w:rPr>
              <w:t> </w:t>
            </w:r>
            <w:r>
              <w:rPr>
                <w:sz w:val="22"/>
              </w:rPr>
              <w:t>de</w:t>
            </w:r>
            <w:r>
              <w:rPr>
                <w:spacing w:val="-10"/>
                <w:sz w:val="22"/>
              </w:rPr>
              <w:t> </w:t>
            </w:r>
            <w:r>
              <w:rPr>
                <w:sz w:val="22"/>
              </w:rPr>
              <w:t>gestión</w:t>
            </w:r>
            <w:r>
              <w:rPr>
                <w:spacing w:val="-8"/>
                <w:sz w:val="22"/>
              </w:rPr>
              <w:t> </w:t>
            </w:r>
            <w:r>
              <w:rPr>
                <w:sz w:val="22"/>
              </w:rPr>
              <w:t>de</w:t>
            </w:r>
            <w:r>
              <w:rPr>
                <w:spacing w:val="-10"/>
                <w:sz w:val="22"/>
              </w:rPr>
              <w:t> </w:t>
            </w:r>
            <w:r>
              <w:rPr>
                <w:sz w:val="22"/>
              </w:rPr>
              <w:t>inventarios Método PEPS NICSP 12</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rPr>
                <w:sz w:val="22"/>
              </w:rPr>
            </w:pPr>
            <w:r>
              <w:rPr>
                <w:sz w:val="22"/>
              </w:rPr>
              <w:t>Aprobada</w:t>
            </w:r>
            <w:r>
              <w:rPr>
                <w:spacing w:val="40"/>
                <w:sz w:val="22"/>
              </w:rPr>
              <w:t> </w:t>
            </w:r>
            <w:r>
              <w:rPr>
                <w:sz w:val="22"/>
              </w:rPr>
              <w:t>Acuerdo</w:t>
            </w:r>
            <w:r>
              <w:rPr>
                <w:spacing w:val="40"/>
                <w:sz w:val="22"/>
              </w:rPr>
              <w:t> </w:t>
            </w:r>
            <w:r>
              <w:rPr>
                <w:sz w:val="22"/>
              </w:rPr>
              <w:t>Comisión</w:t>
            </w:r>
            <w:r>
              <w:rPr>
                <w:spacing w:val="40"/>
                <w:sz w:val="22"/>
              </w:rPr>
              <w:t> </w:t>
            </w:r>
            <w:r>
              <w:rPr>
                <w:sz w:val="22"/>
              </w:rPr>
              <w:t>NICSP No.30-2024. Plan Contable 3.0.</w:t>
            </w:r>
          </w:p>
        </w:tc>
        <w:tc>
          <w:tcPr>
            <w:tcW w:w="72" w:type="dxa"/>
            <w:tcBorders>
              <w:top w:val="nil"/>
              <w:bottom w:val="nil"/>
            </w:tcBorders>
          </w:tcPr>
          <w:p>
            <w:pPr>
              <w:pStyle w:val="TableParagraph"/>
              <w:rPr>
                <w:rFonts w:ascii="Times New Roman"/>
                <w:sz w:val="22"/>
              </w:rPr>
            </w:pPr>
          </w:p>
        </w:tc>
      </w:tr>
      <w:tr>
        <w:trPr>
          <w:trHeight w:val="974"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Políticas</w:t>
            </w:r>
            <w:r>
              <w:rPr>
                <w:spacing w:val="-6"/>
                <w:sz w:val="22"/>
              </w:rPr>
              <w:t> </w:t>
            </w:r>
            <w:r>
              <w:rPr>
                <w:sz w:val="22"/>
              </w:rPr>
              <w:t>de</w:t>
            </w:r>
            <w:r>
              <w:rPr>
                <w:spacing w:val="-9"/>
                <w:sz w:val="22"/>
              </w:rPr>
              <w:t> </w:t>
            </w:r>
            <w:r>
              <w:rPr>
                <w:sz w:val="22"/>
              </w:rPr>
              <w:t>determinación</w:t>
            </w:r>
            <w:r>
              <w:rPr>
                <w:spacing w:val="-9"/>
                <w:sz w:val="22"/>
              </w:rPr>
              <w:t> </w:t>
            </w:r>
            <w:r>
              <w:rPr>
                <w:sz w:val="22"/>
              </w:rPr>
              <w:t>de</w:t>
            </w:r>
            <w:r>
              <w:rPr>
                <w:spacing w:val="-9"/>
                <w:sz w:val="22"/>
              </w:rPr>
              <w:t> </w:t>
            </w:r>
            <w:r>
              <w:rPr>
                <w:sz w:val="22"/>
              </w:rPr>
              <w:t>vida</w:t>
            </w:r>
            <w:r>
              <w:rPr>
                <w:spacing w:val="-8"/>
                <w:sz w:val="22"/>
              </w:rPr>
              <w:t> </w:t>
            </w:r>
            <w:r>
              <w:rPr>
                <w:sz w:val="22"/>
              </w:rPr>
              <w:t>útil de activos con condiciones climáticas </w:t>
            </w:r>
            <w:r>
              <w:rPr>
                <w:spacing w:val="-2"/>
                <w:sz w:val="22"/>
              </w:rPr>
              <w:t>adversas.</w:t>
            </w:r>
          </w:p>
        </w:tc>
        <w:tc>
          <w:tcPr>
            <w:tcW w:w="1337" w:type="dxa"/>
          </w:tcPr>
          <w:p>
            <w:pPr>
              <w:pStyle w:val="TableParagraph"/>
              <w:ind w:left="104"/>
              <w:rPr>
                <w:sz w:val="22"/>
              </w:rPr>
            </w:pPr>
            <w:r>
              <w:rPr>
                <w:spacing w:val="-5"/>
                <w:sz w:val="22"/>
              </w:rPr>
              <w:t>N/A</w:t>
            </w:r>
          </w:p>
        </w:tc>
        <w:tc>
          <w:tcPr>
            <w:tcW w:w="3759" w:type="dxa"/>
          </w:tcPr>
          <w:p>
            <w:pPr>
              <w:pStyle w:val="TableParagraph"/>
              <w:spacing w:line="259" w:lineRule="auto"/>
              <w:ind w:left="105" w:right="98"/>
              <w:jc w:val="both"/>
              <w:rPr>
                <w:sz w:val="22"/>
              </w:rPr>
            </w:pPr>
            <w:r>
              <w:rPr>
                <w:sz w:val="22"/>
              </w:rPr>
              <w:t>El IMAS no posee activos en condiciones adversas o incluso a la </w:t>
            </w:r>
            <w:r>
              <w:rPr>
                <w:spacing w:val="-2"/>
                <w:sz w:val="22"/>
              </w:rPr>
              <w:t>intemperie.</w:t>
            </w:r>
          </w:p>
        </w:tc>
        <w:tc>
          <w:tcPr>
            <w:tcW w:w="72" w:type="dxa"/>
            <w:tcBorders>
              <w:top w:val="nil"/>
              <w:bottom w:val="nil"/>
            </w:tcBorders>
          </w:tcPr>
          <w:p>
            <w:pPr>
              <w:pStyle w:val="TableParagraph"/>
              <w:rPr>
                <w:rFonts w:ascii="Times New Roman"/>
                <w:sz w:val="22"/>
              </w:rPr>
            </w:pPr>
          </w:p>
        </w:tc>
      </w:tr>
      <w:tr>
        <w:trPr>
          <w:trHeight w:val="971"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6"/>
                <w:sz w:val="22"/>
              </w:rPr>
              <w:t> </w:t>
            </w:r>
            <w:r>
              <w:rPr>
                <w:sz w:val="22"/>
              </w:rPr>
              <w:t>de</w:t>
            </w:r>
            <w:r>
              <w:rPr>
                <w:spacing w:val="-7"/>
                <w:sz w:val="22"/>
              </w:rPr>
              <w:t> </w:t>
            </w:r>
            <w:r>
              <w:rPr>
                <w:sz w:val="22"/>
              </w:rPr>
              <w:t>crédito</w:t>
            </w:r>
            <w:r>
              <w:rPr>
                <w:spacing w:val="-5"/>
                <w:sz w:val="22"/>
              </w:rPr>
              <w:t> </w:t>
            </w:r>
            <w:r>
              <w:rPr>
                <w:sz w:val="22"/>
              </w:rPr>
              <w:t>y</w:t>
            </w:r>
            <w:r>
              <w:rPr>
                <w:spacing w:val="-6"/>
                <w:sz w:val="22"/>
              </w:rPr>
              <w:t> </w:t>
            </w:r>
            <w:r>
              <w:rPr>
                <w:sz w:val="22"/>
              </w:rPr>
              <w:t>cobro</w:t>
            </w:r>
            <w:r>
              <w:rPr>
                <w:spacing w:val="-7"/>
                <w:sz w:val="22"/>
              </w:rPr>
              <w:t> </w:t>
            </w:r>
            <w:r>
              <w:rPr>
                <w:sz w:val="22"/>
              </w:rPr>
              <w:t>NICSP</w:t>
            </w:r>
            <w:r>
              <w:rPr>
                <w:spacing w:val="-5"/>
                <w:sz w:val="22"/>
              </w:rPr>
              <w:t> </w:t>
            </w:r>
            <w:r>
              <w:rPr>
                <w:sz w:val="22"/>
              </w:rPr>
              <w:t>28, 29 y 30</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jc w:val="both"/>
              <w:rPr>
                <w:sz w:val="22"/>
              </w:rPr>
            </w:pPr>
            <w:r>
              <w:rPr>
                <w:sz w:val="22"/>
              </w:rPr>
              <w:t>Aprobada Acuerdo Comisión NICSP No.8-2025.</w:t>
            </w:r>
            <w:r>
              <w:rPr>
                <w:spacing w:val="-3"/>
                <w:sz w:val="22"/>
              </w:rPr>
              <w:t> </w:t>
            </w:r>
            <w:r>
              <w:rPr>
                <w:sz w:val="22"/>
              </w:rPr>
              <w:t>Pendiente</w:t>
            </w:r>
            <w:r>
              <w:rPr>
                <w:spacing w:val="-3"/>
                <w:sz w:val="22"/>
              </w:rPr>
              <w:t> </w:t>
            </w:r>
            <w:r>
              <w:rPr>
                <w:sz w:val="22"/>
              </w:rPr>
              <w:t>de</w:t>
            </w:r>
            <w:r>
              <w:rPr>
                <w:spacing w:val="-4"/>
                <w:sz w:val="22"/>
              </w:rPr>
              <w:t> </w:t>
            </w:r>
            <w:r>
              <w:rPr>
                <w:sz w:val="22"/>
              </w:rPr>
              <w:t>publicación</w:t>
            </w:r>
            <w:r>
              <w:rPr>
                <w:spacing w:val="-2"/>
                <w:sz w:val="22"/>
              </w:rPr>
              <w:t> </w:t>
            </w:r>
            <w:r>
              <w:rPr>
                <w:sz w:val="22"/>
              </w:rPr>
              <w:t>en versión 5 del Plan Contable.</w:t>
            </w:r>
          </w:p>
        </w:tc>
        <w:tc>
          <w:tcPr>
            <w:tcW w:w="72" w:type="dxa"/>
            <w:tcBorders>
              <w:top w:val="nil"/>
              <w:bottom w:val="nil"/>
            </w:tcBorders>
          </w:tcPr>
          <w:p>
            <w:pPr>
              <w:pStyle w:val="TableParagraph"/>
              <w:rPr>
                <w:rFonts w:ascii="Times New Roman"/>
                <w:sz w:val="22"/>
              </w:rPr>
            </w:pPr>
          </w:p>
        </w:tc>
      </w:tr>
      <w:tr>
        <w:trPr>
          <w:trHeight w:val="707" w:hRule="atLeast"/>
        </w:trPr>
        <w:tc>
          <w:tcPr>
            <w:tcW w:w="113" w:type="dxa"/>
            <w:tcBorders>
              <w:top w:val="nil"/>
            </w:tcBorders>
          </w:tcPr>
          <w:p>
            <w:pPr>
              <w:pStyle w:val="TableParagraph"/>
              <w:rPr>
                <w:rFonts w:ascii="Times New Roman"/>
                <w:sz w:val="22"/>
              </w:rPr>
            </w:pPr>
          </w:p>
        </w:tc>
        <w:tc>
          <w:tcPr>
            <w:tcW w:w="3548" w:type="dxa"/>
            <w:tcBorders>
              <w:bottom w:val="single" w:sz="8" w:space="0" w:color="000000"/>
            </w:tcBorders>
          </w:tcPr>
          <w:p>
            <w:pPr>
              <w:pStyle w:val="TableParagraph"/>
              <w:spacing w:line="259" w:lineRule="auto"/>
              <w:ind w:left="107" w:right="103"/>
              <w:rPr>
                <w:sz w:val="22"/>
              </w:rPr>
            </w:pPr>
            <w:r>
              <w:rPr>
                <w:sz w:val="22"/>
              </w:rPr>
              <w:t>Política</w:t>
            </w:r>
            <w:r>
              <w:rPr>
                <w:spacing w:val="-10"/>
                <w:sz w:val="22"/>
              </w:rPr>
              <w:t> </w:t>
            </w:r>
            <w:r>
              <w:rPr>
                <w:sz w:val="22"/>
              </w:rPr>
              <w:t>de</w:t>
            </w:r>
            <w:r>
              <w:rPr>
                <w:spacing w:val="-10"/>
                <w:sz w:val="22"/>
              </w:rPr>
              <w:t> </w:t>
            </w:r>
            <w:r>
              <w:rPr>
                <w:sz w:val="22"/>
              </w:rPr>
              <w:t>registro</w:t>
            </w:r>
            <w:r>
              <w:rPr>
                <w:spacing w:val="-9"/>
                <w:sz w:val="22"/>
              </w:rPr>
              <w:t> </w:t>
            </w:r>
            <w:r>
              <w:rPr>
                <w:sz w:val="22"/>
              </w:rPr>
              <w:t>de</w:t>
            </w:r>
            <w:r>
              <w:rPr>
                <w:spacing w:val="-10"/>
                <w:sz w:val="22"/>
              </w:rPr>
              <w:t> </w:t>
            </w:r>
            <w:r>
              <w:rPr>
                <w:sz w:val="22"/>
              </w:rPr>
              <w:t>concesiones NICSP 32</w:t>
            </w:r>
          </w:p>
        </w:tc>
        <w:tc>
          <w:tcPr>
            <w:tcW w:w="1337" w:type="dxa"/>
            <w:tcBorders>
              <w:bottom w:val="single" w:sz="8" w:space="0" w:color="000000"/>
            </w:tcBorders>
          </w:tcPr>
          <w:p>
            <w:pPr>
              <w:pStyle w:val="TableParagraph"/>
              <w:ind w:left="104"/>
              <w:rPr>
                <w:sz w:val="22"/>
              </w:rPr>
            </w:pPr>
            <w:r>
              <w:rPr>
                <w:spacing w:val="-5"/>
                <w:sz w:val="22"/>
              </w:rPr>
              <w:t>N/A</w:t>
            </w:r>
          </w:p>
        </w:tc>
        <w:tc>
          <w:tcPr>
            <w:tcW w:w="3759" w:type="dxa"/>
            <w:tcBorders>
              <w:bottom w:val="single" w:sz="8" w:space="0" w:color="000000"/>
            </w:tcBorders>
          </w:tcPr>
          <w:p>
            <w:pPr>
              <w:pStyle w:val="TableParagraph"/>
              <w:ind w:left="105"/>
              <w:rPr>
                <w:sz w:val="22"/>
              </w:rPr>
            </w:pPr>
            <w:r>
              <w:rPr>
                <w:sz w:val="22"/>
              </w:rPr>
              <w:t>Dicha</w:t>
            </w:r>
            <w:r>
              <w:rPr>
                <w:spacing w:val="-4"/>
                <w:sz w:val="22"/>
              </w:rPr>
              <w:t> </w:t>
            </w:r>
            <w:r>
              <w:rPr>
                <w:sz w:val="22"/>
              </w:rPr>
              <w:t>Norma</w:t>
            </w:r>
            <w:r>
              <w:rPr>
                <w:spacing w:val="-4"/>
                <w:sz w:val="22"/>
              </w:rPr>
              <w:t> </w:t>
            </w:r>
            <w:r>
              <w:rPr>
                <w:sz w:val="22"/>
              </w:rPr>
              <w:t>no</w:t>
            </w:r>
            <w:r>
              <w:rPr>
                <w:spacing w:val="-3"/>
                <w:sz w:val="22"/>
              </w:rPr>
              <w:t> </w:t>
            </w:r>
            <w:r>
              <w:rPr>
                <w:spacing w:val="-2"/>
                <w:sz w:val="22"/>
              </w:rPr>
              <w:t>aplica</w:t>
            </w:r>
          </w:p>
        </w:tc>
        <w:tc>
          <w:tcPr>
            <w:tcW w:w="72" w:type="dxa"/>
            <w:tcBorders>
              <w:top w:val="nil"/>
            </w:tcBorders>
          </w:tcPr>
          <w:p>
            <w:pPr>
              <w:pStyle w:val="TableParagraph"/>
              <w:rPr>
                <w:rFonts w:ascii="Times New Roman"/>
                <w:sz w:val="22"/>
              </w:rPr>
            </w:pPr>
          </w:p>
        </w:tc>
      </w:tr>
    </w:tbl>
    <w:p>
      <w:pPr>
        <w:pStyle w:val="TableParagraph"/>
        <w:spacing w:after="0"/>
        <w:rPr>
          <w:rFonts w:ascii="Times New Roman"/>
          <w:sz w:val="22"/>
        </w:rPr>
        <w:sectPr>
          <w:pgSz w:w="12240" w:h="15840"/>
          <w:pgMar w:top="1720" w:bottom="280" w:left="1080" w:right="720"/>
        </w:sectPr>
      </w:pPr>
    </w:p>
    <w:p>
      <w:pPr>
        <w:spacing w:before="62"/>
        <w:ind w:left="622" w:right="0" w:firstLine="0"/>
        <w:jc w:val="both"/>
        <w:rPr>
          <w:sz w:val="20"/>
        </w:rPr>
      </w:pPr>
      <w:r>
        <w:rPr>
          <w:sz w:val="20"/>
        </w:rPr>
        <mc:AlternateContent>
          <mc:Choice Requires="wps">
            <w:drawing>
              <wp:anchor distT="0" distB="0" distL="0" distR="0" allowOverlap="1" layoutInCell="1" locked="0" behindDoc="1" simplePos="0" relativeHeight="473554432">
                <wp:simplePos x="0" y="0"/>
                <wp:positionH relativeFrom="page">
                  <wp:posOffset>9525</wp:posOffset>
                </wp:positionH>
                <wp:positionV relativeFrom="page">
                  <wp:posOffset>297208</wp:posOffset>
                </wp:positionV>
                <wp:extent cx="7762875" cy="974852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7762875" cy="9748520"/>
                          <a:chExt cx="7762875" cy="9748520"/>
                        </a:xfrm>
                      </wpg:grpSpPr>
                      <pic:pic>
                        <pic:nvPicPr>
                          <pic:cNvPr id="143" name="Image 143"/>
                          <pic:cNvPicPr/>
                        </pic:nvPicPr>
                        <pic:blipFill>
                          <a:blip r:embed="rId5" cstate="print"/>
                          <a:stretch>
                            <a:fillRect/>
                          </a:stretch>
                        </pic:blipFill>
                        <pic:spPr>
                          <a:xfrm>
                            <a:off x="0" y="0"/>
                            <a:ext cx="7762874" cy="9748489"/>
                          </a:xfrm>
                          <a:prstGeom prst="rect">
                            <a:avLst/>
                          </a:prstGeom>
                        </pic:spPr>
                      </pic:pic>
                      <wps:wsp>
                        <wps:cNvPr id="144" name="Graphic 14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2048" id="docshapegroup141" coordorigin="15,468" coordsize="12225,15352">
                <v:shape style="position:absolute;left:15;top:468;width:12225;height:15352" type="#_x0000_t75" id="docshape142" stroked="false">
                  <v:imagedata r:id="rId5" o:title=""/>
                </v:shape>
                <v:rect style="position:absolute;left:1673;top:2028;width:8897;height:15" id="docshape14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41</w:t>
      </w:r>
    </w:p>
    <w:p>
      <w:pPr>
        <w:pStyle w:val="BodyText"/>
        <w:spacing w:before="7"/>
        <w:rPr>
          <w:sz w:val="18"/>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
        <w:gridCol w:w="3548"/>
        <w:gridCol w:w="1337"/>
        <w:gridCol w:w="3759"/>
        <w:gridCol w:w="72"/>
      </w:tblGrid>
      <w:tr>
        <w:trPr>
          <w:trHeight w:val="1137" w:hRule="atLeast"/>
        </w:trPr>
        <w:tc>
          <w:tcPr>
            <w:tcW w:w="113" w:type="dxa"/>
            <w:tcBorders>
              <w:bottom w:val="nil"/>
            </w:tcBorders>
          </w:tcPr>
          <w:p>
            <w:pPr>
              <w:pStyle w:val="TableParagraph"/>
              <w:rPr>
                <w:rFonts w:ascii="Times New Roman"/>
                <w:sz w:val="22"/>
              </w:rPr>
            </w:pPr>
          </w:p>
        </w:tc>
        <w:tc>
          <w:tcPr>
            <w:tcW w:w="3548" w:type="dxa"/>
            <w:tcBorders>
              <w:top w:val="single" w:sz="8" w:space="0" w:color="000000"/>
            </w:tcBorders>
          </w:tcPr>
          <w:p>
            <w:pPr>
              <w:pStyle w:val="TableParagraph"/>
              <w:spacing w:line="256" w:lineRule="auto" w:before="7"/>
              <w:ind w:left="107" w:right="188"/>
              <w:rPr>
                <w:sz w:val="22"/>
              </w:rPr>
            </w:pPr>
            <w:r>
              <w:rPr>
                <w:sz w:val="22"/>
              </w:rPr>
              <w:t>Política</w:t>
            </w:r>
            <w:r>
              <w:rPr>
                <w:spacing w:val="-10"/>
                <w:sz w:val="22"/>
              </w:rPr>
              <w:t> </w:t>
            </w:r>
            <w:r>
              <w:rPr>
                <w:sz w:val="22"/>
              </w:rPr>
              <w:t>de</w:t>
            </w:r>
            <w:r>
              <w:rPr>
                <w:spacing w:val="-10"/>
                <w:sz w:val="22"/>
              </w:rPr>
              <w:t> </w:t>
            </w:r>
            <w:r>
              <w:rPr>
                <w:sz w:val="22"/>
              </w:rPr>
              <w:t>Registros</w:t>
            </w:r>
            <w:r>
              <w:rPr>
                <w:spacing w:val="-8"/>
                <w:sz w:val="22"/>
              </w:rPr>
              <w:t> </w:t>
            </w:r>
            <w:r>
              <w:rPr>
                <w:sz w:val="22"/>
              </w:rPr>
              <w:t>de</w:t>
            </w:r>
            <w:r>
              <w:rPr>
                <w:spacing w:val="-10"/>
                <w:sz w:val="22"/>
              </w:rPr>
              <w:t> </w:t>
            </w:r>
            <w:r>
              <w:rPr>
                <w:sz w:val="22"/>
              </w:rPr>
              <w:t>Fideicomisos y Consolidación (NICSP 28-29-30)</w:t>
            </w:r>
          </w:p>
        </w:tc>
        <w:tc>
          <w:tcPr>
            <w:tcW w:w="1337" w:type="dxa"/>
            <w:tcBorders>
              <w:top w:val="single" w:sz="8" w:space="0" w:color="000000"/>
            </w:tcBorders>
          </w:tcPr>
          <w:p>
            <w:pPr>
              <w:pStyle w:val="TableParagraph"/>
              <w:spacing w:before="7"/>
              <w:ind w:left="104"/>
              <w:rPr>
                <w:sz w:val="22"/>
              </w:rPr>
            </w:pPr>
            <w:r>
              <w:rPr>
                <w:spacing w:val="-2"/>
                <w:sz w:val="22"/>
              </w:rPr>
              <w:t>Aprobada</w:t>
            </w:r>
          </w:p>
        </w:tc>
        <w:tc>
          <w:tcPr>
            <w:tcW w:w="3759" w:type="dxa"/>
            <w:tcBorders>
              <w:top w:val="single" w:sz="8" w:space="0" w:color="000000"/>
            </w:tcBorders>
          </w:tcPr>
          <w:p>
            <w:pPr>
              <w:pStyle w:val="TableParagraph"/>
              <w:spacing w:line="259" w:lineRule="auto" w:before="7"/>
              <w:ind w:left="105" w:right="97"/>
              <w:jc w:val="both"/>
              <w:rPr>
                <w:sz w:val="22"/>
              </w:rPr>
            </w:pPr>
            <w:r>
              <w:rPr>
                <w:sz w:val="22"/>
              </w:rPr>
              <w:t>Aprobada Acuerdo Comisión NICSP No.11-2025. Pendiente de publicación en versión 5 del Plan Contable.</w:t>
            </w:r>
          </w:p>
        </w:tc>
        <w:tc>
          <w:tcPr>
            <w:tcW w:w="72" w:type="dxa"/>
            <w:tcBorders>
              <w:bottom w:val="nil"/>
            </w:tcBorders>
          </w:tcPr>
          <w:p>
            <w:pPr>
              <w:pStyle w:val="TableParagraph"/>
              <w:rPr>
                <w:rFonts w:ascii="Times New Roman"/>
                <w:sz w:val="22"/>
              </w:rPr>
            </w:pPr>
          </w:p>
        </w:tc>
      </w:tr>
      <w:tr>
        <w:trPr>
          <w:trHeight w:val="973"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before="2"/>
              <w:ind w:left="107" w:right="103"/>
              <w:rPr>
                <w:sz w:val="22"/>
              </w:rPr>
            </w:pPr>
            <w:r>
              <w:rPr>
                <w:sz w:val="22"/>
              </w:rPr>
              <w:t>Política de Registro de Arrendamientos</w:t>
            </w:r>
            <w:r>
              <w:rPr>
                <w:spacing w:val="-14"/>
                <w:sz w:val="22"/>
              </w:rPr>
              <w:t> </w:t>
            </w:r>
            <w:r>
              <w:rPr>
                <w:sz w:val="22"/>
              </w:rPr>
              <w:t>Financieros</w:t>
            </w:r>
            <w:r>
              <w:rPr>
                <w:spacing w:val="-14"/>
                <w:sz w:val="22"/>
              </w:rPr>
              <w:t> </w:t>
            </w:r>
            <w:r>
              <w:rPr>
                <w:sz w:val="22"/>
              </w:rPr>
              <w:t>(NICSP </w:t>
            </w:r>
            <w:r>
              <w:rPr>
                <w:spacing w:val="-4"/>
                <w:sz w:val="22"/>
              </w:rPr>
              <w:t>13).</w:t>
            </w:r>
          </w:p>
        </w:tc>
        <w:tc>
          <w:tcPr>
            <w:tcW w:w="1337" w:type="dxa"/>
          </w:tcPr>
          <w:p>
            <w:pPr>
              <w:pStyle w:val="TableParagraph"/>
              <w:spacing w:before="2"/>
              <w:ind w:left="104"/>
              <w:rPr>
                <w:sz w:val="22"/>
              </w:rPr>
            </w:pPr>
            <w:r>
              <w:rPr>
                <w:spacing w:val="-2"/>
                <w:sz w:val="22"/>
              </w:rPr>
              <w:t>Aprobada</w:t>
            </w:r>
          </w:p>
        </w:tc>
        <w:tc>
          <w:tcPr>
            <w:tcW w:w="3759" w:type="dxa"/>
          </w:tcPr>
          <w:p>
            <w:pPr>
              <w:pStyle w:val="TableParagraph"/>
              <w:spacing w:line="259" w:lineRule="auto" w:before="2"/>
              <w:ind w:left="105" w:right="97"/>
              <w:jc w:val="both"/>
              <w:rPr>
                <w:sz w:val="22"/>
              </w:rPr>
            </w:pPr>
            <w:r>
              <w:rPr>
                <w:sz w:val="22"/>
              </w:rPr>
              <w:t>Aprobada Acuerdo Comisión NICSP No.7-2025.</w:t>
            </w:r>
            <w:r>
              <w:rPr>
                <w:spacing w:val="-3"/>
                <w:sz w:val="22"/>
              </w:rPr>
              <w:t> </w:t>
            </w:r>
            <w:r>
              <w:rPr>
                <w:sz w:val="22"/>
              </w:rPr>
              <w:t>Pendiente</w:t>
            </w:r>
            <w:r>
              <w:rPr>
                <w:spacing w:val="-3"/>
                <w:sz w:val="22"/>
              </w:rPr>
              <w:t> </w:t>
            </w:r>
            <w:r>
              <w:rPr>
                <w:sz w:val="22"/>
              </w:rPr>
              <w:t>de</w:t>
            </w:r>
            <w:r>
              <w:rPr>
                <w:spacing w:val="-4"/>
                <w:sz w:val="22"/>
              </w:rPr>
              <w:t> </w:t>
            </w:r>
            <w:r>
              <w:rPr>
                <w:sz w:val="22"/>
              </w:rPr>
              <w:t>publicación</w:t>
            </w:r>
            <w:r>
              <w:rPr>
                <w:spacing w:val="-2"/>
                <w:sz w:val="22"/>
              </w:rPr>
              <w:t> </w:t>
            </w:r>
            <w:r>
              <w:rPr>
                <w:sz w:val="22"/>
              </w:rPr>
              <w:t>en versión 5 del Plan Contable.</w:t>
            </w:r>
          </w:p>
        </w:tc>
        <w:tc>
          <w:tcPr>
            <w:tcW w:w="72" w:type="dxa"/>
            <w:tcBorders>
              <w:top w:val="nil"/>
              <w:bottom w:val="nil"/>
            </w:tcBorders>
          </w:tcPr>
          <w:p>
            <w:pPr>
              <w:pStyle w:val="TableParagraph"/>
              <w:rPr>
                <w:rFonts w:ascii="Times New Roman"/>
                <w:sz w:val="22"/>
              </w:rPr>
            </w:pPr>
          </w:p>
        </w:tc>
      </w:tr>
      <w:tr>
        <w:trPr>
          <w:trHeight w:val="700"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88"/>
              <w:rPr>
                <w:sz w:val="22"/>
              </w:rPr>
            </w:pPr>
            <w:r>
              <w:rPr>
                <w:sz w:val="22"/>
              </w:rPr>
              <w:t>Política</w:t>
            </w:r>
            <w:r>
              <w:rPr>
                <w:spacing w:val="-10"/>
                <w:sz w:val="22"/>
              </w:rPr>
              <w:t> </w:t>
            </w:r>
            <w:r>
              <w:rPr>
                <w:sz w:val="22"/>
              </w:rPr>
              <w:t>de</w:t>
            </w:r>
            <w:r>
              <w:rPr>
                <w:spacing w:val="-11"/>
                <w:sz w:val="22"/>
              </w:rPr>
              <w:t> </w:t>
            </w:r>
            <w:r>
              <w:rPr>
                <w:sz w:val="22"/>
              </w:rPr>
              <w:t>Registro</w:t>
            </w:r>
            <w:r>
              <w:rPr>
                <w:spacing w:val="-9"/>
                <w:sz w:val="22"/>
              </w:rPr>
              <w:t> </w:t>
            </w:r>
            <w:r>
              <w:rPr>
                <w:sz w:val="22"/>
              </w:rPr>
              <w:t>de</w:t>
            </w:r>
            <w:r>
              <w:rPr>
                <w:spacing w:val="-11"/>
                <w:sz w:val="22"/>
              </w:rPr>
              <w:t> </w:t>
            </w:r>
            <w:r>
              <w:rPr>
                <w:sz w:val="22"/>
              </w:rPr>
              <w:t>Propiedades de Inversión (NICSP 16).</w:t>
            </w:r>
          </w:p>
        </w:tc>
        <w:tc>
          <w:tcPr>
            <w:tcW w:w="1337" w:type="dxa"/>
          </w:tcPr>
          <w:p>
            <w:pPr>
              <w:pStyle w:val="TableParagraph"/>
              <w:ind w:left="104"/>
              <w:rPr>
                <w:sz w:val="22"/>
              </w:rPr>
            </w:pPr>
            <w:r>
              <w:rPr>
                <w:spacing w:val="-5"/>
                <w:sz w:val="22"/>
              </w:rPr>
              <w:t>N/A</w:t>
            </w:r>
          </w:p>
        </w:tc>
        <w:tc>
          <w:tcPr>
            <w:tcW w:w="3759" w:type="dxa"/>
          </w:tcPr>
          <w:p>
            <w:pPr>
              <w:pStyle w:val="TableParagraph"/>
              <w:ind w:left="105"/>
              <w:rPr>
                <w:sz w:val="22"/>
              </w:rPr>
            </w:pPr>
            <w:r>
              <w:rPr>
                <w:sz w:val="22"/>
              </w:rPr>
              <w:t>Dicha</w:t>
            </w:r>
            <w:r>
              <w:rPr>
                <w:spacing w:val="-4"/>
                <w:sz w:val="22"/>
              </w:rPr>
              <w:t> </w:t>
            </w:r>
            <w:r>
              <w:rPr>
                <w:sz w:val="22"/>
              </w:rPr>
              <w:t>Norma</w:t>
            </w:r>
            <w:r>
              <w:rPr>
                <w:spacing w:val="-4"/>
                <w:sz w:val="22"/>
              </w:rPr>
              <w:t> </w:t>
            </w:r>
            <w:r>
              <w:rPr>
                <w:sz w:val="22"/>
              </w:rPr>
              <w:t>no</w:t>
            </w:r>
            <w:r>
              <w:rPr>
                <w:spacing w:val="-3"/>
                <w:sz w:val="22"/>
              </w:rPr>
              <w:t> </w:t>
            </w:r>
            <w:r>
              <w:rPr>
                <w:spacing w:val="-2"/>
                <w:sz w:val="22"/>
              </w:rPr>
              <w:t>aplica</w:t>
            </w:r>
          </w:p>
        </w:tc>
        <w:tc>
          <w:tcPr>
            <w:tcW w:w="72" w:type="dxa"/>
            <w:tcBorders>
              <w:top w:val="nil"/>
              <w:bottom w:val="nil"/>
            </w:tcBorders>
          </w:tcPr>
          <w:p>
            <w:pPr>
              <w:pStyle w:val="TableParagraph"/>
              <w:rPr>
                <w:rFonts w:ascii="Times New Roman"/>
                <w:sz w:val="22"/>
              </w:rPr>
            </w:pPr>
          </w:p>
        </w:tc>
      </w:tr>
      <w:tr>
        <w:trPr>
          <w:trHeight w:val="974"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10"/>
                <w:sz w:val="22"/>
              </w:rPr>
              <w:t> </w:t>
            </w:r>
            <w:r>
              <w:rPr>
                <w:sz w:val="22"/>
              </w:rPr>
              <w:t>de</w:t>
            </w:r>
            <w:r>
              <w:rPr>
                <w:spacing w:val="-10"/>
                <w:sz w:val="22"/>
              </w:rPr>
              <w:t> </w:t>
            </w:r>
            <w:r>
              <w:rPr>
                <w:sz w:val="22"/>
              </w:rPr>
              <w:t>Registro</w:t>
            </w:r>
            <w:r>
              <w:rPr>
                <w:spacing w:val="-9"/>
                <w:sz w:val="22"/>
              </w:rPr>
              <w:t> </w:t>
            </w:r>
            <w:r>
              <w:rPr>
                <w:sz w:val="22"/>
              </w:rPr>
              <w:t>de</w:t>
            </w:r>
            <w:r>
              <w:rPr>
                <w:spacing w:val="-10"/>
                <w:sz w:val="22"/>
              </w:rPr>
              <w:t> </w:t>
            </w:r>
            <w:r>
              <w:rPr>
                <w:sz w:val="22"/>
              </w:rPr>
              <w:t>Activos Intangibles (NICSP 31).</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97"/>
              <w:jc w:val="both"/>
              <w:rPr>
                <w:sz w:val="22"/>
              </w:rPr>
            </w:pPr>
            <w:r>
              <w:rPr>
                <w:sz w:val="22"/>
              </w:rPr>
              <w:t>Aprobada Acuerdo Comisión NICSP No.11-2025. Pendiente de publicación en versión 5 del Plan Contable.</w:t>
            </w:r>
          </w:p>
        </w:tc>
        <w:tc>
          <w:tcPr>
            <w:tcW w:w="72" w:type="dxa"/>
            <w:tcBorders>
              <w:top w:val="nil"/>
              <w:bottom w:val="nil"/>
            </w:tcBorders>
          </w:tcPr>
          <w:p>
            <w:pPr>
              <w:pStyle w:val="TableParagraph"/>
              <w:rPr>
                <w:rFonts w:ascii="Times New Roman"/>
                <w:sz w:val="22"/>
              </w:rPr>
            </w:pPr>
          </w:p>
        </w:tc>
      </w:tr>
      <w:tr>
        <w:trPr>
          <w:trHeight w:val="971"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Pr>
                <w:sz w:val="22"/>
              </w:rPr>
            </w:pPr>
            <w:r>
              <w:rPr>
                <w:sz w:val="22"/>
              </w:rPr>
              <w:t>Políticas</w:t>
            </w:r>
            <w:r>
              <w:rPr>
                <w:spacing w:val="-8"/>
                <w:sz w:val="22"/>
              </w:rPr>
              <w:t> </w:t>
            </w:r>
            <w:r>
              <w:rPr>
                <w:sz w:val="22"/>
              </w:rPr>
              <w:t>Registro</w:t>
            </w:r>
            <w:r>
              <w:rPr>
                <w:spacing w:val="-10"/>
                <w:sz w:val="22"/>
              </w:rPr>
              <w:t> </w:t>
            </w:r>
            <w:r>
              <w:rPr>
                <w:sz w:val="22"/>
              </w:rPr>
              <w:t>de</w:t>
            </w:r>
            <w:r>
              <w:rPr>
                <w:spacing w:val="-11"/>
                <w:sz w:val="22"/>
              </w:rPr>
              <w:t> </w:t>
            </w:r>
            <w:r>
              <w:rPr>
                <w:sz w:val="22"/>
              </w:rPr>
              <w:t>terrenos</w:t>
            </w:r>
            <w:r>
              <w:rPr>
                <w:spacing w:val="-8"/>
                <w:sz w:val="22"/>
              </w:rPr>
              <w:t> </w:t>
            </w:r>
            <w:r>
              <w:rPr>
                <w:sz w:val="22"/>
              </w:rPr>
              <w:t>donados por parte de infraestructuras de residenciales a la Municipalidad.</w:t>
            </w:r>
          </w:p>
        </w:tc>
        <w:tc>
          <w:tcPr>
            <w:tcW w:w="1337" w:type="dxa"/>
          </w:tcPr>
          <w:p>
            <w:pPr>
              <w:pStyle w:val="TableParagraph"/>
              <w:ind w:left="104"/>
              <w:rPr>
                <w:sz w:val="22"/>
              </w:rPr>
            </w:pPr>
            <w:r>
              <w:rPr>
                <w:spacing w:val="-5"/>
                <w:sz w:val="22"/>
              </w:rPr>
              <w:t>N/A</w:t>
            </w:r>
          </w:p>
        </w:tc>
        <w:tc>
          <w:tcPr>
            <w:tcW w:w="3759" w:type="dxa"/>
          </w:tcPr>
          <w:p>
            <w:pPr>
              <w:pStyle w:val="TableParagraph"/>
              <w:ind w:left="105"/>
              <w:rPr>
                <w:sz w:val="22"/>
              </w:rPr>
            </w:pPr>
            <w:r>
              <w:rPr>
                <w:sz w:val="22"/>
              </w:rPr>
              <w:t>Corresponde</w:t>
            </w:r>
            <w:r>
              <w:rPr>
                <w:spacing w:val="-5"/>
                <w:sz w:val="22"/>
              </w:rPr>
              <w:t> </w:t>
            </w:r>
            <w:r>
              <w:rPr>
                <w:sz w:val="22"/>
              </w:rPr>
              <w:t>a</w:t>
            </w:r>
            <w:r>
              <w:rPr>
                <w:spacing w:val="-3"/>
                <w:sz w:val="22"/>
              </w:rPr>
              <w:t> </w:t>
            </w:r>
            <w:r>
              <w:rPr>
                <w:sz w:val="22"/>
              </w:rPr>
              <w:t>entes</w:t>
            </w:r>
            <w:r>
              <w:rPr>
                <w:spacing w:val="-2"/>
                <w:sz w:val="22"/>
              </w:rPr>
              <w:t> municipales</w:t>
            </w:r>
          </w:p>
        </w:tc>
        <w:tc>
          <w:tcPr>
            <w:tcW w:w="72" w:type="dxa"/>
            <w:tcBorders>
              <w:top w:val="nil"/>
              <w:bottom w:val="nil"/>
            </w:tcBorders>
          </w:tcPr>
          <w:p>
            <w:pPr>
              <w:pStyle w:val="TableParagraph"/>
              <w:rPr>
                <w:rFonts w:ascii="Times New Roman"/>
                <w:sz w:val="22"/>
              </w:rPr>
            </w:pPr>
          </w:p>
        </w:tc>
      </w:tr>
      <w:tr>
        <w:trPr>
          <w:trHeight w:val="700"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03"/>
              <w:rPr>
                <w:sz w:val="22"/>
              </w:rPr>
            </w:pPr>
            <w:r>
              <w:rPr>
                <w:sz w:val="22"/>
              </w:rPr>
              <w:t>Política</w:t>
            </w:r>
            <w:r>
              <w:rPr>
                <w:spacing w:val="-10"/>
                <w:sz w:val="22"/>
              </w:rPr>
              <w:t> </w:t>
            </w:r>
            <w:r>
              <w:rPr>
                <w:sz w:val="22"/>
              </w:rPr>
              <w:t>de</w:t>
            </w:r>
            <w:r>
              <w:rPr>
                <w:spacing w:val="-10"/>
                <w:sz w:val="22"/>
              </w:rPr>
              <w:t> </w:t>
            </w:r>
            <w:r>
              <w:rPr>
                <w:sz w:val="22"/>
              </w:rPr>
              <w:t>Gestión</w:t>
            </w:r>
            <w:r>
              <w:rPr>
                <w:spacing w:val="-9"/>
                <w:sz w:val="22"/>
              </w:rPr>
              <w:t> </w:t>
            </w:r>
            <w:r>
              <w:rPr>
                <w:sz w:val="22"/>
              </w:rPr>
              <w:t>Financiera</w:t>
            </w:r>
            <w:r>
              <w:rPr>
                <w:spacing w:val="-10"/>
                <w:sz w:val="22"/>
              </w:rPr>
              <w:t> </w:t>
            </w:r>
            <w:r>
              <w:rPr>
                <w:sz w:val="22"/>
              </w:rPr>
              <w:t>de Cementerios (NICSP 9).</w:t>
            </w:r>
          </w:p>
        </w:tc>
        <w:tc>
          <w:tcPr>
            <w:tcW w:w="1337" w:type="dxa"/>
          </w:tcPr>
          <w:p>
            <w:pPr>
              <w:pStyle w:val="TableParagraph"/>
              <w:ind w:left="104"/>
              <w:rPr>
                <w:sz w:val="22"/>
              </w:rPr>
            </w:pPr>
            <w:r>
              <w:rPr>
                <w:spacing w:val="-5"/>
                <w:sz w:val="22"/>
              </w:rPr>
              <w:t>N/A</w:t>
            </w:r>
          </w:p>
        </w:tc>
        <w:tc>
          <w:tcPr>
            <w:tcW w:w="3759" w:type="dxa"/>
          </w:tcPr>
          <w:p>
            <w:pPr>
              <w:pStyle w:val="TableParagraph"/>
              <w:spacing w:line="259" w:lineRule="auto"/>
              <w:ind w:left="105"/>
              <w:rPr>
                <w:sz w:val="22"/>
              </w:rPr>
            </w:pPr>
            <w:r>
              <w:rPr>
                <w:sz w:val="22"/>
              </w:rPr>
              <w:t>El</w:t>
            </w:r>
            <w:r>
              <w:rPr>
                <w:spacing w:val="80"/>
                <w:sz w:val="22"/>
              </w:rPr>
              <w:t> </w:t>
            </w:r>
            <w:r>
              <w:rPr>
                <w:sz w:val="22"/>
              </w:rPr>
              <w:t>IMAS</w:t>
            </w:r>
            <w:r>
              <w:rPr>
                <w:spacing w:val="80"/>
                <w:sz w:val="22"/>
              </w:rPr>
              <w:t> </w:t>
            </w:r>
            <w:r>
              <w:rPr>
                <w:sz w:val="22"/>
              </w:rPr>
              <w:t>NO</w:t>
            </w:r>
            <w:r>
              <w:rPr>
                <w:spacing w:val="80"/>
                <w:sz w:val="22"/>
              </w:rPr>
              <w:t> </w:t>
            </w:r>
            <w:r>
              <w:rPr>
                <w:sz w:val="22"/>
              </w:rPr>
              <w:t>cuenta</w:t>
            </w:r>
            <w:r>
              <w:rPr>
                <w:spacing w:val="80"/>
                <w:sz w:val="22"/>
              </w:rPr>
              <w:t> </w:t>
            </w:r>
            <w:r>
              <w:rPr>
                <w:sz w:val="22"/>
              </w:rPr>
              <w:t>con</w:t>
            </w:r>
            <w:r>
              <w:rPr>
                <w:spacing w:val="80"/>
                <w:sz w:val="22"/>
              </w:rPr>
              <w:t> </w:t>
            </w:r>
            <w:r>
              <w:rPr>
                <w:sz w:val="22"/>
              </w:rPr>
              <w:t>ingresos relacionados a cementerios.</w:t>
            </w:r>
          </w:p>
        </w:tc>
        <w:tc>
          <w:tcPr>
            <w:tcW w:w="72" w:type="dxa"/>
            <w:tcBorders>
              <w:top w:val="nil"/>
              <w:bottom w:val="nil"/>
            </w:tcBorders>
          </w:tcPr>
          <w:p>
            <w:pPr>
              <w:pStyle w:val="TableParagraph"/>
              <w:rPr>
                <w:rFonts w:ascii="Times New Roman"/>
                <w:sz w:val="22"/>
              </w:rPr>
            </w:pPr>
          </w:p>
        </w:tc>
      </w:tr>
      <w:tr>
        <w:trPr>
          <w:trHeight w:val="974"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before="2"/>
              <w:ind w:left="107" w:right="103"/>
              <w:rPr>
                <w:sz w:val="22"/>
              </w:rPr>
            </w:pPr>
            <w:r>
              <w:rPr>
                <w:sz w:val="22"/>
              </w:rPr>
              <w:t>Política de Registros y proceso de consolidación</w:t>
            </w:r>
            <w:r>
              <w:rPr>
                <w:spacing w:val="-9"/>
                <w:sz w:val="22"/>
              </w:rPr>
              <w:t> </w:t>
            </w:r>
            <w:r>
              <w:rPr>
                <w:sz w:val="22"/>
              </w:rPr>
              <w:t>de</w:t>
            </w:r>
            <w:r>
              <w:rPr>
                <w:spacing w:val="-11"/>
                <w:sz w:val="22"/>
              </w:rPr>
              <w:t> </w:t>
            </w:r>
            <w:r>
              <w:rPr>
                <w:sz w:val="22"/>
              </w:rPr>
              <w:t>la</w:t>
            </w:r>
            <w:r>
              <w:rPr>
                <w:spacing w:val="-11"/>
                <w:sz w:val="22"/>
              </w:rPr>
              <w:t> </w:t>
            </w:r>
            <w:r>
              <w:rPr>
                <w:sz w:val="22"/>
              </w:rPr>
              <w:t>contabilidad</w:t>
            </w:r>
            <w:r>
              <w:rPr>
                <w:spacing w:val="-9"/>
                <w:sz w:val="22"/>
              </w:rPr>
              <w:t> </w:t>
            </w:r>
            <w:r>
              <w:rPr>
                <w:sz w:val="22"/>
              </w:rPr>
              <w:t>de Comités Cantonales.</w:t>
            </w:r>
          </w:p>
        </w:tc>
        <w:tc>
          <w:tcPr>
            <w:tcW w:w="1337" w:type="dxa"/>
          </w:tcPr>
          <w:p>
            <w:pPr>
              <w:pStyle w:val="TableParagraph"/>
              <w:spacing w:before="2"/>
              <w:ind w:left="104"/>
              <w:rPr>
                <w:sz w:val="22"/>
              </w:rPr>
            </w:pPr>
            <w:r>
              <w:rPr>
                <w:spacing w:val="-5"/>
                <w:sz w:val="22"/>
              </w:rPr>
              <w:t>N/A</w:t>
            </w:r>
          </w:p>
        </w:tc>
        <w:tc>
          <w:tcPr>
            <w:tcW w:w="3759" w:type="dxa"/>
          </w:tcPr>
          <w:p>
            <w:pPr>
              <w:pStyle w:val="TableParagraph"/>
              <w:spacing w:before="2"/>
              <w:ind w:left="105"/>
              <w:rPr>
                <w:sz w:val="22"/>
              </w:rPr>
            </w:pPr>
            <w:r>
              <w:rPr>
                <w:sz w:val="22"/>
              </w:rPr>
              <w:t>Solo</w:t>
            </w:r>
            <w:r>
              <w:rPr>
                <w:spacing w:val="-5"/>
                <w:sz w:val="22"/>
              </w:rPr>
              <w:t> </w:t>
            </w:r>
            <w:r>
              <w:rPr>
                <w:sz w:val="22"/>
              </w:rPr>
              <w:t>aplica</w:t>
            </w:r>
            <w:r>
              <w:rPr>
                <w:spacing w:val="-3"/>
                <w:sz w:val="22"/>
              </w:rPr>
              <w:t> </w:t>
            </w:r>
            <w:r>
              <w:rPr>
                <w:sz w:val="22"/>
              </w:rPr>
              <w:t>a</w:t>
            </w:r>
            <w:r>
              <w:rPr>
                <w:spacing w:val="-4"/>
                <w:sz w:val="22"/>
              </w:rPr>
              <w:t> </w:t>
            </w:r>
            <w:r>
              <w:rPr>
                <w:sz w:val="22"/>
              </w:rPr>
              <w:t>Gobiernos</w:t>
            </w:r>
            <w:r>
              <w:rPr>
                <w:spacing w:val="-1"/>
                <w:sz w:val="22"/>
              </w:rPr>
              <w:t> </w:t>
            </w:r>
            <w:r>
              <w:rPr>
                <w:spacing w:val="-2"/>
                <w:sz w:val="22"/>
              </w:rPr>
              <w:t>Locales</w:t>
            </w:r>
          </w:p>
        </w:tc>
        <w:tc>
          <w:tcPr>
            <w:tcW w:w="72" w:type="dxa"/>
            <w:tcBorders>
              <w:top w:val="nil"/>
              <w:bottom w:val="nil"/>
            </w:tcBorders>
          </w:tcPr>
          <w:p>
            <w:pPr>
              <w:pStyle w:val="TableParagraph"/>
              <w:rPr>
                <w:rFonts w:ascii="Times New Roman"/>
                <w:sz w:val="22"/>
              </w:rPr>
            </w:pPr>
          </w:p>
        </w:tc>
      </w:tr>
      <w:tr>
        <w:trPr>
          <w:trHeight w:val="2325" w:hRule="atLeast"/>
        </w:trPr>
        <w:tc>
          <w:tcPr>
            <w:tcW w:w="113" w:type="dxa"/>
            <w:tcBorders>
              <w:top w:val="nil"/>
              <w:bottom w:val="nil"/>
            </w:tcBorders>
          </w:tcPr>
          <w:p>
            <w:pPr>
              <w:pStyle w:val="TableParagraph"/>
              <w:rPr>
                <w:rFonts w:ascii="Times New Roman"/>
                <w:sz w:val="22"/>
              </w:rPr>
            </w:pPr>
          </w:p>
        </w:tc>
        <w:tc>
          <w:tcPr>
            <w:tcW w:w="3548" w:type="dxa"/>
          </w:tcPr>
          <w:p>
            <w:pPr>
              <w:pStyle w:val="TableParagraph"/>
              <w:spacing w:line="259" w:lineRule="auto"/>
              <w:ind w:left="107" w:right="117"/>
              <w:rPr>
                <w:sz w:val="22"/>
              </w:rPr>
            </w:pPr>
            <w:r>
              <w:rPr>
                <w:sz w:val="22"/>
              </w:rPr>
              <w:t>Política</w:t>
            </w:r>
            <w:r>
              <w:rPr>
                <w:spacing w:val="-10"/>
                <w:sz w:val="22"/>
              </w:rPr>
              <w:t> </w:t>
            </w:r>
            <w:r>
              <w:rPr>
                <w:sz w:val="22"/>
              </w:rPr>
              <w:t>Contable</w:t>
            </w:r>
            <w:r>
              <w:rPr>
                <w:spacing w:val="-10"/>
                <w:sz w:val="22"/>
              </w:rPr>
              <w:t> </w:t>
            </w:r>
            <w:r>
              <w:rPr>
                <w:sz w:val="22"/>
              </w:rPr>
              <w:t>sobre</w:t>
            </w:r>
            <w:r>
              <w:rPr>
                <w:spacing w:val="-10"/>
                <w:sz w:val="22"/>
              </w:rPr>
              <w:t> </w:t>
            </w:r>
            <w:r>
              <w:rPr>
                <w:sz w:val="22"/>
              </w:rPr>
              <w:t>la</w:t>
            </w:r>
            <w:r>
              <w:rPr>
                <w:spacing w:val="-10"/>
                <w:sz w:val="22"/>
              </w:rPr>
              <w:t> </w:t>
            </w:r>
            <w:r>
              <w:rPr>
                <w:sz w:val="22"/>
              </w:rPr>
              <w:t>publicación de los estados financieros de información general, y la consideración que cualquier otro informe contable debe estar derivado a él. Un ente no puede elaborar y publicar distintos estados financieros con diferente información.</w:t>
            </w:r>
          </w:p>
        </w:tc>
        <w:tc>
          <w:tcPr>
            <w:tcW w:w="1337" w:type="dxa"/>
          </w:tcPr>
          <w:p>
            <w:pPr>
              <w:pStyle w:val="TableParagraph"/>
              <w:ind w:left="104"/>
              <w:rPr>
                <w:sz w:val="22"/>
              </w:rPr>
            </w:pPr>
            <w:r>
              <w:rPr>
                <w:spacing w:val="-2"/>
                <w:sz w:val="22"/>
              </w:rPr>
              <w:t>Aprobada</w:t>
            </w:r>
          </w:p>
        </w:tc>
        <w:tc>
          <w:tcPr>
            <w:tcW w:w="3759" w:type="dxa"/>
          </w:tcPr>
          <w:p>
            <w:pPr>
              <w:pStyle w:val="TableParagraph"/>
              <w:spacing w:line="259" w:lineRule="auto"/>
              <w:ind w:left="105" w:right="275"/>
              <w:rPr>
                <w:sz w:val="22"/>
              </w:rPr>
            </w:pPr>
            <w:r>
              <w:rPr>
                <w:sz w:val="22"/>
              </w:rPr>
              <w:t>Fue</w:t>
            </w:r>
            <w:r>
              <w:rPr>
                <w:spacing w:val="-8"/>
                <w:sz w:val="22"/>
              </w:rPr>
              <w:t> </w:t>
            </w:r>
            <w:r>
              <w:rPr>
                <w:sz w:val="22"/>
              </w:rPr>
              <w:t>aprobada</w:t>
            </w:r>
            <w:r>
              <w:rPr>
                <w:spacing w:val="-8"/>
                <w:sz w:val="22"/>
              </w:rPr>
              <w:t> </w:t>
            </w:r>
            <w:r>
              <w:rPr>
                <w:sz w:val="22"/>
              </w:rPr>
              <w:t>con</w:t>
            </w:r>
            <w:r>
              <w:rPr>
                <w:spacing w:val="-7"/>
                <w:sz w:val="22"/>
              </w:rPr>
              <w:t> </w:t>
            </w:r>
            <w:r>
              <w:rPr>
                <w:sz w:val="22"/>
              </w:rPr>
              <w:t>el</w:t>
            </w:r>
            <w:r>
              <w:rPr>
                <w:spacing w:val="-7"/>
                <w:sz w:val="22"/>
              </w:rPr>
              <w:t> </w:t>
            </w:r>
            <w:r>
              <w:rPr>
                <w:sz w:val="22"/>
              </w:rPr>
              <w:t>oficio</w:t>
            </w:r>
            <w:r>
              <w:rPr>
                <w:spacing w:val="-8"/>
                <w:sz w:val="22"/>
              </w:rPr>
              <w:t> </w:t>
            </w:r>
            <w:r>
              <w:rPr>
                <w:sz w:val="22"/>
              </w:rPr>
              <w:t>IMAS-GG-1243-2024 del 08 de julio 2024.</w:t>
            </w:r>
          </w:p>
        </w:tc>
        <w:tc>
          <w:tcPr>
            <w:tcW w:w="72" w:type="dxa"/>
            <w:tcBorders>
              <w:top w:val="nil"/>
              <w:bottom w:val="nil"/>
            </w:tcBorders>
          </w:tcPr>
          <w:p>
            <w:pPr>
              <w:pStyle w:val="TableParagraph"/>
              <w:rPr>
                <w:rFonts w:ascii="Times New Roman"/>
                <w:sz w:val="22"/>
              </w:rPr>
            </w:pPr>
          </w:p>
        </w:tc>
      </w:tr>
      <w:tr>
        <w:trPr>
          <w:trHeight w:val="1577" w:hRule="atLeast"/>
        </w:trPr>
        <w:tc>
          <w:tcPr>
            <w:tcW w:w="8829" w:type="dxa"/>
            <w:gridSpan w:val="5"/>
          </w:tcPr>
          <w:p>
            <w:pPr>
              <w:pStyle w:val="TableParagraph"/>
              <w:spacing w:before="160"/>
              <w:rPr>
                <w:sz w:val="22"/>
              </w:rPr>
            </w:pPr>
          </w:p>
          <w:p>
            <w:pPr>
              <w:pStyle w:val="TableParagraph"/>
              <w:ind w:left="107" w:right="93"/>
              <w:jc w:val="both"/>
              <w:rPr>
                <w:b/>
                <w:sz w:val="22"/>
              </w:rPr>
            </w:pPr>
            <w:r>
              <w:rPr>
                <w:sz w:val="22"/>
              </w:rPr>
              <w:t>También</w:t>
            </w:r>
            <w:r>
              <w:rPr>
                <w:spacing w:val="-7"/>
                <w:sz w:val="22"/>
              </w:rPr>
              <w:t> </w:t>
            </w:r>
            <w:r>
              <w:rPr>
                <w:sz w:val="22"/>
              </w:rPr>
              <w:t>se</w:t>
            </w:r>
            <w:r>
              <w:rPr>
                <w:spacing w:val="-11"/>
                <w:sz w:val="22"/>
              </w:rPr>
              <w:t> </w:t>
            </w:r>
            <w:r>
              <w:rPr>
                <w:sz w:val="22"/>
              </w:rPr>
              <w:t>solicita</w:t>
            </w:r>
            <w:r>
              <w:rPr>
                <w:spacing w:val="-7"/>
                <w:sz w:val="22"/>
              </w:rPr>
              <w:t> </w:t>
            </w:r>
            <w:r>
              <w:rPr>
                <w:sz w:val="22"/>
              </w:rPr>
              <w:t>Política</w:t>
            </w:r>
            <w:r>
              <w:rPr>
                <w:spacing w:val="-10"/>
                <w:sz w:val="22"/>
              </w:rPr>
              <w:t> </w:t>
            </w:r>
            <w:r>
              <w:rPr>
                <w:sz w:val="22"/>
              </w:rPr>
              <w:t>Contable</w:t>
            </w:r>
            <w:r>
              <w:rPr>
                <w:spacing w:val="-8"/>
                <w:sz w:val="22"/>
              </w:rPr>
              <w:t> </w:t>
            </w:r>
            <w:r>
              <w:rPr>
                <w:sz w:val="22"/>
              </w:rPr>
              <w:t>sobre</w:t>
            </w:r>
            <w:r>
              <w:rPr>
                <w:spacing w:val="-8"/>
                <w:sz w:val="22"/>
              </w:rPr>
              <w:t> </w:t>
            </w:r>
            <w:r>
              <w:rPr>
                <w:sz w:val="22"/>
              </w:rPr>
              <w:t>la</w:t>
            </w:r>
            <w:r>
              <w:rPr>
                <w:spacing w:val="-8"/>
                <w:sz w:val="22"/>
              </w:rPr>
              <w:t> </w:t>
            </w:r>
            <w:r>
              <w:rPr>
                <w:sz w:val="22"/>
              </w:rPr>
              <w:t>publicación</w:t>
            </w:r>
            <w:r>
              <w:rPr>
                <w:spacing w:val="-7"/>
                <w:sz w:val="22"/>
              </w:rPr>
              <w:t> </w:t>
            </w:r>
            <w:r>
              <w:rPr>
                <w:sz w:val="22"/>
              </w:rPr>
              <w:t>de</w:t>
            </w:r>
            <w:r>
              <w:rPr>
                <w:spacing w:val="-9"/>
                <w:sz w:val="22"/>
              </w:rPr>
              <w:t> </w:t>
            </w:r>
            <w:r>
              <w:rPr>
                <w:sz w:val="22"/>
              </w:rPr>
              <w:t>los</w:t>
            </w:r>
            <w:r>
              <w:rPr>
                <w:spacing w:val="-6"/>
                <w:sz w:val="22"/>
              </w:rPr>
              <w:t> </w:t>
            </w:r>
            <w:r>
              <w:rPr>
                <w:sz w:val="22"/>
              </w:rPr>
              <w:t>estados</w:t>
            </w:r>
            <w:r>
              <w:rPr>
                <w:spacing w:val="-9"/>
                <w:sz w:val="22"/>
              </w:rPr>
              <w:t> </w:t>
            </w:r>
            <w:r>
              <w:rPr>
                <w:sz w:val="22"/>
              </w:rPr>
              <w:t>financieros</w:t>
            </w:r>
            <w:r>
              <w:rPr>
                <w:spacing w:val="-6"/>
                <w:sz w:val="22"/>
              </w:rPr>
              <w:t> </w:t>
            </w:r>
            <w:r>
              <w:rPr>
                <w:sz w:val="22"/>
              </w:rPr>
              <w:t>de</w:t>
            </w:r>
            <w:r>
              <w:rPr>
                <w:spacing w:val="-9"/>
                <w:sz w:val="22"/>
              </w:rPr>
              <w:t> </w:t>
            </w:r>
            <w:r>
              <w:rPr>
                <w:sz w:val="22"/>
              </w:rPr>
              <w:t>información general,</w:t>
            </w:r>
            <w:r>
              <w:rPr>
                <w:spacing w:val="-14"/>
                <w:sz w:val="22"/>
              </w:rPr>
              <w:t> </w:t>
            </w:r>
            <w:r>
              <w:rPr>
                <w:sz w:val="22"/>
              </w:rPr>
              <w:t>política</w:t>
            </w:r>
            <w:r>
              <w:rPr>
                <w:spacing w:val="-14"/>
                <w:sz w:val="22"/>
              </w:rPr>
              <w:t> </w:t>
            </w:r>
            <w:r>
              <w:rPr>
                <w:sz w:val="22"/>
              </w:rPr>
              <w:t>que</w:t>
            </w:r>
            <w:r>
              <w:rPr>
                <w:spacing w:val="-14"/>
                <w:sz w:val="22"/>
              </w:rPr>
              <w:t> </w:t>
            </w:r>
            <w:r>
              <w:rPr>
                <w:sz w:val="22"/>
              </w:rPr>
              <w:t>se</w:t>
            </w:r>
            <w:r>
              <w:rPr>
                <w:spacing w:val="-13"/>
                <w:sz w:val="22"/>
              </w:rPr>
              <w:t> </w:t>
            </w:r>
            <w:r>
              <w:rPr>
                <w:sz w:val="22"/>
              </w:rPr>
              <w:t>relaciona</w:t>
            </w:r>
            <w:r>
              <w:rPr>
                <w:spacing w:val="-14"/>
                <w:sz w:val="22"/>
              </w:rPr>
              <w:t> </w:t>
            </w:r>
            <w:r>
              <w:rPr>
                <w:sz w:val="22"/>
              </w:rPr>
              <w:t>con</w:t>
            </w:r>
            <w:r>
              <w:rPr>
                <w:spacing w:val="-13"/>
                <w:sz w:val="22"/>
              </w:rPr>
              <w:t> </w:t>
            </w:r>
            <w:r>
              <w:rPr>
                <w:sz w:val="22"/>
              </w:rPr>
              <w:t>la</w:t>
            </w:r>
            <w:r>
              <w:rPr>
                <w:spacing w:val="-14"/>
                <w:sz w:val="22"/>
              </w:rPr>
              <w:t> </w:t>
            </w:r>
            <w:r>
              <w:rPr>
                <w:sz w:val="22"/>
              </w:rPr>
              <w:t>NICSP</w:t>
            </w:r>
            <w:r>
              <w:rPr>
                <w:spacing w:val="-14"/>
                <w:sz w:val="22"/>
              </w:rPr>
              <w:t> </w:t>
            </w:r>
            <w:r>
              <w:rPr>
                <w:sz w:val="22"/>
              </w:rPr>
              <w:t>1</w:t>
            </w:r>
            <w:r>
              <w:rPr>
                <w:spacing w:val="-14"/>
                <w:sz w:val="22"/>
              </w:rPr>
              <w:t> </w:t>
            </w:r>
            <w:r>
              <w:rPr>
                <w:sz w:val="22"/>
              </w:rPr>
              <w:t>y</w:t>
            </w:r>
            <w:r>
              <w:rPr>
                <w:spacing w:val="-13"/>
                <w:sz w:val="22"/>
              </w:rPr>
              <w:t> </w:t>
            </w:r>
            <w:r>
              <w:rPr>
                <w:sz w:val="22"/>
              </w:rPr>
              <w:t>NICSP</w:t>
            </w:r>
            <w:r>
              <w:rPr>
                <w:spacing w:val="-14"/>
                <w:sz w:val="22"/>
              </w:rPr>
              <w:t> </w:t>
            </w:r>
            <w:r>
              <w:rPr>
                <w:sz w:val="22"/>
              </w:rPr>
              <w:t>14,</w:t>
            </w:r>
            <w:r>
              <w:rPr>
                <w:spacing w:val="-13"/>
                <w:sz w:val="22"/>
              </w:rPr>
              <w:t> </w:t>
            </w:r>
            <w:r>
              <w:rPr>
                <w:sz w:val="22"/>
              </w:rPr>
              <w:t>de</w:t>
            </w:r>
            <w:r>
              <w:rPr>
                <w:spacing w:val="-14"/>
                <w:sz w:val="22"/>
              </w:rPr>
              <w:t> </w:t>
            </w:r>
            <w:r>
              <w:rPr>
                <w:sz w:val="22"/>
              </w:rPr>
              <w:t>las</w:t>
            </w:r>
            <w:r>
              <w:rPr>
                <w:spacing w:val="-12"/>
                <w:sz w:val="22"/>
              </w:rPr>
              <w:t> </w:t>
            </w:r>
            <w:r>
              <w:rPr>
                <w:sz w:val="22"/>
              </w:rPr>
              <w:t>cuales</w:t>
            </w:r>
            <w:r>
              <w:rPr>
                <w:spacing w:val="-12"/>
                <w:sz w:val="22"/>
              </w:rPr>
              <w:t> </w:t>
            </w:r>
            <w:r>
              <w:rPr>
                <w:sz w:val="22"/>
              </w:rPr>
              <w:t>ya</w:t>
            </w:r>
            <w:r>
              <w:rPr>
                <w:spacing w:val="-12"/>
                <w:sz w:val="22"/>
              </w:rPr>
              <w:t> </w:t>
            </w:r>
            <w:r>
              <w:rPr>
                <w:sz w:val="22"/>
              </w:rPr>
              <w:t>se</w:t>
            </w:r>
            <w:r>
              <w:rPr>
                <w:spacing w:val="-14"/>
                <w:sz w:val="22"/>
              </w:rPr>
              <w:t> </w:t>
            </w:r>
            <w:r>
              <w:rPr>
                <w:sz w:val="22"/>
              </w:rPr>
              <w:t>cuenta</w:t>
            </w:r>
            <w:r>
              <w:rPr>
                <w:spacing w:val="-13"/>
                <w:sz w:val="22"/>
              </w:rPr>
              <w:t> </w:t>
            </w:r>
            <w:r>
              <w:rPr>
                <w:sz w:val="22"/>
              </w:rPr>
              <w:t>con</w:t>
            </w:r>
            <w:r>
              <w:rPr>
                <w:spacing w:val="-13"/>
                <w:sz w:val="22"/>
              </w:rPr>
              <w:t> </w:t>
            </w:r>
            <w:r>
              <w:rPr>
                <w:sz w:val="22"/>
              </w:rPr>
              <w:t>políticas, y</w:t>
            </w:r>
            <w:r>
              <w:rPr>
                <w:spacing w:val="-11"/>
                <w:sz w:val="22"/>
              </w:rPr>
              <w:t> </w:t>
            </w:r>
            <w:r>
              <w:rPr>
                <w:sz w:val="22"/>
              </w:rPr>
              <w:t>la</w:t>
            </w:r>
            <w:r>
              <w:rPr>
                <w:spacing w:val="-11"/>
                <w:sz w:val="22"/>
              </w:rPr>
              <w:t> </w:t>
            </w:r>
            <w:r>
              <w:rPr>
                <w:sz w:val="22"/>
              </w:rPr>
              <w:t>NICSP</w:t>
            </w:r>
            <w:r>
              <w:rPr>
                <w:spacing w:val="-10"/>
                <w:sz w:val="22"/>
              </w:rPr>
              <w:t> </w:t>
            </w:r>
            <w:r>
              <w:rPr>
                <w:sz w:val="22"/>
              </w:rPr>
              <w:t>24</w:t>
            </w:r>
            <w:r>
              <w:rPr>
                <w:spacing w:val="-11"/>
                <w:sz w:val="22"/>
              </w:rPr>
              <w:t> </w:t>
            </w:r>
            <w:r>
              <w:rPr>
                <w:sz w:val="22"/>
              </w:rPr>
              <w:t>Presentación</w:t>
            </w:r>
            <w:r>
              <w:rPr>
                <w:spacing w:val="-11"/>
                <w:sz w:val="22"/>
              </w:rPr>
              <w:t> </w:t>
            </w:r>
            <w:r>
              <w:rPr>
                <w:sz w:val="22"/>
              </w:rPr>
              <w:t>del</w:t>
            </w:r>
            <w:r>
              <w:rPr>
                <w:spacing w:val="-10"/>
                <w:sz w:val="22"/>
              </w:rPr>
              <w:t> </w:t>
            </w:r>
            <w:r>
              <w:rPr>
                <w:sz w:val="22"/>
              </w:rPr>
              <w:t>presupuesto</w:t>
            </w:r>
            <w:r>
              <w:rPr>
                <w:spacing w:val="-8"/>
                <w:sz w:val="22"/>
              </w:rPr>
              <w:t> </w:t>
            </w:r>
            <w:r>
              <w:rPr>
                <w:sz w:val="22"/>
              </w:rPr>
              <w:t>en</w:t>
            </w:r>
            <w:r>
              <w:rPr>
                <w:spacing w:val="-9"/>
                <w:sz w:val="22"/>
              </w:rPr>
              <w:t> </w:t>
            </w:r>
            <w:r>
              <w:rPr>
                <w:sz w:val="22"/>
              </w:rPr>
              <w:t>los</w:t>
            </w:r>
            <w:r>
              <w:rPr>
                <w:spacing w:val="-9"/>
                <w:sz w:val="22"/>
              </w:rPr>
              <w:t> </w:t>
            </w:r>
            <w:r>
              <w:rPr>
                <w:sz w:val="22"/>
              </w:rPr>
              <w:t>estados</w:t>
            </w:r>
            <w:r>
              <w:rPr>
                <w:spacing w:val="-9"/>
                <w:sz w:val="22"/>
              </w:rPr>
              <w:t> </w:t>
            </w:r>
            <w:r>
              <w:rPr>
                <w:sz w:val="22"/>
              </w:rPr>
              <w:t>financieros,</w:t>
            </w:r>
            <w:r>
              <w:rPr>
                <w:spacing w:val="-6"/>
                <w:sz w:val="22"/>
              </w:rPr>
              <w:t> </w:t>
            </w:r>
            <w:r>
              <w:rPr>
                <w:sz w:val="22"/>
              </w:rPr>
              <w:t>el</w:t>
            </w:r>
            <w:r>
              <w:rPr>
                <w:spacing w:val="-10"/>
                <w:sz w:val="22"/>
              </w:rPr>
              <w:t> </w:t>
            </w:r>
            <w:r>
              <w:rPr>
                <w:sz w:val="22"/>
              </w:rPr>
              <w:t>detalle</w:t>
            </w:r>
            <w:r>
              <w:rPr>
                <w:spacing w:val="-11"/>
                <w:sz w:val="22"/>
              </w:rPr>
              <w:t> </w:t>
            </w:r>
            <w:r>
              <w:rPr>
                <w:sz w:val="22"/>
              </w:rPr>
              <w:t>de</w:t>
            </w:r>
            <w:r>
              <w:rPr>
                <w:spacing w:val="-9"/>
                <w:sz w:val="22"/>
              </w:rPr>
              <w:t> </w:t>
            </w:r>
            <w:r>
              <w:rPr>
                <w:sz w:val="22"/>
              </w:rPr>
              <w:t>estas</w:t>
            </w:r>
            <w:r>
              <w:rPr>
                <w:spacing w:val="-9"/>
                <w:sz w:val="22"/>
              </w:rPr>
              <w:t> </w:t>
            </w:r>
            <w:r>
              <w:rPr>
                <w:sz w:val="22"/>
              </w:rPr>
              <w:t>se</w:t>
            </w:r>
            <w:r>
              <w:rPr>
                <w:spacing w:val="-12"/>
                <w:sz w:val="22"/>
              </w:rPr>
              <w:t> </w:t>
            </w:r>
            <w:r>
              <w:rPr>
                <w:sz w:val="22"/>
              </w:rPr>
              <w:t>muestra en el </w:t>
            </w:r>
            <w:r>
              <w:rPr>
                <w:b/>
                <w:sz w:val="22"/>
              </w:rPr>
              <w:t>Anexo 5 Políticas Particulares.</w:t>
            </w:r>
          </w:p>
        </w:tc>
      </w:tr>
    </w:tbl>
    <w:p>
      <w:pPr>
        <w:pStyle w:val="BodyText"/>
        <w:spacing w:before="204"/>
        <w:rPr>
          <w:sz w:val="20"/>
        </w:rPr>
      </w:pPr>
    </w:p>
    <w:p>
      <w:pPr>
        <w:pStyle w:val="Heading6"/>
        <w:spacing w:before="1"/>
        <w:ind w:left="622"/>
        <w:jc w:val="both"/>
      </w:pPr>
      <w:bookmarkStart w:name="_bookmark22" w:id="23"/>
      <w:bookmarkEnd w:id="23"/>
      <w:r>
        <w:rPr>
          <w:b w:val="0"/>
        </w:rPr>
      </w:r>
      <w:r>
        <w:rPr>
          <w:color w:val="1F3863"/>
        </w:rPr>
        <w:t>Resumen-</w:t>
      </w:r>
      <w:r>
        <w:rPr>
          <w:color w:val="1F3863"/>
          <w:spacing w:val="-9"/>
        </w:rPr>
        <w:t> </w:t>
      </w:r>
      <w:r>
        <w:rPr>
          <w:color w:val="1F3863"/>
        </w:rPr>
        <w:t>Aplicación</w:t>
      </w:r>
      <w:r>
        <w:rPr>
          <w:color w:val="1F3863"/>
          <w:spacing w:val="-6"/>
        </w:rPr>
        <w:t> </w:t>
      </w:r>
      <w:r>
        <w:rPr>
          <w:color w:val="1F3863"/>
          <w:spacing w:val="-4"/>
        </w:rPr>
        <w:t>NICSP</w:t>
      </w:r>
    </w:p>
    <w:p>
      <w:pPr>
        <w:pStyle w:val="BodyText"/>
        <w:spacing w:line="276" w:lineRule="auto" w:before="126"/>
        <w:ind w:left="622" w:right="979"/>
        <w:jc w:val="both"/>
      </w:pPr>
      <w:r>
        <w:rPr/>
        <w:t>La siguiente tabla detalla las NICSP consideradas por el IMAS para la elaboración de los Estados Financieros,</w:t>
      </w:r>
      <w:r>
        <w:rPr>
          <w:spacing w:val="-12"/>
        </w:rPr>
        <w:t> </w:t>
      </w:r>
      <w:r>
        <w:rPr/>
        <w:t>así</w:t>
      </w:r>
      <w:r>
        <w:rPr>
          <w:spacing w:val="-12"/>
        </w:rPr>
        <w:t> </w:t>
      </w:r>
      <w:r>
        <w:rPr/>
        <w:t>como</w:t>
      </w:r>
      <w:r>
        <w:rPr>
          <w:spacing w:val="-13"/>
        </w:rPr>
        <w:t> </w:t>
      </w:r>
      <w:r>
        <w:rPr/>
        <w:t>su</w:t>
      </w:r>
      <w:r>
        <w:rPr>
          <w:spacing w:val="-12"/>
        </w:rPr>
        <w:t> </w:t>
      </w:r>
      <w:r>
        <w:rPr/>
        <w:t>respectivo</w:t>
      </w:r>
      <w:r>
        <w:rPr>
          <w:spacing w:val="-11"/>
        </w:rPr>
        <w:t> </w:t>
      </w:r>
      <w:r>
        <w:rPr/>
        <w:t>nivel</w:t>
      </w:r>
      <w:r>
        <w:rPr>
          <w:spacing w:val="-12"/>
        </w:rPr>
        <w:t> </w:t>
      </w:r>
      <w:r>
        <w:rPr/>
        <w:t>de</w:t>
      </w:r>
      <w:r>
        <w:rPr>
          <w:spacing w:val="-11"/>
        </w:rPr>
        <w:t> </w:t>
      </w:r>
      <w:r>
        <w:rPr/>
        <w:t>aplicación.</w:t>
      </w:r>
      <w:r>
        <w:rPr>
          <w:spacing w:val="-10"/>
        </w:rPr>
        <w:t> </w:t>
      </w:r>
      <w:r>
        <w:rPr/>
        <w:t>Las</w:t>
      </w:r>
      <w:r>
        <w:rPr>
          <w:spacing w:val="-11"/>
        </w:rPr>
        <w:t> </w:t>
      </w:r>
      <w:r>
        <w:rPr/>
        <w:t>normas</w:t>
      </w:r>
      <w:r>
        <w:rPr>
          <w:spacing w:val="-11"/>
        </w:rPr>
        <w:t> </w:t>
      </w:r>
      <w:r>
        <w:rPr/>
        <w:t>indicadas</w:t>
      </w:r>
      <w:r>
        <w:rPr>
          <w:spacing w:val="-11"/>
        </w:rPr>
        <w:t> </w:t>
      </w:r>
      <w:r>
        <w:rPr/>
        <w:t>como</w:t>
      </w:r>
      <w:r>
        <w:rPr>
          <w:spacing w:val="-13"/>
        </w:rPr>
        <w:t> </w:t>
      </w:r>
      <w:r>
        <w:rPr/>
        <w:t>aplicables</w:t>
      </w:r>
      <w:r>
        <w:rPr>
          <w:spacing w:val="-11"/>
        </w:rPr>
        <w:t> </w:t>
      </w:r>
      <w:r>
        <w:rPr/>
        <w:t>han</w:t>
      </w:r>
      <w:r>
        <w:rPr>
          <w:spacing w:val="-12"/>
        </w:rPr>
        <w:t> </w:t>
      </w:r>
      <w:r>
        <w:rPr/>
        <w:t>sido implementadas</w:t>
      </w:r>
      <w:r>
        <w:rPr>
          <w:spacing w:val="60"/>
        </w:rPr>
        <w:t> </w:t>
      </w:r>
      <w:r>
        <w:rPr/>
        <w:t>en</w:t>
      </w:r>
      <w:r>
        <w:rPr>
          <w:spacing w:val="59"/>
        </w:rPr>
        <w:t> </w:t>
      </w:r>
      <w:r>
        <w:rPr/>
        <w:t>su</w:t>
      </w:r>
      <w:r>
        <w:rPr>
          <w:spacing w:val="61"/>
        </w:rPr>
        <w:t> </w:t>
      </w:r>
      <w:r>
        <w:rPr/>
        <w:t>totalidad,</w:t>
      </w:r>
      <w:r>
        <w:rPr>
          <w:spacing w:val="61"/>
        </w:rPr>
        <w:t> </w:t>
      </w:r>
      <w:r>
        <w:rPr/>
        <w:t>por</w:t>
      </w:r>
      <w:r>
        <w:rPr>
          <w:spacing w:val="62"/>
        </w:rPr>
        <w:t> </w:t>
      </w:r>
      <w:r>
        <w:rPr/>
        <w:t>otra</w:t>
      </w:r>
      <w:r>
        <w:rPr>
          <w:spacing w:val="61"/>
        </w:rPr>
        <w:t> </w:t>
      </w:r>
      <w:r>
        <w:rPr/>
        <w:t>parte,</w:t>
      </w:r>
      <w:r>
        <w:rPr>
          <w:spacing w:val="62"/>
        </w:rPr>
        <w:t> </w:t>
      </w:r>
      <w:r>
        <w:rPr/>
        <w:t>aquellas</w:t>
      </w:r>
      <w:r>
        <w:rPr>
          <w:spacing w:val="66"/>
        </w:rPr>
        <w:t> </w:t>
      </w:r>
      <w:r>
        <w:rPr/>
        <w:t>normas</w:t>
      </w:r>
      <w:r>
        <w:rPr>
          <w:spacing w:val="62"/>
        </w:rPr>
        <w:t> </w:t>
      </w:r>
      <w:r>
        <w:rPr/>
        <w:t>indicadas</w:t>
      </w:r>
      <w:r>
        <w:rPr>
          <w:spacing w:val="62"/>
        </w:rPr>
        <w:t> </w:t>
      </w:r>
      <w:r>
        <w:rPr/>
        <w:t>como</w:t>
      </w:r>
      <w:r>
        <w:rPr>
          <w:spacing w:val="60"/>
        </w:rPr>
        <w:t> </w:t>
      </w:r>
      <w:r>
        <w:rPr/>
        <w:t>no</w:t>
      </w:r>
      <w:r>
        <w:rPr>
          <w:spacing w:val="62"/>
        </w:rPr>
        <w:t> </w:t>
      </w:r>
      <w:r>
        <w:rPr/>
        <w:t>aplicables</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4944">
                <wp:simplePos x="0" y="0"/>
                <wp:positionH relativeFrom="page">
                  <wp:posOffset>9525</wp:posOffset>
                </wp:positionH>
                <wp:positionV relativeFrom="page">
                  <wp:posOffset>297208</wp:posOffset>
                </wp:positionV>
                <wp:extent cx="7762875" cy="974852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7762875" cy="9748520"/>
                          <a:chExt cx="7762875" cy="9748520"/>
                        </a:xfrm>
                      </wpg:grpSpPr>
                      <pic:pic>
                        <pic:nvPicPr>
                          <pic:cNvPr id="146" name="Image 146"/>
                          <pic:cNvPicPr/>
                        </pic:nvPicPr>
                        <pic:blipFill>
                          <a:blip r:embed="rId5" cstate="print"/>
                          <a:stretch>
                            <a:fillRect/>
                          </a:stretch>
                        </pic:blipFill>
                        <pic:spPr>
                          <a:xfrm>
                            <a:off x="0" y="0"/>
                            <a:ext cx="7762874" cy="9748489"/>
                          </a:xfrm>
                          <a:prstGeom prst="rect">
                            <a:avLst/>
                          </a:prstGeom>
                        </pic:spPr>
                      </pic:pic>
                      <wps:wsp>
                        <wps:cNvPr id="147" name="Graphic 14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1536" id="docshapegroup144" coordorigin="15,468" coordsize="12225,15352">
                <v:shape style="position:absolute;left:15;top:468;width:12225;height:15352" type="#_x0000_t75" id="docshape145" stroked="false">
                  <v:imagedata r:id="rId5" o:title=""/>
                </v:shape>
                <v:rect style="position:absolute;left:1673;top:2028;width:8897;height:15" id="docshape14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42</w:t>
      </w:r>
    </w:p>
    <w:p>
      <w:pPr>
        <w:pStyle w:val="BodyText"/>
        <w:spacing w:line="278" w:lineRule="auto" w:before="218"/>
        <w:ind w:left="622" w:right="982"/>
        <w:jc w:val="both"/>
      </w:pPr>
      <w:r>
        <w:rPr/>
        <w:t>responden</w:t>
      </w:r>
      <w:r>
        <w:rPr>
          <w:spacing w:val="-7"/>
        </w:rPr>
        <w:t> </w:t>
      </w:r>
      <w:r>
        <w:rPr/>
        <w:t>a</w:t>
      </w:r>
      <w:r>
        <w:rPr>
          <w:spacing w:val="-8"/>
        </w:rPr>
        <w:t> </w:t>
      </w:r>
      <w:r>
        <w:rPr/>
        <w:t>la</w:t>
      </w:r>
      <w:r>
        <w:rPr>
          <w:spacing w:val="-8"/>
        </w:rPr>
        <w:t> </w:t>
      </w:r>
      <w:r>
        <w:rPr/>
        <w:t>ausencia</w:t>
      </w:r>
      <w:r>
        <w:rPr>
          <w:spacing w:val="-8"/>
        </w:rPr>
        <w:t> </w:t>
      </w:r>
      <w:r>
        <w:rPr/>
        <w:t>de</w:t>
      </w:r>
      <w:r>
        <w:rPr>
          <w:spacing w:val="-9"/>
        </w:rPr>
        <w:t> </w:t>
      </w:r>
      <w:r>
        <w:rPr/>
        <w:t>hechos</w:t>
      </w:r>
      <w:r>
        <w:rPr>
          <w:spacing w:val="-6"/>
        </w:rPr>
        <w:t> </w:t>
      </w:r>
      <w:r>
        <w:rPr/>
        <w:t>económicos</w:t>
      </w:r>
      <w:r>
        <w:rPr>
          <w:spacing w:val="-9"/>
        </w:rPr>
        <w:t> </w:t>
      </w:r>
      <w:r>
        <w:rPr/>
        <w:t>o</w:t>
      </w:r>
      <w:r>
        <w:rPr>
          <w:spacing w:val="-6"/>
        </w:rPr>
        <w:t> </w:t>
      </w:r>
      <w:r>
        <w:rPr/>
        <w:t>transacciones</w:t>
      </w:r>
      <w:r>
        <w:rPr>
          <w:spacing w:val="-6"/>
        </w:rPr>
        <w:t> </w:t>
      </w:r>
      <w:r>
        <w:rPr/>
        <w:t>que</w:t>
      </w:r>
      <w:r>
        <w:rPr>
          <w:spacing w:val="-8"/>
        </w:rPr>
        <w:t> </w:t>
      </w:r>
      <w:r>
        <w:rPr/>
        <w:t>se</w:t>
      </w:r>
      <w:r>
        <w:rPr>
          <w:spacing w:val="-8"/>
        </w:rPr>
        <w:t> </w:t>
      </w:r>
      <w:r>
        <w:rPr/>
        <w:t>encuentran</w:t>
      </w:r>
      <w:r>
        <w:rPr>
          <w:spacing w:val="-7"/>
        </w:rPr>
        <w:t> </w:t>
      </w:r>
      <w:r>
        <w:rPr/>
        <w:t>fuera</w:t>
      </w:r>
      <w:r>
        <w:rPr>
          <w:spacing w:val="-8"/>
        </w:rPr>
        <w:t> </w:t>
      </w:r>
      <w:r>
        <w:rPr/>
        <w:t>del</w:t>
      </w:r>
      <w:r>
        <w:rPr>
          <w:spacing w:val="-8"/>
        </w:rPr>
        <w:t> </w:t>
      </w:r>
      <w:r>
        <w:rPr/>
        <w:t>alcance</w:t>
      </w:r>
      <w:r>
        <w:rPr>
          <w:spacing w:val="-7"/>
        </w:rPr>
        <w:t> </w:t>
      </w:r>
      <w:r>
        <w:rPr/>
        <w:t>de las operaciones, por lo que no resultan exigibles para el periodo informado:</w:t>
      </w:r>
    </w:p>
    <w:p>
      <w:pPr>
        <w:pStyle w:val="BodyText"/>
        <w:spacing w:before="7" w:after="1"/>
        <w:rPr>
          <w:sz w:val="9"/>
        </w:r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9"/>
        <w:gridCol w:w="5173"/>
        <w:gridCol w:w="1103"/>
        <w:gridCol w:w="1076"/>
      </w:tblGrid>
      <w:tr>
        <w:trPr>
          <w:trHeight w:val="281" w:hRule="atLeast"/>
        </w:trPr>
        <w:tc>
          <w:tcPr>
            <w:tcW w:w="6242" w:type="dxa"/>
            <w:gridSpan w:val="2"/>
            <w:tcBorders>
              <w:left w:val="single" w:sz="6" w:space="0" w:color="000000"/>
              <w:bottom w:val="single" w:sz="8" w:space="0" w:color="000000"/>
              <w:right w:val="single" w:sz="12" w:space="0" w:color="000000"/>
            </w:tcBorders>
            <w:shd w:val="clear" w:color="auto" w:fill="622422"/>
          </w:tcPr>
          <w:p>
            <w:pPr>
              <w:pStyle w:val="TableParagraph"/>
              <w:spacing w:before="76"/>
              <w:ind w:left="48"/>
              <w:jc w:val="center"/>
              <w:rPr>
                <w:rFonts w:ascii="Arial Narrow"/>
                <w:b/>
                <w:sz w:val="11"/>
              </w:rPr>
            </w:pPr>
            <w:r>
              <w:rPr>
                <w:rFonts w:ascii="Arial Narrow"/>
                <w:b/>
                <w:color w:val="FFFFFF"/>
                <w:spacing w:val="-4"/>
                <w:w w:val="160"/>
                <w:sz w:val="11"/>
              </w:rPr>
              <w:t>NORMA</w:t>
            </w:r>
          </w:p>
        </w:tc>
        <w:tc>
          <w:tcPr>
            <w:tcW w:w="1103" w:type="dxa"/>
            <w:tcBorders>
              <w:left w:val="single" w:sz="12" w:space="0" w:color="000000"/>
              <w:bottom w:val="single" w:sz="8" w:space="0" w:color="000000"/>
              <w:right w:val="single" w:sz="12" w:space="0" w:color="000000"/>
            </w:tcBorders>
            <w:shd w:val="clear" w:color="auto" w:fill="622422"/>
          </w:tcPr>
          <w:p>
            <w:pPr>
              <w:pStyle w:val="TableParagraph"/>
              <w:spacing w:before="85"/>
              <w:ind w:left="55" w:right="23"/>
              <w:jc w:val="center"/>
              <w:rPr>
                <w:rFonts w:ascii="Arial Narrow" w:hAnsi="Arial Narrow"/>
                <w:b/>
                <w:sz w:val="11"/>
              </w:rPr>
            </w:pPr>
            <w:r>
              <w:rPr>
                <w:rFonts w:ascii="Arial Narrow" w:hAnsi="Arial Narrow"/>
                <w:b/>
                <w:color w:val="FFFFFF"/>
                <w:spacing w:val="-2"/>
                <w:w w:val="160"/>
                <w:sz w:val="11"/>
              </w:rPr>
              <w:t>APLICACIÓN</w:t>
            </w:r>
          </w:p>
        </w:tc>
        <w:tc>
          <w:tcPr>
            <w:tcW w:w="1076" w:type="dxa"/>
            <w:tcBorders>
              <w:left w:val="single" w:sz="12" w:space="0" w:color="000000"/>
              <w:bottom w:val="single" w:sz="8" w:space="0" w:color="000000"/>
              <w:right w:val="single" w:sz="12" w:space="0" w:color="000000"/>
            </w:tcBorders>
            <w:shd w:val="clear" w:color="auto" w:fill="622422"/>
          </w:tcPr>
          <w:p>
            <w:pPr>
              <w:pStyle w:val="TableParagraph"/>
              <w:spacing w:before="7"/>
              <w:ind w:left="54"/>
              <w:jc w:val="center"/>
              <w:rPr>
                <w:rFonts w:ascii="Arial Narrow"/>
                <w:b/>
                <w:sz w:val="11"/>
              </w:rPr>
            </w:pPr>
            <w:r>
              <w:rPr>
                <w:rFonts w:ascii="Arial Narrow"/>
                <w:b/>
                <w:color w:val="FFFFFF"/>
                <w:spacing w:val="-4"/>
                <w:w w:val="160"/>
                <w:sz w:val="11"/>
              </w:rPr>
              <w:t>GRADO</w:t>
            </w:r>
          </w:p>
          <w:p>
            <w:pPr>
              <w:pStyle w:val="TableParagraph"/>
              <w:spacing w:line="107" w:lineRule="exact" w:before="20"/>
              <w:ind w:left="54" w:right="23"/>
              <w:jc w:val="center"/>
              <w:rPr>
                <w:rFonts w:ascii="Arial Narrow"/>
                <w:b/>
                <w:sz w:val="11"/>
              </w:rPr>
            </w:pPr>
            <w:r>
              <w:rPr>
                <w:rFonts w:ascii="Arial Narrow"/>
                <w:b/>
                <w:color w:val="FFFFFF"/>
                <w:spacing w:val="-2"/>
                <w:w w:val="160"/>
                <w:sz w:val="11"/>
              </w:rPr>
              <w:t>APLICACION</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1</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Presentación</w:t>
            </w:r>
            <w:r>
              <w:rPr>
                <w:rFonts w:ascii="Arial Narrow" w:hAnsi="Arial Narrow"/>
                <w:spacing w:val="4"/>
                <w:w w:val="155"/>
                <w:sz w:val="13"/>
              </w:rPr>
              <w:t> </w:t>
            </w:r>
            <w:r>
              <w:rPr>
                <w:rFonts w:ascii="Arial Narrow" w:hAnsi="Arial Narrow"/>
                <w:w w:val="155"/>
                <w:sz w:val="13"/>
              </w:rPr>
              <w:t>Estados</w:t>
            </w:r>
            <w:r>
              <w:rPr>
                <w:rFonts w:ascii="Arial Narrow" w:hAnsi="Arial Narrow"/>
                <w:spacing w:val="-2"/>
                <w:w w:val="155"/>
                <w:sz w:val="13"/>
              </w:rPr>
              <w:t> Financieros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2</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39"/>
              <w:rPr>
                <w:rFonts w:ascii="Arial Narrow"/>
                <w:sz w:val="13"/>
              </w:rPr>
            </w:pPr>
            <w:r>
              <w:rPr>
                <w:rFonts w:ascii="Arial Narrow"/>
                <w:w w:val="155"/>
                <w:sz w:val="13"/>
              </w:rPr>
              <w:t>Estado</w:t>
            </w:r>
            <w:r>
              <w:rPr>
                <w:rFonts w:ascii="Arial Narrow"/>
                <w:spacing w:val="2"/>
                <w:w w:val="155"/>
                <w:sz w:val="13"/>
              </w:rPr>
              <w:t> </w:t>
            </w:r>
            <w:r>
              <w:rPr>
                <w:rFonts w:ascii="Arial Narrow"/>
                <w:w w:val="155"/>
                <w:sz w:val="13"/>
              </w:rPr>
              <w:t>Flujo</w:t>
            </w:r>
            <w:r>
              <w:rPr>
                <w:rFonts w:ascii="Arial Narrow"/>
                <w:spacing w:val="2"/>
                <w:w w:val="155"/>
                <w:sz w:val="13"/>
              </w:rPr>
              <w:t> </w:t>
            </w:r>
            <w:r>
              <w:rPr>
                <w:rFonts w:ascii="Arial Narrow"/>
                <w:w w:val="155"/>
                <w:sz w:val="13"/>
              </w:rPr>
              <w:t>de</w:t>
            </w:r>
            <w:r>
              <w:rPr>
                <w:rFonts w:ascii="Arial Narrow"/>
                <w:spacing w:val="2"/>
                <w:w w:val="155"/>
                <w:sz w:val="13"/>
              </w:rPr>
              <w:t> </w:t>
            </w:r>
            <w:r>
              <w:rPr>
                <w:rFonts w:ascii="Arial Narrow"/>
                <w:spacing w:val="-2"/>
                <w:w w:val="155"/>
                <w:sz w:val="13"/>
              </w:rPr>
              <w:t>Efectivo</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54" w:right="5"/>
              <w:jc w:val="center"/>
              <w:rPr>
                <w:rFonts w:ascii="Arial Narrow"/>
                <w:sz w:val="13"/>
              </w:rPr>
            </w:pPr>
            <w:r>
              <w:rPr>
                <w:rFonts w:ascii="Arial Narrow"/>
                <w:spacing w:val="-2"/>
                <w:w w:val="155"/>
                <w:sz w:val="13"/>
              </w:rPr>
              <w:t>100,00%</w:t>
            </w:r>
          </w:p>
        </w:tc>
      </w:tr>
      <w:tr>
        <w:trPr>
          <w:trHeight w:val="366"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14"/>
              <w:rPr>
                <w:sz w:val="10"/>
              </w:rPr>
            </w:pPr>
          </w:p>
          <w:p>
            <w:pPr>
              <w:pStyle w:val="TableParagraph"/>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3</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before="14"/>
              <w:ind w:left="39" w:right="-29"/>
              <w:rPr>
                <w:rFonts w:ascii="Arial Narrow" w:hAnsi="Arial Narrow"/>
                <w:sz w:val="13"/>
              </w:rPr>
            </w:pPr>
            <w:r>
              <w:rPr>
                <w:rFonts w:ascii="Arial Narrow" w:hAnsi="Arial Narrow"/>
                <w:w w:val="155"/>
                <w:sz w:val="13"/>
              </w:rPr>
              <w:t>Políticas</w:t>
            </w:r>
            <w:r>
              <w:rPr>
                <w:rFonts w:ascii="Arial Narrow" w:hAnsi="Arial Narrow"/>
                <w:spacing w:val="77"/>
                <w:w w:val="155"/>
                <w:sz w:val="13"/>
              </w:rPr>
              <w:t> </w:t>
            </w:r>
            <w:r>
              <w:rPr>
                <w:rFonts w:ascii="Arial Narrow" w:hAnsi="Arial Narrow"/>
                <w:w w:val="155"/>
                <w:sz w:val="13"/>
              </w:rPr>
              <w:t>Contables,</w:t>
            </w:r>
            <w:r>
              <w:rPr>
                <w:rFonts w:ascii="Arial Narrow" w:hAnsi="Arial Narrow"/>
                <w:spacing w:val="73"/>
                <w:w w:val="155"/>
                <w:sz w:val="13"/>
              </w:rPr>
              <w:t> </w:t>
            </w:r>
            <w:r>
              <w:rPr>
                <w:rFonts w:ascii="Arial Narrow" w:hAnsi="Arial Narrow"/>
                <w:w w:val="155"/>
                <w:sz w:val="13"/>
              </w:rPr>
              <w:t>Cambios</w:t>
            </w:r>
            <w:r>
              <w:rPr>
                <w:rFonts w:ascii="Arial Narrow" w:hAnsi="Arial Narrow"/>
                <w:spacing w:val="77"/>
                <w:w w:val="155"/>
                <w:sz w:val="13"/>
              </w:rPr>
              <w:t> </w:t>
            </w:r>
            <w:r>
              <w:rPr>
                <w:rFonts w:ascii="Arial Narrow" w:hAnsi="Arial Narrow"/>
                <w:w w:val="155"/>
                <w:sz w:val="13"/>
              </w:rPr>
              <w:t>en</w:t>
            </w:r>
            <w:r>
              <w:rPr>
                <w:rFonts w:ascii="Arial Narrow" w:hAnsi="Arial Narrow"/>
                <w:spacing w:val="17"/>
                <w:w w:val="155"/>
                <w:sz w:val="13"/>
              </w:rPr>
              <w:t>  </w:t>
            </w:r>
            <w:r>
              <w:rPr>
                <w:rFonts w:ascii="Arial Narrow" w:hAnsi="Arial Narrow"/>
                <w:w w:val="155"/>
                <w:sz w:val="13"/>
              </w:rPr>
              <w:t>las</w:t>
            </w:r>
            <w:r>
              <w:rPr>
                <w:rFonts w:ascii="Arial Narrow" w:hAnsi="Arial Narrow"/>
                <w:spacing w:val="76"/>
                <w:w w:val="155"/>
                <w:sz w:val="13"/>
              </w:rPr>
              <w:t> </w:t>
            </w:r>
            <w:r>
              <w:rPr>
                <w:rFonts w:ascii="Arial Narrow" w:hAnsi="Arial Narrow"/>
                <w:w w:val="155"/>
                <w:sz w:val="13"/>
              </w:rPr>
              <w:t>estimaciones</w:t>
            </w:r>
            <w:r>
              <w:rPr>
                <w:rFonts w:ascii="Arial Narrow" w:hAnsi="Arial Narrow"/>
                <w:spacing w:val="79"/>
                <w:w w:val="155"/>
                <w:sz w:val="13"/>
              </w:rPr>
              <w:t> </w:t>
            </w:r>
            <w:r>
              <w:rPr>
                <w:rFonts w:ascii="Arial Narrow" w:hAnsi="Arial Narrow"/>
                <w:w w:val="155"/>
                <w:sz w:val="13"/>
              </w:rPr>
              <w:t>contables</w:t>
            </w:r>
            <w:r>
              <w:rPr>
                <w:rFonts w:ascii="Arial Narrow" w:hAnsi="Arial Narrow"/>
                <w:spacing w:val="78"/>
                <w:w w:val="155"/>
                <w:sz w:val="13"/>
              </w:rPr>
              <w:t> </w:t>
            </w:r>
            <w:r>
              <w:rPr>
                <w:rFonts w:ascii="Arial Narrow" w:hAnsi="Arial Narrow"/>
                <w:spacing w:val="-10"/>
                <w:w w:val="155"/>
                <w:sz w:val="13"/>
              </w:rPr>
              <w:t>y</w:t>
            </w:r>
          </w:p>
          <w:p>
            <w:pPr>
              <w:pStyle w:val="TableParagraph"/>
              <w:spacing w:line="143" w:lineRule="exact" w:before="40"/>
              <w:ind w:left="39"/>
              <w:rPr>
                <w:rFonts w:ascii="Arial Narrow"/>
                <w:sz w:val="13"/>
              </w:rPr>
            </w:pPr>
            <w:r>
              <w:rPr>
                <w:rFonts w:ascii="Arial Narrow"/>
                <w:spacing w:val="-2"/>
                <w:w w:val="155"/>
                <w:sz w:val="13"/>
              </w:rPr>
              <w:t>Errores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before="55"/>
              <w:rPr>
                <w:sz w:val="13"/>
              </w:rPr>
            </w:pPr>
          </w:p>
          <w:p>
            <w:pPr>
              <w:pStyle w:val="TableParagraph"/>
              <w:spacing w:line="143" w:lineRule="exact"/>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before="55"/>
              <w:rPr>
                <w:sz w:val="13"/>
              </w:rPr>
            </w:pPr>
          </w:p>
          <w:p>
            <w:pPr>
              <w:pStyle w:val="TableParagraph"/>
              <w:spacing w:line="143" w:lineRule="exact"/>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4</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Efectos</w:t>
            </w:r>
            <w:r>
              <w:rPr>
                <w:rFonts w:ascii="Arial Narrow"/>
                <w:spacing w:val="-2"/>
                <w:w w:val="155"/>
                <w:sz w:val="13"/>
              </w:rPr>
              <w:t> </w:t>
            </w:r>
            <w:r>
              <w:rPr>
                <w:rFonts w:ascii="Arial Narrow"/>
                <w:w w:val="155"/>
                <w:sz w:val="13"/>
              </w:rPr>
              <w:t>de</w:t>
            </w:r>
            <w:r>
              <w:rPr>
                <w:rFonts w:ascii="Arial Narrow"/>
                <w:spacing w:val="5"/>
                <w:w w:val="155"/>
                <w:sz w:val="13"/>
              </w:rPr>
              <w:t> </w:t>
            </w:r>
            <w:r>
              <w:rPr>
                <w:rFonts w:ascii="Arial Narrow"/>
                <w:w w:val="155"/>
                <w:sz w:val="13"/>
              </w:rPr>
              <w:t>las</w:t>
            </w:r>
            <w:r>
              <w:rPr>
                <w:rFonts w:ascii="Arial Narrow"/>
                <w:spacing w:val="-2"/>
                <w:w w:val="155"/>
                <w:sz w:val="13"/>
              </w:rPr>
              <w:t> </w:t>
            </w:r>
            <w:r>
              <w:rPr>
                <w:rFonts w:ascii="Arial Narrow"/>
                <w:w w:val="155"/>
                <w:sz w:val="13"/>
              </w:rPr>
              <w:t>variaciones</w:t>
            </w:r>
            <w:r>
              <w:rPr>
                <w:rFonts w:ascii="Arial Narrow"/>
                <w:spacing w:val="-1"/>
                <w:w w:val="155"/>
                <w:sz w:val="13"/>
              </w:rPr>
              <w:t> </w:t>
            </w:r>
            <w:r>
              <w:rPr>
                <w:rFonts w:ascii="Arial Narrow"/>
                <w:w w:val="155"/>
                <w:sz w:val="13"/>
              </w:rPr>
              <w:t>en</w:t>
            </w:r>
            <w:r>
              <w:rPr>
                <w:rFonts w:ascii="Arial Narrow"/>
                <w:spacing w:val="4"/>
                <w:w w:val="155"/>
                <w:sz w:val="13"/>
              </w:rPr>
              <w:t> </w:t>
            </w:r>
            <w:r>
              <w:rPr>
                <w:rFonts w:ascii="Arial Narrow"/>
                <w:w w:val="155"/>
                <w:sz w:val="13"/>
              </w:rPr>
              <w:t>las</w:t>
            </w:r>
            <w:r>
              <w:rPr>
                <w:rFonts w:ascii="Arial Narrow"/>
                <w:spacing w:val="-1"/>
                <w:w w:val="155"/>
                <w:sz w:val="13"/>
              </w:rPr>
              <w:t> </w:t>
            </w:r>
            <w:r>
              <w:rPr>
                <w:rFonts w:ascii="Arial Narrow"/>
                <w:w w:val="155"/>
                <w:sz w:val="13"/>
              </w:rPr>
              <w:t>tasas</w:t>
            </w:r>
            <w:r>
              <w:rPr>
                <w:rFonts w:ascii="Arial Narrow"/>
                <w:spacing w:val="-1"/>
                <w:w w:val="155"/>
                <w:sz w:val="13"/>
              </w:rPr>
              <w:t> </w:t>
            </w:r>
            <w:r>
              <w:rPr>
                <w:rFonts w:ascii="Arial Narrow"/>
                <w:w w:val="155"/>
                <w:sz w:val="13"/>
              </w:rPr>
              <w:t>de</w:t>
            </w:r>
            <w:r>
              <w:rPr>
                <w:rFonts w:ascii="Arial Narrow"/>
                <w:spacing w:val="4"/>
                <w:w w:val="155"/>
                <w:sz w:val="13"/>
              </w:rPr>
              <w:t> </w:t>
            </w:r>
            <w:r>
              <w:rPr>
                <w:rFonts w:ascii="Arial Narrow"/>
                <w:w w:val="155"/>
                <w:sz w:val="13"/>
              </w:rPr>
              <w:t>cambio</w:t>
            </w:r>
            <w:r>
              <w:rPr>
                <w:rFonts w:ascii="Arial Narrow"/>
                <w:spacing w:val="5"/>
                <w:w w:val="155"/>
                <w:sz w:val="13"/>
              </w:rPr>
              <w:t> </w:t>
            </w:r>
            <w:r>
              <w:rPr>
                <w:rFonts w:ascii="Arial Narrow"/>
                <w:w w:val="155"/>
                <w:sz w:val="13"/>
              </w:rPr>
              <w:t>de</w:t>
            </w:r>
            <w:r>
              <w:rPr>
                <w:rFonts w:ascii="Arial Narrow"/>
                <w:spacing w:val="4"/>
                <w:w w:val="155"/>
                <w:sz w:val="13"/>
              </w:rPr>
              <w:t> </w:t>
            </w:r>
            <w:r>
              <w:rPr>
                <w:rFonts w:ascii="Arial Narrow"/>
                <w:w w:val="155"/>
                <w:sz w:val="13"/>
              </w:rPr>
              <w:t>la</w:t>
            </w:r>
            <w:r>
              <w:rPr>
                <w:rFonts w:ascii="Arial Narrow"/>
                <w:spacing w:val="5"/>
                <w:w w:val="155"/>
                <w:sz w:val="13"/>
              </w:rPr>
              <w:t> </w:t>
            </w:r>
            <w:r>
              <w:rPr>
                <w:rFonts w:ascii="Arial Narrow"/>
                <w:spacing w:val="-2"/>
                <w:w w:val="155"/>
                <w:sz w:val="13"/>
              </w:rPr>
              <w:t>moneda</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2"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5</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14"/>
              <w:ind w:left="39"/>
              <w:rPr>
                <w:rFonts w:ascii="Arial Narrow" w:hAnsi="Arial Narrow"/>
                <w:sz w:val="13"/>
              </w:rPr>
            </w:pPr>
            <w:r>
              <w:rPr>
                <w:rFonts w:ascii="Arial Narrow" w:hAnsi="Arial Narrow"/>
                <w:w w:val="155"/>
                <w:sz w:val="13"/>
              </w:rPr>
              <w:t>Costo</w:t>
            </w:r>
            <w:r>
              <w:rPr>
                <w:rFonts w:ascii="Arial Narrow" w:hAnsi="Arial Narrow"/>
                <w:spacing w:val="-2"/>
                <w:w w:val="155"/>
                <w:sz w:val="13"/>
              </w:rPr>
              <w:t> </w:t>
            </w:r>
            <w:r>
              <w:rPr>
                <w:rFonts w:ascii="Arial Narrow" w:hAnsi="Arial Narrow"/>
                <w:w w:val="155"/>
                <w:sz w:val="13"/>
              </w:rPr>
              <w:t>por</w:t>
            </w:r>
            <w:r>
              <w:rPr>
                <w:rFonts w:ascii="Arial Narrow" w:hAnsi="Arial Narrow"/>
                <w:spacing w:val="-5"/>
                <w:w w:val="155"/>
                <w:sz w:val="13"/>
              </w:rPr>
              <w:t> </w:t>
            </w:r>
            <w:r>
              <w:rPr>
                <w:rFonts w:ascii="Arial Narrow" w:hAnsi="Arial Narrow"/>
                <w:spacing w:val="-2"/>
                <w:w w:val="155"/>
                <w:sz w:val="13"/>
              </w:rPr>
              <w:t>Préstamos</w:t>
            </w:r>
          </w:p>
        </w:tc>
        <w:tc>
          <w:tcPr>
            <w:tcW w:w="1103" w:type="dxa"/>
            <w:tcBorders>
              <w:top w:val="single" w:sz="8" w:space="0" w:color="000000"/>
              <w:left w:val="single" w:sz="12" w:space="0" w:color="000000"/>
              <w:bottom w:val="single" w:sz="12" w:space="0" w:color="000000"/>
              <w:right w:val="single" w:sz="12" w:space="0" w:color="000000"/>
            </w:tcBorders>
          </w:tcPr>
          <w:p>
            <w:pPr>
              <w:pStyle w:val="TableParagraph"/>
              <w:spacing w:line="138"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14"/>
              <w:ind w:left="54" w:right="4"/>
              <w:jc w:val="center"/>
              <w:rPr>
                <w:rFonts w:ascii="Arial Narrow"/>
                <w:sz w:val="13"/>
              </w:rPr>
            </w:pPr>
            <w:r>
              <w:rPr>
                <w:rFonts w:ascii="Arial Narrow"/>
                <w:spacing w:val="-4"/>
                <w:w w:val="155"/>
                <w:sz w:val="13"/>
              </w:rPr>
              <w:t>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10"/>
                <w:w w:val="165"/>
                <w:sz w:val="10"/>
              </w:rPr>
              <w:t>9</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hAnsi="Arial Narrow"/>
                <w:sz w:val="13"/>
              </w:rPr>
            </w:pPr>
            <w:r>
              <w:rPr>
                <w:rFonts w:ascii="Arial Narrow" w:hAnsi="Arial Narrow"/>
                <w:w w:val="155"/>
                <w:sz w:val="13"/>
              </w:rPr>
              <w:t>Ingresos</w:t>
            </w:r>
            <w:r>
              <w:rPr>
                <w:rFonts w:ascii="Arial Narrow" w:hAnsi="Arial Narrow"/>
                <w:spacing w:val="4"/>
                <w:w w:val="155"/>
                <w:sz w:val="13"/>
              </w:rPr>
              <w:t> </w:t>
            </w:r>
            <w:r>
              <w:rPr>
                <w:rFonts w:ascii="Arial Narrow" w:hAnsi="Arial Narrow"/>
                <w:w w:val="155"/>
                <w:sz w:val="13"/>
              </w:rPr>
              <w:t>de</w:t>
            </w:r>
            <w:r>
              <w:rPr>
                <w:rFonts w:ascii="Arial Narrow" w:hAnsi="Arial Narrow"/>
                <w:spacing w:val="10"/>
                <w:w w:val="155"/>
                <w:sz w:val="13"/>
              </w:rPr>
              <w:t> </w:t>
            </w:r>
            <w:r>
              <w:rPr>
                <w:rFonts w:ascii="Arial Narrow" w:hAnsi="Arial Narrow"/>
                <w:w w:val="155"/>
                <w:sz w:val="13"/>
              </w:rPr>
              <w:t>transacciones</w:t>
            </w:r>
            <w:r>
              <w:rPr>
                <w:rFonts w:ascii="Arial Narrow" w:hAnsi="Arial Narrow"/>
                <w:spacing w:val="5"/>
                <w:w w:val="155"/>
                <w:sz w:val="13"/>
              </w:rPr>
              <w:t> </w:t>
            </w:r>
            <w:r>
              <w:rPr>
                <w:rFonts w:ascii="Arial Narrow" w:hAnsi="Arial Narrow"/>
                <w:w w:val="155"/>
                <w:sz w:val="13"/>
              </w:rPr>
              <w:t>con</w:t>
            </w:r>
            <w:r>
              <w:rPr>
                <w:rFonts w:ascii="Arial Narrow" w:hAnsi="Arial Narrow"/>
                <w:spacing w:val="10"/>
                <w:w w:val="155"/>
                <w:sz w:val="13"/>
              </w:rPr>
              <w:t> </w:t>
            </w:r>
            <w:r>
              <w:rPr>
                <w:rFonts w:ascii="Arial Narrow" w:hAnsi="Arial Narrow"/>
                <w:spacing w:val="-2"/>
                <w:w w:val="155"/>
                <w:sz w:val="13"/>
              </w:rPr>
              <w:t>contraprestación</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10</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hAnsi="Arial Narrow"/>
                <w:sz w:val="13"/>
              </w:rPr>
            </w:pPr>
            <w:r>
              <w:rPr>
                <w:rFonts w:ascii="Arial Narrow" w:hAnsi="Arial Narrow"/>
                <w:w w:val="155"/>
                <w:sz w:val="13"/>
              </w:rPr>
              <w:t>Información</w:t>
            </w:r>
            <w:r>
              <w:rPr>
                <w:rFonts w:ascii="Arial Narrow" w:hAnsi="Arial Narrow"/>
                <w:spacing w:val="18"/>
                <w:w w:val="155"/>
                <w:sz w:val="13"/>
              </w:rPr>
              <w:t> </w:t>
            </w:r>
            <w:r>
              <w:rPr>
                <w:rFonts w:ascii="Arial Narrow" w:hAnsi="Arial Narrow"/>
                <w:w w:val="155"/>
                <w:sz w:val="13"/>
              </w:rPr>
              <w:t>Financiera</w:t>
            </w:r>
            <w:r>
              <w:rPr>
                <w:rFonts w:ascii="Arial Narrow" w:hAnsi="Arial Narrow"/>
                <w:spacing w:val="18"/>
                <w:w w:val="155"/>
                <w:sz w:val="13"/>
              </w:rPr>
              <w:t> </w:t>
            </w:r>
            <w:r>
              <w:rPr>
                <w:rFonts w:ascii="Arial Narrow" w:hAnsi="Arial Narrow"/>
                <w:w w:val="155"/>
                <w:sz w:val="13"/>
              </w:rPr>
              <w:t>en</w:t>
            </w:r>
            <w:r>
              <w:rPr>
                <w:rFonts w:ascii="Arial Narrow" w:hAnsi="Arial Narrow"/>
                <w:spacing w:val="19"/>
                <w:w w:val="155"/>
                <w:sz w:val="13"/>
              </w:rPr>
              <w:t> </w:t>
            </w:r>
            <w:r>
              <w:rPr>
                <w:rFonts w:ascii="Arial Narrow" w:hAnsi="Arial Narrow"/>
                <w:w w:val="155"/>
                <w:sz w:val="13"/>
              </w:rPr>
              <w:t>Economía</w:t>
            </w:r>
            <w:r>
              <w:rPr>
                <w:rFonts w:ascii="Arial Narrow" w:hAnsi="Arial Narrow"/>
                <w:spacing w:val="18"/>
                <w:w w:val="155"/>
                <w:sz w:val="13"/>
              </w:rPr>
              <w:t> </w:t>
            </w:r>
            <w:r>
              <w:rPr>
                <w:rFonts w:ascii="Arial Narrow" w:hAnsi="Arial Narrow"/>
                <w:spacing w:val="-2"/>
                <w:w w:val="155"/>
                <w:sz w:val="13"/>
              </w:rPr>
              <w:t>Hiperinflacionarias</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4"/>
              <w:jc w:val="center"/>
              <w:rPr>
                <w:rFonts w:ascii="Arial Narrow"/>
                <w:sz w:val="13"/>
              </w:rPr>
            </w:pPr>
            <w:r>
              <w:rPr>
                <w:rFonts w:ascii="Arial Narrow"/>
                <w:spacing w:val="-4"/>
                <w:w w:val="155"/>
                <w:sz w:val="13"/>
              </w:rPr>
              <w:t>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11</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hAnsi="Arial Narrow"/>
                <w:sz w:val="13"/>
              </w:rPr>
            </w:pPr>
            <w:r>
              <w:rPr>
                <w:rFonts w:ascii="Arial Narrow" w:hAnsi="Arial Narrow"/>
                <w:w w:val="155"/>
                <w:sz w:val="13"/>
              </w:rPr>
              <w:t>Contrato</w:t>
            </w:r>
            <w:r>
              <w:rPr>
                <w:rFonts w:ascii="Arial Narrow" w:hAnsi="Arial Narrow"/>
                <w:spacing w:val="-3"/>
                <w:w w:val="155"/>
                <w:sz w:val="13"/>
              </w:rPr>
              <w:t> </w:t>
            </w:r>
            <w:r>
              <w:rPr>
                <w:rFonts w:ascii="Arial Narrow" w:hAnsi="Arial Narrow"/>
                <w:w w:val="155"/>
                <w:sz w:val="13"/>
              </w:rPr>
              <w:t>de</w:t>
            </w:r>
            <w:r>
              <w:rPr>
                <w:rFonts w:ascii="Arial Narrow" w:hAnsi="Arial Narrow"/>
                <w:spacing w:val="-3"/>
                <w:w w:val="155"/>
                <w:sz w:val="13"/>
              </w:rPr>
              <w:t> </w:t>
            </w:r>
            <w:r>
              <w:rPr>
                <w:rFonts w:ascii="Arial Narrow" w:hAnsi="Arial Narrow"/>
                <w:spacing w:val="-2"/>
                <w:w w:val="155"/>
                <w:sz w:val="13"/>
              </w:rPr>
              <w:t>Construcción</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72"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12</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9"/>
              <w:ind w:left="39"/>
              <w:rPr>
                <w:rFonts w:ascii="Arial Narrow"/>
                <w:sz w:val="13"/>
              </w:rPr>
            </w:pPr>
            <w:r>
              <w:rPr>
                <w:rFonts w:ascii="Arial Narrow"/>
                <w:spacing w:val="-2"/>
                <w:w w:val="155"/>
                <w:sz w:val="13"/>
              </w:rPr>
              <w:t>Inventarios</w:t>
            </w:r>
          </w:p>
        </w:tc>
        <w:tc>
          <w:tcPr>
            <w:tcW w:w="1103" w:type="dxa"/>
            <w:tcBorders>
              <w:top w:val="single" w:sz="12" w:space="0" w:color="000000"/>
              <w:left w:val="single" w:sz="12" w:space="0" w:color="000000"/>
              <w:bottom w:val="nil"/>
              <w:right w:val="single" w:sz="12" w:space="0" w:color="000000"/>
            </w:tcBorders>
          </w:tcPr>
          <w:p>
            <w:pPr>
              <w:pStyle w:val="TableParagraph"/>
              <w:spacing w:line="143"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9"/>
              <w:ind w:left="54" w:right="5"/>
              <w:jc w:val="center"/>
              <w:rPr>
                <w:rFonts w:ascii="Arial Narrow"/>
                <w:sz w:val="13"/>
              </w:rPr>
            </w:pPr>
            <w:r>
              <w:rPr>
                <w:rFonts w:ascii="Arial Narrow"/>
                <w:spacing w:val="-2"/>
                <w:w w:val="155"/>
                <w:sz w:val="13"/>
              </w:rPr>
              <w:t>100,00%</w:t>
            </w:r>
          </w:p>
        </w:tc>
      </w:tr>
      <w:tr>
        <w:trPr>
          <w:trHeight w:val="172"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13</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14"/>
              <w:ind w:left="39"/>
              <w:rPr>
                <w:rFonts w:ascii="Arial Narrow"/>
                <w:sz w:val="13"/>
              </w:rPr>
            </w:pPr>
            <w:r>
              <w:rPr>
                <w:rFonts w:ascii="Arial Narrow"/>
                <w:spacing w:val="-2"/>
                <w:w w:val="155"/>
                <w:sz w:val="13"/>
              </w:rPr>
              <w:t>Arrendamientos</w:t>
            </w:r>
          </w:p>
        </w:tc>
        <w:tc>
          <w:tcPr>
            <w:tcW w:w="1103" w:type="dxa"/>
            <w:tcBorders>
              <w:top w:val="nil"/>
              <w:left w:val="single" w:sz="12" w:space="0" w:color="000000"/>
              <w:bottom w:val="single" w:sz="12" w:space="0" w:color="000000"/>
              <w:right w:val="single" w:sz="12" w:space="0" w:color="000000"/>
            </w:tcBorders>
          </w:tcPr>
          <w:p>
            <w:pPr>
              <w:pStyle w:val="TableParagraph"/>
              <w:spacing w:line="138"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14"/>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14</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hAnsi="Arial Narrow"/>
                <w:sz w:val="13"/>
              </w:rPr>
            </w:pPr>
            <w:r>
              <w:rPr>
                <w:rFonts w:ascii="Arial Narrow" w:hAnsi="Arial Narrow"/>
                <w:w w:val="155"/>
                <w:sz w:val="13"/>
              </w:rPr>
              <w:t>Hechos</w:t>
            </w:r>
            <w:r>
              <w:rPr>
                <w:rFonts w:ascii="Arial Narrow" w:hAnsi="Arial Narrow"/>
                <w:spacing w:val="2"/>
                <w:w w:val="155"/>
                <w:sz w:val="13"/>
              </w:rPr>
              <w:t> </w:t>
            </w:r>
            <w:r>
              <w:rPr>
                <w:rFonts w:ascii="Arial Narrow" w:hAnsi="Arial Narrow"/>
                <w:w w:val="155"/>
                <w:sz w:val="13"/>
              </w:rPr>
              <w:t>ocurridos</w:t>
            </w:r>
            <w:r>
              <w:rPr>
                <w:rFonts w:ascii="Arial Narrow" w:hAnsi="Arial Narrow"/>
                <w:spacing w:val="2"/>
                <w:w w:val="155"/>
                <w:sz w:val="13"/>
              </w:rPr>
              <w:t> </w:t>
            </w:r>
            <w:r>
              <w:rPr>
                <w:rFonts w:ascii="Arial Narrow" w:hAnsi="Arial Narrow"/>
                <w:w w:val="155"/>
                <w:sz w:val="13"/>
              </w:rPr>
              <w:t>después</w:t>
            </w:r>
            <w:r>
              <w:rPr>
                <w:rFonts w:ascii="Arial Narrow" w:hAnsi="Arial Narrow"/>
                <w:spacing w:val="2"/>
                <w:w w:val="155"/>
                <w:sz w:val="13"/>
              </w:rPr>
              <w:t> </w:t>
            </w:r>
            <w:r>
              <w:rPr>
                <w:rFonts w:ascii="Arial Narrow" w:hAnsi="Arial Narrow"/>
                <w:w w:val="155"/>
                <w:sz w:val="13"/>
              </w:rPr>
              <w:t>de</w:t>
            </w:r>
            <w:r>
              <w:rPr>
                <w:rFonts w:ascii="Arial Narrow" w:hAnsi="Arial Narrow"/>
                <w:spacing w:val="8"/>
                <w:w w:val="155"/>
                <w:sz w:val="13"/>
              </w:rPr>
              <w:t> </w:t>
            </w:r>
            <w:r>
              <w:rPr>
                <w:rFonts w:ascii="Arial Narrow" w:hAnsi="Arial Narrow"/>
                <w:w w:val="155"/>
                <w:sz w:val="13"/>
              </w:rPr>
              <w:t>la</w:t>
            </w:r>
            <w:r>
              <w:rPr>
                <w:rFonts w:ascii="Arial Narrow" w:hAnsi="Arial Narrow"/>
                <w:spacing w:val="9"/>
                <w:w w:val="155"/>
                <w:sz w:val="13"/>
              </w:rPr>
              <w:t> </w:t>
            </w:r>
            <w:r>
              <w:rPr>
                <w:rFonts w:ascii="Arial Narrow" w:hAnsi="Arial Narrow"/>
                <w:w w:val="155"/>
                <w:sz w:val="13"/>
              </w:rPr>
              <w:t>fecha</w:t>
            </w:r>
            <w:r>
              <w:rPr>
                <w:rFonts w:ascii="Arial Narrow" w:hAnsi="Arial Narrow"/>
                <w:spacing w:val="9"/>
                <w:w w:val="155"/>
                <w:sz w:val="13"/>
              </w:rPr>
              <w:t> </w:t>
            </w:r>
            <w:r>
              <w:rPr>
                <w:rFonts w:ascii="Arial Narrow" w:hAnsi="Arial Narrow"/>
                <w:w w:val="155"/>
                <w:sz w:val="13"/>
              </w:rPr>
              <w:t>de</w:t>
            </w:r>
            <w:r>
              <w:rPr>
                <w:rFonts w:ascii="Arial Narrow" w:hAnsi="Arial Narrow"/>
                <w:spacing w:val="8"/>
                <w:w w:val="155"/>
                <w:sz w:val="13"/>
              </w:rPr>
              <w:t> </w:t>
            </w:r>
            <w:r>
              <w:rPr>
                <w:rFonts w:ascii="Arial Narrow" w:hAnsi="Arial Narrow"/>
                <w:spacing w:val="-2"/>
                <w:w w:val="155"/>
                <w:sz w:val="13"/>
              </w:rPr>
              <w:t>presentación.</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16</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9" w:lineRule="exact" w:before="9"/>
              <w:ind w:left="39"/>
              <w:rPr>
                <w:rFonts w:ascii="Arial Narrow" w:hAnsi="Arial Narrow"/>
                <w:sz w:val="13"/>
              </w:rPr>
            </w:pPr>
            <w:r>
              <w:rPr>
                <w:rFonts w:ascii="Arial Narrow" w:hAnsi="Arial Narrow"/>
                <w:w w:val="155"/>
                <w:sz w:val="13"/>
              </w:rPr>
              <w:t>Propiedades de</w:t>
            </w:r>
            <w:r>
              <w:rPr>
                <w:rFonts w:ascii="Arial Narrow" w:hAnsi="Arial Narrow"/>
                <w:spacing w:val="7"/>
                <w:w w:val="155"/>
                <w:sz w:val="13"/>
              </w:rPr>
              <w:t> </w:t>
            </w:r>
            <w:r>
              <w:rPr>
                <w:rFonts w:ascii="Arial Narrow" w:hAnsi="Arial Narrow"/>
                <w:spacing w:val="-2"/>
                <w:w w:val="155"/>
                <w:sz w:val="13"/>
              </w:rPr>
              <w:t>Inversión</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9" w:lineRule="exact" w:before="9"/>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9" w:lineRule="exact" w:before="9"/>
              <w:ind w:left="54" w:right="4"/>
              <w:jc w:val="center"/>
              <w:rPr>
                <w:rFonts w:ascii="Arial Narrow"/>
                <w:sz w:val="13"/>
              </w:rPr>
            </w:pPr>
            <w:r>
              <w:rPr>
                <w:rFonts w:ascii="Arial Narrow"/>
                <w:spacing w:val="-4"/>
                <w:w w:val="155"/>
                <w:sz w:val="13"/>
              </w:rPr>
              <w:t>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17</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sz w:val="13"/>
              </w:rPr>
            </w:pPr>
            <w:r>
              <w:rPr>
                <w:rFonts w:ascii="Arial Narrow"/>
                <w:w w:val="155"/>
                <w:sz w:val="13"/>
              </w:rPr>
              <w:t>Propiedad,</w:t>
            </w:r>
            <w:r>
              <w:rPr>
                <w:rFonts w:ascii="Arial Narrow"/>
                <w:spacing w:val="-7"/>
                <w:w w:val="155"/>
                <w:sz w:val="13"/>
              </w:rPr>
              <w:t> </w:t>
            </w:r>
            <w:r>
              <w:rPr>
                <w:rFonts w:ascii="Arial Narrow"/>
                <w:w w:val="155"/>
                <w:sz w:val="13"/>
              </w:rPr>
              <w:t>Planta</w:t>
            </w:r>
            <w:r>
              <w:rPr>
                <w:rFonts w:ascii="Arial Narrow"/>
                <w:spacing w:val="4"/>
                <w:w w:val="155"/>
                <w:sz w:val="13"/>
              </w:rPr>
              <w:t> </w:t>
            </w:r>
            <w:r>
              <w:rPr>
                <w:rFonts w:ascii="Arial Narrow"/>
                <w:w w:val="155"/>
                <w:sz w:val="13"/>
              </w:rPr>
              <w:t>y</w:t>
            </w:r>
            <w:r>
              <w:rPr>
                <w:rFonts w:ascii="Arial Narrow"/>
                <w:spacing w:val="-18"/>
                <w:w w:val="155"/>
                <w:sz w:val="13"/>
              </w:rPr>
              <w:t> </w:t>
            </w:r>
            <w:r>
              <w:rPr>
                <w:rFonts w:ascii="Arial Narrow"/>
                <w:spacing w:val="-2"/>
                <w:w w:val="155"/>
                <w:sz w:val="13"/>
              </w:rPr>
              <w:t>Equipo</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18</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hAnsi="Arial Narrow"/>
                <w:sz w:val="13"/>
              </w:rPr>
            </w:pPr>
            <w:r>
              <w:rPr>
                <w:rFonts w:ascii="Arial Narrow" w:hAnsi="Arial Narrow"/>
                <w:w w:val="155"/>
                <w:sz w:val="13"/>
              </w:rPr>
              <w:t>Información</w:t>
            </w:r>
            <w:r>
              <w:rPr>
                <w:rFonts w:ascii="Arial Narrow" w:hAnsi="Arial Narrow"/>
                <w:spacing w:val="19"/>
                <w:w w:val="155"/>
                <w:sz w:val="13"/>
              </w:rPr>
              <w:t> </w:t>
            </w:r>
            <w:r>
              <w:rPr>
                <w:rFonts w:ascii="Arial Narrow" w:hAnsi="Arial Narrow"/>
                <w:w w:val="155"/>
                <w:sz w:val="13"/>
              </w:rPr>
              <w:t>Financiera</w:t>
            </w:r>
            <w:r>
              <w:rPr>
                <w:rFonts w:ascii="Arial Narrow" w:hAnsi="Arial Narrow"/>
                <w:spacing w:val="19"/>
                <w:w w:val="155"/>
                <w:sz w:val="13"/>
              </w:rPr>
              <w:t> </w:t>
            </w:r>
            <w:r>
              <w:rPr>
                <w:rFonts w:ascii="Arial Narrow" w:hAnsi="Arial Narrow"/>
                <w:w w:val="155"/>
                <w:sz w:val="13"/>
              </w:rPr>
              <w:t>por</w:t>
            </w:r>
            <w:r>
              <w:rPr>
                <w:rFonts w:ascii="Arial Narrow" w:hAnsi="Arial Narrow"/>
                <w:spacing w:val="13"/>
                <w:w w:val="155"/>
                <w:sz w:val="13"/>
              </w:rPr>
              <w:t> </w:t>
            </w:r>
            <w:r>
              <w:rPr>
                <w:rFonts w:ascii="Arial Narrow" w:hAnsi="Arial Narrow"/>
                <w:spacing w:val="-2"/>
                <w:w w:val="155"/>
                <w:sz w:val="13"/>
              </w:rPr>
              <w:t>Segmentos</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19</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sz w:val="13"/>
              </w:rPr>
            </w:pPr>
            <w:r>
              <w:rPr>
                <w:rFonts w:ascii="Arial Narrow"/>
                <w:spacing w:val="-2"/>
                <w:w w:val="155"/>
                <w:sz w:val="13"/>
              </w:rPr>
              <w:t>Provisiones,</w:t>
            </w:r>
            <w:r>
              <w:rPr>
                <w:rFonts w:ascii="Arial Narrow"/>
                <w:spacing w:val="2"/>
                <w:w w:val="155"/>
                <w:sz w:val="13"/>
              </w:rPr>
              <w:t> </w:t>
            </w:r>
            <w:r>
              <w:rPr>
                <w:rFonts w:ascii="Arial Narrow"/>
                <w:spacing w:val="-2"/>
                <w:w w:val="155"/>
                <w:sz w:val="13"/>
              </w:rPr>
              <w:t>Pasivos</w:t>
            </w:r>
            <w:r>
              <w:rPr>
                <w:rFonts w:ascii="Arial Narrow"/>
                <w:spacing w:val="6"/>
                <w:w w:val="155"/>
                <w:sz w:val="13"/>
              </w:rPr>
              <w:t> </w:t>
            </w:r>
            <w:r>
              <w:rPr>
                <w:rFonts w:ascii="Arial Narrow"/>
                <w:spacing w:val="-2"/>
                <w:w w:val="155"/>
                <w:sz w:val="13"/>
              </w:rPr>
              <w:t>contingentes</w:t>
            </w:r>
            <w:r>
              <w:rPr>
                <w:rFonts w:ascii="Arial Narrow"/>
                <w:spacing w:val="6"/>
                <w:w w:val="155"/>
                <w:sz w:val="13"/>
              </w:rPr>
              <w:t> </w:t>
            </w:r>
            <w:r>
              <w:rPr>
                <w:rFonts w:ascii="Arial Narrow"/>
                <w:spacing w:val="-2"/>
                <w:w w:val="155"/>
                <w:sz w:val="13"/>
              </w:rPr>
              <w:t>y</w:t>
            </w:r>
            <w:r>
              <w:rPr>
                <w:rFonts w:ascii="Arial Narrow"/>
                <w:spacing w:val="-12"/>
                <w:w w:val="155"/>
                <w:sz w:val="13"/>
              </w:rPr>
              <w:t> </w:t>
            </w:r>
            <w:r>
              <w:rPr>
                <w:rFonts w:ascii="Arial Narrow"/>
                <w:spacing w:val="-2"/>
                <w:w w:val="155"/>
                <w:sz w:val="13"/>
              </w:rPr>
              <w:t>Activos</w:t>
            </w:r>
            <w:r>
              <w:rPr>
                <w:rFonts w:ascii="Arial Narrow"/>
                <w:spacing w:val="6"/>
                <w:w w:val="155"/>
                <w:sz w:val="13"/>
              </w:rPr>
              <w:t> </w:t>
            </w:r>
            <w:r>
              <w:rPr>
                <w:rFonts w:ascii="Arial Narrow"/>
                <w:spacing w:val="-2"/>
                <w:w w:val="155"/>
                <w:sz w:val="13"/>
              </w:rPr>
              <w:t>Contingentes</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20</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9" w:lineRule="exact" w:before="9"/>
              <w:ind w:left="39"/>
              <w:rPr>
                <w:rFonts w:ascii="Arial Narrow" w:hAnsi="Arial Narrow"/>
                <w:sz w:val="13"/>
              </w:rPr>
            </w:pPr>
            <w:r>
              <w:rPr>
                <w:rFonts w:ascii="Arial Narrow" w:hAnsi="Arial Narrow"/>
                <w:w w:val="155"/>
                <w:sz w:val="13"/>
              </w:rPr>
              <w:t>Información</w:t>
            </w:r>
            <w:r>
              <w:rPr>
                <w:rFonts w:ascii="Arial Narrow" w:hAnsi="Arial Narrow"/>
                <w:spacing w:val="2"/>
                <w:w w:val="155"/>
                <w:sz w:val="13"/>
              </w:rPr>
              <w:t> </w:t>
            </w:r>
            <w:r>
              <w:rPr>
                <w:rFonts w:ascii="Arial Narrow" w:hAnsi="Arial Narrow"/>
                <w:w w:val="155"/>
                <w:sz w:val="13"/>
              </w:rPr>
              <w:t>a</w:t>
            </w:r>
            <w:r>
              <w:rPr>
                <w:rFonts w:ascii="Arial Narrow" w:hAnsi="Arial Narrow"/>
                <w:spacing w:val="3"/>
                <w:w w:val="155"/>
                <w:sz w:val="13"/>
              </w:rPr>
              <w:t> </w:t>
            </w:r>
            <w:r>
              <w:rPr>
                <w:rFonts w:ascii="Arial Narrow" w:hAnsi="Arial Narrow"/>
                <w:w w:val="155"/>
                <w:sz w:val="13"/>
              </w:rPr>
              <w:t>Revelar</w:t>
            </w:r>
            <w:r>
              <w:rPr>
                <w:rFonts w:ascii="Arial Narrow" w:hAnsi="Arial Narrow"/>
                <w:spacing w:val="-2"/>
                <w:w w:val="155"/>
                <w:sz w:val="13"/>
              </w:rPr>
              <w:t> </w:t>
            </w:r>
            <w:r>
              <w:rPr>
                <w:rFonts w:ascii="Arial Narrow" w:hAnsi="Arial Narrow"/>
                <w:w w:val="155"/>
                <w:sz w:val="13"/>
              </w:rPr>
              <w:t>sobre</w:t>
            </w:r>
            <w:r>
              <w:rPr>
                <w:rFonts w:ascii="Arial Narrow" w:hAnsi="Arial Narrow"/>
                <w:spacing w:val="2"/>
                <w:w w:val="155"/>
                <w:sz w:val="13"/>
              </w:rPr>
              <w:t> </w:t>
            </w:r>
            <w:r>
              <w:rPr>
                <w:rFonts w:ascii="Arial Narrow" w:hAnsi="Arial Narrow"/>
                <w:w w:val="155"/>
                <w:sz w:val="13"/>
              </w:rPr>
              <w:t>partes</w:t>
            </w:r>
            <w:r>
              <w:rPr>
                <w:rFonts w:ascii="Arial Narrow" w:hAnsi="Arial Narrow"/>
                <w:spacing w:val="-3"/>
                <w:w w:val="155"/>
                <w:sz w:val="13"/>
              </w:rPr>
              <w:t> </w:t>
            </w:r>
            <w:r>
              <w:rPr>
                <w:rFonts w:ascii="Arial Narrow" w:hAnsi="Arial Narrow"/>
                <w:spacing w:val="-2"/>
                <w:w w:val="155"/>
                <w:sz w:val="13"/>
              </w:rPr>
              <w:t>relacionadas</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9"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9" w:lineRule="exact" w:before="9"/>
              <w:ind w:left="54" w:right="5"/>
              <w:jc w:val="center"/>
              <w:rPr>
                <w:rFonts w:ascii="Arial Narrow"/>
                <w:sz w:val="13"/>
              </w:rPr>
            </w:pPr>
            <w:r>
              <w:rPr>
                <w:rFonts w:ascii="Arial Narrow"/>
                <w:spacing w:val="-2"/>
                <w:w w:val="155"/>
                <w:sz w:val="13"/>
              </w:rPr>
              <w:t>100,00%</w:t>
            </w:r>
          </w:p>
        </w:tc>
      </w:tr>
      <w:tr>
        <w:trPr>
          <w:trHeight w:val="1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2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21</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39"/>
              <w:rPr>
                <w:rFonts w:ascii="Arial Narrow"/>
                <w:sz w:val="13"/>
              </w:rPr>
            </w:pPr>
            <w:r>
              <w:rPr>
                <w:rFonts w:ascii="Arial Narrow"/>
                <w:w w:val="155"/>
                <w:sz w:val="13"/>
              </w:rPr>
              <w:t>Deterioro</w:t>
            </w:r>
            <w:r>
              <w:rPr>
                <w:rFonts w:ascii="Arial Narrow"/>
                <w:spacing w:val="-2"/>
                <w:w w:val="155"/>
                <w:sz w:val="13"/>
              </w:rPr>
              <w:t> </w:t>
            </w:r>
            <w:r>
              <w:rPr>
                <w:rFonts w:ascii="Arial Narrow"/>
                <w:w w:val="155"/>
                <w:sz w:val="13"/>
              </w:rPr>
              <w:t>de</w:t>
            </w:r>
            <w:r>
              <w:rPr>
                <w:rFonts w:ascii="Arial Narrow"/>
                <w:spacing w:val="-2"/>
                <w:w w:val="155"/>
                <w:sz w:val="13"/>
              </w:rPr>
              <w:t> </w:t>
            </w:r>
            <w:r>
              <w:rPr>
                <w:rFonts w:ascii="Arial Narrow"/>
                <w:w w:val="155"/>
                <w:sz w:val="13"/>
              </w:rPr>
              <w:t>Valor</w:t>
            </w:r>
            <w:r>
              <w:rPr>
                <w:rFonts w:ascii="Arial Narrow"/>
                <w:spacing w:val="-6"/>
                <w:w w:val="155"/>
                <w:sz w:val="13"/>
              </w:rPr>
              <w:t> </w:t>
            </w:r>
            <w:r>
              <w:rPr>
                <w:rFonts w:ascii="Arial Narrow"/>
                <w:w w:val="155"/>
                <w:sz w:val="13"/>
              </w:rPr>
              <w:t>de</w:t>
            </w:r>
            <w:r>
              <w:rPr>
                <w:rFonts w:ascii="Arial Narrow"/>
                <w:spacing w:val="-2"/>
                <w:w w:val="155"/>
                <w:sz w:val="13"/>
              </w:rPr>
              <w:t> </w:t>
            </w:r>
            <w:r>
              <w:rPr>
                <w:rFonts w:ascii="Arial Narrow"/>
                <w:w w:val="155"/>
                <w:sz w:val="13"/>
              </w:rPr>
              <w:t>Activos</w:t>
            </w:r>
            <w:r>
              <w:rPr>
                <w:rFonts w:ascii="Arial Narrow"/>
                <w:spacing w:val="-7"/>
                <w:w w:val="155"/>
                <w:sz w:val="13"/>
              </w:rPr>
              <w:t> </w:t>
            </w:r>
            <w:r>
              <w:rPr>
                <w:rFonts w:ascii="Arial Narrow"/>
                <w:w w:val="155"/>
                <w:sz w:val="13"/>
              </w:rPr>
              <w:t>no</w:t>
            </w:r>
            <w:r>
              <w:rPr>
                <w:rFonts w:ascii="Arial Narrow"/>
                <w:spacing w:val="-2"/>
                <w:w w:val="155"/>
                <w:sz w:val="13"/>
              </w:rPr>
              <w:t> </w:t>
            </w:r>
            <w:r>
              <w:rPr>
                <w:rFonts w:ascii="Arial Narrow"/>
                <w:w w:val="155"/>
                <w:sz w:val="13"/>
              </w:rPr>
              <w:t>generadores</w:t>
            </w:r>
            <w:r>
              <w:rPr>
                <w:rFonts w:ascii="Arial Narrow"/>
                <w:spacing w:val="-7"/>
                <w:w w:val="155"/>
                <w:sz w:val="13"/>
              </w:rPr>
              <w:t> </w:t>
            </w:r>
            <w:r>
              <w:rPr>
                <w:rFonts w:ascii="Arial Narrow"/>
                <w:w w:val="155"/>
                <w:sz w:val="13"/>
              </w:rPr>
              <w:t>de</w:t>
            </w:r>
            <w:r>
              <w:rPr>
                <w:rFonts w:ascii="Arial Narrow"/>
                <w:spacing w:val="-2"/>
                <w:w w:val="155"/>
                <w:sz w:val="13"/>
              </w:rPr>
              <w:t> Efectivo</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9"/>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9"/>
              <w:ind w:left="54" w:right="5"/>
              <w:jc w:val="center"/>
              <w:rPr>
                <w:rFonts w:ascii="Arial Narrow"/>
                <w:sz w:val="13"/>
              </w:rPr>
            </w:pPr>
            <w:r>
              <w:rPr>
                <w:rFonts w:ascii="Arial Narrow"/>
                <w:spacing w:val="-2"/>
                <w:w w:val="155"/>
                <w:sz w:val="13"/>
              </w:rPr>
              <w:t>100,00%</w:t>
            </w:r>
          </w:p>
        </w:tc>
      </w:tr>
      <w:tr>
        <w:trPr>
          <w:trHeight w:val="270"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80"/>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22</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24" w:lineRule="exact"/>
              <w:ind w:left="39"/>
              <w:rPr>
                <w:rFonts w:ascii="Arial Narrow" w:hAnsi="Arial Narrow"/>
                <w:sz w:val="13"/>
              </w:rPr>
            </w:pPr>
            <w:r>
              <w:rPr>
                <w:rFonts w:ascii="Arial Narrow" w:hAnsi="Arial Narrow"/>
                <w:w w:val="155"/>
                <w:sz w:val="13"/>
              </w:rPr>
              <w:t>Revelación</w:t>
            </w:r>
            <w:r>
              <w:rPr>
                <w:rFonts w:ascii="Arial Narrow" w:hAnsi="Arial Narrow"/>
                <w:spacing w:val="24"/>
                <w:w w:val="155"/>
                <w:sz w:val="13"/>
              </w:rPr>
              <w:t>  </w:t>
            </w:r>
            <w:r>
              <w:rPr>
                <w:rFonts w:ascii="Arial Narrow" w:hAnsi="Arial Narrow"/>
                <w:w w:val="155"/>
                <w:sz w:val="13"/>
              </w:rPr>
              <w:t>de</w:t>
            </w:r>
            <w:r>
              <w:rPr>
                <w:rFonts w:ascii="Arial Narrow" w:hAnsi="Arial Narrow"/>
                <w:spacing w:val="24"/>
                <w:w w:val="155"/>
                <w:sz w:val="13"/>
              </w:rPr>
              <w:t>  </w:t>
            </w:r>
            <w:r>
              <w:rPr>
                <w:rFonts w:ascii="Arial Narrow" w:hAnsi="Arial Narrow"/>
                <w:w w:val="155"/>
                <w:sz w:val="13"/>
              </w:rPr>
              <w:t>Información</w:t>
            </w:r>
            <w:r>
              <w:rPr>
                <w:rFonts w:ascii="Arial Narrow" w:hAnsi="Arial Narrow"/>
                <w:spacing w:val="24"/>
                <w:w w:val="155"/>
                <w:sz w:val="13"/>
              </w:rPr>
              <w:t>  </w:t>
            </w:r>
            <w:r>
              <w:rPr>
                <w:rFonts w:ascii="Arial Narrow" w:hAnsi="Arial Narrow"/>
                <w:w w:val="155"/>
                <w:sz w:val="13"/>
              </w:rPr>
              <w:t>Financiera</w:t>
            </w:r>
            <w:r>
              <w:rPr>
                <w:rFonts w:ascii="Arial Narrow" w:hAnsi="Arial Narrow"/>
                <w:spacing w:val="24"/>
                <w:w w:val="155"/>
                <w:sz w:val="13"/>
              </w:rPr>
              <w:t>  </w:t>
            </w:r>
            <w:r>
              <w:rPr>
                <w:rFonts w:ascii="Arial Narrow" w:hAnsi="Arial Narrow"/>
                <w:w w:val="155"/>
                <w:sz w:val="13"/>
              </w:rPr>
              <w:t>sobre</w:t>
            </w:r>
            <w:r>
              <w:rPr>
                <w:rFonts w:ascii="Arial Narrow" w:hAnsi="Arial Narrow"/>
                <w:spacing w:val="24"/>
                <w:w w:val="155"/>
                <w:sz w:val="13"/>
              </w:rPr>
              <w:t>  </w:t>
            </w:r>
            <w:r>
              <w:rPr>
                <w:rFonts w:ascii="Arial Narrow" w:hAnsi="Arial Narrow"/>
                <w:w w:val="155"/>
                <w:sz w:val="13"/>
              </w:rPr>
              <w:t>Sector</w:t>
            </w:r>
            <w:r>
              <w:rPr>
                <w:rFonts w:ascii="Arial Narrow" w:hAnsi="Arial Narrow"/>
                <w:spacing w:val="22"/>
                <w:w w:val="155"/>
                <w:sz w:val="13"/>
              </w:rPr>
              <w:t>  </w:t>
            </w:r>
            <w:r>
              <w:rPr>
                <w:rFonts w:ascii="Arial Narrow" w:hAnsi="Arial Narrow"/>
                <w:spacing w:val="-2"/>
                <w:w w:val="155"/>
                <w:sz w:val="13"/>
              </w:rPr>
              <w:t>Gobierno</w:t>
            </w:r>
          </w:p>
          <w:p>
            <w:pPr>
              <w:pStyle w:val="TableParagraph"/>
              <w:spacing w:line="87" w:lineRule="exact" w:before="39"/>
              <w:ind w:left="39"/>
              <w:rPr>
                <w:rFonts w:ascii="Arial Narrow"/>
                <w:sz w:val="13"/>
              </w:rPr>
            </w:pPr>
            <w:r>
              <w:rPr>
                <w:rFonts w:ascii="Arial Narrow"/>
                <w:spacing w:val="-2"/>
                <w:w w:val="155"/>
                <w:sz w:val="13"/>
              </w:rPr>
              <w:t>General</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line="138" w:lineRule="exact" w:before="112"/>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38" w:lineRule="exact" w:before="112"/>
              <w:ind w:left="54" w:right="4"/>
              <w:jc w:val="center"/>
              <w:rPr>
                <w:rFonts w:ascii="Arial Narrow"/>
                <w:sz w:val="13"/>
              </w:rPr>
            </w:pPr>
            <w:r>
              <w:rPr>
                <w:rFonts w:ascii="Arial Narrow"/>
                <w:spacing w:val="-4"/>
                <w:w w:val="155"/>
                <w:sz w:val="13"/>
              </w:rPr>
              <w:t>0,00%</w:t>
            </w:r>
          </w:p>
        </w:tc>
      </w:tr>
      <w:tr>
        <w:trPr>
          <w:trHeight w:val="35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9"/>
              <w:rPr>
                <w:sz w:val="10"/>
              </w:rPr>
            </w:pPr>
          </w:p>
          <w:p>
            <w:pPr>
              <w:pStyle w:val="TableParagraph"/>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23</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before="9"/>
              <w:ind w:left="39" w:right="-15"/>
              <w:rPr>
                <w:rFonts w:ascii="Arial Narrow"/>
                <w:sz w:val="13"/>
              </w:rPr>
            </w:pPr>
            <w:r>
              <w:rPr>
                <w:rFonts w:ascii="Arial Narrow"/>
                <w:w w:val="155"/>
                <w:sz w:val="13"/>
              </w:rPr>
              <w:t>Ingresos</w:t>
            </w:r>
            <w:r>
              <w:rPr>
                <w:rFonts w:ascii="Arial Narrow"/>
                <w:spacing w:val="26"/>
                <w:w w:val="155"/>
                <w:sz w:val="13"/>
              </w:rPr>
              <w:t> </w:t>
            </w:r>
            <w:r>
              <w:rPr>
                <w:rFonts w:ascii="Arial Narrow"/>
                <w:w w:val="155"/>
                <w:sz w:val="13"/>
              </w:rPr>
              <w:t>ordinarios</w:t>
            </w:r>
            <w:r>
              <w:rPr>
                <w:rFonts w:ascii="Arial Narrow"/>
                <w:spacing w:val="28"/>
                <w:w w:val="155"/>
                <w:sz w:val="13"/>
              </w:rPr>
              <w:t> </w:t>
            </w:r>
            <w:r>
              <w:rPr>
                <w:rFonts w:ascii="Arial Narrow"/>
                <w:w w:val="155"/>
                <w:sz w:val="13"/>
              </w:rPr>
              <w:t>provenientes</w:t>
            </w:r>
            <w:r>
              <w:rPr>
                <w:rFonts w:ascii="Arial Narrow"/>
                <w:spacing w:val="29"/>
                <w:w w:val="155"/>
                <w:sz w:val="13"/>
              </w:rPr>
              <w:t> </w:t>
            </w:r>
            <w:r>
              <w:rPr>
                <w:rFonts w:ascii="Arial Narrow"/>
                <w:w w:val="155"/>
                <w:sz w:val="13"/>
              </w:rPr>
              <w:t>de</w:t>
            </w:r>
            <w:r>
              <w:rPr>
                <w:rFonts w:ascii="Arial Narrow"/>
                <w:spacing w:val="31"/>
                <w:w w:val="155"/>
                <w:sz w:val="13"/>
              </w:rPr>
              <w:t> </w:t>
            </w:r>
            <w:r>
              <w:rPr>
                <w:rFonts w:ascii="Arial Narrow"/>
                <w:w w:val="155"/>
                <w:sz w:val="13"/>
              </w:rPr>
              <w:t>transacciones</w:t>
            </w:r>
            <w:r>
              <w:rPr>
                <w:rFonts w:ascii="Arial Narrow"/>
                <w:spacing w:val="44"/>
                <w:w w:val="155"/>
                <w:sz w:val="13"/>
              </w:rPr>
              <w:t> </w:t>
            </w:r>
            <w:r>
              <w:rPr>
                <w:rFonts w:ascii="Arial Narrow"/>
                <w:w w:val="155"/>
                <w:sz w:val="13"/>
              </w:rPr>
              <w:t>que</w:t>
            </w:r>
            <w:r>
              <w:rPr>
                <w:rFonts w:ascii="Arial Narrow"/>
                <w:spacing w:val="32"/>
                <w:w w:val="155"/>
                <w:sz w:val="13"/>
              </w:rPr>
              <w:t> </w:t>
            </w:r>
            <w:r>
              <w:rPr>
                <w:rFonts w:ascii="Arial Narrow"/>
                <w:w w:val="155"/>
                <w:sz w:val="13"/>
              </w:rPr>
              <w:t>no</w:t>
            </w:r>
            <w:r>
              <w:rPr>
                <w:rFonts w:ascii="Arial Narrow"/>
                <w:spacing w:val="45"/>
                <w:w w:val="155"/>
                <w:sz w:val="13"/>
              </w:rPr>
              <w:t> </w:t>
            </w:r>
            <w:r>
              <w:rPr>
                <w:rFonts w:ascii="Arial Narrow"/>
                <w:w w:val="155"/>
                <w:sz w:val="13"/>
              </w:rPr>
              <w:t>son</w:t>
            </w:r>
            <w:r>
              <w:rPr>
                <w:rFonts w:ascii="Arial Narrow"/>
                <w:spacing w:val="32"/>
                <w:w w:val="155"/>
                <w:sz w:val="13"/>
              </w:rPr>
              <w:t> </w:t>
            </w:r>
            <w:r>
              <w:rPr>
                <w:rFonts w:ascii="Arial Narrow"/>
                <w:spacing w:val="-5"/>
                <w:w w:val="155"/>
                <w:sz w:val="13"/>
              </w:rPr>
              <w:t>de</w:t>
            </w:r>
          </w:p>
          <w:p>
            <w:pPr>
              <w:pStyle w:val="TableParagraph"/>
              <w:spacing w:line="138" w:lineRule="exact" w:before="40"/>
              <w:ind w:left="39"/>
              <w:rPr>
                <w:rFonts w:ascii="Arial Narrow"/>
                <w:sz w:val="13"/>
              </w:rPr>
            </w:pPr>
            <w:r>
              <w:rPr>
                <w:rFonts w:ascii="Arial Narrow"/>
                <w:w w:val="155"/>
                <w:sz w:val="13"/>
              </w:rPr>
              <w:t>intercambio</w:t>
            </w:r>
            <w:r>
              <w:rPr>
                <w:rFonts w:ascii="Arial Narrow"/>
                <w:spacing w:val="14"/>
                <w:w w:val="155"/>
                <w:sz w:val="13"/>
              </w:rPr>
              <w:t> </w:t>
            </w:r>
            <w:r>
              <w:rPr>
                <w:rFonts w:ascii="Arial Narrow"/>
                <w:w w:val="155"/>
                <w:sz w:val="13"/>
              </w:rPr>
              <w:t>(Impuestos</w:t>
            </w:r>
            <w:r>
              <w:rPr>
                <w:rFonts w:ascii="Arial Narrow"/>
                <w:spacing w:val="7"/>
                <w:w w:val="155"/>
                <w:sz w:val="13"/>
              </w:rPr>
              <w:t> </w:t>
            </w:r>
            <w:r>
              <w:rPr>
                <w:rFonts w:ascii="Arial Narrow"/>
                <w:w w:val="155"/>
                <w:sz w:val="13"/>
              </w:rPr>
              <w:t>y</w:t>
            </w:r>
            <w:r>
              <w:rPr>
                <w:rFonts w:ascii="Arial Narrow"/>
                <w:spacing w:val="-12"/>
                <w:w w:val="155"/>
                <w:sz w:val="13"/>
              </w:rPr>
              <w:t> </w:t>
            </w:r>
            <w:r>
              <w:rPr>
                <w:rFonts w:ascii="Arial Narrow"/>
                <w:spacing w:val="-2"/>
                <w:w w:val="155"/>
                <w:sz w:val="13"/>
              </w:rPr>
              <w:t>transferencias)</w:t>
            </w:r>
          </w:p>
        </w:tc>
        <w:tc>
          <w:tcPr>
            <w:tcW w:w="1103" w:type="dxa"/>
            <w:tcBorders>
              <w:top w:val="single" w:sz="12" w:space="0" w:color="000000"/>
              <w:left w:val="single" w:sz="12" w:space="0" w:color="000000"/>
              <w:bottom w:val="single" w:sz="12" w:space="0" w:color="000000"/>
              <w:right w:val="single" w:sz="12" w:space="0" w:color="000000"/>
            </w:tcBorders>
          </w:tcPr>
          <w:p>
            <w:pPr>
              <w:pStyle w:val="TableParagraph"/>
              <w:spacing w:before="50"/>
              <w:rPr>
                <w:sz w:val="13"/>
              </w:rPr>
            </w:pPr>
          </w:p>
          <w:p>
            <w:pPr>
              <w:pStyle w:val="TableParagraph"/>
              <w:spacing w:line="138" w:lineRule="exact"/>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before="50"/>
              <w:rPr>
                <w:sz w:val="13"/>
              </w:rPr>
            </w:pPr>
          </w:p>
          <w:p>
            <w:pPr>
              <w:pStyle w:val="TableParagraph"/>
              <w:spacing w:line="138" w:lineRule="exact"/>
              <w:ind w:left="54" w:right="5"/>
              <w:jc w:val="center"/>
              <w:rPr>
                <w:rFonts w:ascii="Arial Narrow"/>
                <w:sz w:val="13"/>
              </w:rPr>
            </w:pPr>
            <w:r>
              <w:rPr>
                <w:rFonts w:ascii="Arial Narrow"/>
                <w:spacing w:val="-2"/>
                <w:w w:val="155"/>
                <w:sz w:val="13"/>
              </w:rPr>
              <w:t>100,00%</w:t>
            </w:r>
          </w:p>
        </w:tc>
      </w:tr>
      <w:tr>
        <w:trPr>
          <w:trHeight w:val="284"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89"/>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24</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24" w:lineRule="exact"/>
              <w:ind w:left="39" w:right="-15"/>
              <w:rPr>
                <w:rFonts w:ascii="Arial Narrow" w:hAnsi="Arial Narrow"/>
                <w:sz w:val="13"/>
              </w:rPr>
            </w:pPr>
            <w:r>
              <w:rPr>
                <w:rFonts w:ascii="Arial Narrow" w:hAnsi="Arial Narrow"/>
                <w:w w:val="155"/>
                <w:sz w:val="13"/>
              </w:rPr>
              <w:t>Presentación</w:t>
            </w:r>
            <w:r>
              <w:rPr>
                <w:rFonts w:ascii="Arial Narrow" w:hAnsi="Arial Narrow"/>
                <w:spacing w:val="21"/>
                <w:w w:val="155"/>
                <w:sz w:val="13"/>
              </w:rPr>
              <w:t>  </w:t>
            </w:r>
            <w:r>
              <w:rPr>
                <w:rFonts w:ascii="Arial Narrow" w:hAnsi="Arial Narrow"/>
                <w:w w:val="155"/>
                <w:sz w:val="13"/>
              </w:rPr>
              <w:t>de</w:t>
            </w:r>
            <w:r>
              <w:rPr>
                <w:rFonts w:ascii="Arial Narrow" w:hAnsi="Arial Narrow"/>
                <w:spacing w:val="20"/>
                <w:w w:val="155"/>
                <w:sz w:val="13"/>
              </w:rPr>
              <w:t>  </w:t>
            </w:r>
            <w:r>
              <w:rPr>
                <w:rFonts w:ascii="Arial Narrow" w:hAnsi="Arial Narrow"/>
                <w:w w:val="155"/>
                <w:sz w:val="13"/>
              </w:rPr>
              <w:t>Información</w:t>
            </w:r>
            <w:r>
              <w:rPr>
                <w:rFonts w:ascii="Arial Narrow" w:hAnsi="Arial Narrow"/>
                <w:spacing w:val="21"/>
                <w:w w:val="155"/>
                <w:sz w:val="13"/>
              </w:rPr>
              <w:t>  </w:t>
            </w:r>
            <w:r>
              <w:rPr>
                <w:rFonts w:ascii="Arial Narrow" w:hAnsi="Arial Narrow"/>
                <w:w w:val="155"/>
                <w:sz w:val="13"/>
              </w:rPr>
              <w:t>del</w:t>
            </w:r>
            <w:r>
              <w:rPr>
                <w:rFonts w:ascii="Arial Narrow" w:hAnsi="Arial Narrow"/>
                <w:spacing w:val="21"/>
                <w:w w:val="155"/>
                <w:sz w:val="13"/>
              </w:rPr>
              <w:t>  </w:t>
            </w:r>
            <w:r>
              <w:rPr>
                <w:rFonts w:ascii="Arial Narrow" w:hAnsi="Arial Narrow"/>
                <w:w w:val="155"/>
                <w:sz w:val="13"/>
              </w:rPr>
              <w:t>presupuesto</w:t>
            </w:r>
            <w:r>
              <w:rPr>
                <w:rFonts w:ascii="Arial Narrow" w:hAnsi="Arial Narrow"/>
                <w:spacing w:val="22"/>
                <w:w w:val="155"/>
                <w:sz w:val="13"/>
              </w:rPr>
              <w:t>  </w:t>
            </w:r>
            <w:r>
              <w:rPr>
                <w:rFonts w:ascii="Arial Narrow" w:hAnsi="Arial Narrow"/>
                <w:w w:val="155"/>
                <w:sz w:val="13"/>
              </w:rPr>
              <w:t>en</w:t>
            </w:r>
            <w:r>
              <w:rPr>
                <w:rFonts w:ascii="Arial Narrow" w:hAnsi="Arial Narrow"/>
                <w:spacing w:val="20"/>
                <w:w w:val="155"/>
                <w:sz w:val="13"/>
              </w:rPr>
              <w:t>  </w:t>
            </w:r>
            <w:r>
              <w:rPr>
                <w:rFonts w:ascii="Arial Narrow" w:hAnsi="Arial Narrow"/>
                <w:w w:val="155"/>
                <w:sz w:val="13"/>
              </w:rPr>
              <w:t>los</w:t>
            </w:r>
            <w:r>
              <w:rPr>
                <w:rFonts w:ascii="Arial Narrow" w:hAnsi="Arial Narrow"/>
                <w:spacing w:val="18"/>
                <w:w w:val="155"/>
                <w:sz w:val="13"/>
              </w:rPr>
              <w:t>  </w:t>
            </w:r>
            <w:r>
              <w:rPr>
                <w:rFonts w:ascii="Arial Narrow" w:hAnsi="Arial Narrow"/>
                <w:spacing w:val="-2"/>
                <w:w w:val="155"/>
                <w:sz w:val="13"/>
              </w:rPr>
              <w:t>Estados</w:t>
            </w:r>
          </w:p>
          <w:p>
            <w:pPr>
              <w:pStyle w:val="TableParagraph"/>
              <w:spacing w:line="100" w:lineRule="exact" w:before="40"/>
              <w:ind w:left="39"/>
              <w:rPr>
                <w:rFonts w:ascii="Arial Narrow"/>
                <w:sz w:val="13"/>
              </w:rPr>
            </w:pPr>
            <w:r>
              <w:rPr>
                <w:rFonts w:ascii="Arial Narrow"/>
                <w:spacing w:val="-2"/>
                <w:w w:val="155"/>
                <w:sz w:val="13"/>
              </w:rPr>
              <w:t>Financieros</w:t>
            </w:r>
          </w:p>
        </w:tc>
        <w:tc>
          <w:tcPr>
            <w:tcW w:w="1103" w:type="dxa"/>
            <w:tcBorders>
              <w:top w:val="single" w:sz="12" w:space="0" w:color="000000"/>
              <w:left w:val="single" w:sz="12" w:space="0" w:color="000000"/>
              <w:bottom w:val="single" w:sz="8" w:space="0" w:color="000000"/>
              <w:right w:val="single" w:sz="12" w:space="0" w:color="000000"/>
            </w:tcBorders>
          </w:tcPr>
          <w:p>
            <w:pPr>
              <w:pStyle w:val="TableParagraph"/>
              <w:spacing w:line="143" w:lineRule="exact" w:before="121"/>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21"/>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26</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Deterioro</w:t>
            </w:r>
            <w:r>
              <w:rPr>
                <w:rFonts w:ascii="Arial Narrow"/>
                <w:spacing w:val="-2"/>
                <w:w w:val="155"/>
                <w:sz w:val="13"/>
              </w:rPr>
              <w:t> </w:t>
            </w:r>
            <w:r>
              <w:rPr>
                <w:rFonts w:ascii="Arial Narrow"/>
                <w:w w:val="155"/>
                <w:sz w:val="13"/>
              </w:rPr>
              <w:t>del</w:t>
            </w:r>
            <w:r>
              <w:rPr>
                <w:rFonts w:ascii="Arial Narrow"/>
                <w:spacing w:val="-1"/>
                <w:w w:val="155"/>
                <w:sz w:val="13"/>
              </w:rPr>
              <w:t> </w:t>
            </w:r>
            <w:r>
              <w:rPr>
                <w:rFonts w:ascii="Arial Narrow"/>
                <w:w w:val="155"/>
                <w:sz w:val="13"/>
              </w:rPr>
              <w:t>Valor</w:t>
            </w:r>
            <w:r>
              <w:rPr>
                <w:rFonts w:ascii="Arial Narrow"/>
                <w:spacing w:val="-6"/>
                <w:w w:val="155"/>
                <w:sz w:val="13"/>
              </w:rPr>
              <w:t> </w:t>
            </w:r>
            <w:r>
              <w:rPr>
                <w:rFonts w:ascii="Arial Narrow"/>
                <w:w w:val="155"/>
                <w:sz w:val="13"/>
              </w:rPr>
              <w:t>de</w:t>
            </w:r>
            <w:r>
              <w:rPr>
                <w:rFonts w:ascii="Arial Narrow"/>
                <w:spacing w:val="-2"/>
                <w:w w:val="155"/>
                <w:sz w:val="13"/>
              </w:rPr>
              <w:t> </w:t>
            </w:r>
            <w:r>
              <w:rPr>
                <w:rFonts w:ascii="Arial Narrow"/>
                <w:w w:val="155"/>
                <w:sz w:val="13"/>
              </w:rPr>
              <w:t>Activos</w:t>
            </w:r>
            <w:r>
              <w:rPr>
                <w:rFonts w:ascii="Arial Narrow"/>
                <w:spacing w:val="-7"/>
                <w:w w:val="155"/>
                <w:sz w:val="13"/>
              </w:rPr>
              <w:t> </w:t>
            </w:r>
            <w:r>
              <w:rPr>
                <w:rFonts w:ascii="Arial Narrow"/>
                <w:w w:val="155"/>
                <w:sz w:val="13"/>
              </w:rPr>
              <w:t>generadores</w:t>
            </w:r>
            <w:r>
              <w:rPr>
                <w:rFonts w:ascii="Arial Narrow"/>
                <w:spacing w:val="-8"/>
                <w:w w:val="155"/>
                <w:sz w:val="13"/>
              </w:rPr>
              <w:t> </w:t>
            </w:r>
            <w:r>
              <w:rPr>
                <w:rFonts w:ascii="Arial Narrow"/>
                <w:w w:val="155"/>
                <w:sz w:val="13"/>
              </w:rPr>
              <w:t>de</w:t>
            </w:r>
            <w:r>
              <w:rPr>
                <w:rFonts w:ascii="Arial Narrow"/>
                <w:spacing w:val="-1"/>
                <w:w w:val="155"/>
                <w:sz w:val="13"/>
              </w:rPr>
              <w:t> </w:t>
            </w:r>
            <w:r>
              <w:rPr>
                <w:rFonts w:ascii="Arial Narrow"/>
                <w:spacing w:val="-2"/>
                <w:w w:val="155"/>
                <w:sz w:val="13"/>
              </w:rPr>
              <w:t>efectivo</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27</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spacing w:val="-2"/>
                <w:w w:val="155"/>
                <w:sz w:val="13"/>
              </w:rPr>
              <w:t>Agricultura</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28</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Instrumentos</w:t>
            </w:r>
            <w:r>
              <w:rPr>
                <w:rFonts w:ascii="Arial Narrow" w:hAnsi="Arial Narrow"/>
                <w:spacing w:val="10"/>
                <w:w w:val="155"/>
                <w:sz w:val="13"/>
              </w:rPr>
              <w:t> </w:t>
            </w:r>
            <w:r>
              <w:rPr>
                <w:rFonts w:ascii="Arial Narrow" w:hAnsi="Arial Narrow"/>
                <w:w w:val="155"/>
                <w:sz w:val="13"/>
              </w:rPr>
              <w:t>Financieros-</w:t>
            </w:r>
            <w:r>
              <w:rPr>
                <w:rFonts w:ascii="Arial Narrow" w:hAnsi="Arial Narrow"/>
                <w:spacing w:val="13"/>
                <w:w w:val="155"/>
                <w:sz w:val="13"/>
              </w:rPr>
              <w:t> </w:t>
            </w:r>
            <w:r>
              <w:rPr>
                <w:rFonts w:ascii="Arial Narrow" w:hAnsi="Arial Narrow"/>
                <w:spacing w:val="-2"/>
                <w:w w:val="155"/>
                <w:sz w:val="13"/>
              </w:rPr>
              <w:t>Presentación</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29</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Instrumentos</w:t>
            </w:r>
            <w:r>
              <w:rPr>
                <w:rFonts w:ascii="Arial Narrow" w:hAnsi="Arial Narrow"/>
                <w:spacing w:val="16"/>
                <w:w w:val="155"/>
                <w:sz w:val="13"/>
              </w:rPr>
              <w:t> </w:t>
            </w:r>
            <w:r>
              <w:rPr>
                <w:rFonts w:ascii="Arial Narrow" w:hAnsi="Arial Narrow"/>
                <w:w w:val="155"/>
                <w:sz w:val="13"/>
              </w:rPr>
              <w:t>Financieros-</w:t>
            </w:r>
            <w:r>
              <w:rPr>
                <w:rFonts w:ascii="Arial Narrow" w:hAnsi="Arial Narrow"/>
                <w:spacing w:val="18"/>
                <w:w w:val="155"/>
                <w:sz w:val="13"/>
              </w:rPr>
              <w:t> </w:t>
            </w:r>
            <w:r>
              <w:rPr>
                <w:rFonts w:ascii="Arial Narrow" w:hAnsi="Arial Narrow"/>
                <w:w w:val="155"/>
                <w:sz w:val="13"/>
              </w:rPr>
              <w:t>Reconocimiento</w:t>
            </w:r>
            <w:r>
              <w:rPr>
                <w:rFonts w:ascii="Arial Narrow" w:hAnsi="Arial Narrow"/>
                <w:spacing w:val="25"/>
                <w:w w:val="155"/>
                <w:sz w:val="13"/>
              </w:rPr>
              <w:t> </w:t>
            </w:r>
            <w:r>
              <w:rPr>
                <w:rFonts w:ascii="Arial Narrow" w:hAnsi="Arial Narrow"/>
                <w:w w:val="155"/>
                <w:sz w:val="13"/>
              </w:rPr>
              <w:t>y</w:t>
            </w:r>
            <w:r>
              <w:rPr>
                <w:rFonts w:ascii="Arial Narrow" w:hAnsi="Arial Narrow"/>
                <w:spacing w:val="-5"/>
                <w:w w:val="155"/>
                <w:sz w:val="13"/>
              </w:rPr>
              <w:t> </w:t>
            </w:r>
            <w:r>
              <w:rPr>
                <w:rFonts w:ascii="Arial Narrow" w:hAnsi="Arial Narrow"/>
                <w:spacing w:val="-2"/>
                <w:w w:val="155"/>
                <w:sz w:val="13"/>
              </w:rPr>
              <w:t>Medición</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30</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Instrumentos</w:t>
            </w:r>
            <w:r>
              <w:rPr>
                <w:rFonts w:ascii="Arial Narrow" w:hAnsi="Arial Narrow"/>
                <w:spacing w:val="6"/>
                <w:w w:val="155"/>
                <w:sz w:val="13"/>
              </w:rPr>
              <w:t> </w:t>
            </w:r>
            <w:r>
              <w:rPr>
                <w:rFonts w:ascii="Arial Narrow" w:hAnsi="Arial Narrow"/>
                <w:w w:val="155"/>
                <w:sz w:val="13"/>
              </w:rPr>
              <w:t>Financieros-</w:t>
            </w:r>
            <w:r>
              <w:rPr>
                <w:rFonts w:ascii="Arial Narrow" w:hAnsi="Arial Narrow"/>
                <w:spacing w:val="9"/>
                <w:w w:val="155"/>
                <w:sz w:val="13"/>
              </w:rPr>
              <w:t> </w:t>
            </w:r>
            <w:r>
              <w:rPr>
                <w:rFonts w:ascii="Arial Narrow" w:hAnsi="Arial Narrow"/>
                <w:w w:val="155"/>
                <w:sz w:val="13"/>
              </w:rPr>
              <w:t>Información</w:t>
            </w:r>
            <w:r>
              <w:rPr>
                <w:rFonts w:ascii="Arial Narrow" w:hAnsi="Arial Narrow"/>
                <w:spacing w:val="14"/>
                <w:w w:val="155"/>
                <w:sz w:val="13"/>
              </w:rPr>
              <w:t> </w:t>
            </w:r>
            <w:r>
              <w:rPr>
                <w:rFonts w:ascii="Arial Narrow" w:hAnsi="Arial Narrow"/>
                <w:w w:val="155"/>
                <w:sz w:val="13"/>
              </w:rPr>
              <w:t>a</w:t>
            </w:r>
            <w:r>
              <w:rPr>
                <w:rFonts w:ascii="Arial Narrow" w:hAnsi="Arial Narrow"/>
                <w:spacing w:val="14"/>
                <w:w w:val="155"/>
                <w:sz w:val="13"/>
              </w:rPr>
              <w:t> </w:t>
            </w:r>
            <w:r>
              <w:rPr>
                <w:rFonts w:ascii="Arial Narrow" w:hAnsi="Arial Narrow"/>
                <w:spacing w:val="-2"/>
                <w:w w:val="155"/>
                <w:sz w:val="13"/>
              </w:rPr>
              <w:t>revelar</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31</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spacing w:val="-4"/>
                <w:w w:val="155"/>
                <w:sz w:val="13"/>
              </w:rPr>
              <w:t>Activos</w:t>
            </w:r>
            <w:r>
              <w:rPr>
                <w:rFonts w:ascii="Arial Narrow"/>
                <w:spacing w:val="2"/>
                <w:w w:val="155"/>
                <w:sz w:val="13"/>
              </w:rPr>
              <w:t> </w:t>
            </w:r>
            <w:r>
              <w:rPr>
                <w:rFonts w:ascii="Arial Narrow"/>
                <w:spacing w:val="-2"/>
                <w:w w:val="155"/>
                <w:sz w:val="13"/>
              </w:rPr>
              <w:t>Intangibles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32</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Acuerdos</w:t>
            </w:r>
            <w:r>
              <w:rPr>
                <w:rFonts w:ascii="Arial Narrow" w:hAnsi="Arial Narrow"/>
                <w:spacing w:val="1"/>
                <w:w w:val="155"/>
                <w:sz w:val="13"/>
              </w:rPr>
              <w:t> </w:t>
            </w:r>
            <w:r>
              <w:rPr>
                <w:rFonts w:ascii="Arial Narrow" w:hAnsi="Arial Narrow"/>
                <w:w w:val="155"/>
                <w:sz w:val="13"/>
              </w:rPr>
              <w:t>de</w:t>
            </w:r>
            <w:r>
              <w:rPr>
                <w:rFonts w:ascii="Arial Narrow" w:hAnsi="Arial Narrow"/>
                <w:spacing w:val="8"/>
                <w:w w:val="155"/>
                <w:sz w:val="13"/>
              </w:rPr>
              <w:t> </w:t>
            </w:r>
            <w:r>
              <w:rPr>
                <w:rFonts w:ascii="Arial Narrow" w:hAnsi="Arial Narrow"/>
                <w:w w:val="155"/>
                <w:sz w:val="13"/>
              </w:rPr>
              <w:t>servicio</w:t>
            </w:r>
            <w:r>
              <w:rPr>
                <w:rFonts w:ascii="Arial Narrow" w:hAnsi="Arial Narrow"/>
                <w:spacing w:val="8"/>
                <w:w w:val="155"/>
                <w:sz w:val="13"/>
              </w:rPr>
              <w:t> </w:t>
            </w:r>
            <w:r>
              <w:rPr>
                <w:rFonts w:ascii="Arial Narrow" w:hAnsi="Arial Narrow"/>
                <w:w w:val="155"/>
                <w:sz w:val="13"/>
              </w:rPr>
              <w:t>de</w:t>
            </w:r>
            <w:r>
              <w:rPr>
                <w:rFonts w:ascii="Arial Narrow" w:hAnsi="Arial Narrow"/>
                <w:spacing w:val="8"/>
                <w:w w:val="155"/>
                <w:sz w:val="13"/>
              </w:rPr>
              <w:t> </w:t>
            </w:r>
            <w:r>
              <w:rPr>
                <w:rFonts w:ascii="Arial Narrow" w:hAnsi="Arial Narrow"/>
                <w:w w:val="155"/>
                <w:sz w:val="13"/>
              </w:rPr>
              <w:t>concesión:</w:t>
            </w:r>
            <w:r>
              <w:rPr>
                <w:rFonts w:ascii="Arial Narrow" w:hAnsi="Arial Narrow"/>
                <w:spacing w:val="-2"/>
                <w:w w:val="155"/>
                <w:sz w:val="13"/>
              </w:rPr>
              <w:t> Otorgante</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36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14"/>
              <w:rPr>
                <w:sz w:val="10"/>
              </w:rPr>
            </w:pPr>
          </w:p>
          <w:p>
            <w:pPr>
              <w:pStyle w:val="TableParagraph"/>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33</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before="14"/>
              <w:ind w:left="39"/>
              <w:rPr>
                <w:rFonts w:ascii="Arial Narrow" w:hAnsi="Arial Narrow"/>
                <w:sz w:val="13"/>
              </w:rPr>
            </w:pPr>
            <w:r>
              <w:rPr>
                <w:rFonts w:ascii="Arial Narrow" w:hAnsi="Arial Narrow"/>
                <w:w w:val="155"/>
                <w:sz w:val="13"/>
              </w:rPr>
              <w:t>Adopción</w:t>
            </w:r>
            <w:r>
              <w:rPr>
                <w:rFonts w:ascii="Arial Narrow" w:hAnsi="Arial Narrow"/>
                <w:spacing w:val="22"/>
                <w:w w:val="155"/>
                <w:sz w:val="13"/>
              </w:rPr>
              <w:t> </w:t>
            </w:r>
            <w:r>
              <w:rPr>
                <w:rFonts w:ascii="Arial Narrow" w:hAnsi="Arial Narrow"/>
                <w:w w:val="155"/>
                <w:sz w:val="13"/>
              </w:rPr>
              <w:t>por</w:t>
            </w:r>
            <w:r>
              <w:rPr>
                <w:rFonts w:ascii="Arial Narrow" w:hAnsi="Arial Narrow"/>
                <w:spacing w:val="15"/>
                <w:w w:val="155"/>
                <w:sz w:val="13"/>
              </w:rPr>
              <w:t> </w:t>
            </w:r>
            <w:r>
              <w:rPr>
                <w:rFonts w:ascii="Arial Narrow" w:hAnsi="Arial Narrow"/>
                <w:w w:val="155"/>
                <w:sz w:val="13"/>
              </w:rPr>
              <w:t>primera</w:t>
            </w:r>
            <w:r>
              <w:rPr>
                <w:rFonts w:ascii="Arial Narrow" w:hAnsi="Arial Narrow"/>
                <w:spacing w:val="6"/>
                <w:w w:val="155"/>
                <w:sz w:val="13"/>
              </w:rPr>
              <w:t> </w:t>
            </w:r>
            <w:r>
              <w:rPr>
                <w:rFonts w:ascii="Arial Narrow" w:hAnsi="Arial Narrow"/>
                <w:w w:val="155"/>
                <w:sz w:val="13"/>
              </w:rPr>
              <w:t>vez</w:t>
            </w:r>
            <w:r>
              <w:rPr>
                <w:rFonts w:ascii="Arial Narrow" w:hAnsi="Arial Narrow"/>
                <w:spacing w:val="-1"/>
                <w:w w:val="155"/>
                <w:sz w:val="13"/>
              </w:rPr>
              <w:t> </w:t>
            </w:r>
            <w:r>
              <w:rPr>
                <w:rFonts w:ascii="Arial Narrow" w:hAnsi="Arial Narrow"/>
                <w:w w:val="155"/>
                <w:sz w:val="13"/>
              </w:rPr>
              <w:t>de</w:t>
            </w:r>
            <w:r>
              <w:rPr>
                <w:rFonts w:ascii="Arial Narrow" w:hAnsi="Arial Narrow"/>
                <w:spacing w:val="5"/>
                <w:w w:val="155"/>
                <w:sz w:val="13"/>
              </w:rPr>
              <w:t> </w:t>
            </w:r>
            <w:r>
              <w:rPr>
                <w:rFonts w:ascii="Arial Narrow" w:hAnsi="Arial Narrow"/>
                <w:w w:val="155"/>
                <w:sz w:val="13"/>
              </w:rPr>
              <w:t>las</w:t>
            </w:r>
            <w:r>
              <w:rPr>
                <w:rFonts w:ascii="Arial Narrow" w:hAnsi="Arial Narrow"/>
                <w:spacing w:val="15"/>
                <w:w w:val="155"/>
                <w:sz w:val="13"/>
              </w:rPr>
              <w:t> </w:t>
            </w:r>
            <w:r>
              <w:rPr>
                <w:rFonts w:ascii="Arial Narrow" w:hAnsi="Arial Narrow"/>
                <w:w w:val="155"/>
                <w:sz w:val="13"/>
              </w:rPr>
              <w:t>NICSP de</w:t>
            </w:r>
            <w:r>
              <w:rPr>
                <w:rFonts w:ascii="Arial Narrow" w:hAnsi="Arial Narrow"/>
                <w:spacing w:val="19"/>
                <w:w w:val="155"/>
                <w:sz w:val="13"/>
              </w:rPr>
              <w:t> </w:t>
            </w:r>
            <w:r>
              <w:rPr>
                <w:rFonts w:ascii="Arial Narrow" w:hAnsi="Arial Narrow"/>
                <w:w w:val="155"/>
                <w:sz w:val="13"/>
              </w:rPr>
              <w:t>base</w:t>
            </w:r>
            <w:r>
              <w:rPr>
                <w:rFonts w:ascii="Arial Narrow" w:hAnsi="Arial Narrow"/>
                <w:spacing w:val="5"/>
                <w:w w:val="155"/>
                <w:sz w:val="13"/>
              </w:rPr>
              <w:t> </w:t>
            </w:r>
            <w:r>
              <w:rPr>
                <w:rFonts w:ascii="Arial Narrow" w:hAnsi="Arial Narrow"/>
                <w:w w:val="155"/>
                <w:sz w:val="13"/>
              </w:rPr>
              <w:t>de</w:t>
            </w:r>
            <w:r>
              <w:rPr>
                <w:rFonts w:ascii="Arial Narrow" w:hAnsi="Arial Narrow"/>
                <w:spacing w:val="20"/>
                <w:w w:val="155"/>
                <w:sz w:val="13"/>
              </w:rPr>
              <w:t> </w:t>
            </w:r>
            <w:r>
              <w:rPr>
                <w:rFonts w:ascii="Arial Narrow" w:hAnsi="Arial Narrow"/>
                <w:w w:val="155"/>
                <w:sz w:val="13"/>
              </w:rPr>
              <w:t>acumulación</w:t>
            </w:r>
            <w:r>
              <w:rPr>
                <w:rFonts w:ascii="Arial Narrow" w:hAnsi="Arial Narrow"/>
                <w:spacing w:val="7"/>
                <w:w w:val="155"/>
                <w:sz w:val="13"/>
              </w:rPr>
              <w:t> </w:t>
            </w:r>
            <w:r>
              <w:rPr>
                <w:rFonts w:ascii="Arial Narrow" w:hAnsi="Arial Narrow"/>
                <w:spacing w:val="-5"/>
                <w:w w:val="155"/>
                <w:sz w:val="13"/>
              </w:rPr>
              <w:t>(o</w:t>
            </w:r>
          </w:p>
          <w:p>
            <w:pPr>
              <w:pStyle w:val="TableParagraph"/>
              <w:spacing w:line="144" w:lineRule="exact" w:before="40"/>
              <w:ind w:left="39"/>
              <w:rPr>
                <w:rFonts w:ascii="Arial Narrow"/>
                <w:sz w:val="13"/>
              </w:rPr>
            </w:pPr>
            <w:r>
              <w:rPr>
                <w:rFonts w:ascii="Arial Narrow"/>
                <w:spacing w:val="-2"/>
                <w:w w:val="155"/>
                <w:sz w:val="13"/>
              </w:rPr>
              <w:t>Devengo)</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before="55"/>
              <w:rPr>
                <w:sz w:val="13"/>
              </w:rPr>
            </w:pPr>
          </w:p>
          <w:p>
            <w:pPr>
              <w:pStyle w:val="TableParagraph"/>
              <w:spacing w:line="144" w:lineRule="exact"/>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before="55"/>
              <w:rPr>
                <w:sz w:val="13"/>
              </w:rPr>
            </w:pPr>
          </w:p>
          <w:p>
            <w:pPr>
              <w:pStyle w:val="TableParagraph"/>
              <w:spacing w:line="144" w:lineRule="exact"/>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34</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Estados</w:t>
            </w:r>
            <w:r>
              <w:rPr>
                <w:rFonts w:ascii="Arial Narrow"/>
                <w:spacing w:val="2"/>
                <w:w w:val="155"/>
                <w:sz w:val="13"/>
              </w:rPr>
              <w:t> </w:t>
            </w:r>
            <w:r>
              <w:rPr>
                <w:rFonts w:ascii="Arial Narrow"/>
                <w:w w:val="155"/>
                <w:sz w:val="13"/>
              </w:rPr>
              <w:t>financieros</w:t>
            </w:r>
            <w:r>
              <w:rPr>
                <w:rFonts w:ascii="Arial Narrow"/>
                <w:spacing w:val="3"/>
                <w:w w:val="155"/>
                <w:sz w:val="13"/>
              </w:rPr>
              <w:t> </w:t>
            </w:r>
            <w:r>
              <w:rPr>
                <w:rFonts w:ascii="Arial Narrow"/>
                <w:spacing w:val="-2"/>
                <w:w w:val="155"/>
                <w:sz w:val="13"/>
              </w:rPr>
              <w:t>separados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35</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Estados</w:t>
            </w:r>
            <w:r>
              <w:rPr>
                <w:rFonts w:ascii="Arial Narrow"/>
                <w:spacing w:val="2"/>
                <w:w w:val="155"/>
                <w:sz w:val="13"/>
              </w:rPr>
              <w:t> </w:t>
            </w:r>
            <w:r>
              <w:rPr>
                <w:rFonts w:ascii="Arial Narrow"/>
                <w:w w:val="155"/>
                <w:sz w:val="13"/>
              </w:rPr>
              <w:t>financieros</w:t>
            </w:r>
            <w:r>
              <w:rPr>
                <w:rFonts w:ascii="Arial Narrow"/>
                <w:spacing w:val="3"/>
                <w:w w:val="155"/>
                <w:sz w:val="13"/>
              </w:rPr>
              <w:t> </w:t>
            </w:r>
            <w:r>
              <w:rPr>
                <w:rFonts w:ascii="Arial Narrow"/>
                <w:spacing w:val="-2"/>
                <w:w w:val="155"/>
                <w:sz w:val="13"/>
              </w:rPr>
              <w:t>consolidados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36</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Inversiones</w:t>
            </w:r>
            <w:r>
              <w:rPr>
                <w:rFonts w:ascii="Arial Narrow"/>
                <w:spacing w:val="2"/>
                <w:w w:val="155"/>
                <w:sz w:val="13"/>
              </w:rPr>
              <w:t> </w:t>
            </w:r>
            <w:r>
              <w:rPr>
                <w:rFonts w:ascii="Arial Narrow"/>
                <w:w w:val="155"/>
                <w:sz w:val="13"/>
              </w:rPr>
              <w:t>en</w:t>
            </w:r>
            <w:r>
              <w:rPr>
                <w:rFonts w:ascii="Arial Narrow"/>
                <w:spacing w:val="8"/>
                <w:w w:val="155"/>
                <w:sz w:val="13"/>
              </w:rPr>
              <w:t> </w:t>
            </w:r>
            <w:r>
              <w:rPr>
                <w:rFonts w:ascii="Arial Narrow"/>
                <w:w w:val="155"/>
                <w:sz w:val="13"/>
              </w:rPr>
              <w:t>asociadas</w:t>
            </w:r>
            <w:r>
              <w:rPr>
                <w:rFonts w:ascii="Arial Narrow"/>
                <w:spacing w:val="2"/>
                <w:w w:val="155"/>
                <w:sz w:val="13"/>
              </w:rPr>
              <w:t> </w:t>
            </w:r>
            <w:r>
              <w:rPr>
                <w:rFonts w:ascii="Arial Narrow"/>
                <w:w w:val="155"/>
                <w:sz w:val="13"/>
              </w:rPr>
              <w:t>y</w:t>
            </w:r>
            <w:r>
              <w:rPr>
                <w:rFonts w:ascii="Arial Narrow"/>
                <w:spacing w:val="-15"/>
                <w:w w:val="155"/>
                <w:sz w:val="13"/>
              </w:rPr>
              <w:t> </w:t>
            </w:r>
            <w:r>
              <w:rPr>
                <w:rFonts w:ascii="Arial Narrow"/>
                <w:w w:val="155"/>
                <w:sz w:val="13"/>
              </w:rPr>
              <w:t>negocios</w:t>
            </w:r>
            <w:r>
              <w:rPr>
                <w:rFonts w:ascii="Arial Narrow"/>
                <w:spacing w:val="2"/>
                <w:w w:val="155"/>
                <w:sz w:val="13"/>
              </w:rPr>
              <w:t> </w:t>
            </w:r>
            <w:r>
              <w:rPr>
                <w:rFonts w:ascii="Arial Narrow"/>
                <w:spacing w:val="-2"/>
                <w:w w:val="155"/>
                <w:sz w:val="13"/>
              </w:rPr>
              <w:t>conjuntos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37</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39"/>
              <w:rPr>
                <w:rFonts w:ascii="Arial Narrow"/>
                <w:sz w:val="13"/>
              </w:rPr>
            </w:pPr>
            <w:r>
              <w:rPr>
                <w:rFonts w:ascii="Arial Narrow"/>
                <w:w w:val="155"/>
                <w:sz w:val="13"/>
              </w:rPr>
              <w:t>Acuerdos</w:t>
            </w:r>
            <w:r>
              <w:rPr>
                <w:rFonts w:ascii="Arial Narrow"/>
                <w:spacing w:val="-4"/>
                <w:w w:val="155"/>
                <w:sz w:val="13"/>
              </w:rPr>
              <w:t> </w:t>
            </w:r>
            <w:r>
              <w:rPr>
                <w:rFonts w:ascii="Arial Narrow"/>
                <w:spacing w:val="-2"/>
                <w:w w:val="155"/>
                <w:sz w:val="13"/>
              </w:rPr>
              <w:t>conjuntos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4"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38</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Revelación</w:t>
            </w:r>
            <w:r>
              <w:rPr>
                <w:rFonts w:ascii="Arial Narrow" w:hAnsi="Arial Narrow"/>
                <w:spacing w:val="2"/>
                <w:w w:val="155"/>
                <w:sz w:val="13"/>
              </w:rPr>
              <w:t> </w:t>
            </w:r>
            <w:r>
              <w:rPr>
                <w:rFonts w:ascii="Arial Narrow" w:hAnsi="Arial Narrow"/>
                <w:w w:val="155"/>
                <w:sz w:val="13"/>
              </w:rPr>
              <w:t>de</w:t>
            </w:r>
            <w:r>
              <w:rPr>
                <w:rFonts w:ascii="Arial Narrow" w:hAnsi="Arial Narrow"/>
                <w:spacing w:val="2"/>
                <w:w w:val="155"/>
                <w:sz w:val="13"/>
              </w:rPr>
              <w:t> </w:t>
            </w:r>
            <w:r>
              <w:rPr>
                <w:rFonts w:ascii="Arial Narrow" w:hAnsi="Arial Narrow"/>
                <w:w w:val="155"/>
                <w:sz w:val="13"/>
              </w:rPr>
              <w:t>intereses</w:t>
            </w:r>
            <w:r>
              <w:rPr>
                <w:rFonts w:ascii="Arial Narrow" w:hAnsi="Arial Narrow"/>
                <w:spacing w:val="-3"/>
                <w:w w:val="155"/>
                <w:sz w:val="13"/>
              </w:rPr>
              <w:t> </w:t>
            </w:r>
            <w:r>
              <w:rPr>
                <w:rFonts w:ascii="Arial Narrow" w:hAnsi="Arial Narrow"/>
                <w:w w:val="155"/>
                <w:sz w:val="13"/>
              </w:rPr>
              <w:t>en</w:t>
            </w:r>
            <w:r>
              <w:rPr>
                <w:rFonts w:ascii="Arial Narrow" w:hAnsi="Arial Narrow"/>
                <w:spacing w:val="2"/>
                <w:w w:val="155"/>
                <w:sz w:val="13"/>
              </w:rPr>
              <w:t> </w:t>
            </w:r>
            <w:r>
              <w:rPr>
                <w:rFonts w:ascii="Arial Narrow" w:hAnsi="Arial Narrow"/>
                <w:w w:val="155"/>
                <w:sz w:val="13"/>
              </w:rPr>
              <w:t>otras</w:t>
            </w:r>
            <w:r>
              <w:rPr>
                <w:rFonts w:ascii="Arial Narrow" w:hAnsi="Arial Narrow"/>
                <w:spacing w:val="-3"/>
                <w:w w:val="155"/>
                <w:sz w:val="13"/>
              </w:rPr>
              <w:t> </w:t>
            </w:r>
            <w:r>
              <w:rPr>
                <w:rFonts w:ascii="Arial Narrow" w:hAnsi="Arial Narrow"/>
                <w:spacing w:val="-2"/>
                <w:w w:val="155"/>
                <w:sz w:val="13"/>
              </w:rPr>
              <w:t>entidades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39</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w w:val="155"/>
                <w:sz w:val="13"/>
              </w:rPr>
              <w:t>Beneficios</w:t>
            </w:r>
            <w:r>
              <w:rPr>
                <w:rFonts w:ascii="Arial Narrow"/>
                <w:spacing w:val="3"/>
                <w:w w:val="155"/>
                <w:sz w:val="13"/>
              </w:rPr>
              <w:t> </w:t>
            </w:r>
            <w:r>
              <w:rPr>
                <w:rFonts w:ascii="Arial Narrow"/>
                <w:w w:val="155"/>
                <w:sz w:val="13"/>
              </w:rPr>
              <w:t>para</w:t>
            </w:r>
            <w:r>
              <w:rPr>
                <w:rFonts w:ascii="Arial Narrow"/>
                <w:spacing w:val="10"/>
                <w:w w:val="155"/>
                <w:sz w:val="13"/>
              </w:rPr>
              <w:t> </w:t>
            </w:r>
            <w:r>
              <w:rPr>
                <w:rFonts w:ascii="Arial Narrow"/>
                <w:spacing w:val="-2"/>
                <w:w w:val="155"/>
                <w:sz w:val="13"/>
              </w:rPr>
              <w:t>empleados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9"/>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r>
        <w:trPr>
          <w:trHeight w:val="177" w:hRule="atLeast"/>
        </w:trPr>
        <w:tc>
          <w:tcPr>
            <w:tcW w:w="1069" w:type="dxa"/>
            <w:tcBorders>
              <w:top w:val="single" w:sz="8" w:space="0" w:color="000000"/>
              <w:left w:val="single" w:sz="6" w:space="0" w:color="000000"/>
              <w:bottom w:val="single" w:sz="8" w:space="0" w:color="000000"/>
              <w:right w:val="single" w:sz="12" w:space="0" w:color="000000"/>
            </w:tcBorders>
          </w:tcPr>
          <w:p>
            <w:pPr>
              <w:pStyle w:val="TableParagraph"/>
              <w:spacing w:before="34"/>
              <w:ind w:left="40"/>
              <w:rPr>
                <w:rFonts w:ascii="Arial Narrow"/>
                <w:b/>
                <w:i/>
                <w:sz w:val="10"/>
              </w:rPr>
            </w:pPr>
            <w:r>
              <w:rPr>
                <w:rFonts w:ascii="Arial Narrow"/>
                <w:b/>
                <w:i/>
                <w:w w:val="165"/>
                <w:sz w:val="10"/>
              </w:rPr>
              <w:t>NICSP</w:t>
            </w:r>
            <w:r>
              <w:rPr>
                <w:rFonts w:ascii="Arial Narrow"/>
                <w:b/>
                <w:i/>
                <w:spacing w:val="6"/>
                <w:w w:val="165"/>
                <w:sz w:val="10"/>
              </w:rPr>
              <w:t> </w:t>
            </w:r>
            <w:r>
              <w:rPr>
                <w:rFonts w:ascii="Arial Narrow"/>
                <w:b/>
                <w:i/>
                <w:spacing w:val="-5"/>
                <w:w w:val="165"/>
                <w:sz w:val="10"/>
              </w:rPr>
              <w:t>40</w:t>
            </w: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hAnsi="Arial Narrow"/>
                <w:sz w:val="13"/>
              </w:rPr>
            </w:pPr>
            <w:r>
              <w:rPr>
                <w:rFonts w:ascii="Arial Narrow" w:hAnsi="Arial Narrow"/>
                <w:w w:val="155"/>
                <w:sz w:val="13"/>
              </w:rPr>
              <w:t>Combinaciones</w:t>
            </w:r>
            <w:r>
              <w:rPr>
                <w:rFonts w:ascii="Arial Narrow" w:hAnsi="Arial Narrow"/>
                <w:spacing w:val="6"/>
                <w:w w:val="155"/>
                <w:sz w:val="13"/>
              </w:rPr>
              <w:t> </w:t>
            </w:r>
            <w:r>
              <w:rPr>
                <w:rFonts w:ascii="Arial Narrow" w:hAnsi="Arial Narrow"/>
                <w:w w:val="155"/>
                <w:sz w:val="13"/>
              </w:rPr>
              <w:t>en</w:t>
            </w:r>
            <w:r>
              <w:rPr>
                <w:rFonts w:ascii="Arial Narrow" w:hAnsi="Arial Narrow"/>
                <w:spacing w:val="14"/>
                <w:w w:val="155"/>
                <w:sz w:val="13"/>
              </w:rPr>
              <w:t> </w:t>
            </w:r>
            <w:r>
              <w:rPr>
                <w:rFonts w:ascii="Arial Narrow" w:hAnsi="Arial Narrow"/>
                <w:w w:val="155"/>
                <w:sz w:val="13"/>
              </w:rPr>
              <w:t>el</w:t>
            </w:r>
            <w:r>
              <w:rPr>
                <w:rFonts w:ascii="Arial Narrow" w:hAnsi="Arial Narrow"/>
                <w:spacing w:val="16"/>
                <w:w w:val="155"/>
                <w:sz w:val="13"/>
              </w:rPr>
              <w:t> </w:t>
            </w:r>
            <w:r>
              <w:rPr>
                <w:rFonts w:ascii="Arial Narrow" w:hAnsi="Arial Narrow"/>
                <w:w w:val="155"/>
                <w:sz w:val="13"/>
              </w:rPr>
              <w:t>sector</w:t>
            </w:r>
            <w:r>
              <w:rPr>
                <w:rFonts w:ascii="Arial Narrow" w:hAnsi="Arial Narrow"/>
                <w:spacing w:val="8"/>
                <w:w w:val="155"/>
                <w:sz w:val="13"/>
              </w:rPr>
              <w:t> </w:t>
            </w:r>
            <w:r>
              <w:rPr>
                <w:rFonts w:ascii="Arial Narrow" w:hAnsi="Arial Narrow"/>
                <w:spacing w:val="-2"/>
                <w:w w:val="155"/>
                <w:sz w:val="13"/>
              </w:rPr>
              <w:t>público</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right="17"/>
              <w:jc w:val="center"/>
              <w:rPr>
                <w:rFonts w:ascii="Arial Narrow"/>
                <w:sz w:val="13"/>
              </w:rPr>
            </w:pPr>
            <w:r>
              <w:rPr>
                <w:rFonts w:ascii="Arial Narrow"/>
                <w:spacing w:val="-5"/>
                <w:w w:val="155"/>
                <w:sz w:val="13"/>
              </w:rPr>
              <w:t>No</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4"/>
              <w:jc w:val="center"/>
              <w:rPr>
                <w:rFonts w:ascii="Arial Narrow"/>
                <w:sz w:val="13"/>
              </w:rPr>
            </w:pPr>
            <w:r>
              <w:rPr>
                <w:rFonts w:ascii="Arial Narrow"/>
                <w:spacing w:val="-4"/>
                <w:w w:val="155"/>
                <w:sz w:val="13"/>
              </w:rPr>
              <w:t>0,00%</w:t>
            </w:r>
          </w:p>
        </w:tc>
      </w:tr>
      <w:tr>
        <w:trPr>
          <w:trHeight w:val="177" w:hRule="atLeast"/>
        </w:trPr>
        <w:tc>
          <w:tcPr>
            <w:tcW w:w="1069" w:type="dxa"/>
            <w:tcBorders>
              <w:top w:val="single" w:sz="8" w:space="0" w:color="000000"/>
              <w:left w:val="nil"/>
              <w:bottom w:val="nil"/>
              <w:right w:val="single" w:sz="12" w:space="0" w:color="000000"/>
            </w:tcBorders>
          </w:tcPr>
          <w:p>
            <w:pPr>
              <w:pStyle w:val="TableParagraph"/>
              <w:rPr>
                <w:rFonts w:ascii="Times New Roman"/>
                <w:sz w:val="10"/>
              </w:rPr>
            </w:pPr>
          </w:p>
        </w:tc>
        <w:tc>
          <w:tcPr>
            <w:tcW w:w="517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39"/>
              <w:rPr>
                <w:rFonts w:ascii="Arial Narrow"/>
                <w:sz w:val="13"/>
              </w:rPr>
            </w:pPr>
            <w:r>
              <w:rPr>
                <w:rFonts w:ascii="Arial Narrow"/>
                <w:spacing w:val="-2"/>
                <w:w w:val="155"/>
                <w:sz w:val="13"/>
              </w:rPr>
              <w:t>Fideicomisos</w:t>
            </w:r>
          </w:p>
        </w:tc>
        <w:tc>
          <w:tcPr>
            <w:tcW w:w="1103"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5"/>
              <w:jc w:val="center"/>
              <w:rPr>
                <w:rFonts w:ascii="Arial Narrow"/>
                <w:sz w:val="13"/>
              </w:rPr>
            </w:pPr>
            <w:r>
              <w:rPr>
                <w:rFonts w:ascii="Arial Narrow"/>
                <w:spacing w:val="-5"/>
                <w:w w:val="155"/>
                <w:sz w:val="13"/>
              </w:rPr>
              <w:t>SI</w:t>
            </w:r>
          </w:p>
        </w:tc>
        <w:tc>
          <w:tcPr>
            <w:tcW w:w="1076" w:type="dxa"/>
            <w:tcBorders>
              <w:top w:val="single" w:sz="8" w:space="0" w:color="000000"/>
              <w:left w:val="single" w:sz="12" w:space="0" w:color="000000"/>
              <w:bottom w:val="single" w:sz="8" w:space="0" w:color="000000"/>
              <w:right w:val="single" w:sz="12" w:space="0" w:color="000000"/>
            </w:tcBorders>
          </w:tcPr>
          <w:p>
            <w:pPr>
              <w:pStyle w:val="TableParagraph"/>
              <w:spacing w:line="143" w:lineRule="exact" w:before="14"/>
              <w:ind w:left="54" w:right="5"/>
              <w:jc w:val="center"/>
              <w:rPr>
                <w:rFonts w:ascii="Arial Narrow"/>
                <w:sz w:val="13"/>
              </w:rPr>
            </w:pPr>
            <w:r>
              <w:rPr>
                <w:rFonts w:ascii="Arial Narrow"/>
                <w:spacing w:val="-2"/>
                <w:w w:val="155"/>
                <w:sz w:val="13"/>
              </w:rPr>
              <w:t>100,00%</w:t>
            </w:r>
          </w:p>
        </w:tc>
      </w:tr>
    </w:tbl>
    <w:p>
      <w:pPr>
        <w:pStyle w:val="BodyText"/>
      </w:pPr>
    </w:p>
    <w:p>
      <w:pPr>
        <w:pStyle w:val="BodyText"/>
        <w:spacing w:before="135"/>
      </w:pPr>
    </w:p>
    <w:p>
      <w:pPr>
        <w:pStyle w:val="Heading6"/>
        <w:spacing w:before="1"/>
        <w:ind w:left="622"/>
        <w:jc w:val="both"/>
      </w:pPr>
      <w:bookmarkStart w:name="_bookmark23" w:id="24"/>
      <w:bookmarkEnd w:id="24"/>
      <w:r>
        <w:rPr>
          <w:b w:val="0"/>
        </w:rPr>
      </w:r>
      <w:r>
        <w:rPr>
          <w:color w:val="1F3863"/>
        </w:rPr>
        <w:t>Bases</w:t>
      </w:r>
      <w:r>
        <w:rPr>
          <w:color w:val="1F3863"/>
          <w:spacing w:val="-3"/>
        </w:rPr>
        <w:t> </w:t>
      </w:r>
      <w:r>
        <w:rPr>
          <w:color w:val="1F3863"/>
        </w:rPr>
        <w:t>de</w:t>
      </w:r>
      <w:r>
        <w:rPr>
          <w:color w:val="1F3863"/>
          <w:spacing w:val="-4"/>
        </w:rPr>
        <w:t> </w:t>
      </w:r>
      <w:r>
        <w:rPr>
          <w:color w:val="1F3863"/>
        </w:rPr>
        <w:t>Reconocimiento</w:t>
      </w:r>
      <w:r>
        <w:rPr>
          <w:color w:val="1F3863"/>
          <w:spacing w:val="-1"/>
        </w:rPr>
        <w:t> </w:t>
      </w:r>
      <w:r>
        <w:rPr>
          <w:color w:val="1F3863"/>
        </w:rPr>
        <w:t>y</w:t>
      </w:r>
      <w:r>
        <w:rPr>
          <w:color w:val="1F3863"/>
          <w:spacing w:val="-5"/>
        </w:rPr>
        <w:t> </w:t>
      </w:r>
      <w:r>
        <w:rPr>
          <w:color w:val="1F3863"/>
          <w:spacing w:val="-2"/>
        </w:rPr>
        <w:t>Medición</w:t>
      </w:r>
    </w:p>
    <w:p>
      <w:pPr>
        <w:pStyle w:val="BodyText"/>
        <w:spacing w:line="259" w:lineRule="auto" w:before="123"/>
        <w:ind w:left="622" w:right="975"/>
        <w:jc w:val="both"/>
      </w:pPr>
      <w:r>
        <w:rPr/>
        <w:t>Los Estados Financieros han sido preparados según las bases de medición contenidas en las NICSP (2018) para cada saldo de cuenta. Las principales bases están determinadas en las Políticas Contables Generales emitidas por la Contabilidad Nacional versión (2021) y la emisión de la Metodología de Implementación de NICSP la versión del 2021 y en cuanto al Plan General de Cuentas y el Manual Funcional de Cuentas Contable para el Sector Público.</w:t>
      </w:r>
    </w:p>
    <w:p>
      <w:pPr>
        <w:pStyle w:val="BodyText"/>
        <w:spacing w:before="19"/>
      </w:pPr>
    </w:p>
    <w:p>
      <w:pPr>
        <w:pStyle w:val="BodyText"/>
        <w:spacing w:line="259" w:lineRule="auto"/>
        <w:ind w:left="622" w:right="979"/>
        <w:jc w:val="both"/>
      </w:pPr>
      <w:r>
        <w:rPr/>
        <w:t>En relación con lo expuesto en el párrafo anterior, y de conformidad con lo establecido en la Ley de Fortalecimiento</w:t>
      </w:r>
      <w:r>
        <w:rPr>
          <w:spacing w:val="36"/>
        </w:rPr>
        <w:t> </w:t>
      </w:r>
      <w:r>
        <w:rPr/>
        <w:t>de</w:t>
      </w:r>
      <w:r>
        <w:rPr>
          <w:spacing w:val="33"/>
        </w:rPr>
        <w:t> </w:t>
      </w:r>
      <w:r>
        <w:rPr/>
        <w:t>las</w:t>
      </w:r>
      <w:r>
        <w:rPr>
          <w:spacing w:val="36"/>
        </w:rPr>
        <w:t> </w:t>
      </w:r>
      <w:r>
        <w:rPr/>
        <w:t>Finanzas</w:t>
      </w:r>
      <w:r>
        <w:rPr>
          <w:spacing w:val="36"/>
        </w:rPr>
        <w:t> </w:t>
      </w:r>
      <w:r>
        <w:rPr/>
        <w:t>Públicas</w:t>
      </w:r>
      <w:r>
        <w:rPr>
          <w:spacing w:val="36"/>
        </w:rPr>
        <w:t> </w:t>
      </w:r>
      <w:r>
        <w:rPr/>
        <w:t>N.°</w:t>
      </w:r>
      <w:r>
        <w:rPr>
          <w:spacing w:val="37"/>
        </w:rPr>
        <w:t> </w:t>
      </w:r>
      <w:r>
        <w:rPr/>
        <w:t>9635,</w:t>
      </w:r>
      <w:r>
        <w:rPr>
          <w:spacing w:val="37"/>
        </w:rPr>
        <w:t> </w:t>
      </w:r>
      <w:r>
        <w:rPr/>
        <w:t>los</w:t>
      </w:r>
      <w:r>
        <w:rPr>
          <w:spacing w:val="36"/>
        </w:rPr>
        <w:t> </w:t>
      </w:r>
      <w:r>
        <w:rPr/>
        <w:t>entes</w:t>
      </w:r>
      <w:r>
        <w:rPr>
          <w:spacing w:val="35"/>
        </w:rPr>
        <w:t> </w:t>
      </w:r>
      <w:r>
        <w:rPr/>
        <w:t>contables</w:t>
      </w:r>
      <w:r>
        <w:rPr>
          <w:spacing w:val="36"/>
        </w:rPr>
        <w:t> </w:t>
      </w:r>
      <w:r>
        <w:rPr/>
        <w:t>deben</w:t>
      </w:r>
      <w:r>
        <w:rPr>
          <w:spacing w:val="35"/>
        </w:rPr>
        <w:t> </w:t>
      </w:r>
      <w:r>
        <w:rPr/>
        <w:t>aplicar</w:t>
      </w:r>
      <w:r>
        <w:rPr>
          <w:spacing w:val="35"/>
        </w:rPr>
        <w:t> </w:t>
      </w:r>
      <w:r>
        <w:rPr/>
        <w:t>las</w:t>
      </w:r>
      <w:r>
        <w:rPr>
          <w:spacing w:val="36"/>
        </w:rPr>
        <w:t> </w:t>
      </w:r>
      <w:r>
        <w:rPr/>
        <w:t>Normas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5456">
                <wp:simplePos x="0" y="0"/>
                <wp:positionH relativeFrom="page">
                  <wp:posOffset>9525</wp:posOffset>
                </wp:positionH>
                <wp:positionV relativeFrom="page">
                  <wp:posOffset>297208</wp:posOffset>
                </wp:positionV>
                <wp:extent cx="7762875" cy="9748520"/>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7762875" cy="9748520"/>
                          <a:chExt cx="7762875" cy="9748520"/>
                        </a:xfrm>
                      </wpg:grpSpPr>
                      <pic:pic>
                        <pic:nvPicPr>
                          <pic:cNvPr id="149" name="Image 149"/>
                          <pic:cNvPicPr/>
                        </pic:nvPicPr>
                        <pic:blipFill>
                          <a:blip r:embed="rId5" cstate="print"/>
                          <a:stretch>
                            <a:fillRect/>
                          </a:stretch>
                        </pic:blipFill>
                        <pic:spPr>
                          <a:xfrm>
                            <a:off x="0" y="0"/>
                            <a:ext cx="7762874" cy="9748489"/>
                          </a:xfrm>
                          <a:prstGeom prst="rect">
                            <a:avLst/>
                          </a:prstGeom>
                        </pic:spPr>
                      </pic:pic>
                      <wps:wsp>
                        <wps:cNvPr id="150" name="Graphic 15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1024" id="docshapegroup147" coordorigin="15,468" coordsize="12225,15352">
                <v:shape style="position:absolute;left:15;top:468;width:12225;height:15352" type="#_x0000_t75" id="docshape148" stroked="false">
                  <v:imagedata r:id="rId5" o:title=""/>
                </v:shape>
                <v:rect style="position:absolute;left:1673;top:2028;width:8897;height:15" id="docshape14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43</w:t>
      </w:r>
    </w:p>
    <w:p>
      <w:pPr>
        <w:pStyle w:val="BodyText"/>
        <w:spacing w:line="259" w:lineRule="auto" w:before="218"/>
        <w:ind w:left="622" w:right="975"/>
        <w:jc w:val="both"/>
      </w:pPr>
      <w:r>
        <w:rPr/>
        <w:t>Internacionales de Contabilidad del Sector Público (NICSP) bajo el esquema de adopción directa a partir</w:t>
      </w:r>
      <w:r>
        <w:rPr>
          <w:spacing w:val="-2"/>
        </w:rPr>
        <w:t> </w:t>
      </w:r>
      <w:r>
        <w:rPr/>
        <w:t>del</w:t>
      </w:r>
      <w:r>
        <w:rPr>
          <w:spacing w:val="-2"/>
        </w:rPr>
        <w:t> </w:t>
      </w:r>
      <w:r>
        <w:rPr/>
        <w:t>cierre</w:t>
      </w:r>
      <w:r>
        <w:rPr>
          <w:spacing w:val="-4"/>
        </w:rPr>
        <w:t> </w:t>
      </w:r>
      <w:r>
        <w:rPr/>
        <w:t>contable</w:t>
      </w:r>
      <w:r>
        <w:rPr>
          <w:spacing w:val="-3"/>
        </w:rPr>
        <w:t> </w:t>
      </w:r>
      <w:r>
        <w:rPr/>
        <w:t>2024.</w:t>
      </w:r>
      <w:r>
        <w:rPr>
          <w:spacing w:val="-3"/>
        </w:rPr>
        <w:t> </w:t>
      </w:r>
      <w:r>
        <w:rPr/>
        <w:t>En</w:t>
      </w:r>
      <w:r>
        <w:rPr>
          <w:spacing w:val="-2"/>
        </w:rPr>
        <w:t> </w:t>
      </w:r>
      <w:r>
        <w:rPr/>
        <w:t>consecuencia,</w:t>
      </w:r>
      <w:r>
        <w:rPr>
          <w:spacing w:val="-2"/>
        </w:rPr>
        <w:t> </w:t>
      </w:r>
      <w:r>
        <w:rPr/>
        <w:t>corresponde</w:t>
      </w:r>
      <w:r>
        <w:rPr>
          <w:spacing w:val="-3"/>
        </w:rPr>
        <w:t> </w:t>
      </w:r>
      <w:r>
        <w:rPr/>
        <w:t>dar</w:t>
      </w:r>
      <w:r>
        <w:rPr>
          <w:spacing w:val="-2"/>
        </w:rPr>
        <w:t> </w:t>
      </w:r>
      <w:r>
        <w:rPr/>
        <w:t>cumplimiento</w:t>
      </w:r>
      <w:r>
        <w:rPr>
          <w:spacing w:val="-1"/>
        </w:rPr>
        <w:t> </w:t>
      </w:r>
      <w:r>
        <w:rPr/>
        <w:t>a</w:t>
      </w:r>
      <w:r>
        <w:rPr>
          <w:spacing w:val="-3"/>
        </w:rPr>
        <w:t> </w:t>
      </w:r>
      <w:r>
        <w:rPr/>
        <w:t>los</w:t>
      </w:r>
      <w:r>
        <w:rPr>
          <w:spacing w:val="-1"/>
        </w:rPr>
        <w:t> </w:t>
      </w:r>
      <w:r>
        <w:rPr/>
        <w:t>requerimientos de reconocimiento y medición establecidos en las NICSP, basados en el principio de acumulación o devengo,</w:t>
      </w:r>
      <w:r>
        <w:rPr>
          <w:spacing w:val="-11"/>
        </w:rPr>
        <w:t> </w:t>
      </w:r>
      <w:r>
        <w:rPr/>
        <w:t>se</w:t>
      </w:r>
      <w:r>
        <w:rPr>
          <w:spacing w:val="-12"/>
        </w:rPr>
        <w:t> </w:t>
      </w:r>
      <w:r>
        <w:rPr/>
        <w:t>debe</w:t>
      </w:r>
      <w:r>
        <w:rPr>
          <w:spacing w:val="-12"/>
        </w:rPr>
        <w:t> </w:t>
      </w:r>
      <w:r>
        <w:rPr/>
        <w:t>revelar</w:t>
      </w:r>
      <w:r>
        <w:rPr>
          <w:spacing w:val="-11"/>
        </w:rPr>
        <w:t> </w:t>
      </w:r>
      <w:r>
        <w:rPr/>
        <w:t>en</w:t>
      </w:r>
      <w:r>
        <w:rPr>
          <w:spacing w:val="-9"/>
        </w:rPr>
        <w:t> </w:t>
      </w:r>
      <w:r>
        <w:rPr/>
        <w:t>las</w:t>
      </w:r>
      <w:r>
        <w:rPr>
          <w:spacing w:val="-10"/>
        </w:rPr>
        <w:t> </w:t>
      </w:r>
      <w:r>
        <w:rPr/>
        <w:t>partidas</w:t>
      </w:r>
      <w:r>
        <w:rPr>
          <w:spacing w:val="-10"/>
        </w:rPr>
        <w:t> </w:t>
      </w:r>
      <w:r>
        <w:rPr/>
        <w:t>que</w:t>
      </w:r>
      <w:r>
        <w:rPr>
          <w:spacing w:val="-12"/>
        </w:rPr>
        <w:t> </w:t>
      </w:r>
      <w:r>
        <w:rPr/>
        <w:t>corresponda,</w:t>
      </w:r>
      <w:r>
        <w:rPr>
          <w:spacing w:val="-11"/>
        </w:rPr>
        <w:t> </w:t>
      </w:r>
      <w:r>
        <w:rPr/>
        <w:t>el</w:t>
      </w:r>
      <w:r>
        <w:rPr>
          <w:spacing w:val="-11"/>
        </w:rPr>
        <w:t> </w:t>
      </w:r>
      <w:r>
        <w:rPr/>
        <w:t>criterio</w:t>
      </w:r>
      <w:r>
        <w:rPr>
          <w:spacing w:val="-11"/>
        </w:rPr>
        <w:t> </w:t>
      </w:r>
      <w:r>
        <w:rPr/>
        <w:t>de</w:t>
      </w:r>
      <w:r>
        <w:rPr>
          <w:spacing w:val="-12"/>
        </w:rPr>
        <w:t> </w:t>
      </w:r>
      <w:r>
        <w:rPr/>
        <w:t>reconocimiento</w:t>
      </w:r>
      <w:r>
        <w:rPr>
          <w:spacing w:val="-10"/>
        </w:rPr>
        <w:t> </w:t>
      </w:r>
      <w:r>
        <w:rPr/>
        <w:t>y</w:t>
      </w:r>
      <w:r>
        <w:rPr>
          <w:spacing w:val="-12"/>
        </w:rPr>
        <w:t> </w:t>
      </w:r>
      <w:r>
        <w:rPr/>
        <w:t>medición</w:t>
      </w:r>
      <w:r>
        <w:rPr>
          <w:spacing w:val="-11"/>
        </w:rPr>
        <w:t> </w:t>
      </w:r>
      <w:r>
        <w:rPr/>
        <w:t>que aplica el ente contable.</w:t>
      </w:r>
    </w:p>
    <w:p>
      <w:pPr>
        <w:pStyle w:val="BodyText"/>
        <w:spacing w:before="18"/>
      </w:pPr>
    </w:p>
    <w:p>
      <w:pPr>
        <w:pStyle w:val="BodyText"/>
        <w:ind w:left="622" w:right="980"/>
        <w:jc w:val="both"/>
      </w:pPr>
      <w:r>
        <w:rPr/>
        <w:t>La base de medición utilizadas para las distintas clases de propiedades, planta y equipo es el costo histórico, ajustado por el modelo de costo de los activos.</w:t>
      </w:r>
    </w:p>
    <w:p>
      <w:pPr>
        <w:pStyle w:val="BodyText"/>
        <w:spacing w:before="240"/>
        <w:ind w:left="622" w:right="975"/>
        <w:jc w:val="both"/>
      </w:pPr>
      <w:r>
        <w:rPr/>
        <w:t>Las</w:t>
      </w:r>
      <w:r>
        <w:rPr>
          <w:spacing w:val="-4"/>
        </w:rPr>
        <w:t> </w:t>
      </w:r>
      <w:r>
        <w:rPr/>
        <w:t>siguientes</w:t>
      </w:r>
      <w:r>
        <w:rPr>
          <w:spacing w:val="-4"/>
        </w:rPr>
        <w:t> </w:t>
      </w:r>
      <w:r>
        <w:rPr/>
        <w:t>bases</w:t>
      </w:r>
      <w:r>
        <w:rPr>
          <w:spacing w:val="-4"/>
        </w:rPr>
        <w:t> </w:t>
      </w:r>
      <w:r>
        <w:rPr/>
        <w:t>de</w:t>
      </w:r>
      <w:r>
        <w:rPr>
          <w:spacing w:val="-6"/>
        </w:rPr>
        <w:t> </w:t>
      </w:r>
      <w:r>
        <w:rPr/>
        <w:t>medición</w:t>
      </w:r>
      <w:r>
        <w:rPr>
          <w:spacing w:val="-4"/>
        </w:rPr>
        <w:t> </w:t>
      </w:r>
      <w:r>
        <w:rPr/>
        <w:t>para</w:t>
      </w:r>
      <w:r>
        <w:rPr>
          <w:spacing w:val="-5"/>
        </w:rPr>
        <w:t> </w:t>
      </w:r>
      <w:r>
        <w:rPr/>
        <w:t>activos</w:t>
      </w:r>
      <w:r>
        <w:rPr>
          <w:spacing w:val="-3"/>
        </w:rPr>
        <w:t> </w:t>
      </w:r>
      <w:r>
        <w:rPr/>
        <w:t>se</w:t>
      </w:r>
      <w:r>
        <w:rPr>
          <w:spacing w:val="-6"/>
        </w:rPr>
        <w:t> </w:t>
      </w:r>
      <w:r>
        <w:rPr/>
        <w:t>identifican</w:t>
      </w:r>
      <w:r>
        <w:rPr>
          <w:spacing w:val="-4"/>
        </w:rPr>
        <w:t> </w:t>
      </w:r>
      <w:r>
        <w:rPr/>
        <w:t>y</w:t>
      </w:r>
      <w:r>
        <w:rPr>
          <w:spacing w:val="-6"/>
        </w:rPr>
        <w:t> </w:t>
      </w:r>
      <w:r>
        <w:rPr/>
        <w:t>tratan</w:t>
      </w:r>
      <w:r>
        <w:rPr>
          <w:spacing w:val="-5"/>
        </w:rPr>
        <w:t> </w:t>
      </w:r>
      <w:r>
        <w:rPr/>
        <w:t>en</w:t>
      </w:r>
      <w:r>
        <w:rPr>
          <w:spacing w:val="-4"/>
        </w:rPr>
        <w:t> </w:t>
      </w:r>
      <w:r>
        <w:rPr/>
        <w:t>términos</w:t>
      </w:r>
      <w:r>
        <w:rPr>
          <w:spacing w:val="-4"/>
        </w:rPr>
        <w:t> </w:t>
      </w:r>
      <w:r>
        <w:rPr/>
        <w:t>de</w:t>
      </w:r>
      <w:r>
        <w:rPr>
          <w:spacing w:val="-6"/>
        </w:rPr>
        <w:t> </w:t>
      </w:r>
      <w:r>
        <w:rPr/>
        <w:t>la</w:t>
      </w:r>
      <w:r>
        <w:rPr>
          <w:spacing w:val="-6"/>
        </w:rPr>
        <w:t> </w:t>
      </w:r>
      <w:r>
        <w:rPr/>
        <w:t>información</w:t>
      </w:r>
      <w:r>
        <w:rPr>
          <w:spacing w:val="-4"/>
        </w:rPr>
        <w:t> </w:t>
      </w:r>
      <w:r>
        <w:rPr/>
        <w:t>que proporcionan sobre el costo de los servicios prestados y la capacidad operativa y financiera: costo histórico; valor de mercado; costo de reposición; precio de venta neto.</w:t>
      </w:r>
    </w:p>
    <w:p>
      <w:pPr>
        <w:pStyle w:val="BodyText"/>
        <w:spacing w:before="242"/>
        <w:ind w:left="622" w:right="976"/>
        <w:jc w:val="both"/>
      </w:pPr>
      <w:r>
        <w:rPr/>
        <w:t>Las</w:t>
      </w:r>
      <w:r>
        <w:rPr>
          <w:spacing w:val="-6"/>
        </w:rPr>
        <w:t> </w:t>
      </w:r>
      <w:r>
        <w:rPr/>
        <w:t>siguientes</w:t>
      </w:r>
      <w:r>
        <w:rPr>
          <w:spacing w:val="-6"/>
        </w:rPr>
        <w:t> </w:t>
      </w:r>
      <w:r>
        <w:rPr/>
        <w:t>bases</w:t>
      </w:r>
      <w:r>
        <w:rPr>
          <w:spacing w:val="-8"/>
        </w:rPr>
        <w:t> </w:t>
      </w:r>
      <w:r>
        <w:rPr/>
        <w:t>de</w:t>
      </w:r>
      <w:r>
        <w:rPr>
          <w:spacing w:val="-9"/>
        </w:rPr>
        <w:t> </w:t>
      </w:r>
      <w:r>
        <w:rPr/>
        <w:t>medición</w:t>
      </w:r>
      <w:r>
        <w:rPr>
          <w:spacing w:val="-7"/>
        </w:rPr>
        <w:t> </w:t>
      </w:r>
      <w:r>
        <w:rPr/>
        <w:t>para</w:t>
      </w:r>
      <w:r>
        <w:rPr>
          <w:spacing w:val="-8"/>
        </w:rPr>
        <w:t> </w:t>
      </w:r>
      <w:r>
        <w:rPr/>
        <w:t>pasivos</w:t>
      </w:r>
      <w:r>
        <w:rPr>
          <w:spacing w:val="-6"/>
        </w:rPr>
        <w:t> </w:t>
      </w:r>
      <w:r>
        <w:rPr/>
        <w:t>se</w:t>
      </w:r>
      <w:r>
        <w:rPr>
          <w:spacing w:val="-8"/>
        </w:rPr>
        <w:t> </w:t>
      </w:r>
      <w:r>
        <w:rPr/>
        <w:t>identifican</w:t>
      </w:r>
      <w:r>
        <w:rPr>
          <w:spacing w:val="-7"/>
        </w:rPr>
        <w:t> </w:t>
      </w:r>
      <w:r>
        <w:rPr/>
        <w:t>y</w:t>
      </w:r>
      <w:r>
        <w:rPr>
          <w:spacing w:val="-8"/>
        </w:rPr>
        <w:t> </w:t>
      </w:r>
      <w:r>
        <w:rPr/>
        <w:t>tratan</w:t>
      </w:r>
      <w:r>
        <w:rPr>
          <w:spacing w:val="-7"/>
        </w:rPr>
        <w:t> </w:t>
      </w:r>
      <w:r>
        <w:rPr/>
        <w:t>en</w:t>
      </w:r>
      <w:r>
        <w:rPr>
          <w:spacing w:val="-7"/>
        </w:rPr>
        <w:t> </w:t>
      </w:r>
      <w:r>
        <w:rPr/>
        <w:t>términos</w:t>
      </w:r>
      <w:r>
        <w:rPr>
          <w:spacing w:val="-8"/>
        </w:rPr>
        <w:t> </w:t>
      </w:r>
      <w:r>
        <w:rPr/>
        <w:t>de</w:t>
      </w:r>
      <w:r>
        <w:rPr>
          <w:spacing w:val="-9"/>
        </w:rPr>
        <w:t> </w:t>
      </w:r>
      <w:r>
        <w:rPr/>
        <w:t>la</w:t>
      </w:r>
      <w:r>
        <w:rPr>
          <w:spacing w:val="-8"/>
        </w:rPr>
        <w:t> </w:t>
      </w:r>
      <w:r>
        <w:rPr/>
        <w:t>información</w:t>
      </w:r>
      <w:r>
        <w:rPr>
          <w:spacing w:val="-9"/>
        </w:rPr>
        <w:t> </w:t>
      </w:r>
      <w:r>
        <w:rPr/>
        <w:t>que proporcionan sobre el costo de los servicios prestados y la capacidad operativa y financiera del IMAS son: costo histórico; valor de mercado; costo de cancelación; y precio supuesto.</w:t>
      </w:r>
    </w:p>
    <w:p>
      <w:pPr>
        <w:pStyle w:val="BodyText"/>
        <w:spacing w:before="238"/>
        <w:ind w:left="622" w:right="981"/>
        <w:jc w:val="both"/>
      </w:pPr>
      <w:r>
        <w:rPr/>
        <w:t>El reconocimiento de los ingresos por impuestos se realiza por devengo registrando la cuenta por cobrar(activo) por impuestos, cuando el</w:t>
      </w:r>
      <w:r>
        <w:rPr>
          <w:spacing w:val="-1"/>
        </w:rPr>
        <w:t> </w:t>
      </w:r>
      <w:r>
        <w:rPr/>
        <w:t>evento</w:t>
      </w:r>
      <w:r>
        <w:rPr>
          <w:spacing w:val="-1"/>
        </w:rPr>
        <w:t> </w:t>
      </w:r>
      <w:r>
        <w:rPr/>
        <w:t>sujeto a</w:t>
      </w:r>
      <w:r>
        <w:rPr>
          <w:spacing w:val="-3"/>
        </w:rPr>
        <w:t> </w:t>
      </w:r>
      <w:r>
        <w:rPr/>
        <w:t>impuestos por la</w:t>
      </w:r>
      <w:r>
        <w:rPr>
          <w:spacing w:val="-1"/>
        </w:rPr>
        <w:t> </w:t>
      </w:r>
      <w:r>
        <w:rPr/>
        <w:t>Ley</w:t>
      </w:r>
      <w:r>
        <w:rPr>
          <w:spacing w:val="-1"/>
        </w:rPr>
        <w:t> </w:t>
      </w:r>
      <w:r>
        <w:rPr/>
        <w:t>9326</w:t>
      </w:r>
      <w:r>
        <w:rPr>
          <w:spacing w:val="-4"/>
        </w:rPr>
        <w:t> </w:t>
      </w:r>
      <w:r>
        <w:rPr/>
        <w:t>ocurre</w:t>
      </w:r>
      <w:r>
        <w:rPr>
          <w:spacing w:val="-1"/>
        </w:rPr>
        <w:t> </w:t>
      </w:r>
      <w:r>
        <w:rPr/>
        <w:t>y</w:t>
      </w:r>
      <w:r>
        <w:rPr>
          <w:spacing w:val="-1"/>
        </w:rPr>
        <w:t> </w:t>
      </w:r>
      <w:r>
        <w:rPr/>
        <w:t>satisfacen los criterios de reconocimiento del activo.</w:t>
      </w:r>
    </w:p>
    <w:p>
      <w:pPr>
        <w:pStyle w:val="BodyText"/>
        <w:spacing w:line="259" w:lineRule="auto" w:before="162"/>
        <w:ind w:left="622" w:right="1001"/>
      </w:pPr>
      <w:r>
        <w:rPr/>
        <w:t>El</w:t>
      </w:r>
      <w:r>
        <w:rPr>
          <w:spacing w:val="-3"/>
        </w:rPr>
        <w:t> </w:t>
      </w:r>
      <w:r>
        <w:rPr/>
        <w:t>ingreso</w:t>
      </w:r>
      <w:r>
        <w:rPr>
          <w:spacing w:val="-3"/>
        </w:rPr>
        <w:t> </w:t>
      </w:r>
      <w:r>
        <w:rPr/>
        <w:t>por</w:t>
      </w:r>
      <w:r>
        <w:rPr>
          <w:spacing w:val="-3"/>
        </w:rPr>
        <w:t> </w:t>
      </w:r>
      <w:r>
        <w:rPr/>
        <w:t>donaciones</w:t>
      </w:r>
      <w:r>
        <w:rPr>
          <w:spacing w:val="-2"/>
        </w:rPr>
        <w:t> </w:t>
      </w:r>
      <w:r>
        <w:rPr/>
        <w:t>de</w:t>
      </w:r>
      <w:r>
        <w:rPr>
          <w:spacing w:val="-4"/>
        </w:rPr>
        <w:t> </w:t>
      </w:r>
      <w:r>
        <w:rPr/>
        <w:t>bienes,</w:t>
      </w:r>
      <w:r>
        <w:rPr>
          <w:spacing w:val="-3"/>
        </w:rPr>
        <w:t> </w:t>
      </w:r>
      <w:r>
        <w:rPr/>
        <w:t>se</w:t>
      </w:r>
      <w:r>
        <w:rPr>
          <w:spacing w:val="-4"/>
        </w:rPr>
        <w:t> </w:t>
      </w:r>
      <w:r>
        <w:rPr/>
        <w:t>reconocen</w:t>
      </w:r>
      <w:r>
        <w:rPr>
          <w:spacing w:val="-3"/>
        </w:rPr>
        <w:t> </w:t>
      </w:r>
      <w:r>
        <w:rPr/>
        <w:t>cuando</w:t>
      </w:r>
      <w:r>
        <w:rPr>
          <w:spacing w:val="-3"/>
        </w:rPr>
        <w:t> </w:t>
      </w:r>
      <w:r>
        <w:rPr/>
        <w:t>los</w:t>
      </w:r>
      <w:r>
        <w:rPr>
          <w:spacing w:val="-2"/>
        </w:rPr>
        <w:t> </w:t>
      </w:r>
      <w:r>
        <w:rPr/>
        <w:t>recursos</w:t>
      </w:r>
      <w:r>
        <w:rPr>
          <w:spacing w:val="-5"/>
        </w:rPr>
        <w:t> </w:t>
      </w:r>
      <w:r>
        <w:rPr/>
        <w:t>transferidos</w:t>
      </w:r>
      <w:r>
        <w:rPr>
          <w:spacing w:val="-5"/>
        </w:rPr>
        <w:t> </w:t>
      </w:r>
      <w:r>
        <w:rPr/>
        <w:t>cumplen</w:t>
      </w:r>
      <w:r>
        <w:rPr>
          <w:spacing w:val="-3"/>
        </w:rPr>
        <w:t> </w:t>
      </w:r>
      <w:r>
        <w:rPr/>
        <w:t>la definición de activo y satisfacen los criterios para ser reconocidos como tales.</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5968">
                <wp:simplePos x="0" y="0"/>
                <wp:positionH relativeFrom="page">
                  <wp:posOffset>9525</wp:posOffset>
                </wp:positionH>
                <wp:positionV relativeFrom="page">
                  <wp:posOffset>297208</wp:posOffset>
                </wp:positionV>
                <wp:extent cx="7762875" cy="974852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7762875" cy="9748520"/>
                          <a:chExt cx="7762875" cy="9748520"/>
                        </a:xfrm>
                      </wpg:grpSpPr>
                      <pic:pic>
                        <pic:nvPicPr>
                          <pic:cNvPr id="152" name="Image 152"/>
                          <pic:cNvPicPr/>
                        </pic:nvPicPr>
                        <pic:blipFill>
                          <a:blip r:embed="rId5" cstate="print"/>
                          <a:stretch>
                            <a:fillRect/>
                          </a:stretch>
                        </pic:blipFill>
                        <pic:spPr>
                          <a:xfrm>
                            <a:off x="0" y="0"/>
                            <a:ext cx="7762874" cy="9748489"/>
                          </a:xfrm>
                          <a:prstGeom prst="rect">
                            <a:avLst/>
                          </a:prstGeom>
                        </pic:spPr>
                      </pic:pic>
                      <wps:wsp>
                        <wps:cNvPr id="153" name="Graphic 15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0512" id="docshapegroup150" coordorigin="15,468" coordsize="12225,15352">
                <v:shape style="position:absolute;left:15;top:468;width:12225;height:15352" type="#_x0000_t75" id="docshape151" stroked="false">
                  <v:imagedata r:id="rId5" o:title=""/>
                </v:shape>
                <v:rect style="position:absolute;left:1673;top:2028;width:8897;height:15" id="docshape15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44</w:t>
      </w:r>
    </w:p>
    <w:p>
      <w:pPr>
        <w:pStyle w:val="BodyText"/>
      </w:pPr>
    </w:p>
    <w:p>
      <w:pPr>
        <w:pStyle w:val="BodyText"/>
        <w:spacing w:before="1"/>
      </w:pPr>
    </w:p>
    <w:p>
      <w:pPr>
        <w:pStyle w:val="Heading5"/>
        <w:ind w:left="0" w:right="357"/>
        <w:jc w:val="center"/>
      </w:pPr>
      <w:bookmarkStart w:name="_bookmark24" w:id="25"/>
      <w:bookmarkEnd w:id="25"/>
      <w:r>
        <w:rPr>
          <w:b w:val="0"/>
        </w:rPr>
      </w:r>
      <w:r>
        <w:rPr>
          <w:color w:val="1F3863"/>
        </w:rPr>
        <w:t>REVELACIÓN</w:t>
      </w:r>
      <w:r>
        <w:rPr>
          <w:color w:val="1F3863"/>
          <w:spacing w:val="-8"/>
        </w:rPr>
        <w:t> </w:t>
      </w:r>
      <w:r>
        <w:rPr>
          <w:color w:val="1F3863"/>
        </w:rPr>
        <w:t>NORMAS</w:t>
      </w:r>
      <w:r>
        <w:rPr>
          <w:color w:val="1F3863"/>
          <w:spacing w:val="-9"/>
        </w:rPr>
        <w:t> </w:t>
      </w:r>
      <w:r>
        <w:rPr>
          <w:color w:val="1F3863"/>
        </w:rPr>
        <w:t>INTERNACIONALES</w:t>
      </w:r>
      <w:r>
        <w:rPr>
          <w:color w:val="1F3863"/>
          <w:spacing w:val="-7"/>
        </w:rPr>
        <w:t> </w:t>
      </w:r>
      <w:r>
        <w:rPr>
          <w:color w:val="1F3863"/>
        </w:rPr>
        <w:t>DEL</w:t>
      </w:r>
      <w:r>
        <w:rPr>
          <w:color w:val="1F3863"/>
          <w:spacing w:val="-7"/>
        </w:rPr>
        <w:t> </w:t>
      </w:r>
      <w:r>
        <w:rPr>
          <w:color w:val="1F3863"/>
        </w:rPr>
        <w:t>SECTOR</w:t>
      </w:r>
      <w:r>
        <w:rPr>
          <w:color w:val="1F3863"/>
          <w:spacing w:val="-7"/>
        </w:rPr>
        <w:t> </w:t>
      </w:r>
      <w:r>
        <w:rPr>
          <w:color w:val="1F3863"/>
          <w:spacing w:val="-2"/>
        </w:rPr>
        <w:t>PUBLICO</w:t>
      </w:r>
    </w:p>
    <w:p>
      <w:pPr>
        <w:pStyle w:val="BodyText"/>
        <w:rPr>
          <w:b/>
        </w:rPr>
      </w:pPr>
    </w:p>
    <w:p>
      <w:pPr>
        <w:pStyle w:val="BodyText"/>
        <w:spacing w:before="54"/>
        <w:rPr>
          <w:b/>
        </w:rPr>
      </w:pPr>
    </w:p>
    <w:p>
      <w:pPr>
        <w:pStyle w:val="Heading5"/>
      </w:pPr>
      <w:bookmarkStart w:name="_bookmark25" w:id="26"/>
      <w:bookmarkEnd w:id="26"/>
      <w:r>
        <w:rPr>
          <w:b w:val="0"/>
        </w:rPr>
      </w:r>
      <w:r>
        <w:rPr/>
        <w:t>NOTA</w:t>
      </w:r>
      <w:r>
        <w:rPr>
          <w:spacing w:val="-1"/>
        </w:rPr>
        <w:t> </w:t>
      </w:r>
      <w:r>
        <w:rPr/>
        <w:t>N° </w:t>
      </w:r>
      <w:r>
        <w:rPr>
          <w:spacing w:val="-10"/>
        </w:rPr>
        <w:t>2</w:t>
      </w:r>
    </w:p>
    <w:p>
      <w:pPr>
        <w:pStyle w:val="BodyText"/>
        <w:spacing w:line="276" w:lineRule="auto" w:before="126"/>
        <w:ind w:left="622" w:right="976"/>
        <w:jc w:val="both"/>
      </w:pPr>
      <w:r>
        <w:rPr/>
        <w:t>Se presentan las revelaciones relacionadas con las Normas Internacionales de Contabilidad para el Sector Público (en su versión 2018). Para estos efectos, el detalle o el fundamento de aplicación o no aplicación de cada norma específica, así como una descripción de las principales Políticas Contables Generales adoptadas para el tratamiento de la información financiera de la entidad, solo se revela en los estados financieros trimestrales.</w:t>
      </w:r>
    </w:p>
    <w:p>
      <w:pPr>
        <w:pStyle w:val="BodyText"/>
        <w:spacing w:before="118"/>
      </w:pPr>
    </w:p>
    <w:p>
      <w:pPr>
        <w:pStyle w:val="Heading5"/>
        <w:spacing w:before="1"/>
      </w:pPr>
      <w:bookmarkStart w:name="_bookmark26" w:id="27"/>
      <w:bookmarkEnd w:id="27"/>
      <w:r>
        <w:rPr>
          <w:b w:val="0"/>
        </w:rPr>
      </w:r>
      <w:r>
        <w:rPr/>
        <w:t>NOTAS</w:t>
      </w:r>
      <w:r>
        <w:rPr>
          <w:spacing w:val="-8"/>
        </w:rPr>
        <w:t> </w:t>
      </w:r>
      <w:r>
        <w:rPr/>
        <w:t>A</w:t>
      </w:r>
      <w:r>
        <w:rPr>
          <w:spacing w:val="-4"/>
        </w:rPr>
        <w:t> </w:t>
      </w:r>
      <w:r>
        <w:rPr/>
        <w:t>LAS</w:t>
      </w:r>
      <w:r>
        <w:rPr>
          <w:spacing w:val="-4"/>
        </w:rPr>
        <w:t> </w:t>
      </w:r>
      <w:r>
        <w:rPr/>
        <w:t>PARTIDAS</w:t>
      </w:r>
      <w:r>
        <w:rPr>
          <w:spacing w:val="-2"/>
        </w:rPr>
        <w:t> </w:t>
      </w:r>
      <w:r>
        <w:rPr/>
        <w:t>DE</w:t>
      </w:r>
      <w:r>
        <w:rPr>
          <w:spacing w:val="-5"/>
        </w:rPr>
        <w:t> </w:t>
      </w:r>
      <w:r>
        <w:rPr/>
        <w:t>LOS</w:t>
      </w:r>
      <w:r>
        <w:rPr>
          <w:spacing w:val="-4"/>
        </w:rPr>
        <w:t> </w:t>
      </w:r>
      <w:r>
        <w:rPr/>
        <w:t>ESTADOS</w:t>
      </w:r>
      <w:r>
        <w:rPr>
          <w:spacing w:val="-5"/>
        </w:rPr>
        <w:t> </w:t>
      </w:r>
      <w:r>
        <w:rPr>
          <w:spacing w:val="-2"/>
        </w:rPr>
        <w:t>FINANCIEROS</w:t>
      </w:r>
    </w:p>
    <w:p>
      <w:pPr>
        <w:pStyle w:val="BodyText"/>
        <w:spacing w:before="182"/>
        <w:rPr>
          <w:b/>
        </w:rPr>
      </w:pPr>
    </w:p>
    <w:p>
      <w:pPr>
        <w:pStyle w:val="BodyText"/>
        <w:spacing w:line="259" w:lineRule="auto"/>
        <w:ind w:left="622" w:right="977"/>
        <w:jc w:val="both"/>
      </w:pPr>
      <w:r>
        <w:rPr>
          <w:b/>
        </w:rPr>
        <w:t>Indicación 1</w:t>
      </w:r>
      <w:r>
        <w:rPr/>
        <w:t>: Para determinar la variación relativa (en porcentaje) de un periodo respecto a otro, se debe aplicar la siguiente formula:(Periodo actual-Periodo anterior = Diferencia), (Diferencia/Periodo Anterior=Variación Decimal * 100) = Variación Porcentual.</w:t>
      </w:r>
    </w:p>
    <w:p>
      <w:pPr>
        <w:pStyle w:val="BodyText"/>
        <w:spacing w:line="259" w:lineRule="auto" w:before="159"/>
        <w:ind w:left="622" w:right="976"/>
        <w:jc w:val="both"/>
      </w:pPr>
      <w:r>
        <w:rPr>
          <w:b/>
        </w:rPr>
        <w:t>Indicación 2</w:t>
      </w:r>
      <w:r>
        <w:rPr/>
        <w:t>:</w:t>
      </w:r>
      <w:r>
        <w:rPr>
          <w:spacing w:val="40"/>
        </w:rPr>
        <w:t> </w:t>
      </w:r>
      <w:r>
        <w:rPr/>
        <w:t>La Entidad debe revelar toda aquella información que considere pertinente y justifique los registros en los Estados Financieros. Considerando la variación porcentual la entidad debe ser concisa al justificar dicha diferencia.</w:t>
      </w:r>
    </w:p>
    <w:p>
      <w:pPr>
        <w:pStyle w:val="BodyText"/>
      </w:pPr>
    </w:p>
    <w:p>
      <w:pPr>
        <w:pStyle w:val="BodyText"/>
        <w:spacing w:before="87"/>
      </w:pPr>
    </w:p>
    <w:p>
      <w:pPr>
        <w:pStyle w:val="Heading5"/>
      </w:pPr>
      <w:bookmarkStart w:name="_bookmark27" w:id="28"/>
      <w:bookmarkEnd w:id="28"/>
      <w:r>
        <w:rPr>
          <w:b w:val="0"/>
        </w:rPr>
      </w:r>
      <w:r>
        <w:rPr/>
        <w:t>NOTAS</w:t>
      </w:r>
      <w:r>
        <w:rPr>
          <w:spacing w:val="-3"/>
        </w:rPr>
        <w:t> </w:t>
      </w:r>
      <w:r>
        <w:rPr/>
        <w:t>ESTADO</w:t>
      </w:r>
      <w:r>
        <w:rPr>
          <w:spacing w:val="-4"/>
        </w:rPr>
        <w:t> </w:t>
      </w:r>
      <w:r>
        <w:rPr/>
        <w:t>DE</w:t>
      </w:r>
      <w:r>
        <w:rPr>
          <w:spacing w:val="-8"/>
        </w:rPr>
        <w:t> </w:t>
      </w:r>
      <w:r>
        <w:rPr/>
        <w:t>SITUACION</w:t>
      </w:r>
      <w:r>
        <w:rPr>
          <w:spacing w:val="-3"/>
        </w:rPr>
        <w:t> </w:t>
      </w:r>
      <w:r>
        <w:rPr>
          <w:spacing w:val="-2"/>
        </w:rPr>
        <w:t>FINANCIERA</w:t>
      </w:r>
    </w:p>
    <w:p>
      <w:pPr>
        <w:pStyle w:val="Heading5"/>
        <w:numPr>
          <w:ilvl w:val="1"/>
          <w:numId w:val="30"/>
        </w:numPr>
        <w:tabs>
          <w:tab w:pos="999" w:val="left" w:leader="none"/>
        </w:tabs>
        <w:spacing w:line="240" w:lineRule="auto" w:before="42" w:after="0"/>
        <w:ind w:left="999" w:right="0" w:hanging="377"/>
        <w:jc w:val="left"/>
      </w:pPr>
      <w:bookmarkStart w:name="_bookmark28" w:id="29"/>
      <w:bookmarkEnd w:id="29"/>
      <w:r>
        <w:rPr>
          <w:b w:val="0"/>
        </w:rPr>
      </w:r>
      <w:r>
        <w:rPr>
          <w:color w:val="1F3762"/>
          <w:spacing w:val="-2"/>
        </w:rPr>
        <w:t>ACTIVO</w:t>
      </w:r>
    </w:p>
    <w:p>
      <w:pPr>
        <w:pStyle w:val="BodyText"/>
        <w:spacing w:before="114"/>
        <w:rPr>
          <w:b/>
        </w:rPr>
      </w:pPr>
    </w:p>
    <w:p>
      <w:pPr>
        <w:pStyle w:val="Heading5"/>
        <w:numPr>
          <w:ilvl w:val="1"/>
          <w:numId w:val="31"/>
        </w:numPr>
        <w:tabs>
          <w:tab w:pos="946" w:val="left" w:leader="none"/>
        </w:tabs>
        <w:spacing w:line="240" w:lineRule="auto" w:before="1" w:after="0"/>
        <w:ind w:left="946" w:right="0" w:hanging="324"/>
        <w:jc w:val="left"/>
      </w:pPr>
      <w:bookmarkStart w:name="_bookmark29" w:id="30"/>
      <w:bookmarkEnd w:id="30"/>
      <w:r>
        <w:rPr>
          <w:b w:val="0"/>
        </w:rPr>
      </w:r>
      <w:r>
        <w:rPr>
          <w:color w:val="1F3762"/>
        </w:rPr>
        <w:t>ACTIVO</w:t>
      </w:r>
      <w:r>
        <w:rPr>
          <w:color w:val="1F3762"/>
          <w:spacing w:val="-6"/>
        </w:rPr>
        <w:t> </w:t>
      </w:r>
      <w:r>
        <w:rPr>
          <w:color w:val="1F3762"/>
          <w:spacing w:val="-2"/>
        </w:rPr>
        <w:t>CORRIENTE</w:t>
      </w:r>
    </w:p>
    <w:p>
      <w:pPr>
        <w:pStyle w:val="BodyText"/>
        <w:spacing w:before="112"/>
        <w:rPr>
          <w:b/>
        </w:rPr>
      </w:pPr>
    </w:p>
    <w:p>
      <w:pPr>
        <w:pStyle w:val="Heading5"/>
      </w:pPr>
      <w:bookmarkStart w:name="_bookmark30" w:id="31"/>
      <w:bookmarkEnd w:id="31"/>
      <w:r>
        <w:rPr>
          <w:b w:val="0"/>
        </w:rPr>
      </w:r>
      <w:r>
        <w:rPr/>
        <w:t>NOTA</w:t>
      </w:r>
      <w:r>
        <w:rPr>
          <w:spacing w:val="-1"/>
        </w:rPr>
        <w:t> </w:t>
      </w:r>
      <w:r>
        <w:rPr/>
        <w:t>N° </w:t>
      </w:r>
      <w:r>
        <w:rPr>
          <w:spacing w:val="-10"/>
        </w:rPr>
        <w:t>3</w:t>
      </w:r>
    </w:p>
    <w:p>
      <w:pPr>
        <w:pStyle w:val="BodyText"/>
        <w:spacing w:before="126"/>
        <w:ind w:left="622"/>
        <w:jc w:val="both"/>
      </w:pPr>
      <w:r>
        <w:rPr/>
        <w:t>Efectivo</w:t>
      </w:r>
      <w:r>
        <w:rPr>
          <w:spacing w:val="-3"/>
        </w:rPr>
        <w:t> </w:t>
      </w:r>
      <w:r>
        <w:rPr/>
        <w:t>y</w:t>
      </w:r>
      <w:r>
        <w:rPr>
          <w:spacing w:val="-3"/>
        </w:rPr>
        <w:t> </w:t>
      </w:r>
      <w:r>
        <w:rPr/>
        <w:t>Equivalente</w:t>
      </w:r>
      <w:r>
        <w:rPr>
          <w:spacing w:val="-3"/>
        </w:rPr>
        <w:t> </w:t>
      </w:r>
      <w:r>
        <w:rPr/>
        <w:t>De</w:t>
      </w:r>
      <w:r>
        <w:rPr>
          <w:spacing w:val="-3"/>
        </w:rPr>
        <w:t> </w:t>
      </w:r>
      <w:r>
        <w:rPr>
          <w:spacing w:val="-2"/>
        </w:rPr>
        <w:t>Efectivo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6"/>
        <w:gridCol w:w="2665"/>
        <w:gridCol w:w="762"/>
        <w:gridCol w:w="1407"/>
        <w:gridCol w:w="1933"/>
        <w:gridCol w:w="1074"/>
      </w:tblGrid>
      <w:tr>
        <w:trPr>
          <w:trHeight w:val="246" w:hRule="atLeast"/>
        </w:trPr>
        <w:tc>
          <w:tcPr>
            <w:tcW w:w="1006" w:type="dxa"/>
            <w:vMerge w:val="restart"/>
            <w:shd w:val="clear" w:color="auto" w:fill="365F92"/>
          </w:tcPr>
          <w:p>
            <w:pPr>
              <w:pStyle w:val="TableParagraph"/>
              <w:spacing w:before="221"/>
              <w:ind w:left="215"/>
              <w:rPr>
                <w:b/>
                <w:sz w:val="20"/>
              </w:rPr>
            </w:pPr>
            <w:r>
              <w:rPr>
                <w:b/>
                <w:color w:val="FFFFFF"/>
                <w:spacing w:val="-2"/>
                <w:sz w:val="20"/>
              </w:rPr>
              <w:t>Cuenta</w:t>
            </w:r>
          </w:p>
        </w:tc>
        <w:tc>
          <w:tcPr>
            <w:tcW w:w="2665" w:type="dxa"/>
            <w:vMerge w:val="restart"/>
            <w:shd w:val="clear" w:color="auto" w:fill="365F92"/>
          </w:tcPr>
          <w:p>
            <w:pPr>
              <w:pStyle w:val="TableParagraph"/>
              <w:spacing w:before="221"/>
              <w:ind w:left="849"/>
              <w:rPr>
                <w:b/>
                <w:sz w:val="20"/>
              </w:rPr>
            </w:pPr>
            <w:r>
              <w:rPr>
                <w:b/>
                <w:color w:val="FFFFFF"/>
                <w:spacing w:val="-2"/>
                <w:sz w:val="20"/>
              </w:rPr>
              <w:t>Descripción</w:t>
            </w:r>
          </w:p>
        </w:tc>
        <w:tc>
          <w:tcPr>
            <w:tcW w:w="762" w:type="dxa"/>
            <w:vMerge w:val="restart"/>
            <w:shd w:val="clear" w:color="auto" w:fill="365F92"/>
          </w:tcPr>
          <w:p>
            <w:pPr>
              <w:pStyle w:val="TableParagraph"/>
              <w:spacing w:before="221"/>
              <w:ind w:left="183"/>
              <w:rPr>
                <w:b/>
                <w:sz w:val="20"/>
              </w:rPr>
            </w:pPr>
            <w:r>
              <w:rPr>
                <w:b/>
                <w:color w:val="FFFFFF"/>
                <w:spacing w:val="-4"/>
                <w:sz w:val="20"/>
              </w:rPr>
              <w:t>Nota</w:t>
            </w:r>
          </w:p>
        </w:tc>
        <w:tc>
          <w:tcPr>
            <w:tcW w:w="1407" w:type="dxa"/>
            <w:vMerge w:val="restart"/>
            <w:shd w:val="clear" w:color="auto" w:fill="365F92"/>
          </w:tcPr>
          <w:p>
            <w:pPr>
              <w:pStyle w:val="TableParagraph"/>
              <w:spacing w:before="221"/>
              <w:ind w:left="125"/>
              <w:rPr>
                <w:b/>
                <w:sz w:val="20"/>
              </w:rPr>
            </w:pPr>
            <w:r>
              <w:rPr>
                <w:b/>
                <w:color w:val="FFFFFF"/>
                <w:sz w:val="20"/>
              </w:rPr>
              <w:t>Periodo</w:t>
            </w:r>
            <w:r>
              <w:rPr>
                <w:b/>
                <w:color w:val="FFFFFF"/>
                <w:spacing w:val="-5"/>
                <w:sz w:val="20"/>
              </w:rPr>
              <w:t> </w:t>
            </w:r>
            <w:r>
              <w:rPr>
                <w:b/>
                <w:color w:val="FFFFFF"/>
                <w:spacing w:val="-2"/>
                <w:sz w:val="20"/>
              </w:rPr>
              <w:t>Actual</w:t>
            </w:r>
          </w:p>
        </w:tc>
        <w:tc>
          <w:tcPr>
            <w:tcW w:w="1933" w:type="dxa"/>
            <w:vMerge w:val="restart"/>
            <w:shd w:val="clear" w:color="auto" w:fill="365F92"/>
          </w:tcPr>
          <w:p>
            <w:pPr>
              <w:pStyle w:val="TableParagraph"/>
              <w:spacing w:before="221"/>
              <w:ind w:left="307"/>
              <w:rPr>
                <w:b/>
                <w:sz w:val="20"/>
              </w:rPr>
            </w:pPr>
            <w:r>
              <w:rPr>
                <w:b/>
                <w:color w:val="FFFFFF"/>
                <w:sz w:val="20"/>
              </w:rPr>
              <w:t>Periodo</w:t>
            </w:r>
            <w:r>
              <w:rPr>
                <w:b/>
                <w:color w:val="FFFFFF"/>
                <w:spacing w:val="-5"/>
                <w:sz w:val="20"/>
              </w:rPr>
              <w:t> </w:t>
            </w:r>
            <w:r>
              <w:rPr>
                <w:b/>
                <w:color w:val="FFFFFF"/>
                <w:spacing w:val="-2"/>
                <w:sz w:val="20"/>
              </w:rPr>
              <w:t>Anterior</w:t>
            </w:r>
          </w:p>
        </w:tc>
        <w:tc>
          <w:tcPr>
            <w:tcW w:w="1074" w:type="dxa"/>
            <w:shd w:val="clear" w:color="auto" w:fill="365F92"/>
          </w:tcPr>
          <w:p>
            <w:pPr>
              <w:pStyle w:val="TableParagraph"/>
              <w:spacing w:line="218" w:lineRule="exact" w:before="8"/>
              <w:ind w:left="116"/>
              <w:rPr>
                <w:b/>
                <w:sz w:val="20"/>
              </w:rPr>
            </w:pPr>
            <w:r>
              <w:rPr>
                <w:b/>
                <w:color w:val="FFFFFF"/>
                <w:spacing w:val="-2"/>
                <w:sz w:val="20"/>
              </w:rPr>
              <w:t>Diferencia</w:t>
            </w:r>
          </w:p>
        </w:tc>
      </w:tr>
      <w:tr>
        <w:trPr>
          <w:trHeight w:val="404" w:hRule="atLeast"/>
        </w:trPr>
        <w:tc>
          <w:tcPr>
            <w:tcW w:w="1006" w:type="dxa"/>
            <w:vMerge/>
            <w:tcBorders>
              <w:top w:val="nil"/>
            </w:tcBorders>
            <w:shd w:val="clear" w:color="auto" w:fill="365F92"/>
          </w:tcPr>
          <w:p>
            <w:pPr>
              <w:rPr>
                <w:sz w:val="2"/>
                <w:szCs w:val="2"/>
              </w:rPr>
            </w:pPr>
          </w:p>
        </w:tc>
        <w:tc>
          <w:tcPr>
            <w:tcW w:w="2665" w:type="dxa"/>
            <w:vMerge/>
            <w:tcBorders>
              <w:top w:val="nil"/>
            </w:tcBorders>
            <w:shd w:val="clear" w:color="auto" w:fill="365F92"/>
          </w:tcPr>
          <w:p>
            <w:pPr>
              <w:rPr>
                <w:sz w:val="2"/>
                <w:szCs w:val="2"/>
              </w:rPr>
            </w:pPr>
          </w:p>
        </w:tc>
        <w:tc>
          <w:tcPr>
            <w:tcW w:w="762" w:type="dxa"/>
            <w:vMerge/>
            <w:tcBorders>
              <w:top w:val="nil"/>
            </w:tcBorders>
            <w:shd w:val="clear" w:color="auto" w:fill="365F92"/>
          </w:tcPr>
          <w:p>
            <w:pPr>
              <w:rPr>
                <w:sz w:val="2"/>
                <w:szCs w:val="2"/>
              </w:rPr>
            </w:pPr>
          </w:p>
        </w:tc>
        <w:tc>
          <w:tcPr>
            <w:tcW w:w="1407" w:type="dxa"/>
            <w:vMerge/>
            <w:tcBorders>
              <w:top w:val="nil"/>
            </w:tcBorders>
            <w:shd w:val="clear" w:color="auto" w:fill="365F92"/>
          </w:tcPr>
          <w:p>
            <w:pPr>
              <w:rPr>
                <w:sz w:val="2"/>
                <w:szCs w:val="2"/>
              </w:rPr>
            </w:pPr>
          </w:p>
        </w:tc>
        <w:tc>
          <w:tcPr>
            <w:tcW w:w="1933" w:type="dxa"/>
            <w:vMerge/>
            <w:tcBorders>
              <w:top w:val="nil"/>
            </w:tcBorders>
            <w:shd w:val="clear" w:color="auto" w:fill="365F92"/>
          </w:tcPr>
          <w:p>
            <w:pPr>
              <w:rPr>
                <w:sz w:val="2"/>
                <w:szCs w:val="2"/>
              </w:rPr>
            </w:pPr>
          </w:p>
        </w:tc>
        <w:tc>
          <w:tcPr>
            <w:tcW w:w="1074" w:type="dxa"/>
            <w:shd w:val="clear" w:color="auto" w:fill="365F92"/>
          </w:tcPr>
          <w:p>
            <w:pPr>
              <w:pStyle w:val="TableParagraph"/>
              <w:spacing w:line="227" w:lineRule="exact"/>
              <w:ind w:left="8"/>
              <w:jc w:val="center"/>
              <w:rPr>
                <w:b/>
                <w:sz w:val="20"/>
              </w:rPr>
            </w:pPr>
            <w:r>
              <w:rPr>
                <w:b/>
                <w:color w:val="FFFFFF"/>
                <w:spacing w:val="-10"/>
                <w:sz w:val="20"/>
              </w:rPr>
              <w:t>%</w:t>
            </w:r>
          </w:p>
        </w:tc>
      </w:tr>
      <w:tr>
        <w:trPr>
          <w:trHeight w:val="655" w:hRule="atLeast"/>
        </w:trPr>
        <w:tc>
          <w:tcPr>
            <w:tcW w:w="1006" w:type="dxa"/>
          </w:tcPr>
          <w:p>
            <w:pPr>
              <w:pStyle w:val="TableParagraph"/>
              <w:spacing w:before="124"/>
              <w:ind w:left="69"/>
              <w:rPr>
                <w:b/>
                <w:sz w:val="20"/>
              </w:rPr>
            </w:pPr>
            <w:r>
              <w:rPr>
                <w:b/>
                <w:spacing w:val="-2"/>
                <w:sz w:val="20"/>
              </w:rPr>
              <w:t>1.1.1.</w:t>
            </w:r>
          </w:p>
        </w:tc>
        <w:tc>
          <w:tcPr>
            <w:tcW w:w="2665" w:type="dxa"/>
          </w:tcPr>
          <w:p>
            <w:pPr>
              <w:pStyle w:val="TableParagraph"/>
              <w:spacing w:line="259" w:lineRule="auto"/>
              <w:ind w:left="68" w:right="9"/>
              <w:rPr>
                <w:b/>
                <w:sz w:val="20"/>
              </w:rPr>
            </w:pPr>
            <w:r>
              <w:rPr>
                <w:b/>
                <w:sz w:val="20"/>
              </w:rPr>
              <w:t>Efectivo</w:t>
            </w:r>
            <w:r>
              <w:rPr>
                <w:b/>
                <w:spacing w:val="-12"/>
                <w:sz w:val="20"/>
              </w:rPr>
              <w:t> </w:t>
            </w:r>
            <w:r>
              <w:rPr>
                <w:b/>
                <w:sz w:val="20"/>
              </w:rPr>
              <w:t>y</w:t>
            </w:r>
            <w:r>
              <w:rPr>
                <w:b/>
                <w:spacing w:val="-12"/>
                <w:sz w:val="20"/>
              </w:rPr>
              <w:t> </w:t>
            </w:r>
            <w:r>
              <w:rPr>
                <w:b/>
                <w:sz w:val="20"/>
              </w:rPr>
              <w:t>equivalentes</w:t>
            </w:r>
            <w:r>
              <w:rPr>
                <w:b/>
                <w:spacing w:val="-13"/>
                <w:sz w:val="20"/>
              </w:rPr>
              <w:t> </w:t>
            </w:r>
            <w:r>
              <w:rPr>
                <w:b/>
                <w:sz w:val="20"/>
              </w:rPr>
              <w:t>de </w:t>
            </w:r>
            <w:r>
              <w:rPr>
                <w:b/>
                <w:spacing w:val="-2"/>
                <w:sz w:val="20"/>
              </w:rPr>
              <w:t>efectivo</w:t>
            </w:r>
          </w:p>
        </w:tc>
        <w:tc>
          <w:tcPr>
            <w:tcW w:w="762" w:type="dxa"/>
          </w:tcPr>
          <w:p>
            <w:pPr>
              <w:pStyle w:val="TableParagraph"/>
              <w:spacing w:before="124"/>
              <w:ind w:left="68"/>
              <w:rPr>
                <w:b/>
                <w:sz w:val="20"/>
              </w:rPr>
            </w:pPr>
            <w:r>
              <w:rPr>
                <w:b/>
                <w:spacing w:val="-5"/>
                <w:sz w:val="20"/>
              </w:rPr>
              <w:t>03</w:t>
            </w:r>
          </w:p>
        </w:tc>
        <w:tc>
          <w:tcPr>
            <w:tcW w:w="1407" w:type="dxa"/>
          </w:tcPr>
          <w:p>
            <w:pPr>
              <w:pStyle w:val="TableParagraph"/>
              <w:spacing w:before="124"/>
              <w:ind w:left="199"/>
              <w:rPr>
                <w:b/>
                <w:sz w:val="20"/>
              </w:rPr>
            </w:pPr>
            <w:r>
              <w:rPr>
                <w:b/>
                <w:sz w:val="20"/>
              </w:rPr>
              <w:t>34</w:t>
            </w:r>
            <w:r>
              <w:rPr>
                <w:b/>
                <w:spacing w:val="-3"/>
                <w:sz w:val="20"/>
              </w:rPr>
              <w:t> </w:t>
            </w:r>
            <w:r>
              <w:rPr>
                <w:b/>
                <w:sz w:val="20"/>
              </w:rPr>
              <w:t>068</w:t>
            </w:r>
            <w:r>
              <w:rPr>
                <w:b/>
                <w:spacing w:val="-2"/>
                <w:sz w:val="20"/>
              </w:rPr>
              <w:t> 168,63</w:t>
            </w:r>
          </w:p>
        </w:tc>
        <w:tc>
          <w:tcPr>
            <w:tcW w:w="1933" w:type="dxa"/>
          </w:tcPr>
          <w:p>
            <w:pPr>
              <w:pStyle w:val="TableParagraph"/>
              <w:spacing w:before="124"/>
              <w:ind w:left="727"/>
              <w:rPr>
                <w:b/>
                <w:sz w:val="20"/>
              </w:rPr>
            </w:pPr>
            <w:r>
              <w:rPr>
                <w:b/>
                <w:sz w:val="20"/>
              </w:rPr>
              <w:t>39</w:t>
            </w:r>
            <w:r>
              <w:rPr>
                <w:b/>
                <w:spacing w:val="-3"/>
                <w:sz w:val="20"/>
              </w:rPr>
              <w:t> </w:t>
            </w:r>
            <w:r>
              <w:rPr>
                <w:b/>
                <w:sz w:val="20"/>
              </w:rPr>
              <w:t>811</w:t>
            </w:r>
            <w:r>
              <w:rPr>
                <w:b/>
                <w:spacing w:val="-2"/>
                <w:sz w:val="20"/>
              </w:rPr>
              <w:t> 023,78</w:t>
            </w:r>
          </w:p>
        </w:tc>
        <w:tc>
          <w:tcPr>
            <w:tcW w:w="1074" w:type="dxa"/>
          </w:tcPr>
          <w:p>
            <w:pPr>
              <w:pStyle w:val="TableParagraph"/>
              <w:spacing w:before="124"/>
              <w:ind w:left="359"/>
              <w:rPr>
                <w:b/>
                <w:sz w:val="20"/>
              </w:rPr>
            </w:pPr>
            <w:r>
              <w:rPr>
                <w:b/>
                <w:spacing w:val="-2"/>
                <w:sz w:val="20"/>
              </w:rPr>
              <w:t>-14,43%</w:t>
            </w:r>
          </w:p>
        </w:tc>
      </w:tr>
    </w:tbl>
    <w:p>
      <w:pPr>
        <w:pStyle w:val="BodyText"/>
        <w:spacing w:line="259" w:lineRule="auto" w:before="1"/>
        <w:ind w:left="622" w:right="977"/>
        <w:jc w:val="both"/>
      </w:pPr>
      <w:r>
        <w:rPr/>
        <w:t>Esta</w:t>
      </w:r>
      <w:r>
        <w:rPr>
          <w:spacing w:val="-3"/>
        </w:rPr>
        <w:t> </w:t>
      </w:r>
      <w:r>
        <w:rPr/>
        <w:t>cuenta</w:t>
      </w:r>
      <w:r>
        <w:rPr>
          <w:spacing w:val="-6"/>
        </w:rPr>
        <w:t> </w:t>
      </w:r>
      <w:r>
        <w:rPr/>
        <w:t>incluye</w:t>
      </w:r>
      <w:r>
        <w:rPr>
          <w:spacing w:val="-4"/>
        </w:rPr>
        <w:t> </w:t>
      </w:r>
      <w:r>
        <w:rPr/>
        <w:t>los</w:t>
      </w:r>
      <w:r>
        <w:rPr>
          <w:spacing w:val="-4"/>
        </w:rPr>
        <w:t> </w:t>
      </w:r>
      <w:r>
        <w:rPr/>
        <w:t>recursos</w:t>
      </w:r>
      <w:r>
        <w:rPr>
          <w:spacing w:val="-5"/>
        </w:rPr>
        <w:t> </w:t>
      </w:r>
      <w:r>
        <w:rPr/>
        <w:t>mantenidos</w:t>
      </w:r>
      <w:r>
        <w:rPr>
          <w:spacing w:val="-5"/>
        </w:rPr>
        <w:t> </w:t>
      </w:r>
      <w:r>
        <w:rPr/>
        <w:t>en</w:t>
      </w:r>
      <w:r>
        <w:rPr>
          <w:spacing w:val="-3"/>
        </w:rPr>
        <w:t> </w:t>
      </w:r>
      <w:r>
        <w:rPr/>
        <w:t>dinero</w:t>
      </w:r>
      <w:r>
        <w:rPr>
          <w:spacing w:val="-5"/>
        </w:rPr>
        <w:t> </w:t>
      </w:r>
      <w:r>
        <w:rPr/>
        <w:t>efectivo,</w:t>
      </w:r>
      <w:r>
        <w:rPr>
          <w:spacing w:val="-3"/>
        </w:rPr>
        <w:t> </w:t>
      </w:r>
      <w:r>
        <w:rPr/>
        <w:t>los</w:t>
      </w:r>
      <w:r>
        <w:rPr>
          <w:spacing w:val="-2"/>
        </w:rPr>
        <w:t> </w:t>
      </w:r>
      <w:r>
        <w:rPr/>
        <w:t>recursos</w:t>
      </w:r>
      <w:r>
        <w:rPr>
          <w:spacing w:val="-2"/>
        </w:rPr>
        <w:t> </w:t>
      </w:r>
      <w:r>
        <w:rPr/>
        <w:t>depositados</w:t>
      </w:r>
      <w:r>
        <w:rPr>
          <w:spacing w:val="-5"/>
        </w:rPr>
        <w:t> </w:t>
      </w:r>
      <w:r>
        <w:rPr/>
        <w:t>bajo</w:t>
      </w:r>
      <w:r>
        <w:rPr>
          <w:spacing w:val="-3"/>
        </w:rPr>
        <w:t> </w:t>
      </w:r>
      <w:r>
        <w:rPr/>
        <w:t>la</w:t>
      </w:r>
      <w:r>
        <w:rPr>
          <w:spacing w:val="-7"/>
        </w:rPr>
        <w:t> </w:t>
      </w:r>
      <w:r>
        <w:rPr/>
        <w:t>forma de</w:t>
      </w:r>
      <w:r>
        <w:rPr>
          <w:spacing w:val="-3"/>
        </w:rPr>
        <w:t> </w:t>
      </w:r>
      <w:r>
        <w:rPr/>
        <w:t>cuentas corrientes,</w:t>
      </w:r>
      <w:r>
        <w:rPr>
          <w:spacing w:val="-1"/>
        </w:rPr>
        <w:t> </w:t>
      </w:r>
      <w:r>
        <w:rPr/>
        <w:t>con</w:t>
      </w:r>
      <w:r>
        <w:rPr>
          <w:spacing w:val="-3"/>
        </w:rPr>
        <w:t> </w:t>
      </w:r>
      <w:r>
        <w:rPr/>
        <w:t>recursos</w:t>
      </w:r>
      <w:r>
        <w:rPr>
          <w:spacing w:val="-2"/>
        </w:rPr>
        <w:t> </w:t>
      </w:r>
      <w:r>
        <w:rPr/>
        <w:t>para</w:t>
      </w:r>
      <w:r>
        <w:rPr>
          <w:spacing w:val="-2"/>
        </w:rPr>
        <w:t> </w:t>
      </w:r>
      <w:r>
        <w:rPr/>
        <w:t>gastos</w:t>
      </w:r>
      <w:r>
        <w:rPr>
          <w:spacing w:val="-2"/>
        </w:rPr>
        <w:t> </w:t>
      </w:r>
      <w:r>
        <w:rPr/>
        <w:t>programas administrativos,</w:t>
      </w:r>
      <w:r>
        <w:rPr>
          <w:spacing w:val="-3"/>
        </w:rPr>
        <w:t> </w:t>
      </w:r>
      <w:r>
        <w:rPr/>
        <w:t>gastos programas</w:t>
      </w:r>
      <w:r>
        <w:rPr>
          <w:spacing w:val="-2"/>
        </w:rPr>
        <w:t> </w:t>
      </w:r>
      <w:r>
        <w:rPr/>
        <w:t>sociales</w:t>
      </w:r>
      <w:r>
        <w:rPr>
          <w:spacing w:val="-2"/>
        </w:rPr>
        <w:t> </w:t>
      </w:r>
      <w:r>
        <w:rPr/>
        <w:t>y los fondos destinados a</w:t>
      </w:r>
      <w:r>
        <w:rPr>
          <w:spacing w:val="-1"/>
        </w:rPr>
        <w:t> </w:t>
      </w:r>
      <w:r>
        <w:rPr/>
        <w:t>atender determinadas clases de</w:t>
      </w:r>
      <w:r>
        <w:rPr>
          <w:spacing w:val="-2"/>
        </w:rPr>
        <w:t> </w:t>
      </w:r>
      <w:r>
        <w:rPr/>
        <w:t>gastos, incluso aquellos de</w:t>
      </w:r>
      <w:r>
        <w:rPr>
          <w:spacing w:val="-2"/>
        </w:rPr>
        <w:t> </w:t>
      </w:r>
      <w:r>
        <w:rPr/>
        <w:t>carácter menores</w:t>
      </w:r>
      <w:r>
        <w:rPr>
          <w:spacing w:val="-1"/>
        </w:rPr>
        <w:t> </w:t>
      </w:r>
      <w:r>
        <w:rPr/>
        <w:t>y urgentes, en el marco de la normativa específica sobre Cajas chicas que son</w:t>
      </w:r>
      <w:r>
        <w:rPr>
          <w:spacing w:val="40"/>
        </w:rPr>
        <w:t> </w:t>
      </w:r>
      <w:r>
        <w:rPr/>
        <w:t>mantenidos en cuentas bancarias, todo lo anterior sin restricciones de disponibilidad, en moneda nacional o en moneda extranjera. Se incluye además la totalidad de los fondos depositados en las cuentas de Caja Única en moneda nacional a través de la Tesorería Nacional.</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6480">
                <wp:simplePos x="0" y="0"/>
                <wp:positionH relativeFrom="page">
                  <wp:posOffset>9525</wp:posOffset>
                </wp:positionH>
                <wp:positionV relativeFrom="page">
                  <wp:posOffset>297208</wp:posOffset>
                </wp:positionV>
                <wp:extent cx="7762875" cy="974852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7762875" cy="9748520"/>
                          <a:chExt cx="7762875" cy="9748520"/>
                        </a:xfrm>
                      </wpg:grpSpPr>
                      <pic:pic>
                        <pic:nvPicPr>
                          <pic:cNvPr id="155" name="Image 155"/>
                          <pic:cNvPicPr/>
                        </pic:nvPicPr>
                        <pic:blipFill>
                          <a:blip r:embed="rId5" cstate="print"/>
                          <a:stretch>
                            <a:fillRect/>
                          </a:stretch>
                        </pic:blipFill>
                        <pic:spPr>
                          <a:xfrm>
                            <a:off x="0" y="0"/>
                            <a:ext cx="7762874" cy="9748489"/>
                          </a:xfrm>
                          <a:prstGeom prst="rect">
                            <a:avLst/>
                          </a:prstGeom>
                        </pic:spPr>
                      </pic:pic>
                      <wps:wsp>
                        <wps:cNvPr id="156" name="Graphic 15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60000" id="docshapegroup153" coordorigin="15,468" coordsize="12225,15352">
                <v:shape style="position:absolute;left:15;top:468;width:12225;height:15352" type="#_x0000_t75" id="docshape154" stroked="false">
                  <v:imagedata r:id="rId5" o:title=""/>
                </v:shape>
                <v:rect style="position:absolute;left:1673;top:2028;width:8897;height:15" id="docshape15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45</w:t>
      </w:r>
    </w:p>
    <w:p>
      <w:pPr>
        <w:pStyle w:val="BodyText"/>
        <w:spacing w:before="218"/>
        <w:ind w:left="622"/>
      </w:pPr>
      <w:r>
        <w:rPr/>
        <w:t>Detalle</w:t>
      </w:r>
      <w:r>
        <w:rPr>
          <w:spacing w:val="-6"/>
        </w:rPr>
        <w:t> </w:t>
      </w:r>
      <w:r>
        <w:rPr/>
        <w:t>cuentas</w:t>
      </w:r>
      <w:r>
        <w:rPr>
          <w:spacing w:val="-3"/>
        </w:rPr>
        <w:t> </w:t>
      </w:r>
      <w:r>
        <w:rPr/>
        <w:t>corrientes</w:t>
      </w:r>
      <w:r>
        <w:rPr>
          <w:spacing w:val="-3"/>
        </w:rPr>
        <w:t> </w:t>
      </w:r>
      <w:r>
        <w:rPr/>
        <w:t>en</w:t>
      </w:r>
      <w:r>
        <w:rPr>
          <w:spacing w:val="-3"/>
        </w:rPr>
        <w:t> </w:t>
      </w:r>
      <w:r>
        <w:rPr/>
        <w:t>el</w:t>
      </w:r>
      <w:r>
        <w:rPr>
          <w:spacing w:val="-3"/>
        </w:rPr>
        <w:t> </w:t>
      </w:r>
      <w:r>
        <w:rPr/>
        <w:t>sector</w:t>
      </w:r>
      <w:r>
        <w:rPr>
          <w:spacing w:val="-3"/>
        </w:rPr>
        <w:t> </w:t>
      </w:r>
      <w:r>
        <w:rPr/>
        <w:t>privado</w:t>
      </w:r>
      <w:r>
        <w:rPr>
          <w:spacing w:val="-3"/>
        </w:rPr>
        <w:t> </w:t>
      </w:r>
      <w:r>
        <w:rPr>
          <w:spacing w:val="-2"/>
        </w:rPr>
        <w:t>interno</w:t>
      </w:r>
    </w:p>
    <w:p>
      <w:pPr>
        <w:pStyle w:val="BodyText"/>
        <w:spacing w:before="9"/>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86"/>
        <w:gridCol w:w="2892"/>
      </w:tblGrid>
      <w:tr>
        <w:trPr>
          <w:trHeight w:val="287" w:hRule="atLeast"/>
        </w:trPr>
        <w:tc>
          <w:tcPr>
            <w:tcW w:w="1786" w:type="dxa"/>
            <w:tcBorders>
              <w:bottom w:val="nil"/>
            </w:tcBorders>
            <w:shd w:val="clear" w:color="auto" w:fill="365F92"/>
          </w:tcPr>
          <w:p>
            <w:pPr>
              <w:pStyle w:val="TableParagraph"/>
              <w:spacing w:before="29"/>
              <w:ind w:left="69"/>
              <w:rPr>
                <w:b/>
                <w:sz w:val="20"/>
              </w:rPr>
            </w:pPr>
            <w:r>
              <w:rPr>
                <w:b/>
                <w:color w:val="FFFFFF"/>
                <w:spacing w:val="-2"/>
                <w:sz w:val="20"/>
              </w:rPr>
              <w:t>Cuenta</w:t>
            </w:r>
          </w:p>
        </w:tc>
        <w:tc>
          <w:tcPr>
            <w:tcW w:w="2892" w:type="dxa"/>
            <w:tcBorders>
              <w:bottom w:val="nil"/>
            </w:tcBorders>
            <w:shd w:val="clear" w:color="auto" w:fill="365F92"/>
          </w:tcPr>
          <w:p>
            <w:pPr>
              <w:pStyle w:val="TableParagraph"/>
              <w:spacing w:before="29"/>
              <w:ind w:left="964"/>
              <w:rPr>
                <w:b/>
                <w:sz w:val="20"/>
              </w:rPr>
            </w:pPr>
            <w:r>
              <w:rPr>
                <w:b/>
                <w:color w:val="FFFFFF"/>
                <w:spacing w:val="-2"/>
                <w:sz w:val="20"/>
              </w:rPr>
              <w:t>Descripción</w:t>
            </w:r>
          </w:p>
        </w:tc>
      </w:tr>
      <w:tr>
        <w:trPr>
          <w:trHeight w:val="539" w:hRule="atLeast"/>
        </w:trPr>
        <w:tc>
          <w:tcPr>
            <w:tcW w:w="1786" w:type="dxa"/>
            <w:tcBorders>
              <w:top w:val="nil"/>
            </w:tcBorders>
          </w:tcPr>
          <w:p>
            <w:pPr>
              <w:pStyle w:val="TableParagraph"/>
              <w:spacing w:before="155"/>
              <w:ind w:left="69"/>
              <w:rPr>
                <w:b/>
                <w:sz w:val="20"/>
              </w:rPr>
            </w:pPr>
            <w:r>
              <w:rPr>
                <w:b/>
                <w:spacing w:val="-2"/>
                <w:sz w:val="20"/>
              </w:rPr>
              <w:t>1.1.1.01.02.01.2.</w:t>
            </w:r>
          </w:p>
        </w:tc>
        <w:tc>
          <w:tcPr>
            <w:tcW w:w="2892" w:type="dxa"/>
            <w:tcBorders>
              <w:top w:val="nil"/>
            </w:tcBorders>
          </w:tcPr>
          <w:p>
            <w:pPr>
              <w:pStyle w:val="TableParagraph"/>
              <w:spacing w:before="42"/>
              <w:ind w:left="69"/>
              <w:rPr>
                <w:b/>
                <w:sz w:val="20"/>
              </w:rPr>
            </w:pPr>
            <w:r>
              <w:rPr>
                <w:b/>
                <w:sz w:val="20"/>
              </w:rPr>
              <w:t>Cuentas</w:t>
            </w:r>
            <w:r>
              <w:rPr>
                <w:b/>
                <w:spacing w:val="-10"/>
                <w:sz w:val="20"/>
              </w:rPr>
              <w:t> </w:t>
            </w:r>
            <w:r>
              <w:rPr>
                <w:b/>
                <w:sz w:val="20"/>
              </w:rPr>
              <w:t>corrientes</w:t>
            </w:r>
            <w:r>
              <w:rPr>
                <w:b/>
                <w:spacing w:val="-8"/>
                <w:sz w:val="20"/>
              </w:rPr>
              <w:t> </w:t>
            </w:r>
            <w:r>
              <w:rPr>
                <w:b/>
                <w:sz w:val="20"/>
              </w:rPr>
              <w:t>en</w:t>
            </w:r>
            <w:r>
              <w:rPr>
                <w:b/>
                <w:spacing w:val="-10"/>
                <w:sz w:val="20"/>
              </w:rPr>
              <w:t> </w:t>
            </w:r>
            <w:r>
              <w:rPr>
                <w:b/>
                <w:sz w:val="20"/>
              </w:rPr>
              <w:t>el</w:t>
            </w:r>
            <w:r>
              <w:rPr>
                <w:b/>
                <w:spacing w:val="-10"/>
                <w:sz w:val="20"/>
              </w:rPr>
              <w:t> </w:t>
            </w:r>
            <w:r>
              <w:rPr>
                <w:b/>
                <w:sz w:val="20"/>
              </w:rPr>
              <w:t>sector privado interno</w:t>
            </w:r>
          </w:p>
        </w:tc>
      </w:tr>
    </w:tbl>
    <w:p>
      <w:pPr>
        <w:pStyle w:val="BodyText"/>
        <w:spacing w:line="510" w:lineRule="atLeast"/>
        <w:ind w:left="622" w:right="3682"/>
      </w:pPr>
      <w:r>
        <w:rPr/>
        <w:t>No</w:t>
      </w:r>
      <w:r>
        <w:rPr>
          <w:spacing w:val="-4"/>
        </w:rPr>
        <w:t> </w:t>
      </w:r>
      <w:r>
        <w:rPr/>
        <w:t>se</w:t>
      </w:r>
      <w:r>
        <w:rPr>
          <w:spacing w:val="-5"/>
        </w:rPr>
        <w:t> </w:t>
      </w:r>
      <w:r>
        <w:rPr/>
        <w:t>cuenta</w:t>
      </w:r>
      <w:r>
        <w:rPr>
          <w:spacing w:val="-4"/>
        </w:rPr>
        <w:t> </w:t>
      </w:r>
      <w:r>
        <w:rPr/>
        <w:t>con</w:t>
      </w:r>
      <w:r>
        <w:rPr>
          <w:spacing w:val="-4"/>
        </w:rPr>
        <w:t> </w:t>
      </w:r>
      <w:r>
        <w:rPr/>
        <w:t>cuentas</w:t>
      </w:r>
      <w:r>
        <w:rPr>
          <w:spacing w:val="-4"/>
        </w:rPr>
        <w:t> </w:t>
      </w:r>
      <w:r>
        <w:rPr/>
        <w:t>corrientes</w:t>
      </w:r>
      <w:r>
        <w:rPr>
          <w:spacing w:val="-4"/>
        </w:rPr>
        <w:t> </w:t>
      </w:r>
      <w:r>
        <w:rPr/>
        <w:t>en</w:t>
      </w:r>
      <w:r>
        <w:rPr>
          <w:spacing w:val="-4"/>
        </w:rPr>
        <w:t> </w:t>
      </w:r>
      <w:r>
        <w:rPr/>
        <w:t>el</w:t>
      </w:r>
      <w:r>
        <w:rPr>
          <w:spacing w:val="-4"/>
        </w:rPr>
        <w:t> </w:t>
      </w:r>
      <w:r>
        <w:rPr/>
        <w:t>sector</w:t>
      </w:r>
      <w:r>
        <w:rPr>
          <w:spacing w:val="-4"/>
        </w:rPr>
        <w:t> </w:t>
      </w:r>
      <w:r>
        <w:rPr/>
        <w:t>privado</w:t>
      </w:r>
      <w:r>
        <w:rPr>
          <w:spacing w:val="-4"/>
        </w:rPr>
        <w:t> </w:t>
      </w:r>
      <w:r>
        <w:rPr/>
        <w:t>interno Detalle cuentas corrientes en el sector público interno</w:t>
      </w:r>
    </w:p>
    <w:p>
      <w:pPr>
        <w:pStyle w:val="BodyText"/>
        <w:spacing w:before="8"/>
        <w:rPr>
          <w:sz w:val="14"/>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01"/>
        <w:gridCol w:w="4212"/>
      </w:tblGrid>
      <w:tr>
        <w:trPr>
          <w:trHeight w:val="290" w:hRule="atLeast"/>
        </w:trPr>
        <w:tc>
          <w:tcPr>
            <w:tcW w:w="1601" w:type="dxa"/>
            <w:tcBorders>
              <w:bottom w:val="nil"/>
            </w:tcBorders>
            <w:shd w:val="clear" w:color="auto" w:fill="365F92"/>
          </w:tcPr>
          <w:p>
            <w:pPr>
              <w:pStyle w:val="TableParagraph"/>
              <w:spacing w:line="251" w:lineRule="exact" w:before="20"/>
              <w:ind w:left="69"/>
              <w:rPr>
                <w:b/>
                <w:sz w:val="22"/>
              </w:rPr>
            </w:pPr>
            <w:r>
              <w:rPr>
                <w:b/>
                <w:color w:val="FFFFFF"/>
                <w:spacing w:val="-2"/>
                <w:sz w:val="22"/>
              </w:rPr>
              <w:t>Cuenta</w:t>
            </w:r>
          </w:p>
        </w:tc>
        <w:tc>
          <w:tcPr>
            <w:tcW w:w="4212" w:type="dxa"/>
            <w:tcBorders>
              <w:bottom w:val="nil"/>
            </w:tcBorders>
            <w:shd w:val="clear" w:color="auto" w:fill="365F92"/>
          </w:tcPr>
          <w:p>
            <w:pPr>
              <w:pStyle w:val="TableParagraph"/>
              <w:spacing w:line="251" w:lineRule="exact" w:before="20"/>
              <w:ind w:left="16"/>
              <w:jc w:val="center"/>
              <w:rPr>
                <w:b/>
                <w:sz w:val="22"/>
              </w:rPr>
            </w:pPr>
            <w:r>
              <w:rPr>
                <w:b/>
                <w:color w:val="FFFFFF"/>
                <w:spacing w:val="-2"/>
                <w:sz w:val="22"/>
              </w:rPr>
              <w:t>Descripción</w:t>
            </w:r>
          </w:p>
        </w:tc>
      </w:tr>
      <w:tr>
        <w:trPr>
          <w:trHeight w:val="539" w:hRule="atLeast"/>
        </w:trPr>
        <w:tc>
          <w:tcPr>
            <w:tcW w:w="1601" w:type="dxa"/>
            <w:tcBorders>
              <w:top w:val="nil"/>
            </w:tcBorders>
          </w:tcPr>
          <w:p>
            <w:pPr>
              <w:pStyle w:val="TableParagraph"/>
              <w:spacing w:before="142"/>
              <w:ind w:left="69"/>
              <w:rPr>
                <w:b/>
                <w:sz w:val="22"/>
              </w:rPr>
            </w:pPr>
            <w:r>
              <w:rPr>
                <w:b/>
                <w:spacing w:val="-2"/>
                <w:sz w:val="22"/>
              </w:rPr>
              <w:t>1.1.1.01.02.02.2.</w:t>
            </w:r>
          </w:p>
        </w:tc>
        <w:tc>
          <w:tcPr>
            <w:tcW w:w="4212" w:type="dxa"/>
            <w:tcBorders>
              <w:top w:val="nil"/>
            </w:tcBorders>
          </w:tcPr>
          <w:p>
            <w:pPr>
              <w:pStyle w:val="TableParagraph"/>
              <w:spacing w:before="142"/>
              <w:ind w:left="16" w:right="8"/>
              <w:jc w:val="center"/>
              <w:rPr>
                <w:b/>
                <w:sz w:val="22"/>
              </w:rPr>
            </w:pPr>
            <w:r>
              <w:rPr>
                <w:b/>
                <w:sz w:val="22"/>
              </w:rPr>
              <w:t>Cuentas</w:t>
            </w:r>
            <w:r>
              <w:rPr>
                <w:b/>
                <w:spacing w:val="-4"/>
                <w:sz w:val="22"/>
              </w:rPr>
              <w:t> </w:t>
            </w:r>
            <w:r>
              <w:rPr>
                <w:b/>
                <w:sz w:val="22"/>
              </w:rPr>
              <w:t>corrientes</w:t>
            </w:r>
            <w:r>
              <w:rPr>
                <w:b/>
                <w:spacing w:val="-2"/>
                <w:sz w:val="22"/>
              </w:rPr>
              <w:t> </w:t>
            </w:r>
            <w:r>
              <w:rPr>
                <w:b/>
                <w:sz w:val="22"/>
              </w:rPr>
              <w:t>en</w:t>
            </w:r>
            <w:r>
              <w:rPr>
                <w:b/>
                <w:spacing w:val="-3"/>
                <w:sz w:val="22"/>
              </w:rPr>
              <w:t> </w:t>
            </w:r>
            <w:r>
              <w:rPr>
                <w:b/>
                <w:sz w:val="22"/>
              </w:rPr>
              <w:t>el</w:t>
            </w:r>
            <w:r>
              <w:rPr>
                <w:b/>
                <w:spacing w:val="-7"/>
                <w:sz w:val="22"/>
              </w:rPr>
              <w:t> </w:t>
            </w:r>
            <w:r>
              <w:rPr>
                <w:b/>
                <w:sz w:val="22"/>
              </w:rPr>
              <w:t>sector</w:t>
            </w:r>
            <w:r>
              <w:rPr>
                <w:b/>
                <w:spacing w:val="-3"/>
                <w:sz w:val="22"/>
              </w:rPr>
              <w:t> </w:t>
            </w:r>
            <w:r>
              <w:rPr>
                <w:b/>
                <w:sz w:val="22"/>
              </w:rPr>
              <w:t>público</w:t>
            </w:r>
            <w:r>
              <w:rPr>
                <w:b/>
                <w:spacing w:val="-3"/>
                <w:sz w:val="22"/>
              </w:rPr>
              <w:t> </w:t>
            </w:r>
            <w:r>
              <w:rPr>
                <w:b/>
                <w:spacing w:val="-2"/>
                <w:sz w:val="22"/>
              </w:rPr>
              <w:t>interno</w:t>
            </w:r>
          </w:p>
        </w:tc>
      </w:tr>
    </w:tbl>
    <w:p>
      <w:pPr>
        <w:pStyle w:val="BodyText"/>
        <w:spacing w:before="20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87"/>
        <w:gridCol w:w="1700"/>
        <w:gridCol w:w="2264"/>
        <w:gridCol w:w="1119"/>
      </w:tblGrid>
      <w:tr>
        <w:trPr>
          <w:trHeight w:val="412" w:hRule="atLeast"/>
        </w:trPr>
        <w:tc>
          <w:tcPr>
            <w:tcW w:w="3387" w:type="dxa"/>
            <w:vMerge w:val="restart"/>
            <w:tcBorders>
              <w:bottom w:val="single" w:sz="4" w:space="0" w:color="000000"/>
            </w:tcBorders>
            <w:shd w:val="clear" w:color="auto" w:fill="365F92"/>
          </w:tcPr>
          <w:p>
            <w:pPr>
              <w:pStyle w:val="TableParagraph"/>
              <w:spacing w:before="214"/>
              <w:ind w:left="16"/>
              <w:jc w:val="center"/>
              <w:rPr>
                <w:b/>
                <w:sz w:val="20"/>
              </w:rPr>
            </w:pPr>
            <w:r>
              <w:rPr>
                <w:b/>
                <w:color w:val="FFFFFF"/>
                <w:spacing w:val="-2"/>
                <w:sz w:val="20"/>
              </w:rPr>
              <w:t>Entidad</w:t>
            </w:r>
          </w:p>
        </w:tc>
        <w:tc>
          <w:tcPr>
            <w:tcW w:w="1700" w:type="dxa"/>
            <w:vMerge w:val="restart"/>
            <w:tcBorders>
              <w:bottom w:val="single" w:sz="4" w:space="0" w:color="000000"/>
            </w:tcBorders>
            <w:shd w:val="clear" w:color="auto" w:fill="365F92"/>
          </w:tcPr>
          <w:p>
            <w:pPr>
              <w:pStyle w:val="TableParagraph"/>
              <w:spacing w:before="214"/>
              <w:ind w:left="249"/>
              <w:rPr>
                <w:b/>
                <w:sz w:val="20"/>
              </w:rPr>
            </w:pPr>
            <w:r>
              <w:rPr>
                <w:b/>
                <w:color w:val="FFFFFF"/>
                <w:sz w:val="20"/>
              </w:rPr>
              <w:t>Periodo</w:t>
            </w:r>
            <w:r>
              <w:rPr>
                <w:b/>
                <w:color w:val="FFFFFF"/>
                <w:spacing w:val="-5"/>
                <w:sz w:val="20"/>
              </w:rPr>
              <w:t> </w:t>
            </w:r>
            <w:r>
              <w:rPr>
                <w:b/>
                <w:color w:val="FFFFFF"/>
                <w:spacing w:val="-2"/>
                <w:sz w:val="20"/>
              </w:rPr>
              <w:t>Actual</w:t>
            </w:r>
          </w:p>
        </w:tc>
        <w:tc>
          <w:tcPr>
            <w:tcW w:w="2264" w:type="dxa"/>
            <w:vMerge w:val="restart"/>
            <w:tcBorders>
              <w:bottom w:val="single" w:sz="4" w:space="0" w:color="000000"/>
            </w:tcBorders>
            <w:shd w:val="clear" w:color="auto" w:fill="365F92"/>
          </w:tcPr>
          <w:p>
            <w:pPr>
              <w:pStyle w:val="TableParagraph"/>
              <w:spacing w:before="214"/>
              <w:ind w:left="447"/>
              <w:rPr>
                <w:b/>
                <w:sz w:val="20"/>
              </w:rPr>
            </w:pPr>
            <w:r>
              <w:rPr>
                <w:b/>
                <w:color w:val="FFFFFF"/>
                <w:sz w:val="20"/>
              </w:rPr>
              <w:t>Periodo</w:t>
            </w:r>
            <w:r>
              <w:rPr>
                <w:b/>
                <w:color w:val="FFFFFF"/>
                <w:spacing w:val="-5"/>
                <w:sz w:val="20"/>
              </w:rPr>
              <w:t> </w:t>
            </w:r>
            <w:r>
              <w:rPr>
                <w:b/>
                <w:color w:val="FFFFFF"/>
                <w:spacing w:val="-2"/>
                <w:sz w:val="20"/>
              </w:rPr>
              <w:t>Anterior</w:t>
            </w:r>
          </w:p>
        </w:tc>
        <w:tc>
          <w:tcPr>
            <w:tcW w:w="1119" w:type="dxa"/>
            <w:shd w:val="clear" w:color="auto" w:fill="365F92"/>
          </w:tcPr>
          <w:p>
            <w:pPr>
              <w:pStyle w:val="TableParagraph"/>
              <w:spacing w:before="89"/>
              <w:ind w:left="140"/>
              <w:rPr>
                <w:b/>
                <w:sz w:val="20"/>
              </w:rPr>
            </w:pPr>
            <w:r>
              <w:rPr>
                <w:b/>
                <w:color w:val="FFFFFF"/>
                <w:spacing w:val="-2"/>
                <w:sz w:val="20"/>
              </w:rPr>
              <w:t>Diferencia</w:t>
            </w:r>
          </w:p>
        </w:tc>
      </w:tr>
      <w:tr>
        <w:trPr>
          <w:trHeight w:val="227" w:hRule="atLeast"/>
        </w:trPr>
        <w:tc>
          <w:tcPr>
            <w:tcW w:w="3387" w:type="dxa"/>
            <w:vMerge/>
            <w:tcBorders>
              <w:top w:val="nil"/>
              <w:bottom w:val="single" w:sz="4" w:space="0" w:color="000000"/>
            </w:tcBorders>
            <w:shd w:val="clear" w:color="auto" w:fill="365F92"/>
          </w:tcPr>
          <w:p>
            <w:pPr>
              <w:rPr>
                <w:sz w:val="2"/>
                <w:szCs w:val="2"/>
              </w:rPr>
            </w:pPr>
          </w:p>
        </w:tc>
        <w:tc>
          <w:tcPr>
            <w:tcW w:w="1700" w:type="dxa"/>
            <w:vMerge/>
            <w:tcBorders>
              <w:top w:val="nil"/>
              <w:bottom w:val="single" w:sz="4" w:space="0" w:color="000000"/>
            </w:tcBorders>
            <w:shd w:val="clear" w:color="auto" w:fill="365F92"/>
          </w:tcPr>
          <w:p>
            <w:pPr>
              <w:rPr>
                <w:sz w:val="2"/>
                <w:szCs w:val="2"/>
              </w:rPr>
            </w:pPr>
          </w:p>
        </w:tc>
        <w:tc>
          <w:tcPr>
            <w:tcW w:w="2264" w:type="dxa"/>
            <w:vMerge/>
            <w:tcBorders>
              <w:top w:val="nil"/>
              <w:bottom w:val="single" w:sz="4" w:space="0" w:color="000000"/>
            </w:tcBorders>
            <w:shd w:val="clear" w:color="auto" w:fill="365F92"/>
          </w:tcPr>
          <w:p>
            <w:pPr>
              <w:rPr>
                <w:sz w:val="2"/>
                <w:szCs w:val="2"/>
              </w:rPr>
            </w:pPr>
          </w:p>
        </w:tc>
        <w:tc>
          <w:tcPr>
            <w:tcW w:w="1119" w:type="dxa"/>
            <w:tcBorders>
              <w:bottom w:val="single" w:sz="4" w:space="0" w:color="000000"/>
            </w:tcBorders>
            <w:shd w:val="clear" w:color="auto" w:fill="365F92"/>
          </w:tcPr>
          <w:p>
            <w:pPr>
              <w:pStyle w:val="TableParagraph"/>
              <w:spacing w:line="207" w:lineRule="exact"/>
              <w:ind w:left="10"/>
              <w:jc w:val="center"/>
              <w:rPr>
                <w:sz w:val="20"/>
              </w:rPr>
            </w:pPr>
            <w:r>
              <w:rPr>
                <w:color w:val="FFFFFF"/>
                <w:spacing w:val="-10"/>
                <w:sz w:val="20"/>
              </w:rPr>
              <w:t>%</w:t>
            </w:r>
          </w:p>
        </w:tc>
      </w:tr>
      <w:tr>
        <w:trPr>
          <w:trHeight w:val="268" w:hRule="atLeast"/>
        </w:trPr>
        <w:tc>
          <w:tcPr>
            <w:tcW w:w="3387" w:type="dxa"/>
            <w:tcBorders>
              <w:top w:val="single" w:sz="4" w:space="0" w:color="000000"/>
              <w:left w:val="single" w:sz="4" w:space="0" w:color="000000"/>
              <w:bottom w:val="single" w:sz="4" w:space="0" w:color="000000"/>
              <w:right w:val="single" w:sz="4" w:space="0" w:color="000000"/>
            </w:tcBorders>
          </w:tcPr>
          <w:p>
            <w:pPr>
              <w:pStyle w:val="TableParagraph"/>
              <w:spacing w:before="20"/>
              <w:ind w:left="74"/>
              <w:rPr>
                <w:b/>
                <w:sz w:val="20"/>
              </w:rPr>
            </w:pPr>
            <w:r>
              <w:rPr>
                <w:b/>
                <w:sz w:val="20"/>
              </w:rPr>
              <w:t>Banco</w:t>
            </w:r>
            <w:r>
              <w:rPr>
                <w:b/>
                <w:spacing w:val="-4"/>
                <w:sz w:val="20"/>
              </w:rPr>
              <w:t> </w:t>
            </w:r>
            <w:r>
              <w:rPr>
                <w:b/>
                <w:sz w:val="20"/>
              </w:rPr>
              <w:t>Nacional</w:t>
            </w:r>
            <w:r>
              <w:rPr>
                <w:b/>
                <w:spacing w:val="-4"/>
                <w:sz w:val="20"/>
              </w:rPr>
              <w:t> </w:t>
            </w:r>
            <w:r>
              <w:rPr>
                <w:b/>
                <w:sz w:val="20"/>
              </w:rPr>
              <w:t>de</w:t>
            </w:r>
            <w:r>
              <w:rPr>
                <w:b/>
                <w:spacing w:val="-4"/>
                <w:sz w:val="20"/>
              </w:rPr>
              <w:t> </w:t>
            </w:r>
            <w:r>
              <w:rPr>
                <w:b/>
                <w:sz w:val="20"/>
              </w:rPr>
              <w:t>Costa</w:t>
            </w:r>
            <w:r>
              <w:rPr>
                <w:b/>
                <w:spacing w:val="-4"/>
                <w:sz w:val="20"/>
              </w:rPr>
              <w:t> </w:t>
            </w:r>
            <w:r>
              <w:rPr>
                <w:b/>
                <w:sz w:val="20"/>
              </w:rPr>
              <w:t>Rica</w:t>
            </w:r>
            <w:r>
              <w:rPr>
                <w:b/>
                <w:spacing w:val="-5"/>
                <w:sz w:val="20"/>
              </w:rPr>
              <w:t> </w:t>
            </w:r>
            <w:r>
              <w:rPr>
                <w:b/>
                <w:spacing w:val="-2"/>
                <w:sz w:val="20"/>
              </w:rPr>
              <w:t>(BNCR)</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25"/>
              <w:ind w:right="55"/>
              <w:jc w:val="right"/>
              <w:rPr>
                <w:rFonts w:ascii="Calibri"/>
                <w:b/>
                <w:sz w:val="18"/>
              </w:rPr>
            </w:pPr>
            <w:r>
              <w:rPr>
                <w:rFonts w:ascii="Calibri"/>
                <w:b/>
                <w:sz w:val="18"/>
              </w:rPr>
              <w:t>19</w:t>
            </w:r>
            <w:r>
              <w:rPr>
                <w:rFonts w:ascii="Calibri"/>
                <w:b/>
                <w:spacing w:val="-5"/>
                <w:sz w:val="18"/>
              </w:rPr>
              <w:t> </w:t>
            </w:r>
            <w:r>
              <w:rPr>
                <w:rFonts w:ascii="Calibri"/>
                <w:b/>
                <w:sz w:val="18"/>
              </w:rPr>
              <w:t>076</w:t>
            </w:r>
            <w:r>
              <w:rPr>
                <w:rFonts w:ascii="Calibri"/>
                <w:b/>
                <w:spacing w:val="-2"/>
                <w:sz w:val="18"/>
              </w:rPr>
              <w:t> 569,59</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spacing w:before="25"/>
              <w:ind w:right="53"/>
              <w:jc w:val="right"/>
              <w:rPr>
                <w:rFonts w:ascii="Calibri"/>
                <w:b/>
                <w:sz w:val="18"/>
              </w:rPr>
            </w:pPr>
            <w:r>
              <w:rPr>
                <w:rFonts w:ascii="Calibri"/>
                <w:b/>
                <w:sz w:val="18"/>
              </w:rPr>
              <w:t>22</w:t>
            </w:r>
            <w:r>
              <w:rPr>
                <w:rFonts w:ascii="Calibri"/>
                <w:b/>
                <w:spacing w:val="-5"/>
                <w:sz w:val="18"/>
              </w:rPr>
              <w:t> </w:t>
            </w:r>
            <w:r>
              <w:rPr>
                <w:rFonts w:ascii="Calibri"/>
                <w:b/>
                <w:sz w:val="18"/>
              </w:rPr>
              <w:t>622</w:t>
            </w:r>
            <w:r>
              <w:rPr>
                <w:rFonts w:ascii="Calibri"/>
                <w:b/>
                <w:spacing w:val="-2"/>
                <w:sz w:val="18"/>
              </w:rPr>
              <w:t> 040,35</w:t>
            </w:r>
          </w:p>
        </w:tc>
        <w:tc>
          <w:tcPr>
            <w:tcW w:w="1119" w:type="dxa"/>
            <w:tcBorders>
              <w:top w:val="single" w:sz="4" w:space="0" w:color="000000"/>
              <w:left w:val="single" w:sz="4" w:space="0" w:color="000000"/>
              <w:bottom w:val="single" w:sz="4" w:space="0" w:color="000000"/>
              <w:right w:val="single" w:sz="4" w:space="0" w:color="000000"/>
            </w:tcBorders>
          </w:tcPr>
          <w:p>
            <w:pPr>
              <w:pStyle w:val="TableParagraph"/>
              <w:spacing w:before="25"/>
              <w:ind w:right="57"/>
              <w:jc w:val="right"/>
              <w:rPr>
                <w:rFonts w:ascii="Calibri"/>
                <w:b/>
                <w:sz w:val="18"/>
              </w:rPr>
            </w:pPr>
            <w:r>
              <w:rPr>
                <w:rFonts w:ascii="Calibri"/>
                <w:b/>
                <w:sz w:val="18"/>
              </w:rPr>
              <w:t>-</w:t>
            </w:r>
            <w:r>
              <w:rPr>
                <w:rFonts w:ascii="Calibri"/>
                <w:b/>
                <w:spacing w:val="-2"/>
                <w:sz w:val="18"/>
              </w:rPr>
              <w:t>15,67%</w:t>
            </w:r>
          </w:p>
        </w:tc>
      </w:tr>
      <w:tr>
        <w:trPr>
          <w:trHeight w:val="230" w:hRule="atLeast"/>
        </w:trPr>
        <w:tc>
          <w:tcPr>
            <w:tcW w:w="3387"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74"/>
              <w:rPr>
                <w:b/>
                <w:sz w:val="20"/>
              </w:rPr>
            </w:pPr>
            <w:r>
              <w:rPr>
                <w:b/>
                <w:sz w:val="20"/>
              </w:rPr>
              <w:t>Banco</w:t>
            </w:r>
            <w:r>
              <w:rPr>
                <w:b/>
                <w:spacing w:val="-3"/>
                <w:sz w:val="20"/>
              </w:rPr>
              <w:t> </w:t>
            </w:r>
            <w:r>
              <w:rPr>
                <w:b/>
                <w:sz w:val="20"/>
              </w:rPr>
              <w:t>de</w:t>
            </w:r>
            <w:r>
              <w:rPr>
                <w:b/>
                <w:spacing w:val="-4"/>
                <w:sz w:val="20"/>
              </w:rPr>
              <w:t> </w:t>
            </w:r>
            <w:r>
              <w:rPr>
                <w:b/>
                <w:sz w:val="20"/>
              </w:rPr>
              <w:t>Costa</w:t>
            </w:r>
            <w:r>
              <w:rPr>
                <w:b/>
                <w:spacing w:val="-4"/>
                <w:sz w:val="20"/>
              </w:rPr>
              <w:t> </w:t>
            </w:r>
            <w:r>
              <w:rPr>
                <w:b/>
                <w:sz w:val="20"/>
              </w:rPr>
              <w:t>Rica</w:t>
            </w:r>
            <w:r>
              <w:rPr>
                <w:b/>
                <w:spacing w:val="-2"/>
                <w:sz w:val="20"/>
              </w:rPr>
              <w:t> </w:t>
            </w:r>
            <w:r>
              <w:rPr>
                <w:b/>
                <w:spacing w:val="-4"/>
                <w:sz w:val="20"/>
              </w:rPr>
              <w:t>(BCR)</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6"/>
              <w:ind w:right="55"/>
              <w:jc w:val="right"/>
              <w:rPr>
                <w:rFonts w:ascii="Calibri"/>
                <w:b/>
                <w:sz w:val="18"/>
              </w:rPr>
            </w:pPr>
            <w:r>
              <w:rPr>
                <w:rFonts w:ascii="Calibri"/>
                <w:b/>
                <w:sz w:val="18"/>
              </w:rPr>
              <w:t>2</w:t>
            </w:r>
            <w:r>
              <w:rPr>
                <w:rFonts w:ascii="Calibri"/>
                <w:b/>
                <w:spacing w:val="-2"/>
                <w:sz w:val="18"/>
              </w:rPr>
              <w:t> </w:t>
            </w:r>
            <w:r>
              <w:rPr>
                <w:rFonts w:ascii="Calibri"/>
                <w:b/>
                <w:sz w:val="18"/>
              </w:rPr>
              <w:t>980</w:t>
            </w:r>
            <w:r>
              <w:rPr>
                <w:rFonts w:ascii="Calibri"/>
                <w:b/>
                <w:spacing w:val="-2"/>
                <w:sz w:val="18"/>
              </w:rPr>
              <w:t> 163,71</w:t>
            </w:r>
          </w:p>
        </w:tc>
        <w:tc>
          <w:tcPr>
            <w:tcW w:w="2264"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6"/>
              <w:ind w:right="53"/>
              <w:jc w:val="right"/>
              <w:rPr>
                <w:rFonts w:ascii="Calibri"/>
                <w:b/>
                <w:sz w:val="18"/>
              </w:rPr>
            </w:pPr>
            <w:r>
              <w:rPr>
                <w:rFonts w:ascii="Calibri"/>
                <w:b/>
                <w:sz w:val="18"/>
              </w:rPr>
              <w:t>2</w:t>
            </w:r>
            <w:r>
              <w:rPr>
                <w:rFonts w:ascii="Calibri"/>
                <w:b/>
                <w:spacing w:val="-2"/>
                <w:sz w:val="18"/>
              </w:rPr>
              <w:t> </w:t>
            </w:r>
            <w:r>
              <w:rPr>
                <w:rFonts w:ascii="Calibri"/>
                <w:b/>
                <w:sz w:val="18"/>
              </w:rPr>
              <w:t>677</w:t>
            </w:r>
            <w:r>
              <w:rPr>
                <w:rFonts w:ascii="Calibri"/>
                <w:b/>
                <w:spacing w:val="-2"/>
                <w:sz w:val="18"/>
              </w:rPr>
              <w:t> 772,94</w:t>
            </w:r>
          </w:p>
        </w:tc>
        <w:tc>
          <w:tcPr>
            <w:tcW w:w="1119"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6"/>
              <w:ind w:right="57"/>
              <w:jc w:val="right"/>
              <w:rPr>
                <w:rFonts w:ascii="Calibri"/>
                <w:b/>
                <w:sz w:val="18"/>
              </w:rPr>
            </w:pPr>
            <w:r>
              <w:rPr>
                <w:rFonts w:ascii="Calibri"/>
                <w:b/>
                <w:spacing w:val="-2"/>
                <w:sz w:val="18"/>
              </w:rPr>
              <w:t>11,29%</w:t>
            </w:r>
          </w:p>
        </w:tc>
      </w:tr>
    </w:tbl>
    <w:p>
      <w:pPr>
        <w:pStyle w:val="BodyText"/>
      </w:pPr>
    </w:p>
    <w:p>
      <w:pPr>
        <w:pStyle w:val="BodyText"/>
        <w:spacing w:before="7"/>
      </w:pPr>
    </w:p>
    <w:p>
      <w:pPr>
        <w:pStyle w:val="BodyText"/>
        <w:ind w:left="622"/>
      </w:pPr>
      <w:r>
        <w:rPr/>
        <w:t>Detalle</w:t>
      </w:r>
      <w:r>
        <w:rPr>
          <w:spacing w:val="-7"/>
        </w:rPr>
        <w:t> </w:t>
      </w:r>
      <w:r>
        <w:rPr/>
        <w:t>de</w:t>
      </w:r>
      <w:r>
        <w:rPr>
          <w:spacing w:val="-4"/>
        </w:rPr>
        <w:t> </w:t>
      </w:r>
      <w:r>
        <w:rPr/>
        <w:t>Caja</w:t>
      </w:r>
      <w:r>
        <w:rPr>
          <w:spacing w:val="-3"/>
        </w:rPr>
        <w:t> </w:t>
      </w:r>
      <w:r>
        <w:rPr>
          <w:spacing w:val="-4"/>
        </w:rPr>
        <w:t>Única</w:t>
      </w:r>
    </w:p>
    <w:p>
      <w:pPr>
        <w:pStyle w:val="BodyText"/>
        <w:spacing w:before="10"/>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01"/>
        <w:gridCol w:w="2779"/>
      </w:tblGrid>
      <w:tr>
        <w:trPr>
          <w:trHeight w:val="287" w:hRule="atLeast"/>
        </w:trPr>
        <w:tc>
          <w:tcPr>
            <w:tcW w:w="1601" w:type="dxa"/>
            <w:tcBorders>
              <w:bottom w:val="nil"/>
            </w:tcBorders>
            <w:shd w:val="clear" w:color="auto" w:fill="365F92"/>
          </w:tcPr>
          <w:p>
            <w:pPr>
              <w:pStyle w:val="TableParagraph"/>
              <w:spacing w:line="251" w:lineRule="exact" w:before="17"/>
              <w:ind w:left="69"/>
              <w:rPr>
                <w:b/>
                <w:sz w:val="22"/>
              </w:rPr>
            </w:pPr>
            <w:r>
              <w:rPr>
                <w:b/>
                <w:color w:val="FFFFFF"/>
                <w:spacing w:val="-2"/>
                <w:sz w:val="22"/>
              </w:rPr>
              <w:t>Cuenta</w:t>
            </w:r>
          </w:p>
        </w:tc>
        <w:tc>
          <w:tcPr>
            <w:tcW w:w="2779" w:type="dxa"/>
            <w:tcBorders>
              <w:bottom w:val="nil"/>
            </w:tcBorders>
            <w:shd w:val="clear" w:color="auto" w:fill="365F92"/>
          </w:tcPr>
          <w:p>
            <w:pPr>
              <w:pStyle w:val="TableParagraph"/>
              <w:spacing w:line="251" w:lineRule="exact" w:before="17"/>
              <w:ind w:left="859"/>
              <w:rPr>
                <w:b/>
                <w:sz w:val="22"/>
              </w:rPr>
            </w:pPr>
            <w:r>
              <w:rPr>
                <w:b/>
                <w:color w:val="FFFFFF"/>
                <w:spacing w:val="-2"/>
                <w:sz w:val="22"/>
              </w:rPr>
              <w:t>Descripción</w:t>
            </w:r>
          </w:p>
        </w:tc>
      </w:tr>
      <w:tr>
        <w:trPr>
          <w:trHeight w:val="301" w:hRule="atLeast"/>
        </w:trPr>
        <w:tc>
          <w:tcPr>
            <w:tcW w:w="1601" w:type="dxa"/>
            <w:tcBorders>
              <w:top w:val="nil"/>
            </w:tcBorders>
          </w:tcPr>
          <w:p>
            <w:pPr>
              <w:pStyle w:val="TableParagraph"/>
              <w:spacing w:before="24"/>
              <w:ind w:left="69"/>
              <w:rPr>
                <w:b/>
                <w:sz w:val="22"/>
              </w:rPr>
            </w:pPr>
            <w:r>
              <w:rPr>
                <w:b/>
                <w:spacing w:val="-2"/>
                <w:sz w:val="22"/>
              </w:rPr>
              <w:t>1.1.1.01.02.02.3.</w:t>
            </w:r>
          </w:p>
        </w:tc>
        <w:tc>
          <w:tcPr>
            <w:tcW w:w="2779" w:type="dxa"/>
            <w:tcBorders>
              <w:top w:val="nil"/>
            </w:tcBorders>
          </w:tcPr>
          <w:p>
            <w:pPr>
              <w:pStyle w:val="TableParagraph"/>
              <w:spacing w:before="24"/>
              <w:ind w:left="69"/>
              <w:rPr>
                <w:b/>
                <w:sz w:val="22"/>
              </w:rPr>
            </w:pPr>
            <w:r>
              <w:rPr>
                <w:b/>
                <w:sz w:val="22"/>
              </w:rPr>
              <w:t>Caja</w:t>
            </w:r>
            <w:r>
              <w:rPr>
                <w:b/>
                <w:spacing w:val="-5"/>
                <w:sz w:val="22"/>
              </w:rPr>
              <w:t> </w:t>
            </w:r>
            <w:r>
              <w:rPr>
                <w:b/>
                <w:spacing w:val="-2"/>
                <w:sz w:val="22"/>
              </w:rPr>
              <w:t>Única</w:t>
            </w:r>
          </w:p>
        </w:tc>
      </w:tr>
    </w:tbl>
    <w:p>
      <w:pPr>
        <w:pStyle w:val="BodyText"/>
        <w:spacing w:before="202"/>
        <w:rPr>
          <w:sz w:val="20"/>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37"/>
      </w:tblGrid>
      <w:tr>
        <w:trPr>
          <w:trHeight w:val="1009" w:hRule="atLeast"/>
        </w:trPr>
        <w:tc>
          <w:tcPr>
            <w:tcW w:w="4537" w:type="dxa"/>
            <w:shd w:val="clear" w:color="auto" w:fill="365F92"/>
          </w:tcPr>
          <w:p>
            <w:pPr>
              <w:pStyle w:val="TableParagraph"/>
              <w:spacing w:before="128"/>
              <w:rPr>
                <w:sz w:val="22"/>
              </w:rPr>
            </w:pPr>
          </w:p>
          <w:p>
            <w:pPr>
              <w:pStyle w:val="TableParagraph"/>
              <w:ind w:left="19"/>
              <w:jc w:val="center"/>
              <w:rPr>
                <w:b/>
                <w:sz w:val="22"/>
              </w:rPr>
            </w:pPr>
            <w:r>
              <w:rPr>
                <w:b/>
                <w:color w:val="FFFFFF"/>
                <w:spacing w:val="-2"/>
                <w:sz w:val="22"/>
              </w:rPr>
              <w:t>Entidad</w:t>
            </w:r>
          </w:p>
        </w:tc>
      </w:tr>
      <w:tr>
        <w:trPr>
          <w:trHeight w:val="251" w:hRule="atLeast"/>
        </w:trPr>
        <w:tc>
          <w:tcPr>
            <w:tcW w:w="4537" w:type="dxa"/>
          </w:tcPr>
          <w:p>
            <w:pPr>
              <w:pStyle w:val="TableParagraph"/>
              <w:spacing w:line="231" w:lineRule="exact"/>
              <w:ind w:left="124"/>
              <w:rPr>
                <w:b/>
                <w:sz w:val="22"/>
              </w:rPr>
            </w:pPr>
            <w:r>
              <w:rPr>
                <w:b/>
                <w:sz w:val="22"/>
              </w:rPr>
              <w:t>Ministerio</w:t>
            </w:r>
            <w:r>
              <w:rPr>
                <w:b/>
                <w:spacing w:val="-5"/>
                <w:sz w:val="22"/>
              </w:rPr>
              <w:t> </w:t>
            </w:r>
            <w:r>
              <w:rPr>
                <w:b/>
                <w:sz w:val="22"/>
              </w:rPr>
              <w:t>de</w:t>
            </w:r>
            <w:r>
              <w:rPr>
                <w:b/>
                <w:spacing w:val="-6"/>
                <w:sz w:val="22"/>
              </w:rPr>
              <w:t> </w:t>
            </w:r>
            <w:r>
              <w:rPr>
                <w:b/>
                <w:spacing w:val="-2"/>
                <w:sz w:val="22"/>
              </w:rPr>
              <w:t>Hacienda</w:t>
            </w:r>
          </w:p>
        </w:tc>
      </w:tr>
      <w:tr>
        <w:trPr>
          <w:trHeight w:val="251" w:hRule="atLeast"/>
        </w:trPr>
        <w:tc>
          <w:tcPr>
            <w:tcW w:w="4537" w:type="dxa"/>
          </w:tcPr>
          <w:p>
            <w:pPr>
              <w:pStyle w:val="TableParagraph"/>
              <w:rPr>
                <w:rFonts w:ascii="Times New Roman"/>
                <w:sz w:val="18"/>
              </w:rPr>
            </w:pPr>
          </w:p>
        </w:tc>
      </w:tr>
    </w:tbl>
    <w:p>
      <w:pPr>
        <w:pStyle w:val="BodyText"/>
        <w:spacing w:before="2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03"/>
        <w:gridCol w:w="2288"/>
        <w:gridCol w:w="2190"/>
        <w:gridCol w:w="1040"/>
      </w:tblGrid>
      <w:tr>
        <w:trPr>
          <w:trHeight w:val="227" w:hRule="atLeast"/>
        </w:trPr>
        <w:tc>
          <w:tcPr>
            <w:tcW w:w="3303" w:type="dxa"/>
            <w:vMerge w:val="restart"/>
            <w:tcBorders>
              <w:bottom w:val="single" w:sz="4" w:space="0" w:color="000000"/>
            </w:tcBorders>
            <w:shd w:val="clear" w:color="auto" w:fill="365F92"/>
          </w:tcPr>
          <w:p>
            <w:pPr>
              <w:pStyle w:val="TableParagraph"/>
              <w:spacing w:before="123"/>
              <w:ind w:left="14"/>
              <w:jc w:val="center"/>
              <w:rPr>
                <w:b/>
                <w:sz w:val="20"/>
              </w:rPr>
            </w:pPr>
            <w:r>
              <w:rPr>
                <w:b/>
                <w:color w:val="FFFFFF"/>
                <w:spacing w:val="-2"/>
                <w:sz w:val="20"/>
              </w:rPr>
              <w:t>Entidad</w:t>
            </w:r>
          </w:p>
        </w:tc>
        <w:tc>
          <w:tcPr>
            <w:tcW w:w="2288" w:type="dxa"/>
            <w:vMerge w:val="restart"/>
            <w:tcBorders>
              <w:bottom w:val="single" w:sz="4" w:space="0" w:color="000000"/>
            </w:tcBorders>
            <w:shd w:val="clear" w:color="auto" w:fill="365F92"/>
          </w:tcPr>
          <w:p>
            <w:pPr>
              <w:pStyle w:val="TableParagraph"/>
              <w:spacing w:before="123"/>
              <w:ind w:left="542"/>
              <w:rPr>
                <w:b/>
                <w:sz w:val="20"/>
              </w:rPr>
            </w:pPr>
            <w:r>
              <w:rPr>
                <w:b/>
                <w:color w:val="FFFFFF"/>
                <w:sz w:val="20"/>
              </w:rPr>
              <w:t>Periodo</w:t>
            </w:r>
            <w:r>
              <w:rPr>
                <w:b/>
                <w:color w:val="FFFFFF"/>
                <w:spacing w:val="-5"/>
                <w:sz w:val="20"/>
              </w:rPr>
              <w:t> </w:t>
            </w:r>
            <w:r>
              <w:rPr>
                <w:b/>
                <w:color w:val="FFFFFF"/>
                <w:spacing w:val="-2"/>
                <w:sz w:val="20"/>
              </w:rPr>
              <w:t>Actual</w:t>
            </w:r>
          </w:p>
        </w:tc>
        <w:tc>
          <w:tcPr>
            <w:tcW w:w="2190" w:type="dxa"/>
            <w:vMerge w:val="restart"/>
            <w:tcBorders>
              <w:bottom w:val="single" w:sz="4" w:space="0" w:color="000000"/>
            </w:tcBorders>
            <w:shd w:val="clear" w:color="auto" w:fill="365F92"/>
          </w:tcPr>
          <w:p>
            <w:pPr>
              <w:pStyle w:val="TableParagraph"/>
              <w:spacing w:before="123"/>
              <w:ind w:left="411"/>
              <w:rPr>
                <w:b/>
                <w:sz w:val="20"/>
              </w:rPr>
            </w:pPr>
            <w:r>
              <w:rPr>
                <w:b/>
                <w:color w:val="FFFFFF"/>
                <w:sz w:val="20"/>
              </w:rPr>
              <w:t>Periodo</w:t>
            </w:r>
            <w:r>
              <w:rPr>
                <w:b/>
                <w:color w:val="FFFFFF"/>
                <w:spacing w:val="-5"/>
                <w:sz w:val="20"/>
              </w:rPr>
              <w:t> </w:t>
            </w:r>
            <w:r>
              <w:rPr>
                <w:b/>
                <w:color w:val="FFFFFF"/>
                <w:spacing w:val="-2"/>
                <w:sz w:val="20"/>
              </w:rPr>
              <w:t>Anterior</w:t>
            </w:r>
          </w:p>
        </w:tc>
        <w:tc>
          <w:tcPr>
            <w:tcW w:w="1040" w:type="dxa"/>
            <w:shd w:val="clear" w:color="auto" w:fill="365F92"/>
          </w:tcPr>
          <w:p>
            <w:pPr>
              <w:pStyle w:val="TableParagraph"/>
              <w:spacing w:line="207" w:lineRule="exact"/>
              <w:ind w:right="85"/>
              <w:jc w:val="right"/>
              <w:rPr>
                <w:b/>
                <w:sz w:val="20"/>
              </w:rPr>
            </w:pPr>
            <w:r>
              <w:rPr>
                <w:b/>
                <w:color w:val="FFFFFF"/>
                <w:spacing w:val="-2"/>
                <w:sz w:val="20"/>
              </w:rPr>
              <w:t>Diferencia</w:t>
            </w:r>
          </w:p>
        </w:tc>
      </w:tr>
      <w:tr>
        <w:trPr>
          <w:trHeight w:val="229" w:hRule="atLeast"/>
        </w:trPr>
        <w:tc>
          <w:tcPr>
            <w:tcW w:w="3303" w:type="dxa"/>
            <w:vMerge/>
            <w:tcBorders>
              <w:top w:val="nil"/>
              <w:bottom w:val="single" w:sz="4" w:space="0" w:color="000000"/>
            </w:tcBorders>
            <w:shd w:val="clear" w:color="auto" w:fill="365F92"/>
          </w:tcPr>
          <w:p>
            <w:pPr>
              <w:rPr>
                <w:sz w:val="2"/>
                <w:szCs w:val="2"/>
              </w:rPr>
            </w:pPr>
          </w:p>
        </w:tc>
        <w:tc>
          <w:tcPr>
            <w:tcW w:w="2288" w:type="dxa"/>
            <w:vMerge/>
            <w:tcBorders>
              <w:top w:val="nil"/>
              <w:bottom w:val="single" w:sz="4" w:space="0" w:color="000000"/>
            </w:tcBorders>
            <w:shd w:val="clear" w:color="auto" w:fill="365F92"/>
          </w:tcPr>
          <w:p>
            <w:pPr>
              <w:rPr>
                <w:sz w:val="2"/>
                <w:szCs w:val="2"/>
              </w:rPr>
            </w:pPr>
          </w:p>
        </w:tc>
        <w:tc>
          <w:tcPr>
            <w:tcW w:w="2190" w:type="dxa"/>
            <w:vMerge/>
            <w:tcBorders>
              <w:top w:val="nil"/>
              <w:bottom w:val="single" w:sz="4" w:space="0" w:color="000000"/>
            </w:tcBorders>
            <w:shd w:val="clear" w:color="auto" w:fill="365F92"/>
          </w:tcPr>
          <w:p>
            <w:pPr>
              <w:rPr>
                <w:sz w:val="2"/>
                <w:szCs w:val="2"/>
              </w:rPr>
            </w:pPr>
          </w:p>
        </w:tc>
        <w:tc>
          <w:tcPr>
            <w:tcW w:w="1040" w:type="dxa"/>
            <w:tcBorders>
              <w:bottom w:val="single" w:sz="4" w:space="0" w:color="000000"/>
            </w:tcBorders>
            <w:shd w:val="clear" w:color="auto" w:fill="365F92"/>
          </w:tcPr>
          <w:p>
            <w:pPr>
              <w:pStyle w:val="TableParagraph"/>
              <w:spacing w:line="209" w:lineRule="exact" w:before="1"/>
              <w:ind w:left="12"/>
              <w:jc w:val="center"/>
              <w:rPr>
                <w:sz w:val="20"/>
              </w:rPr>
            </w:pPr>
            <w:r>
              <w:rPr>
                <w:color w:val="FFFFFF"/>
                <w:spacing w:val="-10"/>
                <w:sz w:val="20"/>
              </w:rPr>
              <w:t>%</w:t>
            </w:r>
          </w:p>
        </w:tc>
      </w:tr>
      <w:tr>
        <w:trPr>
          <w:trHeight w:val="244" w:hRule="atLeast"/>
        </w:trPr>
        <w:tc>
          <w:tcPr>
            <w:tcW w:w="3303" w:type="dxa"/>
            <w:tcBorders>
              <w:top w:val="single" w:sz="4" w:space="0" w:color="000000"/>
              <w:left w:val="single" w:sz="4" w:space="0" w:color="000000"/>
              <w:right w:val="single" w:sz="4" w:space="0" w:color="000000"/>
            </w:tcBorders>
          </w:tcPr>
          <w:p>
            <w:pPr>
              <w:pStyle w:val="TableParagraph"/>
              <w:spacing w:line="218" w:lineRule="exact" w:before="6"/>
              <w:ind w:left="74"/>
              <w:rPr>
                <w:sz w:val="20"/>
              </w:rPr>
            </w:pPr>
            <w:r>
              <w:rPr>
                <w:sz w:val="20"/>
              </w:rPr>
              <w:t>Ministerio</w:t>
            </w:r>
            <w:r>
              <w:rPr>
                <w:spacing w:val="-11"/>
                <w:sz w:val="20"/>
              </w:rPr>
              <w:t> </w:t>
            </w:r>
            <w:r>
              <w:rPr>
                <w:spacing w:val="-2"/>
                <w:sz w:val="20"/>
              </w:rPr>
              <w:t>Hacienda</w:t>
            </w:r>
          </w:p>
        </w:tc>
        <w:tc>
          <w:tcPr>
            <w:tcW w:w="2288" w:type="dxa"/>
            <w:tcBorders>
              <w:top w:val="single" w:sz="4" w:space="0" w:color="000000"/>
              <w:left w:val="single" w:sz="4" w:space="0" w:color="000000"/>
              <w:right w:val="single" w:sz="4" w:space="0" w:color="000000"/>
            </w:tcBorders>
          </w:tcPr>
          <w:p>
            <w:pPr>
              <w:pStyle w:val="TableParagraph"/>
              <w:spacing w:line="223" w:lineRule="exact" w:before="2"/>
              <w:ind w:left="302"/>
              <w:rPr>
                <w:rFonts w:ascii="Calibri"/>
                <w:b/>
                <w:sz w:val="20"/>
              </w:rPr>
            </w:pPr>
            <w:r>
              <w:rPr>
                <w:rFonts w:ascii="Calibri"/>
                <w:b/>
                <w:sz w:val="20"/>
              </w:rPr>
              <w:t>11</w:t>
            </w:r>
            <w:r>
              <w:rPr>
                <w:rFonts w:ascii="Calibri"/>
                <w:b/>
                <w:spacing w:val="-4"/>
                <w:sz w:val="20"/>
              </w:rPr>
              <w:t> </w:t>
            </w:r>
            <w:r>
              <w:rPr>
                <w:rFonts w:ascii="Calibri"/>
                <w:b/>
                <w:sz w:val="20"/>
              </w:rPr>
              <w:t>937</w:t>
            </w:r>
            <w:r>
              <w:rPr>
                <w:rFonts w:ascii="Calibri"/>
                <w:b/>
                <w:spacing w:val="-4"/>
                <w:sz w:val="20"/>
              </w:rPr>
              <w:t> </w:t>
            </w:r>
            <w:r>
              <w:rPr>
                <w:rFonts w:ascii="Calibri"/>
                <w:b/>
                <w:spacing w:val="-2"/>
                <w:sz w:val="20"/>
              </w:rPr>
              <w:t>655,33</w:t>
            </w:r>
          </w:p>
        </w:tc>
        <w:tc>
          <w:tcPr>
            <w:tcW w:w="2190" w:type="dxa"/>
            <w:tcBorders>
              <w:top w:val="single" w:sz="4" w:space="0" w:color="000000"/>
              <w:left w:val="single" w:sz="4" w:space="0" w:color="000000"/>
              <w:right w:val="single" w:sz="4" w:space="0" w:color="000000"/>
            </w:tcBorders>
          </w:tcPr>
          <w:p>
            <w:pPr>
              <w:pStyle w:val="TableParagraph"/>
              <w:spacing w:line="223" w:lineRule="exact" w:before="2"/>
              <w:ind w:left="527"/>
              <w:rPr>
                <w:rFonts w:ascii="Calibri"/>
                <w:b/>
                <w:sz w:val="20"/>
              </w:rPr>
            </w:pPr>
            <w:r>
              <w:rPr>
                <w:rFonts w:ascii="Calibri"/>
                <w:b/>
                <w:sz w:val="20"/>
              </w:rPr>
              <w:t>14</w:t>
            </w:r>
            <w:r>
              <w:rPr>
                <w:rFonts w:ascii="Calibri"/>
                <w:b/>
                <w:spacing w:val="-4"/>
                <w:sz w:val="20"/>
              </w:rPr>
              <w:t> </w:t>
            </w:r>
            <w:r>
              <w:rPr>
                <w:rFonts w:ascii="Calibri"/>
                <w:b/>
                <w:sz w:val="20"/>
              </w:rPr>
              <w:t>344</w:t>
            </w:r>
            <w:r>
              <w:rPr>
                <w:rFonts w:ascii="Calibri"/>
                <w:b/>
                <w:spacing w:val="-4"/>
                <w:sz w:val="20"/>
              </w:rPr>
              <w:t> </w:t>
            </w:r>
            <w:r>
              <w:rPr>
                <w:rFonts w:ascii="Calibri"/>
                <w:b/>
                <w:spacing w:val="-2"/>
                <w:sz w:val="20"/>
              </w:rPr>
              <w:t>436,55</w:t>
            </w:r>
          </w:p>
        </w:tc>
        <w:tc>
          <w:tcPr>
            <w:tcW w:w="1040" w:type="dxa"/>
            <w:tcBorders>
              <w:top w:val="single" w:sz="4" w:space="0" w:color="000000"/>
              <w:left w:val="single" w:sz="4" w:space="0" w:color="000000"/>
              <w:right w:val="single" w:sz="4" w:space="0" w:color="000000"/>
            </w:tcBorders>
          </w:tcPr>
          <w:p>
            <w:pPr>
              <w:pStyle w:val="TableParagraph"/>
              <w:spacing w:line="223" w:lineRule="exact" w:before="2"/>
              <w:ind w:right="60"/>
              <w:jc w:val="right"/>
              <w:rPr>
                <w:rFonts w:ascii="Calibri"/>
                <w:b/>
                <w:sz w:val="20"/>
              </w:rPr>
            </w:pPr>
            <w:r>
              <w:rPr>
                <w:rFonts w:ascii="Calibri"/>
                <w:b/>
                <w:spacing w:val="-2"/>
                <w:sz w:val="20"/>
              </w:rPr>
              <w:t>-16,78%</w:t>
            </w:r>
          </w:p>
        </w:tc>
      </w:tr>
    </w:tbl>
    <w:p>
      <w:pPr>
        <w:pStyle w:val="BodyText"/>
      </w:pPr>
    </w:p>
    <w:p>
      <w:pPr>
        <w:pStyle w:val="Heading6"/>
        <w:ind w:left="622"/>
      </w:pPr>
      <w:r>
        <w:rPr>
          <w:spacing w:val="-2"/>
        </w:rPr>
        <w:t>Revelación:</w:t>
      </w:r>
    </w:p>
    <w:p>
      <w:pPr>
        <w:pStyle w:val="BodyText"/>
        <w:spacing w:line="259" w:lineRule="auto" w:before="1"/>
        <w:ind w:left="622" w:right="860"/>
      </w:pPr>
      <w:r>
        <w:rPr/>
        <w:t>La</w:t>
      </w:r>
      <w:r>
        <w:rPr>
          <w:spacing w:val="-3"/>
        </w:rPr>
        <w:t> </w:t>
      </w:r>
      <w:r>
        <w:rPr/>
        <w:t>cuenta</w:t>
      </w:r>
      <w:r>
        <w:rPr>
          <w:spacing w:val="-2"/>
        </w:rPr>
        <w:t> </w:t>
      </w:r>
      <w:r>
        <w:rPr/>
        <w:t>Efectivo</w:t>
      </w:r>
      <w:r>
        <w:rPr>
          <w:spacing w:val="-2"/>
        </w:rPr>
        <w:t> </w:t>
      </w:r>
      <w:r>
        <w:rPr/>
        <w:t>y</w:t>
      </w:r>
      <w:r>
        <w:rPr>
          <w:spacing w:val="-3"/>
        </w:rPr>
        <w:t> </w:t>
      </w:r>
      <w:r>
        <w:rPr/>
        <w:t>equivalentes</w:t>
      </w:r>
      <w:r>
        <w:rPr>
          <w:spacing w:val="-2"/>
        </w:rPr>
        <w:t> </w:t>
      </w:r>
      <w:r>
        <w:rPr/>
        <w:t>de</w:t>
      </w:r>
      <w:r>
        <w:rPr>
          <w:spacing w:val="-4"/>
        </w:rPr>
        <w:t> </w:t>
      </w:r>
      <w:r>
        <w:rPr/>
        <w:t>efectivo,</w:t>
      </w:r>
      <w:r>
        <w:rPr>
          <w:spacing w:val="-2"/>
        </w:rPr>
        <w:t> </w:t>
      </w:r>
      <w:r>
        <w:rPr/>
        <w:t>representa</w:t>
      </w:r>
      <w:r>
        <w:rPr>
          <w:spacing w:val="-5"/>
        </w:rPr>
        <w:t> </w:t>
      </w:r>
      <w:r>
        <w:rPr/>
        <w:t>el</w:t>
      </w:r>
      <w:r>
        <w:rPr>
          <w:spacing w:val="-2"/>
        </w:rPr>
        <w:t> </w:t>
      </w:r>
      <w:r>
        <w:rPr/>
        <w:t>17,07%</w:t>
      </w:r>
      <w:r>
        <w:rPr>
          <w:spacing w:val="-2"/>
        </w:rPr>
        <w:t> </w:t>
      </w:r>
      <w:r>
        <w:rPr/>
        <w:t>del</w:t>
      </w:r>
      <w:r>
        <w:rPr>
          <w:spacing w:val="-2"/>
        </w:rPr>
        <w:t> </w:t>
      </w:r>
      <w:r>
        <w:rPr/>
        <w:t>total</w:t>
      </w:r>
      <w:r>
        <w:rPr>
          <w:spacing w:val="-2"/>
        </w:rPr>
        <w:t> </w:t>
      </w:r>
      <w:r>
        <w:rPr/>
        <w:t>Activo,</w:t>
      </w:r>
      <w:r>
        <w:rPr>
          <w:spacing w:val="-4"/>
        </w:rPr>
        <w:t> </w:t>
      </w:r>
      <w:r>
        <w:rPr/>
        <w:t>que</w:t>
      </w:r>
      <w:r>
        <w:rPr>
          <w:spacing w:val="-4"/>
        </w:rPr>
        <w:t> </w:t>
      </w:r>
      <w:r>
        <w:rPr/>
        <w:t>comparado</w:t>
      </w:r>
      <w:r>
        <w:rPr>
          <w:spacing w:val="-2"/>
        </w:rPr>
        <w:t> </w:t>
      </w:r>
      <w:r>
        <w:rPr/>
        <w:t>al periodo</w:t>
      </w:r>
      <w:r>
        <w:rPr>
          <w:spacing w:val="-12"/>
        </w:rPr>
        <w:t> </w:t>
      </w:r>
      <w:r>
        <w:rPr/>
        <w:t>anterior</w:t>
      </w:r>
      <w:r>
        <w:rPr>
          <w:spacing w:val="-12"/>
        </w:rPr>
        <w:t> </w:t>
      </w:r>
      <w:r>
        <w:rPr/>
        <w:t>genera</w:t>
      </w:r>
      <w:r>
        <w:rPr>
          <w:spacing w:val="-10"/>
        </w:rPr>
        <w:t> </w:t>
      </w:r>
      <w:r>
        <w:rPr/>
        <w:t>una</w:t>
      </w:r>
      <w:r>
        <w:rPr>
          <w:spacing w:val="-13"/>
        </w:rPr>
        <w:t> </w:t>
      </w:r>
      <w:r>
        <w:rPr/>
        <w:t>variación</w:t>
      </w:r>
      <w:r>
        <w:rPr>
          <w:spacing w:val="-9"/>
        </w:rPr>
        <w:t> </w:t>
      </w:r>
      <w:r>
        <w:rPr/>
        <w:t>absoluta</w:t>
      </w:r>
      <w:r>
        <w:rPr>
          <w:spacing w:val="-12"/>
        </w:rPr>
        <w:t> </w:t>
      </w:r>
      <w:r>
        <w:rPr/>
        <w:t>de</w:t>
      </w:r>
      <w:r>
        <w:rPr>
          <w:spacing w:val="-10"/>
        </w:rPr>
        <w:t> </w:t>
      </w:r>
      <w:r>
        <w:rPr/>
        <w:t>-5.742.855,15</w:t>
      </w:r>
      <w:r>
        <w:rPr>
          <w:spacing w:val="-9"/>
        </w:rPr>
        <w:t> </w:t>
      </w:r>
      <w:r>
        <w:rPr/>
        <w:t>que</w:t>
      </w:r>
      <w:r>
        <w:rPr>
          <w:spacing w:val="-11"/>
        </w:rPr>
        <w:t> </w:t>
      </w:r>
      <w:r>
        <w:rPr/>
        <w:t>corresponde</w:t>
      </w:r>
      <w:r>
        <w:rPr>
          <w:spacing w:val="-11"/>
        </w:rPr>
        <w:t> </w:t>
      </w:r>
      <w:r>
        <w:rPr/>
        <w:t>una</w:t>
      </w:r>
      <w:r>
        <w:rPr>
          <w:spacing w:val="-10"/>
        </w:rPr>
        <w:t> </w:t>
      </w:r>
      <w:r>
        <w:rPr/>
        <w:t>disminución</w:t>
      </w:r>
      <w:r>
        <w:rPr>
          <w:spacing w:val="-11"/>
        </w:rPr>
        <w:t> </w:t>
      </w:r>
      <w:r>
        <w:rPr>
          <w:spacing w:val="-5"/>
        </w:rPr>
        <w:t>del</w:t>
      </w:r>
    </w:p>
    <w:p>
      <w:pPr>
        <w:pStyle w:val="BodyText"/>
        <w:spacing w:line="259" w:lineRule="auto"/>
        <w:ind w:left="622" w:right="1001"/>
      </w:pPr>
      <w:r>
        <w:rPr/>
        <w:t>-14,43% de recursos disponibles, producto de la disminución del 10% del efectivo correspondiente al mes de julio de los recursos provenientes del Fondo de Desarrollo Social y Asignaciones Familiares.</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6992">
                <wp:simplePos x="0" y="0"/>
                <wp:positionH relativeFrom="page">
                  <wp:posOffset>9525</wp:posOffset>
                </wp:positionH>
                <wp:positionV relativeFrom="page">
                  <wp:posOffset>297208</wp:posOffset>
                </wp:positionV>
                <wp:extent cx="7762875" cy="974852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762875" cy="9748520"/>
                          <a:chExt cx="7762875" cy="9748520"/>
                        </a:xfrm>
                      </wpg:grpSpPr>
                      <pic:pic>
                        <pic:nvPicPr>
                          <pic:cNvPr id="158" name="Image 158"/>
                          <pic:cNvPicPr/>
                        </pic:nvPicPr>
                        <pic:blipFill>
                          <a:blip r:embed="rId5" cstate="print"/>
                          <a:stretch>
                            <a:fillRect/>
                          </a:stretch>
                        </pic:blipFill>
                        <pic:spPr>
                          <a:xfrm>
                            <a:off x="0" y="0"/>
                            <a:ext cx="7762874" cy="9748489"/>
                          </a:xfrm>
                          <a:prstGeom prst="rect">
                            <a:avLst/>
                          </a:prstGeom>
                        </pic:spPr>
                      </pic:pic>
                      <wps:wsp>
                        <wps:cNvPr id="159" name="Graphic 159"/>
                        <wps:cNvSpPr/>
                        <wps:spPr>
                          <a:xfrm>
                            <a:off x="1053007" y="990837"/>
                            <a:ext cx="5649595" cy="7677784"/>
                          </a:xfrm>
                          <a:custGeom>
                            <a:avLst/>
                            <a:gdLst/>
                            <a:ahLst/>
                            <a:cxnLst/>
                            <a:rect l="l" t="t" r="r" b="b"/>
                            <a:pathLst>
                              <a:path w="5649595" h="7677784">
                                <a:moveTo>
                                  <a:pt x="5630862" y="132651"/>
                                </a:moveTo>
                                <a:lnTo>
                                  <a:pt x="5624779" y="132651"/>
                                </a:lnTo>
                                <a:lnTo>
                                  <a:pt x="5624779" y="7671244"/>
                                </a:lnTo>
                                <a:lnTo>
                                  <a:pt x="24384" y="7671244"/>
                                </a:lnTo>
                                <a:lnTo>
                                  <a:pt x="24384" y="132651"/>
                                </a:lnTo>
                                <a:lnTo>
                                  <a:pt x="18288" y="132651"/>
                                </a:lnTo>
                                <a:lnTo>
                                  <a:pt x="18288" y="7671244"/>
                                </a:lnTo>
                                <a:lnTo>
                                  <a:pt x="18288" y="7677340"/>
                                </a:lnTo>
                                <a:lnTo>
                                  <a:pt x="24384" y="7677340"/>
                                </a:lnTo>
                                <a:lnTo>
                                  <a:pt x="5624779" y="7677340"/>
                                </a:lnTo>
                                <a:lnTo>
                                  <a:pt x="5630862" y="7677340"/>
                                </a:lnTo>
                                <a:lnTo>
                                  <a:pt x="5630862" y="7671244"/>
                                </a:lnTo>
                                <a:lnTo>
                                  <a:pt x="5630862" y="132651"/>
                                </a:lnTo>
                                <a:close/>
                              </a:path>
                              <a:path w="5649595" h="7677784">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677784">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9488" id="docshapegroup156" coordorigin="15,468" coordsize="12225,15352">
                <v:shape style="position:absolute;left:15;top:468;width:12225;height:15352" type="#_x0000_t75" id="docshape157" stroked="false">
                  <v:imagedata r:id="rId5" o:title=""/>
                </v:shape>
                <v:shape style="position:absolute;left:1673;top:2028;width:8897;height:12091" id="docshape158" coordorigin="1673,2028" coordsize="8897,12091" path="m10541,2237l10531,2237,10531,14109,1712,14109,1712,2237,1702,2237,1702,14109,1702,14119,1712,14119,10531,14119,10531,14119,10541,14119,10541,14109,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46</w:t>
      </w:r>
    </w:p>
    <w:p>
      <w:pPr>
        <w:pStyle w:val="Heading6"/>
        <w:spacing w:before="227"/>
        <w:ind w:left="734"/>
        <w:rPr>
          <w:b w:val="0"/>
        </w:rPr>
      </w:pPr>
      <w:r>
        <w:rPr>
          <w:color w:val="1F4E79"/>
          <w:spacing w:val="-2"/>
          <w:u w:val="single" w:color="1F4E79"/>
        </w:rPr>
        <w:t>Revelación</w:t>
      </w:r>
      <w:r>
        <w:rPr>
          <w:b w:val="0"/>
          <w:spacing w:val="-2"/>
          <w:u w:val="none"/>
        </w:rPr>
        <w:t>:</w:t>
      </w:r>
    </w:p>
    <w:p>
      <w:pPr>
        <w:pStyle w:val="BodyText"/>
        <w:spacing w:before="179"/>
        <w:ind w:left="734" w:right="1095"/>
        <w:jc w:val="both"/>
      </w:pPr>
      <w:r>
        <w:rPr/>
        <w:t>La adopción del concepto financiero del capital al preparar sus estados contables se traduce en la consideración del dinero invertido o del poder adquisitivo invertido, por lo que este capital es sinónimo de activos y/o patrimonios netos de la empresa.</w:t>
      </w:r>
    </w:p>
    <w:p>
      <w:pPr>
        <w:pStyle w:val="BodyText"/>
        <w:spacing w:before="30"/>
      </w:pPr>
    </w:p>
    <w:p>
      <w:pPr>
        <w:pStyle w:val="BodyText"/>
        <w:spacing w:before="1"/>
        <w:ind w:left="734" w:right="1088"/>
        <w:jc w:val="both"/>
      </w:pPr>
      <w:r>
        <w:rPr/>
        <w:t>Por lo anterior conviene hacer un proceso de</w:t>
      </w:r>
      <w:r>
        <w:rPr>
          <w:spacing w:val="-1"/>
        </w:rPr>
        <w:t> </w:t>
      </w:r>
      <w:r>
        <w:rPr/>
        <w:t>análisis previo que permita el llegar a la construcción de este concepto de capital, el IMAS, es una institución pública creada por La Ley 4760 del 30 de abril</w:t>
      </w:r>
      <w:r>
        <w:rPr>
          <w:spacing w:val="-5"/>
        </w:rPr>
        <w:t> </w:t>
      </w:r>
      <w:r>
        <w:rPr/>
        <w:t>de</w:t>
      </w:r>
      <w:r>
        <w:rPr>
          <w:spacing w:val="-6"/>
        </w:rPr>
        <w:t> </w:t>
      </w:r>
      <w:r>
        <w:rPr/>
        <w:t>1971,</w:t>
      </w:r>
      <w:r>
        <w:rPr>
          <w:spacing w:val="-5"/>
        </w:rPr>
        <w:t> </w:t>
      </w:r>
      <w:r>
        <w:rPr/>
        <w:t>que</w:t>
      </w:r>
      <w:r>
        <w:rPr>
          <w:spacing w:val="-8"/>
        </w:rPr>
        <w:t> </w:t>
      </w:r>
      <w:r>
        <w:rPr/>
        <w:t>establece</w:t>
      </w:r>
      <w:r>
        <w:rPr>
          <w:spacing w:val="-9"/>
        </w:rPr>
        <w:t> </w:t>
      </w:r>
      <w:r>
        <w:rPr/>
        <w:t>como</w:t>
      </w:r>
      <w:r>
        <w:rPr>
          <w:spacing w:val="-6"/>
        </w:rPr>
        <w:t> </w:t>
      </w:r>
      <w:r>
        <w:rPr/>
        <w:t>finalidad:</w:t>
      </w:r>
      <w:r>
        <w:rPr>
          <w:spacing w:val="-6"/>
        </w:rPr>
        <w:t> </w:t>
      </w:r>
      <w:r>
        <w:rPr/>
        <w:t>“resolver</w:t>
      </w:r>
      <w:r>
        <w:rPr>
          <w:spacing w:val="-5"/>
        </w:rPr>
        <w:t> </w:t>
      </w:r>
      <w:r>
        <w:rPr/>
        <w:t>el</w:t>
      </w:r>
      <w:r>
        <w:rPr>
          <w:spacing w:val="-6"/>
        </w:rPr>
        <w:t> </w:t>
      </w:r>
      <w:r>
        <w:rPr/>
        <w:t>problema</w:t>
      </w:r>
      <w:r>
        <w:rPr>
          <w:spacing w:val="-5"/>
        </w:rPr>
        <w:t> </w:t>
      </w:r>
      <w:r>
        <w:rPr/>
        <w:t>de</w:t>
      </w:r>
      <w:r>
        <w:rPr>
          <w:spacing w:val="-6"/>
        </w:rPr>
        <w:t> </w:t>
      </w:r>
      <w:r>
        <w:rPr/>
        <w:t>la</w:t>
      </w:r>
      <w:r>
        <w:rPr>
          <w:spacing w:val="-8"/>
        </w:rPr>
        <w:t> </w:t>
      </w:r>
      <w:r>
        <w:rPr/>
        <w:t>pobreza</w:t>
      </w:r>
      <w:r>
        <w:rPr>
          <w:spacing w:val="-8"/>
        </w:rPr>
        <w:t> </w:t>
      </w:r>
      <w:r>
        <w:rPr/>
        <w:t>extrema</w:t>
      </w:r>
      <w:r>
        <w:rPr>
          <w:spacing w:val="-5"/>
        </w:rPr>
        <w:t> </w:t>
      </w:r>
      <w:r>
        <w:rPr/>
        <w:t>en</w:t>
      </w:r>
      <w:r>
        <w:rPr>
          <w:spacing w:val="-4"/>
        </w:rPr>
        <w:t> </w:t>
      </w:r>
      <w:r>
        <w:rPr/>
        <w:t>el</w:t>
      </w:r>
      <w:r>
        <w:rPr>
          <w:spacing w:val="-5"/>
        </w:rPr>
        <w:t> </w:t>
      </w:r>
      <w:r>
        <w:rPr/>
        <w:t>país, para</w:t>
      </w:r>
      <w:r>
        <w:rPr>
          <w:spacing w:val="-4"/>
        </w:rPr>
        <w:t> </w:t>
      </w:r>
      <w:r>
        <w:rPr/>
        <w:t>lo</w:t>
      </w:r>
      <w:r>
        <w:rPr>
          <w:spacing w:val="-3"/>
        </w:rPr>
        <w:t> </w:t>
      </w:r>
      <w:r>
        <w:rPr/>
        <w:t>cual</w:t>
      </w:r>
      <w:r>
        <w:rPr>
          <w:spacing w:val="-4"/>
        </w:rPr>
        <w:t> </w:t>
      </w:r>
      <w:r>
        <w:rPr/>
        <w:t>deberá</w:t>
      </w:r>
      <w:r>
        <w:rPr>
          <w:spacing w:val="-4"/>
        </w:rPr>
        <w:t> </w:t>
      </w:r>
      <w:r>
        <w:rPr/>
        <w:t>planear,</w:t>
      </w:r>
      <w:r>
        <w:rPr>
          <w:spacing w:val="-4"/>
        </w:rPr>
        <w:t> </w:t>
      </w:r>
      <w:r>
        <w:rPr/>
        <w:t>dirigir,</w:t>
      </w:r>
      <w:r>
        <w:rPr>
          <w:spacing w:val="-4"/>
        </w:rPr>
        <w:t> </w:t>
      </w:r>
      <w:r>
        <w:rPr/>
        <w:t>ejecutar</w:t>
      </w:r>
      <w:r>
        <w:rPr>
          <w:spacing w:val="-4"/>
        </w:rPr>
        <w:t> </w:t>
      </w:r>
      <w:r>
        <w:rPr/>
        <w:t>y</w:t>
      </w:r>
      <w:r>
        <w:rPr>
          <w:spacing w:val="-2"/>
        </w:rPr>
        <w:t> </w:t>
      </w:r>
      <w:r>
        <w:rPr/>
        <w:t>controlar</w:t>
      </w:r>
      <w:r>
        <w:rPr>
          <w:spacing w:val="-6"/>
        </w:rPr>
        <w:t> </w:t>
      </w:r>
      <w:r>
        <w:rPr/>
        <w:t>un</w:t>
      </w:r>
      <w:r>
        <w:rPr>
          <w:spacing w:val="-4"/>
        </w:rPr>
        <w:t> </w:t>
      </w:r>
      <w:r>
        <w:rPr/>
        <w:t>plan</w:t>
      </w:r>
      <w:r>
        <w:rPr>
          <w:spacing w:val="-3"/>
        </w:rPr>
        <w:t> </w:t>
      </w:r>
      <w:r>
        <w:rPr/>
        <w:t>nacional</w:t>
      </w:r>
      <w:r>
        <w:rPr>
          <w:spacing w:val="-5"/>
        </w:rPr>
        <w:t> </w:t>
      </w:r>
      <w:r>
        <w:rPr/>
        <w:t>destinado</w:t>
      </w:r>
      <w:r>
        <w:rPr>
          <w:spacing w:val="-3"/>
        </w:rPr>
        <w:t> </w:t>
      </w:r>
      <w:r>
        <w:rPr/>
        <w:t>a</w:t>
      </w:r>
      <w:r>
        <w:rPr>
          <w:spacing w:val="-4"/>
        </w:rPr>
        <w:t> </w:t>
      </w:r>
      <w:r>
        <w:rPr/>
        <w:t>dicho</w:t>
      </w:r>
      <w:r>
        <w:rPr>
          <w:spacing w:val="-3"/>
        </w:rPr>
        <w:t> </w:t>
      </w:r>
      <w:r>
        <w:rPr/>
        <w:t>fin.</w:t>
      </w:r>
      <w:r>
        <w:rPr>
          <w:spacing w:val="-5"/>
        </w:rPr>
        <w:t> </w:t>
      </w:r>
      <w:r>
        <w:rPr/>
        <w:t>Para ese objetivo utilizará todos los recursos humanos y económicos que sean puestos a su servicio por los empresarios y</w:t>
      </w:r>
      <w:r>
        <w:rPr>
          <w:spacing w:val="-4"/>
        </w:rPr>
        <w:t> </w:t>
      </w:r>
      <w:r>
        <w:rPr/>
        <w:t>trabajadores del</w:t>
      </w:r>
      <w:r>
        <w:rPr>
          <w:spacing w:val="-2"/>
        </w:rPr>
        <w:t> </w:t>
      </w:r>
      <w:r>
        <w:rPr/>
        <w:t>país, instituciones del</w:t>
      </w:r>
      <w:r>
        <w:rPr>
          <w:spacing w:val="-4"/>
        </w:rPr>
        <w:t> </w:t>
      </w:r>
      <w:r>
        <w:rPr/>
        <w:t>sector</w:t>
      </w:r>
      <w:r>
        <w:rPr>
          <w:spacing w:val="-3"/>
        </w:rPr>
        <w:t> </w:t>
      </w:r>
      <w:r>
        <w:rPr/>
        <w:t>público</w:t>
      </w:r>
      <w:r>
        <w:rPr>
          <w:spacing w:val="-3"/>
        </w:rPr>
        <w:t> </w:t>
      </w:r>
      <w:r>
        <w:rPr/>
        <w:t>nacionales</w:t>
      </w:r>
      <w:r>
        <w:rPr>
          <w:spacing w:val="-2"/>
        </w:rPr>
        <w:t> </w:t>
      </w:r>
      <w:r>
        <w:rPr/>
        <w:t>o</w:t>
      </w:r>
      <w:r>
        <w:rPr>
          <w:spacing w:val="-3"/>
        </w:rPr>
        <w:t> </w:t>
      </w:r>
      <w:r>
        <w:rPr/>
        <w:t>extranjeras,</w:t>
      </w:r>
      <w:r>
        <w:rPr>
          <w:spacing w:val="-3"/>
        </w:rPr>
        <w:t> </w:t>
      </w:r>
      <w:r>
        <w:rPr/>
        <w:t>or-ganizaciones</w:t>
      </w:r>
      <w:r>
        <w:rPr>
          <w:spacing w:val="-4"/>
        </w:rPr>
        <w:t> </w:t>
      </w:r>
      <w:r>
        <w:rPr/>
        <w:t>privadas</w:t>
      </w:r>
      <w:r>
        <w:rPr>
          <w:spacing w:val="-4"/>
        </w:rPr>
        <w:t> </w:t>
      </w:r>
      <w:r>
        <w:rPr/>
        <w:t>de</w:t>
      </w:r>
      <w:r>
        <w:rPr>
          <w:spacing w:val="-6"/>
        </w:rPr>
        <w:t> </w:t>
      </w:r>
      <w:r>
        <w:rPr/>
        <w:t>toda</w:t>
      </w:r>
      <w:r>
        <w:rPr>
          <w:spacing w:val="-6"/>
        </w:rPr>
        <w:t> </w:t>
      </w:r>
      <w:r>
        <w:rPr/>
        <w:t>naturaleza,</w:t>
      </w:r>
      <w:r>
        <w:rPr>
          <w:spacing w:val="-5"/>
        </w:rPr>
        <w:t> </w:t>
      </w:r>
      <w:r>
        <w:rPr/>
        <w:t>instituciones</w:t>
      </w:r>
      <w:r>
        <w:rPr>
          <w:spacing w:val="-6"/>
        </w:rPr>
        <w:t> </w:t>
      </w:r>
      <w:r>
        <w:rPr/>
        <w:t>religiosas</w:t>
      </w:r>
      <w:r>
        <w:rPr>
          <w:spacing w:val="-4"/>
        </w:rPr>
        <w:t> </w:t>
      </w:r>
      <w:r>
        <w:rPr/>
        <w:t>y</w:t>
      </w:r>
      <w:r>
        <w:rPr>
          <w:spacing w:val="-6"/>
        </w:rPr>
        <w:t> </w:t>
      </w:r>
      <w:r>
        <w:rPr/>
        <w:t>demás</w:t>
      </w:r>
      <w:r>
        <w:rPr>
          <w:spacing w:val="-4"/>
        </w:rPr>
        <w:t> </w:t>
      </w:r>
      <w:r>
        <w:rPr/>
        <w:t>grupos</w:t>
      </w:r>
      <w:r>
        <w:rPr>
          <w:spacing w:val="-4"/>
        </w:rPr>
        <w:t> </w:t>
      </w:r>
      <w:r>
        <w:rPr/>
        <w:t>interesados</w:t>
      </w:r>
      <w:r>
        <w:rPr>
          <w:spacing w:val="-4"/>
        </w:rPr>
        <w:t> </w:t>
      </w:r>
      <w:r>
        <w:rPr/>
        <w:t>en</w:t>
      </w:r>
      <w:r>
        <w:rPr>
          <w:spacing w:val="-4"/>
        </w:rPr>
        <w:t> </w:t>
      </w:r>
      <w:r>
        <w:rPr/>
        <w:t>par-ticipar en el Plan Nacional de Lucha contra la Pobreza.”</w:t>
      </w:r>
    </w:p>
    <w:p>
      <w:pPr>
        <w:pStyle w:val="BodyText"/>
        <w:spacing w:before="29"/>
      </w:pPr>
    </w:p>
    <w:p>
      <w:pPr>
        <w:pStyle w:val="BodyText"/>
        <w:spacing w:line="259" w:lineRule="auto"/>
        <w:ind w:left="734" w:right="1091"/>
        <w:jc w:val="both"/>
      </w:pPr>
      <w:r>
        <w:rPr/>
        <w:t>Por</w:t>
      </w:r>
      <w:r>
        <w:rPr>
          <w:spacing w:val="-9"/>
        </w:rPr>
        <w:t> </w:t>
      </w:r>
      <w:r>
        <w:rPr/>
        <w:t>lo</w:t>
      </w:r>
      <w:r>
        <w:rPr>
          <w:spacing w:val="-9"/>
        </w:rPr>
        <w:t> </w:t>
      </w:r>
      <w:r>
        <w:rPr/>
        <w:t>anterior,</w:t>
      </w:r>
      <w:r>
        <w:rPr>
          <w:spacing w:val="-9"/>
        </w:rPr>
        <w:t> </w:t>
      </w:r>
      <w:r>
        <w:rPr/>
        <w:t>para</w:t>
      </w:r>
      <w:r>
        <w:rPr>
          <w:spacing w:val="-10"/>
        </w:rPr>
        <w:t> </w:t>
      </w:r>
      <w:r>
        <w:rPr/>
        <w:t>la</w:t>
      </w:r>
      <w:r>
        <w:rPr>
          <w:spacing w:val="-11"/>
        </w:rPr>
        <w:t> </w:t>
      </w:r>
      <w:r>
        <w:rPr/>
        <w:t>aplicación</w:t>
      </w:r>
      <w:r>
        <w:rPr>
          <w:spacing w:val="-9"/>
        </w:rPr>
        <w:t> </w:t>
      </w:r>
      <w:r>
        <w:rPr/>
        <w:t>del</w:t>
      </w:r>
      <w:r>
        <w:rPr>
          <w:spacing w:val="-10"/>
        </w:rPr>
        <w:t> </w:t>
      </w:r>
      <w:r>
        <w:rPr/>
        <w:t>concepto</w:t>
      </w:r>
      <w:r>
        <w:rPr>
          <w:spacing w:val="-9"/>
        </w:rPr>
        <w:t> </w:t>
      </w:r>
      <w:r>
        <w:rPr/>
        <w:t>de</w:t>
      </w:r>
      <w:r>
        <w:rPr>
          <w:spacing w:val="-11"/>
        </w:rPr>
        <w:t> </w:t>
      </w:r>
      <w:r>
        <w:rPr/>
        <w:t>capital</w:t>
      </w:r>
      <w:r>
        <w:rPr>
          <w:spacing w:val="-11"/>
        </w:rPr>
        <w:t> </w:t>
      </w:r>
      <w:r>
        <w:rPr/>
        <w:t>en</w:t>
      </w:r>
      <w:r>
        <w:rPr>
          <w:spacing w:val="-9"/>
        </w:rPr>
        <w:t> </w:t>
      </w:r>
      <w:r>
        <w:rPr/>
        <w:t>la</w:t>
      </w:r>
      <w:r>
        <w:rPr>
          <w:spacing w:val="-11"/>
        </w:rPr>
        <w:t> </w:t>
      </w:r>
      <w:r>
        <w:rPr/>
        <w:t>revelación</w:t>
      </w:r>
      <w:r>
        <w:rPr>
          <w:spacing w:val="-9"/>
        </w:rPr>
        <w:t> </w:t>
      </w:r>
      <w:r>
        <w:rPr/>
        <w:t>de</w:t>
      </w:r>
      <w:r>
        <w:rPr>
          <w:spacing w:val="-11"/>
        </w:rPr>
        <w:t> </w:t>
      </w:r>
      <w:r>
        <w:rPr/>
        <w:t>los</w:t>
      </w:r>
      <w:r>
        <w:rPr>
          <w:spacing w:val="-8"/>
        </w:rPr>
        <w:t> </w:t>
      </w:r>
      <w:r>
        <w:rPr/>
        <w:t>Estados</w:t>
      </w:r>
      <w:r>
        <w:rPr>
          <w:spacing w:val="-8"/>
        </w:rPr>
        <w:t> </w:t>
      </w:r>
      <w:r>
        <w:rPr/>
        <w:t>Financieros del Instituto Mixto de Ayuda Social, vamos a considerar:</w:t>
      </w:r>
    </w:p>
    <w:p>
      <w:pPr>
        <w:pStyle w:val="ListParagraph"/>
        <w:numPr>
          <w:ilvl w:val="2"/>
          <w:numId w:val="31"/>
        </w:numPr>
        <w:tabs>
          <w:tab w:pos="2019" w:val="left" w:leader="none"/>
          <w:tab w:pos="2021" w:val="left" w:leader="none"/>
        </w:tabs>
        <w:spacing w:line="276" w:lineRule="auto" w:before="161" w:after="0"/>
        <w:ind w:left="2021" w:right="1991" w:hanging="360"/>
        <w:jc w:val="both"/>
        <w:rPr>
          <w:sz w:val="22"/>
        </w:rPr>
      </w:pPr>
      <w:r>
        <w:rPr>
          <w:sz w:val="22"/>
        </w:rPr>
        <w:t>Activos</w:t>
      </w:r>
      <w:r>
        <w:rPr>
          <w:spacing w:val="-5"/>
          <w:sz w:val="22"/>
        </w:rPr>
        <w:t> </w:t>
      </w:r>
      <w:r>
        <w:rPr>
          <w:sz w:val="22"/>
        </w:rPr>
        <w:t>corrientes:</w:t>
      </w:r>
      <w:r>
        <w:rPr>
          <w:spacing w:val="40"/>
          <w:sz w:val="22"/>
        </w:rPr>
        <w:t> </w:t>
      </w:r>
      <w:r>
        <w:rPr>
          <w:sz w:val="22"/>
        </w:rPr>
        <w:t>Compuestos</w:t>
      </w:r>
      <w:r>
        <w:rPr>
          <w:spacing w:val="-5"/>
          <w:sz w:val="22"/>
        </w:rPr>
        <w:t> </w:t>
      </w:r>
      <w:r>
        <w:rPr>
          <w:sz w:val="22"/>
        </w:rPr>
        <w:t>por</w:t>
      </w:r>
      <w:r>
        <w:rPr>
          <w:spacing w:val="-8"/>
          <w:sz w:val="22"/>
        </w:rPr>
        <w:t> </w:t>
      </w:r>
      <w:r>
        <w:rPr>
          <w:sz w:val="22"/>
        </w:rPr>
        <w:t>el</w:t>
      </w:r>
      <w:r>
        <w:rPr>
          <w:spacing w:val="-6"/>
          <w:sz w:val="22"/>
        </w:rPr>
        <w:t> </w:t>
      </w:r>
      <w:r>
        <w:rPr>
          <w:sz w:val="22"/>
        </w:rPr>
        <w:t>efectivo</w:t>
      </w:r>
      <w:r>
        <w:rPr>
          <w:spacing w:val="-5"/>
          <w:sz w:val="22"/>
        </w:rPr>
        <w:t> </w:t>
      </w:r>
      <w:r>
        <w:rPr>
          <w:sz w:val="22"/>
        </w:rPr>
        <w:t>y</w:t>
      </w:r>
      <w:r>
        <w:rPr>
          <w:spacing w:val="-7"/>
          <w:sz w:val="22"/>
        </w:rPr>
        <w:t> </w:t>
      </w:r>
      <w:r>
        <w:rPr>
          <w:sz w:val="22"/>
        </w:rPr>
        <w:t>las</w:t>
      </w:r>
      <w:r>
        <w:rPr>
          <w:spacing w:val="-5"/>
          <w:sz w:val="22"/>
        </w:rPr>
        <w:t> </w:t>
      </w:r>
      <w:r>
        <w:rPr>
          <w:sz w:val="22"/>
        </w:rPr>
        <w:t>equivalencias</w:t>
      </w:r>
      <w:r>
        <w:rPr>
          <w:spacing w:val="-5"/>
          <w:sz w:val="22"/>
        </w:rPr>
        <w:t> </w:t>
      </w:r>
      <w:r>
        <w:rPr>
          <w:sz w:val="22"/>
        </w:rPr>
        <w:t>de</w:t>
      </w:r>
      <w:r>
        <w:rPr>
          <w:spacing w:val="-7"/>
          <w:sz w:val="22"/>
        </w:rPr>
        <w:t> </w:t>
      </w:r>
      <w:r>
        <w:rPr>
          <w:sz w:val="22"/>
        </w:rPr>
        <w:t>efec-tivo, las cuentas por cobrar</w:t>
      </w:r>
      <w:r>
        <w:rPr>
          <w:spacing w:val="-1"/>
          <w:sz w:val="22"/>
        </w:rPr>
        <w:t> </w:t>
      </w:r>
      <w:r>
        <w:rPr>
          <w:sz w:val="22"/>
        </w:rPr>
        <w:t>a corto plazo, y el inventario neto, excluyendo otros activos a corto plazo, donde destacan las cuentas de efectivo y las equivalencias de efectivo, e inventario neto.</w:t>
      </w:r>
    </w:p>
    <w:p>
      <w:pPr>
        <w:pStyle w:val="ListParagraph"/>
        <w:numPr>
          <w:ilvl w:val="2"/>
          <w:numId w:val="31"/>
        </w:numPr>
        <w:tabs>
          <w:tab w:pos="2018" w:val="left" w:leader="none"/>
          <w:tab w:pos="2021" w:val="left" w:leader="none"/>
        </w:tabs>
        <w:spacing w:line="276" w:lineRule="auto" w:before="199" w:after="0"/>
        <w:ind w:left="2021" w:right="1991" w:hanging="360"/>
        <w:jc w:val="both"/>
        <w:rPr>
          <w:sz w:val="22"/>
        </w:rPr>
      </w:pPr>
      <w:r>
        <w:rPr>
          <w:sz w:val="22"/>
        </w:rPr>
        <w:t>Activos no corrientes: Compuesto por cuentas por cobrar a largo plazo neto,</w:t>
      </w:r>
      <w:r>
        <w:rPr>
          <w:spacing w:val="-1"/>
          <w:sz w:val="22"/>
        </w:rPr>
        <w:t> </w:t>
      </w:r>
      <w:r>
        <w:rPr>
          <w:sz w:val="22"/>
        </w:rPr>
        <w:t>Propiedad</w:t>
      </w:r>
      <w:r>
        <w:rPr>
          <w:spacing w:val="-2"/>
          <w:sz w:val="22"/>
        </w:rPr>
        <w:t> </w:t>
      </w:r>
      <w:r>
        <w:rPr>
          <w:sz w:val="22"/>
        </w:rPr>
        <w:t>Planta</w:t>
      </w:r>
      <w:r>
        <w:rPr>
          <w:spacing w:val="-1"/>
          <w:sz w:val="22"/>
        </w:rPr>
        <w:t> </w:t>
      </w:r>
      <w:r>
        <w:rPr>
          <w:sz w:val="22"/>
        </w:rPr>
        <w:t>y</w:t>
      </w:r>
      <w:r>
        <w:rPr>
          <w:spacing w:val="-2"/>
          <w:sz w:val="22"/>
        </w:rPr>
        <w:t> </w:t>
      </w:r>
      <w:r>
        <w:rPr>
          <w:sz w:val="22"/>
        </w:rPr>
        <w:t>Equipo</w:t>
      </w:r>
      <w:r>
        <w:rPr>
          <w:spacing w:val="-1"/>
          <w:sz w:val="22"/>
        </w:rPr>
        <w:t> </w:t>
      </w:r>
      <w:r>
        <w:rPr>
          <w:sz w:val="22"/>
        </w:rPr>
        <w:t>explotados,</w:t>
      </w:r>
      <w:r>
        <w:rPr>
          <w:spacing w:val="-1"/>
          <w:sz w:val="22"/>
        </w:rPr>
        <w:t> </w:t>
      </w:r>
      <w:r>
        <w:rPr>
          <w:sz w:val="22"/>
        </w:rPr>
        <w:t>construcciones en</w:t>
      </w:r>
      <w:r>
        <w:rPr>
          <w:spacing w:val="-1"/>
          <w:sz w:val="22"/>
        </w:rPr>
        <w:t> </w:t>
      </w:r>
      <w:r>
        <w:rPr>
          <w:sz w:val="22"/>
        </w:rPr>
        <w:t>proceso e inversiones</w:t>
      </w:r>
      <w:r>
        <w:rPr>
          <w:spacing w:val="-1"/>
          <w:sz w:val="22"/>
        </w:rPr>
        <w:t> </w:t>
      </w:r>
      <w:r>
        <w:rPr>
          <w:sz w:val="22"/>
        </w:rPr>
        <w:t>patrimoniales,</w:t>
      </w:r>
      <w:r>
        <w:rPr>
          <w:spacing w:val="-2"/>
          <w:sz w:val="22"/>
        </w:rPr>
        <w:t> </w:t>
      </w:r>
      <w:r>
        <w:rPr>
          <w:sz w:val="22"/>
        </w:rPr>
        <w:t>donde</w:t>
      </w:r>
      <w:r>
        <w:rPr>
          <w:spacing w:val="-4"/>
          <w:sz w:val="22"/>
        </w:rPr>
        <w:t> </w:t>
      </w:r>
      <w:r>
        <w:rPr>
          <w:sz w:val="22"/>
        </w:rPr>
        <w:t>se</w:t>
      </w:r>
      <w:r>
        <w:rPr>
          <w:spacing w:val="-3"/>
          <w:sz w:val="22"/>
        </w:rPr>
        <w:t> </w:t>
      </w:r>
      <w:r>
        <w:rPr>
          <w:sz w:val="22"/>
        </w:rPr>
        <w:t>excluye</w:t>
      </w:r>
      <w:r>
        <w:rPr>
          <w:spacing w:val="-3"/>
          <w:sz w:val="22"/>
        </w:rPr>
        <w:t> </w:t>
      </w:r>
      <w:r>
        <w:rPr>
          <w:sz w:val="22"/>
        </w:rPr>
        <w:t>los</w:t>
      </w:r>
      <w:r>
        <w:rPr>
          <w:spacing w:val="-1"/>
          <w:sz w:val="22"/>
        </w:rPr>
        <w:t> </w:t>
      </w:r>
      <w:r>
        <w:rPr>
          <w:sz w:val="22"/>
        </w:rPr>
        <w:t>bienes</w:t>
      </w:r>
      <w:r>
        <w:rPr>
          <w:spacing w:val="-1"/>
          <w:sz w:val="22"/>
        </w:rPr>
        <w:t> </w:t>
      </w:r>
      <w:r>
        <w:rPr>
          <w:sz w:val="22"/>
        </w:rPr>
        <w:t>intangibles</w:t>
      </w:r>
      <w:r>
        <w:rPr>
          <w:spacing w:val="-1"/>
          <w:sz w:val="22"/>
        </w:rPr>
        <w:t> </w:t>
      </w:r>
      <w:r>
        <w:rPr>
          <w:sz w:val="22"/>
        </w:rPr>
        <w:t>no</w:t>
      </w:r>
      <w:r>
        <w:rPr>
          <w:spacing w:val="-1"/>
          <w:sz w:val="22"/>
        </w:rPr>
        <w:t> </w:t>
      </w:r>
      <w:r>
        <w:rPr>
          <w:sz w:val="22"/>
        </w:rPr>
        <w:t>con-cesionados u los bienes históricos y culturales.</w:t>
      </w:r>
    </w:p>
    <w:p>
      <w:pPr>
        <w:pStyle w:val="ListParagraph"/>
        <w:numPr>
          <w:ilvl w:val="2"/>
          <w:numId w:val="31"/>
        </w:numPr>
        <w:tabs>
          <w:tab w:pos="2018" w:val="left" w:leader="none"/>
          <w:tab w:pos="2021" w:val="left" w:leader="none"/>
        </w:tabs>
        <w:spacing w:line="278" w:lineRule="auto" w:before="200" w:after="0"/>
        <w:ind w:left="2021" w:right="1992" w:hanging="360"/>
        <w:jc w:val="both"/>
        <w:rPr>
          <w:sz w:val="22"/>
        </w:rPr>
      </w:pPr>
      <w:r>
        <w:rPr>
          <w:sz w:val="22"/>
        </w:rPr>
        <w:t>Patrimonio: Compuesto por el patrimonio inicial, los</w:t>
      </w:r>
      <w:r>
        <w:rPr>
          <w:spacing w:val="-1"/>
          <w:sz w:val="22"/>
        </w:rPr>
        <w:t> </w:t>
      </w:r>
      <w:r>
        <w:rPr>
          <w:sz w:val="22"/>
        </w:rPr>
        <w:t>resultados</w:t>
      </w:r>
      <w:r>
        <w:rPr>
          <w:spacing w:val="-1"/>
          <w:sz w:val="22"/>
        </w:rPr>
        <w:t> </w:t>
      </w:r>
      <w:r>
        <w:rPr>
          <w:sz w:val="22"/>
        </w:rPr>
        <w:t>acumula-dos de ejercicios anteriores y los resultados del período.</w:t>
      </w:r>
    </w:p>
    <w:p>
      <w:pPr>
        <w:pStyle w:val="BodyText"/>
        <w:spacing w:before="24"/>
      </w:pPr>
    </w:p>
    <w:p>
      <w:pPr>
        <w:pStyle w:val="BodyText"/>
        <w:ind w:left="734" w:right="1088"/>
        <w:jc w:val="both"/>
      </w:pPr>
      <w:r>
        <w:rPr/>
        <w:t>Adicionalmente, conviene indicar que para el cumplimiento de sus fines el IMAS recibe recursos externos a la institución, que catalogamos como recursos específicos que son transferidos por: Fondo</w:t>
      </w:r>
      <w:r>
        <w:rPr>
          <w:spacing w:val="-9"/>
        </w:rPr>
        <w:t> </w:t>
      </w:r>
      <w:r>
        <w:rPr/>
        <w:t>de</w:t>
      </w:r>
      <w:r>
        <w:rPr>
          <w:spacing w:val="-9"/>
        </w:rPr>
        <w:t> </w:t>
      </w:r>
      <w:r>
        <w:rPr/>
        <w:t>Desarrollo</w:t>
      </w:r>
      <w:r>
        <w:rPr>
          <w:spacing w:val="-6"/>
        </w:rPr>
        <w:t> </w:t>
      </w:r>
      <w:r>
        <w:rPr/>
        <w:t>Social</w:t>
      </w:r>
      <w:r>
        <w:rPr>
          <w:spacing w:val="-8"/>
        </w:rPr>
        <w:t> </w:t>
      </w:r>
      <w:r>
        <w:rPr/>
        <w:t>y</w:t>
      </w:r>
      <w:r>
        <w:rPr>
          <w:spacing w:val="-8"/>
        </w:rPr>
        <w:t> </w:t>
      </w:r>
      <w:r>
        <w:rPr/>
        <w:t>Asignaciones</w:t>
      </w:r>
      <w:r>
        <w:rPr>
          <w:spacing w:val="-6"/>
        </w:rPr>
        <w:t> </w:t>
      </w:r>
      <w:r>
        <w:rPr/>
        <w:t>Familiares,</w:t>
      </w:r>
      <w:r>
        <w:rPr>
          <w:spacing w:val="-7"/>
        </w:rPr>
        <w:t> </w:t>
      </w:r>
      <w:r>
        <w:rPr/>
        <w:t>y</w:t>
      </w:r>
      <w:r>
        <w:rPr>
          <w:spacing w:val="-8"/>
        </w:rPr>
        <w:t> </w:t>
      </w:r>
      <w:r>
        <w:rPr/>
        <w:t>Gobierno</w:t>
      </w:r>
      <w:r>
        <w:rPr>
          <w:spacing w:val="-9"/>
        </w:rPr>
        <w:t> </w:t>
      </w:r>
      <w:r>
        <w:rPr/>
        <w:t>Central,</w:t>
      </w:r>
      <w:r>
        <w:rPr>
          <w:spacing w:val="-9"/>
        </w:rPr>
        <w:t> </w:t>
      </w:r>
      <w:r>
        <w:rPr/>
        <w:t>que</w:t>
      </w:r>
      <w:r>
        <w:rPr>
          <w:spacing w:val="-8"/>
        </w:rPr>
        <w:t> </w:t>
      </w:r>
      <w:r>
        <w:rPr/>
        <w:t>se</w:t>
      </w:r>
      <w:r>
        <w:rPr>
          <w:spacing w:val="-8"/>
        </w:rPr>
        <w:t> </w:t>
      </w:r>
      <w:r>
        <w:rPr/>
        <w:t>utilizan</w:t>
      </w:r>
      <w:r>
        <w:rPr>
          <w:spacing w:val="-7"/>
        </w:rPr>
        <w:t> </w:t>
      </w:r>
      <w:r>
        <w:rPr/>
        <w:t>de</w:t>
      </w:r>
      <w:r>
        <w:rPr>
          <w:spacing w:val="-9"/>
        </w:rPr>
        <w:t> </w:t>
      </w:r>
      <w:r>
        <w:rPr/>
        <w:t>forma exclusiva para el otorgamiento de los beneficios institucionales que componen la oferta programá-</w:t>
      </w:r>
      <w:r>
        <w:rPr>
          <w:spacing w:val="-2"/>
        </w:rPr>
        <w:t>tica.</w:t>
      </w:r>
    </w:p>
    <w:p>
      <w:pPr>
        <w:pStyle w:val="BodyText"/>
        <w:spacing w:before="28"/>
      </w:pPr>
    </w:p>
    <w:p>
      <w:pPr>
        <w:pStyle w:val="BodyText"/>
        <w:ind w:left="734" w:right="1089"/>
        <w:jc w:val="both"/>
      </w:pPr>
      <w:r>
        <w:rPr/>
        <w:t>La gestión de los recursos propios que viene de ingresos tributario y no tributarios, ingresan a la institución por el porcentaje establecido en la Ley N°4760 y sus reformas, que es recaudado por la CCSS, lo proveniente de otras leyes, así como los cargos por multas e intereses se gestionan por la Unidad de Administración Tributaria institucional, y sus estrategias de cobro.</w:t>
      </w:r>
    </w:p>
    <w:p>
      <w:pPr>
        <w:pStyle w:val="BodyText"/>
        <w:spacing w:before="29"/>
      </w:pPr>
    </w:p>
    <w:p>
      <w:pPr>
        <w:pStyle w:val="BodyText"/>
        <w:spacing w:before="1"/>
        <w:ind w:left="734" w:right="1091"/>
        <w:jc w:val="both"/>
      </w:pPr>
      <w:r>
        <w:rPr/>
        <w:t>En lo que compete a los recursos de carácter específico los mismos se comunican a la institución con antelación, dado que por su origen deben ser ingresados en el Presupuesto Ordinario de la República y, por otra parte, deben ser incorporado en el presupuesto ordinario institucional.</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7504">
                <wp:simplePos x="0" y="0"/>
                <wp:positionH relativeFrom="page">
                  <wp:posOffset>9525</wp:posOffset>
                </wp:positionH>
                <wp:positionV relativeFrom="page">
                  <wp:posOffset>297208</wp:posOffset>
                </wp:positionV>
                <wp:extent cx="7762875" cy="9748520"/>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7762875" cy="9748520"/>
                          <a:chExt cx="7762875" cy="9748520"/>
                        </a:xfrm>
                      </wpg:grpSpPr>
                      <pic:pic>
                        <pic:nvPicPr>
                          <pic:cNvPr id="161" name="Image 161"/>
                          <pic:cNvPicPr/>
                        </pic:nvPicPr>
                        <pic:blipFill>
                          <a:blip r:embed="rId5" cstate="print"/>
                          <a:stretch>
                            <a:fillRect/>
                          </a:stretch>
                        </pic:blipFill>
                        <pic:spPr>
                          <a:xfrm>
                            <a:off x="0" y="0"/>
                            <a:ext cx="7762874" cy="9748489"/>
                          </a:xfrm>
                          <a:prstGeom prst="rect">
                            <a:avLst/>
                          </a:prstGeom>
                        </pic:spPr>
                      </pic:pic>
                      <wps:wsp>
                        <wps:cNvPr id="162" name="Graphic 162"/>
                        <wps:cNvSpPr/>
                        <wps:spPr>
                          <a:xfrm>
                            <a:off x="1053007" y="990837"/>
                            <a:ext cx="5649595" cy="6205220"/>
                          </a:xfrm>
                          <a:custGeom>
                            <a:avLst/>
                            <a:gdLst/>
                            <a:ahLst/>
                            <a:cxnLst/>
                            <a:rect l="l" t="t" r="r" b="b"/>
                            <a:pathLst>
                              <a:path w="5649595" h="6205220">
                                <a:moveTo>
                                  <a:pt x="24384" y="132702"/>
                                </a:moveTo>
                                <a:lnTo>
                                  <a:pt x="18288" y="132702"/>
                                </a:lnTo>
                                <a:lnTo>
                                  <a:pt x="18288" y="6199111"/>
                                </a:lnTo>
                                <a:lnTo>
                                  <a:pt x="24384" y="6199111"/>
                                </a:lnTo>
                                <a:lnTo>
                                  <a:pt x="24384" y="132702"/>
                                </a:lnTo>
                                <a:close/>
                              </a:path>
                              <a:path w="5649595" h="6205220">
                                <a:moveTo>
                                  <a:pt x="5630862" y="6199124"/>
                                </a:moveTo>
                                <a:lnTo>
                                  <a:pt x="5624830" y="6199124"/>
                                </a:lnTo>
                                <a:lnTo>
                                  <a:pt x="24384" y="6199124"/>
                                </a:lnTo>
                                <a:lnTo>
                                  <a:pt x="18288" y="6199124"/>
                                </a:lnTo>
                                <a:lnTo>
                                  <a:pt x="18288" y="6205207"/>
                                </a:lnTo>
                                <a:lnTo>
                                  <a:pt x="24384" y="6205207"/>
                                </a:lnTo>
                                <a:lnTo>
                                  <a:pt x="5624779" y="6205207"/>
                                </a:lnTo>
                                <a:lnTo>
                                  <a:pt x="5630862" y="6205207"/>
                                </a:lnTo>
                                <a:lnTo>
                                  <a:pt x="5630862" y="6199124"/>
                                </a:lnTo>
                                <a:close/>
                              </a:path>
                              <a:path w="5649595" h="6205220">
                                <a:moveTo>
                                  <a:pt x="5630862" y="132702"/>
                                </a:moveTo>
                                <a:lnTo>
                                  <a:pt x="5624779" y="132702"/>
                                </a:lnTo>
                                <a:lnTo>
                                  <a:pt x="5624779" y="6199111"/>
                                </a:lnTo>
                                <a:lnTo>
                                  <a:pt x="5630862" y="6199111"/>
                                </a:lnTo>
                                <a:lnTo>
                                  <a:pt x="5630862" y="132702"/>
                                </a:lnTo>
                                <a:close/>
                              </a:path>
                              <a:path w="5649595" h="6205220">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620522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2208275" y="3078274"/>
                            <a:ext cx="3337560" cy="121285"/>
                          </a:xfrm>
                          <a:custGeom>
                            <a:avLst/>
                            <a:gdLst/>
                            <a:ahLst/>
                            <a:cxnLst/>
                            <a:rect l="l" t="t" r="r" b="b"/>
                            <a:pathLst>
                              <a:path w="3337560" h="121285">
                                <a:moveTo>
                                  <a:pt x="3337240" y="0"/>
                                </a:moveTo>
                                <a:lnTo>
                                  <a:pt x="0" y="0"/>
                                </a:lnTo>
                                <a:lnTo>
                                  <a:pt x="0" y="120668"/>
                                </a:lnTo>
                                <a:lnTo>
                                  <a:pt x="3337240" y="120668"/>
                                </a:lnTo>
                                <a:lnTo>
                                  <a:pt x="3337240" y="0"/>
                                </a:lnTo>
                                <a:close/>
                              </a:path>
                            </a:pathLst>
                          </a:custGeom>
                          <a:solidFill>
                            <a:srgbClr val="FFFFFF"/>
                          </a:solidFill>
                        </wps:spPr>
                        <wps:bodyPr wrap="square" lIns="0" tIns="0" rIns="0" bIns="0" rtlCol="0">
                          <a:prstTxWarp prst="textNoShape">
                            <a:avLst/>
                          </a:prstTxWarp>
                          <a:noAutofit/>
                        </wps:bodyPr>
                      </wps:wsp>
                      <wps:wsp>
                        <wps:cNvPr id="164" name="Graphic 164"/>
                        <wps:cNvSpPr/>
                        <wps:spPr>
                          <a:xfrm>
                            <a:off x="2208263" y="3306225"/>
                            <a:ext cx="3337560" cy="1294765"/>
                          </a:xfrm>
                          <a:custGeom>
                            <a:avLst/>
                            <a:gdLst/>
                            <a:ahLst/>
                            <a:cxnLst/>
                            <a:rect l="l" t="t" r="r" b="b"/>
                            <a:pathLst>
                              <a:path w="3337560" h="1294765">
                                <a:moveTo>
                                  <a:pt x="3337242" y="1198880"/>
                                </a:moveTo>
                                <a:lnTo>
                                  <a:pt x="0" y="1198880"/>
                                </a:lnTo>
                                <a:lnTo>
                                  <a:pt x="0" y="1294676"/>
                                </a:lnTo>
                                <a:lnTo>
                                  <a:pt x="3337242" y="1294676"/>
                                </a:lnTo>
                                <a:lnTo>
                                  <a:pt x="3337242" y="1198880"/>
                                </a:lnTo>
                                <a:close/>
                              </a:path>
                              <a:path w="3337560" h="1294765">
                                <a:moveTo>
                                  <a:pt x="3337242" y="459600"/>
                                </a:moveTo>
                                <a:lnTo>
                                  <a:pt x="0" y="459587"/>
                                </a:lnTo>
                                <a:lnTo>
                                  <a:pt x="0" y="553478"/>
                                </a:lnTo>
                                <a:lnTo>
                                  <a:pt x="3337242" y="553478"/>
                                </a:lnTo>
                                <a:lnTo>
                                  <a:pt x="3337242" y="459600"/>
                                </a:lnTo>
                                <a:close/>
                              </a:path>
                              <a:path w="3337560" h="1294765">
                                <a:moveTo>
                                  <a:pt x="3337242" y="183832"/>
                                </a:moveTo>
                                <a:lnTo>
                                  <a:pt x="0" y="183819"/>
                                </a:lnTo>
                                <a:lnTo>
                                  <a:pt x="0" y="277710"/>
                                </a:lnTo>
                                <a:lnTo>
                                  <a:pt x="3337242" y="277710"/>
                                </a:lnTo>
                                <a:lnTo>
                                  <a:pt x="3337242" y="183832"/>
                                </a:lnTo>
                                <a:close/>
                              </a:path>
                              <a:path w="3337560" h="1294765">
                                <a:moveTo>
                                  <a:pt x="3337242" y="0"/>
                                </a:moveTo>
                                <a:lnTo>
                                  <a:pt x="0" y="0"/>
                                </a:lnTo>
                                <a:lnTo>
                                  <a:pt x="0" y="93891"/>
                                </a:lnTo>
                                <a:lnTo>
                                  <a:pt x="3337242" y="93891"/>
                                </a:lnTo>
                                <a:lnTo>
                                  <a:pt x="3337242" y="0"/>
                                </a:lnTo>
                                <a:close/>
                              </a:path>
                            </a:pathLst>
                          </a:custGeom>
                          <a:solidFill>
                            <a:srgbClr val="D9D9D9"/>
                          </a:solidFill>
                        </wps:spPr>
                        <wps:bodyPr wrap="square" lIns="0" tIns="0" rIns="0" bIns="0" rtlCol="0">
                          <a:prstTxWarp prst="textNoShape">
                            <a:avLst/>
                          </a:prstTxWarp>
                          <a:noAutofit/>
                        </wps:bodyPr>
                      </wps:wsp>
                      <pic:pic>
                        <pic:nvPicPr>
                          <pic:cNvPr id="165" name="Image 165"/>
                          <pic:cNvPicPr/>
                        </pic:nvPicPr>
                        <pic:blipFill>
                          <a:blip r:embed="rId8" cstate="print"/>
                          <a:stretch>
                            <a:fillRect/>
                          </a:stretch>
                        </pic:blipFill>
                        <pic:spPr>
                          <a:xfrm>
                            <a:off x="2221669" y="3308006"/>
                            <a:ext cx="1195329" cy="84324"/>
                          </a:xfrm>
                          <a:prstGeom prst="rect">
                            <a:avLst/>
                          </a:prstGeom>
                        </pic:spPr>
                      </pic:pic>
                      <pic:pic>
                        <pic:nvPicPr>
                          <pic:cNvPr id="166" name="Image 166"/>
                          <pic:cNvPicPr/>
                        </pic:nvPicPr>
                        <pic:blipFill>
                          <a:blip r:embed="rId9" cstate="print"/>
                          <a:stretch>
                            <a:fillRect/>
                          </a:stretch>
                        </pic:blipFill>
                        <pic:spPr>
                          <a:xfrm>
                            <a:off x="3856709" y="3308006"/>
                            <a:ext cx="193934" cy="84324"/>
                          </a:xfrm>
                          <a:prstGeom prst="rect">
                            <a:avLst/>
                          </a:prstGeom>
                        </pic:spPr>
                      </pic:pic>
                      <pic:pic>
                        <pic:nvPicPr>
                          <pic:cNvPr id="167" name="Image 167"/>
                          <pic:cNvPicPr/>
                        </pic:nvPicPr>
                        <pic:blipFill>
                          <a:blip r:embed="rId10" cstate="print"/>
                          <a:stretch>
                            <a:fillRect/>
                          </a:stretch>
                        </pic:blipFill>
                        <pic:spPr>
                          <a:xfrm>
                            <a:off x="4616857" y="3308006"/>
                            <a:ext cx="196325" cy="84324"/>
                          </a:xfrm>
                          <a:prstGeom prst="rect">
                            <a:avLst/>
                          </a:prstGeom>
                        </pic:spPr>
                      </pic:pic>
                      <pic:pic>
                        <pic:nvPicPr>
                          <pic:cNvPr id="168" name="Image 168"/>
                          <pic:cNvPicPr/>
                        </pic:nvPicPr>
                        <pic:blipFill>
                          <a:blip r:embed="rId11" cstate="print"/>
                          <a:stretch>
                            <a:fillRect/>
                          </a:stretch>
                        </pic:blipFill>
                        <pic:spPr>
                          <a:xfrm>
                            <a:off x="5116521" y="3308006"/>
                            <a:ext cx="419739" cy="84324"/>
                          </a:xfrm>
                          <a:prstGeom prst="rect">
                            <a:avLst/>
                          </a:prstGeom>
                        </pic:spPr>
                      </pic:pic>
                      <pic:pic>
                        <pic:nvPicPr>
                          <pic:cNvPr id="169" name="Image 169"/>
                          <pic:cNvPicPr/>
                        </pic:nvPicPr>
                        <pic:blipFill>
                          <a:blip r:embed="rId12" cstate="print"/>
                          <a:stretch>
                            <a:fillRect/>
                          </a:stretch>
                        </pic:blipFill>
                        <pic:spPr>
                          <a:xfrm>
                            <a:off x="2221669" y="3491958"/>
                            <a:ext cx="687054" cy="84324"/>
                          </a:xfrm>
                          <a:prstGeom prst="rect">
                            <a:avLst/>
                          </a:prstGeom>
                        </pic:spPr>
                      </pic:pic>
                      <pic:pic>
                        <pic:nvPicPr>
                          <pic:cNvPr id="170" name="Image 170"/>
                          <pic:cNvPicPr/>
                        </pic:nvPicPr>
                        <pic:blipFill>
                          <a:blip r:embed="rId13" cstate="print"/>
                          <a:stretch>
                            <a:fillRect/>
                          </a:stretch>
                        </pic:blipFill>
                        <pic:spPr>
                          <a:xfrm>
                            <a:off x="2221669" y="3585814"/>
                            <a:ext cx="1232832" cy="84324"/>
                          </a:xfrm>
                          <a:prstGeom prst="rect">
                            <a:avLst/>
                          </a:prstGeom>
                        </pic:spPr>
                      </pic:pic>
                      <pic:pic>
                        <pic:nvPicPr>
                          <pic:cNvPr id="171" name="Image 171"/>
                          <pic:cNvPicPr/>
                        </pic:nvPicPr>
                        <pic:blipFill>
                          <a:blip r:embed="rId14" cstate="print"/>
                          <a:stretch>
                            <a:fillRect/>
                          </a:stretch>
                        </pic:blipFill>
                        <pic:spPr>
                          <a:xfrm>
                            <a:off x="3896891" y="3585814"/>
                            <a:ext cx="441317" cy="84324"/>
                          </a:xfrm>
                          <a:prstGeom prst="rect">
                            <a:avLst/>
                          </a:prstGeom>
                        </pic:spPr>
                      </pic:pic>
                      <pic:pic>
                        <pic:nvPicPr>
                          <pic:cNvPr id="172" name="Image 172"/>
                          <pic:cNvPicPr/>
                        </pic:nvPicPr>
                        <pic:blipFill>
                          <a:blip r:embed="rId15" cstate="print"/>
                          <a:stretch>
                            <a:fillRect/>
                          </a:stretch>
                        </pic:blipFill>
                        <pic:spPr>
                          <a:xfrm>
                            <a:off x="4630187" y="3585815"/>
                            <a:ext cx="461924" cy="84324"/>
                          </a:xfrm>
                          <a:prstGeom prst="rect">
                            <a:avLst/>
                          </a:prstGeom>
                        </pic:spPr>
                      </pic:pic>
                      <pic:pic>
                        <pic:nvPicPr>
                          <pic:cNvPr id="173" name="Image 173"/>
                          <pic:cNvPicPr/>
                        </pic:nvPicPr>
                        <pic:blipFill>
                          <a:blip r:embed="rId16" cstate="print"/>
                          <a:stretch>
                            <a:fillRect/>
                          </a:stretch>
                        </pic:blipFill>
                        <pic:spPr>
                          <a:xfrm>
                            <a:off x="5193123" y="3585815"/>
                            <a:ext cx="264782" cy="84324"/>
                          </a:xfrm>
                          <a:prstGeom prst="rect">
                            <a:avLst/>
                          </a:prstGeom>
                        </pic:spPr>
                      </pic:pic>
                      <pic:pic>
                        <pic:nvPicPr>
                          <pic:cNvPr id="174" name="Image 174"/>
                          <pic:cNvPicPr/>
                        </pic:nvPicPr>
                        <pic:blipFill>
                          <a:blip r:embed="rId17" cstate="print"/>
                          <a:stretch>
                            <a:fillRect/>
                          </a:stretch>
                        </pic:blipFill>
                        <pic:spPr>
                          <a:xfrm>
                            <a:off x="2221669" y="3677631"/>
                            <a:ext cx="886052" cy="84324"/>
                          </a:xfrm>
                          <a:prstGeom prst="rect">
                            <a:avLst/>
                          </a:prstGeom>
                        </pic:spPr>
                      </pic:pic>
                      <pic:pic>
                        <pic:nvPicPr>
                          <pic:cNvPr id="175" name="Image 175"/>
                          <pic:cNvPicPr/>
                        </pic:nvPicPr>
                        <pic:blipFill>
                          <a:blip r:embed="rId18" cstate="print"/>
                          <a:stretch>
                            <a:fillRect/>
                          </a:stretch>
                        </pic:blipFill>
                        <pic:spPr>
                          <a:xfrm>
                            <a:off x="3944855" y="3677631"/>
                            <a:ext cx="391950" cy="84324"/>
                          </a:xfrm>
                          <a:prstGeom prst="rect">
                            <a:avLst/>
                          </a:prstGeom>
                        </pic:spPr>
                      </pic:pic>
                      <pic:pic>
                        <pic:nvPicPr>
                          <pic:cNvPr id="176" name="Image 176"/>
                          <pic:cNvPicPr/>
                        </pic:nvPicPr>
                        <pic:blipFill>
                          <a:blip r:embed="rId19" cstate="print"/>
                          <a:stretch>
                            <a:fillRect/>
                          </a:stretch>
                        </pic:blipFill>
                        <pic:spPr>
                          <a:xfrm>
                            <a:off x="4674260" y="3677631"/>
                            <a:ext cx="416825" cy="84324"/>
                          </a:xfrm>
                          <a:prstGeom prst="rect">
                            <a:avLst/>
                          </a:prstGeom>
                        </pic:spPr>
                      </pic:pic>
                      <pic:pic>
                        <pic:nvPicPr>
                          <pic:cNvPr id="177" name="Image 177"/>
                          <pic:cNvPicPr/>
                        </pic:nvPicPr>
                        <pic:blipFill>
                          <a:blip r:embed="rId20" cstate="print"/>
                          <a:stretch>
                            <a:fillRect/>
                          </a:stretch>
                        </pic:blipFill>
                        <pic:spPr>
                          <a:xfrm>
                            <a:off x="5217998" y="3677631"/>
                            <a:ext cx="212258" cy="84324"/>
                          </a:xfrm>
                          <a:prstGeom prst="rect">
                            <a:avLst/>
                          </a:prstGeom>
                        </pic:spPr>
                      </pic:pic>
                      <pic:pic>
                        <pic:nvPicPr>
                          <pic:cNvPr id="178" name="Image 178"/>
                          <pic:cNvPicPr/>
                        </pic:nvPicPr>
                        <pic:blipFill>
                          <a:blip r:embed="rId21" cstate="print"/>
                          <a:stretch>
                            <a:fillRect/>
                          </a:stretch>
                        </pic:blipFill>
                        <pic:spPr>
                          <a:xfrm>
                            <a:off x="2221669" y="3769638"/>
                            <a:ext cx="878080" cy="84324"/>
                          </a:xfrm>
                          <a:prstGeom prst="rect">
                            <a:avLst/>
                          </a:prstGeom>
                        </pic:spPr>
                      </pic:pic>
                      <pic:pic>
                        <pic:nvPicPr>
                          <pic:cNvPr id="179" name="Image 179"/>
                          <pic:cNvPicPr/>
                        </pic:nvPicPr>
                        <pic:blipFill>
                          <a:blip r:embed="rId22" cstate="print"/>
                          <a:stretch>
                            <a:fillRect/>
                          </a:stretch>
                        </pic:blipFill>
                        <pic:spPr>
                          <a:xfrm>
                            <a:off x="3868189" y="3769638"/>
                            <a:ext cx="472225" cy="84324"/>
                          </a:xfrm>
                          <a:prstGeom prst="rect">
                            <a:avLst/>
                          </a:prstGeom>
                        </pic:spPr>
                      </pic:pic>
                      <pic:pic>
                        <pic:nvPicPr>
                          <pic:cNvPr id="180" name="Image 180"/>
                          <pic:cNvPicPr/>
                        </pic:nvPicPr>
                        <pic:blipFill>
                          <a:blip r:embed="rId23" cstate="print"/>
                          <a:stretch>
                            <a:fillRect/>
                          </a:stretch>
                        </pic:blipFill>
                        <pic:spPr>
                          <a:xfrm>
                            <a:off x="4622597" y="3769638"/>
                            <a:ext cx="470165" cy="84324"/>
                          </a:xfrm>
                          <a:prstGeom prst="rect">
                            <a:avLst/>
                          </a:prstGeom>
                        </pic:spPr>
                      </pic:pic>
                      <pic:pic>
                        <pic:nvPicPr>
                          <pic:cNvPr id="181" name="Image 181"/>
                          <pic:cNvPicPr/>
                        </pic:nvPicPr>
                        <pic:blipFill>
                          <a:blip r:embed="rId24" cstate="print"/>
                          <a:stretch>
                            <a:fillRect/>
                          </a:stretch>
                        </pic:blipFill>
                        <pic:spPr>
                          <a:xfrm>
                            <a:off x="5185405" y="3769638"/>
                            <a:ext cx="282277" cy="84324"/>
                          </a:xfrm>
                          <a:prstGeom prst="rect">
                            <a:avLst/>
                          </a:prstGeom>
                        </pic:spPr>
                      </pic:pic>
                      <pic:pic>
                        <pic:nvPicPr>
                          <pic:cNvPr id="182" name="Image 182"/>
                          <pic:cNvPicPr/>
                        </pic:nvPicPr>
                        <pic:blipFill>
                          <a:blip r:embed="rId25" cstate="print"/>
                          <a:stretch>
                            <a:fillRect/>
                          </a:stretch>
                        </pic:blipFill>
                        <pic:spPr>
                          <a:xfrm>
                            <a:off x="2221670" y="3951492"/>
                            <a:ext cx="389558" cy="84324"/>
                          </a:xfrm>
                          <a:prstGeom prst="rect">
                            <a:avLst/>
                          </a:prstGeom>
                        </pic:spPr>
                      </pic:pic>
                      <pic:pic>
                        <pic:nvPicPr>
                          <pic:cNvPr id="183" name="Image 183"/>
                          <pic:cNvPicPr/>
                        </pic:nvPicPr>
                        <pic:blipFill>
                          <a:blip r:embed="rId26" cstate="print"/>
                          <a:stretch>
                            <a:fillRect/>
                          </a:stretch>
                        </pic:blipFill>
                        <pic:spPr>
                          <a:xfrm>
                            <a:off x="3906458" y="3953405"/>
                            <a:ext cx="431016" cy="84324"/>
                          </a:xfrm>
                          <a:prstGeom prst="rect">
                            <a:avLst/>
                          </a:prstGeom>
                        </pic:spPr>
                      </pic:pic>
                      <pic:pic>
                        <pic:nvPicPr>
                          <pic:cNvPr id="184" name="Image 184"/>
                          <pic:cNvPicPr/>
                        </pic:nvPicPr>
                        <pic:blipFill>
                          <a:blip r:embed="rId27" cstate="print"/>
                          <a:stretch>
                            <a:fillRect/>
                          </a:stretch>
                        </pic:blipFill>
                        <pic:spPr>
                          <a:xfrm>
                            <a:off x="4632100" y="3953405"/>
                            <a:ext cx="459864" cy="84324"/>
                          </a:xfrm>
                          <a:prstGeom prst="rect">
                            <a:avLst/>
                          </a:prstGeom>
                        </pic:spPr>
                      </pic:pic>
                      <pic:pic>
                        <pic:nvPicPr>
                          <pic:cNvPr id="185" name="Image 185"/>
                          <pic:cNvPicPr/>
                        </pic:nvPicPr>
                        <pic:blipFill>
                          <a:blip r:embed="rId28" cstate="print"/>
                          <a:stretch>
                            <a:fillRect/>
                          </a:stretch>
                        </pic:blipFill>
                        <pic:spPr>
                          <a:xfrm>
                            <a:off x="5191209" y="3953405"/>
                            <a:ext cx="266970" cy="84324"/>
                          </a:xfrm>
                          <a:prstGeom prst="rect">
                            <a:avLst/>
                          </a:prstGeom>
                        </pic:spPr>
                      </pic:pic>
                      <pic:pic>
                        <pic:nvPicPr>
                          <pic:cNvPr id="186" name="Image 186"/>
                          <pic:cNvPicPr/>
                        </pic:nvPicPr>
                        <pic:blipFill>
                          <a:blip r:embed="rId29" cstate="print"/>
                          <a:stretch>
                            <a:fillRect/>
                          </a:stretch>
                        </pic:blipFill>
                        <pic:spPr>
                          <a:xfrm>
                            <a:off x="2221670" y="4135444"/>
                            <a:ext cx="869533" cy="84324"/>
                          </a:xfrm>
                          <a:prstGeom prst="rect">
                            <a:avLst/>
                          </a:prstGeom>
                        </pic:spPr>
                      </pic:pic>
                      <pic:pic>
                        <pic:nvPicPr>
                          <pic:cNvPr id="187" name="Image 187"/>
                          <pic:cNvPicPr/>
                        </pic:nvPicPr>
                        <pic:blipFill>
                          <a:blip r:embed="rId30" cstate="print"/>
                          <a:stretch>
                            <a:fillRect/>
                          </a:stretch>
                        </pic:blipFill>
                        <pic:spPr>
                          <a:xfrm>
                            <a:off x="4118978" y="4137357"/>
                            <a:ext cx="218955" cy="84324"/>
                          </a:xfrm>
                          <a:prstGeom prst="rect">
                            <a:avLst/>
                          </a:prstGeom>
                        </pic:spPr>
                      </pic:pic>
                      <pic:pic>
                        <pic:nvPicPr>
                          <pic:cNvPr id="188" name="Image 188"/>
                          <pic:cNvPicPr/>
                        </pic:nvPicPr>
                        <pic:blipFill>
                          <a:blip r:embed="rId31" cstate="print"/>
                          <a:stretch>
                            <a:fillRect/>
                          </a:stretch>
                        </pic:blipFill>
                        <pic:spPr>
                          <a:xfrm>
                            <a:off x="4750925" y="4137357"/>
                            <a:ext cx="339049" cy="84324"/>
                          </a:xfrm>
                          <a:prstGeom prst="rect">
                            <a:avLst/>
                          </a:prstGeom>
                        </pic:spPr>
                      </pic:pic>
                      <pic:pic>
                        <pic:nvPicPr>
                          <pic:cNvPr id="189" name="Image 189"/>
                          <pic:cNvPicPr/>
                        </pic:nvPicPr>
                        <pic:blipFill>
                          <a:blip r:embed="rId32" cstate="print"/>
                          <a:stretch>
                            <a:fillRect/>
                          </a:stretch>
                        </pic:blipFill>
                        <pic:spPr>
                          <a:xfrm>
                            <a:off x="5296194" y="4187185"/>
                            <a:ext cx="22961" cy="4599"/>
                          </a:xfrm>
                          <a:prstGeom prst="rect">
                            <a:avLst/>
                          </a:prstGeom>
                        </pic:spPr>
                      </pic:pic>
                      <pic:pic>
                        <pic:nvPicPr>
                          <pic:cNvPr id="190" name="Image 190"/>
                          <pic:cNvPicPr/>
                        </pic:nvPicPr>
                        <pic:blipFill>
                          <a:blip r:embed="rId33" cstate="print"/>
                          <a:stretch>
                            <a:fillRect/>
                          </a:stretch>
                        </pic:blipFill>
                        <pic:spPr>
                          <a:xfrm>
                            <a:off x="2221670" y="4231245"/>
                            <a:ext cx="862134" cy="84324"/>
                          </a:xfrm>
                          <a:prstGeom prst="rect">
                            <a:avLst/>
                          </a:prstGeom>
                        </pic:spPr>
                      </pic:pic>
                      <pic:pic>
                        <pic:nvPicPr>
                          <pic:cNvPr id="191" name="Image 191"/>
                          <pic:cNvPicPr/>
                        </pic:nvPicPr>
                        <pic:blipFill>
                          <a:blip r:embed="rId34" cstate="print"/>
                          <a:stretch>
                            <a:fillRect/>
                          </a:stretch>
                        </pic:blipFill>
                        <pic:spPr>
                          <a:xfrm>
                            <a:off x="4036700" y="4231245"/>
                            <a:ext cx="299951" cy="84324"/>
                          </a:xfrm>
                          <a:prstGeom prst="rect">
                            <a:avLst/>
                          </a:prstGeom>
                        </pic:spPr>
                      </pic:pic>
                      <pic:pic>
                        <pic:nvPicPr>
                          <pic:cNvPr id="192" name="Image 192"/>
                          <pic:cNvPicPr/>
                        </pic:nvPicPr>
                        <pic:blipFill>
                          <a:blip r:embed="rId35" cstate="print"/>
                          <a:stretch>
                            <a:fillRect/>
                          </a:stretch>
                        </pic:blipFill>
                        <pic:spPr>
                          <a:xfrm>
                            <a:off x="4749012" y="4231245"/>
                            <a:ext cx="344598" cy="84324"/>
                          </a:xfrm>
                          <a:prstGeom prst="rect">
                            <a:avLst/>
                          </a:prstGeom>
                        </pic:spPr>
                      </pic:pic>
                      <pic:pic>
                        <pic:nvPicPr>
                          <pic:cNvPr id="193" name="Image 193"/>
                          <pic:cNvPicPr/>
                        </pic:nvPicPr>
                        <pic:blipFill>
                          <a:blip r:embed="rId36" cstate="print"/>
                          <a:stretch>
                            <a:fillRect/>
                          </a:stretch>
                        </pic:blipFill>
                        <pic:spPr>
                          <a:xfrm>
                            <a:off x="5183556" y="4231245"/>
                            <a:ext cx="284465" cy="84324"/>
                          </a:xfrm>
                          <a:prstGeom prst="rect">
                            <a:avLst/>
                          </a:prstGeom>
                        </pic:spPr>
                      </pic:pic>
                      <pic:pic>
                        <pic:nvPicPr>
                          <pic:cNvPr id="194" name="Image 194"/>
                          <pic:cNvPicPr/>
                        </pic:nvPicPr>
                        <pic:blipFill>
                          <a:blip r:embed="rId37" cstate="print"/>
                          <a:stretch>
                            <a:fillRect/>
                          </a:stretch>
                        </pic:blipFill>
                        <pic:spPr>
                          <a:xfrm>
                            <a:off x="2221670" y="4324974"/>
                            <a:ext cx="355888" cy="84324"/>
                          </a:xfrm>
                          <a:prstGeom prst="rect">
                            <a:avLst/>
                          </a:prstGeom>
                        </pic:spPr>
                      </pic:pic>
                      <pic:pic>
                        <pic:nvPicPr>
                          <pic:cNvPr id="195" name="Image 195"/>
                          <pic:cNvPicPr/>
                        </pic:nvPicPr>
                        <pic:blipFill>
                          <a:blip r:embed="rId38" cstate="print"/>
                          <a:stretch>
                            <a:fillRect/>
                          </a:stretch>
                        </pic:blipFill>
                        <pic:spPr>
                          <a:xfrm>
                            <a:off x="4023306" y="4324974"/>
                            <a:ext cx="314831" cy="84324"/>
                          </a:xfrm>
                          <a:prstGeom prst="rect">
                            <a:avLst/>
                          </a:prstGeom>
                        </pic:spPr>
                      </pic:pic>
                      <pic:pic>
                        <pic:nvPicPr>
                          <pic:cNvPr id="196" name="Image 196"/>
                          <pic:cNvPicPr/>
                        </pic:nvPicPr>
                        <pic:blipFill>
                          <a:blip r:embed="rId39" cstate="print"/>
                          <a:stretch>
                            <a:fillRect/>
                          </a:stretch>
                        </pic:blipFill>
                        <pic:spPr>
                          <a:xfrm>
                            <a:off x="4771973" y="4324974"/>
                            <a:ext cx="319086" cy="84324"/>
                          </a:xfrm>
                          <a:prstGeom prst="rect">
                            <a:avLst/>
                          </a:prstGeom>
                        </pic:spPr>
                      </pic:pic>
                      <pic:pic>
                        <pic:nvPicPr>
                          <pic:cNvPr id="197" name="Image 197"/>
                          <pic:cNvPicPr/>
                        </pic:nvPicPr>
                        <pic:blipFill>
                          <a:blip r:embed="rId40" cstate="print"/>
                          <a:stretch>
                            <a:fillRect/>
                          </a:stretch>
                        </pic:blipFill>
                        <pic:spPr>
                          <a:xfrm>
                            <a:off x="5208430" y="4324974"/>
                            <a:ext cx="234582" cy="84324"/>
                          </a:xfrm>
                          <a:prstGeom prst="rect">
                            <a:avLst/>
                          </a:prstGeom>
                        </pic:spPr>
                      </pic:pic>
                      <pic:pic>
                        <pic:nvPicPr>
                          <pic:cNvPr id="198" name="Image 198"/>
                          <pic:cNvPicPr/>
                        </pic:nvPicPr>
                        <pic:blipFill>
                          <a:blip r:embed="rId41" cstate="print"/>
                          <a:stretch>
                            <a:fillRect/>
                          </a:stretch>
                        </pic:blipFill>
                        <pic:spPr>
                          <a:xfrm>
                            <a:off x="2221670" y="4507012"/>
                            <a:ext cx="1007046" cy="84324"/>
                          </a:xfrm>
                          <a:prstGeom prst="rect">
                            <a:avLst/>
                          </a:prstGeom>
                        </pic:spPr>
                      </pic:pic>
                      <pic:pic>
                        <pic:nvPicPr>
                          <pic:cNvPr id="199" name="Image 199"/>
                          <pic:cNvPicPr/>
                        </pic:nvPicPr>
                        <pic:blipFill>
                          <a:blip r:embed="rId42" cstate="print"/>
                          <a:stretch>
                            <a:fillRect/>
                          </a:stretch>
                        </pic:blipFill>
                        <pic:spPr>
                          <a:xfrm>
                            <a:off x="3860536" y="4508925"/>
                            <a:ext cx="480472" cy="84324"/>
                          </a:xfrm>
                          <a:prstGeom prst="rect">
                            <a:avLst/>
                          </a:prstGeom>
                        </pic:spPr>
                      </pic:pic>
                      <pic:pic>
                        <pic:nvPicPr>
                          <pic:cNvPr id="200" name="Image 200"/>
                          <pic:cNvPicPr/>
                        </pic:nvPicPr>
                        <pic:blipFill>
                          <a:blip r:embed="rId43" cstate="print"/>
                          <a:stretch>
                            <a:fillRect/>
                          </a:stretch>
                        </pic:blipFill>
                        <pic:spPr>
                          <a:xfrm>
                            <a:off x="4630187" y="4508925"/>
                            <a:ext cx="461924" cy="84324"/>
                          </a:xfrm>
                          <a:prstGeom prst="rect">
                            <a:avLst/>
                          </a:prstGeom>
                        </pic:spPr>
                      </pic:pic>
                      <pic:pic>
                        <pic:nvPicPr>
                          <pic:cNvPr id="201" name="Image 201"/>
                          <pic:cNvPicPr/>
                        </pic:nvPicPr>
                        <pic:blipFill>
                          <a:blip r:embed="rId44" cstate="print"/>
                          <a:stretch>
                            <a:fillRect/>
                          </a:stretch>
                        </pic:blipFill>
                        <pic:spPr>
                          <a:xfrm>
                            <a:off x="5181578" y="4507012"/>
                            <a:ext cx="288840" cy="84324"/>
                          </a:xfrm>
                          <a:prstGeom prst="rect">
                            <a:avLst/>
                          </a:prstGeom>
                        </pic:spPr>
                      </pic:pic>
                      <pic:pic>
                        <pic:nvPicPr>
                          <pic:cNvPr id="202" name="Image 202"/>
                          <pic:cNvPicPr/>
                        </pic:nvPicPr>
                        <pic:blipFill>
                          <a:blip r:embed="rId8" cstate="print"/>
                          <a:stretch>
                            <a:fillRect/>
                          </a:stretch>
                        </pic:blipFill>
                        <pic:spPr>
                          <a:xfrm>
                            <a:off x="3295750" y="3106967"/>
                            <a:ext cx="1195329" cy="84324"/>
                          </a:xfrm>
                          <a:prstGeom prst="rect">
                            <a:avLst/>
                          </a:prstGeom>
                        </pic:spPr>
                      </pic:pic>
                      <pic:pic>
                        <pic:nvPicPr>
                          <pic:cNvPr id="203" name="Image 203"/>
                          <pic:cNvPicPr/>
                        </pic:nvPicPr>
                        <pic:blipFill>
                          <a:blip r:embed="rId45" cstate="print"/>
                          <a:stretch>
                            <a:fillRect/>
                          </a:stretch>
                        </pic:blipFill>
                        <pic:spPr>
                          <a:xfrm>
                            <a:off x="3525491" y="3214277"/>
                            <a:ext cx="734635" cy="84324"/>
                          </a:xfrm>
                          <a:prstGeom prst="rect">
                            <a:avLst/>
                          </a:prstGeom>
                        </pic:spPr>
                      </pic:pic>
                      <wps:wsp>
                        <wps:cNvPr id="204" name="Graphic 204"/>
                        <wps:cNvSpPr/>
                        <wps:spPr>
                          <a:xfrm>
                            <a:off x="2211145" y="3307209"/>
                            <a:ext cx="1336675" cy="1270"/>
                          </a:xfrm>
                          <a:custGeom>
                            <a:avLst/>
                            <a:gdLst/>
                            <a:ahLst/>
                            <a:cxnLst/>
                            <a:rect l="l" t="t" r="r" b="b"/>
                            <a:pathLst>
                              <a:path w="1336675" h="0">
                                <a:moveTo>
                                  <a:pt x="0" y="0"/>
                                </a:moveTo>
                                <a:lnTo>
                                  <a:pt x="1336350" y="0"/>
                                </a:lnTo>
                              </a:path>
                            </a:pathLst>
                          </a:custGeom>
                          <a:ln w="1912">
                            <a:solidFill>
                              <a:srgbClr val="000000"/>
                            </a:solidFill>
                            <a:prstDash val="solid"/>
                          </a:ln>
                        </wps:spPr>
                        <wps:bodyPr wrap="square" lIns="0" tIns="0" rIns="0" bIns="0" rtlCol="0">
                          <a:prstTxWarp prst="textNoShape">
                            <a:avLst/>
                          </a:prstTxWarp>
                          <a:noAutofit/>
                        </wps:bodyPr>
                      </wps:wsp>
                      <wps:wsp>
                        <wps:cNvPr id="205" name="Graphic 205"/>
                        <wps:cNvSpPr/>
                        <wps:spPr>
                          <a:xfrm>
                            <a:off x="2206358" y="3076368"/>
                            <a:ext cx="2866390" cy="323850"/>
                          </a:xfrm>
                          <a:custGeom>
                            <a:avLst/>
                            <a:gdLst/>
                            <a:ahLst/>
                            <a:cxnLst/>
                            <a:rect l="l" t="t" r="r" b="b"/>
                            <a:pathLst>
                              <a:path w="2866390" h="323850">
                                <a:moveTo>
                                  <a:pt x="2866212" y="227977"/>
                                </a:moveTo>
                                <a:lnTo>
                                  <a:pt x="1342148" y="227977"/>
                                </a:lnTo>
                                <a:lnTo>
                                  <a:pt x="1342148" y="229895"/>
                                </a:lnTo>
                                <a:lnTo>
                                  <a:pt x="3822" y="229895"/>
                                </a:lnTo>
                                <a:lnTo>
                                  <a:pt x="3822" y="0"/>
                                </a:lnTo>
                                <a:lnTo>
                                  <a:pt x="0" y="0"/>
                                </a:lnTo>
                                <a:lnTo>
                                  <a:pt x="0" y="323748"/>
                                </a:lnTo>
                                <a:lnTo>
                                  <a:pt x="3822" y="323748"/>
                                </a:lnTo>
                                <a:lnTo>
                                  <a:pt x="3822" y="231800"/>
                                </a:lnTo>
                                <a:lnTo>
                                  <a:pt x="1342148" y="231800"/>
                                </a:lnTo>
                                <a:lnTo>
                                  <a:pt x="2866212" y="231800"/>
                                </a:lnTo>
                                <a:lnTo>
                                  <a:pt x="2866212" y="227977"/>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2211145" y="3490969"/>
                            <a:ext cx="1334770" cy="1270"/>
                          </a:xfrm>
                          <a:custGeom>
                            <a:avLst/>
                            <a:gdLst/>
                            <a:ahLst/>
                            <a:cxnLst/>
                            <a:rect l="l" t="t" r="r" b="b"/>
                            <a:pathLst>
                              <a:path w="1334770" h="0">
                                <a:moveTo>
                                  <a:pt x="0" y="0"/>
                                </a:moveTo>
                                <a:lnTo>
                                  <a:pt x="1334500" y="0"/>
                                </a:lnTo>
                              </a:path>
                            </a:pathLst>
                          </a:custGeom>
                          <a:ln w="1912">
                            <a:solidFill>
                              <a:srgbClr val="000000"/>
                            </a:solidFill>
                            <a:prstDash val="solid"/>
                          </a:ln>
                        </wps:spPr>
                        <wps:bodyPr wrap="square" lIns="0" tIns="0" rIns="0" bIns="0" rtlCol="0">
                          <a:prstTxWarp prst="textNoShape">
                            <a:avLst/>
                          </a:prstTxWarp>
                          <a:noAutofit/>
                        </wps:bodyPr>
                      </wps:wsp>
                      <wps:wsp>
                        <wps:cNvPr id="207" name="Graphic 207"/>
                        <wps:cNvSpPr/>
                        <wps:spPr>
                          <a:xfrm>
                            <a:off x="2210189" y="3490013"/>
                            <a:ext cx="1336675" cy="2540"/>
                          </a:xfrm>
                          <a:custGeom>
                            <a:avLst/>
                            <a:gdLst/>
                            <a:ahLst/>
                            <a:cxnLst/>
                            <a:rect l="l" t="t" r="r" b="b"/>
                            <a:pathLst>
                              <a:path w="1336675" h="2540">
                                <a:moveTo>
                                  <a:pt x="1336350" y="0"/>
                                </a:moveTo>
                                <a:lnTo>
                                  <a:pt x="0" y="0"/>
                                </a:lnTo>
                                <a:lnTo>
                                  <a:pt x="0" y="1912"/>
                                </a:lnTo>
                                <a:lnTo>
                                  <a:pt x="1336350" y="1912"/>
                                </a:lnTo>
                                <a:lnTo>
                                  <a:pt x="1336350"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3549409" y="3309122"/>
                            <a:ext cx="1270" cy="90170"/>
                          </a:xfrm>
                          <a:custGeom>
                            <a:avLst/>
                            <a:gdLst/>
                            <a:ahLst/>
                            <a:cxnLst/>
                            <a:rect l="l" t="t" r="r" b="b"/>
                            <a:pathLst>
                              <a:path w="0" h="90170">
                                <a:moveTo>
                                  <a:pt x="0" y="0"/>
                                </a:moveTo>
                                <a:lnTo>
                                  <a:pt x="0" y="90031"/>
                                </a:lnTo>
                              </a:path>
                            </a:pathLst>
                          </a:custGeom>
                          <a:ln w="1913">
                            <a:solidFill>
                              <a:srgbClr val="000000"/>
                            </a:solidFill>
                            <a:prstDash val="solid"/>
                          </a:ln>
                        </wps:spPr>
                        <wps:bodyPr wrap="square" lIns="0" tIns="0" rIns="0" bIns="0" rtlCol="0">
                          <a:prstTxWarp prst="textNoShape">
                            <a:avLst/>
                          </a:prstTxWarp>
                          <a:noAutofit/>
                        </wps:bodyPr>
                      </wps:wsp>
                      <wps:wsp>
                        <wps:cNvPr id="209" name="Graphic 209"/>
                        <wps:cNvSpPr/>
                        <wps:spPr>
                          <a:xfrm>
                            <a:off x="3548507" y="3080190"/>
                            <a:ext cx="1997075" cy="320040"/>
                          </a:xfrm>
                          <a:custGeom>
                            <a:avLst/>
                            <a:gdLst/>
                            <a:ahLst/>
                            <a:cxnLst/>
                            <a:rect l="l" t="t" r="r" b="b"/>
                            <a:pathLst>
                              <a:path w="1997075" h="320040">
                                <a:moveTo>
                                  <a:pt x="1917" y="227952"/>
                                </a:moveTo>
                                <a:lnTo>
                                  <a:pt x="0" y="227952"/>
                                </a:lnTo>
                                <a:lnTo>
                                  <a:pt x="0" y="319925"/>
                                </a:lnTo>
                                <a:lnTo>
                                  <a:pt x="1917" y="319925"/>
                                </a:lnTo>
                                <a:lnTo>
                                  <a:pt x="1917" y="227952"/>
                                </a:lnTo>
                                <a:close/>
                              </a:path>
                              <a:path w="1997075" h="320040">
                                <a:moveTo>
                                  <a:pt x="1996998" y="0"/>
                                </a:moveTo>
                                <a:lnTo>
                                  <a:pt x="1993176" y="0"/>
                                </a:lnTo>
                                <a:lnTo>
                                  <a:pt x="1993176" y="319925"/>
                                </a:lnTo>
                                <a:lnTo>
                                  <a:pt x="1996998" y="319925"/>
                                </a:lnTo>
                                <a:lnTo>
                                  <a:pt x="1996998"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2211145" y="3582977"/>
                            <a:ext cx="1334770" cy="1270"/>
                          </a:xfrm>
                          <a:custGeom>
                            <a:avLst/>
                            <a:gdLst/>
                            <a:ahLst/>
                            <a:cxnLst/>
                            <a:rect l="l" t="t" r="r" b="b"/>
                            <a:pathLst>
                              <a:path w="1334770" h="0">
                                <a:moveTo>
                                  <a:pt x="0" y="0"/>
                                </a:moveTo>
                                <a:lnTo>
                                  <a:pt x="1334500" y="0"/>
                                </a:lnTo>
                              </a:path>
                            </a:pathLst>
                          </a:custGeom>
                          <a:ln w="1912">
                            <a:solidFill>
                              <a:srgbClr val="000000"/>
                            </a:solidFill>
                            <a:prstDash val="solid"/>
                          </a:ln>
                        </wps:spPr>
                        <wps:bodyPr wrap="square" lIns="0" tIns="0" rIns="0" bIns="0" rtlCol="0">
                          <a:prstTxWarp prst="textNoShape">
                            <a:avLst/>
                          </a:prstTxWarp>
                          <a:noAutofit/>
                        </wps:bodyPr>
                      </wps:wsp>
                      <wps:wsp>
                        <wps:cNvPr id="211" name="Graphic 211"/>
                        <wps:cNvSpPr/>
                        <wps:spPr>
                          <a:xfrm>
                            <a:off x="2210189" y="3582020"/>
                            <a:ext cx="1336675" cy="2540"/>
                          </a:xfrm>
                          <a:custGeom>
                            <a:avLst/>
                            <a:gdLst/>
                            <a:ahLst/>
                            <a:cxnLst/>
                            <a:rect l="l" t="t" r="r" b="b"/>
                            <a:pathLst>
                              <a:path w="1336675" h="2540">
                                <a:moveTo>
                                  <a:pt x="1336350" y="0"/>
                                </a:moveTo>
                                <a:lnTo>
                                  <a:pt x="0" y="0"/>
                                </a:lnTo>
                                <a:lnTo>
                                  <a:pt x="0" y="1912"/>
                                </a:lnTo>
                                <a:lnTo>
                                  <a:pt x="1336350" y="1912"/>
                                </a:lnTo>
                                <a:lnTo>
                                  <a:pt x="1336350"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5544559" y="3492882"/>
                            <a:ext cx="1270" cy="88265"/>
                          </a:xfrm>
                          <a:custGeom>
                            <a:avLst/>
                            <a:gdLst/>
                            <a:ahLst/>
                            <a:cxnLst/>
                            <a:rect l="l" t="t" r="r" b="b"/>
                            <a:pathLst>
                              <a:path w="0" h="88265">
                                <a:moveTo>
                                  <a:pt x="0" y="0"/>
                                </a:moveTo>
                                <a:lnTo>
                                  <a:pt x="0" y="88181"/>
                                </a:lnTo>
                              </a:path>
                            </a:pathLst>
                          </a:custGeom>
                          <a:ln w="1913">
                            <a:solidFill>
                              <a:srgbClr val="000000"/>
                            </a:solidFill>
                            <a:prstDash val="solid"/>
                          </a:ln>
                        </wps:spPr>
                        <wps:bodyPr wrap="square" lIns="0" tIns="0" rIns="0" bIns="0" rtlCol="0">
                          <a:prstTxWarp prst="textNoShape">
                            <a:avLst/>
                          </a:prstTxWarp>
                          <a:noAutofit/>
                        </wps:bodyPr>
                      </wps:wsp>
                      <wps:wsp>
                        <wps:cNvPr id="213" name="Graphic 213"/>
                        <wps:cNvSpPr/>
                        <wps:spPr>
                          <a:xfrm>
                            <a:off x="2206358" y="3489994"/>
                            <a:ext cx="3339465" cy="1111250"/>
                          </a:xfrm>
                          <a:custGeom>
                            <a:avLst/>
                            <a:gdLst/>
                            <a:ahLst/>
                            <a:cxnLst/>
                            <a:rect l="l" t="t" r="r" b="b"/>
                            <a:pathLst>
                              <a:path w="3339465" h="1111250">
                                <a:moveTo>
                                  <a:pt x="3822" y="0"/>
                                </a:moveTo>
                                <a:lnTo>
                                  <a:pt x="0" y="0"/>
                                </a:lnTo>
                                <a:lnTo>
                                  <a:pt x="0" y="1110907"/>
                                </a:lnTo>
                                <a:lnTo>
                                  <a:pt x="3822" y="1110907"/>
                                </a:lnTo>
                                <a:lnTo>
                                  <a:pt x="3822" y="0"/>
                                </a:lnTo>
                                <a:close/>
                              </a:path>
                              <a:path w="3339465" h="1111250">
                                <a:moveTo>
                                  <a:pt x="1344066" y="50"/>
                                </a:moveTo>
                                <a:lnTo>
                                  <a:pt x="1340243" y="50"/>
                                </a:lnTo>
                                <a:lnTo>
                                  <a:pt x="1340243" y="93941"/>
                                </a:lnTo>
                                <a:lnTo>
                                  <a:pt x="1344066" y="93941"/>
                                </a:lnTo>
                                <a:lnTo>
                                  <a:pt x="1344066" y="50"/>
                                </a:lnTo>
                                <a:close/>
                              </a:path>
                              <a:path w="3339465" h="1111250">
                                <a:moveTo>
                                  <a:pt x="3339147" y="92011"/>
                                </a:moveTo>
                                <a:lnTo>
                                  <a:pt x="3339084" y="1968"/>
                                </a:lnTo>
                                <a:lnTo>
                                  <a:pt x="3337179" y="1968"/>
                                </a:lnTo>
                                <a:lnTo>
                                  <a:pt x="3337179" y="92011"/>
                                </a:lnTo>
                                <a:lnTo>
                                  <a:pt x="3335324" y="92011"/>
                                </a:lnTo>
                                <a:lnTo>
                                  <a:pt x="3335324" y="1110907"/>
                                </a:lnTo>
                                <a:lnTo>
                                  <a:pt x="3339147" y="1110907"/>
                                </a:lnTo>
                                <a:lnTo>
                                  <a:pt x="3339147" y="92011"/>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4319125" y="3309122"/>
                            <a:ext cx="1270" cy="90170"/>
                          </a:xfrm>
                          <a:custGeom>
                            <a:avLst/>
                            <a:gdLst/>
                            <a:ahLst/>
                            <a:cxnLst/>
                            <a:rect l="l" t="t" r="r" b="b"/>
                            <a:pathLst>
                              <a:path w="0" h="90170">
                                <a:moveTo>
                                  <a:pt x="0" y="0"/>
                                </a:moveTo>
                                <a:lnTo>
                                  <a:pt x="0" y="90031"/>
                                </a:lnTo>
                              </a:path>
                            </a:pathLst>
                          </a:custGeom>
                          <a:ln w="1913">
                            <a:solidFill>
                              <a:srgbClr val="000000"/>
                            </a:solidFill>
                            <a:prstDash val="solid"/>
                          </a:ln>
                        </wps:spPr>
                        <wps:bodyPr wrap="square" lIns="0" tIns="0" rIns="0" bIns="0" rtlCol="0">
                          <a:prstTxWarp prst="textNoShape">
                            <a:avLst/>
                          </a:prstTxWarp>
                          <a:noAutofit/>
                        </wps:bodyPr>
                      </wps:wsp>
                      <wps:wsp>
                        <wps:cNvPr id="215" name="Graphic 215"/>
                        <wps:cNvSpPr/>
                        <wps:spPr>
                          <a:xfrm>
                            <a:off x="4318168" y="3308134"/>
                            <a:ext cx="2540" cy="92075"/>
                          </a:xfrm>
                          <a:custGeom>
                            <a:avLst/>
                            <a:gdLst/>
                            <a:ahLst/>
                            <a:cxnLst/>
                            <a:rect l="l" t="t" r="r" b="b"/>
                            <a:pathLst>
                              <a:path w="2540" h="92075">
                                <a:moveTo>
                                  <a:pt x="1913" y="0"/>
                                </a:moveTo>
                                <a:lnTo>
                                  <a:pt x="0" y="0"/>
                                </a:lnTo>
                                <a:lnTo>
                                  <a:pt x="0" y="91975"/>
                                </a:lnTo>
                                <a:lnTo>
                                  <a:pt x="1913" y="91975"/>
                                </a:lnTo>
                                <a:lnTo>
                                  <a:pt x="1913"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5071555" y="3309122"/>
                            <a:ext cx="1270" cy="90170"/>
                          </a:xfrm>
                          <a:custGeom>
                            <a:avLst/>
                            <a:gdLst/>
                            <a:ahLst/>
                            <a:cxnLst/>
                            <a:rect l="l" t="t" r="r" b="b"/>
                            <a:pathLst>
                              <a:path w="0" h="90170">
                                <a:moveTo>
                                  <a:pt x="0" y="0"/>
                                </a:moveTo>
                                <a:lnTo>
                                  <a:pt x="0" y="90031"/>
                                </a:lnTo>
                              </a:path>
                            </a:pathLst>
                          </a:custGeom>
                          <a:ln w="1913">
                            <a:solidFill>
                              <a:srgbClr val="000000"/>
                            </a:solidFill>
                            <a:prstDash val="solid"/>
                          </a:ln>
                        </wps:spPr>
                        <wps:bodyPr wrap="square" lIns="0" tIns="0" rIns="0" bIns="0" rtlCol="0">
                          <a:prstTxWarp prst="textNoShape">
                            <a:avLst/>
                          </a:prstTxWarp>
                          <a:noAutofit/>
                        </wps:bodyPr>
                      </wps:wsp>
                      <wps:wsp>
                        <wps:cNvPr id="217" name="Graphic 217"/>
                        <wps:cNvSpPr/>
                        <wps:spPr>
                          <a:xfrm>
                            <a:off x="2210180" y="3076393"/>
                            <a:ext cx="3335654" cy="323850"/>
                          </a:xfrm>
                          <a:custGeom>
                            <a:avLst/>
                            <a:gdLst/>
                            <a:ahLst/>
                            <a:cxnLst/>
                            <a:rect l="l" t="t" r="r" b="b"/>
                            <a:pathLst>
                              <a:path w="3335654" h="323850">
                                <a:moveTo>
                                  <a:pt x="2862326" y="231749"/>
                                </a:moveTo>
                                <a:lnTo>
                                  <a:pt x="2860408" y="231749"/>
                                </a:lnTo>
                                <a:lnTo>
                                  <a:pt x="2860408" y="323723"/>
                                </a:lnTo>
                                <a:lnTo>
                                  <a:pt x="2862326" y="323723"/>
                                </a:lnTo>
                                <a:lnTo>
                                  <a:pt x="2862326" y="231749"/>
                                </a:lnTo>
                                <a:close/>
                              </a:path>
                              <a:path w="3335654" h="323850">
                                <a:moveTo>
                                  <a:pt x="3335324" y="12"/>
                                </a:moveTo>
                                <a:lnTo>
                                  <a:pt x="0" y="0"/>
                                </a:lnTo>
                                <a:lnTo>
                                  <a:pt x="0" y="3835"/>
                                </a:lnTo>
                                <a:lnTo>
                                  <a:pt x="3335324" y="3835"/>
                                </a:lnTo>
                                <a:lnTo>
                                  <a:pt x="3335324" y="12"/>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5073532" y="3307209"/>
                            <a:ext cx="467359" cy="1270"/>
                          </a:xfrm>
                          <a:custGeom>
                            <a:avLst/>
                            <a:gdLst/>
                            <a:ahLst/>
                            <a:cxnLst/>
                            <a:rect l="l" t="t" r="r" b="b"/>
                            <a:pathLst>
                              <a:path w="467359" h="0">
                                <a:moveTo>
                                  <a:pt x="0" y="0"/>
                                </a:moveTo>
                                <a:lnTo>
                                  <a:pt x="467199" y="0"/>
                                </a:lnTo>
                              </a:path>
                            </a:pathLst>
                          </a:custGeom>
                          <a:ln w="1912">
                            <a:solidFill>
                              <a:srgbClr val="000000"/>
                            </a:solidFill>
                            <a:prstDash val="solid"/>
                          </a:ln>
                        </wps:spPr>
                        <wps:bodyPr wrap="square" lIns="0" tIns="0" rIns="0" bIns="0" rtlCol="0">
                          <a:prstTxWarp prst="textNoShape">
                            <a:avLst/>
                          </a:prstTxWarp>
                          <a:noAutofit/>
                        </wps:bodyPr>
                      </wps:wsp>
                      <wps:wsp>
                        <wps:cNvPr id="219" name="Graphic 219"/>
                        <wps:cNvSpPr/>
                        <wps:spPr>
                          <a:xfrm>
                            <a:off x="5072576" y="3306253"/>
                            <a:ext cx="469265" cy="2540"/>
                          </a:xfrm>
                          <a:custGeom>
                            <a:avLst/>
                            <a:gdLst/>
                            <a:ahLst/>
                            <a:cxnLst/>
                            <a:rect l="l" t="t" r="r" b="b"/>
                            <a:pathLst>
                              <a:path w="469265" h="2540">
                                <a:moveTo>
                                  <a:pt x="469113" y="0"/>
                                </a:moveTo>
                                <a:lnTo>
                                  <a:pt x="0" y="0"/>
                                </a:lnTo>
                                <a:lnTo>
                                  <a:pt x="0" y="1912"/>
                                </a:lnTo>
                                <a:lnTo>
                                  <a:pt x="469113" y="1912"/>
                                </a:lnTo>
                                <a:lnTo>
                                  <a:pt x="469113"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2211145" y="3399153"/>
                            <a:ext cx="3329940" cy="1270"/>
                          </a:xfrm>
                          <a:custGeom>
                            <a:avLst/>
                            <a:gdLst/>
                            <a:ahLst/>
                            <a:cxnLst/>
                            <a:rect l="l" t="t" r="r" b="b"/>
                            <a:pathLst>
                              <a:path w="3329940" h="0">
                                <a:moveTo>
                                  <a:pt x="0" y="0"/>
                                </a:moveTo>
                                <a:lnTo>
                                  <a:pt x="3329586" y="0"/>
                                </a:lnTo>
                              </a:path>
                            </a:pathLst>
                          </a:custGeom>
                          <a:ln w="1912">
                            <a:solidFill>
                              <a:srgbClr val="000000"/>
                            </a:solidFill>
                            <a:prstDash val="solid"/>
                          </a:ln>
                        </wps:spPr>
                        <wps:bodyPr wrap="square" lIns="0" tIns="0" rIns="0" bIns="0" rtlCol="0">
                          <a:prstTxWarp prst="textNoShape">
                            <a:avLst/>
                          </a:prstTxWarp>
                          <a:noAutofit/>
                        </wps:bodyPr>
                      </wps:wsp>
                      <wps:wsp>
                        <wps:cNvPr id="221" name="Graphic 221"/>
                        <wps:cNvSpPr/>
                        <wps:spPr>
                          <a:xfrm>
                            <a:off x="2210189" y="3398197"/>
                            <a:ext cx="3331845" cy="2540"/>
                          </a:xfrm>
                          <a:custGeom>
                            <a:avLst/>
                            <a:gdLst/>
                            <a:ahLst/>
                            <a:cxnLst/>
                            <a:rect l="l" t="t" r="r" b="b"/>
                            <a:pathLst>
                              <a:path w="3331845" h="2540">
                                <a:moveTo>
                                  <a:pt x="3331500" y="0"/>
                                </a:moveTo>
                                <a:lnTo>
                                  <a:pt x="0" y="0"/>
                                </a:lnTo>
                                <a:lnTo>
                                  <a:pt x="0" y="1912"/>
                                </a:lnTo>
                                <a:lnTo>
                                  <a:pt x="3331500" y="1913"/>
                                </a:lnTo>
                                <a:lnTo>
                                  <a:pt x="3331500"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551387" y="3490969"/>
                            <a:ext cx="1993264" cy="1270"/>
                          </a:xfrm>
                          <a:custGeom>
                            <a:avLst/>
                            <a:gdLst/>
                            <a:ahLst/>
                            <a:cxnLst/>
                            <a:rect l="l" t="t" r="r" b="b"/>
                            <a:pathLst>
                              <a:path w="1993264" h="0">
                                <a:moveTo>
                                  <a:pt x="0" y="0"/>
                                </a:moveTo>
                                <a:lnTo>
                                  <a:pt x="1993172" y="0"/>
                                </a:lnTo>
                              </a:path>
                            </a:pathLst>
                          </a:custGeom>
                          <a:ln w="1912">
                            <a:solidFill>
                              <a:srgbClr val="000000"/>
                            </a:solidFill>
                            <a:prstDash val="solid"/>
                          </a:ln>
                        </wps:spPr>
                        <wps:bodyPr wrap="square" lIns="0" tIns="0" rIns="0" bIns="0" rtlCol="0">
                          <a:prstTxWarp prst="textNoShape">
                            <a:avLst/>
                          </a:prstTxWarp>
                          <a:noAutofit/>
                        </wps:bodyPr>
                      </wps:wsp>
                      <wps:wsp>
                        <wps:cNvPr id="223" name="Graphic 223"/>
                        <wps:cNvSpPr/>
                        <wps:spPr>
                          <a:xfrm>
                            <a:off x="3550430" y="3490013"/>
                            <a:ext cx="1995170" cy="2540"/>
                          </a:xfrm>
                          <a:custGeom>
                            <a:avLst/>
                            <a:gdLst/>
                            <a:ahLst/>
                            <a:cxnLst/>
                            <a:rect l="l" t="t" r="r" b="b"/>
                            <a:pathLst>
                              <a:path w="1995170" h="2540">
                                <a:moveTo>
                                  <a:pt x="1995085" y="0"/>
                                </a:moveTo>
                                <a:lnTo>
                                  <a:pt x="0" y="0"/>
                                </a:lnTo>
                                <a:lnTo>
                                  <a:pt x="0" y="1912"/>
                                </a:lnTo>
                                <a:lnTo>
                                  <a:pt x="1995085" y="1913"/>
                                </a:lnTo>
                                <a:lnTo>
                                  <a:pt x="1995085"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3551387" y="3582977"/>
                            <a:ext cx="1989455" cy="1270"/>
                          </a:xfrm>
                          <a:custGeom>
                            <a:avLst/>
                            <a:gdLst/>
                            <a:ahLst/>
                            <a:cxnLst/>
                            <a:rect l="l" t="t" r="r" b="b"/>
                            <a:pathLst>
                              <a:path w="1989455" h="0">
                                <a:moveTo>
                                  <a:pt x="0" y="0"/>
                                </a:moveTo>
                                <a:lnTo>
                                  <a:pt x="1989345" y="0"/>
                                </a:lnTo>
                              </a:path>
                            </a:pathLst>
                          </a:custGeom>
                          <a:ln w="1912">
                            <a:solidFill>
                              <a:srgbClr val="000000"/>
                            </a:solidFill>
                            <a:prstDash val="solid"/>
                          </a:ln>
                        </wps:spPr>
                        <wps:bodyPr wrap="square" lIns="0" tIns="0" rIns="0" bIns="0" rtlCol="0">
                          <a:prstTxWarp prst="textNoShape">
                            <a:avLst/>
                          </a:prstTxWarp>
                          <a:noAutofit/>
                        </wps:bodyPr>
                      </wps:wsp>
                      <wps:wsp>
                        <wps:cNvPr id="225" name="Graphic 225"/>
                        <wps:cNvSpPr/>
                        <wps:spPr>
                          <a:xfrm>
                            <a:off x="3550430" y="3582021"/>
                            <a:ext cx="1991360" cy="2540"/>
                          </a:xfrm>
                          <a:custGeom>
                            <a:avLst/>
                            <a:gdLst/>
                            <a:ahLst/>
                            <a:cxnLst/>
                            <a:rect l="l" t="t" r="r" b="b"/>
                            <a:pathLst>
                              <a:path w="1991360" h="2540">
                                <a:moveTo>
                                  <a:pt x="1991259" y="0"/>
                                </a:moveTo>
                                <a:lnTo>
                                  <a:pt x="0" y="0"/>
                                </a:lnTo>
                                <a:lnTo>
                                  <a:pt x="0" y="1912"/>
                                </a:lnTo>
                                <a:lnTo>
                                  <a:pt x="1991259" y="1913"/>
                                </a:lnTo>
                                <a:lnTo>
                                  <a:pt x="1991259"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3549409" y="3766737"/>
                            <a:ext cx="1991360" cy="1270"/>
                          </a:xfrm>
                          <a:custGeom>
                            <a:avLst/>
                            <a:gdLst/>
                            <a:ahLst/>
                            <a:cxnLst/>
                            <a:rect l="l" t="t" r="r" b="b"/>
                            <a:pathLst>
                              <a:path w="1991360" h="0">
                                <a:moveTo>
                                  <a:pt x="0" y="0"/>
                                </a:moveTo>
                                <a:lnTo>
                                  <a:pt x="1991322" y="0"/>
                                </a:lnTo>
                              </a:path>
                            </a:pathLst>
                          </a:custGeom>
                          <a:ln w="1912">
                            <a:solidFill>
                              <a:srgbClr val="000000"/>
                            </a:solidFill>
                            <a:prstDash val="solid"/>
                          </a:ln>
                        </wps:spPr>
                        <wps:bodyPr wrap="square" lIns="0" tIns="0" rIns="0" bIns="0" rtlCol="0">
                          <a:prstTxWarp prst="textNoShape">
                            <a:avLst/>
                          </a:prstTxWarp>
                          <a:noAutofit/>
                        </wps:bodyPr>
                      </wps:wsp>
                      <wps:wsp>
                        <wps:cNvPr id="227" name="Graphic 227"/>
                        <wps:cNvSpPr/>
                        <wps:spPr>
                          <a:xfrm>
                            <a:off x="2210180" y="3765787"/>
                            <a:ext cx="3335654" cy="835660"/>
                          </a:xfrm>
                          <a:custGeom>
                            <a:avLst/>
                            <a:gdLst/>
                            <a:ahLst/>
                            <a:cxnLst/>
                            <a:rect l="l" t="t" r="r" b="b"/>
                            <a:pathLst>
                              <a:path w="3335654" h="835660">
                                <a:moveTo>
                                  <a:pt x="3331502" y="0"/>
                                </a:moveTo>
                                <a:lnTo>
                                  <a:pt x="1338326" y="0"/>
                                </a:lnTo>
                                <a:lnTo>
                                  <a:pt x="1338326" y="1917"/>
                                </a:lnTo>
                                <a:lnTo>
                                  <a:pt x="3331502" y="1917"/>
                                </a:lnTo>
                                <a:lnTo>
                                  <a:pt x="3331502" y="0"/>
                                </a:lnTo>
                                <a:close/>
                              </a:path>
                              <a:path w="3335654" h="835660">
                                <a:moveTo>
                                  <a:pt x="3335324" y="831291"/>
                                </a:moveTo>
                                <a:lnTo>
                                  <a:pt x="0" y="831291"/>
                                </a:lnTo>
                                <a:lnTo>
                                  <a:pt x="0" y="835113"/>
                                </a:lnTo>
                                <a:lnTo>
                                  <a:pt x="3335324" y="835113"/>
                                </a:lnTo>
                                <a:lnTo>
                                  <a:pt x="3335324" y="83129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8976" id="docshapegroup159" coordorigin="15,468" coordsize="12225,15352">
                <v:shape style="position:absolute;left:15;top:468;width:12225;height:15352" type="#_x0000_t75" id="docshape160" stroked="false">
                  <v:imagedata r:id="rId5" o:title=""/>
                </v:shape>
                <v:shape style="position:absolute;left:1673;top:2028;width:8897;height:9772" id="docshape161" coordorigin="1673,2028" coordsize="8897,9772" path="m1712,2237l1702,2237,1702,11791,1712,11791,1712,2237xm10541,11791l10531,11791,10531,11791,1712,11791,1702,11791,1702,11800,1712,11800,10531,11800,10531,11800,10541,11800,10541,11791xm10541,2237l10531,2237,10531,11791,10541,11791,10541,2237xm10541,2228l10531,2228,10531,2228,1712,2228,1702,2228,1702,2237,1712,2237,10531,2237,10531,2237,10541,2237,10541,2228xm10570,2028l1673,2028,1673,2043,10570,2043,10570,2028xe" filled="true" fillcolor="#000000" stroked="false">
                  <v:path arrowok="t"/>
                  <v:fill type="solid"/>
                </v:shape>
                <v:rect style="position:absolute;left:3492;top:5315;width:5256;height:191" id="docshape162" filled="true" fillcolor="#ffffff" stroked="false">
                  <v:fill type="solid"/>
                </v:rect>
                <v:shape style="position:absolute;left:3492;top:5674;width:5256;height:2039" id="docshape163" coordorigin="3493,5675" coordsize="5256,2039" path="m8748,7563l3493,7563,3493,7714,8748,7714,8748,7563xm8748,6398l3493,6398,3493,6546,8748,6546,8748,6398xm8748,5964l3493,5964,3493,6112,8748,6112,8748,5964xm8748,5675l3493,5675,3493,5823,8748,5823,8748,5675xe" filled="true" fillcolor="#d9d9d9" stroked="false">
                  <v:path arrowok="t"/>
                  <v:fill type="solid"/>
                </v:shape>
                <v:shape style="position:absolute;left:3513;top:5677;width:1883;height:133" type="#_x0000_t75" id="docshape164" stroked="false">
                  <v:imagedata r:id="rId8" o:title=""/>
                </v:shape>
                <v:shape style="position:absolute;left:6088;top:5677;width:306;height:133" type="#_x0000_t75" id="docshape165" stroked="false">
                  <v:imagedata r:id="rId9" o:title=""/>
                </v:shape>
                <v:shape style="position:absolute;left:7285;top:5677;width:310;height:133" type="#_x0000_t75" id="docshape166" stroked="false">
                  <v:imagedata r:id="rId10" o:title=""/>
                </v:shape>
                <v:shape style="position:absolute;left:8072;top:5677;width:661;height:133" type="#_x0000_t75" id="docshape167" stroked="false">
                  <v:imagedata r:id="rId11" o:title=""/>
                </v:shape>
                <v:shape style="position:absolute;left:3513;top:5967;width:1082;height:133" type="#_x0000_t75" id="docshape168" stroked="false">
                  <v:imagedata r:id="rId12" o:title=""/>
                </v:shape>
                <v:shape style="position:absolute;left:3513;top:6115;width:1942;height:133" type="#_x0000_t75" id="docshape169" stroked="false">
                  <v:imagedata r:id="rId13" o:title=""/>
                </v:shape>
                <v:shape style="position:absolute;left:6151;top:6115;width:695;height:133" type="#_x0000_t75" id="docshape170" stroked="false">
                  <v:imagedata r:id="rId14" o:title=""/>
                </v:shape>
                <v:shape style="position:absolute;left:7306;top:6115;width:728;height:133" type="#_x0000_t75" id="docshape171" stroked="false">
                  <v:imagedata r:id="rId15" o:title=""/>
                </v:shape>
                <v:shape style="position:absolute;left:8193;top:6115;width:417;height:133" type="#_x0000_t75" id="docshape172" stroked="false">
                  <v:imagedata r:id="rId16" o:title=""/>
                </v:shape>
                <v:shape style="position:absolute;left:3513;top:6259;width:1396;height:133" type="#_x0000_t75" id="docshape173" stroked="false">
                  <v:imagedata r:id="rId17" o:title=""/>
                </v:shape>
                <v:shape style="position:absolute;left:6227;top:6259;width:618;height:133" type="#_x0000_t75" id="docshape174" stroked="false">
                  <v:imagedata r:id="rId18" o:title=""/>
                </v:shape>
                <v:shape style="position:absolute;left:7376;top:6259;width:657;height:133" type="#_x0000_t75" id="docshape175" stroked="false">
                  <v:imagedata r:id="rId19" o:title=""/>
                </v:shape>
                <v:shape style="position:absolute;left:8232;top:6259;width:335;height:133" type="#_x0000_t75" id="docshape176" stroked="false">
                  <v:imagedata r:id="rId20" o:title=""/>
                </v:shape>
                <v:shape style="position:absolute;left:3513;top:6404;width:1383;height:133" type="#_x0000_t75" id="docshape177" stroked="false">
                  <v:imagedata r:id="rId21" o:title=""/>
                </v:shape>
                <v:shape style="position:absolute;left:6106;top:6404;width:744;height:133" type="#_x0000_t75" id="docshape178" stroked="false">
                  <v:imagedata r:id="rId22" o:title=""/>
                </v:shape>
                <v:shape style="position:absolute;left:7294;top:6404;width:741;height:133" type="#_x0000_t75" id="docshape179" stroked="false">
                  <v:imagedata r:id="rId23" o:title=""/>
                </v:shape>
                <v:shape style="position:absolute;left:8181;top:6404;width:445;height:133" type="#_x0000_t75" id="docshape180" stroked="false">
                  <v:imagedata r:id="rId24" o:title=""/>
                </v:shape>
                <v:shape style="position:absolute;left:3513;top:6690;width:614;height:133" type="#_x0000_t75" id="docshape181" stroked="false">
                  <v:imagedata r:id="rId25" o:title=""/>
                </v:shape>
                <v:shape style="position:absolute;left:6166;top:6693;width:679;height:133" type="#_x0000_t75" id="docshape182" stroked="false">
                  <v:imagedata r:id="rId26" o:title=""/>
                </v:shape>
                <v:shape style="position:absolute;left:7309;top:6693;width:725;height:133" type="#_x0000_t75" id="docshape183" stroked="false">
                  <v:imagedata r:id="rId27" o:title=""/>
                </v:shape>
                <v:shape style="position:absolute;left:8190;top:6693;width:421;height:133" type="#_x0000_t75" id="docshape184" stroked="false">
                  <v:imagedata r:id="rId28" o:title=""/>
                </v:shape>
                <v:shape style="position:absolute;left:3513;top:6980;width:1370;height:133" type="#_x0000_t75" id="docshape185" stroked="false">
                  <v:imagedata r:id="rId29" o:title=""/>
                </v:shape>
                <v:shape style="position:absolute;left:6501;top:6983;width:345;height:133" type="#_x0000_t75" id="docshape186" stroked="false">
                  <v:imagedata r:id="rId30" o:title=""/>
                </v:shape>
                <v:shape style="position:absolute;left:7496;top:6983;width:534;height:133" type="#_x0000_t75" id="docshape187" stroked="false">
                  <v:imagedata r:id="rId31" o:title=""/>
                </v:shape>
                <v:shape style="position:absolute;left:8355;top:7062;width:37;height:8" type="#_x0000_t75" id="docshape188" stroked="false">
                  <v:imagedata r:id="rId32" o:title=""/>
                </v:shape>
                <v:shape style="position:absolute;left:3513;top:7131;width:1358;height:133" type="#_x0000_t75" id="docshape189" stroked="false">
                  <v:imagedata r:id="rId33" o:title=""/>
                </v:shape>
                <v:shape style="position:absolute;left:6372;top:7131;width:473;height:133" type="#_x0000_t75" id="docshape190" stroked="false">
                  <v:imagedata r:id="rId34" o:title=""/>
                </v:shape>
                <v:shape style="position:absolute;left:7493;top:7131;width:543;height:133" type="#_x0000_t75" id="docshape191" stroked="false">
                  <v:imagedata r:id="rId35" o:title=""/>
                </v:shape>
                <v:shape style="position:absolute;left:8178;top:7131;width:448;height:133" type="#_x0000_t75" id="docshape192" stroked="false">
                  <v:imagedata r:id="rId36" o:title=""/>
                </v:shape>
                <v:shape style="position:absolute;left:3513;top:7279;width:561;height:133" type="#_x0000_t75" id="docshape193" stroked="false">
                  <v:imagedata r:id="rId37" o:title=""/>
                </v:shape>
                <v:shape style="position:absolute;left:6350;top:7279;width:496;height:133" type="#_x0000_t75" id="docshape194" stroked="false">
                  <v:imagedata r:id="rId38" o:title=""/>
                </v:shape>
                <v:shape style="position:absolute;left:7529;top:7279;width:503;height:133" type="#_x0000_t75" id="docshape195" stroked="false">
                  <v:imagedata r:id="rId39" o:title=""/>
                </v:shape>
                <v:shape style="position:absolute;left:8217;top:7279;width:370;height:133" type="#_x0000_t75" id="docshape196" stroked="false">
                  <v:imagedata r:id="rId40" o:title=""/>
                </v:shape>
                <v:shape style="position:absolute;left:3513;top:7565;width:1586;height:133" type="#_x0000_t75" id="docshape197" stroked="false">
                  <v:imagedata r:id="rId41" o:title=""/>
                </v:shape>
                <v:shape style="position:absolute;left:6094;top:7568;width:757;height:133" type="#_x0000_t75" id="docshape198" stroked="false">
                  <v:imagedata r:id="rId42" o:title=""/>
                </v:shape>
                <v:shape style="position:absolute;left:7306;top:7568;width:728;height:133" type="#_x0000_t75" id="docshape199" stroked="false">
                  <v:imagedata r:id="rId43" o:title=""/>
                </v:shape>
                <v:shape style="position:absolute;left:8174;top:7565;width:455;height:133" type="#_x0000_t75" id="docshape200" stroked="false">
                  <v:imagedata r:id="rId44" o:title=""/>
                </v:shape>
                <v:shape style="position:absolute;left:5205;top:5360;width:1883;height:133" type="#_x0000_t75" id="docshape201" stroked="false">
                  <v:imagedata r:id="rId8" o:title=""/>
                </v:shape>
                <v:shape style="position:absolute;left:5566;top:5529;width:1157;height:133" type="#_x0000_t75" id="docshape202" stroked="false">
                  <v:imagedata r:id="rId45" o:title=""/>
                </v:shape>
                <v:line style="position:absolute" from="3497,5676" to="5602,5676" stroked="true" strokeweight=".150617pt" strokecolor="#000000">
                  <v:stroke dashstyle="solid"/>
                </v:line>
                <v:shape style="position:absolute;left:3489;top:5312;width:4514;height:510" id="docshape203" coordorigin="3490,5313" coordsize="4514,510" path="m8003,5672l5603,5672,5603,5675,3496,5675,3496,5313,3490,5313,3490,5823,3496,5823,3496,5678,5603,5678,8003,5678,8003,5672xe" filled="true" fillcolor="#000000" stroked="false">
                  <v:path arrowok="t"/>
                  <v:fill type="solid"/>
                </v:shape>
                <v:line style="position:absolute" from="3497,5966" to="5599,5966" stroked="true" strokeweight=".150617pt" strokecolor="#000000">
                  <v:stroke dashstyle="solid"/>
                </v:line>
                <v:rect style="position:absolute;left:3495;top:5964;width:2105;height:4" id="docshape204" filled="true" fillcolor="#000000" stroked="false">
                  <v:fill type="solid"/>
                </v:rect>
                <v:line style="position:absolute" from="5605,5679" to="5605,5821" stroked="true" strokeweight=".150665pt" strokecolor="#000000">
                  <v:stroke dashstyle="solid"/>
                </v:line>
                <v:shape style="position:absolute;left:5603;top:5318;width:3145;height:504" id="docshape205" coordorigin="5603,5319" coordsize="3145,504" path="m5606,5678l5603,5678,5603,5823,5606,5823,5606,5678xm8748,5319l8742,5319,8742,5823,8748,5823,8748,5319xe" filled="true" fillcolor="#000000" stroked="false">
                  <v:path arrowok="t"/>
                  <v:fill type="solid"/>
                </v:shape>
                <v:line style="position:absolute" from="3497,6111" to="5599,6111" stroked="true" strokeweight=".150617pt" strokecolor="#000000">
                  <v:stroke dashstyle="solid"/>
                </v:line>
                <v:rect style="position:absolute;left:3495;top:6109;width:2105;height:4" id="docshape206" filled="true" fillcolor="#000000" stroked="false">
                  <v:fill type="solid"/>
                </v:rect>
                <v:line style="position:absolute" from="8747,5969" to="8747,6108" stroked="true" strokeweight=".150665pt" strokecolor="#000000">
                  <v:stroke dashstyle="solid"/>
                </v:line>
                <v:shape style="position:absolute;left:3489;top:5964;width:5259;height:1750" id="docshape207" coordorigin="3490,5964" coordsize="5259,1750" path="m3496,5964l3490,5964,3490,7714,3496,7714,3496,5964xm5606,5964l5600,5964,5600,6112,5606,6112,5606,5964xm8748,6109l8748,6109,8748,5967,8745,5967,8745,6109,8742,6109,8742,7714,8748,7714,8748,6109xe" filled="true" fillcolor="#000000" stroked="false">
                  <v:path arrowok="t"/>
                  <v:fill type="solid"/>
                </v:shape>
                <v:line style="position:absolute" from="6817,5679" to="6817,5821" stroked="true" strokeweight=".150665pt" strokecolor="#000000">
                  <v:stroke dashstyle="solid"/>
                </v:line>
                <v:rect style="position:absolute;left:6815;top:5677;width:4;height:145" id="docshape208" filled="true" fillcolor="#000000" stroked="false">
                  <v:fill type="solid"/>
                </v:rect>
                <v:line style="position:absolute" from="8002,5679" to="8002,5821" stroked="true" strokeweight=".150665pt" strokecolor="#000000">
                  <v:stroke dashstyle="solid"/>
                </v:line>
                <v:shape style="position:absolute;left:3495;top:5312;width:5253;height:510" id="docshape209" coordorigin="3496,5313" coordsize="5253,510" path="m8003,5678l8000,5678,8000,5823,8003,5823,8003,5678xm8748,5313l3496,5313,3496,5319,8748,5319,8748,5313xe" filled="true" fillcolor="#000000" stroked="false">
                  <v:path arrowok="t"/>
                  <v:fill type="solid"/>
                </v:shape>
                <v:line style="position:absolute" from="8005,5676" to="8741,5676" stroked="true" strokeweight=".150617pt" strokecolor="#000000">
                  <v:stroke dashstyle="solid"/>
                </v:line>
                <v:rect style="position:absolute;left:8003;top:5674;width:739;height:4" id="docshape210" filled="true" fillcolor="#000000" stroked="false">
                  <v:fill type="solid"/>
                </v:rect>
                <v:line style="position:absolute" from="3497,5821" to="8741,5821" stroked="true" strokeweight=".150617pt" strokecolor="#000000">
                  <v:stroke dashstyle="solid"/>
                </v:line>
                <v:rect style="position:absolute;left:3495;top:5819;width:5247;height:4" id="docshape211" filled="true" fillcolor="#000000" stroked="false">
                  <v:fill type="solid"/>
                </v:rect>
                <v:line style="position:absolute" from="5608,5966" to="8747,5966" stroked="true" strokeweight=".150617pt" strokecolor="#000000">
                  <v:stroke dashstyle="solid"/>
                </v:line>
                <v:rect style="position:absolute;left:5606;top:5964;width:3142;height:4" id="docshape212" filled="true" fillcolor="#000000" stroked="false">
                  <v:fill type="solid"/>
                </v:rect>
                <v:line style="position:absolute" from="5608,6111" to="8741,6111" stroked="true" strokeweight=".150617pt" strokecolor="#000000">
                  <v:stroke dashstyle="solid"/>
                </v:line>
                <v:rect style="position:absolute;left:5606;top:6109;width:3136;height:4" id="docshape213" filled="true" fillcolor="#000000" stroked="false">
                  <v:fill type="solid"/>
                </v:rect>
                <v:line style="position:absolute" from="5605,6400" to="8741,6400" stroked="true" strokeweight=".150617pt" strokecolor="#000000">
                  <v:stroke dashstyle="solid"/>
                </v:line>
                <v:shape style="position:absolute;left:3495;top:6398;width:5253;height:1316" id="docshape214" coordorigin="3496,6398" coordsize="5253,1316" path="m8742,6398l5603,6398,5603,6401,8742,6401,8742,6398xm8748,7708l3496,7708,3496,7714,8748,7714,8748,770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47</w:t>
      </w:r>
    </w:p>
    <w:p>
      <w:pPr>
        <w:pStyle w:val="BodyText"/>
        <w:spacing w:before="227"/>
        <w:ind w:left="734" w:right="1089"/>
        <w:jc w:val="both"/>
      </w:pPr>
      <w:r>
        <w:rPr/>
        <w:t>Su ejecución y por ende su</w:t>
      </w:r>
      <w:r>
        <w:rPr>
          <w:spacing w:val="-2"/>
        </w:rPr>
        <w:t> </w:t>
      </w:r>
      <w:r>
        <w:rPr/>
        <w:t>gestión se establece de cara al proceso de planificación de ejecución de los beneficios, el cual no es un ejercicio estático, y los compromisos adquiridos, que se comunican de forma mensual al Ministerio de Hacienda para el respectivo traslado del efectivo, y posterior generación de los procesos de transferencia al beneficiario final.</w:t>
      </w:r>
    </w:p>
    <w:p>
      <w:pPr>
        <w:pStyle w:val="BodyText"/>
        <w:spacing w:before="29"/>
      </w:pPr>
    </w:p>
    <w:p>
      <w:pPr>
        <w:pStyle w:val="BodyText"/>
        <w:spacing w:line="259" w:lineRule="auto" w:before="1"/>
        <w:ind w:left="734" w:right="1089"/>
        <w:jc w:val="both"/>
      </w:pPr>
      <w:r>
        <w:rPr/>
        <w:t>En lo que se refiere a la cuenta de</w:t>
      </w:r>
      <w:r>
        <w:rPr>
          <w:spacing w:val="-1"/>
        </w:rPr>
        <w:t> </w:t>
      </w:r>
      <w:r>
        <w:rPr/>
        <w:t>efectivo y equivalente de</w:t>
      </w:r>
      <w:r>
        <w:rPr>
          <w:spacing w:val="-1"/>
        </w:rPr>
        <w:t> </w:t>
      </w:r>
      <w:r>
        <w:rPr/>
        <w:t>efectivo tenemos que la partida registra al</w:t>
      </w:r>
      <w:r>
        <w:rPr>
          <w:spacing w:val="-2"/>
        </w:rPr>
        <w:t> </w:t>
      </w:r>
      <w:r>
        <w:rPr/>
        <w:t>31</w:t>
      </w:r>
      <w:r>
        <w:rPr>
          <w:spacing w:val="-3"/>
        </w:rPr>
        <w:t> </w:t>
      </w:r>
      <w:r>
        <w:rPr/>
        <w:t>de</w:t>
      </w:r>
      <w:r>
        <w:rPr>
          <w:spacing w:val="-4"/>
        </w:rPr>
        <w:t> </w:t>
      </w:r>
      <w:r>
        <w:rPr/>
        <w:t>julio</w:t>
      </w:r>
      <w:r>
        <w:rPr>
          <w:spacing w:val="-2"/>
        </w:rPr>
        <w:t> </w:t>
      </w:r>
      <w:r>
        <w:rPr/>
        <w:t>del</w:t>
      </w:r>
      <w:r>
        <w:rPr>
          <w:spacing w:val="-2"/>
        </w:rPr>
        <w:t> </w:t>
      </w:r>
      <w:r>
        <w:rPr/>
        <w:t>2026</w:t>
      </w:r>
      <w:r>
        <w:rPr>
          <w:spacing w:val="-1"/>
        </w:rPr>
        <w:t> </w:t>
      </w:r>
      <w:r>
        <w:rPr/>
        <w:t>la</w:t>
      </w:r>
      <w:r>
        <w:rPr>
          <w:spacing w:val="-4"/>
        </w:rPr>
        <w:t> </w:t>
      </w:r>
      <w:r>
        <w:rPr/>
        <w:t>suma</w:t>
      </w:r>
      <w:r>
        <w:rPr>
          <w:spacing w:val="-3"/>
        </w:rPr>
        <w:t> </w:t>
      </w:r>
      <w:r>
        <w:rPr/>
        <w:t>de</w:t>
      </w:r>
      <w:r>
        <w:rPr>
          <w:spacing w:val="-3"/>
        </w:rPr>
        <w:t> </w:t>
      </w:r>
      <w:r>
        <w:rPr/>
        <w:t>34.068.168,63</w:t>
      </w:r>
      <w:r>
        <w:rPr>
          <w:spacing w:val="-2"/>
        </w:rPr>
        <w:t> </w:t>
      </w:r>
      <w:r>
        <w:rPr/>
        <w:t>miles</w:t>
      </w:r>
      <w:r>
        <w:rPr>
          <w:spacing w:val="-1"/>
        </w:rPr>
        <w:t> </w:t>
      </w:r>
      <w:r>
        <w:rPr/>
        <w:t>de</w:t>
      </w:r>
      <w:r>
        <w:rPr>
          <w:spacing w:val="-4"/>
        </w:rPr>
        <w:t> </w:t>
      </w:r>
      <w:r>
        <w:rPr/>
        <w:t>colones,</w:t>
      </w:r>
      <w:r>
        <w:rPr>
          <w:spacing w:val="-4"/>
        </w:rPr>
        <w:t> </w:t>
      </w:r>
      <w:r>
        <w:rPr/>
        <w:t>mostrando</w:t>
      </w:r>
      <w:r>
        <w:rPr>
          <w:spacing w:val="-2"/>
        </w:rPr>
        <w:t> </w:t>
      </w:r>
      <w:r>
        <w:rPr/>
        <w:t>un</w:t>
      </w:r>
      <w:r>
        <w:rPr>
          <w:spacing w:val="-2"/>
        </w:rPr>
        <w:t> </w:t>
      </w:r>
      <w:r>
        <w:rPr/>
        <w:t>decrecimiento</w:t>
      </w:r>
      <w:r>
        <w:rPr>
          <w:spacing w:val="-1"/>
        </w:rPr>
        <w:t> </w:t>
      </w:r>
      <w:r>
        <w:rPr/>
        <w:t>de un -14,43% con respecto al mes de julio del 2025, donde la partida contaba con la suma de 39.811.023,78 miles de colones.</w:t>
      </w:r>
    </w:p>
    <w:p>
      <w:pPr>
        <w:pStyle w:val="BodyText"/>
        <w:spacing w:before="159"/>
        <w:ind w:left="734"/>
        <w:jc w:val="both"/>
      </w:pPr>
      <w:r>
        <w:rPr/>
        <w:t>La</w:t>
      </w:r>
      <w:r>
        <w:rPr>
          <w:spacing w:val="-6"/>
        </w:rPr>
        <w:t> </w:t>
      </w:r>
      <w:r>
        <w:rPr/>
        <w:t>distribución</w:t>
      </w:r>
      <w:r>
        <w:rPr>
          <w:spacing w:val="-2"/>
        </w:rPr>
        <w:t> </w:t>
      </w:r>
      <w:r>
        <w:rPr/>
        <w:t>de</w:t>
      </w:r>
      <w:r>
        <w:rPr>
          <w:spacing w:val="-5"/>
        </w:rPr>
        <w:t> </w:t>
      </w:r>
      <w:r>
        <w:rPr/>
        <w:t>la</w:t>
      </w:r>
      <w:r>
        <w:rPr>
          <w:spacing w:val="-4"/>
        </w:rPr>
        <w:t> </w:t>
      </w:r>
      <w:r>
        <w:rPr/>
        <w:t>cuenta</w:t>
      </w:r>
      <w:r>
        <w:rPr>
          <w:spacing w:val="-6"/>
        </w:rPr>
        <w:t> </w:t>
      </w:r>
      <w:r>
        <w:rPr/>
        <w:t>la</w:t>
      </w:r>
      <w:r>
        <w:rPr>
          <w:spacing w:val="-4"/>
        </w:rPr>
        <w:t> </w:t>
      </w:r>
      <w:r>
        <w:rPr/>
        <w:t>podemos</w:t>
      </w:r>
      <w:r>
        <w:rPr>
          <w:spacing w:val="-2"/>
        </w:rPr>
        <w:t> </w:t>
      </w:r>
      <w:r>
        <w:rPr/>
        <w:t>dividir</w:t>
      </w:r>
      <w:r>
        <w:rPr>
          <w:spacing w:val="-2"/>
        </w:rPr>
        <w:t> </w:t>
      </w:r>
      <w:r>
        <w:rPr/>
        <w:t>de</w:t>
      </w:r>
      <w:r>
        <w:rPr>
          <w:spacing w:val="-5"/>
        </w:rPr>
        <w:t> </w:t>
      </w:r>
      <w:r>
        <w:rPr/>
        <w:t>la</w:t>
      </w:r>
      <w:r>
        <w:rPr>
          <w:spacing w:val="-4"/>
        </w:rPr>
        <w:t> </w:t>
      </w:r>
      <w:r>
        <w:rPr/>
        <w:t>siguiente</w:t>
      </w:r>
      <w:r>
        <w:rPr>
          <w:spacing w:val="-2"/>
        </w:rPr>
        <w:t> manera: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9"/>
      </w:pPr>
    </w:p>
    <w:p>
      <w:pPr>
        <w:pStyle w:val="BodyText"/>
        <w:ind w:left="734" w:right="1092"/>
        <w:jc w:val="both"/>
      </w:pPr>
      <w:r>
        <w:rPr/>
        <w:t>Es importante</w:t>
      </w:r>
      <w:r>
        <w:rPr>
          <w:spacing w:val="-2"/>
        </w:rPr>
        <w:t> </w:t>
      </w:r>
      <w:r>
        <w:rPr/>
        <w:t>indicar</w:t>
      </w:r>
      <w:r>
        <w:rPr>
          <w:spacing w:val="-3"/>
        </w:rPr>
        <w:t> </w:t>
      </w:r>
      <w:r>
        <w:rPr/>
        <w:t>que</w:t>
      </w:r>
      <w:r>
        <w:rPr>
          <w:spacing w:val="-2"/>
        </w:rPr>
        <w:t> </w:t>
      </w:r>
      <w:r>
        <w:rPr/>
        <w:t>el</w:t>
      </w:r>
      <w:r>
        <w:rPr>
          <w:spacing w:val="-2"/>
        </w:rPr>
        <w:t> </w:t>
      </w:r>
      <w:r>
        <w:rPr/>
        <w:t>comportamiento</w:t>
      </w:r>
      <w:r>
        <w:rPr>
          <w:spacing w:val="-2"/>
        </w:rPr>
        <w:t> </w:t>
      </w:r>
      <w:r>
        <w:rPr/>
        <w:t>de los</w:t>
      </w:r>
      <w:r>
        <w:rPr>
          <w:spacing w:val="-2"/>
        </w:rPr>
        <w:t> </w:t>
      </w:r>
      <w:r>
        <w:rPr/>
        <w:t>recursos de</w:t>
      </w:r>
      <w:r>
        <w:rPr>
          <w:spacing w:val="-2"/>
        </w:rPr>
        <w:t> </w:t>
      </w:r>
      <w:r>
        <w:rPr/>
        <w:t>las cuentas</w:t>
      </w:r>
      <w:r>
        <w:rPr>
          <w:spacing w:val="-2"/>
        </w:rPr>
        <w:t> </w:t>
      </w:r>
      <w:r>
        <w:rPr/>
        <w:t>bancarias,</w:t>
      </w:r>
      <w:r>
        <w:rPr>
          <w:spacing w:val="40"/>
        </w:rPr>
        <w:t> </w:t>
      </w:r>
      <w:r>
        <w:rPr/>
        <w:t>obedecen</w:t>
      </w:r>
      <w:r>
        <w:rPr>
          <w:spacing w:val="-3"/>
        </w:rPr>
        <w:t> </w:t>
      </w:r>
      <w:r>
        <w:rPr/>
        <w:t>a la dinámica institucional,</w:t>
      </w:r>
      <w:r>
        <w:rPr>
          <w:spacing w:val="40"/>
        </w:rPr>
        <w:t> </w:t>
      </w:r>
      <w:r>
        <w:rPr/>
        <w:t>así como los</w:t>
      </w:r>
      <w:r>
        <w:rPr>
          <w:spacing w:val="40"/>
        </w:rPr>
        <w:t> </w:t>
      </w:r>
      <w:r>
        <w:rPr/>
        <w:t>remanentes no ejecutados por medio de SUPRES,</w:t>
      </w:r>
      <w:r>
        <w:rPr>
          <w:spacing w:val="40"/>
        </w:rPr>
        <w:t> </w:t>
      </w:r>
      <w:r>
        <w:rPr/>
        <w:t>que fueron</w:t>
      </w:r>
      <w:r>
        <w:rPr>
          <w:spacing w:val="-14"/>
        </w:rPr>
        <w:t> </w:t>
      </w:r>
      <w:r>
        <w:rPr/>
        <w:t>trasladados</w:t>
      </w:r>
      <w:r>
        <w:rPr>
          <w:spacing w:val="-14"/>
        </w:rPr>
        <w:t> </w:t>
      </w:r>
      <w:r>
        <w:rPr/>
        <w:t>a</w:t>
      </w:r>
      <w:r>
        <w:rPr>
          <w:spacing w:val="-14"/>
        </w:rPr>
        <w:t> </w:t>
      </w:r>
      <w:r>
        <w:rPr/>
        <w:t>cuentas</w:t>
      </w:r>
      <w:r>
        <w:rPr>
          <w:spacing w:val="-13"/>
        </w:rPr>
        <w:t> </w:t>
      </w:r>
      <w:r>
        <w:rPr/>
        <w:t>corrientes,</w:t>
      </w:r>
      <w:r>
        <w:rPr>
          <w:spacing w:val="-5"/>
        </w:rPr>
        <w:t> </w:t>
      </w:r>
      <w:r>
        <w:rPr/>
        <w:t>como</w:t>
      </w:r>
      <w:r>
        <w:rPr>
          <w:spacing w:val="-14"/>
        </w:rPr>
        <w:t> </w:t>
      </w:r>
      <w:r>
        <w:rPr/>
        <w:t>una</w:t>
      </w:r>
      <w:r>
        <w:rPr>
          <w:spacing w:val="-14"/>
        </w:rPr>
        <w:t> </w:t>
      </w:r>
      <w:r>
        <w:rPr/>
        <w:t>medida</w:t>
      </w:r>
      <w:r>
        <w:rPr>
          <w:spacing w:val="-13"/>
        </w:rPr>
        <w:t> </w:t>
      </w:r>
      <w:r>
        <w:rPr/>
        <w:t>para</w:t>
      </w:r>
      <w:r>
        <w:rPr>
          <w:spacing w:val="-14"/>
        </w:rPr>
        <w:t> </w:t>
      </w:r>
      <w:r>
        <w:rPr/>
        <w:t>realizar</w:t>
      </w:r>
      <w:r>
        <w:rPr>
          <w:spacing w:val="-14"/>
        </w:rPr>
        <w:t> </w:t>
      </w:r>
      <w:r>
        <w:rPr/>
        <w:t>la</w:t>
      </w:r>
      <w:r>
        <w:rPr>
          <w:spacing w:val="-14"/>
        </w:rPr>
        <w:t> </w:t>
      </w:r>
      <w:r>
        <w:rPr/>
        <w:t>ejecución</w:t>
      </w:r>
      <w:r>
        <w:rPr>
          <w:spacing w:val="-13"/>
        </w:rPr>
        <w:t> </w:t>
      </w:r>
      <w:r>
        <w:rPr/>
        <w:t>de</w:t>
      </w:r>
      <w:r>
        <w:rPr>
          <w:spacing w:val="-14"/>
        </w:rPr>
        <w:t> </w:t>
      </w:r>
      <w:r>
        <w:rPr/>
        <w:t>los</w:t>
      </w:r>
      <w:r>
        <w:rPr>
          <w:spacing w:val="-14"/>
        </w:rPr>
        <w:t> </w:t>
      </w:r>
      <w:r>
        <w:rPr/>
        <w:t>beneficios de receptores de los mismos que presentaron algún problema por medio de la transferencia utili-zando los sistemas del Ministerio de Hacienda,</w:t>
      </w:r>
      <w:r>
        <w:rPr>
          <w:spacing w:val="40"/>
        </w:rPr>
        <w:t> </w:t>
      </w:r>
      <w:r>
        <w:rPr/>
        <w:t>separando de ello los recursos propios y de Pro-grama</w:t>
      </w:r>
      <w:r>
        <w:rPr>
          <w:spacing w:val="-5"/>
        </w:rPr>
        <w:t> </w:t>
      </w:r>
      <w:r>
        <w:rPr/>
        <w:t>de</w:t>
      </w:r>
      <w:r>
        <w:rPr>
          <w:spacing w:val="-4"/>
        </w:rPr>
        <w:t> </w:t>
      </w:r>
      <w:r>
        <w:rPr/>
        <w:t>Empresas</w:t>
      </w:r>
      <w:r>
        <w:rPr>
          <w:spacing w:val="-4"/>
        </w:rPr>
        <w:t> </w:t>
      </w:r>
      <w:r>
        <w:rPr/>
        <w:t>Comerciales,</w:t>
      </w:r>
      <w:r>
        <w:rPr>
          <w:spacing w:val="40"/>
        </w:rPr>
        <w:t> </w:t>
      </w:r>
      <w:r>
        <w:rPr/>
        <w:t>que</w:t>
      </w:r>
      <w:r>
        <w:rPr>
          <w:spacing w:val="-4"/>
        </w:rPr>
        <w:t> </w:t>
      </w:r>
      <w:r>
        <w:rPr/>
        <w:t>por</w:t>
      </w:r>
      <w:r>
        <w:rPr>
          <w:spacing w:val="-5"/>
        </w:rPr>
        <w:t> </w:t>
      </w:r>
      <w:r>
        <w:rPr/>
        <w:t>su</w:t>
      </w:r>
      <w:r>
        <w:rPr>
          <w:spacing w:val="-5"/>
        </w:rPr>
        <w:t> </w:t>
      </w:r>
      <w:r>
        <w:rPr/>
        <w:t>origen</w:t>
      </w:r>
      <w:r>
        <w:rPr>
          <w:spacing w:val="-4"/>
        </w:rPr>
        <w:t> </w:t>
      </w:r>
      <w:r>
        <w:rPr/>
        <w:t>llegan</w:t>
      </w:r>
      <w:r>
        <w:rPr>
          <w:spacing w:val="-5"/>
        </w:rPr>
        <w:t> </w:t>
      </w:r>
      <w:r>
        <w:rPr/>
        <w:t>de</w:t>
      </w:r>
      <w:r>
        <w:rPr>
          <w:spacing w:val="-4"/>
        </w:rPr>
        <w:t> </w:t>
      </w:r>
      <w:r>
        <w:rPr/>
        <w:t>forma</w:t>
      </w:r>
      <w:r>
        <w:rPr>
          <w:spacing w:val="-5"/>
        </w:rPr>
        <w:t> </w:t>
      </w:r>
      <w:r>
        <w:rPr/>
        <w:t>directa</w:t>
      </w:r>
      <w:r>
        <w:rPr>
          <w:spacing w:val="-6"/>
        </w:rPr>
        <w:t> </w:t>
      </w:r>
      <w:r>
        <w:rPr/>
        <w:t>a</w:t>
      </w:r>
      <w:r>
        <w:rPr>
          <w:spacing w:val="-5"/>
        </w:rPr>
        <w:t> </w:t>
      </w:r>
      <w:r>
        <w:rPr/>
        <w:t>las</w:t>
      </w:r>
      <w:r>
        <w:rPr>
          <w:spacing w:val="-4"/>
        </w:rPr>
        <w:t> </w:t>
      </w:r>
      <w:r>
        <w:rPr/>
        <w:t>cuentas</w:t>
      </w:r>
      <w:r>
        <w:rPr>
          <w:spacing w:val="-4"/>
        </w:rPr>
        <w:t> </w:t>
      </w:r>
      <w:r>
        <w:rPr/>
        <w:t>corrientes </w:t>
      </w:r>
      <w:r>
        <w:rPr>
          <w:spacing w:val="-2"/>
        </w:rPr>
        <w:t>institucionales.</w:t>
      </w:r>
    </w:p>
    <w:p>
      <w:pPr>
        <w:pStyle w:val="BodyText"/>
        <w:spacing w:before="31"/>
      </w:pPr>
    </w:p>
    <w:p>
      <w:pPr>
        <w:pStyle w:val="BodyText"/>
        <w:ind w:left="734" w:right="1088"/>
        <w:jc w:val="both"/>
      </w:pPr>
      <w:r>
        <w:rPr/>
        <w:t>Así las cosas, los recursos</w:t>
      </w:r>
      <w:r>
        <w:rPr>
          <w:spacing w:val="40"/>
        </w:rPr>
        <w:t> </w:t>
      </w:r>
      <w:r>
        <w:rPr/>
        <w:t>de cuentas corrientes decrecen en un 12,82%, dado los remanentes no ejecutados tanto en inversión social como en el gasto administrativo operativo, los montos de caja chica,</w:t>
      </w:r>
      <w:r>
        <w:rPr>
          <w:spacing w:val="-8"/>
        </w:rPr>
        <w:t> </w:t>
      </w:r>
      <w:r>
        <w:rPr/>
        <w:t>que</w:t>
      </w:r>
      <w:r>
        <w:rPr>
          <w:spacing w:val="-7"/>
        </w:rPr>
        <w:t> </w:t>
      </w:r>
      <w:r>
        <w:rPr/>
        <w:t>contemplan</w:t>
      </w:r>
      <w:r>
        <w:rPr>
          <w:spacing w:val="-8"/>
        </w:rPr>
        <w:t> </w:t>
      </w:r>
      <w:r>
        <w:rPr/>
        <w:t>los</w:t>
      </w:r>
      <w:r>
        <w:rPr>
          <w:spacing w:val="-7"/>
        </w:rPr>
        <w:t> </w:t>
      </w:r>
      <w:r>
        <w:rPr/>
        <w:t>12</w:t>
      </w:r>
      <w:r>
        <w:rPr>
          <w:spacing w:val="-9"/>
        </w:rPr>
        <w:t> </w:t>
      </w:r>
      <w:r>
        <w:rPr/>
        <w:t>fondos</w:t>
      </w:r>
      <w:r>
        <w:rPr>
          <w:spacing w:val="-9"/>
        </w:rPr>
        <w:t> </w:t>
      </w:r>
      <w:r>
        <w:rPr/>
        <w:t>fijos</w:t>
      </w:r>
      <w:r>
        <w:rPr>
          <w:spacing w:val="-7"/>
        </w:rPr>
        <w:t> </w:t>
      </w:r>
      <w:r>
        <w:rPr/>
        <w:t>institucionales</w:t>
      </w:r>
      <w:r>
        <w:rPr>
          <w:spacing w:val="39"/>
        </w:rPr>
        <w:t> </w:t>
      </w:r>
      <w:r>
        <w:rPr/>
        <w:t>cuyo</w:t>
      </w:r>
      <w:r>
        <w:rPr>
          <w:spacing w:val="-7"/>
        </w:rPr>
        <w:t> </w:t>
      </w:r>
      <w:r>
        <w:rPr/>
        <w:t>disponible</w:t>
      </w:r>
      <w:r>
        <w:rPr>
          <w:spacing w:val="38"/>
        </w:rPr>
        <w:t> </w:t>
      </w:r>
      <w:r>
        <w:rPr/>
        <w:t>se</w:t>
      </w:r>
      <w:r>
        <w:rPr>
          <w:spacing w:val="-7"/>
        </w:rPr>
        <w:t> </w:t>
      </w:r>
      <w:r>
        <w:rPr/>
        <w:t>ve</w:t>
      </w:r>
      <w:r>
        <w:rPr>
          <w:spacing w:val="-7"/>
        </w:rPr>
        <w:t> </w:t>
      </w:r>
      <w:r>
        <w:rPr/>
        <w:t>incrementado</w:t>
      </w:r>
      <w:r>
        <w:rPr>
          <w:spacing w:val="-10"/>
        </w:rPr>
        <w:t> </w:t>
      </w:r>
      <w:r>
        <w:rPr/>
        <w:t>en</w:t>
      </w:r>
      <w:r>
        <w:rPr>
          <w:spacing w:val="-8"/>
        </w:rPr>
        <w:t> </w:t>
      </w:r>
      <w:r>
        <w:rPr/>
        <w:t>un 32,81%,por la dinámica de los mismos que van teniendo reintegros semanalmente, los otros depó-sitos</w:t>
      </w:r>
      <w:r>
        <w:rPr>
          <w:spacing w:val="-1"/>
        </w:rPr>
        <w:t> </w:t>
      </w:r>
      <w:r>
        <w:rPr/>
        <w:t>bancarios</w:t>
      </w:r>
      <w:r>
        <w:rPr>
          <w:spacing w:val="-1"/>
        </w:rPr>
        <w:t> </w:t>
      </w:r>
      <w:r>
        <w:rPr/>
        <w:t>disminuyen</w:t>
      </w:r>
      <w:r>
        <w:rPr>
          <w:spacing w:val="-4"/>
        </w:rPr>
        <w:t> </w:t>
      </w:r>
      <w:r>
        <w:rPr/>
        <w:t>en</w:t>
      </w:r>
      <w:r>
        <w:rPr>
          <w:spacing w:val="-1"/>
        </w:rPr>
        <w:t> </w:t>
      </w:r>
      <w:r>
        <w:rPr/>
        <w:t>-24,90%</w:t>
      </w:r>
      <w:r>
        <w:rPr>
          <w:spacing w:val="40"/>
        </w:rPr>
        <w:t> </w:t>
      </w:r>
      <w:r>
        <w:rPr/>
        <w:t>y</w:t>
      </w:r>
      <w:r>
        <w:rPr>
          <w:spacing w:val="-3"/>
        </w:rPr>
        <w:t> </w:t>
      </w:r>
      <w:r>
        <w:rPr/>
        <w:t>los</w:t>
      </w:r>
      <w:r>
        <w:rPr>
          <w:spacing w:val="-3"/>
        </w:rPr>
        <w:t> </w:t>
      </w:r>
      <w:r>
        <w:rPr/>
        <w:t>recursos</w:t>
      </w:r>
      <w:r>
        <w:rPr>
          <w:spacing w:val="-1"/>
        </w:rPr>
        <w:t> </w:t>
      </w:r>
      <w:r>
        <w:rPr/>
        <w:t>de</w:t>
      </w:r>
      <w:r>
        <w:rPr>
          <w:spacing w:val="-4"/>
        </w:rPr>
        <w:t> </w:t>
      </w:r>
      <w:r>
        <w:rPr/>
        <w:t>Caja</w:t>
      </w:r>
      <w:r>
        <w:rPr>
          <w:spacing w:val="-3"/>
        </w:rPr>
        <w:t> </w:t>
      </w:r>
      <w:r>
        <w:rPr/>
        <w:t>Única</w:t>
      </w:r>
      <w:r>
        <w:rPr>
          <w:spacing w:val="-3"/>
        </w:rPr>
        <w:t> </w:t>
      </w:r>
      <w:r>
        <w:rPr/>
        <w:t>disminuyen</w:t>
      </w:r>
      <w:r>
        <w:rPr>
          <w:spacing w:val="-4"/>
        </w:rPr>
        <w:t> </w:t>
      </w:r>
      <w:r>
        <w:rPr/>
        <w:t>en</w:t>
      </w:r>
      <w:r>
        <w:rPr>
          <w:spacing w:val="-4"/>
        </w:rPr>
        <w:t> </w:t>
      </w:r>
      <w:r>
        <w:rPr/>
        <w:t>un -16,78%</w:t>
      </w:r>
      <w:r>
        <w:rPr>
          <w:spacing w:val="-2"/>
        </w:rPr>
        <w:t> </w:t>
      </w:r>
      <w:r>
        <w:rPr/>
        <w:t>,</w:t>
      </w:r>
      <w:r>
        <w:rPr>
          <w:spacing w:val="-2"/>
        </w:rPr>
        <w:t> </w:t>
      </w:r>
      <w:r>
        <w:rPr/>
        <w:t>lo cual se explica, por tanto el presupuesto 2026</w:t>
      </w:r>
      <w:r>
        <w:rPr>
          <w:spacing w:val="40"/>
        </w:rPr>
        <w:t> </w:t>
      </w:r>
      <w:r>
        <w:rPr/>
        <w:t>es inferior al</w:t>
      </w:r>
      <w:r>
        <w:rPr>
          <w:spacing w:val="40"/>
        </w:rPr>
        <w:t> </w:t>
      </w:r>
      <w:r>
        <w:rPr/>
        <w:t>2025,</w:t>
      </w:r>
      <w:r>
        <w:rPr>
          <w:spacing w:val="40"/>
        </w:rPr>
        <w:t> </w:t>
      </w:r>
      <w:r>
        <w:rPr/>
        <w:t>con lo que se tiene el mismo efecto en el efectivo recibido destinados a la inversión social.</w:t>
      </w:r>
    </w:p>
    <w:p>
      <w:pPr>
        <w:pStyle w:val="BodyText"/>
        <w:spacing w:before="191"/>
      </w:pPr>
    </w:p>
    <w:p>
      <w:pPr>
        <w:pStyle w:val="Heading5"/>
      </w:pPr>
      <w:bookmarkStart w:name="_bookmark31" w:id="32"/>
      <w:bookmarkEnd w:id="32"/>
      <w:r>
        <w:rPr>
          <w:b w:val="0"/>
        </w:rPr>
      </w:r>
      <w:r>
        <w:rPr/>
        <w:t>NOTA</w:t>
      </w:r>
      <w:r>
        <w:rPr>
          <w:spacing w:val="-1"/>
        </w:rPr>
        <w:t> </w:t>
      </w:r>
      <w:r>
        <w:rPr/>
        <w:t>N° </w:t>
      </w:r>
      <w:r>
        <w:rPr>
          <w:spacing w:val="-10"/>
        </w:rPr>
        <w:t>4</w:t>
      </w:r>
    </w:p>
    <w:p>
      <w:pPr>
        <w:pStyle w:val="BodyText"/>
        <w:spacing w:before="113"/>
        <w:rPr>
          <w:b/>
        </w:rPr>
      </w:pPr>
    </w:p>
    <w:p>
      <w:pPr>
        <w:pStyle w:val="BodyText"/>
        <w:ind w:left="622"/>
      </w:pPr>
      <w:r>
        <w:rPr/>
        <w:t>Inversiones</w:t>
      </w:r>
      <w:r>
        <w:rPr>
          <w:spacing w:val="-3"/>
        </w:rPr>
        <w:t> </w:t>
      </w:r>
      <w:r>
        <w:rPr/>
        <w:t>a</w:t>
      </w:r>
      <w:r>
        <w:rPr>
          <w:spacing w:val="-5"/>
        </w:rPr>
        <w:t> </w:t>
      </w:r>
      <w:r>
        <w:rPr/>
        <w:t>Corto</w:t>
      </w:r>
      <w:r>
        <w:rPr>
          <w:spacing w:val="-3"/>
        </w:rPr>
        <w:t> </w:t>
      </w:r>
      <w:r>
        <w:rPr>
          <w:spacing w:val="-4"/>
        </w:rPr>
        <w:t>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7"/>
        <w:gridCol w:w="2360"/>
        <w:gridCol w:w="574"/>
        <w:gridCol w:w="2127"/>
        <w:gridCol w:w="1750"/>
        <w:gridCol w:w="1198"/>
      </w:tblGrid>
      <w:tr>
        <w:trPr>
          <w:trHeight w:val="323" w:hRule="atLeast"/>
        </w:trPr>
        <w:tc>
          <w:tcPr>
            <w:tcW w:w="1027" w:type="dxa"/>
            <w:vMerge w:val="restart"/>
            <w:shd w:val="clear" w:color="auto" w:fill="365F92"/>
          </w:tcPr>
          <w:p>
            <w:pPr>
              <w:pStyle w:val="TableParagraph"/>
              <w:spacing w:before="120"/>
              <w:ind w:left="69"/>
              <w:rPr>
                <w:b/>
                <w:sz w:val="22"/>
              </w:rPr>
            </w:pPr>
            <w:r>
              <w:rPr>
                <w:b/>
                <w:color w:val="FFFFFF"/>
                <w:spacing w:val="-2"/>
                <w:sz w:val="22"/>
              </w:rPr>
              <w:t>Cuenta</w:t>
            </w:r>
          </w:p>
        </w:tc>
        <w:tc>
          <w:tcPr>
            <w:tcW w:w="2360" w:type="dxa"/>
            <w:vMerge w:val="restart"/>
            <w:shd w:val="clear" w:color="auto" w:fill="365F92"/>
          </w:tcPr>
          <w:p>
            <w:pPr>
              <w:pStyle w:val="TableParagraph"/>
              <w:spacing w:before="209"/>
              <w:ind w:left="650"/>
              <w:rPr>
                <w:b/>
                <w:sz w:val="22"/>
              </w:rPr>
            </w:pPr>
            <w:r>
              <w:rPr>
                <w:b/>
                <w:color w:val="FFFFFF"/>
                <w:spacing w:val="-2"/>
                <w:sz w:val="22"/>
              </w:rPr>
              <w:t>Descripción</w:t>
            </w:r>
          </w:p>
        </w:tc>
        <w:tc>
          <w:tcPr>
            <w:tcW w:w="574" w:type="dxa"/>
            <w:vMerge w:val="restart"/>
            <w:shd w:val="clear" w:color="auto" w:fill="365F92"/>
          </w:tcPr>
          <w:p>
            <w:pPr>
              <w:pStyle w:val="TableParagraph"/>
              <w:spacing w:before="209"/>
              <w:ind w:left="69"/>
              <w:rPr>
                <w:b/>
                <w:sz w:val="22"/>
              </w:rPr>
            </w:pPr>
            <w:r>
              <w:rPr>
                <w:b/>
                <w:color w:val="FFFFFF"/>
                <w:spacing w:val="-4"/>
                <w:sz w:val="22"/>
              </w:rPr>
              <w:t>Nota</w:t>
            </w:r>
          </w:p>
        </w:tc>
        <w:tc>
          <w:tcPr>
            <w:tcW w:w="2127" w:type="dxa"/>
            <w:vMerge w:val="restart"/>
            <w:shd w:val="clear" w:color="auto" w:fill="365F92"/>
          </w:tcPr>
          <w:p>
            <w:pPr>
              <w:pStyle w:val="TableParagraph"/>
              <w:spacing w:before="209"/>
              <w:ind w:left="431"/>
              <w:rPr>
                <w:b/>
                <w:sz w:val="22"/>
              </w:rPr>
            </w:pPr>
            <w:r>
              <w:rPr>
                <w:b/>
                <w:color w:val="FFFFFF"/>
                <w:sz w:val="22"/>
              </w:rPr>
              <w:t>Periodo</w:t>
            </w:r>
            <w:r>
              <w:rPr>
                <w:b/>
                <w:color w:val="FFFFFF"/>
                <w:spacing w:val="-4"/>
                <w:sz w:val="22"/>
              </w:rPr>
              <w:t> </w:t>
            </w:r>
            <w:r>
              <w:rPr>
                <w:b/>
                <w:color w:val="FFFFFF"/>
                <w:spacing w:val="-2"/>
                <w:sz w:val="22"/>
              </w:rPr>
              <w:t>Actual</w:t>
            </w:r>
          </w:p>
        </w:tc>
        <w:tc>
          <w:tcPr>
            <w:tcW w:w="1750" w:type="dxa"/>
            <w:vMerge w:val="restart"/>
            <w:shd w:val="clear" w:color="auto" w:fill="365F92"/>
          </w:tcPr>
          <w:p>
            <w:pPr>
              <w:pStyle w:val="TableParagraph"/>
              <w:spacing w:before="209"/>
              <w:ind w:left="148"/>
              <w:rPr>
                <w:b/>
                <w:sz w:val="22"/>
              </w:rPr>
            </w:pPr>
            <w:r>
              <w:rPr>
                <w:b/>
                <w:color w:val="FFFFFF"/>
                <w:sz w:val="22"/>
              </w:rPr>
              <w:t>Periodo</w:t>
            </w:r>
            <w:r>
              <w:rPr>
                <w:b/>
                <w:color w:val="FFFFFF"/>
                <w:spacing w:val="-4"/>
                <w:sz w:val="22"/>
              </w:rPr>
              <w:t> </w:t>
            </w:r>
            <w:r>
              <w:rPr>
                <w:b/>
                <w:color w:val="FFFFFF"/>
                <w:spacing w:val="-2"/>
                <w:sz w:val="22"/>
              </w:rPr>
              <w:t>Anterior</w:t>
            </w:r>
          </w:p>
        </w:tc>
        <w:tc>
          <w:tcPr>
            <w:tcW w:w="1198" w:type="dxa"/>
            <w:shd w:val="clear" w:color="auto" w:fill="365F92"/>
          </w:tcPr>
          <w:p>
            <w:pPr>
              <w:pStyle w:val="TableParagraph"/>
              <w:spacing w:before="36"/>
              <w:ind w:left="23" w:right="6"/>
              <w:jc w:val="center"/>
              <w:rPr>
                <w:b/>
                <w:sz w:val="22"/>
              </w:rPr>
            </w:pPr>
            <w:r>
              <w:rPr>
                <w:b/>
                <w:color w:val="FFFFFF"/>
                <w:spacing w:val="-2"/>
                <w:sz w:val="22"/>
              </w:rPr>
              <w:t>Diferencia</w:t>
            </w:r>
          </w:p>
        </w:tc>
      </w:tr>
      <w:tr>
        <w:trPr>
          <w:trHeight w:val="325" w:hRule="atLeast"/>
        </w:trPr>
        <w:tc>
          <w:tcPr>
            <w:tcW w:w="1027" w:type="dxa"/>
            <w:vMerge/>
            <w:tcBorders>
              <w:top w:val="nil"/>
            </w:tcBorders>
            <w:shd w:val="clear" w:color="auto" w:fill="365F92"/>
          </w:tcPr>
          <w:p>
            <w:pPr>
              <w:rPr>
                <w:sz w:val="2"/>
                <w:szCs w:val="2"/>
              </w:rPr>
            </w:pPr>
          </w:p>
        </w:tc>
        <w:tc>
          <w:tcPr>
            <w:tcW w:w="2360"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2127" w:type="dxa"/>
            <w:vMerge/>
            <w:tcBorders>
              <w:top w:val="nil"/>
            </w:tcBorders>
            <w:shd w:val="clear" w:color="auto" w:fill="365F92"/>
          </w:tcPr>
          <w:p>
            <w:pPr>
              <w:rPr>
                <w:sz w:val="2"/>
                <w:szCs w:val="2"/>
              </w:rPr>
            </w:pPr>
          </w:p>
        </w:tc>
        <w:tc>
          <w:tcPr>
            <w:tcW w:w="1750"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7"/>
              <w:jc w:val="center"/>
              <w:rPr>
                <w:sz w:val="22"/>
              </w:rPr>
            </w:pPr>
            <w:r>
              <w:rPr>
                <w:color w:val="FFFFFF"/>
                <w:spacing w:val="-10"/>
                <w:sz w:val="22"/>
              </w:rPr>
              <w:t>%</w:t>
            </w:r>
          </w:p>
        </w:tc>
      </w:tr>
      <w:tr>
        <w:trPr>
          <w:trHeight w:val="323" w:hRule="atLeast"/>
        </w:trPr>
        <w:tc>
          <w:tcPr>
            <w:tcW w:w="1027" w:type="dxa"/>
          </w:tcPr>
          <w:p>
            <w:pPr>
              <w:pStyle w:val="TableParagraph"/>
              <w:spacing w:before="36"/>
              <w:ind w:left="69"/>
              <w:rPr>
                <w:b/>
                <w:sz w:val="22"/>
              </w:rPr>
            </w:pPr>
            <w:r>
              <w:rPr>
                <w:b/>
                <w:spacing w:val="-2"/>
                <w:sz w:val="22"/>
              </w:rPr>
              <w:t>1.1.2.</w:t>
            </w:r>
          </w:p>
        </w:tc>
        <w:tc>
          <w:tcPr>
            <w:tcW w:w="2360" w:type="dxa"/>
          </w:tcPr>
          <w:p>
            <w:pPr>
              <w:pStyle w:val="TableParagraph"/>
              <w:spacing w:before="36"/>
              <w:ind w:left="69"/>
              <w:rPr>
                <w:b/>
                <w:sz w:val="22"/>
              </w:rPr>
            </w:pPr>
            <w:r>
              <w:rPr>
                <w:b/>
                <w:sz w:val="22"/>
              </w:rPr>
              <w:t>Inversiones</w:t>
            </w:r>
            <w:r>
              <w:rPr>
                <w:b/>
                <w:spacing w:val="-4"/>
                <w:sz w:val="22"/>
              </w:rPr>
              <w:t> </w:t>
            </w:r>
            <w:r>
              <w:rPr>
                <w:b/>
                <w:sz w:val="22"/>
              </w:rPr>
              <w:t>a</w:t>
            </w:r>
            <w:r>
              <w:rPr>
                <w:b/>
                <w:spacing w:val="-4"/>
                <w:sz w:val="22"/>
              </w:rPr>
              <w:t> </w:t>
            </w:r>
            <w:r>
              <w:rPr>
                <w:b/>
                <w:sz w:val="22"/>
              </w:rPr>
              <w:t>corto</w:t>
            </w:r>
            <w:r>
              <w:rPr>
                <w:b/>
                <w:spacing w:val="-1"/>
                <w:sz w:val="22"/>
              </w:rPr>
              <w:t> </w:t>
            </w:r>
            <w:r>
              <w:rPr>
                <w:b/>
                <w:spacing w:val="-4"/>
                <w:sz w:val="22"/>
              </w:rPr>
              <w:t>plazo</w:t>
            </w:r>
          </w:p>
        </w:tc>
        <w:tc>
          <w:tcPr>
            <w:tcW w:w="574" w:type="dxa"/>
          </w:tcPr>
          <w:p>
            <w:pPr>
              <w:pStyle w:val="TableParagraph"/>
              <w:spacing w:before="46"/>
              <w:ind w:left="186"/>
              <w:rPr>
                <w:b/>
                <w:sz w:val="20"/>
              </w:rPr>
            </w:pPr>
            <w:r>
              <w:rPr>
                <w:b/>
                <w:spacing w:val="-5"/>
                <w:sz w:val="20"/>
              </w:rPr>
              <w:t>04</w:t>
            </w:r>
          </w:p>
        </w:tc>
        <w:tc>
          <w:tcPr>
            <w:tcW w:w="2127" w:type="dxa"/>
          </w:tcPr>
          <w:p>
            <w:pPr>
              <w:pStyle w:val="TableParagraph"/>
              <w:spacing w:before="46"/>
              <w:ind w:left="14"/>
              <w:jc w:val="center"/>
              <w:rPr>
                <w:b/>
                <w:sz w:val="20"/>
              </w:rPr>
            </w:pPr>
            <w:r>
              <w:rPr>
                <w:b/>
                <w:spacing w:val="-4"/>
                <w:sz w:val="20"/>
              </w:rPr>
              <w:t>0,00</w:t>
            </w:r>
          </w:p>
        </w:tc>
        <w:tc>
          <w:tcPr>
            <w:tcW w:w="1750" w:type="dxa"/>
          </w:tcPr>
          <w:p>
            <w:pPr>
              <w:pStyle w:val="TableParagraph"/>
              <w:spacing w:before="46"/>
              <w:ind w:left="114" w:right="101"/>
              <w:jc w:val="center"/>
              <w:rPr>
                <w:b/>
                <w:sz w:val="20"/>
              </w:rPr>
            </w:pPr>
            <w:r>
              <w:rPr>
                <w:b/>
                <w:spacing w:val="-4"/>
                <w:sz w:val="20"/>
              </w:rPr>
              <w:t>0,00</w:t>
            </w:r>
          </w:p>
        </w:tc>
        <w:tc>
          <w:tcPr>
            <w:tcW w:w="1198" w:type="dxa"/>
          </w:tcPr>
          <w:p>
            <w:pPr>
              <w:pStyle w:val="TableParagraph"/>
              <w:spacing w:before="46"/>
              <w:ind w:left="23" w:right="5"/>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8528">
                <wp:simplePos x="0" y="0"/>
                <wp:positionH relativeFrom="page">
                  <wp:posOffset>9525</wp:posOffset>
                </wp:positionH>
                <wp:positionV relativeFrom="page">
                  <wp:posOffset>297208</wp:posOffset>
                </wp:positionV>
                <wp:extent cx="7762875" cy="9748520"/>
                <wp:effectExtent l="0" t="0" r="0" b="0"/>
                <wp:wrapNone/>
                <wp:docPr id="228" name="Group 228"/>
                <wp:cNvGraphicFramePr>
                  <a:graphicFrameLocks/>
                </wp:cNvGraphicFramePr>
                <a:graphic>
                  <a:graphicData uri="http://schemas.microsoft.com/office/word/2010/wordprocessingGroup">
                    <wpg:wgp>
                      <wpg:cNvPr id="228" name="Group 228"/>
                      <wpg:cNvGrpSpPr/>
                      <wpg:grpSpPr>
                        <a:xfrm>
                          <a:off x="0" y="0"/>
                          <a:ext cx="7762875" cy="9748520"/>
                          <a:chExt cx="7762875" cy="9748520"/>
                        </a:xfrm>
                      </wpg:grpSpPr>
                      <pic:pic>
                        <pic:nvPicPr>
                          <pic:cNvPr id="229" name="Image 229"/>
                          <pic:cNvPicPr/>
                        </pic:nvPicPr>
                        <pic:blipFill>
                          <a:blip r:embed="rId5" cstate="print"/>
                          <a:stretch>
                            <a:fillRect/>
                          </a:stretch>
                        </pic:blipFill>
                        <pic:spPr>
                          <a:xfrm>
                            <a:off x="0" y="0"/>
                            <a:ext cx="7762874" cy="9748489"/>
                          </a:xfrm>
                          <a:prstGeom prst="rect">
                            <a:avLst/>
                          </a:prstGeom>
                        </pic:spPr>
                      </pic:pic>
                      <wps:wsp>
                        <wps:cNvPr id="230" name="Graphic 23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7952" id="docshapegroup215" coordorigin="15,468" coordsize="12225,15352">
                <v:shape style="position:absolute;left:15;top:468;width:12225;height:15352" type="#_x0000_t75" id="docshape216" stroked="false">
                  <v:imagedata r:id="rId5" o:title=""/>
                </v:shape>
                <v:rect style="position:absolute;left:1673;top:2028;width:8897;height:15" id="docshape21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48</w:t>
      </w:r>
    </w:p>
    <w:p>
      <w:pPr>
        <w:pStyle w:val="BodyText"/>
        <w:rPr>
          <w:sz w:val="20"/>
        </w:rPr>
      </w:pPr>
    </w:p>
    <w:p>
      <w:pPr>
        <w:pStyle w:val="BodyText"/>
        <w:spacing w:before="169"/>
        <w:rPr>
          <w:sz w:val="20"/>
        </w:rPr>
      </w:pPr>
      <w:r>
        <w:rPr>
          <w:sz w:val="20"/>
        </w:rPr>
        <mc:AlternateContent>
          <mc:Choice Requires="wps">
            <w:drawing>
              <wp:anchor distT="0" distB="0" distL="0" distR="0" allowOverlap="1" layoutInCell="1" locked="0" behindDoc="1" simplePos="0" relativeHeight="487621120">
                <wp:simplePos x="0" y="0"/>
                <wp:positionH relativeFrom="page">
                  <wp:posOffset>1083868</wp:posOffset>
                </wp:positionH>
                <wp:positionV relativeFrom="paragraph">
                  <wp:posOffset>270605</wp:posOffset>
                </wp:positionV>
                <wp:extent cx="5607050" cy="603885"/>
                <wp:effectExtent l="0" t="0" r="0" b="0"/>
                <wp:wrapTopAndBottom/>
                <wp:docPr id="231" name="Textbox 231"/>
                <wp:cNvGraphicFramePr>
                  <a:graphicFrameLocks/>
                </wp:cNvGraphicFramePr>
                <a:graphic>
                  <a:graphicData uri="http://schemas.microsoft.com/office/word/2010/wordprocessingShape">
                    <wps:wsp>
                      <wps:cNvPr id="231" name="Textbox 231"/>
                      <wps:cNvSpPr txBox="1"/>
                      <wps:spPr>
                        <a:xfrm>
                          <a:off x="0" y="0"/>
                          <a:ext cx="5607050" cy="60388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7"/>
                            </w:pPr>
                          </w:p>
                          <w:p>
                            <w:pPr>
                              <w:pStyle w:val="BodyText"/>
                              <w:ind w:left="103"/>
                            </w:pPr>
                            <w:r>
                              <w:rPr/>
                              <w:t>Al</w:t>
                            </w:r>
                            <w:r>
                              <w:rPr>
                                <w:spacing w:val="-5"/>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se</w:t>
                            </w:r>
                            <w:r>
                              <w:rPr>
                                <w:spacing w:val="-4"/>
                              </w:rPr>
                              <w:t> </w:t>
                            </w:r>
                            <w:r>
                              <w:rPr/>
                              <w:t>cuenta</w:t>
                            </w:r>
                            <w:r>
                              <w:rPr>
                                <w:spacing w:val="-2"/>
                              </w:rPr>
                              <w:t> </w:t>
                            </w:r>
                            <w:r>
                              <w:rPr/>
                              <w:t>con</w:t>
                            </w:r>
                            <w:r>
                              <w:rPr>
                                <w:spacing w:val="-2"/>
                              </w:rPr>
                              <w:t> </w:t>
                            </w:r>
                            <w:r>
                              <w:rPr/>
                              <w:t>inversiones</w:t>
                            </w:r>
                            <w:r>
                              <w:rPr>
                                <w:spacing w:val="-4"/>
                              </w:rPr>
                              <w:t> </w:t>
                            </w:r>
                            <w:r>
                              <w:rPr/>
                              <w:t>en</w:t>
                            </w:r>
                            <w:r>
                              <w:rPr>
                                <w:spacing w:val="-2"/>
                              </w:rPr>
                              <w:t> </w:t>
                            </w:r>
                            <w:r>
                              <w:rPr/>
                              <w:t>el</w:t>
                            </w:r>
                            <w:r>
                              <w:rPr>
                                <w:spacing w:val="-2"/>
                              </w:rPr>
                              <w:t> </w:t>
                            </w:r>
                            <w:r>
                              <w:rPr/>
                              <w:t>corto</w:t>
                            </w:r>
                            <w:r>
                              <w:rPr>
                                <w:spacing w:val="-1"/>
                              </w:rPr>
                              <w:t> </w:t>
                            </w:r>
                            <w:r>
                              <w:rPr>
                                <w:spacing w:val="-2"/>
                              </w:rPr>
                              <w:t>plazo.</w:t>
                            </w:r>
                          </w:p>
                        </w:txbxContent>
                      </wps:txbx>
                      <wps:bodyPr wrap="square" lIns="0" tIns="0" rIns="0" bIns="0" rtlCol="0">
                        <a:noAutofit/>
                      </wps:bodyPr>
                    </wps:wsp>
                  </a:graphicData>
                </a:graphic>
              </wp:anchor>
            </w:drawing>
          </mc:Choice>
          <mc:Fallback>
            <w:pict>
              <v:shape style="position:absolute;margin-left:85.344002pt;margin-top:21.307495pt;width:441.5pt;height:47.55pt;mso-position-horizontal-relative:page;mso-position-vertical-relative:paragraph;z-index:-15695360;mso-wrap-distance-left:0;mso-wrap-distance-right:0" type="#_x0000_t202" id="docshape21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7"/>
                      </w:pPr>
                    </w:p>
                    <w:p>
                      <w:pPr>
                        <w:pStyle w:val="BodyText"/>
                        <w:ind w:left="103"/>
                      </w:pPr>
                      <w:r>
                        <w:rPr/>
                        <w:t>Al</w:t>
                      </w:r>
                      <w:r>
                        <w:rPr>
                          <w:spacing w:val="-5"/>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se</w:t>
                      </w:r>
                      <w:r>
                        <w:rPr>
                          <w:spacing w:val="-4"/>
                        </w:rPr>
                        <w:t> </w:t>
                      </w:r>
                      <w:r>
                        <w:rPr/>
                        <w:t>cuenta</w:t>
                      </w:r>
                      <w:r>
                        <w:rPr>
                          <w:spacing w:val="-2"/>
                        </w:rPr>
                        <w:t> </w:t>
                      </w:r>
                      <w:r>
                        <w:rPr/>
                        <w:t>con</w:t>
                      </w:r>
                      <w:r>
                        <w:rPr>
                          <w:spacing w:val="-2"/>
                        </w:rPr>
                        <w:t> </w:t>
                      </w:r>
                      <w:r>
                        <w:rPr/>
                        <w:t>inversiones</w:t>
                      </w:r>
                      <w:r>
                        <w:rPr>
                          <w:spacing w:val="-4"/>
                        </w:rPr>
                        <w:t> </w:t>
                      </w:r>
                      <w:r>
                        <w:rPr/>
                        <w:t>en</w:t>
                      </w:r>
                      <w:r>
                        <w:rPr>
                          <w:spacing w:val="-2"/>
                        </w:rPr>
                        <w:t> </w:t>
                      </w:r>
                      <w:r>
                        <w:rPr/>
                        <w:t>el</w:t>
                      </w:r>
                      <w:r>
                        <w:rPr>
                          <w:spacing w:val="-2"/>
                        </w:rPr>
                        <w:t> </w:t>
                      </w:r>
                      <w:r>
                        <w:rPr/>
                        <w:t>corto</w:t>
                      </w:r>
                      <w:r>
                        <w:rPr>
                          <w:spacing w:val="-1"/>
                        </w:rPr>
                        <w:t> </w:t>
                      </w:r>
                      <w:r>
                        <w:rPr>
                          <w:spacing w:val="-2"/>
                        </w:rPr>
                        <w:t>plazo.</w:t>
                      </w:r>
                    </w:p>
                  </w:txbxContent>
                </v:textbox>
                <v:stroke dashstyle="solid"/>
                <w10:wrap type="topAndBottom"/>
              </v:shape>
            </w:pict>
          </mc:Fallback>
        </mc:AlternateContent>
      </w:r>
    </w:p>
    <w:p>
      <w:pPr>
        <w:pStyle w:val="BodyText"/>
        <w:spacing w:before="205"/>
      </w:pPr>
    </w:p>
    <w:p>
      <w:pPr>
        <w:pStyle w:val="Heading5"/>
        <w:jc w:val="both"/>
      </w:pPr>
      <w:bookmarkStart w:name="_bookmark32" w:id="33"/>
      <w:bookmarkEnd w:id="33"/>
      <w:r>
        <w:rPr>
          <w:b w:val="0"/>
        </w:rPr>
      </w:r>
      <w:r>
        <w:rPr/>
        <w:t>NOTA</w:t>
      </w:r>
      <w:r>
        <w:rPr>
          <w:spacing w:val="-1"/>
        </w:rPr>
        <w:t> </w:t>
      </w:r>
      <w:r>
        <w:rPr/>
        <w:t>N° </w:t>
      </w:r>
      <w:r>
        <w:rPr>
          <w:spacing w:val="-10"/>
        </w:rPr>
        <w:t>5</w:t>
      </w:r>
    </w:p>
    <w:p>
      <w:pPr>
        <w:pStyle w:val="BodyText"/>
        <w:spacing w:before="115"/>
        <w:rPr>
          <w:b/>
        </w:rPr>
      </w:pPr>
    </w:p>
    <w:p>
      <w:pPr>
        <w:pStyle w:val="BodyText"/>
        <w:ind w:left="622"/>
        <w:jc w:val="both"/>
      </w:pPr>
      <w:r>
        <w:rPr/>
        <w:t>Cuentas</w:t>
      </w:r>
      <w:r>
        <w:rPr>
          <w:spacing w:val="-3"/>
        </w:rPr>
        <w:t> </w:t>
      </w:r>
      <w:r>
        <w:rPr/>
        <w:t>a</w:t>
      </w:r>
      <w:r>
        <w:rPr>
          <w:spacing w:val="-5"/>
        </w:rPr>
        <w:t> </w:t>
      </w:r>
      <w:r>
        <w:rPr/>
        <w:t>Cobrar</w:t>
      </w:r>
      <w:r>
        <w:rPr>
          <w:spacing w:val="-5"/>
        </w:rPr>
        <w:t> </w:t>
      </w:r>
      <w:r>
        <w:rPr/>
        <w:t>Corto</w:t>
      </w:r>
      <w:r>
        <w:rPr>
          <w:spacing w:val="-2"/>
        </w:rPr>
        <w:t> Plazo</w:t>
      </w:r>
    </w:p>
    <w:p>
      <w:pPr>
        <w:pStyle w:val="BodyText"/>
        <w:spacing w:before="8"/>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3"/>
        <w:gridCol w:w="1861"/>
        <w:gridCol w:w="644"/>
        <w:gridCol w:w="2161"/>
        <w:gridCol w:w="2161"/>
        <w:gridCol w:w="1198"/>
      </w:tblGrid>
      <w:tr>
        <w:trPr>
          <w:trHeight w:val="325" w:hRule="atLeast"/>
        </w:trPr>
        <w:tc>
          <w:tcPr>
            <w:tcW w:w="1013" w:type="dxa"/>
            <w:vMerge w:val="restart"/>
            <w:shd w:val="clear" w:color="auto" w:fill="365F92"/>
          </w:tcPr>
          <w:p>
            <w:pPr>
              <w:pStyle w:val="TableParagraph"/>
              <w:spacing w:before="130"/>
              <w:ind w:left="69"/>
              <w:rPr>
                <w:b/>
                <w:sz w:val="20"/>
              </w:rPr>
            </w:pPr>
            <w:r>
              <w:rPr>
                <w:b/>
                <w:color w:val="FFFFFF"/>
                <w:spacing w:val="-2"/>
                <w:sz w:val="20"/>
              </w:rPr>
              <w:t>Cuenta</w:t>
            </w:r>
          </w:p>
        </w:tc>
        <w:tc>
          <w:tcPr>
            <w:tcW w:w="1861" w:type="dxa"/>
            <w:vMerge w:val="restart"/>
            <w:shd w:val="clear" w:color="auto" w:fill="365F92"/>
          </w:tcPr>
          <w:p>
            <w:pPr>
              <w:pStyle w:val="TableParagraph"/>
              <w:spacing w:before="219"/>
              <w:ind w:left="445"/>
              <w:rPr>
                <w:b/>
                <w:sz w:val="20"/>
              </w:rPr>
            </w:pPr>
            <w:r>
              <w:rPr>
                <w:b/>
                <w:color w:val="FFFFFF"/>
                <w:spacing w:val="-2"/>
                <w:sz w:val="20"/>
              </w:rPr>
              <w:t>Descripción</w:t>
            </w:r>
          </w:p>
        </w:tc>
        <w:tc>
          <w:tcPr>
            <w:tcW w:w="644" w:type="dxa"/>
            <w:vMerge w:val="restart"/>
            <w:shd w:val="clear" w:color="auto" w:fill="365F92"/>
          </w:tcPr>
          <w:p>
            <w:pPr>
              <w:pStyle w:val="TableParagraph"/>
              <w:spacing w:before="219"/>
              <w:ind w:left="123"/>
              <w:rPr>
                <w:b/>
                <w:sz w:val="20"/>
              </w:rPr>
            </w:pPr>
            <w:r>
              <w:rPr>
                <w:b/>
                <w:color w:val="FFFFFF"/>
                <w:spacing w:val="-4"/>
                <w:sz w:val="20"/>
              </w:rPr>
              <w:t>Nota</w:t>
            </w:r>
          </w:p>
        </w:tc>
        <w:tc>
          <w:tcPr>
            <w:tcW w:w="2161" w:type="dxa"/>
            <w:vMerge w:val="restart"/>
            <w:shd w:val="clear" w:color="auto" w:fill="365F92"/>
          </w:tcPr>
          <w:p>
            <w:pPr>
              <w:pStyle w:val="TableParagraph"/>
              <w:spacing w:before="219"/>
              <w:ind w:left="504"/>
              <w:rPr>
                <w:b/>
                <w:sz w:val="20"/>
              </w:rPr>
            </w:pPr>
            <w:r>
              <w:rPr>
                <w:b/>
                <w:color w:val="FFFFFF"/>
                <w:sz w:val="20"/>
              </w:rPr>
              <w:t>Periodo</w:t>
            </w:r>
            <w:r>
              <w:rPr>
                <w:b/>
                <w:color w:val="FFFFFF"/>
                <w:spacing w:val="-5"/>
                <w:sz w:val="20"/>
              </w:rPr>
              <w:t> </w:t>
            </w:r>
            <w:r>
              <w:rPr>
                <w:b/>
                <w:color w:val="FFFFFF"/>
                <w:spacing w:val="-2"/>
                <w:sz w:val="20"/>
              </w:rPr>
              <w:t>Actual</w:t>
            </w:r>
          </w:p>
        </w:tc>
        <w:tc>
          <w:tcPr>
            <w:tcW w:w="2161" w:type="dxa"/>
            <w:vMerge w:val="restart"/>
            <w:shd w:val="clear" w:color="auto" w:fill="365F92"/>
          </w:tcPr>
          <w:p>
            <w:pPr>
              <w:pStyle w:val="TableParagraph"/>
              <w:spacing w:before="219"/>
              <w:ind w:left="420"/>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49"/>
              <w:ind w:left="23" w:right="12"/>
              <w:jc w:val="center"/>
              <w:rPr>
                <w:b/>
                <w:sz w:val="20"/>
              </w:rPr>
            </w:pPr>
            <w:r>
              <w:rPr>
                <w:b/>
                <w:color w:val="FFFFFF"/>
                <w:spacing w:val="-2"/>
                <w:sz w:val="20"/>
              </w:rPr>
              <w:t>Diferencia</w:t>
            </w:r>
          </w:p>
        </w:tc>
      </w:tr>
      <w:tr>
        <w:trPr>
          <w:trHeight w:val="323" w:hRule="atLeast"/>
        </w:trPr>
        <w:tc>
          <w:tcPr>
            <w:tcW w:w="1013" w:type="dxa"/>
            <w:vMerge/>
            <w:tcBorders>
              <w:top w:val="nil"/>
            </w:tcBorders>
            <w:shd w:val="clear" w:color="auto" w:fill="365F92"/>
          </w:tcPr>
          <w:p>
            <w:pPr>
              <w:rPr>
                <w:sz w:val="2"/>
                <w:szCs w:val="2"/>
              </w:rPr>
            </w:pPr>
          </w:p>
        </w:tc>
        <w:tc>
          <w:tcPr>
            <w:tcW w:w="1861" w:type="dxa"/>
            <w:vMerge/>
            <w:tcBorders>
              <w:top w:val="nil"/>
            </w:tcBorders>
            <w:shd w:val="clear" w:color="auto" w:fill="365F92"/>
          </w:tcPr>
          <w:p>
            <w:pPr>
              <w:rPr>
                <w:sz w:val="2"/>
                <w:szCs w:val="2"/>
              </w:rPr>
            </w:pPr>
          </w:p>
        </w:tc>
        <w:tc>
          <w:tcPr>
            <w:tcW w:w="644"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13"/>
              <w:jc w:val="center"/>
              <w:rPr>
                <w:sz w:val="20"/>
              </w:rPr>
            </w:pPr>
            <w:r>
              <w:rPr>
                <w:color w:val="FFFFFF"/>
                <w:spacing w:val="-10"/>
                <w:sz w:val="20"/>
              </w:rPr>
              <w:t>%</w:t>
            </w:r>
          </w:p>
        </w:tc>
      </w:tr>
      <w:tr>
        <w:trPr>
          <w:trHeight w:val="457" w:hRule="atLeast"/>
        </w:trPr>
        <w:tc>
          <w:tcPr>
            <w:tcW w:w="1013" w:type="dxa"/>
          </w:tcPr>
          <w:p>
            <w:pPr>
              <w:pStyle w:val="TableParagraph"/>
              <w:spacing w:before="113"/>
              <w:ind w:left="69"/>
              <w:rPr>
                <w:b/>
                <w:sz w:val="20"/>
              </w:rPr>
            </w:pPr>
            <w:r>
              <w:rPr>
                <w:b/>
                <w:spacing w:val="-2"/>
                <w:sz w:val="20"/>
              </w:rPr>
              <w:t>1.1.3.</w:t>
            </w:r>
          </w:p>
        </w:tc>
        <w:tc>
          <w:tcPr>
            <w:tcW w:w="1861" w:type="dxa"/>
          </w:tcPr>
          <w:p>
            <w:pPr>
              <w:pStyle w:val="TableParagraph"/>
              <w:spacing w:line="227" w:lineRule="exact"/>
              <w:ind w:left="68"/>
              <w:rPr>
                <w:b/>
                <w:sz w:val="20"/>
              </w:rPr>
            </w:pPr>
            <w:r>
              <w:rPr>
                <w:b/>
                <w:sz w:val="20"/>
              </w:rPr>
              <w:t>Cuentas</w:t>
            </w:r>
            <w:r>
              <w:rPr>
                <w:b/>
                <w:spacing w:val="-4"/>
                <w:sz w:val="20"/>
              </w:rPr>
              <w:t> </w:t>
            </w:r>
            <w:r>
              <w:rPr>
                <w:b/>
                <w:sz w:val="20"/>
              </w:rPr>
              <w:t>a</w:t>
            </w:r>
            <w:r>
              <w:rPr>
                <w:b/>
                <w:spacing w:val="-5"/>
                <w:sz w:val="20"/>
              </w:rPr>
              <w:t> </w:t>
            </w:r>
            <w:r>
              <w:rPr>
                <w:b/>
                <w:sz w:val="20"/>
              </w:rPr>
              <w:t>cobrar</w:t>
            </w:r>
            <w:r>
              <w:rPr>
                <w:b/>
                <w:spacing w:val="-5"/>
                <w:sz w:val="20"/>
              </w:rPr>
              <w:t> </w:t>
            </w:r>
            <w:r>
              <w:rPr>
                <w:b/>
                <w:spacing w:val="-10"/>
                <w:sz w:val="20"/>
              </w:rPr>
              <w:t>a</w:t>
            </w:r>
          </w:p>
          <w:p>
            <w:pPr>
              <w:pStyle w:val="TableParagraph"/>
              <w:spacing w:line="211" w:lineRule="exact"/>
              <w:ind w:left="68"/>
              <w:rPr>
                <w:b/>
                <w:sz w:val="20"/>
              </w:rPr>
            </w:pPr>
            <w:r>
              <w:rPr>
                <w:b/>
                <w:sz w:val="20"/>
              </w:rPr>
              <w:t>corto</w:t>
            </w:r>
            <w:r>
              <w:rPr>
                <w:b/>
                <w:spacing w:val="-5"/>
                <w:sz w:val="20"/>
              </w:rPr>
              <w:t> </w:t>
            </w:r>
            <w:r>
              <w:rPr>
                <w:b/>
                <w:spacing w:val="-2"/>
                <w:sz w:val="20"/>
              </w:rPr>
              <w:t>plazo</w:t>
            </w:r>
          </w:p>
        </w:tc>
        <w:tc>
          <w:tcPr>
            <w:tcW w:w="644" w:type="dxa"/>
          </w:tcPr>
          <w:p>
            <w:pPr>
              <w:pStyle w:val="TableParagraph"/>
              <w:spacing w:before="113"/>
              <w:ind w:left="222"/>
              <w:rPr>
                <w:b/>
                <w:sz w:val="20"/>
              </w:rPr>
            </w:pPr>
            <w:r>
              <w:rPr>
                <w:b/>
                <w:spacing w:val="-5"/>
                <w:sz w:val="20"/>
              </w:rPr>
              <w:t>05</w:t>
            </w:r>
          </w:p>
        </w:tc>
        <w:tc>
          <w:tcPr>
            <w:tcW w:w="2161" w:type="dxa"/>
          </w:tcPr>
          <w:p>
            <w:pPr>
              <w:pStyle w:val="TableParagraph"/>
              <w:spacing w:before="113"/>
              <w:ind w:left="560"/>
              <w:rPr>
                <w:b/>
                <w:sz w:val="20"/>
              </w:rPr>
            </w:pPr>
            <w:r>
              <w:rPr>
                <w:b/>
                <w:sz w:val="20"/>
              </w:rPr>
              <w:t>6</w:t>
            </w:r>
            <w:r>
              <w:rPr>
                <w:b/>
                <w:spacing w:val="-2"/>
                <w:sz w:val="20"/>
              </w:rPr>
              <w:t> </w:t>
            </w:r>
            <w:r>
              <w:rPr>
                <w:b/>
                <w:sz w:val="20"/>
              </w:rPr>
              <w:t>801</w:t>
            </w:r>
            <w:r>
              <w:rPr>
                <w:b/>
                <w:spacing w:val="-2"/>
                <w:sz w:val="20"/>
              </w:rPr>
              <w:t> 805,11</w:t>
            </w:r>
          </w:p>
        </w:tc>
        <w:tc>
          <w:tcPr>
            <w:tcW w:w="2161" w:type="dxa"/>
          </w:tcPr>
          <w:p>
            <w:pPr>
              <w:pStyle w:val="TableParagraph"/>
              <w:spacing w:before="113"/>
              <w:ind w:left="559"/>
              <w:rPr>
                <w:b/>
                <w:sz w:val="20"/>
              </w:rPr>
            </w:pPr>
            <w:r>
              <w:rPr>
                <w:b/>
                <w:sz w:val="20"/>
              </w:rPr>
              <w:t>6</w:t>
            </w:r>
            <w:r>
              <w:rPr>
                <w:b/>
                <w:spacing w:val="-2"/>
                <w:sz w:val="20"/>
              </w:rPr>
              <w:t> </w:t>
            </w:r>
            <w:r>
              <w:rPr>
                <w:b/>
                <w:sz w:val="20"/>
              </w:rPr>
              <w:t>419</w:t>
            </w:r>
            <w:r>
              <w:rPr>
                <w:b/>
                <w:spacing w:val="-2"/>
                <w:sz w:val="20"/>
              </w:rPr>
              <w:t> 227,52</w:t>
            </w:r>
          </w:p>
        </w:tc>
        <w:tc>
          <w:tcPr>
            <w:tcW w:w="1198" w:type="dxa"/>
          </w:tcPr>
          <w:p>
            <w:pPr>
              <w:pStyle w:val="TableParagraph"/>
              <w:spacing w:before="113"/>
              <w:ind w:left="23" w:right="9"/>
              <w:jc w:val="center"/>
              <w:rPr>
                <w:b/>
                <w:sz w:val="20"/>
              </w:rPr>
            </w:pPr>
            <w:r>
              <w:rPr>
                <w:b/>
                <w:spacing w:val="-2"/>
                <w:sz w:val="20"/>
              </w:rPr>
              <w:t>5,96%</w:t>
            </w:r>
          </w:p>
        </w:tc>
      </w:tr>
    </w:tbl>
    <w:p>
      <w:pPr>
        <w:pStyle w:val="BodyText"/>
      </w:pPr>
    </w:p>
    <w:p>
      <w:pPr>
        <w:pStyle w:val="BodyText"/>
        <w:spacing w:before="248"/>
      </w:pPr>
    </w:p>
    <w:p>
      <w:pPr>
        <w:pStyle w:val="BodyText"/>
        <w:spacing w:line="259" w:lineRule="auto"/>
        <w:ind w:left="622" w:right="1243"/>
        <w:jc w:val="both"/>
      </w:pPr>
      <w:r>
        <w:rPr/>
        <w:t>Las</w:t>
      </w:r>
      <w:r>
        <w:rPr>
          <w:spacing w:val="-2"/>
        </w:rPr>
        <w:t> </w:t>
      </w:r>
      <w:r>
        <w:rPr/>
        <w:t>cuentas</w:t>
      </w:r>
      <w:r>
        <w:rPr>
          <w:spacing w:val="-3"/>
        </w:rPr>
        <w:t> </w:t>
      </w:r>
      <w:r>
        <w:rPr/>
        <w:t>por</w:t>
      </w:r>
      <w:r>
        <w:rPr>
          <w:spacing w:val="-3"/>
        </w:rPr>
        <w:t> </w:t>
      </w:r>
      <w:r>
        <w:rPr/>
        <w:t>cobrar</w:t>
      </w:r>
      <w:r>
        <w:rPr>
          <w:spacing w:val="-3"/>
        </w:rPr>
        <w:t> </w:t>
      </w:r>
      <w:r>
        <w:rPr/>
        <w:t>forman</w:t>
      </w:r>
      <w:r>
        <w:rPr>
          <w:spacing w:val="-3"/>
        </w:rPr>
        <w:t> </w:t>
      </w:r>
      <w:r>
        <w:rPr/>
        <w:t>parte</w:t>
      </w:r>
      <w:r>
        <w:rPr>
          <w:spacing w:val="-3"/>
        </w:rPr>
        <w:t> </w:t>
      </w:r>
      <w:r>
        <w:rPr/>
        <w:t>del</w:t>
      </w:r>
      <w:r>
        <w:rPr>
          <w:spacing w:val="-3"/>
        </w:rPr>
        <w:t> </w:t>
      </w:r>
      <w:r>
        <w:rPr/>
        <w:t>activo</w:t>
      </w:r>
      <w:r>
        <w:rPr>
          <w:spacing w:val="-3"/>
        </w:rPr>
        <w:t> </w:t>
      </w:r>
      <w:r>
        <w:rPr/>
        <w:t>corriente,</w:t>
      </w:r>
      <w:r>
        <w:rPr>
          <w:spacing w:val="-3"/>
        </w:rPr>
        <w:t> </w:t>
      </w:r>
      <w:r>
        <w:rPr/>
        <w:t>cuya</w:t>
      </w:r>
      <w:r>
        <w:rPr>
          <w:spacing w:val="-3"/>
        </w:rPr>
        <w:t> </w:t>
      </w:r>
      <w:r>
        <w:rPr/>
        <w:t>percepción</w:t>
      </w:r>
      <w:r>
        <w:rPr>
          <w:spacing w:val="-3"/>
        </w:rPr>
        <w:t> </w:t>
      </w:r>
      <w:r>
        <w:rPr/>
        <w:t>se</w:t>
      </w:r>
      <w:r>
        <w:rPr>
          <w:spacing w:val="-3"/>
        </w:rPr>
        <w:t> </w:t>
      </w:r>
      <w:r>
        <w:rPr/>
        <w:t>prevé</w:t>
      </w:r>
      <w:r>
        <w:rPr>
          <w:spacing w:val="-2"/>
        </w:rPr>
        <w:t> </w:t>
      </w:r>
      <w:r>
        <w:rPr/>
        <w:t>para</w:t>
      </w:r>
      <w:r>
        <w:rPr>
          <w:spacing w:val="-3"/>
        </w:rPr>
        <w:t> </w:t>
      </w:r>
      <w:r>
        <w:rPr/>
        <w:t>un</w:t>
      </w:r>
      <w:r>
        <w:rPr>
          <w:spacing w:val="-3"/>
        </w:rPr>
        <w:t> </w:t>
      </w:r>
      <w:r>
        <w:rPr/>
        <w:t>tiempo máximo de doce meses.</w:t>
      </w:r>
    </w:p>
    <w:p>
      <w:pPr>
        <w:pStyle w:val="BodyText"/>
        <w:spacing w:before="161"/>
        <w:ind w:left="622"/>
        <w:jc w:val="both"/>
      </w:pPr>
      <w:r>
        <w:rPr/>
        <w:t>Las</w:t>
      </w:r>
      <w:r>
        <w:rPr>
          <w:spacing w:val="-6"/>
        </w:rPr>
        <w:t> </w:t>
      </w:r>
      <w:r>
        <w:rPr/>
        <w:t>principales</w:t>
      </w:r>
      <w:r>
        <w:rPr>
          <w:spacing w:val="-4"/>
        </w:rPr>
        <w:t> </w:t>
      </w:r>
      <w:r>
        <w:rPr/>
        <w:t>cuentas</w:t>
      </w:r>
      <w:r>
        <w:rPr>
          <w:spacing w:val="-4"/>
        </w:rPr>
        <w:t> </w:t>
      </w:r>
      <w:r>
        <w:rPr/>
        <w:t>por</w:t>
      </w:r>
      <w:r>
        <w:rPr>
          <w:spacing w:val="-7"/>
        </w:rPr>
        <w:t> </w:t>
      </w:r>
      <w:r>
        <w:rPr/>
        <w:t>cobrar</w:t>
      </w:r>
      <w:r>
        <w:rPr>
          <w:spacing w:val="-5"/>
        </w:rPr>
        <w:t> </w:t>
      </w:r>
      <w:r>
        <w:rPr/>
        <w:t>corresponden</w:t>
      </w:r>
      <w:r>
        <w:rPr>
          <w:spacing w:val="-4"/>
        </w:rPr>
        <w:t> </w:t>
      </w:r>
      <w:r>
        <w:rPr>
          <w:spacing w:val="-5"/>
        </w:rPr>
        <w:t>a:</w:t>
      </w:r>
    </w:p>
    <w:p>
      <w:pPr>
        <w:pStyle w:val="ListParagraph"/>
        <w:numPr>
          <w:ilvl w:val="0"/>
          <w:numId w:val="32"/>
        </w:numPr>
        <w:tabs>
          <w:tab w:pos="1342" w:val="left" w:leader="none"/>
        </w:tabs>
        <w:spacing w:line="240" w:lineRule="auto" w:before="19" w:after="0"/>
        <w:ind w:left="1342" w:right="974" w:hanging="360"/>
        <w:jc w:val="both"/>
        <w:rPr>
          <w:sz w:val="22"/>
        </w:rPr>
      </w:pPr>
      <w:r>
        <w:rPr>
          <w:b/>
          <w:sz w:val="22"/>
        </w:rPr>
        <w:t>Impuestos por cobrar</w:t>
      </w:r>
      <w:r>
        <w:rPr>
          <w:sz w:val="22"/>
        </w:rPr>
        <w:t>: Se reconocen cuando se ha devengado el hecho imponible generador del impuesto correspondiente al cobro del impuesto según Ley 9326 de Moteles y afines; en la</w:t>
      </w:r>
      <w:r>
        <w:rPr>
          <w:spacing w:val="-7"/>
          <w:sz w:val="22"/>
        </w:rPr>
        <w:t> </w:t>
      </w:r>
      <w:r>
        <w:rPr>
          <w:sz w:val="22"/>
        </w:rPr>
        <w:t>cual</w:t>
      </w:r>
      <w:r>
        <w:rPr>
          <w:spacing w:val="40"/>
          <w:sz w:val="22"/>
        </w:rPr>
        <w:t> </w:t>
      </w:r>
      <w:r>
        <w:rPr>
          <w:sz w:val="22"/>
        </w:rPr>
        <w:t>crea</w:t>
      </w:r>
      <w:r>
        <w:rPr>
          <w:spacing w:val="-5"/>
          <w:sz w:val="22"/>
        </w:rPr>
        <w:t> </w:t>
      </w:r>
      <w:r>
        <w:rPr>
          <w:sz w:val="22"/>
        </w:rPr>
        <w:t>un</w:t>
      </w:r>
      <w:r>
        <w:rPr>
          <w:spacing w:val="-6"/>
          <w:sz w:val="22"/>
        </w:rPr>
        <w:t> </w:t>
      </w:r>
      <w:r>
        <w:rPr>
          <w:sz w:val="22"/>
        </w:rPr>
        <w:t>impuesto</w:t>
      </w:r>
      <w:r>
        <w:rPr>
          <w:spacing w:val="-5"/>
          <w:sz w:val="22"/>
        </w:rPr>
        <w:t> </w:t>
      </w:r>
      <w:r>
        <w:rPr>
          <w:sz w:val="22"/>
        </w:rPr>
        <w:t>a</w:t>
      </w:r>
      <w:r>
        <w:rPr>
          <w:spacing w:val="-7"/>
          <w:sz w:val="22"/>
        </w:rPr>
        <w:t> </w:t>
      </w:r>
      <w:r>
        <w:rPr>
          <w:sz w:val="22"/>
        </w:rPr>
        <w:t>favor</w:t>
      </w:r>
      <w:r>
        <w:rPr>
          <w:spacing w:val="-5"/>
          <w:sz w:val="22"/>
        </w:rPr>
        <w:t> </w:t>
      </w:r>
      <w:r>
        <w:rPr>
          <w:sz w:val="22"/>
        </w:rPr>
        <w:t>del</w:t>
      </w:r>
      <w:r>
        <w:rPr>
          <w:spacing w:val="-7"/>
          <w:sz w:val="22"/>
        </w:rPr>
        <w:t> </w:t>
      </w:r>
      <w:r>
        <w:rPr>
          <w:sz w:val="22"/>
        </w:rPr>
        <w:t>Instituto</w:t>
      </w:r>
      <w:r>
        <w:rPr>
          <w:spacing w:val="-5"/>
          <w:sz w:val="22"/>
        </w:rPr>
        <w:t> </w:t>
      </w:r>
      <w:r>
        <w:rPr>
          <w:sz w:val="22"/>
        </w:rPr>
        <w:t>Mixto</w:t>
      </w:r>
      <w:r>
        <w:rPr>
          <w:spacing w:val="-5"/>
          <w:sz w:val="22"/>
        </w:rPr>
        <w:t> </w:t>
      </w:r>
      <w:r>
        <w:rPr>
          <w:sz w:val="22"/>
        </w:rPr>
        <w:t>de</w:t>
      </w:r>
      <w:r>
        <w:rPr>
          <w:spacing w:val="-8"/>
          <w:sz w:val="22"/>
        </w:rPr>
        <w:t> </w:t>
      </w:r>
      <w:r>
        <w:rPr>
          <w:sz w:val="22"/>
        </w:rPr>
        <w:t>Ayuda</w:t>
      </w:r>
      <w:r>
        <w:rPr>
          <w:spacing w:val="-7"/>
          <w:sz w:val="22"/>
        </w:rPr>
        <w:t> </w:t>
      </w:r>
      <w:r>
        <w:rPr>
          <w:sz w:val="22"/>
        </w:rPr>
        <w:t>Social</w:t>
      </w:r>
      <w:r>
        <w:rPr>
          <w:spacing w:val="-7"/>
          <w:sz w:val="22"/>
        </w:rPr>
        <w:t> </w:t>
      </w:r>
      <w:r>
        <w:rPr>
          <w:sz w:val="22"/>
        </w:rPr>
        <w:t>(IMAS),</w:t>
      </w:r>
      <w:r>
        <w:rPr>
          <w:spacing w:val="-6"/>
          <w:sz w:val="22"/>
        </w:rPr>
        <w:t> </w:t>
      </w:r>
      <w:r>
        <w:rPr>
          <w:sz w:val="22"/>
        </w:rPr>
        <w:t>que</w:t>
      </w:r>
      <w:r>
        <w:rPr>
          <w:spacing w:val="-7"/>
          <w:sz w:val="22"/>
        </w:rPr>
        <w:t> </w:t>
      </w:r>
      <w:r>
        <w:rPr>
          <w:sz w:val="22"/>
        </w:rPr>
        <w:t>será</w:t>
      </w:r>
      <w:r>
        <w:rPr>
          <w:spacing w:val="-7"/>
          <w:sz w:val="22"/>
        </w:rPr>
        <w:t> </w:t>
      </w:r>
      <w:r>
        <w:rPr>
          <w:sz w:val="22"/>
        </w:rPr>
        <w:t>pagado por</w:t>
      </w:r>
      <w:r>
        <w:rPr>
          <w:spacing w:val="-14"/>
          <w:sz w:val="22"/>
        </w:rPr>
        <w:t> </w:t>
      </w:r>
      <w:r>
        <w:rPr>
          <w:sz w:val="22"/>
        </w:rPr>
        <w:t>los</w:t>
      </w:r>
      <w:r>
        <w:rPr>
          <w:spacing w:val="-14"/>
          <w:sz w:val="22"/>
        </w:rPr>
        <w:t> </w:t>
      </w:r>
      <w:r>
        <w:rPr>
          <w:sz w:val="22"/>
        </w:rPr>
        <w:t>negocios</w:t>
      </w:r>
      <w:r>
        <w:rPr>
          <w:spacing w:val="-14"/>
          <w:sz w:val="22"/>
        </w:rPr>
        <w:t> </w:t>
      </w:r>
      <w:r>
        <w:rPr>
          <w:sz w:val="22"/>
        </w:rPr>
        <w:t>calificados</w:t>
      </w:r>
      <w:r>
        <w:rPr>
          <w:spacing w:val="-13"/>
          <w:sz w:val="22"/>
        </w:rPr>
        <w:t> </w:t>
      </w:r>
      <w:r>
        <w:rPr>
          <w:sz w:val="22"/>
        </w:rPr>
        <w:t>y</w:t>
      </w:r>
      <w:r>
        <w:rPr>
          <w:spacing w:val="-14"/>
          <w:sz w:val="22"/>
        </w:rPr>
        <w:t> </w:t>
      </w:r>
      <w:r>
        <w:rPr>
          <w:sz w:val="22"/>
        </w:rPr>
        <w:t>autorizados</w:t>
      </w:r>
      <w:r>
        <w:rPr>
          <w:spacing w:val="-14"/>
          <w:sz w:val="22"/>
        </w:rPr>
        <w:t> </w:t>
      </w:r>
      <w:r>
        <w:rPr>
          <w:sz w:val="22"/>
        </w:rPr>
        <w:t>por</w:t>
      </w:r>
      <w:r>
        <w:rPr>
          <w:spacing w:val="-14"/>
          <w:sz w:val="22"/>
        </w:rPr>
        <w:t> </w:t>
      </w:r>
      <w:r>
        <w:rPr>
          <w:sz w:val="22"/>
        </w:rPr>
        <w:t>dicho</w:t>
      </w:r>
      <w:r>
        <w:rPr>
          <w:spacing w:val="-13"/>
          <w:sz w:val="22"/>
        </w:rPr>
        <w:t> </w:t>
      </w:r>
      <w:r>
        <w:rPr>
          <w:sz w:val="22"/>
        </w:rPr>
        <w:t>Instituto,</w:t>
      </w:r>
      <w:r>
        <w:rPr>
          <w:spacing w:val="-14"/>
          <w:sz w:val="22"/>
        </w:rPr>
        <w:t> </w:t>
      </w:r>
      <w:r>
        <w:rPr>
          <w:sz w:val="22"/>
        </w:rPr>
        <w:t>que</w:t>
      </w:r>
      <w:r>
        <w:rPr>
          <w:spacing w:val="-14"/>
          <w:sz w:val="22"/>
        </w:rPr>
        <w:t> </w:t>
      </w:r>
      <w:r>
        <w:rPr>
          <w:sz w:val="22"/>
        </w:rPr>
        <w:t>tengan</w:t>
      </w:r>
      <w:r>
        <w:rPr>
          <w:spacing w:val="-14"/>
          <w:sz w:val="22"/>
        </w:rPr>
        <w:t> </w:t>
      </w:r>
      <w:r>
        <w:rPr>
          <w:sz w:val="22"/>
        </w:rPr>
        <w:t>la</w:t>
      </w:r>
      <w:r>
        <w:rPr>
          <w:spacing w:val="-13"/>
          <w:sz w:val="22"/>
        </w:rPr>
        <w:t> </w:t>
      </w:r>
      <w:r>
        <w:rPr>
          <w:sz w:val="22"/>
        </w:rPr>
        <w:t>propiedad</w:t>
      </w:r>
      <w:r>
        <w:rPr>
          <w:spacing w:val="-14"/>
          <w:sz w:val="22"/>
        </w:rPr>
        <w:t> </w:t>
      </w:r>
      <w:r>
        <w:rPr>
          <w:sz w:val="22"/>
        </w:rPr>
        <w:t>o</w:t>
      </w:r>
      <w:r>
        <w:rPr>
          <w:spacing w:val="-14"/>
          <w:sz w:val="22"/>
        </w:rPr>
        <w:t> </w:t>
      </w:r>
      <w:r>
        <w:rPr>
          <w:sz w:val="22"/>
        </w:rPr>
        <w:t>ejerzan el derecho de explotación comercial, uso o disfrute de un bien o bienes utilizados como mo-teles, hoteles sin registro, hoteles de paso, casas de alojamiento ocasional, salas de masaje, "night</w:t>
      </w:r>
      <w:r>
        <w:rPr>
          <w:spacing w:val="-11"/>
          <w:sz w:val="22"/>
        </w:rPr>
        <w:t> </w:t>
      </w:r>
      <w:r>
        <w:rPr>
          <w:sz w:val="22"/>
        </w:rPr>
        <w:t>clubs"</w:t>
      </w:r>
      <w:r>
        <w:rPr>
          <w:spacing w:val="-14"/>
          <w:sz w:val="22"/>
        </w:rPr>
        <w:t> </w:t>
      </w:r>
      <w:r>
        <w:rPr>
          <w:sz w:val="22"/>
        </w:rPr>
        <w:t>con</w:t>
      </w:r>
      <w:r>
        <w:rPr>
          <w:spacing w:val="-13"/>
          <w:sz w:val="22"/>
        </w:rPr>
        <w:t> </w:t>
      </w:r>
      <w:r>
        <w:rPr>
          <w:sz w:val="22"/>
        </w:rPr>
        <w:t>servicio</w:t>
      </w:r>
      <w:r>
        <w:rPr>
          <w:spacing w:val="-13"/>
          <w:sz w:val="22"/>
        </w:rPr>
        <w:t> </w:t>
      </w:r>
      <w:r>
        <w:rPr>
          <w:sz w:val="22"/>
        </w:rPr>
        <w:t>de</w:t>
      </w:r>
      <w:r>
        <w:rPr>
          <w:spacing w:val="-14"/>
          <w:sz w:val="22"/>
        </w:rPr>
        <w:t> </w:t>
      </w:r>
      <w:r>
        <w:rPr>
          <w:sz w:val="22"/>
        </w:rPr>
        <w:t>habitación</w:t>
      </w:r>
      <w:r>
        <w:rPr>
          <w:spacing w:val="-13"/>
          <w:sz w:val="22"/>
        </w:rPr>
        <w:t> </w:t>
      </w:r>
      <w:r>
        <w:rPr>
          <w:sz w:val="22"/>
        </w:rPr>
        <w:t>y</w:t>
      </w:r>
      <w:r>
        <w:rPr>
          <w:spacing w:val="-14"/>
          <w:sz w:val="22"/>
        </w:rPr>
        <w:t> </w:t>
      </w:r>
      <w:r>
        <w:rPr>
          <w:sz w:val="22"/>
        </w:rPr>
        <w:t>similares,</w:t>
      </w:r>
      <w:r>
        <w:rPr>
          <w:spacing w:val="-13"/>
          <w:sz w:val="22"/>
        </w:rPr>
        <w:t> </w:t>
      </w:r>
      <w:r>
        <w:rPr>
          <w:sz w:val="22"/>
        </w:rPr>
        <w:t>en</w:t>
      </w:r>
      <w:r>
        <w:rPr>
          <w:spacing w:val="-14"/>
          <w:sz w:val="22"/>
        </w:rPr>
        <w:t> </w:t>
      </w:r>
      <w:r>
        <w:rPr>
          <w:sz w:val="22"/>
        </w:rPr>
        <w:t>los</w:t>
      </w:r>
      <w:r>
        <w:rPr>
          <w:spacing w:val="-14"/>
          <w:sz w:val="22"/>
        </w:rPr>
        <w:t> </w:t>
      </w:r>
      <w:r>
        <w:rPr>
          <w:sz w:val="22"/>
        </w:rPr>
        <w:t>que</w:t>
      </w:r>
      <w:r>
        <w:rPr>
          <w:spacing w:val="-14"/>
          <w:sz w:val="22"/>
        </w:rPr>
        <w:t> </w:t>
      </w:r>
      <w:r>
        <w:rPr>
          <w:sz w:val="22"/>
        </w:rPr>
        <w:t>se</w:t>
      </w:r>
      <w:r>
        <w:rPr>
          <w:spacing w:val="-13"/>
          <w:sz w:val="22"/>
        </w:rPr>
        <w:t> </w:t>
      </w:r>
      <w:r>
        <w:rPr>
          <w:sz w:val="22"/>
        </w:rPr>
        <w:t>descanse</w:t>
      </w:r>
      <w:r>
        <w:rPr>
          <w:spacing w:val="-14"/>
          <w:sz w:val="22"/>
        </w:rPr>
        <w:t> </w:t>
      </w:r>
      <w:r>
        <w:rPr>
          <w:sz w:val="22"/>
        </w:rPr>
        <w:t>y</w:t>
      </w:r>
      <w:r>
        <w:rPr>
          <w:spacing w:val="-14"/>
          <w:sz w:val="22"/>
        </w:rPr>
        <w:t> </w:t>
      </w:r>
      <w:r>
        <w:rPr>
          <w:sz w:val="22"/>
        </w:rPr>
        <w:t>se</w:t>
      </w:r>
      <w:r>
        <w:rPr>
          <w:spacing w:val="-14"/>
          <w:sz w:val="22"/>
        </w:rPr>
        <w:t> </w:t>
      </w:r>
      <w:r>
        <w:rPr>
          <w:sz w:val="22"/>
        </w:rPr>
        <w:t>realice</w:t>
      </w:r>
      <w:r>
        <w:rPr>
          <w:spacing w:val="-13"/>
          <w:sz w:val="22"/>
        </w:rPr>
        <w:t> </w:t>
      </w:r>
      <w:r>
        <w:rPr>
          <w:sz w:val="22"/>
        </w:rPr>
        <w:t>la</w:t>
      </w:r>
      <w:r>
        <w:rPr>
          <w:spacing w:val="-14"/>
          <w:sz w:val="22"/>
        </w:rPr>
        <w:t> </w:t>
      </w:r>
      <w:r>
        <w:rPr>
          <w:sz w:val="22"/>
        </w:rPr>
        <w:t>reunión íntima por un plazo determinado, mediante el pago de un precio establecido.</w:t>
      </w:r>
    </w:p>
    <w:p>
      <w:pPr>
        <w:pStyle w:val="BodyText"/>
        <w:spacing w:before="20"/>
      </w:pPr>
    </w:p>
    <w:p>
      <w:pPr>
        <w:pStyle w:val="ListParagraph"/>
        <w:numPr>
          <w:ilvl w:val="0"/>
          <w:numId w:val="32"/>
        </w:numPr>
        <w:tabs>
          <w:tab w:pos="1342" w:val="left" w:leader="none"/>
        </w:tabs>
        <w:spacing w:line="240" w:lineRule="auto" w:before="0" w:after="0"/>
        <w:ind w:left="1342" w:right="974" w:hanging="360"/>
        <w:jc w:val="both"/>
        <w:rPr>
          <w:sz w:val="22"/>
        </w:rPr>
      </w:pPr>
      <w:r>
        <w:rPr>
          <w:b/>
          <w:sz w:val="22"/>
        </w:rPr>
        <w:t>Contribuciones Sociales diversas por cobrar: </w:t>
      </w:r>
      <w:r>
        <w:rPr>
          <w:sz w:val="22"/>
        </w:rPr>
        <w:t>se reconocen cuando existen obligaciones con-traídas</w:t>
      </w:r>
      <w:r>
        <w:rPr>
          <w:spacing w:val="-2"/>
          <w:sz w:val="22"/>
        </w:rPr>
        <w:t> </w:t>
      </w:r>
      <w:r>
        <w:rPr>
          <w:sz w:val="22"/>
        </w:rPr>
        <w:t>por</w:t>
      </w:r>
      <w:r>
        <w:rPr>
          <w:spacing w:val="-5"/>
          <w:sz w:val="22"/>
        </w:rPr>
        <w:t> </w:t>
      </w:r>
      <w:r>
        <w:rPr>
          <w:sz w:val="22"/>
        </w:rPr>
        <w:t>terceros</w:t>
      </w:r>
      <w:r>
        <w:rPr>
          <w:spacing w:val="-5"/>
          <w:sz w:val="22"/>
        </w:rPr>
        <w:t> </w:t>
      </w:r>
      <w:r>
        <w:rPr>
          <w:sz w:val="22"/>
        </w:rPr>
        <w:t>en</w:t>
      </w:r>
      <w:r>
        <w:rPr>
          <w:spacing w:val="-3"/>
          <w:sz w:val="22"/>
        </w:rPr>
        <w:t> </w:t>
      </w:r>
      <w:r>
        <w:rPr>
          <w:sz w:val="22"/>
        </w:rPr>
        <w:t>concepto</w:t>
      </w:r>
      <w:r>
        <w:rPr>
          <w:spacing w:val="-3"/>
          <w:sz w:val="22"/>
        </w:rPr>
        <w:t> </w:t>
      </w:r>
      <w:r>
        <w:rPr>
          <w:sz w:val="22"/>
        </w:rPr>
        <w:t>de</w:t>
      </w:r>
      <w:r>
        <w:rPr>
          <w:spacing w:val="-5"/>
          <w:sz w:val="22"/>
        </w:rPr>
        <w:t> </w:t>
      </w:r>
      <w:r>
        <w:rPr>
          <w:sz w:val="22"/>
        </w:rPr>
        <w:t>aportes</w:t>
      </w:r>
      <w:r>
        <w:rPr>
          <w:spacing w:val="-2"/>
          <w:sz w:val="22"/>
        </w:rPr>
        <w:t> </w:t>
      </w:r>
      <w:r>
        <w:rPr>
          <w:sz w:val="22"/>
        </w:rPr>
        <w:t>y</w:t>
      </w:r>
      <w:r>
        <w:rPr>
          <w:spacing w:val="-4"/>
          <w:sz w:val="22"/>
        </w:rPr>
        <w:t> </w:t>
      </w:r>
      <w:r>
        <w:rPr>
          <w:sz w:val="22"/>
        </w:rPr>
        <w:t>contribuciones</w:t>
      </w:r>
      <w:r>
        <w:rPr>
          <w:spacing w:val="-2"/>
          <w:sz w:val="22"/>
        </w:rPr>
        <w:t> </w:t>
      </w:r>
      <w:r>
        <w:rPr>
          <w:sz w:val="22"/>
        </w:rPr>
        <w:t>de</w:t>
      </w:r>
      <w:r>
        <w:rPr>
          <w:spacing w:val="-5"/>
          <w:sz w:val="22"/>
        </w:rPr>
        <w:t> </w:t>
      </w:r>
      <w:r>
        <w:rPr>
          <w:sz w:val="22"/>
        </w:rPr>
        <w:t>los</w:t>
      </w:r>
      <w:r>
        <w:rPr>
          <w:spacing w:val="-5"/>
          <w:sz w:val="22"/>
        </w:rPr>
        <w:t> </w:t>
      </w:r>
      <w:r>
        <w:rPr>
          <w:sz w:val="22"/>
        </w:rPr>
        <w:t>sectores</w:t>
      </w:r>
      <w:r>
        <w:rPr>
          <w:spacing w:val="-2"/>
          <w:sz w:val="22"/>
        </w:rPr>
        <w:t> </w:t>
      </w:r>
      <w:r>
        <w:rPr>
          <w:sz w:val="22"/>
        </w:rPr>
        <w:t>privado</w:t>
      </w:r>
      <w:r>
        <w:rPr>
          <w:spacing w:val="-5"/>
          <w:sz w:val="22"/>
        </w:rPr>
        <w:t> </w:t>
      </w:r>
      <w:r>
        <w:rPr>
          <w:sz w:val="22"/>
        </w:rPr>
        <w:t>y</w:t>
      </w:r>
      <w:r>
        <w:rPr>
          <w:spacing w:val="-4"/>
          <w:sz w:val="22"/>
        </w:rPr>
        <w:t> </w:t>
      </w:r>
      <w:r>
        <w:rPr>
          <w:sz w:val="22"/>
        </w:rPr>
        <w:t>público a</w:t>
      </w:r>
      <w:r>
        <w:rPr>
          <w:spacing w:val="-14"/>
          <w:sz w:val="22"/>
        </w:rPr>
        <w:t> </w:t>
      </w:r>
      <w:r>
        <w:rPr>
          <w:sz w:val="22"/>
        </w:rPr>
        <w:t>los</w:t>
      </w:r>
      <w:r>
        <w:rPr>
          <w:spacing w:val="-12"/>
          <w:sz w:val="22"/>
        </w:rPr>
        <w:t> </w:t>
      </w:r>
      <w:r>
        <w:rPr>
          <w:sz w:val="22"/>
        </w:rPr>
        <w:t>distintos</w:t>
      </w:r>
      <w:r>
        <w:rPr>
          <w:spacing w:val="-13"/>
          <w:sz w:val="22"/>
        </w:rPr>
        <w:t> </w:t>
      </w:r>
      <w:r>
        <w:rPr>
          <w:sz w:val="22"/>
        </w:rPr>
        <w:t>regímenes</w:t>
      </w:r>
      <w:r>
        <w:rPr>
          <w:spacing w:val="-11"/>
          <w:sz w:val="22"/>
        </w:rPr>
        <w:t> </w:t>
      </w:r>
      <w:r>
        <w:rPr>
          <w:sz w:val="22"/>
        </w:rPr>
        <w:t>de</w:t>
      </w:r>
      <w:r>
        <w:rPr>
          <w:spacing w:val="-14"/>
          <w:sz w:val="22"/>
        </w:rPr>
        <w:t> </w:t>
      </w:r>
      <w:r>
        <w:rPr>
          <w:sz w:val="22"/>
        </w:rPr>
        <w:t>prestación</w:t>
      </w:r>
      <w:r>
        <w:rPr>
          <w:spacing w:val="-11"/>
          <w:sz w:val="22"/>
        </w:rPr>
        <w:t> </w:t>
      </w:r>
      <w:r>
        <w:rPr>
          <w:sz w:val="22"/>
        </w:rPr>
        <w:t>de</w:t>
      </w:r>
      <w:r>
        <w:rPr>
          <w:spacing w:val="-13"/>
          <w:sz w:val="22"/>
        </w:rPr>
        <w:t> </w:t>
      </w:r>
      <w:r>
        <w:rPr>
          <w:sz w:val="22"/>
        </w:rPr>
        <w:t>la</w:t>
      </w:r>
      <w:r>
        <w:rPr>
          <w:spacing w:val="-14"/>
          <w:sz w:val="22"/>
        </w:rPr>
        <w:t> </w:t>
      </w:r>
      <w:r>
        <w:rPr>
          <w:sz w:val="22"/>
        </w:rPr>
        <w:t>seguridad</w:t>
      </w:r>
      <w:r>
        <w:rPr>
          <w:spacing w:val="-12"/>
          <w:sz w:val="22"/>
        </w:rPr>
        <w:t> </w:t>
      </w:r>
      <w:r>
        <w:rPr>
          <w:sz w:val="22"/>
        </w:rPr>
        <w:t>social,</w:t>
      </w:r>
      <w:r>
        <w:rPr>
          <w:spacing w:val="-12"/>
          <w:sz w:val="22"/>
        </w:rPr>
        <w:t> </w:t>
      </w:r>
      <w:r>
        <w:rPr>
          <w:sz w:val="22"/>
        </w:rPr>
        <w:t>desarrollo</w:t>
      </w:r>
      <w:r>
        <w:rPr>
          <w:spacing w:val="-13"/>
          <w:sz w:val="22"/>
        </w:rPr>
        <w:t> </w:t>
      </w:r>
      <w:r>
        <w:rPr>
          <w:sz w:val="22"/>
        </w:rPr>
        <w:t>y</w:t>
      </w:r>
      <w:r>
        <w:rPr>
          <w:spacing w:val="-13"/>
          <w:sz w:val="22"/>
        </w:rPr>
        <w:t> </w:t>
      </w:r>
      <w:r>
        <w:rPr>
          <w:sz w:val="22"/>
        </w:rPr>
        <w:t>asistencia</w:t>
      </w:r>
      <w:r>
        <w:rPr>
          <w:spacing w:val="-14"/>
          <w:sz w:val="22"/>
        </w:rPr>
        <w:t> </w:t>
      </w:r>
      <w:r>
        <w:rPr>
          <w:sz w:val="22"/>
        </w:rPr>
        <w:t>social.</w:t>
      </w:r>
      <w:r>
        <w:rPr>
          <w:spacing w:val="-14"/>
          <w:sz w:val="22"/>
        </w:rPr>
        <w:t> </w:t>
      </w:r>
      <w:r>
        <w:rPr>
          <w:sz w:val="22"/>
        </w:rPr>
        <w:t>Para el</w:t>
      </w:r>
      <w:r>
        <w:rPr>
          <w:spacing w:val="-2"/>
          <w:sz w:val="22"/>
        </w:rPr>
        <w:t> </w:t>
      </w:r>
      <w:r>
        <w:rPr>
          <w:sz w:val="22"/>
        </w:rPr>
        <w:t>IMAS,</w:t>
      </w:r>
      <w:r>
        <w:rPr>
          <w:spacing w:val="-1"/>
          <w:sz w:val="22"/>
        </w:rPr>
        <w:t> </w:t>
      </w:r>
      <w:r>
        <w:rPr>
          <w:sz w:val="22"/>
        </w:rPr>
        <w:t>corresponde</w:t>
      </w:r>
      <w:r>
        <w:rPr>
          <w:spacing w:val="-3"/>
          <w:sz w:val="22"/>
        </w:rPr>
        <w:t> </w:t>
      </w:r>
      <w:r>
        <w:rPr>
          <w:sz w:val="22"/>
        </w:rPr>
        <w:t>al</w:t>
      </w:r>
      <w:r>
        <w:rPr>
          <w:spacing w:val="-2"/>
          <w:sz w:val="22"/>
        </w:rPr>
        <w:t> </w:t>
      </w:r>
      <w:r>
        <w:rPr>
          <w:sz w:val="22"/>
        </w:rPr>
        <w:t>cobro</w:t>
      </w:r>
      <w:r>
        <w:rPr>
          <w:spacing w:val="-1"/>
          <w:sz w:val="22"/>
        </w:rPr>
        <w:t> </w:t>
      </w:r>
      <w:r>
        <w:rPr>
          <w:sz w:val="22"/>
        </w:rPr>
        <w:t>contribuciones salariales definidas como financiamiento en</w:t>
      </w:r>
      <w:r>
        <w:rPr>
          <w:spacing w:val="-1"/>
          <w:sz w:val="22"/>
        </w:rPr>
        <w:t> </w:t>
      </w:r>
      <w:r>
        <w:rPr>
          <w:sz w:val="22"/>
        </w:rPr>
        <w:t>el artículo 14 inciso a) de la Ley No. 4760 Ley Creación del IMAS y la Ley No. 6443 Reforma Ley de Creación del IMAS, correspondiente al medio por ciento mensual sobre las remune-raciones, sean salarios o sueldos, ordinarios o extraordinarios, que paguen a los trabajadores de sus respectivas actividades empadronados en el INA y el Seguro Social o en el Banco Po-pular</w:t>
      </w:r>
      <w:r>
        <w:rPr>
          <w:spacing w:val="-3"/>
          <w:sz w:val="22"/>
        </w:rPr>
        <w:t> </w:t>
      </w:r>
      <w:r>
        <w:rPr>
          <w:sz w:val="22"/>
        </w:rPr>
        <w:t>y</w:t>
      </w:r>
      <w:r>
        <w:rPr>
          <w:spacing w:val="-4"/>
          <w:sz w:val="22"/>
        </w:rPr>
        <w:t> </w:t>
      </w:r>
      <w:r>
        <w:rPr>
          <w:sz w:val="22"/>
        </w:rPr>
        <w:t>de</w:t>
      </w:r>
      <w:r>
        <w:rPr>
          <w:spacing w:val="-5"/>
          <w:sz w:val="22"/>
        </w:rPr>
        <w:t> </w:t>
      </w:r>
      <w:r>
        <w:rPr>
          <w:sz w:val="22"/>
        </w:rPr>
        <w:t>Desarrollo</w:t>
      </w:r>
      <w:r>
        <w:rPr>
          <w:spacing w:val="-5"/>
          <w:sz w:val="22"/>
        </w:rPr>
        <w:t> </w:t>
      </w:r>
      <w:r>
        <w:rPr>
          <w:sz w:val="22"/>
        </w:rPr>
        <w:t>Comunal</w:t>
      </w:r>
      <w:r>
        <w:rPr>
          <w:spacing w:val="-4"/>
          <w:sz w:val="22"/>
        </w:rPr>
        <w:t> </w:t>
      </w:r>
      <w:r>
        <w:rPr>
          <w:sz w:val="22"/>
        </w:rPr>
        <w:t>los</w:t>
      </w:r>
      <w:r>
        <w:rPr>
          <w:spacing w:val="-4"/>
          <w:sz w:val="22"/>
        </w:rPr>
        <w:t> </w:t>
      </w:r>
      <w:r>
        <w:rPr>
          <w:sz w:val="22"/>
        </w:rPr>
        <w:t>patronos</w:t>
      </w:r>
      <w:r>
        <w:rPr>
          <w:spacing w:val="-5"/>
          <w:sz w:val="22"/>
        </w:rPr>
        <w:t> </w:t>
      </w:r>
      <w:r>
        <w:rPr>
          <w:sz w:val="22"/>
        </w:rPr>
        <w:t>de</w:t>
      </w:r>
      <w:r>
        <w:rPr>
          <w:spacing w:val="-5"/>
          <w:sz w:val="22"/>
        </w:rPr>
        <w:t> </w:t>
      </w:r>
      <w:r>
        <w:rPr>
          <w:sz w:val="22"/>
        </w:rPr>
        <w:t>la</w:t>
      </w:r>
      <w:r>
        <w:rPr>
          <w:spacing w:val="-5"/>
          <w:sz w:val="22"/>
        </w:rPr>
        <w:t> </w:t>
      </w:r>
      <w:r>
        <w:rPr>
          <w:sz w:val="22"/>
        </w:rPr>
        <w:t>empresa</w:t>
      </w:r>
      <w:r>
        <w:rPr>
          <w:spacing w:val="-4"/>
          <w:sz w:val="22"/>
        </w:rPr>
        <w:t> </w:t>
      </w:r>
      <w:r>
        <w:rPr>
          <w:sz w:val="22"/>
        </w:rPr>
        <w:t>privada,</w:t>
      </w:r>
      <w:r>
        <w:rPr>
          <w:spacing w:val="-3"/>
          <w:sz w:val="22"/>
        </w:rPr>
        <w:t> </w:t>
      </w:r>
      <w:r>
        <w:rPr>
          <w:sz w:val="22"/>
        </w:rPr>
        <w:t>también</w:t>
      </w:r>
      <w:r>
        <w:rPr>
          <w:spacing w:val="-3"/>
          <w:sz w:val="22"/>
        </w:rPr>
        <w:t> </w:t>
      </w:r>
      <w:r>
        <w:rPr>
          <w:sz w:val="22"/>
        </w:rPr>
        <w:t>están</w:t>
      </w:r>
      <w:r>
        <w:rPr>
          <w:spacing w:val="-5"/>
          <w:sz w:val="22"/>
        </w:rPr>
        <w:t> </w:t>
      </w:r>
      <w:r>
        <w:rPr>
          <w:sz w:val="22"/>
        </w:rPr>
        <w:t>obligados</w:t>
      </w:r>
      <w:r>
        <w:rPr>
          <w:spacing w:val="-5"/>
          <w:sz w:val="22"/>
        </w:rPr>
        <w:t> </w:t>
      </w:r>
      <w:r>
        <w:rPr>
          <w:sz w:val="22"/>
        </w:rPr>
        <w:t>a pagar el aporte de este inciso.</w:t>
      </w:r>
    </w:p>
    <w:p>
      <w:pPr>
        <w:pStyle w:val="BodyText"/>
        <w:spacing w:before="20"/>
      </w:pPr>
    </w:p>
    <w:p>
      <w:pPr>
        <w:pStyle w:val="ListParagraph"/>
        <w:numPr>
          <w:ilvl w:val="0"/>
          <w:numId w:val="32"/>
        </w:numPr>
        <w:tabs>
          <w:tab w:pos="1342" w:val="left" w:leader="none"/>
        </w:tabs>
        <w:spacing w:line="240" w:lineRule="auto" w:before="1" w:after="0"/>
        <w:ind w:left="1342" w:right="981" w:hanging="360"/>
        <w:jc w:val="both"/>
        <w:rPr>
          <w:sz w:val="22"/>
        </w:rPr>
      </w:pPr>
      <w:r>
        <w:rPr>
          <w:sz w:val="22"/>
        </w:rPr>
        <w:t>Transferencias que cobrar: correspondiente a la recaudación realizada por la Caja Costarri-cense</w:t>
      </w:r>
      <w:r>
        <w:rPr>
          <w:spacing w:val="-3"/>
          <w:sz w:val="22"/>
        </w:rPr>
        <w:t> </w:t>
      </w:r>
      <w:r>
        <w:rPr>
          <w:sz w:val="22"/>
        </w:rPr>
        <w:t>de</w:t>
      </w:r>
      <w:r>
        <w:rPr>
          <w:spacing w:val="-4"/>
          <w:sz w:val="22"/>
        </w:rPr>
        <w:t> </w:t>
      </w:r>
      <w:r>
        <w:rPr>
          <w:sz w:val="22"/>
        </w:rPr>
        <w:t>Seguro</w:t>
      </w:r>
      <w:r>
        <w:rPr>
          <w:spacing w:val="-4"/>
          <w:sz w:val="22"/>
        </w:rPr>
        <w:t> </w:t>
      </w:r>
      <w:r>
        <w:rPr>
          <w:sz w:val="22"/>
        </w:rPr>
        <w:t>Social</w:t>
      </w:r>
      <w:r>
        <w:rPr>
          <w:spacing w:val="-3"/>
          <w:sz w:val="22"/>
        </w:rPr>
        <w:t> </w:t>
      </w:r>
      <w:r>
        <w:rPr>
          <w:sz w:val="22"/>
        </w:rPr>
        <w:t>(CCSS)</w:t>
      </w:r>
      <w:r>
        <w:rPr>
          <w:spacing w:val="-4"/>
          <w:sz w:val="22"/>
        </w:rPr>
        <w:t> </w:t>
      </w:r>
      <w:r>
        <w:rPr>
          <w:sz w:val="22"/>
        </w:rPr>
        <w:t>de</w:t>
      </w:r>
      <w:r>
        <w:rPr>
          <w:spacing w:val="-4"/>
          <w:sz w:val="22"/>
        </w:rPr>
        <w:t> </w:t>
      </w:r>
      <w:r>
        <w:rPr>
          <w:sz w:val="22"/>
        </w:rPr>
        <w:t>las</w:t>
      </w:r>
      <w:r>
        <w:rPr>
          <w:spacing w:val="-3"/>
          <w:sz w:val="22"/>
        </w:rPr>
        <w:t> </w:t>
      </w:r>
      <w:r>
        <w:rPr>
          <w:sz w:val="22"/>
        </w:rPr>
        <w:t>contribuciones</w:t>
      </w:r>
      <w:r>
        <w:rPr>
          <w:spacing w:val="-3"/>
          <w:sz w:val="22"/>
        </w:rPr>
        <w:t> </w:t>
      </w:r>
      <w:r>
        <w:rPr>
          <w:sz w:val="22"/>
        </w:rPr>
        <w:t>sociales</w:t>
      </w:r>
      <w:r>
        <w:rPr>
          <w:spacing w:val="-1"/>
          <w:sz w:val="22"/>
        </w:rPr>
        <w:t> </w:t>
      </w:r>
      <w:r>
        <w:rPr>
          <w:sz w:val="22"/>
        </w:rPr>
        <w:t>mencionadas</w:t>
      </w:r>
      <w:r>
        <w:rPr>
          <w:spacing w:val="-1"/>
          <w:sz w:val="22"/>
        </w:rPr>
        <w:t> </w:t>
      </w:r>
      <w:r>
        <w:rPr>
          <w:sz w:val="22"/>
        </w:rPr>
        <w:t>anteriormente,</w:t>
      </w:r>
      <w:r>
        <w:rPr>
          <w:spacing w:val="-3"/>
          <w:sz w:val="22"/>
        </w:rPr>
        <w:t> </w:t>
      </w:r>
      <w:r>
        <w:rPr>
          <w:sz w:val="22"/>
        </w:rPr>
        <w:t>en forma mensual se liquida y los recursos ingresan el siguiente mes.</w:t>
      </w:r>
    </w:p>
    <w:p>
      <w:pPr>
        <w:pStyle w:val="BodyText"/>
        <w:spacing w:before="19"/>
      </w:pPr>
    </w:p>
    <w:p>
      <w:pPr>
        <w:pStyle w:val="ListParagraph"/>
        <w:numPr>
          <w:ilvl w:val="0"/>
          <w:numId w:val="32"/>
        </w:numPr>
        <w:tabs>
          <w:tab w:pos="1340" w:val="left" w:leader="none"/>
        </w:tabs>
        <w:spacing w:line="240" w:lineRule="auto" w:before="0" w:after="0"/>
        <w:ind w:left="1340" w:right="0" w:hanging="359"/>
        <w:jc w:val="left"/>
        <w:rPr>
          <w:sz w:val="22"/>
        </w:rPr>
      </w:pPr>
      <w:r>
        <w:rPr>
          <w:sz w:val="22"/>
        </w:rPr>
        <w:t>Cuentas</w:t>
      </w:r>
      <w:r>
        <w:rPr>
          <w:spacing w:val="-4"/>
          <w:sz w:val="22"/>
        </w:rPr>
        <w:t> </w:t>
      </w:r>
      <w:r>
        <w:rPr>
          <w:sz w:val="22"/>
        </w:rPr>
        <w:t>por</w:t>
      </w:r>
      <w:r>
        <w:rPr>
          <w:spacing w:val="-3"/>
          <w:sz w:val="22"/>
        </w:rPr>
        <w:t> </w:t>
      </w:r>
      <w:r>
        <w:rPr>
          <w:sz w:val="22"/>
        </w:rPr>
        <w:t>cobrar</w:t>
      </w:r>
      <w:r>
        <w:rPr>
          <w:spacing w:val="-4"/>
          <w:sz w:val="22"/>
        </w:rPr>
        <w:t> </w:t>
      </w:r>
      <w:r>
        <w:rPr>
          <w:sz w:val="22"/>
        </w:rPr>
        <w:t>en</w:t>
      </w:r>
      <w:r>
        <w:rPr>
          <w:spacing w:val="-3"/>
          <w:sz w:val="22"/>
        </w:rPr>
        <w:t> </w:t>
      </w:r>
      <w:r>
        <w:rPr>
          <w:sz w:val="22"/>
        </w:rPr>
        <w:t>cobro</w:t>
      </w:r>
      <w:r>
        <w:rPr>
          <w:spacing w:val="-4"/>
          <w:sz w:val="22"/>
        </w:rPr>
        <w:t> </w:t>
      </w:r>
      <w:r>
        <w:rPr>
          <w:sz w:val="22"/>
        </w:rPr>
        <w:t>judicial</w:t>
      </w:r>
      <w:r>
        <w:rPr>
          <w:spacing w:val="-3"/>
          <w:sz w:val="22"/>
        </w:rPr>
        <w:t> </w:t>
      </w:r>
      <w:r>
        <w:rPr>
          <w:sz w:val="22"/>
        </w:rPr>
        <w:t>de</w:t>
      </w:r>
      <w:r>
        <w:rPr>
          <w:spacing w:val="-4"/>
          <w:sz w:val="22"/>
        </w:rPr>
        <w:t> </w:t>
      </w:r>
      <w:r>
        <w:rPr>
          <w:sz w:val="22"/>
        </w:rPr>
        <w:t>todos</w:t>
      </w:r>
      <w:r>
        <w:rPr>
          <w:spacing w:val="-3"/>
          <w:sz w:val="22"/>
        </w:rPr>
        <w:t> </w:t>
      </w:r>
      <w:r>
        <w:rPr>
          <w:sz w:val="22"/>
        </w:rPr>
        <w:t>los</w:t>
      </w:r>
      <w:r>
        <w:rPr>
          <w:spacing w:val="-2"/>
          <w:sz w:val="22"/>
        </w:rPr>
        <w:t> rubros.</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9040">
                <wp:simplePos x="0" y="0"/>
                <wp:positionH relativeFrom="page">
                  <wp:posOffset>9525</wp:posOffset>
                </wp:positionH>
                <wp:positionV relativeFrom="page">
                  <wp:posOffset>297208</wp:posOffset>
                </wp:positionV>
                <wp:extent cx="7762875" cy="9748520"/>
                <wp:effectExtent l="0" t="0" r="0" b="0"/>
                <wp:wrapNone/>
                <wp:docPr id="232" name="Group 232"/>
                <wp:cNvGraphicFramePr>
                  <a:graphicFrameLocks/>
                </wp:cNvGraphicFramePr>
                <a:graphic>
                  <a:graphicData uri="http://schemas.microsoft.com/office/word/2010/wordprocessingGroup">
                    <wpg:wgp>
                      <wpg:cNvPr id="232" name="Group 232"/>
                      <wpg:cNvGrpSpPr/>
                      <wpg:grpSpPr>
                        <a:xfrm>
                          <a:off x="0" y="0"/>
                          <a:ext cx="7762875" cy="9748520"/>
                          <a:chExt cx="7762875" cy="9748520"/>
                        </a:xfrm>
                      </wpg:grpSpPr>
                      <pic:pic>
                        <pic:nvPicPr>
                          <pic:cNvPr id="233" name="Image 233"/>
                          <pic:cNvPicPr/>
                        </pic:nvPicPr>
                        <pic:blipFill>
                          <a:blip r:embed="rId5" cstate="print"/>
                          <a:stretch>
                            <a:fillRect/>
                          </a:stretch>
                        </pic:blipFill>
                        <pic:spPr>
                          <a:xfrm>
                            <a:off x="0" y="0"/>
                            <a:ext cx="7762874" cy="9748489"/>
                          </a:xfrm>
                          <a:prstGeom prst="rect">
                            <a:avLst/>
                          </a:prstGeom>
                        </pic:spPr>
                      </pic:pic>
                      <wps:wsp>
                        <wps:cNvPr id="234" name="Graphic 23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7440" id="docshapegroup219" coordorigin="15,468" coordsize="12225,15352">
                <v:shape style="position:absolute;left:15;top:468;width:12225;height:15352" type="#_x0000_t75" id="docshape220" stroked="false">
                  <v:imagedata r:id="rId5" o:title=""/>
                </v:shape>
                <v:rect style="position:absolute;left:1673;top:2028;width:8897;height:15" id="docshape22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49</w:t>
      </w:r>
    </w:p>
    <w:p>
      <w:pPr>
        <w:pStyle w:val="BodyText"/>
      </w:pPr>
    </w:p>
    <w:p>
      <w:pPr>
        <w:pStyle w:val="BodyText"/>
        <w:spacing w:before="145"/>
      </w:pPr>
    </w:p>
    <w:p>
      <w:pPr>
        <w:pStyle w:val="BodyText"/>
        <w:ind w:left="622"/>
      </w:pPr>
      <w:r>
        <w:rPr/>
        <w:t>Al</w:t>
      </w:r>
      <w:r>
        <w:rPr>
          <w:spacing w:val="-5"/>
        </w:rPr>
        <w:t> </w:t>
      </w:r>
      <w:r>
        <w:rPr/>
        <w:t>31</w:t>
      </w:r>
      <w:r>
        <w:rPr>
          <w:spacing w:val="-3"/>
        </w:rPr>
        <w:t> </w:t>
      </w:r>
      <w:r>
        <w:rPr/>
        <w:t>de</w:t>
      </w:r>
      <w:r>
        <w:rPr>
          <w:spacing w:val="-3"/>
        </w:rPr>
        <w:t> </w:t>
      </w:r>
      <w:r>
        <w:rPr/>
        <w:t>julio</w:t>
      </w:r>
      <w:r>
        <w:rPr>
          <w:spacing w:val="-3"/>
        </w:rPr>
        <w:t> </w:t>
      </w:r>
      <w:r>
        <w:rPr/>
        <w:t>2026</w:t>
      </w:r>
      <w:r>
        <w:rPr>
          <w:spacing w:val="-4"/>
        </w:rPr>
        <w:t> </w:t>
      </w:r>
      <w:r>
        <w:rPr/>
        <w:t>y</w:t>
      </w:r>
      <w:r>
        <w:rPr>
          <w:spacing w:val="-4"/>
        </w:rPr>
        <w:t> </w:t>
      </w:r>
      <w:r>
        <w:rPr/>
        <w:t>2025</w:t>
      </w:r>
      <w:r>
        <w:rPr>
          <w:spacing w:val="-3"/>
        </w:rPr>
        <w:t> </w:t>
      </w:r>
      <w:r>
        <w:rPr/>
        <w:t>las</w:t>
      </w:r>
      <w:r>
        <w:rPr>
          <w:spacing w:val="-2"/>
        </w:rPr>
        <w:t> </w:t>
      </w:r>
      <w:r>
        <w:rPr/>
        <w:t>cuentas</w:t>
      </w:r>
      <w:r>
        <w:rPr>
          <w:spacing w:val="-2"/>
        </w:rPr>
        <w:t> </w:t>
      </w:r>
      <w:r>
        <w:rPr/>
        <w:t>por</w:t>
      </w:r>
      <w:r>
        <w:rPr>
          <w:spacing w:val="-3"/>
        </w:rPr>
        <w:t> </w:t>
      </w:r>
      <w:r>
        <w:rPr/>
        <w:t>cobrar</w:t>
      </w:r>
      <w:r>
        <w:rPr>
          <w:spacing w:val="-2"/>
        </w:rPr>
        <w:t> </w:t>
      </w:r>
      <w:r>
        <w:rPr/>
        <w:t>se</w:t>
      </w:r>
      <w:r>
        <w:rPr>
          <w:spacing w:val="-4"/>
        </w:rPr>
        <w:t> </w:t>
      </w:r>
      <w:r>
        <w:rPr/>
        <w:t>componen</w:t>
      </w:r>
      <w:r>
        <w:rPr>
          <w:spacing w:val="-4"/>
        </w:rPr>
        <w:t> </w:t>
      </w:r>
      <w:r>
        <w:rPr/>
        <w:t>de</w:t>
      </w:r>
      <w:r>
        <w:rPr>
          <w:spacing w:val="-5"/>
        </w:rPr>
        <w:t> </w:t>
      </w:r>
      <w:r>
        <w:rPr/>
        <w:t>las</w:t>
      </w:r>
      <w:r>
        <w:rPr>
          <w:spacing w:val="-1"/>
        </w:rPr>
        <w:t> </w:t>
      </w:r>
      <w:r>
        <w:rPr/>
        <w:t>siguientes</w:t>
      </w:r>
      <w:r>
        <w:rPr>
          <w:spacing w:val="-2"/>
        </w:rPr>
        <w:t> </w:t>
      </w:r>
      <w:r>
        <w:rPr/>
        <w:t>cuentas</w:t>
      </w:r>
      <w:r>
        <w:rPr>
          <w:spacing w:val="-2"/>
        </w:rPr>
        <w:t> manera:</w:t>
      </w:r>
    </w:p>
    <w:p>
      <w:pPr>
        <w:pStyle w:val="BodyText"/>
        <w:spacing w:before="24"/>
        <w:rPr>
          <w:sz w:val="20"/>
        </w:rPr>
      </w:pPr>
    </w:p>
    <w:tbl>
      <w:tblPr>
        <w:tblW w:w="0" w:type="auto"/>
        <w:jc w:val="left"/>
        <w:tblInd w:w="11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50"/>
        <w:gridCol w:w="3166"/>
        <w:gridCol w:w="416"/>
        <w:gridCol w:w="1286"/>
        <w:gridCol w:w="1286"/>
        <w:gridCol w:w="960"/>
      </w:tblGrid>
      <w:tr>
        <w:trPr>
          <w:trHeight w:val="224" w:hRule="atLeast"/>
        </w:trPr>
        <w:tc>
          <w:tcPr>
            <w:tcW w:w="650" w:type="dxa"/>
            <w:shd w:val="clear" w:color="auto" w:fill="365F92"/>
          </w:tcPr>
          <w:p>
            <w:pPr>
              <w:pStyle w:val="TableParagraph"/>
              <w:spacing w:line="169" w:lineRule="exact" w:before="35"/>
              <w:ind w:left="26"/>
              <w:rPr>
                <w:b/>
                <w:sz w:val="15"/>
              </w:rPr>
            </w:pPr>
            <w:r>
              <w:rPr>
                <w:b/>
                <w:color w:val="FFFFFF"/>
                <w:spacing w:val="-2"/>
                <w:w w:val="105"/>
                <w:sz w:val="15"/>
              </w:rPr>
              <w:t>1.1.3.</w:t>
            </w:r>
          </w:p>
        </w:tc>
        <w:tc>
          <w:tcPr>
            <w:tcW w:w="3166" w:type="dxa"/>
            <w:shd w:val="clear" w:color="auto" w:fill="365F92"/>
          </w:tcPr>
          <w:p>
            <w:pPr>
              <w:pStyle w:val="TableParagraph"/>
              <w:spacing w:line="169" w:lineRule="exact" w:before="35"/>
              <w:ind w:left="26"/>
              <w:rPr>
                <w:b/>
                <w:sz w:val="15"/>
              </w:rPr>
            </w:pPr>
            <w:r>
              <w:rPr>
                <w:b/>
                <w:color w:val="FFFFFF"/>
                <w:w w:val="105"/>
                <w:sz w:val="15"/>
              </w:rPr>
              <w:t>Cuentas</w:t>
            </w:r>
            <w:r>
              <w:rPr>
                <w:b/>
                <w:color w:val="FFFFFF"/>
                <w:spacing w:val="22"/>
                <w:w w:val="105"/>
                <w:sz w:val="15"/>
              </w:rPr>
              <w:t> </w:t>
            </w:r>
            <w:r>
              <w:rPr>
                <w:b/>
                <w:color w:val="FFFFFF"/>
                <w:w w:val="105"/>
                <w:sz w:val="15"/>
              </w:rPr>
              <w:t>a</w:t>
            </w:r>
            <w:r>
              <w:rPr>
                <w:b/>
                <w:color w:val="FFFFFF"/>
                <w:spacing w:val="20"/>
                <w:w w:val="105"/>
                <w:sz w:val="15"/>
              </w:rPr>
              <w:t> </w:t>
            </w:r>
            <w:r>
              <w:rPr>
                <w:b/>
                <w:color w:val="FFFFFF"/>
                <w:w w:val="105"/>
                <w:sz w:val="15"/>
              </w:rPr>
              <w:t>cobrar</w:t>
            </w:r>
            <w:r>
              <w:rPr>
                <w:b/>
                <w:color w:val="FFFFFF"/>
                <w:spacing w:val="18"/>
                <w:w w:val="105"/>
                <w:sz w:val="15"/>
              </w:rPr>
              <w:t> </w:t>
            </w:r>
            <w:r>
              <w:rPr>
                <w:b/>
                <w:color w:val="FFFFFF"/>
                <w:w w:val="105"/>
                <w:sz w:val="15"/>
              </w:rPr>
              <w:t>a</w:t>
            </w:r>
            <w:r>
              <w:rPr>
                <w:b/>
                <w:color w:val="FFFFFF"/>
                <w:spacing w:val="20"/>
                <w:w w:val="105"/>
                <w:sz w:val="15"/>
              </w:rPr>
              <w:t> </w:t>
            </w:r>
            <w:r>
              <w:rPr>
                <w:b/>
                <w:color w:val="FFFFFF"/>
                <w:w w:val="105"/>
                <w:sz w:val="15"/>
              </w:rPr>
              <w:t>corto</w:t>
            </w:r>
            <w:r>
              <w:rPr>
                <w:b/>
                <w:color w:val="FFFFFF"/>
                <w:spacing w:val="20"/>
                <w:w w:val="105"/>
                <w:sz w:val="15"/>
              </w:rPr>
              <w:t> </w:t>
            </w:r>
            <w:r>
              <w:rPr>
                <w:b/>
                <w:color w:val="FFFFFF"/>
                <w:spacing w:val="-4"/>
                <w:w w:val="105"/>
                <w:sz w:val="15"/>
              </w:rPr>
              <w:t>plazo</w:t>
            </w:r>
          </w:p>
        </w:tc>
        <w:tc>
          <w:tcPr>
            <w:tcW w:w="416" w:type="dxa"/>
            <w:shd w:val="clear" w:color="auto" w:fill="365F92"/>
          </w:tcPr>
          <w:p>
            <w:pPr>
              <w:pStyle w:val="TableParagraph"/>
              <w:spacing w:line="169" w:lineRule="exact" w:before="35"/>
              <w:ind w:left="131"/>
              <w:rPr>
                <w:sz w:val="15"/>
              </w:rPr>
            </w:pPr>
            <w:r>
              <w:rPr>
                <w:color w:val="FFFFFF"/>
                <w:spacing w:val="-5"/>
                <w:w w:val="105"/>
                <w:sz w:val="15"/>
              </w:rPr>
              <w:t>05</w:t>
            </w:r>
          </w:p>
        </w:tc>
        <w:tc>
          <w:tcPr>
            <w:tcW w:w="1286" w:type="dxa"/>
            <w:shd w:val="clear" w:color="auto" w:fill="365F92"/>
          </w:tcPr>
          <w:p>
            <w:pPr>
              <w:pStyle w:val="TableParagraph"/>
              <w:spacing w:line="169" w:lineRule="exact" w:before="35"/>
              <w:ind w:right="13"/>
              <w:jc w:val="right"/>
              <w:rPr>
                <w:sz w:val="15"/>
              </w:rPr>
            </w:pPr>
            <w:r>
              <w:rPr>
                <w:color w:val="FFFFFF"/>
                <w:w w:val="105"/>
                <w:sz w:val="15"/>
              </w:rPr>
              <w:t>6</w:t>
            </w:r>
            <w:r>
              <w:rPr>
                <w:color w:val="FFFFFF"/>
                <w:spacing w:val="-5"/>
                <w:w w:val="105"/>
                <w:sz w:val="15"/>
              </w:rPr>
              <w:t> </w:t>
            </w:r>
            <w:r>
              <w:rPr>
                <w:color w:val="FFFFFF"/>
                <w:w w:val="105"/>
                <w:sz w:val="15"/>
              </w:rPr>
              <w:t>801</w:t>
            </w:r>
            <w:r>
              <w:rPr>
                <w:color w:val="FFFFFF"/>
                <w:spacing w:val="-5"/>
                <w:w w:val="105"/>
                <w:sz w:val="15"/>
              </w:rPr>
              <w:t> </w:t>
            </w:r>
            <w:r>
              <w:rPr>
                <w:color w:val="FFFFFF"/>
                <w:spacing w:val="-2"/>
                <w:w w:val="105"/>
                <w:sz w:val="15"/>
              </w:rPr>
              <w:t>805,11</w:t>
            </w:r>
          </w:p>
        </w:tc>
        <w:tc>
          <w:tcPr>
            <w:tcW w:w="1286" w:type="dxa"/>
            <w:shd w:val="clear" w:color="auto" w:fill="365F92"/>
          </w:tcPr>
          <w:p>
            <w:pPr>
              <w:pStyle w:val="TableParagraph"/>
              <w:spacing w:line="169" w:lineRule="exact" w:before="35"/>
              <w:ind w:right="13"/>
              <w:jc w:val="right"/>
              <w:rPr>
                <w:sz w:val="15"/>
              </w:rPr>
            </w:pPr>
            <w:r>
              <w:rPr>
                <w:color w:val="FFFFFF"/>
                <w:w w:val="105"/>
                <w:sz w:val="15"/>
              </w:rPr>
              <w:t>6</w:t>
            </w:r>
            <w:r>
              <w:rPr>
                <w:color w:val="FFFFFF"/>
                <w:spacing w:val="-5"/>
                <w:w w:val="105"/>
                <w:sz w:val="15"/>
              </w:rPr>
              <w:t> </w:t>
            </w:r>
            <w:r>
              <w:rPr>
                <w:color w:val="FFFFFF"/>
                <w:w w:val="105"/>
                <w:sz w:val="15"/>
              </w:rPr>
              <w:t>419</w:t>
            </w:r>
            <w:r>
              <w:rPr>
                <w:color w:val="FFFFFF"/>
                <w:spacing w:val="-5"/>
                <w:w w:val="105"/>
                <w:sz w:val="15"/>
              </w:rPr>
              <w:t> </w:t>
            </w:r>
            <w:r>
              <w:rPr>
                <w:color w:val="FFFFFF"/>
                <w:spacing w:val="-2"/>
                <w:w w:val="105"/>
                <w:sz w:val="15"/>
              </w:rPr>
              <w:t>227,52</w:t>
            </w:r>
          </w:p>
        </w:tc>
        <w:tc>
          <w:tcPr>
            <w:tcW w:w="960" w:type="dxa"/>
            <w:shd w:val="clear" w:color="auto" w:fill="365F92"/>
          </w:tcPr>
          <w:p>
            <w:pPr>
              <w:pStyle w:val="TableParagraph"/>
              <w:spacing w:line="169" w:lineRule="exact" w:before="35"/>
              <w:ind w:left="11"/>
              <w:jc w:val="center"/>
              <w:rPr>
                <w:sz w:val="15"/>
              </w:rPr>
            </w:pPr>
            <w:r>
              <w:rPr>
                <w:color w:val="FFFFFF"/>
                <w:spacing w:val="-2"/>
                <w:w w:val="105"/>
                <w:sz w:val="15"/>
              </w:rPr>
              <w:t>5,96%</w:t>
            </w:r>
          </w:p>
        </w:tc>
      </w:tr>
      <w:tr>
        <w:trPr>
          <w:trHeight w:val="224" w:hRule="atLeast"/>
        </w:trPr>
        <w:tc>
          <w:tcPr>
            <w:tcW w:w="650" w:type="dxa"/>
          </w:tcPr>
          <w:p>
            <w:pPr>
              <w:pStyle w:val="TableParagraph"/>
              <w:spacing w:line="169" w:lineRule="exact" w:before="35"/>
              <w:ind w:left="21"/>
              <w:rPr>
                <w:sz w:val="15"/>
              </w:rPr>
            </w:pPr>
            <w:r>
              <w:rPr>
                <w:spacing w:val="-2"/>
                <w:w w:val="105"/>
                <w:sz w:val="15"/>
              </w:rPr>
              <w:t>1.1.3.01.</w:t>
            </w:r>
          </w:p>
        </w:tc>
        <w:tc>
          <w:tcPr>
            <w:tcW w:w="3166" w:type="dxa"/>
          </w:tcPr>
          <w:p>
            <w:pPr>
              <w:pStyle w:val="TableParagraph"/>
              <w:spacing w:line="169" w:lineRule="exact" w:before="35"/>
              <w:ind w:left="21"/>
              <w:rPr>
                <w:sz w:val="15"/>
              </w:rPr>
            </w:pPr>
            <w:r>
              <w:rPr>
                <w:w w:val="105"/>
                <w:sz w:val="15"/>
              </w:rPr>
              <w:t>Impuestos</w:t>
            </w:r>
            <w:r>
              <w:rPr>
                <w:spacing w:val="-2"/>
                <w:w w:val="105"/>
                <w:sz w:val="15"/>
              </w:rPr>
              <w:t> </w:t>
            </w:r>
            <w:r>
              <w:rPr>
                <w:w w:val="105"/>
                <w:sz w:val="15"/>
              </w:rPr>
              <w:t>a</w:t>
            </w:r>
            <w:r>
              <w:rPr>
                <w:spacing w:val="-2"/>
                <w:w w:val="105"/>
                <w:sz w:val="15"/>
              </w:rPr>
              <w:t> </w:t>
            </w:r>
            <w:r>
              <w:rPr>
                <w:w w:val="105"/>
                <w:sz w:val="15"/>
              </w:rPr>
              <w:t>cobrar</w:t>
            </w:r>
            <w:r>
              <w:rPr>
                <w:spacing w:val="-5"/>
                <w:w w:val="105"/>
                <w:sz w:val="15"/>
              </w:rPr>
              <w:t> </w:t>
            </w:r>
            <w:r>
              <w:rPr>
                <w:w w:val="105"/>
                <w:sz w:val="15"/>
              </w:rPr>
              <w:t>a</w:t>
            </w:r>
            <w:r>
              <w:rPr>
                <w:spacing w:val="-2"/>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4"/>
              <w:jc w:val="right"/>
              <w:rPr>
                <w:sz w:val="15"/>
              </w:rPr>
            </w:pPr>
            <w:r>
              <w:rPr>
                <w:w w:val="105"/>
                <w:sz w:val="15"/>
              </w:rPr>
              <w:t>605</w:t>
            </w:r>
            <w:r>
              <w:rPr>
                <w:spacing w:val="-7"/>
                <w:w w:val="105"/>
                <w:sz w:val="15"/>
              </w:rPr>
              <w:t> </w:t>
            </w:r>
            <w:r>
              <w:rPr>
                <w:spacing w:val="-2"/>
                <w:w w:val="105"/>
                <w:sz w:val="15"/>
              </w:rPr>
              <w:t>358,66</w:t>
            </w:r>
          </w:p>
        </w:tc>
        <w:tc>
          <w:tcPr>
            <w:tcW w:w="1286" w:type="dxa"/>
          </w:tcPr>
          <w:p>
            <w:pPr>
              <w:pStyle w:val="TableParagraph"/>
              <w:spacing w:line="169" w:lineRule="exact" w:before="35"/>
              <w:ind w:right="13"/>
              <w:jc w:val="right"/>
              <w:rPr>
                <w:sz w:val="15"/>
              </w:rPr>
            </w:pPr>
            <w:r>
              <w:rPr>
                <w:w w:val="105"/>
                <w:sz w:val="15"/>
              </w:rPr>
              <w:t>712</w:t>
            </w:r>
            <w:r>
              <w:rPr>
                <w:spacing w:val="-7"/>
                <w:w w:val="105"/>
                <w:sz w:val="15"/>
              </w:rPr>
              <w:t> </w:t>
            </w:r>
            <w:r>
              <w:rPr>
                <w:spacing w:val="-2"/>
                <w:w w:val="105"/>
                <w:sz w:val="15"/>
              </w:rPr>
              <w:t>098,80</w:t>
            </w:r>
          </w:p>
        </w:tc>
        <w:tc>
          <w:tcPr>
            <w:tcW w:w="960" w:type="dxa"/>
          </w:tcPr>
          <w:p>
            <w:pPr>
              <w:pStyle w:val="TableParagraph"/>
              <w:spacing w:line="169" w:lineRule="exact" w:before="35"/>
              <w:ind w:left="11"/>
              <w:jc w:val="center"/>
              <w:rPr>
                <w:sz w:val="15"/>
              </w:rPr>
            </w:pPr>
            <w:r>
              <w:rPr>
                <w:spacing w:val="-2"/>
                <w:w w:val="105"/>
                <w:sz w:val="15"/>
              </w:rPr>
              <w:t>-14,99%</w:t>
            </w:r>
          </w:p>
        </w:tc>
      </w:tr>
      <w:tr>
        <w:trPr>
          <w:trHeight w:val="329" w:hRule="atLeast"/>
        </w:trPr>
        <w:tc>
          <w:tcPr>
            <w:tcW w:w="650" w:type="dxa"/>
          </w:tcPr>
          <w:p>
            <w:pPr>
              <w:pStyle w:val="TableParagraph"/>
              <w:spacing w:before="88"/>
              <w:ind w:left="21"/>
              <w:rPr>
                <w:sz w:val="15"/>
              </w:rPr>
            </w:pPr>
            <w:r>
              <w:rPr>
                <w:spacing w:val="-2"/>
                <w:w w:val="105"/>
                <w:sz w:val="15"/>
              </w:rPr>
              <w:t>1.1.3.02.</w:t>
            </w:r>
          </w:p>
        </w:tc>
        <w:tc>
          <w:tcPr>
            <w:tcW w:w="3166" w:type="dxa"/>
          </w:tcPr>
          <w:p>
            <w:pPr>
              <w:pStyle w:val="TableParagraph"/>
              <w:spacing w:before="88"/>
              <w:ind w:left="21"/>
              <w:rPr>
                <w:sz w:val="15"/>
              </w:rPr>
            </w:pPr>
            <w:r>
              <w:rPr>
                <w:w w:val="105"/>
                <w:sz w:val="15"/>
              </w:rPr>
              <w:t>Contribuciones</w:t>
            </w:r>
            <w:r>
              <w:rPr>
                <w:spacing w:val="-1"/>
                <w:w w:val="105"/>
                <w:sz w:val="15"/>
              </w:rPr>
              <w:t> </w:t>
            </w:r>
            <w:r>
              <w:rPr>
                <w:w w:val="105"/>
                <w:sz w:val="15"/>
              </w:rPr>
              <w:t>sociales</w:t>
            </w:r>
            <w:r>
              <w:rPr>
                <w:spacing w:val="-1"/>
                <w:w w:val="105"/>
                <w:sz w:val="15"/>
              </w:rPr>
              <w:t> </w:t>
            </w:r>
            <w:r>
              <w:rPr>
                <w:w w:val="105"/>
                <w:sz w:val="15"/>
              </w:rPr>
              <w:t>a</w:t>
            </w:r>
            <w:r>
              <w:rPr>
                <w:spacing w:val="-3"/>
                <w:w w:val="105"/>
                <w:sz w:val="15"/>
              </w:rPr>
              <w:t> </w:t>
            </w:r>
            <w:r>
              <w:rPr>
                <w:w w:val="105"/>
                <w:sz w:val="15"/>
              </w:rPr>
              <w:t>cobrar</w:t>
            </w:r>
            <w:r>
              <w:rPr>
                <w:spacing w:val="-5"/>
                <w:w w:val="105"/>
                <w:sz w:val="15"/>
              </w:rPr>
              <w:t> </w:t>
            </w:r>
            <w:r>
              <w:rPr>
                <w:w w:val="105"/>
                <w:sz w:val="15"/>
              </w:rPr>
              <w:t>a</w:t>
            </w:r>
            <w:r>
              <w:rPr>
                <w:spacing w:val="-3"/>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8"/>
              </w:rPr>
            </w:pPr>
          </w:p>
        </w:tc>
        <w:tc>
          <w:tcPr>
            <w:tcW w:w="1286" w:type="dxa"/>
          </w:tcPr>
          <w:p>
            <w:pPr>
              <w:pStyle w:val="TableParagraph"/>
              <w:spacing w:before="88"/>
              <w:ind w:right="13"/>
              <w:jc w:val="right"/>
              <w:rPr>
                <w:sz w:val="15"/>
              </w:rPr>
            </w:pPr>
            <w:r>
              <w:rPr>
                <w:w w:val="105"/>
                <w:sz w:val="15"/>
              </w:rPr>
              <w:t>6</w:t>
            </w:r>
            <w:r>
              <w:rPr>
                <w:spacing w:val="-5"/>
                <w:w w:val="105"/>
                <w:sz w:val="15"/>
              </w:rPr>
              <w:t> </w:t>
            </w:r>
            <w:r>
              <w:rPr>
                <w:w w:val="105"/>
                <w:sz w:val="15"/>
              </w:rPr>
              <w:t>410</w:t>
            </w:r>
            <w:r>
              <w:rPr>
                <w:spacing w:val="-5"/>
                <w:w w:val="105"/>
                <w:sz w:val="15"/>
              </w:rPr>
              <w:t> </w:t>
            </w:r>
            <w:r>
              <w:rPr>
                <w:spacing w:val="-2"/>
                <w:w w:val="105"/>
                <w:sz w:val="15"/>
              </w:rPr>
              <w:t>954,73</w:t>
            </w:r>
          </w:p>
        </w:tc>
        <w:tc>
          <w:tcPr>
            <w:tcW w:w="1286" w:type="dxa"/>
          </w:tcPr>
          <w:p>
            <w:pPr>
              <w:pStyle w:val="TableParagraph"/>
              <w:spacing w:before="88"/>
              <w:ind w:right="13"/>
              <w:jc w:val="right"/>
              <w:rPr>
                <w:sz w:val="15"/>
              </w:rPr>
            </w:pPr>
            <w:r>
              <w:rPr>
                <w:w w:val="105"/>
                <w:sz w:val="15"/>
              </w:rPr>
              <w:t>6</w:t>
            </w:r>
            <w:r>
              <w:rPr>
                <w:spacing w:val="-5"/>
                <w:w w:val="105"/>
                <w:sz w:val="15"/>
              </w:rPr>
              <w:t> </w:t>
            </w:r>
            <w:r>
              <w:rPr>
                <w:w w:val="105"/>
                <w:sz w:val="15"/>
              </w:rPr>
              <w:t>137</w:t>
            </w:r>
            <w:r>
              <w:rPr>
                <w:spacing w:val="-5"/>
                <w:w w:val="105"/>
                <w:sz w:val="15"/>
              </w:rPr>
              <w:t> </w:t>
            </w:r>
            <w:r>
              <w:rPr>
                <w:spacing w:val="-2"/>
                <w:w w:val="105"/>
                <w:sz w:val="15"/>
              </w:rPr>
              <w:t>286,20</w:t>
            </w:r>
          </w:p>
        </w:tc>
        <w:tc>
          <w:tcPr>
            <w:tcW w:w="960" w:type="dxa"/>
          </w:tcPr>
          <w:p>
            <w:pPr>
              <w:pStyle w:val="TableParagraph"/>
              <w:spacing w:before="88"/>
              <w:ind w:left="11"/>
              <w:jc w:val="center"/>
              <w:rPr>
                <w:sz w:val="15"/>
              </w:rPr>
            </w:pPr>
            <w:r>
              <w:rPr>
                <w:spacing w:val="-2"/>
                <w:w w:val="105"/>
                <w:sz w:val="15"/>
              </w:rPr>
              <w:t>4,46%</w:t>
            </w:r>
          </w:p>
        </w:tc>
      </w:tr>
      <w:tr>
        <w:trPr>
          <w:trHeight w:val="224" w:hRule="atLeast"/>
        </w:trPr>
        <w:tc>
          <w:tcPr>
            <w:tcW w:w="650" w:type="dxa"/>
          </w:tcPr>
          <w:p>
            <w:pPr>
              <w:pStyle w:val="TableParagraph"/>
              <w:spacing w:line="169" w:lineRule="exact" w:before="35"/>
              <w:ind w:left="21"/>
              <w:rPr>
                <w:sz w:val="15"/>
              </w:rPr>
            </w:pPr>
            <w:r>
              <w:rPr>
                <w:spacing w:val="-2"/>
                <w:w w:val="105"/>
                <w:sz w:val="15"/>
              </w:rPr>
              <w:t>1.1.3.03.</w:t>
            </w:r>
          </w:p>
        </w:tc>
        <w:tc>
          <w:tcPr>
            <w:tcW w:w="3166" w:type="dxa"/>
          </w:tcPr>
          <w:p>
            <w:pPr>
              <w:pStyle w:val="TableParagraph"/>
              <w:spacing w:line="169" w:lineRule="exact" w:before="35"/>
              <w:ind w:left="21"/>
              <w:rPr>
                <w:sz w:val="15"/>
              </w:rPr>
            </w:pPr>
            <w:r>
              <w:rPr>
                <w:w w:val="105"/>
                <w:sz w:val="15"/>
              </w:rPr>
              <w:t>Ventas</w:t>
            </w:r>
            <w:r>
              <w:rPr>
                <w:spacing w:val="-2"/>
                <w:w w:val="105"/>
                <w:sz w:val="15"/>
              </w:rPr>
              <w:t> </w:t>
            </w:r>
            <w:r>
              <w:rPr>
                <w:w w:val="105"/>
                <w:sz w:val="15"/>
              </w:rPr>
              <w:t>a</w:t>
            </w:r>
            <w:r>
              <w:rPr>
                <w:spacing w:val="-2"/>
                <w:w w:val="105"/>
                <w:sz w:val="15"/>
              </w:rPr>
              <w:t> </w:t>
            </w:r>
            <w:r>
              <w:rPr>
                <w:w w:val="105"/>
                <w:sz w:val="15"/>
              </w:rPr>
              <w:t>cobrar</w:t>
            </w:r>
            <w:r>
              <w:rPr>
                <w:spacing w:val="-5"/>
                <w:w w:val="105"/>
                <w:sz w:val="15"/>
              </w:rPr>
              <w:t> </w:t>
            </w:r>
            <w:r>
              <w:rPr>
                <w:w w:val="105"/>
                <w:sz w:val="15"/>
              </w:rPr>
              <w:t>a</w:t>
            </w:r>
            <w:r>
              <w:rPr>
                <w:spacing w:val="-2"/>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spacing w:val="-4"/>
                <w:w w:val="105"/>
                <w:sz w:val="15"/>
              </w:rPr>
              <w:t>0,00</w:t>
            </w:r>
          </w:p>
        </w:tc>
        <w:tc>
          <w:tcPr>
            <w:tcW w:w="1286" w:type="dxa"/>
          </w:tcPr>
          <w:p>
            <w:pPr>
              <w:pStyle w:val="TableParagraph"/>
              <w:spacing w:line="169" w:lineRule="exact" w:before="35"/>
              <w:ind w:right="12"/>
              <w:jc w:val="right"/>
              <w:rPr>
                <w:sz w:val="15"/>
              </w:rPr>
            </w:pPr>
            <w:r>
              <w:rPr>
                <w:spacing w:val="-4"/>
                <w:w w:val="105"/>
                <w:sz w:val="15"/>
              </w:rPr>
              <w:t>0,00</w:t>
            </w:r>
          </w:p>
        </w:tc>
        <w:tc>
          <w:tcPr>
            <w:tcW w:w="960" w:type="dxa"/>
          </w:tcPr>
          <w:p>
            <w:pPr>
              <w:pStyle w:val="TableParagraph"/>
              <w:spacing w:line="169"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70" w:lineRule="exact" w:before="35"/>
              <w:ind w:left="21"/>
              <w:rPr>
                <w:sz w:val="15"/>
              </w:rPr>
            </w:pPr>
            <w:r>
              <w:rPr>
                <w:spacing w:val="-2"/>
                <w:w w:val="105"/>
                <w:sz w:val="15"/>
              </w:rPr>
              <w:t>1.1.3.04.</w:t>
            </w:r>
          </w:p>
        </w:tc>
        <w:tc>
          <w:tcPr>
            <w:tcW w:w="3166" w:type="dxa"/>
          </w:tcPr>
          <w:p>
            <w:pPr>
              <w:pStyle w:val="TableParagraph"/>
              <w:spacing w:line="170" w:lineRule="exact" w:before="35"/>
              <w:ind w:left="21"/>
              <w:rPr>
                <w:sz w:val="15"/>
              </w:rPr>
            </w:pPr>
            <w:r>
              <w:rPr>
                <w:w w:val="105"/>
                <w:sz w:val="15"/>
              </w:rPr>
              <w:t>Servicios</w:t>
            </w:r>
            <w:r>
              <w:rPr>
                <w:spacing w:val="-3"/>
                <w:w w:val="105"/>
                <w:sz w:val="15"/>
              </w:rPr>
              <w:t> </w:t>
            </w:r>
            <w:r>
              <w:rPr>
                <w:w w:val="105"/>
                <w:sz w:val="15"/>
              </w:rPr>
              <w:t>y</w:t>
            </w:r>
            <w:r>
              <w:rPr>
                <w:spacing w:val="-2"/>
                <w:w w:val="105"/>
                <w:sz w:val="15"/>
              </w:rPr>
              <w:t> </w:t>
            </w:r>
            <w:r>
              <w:rPr>
                <w:w w:val="105"/>
                <w:sz w:val="15"/>
              </w:rPr>
              <w:t>derechos</w:t>
            </w:r>
            <w:r>
              <w:rPr>
                <w:spacing w:val="-2"/>
                <w:w w:val="105"/>
                <w:sz w:val="15"/>
              </w:rPr>
              <w:t> </w:t>
            </w:r>
            <w:r>
              <w:rPr>
                <w:w w:val="105"/>
                <w:sz w:val="15"/>
              </w:rPr>
              <w:t>a</w:t>
            </w:r>
            <w:r>
              <w:rPr>
                <w:spacing w:val="-3"/>
                <w:w w:val="105"/>
                <w:sz w:val="15"/>
              </w:rPr>
              <w:t> </w:t>
            </w:r>
            <w:r>
              <w:rPr>
                <w:w w:val="105"/>
                <w:sz w:val="15"/>
              </w:rPr>
              <w:t>cobrar</w:t>
            </w:r>
            <w:r>
              <w:rPr>
                <w:spacing w:val="-5"/>
                <w:w w:val="105"/>
                <w:sz w:val="15"/>
              </w:rPr>
              <w:t> </w:t>
            </w:r>
            <w:r>
              <w:rPr>
                <w:w w:val="105"/>
                <w:sz w:val="15"/>
              </w:rPr>
              <w:t>a</w:t>
            </w:r>
            <w:r>
              <w:rPr>
                <w:spacing w:val="-3"/>
                <w:w w:val="105"/>
                <w:sz w:val="15"/>
              </w:rPr>
              <w:t> </w:t>
            </w:r>
            <w:r>
              <w:rPr>
                <w:w w:val="105"/>
                <w:sz w:val="15"/>
              </w:rPr>
              <w:t>corto</w:t>
            </w:r>
            <w:r>
              <w:rPr>
                <w:spacing w:val="-3"/>
                <w:w w:val="105"/>
                <w:sz w:val="15"/>
              </w:rPr>
              <w:t> </w:t>
            </w:r>
            <w:r>
              <w:rPr>
                <w:spacing w:val="-2"/>
                <w:w w:val="105"/>
                <w:sz w:val="15"/>
              </w:rPr>
              <w:t>plazo</w:t>
            </w:r>
          </w:p>
        </w:tc>
        <w:tc>
          <w:tcPr>
            <w:tcW w:w="416" w:type="dxa"/>
          </w:tcPr>
          <w:p>
            <w:pPr>
              <w:pStyle w:val="TableParagraph"/>
              <w:rPr>
                <w:rFonts w:ascii="Times New Roman"/>
                <w:sz w:val="16"/>
              </w:rPr>
            </w:pPr>
          </w:p>
        </w:tc>
        <w:tc>
          <w:tcPr>
            <w:tcW w:w="1286" w:type="dxa"/>
          </w:tcPr>
          <w:p>
            <w:pPr>
              <w:pStyle w:val="TableParagraph"/>
              <w:spacing w:line="170" w:lineRule="exact" w:before="35"/>
              <w:ind w:right="12"/>
              <w:jc w:val="right"/>
              <w:rPr>
                <w:sz w:val="15"/>
              </w:rPr>
            </w:pPr>
            <w:r>
              <w:rPr>
                <w:w w:val="105"/>
                <w:sz w:val="15"/>
              </w:rPr>
              <w:t>47</w:t>
            </w:r>
            <w:r>
              <w:rPr>
                <w:spacing w:val="-5"/>
                <w:w w:val="105"/>
                <w:sz w:val="15"/>
              </w:rPr>
              <w:t> </w:t>
            </w:r>
            <w:r>
              <w:rPr>
                <w:spacing w:val="-2"/>
                <w:w w:val="105"/>
                <w:sz w:val="15"/>
              </w:rPr>
              <w:t>626,86</w:t>
            </w:r>
          </w:p>
        </w:tc>
        <w:tc>
          <w:tcPr>
            <w:tcW w:w="1286" w:type="dxa"/>
          </w:tcPr>
          <w:p>
            <w:pPr>
              <w:pStyle w:val="TableParagraph"/>
              <w:spacing w:line="170" w:lineRule="exact" w:before="35"/>
              <w:ind w:right="12"/>
              <w:jc w:val="right"/>
              <w:rPr>
                <w:sz w:val="15"/>
              </w:rPr>
            </w:pPr>
            <w:r>
              <w:rPr>
                <w:w w:val="105"/>
                <w:sz w:val="15"/>
              </w:rPr>
              <w:t>42</w:t>
            </w:r>
            <w:r>
              <w:rPr>
                <w:spacing w:val="-5"/>
                <w:w w:val="105"/>
                <w:sz w:val="15"/>
              </w:rPr>
              <w:t> </w:t>
            </w:r>
            <w:r>
              <w:rPr>
                <w:spacing w:val="-2"/>
                <w:w w:val="105"/>
                <w:sz w:val="15"/>
              </w:rPr>
              <w:t>038,19</w:t>
            </w:r>
          </w:p>
        </w:tc>
        <w:tc>
          <w:tcPr>
            <w:tcW w:w="960" w:type="dxa"/>
          </w:tcPr>
          <w:p>
            <w:pPr>
              <w:pStyle w:val="TableParagraph"/>
              <w:spacing w:line="170" w:lineRule="exact" w:before="35"/>
              <w:ind w:left="11"/>
              <w:jc w:val="center"/>
              <w:rPr>
                <w:sz w:val="15"/>
              </w:rPr>
            </w:pPr>
            <w:r>
              <w:rPr>
                <w:spacing w:val="-2"/>
                <w:w w:val="105"/>
                <w:sz w:val="15"/>
              </w:rPr>
              <w:t>13,29%</w:t>
            </w:r>
          </w:p>
        </w:tc>
      </w:tr>
      <w:tr>
        <w:trPr>
          <w:trHeight w:val="224" w:hRule="atLeast"/>
        </w:trPr>
        <w:tc>
          <w:tcPr>
            <w:tcW w:w="650" w:type="dxa"/>
          </w:tcPr>
          <w:p>
            <w:pPr>
              <w:pStyle w:val="TableParagraph"/>
              <w:spacing w:line="169" w:lineRule="exact" w:before="35"/>
              <w:ind w:left="21"/>
              <w:rPr>
                <w:sz w:val="15"/>
              </w:rPr>
            </w:pPr>
            <w:r>
              <w:rPr>
                <w:spacing w:val="-2"/>
                <w:w w:val="105"/>
                <w:sz w:val="15"/>
              </w:rPr>
              <w:t>1.1.3.05.</w:t>
            </w:r>
          </w:p>
        </w:tc>
        <w:tc>
          <w:tcPr>
            <w:tcW w:w="3166" w:type="dxa"/>
          </w:tcPr>
          <w:p>
            <w:pPr>
              <w:pStyle w:val="TableParagraph"/>
              <w:spacing w:line="169" w:lineRule="exact" w:before="35"/>
              <w:ind w:left="21"/>
              <w:rPr>
                <w:sz w:val="15"/>
              </w:rPr>
            </w:pPr>
            <w:r>
              <w:rPr>
                <w:w w:val="105"/>
                <w:sz w:val="15"/>
              </w:rPr>
              <w:t>Ingresos</w:t>
            </w:r>
            <w:r>
              <w:rPr>
                <w:spacing w:val="-3"/>
                <w:w w:val="105"/>
                <w:sz w:val="15"/>
              </w:rPr>
              <w:t> </w:t>
            </w:r>
            <w:r>
              <w:rPr>
                <w:w w:val="105"/>
                <w:sz w:val="15"/>
              </w:rPr>
              <w:t>de</w:t>
            </w:r>
            <w:r>
              <w:rPr>
                <w:spacing w:val="-3"/>
                <w:w w:val="105"/>
                <w:sz w:val="15"/>
              </w:rPr>
              <w:t> </w:t>
            </w:r>
            <w:r>
              <w:rPr>
                <w:w w:val="105"/>
                <w:sz w:val="15"/>
              </w:rPr>
              <w:t>la</w:t>
            </w:r>
            <w:r>
              <w:rPr>
                <w:spacing w:val="-4"/>
                <w:w w:val="105"/>
                <w:sz w:val="15"/>
              </w:rPr>
              <w:t> </w:t>
            </w:r>
            <w:r>
              <w:rPr>
                <w:w w:val="105"/>
                <w:sz w:val="15"/>
              </w:rPr>
              <w:t>propiedad</w:t>
            </w:r>
            <w:r>
              <w:rPr>
                <w:spacing w:val="-6"/>
                <w:w w:val="105"/>
                <w:sz w:val="15"/>
              </w:rPr>
              <w:t> </w:t>
            </w:r>
            <w:r>
              <w:rPr>
                <w:w w:val="105"/>
                <w:sz w:val="15"/>
              </w:rPr>
              <w:t>a</w:t>
            </w:r>
            <w:r>
              <w:rPr>
                <w:spacing w:val="-3"/>
                <w:w w:val="105"/>
                <w:sz w:val="15"/>
              </w:rPr>
              <w:t> </w:t>
            </w:r>
            <w:r>
              <w:rPr>
                <w:w w:val="105"/>
                <w:sz w:val="15"/>
              </w:rPr>
              <w:t>cobrar</w:t>
            </w:r>
            <w:r>
              <w:rPr>
                <w:spacing w:val="-6"/>
                <w:w w:val="105"/>
                <w:sz w:val="15"/>
              </w:rPr>
              <w:t> </w:t>
            </w:r>
            <w:r>
              <w:rPr>
                <w:w w:val="105"/>
                <w:sz w:val="15"/>
              </w:rPr>
              <w:t>a</w:t>
            </w:r>
            <w:r>
              <w:rPr>
                <w:spacing w:val="-4"/>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spacing w:val="-4"/>
                <w:w w:val="105"/>
                <w:sz w:val="15"/>
              </w:rPr>
              <w:t>0,00</w:t>
            </w:r>
          </w:p>
        </w:tc>
        <w:tc>
          <w:tcPr>
            <w:tcW w:w="1286" w:type="dxa"/>
          </w:tcPr>
          <w:p>
            <w:pPr>
              <w:pStyle w:val="TableParagraph"/>
              <w:spacing w:line="169" w:lineRule="exact" w:before="35"/>
              <w:ind w:right="12"/>
              <w:jc w:val="right"/>
              <w:rPr>
                <w:sz w:val="15"/>
              </w:rPr>
            </w:pPr>
            <w:r>
              <w:rPr>
                <w:spacing w:val="-4"/>
                <w:w w:val="105"/>
                <w:sz w:val="15"/>
              </w:rPr>
              <w:t>0,00</w:t>
            </w:r>
          </w:p>
        </w:tc>
        <w:tc>
          <w:tcPr>
            <w:tcW w:w="960" w:type="dxa"/>
          </w:tcPr>
          <w:p>
            <w:pPr>
              <w:pStyle w:val="TableParagraph"/>
              <w:spacing w:line="169"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1.1.3.06.</w:t>
            </w:r>
          </w:p>
        </w:tc>
        <w:tc>
          <w:tcPr>
            <w:tcW w:w="3166" w:type="dxa"/>
          </w:tcPr>
          <w:p>
            <w:pPr>
              <w:pStyle w:val="TableParagraph"/>
              <w:spacing w:line="169" w:lineRule="exact" w:before="35"/>
              <w:ind w:left="21"/>
              <w:rPr>
                <w:sz w:val="15"/>
              </w:rPr>
            </w:pPr>
            <w:r>
              <w:rPr>
                <w:w w:val="105"/>
                <w:sz w:val="15"/>
              </w:rPr>
              <w:t>Transferencias</w:t>
            </w:r>
            <w:r>
              <w:rPr>
                <w:spacing w:val="-3"/>
                <w:w w:val="105"/>
                <w:sz w:val="15"/>
              </w:rPr>
              <w:t> </w:t>
            </w:r>
            <w:r>
              <w:rPr>
                <w:w w:val="105"/>
                <w:sz w:val="15"/>
              </w:rPr>
              <w:t>a</w:t>
            </w:r>
            <w:r>
              <w:rPr>
                <w:spacing w:val="-4"/>
                <w:w w:val="105"/>
                <w:sz w:val="15"/>
              </w:rPr>
              <w:t> </w:t>
            </w:r>
            <w:r>
              <w:rPr>
                <w:w w:val="105"/>
                <w:sz w:val="15"/>
              </w:rPr>
              <w:t>cobrar</w:t>
            </w:r>
            <w:r>
              <w:rPr>
                <w:spacing w:val="-6"/>
                <w:w w:val="105"/>
                <w:sz w:val="15"/>
              </w:rPr>
              <w:t> </w:t>
            </w:r>
            <w:r>
              <w:rPr>
                <w:w w:val="105"/>
                <w:sz w:val="15"/>
              </w:rPr>
              <w:t>a</w:t>
            </w:r>
            <w:r>
              <w:rPr>
                <w:spacing w:val="-4"/>
                <w:w w:val="105"/>
                <w:sz w:val="15"/>
              </w:rPr>
              <w:t> </w:t>
            </w:r>
            <w:r>
              <w:rPr>
                <w:w w:val="105"/>
                <w:sz w:val="15"/>
              </w:rPr>
              <w:t>corto</w:t>
            </w:r>
            <w:r>
              <w:rPr>
                <w:spacing w:val="-4"/>
                <w:w w:val="105"/>
                <w:sz w:val="15"/>
              </w:rPr>
              <w:t> plazo</w:t>
            </w:r>
          </w:p>
        </w:tc>
        <w:tc>
          <w:tcPr>
            <w:tcW w:w="416" w:type="dxa"/>
          </w:tcPr>
          <w:p>
            <w:pPr>
              <w:pStyle w:val="TableParagraph"/>
              <w:rPr>
                <w:rFonts w:ascii="Times New Roman"/>
                <w:sz w:val="16"/>
              </w:rPr>
            </w:pPr>
          </w:p>
        </w:tc>
        <w:tc>
          <w:tcPr>
            <w:tcW w:w="1286" w:type="dxa"/>
          </w:tcPr>
          <w:p>
            <w:pPr>
              <w:pStyle w:val="TableParagraph"/>
              <w:spacing w:line="169" w:lineRule="exact" w:before="35"/>
              <w:ind w:right="13"/>
              <w:jc w:val="right"/>
              <w:rPr>
                <w:sz w:val="15"/>
              </w:rPr>
            </w:pPr>
            <w:r>
              <w:rPr>
                <w:w w:val="105"/>
                <w:sz w:val="15"/>
              </w:rPr>
              <w:t>4</w:t>
            </w:r>
            <w:r>
              <w:rPr>
                <w:spacing w:val="-5"/>
                <w:w w:val="105"/>
                <w:sz w:val="15"/>
              </w:rPr>
              <w:t> </w:t>
            </w:r>
            <w:r>
              <w:rPr>
                <w:w w:val="105"/>
                <w:sz w:val="15"/>
              </w:rPr>
              <w:t>727</w:t>
            </w:r>
            <w:r>
              <w:rPr>
                <w:spacing w:val="-5"/>
                <w:w w:val="105"/>
                <w:sz w:val="15"/>
              </w:rPr>
              <w:t> </w:t>
            </w:r>
            <w:r>
              <w:rPr>
                <w:spacing w:val="-2"/>
                <w:w w:val="105"/>
                <w:sz w:val="15"/>
              </w:rPr>
              <w:t>089,08</w:t>
            </w:r>
          </w:p>
        </w:tc>
        <w:tc>
          <w:tcPr>
            <w:tcW w:w="1286" w:type="dxa"/>
          </w:tcPr>
          <w:p>
            <w:pPr>
              <w:pStyle w:val="TableParagraph"/>
              <w:spacing w:line="169" w:lineRule="exact" w:before="35"/>
              <w:ind w:right="13"/>
              <w:jc w:val="right"/>
              <w:rPr>
                <w:sz w:val="15"/>
              </w:rPr>
            </w:pPr>
            <w:r>
              <w:rPr>
                <w:w w:val="105"/>
                <w:sz w:val="15"/>
              </w:rPr>
              <w:t>4</w:t>
            </w:r>
            <w:r>
              <w:rPr>
                <w:spacing w:val="-5"/>
                <w:w w:val="105"/>
                <w:sz w:val="15"/>
              </w:rPr>
              <w:t> </w:t>
            </w:r>
            <w:r>
              <w:rPr>
                <w:w w:val="105"/>
                <w:sz w:val="15"/>
              </w:rPr>
              <w:t>552</w:t>
            </w:r>
            <w:r>
              <w:rPr>
                <w:spacing w:val="-5"/>
                <w:w w:val="105"/>
                <w:sz w:val="15"/>
              </w:rPr>
              <w:t> </w:t>
            </w:r>
            <w:r>
              <w:rPr>
                <w:spacing w:val="-2"/>
                <w:w w:val="105"/>
                <w:sz w:val="15"/>
              </w:rPr>
              <w:t>686,90</w:t>
            </w:r>
          </w:p>
        </w:tc>
        <w:tc>
          <w:tcPr>
            <w:tcW w:w="960" w:type="dxa"/>
          </w:tcPr>
          <w:p>
            <w:pPr>
              <w:pStyle w:val="TableParagraph"/>
              <w:spacing w:line="169" w:lineRule="exact" w:before="35"/>
              <w:ind w:left="11"/>
              <w:jc w:val="center"/>
              <w:rPr>
                <w:sz w:val="15"/>
              </w:rPr>
            </w:pPr>
            <w:r>
              <w:rPr>
                <w:spacing w:val="-2"/>
                <w:w w:val="105"/>
                <w:sz w:val="15"/>
              </w:rPr>
              <w:t>3,83%</w:t>
            </w:r>
          </w:p>
        </w:tc>
      </w:tr>
      <w:tr>
        <w:trPr>
          <w:trHeight w:val="224" w:hRule="atLeast"/>
        </w:trPr>
        <w:tc>
          <w:tcPr>
            <w:tcW w:w="650" w:type="dxa"/>
          </w:tcPr>
          <w:p>
            <w:pPr>
              <w:pStyle w:val="TableParagraph"/>
              <w:spacing w:line="170" w:lineRule="exact" w:before="35"/>
              <w:ind w:left="21"/>
              <w:rPr>
                <w:sz w:val="15"/>
              </w:rPr>
            </w:pPr>
            <w:r>
              <w:rPr>
                <w:spacing w:val="-2"/>
                <w:w w:val="105"/>
                <w:sz w:val="15"/>
              </w:rPr>
              <w:t>1.1.3.07.</w:t>
            </w:r>
          </w:p>
        </w:tc>
        <w:tc>
          <w:tcPr>
            <w:tcW w:w="3166" w:type="dxa"/>
          </w:tcPr>
          <w:p>
            <w:pPr>
              <w:pStyle w:val="TableParagraph"/>
              <w:spacing w:line="170" w:lineRule="exact" w:before="35"/>
              <w:ind w:left="21"/>
              <w:rPr>
                <w:sz w:val="15"/>
              </w:rPr>
            </w:pPr>
            <w:r>
              <w:rPr>
                <w:w w:val="105"/>
                <w:sz w:val="15"/>
              </w:rPr>
              <w:t>Préstamos</w:t>
            </w:r>
            <w:r>
              <w:rPr>
                <w:spacing w:val="-2"/>
                <w:w w:val="105"/>
                <w:sz w:val="15"/>
              </w:rPr>
              <w:t> </w:t>
            </w:r>
            <w:r>
              <w:rPr>
                <w:w w:val="105"/>
                <w:sz w:val="15"/>
              </w:rPr>
              <w:t>a</w:t>
            </w:r>
            <w:r>
              <w:rPr>
                <w:spacing w:val="-3"/>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70" w:lineRule="exact" w:before="35"/>
              <w:ind w:right="12"/>
              <w:jc w:val="right"/>
              <w:rPr>
                <w:sz w:val="15"/>
              </w:rPr>
            </w:pPr>
            <w:r>
              <w:rPr>
                <w:spacing w:val="-4"/>
                <w:w w:val="105"/>
                <w:sz w:val="15"/>
              </w:rPr>
              <w:t>0,00</w:t>
            </w:r>
          </w:p>
        </w:tc>
        <w:tc>
          <w:tcPr>
            <w:tcW w:w="1286" w:type="dxa"/>
          </w:tcPr>
          <w:p>
            <w:pPr>
              <w:pStyle w:val="TableParagraph"/>
              <w:spacing w:line="170" w:lineRule="exact" w:before="35"/>
              <w:ind w:right="12"/>
              <w:jc w:val="right"/>
              <w:rPr>
                <w:sz w:val="15"/>
              </w:rPr>
            </w:pPr>
            <w:r>
              <w:rPr>
                <w:spacing w:val="-4"/>
                <w:w w:val="105"/>
                <w:sz w:val="15"/>
              </w:rPr>
              <w:t>0,00</w:t>
            </w:r>
          </w:p>
        </w:tc>
        <w:tc>
          <w:tcPr>
            <w:tcW w:w="960" w:type="dxa"/>
          </w:tcPr>
          <w:p>
            <w:pPr>
              <w:pStyle w:val="TableParagraph"/>
              <w:spacing w:line="170"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1.1.3.08.</w:t>
            </w:r>
          </w:p>
        </w:tc>
        <w:tc>
          <w:tcPr>
            <w:tcW w:w="3166" w:type="dxa"/>
          </w:tcPr>
          <w:p>
            <w:pPr>
              <w:pStyle w:val="TableParagraph"/>
              <w:spacing w:line="169" w:lineRule="exact" w:before="35"/>
              <w:ind w:left="21"/>
              <w:rPr>
                <w:sz w:val="15"/>
              </w:rPr>
            </w:pPr>
            <w:r>
              <w:rPr>
                <w:w w:val="105"/>
                <w:sz w:val="15"/>
              </w:rPr>
              <w:t>Documentos</w:t>
            </w:r>
            <w:r>
              <w:rPr>
                <w:spacing w:val="-3"/>
                <w:w w:val="105"/>
                <w:sz w:val="15"/>
              </w:rPr>
              <w:t> </w:t>
            </w:r>
            <w:r>
              <w:rPr>
                <w:w w:val="105"/>
                <w:sz w:val="15"/>
              </w:rPr>
              <w:t>a</w:t>
            </w:r>
            <w:r>
              <w:rPr>
                <w:spacing w:val="-3"/>
                <w:w w:val="105"/>
                <w:sz w:val="15"/>
              </w:rPr>
              <w:t> </w:t>
            </w:r>
            <w:r>
              <w:rPr>
                <w:w w:val="105"/>
                <w:sz w:val="15"/>
              </w:rPr>
              <w:t>cobrar</w:t>
            </w:r>
            <w:r>
              <w:rPr>
                <w:spacing w:val="-5"/>
                <w:w w:val="105"/>
                <w:sz w:val="15"/>
              </w:rPr>
              <w:t> </w:t>
            </w:r>
            <w:r>
              <w:rPr>
                <w:w w:val="105"/>
                <w:sz w:val="15"/>
              </w:rPr>
              <w:t>a</w:t>
            </w:r>
            <w:r>
              <w:rPr>
                <w:spacing w:val="-3"/>
                <w:w w:val="105"/>
                <w:sz w:val="15"/>
              </w:rPr>
              <w:t> </w:t>
            </w:r>
            <w:r>
              <w:rPr>
                <w:w w:val="105"/>
                <w:sz w:val="15"/>
              </w:rPr>
              <w:t>corto</w:t>
            </w:r>
            <w:r>
              <w:rPr>
                <w:spacing w:val="-3"/>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w w:val="105"/>
                <w:sz w:val="15"/>
              </w:rPr>
              <w:t>92</w:t>
            </w:r>
            <w:r>
              <w:rPr>
                <w:spacing w:val="-5"/>
                <w:w w:val="105"/>
                <w:sz w:val="15"/>
              </w:rPr>
              <w:t> </w:t>
            </w:r>
            <w:r>
              <w:rPr>
                <w:spacing w:val="-2"/>
                <w:w w:val="105"/>
                <w:sz w:val="15"/>
              </w:rPr>
              <w:t>735,80</w:t>
            </w:r>
          </w:p>
        </w:tc>
        <w:tc>
          <w:tcPr>
            <w:tcW w:w="1286" w:type="dxa"/>
          </w:tcPr>
          <w:p>
            <w:pPr>
              <w:pStyle w:val="TableParagraph"/>
              <w:spacing w:line="169" w:lineRule="exact" w:before="35"/>
              <w:ind w:right="12"/>
              <w:jc w:val="right"/>
              <w:rPr>
                <w:sz w:val="15"/>
              </w:rPr>
            </w:pPr>
            <w:r>
              <w:rPr>
                <w:w w:val="105"/>
                <w:sz w:val="15"/>
              </w:rPr>
              <w:t>97</w:t>
            </w:r>
            <w:r>
              <w:rPr>
                <w:spacing w:val="-5"/>
                <w:w w:val="105"/>
                <w:sz w:val="15"/>
              </w:rPr>
              <w:t> </w:t>
            </w:r>
            <w:r>
              <w:rPr>
                <w:spacing w:val="-2"/>
                <w:w w:val="105"/>
                <w:sz w:val="15"/>
              </w:rPr>
              <w:t>211,69</w:t>
            </w:r>
          </w:p>
        </w:tc>
        <w:tc>
          <w:tcPr>
            <w:tcW w:w="960" w:type="dxa"/>
          </w:tcPr>
          <w:p>
            <w:pPr>
              <w:pStyle w:val="TableParagraph"/>
              <w:spacing w:line="169" w:lineRule="exact" w:before="35"/>
              <w:ind w:left="11"/>
              <w:jc w:val="center"/>
              <w:rPr>
                <w:sz w:val="15"/>
              </w:rPr>
            </w:pPr>
            <w:r>
              <w:rPr>
                <w:spacing w:val="-2"/>
                <w:w w:val="105"/>
                <w:sz w:val="15"/>
              </w:rPr>
              <w:t>-4,60%</w:t>
            </w:r>
          </w:p>
        </w:tc>
      </w:tr>
      <w:tr>
        <w:trPr>
          <w:trHeight w:val="224" w:hRule="atLeast"/>
        </w:trPr>
        <w:tc>
          <w:tcPr>
            <w:tcW w:w="650" w:type="dxa"/>
          </w:tcPr>
          <w:p>
            <w:pPr>
              <w:pStyle w:val="TableParagraph"/>
              <w:spacing w:line="169" w:lineRule="exact" w:before="35"/>
              <w:ind w:left="21"/>
              <w:rPr>
                <w:sz w:val="15"/>
              </w:rPr>
            </w:pPr>
            <w:r>
              <w:rPr>
                <w:spacing w:val="-2"/>
                <w:w w:val="105"/>
                <w:sz w:val="15"/>
              </w:rPr>
              <w:t>1.1.3.09.</w:t>
            </w:r>
          </w:p>
        </w:tc>
        <w:tc>
          <w:tcPr>
            <w:tcW w:w="3166" w:type="dxa"/>
          </w:tcPr>
          <w:p>
            <w:pPr>
              <w:pStyle w:val="TableParagraph"/>
              <w:spacing w:line="169" w:lineRule="exact" w:before="35"/>
              <w:ind w:left="21"/>
              <w:rPr>
                <w:sz w:val="15"/>
              </w:rPr>
            </w:pPr>
            <w:r>
              <w:rPr>
                <w:w w:val="105"/>
                <w:sz w:val="15"/>
              </w:rPr>
              <w:t>Anticipos</w:t>
            </w:r>
            <w:r>
              <w:rPr>
                <w:spacing w:val="-1"/>
                <w:w w:val="105"/>
                <w:sz w:val="15"/>
              </w:rPr>
              <w:t> </w:t>
            </w:r>
            <w:r>
              <w:rPr>
                <w:w w:val="105"/>
                <w:sz w:val="15"/>
              </w:rPr>
              <w:t>a</w:t>
            </w:r>
            <w:r>
              <w:rPr>
                <w:spacing w:val="-2"/>
                <w:w w:val="105"/>
                <w:sz w:val="15"/>
              </w:rPr>
              <w:t> </w:t>
            </w:r>
            <w:r>
              <w:rPr>
                <w:w w:val="105"/>
                <w:sz w:val="15"/>
              </w:rPr>
              <w:t>corto</w:t>
            </w:r>
            <w:r>
              <w:rPr>
                <w:spacing w:val="-2"/>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w w:val="105"/>
                <w:sz w:val="15"/>
              </w:rPr>
              <w:t>2</w:t>
            </w:r>
            <w:r>
              <w:rPr>
                <w:spacing w:val="-3"/>
                <w:w w:val="105"/>
                <w:sz w:val="15"/>
              </w:rPr>
              <w:t> </w:t>
            </w:r>
            <w:r>
              <w:rPr>
                <w:spacing w:val="-2"/>
                <w:w w:val="105"/>
                <w:sz w:val="15"/>
              </w:rPr>
              <w:t>722,20</w:t>
            </w:r>
          </w:p>
        </w:tc>
        <w:tc>
          <w:tcPr>
            <w:tcW w:w="1286" w:type="dxa"/>
          </w:tcPr>
          <w:p>
            <w:pPr>
              <w:pStyle w:val="TableParagraph"/>
              <w:spacing w:line="169" w:lineRule="exact" w:before="35"/>
              <w:ind w:right="12"/>
              <w:jc w:val="right"/>
              <w:rPr>
                <w:sz w:val="15"/>
              </w:rPr>
            </w:pPr>
            <w:r>
              <w:rPr>
                <w:w w:val="105"/>
                <w:sz w:val="15"/>
              </w:rPr>
              <w:t>2</w:t>
            </w:r>
            <w:r>
              <w:rPr>
                <w:spacing w:val="-3"/>
                <w:w w:val="105"/>
                <w:sz w:val="15"/>
              </w:rPr>
              <w:t> </w:t>
            </w:r>
            <w:r>
              <w:rPr>
                <w:spacing w:val="-2"/>
                <w:w w:val="105"/>
                <w:sz w:val="15"/>
              </w:rPr>
              <w:t>973,84</w:t>
            </w:r>
          </w:p>
        </w:tc>
        <w:tc>
          <w:tcPr>
            <w:tcW w:w="960" w:type="dxa"/>
          </w:tcPr>
          <w:p>
            <w:pPr>
              <w:pStyle w:val="TableParagraph"/>
              <w:spacing w:line="169" w:lineRule="exact" w:before="35"/>
              <w:ind w:left="11"/>
              <w:jc w:val="center"/>
              <w:rPr>
                <w:sz w:val="15"/>
              </w:rPr>
            </w:pPr>
            <w:r>
              <w:rPr>
                <w:spacing w:val="-2"/>
                <w:w w:val="105"/>
                <w:sz w:val="15"/>
              </w:rPr>
              <w:t>-8,46%</w:t>
            </w:r>
          </w:p>
        </w:tc>
      </w:tr>
      <w:tr>
        <w:trPr>
          <w:trHeight w:val="224" w:hRule="atLeast"/>
        </w:trPr>
        <w:tc>
          <w:tcPr>
            <w:tcW w:w="650" w:type="dxa"/>
          </w:tcPr>
          <w:p>
            <w:pPr>
              <w:pStyle w:val="TableParagraph"/>
              <w:spacing w:line="170" w:lineRule="exact" w:before="35"/>
              <w:ind w:left="21"/>
              <w:rPr>
                <w:sz w:val="15"/>
              </w:rPr>
            </w:pPr>
            <w:r>
              <w:rPr>
                <w:spacing w:val="-2"/>
                <w:w w:val="105"/>
                <w:sz w:val="15"/>
              </w:rPr>
              <w:t>1.1.3.10.</w:t>
            </w:r>
          </w:p>
        </w:tc>
        <w:tc>
          <w:tcPr>
            <w:tcW w:w="3166" w:type="dxa"/>
          </w:tcPr>
          <w:p>
            <w:pPr>
              <w:pStyle w:val="TableParagraph"/>
              <w:spacing w:line="170" w:lineRule="exact" w:before="35"/>
              <w:ind w:left="21"/>
              <w:rPr>
                <w:sz w:val="15"/>
              </w:rPr>
            </w:pPr>
            <w:r>
              <w:rPr>
                <w:w w:val="105"/>
                <w:sz w:val="15"/>
              </w:rPr>
              <w:t>Deudores</w:t>
            </w:r>
            <w:r>
              <w:rPr>
                <w:spacing w:val="-2"/>
                <w:w w:val="105"/>
                <w:sz w:val="15"/>
              </w:rPr>
              <w:t> </w:t>
            </w:r>
            <w:r>
              <w:rPr>
                <w:w w:val="105"/>
                <w:sz w:val="15"/>
              </w:rPr>
              <w:t>por</w:t>
            </w:r>
            <w:r>
              <w:rPr>
                <w:spacing w:val="-6"/>
                <w:w w:val="105"/>
                <w:sz w:val="15"/>
              </w:rPr>
              <w:t> </w:t>
            </w:r>
            <w:r>
              <w:rPr>
                <w:w w:val="105"/>
                <w:sz w:val="15"/>
              </w:rPr>
              <w:t>avales</w:t>
            </w:r>
            <w:r>
              <w:rPr>
                <w:spacing w:val="-2"/>
                <w:w w:val="105"/>
                <w:sz w:val="15"/>
              </w:rPr>
              <w:t> </w:t>
            </w:r>
            <w:r>
              <w:rPr>
                <w:w w:val="105"/>
                <w:sz w:val="15"/>
              </w:rPr>
              <w:t>ejecutados</w:t>
            </w:r>
            <w:r>
              <w:rPr>
                <w:spacing w:val="-2"/>
                <w:w w:val="105"/>
                <w:sz w:val="15"/>
              </w:rPr>
              <w:t> </w:t>
            </w:r>
            <w:r>
              <w:rPr>
                <w:w w:val="105"/>
                <w:sz w:val="15"/>
              </w:rPr>
              <w:t>a</w:t>
            </w:r>
            <w:r>
              <w:rPr>
                <w:spacing w:val="-3"/>
                <w:w w:val="105"/>
                <w:sz w:val="15"/>
              </w:rPr>
              <w:t> </w:t>
            </w:r>
            <w:r>
              <w:rPr>
                <w:w w:val="105"/>
                <w:sz w:val="15"/>
              </w:rPr>
              <w:t>corto</w:t>
            </w:r>
            <w:r>
              <w:rPr>
                <w:spacing w:val="-4"/>
                <w:w w:val="105"/>
                <w:sz w:val="15"/>
              </w:rPr>
              <w:t> plazo</w:t>
            </w:r>
          </w:p>
        </w:tc>
        <w:tc>
          <w:tcPr>
            <w:tcW w:w="416" w:type="dxa"/>
          </w:tcPr>
          <w:p>
            <w:pPr>
              <w:pStyle w:val="TableParagraph"/>
              <w:rPr>
                <w:rFonts w:ascii="Times New Roman"/>
                <w:sz w:val="16"/>
              </w:rPr>
            </w:pPr>
          </w:p>
        </w:tc>
        <w:tc>
          <w:tcPr>
            <w:tcW w:w="1286" w:type="dxa"/>
          </w:tcPr>
          <w:p>
            <w:pPr>
              <w:pStyle w:val="TableParagraph"/>
              <w:spacing w:line="170" w:lineRule="exact" w:before="35"/>
              <w:ind w:right="12"/>
              <w:jc w:val="right"/>
              <w:rPr>
                <w:sz w:val="15"/>
              </w:rPr>
            </w:pPr>
            <w:r>
              <w:rPr>
                <w:spacing w:val="-4"/>
                <w:w w:val="105"/>
                <w:sz w:val="15"/>
              </w:rPr>
              <w:t>0,00</w:t>
            </w:r>
          </w:p>
        </w:tc>
        <w:tc>
          <w:tcPr>
            <w:tcW w:w="1286" w:type="dxa"/>
          </w:tcPr>
          <w:p>
            <w:pPr>
              <w:pStyle w:val="TableParagraph"/>
              <w:spacing w:line="170" w:lineRule="exact" w:before="35"/>
              <w:ind w:right="12"/>
              <w:jc w:val="right"/>
              <w:rPr>
                <w:sz w:val="15"/>
              </w:rPr>
            </w:pPr>
            <w:r>
              <w:rPr>
                <w:spacing w:val="-4"/>
                <w:w w:val="105"/>
                <w:sz w:val="15"/>
              </w:rPr>
              <w:t>0,00</w:t>
            </w:r>
          </w:p>
        </w:tc>
        <w:tc>
          <w:tcPr>
            <w:tcW w:w="960" w:type="dxa"/>
          </w:tcPr>
          <w:p>
            <w:pPr>
              <w:pStyle w:val="TableParagraph"/>
              <w:spacing w:line="170"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1.1.3.11.</w:t>
            </w:r>
          </w:p>
        </w:tc>
        <w:tc>
          <w:tcPr>
            <w:tcW w:w="3166" w:type="dxa"/>
          </w:tcPr>
          <w:p>
            <w:pPr>
              <w:pStyle w:val="TableParagraph"/>
              <w:spacing w:line="169" w:lineRule="exact" w:before="35"/>
              <w:ind w:left="21"/>
              <w:rPr>
                <w:sz w:val="15"/>
              </w:rPr>
            </w:pPr>
            <w:r>
              <w:rPr>
                <w:w w:val="105"/>
                <w:sz w:val="15"/>
              </w:rPr>
              <w:t>Planillas</w:t>
            </w:r>
            <w:r>
              <w:rPr>
                <w:spacing w:val="-3"/>
                <w:w w:val="105"/>
                <w:sz w:val="15"/>
              </w:rPr>
              <w:t> </w:t>
            </w:r>
            <w:r>
              <w:rPr>
                <w:spacing w:val="-2"/>
                <w:w w:val="105"/>
                <w:sz w:val="15"/>
              </w:rPr>
              <w:t>salariales</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spacing w:val="-4"/>
                <w:w w:val="105"/>
                <w:sz w:val="15"/>
              </w:rPr>
              <w:t>0,00</w:t>
            </w:r>
          </w:p>
        </w:tc>
        <w:tc>
          <w:tcPr>
            <w:tcW w:w="1286" w:type="dxa"/>
          </w:tcPr>
          <w:p>
            <w:pPr>
              <w:pStyle w:val="TableParagraph"/>
              <w:spacing w:line="169" w:lineRule="exact" w:before="35"/>
              <w:ind w:right="12"/>
              <w:jc w:val="right"/>
              <w:rPr>
                <w:sz w:val="15"/>
              </w:rPr>
            </w:pPr>
            <w:r>
              <w:rPr>
                <w:spacing w:val="-4"/>
                <w:w w:val="105"/>
                <w:sz w:val="15"/>
              </w:rPr>
              <w:t>0,00</w:t>
            </w:r>
          </w:p>
        </w:tc>
        <w:tc>
          <w:tcPr>
            <w:tcW w:w="960" w:type="dxa"/>
          </w:tcPr>
          <w:p>
            <w:pPr>
              <w:pStyle w:val="TableParagraph"/>
              <w:spacing w:line="169"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1.1.3.12.</w:t>
            </w:r>
          </w:p>
        </w:tc>
        <w:tc>
          <w:tcPr>
            <w:tcW w:w="3166" w:type="dxa"/>
          </w:tcPr>
          <w:p>
            <w:pPr>
              <w:pStyle w:val="TableParagraph"/>
              <w:spacing w:line="169" w:lineRule="exact" w:before="35"/>
              <w:ind w:left="21"/>
              <w:rPr>
                <w:sz w:val="15"/>
              </w:rPr>
            </w:pPr>
            <w:r>
              <w:rPr>
                <w:w w:val="105"/>
                <w:sz w:val="15"/>
              </w:rPr>
              <w:t>Beneficios</w:t>
            </w:r>
            <w:r>
              <w:rPr>
                <w:spacing w:val="-4"/>
                <w:w w:val="105"/>
                <w:sz w:val="15"/>
              </w:rPr>
              <w:t> </w:t>
            </w:r>
            <w:r>
              <w:rPr>
                <w:spacing w:val="-2"/>
                <w:w w:val="105"/>
                <w:sz w:val="15"/>
              </w:rPr>
              <w:t>Sociales</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spacing w:val="-4"/>
                <w:w w:val="105"/>
                <w:sz w:val="15"/>
              </w:rPr>
              <w:t>0,00</w:t>
            </w:r>
          </w:p>
        </w:tc>
        <w:tc>
          <w:tcPr>
            <w:tcW w:w="1286" w:type="dxa"/>
          </w:tcPr>
          <w:p>
            <w:pPr>
              <w:pStyle w:val="TableParagraph"/>
              <w:spacing w:line="169" w:lineRule="exact" w:before="35"/>
              <w:ind w:right="12"/>
              <w:jc w:val="right"/>
              <w:rPr>
                <w:sz w:val="15"/>
              </w:rPr>
            </w:pPr>
            <w:r>
              <w:rPr>
                <w:spacing w:val="-4"/>
                <w:w w:val="105"/>
                <w:sz w:val="15"/>
              </w:rPr>
              <w:t>0,00</w:t>
            </w:r>
          </w:p>
        </w:tc>
        <w:tc>
          <w:tcPr>
            <w:tcW w:w="960" w:type="dxa"/>
          </w:tcPr>
          <w:p>
            <w:pPr>
              <w:pStyle w:val="TableParagraph"/>
              <w:spacing w:line="169"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70" w:lineRule="exact" w:before="35"/>
              <w:ind w:left="21"/>
              <w:rPr>
                <w:sz w:val="15"/>
              </w:rPr>
            </w:pPr>
            <w:r>
              <w:rPr>
                <w:spacing w:val="-2"/>
                <w:w w:val="105"/>
                <w:sz w:val="15"/>
              </w:rPr>
              <w:t>1.1.3.13.</w:t>
            </w:r>
          </w:p>
        </w:tc>
        <w:tc>
          <w:tcPr>
            <w:tcW w:w="3166" w:type="dxa"/>
          </w:tcPr>
          <w:p>
            <w:pPr>
              <w:pStyle w:val="TableParagraph"/>
              <w:spacing w:line="170" w:lineRule="exact" w:before="35"/>
              <w:ind w:left="21"/>
              <w:rPr>
                <w:sz w:val="15"/>
              </w:rPr>
            </w:pPr>
            <w:r>
              <w:rPr>
                <w:w w:val="105"/>
                <w:sz w:val="15"/>
              </w:rPr>
              <w:t>Cuentas</w:t>
            </w:r>
            <w:r>
              <w:rPr>
                <w:spacing w:val="-3"/>
                <w:w w:val="105"/>
                <w:sz w:val="15"/>
              </w:rPr>
              <w:t> </w:t>
            </w:r>
            <w:r>
              <w:rPr>
                <w:w w:val="105"/>
                <w:sz w:val="15"/>
              </w:rPr>
              <w:t>por</w:t>
            </w:r>
            <w:r>
              <w:rPr>
                <w:spacing w:val="-6"/>
                <w:w w:val="105"/>
                <w:sz w:val="15"/>
              </w:rPr>
              <w:t> </w:t>
            </w:r>
            <w:r>
              <w:rPr>
                <w:w w:val="105"/>
                <w:sz w:val="15"/>
              </w:rPr>
              <w:t>Cobrar</w:t>
            </w:r>
            <w:r>
              <w:rPr>
                <w:spacing w:val="-6"/>
                <w:w w:val="105"/>
                <w:sz w:val="15"/>
              </w:rPr>
              <w:t> </w:t>
            </w:r>
            <w:r>
              <w:rPr>
                <w:w w:val="105"/>
                <w:sz w:val="15"/>
              </w:rPr>
              <w:t>Cajas</w:t>
            </w:r>
            <w:r>
              <w:rPr>
                <w:spacing w:val="-2"/>
                <w:w w:val="105"/>
                <w:sz w:val="15"/>
              </w:rPr>
              <w:t> Unicas</w:t>
            </w:r>
          </w:p>
        </w:tc>
        <w:tc>
          <w:tcPr>
            <w:tcW w:w="416" w:type="dxa"/>
          </w:tcPr>
          <w:p>
            <w:pPr>
              <w:pStyle w:val="TableParagraph"/>
              <w:rPr>
                <w:rFonts w:ascii="Times New Roman"/>
                <w:sz w:val="16"/>
              </w:rPr>
            </w:pPr>
          </w:p>
        </w:tc>
        <w:tc>
          <w:tcPr>
            <w:tcW w:w="1286" w:type="dxa"/>
          </w:tcPr>
          <w:p>
            <w:pPr>
              <w:pStyle w:val="TableParagraph"/>
              <w:spacing w:line="170" w:lineRule="exact" w:before="35"/>
              <w:ind w:right="12"/>
              <w:jc w:val="right"/>
              <w:rPr>
                <w:sz w:val="15"/>
              </w:rPr>
            </w:pPr>
            <w:r>
              <w:rPr>
                <w:spacing w:val="-4"/>
                <w:w w:val="105"/>
                <w:sz w:val="15"/>
              </w:rPr>
              <w:t>0,00</w:t>
            </w:r>
          </w:p>
        </w:tc>
        <w:tc>
          <w:tcPr>
            <w:tcW w:w="1286" w:type="dxa"/>
          </w:tcPr>
          <w:p>
            <w:pPr>
              <w:pStyle w:val="TableParagraph"/>
              <w:spacing w:line="170" w:lineRule="exact" w:before="35"/>
              <w:ind w:right="12"/>
              <w:jc w:val="right"/>
              <w:rPr>
                <w:sz w:val="15"/>
              </w:rPr>
            </w:pPr>
            <w:r>
              <w:rPr>
                <w:spacing w:val="-4"/>
                <w:w w:val="105"/>
                <w:sz w:val="15"/>
              </w:rPr>
              <w:t>0,00</w:t>
            </w:r>
          </w:p>
        </w:tc>
        <w:tc>
          <w:tcPr>
            <w:tcW w:w="960" w:type="dxa"/>
          </w:tcPr>
          <w:p>
            <w:pPr>
              <w:pStyle w:val="TableParagraph"/>
              <w:spacing w:line="170"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1.1.3.50.</w:t>
            </w:r>
          </w:p>
        </w:tc>
        <w:tc>
          <w:tcPr>
            <w:tcW w:w="3166" w:type="dxa"/>
          </w:tcPr>
          <w:p>
            <w:pPr>
              <w:pStyle w:val="TableParagraph"/>
              <w:spacing w:line="169" w:lineRule="exact" w:before="35"/>
              <w:ind w:left="21"/>
              <w:rPr>
                <w:sz w:val="15"/>
              </w:rPr>
            </w:pPr>
            <w:r>
              <w:rPr>
                <w:w w:val="105"/>
                <w:sz w:val="15"/>
              </w:rPr>
              <w:t>Registro</w:t>
            </w:r>
            <w:r>
              <w:rPr>
                <w:spacing w:val="-4"/>
                <w:w w:val="105"/>
                <w:sz w:val="15"/>
              </w:rPr>
              <w:t> </w:t>
            </w:r>
            <w:r>
              <w:rPr>
                <w:w w:val="105"/>
                <w:sz w:val="15"/>
              </w:rPr>
              <w:t>transitorio</w:t>
            </w:r>
            <w:r>
              <w:rPr>
                <w:spacing w:val="-3"/>
                <w:w w:val="105"/>
                <w:sz w:val="15"/>
              </w:rPr>
              <w:t> </w:t>
            </w:r>
            <w:r>
              <w:rPr>
                <w:w w:val="105"/>
                <w:sz w:val="15"/>
              </w:rPr>
              <w:t>de</w:t>
            </w:r>
            <w:r>
              <w:rPr>
                <w:spacing w:val="-2"/>
                <w:w w:val="105"/>
                <w:sz w:val="15"/>
              </w:rPr>
              <w:t> </w:t>
            </w:r>
            <w:r>
              <w:rPr>
                <w:w w:val="105"/>
                <w:sz w:val="15"/>
              </w:rPr>
              <w:t>transaccion</w:t>
            </w:r>
            <w:r>
              <w:rPr>
                <w:spacing w:val="-4"/>
                <w:w w:val="105"/>
                <w:sz w:val="15"/>
              </w:rPr>
              <w:t> </w:t>
            </w:r>
            <w:r>
              <w:rPr>
                <w:w w:val="105"/>
                <w:sz w:val="15"/>
              </w:rPr>
              <w:t>de</w:t>
            </w:r>
            <w:r>
              <w:rPr>
                <w:spacing w:val="-2"/>
                <w:w w:val="105"/>
                <w:sz w:val="15"/>
              </w:rPr>
              <w:t> </w:t>
            </w:r>
            <w:r>
              <w:rPr>
                <w:w w:val="105"/>
                <w:sz w:val="15"/>
              </w:rPr>
              <w:t>activo</w:t>
            </w:r>
            <w:r>
              <w:rPr>
                <w:spacing w:val="-3"/>
                <w:w w:val="105"/>
                <w:sz w:val="15"/>
              </w:rPr>
              <w:t> </w:t>
            </w:r>
            <w:r>
              <w:rPr>
                <w:spacing w:val="-4"/>
                <w:w w:val="105"/>
                <w:sz w:val="15"/>
              </w:rPr>
              <w:t>fijo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spacing w:val="-4"/>
                <w:w w:val="105"/>
                <w:sz w:val="15"/>
              </w:rPr>
              <w:t>0,00</w:t>
            </w:r>
          </w:p>
        </w:tc>
        <w:tc>
          <w:tcPr>
            <w:tcW w:w="1286" w:type="dxa"/>
          </w:tcPr>
          <w:p>
            <w:pPr>
              <w:pStyle w:val="TableParagraph"/>
              <w:spacing w:line="169" w:lineRule="exact" w:before="35"/>
              <w:ind w:right="12"/>
              <w:jc w:val="right"/>
              <w:rPr>
                <w:sz w:val="15"/>
              </w:rPr>
            </w:pPr>
            <w:r>
              <w:rPr>
                <w:spacing w:val="-4"/>
                <w:w w:val="105"/>
                <w:sz w:val="15"/>
              </w:rPr>
              <w:t>0,00</w:t>
            </w:r>
          </w:p>
        </w:tc>
        <w:tc>
          <w:tcPr>
            <w:tcW w:w="960" w:type="dxa"/>
          </w:tcPr>
          <w:p>
            <w:pPr>
              <w:pStyle w:val="TableParagraph"/>
              <w:spacing w:line="169" w:lineRule="exact" w:before="35"/>
              <w:ind w:left="11"/>
              <w:jc w:val="center"/>
              <w:rPr>
                <w:sz w:val="15"/>
              </w:rPr>
            </w:pPr>
            <w:r>
              <w:rPr>
                <w:spacing w:val="-10"/>
                <w:w w:val="105"/>
                <w:sz w:val="15"/>
              </w:rPr>
              <w:t>-</w:t>
            </w:r>
          </w:p>
        </w:tc>
      </w:tr>
      <w:tr>
        <w:trPr>
          <w:trHeight w:val="224" w:hRule="atLeast"/>
        </w:trPr>
        <w:tc>
          <w:tcPr>
            <w:tcW w:w="650" w:type="dxa"/>
          </w:tcPr>
          <w:p>
            <w:pPr>
              <w:pStyle w:val="TableParagraph"/>
              <w:spacing w:line="169" w:lineRule="exact" w:before="35"/>
              <w:ind w:left="21"/>
              <w:rPr>
                <w:sz w:val="15"/>
              </w:rPr>
            </w:pPr>
            <w:r>
              <w:rPr>
                <w:spacing w:val="-2"/>
                <w:w w:val="105"/>
                <w:sz w:val="15"/>
              </w:rPr>
              <w:t>1.1.3.97.</w:t>
            </w:r>
          </w:p>
        </w:tc>
        <w:tc>
          <w:tcPr>
            <w:tcW w:w="3166" w:type="dxa"/>
          </w:tcPr>
          <w:p>
            <w:pPr>
              <w:pStyle w:val="TableParagraph"/>
              <w:spacing w:line="169" w:lineRule="exact" w:before="35"/>
              <w:ind w:left="21"/>
              <w:rPr>
                <w:sz w:val="15"/>
              </w:rPr>
            </w:pPr>
            <w:r>
              <w:rPr>
                <w:w w:val="105"/>
                <w:sz w:val="15"/>
              </w:rPr>
              <w:t>Cuentas</w:t>
            </w:r>
            <w:r>
              <w:rPr>
                <w:spacing w:val="-1"/>
                <w:w w:val="105"/>
                <w:sz w:val="15"/>
              </w:rPr>
              <w:t> </w:t>
            </w:r>
            <w:r>
              <w:rPr>
                <w:w w:val="105"/>
                <w:sz w:val="15"/>
              </w:rPr>
              <w:t>a</w:t>
            </w:r>
            <w:r>
              <w:rPr>
                <w:spacing w:val="-1"/>
                <w:w w:val="105"/>
                <w:sz w:val="15"/>
              </w:rPr>
              <w:t> </w:t>
            </w:r>
            <w:r>
              <w:rPr>
                <w:w w:val="105"/>
                <w:sz w:val="15"/>
              </w:rPr>
              <w:t>cobrar</w:t>
            </w:r>
            <w:r>
              <w:rPr>
                <w:spacing w:val="-3"/>
                <w:w w:val="105"/>
                <w:sz w:val="15"/>
              </w:rPr>
              <w:t> </w:t>
            </w:r>
            <w:r>
              <w:rPr>
                <w:w w:val="105"/>
                <w:sz w:val="15"/>
              </w:rPr>
              <w:t>en</w:t>
            </w:r>
            <w:r>
              <w:rPr>
                <w:spacing w:val="-3"/>
                <w:w w:val="105"/>
                <w:sz w:val="15"/>
              </w:rPr>
              <w:t> </w:t>
            </w:r>
            <w:r>
              <w:rPr>
                <w:w w:val="105"/>
                <w:sz w:val="15"/>
              </w:rPr>
              <w:t>gestión</w:t>
            </w:r>
            <w:r>
              <w:rPr>
                <w:spacing w:val="-2"/>
                <w:w w:val="105"/>
                <w:sz w:val="15"/>
              </w:rPr>
              <w:t> judicial</w:t>
            </w:r>
          </w:p>
        </w:tc>
        <w:tc>
          <w:tcPr>
            <w:tcW w:w="416" w:type="dxa"/>
          </w:tcPr>
          <w:p>
            <w:pPr>
              <w:pStyle w:val="TableParagraph"/>
              <w:rPr>
                <w:rFonts w:ascii="Times New Roman"/>
                <w:sz w:val="16"/>
              </w:rPr>
            </w:pPr>
          </w:p>
        </w:tc>
        <w:tc>
          <w:tcPr>
            <w:tcW w:w="1286" w:type="dxa"/>
          </w:tcPr>
          <w:p>
            <w:pPr>
              <w:pStyle w:val="TableParagraph"/>
              <w:spacing w:line="169" w:lineRule="exact" w:before="35"/>
              <w:ind w:right="13"/>
              <w:jc w:val="right"/>
              <w:rPr>
                <w:sz w:val="15"/>
              </w:rPr>
            </w:pPr>
            <w:r>
              <w:rPr>
                <w:w w:val="105"/>
                <w:sz w:val="15"/>
              </w:rPr>
              <w:t>3</w:t>
            </w:r>
            <w:r>
              <w:rPr>
                <w:spacing w:val="-5"/>
                <w:w w:val="105"/>
                <w:sz w:val="15"/>
              </w:rPr>
              <w:t> </w:t>
            </w:r>
            <w:r>
              <w:rPr>
                <w:w w:val="105"/>
                <w:sz w:val="15"/>
              </w:rPr>
              <w:t>408</w:t>
            </w:r>
            <w:r>
              <w:rPr>
                <w:spacing w:val="-5"/>
                <w:w w:val="105"/>
                <w:sz w:val="15"/>
              </w:rPr>
              <w:t> </w:t>
            </w:r>
            <w:r>
              <w:rPr>
                <w:spacing w:val="-2"/>
                <w:w w:val="105"/>
                <w:sz w:val="15"/>
              </w:rPr>
              <w:t>330,03</w:t>
            </w:r>
          </w:p>
        </w:tc>
        <w:tc>
          <w:tcPr>
            <w:tcW w:w="1286" w:type="dxa"/>
          </w:tcPr>
          <w:p>
            <w:pPr>
              <w:pStyle w:val="TableParagraph"/>
              <w:spacing w:line="169" w:lineRule="exact" w:before="35"/>
              <w:ind w:right="13"/>
              <w:jc w:val="right"/>
              <w:rPr>
                <w:sz w:val="15"/>
              </w:rPr>
            </w:pPr>
            <w:r>
              <w:rPr>
                <w:w w:val="105"/>
                <w:sz w:val="15"/>
              </w:rPr>
              <w:t>3</w:t>
            </w:r>
            <w:r>
              <w:rPr>
                <w:spacing w:val="-5"/>
                <w:w w:val="105"/>
                <w:sz w:val="15"/>
              </w:rPr>
              <w:t> </w:t>
            </w:r>
            <w:r>
              <w:rPr>
                <w:w w:val="105"/>
                <w:sz w:val="15"/>
              </w:rPr>
              <w:t>374</w:t>
            </w:r>
            <w:r>
              <w:rPr>
                <w:spacing w:val="-5"/>
                <w:w w:val="105"/>
                <w:sz w:val="15"/>
              </w:rPr>
              <w:t> </w:t>
            </w:r>
            <w:r>
              <w:rPr>
                <w:spacing w:val="-2"/>
                <w:w w:val="105"/>
                <w:sz w:val="15"/>
              </w:rPr>
              <w:t>984,47</w:t>
            </w:r>
          </w:p>
        </w:tc>
        <w:tc>
          <w:tcPr>
            <w:tcW w:w="960" w:type="dxa"/>
          </w:tcPr>
          <w:p>
            <w:pPr>
              <w:pStyle w:val="TableParagraph"/>
              <w:spacing w:line="169" w:lineRule="exact" w:before="35"/>
              <w:ind w:left="11"/>
              <w:jc w:val="center"/>
              <w:rPr>
                <w:sz w:val="15"/>
              </w:rPr>
            </w:pPr>
            <w:r>
              <w:rPr>
                <w:spacing w:val="-2"/>
                <w:w w:val="105"/>
                <w:sz w:val="15"/>
              </w:rPr>
              <w:t>0,99%</w:t>
            </w:r>
          </w:p>
        </w:tc>
      </w:tr>
      <w:tr>
        <w:trPr>
          <w:trHeight w:val="224" w:hRule="atLeast"/>
        </w:trPr>
        <w:tc>
          <w:tcPr>
            <w:tcW w:w="650" w:type="dxa"/>
          </w:tcPr>
          <w:p>
            <w:pPr>
              <w:pStyle w:val="TableParagraph"/>
              <w:spacing w:line="169" w:lineRule="exact" w:before="35"/>
              <w:ind w:left="21"/>
              <w:rPr>
                <w:sz w:val="15"/>
              </w:rPr>
            </w:pPr>
            <w:r>
              <w:rPr>
                <w:spacing w:val="-2"/>
                <w:w w:val="105"/>
                <w:sz w:val="15"/>
              </w:rPr>
              <w:t>1.1.3.98.</w:t>
            </w:r>
          </w:p>
        </w:tc>
        <w:tc>
          <w:tcPr>
            <w:tcW w:w="3166" w:type="dxa"/>
          </w:tcPr>
          <w:p>
            <w:pPr>
              <w:pStyle w:val="TableParagraph"/>
              <w:spacing w:line="169" w:lineRule="exact" w:before="35"/>
              <w:ind w:left="21"/>
              <w:rPr>
                <w:sz w:val="15"/>
              </w:rPr>
            </w:pPr>
            <w:r>
              <w:rPr>
                <w:w w:val="105"/>
                <w:sz w:val="15"/>
              </w:rPr>
              <w:t>Otras</w:t>
            </w:r>
            <w:r>
              <w:rPr>
                <w:spacing w:val="-2"/>
                <w:w w:val="105"/>
                <w:sz w:val="15"/>
              </w:rPr>
              <w:t> </w:t>
            </w:r>
            <w:r>
              <w:rPr>
                <w:w w:val="105"/>
                <w:sz w:val="15"/>
              </w:rPr>
              <w:t>cuentas</w:t>
            </w:r>
            <w:r>
              <w:rPr>
                <w:spacing w:val="-1"/>
                <w:w w:val="105"/>
                <w:sz w:val="15"/>
              </w:rPr>
              <w:t> </w:t>
            </w:r>
            <w:r>
              <w:rPr>
                <w:w w:val="105"/>
                <w:sz w:val="15"/>
              </w:rPr>
              <w:t>a</w:t>
            </w:r>
            <w:r>
              <w:rPr>
                <w:spacing w:val="-2"/>
                <w:w w:val="105"/>
                <w:sz w:val="15"/>
              </w:rPr>
              <w:t> </w:t>
            </w:r>
            <w:r>
              <w:rPr>
                <w:w w:val="105"/>
                <w:sz w:val="15"/>
              </w:rPr>
              <w:t>cobrar</w:t>
            </w:r>
            <w:r>
              <w:rPr>
                <w:spacing w:val="-4"/>
                <w:w w:val="105"/>
                <w:sz w:val="15"/>
              </w:rPr>
              <w:t> </w:t>
            </w:r>
            <w:r>
              <w:rPr>
                <w:w w:val="105"/>
                <w:sz w:val="15"/>
              </w:rPr>
              <w:t>a</w:t>
            </w:r>
            <w:r>
              <w:rPr>
                <w:spacing w:val="-2"/>
                <w:w w:val="105"/>
                <w:sz w:val="15"/>
              </w:rPr>
              <w:t> </w:t>
            </w:r>
            <w:r>
              <w:rPr>
                <w:w w:val="105"/>
                <w:sz w:val="15"/>
              </w:rPr>
              <w:t>corto</w:t>
            </w:r>
            <w:r>
              <w:rPr>
                <w:spacing w:val="-2"/>
                <w:w w:val="105"/>
                <w:sz w:val="15"/>
              </w:rPr>
              <w:t> </w:t>
            </w:r>
            <w:r>
              <w:rPr>
                <w:spacing w:val="-4"/>
                <w:w w:val="105"/>
                <w:sz w:val="15"/>
              </w:rPr>
              <w:t>plazo</w:t>
            </w:r>
          </w:p>
        </w:tc>
        <w:tc>
          <w:tcPr>
            <w:tcW w:w="416" w:type="dxa"/>
          </w:tcPr>
          <w:p>
            <w:pPr>
              <w:pStyle w:val="TableParagraph"/>
              <w:rPr>
                <w:rFonts w:ascii="Times New Roman"/>
                <w:sz w:val="16"/>
              </w:rPr>
            </w:pPr>
          </w:p>
        </w:tc>
        <w:tc>
          <w:tcPr>
            <w:tcW w:w="1286" w:type="dxa"/>
          </w:tcPr>
          <w:p>
            <w:pPr>
              <w:pStyle w:val="TableParagraph"/>
              <w:spacing w:line="169" w:lineRule="exact" w:before="35"/>
              <w:ind w:right="12"/>
              <w:jc w:val="right"/>
              <w:rPr>
                <w:sz w:val="15"/>
              </w:rPr>
            </w:pPr>
            <w:r>
              <w:rPr>
                <w:w w:val="105"/>
                <w:sz w:val="15"/>
              </w:rPr>
              <w:t>15</w:t>
            </w:r>
            <w:r>
              <w:rPr>
                <w:spacing w:val="-5"/>
                <w:w w:val="105"/>
                <w:sz w:val="15"/>
              </w:rPr>
              <w:t> </w:t>
            </w:r>
            <w:r>
              <w:rPr>
                <w:spacing w:val="-2"/>
                <w:w w:val="105"/>
                <w:sz w:val="15"/>
              </w:rPr>
              <w:t>847,40</w:t>
            </w:r>
          </w:p>
        </w:tc>
        <w:tc>
          <w:tcPr>
            <w:tcW w:w="1286" w:type="dxa"/>
          </w:tcPr>
          <w:p>
            <w:pPr>
              <w:pStyle w:val="TableParagraph"/>
              <w:spacing w:line="169" w:lineRule="exact" w:before="35"/>
              <w:ind w:right="12"/>
              <w:jc w:val="right"/>
              <w:rPr>
                <w:sz w:val="15"/>
              </w:rPr>
            </w:pPr>
            <w:r>
              <w:rPr>
                <w:w w:val="105"/>
                <w:sz w:val="15"/>
              </w:rPr>
              <w:t>14</w:t>
            </w:r>
            <w:r>
              <w:rPr>
                <w:spacing w:val="-5"/>
                <w:w w:val="105"/>
                <w:sz w:val="15"/>
              </w:rPr>
              <w:t> </w:t>
            </w:r>
            <w:r>
              <w:rPr>
                <w:spacing w:val="-2"/>
                <w:w w:val="105"/>
                <w:sz w:val="15"/>
              </w:rPr>
              <w:t>811,22</w:t>
            </w:r>
          </w:p>
        </w:tc>
        <w:tc>
          <w:tcPr>
            <w:tcW w:w="960" w:type="dxa"/>
          </w:tcPr>
          <w:p>
            <w:pPr>
              <w:pStyle w:val="TableParagraph"/>
              <w:spacing w:line="169" w:lineRule="exact" w:before="35"/>
              <w:ind w:left="11"/>
              <w:jc w:val="center"/>
              <w:rPr>
                <w:sz w:val="15"/>
              </w:rPr>
            </w:pPr>
            <w:r>
              <w:rPr>
                <w:spacing w:val="-2"/>
                <w:w w:val="105"/>
                <w:sz w:val="15"/>
              </w:rPr>
              <w:t>7,00%</w:t>
            </w:r>
          </w:p>
        </w:tc>
      </w:tr>
      <w:tr>
        <w:trPr>
          <w:trHeight w:val="406" w:hRule="atLeast"/>
        </w:trPr>
        <w:tc>
          <w:tcPr>
            <w:tcW w:w="650" w:type="dxa"/>
          </w:tcPr>
          <w:p>
            <w:pPr>
              <w:pStyle w:val="TableParagraph"/>
              <w:spacing w:before="126"/>
              <w:ind w:left="21"/>
              <w:rPr>
                <w:sz w:val="15"/>
              </w:rPr>
            </w:pPr>
            <w:r>
              <w:rPr>
                <w:spacing w:val="-2"/>
                <w:w w:val="105"/>
                <w:sz w:val="15"/>
              </w:rPr>
              <w:t>1.1.3.99.</w:t>
            </w:r>
          </w:p>
        </w:tc>
        <w:tc>
          <w:tcPr>
            <w:tcW w:w="3166" w:type="dxa"/>
          </w:tcPr>
          <w:p>
            <w:pPr>
              <w:pStyle w:val="TableParagraph"/>
              <w:spacing w:before="25"/>
              <w:ind w:left="21"/>
              <w:rPr>
                <w:sz w:val="15"/>
              </w:rPr>
            </w:pPr>
            <w:r>
              <w:rPr>
                <w:w w:val="105"/>
                <w:sz w:val="15"/>
              </w:rPr>
              <w:t>Previsiones</w:t>
            </w:r>
            <w:r>
              <w:rPr>
                <w:spacing w:val="-3"/>
                <w:w w:val="105"/>
                <w:sz w:val="15"/>
              </w:rPr>
              <w:t> </w:t>
            </w:r>
            <w:r>
              <w:rPr>
                <w:w w:val="105"/>
                <w:sz w:val="15"/>
              </w:rPr>
              <w:t>para</w:t>
            </w:r>
            <w:r>
              <w:rPr>
                <w:spacing w:val="-4"/>
                <w:w w:val="105"/>
                <w:sz w:val="15"/>
              </w:rPr>
              <w:t> </w:t>
            </w:r>
            <w:r>
              <w:rPr>
                <w:w w:val="105"/>
                <w:sz w:val="15"/>
              </w:rPr>
              <w:t>deterioro</w:t>
            </w:r>
            <w:r>
              <w:rPr>
                <w:spacing w:val="-4"/>
                <w:w w:val="105"/>
                <w:sz w:val="15"/>
              </w:rPr>
              <w:t> </w:t>
            </w:r>
            <w:r>
              <w:rPr>
                <w:w w:val="105"/>
                <w:sz w:val="15"/>
              </w:rPr>
              <w:t>de</w:t>
            </w:r>
            <w:r>
              <w:rPr>
                <w:spacing w:val="-3"/>
                <w:w w:val="105"/>
                <w:sz w:val="15"/>
              </w:rPr>
              <w:t> </w:t>
            </w:r>
            <w:r>
              <w:rPr>
                <w:w w:val="105"/>
                <w:sz w:val="15"/>
              </w:rPr>
              <w:t>cuentas</w:t>
            </w:r>
            <w:r>
              <w:rPr>
                <w:spacing w:val="-3"/>
                <w:w w:val="105"/>
                <w:sz w:val="15"/>
              </w:rPr>
              <w:t> </w:t>
            </w:r>
            <w:r>
              <w:rPr>
                <w:w w:val="105"/>
                <w:sz w:val="15"/>
              </w:rPr>
              <w:t>a</w:t>
            </w:r>
            <w:r>
              <w:rPr>
                <w:spacing w:val="-5"/>
                <w:w w:val="105"/>
                <w:sz w:val="15"/>
              </w:rPr>
              <w:t> </w:t>
            </w:r>
            <w:r>
              <w:rPr>
                <w:w w:val="105"/>
                <w:sz w:val="15"/>
              </w:rPr>
              <w:t>cobrar</w:t>
            </w:r>
            <w:r>
              <w:rPr>
                <w:spacing w:val="-6"/>
                <w:w w:val="105"/>
                <w:sz w:val="15"/>
              </w:rPr>
              <w:t> </w:t>
            </w:r>
            <w:r>
              <w:rPr>
                <w:spacing w:val="-10"/>
                <w:w w:val="105"/>
                <w:sz w:val="15"/>
              </w:rPr>
              <w:t>a</w:t>
            </w:r>
          </w:p>
          <w:p>
            <w:pPr>
              <w:pStyle w:val="TableParagraph"/>
              <w:spacing w:line="155" w:lineRule="exact" w:before="35"/>
              <w:ind w:left="21"/>
              <w:rPr>
                <w:sz w:val="15"/>
              </w:rPr>
            </w:pPr>
            <w:r>
              <w:rPr>
                <w:w w:val="105"/>
                <w:sz w:val="15"/>
              </w:rPr>
              <w:t>corto</w:t>
            </w:r>
            <w:r>
              <w:rPr>
                <w:spacing w:val="-2"/>
                <w:w w:val="105"/>
                <w:sz w:val="15"/>
              </w:rPr>
              <w:t> plazo</w:t>
            </w:r>
          </w:p>
        </w:tc>
        <w:tc>
          <w:tcPr>
            <w:tcW w:w="416" w:type="dxa"/>
          </w:tcPr>
          <w:p>
            <w:pPr>
              <w:pStyle w:val="TableParagraph"/>
              <w:rPr>
                <w:rFonts w:ascii="Times New Roman"/>
                <w:sz w:val="18"/>
              </w:rPr>
            </w:pPr>
          </w:p>
        </w:tc>
        <w:tc>
          <w:tcPr>
            <w:tcW w:w="1286" w:type="dxa"/>
          </w:tcPr>
          <w:p>
            <w:pPr>
              <w:pStyle w:val="TableParagraph"/>
              <w:spacing w:before="126"/>
              <w:ind w:right="13"/>
              <w:jc w:val="right"/>
              <w:rPr>
                <w:sz w:val="15"/>
              </w:rPr>
            </w:pPr>
            <w:r>
              <w:rPr>
                <w:w w:val="105"/>
                <w:sz w:val="15"/>
              </w:rPr>
              <w:t>-8</w:t>
            </w:r>
            <w:r>
              <w:rPr>
                <w:spacing w:val="-6"/>
                <w:w w:val="105"/>
                <w:sz w:val="15"/>
              </w:rPr>
              <w:t> </w:t>
            </w:r>
            <w:r>
              <w:rPr>
                <w:w w:val="105"/>
                <w:sz w:val="15"/>
              </w:rPr>
              <w:t>508</w:t>
            </w:r>
            <w:r>
              <w:rPr>
                <w:spacing w:val="-6"/>
                <w:w w:val="105"/>
                <w:sz w:val="15"/>
              </w:rPr>
              <w:t> </w:t>
            </w:r>
            <w:r>
              <w:rPr>
                <w:spacing w:val="-2"/>
                <w:w w:val="105"/>
                <w:sz w:val="15"/>
              </w:rPr>
              <w:t>859,66</w:t>
            </w:r>
          </w:p>
        </w:tc>
        <w:tc>
          <w:tcPr>
            <w:tcW w:w="1286" w:type="dxa"/>
          </w:tcPr>
          <w:p>
            <w:pPr>
              <w:pStyle w:val="TableParagraph"/>
              <w:spacing w:before="126"/>
              <w:ind w:right="12"/>
              <w:jc w:val="right"/>
              <w:rPr>
                <w:sz w:val="15"/>
              </w:rPr>
            </w:pPr>
            <w:r>
              <w:rPr>
                <w:w w:val="105"/>
                <w:sz w:val="15"/>
              </w:rPr>
              <w:t>-8</w:t>
            </w:r>
            <w:r>
              <w:rPr>
                <w:spacing w:val="-6"/>
                <w:w w:val="105"/>
                <w:sz w:val="15"/>
              </w:rPr>
              <w:t> </w:t>
            </w:r>
            <w:r>
              <w:rPr>
                <w:w w:val="105"/>
                <w:sz w:val="15"/>
              </w:rPr>
              <w:t>514</w:t>
            </w:r>
            <w:r>
              <w:rPr>
                <w:spacing w:val="-6"/>
                <w:w w:val="105"/>
                <w:sz w:val="15"/>
              </w:rPr>
              <w:t> </w:t>
            </w:r>
            <w:r>
              <w:rPr>
                <w:spacing w:val="-2"/>
                <w:w w:val="105"/>
                <w:sz w:val="15"/>
              </w:rPr>
              <w:t>863,79</w:t>
            </w:r>
          </w:p>
        </w:tc>
        <w:tc>
          <w:tcPr>
            <w:tcW w:w="960" w:type="dxa"/>
          </w:tcPr>
          <w:p>
            <w:pPr>
              <w:pStyle w:val="TableParagraph"/>
              <w:spacing w:before="126"/>
              <w:ind w:left="11"/>
              <w:jc w:val="center"/>
              <w:rPr>
                <w:sz w:val="15"/>
              </w:rPr>
            </w:pPr>
            <w:r>
              <w:rPr>
                <w:spacing w:val="-2"/>
                <w:w w:val="105"/>
                <w:sz w:val="15"/>
              </w:rPr>
              <w:t>-0,07%</w:t>
            </w:r>
          </w:p>
        </w:tc>
      </w:tr>
    </w:tbl>
    <w:p>
      <w:pPr>
        <w:pStyle w:val="BodyText"/>
      </w:pPr>
    </w:p>
    <w:p>
      <w:pPr>
        <w:pStyle w:val="BodyText"/>
        <w:spacing w:before="97"/>
      </w:pPr>
    </w:p>
    <w:p>
      <w:pPr>
        <w:pStyle w:val="BodyText"/>
        <w:ind w:left="622"/>
      </w:pPr>
      <w:r>
        <w:rPr/>
        <w:t>Detalle</w:t>
      </w:r>
      <w:r>
        <w:rPr>
          <w:spacing w:val="-8"/>
        </w:rPr>
        <w:t> </w:t>
      </w:r>
      <w:r>
        <w:rPr/>
        <w:t>cuentas</w:t>
      </w:r>
      <w:r>
        <w:rPr>
          <w:spacing w:val="-4"/>
        </w:rPr>
        <w:t> </w:t>
      </w:r>
      <w:r>
        <w:rPr/>
        <w:t>Transferencias</w:t>
      </w:r>
      <w:r>
        <w:rPr>
          <w:spacing w:val="-3"/>
        </w:rPr>
        <w:t> </w:t>
      </w:r>
      <w:r>
        <w:rPr/>
        <w:t>del</w:t>
      </w:r>
      <w:r>
        <w:rPr>
          <w:spacing w:val="-4"/>
        </w:rPr>
        <w:t> </w:t>
      </w:r>
      <w:r>
        <w:rPr/>
        <w:t>sector</w:t>
      </w:r>
      <w:r>
        <w:rPr>
          <w:spacing w:val="-3"/>
        </w:rPr>
        <w:t> </w:t>
      </w:r>
      <w:r>
        <w:rPr/>
        <w:t>público</w:t>
      </w:r>
      <w:r>
        <w:rPr>
          <w:spacing w:val="-4"/>
        </w:rPr>
        <w:t> </w:t>
      </w:r>
      <w:r>
        <w:rPr/>
        <w:t>interno</w:t>
      </w:r>
      <w:r>
        <w:rPr>
          <w:spacing w:val="-4"/>
        </w:rPr>
        <w:t> </w:t>
      </w:r>
      <w:r>
        <w:rPr/>
        <w:t>a</w:t>
      </w:r>
      <w:r>
        <w:rPr>
          <w:spacing w:val="-5"/>
        </w:rPr>
        <w:t> </w:t>
      </w:r>
      <w:r>
        <w:rPr/>
        <w:t>cobrar</w:t>
      </w:r>
      <w:r>
        <w:rPr>
          <w:spacing w:val="-3"/>
        </w:rPr>
        <w:t> </w:t>
      </w:r>
      <w:r>
        <w:rPr>
          <w:spacing w:val="-5"/>
        </w:rPr>
        <w:t>c/p</w:t>
      </w:r>
    </w:p>
    <w:p>
      <w:pPr>
        <w:pStyle w:val="BodyText"/>
        <w:spacing w:before="9" w:after="1"/>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71"/>
        <w:gridCol w:w="5094"/>
      </w:tblGrid>
      <w:tr>
        <w:trPr>
          <w:trHeight w:val="301" w:hRule="atLeast"/>
        </w:trPr>
        <w:tc>
          <w:tcPr>
            <w:tcW w:w="1471" w:type="dxa"/>
            <w:tcBorders>
              <w:bottom w:val="nil"/>
            </w:tcBorders>
            <w:shd w:val="clear" w:color="auto" w:fill="365F92"/>
          </w:tcPr>
          <w:p>
            <w:pPr>
              <w:pStyle w:val="TableParagraph"/>
              <w:spacing w:before="24"/>
              <w:ind w:left="69"/>
              <w:rPr>
                <w:b/>
                <w:sz w:val="22"/>
              </w:rPr>
            </w:pPr>
            <w:r>
              <w:rPr>
                <w:b/>
                <w:color w:val="FFFFFF"/>
                <w:spacing w:val="-2"/>
                <w:sz w:val="22"/>
              </w:rPr>
              <w:t>Cuenta</w:t>
            </w:r>
          </w:p>
        </w:tc>
        <w:tc>
          <w:tcPr>
            <w:tcW w:w="5094" w:type="dxa"/>
            <w:tcBorders>
              <w:bottom w:val="nil"/>
            </w:tcBorders>
            <w:shd w:val="clear" w:color="auto" w:fill="365F92"/>
          </w:tcPr>
          <w:p>
            <w:pPr>
              <w:pStyle w:val="TableParagraph"/>
              <w:spacing w:before="24"/>
              <w:ind w:left="18"/>
              <w:jc w:val="center"/>
              <w:rPr>
                <w:b/>
                <w:sz w:val="22"/>
              </w:rPr>
            </w:pPr>
            <w:r>
              <w:rPr>
                <w:b/>
                <w:color w:val="FFFFFF"/>
                <w:spacing w:val="-2"/>
                <w:sz w:val="22"/>
              </w:rPr>
              <w:t>Descripción</w:t>
            </w:r>
          </w:p>
        </w:tc>
      </w:tr>
      <w:tr>
        <w:trPr>
          <w:trHeight w:val="565" w:hRule="atLeast"/>
        </w:trPr>
        <w:tc>
          <w:tcPr>
            <w:tcW w:w="1471" w:type="dxa"/>
            <w:tcBorders>
              <w:top w:val="nil"/>
            </w:tcBorders>
          </w:tcPr>
          <w:p>
            <w:pPr>
              <w:pStyle w:val="TableParagraph"/>
              <w:spacing w:before="167"/>
              <w:ind w:left="69"/>
              <w:rPr>
                <w:b/>
                <w:sz w:val="20"/>
              </w:rPr>
            </w:pPr>
            <w:r>
              <w:rPr>
                <w:b/>
                <w:spacing w:val="-2"/>
                <w:sz w:val="20"/>
              </w:rPr>
              <w:t>1.1.3.06.02.</w:t>
            </w:r>
          </w:p>
        </w:tc>
        <w:tc>
          <w:tcPr>
            <w:tcW w:w="5094" w:type="dxa"/>
            <w:tcBorders>
              <w:top w:val="nil"/>
            </w:tcBorders>
          </w:tcPr>
          <w:p>
            <w:pPr>
              <w:pStyle w:val="TableParagraph"/>
              <w:spacing w:before="167"/>
              <w:ind w:left="69"/>
              <w:rPr>
                <w:b/>
                <w:sz w:val="20"/>
              </w:rPr>
            </w:pPr>
            <w:r>
              <w:rPr>
                <w:b/>
                <w:sz w:val="20"/>
              </w:rPr>
              <w:t>Transferencias</w:t>
            </w:r>
            <w:r>
              <w:rPr>
                <w:b/>
                <w:spacing w:val="-6"/>
                <w:sz w:val="20"/>
              </w:rPr>
              <w:t> </w:t>
            </w:r>
            <w:r>
              <w:rPr>
                <w:b/>
                <w:sz w:val="20"/>
              </w:rPr>
              <w:t>del</w:t>
            </w:r>
            <w:r>
              <w:rPr>
                <w:b/>
                <w:spacing w:val="-4"/>
                <w:sz w:val="20"/>
              </w:rPr>
              <w:t> </w:t>
            </w:r>
            <w:r>
              <w:rPr>
                <w:b/>
                <w:sz w:val="20"/>
              </w:rPr>
              <w:t>sector</w:t>
            </w:r>
            <w:r>
              <w:rPr>
                <w:b/>
                <w:spacing w:val="-5"/>
                <w:sz w:val="20"/>
              </w:rPr>
              <w:t> </w:t>
            </w:r>
            <w:r>
              <w:rPr>
                <w:b/>
                <w:sz w:val="20"/>
              </w:rPr>
              <w:t>público</w:t>
            </w:r>
            <w:r>
              <w:rPr>
                <w:b/>
                <w:spacing w:val="-5"/>
                <w:sz w:val="20"/>
              </w:rPr>
              <w:t> </w:t>
            </w:r>
            <w:r>
              <w:rPr>
                <w:b/>
                <w:sz w:val="20"/>
              </w:rPr>
              <w:t>interno</w:t>
            </w:r>
            <w:r>
              <w:rPr>
                <w:b/>
                <w:spacing w:val="-3"/>
                <w:sz w:val="20"/>
              </w:rPr>
              <w:t> </w:t>
            </w:r>
            <w:r>
              <w:rPr>
                <w:b/>
                <w:sz w:val="20"/>
              </w:rPr>
              <w:t>a</w:t>
            </w:r>
            <w:r>
              <w:rPr>
                <w:b/>
                <w:spacing w:val="-6"/>
                <w:sz w:val="20"/>
              </w:rPr>
              <w:t> </w:t>
            </w:r>
            <w:r>
              <w:rPr>
                <w:b/>
                <w:sz w:val="20"/>
              </w:rPr>
              <w:t>cobrar</w:t>
            </w:r>
            <w:r>
              <w:rPr>
                <w:b/>
                <w:spacing w:val="-5"/>
                <w:sz w:val="20"/>
              </w:rPr>
              <w:t> c/p</w:t>
            </w:r>
          </w:p>
        </w:tc>
      </w:tr>
    </w:tbl>
    <w:p>
      <w:pPr>
        <w:pStyle w:val="BodyText"/>
        <w:spacing w:before="202"/>
        <w:rPr>
          <w:sz w:val="20"/>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04"/>
        <w:gridCol w:w="4432"/>
        <w:gridCol w:w="1323"/>
      </w:tblGrid>
      <w:tr>
        <w:trPr>
          <w:trHeight w:val="476" w:hRule="atLeast"/>
        </w:trPr>
        <w:tc>
          <w:tcPr>
            <w:tcW w:w="1904" w:type="dxa"/>
            <w:shd w:val="clear" w:color="auto" w:fill="365F91"/>
          </w:tcPr>
          <w:p>
            <w:pPr>
              <w:pStyle w:val="TableParagraph"/>
              <w:spacing w:line="220" w:lineRule="atLeast"/>
              <w:ind w:left="148" w:firstLine="386"/>
              <w:rPr>
                <w:sz w:val="20"/>
              </w:rPr>
            </w:pPr>
            <w:r>
              <w:rPr>
                <w:color w:val="FFFFFF"/>
                <w:spacing w:val="-2"/>
                <w:sz w:val="20"/>
              </w:rPr>
              <w:t>CODIGO INSTITUCIONAL</w:t>
            </w:r>
          </w:p>
        </w:tc>
        <w:tc>
          <w:tcPr>
            <w:tcW w:w="4432" w:type="dxa"/>
            <w:shd w:val="clear" w:color="auto" w:fill="365F91"/>
          </w:tcPr>
          <w:p>
            <w:pPr>
              <w:pStyle w:val="TableParagraph"/>
              <w:spacing w:before="123"/>
              <w:ind w:left="1283"/>
              <w:rPr>
                <w:sz w:val="20"/>
              </w:rPr>
            </w:pPr>
            <w:r>
              <w:rPr>
                <w:color w:val="FFFFFF"/>
                <w:sz w:val="20"/>
              </w:rPr>
              <w:t>NOMBRE</w:t>
            </w:r>
            <w:r>
              <w:rPr>
                <w:color w:val="FFFFFF"/>
                <w:spacing w:val="-12"/>
                <w:sz w:val="20"/>
              </w:rPr>
              <w:t> </w:t>
            </w:r>
            <w:r>
              <w:rPr>
                <w:color w:val="FFFFFF"/>
                <w:spacing w:val="-2"/>
                <w:sz w:val="20"/>
              </w:rPr>
              <w:t>ENTIDAD</w:t>
            </w:r>
          </w:p>
        </w:tc>
        <w:tc>
          <w:tcPr>
            <w:tcW w:w="1323" w:type="dxa"/>
            <w:shd w:val="clear" w:color="auto" w:fill="365F91"/>
          </w:tcPr>
          <w:p>
            <w:pPr>
              <w:pStyle w:val="TableParagraph"/>
              <w:spacing w:before="123"/>
              <w:ind w:left="262"/>
              <w:rPr>
                <w:sz w:val="20"/>
              </w:rPr>
            </w:pPr>
            <w:r>
              <w:rPr>
                <w:color w:val="FFFFFF"/>
                <w:spacing w:val="-2"/>
                <w:sz w:val="20"/>
              </w:rPr>
              <w:t>MONTO</w:t>
            </w:r>
          </w:p>
        </w:tc>
      </w:tr>
      <w:tr>
        <w:trPr>
          <w:trHeight w:val="229" w:hRule="atLeast"/>
        </w:trPr>
        <w:tc>
          <w:tcPr>
            <w:tcW w:w="1904" w:type="dxa"/>
          </w:tcPr>
          <w:p>
            <w:pPr>
              <w:pStyle w:val="TableParagraph"/>
              <w:spacing w:line="210" w:lineRule="exact"/>
              <w:ind w:left="18"/>
              <w:jc w:val="center"/>
              <w:rPr>
                <w:sz w:val="20"/>
              </w:rPr>
            </w:pPr>
            <w:r>
              <w:rPr>
                <w:spacing w:val="-2"/>
                <w:sz w:val="20"/>
              </w:rPr>
              <w:t>14120</w:t>
            </w:r>
          </w:p>
        </w:tc>
        <w:tc>
          <w:tcPr>
            <w:tcW w:w="4432" w:type="dxa"/>
          </w:tcPr>
          <w:p>
            <w:pPr>
              <w:pStyle w:val="TableParagraph"/>
              <w:spacing w:line="210" w:lineRule="exact"/>
              <w:ind w:left="68"/>
              <w:rPr>
                <w:sz w:val="20"/>
              </w:rPr>
            </w:pPr>
            <w:r>
              <w:rPr>
                <w:sz w:val="20"/>
              </w:rPr>
              <w:t>Caja</w:t>
            </w:r>
            <w:r>
              <w:rPr>
                <w:spacing w:val="-7"/>
                <w:sz w:val="20"/>
              </w:rPr>
              <w:t> </w:t>
            </w:r>
            <w:r>
              <w:rPr>
                <w:sz w:val="20"/>
              </w:rPr>
              <w:t>Costarricense</w:t>
            </w:r>
            <w:r>
              <w:rPr>
                <w:spacing w:val="-7"/>
                <w:sz w:val="20"/>
              </w:rPr>
              <w:t> </w:t>
            </w:r>
            <w:r>
              <w:rPr>
                <w:sz w:val="20"/>
              </w:rPr>
              <w:t>de</w:t>
            </w:r>
            <w:r>
              <w:rPr>
                <w:spacing w:val="-6"/>
                <w:sz w:val="20"/>
              </w:rPr>
              <w:t> </w:t>
            </w:r>
            <w:r>
              <w:rPr>
                <w:sz w:val="20"/>
              </w:rPr>
              <w:t>Seguro</w:t>
            </w:r>
            <w:r>
              <w:rPr>
                <w:spacing w:val="-3"/>
                <w:sz w:val="20"/>
              </w:rPr>
              <w:t> </w:t>
            </w:r>
            <w:r>
              <w:rPr>
                <w:spacing w:val="-2"/>
                <w:sz w:val="20"/>
              </w:rPr>
              <w:t>Social</w:t>
            </w:r>
          </w:p>
        </w:tc>
        <w:tc>
          <w:tcPr>
            <w:tcW w:w="1323" w:type="dxa"/>
          </w:tcPr>
          <w:p>
            <w:pPr>
              <w:pStyle w:val="TableParagraph"/>
              <w:spacing w:line="210" w:lineRule="exact"/>
              <w:ind w:right="53"/>
              <w:jc w:val="right"/>
              <w:rPr>
                <w:sz w:val="20"/>
              </w:rPr>
            </w:pPr>
            <w:r>
              <w:rPr>
                <w:spacing w:val="-2"/>
                <w:sz w:val="20"/>
              </w:rPr>
              <w:t>¢4.606.694,45</w:t>
            </w:r>
          </w:p>
        </w:tc>
      </w:tr>
      <w:tr>
        <w:trPr>
          <w:trHeight w:val="227" w:hRule="atLeast"/>
        </w:trPr>
        <w:tc>
          <w:tcPr>
            <w:tcW w:w="1904" w:type="dxa"/>
          </w:tcPr>
          <w:p>
            <w:pPr>
              <w:pStyle w:val="TableParagraph"/>
              <w:spacing w:line="207" w:lineRule="exact"/>
              <w:ind w:left="18"/>
              <w:jc w:val="center"/>
              <w:rPr>
                <w:sz w:val="20"/>
              </w:rPr>
            </w:pPr>
            <w:r>
              <w:rPr>
                <w:spacing w:val="-2"/>
                <w:sz w:val="20"/>
              </w:rPr>
              <w:t>11212</w:t>
            </w:r>
          </w:p>
        </w:tc>
        <w:tc>
          <w:tcPr>
            <w:tcW w:w="4432" w:type="dxa"/>
          </w:tcPr>
          <w:p>
            <w:pPr>
              <w:pStyle w:val="TableParagraph"/>
              <w:spacing w:line="207" w:lineRule="exact"/>
              <w:ind w:left="68"/>
              <w:rPr>
                <w:sz w:val="20"/>
              </w:rPr>
            </w:pPr>
            <w:r>
              <w:rPr>
                <w:sz w:val="20"/>
              </w:rPr>
              <w:t>Ministerio</w:t>
            </w:r>
            <w:r>
              <w:rPr>
                <w:spacing w:val="-6"/>
                <w:sz w:val="20"/>
              </w:rPr>
              <w:t> </w:t>
            </w:r>
            <w:r>
              <w:rPr>
                <w:sz w:val="20"/>
              </w:rPr>
              <w:t>de</w:t>
            </w:r>
            <w:r>
              <w:rPr>
                <w:spacing w:val="-6"/>
                <w:sz w:val="20"/>
              </w:rPr>
              <w:t> </w:t>
            </w:r>
            <w:r>
              <w:rPr>
                <w:sz w:val="20"/>
              </w:rPr>
              <w:t>Trabajo</w:t>
            </w:r>
            <w:r>
              <w:rPr>
                <w:spacing w:val="-5"/>
                <w:sz w:val="20"/>
              </w:rPr>
              <w:t> </w:t>
            </w:r>
            <w:r>
              <w:rPr>
                <w:sz w:val="20"/>
              </w:rPr>
              <w:t>y</w:t>
            </w:r>
            <w:r>
              <w:rPr>
                <w:spacing w:val="-5"/>
                <w:sz w:val="20"/>
              </w:rPr>
              <w:t> </w:t>
            </w:r>
            <w:r>
              <w:rPr>
                <w:sz w:val="20"/>
              </w:rPr>
              <w:t>Seguridad</w:t>
            </w:r>
            <w:r>
              <w:rPr>
                <w:spacing w:val="-6"/>
                <w:sz w:val="20"/>
              </w:rPr>
              <w:t> </w:t>
            </w:r>
            <w:r>
              <w:rPr>
                <w:sz w:val="20"/>
              </w:rPr>
              <w:t>Social</w:t>
            </w:r>
            <w:r>
              <w:rPr>
                <w:spacing w:val="-6"/>
                <w:sz w:val="20"/>
              </w:rPr>
              <w:t> </w:t>
            </w:r>
            <w:r>
              <w:rPr>
                <w:spacing w:val="-2"/>
                <w:sz w:val="20"/>
              </w:rPr>
              <w:t>(MTSS)</w:t>
            </w:r>
          </w:p>
        </w:tc>
        <w:tc>
          <w:tcPr>
            <w:tcW w:w="1323" w:type="dxa"/>
          </w:tcPr>
          <w:p>
            <w:pPr>
              <w:pStyle w:val="TableParagraph"/>
              <w:spacing w:line="207" w:lineRule="exact"/>
              <w:ind w:right="53"/>
              <w:jc w:val="right"/>
              <w:rPr>
                <w:sz w:val="20"/>
              </w:rPr>
            </w:pPr>
            <w:r>
              <w:rPr>
                <w:sz w:val="20"/>
              </w:rPr>
              <w:t>¢</w:t>
            </w:r>
            <w:r>
              <w:rPr>
                <w:spacing w:val="-1"/>
                <w:sz w:val="20"/>
              </w:rPr>
              <w:t> </w:t>
            </w:r>
            <w:r>
              <w:rPr>
                <w:spacing w:val="-2"/>
                <w:sz w:val="20"/>
              </w:rPr>
              <w:t>120.000</w:t>
            </w:r>
          </w:p>
        </w:tc>
      </w:tr>
      <w:tr>
        <w:trPr>
          <w:trHeight w:val="227" w:hRule="atLeast"/>
        </w:trPr>
        <w:tc>
          <w:tcPr>
            <w:tcW w:w="1904" w:type="dxa"/>
          </w:tcPr>
          <w:p>
            <w:pPr>
              <w:pStyle w:val="TableParagraph"/>
              <w:spacing w:line="207" w:lineRule="exact"/>
              <w:ind w:left="18"/>
              <w:jc w:val="center"/>
              <w:rPr>
                <w:sz w:val="20"/>
              </w:rPr>
            </w:pPr>
            <w:r>
              <w:rPr>
                <w:spacing w:val="-2"/>
                <w:sz w:val="20"/>
              </w:rPr>
              <w:t>15605</w:t>
            </w:r>
          </w:p>
        </w:tc>
        <w:tc>
          <w:tcPr>
            <w:tcW w:w="4432" w:type="dxa"/>
          </w:tcPr>
          <w:p>
            <w:pPr>
              <w:pStyle w:val="TableParagraph"/>
              <w:spacing w:line="207" w:lineRule="exact"/>
              <w:ind w:left="68"/>
              <w:rPr>
                <w:sz w:val="20"/>
              </w:rPr>
            </w:pPr>
            <w:r>
              <w:rPr>
                <w:sz w:val="20"/>
              </w:rPr>
              <w:t>Municipalidad</w:t>
            </w:r>
            <w:r>
              <w:rPr>
                <w:spacing w:val="-9"/>
                <w:sz w:val="20"/>
              </w:rPr>
              <w:t> </w:t>
            </w:r>
            <w:r>
              <w:rPr>
                <w:sz w:val="20"/>
              </w:rPr>
              <w:t>de</w:t>
            </w:r>
            <w:r>
              <w:rPr>
                <w:spacing w:val="-9"/>
                <w:sz w:val="20"/>
              </w:rPr>
              <w:t> </w:t>
            </w:r>
            <w:r>
              <w:rPr>
                <w:spacing w:val="-5"/>
                <w:sz w:val="20"/>
              </w:rPr>
              <w:t>Osa</w:t>
            </w:r>
          </w:p>
        </w:tc>
        <w:tc>
          <w:tcPr>
            <w:tcW w:w="1323" w:type="dxa"/>
          </w:tcPr>
          <w:p>
            <w:pPr>
              <w:pStyle w:val="TableParagraph"/>
              <w:spacing w:line="207" w:lineRule="exact"/>
              <w:ind w:right="99"/>
              <w:jc w:val="right"/>
              <w:rPr>
                <w:sz w:val="20"/>
              </w:rPr>
            </w:pPr>
            <w:r>
              <w:rPr>
                <w:spacing w:val="-2"/>
                <w:sz w:val="20"/>
              </w:rPr>
              <w:t>¢394,63</w:t>
            </w:r>
          </w:p>
        </w:tc>
      </w:tr>
      <w:tr>
        <w:trPr>
          <w:trHeight w:val="229" w:hRule="atLeast"/>
        </w:trPr>
        <w:tc>
          <w:tcPr>
            <w:tcW w:w="1904" w:type="dxa"/>
          </w:tcPr>
          <w:p>
            <w:pPr>
              <w:pStyle w:val="TableParagraph"/>
              <w:rPr>
                <w:rFonts w:ascii="Times New Roman"/>
                <w:sz w:val="16"/>
              </w:rPr>
            </w:pPr>
          </w:p>
        </w:tc>
        <w:tc>
          <w:tcPr>
            <w:tcW w:w="4432" w:type="dxa"/>
          </w:tcPr>
          <w:p>
            <w:pPr>
              <w:pStyle w:val="TableParagraph"/>
              <w:spacing w:line="209" w:lineRule="exact" w:before="1"/>
              <w:ind w:left="64"/>
              <w:jc w:val="center"/>
              <w:rPr>
                <w:sz w:val="20"/>
              </w:rPr>
            </w:pPr>
            <w:r>
              <w:rPr>
                <w:spacing w:val="-2"/>
                <w:sz w:val="20"/>
              </w:rPr>
              <w:t>TOTAL</w:t>
            </w:r>
          </w:p>
        </w:tc>
        <w:tc>
          <w:tcPr>
            <w:tcW w:w="1323" w:type="dxa"/>
          </w:tcPr>
          <w:p>
            <w:pPr>
              <w:pStyle w:val="TableParagraph"/>
              <w:spacing w:line="209" w:lineRule="exact" w:before="1"/>
              <w:ind w:right="53"/>
              <w:jc w:val="right"/>
              <w:rPr>
                <w:b/>
                <w:sz w:val="20"/>
              </w:rPr>
            </w:pPr>
            <w:r>
              <w:rPr>
                <w:b/>
                <w:spacing w:val="-2"/>
                <w:sz w:val="20"/>
              </w:rPr>
              <w:t>¢4.746.687,23</w:t>
            </w:r>
          </w:p>
        </w:tc>
      </w:tr>
    </w:tbl>
    <w:p>
      <w:pPr>
        <w:pStyle w:val="BodyText"/>
        <w:spacing w:before="22"/>
      </w:pPr>
    </w:p>
    <w:p>
      <w:pPr>
        <w:pStyle w:val="BodyText"/>
        <w:spacing w:line="259" w:lineRule="auto" w:before="1"/>
        <w:ind w:left="622" w:right="973"/>
        <w:jc w:val="both"/>
      </w:pPr>
      <w:r>
        <w:rPr/>
        <w:t>La cuenta Transferencias por cobrar por cobrar corresponde a la recaudación por parte de la CCSS del</w:t>
      </w:r>
      <w:r>
        <w:rPr>
          <w:spacing w:val="-5"/>
        </w:rPr>
        <w:t> </w:t>
      </w:r>
      <w:r>
        <w:rPr/>
        <w:t>cobro</w:t>
      </w:r>
      <w:r>
        <w:rPr>
          <w:spacing w:val="-4"/>
        </w:rPr>
        <w:t> </w:t>
      </w:r>
      <w:r>
        <w:rPr/>
        <w:t>de</w:t>
      </w:r>
      <w:r>
        <w:rPr>
          <w:spacing w:val="-6"/>
        </w:rPr>
        <w:t> </w:t>
      </w:r>
      <w:r>
        <w:rPr/>
        <w:t>las</w:t>
      </w:r>
      <w:r>
        <w:rPr>
          <w:spacing w:val="-4"/>
        </w:rPr>
        <w:t> </w:t>
      </w:r>
      <w:r>
        <w:rPr/>
        <w:t>leyes</w:t>
      </w:r>
      <w:r>
        <w:rPr>
          <w:spacing w:val="-4"/>
        </w:rPr>
        <w:t> </w:t>
      </w:r>
      <w:r>
        <w:rPr/>
        <w:t>Ley</w:t>
      </w:r>
      <w:r>
        <w:rPr>
          <w:spacing w:val="-6"/>
        </w:rPr>
        <w:t> </w:t>
      </w:r>
      <w:r>
        <w:rPr/>
        <w:t>4760</w:t>
      </w:r>
      <w:r>
        <w:rPr>
          <w:spacing w:val="-6"/>
        </w:rPr>
        <w:t> </w:t>
      </w:r>
      <w:r>
        <w:rPr/>
        <w:t>y</w:t>
      </w:r>
      <w:r>
        <w:rPr>
          <w:spacing w:val="-6"/>
        </w:rPr>
        <w:t> </w:t>
      </w:r>
      <w:r>
        <w:rPr/>
        <w:t>Ley</w:t>
      </w:r>
      <w:r>
        <w:rPr>
          <w:spacing w:val="-6"/>
        </w:rPr>
        <w:t> </w:t>
      </w:r>
      <w:r>
        <w:rPr/>
        <w:t>6443</w:t>
      </w:r>
      <w:r>
        <w:rPr>
          <w:spacing w:val="-6"/>
        </w:rPr>
        <w:t> </w:t>
      </w:r>
      <w:r>
        <w:rPr/>
        <w:t>indicadas</w:t>
      </w:r>
      <w:r>
        <w:rPr>
          <w:spacing w:val="-4"/>
        </w:rPr>
        <w:t> </w:t>
      </w:r>
      <w:r>
        <w:rPr/>
        <w:t>anteriormente,</w:t>
      </w:r>
      <w:r>
        <w:rPr>
          <w:spacing w:val="-5"/>
        </w:rPr>
        <w:t> </w:t>
      </w:r>
      <w:r>
        <w:rPr/>
        <w:t>lo</w:t>
      </w:r>
      <w:r>
        <w:rPr>
          <w:spacing w:val="-4"/>
        </w:rPr>
        <w:t> </w:t>
      </w:r>
      <w:r>
        <w:rPr/>
        <w:t>recaudado</w:t>
      </w:r>
      <w:r>
        <w:rPr>
          <w:spacing w:val="-4"/>
        </w:rPr>
        <w:t> </w:t>
      </w:r>
      <w:r>
        <w:rPr/>
        <w:t>en</w:t>
      </w:r>
      <w:r>
        <w:rPr>
          <w:spacing w:val="-1"/>
        </w:rPr>
        <w:t> </w:t>
      </w:r>
      <w:r>
        <w:rPr/>
        <w:t>julio</w:t>
      </w:r>
      <w:r>
        <w:rPr>
          <w:spacing w:val="-5"/>
        </w:rPr>
        <w:t> </w:t>
      </w:r>
      <w:r>
        <w:rPr/>
        <w:t>2026</w:t>
      </w:r>
      <w:r>
        <w:rPr>
          <w:spacing w:val="-6"/>
        </w:rPr>
        <w:t> </w:t>
      </w:r>
      <w:r>
        <w:rPr/>
        <w:t>por</w:t>
      </w:r>
      <w:r>
        <w:rPr>
          <w:spacing w:val="-4"/>
        </w:rPr>
        <w:t> </w:t>
      </w:r>
      <w:r>
        <w:rPr/>
        <w:t>la Caja</w:t>
      </w:r>
      <w:r>
        <w:rPr>
          <w:spacing w:val="-3"/>
        </w:rPr>
        <w:t> </w:t>
      </w:r>
      <w:r>
        <w:rPr/>
        <w:t>Costarricense</w:t>
      </w:r>
      <w:r>
        <w:rPr>
          <w:spacing w:val="-3"/>
        </w:rPr>
        <w:t> </w:t>
      </w:r>
      <w:r>
        <w:rPr/>
        <w:t>de</w:t>
      </w:r>
      <w:r>
        <w:rPr>
          <w:spacing w:val="-4"/>
        </w:rPr>
        <w:t> </w:t>
      </w:r>
      <w:r>
        <w:rPr/>
        <w:t>Seguro</w:t>
      </w:r>
      <w:r>
        <w:rPr>
          <w:spacing w:val="-4"/>
        </w:rPr>
        <w:t> </w:t>
      </w:r>
      <w:r>
        <w:rPr/>
        <w:t>Social</w:t>
      </w:r>
      <w:r>
        <w:rPr>
          <w:spacing w:val="-2"/>
        </w:rPr>
        <w:t> </w:t>
      </w:r>
      <w:r>
        <w:rPr/>
        <w:t>(CCSS),</w:t>
      </w:r>
      <w:r>
        <w:rPr>
          <w:spacing w:val="-2"/>
        </w:rPr>
        <w:t> </w:t>
      </w:r>
      <w:r>
        <w:rPr/>
        <w:t>así</w:t>
      </w:r>
      <w:r>
        <w:rPr>
          <w:spacing w:val="-5"/>
        </w:rPr>
        <w:t> </w:t>
      </w:r>
      <w:r>
        <w:rPr/>
        <w:t>como</w:t>
      </w:r>
      <w:r>
        <w:rPr>
          <w:spacing w:val="-4"/>
        </w:rPr>
        <w:t> </w:t>
      </w:r>
      <w:r>
        <w:rPr/>
        <w:t>el</w:t>
      </w:r>
      <w:r>
        <w:rPr>
          <w:spacing w:val="-2"/>
        </w:rPr>
        <w:t> </w:t>
      </w:r>
      <w:r>
        <w:rPr/>
        <w:t>cobro</w:t>
      </w:r>
      <w:r>
        <w:rPr>
          <w:spacing w:val="-4"/>
        </w:rPr>
        <w:t> </w:t>
      </w:r>
      <w:r>
        <w:rPr/>
        <w:t>a</w:t>
      </w:r>
      <w:r>
        <w:rPr>
          <w:spacing w:val="-3"/>
        </w:rPr>
        <w:t> </w:t>
      </w:r>
      <w:r>
        <w:rPr/>
        <w:t>gobiernos</w:t>
      </w:r>
      <w:r>
        <w:rPr>
          <w:spacing w:val="-1"/>
        </w:rPr>
        <w:t> </w:t>
      </w:r>
      <w:r>
        <w:rPr/>
        <w:t>locales,</w:t>
      </w:r>
      <w:r>
        <w:rPr>
          <w:spacing w:val="-7"/>
        </w:rPr>
        <w:t> </w:t>
      </w:r>
      <w:r>
        <w:rPr/>
        <w:t>correspondiente</w:t>
      </w:r>
      <w:r>
        <w:rPr>
          <w:spacing w:val="-2"/>
        </w:rPr>
        <w:t> </w:t>
      </w:r>
      <w:r>
        <w:rPr/>
        <w:t>a dinero cancelado por beneficios a personas beneficiarias.</w:t>
      </w:r>
    </w:p>
    <w:p>
      <w:pPr>
        <w:pStyle w:val="BodyText"/>
        <w:spacing w:before="18"/>
      </w:pPr>
    </w:p>
    <w:p>
      <w:pPr>
        <w:pStyle w:val="BodyText"/>
        <w:spacing w:line="259" w:lineRule="auto"/>
        <w:ind w:left="622" w:right="976"/>
        <w:jc w:val="both"/>
      </w:pPr>
      <w:r>
        <w:rPr/>
        <w:t>La</w:t>
      </w:r>
      <w:r>
        <w:rPr>
          <w:spacing w:val="-5"/>
        </w:rPr>
        <w:t> </w:t>
      </w:r>
      <w:r>
        <w:rPr/>
        <w:t>cuenta</w:t>
      </w:r>
      <w:r>
        <w:rPr>
          <w:spacing w:val="-4"/>
        </w:rPr>
        <w:t> </w:t>
      </w:r>
      <w:r>
        <w:rPr/>
        <w:t>Transferencias</w:t>
      </w:r>
      <w:r>
        <w:rPr>
          <w:spacing w:val="-3"/>
        </w:rPr>
        <w:t> </w:t>
      </w:r>
      <w:r>
        <w:rPr/>
        <w:t>por</w:t>
      </w:r>
      <w:r>
        <w:rPr>
          <w:spacing w:val="-4"/>
        </w:rPr>
        <w:t> </w:t>
      </w:r>
      <w:r>
        <w:rPr/>
        <w:t>cobrar</w:t>
      </w:r>
      <w:r>
        <w:rPr>
          <w:spacing w:val="-4"/>
        </w:rPr>
        <w:t> </w:t>
      </w:r>
      <w:r>
        <w:rPr/>
        <w:t>por</w:t>
      </w:r>
      <w:r>
        <w:rPr>
          <w:spacing w:val="-4"/>
        </w:rPr>
        <w:t> </w:t>
      </w:r>
      <w:r>
        <w:rPr/>
        <w:t>cobrar</w:t>
      </w:r>
      <w:r>
        <w:rPr>
          <w:spacing w:val="-4"/>
        </w:rPr>
        <w:t> </w:t>
      </w:r>
      <w:r>
        <w:rPr/>
        <w:t>a</w:t>
      </w:r>
      <w:r>
        <w:rPr>
          <w:spacing w:val="-4"/>
        </w:rPr>
        <w:t> </w:t>
      </w:r>
      <w:r>
        <w:rPr/>
        <w:t>la</w:t>
      </w:r>
      <w:r>
        <w:rPr>
          <w:spacing w:val="-5"/>
        </w:rPr>
        <w:t> </w:t>
      </w:r>
      <w:r>
        <w:rPr/>
        <w:t>CCSS</w:t>
      </w:r>
      <w:r>
        <w:rPr>
          <w:spacing w:val="-3"/>
        </w:rPr>
        <w:t> </w:t>
      </w:r>
      <w:r>
        <w:rPr/>
        <w:t>del</w:t>
      </w:r>
      <w:r>
        <w:rPr>
          <w:spacing w:val="-4"/>
        </w:rPr>
        <w:t> </w:t>
      </w:r>
      <w:r>
        <w:rPr/>
        <w:t>cobro</w:t>
      </w:r>
      <w:r>
        <w:rPr>
          <w:spacing w:val="-3"/>
        </w:rPr>
        <w:t> </w:t>
      </w:r>
      <w:r>
        <w:rPr/>
        <w:t>de</w:t>
      </w:r>
      <w:r>
        <w:rPr>
          <w:spacing w:val="-5"/>
        </w:rPr>
        <w:t> </w:t>
      </w:r>
      <w:r>
        <w:rPr/>
        <w:t>las</w:t>
      </w:r>
      <w:r>
        <w:rPr>
          <w:spacing w:val="-3"/>
        </w:rPr>
        <w:t> </w:t>
      </w:r>
      <w:r>
        <w:rPr/>
        <w:t>leyes</w:t>
      </w:r>
      <w:r>
        <w:rPr>
          <w:spacing w:val="-3"/>
        </w:rPr>
        <w:t> </w:t>
      </w:r>
      <w:r>
        <w:rPr/>
        <w:t>Ley</w:t>
      </w:r>
      <w:r>
        <w:rPr>
          <w:spacing w:val="-5"/>
        </w:rPr>
        <w:t> </w:t>
      </w:r>
      <w:r>
        <w:rPr/>
        <w:t>4760</w:t>
      </w:r>
      <w:r>
        <w:rPr>
          <w:spacing w:val="-3"/>
        </w:rPr>
        <w:t> </w:t>
      </w:r>
      <w:r>
        <w:rPr/>
        <w:t>y</w:t>
      </w:r>
      <w:r>
        <w:rPr>
          <w:spacing w:val="-5"/>
        </w:rPr>
        <w:t> </w:t>
      </w:r>
      <w:r>
        <w:rPr/>
        <w:t>Ley</w:t>
      </w:r>
      <w:r>
        <w:rPr>
          <w:spacing w:val="-2"/>
        </w:rPr>
        <w:t> </w:t>
      </w:r>
      <w:r>
        <w:rPr/>
        <w:t>6443 indicadas</w:t>
      </w:r>
      <w:r>
        <w:rPr>
          <w:spacing w:val="-12"/>
        </w:rPr>
        <w:t> </w:t>
      </w:r>
      <w:r>
        <w:rPr/>
        <w:t>anteriormente,</w:t>
      </w:r>
      <w:r>
        <w:rPr>
          <w:spacing w:val="-13"/>
        </w:rPr>
        <w:t> </w:t>
      </w:r>
      <w:r>
        <w:rPr/>
        <w:t>presenta</w:t>
      </w:r>
      <w:r>
        <w:rPr>
          <w:spacing w:val="-13"/>
        </w:rPr>
        <w:t> </w:t>
      </w:r>
      <w:r>
        <w:rPr/>
        <w:t>un</w:t>
      </w:r>
      <w:r>
        <w:rPr>
          <w:spacing w:val="-13"/>
        </w:rPr>
        <w:t> </w:t>
      </w:r>
      <w:r>
        <w:rPr/>
        <w:t>aumento</w:t>
      </w:r>
      <w:r>
        <w:rPr>
          <w:spacing w:val="-14"/>
        </w:rPr>
        <w:t> </w:t>
      </w:r>
      <w:r>
        <w:rPr/>
        <w:t>del</w:t>
      </w:r>
      <w:r>
        <w:rPr>
          <w:spacing w:val="-12"/>
        </w:rPr>
        <w:t> </w:t>
      </w:r>
      <w:r>
        <w:rPr/>
        <w:t>3,9%</w:t>
      </w:r>
      <w:r>
        <w:rPr>
          <w:spacing w:val="-13"/>
        </w:rPr>
        <w:t> </w:t>
      </w:r>
      <w:r>
        <w:rPr/>
        <w:t>con</w:t>
      </w:r>
      <w:r>
        <w:rPr>
          <w:spacing w:val="-12"/>
        </w:rPr>
        <w:t> </w:t>
      </w:r>
      <w:r>
        <w:rPr/>
        <w:t>respecto</w:t>
      </w:r>
      <w:r>
        <w:rPr>
          <w:spacing w:val="-12"/>
        </w:rPr>
        <w:t> </w:t>
      </w:r>
      <w:r>
        <w:rPr/>
        <w:t>al</w:t>
      </w:r>
      <w:r>
        <w:rPr>
          <w:spacing w:val="-13"/>
        </w:rPr>
        <w:t> </w:t>
      </w:r>
      <w:r>
        <w:rPr/>
        <w:t>año</w:t>
      </w:r>
      <w:r>
        <w:rPr>
          <w:spacing w:val="-13"/>
        </w:rPr>
        <w:t> </w:t>
      </w:r>
      <w:r>
        <w:rPr/>
        <w:t>anterior,</w:t>
      </w:r>
      <w:r>
        <w:rPr>
          <w:spacing w:val="-12"/>
        </w:rPr>
        <w:t> </w:t>
      </w:r>
      <w:r>
        <w:rPr/>
        <w:t>el</w:t>
      </w:r>
      <w:r>
        <w:rPr>
          <w:spacing w:val="-13"/>
        </w:rPr>
        <w:t> </w:t>
      </w:r>
      <w:r>
        <w:rPr/>
        <w:t>saldo</w:t>
      </w:r>
      <w:r>
        <w:rPr>
          <w:spacing w:val="-14"/>
        </w:rPr>
        <w:t> </w:t>
      </w:r>
      <w:r>
        <w:rPr/>
        <w:t>mostrado corresponde a lo recaudado por la Caja Costarricense de Seguro Social (CCSS) y se compone de la siguiente manera:</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59552">
                <wp:simplePos x="0" y="0"/>
                <wp:positionH relativeFrom="page">
                  <wp:posOffset>9525</wp:posOffset>
                </wp:positionH>
                <wp:positionV relativeFrom="page">
                  <wp:posOffset>297208</wp:posOffset>
                </wp:positionV>
                <wp:extent cx="7762875" cy="974852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7762875" cy="9748520"/>
                          <a:chExt cx="7762875" cy="9748520"/>
                        </a:xfrm>
                      </wpg:grpSpPr>
                      <pic:pic>
                        <pic:nvPicPr>
                          <pic:cNvPr id="236" name="Image 236"/>
                          <pic:cNvPicPr/>
                        </pic:nvPicPr>
                        <pic:blipFill>
                          <a:blip r:embed="rId5" cstate="print"/>
                          <a:stretch>
                            <a:fillRect/>
                          </a:stretch>
                        </pic:blipFill>
                        <pic:spPr>
                          <a:xfrm>
                            <a:off x="0" y="0"/>
                            <a:ext cx="7762874" cy="9748489"/>
                          </a:xfrm>
                          <a:prstGeom prst="rect">
                            <a:avLst/>
                          </a:prstGeom>
                        </pic:spPr>
                      </pic:pic>
                      <wps:wsp>
                        <wps:cNvPr id="237" name="Graphic 237"/>
                        <wps:cNvSpPr/>
                        <wps:spPr>
                          <a:xfrm>
                            <a:off x="1053007" y="990837"/>
                            <a:ext cx="5736590" cy="7822565"/>
                          </a:xfrm>
                          <a:custGeom>
                            <a:avLst/>
                            <a:gdLst/>
                            <a:ahLst/>
                            <a:cxnLst/>
                            <a:rect l="l" t="t" r="r" b="b"/>
                            <a:pathLst>
                              <a:path w="5736590" h="7822565">
                                <a:moveTo>
                                  <a:pt x="21336" y="1703895"/>
                                </a:moveTo>
                                <a:lnTo>
                                  <a:pt x="15240" y="1703895"/>
                                </a:lnTo>
                                <a:lnTo>
                                  <a:pt x="15240" y="7816024"/>
                                </a:lnTo>
                                <a:lnTo>
                                  <a:pt x="21336" y="7816024"/>
                                </a:lnTo>
                                <a:lnTo>
                                  <a:pt x="21336" y="1703895"/>
                                </a:lnTo>
                                <a:close/>
                              </a:path>
                              <a:path w="5736590" h="7822565">
                                <a:moveTo>
                                  <a:pt x="5649214" y="0"/>
                                </a:moveTo>
                                <a:lnTo>
                                  <a:pt x="0" y="0"/>
                                </a:lnTo>
                                <a:lnTo>
                                  <a:pt x="0" y="9131"/>
                                </a:lnTo>
                                <a:lnTo>
                                  <a:pt x="5649214" y="9131"/>
                                </a:lnTo>
                                <a:lnTo>
                                  <a:pt x="5649214" y="0"/>
                                </a:lnTo>
                                <a:close/>
                              </a:path>
                              <a:path w="5736590" h="7822565">
                                <a:moveTo>
                                  <a:pt x="5736018" y="7816037"/>
                                </a:moveTo>
                                <a:lnTo>
                                  <a:pt x="5729986" y="7816037"/>
                                </a:lnTo>
                                <a:lnTo>
                                  <a:pt x="21336" y="7816037"/>
                                </a:lnTo>
                                <a:lnTo>
                                  <a:pt x="15240" y="7816037"/>
                                </a:lnTo>
                                <a:lnTo>
                                  <a:pt x="15240" y="7822120"/>
                                </a:lnTo>
                                <a:lnTo>
                                  <a:pt x="21336" y="7822120"/>
                                </a:lnTo>
                                <a:lnTo>
                                  <a:pt x="5729935" y="7822120"/>
                                </a:lnTo>
                                <a:lnTo>
                                  <a:pt x="5736018" y="7822120"/>
                                </a:lnTo>
                                <a:lnTo>
                                  <a:pt x="5736018" y="7816037"/>
                                </a:lnTo>
                                <a:close/>
                              </a:path>
                              <a:path w="5736590" h="7822565">
                                <a:moveTo>
                                  <a:pt x="5736018" y="1703895"/>
                                </a:moveTo>
                                <a:lnTo>
                                  <a:pt x="5729935" y="1703895"/>
                                </a:lnTo>
                                <a:lnTo>
                                  <a:pt x="5729935" y="7816024"/>
                                </a:lnTo>
                                <a:lnTo>
                                  <a:pt x="5736018" y="7816024"/>
                                </a:lnTo>
                                <a:lnTo>
                                  <a:pt x="5736018" y="1703895"/>
                                </a:lnTo>
                                <a:close/>
                              </a:path>
                              <a:path w="5736590" h="7822565">
                                <a:moveTo>
                                  <a:pt x="5736018" y="1697723"/>
                                </a:moveTo>
                                <a:lnTo>
                                  <a:pt x="5729986" y="1697723"/>
                                </a:lnTo>
                                <a:lnTo>
                                  <a:pt x="21336" y="1697723"/>
                                </a:lnTo>
                                <a:lnTo>
                                  <a:pt x="15240" y="1697723"/>
                                </a:lnTo>
                                <a:lnTo>
                                  <a:pt x="15240" y="1703819"/>
                                </a:lnTo>
                                <a:lnTo>
                                  <a:pt x="21336" y="1703819"/>
                                </a:lnTo>
                                <a:lnTo>
                                  <a:pt x="5729935" y="1703819"/>
                                </a:lnTo>
                                <a:lnTo>
                                  <a:pt x="5736018" y="1703819"/>
                                </a:lnTo>
                                <a:lnTo>
                                  <a:pt x="5736018" y="169772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6928" id="docshapegroup222" coordorigin="15,468" coordsize="12225,15352">
                <v:shape style="position:absolute;left:15;top:468;width:12225;height:15352" type="#_x0000_t75" id="docshape223" stroked="false">
                  <v:imagedata r:id="rId5" o:title=""/>
                </v:shape>
                <v:shape style="position:absolute;left:1673;top:2028;width:9034;height:12319" id="docshape224" coordorigin="1673,2028" coordsize="9034,12319" path="m1707,4712l1697,4712,1697,14337,1707,14337,1707,4712xm10570,2028l1673,2028,1673,2043,10570,2043,10570,2028xm10706,14337l10697,14337,10697,14337,1707,14337,1697,14337,1697,14347,1707,14347,10697,14347,10697,14347,10706,14347,10706,14337xm10706,4712l10697,4712,10697,14337,10706,14337,10706,4712xm10706,4702l10697,4702,10697,4702,1707,4702,1697,4702,1697,4712,1707,4712,10697,4712,10697,4712,10706,4712,10706,4702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50</w:t>
      </w:r>
    </w:p>
    <w:p>
      <w:pPr>
        <w:pStyle w:val="ListParagraph"/>
        <w:numPr>
          <w:ilvl w:val="0"/>
          <w:numId w:val="32"/>
        </w:numPr>
        <w:tabs>
          <w:tab w:pos="1402" w:val="left" w:leader="none"/>
        </w:tabs>
        <w:spacing w:line="240" w:lineRule="auto" w:before="216" w:after="0"/>
        <w:ind w:left="1402" w:right="974" w:hanging="360"/>
        <w:jc w:val="both"/>
        <w:rPr>
          <w:sz w:val="22"/>
        </w:rPr>
      </w:pPr>
      <w:r>
        <w:rPr>
          <w:sz w:val="22"/>
        </w:rPr>
        <w:t>Recaudación</w:t>
      </w:r>
      <w:r>
        <w:rPr>
          <w:spacing w:val="-1"/>
          <w:sz w:val="22"/>
        </w:rPr>
        <w:t> </w:t>
      </w:r>
      <w:r>
        <w:rPr>
          <w:sz w:val="22"/>
        </w:rPr>
        <w:t>de</w:t>
      </w:r>
      <w:r>
        <w:rPr>
          <w:spacing w:val="-2"/>
          <w:sz w:val="22"/>
        </w:rPr>
        <w:t> </w:t>
      </w:r>
      <w:r>
        <w:rPr>
          <w:sz w:val="22"/>
        </w:rPr>
        <w:t>ju1io</w:t>
      </w:r>
      <w:r>
        <w:rPr>
          <w:spacing w:val="-3"/>
          <w:sz w:val="22"/>
        </w:rPr>
        <w:t> </w:t>
      </w:r>
      <w:r>
        <w:rPr>
          <w:sz w:val="22"/>
        </w:rPr>
        <w:t>2026</w:t>
      </w:r>
      <w:r>
        <w:rPr>
          <w:spacing w:val="-5"/>
          <w:sz w:val="22"/>
        </w:rPr>
        <w:t> </w:t>
      </w:r>
      <w:r>
        <w:rPr>
          <w:sz w:val="22"/>
        </w:rPr>
        <w:t>por</w:t>
      </w:r>
      <w:r>
        <w:rPr>
          <w:spacing w:val="-1"/>
          <w:sz w:val="22"/>
        </w:rPr>
        <w:t> </w:t>
      </w:r>
      <w:r>
        <w:rPr>
          <w:sz w:val="22"/>
        </w:rPr>
        <w:t>un</w:t>
      </w:r>
      <w:r>
        <w:rPr>
          <w:spacing w:val="-3"/>
          <w:sz w:val="22"/>
        </w:rPr>
        <w:t> </w:t>
      </w:r>
      <w:r>
        <w:rPr>
          <w:sz w:val="22"/>
        </w:rPr>
        <w:t>monto</w:t>
      </w:r>
      <w:r>
        <w:rPr>
          <w:spacing w:val="-2"/>
          <w:sz w:val="22"/>
        </w:rPr>
        <w:t> </w:t>
      </w:r>
      <w:r>
        <w:rPr>
          <w:sz w:val="22"/>
        </w:rPr>
        <w:t>de</w:t>
      </w:r>
      <w:r>
        <w:rPr>
          <w:spacing w:val="-3"/>
          <w:sz w:val="22"/>
        </w:rPr>
        <w:t> </w:t>
      </w:r>
      <w:r>
        <w:rPr>
          <w:sz w:val="22"/>
        </w:rPr>
        <w:t>¢4.604.941.232</w:t>
      </w:r>
      <w:r>
        <w:rPr>
          <w:spacing w:val="-2"/>
          <w:sz w:val="22"/>
        </w:rPr>
        <w:t> </w:t>
      </w:r>
      <w:r>
        <w:rPr>
          <w:sz w:val="22"/>
        </w:rPr>
        <w:t>colones</w:t>
      </w:r>
      <w:r>
        <w:rPr>
          <w:spacing w:val="-2"/>
          <w:sz w:val="22"/>
        </w:rPr>
        <w:t> </w:t>
      </w:r>
      <w:r>
        <w:rPr>
          <w:sz w:val="22"/>
        </w:rPr>
        <w:t>oficio</w:t>
      </w:r>
      <w:r>
        <w:rPr>
          <w:spacing w:val="-1"/>
          <w:sz w:val="22"/>
        </w:rPr>
        <w:t> </w:t>
      </w:r>
      <w:r>
        <w:rPr>
          <w:sz w:val="22"/>
        </w:rPr>
        <w:t>DSCR-AFCOP-0155-2026 y;</w:t>
      </w:r>
    </w:p>
    <w:p>
      <w:pPr>
        <w:pStyle w:val="ListParagraph"/>
        <w:numPr>
          <w:ilvl w:val="0"/>
          <w:numId w:val="32"/>
        </w:numPr>
        <w:tabs>
          <w:tab w:pos="1402" w:val="left" w:leader="none"/>
        </w:tabs>
        <w:spacing w:line="240" w:lineRule="auto" w:before="1" w:after="0"/>
        <w:ind w:left="1402" w:right="973" w:hanging="360"/>
        <w:jc w:val="both"/>
        <w:rPr>
          <w:b/>
          <w:sz w:val="22"/>
        </w:rPr>
      </w:pPr>
      <w:r>
        <w:rPr>
          <w:b/>
          <w:sz w:val="22"/>
          <w:u w:val="single"/>
        </w:rPr>
        <w:t>Diferencia acumulada por ¢1.753.219, generada por diferencia en el monto cancelado de</w:t>
      </w:r>
      <w:r>
        <w:rPr>
          <w:b/>
          <w:sz w:val="22"/>
          <w:u w:val="none"/>
        </w:rPr>
        <w:t> </w:t>
      </w:r>
      <w:r>
        <w:rPr>
          <w:b/>
          <w:sz w:val="22"/>
          <w:u w:val="single"/>
        </w:rPr>
        <w:t>octubre</w:t>
      </w:r>
      <w:r>
        <w:rPr>
          <w:b/>
          <w:spacing w:val="-6"/>
          <w:sz w:val="22"/>
          <w:u w:val="single"/>
        </w:rPr>
        <w:t> </w:t>
      </w:r>
      <w:r>
        <w:rPr>
          <w:b/>
          <w:sz w:val="22"/>
          <w:u w:val="single"/>
        </w:rPr>
        <w:t>2024</w:t>
      </w:r>
      <w:r>
        <w:rPr>
          <w:b/>
          <w:spacing w:val="-6"/>
          <w:sz w:val="22"/>
          <w:u w:val="single"/>
        </w:rPr>
        <w:t> </w:t>
      </w:r>
      <w:r>
        <w:rPr>
          <w:b/>
          <w:sz w:val="22"/>
          <w:u w:val="single"/>
        </w:rPr>
        <w:t>según</w:t>
      </w:r>
      <w:r>
        <w:rPr>
          <w:b/>
          <w:spacing w:val="-7"/>
          <w:sz w:val="22"/>
          <w:u w:val="single"/>
        </w:rPr>
        <w:t> </w:t>
      </w:r>
      <w:r>
        <w:rPr>
          <w:b/>
          <w:sz w:val="22"/>
          <w:u w:val="single"/>
        </w:rPr>
        <w:t>lo</w:t>
      </w:r>
      <w:r>
        <w:rPr>
          <w:b/>
          <w:spacing w:val="-7"/>
          <w:sz w:val="22"/>
          <w:u w:val="single"/>
        </w:rPr>
        <w:t> </w:t>
      </w:r>
      <w:r>
        <w:rPr>
          <w:b/>
          <w:sz w:val="22"/>
          <w:u w:val="single"/>
        </w:rPr>
        <w:t>recaudado</w:t>
      </w:r>
      <w:r>
        <w:rPr>
          <w:b/>
          <w:spacing w:val="-4"/>
          <w:sz w:val="22"/>
          <w:u w:val="single"/>
        </w:rPr>
        <w:t> </w:t>
      </w:r>
      <w:r>
        <w:rPr>
          <w:b/>
          <w:sz w:val="22"/>
          <w:u w:val="single"/>
        </w:rPr>
        <w:t>en</w:t>
      </w:r>
      <w:r>
        <w:rPr>
          <w:b/>
          <w:spacing w:val="-5"/>
          <w:sz w:val="22"/>
          <w:u w:val="single"/>
        </w:rPr>
        <w:t> </w:t>
      </w:r>
      <w:r>
        <w:rPr>
          <w:b/>
          <w:sz w:val="22"/>
          <w:u w:val="single"/>
        </w:rPr>
        <w:t>octubre</w:t>
      </w:r>
      <w:r>
        <w:rPr>
          <w:b/>
          <w:spacing w:val="-6"/>
          <w:sz w:val="22"/>
          <w:u w:val="single"/>
        </w:rPr>
        <w:t> </w:t>
      </w:r>
      <w:r>
        <w:rPr>
          <w:b/>
          <w:sz w:val="22"/>
          <w:u w:val="single"/>
        </w:rPr>
        <w:t>indicado</w:t>
      </w:r>
      <w:r>
        <w:rPr>
          <w:b/>
          <w:spacing w:val="-4"/>
          <w:sz w:val="22"/>
          <w:u w:val="single"/>
        </w:rPr>
        <w:t> </w:t>
      </w:r>
      <w:r>
        <w:rPr>
          <w:b/>
          <w:sz w:val="22"/>
          <w:u w:val="single"/>
        </w:rPr>
        <w:t>en</w:t>
      </w:r>
      <w:r>
        <w:rPr>
          <w:b/>
          <w:spacing w:val="-4"/>
          <w:sz w:val="22"/>
          <w:u w:val="single"/>
        </w:rPr>
        <w:t> </w:t>
      </w:r>
      <w:r>
        <w:rPr>
          <w:b/>
          <w:sz w:val="22"/>
          <w:u w:val="single"/>
        </w:rPr>
        <w:t>el</w:t>
      </w:r>
      <w:r>
        <w:rPr>
          <w:b/>
          <w:spacing w:val="-8"/>
          <w:sz w:val="22"/>
          <w:u w:val="single"/>
        </w:rPr>
        <w:t> </w:t>
      </w:r>
      <w:r>
        <w:rPr>
          <w:b/>
          <w:sz w:val="22"/>
          <w:u w:val="single"/>
        </w:rPr>
        <w:t>oficio</w:t>
      </w:r>
      <w:r>
        <w:rPr>
          <w:b/>
          <w:spacing w:val="-7"/>
          <w:sz w:val="22"/>
          <w:u w:val="single"/>
        </w:rPr>
        <w:t> </w:t>
      </w:r>
      <w:r>
        <w:rPr>
          <w:b/>
          <w:sz w:val="22"/>
          <w:u w:val="single"/>
        </w:rPr>
        <w:t>DSCR-AFCOP-0243-2024</w:t>
      </w:r>
      <w:r>
        <w:rPr>
          <w:b/>
          <w:sz w:val="22"/>
          <w:u w:val="none"/>
        </w:rPr>
        <w:t> </w:t>
      </w:r>
      <w:r>
        <w:rPr>
          <w:b/>
          <w:spacing w:val="-2"/>
          <w:sz w:val="22"/>
          <w:u w:val="single"/>
        </w:rPr>
        <w:t>(IMAS)</w:t>
      </w:r>
    </w:p>
    <w:p>
      <w:pPr>
        <w:pStyle w:val="Heading6"/>
        <w:spacing w:before="241"/>
        <w:ind w:left="622"/>
      </w:pPr>
      <w:r>
        <w:rPr/>
        <w:t>Indicar</w:t>
      </w:r>
      <w:r>
        <w:rPr>
          <w:spacing w:val="-4"/>
        </w:rPr>
        <w:t> </w:t>
      </w:r>
      <w:r>
        <w:rPr/>
        <w:t>el</w:t>
      </w:r>
      <w:r>
        <w:rPr>
          <w:spacing w:val="-3"/>
        </w:rPr>
        <w:t> </w:t>
      </w:r>
      <w:r>
        <w:rPr/>
        <w:t>Método</w:t>
      </w:r>
      <w:r>
        <w:rPr>
          <w:spacing w:val="-3"/>
        </w:rPr>
        <w:t> </w:t>
      </w:r>
      <w:r>
        <w:rPr>
          <w:spacing w:val="-2"/>
        </w:rPr>
        <w:t>Utilizando:</w:t>
      </w:r>
    </w:p>
    <w:p>
      <w:pPr>
        <w:pStyle w:val="BodyText"/>
        <w:spacing w:before="181"/>
        <w:ind w:left="622"/>
      </w:pPr>
      <w:r>
        <w:rPr/>
        <w:t>Antigüedad</w:t>
      </w:r>
      <w:r>
        <w:rPr>
          <w:spacing w:val="-4"/>
        </w:rPr>
        <w:t> </w:t>
      </w:r>
      <w:r>
        <w:rPr/>
        <w:t>de</w:t>
      </w:r>
      <w:r>
        <w:rPr>
          <w:spacing w:val="-4"/>
        </w:rPr>
        <w:t> </w:t>
      </w:r>
      <w:r>
        <w:rPr/>
        <w:t>saldos</w:t>
      </w:r>
      <w:r>
        <w:rPr>
          <w:spacing w:val="-3"/>
        </w:rPr>
        <w:t> </w:t>
      </w:r>
      <w:r>
        <w:rPr/>
        <w:t>Método</w:t>
      </w:r>
      <w:r>
        <w:rPr>
          <w:spacing w:val="-3"/>
        </w:rPr>
        <w:t> </w:t>
      </w:r>
      <w:r>
        <w:rPr/>
        <w:t>de</w:t>
      </w:r>
      <w:r>
        <w:rPr>
          <w:spacing w:val="-6"/>
        </w:rPr>
        <w:t> </w:t>
      </w:r>
      <w:r>
        <w:rPr/>
        <w:t>estimación</w:t>
      </w:r>
      <w:r>
        <w:rPr>
          <w:spacing w:val="-3"/>
        </w:rPr>
        <w:t> </w:t>
      </w:r>
      <w:r>
        <w:rPr/>
        <w:t>por</w:t>
      </w:r>
      <w:r>
        <w:rPr>
          <w:spacing w:val="-5"/>
        </w:rPr>
        <w:t> </w:t>
      </w:r>
      <w:r>
        <w:rPr>
          <w:spacing w:val="-2"/>
        </w:rPr>
        <w:t>incobrable</w:t>
      </w:r>
    </w:p>
    <w:p>
      <w:pPr>
        <w:pStyle w:val="BodyText"/>
        <w:spacing w:before="50"/>
      </w:pPr>
    </w:p>
    <w:p>
      <w:pPr>
        <w:pStyle w:val="Heading6"/>
        <w:spacing w:line="256" w:lineRule="auto"/>
        <w:ind w:left="730" w:right="860"/>
        <w:rPr>
          <w:b w:val="0"/>
        </w:rPr>
      </w:pPr>
      <w:r>
        <w:rPr>
          <w:color w:val="1F4E79"/>
          <w:u w:val="single" w:color="1F4E79"/>
        </w:rPr>
        <w:t>Indicar</w:t>
      </w:r>
      <w:r>
        <w:rPr>
          <w:color w:val="1F4E79"/>
          <w:spacing w:val="-1"/>
          <w:u w:val="single" w:color="1F4E79"/>
        </w:rPr>
        <w:t> </w:t>
      </w:r>
      <w:r>
        <w:rPr>
          <w:color w:val="1F4E79"/>
          <w:u w:val="single" w:color="1F4E79"/>
        </w:rPr>
        <w:t>los</w:t>
      </w:r>
      <w:r>
        <w:rPr>
          <w:color w:val="1F4E79"/>
          <w:spacing w:val="-2"/>
          <w:u w:val="single" w:color="1F4E79"/>
        </w:rPr>
        <w:t> </w:t>
      </w:r>
      <w:r>
        <w:rPr>
          <w:color w:val="1F4E79"/>
          <w:u w:val="single" w:color="1F4E79"/>
        </w:rPr>
        <w:t>procedimientos</w:t>
      </w:r>
      <w:r>
        <w:rPr>
          <w:color w:val="1F4E79"/>
          <w:spacing w:val="-5"/>
          <w:u w:val="single" w:color="1F4E79"/>
        </w:rPr>
        <w:t> </w:t>
      </w:r>
      <w:r>
        <w:rPr>
          <w:color w:val="1F4E79"/>
          <w:u w:val="single" w:color="1F4E79"/>
        </w:rPr>
        <w:t>utilizados</w:t>
      </w:r>
      <w:r>
        <w:rPr>
          <w:color w:val="1F4E79"/>
          <w:spacing w:val="-2"/>
          <w:u w:val="single" w:color="1F4E79"/>
        </w:rPr>
        <w:t> </w:t>
      </w:r>
      <w:r>
        <w:rPr>
          <w:color w:val="1F4E79"/>
          <w:u w:val="single" w:color="1F4E79"/>
        </w:rPr>
        <w:t>para</w:t>
      </w:r>
      <w:r>
        <w:rPr>
          <w:color w:val="1F4E79"/>
          <w:spacing w:val="-4"/>
          <w:u w:val="single" w:color="1F4E79"/>
        </w:rPr>
        <w:t> </w:t>
      </w:r>
      <w:r>
        <w:rPr>
          <w:color w:val="1F4E79"/>
          <w:u w:val="single" w:color="1F4E79"/>
        </w:rPr>
        <w:t>la</w:t>
      </w:r>
      <w:r>
        <w:rPr>
          <w:color w:val="1F4E79"/>
          <w:spacing w:val="-5"/>
          <w:u w:val="single" w:color="1F4E79"/>
        </w:rPr>
        <w:t> </w:t>
      </w:r>
      <w:r>
        <w:rPr>
          <w:color w:val="1F4E79"/>
          <w:u w:val="single" w:color="1F4E79"/>
        </w:rPr>
        <w:t>determinación</w:t>
      </w:r>
      <w:r>
        <w:rPr>
          <w:color w:val="1F4E79"/>
          <w:spacing w:val="-3"/>
          <w:u w:val="single" w:color="1F4E79"/>
        </w:rPr>
        <w:t> </w:t>
      </w:r>
      <w:r>
        <w:rPr>
          <w:color w:val="1F4E79"/>
          <w:u w:val="single" w:color="1F4E79"/>
        </w:rPr>
        <w:t>de</w:t>
      </w:r>
      <w:r>
        <w:rPr>
          <w:color w:val="1F4E79"/>
          <w:spacing w:val="-3"/>
          <w:u w:val="single" w:color="1F4E79"/>
        </w:rPr>
        <w:t> </w:t>
      </w:r>
      <w:r>
        <w:rPr>
          <w:color w:val="1F4E79"/>
          <w:u w:val="single" w:color="1F4E79"/>
        </w:rPr>
        <w:t>los</w:t>
      </w:r>
      <w:r>
        <w:rPr>
          <w:color w:val="1F4E79"/>
          <w:spacing w:val="-2"/>
          <w:u w:val="single" w:color="1F4E79"/>
        </w:rPr>
        <w:t> </w:t>
      </w:r>
      <w:r>
        <w:rPr>
          <w:color w:val="1F4E79"/>
          <w:u w:val="single" w:color="1F4E79"/>
        </w:rPr>
        <w:t>valores</w:t>
      </w:r>
      <w:r>
        <w:rPr>
          <w:color w:val="1F4E79"/>
          <w:spacing w:val="-2"/>
          <w:u w:val="single" w:color="1F4E79"/>
        </w:rPr>
        <w:t> </w:t>
      </w:r>
      <w:r>
        <w:rPr>
          <w:color w:val="1F4E79"/>
          <w:u w:val="single" w:color="1F4E79"/>
        </w:rPr>
        <w:t>razonables</w:t>
      </w:r>
      <w:r>
        <w:rPr>
          <w:color w:val="1F4E79"/>
          <w:spacing w:val="-2"/>
          <w:u w:val="single" w:color="1F4E79"/>
        </w:rPr>
        <w:t> </w:t>
      </w:r>
      <w:r>
        <w:rPr>
          <w:color w:val="1F4E79"/>
          <w:u w:val="single" w:color="1F4E79"/>
        </w:rPr>
        <w:t>para</w:t>
      </w:r>
      <w:r>
        <w:rPr>
          <w:color w:val="1F4E79"/>
          <w:spacing w:val="-4"/>
          <w:u w:val="single" w:color="1F4E79"/>
        </w:rPr>
        <w:t> </w:t>
      </w:r>
      <w:r>
        <w:rPr>
          <w:color w:val="1F4E79"/>
          <w:u w:val="single" w:color="1F4E79"/>
        </w:rPr>
        <w:t>cada</w:t>
      </w:r>
      <w:r>
        <w:rPr>
          <w:color w:val="1F4E79"/>
          <w:spacing w:val="-4"/>
          <w:u w:val="single" w:color="1F4E79"/>
        </w:rPr>
        <w:t> </w:t>
      </w:r>
      <w:r>
        <w:rPr>
          <w:color w:val="1F4E79"/>
          <w:u w:val="single" w:color="1F4E79"/>
        </w:rPr>
        <w:t>clase</w:t>
      </w:r>
      <w:r>
        <w:rPr>
          <w:color w:val="1F4E79"/>
          <w:u w:val="none"/>
        </w:rPr>
        <w:t> </w:t>
      </w:r>
      <w:r>
        <w:rPr>
          <w:color w:val="1F4E79"/>
          <w:u w:val="single" w:color="1F4E79"/>
        </w:rPr>
        <w:t>de activo financiero</w:t>
      </w:r>
      <w:r>
        <w:rPr>
          <w:b w:val="0"/>
          <w:u w:val="none"/>
        </w:rPr>
        <w:t>:</w:t>
      </w:r>
    </w:p>
    <w:p>
      <w:pPr>
        <w:pStyle w:val="BodyText"/>
        <w:spacing w:before="164"/>
        <w:ind w:left="730"/>
      </w:pPr>
      <w:r>
        <w:rPr/>
        <w:t>Las</w:t>
      </w:r>
      <w:r>
        <w:rPr>
          <w:spacing w:val="-4"/>
        </w:rPr>
        <w:t> </w:t>
      </w:r>
      <w:r>
        <w:rPr/>
        <w:t>cuentas</w:t>
      </w:r>
      <w:r>
        <w:rPr>
          <w:spacing w:val="-3"/>
        </w:rPr>
        <w:t> </w:t>
      </w:r>
      <w:r>
        <w:rPr/>
        <w:t>y</w:t>
      </w:r>
      <w:r>
        <w:rPr>
          <w:spacing w:val="-4"/>
        </w:rPr>
        <w:t> </w:t>
      </w:r>
      <w:r>
        <w:rPr/>
        <w:t>documentos</w:t>
      </w:r>
      <w:r>
        <w:rPr>
          <w:spacing w:val="-2"/>
        </w:rPr>
        <w:t> </w:t>
      </w:r>
      <w:r>
        <w:rPr/>
        <w:t>por</w:t>
      </w:r>
      <w:r>
        <w:rPr>
          <w:spacing w:val="-3"/>
        </w:rPr>
        <w:t> </w:t>
      </w:r>
      <w:r>
        <w:rPr/>
        <w:t>cobrar</w:t>
      </w:r>
      <w:r>
        <w:rPr>
          <w:spacing w:val="-3"/>
        </w:rPr>
        <w:t> </w:t>
      </w:r>
      <w:r>
        <w:rPr/>
        <w:t>por</w:t>
      </w:r>
      <w:r>
        <w:rPr>
          <w:spacing w:val="-5"/>
        </w:rPr>
        <w:t> </w:t>
      </w:r>
      <w:r>
        <w:rPr/>
        <w:t>su</w:t>
      </w:r>
      <w:r>
        <w:rPr>
          <w:spacing w:val="-3"/>
        </w:rPr>
        <w:t> </w:t>
      </w:r>
      <w:r>
        <w:rPr/>
        <w:t>naturaleza</w:t>
      </w:r>
      <w:r>
        <w:rPr>
          <w:spacing w:val="-3"/>
        </w:rPr>
        <w:t> </w:t>
      </w:r>
      <w:r>
        <w:rPr/>
        <w:t>se</w:t>
      </w:r>
      <w:r>
        <w:rPr>
          <w:spacing w:val="-3"/>
        </w:rPr>
        <w:t> </w:t>
      </w:r>
      <w:r>
        <w:rPr/>
        <w:t>mantienen</w:t>
      </w:r>
      <w:r>
        <w:rPr>
          <w:spacing w:val="-3"/>
        </w:rPr>
        <w:t> </w:t>
      </w:r>
      <w:r>
        <w:rPr/>
        <w:t>al</w:t>
      </w:r>
      <w:r>
        <w:rPr>
          <w:spacing w:val="-3"/>
        </w:rPr>
        <w:t> </w:t>
      </w:r>
      <w:r>
        <w:rPr>
          <w:spacing w:val="-2"/>
        </w:rPr>
        <w:t>costo</w:t>
      </w:r>
    </w:p>
    <w:p>
      <w:pPr>
        <w:pStyle w:val="BodyText"/>
        <w:spacing w:before="160"/>
        <w:ind w:left="730" w:right="860"/>
      </w:pPr>
      <w:r>
        <w:rPr/>
        <w:t>El IMAS aplica la política contable general 1.50 en la generalidad de los casos, la medición contable posterior</w:t>
      </w:r>
      <w:r>
        <w:rPr>
          <w:spacing w:val="-2"/>
        </w:rPr>
        <w:t> </w:t>
      </w:r>
      <w:r>
        <w:rPr/>
        <w:t>de</w:t>
      </w:r>
      <w:r>
        <w:rPr>
          <w:spacing w:val="-4"/>
        </w:rPr>
        <w:t> </w:t>
      </w:r>
      <w:r>
        <w:rPr/>
        <w:t>las</w:t>
      </w:r>
      <w:r>
        <w:rPr>
          <w:spacing w:val="-1"/>
        </w:rPr>
        <w:t> </w:t>
      </w:r>
      <w:r>
        <w:rPr/>
        <w:t>cuentas</w:t>
      </w:r>
      <w:r>
        <w:rPr>
          <w:spacing w:val="-4"/>
        </w:rPr>
        <w:t> </w:t>
      </w:r>
      <w:r>
        <w:rPr/>
        <w:t>por</w:t>
      </w:r>
      <w:r>
        <w:rPr>
          <w:spacing w:val="-4"/>
        </w:rPr>
        <w:t> </w:t>
      </w:r>
      <w:r>
        <w:rPr/>
        <w:t>cobrar</w:t>
      </w:r>
      <w:r>
        <w:rPr>
          <w:spacing w:val="-2"/>
        </w:rPr>
        <w:t> </w:t>
      </w:r>
      <w:r>
        <w:rPr/>
        <w:t>deberá</w:t>
      </w:r>
      <w:r>
        <w:rPr>
          <w:spacing w:val="-3"/>
        </w:rPr>
        <w:t> </w:t>
      </w:r>
      <w:r>
        <w:rPr/>
        <w:t>realizarse</w:t>
      </w:r>
      <w:r>
        <w:rPr>
          <w:spacing w:val="-2"/>
        </w:rPr>
        <w:t> </w:t>
      </w:r>
      <w:r>
        <w:rPr/>
        <w:t>por</w:t>
      </w:r>
      <w:r>
        <w:rPr>
          <w:spacing w:val="-5"/>
        </w:rPr>
        <w:t> </w:t>
      </w:r>
      <w:r>
        <w:rPr/>
        <w:t>el</w:t>
      </w:r>
      <w:r>
        <w:rPr>
          <w:spacing w:val="-2"/>
        </w:rPr>
        <w:t> </w:t>
      </w:r>
      <w:r>
        <w:rPr/>
        <w:t>costo</w:t>
      </w:r>
      <w:r>
        <w:rPr>
          <w:spacing w:val="-3"/>
        </w:rPr>
        <w:t> </w:t>
      </w:r>
      <w:r>
        <w:rPr/>
        <w:t>amortizado</w:t>
      </w:r>
      <w:r>
        <w:rPr>
          <w:spacing w:val="-4"/>
        </w:rPr>
        <w:t> </w:t>
      </w:r>
      <w:r>
        <w:rPr/>
        <w:t>utilizando</w:t>
      </w:r>
      <w:r>
        <w:rPr>
          <w:spacing w:val="-2"/>
        </w:rPr>
        <w:t> </w:t>
      </w:r>
      <w:r>
        <w:rPr/>
        <w:t>el</w:t>
      </w:r>
      <w:r>
        <w:rPr>
          <w:spacing w:val="-2"/>
        </w:rPr>
        <w:t> </w:t>
      </w:r>
      <w:r>
        <w:rPr/>
        <w:t>método</w:t>
      </w:r>
      <w:r>
        <w:rPr>
          <w:spacing w:val="-2"/>
        </w:rPr>
        <w:t> </w:t>
      </w:r>
      <w:r>
        <w:rPr/>
        <w:t>de la tasa de interés efectiva.</w:t>
      </w:r>
    </w:p>
    <w:p>
      <w:pPr>
        <w:pStyle w:val="BodyText"/>
        <w:spacing w:before="250"/>
        <w:ind w:left="785"/>
        <w:jc w:val="both"/>
      </w:pPr>
      <w:r>
        <w:rPr/>
        <w:t>Situaciones</w:t>
      </w:r>
      <w:r>
        <w:rPr>
          <w:spacing w:val="-6"/>
        </w:rPr>
        <w:t> </w:t>
      </w:r>
      <w:r>
        <w:rPr/>
        <w:t>especiales</w:t>
      </w:r>
      <w:r>
        <w:rPr>
          <w:spacing w:val="-4"/>
        </w:rPr>
        <w:t> </w:t>
      </w:r>
      <w:r>
        <w:rPr/>
        <w:t>cuentas</w:t>
      </w:r>
      <w:r>
        <w:rPr>
          <w:spacing w:val="-4"/>
        </w:rPr>
        <w:t> </w:t>
      </w:r>
      <w:r>
        <w:rPr/>
        <w:t>por</w:t>
      </w:r>
      <w:r>
        <w:rPr>
          <w:spacing w:val="-5"/>
        </w:rPr>
        <w:t> </w:t>
      </w:r>
      <w:r>
        <w:rPr/>
        <w:t>cobrar</w:t>
      </w:r>
      <w:r>
        <w:rPr>
          <w:spacing w:val="-4"/>
        </w:rPr>
        <w:t> IMAS</w:t>
      </w:r>
    </w:p>
    <w:p>
      <w:pPr>
        <w:pStyle w:val="ListParagraph"/>
        <w:numPr>
          <w:ilvl w:val="0"/>
          <w:numId w:val="33"/>
        </w:numPr>
        <w:tabs>
          <w:tab w:pos="1450" w:val="left" w:leader="none"/>
        </w:tabs>
        <w:spacing w:line="240" w:lineRule="auto" w:before="1" w:after="0"/>
        <w:ind w:left="1450" w:right="929" w:hanging="360"/>
        <w:jc w:val="both"/>
        <w:rPr>
          <w:sz w:val="22"/>
        </w:rPr>
      </w:pPr>
      <w:r>
        <w:rPr>
          <w:sz w:val="22"/>
        </w:rPr>
        <w:t>Las cuentas por cobrar del IMAS provienen de ingresos sin contraprestación, y deben ser reconocidos de acuerdo con la NICSP 23.</w:t>
      </w:r>
    </w:p>
    <w:p>
      <w:pPr>
        <w:pStyle w:val="ListParagraph"/>
        <w:numPr>
          <w:ilvl w:val="0"/>
          <w:numId w:val="33"/>
        </w:numPr>
        <w:tabs>
          <w:tab w:pos="1450" w:val="left" w:leader="none"/>
        </w:tabs>
        <w:spacing w:line="240" w:lineRule="auto" w:before="0" w:after="0"/>
        <w:ind w:left="1450" w:right="923" w:hanging="360"/>
        <w:jc w:val="both"/>
        <w:rPr>
          <w:sz w:val="22"/>
        </w:rPr>
      </w:pPr>
      <w:r>
        <w:rPr>
          <w:sz w:val="22"/>
        </w:rPr>
        <w:t>Las cuentas por cobrar impositivas con que cuenta la Institución, le es aplicable la política contable</w:t>
      </w:r>
      <w:r>
        <w:rPr>
          <w:spacing w:val="-12"/>
          <w:sz w:val="22"/>
        </w:rPr>
        <w:t> </w:t>
      </w:r>
      <w:r>
        <w:rPr>
          <w:sz w:val="22"/>
        </w:rPr>
        <w:t>general</w:t>
      </w:r>
      <w:r>
        <w:rPr>
          <w:spacing w:val="-11"/>
          <w:sz w:val="22"/>
        </w:rPr>
        <w:t> </w:t>
      </w:r>
      <w:r>
        <w:rPr>
          <w:sz w:val="22"/>
        </w:rPr>
        <w:t>1.60</w:t>
      </w:r>
      <w:r>
        <w:rPr>
          <w:spacing w:val="-12"/>
          <w:sz w:val="22"/>
        </w:rPr>
        <w:t> </w:t>
      </w:r>
      <w:r>
        <w:rPr>
          <w:sz w:val="22"/>
        </w:rPr>
        <w:t>la</w:t>
      </w:r>
      <w:r>
        <w:rPr>
          <w:spacing w:val="-12"/>
          <w:sz w:val="22"/>
        </w:rPr>
        <w:t> </w:t>
      </w:r>
      <w:r>
        <w:rPr>
          <w:sz w:val="22"/>
        </w:rPr>
        <w:t>cual</w:t>
      </w:r>
      <w:r>
        <w:rPr>
          <w:spacing w:val="-11"/>
          <w:sz w:val="22"/>
        </w:rPr>
        <w:t> </w:t>
      </w:r>
      <w:r>
        <w:rPr>
          <w:sz w:val="22"/>
        </w:rPr>
        <w:t>establece</w:t>
      </w:r>
      <w:r>
        <w:rPr>
          <w:spacing w:val="-12"/>
          <w:sz w:val="22"/>
        </w:rPr>
        <w:t> </w:t>
      </w:r>
      <w:r>
        <w:rPr>
          <w:sz w:val="22"/>
        </w:rPr>
        <w:t>que,</w:t>
      </w:r>
      <w:r>
        <w:rPr>
          <w:spacing w:val="-10"/>
          <w:sz w:val="22"/>
        </w:rPr>
        <w:t> </w:t>
      </w:r>
      <w:r>
        <w:rPr>
          <w:sz w:val="22"/>
        </w:rPr>
        <w:t>los</w:t>
      </w:r>
      <w:r>
        <w:rPr>
          <w:spacing w:val="-10"/>
          <w:sz w:val="22"/>
        </w:rPr>
        <w:t> </w:t>
      </w:r>
      <w:r>
        <w:rPr>
          <w:sz w:val="22"/>
        </w:rPr>
        <w:t>activos</w:t>
      </w:r>
      <w:r>
        <w:rPr>
          <w:spacing w:val="-12"/>
          <w:sz w:val="22"/>
        </w:rPr>
        <w:t> </w:t>
      </w:r>
      <w:r>
        <w:rPr>
          <w:sz w:val="22"/>
        </w:rPr>
        <w:t>que</w:t>
      </w:r>
      <w:r>
        <w:rPr>
          <w:spacing w:val="-12"/>
          <w:sz w:val="22"/>
        </w:rPr>
        <w:t> </w:t>
      </w:r>
      <w:r>
        <w:rPr>
          <w:sz w:val="22"/>
        </w:rPr>
        <w:t>surgen</w:t>
      </w:r>
      <w:r>
        <w:rPr>
          <w:spacing w:val="-10"/>
          <w:sz w:val="22"/>
        </w:rPr>
        <w:t> </w:t>
      </w:r>
      <w:r>
        <w:rPr>
          <w:sz w:val="22"/>
        </w:rPr>
        <w:t>de</w:t>
      </w:r>
      <w:r>
        <w:rPr>
          <w:spacing w:val="-13"/>
          <w:sz w:val="22"/>
        </w:rPr>
        <w:t> </w:t>
      </w:r>
      <w:r>
        <w:rPr>
          <w:sz w:val="22"/>
        </w:rPr>
        <w:t>transacciones</w:t>
      </w:r>
      <w:r>
        <w:rPr>
          <w:spacing w:val="-10"/>
          <w:sz w:val="22"/>
        </w:rPr>
        <w:t> </w:t>
      </w:r>
      <w:r>
        <w:rPr>
          <w:sz w:val="22"/>
        </w:rPr>
        <w:t>impositivas se miden por la mejor estimación de la entrada de recursos a la entidad, por lo cual la dife-rencia</w:t>
      </w:r>
      <w:r>
        <w:rPr>
          <w:spacing w:val="-5"/>
          <w:sz w:val="22"/>
        </w:rPr>
        <w:t> </w:t>
      </w:r>
      <w:r>
        <w:rPr>
          <w:sz w:val="22"/>
        </w:rPr>
        <w:t>entre</w:t>
      </w:r>
      <w:r>
        <w:rPr>
          <w:spacing w:val="-5"/>
          <w:sz w:val="22"/>
        </w:rPr>
        <w:t> </w:t>
      </w:r>
      <w:r>
        <w:rPr>
          <w:sz w:val="22"/>
        </w:rPr>
        <w:t>dicha</w:t>
      </w:r>
      <w:r>
        <w:rPr>
          <w:spacing w:val="-5"/>
          <w:sz w:val="22"/>
        </w:rPr>
        <w:t> </w:t>
      </w:r>
      <w:r>
        <w:rPr>
          <w:sz w:val="22"/>
        </w:rPr>
        <w:t>estimación</w:t>
      </w:r>
      <w:r>
        <w:rPr>
          <w:spacing w:val="-4"/>
          <w:sz w:val="22"/>
        </w:rPr>
        <w:t> </w:t>
      </w:r>
      <w:r>
        <w:rPr>
          <w:sz w:val="22"/>
        </w:rPr>
        <w:t>y</w:t>
      </w:r>
      <w:r>
        <w:rPr>
          <w:spacing w:val="-6"/>
          <w:sz w:val="22"/>
        </w:rPr>
        <w:t> </w:t>
      </w:r>
      <w:r>
        <w:rPr>
          <w:sz w:val="22"/>
        </w:rPr>
        <w:t>la</w:t>
      </w:r>
      <w:r>
        <w:rPr>
          <w:spacing w:val="-6"/>
          <w:sz w:val="22"/>
        </w:rPr>
        <w:t> </w:t>
      </w:r>
      <w:r>
        <w:rPr>
          <w:sz w:val="22"/>
        </w:rPr>
        <w:t>recaudación</w:t>
      </w:r>
      <w:r>
        <w:rPr>
          <w:spacing w:val="-4"/>
          <w:sz w:val="22"/>
        </w:rPr>
        <w:t> </w:t>
      </w:r>
      <w:r>
        <w:rPr>
          <w:sz w:val="22"/>
        </w:rPr>
        <w:t>real</w:t>
      </w:r>
      <w:r>
        <w:rPr>
          <w:spacing w:val="-5"/>
          <w:sz w:val="22"/>
        </w:rPr>
        <w:t> </w:t>
      </w:r>
      <w:r>
        <w:rPr>
          <w:sz w:val="22"/>
        </w:rPr>
        <w:t>dará</w:t>
      </w:r>
      <w:r>
        <w:rPr>
          <w:spacing w:val="-3"/>
          <w:sz w:val="22"/>
        </w:rPr>
        <w:t> </w:t>
      </w:r>
      <w:r>
        <w:rPr>
          <w:sz w:val="22"/>
        </w:rPr>
        <w:t>origen</w:t>
      </w:r>
      <w:r>
        <w:rPr>
          <w:spacing w:val="-4"/>
          <w:sz w:val="22"/>
        </w:rPr>
        <w:t> </w:t>
      </w:r>
      <w:r>
        <w:rPr>
          <w:sz w:val="22"/>
        </w:rPr>
        <w:t>a</w:t>
      </w:r>
      <w:r>
        <w:rPr>
          <w:spacing w:val="-5"/>
          <w:sz w:val="22"/>
        </w:rPr>
        <w:t> </w:t>
      </w:r>
      <w:r>
        <w:rPr>
          <w:sz w:val="22"/>
        </w:rPr>
        <w:t>las</w:t>
      </w:r>
      <w:r>
        <w:rPr>
          <w:spacing w:val="-4"/>
          <w:sz w:val="22"/>
        </w:rPr>
        <w:t> </w:t>
      </w:r>
      <w:r>
        <w:rPr>
          <w:sz w:val="22"/>
        </w:rPr>
        <w:t>cuentas</w:t>
      </w:r>
      <w:r>
        <w:rPr>
          <w:spacing w:val="-4"/>
          <w:sz w:val="22"/>
        </w:rPr>
        <w:t> </w:t>
      </w:r>
      <w:r>
        <w:rPr>
          <w:sz w:val="22"/>
        </w:rPr>
        <w:t>por</w:t>
      </w:r>
      <w:r>
        <w:rPr>
          <w:spacing w:val="-5"/>
          <w:sz w:val="22"/>
        </w:rPr>
        <w:t> </w:t>
      </w:r>
      <w:r>
        <w:rPr>
          <w:sz w:val="22"/>
        </w:rPr>
        <w:t>cobrar</w:t>
      </w:r>
      <w:r>
        <w:rPr>
          <w:spacing w:val="-5"/>
          <w:sz w:val="22"/>
        </w:rPr>
        <w:t> </w:t>
      </w:r>
      <w:r>
        <w:rPr>
          <w:sz w:val="22"/>
        </w:rPr>
        <w:t>impo-sitivas, cuyo monto será reconocido como medición al costo de dicha cuenta por cobrar.</w:t>
      </w:r>
    </w:p>
    <w:p>
      <w:pPr>
        <w:pStyle w:val="ListParagraph"/>
        <w:numPr>
          <w:ilvl w:val="0"/>
          <w:numId w:val="33"/>
        </w:numPr>
        <w:tabs>
          <w:tab w:pos="1450" w:val="left" w:leader="none"/>
          <w:tab w:pos="1504" w:val="left" w:leader="none"/>
        </w:tabs>
        <w:spacing w:line="240" w:lineRule="auto" w:before="0" w:after="0"/>
        <w:ind w:left="1450" w:right="924" w:hanging="360"/>
        <w:jc w:val="both"/>
        <w:rPr>
          <w:sz w:val="22"/>
        </w:rPr>
      </w:pPr>
      <w:r>
        <w:rPr>
          <w:sz w:val="22"/>
        </w:rPr>
        <w:t>Las</w:t>
      </w:r>
      <w:r>
        <w:rPr>
          <w:spacing w:val="40"/>
          <w:sz w:val="22"/>
        </w:rPr>
        <w:t> </w:t>
      </w:r>
      <w:r>
        <w:rPr>
          <w:sz w:val="22"/>
        </w:rPr>
        <w:t>contribuciones</w:t>
      </w:r>
      <w:r>
        <w:rPr>
          <w:spacing w:val="-4"/>
          <w:sz w:val="22"/>
        </w:rPr>
        <w:t> </w:t>
      </w:r>
      <w:r>
        <w:rPr>
          <w:sz w:val="22"/>
        </w:rPr>
        <w:t>sociales</w:t>
      </w:r>
      <w:r>
        <w:rPr>
          <w:spacing w:val="-6"/>
          <w:sz w:val="22"/>
        </w:rPr>
        <w:t> </w:t>
      </w:r>
      <w:r>
        <w:rPr>
          <w:sz w:val="22"/>
        </w:rPr>
        <w:t>por</w:t>
      </w:r>
      <w:r>
        <w:rPr>
          <w:spacing w:val="-4"/>
          <w:sz w:val="22"/>
        </w:rPr>
        <w:t> </w:t>
      </w:r>
      <w:r>
        <w:rPr>
          <w:sz w:val="22"/>
        </w:rPr>
        <w:t>cobrar</w:t>
      </w:r>
      <w:r>
        <w:rPr>
          <w:spacing w:val="-5"/>
          <w:sz w:val="22"/>
        </w:rPr>
        <w:t> </w:t>
      </w:r>
      <w:r>
        <w:rPr>
          <w:sz w:val="22"/>
        </w:rPr>
        <w:t>le</w:t>
      </w:r>
      <w:r>
        <w:rPr>
          <w:spacing w:val="-6"/>
          <w:sz w:val="22"/>
        </w:rPr>
        <w:t> </w:t>
      </w:r>
      <w:r>
        <w:rPr>
          <w:sz w:val="22"/>
        </w:rPr>
        <w:t>aplican</w:t>
      </w:r>
      <w:r>
        <w:rPr>
          <w:spacing w:val="-4"/>
          <w:sz w:val="22"/>
        </w:rPr>
        <w:t> </w:t>
      </w:r>
      <w:r>
        <w:rPr>
          <w:sz w:val="22"/>
        </w:rPr>
        <w:t>la</w:t>
      </w:r>
      <w:r>
        <w:rPr>
          <w:spacing w:val="-4"/>
          <w:sz w:val="22"/>
        </w:rPr>
        <w:t> </w:t>
      </w:r>
      <w:r>
        <w:rPr>
          <w:sz w:val="22"/>
        </w:rPr>
        <w:t>política</w:t>
      </w:r>
      <w:r>
        <w:rPr>
          <w:spacing w:val="-5"/>
          <w:sz w:val="22"/>
        </w:rPr>
        <w:t> </w:t>
      </w:r>
      <w:r>
        <w:rPr>
          <w:sz w:val="22"/>
        </w:rPr>
        <w:t>1.63</w:t>
      </w:r>
      <w:r>
        <w:rPr>
          <w:spacing w:val="-6"/>
          <w:sz w:val="22"/>
        </w:rPr>
        <w:t> </w:t>
      </w:r>
      <w:r>
        <w:rPr>
          <w:sz w:val="22"/>
        </w:rPr>
        <w:t>que</w:t>
      </w:r>
      <w:r>
        <w:rPr>
          <w:spacing w:val="-6"/>
          <w:sz w:val="22"/>
        </w:rPr>
        <w:t> </w:t>
      </w:r>
      <w:r>
        <w:rPr>
          <w:sz w:val="22"/>
        </w:rPr>
        <w:t>indica</w:t>
      </w:r>
      <w:r>
        <w:rPr>
          <w:spacing w:val="-5"/>
          <w:sz w:val="22"/>
        </w:rPr>
        <w:t> </w:t>
      </w:r>
      <w:r>
        <w:rPr>
          <w:sz w:val="22"/>
        </w:rPr>
        <w:t>que,</w:t>
      </w:r>
      <w:r>
        <w:rPr>
          <w:spacing w:val="-5"/>
          <w:sz w:val="22"/>
        </w:rPr>
        <w:t> </w:t>
      </w:r>
      <w:r>
        <w:rPr>
          <w:sz w:val="22"/>
        </w:rPr>
        <w:t>el</w:t>
      </w:r>
      <w:r>
        <w:rPr>
          <w:spacing w:val="-2"/>
          <w:sz w:val="22"/>
        </w:rPr>
        <w:t> </w:t>
      </w:r>
      <w:r>
        <w:rPr>
          <w:sz w:val="22"/>
        </w:rPr>
        <w:t>monto</w:t>
      </w:r>
      <w:r>
        <w:rPr>
          <w:spacing w:val="-4"/>
          <w:sz w:val="22"/>
        </w:rPr>
        <w:t> </w:t>
      </w:r>
      <w:r>
        <w:rPr>
          <w:sz w:val="22"/>
        </w:rPr>
        <w:t>de las contribuciones sociales registradas como cuentas por cobrar deberán relacionarse con el ingreso</w:t>
      </w:r>
      <w:r>
        <w:rPr>
          <w:spacing w:val="-4"/>
          <w:sz w:val="22"/>
        </w:rPr>
        <w:t> </w:t>
      </w:r>
      <w:r>
        <w:rPr>
          <w:sz w:val="22"/>
        </w:rPr>
        <w:t>comprometido</w:t>
      </w:r>
      <w:r>
        <w:rPr>
          <w:spacing w:val="-4"/>
          <w:sz w:val="22"/>
        </w:rPr>
        <w:t> </w:t>
      </w:r>
      <w:r>
        <w:rPr>
          <w:sz w:val="22"/>
        </w:rPr>
        <w:t>de</w:t>
      </w:r>
      <w:r>
        <w:rPr>
          <w:spacing w:val="-4"/>
          <w:sz w:val="22"/>
        </w:rPr>
        <w:t> </w:t>
      </w:r>
      <w:r>
        <w:rPr>
          <w:sz w:val="22"/>
        </w:rPr>
        <w:t>manera</w:t>
      </w:r>
      <w:r>
        <w:rPr>
          <w:spacing w:val="-5"/>
          <w:sz w:val="22"/>
        </w:rPr>
        <w:t> </w:t>
      </w:r>
      <w:r>
        <w:rPr>
          <w:sz w:val="22"/>
        </w:rPr>
        <w:t>real</w:t>
      </w:r>
      <w:r>
        <w:rPr>
          <w:spacing w:val="-5"/>
          <w:sz w:val="22"/>
        </w:rPr>
        <w:t> </w:t>
      </w:r>
      <w:r>
        <w:rPr>
          <w:sz w:val="22"/>
        </w:rPr>
        <w:t>(a</w:t>
      </w:r>
      <w:r>
        <w:rPr>
          <w:spacing w:val="-5"/>
          <w:sz w:val="22"/>
        </w:rPr>
        <w:t> </w:t>
      </w:r>
      <w:r>
        <w:rPr>
          <w:sz w:val="22"/>
        </w:rPr>
        <w:t>través</w:t>
      </w:r>
      <w:r>
        <w:rPr>
          <w:spacing w:val="-4"/>
          <w:sz w:val="22"/>
        </w:rPr>
        <w:t> </w:t>
      </w:r>
      <w:r>
        <w:rPr>
          <w:sz w:val="22"/>
        </w:rPr>
        <w:t>de</w:t>
      </w:r>
      <w:r>
        <w:rPr>
          <w:spacing w:val="-4"/>
          <w:sz w:val="22"/>
        </w:rPr>
        <w:t> </w:t>
      </w:r>
      <w:r>
        <w:rPr>
          <w:sz w:val="22"/>
        </w:rPr>
        <w:t>documento)</w:t>
      </w:r>
      <w:r>
        <w:rPr>
          <w:spacing w:val="-5"/>
          <w:sz w:val="22"/>
        </w:rPr>
        <w:t> </w:t>
      </w:r>
      <w:r>
        <w:rPr>
          <w:sz w:val="22"/>
        </w:rPr>
        <w:t>e</w:t>
      </w:r>
      <w:r>
        <w:rPr>
          <w:spacing w:val="-6"/>
          <w:sz w:val="22"/>
        </w:rPr>
        <w:t> </w:t>
      </w:r>
      <w:r>
        <w:rPr>
          <w:sz w:val="22"/>
        </w:rPr>
        <w:t>impago</w:t>
      </w:r>
      <w:r>
        <w:rPr>
          <w:spacing w:val="-1"/>
          <w:sz w:val="22"/>
        </w:rPr>
        <w:t> </w:t>
      </w:r>
      <w:r>
        <w:rPr>
          <w:sz w:val="22"/>
        </w:rPr>
        <w:t>a</w:t>
      </w:r>
      <w:r>
        <w:rPr>
          <w:spacing w:val="-5"/>
          <w:sz w:val="22"/>
        </w:rPr>
        <w:t> </w:t>
      </w:r>
      <w:r>
        <w:rPr>
          <w:sz w:val="22"/>
        </w:rPr>
        <w:t>la</w:t>
      </w:r>
      <w:r>
        <w:rPr>
          <w:spacing w:val="-6"/>
          <w:sz w:val="22"/>
        </w:rPr>
        <w:t> </w:t>
      </w:r>
      <w:r>
        <w:rPr>
          <w:sz w:val="22"/>
        </w:rPr>
        <w:t>fecha</w:t>
      </w:r>
      <w:r>
        <w:rPr>
          <w:spacing w:val="-4"/>
          <w:sz w:val="22"/>
        </w:rPr>
        <w:t> </w:t>
      </w:r>
      <w:r>
        <w:rPr>
          <w:sz w:val="22"/>
        </w:rPr>
        <w:t>en</w:t>
      </w:r>
      <w:r>
        <w:rPr>
          <w:spacing w:val="-4"/>
          <w:sz w:val="22"/>
        </w:rPr>
        <w:t> </w:t>
      </w:r>
      <w:r>
        <w:rPr>
          <w:sz w:val="22"/>
        </w:rPr>
        <w:t>que</w:t>
      </w:r>
      <w:r>
        <w:rPr>
          <w:spacing w:val="-6"/>
          <w:sz w:val="22"/>
        </w:rPr>
        <w:t> </w:t>
      </w:r>
      <w:r>
        <w:rPr>
          <w:sz w:val="22"/>
        </w:rPr>
        <w:t>se </w:t>
      </w:r>
      <w:r>
        <w:rPr>
          <w:spacing w:val="-2"/>
          <w:sz w:val="22"/>
        </w:rPr>
        <w:t>informa.</w:t>
      </w:r>
    </w:p>
    <w:p>
      <w:pPr>
        <w:pStyle w:val="ListParagraph"/>
        <w:numPr>
          <w:ilvl w:val="0"/>
          <w:numId w:val="33"/>
        </w:numPr>
        <w:tabs>
          <w:tab w:pos="1448" w:val="left" w:leader="none"/>
          <w:tab w:pos="1450" w:val="left" w:leader="none"/>
        </w:tabs>
        <w:spacing w:line="240" w:lineRule="auto" w:before="0" w:after="0"/>
        <w:ind w:left="1450" w:right="925" w:hanging="360"/>
        <w:jc w:val="both"/>
        <w:rPr>
          <w:sz w:val="22"/>
        </w:rPr>
      </w:pPr>
      <w:r>
        <w:rPr>
          <w:sz w:val="22"/>
        </w:rPr>
        <w:t>En las trasferencias por cobrar se miden por su valor razonable</w:t>
      </w:r>
      <w:r>
        <w:rPr>
          <w:spacing w:val="-1"/>
          <w:sz w:val="22"/>
        </w:rPr>
        <w:t> </w:t>
      </w:r>
      <w:r>
        <w:rPr>
          <w:sz w:val="22"/>
        </w:rPr>
        <w:t>a la fecha de adquisición, los créditos</w:t>
      </w:r>
      <w:r>
        <w:rPr>
          <w:spacing w:val="-4"/>
          <w:sz w:val="22"/>
        </w:rPr>
        <w:t> </w:t>
      </w:r>
      <w:r>
        <w:rPr>
          <w:sz w:val="22"/>
        </w:rPr>
        <w:t>que</w:t>
      </w:r>
      <w:r>
        <w:rPr>
          <w:spacing w:val="-8"/>
          <w:sz w:val="22"/>
        </w:rPr>
        <w:t> </w:t>
      </w:r>
      <w:r>
        <w:rPr>
          <w:sz w:val="22"/>
        </w:rPr>
        <w:t>se</w:t>
      </w:r>
      <w:r>
        <w:rPr>
          <w:spacing w:val="-6"/>
          <w:sz w:val="22"/>
        </w:rPr>
        <w:t> </w:t>
      </w:r>
      <w:r>
        <w:rPr>
          <w:sz w:val="22"/>
        </w:rPr>
        <w:t>generan</w:t>
      </w:r>
      <w:r>
        <w:rPr>
          <w:spacing w:val="-4"/>
          <w:sz w:val="22"/>
        </w:rPr>
        <w:t> </w:t>
      </w:r>
      <w:r>
        <w:rPr>
          <w:sz w:val="22"/>
        </w:rPr>
        <w:t>por</w:t>
      </w:r>
      <w:r>
        <w:rPr>
          <w:spacing w:val="-7"/>
          <w:sz w:val="22"/>
        </w:rPr>
        <w:t> </w:t>
      </w:r>
      <w:r>
        <w:rPr>
          <w:sz w:val="22"/>
        </w:rPr>
        <w:t>transferencias</w:t>
      </w:r>
      <w:r>
        <w:rPr>
          <w:spacing w:val="-6"/>
          <w:sz w:val="22"/>
        </w:rPr>
        <w:t> </w:t>
      </w:r>
      <w:r>
        <w:rPr>
          <w:sz w:val="22"/>
        </w:rPr>
        <w:t>se</w:t>
      </w:r>
      <w:r>
        <w:rPr>
          <w:spacing w:val="-6"/>
          <w:sz w:val="22"/>
        </w:rPr>
        <w:t> </w:t>
      </w:r>
      <w:r>
        <w:rPr>
          <w:sz w:val="22"/>
        </w:rPr>
        <w:t>miden</w:t>
      </w:r>
      <w:r>
        <w:rPr>
          <w:spacing w:val="-4"/>
          <w:sz w:val="22"/>
        </w:rPr>
        <w:t> </w:t>
      </w:r>
      <w:r>
        <w:rPr>
          <w:sz w:val="22"/>
        </w:rPr>
        <w:t>por</w:t>
      </w:r>
      <w:r>
        <w:rPr>
          <w:spacing w:val="-7"/>
          <w:sz w:val="22"/>
        </w:rPr>
        <w:t> </w:t>
      </w:r>
      <w:r>
        <w:rPr>
          <w:sz w:val="22"/>
        </w:rPr>
        <w:t>el</w:t>
      </w:r>
      <w:r>
        <w:rPr>
          <w:spacing w:val="-5"/>
          <w:sz w:val="22"/>
        </w:rPr>
        <w:t> </w:t>
      </w:r>
      <w:r>
        <w:rPr>
          <w:sz w:val="22"/>
        </w:rPr>
        <w:t>monto</w:t>
      </w:r>
      <w:r>
        <w:rPr>
          <w:spacing w:val="-4"/>
          <w:sz w:val="22"/>
        </w:rPr>
        <w:t> </w:t>
      </w:r>
      <w:r>
        <w:rPr>
          <w:sz w:val="22"/>
        </w:rPr>
        <w:t>comprometido,</w:t>
      </w:r>
      <w:r>
        <w:rPr>
          <w:spacing w:val="-5"/>
          <w:sz w:val="22"/>
        </w:rPr>
        <w:t> </w:t>
      </w:r>
      <w:r>
        <w:rPr>
          <w:sz w:val="22"/>
        </w:rPr>
        <w:t>por</w:t>
      </w:r>
      <w:r>
        <w:rPr>
          <w:spacing w:val="-5"/>
          <w:sz w:val="22"/>
        </w:rPr>
        <w:t> </w:t>
      </w:r>
      <w:r>
        <w:rPr>
          <w:sz w:val="22"/>
        </w:rPr>
        <w:t>la</w:t>
      </w:r>
      <w:r>
        <w:rPr>
          <w:spacing w:val="-6"/>
          <w:sz w:val="22"/>
        </w:rPr>
        <w:t> </w:t>
      </w:r>
      <w:r>
        <w:rPr>
          <w:sz w:val="22"/>
        </w:rPr>
        <w:t>enti-dad</w:t>
      </w:r>
      <w:r>
        <w:rPr>
          <w:spacing w:val="-4"/>
          <w:sz w:val="22"/>
        </w:rPr>
        <w:t> </w:t>
      </w:r>
      <w:r>
        <w:rPr>
          <w:sz w:val="22"/>
        </w:rPr>
        <w:t>que</w:t>
      </w:r>
      <w:r>
        <w:rPr>
          <w:spacing w:val="-5"/>
          <w:sz w:val="22"/>
        </w:rPr>
        <w:t> </w:t>
      </w:r>
      <w:r>
        <w:rPr>
          <w:sz w:val="22"/>
        </w:rPr>
        <w:t>transfiere,</w:t>
      </w:r>
      <w:r>
        <w:rPr>
          <w:spacing w:val="-4"/>
          <w:sz w:val="22"/>
        </w:rPr>
        <w:t> </w:t>
      </w:r>
      <w:r>
        <w:rPr>
          <w:sz w:val="22"/>
        </w:rPr>
        <w:t>mediante</w:t>
      </w:r>
      <w:r>
        <w:rPr>
          <w:spacing w:val="-5"/>
          <w:sz w:val="22"/>
        </w:rPr>
        <w:t> </w:t>
      </w:r>
      <w:r>
        <w:rPr>
          <w:sz w:val="22"/>
        </w:rPr>
        <w:t>disposición</w:t>
      </w:r>
      <w:r>
        <w:rPr>
          <w:spacing w:val="-3"/>
          <w:sz w:val="22"/>
        </w:rPr>
        <w:t> </w:t>
      </w:r>
      <w:r>
        <w:rPr>
          <w:sz w:val="22"/>
        </w:rPr>
        <w:t>en</w:t>
      </w:r>
      <w:r>
        <w:rPr>
          <w:spacing w:val="-3"/>
          <w:sz w:val="22"/>
        </w:rPr>
        <w:t> </w:t>
      </w:r>
      <w:r>
        <w:rPr>
          <w:sz w:val="22"/>
        </w:rPr>
        <w:t>firme</w:t>
      </w:r>
      <w:r>
        <w:rPr>
          <w:spacing w:val="-5"/>
          <w:sz w:val="22"/>
        </w:rPr>
        <w:t> </w:t>
      </w:r>
      <w:r>
        <w:rPr>
          <w:sz w:val="22"/>
        </w:rPr>
        <w:t>de</w:t>
      </w:r>
      <w:r>
        <w:rPr>
          <w:spacing w:val="-5"/>
          <w:sz w:val="22"/>
        </w:rPr>
        <w:t> </w:t>
      </w:r>
      <w:r>
        <w:rPr>
          <w:sz w:val="22"/>
        </w:rPr>
        <w:t>dicha</w:t>
      </w:r>
      <w:r>
        <w:rPr>
          <w:spacing w:val="-4"/>
          <w:sz w:val="22"/>
        </w:rPr>
        <w:t> </w:t>
      </w:r>
      <w:r>
        <w:rPr>
          <w:sz w:val="22"/>
        </w:rPr>
        <w:t>entidad,</w:t>
      </w:r>
      <w:r>
        <w:rPr>
          <w:spacing w:val="-4"/>
          <w:sz w:val="22"/>
        </w:rPr>
        <w:t> </w:t>
      </w:r>
      <w:r>
        <w:rPr>
          <w:sz w:val="22"/>
        </w:rPr>
        <w:t>por</w:t>
      </w:r>
      <w:r>
        <w:rPr>
          <w:spacing w:val="-1"/>
          <w:sz w:val="22"/>
        </w:rPr>
        <w:t> </w:t>
      </w:r>
      <w:r>
        <w:rPr>
          <w:sz w:val="22"/>
        </w:rPr>
        <w:t>la</w:t>
      </w:r>
      <w:r>
        <w:rPr>
          <w:spacing w:val="-3"/>
          <w:sz w:val="22"/>
        </w:rPr>
        <w:t> </w:t>
      </w:r>
      <w:r>
        <w:rPr>
          <w:sz w:val="22"/>
        </w:rPr>
        <w:t>cual</w:t>
      </w:r>
      <w:r>
        <w:rPr>
          <w:spacing w:val="-4"/>
          <w:sz w:val="22"/>
        </w:rPr>
        <w:t> </w:t>
      </w:r>
      <w:r>
        <w:rPr>
          <w:sz w:val="22"/>
        </w:rPr>
        <w:t>se</w:t>
      </w:r>
      <w:r>
        <w:rPr>
          <w:spacing w:val="-5"/>
          <w:sz w:val="22"/>
        </w:rPr>
        <w:t> </w:t>
      </w:r>
      <w:r>
        <w:rPr>
          <w:sz w:val="22"/>
        </w:rPr>
        <w:t>garantiza</w:t>
      </w:r>
      <w:r>
        <w:rPr>
          <w:spacing w:val="-4"/>
          <w:sz w:val="22"/>
        </w:rPr>
        <w:t> </w:t>
      </w:r>
      <w:r>
        <w:rPr>
          <w:sz w:val="22"/>
        </w:rPr>
        <w:t>el derecho a percibir la transferencia.</w:t>
      </w:r>
    </w:p>
    <w:p>
      <w:pPr>
        <w:pStyle w:val="BodyText"/>
        <w:spacing w:before="159"/>
      </w:pPr>
    </w:p>
    <w:p>
      <w:pPr>
        <w:pStyle w:val="BodyText"/>
        <w:ind w:left="730" w:right="925"/>
        <w:jc w:val="both"/>
      </w:pPr>
      <w:r>
        <w:rPr/>
        <w:t>Según</w:t>
      </w:r>
      <w:r>
        <w:rPr>
          <w:spacing w:val="-8"/>
        </w:rPr>
        <w:t> </w:t>
      </w:r>
      <w:r>
        <w:rPr/>
        <w:t>la</w:t>
      </w:r>
      <w:r>
        <w:rPr>
          <w:spacing w:val="-12"/>
        </w:rPr>
        <w:t> </w:t>
      </w:r>
      <w:r>
        <w:rPr/>
        <w:t>Norma</w:t>
      </w:r>
      <w:r>
        <w:rPr>
          <w:spacing w:val="-9"/>
        </w:rPr>
        <w:t> </w:t>
      </w:r>
      <w:r>
        <w:rPr/>
        <w:t>las</w:t>
      </w:r>
      <w:r>
        <w:rPr>
          <w:spacing w:val="-9"/>
        </w:rPr>
        <w:t> </w:t>
      </w:r>
      <w:r>
        <w:rPr/>
        <w:t>cuentas</w:t>
      </w:r>
      <w:r>
        <w:rPr>
          <w:spacing w:val="-10"/>
        </w:rPr>
        <w:t> </w:t>
      </w:r>
      <w:r>
        <w:rPr/>
        <w:t>y</w:t>
      </w:r>
      <w:r>
        <w:rPr>
          <w:spacing w:val="-9"/>
        </w:rPr>
        <w:t> </w:t>
      </w:r>
      <w:r>
        <w:rPr/>
        <w:t>préstamos</w:t>
      </w:r>
      <w:r>
        <w:rPr>
          <w:spacing w:val="-7"/>
        </w:rPr>
        <w:t> </w:t>
      </w:r>
      <w:r>
        <w:rPr/>
        <w:t>por</w:t>
      </w:r>
      <w:r>
        <w:rPr>
          <w:spacing w:val="-8"/>
        </w:rPr>
        <w:t> </w:t>
      </w:r>
      <w:r>
        <w:rPr/>
        <w:t>cobrar,</w:t>
      </w:r>
      <w:r>
        <w:rPr>
          <w:spacing w:val="-10"/>
        </w:rPr>
        <w:t> </w:t>
      </w:r>
      <w:r>
        <w:rPr/>
        <w:t>para</w:t>
      </w:r>
      <w:r>
        <w:rPr>
          <w:spacing w:val="-9"/>
        </w:rPr>
        <w:t> </w:t>
      </w:r>
      <w:r>
        <w:rPr/>
        <w:t>el</w:t>
      </w:r>
      <w:r>
        <w:rPr>
          <w:spacing w:val="-9"/>
        </w:rPr>
        <w:t> </w:t>
      </w:r>
      <w:r>
        <w:rPr/>
        <w:t>registro</w:t>
      </w:r>
      <w:r>
        <w:rPr>
          <w:spacing w:val="-7"/>
        </w:rPr>
        <w:t> </w:t>
      </w:r>
      <w:r>
        <w:rPr/>
        <w:t>posterior</w:t>
      </w:r>
      <w:r>
        <w:rPr>
          <w:spacing w:val="-8"/>
        </w:rPr>
        <w:t> </w:t>
      </w:r>
      <w:r>
        <w:rPr/>
        <w:t>les</w:t>
      </w:r>
      <w:r>
        <w:rPr>
          <w:spacing w:val="-7"/>
        </w:rPr>
        <w:t> </w:t>
      </w:r>
      <w:r>
        <w:rPr/>
        <w:t>aplica</w:t>
      </w:r>
      <w:r>
        <w:rPr>
          <w:spacing w:val="-9"/>
        </w:rPr>
        <w:t> </w:t>
      </w:r>
      <w:r>
        <w:rPr/>
        <w:t>la</w:t>
      </w:r>
      <w:r>
        <w:rPr>
          <w:spacing w:val="-9"/>
        </w:rPr>
        <w:t> </w:t>
      </w:r>
      <w:r>
        <w:rPr/>
        <w:t>metodología de costo amortizado, pero deben cumplir las condiciones que el activo se conserve dentro de un modelo de negocio que tiene como objetivo mantener los activos financieros para obtener los flujos de efectivo contractuales, y que esas condiciones establezcan fechas específicas para recibir y aplicar los flujos como pago al principal e intereses sobre el importe pendiente del documento.</w:t>
      </w:r>
    </w:p>
    <w:p>
      <w:pPr>
        <w:pStyle w:val="BodyText"/>
        <w:spacing w:before="162"/>
        <w:ind w:left="730"/>
        <w:jc w:val="both"/>
      </w:pPr>
      <w:r>
        <w:rPr/>
        <w:t>La</w:t>
      </w:r>
      <w:r>
        <w:rPr>
          <w:spacing w:val="-7"/>
        </w:rPr>
        <w:t> </w:t>
      </w:r>
      <w:r>
        <w:rPr/>
        <w:t>Norma</w:t>
      </w:r>
      <w:r>
        <w:rPr>
          <w:spacing w:val="-4"/>
        </w:rPr>
        <w:t> </w:t>
      </w:r>
      <w:r>
        <w:rPr/>
        <w:t>define</w:t>
      </w:r>
      <w:r>
        <w:rPr>
          <w:spacing w:val="-4"/>
        </w:rPr>
        <w:t> </w:t>
      </w:r>
      <w:r>
        <w:rPr/>
        <w:t>al</w:t>
      </w:r>
      <w:r>
        <w:rPr>
          <w:spacing w:val="-3"/>
        </w:rPr>
        <w:t> </w:t>
      </w:r>
      <w:r>
        <w:rPr/>
        <w:t>costo</w:t>
      </w:r>
      <w:r>
        <w:rPr>
          <w:spacing w:val="-3"/>
        </w:rPr>
        <w:t> </w:t>
      </w:r>
      <w:r>
        <w:rPr/>
        <w:t>amortizado</w:t>
      </w:r>
      <w:r>
        <w:rPr>
          <w:spacing w:val="-4"/>
        </w:rPr>
        <w:t> </w:t>
      </w:r>
      <w:r>
        <w:rPr/>
        <w:t>de</w:t>
      </w:r>
      <w:r>
        <w:rPr>
          <w:spacing w:val="-5"/>
        </w:rPr>
        <w:t> </w:t>
      </w:r>
      <w:r>
        <w:rPr/>
        <w:t>un</w:t>
      </w:r>
      <w:r>
        <w:rPr>
          <w:spacing w:val="-3"/>
        </w:rPr>
        <w:t> </w:t>
      </w:r>
      <w:r>
        <w:rPr/>
        <w:t>activo</w:t>
      </w:r>
      <w:r>
        <w:rPr>
          <w:spacing w:val="-3"/>
        </w:rPr>
        <w:t> </w:t>
      </w:r>
      <w:r>
        <w:rPr/>
        <w:t>financiero</w:t>
      </w:r>
      <w:r>
        <w:rPr>
          <w:spacing w:val="-3"/>
        </w:rPr>
        <w:t> </w:t>
      </w:r>
      <w:r>
        <w:rPr/>
        <w:t>o</w:t>
      </w:r>
      <w:r>
        <w:rPr>
          <w:spacing w:val="-4"/>
        </w:rPr>
        <w:t> </w:t>
      </w:r>
      <w:r>
        <w:rPr/>
        <w:t>de</w:t>
      </w:r>
      <w:r>
        <w:rPr>
          <w:spacing w:val="-5"/>
        </w:rPr>
        <w:t> </w:t>
      </w:r>
      <w:r>
        <w:rPr/>
        <w:t>un</w:t>
      </w:r>
      <w:r>
        <w:rPr>
          <w:spacing w:val="-3"/>
        </w:rPr>
        <w:t> </w:t>
      </w:r>
      <w:r>
        <w:rPr/>
        <w:t>pasivo</w:t>
      </w:r>
      <w:r>
        <w:rPr>
          <w:spacing w:val="-3"/>
        </w:rPr>
        <w:t> </w:t>
      </w:r>
      <w:r>
        <w:rPr/>
        <w:t>financiero</w:t>
      </w:r>
      <w:r>
        <w:rPr>
          <w:spacing w:val="-3"/>
        </w:rPr>
        <w:t> </w:t>
      </w:r>
      <w:r>
        <w:rPr>
          <w:spacing w:val="-5"/>
        </w:rPr>
        <w:t>es:</w:t>
      </w:r>
    </w:p>
    <w:p>
      <w:pPr>
        <w:pStyle w:val="ListParagraph"/>
        <w:numPr>
          <w:ilvl w:val="0"/>
          <w:numId w:val="34"/>
        </w:numPr>
        <w:tabs>
          <w:tab w:pos="943" w:val="left" w:leader="none"/>
        </w:tabs>
        <w:spacing w:line="250" w:lineRule="exact" w:before="160" w:after="0"/>
        <w:ind w:left="943" w:right="0" w:hanging="213"/>
        <w:jc w:val="left"/>
        <w:rPr>
          <w:sz w:val="22"/>
        </w:rPr>
      </w:pPr>
      <w:r>
        <w:rPr>
          <w:sz w:val="22"/>
        </w:rPr>
        <w:t>el</w:t>
      </w:r>
      <w:r>
        <w:rPr>
          <w:spacing w:val="-5"/>
          <w:sz w:val="22"/>
        </w:rPr>
        <w:t> </w:t>
      </w:r>
      <w:r>
        <w:rPr>
          <w:sz w:val="22"/>
        </w:rPr>
        <w:t>importe</w:t>
      </w:r>
      <w:r>
        <w:rPr>
          <w:spacing w:val="-4"/>
          <w:sz w:val="22"/>
        </w:rPr>
        <w:t> </w:t>
      </w:r>
      <w:r>
        <w:rPr>
          <w:sz w:val="22"/>
        </w:rPr>
        <w:t>al</w:t>
      </w:r>
      <w:r>
        <w:rPr>
          <w:spacing w:val="-3"/>
          <w:sz w:val="22"/>
        </w:rPr>
        <w:t> </w:t>
      </w:r>
      <w:r>
        <w:rPr>
          <w:sz w:val="22"/>
        </w:rPr>
        <w:t>que</w:t>
      </w:r>
      <w:r>
        <w:rPr>
          <w:spacing w:val="-4"/>
          <w:sz w:val="22"/>
        </w:rPr>
        <w:t> </w:t>
      </w:r>
      <w:r>
        <w:rPr>
          <w:sz w:val="22"/>
        </w:rPr>
        <w:t>fue</w:t>
      </w:r>
      <w:r>
        <w:rPr>
          <w:spacing w:val="-4"/>
          <w:sz w:val="22"/>
        </w:rPr>
        <w:t> </w:t>
      </w:r>
      <w:r>
        <w:rPr>
          <w:sz w:val="22"/>
        </w:rPr>
        <w:t>valorado</w:t>
      </w:r>
      <w:r>
        <w:rPr>
          <w:spacing w:val="-3"/>
          <w:sz w:val="22"/>
        </w:rPr>
        <w:t> </w:t>
      </w:r>
      <w:r>
        <w:rPr>
          <w:sz w:val="22"/>
        </w:rPr>
        <w:t>inicialmente</w:t>
      </w:r>
      <w:r>
        <w:rPr>
          <w:spacing w:val="-3"/>
          <w:sz w:val="22"/>
        </w:rPr>
        <w:t> </w:t>
      </w:r>
      <w:r>
        <w:rPr>
          <w:sz w:val="22"/>
        </w:rPr>
        <w:t>el</w:t>
      </w:r>
      <w:r>
        <w:rPr>
          <w:spacing w:val="-3"/>
          <w:sz w:val="22"/>
        </w:rPr>
        <w:t> </w:t>
      </w:r>
      <w:r>
        <w:rPr>
          <w:sz w:val="22"/>
        </w:rPr>
        <w:t>activo</w:t>
      </w:r>
      <w:r>
        <w:rPr>
          <w:spacing w:val="-3"/>
          <w:sz w:val="22"/>
        </w:rPr>
        <w:t> </w:t>
      </w:r>
      <w:r>
        <w:rPr>
          <w:sz w:val="22"/>
        </w:rPr>
        <w:t>o</w:t>
      </w:r>
      <w:r>
        <w:rPr>
          <w:spacing w:val="-4"/>
          <w:sz w:val="22"/>
        </w:rPr>
        <w:t> </w:t>
      </w:r>
      <w:r>
        <w:rPr>
          <w:sz w:val="22"/>
        </w:rPr>
        <w:t>el</w:t>
      </w:r>
      <w:r>
        <w:rPr>
          <w:spacing w:val="-3"/>
          <w:sz w:val="22"/>
        </w:rPr>
        <w:t> </w:t>
      </w:r>
      <w:r>
        <w:rPr>
          <w:sz w:val="22"/>
        </w:rPr>
        <w:t>pasivo</w:t>
      </w:r>
      <w:r>
        <w:rPr>
          <w:spacing w:val="-3"/>
          <w:sz w:val="22"/>
        </w:rPr>
        <w:t> </w:t>
      </w:r>
      <w:r>
        <w:rPr>
          <w:sz w:val="22"/>
        </w:rPr>
        <w:t>financiero;</w:t>
      </w:r>
      <w:r>
        <w:rPr>
          <w:spacing w:val="-5"/>
          <w:sz w:val="22"/>
        </w:rPr>
        <w:t> </w:t>
      </w:r>
      <w:r>
        <w:rPr>
          <w:spacing w:val="-2"/>
          <w:sz w:val="22"/>
        </w:rPr>
        <w:t>menos</w:t>
      </w:r>
    </w:p>
    <w:p>
      <w:pPr>
        <w:pStyle w:val="ListParagraph"/>
        <w:numPr>
          <w:ilvl w:val="0"/>
          <w:numId w:val="34"/>
        </w:numPr>
        <w:tabs>
          <w:tab w:pos="961" w:val="left" w:leader="none"/>
        </w:tabs>
        <w:spacing w:line="250" w:lineRule="exact" w:before="0" w:after="0"/>
        <w:ind w:left="961" w:right="0" w:hanging="231"/>
        <w:jc w:val="left"/>
        <w:rPr>
          <w:sz w:val="22"/>
        </w:rPr>
      </w:pPr>
      <w:r>
        <w:rPr>
          <w:sz w:val="22"/>
        </w:rPr>
        <w:t>los</w:t>
      </w:r>
      <w:r>
        <w:rPr>
          <w:spacing w:val="-4"/>
          <w:sz w:val="22"/>
        </w:rPr>
        <w:t> </w:t>
      </w:r>
      <w:r>
        <w:rPr>
          <w:sz w:val="22"/>
        </w:rPr>
        <w:t>reembolsos</w:t>
      </w:r>
      <w:r>
        <w:rPr>
          <w:spacing w:val="-3"/>
          <w:sz w:val="22"/>
        </w:rPr>
        <w:t> </w:t>
      </w:r>
      <w:r>
        <w:rPr>
          <w:sz w:val="22"/>
        </w:rPr>
        <w:t>del</w:t>
      </w:r>
      <w:r>
        <w:rPr>
          <w:spacing w:val="-5"/>
          <w:sz w:val="22"/>
        </w:rPr>
        <w:t> </w:t>
      </w:r>
      <w:r>
        <w:rPr>
          <w:sz w:val="22"/>
        </w:rPr>
        <w:t>principal;</w:t>
      </w:r>
      <w:r>
        <w:rPr>
          <w:spacing w:val="-4"/>
          <w:sz w:val="22"/>
        </w:rPr>
        <w:t> </w:t>
      </w:r>
      <w:r>
        <w:rPr>
          <w:sz w:val="22"/>
        </w:rPr>
        <w:t>más</w:t>
      </w:r>
      <w:r>
        <w:rPr>
          <w:spacing w:val="-6"/>
          <w:sz w:val="22"/>
        </w:rPr>
        <w:t> </w:t>
      </w:r>
      <w:r>
        <w:rPr>
          <w:sz w:val="22"/>
        </w:rPr>
        <w:t>o</w:t>
      </w:r>
      <w:r>
        <w:rPr>
          <w:spacing w:val="-5"/>
          <w:sz w:val="22"/>
        </w:rPr>
        <w:t> </w:t>
      </w:r>
      <w:r>
        <w:rPr>
          <w:sz w:val="22"/>
        </w:rPr>
        <w:t>menos,</w:t>
      </w:r>
      <w:r>
        <w:rPr>
          <w:spacing w:val="-4"/>
          <w:sz w:val="22"/>
        </w:rPr>
        <w:t> </w:t>
      </w:r>
      <w:r>
        <w:rPr>
          <w:sz w:val="22"/>
        </w:rPr>
        <w:t>según</w:t>
      </w:r>
      <w:r>
        <w:rPr>
          <w:spacing w:val="-4"/>
          <w:sz w:val="22"/>
        </w:rPr>
        <w:t> </w:t>
      </w:r>
      <w:r>
        <w:rPr>
          <w:spacing w:val="-2"/>
          <w:sz w:val="22"/>
        </w:rPr>
        <w:t>proceda,</w:t>
      </w:r>
    </w:p>
    <w:p>
      <w:pPr>
        <w:pStyle w:val="ListParagraph"/>
        <w:numPr>
          <w:ilvl w:val="0"/>
          <w:numId w:val="34"/>
        </w:numPr>
        <w:tabs>
          <w:tab w:pos="973" w:val="left" w:leader="none"/>
        </w:tabs>
        <w:spacing w:line="240" w:lineRule="auto" w:before="1" w:after="0"/>
        <w:ind w:left="730" w:right="924" w:firstLine="0"/>
        <w:jc w:val="left"/>
        <w:rPr>
          <w:sz w:val="22"/>
        </w:rPr>
      </w:pPr>
      <w:r>
        <w:rPr>
          <w:sz w:val="22"/>
        </w:rPr>
        <w:t>la</w:t>
      </w:r>
      <w:r>
        <w:rPr>
          <w:spacing w:val="30"/>
          <w:sz w:val="22"/>
        </w:rPr>
        <w:t> </w:t>
      </w:r>
      <w:r>
        <w:rPr>
          <w:sz w:val="22"/>
        </w:rPr>
        <w:t>imputación</w:t>
      </w:r>
      <w:r>
        <w:rPr>
          <w:spacing w:val="31"/>
          <w:sz w:val="22"/>
        </w:rPr>
        <w:t> </w:t>
      </w:r>
      <w:r>
        <w:rPr>
          <w:sz w:val="22"/>
        </w:rPr>
        <w:t>o</w:t>
      </w:r>
      <w:r>
        <w:rPr>
          <w:spacing w:val="32"/>
          <w:sz w:val="22"/>
        </w:rPr>
        <w:t> </w:t>
      </w:r>
      <w:r>
        <w:rPr>
          <w:sz w:val="22"/>
        </w:rPr>
        <w:t>amortización</w:t>
      </w:r>
      <w:r>
        <w:rPr>
          <w:spacing w:val="31"/>
          <w:sz w:val="22"/>
        </w:rPr>
        <w:t> </w:t>
      </w:r>
      <w:r>
        <w:rPr>
          <w:sz w:val="22"/>
        </w:rPr>
        <w:t>gradual</w:t>
      </w:r>
      <w:r>
        <w:rPr>
          <w:spacing w:val="30"/>
          <w:sz w:val="22"/>
        </w:rPr>
        <w:t> </w:t>
      </w:r>
      <w:r>
        <w:rPr>
          <w:sz w:val="22"/>
        </w:rPr>
        <w:t>acumulada,</w:t>
      </w:r>
      <w:r>
        <w:rPr>
          <w:spacing w:val="31"/>
          <w:sz w:val="22"/>
        </w:rPr>
        <w:t> </w:t>
      </w:r>
      <w:r>
        <w:rPr>
          <w:sz w:val="22"/>
        </w:rPr>
        <w:t>utilizando</w:t>
      </w:r>
      <w:r>
        <w:rPr>
          <w:spacing w:val="32"/>
          <w:sz w:val="22"/>
        </w:rPr>
        <w:t> </w:t>
      </w:r>
      <w:r>
        <w:rPr>
          <w:sz w:val="22"/>
        </w:rPr>
        <w:t>el</w:t>
      </w:r>
      <w:r>
        <w:rPr>
          <w:spacing w:val="30"/>
          <w:sz w:val="22"/>
        </w:rPr>
        <w:t> </w:t>
      </w:r>
      <w:r>
        <w:rPr>
          <w:sz w:val="22"/>
        </w:rPr>
        <w:t>método</w:t>
      </w:r>
      <w:r>
        <w:rPr>
          <w:spacing w:val="32"/>
          <w:sz w:val="22"/>
        </w:rPr>
        <w:t> </w:t>
      </w:r>
      <w:r>
        <w:rPr>
          <w:sz w:val="22"/>
        </w:rPr>
        <w:t>del</w:t>
      </w:r>
      <w:r>
        <w:rPr>
          <w:spacing w:val="30"/>
          <w:sz w:val="22"/>
        </w:rPr>
        <w:t> </w:t>
      </w:r>
      <w:r>
        <w:rPr>
          <w:sz w:val="22"/>
        </w:rPr>
        <w:t>interés</w:t>
      </w:r>
      <w:r>
        <w:rPr>
          <w:spacing w:val="32"/>
          <w:sz w:val="22"/>
        </w:rPr>
        <w:t> </w:t>
      </w:r>
      <w:r>
        <w:rPr>
          <w:sz w:val="22"/>
        </w:rPr>
        <w:t>efectivo,</w:t>
      </w:r>
      <w:r>
        <w:rPr>
          <w:spacing w:val="32"/>
          <w:sz w:val="22"/>
        </w:rPr>
        <w:t> </w:t>
      </w:r>
      <w:r>
        <w:rPr>
          <w:sz w:val="22"/>
        </w:rPr>
        <w:t>de cualquier</w:t>
      </w:r>
      <w:r>
        <w:rPr>
          <w:spacing w:val="-12"/>
          <w:sz w:val="22"/>
        </w:rPr>
        <w:t> </w:t>
      </w:r>
      <w:r>
        <w:rPr>
          <w:sz w:val="22"/>
        </w:rPr>
        <w:t>diferencia</w:t>
      </w:r>
      <w:r>
        <w:rPr>
          <w:spacing w:val="-12"/>
          <w:sz w:val="22"/>
        </w:rPr>
        <w:t> </w:t>
      </w:r>
      <w:r>
        <w:rPr>
          <w:sz w:val="22"/>
        </w:rPr>
        <w:t>existente</w:t>
      </w:r>
      <w:r>
        <w:rPr>
          <w:spacing w:val="-12"/>
          <w:sz w:val="22"/>
        </w:rPr>
        <w:t> </w:t>
      </w:r>
      <w:r>
        <w:rPr>
          <w:sz w:val="22"/>
        </w:rPr>
        <w:t>entre</w:t>
      </w:r>
      <w:r>
        <w:rPr>
          <w:spacing w:val="-12"/>
          <w:sz w:val="22"/>
        </w:rPr>
        <w:t> </w:t>
      </w:r>
      <w:r>
        <w:rPr>
          <w:sz w:val="22"/>
        </w:rPr>
        <w:t>el</w:t>
      </w:r>
      <w:r>
        <w:rPr>
          <w:spacing w:val="-12"/>
          <w:sz w:val="22"/>
        </w:rPr>
        <w:t> </w:t>
      </w:r>
      <w:r>
        <w:rPr>
          <w:sz w:val="22"/>
        </w:rPr>
        <w:t>importe</w:t>
      </w:r>
      <w:r>
        <w:rPr>
          <w:spacing w:val="-13"/>
          <w:sz w:val="22"/>
        </w:rPr>
        <w:t> </w:t>
      </w:r>
      <w:r>
        <w:rPr>
          <w:sz w:val="22"/>
        </w:rPr>
        <w:t>inicial</w:t>
      </w:r>
      <w:r>
        <w:rPr>
          <w:spacing w:val="-10"/>
          <w:sz w:val="22"/>
        </w:rPr>
        <w:t> </w:t>
      </w:r>
      <w:r>
        <w:rPr>
          <w:sz w:val="22"/>
        </w:rPr>
        <w:t>y</w:t>
      </w:r>
      <w:r>
        <w:rPr>
          <w:spacing w:val="-13"/>
          <w:sz w:val="22"/>
        </w:rPr>
        <w:t> </w:t>
      </w:r>
      <w:r>
        <w:rPr>
          <w:sz w:val="22"/>
        </w:rPr>
        <w:t>el</w:t>
      </w:r>
      <w:r>
        <w:rPr>
          <w:spacing w:val="-10"/>
          <w:sz w:val="22"/>
        </w:rPr>
        <w:t> </w:t>
      </w:r>
      <w:r>
        <w:rPr>
          <w:sz w:val="22"/>
        </w:rPr>
        <w:t>valor</w:t>
      </w:r>
      <w:r>
        <w:rPr>
          <w:spacing w:val="-12"/>
          <w:sz w:val="22"/>
        </w:rPr>
        <w:t> </w:t>
      </w:r>
      <w:r>
        <w:rPr>
          <w:sz w:val="22"/>
        </w:rPr>
        <w:t>de</w:t>
      </w:r>
      <w:r>
        <w:rPr>
          <w:spacing w:val="-13"/>
          <w:sz w:val="22"/>
        </w:rPr>
        <w:t> </w:t>
      </w:r>
      <w:r>
        <w:rPr>
          <w:sz w:val="22"/>
        </w:rPr>
        <w:t>reembolso</w:t>
      </w:r>
      <w:r>
        <w:rPr>
          <w:spacing w:val="-11"/>
          <w:sz w:val="22"/>
        </w:rPr>
        <w:t> </w:t>
      </w:r>
      <w:r>
        <w:rPr>
          <w:sz w:val="22"/>
        </w:rPr>
        <w:t>en</w:t>
      </w:r>
      <w:r>
        <w:rPr>
          <w:spacing w:val="-12"/>
          <w:sz w:val="22"/>
        </w:rPr>
        <w:t> </w:t>
      </w:r>
      <w:r>
        <w:rPr>
          <w:sz w:val="22"/>
        </w:rPr>
        <w:t>el</w:t>
      </w:r>
      <w:r>
        <w:rPr>
          <w:spacing w:val="-12"/>
          <w:sz w:val="22"/>
        </w:rPr>
        <w:t> </w:t>
      </w:r>
      <w:r>
        <w:rPr>
          <w:sz w:val="22"/>
        </w:rPr>
        <w:t>vencimiento;</w:t>
      </w:r>
      <w:r>
        <w:rPr>
          <w:spacing w:val="-14"/>
          <w:sz w:val="22"/>
        </w:rPr>
        <w:t> </w:t>
      </w:r>
      <w:r>
        <w:rPr>
          <w:sz w:val="22"/>
        </w:rPr>
        <w:t>menos</w:t>
      </w:r>
    </w:p>
    <w:p>
      <w:pPr>
        <w:pStyle w:val="ListParagraph"/>
        <w:numPr>
          <w:ilvl w:val="0"/>
          <w:numId w:val="34"/>
        </w:numPr>
        <w:tabs>
          <w:tab w:pos="964" w:val="left" w:leader="none"/>
        </w:tabs>
        <w:spacing w:line="251" w:lineRule="exact" w:before="0" w:after="0"/>
        <w:ind w:left="964" w:right="0" w:hanging="234"/>
        <w:jc w:val="left"/>
        <w:rPr>
          <w:sz w:val="22"/>
        </w:rPr>
      </w:pPr>
      <w:r>
        <w:rPr>
          <w:sz w:val="22"/>
        </w:rPr>
        <w:t>cualquier</w:t>
      </w:r>
      <w:r>
        <w:rPr>
          <w:spacing w:val="-4"/>
          <w:sz w:val="22"/>
        </w:rPr>
        <w:t> </w:t>
      </w:r>
      <w:r>
        <w:rPr>
          <w:sz w:val="22"/>
        </w:rPr>
        <w:t>disminución</w:t>
      </w:r>
      <w:r>
        <w:rPr>
          <w:spacing w:val="-3"/>
          <w:sz w:val="22"/>
        </w:rPr>
        <w:t> </w:t>
      </w:r>
      <w:r>
        <w:rPr>
          <w:sz w:val="22"/>
        </w:rPr>
        <w:t>por</w:t>
      </w:r>
      <w:r>
        <w:rPr>
          <w:spacing w:val="-4"/>
          <w:sz w:val="22"/>
        </w:rPr>
        <w:t> </w:t>
      </w:r>
      <w:r>
        <w:rPr>
          <w:sz w:val="22"/>
        </w:rPr>
        <w:t>deterioro</w:t>
      </w:r>
      <w:r>
        <w:rPr>
          <w:spacing w:val="-3"/>
          <w:sz w:val="22"/>
        </w:rPr>
        <w:t> </w:t>
      </w:r>
      <w:r>
        <w:rPr>
          <w:sz w:val="22"/>
        </w:rPr>
        <w:t>del</w:t>
      </w:r>
      <w:r>
        <w:rPr>
          <w:spacing w:val="-4"/>
          <w:sz w:val="22"/>
        </w:rPr>
        <w:t> </w:t>
      </w:r>
      <w:r>
        <w:rPr>
          <w:sz w:val="22"/>
        </w:rPr>
        <w:t>valor</w:t>
      </w:r>
      <w:r>
        <w:rPr>
          <w:spacing w:val="-5"/>
          <w:sz w:val="22"/>
        </w:rPr>
        <w:t> </w:t>
      </w:r>
      <w:r>
        <w:rPr>
          <w:sz w:val="22"/>
        </w:rPr>
        <w:t>o</w:t>
      </w:r>
      <w:r>
        <w:rPr>
          <w:spacing w:val="-3"/>
          <w:sz w:val="22"/>
        </w:rPr>
        <w:t> </w:t>
      </w:r>
      <w:r>
        <w:rPr>
          <w:spacing w:val="-2"/>
          <w:sz w:val="22"/>
        </w:rPr>
        <w:t>incobrabilidad</w:t>
      </w:r>
    </w:p>
    <w:p>
      <w:pPr>
        <w:pStyle w:val="ListParagraph"/>
        <w:spacing w:after="0" w:line="251" w:lineRule="exact"/>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0576">
                <wp:simplePos x="0" y="0"/>
                <wp:positionH relativeFrom="page">
                  <wp:posOffset>9525</wp:posOffset>
                </wp:positionH>
                <wp:positionV relativeFrom="page">
                  <wp:posOffset>297208</wp:posOffset>
                </wp:positionV>
                <wp:extent cx="7762875" cy="9748520"/>
                <wp:effectExtent l="0" t="0" r="0" b="0"/>
                <wp:wrapNone/>
                <wp:docPr id="238" name="Group 238"/>
                <wp:cNvGraphicFramePr>
                  <a:graphicFrameLocks/>
                </wp:cNvGraphicFramePr>
                <a:graphic>
                  <a:graphicData uri="http://schemas.microsoft.com/office/word/2010/wordprocessingGroup">
                    <wpg:wgp>
                      <wpg:cNvPr id="238" name="Group 238"/>
                      <wpg:cNvGrpSpPr/>
                      <wpg:grpSpPr>
                        <a:xfrm>
                          <a:off x="0" y="0"/>
                          <a:ext cx="7762875" cy="9748520"/>
                          <a:chExt cx="7762875" cy="9748520"/>
                        </a:xfrm>
                      </wpg:grpSpPr>
                      <pic:pic>
                        <pic:nvPicPr>
                          <pic:cNvPr id="239" name="Image 239"/>
                          <pic:cNvPicPr/>
                        </pic:nvPicPr>
                        <pic:blipFill>
                          <a:blip r:embed="rId5" cstate="print"/>
                          <a:stretch>
                            <a:fillRect/>
                          </a:stretch>
                        </pic:blipFill>
                        <pic:spPr>
                          <a:xfrm>
                            <a:off x="0" y="0"/>
                            <a:ext cx="7762874" cy="9748489"/>
                          </a:xfrm>
                          <a:prstGeom prst="rect">
                            <a:avLst/>
                          </a:prstGeom>
                        </pic:spPr>
                      </pic:pic>
                      <wps:wsp>
                        <wps:cNvPr id="240" name="Graphic 240"/>
                        <wps:cNvSpPr/>
                        <wps:spPr>
                          <a:xfrm>
                            <a:off x="1053007" y="990837"/>
                            <a:ext cx="5649595" cy="7750809"/>
                          </a:xfrm>
                          <a:custGeom>
                            <a:avLst/>
                            <a:gdLst/>
                            <a:ahLst/>
                            <a:cxnLst/>
                            <a:rect l="l" t="t" r="r" b="b"/>
                            <a:pathLst>
                              <a:path w="5649595" h="7750809">
                                <a:moveTo>
                                  <a:pt x="5630862" y="7744409"/>
                                </a:moveTo>
                                <a:lnTo>
                                  <a:pt x="5624830" y="7744409"/>
                                </a:lnTo>
                                <a:lnTo>
                                  <a:pt x="24384" y="7744409"/>
                                </a:lnTo>
                                <a:lnTo>
                                  <a:pt x="18288" y="7744409"/>
                                </a:lnTo>
                                <a:lnTo>
                                  <a:pt x="18288" y="7750492"/>
                                </a:lnTo>
                                <a:lnTo>
                                  <a:pt x="24384" y="7750492"/>
                                </a:lnTo>
                                <a:lnTo>
                                  <a:pt x="5624779" y="7750492"/>
                                </a:lnTo>
                                <a:lnTo>
                                  <a:pt x="5630862" y="7750492"/>
                                </a:lnTo>
                                <a:lnTo>
                                  <a:pt x="5630862" y="7744409"/>
                                </a:lnTo>
                                <a:close/>
                              </a:path>
                              <a:path w="5649595" h="7750809">
                                <a:moveTo>
                                  <a:pt x="5630862" y="2316848"/>
                                </a:moveTo>
                                <a:lnTo>
                                  <a:pt x="5624830" y="2316848"/>
                                </a:lnTo>
                                <a:lnTo>
                                  <a:pt x="24384" y="2316848"/>
                                </a:lnTo>
                                <a:lnTo>
                                  <a:pt x="18288" y="2316848"/>
                                </a:lnTo>
                                <a:lnTo>
                                  <a:pt x="18288" y="2322893"/>
                                </a:lnTo>
                                <a:lnTo>
                                  <a:pt x="18288" y="7744396"/>
                                </a:lnTo>
                                <a:lnTo>
                                  <a:pt x="24384" y="7744396"/>
                                </a:lnTo>
                                <a:lnTo>
                                  <a:pt x="24384" y="2322944"/>
                                </a:lnTo>
                                <a:lnTo>
                                  <a:pt x="5624779" y="2322944"/>
                                </a:lnTo>
                                <a:lnTo>
                                  <a:pt x="5624779" y="7744396"/>
                                </a:lnTo>
                                <a:lnTo>
                                  <a:pt x="5630862" y="7744396"/>
                                </a:lnTo>
                                <a:lnTo>
                                  <a:pt x="5630862" y="2322944"/>
                                </a:lnTo>
                                <a:lnTo>
                                  <a:pt x="5630862" y="2316848"/>
                                </a:lnTo>
                                <a:close/>
                              </a:path>
                              <a:path w="5649595" h="775080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pic:pic>
                        <pic:nvPicPr>
                          <pic:cNvPr id="241" name="Image 241"/>
                          <pic:cNvPicPr/>
                        </pic:nvPicPr>
                        <pic:blipFill>
                          <a:blip r:embed="rId46" cstate="print"/>
                          <a:stretch>
                            <a:fillRect/>
                          </a:stretch>
                        </pic:blipFill>
                        <pic:spPr>
                          <a:xfrm>
                            <a:off x="3005835" y="7413723"/>
                            <a:ext cx="1741551" cy="88519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55904" id="docshapegroup225" coordorigin="15,468" coordsize="12225,15352">
                <v:shape style="position:absolute;left:15;top:468;width:12225;height:15352" type="#_x0000_t75" id="docshape226" stroked="false">
                  <v:imagedata r:id="rId5" o:title=""/>
                </v:shape>
                <v:shape style="position:absolute;left:1673;top:2028;width:8897;height:12206" id="docshape227" coordorigin="1673,2028" coordsize="8897,12206" path="m10541,14224l10531,14224,10531,14224,1712,14224,1702,14224,1702,14234,1712,14234,10531,14234,10531,14234,10541,14234,10541,14224xm10541,5677l10531,5677,10531,5677,1712,5677,1702,5677,1702,5687,1702,5687,1702,14224,1712,14224,1712,5687,10531,5687,10531,14224,10541,14224,10541,5687,10541,5687,10541,5677xm10570,2028l1673,2028,1673,2043,10570,2043,10570,2028xe" filled="true" fillcolor="#000000" stroked="false">
                  <v:path arrowok="t"/>
                  <v:fill type="solid"/>
                </v:shape>
                <v:shape style="position:absolute;left:4748;top:12143;width:2743;height:1394" type="#_x0000_t75" id="docshape228" stroked="false">
                  <v:imagedata r:id="rId46" o:title=""/>
                </v:shape>
                <w10:wrap type="none"/>
              </v:group>
            </w:pict>
          </mc:Fallback>
        </mc:AlternateContent>
      </w:r>
      <w:r>
        <w:rPr>
          <w:color w:val="172951"/>
          <w:sz w:val="20"/>
        </w:rPr>
        <w:t>Pág.</w:t>
      </w:r>
      <w:r>
        <w:rPr>
          <w:color w:val="172951"/>
          <w:spacing w:val="-7"/>
          <w:sz w:val="20"/>
        </w:rPr>
        <w:t> </w:t>
      </w:r>
      <w:r>
        <w:rPr>
          <w:color w:val="172951"/>
          <w:spacing w:val="-5"/>
          <w:sz w:val="20"/>
        </w:rPr>
        <w:t>51</w:t>
      </w:r>
    </w:p>
    <w:p>
      <w:pPr>
        <w:pStyle w:val="BodyText"/>
        <w:spacing w:before="10"/>
        <w:rPr>
          <w:sz w:val="16"/>
        </w:rPr>
      </w:pPr>
      <w:r>
        <w:rPr>
          <w:sz w:val="16"/>
        </w:rPr>
        <mc:AlternateContent>
          <mc:Choice Requires="wps">
            <w:drawing>
              <wp:anchor distT="0" distB="0" distL="0" distR="0" allowOverlap="1" layoutInCell="1" locked="0" behindDoc="1" simplePos="0" relativeHeight="487623168">
                <wp:simplePos x="0" y="0"/>
                <wp:positionH relativeFrom="page">
                  <wp:posOffset>1080820</wp:posOffset>
                </wp:positionH>
                <wp:positionV relativeFrom="paragraph">
                  <wp:posOffset>141144</wp:posOffset>
                </wp:positionV>
                <wp:extent cx="5715000" cy="745490"/>
                <wp:effectExtent l="0" t="0" r="0" b="0"/>
                <wp:wrapTopAndBottom/>
                <wp:docPr id="242" name="Textbox 242"/>
                <wp:cNvGraphicFramePr>
                  <a:graphicFrameLocks/>
                </wp:cNvGraphicFramePr>
                <a:graphic>
                  <a:graphicData uri="http://schemas.microsoft.com/office/word/2010/wordprocessingShape">
                    <wps:wsp>
                      <wps:cNvPr id="242" name="Textbox 242"/>
                      <wps:cNvSpPr txBox="1"/>
                      <wps:spPr>
                        <a:xfrm>
                          <a:off x="0" y="0"/>
                          <a:ext cx="5715000" cy="745490"/>
                        </a:xfrm>
                        <a:prstGeom prst="rect">
                          <a:avLst/>
                        </a:prstGeom>
                        <a:ln w="6095">
                          <a:solidFill>
                            <a:srgbClr val="000000"/>
                          </a:solidFill>
                          <a:prstDash val="solid"/>
                        </a:ln>
                      </wps:spPr>
                      <wps:txbx>
                        <w:txbxContent>
                          <w:p>
                            <w:pPr>
                              <w:pStyle w:val="BodyText"/>
                              <w:ind w:left="103" w:right="102"/>
                              <w:jc w:val="both"/>
                            </w:pPr>
                            <w:r>
                              <w:rPr/>
                              <w:t>Tomando en consideración de las cuentas y documentos por cobrar del IMAS, el valor inicial no cambia, esto implica que su valor futuro es igual al valor de inicio, y no existen primas o descuentos, que se paguen. Ante esta realidad, el costo amortizado es igual a su valor inicial (valor razonable más costos de transacción), menos las amortizaciones recibidas de los deudores a ese valor inicial.</w:t>
                            </w:r>
                          </w:p>
                        </w:txbxContent>
                      </wps:txbx>
                      <wps:bodyPr wrap="square" lIns="0" tIns="0" rIns="0" bIns="0" rtlCol="0">
                        <a:noAutofit/>
                      </wps:bodyPr>
                    </wps:wsp>
                  </a:graphicData>
                </a:graphic>
              </wp:anchor>
            </w:drawing>
          </mc:Choice>
          <mc:Fallback>
            <w:pict>
              <v:shape style="position:absolute;margin-left:85.103996pt;margin-top:11.11375pt;width:450pt;height:58.7pt;mso-position-horizontal-relative:page;mso-position-vertical-relative:paragraph;z-index:-15693312;mso-wrap-distance-left:0;mso-wrap-distance-right:0" type="#_x0000_t202" id="docshape229" filled="false" stroked="true" strokeweight=".47998pt" strokecolor="#000000">
                <v:textbox inset="0,0,0,0">
                  <w:txbxContent>
                    <w:p>
                      <w:pPr>
                        <w:pStyle w:val="BodyText"/>
                        <w:ind w:left="103" w:right="102"/>
                        <w:jc w:val="both"/>
                      </w:pPr>
                      <w:r>
                        <w:rPr/>
                        <w:t>Tomando en consideración de las cuentas y documentos por cobrar del IMAS, el valor inicial no cambia, esto implica que su valor futuro es igual al valor de inicio, y no existen primas o descuentos, que se paguen. Ante esta realidad, el costo amortizado es igual a su valor inicial (valor razonable más costos de transacción), menos las amortizaciones recibidas de los deudores a ese valor inicial.</w:t>
                      </w:r>
                    </w:p>
                  </w:txbxContent>
                </v:textbox>
                <v:stroke dashstyle="solid"/>
                <w10:wrap type="topAndBottom"/>
              </v:shape>
            </w:pict>
          </mc:Fallback>
        </mc:AlternateContent>
      </w:r>
    </w:p>
    <w:p>
      <w:pPr>
        <w:pStyle w:val="BodyText"/>
        <w:spacing w:before="186"/>
      </w:pPr>
    </w:p>
    <w:p>
      <w:pPr>
        <w:pStyle w:val="Heading6"/>
        <w:ind w:left="622"/>
      </w:pPr>
      <w:r>
        <w:rPr>
          <w:spacing w:val="-2"/>
        </w:rPr>
        <w:t>Revelación:</w:t>
      </w:r>
    </w:p>
    <w:p>
      <w:pPr>
        <w:pStyle w:val="BodyText"/>
        <w:spacing w:line="259" w:lineRule="auto" w:before="181"/>
        <w:ind w:left="622" w:right="1001"/>
      </w:pPr>
      <w:r>
        <w:rPr/>
        <w:t>La</w:t>
      </w:r>
      <w:r>
        <w:rPr>
          <w:spacing w:val="-3"/>
        </w:rPr>
        <w:t> </w:t>
      </w:r>
      <w:r>
        <w:rPr/>
        <w:t>cuenta</w:t>
      </w:r>
      <w:r>
        <w:rPr>
          <w:spacing w:val="-2"/>
        </w:rPr>
        <w:t> </w:t>
      </w:r>
      <w:r>
        <w:rPr/>
        <w:t>Cuentas</w:t>
      </w:r>
      <w:r>
        <w:rPr>
          <w:spacing w:val="-1"/>
        </w:rPr>
        <w:t> </w:t>
      </w:r>
      <w:r>
        <w:rPr/>
        <w:t>a</w:t>
      </w:r>
      <w:r>
        <w:rPr>
          <w:spacing w:val="-3"/>
        </w:rPr>
        <w:t> </w:t>
      </w:r>
      <w:r>
        <w:rPr/>
        <w:t>cobrar</w:t>
      </w:r>
      <w:r>
        <w:rPr>
          <w:spacing w:val="-5"/>
        </w:rPr>
        <w:t> </w:t>
      </w:r>
      <w:r>
        <w:rPr/>
        <w:t>a</w:t>
      </w:r>
      <w:r>
        <w:rPr>
          <w:spacing w:val="-3"/>
        </w:rPr>
        <w:t> </w:t>
      </w:r>
      <w:r>
        <w:rPr/>
        <w:t>corto</w:t>
      </w:r>
      <w:r>
        <w:rPr>
          <w:spacing w:val="-1"/>
        </w:rPr>
        <w:t> </w:t>
      </w:r>
      <w:r>
        <w:rPr/>
        <w:t>plazo,</w:t>
      </w:r>
      <w:r>
        <w:rPr>
          <w:spacing w:val="-2"/>
        </w:rPr>
        <w:t> </w:t>
      </w:r>
      <w:r>
        <w:rPr/>
        <w:t>representa</w:t>
      </w:r>
      <w:r>
        <w:rPr>
          <w:spacing w:val="-2"/>
        </w:rPr>
        <w:t> </w:t>
      </w:r>
      <w:r>
        <w:rPr/>
        <w:t>el</w:t>
      </w:r>
      <w:r>
        <w:rPr>
          <w:spacing w:val="-5"/>
        </w:rPr>
        <w:t> </w:t>
      </w:r>
      <w:r>
        <w:rPr/>
        <w:t>3,41</w:t>
      </w:r>
      <w:r>
        <w:rPr>
          <w:spacing w:val="-3"/>
        </w:rPr>
        <w:t> </w:t>
      </w:r>
      <w:r>
        <w:rPr/>
        <w:t>%</w:t>
      </w:r>
      <w:r>
        <w:rPr>
          <w:spacing w:val="-2"/>
        </w:rPr>
        <w:t> </w:t>
      </w:r>
      <w:r>
        <w:rPr/>
        <w:t>del</w:t>
      </w:r>
      <w:r>
        <w:rPr>
          <w:spacing w:val="-2"/>
        </w:rPr>
        <w:t> </w:t>
      </w:r>
      <w:r>
        <w:rPr/>
        <w:t>total</w:t>
      </w:r>
      <w:r>
        <w:rPr>
          <w:spacing w:val="-2"/>
        </w:rPr>
        <w:t> </w:t>
      </w:r>
      <w:r>
        <w:rPr/>
        <w:t>del</w:t>
      </w:r>
      <w:r>
        <w:rPr>
          <w:spacing w:val="-2"/>
        </w:rPr>
        <w:t> </w:t>
      </w:r>
      <w:r>
        <w:rPr/>
        <w:t>Activo,</w:t>
      </w:r>
      <w:r>
        <w:rPr>
          <w:spacing w:val="-4"/>
        </w:rPr>
        <w:t> </w:t>
      </w:r>
      <w:r>
        <w:rPr/>
        <w:t>que</w:t>
      </w:r>
      <w:r>
        <w:rPr>
          <w:spacing w:val="-4"/>
        </w:rPr>
        <w:t> </w:t>
      </w:r>
      <w:r>
        <w:rPr/>
        <w:t>comparado</w:t>
      </w:r>
      <w:r>
        <w:rPr>
          <w:spacing w:val="-2"/>
        </w:rPr>
        <w:t> </w:t>
      </w:r>
      <w:r>
        <w:rPr/>
        <w:t>al periodo anterior genera una variación absoluta de ¢382.577,58 que corresponde a un Aumento del 5,96 % de recursos disponibles.</w:t>
      </w:r>
    </w:p>
    <w:p>
      <w:pPr>
        <w:pStyle w:val="BodyText"/>
      </w:pPr>
    </w:p>
    <w:p>
      <w:pPr>
        <w:pStyle w:val="BodyText"/>
        <w:spacing w:before="97"/>
      </w:pPr>
    </w:p>
    <w:p>
      <w:pPr>
        <w:pStyle w:val="BodyText"/>
        <w:ind w:left="734"/>
      </w:pPr>
      <w:r>
        <w:rPr>
          <w:spacing w:val="-2"/>
        </w:rPr>
        <w:t>Revelación:</w:t>
      </w:r>
    </w:p>
    <w:p>
      <w:pPr>
        <w:pStyle w:val="BodyText"/>
        <w:spacing w:before="179"/>
        <w:ind w:left="734"/>
      </w:pPr>
      <w:r>
        <w:rPr/>
        <w:t>Al</w:t>
      </w:r>
      <w:r>
        <w:rPr>
          <w:spacing w:val="-5"/>
        </w:rPr>
        <w:t> </w:t>
      </w:r>
      <w:r>
        <w:rPr/>
        <w:t>31</w:t>
      </w:r>
      <w:r>
        <w:rPr>
          <w:spacing w:val="-3"/>
        </w:rPr>
        <w:t> </w:t>
      </w:r>
      <w:r>
        <w:rPr/>
        <w:t>de</w:t>
      </w:r>
      <w:r>
        <w:rPr>
          <w:spacing w:val="-3"/>
        </w:rPr>
        <w:t> </w:t>
      </w:r>
      <w:r>
        <w:rPr/>
        <w:t>julio</w:t>
      </w:r>
      <w:r>
        <w:rPr>
          <w:spacing w:val="-3"/>
        </w:rPr>
        <w:t> </w:t>
      </w:r>
      <w:r>
        <w:rPr/>
        <w:t>2026</w:t>
      </w:r>
      <w:r>
        <w:rPr>
          <w:spacing w:val="-4"/>
        </w:rPr>
        <w:t> </w:t>
      </w:r>
      <w:r>
        <w:rPr/>
        <w:t>y</w:t>
      </w:r>
      <w:r>
        <w:rPr>
          <w:spacing w:val="-4"/>
        </w:rPr>
        <w:t> </w:t>
      </w:r>
      <w:r>
        <w:rPr/>
        <w:t>2025</w:t>
      </w:r>
      <w:r>
        <w:rPr>
          <w:spacing w:val="-3"/>
        </w:rPr>
        <w:t> </w:t>
      </w:r>
      <w:r>
        <w:rPr/>
        <w:t>las</w:t>
      </w:r>
      <w:r>
        <w:rPr>
          <w:spacing w:val="-2"/>
        </w:rPr>
        <w:t> </w:t>
      </w:r>
      <w:r>
        <w:rPr/>
        <w:t>cuentas</w:t>
      </w:r>
      <w:r>
        <w:rPr>
          <w:spacing w:val="-2"/>
        </w:rPr>
        <w:t> </w:t>
      </w:r>
      <w:r>
        <w:rPr/>
        <w:t>por</w:t>
      </w:r>
      <w:r>
        <w:rPr>
          <w:spacing w:val="-3"/>
        </w:rPr>
        <w:t> </w:t>
      </w:r>
      <w:r>
        <w:rPr/>
        <w:t>cobrar</w:t>
      </w:r>
      <w:r>
        <w:rPr>
          <w:spacing w:val="-2"/>
        </w:rPr>
        <w:t> </w:t>
      </w:r>
      <w:r>
        <w:rPr/>
        <w:t>se</w:t>
      </w:r>
      <w:r>
        <w:rPr>
          <w:spacing w:val="-4"/>
        </w:rPr>
        <w:t> </w:t>
      </w:r>
      <w:r>
        <w:rPr/>
        <w:t>componen</w:t>
      </w:r>
      <w:r>
        <w:rPr>
          <w:spacing w:val="-4"/>
        </w:rPr>
        <w:t> </w:t>
      </w:r>
      <w:r>
        <w:rPr/>
        <w:t>de</w:t>
      </w:r>
      <w:r>
        <w:rPr>
          <w:spacing w:val="-5"/>
        </w:rPr>
        <w:t> </w:t>
      </w:r>
      <w:r>
        <w:rPr/>
        <w:t>las</w:t>
      </w:r>
      <w:r>
        <w:rPr>
          <w:spacing w:val="-1"/>
        </w:rPr>
        <w:t> </w:t>
      </w:r>
      <w:r>
        <w:rPr/>
        <w:t>siguientes</w:t>
      </w:r>
      <w:r>
        <w:rPr>
          <w:spacing w:val="-2"/>
        </w:rPr>
        <w:t> </w:t>
      </w:r>
      <w:r>
        <w:rPr/>
        <w:t>cuentas</w:t>
      </w:r>
      <w:r>
        <w:rPr>
          <w:spacing w:val="-2"/>
        </w:rPr>
        <w:t> manera:</w:t>
      </w:r>
    </w:p>
    <w:p>
      <w:pPr>
        <w:pStyle w:val="BodyText"/>
        <w:spacing w:before="20" w:after="1"/>
        <w:rPr>
          <w:sz w:val="20"/>
        </w:rPr>
      </w:pPr>
    </w:p>
    <w:tbl>
      <w:tblPr>
        <w:tblW w:w="0" w:type="auto"/>
        <w:jc w:val="left"/>
        <w:tblInd w:w="1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0"/>
        <w:gridCol w:w="2220"/>
        <w:gridCol w:w="2181"/>
      </w:tblGrid>
      <w:tr>
        <w:trPr>
          <w:trHeight w:val="226" w:hRule="atLeast"/>
        </w:trPr>
        <w:tc>
          <w:tcPr>
            <w:tcW w:w="3270" w:type="dxa"/>
            <w:vMerge w:val="restart"/>
            <w:tcBorders>
              <w:top w:val="single" w:sz="2" w:space="0" w:color="000000"/>
              <w:left w:val="single" w:sz="2" w:space="0" w:color="000000"/>
              <w:bottom w:val="single" w:sz="4" w:space="0" w:color="000000"/>
            </w:tcBorders>
          </w:tcPr>
          <w:p>
            <w:pPr>
              <w:pStyle w:val="TableParagraph"/>
              <w:spacing w:before="35"/>
              <w:rPr>
                <w:sz w:val="19"/>
              </w:rPr>
            </w:pPr>
          </w:p>
          <w:p>
            <w:pPr>
              <w:pStyle w:val="TableParagraph"/>
              <w:ind w:left="144"/>
              <w:rPr>
                <w:rFonts w:ascii="Times New Roman"/>
                <w:b/>
                <w:sz w:val="19"/>
              </w:rPr>
            </w:pPr>
            <w:r>
              <w:rPr>
                <w:rFonts w:ascii="Times New Roman"/>
                <w:b/>
                <w:sz w:val="19"/>
              </w:rPr>
              <w:t>Cuentas</w:t>
            </w:r>
            <w:r>
              <w:rPr>
                <w:rFonts w:ascii="Times New Roman"/>
                <w:b/>
                <w:spacing w:val="-7"/>
                <w:sz w:val="19"/>
              </w:rPr>
              <w:t> </w:t>
            </w:r>
            <w:r>
              <w:rPr>
                <w:rFonts w:ascii="Times New Roman"/>
                <w:b/>
                <w:sz w:val="19"/>
              </w:rPr>
              <w:t>por</w:t>
            </w:r>
            <w:r>
              <w:rPr>
                <w:rFonts w:ascii="Times New Roman"/>
                <w:b/>
                <w:spacing w:val="-7"/>
                <w:sz w:val="19"/>
              </w:rPr>
              <w:t> </w:t>
            </w:r>
            <w:r>
              <w:rPr>
                <w:rFonts w:ascii="Times New Roman"/>
                <w:b/>
                <w:spacing w:val="-2"/>
                <w:sz w:val="19"/>
              </w:rPr>
              <w:t>cobrar</w:t>
            </w:r>
          </w:p>
          <w:p>
            <w:pPr>
              <w:pStyle w:val="TableParagraph"/>
              <w:spacing w:before="28"/>
              <w:ind w:left="144"/>
              <w:rPr>
                <w:rFonts w:ascii="Times New Roman"/>
                <w:sz w:val="19"/>
              </w:rPr>
            </w:pPr>
            <w:r>
              <w:rPr>
                <w:rFonts w:ascii="Times New Roman"/>
                <w:sz w:val="19"/>
              </w:rPr>
              <w:t>Por</w:t>
            </w:r>
            <w:r>
              <w:rPr>
                <w:rFonts w:ascii="Times New Roman"/>
                <w:spacing w:val="-7"/>
                <w:sz w:val="19"/>
              </w:rPr>
              <w:t> </w:t>
            </w:r>
            <w:r>
              <w:rPr>
                <w:rFonts w:ascii="Times New Roman"/>
                <w:spacing w:val="-2"/>
                <w:sz w:val="19"/>
              </w:rPr>
              <w:t>impuestos</w:t>
            </w:r>
          </w:p>
          <w:p>
            <w:pPr>
              <w:pStyle w:val="TableParagraph"/>
              <w:spacing w:line="271" w:lineRule="auto" w:before="28"/>
              <w:ind w:left="144" w:right="1049"/>
              <w:rPr>
                <w:rFonts w:ascii="Times New Roman" w:hAnsi="Times New Roman"/>
                <w:sz w:val="19"/>
              </w:rPr>
            </w:pPr>
            <w:r>
              <w:rPr>
                <w:rFonts w:ascii="Times New Roman" w:hAnsi="Times New Roman"/>
                <w:sz w:val="19"/>
              </w:rPr>
              <w:t>Por</w:t>
            </w:r>
            <w:r>
              <w:rPr>
                <w:rFonts w:ascii="Times New Roman" w:hAnsi="Times New Roman"/>
                <w:spacing w:val="-12"/>
                <w:sz w:val="19"/>
              </w:rPr>
              <w:t> </w:t>
            </w:r>
            <w:r>
              <w:rPr>
                <w:rFonts w:ascii="Times New Roman" w:hAnsi="Times New Roman"/>
                <w:sz w:val="19"/>
              </w:rPr>
              <w:t>contribuciones</w:t>
            </w:r>
            <w:r>
              <w:rPr>
                <w:rFonts w:ascii="Times New Roman" w:hAnsi="Times New Roman"/>
                <w:spacing w:val="-12"/>
                <w:sz w:val="19"/>
              </w:rPr>
              <w:t> </w:t>
            </w:r>
            <w:r>
              <w:rPr>
                <w:rFonts w:ascii="Times New Roman" w:hAnsi="Times New Roman"/>
                <w:sz w:val="19"/>
              </w:rPr>
              <w:t>sociales Por recaudación C.C.S.S. Documentos por cobrar</w:t>
            </w:r>
            <w:r>
              <w:rPr>
                <w:rFonts w:ascii="Times New Roman" w:hAnsi="Times New Roman"/>
                <w:spacing w:val="40"/>
                <w:sz w:val="19"/>
              </w:rPr>
              <w:t> </w:t>
            </w:r>
            <w:r>
              <w:rPr>
                <w:rFonts w:ascii="Times New Roman" w:hAnsi="Times New Roman"/>
                <w:sz w:val="19"/>
              </w:rPr>
              <w:t>Por entidades bancarias Otras cuentas por cobrar</w:t>
            </w:r>
          </w:p>
          <w:p>
            <w:pPr>
              <w:pStyle w:val="TableParagraph"/>
              <w:spacing w:line="271" w:lineRule="auto" w:before="1"/>
              <w:ind w:left="144" w:right="1412" w:firstLine="1288"/>
              <w:rPr>
                <w:rFonts w:ascii="Times New Roman"/>
                <w:sz w:val="19"/>
              </w:rPr>
            </w:pPr>
            <w:r>
              <w:rPr>
                <w:rFonts w:ascii="Times New Roman"/>
                <w:b/>
                <w:spacing w:val="-4"/>
                <w:sz w:val="18"/>
              </w:rPr>
              <w:t>Total</w:t>
            </w:r>
            <w:r>
              <w:rPr>
                <w:rFonts w:ascii="Times New Roman"/>
                <w:b/>
                <w:spacing w:val="-4"/>
                <w:sz w:val="18"/>
              </w:rPr>
              <w:t> </w:t>
            </w:r>
            <w:r>
              <w:rPr>
                <w:rFonts w:ascii="Times New Roman"/>
                <w:b/>
                <w:sz w:val="19"/>
              </w:rPr>
              <w:t>Por cobro judicial </w:t>
            </w:r>
            <w:r>
              <w:rPr>
                <w:rFonts w:ascii="Times New Roman"/>
                <w:sz w:val="19"/>
              </w:rPr>
              <w:t>Por impuestos</w:t>
            </w:r>
          </w:p>
          <w:p>
            <w:pPr>
              <w:pStyle w:val="TableParagraph"/>
              <w:spacing w:line="271" w:lineRule="auto"/>
              <w:ind w:left="144" w:right="1048"/>
              <w:rPr>
                <w:rFonts w:ascii="Times New Roman"/>
                <w:sz w:val="19"/>
              </w:rPr>
            </w:pPr>
            <w:r>
              <w:rPr>
                <w:rFonts w:ascii="Times New Roman"/>
                <w:sz w:val="19"/>
              </w:rPr>
              <w:t>Por</w:t>
            </w:r>
            <w:r>
              <w:rPr>
                <w:rFonts w:ascii="Times New Roman"/>
                <w:spacing w:val="-12"/>
                <w:sz w:val="19"/>
              </w:rPr>
              <w:t> </w:t>
            </w:r>
            <w:r>
              <w:rPr>
                <w:rFonts w:ascii="Times New Roman"/>
                <w:sz w:val="19"/>
              </w:rPr>
              <w:t>contribuciones</w:t>
            </w:r>
            <w:r>
              <w:rPr>
                <w:rFonts w:ascii="Times New Roman"/>
                <w:spacing w:val="-12"/>
                <w:sz w:val="19"/>
              </w:rPr>
              <w:t> </w:t>
            </w:r>
            <w:r>
              <w:rPr>
                <w:rFonts w:ascii="Times New Roman"/>
                <w:sz w:val="19"/>
              </w:rPr>
              <w:t>sociales </w:t>
            </w:r>
            <w:r>
              <w:rPr>
                <w:rFonts w:ascii="Times New Roman"/>
                <w:spacing w:val="-2"/>
                <w:sz w:val="19"/>
              </w:rPr>
              <w:t>Beneficiarios</w:t>
            </w:r>
          </w:p>
          <w:p>
            <w:pPr>
              <w:pStyle w:val="TableParagraph"/>
              <w:spacing w:line="217" w:lineRule="exact"/>
              <w:ind w:left="144"/>
              <w:rPr>
                <w:rFonts w:ascii="Times New Roman"/>
                <w:sz w:val="19"/>
              </w:rPr>
            </w:pPr>
            <w:r>
              <w:rPr>
                <w:rFonts w:ascii="Times New Roman"/>
                <w:sz w:val="19"/>
              </w:rPr>
              <w:t>Otras</w:t>
            </w:r>
            <w:r>
              <w:rPr>
                <w:rFonts w:ascii="Times New Roman"/>
                <w:spacing w:val="-1"/>
                <w:sz w:val="19"/>
              </w:rPr>
              <w:t> </w:t>
            </w:r>
            <w:r>
              <w:rPr>
                <w:rFonts w:ascii="Times New Roman"/>
                <w:sz w:val="19"/>
              </w:rPr>
              <w:t>cuentas por</w:t>
            </w:r>
            <w:r>
              <w:rPr>
                <w:rFonts w:ascii="Times New Roman"/>
                <w:spacing w:val="-3"/>
                <w:sz w:val="19"/>
              </w:rPr>
              <w:t> </w:t>
            </w:r>
            <w:r>
              <w:rPr>
                <w:rFonts w:ascii="Times New Roman"/>
                <w:spacing w:val="-2"/>
                <w:sz w:val="19"/>
              </w:rPr>
              <w:t>cobrar</w:t>
            </w:r>
          </w:p>
          <w:p>
            <w:pPr>
              <w:pStyle w:val="TableParagraph"/>
              <w:spacing w:before="24"/>
              <w:ind w:left="839"/>
              <w:rPr>
                <w:rFonts w:ascii="Times New Roman"/>
                <w:b/>
                <w:sz w:val="19"/>
              </w:rPr>
            </w:pPr>
            <w:r>
              <w:rPr>
                <w:rFonts w:ascii="Times New Roman"/>
                <w:b/>
                <w:sz w:val="19"/>
              </w:rPr>
              <w:t>Total,</w:t>
            </w:r>
            <w:r>
              <w:rPr>
                <w:rFonts w:ascii="Times New Roman"/>
                <w:b/>
                <w:spacing w:val="-4"/>
                <w:sz w:val="19"/>
              </w:rPr>
              <w:t> </w:t>
            </w:r>
            <w:r>
              <w:rPr>
                <w:rFonts w:ascii="Times New Roman"/>
                <w:b/>
                <w:sz w:val="19"/>
              </w:rPr>
              <w:t>cobro</w:t>
            </w:r>
            <w:r>
              <w:rPr>
                <w:rFonts w:ascii="Times New Roman"/>
                <w:b/>
                <w:spacing w:val="-8"/>
                <w:sz w:val="19"/>
              </w:rPr>
              <w:t> </w:t>
            </w:r>
            <w:r>
              <w:rPr>
                <w:rFonts w:ascii="Times New Roman"/>
                <w:b/>
                <w:spacing w:val="-2"/>
                <w:sz w:val="19"/>
              </w:rPr>
              <w:t>judicial</w:t>
            </w:r>
          </w:p>
          <w:p>
            <w:pPr>
              <w:pStyle w:val="TableParagraph"/>
              <w:spacing w:before="23"/>
              <w:ind w:right="1230"/>
              <w:jc w:val="right"/>
              <w:rPr>
                <w:rFonts w:ascii="Times New Roman" w:hAnsi="Times New Roman"/>
                <w:sz w:val="19"/>
              </w:rPr>
            </w:pPr>
            <w:r>
              <w:rPr>
                <w:rFonts w:ascii="Times New Roman" w:hAnsi="Times New Roman"/>
                <w:sz w:val="19"/>
              </w:rPr>
              <w:t>Estimación</w:t>
            </w:r>
            <w:r>
              <w:rPr>
                <w:rFonts w:ascii="Times New Roman" w:hAnsi="Times New Roman"/>
                <w:spacing w:val="-3"/>
                <w:sz w:val="19"/>
              </w:rPr>
              <w:t> </w:t>
            </w:r>
            <w:r>
              <w:rPr>
                <w:rFonts w:ascii="Times New Roman" w:hAnsi="Times New Roman"/>
                <w:sz w:val="19"/>
              </w:rPr>
              <w:t>por</w:t>
            </w:r>
            <w:r>
              <w:rPr>
                <w:rFonts w:ascii="Times New Roman" w:hAnsi="Times New Roman"/>
                <w:spacing w:val="-4"/>
                <w:sz w:val="19"/>
              </w:rPr>
              <w:t> </w:t>
            </w:r>
            <w:r>
              <w:rPr>
                <w:rFonts w:ascii="Times New Roman" w:hAnsi="Times New Roman"/>
                <w:spacing w:val="-2"/>
                <w:sz w:val="19"/>
              </w:rPr>
              <w:t>deterioro</w:t>
            </w:r>
          </w:p>
          <w:p>
            <w:pPr>
              <w:pStyle w:val="TableParagraph"/>
              <w:spacing w:line="201" w:lineRule="exact" w:before="28"/>
              <w:ind w:right="1185"/>
              <w:jc w:val="right"/>
              <w:rPr>
                <w:rFonts w:ascii="Times New Roman"/>
                <w:b/>
                <w:sz w:val="19"/>
              </w:rPr>
            </w:pPr>
            <w:r>
              <w:rPr>
                <w:rFonts w:ascii="Times New Roman"/>
                <w:b/>
                <w:sz w:val="19"/>
              </w:rPr>
              <w:t>Total,</w:t>
            </w:r>
            <w:r>
              <w:rPr>
                <w:rFonts w:ascii="Times New Roman"/>
                <w:b/>
                <w:spacing w:val="-4"/>
                <w:sz w:val="19"/>
              </w:rPr>
              <w:t> neto</w:t>
            </w:r>
          </w:p>
        </w:tc>
        <w:tc>
          <w:tcPr>
            <w:tcW w:w="2220" w:type="dxa"/>
            <w:tcBorders>
              <w:top w:val="single" w:sz="2" w:space="0" w:color="000000"/>
              <w:bottom w:val="single" w:sz="6" w:space="0" w:color="000000"/>
            </w:tcBorders>
          </w:tcPr>
          <w:p>
            <w:pPr>
              <w:pStyle w:val="TableParagraph"/>
              <w:spacing w:line="191" w:lineRule="exact" w:before="15"/>
              <w:ind w:left="555"/>
              <w:rPr>
                <w:rFonts w:ascii="Times New Roman"/>
                <w:b/>
                <w:sz w:val="18"/>
              </w:rPr>
            </w:pPr>
            <w:r>
              <w:rPr>
                <w:rFonts w:ascii="Times New Roman"/>
                <w:b/>
                <w:spacing w:val="-4"/>
                <w:sz w:val="18"/>
                <w:u w:val="single"/>
              </w:rPr>
              <w:t>2026</w:t>
            </w:r>
          </w:p>
        </w:tc>
        <w:tc>
          <w:tcPr>
            <w:tcW w:w="2181" w:type="dxa"/>
            <w:tcBorders>
              <w:top w:val="single" w:sz="2" w:space="0" w:color="000000"/>
              <w:bottom w:val="single" w:sz="6" w:space="0" w:color="000000"/>
              <w:right w:val="single" w:sz="4" w:space="0" w:color="000000"/>
            </w:tcBorders>
          </w:tcPr>
          <w:p>
            <w:pPr>
              <w:pStyle w:val="TableParagraph"/>
              <w:spacing w:line="191" w:lineRule="exact" w:before="15"/>
              <w:ind w:left="1279"/>
              <w:rPr>
                <w:rFonts w:ascii="Times New Roman"/>
                <w:b/>
                <w:sz w:val="18"/>
              </w:rPr>
            </w:pPr>
            <w:r>
              <w:rPr>
                <w:rFonts w:ascii="Times New Roman"/>
                <w:b/>
                <w:spacing w:val="-4"/>
                <w:sz w:val="18"/>
                <w:u w:val="single"/>
              </w:rPr>
              <w:t>2025</w:t>
            </w:r>
          </w:p>
        </w:tc>
      </w:tr>
      <w:tr>
        <w:trPr>
          <w:trHeight w:val="487" w:hRule="atLeast"/>
        </w:trPr>
        <w:tc>
          <w:tcPr>
            <w:tcW w:w="3270" w:type="dxa"/>
            <w:vMerge/>
            <w:tcBorders>
              <w:top w:val="nil"/>
              <w:left w:val="single" w:sz="2" w:space="0" w:color="000000"/>
              <w:bottom w:val="single" w:sz="4" w:space="0" w:color="000000"/>
            </w:tcBorders>
          </w:tcPr>
          <w:p>
            <w:pPr>
              <w:rPr>
                <w:sz w:val="2"/>
                <w:szCs w:val="2"/>
              </w:rPr>
            </w:pPr>
          </w:p>
        </w:tc>
        <w:tc>
          <w:tcPr>
            <w:tcW w:w="2220" w:type="dxa"/>
            <w:tcBorders>
              <w:top w:val="single" w:sz="6" w:space="0" w:color="000000"/>
            </w:tcBorders>
          </w:tcPr>
          <w:p>
            <w:pPr>
              <w:pStyle w:val="TableParagraph"/>
              <w:spacing w:before="39"/>
              <w:rPr>
                <w:sz w:val="19"/>
              </w:rPr>
            </w:pPr>
          </w:p>
          <w:p>
            <w:pPr>
              <w:pStyle w:val="TableParagraph"/>
              <w:spacing w:line="210" w:lineRule="exact" w:before="1"/>
              <w:ind w:right="770"/>
              <w:jc w:val="right"/>
              <w:rPr>
                <w:rFonts w:ascii="Times New Roman"/>
                <w:sz w:val="19"/>
              </w:rPr>
            </w:pPr>
            <w:r>
              <w:rPr>
                <w:rFonts w:ascii="Times New Roman"/>
                <w:sz w:val="19"/>
              </w:rPr>
              <w:t>605 </w:t>
            </w:r>
            <w:r>
              <w:rPr>
                <w:rFonts w:ascii="Times New Roman"/>
                <w:spacing w:val="-2"/>
                <w:sz w:val="19"/>
              </w:rPr>
              <w:t>358,66</w:t>
            </w:r>
          </w:p>
        </w:tc>
        <w:tc>
          <w:tcPr>
            <w:tcW w:w="2181" w:type="dxa"/>
            <w:tcBorders>
              <w:top w:val="single" w:sz="6" w:space="0" w:color="000000"/>
              <w:right w:val="single" w:sz="4" w:space="0" w:color="000000"/>
            </w:tcBorders>
          </w:tcPr>
          <w:p>
            <w:pPr>
              <w:pStyle w:val="TableParagraph"/>
              <w:spacing w:before="39"/>
              <w:rPr>
                <w:sz w:val="19"/>
              </w:rPr>
            </w:pPr>
          </w:p>
          <w:p>
            <w:pPr>
              <w:pStyle w:val="TableParagraph"/>
              <w:spacing w:line="210" w:lineRule="exact" w:before="1"/>
              <w:ind w:right="11"/>
              <w:jc w:val="right"/>
              <w:rPr>
                <w:rFonts w:ascii="Times New Roman"/>
                <w:sz w:val="19"/>
              </w:rPr>
            </w:pPr>
            <w:r>
              <w:rPr>
                <w:rFonts w:ascii="Times New Roman"/>
                <w:sz w:val="19"/>
              </w:rPr>
              <w:t>712 </w:t>
            </w:r>
            <w:r>
              <w:rPr>
                <w:rFonts w:ascii="Times New Roman"/>
                <w:spacing w:val="-2"/>
                <w:sz w:val="19"/>
              </w:rPr>
              <w:t>098,80</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rPr>
              <w:t>6 410</w:t>
            </w:r>
            <w:r>
              <w:rPr>
                <w:rFonts w:ascii="Times New Roman"/>
                <w:spacing w:val="1"/>
                <w:sz w:val="19"/>
              </w:rPr>
              <w:t> </w:t>
            </w:r>
            <w:r>
              <w:rPr>
                <w:rFonts w:ascii="Times New Roman"/>
                <w:spacing w:val="-2"/>
                <w:sz w:val="19"/>
              </w:rPr>
              <w:t>954,73</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rPr>
              <w:t>6 137</w:t>
            </w:r>
            <w:r>
              <w:rPr>
                <w:rFonts w:ascii="Times New Roman"/>
                <w:spacing w:val="1"/>
                <w:sz w:val="19"/>
              </w:rPr>
              <w:t> </w:t>
            </w:r>
            <w:r>
              <w:rPr>
                <w:rFonts w:ascii="Times New Roman"/>
                <w:spacing w:val="-2"/>
                <w:sz w:val="19"/>
              </w:rPr>
              <w:t>286,20</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5"/>
              <w:ind w:right="770"/>
              <w:jc w:val="right"/>
              <w:rPr>
                <w:rFonts w:ascii="Times New Roman"/>
                <w:sz w:val="19"/>
              </w:rPr>
            </w:pPr>
            <w:r>
              <w:rPr>
                <w:rFonts w:ascii="Times New Roman"/>
                <w:sz w:val="19"/>
              </w:rPr>
              <w:t>4 727</w:t>
            </w:r>
            <w:r>
              <w:rPr>
                <w:rFonts w:ascii="Times New Roman"/>
                <w:spacing w:val="1"/>
                <w:sz w:val="19"/>
              </w:rPr>
              <w:t> </w:t>
            </w:r>
            <w:r>
              <w:rPr>
                <w:rFonts w:ascii="Times New Roman"/>
                <w:spacing w:val="-2"/>
                <w:sz w:val="19"/>
              </w:rPr>
              <w:t>089,08</w:t>
            </w:r>
          </w:p>
        </w:tc>
        <w:tc>
          <w:tcPr>
            <w:tcW w:w="2181" w:type="dxa"/>
            <w:tcBorders>
              <w:right w:val="single" w:sz="4" w:space="0" w:color="000000"/>
            </w:tcBorders>
          </w:tcPr>
          <w:p>
            <w:pPr>
              <w:pStyle w:val="TableParagraph"/>
              <w:spacing w:line="210" w:lineRule="exact" w:before="5"/>
              <w:ind w:right="11"/>
              <w:jc w:val="right"/>
              <w:rPr>
                <w:rFonts w:ascii="Times New Roman"/>
                <w:sz w:val="19"/>
              </w:rPr>
            </w:pPr>
            <w:r>
              <w:rPr>
                <w:rFonts w:ascii="Times New Roman"/>
                <w:sz w:val="19"/>
              </w:rPr>
              <w:t>4 552</w:t>
            </w:r>
            <w:r>
              <w:rPr>
                <w:rFonts w:ascii="Times New Roman"/>
                <w:spacing w:val="1"/>
                <w:sz w:val="19"/>
              </w:rPr>
              <w:t> </w:t>
            </w:r>
            <w:r>
              <w:rPr>
                <w:rFonts w:ascii="Times New Roman"/>
                <w:spacing w:val="-2"/>
                <w:sz w:val="19"/>
              </w:rPr>
              <w:t>686,90</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rPr>
              <w:t>92 </w:t>
            </w:r>
            <w:r>
              <w:rPr>
                <w:rFonts w:ascii="Times New Roman"/>
                <w:spacing w:val="-2"/>
                <w:sz w:val="19"/>
              </w:rPr>
              <w:t>735,80</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rPr>
              <w:t>97 </w:t>
            </w:r>
            <w:r>
              <w:rPr>
                <w:rFonts w:ascii="Times New Roman"/>
                <w:spacing w:val="-2"/>
                <w:sz w:val="19"/>
              </w:rPr>
              <w:t>211,69</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rPr>
              <w:t>47 </w:t>
            </w:r>
            <w:r>
              <w:rPr>
                <w:rFonts w:ascii="Times New Roman"/>
                <w:spacing w:val="-2"/>
                <w:sz w:val="19"/>
              </w:rPr>
              <w:t>626,86</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rPr>
              <w:t>42 </w:t>
            </w:r>
            <w:r>
              <w:rPr>
                <w:rFonts w:ascii="Times New Roman"/>
                <w:spacing w:val="-2"/>
                <w:sz w:val="19"/>
              </w:rPr>
              <w:t>038,19</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u w:val="single"/>
              </w:rPr>
              <w:t>18 </w:t>
            </w:r>
            <w:r>
              <w:rPr>
                <w:rFonts w:ascii="Times New Roman"/>
                <w:spacing w:val="-2"/>
                <w:sz w:val="19"/>
                <w:u w:val="single"/>
              </w:rPr>
              <w:t>569,60</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u w:val="single"/>
              </w:rPr>
              <w:t>17 </w:t>
            </w:r>
            <w:r>
              <w:rPr>
                <w:rFonts w:ascii="Times New Roman"/>
                <w:spacing w:val="-2"/>
                <w:sz w:val="19"/>
                <w:u w:val="single"/>
              </w:rPr>
              <w:t>785,06</w:t>
            </w:r>
          </w:p>
        </w:tc>
      </w:tr>
      <w:tr>
        <w:trPr>
          <w:trHeight w:val="354"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before="5"/>
              <w:ind w:right="770"/>
              <w:jc w:val="right"/>
              <w:rPr>
                <w:rFonts w:ascii="Times New Roman"/>
                <w:b/>
                <w:sz w:val="19"/>
              </w:rPr>
            </w:pPr>
            <w:r>
              <w:rPr>
                <w:rFonts w:ascii="Times New Roman"/>
                <w:b/>
                <w:sz w:val="19"/>
                <w:u w:val="single"/>
              </w:rPr>
              <w:t>11 902</w:t>
            </w:r>
            <w:r>
              <w:rPr>
                <w:rFonts w:ascii="Times New Roman"/>
                <w:b/>
                <w:spacing w:val="1"/>
                <w:sz w:val="19"/>
                <w:u w:val="single"/>
              </w:rPr>
              <w:t> </w:t>
            </w:r>
            <w:r>
              <w:rPr>
                <w:rFonts w:ascii="Times New Roman"/>
                <w:b/>
                <w:spacing w:val="-2"/>
                <w:sz w:val="19"/>
                <w:u w:val="single"/>
              </w:rPr>
              <w:t>334,73</w:t>
            </w:r>
          </w:p>
        </w:tc>
        <w:tc>
          <w:tcPr>
            <w:tcW w:w="2181" w:type="dxa"/>
            <w:tcBorders>
              <w:right w:val="single" w:sz="4" w:space="0" w:color="000000"/>
            </w:tcBorders>
          </w:tcPr>
          <w:p>
            <w:pPr>
              <w:pStyle w:val="TableParagraph"/>
              <w:spacing w:before="5"/>
              <w:ind w:right="11"/>
              <w:jc w:val="right"/>
              <w:rPr>
                <w:rFonts w:ascii="Times New Roman"/>
                <w:b/>
                <w:sz w:val="19"/>
              </w:rPr>
            </w:pPr>
            <w:r>
              <w:rPr>
                <w:rFonts w:ascii="Times New Roman"/>
                <w:b/>
                <w:sz w:val="19"/>
                <w:u w:val="single"/>
              </w:rPr>
              <w:t>11 559</w:t>
            </w:r>
            <w:r>
              <w:rPr>
                <w:rFonts w:ascii="Times New Roman"/>
                <w:b/>
                <w:spacing w:val="1"/>
                <w:sz w:val="19"/>
                <w:u w:val="single"/>
              </w:rPr>
              <w:t> </w:t>
            </w:r>
            <w:r>
              <w:rPr>
                <w:rFonts w:ascii="Times New Roman"/>
                <w:b/>
                <w:spacing w:val="-2"/>
                <w:sz w:val="19"/>
                <w:u w:val="single"/>
              </w:rPr>
              <w:t>106,85</w:t>
            </w:r>
          </w:p>
        </w:tc>
      </w:tr>
      <w:tr>
        <w:trPr>
          <w:trHeight w:val="354"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124"/>
              <w:ind w:right="770"/>
              <w:jc w:val="right"/>
              <w:rPr>
                <w:rFonts w:ascii="Times New Roman"/>
                <w:sz w:val="19"/>
              </w:rPr>
            </w:pPr>
            <w:r>
              <w:rPr>
                <w:rFonts w:ascii="Times New Roman"/>
                <w:sz w:val="19"/>
              </w:rPr>
              <w:t>1 439</w:t>
            </w:r>
            <w:r>
              <w:rPr>
                <w:rFonts w:ascii="Times New Roman"/>
                <w:spacing w:val="1"/>
                <w:sz w:val="19"/>
              </w:rPr>
              <w:t> </w:t>
            </w:r>
            <w:r>
              <w:rPr>
                <w:rFonts w:ascii="Times New Roman"/>
                <w:spacing w:val="-2"/>
                <w:sz w:val="19"/>
              </w:rPr>
              <w:t>094,12</w:t>
            </w:r>
          </w:p>
        </w:tc>
        <w:tc>
          <w:tcPr>
            <w:tcW w:w="2181" w:type="dxa"/>
            <w:tcBorders>
              <w:right w:val="single" w:sz="4" w:space="0" w:color="000000"/>
            </w:tcBorders>
          </w:tcPr>
          <w:p>
            <w:pPr>
              <w:pStyle w:val="TableParagraph"/>
              <w:spacing w:line="210" w:lineRule="exact" w:before="124"/>
              <w:ind w:right="11"/>
              <w:jc w:val="right"/>
              <w:rPr>
                <w:rFonts w:ascii="Times New Roman"/>
                <w:sz w:val="19"/>
              </w:rPr>
            </w:pPr>
            <w:r>
              <w:rPr>
                <w:rFonts w:ascii="Times New Roman"/>
                <w:sz w:val="19"/>
              </w:rPr>
              <w:t>1 443</w:t>
            </w:r>
            <w:r>
              <w:rPr>
                <w:rFonts w:ascii="Times New Roman"/>
                <w:spacing w:val="1"/>
                <w:sz w:val="19"/>
              </w:rPr>
              <w:t> </w:t>
            </w:r>
            <w:r>
              <w:rPr>
                <w:rFonts w:ascii="Times New Roman"/>
                <w:spacing w:val="-2"/>
                <w:sz w:val="19"/>
              </w:rPr>
              <w:t>344,32</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5"/>
              <w:ind w:right="770"/>
              <w:jc w:val="right"/>
              <w:rPr>
                <w:rFonts w:ascii="Times New Roman"/>
                <w:sz w:val="19"/>
              </w:rPr>
            </w:pPr>
            <w:r>
              <w:rPr>
                <w:rFonts w:ascii="Times New Roman"/>
                <w:sz w:val="19"/>
              </w:rPr>
              <w:t>1 515</w:t>
            </w:r>
            <w:r>
              <w:rPr>
                <w:rFonts w:ascii="Times New Roman"/>
                <w:spacing w:val="1"/>
                <w:sz w:val="19"/>
              </w:rPr>
              <w:t> </w:t>
            </w:r>
            <w:r>
              <w:rPr>
                <w:rFonts w:ascii="Times New Roman"/>
                <w:spacing w:val="-2"/>
                <w:sz w:val="19"/>
              </w:rPr>
              <w:t>689,62</w:t>
            </w:r>
          </w:p>
        </w:tc>
        <w:tc>
          <w:tcPr>
            <w:tcW w:w="2181" w:type="dxa"/>
            <w:tcBorders>
              <w:right w:val="single" w:sz="4" w:space="0" w:color="000000"/>
            </w:tcBorders>
          </w:tcPr>
          <w:p>
            <w:pPr>
              <w:pStyle w:val="TableParagraph"/>
              <w:spacing w:line="210" w:lineRule="exact" w:before="5"/>
              <w:ind w:right="11"/>
              <w:jc w:val="right"/>
              <w:rPr>
                <w:rFonts w:ascii="Times New Roman"/>
                <w:sz w:val="19"/>
              </w:rPr>
            </w:pPr>
            <w:r>
              <w:rPr>
                <w:rFonts w:ascii="Times New Roman"/>
                <w:sz w:val="19"/>
              </w:rPr>
              <w:t>1 516</w:t>
            </w:r>
            <w:r>
              <w:rPr>
                <w:rFonts w:ascii="Times New Roman"/>
                <w:spacing w:val="1"/>
                <w:sz w:val="19"/>
              </w:rPr>
              <w:t> </w:t>
            </w:r>
            <w:r>
              <w:rPr>
                <w:rFonts w:ascii="Times New Roman"/>
                <w:spacing w:val="-2"/>
                <w:sz w:val="19"/>
              </w:rPr>
              <w:t>888,24</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rPr>
              <w:t>258 </w:t>
            </w:r>
            <w:r>
              <w:rPr>
                <w:rFonts w:ascii="Times New Roman"/>
                <w:spacing w:val="-2"/>
                <w:sz w:val="19"/>
              </w:rPr>
              <w:t>540,44</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rPr>
              <w:t>252 </w:t>
            </w:r>
            <w:r>
              <w:rPr>
                <w:rFonts w:ascii="Times New Roman"/>
                <w:spacing w:val="-2"/>
                <w:sz w:val="19"/>
              </w:rPr>
              <w:t>222,46</w:t>
            </w:r>
          </w:p>
        </w:tc>
      </w:tr>
      <w:tr>
        <w:trPr>
          <w:trHeight w:val="236"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6"/>
              <w:ind w:right="770"/>
              <w:jc w:val="right"/>
              <w:rPr>
                <w:rFonts w:ascii="Times New Roman"/>
                <w:sz w:val="19"/>
              </w:rPr>
            </w:pPr>
            <w:r>
              <w:rPr>
                <w:rFonts w:ascii="Times New Roman"/>
                <w:sz w:val="19"/>
                <w:u w:val="single"/>
              </w:rPr>
              <w:t>195 </w:t>
            </w:r>
            <w:r>
              <w:rPr>
                <w:rFonts w:ascii="Times New Roman"/>
                <w:spacing w:val="-2"/>
                <w:sz w:val="19"/>
                <w:u w:val="single"/>
              </w:rPr>
              <w:t>005,86</w:t>
            </w:r>
          </w:p>
        </w:tc>
        <w:tc>
          <w:tcPr>
            <w:tcW w:w="2181" w:type="dxa"/>
            <w:tcBorders>
              <w:right w:val="single" w:sz="4" w:space="0" w:color="000000"/>
            </w:tcBorders>
          </w:tcPr>
          <w:p>
            <w:pPr>
              <w:pStyle w:val="TableParagraph"/>
              <w:spacing w:line="210" w:lineRule="exact" w:before="6"/>
              <w:ind w:right="11"/>
              <w:jc w:val="right"/>
              <w:rPr>
                <w:rFonts w:ascii="Times New Roman"/>
                <w:sz w:val="19"/>
              </w:rPr>
            </w:pPr>
            <w:r>
              <w:rPr>
                <w:rFonts w:ascii="Times New Roman"/>
                <w:sz w:val="19"/>
                <w:u w:val="single"/>
              </w:rPr>
              <w:t>162 </w:t>
            </w:r>
            <w:r>
              <w:rPr>
                <w:rFonts w:ascii="Times New Roman"/>
                <w:spacing w:val="-2"/>
                <w:sz w:val="19"/>
                <w:u w:val="single"/>
              </w:rPr>
              <w:t>529,45</w:t>
            </w:r>
          </w:p>
        </w:tc>
      </w:tr>
      <w:tr>
        <w:trPr>
          <w:trHeight w:val="233"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08" w:lineRule="exact" w:before="6"/>
              <w:ind w:right="770"/>
              <w:jc w:val="right"/>
              <w:rPr>
                <w:rFonts w:ascii="Times New Roman"/>
                <w:b/>
                <w:sz w:val="19"/>
              </w:rPr>
            </w:pPr>
            <w:r>
              <w:rPr>
                <w:rFonts w:ascii="Times New Roman"/>
                <w:b/>
                <w:sz w:val="19"/>
                <w:u w:val="single"/>
              </w:rPr>
              <w:t>3 408</w:t>
            </w:r>
            <w:r>
              <w:rPr>
                <w:rFonts w:ascii="Times New Roman"/>
                <w:b/>
                <w:spacing w:val="1"/>
                <w:sz w:val="19"/>
                <w:u w:val="single"/>
              </w:rPr>
              <w:t> </w:t>
            </w:r>
            <w:r>
              <w:rPr>
                <w:rFonts w:ascii="Times New Roman"/>
                <w:b/>
                <w:spacing w:val="-2"/>
                <w:sz w:val="19"/>
                <w:u w:val="single"/>
              </w:rPr>
              <w:t>330,03</w:t>
            </w:r>
          </w:p>
        </w:tc>
        <w:tc>
          <w:tcPr>
            <w:tcW w:w="2181" w:type="dxa"/>
            <w:tcBorders>
              <w:right w:val="single" w:sz="4" w:space="0" w:color="000000"/>
            </w:tcBorders>
          </w:tcPr>
          <w:p>
            <w:pPr>
              <w:pStyle w:val="TableParagraph"/>
              <w:spacing w:line="208" w:lineRule="exact" w:before="6"/>
              <w:ind w:right="11"/>
              <w:jc w:val="right"/>
              <w:rPr>
                <w:rFonts w:ascii="Times New Roman"/>
                <w:b/>
                <w:sz w:val="19"/>
              </w:rPr>
            </w:pPr>
            <w:r>
              <w:rPr>
                <w:rFonts w:ascii="Times New Roman"/>
                <w:b/>
                <w:sz w:val="19"/>
                <w:u w:val="single"/>
              </w:rPr>
              <w:t>3 374</w:t>
            </w:r>
            <w:r>
              <w:rPr>
                <w:rFonts w:ascii="Times New Roman"/>
                <w:b/>
                <w:spacing w:val="1"/>
                <w:sz w:val="19"/>
                <w:u w:val="single"/>
              </w:rPr>
              <w:t> </w:t>
            </w:r>
            <w:r>
              <w:rPr>
                <w:rFonts w:ascii="Times New Roman"/>
                <w:b/>
                <w:spacing w:val="-2"/>
                <w:sz w:val="19"/>
                <w:u w:val="single"/>
              </w:rPr>
              <w:t>984,47</w:t>
            </w:r>
          </w:p>
        </w:tc>
      </w:tr>
      <w:tr>
        <w:trPr>
          <w:trHeight w:val="233" w:hRule="atLeast"/>
        </w:trPr>
        <w:tc>
          <w:tcPr>
            <w:tcW w:w="3270" w:type="dxa"/>
            <w:vMerge/>
            <w:tcBorders>
              <w:top w:val="nil"/>
              <w:left w:val="single" w:sz="2" w:space="0" w:color="000000"/>
              <w:bottom w:val="single" w:sz="4" w:space="0" w:color="000000"/>
            </w:tcBorders>
          </w:tcPr>
          <w:p>
            <w:pPr>
              <w:rPr>
                <w:sz w:val="2"/>
                <w:szCs w:val="2"/>
              </w:rPr>
            </w:pPr>
          </w:p>
        </w:tc>
        <w:tc>
          <w:tcPr>
            <w:tcW w:w="2220" w:type="dxa"/>
          </w:tcPr>
          <w:p>
            <w:pPr>
              <w:pStyle w:val="TableParagraph"/>
              <w:spacing w:line="210" w:lineRule="exact" w:before="3"/>
              <w:ind w:right="768"/>
              <w:jc w:val="right"/>
              <w:rPr>
                <w:rFonts w:ascii="Times New Roman"/>
                <w:sz w:val="19"/>
              </w:rPr>
            </w:pPr>
            <w:r>
              <w:rPr>
                <w:rFonts w:ascii="Times New Roman"/>
                <w:spacing w:val="72"/>
                <w:sz w:val="19"/>
                <w:u w:val="single"/>
              </w:rPr>
              <w:t>  </w:t>
            </w:r>
            <w:r>
              <w:rPr>
                <w:rFonts w:ascii="Times New Roman"/>
                <w:sz w:val="19"/>
                <w:u w:val="single"/>
              </w:rPr>
              <w:t>(8 508 </w:t>
            </w:r>
            <w:r>
              <w:rPr>
                <w:rFonts w:ascii="Times New Roman"/>
                <w:spacing w:val="-2"/>
                <w:sz w:val="19"/>
                <w:u w:val="single"/>
              </w:rPr>
              <w:t>859,66)</w:t>
            </w:r>
          </w:p>
        </w:tc>
        <w:tc>
          <w:tcPr>
            <w:tcW w:w="2181" w:type="dxa"/>
            <w:tcBorders>
              <w:right w:val="single" w:sz="4" w:space="0" w:color="000000"/>
            </w:tcBorders>
          </w:tcPr>
          <w:p>
            <w:pPr>
              <w:pStyle w:val="TableParagraph"/>
              <w:spacing w:line="210" w:lineRule="exact" w:before="3"/>
              <w:ind w:right="9"/>
              <w:jc w:val="right"/>
              <w:rPr>
                <w:rFonts w:ascii="Times New Roman"/>
                <w:sz w:val="19"/>
              </w:rPr>
            </w:pPr>
            <w:r>
              <w:rPr>
                <w:rFonts w:ascii="Times New Roman"/>
                <w:spacing w:val="72"/>
                <w:sz w:val="19"/>
                <w:u w:val="single"/>
              </w:rPr>
              <w:t>  </w:t>
            </w:r>
            <w:r>
              <w:rPr>
                <w:rFonts w:ascii="Times New Roman"/>
                <w:sz w:val="19"/>
                <w:u w:val="single"/>
              </w:rPr>
              <w:t>(8 514 </w:t>
            </w:r>
            <w:r>
              <w:rPr>
                <w:rFonts w:ascii="Times New Roman"/>
                <w:spacing w:val="-2"/>
                <w:sz w:val="19"/>
                <w:u w:val="single"/>
              </w:rPr>
              <w:t>863,79)</w:t>
            </w:r>
          </w:p>
        </w:tc>
      </w:tr>
      <w:tr>
        <w:trPr>
          <w:trHeight w:val="226" w:hRule="atLeast"/>
        </w:trPr>
        <w:tc>
          <w:tcPr>
            <w:tcW w:w="3270" w:type="dxa"/>
            <w:vMerge/>
            <w:tcBorders>
              <w:top w:val="nil"/>
              <w:left w:val="single" w:sz="2" w:space="0" w:color="000000"/>
              <w:bottom w:val="single" w:sz="4" w:space="0" w:color="000000"/>
            </w:tcBorders>
          </w:tcPr>
          <w:p>
            <w:pPr>
              <w:rPr>
                <w:sz w:val="2"/>
                <w:szCs w:val="2"/>
              </w:rPr>
            </w:pPr>
          </w:p>
        </w:tc>
        <w:tc>
          <w:tcPr>
            <w:tcW w:w="2220" w:type="dxa"/>
            <w:tcBorders>
              <w:bottom w:val="single" w:sz="4" w:space="0" w:color="000000"/>
            </w:tcBorders>
          </w:tcPr>
          <w:p>
            <w:pPr>
              <w:pStyle w:val="TableParagraph"/>
              <w:spacing w:line="201" w:lineRule="exact" w:before="6"/>
              <w:ind w:right="769"/>
              <w:jc w:val="right"/>
              <w:rPr>
                <w:rFonts w:ascii="Times New Roman"/>
                <w:b/>
                <w:sz w:val="19"/>
              </w:rPr>
            </w:pPr>
            <w:r>
              <w:rPr>
                <w:rFonts w:ascii="Times New Roman"/>
                <w:b/>
                <w:sz w:val="19"/>
              </w:rPr>
              <w:t>6 801</w:t>
            </w:r>
            <w:r>
              <w:rPr>
                <w:rFonts w:ascii="Times New Roman"/>
                <w:b/>
                <w:spacing w:val="1"/>
                <w:sz w:val="19"/>
              </w:rPr>
              <w:t> </w:t>
            </w:r>
            <w:r>
              <w:rPr>
                <w:rFonts w:ascii="Times New Roman"/>
                <w:b/>
                <w:spacing w:val="-2"/>
                <w:sz w:val="19"/>
              </w:rPr>
              <w:t>805,11</w:t>
            </w:r>
          </w:p>
        </w:tc>
        <w:tc>
          <w:tcPr>
            <w:tcW w:w="2181" w:type="dxa"/>
            <w:tcBorders>
              <w:bottom w:val="single" w:sz="4" w:space="0" w:color="000000"/>
              <w:right w:val="single" w:sz="4" w:space="0" w:color="000000"/>
            </w:tcBorders>
          </w:tcPr>
          <w:p>
            <w:pPr>
              <w:pStyle w:val="TableParagraph"/>
              <w:spacing w:line="201" w:lineRule="exact" w:before="6"/>
              <w:ind w:right="10"/>
              <w:jc w:val="right"/>
              <w:rPr>
                <w:rFonts w:ascii="Times New Roman"/>
                <w:b/>
                <w:sz w:val="19"/>
              </w:rPr>
            </w:pPr>
            <w:r>
              <w:rPr>
                <w:rFonts w:ascii="Times New Roman"/>
                <w:b/>
                <w:sz w:val="19"/>
              </w:rPr>
              <w:t>6 419</w:t>
            </w:r>
            <w:r>
              <w:rPr>
                <w:rFonts w:ascii="Times New Roman"/>
                <w:b/>
                <w:spacing w:val="1"/>
                <w:sz w:val="19"/>
              </w:rPr>
              <w:t> </w:t>
            </w:r>
            <w:r>
              <w:rPr>
                <w:rFonts w:ascii="Times New Roman"/>
                <w:b/>
                <w:spacing w:val="-2"/>
                <w:sz w:val="19"/>
              </w:rPr>
              <w:t>227,52</w:t>
            </w:r>
          </w:p>
        </w:tc>
      </w:tr>
    </w:tbl>
    <w:p>
      <w:pPr>
        <w:pStyle w:val="BodyText"/>
        <w:spacing w:before="32"/>
      </w:pPr>
    </w:p>
    <w:p>
      <w:pPr>
        <w:pStyle w:val="BodyText"/>
        <w:spacing w:line="259" w:lineRule="auto"/>
        <w:ind w:left="734" w:right="1090"/>
        <w:jc w:val="both"/>
      </w:pPr>
      <w:r>
        <w:rPr>
          <w:b/>
        </w:rPr>
        <w:t>La cuenta impuestos por cobrar corresponde a la Ley 9326 </w:t>
      </w:r>
      <w:r>
        <w:rPr/>
        <w:t>presenta movimientos por la gestión cobratoria</w:t>
      </w:r>
      <w:r>
        <w:rPr>
          <w:spacing w:val="-14"/>
        </w:rPr>
        <w:t> </w:t>
      </w:r>
      <w:r>
        <w:rPr/>
        <w:t>por</w:t>
      </w:r>
      <w:r>
        <w:rPr>
          <w:spacing w:val="-14"/>
        </w:rPr>
        <w:t> </w:t>
      </w:r>
      <w:r>
        <w:rPr/>
        <w:t>parte</w:t>
      </w:r>
      <w:r>
        <w:rPr>
          <w:spacing w:val="-14"/>
        </w:rPr>
        <w:t> </w:t>
      </w:r>
      <w:r>
        <w:rPr/>
        <w:t>de</w:t>
      </w:r>
      <w:r>
        <w:rPr>
          <w:spacing w:val="-13"/>
        </w:rPr>
        <w:t> </w:t>
      </w:r>
      <w:r>
        <w:rPr/>
        <w:t>la</w:t>
      </w:r>
      <w:r>
        <w:rPr>
          <w:spacing w:val="-14"/>
        </w:rPr>
        <w:t> </w:t>
      </w:r>
      <w:r>
        <w:rPr/>
        <w:t>Administración</w:t>
      </w:r>
      <w:r>
        <w:rPr>
          <w:spacing w:val="-14"/>
        </w:rPr>
        <w:t> </w:t>
      </w:r>
      <w:r>
        <w:rPr/>
        <w:t>Tributaria,</w:t>
      </w:r>
      <w:r>
        <w:rPr>
          <w:spacing w:val="-14"/>
        </w:rPr>
        <w:t> </w:t>
      </w:r>
      <w:r>
        <w:rPr/>
        <w:t>presenta</w:t>
      </w:r>
      <w:r>
        <w:rPr>
          <w:spacing w:val="-13"/>
        </w:rPr>
        <w:t> </w:t>
      </w:r>
      <w:r>
        <w:rPr/>
        <w:t>una</w:t>
      </w:r>
      <w:r>
        <w:rPr>
          <w:spacing w:val="-14"/>
        </w:rPr>
        <w:t> </w:t>
      </w:r>
      <w:r>
        <w:rPr/>
        <w:t>disminución</w:t>
      </w:r>
      <w:r>
        <w:rPr>
          <w:spacing w:val="-14"/>
        </w:rPr>
        <w:t> </w:t>
      </w:r>
      <w:r>
        <w:rPr/>
        <w:t>relativa</w:t>
      </w:r>
      <w:r>
        <w:rPr>
          <w:spacing w:val="-14"/>
        </w:rPr>
        <w:t> </w:t>
      </w:r>
      <w:r>
        <w:rPr/>
        <w:t>de</w:t>
      </w:r>
      <w:r>
        <w:rPr>
          <w:spacing w:val="-13"/>
        </w:rPr>
        <w:t> </w:t>
      </w:r>
      <w:r>
        <w:rPr/>
        <w:t>julio</w:t>
      </w:r>
      <w:r>
        <w:rPr>
          <w:spacing w:val="-14"/>
        </w:rPr>
        <w:t> </w:t>
      </w:r>
      <w:r>
        <w:rPr/>
        <w:t>2026 con respecto a julio 2025 del -14,99% compuesto principalmente por la disminución en los cobros del mes y las anulaciones por ajuste realizadas:</w:t>
      </w:r>
    </w:p>
    <w:p>
      <w:pPr>
        <w:pStyle w:val="BodyText"/>
      </w:pPr>
    </w:p>
    <w:p>
      <w:pPr>
        <w:pStyle w:val="BodyText"/>
      </w:pPr>
    </w:p>
    <w:p>
      <w:pPr>
        <w:pStyle w:val="BodyText"/>
      </w:pPr>
    </w:p>
    <w:p>
      <w:pPr>
        <w:pStyle w:val="BodyText"/>
      </w:pPr>
    </w:p>
    <w:p>
      <w:pPr>
        <w:pStyle w:val="BodyText"/>
        <w:spacing w:before="160"/>
      </w:pPr>
    </w:p>
    <w:p>
      <w:pPr>
        <w:spacing w:before="0"/>
        <w:ind w:left="3104" w:right="0" w:firstLine="0"/>
        <w:jc w:val="left"/>
        <w:rPr>
          <w:b/>
          <w:sz w:val="16"/>
        </w:rPr>
      </w:pPr>
      <w:r>
        <w:rPr>
          <w:b/>
          <w:sz w:val="16"/>
        </w:rPr>
        <w:t>Fuente:</w:t>
      </w:r>
      <w:r>
        <w:rPr>
          <w:b/>
          <w:spacing w:val="-5"/>
          <w:sz w:val="16"/>
        </w:rPr>
        <w:t> </w:t>
      </w:r>
      <w:r>
        <w:rPr>
          <w:b/>
          <w:sz w:val="16"/>
        </w:rPr>
        <w:t>oficio</w:t>
      </w:r>
      <w:r>
        <w:rPr>
          <w:b/>
          <w:spacing w:val="-6"/>
          <w:sz w:val="16"/>
        </w:rPr>
        <w:t> </w:t>
      </w:r>
      <w:r>
        <w:rPr>
          <w:b/>
          <w:sz w:val="16"/>
        </w:rPr>
        <w:t>AT-0397-2026</w:t>
      </w:r>
      <w:r>
        <w:rPr>
          <w:b/>
          <w:spacing w:val="-4"/>
          <w:sz w:val="16"/>
        </w:rPr>
        <w:t> </w:t>
      </w:r>
      <w:r>
        <w:rPr>
          <w:b/>
          <w:sz w:val="16"/>
        </w:rPr>
        <w:t>Montos</w:t>
      </w:r>
      <w:r>
        <w:rPr>
          <w:b/>
          <w:spacing w:val="-6"/>
          <w:sz w:val="16"/>
        </w:rPr>
        <w:t> </w:t>
      </w:r>
      <w:r>
        <w:rPr>
          <w:b/>
          <w:sz w:val="16"/>
        </w:rPr>
        <w:t>en</w:t>
      </w:r>
      <w:r>
        <w:rPr>
          <w:b/>
          <w:spacing w:val="-4"/>
          <w:sz w:val="16"/>
        </w:rPr>
        <w:t> </w:t>
      </w:r>
      <w:r>
        <w:rPr>
          <w:b/>
          <w:sz w:val="16"/>
        </w:rPr>
        <w:t>colones</w:t>
      </w:r>
      <w:r>
        <w:rPr>
          <w:b/>
          <w:spacing w:val="-5"/>
          <w:sz w:val="16"/>
        </w:rPr>
        <w:t> </w:t>
      </w:r>
      <w:r>
        <w:rPr>
          <w:b/>
          <w:spacing w:val="-2"/>
          <w:sz w:val="16"/>
        </w:rPr>
        <w:t>corrientes</w:t>
      </w:r>
    </w:p>
    <w:p>
      <w:pPr>
        <w:spacing w:after="0"/>
        <w:jc w:val="left"/>
        <w:rPr>
          <w:b/>
          <w:sz w:val="16"/>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1088">
                <wp:simplePos x="0" y="0"/>
                <wp:positionH relativeFrom="page">
                  <wp:posOffset>9525</wp:posOffset>
                </wp:positionH>
                <wp:positionV relativeFrom="page">
                  <wp:posOffset>297208</wp:posOffset>
                </wp:positionV>
                <wp:extent cx="7762875" cy="9748520"/>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7762875" cy="9748520"/>
                          <a:chExt cx="7762875" cy="9748520"/>
                        </a:xfrm>
                      </wpg:grpSpPr>
                      <pic:pic>
                        <pic:nvPicPr>
                          <pic:cNvPr id="244" name="Image 244"/>
                          <pic:cNvPicPr/>
                        </pic:nvPicPr>
                        <pic:blipFill>
                          <a:blip r:embed="rId5" cstate="print"/>
                          <a:stretch>
                            <a:fillRect/>
                          </a:stretch>
                        </pic:blipFill>
                        <pic:spPr>
                          <a:xfrm>
                            <a:off x="0" y="0"/>
                            <a:ext cx="7762874" cy="9748489"/>
                          </a:xfrm>
                          <a:prstGeom prst="rect">
                            <a:avLst/>
                          </a:prstGeom>
                        </pic:spPr>
                      </pic:pic>
                      <wps:wsp>
                        <wps:cNvPr id="245" name="Graphic 245"/>
                        <wps:cNvSpPr/>
                        <wps:spPr>
                          <a:xfrm>
                            <a:off x="1053007" y="990837"/>
                            <a:ext cx="5649595" cy="7624445"/>
                          </a:xfrm>
                          <a:custGeom>
                            <a:avLst/>
                            <a:gdLst/>
                            <a:ahLst/>
                            <a:cxnLst/>
                            <a:rect l="l" t="t" r="r" b="b"/>
                            <a:pathLst>
                              <a:path w="5649595" h="7624445">
                                <a:moveTo>
                                  <a:pt x="5630862" y="132651"/>
                                </a:moveTo>
                                <a:lnTo>
                                  <a:pt x="5624779" y="132651"/>
                                </a:lnTo>
                                <a:lnTo>
                                  <a:pt x="5624779" y="7617904"/>
                                </a:lnTo>
                                <a:lnTo>
                                  <a:pt x="24384" y="7617904"/>
                                </a:lnTo>
                                <a:lnTo>
                                  <a:pt x="24384" y="132651"/>
                                </a:lnTo>
                                <a:lnTo>
                                  <a:pt x="18288" y="132651"/>
                                </a:lnTo>
                                <a:lnTo>
                                  <a:pt x="18288" y="7617904"/>
                                </a:lnTo>
                                <a:lnTo>
                                  <a:pt x="18288" y="7624000"/>
                                </a:lnTo>
                                <a:lnTo>
                                  <a:pt x="24384" y="7624000"/>
                                </a:lnTo>
                                <a:lnTo>
                                  <a:pt x="5624779" y="7624000"/>
                                </a:lnTo>
                                <a:lnTo>
                                  <a:pt x="5630862" y="7624000"/>
                                </a:lnTo>
                                <a:lnTo>
                                  <a:pt x="5630862" y="7617904"/>
                                </a:lnTo>
                                <a:lnTo>
                                  <a:pt x="5630862" y="132651"/>
                                </a:lnTo>
                                <a:close/>
                              </a:path>
                              <a:path w="5649595" h="7624445">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624445">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5392" id="docshapegroup230" coordorigin="15,468" coordsize="12225,15352">
                <v:shape style="position:absolute;left:15;top:468;width:12225;height:15352" type="#_x0000_t75" id="docshape231" stroked="false">
                  <v:imagedata r:id="rId5" o:title=""/>
                </v:shape>
                <v:shape style="position:absolute;left:1673;top:2028;width:8897;height:12007" id="docshape232" coordorigin="1673,2028" coordsize="8897,12007" path="m10541,2237l10531,2237,10531,14025,1712,14025,1712,2237,1702,2237,1702,14025,1702,14035,1712,14035,10531,14035,10531,14035,10541,14035,10541,14025,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52</w:t>
      </w:r>
    </w:p>
    <w:p>
      <w:pPr>
        <w:pStyle w:val="BodyText"/>
        <w:spacing w:before="227"/>
        <w:ind w:left="734"/>
      </w:pPr>
      <w:r>
        <w:rPr>
          <w:spacing w:val="-2"/>
        </w:rPr>
        <w:t>Normativa:</w:t>
      </w:r>
    </w:p>
    <w:p>
      <w:pPr>
        <w:pStyle w:val="BodyText"/>
        <w:spacing w:line="259" w:lineRule="auto" w:before="21"/>
        <w:ind w:left="734" w:right="1089"/>
        <w:jc w:val="both"/>
      </w:pPr>
      <w:r>
        <w:rPr/>
        <w:t>Ley</w:t>
      </w:r>
      <w:r>
        <w:rPr>
          <w:spacing w:val="-6"/>
        </w:rPr>
        <w:t> </w:t>
      </w:r>
      <w:r>
        <w:rPr/>
        <w:t>de</w:t>
      </w:r>
      <w:r>
        <w:rPr>
          <w:spacing w:val="-6"/>
        </w:rPr>
        <w:t> </w:t>
      </w:r>
      <w:r>
        <w:rPr/>
        <w:t>Impuesto</w:t>
      </w:r>
      <w:r>
        <w:rPr>
          <w:spacing w:val="-6"/>
        </w:rPr>
        <w:t> </w:t>
      </w:r>
      <w:r>
        <w:rPr/>
        <w:t>a</w:t>
      </w:r>
      <w:r>
        <w:rPr>
          <w:spacing w:val="-5"/>
        </w:rPr>
        <w:t> </w:t>
      </w:r>
      <w:r>
        <w:rPr/>
        <w:t>los</w:t>
      </w:r>
      <w:r>
        <w:rPr>
          <w:spacing w:val="-4"/>
        </w:rPr>
        <w:t> </w:t>
      </w:r>
      <w:r>
        <w:rPr/>
        <w:t>Moteles</w:t>
      </w:r>
      <w:r>
        <w:rPr>
          <w:spacing w:val="-4"/>
        </w:rPr>
        <w:t> </w:t>
      </w:r>
      <w:r>
        <w:rPr/>
        <w:t>y</w:t>
      </w:r>
      <w:r>
        <w:rPr>
          <w:spacing w:val="-6"/>
        </w:rPr>
        <w:t> </w:t>
      </w:r>
      <w:r>
        <w:rPr/>
        <w:t>Lugares</w:t>
      </w:r>
      <w:r>
        <w:rPr>
          <w:spacing w:val="-6"/>
        </w:rPr>
        <w:t> </w:t>
      </w:r>
      <w:r>
        <w:rPr/>
        <w:t>Afines</w:t>
      </w:r>
      <w:r>
        <w:rPr>
          <w:spacing w:val="-6"/>
        </w:rPr>
        <w:t> </w:t>
      </w:r>
      <w:r>
        <w:rPr/>
        <w:t>(Ley</w:t>
      </w:r>
      <w:r>
        <w:rPr>
          <w:spacing w:val="-6"/>
        </w:rPr>
        <w:t> </w:t>
      </w:r>
      <w:r>
        <w:rPr/>
        <w:t>9326)</w:t>
      </w:r>
      <w:r>
        <w:rPr>
          <w:spacing w:val="-5"/>
        </w:rPr>
        <w:t> </w:t>
      </w:r>
      <w:r>
        <w:rPr/>
        <w:t>cita</w:t>
      </w:r>
      <w:r>
        <w:rPr>
          <w:spacing w:val="-5"/>
        </w:rPr>
        <w:t> </w:t>
      </w:r>
      <w:r>
        <w:rPr/>
        <w:t>en</w:t>
      </w:r>
      <w:r>
        <w:rPr>
          <w:spacing w:val="-4"/>
        </w:rPr>
        <w:t> </w:t>
      </w:r>
      <w:r>
        <w:rPr/>
        <w:t>su</w:t>
      </w:r>
      <w:r>
        <w:rPr>
          <w:spacing w:val="-7"/>
        </w:rPr>
        <w:t> </w:t>
      </w:r>
      <w:r>
        <w:rPr/>
        <w:t>Artículo</w:t>
      </w:r>
      <w:r>
        <w:rPr>
          <w:spacing w:val="-6"/>
        </w:rPr>
        <w:t> </w:t>
      </w:r>
      <w:r>
        <w:rPr/>
        <w:t>9-</w:t>
      </w:r>
      <w:r>
        <w:rPr>
          <w:spacing w:val="-5"/>
        </w:rPr>
        <w:t> </w:t>
      </w:r>
      <w:r>
        <w:rPr/>
        <w:t>Incumplimiento</w:t>
      </w:r>
      <w:r>
        <w:rPr>
          <w:spacing w:val="-6"/>
        </w:rPr>
        <w:t> </w:t>
      </w:r>
      <w:r>
        <w:rPr/>
        <w:t>o pago tardío</w:t>
      </w:r>
    </w:p>
    <w:p>
      <w:pPr>
        <w:spacing w:line="247" w:lineRule="auto" w:before="0"/>
        <w:ind w:left="734" w:right="1089" w:firstLine="0"/>
        <w:jc w:val="both"/>
        <w:rPr>
          <w:sz w:val="22"/>
        </w:rPr>
      </w:pPr>
      <w:r>
        <w:rPr>
          <w:spacing w:val="-4"/>
          <w:sz w:val="22"/>
        </w:rPr>
        <w:t>“</w:t>
      </w:r>
      <w:r>
        <w:rPr>
          <w:i/>
          <w:spacing w:val="-4"/>
          <w:sz w:val="23"/>
        </w:rPr>
        <w:t>El</w:t>
      </w:r>
      <w:r>
        <w:rPr>
          <w:i/>
          <w:spacing w:val="-11"/>
          <w:sz w:val="23"/>
        </w:rPr>
        <w:t> </w:t>
      </w:r>
      <w:r>
        <w:rPr>
          <w:i/>
          <w:spacing w:val="-4"/>
          <w:sz w:val="23"/>
        </w:rPr>
        <w:t>sujeto</w:t>
      </w:r>
      <w:r>
        <w:rPr>
          <w:i/>
          <w:spacing w:val="-10"/>
          <w:sz w:val="23"/>
        </w:rPr>
        <w:t> </w:t>
      </w:r>
      <w:r>
        <w:rPr>
          <w:i/>
          <w:spacing w:val="-4"/>
          <w:sz w:val="23"/>
        </w:rPr>
        <w:t>pasivo</w:t>
      </w:r>
      <w:r>
        <w:rPr>
          <w:i/>
          <w:spacing w:val="-11"/>
          <w:sz w:val="23"/>
        </w:rPr>
        <w:t> </w:t>
      </w:r>
      <w:r>
        <w:rPr>
          <w:i/>
          <w:spacing w:val="-4"/>
          <w:sz w:val="23"/>
        </w:rPr>
        <w:t>que</w:t>
      </w:r>
      <w:r>
        <w:rPr>
          <w:i/>
          <w:spacing w:val="-10"/>
          <w:sz w:val="23"/>
        </w:rPr>
        <w:t> </w:t>
      </w:r>
      <w:r>
        <w:rPr>
          <w:i/>
          <w:spacing w:val="-4"/>
          <w:sz w:val="23"/>
        </w:rPr>
        <w:t>no</w:t>
      </w:r>
      <w:r>
        <w:rPr>
          <w:i/>
          <w:spacing w:val="-10"/>
          <w:sz w:val="23"/>
        </w:rPr>
        <w:t> </w:t>
      </w:r>
      <w:r>
        <w:rPr>
          <w:i/>
          <w:spacing w:val="-4"/>
          <w:sz w:val="23"/>
        </w:rPr>
        <w:t>pague</w:t>
      </w:r>
      <w:r>
        <w:rPr>
          <w:i/>
          <w:spacing w:val="-11"/>
          <w:sz w:val="23"/>
        </w:rPr>
        <w:t> </w:t>
      </w:r>
      <w:r>
        <w:rPr>
          <w:i/>
          <w:spacing w:val="-4"/>
          <w:sz w:val="23"/>
        </w:rPr>
        <w:t>en</w:t>
      </w:r>
      <w:r>
        <w:rPr>
          <w:i/>
          <w:spacing w:val="-10"/>
          <w:sz w:val="23"/>
        </w:rPr>
        <w:t> </w:t>
      </w:r>
      <w:r>
        <w:rPr>
          <w:i/>
          <w:spacing w:val="-4"/>
          <w:sz w:val="23"/>
        </w:rPr>
        <w:t>tiempo</w:t>
      </w:r>
      <w:r>
        <w:rPr>
          <w:i/>
          <w:spacing w:val="-10"/>
          <w:sz w:val="23"/>
        </w:rPr>
        <w:t> </w:t>
      </w:r>
      <w:r>
        <w:rPr>
          <w:i/>
          <w:spacing w:val="-4"/>
          <w:sz w:val="23"/>
        </w:rPr>
        <w:t>el</w:t>
      </w:r>
      <w:r>
        <w:rPr>
          <w:i/>
          <w:spacing w:val="-11"/>
          <w:sz w:val="23"/>
        </w:rPr>
        <w:t> </w:t>
      </w:r>
      <w:r>
        <w:rPr>
          <w:i/>
          <w:spacing w:val="-4"/>
          <w:sz w:val="23"/>
        </w:rPr>
        <w:t>impuesto</w:t>
      </w:r>
      <w:r>
        <w:rPr>
          <w:i/>
          <w:spacing w:val="-10"/>
          <w:sz w:val="23"/>
        </w:rPr>
        <w:t> </w:t>
      </w:r>
      <w:r>
        <w:rPr>
          <w:i/>
          <w:spacing w:val="-4"/>
          <w:sz w:val="23"/>
        </w:rPr>
        <w:t>establecido</w:t>
      </w:r>
      <w:r>
        <w:rPr>
          <w:i/>
          <w:spacing w:val="-11"/>
          <w:sz w:val="23"/>
        </w:rPr>
        <w:t> </w:t>
      </w:r>
      <w:r>
        <w:rPr>
          <w:i/>
          <w:spacing w:val="-4"/>
          <w:sz w:val="23"/>
        </w:rPr>
        <w:t>en</w:t>
      </w:r>
      <w:r>
        <w:rPr>
          <w:i/>
          <w:spacing w:val="-10"/>
          <w:sz w:val="23"/>
        </w:rPr>
        <w:t> </w:t>
      </w:r>
      <w:r>
        <w:rPr>
          <w:i/>
          <w:spacing w:val="-4"/>
          <w:sz w:val="23"/>
        </w:rPr>
        <w:t>esta</w:t>
      </w:r>
      <w:r>
        <w:rPr>
          <w:i/>
          <w:spacing w:val="-10"/>
          <w:sz w:val="23"/>
        </w:rPr>
        <w:t> </w:t>
      </w:r>
      <w:r>
        <w:rPr>
          <w:i/>
          <w:spacing w:val="-4"/>
          <w:sz w:val="23"/>
        </w:rPr>
        <w:t>ley,</w:t>
      </w:r>
      <w:r>
        <w:rPr>
          <w:i/>
          <w:spacing w:val="-11"/>
          <w:sz w:val="23"/>
        </w:rPr>
        <w:t> </w:t>
      </w:r>
      <w:r>
        <w:rPr>
          <w:i/>
          <w:spacing w:val="-4"/>
          <w:sz w:val="23"/>
        </w:rPr>
        <w:t>una</w:t>
      </w:r>
      <w:r>
        <w:rPr>
          <w:i/>
          <w:spacing w:val="-10"/>
          <w:sz w:val="23"/>
        </w:rPr>
        <w:t> </w:t>
      </w:r>
      <w:r>
        <w:rPr>
          <w:i/>
          <w:spacing w:val="-4"/>
          <w:sz w:val="23"/>
        </w:rPr>
        <w:t>vez</w:t>
      </w:r>
      <w:r>
        <w:rPr>
          <w:i/>
          <w:spacing w:val="-10"/>
          <w:sz w:val="23"/>
        </w:rPr>
        <w:t> </w:t>
      </w:r>
      <w:r>
        <w:rPr>
          <w:i/>
          <w:spacing w:val="-4"/>
          <w:sz w:val="23"/>
        </w:rPr>
        <w:t>prevenido</w:t>
      </w:r>
      <w:r>
        <w:rPr>
          <w:i/>
          <w:spacing w:val="-11"/>
          <w:sz w:val="23"/>
        </w:rPr>
        <w:t> </w:t>
      </w:r>
      <w:r>
        <w:rPr>
          <w:i/>
          <w:spacing w:val="-4"/>
          <w:sz w:val="23"/>
        </w:rPr>
        <w:t>por la</w:t>
      </w:r>
      <w:r>
        <w:rPr>
          <w:i/>
          <w:spacing w:val="-11"/>
          <w:sz w:val="23"/>
        </w:rPr>
        <w:t> </w:t>
      </w:r>
      <w:r>
        <w:rPr>
          <w:i/>
          <w:spacing w:val="-4"/>
          <w:sz w:val="23"/>
        </w:rPr>
        <w:t>administración,</w:t>
      </w:r>
      <w:r>
        <w:rPr>
          <w:i/>
          <w:spacing w:val="-10"/>
          <w:sz w:val="23"/>
        </w:rPr>
        <w:t> </w:t>
      </w:r>
      <w:r>
        <w:rPr>
          <w:i/>
          <w:spacing w:val="-4"/>
          <w:sz w:val="23"/>
        </w:rPr>
        <w:t>incurrirá</w:t>
      </w:r>
      <w:r>
        <w:rPr>
          <w:i/>
          <w:spacing w:val="-11"/>
          <w:sz w:val="23"/>
        </w:rPr>
        <w:t> </w:t>
      </w:r>
      <w:r>
        <w:rPr>
          <w:i/>
          <w:spacing w:val="-4"/>
          <w:sz w:val="23"/>
        </w:rPr>
        <w:t>en</w:t>
      </w:r>
      <w:r>
        <w:rPr>
          <w:i/>
          <w:spacing w:val="-8"/>
          <w:sz w:val="23"/>
        </w:rPr>
        <w:t> </w:t>
      </w:r>
      <w:r>
        <w:rPr>
          <w:i/>
          <w:spacing w:val="-4"/>
          <w:sz w:val="23"/>
        </w:rPr>
        <w:t>una</w:t>
      </w:r>
      <w:r>
        <w:rPr>
          <w:i/>
          <w:spacing w:val="-10"/>
          <w:sz w:val="23"/>
        </w:rPr>
        <w:t> </w:t>
      </w:r>
      <w:r>
        <w:rPr>
          <w:i/>
          <w:spacing w:val="-4"/>
          <w:sz w:val="23"/>
        </w:rPr>
        <w:t>infracción</w:t>
      </w:r>
      <w:r>
        <w:rPr>
          <w:i/>
          <w:spacing w:val="-9"/>
          <w:sz w:val="23"/>
        </w:rPr>
        <w:t> </w:t>
      </w:r>
      <w:r>
        <w:rPr>
          <w:i/>
          <w:spacing w:val="-4"/>
          <w:sz w:val="23"/>
        </w:rPr>
        <w:t>que</w:t>
      </w:r>
      <w:r>
        <w:rPr>
          <w:i/>
          <w:spacing w:val="-11"/>
          <w:sz w:val="23"/>
        </w:rPr>
        <w:t> </w:t>
      </w:r>
      <w:r>
        <w:rPr>
          <w:i/>
          <w:spacing w:val="-4"/>
          <w:sz w:val="23"/>
        </w:rPr>
        <w:t>derivará</w:t>
      </w:r>
      <w:r>
        <w:rPr>
          <w:i/>
          <w:spacing w:val="-9"/>
          <w:sz w:val="23"/>
        </w:rPr>
        <w:t> </w:t>
      </w:r>
      <w:r>
        <w:rPr>
          <w:i/>
          <w:spacing w:val="-4"/>
          <w:sz w:val="23"/>
        </w:rPr>
        <w:t>en</w:t>
      </w:r>
      <w:r>
        <w:rPr>
          <w:i/>
          <w:spacing w:val="-9"/>
          <w:sz w:val="23"/>
        </w:rPr>
        <w:t> </w:t>
      </w:r>
      <w:r>
        <w:rPr>
          <w:i/>
          <w:spacing w:val="-4"/>
          <w:sz w:val="23"/>
        </w:rPr>
        <w:t>el</w:t>
      </w:r>
      <w:r>
        <w:rPr>
          <w:i/>
          <w:spacing w:val="-8"/>
          <w:sz w:val="23"/>
        </w:rPr>
        <w:t> </w:t>
      </w:r>
      <w:r>
        <w:rPr>
          <w:i/>
          <w:spacing w:val="-4"/>
          <w:sz w:val="23"/>
        </w:rPr>
        <w:t>cierre</w:t>
      </w:r>
      <w:r>
        <w:rPr>
          <w:i/>
          <w:spacing w:val="-11"/>
          <w:sz w:val="23"/>
        </w:rPr>
        <w:t> </w:t>
      </w:r>
      <w:r>
        <w:rPr>
          <w:i/>
          <w:spacing w:val="-4"/>
          <w:sz w:val="23"/>
        </w:rPr>
        <w:t>temporal</w:t>
      </w:r>
      <w:r>
        <w:rPr>
          <w:i/>
          <w:spacing w:val="-10"/>
          <w:sz w:val="23"/>
        </w:rPr>
        <w:t> </w:t>
      </w:r>
      <w:r>
        <w:rPr>
          <w:i/>
          <w:spacing w:val="-4"/>
          <w:sz w:val="23"/>
        </w:rPr>
        <w:t>del</w:t>
      </w:r>
      <w:r>
        <w:rPr>
          <w:i/>
          <w:spacing w:val="-8"/>
          <w:sz w:val="23"/>
        </w:rPr>
        <w:t> </w:t>
      </w:r>
      <w:r>
        <w:rPr>
          <w:i/>
          <w:spacing w:val="-4"/>
          <w:sz w:val="23"/>
        </w:rPr>
        <w:t>negocio,</w:t>
      </w:r>
      <w:r>
        <w:rPr>
          <w:i/>
          <w:spacing w:val="-9"/>
          <w:sz w:val="23"/>
        </w:rPr>
        <w:t> </w:t>
      </w:r>
      <w:r>
        <w:rPr>
          <w:i/>
          <w:spacing w:val="-4"/>
          <w:sz w:val="23"/>
        </w:rPr>
        <w:t>para</w:t>
      </w:r>
      <w:r>
        <w:rPr>
          <w:i/>
          <w:spacing w:val="-10"/>
          <w:sz w:val="23"/>
        </w:rPr>
        <w:t> </w:t>
      </w:r>
      <w:r>
        <w:rPr>
          <w:i/>
          <w:spacing w:val="-4"/>
          <w:sz w:val="23"/>
        </w:rPr>
        <w:t>lo </w:t>
      </w:r>
      <w:r>
        <w:rPr>
          <w:i/>
          <w:spacing w:val="-6"/>
          <w:sz w:val="23"/>
        </w:rPr>
        <w:t>cual queda autorizado el Instituto Mixto de</w:t>
      </w:r>
      <w:r>
        <w:rPr>
          <w:i/>
          <w:spacing w:val="-8"/>
          <w:sz w:val="23"/>
        </w:rPr>
        <w:t> </w:t>
      </w:r>
      <w:r>
        <w:rPr>
          <w:i/>
          <w:spacing w:val="-6"/>
          <w:sz w:val="23"/>
        </w:rPr>
        <w:t>Ayuda Social (IMAS) a aplicar las disposiciones del título </w:t>
      </w:r>
      <w:r>
        <w:rPr>
          <w:i/>
          <w:sz w:val="23"/>
        </w:rPr>
        <w:t>III</w:t>
      </w:r>
      <w:r>
        <w:rPr>
          <w:i/>
          <w:spacing w:val="-7"/>
          <w:sz w:val="23"/>
        </w:rPr>
        <w:t> </w:t>
      </w:r>
      <w:r>
        <w:rPr>
          <w:i/>
          <w:sz w:val="23"/>
        </w:rPr>
        <w:t>de</w:t>
      </w:r>
      <w:r>
        <w:rPr>
          <w:i/>
          <w:spacing w:val="-8"/>
          <w:sz w:val="23"/>
        </w:rPr>
        <w:t> </w:t>
      </w:r>
      <w:r>
        <w:rPr>
          <w:i/>
          <w:sz w:val="23"/>
        </w:rPr>
        <w:t>la</w:t>
      </w:r>
      <w:r>
        <w:rPr>
          <w:i/>
          <w:spacing w:val="-8"/>
          <w:sz w:val="23"/>
        </w:rPr>
        <w:t> </w:t>
      </w:r>
      <w:r>
        <w:rPr>
          <w:i/>
          <w:sz w:val="23"/>
        </w:rPr>
        <w:t>Ley</w:t>
      </w:r>
      <w:r>
        <w:rPr>
          <w:i/>
          <w:spacing w:val="-7"/>
          <w:sz w:val="23"/>
        </w:rPr>
        <w:t> </w:t>
      </w:r>
      <w:r>
        <w:rPr>
          <w:i/>
          <w:sz w:val="23"/>
        </w:rPr>
        <w:t>4755,</w:t>
      </w:r>
      <w:r>
        <w:rPr>
          <w:i/>
          <w:spacing w:val="-7"/>
          <w:sz w:val="23"/>
        </w:rPr>
        <w:t> </w:t>
      </w:r>
      <w:r>
        <w:rPr>
          <w:i/>
          <w:sz w:val="23"/>
        </w:rPr>
        <w:t>Código</w:t>
      </w:r>
      <w:r>
        <w:rPr>
          <w:i/>
          <w:spacing w:val="-6"/>
          <w:sz w:val="23"/>
        </w:rPr>
        <w:t> </w:t>
      </w:r>
      <w:r>
        <w:rPr>
          <w:i/>
          <w:sz w:val="23"/>
        </w:rPr>
        <w:t>de</w:t>
      </w:r>
      <w:r>
        <w:rPr>
          <w:i/>
          <w:spacing w:val="-8"/>
          <w:sz w:val="23"/>
        </w:rPr>
        <w:t> </w:t>
      </w:r>
      <w:r>
        <w:rPr>
          <w:i/>
          <w:sz w:val="23"/>
        </w:rPr>
        <w:t>Normas</w:t>
      </w:r>
      <w:r>
        <w:rPr>
          <w:i/>
          <w:spacing w:val="-6"/>
          <w:sz w:val="23"/>
        </w:rPr>
        <w:t> </w:t>
      </w:r>
      <w:r>
        <w:rPr>
          <w:i/>
          <w:sz w:val="23"/>
        </w:rPr>
        <w:t>y</w:t>
      </w:r>
      <w:r>
        <w:rPr>
          <w:i/>
          <w:spacing w:val="-7"/>
          <w:sz w:val="23"/>
        </w:rPr>
        <w:t> </w:t>
      </w:r>
      <w:r>
        <w:rPr>
          <w:i/>
          <w:sz w:val="23"/>
        </w:rPr>
        <w:t>Procedimientos</w:t>
      </w:r>
      <w:r>
        <w:rPr>
          <w:i/>
          <w:spacing w:val="-6"/>
          <w:sz w:val="23"/>
        </w:rPr>
        <w:t> </w:t>
      </w:r>
      <w:r>
        <w:rPr>
          <w:i/>
          <w:sz w:val="23"/>
        </w:rPr>
        <w:t>Tributarios,</w:t>
      </w:r>
      <w:r>
        <w:rPr>
          <w:i/>
          <w:spacing w:val="-7"/>
          <w:sz w:val="23"/>
        </w:rPr>
        <w:t> </w:t>
      </w:r>
      <w:r>
        <w:rPr>
          <w:i/>
          <w:sz w:val="23"/>
        </w:rPr>
        <w:t>de</w:t>
      </w:r>
      <w:r>
        <w:rPr>
          <w:i/>
          <w:spacing w:val="-8"/>
          <w:sz w:val="23"/>
        </w:rPr>
        <w:t> </w:t>
      </w:r>
      <w:r>
        <w:rPr>
          <w:i/>
          <w:sz w:val="23"/>
        </w:rPr>
        <w:t>3</w:t>
      </w:r>
      <w:r>
        <w:rPr>
          <w:i/>
          <w:spacing w:val="-7"/>
          <w:sz w:val="23"/>
        </w:rPr>
        <w:t> </w:t>
      </w:r>
      <w:r>
        <w:rPr>
          <w:i/>
          <w:sz w:val="23"/>
        </w:rPr>
        <w:t>de</w:t>
      </w:r>
      <w:r>
        <w:rPr>
          <w:i/>
          <w:spacing w:val="-8"/>
          <w:sz w:val="23"/>
        </w:rPr>
        <w:t> </w:t>
      </w:r>
      <w:r>
        <w:rPr>
          <w:i/>
          <w:sz w:val="23"/>
        </w:rPr>
        <w:t>mayo</w:t>
      </w:r>
      <w:r>
        <w:rPr>
          <w:i/>
          <w:spacing w:val="-6"/>
          <w:sz w:val="23"/>
        </w:rPr>
        <w:t> </w:t>
      </w:r>
      <w:r>
        <w:rPr>
          <w:i/>
          <w:sz w:val="23"/>
        </w:rPr>
        <w:t>de</w:t>
      </w:r>
      <w:r>
        <w:rPr>
          <w:i/>
          <w:spacing w:val="-8"/>
          <w:sz w:val="23"/>
        </w:rPr>
        <w:t> </w:t>
      </w:r>
      <w:r>
        <w:rPr>
          <w:i/>
          <w:sz w:val="23"/>
        </w:rPr>
        <w:t>1971,</w:t>
      </w:r>
      <w:r>
        <w:rPr>
          <w:i/>
          <w:spacing w:val="-7"/>
          <w:sz w:val="23"/>
        </w:rPr>
        <w:t> </w:t>
      </w:r>
      <w:r>
        <w:rPr>
          <w:i/>
          <w:sz w:val="23"/>
        </w:rPr>
        <w:t>en </w:t>
      </w:r>
      <w:r>
        <w:rPr>
          <w:i/>
          <w:spacing w:val="-4"/>
          <w:sz w:val="23"/>
        </w:rPr>
        <w:t>cuanto</w:t>
      </w:r>
      <w:r>
        <w:rPr>
          <w:i/>
          <w:spacing w:val="-5"/>
          <w:sz w:val="23"/>
        </w:rPr>
        <w:t> </w:t>
      </w:r>
      <w:r>
        <w:rPr>
          <w:i/>
          <w:spacing w:val="-4"/>
          <w:sz w:val="23"/>
        </w:rPr>
        <w:t>a</w:t>
      </w:r>
      <w:r>
        <w:rPr>
          <w:i/>
          <w:spacing w:val="-8"/>
          <w:sz w:val="23"/>
        </w:rPr>
        <w:t> </w:t>
      </w:r>
      <w:r>
        <w:rPr>
          <w:i/>
          <w:spacing w:val="-4"/>
          <w:sz w:val="23"/>
        </w:rPr>
        <w:t>los</w:t>
      </w:r>
      <w:r>
        <w:rPr>
          <w:i/>
          <w:spacing w:val="-5"/>
          <w:sz w:val="23"/>
        </w:rPr>
        <w:t> </w:t>
      </w:r>
      <w:r>
        <w:rPr>
          <w:i/>
          <w:spacing w:val="-4"/>
          <w:sz w:val="23"/>
        </w:rPr>
        <w:t>hechos</w:t>
      </w:r>
      <w:r>
        <w:rPr>
          <w:i/>
          <w:spacing w:val="-7"/>
          <w:sz w:val="23"/>
        </w:rPr>
        <w:t> </w:t>
      </w:r>
      <w:r>
        <w:rPr>
          <w:i/>
          <w:spacing w:val="-4"/>
          <w:sz w:val="23"/>
        </w:rPr>
        <w:t>ilícitos,</w:t>
      </w:r>
      <w:r>
        <w:rPr>
          <w:i/>
          <w:spacing w:val="-9"/>
          <w:sz w:val="23"/>
        </w:rPr>
        <w:t> </w:t>
      </w:r>
      <w:r>
        <w:rPr>
          <w:i/>
          <w:spacing w:val="-4"/>
          <w:sz w:val="23"/>
        </w:rPr>
        <w:t>sanciones,</w:t>
      </w:r>
      <w:r>
        <w:rPr>
          <w:i/>
          <w:spacing w:val="-6"/>
          <w:sz w:val="23"/>
        </w:rPr>
        <w:t> </w:t>
      </w:r>
      <w:r>
        <w:rPr>
          <w:i/>
          <w:spacing w:val="-4"/>
          <w:sz w:val="23"/>
        </w:rPr>
        <w:t>infracciones</w:t>
      </w:r>
      <w:r>
        <w:rPr>
          <w:i/>
          <w:spacing w:val="-7"/>
          <w:sz w:val="23"/>
        </w:rPr>
        <w:t> </w:t>
      </w:r>
      <w:r>
        <w:rPr>
          <w:i/>
          <w:spacing w:val="-4"/>
          <w:sz w:val="23"/>
        </w:rPr>
        <w:t>administrativas</w:t>
      </w:r>
      <w:r>
        <w:rPr>
          <w:i/>
          <w:spacing w:val="-7"/>
          <w:sz w:val="23"/>
        </w:rPr>
        <w:t> </w:t>
      </w:r>
      <w:r>
        <w:rPr>
          <w:i/>
          <w:spacing w:val="-4"/>
          <w:sz w:val="23"/>
        </w:rPr>
        <w:t>y</w:t>
      </w:r>
      <w:r>
        <w:rPr>
          <w:i/>
          <w:spacing w:val="-7"/>
          <w:sz w:val="23"/>
        </w:rPr>
        <w:t> </w:t>
      </w:r>
      <w:r>
        <w:rPr>
          <w:i/>
          <w:spacing w:val="-4"/>
          <w:sz w:val="23"/>
        </w:rPr>
        <w:t>procedimientos</w:t>
      </w:r>
      <w:r>
        <w:rPr>
          <w:i/>
          <w:spacing w:val="-7"/>
          <w:sz w:val="23"/>
        </w:rPr>
        <w:t> </w:t>
      </w:r>
      <w:r>
        <w:rPr>
          <w:i/>
          <w:spacing w:val="-4"/>
          <w:sz w:val="23"/>
        </w:rPr>
        <w:t>allí</w:t>
      </w:r>
      <w:r>
        <w:rPr>
          <w:i/>
          <w:spacing w:val="-6"/>
          <w:sz w:val="23"/>
        </w:rPr>
        <w:t> </w:t>
      </w:r>
      <w:r>
        <w:rPr>
          <w:i/>
          <w:spacing w:val="-4"/>
          <w:sz w:val="23"/>
        </w:rPr>
        <w:t>previstos,</w:t>
      </w:r>
      <w:r>
        <w:rPr>
          <w:i/>
          <w:spacing w:val="-8"/>
          <w:sz w:val="23"/>
        </w:rPr>
        <w:t> </w:t>
      </w:r>
      <w:r>
        <w:rPr>
          <w:i/>
          <w:spacing w:val="-4"/>
          <w:sz w:val="23"/>
        </w:rPr>
        <w:t>a </w:t>
      </w:r>
      <w:r>
        <w:rPr>
          <w:i/>
          <w:sz w:val="23"/>
        </w:rPr>
        <w:t>excepción</w:t>
      </w:r>
      <w:r>
        <w:rPr>
          <w:i/>
          <w:spacing w:val="-5"/>
          <w:sz w:val="23"/>
        </w:rPr>
        <w:t> </w:t>
      </w:r>
      <w:r>
        <w:rPr>
          <w:i/>
          <w:sz w:val="23"/>
        </w:rPr>
        <w:t>de</w:t>
      </w:r>
      <w:r>
        <w:rPr>
          <w:i/>
          <w:spacing w:val="-7"/>
          <w:sz w:val="23"/>
        </w:rPr>
        <w:t> </w:t>
      </w:r>
      <w:r>
        <w:rPr>
          <w:i/>
          <w:sz w:val="23"/>
        </w:rPr>
        <w:t>lo</w:t>
      </w:r>
      <w:r>
        <w:rPr>
          <w:i/>
          <w:spacing w:val="-5"/>
          <w:sz w:val="23"/>
        </w:rPr>
        <w:t> </w:t>
      </w:r>
      <w:r>
        <w:rPr>
          <w:i/>
          <w:sz w:val="23"/>
        </w:rPr>
        <w:t>establecido</w:t>
      </w:r>
      <w:r>
        <w:rPr>
          <w:i/>
          <w:spacing w:val="-7"/>
          <w:sz w:val="23"/>
        </w:rPr>
        <w:t> </w:t>
      </w:r>
      <w:r>
        <w:rPr>
          <w:i/>
          <w:sz w:val="23"/>
        </w:rPr>
        <w:t>en</w:t>
      </w:r>
      <w:r>
        <w:rPr>
          <w:i/>
          <w:spacing w:val="-5"/>
          <w:sz w:val="23"/>
        </w:rPr>
        <w:t> </w:t>
      </w:r>
      <w:r>
        <w:rPr>
          <w:i/>
          <w:sz w:val="23"/>
        </w:rPr>
        <w:t>los</w:t>
      </w:r>
      <w:r>
        <w:rPr>
          <w:i/>
          <w:spacing w:val="-5"/>
          <w:sz w:val="23"/>
        </w:rPr>
        <w:t> </w:t>
      </w:r>
      <w:r>
        <w:rPr>
          <w:i/>
          <w:sz w:val="23"/>
        </w:rPr>
        <w:t>artículos</w:t>
      </w:r>
      <w:r>
        <w:rPr>
          <w:i/>
          <w:spacing w:val="-5"/>
          <w:sz w:val="23"/>
        </w:rPr>
        <w:t> </w:t>
      </w:r>
      <w:r>
        <w:rPr>
          <w:i/>
          <w:sz w:val="23"/>
        </w:rPr>
        <w:t>85</w:t>
      </w:r>
      <w:r>
        <w:rPr>
          <w:i/>
          <w:spacing w:val="-8"/>
          <w:sz w:val="23"/>
        </w:rPr>
        <w:t> </w:t>
      </w:r>
      <w:r>
        <w:rPr>
          <w:i/>
          <w:sz w:val="23"/>
        </w:rPr>
        <w:t>y</w:t>
      </w:r>
      <w:r>
        <w:rPr>
          <w:i/>
          <w:spacing w:val="-6"/>
          <w:sz w:val="23"/>
        </w:rPr>
        <w:t> </w:t>
      </w:r>
      <w:r>
        <w:rPr>
          <w:i/>
          <w:sz w:val="23"/>
        </w:rPr>
        <w:t>85</w:t>
      </w:r>
      <w:r>
        <w:rPr>
          <w:i/>
          <w:spacing w:val="-6"/>
          <w:sz w:val="23"/>
        </w:rPr>
        <w:t> </w:t>
      </w:r>
      <w:r>
        <w:rPr>
          <w:i/>
          <w:sz w:val="23"/>
        </w:rPr>
        <w:t>bis,</w:t>
      </w:r>
      <w:r>
        <w:rPr>
          <w:i/>
          <w:spacing w:val="-5"/>
          <w:sz w:val="23"/>
        </w:rPr>
        <w:t> </w:t>
      </w:r>
      <w:r>
        <w:rPr>
          <w:i/>
          <w:sz w:val="23"/>
        </w:rPr>
        <w:t>así</w:t>
      </w:r>
      <w:r>
        <w:rPr>
          <w:i/>
          <w:spacing w:val="-6"/>
          <w:sz w:val="23"/>
        </w:rPr>
        <w:t> </w:t>
      </w:r>
      <w:r>
        <w:rPr>
          <w:i/>
          <w:sz w:val="23"/>
        </w:rPr>
        <w:t>como</w:t>
      </w:r>
      <w:r>
        <w:rPr>
          <w:i/>
          <w:spacing w:val="-5"/>
          <w:sz w:val="23"/>
        </w:rPr>
        <w:t> </w:t>
      </w:r>
      <w:r>
        <w:rPr>
          <w:i/>
          <w:sz w:val="23"/>
        </w:rPr>
        <w:t>en</w:t>
      </w:r>
      <w:r>
        <w:rPr>
          <w:i/>
          <w:spacing w:val="-7"/>
          <w:sz w:val="23"/>
        </w:rPr>
        <w:t> </w:t>
      </w:r>
      <w:r>
        <w:rPr>
          <w:i/>
          <w:sz w:val="23"/>
        </w:rPr>
        <w:t>lo</w:t>
      </w:r>
      <w:r>
        <w:rPr>
          <w:i/>
          <w:spacing w:val="-5"/>
          <w:sz w:val="23"/>
        </w:rPr>
        <w:t> </w:t>
      </w:r>
      <w:r>
        <w:rPr>
          <w:i/>
          <w:sz w:val="23"/>
        </w:rPr>
        <w:t>referente</w:t>
      </w:r>
      <w:r>
        <w:rPr>
          <w:i/>
          <w:spacing w:val="-8"/>
          <w:sz w:val="23"/>
        </w:rPr>
        <w:t> </w:t>
      </w:r>
      <w:r>
        <w:rPr>
          <w:i/>
          <w:sz w:val="23"/>
        </w:rPr>
        <w:t>a</w:t>
      </w:r>
      <w:r>
        <w:rPr>
          <w:i/>
          <w:spacing w:val="-6"/>
          <w:sz w:val="23"/>
        </w:rPr>
        <w:t> </w:t>
      </w:r>
      <w:r>
        <w:rPr>
          <w:i/>
          <w:sz w:val="23"/>
        </w:rPr>
        <w:t>la</w:t>
      </w:r>
      <w:r>
        <w:rPr>
          <w:i/>
          <w:spacing w:val="-7"/>
          <w:sz w:val="23"/>
        </w:rPr>
        <w:t> </w:t>
      </w:r>
      <w:r>
        <w:rPr>
          <w:i/>
          <w:sz w:val="23"/>
        </w:rPr>
        <w:t>emisión</w:t>
      </w:r>
      <w:r>
        <w:rPr>
          <w:i/>
          <w:spacing w:val="-5"/>
          <w:sz w:val="23"/>
        </w:rPr>
        <w:t> </w:t>
      </w:r>
      <w:r>
        <w:rPr>
          <w:i/>
          <w:sz w:val="23"/>
        </w:rPr>
        <w:t>de facturas</w:t>
      </w:r>
      <w:r>
        <w:rPr>
          <w:i/>
          <w:spacing w:val="-14"/>
          <w:sz w:val="23"/>
        </w:rPr>
        <w:t> </w:t>
      </w:r>
      <w:r>
        <w:rPr>
          <w:i/>
          <w:sz w:val="23"/>
        </w:rPr>
        <w:t>señalado</w:t>
      </w:r>
      <w:r>
        <w:rPr>
          <w:i/>
          <w:spacing w:val="-13"/>
          <w:sz w:val="23"/>
        </w:rPr>
        <w:t> </w:t>
      </w:r>
      <w:r>
        <w:rPr>
          <w:i/>
          <w:sz w:val="23"/>
        </w:rPr>
        <w:t>en</w:t>
      </w:r>
      <w:r>
        <w:rPr>
          <w:i/>
          <w:spacing w:val="-13"/>
          <w:sz w:val="23"/>
        </w:rPr>
        <w:t> </w:t>
      </w:r>
      <w:r>
        <w:rPr>
          <w:i/>
          <w:sz w:val="23"/>
        </w:rPr>
        <w:t>el</w:t>
      </w:r>
      <w:r>
        <w:rPr>
          <w:i/>
          <w:spacing w:val="-13"/>
          <w:sz w:val="23"/>
        </w:rPr>
        <w:t> </w:t>
      </w:r>
      <w:r>
        <w:rPr>
          <w:i/>
          <w:sz w:val="23"/>
        </w:rPr>
        <w:t>numeral</w:t>
      </w:r>
      <w:r>
        <w:rPr>
          <w:i/>
          <w:spacing w:val="-13"/>
          <w:sz w:val="23"/>
        </w:rPr>
        <w:t> </w:t>
      </w:r>
      <w:r>
        <w:rPr>
          <w:i/>
          <w:sz w:val="23"/>
        </w:rPr>
        <w:t>86,</w:t>
      </w:r>
      <w:r>
        <w:rPr>
          <w:i/>
          <w:spacing w:val="-13"/>
          <w:sz w:val="23"/>
        </w:rPr>
        <w:t> </w:t>
      </w:r>
      <w:r>
        <w:rPr>
          <w:i/>
          <w:sz w:val="23"/>
        </w:rPr>
        <w:t>todos</w:t>
      </w:r>
      <w:r>
        <w:rPr>
          <w:i/>
          <w:spacing w:val="-12"/>
          <w:sz w:val="23"/>
        </w:rPr>
        <w:t> </w:t>
      </w:r>
      <w:r>
        <w:rPr>
          <w:i/>
          <w:sz w:val="23"/>
        </w:rPr>
        <w:t>de</w:t>
      </w:r>
      <w:r>
        <w:rPr>
          <w:i/>
          <w:spacing w:val="-13"/>
          <w:sz w:val="23"/>
        </w:rPr>
        <w:t> </w:t>
      </w:r>
      <w:r>
        <w:rPr>
          <w:i/>
          <w:sz w:val="23"/>
        </w:rPr>
        <w:t>ese</w:t>
      </w:r>
      <w:r>
        <w:rPr>
          <w:i/>
          <w:spacing w:val="-13"/>
          <w:sz w:val="23"/>
        </w:rPr>
        <w:t> </w:t>
      </w:r>
      <w:r>
        <w:rPr>
          <w:i/>
          <w:sz w:val="23"/>
        </w:rPr>
        <w:t>cuerpo</w:t>
      </w:r>
      <w:r>
        <w:rPr>
          <w:i/>
          <w:spacing w:val="-14"/>
          <w:sz w:val="23"/>
        </w:rPr>
        <w:t> </w:t>
      </w:r>
      <w:r>
        <w:rPr>
          <w:i/>
          <w:sz w:val="23"/>
        </w:rPr>
        <w:t>normativo</w:t>
      </w:r>
      <w:r>
        <w:rPr>
          <w:sz w:val="22"/>
        </w:rPr>
        <w:t>.”</w:t>
      </w:r>
    </w:p>
    <w:p>
      <w:pPr>
        <w:pStyle w:val="BodyText"/>
        <w:spacing w:before="14"/>
        <w:rPr>
          <w:sz w:val="23"/>
        </w:rPr>
      </w:pPr>
    </w:p>
    <w:p>
      <w:pPr>
        <w:pStyle w:val="BodyText"/>
        <w:spacing w:line="256" w:lineRule="auto"/>
        <w:ind w:left="734" w:right="1090"/>
        <w:jc w:val="both"/>
      </w:pPr>
      <w:r>
        <w:rPr/>
        <w:t>El</w:t>
      </w:r>
      <w:r>
        <w:rPr>
          <w:spacing w:val="-13"/>
        </w:rPr>
        <w:t> </w:t>
      </w:r>
      <w:r>
        <w:rPr/>
        <w:t>cobro</w:t>
      </w:r>
      <w:r>
        <w:rPr>
          <w:spacing w:val="-12"/>
        </w:rPr>
        <w:t> </w:t>
      </w:r>
      <w:r>
        <w:rPr/>
        <w:t>de</w:t>
      </w:r>
      <w:r>
        <w:rPr>
          <w:spacing w:val="-14"/>
        </w:rPr>
        <w:t> </w:t>
      </w:r>
      <w:r>
        <w:rPr/>
        <w:t>interés</w:t>
      </w:r>
      <w:r>
        <w:rPr>
          <w:spacing w:val="-11"/>
        </w:rPr>
        <w:t> </w:t>
      </w:r>
      <w:r>
        <w:rPr/>
        <w:t>a</w:t>
      </w:r>
      <w:r>
        <w:rPr>
          <w:spacing w:val="-13"/>
        </w:rPr>
        <w:t> </w:t>
      </w:r>
      <w:r>
        <w:rPr/>
        <w:t>cargo</w:t>
      </w:r>
      <w:r>
        <w:rPr>
          <w:spacing w:val="-12"/>
        </w:rPr>
        <w:t> </w:t>
      </w:r>
      <w:r>
        <w:rPr/>
        <w:t>del</w:t>
      </w:r>
      <w:r>
        <w:rPr>
          <w:spacing w:val="-13"/>
        </w:rPr>
        <w:t> </w:t>
      </w:r>
      <w:r>
        <w:rPr/>
        <w:t>sujeto</w:t>
      </w:r>
      <w:r>
        <w:rPr>
          <w:spacing w:val="-12"/>
        </w:rPr>
        <w:t> </w:t>
      </w:r>
      <w:r>
        <w:rPr/>
        <w:t>pasivo</w:t>
      </w:r>
      <w:r>
        <w:rPr>
          <w:spacing w:val="-12"/>
        </w:rPr>
        <w:t> </w:t>
      </w:r>
      <w:r>
        <w:rPr/>
        <w:t>se</w:t>
      </w:r>
      <w:r>
        <w:rPr>
          <w:spacing w:val="-14"/>
        </w:rPr>
        <w:t> </w:t>
      </w:r>
      <w:r>
        <w:rPr/>
        <w:t>aplicará</w:t>
      </w:r>
      <w:r>
        <w:rPr>
          <w:spacing w:val="-12"/>
        </w:rPr>
        <w:t> </w:t>
      </w:r>
      <w:r>
        <w:rPr/>
        <w:t>de</w:t>
      </w:r>
      <w:r>
        <w:rPr>
          <w:spacing w:val="-14"/>
        </w:rPr>
        <w:t> </w:t>
      </w:r>
      <w:r>
        <w:rPr/>
        <w:t>conformidad</w:t>
      </w:r>
      <w:r>
        <w:rPr>
          <w:spacing w:val="-12"/>
        </w:rPr>
        <w:t> </w:t>
      </w:r>
      <w:r>
        <w:rPr/>
        <w:t>con</w:t>
      </w:r>
      <w:r>
        <w:rPr>
          <w:spacing w:val="-13"/>
        </w:rPr>
        <w:t> </w:t>
      </w:r>
      <w:r>
        <w:rPr/>
        <w:t>el</w:t>
      </w:r>
      <w:r>
        <w:rPr>
          <w:spacing w:val="-13"/>
        </w:rPr>
        <w:t> </w:t>
      </w:r>
      <w:r>
        <w:rPr/>
        <w:t>artículo</w:t>
      </w:r>
      <w:r>
        <w:rPr>
          <w:spacing w:val="-12"/>
        </w:rPr>
        <w:t> </w:t>
      </w:r>
      <w:r>
        <w:rPr/>
        <w:t>57</w:t>
      </w:r>
      <w:r>
        <w:rPr>
          <w:spacing w:val="-14"/>
        </w:rPr>
        <w:t> </w:t>
      </w:r>
      <w:r>
        <w:rPr/>
        <w:t>del</w:t>
      </w:r>
      <w:r>
        <w:rPr>
          <w:spacing w:val="-12"/>
        </w:rPr>
        <w:t> </w:t>
      </w:r>
      <w:r>
        <w:rPr/>
        <w:t>Código de Normas y Procedimientos Tributarios.</w:t>
      </w:r>
    </w:p>
    <w:p>
      <w:pPr>
        <w:pStyle w:val="BodyText"/>
        <w:spacing w:before="23"/>
      </w:pPr>
    </w:p>
    <w:p>
      <w:pPr>
        <w:pStyle w:val="BodyText"/>
        <w:ind w:left="734"/>
        <w:jc w:val="both"/>
      </w:pPr>
      <w:r>
        <w:rPr/>
        <w:t>Intereses</w:t>
      </w:r>
      <w:r>
        <w:rPr>
          <w:spacing w:val="-3"/>
        </w:rPr>
        <w:t> </w:t>
      </w:r>
      <w:r>
        <w:rPr/>
        <w:t>a</w:t>
      </w:r>
      <w:r>
        <w:rPr>
          <w:spacing w:val="-4"/>
        </w:rPr>
        <w:t> </w:t>
      </w:r>
      <w:r>
        <w:rPr/>
        <w:t>cargo</w:t>
      </w:r>
      <w:r>
        <w:rPr>
          <w:spacing w:val="-3"/>
        </w:rPr>
        <w:t> </w:t>
      </w:r>
      <w:r>
        <w:rPr/>
        <w:t>del</w:t>
      </w:r>
      <w:r>
        <w:rPr>
          <w:spacing w:val="-3"/>
        </w:rPr>
        <w:t> </w:t>
      </w:r>
      <w:r>
        <w:rPr/>
        <w:t>sujeto</w:t>
      </w:r>
      <w:r>
        <w:rPr>
          <w:spacing w:val="-5"/>
        </w:rPr>
        <w:t> </w:t>
      </w:r>
      <w:r>
        <w:rPr/>
        <w:t>pasivo,</w:t>
      </w:r>
      <w:r>
        <w:rPr>
          <w:spacing w:val="-3"/>
        </w:rPr>
        <w:t> </w:t>
      </w:r>
      <w:r>
        <w:rPr>
          <w:spacing w:val="-4"/>
        </w:rPr>
        <w:t>dice:</w:t>
      </w:r>
    </w:p>
    <w:p>
      <w:pPr>
        <w:spacing w:line="247" w:lineRule="auto" w:before="12"/>
        <w:ind w:left="734" w:right="1088" w:firstLine="0"/>
        <w:jc w:val="both"/>
        <w:rPr>
          <w:sz w:val="22"/>
        </w:rPr>
      </w:pPr>
      <w:r>
        <w:rPr>
          <w:sz w:val="22"/>
        </w:rPr>
        <w:t>“</w:t>
      </w:r>
      <w:r>
        <w:rPr>
          <w:i/>
          <w:sz w:val="23"/>
        </w:rPr>
        <w:t>Sin</w:t>
      </w:r>
      <w:r>
        <w:rPr>
          <w:i/>
          <w:spacing w:val="-3"/>
          <w:sz w:val="23"/>
        </w:rPr>
        <w:t> </w:t>
      </w:r>
      <w:r>
        <w:rPr>
          <w:i/>
          <w:sz w:val="23"/>
        </w:rPr>
        <w:t>necesidad</w:t>
      </w:r>
      <w:r>
        <w:rPr>
          <w:i/>
          <w:spacing w:val="-3"/>
          <w:sz w:val="23"/>
        </w:rPr>
        <w:t> </w:t>
      </w:r>
      <w:r>
        <w:rPr>
          <w:i/>
          <w:sz w:val="23"/>
        </w:rPr>
        <w:t>de</w:t>
      </w:r>
      <w:r>
        <w:rPr>
          <w:i/>
          <w:spacing w:val="-4"/>
          <w:sz w:val="23"/>
        </w:rPr>
        <w:t> </w:t>
      </w:r>
      <w:r>
        <w:rPr>
          <w:i/>
          <w:sz w:val="23"/>
        </w:rPr>
        <w:t>actuación</w:t>
      </w:r>
      <w:r>
        <w:rPr>
          <w:i/>
          <w:spacing w:val="-3"/>
          <w:sz w:val="23"/>
        </w:rPr>
        <w:t> </w:t>
      </w:r>
      <w:r>
        <w:rPr>
          <w:i/>
          <w:sz w:val="23"/>
        </w:rPr>
        <w:t>alguna</w:t>
      </w:r>
      <w:r>
        <w:rPr>
          <w:i/>
          <w:spacing w:val="-3"/>
          <w:sz w:val="23"/>
        </w:rPr>
        <w:t> </w:t>
      </w:r>
      <w:r>
        <w:rPr>
          <w:i/>
          <w:sz w:val="23"/>
        </w:rPr>
        <w:t>de</w:t>
      </w:r>
      <w:r>
        <w:rPr>
          <w:i/>
          <w:spacing w:val="-4"/>
          <w:sz w:val="23"/>
        </w:rPr>
        <w:t> </w:t>
      </w:r>
      <w:r>
        <w:rPr>
          <w:i/>
          <w:sz w:val="23"/>
        </w:rPr>
        <w:t>la</w:t>
      </w:r>
      <w:r>
        <w:rPr>
          <w:i/>
          <w:spacing w:val="-5"/>
          <w:sz w:val="23"/>
        </w:rPr>
        <w:t> </w:t>
      </w:r>
      <w:r>
        <w:rPr>
          <w:i/>
          <w:sz w:val="23"/>
        </w:rPr>
        <w:t>Administración</w:t>
      </w:r>
      <w:r>
        <w:rPr>
          <w:i/>
          <w:spacing w:val="-3"/>
          <w:sz w:val="23"/>
        </w:rPr>
        <w:t> </w:t>
      </w:r>
      <w:r>
        <w:rPr>
          <w:i/>
          <w:sz w:val="23"/>
        </w:rPr>
        <w:t>Tributaria,</w:t>
      </w:r>
      <w:r>
        <w:rPr>
          <w:i/>
          <w:spacing w:val="-5"/>
          <w:sz w:val="23"/>
        </w:rPr>
        <w:t> </w:t>
      </w:r>
      <w:r>
        <w:rPr>
          <w:i/>
          <w:sz w:val="23"/>
        </w:rPr>
        <w:t>el</w:t>
      </w:r>
      <w:r>
        <w:rPr>
          <w:i/>
          <w:spacing w:val="-3"/>
          <w:sz w:val="23"/>
        </w:rPr>
        <w:t> </w:t>
      </w:r>
      <w:r>
        <w:rPr>
          <w:i/>
          <w:sz w:val="23"/>
        </w:rPr>
        <w:t>pago</w:t>
      </w:r>
      <w:r>
        <w:rPr>
          <w:i/>
          <w:spacing w:val="-2"/>
          <w:sz w:val="23"/>
        </w:rPr>
        <w:t> </w:t>
      </w:r>
      <w:r>
        <w:rPr>
          <w:i/>
          <w:sz w:val="23"/>
        </w:rPr>
        <w:t>efectuado</w:t>
      </w:r>
      <w:r>
        <w:rPr>
          <w:i/>
          <w:spacing w:val="-3"/>
          <w:sz w:val="23"/>
        </w:rPr>
        <w:t> </w:t>
      </w:r>
      <w:r>
        <w:rPr>
          <w:i/>
          <w:sz w:val="23"/>
        </w:rPr>
        <w:t>fuera</w:t>
      </w:r>
      <w:r>
        <w:rPr>
          <w:i/>
          <w:spacing w:val="-3"/>
          <w:sz w:val="23"/>
        </w:rPr>
        <w:t> </w:t>
      </w:r>
      <w:r>
        <w:rPr>
          <w:i/>
          <w:sz w:val="23"/>
        </w:rPr>
        <w:t>de término</w:t>
      </w:r>
      <w:r>
        <w:rPr>
          <w:i/>
          <w:spacing w:val="-14"/>
          <w:sz w:val="23"/>
        </w:rPr>
        <w:t> </w:t>
      </w:r>
      <w:r>
        <w:rPr>
          <w:i/>
          <w:sz w:val="23"/>
        </w:rPr>
        <w:t>produce</w:t>
      </w:r>
      <w:r>
        <w:rPr>
          <w:i/>
          <w:spacing w:val="-14"/>
          <w:sz w:val="23"/>
        </w:rPr>
        <w:t> </w:t>
      </w:r>
      <w:r>
        <w:rPr>
          <w:i/>
          <w:sz w:val="23"/>
        </w:rPr>
        <w:t>la</w:t>
      </w:r>
      <w:r>
        <w:rPr>
          <w:i/>
          <w:spacing w:val="-14"/>
          <w:sz w:val="23"/>
        </w:rPr>
        <w:t> </w:t>
      </w:r>
      <w:r>
        <w:rPr>
          <w:i/>
          <w:sz w:val="23"/>
        </w:rPr>
        <w:t>obligación</w:t>
      </w:r>
      <w:r>
        <w:rPr>
          <w:i/>
          <w:spacing w:val="-13"/>
          <w:sz w:val="23"/>
        </w:rPr>
        <w:t> </w:t>
      </w:r>
      <w:r>
        <w:rPr>
          <w:i/>
          <w:sz w:val="23"/>
        </w:rPr>
        <w:t>de</w:t>
      </w:r>
      <w:r>
        <w:rPr>
          <w:i/>
          <w:spacing w:val="-14"/>
          <w:sz w:val="23"/>
        </w:rPr>
        <w:t> </w:t>
      </w:r>
      <w:r>
        <w:rPr>
          <w:i/>
          <w:sz w:val="23"/>
        </w:rPr>
        <w:t>pagar</w:t>
      </w:r>
      <w:r>
        <w:rPr>
          <w:i/>
          <w:spacing w:val="-14"/>
          <w:sz w:val="23"/>
        </w:rPr>
        <w:t> </w:t>
      </w:r>
      <w:r>
        <w:rPr>
          <w:i/>
          <w:sz w:val="23"/>
        </w:rPr>
        <w:t>un</w:t>
      </w:r>
      <w:r>
        <w:rPr>
          <w:i/>
          <w:spacing w:val="-13"/>
          <w:sz w:val="23"/>
        </w:rPr>
        <w:t> </w:t>
      </w:r>
      <w:r>
        <w:rPr>
          <w:i/>
          <w:sz w:val="23"/>
        </w:rPr>
        <w:t>interés</w:t>
      </w:r>
      <w:r>
        <w:rPr>
          <w:i/>
          <w:spacing w:val="-12"/>
          <w:sz w:val="23"/>
        </w:rPr>
        <w:t> </w:t>
      </w:r>
      <w:r>
        <w:rPr>
          <w:i/>
          <w:sz w:val="23"/>
        </w:rPr>
        <w:t>junto</w:t>
      </w:r>
      <w:r>
        <w:rPr>
          <w:i/>
          <w:spacing w:val="-12"/>
          <w:sz w:val="23"/>
        </w:rPr>
        <w:t> </w:t>
      </w:r>
      <w:r>
        <w:rPr>
          <w:i/>
          <w:sz w:val="23"/>
        </w:rPr>
        <w:t>con</w:t>
      </w:r>
      <w:r>
        <w:rPr>
          <w:i/>
          <w:spacing w:val="-14"/>
          <w:sz w:val="23"/>
        </w:rPr>
        <w:t> </w:t>
      </w:r>
      <w:r>
        <w:rPr>
          <w:i/>
          <w:sz w:val="23"/>
        </w:rPr>
        <w:t>el</w:t>
      </w:r>
      <w:r>
        <w:rPr>
          <w:i/>
          <w:spacing w:val="-14"/>
          <w:sz w:val="23"/>
        </w:rPr>
        <w:t> </w:t>
      </w:r>
      <w:r>
        <w:rPr>
          <w:i/>
          <w:sz w:val="23"/>
        </w:rPr>
        <w:t>tributo</w:t>
      </w:r>
      <w:r>
        <w:rPr>
          <w:i/>
          <w:spacing w:val="-14"/>
          <w:sz w:val="23"/>
        </w:rPr>
        <w:t> </w:t>
      </w:r>
      <w:r>
        <w:rPr>
          <w:i/>
          <w:sz w:val="23"/>
        </w:rPr>
        <w:t>adeudado.</w:t>
      </w:r>
      <w:r>
        <w:rPr>
          <w:i/>
          <w:spacing w:val="-14"/>
          <w:sz w:val="23"/>
        </w:rPr>
        <w:t> </w:t>
      </w:r>
      <w:r>
        <w:rPr>
          <w:i/>
          <w:sz w:val="23"/>
        </w:rPr>
        <w:t>Esta</w:t>
      </w:r>
      <w:r>
        <w:rPr>
          <w:i/>
          <w:spacing w:val="-13"/>
          <w:sz w:val="23"/>
        </w:rPr>
        <w:t> </w:t>
      </w:r>
      <w:r>
        <w:rPr>
          <w:i/>
          <w:sz w:val="23"/>
        </w:rPr>
        <w:t>obligación también</w:t>
      </w:r>
      <w:r>
        <w:rPr>
          <w:i/>
          <w:spacing w:val="-7"/>
          <w:sz w:val="23"/>
        </w:rPr>
        <w:t> </w:t>
      </w:r>
      <w:r>
        <w:rPr>
          <w:i/>
          <w:sz w:val="23"/>
        </w:rPr>
        <w:t>se</w:t>
      </w:r>
      <w:r>
        <w:rPr>
          <w:i/>
          <w:spacing w:val="-8"/>
          <w:sz w:val="23"/>
        </w:rPr>
        <w:t> </w:t>
      </w:r>
      <w:r>
        <w:rPr>
          <w:i/>
          <w:sz w:val="23"/>
        </w:rPr>
        <w:t>produce</w:t>
      </w:r>
      <w:r>
        <w:rPr>
          <w:i/>
          <w:spacing w:val="-8"/>
          <w:sz w:val="23"/>
        </w:rPr>
        <w:t> </w:t>
      </w:r>
      <w:r>
        <w:rPr>
          <w:i/>
          <w:sz w:val="23"/>
        </w:rPr>
        <w:t>cuando</w:t>
      </w:r>
      <w:r>
        <w:rPr>
          <w:i/>
          <w:spacing w:val="-7"/>
          <w:sz w:val="23"/>
        </w:rPr>
        <w:t> </w:t>
      </w:r>
      <w:r>
        <w:rPr>
          <w:i/>
          <w:sz w:val="23"/>
        </w:rPr>
        <w:t>no</w:t>
      </w:r>
      <w:r>
        <w:rPr>
          <w:i/>
          <w:spacing w:val="-7"/>
          <w:sz w:val="23"/>
        </w:rPr>
        <w:t> </w:t>
      </w:r>
      <w:r>
        <w:rPr>
          <w:i/>
          <w:sz w:val="23"/>
        </w:rPr>
        <w:t>se</w:t>
      </w:r>
      <w:r>
        <w:rPr>
          <w:i/>
          <w:spacing w:val="-10"/>
          <w:sz w:val="23"/>
        </w:rPr>
        <w:t> </w:t>
      </w:r>
      <w:r>
        <w:rPr>
          <w:i/>
          <w:sz w:val="23"/>
        </w:rPr>
        <w:t>realicen</w:t>
      </w:r>
      <w:r>
        <w:rPr>
          <w:i/>
          <w:spacing w:val="-7"/>
          <w:sz w:val="23"/>
        </w:rPr>
        <w:t> </w:t>
      </w:r>
      <w:r>
        <w:rPr>
          <w:i/>
          <w:sz w:val="23"/>
        </w:rPr>
        <w:t>pagos</w:t>
      </w:r>
      <w:r>
        <w:rPr>
          <w:i/>
          <w:spacing w:val="-7"/>
          <w:sz w:val="23"/>
        </w:rPr>
        <w:t> </w:t>
      </w:r>
      <w:r>
        <w:rPr>
          <w:i/>
          <w:sz w:val="23"/>
        </w:rPr>
        <w:t>parciales</w:t>
      </w:r>
      <w:r>
        <w:rPr>
          <w:i/>
          <w:spacing w:val="-7"/>
          <w:sz w:val="23"/>
        </w:rPr>
        <w:t> </w:t>
      </w:r>
      <w:r>
        <w:rPr>
          <w:i/>
          <w:sz w:val="23"/>
        </w:rPr>
        <w:t>conforme</w:t>
      </w:r>
      <w:r>
        <w:rPr>
          <w:i/>
          <w:spacing w:val="-5"/>
          <w:sz w:val="23"/>
        </w:rPr>
        <w:t> </w:t>
      </w:r>
      <w:r>
        <w:rPr>
          <w:i/>
          <w:sz w:val="23"/>
        </w:rPr>
        <w:t>al</w:t>
      </w:r>
      <w:r>
        <w:rPr>
          <w:i/>
          <w:spacing w:val="-8"/>
          <w:sz w:val="23"/>
        </w:rPr>
        <w:t> </w:t>
      </w:r>
      <w:r>
        <w:rPr>
          <w:i/>
          <w:sz w:val="23"/>
        </w:rPr>
        <w:t>artículo</w:t>
      </w:r>
      <w:r>
        <w:rPr>
          <w:i/>
          <w:spacing w:val="-7"/>
          <w:sz w:val="23"/>
        </w:rPr>
        <w:t> </w:t>
      </w:r>
      <w:r>
        <w:rPr>
          <w:i/>
          <w:sz w:val="23"/>
        </w:rPr>
        <w:t>22</w:t>
      </w:r>
      <w:r>
        <w:rPr>
          <w:i/>
          <w:spacing w:val="-8"/>
          <w:sz w:val="23"/>
        </w:rPr>
        <w:t> </w:t>
      </w:r>
      <w:r>
        <w:rPr>
          <w:i/>
          <w:sz w:val="23"/>
        </w:rPr>
        <w:t>de</w:t>
      </w:r>
      <w:r>
        <w:rPr>
          <w:i/>
          <w:spacing w:val="-8"/>
          <w:sz w:val="23"/>
        </w:rPr>
        <w:t> </w:t>
      </w:r>
      <w:r>
        <w:rPr>
          <w:i/>
          <w:sz w:val="23"/>
        </w:rPr>
        <w:t>la</w:t>
      </w:r>
      <w:r>
        <w:rPr>
          <w:i/>
          <w:spacing w:val="-8"/>
          <w:sz w:val="23"/>
        </w:rPr>
        <w:t> </w:t>
      </w:r>
      <w:r>
        <w:rPr>
          <w:i/>
          <w:sz w:val="23"/>
        </w:rPr>
        <w:t>Ley</w:t>
      </w:r>
      <w:r>
        <w:rPr>
          <w:i/>
          <w:spacing w:val="-8"/>
          <w:sz w:val="23"/>
        </w:rPr>
        <w:t> </w:t>
      </w:r>
      <w:r>
        <w:rPr>
          <w:i/>
          <w:sz w:val="23"/>
        </w:rPr>
        <w:t>N.º </w:t>
      </w:r>
      <w:r>
        <w:rPr>
          <w:i/>
          <w:spacing w:val="-4"/>
          <w:sz w:val="23"/>
        </w:rPr>
        <w:t>7092,</w:t>
      </w:r>
      <w:r>
        <w:rPr>
          <w:i/>
          <w:spacing w:val="-11"/>
          <w:sz w:val="23"/>
        </w:rPr>
        <w:t> </w:t>
      </w:r>
      <w:r>
        <w:rPr>
          <w:i/>
          <w:spacing w:val="-4"/>
          <w:sz w:val="23"/>
        </w:rPr>
        <w:t>Ley</w:t>
      </w:r>
      <w:r>
        <w:rPr>
          <w:i/>
          <w:spacing w:val="-10"/>
          <w:sz w:val="23"/>
        </w:rPr>
        <w:t> </w:t>
      </w:r>
      <w:r>
        <w:rPr>
          <w:i/>
          <w:spacing w:val="-4"/>
          <w:sz w:val="23"/>
        </w:rPr>
        <w:t>de</w:t>
      </w:r>
      <w:r>
        <w:rPr>
          <w:i/>
          <w:spacing w:val="-11"/>
          <w:sz w:val="23"/>
        </w:rPr>
        <w:t> </w:t>
      </w:r>
      <w:r>
        <w:rPr>
          <w:i/>
          <w:spacing w:val="-4"/>
          <w:sz w:val="23"/>
        </w:rPr>
        <w:t>Impuesto</w:t>
      </w:r>
      <w:r>
        <w:rPr>
          <w:i/>
          <w:spacing w:val="-10"/>
          <w:sz w:val="23"/>
        </w:rPr>
        <w:t> </w:t>
      </w:r>
      <w:r>
        <w:rPr>
          <w:i/>
          <w:spacing w:val="-4"/>
          <w:sz w:val="23"/>
        </w:rPr>
        <w:t>sobre</w:t>
      </w:r>
      <w:r>
        <w:rPr>
          <w:i/>
          <w:spacing w:val="-10"/>
          <w:sz w:val="23"/>
        </w:rPr>
        <w:t> </w:t>
      </w:r>
      <w:r>
        <w:rPr>
          <w:i/>
          <w:spacing w:val="-4"/>
          <w:sz w:val="23"/>
        </w:rPr>
        <w:t>la</w:t>
      </w:r>
      <w:r>
        <w:rPr>
          <w:i/>
          <w:spacing w:val="-11"/>
          <w:sz w:val="23"/>
        </w:rPr>
        <w:t> </w:t>
      </w:r>
      <w:r>
        <w:rPr>
          <w:i/>
          <w:spacing w:val="-4"/>
          <w:sz w:val="23"/>
        </w:rPr>
        <w:t>Renta,</w:t>
      </w:r>
      <w:r>
        <w:rPr>
          <w:i/>
          <w:spacing w:val="-10"/>
          <w:sz w:val="23"/>
        </w:rPr>
        <w:t> </w:t>
      </w:r>
      <w:r>
        <w:rPr>
          <w:i/>
          <w:spacing w:val="-4"/>
          <w:sz w:val="23"/>
        </w:rPr>
        <w:t>de</w:t>
      </w:r>
      <w:r>
        <w:rPr>
          <w:i/>
          <w:spacing w:val="-10"/>
          <w:sz w:val="23"/>
        </w:rPr>
        <w:t> </w:t>
      </w:r>
      <w:r>
        <w:rPr>
          <w:i/>
          <w:spacing w:val="-4"/>
          <w:sz w:val="23"/>
        </w:rPr>
        <w:t>21</w:t>
      </w:r>
      <w:r>
        <w:rPr>
          <w:i/>
          <w:spacing w:val="-11"/>
          <w:sz w:val="23"/>
        </w:rPr>
        <w:t> </w:t>
      </w:r>
      <w:r>
        <w:rPr>
          <w:i/>
          <w:spacing w:val="-4"/>
          <w:sz w:val="23"/>
        </w:rPr>
        <w:t>de</w:t>
      </w:r>
      <w:r>
        <w:rPr>
          <w:i/>
          <w:spacing w:val="-10"/>
          <w:sz w:val="23"/>
        </w:rPr>
        <w:t> </w:t>
      </w:r>
      <w:r>
        <w:rPr>
          <w:i/>
          <w:spacing w:val="-4"/>
          <w:sz w:val="23"/>
        </w:rPr>
        <w:t>abril</w:t>
      </w:r>
      <w:r>
        <w:rPr>
          <w:i/>
          <w:spacing w:val="-11"/>
          <w:sz w:val="23"/>
        </w:rPr>
        <w:t> </w:t>
      </w:r>
      <w:r>
        <w:rPr>
          <w:i/>
          <w:spacing w:val="-4"/>
          <w:sz w:val="23"/>
        </w:rPr>
        <w:t>de</w:t>
      </w:r>
      <w:r>
        <w:rPr>
          <w:i/>
          <w:spacing w:val="-10"/>
          <w:sz w:val="23"/>
        </w:rPr>
        <w:t> </w:t>
      </w:r>
      <w:r>
        <w:rPr>
          <w:i/>
          <w:spacing w:val="-4"/>
          <w:sz w:val="23"/>
        </w:rPr>
        <w:t>1988,</w:t>
      </w:r>
      <w:r>
        <w:rPr>
          <w:i/>
          <w:spacing w:val="-10"/>
          <w:sz w:val="23"/>
        </w:rPr>
        <w:t> </w:t>
      </w:r>
      <w:r>
        <w:rPr>
          <w:i/>
          <w:spacing w:val="-4"/>
          <w:sz w:val="23"/>
        </w:rPr>
        <w:t>y</w:t>
      </w:r>
      <w:r>
        <w:rPr>
          <w:i/>
          <w:spacing w:val="-11"/>
          <w:sz w:val="23"/>
        </w:rPr>
        <w:t> </w:t>
      </w:r>
      <w:r>
        <w:rPr>
          <w:i/>
          <w:spacing w:val="-4"/>
          <w:sz w:val="23"/>
        </w:rPr>
        <w:t>sus</w:t>
      </w:r>
      <w:r>
        <w:rPr>
          <w:i/>
          <w:spacing w:val="-10"/>
          <w:sz w:val="23"/>
        </w:rPr>
        <w:t> </w:t>
      </w:r>
      <w:r>
        <w:rPr>
          <w:i/>
          <w:spacing w:val="-4"/>
          <w:sz w:val="23"/>
        </w:rPr>
        <w:t>reformas.</w:t>
      </w:r>
      <w:r>
        <w:rPr>
          <w:i/>
          <w:spacing w:val="-10"/>
          <w:sz w:val="23"/>
        </w:rPr>
        <w:t> </w:t>
      </w:r>
      <w:r>
        <w:rPr>
          <w:i/>
          <w:spacing w:val="-4"/>
          <w:sz w:val="23"/>
        </w:rPr>
        <w:t>Mediante</w:t>
      </w:r>
      <w:r>
        <w:rPr>
          <w:i/>
          <w:spacing w:val="-11"/>
          <w:sz w:val="23"/>
        </w:rPr>
        <w:t> </w:t>
      </w:r>
      <w:r>
        <w:rPr>
          <w:i/>
          <w:spacing w:val="-4"/>
          <w:sz w:val="23"/>
        </w:rPr>
        <w:t>resolución, </w:t>
      </w:r>
      <w:r>
        <w:rPr>
          <w:i/>
          <w:sz w:val="23"/>
        </w:rPr>
        <w:t>la</w:t>
      </w:r>
      <w:r>
        <w:rPr>
          <w:i/>
          <w:spacing w:val="-6"/>
          <w:sz w:val="23"/>
        </w:rPr>
        <w:t> </w:t>
      </w:r>
      <w:r>
        <w:rPr>
          <w:i/>
          <w:sz w:val="23"/>
        </w:rPr>
        <w:t>Administración</w:t>
      </w:r>
      <w:r>
        <w:rPr>
          <w:i/>
          <w:spacing w:val="-5"/>
          <w:sz w:val="23"/>
        </w:rPr>
        <w:t> </w:t>
      </w:r>
      <w:r>
        <w:rPr>
          <w:i/>
          <w:sz w:val="23"/>
        </w:rPr>
        <w:t>Tributaria</w:t>
      </w:r>
      <w:r>
        <w:rPr>
          <w:i/>
          <w:spacing w:val="-6"/>
          <w:sz w:val="23"/>
        </w:rPr>
        <w:t> </w:t>
      </w:r>
      <w:r>
        <w:rPr>
          <w:i/>
          <w:sz w:val="23"/>
        </w:rPr>
        <w:t>fijará</w:t>
      </w:r>
      <w:r>
        <w:rPr>
          <w:i/>
          <w:spacing w:val="-6"/>
          <w:sz w:val="23"/>
        </w:rPr>
        <w:t> </w:t>
      </w:r>
      <w:r>
        <w:rPr>
          <w:i/>
          <w:sz w:val="23"/>
        </w:rPr>
        <w:t>la</w:t>
      </w:r>
      <w:r>
        <w:rPr>
          <w:i/>
          <w:spacing w:val="-6"/>
          <w:sz w:val="23"/>
        </w:rPr>
        <w:t> </w:t>
      </w:r>
      <w:r>
        <w:rPr>
          <w:i/>
          <w:sz w:val="23"/>
        </w:rPr>
        <w:t>tasa</w:t>
      </w:r>
      <w:r>
        <w:rPr>
          <w:i/>
          <w:spacing w:val="-6"/>
          <w:sz w:val="23"/>
        </w:rPr>
        <w:t> </w:t>
      </w:r>
      <w:r>
        <w:rPr>
          <w:i/>
          <w:sz w:val="23"/>
        </w:rPr>
        <w:t>del</w:t>
      </w:r>
      <w:r>
        <w:rPr>
          <w:i/>
          <w:spacing w:val="-6"/>
          <w:sz w:val="23"/>
        </w:rPr>
        <w:t> </w:t>
      </w:r>
      <w:r>
        <w:rPr>
          <w:i/>
          <w:sz w:val="23"/>
        </w:rPr>
        <w:t>interés,</w:t>
      </w:r>
      <w:r>
        <w:rPr>
          <w:i/>
          <w:spacing w:val="-5"/>
          <w:sz w:val="23"/>
        </w:rPr>
        <w:t> </w:t>
      </w:r>
      <w:r>
        <w:rPr>
          <w:i/>
          <w:sz w:val="23"/>
        </w:rPr>
        <w:t>la</w:t>
      </w:r>
      <w:r>
        <w:rPr>
          <w:i/>
          <w:spacing w:val="-6"/>
          <w:sz w:val="23"/>
        </w:rPr>
        <w:t> </w:t>
      </w:r>
      <w:r>
        <w:rPr>
          <w:i/>
          <w:sz w:val="23"/>
        </w:rPr>
        <w:t>cual</w:t>
      </w:r>
      <w:r>
        <w:rPr>
          <w:i/>
          <w:spacing w:val="-6"/>
          <w:sz w:val="23"/>
        </w:rPr>
        <w:t> </w:t>
      </w:r>
      <w:r>
        <w:rPr>
          <w:i/>
          <w:sz w:val="23"/>
        </w:rPr>
        <w:t>deberá</w:t>
      </w:r>
      <w:r>
        <w:rPr>
          <w:i/>
          <w:spacing w:val="-6"/>
          <w:sz w:val="23"/>
        </w:rPr>
        <w:t> </w:t>
      </w:r>
      <w:r>
        <w:rPr>
          <w:i/>
          <w:sz w:val="23"/>
        </w:rPr>
        <w:t>ser</w:t>
      </w:r>
      <w:r>
        <w:rPr>
          <w:i/>
          <w:spacing w:val="-5"/>
          <w:sz w:val="23"/>
        </w:rPr>
        <w:t> </w:t>
      </w:r>
      <w:r>
        <w:rPr>
          <w:i/>
          <w:sz w:val="23"/>
        </w:rPr>
        <w:t>equivalente</w:t>
      </w:r>
      <w:r>
        <w:rPr>
          <w:i/>
          <w:spacing w:val="-6"/>
          <w:sz w:val="23"/>
        </w:rPr>
        <w:t> </w:t>
      </w:r>
      <w:r>
        <w:rPr>
          <w:i/>
          <w:sz w:val="23"/>
        </w:rPr>
        <w:t>al</w:t>
      </w:r>
      <w:r>
        <w:rPr>
          <w:i/>
          <w:spacing w:val="-6"/>
          <w:sz w:val="23"/>
        </w:rPr>
        <w:t> </w:t>
      </w:r>
      <w:r>
        <w:rPr>
          <w:i/>
          <w:sz w:val="23"/>
        </w:rPr>
        <w:t>promedio </w:t>
      </w:r>
      <w:r>
        <w:rPr>
          <w:i/>
          <w:spacing w:val="-6"/>
          <w:sz w:val="23"/>
        </w:rPr>
        <w:t>simple de las tasas activas de</w:t>
      </w:r>
      <w:r>
        <w:rPr>
          <w:i/>
          <w:spacing w:val="-8"/>
          <w:sz w:val="23"/>
        </w:rPr>
        <w:t> </w:t>
      </w:r>
      <w:r>
        <w:rPr>
          <w:i/>
          <w:spacing w:val="-6"/>
          <w:sz w:val="23"/>
        </w:rPr>
        <w:t>los bancos estatales para créditos del sector comercial y, en ningún caso, no podrá exceder en más de</w:t>
      </w:r>
      <w:r>
        <w:rPr>
          <w:i/>
          <w:spacing w:val="-9"/>
          <w:sz w:val="23"/>
        </w:rPr>
        <w:t> </w:t>
      </w:r>
      <w:r>
        <w:rPr>
          <w:i/>
          <w:spacing w:val="-6"/>
          <w:sz w:val="23"/>
        </w:rPr>
        <w:t>diez puntos de la tasa básica pasiva fijada por el Banco Central de Costa </w:t>
      </w:r>
      <w:r>
        <w:rPr>
          <w:i/>
          <w:spacing w:val="-2"/>
          <w:sz w:val="23"/>
        </w:rPr>
        <w:t>Rica</w:t>
      </w:r>
      <w:r>
        <w:rPr>
          <w:spacing w:val="-2"/>
          <w:sz w:val="22"/>
        </w:rPr>
        <w:t>.”</w:t>
      </w:r>
    </w:p>
    <w:p>
      <w:pPr>
        <w:pStyle w:val="BodyText"/>
        <w:spacing w:before="21"/>
        <w:rPr>
          <w:sz w:val="23"/>
        </w:rPr>
      </w:pPr>
    </w:p>
    <w:p>
      <w:pPr>
        <w:pStyle w:val="BodyText"/>
        <w:spacing w:line="259" w:lineRule="auto"/>
        <w:ind w:left="734" w:right="1091"/>
        <w:jc w:val="both"/>
      </w:pPr>
      <w:r>
        <w:rPr/>
        <w:t>En síntesis, la Administración Tributaria del IMAS para el cálculo de intereses en deudas de Impuesto de Moteles emplea la tasa que establece Hacienda de forma semestral indicada en el artículo anterior del Código de Normas y Procedimientos Tributarios.</w:t>
      </w:r>
    </w:p>
    <w:p>
      <w:pPr>
        <w:pStyle w:val="BodyText"/>
        <w:spacing w:before="20"/>
      </w:pPr>
    </w:p>
    <w:p>
      <w:pPr>
        <w:pStyle w:val="BodyText"/>
        <w:spacing w:line="259" w:lineRule="auto" w:before="1"/>
        <w:ind w:left="734" w:right="1093"/>
        <w:jc w:val="both"/>
      </w:pPr>
      <w:r>
        <w:rPr/>
        <w:t>Actualmente estos intereses que menciona la Ley 9326 y el Código de Normas y Procedimientos Tributarios,</w:t>
      </w:r>
      <w:r>
        <w:rPr>
          <w:spacing w:val="-13"/>
        </w:rPr>
        <w:t> </w:t>
      </w:r>
      <w:r>
        <w:rPr/>
        <w:t>se</w:t>
      </w:r>
      <w:r>
        <w:rPr>
          <w:spacing w:val="-12"/>
        </w:rPr>
        <w:t> </w:t>
      </w:r>
      <w:r>
        <w:rPr/>
        <w:t>registran</w:t>
      </w:r>
      <w:r>
        <w:rPr>
          <w:spacing w:val="-10"/>
        </w:rPr>
        <w:t> </w:t>
      </w:r>
      <w:r>
        <w:rPr/>
        <w:t>en</w:t>
      </w:r>
      <w:r>
        <w:rPr>
          <w:spacing w:val="-10"/>
        </w:rPr>
        <w:t> </w:t>
      </w:r>
      <w:r>
        <w:rPr/>
        <w:t>la</w:t>
      </w:r>
      <w:r>
        <w:rPr>
          <w:spacing w:val="-12"/>
        </w:rPr>
        <w:t> </w:t>
      </w:r>
      <w:r>
        <w:rPr/>
        <w:t>cuenta</w:t>
      </w:r>
      <w:r>
        <w:rPr>
          <w:spacing w:val="-11"/>
        </w:rPr>
        <w:t> </w:t>
      </w:r>
      <w:r>
        <w:rPr/>
        <w:t>4.1.3.02</w:t>
      </w:r>
      <w:r>
        <w:rPr>
          <w:spacing w:val="-12"/>
        </w:rPr>
        <w:t> </w:t>
      </w:r>
      <w:r>
        <w:rPr/>
        <w:t>llamados</w:t>
      </w:r>
      <w:r>
        <w:rPr>
          <w:spacing w:val="-9"/>
        </w:rPr>
        <w:t> </w:t>
      </w:r>
      <w:r>
        <w:rPr/>
        <w:t>“Recargos</w:t>
      </w:r>
      <w:r>
        <w:rPr>
          <w:spacing w:val="-10"/>
        </w:rPr>
        <w:t> </w:t>
      </w:r>
      <w:r>
        <w:rPr/>
        <w:t>Moratorios</w:t>
      </w:r>
      <w:r>
        <w:rPr>
          <w:spacing w:val="-10"/>
        </w:rPr>
        <w:t> </w:t>
      </w:r>
      <w:r>
        <w:rPr/>
        <w:t>Impuestos</w:t>
      </w:r>
      <w:r>
        <w:rPr>
          <w:spacing w:val="-10"/>
        </w:rPr>
        <w:t> </w:t>
      </w:r>
      <w:r>
        <w:rPr/>
        <w:t>Específicos a los Servicios de Hospedaje.</w:t>
      </w:r>
    </w:p>
    <w:p>
      <w:pPr>
        <w:pStyle w:val="BodyText"/>
        <w:spacing w:before="18"/>
      </w:pPr>
    </w:p>
    <w:p>
      <w:pPr>
        <w:spacing w:line="259" w:lineRule="auto" w:before="0"/>
        <w:ind w:left="734" w:right="1089" w:firstLine="0"/>
        <w:jc w:val="both"/>
        <w:rPr>
          <w:sz w:val="22"/>
        </w:rPr>
      </w:pPr>
      <w:r>
        <w:rPr>
          <w:b/>
          <w:sz w:val="22"/>
        </w:rPr>
        <w:t>La</w:t>
      </w:r>
      <w:r>
        <w:rPr>
          <w:b/>
          <w:spacing w:val="-7"/>
          <w:sz w:val="22"/>
        </w:rPr>
        <w:t> </w:t>
      </w:r>
      <w:r>
        <w:rPr>
          <w:b/>
          <w:sz w:val="22"/>
        </w:rPr>
        <w:t>cuenta</w:t>
      </w:r>
      <w:r>
        <w:rPr>
          <w:b/>
          <w:spacing w:val="-9"/>
          <w:sz w:val="22"/>
        </w:rPr>
        <w:t> </w:t>
      </w:r>
      <w:r>
        <w:rPr>
          <w:b/>
          <w:sz w:val="22"/>
        </w:rPr>
        <w:t>contribuciones</w:t>
      </w:r>
      <w:r>
        <w:rPr>
          <w:b/>
          <w:spacing w:val="-10"/>
          <w:sz w:val="22"/>
        </w:rPr>
        <w:t> </w:t>
      </w:r>
      <w:r>
        <w:rPr>
          <w:b/>
          <w:sz w:val="22"/>
        </w:rPr>
        <w:t>sociales</w:t>
      </w:r>
      <w:r>
        <w:rPr>
          <w:b/>
          <w:spacing w:val="-7"/>
          <w:sz w:val="22"/>
        </w:rPr>
        <w:t> </w:t>
      </w:r>
      <w:r>
        <w:rPr>
          <w:b/>
          <w:sz w:val="22"/>
        </w:rPr>
        <w:t>por</w:t>
      </w:r>
      <w:r>
        <w:rPr>
          <w:b/>
          <w:spacing w:val="-9"/>
          <w:sz w:val="22"/>
        </w:rPr>
        <w:t> </w:t>
      </w:r>
      <w:r>
        <w:rPr>
          <w:b/>
          <w:sz w:val="22"/>
        </w:rPr>
        <w:t>cobrar</w:t>
      </w:r>
      <w:r>
        <w:rPr>
          <w:b/>
          <w:spacing w:val="-9"/>
          <w:sz w:val="22"/>
        </w:rPr>
        <w:t> </w:t>
      </w:r>
      <w:r>
        <w:rPr>
          <w:b/>
          <w:sz w:val="22"/>
        </w:rPr>
        <w:t>corresponde</w:t>
      </w:r>
      <w:r>
        <w:rPr>
          <w:b/>
          <w:spacing w:val="-8"/>
          <w:sz w:val="22"/>
        </w:rPr>
        <w:t> </w:t>
      </w:r>
      <w:r>
        <w:rPr>
          <w:b/>
          <w:sz w:val="22"/>
        </w:rPr>
        <w:t>al</w:t>
      </w:r>
      <w:r>
        <w:rPr>
          <w:b/>
          <w:spacing w:val="-9"/>
          <w:sz w:val="22"/>
        </w:rPr>
        <w:t> </w:t>
      </w:r>
      <w:r>
        <w:rPr>
          <w:b/>
          <w:sz w:val="22"/>
        </w:rPr>
        <w:t>cobro</w:t>
      </w:r>
      <w:r>
        <w:rPr>
          <w:b/>
          <w:spacing w:val="-8"/>
          <w:sz w:val="22"/>
        </w:rPr>
        <w:t> </w:t>
      </w:r>
      <w:r>
        <w:rPr>
          <w:b/>
          <w:sz w:val="22"/>
        </w:rPr>
        <w:t>de</w:t>
      </w:r>
      <w:r>
        <w:rPr>
          <w:b/>
          <w:spacing w:val="-8"/>
          <w:sz w:val="22"/>
        </w:rPr>
        <w:t> </w:t>
      </w:r>
      <w:r>
        <w:rPr>
          <w:b/>
          <w:sz w:val="22"/>
        </w:rPr>
        <w:t>las</w:t>
      </w:r>
      <w:r>
        <w:rPr>
          <w:b/>
          <w:spacing w:val="-8"/>
          <w:sz w:val="22"/>
        </w:rPr>
        <w:t> </w:t>
      </w:r>
      <w:r>
        <w:rPr>
          <w:b/>
          <w:sz w:val="22"/>
        </w:rPr>
        <w:t>leyes</w:t>
      </w:r>
      <w:r>
        <w:rPr>
          <w:b/>
          <w:spacing w:val="-8"/>
          <w:sz w:val="22"/>
        </w:rPr>
        <w:t> </w:t>
      </w:r>
      <w:r>
        <w:rPr>
          <w:b/>
          <w:sz w:val="22"/>
        </w:rPr>
        <w:t>Ley</w:t>
      </w:r>
      <w:r>
        <w:rPr>
          <w:b/>
          <w:spacing w:val="-12"/>
          <w:sz w:val="22"/>
        </w:rPr>
        <w:t> </w:t>
      </w:r>
      <w:r>
        <w:rPr>
          <w:b/>
          <w:sz w:val="22"/>
        </w:rPr>
        <w:t>4760</w:t>
      </w:r>
      <w:r>
        <w:rPr>
          <w:b/>
          <w:spacing w:val="-8"/>
          <w:sz w:val="22"/>
        </w:rPr>
        <w:t> </w:t>
      </w:r>
      <w:r>
        <w:rPr>
          <w:b/>
          <w:sz w:val="22"/>
        </w:rPr>
        <w:t>y</w:t>
      </w:r>
      <w:r>
        <w:rPr>
          <w:b/>
          <w:spacing w:val="-10"/>
          <w:sz w:val="22"/>
        </w:rPr>
        <w:t> </w:t>
      </w:r>
      <w:r>
        <w:rPr>
          <w:b/>
          <w:sz w:val="22"/>
        </w:rPr>
        <w:t>Ley</w:t>
      </w:r>
      <w:r>
        <w:rPr>
          <w:b/>
          <w:spacing w:val="-10"/>
          <w:sz w:val="22"/>
        </w:rPr>
        <w:t> </w:t>
      </w:r>
      <w:r>
        <w:rPr>
          <w:b/>
          <w:sz w:val="22"/>
        </w:rPr>
        <w:t>6443 indicadas anteriormente</w:t>
      </w:r>
      <w:r>
        <w:rPr>
          <w:sz w:val="22"/>
        </w:rPr>
        <w:t>,</w:t>
      </w:r>
      <w:r>
        <w:rPr>
          <w:spacing w:val="-3"/>
          <w:sz w:val="22"/>
        </w:rPr>
        <w:t> </w:t>
      </w:r>
      <w:r>
        <w:rPr>
          <w:sz w:val="22"/>
        </w:rPr>
        <w:t>dicha</w:t>
      </w:r>
      <w:r>
        <w:rPr>
          <w:spacing w:val="-2"/>
          <w:sz w:val="22"/>
        </w:rPr>
        <w:t> </w:t>
      </w:r>
      <w:r>
        <w:rPr>
          <w:sz w:val="22"/>
        </w:rPr>
        <w:t>cuenta</w:t>
      </w:r>
      <w:r>
        <w:rPr>
          <w:spacing w:val="-1"/>
          <w:sz w:val="22"/>
        </w:rPr>
        <w:t> </w:t>
      </w:r>
      <w:r>
        <w:rPr>
          <w:sz w:val="22"/>
        </w:rPr>
        <w:t>presenta</w:t>
      </w:r>
      <w:r>
        <w:rPr>
          <w:spacing w:val="-1"/>
          <w:sz w:val="22"/>
        </w:rPr>
        <w:t> </w:t>
      </w:r>
      <w:r>
        <w:rPr>
          <w:sz w:val="22"/>
        </w:rPr>
        <w:t>un</w:t>
      </w:r>
      <w:r>
        <w:rPr>
          <w:spacing w:val="-3"/>
          <w:sz w:val="22"/>
        </w:rPr>
        <w:t> </w:t>
      </w:r>
      <w:r>
        <w:rPr>
          <w:sz w:val="22"/>
        </w:rPr>
        <w:t>aumento del 4,46%</w:t>
      </w:r>
      <w:r>
        <w:rPr>
          <w:spacing w:val="-1"/>
          <w:sz w:val="22"/>
        </w:rPr>
        <w:t> </w:t>
      </w:r>
      <w:r>
        <w:rPr>
          <w:sz w:val="22"/>
        </w:rPr>
        <w:t>con</w:t>
      </w:r>
      <w:r>
        <w:rPr>
          <w:spacing w:val="-1"/>
          <w:sz w:val="22"/>
        </w:rPr>
        <w:t> </w:t>
      </w:r>
      <w:r>
        <w:rPr>
          <w:sz w:val="22"/>
        </w:rPr>
        <w:t>respecto al</w:t>
      </w:r>
      <w:r>
        <w:rPr>
          <w:spacing w:val="-2"/>
          <w:sz w:val="22"/>
        </w:rPr>
        <w:t> </w:t>
      </w:r>
      <w:r>
        <w:rPr>
          <w:sz w:val="22"/>
        </w:rPr>
        <w:t>año</w:t>
      </w:r>
      <w:r>
        <w:rPr>
          <w:spacing w:val="-2"/>
          <w:sz w:val="22"/>
        </w:rPr>
        <w:t> </w:t>
      </w:r>
      <w:r>
        <w:rPr>
          <w:sz w:val="22"/>
        </w:rPr>
        <w:t>anterior producto del aumento en la facturación de la CCSS versus la recaudación general.</w:t>
      </w:r>
    </w:p>
    <w:p>
      <w:pPr>
        <w:pStyle w:val="BodyText"/>
        <w:spacing w:line="250" w:lineRule="exact"/>
        <w:ind w:left="734"/>
        <w:jc w:val="both"/>
      </w:pPr>
      <w:r>
        <w:rPr/>
        <w:t>El</w:t>
      </w:r>
      <w:r>
        <w:rPr>
          <w:spacing w:val="-6"/>
        </w:rPr>
        <w:t> </w:t>
      </w:r>
      <w:r>
        <w:rPr/>
        <w:t>saldo</w:t>
      </w:r>
      <w:r>
        <w:rPr>
          <w:spacing w:val="-3"/>
        </w:rPr>
        <w:t> </w:t>
      </w:r>
      <w:r>
        <w:rPr/>
        <w:t>mostrado</w:t>
      </w:r>
      <w:r>
        <w:rPr>
          <w:spacing w:val="-4"/>
        </w:rPr>
        <w:t> </w:t>
      </w:r>
      <w:r>
        <w:rPr/>
        <w:t>corresponde</w:t>
      </w:r>
      <w:r>
        <w:rPr>
          <w:spacing w:val="-5"/>
        </w:rPr>
        <w:t> </w:t>
      </w:r>
      <w:r>
        <w:rPr/>
        <w:t>a</w:t>
      </w:r>
      <w:r>
        <w:rPr>
          <w:spacing w:val="-5"/>
        </w:rPr>
        <w:t> </w:t>
      </w:r>
      <w:r>
        <w:rPr/>
        <w:t>la</w:t>
      </w:r>
      <w:r>
        <w:rPr>
          <w:spacing w:val="-5"/>
        </w:rPr>
        <w:t> </w:t>
      </w:r>
      <w:r>
        <w:rPr/>
        <w:t>totalidad</w:t>
      </w:r>
      <w:r>
        <w:rPr>
          <w:spacing w:val="-3"/>
        </w:rPr>
        <w:t> </w:t>
      </w:r>
      <w:r>
        <w:rPr/>
        <w:t>de</w:t>
      </w:r>
      <w:r>
        <w:rPr>
          <w:spacing w:val="-5"/>
        </w:rPr>
        <w:t> </w:t>
      </w:r>
      <w:r>
        <w:rPr/>
        <w:t>patronos</w:t>
      </w:r>
      <w:r>
        <w:rPr>
          <w:spacing w:val="-5"/>
        </w:rPr>
        <w:t> </w:t>
      </w:r>
      <w:r>
        <w:rPr/>
        <w:t>morosos</w:t>
      </w:r>
      <w:r>
        <w:rPr>
          <w:spacing w:val="-3"/>
        </w:rPr>
        <w:t> </w:t>
      </w:r>
      <w:r>
        <w:rPr/>
        <w:t>con</w:t>
      </w:r>
      <w:r>
        <w:rPr>
          <w:spacing w:val="-3"/>
        </w:rPr>
        <w:t> </w:t>
      </w:r>
      <w:r>
        <w:rPr/>
        <w:t>el</w:t>
      </w:r>
      <w:r>
        <w:rPr>
          <w:spacing w:val="-3"/>
        </w:rPr>
        <w:t> </w:t>
      </w:r>
      <w:r>
        <w:rPr>
          <w:spacing w:val="-2"/>
        </w:rPr>
        <w:t>I.M.A.S.</w:t>
      </w:r>
    </w:p>
    <w:p>
      <w:pPr>
        <w:pStyle w:val="BodyText"/>
        <w:spacing w:before="21"/>
      </w:pPr>
    </w:p>
    <w:p>
      <w:pPr>
        <w:pStyle w:val="BodyText"/>
        <w:ind w:left="734"/>
      </w:pPr>
      <w:r>
        <w:rPr>
          <w:spacing w:val="-2"/>
        </w:rPr>
        <w:t>Normativa:</w:t>
      </w:r>
    </w:p>
    <w:p>
      <w:pPr>
        <w:pStyle w:val="BodyText"/>
        <w:spacing w:before="21"/>
        <w:ind w:left="734"/>
      </w:pPr>
      <w:r>
        <w:rPr/>
        <w:t>La</w:t>
      </w:r>
      <w:r>
        <w:rPr>
          <w:spacing w:val="-6"/>
        </w:rPr>
        <w:t> </w:t>
      </w:r>
      <w:r>
        <w:rPr/>
        <w:t>Ley</w:t>
      </w:r>
      <w:r>
        <w:rPr>
          <w:spacing w:val="-4"/>
        </w:rPr>
        <w:t> </w:t>
      </w:r>
      <w:r>
        <w:rPr/>
        <w:t>de</w:t>
      </w:r>
      <w:r>
        <w:rPr>
          <w:spacing w:val="-4"/>
        </w:rPr>
        <w:t> </w:t>
      </w:r>
      <w:r>
        <w:rPr/>
        <w:t>Creación</w:t>
      </w:r>
      <w:r>
        <w:rPr>
          <w:spacing w:val="-3"/>
        </w:rPr>
        <w:t> </w:t>
      </w:r>
      <w:r>
        <w:rPr/>
        <w:t>del</w:t>
      </w:r>
      <w:r>
        <w:rPr>
          <w:spacing w:val="-2"/>
        </w:rPr>
        <w:t> </w:t>
      </w:r>
      <w:r>
        <w:rPr/>
        <w:t>Instituto</w:t>
      </w:r>
      <w:r>
        <w:rPr>
          <w:spacing w:val="-3"/>
        </w:rPr>
        <w:t> </w:t>
      </w:r>
      <w:r>
        <w:rPr/>
        <w:t>Mixto</w:t>
      </w:r>
      <w:r>
        <w:rPr>
          <w:spacing w:val="-2"/>
        </w:rPr>
        <w:t> </w:t>
      </w:r>
      <w:r>
        <w:rPr/>
        <w:t>de</w:t>
      </w:r>
      <w:r>
        <w:rPr>
          <w:spacing w:val="-5"/>
        </w:rPr>
        <w:t> </w:t>
      </w:r>
      <w:r>
        <w:rPr/>
        <w:t>Ayuda</w:t>
      </w:r>
      <w:r>
        <w:rPr>
          <w:spacing w:val="-6"/>
        </w:rPr>
        <w:t> </w:t>
      </w:r>
      <w:r>
        <w:rPr/>
        <w:t>Social</w:t>
      </w:r>
      <w:r>
        <w:rPr>
          <w:spacing w:val="-3"/>
        </w:rPr>
        <w:t> </w:t>
      </w:r>
      <w:r>
        <w:rPr/>
        <w:t>(IMAS),</w:t>
      </w:r>
      <w:r>
        <w:rPr>
          <w:spacing w:val="-2"/>
        </w:rPr>
        <w:t> </w:t>
      </w:r>
      <w:r>
        <w:rPr/>
        <w:t>Ley</w:t>
      </w:r>
      <w:r>
        <w:rPr>
          <w:spacing w:val="-4"/>
        </w:rPr>
        <w:t> </w:t>
      </w:r>
      <w:r>
        <w:rPr/>
        <w:t>4760</w:t>
      </w:r>
      <w:r>
        <w:rPr>
          <w:spacing w:val="-4"/>
        </w:rPr>
        <w:t> </w:t>
      </w:r>
      <w:r>
        <w:rPr>
          <w:spacing w:val="-2"/>
        </w:rPr>
        <w:t>indica:</w:t>
      </w:r>
    </w:p>
    <w:p>
      <w:pPr>
        <w:spacing w:line="247" w:lineRule="auto" w:before="11"/>
        <w:ind w:left="734" w:right="1001" w:firstLine="0"/>
        <w:jc w:val="left"/>
        <w:rPr>
          <w:i/>
          <w:sz w:val="23"/>
        </w:rPr>
      </w:pPr>
      <w:r>
        <w:rPr>
          <w:i/>
          <w:spacing w:val="-4"/>
          <w:sz w:val="23"/>
        </w:rPr>
        <w:t>ARTICULO</w:t>
      </w:r>
      <w:r>
        <w:rPr>
          <w:i/>
          <w:spacing w:val="-9"/>
          <w:sz w:val="23"/>
        </w:rPr>
        <w:t> </w:t>
      </w:r>
      <w:r>
        <w:rPr>
          <w:i/>
          <w:spacing w:val="-4"/>
          <w:sz w:val="23"/>
        </w:rPr>
        <w:t>16.-</w:t>
      </w:r>
      <w:r>
        <w:rPr>
          <w:i/>
          <w:spacing w:val="-9"/>
          <w:sz w:val="23"/>
        </w:rPr>
        <w:t> </w:t>
      </w:r>
      <w:r>
        <w:rPr>
          <w:i/>
          <w:spacing w:val="-4"/>
          <w:sz w:val="23"/>
        </w:rPr>
        <w:t>La</w:t>
      </w:r>
      <w:r>
        <w:rPr>
          <w:i/>
          <w:spacing w:val="-10"/>
          <w:sz w:val="23"/>
        </w:rPr>
        <w:t> </w:t>
      </w:r>
      <w:r>
        <w:rPr>
          <w:i/>
          <w:spacing w:val="-4"/>
          <w:sz w:val="23"/>
        </w:rPr>
        <w:t>contribución</w:t>
      </w:r>
      <w:r>
        <w:rPr>
          <w:i/>
          <w:spacing w:val="-9"/>
          <w:sz w:val="23"/>
        </w:rPr>
        <w:t> </w:t>
      </w:r>
      <w:r>
        <w:rPr>
          <w:i/>
          <w:spacing w:val="-4"/>
          <w:sz w:val="23"/>
        </w:rPr>
        <w:t>establecida</w:t>
      </w:r>
      <w:r>
        <w:rPr>
          <w:i/>
          <w:spacing w:val="-10"/>
          <w:sz w:val="23"/>
        </w:rPr>
        <w:t> </w:t>
      </w:r>
      <w:r>
        <w:rPr>
          <w:i/>
          <w:spacing w:val="-4"/>
          <w:sz w:val="23"/>
        </w:rPr>
        <w:t>en</w:t>
      </w:r>
      <w:r>
        <w:rPr>
          <w:i/>
          <w:spacing w:val="-9"/>
          <w:sz w:val="23"/>
        </w:rPr>
        <w:t> </w:t>
      </w:r>
      <w:r>
        <w:rPr>
          <w:i/>
          <w:spacing w:val="-4"/>
          <w:sz w:val="23"/>
        </w:rPr>
        <w:t>el</w:t>
      </w:r>
      <w:r>
        <w:rPr>
          <w:i/>
          <w:spacing w:val="-10"/>
          <w:sz w:val="23"/>
        </w:rPr>
        <w:t> </w:t>
      </w:r>
      <w:r>
        <w:rPr>
          <w:i/>
          <w:spacing w:val="-4"/>
          <w:sz w:val="23"/>
        </w:rPr>
        <w:t>inciso</w:t>
      </w:r>
      <w:r>
        <w:rPr>
          <w:i/>
          <w:spacing w:val="-8"/>
          <w:sz w:val="23"/>
        </w:rPr>
        <w:t> </w:t>
      </w:r>
      <w:r>
        <w:rPr>
          <w:i/>
          <w:spacing w:val="-4"/>
          <w:sz w:val="23"/>
        </w:rPr>
        <w:t>a)</w:t>
      </w:r>
      <w:r>
        <w:rPr>
          <w:i/>
          <w:spacing w:val="-9"/>
          <w:sz w:val="23"/>
        </w:rPr>
        <w:t> </w:t>
      </w:r>
      <w:r>
        <w:rPr>
          <w:i/>
          <w:spacing w:val="-4"/>
          <w:sz w:val="23"/>
        </w:rPr>
        <w:t>del</w:t>
      </w:r>
      <w:r>
        <w:rPr>
          <w:i/>
          <w:spacing w:val="-10"/>
          <w:sz w:val="23"/>
        </w:rPr>
        <w:t> </w:t>
      </w:r>
      <w:r>
        <w:rPr>
          <w:i/>
          <w:spacing w:val="-4"/>
          <w:sz w:val="23"/>
        </w:rPr>
        <w:t>artículo</w:t>
      </w:r>
      <w:r>
        <w:rPr>
          <w:i/>
          <w:spacing w:val="-8"/>
          <w:sz w:val="23"/>
        </w:rPr>
        <w:t> </w:t>
      </w:r>
      <w:r>
        <w:rPr>
          <w:i/>
          <w:spacing w:val="-4"/>
          <w:sz w:val="23"/>
        </w:rPr>
        <w:t>14</w:t>
      </w:r>
      <w:r>
        <w:rPr>
          <w:i/>
          <w:spacing w:val="-10"/>
          <w:sz w:val="23"/>
        </w:rPr>
        <w:t> </w:t>
      </w:r>
      <w:r>
        <w:rPr>
          <w:i/>
          <w:spacing w:val="-4"/>
          <w:sz w:val="23"/>
        </w:rPr>
        <w:t>que</w:t>
      </w:r>
      <w:r>
        <w:rPr>
          <w:i/>
          <w:spacing w:val="-10"/>
          <w:sz w:val="23"/>
        </w:rPr>
        <w:t> </w:t>
      </w:r>
      <w:r>
        <w:rPr>
          <w:i/>
          <w:spacing w:val="-4"/>
          <w:sz w:val="23"/>
        </w:rPr>
        <w:t>no</w:t>
      </w:r>
      <w:r>
        <w:rPr>
          <w:i/>
          <w:spacing w:val="-11"/>
          <w:sz w:val="23"/>
        </w:rPr>
        <w:t> </w:t>
      </w:r>
      <w:r>
        <w:rPr>
          <w:i/>
          <w:spacing w:val="-4"/>
          <w:sz w:val="23"/>
        </w:rPr>
        <w:t>sea</w:t>
      </w:r>
      <w:r>
        <w:rPr>
          <w:i/>
          <w:spacing w:val="-9"/>
          <w:sz w:val="23"/>
        </w:rPr>
        <w:t> </w:t>
      </w:r>
      <w:r>
        <w:rPr>
          <w:i/>
          <w:spacing w:val="-4"/>
          <w:sz w:val="23"/>
        </w:rPr>
        <w:t>pagada</w:t>
      </w:r>
      <w:r>
        <w:rPr>
          <w:i/>
          <w:spacing w:val="-10"/>
          <w:sz w:val="23"/>
        </w:rPr>
        <w:t> </w:t>
      </w:r>
      <w:r>
        <w:rPr>
          <w:i/>
          <w:spacing w:val="-4"/>
          <w:sz w:val="23"/>
        </w:rPr>
        <w:t>en</w:t>
      </w:r>
      <w:r>
        <w:rPr>
          <w:i/>
          <w:spacing w:val="-9"/>
          <w:sz w:val="23"/>
        </w:rPr>
        <w:t> </w:t>
      </w:r>
      <w:r>
        <w:rPr>
          <w:i/>
          <w:spacing w:val="-4"/>
          <w:sz w:val="23"/>
        </w:rPr>
        <w:t>el </w:t>
      </w:r>
      <w:r>
        <w:rPr>
          <w:i/>
          <w:sz w:val="23"/>
        </w:rPr>
        <w:t>plazo</w:t>
      </w:r>
      <w:r>
        <w:rPr>
          <w:i/>
          <w:spacing w:val="-11"/>
          <w:sz w:val="23"/>
        </w:rPr>
        <w:t> </w:t>
      </w:r>
      <w:r>
        <w:rPr>
          <w:i/>
          <w:sz w:val="23"/>
        </w:rPr>
        <w:t>que</w:t>
      </w:r>
      <w:r>
        <w:rPr>
          <w:i/>
          <w:spacing w:val="-14"/>
          <w:sz w:val="23"/>
        </w:rPr>
        <w:t> </w:t>
      </w:r>
      <w:r>
        <w:rPr>
          <w:i/>
          <w:sz w:val="23"/>
        </w:rPr>
        <w:t>se</w:t>
      </w:r>
      <w:r>
        <w:rPr>
          <w:i/>
          <w:spacing w:val="-13"/>
          <w:sz w:val="23"/>
        </w:rPr>
        <w:t> </w:t>
      </w:r>
      <w:r>
        <w:rPr>
          <w:i/>
          <w:sz w:val="23"/>
        </w:rPr>
        <w:t>fije</w:t>
      </w:r>
      <w:r>
        <w:rPr>
          <w:i/>
          <w:spacing w:val="-13"/>
          <w:sz w:val="23"/>
        </w:rPr>
        <w:t> </w:t>
      </w:r>
      <w:r>
        <w:rPr>
          <w:i/>
          <w:sz w:val="23"/>
        </w:rPr>
        <w:t>en</w:t>
      </w:r>
      <w:r>
        <w:rPr>
          <w:i/>
          <w:spacing w:val="-12"/>
          <w:sz w:val="23"/>
        </w:rPr>
        <w:t> </w:t>
      </w:r>
      <w:r>
        <w:rPr>
          <w:i/>
          <w:sz w:val="23"/>
        </w:rPr>
        <w:t>el</w:t>
      </w:r>
      <w:r>
        <w:rPr>
          <w:i/>
          <w:spacing w:val="-12"/>
          <w:sz w:val="23"/>
        </w:rPr>
        <w:t> </w:t>
      </w:r>
      <w:r>
        <w:rPr>
          <w:i/>
          <w:sz w:val="23"/>
        </w:rPr>
        <w:t>Reglamento,</w:t>
      </w:r>
      <w:r>
        <w:rPr>
          <w:i/>
          <w:spacing w:val="-12"/>
          <w:sz w:val="23"/>
        </w:rPr>
        <w:t> </w:t>
      </w:r>
      <w:r>
        <w:rPr>
          <w:i/>
          <w:sz w:val="23"/>
        </w:rPr>
        <w:t>lo</w:t>
      </w:r>
      <w:r>
        <w:rPr>
          <w:i/>
          <w:spacing w:val="-12"/>
          <w:sz w:val="23"/>
        </w:rPr>
        <w:t> </w:t>
      </w:r>
      <w:r>
        <w:rPr>
          <w:i/>
          <w:sz w:val="23"/>
        </w:rPr>
        <w:t>cobrará</w:t>
      </w:r>
      <w:r>
        <w:rPr>
          <w:i/>
          <w:spacing w:val="-12"/>
          <w:sz w:val="23"/>
        </w:rPr>
        <w:t> </w:t>
      </w:r>
      <w:r>
        <w:rPr>
          <w:i/>
          <w:sz w:val="23"/>
        </w:rPr>
        <w:t>el</w:t>
      </w:r>
      <w:r>
        <w:rPr>
          <w:i/>
          <w:spacing w:val="-12"/>
          <w:sz w:val="23"/>
        </w:rPr>
        <w:t> </w:t>
      </w:r>
      <w:r>
        <w:rPr>
          <w:i/>
          <w:sz w:val="23"/>
        </w:rPr>
        <w:t>IMAS</w:t>
      </w:r>
      <w:r>
        <w:rPr>
          <w:i/>
          <w:spacing w:val="-13"/>
          <w:sz w:val="23"/>
        </w:rPr>
        <w:t> </w:t>
      </w:r>
      <w:r>
        <w:rPr>
          <w:i/>
          <w:sz w:val="23"/>
        </w:rPr>
        <w:t>por</w:t>
      </w:r>
      <w:r>
        <w:rPr>
          <w:i/>
          <w:spacing w:val="-12"/>
          <w:sz w:val="23"/>
        </w:rPr>
        <w:t> </w:t>
      </w:r>
      <w:r>
        <w:rPr>
          <w:i/>
          <w:sz w:val="23"/>
        </w:rPr>
        <w:t>la</w:t>
      </w:r>
      <w:r>
        <w:rPr>
          <w:i/>
          <w:spacing w:val="-13"/>
          <w:sz w:val="23"/>
        </w:rPr>
        <w:t> </w:t>
      </w:r>
      <w:r>
        <w:rPr>
          <w:i/>
          <w:sz w:val="23"/>
        </w:rPr>
        <w:t>vía</w:t>
      </w:r>
      <w:r>
        <w:rPr>
          <w:i/>
          <w:spacing w:val="-12"/>
          <w:sz w:val="23"/>
        </w:rPr>
        <w:t> </w:t>
      </w:r>
      <w:r>
        <w:rPr>
          <w:i/>
          <w:sz w:val="23"/>
        </w:rPr>
        <w:t>ejecutiva.</w:t>
      </w:r>
    </w:p>
    <w:p>
      <w:pPr>
        <w:pStyle w:val="BodyText"/>
        <w:spacing w:line="259" w:lineRule="auto" w:before="8"/>
        <w:ind w:left="734" w:right="1001"/>
      </w:pPr>
      <w:r>
        <w:rPr/>
        <w:t>Las cuotas no pagadas tendrán un recargo del 2% mensual, el cual no excederá del 24% del total</w:t>
      </w:r>
      <w:r>
        <w:rPr>
          <w:spacing w:val="40"/>
        </w:rPr>
        <w:t> </w:t>
      </w:r>
      <w:r>
        <w:rPr>
          <w:spacing w:val="-2"/>
        </w:rPr>
        <w:t>adeudado.</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1600">
                <wp:simplePos x="0" y="0"/>
                <wp:positionH relativeFrom="page">
                  <wp:posOffset>9525</wp:posOffset>
                </wp:positionH>
                <wp:positionV relativeFrom="page">
                  <wp:posOffset>297208</wp:posOffset>
                </wp:positionV>
                <wp:extent cx="7762875" cy="9748520"/>
                <wp:effectExtent l="0" t="0" r="0" b="0"/>
                <wp:wrapNone/>
                <wp:docPr id="246" name="Group 246"/>
                <wp:cNvGraphicFramePr>
                  <a:graphicFrameLocks/>
                </wp:cNvGraphicFramePr>
                <a:graphic>
                  <a:graphicData uri="http://schemas.microsoft.com/office/word/2010/wordprocessingGroup">
                    <wpg:wgp>
                      <wpg:cNvPr id="246" name="Group 246"/>
                      <wpg:cNvGrpSpPr/>
                      <wpg:grpSpPr>
                        <a:xfrm>
                          <a:off x="0" y="0"/>
                          <a:ext cx="7762875" cy="9748520"/>
                          <a:chExt cx="7762875" cy="9748520"/>
                        </a:xfrm>
                      </wpg:grpSpPr>
                      <pic:pic>
                        <pic:nvPicPr>
                          <pic:cNvPr id="247" name="Image 247"/>
                          <pic:cNvPicPr/>
                        </pic:nvPicPr>
                        <pic:blipFill>
                          <a:blip r:embed="rId5" cstate="print"/>
                          <a:stretch>
                            <a:fillRect/>
                          </a:stretch>
                        </pic:blipFill>
                        <pic:spPr>
                          <a:xfrm>
                            <a:off x="0" y="0"/>
                            <a:ext cx="7762874" cy="9748489"/>
                          </a:xfrm>
                          <a:prstGeom prst="rect">
                            <a:avLst/>
                          </a:prstGeom>
                        </pic:spPr>
                      </pic:pic>
                      <wps:wsp>
                        <wps:cNvPr id="248" name="Graphic 248"/>
                        <wps:cNvSpPr/>
                        <wps:spPr>
                          <a:xfrm>
                            <a:off x="1053007" y="990837"/>
                            <a:ext cx="5649595" cy="7106284"/>
                          </a:xfrm>
                          <a:custGeom>
                            <a:avLst/>
                            <a:gdLst/>
                            <a:ahLst/>
                            <a:cxnLst/>
                            <a:rect l="l" t="t" r="r" b="b"/>
                            <a:pathLst>
                              <a:path w="5649595" h="7106284">
                                <a:moveTo>
                                  <a:pt x="5262346" y="4929479"/>
                                </a:moveTo>
                                <a:lnTo>
                                  <a:pt x="2463469" y="4929479"/>
                                </a:lnTo>
                                <a:lnTo>
                                  <a:pt x="2463469" y="4932527"/>
                                </a:lnTo>
                                <a:lnTo>
                                  <a:pt x="5262296" y="4932527"/>
                                </a:lnTo>
                                <a:lnTo>
                                  <a:pt x="5262346" y="4929479"/>
                                </a:lnTo>
                                <a:close/>
                              </a:path>
                              <a:path w="5649595" h="7106284">
                                <a:moveTo>
                                  <a:pt x="5262397" y="5085740"/>
                                </a:moveTo>
                                <a:lnTo>
                                  <a:pt x="2463469" y="5085740"/>
                                </a:lnTo>
                                <a:lnTo>
                                  <a:pt x="2463469" y="5094897"/>
                                </a:lnTo>
                                <a:lnTo>
                                  <a:pt x="5262397" y="5094897"/>
                                </a:lnTo>
                                <a:lnTo>
                                  <a:pt x="5262397" y="5085740"/>
                                </a:lnTo>
                                <a:close/>
                              </a:path>
                              <a:path w="5649595" h="7106284">
                                <a:moveTo>
                                  <a:pt x="5630862" y="132702"/>
                                </a:moveTo>
                                <a:lnTo>
                                  <a:pt x="5624779" y="132702"/>
                                </a:lnTo>
                                <a:lnTo>
                                  <a:pt x="5624779" y="7099795"/>
                                </a:lnTo>
                                <a:lnTo>
                                  <a:pt x="24384" y="7099795"/>
                                </a:lnTo>
                                <a:lnTo>
                                  <a:pt x="24384" y="132702"/>
                                </a:lnTo>
                                <a:lnTo>
                                  <a:pt x="18288" y="132702"/>
                                </a:lnTo>
                                <a:lnTo>
                                  <a:pt x="18288" y="7099795"/>
                                </a:lnTo>
                                <a:lnTo>
                                  <a:pt x="18288" y="7105891"/>
                                </a:lnTo>
                                <a:lnTo>
                                  <a:pt x="24384" y="7105891"/>
                                </a:lnTo>
                                <a:lnTo>
                                  <a:pt x="5624779" y="7105891"/>
                                </a:lnTo>
                                <a:lnTo>
                                  <a:pt x="5630862" y="7105891"/>
                                </a:lnTo>
                                <a:lnTo>
                                  <a:pt x="5630862" y="7099795"/>
                                </a:lnTo>
                                <a:lnTo>
                                  <a:pt x="5630862" y="132702"/>
                                </a:lnTo>
                                <a:close/>
                              </a:path>
                              <a:path w="5649595" h="7106284">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7106284">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4880" id="docshapegroup233" coordorigin="15,468" coordsize="12225,15352">
                <v:shape style="position:absolute;left:15;top:468;width:12225;height:15352" type="#_x0000_t75" id="docshape234" stroked="false">
                  <v:imagedata r:id="rId5" o:title=""/>
                </v:shape>
                <v:shape style="position:absolute;left:1673;top:2028;width:8897;height:11191" id="docshape235" coordorigin="1673,2028" coordsize="8897,11191" path="m9960,9791l5553,9791,5553,9796,9960,9796,9960,9791xm9961,10037l5553,10037,5553,10052,9961,10052,9961,10037xm10541,2237l10531,2237,10531,13209,1712,13209,1712,2237,1702,2237,1702,13209,1702,13219,1712,13219,10531,13219,10531,13219,10541,13219,10541,13209,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53</w:t>
      </w:r>
    </w:p>
    <w:p>
      <w:pPr>
        <w:pStyle w:val="BodyText"/>
        <w:spacing w:line="259" w:lineRule="auto" w:before="227"/>
        <w:ind w:left="734" w:right="1093"/>
        <w:jc w:val="both"/>
      </w:pPr>
      <w:r>
        <w:rPr/>
        <w:t>Las certificaciones que</w:t>
      </w:r>
      <w:r>
        <w:rPr>
          <w:spacing w:val="-1"/>
        </w:rPr>
        <w:t> </w:t>
      </w:r>
      <w:r>
        <w:rPr/>
        <w:t>expida</w:t>
      </w:r>
      <w:r>
        <w:rPr>
          <w:spacing w:val="-1"/>
        </w:rPr>
        <w:t> </w:t>
      </w:r>
      <w:r>
        <w:rPr/>
        <w:t>el</w:t>
      </w:r>
      <w:r>
        <w:rPr>
          <w:spacing w:val="-1"/>
        </w:rPr>
        <w:t> </w:t>
      </w:r>
      <w:r>
        <w:rPr/>
        <w:t>IMAS,</w:t>
      </w:r>
      <w:r>
        <w:rPr>
          <w:spacing w:val="-1"/>
        </w:rPr>
        <w:t> </w:t>
      </w:r>
      <w:r>
        <w:rPr/>
        <w:t>por</w:t>
      </w:r>
      <w:r>
        <w:rPr>
          <w:spacing w:val="-1"/>
        </w:rPr>
        <w:t> </w:t>
      </w:r>
      <w:r>
        <w:rPr/>
        <w:t>medio del departamento respectivo,</w:t>
      </w:r>
      <w:r>
        <w:rPr>
          <w:spacing w:val="-1"/>
        </w:rPr>
        <w:t> </w:t>
      </w:r>
      <w:r>
        <w:rPr/>
        <w:t>constituirán</w:t>
      </w:r>
      <w:r>
        <w:rPr>
          <w:spacing w:val="-1"/>
        </w:rPr>
        <w:t> </w:t>
      </w:r>
      <w:r>
        <w:rPr/>
        <w:t>título ejecutivo sobre el cual sólo podrá oponerse la excepción de pago.</w:t>
      </w:r>
    </w:p>
    <w:p>
      <w:pPr>
        <w:pStyle w:val="BodyText"/>
        <w:spacing w:line="259" w:lineRule="auto" w:before="161"/>
        <w:ind w:left="734" w:right="1095"/>
        <w:jc w:val="both"/>
      </w:pPr>
      <w:r>
        <w:rPr/>
        <w:t>En virtud de que la Ley 4760 nos faculta para aplicar recargos devengados así se ha venido registrando como tales en las cuentas indicadas desde la implementación del SAP.</w:t>
      </w:r>
    </w:p>
    <w:p>
      <w:pPr>
        <w:pStyle w:val="BodyText"/>
        <w:spacing w:line="259" w:lineRule="auto" w:before="159"/>
        <w:ind w:left="734" w:right="1089"/>
        <w:jc w:val="both"/>
      </w:pPr>
      <w:r>
        <w:rPr/>
        <w:t>Dado</w:t>
      </w:r>
      <w:r>
        <w:rPr>
          <w:spacing w:val="-14"/>
        </w:rPr>
        <w:t> </w:t>
      </w:r>
      <w:r>
        <w:rPr/>
        <w:t>lo</w:t>
      </w:r>
      <w:r>
        <w:rPr>
          <w:spacing w:val="-14"/>
        </w:rPr>
        <w:t> </w:t>
      </w:r>
      <w:r>
        <w:rPr/>
        <w:t>anterior,</w:t>
      </w:r>
      <w:r>
        <w:rPr>
          <w:spacing w:val="-14"/>
        </w:rPr>
        <w:t> </w:t>
      </w:r>
      <w:r>
        <w:rPr/>
        <w:t>se</w:t>
      </w:r>
      <w:r>
        <w:rPr>
          <w:spacing w:val="-13"/>
        </w:rPr>
        <w:t> </w:t>
      </w:r>
      <w:r>
        <w:rPr/>
        <w:t>entiende</w:t>
      </w:r>
      <w:r>
        <w:rPr>
          <w:spacing w:val="-14"/>
        </w:rPr>
        <w:t> </w:t>
      </w:r>
      <w:r>
        <w:rPr/>
        <w:t>que</w:t>
      </w:r>
      <w:r>
        <w:rPr>
          <w:spacing w:val="-14"/>
        </w:rPr>
        <w:t> </w:t>
      </w:r>
      <w:r>
        <w:rPr/>
        <w:t>las</w:t>
      </w:r>
      <w:r>
        <w:rPr>
          <w:spacing w:val="-14"/>
        </w:rPr>
        <w:t> </w:t>
      </w:r>
      <w:r>
        <w:rPr/>
        <w:t>contribuciones</w:t>
      </w:r>
      <w:r>
        <w:rPr>
          <w:spacing w:val="-13"/>
        </w:rPr>
        <w:t> </w:t>
      </w:r>
      <w:r>
        <w:rPr/>
        <w:t>sociales</w:t>
      </w:r>
      <w:r>
        <w:rPr>
          <w:spacing w:val="-14"/>
        </w:rPr>
        <w:t> </w:t>
      </w:r>
      <w:r>
        <w:rPr/>
        <w:t>correspondientes</w:t>
      </w:r>
      <w:r>
        <w:rPr>
          <w:spacing w:val="-14"/>
        </w:rPr>
        <w:t> </w:t>
      </w:r>
      <w:r>
        <w:rPr/>
        <w:t>al</w:t>
      </w:r>
      <w:r>
        <w:rPr>
          <w:spacing w:val="-14"/>
        </w:rPr>
        <w:t> </w:t>
      </w:r>
      <w:r>
        <w:rPr/>
        <w:t>IMAS</w:t>
      </w:r>
      <w:r>
        <w:rPr>
          <w:spacing w:val="-13"/>
        </w:rPr>
        <w:t> </w:t>
      </w:r>
      <w:r>
        <w:rPr/>
        <w:t>no</w:t>
      </w:r>
      <w:r>
        <w:rPr>
          <w:spacing w:val="-14"/>
        </w:rPr>
        <w:t> </w:t>
      </w:r>
      <w:r>
        <w:rPr/>
        <w:t>devengan ni se registran intereses como tales.</w:t>
      </w:r>
    </w:p>
    <w:p>
      <w:pPr>
        <w:pStyle w:val="BodyText"/>
        <w:spacing w:before="159"/>
        <w:ind w:left="734" w:right="1089"/>
        <w:jc w:val="both"/>
      </w:pPr>
      <w:r>
        <w:rPr>
          <w:b/>
        </w:rPr>
        <w:t>La</w:t>
      </w:r>
      <w:r>
        <w:rPr>
          <w:b/>
          <w:spacing w:val="-3"/>
        </w:rPr>
        <w:t> </w:t>
      </w:r>
      <w:r>
        <w:rPr>
          <w:b/>
        </w:rPr>
        <w:t>cuenta</w:t>
      </w:r>
      <w:r>
        <w:rPr>
          <w:b/>
          <w:spacing w:val="-2"/>
        </w:rPr>
        <w:t> </w:t>
      </w:r>
      <w:r>
        <w:rPr>
          <w:b/>
        </w:rPr>
        <w:t>de</w:t>
      </w:r>
      <w:r>
        <w:rPr>
          <w:b/>
          <w:spacing w:val="-4"/>
        </w:rPr>
        <w:t> </w:t>
      </w:r>
      <w:r>
        <w:rPr>
          <w:b/>
        </w:rPr>
        <w:t>servicios</w:t>
      </w:r>
      <w:r>
        <w:rPr>
          <w:b/>
          <w:spacing w:val="-1"/>
        </w:rPr>
        <w:t> </w:t>
      </w:r>
      <w:r>
        <w:rPr>
          <w:b/>
        </w:rPr>
        <w:t>y</w:t>
      </w:r>
      <w:r>
        <w:rPr>
          <w:b/>
          <w:spacing w:val="-3"/>
        </w:rPr>
        <w:t> </w:t>
      </w:r>
      <w:r>
        <w:rPr>
          <w:b/>
        </w:rPr>
        <w:t>derechos</w:t>
      </w:r>
      <w:r>
        <w:rPr>
          <w:b/>
          <w:spacing w:val="-1"/>
        </w:rPr>
        <w:t> </w:t>
      </w:r>
      <w:r>
        <w:rPr>
          <w:b/>
        </w:rPr>
        <w:t>a</w:t>
      </w:r>
      <w:r>
        <w:rPr>
          <w:b/>
          <w:spacing w:val="-3"/>
        </w:rPr>
        <w:t> </w:t>
      </w:r>
      <w:r>
        <w:rPr>
          <w:b/>
        </w:rPr>
        <w:t>cobrar </w:t>
      </w:r>
      <w:r>
        <w:rPr/>
        <w:t>con</w:t>
      </w:r>
      <w:r>
        <w:rPr>
          <w:spacing w:val="-2"/>
        </w:rPr>
        <w:t> </w:t>
      </w:r>
      <w:r>
        <w:rPr/>
        <w:t>un</w:t>
      </w:r>
      <w:r>
        <w:rPr>
          <w:spacing w:val="-2"/>
        </w:rPr>
        <w:t> </w:t>
      </w:r>
      <w:r>
        <w:rPr/>
        <w:t>aumento</w:t>
      </w:r>
      <w:r>
        <w:rPr>
          <w:spacing w:val="-1"/>
        </w:rPr>
        <w:t> </w:t>
      </w:r>
      <w:r>
        <w:rPr/>
        <w:t>del</w:t>
      </w:r>
      <w:r>
        <w:rPr>
          <w:spacing w:val="-3"/>
        </w:rPr>
        <w:t> </w:t>
      </w:r>
      <w:r>
        <w:rPr/>
        <w:t>13,29%,</w:t>
      </w:r>
      <w:r>
        <w:rPr>
          <w:spacing w:val="-2"/>
        </w:rPr>
        <w:t> </w:t>
      </w:r>
      <w:r>
        <w:rPr/>
        <w:t>Los</w:t>
      </w:r>
      <w:r>
        <w:rPr>
          <w:spacing w:val="-1"/>
        </w:rPr>
        <w:t> </w:t>
      </w:r>
      <w:r>
        <w:rPr/>
        <w:t>saldos</w:t>
      </w:r>
      <w:r>
        <w:rPr>
          <w:spacing w:val="-4"/>
        </w:rPr>
        <w:t> </w:t>
      </w:r>
      <w:r>
        <w:rPr/>
        <w:t>corresponden</w:t>
      </w:r>
      <w:r>
        <w:rPr>
          <w:spacing w:val="-4"/>
        </w:rPr>
        <w:t> </w:t>
      </w:r>
      <w:r>
        <w:rPr/>
        <w:t>a las</w:t>
      </w:r>
      <w:r>
        <w:rPr>
          <w:spacing w:val="-4"/>
        </w:rPr>
        <w:t> </w:t>
      </w:r>
      <w:r>
        <w:rPr/>
        <w:t>cuentas</w:t>
      </w:r>
      <w:r>
        <w:rPr>
          <w:spacing w:val="-6"/>
        </w:rPr>
        <w:t> </w:t>
      </w:r>
      <w:r>
        <w:rPr/>
        <w:t>por</w:t>
      </w:r>
      <w:r>
        <w:rPr>
          <w:spacing w:val="-7"/>
        </w:rPr>
        <w:t> </w:t>
      </w:r>
      <w:r>
        <w:rPr/>
        <w:t>cobrar</w:t>
      </w:r>
      <w:r>
        <w:rPr>
          <w:spacing w:val="-7"/>
        </w:rPr>
        <w:t> </w:t>
      </w:r>
      <w:r>
        <w:rPr/>
        <w:t>a</w:t>
      </w:r>
      <w:r>
        <w:rPr>
          <w:spacing w:val="-5"/>
        </w:rPr>
        <w:t> </w:t>
      </w:r>
      <w:r>
        <w:rPr/>
        <w:t>los</w:t>
      </w:r>
      <w:r>
        <w:rPr>
          <w:spacing w:val="-8"/>
        </w:rPr>
        <w:t> </w:t>
      </w:r>
      <w:r>
        <w:rPr/>
        <w:t>bancos</w:t>
      </w:r>
      <w:r>
        <w:rPr>
          <w:spacing w:val="-6"/>
        </w:rPr>
        <w:t> </w:t>
      </w:r>
      <w:r>
        <w:rPr/>
        <w:t>emisores</w:t>
      </w:r>
      <w:r>
        <w:rPr>
          <w:spacing w:val="-6"/>
        </w:rPr>
        <w:t> </w:t>
      </w:r>
      <w:r>
        <w:rPr/>
        <w:t>de</w:t>
      </w:r>
      <w:r>
        <w:rPr>
          <w:spacing w:val="-6"/>
        </w:rPr>
        <w:t> </w:t>
      </w:r>
      <w:r>
        <w:rPr/>
        <w:t>tarjetas</w:t>
      </w:r>
      <w:r>
        <w:rPr>
          <w:spacing w:val="-9"/>
        </w:rPr>
        <w:t> </w:t>
      </w:r>
      <w:r>
        <w:rPr/>
        <w:t>de</w:t>
      </w:r>
      <w:r>
        <w:rPr>
          <w:spacing w:val="-6"/>
        </w:rPr>
        <w:t> </w:t>
      </w:r>
      <w:r>
        <w:rPr/>
        <w:t>crédito</w:t>
      </w:r>
      <w:r>
        <w:rPr>
          <w:spacing w:val="-4"/>
        </w:rPr>
        <w:t> </w:t>
      </w:r>
      <w:r>
        <w:rPr/>
        <w:t>que</w:t>
      </w:r>
      <w:r>
        <w:rPr>
          <w:spacing w:val="-8"/>
        </w:rPr>
        <w:t> </w:t>
      </w:r>
      <w:r>
        <w:rPr/>
        <w:t>toman</w:t>
      </w:r>
      <w:r>
        <w:rPr>
          <w:spacing w:val="-7"/>
        </w:rPr>
        <w:t> </w:t>
      </w:r>
      <w:r>
        <w:rPr/>
        <w:t>uno</w:t>
      </w:r>
      <w:r>
        <w:rPr>
          <w:spacing w:val="-6"/>
        </w:rPr>
        <w:t> </w:t>
      </w:r>
      <w:r>
        <w:rPr/>
        <w:t>o</w:t>
      </w:r>
      <w:r>
        <w:rPr>
          <w:spacing w:val="-6"/>
        </w:rPr>
        <w:t> </w:t>
      </w:r>
      <w:r>
        <w:rPr/>
        <w:t>dos</w:t>
      </w:r>
      <w:r>
        <w:rPr>
          <w:spacing w:val="-4"/>
        </w:rPr>
        <w:t> </w:t>
      </w:r>
      <w:r>
        <w:rPr/>
        <w:t>días</w:t>
      </w:r>
      <w:r>
        <w:rPr>
          <w:spacing w:val="-6"/>
        </w:rPr>
        <w:t> </w:t>
      </w:r>
      <w:r>
        <w:rPr/>
        <w:t>hábiles para</w:t>
      </w:r>
      <w:r>
        <w:rPr>
          <w:spacing w:val="-11"/>
        </w:rPr>
        <w:t> </w:t>
      </w:r>
      <w:r>
        <w:rPr/>
        <w:t>depositar</w:t>
      </w:r>
      <w:r>
        <w:rPr>
          <w:spacing w:val="-13"/>
        </w:rPr>
        <w:t> </w:t>
      </w:r>
      <w:r>
        <w:rPr/>
        <w:t>el</w:t>
      </w:r>
      <w:r>
        <w:rPr>
          <w:spacing w:val="-11"/>
        </w:rPr>
        <w:t> </w:t>
      </w:r>
      <w:r>
        <w:rPr/>
        <w:t>dinero</w:t>
      </w:r>
      <w:r>
        <w:rPr>
          <w:spacing w:val="-12"/>
        </w:rPr>
        <w:t> </w:t>
      </w:r>
      <w:r>
        <w:rPr/>
        <w:t>generado</w:t>
      </w:r>
      <w:r>
        <w:rPr>
          <w:spacing w:val="-10"/>
        </w:rPr>
        <w:t> </w:t>
      </w:r>
      <w:r>
        <w:rPr/>
        <w:t>por</w:t>
      </w:r>
      <w:r>
        <w:rPr>
          <w:spacing w:val="-13"/>
        </w:rPr>
        <w:t> </w:t>
      </w:r>
      <w:r>
        <w:rPr/>
        <w:t>las</w:t>
      </w:r>
      <w:r>
        <w:rPr>
          <w:spacing w:val="-12"/>
        </w:rPr>
        <w:t> </w:t>
      </w:r>
      <w:r>
        <w:rPr/>
        <w:t>ventas</w:t>
      </w:r>
      <w:r>
        <w:rPr>
          <w:spacing w:val="-12"/>
        </w:rPr>
        <w:t> </w:t>
      </w:r>
      <w:r>
        <w:rPr/>
        <w:t>en</w:t>
      </w:r>
      <w:r>
        <w:rPr>
          <w:spacing w:val="-10"/>
        </w:rPr>
        <w:t> </w:t>
      </w:r>
      <w:r>
        <w:rPr/>
        <w:t>las</w:t>
      </w:r>
      <w:r>
        <w:rPr>
          <w:spacing w:val="-10"/>
        </w:rPr>
        <w:t> </w:t>
      </w:r>
      <w:r>
        <w:rPr/>
        <w:t>tiendas</w:t>
      </w:r>
      <w:r>
        <w:rPr>
          <w:spacing w:val="-12"/>
        </w:rPr>
        <w:t> </w:t>
      </w:r>
      <w:r>
        <w:rPr/>
        <w:t>mediante</w:t>
      </w:r>
      <w:r>
        <w:rPr>
          <w:spacing w:val="-11"/>
        </w:rPr>
        <w:t> </w:t>
      </w:r>
      <w:r>
        <w:rPr/>
        <w:t>pagos</w:t>
      </w:r>
      <w:r>
        <w:rPr>
          <w:spacing w:val="-10"/>
        </w:rPr>
        <w:t> </w:t>
      </w:r>
      <w:r>
        <w:rPr/>
        <w:t>con</w:t>
      </w:r>
      <w:r>
        <w:rPr>
          <w:spacing w:val="-13"/>
        </w:rPr>
        <w:t> </w:t>
      </w:r>
      <w:r>
        <w:rPr/>
        <w:t>tarjetas.</w:t>
      </w:r>
      <w:r>
        <w:rPr>
          <w:spacing w:val="-10"/>
        </w:rPr>
        <w:t> </w:t>
      </w:r>
      <w:r>
        <w:rPr/>
        <w:t>El</w:t>
      </w:r>
      <w:r>
        <w:rPr>
          <w:spacing w:val="-11"/>
        </w:rPr>
        <w:t> </w:t>
      </w:r>
      <w:r>
        <w:rPr/>
        <w:t>monto corresponde</w:t>
      </w:r>
      <w:r>
        <w:rPr>
          <w:spacing w:val="-6"/>
        </w:rPr>
        <w:t> </w:t>
      </w:r>
      <w:r>
        <w:rPr/>
        <w:t>a</w:t>
      </w:r>
      <w:r>
        <w:rPr>
          <w:spacing w:val="-5"/>
        </w:rPr>
        <w:t> </w:t>
      </w:r>
      <w:r>
        <w:rPr/>
        <w:t>las</w:t>
      </w:r>
      <w:r>
        <w:rPr>
          <w:spacing w:val="-4"/>
        </w:rPr>
        <w:t> </w:t>
      </w:r>
      <w:r>
        <w:rPr/>
        <w:t>ventas</w:t>
      </w:r>
      <w:r>
        <w:rPr>
          <w:spacing w:val="-4"/>
        </w:rPr>
        <w:t> </w:t>
      </w:r>
      <w:r>
        <w:rPr/>
        <w:t>realizadas</w:t>
      </w:r>
      <w:r>
        <w:rPr>
          <w:spacing w:val="-4"/>
        </w:rPr>
        <w:t> </w:t>
      </w:r>
      <w:r>
        <w:rPr/>
        <w:t>con</w:t>
      </w:r>
      <w:r>
        <w:rPr>
          <w:spacing w:val="-4"/>
        </w:rPr>
        <w:t> </w:t>
      </w:r>
      <w:r>
        <w:rPr/>
        <w:t>fecha</w:t>
      </w:r>
      <w:r>
        <w:rPr>
          <w:spacing w:val="-6"/>
        </w:rPr>
        <w:t> </w:t>
      </w:r>
      <w:r>
        <w:rPr/>
        <w:t>31</w:t>
      </w:r>
      <w:r>
        <w:rPr>
          <w:spacing w:val="-6"/>
        </w:rPr>
        <w:t> </w:t>
      </w:r>
      <w:r>
        <w:rPr/>
        <w:t>de</w:t>
      </w:r>
      <w:r>
        <w:rPr>
          <w:spacing w:val="-6"/>
        </w:rPr>
        <w:t> </w:t>
      </w:r>
      <w:r>
        <w:rPr/>
        <w:t>julio</w:t>
      </w:r>
      <w:r>
        <w:rPr>
          <w:spacing w:val="-2"/>
        </w:rPr>
        <w:t> </w:t>
      </w:r>
      <w:r>
        <w:rPr/>
        <w:t>del</w:t>
      </w:r>
      <w:r>
        <w:rPr>
          <w:spacing w:val="-5"/>
        </w:rPr>
        <w:t> </w:t>
      </w:r>
      <w:r>
        <w:rPr/>
        <w:t>2026</w:t>
      </w:r>
      <w:r>
        <w:rPr>
          <w:spacing w:val="-6"/>
        </w:rPr>
        <w:t> </w:t>
      </w:r>
      <w:r>
        <w:rPr/>
        <w:t>tanto</w:t>
      </w:r>
      <w:r>
        <w:rPr>
          <w:spacing w:val="-4"/>
        </w:rPr>
        <w:t> </w:t>
      </w:r>
      <w:r>
        <w:rPr/>
        <w:t>en</w:t>
      </w:r>
      <w:r>
        <w:rPr>
          <w:spacing w:val="-4"/>
        </w:rPr>
        <w:t> </w:t>
      </w:r>
      <w:r>
        <w:rPr/>
        <w:t>efectivo</w:t>
      </w:r>
      <w:r>
        <w:rPr>
          <w:spacing w:val="-4"/>
        </w:rPr>
        <w:t> </w:t>
      </w:r>
      <w:r>
        <w:rPr/>
        <w:t>como</w:t>
      </w:r>
      <w:r>
        <w:rPr>
          <w:spacing w:val="-4"/>
        </w:rPr>
        <w:t> </w:t>
      </w:r>
      <w:r>
        <w:rPr/>
        <w:t>en</w:t>
      </w:r>
      <w:r>
        <w:rPr>
          <w:spacing w:val="-4"/>
        </w:rPr>
        <w:t> </w:t>
      </w:r>
      <w:r>
        <w:rPr/>
        <w:t>tarjetas dentro de las Tiendas Libres de los aeropuertos, son depositadas en las cuentas bancarias de la institución en los primeros tres días hábiles del mes siguiente.</w:t>
      </w:r>
    </w:p>
    <w:p>
      <w:pPr>
        <w:pStyle w:val="BodyText"/>
        <w:spacing w:before="161"/>
      </w:pPr>
    </w:p>
    <w:p>
      <w:pPr>
        <w:pStyle w:val="BodyText"/>
        <w:spacing w:line="259" w:lineRule="auto" w:before="1"/>
        <w:ind w:left="734" w:right="1088"/>
        <w:jc w:val="both"/>
      </w:pPr>
      <w:r>
        <w:rPr/>
        <w:t>Los</w:t>
      </w:r>
      <w:r>
        <w:rPr>
          <w:spacing w:val="-4"/>
        </w:rPr>
        <w:t> </w:t>
      </w:r>
      <w:r>
        <w:rPr/>
        <w:t>documentos</w:t>
      </w:r>
      <w:r>
        <w:rPr>
          <w:spacing w:val="-2"/>
        </w:rPr>
        <w:t> </w:t>
      </w:r>
      <w:r>
        <w:rPr/>
        <w:t>por</w:t>
      </w:r>
      <w:r>
        <w:rPr>
          <w:spacing w:val="-6"/>
        </w:rPr>
        <w:t> </w:t>
      </w:r>
      <w:r>
        <w:rPr/>
        <w:t>cobrar</w:t>
      </w:r>
      <w:r>
        <w:rPr>
          <w:spacing w:val="-6"/>
        </w:rPr>
        <w:t> </w:t>
      </w:r>
      <w:r>
        <w:rPr/>
        <w:t>a</w:t>
      </w:r>
      <w:r>
        <w:rPr>
          <w:spacing w:val="-4"/>
        </w:rPr>
        <w:t> </w:t>
      </w:r>
      <w:r>
        <w:rPr/>
        <w:t>corto</w:t>
      </w:r>
      <w:r>
        <w:rPr>
          <w:spacing w:val="-3"/>
        </w:rPr>
        <w:t> </w:t>
      </w:r>
      <w:r>
        <w:rPr/>
        <w:t>plazo</w:t>
      </w:r>
      <w:r>
        <w:rPr>
          <w:spacing w:val="-3"/>
        </w:rPr>
        <w:t> </w:t>
      </w:r>
      <w:r>
        <w:rPr/>
        <w:t>presentan</w:t>
      </w:r>
      <w:r>
        <w:rPr>
          <w:spacing w:val="-3"/>
        </w:rPr>
        <w:t> </w:t>
      </w:r>
      <w:r>
        <w:rPr/>
        <w:t>una</w:t>
      </w:r>
      <w:r>
        <w:rPr>
          <w:spacing w:val="-3"/>
        </w:rPr>
        <w:t> </w:t>
      </w:r>
      <w:r>
        <w:rPr/>
        <w:t>disminución</w:t>
      </w:r>
      <w:r>
        <w:rPr>
          <w:spacing w:val="-3"/>
        </w:rPr>
        <w:t> </w:t>
      </w:r>
      <w:r>
        <w:rPr/>
        <w:t>del</w:t>
      </w:r>
      <w:r>
        <w:rPr>
          <w:spacing w:val="-1"/>
        </w:rPr>
        <w:t> </w:t>
      </w:r>
      <w:r>
        <w:rPr/>
        <w:t>-4,6%</w:t>
      </w:r>
      <w:r>
        <w:rPr>
          <w:spacing w:val="-6"/>
        </w:rPr>
        <w:t> </w:t>
      </w:r>
      <w:r>
        <w:rPr/>
        <w:t>con</w:t>
      </w:r>
      <w:r>
        <w:rPr>
          <w:spacing w:val="-5"/>
        </w:rPr>
        <w:t> </w:t>
      </w:r>
      <w:r>
        <w:rPr/>
        <w:t>respecto</w:t>
      </w:r>
      <w:r>
        <w:rPr>
          <w:spacing w:val="-3"/>
        </w:rPr>
        <w:t> </w:t>
      </w:r>
      <w:r>
        <w:rPr/>
        <w:t>al</w:t>
      </w:r>
      <w:r>
        <w:rPr>
          <w:spacing w:val="-4"/>
        </w:rPr>
        <w:t> </w:t>
      </w:r>
      <w:r>
        <w:rPr/>
        <w:t>año anterior producto del cobro administrativo.</w:t>
      </w:r>
    </w:p>
    <w:p>
      <w:pPr>
        <w:pStyle w:val="BodyText"/>
        <w:spacing w:before="20"/>
      </w:pPr>
    </w:p>
    <w:p>
      <w:pPr>
        <w:pStyle w:val="BodyText"/>
        <w:spacing w:line="256" w:lineRule="auto"/>
        <w:ind w:left="734" w:right="1089"/>
        <w:jc w:val="both"/>
      </w:pPr>
      <w:r>
        <w:rPr/>
        <w:t>Las</w:t>
      </w:r>
      <w:r>
        <w:rPr>
          <w:spacing w:val="-14"/>
        </w:rPr>
        <w:t> </w:t>
      </w:r>
      <w:r>
        <w:rPr/>
        <w:t>cuentas</w:t>
      </w:r>
      <w:r>
        <w:rPr>
          <w:spacing w:val="-12"/>
        </w:rPr>
        <w:t> </w:t>
      </w:r>
      <w:r>
        <w:rPr/>
        <w:t>en</w:t>
      </w:r>
      <w:r>
        <w:rPr>
          <w:spacing w:val="-13"/>
        </w:rPr>
        <w:t> </w:t>
      </w:r>
      <w:r>
        <w:rPr/>
        <w:t>cobro</w:t>
      </w:r>
      <w:r>
        <w:rPr>
          <w:spacing w:val="-12"/>
        </w:rPr>
        <w:t> </w:t>
      </w:r>
      <w:r>
        <w:rPr/>
        <w:t>judicial</w:t>
      </w:r>
      <w:r>
        <w:rPr>
          <w:spacing w:val="-13"/>
        </w:rPr>
        <w:t> </w:t>
      </w:r>
      <w:r>
        <w:rPr/>
        <w:t>presentan</w:t>
      </w:r>
      <w:r>
        <w:rPr>
          <w:spacing w:val="-13"/>
        </w:rPr>
        <w:t> </w:t>
      </w:r>
      <w:r>
        <w:rPr/>
        <w:t>un</w:t>
      </w:r>
      <w:r>
        <w:rPr>
          <w:spacing w:val="-13"/>
        </w:rPr>
        <w:t> </w:t>
      </w:r>
      <w:r>
        <w:rPr/>
        <w:t>aumento</w:t>
      </w:r>
      <w:r>
        <w:rPr>
          <w:spacing w:val="-12"/>
        </w:rPr>
        <w:t> </w:t>
      </w:r>
      <w:r>
        <w:rPr/>
        <w:t>del</w:t>
      </w:r>
      <w:r>
        <w:rPr>
          <w:spacing w:val="-14"/>
        </w:rPr>
        <w:t> </w:t>
      </w:r>
      <w:r>
        <w:rPr/>
        <w:t>0,99%</w:t>
      </w:r>
      <w:r>
        <w:rPr>
          <w:spacing w:val="-13"/>
        </w:rPr>
        <w:t> </w:t>
      </w:r>
      <w:r>
        <w:rPr/>
        <w:t>con</w:t>
      </w:r>
      <w:r>
        <w:rPr>
          <w:spacing w:val="-14"/>
        </w:rPr>
        <w:t> </w:t>
      </w:r>
      <w:r>
        <w:rPr/>
        <w:t>respecto</w:t>
      </w:r>
      <w:r>
        <w:rPr>
          <w:spacing w:val="-14"/>
        </w:rPr>
        <w:t> </w:t>
      </w:r>
      <w:r>
        <w:rPr/>
        <w:t>al</w:t>
      </w:r>
      <w:r>
        <w:rPr>
          <w:spacing w:val="-13"/>
        </w:rPr>
        <w:t> </w:t>
      </w:r>
      <w:r>
        <w:rPr/>
        <w:t>año</w:t>
      </w:r>
      <w:r>
        <w:rPr>
          <w:spacing w:val="-12"/>
        </w:rPr>
        <w:t> </w:t>
      </w:r>
      <w:r>
        <w:rPr/>
        <w:t>anterior</w:t>
      </w:r>
      <w:r>
        <w:rPr>
          <w:spacing w:val="-13"/>
        </w:rPr>
        <w:t> </w:t>
      </w:r>
      <w:r>
        <w:rPr/>
        <w:t>producto del traslado de nuevas cuentas por cobrar gestión judicial.</w:t>
      </w:r>
    </w:p>
    <w:p>
      <w:pPr>
        <w:pStyle w:val="BodyText"/>
        <w:spacing w:before="23"/>
      </w:pPr>
    </w:p>
    <w:p>
      <w:pPr>
        <w:pStyle w:val="BodyText"/>
        <w:spacing w:line="259" w:lineRule="auto" w:before="1"/>
        <w:ind w:left="734" w:right="1088"/>
        <w:jc w:val="both"/>
      </w:pPr>
      <w:r>
        <w:rPr/>
        <w:t>En otras cuentas a</w:t>
      </w:r>
      <w:r>
        <w:rPr>
          <w:spacing w:val="-1"/>
        </w:rPr>
        <w:t> </w:t>
      </w:r>
      <w:r>
        <w:rPr/>
        <w:t>cobrar presenta un aumento del 11,56% producto de</w:t>
      </w:r>
      <w:r>
        <w:rPr>
          <w:spacing w:val="-2"/>
        </w:rPr>
        <w:t> </w:t>
      </w:r>
      <w:r>
        <w:rPr/>
        <w:t>la</w:t>
      </w:r>
      <w:r>
        <w:rPr>
          <w:spacing w:val="-1"/>
        </w:rPr>
        <w:t> </w:t>
      </w:r>
      <w:r>
        <w:rPr/>
        <w:t>depuración de</w:t>
      </w:r>
      <w:r>
        <w:rPr>
          <w:spacing w:val="-2"/>
        </w:rPr>
        <w:t> </w:t>
      </w:r>
      <w:r>
        <w:rPr/>
        <w:t>la</w:t>
      </w:r>
      <w:r>
        <w:rPr>
          <w:spacing w:val="-1"/>
        </w:rPr>
        <w:t> </w:t>
      </w:r>
      <w:r>
        <w:rPr/>
        <w:t>cuenta (incobrables) y cobro por planilla de operaciones registradas. Adicional, esta partida incorpora las cuentas</w:t>
      </w:r>
      <w:r>
        <w:rPr>
          <w:spacing w:val="-5"/>
        </w:rPr>
        <w:t> </w:t>
      </w:r>
      <w:r>
        <w:rPr/>
        <w:t>por</w:t>
      </w:r>
      <w:r>
        <w:rPr>
          <w:spacing w:val="-6"/>
        </w:rPr>
        <w:t> </w:t>
      </w:r>
      <w:r>
        <w:rPr/>
        <w:t>cobrar</w:t>
      </w:r>
      <w:r>
        <w:rPr>
          <w:spacing w:val="-6"/>
        </w:rPr>
        <w:t> </w:t>
      </w:r>
      <w:r>
        <w:rPr/>
        <w:t>a</w:t>
      </w:r>
      <w:r>
        <w:rPr>
          <w:spacing w:val="-6"/>
        </w:rPr>
        <w:t> </w:t>
      </w:r>
      <w:r>
        <w:rPr/>
        <w:t>funcionarios</w:t>
      </w:r>
      <w:r>
        <w:rPr>
          <w:spacing w:val="-7"/>
        </w:rPr>
        <w:t> </w:t>
      </w:r>
      <w:r>
        <w:rPr/>
        <w:t>y</w:t>
      </w:r>
      <w:r>
        <w:rPr>
          <w:spacing w:val="-7"/>
        </w:rPr>
        <w:t> </w:t>
      </w:r>
      <w:r>
        <w:rPr/>
        <w:t>exfuncionarios</w:t>
      </w:r>
      <w:r>
        <w:rPr>
          <w:spacing w:val="-5"/>
        </w:rPr>
        <w:t> </w:t>
      </w:r>
      <w:r>
        <w:rPr/>
        <w:t>producto</w:t>
      </w:r>
      <w:r>
        <w:rPr>
          <w:spacing w:val="-5"/>
        </w:rPr>
        <w:t> </w:t>
      </w:r>
      <w:r>
        <w:rPr/>
        <w:t>de</w:t>
      </w:r>
      <w:r>
        <w:rPr>
          <w:spacing w:val="-7"/>
        </w:rPr>
        <w:t> </w:t>
      </w:r>
      <w:r>
        <w:rPr/>
        <w:t>los</w:t>
      </w:r>
      <w:r>
        <w:rPr>
          <w:spacing w:val="-7"/>
        </w:rPr>
        <w:t> </w:t>
      </w:r>
      <w:r>
        <w:rPr/>
        <w:t>faltantes</w:t>
      </w:r>
      <w:r>
        <w:rPr>
          <w:spacing w:val="-7"/>
        </w:rPr>
        <w:t> </w:t>
      </w:r>
      <w:r>
        <w:rPr/>
        <w:t>en</w:t>
      </w:r>
      <w:r>
        <w:rPr>
          <w:spacing w:val="-5"/>
        </w:rPr>
        <w:t> </w:t>
      </w:r>
      <w:r>
        <w:rPr/>
        <w:t>cajas</w:t>
      </w:r>
      <w:r>
        <w:rPr>
          <w:spacing w:val="-5"/>
        </w:rPr>
        <w:t> </w:t>
      </w:r>
      <w:r>
        <w:rPr/>
        <w:t>derivados</w:t>
      </w:r>
      <w:r>
        <w:rPr>
          <w:spacing w:val="-7"/>
        </w:rPr>
        <w:t> </w:t>
      </w:r>
      <w:r>
        <w:rPr/>
        <w:t>de</w:t>
      </w:r>
      <w:r>
        <w:rPr>
          <w:spacing w:val="-7"/>
        </w:rPr>
        <w:t> </w:t>
      </w:r>
      <w:r>
        <w:rPr/>
        <w:t>la actividad</w:t>
      </w:r>
      <w:r>
        <w:rPr>
          <w:spacing w:val="13"/>
        </w:rPr>
        <w:t> </w:t>
      </w:r>
      <w:r>
        <w:rPr/>
        <w:t>de</w:t>
      </w:r>
      <w:r>
        <w:rPr>
          <w:spacing w:val="16"/>
        </w:rPr>
        <w:t> </w:t>
      </w:r>
      <w:r>
        <w:rPr/>
        <w:t>cobro</w:t>
      </w:r>
      <w:r>
        <w:rPr>
          <w:spacing w:val="17"/>
        </w:rPr>
        <w:t> </w:t>
      </w:r>
      <w:r>
        <w:rPr/>
        <w:t>de</w:t>
      </w:r>
      <w:r>
        <w:rPr>
          <w:spacing w:val="14"/>
        </w:rPr>
        <w:t> </w:t>
      </w:r>
      <w:r>
        <w:rPr/>
        <w:t>las</w:t>
      </w:r>
      <w:r>
        <w:rPr>
          <w:spacing w:val="17"/>
        </w:rPr>
        <w:t> </w:t>
      </w:r>
      <w:r>
        <w:rPr/>
        <w:t>personas</w:t>
      </w:r>
      <w:r>
        <w:rPr>
          <w:spacing w:val="18"/>
        </w:rPr>
        <w:t> </w:t>
      </w:r>
      <w:r>
        <w:rPr/>
        <w:t>cajeras</w:t>
      </w:r>
      <w:r>
        <w:rPr>
          <w:spacing w:val="17"/>
        </w:rPr>
        <w:t> </w:t>
      </w:r>
      <w:r>
        <w:rPr/>
        <w:t>en</w:t>
      </w:r>
      <w:r>
        <w:rPr>
          <w:spacing w:val="16"/>
        </w:rPr>
        <w:t> </w:t>
      </w:r>
      <w:r>
        <w:rPr/>
        <w:t>las</w:t>
      </w:r>
      <w:r>
        <w:rPr>
          <w:spacing w:val="18"/>
        </w:rPr>
        <w:t> </w:t>
      </w:r>
      <w:r>
        <w:rPr/>
        <w:t>tiendas</w:t>
      </w:r>
      <w:r>
        <w:rPr>
          <w:spacing w:val="17"/>
        </w:rPr>
        <w:t> </w:t>
      </w:r>
      <w:r>
        <w:rPr/>
        <w:t>libres</w:t>
      </w:r>
      <w:r>
        <w:rPr>
          <w:spacing w:val="17"/>
        </w:rPr>
        <w:t> </w:t>
      </w:r>
      <w:r>
        <w:rPr/>
        <w:t>del</w:t>
      </w:r>
      <w:r>
        <w:rPr>
          <w:spacing w:val="16"/>
        </w:rPr>
        <w:t> </w:t>
      </w:r>
      <w:r>
        <w:rPr/>
        <w:t>IMAS.</w:t>
      </w:r>
      <w:r>
        <w:rPr>
          <w:spacing w:val="20"/>
        </w:rPr>
        <w:t> </w:t>
      </w:r>
      <w:r>
        <w:rPr/>
        <w:t>Este</w:t>
      </w:r>
      <w:r>
        <w:rPr>
          <w:spacing w:val="15"/>
        </w:rPr>
        <w:t> </w:t>
      </w:r>
      <w:r>
        <w:rPr/>
        <w:t>rubro,</w:t>
      </w:r>
      <w:r>
        <w:rPr>
          <w:spacing w:val="17"/>
        </w:rPr>
        <w:t> </w:t>
      </w:r>
      <w:r>
        <w:rPr>
          <w:spacing w:val="-2"/>
        </w:rPr>
        <w:t>representa</w:t>
      </w:r>
    </w:p>
    <w:p>
      <w:pPr>
        <w:pStyle w:val="BodyText"/>
        <w:spacing w:line="262" w:lineRule="exact"/>
        <w:ind w:left="734"/>
        <w:jc w:val="both"/>
      </w:pPr>
      <w:r>
        <w:rPr>
          <w:rFonts w:ascii="Times New Roman" w:hAnsi="Times New Roman"/>
        </w:rPr>
        <w:t>₡</w:t>
      </w:r>
      <w:r>
        <w:rPr>
          <w:rFonts w:ascii="Times New Roman" w:hAnsi="Times New Roman"/>
          <w:spacing w:val="-3"/>
        </w:rPr>
        <w:t> </w:t>
      </w:r>
      <w:r>
        <w:rPr/>
        <w:t>404</w:t>
      </w:r>
      <w:r>
        <w:rPr>
          <w:spacing w:val="-2"/>
        </w:rPr>
        <w:t> </w:t>
      </w:r>
      <w:r>
        <w:rPr/>
        <w:t>550,47</w:t>
      </w:r>
      <w:r>
        <w:rPr>
          <w:spacing w:val="-3"/>
        </w:rPr>
        <w:t> </w:t>
      </w:r>
      <w:r>
        <w:rPr/>
        <w:t>para</w:t>
      </w:r>
      <w:r>
        <w:rPr>
          <w:spacing w:val="-3"/>
        </w:rPr>
        <w:t> </w:t>
      </w:r>
      <w:r>
        <w:rPr/>
        <w:t>el</w:t>
      </w:r>
      <w:r>
        <w:rPr>
          <w:spacing w:val="-1"/>
        </w:rPr>
        <w:t> </w:t>
      </w:r>
      <w:r>
        <w:rPr/>
        <w:t>mes</w:t>
      </w:r>
      <w:r>
        <w:rPr>
          <w:spacing w:val="-1"/>
        </w:rPr>
        <w:t> </w:t>
      </w:r>
      <w:r>
        <w:rPr/>
        <w:t>de</w:t>
      </w:r>
      <w:r>
        <w:rPr>
          <w:spacing w:val="-4"/>
        </w:rPr>
        <w:t> </w:t>
      </w:r>
      <w:r>
        <w:rPr/>
        <w:t>julio</w:t>
      </w:r>
      <w:r>
        <w:rPr>
          <w:spacing w:val="-2"/>
        </w:rPr>
        <w:t> </w:t>
      </w:r>
      <w:r>
        <w:rPr/>
        <w:t>del</w:t>
      </w:r>
      <w:r>
        <w:rPr>
          <w:spacing w:val="-1"/>
        </w:rPr>
        <w:t> </w:t>
      </w:r>
      <w:r>
        <w:rPr>
          <w:spacing w:val="-4"/>
        </w:rPr>
        <w:t>2026.</w:t>
      </w:r>
    </w:p>
    <w:p>
      <w:pPr>
        <w:pStyle w:val="BodyText"/>
        <w:spacing w:before="40"/>
      </w:pPr>
    </w:p>
    <w:p>
      <w:pPr>
        <w:pStyle w:val="BodyText"/>
        <w:ind w:left="734"/>
        <w:jc w:val="both"/>
      </w:pPr>
      <w:r>
        <w:rPr/>
        <w:t>El</w:t>
      </w:r>
      <w:r>
        <w:rPr>
          <w:spacing w:val="-3"/>
        </w:rPr>
        <w:t> </w:t>
      </w:r>
      <w:r>
        <w:rPr/>
        <w:t>movimiento</w:t>
      </w:r>
      <w:r>
        <w:rPr>
          <w:spacing w:val="-2"/>
        </w:rPr>
        <w:t> </w:t>
      </w:r>
      <w:r>
        <w:rPr/>
        <w:t>de</w:t>
      </w:r>
      <w:r>
        <w:rPr>
          <w:spacing w:val="-5"/>
        </w:rPr>
        <w:t> </w:t>
      </w:r>
      <w:r>
        <w:rPr/>
        <w:t>la</w:t>
      </w:r>
      <w:r>
        <w:rPr>
          <w:spacing w:val="-5"/>
        </w:rPr>
        <w:t> </w:t>
      </w:r>
      <w:r>
        <w:rPr/>
        <w:t>estimación</w:t>
      </w:r>
      <w:r>
        <w:rPr>
          <w:spacing w:val="-3"/>
        </w:rPr>
        <w:t> </w:t>
      </w:r>
      <w:r>
        <w:rPr/>
        <w:t>por</w:t>
      </w:r>
      <w:r>
        <w:rPr>
          <w:spacing w:val="-3"/>
        </w:rPr>
        <w:t> </w:t>
      </w:r>
      <w:r>
        <w:rPr/>
        <w:t>deterioro</w:t>
      </w:r>
      <w:r>
        <w:rPr>
          <w:spacing w:val="-5"/>
        </w:rPr>
        <w:t> </w:t>
      </w:r>
      <w:r>
        <w:rPr/>
        <w:t>se</w:t>
      </w:r>
      <w:r>
        <w:rPr>
          <w:spacing w:val="-4"/>
        </w:rPr>
        <w:t> </w:t>
      </w:r>
      <w:r>
        <w:rPr/>
        <w:t>presenta</w:t>
      </w:r>
      <w:r>
        <w:rPr>
          <w:spacing w:val="-3"/>
        </w:rPr>
        <w:t> </w:t>
      </w:r>
      <w:r>
        <w:rPr/>
        <w:t>a</w:t>
      </w:r>
      <w:r>
        <w:rPr>
          <w:spacing w:val="-3"/>
        </w:rPr>
        <w:t> </w:t>
      </w:r>
      <w:r>
        <w:rPr>
          <w:spacing w:val="-2"/>
        </w:rPr>
        <w:t>continuación:</w:t>
      </w:r>
    </w:p>
    <w:p>
      <w:pPr>
        <w:tabs>
          <w:tab w:pos="7967" w:val="left" w:leader="none"/>
        </w:tabs>
        <w:spacing w:before="48"/>
        <w:ind w:left="5023" w:right="0" w:firstLine="0"/>
        <w:jc w:val="left"/>
        <w:rPr>
          <w:rFonts w:ascii="Times New Roman"/>
          <w:b/>
          <w:sz w:val="18"/>
        </w:rPr>
      </w:pPr>
      <w:r>
        <w:rPr>
          <w:rFonts w:ascii="Times New Roman"/>
          <w:b/>
          <w:spacing w:val="-4"/>
          <w:sz w:val="18"/>
          <w:u w:val="single"/>
        </w:rPr>
        <w:t>2026</w:t>
      </w:r>
      <w:r>
        <w:rPr>
          <w:rFonts w:ascii="Times New Roman"/>
          <w:b/>
          <w:sz w:val="18"/>
          <w:u w:val="none"/>
        </w:rPr>
        <w:tab/>
      </w:r>
      <w:r>
        <w:rPr>
          <w:rFonts w:ascii="Times New Roman"/>
          <w:b/>
          <w:spacing w:val="-4"/>
          <w:sz w:val="18"/>
          <w:u w:val="single"/>
        </w:rPr>
        <w:t>2025</w:t>
      </w:r>
    </w:p>
    <w:p>
      <w:pPr>
        <w:pStyle w:val="BodyText"/>
        <w:spacing w:before="27"/>
        <w:rPr>
          <w:rFonts w:ascii="Times New Roman"/>
          <w:b/>
          <w:sz w:val="20"/>
        </w:rPr>
      </w:pPr>
    </w:p>
    <w:tbl>
      <w:tblPr>
        <w:tblW w:w="0" w:type="auto"/>
        <w:jc w:val="left"/>
        <w:tblInd w:w="1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78"/>
        <w:gridCol w:w="2404"/>
        <w:gridCol w:w="2003"/>
      </w:tblGrid>
      <w:tr>
        <w:trPr>
          <w:trHeight w:val="248" w:hRule="atLeast"/>
        </w:trPr>
        <w:tc>
          <w:tcPr>
            <w:tcW w:w="3178" w:type="dxa"/>
          </w:tcPr>
          <w:p>
            <w:pPr>
              <w:pStyle w:val="TableParagraph"/>
              <w:spacing w:line="218" w:lineRule="exact" w:before="10"/>
              <w:ind w:left="50"/>
              <w:rPr>
                <w:rFonts w:ascii="Times New Roman" w:hAnsi="Times New Roman"/>
                <w:sz w:val="19"/>
              </w:rPr>
            </w:pPr>
            <w:r>
              <w:rPr>
                <w:rFonts w:ascii="Times New Roman" w:hAnsi="Times New Roman"/>
                <w:sz w:val="19"/>
              </w:rPr>
              <w:t>Saldo</w:t>
            </w:r>
            <w:r>
              <w:rPr>
                <w:rFonts w:ascii="Times New Roman" w:hAnsi="Times New Roman"/>
                <w:spacing w:val="-7"/>
                <w:sz w:val="19"/>
              </w:rPr>
              <w:t> </w:t>
            </w:r>
            <w:r>
              <w:rPr>
                <w:rFonts w:ascii="Times New Roman" w:hAnsi="Times New Roman"/>
                <w:sz w:val="19"/>
              </w:rPr>
              <w:t>al</w:t>
            </w:r>
            <w:r>
              <w:rPr>
                <w:rFonts w:ascii="Times New Roman" w:hAnsi="Times New Roman"/>
                <w:spacing w:val="-1"/>
                <w:sz w:val="19"/>
              </w:rPr>
              <w:t> </w:t>
            </w:r>
            <w:r>
              <w:rPr>
                <w:rFonts w:ascii="Times New Roman" w:hAnsi="Times New Roman"/>
                <w:sz w:val="19"/>
              </w:rPr>
              <w:t>inicio</w:t>
            </w:r>
            <w:r>
              <w:rPr>
                <w:rFonts w:ascii="Times New Roman" w:hAnsi="Times New Roman"/>
                <w:spacing w:val="-7"/>
                <w:sz w:val="19"/>
              </w:rPr>
              <w:t> </w:t>
            </w:r>
            <w:r>
              <w:rPr>
                <w:rFonts w:ascii="Times New Roman" w:hAnsi="Times New Roman"/>
                <w:sz w:val="19"/>
              </w:rPr>
              <w:t>del</w:t>
            </w:r>
            <w:r>
              <w:rPr>
                <w:rFonts w:ascii="Times New Roman" w:hAnsi="Times New Roman"/>
                <w:spacing w:val="-1"/>
                <w:sz w:val="19"/>
              </w:rPr>
              <w:t> </w:t>
            </w:r>
            <w:r>
              <w:rPr>
                <w:rFonts w:ascii="Times New Roman" w:hAnsi="Times New Roman"/>
                <w:spacing w:val="-5"/>
                <w:sz w:val="19"/>
              </w:rPr>
              <w:t>año</w:t>
            </w:r>
          </w:p>
        </w:tc>
        <w:tc>
          <w:tcPr>
            <w:tcW w:w="2404" w:type="dxa"/>
            <w:tcBorders>
              <w:top w:val="single" w:sz="6" w:space="0" w:color="000000"/>
            </w:tcBorders>
          </w:tcPr>
          <w:p>
            <w:pPr>
              <w:pStyle w:val="TableParagraph"/>
              <w:spacing w:line="218" w:lineRule="exact" w:before="10"/>
              <w:ind w:right="957"/>
              <w:jc w:val="right"/>
              <w:rPr>
                <w:rFonts w:ascii="Times New Roman"/>
                <w:sz w:val="19"/>
              </w:rPr>
            </w:pPr>
            <w:r>
              <w:rPr>
                <w:rFonts w:ascii="Times New Roman"/>
                <w:sz w:val="19"/>
              </w:rPr>
              <w:t>8</w:t>
            </w:r>
            <w:r>
              <w:rPr>
                <w:rFonts w:ascii="Times New Roman"/>
                <w:spacing w:val="1"/>
                <w:sz w:val="19"/>
              </w:rPr>
              <w:t> </w:t>
            </w:r>
            <w:r>
              <w:rPr>
                <w:rFonts w:ascii="Times New Roman"/>
                <w:sz w:val="19"/>
              </w:rPr>
              <w:t>373</w:t>
            </w:r>
            <w:r>
              <w:rPr>
                <w:rFonts w:ascii="Times New Roman"/>
                <w:spacing w:val="1"/>
                <w:sz w:val="19"/>
              </w:rPr>
              <w:t> </w:t>
            </w:r>
            <w:r>
              <w:rPr>
                <w:rFonts w:ascii="Times New Roman"/>
                <w:spacing w:val="-2"/>
                <w:sz w:val="19"/>
              </w:rPr>
              <w:t>726,71</w:t>
            </w:r>
          </w:p>
        </w:tc>
        <w:tc>
          <w:tcPr>
            <w:tcW w:w="2003" w:type="dxa"/>
            <w:tcBorders>
              <w:top w:val="single" w:sz="6" w:space="0" w:color="000000"/>
            </w:tcBorders>
          </w:tcPr>
          <w:p>
            <w:pPr>
              <w:pStyle w:val="TableParagraph"/>
              <w:spacing w:line="218" w:lineRule="exact" w:before="10"/>
              <w:ind w:right="25"/>
              <w:jc w:val="right"/>
              <w:rPr>
                <w:rFonts w:ascii="Times New Roman"/>
                <w:sz w:val="19"/>
              </w:rPr>
            </w:pPr>
            <w:r>
              <w:rPr>
                <w:rFonts w:ascii="Times New Roman"/>
                <w:sz w:val="19"/>
              </w:rPr>
              <w:t>8</w:t>
            </w:r>
            <w:r>
              <w:rPr>
                <w:rFonts w:ascii="Times New Roman"/>
                <w:spacing w:val="1"/>
                <w:sz w:val="19"/>
              </w:rPr>
              <w:t> </w:t>
            </w:r>
            <w:r>
              <w:rPr>
                <w:rFonts w:ascii="Times New Roman"/>
                <w:sz w:val="19"/>
              </w:rPr>
              <w:t>321</w:t>
            </w:r>
            <w:r>
              <w:rPr>
                <w:rFonts w:ascii="Times New Roman"/>
                <w:spacing w:val="1"/>
                <w:sz w:val="19"/>
              </w:rPr>
              <w:t> </w:t>
            </w:r>
            <w:r>
              <w:rPr>
                <w:rFonts w:ascii="Times New Roman"/>
                <w:spacing w:val="-2"/>
                <w:sz w:val="19"/>
              </w:rPr>
              <w:t>705,75</w:t>
            </w:r>
          </w:p>
        </w:tc>
      </w:tr>
      <w:tr>
        <w:trPr>
          <w:trHeight w:val="249" w:hRule="atLeast"/>
        </w:trPr>
        <w:tc>
          <w:tcPr>
            <w:tcW w:w="3178" w:type="dxa"/>
          </w:tcPr>
          <w:p>
            <w:pPr>
              <w:pStyle w:val="TableParagraph"/>
              <w:spacing w:line="217" w:lineRule="exact" w:before="13"/>
              <w:ind w:left="50"/>
              <w:rPr>
                <w:rFonts w:ascii="Times New Roman" w:hAnsi="Times New Roman"/>
                <w:sz w:val="19"/>
              </w:rPr>
            </w:pPr>
            <w:r>
              <w:rPr>
                <w:rFonts w:ascii="Times New Roman" w:hAnsi="Times New Roman"/>
                <w:sz w:val="19"/>
              </w:rPr>
              <w:t>Incrementos</w:t>
            </w:r>
            <w:r>
              <w:rPr>
                <w:rFonts w:ascii="Times New Roman" w:hAnsi="Times New Roman"/>
                <w:spacing w:val="-10"/>
                <w:sz w:val="19"/>
              </w:rPr>
              <w:t> </w:t>
            </w:r>
            <w:r>
              <w:rPr>
                <w:rFonts w:ascii="Times New Roman" w:hAnsi="Times New Roman"/>
                <w:sz w:val="19"/>
              </w:rPr>
              <w:t>del</w:t>
            </w:r>
            <w:r>
              <w:rPr>
                <w:rFonts w:ascii="Times New Roman" w:hAnsi="Times New Roman"/>
                <w:spacing w:val="-12"/>
                <w:sz w:val="19"/>
              </w:rPr>
              <w:t> </w:t>
            </w:r>
            <w:r>
              <w:rPr>
                <w:rFonts w:ascii="Times New Roman" w:hAnsi="Times New Roman"/>
                <w:spacing w:val="-5"/>
                <w:sz w:val="19"/>
              </w:rPr>
              <w:t>año</w:t>
            </w:r>
          </w:p>
        </w:tc>
        <w:tc>
          <w:tcPr>
            <w:tcW w:w="2404" w:type="dxa"/>
          </w:tcPr>
          <w:p>
            <w:pPr>
              <w:pStyle w:val="TableParagraph"/>
              <w:spacing w:line="217" w:lineRule="exact" w:before="13"/>
              <w:ind w:right="957"/>
              <w:jc w:val="right"/>
              <w:rPr>
                <w:rFonts w:ascii="Times New Roman"/>
                <w:sz w:val="19"/>
              </w:rPr>
            </w:pPr>
            <w:r>
              <w:rPr>
                <w:rFonts w:ascii="Times New Roman"/>
                <w:sz w:val="19"/>
              </w:rPr>
              <w:t>948</w:t>
            </w:r>
            <w:r>
              <w:rPr>
                <w:rFonts w:ascii="Times New Roman"/>
                <w:spacing w:val="1"/>
                <w:sz w:val="19"/>
              </w:rPr>
              <w:t> </w:t>
            </w:r>
            <w:r>
              <w:rPr>
                <w:rFonts w:ascii="Times New Roman"/>
                <w:spacing w:val="-2"/>
                <w:sz w:val="19"/>
              </w:rPr>
              <w:t>769,78</w:t>
            </w:r>
          </w:p>
        </w:tc>
        <w:tc>
          <w:tcPr>
            <w:tcW w:w="2003" w:type="dxa"/>
          </w:tcPr>
          <w:p>
            <w:pPr>
              <w:pStyle w:val="TableParagraph"/>
              <w:spacing w:line="211" w:lineRule="exact" w:before="19"/>
              <w:ind w:right="82"/>
              <w:jc w:val="right"/>
              <w:rPr>
                <w:rFonts w:ascii="Calibri"/>
                <w:sz w:val="18"/>
              </w:rPr>
            </w:pPr>
            <w:r>
              <w:rPr>
                <w:rFonts w:ascii="Calibri"/>
                <w:sz w:val="18"/>
              </w:rPr>
              <w:t>628</w:t>
            </w:r>
            <w:r>
              <w:rPr>
                <w:rFonts w:ascii="Calibri"/>
                <w:spacing w:val="-5"/>
                <w:sz w:val="18"/>
              </w:rPr>
              <w:t> </w:t>
            </w:r>
            <w:r>
              <w:rPr>
                <w:rFonts w:ascii="Calibri"/>
                <w:spacing w:val="-2"/>
                <w:sz w:val="18"/>
              </w:rPr>
              <w:t>394,89</w:t>
            </w:r>
          </w:p>
        </w:tc>
      </w:tr>
      <w:tr>
        <w:trPr>
          <w:trHeight w:val="244" w:hRule="atLeast"/>
        </w:trPr>
        <w:tc>
          <w:tcPr>
            <w:tcW w:w="3178" w:type="dxa"/>
          </w:tcPr>
          <w:p>
            <w:pPr>
              <w:pStyle w:val="TableParagraph"/>
              <w:spacing w:line="215" w:lineRule="exact" w:before="9"/>
              <w:ind w:left="50"/>
              <w:rPr>
                <w:rFonts w:ascii="Times New Roman" w:hAnsi="Times New Roman"/>
                <w:sz w:val="19"/>
              </w:rPr>
            </w:pPr>
            <w:r>
              <w:rPr>
                <w:rFonts w:ascii="Times New Roman" w:hAnsi="Times New Roman"/>
                <w:sz w:val="19"/>
              </w:rPr>
              <w:t>Uso</w:t>
            </w:r>
            <w:r>
              <w:rPr>
                <w:rFonts w:ascii="Times New Roman" w:hAnsi="Times New Roman"/>
                <w:spacing w:val="-4"/>
                <w:sz w:val="19"/>
              </w:rPr>
              <w:t> </w:t>
            </w:r>
            <w:r>
              <w:rPr>
                <w:rFonts w:ascii="Times New Roman" w:hAnsi="Times New Roman"/>
                <w:sz w:val="19"/>
              </w:rPr>
              <w:t>de</w:t>
            </w:r>
            <w:r>
              <w:rPr>
                <w:rFonts w:ascii="Times New Roman" w:hAnsi="Times New Roman"/>
                <w:spacing w:val="-3"/>
                <w:sz w:val="19"/>
              </w:rPr>
              <w:t> </w:t>
            </w:r>
            <w:r>
              <w:rPr>
                <w:rFonts w:ascii="Times New Roman" w:hAnsi="Times New Roman"/>
                <w:sz w:val="19"/>
              </w:rPr>
              <w:t>la</w:t>
            </w:r>
            <w:r>
              <w:rPr>
                <w:rFonts w:ascii="Times New Roman" w:hAnsi="Times New Roman"/>
                <w:spacing w:val="3"/>
                <w:sz w:val="19"/>
              </w:rPr>
              <w:t> </w:t>
            </w:r>
            <w:r>
              <w:rPr>
                <w:rFonts w:ascii="Times New Roman" w:hAnsi="Times New Roman"/>
                <w:spacing w:val="-2"/>
                <w:sz w:val="19"/>
              </w:rPr>
              <w:t>estimación</w:t>
            </w:r>
          </w:p>
        </w:tc>
        <w:tc>
          <w:tcPr>
            <w:tcW w:w="2404" w:type="dxa"/>
          </w:tcPr>
          <w:p>
            <w:pPr>
              <w:pStyle w:val="TableParagraph"/>
              <w:spacing w:line="215" w:lineRule="exact" w:before="9"/>
              <w:ind w:right="957"/>
              <w:jc w:val="right"/>
              <w:rPr>
                <w:rFonts w:ascii="Times New Roman"/>
                <w:sz w:val="19"/>
              </w:rPr>
            </w:pPr>
            <w:r>
              <w:rPr>
                <w:rFonts w:ascii="Times New Roman"/>
                <w:sz w:val="19"/>
                <w:u w:val="single"/>
              </w:rPr>
              <w:t>-813 </w:t>
            </w:r>
            <w:r>
              <w:rPr>
                <w:rFonts w:ascii="Times New Roman"/>
                <w:spacing w:val="-2"/>
                <w:sz w:val="19"/>
                <w:u w:val="single"/>
              </w:rPr>
              <w:t>636,83</w:t>
            </w:r>
          </w:p>
        </w:tc>
        <w:tc>
          <w:tcPr>
            <w:tcW w:w="2003" w:type="dxa"/>
          </w:tcPr>
          <w:p>
            <w:pPr>
              <w:pStyle w:val="TableParagraph"/>
              <w:spacing w:line="215" w:lineRule="exact" w:before="9"/>
              <w:ind w:right="25"/>
              <w:jc w:val="right"/>
              <w:rPr>
                <w:rFonts w:ascii="Times New Roman"/>
                <w:sz w:val="19"/>
              </w:rPr>
            </w:pPr>
            <w:r>
              <w:rPr>
                <w:rFonts w:ascii="Times New Roman"/>
                <w:sz w:val="19"/>
                <w:u w:val="single"/>
              </w:rPr>
              <w:t>-435 </w:t>
            </w:r>
            <w:r>
              <w:rPr>
                <w:rFonts w:ascii="Times New Roman"/>
                <w:spacing w:val="-2"/>
                <w:sz w:val="19"/>
                <w:u w:val="single"/>
              </w:rPr>
              <w:t>236,84</w:t>
            </w:r>
          </w:p>
        </w:tc>
      </w:tr>
      <w:tr>
        <w:trPr>
          <w:trHeight w:val="236" w:hRule="atLeast"/>
        </w:trPr>
        <w:tc>
          <w:tcPr>
            <w:tcW w:w="3178" w:type="dxa"/>
          </w:tcPr>
          <w:p>
            <w:pPr>
              <w:pStyle w:val="TableParagraph"/>
              <w:spacing w:line="205" w:lineRule="exact" w:before="11"/>
              <w:ind w:left="50"/>
              <w:rPr>
                <w:rFonts w:ascii="Times New Roman"/>
                <w:sz w:val="19"/>
              </w:rPr>
            </w:pPr>
            <w:r>
              <w:rPr>
                <w:rFonts w:ascii="Times New Roman"/>
                <w:sz w:val="19"/>
              </w:rPr>
              <w:t>Saldo</w:t>
            </w:r>
            <w:r>
              <w:rPr>
                <w:rFonts w:ascii="Times New Roman"/>
                <w:spacing w:val="-4"/>
                <w:sz w:val="19"/>
              </w:rPr>
              <w:t> </w:t>
            </w:r>
            <w:r>
              <w:rPr>
                <w:rFonts w:ascii="Times New Roman"/>
                <w:sz w:val="19"/>
              </w:rPr>
              <w:t>al</w:t>
            </w:r>
            <w:r>
              <w:rPr>
                <w:rFonts w:ascii="Times New Roman"/>
                <w:spacing w:val="1"/>
                <w:sz w:val="19"/>
              </w:rPr>
              <w:t> </w:t>
            </w:r>
            <w:r>
              <w:rPr>
                <w:rFonts w:ascii="Times New Roman"/>
                <w:spacing w:val="-2"/>
                <w:sz w:val="19"/>
              </w:rPr>
              <w:t>final</w:t>
            </w:r>
          </w:p>
        </w:tc>
        <w:tc>
          <w:tcPr>
            <w:tcW w:w="2404" w:type="dxa"/>
            <w:tcBorders>
              <w:bottom w:val="single" w:sz="2" w:space="0" w:color="000000"/>
            </w:tcBorders>
          </w:tcPr>
          <w:p>
            <w:pPr>
              <w:pStyle w:val="TableParagraph"/>
              <w:spacing w:line="201" w:lineRule="exact" w:before="15"/>
              <w:ind w:right="958"/>
              <w:jc w:val="right"/>
              <w:rPr>
                <w:rFonts w:ascii="Times New Roman"/>
                <w:b/>
                <w:sz w:val="19"/>
              </w:rPr>
            </w:pPr>
            <w:r>
              <w:rPr>
                <w:rFonts w:ascii="Times New Roman"/>
                <w:b/>
                <w:sz w:val="19"/>
              </w:rPr>
              <w:t>8 508</w:t>
            </w:r>
            <w:r>
              <w:rPr>
                <w:rFonts w:ascii="Times New Roman"/>
                <w:b/>
                <w:spacing w:val="1"/>
                <w:sz w:val="19"/>
              </w:rPr>
              <w:t> </w:t>
            </w:r>
            <w:r>
              <w:rPr>
                <w:rFonts w:ascii="Times New Roman"/>
                <w:b/>
                <w:spacing w:val="-2"/>
                <w:sz w:val="19"/>
              </w:rPr>
              <w:t>859,66</w:t>
            </w:r>
          </w:p>
        </w:tc>
        <w:tc>
          <w:tcPr>
            <w:tcW w:w="2003" w:type="dxa"/>
            <w:tcBorders>
              <w:bottom w:val="single" w:sz="2" w:space="0" w:color="000000"/>
            </w:tcBorders>
          </w:tcPr>
          <w:p>
            <w:pPr>
              <w:pStyle w:val="TableParagraph"/>
              <w:spacing w:line="201" w:lineRule="exact" w:before="15"/>
              <w:ind w:right="26"/>
              <w:jc w:val="right"/>
              <w:rPr>
                <w:rFonts w:ascii="Times New Roman"/>
                <w:b/>
                <w:sz w:val="19"/>
              </w:rPr>
            </w:pPr>
            <w:r>
              <w:rPr>
                <w:rFonts w:ascii="Times New Roman"/>
                <w:b/>
                <w:sz w:val="19"/>
              </w:rPr>
              <w:t>8 514</w:t>
            </w:r>
            <w:r>
              <w:rPr>
                <w:rFonts w:ascii="Times New Roman"/>
                <w:b/>
                <w:spacing w:val="1"/>
                <w:sz w:val="19"/>
              </w:rPr>
              <w:t> </w:t>
            </w:r>
            <w:r>
              <w:rPr>
                <w:rFonts w:ascii="Times New Roman"/>
                <w:b/>
                <w:spacing w:val="-2"/>
                <w:sz w:val="19"/>
              </w:rPr>
              <w:t>863,79</w:t>
            </w:r>
          </w:p>
        </w:tc>
      </w:tr>
    </w:tbl>
    <w:p>
      <w:pPr>
        <w:pStyle w:val="BodyText"/>
        <w:rPr>
          <w:rFonts w:ascii="Times New Roman"/>
          <w:b/>
          <w:sz w:val="18"/>
        </w:rPr>
      </w:pPr>
    </w:p>
    <w:p>
      <w:pPr>
        <w:pStyle w:val="BodyText"/>
        <w:spacing w:before="159"/>
        <w:rPr>
          <w:rFonts w:ascii="Times New Roman"/>
          <w:b/>
          <w:sz w:val="18"/>
        </w:rPr>
      </w:pPr>
    </w:p>
    <w:p>
      <w:pPr>
        <w:pStyle w:val="BodyText"/>
        <w:spacing w:line="259" w:lineRule="auto"/>
        <w:ind w:left="734" w:right="1086"/>
        <w:jc w:val="both"/>
      </w:pPr>
      <w:r>
        <w:rPr/>
        <w:t>Los saldos de previsiones para deterioro de cuentas por cobrar corto plazo presentan una disminución</w:t>
      </w:r>
      <w:r>
        <w:rPr>
          <w:spacing w:val="-14"/>
        </w:rPr>
        <w:t> </w:t>
      </w:r>
      <w:r>
        <w:rPr/>
        <w:t>en</w:t>
      </w:r>
      <w:r>
        <w:rPr>
          <w:spacing w:val="-14"/>
        </w:rPr>
        <w:t> </w:t>
      </w:r>
      <w:r>
        <w:rPr/>
        <w:t>su</w:t>
      </w:r>
      <w:r>
        <w:rPr>
          <w:spacing w:val="-14"/>
        </w:rPr>
        <w:t> </w:t>
      </w:r>
      <w:r>
        <w:rPr/>
        <w:t>total</w:t>
      </w:r>
      <w:r>
        <w:rPr>
          <w:spacing w:val="-13"/>
        </w:rPr>
        <w:t> </w:t>
      </w:r>
      <w:r>
        <w:rPr/>
        <w:t>del</w:t>
      </w:r>
      <w:r>
        <w:rPr>
          <w:spacing w:val="-14"/>
        </w:rPr>
        <w:t> </w:t>
      </w:r>
      <w:r>
        <w:rPr/>
        <w:t>-0,07</w:t>
      </w:r>
      <w:r>
        <w:rPr>
          <w:spacing w:val="-14"/>
        </w:rPr>
        <w:t> </w:t>
      </w:r>
      <w:r>
        <w:rPr/>
        <w:t>%,</w:t>
      </w:r>
      <w:r>
        <w:rPr>
          <w:spacing w:val="-14"/>
        </w:rPr>
        <w:t> </w:t>
      </w:r>
      <w:r>
        <w:rPr/>
        <w:t>variación</w:t>
      </w:r>
      <w:r>
        <w:rPr>
          <w:spacing w:val="-13"/>
        </w:rPr>
        <w:t> </w:t>
      </w:r>
      <w:r>
        <w:rPr/>
        <w:t>por</w:t>
      </w:r>
      <w:r>
        <w:rPr>
          <w:spacing w:val="-14"/>
        </w:rPr>
        <w:t> </w:t>
      </w:r>
      <w:r>
        <w:rPr/>
        <w:t>disminución</w:t>
      </w:r>
      <w:r>
        <w:rPr>
          <w:spacing w:val="-14"/>
        </w:rPr>
        <w:t> </w:t>
      </w:r>
      <w:r>
        <w:rPr/>
        <w:t>en</w:t>
      </w:r>
      <w:r>
        <w:rPr>
          <w:spacing w:val="-14"/>
        </w:rPr>
        <w:t> </w:t>
      </w:r>
      <w:r>
        <w:rPr/>
        <w:t>los</w:t>
      </w:r>
      <w:r>
        <w:rPr>
          <w:spacing w:val="-13"/>
        </w:rPr>
        <w:t> </w:t>
      </w:r>
      <w:r>
        <w:rPr/>
        <w:t>saldos</w:t>
      </w:r>
      <w:r>
        <w:rPr>
          <w:spacing w:val="-14"/>
        </w:rPr>
        <w:t> </w:t>
      </w:r>
      <w:r>
        <w:rPr/>
        <w:t>de</w:t>
      </w:r>
      <w:r>
        <w:rPr>
          <w:spacing w:val="-14"/>
        </w:rPr>
        <w:t> </w:t>
      </w:r>
      <w:r>
        <w:rPr/>
        <w:t>las</w:t>
      </w:r>
      <w:r>
        <w:rPr>
          <w:spacing w:val="-14"/>
        </w:rPr>
        <w:t> </w:t>
      </w:r>
      <w:r>
        <w:rPr/>
        <w:t>cuentas</w:t>
      </w:r>
      <w:r>
        <w:rPr>
          <w:spacing w:val="-13"/>
        </w:rPr>
        <w:t> </w:t>
      </w:r>
      <w:r>
        <w:rPr/>
        <w:t>por</w:t>
      </w:r>
      <w:r>
        <w:rPr>
          <w:spacing w:val="-14"/>
        </w:rPr>
        <w:t> </w:t>
      </w:r>
      <w:r>
        <w:rPr/>
        <w:t>cobrar y</w:t>
      </w:r>
      <w:r>
        <w:rPr>
          <w:spacing w:val="-14"/>
        </w:rPr>
        <w:t> </w:t>
      </w:r>
      <w:r>
        <w:rPr/>
        <w:t>en</w:t>
      </w:r>
      <w:r>
        <w:rPr>
          <w:spacing w:val="-14"/>
        </w:rPr>
        <w:t> </w:t>
      </w:r>
      <w:r>
        <w:rPr/>
        <w:t>los</w:t>
      </w:r>
      <w:r>
        <w:rPr>
          <w:spacing w:val="-13"/>
        </w:rPr>
        <w:t> </w:t>
      </w:r>
      <w:r>
        <w:rPr/>
        <w:t>porcentajes</w:t>
      </w:r>
      <w:r>
        <w:rPr>
          <w:spacing w:val="-11"/>
        </w:rPr>
        <w:t> </w:t>
      </w:r>
      <w:r>
        <w:rPr/>
        <w:t>de</w:t>
      </w:r>
      <w:r>
        <w:rPr>
          <w:spacing w:val="-14"/>
        </w:rPr>
        <w:t> </w:t>
      </w:r>
      <w:r>
        <w:rPr/>
        <w:t>incobrabilidad</w:t>
      </w:r>
      <w:r>
        <w:rPr>
          <w:spacing w:val="-12"/>
        </w:rPr>
        <w:t> </w:t>
      </w:r>
      <w:r>
        <w:rPr/>
        <w:t>para</w:t>
      </w:r>
      <w:r>
        <w:rPr>
          <w:spacing w:val="-13"/>
        </w:rPr>
        <w:t> </w:t>
      </w:r>
      <w:r>
        <w:rPr/>
        <w:t>realizar</w:t>
      </w:r>
      <w:r>
        <w:rPr>
          <w:spacing w:val="-13"/>
        </w:rPr>
        <w:t> </w:t>
      </w:r>
      <w:r>
        <w:rPr/>
        <w:t>la</w:t>
      </w:r>
      <w:r>
        <w:rPr>
          <w:spacing w:val="-14"/>
        </w:rPr>
        <w:t> </w:t>
      </w:r>
      <w:r>
        <w:rPr/>
        <w:t>previsión</w:t>
      </w:r>
      <w:r>
        <w:rPr>
          <w:spacing w:val="-11"/>
        </w:rPr>
        <w:t> </w:t>
      </w:r>
      <w:r>
        <w:rPr/>
        <w:t>en</w:t>
      </w:r>
      <w:r>
        <w:rPr>
          <w:spacing w:val="-14"/>
        </w:rPr>
        <w:t> </w:t>
      </w:r>
      <w:r>
        <w:rPr/>
        <w:t>el</w:t>
      </w:r>
      <w:r>
        <w:rPr>
          <w:spacing w:val="-12"/>
        </w:rPr>
        <w:t> </w:t>
      </w:r>
      <w:r>
        <w:rPr/>
        <w:t>año</w:t>
      </w:r>
      <w:r>
        <w:rPr>
          <w:spacing w:val="-12"/>
        </w:rPr>
        <w:t> </w:t>
      </w:r>
      <w:r>
        <w:rPr/>
        <w:t>2026,</w:t>
      </w:r>
      <w:r>
        <w:rPr>
          <w:spacing w:val="-14"/>
        </w:rPr>
        <w:t> </w:t>
      </w:r>
      <w:r>
        <w:rPr/>
        <w:t>en</w:t>
      </w:r>
      <w:r>
        <w:rPr>
          <w:spacing w:val="-12"/>
        </w:rPr>
        <w:t> </w:t>
      </w:r>
      <w:r>
        <w:rPr/>
        <w:t>el</w:t>
      </w:r>
      <w:r>
        <w:rPr>
          <w:spacing w:val="-14"/>
        </w:rPr>
        <w:t> </w:t>
      </w:r>
      <w:r>
        <w:rPr/>
        <w:t>siguiente</w:t>
      </w:r>
      <w:r>
        <w:rPr>
          <w:spacing w:val="-12"/>
        </w:rPr>
        <w:t> </w:t>
      </w:r>
      <w:r>
        <w:rPr/>
        <w:t>cuadro se muestra los movimientos mensuales aplicados: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2112">
                <wp:simplePos x="0" y="0"/>
                <wp:positionH relativeFrom="page">
                  <wp:posOffset>9525</wp:posOffset>
                </wp:positionH>
                <wp:positionV relativeFrom="page">
                  <wp:posOffset>297208</wp:posOffset>
                </wp:positionV>
                <wp:extent cx="7762875" cy="9748520"/>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7762875" cy="9748520"/>
                          <a:chExt cx="7762875" cy="9748520"/>
                        </a:xfrm>
                      </wpg:grpSpPr>
                      <pic:pic>
                        <pic:nvPicPr>
                          <pic:cNvPr id="250" name="Image 250"/>
                          <pic:cNvPicPr/>
                        </pic:nvPicPr>
                        <pic:blipFill>
                          <a:blip r:embed="rId5" cstate="print"/>
                          <a:stretch>
                            <a:fillRect/>
                          </a:stretch>
                        </pic:blipFill>
                        <pic:spPr>
                          <a:xfrm>
                            <a:off x="0" y="0"/>
                            <a:ext cx="7762874" cy="9748489"/>
                          </a:xfrm>
                          <a:prstGeom prst="rect">
                            <a:avLst/>
                          </a:prstGeom>
                        </pic:spPr>
                      </pic:pic>
                      <wps:wsp>
                        <wps:cNvPr id="251" name="Graphic 25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4368" id="docshapegroup236" coordorigin="15,468" coordsize="12225,15352">
                <v:shape style="position:absolute;left:15;top:468;width:12225;height:15352" type="#_x0000_t75" id="docshape237" stroked="false">
                  <v:imagedata r:id="rId5" o:title=""/>
                </v:shape>
                <v:rect style="position:absolute;left:1673;top:2028;width:8897;height:15" id="docshape238"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66528">
                <wp:simplePos x="0" y="0"/>
                <wp:positionH relativeFrom="page">
                  <wp:posOffset>1632301</wp:posOffset>
                </wp:positionH>
                <wp:positionV relativeFrom="page">
                  <wp:posOffset>3196163</wp:posOffset>
                </wp:positionV>
                <wp:extent cx="4506595" cy="273875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4506595" cy="2738755"/>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3"/>
                              <w:gridCol w:w="1693"/>
                              <w:gridCol w:w="704"/>
                              <w:gridCol w:w="797"/>
                              <w:gridCol w:w="716"/>
                              <w:gridCol w:w="728"/>
                              <w:gridCol w:w="496"/>
                              <w:gridCol w:w="1339"/>
                            </w:tblGrid>
                            <w:tr>
                              <w:trPr>
                                <w:trHeight w:val="246" w:hRule="atLeast"/>
                              </w:trPr>
                              <w:tc>
                                <w:tcPr>
                                  <w:tcW w:w="6966" w:type="dxa"/>
                                  <w:gridSpan w:val="8"/>
                                  <w:tcBorders>
                                    <w:left w:val="single" w:sz="2" w:space="0" w:color="000000"/>
                                    <w:right w:val="single" w:sz="2" w:space="0" w:color="000000"/>
                                  </w:tcBorders>
                                  <w:shd w:val="clear" w:color="auto" w:fill="E7E6E6"/>
                                </w:tcPr>
                                <w:p>
                                  <w:pPr>
                                    <w:pStyle w:val="TableParagraph"/>
                                    <w:spacing w:before="68"/>
                                    <w:ind w:left="10"/>
                                    <w:jc w:val="center"/>
                                    <w:rPr>
                                      <w:rFonts w:ascii="Arial"/>
                                      <w:b/>
                                      <w:sz w:val="10"/>
                                    </w:rPr>
                                  </w:pPr>
                                  <w:r>
                                    <w:rPr>
                                      <w:rFonts w:ascii="Arial"/>
                                      <w:b/>
                                      <w:spacing w:val="-2"/>
                                      <w:w w:val="80"/>
                                      <w:sz w:val="10"/>
                                    </w:rPr>
                                    <w:t>VARIACIONES</w:t>
                                  </w:r>
                                  <w:r>
                                    <w:rPr>
                                      <w:rFonts w:ascii="Arial"/>
                                      <w:b/>
                                      <w:spacing w:val="-4"/>
                                      <w:sz w:val="10"/>
                                    </w:rPr>
                                    <w:t> </w:t>
                                  </w:r>
                                  <w:r>
                                    <w:rPr>
                                      <w:rFonts w:ascii="Arial"/>
                                      <w:b/>
                                      <w:spacing w:val="-2"/>
                                      <w:w w:val="80"/>
                                      <w:sz w:val="10"/>
                                    </w:rPr>
                                    <w:t>DE</w:t>
                                  </w:r>
                                  <w:r>
                                    <w:rPr>
                                      <w:rFonts w:ascii="Arial"/>
                                      <w:b/>
                                      <w:spacing w:val="-1"/>
                                      <w:sz w:val="10"/>
                                    </w:rPr>
                                    <w:t> </w:t>
                                  </w:r>
                                  <w:r>
                                    <w:rPr>
                                      <w:rFonts w:ascii="Arial"/>
                                      <w:b/>
                                      <w:spacing w:val="-2"/>
                                      <w:w w:val="80"/>
                                      <w:sz w:val="10"/>
                                    </w:rPr>
                                    <w:t>LAS</w:t>
                                  </w:r>
                                  <w:r>
                                    <w:rPr>
                                      <w:rFonts w:ascii="Arial"/>
                                      <w:b/>
                                      <w:spacing w:val="-2"/>
                                      <w:sz w:val="10"/>
                                    </w:rPr>
                                    <w:t> </w:t>
                                  </w:r>
                                  <w:r>
                                    <w:rPr>
                                      <w:rFonts w:ascii="Arial"/>
                                      <w:b/>
                                      <w:spacing w:val="-2"/>
                                      <w:w w:val="80"/>
                                      <w:sz w:val="10"/>
                                    </w:rPr>
                                    <w:t>CUENTAS</w:t>
                                  </w:r>
                                  <w:r>
                                    <w:rPr>
                                      <w:rFonts w:ascii="Arial"/>
                                      <w:b/>
                                      <w:spacing w:val="-1"/>
                                      <w:sz w:val="10"/>
                                    </w:rPr>
                                    <w:t> </w:t>
                                  </w:r>
                                  <w:r>
                                    <w:rPr>
                                      <w:rFonts w:ascii="Arial"/>
                                      <w:b/>
                                      <w:spacing w:val="-2"/>
                                      <w:w w:val="80"/>
                                      <w:sz w:val="10"/>
                                    </w:rPr>
                                    <w:t>DE</w:t>
                                  </w:r>
                                  <w:r>
                                    <w:rPr>
                                      <w:rFonts w:ascii="Arial"/>
                                      <w:b/>
                                      <w:spacing w:val="-2"/>
                                      <w:sz w:val="10"/>
                                    </w:rPr>
                                    <w:t> </w:t>
                                  </w:r>
                                  <w:r>
                                    <w:rPr>
                                      <w:rFonts w:ascii="Arial"/>
                                      <w:b/>
                                      <w:spacing w:val="-2"/>
                                      <w:w w:val="80"/>
                                      <w:sz w:val="10"/>
                                    </w:rPr>
                                    <w:t>ESTIMACION</w:t>
                                  </w:r>
                                  <w:r>
                                    <w:rPr>
                                      <w:rFonts w:ascii="Arial"/>
                                      <w:b/>
                                      <w:spacing w:val="-4"/>
                                      <w:sz w:val="10"/>
                                    </w:rPr>
                                    <w:t> </w:t>
                                  </w:r>
                                  <w:r>
                                    <w:rPr>
                                      <w:rFonts w:ascii="Arial"/>
                                      <w:b/>
                                      <w:spacing w:val="-2"/>
                                      <w:w w:val="80"/>
                                      <w:sz w:val="10"/>
                                    </w:rPr>
                                    <w:t>DE</w:t>
                                  </w:r>
                                  <w:r>
                                    <w:rPr>
                                      <w:rFonts w:ascii="Arial"/>
                                      <w:b/>
                                      <w:spacing w:val="-1"/>
                                      <w:sz w:val="10"/>
                                    </w:rPr>
                                    <w:t> </w:t>
                                  </w:r>
                                  <w:r>
                                    <w:rPr>
                                      <w:rFonts w:ascii="Arial"/>
                                      <w:b/>
                                      <w:spacing w:val="-2"/>
                                      <w:w w:val="80"/>
                                      <w:sz w:val="10"/>
                                    </w:rPr>
                                    <w:t>INCOBRABLES</w:t>
                                  </w:r>
                                  <w:r>
                                    <w:rPr>
                                      <w:rFonts w:ascii="Arial"/>
                                      <w:b/>
                                      <w:spacing w:val="-2"/>
                                      <w:sz w:val="10"/>
                                    </w:rPr>
                                    <w:t> </w:t>
                                  </w:r>
                                  <w:r>
                                    <w:rPr>
                                      <w:rFonts w:ascii="Arial"/>
                                      <w:b/>
                                      <w:spacing w:val="-2"/>
                                      <w:w w:val="80"/>
                                      <w:sz w:val="10"/>
                                    </w:rPr>
                                    <w:t>Corto</w:t>
                                  </w:r>
                                  <w:r>
                                    <w:rPr>
                                      <w:rFonts w:ascii="Arial"/>
                                      <w:b/>
                                      <w:spacing w:val="-3"/>
                                      <w:sz w:val="10"/>
                                    </w:rPr>
                                    <w:t> </w:t>
                                  </w:r>
                                  <w:r>
                                    <w:rPr>
                                      <w:rFonts w:ascii="Arial"/>
                                      <w:b/>
                                      <w:spacing w:val="-2"/>
                                      <w:w w:val="80"/>
                                      <w:sz w:val="10"/>
                                    </w:rPr>
                                    <w:t>plazo</w:t>
                                  </w:r>
                                  <w:r>
                                    <w:rPr>
                                      <w:rFonts w:ascii="Arial"/>
                                      <w:b/>
                                      <w:spacing w:val="-2"/>
                                      <w:sz w:val="10"/>
                                    </w:rPr>
                                    <w:t> </w:t>
                                  </w:r>
                                  <w:r>
                                    <w:rPr>
                                      <w:rFonts w:ascii="Arial"/>
                                      <w:b/>
                                      <w:spacing w:val="-2"/>
                                      <w:w w:val="80"/>
                                      <w:sz w:val="10"/>
                                    </w:rPr>
                                    <w:t>DE</w:t>
                                  </w:r>
                                  <w:r>
                                    <w:rPr>
                                      <w:rFonts w:ascii="Arial"/>
                                      <w:b/>
                                      <w:spacing w:val="-2"/>
                                      <w:sz w:val="10"/>
                                    </w:rPr>
                                    <w:t> </w:t>
                                  </w:r>
                                  <w:r>
                                    <w:rPr>
                                      <w:rFonts w:ascii="Arial"/>
                                      <w:b/>
                                      <w:spacing w:val="-2"/>
                                      <w:w w:val="80"/>
                                      <w:sz w:val="10"/>
                                    </w:rPr>
                                    <w:t>LAS</w:t>
                                  </w:r>
                                  <w:r>
                                    <w:rPr>
                                      <w:rFonts w:ascii="Arial"/>
                                      <w:b/>
                                      <w:spacing w:val="-1"/>
                                      <w:sz w:val="10"/>
                                    </w:rPr>
                                    <w:t> </w:t>
                                  </w:r>
                                  <w:r>
                                    <w:rPr>
                                      <w:rFonts w:ascii="Arial"/>
                                      <w:b/>
                                      <w:spacing w:val="-2"/>
                                      <w:w w:val="80"/>
                                      <w:sz w:val="10"/>
                                    </w:rPr>
                                    <w:t>CUENTAS</w:t>
                                  </w:r>
                                  <w:r>
                                    <w:rPr>
                                      <w:rFonts w:ascii="Arial"/>
                                      <w:b/>
                                      <w:spacing w:val="-2"/>
                                      <w:sz w:val="10"/>
                                    </w:rPr>
                                    <w:t> </w:t>
                                  </w:r>
                                  <w:r>
                                    <w:rPr>
                                      <w:rFonts w:ascii="Arial"/>
                                      <w:b/>
                                      <w:spacing w:val="-2"/>
                                      <w:w w:val="80"/>
                                      <w:sz w:val="10"/>
                                    </w:rPr>
                                    <w:t>A</w:t>
                                  </w:r>
                                  <w:r>
                                    <w:rPr>
                                      <w:rFonts w:ascii="Arial"/>
                                      <w:b/>
                                      <w:spacing w:val="-4"/>
                                      <w:sz w:val="10"/>
                                    </w:rPr>
                                    <w:t> </w:t>
                                  </w:r>
                                  <w:r>
                                    <w:rPr>
                                      <w:rFonts w:ascii="Arial"/>
                                      <w:b/>
                                      <w:spacing w:val="-2"/>
                                      <w:w w:val="80"/>
                                      <w:sz w:val="10"/>
                                    </w:rPr>
                                    <w:t>COBRAR</w:t>
                                  </w:r>
                                  <w:r>
                                    <w:rPr>
                                      <w:rFonts w:ascii="Arial"/>
                                      <w:b/>
                                      <w:spacing w:val="-1"/>
                                      <w:sz w:val="10"/>
                                    </w:rPr>
                                    <w:t> </w:t>
                                  </w:r>
                                  <w:r>
                                    <w:rPr>
                                      <w:rFonts w:ascii="Arial"/>
                                      <w:b/>
                                      <w:spacing w:val="-2"/>
                                      <w:w w:val="80"/>
                                      <w:sz w:val="10"/>
                                    </w:rPr>
                                    <w:t>AL</w:t>
                                  </w:r>
                                  <w:r>
                                    <w:rPr>
                                      <w:rFonts w:ascii="Arial"/>
                                      <w:b/>
                                      <w:spacing w:val="-3"/>
                                      <w:sz w:val="10"/>
                                    </w:rPr>
                                    <w:t> </w:t>
                                  </w:r>
                                  <w:r>
                                    <w:rPr>
                                      <w:rFonts w:ascii="Arial"/>
                                      <w:b/>
                                      <w:spacing w:val="-2"/>
                                      <w:w w:val="80"/>
                                      <w:sz w:val="10"/>
                                    </w:rPr>
                                    <w:t>31.07.26</w:t>
                                  </w:r>
                                  <w:r>
                                    <w:rPr>
                                      <w:rFonts w:ascii="Arial"/>
                                      <w:b/>
                                      <w:spacing w:val="23"/>
                                      <w:sz w:val="10"/>
                                    </w:rPr>
                                    <w:t> </w:t>
                                  </w:r>
                                  <w:r>
                                    <w:rPr>
                                      <w:rFonts w:ascii="Arial"/>
                                      <w:b/>
                                      <w:spacing w:val="-2"/>
                                      <w:w w:val="80"/>
                                      <w:sz w:val="10"/>
                                    </w:rPr>
                                    <w:t>y</w:t>
                                  </w:r>
                                  <w:r>
                                    <w:rPr>
                                      <w:rFonts w:ascii="Arial"/>
                                      <w:b/>
                                      <w:sz w:val="10"/>
                                    </w:rPr>
                                    <w:t> </w:t>
                                  </w:r>
                                  <w:r>
                                    <w:rPr>
                                      <w:rFonts w:ascii="Arial"/>
                                      <w:b/>
                                      <w:spacing w:val="-2"/>
                                      <w:w w:val="80"/>
                                      <w:sz w:val="10"/>
                                    </w:rPr>
                                    <w:t>31.07.25</w:t>
                                  </w:r>
                                </w:p>
                              </w:tc>
                            </w:tr>
                            <w:tr>
                              <w:trPr>
                                <w:trHeight w:val="135" w:hRule="atLeast"/>
                              </w:trPr>
                              <w:tc>
                                <w:tcPr>
                                  <w:tcW w:w="493" w:type="dxa"/>
                                  <w:tcBorders>
                                    <w:left w:val="nil"/>
                                    <w:right w:val="single" w:sz="2" w:space="0" w:color="DFDFDF"/>
                                  </w:tcBorders>
                                </w:tcPr>
                                <w:p>
                                  <w:pPr>
                                    <w:pStyle w:val="TableParagraph"/>
                                    <w:rPr>
                                      <w:rFonts w:ascii="Times New Roman"/>
                                      <w:sz w:val="8"/>
                                    </w:rPr>
                                  </w:pPr>
                                </w:p>
                              </w:tc>
                              <w:tc>
                                <w:tcPr>
                                  <w:tcW w:w="1693" w:type="dxa"/>
                                  <w:tcBorders>
                                    <w:left w:val="single" w:sz="2" w:space="0" w:color="DFDFDF"/>
                                    <w:right w:val="single" w:sz="2" w:space="0" w:color="DFDFDF"/>
                                  </w:tcBorders>
                                </w:tcPr>
                                <w:p>
                                  <w:pPr>
                                    <w:pStyle w:val="TableParagraph"/>
                                    <w:rPr>
                                      <w:rFonts w:ascii="Times New Roman"/>
                                      <w:sz w:val="8"/>
                                    </w:rPr>
                                  </w:pPr>
                                </w:p>
                              </w:tc>
                              <w:tc>
                                <w:tcPr>
                                  <w:tcW w:w="704" w:type="dxa"/>
                                  <w:tcBorders>
                                    <w:left w:val="single" w:sz="2" w:space="0" w:color="DFDFDF"/>
                                    <w:right w:val="single" w:sz="2" w:space="0" w:color="DFDFDF"/>
                                  </w:tcBorders>
                                </w:tcPr>
                                <w:p>
                                  <w:pPr>
                                    <w:pStyle w:val="TableParagraph"/>
                                    <w:rPr>
                                      <w:rFonts w:ascii="Times New Roman"/>
                                      <w:sz w:val="8"/>
                                    </w:rPr>
                                  </w:pPr>
                                </w:p>
                              </w:tc>
                              <w:tc>
                                <w:tcPr>
                                  <w:tcW w:w="797" w:type="dxa"/>
                                  <w:tcBorders>
                                    <w:left w:val="single" w:sz="2" w:space="0" w:color="DFDFDF"/>
                                    <w:right w:val="single" w:sz="2" w:space="0" w:color="DFDFDF"/>
                                  </w:tcBorders>
                                </w:tcPr>
                                <w:p>
                                  <w:pPr>
                                    <w:pStyle w:val="TableParagraph"/>
                                    <w:rPr>
                                      <w:rFonts w:ascii="Times New Roman"/>
                                      <w:sz w:val="8"/>
                                    </w:rPr>
                                  </w:pPr>
                                </w:p>
                              </w:tc>
                              <w:tc>
                                <w:tcPr>
                                  <w:tcW w:w="716" w:type="dxa"/>
                                  <w:tcBorders>
                                    <w:left w:val="single" w:sz="2" w:space="0" w:color="DFDFDF"/>
                                    <w:right w:val="single" w:sz="2" w:space="0" w:color="DFDFDF"/>
                                  </w:tcBorders>
                                </w:tcPr>
                                <w:p>
                                  <w:pPr>
                                    <w:pStyle w:val="TableParagraph"/>
                                    <w:rPr>
                                      <w:rFonts w:ascii="Times New Roman"/>
                                      <w:sz w:val="8"/>
                                    </w:rPr>
                                  </w:pPr>
                                </w:p>
                              </w:tc>
                              <w:tc>
                                <w:tcPr>
                                  <w:tcW w:w="728" w:type="dxa"/>
                                  <w:tcBorders>
                                    <w:left w:val="single" w:sz="2" w:space="0" w:color="DFDFDF"/>
                                    <w:right w:val="single" w:sz="2" w:space="0" w:color="DFDFDF"/>
                                  </w:tcBorders>
                                </w:tcPr>
                                <w:p>
                                  <w:pPr>
                                    <w:pStyle w:val="TableParagraph"/>
                                    <w:rPr>
                                      <w:rFonts w:ascii="Times New Roman"/>
                                      <w:sz w:val="8"/>
                                    </w:rPr>
                                  </w:pPr>
                                </w:p>
                              </w:tc>
                              <w:tc>
                                <w:tcPr>
                                  <w:tcW w:w="496" w:type="dxa"/>
                                  <w:tcBorders>
                                    <w:left w:val="single" w:sz="2" w:space="0" w:color="DFDFDF"/>
                                    <w:right w:val="single" w:sz="2" w:space="0" w:color="DFDFDF"/>
                                  </w:tcBorders>
                                </w:tcPr>
                                <w:p>
                                  <w:pPr>
                                    <w:pStyle w:val="TableParagraph"/>
                                    <w:rPr>
                                      <w:rFonts w:ascii="Times New Roman"/>
                                      <w:sz w:val="8"/>
                                    </w:rPr>
                                  </w:pPr>
                                </w:p>
                              </w:tc>
                              <w:tc>
                                <w:tcPr>
                                  <w:tcW w:w="1339" w:type="dxa"/>
                                  <w:tcBorders>
                                    <w:left w:val="single" w:sz="2" w:space="0" w:color="DFDFDF"/>
                                    <w:right w:val="single" w:sz="2" w:space="0" w:color="DFDFDF"/>
                                  </w:tcBorders>
                                </w:tcPr>
                                <w:p>
                                  <w:pPr>
                                    <w:pStyle w:val="TableParagraph"/>
                                    <w:rPr>
                                      <w:rFonts w:ascii="Times New Roman"/>
                                      <w:sz w:val="8"/>
                                    </w:rPr>
                                  </w:pPr>
                                </w:p>
                              </w:tc>
                            </w:tr>
                            <w:tr>
                              <w:trPr>
                                <w:trHeight w:val="346" w:hRule="atLeast"/>
                              </w:trPr>
                              <w:tc>
                                <w:tcPr>
                                  <w:tcW w:w="493" w:type="dxa"/>
                                  <w:tcBorders>
                                    <w:left w:val="single" w:sz="2" w:space="0" w:color="000000"/>
                                    <w:bottom w:val="single" w:sz="2" w:space="0" w:color="000000"/>
                                    <w:right w:val="single" w:sz="2" w:space="0" w:color="000000"/>
                                  </w:tcBorders>
                                  <w:shd w:val="clear" w:color="auto" w:fill="E7E6E6"/>
                                </w:tcPr>
                                <w:p>
                                  <w:pPr>
                                    <w:pStyle w:val="TableParagraph"/>
                                    <w:spacing w:before="4"/>
                                    <w:rPr>
                                      <w:sz w:val="9"/>
                                    </w:rPr>
                                  </w:pPr>
                                </w:p>
                                <w:p>
                                  <w:pPr>
                                    <w:pStyle w:val="TableParagraph"/>
                                    <w:spacing w:line="110" w:lineRule="atLeast"/>
                                    <w:ind w:left="43" w:firstLine="48"/>
                                    <w:rPr>
                                      <w:rFonts w:ascii="Arial"/>
                                      <w:b/>
                                      <w:sz w:val="9"/>
                                    </w:rPr>
                                  </w:pPr>
                                  <w:r>
                                    <w:rPr>
                                      <w:rFonts w:ascii="Arial"/>
                                      <w:b/>
                                      <w:spacing w:val="-2"/>
                                      <w:w w:val="90"/>
                                      <w:sz w:val="9"/>
                                    </w:rPr>
                                    <w:t>CUENTA</w:t>
                                  </w:r>
                                  <w:r>
                                    <w:rPr>
                                      <w:rFonts w:ascii="Arial"/>
                                      <w:b/>
                                      <w:spacing w:val="40"/>
                                      <w:sz w:val="9"/>
                                    </w:rPr>
                                    <w:t> </w:t>
                                  </w:r>
                                  <w:r>
                                    <w:rPr>
                                      <w:rFonts w:ascii="Arial"/>
                                      <w:b/>
                                      <w:spacing w:val="-2"/>
                                      <w:w w:val="80"/>
                                      <w:sz w:val="9"/>
                                    </w:rPr>
                                    <w:t>CONTABLE</w:t>
                                  </w:r>
                                </w:p>
                              </w:tc>
                              <w:tc>
                                <w:tcPr>
                                  <w:tcW w:w="1693" w:type="dxa"/>
                                  <w:tcBorders>
                                    <w:left w:val="single" w:sz="2" w:space="0" w:color="000000"/>
                                    <w:bottom w:val="single" w:sz="2" w:space="0" w:color="000000"/>
                                    <w:right w:val="single" w:sz="2" w:space="0" w:color="000000"/>
                                  </w:tcBorders>
                                  <w:shd w:val="clear" w:color="auto" w:fill="E7E6E6"/>
                                </w:tcPr>
                                <w:p>
                                  <w:pPr>
                                    <w:pStyle w:val="TableParagraph"/>
                                    <w:rPr>
                                      <w:sz w:val="9"/>
                                    </w:rPr>
                                  </w:pPr>
                                </w:p>
                                <w:p>
                                  <w:pPr>
                                    <w:pStyle w:val="TableParagraph"/>
                                    <w:spacing w:before="36"/>
                                    <w:rPr>
                                      <w:sz w:val="9"/>
                                    </w:rPr>
                                  </w:pPr>
                                </w:p>
                                <w:p>
                                  <w:pPr>
                                    <w:pStyle w:val="TableParagraph"/>
                                    <w:spacing w:line="85" w:lineRule="exact"/>
                                    <w:ind w:left="309"/>
                                    <w:rPr>
                                      <w:rFonts w:ascii="Arial"/>
                                      <w:b/>
                                      <w:sz w:val="9"/>
                                    </w:rPr>
                                  </w:pPr>
                                  <w:r>
                                    <w:rPr>
                                      <w:rFonts w:ascii="Arial"/>
                                      <w:b/>
                                      <w:w w:val="80"/>
                                      <w:sz w:val="9"/>
                                    </w:rPr>
                                    <w:t>NOMBRE</w:t>
                                  </w:r>
                                  <w:r>
                                    <w:rPr>
                                      <w:rFonts w:ascii="Arial"/>
                                      <w:b/>
                                      <w:spacing w:val="-1"/>
                                      <w:w w:val="80"/>
                                      <w:sz w:val="9"/>
                                    </w:rPr>
                                    <w:t> </w:t>
                                  </w:r>
                                  <w:r>
                                    <w:rPr>
                                      <w:rFonts w:ascii="Arial"/>
                                      <w:b/>
                                      <w:w w:val="80"/>
                                      <w:sz w:val="9"/>
                                    </w:rPr>
                                    <w:t>CUENTA</w:t>
                                  </w:r>
                                  <w:r>
                                    <w:rPr>
                                      <w:rFonts w:ascii="Arial"/>
                                      <w:b/>
                                      <w:spacing w:val="-2"/>
                                      <w:w w:val="80"/>
                                      <w:sz w:val="9"/>
                                    </w:rPr>
                                    <w:t> CONTABLE</w:t>
                                  </w:r>
                                </w:p>
                              </w:tc>
                              <w:tc>
                                <w:tcPr>
                                  <w:tcW w:w="704" w:type="dxa"/>
                                  <w:tcBorders>
                                    <w:left w:val="single" w:sz="2" w:space="0" w:color="000000"/>
                                    <w:bottom w:val="single" w:sz="2" w:space="0" w:color="000000"/>
                                    <w:right w:val="single" w:sz="2" w:space="0" w:color="000000"/>
                                  </w:tcBorders>
                                  <w:shd w:val="clear" w:color="auto" w:fill="E7E6E6"/>
                                </w:tcPr>
                                <w:p>
                                  <w:pPr>
                                    <w:pStyle w:val="TableParagraph"/>
                                    <w:rPr>
                                      <w:sz w:val="9"/>
                                    </w:rPr>
                                  </w:pPr>
                                </w:p>
                                <w:p>
                                  <w:pPr>
                                    <w:pStyle w:val="TableParagraph"/>
                                    <w:spacing w:before="36"/>
                                    <w:rPr>
                                      <w:sz w:val="9"/>
                                    </w:rPr>
                                  </w:pPr>
                                </w:p>
                                <w:p>
                                  <w:pPr>
                                    <w:pStyle w:val="TableParagraph"/>
                                    <w:spacing w:line="85" w:lineRule="exact"/>
                                    <w:ind w:left="143"/>
                                    <w:rPr>
                                      <w:rFonts w:ascii="Arial"/>
                                      <w:b/>
                                      <w:sz w:val="9"/>
                                    </w:rPr>
                                  </w:pPr>
                                  <w:r>
                                    <w:rPr>
                                      <w:rFonts w:ascii="Arial"/>
                                      <w:b/>
                                      <w:spacing w:val="-2"/>
                                      <w:w w:val="90"/>
                                      <w:sz w:val="9"/>
                                    </w:rPr>
                                    <w:t>CONCEPTO</w:t>
                                  </w:r>
                                </w:p>
                              </w:tc>
                              <w:tc>
                                <w:tcPr>
                                  <w:tcW w:w="797" w:type="dxa"/>
                                  <w:tcBorders>
                                    <w:left w:val="single" w:sz="2" w:space="0" w:color="000000"/>
                                    <w:bottom w:val="single" w:sz="2" w:space="0" w:color="000000"/>
                                    <w:right w:val="single" w:sz="2" w:space="0" w:color="000000"/>
                                  </w:tcBorders>
                                  <w:shd w:val="clear" w:color="auto" w:fill="E7E6E6"/>
                                </w:tcPr>
                                <w:p>
                                  <w:pPr>
                                    <w:pStyle w:val="TableParagraph"/>
                                    <w:spacing w:before="6"/>
                                    <w:ind w:left="7" w:right="2"/>
                                    <w:jc w:val="center"/>
                                    <w:rPr>
                                      <w:rFonts w:ascii="Arial"/>
                                      <w:b/>
                                      <w:sz w:val="9"/>
                                    </w:rPr>
                                  </w:pPr>
                                  <w:r>
                                    <w:rPr>
                                      <w:rFonts w:ascii="Arial"/>
                                      <w:b/>
                                      <w:spacing w:val="-2"/>
                                      <w:w w:val="90"/>
                                      <w:sz w:val="9"/>
                                    </w:rPr>
                                    <w:t>SALDOS</w:t>
                                  </w:r>
                                </w:p>
                                <w:p>
                                  <w:pPr>
                                    <w:pStyle w:val="TableParagraph"/>
                                    <w:spacing w:line="110" w:lineRule="atLeast"/>
                                    <w:ind w:left="7"/>
                                    <w:jc w:val="center"/>
                                    <w:rPr>
                                      <w:rFonts w:ascii="Arial"/>
                                      <w:b/>
                                      <w:sz w:val="9"/>
                                    </w:rPr>
                                  </w:pPr>
                                  <w:r>
                                    <w:rPr>
                                      <w:rFonts w:ascii="Arial"/>
                                      <w:b/>
                                      <w:w w:val="80"/>
                                      <w:sz w:val="9"/>
                                    </w:rPr>
                                    <w:t>ESTIM.INCOBR.</w:t>
                                  </w:r>
                                  <w:r>
                                    <w:rPr>
                                      <w:rFonts w:ascii="Arial"/>
                                      <w:b/>
                                      <w:spacing w:val="-2"/>
                                      <w:w w:val="80"/>
                                      <w:sz w:val="9"/>
                                    </w:rPr>
                                    <w:t> </w:t>
                                  </w:r>
                                  <w:r>
                                    <w:rPr>
                                      <w:rFonts w:ascii="Arial"/>
                                      <w:b/>
                                      <w:w w:val="80"/>
                                      <w:sz w:val="9"/>
                                    </w:rPr>
                                    <w:t>AL</w:t>
                                  </w:r>
                                  <w:r>
                                    <w:rPr>
                                      <w:rFonts w:ascii="Arial"/>
                                      <w:b/>
                                      <w:spacing w:val="40"/>
                                      <w:sz w:val="9"/>
                                    </w:rPr>
                                    <w:t> </w:t>
                                  </w:r>
                                  <w:r>
                                    <w:rPr>
                                      <w:rFonts w:ascii="Arial"/>
                                      <w:b/>
                                      <w:spacing w:val="-2"/>
                                      <w:w w:val="90"/>
                                      <w:sz w:val="9"/>
                                    </w:rPr>
                                    <w:t>31.07.26</w:t>
                                  </w:r>
                                </w:p>
                              </w:tc>
                              <w:tc>
                                <w:tcPr>
                                  <w:tcW w:w="716" w:type="dxa"/>
                                  <w:tcBorders>
                                    <w:left w:val="single" w:sz="2" w:space="0" w:color="000000"/>
                                    <w:bottom w:val="single" w:sz="2" w:space="0" w:color="000000"/>
                                    <w:right w:val="single" w:sz="2" w:space="0" w:color="000000"/>
                                  </w:tcBorders>
                                  <w:shd w:val="clear" w:color="auto" w:fill="E7E6E6"/>
                                </w:tcPr>
                                <w:p>
                                  <w:pPr>
                                    <w:pStyle w:val="TableParagraph"/>
                                    <w:spacing w:before="6"/>
                                    <w:ind w:left="12" w:right="3"/>
                                    <w:jc w:val="center"/>
                                    <w:rPr>
                                      <w:rFonts w:ascii="Arial"/>
                                      <w:b/>
                                      <w:sz w:val="9"/>
                                    </w:rPr>
                                  </w:pPr>
                                  <w:r>
                                    <w:rPr>
                                      <w:rFonts w:ascii="Arial"/>
                                      <w:b/>
                                      <w:spacing w:val="-2"/>
                                      <w:w w:val="90"/>
                                      <w:sz w:val="9"/>
                                    </w:rPr>
                                    <w:t>SALDOS</w:t>
                                  </w:r>
                                </w:p>
                                <w:p>
                                  <w:pPr>
                                    <w:pStyle w:val="TableParagraph"/>
                                    <w:spacing w:line="110" w:lineRule="atLeast"/>
                                    <w:ind w:left="12"/>
                                    <w:jc w:val="center"/>
                                    <w:rPr>
                                      <w:rFonts w:ascii="Arial"/>
                                      <w:b/>
                                      <w:sz w:val="9"/>
                                    </w:rPr>
                                  </w:pPr>
                                  <w:r>
                                    <w:rPr>
                                      <w:rFonts w:ascii="Arial"/>
                                      <w:b/>
                                      <w:w w:val="80"/>
                                      <w:sz w:val="9"/>
                                    </w:rPr>
                                    <w:t>ESTIM.INCOBR.</w:t>
                                  </w:r>
                                  <w:r>
                                    <w:rPr>
                                      <w:rFonts w:ascii="Arial"/>
                                      <w:b/>
                                      <w:spacing w:val="-2"/>
                                      <w:w w:val="80"/>
                                      <w:sz w:val="9"/>
                                    </w:rPr>
                                    <w:t> </w:t>
                                  </w:r>
                                  <w:r>
                                    <w:rPr>
                                      <w:rFonts w:ascii="Arial"/>
                                      <w:b/>
                                      <w:w w:val="80"/>
                                      <w:sz w:val="9"/>
                                    </w:rPr>
                                    <w:t>AL</w:t>
                                  </w:r>
                                  <w:r>
                                    <w:rPr>
                                      <w:rFonts w:ascii="Arial"/>
                                      <w:b/>
                                      <w:spacing w:val="40"/>
                                      <w:sz w:val="9"/>
                                    </w:rPr>
                                    <w:t> </w:t>
                                  </w:r>
                                  <w:r>
                                    <w:rPr>
                                      <w:rFonts w:ascii="Arial"/>
                                      <w:b/>
                                      <w:spacing w:val="-2"/>
                                      <w:w w:val="90"/>
                                      <w:sz w:val="9"/>
                                    </w:rPr>
                                    <w:t>31.07.25</w:t>
                                  </w:r>
                                </w:p>
                              </w:tc>
                              <w:tc>
                                <w:tcPr>
                                  <w:tcW w:w="728" w:type="dxa"/>
                                  <w:tcBorders>
                                    <w:left w:val="single" w:sz="2" w:space="0" w:color="000000"/>
                                    <w:bottom w:val="single" w:sz="2" w:space="0" w:color="000000"/>
                                    <w:right w:val="single" w:sz="2" w:space="0" w:color="000000"/>
                                  </w:tcBorders>
                                  <w:shd w:val="clear" w:color="auto" w:fill="E7E6E6"/>
                                </w:tcPr>
                                <w:p>
                                  <w:pPr>
                                    <w:pStyle w:val="TableParagraph"/>
                                    <w:spacing w:before="21"/>
                                    <w:rPr>
                                      <w:sz w:val="9"/>
                                    </w:rPr>
                                  </w:pPr>
                                </w:p>
                                <w:p>
                                  <w:pPr>
                                    <w:pStyle w:val="TableParagraph"/>
                                    <w:ind w:left="163"/>
                                    <w:rPr>
                                      <w:rFonts w:ascii="Arial" w:hAnsi="Arial"/>
                                      <w:b/>
                                      <w:sz w:val="9"/>
                                    </w:rPr>
                                  </w:pPr>
                                  <w:r>
                                    <w:rPr>
                                      <w:rFonts w:ascii="Arial" w:hAnsi="Arial"/>
                                      <w:b/>
                                      <w:spacing w:val="-2"/>
                                      <w:w w:val="90"/>
                                      <w:sz w:val="9"/>
                                    </w:rPr>
                                    <w:t>VARIACIÓN</w:t>
                                  </w:r>
                                </w:p>
                              </w:tc>
                              <w:tc>
                                <w:tcPr>
                                  <w:tcW w:w="496" w:type="dxa"/>
                                  <w:tcBorders>
                                    <w:left w:val="single" w:sz="2" w:space="0" w:color="000000"/>
                                    <w:bottom w:val="single" w:sz="2" w:space="0" w:color="000000"/>
                                    <w:right w:val="single" w:sz="2" w:space="0" w:color="000000"/>
                                  </w:tcBorders>
                                  <w:shd w:val="clear" w:color="auto" w:fill="E7E6E6"/>
                                </w:tcPr>
                                <w:p>
                                  <w:pPr>
                                    <w:pStyle w:val="TableParagraph"/>
                                    <w:spacing w:line="273" w:lineRule="auto" w:before="65"/>
                                    <w:ind w:left="47" w:firstLine="173"/>
                                    <w:rPr>
                                      <w:rFonts w:ascii="Arial" w:hAnsi="Arial"/>
                                      <w:b/>
                                      <w:sz w:val="9"/>
                                    </w:rPr>
                                  </w:pPr>
                                  <w:r>
                                    <w:rPr>
                                      <w:rFonts w:ascii="Arial" w:hAnsi="Arial"/>
                                      <w:b/>
                                      <w:spacing w:val="-10"/>
                                      <w:w w:val="90"/>
                                      <w:sz w:val="9"/>
                                    </w:rPr>
                                    <w:t>%</w:t>
                                  </w:r>
                                  <w:r>
                                    <w:rPr>
                                      <w:rFonts w:ascii="Arial" w:hAnsi="Arial"/>
                                      <w:b/>
                                      <w:spacing w:val="40"/>
                                      <w:sz w:val="9"/>
                                    </w:rPr>
                                    <w:t> </w:t>
                                  </w:r>
                                  <w:r>
                                    <w:rPr>
                                      <w:rFonts w:ascii="Arial" w:hAnsi="Arial"/>
                                      <w:b/>
                                      <w:spacing w:val="-2"/>
                                      <w:w w:val="80"/>
                                      <w:sz w:val="9"/>
                                    </w:rPr>
                                    <w:t>VARIACIÓN</w:t>
                                  </w:r>
                                </w:p>
                              </w:tc>
                              <w:tc>
                                <w:tcPr>
                                  <w:tcW w:w="1339" w:type="dxa"/>
                                  <w:tcBorders>
                                    <w:left w:val="single" w:sz="2" w:space="0" w:color="000000"/>
                                    <w:bottom w:val="single" w:sz="2" w:space="0" w:color="000000"/>
                                    <w:right w:val="single" w:sz="2" w:space="0" w:color="000000"/>
                                  </w:tcBorders>
                                  <w:shd w:val="clear" w:color="auto" w:fill="E7E6E6"/>
                                </w:tcPr>
                                <w:p>
                                  <w:pPr>
                                    <w:pStyle w:val="TableParagraph"/>
                                    <w:spacing w:before="21"/>
                                    <w:rPr>
                                      <w:sz w:val="9"/>
                                    </w:rPr>
                                  </w:pPr>
                                </w:p>
                                <w:p>
                                  <w:pPr>
                                    <w:pStyle w:val="TableParagraph"/>
                                    <w:ind w:left="14"/>
                                    <w:jc w:val="center"/>
                                    <w:rPr>
                                      <w:rFonts w:ascii="Arial"/>
                                      <w:b/>
                                      <w:sz w:val="9"/>
                                    </w:rPr>
                                  </w:pPr>
                                  <w:r>
                                    <w:rPr>
                                      <w:rFonts w:ascii="Arial"/>
                                      <w:b/>
                                      <w:spacing w:val="-2"/>
                                      <w:w w:val="90"/>
                                      <w:sz w:val="9"/>
                                    </w:rPr>
                                    <w:t>NOTAS</w:t>
                                  </w:r>
                                </w:p>
                              </w:tc>
                            </w:tr>
                            <w:tr>
                              <w:trPr>
                                <w:trHeight w:val="817" w:hRule="atLeast"/>
                              </w:trPr>
                              <w:tc>
                                <w:tcPr>
                                  <w:tcW w:w="493"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left="13"/>
                                    <w:rPr>
                                      <w:rFonts w:ascii="Arial"/>
                                      <w:sz w:val="9"/>
                                    </w:rPr>
                                  </w:pPr>
                                  <w:r>
                                    <w:rPr>
                                      <w:rFonts w:ascii="Arial"/>
                                      <w:spacing w:val="-2"/>
                                      <w:w w:val="80"/>
                                      <w:sz w:val="9"/>
                                    </w:rPr>
                                    <w:t>PREVISION</w:t>
                                  </w:r>
                                  <w:r>
                                    <w:rPr>
                                      <w:rFonts w:ascii="Arial"/>
                                      <w:spacing w:val="13"/>
                                      <w:sz w:val="9"/>
                                    </w:rPr>
                                    <w:t> </w:t>
                                  </w:r>
                                  <w:r>
                                    <w:rPr>
                                      <w:rFonts w:ascii="Arial"/>
                                      <w:spacing w:val="-2"/>
                                      <w:w w:val="80"/>
                                      <w:sz w:val="9"/>
                                    </w:rPr>
                                    <w:t>CONTRIBUCIONES</w:t>
                                  </w:r>
                                  <w:r>
                                    <w:rPr>
                                      <w:rFonts w:ascii="Arial"/>
                                      <w:spacing w:val="12"/>
                                      <w:sz w:val="9"/>
                                    </w:rPr>
                                    <w:t> </w:t>
                                  </w:r>
                                  <w:r>
                                    <w:rPr>
                                      <w:rFonts w:ascii="Arial"/>
                                      <w:spacing w:val="-2"/>
                                      <w:w w:val="80"/>
                                      <w:sz w:val="9"/>
                                    </w:rPr>
                                    <w:t>SOCIALES</w:t>
                                  </w:r>
                                </w:p>
                              </w:tc>
                              <w:tc>
                                <w:tcPr>
                                  <w:tcW w:w="704"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left="13"/>
                                    <w:rPr>
                                      <w:rFonts w:ascii="Arial"/>
                                      <w:sz w:val="9"/>
                                    </w:rPr>
                                  </w:pPr>
                                  <w:r>
                                    <w:rPr>
                                      <w:rFonts w:ascii="Arial"/>
                                      <w:spacing w:val="-2"/>
                                      <w:w w:val="90"/>
                                      <w:sz w:val="9"/>
                                    </w:rPr>
                                    <w:t>PATRONOS</w:t>
                                  </w:r>
                                </w:p>
                              </w:tc>
                              <w:tc>
                                <w:tcPr>
                                  <w:tcW w:w="797"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25"/>
                                    <w:jc w:val="right"/>
                                    <w:rPr>
                                      <w:rFonts w:ascii="Arial"/>
                                      <w:sz w:val="9"/>
                                    </w:rPr>
                                  </w:pPr>
                                  <w:r>
                                    <w:rPr>
                                      <w:rFonts w:ascii="Arial"/>
                                      <w:w w:val="80"/>
                                      <w:sz w:val="9"/>
                                    </w:rPr>
                                    <w:t>6</w:t>
                                  </w:r>
                                  <w:r>
                                    <w:rPr>
                                      <w:rFonts w:ascii="Arial"/>
                                      <w:spacing w:val="-4"/>
                                      <w:sz w:val="9"/>
                                    </w:rPr>
                                    <w:t> </w:t>
                                  </w:r>
                                  <w:r>
                                    <w:rPr>
                                      <w:rFonts w:ascii="Arial"/>
                                      <w:w w:val="80"/>
                                      <w:sz w:val="9"/>
                                    </w:rPr>
                                    <w:t>288</w:t>
                                  </w:r>
                                  <w:r>
                                    <w:rPr>
                                      <w:rFonts w:ascii="Arial"/>
                                      <w:spacing w:val="-4"/>
                                      <w:sz w:val="9"/>
                                    </w:rPr>
                                    <w:t> </w:t>
                                  </w:r>
                                  <w:r>
                                    <w:rPr>
                                      <w:rFonts w:ascii="Arial"/>
                                      <w:spacing w:val="-2"/>
                                      <w:w w:val="80"/>
                                      <w:sz w:val="9"/>
                                    </w:rPr>
                                    <w:t>804,81</w:t>
                                  </w:r>
                                </w:p>
                              </w:tc>
                              <w:tc>
                                <w:tcPr>
                                  <w:tcW w:w="716"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24"/>
                                    <w:jc w:val="right"/>
                                    <w:rPr>
                                      <w:rFonts w:ascii="Arial"/>
                                      <w:sz w:val="9"/>
                                    </w:rPr>
                                  </w:pPr>
                                  <w:r>
                                    <w:rPr>
                                      <w:rFonts w:ascii="Arial"/>
                                      <w:w w:val="80"/>
                                      <w:sz w:val="9"/>
                                    </w:rPr>
                                    <w:t>6</w:t>
                                  </w:r>
                                  <w:r>
                                    <w:rPr>
                                      <w:rFonts w:ascii="Arial"/>
                                      <w:spacing w:val="-4"/>
                                      <w:sz w:val="9"/>
                                    </w:rPr>
                                    <w:t> </w:t>
                                  </w:r>
                                  <w:r>
                                    <w:rPr>
                                      <w:rFonts w:ascii="Arial"/>
                                      <w:w w:val="80"/>
                                      <w:sz w:val="9"/>
                                    </w:rPr>
                                    <w:t>171</w:t>
                                  </w:r>
                                  <w:r>
                                    <w:rPr>
                                      <w:rFonts w:ascii="Arial"/>
                                      <w:spacing w:val="-4"/>
                                      <w:sz w:val="9"/>
                                    </w:rPr>
                                    <w:t> </w:t>
                                  </w:r>
                                  <w:r>
                                    <w:rPr>
                                      <w:rFonts w:ascii="Arial"/>
                                      <w:spacing w:val="-2"/>
                                      <w:w w:val="80"/>
                                      <w:sz w:val="9"/>
                                    </w:rPr>
                                    <w:t>543,38</w:t>
                                  </w:r>
                                </w:p>
                              </w:tc>
                              <w:tc>
                                <w:tcPr>
                                  <w:tcW w:w="72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9"/>
                                    </w:rPr>
                                  </w:pPr>
                                </w:p>
                                <w:p>
                                  <w:pPr>
                                    <w:pStyle w:val="TableParagraph"/>
                                    <w:rPr>
                                      <w:sz w:val="9"/>
                                    </w:rPr>
                                  </w:pPr>
                                </w:p>
                                <w:p>
                                  <w:pPr>
                                    <w:pStyle w:val="TableParagraph"/>
                                    <w:spacing w:before="52"/>
                                    <w:rPr>
                                      <w:sz w:val="9"/>
                                    </w:rPr>
                                  </w:pPr>
                                </w:p>
                                <w:p>
                                  <w:pPr>
                                    <w:pStyle w:val="TableParagraph"/>
                                    <w:ind w:right="3"/>
                                    <w:jc w:val="right"/>
                                    <w:rPr>
                                      <w:rFonts w:ascii="Arial"/>
                                      <w:sz w:val="9"/>
                                    </w:rPr>
                                  </w:pPr>
                                  <w:r>
                                    <w:rPr>
                                      <w:rFonts w:ascii="Arial"/>
                                      <w:w w:val="80"/>
                                      <w:sz w:val="9"/>
                                    </w:rPr>
                                    <w:t>117</w:t>
                                  </w:r>
                                  <w:r>
                                    <w:rPr>
                                      <w:rFonts w:ascii="Arial"/>
                                      <w:spacing w:val="-1"/>
                                      <w:w w:val="90"/>
                                      <w:sz w:val="9"/>
                                    </w:rPr>
                                    <w:t> </w:t>
                                  </w:r>
                                  <w:r>
                                    <w:rPr>
                                      <w:rFonts w:ascii="Arial"/>
                                      <w:spacing w:val="-2"/>
                                      <w:w w:val="90"/>
                                      <w:sz w:val="9"/>
                                    </w:rPr>
                                    <w:t>261,43</w:t>
                                  </w:r>
                                </w:p>
                              </w:tc>
                              <w:tc>
                                <w:tcPr>
                                  <w:tcW w:w="49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9"/>
                                    </w:rPr>
                                  </w:pPr>
                                </w:p>
                                <w:p>
                                  <w:pPr>
                                    <w:pStyle w:val="TableParagraph"/>
                                    <w:rPr>
                                      <w:sz w:val="9"/>
                                    </w:rPr>
                                  </w:pPr>
                                </w:p>
                                <w:p>
                                  <w:pPr>
                                    <w:pStyle w:val="TableParagraph"/>
                                    <w:spacing w:before="52"/>
                                    <w:rPr>
                                      <w:sz w:val="9"/>
                                    </w:rPr>
                                  </w:pPr>
                                </w:p>
                                <w:p>
                                  <w:pPr>
                                    <w:pStyle w:val="TableParagraph"/>
                                    <w:ind w:right="2"/>
                                    <w:jc w:val="right"/>
                                    <w:rPr>
                                      <w:rFonts w:ascii="Arial"/>
                                      <w:sz w:val="9"/>
                                    </w:rPr>
                                  </w:pPr>
                                  <w:r>
                                    <w:rPr>
                                      <w:rFonts w:ascii="Arial"/>
                                      <w:spacing w:val="-2"/>
                                      <w:w w:val="90"/>
                                      <w:sz w:val="9"/>
                                    </w:rPr>
                                    <w:t>1,90%</w:t>
                                  </w:r>
                                </w:p>
                              </w:tc>
                              <w:tc>
                                <w:tcPr>
                                  <w:tcW w:w="1339" w:type="dxa"/>
                                  <w:tcBorders>
                                    <w:top w:val="single" w:sz="2" w:space="0" w:color="000000"/>
                                    <w:left w:val="single" w:sz="2" w:space="0" w:color="000000"/>
                                    <w:bottom w:val="single" w:sz="2" w:space="0" w:color="000000"/>
                                    <w:right w:val="single" w:sz="2" w:space="0" w:color="000000"/>
                                  </w:tcBorders>
                                </w:tcPr>
                                <w:p>
                                  <w:pPr>
                                    <w:pStyle w:val="TableParagraph"/>
                                    <w:spacing w:line="273" w:lineRule="auto" w:before="7"/>
                                    <w:ind w:left="18"/>
                                    <w:rPr>
                                      <w:rFonts w:ascii="Arial" w:hAnsi="Arial"/>
                                      <w:sz w:val="9"/>
                                    </w:rPr>
                                  </w:pPr>
                                  <w:r>
                                    <w:rPr>
                                      <w:rFonts w:ascii="Arial" w:hAnsi="Arial"/>
                                      <w:spacing w:val="-2"/>
                                      <w:w w:val="85"/>
                                      <w:sz w:val="9"/>
                                    </w:rPr>
                                    <w:t>Variación</w:t>
                                  </w:r>
                                  <w:r>
                                    <w:rPr>
                                      <w:rFonts w:ascii="Arial" w:hAnsi="Arial"/>
                                      <w:spacing w:val="-1"/>
                                      <w:sz w:val="9"/>
                                    </w:rPr>
                                    <w:t> </w:t>
                                  </w:r>
                                  <w:r>
                                    <w:rPr>
                                      <w:rFonts w:ascii="Arial" w:hAnsi="Arial"/>
                                      <w:spacing w:val="-2"/>
                                      <w:w w:val="85"/>
                                      <w:sz w:val="9"/>
                                    </w:rPr>
                                    <w:t>positiva en</w:t>
                                  </w:r>
                                  <w:r>
                                    <w:rPr>
                                      <w:rFonts w:ascii="Arial" w:hAnsi="Arial"/>
                                      <w:spacing w:val="-1"/>
                                      <w:sz w:val="9"/>
                                    </w:rPr>
                                    <w:t> </w:t>
                                  </w:r>
                                  <w:r>
                                    <w:rPr>
                                      <w:rFonts w:ascii="Arial" w:hAnsi="Arial"/>
                                      <w:spacing w:val="-2"/>
                                      <w:w w:val="85"/>
                                      <w:sz w:val="9"/>
                                    </w:rPr>
                                    <w:t>los saldos de las</w:t>
                                  </w:r>
                                  <w:r>
                                    <w:rPr>
                                      <w:rFonts w:ascii="Arial" w:hAnsi="Arial"/>
                                      <w:spacing w:val="40"/>
                                      <w:sz w:val="9"/>
                                    </w:rPr>
                                    <w:t> </w:t>
                                  </w:r>
                                  <w:r>
                                    <w:rPr>
                                      <w:rFonts w:ascii="Arial" w:hAnsi="Arial"/>
                                      <w:w w:val="85"/>
                                      <w:sz w:val="9"/>
                                    </w:rPr>
                                    <w:t>cuenta</w:t>
                                  </w:r>
                                  <w:r>
                                    <w:rPr>
                                      <w:rFonts w:ascii="Arial" w:hAnsi="Arial"/>
                                      <w:spacing w:val="-5"/>
                                      <w:w w:val="85"/>
                                      <w:sz w:val="9"/>
                                    </w:rPr>
                                    <w:t> </w:t>
                                  </w:r>
                                  <w:r>
                                    <w:rPr>
                                      <w:rFonts w:ascii="Arial" w:hAnsi="Arial"/>
                                      <w:w w:val="85"/>
                                      <w:sz w:val="9"/>
                                    </w:rPr>
                                    <w:t>por</w:t>
                                  </w:r>
                                  <w:r>
                                    <w:rPr>
                                      <w:rFonts w:ascii="Arial" w:hAnsi="Arial"/>
                                      <w:spacing w:val="-2"/>
                                      <w:w w:val="85"/>
                                      <w:sz w:val="9"/>
                                    </w:rPr>
                                    <w:t> </w:t>
                                  </w:r>
                                  <w:r>
                                    <w:rPr>
                                      <w:rFonts w:ascii="Arial" w:hAnsi="Arial"/>
                                      <w:w w:val="85"/>
                                      <w:sz w:val="9"/>
                                    </w:rPr>
                                    <w:t>cobrar</w:t>
                                  </w:r>
                                  <w:r>
                                    <w:rPr>
                                      <w:rFonts w:ascii="Arial" w:hAnsi="Arial"/>
                                      <w:spacing w:val="-3"/>
                                      <w:w w:val="85"/>
                                      <w:sz w:val="9"/>
                                    </w:rPr>
                                    <w:t> </w:t>
                                  </w:r>
                                  <w:r>
                                    <w:rPr>
                                      <w:rFonts w:ascii="Arial" w:hAnsi="Arial"/>
                                      <w:w w:val="85"/>
                                      <w:sz w:val="9"/>
                                    </w:rPr>
                                    <w:t>por</w:t>
                                  </w:r>
                                  <w:r>
                                    <w:rPr>
                                      <w:rFonts w:ascii="Arial" w:hAnsi="Arial"/>
                                      <w:spacing w:val="-2"/>
                                      <w:w w:val="85"/>
                                      <w:sz w:val="9"/>
                                    </w:rPr>
                                    <w:t> </w:t>
                                  </w:r>
                                  <w:r>
                                    <w:rPr>
                                      <w:rFonts w:ascii="Arial" w:hAnsi="Arial"/>
                                      <w:w w:val="85"/>
                                      <w:sz w:val="9"/>
                                    </w:rPr>
                                    <w:t>aplicación</w:t>
                                  </w:r>
                                  <w:r>
                                    <w:rPr>
                                      <w:rFonts w:ascii="Arial" w:hAnsi="Arial"/>
                                      <w:spacing w:val="-2"/>
                                      <w:w w:val="85"/>
                                      <w:sz w:val="9"/>
                                    </w:rPr>
                                    <w:t> </w:t>
                                  </w:r>
                                  <w:r>
                                    <w:rPr>
                                      <w:rFonts w:ascii="Arial" w:hAnsi="Arial"/>
                                      <w:w w:val="85"/>
                                      <w:sz w:val="9"/>
                                    </w:rPr>
                                    <w:t>de</w:t>
                                  </w:r>
                                  <w:r>
                                    <w:rPr>
                                      <w:rFonts w:ascii="Arial" w:hAnsi="Arial"/>
                                      <w:spacing w:val="40"/>
                                      <w:sz w:val="9"/>
                                    </w:rPr>
                                    <w:t> </w:t>
                                  </w:r>
                                  <w:r>
                                    <w:rPr>
                                      <w:rFonts w:ascii="Arial" w:hAnsi="Arial"/>
                                      <w:spacing w:val="-2"/>
                                      <w:w w:val="90"/>
                                      <w:sz w:val="9"/>
                                    </w:rPr>
                                    <w:t>ajustes como</w:t>
                                  </w:r>
                                  <w:r>
                                    <w:rPr>
                                      <w:rFonts w:ascii="Arial" w:hAnsi="Arial"/>
                                      <w:spacing w:val="-4"/>
                                      <w:w w:val="90"/>
                                      <w:sz w:val="9"/>
                                    </w:rPr>
                                    <w:t> </w:t>
                                  </w:r>
                                  <w:r>
                                    <w:rPr>
                                      <w:rFonts w:ascii="Arial" w:hAnsi="Arial"/>
                                      <w:spacing w:val="-2"/>
                                      <w:w w:val="90"/>
                                      <w:sz w:val="9"/>
                                    </w:rPr>
                                    <w:t>resultado</w:t>
                                  </w:r>
                                  <w:r>
                                    <w:rPr>
                                      <w:rFonts w:ascii="Arial" w:hAnsi="Arial"/>
                                      <w:spacing w:val="-4"/>
                                      <w:w w:val="90"/>
                                      <w:sz w:val="9"/>
                                    </w:rPr>
                                    <w:t> </w:t>
                                  </w:r>
                                  <w:r>
                                    <w:rPr>
                                      <w:rFonts w:ascii="Arial" w:hAnsi="Arial"/>
                                      <w:spacing w:val="-2"/>
                                      <w:w w:val="90"/>
                                      <w:sz w:val="9"/>
                                    </w:rPr>
                                    <w:t>de</w:t>
                                  </w:r>
                                  <w:r>
                                    <w:rPr>
                                      <w:rFonts w:ascii="Arial" w:hAnsi="Arial"/>
                                      <w:spacing w:val="-4"/>
                                      <w:w w:val="90"/>
                                      <w:sz w:val="9"/>
                                    </w:rPr>
                                    <w:t> </w:t>
                                  </w:r>
                                  <w:r>
                                    <w:rPr>
                                      <w:rFonts w:ascii="Arial" w:hAnsi="Arial"/>
                                      <w:spacing w:val="-2"/>
                                      <w:w w:val="90"/>
                                      <w:sz w:val="9"/>
                                    </w:rPr>
                                    <w:t>la</w:t>
                                  </w:r>
                                  <w:r>
                                    <w:rPr>
                                      <w:rFonts w:ascii="Arial" w:hAnsi="Arial"/>
                                      <w:spacing w:val="40"/>
                                      <w:sz w:val="9"/>
                                    </w:rPr>
                                    <w:t> </w:t>
                                  </w:r>
                                  <w:r>
                                    <w:rPr>
                                      <w:rFonts w:ascii="Arial" w:hAnsi="Arial"/>
                                      <w:spacing w:val="-2"/>
                                      <w:w w:val="90"/>
                                      <w:sz w:val="9"/>
                                    </w:rPr>
                                    <w:t>disminución en la</w:t>
                                  </w:r>
                                  <w:r>
                                    <w:rPr>
                                      <w:rFonts w:ascii="Arial" w:hAnsi="Arial"/>
                                      <w:spacing w:val="-3"/>
                                      <w:w w:val="90"/>
                                      <w:sz w:val="9"/>
                                    </w:rPr>
                                    <w:t> </w:t>
                                  </w:r>
                                  <w:r>
                                    <w:rPr>
                                      <w:rFonts w:ascii="Arial" w:hAnsi="Arial"/>
                                      <w:spacing w:val="-2"/>
                                      <w:w w:val="90"/>
                                      <w:sz w:val="9"/>
                                    </w:rPr>
                                    <w:t>depuración</w:t>
                                  </w:r>
                                  <w:r>
                                    <w:rPr>
                                      <w:rFonts w:ascii="Arial" w:hAnsi="Arial"/>
                                      <w:spacing w:val="40"/>
                                      <w:sz w:val="9"/>
                                    </w:rPr>
                                    <w:t> </w:t>
                                  </w:r>
                                  <w:r>
                                    <w:rPr>
                                      <w:rFonts w:ascii="Arial" w:hAnsi="Arial"/>
                                      <w:w w:val="85"/>
                                      <w:sz w:val="9"/>
                                    </w:rPr>
                                    <w:t>requeridas</w:t>
                                  </w:r>
                                  <w:r>
                                    <w:rPr>
                                      <w:rFonts w:ascii="Arial" w:hAnsi="Arial"/>
                                      <w:spacing w:val="-3"/>
                                      <w:w w:val="85"/>
                                      <w:sz w:val="9"/>
                                    </w:rPr>
                                    <w:t> </w:t>
                                  </w:r>
                                  <w:r>
                                    <w:rPr>
                                      <w:rFonts w:ascii="Arial" w:hAnsi="Arial"/>
                                      <w:w w:val="85"/>
                                      <w:sz w:val="9"/>
                                    </w:rPr>
                                    <w:t>y</w:t>
                                  </w:r>
                                  <w:r>
                                    <w:rPr>
                                      <w:rFonts w:ascii="Arial" w:hAnsi="Arial"/>
                                      <w:spacing w:val="-2"/>
                                      <w:w w:val="85"/>
                                      <w:sz w:val="9"/>
                                    </w:rPr>
                                    <w:t> </w:t>
                                  </w:r>
                                  <w:r>
                                    <w:rPr>
                                      <w:rFonts w:ascii="Arial" w:hAnsi="Arial"/>
                                      <w:w w:val="85"/>
                                      <w:sz w:val="9"/>
                                    </w:rPr>
                                    <w:t>se</w:t>
                                  </w:r>
                                  <w:r>
                                    <w:rPr>
                                      <w:rFonts w:ascii="Arial" w:hAnsi="Arial"/>
                                      <w:spacing w:val="-5"/>
                                      <w:w w:val="85"/>
                                      <w:sz w:val="9"/>
                                    </w:rPr>
                                    <w:t> </w:t>
                                  </w:r>
                                  <w:r>
                                    <w:rPr>
                                      <w:rFonts w:ascii="Arial" w:hAnsi="Arial"/>
                                      <w:w w:val="85"/>
                                      <w:sz w:val="9"/>
                                    </w:rPr>
                                    <w:t>ven</w:t>
                                  </w:r>
                                  <w:r>
                                    <w:rPr>
                                      <w:rFonts w:ascii="Arial" w:hAnsi="Arial"/>
                                      <w:spacing w:val="-2"/>
                                      <w:w w:val="85"/>
                                      <w:sz w:val="9"/>
                                    </w:rPr>
                                    <w:t> </w:t>
                                  </w:r>
                                  <w:r>
                                    <w:rPr>
                                      <w:rFonts w:ascii="Arial" w:hAnsi="Arial"/>
                                      <w:w w:val="85"/>
                                      <w:sz w:val="9"/>
                                    </w:rPr>
                                    <w:t>reflejados</w:t>
                                  </w:r>
                                  <w:r>
                                    <w:rPr>
                                      <w:rFonts w:ascii="Arial" w:hAnsi="Arial"/>
                                      <w:spacing w:val="-3"/>
                                      <w:w w:val="85"/>
                                      <w:sz w:val="9"/>
                                    </w:rPr>
                                    <w:t> </w:t>
                                  </w:r>
                                  <w:r>
                                    <w:rPr>
                                      <w:rFonts w:ascii="Arial" w:hAnsi="Arial"/>
                                      <w:w w:val="85"/>
                                      <w:sz w:val="9"/>
                                    </w:rPr>
                                    <w:t>en</w:t>
                                  </w:r>
                                  <w:r>
                                    <w:rPr>
                                      <w:rFonts w:ascii="Arial" w:hAnsi="Arial"/>
                                      <w:spacing w:val="-2"/>
                                      <w:w w:val="85"/>
                                      <w:sz w:val="9"/>
                                    </w:rPr>
                                    <w:t> </w:t>
                                  </w:r>
                                  <w:r>
                                    <w:rPr>
                                      <w:rFonts w:ascii="Arial" w:hAnsi="Arial"/>
                                      <w:w w:val="85"/>
                                      <w:sz w:val="9"/>
                                    </w:rPr>
                                    <w:t>los</w:t>
                                  </w:r>
                                  <w:r>
                                    <w:rPr>
                                      <w:rFonts w:ascii="Arial" w:hAnsi="Arial"/>
                                      <w:spacing w:val="40"/>
                                      <w:sz w:val="9"/>
                                    </w:rPr>
                                    <w:t> </w:t>
                                  </w:r>
                                  <w:r>
                                    <w:rPr>
                                      <w:rFonts w:ascii="Arial" w:hAnsi="Arial"/>
                                      <w:w w:val="80"/>
                                      <w:sz w:val="9"/>
                                    </w:rPr>
                                    <w:t>porcentajes</w:t>
                                  </w:r>
                                  <w:r>
                                    <w:rPr>
                                      <w:rFonts w:ascii="Arial" w:hAnsi="Arial"/>
                                      <w:spacing w:val="-2"/>
                                      <w:w w:val="8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1"/>
                                      <w:w w:val="80"/>
                                      <w:sz w:val="9"/>
                                    </w:rPr>
                                    <w:t> </w:t>
                                  </w:r>
                                  <w:r>
                                    <w:rPr>
                                      <w:rFonts w:ascii="Arial" w:hAnsi="Arial"/>
                                      <w:w w:val="80"/>
                                      <w:sz w:val="9"/>
                                    </w:rPr>
                                    <w:t>aplicados</w:t>
                                  </w:r>
                                </w:p>
                                <w:p>
                                  <w:pPr>
                                    <w:pStyle w:val="TableParagraph"/>
                                    <w:spacing w:line="83" w:lineRule="exact"/>
                                    <w:ind w:left="18"/>
                                    <w:rPr>
                                      <w:rFonts w:ascii="Arial" w:hAnsi="Arial"/>
                                      <w:sz w:val="9"/>
                                    </w:rPr>
                                  </w:pPr>
                                  <w:r>
                                    <w:rPr>
                                      <w:rFonts w:ascii="Arial" w:hAnsi="Arial"/>
                                      <w:w w:val="80"/>
                                      <w:sz w:val="9"/>
                                    </w:rPr>
                                    <w:t>para</w:t>
                                  </w:r>
                                  <w:r>
                                    <w:rPr>
                                      <w:rFonts w:ascii="Arial" w:hAnsi="Arial"/>
                                      <w:spacing w:val="-3"/>
                                      <w:w w:val="80"/>
                                      <w:sz w:val="9"/>
                                    </w:rPr>
                                    <w:t> </w:t>
                                  </w:r>
                                  <w:r>
                                    <w:rPr>
                                      <w:rFonts w:ascii="Arial" w:hAnsi="Arial"/>
                                      <w:w w:val="80"/>
                                      <w:sz w:val="9"/>
                                    </w:rPr>
                                    <w:t>realizar</w:t>
                                  </w:r>
                                  <w:r>
                                    <w:rPr>
                                      <w:rFonts w:ascii="Arial" w:hAnsi="Arial"/>
                                      <w:spacing w:val="-2"/>
                                      <w:w w:val="80"/>
                                      <w:sz w:val="9"/>
                                    </w:rPr>
                                    <w:t> </w:t>
                                  </w: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9"/>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464" w:hRule="atLeast"/>
                              </w:trPr>
                              <w:tc>
                                <w:tcPr>
                                  <w:tcW w:w="493"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left="13"/>
                                    <w:rPr>
                                      <w:rFonts w:ascii="Arial"/>
                                      <w:sz w:val="9"/>
                                    </w:rPr>
                                  </w:pPr>
                                  <w:r>
                                    <w:rPr>
                                      <w:rFonts w:ascii="Arial"/>
                                      <w:spacing w:val="-2"/>
                                      <w:w w:val="80"/>
                                      <w:sz w:val="9"/>
                                    </w:rPr>
                                    <w:t>PREVISION</w:t>
                                  </w:r>
                                  <w:r>
                                    <w:rPr>
                                      <w:rFonts w:ascii="Arial"/>
                                      <w:spacing w:val="6"/>
                                      <w:sz w:val="9"/>
                                    </w:rPr>
                                    <w:t> </w:t>
                                  </w:r>
                                  <w:r>
                                    <w:rPr>
                                      <w:rFonts w:ascii="Arial"/>
                                      <w:spacing w:val="-2"/>
                                      <w:w w:val="80"/>
                                      <w:sz w:val="9"/>
                                    </w:rPr>
                                    <w:t>IMP.</w:t>
                                  </w:r>
                                  <w:r>
                                    <w:rPr>
                                      <w:rFonts w:ascii="Arial"/>
                                      <w:spacing w:val="4"/>
                                      <w:sz w:val="9"/>
                                    </w:rPr>
                                    <w:t> </w:t>
                                  </w:r>
                                  <w:r>
                                    <w:rPr>
                                      <w:rFonts w:ascii="Arial"/>
                                      <w:spacing w:val="-2"/>
                                      <w:w w:val="80"/>
                                      <w:sz w:val="9"/>
                                    </w:rPr>
                                    <w:t>SOBRE</w:t>
                                  </w:r>
                                  <w:r>
                                    <w:rPr>
                                      <w:rFonts w:ascii="Arial"/>
                                      <w:spacing w:val="6"/>
                                      <w:sz w:val="9"/>
                                    </w:rPr>
                                    <w:t> </w:t>
                                  </w:r>
                                  <w:r>
                                    <w:rPr>
                                      <w:rFonts w:ascii="Arial"/>
                                      <w:spacing w:val="-2"/>
                                      <w:w w:val="80"/>
                                      <w:sz w:val="9"/>
                                    </w:rPr>
                                    <w:t>PROPIEDADES</w:t>
                                  </w:r>
                                  <w:r>
                                    <w:rPr>
                                      <w:rFonts w:ascii="Arial"/>
                                      <w:spacing w:val="5"/>
                                      <w:sz w:val="9"/>
                                    </w:rPr>
                                    <w:t> </w:t>
                                  </w:r>
                                  <w:r>
                                    <w:rPr>
                                      <w:rFonts w:ascii="Arial"/>
                                      <w:spacing w:val="-4"/>
                                      <w:w w:val="80"/>
                                      <w:sz w:val="9"/>
                                    </w:rPr>
                                    <w:t>C.P.</w:t>
                                  </w:r>
                                </w:p>
                              </w:tc>
                              <w:tc>
                                <w:tcPr>
                                  <w:tcW w:w="704"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left="13"/>
                                    <w:rPr>
                                      <w:rFonts w:ascii="Arial"/>
                                      <w:sz w:val="9"/>
                                    </w:rPr>
                                  </w:pPr>
                                  <w:r>
                                    <w:rPr>
                                      <w:rFonts w:ascii="Arial"/>
                                      <w:w w:val="80"/>
                                      <w:sz w:val="9"/>
                                    </w:rPr>
                                    <w:t>MOTELES</w:t>
                                  </w:r>
                                  <w:r>
                                    <w:rPr>
                                      <w:rFonts w:ascii="Arial"/>
                                      <w:spacing w:val="-1"/>
                                      <w:w w:val="90"/>
                                      <w:sz w:val="9"/>
                                    </w:rPr>
                                    <w:t> </w:t>
                                  </w:r>
                                  <w:r>
                                    <w:rPr>
                                      <w:rFonts w:ascii="Arial"/>
                                      <w:spacing w:val="-4"/>
                                      <w:w w:val="90"/>
                                      <w:sz w:val="9"/>
                                    </w:rPr>
                                    <w:t>C.P.</w:t>
                                  </w:r>
                                </w:p>
                              </w:tc>
                              <w:tc>
                                <w:tcPr>
                                  <w:tcW w:w="797"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25"/>
                                    <w:jc w:val="right"/>
                                    <w:rPr>
                                      <w:rFonts w:ascii="Arial"/>
                                      <w:sz w:val="9"/>
                                    </w:rPr>
                                  </w:pPr>
                                  <w:r>
                                    <w:rPr>
                                      <w:rFonts w:ascii="Arial"/>
                                      <w:w w:val="80"/>
                                      <w:sz w:val="9"/>
                                    </w:rPr>
                                    <w:t>1</w:t>
                                  </w:r>
                                  <w:r>
                                    <w:rPr>
                                      <w:rFonts w:ascii="Arial"/>
                                      <w:spacing w:val="-4"/>
                                      <w:sz w:val="9"/>
                                    </w:rPr>
                                    <w:t> </w:t>
                                  </w:r>
                                  <w:r>
                                    <w:rPr>
                                      <w:rFonts w:ascii="Arial"/>
                                      <w:w w:val="80"/>
                                      <w:sz w:val="9"/>
                                    </w:rPr>
                                    <w:t>930</w:t>
                                  </w:r>
                                  <w:r>
                                    <w:rPr>
                                      <w:rFonts w:ascii="Arial"/>
                                      <w:spacing w:val="-4"/>
                                      <w:sz w:val="9"/>
                                    </w:rPr>
                                    <w:t> </w:t>
                                  </w:r>
                                  <w:r>
                                    <w:rPr>
                                      <w:rFonts w:ascii="Arial"/>
                                      <w:spacing w:val="-2"/>
                                      <w:w w:val="80"/>
                                      <w:sz w:val="9"/>
                                    </w:rPr>
                                    <w:t>368,51</w:t>
                                  </w:r>
                                </w:p>
                              </w:tc>
                              <w:tc>
                                <w:tcPr>
                                  <w:tcW w:w="716"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24"/>
                                    <w:jc w:val="right"/>
                                    <w:rPr>
                                      <w:rFonts w:ascii="Arial"/>
                                      <w:sz w:val="9"/>
                                    </w:rPr>
                                  </w:pPr>
                                  <w:r>
                                    <w:rPr>
                                      <w:rFonts w:ascii="Arial"/>
                                      <w:w w:val="80"/>
                                      <w:sz w:val="9"/>
                                    </w:rPr>
                                    <w:t>2</w:t>
                                  </w:r>
                                  <w:r>
                                    <w:rPr>
                                      <w:rFonts w:ascii="Arial"/>
                                      <w:spacing w:val="-4"/>
                                      <w:sz w:val="9"/>
                                    </w:rPr>
                                    <w:t> </w:t>
                                  </w:r>
                                  <w:r>
                                    <w:rPr>
                                      <w:rFonts w:ascii="Arial"/>
                                      <w:w w:val="80"/>
                                      <w:sz w:val="9"/>
                                    </w:rPr>
                                    <w:t>063</w:t>
                                  </w:r>
                                  <w:r>
                                    <w:rPr>
                                      <w:rFonts w:ascii="Arial"/>
                                      <w:spacing w:val="-4"/>
                                      <w:sz w:val="9"/>
                                    </w:rPr>
                                    <w:t> </w:t>
                                  </w:r>
                                  <w:r>
                                    <w:rPr>
                                      <w:rFonts w:ascii="Arial"/>
                                      <w:spacing w:val="-2"/>
                                      <w:w w:val="80"/>
                                      <w:sz w:val="9"/>
                                    </w:rPr>
                                    <w:t>089,97</w:t>
                                  </w:r>
                                </w:p>
                              </w:tc>
                              <w:tc>
                                <w:tcPr>
                                  <w:tcW w:w="728" w:type="dxa"/>
                                  <w:tcBorders>
                                    <w:top w:val="single" w:sz="2" w:space="0" w:color="000000"/>
                                    <w:left w:val="single" w:sz="2" w:space="0" w:color="000000"/>
                                    <w:right w:val="single" w:sz="2" w:space="0" w:color="000000"/>
                                  </w:tcBorders>
                                  <w:shd w:val="clear" w:color="auto" w:fill="FFFFFF"/>
                                </w:tcPr>
                                <w:p>
                                  <w:pPr>
                                    <w:pStyle w:val="TableParagraph"/>
                                    <w:spacing w:before="81"/>
                                    <w:rPr>
                                      <w:sz w:val="9"/>
                                    </w:rPr>
                                  </w:pPr>
                                </w:p>
                                <w:p>
                                  <w:pPr>
                                    <w:pStyle w:val="TableParagraph"/>
                                    <w:ind w:right="3"/>
                                    <w:jc w:val="right"/>
                                    <w:rPr>
                                      <w:rFonts w:ascii="Arial"/>
                                      <w:sz w:val="9"/>
                                    </w:rPr>
                                  </w:pPr>
                                  <w:r>
                                    <w:rPr>
                                      <w:rFonts w:ascii="Arial"/>
                                      <w:w w:val="80"/>
                                      <w:sz w:val="9"/>
                                    </w:rPr>
                                    <w:t>-132</w:t>
                                  </w:r>
                                  <w:r>
                                    <w:rPr>
                                      <w:rFonts w:ascii="Arial"/>
                                      <w:spacing w:val="-5"/>
                                      <w:sz w:val="9"/>
                                    </w:rPr>
                                    <w:t> </w:t>
                                  </w:r>
                                  <w:r>
                                    <w:rPr>
                                      <w:rFonts w:ascii="Arial"/>
                                      <w:spacing w:val="-2"/>
                                      <w:w w:val="80"/>
                                      <w:sz w:val="9"/>
                                    </w:rPr>
                                    <w:t>721,47</w:t>
                                  </w:r>
                                </w:p>
                              </w:tc>
                              <w:tc>
                                <w:tcPr>
                                  <w:tcW w:w="496" w:type="dxa"/>
                                  <w:tcBorders>
                                    <w:top w:val="single" w:sz="2" w:space="0" w:color="000000"/>
                                    <w:left w:val="single" w:sz="2" w:space="0" w:color="000000"/>
                                    <w:right w:val="single" w:sz="2" w:space="0" w:color="000000"/>
                                  </w:tcBorders>
                                  <w:shd w:val="clear" w:color="auto" w:fill="FFFFFF"/>
                                </w:tcPr>
                                <w:p>
                                  <w:pPr>
                                    <w:pStyle w:val="TableParagraph"/>
                                    <w:spacing w:before="81"/>
                                    <w:rPr>
                                      <w:sz w:val="9"/>
                                    </w:rPr>
                                  </w:pPr>
                                </w:p>
                                <w:p>
                                  <w:pPr>
                                    <w:pStyle w:val="TableParagraph"/>
                                    <w:ind w:right="2"/>
                                    <w:jc w:val="right"/>
                                    <w:rPr>
                                      <w:rFonts w:ascii="Arial"/>
                                      <w:sz w:val="9"/>
                                    </w:rPr>
                                  </w:pPr>
                                  <w:r>
                                    <w:rPr>
                                      <w:rFonts w:ascii="Arial"/>
                                      <w:spacing w:val="-2"/>
                                      <w:w w:val="80"/>
                                      <w:sz w:val="9"/>
                                    </w:rPr>
                                    <w:t>-</w:t>
                                  </w:r>
                                  <w:r>
                                    <w:rPr>
                                      <w:rFonts w:ascii="Arial"/>
                                      <w:spacing w:val="-2"/>
                                      <w:w w:val="90"/>
                                      <w:sz w:val="9"/>
                                    </w:rPr>
                                    <w:t>6,43%</w:t>
                                  </w:r>
                                </w:p>
                              </w:tc>
                              <w:tc>
                                <w:tcPr>
                                  <w:tcW w:w="1339" w:type="dxa"/>
                                  <w:tcBorders>
                                    <w:top w:val="single" w:sz="2" w:space="0" w:color="000000"/>
                                    <w:left w:val="single" w:sz="2" w:space="0" w:color="000000"/>
                                    <w:right w:val="single" w:sz="2" w:space="0" w:color="000000"/>
                                  </w:tcBorders>
                                </w:tcPr>
                                <w:p>
                                  <w:pPr>
                                    <w:pStyle w:val="TableParagraph"/>
                                    <w:spacing w:line="273" w:lineRule="auto" w:before="7"/>
                                    <w:ind w:left="18"/>
                                    <w:rPr>
                                      <w:rFonts w:ascii="Arial" w:hAnsi="Arial"/>
                                      <w:sz w:val="9"/>
                                    </w:rPr>
                                  </w:pPr>
                                  <w:r>
                                    <w:rPr>
                                      <w:rFonts w:ascii="Arial" w:hAnsi="Arial"/>
                                      <w:spacing w:val="-2"/>
                                      <w:w w:val="85"/>
                                      <w:sz w:val="9"/>
                                    </w:rPr>
                                    <w:t>Variación</w:t>
                                  </w:r>
                                  <w:r>
                                    <w:rPr>
                                      <w:rFonts w:ascii="Arial" w:hAnsi="Arial"/>
                                      <w:spacing w:val="-1"/>
                                      <w:sz w:val="9"/>
                                    </w:rPr>
                                    <w:t> </w:t>
                                  </w:r>
                                  <w:r>
                                    <w:rPr>
                                      <w:rFonts w:ascii="Arial" w:hAnsi="Arial"/>
                                      <w:spacing w:val="-2"/>
                                      <w:w w:val="85"/>
                                      <w:sz w:val="9"/>
                                    </w:rPr>
                                    <w:t>negativa en</w:t>
                                  </w:r>
                                  <w:r>
                                    <w:rPr>
                                      <w:rFonts w:ascii="Arial" w:hAnsi="Arial"/>
                                      <w:spacing w:val="-1"/>
                                      <w:sz w:val="9"/>
                                    </w:rPr>
                                    <w:t> </w:t>
                                  </w:r>
                                  <w:r>
                                    <w:rPr>
                                      <w:rFonts w:ascii="Arial" w:hAnsi="Arial"/>
                                      <w:spacing w:val="-2"/>
                                      <w:w w:val="85"/>
                                      <w:sz w:val="9"/>
                                    </w:rPr>
                                    <w:t>los saldos de las</w:t>
                                  </w:r>
                                  <w:r>
                                    <w:rPr>
                                      <w:rFonts w:ascii="Arial" w:hAnsi="Arial"/>
                                      <w:spacing w:val="40"/>
                                      <w:sz w:val="9"/>
                                    </w:rPr>
                                    <w:t> </w:t>
                                  </w:r>
                                  <w:r>
                                    <w:rPr>
                                      <w:rFonts w:ascii="Arial" w:hAnsi="Arial"/>
                                      <w:w w:val="85"/>
                                      <w:sz w:val="9"/>
                                    </w:rPr>
                                    <w:t>cuenta</w:t>
                                  </w:r>
                                  <w:r>
                                    <w:rPr>
                                      <w:rFonts w:ascii="Arial" w:hAnsi="Arial"/>
                                      <w:spacing w:val="-5"/>
                                      <w:w w:val="85"/>
                                      <w:sz w:val="9"/>
                                    </w:rPr>
                                    <w:t> </w:t>
                                  </w:r>
                                  <w:r>
                                    <w:rPr>
                                      <w:rFonts w:ascii="Arial" w:hAnsi="Arial"/>
                                      <w:w w:val="85"/>
                                      <w:sz w:val="9"/>
                                    </w:rPr>
                                    <w:t>por</w:t>
                                  </w:r>
                                  <w:r>
                                    <w:rPr>
                                      <w:rFonts w:ascii="Arial" w:hAnsi="Arial"/>
                                      <w:spacing w:val="-2"/>
                                      <w:w w:val="85"/>
                                      <w:sz w:val="9"/>
                                    </w:rPr>
                                    <w:t> </w:t>
                                  </w:r>
                                  <w:r>
                                    <w:rPr>
                                      <w:rFonts w:ascii="Arial" w:hAnsi="Arial"/>
                                      <w:w w:val="85"/>
                                      <w:sz w:val="9"/>
                                    </w:rPr>
                                    <w:t>cobrar</w:t>
                                  </w:r>
                                  <w:r>
                                    <w:rPr>
                                      <w:rFonts w:ascii="Arial" w:hAnsi="Arial"/>
                                      <w:spacing w:val="-3"/>
                                      <w:w w:val="85"/>
                                      <w:sz w:val="9"/>
                                    </w:rPr>
                                    <w:t> </w:t>
                                  </w:r>
                                  <w:r>
                                    <w:rPr>
                                      <w:rFonts w:ascii="Arial" w:hAnsi="Arial"/>
                                      <w:w w:val="85"/>
                                      <w:sz w:val="9"/>
                                    </w:rPr>
                                    <w:t>y</w:t>
                                  </w:r>
                                  <w:r>
                                    <w:rPr>
                                      <w:rFonts w:ascii="Arial" w:hAnsi="Arial"/>
                                      <w:spacing w:val="-2"/>
                                      <w:w w:val="85"/>
                                      <w:sz w:val="9"/>
                                    </w:rPr>
                                    <w:t> </w:t>
                                  </w:r>
                                  <w:r>
                                    <w:rPr>
                                      <w:rFonts w:ascii="Arial" w:hAnsi="Arial"/>
                                      <w:w w:val="85"/>
                                      <w:sz w:val="9"/>
                                    </w:rPr>
                                    <w:t>en</w:t>
                                  </w:r>
                                  <w:r>
                                    <w:rPr>
                                      <w:rFonts w:ascii="Arial" w:hAnsi="Arial"/>
                                      <w:spacing w:val="-3"/>
                                      <w:w w:val="85"/>
                                      <w:sz w:val="9"/>
                                    </w:rPr>
                                    <w:t> </w:t>
                                  </w:r>
                                  <w:r>
                                    <w:rPr>
                                      <w:rFonts w:ascii="Arial" w:hAnsi="Arial"/>
                                      <w:w w:val="85"/>
                                      <w:sz w:val="9"/>
                                    </w:rPr>
                                    <w:t>los</w:t>
                                  </w:r>
                                  <w:r>
                                    <w:rPr>
                                      <w:rFonts w:ascii="Arial" w:hAnsi="Arial"/>
                                      <w:spacing w:val="-2"/>
                                      <w:w w:val="85"/>
                                      <w:sz w:val="9"/>
                                    </w:rPr>
                                    <w:t> </w:t>
                                  </w:r>
                                  <w:r>
                                    <w:rPr>
                                      <w:rFonts w:ascii="Arial" w:hAnsi="Arial"/>
                                      <w:w w:val="85"/>
                                      <w:sz w:val="9"/>
                                    </w:rPr>
                                    <w:t>porcentajes</w:t>
                                  </w:r>
                                  <w:r>
                                    <w:rPr>
                                      <w:rFonts w:ascii="Arial" w:hAnsi="Arial"/>
                                      <w:spacing w:val="4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2"/>
                                      <w:w w:val="80"/>
                                      <w:sz w:val="9"/>
                                    </w:rPr>
                                    <w:t> </w:t>
                                  </w:r>
                                  <w:r>
                                    <w:rPr>
                                      <w:rFonts w:ascii="Arial" w:hAnsi="Arial"/>
                                      <w:w w:val="80"/>
                                      <w:sz w:val="9"/>
                                    </w:rPr>
                                    <w:t>aplicados</w:t>
                                  </w:r>
                                  <w:r>
                                    <w:rPr>
                                      <w:rFonts w:ascii="Arial" w:hAnsi="Arial"/>
                                      <w:spacing w:val="-1"/>
                                      <w:w w:val="80"/>
                                      <w:sz w:val="9"/>
                                    </w:rPr>
                                    <w:t> </w:t>
                                  </w:r>
                                  <w:r>
                                    <w:rPr>
                                      <w:rFonts w:ascii="Arial" w:hAnsi="Arial"/>
                                      <w:w w:val="80"/>
                                      <w:sz w:val="9"/>
                                    </w:rPr>
                                    <w:t>para</w:t>
                                  </w:r>
                                  <w:r>
                                    <w:rPr>
                                      <w:rFonts w:ascii="Arial" w:hAnsi="Arial"/>
                                      <w:spacing w:val="-3"/>
                                      <w:w w:val="80"/>
                                      <w:sz w:val="9"/>
                                    </w:rPr>
                                    <w:t> </w:t>
                                  </w:r>
                                  <w:r>
                                    <w:rPr>
                                      <w:rFonts w:ascii="Arial" w:hAnsi="Arial"/>
                                      <w:w w:val="80"/>
                                      <w:sz w:val="9"/>
                                    </w:rPr>
                                    <w:t>realizar</w:t>
                                  </w:r>
                                </w:p>
                                <w:p>
                                  <w:pPr>
                                    <w:pStyle w:val="TableParagraph"/>
                                    <w:spacing w:line="83" w:lineRule="exact"/>
                                    <w:ind w:left="18"/>
                                    <w:rPr>
                                      <w:rFonts w:ascii="Arial" w:hAnsi="Arial"/>
                                      <w:sz w:val="9"/>
                                    </w:rPr>
                                  </w:pP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5"/>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463" w:hRule="atLeast"/>
                              </w:trPr>
                              <w:tc>
                                <w:tcPr>
                                  <w:tcW w:w="493" w:type="dxa"/>
                                  <w:tcBorders>
                                    <w:left w:val="single" w:sz="2" w:space="0" w:color="000000"/>
                                    <w:right w:val="single" w:sz="2" w:space="0" w:color="000000"/>
                                  </w:tcBorders>
                                </w:tcPr>
                                <w:p>
                                  <w:pPr>
                                    <w:pStyle w:val="TableParagraph"/>
                                    <w:spacing w:before="79"/>
                                    <w:rPr>
                                      <w:sz w:val="9"/>
                                    </w:rPr>
                                  </w:pPr>
                                </w:p>
                                <w:p>
                                  <w:pPr>
                                    <w:pStyle w:val="TableParagraph"/>
                                    <w:spacing w:before="1"/>
                                    <w:ind w:right="7"/>
                                    <w:jc w:val="right"/>
                                    <w:rPr>
                                      <w:rFonts w:ascii="Arial"/>
                                      <w:sz w:val="9"/>
                                    </w:rPr>
                                  </w:pPr>
                                  <w:r>
                                    <w:rPr>
                                      <w:rFonts w:ascii="Arial"/>
                                      <w:spacing w:val="-2"/>
                                      <w:w w:val="90"/>
                                      <w:sz w:val="9"/>
                                    </w:rPr>
                                    <w:t>1.1.3.99</w:t>
                                  </w:r>
                                </w:p>
                              </w:tc>
                              <w:tc>
                                <w:tcPr>
                                  <w:tcW w:w="1693" w:type="dxa"/>
                                  <w:tcBorders>
                                    <w:left w:val="single" w:sz="2" w:space="0" w:color="000000"/>
                                    <w:right w:val="single" w:sz="2" w:space="0" w:color="000000"/>
                                  </w:tcBorders>
                                </w:tcPr>
                                <w:p>
                                  <w:pPr>
                                    <w:pStyle w:val="TableParagraph"/>
                                    <w:spacing w:before="79"/>
                                    <w:rPr>
                                      <w:sz w:val="9"/>
                                    </w:rPr>
                                  </w:pPr>
                                </w:p>
                                <w:p>
                                  <w:pPr>
                                    <w:pStyle w:val="TableParagraph"/>
                                    <w:spacing w:before="1"/>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DOC.</w:t>
                                  </w:r>
                                  <w:r>
                                    <w:rPr>
                                      <w:rFonts w:ascii="Arial"/>
                                      <w:spacing w:val="1"/>
                                      <w:sz w:val="9"/>
                                    </w:rPr>
                                    <w:t> </w:t>
                                  </w:r>
                                  <w:r>
                                    <w:rPr>
                                      <w:rFonts w:ascii="Arial"/>
                                      <w:spacing w:val="-2"/>
                                      <w:w w:val="80"/>
                                      <w:sz w:val="9"/>
                                    </w:rPr>
                                    <w:t>BIENES</w:t>
                                  </w:r>
                                  <w:r>
                                    <w:rPr>
                                      <w:rFonts w:ascii="Arial"/>
                                      <w:spacing w:val="3"/>
                                      <w:sz w:val="9"/>
                                    </w:rPr>
                                    <w:t> </w:t>
                                  </w:r>
                                  <w:r>
                                    <w:rPr>
                                      <w:rFonts w:ascii="Arial"/>
                                      <w:spacing w:val="-2"/>
                                      <w:w w:val="80"/>
                                      <w:sz w:val="9"/>
                                    </w:rPr>
                                    <w:t>Y</w:t>
                                  </w:r>
                                  <w:r>
                                    <w:rPr>
                                      <w:rFonts w:ascii="Arial"/>
                                      <w:spacing w:val="-1"/>
                                      <w:sz w:val="9"/>
                                    </w:rPr>
                                    <w:t> </w:t>
                                  </w:r>
                                  <w:r>
                                    <w:rPr>
                                      <w:rFonts w:ascii="Arial"/>
                                      <w:spacing w:val="-2"/>
                                      <w:w w:val="80"/>
                                      <w:sz w:val="9"/>
                                    </w:rPr>
                                    <w:t>SERVICIOS</w:t>
                                  </w:r>
                                  <w:r>
                                    <w:rPr>
                                      <w:rFonts w:ascii="Arial"/>
                                      <w:spacing w:val="2"/>
                                      <w:sz w:val="9"/>
                                    </w:rPr>
                                    <w:t> </w:t>
                                  </w:r>
                                  <w:r>
                                    <w:rPr>
                                      <w:rFonts w:ascii="Arial"/>
                                      <w:spacing w:val="-4"/>
                                      <w:w w:val="80"/>
                                      <w:sz w:val="9"/>
                                    </w:rPr>
                                    <w:t>C.P.</w:t>
                                  </w:r>
                                </w:p>
                              </w:tc>
                              <w:tc>
                                <w:tcPr>
                                  <w:tcW w:w="704" w:type="dxa"/>
                                  <w:tcBorders>
                                    <w:left w:val="single" w:sz="2" w:space="0" w:color="000000"/>
                                    <w:right w:val="single" w:sz="2" w:space="0" w:color="000000"/>
                                  </w:tcBorders>
                                </w:tcPr>
                                <w:p>
                                  <w:pPr>
                                    <w:pStyle w:val="TableParagraph"/>
                                    <w:spacing w:before="79"/>
                                    <w:rPr>
                                      <w:sz w:val="9"/>
                                    </w:rPr>
                                  </w:pPr>
                                </w:p>
                                <w:p>
                                  <w:pPr>
                                    <w:pStyle w:val="TableParagraph"/>
                                    <w:spacing w:before="1"/>
                                    <w:ind w:left="13" w:right="-15"/>
                                    <w:rPr>
                                      <w:rFonts w:ascii="Arial"/>
                                      <w:sz w:val="9"/>
                                    </w:rPr>
                                  </w:pPr>
                                  <w:r>
                                    <w:rPr>
                                      <w:rFonts w:ascii="Arial"/>
                                      <w:spacing w:val="-2"/>
                                      <w:w w:val="80"/>
                                      <w:sz w:val="9"/>
                                    </w:rPr>
                                    <w:t>BENEFICIARIOS</w:t>
                                  </w:r>
                                  <w:r>
                                    <w:rPr>
                                      <w:rFonts w:ascii="Arial"/>
                                      <w:spacing w:val="7"/>
                                      <w:sz w:val="9"/>
                                    </w:rPr>
                                    <w:t> </w:t>
                                  </w:r>
                                  <w:r>
                                    <w:rPr>
                                      <w:rFonts w:ascii="Arial"/>
                                      <w:spacing w:val="-5"/>
                                      <w:w w:val="90"/>
                                      <w:sz w:val="9"/>
                                    </w:rPr>
                                    <w:t>C.P</w:t>
                                  </w:r>
                                </w:p>
                              </w:tc>
                              <w:tc>
                                <w:tcPr>
                                  <w:tcW w:w="797" w:type="dxa"/>
                                  <w:tcBorders>
                                    <w:left w:val="single" w:sz="2" w:space="0" w:color="000000"/>
                                    <w:right w:val="single" w:sz="2" w:space="0" w:color="000000"/>
                                  </w:tcBorders>
                                </w:tcPr>
                                <w:p>
                                  <w:pPr>
                                    <w:pStyle w:val="TableParagraph"/>
                                    <w:spacing w:before="79"/>
                                    <w:rPr>
                                      <w:sz w:val="9"/>
                                    </w:rPr>
                                  </w:pPr>
                                </w:p>
                                <w:p>
                                  <w:pPr>
                                    <w:pStyle w:val="TableParagraph"/>
                                    <w:spacing w:before="1"/>
                                    <w:ind w:right="25"/>
                                    <w:jc w:val="right"/>
                                    <w:rPr>
                                      <w:rFonts w:ascii="Arial"/>
                                      <w:sz w:val="9"/>
                                    </w:rPr>
                                  </w:pPr>
                                  <w:r>
                                    <w:rPr>
                                      <w:rFonts w:ascii="Arial"/>
                                      <w:w w:val="80"/>
                                      <w:sz w:val="9"/>
                                    </w:rPr>
                                    <w:t>36</w:t>
                                  </w:r>
                                  <w:r>
                                    <w:rPr>
                                      <w:rFonts w:ascii="Arial"/>
                                      <w:spacing w:val="-2"/>
                                      <w:w w:val="90"/>
                                      <w:sz w:val="9"/>
                                    </w:rPr>
                                    <w:t> 300,37</w:t>
                                  </w:r>
                                </w:p>
                              </w:tc>
                              <w:tc>
                                <w:tcPr>
                                  <w:tcW w:w="716" w:type="dxa"/>
                                  <w:tcBorders>
                                    <w:left w:val="single" w:sz="2" w:space="0" w:color="000000"/>
                                    <w:right w:val="single" w:sz="2" w:space="0" w:color="000000"/>
                                  </w:tcBorders>
                                </w:tcPr>
                                <w:p>
                                  <w:pPr>
                                    <w:pStyle w:val="TableParagraph"/>
                                    <w:spacing w:before="79"/>
                                    <w:rPr>
                                      <w:sz w:val="9"/>
                                    </w:rPr>
                                  </w:pPr>
                                </w:p>
                                <w:p>
                                  <w:pPr>
                                    <w:pStyle w:val="TableParagraph"/>
                                    <w:spacing w:before="1"/>
                                    <w:ind w:right="24"/>
                                    <w:jc w:val="right"/>
                                    <w:rPr>
                                      <w:rFonts w:ascii="Arial"/>
                                      <w:sz w:val="9"/>
                                    </w:rPr>
                                  </w:pPr>
                                  <w:r>
                                    <w:rPr>
                                      <w:rFonts w:ascii="Arial"/>
                                      <w:w w:val="80"/>
                                      <w:sz w:val="9"/>
                                    </w:rPr>
                                    <w:t>36</w:t>
                                  </w:r>
                                  <w:r>
                                    <w:rPr>
                                      <w:rFonts w:ascii="Arial"/>
                                      <w:spacing w:val="-2"/>
                                      <w:w w:val="90"/>
                                      <w:sz w:val="9"/>
                                    </w:rPr>
                                    <w:t> 572,03</w:t>
                                  </w:r>
                                </w:p>
                              </w:tc>
                              <w:tc>
                                <w:tcPr>
                                  <w:tcW w:w="728" w:type="dxa"/>
                                  <w:tcBorders>
                                    <w:left w:val="single" w:sz="2" w:space="0" w:color="000000"/>
                                    <w:right w:val="single" w:sz="2" w:space="0" w:color="000000"/>
                                  </w:tcBorders>
                                  <w:shd w:val="clear" w:color="auto" w:fill="FFFFFF"/>
                                </w:tcPr>
                                <w:p>
                                  <w:pPr>
                                    <w:pStyle w:val="TableParagraph"/>
                                    <w:spacing w:before="79"/>
                                    <w:rPr>
                                      <w:sz w:val="9"/>
                                    </w:rPr>
                                  </w:pPr>
                                </w:p>
                                <w:p>
                                  <w:pPr>
                                    <w:pStyle w:val="TableParagraph"/>
                                    <w:spacing w:before="1"/>
                                    <w:ind w:right="3"/>
                                    <w:jc w:val="right"/>
                                    <w:rPr>
                                      <w:rFonts w:ascii="Arial"/>
                                      <w:sz w:val="9"/>
                                    </w:rPr>
                                  </w:pPr>
                                  <w:r>
                                    <w:rPr>
                                      <w:rFonts w:ascii="Arial"/>
                                      <w:spacing w:val="-2"/>
                                      <w:w w:val="80"/>
                                      <w:sz w:val="9"/>
                                    </w:rPr>
                                    <w:t>-</w:t>
                                  </w:r>
                                  <w:r>
                                    <w:rPr>
                                      <w:rFonts w:ascii="Arial"/>
                                      <w:spacing w:val="-2"/>
                                      <w:w w:val="90"/>
                                      <w:sz w:val="9"/>
                                    </w:rPr>
                                    <w:t>271,66</w:t>
                                  </w:r>
                                </w:p>
                              </w:tc>
                              <w:tc>
                                <w:tcPr>
                                  <w:tcW w:w="496" w:type="dxa"/>
                                  <w:tcBorders>
                                    <w:left w:val="single" w:sz="2" w:space="0" w:color="000000"/>
                                    <w:right w:val="single" w:sz="2" w:space="0" w:color="000000"/>
                                  </w:tcBorders>
                                  <w:shd w:val="clear" w:color="auto" w:fill="FFFFFF"/>
                                </w:tcPr>
                                <w:p>
                                  <w:pPr>
                                    <w:pStyle w:val="TableParagraph"/>
                                    <w:spacing w:before="79"/>
                                    <w:rPr>
                                      <w:sz w:val="9"/>
                                    </w:rPr>
                                  </w:pPr>
                                </w:p>
                                <w:p>
                                  <w:pPr>
                                    <w:pStyle w:val="TableParagraph"/>
                                    <w:spacing w:before="1"/>
                                    <w:ind w:right="2"/>
                                    <w:jc w:val="right"/>
                                    <w:rPr>
                                      <w:rFonts w:ascii="Arial"/>
                                      <w:sz w:val="9"/>
                                    </w:rPr>
                                  </w:pPr>
                                  <w:r>
                                    <w:rPr>
                                      <w:rFonts w:ascii="Arial"/>
                                      <w:spacing w:val="-2"/>
                                      <w:w w:val="80"/>
                                      <w:sz w:val="9"/>
                                    </w:rPr>
                                    <w:t>-</w:t>
                                  </w:r>
                                  <w:r>
                                    <w:rPr>
                                      <w:rFonts w:ascii="Arial"/>
                                      <w:spacing w:val="-2"/>
                                      <w:w w:val="90"/>
                                      <w:sz w:val="9"/>
                                    </w:rPr>
                                    <w:t>0,74%</w:t>
                                  </w:r>
                                </w:p>
                              </w:tc>
                              <w:tc>
                                <w:tcPr>
                                  <w:tcW w:w="1339" w:type="dxa"/>
                                  <w:tcBorders>
                                    <w:left w:val="single" w:sz="2" w:space="0" w:color="000000"/>
                                    <w:right w:val="single" w:sz="2" w:space="0" w:color="000000"/>
                                  </w:tcBorders>
                                </w:tcPr>
                                <w:p>
                                  <w:pPr>
                                    <w:pStyle w:val="TableParagraph"/>
                                    <w:spacing w:line="273" w:lineRule="auto" w:before="6"/>
                                    <w:ind w:left="18"/>
                                    <w:rPr>
                                      <w:rFonts w:ascii="Arial" w:hAnsi="Arial"/>
                                      <w:sz w:val="9"/>
                                    </w:rPr>
                                  </w:pPr>
                                  <w:r>
                                    <w:rPr>
                                      <w:rFonts w:ascii="Arial" w:hAnsi="Arial"/>
                                      <w:w w:val="80"/>
                                      <w:sz w:val="9"/>
                                    </w:rPr>
                                    <w:t>Variación</w:t>
                                  </w:r>
                                  <w:r>
                                    <w:rPr>
                                      <w:rFonts w:ascii="Arial" w:hAnsi="Arial"/>
                                      <w:spacing w:val="-2"/>
                                      <w:w w:val="80"/>
                                      <w:sz w:val="9"/>
                                    </w:rPr>
                                    <w:t> </w:t>
                                  </w:r>
                                  <w:r>
                                    <w:rPr>
                                      <w:rFonts w:ascii="Arial" w:hAnsi="Arial"/>
                                      <w:w w:val="80"/>
                                      <w:sz w:val="9"/>
                                    </w:rPr>
                                    <w:t>por</w:t>
                                  </w:r>
                                  <w:r>
                                    <w:rPr>
                                      <w:rFonts w:ascii="Arial" w:hAnsi="Arial"/>
                                      <w:spacing w:val="-1"/>
                                      <w:w w:val="80"/>
                                      <w:sz w:val="9"/>
                                    </w:rPr>
                                    <w:t> </w:t>
                                  </w:r>
                                  <w:r>
                                    <w:rPr>
                                      <w:rFonts w:ascii="Arial" w:hAnsi="Arial"/>
                                      <w:w w:val="80"/>
                                      <w:sz w:val="9"/>
                                    </w:rPr>
                                    <w:t>disminución</w:t>
                                  </w:r>
                                  <w:r>
                                    <w:rPr>
                                      <w:rFonts w:ascii="Arial" w:hAnsi="Arial"/>
                                      <w:spacing w:val="-1"/>
                                      <w:w w:val="80"/>
                                      <w:sz w:val="9"/>
                                    </w:rPr>
                                    <w:t> </w:t>
                                  </w:r>
                                  <w:r>
                                    <w:rPr>
                                      <w:rFonts w:ascii="Arial" w:hAnsi="Arial"/>
                                      <w:w w:val="80"/>
                                      <w:sz w:val="9"/>
                                    </w:rPr>
                                    <w:t>en</w:t>
                                  </w:r>
                                  <w:r>
                                    <w:rPr>
                                      <w:rFonts w:ascii="Arial" w:hAnsi="Arial"/>
                                      <w:spacing w:val="-1"/>
                                      <w:w w:val="80"/>
                                      <w:sz w:val="9"/>
                                    </w:rPr>
                                    <w:t> </w:t>
                                  </w:r>
                                  <w:r>
                                    <w:rPr>
                                      <w:rFonts w:ascii="Arial" w:hAnsi="Arial"/>
                                      <w:w w:val="80"/>
                                      <w:sz w:val="9"/>
                                    </w:rPr>
                                    <w:t>los</w:t>
                                  </w:r>
                                  <w:r>
                                    <w:rPr>
                                      <w:rFonts w:ascii="Arial" w:hAnsi="Arial"/>
                                      <w:spacing w:val="-2"/>
                                      <w:w w:val="80"/>
                                      <w:sz w:val="9"/>
                                    </w:rPr>
                                    <w:t> </w:t>
                                  </w:r>
                                  <w:r>
                                    <w:rPr>
                                      <w:rFonts w:ascii="Arial" w:hAnsi="Arial"/>
                                      <w:w w:val="80"/>
                                      <w:sz w:val="9"/>
                                    </w:rPr>
                                    <w:t>saldos</w:t>
                                  </w:r>
                                  <w:r>
                                    <w:rPr>
                                      <w:rFonts w:ascii="Arial" w:hAnsi="Arial"/>
                                      <w:spacing w:val="40"/>
                                      <w:sz w:val="9"/>
                                    </w:rPr>
                                    <w:t> </w:t>
                                  </w:r>
                                  <w:r>
                                    <w:rPr>
                                      <w:rFonts w:ascii="Arial" w:hAnsi="Arial"/>
                                      <w:spacing w:val="-2"/>
                                      <w:w w:val="90"/>
                                      <w:sz w:val="9"/>
                                    </w:rPr>
                                    <w:t>de</w:t>
                                  </w:r>
                                  <w:r>
                                    <w:rPr>
                                      <w:rFonts w:ascii="Arial" w:hAnsi="Arial"/>
                                      <w:spacing w:val="-6"/>
                                      <w:w w:val="90"/>
                                      <w:sz w:val="9"/>
                                    </w:rPr>
                                    <w:t> </w:t>
                                  </w:r>
                                  <w:r>
                                    <w:rPr>
                                      <w:rFonts w:ascii="Arial" w:hAnsi="Arial"/>
                                      <w:spacing w:val="-2"/>
                                      <w:w w:val="90"/>
                                      <w:sz w:val="9"/>
                                    </w:rPr>
                                    <w:t>las</w:t>
                                  </w:r>
                                  <w:r>
                                    <w:rPr>
                                      <w:rFonts w:ascii="Arial" w:hAnsi="Arial"/>
                                      <w:spacing w:val="-3"/>
                                      <w:w w:val="90"/>
                                      <w:sz w:val="9"/>
                                    </w:rPr>
                                    <w:t> </w:t>
                                  </w:r>
                                  <w:r>
                                    <w:rPr>
                                      <w:rFonts w:ascii="Arial" w:hAnsi="Arial"/>
                                      <w:spacing w:val="-2"/>
                                      <w:w w:val="90"/>
                                      <w:sz w:val="9"/>
                                    </w:rPr>
                                    <w:t>cuenta</w:t>
                                  </w:r>
                                  <w:r>
                                    <w:rPr>
                                      <w:rFonts w:ascii="Arial" w:hAnsi="Arial"/>
                                      <w:spacing w:val="-6"/>
                                      <w:w w:val="90"/>
                                      <w:sz w:val="9"/>
                                    </w:rPr>
                                    <w:t> </w:t>
                                  </w:r>
                                  <w:r>
                                    <w:rPr>
                                      <w:rFonts w:ascii="Arial" w:hAnsi="Arial"/>
                                      <w:spacing w:val="-2"/>
                                      <w:w w:val="90"/>
                                      <w:sz w:val="9"/>
                                    </w:rPr>
                                    <w:t>por</w:t>
                                  </w:r>
                                  <w:r>
                                    <w:rPr>
                                      <w:rFonts w:ascii="Arial" w:hAnsi="Arial"/>
                                      <w:spacing w:val="-3"/>
                                      <w:w w:val="90"/>
                                      <w:sz w:val="9"/>
                                    </w:rPr>
                                    <w:t> </w:t>
                                  </w:r>
                                  <w:r>
                                    <w:rPr>
                                      <w:rFonts w:ascii="Arial" w:hAnsi="Arial"/>
                                      <w:spacing w:val="-2"/>
                                      <w:w w:val="90"/>
                                      <w:sz w:val="9"/>
                                    </w:rPr>
                                    <w:t>cobrar</w:t>
                                  </w:r>
                                  <w:r>
                                    <w:rPr>
                                      <w:rFonts w:ascii="Arial" w:hAnsi="Arial"/>
                                      <w:spacing w:val="-4"/>
                                      <w:w w:val="90"/>
                                      <w:sz w:val="9"/>
                                    </w:rPr>
                                    <w:t> </w:t>
                                  </w:r>
                                  <w:r>
                                    <w:rPr>
                                      <w:rFonts w:ascii="Arial" w:hAnsi="Arial"/>
                                      <w:spacing w:val="-2"/>
                                      <w:w w:val="90"/>
                                      <w:sz w:val="9"/>
                                    </w:rPr>
                                    <w:t>y</w:t>
                                  </w:r>
                                  <w:r>
                                    <w:rPr>
                                      <w:rFonts w:ascii="Arial" w:hAnsi="Arial"/>
                                      <w:spacing w:val="-3"/>
                                      <w:w w:val="90"/>
                                      <w:sz w:val="9"/>
                                    </w:rPr>
                                    <w:t> </w:t>
                                  </w:r>
                                  <w:r>
                                    <w:rPr>
                                      <w:rFonts w:ascii="Arial" w:hAnsi="Arial"/>
                                      <w:spacing w:val="-2"/>
                                      <w:w w:val="90"/>
                                      <w:sz w:val="9"/>
                                    </w:rPr>
                                    <w:t>en</w:t>
                                  </w:r>
                                  <w:r>
                                    <w:rPr>
                                      <w:rFonts w:ascii="Arial" w:hAnsi="Arial"/>
                                      <w:spacing w:val="-3"/>
                                      <w:w w:val="90"/>
                                      <w:sz w:val="9"/>
                                    </w:rPr>
                                    <w:t> </w:t>
                                  </w:r>
                                  <w:r>
                                    <w:rPr>
                                      <w:rFonts w:ascii="Arial" w:hAnsi="Arial"/>
                                      <w:spacing w:val="-2"/>
                                      <w:w w:val="90"/>
                                      <w:sz w:val="9"/>
                                    </w:rPr>
                                    <w:t>los</w:t>
                                  </w:r>
                                  <w:r>
                                    <w:rPr>
                                      <w:rFonts w:ascii="Arial" w:hAnsi="Arial"/>
                                      <w:spacing w:val="40"/>
                                      <w:sz w:val="9"/>
                                    </w:rPr>
                                    <w:t> </w:t>
                                  </w:r>
                                  <w:r>
                                    <w:rPr>
                                      <w:rFonts w:ascii="Arial" w:hAnsi="Arial"/>
                                      <w:w w:val="80"/>
                                      <w:sz w:val="9"/>
                                    </w:rPr>
                                    <w:t>porcentajes</w:t>
                                  </w:r>
                                  <w:r>
                                    <w:rPr>
                                      <w:rFonts w:ascii="Arial" w:hAnsi="Arial"/>
                                      <w:spacing w:val="-2"/>
                                      <w:w w:val="8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1"/>
                                      <w:w w:val="80"/>
                                      <w:sz w:val="9"/>
                                    </w:rPr>
                                    <w:t> </w:t>
                                  </w:r>
                                  <w:r>
                                    <w:rPr>
                                      <w:rFonts w:ascii="Arial" w:hAnsi="Arial"/>
                                      <w:w w:val="80"/>
                                      <w:sz w:val="9"/>
                                    </w:rPr>
                                    <w:t>aplicados</w:t>
                                  </w:r>
                                </w:p>
                                <w:p>
                                  <w:pPr>
                                    <w:pStyle w:val="TableParagraph"/>
                                    <w:spacing w:line="83" w:lineRule="exact"/>
                                    <w:ind w:left="18"/>
                                    <w:rPr>
                                      <w:rFonts w:ascii="Arial" w:hAnsi="Arial"/>
                                      <w:sz w:val="9"/>
                                    </w:rPr>
                                  </w:pPr>
                                  <w:r>
                                    <w:rPr>
                                      <w:rFonts w:ascii="Arial" w:hAnsi="Arial"/>
                                      <w:w w:val="80"/>
                                      <w:sz w:val="9"/>
                                    </w:rPr>
                                    <w:t>para</w:t>
                                  </w:r>
                                  <w:r>
                                    <w:rPr>
                                      <w:rFonts w:ascii="Arial" w:hAnsi="Arial"/>
                                      <w:spacing w:val="-3"/>
                                      <w:w w:val="80"/>
                                      <w:sz w:val="9"/>
                                    </w:rPr>
                                    <w:t> </w:t>
                                  </w:r>
                                  <w:r>
                                    <w:rPr>
                                      <w:rFonts w:ascii="Arial" w:hAnsi="Arial"/>
                                      <w:w w:val="80"/>
                                      <w:sz w:val="9"/>
                                    </w:rPr>
                                    <w:t>realizar</w:t>
                                  </w:r>
                                  <w:r>
                                    <w:rPr>
                                      <w:rFonts w:ascii="Arial" w:hAnsi="Arial"/>
                                      <w:spacing w:val="-2"/>
                                      <w:w w:val="80"/>
                                      <w:sz w:val="9"/>
                                    </w:rPr>
                                    <w:t> </w:t>
                                  </w: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1"/>
                                      <w:w w:val="80"/>
                                      <w:sz w:val="9"/>
                                    </w:rPr>
                                    <w:t> </w:t>
                                  </w:r>
                                  <w:r>
                                    <w:rPr>
                                      <w:rFonts w:ascii="Arial" w:hAnsi="Arial"/>
                                      <w:w w:val="80"/>
                                      <w:sz w:val="9"/>
                                    </w:rPr>
                                    <w:t>a</w:t>
                                  </w:r>
                                  <w:r>
                                    <w:rPr>
                                      <w:rFonts w:ascii="Arial" w:hAnsi="Arial"/>
                                      <w:spacing w:val="9"/>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580" w:hRule="atLeast"/>
                              </w:trPr>
                              <w:tc>
                                <w:tcPr>
                                  <w:tcW w:w="493"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7"/>
                                    <w:jc w:val="right"/>
                                    <w:rPr>
                                      <w:rFonts w:ascii="Arial"/>
                                      <w:sz w:val="9"/>
                                    </w:rPr>
                                  </w:pPr>
                                  <w:r>
                                    <w:rPr>
                                      <w:rFonts w:ascii="Arial"/>
                                      <w:spacing w:val="-2"/>
                                      <w:w w:val="90"/>
                                      <w:sz w:val="9"/>
                                    </w:rPr>
                                    <w:t>1.1.3.99</w:t>
                                  </w:r>
                                </w:p>
                              </w:tc>
                              <w:tc>
                                <w:tcPr>
                                  <w:tcW w:w="1693"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DOC.</w:t>
                                  </w:r>
                                  <w:r>
                                    <w:rPr>
                                      <w:rFonts w:ascii="Arial"/>
                                      <w:spacing w:val="1"/>
                                      <w:sz w:val="9"/>
                                    </w:rPr>
                                    <w:t> </w:t>
                                  </w:r>
                                  <w:r>
                                    <w:rPr>
                                      <w:rFonts w:ascii="Arial"/>
                                      <w:spacing w:val="-2"/>
                                      <w:w w:val="80"/>
                                      <w:sz w:val="9"/>
                                    </w:rPr>
                                    <w:t>A</w:t>
                                  </w:r>
                                  <w:r>
                                    <w:rPr>
                                      <w:rFonts w:ascii="Arial"/>
                                      <w:spacing w:val="-1"/>
                                      <w:sz w:val="9"/>
                                    </w:rPr>
                                    <w:t> </w:t>
                                  </w:r>
                                  <w:r>
                                    <w:rPr>
                                      <w:rFonts w:ascii="Arial"/>
                                      <w:spacing w:val="-2"/>
                                      <w:w w:val="80"/>
                                      <w:sz w:val="9"/>
                                    </w:rPr>
                                    <w:t>COBRAR</w:t>
                                  </w:r>
                                  <w:r>
                                    <w:rPr>
                                      <w:rFonts w:ascii="Arial"/>
                                      <w:spacing w:val="4"/>
                                      <w:sz w:val="9"/>
                                    </w:rPr>
                                    <w:t> </w:t>
                                  </w:r>
                                  <w:r>
                                    <w:rPr>
                                      <w:rFonts w:ascii="Arial"/>
                                      <w:spacing w:val="-2"/>
                                      <w:w w:val="80"/>
                                      <w:sz w:val="9"/>
                                    </w:rPr>
                                    <w:t>FRACC.PAGO</w:t>
                                  </w:r>
                                </w:p>
                              </w:tc>
                              <w:tc>
                                <w:tcPr>
                                  <w:tcW w:w="704"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left="13"/>
                                    <w:rPr>
                                      <w:rFonts w:ascii="Arial"/>
                                      <w:sz w:val="9"/>
                                    </w:rPr>
                                  </w:pPr>
                                  <w:r>
                                    <w:rPr>
                                      <w:rFonts w:ascii="Arial"/>
                                      <w:spacing w:val="-2"/>
                                      <w:w w:val="90"/>
                                      <w:sz w:val="9"/>
                                    </w:rPr>
                                    <w:t>EMPLEADOS</w:t>
                                  </w:r>
                                </w:p>
                              </w:tc>
                              <w:tc>
                                <w:tcPr>
                                  <w:tcW w:w="797"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25"/>
                                    <w:jc w:val="right"/>
                                    <w:rPr>
                                      <w:rFonts w:ascii="Arial"/>
                                      <w:sz w:val="9"/>
                                    </w:rPr>
                                  </w:pPr>
                                  <w:r>
                                    <w:rPr>
                                      <w:rFonts w:ascii="Arial"/>
                                      <w:w w:val="80"/>
                                      <w:sz w:val="9"/>
                                    </w:rPr>
                                    <w:t>10</w:t>
                                  </w:r>
                                  <w:r>
                                    <w:rPr>
                                      <w:rFonts w:ascii="Arial"/>
                                      <w:spacing w:val="-2"/>
                                      <w:w w:val="90"/>
                                      <w:sz w:val="9"/>
                                    </w:rPr>
                                    <w:t> 903,51</w:t>
                                  </w:r>
                                </w:p>
                              </w:tc>
                              <w:tc>
                                <w:tcPr>
                                  <w:tcW w:w="716"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24"/>
                                    <w:jc w:val="right"/>
                                    <w:rPr>
                                      <w:rFonts w:ascii="Arial"/>
                                      <w:sz w:val="9"/>
                                    </w:rPr>
                                  </w:pPr>
                                  <w:r>
                                    <w:rPr>
                                      <w:rFonts w:ascii="Arial"/>
                                      <w:w w:val="80"/>
                                      <w:sz w:val="9"/>
                                    </w:rPr>
                                    <w:t>12</w:t>
                                  </w:r>
                                  <w:r>
                                    <w:rPr>
                                      <w:rFonts w:ascii="Arial"/>
                                      <w:spacing w:val="-2"/>
                                      <w:w w:val="90"/>
                                      <w:sz w:val="9"/>
                                    </w:rPr>
                                    <w:t> 255,49</w:t>
                                  </w:r>
                                </w:p>
                              </w:tc>
                              <w:tc>
                                <w:tcPr>
                                  <w:tcW w:w="728" w:type="dxa"/>
                                  <w:tcBorders>
                                    <w:left w:val="single" w:sz="2" w:space="0" w:color="000000"/>
                                    <w:right w:val="single" w:sz="2" w:space="0" w:color="000000"/>
                                  </w:tcBorders>
                                  <w:shd w:val="clear" w:color="auto" w:fill="FFFFFF"/>
                                </w:tcPr>
                                <w:p>
                                  <w:pPr>
                                    <w:pStyle w:val="TableParagraph"/>
                                    <w:rPr>
                                      <w:sz w:val="9"/>
                                    </w:rPr>
                                  </w:pPr>
                                </w:p>
                                <w:p>
                                  <w:pPr>
                                    <w:pStyle w:val="TableParagraph"/>
                                    <w:spacing w:before="36"/>
                                    <w:rPr>
                                      <w:sz w:val="9"/>
                                    </w:rPr>
                                  </w:pPr>
                                </w:p>
                                <w:p>
                                  <w:pPr>
                                    <w:pStyle w:val="TableParagraph"/>
                                    <w:ind w:right="3"/>
                                    <w:jc w:val="right"/>
                                    <w:rPr>
                                      <w:rFonts w:ascii="Arial"/>
                                      <w:sz w:val="9"/>
                                    </w:rPr>
                                  </w:pPr>
                                  <w:r>
                                    <w:rPr>
                                      <w:rFonts w:ascii="Arial"/>
                                      <w:w w:val="80"/>
                                      <w:sz w:val="9"/>
                                    </w:rPr>
                                    <w:t>-1</w:t>
                                  </w:r>
                                  <w:r>
                                    <w:rPr>
                                      <w:rFonts w:ascii="Arial"/>
                                      <w:spacing w:val="-1"/>
                                      <w:w w:val="80"/>
                                      <w:sz w:val="9"/>
                                    </w:rPr>
                                    <w:t> </w:t>
                                  </w:r>
                                  <w:r>
                                    <w:rPr>
                                      <w:rFonts w:ascii="Arial"/>
                                      <w:spacing w:val="-2"/>
                                      <w:w w:val="80"/>
                                      <w:sz w:val="9"/>
                                    </w:rPr>
                                    <w:t>351,98</w:t>
                                  </w:r>
                                </w:p>
                              </w:tc>
                              <w:tc>
                                <w:tcPr>
                                  <w:tcW w:w="496" w:type="dxa"/>
                                  <w:tcBorders>
                                    <w:left w:val="single" w:sz="2" w:space="0" w:color="000000"/>
                                    <w:right w:val="single" w:sz="2" w:space="0" w:color="000000"/>
                                  </w:tcBorders>
                                  <w:shd w:val="clear" w:color="auto" w:fill="FFFFFF"/>
                                </w:tcPr>
                                <w:p>
                                  <w:pPr>
                                    <w:pStyle w:val="TableParagraph"/>
                                    <w:rPr>
                                      <w:sz w:val="9"/>
                                    </w:rPr>
                                  </w:pPr>
                                </w:p>
                                <w:p>
                                  <w:pPr>
                                    <w:pStyle w:val="TableParagraph"/>
                                    <w:spacing w:before="36"/>
                                    <w:rPr>
                                      <w:sz w:val="9"/>
                                    </w:rPr>
                                  </w:pPr>
                                </w:p>
                                <w:p>
                                  <w:pPr>
                                    <w:pStyle w:val="TableParagraph"/>
                                    <w:ind w:right="2"/>
                                    <w:jc w:val="right"/>
                                    <w:rPr>
                                      <w:rFonts w:ascii="Arial"/>
                                      <w:sz w:val="9"/>
                                    </w:rPr>
                                  </w:pPr>
                                  <w:r>
                                    <w:rPr>
                                      <w:rFonts w:ascii="Arial"/>
                                      <w:spacing w:val="-2"/>
                                      <w:w w:val="80"/>
                                      <w:sz w:val="9"/>
                                    </w:rPr>
                                    <w:t>-</w:t>
                                  </w:r>
                                  <w:r>
                                    <w:rPr>
                                      <w:rFonts w:ascii="Arial"/>
                                      <w:spacing w:val="-2"/>
                                      <w:w w:val="90"/>
                                      <w:sz w:val="9"/>
                                    </w:rPr>
                                    <w:t>11,03%</w:t>
                                  </w:r>
                                </w:p>
                              </w:tc>
                              <w:tc>
                                <w:tcPr>
                                  <w:tcW w:w="1339" w:type="dxa"/>
                                  <w:tcBorders>
                                    <w:left w:val="single" w:sz="2" w:space="0" w:color="000000"/>
                                    <w:right w:val="single" w:sz="2" w:space="0" w:color="000000"/>
                                  </w:tcBorders>
                                </w:tcPr>
                                <w:p>
                                  <w:pPr>
                                    <w:pStyle w:val="TableParagraph"/>
                                    <w:spacing w:line="273" w:lineRule="auto" w:before="6"/>
                                    <w:ind w:left="18"/>
                                    <w:rPr>
                                      <w:rFonts w:ascii="Arial" w:hAnsi="Arial"/>
                                      <w:sz w:val="9"/>
                                    </w:rPr>
                                  </w:pPr>
                                  <w:r>
                                    <w:rPr>
                                      <w:rFonts w:ascii="Arial" w:hAnsi="Arial"/>
                                      <w:w w:val="80"/>
                                      <w:sz w:val="9"/>
                                    </w:rPr>
                                    <w:t>Efecto</w:t>
                                  </w:r>
                                  <w:r>
                                    <w:rPr>
                                      <w:rFonts w:ascii="Arial" w:hAnsi="Arial"/>
                                      <w:spacing w:val="-3"/>
                                      <w:w w:val="80"/>
                                      <w:sz w:val="9"/>
                                    </w:rPr>
                                    <w:t> </w:t>
                                  </w:r>
                                  <w:r>
                                    <w:rPr>
                                      <w:rFonts w:ascii="Arial" w:hAnsi="Arial"/>
                                      <w:w w:val="80"/>
                                      <w:sz w:val="9"/>
                                    </w:rPr>
                                    <w:t>neto</w:t>
                                  </w:r>
                                  <w:r>
                                    <w:rPr>
                                      <w:rFonts w:ascii="Arial" w:hAnsi="Arial"/>
                                      <w:spacing w:val="-1"/>
                                      <w:sz w:val="9"/>
                                    </w:rPr>
                                    <w:t> </w:t>
                                  </w:r>
                                  <w:r>
                                    <w:rPr>
                                      <w:rFonts w:ascii="Arial" w:hAnsi="Arial"/>
                                      <w:w w:val="80"/>
                                      <w:sz w:val="9"/>
                                    </w:rPr>
                                    <w:t>en</w:t>
                                  </w:r>
                                  <w:r>
                                    <w:rPr>
                                      <w:rFonts w:ascii="Arial" w:hAnsi="Arial"/>
                                      <w:spacing w:val="-2"/>
                                      <w:w w:val="80"/>
                                      <w:sz w:val="9"/>
                                    </w:rPr>
                                    <w:t> </w:t>
                                  </w:r>
                                  <w:r>
                                    <w:rPr>
                                      <w:rFonts w:ascii="Arial" w:hAnsi="Arial"/>
                                      <w:w w:val="80"/>
                                      <w:sz w:val="9"/>
                                    </w:rPr>
                                    <w:t>los</w:t>
                                  </w:r>
                                  <w:r>
                                    <w:rPr>
                                      <w:rFonts w:ascii="Arial" w:hAnsi="Arial"/>
                                      <w:spacing w:val="-1"/>
                                      <w:w w:val="80"/>
                                      <w:sz w:val="9"/>
                                    </w:rPr>
                                    <w:t> </w:t>
                                  </w:r>
                                  <w:r>
                                    <w:rPr>
                                      <w:rFonts w:ascii="Arial" w:hAnsi="Arial"/>
                                      <w:w w:val="80"/>
                                      <w:sz w:val="9"/>
                                    </w:rPr>
                                    <w:t>saldos</w:t>
                                  </w:r>
                                  <w:r>
                                    <w:rPr>
                                      <w:rFonts w:ascii="Arial" w:hAnsi="Arial"/>
                                      <w:spacing w:val="-1"/>
                                      <w:w w:val="80"/>
                                      <w:sz w:val="9"/>
                                    </w:rPr>
                                    <w:t> </w:t>
                                  </w:r>
                                  <w:r>
                                    <w:rPr>
                                      <w:rFonts w:ascii="Arial" w:hAnsi="Arial"/>
                                      <w:w w:val="80"/>
                                      <w:sz w:val="9"/>
                                    </w:rPr>
                                    <w:t>de</w:t>
                                  </w:r>
                                  <w:r>
                                    <w:rPr>
                                      <w:rFonts w:ascii="Arial" w:hAnsi="Arial"/>
                                      <w:spacing w:val="-3"/>
                                      <w:w w:val="80"/>
                                      <w:sz w:val="9"/>
                                    </w:rPr>
                                    <w:t> </w:t>
                                  </w:r>
                                  <w:r>
                                    <w:rPr>
                                      <w:rFonts w:ascii="Arial" w:hAnsi="Arial"/>
                                      <w:w w:val="80"/>
                                      <w:sz w:val="9"/>
                                    </w:rPr>
                                    <w:t>las</w:t>
                                  </w:r>
                                  <w:r>
                                    <w:rPr>
                                      <w:rFonts w:ascii="Arial" w:hAnsi="Arial"/>
                                      <w:spacing w:val="-1"/>
                                      <w:w w:val="80"/>
                                      <w:sz w:val="9"/>
                                    </w:rPr>
                                    <w:t> </w:t>
                                  </w:r>
                                  <w:r>
                                    <w:rPr>
                                      <w:rFonts w:ascii="Arial" w:hAnsi="Arial"/>
                                      <w:w w:val="80"/>
                                      <w:sz w:val="9"/>
                                    </w:rPr>
                                    <w:t>cuentas</w:t>
                                  </w:r>
                                  <w:r>
                                    <w:rPr>
                                      <w:rFonts w:ascii="Arial" w:hAnsi="Arial"/>
                                      <w:spacing w:val="40"/>
                                      <w:sz w:val="9"/>
                                    </w:rPr>
                                    <w:t> </w:t>
                                  </w:r>
                                  <w:r>
                                    <w:rPr>
                                      <w:rFonts w:ascii="Arial" w:hAnsi="Arial"/>
                                      <w:spacing w:val="-2"/>
                                      <w:w w:val="90"/>
                                      <w:sz w:val="9"/>
                                    </w:rPr>
                                    <w:t>por</w:t>
                                  </w:r>
                                  <w:r>
                                    <w:rPr>
                                      <w:rFonts w:ascii="Arial" w:hAnsi="Arial"/>
                                      <w:spacing w:val="-4"/>
                                      <w:w w:val="90"/>
                                      <w:sz w:val="9"/>
                                    </w:rPr>
                                    <w:t> </w:t>
                                  </w:r>
                                  <w:r>
                                    <w:rPr>
                                      <w:rFonts w:ascii="Arial" w:hAnsi="Arial"/>
                                      <w:spacing w:val="-2"/>
                                      <w:w w:val="90"/>
                                      <w:sz w:val="9"/>
                                    </w:rPr>
                                    <w:t>cobrar</w:t>
                                  </w:r>
                                  <w:r>
                                    <w:rPr>
                                      <w:rFonts w:ascii="Arial" w:hAnsi="Arial"/>
                                      <w:spacing w:val="10"/>
                                      <w:sz w:val="9"/>
                                    </w:rPr>
                                    <w:t> </w:t>
                                  </w:r>
                                  <w:r>
                                    <w:rPr>
                                      <w:rFonts w:ascii="Arial" w:hAnsi="Arial"/>
                                      <w:spacing w:val="-2"/>
                                      <w:w w:val="90"/>
                                      <w:sz w:val="9"/>
                                    </w:rPr>
                                    <w:t>en</w:t>
                                  </w:r>
                                  <w:r>
                                    <w:rPr>
                                      <w:rFonts w:ascii="Arial" w:hAnsi="Arial"/>
                                      <w:spacing w:val="-3"/>
                                      <w:w w:val="90"/>
                                      <w:sz w:val="9"/>
                                    </w:rPr>
                                    <w:t> </w:t>
                                  </w:r>
                                  <w:r>
                                    <w:rPr>
                                      <w:rFonts w:ascii="Arial" w:hAnsi="Arial"/>
                                      <w:spacing w:val="-2"/>
                                      <w:w w:val="90"/>
                                      <w:sz w:val="9"/>
                                    </w:rPr>
                                    <w:t>los</w:t>
                                  </w:r>
                                  <w:r>
                                    <w:rPr>
                                      <w:rFonts w:ascii="Arial" w:hAnsi="Arial"/>
                                      <w:spacing w:val="-3"/>
                                      <w:w w:val="90"/>
                                      <w:sz w:val="9"/>
                                    </w:rPr>
                                    <w:t> </w:t>
                                  </w:r>
                                  <w:r>
                                    <w:rPr>
                                      <w:rFonts w:ascii="Arial" w:hAnsi="Arial"/>
                                      <w:spacing w:val="-2"/>
                                      <w:w w:val="90"/>
                                      <w:sz w:val="9"/>
                                    </w:rPr>
                                    <w:t>porcentajes</w:t>
                                  </w:r>
                                  <w:r>
                                    <w:rPr>
                                      <w:rFonts w:ascii="Arial" w:hAnsi="Arial"/>
                                      <w:spacing w:val="-4"/>
                                      <w:w w:val="90"/>
                                      <w:sz w:val="9"/>
                                    </w:rPr>
                                    <w:t> </w:t>
                                  </w:r>
                                  <w:r>
                                    <w:rPr>
                                      <w:rFonts w:ascii="Arial" w:hAnsi="Arial"/>
                                      <w:spacing w:val="-2"/>
                                      <w:w w:val="90"/>
                                      <w:sz w:val="9"/>
                                    </w:rPr>
                                    <w:t>de</w:t>
                                  </w:r>
                                  <w:r>
                                    <w:rPr>
                                      <w:rFonts w:ascii="Arial" w:hAnsi="Arial"/>
                                      <w:spacing w:val="40"/>
                                      <w:sz w:val="9"/>
                                    </w:rPr>
                                    <w:t> </w:t>
                                  </w:r>
                                  <w:r>
                                    <w:rPr>
                                      <w:rFonts w:ascii="Arial" w:hAnsi="Arial"/>
                                      <w:w w:val="85"/>
                                      <w:sz w:val="9"/>
                                    </w:rPr>
                                    <w:t>incobrabilidad</w:t>
                                  </w:r>
                                  <w:r>
                                    <w:rPr>
                                      <w:rFonts w:ascii="Arial" w:hAnsi="Arial"/>
                                      <w:spacing w:val="-3"/>
                                      <w:w w:val="85"/>
                                      <w:sz w:val="9"/>
                                    </w:rPr>
                                    <w:t> </w:t>
                                  </w:r>
                                  <w:r>
                                    <w:rPr>
                                      <w:rFonts w:ascii="Arial" w:hAnsi="Arial"/>
                                      <w:w w:val="85"/>
                                      <w:sz w:val="9"/>
                                    </w:rPr>
                                    <w:t>aplicados</w:t>
                                  </w:r>
                                  <w:r>
                                    <w:rPr>
                                      <w:rFonts w:ascii="Arial" w:hAnsi="Arial"/>
                                      <w:spacing w:val="-2"/>
                                      <w:w w:val="85"/>
                                      <w:sz w:val="9"/>
                                    </w:rPr>
                                    <w:t> </w:t>
                                  </w:r>
                                  <w:r>
                                    <w:rPr>
                                      <w:rFonts w:ascii="Arial" w:hAnsi="Arial"/>
                                      <w:w w:val="85"/>
                                      <w:sz w:val="9"/>
                                    </w:rPr>
                                    <w:t>a</w:t>
                                  </w:r>
                                  <w:r>
                                    <w:rPr>
                                      <w:rFonts w:ascii="Arial" w:hAnsi="Arial"/>
                                      <w:spacing w:val="-5"/>
                                      <w:w w:val="85"/>
                                      <w:sz w:val="9"/>
                                    </w:rPr>
                                    <w:t> </w:t>
                                  </w:r>
                                  <w:r>
                                    <w:rPr>
                                      <w:rFonts w:ascii="Arial" w:hAnsi="Arial"/>
                                      <w:w w:val="85"/>
                                      <w:sz w:val="9"/>
                                    </w:rPr>
                                    <w:t>la</w:t>
                                  </w:r>
                                  <w:r>
                                    <w:rPr>
                                      <w:rFonts w:ascii="Arial" w:hAnsi="Arial"/>
                                      <w:spacing w:val="-4"/>
                                      <w:w w:val="85"/>
                                      <w:sz w:val="9"/>
                                    </w:rPr>
                                    <w:t> </w:t>
                                  </w:r>
                                  <w:r>
                                    <w:rPr>
                                      <w:rFonts w:ascii="Arial" w:hAnsi="Arial"/>
                                      <w:w w:val="85"/>
                                      <w:sz w:val="9"/>
                                    </w:rPr>
                                    <w:t>previsión</w:t>
                                  </w:r>
                                  <w:r>
                                    <w:rPr>
                                      <w:rFonts w:ascii="Arial" w:hAnsi="Arial"/>
                                      <w:spacing w:val="40"/>
                                      <w:sz w:val="9"/>
                                    </w:rPr>
                                    <w:t> </w:t>
                                  </w:r>
                                  <w:r>
                                    <w:rPr>
                                      <w:rFonts w:ascii="Arial" w:hAnsi="Arial"/>
                                      <w:w w:val="80"/>
                                      <w:sz w:val="9"/>
                                    </w:rPr>
                                    <w:t>disminuyendo</w:t>
                                  </w:r>
                                  <w:r>
                                    <w:rPr>
                                      <w:rFonts w:ascii="Arial" w:hAnsi="Arial"/>
                                      <w:spacing w:val="-3"/>
                                      <w:w w:val="80"/>
                                      <w:sz w:val="9"/>
                                    </w:rPr>
                                    <w:t> </w:t>
                                  </w:r>
                                  <w:r>
                                    <w:rPr>
                                      <w:rFonts w:ascii="Arial" w:hAnsi="Arial"/>
                                      <w:w w:val="80"/>
                                      <w:sz w:val="9"/>
                                    </w:rPr>
                                    <w:t>en</w:t>
                                  </w:r>
                                  <w:r>
                                    <w:rPr>
                                      <w:rFonts w:ascii="Arial" w:hAnsi="Arial"/>
                                      <w:spacing w:val="-1"/>
                                      <w:w w:val="80"/>
                                      <w:sz w:val="9"/>
                                    </w:rPr>
                                    <w:t> </w:t>
                                  </w:r>
                                  <w:r>
                                    <w:rPr>
                                      <w:rFonts w:ascii="Arial" w:hAnsi="Arial"/>
                                      <w:w w:val="80"/>
                                      <w:sz w:val="9"/>
                                    </w:rPr>
                                    <w:t>un</w:t>
                                  </w:r>
                                  <w:r>
                                    <w:rPr>
                                      <w:rFonts w:ascii="Arial" w:hAnsi="Arial"/>
                                      <w:spacing w:val="-1"/>
                                      <w:w w:val="80"/>
                                      <w:sz w:val="9"/>
                                    </w:rPr>
                                    <w:t> </w:t>
                                  </w:r>
                                  <w:r>
                                    <w:rPr>
                                      <w:rFonts w:ascii="Arial" w:hAnsi="Arial"/>
                                      <w:w w:val="80"/>
                                      <w:sz w:val="9"/>
                                    </w:rPr>
                                    <w:t>-11,03% julio</w:t>
                                  </w:r>
                                  <w:r>
                                    <w:rPr>
                                      <w:rFonts w:ascii="Arial" w:hAnsi="Arial"/>
                                      <w:spacing w:val="-3"/>
                                      <w:w w:val="80"/>
                                      <w:sz w:val="9"/>
                                    </w:rPr>
                                    <w:t> </w:t>
                                  </w:r>
                                  <w:r>
                                    <w:rPr>
                                      <w:rFonts w:ascii="Arial" w:hAnsi="Arial"/>
                                      <w:w w:val="80"/>
                                      <w:sz w:val="9"/>
                                    </w:rPr>
                                    <w:t>2026.</w:t>
                                  </w:r>
                                </w:p>
                              </w:tc>
                            </w:tr>
                            <w:tr>
                              <w:trPr>
                                <w:trHeight w:val="464" w:hRule="atLeast"/>
                              </w:trPr>
                              <w:tc>
                                <w:tcPr>
                                  <w:tcW w:w="493"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7"/>
                                    <w:jc w:val="right"/>
                                    <w:rPr>
                                      <w:rFonts w:ascii="Arial"/>
                                      <w:sz w:val="9"/>
                                    </w:rPr>
                                  </w:pPr>
                                  <w:r>
                                    <w:rPr>
                                      <w:rFonts w:ascii="Arial"/>
                                      <w:spacing w:val="-2"/>
                                      <w:w w:val="90"/>
                                      <w:sz w:val="9"/>
                                    </w:rPr>
                                    <w:t>1.1.3.99</w:t>
                                  </w:r>
                                </w:p>
                              </w:tc>
                              <w:tc>
                                <w:tcPr>
                                  <w:tcW w:w="1693"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ANT</w:t>
                                  </w:r>
                                  <w:r>
                                    <w:rPr>
                                      <w:rFonts w:ascii="Arial"/>
                                      <w:spacing w:val="6"/>
                                      <w:sz w:val="9"/>
                                    </w:rPr>
                                    <w:t> </w:t>
                                  </w:r>
                                  <w:r>
                                    <w:rPr>
                                      <w:rFonts w:ascii="Arial"/>
                                      <w:spacing w:val="-2"/>
                                      <w:w w:val="80"/>
                                      <w:sz w:val="9"/>
                                    </w:rPr>
                                    <w:t>SECTOR</w:t>
                                  </w:r>
                                  <w:r>
                                    <w:rPr>
                                      <w:rFonts w:ascii="Arial"/>
                                      <w:spacing w:val="4"/>
                                      <w:sz w:val="9"/>
                                    </w:rPr>
                                    <w:t> </w:t>
                                  </w:r>
                                  <w:r>
                                    <w:rPr>
                                      <w:rFonts w:ascii="Arial"/>
                                      <w:spacing w:val="-2"/>
                                      <w:w w:val="80"/>
                                      <w:sz w:val="9"/>
                                    </w:rPr>
                                    <w:t>PRIVADO</w:t>
                                  </w:r>
                                  <w:r>
                                    <w:rPr>
                                      <w:rFonts w:ascii="Arial"/>
                                      <w:spacing w:val="1"/>
                                      <w:sz w:val="9"/>
                                    </w:rPr>
                                    <w:t> </w:t>
                                  </w:r>
                                  <w:r>
                                    <w:rPr>
                                      <w:rFonts w:ascii="Arial"/>
                                      <w:spacing w:val="-5"/>
                                      <w:w w:val="80"/>
                                      <w:sz w:val="9"/>
                                    </w:rPr>
                                    <w:t>INC</w:t>
                                  </w:r>
                                </w:p>
                              </w:tc>
                              <w:tc>
                                <w:tcPr>
                                  <w:tcW w:w="704"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left="13"/>
                                    <w:rPr>
                                      <w:rFonts w:ascii="Arial"/>
                                      <w:sz w:val="9"/>
                                    </w:rPr>
                                  </w:pPr>
                                  <w:r>
                                    <w:rPr>
                                      <w:rFonts w:ascii="Arial"/>
                                      <w:w w:val="80"/>
                                      <w:sz w:val="9"/>
                                    </w:rPr>
                                    <w:t>PREV</w:t>
                                  </w:r>
                                  <w:r>
                                    <w:rPr>
                                      <w:rFonts w:ascii="Arial"/>
                                      <w:spacing w:val="-3"/>
                                      <w:w w:val="80"/>
                                      <w:sz w:val="9"/>
                                    </w:rPr>
                                    <w:t> </w:t>
                                  </w:r>
                                  <w:r>
                                    <w:rPr>
                                      <w:rFonts w:ascii="Arial"/>
                                      <w:w w:val="80"/>
                                      <w:sz w:val="9"/>
                                    </w:rPr>
                                    <w:t>ANT</w:t>
                                  </w:r>
                                  <w:r>
                                    <w:rPr>
                                      <w:rFonts w:ascii="Arial"/>
                                      <w:spacing w:val="-4"/>
                                      <w:sz w:val="9"/>
                                    </w:rPr>
                                    <w:t> </w:t>
                                  </w:r>
                                  <w:r>
                                    <w:rPr>
                                      <w:rFonts w:ascii="Arial"/>
                                      <w:w w:val="80"/>
                                      <w:sz w:val="9"/>
                                    </w:rPr>
                                    <w:t>SEC</w:t>
                                  </w:r>
                                  <w:r>
                                    <w:rPr>
                                      <w:rFonts w:ascii="Arial"/>
                                      <w:spacing w:val="-5"/>
                                      <w:sz w:val="9"/>
                                    </w:rPr>
                                    <w:t> </w:t>
                                  </w:r>
                                  <w:r>
                                    <w:rPr>
                                      <w:rFonts w:ascii="Arial"/>
                                      <w:spacing w:val="-5"/>
                                      <w:w w:val="80"/>
                                      <w:sz w:val="9"/>
                                    </w:rPr>
                                    <w:t>PRI</w:t>
                                  </w:r>
                                </w:p>
                              </w:tc>
                              <w:tc>
                                <w:tcPr>
                                  <w:tcW w:w="797"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25"/>
                                    <w:jc w:val="right"/>
                                    <w:rPr>
                                      <w:rFonts w:ascii="Arial"/>
                                      <w:sz w:val="9"/>
                                    </w:rPr>
                                  </w:pPr>
                                  <w:r>
                                    <w:rPr>
                                      <w:rFonts w:ascii="Arial"/>
                                      <w:w w:val="80"/>
                                      <w:sz w:val="9"/>
                                    </w:rPr>
                                    <w:t>2</w:t>
                                  </w:r>
                                  <w:r>
                                    <w:rPr>
                                      <w:rFonts w:ascii="Arial"/>
                                      <w:spacing w:val="-2"/>
                                      <w:w w:val="90"/>
                                      <w:sz w:val="9"/>
                                    </w:rPr>
                                    <w:t> 526,26</w:t>
                                  </w:r>
                                </w:p>
                              </w:tc>
                              <w:tc>
                                <w:tcPr>
                                  <w:tcW w:w="716"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24"/>
                                    <w:jc w:val="right"/>
                                    <w:rPr>
                                      <w:rFonts w:ascii="Arial"/>
                                      <w:sz w:val="9"/>
                                    </w:rPr>
                                  </w:pPr>
                                  <w:r>
                                    <w:rPr>
                                      <w:rFonts w:ascii="Arial"/>
                                      <w:w w:val="80"/>
                                      <w:sz w:val="9"/>
                                    </w:rPr>
                                    <w:t>1</w:t>
                                  </w:r>
                                  <w:r>
                                    <w:rPr>
                                      <w:rFonts w:ascii="Arial"/>
                                      <w:spacing w:val="-2"/>
                                      <w:w w:val="90"/>
                                      <w:sz w:val="9"/>
                                    </w:rPr>
                                    <w:t> 676,14</w:t>
                                  </w:r>
                                </w:p>
                              </w:tc>
                              <w:tc>
                                <w:tcPr>
                                  <w:tcW w:w="728" w:type="dxa"/>
                                  <w:tcBorders>
                                    <w:left w:val="single" w:sz="2" w:space="0" w:color="000000"/>
                                    <w:bottom w:val="single" w:sz="2" w:space="0" w:color="000000"/>
                                    <w:right w:val="single" w:sz="2" w:space="0" w:color="000000"/>
                                  </w:tcBorders>
                                  <w:shd w:val="clear" w:color="auto" w:fill="FFFFFF"/>
                                </w:tcPr>
                                <w:p>
                                  <w:pPr>
                                    <w:pStyle w:val="TableParagraph"/>
                                    <w:spacing w:before="80"/>
                                    <w:rPr>
                                      <w:sz w:val="9"/>
                                    </w:rPr>
                                  </w:pPr>
                                </w:p>
                                <w:p>
                                  <w:pPr>
                                    <w:pStyle w:val="TableParagraph"/>
                                    <w:ind w:right="3"/>
                                    <w:jc w:val="right"/>
                                    <w:rPr>
                                      <w:rFonts w:ascii="Arial"/>
                                      <w:sz w:val="9"/>
                                    </w:rPr>
                                  </w:pPr>
                                  <w:r>
                                    <w:rPr>
                                      <w:rFonts w:ascii="Arial"/>
                                      <w:spacing w:val="-2"/>
                                      <w:w w:val="90"/>
                                      <w:sz w:val="9"/>
                                    </w:rPr>
                                    <w:t>850,12</w:t>
                                  </w:r>
                                </w:p>
                              </w:tc>
                              <w:tc>
                                <w:tcPr>
                                  <w:tcW w:w="496" w:type="dxa"/>
                                  <w:tcBorders>
                                    <w:left w:val="single" w:sz="2" w:space="0" w:color="000000"/>
                                    <w:bottom w:val="single" w:sz="2" w:space="0" w:color="000000"/>
                                    <w:right w:val="single" w:sz="2" w:space="0" w:color="000000"/>
                                  </w:tcBorders>
                                  <w:shd w:val="clear" w:color="auto" w:fill="FFFFFF"/>
                                </w:tcPr>
                                <w:p>
                                  <w:pPr>
                                    <w:pStyle w:val="TableParagraph"/>
                                    <w:spacing w:before="80"/>
                                    <w:rPr>
                                      <w:sz w:val="9"/>
                                    </w:rPr>
                                  </w:pPr>
                                </w:p>
                                <w:p>
                                  <w:pPr>
                                    <w:pStyle w:val="TableParagraph"/>
                                    <w:ind w:right="2"/>
                                    <w:jc w:val="right"/>
                                    <w:rPr>
                                      <w:rFonts w:ascii="Arial"/>
                                      <w:sz w:val="9"/>
                                    </w:rPr>
                                  </w:pPr>
                                  <w:r>
                                    <w:rPr>
                                      <w:rFonts w:ascii="Arial"/>
                                      <w:spacing w:val="-2"/>
                                      <w:w w:val="90"/>
                                      <w:sz w:val="9"/>
                                    </w:rPr>
                                    <w:t>50,72%</w:t>
                                  </w:r>
                                </w:p>
                              </w:tc>
                              <w:tc>
                                <w:tcPr>
                                  <w:tcW w:w="1339" w:type="dxa"/>
                                  <w:tcBorders>
                                    <w:left w:val="single" w:sz="2" w:space="0" w:color="000000"/>
                                    <w:bottom w:val="single" w:sz="2" w:space="0" w:color="000000"/>
                                    <w:right w:val="single" w:sz="2" w:space="0" w:color="000000"/>
                                  </w:tcBorders>
                                </w:tcPr>
                                <w:p>
                                  <w:pPr>
                                    <w:pStyle w:val="TableParagraph"/>
                                    <w:spacing w:line="273" w:lineRule="auto" w:before="6"/>
                                    <w:ind w:left="18"/>
                                    <w:rPr>
                                      <w:rFonts w:ascii="Arial"/>
                                      <w:sz w:val="9"/>
                                    </w:rPr>
                                  </w:pPr>
                                  <w:r>
                                    <w:rPr>
                                      <w:rFonts w:ascii="Arial"/>
                                      <w:w w:val="85"/>
                                      <w:sz w:val="9"/>
                                    </w:rPr>
                                    <w:t>Presenta</w:t>
                                  </w:r>
                                  <w:r>
                                    <w:rPr>
                                      <w:rFonts w:ascii="Arial"/>
                                      <w:spacing w:val="-5"/>
                                      <w:w w:val="85"/>
                                      <w:sz w:val="9"/>
                                    </w:rPr>
                                    <w:t> </w:t>
                                  </w:r>
                                  <w:r>
                                    <w:rPr>
                                      <w:rFonts w:ascii="Arial"/>
                                      <w:w w:val="85"/>
                                      <w:sz w:val="9"/>
                                    </w:rPr>
                                    <w:t>incremento</w:t>
                                  </w:r>
                                  <w:r>
                                    <w:rPr>
                                      <w:rFonts w:ascii="Arial"/>
                                      <w:spacing w:val="-4"/>
                                      <w:w w:val="85"/>
                                      <w:sz w:val="9"/>
                                    </w:rPr>
                                    <w:t> </w:t>
                                  </w:r>
                                  <w:r>
                                    <w:rPr>
                                      <w:rFonts w:ascii="Arial"/>
                                      <w:w w:val="85"/>
                                      <w:sz w:val="9"/>
                                    </w:rPr>
                                    <w:t>en</w:t>
                                  </w:r>
                                  <w:r>
                                    <w:rPr>
                                      <w:rFonts w:ascii="Arial"/>
                                      <w:spacing w:val="-2"/>
                                      <w:w w:val="85"/>
                                      <w:sz w:val="9"/>
                                    </w:rPr>
                                    <w:t> </w:t>
                                  </w:r>
                                  <w:r>
                                    <w:rPr>
                                      <w:rFonts w:ascii="Arial"/>
                                      <w:w w:val="85"/>
                                      <w:sz w:val="9"/>
                                    </w:rPr>
                                    <w:t>los</w:t>
                                  </w:r>
                                  <w:r>
                                    <w:rPr>
                                      <w:rFonts w:ascii="Arial"/>
                                      <w:spacing w:val="-3"/>
                                      <w:w w:val="85"/>
                                      <w:sz w:val="9"/>
                                    </w:rPr>
                                    <w:t> </w:t>
                                  </w:r>
                                  <w:r>
                                    <w:rPr>
                                      <w:rFonts w:ascii="Arial"/>
                                      <w:w w:val="85"/>
                                      <w:sz w:val="9"/>
                                    </w:rPr>
                                    <w:t>saldos</w:t>
                                  </w:r>
                                  <w:r>
                                    <w:rPr>
                                      <w:rFonts w:ascii="Arial"/>
                                      <w:spacing w:val="-2"/>
                                      <w:w w:val="85"/>
                                      <w:sz w:val="9"/>
                                    </w:rPr>
                                    <w:t> </w:t>
                                  </w:r>
                                  <w:r>
                                    <w:rPr>
                                      <w:rFonts w:ascii="Arial"/>
                                      <w:w w:val="85"/>
                                      <w:sz w:val="9"/>
                                    </w:rPr>
                                    <w:t>de</w:t>
                                  </w:r>
                                  <w:r>
                                    <w:rPr>
                                      <w:rFonts w:ascii="Arial"/>
                                      <w:spacing w:val="40"/>
                                      <w:sz w:val="9"/>
                                    </w:rPr>
                                    <w:t> </w:t>
                                  </w:r>
                                  <w:r>
                                    <w:rPr>
                                      <w:rFonts w:ascii="Arial"/>
                                      <w:w w:val="85"/>
                                      <w:sz w:val="9"/>
                                    </w:rPr>
                                    <w:t>las</w:t>
                                  </w:r>
                                  <w:r>
                                    <w:rPr>
                                      <w:rFonts w:ascii="Arial"/>
                                      <w:spacing w:val="-3"/>
                                      <w:w w:val="85"/>
                                      <w:sz w:val="9"/>
                                    </w:rPr>
                                    <w:t> </w:t>
                                  </w:r>
                                  <w:r>
                                    <w:rPr>
                                      <w:rFonts w:ascii="Arial"/>
                                      <w:w w:val="85"/>
                                      <w:sz w:val="9"/>
                                    </w:rPr>
                                    <w:t>cuentas</w:t>
                                  </w:r>
                                  <w:r>
                                    <w:rPr>
                                      <w:rFonts w:ascii="Arial"/>
                                      <w:spacing w:val="-2"/>
                                      <w:w w:val="85"/>
                                      <w:sz w:val="9"/>
                                    </w:rPr>
                                    <w:t> </w:t>
                                  </w:r>
                                  <w:r>
                                    <w:rPr>
                                      <w:rFonts w:ascii="Arial"/>
                                      <w:w w:val="85"/>
                                      <w:sz w:val="9"/>
                                    </w:rPr>
                                    <w:t>por</w:t>
                                  </w:r>
                                  <w:r>
                                    <w:rPr>
                                      <w:rFonts w:ascii="Arial"/>
                                      <w:spacing w:val="-3"/>
                                      <w:w w:val="85"/>
                                      <w:sz w:val="9"/>
                                    </w:rPr>
                                    <w:t> </w:t>
                                  </w:r>
                                  <w:r>
                                    <w:rPr>
                                      <w:rFonts w:ascii="Arial"/>
                                      <w:w w:val="85"/>
                                      <w:sz w:val="9"/>
                                    </w:rPr>
                                    <w:t>cobrar</w:t>
                                  </w:r>
                                  <w:r>
                                    <w:rPr>
                                      <w:rFonts w:ascii="Arial"/>
                                      <w:spacing w:val="-2"/>
                                      <w:w w:val="85"/>
                                      <w:sz w:val="9"/>
                                    </w:rPr>
                                    <w:t> </w:t>
                                  </w:r>
                                  <w:r>
                                    <w:rPr>
                                      <w:rFonts w:ascii="Arial"/>
                                      <w:w w:val="85"/>
                                      <w:sz w:val="9"/>
                                    </w:rPr>
                                    <w:t>aumentando</w:t>
                                  </w:r>
                                  <w:r>
                                    <w:rPr>
                                      <w:rFonts w:ascii="Arial"/>
                                      <w:spacing w:val="-5"/>
                                      <w:w w:val="85"/>
                                      <w:sz w:val="9"/>
                                    </w:rPr>
                                    <w:t> </w:t>
                                  </w:r>
                                  <w:r>
                                    <w:rPr>
                                      <w:rFonts w:ascii="Arial"/>
                                      <w:w w:val="85"/>
                                      <w:sz w:val="9"/>
                                    </w:rPr>
                                    <w:t>el</w:t>
                                  </w:r>
                                  <w:r>
                                    <w:rPr>
                                      <w:rFonts w:ascii="Arial"/>
                                      <w:spacing w:val="40"/>
                                      <w:sz w:val="9"/>
                                    </w:rPr>
                                    <w:t> </w:t>
                                  </w:r>
                                  <w:r>
                                    <w:rPr>
                                      <w:rFonts w:ascii="Arial"/>
                                      <w:w w:val="80"/>
                                      <w:sz w:val="9"/>
                                    </w:rPr>
                                    <w:t>porcentaje</w:t>
                                  </w:r>
                                  <w:r>
                                    <w:rPr>
                                      <w:rFonts w:ascii="Arial"/>
                                      <w:spacing w:val="-3"/>
                                      <w:w w:val="80"/>
                                      <w:sz w:val="9"/>
                                    </w:rPr>
                                    <w:t> </w:t>
                                  </w:r>
                                  <w:r>
                                    <w:rPr>
                                      <w:rFonts w:ascii="Arial"/>
                                      <w:w w:val="80"/>
                                      <w:sz w:val="9"/>
                                    </w:rPr>
                                    <w:t>de</w:t>
                                  </w:r>
                                  <w:r>
                                    <w:rPr>
                                      <w:rFonts w:ascii="Arial"/>
                                      <w:spacing w:val="-3"/>
                                      <w:w w:val="80"/>
                                      <w:sz w:val="9"/>
                                    </w:rPr>
                                    <w:t> </w:t>
                                  </w:r>
                                  <w:r>
                                    <w:rPr>
                                      <w:rFonts w:ascii="Arial"/>
                                      <w:w w:val="80"/>
                                      <w:sz w:val="9"/>
                                    </w:rPr>
                                    <w:t>incobrabilidad</w:t>
                                  </w:r>
                                  <w:r>
                                    <w:rPr>
                                      <w:rFonts w:ascii="Arial"/>
                                      <w:spacing w:val="-2"/>
                                      <w:w w:val="80"/>
                                      <w:sz w:val="9"/>
                                    </w:rPr>
                                    <w:t> </w:t>
                                  </w:r>
                                  <w:r>
                                    <w:rPr>
                                      <w:rFonts w:ascii="Arial"/>
                                      <w:w w:val="80"/>
                                      <w:sz w:val="9"/>
                                    </w:rPr>
                                    <w:t>aplicados</w:t>
                                  </w:r>
                                  <w:r>
                                    <w:rPr>
                                      <w:rFonts w:ascii="Arial"/>
                                      <w:spacing w:val="-1"/>
                                      <w:w w:val="80"/>
                                      <w:sz w:val="9"/>
                                    </w:rPr>
                                    <w:t> </w:t>
                                  </w:r>
                                  <w:r>
                                    <w:rPr>
                                      <w:rFonts w:ascii="Arial"/>
                                      <w:w w:val="80"/>
                                      <w:sz w:val="9"/>
                                    </w:rPr>
                                    <w:t>a</w:t>
                                  </w:r>
                                </w:p>
                                <w:p>
                                  <w:pPr>
                                    <w:pStyle w:val="TableParagraph"/>
                                    <w:spacing w:line="84" w:lineRule="exact"/>
                                    <w:ind w:left="18"/>
                                    <w:rPr>
                                      <w:rFonts w:ascii="Arial" w:hAnsi="Arial"/>
                                      <w:sz w:val="9"/>
                                    </w:rPr>
                                  </w:pP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4"/>
                                      <w:sz w:val="9"/>
                                    </w:rPr>
                                    <w:t> </w:t>
                                  </w:r>
                                  <w:r>
                                    <w:rPr>
                                      <w:rFonts w:ascii="Arial" w:hAnsi="Arial"/>
                                      <w:w w:val="80"/>
                                      <w:sz w:val="9"/>
                                    </w:rPr>
                                    <w:t>de</w:t>
                                  </w:r>
                                  <w:r>
                                    <w:rPr>
                                      <w:rFonts w:ascii="Arial" w:hAnsi="Arial"/>
                                      <w:spacing w:val="-3"/>
                                      <w:w w:val="80"/>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581" w:hRule="atLeast"/>
                              </w:trPr>
                              <w:tc>
                                <w:tcPr>
                                  <w:tcW w:w="493"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left="13"/>
                                    <w:rPr>
                                      <w:rFonts w:ascii="Arial"/>
                                      <w:sz w:val="9"/>
                                    </w:rPr>
                                  </w:pPr>
                                  <w:r>
                                    <w:rPr>
                                      <w:rFonts w:ascii="Arial"/>
                                      <w:spacing w:val="-2"/>
                                      <w:w w:val="80"/>
                                      <w:sz w:val="9"/>
                                    </w:rPr>
                                    <w:t>PREVISION</w:t>
                                  </w:r>
                                  <w:r>
                                    <w:rPr>
                                      <w:rFonts w:ascii="Arial"/>
                                      <w:spacing w:val="8"/>
                                      <w:sz w:val="9"/>
                                    </w:rPr>
                                    <w:t> </w:t>
                                  </w:r>
                                  <w:r>
                                    <w:rPr>
                                      <w:rFonts w:ascii="Arial"/>
                                      <w:spacing w:val="-2"/>
                                      <w:w w:val="80"/>
                                      <w:sz w:val="9"/>
                                    </w:rPr>
                                    <w:t>CREDITOS</w:t>
                                  </w:r>
                                  <w:r>
                                    <w:rPr>
                                      <w:rFonts w:ascii="Arial"/>
                                      <w:spacing w:val="6"/>
                                      <w:sz w:val="9"/>
                                    </w:rPr>
                                    <w:t> </w:t>
                                  </w:r>
                                  <w:r>
                                    <w:rPr>
                                      <w:rFonts w:ascii="Arial"/>
                                      <w:spacing w:val="-2"/>
                                      <w:w w:val="80"/>
                                      <w:sz w:val="9"/>
                                    </w:rPr>
                                    <w:t>VARIOS</w:t>
                                  </w:r>
                                </w:p>
                              </w:tc>
                              <w:tc>
                                <w:tcPr>
                                  <w:tcW w:w="704"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left="13"/>
                                    <w:rPr>
                                      <w:rFonts w:ascii="Arial"/>
                                      <w:sz w:val="9"/>
                                    </w:rPr>
                                  </w:pPr>
                                  <w:r>
                                    <w:rPr>
                                      <w:rFonts w:ascii="Arial"/>
                                      <w:spacing w:val="-2"/>
                                      <w:w w:val="90"/>
                                      <w:sz w:val="9"/>
                                    </w:rPr>
                                    <w:t>OTRAS</w:t>
                                  </w:r>
                                </w:p>
                              </w:tc>
                              <w:tc>
                                <w:tcPr>
                                  <w:tcW w:w="797"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25"/>
                                    <w:jc w:val="right"/>
                                    <w:rPr>
                                      <w:rFonts w:ascii="Arial"/>
                                      <w:sz w:val="9"/>
                                    </w:rPr>
                                  </w:pPr>
                                  <w:r>
                                    <w:rPr>
                                      <w:rFonts w:ascii="Arial"/>
                                      <w:w w:val="80"/>
                                      <w:sz w:val="9"/>
                                    </w:rPr>
                                    <w:t>239</w:t>
                                  </w:r>
                                  <w:r>
                                    <w:rPr>
                                      <w:rFonts w:ascii="Arial"/>
                                      <w:spacing w:val="-1"/>
                                      <w:w w:val="90"/>
                                      <w:sz w:val="9"/>
                                    </w:rPr>
                                    <w:t> </w:t>
                                  </w:r>
                                  <w:r>
                                    <w:rPr>
                                      <w:rFonts w:ascii="Arial"/>
                                      <w:spacing w:val="-2"/>
                                      <w:w w:val="90"/>
                                      <w:sz w:val="9"/>
                                    </w:rPr>
                                    <w:t>956,19</w:t>
                                  </w:r>
                                </w:p>
                              </w:tc>
                              <w:tc>
                                <w:tcPr>
                                  <w:tcW w:w="716"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24"/>
                                    <w:jc w:val="right"/>
                                    <w:rPr>
                                      <w:rFonts w:ascii="Arial"/>
                                      <w:sz w:val="9"/>
                                    </w:rPr>
                                  </w:pPr>
                                  <w:r>
                                    <w:rPr>
                                      <w:rFonts w:ascii="Arial"/>
                                      <w:w w:val="80"/>
                                      <w:sz w:val="9"/>
                                    </w:rPr>
                                    <w:t>229</w:t>
                                  </w:r>
                                  <w:r>
                                    <w:rPr>
                                      <w:rFonts w:ascii="Arial"/>
                                      <w:spacing w:val="-1"/>
                                      <w:w w:val="90"/>
                                      <w:sz w:val="9"/>
                                    </w:rPr>
                                    <w:t> </w:t>
                                  </w:r>
                                  <w:r>
                                    <w:rPr>
                                      <w:rFonts w:ascii="Arial"/>
                                      <w:spacing w:val="-2"/>
                                      <w:w w:val="90"/>
                                      <w:sz w:val="9"/>
                                    </w:rPr>
                                    <w:t>726,78</w:t>
                                  </w:r>
                                </w:p>
                              </w:tc>
                              <w:tc>
                                <w:tcPr>
                                  <w:tcW w:w="728" w:type="dxa"/>
                                  <w:tcBorders>
                                    <w:top w:val="single" w:sz="2" w:space="0" w:color="000000"/>
                                    <w:left w:val="single" w:sz="2" w:space="0" w:color="000000"/>
                                    <w:right w:val="single" w:sz="2" w:space="0" w:color="000000"/>
                                  </w:tcBorders>
                                  <w:shd w:val="clear" w:color="auto" w:fill="FFFFFF"/>
                                </w:tcPr>
                                <w:p>
                                  <w:pPr>
                                    <w:pStyle w:val="TableParagraph"/>
                                    <w:rPr>
                                      <w:sz w:val="9"/>
                                    </w:rPr>
                                  </w:pPr>
                                </w:p>
                                <w:p>
                                  <w:pPr>
                                    <w:pStyle w:val="TableParagraph"/>
                                    <w:spacing w:before="37"/>
                                    <w:rPr>
                                      <w:sz w:val="9"/>
                                    </w:rPr>
                                  </w:pPr>
                                </w:p>
                                <w:p>
                                  <w:pPr>
                                    <w:pStyle w:val="TableParagraph"/>
                                    <w:ind w:right="3"/>
                                    <w:jc w:val="right"/>
                                    <w:rPr>
                                      <w:rFonts w:ascii="Arial"/>
                                      <w:sz w:val="9"/>
                                    </w:rPr>
                                  </w:pPr>
                                  <w:r>
                                    <w:rPr>
                                      <w:rFonts w:ascii="Arial"/>
                                      <w:w w:val="80"/>
                                      <w:sz w:val="9"/>
                                    </w:rPr>
                                    <w:t>10</w:t>
                                  </w:r>
                                  <w:r>
                                    <w:rPr>
                                      <w:rFonts w:ascii="Arial"/>
                                      <w:spacing w:val="-2"/>
                                      <w:w w:val="90"/>
                                      <w:sz w:val="9"/>
                                    </w:rPr>
                                    <w:t> 229,41</w:t>
                                  </w:r>
                                </w:p>
                              </w:tc>
                              <w:tc>
                                <w:tcPr>
                                  <w:tcW w:w="496" w:type="dxa"/>
                                  <w:tcBorders>
                                    <w:top w:val="single" w:sz="2" w:space="0" w:color="000000"/>
                                    <w:left w:val="single" w:sz="2" w:space="0" w:color="000000"/>
                                    <w:right w:val="single" w:sz="2" w:space="0" w:color="000000"/>
                                  </w:tcBorders>
                                  <w:shd w:val="clear" w:color="auto" w:fill="FFFFFF"/>
                                </w:tcPr>
                                <w:p>
                                  <w:pPr>
                                    <w:pStyle w:val="TableParagraph"/>
                                    <w:rPr>
                                      <w:sz w:val="9"/>
                                    </w:rPr>
                                  </w:pPr>
                                </w:p>
                                <w:p>
                                  <w:pPr>
                                    <w:pStyle w:val="TableParagraph"/>
                                    <w:spacing w:before="37"/>
                                    <w:rPr>
                                      <w:sz w:val="9"/>
                                    </w:rPr>
                                  </w:pPr>
                                </w:p>
                                <w:p>
                                  <w:pPr>
                                    <w:pStyle w:val="TableParagraph"/>
                                    <w:ind w:right="2"/>
                                    <w:jc w:val="right"/>
                                    <w:rPr>
                                      <w:rFonts w:ascii="Arial"/>
                                      <w:sz w:val="9"/>
                                    </w:rPr>
                                  </w:pPr>
                                  <w:r>
                                    <w:rPr>
                                      <w:rFonts w:ascii="Arial"/>
                                      <w:spacing w:val="-2"/>
                                      <w:w w:val="90"/>
                                      <w:sz w:val="9"/>
                                    </w:rPr>
                                    <w:t>4,45%</w:t>
                                  </w:r>
                                </w:p>
                              </w:tc>
                              <w:tc>
                                <w:tcPr>
                                  <w:tcW w:w="1339" w:type="dxa"/>
                                  <w:tcBorders>
                                    <w:top w:val="single" w:sz="2" w:space="0" w:color="000000"/>
                                    <w:left w:val="single" w:sz="2" w:space="0" w:color="000000"/>
                                    <w:right w:val="single" w:sz="2" w:space="0" w:color="000000"/>
                                  </w:tcBorders>
                                </w:tcPr>
                                <w:p>
                                  <w:pPr>
                                    <w:pStyle w:val="TableParagraph"/>
                                    <w:spacing w:line="273" w:lineRule="auto" w:before="7"/>
                                    <w:ind w:left="18"/>
                                    <w:rPr>
                                      <w:rFonts w:ascii="Arial"/>
                                      <w:sz w:val="9"/>
                                    </w:rPr>
                                  </w:pPr>
                                  <w:r>
                                    <w:rPr>
                                      <w:rFonts w:ascii="Arial"/>
                                      <w:w w:val="80"/>
                                      <w:sz w:val="9"/>
                                    </w:rPr>
                                    <w:t>Presenta</w:t>
                                  </w:r>
                                  <w:r>
                                    <w:rPr>
                                      <w:rFonts w:ascii="Arial"/>
                                      <w:spacing w:val="-3"/>
                                      <w:w w:val="80"/>
                                      <w:sz w:val="9"/>
                                    </w:rPr>
                                    <w:t> </w:t>
                                  </w:r>
                                  <w:r>
                                    <w:rPr>
                                      <w:rFonts w:ascii="Arial"/>
                                      <w:w w:val="80"/>
                                      <w:sz w:val="9"/>
                                    </w:rPr>
                                    <w:t>un</w:t>
                                  </w:r>
                                  <w:r>
                                    <w:rPr>
                                      <w:rFonts w:ascii="Arial"/>
                                      <w:spacing w:val="-2"/>
                                      <w:w w:val="80"/>
                                      <w:sz w:val="9"/>
                                    </w:rPr>
                                    <w:t> </w:t>
                                  </w:r>
                                  <w:r>
                                    <w:rPr>
                                      <w:rFonts w:ascii="Arial"/>
                                      <w:w w:val="80"/>
                                      <w:sz w:val="9"/>
                                    </w:rPr>
                                    <w:t>incremento</w:t>
                                  </w:r>
                                  <w:r>
                                    <w:rPr>
                                      <w:rFonts w:ascii="Arial"/>
                                      <w:spacing w:val="-3"/>
                                      <w:w w:val="80"/>
                                      <w:sz w:val="9"/>
                                    </w:rPr>
                                    <w:t> </w:t>
                                  </w:r>
                                  <w:r>
                                    <w:rPr>
                                      <w:rFonts w:ascii="Arial"/>
                                      <w:w w:val="80"/>
                                      <w:sz w:val="9"/>
                                    </w:rPr>
                                    <w:t>en</w:t>
                                  </w:r>
                                  <w:r>
                                    <w:rPr>
                                      <w:rFonts w:ascii="Arial"/>
                                      <w:spacing w:val="-1"/>
                                      <w:w w:val="80"/>
                                      <w:sz w:val="9"/>
                                    </w:rPr>
                                    <w:t> </w:t>
                                  </w:r>
                                  <w:r>
                                    <w:rPr>
                                      <w:rFonts w:ascii="Arial"/>
                                      <w:w w:val="80"/>
                                      <w:sz w:val="9"/>
                                    </w:rPr>
                                    <w:t>los</w:t>
                                  </w:r>
                                  <w:r>
                                    <w:rPr>
                                      <w:rFonts w:ascii="Arial"/>
                                      <w:spacing w:val="-1"/>
                                      <w:w w:val="80"/>
                                      <w:sz w:val="9"/>
                                    </w:rPr>
                                    <w:t> </w:t>
                                  </w:r>
                                  <w:r>
                                    <w:rPr>
                                      <w:rFonts w:ascii="Arial"/>
                                      <w:w w:val="80"/>
                                      <w:sz w:val="9"/>
                                    </w:rPr>
                                    <w:t>saldos</w:t>
                                  </w:r>
                                  <w:r>
                                    <w:rPr>
                                      <w:rFonts w:ascii="Arial"/>
                                      <w:spacing w:val="-1"/>
                                      <w:w w:val="80"/>
                                      <w:sz w:val="9"/>
                                    </w:rPr>
                                    <w:t> </w:t>
                                  </w:r>
                                  <w:r>
                                    <w:rPr>
                                      <w:rFonts w:ascii="Arial"/>
                                      <w:w w:val="80"/>
                                      <w:sz w:val="9"/>
                                    </w:rPr>
                                    <w:t>de</w:t>
                                  </w:r>
                                  <w:r>
                                    <w:rPr>
                                      <w:rFonts w:ascii="Arial"/>
                                      <w:spacing w:val="40"/>
                                      <w:sz w:val="9"/>
                                    </w:rPr>
                                    <w:t> </w:t>
                                  </w:r>
                                  <w:r>
                                    <w:rPr>
                                      <w:rFonts w:ascii="Arial"/>
                                      <w:w w:val="85"/>
                                      <w:sz w:val="9"/>
                                    </w:rPr>
                                    <w:t>las</w:t>
                                  </w:r>
                                  <w:r>
                                    <w:rPr>
                                      <w:rFonts w:ascii="Arial"/>
                                      <w:spacing w:val="-3"/>
                                      <w:w w:val="85"/>
                                      <w:sz w:val="9"/>
                                    </w:rPr>
                                    <w:t> </w:t>
                                  </w:r>
                                  <w:r>
                                    <w:rPr>
                                      <w:rFonts w:ascii="Arial"/>
                                      <w:w w:val="85"/>
                                      <w:sz w:val="9"/>
                                    </w:rPr>
                                    <w:t>cuenta</w:t>
                                  </w:r>
                                  <w:r>
                                    <w:rPr>
                                      <w:rFonts w:ascii="Arial"/>
                                      <w:spacing w:val="-4"/>
                                      <w:w w:val="85"/>
                                      <w:sz w:val="9"/>
                                    </w:rPr>
                                    <w:t> </w:t>
                                  </w:r>
                                  <w:r>
                                    <w:rPr>
                                      <w:rFonts w:ascii="Arial"/>
                                      <w:w w:val="85"/>
                                      <w:sz w:val="9"/>
                                    </w:rPr>
                                    <w:t>por</w:t>
                                  </w:r>
                                  <w:r>
                                    <w:rPr>
                                      <w:rFonts w:ascii="Arial"/>
                                      <w:spacing w:val="-3"/>
                                      <w:w w:val="85"/>
                                      <w:sz w:val="9"/>
                                    </w:rPr>
                                    <w:t> </w:t>
                                  </w:r>
                                  <w:r>
                                    <w:rPr>
                                      <w:rFonts w:ascii="Arial"/>
                                      <w:w w:val="85"/>
                                      <w:sz w:val="9"/>
                                    </w:rPr>
                                    <w:t>cobrar</w:t>
                                  </w:r>
                                  <w:r>
                                    <w:rPr>
                                      <w:rFonts w:ascii="Arial"/>
                                      <w:spacing w:val="-2"/>
                                      <w:w w:val="85"/>
                                      <w:sz w:val="9"/>
                                    </w:rPr>
                                    <w:t> </w:t>
                                  </w:r>
                                  <w:r>
                                    <w:rPr>
                                      <w:rFonts w:ascii="Arial"/>
                                      <w:w w:val="85"/>
                                      <w:sz w:val="9"/>
                                    </w:rPr>
                                    <w:t>produciendo</w:t>
                                  </w:r>
                                  <w:r>
                                    <w:rPr>
                                      <w:rFonts w:ascii="Arial"/>
                                      <w:spacing w:val="40"/>
                                      <w:sz w:val="9"/>
                                    </w:rPr>
                                    <w:t> </w:t>
                                  </w:r>
                                  <w:r>
                                    <w:rPr>
                                      <w:rFonts w:ascii="Arial"/>
                                      <w:spacing w:val="-2"/>
                                      <w:w w:val="90"/>
                                      <w:sz w:val="9"/>
                                    </w:rPr>
                                    <w:t>incremento</w:t>
                                  </w:r>
                                  <w:r>
                                    <w:rPr>
                                      <w:rFonts w:ascii="Arial"/>
                                      <w:spacing w:val="-6"/>
                                      <w:w w:val="90"/>
                                      <w:sz w:val="9"/>
                                    </w:rPr>
                                    <w:t> </w:t>
                                  </w:r>
                                  <w:r>
                                    <w:rPr>
                                      <w:rFonts w:ascii="Arial"/>
                                      <w:spacing w:val="-2"/>
                                      <w:w w:val="90"/>
                                      <w:sz w:val="9"/>
                                    </w:rPr>
                                    <w:t>en</w:t>
                                  </w:r>
                                  <w:r>
                                    <w:rPr>
                                      <w:rFonts w:ascii="Arial"/>
                                      <w:spacing w:val="-5"/>
                                      <w:sz w:val="9"/>
                                    </w:rPr>
                                    <w:t> </w:t>
                                  </w:r>
                                  <w:r>
                                    <w:rPr>
                                      <w:rFonts w:ascii="Arial"/>
                                      <w:spacing w:val="-2"/>
                                      <w:w w:val="90"/>
                                      <w:sz w:val="9"/>
                                    </w:rPr>
                                    <w:t>los</w:t>
                                  </w:r>
                                  <w:r>
                                    <w:rPr>
                                      <w:rFonts w:ascii="Arial"/>
                                      <w:spacing w:val="-3"/>
                                      <w:w w:val="90"/>
                                      <w:sz w:val="9"/>
                                    </w:rPr>
                                    <w:t> </w:t>
                                  </w:r>
                                  <w:r>
                                    <w:rPr>
                                      <w:rFonts w:ascii="Arial"/>
                                      <w:spacing w:val="-2"/>
                                      <w:w w:val="90"/>
                                      <w:sz w:val="9"/>
                                    </w:rPr>
                                    <w:t>porcentajes</w:t>
                                  </w:r>
                                  <w:r>
                                    <w:rPr>
                                      <w:rFonts w:ascii="Arial"/>
                                      <w:spacing w:val="-4"/>
                                      <w:w w:val="90"/>
                                      <w:sz w:val="9"/>
                                    </w:rPr>
                                    <w:t> </w:t>
                                  </w:r>
                                  <w:r>
                                    <w:rPr>
                                      <w:rFonts w:ascii="Arial"/>
                                      <w:spacing w:val="-2"/>
                                      <w:w w:val="90"/>
                                      <w:sz w:val="9"/>
                                    </w:rPr>
                                    <w:t>de</w:t>
                                  </w:r>
                                  <w:r>
                                    <w:rPr>
                                      <w:rFonts w:ascii="Arial"/>
                                      <w:spacing w:val="40"/>
                                      <w:sz w:val="9"/>
                                    </w:rPr>
                                    <w:t> </w:t>
                                  </w:r>
                                  <w:r>
                                    <w:rPr>
                                      <w:rFonts w:ascii="Arial"/>
                                      <w:spacing w:val="-2"/>
                                      <w:w w:val="85"/>
                                      <w:sz w:val="9"/>
                                    </w:rPr>
                                    <w:t>incobrabilidad</w:t>
                                  </w:r>
                                  <w:r>
                                    <w:rPr>
                                      <w:rFonts w:ascii="Arial"/>
                                      <w:spacing w:val="-1"/>
                                      <w:sz w:val="9"/>
                                    </w:rPr>
                                    <w:t> </w:t>
                                  </w:r>
                                  <w:r>
                                    <w:rPr>
                                      <w:rFonts w:ascii="Arial"/>
                                      <w:spacing w:val="-2"/>
                                      <w:w w:val="85"/>
                                      <w:sz w:val="9"/>
                                    </w:rPr>
                                    <w:t>aplicados para realizar la</w:t>
                                  </w:r>
                                </w:p>
                                <w:p>
                                  <w:pPr>
                                    <w:pStyle w:val="TableParagraph"/>
                                    <w:spacing w:line="83" w:lineRule="exact"/>
                                    <w:ind w:left="18"/>
                                    <w:rPr>
                                      <w:rFonts w:ascii="Arial" w:hAnsi="Arial"/>
                                      <w:sz w:val="9"/>
                                    </w:rPr>
                                  </w:pPr>
                                  <w:r>
                                    <w:rPr>
                                      <w:rFonts w:ascii="Arial" w:hAnsi="Arial"/>
                                      <w:w w:val="80"/>
                                      <w:sz w:val="9"/>
                                    </w:rPr>
                                    <w:t>previsión</w:t>
                                  </w:r>
                                  <w:r>
                                    <w:rPr>
                                      <w:rFonts w:ascii="Arial" w:hAnsi="Arial"/>
                                      <w:spacing w:val="-5"/>
                                      <w:sz w:val="9"/>
                                    </w:rPr>
                                    <w:t> </w:t>
                                  </w:r>
                                  <w:r>
                                    <w:rPr>
                                      <w:rFonts w:ascii="Arial" w:hAnsi="Arial"/>
                                      <w:w w:val="80"/>
                                      <w:sz w:val="9"/>
                                    </w:rPr>
                                    <w:t>a</w:t>
                                  </w:r>
                                  <w:r>
                                    <w:rPr>
                                      <w:rFonts w:ascii="Arial" w:hAnsi="Arial"/>
                                      <w:spacing w:val="-3"/>
                                      <w:w w:val="80"/>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122" w:hRule="atLeast"/>
                              </w:trPr>
                              <w:tc>
                                <w:tcPr>
                                  <w:tcW w:w="493" w:type="dxa"/>
                                  <w:tcBorders>
                                    <w:left w:val="single" w:sz="2" w:space="0" w:color="000000"/>
                                    <w:right w:val="single" w:sz="2" w:space="0" w:color="000000"/>
                                  </w:tcBorders>
                                  <w:shd w:val="clear" w:color="auto" w:fill="E7E6E6"/>
                                </w:tcPr>
                                <w:p>
                                  <w:pPr>
                                    <w:pStyle w:val="TableParagraph"/>
                                    <w:rPr>
                                      <w:rFonts w:ascii="Times New Roman"/>
                                      <w:sz w:val="6"/>
                                    </w:rPr>
                                  </w:pPr>
                                </w:p>
                              </w:tc>
                              <w:tc>
                                <w:tcPr>
                                  <w:tcW w:w="1693" w:type="dxa"/>
                                  <w:tcBorders>
                                    <w:left w:val="single" w:sz="2" w:space="0" w:color="000000"/>
                                    <w:right w:val="single" w:sz="2" w:space="0" w:color="000000"/>
                                  </w:tcBorders>
                                  <w:shd w:val="clear" w:color="auto" w:fill="E7E6E6"/>
                                </w:tcPr>
                                <w:p>
                                  <w:pPr>
                                    <w:pStyle w:val="TableParagraph"/>
                                    <w:spacing w:line="84" w:lineRule="exact" w:before="18"/>
                                    <w:ind w:left="13"/>
                                    <w:rPr>
                                      <w:rFonts w:ascii="Arial" w:hAnsi="Arial"/>
                                      <w:b/>
                                      <w:sz w:val="9"/>
                                    </w:rPr>
                                  </w:pPr>
                                  <w:r>
                                    <w:rPr>
                                      <w:rFonts w:ascii="Arial" w:hAnsi="Arial"/>
                                      <w:b/>
                                      <w:w w:val="80"/>
                                      <w:sz w:val="9"/>
                                    </w:rPr>
                                    <w:t>TOTAL</w:t>
                                  </w:r>
                                  <w:r>
                                    <w:rPr>
                                      <w:rFonts w:ascii="Arial" w:hAnsi="Arial"/>
                                      <w:b/>
                                      <w:spacing w:val="-2"/>
                                      <w:w w:val="80"/>
                                      <w:sz w:val="9"/>
                                    </w:rPr>
                                    <w:t> </w:t>
                                  </w:r>
                                  <w:r>
                                    <w:rPr>
                                      <w:rFonts w:ascii="Arial" w:hAnsi="Arial"/>
                                      <w:b/>
                                      <w:w w:val="80"/>
                                      <w:sz w:val="9"/>
                                    </w:rPr>
                                    <w:t>PREVISIÓN</w:t>
                                  </w:r>
                                  <w:r>
                                    <w:rPr>
                                      <w:rFonts w:ascii="Arial" w:hAnsi="Arial"/>
                                      <w:b/>
                                      <w:spacing w:val="-2"/>
                                      <w:w w:val="80"/>
                                      <w:sz w:val="9"/>
                                    </w:rPr>
                                    <w:t> </w:t>
                                  </w:r>
                                  <w:r>
                                    <w:rPr>
                                      <w:rFonts w:ascii="Arial" w:hAnsi="Arial"/>
                                      <w:b/>
                                      <w:spacing w:val="-5"/>
                                      <w:w w:val="80"/>
                                      <w:sz w:val="9"/>
                                    </w:rPr>
                                    <w:t>C.P</w:t>
                                  </w:r>
                                </w:p>
                              </w:tc>
                              <w:tc>
                                <w:tcPr>
                                  <w:tcW w:w="704" w:type="dxa"/>
                                  <w:tcBorders>
                                    <w:left w:val="single" w:sz="2" w:space="0" w:color="000000"/>
                                    <w:right w:val="single" w:sz="2" w:space="0" w:color="000000"/>
                                  </w:tcBorders>
                                  <w:shd w:val="clear" w:color="auto" w:fill="E7E6E6"/>
                                </w:tcPr>
                                <w:p>
                                  <w:pPr>
                                    <w:pStyle w:val="TableParagraph"/>
                                    <w:rPr>
                                      <w:rFonts w:ascii="Times New Roman"/>
                                      <w:sz w:val="6"/>
                                    </w:rPr>
                                  </w:pPr>
                                </w:p>
                              </w:tc>
                              <w:tc>
                                <w:tcPr>
                                  <w:tcW w:w="797" w:type="dxa"/>
                                  <w:tcBorders>
                                    <w:left w:val="single" w:sz="2" w:space="0" w:color="000000"/>
                                    <w:right w:val="single" w:sz="2" w:space="0" w:color="000000"/>
                                  </w:tcBorders>
                                  <w:shd w:val="clear" w:color="auto" w:fill="E7E6E6"/>
                                </w:tcPr>
                                <w:p>
                                  <w:pPr>
                                    <w:pStyle w:val="TableParagraph"/>
                                    <w:spacing w:line="84" w:lineRule="exact" w:before="18"/>
                                    <w:ind w:right="5"/>
                                    <w:jc w:val="right"/>
                                    <w:rPr>
                                      <w:rFonts w:ascii="Arial"/>
                                      <w:b/>
                                      <w:sz w:val="9"/>
                                    </w:rPr>
                                  </w:pPr>
                                  <w:r>
                                    <w:rPr>
                                      <w:rFonts w:ascii="Arial"/>
                                      <w:b/>
                                      <w:w w:val="80"/>
                                      <w:sz w:val="9"/>
                                    </w:rPr>
                                    <w:t>8</w:t>
                                  </w:r>
                                  <w:r>
                                    <w:rPr>
                                      <w:rFonts w:ascii="Arial"/>
                                      <w:b/>
                                      <w:spacing w:val="-4"/>
                                      <w:sz w:val="9"/>
                                    </w:rPr>
                                    <w:t> </w:t>
                                  </w:r>
                                  <w:r>
                                    <w:rPr>
                                      <w:rFonts w:ascii="Arial"/>
                                      <w:b/>
                                      <w:w w:val="80"/>
                                      <w:sz w:val="9"/>
                                    </w:rPr>
                                    <w:t>508</w:t>
                                  </w:r>
                                  <w:r>
                                    <w:rPr>
                                      <w:rFonts w:ascii="Arial"/>
                                      <w:b/>
                                      <w:spacing w:val="-4"/>
                                      <w:sz w:val="9"/>
                                    </w:rPr>
                                    <w:t> </w:t>
                                  </w:r>
                                  <w:r>
                                    <w:rPr>
                                      <w:rFonts w:ascii="Arial"/>
                                      <w:b/>
                                      <w:spacing w:val="-2"/>
                                      <w:w w:val="80"/>
                                      <w:sz w:val="9"/>
                                    </w:rPr>
                                    <w:t>859,66</w:t>
                                  </w:r>
                                </w:p>
                              </w:tc>
                              <w:tc>
                                <w:tcPr>
                                  <w:tcW w:w="716" w:type="dxa"/>
                                  <w:tcBorders>
                                    <w:left w:val="single" w:sz="2" w:space="0" w:color="000000"/>
                                    <w:right w:val="single" w:sz="2" w:space="0" w:color="000000"/>
                                  </w:tcBorders>
                                  <w:shd w:val="clear" w:color="auto" w:fill="E7E6E6"/>
                                </w:tcPr>
                                <w:p>
                                  <w:pPr>
                                    <w:pStyle w:val="TableParagraph"/>
                                    <w:spacing w:line="84" w:lineRule="exact" w:before="18"/>
                                    <w:ind w:right="4"/>
                                    <w:jc w:val="right"/>
                                    <w:rPr>
                                      <w:rFonts w:ascii="Arial"/>
                                      <w:b/>
                                      <w:sz w:val="9"/>
                                    </w:rPr>
                                  </w:pPr>
                                  <w:r>
                                    <w:rPr>
                                      <w:rFonts w:ascii="Arial"/>
                                      <w:b/>
                                      <w:w w:val="80"/>
                                      <w:sz w:val="9"/>
                                    </w:rPr>
                                    <w:t>8</w:t>
                                  </w:r>
                                  <w:r>
                                    <w:rPr>
                                      <w:rFonts w:ascii="Arial"/>
                                      <w:b/>
                                      <w:spacing w:val="-4"/>
                                      <w:sz w:val="9"/>
                                    </w:rPr>
                                    <w:t> </w:t>
                                  </w:r>
                                  <w:r>
                                    <w:rPr>
                                      <w:rFonts w:ascii="Arial"/>
                                      <w:b/>
                                      <w:w w:val="80"/>
                                      <w:sz w:val="9"/>
                                    </w:rPr>
                                    <w:t>514</w:t>
                                  </w:r>
                                  <w:r>
                                    <w:rPr>
                                      <w:rFonts w:ascii="Arial"/>
                                      <w:b/>
                                      <w:spacing w:val="-4"/>
                                      <w:sz w:val="9"/>
                                    </w:rPr>
                                    <w:t> </w:t>
                                  </w:r>
                                  <w:r>
                                    <w:rPr>
                                      <w:rFonts w:ascii="Arial"/>
                                      <w:b/>
                                      <w:spacing w:val="-2"/>
                                      <w:w w:val="80"/>
                                      <w:sz w:val="9"/>
                                    </w:rPr>
                                    <w:t>863,79</w:t>
                                  </w:r>
                                </w:p>
                              </w:tc>
                              <w:tc>
                                <w:tcPr>
                                  <w:tcW w:w="728" w:type="dxa"/>
                                  <w:tcBorders>
                                    <w:left w:val="single" w:sz="2" w:space="0" w:color="000000"/>
                                    <w:right w:val="single" w:sz="2" w:space="0" w:color="000000"/>
                                  </w:tcBorders>
                                  <w:shd w:val="clear" w:color="auto" w:fill="E7E6E6"/>
                                </w:tcPr>
                                <w:p>
                                  <w:pPr>
                                    <w:pStyle w:val="TableParagraph"/>
                                    <w:spacing w:line="84" w:lineRule="exact" w:before="18"/>
                                    <w:ind w:right="3"/>
                                    <w:jc w:val="right"/>
                                    <w:rPr>
                                      <w:rFonts w:ascii="Arial"/>
                                      <w:b/>
                                      <w:sz w:val="9"/>
                                    </w:rPr>
                                  </w:pPr>
                                  <w:r>
                                    <w:rPr>
                                      <w:rFonts w:ascii="Arial"/>
                                      <w:b/>
                                      <w:w w:val="80"/>
                                      <w:sz w:val="9"/>
                                    </w:rPr>
                                    <w:t>-6</w:t>
                                  </w:r>
                                  <w:r>
                                    <w:rPr>
                                      <w:rFonts w:ascii="Arial"/>
                                      <w:b/>
                                      <w:spacing w:val="-1"/>
                                      <w:w w:val="80"/>
                                      <w:sz w:val="9"/>
                                    </w:rPr>
                                    <w:t> </w:t>
                                  </w:r>
                                  <w:r>
                                    <w:rPr>
                                      <w:rFonts w:ascii="Arial"/>
                                      <w:b/>
                                      <w:spacing w:val="-2"/>
                                      <w:w w:val="80"/>
                                      <w:sz w:val="9"/>
                                    </w:rPr>
                                    <w:t>004,14</w:t>
                                  </w:r>
                                </w:p>
                              </w:tc>
                              <w:tc>
                                <w:tcPr>
                                  <w:tcW w:w="496" w:type="dxa"/>
                                  <w:tcBorders>
                                    <w:left w:val="single" w:sz="2" w:space="0" w:color="000000"/>
                                    <w:right w:val="single" w:sz="2" w:space="0" w:color="000000"/>
                                  </w:tcBorders>
                                  <w:shd w:val="clear" w:color="auto" w:fill="E7E6E6"/>
                                </w:tcPr>
                                <w:p>
                                  <w:pPr>
                                    <w:pStyle w:val="TableParagraph"/>
                                    <w:spacing w:line="84" w:lineRule="exact" w:before="18"/>
                                    <w:jc w:val="right"/>
                                    <w:rPr>
                                      <w:rFonts w:ascii="Arial"/>
                                      <w:b/>
                                      <w:sz w:val="9"/>
                                    </w:rPr>
                                  </w:pPr>
                                  <w:r>
                                    <w:rPr>
                                      <w:rFonts w:ascii="Arial"/>
                                      <w:b/>
                                      <w:spacing w:val="-2"/>
                                      <w:w w:val="80"/>
                                      <w:sz w:val="9"/>
                                    </w:rPr>
                                    <w:t>-</w:t>
                                  </w:r>
                                  <w:r>
                                    <w:rPr>
                                      <w:rFonts w:ascii="Arial"/>
                                      <w:b/>
                                      <w:spacing w:val="-2"/>
                                      <w:w w:val="90"/>
                                      <w:sz w:val="9"/>
                                    </w:rPr>
                                    <w:t>0,07%</w:t>
                                  </w:r>
                                </w:p>
                              </w:tc>
                              <w:tc>
                                <w:tcPr>
                                  <w:tcW w:w="1339" w:type="dxa"/>
                                  <w:tcBorders>
                                    <w:left w:val="single" w:sz="2" w:space="0" w:color="000000"/>
                                    <w:right w:val="single" w:sz="2" w:space="0" w:color="000000"/>
                                  </w:tcBorders>
                                  <w:shd w:val="clear" w:color="auto" w:fill="E7E6E6"/>
                                </w:tcPr>
                                <w:p>
                                  <w:pPr>
                                    <w:pStyle w:val="TableParagraph"/>
                                    <w:rPr>
                                      <w:rFonts w:ascii="Times New Roman"/>
                                      <w:sz w:val="6"/>
                                    </w:rPr>
                                  </w:pPr>
                                </w:p>
                              </w:tc>
                            </w:tr>
                          </w:tbl>
                          <w:p>
                            <w:pPr>
                              <w:pStyle w:val="BodyText"/>
                            </w:pPr>
                          </w:p>
                        </w:txbxContent>
                      </wps:txbx>
                      <wps:bodyPr wrap="square" lIns="0" tIns="0" rIns="0" bIns="0" rtlCol="0">
                        <a:noAutofit/>
                      </wps:bodyPr>
                    </wps:wsp>
                  </a:graphicData>
                </a:graphic>
              </wp:anchor>
            </w:drawing>
          </mc:Choice>
          <mc:Fallback>
            <w:pict>
              <v:shape style="position:absolute;margin-left:128.527695pt;margin-top:251.666412pt;width:354.85pt;height:215.65pt;mso-position-horizontal-relative:page;mso-position-vertical-relative:page;z-index:15766528" type="#_x0000_t202" id="docshape239"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3"/>
                        <w:gridCol w:w="1693"/>
                        <w:gridCol w:w="704"/>
                        <w:gridCol w:w="797"/>
                        <w:gridCol w:w="716"/>
                        <w:gridCol w:w="728"/>
                        <w:gridCol w:w="496"/>
                        <w:gridCol w:w="1339"/>
                      </w:tblGrid>
                      <w:tr>
                        <w:trPr>
                          <w:trHeight w:val="246" w:hRule="atLeast"/>
                        </w:trPr>
                        <w:tc>
                          <w:tcPr>
                            <w:tcW w:w="6966" w:type="dxa"/>
                            <w:gridSpan w:val="8"/>
                            <w:tcBorders>
                              <w:left w:val="single" w:sz="2" w:space="0" w:color="000000"/>
                              <w:right w:val="single" w:sz="2" w:space="0" w:color="000000"/>
                            </w:tcBorders>
                            <w:shd w:val="clear" w:color="auto" w:fill="E7E6E6"/>
                          </w:tcPr>
                          <w:p>
                            <w:pPr>
                              <w:pStyle w:val="TableParagraph"/>
                              <w:spacing w:before="68"/>
                              <w:ind w:left="10"/>
                              <w:jc w:val="center"/>
                              <w:rPr>
                                <w:rFonts w:ascii="Arial"/>
                                <w:b/>
                                <w:sz w:val="10"/>
                              </w:rPr>
                            </w:pPr>
                            <w:r>
                              <w:rPr>
                                <w:rFonts w:ascii="Arial"/>
                                <w:b/>
                                <w:spacing w:val="-2"/>
                                <w:w w:val="80"/>
                                <w:sz w:val="10"/>
                              </w:rPr>
                              <w:t>VARIACIONES</w:t>
                            </w:r>
                            <w:r>
                              <w:rPr>
                                <w:rFonts w:ascii="Arial"/>
                                <w:b/>
                                <w:spacing w:val="-4"/>
                                <w:sz w:val="10"/>
                              </w:rPr>
                              <w:t> </w:t>
                            </w:r>
                            <w:r>
                              <w:rPr>
                                <w:rFonts w:ascii="Arial"/>
                                <w:b/>
                                <w:spacing w:val="-2"/>
                                <w:w w:val="80"/>
                                <w:sz w:val="10"/>
                              </w:rPr>
                              <w:t>DE</w:t>
                            </w:r>
                            <w:r>
                              <w:rPr>
                                <w:rFonts w:ascii="Arial"/>
                                <w:b/>
                                <w:spacing w:val="-1"/>
                                <w:sz w:val="10"/>
                              </w:rPr>
                              <w:t> </w:t>
                            </w:r>
                            <w:r>
                              <w:rPr>
                                <w:rFonts w:ascii="Arial"/>
                                <w:b/>
                                <w:spacing w:val="-2"/>
                                <w:w w:val="80"/>
                                <w:sz w:val="10"/>
                              </w:rPr>
                              <w:t>LAS</w:t>
                            </w:r>
                            <w:r>
                              <w:rPr>
                                <w:rFonts w:ascii="Arial"/>
                                <w:b/>
                                <w:spacing w:val="-2"/>
                                <w:sz w:val="10"/>
                              </w:rPr>
                              <w:t> </w:t>
                            </w:r>
                            <w:r>
                              <w:rPr>
                                <w:rFonts w:ascii="Arial"/>
                                <w:b/>
                                <w:spacing w:val="-2"/>
                                <w:w w:val="80"/>
                                <w:sz w:val="10"/>
                              </w:rPr>
                              <w:t>CUENTAS</w:t>
                            </w:r>
                            <w:r>
                              <w:rPr>
                                <w:rFonts w:ascii="Arial"/>
                                <w:b/>
                                <w:spacing w:val="-1"/>
                                <w:sz w:val="10"/>
                              </w:rPr>
                              <w:t> </w:t>
                            </w:r>
                            <w:r>
                              <w:rPr>
                                <w:rFonts w:ascii="Arial"/>
                                <w:b/>
                                <w:spacing w:val="-2"/>
                                <w:w w:val="80"/>
                                <w:sz w:val="10"/>
                              </w:rPr>
                              <w:t>DE</w:t>
                            </w:r>
                            <w:r>
                              <w:rPr>
                                <w:rFonts w:ascii="Arial"/>
                                <w:b/>
                                <w:spacing w:val="-2"/>
                                <w:sz w:val="10"/>
                              </w:rPr>
                              <w:t> </w:t>
                            </w:r>
                            <w:r>
                              <w:rPr>
                                <w:rFonts w:ascii="Arial"/>
                                <w:b/>
                                <w:spacing w:val="-2"/>
                                <w:w w:val="80"/>
                                <w:sz w:val="10"/>
                              </w:rPr>
                              <w:t>ESTIMACION</w:t>
                            </w:r>
                            <w:r>
                              <w:rPr>
                                <w:rFonts w:ascii="Arial"/>
                                <w:b/>
                                <w:spacing w:val="-4"/>
                                <w:sz w:val="10"/>
                              </w:rPr>
                              <w:t> </w:t>
                            </w:r>
                            <w:r>
                              <w:rPr>
                                <w:rFonts w:ascii="Arial"/>
                                <w:b/>
                                <w:spacing w:val="-2"/>
                                <w:w w:val="80"/>
                                <w:sz w:val="10"/>
                              </w:rPr>
                              <w:t>DE</w:t>
                            </w:r>
                            <w:r>
                              <w:rPr>
                                <w:rFonts w:ascii="Arial"/>
                                <w:b/>
                                <w:spacing w:val="-1"/>
                                <w:sz w:val="10"/>
                              </w:rPr>
                              <w:t> </w:t>
                            </w:r>
                            <w:r>
                              <w:rPr>
                                <w:rFonts w:ascii="Arial"/>
                                <w:b/>
                                <w:spacing w:val="-2"/>
                                <w:w w:val="80"/>
                                <w:sz w:val="10"/>
                              </w:rPr>
                              <w:t>INCOBRABLES</w:t>
                            </w:r>
                            <w:r>
                              <w:rPr>
                                <w:rFonts w:ascii="Arial"/>
                                <w:b/>
                                <w:spacing w:val="-2"/>
                                <w:sz w:val="10"/>
                              </w:rPr>
                              <w:t> </w:t>
                            </w:r>
                            <w:r>
                              <w:rPr>
                                <w:rFonts w:ascii="Arial"/>
                                <w:b/>
                                <w:spacing w:val="-2"/>
                                <w:w w:val="80"/>
                                <w:sz w:val="10"/>
                              </w:rPr>
                              <w:t>Corto</w:t>
                            </w:r>
                            <w:r>
                              <w:rPr>
                                <w:rFonts w:ascii="Arial"/>
                                <w:b/>
                                <w:spacing w:val="-3"/>
                                <w:sz w:val="10"/>
                              </w:rPr>
                              <w:t> </w:t>
                            </w:r>
                            <w:r>
                              <w:rPr>
                                <w:rFonts w:ascii="Arial"/>
                                <w:b/>
                                <w:spacing w:val="-2"/>
                                <w:w w:val="80"/>
                                <w:sz w:val="10"/>
                              </w:rPr>
                              <w:t>plazo</w:t>
                            </w:r>
                            <w:r>
                              <w:rPr>
                                <w:rFonts w:ascii="Arial"/>
                                <w:b/>
                                <w:spacing w:val="-2"/>
                                <w:sz w:val="10"/>
                              </w:rPr>
                              <w:t> </w:t>
                            </w:r>
                            <w:r>
                              <w:rPr>
                                <w:rFonts w:ascii="Arial"/>
                                <w:b/>
                                <w:spacing w:val="-2"/>
                                <w:w w:val="80"/>
                                <w:sz w:val="10"/>
                              </w:rPr>
                              <w:t>DE</w:t>
                            </w:r>
                            <w:r>
                              <w:rPr>
                                <w:rFonts w:ascii="Arial"/>
                                <w:b/>
                                <w:spacing w:val="-2"/>
                                <w:sz w:val="10"/>
                              </w:rPr>
                              <w:t> </w:t>
                            </w:r>
                            <w:r>
                              <w:rPr>
                                <w:rFonts w:ascii="Arial"/>
                                <w:b/>
                                <w:spacing w:val="-2"/>
                                <w:w w:val="80"/>
                                <w:sz w:val="10"/>
                              </w:rPr>
                              <w:t>LAS</w:t>
                            </w:r>
                            <w:r>
                              <w:rPr>
                                <w:rFonts w:ascii="Arial"/>
                                <w:b/>
                                <w:spacing w:val="-1"/>
                                <w:sz w:val="10"/>
                              </w:rPr>
                              <w:t> </w:t>
                            </w:r>
                            <w:r>
                              <w:rPr>
                                <w:rFonts w:ascii="Arial"/>
                                <w:b/>
                                <w:spacing w:val="-2"/>
                                <w:w w:val="80"/>
                                <w:sz w:val="10"/>
                              </w:rPr>
                              <w:t>CUENTAS</w:t>
                            </w:r>
                            <w:r>
                              <w:rPr>
                                <w:rFonts w:ascii="Arial"/>
                                <w:b/>
                                <w:spacing w:val="-2"/>
                                <w:sz w:val="10"/>
                              </w:rPr>
                              <w:t> </w:t>
                            </w:r>
                            <w:r>
                              <w:rPr>
                                <w:rFonts w:ascii="Arial"/>
                                <w:b/>
                                <w:spacing w:val="-2"/>
                                <w:w w:val="80"/>
                                <w:sz w:val="10"/>
                              </w:rPr>
                              <w:t>A</w:t>
                            </w:r>
                            <w:r>
                              <w:rPr>
                                <w:rFonts w:ascii="Arial"/>
                                <w:b/>
                                <w:spacing w:val="-4"/>
                                <w:sz w:val="10"/>
                              </w:rPr>
                              <w:t> </w:t>
                            </w:r>
                            <w:r>
                              <w:rPr>
                                <w:rFonts w:ascii="Arial"/>
                                <w:b/>
                                <w:spacing w:val="-2"/>
                                <w:w w:val="80"/>
                                <w:sz w:val="10"/>
                              </w:rPr>
                              <w:t>COBRAR</w:t>
                            </w:r>
                            <w:r>
                              <w:rPr>
                                <w:rFonts w:ascii="Arial"/>
                                <w:b/>
                                <w:spacing w:val="-1"/>
                                <w:sz w:val="10"/>
                              </w:rPr>
                              <w:t> </w:t>
                            </w:r>
                            <w:r>
                              <w:rPr>
                                <w:rFonts w:ascii="Arial"/>
                                <w:b/>
                                <w:spacing w:val="-2"/>
                                <w:w w:val="80"/>
                                <w:sz w:val="10"/>
                              </w:rPr>
                              <w:t>AL</w:t>
                            </w:r>
                            <w:r>
                              <w:rPr>
                                <w:rFonts w:ascii="Arial"/>
                                <w:b/>
                                <w:spacing w:val="-3"/>
                                <w:sz w:val="10"/>
                              </w:rPr>
                              <w:t> </w:t>
                            </w:r>
                            <w:r>
                              <w:rPr>
                                <w:rFonts w:ascii="Arial"/>
                                <w:b/>
                                <w:spacing w:val="-2"/>
                                <w:w w:val="80"/>
                                <w:sz w:val="10"/>
                              </w:rPr>
                              <w:t>31.07.26</w:t>
                            </w:r>
                            <w:r>
                              <w:rPr>
                                <w:rFonts w:ascii="Arial"/>
                                <w:b/>
                                <w:spacing w:val="23"/>
                                <w:sz w:val="10"/>
                              </w:rPr>
                              <w:t> </w:t>
                            </w:r>
                            <w:r>
                              <w:rPr>
                                <w:rFonts w:ascii="Arial"/>
                                <w:b/>
                                <w:spacing w:val="-2"/>
                                <w:w w:val="80"/>
                                <w:sz w:val="10"/>
                              </w:rPr>
                              <w:t>y</w:t>
                            </w:r>
                            <w:r>
                              <w:rPr>
                                <w:rFonts w:ascii="Arial"/>
                                <w:b/>
                                <w:sz w:val="10"/>
                              </w:rPr>
                              <w:t> </w:t>
                            </w:r>
                            <w:r>
                              <w:rPr>
                                <w:rFonts w:ascii="Arial"/>
                                <w:b/>
                                <w:spacing w:val="-2"/>
                                <w:w w:val="80"/>
                                <w:sz w:val="10"/>
                              </w:rPr>
                              <w:t>31.07.25</w:t>
                            </w:r>
                          </w:p>
                        </w:tc>
                      </w:tr>
                      <w:tr>
                        <w:trPr>
                          <w:trHeight w:val="135" w:hRule="atLeast"/>
                        </w:trPr>
                        <w:tc>
                          <w:tcPr>
                            <w:tcW w:w="493" w:type="dxa"/>
                            <w:tcBorders>
                              <w:left w:val="nil"/>
                              <w:right w:val="single" w:sz="2" w:space="0" w:color="DFDFDF"/>
                            </w:tcBorders>
                          </w:tcPr>
                          <w:p>
                            <w:pPr>
                              <w:pStyle w:val="TableParagraph"/>
                              <w:rPr>
                                <w:rFonts w:ascii="Times New Roman"/>
                                <w:sz w:val="8"/>
                              </w:rPr>
                            </w:pPr>
                          </w:p>
                        </w:tc>
                        <w:tc>
                          <w:tcPr>
                            <w:tcW w:w="1693" w:type="dxa"/>
                            <w:tcBorders>
                              <w:left w:val="single" w:sz="2" w:space="0" w:color="DFDFDF"/>
                              <w:right w:val="single" w:sz="2" w:space="0" w:color="DFDFDF"/>
                            </w:tcBorders>
                          </w:tcPr>
                          <w:p>
                            <w:pPr>
                              <w:pStyle w:val="TableParagraph"/>
                              <w:rPr>
                                <w:rFonts w:ascii="Times New Roman"/>
                                <w:sz w:val="8"/>
                              </w:rPr>
                            </w:pPr>
                          </w:p>
                        </w:tc>
                        <w:tc>
                          <w:tcPr>
                            <w:tcW w:w="704" w:type="dxa"/>
                            <w:tcBorders>
                              <w:left w:val="single" w:sz="2" w:space="0" w:color="DFDFDF"/>
                              <w:right w:val="single" w:sz="2" w:space="0" w:color="DFDFDF"/>
                            </w:tcBorders>
                          </w:tcPr>
                          <w:p>
                            <w:pPr>
                              <w:pStyle w:val="TableParagraph"/>
                              <w:rPr>
                                <w:rFonts w:ascii="Times New Roman"/>
                                <w:sz w:val="8"/>
                              </w:rPr>
                            </w:pPr>
                          </w:p>
                        </w:tc>
                        <w:tc>
                          <w:tcPr>
                            <w:tcW w:w="797" w:type="dxa"/>
                            <w:tcBorders>
                              <w:left w:val="single" w:sz="2" w:space="0" w:color="DFDFDF"/>
                              <w:right w:val="single" w:sz="2" w:space="0" w:color="DFDFDF"/>
                            </w:tcBorders>
                          </w:tcPr>
                          <w:p>
                            <w:pPr>
                              <w:pStyle w:val="TableParagraph"/>
                              <w:rPr>
                                <w:rFonts w:ascii="Times New Roman"/>
                                <w:sz w:val="8"/>
                              </w:rPr>
                            </w:pPr>
                          </w:p>
                        </w:tc>
                        <w:tc>
                          <w:tcPr>
                            <w:tcW w:w="716" w:type="dxa"/>
                            <w:tcBorders>
                              <w:left w:val="single" w:sz="2" w:space="0" w:color="DFDFDF"/>
                              <w:right w:val="single" w:sz="2" w:space="0" w:color="DFDFDF"/>
                            </w:tcBorders>
                          </w:tcPr>
                          <w:p>
                            <w:pPr>
                              <w:pStyle w:val="TableParagraph"/>
                              <w:rPr>
                                <w:rFonts w:ascii="Times New Roman"/>
                                <w:sz w:val="8"/>
                              </w:rPr>
                            </w:pPr>
                          </w:p>
                        </w:tc>
                        <w:tc>
                          <w:tcPr>
                            <w:tcW w:w="728" w:type="dxa"/>
                            <w:tcBorders>
                              <w:left w:val="single" w:sz="2" w:space="0" w:color="DFDFDF"/>
                              <w:right w:val="single" w:sz="2" w:space="0" w:color="DFDFDF"/>
                            </w:tcBorders>
                          </w:tcPr>
                          <w:p>
                            <w:pPr>
                              <w:pStyle w:val="TableParagraph"/>
                              <w:rPr>
                                <w:rFonts w:ascii="Times New Roman"/>
                                <w:sz w:val="8"/>
                              </w:rPr>
                            </w:pPr>
                          </w:p>
                        </w:tc>
                        <w:tc>
                          <w:tcPr>
                            <w:tcW w:w="496" w:type="dxa"/>
                            <w:tcBorders>
                              <w:left w:val="single" w:sz="2" w:space="0" w:color="DFDFDF"/>
                              <w:right w:val="single" w:sz="2" w:space="0" w:color="DFDFDF"/>
                            </w:tcBorders>
                          </w:tcPr>
                          <w:p>
                            <w:pPr>
                              <w:pStyle w:val="TableParagraph"/>
                              <w:rPr>
                                <w:rFonts w:ascii="Times New Roman"/>
                                <w:sz w:val="8"/>
                              </w:rPr>
                            </w:pPr>
                          </w:p>
                        </w:tc>
                        <w:tc>
                          <w:tcPr>
                            <w:tcW w:w="1339" w:type="dxa"/>
                            <w:tcBorders>
                              <w:left w:val="single" w:sz="2" w:space="0" w:color="DFDFDF"/>
                              <w:right w:val="single" w:sz="2" w:space="0" w:color="DFDFDF"/>
                            </w:tcBorders>
                          </w:tcPr>
                          <w:p>
                            <w:pPr>
                              <w:pStyle w:val="TableParagraph"/>
                              <w:rPr>
                                <w:rFonts w:ascii="Times New Roman"/>
                                <w:sz w:val="8"/>
                              </w:rPr>
                            </w:pPr>
                          </w:p>
                        </w:tc>
                      </w:tr>
                      <w:tr>
                        <w:trPr>
                          <w:trHeight w:val="346" w:hRule="atLeast"/>
                        </w:trPr>
                        <w:tc>
                          <w:tcPr>
                            <w:tcW w:w="493" w:type="dxa"/>
                            <w:tcBorders>
                              <w:left w:val="single" w:sz="2" w:space="0" w:color="000000"/>
                              <w:bottom w:val="single" w:sz="2" w:space="0" w:color="000000"/>
                              <w:right w:val="single" w:sz="2" w:space="0" w:color="000000"/>
                            </w:tcBorders>
                            <w:shd w:val="clear" w:color="auto" w:fill="E7E6E6"/>
                          </w:tcPr>
                          <w:p>
                            <w:pPr>
                              <w:pStyle w:val="TableParagraph"/>
                              <w:spacing w:before="4"/>
                              <w:rPr>
                                <w:sz w:val="9"/>
                              </w:rPr>
                            </w:pPr>
                          </w:p>
                          <w:p>
                            <w:pPr>
                              <w:pStyle w:val="TableParagraph"/>
                              <w:spacing w:line="110" w:lineRule="atLeast"/>
                              <w:ind w:left="43" w:firstLine="48"/>
                              <w:rPr>
                                <w:rFonts w:ascii="Arial"/>
                                <w:b/>
                                <w:sz w:val="9"/>
                              </w:rPr>
                            </w:pPr>
                            <w:r>
                              <w:rPr>
                                <w:rFonts w:ascii="Arial"/>
                                <w:b/>
                                <w:spacing w:val="-2"/>
                                <w:w w:val="90"/>
                                <w:sz w:val="9"/>
                              </w:rPr>
                              <w:t>CUENTA</w:t>
                            </w:r>
                            <w:r>
                              <w:rPr>
                                <w:rFonts w:ascii="Arial"/>
                                <w:b/>
                                <w:spacing w:val="40"/>
                                <w:sz w:val="9"/>
                              </w:rPr>
                              <w:t> </w:t>
                            </w:r>
                            <w:r>
                              <w:rPr>
                                <w:rFonts w:ascii="Arial"/>
                                <w:b/>
                                <w:spacing w:val="-2"/>
                                <w:w w:val="80"/>
                                <w:sz w:val="9"/>
                              </w:rPr>
                              <w:t>CONTABLE</w:t>
                            </w:r>
                          </w:p>
                        </w:tc>
                        <w:tc>
                          <w:tcPr>
                            <w:tcW w:w="1693" w:type="dxa"/>
                            <w:tcBorders>
                              <w:left w:val="single" w:sz="2" w:space="0" w:color="000000"/>
                              <w:bottom w:val="single" w:sz="2" w:space="0" w:color="000000"/>
                              <w:right w:val="single" w:sz="2" w:space="0" w:color="000000"/>
                            </w:tcBorders>
                            <w:shd w:val="clear" w:color="auto" w:fill="E7E6E6"/>
                          </w:tcPr>
                          <w:p>
                            <w:pPr>
                              <w:pStyle w:val="TableParagraph"/>
                              <w:rPr>
                                <w:sz w:val="9"/>
                              </w:rPr>
                            </w:pPr>
                          </w:p>
                          <w:p>
                            <w:pPr>
                              <w:pStyle w:val="TableParagraph"/>
                              <w:spacing w:before="36"/>
                              <w:rPr>
                                <w:sz w:val="9"/>
                              </w:rPr>
                            </w:pPr>
                          </w:p>
                          <w:p>
                            <w:pPr>
                              <w:pStyle w:val="TableParagraph"/>
                              <w:spacing w:line="85" w:lineRule="exact"/>
                              <w:ind w:left="309"/>
                              <w:rPr>
                                <w:rFonts w:ascii="Arial"/>
                                <w:b/>
                                <w:sz w:val="9"/>
                              </w:rPr>
                            </w:pPr>
                            <w:r>
                              <w:rPr>
                                <w:rFonts w:ascii="Arial"/>
                                <w:b/>
                                <w:w w:val="80"/>
                                <w:sz w:val="9"/>
                              </w:rPr>
                              <w:t>NOMBRE</w:t>
                            </w:r>
                            <w:r>
                              <w:rPr>
                                <w:rFonts w:ascii="Arial"/>
                                <w:b/>
                                <w:spacing w:val="-1"/>
                                <w:w w:val="80"/>
                                <w:sz w:val="9"/>
                              </w:rPr>
                              <w:t> </w:t>
                            </w:r>
                            <w:r>
                              <w:rPr>
                                <w:rFonts w:ascii="Arial"/>
                                <w:b/>
                                <w:w w:val="80"/>
                                <w:sz w:val="9"/>
                              </w:rPr>
                              <w:t>CUENTA</w:t>
                            </w:r>
                            <w:r>
                              <w:rPr>
                                <w:rFonts w:ascii="Arial"/>
                                <w:b/>
                                <w:spacing w:val="-2"/>
                                <w:w w:val="80"/>
                                <w:sz w:val="9"/>
                              </w:rPr>
                              <w:t> CONTABLE</w:t>
                            </w:r>
                          </w:p>
                        </w:tc>
                        <w:tc>
                          <w:tcPr>
                            <w:tcW w:w="704" w:type="dxa"/>
                            <w:tcBorders>
                              <w:left w:val="single" w:sz="2" w:space="0" w:color="000000"/>
                              <w:bottom w:val="single" w:sz="2" w:space="0" w:color="000000"/>
                              <w:right w:val="single" w:sz="2" w:space="0" w:color="000000"/>
                            </w:tcBorders>
                            <w:shd w:val="clear" w:color="auto" w:fill="E7E6E6"/>
                          </w:tcPr>
                          <w:p>
                            <w:pPr>
                              <w:pStyle w:val="TableParagraph"/>
                              <w:rPr>
                                <w:sz w:val="9"/>
                              </w:rPr>
                            </w:pPr>
                          </w:p>
                          <w:p>
                            <w:pPr>
                              <w:pStyle w:val="TableParagraph"/>
                              <w:spacing w:before="36"/>
                              <w:rPr>
                                <w:sz w:val="9"/>
                              </w:rPr>
                            </w:pPr>
                          </w:p>
                          <w:p>
                            <w:pPr>
                              <w:pStyle w:val="TableParagraph"/>
                              <w:spacing w:line="85" w:lineRule="exact"/>
                              <w:ind w:left="143"/>
                              <w:rPr>
                                <w:rFonts w:ascii="Arial"/>
                                <w:b/>
                                <w:sz w:val="9"/>
                              </w:rPr>
                            </w:pPr>
                            <w:r>
                              <w:rPr>
                                <w:rFonts w:ascii="Arial"/>
                                <w:b/>
                                <w:spacing w:val="-2"/>
                                <w:w w:val="90"/>
                                <w:sz w:val="9"/>
                              </w:rPr>
                              <w:t>CONCEPTO</w:t>
                            </w:r>
                          </w:p>
                        </w:tc>
                        <w:tc>
                          <w:tcPr>
                            <w:tcW w:w="797" w:type="dxa"/>
                            <w:tcBorders>
                              <w:left w:val="single" w:sz="2" w:space="0" w:color="000000"/>
                              <w:bottom w:val="single" w:sz="2" w:space="0" w:color="000000"/>
                              <w:right w:val="single" w:sz="2" w:space="0" w:color="000000"/>
                            </w:tcBorders>
                            <w:shd w:val="clear" w:color="auto" w:fill="E7E6E6"/>
                          </w:tcPr>
                          <w:p>
                            <w:pPr>
                              <w:pStyle w:val="TableParagraph"/>
                              <w:spacing w:before="6"/>
                              <w:ind w:left="7" w:right="2"/>
                              <w:jc w:val="center"/>
                              <w:rPr>
                                <w:rFonts w:ascii="Arial"/>
                                <w:b/>
                                <w:sz w:val="9"/>
                              </w:rPr>
                            </w:pPr>
                            <w:r>
                              <w:rPr>
                                <w:rFonts w:ascii="Arial"/>
                                <w:b/>
                                <w:spacing w:val="-2"/>
                                <w:w w:val="90"/>
                                <w:sz w:val="9"/>
                              </w:rPr>
                              <w:t>SALDOS</w:t>
                            </w:r>
                          </w:p>
                          <w:p>
                            <w:pPr>
                              <w:pStyle w:val="TableParagraph"/>
                              <w:spacing w:line="110" w:lineRule="atLeast"/>
                              <w:ind w:left="7"/>
                              <w:jc w:val="center"/>
                              <w:rPr>
                                <w:rFonts w:ascii="Arial"/>
                                <w:b/>
                                <w:sz w:val="9"/>
                              </w:rPr>
                            </w:pPr>
                            <w:r>
                              <w:rPr>
                                <w:rFonts w:ascii="Arial"/>
                                <w:b/>
                                <w:w w:val="80"/>
                                <w:sz w:val="9"/>
                              </w:rPr>
                              <w:t>ESTIM.INCOBR.</w:t>
                            </w:r>
                            <w:r>
                              <w:rPr>
                                <w:rFonts w:ascii="Arial"/>
                                <w:b/>
                                <w:spacing w:val="-2"/>
                                <w:w w:val="80"/>
                                <w:sz w:val="9"/>
                              </w:rPr>
                              <w:t> </w:t>
                            </w:r>
                            <w:r>
                              <w:rPr>
                                <w:rFonts w:ascii="Arial"/>
                                <w:b/>
                                <w:w w:val="80"/>
                                <w:sz w:val="9"/>
                              </w:rPr>
                              <w:t>AL</w:t>
                            </w:r>
                            <w:r>
                              <w:rPr>
                                <w:rFonts w:ascii="Arial"/>
                                <w:b/>
                                <w:spacing w:val="40"/>
                                <w:sz w:val="9"/>
                              </w:rPr>
                              <w:t> </w:t>
                            </w:r>
                            <w:r>
                              <w:rPr>
                                <w:rFonts w:ascii="Arial"/>
                                <w:b/>
                                <w:spacing w:val="-2"/>
                                <w:w w:val="90"/>
                                <w:sz w:val="9"/>
                              </w:rPr>
                              <w:t>31.07.26</w:t>
                            </w:r>
                          </w:p>
                        </w:tc>
                        <w:tc>
                          <w:tcPr>
                            <w:tcW w:w="716" w:type="dxa"/>
                            <w:tcBorders>
                              <w:left w:val="single" w:sz="2" w:space="0" w:color="000000"/>
                              <w:bottom w:val="single" w:sz="2" w:space="0" w:color="000000"/>
                              <w:right w:val="single" w:sz="2" w:space="0" w:color="000000"/>
                            </w:tcBorders>
                            <w:shd w:val="clear" w:color="auto" w:fill="E7E6E6"/>
                          </w:tcPr>
                          <w:p>
                            <w:pPr>
                              <w:pStyle w:val="TableParagraph"/>
                              <w:spacing w:before="6"/>
                              <w:ind w:left="12" w:right="3"/>
                              <w:jc w:val="center"/>
                              <w:rPr>
                                <w:rFonts w:ascii="Arial"/>
                                <w:b/>
                                <w:sz w:val="9"/>
                              </w:rPr>
                            </w:pPr>
                            <w:r>
                              <w:rPr>
                                <w:rFonts w:ascii="Arial"/>
                                <w:b/>
                                <w:spacing w:val="-2"/>
                                <w:w w:val="90"/>
                                <w:sz w:val="9"/>
                              </w:rPr>
                              <w:t>SALDOS</w:t>
                            </w:r>
                          </w:p>
                          <w:p>
                            <w:pPr>
                              <w:pStyle w:val="TableParagraph"/>
                              <w:spacing w:line="110" w:lineRule="atLeast"/>
                              <w:ind w:left="12"/>
                              <w:jc w:val="center"/>
                              <w:rPr>
                                <w:rFonts w:ascii="Arial"/>
                                <w:b/>
                                <w:sz w:val="9"/>
                              </w:rPr>
                            </w:pPr>
                            <w:r>
                              <w:rPr>
                                <w:rFonts w:ascii="Arial"/>
                                <w:b/>
                                <w:w w:val="80"/>
                                <w:sz w:val="9"/>
                              </w:rPr>
                              <w:t>ESTIM.INCOBR.</w:t>
                            </w:r>
                            <w:r>
                              <w:rPr>
                                <w:rFonts w:ascii="Arial"/>
                                <w:b/>
                                <w:spacing w:val="-2"/>
                                <w:w w:val="80"/>
                                <w:sz w:val="9"/>
                              </w:rPr>
                              <w:t> </w:t>
                            </w:r>
                            <w:r>
                              <w:rPr>
                                <w:rFonts w:ascii="Arial"/>
                                <w:b/>
                                <w:w w:val="80"/>
                                <w:sz w:val="9"/>
                              </w:rPr>
                              <w:t>AL</w:t>
                            </w:r>
                            <w:r>
                              <w:rPr>
                                <w:rFonts w:ascii="Arial"/>
                                <w:b/>
                                <w:spacing w:val="40"/>
                                <w:sz w:val="9"/>
                              </w:rPr>
                              <w:t> </w:t>
                            </w:r>
                            <w:r>
                              <w:rPr>
                                <w:rFonts w:ascii="Arial"/>
                                <w:b/>
                                <w:spacing w:val="-2"/>
                                <w:w w:val="90"/>
                                <w:sz w:val="9"/>
                              </w:rPr>
                              <w:t>31.07.25</w:t>
                            </w:r>
                          </w:p>
                        </w:tc>
                        <w:tc>
                          <w:tcPr>
                            <w:tcW w:w="728" w:type="dxa"/>
                            <w:tcBorders>
                              <w:left w:val="single" w:sz="2" w:space="0" w:color="000000"/>
                              <w:bottom w:val="single" w:sz="2" w:space="0" w:color="000000"/>
                              <w:right w:val="single" w:sz="2" w:space="0" w:color="000000"/>
                            </w:tcBorders>
                            <w:shd w:val="clear" w:color="auto" w:fill="E7E6E6"/>
                          </w:tcPr>
                          <w:p>
                            <w:pPr>
                              <w:pStyle w:val="TableParagraph"/>
                              <w:spacing w:before="21"/>
                              <w:rPr>
                                <w:sz w:val="9"/>
                              </w:rPr>
                            </w:pPr>
                          </w:p>
                          <w:p>
                            <w:pPr>
                              <w:pStyle w:val="TableParagraph"/>
                              <w:ind w:left="163"/>
                              <w:rPr>
                                <w:rFonts w:ascii="Arial" w:hAnsi="Arial"/>
                                <w:b/>
                                <w:sz w:val="9"/>
                              </w:rPr>
                            </w:pPr>
                            <w:r>
                              <w:rPr>
                                <w:rFonts w:ascii="Arial" w:hAnsi="Arial"/>
                                <w:b/>
                                <w:spacing w:val="-2"/>
                                <w:w w:val="90"/>
                                <w:sz w:val="9"/>
                              </w:rPr>
                              <w:t>VARIACIÓN</w:t>
                            </w:r>
                          </w:p>
                        </w:tc>
                        <w:tc>
                          <w:tcPr>
                            <w:tcW w:w="496" w:type="dxa"/>
                            <w:tcBorders>
                              <w:left w:val="single" w:sz="2" w:space="0" w:color="000000"/>
                              <w:bottom w:val="single" w:sz="2" w:space="0" w:color="000000"/>
                              <w:right w:val="single" w:sz="2" w:space="0" w:color="000000"/>
                            </w:tcBorders>
                            <w:shd w:val="clear" w:color="auto" w:fill="E7E6E6"/>
                          </w:tcPr>
                          <w:p>
                            <w:pPr>
                              <w:pStyle w:val="TableParagraph"/>
                              <w:spacing w:line="273" w:lineRule="auto" w:before="65"/>
                              <w:ind w:left="47" w:firstLine="173"/>
                              <w:rPr>
                                <w:rFonts w:ascii="Arial" w:hAnsi="Arial"/>
                                <w:b/>
                                <w:sz w:val="9"/>
                              </w:rPr>
                            </w:pPr>
                            <w:r>
                              <w:rPr>
                                <w:rFonts w:ascii="Arial" w:hAnsi="Arial"/>
                                <w:b/>
                                <w:spacing w:val="-10"/>
                                <w:w w:val="90"/>
                                <w:sz w:val="9"/>
                              </w:rPr>
                              <w:t>%</w:t>
                            </w:r>
                            <w:r>
                              <w:rPr>
                                <w:rFonts w:ascii="Arial" w:hAnsi="Arial"/>
                                <w:b/>
                                <w:spacing w:val="40"/>
                                <w:sz w:val="9"/>
                              </w:rPr>
                              <w:t> </w:t>
                            </w:r>
                            <w:r>
                              <w:rPr>
                                <w:rFonts w:ascii="Arial" w:hAnsi="Arial"/>
                                <w:b/>
                                <w:spacing w:val="-2"/>
                                <w:w w:val="80"/>
                                <w:sz w:val="9"/>
                              </w:rPr>
                              <w:t>VARIACIÓN</w:t>
                            </w:r>
                          </w:p>
                        </w:tc>
                        <w:tc>
                          <w:tcPr>
                            <w:tcW w:w="1339" w:type="dxa"/>
                            <w:tcBorders>
                              <w:left w:val="single" w:sz="2" w:space="0" w:color="000000"/>
                              <w:bottom w:val="single" w:sz="2" w:space="0" w:color="000000"/>
                              <w:right w:val="single" w:sz="2" w:space="0" w:color="000000"/>
                            </w:tcBorders>
                            <w:shd w:val="clear" w:color="auto" w:fill="E7E6E6"/>
                          </w:tcPr>
                          <w:p>
                            <w:pPr>
                              <w:pStyle w:val="TableParagraph"/>
                              <w:spacing w:before="21"/>
                              <w:rPr>
                                <w:sz w:val="9"/>
                              </w:rPr>
                            </w:pPr>
                          </w:p>
                          <w:p>
                            <w:pPr>
                              <w:pStyle w:val="TableParagraph"/>
                              <w:ind w:left="14"/>
                              <w:jc w:val="center"/>
                              <w:rPr>
                                <w:rFonts w:ascii="Arial"/>
                                <w:b/>
                                <w:sz w:val="9"/>
                              </w:rPr>
                            </w:pPr>
                            <w:r>
                              <w:rPr>
                                <w:rFonts w:ascii="Arial"/>
                                <w:b/>
                                <w:spacing w:val="-2"/>
                                <w:w w:val="90"/>
                                <w:sz w:val="9"/>
                              </w:rPr>
                              <w:t>NOTAS</w:t>
                            </w:r>
                          </w:p>
                        </w:tc>
                      </w:tr>
                      <w:tr>
                        <w:trPr>
                          <w:trHeight w:val="817" w:hRule="atLeast"/>
                        </w:trPr>
                        <w:tc>
                          <w:tcPr>
                            <w:tcW w:w="493"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left="13"/>
                              <w:rPr>
                                <w:rFonts w:ascii="Arial"/>
                                <w:sz w:val="9"/>
                              </w:rPr>
                            </w:pPr>
                            <w:r>
                              <w:rPr>
                                <w:rFonts w:ascii="Arial"/>
                                <w:spacing w:val="-2"/>
                                <w:w w:val="80"/>
                                <w:sz w:val="9"/>
                              </w:rPr>
                              <w:t>PREVISION</w:t>
                            </w:r>
                            <w:r>
                              <w:rPr>
                                <w:rFonts w:ascii="Arial"/>
                                <w:spacing w:val="13"/>
                                <w:sz w:val="9"/>
                              </w:rPr>
                              <w:t> </w:t>
                            </w:r>
                            <w:r>
                              <w:rPr>
                                <w:rFonts w:ascii="Arial"/>
                                <w:spacing w:val="-2"/>
                                <w:w w:val="80"/>
                                <w:sz w:val="9"/>
                              </w:rPr>
                              <w:t>CONTRIBUCIONES</w:t>
                            </w:r>
                            <w:r>
                              <w:rPr>
                                <w:rFonts w:ascii="Arial"/>
                                <w:spacing w:val="12"/>
                                <w:sz w:val="9"/>
                              </w:rPr>
                              <w:t> </w:t>
                            </w:r>
                            <w:r>
                              <w:rPr>
                                <w:rFonts w:ascii="Arial"/>
                                <w:spacing w:val="-2"/>
                                <w:w w:val="80"/>
                                <w:sz w:val="9"/>
                              </w:rPr>
                              <w:t>SOCIALES</w:t>
                            </w:r>
                          </w:p>
                        </w:tc>
                        <w:tc>
                          <w:tcPr>
                            <w:tcW w:w="704"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left="13"/>
                              <w:rPr>
                                <w:rFonts w:ascii="Arial"/>
                                <w:sz w:val="9"/>
                              </w:rPr>
                            </w:pPr>
                            <w:r>
                              <w:rPr>
                                <w:rFonts w:ascii="Arial"/>
                                <w:spacing w:val="-2"/>
                                <w:w w:val="90"/>
                                <w:sz w:val="9"/>
                              </w:rPr>
                              <w:t>PATRONOS</w:t>
                            </w:r>
                          </w:p>
                        </w:tc>
                        <w:tc>
                          <w:tcPr>
                            <w:tcW w:w="797"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25"/>
                              <w:jc w:val="right"/>
                              <w:rPr>
                                <w:rFonts w:ascii="Arial"/>
                                <w:sz w:val="9"/>
                              </w:rPr>
                            </w:pPr>
                            <w:r>
                              <w:rPr>
                                <w:rFonts w:ascii="Arial"/>
                                <w:w w:val="80"/>
                                <w:sz w:val="9"/>
                              </w:rPr>
                              <w:t>6</w:t>
                            </w:r>
                            <w:r>
                              <w:rPr>
                                <w:rFonts w:ascii="Arial"/>
                                <w:spacing w:val="-4"/>
                                <w:sz w:val="9"/>
                              </w:rPr>
                              <w:t> </w:t>
                            </w:r>
                            <w:r>
                              <w:rPr>
                                <w:rFonts w:ascii="Arial"/>
                                <w:w w:val="80"/>
                                <w:sz w:val="9"/>
                              </w:rPr>
                              <w:t>288</w:t>
                            </w:r>
                            <w:r>
                              <w:rPr>
                                <w:rFonts w:ascii="Arial"/>
                                <w:spacing w:val="-4"/>
                                <w:sz w:val="9"/>
                              </w:rPr>
                              <w:t> </w:t>
                            </w:r>
                            <w:r>
                              <w:rPr>
                                <w:rFonts w:ascii="Arial"/>
                                <w:spacing w:val="-2"/>
                                <w:w w:val="80"/>
                                <w:sz w:val="9"/>
                              </w:rPr>
                              <w:t>804,81</w:t>
                            </w:r>
                          </w:p>
                        </w:tc>
                        <w:tc>
                          <w:tcPr>
                            <w:tcW w:w="716" w:type="dxa"/>
                            <w:tcBorders>
                              <w:top w:val="single" w:sz="2" w:space="0" w:color="000000"/>
                              <w:left w:val="single" w:sz="2" w:space="0" w:color="000000"/>
                              <w:bottom w:val="single" w:sz="2" w:space="0" w:color="000000"/>
                              <w:right w:val="single" w:sz="2" w:space="0" w:color="000000"/>
                            </w:tcBorders>
                          </w:tcPr>
                          <w:p>
                            <w:pPr>
                              <w:pStyle w:val="TableParagraph"/>
                              <w:rPr>
                                <w:sz w:val="9"/>
                              </w:rPr>
                            </w:pPr>
                          </w:p>
                          <w:p>
                            <w:pPr>
                              <w:pStyle w:val="TableParagraph"/>
                              <w:rPr>
                                <w:sz w:val="9"/>
                              </w:rPr>
                            </w:pPr>
                          </w:p>
                          <w:p>
                            <w:pPr>
                              <w:pStyle w:val="TableParagraph"/>
                              <w:spacing w:before="52"/>
                              <w:rPr>
                                <w:sz w:val="9"/>
                              </w:rPr>
                            </w:pPr>
                          </w:p>
                          <w:p>
                            <w:pPr>
                              <w:pStyle w:val="TableParagraph"/>
                              <w:ind w:right="24"/>
                              <w:jc w:val="right"/>
                              <w:rPr>
                                <w:rFonts w:ascii="Arial"/>
                                <w:sz w:val="9"/>
                              </w:rPr>
                            </w:pPr>
                            <w:r>
                              <w:rPr>
                                <w:rFonts w:ascii="Arial"/>
                                <w:w w:val="80"/>
                                <w:sz w:val="9"/>
                              </w:rPr>
                              <w:t>6</w:t>
                            </w:r>
                            <w:r>
                              <w:rPr>
                                <w:rFonts w:ascii="Arial"/>
                                <w:spacing w:val="-4"/>
                                <w:sz w:val="9"/>
                              </w:rPr>
                              <w:t> </w:t>
                            </w:r>
                            <w:r>
                              <w:rPr>
                                <w:rFonts w:ascii="Arial"/>
                                <w:w w:val="80"/>
                                <w:sz w:val="9"/>
                              </w:rPr>
                              <w:t>171</w:t>
                            </w:r>
                            <w:r>
                              <w:rPr>
                                <w:rFonts w:ascii="Arial"/>
                                <w:spacing w:val="-4"/>
                                <w:sz w:val="9"/>
                              </w:rPr>
                              <w:t> </w:t>
                            </w:r>
                            <w:r>
                              <w:rPr>
                                <w:rFonts w:ascii="Arial"/>
                                <w:spacing w:val="-2"/>
                                <w:w w:val="80"/>
                                <w:sz w:val="9"/>
                              </w:rPr>
                              <w:t>543,38</w:t>
                            </w:r>
                          </w:p>
                        </w:tc>
                        <w:tc>
                          <w:tcPr>
                            <w:tcW w:w="72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9"/>
                              </w:rPr>
                            </w:pPr>
                          </w:p>
                          <w:p>
                            <w:pPr>
                              <w:pStyle w:val="TableParagraph"/>
                              <w:rPr>
                                <w:sz w:val="9"/>
                              </w:rPr>
                            </w:pPr>
                          </w:p>
                          <w:p>
                            <w:pPr>
                              <w:pStyle w:val="TableParagraph"/>
                              <w:spacing w:before="52"/>
                              <w:rPr>
                                <w:sz w:val="9"/>
                              </w:rPr>
                            </w:pPr>
                          </w:p>
                          <w:p>
                            <w:pPr>
                              <w:pStyle w:val="TableParagraph"/>
                              <w:ind w:right="3"/>
                              <w:jc w:val="right"/>
                              <w:rPr>
                                <w:rFonts w:ascii="Arial"/>
                                <w:sz w:val="9"/>
                              </w:rPr>
                            </w:pPr>
                            <w:r>
                              <w:rPr>
                                <w:rFonts w:ascii="Arial"/>
                                <w:w w:val="80"/>
                                <w:sz w:val="9"/>
                              </w:rPr>
                              <w:t>117</w:t>
                            </w:r>
                            <w:r>
                              <w:rPr>
                                <w:rFonts w:ascii="Arial"/>
                                <w:spacing w:val="-1"/>
                                <w:w w:val="90"/>
                                <w:sz w:val="9"/>
                              </w:rPr>
                              <w:t> </w:t>
                            </w:r>
                            <w:r>
                              <w:rPr>
                                <w:rFonts w:ascii="Arial"/>
                                <w:spacing w:val="-2"/>
                                <w:w w:val="90"/>
                                <w:sz w:val="9"/>
                              </w:rPr>
                              <w:t>261,43</w:t>
                            </w:r>
                          </w:p>
                        </w:tc>
                        <w:tc>
                          <w:tcPr>
                            <w:tcW w:w="49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9"/>
                              </w:rPr>
                            </w:pPr>
                          </w:p>
                          <w:p>
                            <w:pPr>
                              <w:pStyle w:val="TableParagraph"/>
                              <w:rPr>
                                <w:sz w:val="9"/>
                              </w:rPr>
                            </w:pPr>
                          </w:p>
                          <w:p>
                            <w:pPr>
                              <w:pStyle w:val="TableParagraph"/>
                              <w:spacing w:before="52"/>
                              <w:rPr>
                                <w:sz w:val="9"/>
                              </w:rPr>
                            </w:pPr>
                          </w:p>
                          <w:p>
                            <w:pPr>
                              <w:pStyle w:val="TableParagraph"/>
                              <w:ind w:right="2"/>
                              <w:jc w:val="right"/>
                              <w:rPr>
                                <w:rFonts w:ascii="Arial"/>
                                <w:sz w:val="9"/>
                              </w:rPr>
                            </w:pPr>
                            <w:r>
                              <w:rPr>
                                <w:rFonts w:ascii="Arial"/>
                                <w:spacing w:val="-2"/>
                                <w:w w:val="90"/>
                                <w:sz w:val="9"/>
                              </w:rPr>
                              <w:t>1,90%</w:t>
                            </w:r>
                          </w:p>
                        </w:tc>
                        <w:tc>
                          <w:tcPr>
                            <w:tcW w:w="1339" w:type="dxa"/>
                            <w:tcBorders>
                              <w:top w:val="single" w:sz="2" w:space="0" w:color="000000"/>
                              <w:left w:val="single" w:sz="2" w:space="0" w:color="000000"/>
                              <w:bottom w:val="single" w:sz="2" w:space="0" w:color="000000"/>
                              <w:right w:val="single" w:sz="2" w:space="0" w:color="000000"/>
                            </w:tcBorders>
                          </w:tcPr>
                          <w:p>
                            <w:pPr>
                              <w:pStyle w:val="TableParagraph"/>
                              <w:spacing w:line="273" w:lineRule="auto" w:before="7"/>
                              <w:ind w:left="18"/>
                              <w:rPr>
                                <w:rFonts w:ascii="Arial" w:hAnsi="Arial"/>
                                <w:sz w:val="9"/>
                              </w:rPr>
                            </w:pPr>
                            <w:r>
                              <w:rPr>
                                <w:rFonts w:ascii="Arial" w:hAnsi="Arial"/>
                                <w:spacing w:val="-2"/>
                                <w:w w:val="85"/>
                                <w:sz w:val="9"/>
                              </w:rPr>
                              <w:t>Variación</w:t>
                            </w:r>
                            <w:r>
                              <w:rPr>
                                <w:rFonts w:ascii="Arial" w:hAnsi="Arial"/>
                                <w:spacing w:val="-1"/>
                                <w:sz w:val="9"/>
                              </w:rPr>
                              <w:t> </w:t>
                            </w:r>
                            <w:r>
                              <w:rPr>
                                <w:rFonts w:ascii="Arial" w:hAnsi="Arial"/>
                                <w:spacing w:val="-2"/>
                                <w:w w:val="85"/>
                                <w:sz w:val="9"/>
                              </w:rPr>
                              <w:t>positiva en</w:t>
                            </w:r>
                            <w:r>
                              <w:rPr>
                                <w:rFonts w:ascii="Arial" w:hAnsi="Arial"/>
                                <w:spacing w:val="-1"/>
                                <w:sz w:val="9"/>
                              </w:rPr>
                              <w:t> </w:t>
                            </w:r>
                            <w:r>
                              <w:rPr>
                                <w:rFonts w:ascii="Arial" w:hAnsi="Arial"/>
                                <w:spacing w:val="-2"/>
                                <w:w w:val="85"/>
                                <w:sz w:val="9"/>
                              </w:rPr>
                              <w:t>los saldos de las</w:t>
                            </w:r>
                            <w:r>
                              <w:rPr>
                                <w:rFonts w:ascii="Arial" w:hAnsi="Arial"/>
                                <w:spacing w:val="40"/>
                                <w:sz w:val="9"/>
                              </w:rPr>
                              <w:t> </w:t>
                            </w:r>
                            <w:r>
                              <w:rPr>
                                <w:rFonts w:ascii="Arial" w:hAnsi="Arial"/>
                                <w:w w:val="85"/>
                                <w:sz w:val="9"/>
                              </w:rPr>
                              <w:t>cuenta</w:t>
                            </w:r>
                            <w:r>
                              <w:rPr>
                                <w:rFonts w:ascii="Arial" w:hAnsi="Arial"/>
                                <w:spacing w:val="-5"/>
                                <w:w w:val="85"/>
                                <w:sz w:val="9"/>
                              </w:rPr>
                              <w:t> </w:t>
                            </w:r>
                            <w:r>
                              <w:rPr>
                                <w:rFonts w:ascii="Arial" w:hAnsi="Arial"/>
                                <w:w w:val="85"/>
                                <w:sz w:val="9"/>
                              </w:rPr>
                              <w:t>por</w:t>
                            </w:r>
                            <w:r>
                              <w:rPr>
                                <w:rFonts w:ascii="Arial" w:hAnsi="Arial"/>
                                <w:spacing w:val="-2"/>
                                <w:w w:val="85"/>
                                <w:sz w:val="9"/>
                              </w:rPr>
                              <w:t> </w:t>
                            </w:r>
                            <w:r>
                              <w:rPr>
                                <w:rFonts w:ascii="Arial" w:hAnsi="Arial"/>
                                <w:w w:val="85"/>
                                <w:sz w:val="9"/>
                              </w:rPr>
                              <w:t>cobrar</w:t>
                            </w:r>
                            <w:r>
                              <w:rPr>
                                <w:rFonts w:ascii="Arial" w:hAnsi="Arial"/>
                                <w:spacing w:val="-3"/>
                                <w:w w:val="85"/>
                                <w:sz w:val="9"/>
                              </w:rPr>
                              <w:t> </w:t>
                            </w:r>
                            <w:r>
                              <w:rPr>
                                <w:rFonts w:ascii="Arial" w:hAnsi="Arial"/>
                                <w:w w:val="85"/>
                                <w:sz w:val="9"/>
                              </w:rPr>
                              <w:t>por</w:t>
                            </w:r>
                            <w:r>
                              <w:rPr>
                                <w:rFonts w:ascii="Arial" w:hAnsi="Arial"/>
                                <w:spacing w:val="-2"/>
                                <w:w w:val="85"/>
                                <w:sz w:val="9"/>
                              </w:rPr>
                              <w:t> </w:t>
                            </w:r>
                            <w:r>
                              <w:rPr>
                                <w:rFonts w:ascii="Arial" w:hAnsi="Arial"/>
                                <w:w w:val="85"/>
                                <w:sz w:val="9"/>
                              </w:rPr>
                              <w:t>aplicación</w:t>
                            </w:r>
                            <w:r>
                              <w:rPr>
                                <w:rFonts w:ascii="Arial" w:hAnsi="Arial"/>
                                <w:spacing w:val="-2"/>
                                <w:w w:val="85"/>
                                <w:sz w:val="9"/>
                              </w:rPr>
                              <w:t> </w:t>
                            </w:r>
                            <w:r>
                              <w:rPr>
                                <w:rFonts w:ascii="Arial" w:hAnsi="Arial"/>
                                <w:w w:val="85"/>
                                <w:sz w:val="9"/>
                              </w:rPr>
                              <w:t>de</w:t>
                            </w:r>
                            <w:r>
                              <w:rPr>
                                <w:rFonts w:ascii="Arial" w:hAnsi="Arial"/>
                                <w:spacing w:val="40"/>
                                <w:sz w:val="9"/>
                              </w:rPr>
                              <w:t> </w:t>
                            </w:r>
                            <w:r>
                              <w:rPr>
                                <w:rFonts w:ascii="Arial" w:hAnsi="Arial"/>
                                <w:spacing w:val="-2"/>
                                <w:w w:val="90"/>
                                <w:sz w:val="9"/>
                              </w:rPr>
                              <w:t>ajustes como</w:t>
                            </w:r>
                            <w:r>
                              <w:rPr>
                                <w:rFonts w:ascii="Arial" w:hAnsi="Arial"/>
                                <w:spacing w:val="-4"/>
                                <w:w w:val="90"/>
                                <w:sz w:val="9"/>
                              </w:rPr>
                              <w:t> </w:t>
                            </w:r>
                            <w:r>
                              <w:rPr>
                                <w:rFonts w:ascii="Arial" w:hAnsi="Arial"/>
                                <w:spacing w:val="-2"/>
                                <w:w w:val="90"/>
                                <w:sz w:val="9"/>
                              </w:rPr>
                              <w:t>resultado</w:t>
                            </w:r>
                            <w:r>
                              <w:rPr>
                                <w:rFonts w:ascii="Arial" w:hAnsi="Arial"/>
                                <w:spacing w:val="-4"/>
                                <w:w w:val="90"/>
                                <w:sz w:val="9"/>
                              </w:rPr>
                              <w:t> </w:t>
                            </w:r>
                            <w:r>
                              <w:rPr>
                                <w:rFonts w:ascii="Arial" w:hAnsi="Arial"/>
                                <w:spacing w:val="-2"/>
                                <w:w w:val="90"/>
                                <w:sz w:val="9"/>
                              </w:rPr>
                              <w:t>de</w:t>
                            </w:r>
                            <w:r>
                              <w:rPr>
                                <w:rFonts w:ascii="Arial" w:hAnsi="Arial"/>
                                <w:spacing w:val="-4"/>
                                <w:w w:val="90"/>
                                <w:sz w:val="9"/>
                              </w:rPr>
                              <w:t> </w:t>
                            </w:r>
                            <w:r>
                              <w:rPr>
                                <w:rFonts w:ascii="Arial" w:hAnsi="Arial"/>
                                <w:spacing w:val="-2"/>
                                <w:w w:val="90"/>
                                <w:sz w:val="9"/>
                              </w:rPr>
                              <w:t>la</w:t>
                            </w:r>
                            <w:r>
                              <w:rPr>
                                <w:rFonts w:ascii="Arial" w:hAnsi="Arial"/>
                                <w:spacing w:val="40"/>
                                <w:sz w:val="9"/>
                              </w:rPr>
                              <w:t> </w:t>
                            </w:r>
                            <w:r>
                              <w:rPr>
                                <w:rFonts w:ascii="Arial" w:hAnsi="Arial"/>
                                <w:spacing w:val="-2"/>
                                <w:w w:val="90"/>
                                <w:sz w:val="9"/>
                              </w:rPr>
                              <w:t>disminución en la</w:t>
                            </w:r>
                            <w:r>
                              <w:rPr>
                                <w:rFonts w:ascii="Arial" w:hAnsi="Arial"/>
                                <w:spacing w:val="-3"/>
                                <w:w w:val="90"/>
                                <w:sz w:val="9"/>
                              </w:rPr>
                              <w:t> </w:t>
                            </w:r>
                            <w:r>
                              <w:rPr>
                                <w:rFonts w:ascii="Arial" w:hAnsi="Arial"/>
                                <w:spacing w:val="-2"/>
                                <w:w w:val="90"/>
                                <w:sz w:val="9"/>
                              </w:rPr>
                              <w:t>depuración</w:t>
                            </w:r>
                            <w:r>
                              <w:rPr>
                                <w:rFonts w:ascii="Arial" w:hAnsi="Arial"/>
                                <w:spacing w:val="40"/>
                                <w:sz w:val="9"/>
                              </w:rPr>
                              <w:t> </w:t>
                            </w:r>
                            <w:r>
                              <w:rPr>
                                <w:rFonts w:ascii="Arial" w:hAnsi="Arial"/>
                                <w:w w:val="85"/>
                                <w:sz w:val="9"/>
                              </w:rPr>
                              <w:t>requeridas</w:t>
                            </w:r>
                            <w:r>
                              <w:rPr>
                                <w:rFonts w:ascii="Arial" w:hAnsi="Arial"/>
                                <w:spacing w:val="-3"/>
                                <w:w w:val="85"/>
                                <w:sz w:val="9"/>
                              </w:rPr>
                              <w:t> </w:t>
                            </w:r>
                            <w:r>
                              <w:rPr>
                                <w:rFonts w:ascii="Arial" w:hAnsi="Arial"/>
                                <w:w w:val="85"/>
                                <w:sz w:val="9"/>
                              </w:rPr>
                              <w:t>y</w:t>
                            </w:r>
                            <w:r>
                              <w:rPr>
                                <w:rFonts w:ascii="Arial" w:hAnsi="Arial"/>
                                <w:spacing w:val="-2"/>
                                <w:w w:val="85"/>
                                <w:sz w:val="9"/>
                              </w:rPr>
                              <w:t> </w:t>
                            </w:r>
                            <w:r>
                              <w:rPr>
                                <w:rFonts w:ascii="Arial" w:hAnsi="Arial"/>
                                <w:w w:val="85"/>
                                <w:sz w:val="9"/>
                              </w:rPr>
                              <w:t>se</w:t>
                            </w:r>
                            <w:r>
                              <w:rPr>
                                <w:rFonts w:ascii="Arial" w:hAnsi="Arial"/>
                                <w:spacing w:val="-5"/>
                                <w:w w:val="85"/>
                                <w:sz w:val="9"/>
                              </w:rPr>
                              <w:t> </w:t>
                            </w:r>
                            <w:r>
                              <w:rPr>
                                <w:rFonts w:ascii="Arial" w:hAnsi="Arial"/>
                                <w:w w:val="85"/>
                                <w:sz w:val="9"/>
                              </w:rPr>
                              <w:t>ven</w:t>
                            </w:r>
                            <w:r>
                              <w:rPr>
                                <w:rFonts w:ascii="Arial" w:hAnsi="Arial"/>
                                <w:spacing w:val="-2"/>
                                <w:w w:val="85"/>
                                <w:sz w:val="9"/>
                              </w:rPr>
                              <w:t> </w:t>
                            </w:r>
                            <w:r>
                              <w:rPr>
                                <w:rFonts w:ascii="Arial" w:hAnsi="Arial"/>
                                <w:w w:val="85"/>
                                <w:sz w:val="9"/>
                              </w:rPr>
                              <w:t>reflejados</w:t>
                            </w:r>
                            <w:r>
                              <w:rPr>
                                <w:rFonts w:ascii="Arial" w:hAnsi="Arial"/>
                                <w:spacing w:val="-3"/>
                                <w:w w:val="85"/>
                                <w:sz w:val="9"/>
                              </w:rPr>
                              <w:t> </w:t>
                            </w:r>
                            <w:r>
                              <w:rPr>
                                <w:rFonts w:ascii="Arial" w:hAnsi="Arial"/>
                                <w:w w:val="85"/>
                                <w:sz w:val="9"/>
                              </w:rPr>
                              <w:t>en</w:t>
                            </w:r>
                            <w:r>
                              <w:rPr>
                                <w:rFonts w:ascii="Arial" w:hAnsi="Arial"/>
                                <w:spacing w:val="-2"/>
                                <w:w w:val="85"/>
                                <w:sz w:val="9"/>
                              </w:rPr>
                              <w:t> </w:t>
                            </w:r>
                            <w:r>
                              <w:rPr>
                                <w:rFonts w:ascii="Arial" w:hAnsi="Arial"/>
                                <w:w w:val="85"/>
                                <w:sz w:val="9"/>
                              </w:rPr>
                              <w:t>los</w:t>
                            </w:r>
                            <w:r>
                              <w:rPr>
                                <w:rFonts w:ascii="Arial" w:hAnsi="Arial"/>
                                <w:spacing w:val="40"/>
                                <w:sz w:val="9"/>
                              </w:rPr>
                              <w:t> </w:t>
                            </w:r>
                            <w:r>
                              <w:rPr>
                                <w:rFonts w:ascii="Arial" w:hAnsi="Arial"/>
                                <w:w w:val="80"/>
                                <w:sz w:val="9"/>
                              </w:rPr>
                              <w:t>porcentajes</w:t>
                            </w:r>
                            <w:r>
                              <w:rPr>
                                <w:rFonts w:ascii="Arial" w:hAnsi="Arial"/>
                                <w:spacing w:val="-2"/>
                                <w:w w:val="8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1"/>
                                <w:w w:val="80"/>
                                <w:sz w:val="9"/>
                              </w:rPr>
                              <w:t> </w:t>
                            </w:r>
                            <w:r>
                              <w:rPr>
                                <w:rFonts w:ascii="Arial" w:hAnsi="Arial"/>
                                <w:w w:val="80"/>
                                <w:sz w:val="9"/>
                              </w:rPr>
                              <w:t>aplicados</w:t>
                            </w:r>
                          </w:p>
                          <w:p>
                            <w:pPr>
                              <w:pStyle w:val="TableParagraph"/>
                              <w:spacing w:line="83" w:lineRule="exact"/>
                              <w:ind w:left="18"/>
                              <w:rPr>
                                <w:rFonts w:ascii="Arial" w:hAnsi="Arial"/>
                                <w:sz w:val="9"/>
                              </w:rPr>
                            </w:pPr>
                            <w:r>
                              <w:rPr>
                                <w:rFonts w:ascii="Arial" w:hAnsi="Arial"/>
                                <w:w w:val="80"/>
                                <w:sz w:val="9"/>
                              </w:rPr>
                              <w:t>para</w:t>
                            </w:r>
                            <w:r>
                              <w:rPr>
                                <w:rFonts w:ascii="Arial" w:hAnsi="Arial"/>
                                <w:spacing w:val="-3"/>
                                <w:w w:val="80"/>
                                <w:sz w:val="9"/>
                              </w:rPr>
                              <w:t> </w:t>
                            </w:r>
                            <w:r>
                              <w:rPr>
                                <w:rFonts w:ascii="Arial" w:hAnsi="Arial"/>
                                <w:w w:val="80"/>
                                <w:sz w:val="9"/>
                              </w:rPr>
                              <w:t>realizar</w:t>
                            </w:r>
                            <w:r>
                              <w:rPr>
                                <w:rFonts w:ascii="Arial" w:hAnsi="Arial"/>
                                <w:spacing w:val="-2"/>
                                <w:w w:val="80"/>
                                <w:sz w:val="9"/>
                              </w:rPr>
                              <w:t> </w:t>
                            </w: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9"/>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464" w:hRule="atLeast"/>
                        </w:trPr>
                        <w:tc>
                          <w:tcPr>
                            <w:tcW w:w="493"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left="13"/>
                              <w:rPr>
                                <w:rFonts w:ascii="Arial"/>
                                <w:sz w:val="9"/>
                              </w:rPr>
                            </w:pPr>
                            <w:r>
                              <w:rPr>
                                <w:rFonts w:ascii="Arial"/>
                                <w:spacing w:val="-2"/>
                                <w:w w:val="80"/>
                                <w:sz w:val="9"/>
                              </w:rPr>
                              <w:t>PREVISION</w:t>
                            </w:r>
                            <w:r>
                              <w:rPr>
                                <w:rFonts w:ascii="Arial"/>
                                <w:spacing w:val="6"/>
                                <w:sz w:val="9"/>
                              </w:rPr>
                              <w:t> </w:t>
                            </w:r>
                            <w:r>
                              <w:rPr>
                                <w:rFonts w:ascii="Arial"/>
                                <w:spacing w:val="-2"/>
                                <w:w w:val="80"/>
                                <w:sz w:val="9"/>
                              </w:rPr>
                              <w:t>IMP.</w:t>
                            </w:r>
                            <w:r>
                              <w:rPr>
                                <w:rFonts w:ascii="Arial"/>
                                <w:spacing w:val="4"/>
                                <w:sz w:val="9"/>
                              </w:rPr>
                              <w:t> </w:t>
                            </w:r>
                            <w:r>
                              <w:rPr>
                                <w:rFonts w:ascii="Arial"/>
                                <w:spacing w:val="-2"/>
                                <w:w w:val="80"/>
                                <w:sz w:val="9"/>
                              </w:rPr>
                              <w:t>SOBRE</w:t>
                            </w:r>
                            <w:r>
                              <w:rPr>
                                <w:rFonts w:ascii="Arial"/>
                                <w:spacing w:val="6"/>
                                <w:sz w:val="9"/>
                              </w:rPr>
                              <w:t> </w:t>
                            </w:r>
                            <w:r>
                              <w:rPr>
                                <w:rFonts w:ascii="Arial"/>
                                <w:spacing w:val="-2"/>
                                <w:w w:val="80"/>
                                <w:sz w:val="9"/>
                              </w:rPr>
                              <w:t>PROPIEDADES</w:t>
                            </w:r>
                            <w:r>
                              <w:rPr>
                                <w:rFonts w:ascii="Arial"/>
                                <w:spacing w:val="5"/>
                                <w:sz w:val="9"/>
                              </w:rPr>
                              <w:t> </w:t>
                            </w:r>
                            <w:r>
                              <w:rPr>
                                <w:rFonts w:ascii="Arial"/>
                                <w:spacing w:val="-4"/>
                                <w:w w:val="80"/>
                                <w:sz w:val="9"/>
                              </w:rPr>
                              <w:t>C.P.</w:t>
                            </w:r>
                          </w:p>
                        </w:tc>
                        <w:tc>
                          <w:tcPr>
                            <w:tcW w:w="704"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left="13"/>
                              <w:rPr>
                                <w:rFonts w:ascii="Arial"/>
                                <w:sz w:val="9"/>
                              </w:rPr>
                            </w:pPr>
                            <w:r>
                              <w:rPr>
                                <w:rFonts w:ascii="Arial"/>
                                <w:w w:val="80"/>
                                <w:sz w:val="9"/>
                              </w:rPr>
                              <w:t>MOTELES</w:t>
                            </w:r>
                            <w:r>
                              <w:rPr>
                                <w:rFonts w:ascii="Arial"/>
                                <w:spacing w:val="-1"/>
                                <w:w w:val="90"/>
                                <w:sz w:val="9"/>
                              </w:rPr>
                              <w:t> </w:t>
                            </w:r>
                            <w:r>
                              <w:rPr>
                                <w:rFonts w:ascii="Arial"/>
                                <w:spacing w:val="-4"/>
                                <w:w w:val="90"/>
                                <w:sz w:val="9"/>
                              </w:rPr>
                              <w:t>C.P.</w:t>
                            </w:r>
                          </w:p>
                        </w:tc>
                        <w:tc>
                          <w:tcPr>
                            <w:tcW w:w="797"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25"/>
                              <w:jc w:val="right"/>
                              <w:rPr>
                                <w:rFonts w:ascii="Arial"/>
                                <w:sz w:val="9"/>
                              </w:rPr>
                            </w:pPr>
                            <w:r>
                              <w:rPr>
                                <w:rFonts w:ascii="Arial"/>
                                <w:w w:val="80"/>
                                <w:sz w:val="9"/>
                              </w:rPr>
                              <w:t>1</w:t>
                            </w:r>
                            <w:r>
                              <w:rPr>
                                <w:rFonts w:ascii="Arial"/>
                                <w:spacing w:val="-4"/>
                                <w:sz w:val="9"/>
                              </w:rPr>
                              <w:t> </w:t>
                            </w:r>
                            <w:r>
                              <w:rPr>
                                <w:rFonts w:ascii="Arial"/>
                                <w:w w:val="80"/>
                                <w:sz w:val="9"/>
                              </w:rPr>
                              <w:t>930</w:t>
                            </w:r>
                            <w:r>
                              <w:rPr>
                                <w:rFonts w:ascii="Arial"/>
                                <w:spacing w:val="-4"/>
                                <w:sz w:val="9"/>
                              </w:rPr>
                              <w:t> </w:t>
                            </w:r>
                            <w:r>
                              <w:rPr>
                                <w:rFonts w:ascii="Arial"/>
                                <w:spacing w:val="-2"/>
                                <w:w w:val="80"/>
                                <w:sz w:val="9"/>
                              </w:rPr>
                              <w:t>368,51</w:t>
                            </w:r>
                          </w:p>
                        </w:tc>
                        <w:tc>
                          <w:tcPr>
                            <w:tcW w:w="716" w:type="dxa"/>
                            <w:tcBorders>
                              <w:top w:val="single" w:sz="2" w:space="0" w:color="000000"/>
                              <w:left w:val="single" w:sz="2" w:space="0" w:color="000000"/>
                              <w:right w:val="single" w:sz="2" w:space="0" w:color="000000"/>
                            </w:tcBorders>
                          </w:tcPr>
                          <w:p>
                            <w:pPr>
                              <w:pStyle w:val="TableParagraph"/>
                              <w:spacing w:before="81"/>
                              <w:rPr>
                                <w:sz w:val="9"/>
                              </w:rPr>
                            </w:pPr>
                          </w:p>
                          <w:p>
                            <w:pPr>
                              <w:pStyle w:val="TableParagraph"/>
                              <w:ind w:right="24"/>
                              <w:jc w:val="right"/>
                              <w:rPr>
                                <w:rFonts w:ascii="Arial"/>
                                <w:sz w:val="9"/>
                              </w:rPr>
                            </w:pPr>
                            <w:r>
                              <w:rPr>
                                <w:rFonts w:ascii="Arial"/>
                                <w:w w:val="80"/>
                                <w:sz w:val="9"/>
                              </w:rPr>
                              <w:t>2</w:t>
                            </w:r>
                            <w:r>
                              <w:rPr>
                                <w:rFonts w:ascii="Arial"/>
                                <w:spacing w:val="-4"/>
                                <w:sz w:val="9"/>
                              </w:rPr>
                              <w:t> </w:t>
                            </w:r>
                            <w:r>
                              <w:rPr>
                                <w:rFonts w:ascii="Arial"/>
                                <w:w w:val="80"/>
                                <w:sz w:val="9"/>
                              </w:rPr>
                              <w:t>063</w:t>
                            </w:r>
                            <w:r>
                              <w:rPr>
                                <w:rFonts w:ascii="Arial"/>
                                <w:spacing w:val="-4"/>
                                <w:sz w:val="9"/>
                              </w:rPr>
                              <w:t> </w:t>
                            </w:r>
                            <w:r>
                              <w:rPr>
                                <w:rFonts w:ascii="Arial"/>
                                <w:spacing w:val="-2"/>
                                <w:w w:val="80"/>
                                <w:sz w:val="9"/>
                              </w:rPr>
                              <w:t>089,97</w:t>
                            </w:r>
                          </w:p>
                        </w:tc>
                        <w:tc>
                          <w:tcPr>
                            <w:tcW w:w="728" w:type="dxa"/>
                            <w:tcBorders>
                              <w:top w:val="single" w:sz="2" w:space="0" w:color="000000"/>
                              <w:left w:val="single" w:sz="2" w:space="0" w:color="000000"/>
                              <w:right w:val="single" w:sz="2" w:space="0" w:color="000000"/>
                            </w:tcBorders>
                            <w:shd w:val="clear" w:color="auto" w:fill="FFFFFF"/>
                          </w:tcPr>
                          <w:p>
                            <w:pPr>
                              <w:pStyle w:val="TableParagraph"/>
                              <w:spacing w:before="81"/>
                              <w:rPr>
                                <w:sz w:val="9"/>
                              </w:rPr>
                            </w:pPr>
                          </w:p>
                          <w:p>
                            <w:pPr>
                              <w:pStyle w:val="TableParagraph"/>
                              <w:ind w:right="3"/>
                              <w:jc w:val="right"/>
                              <w:rPr>
                                <w:rFonts w:ascii="Arial"/>
                                <w:sz w:val="9"/>
                              </w:rPr>
                            </w:pPr>
                            <w:r>
                              <w:rPr>
                                <w:rFonts w:ascii="Arial"/>
                                <w:w w:val="80"/>
                                <w:sz w:val="9"/>
                              </w:rPr>
                              <w:t>-132</w:t>
                            </w:r>
                            <w:r>
                              <w:rPr>
                                <w:rFonts w:ascii="Arial"/>
                                <w:spacing w:val="-5"/>
                                <w:sz w:val="9"/>
                              </w:rPr>
                              <w:t> </w:t>
                            </w:r>
                            <w:r>
                              <w:rPr>
                                <w:rFonts w:ascii="Arial"/>
                                <w:spacing w:val="-2"/>
                                <w:w w:val="80"/>
                                <w:sz w:val="9"/>
                              </w:rPr>
                              <w:t>721,47</w:t>
                            </w:r>
                          </w:p>
                        </w:tc>
                        <w:tc>
                          <w:tcPr>
                            <w:tcW w:w="496" w:type="dxa"/>
                            <w:tcBorders>
                              <w:top w:val="single" w:sz="2" w:space="0" w:color="000000"/>
                              <w:left w:val="single" w:sz="2" w:space="0" w:color="000000"/>
                              <w:right w:val="single" w:sz="2" w:space="0" w:color="000000"/>
                            </w:tcBorders>
                            <w:shd w:val="clear" w:color="auto" w:fill="FFFFFF"/>
                          </w:tcPr>
                          <w:p>
                            <w:pPr>
                              <w:pStyle w:val="TableParagraph"/>
                              <w:spacing w:before="81"/>
                              <w:rPr>
                                <w:sz w:val="9"/>
                              </w:rPr>
                            </w:pPr>
                          </w:p>
                          <w:p>
                            <w:pPr>
                              <w:pStyle w:val="TableParagraph"/>
                              <w:ind w:right="2"/>
                              <w:jc w:val="right"/>
                              <w:rPr>
                                <w:rFonts w:ascii="Arial"/>
                                <w:sz w:val="9"/>
                              </w:rPr>
                            </w:pPr>
                            <w:r>
                              <w:rPr>
                                <w:rFonts w:ascii="Arial"/>
                                <w:spacing w:val="-2"/>
                                <w:w w:val="80"/>
                                <w:sz w:val="9"/>
                              </w:rPr>
                              <w:t>-</w:t>
                            </w:r>
                            <w:r>
                              <w:rPr>
                                <w:rFonts w:ascii="Arial"/>
                                <w:spacing w:val="-2"/>
                                <w:w w:val="90"/>
                                <w:sz w:val="9"/>
                              </w:rPr>
                              <w:t>6,43%</w:t>
                            </w:r>
                          </w:p>
                        </w:tc>
                        <w:tc>
                          <w:tcPr>
                            <w:tcW w:w="1339" w:type="dxa"/>
                            <w:tcBorders>
                              <w:top w:val="single" w:sz="2" w:space="0" w:color="000000"/>
                              <w:left w:val="single" w:sz="2" w:space="0" w:color="000000"/>
                              <w:right w:val="single" w:sz="2" w:space="0" w:color="000000"/>
                            </w:tcBorders>
                          </w:tcPr>
                          <w:p>
                            <w:pPr>
                              <w:pStyle w:val="TableParagraph"/>
                              <w:spacing w:line="273" w:lineRule="auto" w:before="7"/>
                              <w:ind w:left="18"/>
                              <w:rPr>
                                <w:rFonts w:ascii="Arial" w:hAnsi="Arial"/>
                                <w:sz w:val="9"/>
                              </w:rPr>
                            </w:pPr>
                            <w:r>
                              <w:rPr>
                                <w:rFonts w:ascii="Arial" w:hAnsi="Arial"/>
                                <w:spacing w:val="-2"/>
                                <w:w w:val="85"/>
                                <w:sz w:val="9"/>
                              </w:rPr>
                              <w:t>Variación</w:t>
                            </w:r>
                            <w:r>
                              <w:rPr>
                                <w:rFonts w:ascii="Arial" w:hAnsi="Arial"/>
                                <w:spacing w:val="-1"/>
                                <w:sz w:val="9"/>
                              </w:rPr>
                              <w:t> </w:t>
                            </w:r>
                            <w:r>
                              <w:rPr>
                                <w:rFonts w:ascii="Arial" w:hAnsi="Arial"/>
                                <w:spacing w:val="-2"/>
                                <w:w w:val="85"/>
                                <w:sz w:val="9"/>
                              </w:rPr>
                              <w:t>negativa en</w:t>
                            </w:r>
                            <w:r>
                              <w:rPr>
                                <w:rFonts w:ascii="Arial" w:hAnsi="Arial"/>
                                <w:spacing w:val="-1"/>
                                <w:sz w:val="9"/>
                              </w:rPr>
                              <w:t> </w:t>
                            </w:r>
                            <w:r>
                              <w:rPr>
                                <w:rFonts w:ascii="Arial" w:hAnsi="Arial"/>
                                <w:spacing w:val="-2"/>
                                <w:w w:val="85"/>
                                <w:sz w:val="9"/>
                              </w:rPr>
                              <w:t>los saldos de las</w:t>
                            </w:r>
                            <w:r>
                              <w:rPr>
                                <w:rFonts w:ascii="Arial" w:hAnsi="Arial"/>
                                <w:spacing w:val="40"/>
                                <w:sz w:val="9"/>
                              </w:rPr>
                              <w:t> </w:t>
                            </w:r>
                            <w:r>
                              <w:rPr>
                                <w:rFonts w:ascii="Arial" w:hAnsi="Arial"/>
                                <w:w w:val="85"/>
                                <w:sz w:val="9"/>
                              </w:rPr>
                              <w:t>cuenta</w:t>
                            </w:r>
                            <w:r>
                              <w:rPr>
                                <w:rFonts w:ascii="Arial" w:hAnsi="Arial"/>
                                <w:spacing w:val="-5"/>
                                <w:w w:val="85"/>
                                <w:sz w:val="9"/>
                              </w:rPr>
                              <w:t> </w:t>
                            </w:r>
                            <w:r>
                              <w:rPr>
                                <w:rFonts w:ascii="Arial" w:hAnsi="Arial"/>
                                <w:w w:val="85"/>
                                <w:sz w:val="9"/>
                              </w:rPr>
                              <w:t>por</w:t>
                            </w:r>
                            <w:r>
                              <w:rPr>
                                <w:rFonts w:ascii="Arial" w:hAnsi="Arial"/>
                                <w:spacing w:val="-2"/>
                                <w:w w:val="85"/>
                                <w:sz w:val="9"/>
                              </w:rPr>
                              <w:t> </w:t>
                            </w:r>
                            <w:r>
                              <w:rPr>
                                <w:rFonts w:ascii="Arial" w:hAnsi="Arial"/>
                                <w:w w:val="85"/>
                                <w:sz w:val="9"/>
                              </w:rPr>
                              <w:t>cobrar</w:t>
                            </w:r>
                            <w:r>
                              <w:rPr>
                                <w:rFonts w:ascii="Arial" w:hAnsi="Arial"/>
                                <w:spacing w:val="-3"/>
                                <w:w w:val="85"/>
                                <w:sz w:val="9"/>
                              </w:rPr>
                              <w:t> </w:t>
                            </w:r>
                            <w:r>
                              <w:rPr>
                                <w:rFonts w:ascii="Arial" w:hAnsi="Arial"/>
                                <w:w w:val="85"/>
                                <w:sz w:val="9"/>
                              </w:rPr>
                              <w:t>y</w:t>
                            </w:r>
                            <w:r>
                              <w:rPr>
                                <w:rFonts w:ascii="Arial" w:hAnsi="Arial"/>
                                <w:spacing w:val="-2"/>
                                <w:w w:val="85"/>
                                <w:sz w:val="9"/>
                              </w:rPr>
                              <w:t> </w:t>
                            </w:r>
                            <w:r>
                              <w:rPr>
                                <w:rFonts w:ascii="Arial" w:hAnsi="Arial"/>
                                <w:w w:val="85"/>
                                <w:sz w:val="9"/>
                              </w:rPr>
                              <w:t>en</w:t>
                            </w:r>
                            <w:r>
                              <w:rPr>
                                <w:rFonts w:ascii="Arial" w:hAnsi="Arial"/>
                                <w:spacing w:val="-3"/>
                                <w:w w:val="85"/>
                                <w:sz w:val="9"/>
                              </w:rPr>
                              <w:t> </w:t>
                            </w:r>
                            <w:r>
                              <w:rPr>
                                <w:rFonts w:ascii="Arial" w:hAnsi="Arial"/>
                                <w:w w:val="85"/>
                                <w:sz w:val="9"/>
                              </w:rPr>
                              <w:t>los</w:t>
                            </w:r>
                            <w:r>
                              <w:rPr>
                                <w:rFonts w:ascii="Arial" w:hAnsi="Arial"/>
                                <w:spacing w:val="-2"/>
                                <w:w w:val="85"/>
                                <w:sz w:val="9"/>
                              </w:rPr>
                              <w:t> </w:t>
                            </w:r>
                            <w:r>
                              <w:rPr>
                                <w:rFonts w:ascii="Arial" w:hAnsi="Arial"/>
                                <w:w w:val="85"/>
                                <w:sz w:val="9"/>
                              </w:rPr>
                              <w:t>porcentajes</w:t>
                            </w:r>
                            <w:r>
                              <w:rPr>
                                <w:rFonts w:ascii="Arial" w:hAnsi="Arial"/>
                                <w:spacing w:val="4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2"/>
                                <w:w w:val="80"/>
                                <w:sz w:val="9"/>
                              </w:rPr>
                              <w:t> </w:t>
                            </w:r>
                            <w:r>
                              <w:rPr>
                                <w:rFonts w:ascii="Arial" w:hAnsi="Arial"/>
                                <w:w w:val="80"/>
                                <w:sz w:val="9"/>
                              </w:rPr>
                              <w:t>aplicados</w:t>
                            </w:r>
                            <w:r>
                              <w:rPr>
                                <w:rFonts w:ascii="Arial" w:hAnsi="Arial"/>
                                <w:spacing w:val="-1"/>
                                <w:w w:val="80"/>
                                <w:sz w:val="9"/>
                              </w:rPr>
                              <w:t> </w:t>
                            </w:r>
                            <w:r>
                              <w:rPr>
                                <w:rFonts w:ascii="Arial" w:hAnsi="Arial"/>
                                <w:w w:val="80"/>
                                <w:sz w:val="9"/>
                              </w:rPr>
                              <w:t>para</w:t>
                            </w:r>
                            <w:r>
                              <w:rPr>
                                <w:rFonts w:ascii="Arial" w:hAnsi="Arial"/>
                                <w:spacing w:val="-3"/>
                                <w:w w:val="80"/>
                                <w:sz w:val="9"/>
                              </w:rPr>
                              <w:t> </w:t>
                            </w:r>
                            <w:r>
                              <w:rPr>
                                <w:rFonts w:ascii="Arial" w:hAnsi="Arial"/>
                                <w:w w:val="80"/>
                                <w:sz w:val="9"/>
                              </w:rPr>
                              <w:t>realizar</w:t>
                            </w:r>
                          </w:p>
                          <w:p>
                            <w:pPr>
                              <w:pStyle w:val="TableParagraph"/>
                              <w:spacing w:line="83" w:lineRule="exact"/>
                              <w:ind w:left="18"/>
                              <w:rPr>
                                <w:rFonts w:ascii="Arial" w:hAnsi="Arial"/>
                                <w:sz w:val="9"/>
                              </w:rPr>
                            </w:pP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5"/>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463" w:hRule="atLeast"/>
                        </w:trPr>
                        <w:tc>
                          <w:tcPr>
                            <w:tcW w:w="493" w:type="dxa"/>
                            <w:tcBorders>
                              <w:left w:val="single" w:sz="2" w:space="0" w:color="000000"/>
                              <w:right w:val="single" w:sz="2" w:space="0" w:color="000000"/>
                            </w:tcBorders>
                          </w:tcPr>
                          <w:p>
                            <w:pPr>
                              <w:pStyle w:val="TableParagraph"/>
                              <w:spacing w:before="79"/>
                              <w:rPr>
                                <w:sz w:val="9"/>
                              </w:rPr>
                            </w:pPr>
                          </w:p>
                          <w:p>
                            <w:pPr>
                              <w:pStyle w:val="TableParagraph"/>
                              <w:spacing w:before="1"/>
                              <w:ind w:right="7"/>
                              <w:jc w:val="right"/>
                              <w:rPr>
                                <w:rFonts w:ascii="Arial"/>
                                <w:sz w:val="9"/>
                              </w:rPr>
                            </w:pPr>
                            <w:r>
                              <w:rPr>
                                <w:rFonts w:ascii="Arial"/>
                                <w:spacing w:val="-2"/>
                                <w:w w:val="90"/>
                                <w:sz w:val="9"/>
                              </w:rPr>
                              <w:t>1.1.3.99</w:t>
                            </w:r>
                          </w:p>
                        </w:tc>
                        <w:tc>
                          <w:tcPr>
                            <w:tcW w:w="1693" w:type="dxa"/>
                            <w:tcBorders>
                              <w:left w:val="single" w:sz="2" w:space="0" w:color="000000"/>
                              <w:right w:val="single" w:sz="2" w:space="0" w:color="000000"/>
                            </w:tcBorders>
                          </w:tcPr>
                          <w:p>
                            <w:pPr>
                              <w:pStyle w:val="TableParagraph"/>
                              <w:spacing w:before="79"/>
                              <w:rPr>
                                <w:sz w:val="9"/>
                              </w:rPr>
                            </w:pPr>
                          </w:p>
                          <w:p>
                            <w:pPr>
                              <w:pStyle w:val="TableParagraph"/>
                              <w:spacing w:before="1"/>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DOC.</w:t>
                            </w:r>
                            <w:r>
                              <w:rPr>
                                <w:rFonts w:ascii="Arial"/>
                                <w:spacing w:val="1"/>
                                <w:sz w:val="9"/>
                              </w:rPr>
                              <w:t> </w:t>
                            </w:r>
                            <w:r>
                              <w:rPr>
                                <w:rFonts w:ascii="Arial"/>
                                <w:spacing w:val="-2"/>
                                <w:w w:val="80"/>
                                <w:sz w:val="9"/>
                              </w:rPr>
                              <w:t>BIENES</w:t>
                            </w:r>
                            <w:r>
                              <w:rPr>
                                <w:rFonts w:ascii="Arial"/>
                                <w:spacing w:val="3"/>
                                <w:sz w:val="9"/>
                              </w:rPr>
                              <w:t> </w:t>
                            </w:r>
                            <w:r>
                              <w:rPr>
                                <w:rFonts w:ascii="Arial"/>
                                <w:spacing w:val="-2"/>
                                <w:w w:val="80"/>
                                <w:sz w:val="9"/>
                              </w:rPr>
                              <w:t>Y</w:t>
                            </w:r>
                            <w:r>
                              <w:rPr>
                                <w:rFonts w:ascii="Arial"/>
                                <w:spacing w:val="-1"/>
                                <w:sz w:val="9"/>
                              </w:rPr>
                              <w:t> </w:t>
                            </w:r>
                            <w:r>
                              <w:rPr>
                                <w:rFonts w:ascii="Arial"/>
                                <w:spacing w:val="-2"/>
                                <w:w w:val="80"/>
                                <w:sz w:val="9"/>
                              </w:rPr>
                              <w:t>SERVICIOS</w:t>
                            </w:r>
                            <w:r>
                              <w:rPr>
                                <w:rFonts w:ascii="Arial"/>
                                <w:spacing w:val="2"/>
                                <w:sz w:val="9"/>
                              </w:rPr>
                              <w:t> </w:t>
                            </w:r>
                            <w:r>
                              <w:rPr>
                                <w:rFonts w:ascii="Arial"/>
                                <w:spacing w:val="-4"/>
                                <w:w w:val="80"/>
                                <w:sz w:val="9"/>
                              </w:rPr>
                              <w:t>C.P.</w:t>
                            </w:r>
                          </w:p>
                        </w:tc>
                        <w:tc>
                          <w:tcPr>
                            <w:tcW w:w="704" w:type="dxa"/>
                            <w:tcBorders>
                              <w:left w:val="single" w:sz="2" w:space="0" w:color="000000"/>
                              <w:right w:val="single" w:sz="2" w:space="0" w:color="000000"/>
                            </w:tcBorders>
                          </w:tcPr>
                          <w:p>
                            <w:pPr>
                              <w:pStyle w:val="TableParagraph"/>
                              <w:spacing w:before="79"/>
                              <w:rPr>
                                <w:sz w:val="9"/>
                              </w:rPr>
                            </w:pPr>
                          </w:p>
                          <w:p>
                            <w:pPr>
                              <w:pStyle w:val="TableParagraph"/>
                              <w:spacing w:before="1"/>
                              <w:ind w:left="13" w:right="-15"/>
                              <w:rPr>
                                <w:rFonts w:ascii="Arial"/>
                                <w:sz w:val="9"/>
                              </w:rPr>
                            </w:pPr>
                            <w:r>
                              <w:rPr>
                                <w:rFonts w:ascii="Arial"/>
                                <w:spacing w:val="-2"/>
                                <w:w w:val="80"/>
                                <w:sz w:val="9"/>
                              </w:rPr>
                              <w:t>BENEFICIARIOS</w:t>
                            </w:r>
                            <w:r>
                              <w:rPr>
                                <w:rFonts w:ascii="Arial"/>
                                <w:spacing w:val="7"/>
                                <w:sz w:val="9"/>
                              </w:rPr>
                              <w:t> </w:t>
                            </w:r>
                            <w:r>
                              <w:rPr>
                                <w:rFonts w:ascii="Arial"/>
                                <w:spacing w:val="-5"/>
                                <w:w w:val="90"/>
                                <w:sz w:val="9"/>
                              </w:rPr>
                              <w:t>C.P</w:t>
                            </w:r>
                          </w:p>
                        </w:tc>
                        <w:tc>
                          <w:tcPr>
                            <w:tcW w:w="797" w:type="dxa"/>
                            <w:tcBorders>
                              <w:left w:val="single" w:sz="2" w:space="0" w:color="000000"/>
                              <w:right w:val="single" w:sz="2" w:space="0" w:color="000000"/>
                            </w:tcBorders>
                          </w:tcPr>
                          <w:p>
                            <w:pPr>
                              <w:pStyle w:val="TableParagraph"/>
                              <w:spacing w:before="79"/>
                              <w:rPr>
                                <w:sz w:val="9"/>
                              </w:rPr>
                            </w:pPr>
                          </w:p>
                          <w:p>
                            <w:pPr>
                              <w:pStyle w:val="TableParagraph"/>
                              <w:spacing w:before="1"/>
                              <w:ind w:right="25"/>
                              <w:jc w:val="right"/>
                              <w:rPr>
                                <w:rFonts w:ascii="Arial"/>
                                <w:sz w:val="9"/>
                              </w:rPr>
                            </w:pPr>
                            <w:r>
                              <w:rPr>
                                <w:rFonts w:ascii="Arial"/>
                                <w:w w:val="80"/>
                                <w:sz w:val="9"/>
                              </w:rPr>
                              <w:t>36</w:t>
                            </w:r>
                            <w:r>
                              <w:rPr>
                                <w:rFonts w:ascii="Arial"/>
                                <w:spacing w:val="-2"/>
                                <w:w w:val="90"/>
                                <w:sz w:val="9"/>
                              </w:rPr>
                              <w:t> 300,37</w:t>
                            </w:r>
                          </w:p>
                        </w:tc>
                        <w:tc>
                          <w:tcPr>
                            <w:tcW w:w="716" w:type="dxa"/>
                            <w:tcBorders>
                              <w:left w:val="single" w:sz="2" w:space="0" w:color="000000"/>
                              <w:right w:val="single" w:sz="2" w:space="0" w:color="000000"/>
                            </w:tcBorders>
                          </w:tcPr>
                          <w:p>
                            <w:pPr>
                              <w:pStyle w:val="TableParagraph"/>
                              <w:spacing w:before="79"/>
                              <w:rPr>
                                <w:sz w:val="9"/>
                              </w:rPr>
                            </w:pPr>
                          </w:p>
                          <w:p>
                            <w:pPr>
                              <w:pStyle w:val="TableParagraph"/>
                              <w:spacing w:before="1"/>
                              <w:ind w:right="24"/>
                              <w:jc w:val="right"/>
                              <w:rPr>
                                <w:rFonts w:ascii="Arial"/>
                                <w:sz w:val="9"/>
                              </w:rPr>
                            </w:pPr>
                            <w:r>
                              <w:rPr>
                                <w:rFonts w:ascii="Arial"/>
                                <w:w w:val="80"/>
                                <w:sz w:val="9"/>
                              </w:rPr>
                              <w:t>36</w:t>
                            </w:r>
                            <w:r>
                              <w:rPr>
                                <w:rFonts w:ascii="Arial"/>
                                <w:spacing w:val="-2"/>
                                <w:w w:val="90"/>
                                <w:sz w:val="9"/>
                              </w:rPr>
                              <w:t> 572,03</w:t>
                            </w:r>
                          </w:p>
                        </w:tc>
                        <w:tc>
                          <w:tcPr>
                            <w:tcW w:w="728" w:type="dxa"/>
                            <w:tcBorders>
                              <w:left w:val="single" w:sz="2" w:space="0" w:color="000000"/>
                              <w:right w:val="single" w:sz="2" w:space="0" w:color="000000"/>
                            </w:tcBorders>
                            <w:shd w:val="clear" w:color="auto" w:fill="FFFFFF"/>
                          </w:tcPr>
                          <w:p>
                            <w:pPr>
                              <w:pStyle w:val="TableParagraph"/>
                              <w:spacing w:before="79"/>
                              <w:rPr>
                                <w:sz w:val="9"/>
                              </w:rPr>
                            </w:pPr>
                          </w:p>
                          <w:p>
                            <w:pPr>
                              <w:pStyle w:val="TableParagraph"/>
                              <w:spacing w:before="1"/>
                              <w:ind w:right="3"/>
                              <w:jc w:val="right"/>
                              <w:rPr>
                                <w:rFonts w:ascii="Arial"/>
                                <w:sz w:val="9"/>
                              </w:rPr>
                            </w:pPr>
                            <w:r>
                              <w:rPr>
                                <w:rFonts w:ascii="Arial"/>
                                <w:spacing w:val="-2"/>
                                <w:w w:val="80"/>
                                <w:sz w:val="9"/>
                              </w:rPr>
                              <w:t>-</w:t>
                            </w:r>
                            <w:r>
                              <w:rPr>
                                <w:rFonts w:ascii="Arial"/>
                                <w:spacing w:val="-2"/>
                                <w:w w:val="90"/>
                                <w:sz w:val="9"/>
                              </w:rPr>
                              <w:t>271,66</w:t>
                            </w:r>
                          </w:p>
                        </w:tc>
                        <w:tc>
                          <w:tcPr>
                            <w:tcW w:w="496" w:type="dxa"/>
                            <w:tcBorders>
                              <w:left w:val="single" w:sz="2" w:space="0" w:color="000000"/>
                              <w:right w:val="single" w:sz="2" w:space="0" w:color="000000"/>
                            </w:tcBorders>
                            <w:shd w:val="clear" w:color="auto" w:fill="FFFFFF"/>
                          </w:tcPr>
                          <w:p>
                            <w:pPr>
                              <w:pStyle w:val="TableParagraph"/>
                              <w:spacing w:before="79"/>
                              <w:rPr>
                                <w:sz w:val="9"/>
                              </w:rPr>
                            </w:pPr>
                          </w:p>
                          <w:p>
                            <w:pPr>
                              <w:pStyle w:val="TableParagraph"/>
                              <w:spacing w:before="1"/>
                              <w:ind w:right="2"/>
                              <w:jc w:val="right"/>
                              <w:rPr>
                                <w:rFonts w:ascii="Arial"/>
                                <w:sz w:val="9"/>
                              </w:rPr>
                            </w:pPr>
                            <w:r>
                              <w:rPr>
                                <w:rFonts w:ascii="Arial"/>
                                <w:spacing w:val="-2"/>
                                <w:w w:val="80"/>
                                <w:sz w:val="9"/>
                              </w:rPr>
                              <w:t>-</w:t>
                            </w:r>
                            <w:r>
                              <w:rPr>
                                <w:rFonts w:ascii="Arial"/>
                                <w:spacing w:val="-2"/>
                                <w:w w:val="90"/>
                                <w:sz w:val="9"/>
                              </w:rPr>
                              <w:t>0,74%</w:t>
                            </w:r>
                          </w:p>
                        </w:tc>
                        <w:tc>
                          <w:tcPr>
                            <w:tcW w:w="1339" w:type="dxa"/>
                            <w:tcBorders>
                              <w:left w:val="single" w:sz="2" w:space="0" w:color="000000"/>
                              <w:right w:val="single" w:sz="2" w:space="0" w:color="000000"/>
                            </w:tcBorders>
                          </w:tcPr>
                          <w:p>
                            <w:pPr>
                              <w:pStyle w:val="TableParagraph"/>
                              <w:spacing w:line="273" w:lineRule="auto" w:before="6"/>
                              <w:ind w:left="18"/>
                              <w:rPr>
                                <w:rFonts w:ascii="Arial" w:hAnsi="Arial"/>
                                <w:sz w:val="9"/>
                              </w:rPr>
                            </w:pPr>
                            <w:r>
                              <w:rPr>
                                <w:rFonts w:ascii="Arial" w:hAnsi="Arial"/>
                                <w:w w:val="80"/>
                                <w:sz w:val="9"/>
                              </w:rPr>
                              <w:t>Variación</w:t>
                            </w:r>
                            <w:r>
                              <w:rPr>
                                <w:rFonts w:ascii="Arial" w:hAnsi="Arial"/>
                                <w:spacing w:val="-2"/>
                                <w:w w:val="80"/>
                                <w:sz w:val="9"/>
                              </w:rPr>
                              <w:t> </w:t>
                            </w:r>
                            <w:r>
                              <w:rPr>
                                <w:rFonts w:ascii="Arial" w:hAnsi="Arial"/>
                                <w:w w:val="80"/>
                                <w:sz w:val="9"/>
                              </w:rPr>
                              <w:t>por</w:t>
                            </w:r>
                            <w:r>
                              <w:rPr>
                                <w:rFonts w:ascii="Arial" w:hAnsi="Arial"/>
                                <w:spacing w:val="-1"/>
                                <w:w w:val="80"/>
                                <w:sz w:val="9"/>
                              </w:rPr>
                              <w:t> </w:t>
                            </w:r>
                            <w:r>
                              <w:rPr>
                                <w:rFonts w:ascii="Arial" w:hAnsi="Arial"/>
                                <w:w w:val="80"/>
                                <w:sz w:val="9"/>
                              </w:rPr>
                              <w:t>disminución</w:t>
                            </w:r>
                            <w:r>
                              <w:rPr>
                                <w:rFonts w:ascii="Arial" w:hAnsi="Arial"/>
                                <w:spacing w:val="-1"/>
                                <w:w w:val="80"/>
                                <w:sz w:val="9"/>
                              </w:rPr>
                              <w:t> </w:t>
                            </w:r>
                            <w:r>
                              <w:rPr>
                                <w:rFonts w:ascii="Arial" w:hAnsi="Arial"/>
                                <w:w w:val="80"/>
                                <w:sz w:val="9"/>
                              </w:rPr>
                              <w:t>en</w:t>
                            </w:r>
                            <w:r>
                              <w:rPr>
                                <w:rFonts w:ascii="Arial" w:hAnsi="Arial"/>
                                <w:spacing w:val="-1"/>
                                <w:w w:val="80"/>
                                <w:sz w:val="9"/>
                              </w:rPr>
                              <w:t> </w:t>
                            </w:r>
                            <w:r>
                              <w:rPr>
                                <w:rFonts w:ascii="Arial" w:hAnsi="Arial"/>
                                <w:w w:val="80"/>
                                <w:sz w:val="9"/>
                              </w:rPr>
                              <w:t>los</w:t>
                            </w:r>
                            <w:r>
                              <w:rPr>
                                <w:rFonts w:ascii="Arial" w:hAnsi="Arial"/>
                                <w:spacing w:val="-2"/>
                                <w:w w:val="80"/>
                                <w:sz w:val="9"/>
                              </w:rPr>
                              <w:t> </w:t>
                            </w:r>
                            <w:r>
                              <w:rPr>
                                <w:rFonts w:ascii="Arial" w:hAnsi="Arial"/>
                                <w:w w:val="80"/>
                                <w:sz w:val="9"/>
                              </w:rPr>
                              <w:t>saldos</w:t>
                            </w:r>
                            <w:r>
                              <w:rPr>
                                <w:rFonts w:ascii="Arial" w:hAnsi="Arial"/>
                                <w:spacing w:val="40"/>
                                <w:sz w:val="9"/>
                              </w:rPr>
                              <w:t> </w:t>
                            </w:r>
                            <w:r>
                              <w:rPr>
                                <w:rFonts w:ascii="Arial" w:hAnsi="Arial"/>
                                <w:spacing w:val="-2"/>
                                <w:w w:val="90"/>
                                <w:sz w:val="9"/>
                              </w:rPr>
                              <w:t>de</w:t>
                            </w:r>
                            <w:r>
                              <w:rPr>
                                <w:rFonts w:ascii="Arial" w:hAnsi="Arial"/>
                                <w:spacing w:val="-6"/>
                                <w:w w:val="90"/>
                                <w:sz w:val="9"/>
                              </w:rPr>
                              <w:t> </w:t>
                            </w:r>
                            <w:r>
                              <w:rPr>
                                <w:rFonts w:ascii="Arial" w:hAnsi="Arial"/>
                                <w:spacing w:val="-2"/>
                                <w:w w:val="90"/>
                                <w:sz w:val="9"/>
                              </w:rPr>
                              <w:t>las</w:t>
                            </w:r>
                            <w:r>
                              <w:rPr>
                                <w:rFonts w:ascii="Arial" w:hAnsi="Arial"/>
                                <w:spacing w:val="-3"/>
                                <w:w w:val="90"/>
                                <w:sz w:val="9"/>
                              </w:rPr>
                              <w:t> </w:t>
                            </w:r>
                            <w:r>
                              <w:rPr>
                                <w:rFonts w:ascii="Arial" w:hAnsi="Arial"/>
                                <w:spacing w:val="-2"/>
                                <w:w w:val="90"/>
                                <w:sz w:val="9"/>
                              </w:rPr>
                              <w:t>cuenta</w:t>
                            </w:r>
                            <w:r>
                              <w:rPr>
                                <w:rFonts w:ascii="Arial" w:hAnsi="Arial"/>
                                <w:spacing w:val="-6"/>
                                <w:w w:val="90"/>
                                <w:sz w:val="9"/>
                              </w:rPr>
                              <w:t> </w:t>
                            </w:r>
                            <w:r>
                              <w:rPr>
                                <w:rFonts w:ascii="Arial" w:hAnsi="Arial"/>
                                <w:spacing w:val="-2"/>
                                <w:w w:val="90"/>
                                <w:sz w:val="9"/>
                              </w:rPr>
                              <w:t>por</w:t>
                            </w:r>
                            <w:r>
                              <w:rPr>
                                <w:rFonts w:ascii="Arial" w:hAnsi="Arial"/>
                                <w:spacing w:val="-3"/>
                                <w:w w:val="90"/>
                                <w:sz w:val="9"/>
                              </w:rPr>
                              <w:t> </w:t>
                            </w:r>
                            <w:r>
                              <w:rPr>
                                <w:rFonts w:ascii="Arial" w:hAnsi="Arial"/>
                                <w:spacing w:val="-2"/>
                                <w:w w:val="90"/>
                                <w:sz w:val="9"/>
                              </w:rPr>
                              <w:t>cobrar</w:t>
                            </w:r>
                            <w:r>
                              <w:rPr>
                                <w:rFonts w:ascii="Arial" w:hAnsi="Arial"/>
                                <w:spacing w:val="-4"/>
                                <w:w w:val="90"/>
                                <w:sz w:val="9"/>
                              </w:rPr>
                              <w:t> </w:t>
                            </w:r>
                            <w:r>
                              <w:rPr>
                                <w:rFonts w:ascii="Arial" w:hAnsi="Arial"/>
                                <w:spacing w:val="-2"/>
                                <w:w w:val="90"/>
                                <w:sz w:val="9"/>
                              </w:rPr>
                              <w:t>y</w:t>
                            </w:r>
                            <w:r>
                              <w:rPr>
                                <w:rFonts w:ascii="Arial" w:hAnsi="Arial"/>
                                <w:spacing w:val="-3"/>
                                <w:w w:val="90"/>
                                <w:sz w:val="9"/>
                              </w:rPr>
                              <w:t> </w:t>
                            </w:r>
                            <w:r>
                              <w:rPr>
                                <w:rFonts w:ascii="Arial" w:hAnsi="Arial"/>
                                <w:spacing w:val="-2"/>
                                <w:w w:val="90"/>
                                <w:sz w:val="9"/>
                              </w:rPr>
                              <w:t>en</w:t>
                            </w:r>
                            <w:r>
                              <w:rPr>
                                <w:rFonts w:ascii="Arial" w:hAnsi="Arial"/>
                                <w:spacing w:val="-3"/>
                                <w:w w:val="90"/>
                                <w:sz w:val="9"/>
                              </w:rPr>
                              <w:t> </w:t>
                            </w:r>
                            <w:r>
                              <w:rPr>
                                <w:rFonts w:ascii="Arial" w:hAnsi="Arial"/>
                                <w:spacing w:val="-2"/>
                                <w:w w:val="90"/>
                                <w:sz w:val="9"/>
                              </w:rPr>
                              <w:t>los</w:t>
                            </w:r>
                            <w:r>
                              <w:rPr>
                                <w:rFonts w:ascii="Arial" w:hAnsi="Arial"/>
                                <w:spacing w:val="40"/>
                                <w:sz w:val="9"/>
                              </w:rPr>
                              <w:t> </w:t>
                            </w:r>
                            <w:r>
                              <w:rPr>
                                <w:rFonts w:ascii="Arial" w:hAnsi="Arial"/>
                                <w:w w:val="80"/>
                                <w:sz w:val="9"/>
                              </w:rPr>
                              <w:t>porcentajes</w:t>
                            </w:r>
                            <w:r>
                              <w:rPr>
                                <w:rFonts w:ascii="Arial" w:hAnsi="Arial"/>
                                <w:spacing w:val="-2"/>
                                <w:w w:val="80"/>
                                <w:sz w:val="9"/>
                              </w:rPr>
                              <w:t> </w:t>
                            </w:r>
                            <w:r>
                              <w:rPr>
                                <w:rFonts w:ascii="Arial" w:hAnsi="Arial"/>
                                <w:w w:val="80"/>
                                <w:sz w:val="9"/>
                              </w:rPr>
                              <w:t>de</w:t>
                            </w:r>
                            <w:r>
                              <w:rPr>
                                <w:rFonts w:ascii="Arial" w:hAnsi="Arial"/>
                                <w:spacing w:val="-3"/>
                                <w:w w:val="80"/>
                                <w:sz w:val="9"/>
                              </w:rPr>
                              <w:t> </w:t>
                            </w:r>
                            <w:r>
                              <w:rPr>
                                <w:rFonts w:ascii="Arial" w:hAnsi="Arial"/>
                                <w:w w:val="80"/>
                                <w:sz w:val="9"/>
                              </w:rPr>
                              <w:t>incobrabilidad</w:t>
                            </w:r>
                            <w:r>
                              <w:rPr>
                                <w:rFonts w:ascii="Arial" w:hAnsi="Arial"/>
                                <w:spacing w:val="-1"/>
                                <w:w w:val="80"/>
                                <w:sz w:val="9"/>
                              </w:rPr>
                              <w:t> </w:t>
                            </w:r>
                            <w:r>
                              <w:rPr>
                                <w:rFonts w:ascii="Arial" w:hAnsi="Arial"/>
                                <w:w w:val="80"/>
                                <w:sz w:val="9"/>
                              </w:rPr>
                              <w:t>aplicados</w:t>
                            </w:r>
                          </w:p>
                          <w:p>
                            <w:pPr>
                              <w:pStyle w:val="TableParagraph"/>
                              <w:spacing w:line="83" w:lineRule="exact"/>
                              <w:ind w:left="18"/>
                              <w:rPr>
                                <w:rFonts w:ascii="Arial" w:hAnsi="Arial"/>
                                <w:sz w:val="9"/>
                              </w:rPr>
                            </w:pPr>
                            <w:r>
                              <w:rPr>
                                <w:rFonts w:ascii="Arial" w:hAnsi="Arial"/>
                                <w:w w:val="80"/>
                                <w:sz w:val="9"/>
                              </w:rPr>
                              <w:t>para</w:t>
                            </w:r>
                            <w:r>
                              <w:rPr>
                                <w:rFonts w:ascii="Arial" w:hAnsi="Arial"/>
                                <w:spacing w:val="-3"/>
                                <w:w w:val="80"/>
                                <w:sz w:val="9"/>
                              </w:rPr>
                              <w:t> </w:t>
                            </w:r>
                            <w:r>
                              <w:rPr>
                                <w:rFonts w:ascii="Arial" w:hAnsi="Arial"/>
                                <w:w w:val="80"/>
                                <w:sz w:val="9"/>
                              </w:rPr>
                              <w:t>realizar</w:t>
                            </w:r>
                            <w:r>
                              <w:rPr>
                                <w:rFonts w:ascii="Arial" w:hAnsi="Arial"/>
                                <w:spacing w:val="-2"/>
                                <w:w w:val="80"/>
                                <w:sz w:val="9"/>
                              </w:rPr>
                              <w:t> </w:t>
                            </w: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1"/>
                                <w:w w:val="80"/>
                                <w:sz w:val="9"/>
                              </w:rPr>
                              <w:t> </w:t>
                            </w:r>
                            <w:r>
                              <w:rPr>
                                <w:rFonts w:ascii="Arial" w:hAnsi="Arial"/>
                                <w:w w:val="80"/>
                                <w:sz w:val="9"/>
                              </w:rPr>
                              <w:t>a</w:t>
                            </w:r>
                            <w:r>
                              <w:rPr>
                                <w:rFonts w:ascii="Arial" w:hAnsi="Arial"/>
                                <w:spacing w:val="9"/>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580" w:hRule="atLeast"/>
                        </w:trPr>
                        <w:tc>
                          <w:tcPr>
                            <w:tcW w:w="493"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7"/>
                              <w:jc w:val="right"/>
                              <w:rPr>
                                <w:rFonts w:ascii="Arial"/>
                                <w:sz w:val="9"/>
                              </w:rPr>
                            </w:pPr>
                            <w:r>
                              <w:rPr>
                                <w:rFonts w:ascii="Arial"/>
                                <w:spacing w:val="-2"/>
                                <w:w w:val="90"/>
                                <w:sz w:val="9"/>
                              </w:rPr>
                              <w:t>1.1.3.99</w:t>
                            </w:r>
                          </w:p>
                        </w:tc>
                        <w:tc>
                          <w:tcPr>
                            <w:tcW w:w="1693"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DOC.</w:t>
                            </w:r>
                            <w:r>
                              <w:rPr>
                                <w:rFonts w:ascii="Arial"/>
                                <w:spacing w:val="1"/>
                                <w:sz w:val="9"/>
                              </w:rPr>
                              <w:t> </w:t>
                            </w:r>
                            <w:r>
                              <w:rPr>
                                <w:rFonts w:ascii="Arial"/>
                                <w:spacing w:val="-2"/>
                                <w:w w:val="80"/>
                                <w:sz w:val="9"/>
                              </w:rPr>
                              <w:t>A</w:t>
                            </w:r>
                            <w:r>
                              <w:rPr>
                                <w:rFonts w:ascii="Arial"/>
                                <w:spacing w:val="-1"/>
                                <w:sz w:val="9"/>
                              </w:rPr>
                              <w:t> </w:t>
                            </w:r>
                            <w:r>
                              <w:rPr>
                                <w:rFonts w:ascii="Arial"/>
                                <w:spacing w:val="-2"/>
                                <w:w w:val="80"/>
                                <w:sz w:val="9"/>
                              </w:rPr>
                              <w:t>COBRAR</w:t>
                            </w:r>
                            <w:r>
                              <w:rPr>
                                <w:rFonts w:ascii="Arial"/>
                                <w:spacing w:val="4"/>
                                <w:sz w:val="9"/>
                              </w:rPr>
                              <w:t> </w:t>
                            </w:r>
                            <w:r>
                              <w:rPr>
                                <w:rFonts w:ascii="Arial"/>
                                <w:spacing w:val="-2"/>
                                <w:w w:val="80"/>
                                <w:sz w:val="9"/>
                              </w:rPr>
                              <w:t>FRACC.PAGO</w:t>
                            </w:r>
                          </w:p>
                        </w:tc>
                        <w:tc>
                          <w:tcPr>
                            <w:tcW w:w="704"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left="13"/>
                              <w:rPr>
                                <w:rFonts w:ascii="Arial"/>
                                <w:sz w:val="9"/>
                              </w:rPr>
                            </w:pPr>
                            <w:r>
                              <w:rPr>
                                <w:rFonts w:ascii="Arial"/>
                                <w:spacing w:val="-2"/>
                                <w:w w:val="90"/>
                                <w:sz w:val="9"/>
                              </w:rPr>
                              <w:t>EMPLEADOS</w:t>
                            </w:r>
                          </w:p>
                        </w:tc>
                        <w:tc>
                          <w:tcPr>
                            <w:tcW w:w="797"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25"/>
                              <w:jc w:val="right"/>
                              <w:rPr>
                                <w:rFonts w:ascii="Arial"/>
                                <w:sz w:val="9"/>
                              </w:rPr>
                            </w:pPr>
                            <w:r>
                              <w:rPr>
                                <w:rFonts w:ascii="Arial"/>
                                <w:w w:val="80"/>
                                <w:sz w:val="9"/>
                              </w:rPr>
                              <w:t>10</w:t>
                            </w:r>
                            <w:r>
                              <w:rPr>
                                <w:rFonts w:ascii="Arial"/>
                                <w:spacing w:val="-2"/>
                                <w:w w:val="90"/>
                                <w:sz w:val="9"/>
                              </w:rPr>
                              <w:t> 903,51</w:t>
                            </w:r>
                          </w:p>
                        </w:tc>
                        <w:tc>
                          <w:tcPr>
                            <w:tcW w:w="716" w:type="dxa"/>
                            <w:tcBorders>
                              <w:left w:val="single" w:sz="2" w:space="0" w:color="000000"/>
                              <w:right w:val="single" w:sz="2" w:space="0" w:color="000000"/>
                            </w:tcBorders>
                          </w:tcPr>
                          <w:p>
                            <w:pPr>
                              <w:pStyle w:val="TableParagraph"/>
                              <w:rPr>
                                <w:sz w:val="9"/>
                              </w:rPr>
                            </w:pPr>
                          </w:p>
                          <w:p>
                            <w:pPr>
                              <w:pStyle w:val="TableParagraph"/>
                              <w:spacing w:before="36"/>
                              <w:rPr>
                                <w:sz w:val="9"/>
                              </w:rPr>
                            </w:pPr>
                          </w:p>
                          <w:p>
                            <w:pPr>
                              <w:pStyle w:val="TableParagraph"/>
                              <w:ind w:right="24"/>
                              <w:jc w:val="right"/>
                              <w:rPr>
                                <w:rFonts w:ascii="Arial"/>
                                <w:sz w:val="9"/>
                              </w:rPr>
                            </w:pPr>
                            <w:r>
                              <w:rPr>
                                <w:rFonts w:ascii="Arial"/>
                                <w:w w:val="80"/>
                                <w:sz w:val="9"/>
                              </w:rPr>
                              <w:t>12</w:t>
                            </w:r>
                            <w:r>
                              <w:rPr>
                                <w:rFonts w:ascii="Arial"/>
                                <w:spacing w:val="-2"/>
                                <w:w w:val="90"/>
                                <w:sz w:val="9"/>
                              </w:rPr>
                              <w:t> 255,49</w:t>
                            </w:r>
                          </w:p>
                        </w:tc>
                        <w:tc>
                          <w:tcPr>
                            <w:tcW w:w="728" w:type="dxa"/>
                            <w:tcBorders>
                              <w:left w:val="single" w:sz="2" w:space="0" w:color="000000"/>
                              <w:right w:val="single" w:sz="2" w:space="0" w:color="000000"/>
                            </w:tcBorders>
                            <w:shd w:val="clear" w:color="auto" w:fill="FFFFFF"/>
                          </w:tcPr>
                          <w:p>
                            <w:pPr>
                              <w:pStyle w:val="TableParagraph"/>
                              <w:rPr>
                                <w:sz w:val="9"/>
                              </w:rPr>
                            </w:pPr>
                          </w:p>
                          <w:p>
                            <w:pPr>
                              <w:pStyle w:val="TableParagraph"/>
                              <w:spacing w:before="36"/>
                              <w:rPr>
                                <w:sz w:val="9"/>
                              </w:rPr>
                            </w:pPr>
                          </w:p>
                          <w:p>
                            <w:pPr>
                              <w:pStyle w:val="TableParagraph"/>
                              <w:ind w:right="3"/>
                              <w:jc w:val="right"/>
                              <w:rPr>
                                <w:rFonts w:ascii="Arial"/>
                                <w:sz w:val="9"/>
                              </w:rPr>
                            </w:pPr>
                            <w:r>
                              <w:rPr>
                                <w:rFonts w:ascii="Arial"/>
                                <w:w w:val="80"/>
                                <w:sz w:val="9"/>
                              </w:rPr>
                              <w:t>-1</w:t>
                            </w:r>
                            <w:r>
                              <w:rPr>
                                <w:rFonts w:ascii="Arial"/>
                                <w:spacing w:val="-1"/>
                                <w:w w:val="80"/>
                                <w:sz w:val="9"/>
                              </w:rPr>
                              <w:t> </w:t>
                            </w:r>
                            <w:r>
                              <w:rPr>
                                <w:rFonts w:ascii="Arial"/>
                                <w:spacing w:val="-2"/>
                                <w:w w:val="80"/>
                                <w:sz w:val="9"/>
                              </w:rPr>
                              <w:t>351,98</w:t>
                            </w:r>
                          </w:p>
                        </w:tc>
                        <w:tc>
                          <w:tcPr>
                            <w:tcW w:w="496" w:type="dxa"/>
                            <w:tcBorders>
                              <w:left w:val="single" w:sz="2" w:space="0" w:color="000000"/>
                              <w:right w:val="single" w:sz="2" w:space="0" w:color="000000"/>
                            </w:tcBorders>
                            <w:shd w:val="clear" w:color="auto" w:fill="FFFFFF"/>
                          </w:tcPr>
                          <w:p>
                            <w:pPr>
                              <w:pStyle w:val="TableParagraph"/>
                              <w:rPr>
                                <w:sz w:val="9"/>
                              </w:rPr>
                            </w:pPr>
                          </w:p>
                          <w:p>
                            <w:pPr>
                              <w:pStyle w:val="TableParagraph"/>
                              <w:spacing w:before="36"/>
                              <w:rPr>
                                <w:sz w:val="9"/>
                              </w:rPr>
                            </w:pPr>
                          </w:p>
                          <w:p>
                            <w:pPr>
                              <w:pStyle w:val="TableParagraph"/>
                              <w:ind w:right="2"/>
                              <w:jc w:val="right"/>
                              <w:rPr>
                                <w:rFonts w:ascii="Arial"/>
                                <w:sz w:val="9"/>
                              </w:rPr>
                            </w:pPr>
                            <w:r>
                              <w:rPr>
                                <w:rFonts w:ascii="Arial"/>
                                <w:spacing w:val="-2"/>
                                <w:w w:val="80"/>
                                <w:sz w:val="9"/>
                              </w:rPr>
                              <w:t>-</w:t>
                            </w:r>
                            <w:r>
                              <w:rPr>
                                <w:rFonts w:ascii="Arial"/>
                                <w:spacing w:val="-2"/>
                                <w:w w:val="90"/>
                                <w:sz w:val="9"/>
                              </w:rPr>
                              <w:t>11,03%</w:t>
                            </w:r>
                          </w:p>
                        </w:tc>
                        <w:tc>
                          <w:tcPr>
                            <w:tcW w:w="1339" w:type="dxa"/>
                            <w:tcBorders>
                              <w:left w:val="single" w:sz="2" w:space="0" w:color="000000"/>
                              <w:right w:val="single" w:sz="2" w:space="0" w:color="000000"/>
                            </w:tcBorders>
                          </w:tcPr>
                          <w:p>
                            <w:pPr>
                              <w:pStyle w:val="TableParagraph"/>
                              <w:spacing w:line="273" w:lineRule="auto" w:before="6"/>
                              <w:ind w:left="18"/>
                              <w:rPr>
                                <w:rFonts w:ascii="Arial" w:hAnsi="Arial"/>
                                <w:sz w:val="9"/>
                              </w:rPr>
                            </w:pPr>
                            <w:r>
                              <w:rPr>
                                <w:rFonts w:ascii="Arial" w:hAnsi="Arial"/>
                                <w:w w:val="80"/>
                                <w:sz w:val="9"/>
                              </w:rPr>
                              <w:t>Efecto</w:t>
                            </w:r>
                            <w:r>
                              <w:rPr>
                                <w:rFonts w:ascii="Arial" w:hAnsi="Arial"/>
                                <w:spacing w:val="-3"/>
                                <w:w w:val="80"/>
                                <w:sz w:val="9"/>
                              </w:rPr>
                              <w:t> </w:t>
                            </w:r>
                            <w:r>
                              <w:rPr>
                                <w:rFonts w:ascii="Arial" w:hAnsi="Arial"/>
                                <w:w w:val="80"/>
                                <w:sz w:val="9"/>
                              </w:rPr>
                              <w:t>neto</w:t>
                            </w:r>
                            <w:r>
                              <w:rPr>
                                <w:rFonts w:ascii="Arial" w:hAnsi="Arial"/>
                                <w:spacing w:val="-1"/>
                                <w:sz w:val="9"/>
                              </w:rPr>
                              <w:t> </w:t>
                            </w:r>
                            <w:r>
                              <w:rPr>
                                <w:rFonts w:ascii="Arial" w:hAnsi="Arial"/>
                                <w:w w:val="80"/>
                                <w:sz w:val="9"/>
                              </w:rPr>
                              <w:t>en</w:t>
                            </w:r>
                            <w:r>
                              <w:rPr>
                                <w:rFonts w:ascii="Arial" w:hAnsi="Arial"/>
                                <w:spacing w:val="-2"/>
                                <w:w w:val="80"/>
                                <w:sz w:val="9"/>
                              </w:rPr>
                              <w:t> </w:t>
                            </w:r>
                            <w:r>
                              <w:rPr>
                                <w:rFonts w:ascii="Arial" w:hAnsi="Arial"/>
                                <w:w w:val="80"/>
                                <w:sz w:val="9"/>
                              </w:rPr>
                              <w:t>los</w:t>
                            </w:r>
                            <w:r>
                              <w:rPr>
                                <w:rFonts w:ascii="Arial" w:hAnsi="Arial"/>
                                <w:spacing w:val="-1"/>
                                <w:w w:val="80"/>
                                <w:sz w:val="9"/>
                              </w:rPr>
                              <w:t> </w:t>
                            </w:r>
                            <w:r>
                              <w:rPr>
                                <w:rFonts w:ascii="Arial" w:hAnsi="Arial"/>
                                <w:w w:val="80"/>
                                <w:sz w:val="9"/>
                              </w:rPr>
                              <w:t>saldos</w:t>
                            </w:r>
                            <w:r>
                              <w:rPr>
                                <w:rFonts w:ascii="Arial" w:hAnsi="Arial"/>
                                <w:spacing w:val="-1"/>
                                <w:w w:val="80"/>
                                <w:sz w:val="9"/>
                              </w:rPr>
                              <w:t> </w:t>
                            </w:r>
                            <w:r>
                              <w:rPr>
                                <w:rFonts w:ascii="Arial" w:hAnsi="Arial"/>
                                <w:w w:val="80"/>
                                <w:sz w:val="9"/>
                              </w:rPr>
                              <w:t>de</w:t>
                            </w:r>
                            <w:r>
                              <w:rPr>
                                <w:rFonts w:ascii="Arial" w:hAnsi="Arial"/>
                                <w:spacing w:val="-3"/>
                                <w:w w:val="80"/>
                                <w:sz w:val="9"/>
                              </w:rPr>
                              <w:t> </w:t>
                            </w:r>
                            <w:r>
                              <w:rPr>
                                <w:rFonts w:ascii="Arial" w:hAnsi="Arial"/>
                                <w:w w:val="80"/>
                                <w:sz w:val="9"/>
                              </w:rPr>
                              <w:t>las</w:t>
                            </w:r>
                            <w:r>
                              <w:rPr>
                                <w:rFonts w:ascii="Arial" w:hAnsi="Arial"/>
                                <w:spacing w:val="-1"/>
                                <w:w w:val="80"/>
                                <w:sz w:val="9"/>
                              </w:rPr>
                              <w:t> </w:t>
                            </w:r>
                            <w:r>
                              <w:rPr>
                                <w:rFonts w:ascii="Arial" w:hAnsi="Arial"/>
                                <w:w w:val="80"/>
                                <w:sz w:val="9"/>
                              </w:rPr>
                              <w:t>cuentas</w:t>
                            </w:r>
                            <w:r>
                              <w:rPr>
                                <w:rFonts w:ascii="Arial" w:hAnsi="Arial"/>
                                <w:spacing w:val="40"/>
                                <w:sz w:val="9"/>
                              </w:rPr>
                              <w:t> </w:t>
                            </w:r>
                            <w:r>
                              <w:rPr>
                                <w:rFonts w:ascii="Arial" w:hAnsi="Arial"/>
                                <w:spacing w:val="-2"/>
                                <w:w w:val="90"/>
                                <w:sz w:val="9"/>
                              </w:rPr>
                              <w:t>por</w:t>
                            </w:r>
                            <w:r>
                              <w:rPr>
                                <w:rFonts w:ascii="Arial" w:hAnsi="Arial"/>
                                <w:spacing w:val="-4"/>
                                <w:w w:val="90"/>
                                <w:sz w:val="9"/>
                              </w:rPr>
                              <w:t> </w:t>
                            </w:r>
                            <w:r>
                              <w:rPr>
                                <w:rFonts w:ascii="Arial" w:hAnsi="Arial"/>
                                <w:spacing w:val="-2"/>
                                <w:w w:val="90"/>
                                <w:sz w:val="9"/>
                              </w:rPr>
                              <w:t>cobrar</w:t>
                            </w:r>
                            <w:r>
                              <w:rPr>
                                <w:rFonts w:ascii="Arial" w:hAnsi="Arial"/>
                                <w:spacing w:val="10"/>
                                <w:sz w:val="9"/>
                              </w:rPr>
                              <w:t> </w:t>
                            </w:r>
                            <w:r>
                              <w:rPr>
                                <w:rFonts w:ascii="Arial" w:hAnsi="Arial"/>
                                <w:spacing w:val="-2"/>
                                <w:w w:val="90"/>
                                <w:sz w:val="9"/>
                              </w:rPr>
                              <w:t>en</w:t>
                            </w:r>
                            <w:r>
                              <w:rPr>
                                <w:rFonts w:ascii="Arial" w:hAnsi="Arial"/>
                                <w:spacing w:val="-3"/>
                                <w:w w:val="90"/>
                                <w:sz w:val="9"/>
                              </w:rPr>
                              <w:t> </w:t>
                            </w:r>
                            <w:r>
                              <w:rPr>
                                <w:rFonts w:ascii="Arial" w:hAnsi="Arial"/>
                                <w:spacing w:val="-2"/>
                                <w:w w:val="90"/>
                                <w:sz w:val="9"/>
                              </w:rPr>
                              <w:t>los</w:t>
                            </w:r>
                            <w:r>
                              <w:rPr>
                                <w:rFonts w:ascii="Arial" w:hAnsi="Arial"/>
                                <w:spacing w:val="-3"/>
                                <w:w w:val="90"/>
                                <w:sz w:val="9"/>
                              </w:rPr>
                              <w:t> </w:t>
                            </w:r>
                            <w:r>
                              <w:rPr>
                                <w:rFonts w:ascii="Arial" w:hAnsi="Arial"/>
                                <w:spacing w:val="-2"/>
                                <w:w w:val="90"/>
                                <w:sz w:val="9"/>
                              </w:rPr>
                              <w:t>porcentajes</w:t>
                            </w:r>
                            <w:r>
                              <w:rPr>
                                <w:rFonts w:ascii="Arial" w:hAnsi="Arial"/>
                                <w:spacing w:val="-4"/>
                                <w:w w:val="90"/>
                                <w:sz w:val="9"/>
                              </w:rPr>
                              <w:t> </w:t>
                            </w:r>
                            <w:r>
                              <w:rPr>
                                <w:rFonts w:ascii="Arial" w:hAnsi="Arial"/>
                                <w:spacing w:val="-2"/>
                                <w:w w:val="90"/>
                                <w:sz w:val="9"/>
                              </w:rPr>
                              <w:t>de</w:t>
                            </w:r>
                            <w:r>
                              <w:rPr>
                                <w:rFonts w:ascii="Arial" w:hAnsi="Arial"/>
                                <w:spacing w:val="40"/>
                                <w:sz w:val="9"/>
                              </w:rPr>
                              <w:t> </w:t>
                            </w:r>
                            <w:r>
                              <w:rPr>
                                <w:rFonts w:ascii="Arial" w:hAnsi="Arial"/>
                                <w:w w:val="85"/>
                                <w:sz w:val="9"/>
                              </w:rPr>
                              <w:t>incobrabilidad</w:t>
                            </w:r>
                            <w:r>
                              <w:rPr>
                                <w:rFonts w:ascii="Arial" w:hAnsi="Arial"/>
                                <w:spacing w:val="-3"/>
                                <w:w w:val="85"/>
                                <w:sz w:val="9"/>
                              </w:rPr>
                              <w:t> </w:t>
                            </w:r>
                            <w:r>
                              <w:rPr>
                                <w:rFonts w:ascii="Arial" w:hAnsi="Arial"/>
                                <w:w w:val="85"/>
                                <w:sz w:val="9"/>
                              </w:rPr>
                              <w:t>aplicados</w:t>
                            </w:r>
                            <w:r>
                              <w:rPr>
                                <w:rFonts w:ascii="Arial" w:hAnsi="Arial"/>
                                <w:spacing w:val="-2"/>
                                <w:w w:val="85"/>
                                <w:sz w:val="9"/>
                              </w:rPr>
                              <w:t> </w:t>
                            </w:r>
                            <w:r>
                              <w:rPr>
                                <w:rFonts w:ascii="Arial" w:hAnsi="Arial"/>
                                <w:w w:val="85"/>
                                <w:sz w:val="9"/>
                              </w:rPr>
                              <w:t>a</w:t>
                            </w:r>
                            <w:r>
                              <w:rPr>
                                <w:rFonts w:ascii="Arial" w:hAnsi="Arial"/>
                                <w:spacing w:val="-5"/>
                                <w:w w:val="85"/>
                                <w:sz w:val="9"/>
                              </w:rPr>
                              <w:t> </w:t>
                            </w:r>
                            <w:r>
                              <w:rPr>
                                <w:rFonts w:ascii="Arial" w:hAnsi="Arial"/>
                                <w:w w:val="85"/>
                                <w:sz w:val="9"/>
                              </w:rPr>
                              <w:t>la</w:t>
                            </w:r>
                            <w:r>
                              <w:rPr>
                                <w:rFonts w:ascii="Arial" w:hAnsi="Arial"/>
                                <w:spacing w:val="-4"/>
                                <w:w w:val="85"/>
                                <w:sz w:val="9"/>
                              </w:rPr>
                              <w:t> </w:t>
                            </w:r>
                            <w:r>
                              <w:rPr>
                                <w:rFonts w:ascii="Arial" w:hAnsi="Arial"/>
                                <w:w w:val="85"/>
                                <w:sz w:val="9"/>
                              </w:rPr>
                              <w:t>previsión</w:t>
                            </w:r>
                            <w:r>
                              <w:rPr>
                                <w:rFonts w:ascii="Arial" w:hAnsi="Arial"/>
                                <w:spacing w:val="40"/>
                                <w:sz w:val="9"/>
                              </w:rPr>
                              <w:t> </w:t>
                            </w:r>
                            <w:r>
                              <w:rPr>
                                <w:rFonts w:ascii="Arial" w:hAnsi="Arial"/>
                                <w:w w:val="80"/>
                                <w:sz w:val="9"/>
                              </w:rPr>
                              <w:t>disminuyendo</w:t>
                            </w:r>
                            <w:r>
                              <w:rPr>
                                <w:rFonts w:ascii="Arial" w:hAnsi="Arial"/>
                                <w:spacing w:val="-3"/>
                                <w:w w:val="80"/>
                                <w:sz w:val="9"/>
                              </w:rPr>
                              <w:t> </w:t>
                            </w:r>
                            <w:r>
                              <w:rPr>
                                <w:rFonts w:ascii="Arial" w:hAnsi="Arial"/>
                                <w:w w:val="80"/>
                                <w:sz w:val="9"/>
                              </w:rPr>
                              <w:t>en</w:t>
                            </w:r>
                            <w:r>
                              <w:rPr>
                                <w:rFonts w:ascii="Arial" w:hAnsi="Arial"/>
                                <w:spacing w:val="-1"/>
                                <w:w w:val="80"/>
                                <w:sz w:val="9"/>
                              </w:rPr>
                              <w:t> </w:t>
                            </w:r>
                            <w:r>
                              <w:rPr>
                                <w:rFonts w:ascii="Arial" w:hAnsi="Arial"/>
                                <w:w w:val="80"/>
                                <w:sz w:val="9"/>
                              </w:rPr>
                              <w:t>un</w:t>
                            </w:r>
                            <w:r>
                              <w:rPr>
                                <w:rFonts w:ascii="Arial" w:hAnsi="Arial"/>
                                <w:spacing w:val="-1"/>
                                <w:w w:val="80"/>
                                <w:sz w:val="9"/>
                              </w:rPr>
                              <w:t> </w:t>
                            </w:r>
                            <w:r>
                              <w:rPr>
                                <w:rFonts w:ascii="Arial" w:hAnsi="Arial"/>
                                <w:w w:val="80"/>
                                <w:sz w:val="9"/>
                              </w:rPr>
                              <w:t>-11,03% julio</w:t>
                            </w:r>
                            <w:r>
                              <w:rPr>
                                <w:rFonts w:ascii="Arial" w:hAnsi="Arial"/>
                                <w:spacing w:val="-3"/>
                                <w:w w:val="80"/>
                                <w:sz w:val="9"/>
                              </w:rPr>
                              <w:t> </w:t>
                            </w:r>
                            <w:r>
                              <w:rPr>
                                <w:rFonts w:ascii="Arial" w:hAnsi="Arial"/>
                                <w:w w:val="80"/>
                                <w:sz w:val="9"/>
                              </w:rPr>
                              <w:t>2026.</w:t>
                            </w:r>
                          </w:p>
                        </w:tc>
                      </w:tr>
                      <w:tr>
                        <w:trPr>
                          <w:trHeight w:val="464" w:hRule="atLeast"/>
                        </w:trPr>
                        <w:tc>
                          <w:tcPr>
                            <w:tcW w:w="493"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7"/>
                              <w:jc w:val="right"/>
                              <w:rPr>
                                <w:rFonts w:ascii="Arial"/>
                                <w:sz w:val="9"/>
                              </w:rPr>
                            </w:pPr>
                            <w:r>
                              <w:rPr>
                                <w:rFonts w:ascii="Arial"/>
                                <w:spacing w:val="-2"/>
                                <w:w w:val="90"/>
                                <w:sz w:val="9"/>
                              </w:rPr>
                              <w:t>1.1.3.99</w:t>
                            </w:r>
                          </w:p>
                        </w:tc>
                        <w:tc>
                          <w:tcPr>
                            <w:tcW w:w="1693"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left="13"/>
                              <w:rPr>
                                <w:rFonts w:ascii="Arial"/>
                                <w:sz w:val="9"/>
                              </w:rPr>
                            </w:pPr>
                            <w:r>
                              <w:rPr>
                                <w:rFonts w:ascii="Arial"/>
                                <w:spacing w:val="-2"/>
                                <w:w w:val="80"/>
                                <w:sz w:val="9"/>
                              </w:rPr>
                              <w:t>PREVISION</w:t>
                            </w:r>
                            <w:r>
                              <w:rPr>
                                <w:rFonts w:ascii="Arial"/>
                                <w:spacing w:val="3"/>
                                <w:sz w:val="9"/>
                              </w:rPr>
                              <w:t> </w:t>
                            </w:r>
                            <w:r>
                              <w:rPr>
                                <w:rFonts w:ascii="Arial"/>
                                <w:spacing w:val="-2"/>
                                <w:w w:val="80"/>
                                <w:sz w:val="9"/>
                              </w:rPr>
                              <w:t>ANT</w:t>
                            </w:r>
                            <w:r>
                              <w:rPr>
                                <w:rFonts w:ascii="Arial"/>
                                <w:spacing w:val="6"/>
                                <w:sz w:val="9"/>
                              </w:rPr>
                              <w:t> </w:t>
                            </w:r>
                            <w:r>
                              <w:rPr>
                                <w:rFonts w:ascii="Arial"/>
                                <w:spacing w:val="-2"/>
                                <w:w w:val="80"/>
                                <w:sz w:val="9"/>
                              </w:rPr>
                              <w:t>SECTOR</w:t>
                            </w:r>
                            <w:r>
                              <w:rPr>
                                <w:rFonts w:ascii="Arial"/>
                                <w:spacing w:val="4"/>
                                <w:sz w:val="9"/>
                              </w:rPr>
                              <w:t> </w:t>
                            </w:r>
                            <w:r>
                              <w:rPr>
                                <w:rFonts w:ascii="Arial"/>
                                <w:spacing w:val="-2"/>
                                <w:w w:val="80"/>
                                <w:sz w:val="9"/>
                              </w:rPr>
                              <w:t>PRIVADO</w:t>
                            </w:r>
                            <w:r>
                              <w:rPr>
                                <w:rFonts w:ascii="Arial"/>
                                <w:spacing w:val="1"/>
                                <w:sz w:val="9"/>
                              </w:rPr>
                              <w:t> </w:t>
                            </w:r>
                            <w:r>
                              <w:rPr>
                                <w:rFonts w:ascii="Arial"/>
                                <w:spacing w:val="-5"/>
                                <w:w w:val="80"/>
                                <w:sz w:val="9"/>
                              </w:rPr>
                              <w:t>INC</w:t>
                            </w:r>
                          </w:p>
                        </w:tc>
                        <w:tc>
                          <w:tcPr>
                            <w:tcW w:w="704"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left="13"/>
                              <w:rPr>
                                <w:rFonts w:ascii="Arial"/>
                                <w:sz w:val="9"/>
                              </w:rPr>
                            </w:pPr>
                            <w:r>
                              <w:rPr>
                                <w:rFonts w:ascii="Arial"/>
                                <w:w w:val="80"/>
                                <w:sz w:val="9"/>
                              </w:rPr>
                              <w:t>PREV</w:t>
                            </w:r>
                            <w:r>
                              <w:rPr>
                                <w:rFonts w:ascii="Arial"/>
                                <w:spacing w:val="-3"/>
                                <w:w w:val="80"/>
                                <w:sz w:val="9"/>
                              </w:rPr>
                              <w:t> </w:t>
                            </w:r>
                            <w:r>
                              <w:rPr>
                                <w:rFonts w:ascii="Arial"/>
                                <w:w w:val="80"/>
                                <w:sz w:val="9"/>
                              </w:rPr>
                              <w:t>ANT</w:t>
                            </w:r>
                            <w:r>
                              <w:rPr>
                                <w:rFonts w:ascii="Arial"/>
                                <w:spacing w:val="-4"/>
                                <w:sz w:val="9"/>
                              </w:rPr>
                              <w:t> </w:t>
                            </w:r>
                            <w:r>
                              <w:rPr>
                                <w:rFonts w:ascii="Arial"/>
                                <w:w w:val="80"/>
                                <w:sz w:val="9"/>
                              </w:rPr>
                              <w:t>SEC</w:t>
                            </w:r>
                            <w:r>
                              <w:rPr>
                                <w:rFonts w:ascii="Arial"/>
                                <w:spacing w:val="-5"/>
                                <w:sz w:val="9"/>
                              </w:rPr>
                              <w:t> </w:t>
                            </w:r>
                            <w:r>
                              <w:rPr>
                                <w:rFonts w:ascii="Arial"/>
                                <w:spacing w:val="-5"/>
                                <w:w w:val="80"/>
                                <w:sz w:val="9"/>
                              </w:rPr>
                              <w:t>PRI</w:t>
                            </w:r>
                          </w:p>
                        </w:tc>
                        <w:tc>
                          <w:tcPr>
                            <w:tcW w:w="797"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25"/>
                              <w:jc w:val="right"/>
                              <w:rPr>
                                <w:rFonts w:ascii="Arial"/>
                                <w:sz w:val="9"/>
                              </w:rPr>
                            </w:pPr>
                            <w:r>
                              <w:rPr>
                                <w:rFonts w:ascii="Arial"/>
                                <w:w w:val="80"/>
                                <w:sz w:val="9"/>
                              </w:rPr>
                              <w:t>2</w:t>
                            </w:r>
                            <w:r>
                              <w:rPr>
                                <w:rFonts w:ascii="Arial"/>
                                <w:spacing w:val="-2"/>
                                <w:w w:val="90"/>
                                <w:sz w:val="9"/>
                              </w:rPr>
                              <w:t> 526,26</w:t>
                            </w:r>
                          </w:p>
                        </w:tc>
                        <w:tc>
                          <w:tcPr>
                            <w:tcW w:w="716" w:type="dxa"/>
                            <w:tcBorders>
                              <w:left w:val="single" w:sz="2" w:space="0" w:color="000000"/>
                              <w:bottom w:val="single" w:sz="2" w:space="0" w:color="000000"/>
                              <w:right w:val="single" w:sz="2" w:space="0" w:color="000000"/>
                            </w:tcBorders>
                          </w:tcPr>
                          <w:p>
                            <w:pPr>
                              <w:pStyle w:val="TableParagraph"/>
                              <w:spacing w:before="80"/>
                              <w:rPr>
                                <w:sz w:val="9"/>
                              </w:rPr>
                            </w:pPr>
                          </w:p>
                          <w:p>
                            <w:pPr>
                              <w:pStyle w:val="TableParagraph"/>
                              <w:ind w:right="24"/>
                              <w:jc w:val="right"/>
                              <w:rPr>
                                <w:rFonts w:ascii="Arial"/>
                                <w:sz w:val="9"/>
                              </w:rPr>
                            </w:pPr>
                            <w:r>
                              <w:rPr>
                                <w:rFonts w:ascii="Arial"/>
                                <w:w w:val="80"/>
                                <w:sz w:val="9"/>
                              </w:rPr>
                              <w:t>1</w:t>
                            </w:r>
                            <w:r>
                              <w:rPr>
                                <w:rFonts w:ascii="Arial"/>
                                <w:spacing w:val="-2"/>
                                <w:w w:val="90"/>
                                <w:sz w:val="9"/>
                              </w:rPr>
                              <w:t> 676,14</w:t>
                            </w:r>
                          </w:p>
                        </w:tc>
                        <w:tc>
                          <w:tcPr>
                            <w:tcW w:w="728" w:type="dxa"/>
                            <w:tcBorders>
                              <w:left w:val="single" w:sz="2" w:space="0" w:color="000000"/>
                              <w:bottom w:val="single" w:sz="2" w:space="0" w:color="000000"/>
                              <w:right w:val="single" w:sz="2" w:space="0" w:color="000000"/>
                            </w:tcBorders>
                            <w:shd w:val="clear" w:color="auto" w:fill="FFFFFF"/>
                          </w:tcPr>
                          <w:p>
                            <w:pPr>
                              <w:pStyle w:val="TableParagraph"/>
                              <w:spacing w:before="80"/>
                              <w:rPr>
                                <w:sz w:val="9"/>
                              </w:rPr>
                            </w:pPr>
                          </w:p>
                          <w:p>
                            <w:pPr>
                              <w:pStyle w:val="TableParagraph"/>
                              <w:ind w:right="3"/>
                              <w:jc w:val="right"/>
                              <w:rPr>
                                <w:rFonts w:ascii="Arial"/>
                                <w:sz w:val="9"/>
                              </w:rPr>
                            </w:pPr>
                            <w:r>
                              <w:rPr>
                                <w:rFonts w:ascii="Arial"/>
                                <w:spacing w:val="-2"/>
                                <w:w w:val="90"/>
                                <w:sz w:val="9"/>
                              </w:rPr>
                              <w:t>850,12</w:t>
                            </w:r>
                          </w:p>
                        </w:tc>
                        <w:tc>
                          <w:tcPr>
                            <w:tcW w:w="496" w:type="dxa"/>
                            <w:tcBorders>
                              <w:left w:val="single" w:sz="2" w:space="0" w:color="000000"/>
                              <w:bottom w:val="single" w:sz="2" w:space="0" w:color="000000"/>
                              <w:right w:val="single" w:sz="2" w:space="0" w:color="000000"/>
                            </w:tcBorders>
                            <w:shd w:val="clear" w:color="auto" w:fill="FFFFFF"/>
                          </w:tcPr>
                          <w:p>
                            <w:pPr>
                              <w:pStyle w:val="TableParagraph"/>
                              <w:spacing w:before="80"/>
                              <w:rPr>
                                <w:sz w:val="9"/>
                              </w:rPr>
                            </w:pPr>
                          </w:p>
                          <w:p>
                            <w:pPr>
                              <w:pStyle w:val="TableParagraph"/>
                              <w:ind w:right="2"/>
                              <w:jc w:val="right"/>
                              <w:rPr>
                                <w:rFonts w:ascii="Arial"/>
                                <w:sz w:val="9"/>
                              </w:rPr>
                            </w:pPr>
                            <w:r>
                              <w:rPr>
                                <w:rFonts w:ascii="Arial"/>
                                <w:spacing w:val="-2"/>
                                <w:w w:val="90"/>
                                <w:sz w:val="9"/>
                              </w:rPr>
                              <w:t>50,72%</w:t>
                            </w:r>
                          </w:p>
                        </w:tc>
                        <w:tc>
                          <w:tcPr>
                            <w:tcW w:w="1339" w:type="dxa"/>
                            <w:tcBorders>
                              <w:left w:val="single" w:sz="2" w:space="0" w:color="000000"/>
                              <w:bottom w:val="single" w:sz="2" w:space="0" w:color="000000"/>
                              <w:right w:val="single" w:sz="2" w:space="0" w:color="000000"/>
                            </w:tcBorders>
                          </w:tcPr>
                          <w:p>
                            <w:pPr>
                              <w:pStyle w:val="TableParagraph"/>
                              <w:spacing w:line="273" w:lineRule="auto" w:before="6"/>
                              <w:ind w:left="18"/>
                              <w:rPr>
                                <w:rFonts w:ascii="Arial"/>
                                <w:sz w:val="9"/>
                              </w:rPr>
                            </w:pPr>
                            <w:r>
                              <w:rPr>
                                <w:rFonts w:ascii="Arial"/>
                                <w:w w:val="85"/>
                                <w:sz w:val="9"/>
                              </w:rPr>
                              <w:t>Presenta</w:t>
                            </w:r>
                            <w:r>
                              <w:rPr>
                                <w:rFonts w:ascii="Arial"/>
                                <w:spacing w:val="-5"/>
                                <w:w w:val="85"/>
                                <w:sz w:val="9"/>
                              </w:rPr>
                              <w:t> </w:t>
                            </w:r>
                            <w:r>
                              <w:rPr>
                                <w:rFonts w:ascii="Arial"/>
                                <w:w w:val="85"/>
                                <w:sz w:val="9"/>
                              </w:rPr>
                              <w:t>incremento</w:t>
                            </w:r>
                            <w:r>
                              <w:rPr>
                                <w:rFonts w:ascii="Arial"/>
                                <w:spacing w:val="-4"/>
                                <w:w w:val="85"/>
                                <w:sz w:val="9"/>
                              </w:rPr>
                              <w:t> </w:t>
                            </w:r>
                            <w:r>
                              <w:rPr>
                                <w:rFonts w:ascii="Arial"/>
                                <w:w w:val="85"/>
                                <w:sz w:val="9"/>
                              </w:rPr>
                              <w:t>en</w:t>
                            </w:r>
                            <w:r>
                              <w:rPr>
                                <w:rFonts w:ascii="Arial"/>
                                <w:spacing w:val="-2"/>
                                <w:w w:val="85"/>
                                <w:sz w:val="9"/>
                              </w:rPr>
                              <w:t> </w:t>
                            </w:r>
                            <w:r>
                              <w:rPr>
                                <w:rFonts w:ascii="Arial"/>
                                <w:w w:val="85"/>
                                <w:sz w:val="9"/>
                              </w:rPr>
                              <w:t>los</w:t>
                            </w:r>
                            <w:r>
                              <w:rPr>
                                <w:rFonts w:ascii="Arial"/>
                                <w:spacing w:val="-3"/>
                                <w:w w:val="85"/>
                                <w:sz w:val="9"/>
                              </w:rPr>
                              <w:t> </w:t>
                            </w:r>
                            <w:r>
                              <w:rPr>
                                <w:rFonts w:ascii="Arial"/>
                                <w:w w:val="85"/>
                                <w:sz w:val="9"/>
                              </w:rPr>
                              <w:t>saldos</w:t>
                            </w:r>
                            <w:r>
                              <w:rPr>
                                <w:rFonts w:ascii="Arial"/>
                                <w:spacing w:val="-2"/>
                                <w:w w:val="85"/>
                                <w:sz w:val="9"/>
                              </w:rPr>
                              <w:t> </w:t>
                            </w:r>
                            <w:r>
                              <w:rPr>
                                <w:rFonts w:ascii="Arial"/>
                                <w:w w:val="85"/>
                                <w:sz w:val="9"/>
                              </w:rPr>
                              <w:t>de</w:t>
                            </w:r>
                            <w:r>
                              <w:rPr>
                                <w:rFonts w:ascii="Arial"/>
                                <w:spacing w:val="40"/>
                                <w:sz w:val="9"/>
                              </w:rPr>
                              <w:t> </w:t>
                            </w:r>
                            <w:r>
                              <w:rPr>
                                <w:rFonts w:ascii="Arial"/>
                                <w:w w:val="85"/>
                                <w:sz w:val="9"/>
                              </w:rPr>
                              <w:t>las</w:t>
                            </w:r>
                            <w:r>
                              <w:rPr>
                                <w:rFonts w:ascii="Arial"/>
                                <w:spacing w:val="-3"/>
                                <w:w w:val="85"/>
                                <w:sz w:val="9"/>
                              </w:rPr>
                              <w:t> </w:t>
                            </w:r>
                            <w:r>
                              <w:rPr>
                                <w:rFonts w:ascii="Arial"/>
                                <w:w w:val="85"/>
                                <w:sz w:val="9"/>
                              </w:rPr>
                              <w:t>cuentas</w:t>
                            </w:r>
                            <w:r>
                              <w:rPr>
                                <w:rFonts w:ascii="Arial"/>
                                <w:spacing w:val="-2"/>
                                <w:w w:val="85"/>
                                <w:sz w:val="9"/>
                              </w:rPr>
                              <w:t> </w:t>
                            </w:r>
                            <w:r>
                              <w:rPr>
                                <w:rFonts w:ascii="Arial"/>
                                <w:w w:val="85"/>
                                <w:sz w:val="9"/>
                              </w:rPr>
                              <w:t>por</w:t>
                            </w:r>
                            <w:r>
                              <w:rPr>
                                <w:rFonts w:ascii="Arial"/>
                                <w:spacing w:val="-3"/>
                                <w:w w:val="85"/>
                                <w:sz w:val="9"/>
                              </w:rPr>
                              <w:t> </w:t>
                            </w:r>
                            <w:r>
                              <w:rPr>
                                <w:rFonts w:ascii="Arial"/>
                                <w:w w:val="85"/>
                                <w:sz w:val="9"/>
                              </w:rPr>
                              <w:t>cobrar</w:t>
                            </w:r>
                            <w:r>
                              <w:rPr>
                                <w:rFonts w:ascii="Arial"/>
                                <w:spacing w:val="-2"/>
                                <w:w w:val="85"/>
                                <w:sz w:val="9"/>
                              </w:rPr>
                              <w:t> </w:t>
                            </w:r>
                            <w:r>
                              <w:rPr>
                                <w:rFonts w:ascii="Arial"/>
                                <w:w w:val="85"/>
                                <w:sz w:val="9"/>
                              </w:rPr>
                              <w:t>aumentando</w:t>
                            </w:r>
                            <w:r>
                              <w:rPr>
                                <w:rFonts w:ascii="Arial"/>
                                <w:spacing w:val="-5"/>
                                <w:w w:val="85"/>
                                <w:sz w:val="9"/>
                              </w:rPr>
                              <w:t> </w:t>
                            </w:r>
                            <w:r>
                              <w:rPr>
                                <w:rFonts w:ascii="Arial"/>
                                <w:w w:val="85"/>
                                <w:sz w:val="9"/>
                              </w:rPr>
                              <w:t>el</w:t>
                            </w:r>
                            <w:r>
                              <w:rPr>
                                <w:rFonts w:ascii="Arial"/>
                                <w:spacing w:val="40"/>
                                <w:sz w:val="9"/>
                              </w:rPr>
                              <w:t> </w:t>
                            </w:r>
                            <w:r>
                              <w:rPr>
                                <w:rFonts w:ascii="Arial"/>
                                <w:w w:val="80"/>
                                <w:sz w:val="9"/>
                              </w:rPr>
                              <w:t>porcentaje</w:t>
                            </w:r>
                            <w:r>
                              <w:rPr>
                                <w:rFonts w:ascii="Arial"/>
                                <w:spacing w:val="-3"/>
                                <w:w w:val="80"/>
                                <w:sz w:val="9"/>
                              </w:rPr>
                              <w:t> </w:t>
                            </w:r>
                            <w:r>
                              <w:rPr>
                                <w:rFonts w:ascii="Arial"/>
                                <w:w w:val="80"/>
                                <w:sz w:val="9"/>
                              </w:rPr>
                              <w:t>de</w:t>
                            </w:r>
                            <w:r>
                              <w:rPr>
                                <w:rFonts w:ascii="Arial"/>
                                <w:spacing w:val="-3"/>
                                <w:w w:val="80"/>
                                <w:sz w:val="9"/>
                              </w:rPr>
                              <w:t> </w:t>
                            </w:r>
                            <w:r>
                              <w:rPr>
                                <w:rFonts w:ascii="Arial"/>
                                <w:w w:val="80"/>
                                <w:sz w:val="9"/>
                              </w:rPr>
                              <w:t>incobrabilidad</w:t>
                            </w:r>
                            <w:r>
                              <w:rPr>
                                <w:rFonts w:ascii="Arial"/>
                                <w:spacing w:val="-2"/>
                                <w:w w:val="80"/>
                                <w:sz w:val="9"/>
                              </w:rPr>
                              <w:t> </w:t>
                            </w:r>
                            <w:r>
                              <w:rPr>
                                <w:rFonts w:ascii="Arial"/>
                                <w:w w:val="80"/>
                                <w:sz w:val="9"/>
                              </w:rPr>
                              <w:t>aplicados</w:t>
                            </w:r>
                            <w:r>
                              <w:rPr>
                                <w:rFonts w:ascii="Arial"/>
                                <w:spacing w:val="-1"/>
                                <w:w w:val="80"/>
                                <w:sz w:val="9"/>
                              </w:rPr>
                              <w:t> </w:t>
                            </w:r>
                            <w:r>
                              <w:rPr>
                                <w:rFonts w:ascii="Arial"/>
                                <w:w w:val="80"/>
                                <w:sz w:val="9"/>
                              </w:rPr>
                              <w:t>a</w:t>
                            </w:r>
                          </w:p>
                          <w:p>
                            <w:pPr>
                              <w:pStyle w:val="TableParagraph"/>
                              <w:spacing w:line="84" w:lineRule="exact"/>
                              <w:ind w:left="18"/>
                              <w:rPr>
                                <w:rFonts w:ascii="Arial" w:hAnsi="Arial"/>
                                <w:sz w:val="9"/>
                              </w:rPr>
                            </w:pPr>
                            <w:r>
                              <w:rPr>
                                <w:rFonts w:ascii="Arial" w:hAnsi="Arial"/>
                                <w:w w:val="80"/>
                                <w:sz w:val="9"/>
                              </w:rPr>
                              <w:t>la</w:t>
                            </w:r>
                            <w:r>
                              <w:rPr>
                                <w:rFonts w:ascii="Arial" w:hAnsi="Arial"/>
                                <w:spacing w:val="-3"/>
                                <w:w w:val="80"/>
                                <w:sz w:val="9"/>
                              </w:rPr>
                              <w:t> </w:t>
                            </w:r>
                            <w:r>
                              <w:rPr>
                                <w:rFonts w:ascii="Arial" w:hAnsi="Arial"/>
                                <w:w w:val="80"/>
                                <w:sz w:val="9"/>
                              </w:rPr>
                              <w:t>previsión</w:t>
                            </w:r>
                            <w:r>
                              <w:rPr>
                                <w:rFonts w:ascii="Arial" w:hAnsi="Arial"/>
                                <w:spacing w:val="-4"/>
                                <w:sz w:val="9"/>
                              </w:rPr>
                              <w:t> </w:t>
                            </w:r>
                            <w:r>
                              <w:rPr>
                                <w:rFonts w:ascii="Arial" w:hAnsi="Arial"/>
                                <w:w w:val="80"/>
                                <w:sz w:val="9"/>
                              </w:rPr>
                              <w:t>de</w:t>
                            </w:r>
                            <w:r>
                              <w:rPr>
                                <w:rFonts w:ascii="Arial" w:hAnsi="Arial"/>
                                <w:spacing w:val="-3"/>
                                <w:w w:val="80"/>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581" w:hRule="atLeast"/>
                        </w:trPr>
                        <w:tc>
                          <w:tcPr>
                            <w:tcW w:w="493"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7"/>
                              <w:jc w:val="right"/>
                              <w:rPr>
                                <w:rFonts w:ascii="Arial"/>
                                <w:sz w:val="9"/>
                              </w:rPr>
                            </w:pPr>
                            <w:r>
                              <w:rPr>
                                <w:rFonts w:ascii="Arial"/>
                                <w:spacing w:val="-2"/>
                                <w:w w:val="90"/>
                                <w:sz w:val="9"/>
                              </w:rPr>
                              <w:t>1.1.3.99</w:t>
                            </w:r>
                          </w:p>
                        </w:tc>
                        <w:tc>
                          <w:tcPr>
                            <w:tcW w:w="1693"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left="13"/>
                              <w:rPr>
                                <w:rFonts w:ascii="Arial"/>
                                <w:sz w:val="9"/>
                              </w:rPr>
                            </w:pPr>
                            <w:r>
                              <w:rPr>
                                <w:rFonts w:ascii="Arial"/>
                                <w:spacing w:val="-2"/>
                                <w:w w:val="80"/>
                                <w:sz w:val="9"/>
                              </w:rPr>
                              <w:t>PREVISION</w:t>
                            </w:r>
                            <w:r>
                              <w:rPr>
                                <w:rFonts w:ascii="Arial"/>
                                <w:spacing w:val="8"/>
                                <w:sz w:val="9"/>
                              </w:rPr>
                              <w:t> </w:t>
                            </w:r>
                            <w:r>
                              <w:rPr>
                                <w:rFonts w:ascii="Arial"/>
                                <w:spacing w:val="-2"/>
                                <w:w w:val="80"/>
                                <w:sz w:val="9"/>
                              </w:rPr>
                              <w:t>CREDITOS</w:t>
                            </w:r>
                            <w:r>
                              <w:rPr>
                                <w:rFonts w:ascii="Arial"/>
                                <w:spacing w:val="6"/>
                                <w:sz w:val="9"/>
                              </w:rPr>
                              <w:t> </w:t>
                            </w:r>
                            <w:r>
                              <w:rPr>
                                <w:rFonts w:ascii="Arial"/>
                                <w:spacing w:val="-2"/>
                                <w:w w:val="80"/>
                                <w:sz w:val="9"/>
                              </w:rPr>
                              <w:t>VARIOS</w:t>
                            </w:r>
                          </w:p>
                        </w:tc>
                        <w:tc>
                          <w:tcPr>
                            <w:tcW w:w="704"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left="13"/>
                              <w:rPr>
                                <w:rFonts w:ascii="Arial"/>
                                <w:sz w:val="9"/>
                              </w:rPr>
                            </w:pPr>
                            <w:r>
                              <w:rPr>
                                <w:rFonts w:ascii="Arial"/>
                                <w:spacing w:val="-2"/>
                                <w:w w:val="90"/>
                                <w:sz w:val="9"/>
                              </w:rPr>
                              <w:t>OTRAS</w:t>
                            </w:r>
                          </w:p>
                        </w:tc>
                        <w:tc>
                          <w:tcPr>
                            <w:tcW w:w="797"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25"/>
                              <w:jc w:val="right"/>
                              <w:rPr>
                                <w:rFonts w:ascii="Arial"/>
                                <w:sz w:val="9"/>
                              </w:rPr>
                            </w:pPr>
                            <w:r>
                              <w:rPr>
                                <w:rFonts w:ascii="Arial"/>
                                <w:w w:val="80"/>
                                <w:sz w:val="9"/>
                              </w:rPr>
                              <w:t>239</w:t>
                            </w:r>
                            <w:r>
                              <w:rPr>
                                <w:rFonts w:ascii="Arial"/>
                                <w:spacing w:val="-1"/>
                                <w:w w:val="90"/>
                                <w:sz w:val="9"/>
                              </w:rPr>
                              <w:t> </w:t>
                            </w:r>
                            <w:r>
                              <w:rPr>
                                <w:rFonts w:ascii="Arial"/>
                                <w:spacing w:val="-2"/>
                                <w:w w:val="90"/>
                                <w:sz w:val="9"/>
                              </w:rPr>
                              <w:t>956,19</w:t>
                            </w:r>
                          </w:p>
                        </w:tc>
                        <w:tc>
                          <w:tcPr>
                            <w:tcW w:w="716" w:type="dxa"/>
                            <w:tcBorders>
                              <w:top w:val="single" w:sz="2" w:space="0" w:color="000000"/>
                              <w:left w:val="single" w:sz="2" w:space="0" w:color="000000"/>
                              <w:right w:val="single" w:sz="2" w:space="0" w:color="000000"/>
                            </w:tcBorders>
                          </w:tcPr>
                          <w:p>
                            <w:pPr>
                              <w:pStyle w:val="TableParagraph"/>
                              <w:rPr>
                                <w:sz w:val="9"/>
                              </w:rPr>
                            </w:pPr>
                          </w:p>
                          <w:p>
                            <w:pPr>
                              <w:pStyle w:val="TableParagraph"/>
                              <w:spacing w:before="37"/>
                              <w:rPr>
                                <w:sz w:val="9"/>
                              </w:rPr>
                            </w:pPr>
                          </w:p>
                          <w:p>
                            <w:pPr>
                              <w:pStyle w:val="TableParagraph"/>
                              <w:ind w:right="24"/>
                              <w:jc w:val="right"/>
                              <w:rPr>
                                <w:rFonts w:ascii="Arial"/>
                                <w:sz w:val="9"/>
                              </w:rPr>
                            </w:pPr>
                            <w:r>
                              <w:rPr>
                                <w:rFonts w:ascii="Arial"/>
                                <w:w w:val="80"/>
                                <w:sz w:val="9"/>
                              </w:rPr>
                              <w:t>229</w:t>
                            </w:r>
                            <w:r>
                              <w:rPr>
                                <w:rFonts w:ascii="Arial"/>
                                <w:spacing w:val="-1"/>
                                <w:w w:val="90"/>
                                <w:sz w:val="9"/>
                              </w:rPr>
                              <w:t> </w:t>
                            </w:r>
                            <w:r>
                              <w:rPr>
                                <w:rFonts w:ascii="Arial"/>
                                <w:spacing w:val="-2"/>
                                <w:w w:val="90"/>
                                <w:sz w:val="9"/>
                              </w:rPr>
                              <w:t>726,78</w:t>
                            </w:r>
                          </w:p>
                        </w:tc>
                        <w:tc>
                          <w:tcPr>
                            <w:tcW w:w="728" w:type="dxa"/>
                            <w:tcBorders>
                              <w:top w:val="single" w:sz="2" w:space="0" w:color="000000"/>
                              <w:left w:val="single" w:sz="2" w:space="0" w:color="000000"/>
                              <w:right w:val="single" w:sz="2" w:space="0" w:color="000000"/>
                            </w:tcBorders>
                            <w:shd w:val="clear" w:color="auto" w:fill="FFFFFF"/>
                          </w:tcPr>
                          <w:p>
                            <w:pPr>
                              <w:pStyle w:val="TableParagraph"/>
                              <w:rPr>
                                <w:sz w:val="9"/>
                              </w:rPr>
                            </w:pPr>
                          </w:p>
                          <w:p>
                            <w:pPr>
                              <w:pStyle w:val="TableParagraph"/>
                              <w:spacing w:before="37"/>
                              <w:rPr>
                                <w:sz w:val="9"/>
                              </w:rPr>
                            </w:pPr>
                          </w:p>
                          <w:p>
                            <w:pPr>
                              <w:pStyle w:val="TableParagraph"/>
                              <w:ind w:right="3"/>
                              <w:jc w:val="right"/>
                              <w:rPr>
                                <w:rFonts w:ascii="Arial"/>
                                <w:sz w:val="9"/>
                              </w:rPr>
                            </w:pPr>
                            <w:r>
                              <w:rPr>
                                <w:rFonts w:ascii="Arial"/>
                                <w:w w:val="80"/>
                                <w:sz w:val="9"/>
                              </w:rPr>
                              <w:t>10</w:t>
                            </w:r>
                            <w:r>
                              <w:rPr>
                                <w:rFonts w:ascii="Arial"/>
                                <w:spacing w:val="-2"/>
                                <w:w w:val="90"/>
                                <w:sz w:val="9"/>
                              </w:rPr>
                              <w:t> 229,41</w:t>
                            </w:r>
                          </w:p>
                        </w:tc>
                        <w:tc>
                          <w:tcPr>
                            <w:tcW w:w="496" w:type="dxa"/>
                            <w:tcBorders>
                              <w:top w:val="single" w:sz="2" w:space="0" w:color="000000"/>
                              <w:left w:val="single" w:sz="2" w:space="0" w:color="000000"/>
                              <w:right w:val="single" w:sz="2" w:space="0" w:color="000000"/>
                            </w:tcBorders>
                            <w:shd w:val="clear" w:color="auto" w:fill="FFFFFF"/>
                          </w:tcPr>
                          <w:p>
                            <w:pPr>
                              <w:pStyle w:val="TableParagraph"/>
                              <w:rPr>
                                <w:sz w:val="9"/>
                              </w:rPr>
                            </w:pPr>
                          </w:p>
                          <w:p>
                            <w:pPr>
                              <w:pStyle w:val="TableParagraph"/>
                              <w:spacing w:before="37"/>
                              <w:rPr>
                                <w:sz w:val="9"/>
                              </w:rPr>
                            </w:pPr>
                          </w:p>
                          <w:p>
                            <w:pPr>
                              <w:pStyle w:val="TableParagraph"/>
                              <w:ind w:right="2"/>
                              <w:jc w:val="right"/>
                              <w:rPr>
                                <w:rFonts w:ascii="Arial"/>
                                <w:sz w:val="9"/>
                              </w:rPr>
                            </w:pPr>
                            <w:r>
                              <w:rPr>
                                <w:rFonts w:ascii="Arial"/>
                                <w:spacing w:val="-2"/>
                                <w:w w:val="90"/>
                                <w:sz w:val="9"/>
                              </w:rPr>
                              <w:t>4,45%</w:t>
                            </w:r>
                          </w:p>
                        </w:tc>
                        <w:tc>
                          <w:tcPr>
                            <w:tcW w:w="1339" w:type="dxa"/>
                            <w:tcBorders>
                              <w:top w:val="single" w:sz="2" w:space="0" w:color="000000"/>
                              <w:left w:val="single" w:sz="2" w:space="0" w:color="000000"/>
                              <w:right w:val="single" w:sz="2" w:space="0" w:color="000000"/>
                            </w:tcBorders>
                          </w:tcPr>
                          <w:p>
                            <w:pPr>
                              <w:pStyle w:val="TableParagraph"/>
                              <w:spacing w:line="273" w:lineRule="auto" w:before="7"/>
                              <w:ind w:left="18"/>
                              <w:rPr>
                                <w:rFonts w:ascii="Arial"/>
                                <w:sz w:val="9"/>
                              </w:rPr>
                            </w:pPr>
                            <w:r>
                              <w:rPr>
                                <w:rFonts w:ascii="Arial"/>
                                <w:w w:val="80"/>
                                <w:sz w:val="9"/>
                              </w:rPr>
                              <w:t>Presenta</w:t>
                            </w:r>
                            <w:r>
                              <w:rPr>
                                <w:rFonts w:ascii="Arial"/>
                                <w:spacing w:val="-3"/>
                                <w:w w:val="80"/>
                                <w:sz w:val="9"/>
                              </w:rPr>
                              <w:t> </w:t>
                            </w:r>
                            <w:r>
                              <w:rPr>
                                <w:rFonts w:ascii="Arial"/>
                                <w:w w:val="80"/>
                                <w:sz w:val="9"/>
                              </w:rPr>
                              <w:t>un</w:t>
                            </w:r>
                            <w:r>
                              <w:rPr>
                                <w:rFonts w:ascii="Arial"/>
                                <w:spacing w:val="-2"/>
                                <w:w w:val="80"/>
                                <w:sz w:val="9"/>
                              </w:rPr>
                              <w:t> </w:t>
                            </w:r>
                            <w:r>
                              <w:rPr>
                                <w:rFonts w:ascii="Arial"/>
                                <w:w w:val="80"/>
                                <w:sz w:val="9"/>
                              </w:rPr>
                              <w:t>incremento</w:t>
                            </w:r>
                            <w:r>
                              <w:rPr>
                                <w:rFonts w:ascii="Arial"/>
                                <w:spacing w:val="-3"/>
                                <w:w w:val="80"/>
                                <w:sz w:val="9"/>
                              </w:rPr>
                              <w:t> </w:t>
                            </w:r>
                            <w:r>
                              <w:rPr>
                                <w:rFonts w:ascii="Arial"/>
                                <w:w w:val="80"/>
                                <w:sz w:val="9"/>
                              </w:rPr>
                              <w:t>en</w:t>
                            </w:r>
                            <w:r>
                              <w:rPr>
                                <w:rFonts w:ascii="Arial"/>
                                <w:spacing w:val="-1"/>
                                <w:w w:val="80"/>
                                <w:sz w:val="9"/>
                              </w:rPr>
                              <w:t> </w:t>
                            </w:r>
                            <w:r>
                              <w:rPr>
                                <w:rFonts w:ascii="Arial"/>
                                <w:w w:val="80"/>
                                <w:sz w:val="9"/>
                              </w:rPr>
                              <w:t>los</w:t>
                            </w:r>
                            <w:r>
                              <w:rPr>
                                <w:rFonts w:ascii="Arial"/>
                                <w:spacing w:val="-1"/>
                                <w:w w:val="80"/>
                                <w:sz w:val="9"/>
                              </w:rPr>
                              <w:t> </w:t>
                            </w:r>
                            <w:r>
                              <w:rPr>
                                <w:rFonts w:ascii="Arial"/>
                                <w:w w:val="80"/>
                                <w:sz w:val="9"/>
                              </w:rPr>
                              <w:t>saldos</w:t>
                            </w:r>
                            <w:r>
                              <w:rPr>
                                <w:rFonts w:ascii="Arial"/>
                                <w:spacing w:val="-1"/>
                                <w:w w:val="80"/>
                                <w:sz w:val="9"/>
                              </w:rPr>
                              <w:t> </w:t>
                            </w:r>
                            <w:r>
                              <w:rPr>
                                <w:rFonts w:ascii="Arial"/>
                                <w:w w:val="80"/>
                                <w:sz w:val="9"/>
                              </w:rPr>
                              <w:t>de</w:t>
                            </w:r>
                            <w:r>
                              <w:rPr>
                                <w:rFonts w:ascii="Arial"/>
                                <w:spacing w:val="40"/>
                                <w:sz w:val="9"/>
                              </w:rPr>
                              <w:t> </w:t>
                            </w:r>
                            <w:r>
                              <w:rPr>
                                <w:rFonts w:ascii="Arial"/>
                                <w:w w:val="85"/>
                                <w:sz w:val="9"/>
                              </w:rPr>
                              <w:t>las</w:t>
                            </w:r>
                            <w:r>
                              <w:rPr>
                                <w:rFonts w:ascii="Arial"/>
                                <w:spacing w:val="-3"/>
                                <w:w w:val="85"/>
                                <w:sz w:val="9"/>
                              </w:rPr>
                              <w:t> </w:t>
                            </w:r>
                            <w:r>
                              <w:rPr>
                                <w:rFonts w:ascii="Arial"/>
                                <w:w w:val="85"/>
                                <w:sz w:val="9"/>
                              </w:rPr>
                              <w:t>cuenta</w:t>
                            </w:r>
                            <w:r>
                              <w:rPr>
                                <w:rFonts w:ascii="Arial"/>
                                <w:spacing w:val="-4"/>
                                <w:w w:val="85"/>
                                <w:sz w:val="9"/>
                              </w:rPr>
                              <w:t> </w:t>
                            </w:r>
                            <w:r>
                              <w:rPr>
                                <w:rFonts w:ascii="Arial"/>
                                <w:w w:val="85"/>
                                <w:sz w:val="9"/>
                              </w:rPr>
                              <w:t>por</w:t>
                            </w:r>
                            <w:r>
                              <w:rPr>
                                <w:rFonts w:ascii="Arial"/>
                                <w:spacing w:val="-3"/>
                                <w:w w:val="85"/>
                                <w:sz w:val="9"/>
                              </w:rPr>
                              <w:t> </w:t>
                            </w:r>
                            <w:r>
                              <w:rPr>
                                <w:rFonts w:ascii="Arial"/>
                                <w:w w:val="85"/>
                                <w:sz w:val="9"/>
                              </w:rPr>
                              <w:t>cobrar</w:t>
                            </w:r>
                            <w:r>
                              <w:rPr>
                                <w:rFonts w:ascii="Arial"/>
                                <w:spacing w:val="-2"/>
                                <w:w w:val="85"/>
                                <w:sz w:val="9"/>
                              </w:rPr>
                              <w:t> </w:t>
                            </w:r>
                            <w:r>
                              <w:rPr>
                                <w:rFonts w:ascii="Arial"/>
                                <w:w w:val="85"/>
                                <w:sz w:val="9"/>
                              </w:rPr>
                              <w:t>produciendo</w:t>
                            </w:r>
                            <w:r>
                              <w:rPr>
                                <w:rFonts w:ascii="Arial"/>
                                <w:spacing w:val="40"/>
                                <w:sz w:val="9"/>
                              </w:rPr>
                              <w:t> </w:t>
                            </w:r>
                            <w:r>
                              <w:rPr>
                                <w:rFonts w:ascii="Arial"/>
                                <w:spacing w:val="-2"/>
                                <w:w w:val="90"/>
                                <w:sz w:val="9"/>
                              </w:rPr>
                              <w:t>incremento</w:t>
                            </w:r>
                            <w:r>
                              <w:rPr>
                                <w:rFonts w:ascii="Arial"/>
                                <w:spacing w:val="-6"/>
                                <w:w w:val="90"/>
                                <w:sz w:val="9"/>
                              </w:rPr>
                              <w:t> </w:t>
                            </w:r>
                            <w:r>
                              <w:rPr>
                                <w:rFonts w:ascii="Arial"/>
                                <w:spacing w:val="-2"/>
                                <w:w w:val="90"/>
                                <w:sz w:val="9"/>
                              </w:rPr>
                              <w:t>en</w:t>
                            </w:r>
                            <w:r>
                              <w:rPr>
                                <w:rFonts w:ascii="Arial"/>
                                <w:spacing w:val="-5"/>
                                <w:sz w:val="9"/>
                              </w:rPr>
                              <w:t> </w:t>
                            </w:r>
                            <w:r>
                              <w:rPr>
                                <w:rFonts w:ascii="Arial"/>
                                <w:spacing w:val="-2"/>
                                <w:w w:val="90"/>
                                <w:sz w:val="9"/>
                              </w:rPr>
                              <w:t>los</w:t>
                            </w:r>
                            <w:r>
                              <w:rPr>
                                <w:rFonts w:ascii="Arial"/>
                                <w:spacing w:val="-3"/>
                                <w:w w:val="90"/>
                                <w:sz w:val="9"/>
                              </w:rPr>
                              <w:t> </w:t>
                            </w:r>
                            <w:r>
                              <w:rPr>
                                <w:rFonts w:ascii="Arial"/>
                                <w:spacing w:val="-2"/>
                                <w:w w:val="90"/>
                                <w:sz w:val="9"/>
                              </w:rPr>
                              <w:t>porcentajes</w:t>
                            </w:r>
                            <w:r>
                              <w:rPr>
                                <w:rFonts w:ascii="Arial"/>
                                <w:spacing w:val="-4"/>
                                <w:w w:val="90"/>
                                <w:sz w:val="9"/>
                              </w:rPr>
                              <w:t> </w:t>
                            </w:r>
                            <w:r>
                              <w:rPr>
                                <w:rFonts w:ascii="Arial"/>
                                <w:spacing w:val="-2"/>
                                <w:w w:val="90"/>
                                <w:sz w:val="9"/>
                              </w:rPr>
                              <w:t>de</w:t>
                            </w:r>
                            <w:r>
                              <w:rPr>
                                <w:rFonts w:ascii="Arial"/>
                                <w:spacing w:val="40"/>
                                <w:sz w:val="9"/>
                              </w:rPr>
                              <w:t> </w:t>
                            </w:r>
                            <w:r>
                              <w:rPr>
                                <w:rFonts w:ascii="Arial"/>
                                <w:spacing w:val="-2"/>
                                <w:w w:val="85"/>
                                <w:sz w:val="9"/>
                              </w:rPr>
                              <w:t>incobrabilidad</w:t>
                            </w:r>
                            <w:r>
                              <w:rPr>
                                <w:rFonts w:ascii="Arial"/>
                                <w:spacing w:val="-1"/>
                                <w:sz w:val="9"/>
                              </w:rPr>
                              <w:t> </w:t>
                            </w:r>
                            <w:r>
                              <w:rPr>
                                <w:rFonts w:ascii="Arial"/>
                                <w:spacing w:val="-2"/>
                                <w:w w:val="85"/>
                                <w:sz w:val="9"/>
                              </w:rPr>
                              <w:t>aplicados para realizar la</w:t>
                            </w:r>
                          </w:p>
                          <w:p>
                            <w:pPr>
                              <w:pStyle w:val="TableParagraph"/>
                              <w:spacing w:line="83" w:lineRule="exact"/>
                              <w:ind w:left="18"/>
                              <w:rPr>
                                <w:rFonts w:ascii="Arial" w:hAnsi="Arial"/>
                                <w:sz w:val="9"/>
                              </w:rPr>
                            </w:pPr>
                            <w:r>
                              <w:rPr>
                                <w:rFonts w:ascii="Arial" w:hAnsi="Arial"/>
                                <w:w w:val="80"/>
                                <w:sz w:val="9"/>
                              </w:rPr>
                              <w:t>previsión</w:t>
                            </w:r>
                            <w:r>
                              <w:rPr>
                                <w:rFonts w:ascii="Arial" w:hAnsi="Arial"/>
                                <w:spacing w:val="-5"/>
                                <w:sz w:val="9"/>
                              </w:rPr>
                              <w:t> </w:t>
                            </w:r>
                            <w:r>
                              <w:rPr>
                                <w:rFonts w:ascii="Arial" w:hAnsi="Arial"/>
                                <w:w w:val="80"/>
                                <w:sz w:val="9"/>
                              </w:rPr>
                              <w:t>a</w:t>
                            </w:r>
                            <w:r>
                              <w:rPr>
                                <w:rFonts w:ascii="Arial" w:hAnsi="Arial"/>
                                <w:spacing w:val="-3"/>
                                <w:w w:val="80"/>
                                <w:sz w:val="9"/>
                              </w:rPr>
                              <w:t> </w:t>
                            </w:r>
                            <w:r>
                              <w:rPr>
                                <w:rFonts w:ascii="Arial" w:hAnsi="Arial"/>
                                <w:w w:val="80"/>
                                <w:sz w:val="9"/>
                              </w:rPr>
                              <w:t>julio</w:t>
                            </w:r>
                            <w:r>
                              <w:rPr>
                                <w:rFonts w:ascii="Arial" w:hAnsi="Arial"/>
                                <w:spacing w:val="-3"/>
                                <w:w w:val="80"/>
                                <w:sz w:val="9"/>
                              </w:rPr>
                              <w:t> </w:t>
                            </w:r>
                            <w:r>
                              <w:rPr>
                                <w:rFonts w:ascii="Arial" w:hAnsi="Arial"/>
                                <w:spacing w:val="-2"/>
                                <w:w w:val="80"/>
                                <w:sz w:val="9"/>
                              </w:rPr>
                              <w:t>2026.</w:t>
                            </w:r>
                          </w:p>
                        </w:tc>
                      </w:tr>
                      <w:tr>
                        <w:trPr>
                          <w:trHeight w:val="122" w:hRule="atLeast"/>
                        </w:trPr>
                        <w:tc>
                          <w:tcPr>
                            <w:tcW w:w="493" w:type="dxa"/>
                            <w:tcBorders>
                              <w:left w:val="single" w:sz="2" w:space="0" w:color="000000"/>
                              <w:right w:val="single" w:sz="2" w:space="0" w:color="000000"/>
                            </w:tcBorders>
                            <w:shd w:val="clear" w:color="auto" w:fill="E7E6E6"/>
                          </w:tcPr>
                          <w:p>
                            <w:pPr>
                              <w:pStyle w:val="TableParagraph"/>
                              <w:rPr>
                                <w:rFonts w:ascii="Times New Roman"/>
                                <w:sz w:val="6"/>
                              </w:rPr>
                            </w:pPr>
                          </w:p>
                        </w:tc>
                        <w:tc>
                          <w:tcPr>
                            <w:tcW w:w="1693" w:type="dxa"/>
                            <w:tcBorders>
                              <w:left w:val="single" w:sz="2" w:space="0" w:color="000000"/>
                              <w:right w:val="single" w:sz="2" w:space="0" w:color="000000"/>
                            </w:tcBorders>
                            <w:shd w:val="clear" w:color="auto" w:fill="E7E6E6"/>
                          </w:tcPr>
                          <w:p>
                            <w:pPr>
                              <w:pStyle w:val="TableParagraph"/>
                              <w:spacing w:line="84" w:lineRule="exact" w:before="18"/>
                              <w:ind w:left="13"/>
                              <w:rPr>
                                <w:rFonts w:ascii="Arial" w:hAnsi="Arial"/>
                                <w:b/>
                                <w:sz w:val="9"/>
                              </w:rPr>
                            </w:pPr>
                            <w:r>
                              <w:rPr>
                                <w:rFonts w:ascii="Arial" w:hAnsi="Arial"/>
                                <w:b/>
                                <w:w w:val="80"/>
                                <w:sz w:val="9"/>
                              </w:rPr>
                              <w:t>TOTAL</w:t>
                            </w:r>
                            <w:r>
                              <w:rPr>
                                <w:rFonts w:ascii="Arial" w:hAnsi="Arial"/>
                                <w:b/>
                                <w:spacing w:val="-2"/>
                                <w:w w:val="80"/>
                                <w:sz w:val="9"/>
                              </w:rPr>
                              <w:t> </w:t>
                            </w:r>
                            <w:r>
                              <w:rPr>
                                <w:rFonts w:ascii="Arial" w:hAnsi="Arial"/>
                                <w:b/>
                                <w:w w:val="80"/>
                                <w:sz w:val="9"/>
                              </w:rPr>
                              <w:t>PREVISIÓN</w:t>
                            </w:r>
                            <w:r>
                              <w:rPr>
                                <w:rFonts w:ascii="Arial" w:hAnsi="Arial"/>
                                <w:b/>
                                <w:spacing w:val="-2"/>
                                <w:w w:val="80"/>
                                <w:sz w:val="9"/>
                              </w:rPr>
                              <w:t> </w:t>
                            </w:r>
                            <w:r>
                              <w:rPr>
                                <w:rFonts w:ascii="Arial" w:hAnsi="Arial"/>
                                <w:b/>
                                <w:spacing w:val="-5"/>
                                <w:w w:val="80"/>
                                <w:sz w:val="9"/>
                              </w:rPr>
                              <w:t>C.P</w:t>
                            </w:r>
                          </w:p>
                        </w:tc>
                        <w:tc>
                          <w:tcPr>
                            <w:tcW w:w="704" w:type="dxa"/>
                            <w:tcBorders>
                              <w:left w:val="single" w:sz="2" w:space="0" w:color="000000"/>
                              <w:right w:val="single" w:sz="2" w:space="0" w:color="000000"/>
                            </w:tcBorders>
                            <w:shd w:val="clear" w:color="auto" w:fill="E7E6E6"/>
                          </w:tcPr>
                          <w:p>
                            <w:pPr>
                              <w:pStyle w:val="TableParagraph"/>
                              <w:rPr>
                                <w:rFonts w:ascii="Times New Roman"/>
                                <w:sz w:val="6"/>
                              </w:rPr>
                            </w:pPr>
                          </w:p>
                        </w:tc>
                        <w:tc>
                          <w:tcPr>
                            <w:tcW w:w="797" w:type="dxa"/>
                            <w:tcBorders>
                              <w:left w:val="single" w:sz="2" w:space="0" w:color="000000"/>
                              <w:right w:val="single" w:sz="2" w:space="0" w:color="000000"/>
                            </w:tcBorders>
                            <w:shd w:val="clear" w:color="auto" w:fill="E7E6E6"/>
                          </w:tcPr>
                          <w:p>
                            <w:pPr>
                              <w:pStyle w:val="TableParagraph"/>
                              <w:spacing w:line="84" w:lineRule="exact" w:before="18"/>
                              <w:ind w:right="5"/>
                              <w:jc w:val="right"/>
                              <w:rPr>
                                <w:rFonts w:ascii="Arial"/>
                                <w:b/>
                                <w:sz w:val="9"/>
                              </w:rPr>
                            </w:pPr>
                            <w:r>
                              <w:rPr>
                                <w:rFonts w:ascii="Arial"/>
                                <w:b/>
                                <w:w w:val="80"/>
                                <w:sz w:val="9"/>
                              </w:rPr>
                              <w:t>8</w:t>
                            </w:r>
                            <w:r>
                              <w:rPr>
                                <w:rFonts w:ascii="Arial"/>
                                <w:b/>
                                <w:spacing w:val="-4"/>
                                <w:sz w:val="9"/>
                              </w:rPr>
                              <w:t> </w:t>
                            </w:r>
                            <w:r>
                              <w:rPr>
                                <w:rFonts w:ascii="Arial"/>
                                <w:b/>
                                <w:w w:val="80"/>
                                <w:sz w:val="9"/>
                              </w:rPr>
                              <w:t>508</w:t>
                            </w:r>
                            <w:r>
                              <w:rPr>
                                <w:rFonts w:ascii="Arial"/>
                                <w:b/>
                                <w:spacing w:val="-4"/>
                                <w:sz w:val="9"/>
                              </w:rPr>
                              <w:t> </w:t>
                            </w:r>
                            <w:r>
                              <w:rPr>
                                <w:rFonts w:ascii="Arial"/>
                                <w:b/>
                                <w:spacing w:val="-2"/>
                                <w:w w:val="80"/>
                                <w:sz w:val="9"/>
                              </w:rPr>
                              <w:t>859,66</w:t>
                            </w:r>
                          </w:p>
                        </w:tc>
                        <w:tc>
                          <w:tcPr>
                            <w:tcW w:w="716" w:type="dxa"/>
                            <w:tcBorders>
                              <w:left w:val="single" w:sz="2" w:space="0" w:color="000000"/>
                              <w:right w:val="single" w:sz="2" w:space="0" w:color="000000"/>
                            </w:tcBorders>
                            <w:shd w:val="clear" w:color="auto" w:fill="E7E6E6"/>
                          </w:tcPr>
                          <w:p>
                            <w:pPr>
                              <w:pStyle w:val="TableParagraph"/>
                              <w:spacing w:line="84" w:lineRule="exact" w:before="18"/>
                              <w:ind w:right="4"/>
                              <w:jc w:val="right"/>
                              <w:rPr>
                                <w:rFonts w:ascii="Arial"/>
                                <w:b/>
                                <w:sz w:val="9"/>
                              </w:rPr>
                            </w:pPr>
                            <w:r>
                              <w:rPr>
                                <w:rFonts w:ascii="Arial"/>
                                <w:b/>
                                <w:w w:val="80"/>
                                <w:sz w:val="9"/>
                              </w:rPr>
                              <w:t>8</w:t>
                            </w:r>
                            <w:r>
                              <w:rPr>
                                <w:rFonts w:ascii="Arial"/>
                                <w:b/>
                                <w:spacing w:val="-4"/>
                                <w:sz w:val="9"/>
                              </w:rPr>
                              <w:t> </w:t>
                            </w:r>
                            <w:r>
                              <w:rPr>
                                <w:rFonts w:ascii="Arial"/>
                                <w:b/>
                                <w:w w:val="80"/>
                                <w:sz w:val="9"/>
                              </w:rPr>
                              <w:t>514</w:t>
                            </w:r>
                            <w:r>
                              <w:rPr>
                                <w:rFonts w:ascii="Arial"/>
                                <w:b/>
                                <w:spacing w:val="-4"/>
                                <w:sz w:val="9"/>
                              </w:rPr>
                              <w:t> </w:t>
                            </w:r>
                            <w:r>
                              <w:rPr>
                                <w:rFonts w:ascii="Arial"/>
                                <w:b/>
                                <w:spacing w:val="-2"/>
                                <w:w w:val="80"/>
                                <w:sz w:val="9"/>
                              </w:rPr>
                              <w:t>863,79</w:t>
                            </w:r>
                          </w:p>
                        </w:tc>
                        <w:tc>
                          <w:tcPr>
                            <w:tcW w:w="728" w:type="dxa"/>
                            <w:tcBorders>
                              <w:left w:val="single" w:sz="2" w:space="0" w:color="000000"/>
                              <w:right w:val="single" w:sz="2" w:space="0" w:color="000000"/>
                            </w:tcBorders>
                            <w:shd w:val="clear" w:color="auto" w:fill="E7E6E6"/>
                          </w:tcPr>
                          <w:p>
                            <w:pPr>
                              <w:pStyle w:val="TableParagraph"/>
                              <w:spacing w:line="84" w:lineRule="exact" w:before="18"/>
                              <w:ind w:right="3"/>
                              <w:jc w:val="right"/>
                              <w:rPr>
                                <w:rFonts w:ascii="Arial"/>
                                <w:b/>
                                <w:sz w:val="9"/>
                              </w:rPr>
                            </w:pPr>
                            <w:r>
                              <w:rPr>
                                <w:rFonts w:ascii="Arial"/>
                                <w:b/>
                                <w:w w:val="80"/>
                                <w:sz w:val="9"/>
                              </w:rPr>
                              <w:t>-6</w:t>
                            </w:r>
                            <w:r>
                              <w:rPr>
                                <w:rFonts w:ascii="Arial"/>
                                <w:b/>
                                <w:spacing w:val="-1"/>
                                <w:w w:val="80"/>
                                <w:sz w:val="9"/>
                              </w:rPr>
                              <w:t> </w:t>
                            </w:r>
                            <w:r>
                              <w:rPr>
                                <w:rFonts w:ascii="Arial"/>
                                <w:b/>
                                <w:spacing w:val="-2"/>
                                <w:w w:val="80"/>
                                <w:sz w:val="9"/>
                              </w:rPr>
                              <w:t>004,14</w:t>
                            </w:r>
                          </w:p>
                        </w:tc>
                        <w:tc>
                          <w:tcPr>
                            <w:tcW w:w="496" w:type="dxa"/>
                            <w:tcBorders>
                              <w:left w:val="single" w:sz="2" w:space="0" w:color="000000"/>
                              <w:right w:val="single" w:sz="2" w:space="0" w:color="000000"/>
                            </w:tcBorders>
                            <w:shd w:val="clear" w:color="auto" w:fill="E7E6E6"/>
                          </w:tcPr>
                          <w:p>
                            <w:pPr>
                              <w:pStyle w:val="TableParagraph"/>
                              <w:spacing w:line="84" w:lineRule="exact" w:before="18"/>
                              <w:jc w:val="right"/>
                              <w:rPr>
                                <w:rFonts w:ascii="Arial"/>
                                <w:b/>
                                <w:sz w:val="9"/>
                              </w:rPr>
                            </w:pPr>
                            <w:r>
                              <w:rPr>
                                <w:rFonts w:ascii="Arial"/>
                                <w:b/>
                                <w:spacing w:val="-2"/>
                                <w:w w:val="80"/>
                                <w:sz w:val="9"/>
                              </w:rPr>
                              <w:t>-</w:t>
                            </w:r>
                            <w:r>
                              <w:rPr>
                                <w:rFonts w:ascii="Arial"/>
                                <w:b/>
                                <w:spacing w:val="-2"/>
                                <w:w w:val="90"/>
                                <w:sz w:val="9"/>
                              </w:rPr>
                              <w:t>0,07%</w:t>
                            </w:r>
                          </w:p>
                        </w:tc>
                        <w:tc>
                          <w:tcPr>
                            <w:tcW w:w="1339" w:type="dxa"/>
                            <w:tcBorders>
                              <w:left w:val="single" w:sz="2" w:space="0" w:color="000000"/>
                              <w:right w:val="single" w:sz="2" w:space="0" w:color="000000"/>
                            </w:tcBorders>
                            <w:shd w:val="clear" w:color="auto" w:fill="E7E6E6"/>
                          </w:tcPr>
                          <w:p>
                            <w:pPr>
                              <w:pStyle w:val="TableParagraph"/>
                              <w:rPr>
                                <w:rFonts w:ascii="Times New Roman"/>
                                <w:sz w:val="6"/>
                              </w:rPr>
                            </w:pP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54</w:t>
      </w:r>
    </w:p>
    <w:p>
      <w:pPr>
        <w:pStyle w:val="BodyText"/>
        <w:rPr>
          <w:sz w:val="19"/>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
        <w:gridCol w:w="529"/>
        <w:gridCol w:w="1584"/>
        <w:gridCol w:w="842"/>
        <w:gridCol w:w="842"/>
        <w:gridCol w:w="858"/>
        <w:gridCol w:w="763"/>
        <w:gridCol w:w="679"/>
        <w:gridCol w:w="758"/>
        <w:gridCol w:w="995"/>
      </w:tblGrid>
      <w:tr>
        <w:trPr>
          <w:trHeight w:val="306" w:hRule="atLeast"/>
        </w:trPr>
        <w:tc>
          <w:tcPr>
            <w:tcW w:w="978" w:type="dxa"/>
            <w:vMerge w:val="restart"/>
            <w:tcBorders>
              <w:bottom w:val="nil"/>
            </w:tcBorders>
          </w:tcPr>
          <w:p>
            <w:pPr>
              <w:pStyle w:val="TableParagraph"/>
              <w:rPr>
                <w:rFonts w:ascii="Times New Roman"/>
                <w:sz w:val="8"/>
              </w:rPr>
            </w:pPr>
          </w:p>
        </w:tc>
        <w:tc>
          <w:tcPr>
            <w:tcW w:w="6855" w:type="dxa"/>
            <w:gridSpan w:val="8"/>
            <w:tcBorders>
              <w:top w:val="single" w:sz="6" w:space="0" w:color="000000"/>
            </w:tcBorders>
            <w:shd w:val="clear" w:color="auto" w:fill="E7E6E6"/>
          </w:tcPr>
          <w:p>
            <w:pPr>
              <w:pStyle w:val="TableParagraph"/>
              <w:spacing w:line="156" w:lineRule="exact"/>
              <w:ind w:left="2515" w:right="1718" w:hanging="785"/>
              <w:rPr>
                <w:rFonts w:ascii="Arial" w:hAnsi="Arial"/>
                <w:b/>
                <w:sz w:val="11"/>
              </w:rPr>
            </w:pPr>
            <w:r>
              <w:rPr>
                <w:rFonts w:ascii="Arial" w:hAnsi="Arial"/>
                <w:b/>
                <w:w w:val="75"/>
                <w:sz w:val="11"/>
              </w:rPr>
              <w:t>CONCILIACIÓN DE LAS VARIACIONES DE LAS ESTIMACIONES DE INCOBRABLES</w:t>
            </w:r>
            <w:r>
              <w:rPr>
                <w:rFonts w:ascii="Arial" w:hAnsi="Arial"/>
                <w:b/>
                <w:spacing w:val="40"/>
                <w:sz w:val="11"/>
              </w:rPr>
              <w:t> </w:t>
            </w:r>
            <w:r>
              <w:rPr>
                <w:rFonts w:ascii="Arial" w:hAnsi="Arial"/>
                <w:b/>
                <w:w w:val="80"/>
                <w:sz w:val="11"/>
              </w:rPr>
              <w:t>DE LAS CUENTAS POR COBRAR AL 31.07.26</w:t>
            </w:r>
          </w:p>
        </w:tc>
        <w:tc>
          <w:tcPr>
            <w:tcW w:w="995" w:type="dxa"/>
            <w:vMerge w:val="restart"/>
            <w:tcBorders>
              <w:bottom w:val="nil"/>
            </w:tcBorders>
          </w:tcPr>
          <w:p>
            <w:pPr>
              <w:pStyle w:val="TableParagraph"/>
              <w:rPr>
                <w:rFonts w:ascii="Times New Roman"/>
                <w:sz w:val="8"/>
              </w:rPr>
            </w:pPr>
          </w:p>
        </w:tc>
      </w:tr>
      <w:tr>
        <w:trPr>
          <w:trHeight w:val="381" w:hRule="atLeast"/>
        </w:trPr>
        <w:tc>
          <w:tcPr>
            <w:tcW w:w="978" w:type="dxa"/>
            <w:vMerge/>
            <w:tcBorders>
              <w:top w:val="nil"/>
              <w:bottom w:val="nil"/>
            </w:tcBorders>
          </w:tcPr>
          <w:p>
            <w:pPr>
              <w:rPr>
                <w:sz w:val="2"/>
                <w:szCs w:val="2"/>
              </w:rPr>
            </w:pPr>
          </w:p>
        </w:tc>
        <w:tc>
          <w:tcPr>
            <w:tcW w:w="529" w:type="dxa"/>
            <w:vMerge w:val="restart"/>
            <w:shd w:val="clear" w:color="auto" w:fill="E7E6E6"/>
          </w:tcPr>
          <w:p>
            <w:pPr>
              <w:pStyle w:val="TableParagraph"/>
              <w:spacing w:before="43"/>
              <w:rPr>
                <w:sz w:val="9"/>
              </w:rPr>
            </w:pPr>
          </w:p>
          <w:p>
            <w:pPr>
              <w:pStyle w:val="TableParagraph"/>
              <w:spacing w:line="276" w:lineRule="auto"/>
              <w:ind w:left="63" w:firstLine="49"/>
              <w:rPr>
                <w:rFonts w:ascii="Arial"/>
                <w:b/>
                <w:sz w:val="9"/>
              </w:rPr>
            </w:pPr>
            <w:r>
              <w:rPr>
                <w:rFonts w:ascii="Arial"/>
                <w:b/>
                <w:spacing w:val="-2"/>
                <w:w w:val="90"/>
                <w:sz w:val="9"/>
              </w:rPr>
              <w:t>CUENTA</w:t>
            </w:r>
            <w:r>
              <w:rPr>
                <w:rFonts w:ascii="Arial"/>
                <w:b/>
                <w:spacing w:val="40"/>
                <w:sz w:val="9"/>
              </w:rPr>
              <w:t> </w:t>
            </w:r>
            <w:r>
              <w:rPr>
                <w:rFonts w:ascii="Arial"/>
                <w:b/>
                <w:spacing w:val="-2"/>
                <w:w w:val="80"/>
                <w:sz w:val="9"/>
              </w:rPr>
              <w:t>CONTABLE</w:t>
            </w:r>
          </w:p>
        </w:tc>
        <w:tc>
          <w:tcPr>
            <w:tcW w:w="1584" w:type="dxa"/>
            <w:vMerge w:val="restart"/>
            <w:shd w:val="clear" w:color="auto" w:fill="E7E6E6"/>
          </w:tcPr>
          <w:p>
            <w:pPr>
              <w:pStyle w:val="TableParagraph"/>
              <w:rPr>
                <w:sz w:val="9"/>
              </w:rPr>
            </w:pPr>
          </w:p>
          <w:p>
            <w:pPr>
              <w:pStyle w:val="TableParagraph"/>
              <w:spacing w:before="59"/>
              <w:rPr>
                <w:sz w:val="9"/>
              </w:rPr>
            </w:pPr>
          </w:p>
          <w:p>
            <w:pPr>
              <w:pStyle w:val="TableParagraph"/>
              <w:ind w:left="260"/>
              <w:rPr>
                <w:rFonts w:ascii="Arial"/>
                <w:b/>
                <w:sz w:val="9"/>
              </w:rPr>
            </w:pPr>
            <w:r>
              <w:rPr>
                <w:rFonts w:ascii="Arial"/>
                <w:b/>
                <w:w w:val="75"/>
                <w:sz w:val="9"/>
              </w:rPr>
              <w:t>NOMBRE</w:t>
            </w:r>
            <w:r>
              <w:rPr>
                <w:rFonts w:ascii="Arial"/>
                <w:b/>
                <w:spacing w:val="9"/>
                <w:sz w:val="9"/>
              </w:rPr>
              <w:t> </w:t>
            </w:r>
            <w:r>
              <w:rPr>
                <w:rFonts w:ascii="Arial"/>
                <w:b/>
                <w:w w:val="75"/>
                <w:sz w:val="9"/>
              </w:rPr>
              <w:t>CUENTA</w:t>
            </w:r>
            <w:r>
              <w:rPr>
                <w:rFonts w:ascii="Arial"/>
                <w:b/>
                <w:spacing w:val="11"/>
                <w:sz w:val="9"/>
              </w:rPr>
              <w:t> </w:t>
            </w:r>
            <w:r>
              <w:rPr>
                <w:rFonts w:ascii="Arial"/>
                <w:b/>
                <w:spacing w:val="-2"/>
                <w:w w:val="75"/>
                <w:sz w:val="9"/>
              </w:rPr>
              <w:t>CONTABLE</w:t>
            </w:r>
          </w:p>
        </w:tc>
        <w:tc>
          <w:tcPr>
            <w:tcW w:w="842" w:type="dxa"/>
            <w:vMerge w:val="restart"/>
            <w:shd w:val="clear" w:color="auto" w:fill="E7E6E6"/>
          </w:tcPr>
          <w:p>
            <w:pPr>
              <w:pStyle w:val="TableParagraph"/>
              <w:rPr>
                <w:sz w:val="9"/>
              </w:rPr>
            </w:pPr>
          </w:p>
          <w:p>
            <w:pPr>
              <w:pStyle w:val="TableParagraph"/>
              <w:spacing w:before="59"/>
              <w:rPr>
                <w:sz w:val="9"/>
              </w:rPr>
            </w:pPr>
          </w:p>
          <w:p>
            <w:pPr>
              <w:pStyle w:val="TableParagraph"/>
              <w:ind w:left="215"/>
              <w:rPr>
                <w:rFonts w:ascii="Arial"/>
                <w:b/>
                <w:sz w:val="9"/>
              </w:rPr>
            </w:pPr>
            <w:r>
              <w:rPr>
                <w:rFonts w:ascii="Arial"/>
                <w:b/>
                <w:spacing w:val="-2"/>
                <w:w w:val="90"/>
                <w:sz w:val="9"/>
              </w:rPr>
              <w:t>CONCEPTO</w:t>
            </w:r>
          </w:p>
        </w:tc>
        <w:tc>
          <w:tcPr>
            <w:tcW w:w="842" w:type="dxa"/>
            <w:vMerge w:val="restart"/>
            <w:shd w:val="clear" w:color="auto" w:fill="E7E6E6"/>
          </w:tcPr>
          <w:p>
            <w:pPr>
              <w:pStyle w:val="TableParagraph"/>
              <w:spacing w:line="276" w:lineRule="auto" w:before="27"/>
              <w:ind w:left="89" w:right="79" w:firstLine="4"/>
              <w:jc w:val="center"/>
              <w:rPr>
                <w:rFonts w:ascii="Arial"/>
                <w:b/>
                <w:sz w:val="9"/>
              </w:rPr>
            </w:pPr>
            <w:r>
              <w:rPr>
                <w:rFonts w:ascii="Arial"/>
                <w:b/>
                <w:spacing w:val="-2"/>
                <w:w w:val="90"/>
                <w:sz w:val="9"/>
              </w:rPr>
              <w:t>SALDOS</w:t>
            </w:r>
            <w:r>
              <w:rPr>
                <w:rFonts w:ascii="Arial"/>
                <w:b/>
                <w:spacing w:val="40"/>
                <w:sz w:val="9"/>
              </w:rPr>
              <w:t> </w:t>
            </w:r>
            <w:r>
              <w:rPr>
                <w:rFonts w:ascii="Arial"/>
                <w:b/>
                <w:spacing w:val="-2"/>
                <w:w w:val="80"/>
                <w:sz w:val="9"/>
              </w:rPr>
              <w:t>ESTIM.INCOBR.</w:t>
            </w:r>
            <w:r>
              <w:rPr>
                <w:rFonts w:ascii="Arial"/>
                <w:b/>
                <w:spacing w:val="-5"/>
                <w:sz w:val="9"/>
              </w:rPr>
              <w:t> </w:t>
            </w:r>
            <w:r>
              <w:rPr>
                <w:rFonts w:ascii="Arial"/>
                <w:b/>
                <w:spacing w:val="-2"/>
                <w:w w:val="80"/>
                <w:sz w:val="9"/>
              </w:rPr>
              <w:t>AL</w:t>
            </w:r>
            <w:r>
              <w:rPr>
                <w:rFonts w:ascii="Arial"/>
                <w:b/>
                <w:spacing w:val="40"/>
                <w:sz w:val="9"/>
              </w:rPr>
              <w:t> </w:t>
            </w:r>
            <w:r>
              <w:rPr>
                <w:rFonts w:ascii="Arial"/>
                <w:b/>
                <w:spacing w:val="-2"/>
                <w:w w:val="90"/>
                <w:sz w:val="9"/>
              </w:rPr>
              <w:t>31.12.2025</w:t>
            </w:r>
          </w:p>
        </w:tc>
        <w:tc>
          <w:tcPr>
            <w:tcW w:w="2300" w:type="dxa"/>
            <w:gridSpan w:val="3"/>
            <w:shd w:val="clear" w:color="auto" w:fill="E7E6E6"/>
          </w:tcPr>
          <w:p>
            <w:pPr>
              <w:pStyle w:val="TableParagraph"/>
              <w:spacing w:before="33"/>
              <w:rPr>
                <w:sz w:val="9"/>
              </w:rPr>
            </w:pPr>
          </w:p>
          <w:p>
            <w:pPr>
              <w:pStyle w:val="TableParagraph"/>
              <w:ind w:left="716"/>
              <w:rPr>
                <w:rFonts w:ascii="Arial"/>
                <w:b/>
                <w:sz w:val="9"/>
              </w:rPr>
            </w:pPr>
            <w:r>
              <w:rPr>
                <w:rFonts w:ascii="Arial"/>
                <w:b/>
                <w:w w:val="75"/>
                <w:sz w:val="9"/>
              </w:rPr>
              <w:t>VARIACIONES</w:t>
            </w:r>
            <w:r>
              <w:rPr>
                <w:rFonts w:ascii="Arial"/>
                <w:b/>
                <w:spacing w:val="8"/>
                <w:sz w:val="9"/>
              </w:rPr>
              <w:t> </w:t>
            </w:r>
            <w:r>
              <w:rPr>
                <w:rFonts w:ascii="Arial"/>
                <w:b/>
                <w:w w:val="75"/>
                <w:sz w:val="9"/>
              </w:rPr>
              <w:t>A</w:t>
            </w:r>
            <w:r>
              <w:rPr>
                <w:rFonts w:ascii="Arial"/>
                <w:b/>
                <w:spacing w:val="6"/>
                <w:sz w:val="9"/>
              </w:rPr>
              <w:t> </w:t>
            </w:r>
            <w:r>
              <w:rPr>
                <w:rFonts w:ascii="Arial"/>
                <w:b/>
                <w:spacing w:val="-2"/>
                <w:w w:val="75"/>
                <w:sz w:val="9"/>
              </w:rPr>
              <w:t>31.07.26</w:t>
            </w:r>
          </w:p>
        </w:tc>
        <w:tc>
          <w:tcPr>
            <w:tcW w:w="758" w:type="dxa"/>
            <w:vMerge w:val="restart"/>
            <w:shd w:val="clear" w:color="auto" w:fill="E7E6E6"/>
          </w:tcPr>
          <w:p>
            <w:pPr>
              <w:pStyle w:val="TableParagraph"/>
              <w:spacing w:line="276" w:lineRule="auto" w:before="20"/>
              <w:ind w:left="47" w:right="37" w:firstLine="5"/>
              <w:jc w:val="center"/>
              <w:rPr>
                <w:rFonts w:ascii="Arial"/>
                <w:b/>
                <w:sz w:val="9"/>
              </w:rPr>
            </w:pPr>
            <w:r>
              <w:rPr>
                <w:rFonts w:ascii="Arial"/>
                <w:b/>
                <w:spacing w:val="-2"/>
                <w:w w:val="90"/>
                <w:sz w:val="9"/>
              </w:rPr>
              <w:t>SALDOS</w:t>
            </w:r>
            <w:r>
              <w:rPr>
                <w:rFonts w:ascii="Arial"/>
                <w:b/>
                <w:spacing w:val="40"/>
                <w:sz w:val="9"/>
              </w:rPr>
              <w:t> </w:t>
            </w:r>
            <w:r>
              <w:rPr>
                <w:rFonts w:ascii="Arial"/>
                <w:b/>
                <w:spacing w:val="-2"/>
                <w:w w:val="80"/>
                <w:sz w:val="9"/>
              </w:rPr>
              <w:t>ESTIM.INCOBR.</w:t>
            </w:r>
            <w:r>
              <w:rPr>
                <w:rFonts w:ascii="Arial"/>
                <w:b/>
                <w:spacing w:val="-5"/>
                <w:sz w:val="9"/>
              </w:rPr>
              <w:t> </w:t>
            </w:r>
            <w:r>
              <w:rPr>
                <w:rFonts w:ascii="Arial"/>
                <w:b/>
                <w:spacing w:val="-2"/>
                <w:w w:val="80"/>
                <w:sz w:val="9"/>
              </w:rPr>
              <w:t>AL</w:t>
            </w:r>
            <w:r>
              <w:rPr>
                <w:rFonts w:ascii="Arial"/>
                <w:b/>
                <w:spacing w:val="40"/>
                <w:sz w:val="9"/>
              </w:rPr>
              <w:t> </w:t>
            </w:r>
            <w:r>
              <w:rPr>
                <w:rFonts w:ascii="Arial"/>
                <w:b/>
                <w:spacing w:val="-2"/>
                <w:w w:val="90"/>
                <w:sz w:val="9"/>
              </w:rPr>
              <w:t>31.07.26</w:t>
            </w:r>
          </w:p>
        </w:tc>
        <w:tc>
          <w:tcPr>
            <w:tcW w:w="995" w:type="dxa"/>
            <w:vMerge/>
            <w:tcBorders>
              <w:top w:val="nil"/>
              <w:bottom w:val="nil"/>
            </w:tcBorders>
          </w:tcPr>
          <w:p>
            <w:pPr>
              <w:rPr>
                <w:sz w:val="2"/>
                <w:szCs w:val="2"/>
              </w:rPr>
            </w:pPr>
          </w:p>
        </w:tc>
      </w:tr>
      <w:tr>
        <w:trPr>
          <w:trHeight w:val="149" w:hRule="atLeast"/>
        </w:trPr>
        <w:tc>
          <w:tcPr>
            <w:tcW w:w="978" w:type="dxa"/>
            <w:vMerge/>
            <w:tcBorders>
              <w:top w:val="nil"/>
              <w:bottom w:val="nil"/>
            </w:tcBorders>
          </w:tcPr>
          <w:p>
            <w:pPr>
              <w:rPr>
                <w:sz w:val="2"/>
                <w:szCs w:val="2"/>
              </w:rPr>
            </w:pPr>
          </w:p>
        </w:tc>
        <w:tc>
          <w:tcPr>
            <w:tcW w:w="529" w:type="dxa"/>
            <w:vMerge/>
            <w:tcBorders>
              <w:top w:val="nil"/>
            </w:tcBorders>
            <w:shd w:val="clear" w:color="auto" w:fill="E7E6E6"/>
          </w:tcPr>
          <w:p>
            <w:pPr>
              <w:rPr>
                <w:sz w:val="2"/>
                <w:szCs w:val="2"/>
              </w:rPr>
            </w:pPr>
          </w:p>
        </w:tc>
        <w:tc>
          <w:tcPr>
            <w:tcW w:w="1584" w:type="dxa"/>
            <w:vMerge/>
            <w:tcBorders>
              <w:top w:val="nil"/>
            </w:tcBorders>
            <w:shd w:val="clear" w:color="auto" w:fill="E7E6E6"/>
          </w:tcPr>
          <w:p>
            <w:pPr>
              <w:rPr>
                <w:sz w:val="2"/>
                <w:szCs w:val="2"/>
              </w:rPr>
            </w:pPr>
          </w:p>
        </w:tc>
        <w:tc>
          <w:tcPr>
            <w:tcW w:w="842" w:type="dxa"/>
            <w:vMerge/>
            <w:tcBorders>
              <w:top w:val="nil"/>
            </w:tcBorders>
            <w:shd w:val="clear" w:color="auto" w:fill="E7E6E6"/>
          </w:tcPr>
          <w:p>
            <w:pPr>
              <w:rPr>
                <w:sz w:val="2"/>
                <w:szCs w:val="2"/>
              </w:rPr>
            </w:pPr>
          </w:p>
        </w:tc>
        <w:tc>
          <w:tcPr>
            <w:tcW w:w="842" w:type="dxa"/>
            <w:vMerge/>
            <w:tcBorders>
              <w:top w:val="nil"/>
            </w:tcBorders>
            <w:shd w:val="clear" w:color="auto" w:fill="E7E6E6"/>
          </w:tcPr>
          <w:p>
            <w:pPr>
              <w:rPr>
                <w:sz w:val="2"/>
                <w:szCs w:val="2"/>
              </w:rPr>
            </w:pPr>
          </w:p>
        </w:tc>
        <w:tc>
          <w:tcPr>
            <w:tcW w:w="858" w:type="dxa"/>
            <w:shd w:val="clear" w:color="auto" w:fill="E7E6E6"/>
          </w:tcPr>
          <w:p>
            <w:pPr>
              <w:pStyle w:val="TableParagraph"/>
              <w:spacing w:line="115" w:lineRule="exact" w:before="14"/>
              <w:ind w:left="11"/>
              <w:jc w:val="center"/>
              <w:rPr>
                <w:rFonts w:ascii="Arial"/>
                <w:b/>
                <w:sz w:val="11"/>
              </w:rPr>
            </w:pPr>
            <w:r>
              <w:rPr>
                <w:rFonts w:ascii="Arial"/>
                <w:b/>
                <w:spacing w:val="-4"/>
                <w:w w:val="90"/>
                <w:sz w:val="11"/>
              </w:rPr>
              <w:t>DEBE</w:t>
            </w:r>
          </w:p>
        </w:tc>
        <w:tc>
          <w:tcPr>
            <w:tcW w:w="763" w:type="dxa"/>
            <w:shd w:val="clear" w:color="auto" w:fill="E7E6E6"/>
          </w:tcPr>
          <w:p>
            <w:pPr>
              <w:pStyle w:val="TableParagraph"/>
              <w:spacing w:line="115" w:lineRule="exact" w:before="14"/>
              <w:ind w:left="232"/>
              <w:rPr>
                <w:rFonts w:ascii="Arial"/>
                <w:b/>
                <w:sz w:val="11"/>
              </w:rPr>
            </w:pPr>
            <w:r>
              <w:rPr>
                <w:rFonts w:ascii="Arial"/>
                <w:b/>
                <w:spacing w:val="-2"/>
                <w:w w:val="90"/>
                <w:sz w:val="11"/>
              </w:rPr>
              <w:t>HABER</w:t>
            </w:r>
          </w:p>
        </w:tc>
        <w:tc>
          <w:tcPr>
            <w:tcW w:w="679" w:type="dxa"/>
            <w:shd w:val="clear" w:color="auto" w:fill="E7E6E6"/>
          </w:tcPr>
          <w:p>
            <w:pPr>
              <w:pStyle w:val="TableParagraph"/>
              <w:spacing w:line="115" w:lineRule="exact" w:before="14"/>
              <w:ind w:left="221"/>
              <w:rPr>
                <w:rFonts w:ascii="Arial"/>
                <w:b/>
                <w:sz w:val="11"/>
              </w:rPr>
            </w:pPr>
            <w:r>
              <w:rPr>
                <w:rFonts w:ascii="Arial"/>
                <w:b/>
                <w:spacing w:val="-4"/>
                <w:w w:val="90"/>
                <w:sz w:val="11"/>
              </w:rPr>
              <w:t>NETO</w:t>
            </w:r>
          </w:p>
        </w:tc>
        <w:tc>
          <w:tcPr>
            <w:tcW w:w="758" w:type="dxa"/>
            <w:vMerge/>
            <w:tcBorders>
              <w:top w:val="nil"/>
            </w:tcBorders>
            <w:shd w:val="clear" w:color="auto" w:fill="E7E6E6"/>
          </w:tcPr>
          <w:p>
            <w:pPr>
              <w:rPr>
                <w:sz w:val="2"/>
                <w:szCs w:val="2"/>
              </w:rPr>
            </w:pPr>
          </w:p>
        </w:tc>
        <w:tc>
          <w:tcPr>
            <w:tcW w:w="995" w:type="dxa"/>
            <w:vMerge/>
            <w:tcBorders>
              <w:top w:val="nil"/>
              <w:bottom w:val="nil"/>
            </w:tcBorders>
          </w:tcPr>
          <w:p>
            <w:pPr>
              <w:rPr>
                <w:sz w:val="2"/>
                <w:szCs w:val="2"/>
              </w:rPr>
            </w:pPr>
          </w:p>
        </w:tc>
      </w:tr>
      <w:tr>
        <w:trPr>
          <w:trHeight w:val="1086" w:hRule="atLeast"/>
        </w:trPr>
        <w:tc>
          <w:tcPr>
            <w:tcW w:w="978" w:type="dxa"/>
            <w:vMerge/>
            <w:tcBorders>
              <w:top w:val="nil"/>
              <w:bottom w:val="nil"/>
            </w:tcBorders>
          </w:tcPr>
          <w:p>
            <w:pPr>
              <w:rPr>
                <w:sz w:val="2"/>
                <w:szCs w:val="2"/>
              </w:rPr>
            </w:pPr>
          </w:p>
        </w:tc>
        <w:tc>
          <w:tcPr>
            <w:tcW w:w="529" w:type="dxa"/>
            <w:shd w:val="clear" w:color="auto" w:fill="FFFFFF"/>
          </w:tcPr>
          <w:p>
            <w:pPr>
              <w:pStyle w:val="TableParagraph"/>
              <w:spacing w:before="93"/>
              <w:rPr>
                <w:sz w:val="9"/>
              </w:rPr>
            </w:pPr>
          </w:p>
          <w:p>
            <w:pPr>
              <w:pStyle w:val="TableParagraph"/>
              <w:ind w:left="136"/>
              <w:rPr>
                <w:rFonts w:ascii="Arial"/>
                <w:sz w:val="9"/>
              </w:rPr>
            </w:pPr>
            <w:r>
              <w:rPr>
                <w:rFonts w:ascii="Arial"/>
                <w:spacing w:val="-2"/>
                <w:w w:val="90"/>
                <w:sz w:val="9"/>
              </w:rPr>
              <w:t>1.1.3.99</w:t>
            </w:r>
          </w:p>
          <w:p>
            <w:pPr>
              <w:pStyle w:val="TableParagraph"/>
              <w:spacing w:before="52"/>
              <w:ind w:left="136"/>
              <w:rPr>
                <w:rFonts w:ascii="Arial"/>
                <w:sz w:val="9"/>
              </w:rPr>
            </w:pPr>
            <w:r>
              <w:rPr>
                <w:rFonts w:ascii="Arial"/>
                <w:spacing w:val="-2"/>
                <w:w w:val="90"/>
                <w:sz w:val="9"/>
              </w:rPr>
              <w:t>1.1.3.99</w:t>
            </w:r>
          </w:p>
          <w:p>
            <w:pPr>
              <w:pStyle w:val="TableParagraph"/>
              <w:spacing w:before="53"/>
              <w:ind w:left="136"/>
              <w:rPr>
                <w:rFonts w:ascii="Arial"/>
                <w:sz w:val="9"/>
              </w:rPr>
            </w:pPr>
            <w:r>
              <w:rPr>
                <w:rFonts w:ascii="Arial"/>
                <w:spacing w:val="-2"/>
                <w:w w:val="90"/>
                <w:sz w:val="9"/>
              </w:rPr>
              <w:t>1.1.3.99</w:t>
            </w:r>
          </w:p>
          <w:p>
            <w:pPr>
              <w:pStyle w:val="TableParagraph"/>
              <w:spacing w:before="52"/>
              <w:ind w:left="136"/>
              <w:rPr>
                <w:rFonts w:ascii="Arial"/>
                <w:sz w:val="9"/>
              </w:rPr>
            </w:pPr>
            <w:r>
              <w:rPr>
                <w:rFonts w:ascii="Arial"/>
                <w:spacing w:val="-2"/>
                <w:w w:val="90"/>
                <w:sz w:val="9"/>
              </w:rPr>
              <w:t>1.1.3.99</w:t>
            </w:r>
          </w:p>
          <w:p>
            <w:pPr>
              <w:pStyle w:val="TableParagraph"/>
              <w:spacing w:before="53"/>
              <w:ind w:left="136"/>
              <w:rPr>
                <w:rFonts w:ascii="Arial"/>
                <w:sz w:val="9"/>
              </w:rPr>
            </w:pPr>
            <w:r>
              <w:rPr>
                <w:rFonts w:ascii="Arial"/>
                <w:spacing w:val="-2"/>
                <w:w w:val="90"/>
                <w:sz w:val="9"/>
              </w:rPr>
              <w:t>1.1.3.99</w:t>
            </w:r>
          </w:p>
          <w:p>
            <w:pPr>
              <w:pStyle w:val="TableParagraph"/>
              <w:spacing w:line="90" w:lineRule="exact" w:before="53"/>
              <w:ind w:left="136"/>
              <w:rPr>
                <w:rFonts w:ascii="Arial"/>
                <w:sz w:val="9"/>
              </w:rPr>
            </w:pPr>
            <w:r>
              <w:rPr>
                <w:rFonts w:ascii="Arial"/>
                <w:spacing w:val="-2"/>
                <w:w w:val="90"/>
                <w:sz w:val="9"/>
              </w:rPr>
              <w:t>1.1.3.99</w:t>
            </w:r>
          </w:p>
        </w:tc>
        <w:tc>
          <w:tcPr>
            <w:tcW w:w="1584" w:type="dxa"/>
            <w:shd w:val="clear" w:color="auto" w:fill="FFFFFF"/>
          </w:tcPr>
          <w:p>
            <w:pPr>
              <w:pStyle w:val="TableParagraph"/>
              <w:spacing w:before="93"/>
              <w:rPr>
                <w:sz w:val="9"/>
              </w:rPr>
            </w:pPr>
          </w:p>
          <w:p>
            <w:pPr>
              <w:pStyle w:val="TableParagraph"/>
              <w:spacing w:line="362" w:lineRule="auto"/>
              <w:ind w:left="13"/>
              <w:rPr>
                <w:rFonts w:ascii="Arial"/>
                <w:sz w:val="9"/>
              </w:rPr>
            </w:pPr>
            <w:r>
              <w:rPr>
                <w:rFonts w:ascii="Arial"/>
                <w:w w:val="80"/>
                <w:sz w:val="9"/>
              </w:rPr>
              <w:t>PREVISION</w:t>
            </w:r>
            <w:r>
              <w:rPr>
                <w:rFonts w:ascii="Arial"/>
                <w:spacing w:val="-2"/>
                <w:w w:val="80"/>
                <w:sz w:val="9"/>
              </w:rPr>
              <w:t> </w:t>
            </w:r>
            <w:r>
              <w:rPr>
                <w:rFonts w:ascii="Arial"/>
                <w:w w:val="80"/>
                <w:sz w:val="9"/>
              </w:rPr>
              <w:t>CONTRIBUCIONES</w:t>
            </w:r>
            <w:r>
              <w:rPr>
                <w:rFonts w:ascii="Arial"/>
                <w:spacing w:val="-1"/>
                <w:w w:val="80"/>
                <w:sz w:val="9"/>
              </w:rPr>
              <w:t> </w:t>
            </w:r>
            <w:r>
              <w:rPr>
                <w:rFonts w:ascii="Arial"/>
                <w:w w:val="80"/>
                <w:sz w:val="9"/>
              </w:rPr>
              <w:t>SOCIALES</w:t>
            </w:r>
            <w:r>
              <w:rPr>
                <w:rFonts w:ascii="Arial"/>
                <w:spacing w:val="40"/>
                <w:sz w:val="9"/>
              </w:rPr>
              <w:t> </w:t>
            </w:r>
            <w:r>
              <w:rPr>
                <w:rFonts w:ascii="Arial"/>
                <w:spacing w:val="-2"/>
                <w:w w:val="80"/>
                <w:sz w:val="9"/>
              </w:rPr>
              <w:t>PREVISION</w:t>
            </w:r>
            <w:r>
              <w:rPr>
                <w:rFonts w:ascii="Arial"/>
                <w:spacing w:val="-4"/>
                <w:sz w:val="9"/>
              </w:rPr>
              <w:t> </w:t>
            </w:r>
            <w:r>
              <w:rPr>
                <w:rFonts w:ascii="Arial"/>
                <w:spacing w:val="-2"/>
                <w:w w:val="80"/>
                <w:sz w:val="9"/>
              </w:rPr>
              <w:t>IMP.</w:t>
            </w:r>
            <w:r>
              <w:rPr>
                <w:rFonts w:ascii="Arial"/>
                <w:spacing w:val="-1"/>
                <w:sz w:val="9"/>
              </w:rPr>
              <w:t> </w:t>
            </w:r>
            <w:r>
              <w:rPr>
                <w:rFonts w:ascii="Arial"/>
                <w:spacing w:val="-2"/>
                <w:w w:val="80"/>
                <w:sz w:val="9"/>
              </w:rPr>
              <w:t>SOBRE</w:t>
            </w:r>
            <w:r>
              <w:rPr>
                <w:rFonts w:ascii="Arial"/>
                <w:spacing w:val="-3"/>
                <w:sz w:val="9"/>
              </w:rPr>
              <w:t> </w:t>
            </w:r>
            <w:r>
              <w:rPr>
                <w:rFonts w:ascii="Arial"/>
                <w:spacing w:val="-2"/>
                <w:w w:val="80"/>
                <w:sz w:val="9"/>
              </w:rPr>
              <w:t>PROPIEDADES</w:t>
            </w:r>
            <w:r>
              <w:rPr>
                <w:rFonts w:ascii="Arial"/>
                <w:spacing w:val="-3"/>
                <w:sz w:val="9"/>
              </w:rPr>
              <w:t> </w:t>
            </w:r>
            <w:r>
              <w:rPr>
                <w:rFonts w:ascii="Arial"/>
                <w:spacing w:val="-2"/>
                <w:w w:val="80"/>
                <w:sz w:val="9"/>
              </w:rPr>
              <w:t>C.P.</w:t>
            </w:r>
            <w:r>
              <w:rPr>
                <w:rFonts w:ascii="Arial"/>
                <w:spacing w:val="40"/>
                <w:sz w:val="9"/>
              </w:rPr>
              <w:t> </w:t>
            </w:r>
            <w:r>
              <w:rPr>
                <w:rFonts w:ascii="Arial"/>
                <w:spacing w:val="-2"/>
                <w:w w:val="80"/>
                <w:sz w:val="9"/>
              </w:rPr>
              <w:t>PREVISION</w:t>
            </w:r>
            <w:r>
              <w:rPr>
                <w:rFonts w:ascii="Arial"/>
                <w:spacing w:val="-2"/>
                <w:sz w:val="9"/>
              </w:rPr>
              <w:t> </w:t>
            </w:r>
            <w:r>
              <w:rPr>
                <w:rFonts w:ascii="Arial"/>
                <w:spacing w:val="-2"/>
                <w:w w:val="80"/>
                <w:sz w:val="9"/>
              </w:rPr>
              <w:t>DOC.</w:t>
            </w:r>
            <w:r>
              <w:rPr>
                <w:rFonts w:ascii="Arial"/>
                <w:sz w:val="9"/>
              </w:rPr>
              <w:t> </w:t>
            </w:r>
            <w:r>
              <w:rPr>
                <w:rFonts w:ascii="Arial"/>
                <w:spacing w:val="-2"/>
                <w:w w:val="80"/>
                <w:sz w:val="9"/>
              </w:rPr>
              <w:t>BIENES</w:t>
            </w:r>
            <w:r>
              <w:rPr>
                <w:rFonts w:ascii="Arial"/>
                <w:sz w:val="9"/>
              </w:rPr>
              <w:t> </w:t>
            </w:r>
            <w:r>
              <w:rPr>
                <w:rFonts w:ascii="Arial"/>
                <w:spacing w:val="-2"/>
                <w:w w:val="80"/>
                <w:sz w:val="9"/>
              </w:rPr>
              <w:t>Y</w:t>
            </w:r>
            <w:r>
              <w:rPr>
                <w:rFonts w:ascii="Arial"/>
                <w:sz w:val="9"/>
              </w:rPr>
              <w:t> </w:t>
            </w:r>
            <w:r>
              <w:rPr>
                <w:rFonts w:ascii="Arial"/>
                <w:spacing w:val="-2"/>
                <w:w w:val="80"/>
                <w:sz w:val="9"/>
              </w:rPr>
              <w:t>SERVICIOS</w:t>
            </w:r>
            <w:r>
              <w:rPr>
                <w:rFonts w:ascii="Arial"/>
                <w:sz w:val="9"/>
              </w:rPr>
              <w:t> </w:t>
            </w:r>
            <w:r>
              <w:rPr>
                <w:rFonts w:ascii="Arial"/>
                <w:spacing w:val="-2"/>
                <w:w w:val="80"/>
                <w:sz w:val="9"/>
              </w:rPr>
              <w:t>C.P.</w:t>
            </w:r>
            <w:r>
              <w:rPr>
                <w:rFonts w:ascii="Arial"/>
                <w:spacing w:val="40"/>
                <w:sz w:val="9"/>
              </w:rPr>
              <w:t> </w:t>
            </w:r>
            <w:r>
              <w:rPr>
                <w:rFonts w:ascii="Arial"/>
                <w:w w:val="75"/>
                <w:sz w:val="9"/>
              </w:rPr>
              <w:t>PREVISION</w:t>
            </w:r>
            <w:r>
              <w:rPr>
                <w:rFonts w:ascii="Arial"/>
                <w:spacing w:val="3"/>
                <w:sz w:val="9"/>
              </w:rPr>
              <w:t> </w:t>
            </w:r>
            <w:r>
              <w:rPr>
                <w:rFonts w:ascii="Arial"/>
                <w:w w:val="75"/>
                <w:sz w:val="9"/>
              </w:rPr>
              <w:t>DOC.</w:t>
            </w:r>
            <w:r>
              <w:rPr>
                <w:rFonts w:ascii="Arial"/>
                <w:spacing w:val="9"/>
                <w:sz w:val="9"/>
              </w:rPr>
              <w:t> </w:t>
            </w:r>
            <w:r>
              <w:rPr>
                <w:rFonts w:ascii="Arial"/>
                <w:w w:val="75"/>
                <w:sz w:val="9"/>
              </w:rPr>
              <w:t>A</w:t>
            </w:r>
            <w:r>
              <w:rPr>
                <w:rFonts w:ascii="Arial"/>
                <w:spacing w:val="5"/>
                <w:sz w:val="9"/>
              </w:rPr>
              <w:t> </w:t>
            </w:r>
            <w:r>
              <w:rPr>
                <w:rFonts w:ascii="Arial"/>
                <w:w w:val="75"/>
                <w:sz w:val="9"/>
              </w:rPr>
              <w:t>COBRAR</w:t>
            </w:r>
            <w:r>
              <w:rPr>
                <w:rFonts w:ascii="Arial"/>
                <w:spacing w:val="7"/>
                <w:sz w:val="9"/>
              </w:rPr>
              <w:t> </w:t>
            </w:r>
            <w:r>
              <w:rPr>
                <w:rFonts w:ascii="Arial"/>
                <w:spacing w:val="-2"/>
                <w:w w:val="75"/>
                <w:sz w:val="9"/>
              </w:rPr>
              <w:t>FRACC.PAGO</w:t>
            </w:r>
          </w:p>
          <w:p>
            <w:pPr>
              <w:pStyle w:val="TableParagraph"/>
              <w:spacing w:line="103" w:lineRule="exact"/>
              <w:ind w:left="13"/>
              <w:rPr>
                <w:rFonts w:ascii="Arial"/>
                <w:sz w:val="9"/>
              </w:rPr>
            </w:pPr>
            <w:r>
              <w:rPr>
                <w:rFonts w:ascii="Arial"/>
                <w:w w:val="75"/>
                <w:sz w:val="9"/>
              </w:rPr>
              <w:t>Prev</w:t>
            </w:r>
            <w:r>
              <w:rPr>
                <w:rFonts w:ascii="Arial"/>
                <w:spacing w:val="-3"/>
                <w:sz w:val="9"/>
              </w:rPr>
              <w:t> </w:t>
            </w:r>
            <w:r>
              <w:rPr>
                <w:rFonts w:ascii="Arial"/>
                <w:w w:val="75"/>
                <w:sz w:val="9"/>
              </w:rPr>
              <w:t>ant</w:t>
            </w:r>
            <w:r>
              <w:rPr>
                <w:rFonts w:ascii="Arial"/>
                <w:spacing w:val="2"/>
                <w:sz w:val="9"/>
              </w:rPr>
              <w:t> </w:t>
            </w:r>
            <w:r>
              <w:rPr>
                <w:rFonts w:ascii="Arial"/>
                <w:w w:val="75"/>
                <w:sz w:val="9"/>
              </w:rPr>
              <w:t>sec</w:t>
            </w:r>
            <w:r>
              <w:rPr>
                <w:rFonts w:ascii="Arial"/>
                <w:sz w:val="9"/>
              </w:rPr>
              <w:t> </w:t>
            </w:r>
            <w:r>
              <w:rPr>
                <w:rFonts w:ascii="Arial"/>
                <w:w w:val="75"/>
                <w:sz w:val="9"/>
              </w:rPr>
              <w:t>priv</w:t>
            </w:r>
            <w:r>
              <w:rPr>
                <w:rFonts w:ascii="Arial"/>
                <w:spacing w:val="-2"/>
                <w:sz w:val="9"/>
              </w:rPr>
              <w:t> </w:t>
            </w:r>
            <w:r>
              <w:rPr>
                <w:rFonts w:ascii="Arial"/>
                <w:spacing w:val="-5"/>
                <w:w w:val="75"/>
                <w:sz w:val="9"/>
              </w:rPr>
              <w:t>in</w:t>
            </w:r>
          </w:p>
          <w:p>
            <w:pPr>
              <w:pStyle w:val="TableParagraph"/>
              <w:spacing w:line="90" w:lineRule="exact" w:before="52"/>
              <w:ind w:left="13"/>
              <w:rPr>
                <w:rFonts w:ascii="Arial"/>
                <w:sz w:val="9"/>
              </w:rPr>
            </w:pPr>
            <w:r>
              <w:rPr>
                <w:rFonts w:ascii="Arial"/>
                <w:w w:val="75"/>
                <w:sz w:val="9"/>
              </w:rPr>
              <w:t>PREVISION</w:t>
            </w:r>
            <w:r>
              <w:rPr>
                <w:rFonts w:ascii="Arial"/>
                <w:spacing w:val="10"/>
                <w:sz w:val="9"/>
              </w:rPr>
              <w:t> </w:t>
            </w:r>
            <w:r>
              <w:rPr>
                <w:rFonts w:ascii="Arial"/>
                <w:w w:val="75"/>
                <w:sz w:val="9"/>
              </w:rPr>
              <w:t>CREDITOS</w:t>
            </w:r>
            <w:r>
              <w:rPr>
                <w:rFonts w:ascii="Arial"/>
                <w:spacing w:val="13"/>
                <w:sz w:val="9"/>
              </w:rPr>
              <w:t> </w:t>
            </w:r>
            <w:r>
              <w:rPr>
                <w:rFonts w:ascii="Arial"/>
                <w:spacing w:val="-2"/>
                <w:w w:val="75"/>
                <w:sz w:val="9"/>
              </w:rPr>
              <w:t>VARIOS</w:t>
            </w:r>
          </w:p>
        </w:tc>
        <w:tc>
          <w:tcPr>
            <w:tcW w:w="842" w:type="dxa"/>
            <w:shd w:val="clear" w:color="auto" w:fill="FFFFFF"/>
          </w:tcPr>
          <w:p>
            <w:pPr>
              <w:pStyle w:val="TableParagraph"/>
              <w:spacing w:before="93"/>
              <w:rPr>
                <w:sz w:val="9"/>
              </w:rPr>
            </w:pPr>
          </w:p>
          <w:p>
            <w:pPr>
              <w:pStyle w:val="TableParagraph"/>
              <w:spacing w:line="362" w:lineRule="auto"/>
              <w:ind w:left="13" w:right="13"/>
              <w:rPr>
                <w:rFonts w:ascii="Arial"/>
                <w:sz w:val="9"/>
              </w:rPr>
            </w:pPr>
            <w:r>
              <w:rPr>
                <w:rFonts w:ascii="Arial"/>
                <w:spacing w:val="-2"/>
                <w:w w:val="90"/>
                <w:sz w:val="9"/>
              </w:rPr>
              <w:t>PATRONOS</w:t>
            </w:r>
            <w:r>
              <w:rPr>
                <w:rFonts w:ascii="Arial"/>
                <w:spacing w:val="40"/>
                <w:sz w:val="9"/>
              </w:rPr>
              <w:t> </w:t>
            </w:r>
            <w:r>
              <w:rPr>
                <w:rFonts w:ascii="Arial"/>
                <w:w w:val="90"/>
                <w:sz w:val="9"/>
              </w:rPr>
              <w:t>MOTELES</w:t>
            </w:r>
            <w:r>
              <w:rPr>
                <w:rFonts w:ascii="Arial"/>
                <w:spacing w:val="-4"/>
                <w:w w:val="90"/>
                <w:sz w:val="9"/>
              </w:rPr>
              <w:t> </w:t>
            </w:r>
            <w:r>
              <w:rPr>
                <w:rFonts w:ascii="Arial"/>
                <w:w w:val="90"/>
                <w:sz w:val="9"/>
              </w:rPr>
              <w:t>C.P.</w:t>
            </w:r>
            <w:r>
              <w:rPr>
                <w:rFonts w:ascii="Arial"/>
                <w:spacing w:val="40"/>
                <w:sz w:val="9"/>
              </w:rPr>
              <w:t> </w:t>
            </w:r>
            <w:r>
              <w:rPr>
                <w:rFonts w:ascii="Arial"/>
                <w:spacing w:val="-2"/>
                <w:w w:val="80"/>
                <w:sz w:val="9"/>
              </w:rPr>
              <w:t>BENEFICIARIOS</w:t>
            </w:r>
            <w:r>
              <w:rPr>
                <w:rFonts w:ascii="Arial"/>
                <w:spacing w:val="-5"/>
                <w:sz w:val="9"/>
              </w:rPr>
              <w:t> </w:t>
            </w:r>
            <w:r>
              <w:rPr>
                <w:rFonts w:ascii="Arial"/>
                <w:spacing w:val="-2"/>
                <w:w w:val="80"/>
                <w:sz w:val="9"/>
              </w:rPr>
              <w:t>C.P</w:t>
            </w:r>
            <w:r>
              <w:rPr>
                <w:rFonts w:ascii="Arial"/>
                <w:spacing w:val="40"/>
                <w:sz w:val="9"/>
              </w:rPr>
              <w:t> </w:t>
            </w:r>
            <w:r>
              <w:rPr>
                <w:rFonts w:ascii="Arial"/>
                <w:spacing w:val="-2"/>
                <w:w w:val="90"/>
                <w:sz w:val="9"/>
              </w:rPr>
              <w:t>EMPLEADOS</w:t>
            </w:r>
          </w:p>
          <w:p>
            <w:pPr>
              <w:pStyle w:val="TableParagraph"/>
              <w:spacing w:before="52"/>
              <w:rPr>
                <w:sz w:val="9"/>
              </w:rPr>
            </w:pPr>
          </w:p>
          <w:p>
            <w:pPr>
              <w:pStyle w:val="TableParagraph"/>
              <w:spacing w:line="90" w:lineRule="exact"/>
              <w:ind w:left="13"/>
              <w:rPr>
                <w:rFonts w:ascii="Arial"/>
                <w:sz w:val="9"/>
              </w:rPr>
            </w:pPr>
            <w:r>
              <w:rPr>
                <w:rFonts w:ascii="Arial"/>
                <w:spacing w:val="-2"/>
                <w:w w:val="90"/>
                <w:sz w:val="9"/>
              </w:rPr>
              <w:t>OTRAS</w:t>
            </w:r>
          </w:p>
        </w:tc>
        <w:tc>
          <w:tcPr>
            <w:tcW w:w="842" w:type="dxa"/>
            <w:shd w:val="clear" w:color="auto" w:fill="FFFFFF"/>
          </w:tcPr>
          <w:p>
            <w:pPr>
              <w:pStyle w:val="TableParagraph"/>
              <w:spacing w:before="93"/>
              <w:rPr>
                <w:sz w:val="9"/>
              </w:rPr>
            </w:pPr>
          </w:p>
          <w:p>
            <w:pPr>
              <w:pStyle w:val="TableParagraph"/>
              <w:ind w:right="19"/>
              <w:jc w:val="right"/>
              <w:rPr>
                <w:rFonts w:ascii="Arial"/>
                <w:sz w:val="9"/>
              </w:rPr>
            </w:pPr>
            <w:r>
              <w:rPr>
                <w:rFonts w:ascii="Arial"/>
                <w:w w:val="75"/>
                <w:sz w:val="9"/>
              </w:rPr>
              <w:t>6</w:t>
            </w:r>
            <w:r>
              <w:rPr>
                <w:rFonts w:ascii="Arial"/>
                <w:spacing w:val="-2"/>
                <w:sz w:val="9"/>
              </w:rPr>
              <w:t> </w:t>
            </w:r>
            <w:r>
              <w:rPr>
                <w:rFonts w:ascii="Arial"/>
                <w:w w:val="75"/>
                <w:sz w:val="9"/>
              </w:rPr>
              <w:t>080</w:t>
            </w:r>
            <w:r>
              <w:rPr>
                <w:rFonts w:ascii="Arial"/>
                <w:spacing w:val="-2"/>
                <w:sz w:val="9"/>
              </w:rPr>
              <w:t> </w:t>
            </w:r>
            <w:r>
              <w:rPr>
                <w:rFonts w:ascii="Arial"/>
                <w:spacing w:val="-2"/>
                <w:w w:val="75"/>
                <w:sz w:val="9"/>
              </w:rPr>
              <w:t>599,45</w:t>
            </w:r>
          </w:p>
          <w:p>
            <w:pPr>
              <w:pStyle w:val="TableParagraph"/>
              <w:spacing w:before="52"/>
              <w:ind w:right="19"/>
              <w:jc w:val="right"/>
              <w:rPr>
                <w:rFonts w:ascii="Arial"/>
                <w:sz w:val="9"/>
              </w:rPr>
            </w:pPr>
            <w:r>
              <w:rPr>
                <w:rFonts w:ascii="Arial"/>
                <w:w w:val="75"/>
                <w:sz w:val="9"/>
              </w:rPr>
              <w:t>2</w:t>
            </w:r>
            <w:r>
              <w:rPr>
                <w:rFonts w:ascii="Arial"/>
                <w:spacing w:val="-2"/>
                <w:sz w:val="9"/>
              </w:rPr>
              <w:t> </w:t>
            </w:r>
            <w:r>
              <w:rPr>
                <w:rFonts w:ascii="Arial"/>
                <w:w w:val="75"/>
                <w:sz w:val="9"/>
              </w:rPr>
              <w:t>013</w:t>
            </w:r>
            <w:r>
              <w:rPr>
                <w:rFonts w:ascii="Arial"/>
                <w:spacing w:val="-2"/>
                <w:sz w:val="9"/>
              </w:rPr>
              <w:t> </w:t>
            </w:r>
            <w:r>
              <w:rPr>
                <w:rFonts w:ascii="Arial"/>
                <w:spacing w:val="-2"/>
                <w:w w:val="75"/>
                <w:sz w:val="9"/>
              </w:rPr>
              <w:t>284,59</w:t>
            </w:r>
          </w:p>
          <w:p>
            <w:pPr>
              <w:pStyle w:val="TableParagraph"/>
              <w:spacing w:before="53"/>
              <w:ind w:right="19"/>
              <w:jc w:val="right"/>
              <w:rPr>
                <w:rFonts w:ascii="Arial"/>
                <w:sz w:val="9"/>
              </w:rPr>
            </w:pPr>
            <w:r>
              <w:rPr>
                <w:rFonts w:ascii="Arial"/>
                <w:w w:val="75"/>
                <w:sz w:val="9"/>
              </w:rPr>
              <w:t>36</w:t>
            </w:r>
            <w:r>
              <w:rPr>
                <w:rFonts w:ascii="Arial"/>
                <w:spacing w:val="-2"/>
                <w:sz w:val="9"/>
              </w:rPr>
              <w:t> </w:t>
            </w:r>
            <w:r>
              <w:rPr>
                <w:rFonts w:ascii="Arial"/>
                <w:spacing w:val="-2"/>
                <w:w w:val="90"/>
                <w:sz w:val="9"/>
              </w:rPr>
              <w:t>300,37</w:t>
            </w:r>
          </w:p>
          <w:p>
            <w:pPr>
              <w:pStyle w:val="TableParagraph"/>
              <w:spacing w:before="52"/>
              <w:ind w:right="19"/>
              <w:jc w:val="right"/>
              <w:rPr>
                <w:rFonts w:ascii="Arial"/>
                <w:sz w:val="9"/>
              </w:rPr>
            </w:pPr>
            <w:r>
              <w:rPr>
                <w:rFonts w:ascii="Arial"/>
                <w:w w:val="75"/>
                <w:sz w:val="9"/>
              </w:rPr>
              <w:t>10</w:t>
            </w:r>
            <w:r>
              <w:rPr>
                <w:rFonts w:ascii="Arial"/>
                <w:spacing w:val="-2"/>
                <w:sz w:val="9"/>
              </w:rPr>
              <w:t> </w:t>
            </w:r>
            <w:r>
              <w:rPr>
                <w:rFonts w:ascii="Arial"/>
                <w:spacing w:val="-2"/>
                <w:w w:val="90"/>
                <w:sz w:val="9"/>
              </w:rPr>
              <w:t>805,19</w:t>
            </w:r>
          </w:p>
          <w:p>
            <w:pPr>
              <w:pStyle w:val="TableParagraph"/>
              <w:spacing w:before="53"/>
              <w:ind w:right="19"/>
              <w:jc w:val="right"/>
              <w:rPr>
                <w:rFonts w:ascii="Arial"/>
                <w:sz w:val="9"/>
              </w:rPr>
            </w:pPr>
            <w:r>
              <w:rPr>
                <w:rFonts w:ascii="Arial"/>
                <w:w w:val="80"/>
                <w:sz w:val="9"/>
              </w:rPr>
              <w:t>1</w:t>
            </w:r>
            <w:r>
              <w:rPr>
                <w:rFonts w:ascii="Arial"/>
                <w:spacing w:val="-1"/>
                <w:w w:val="80"/>
                <w:sz w:val="9"/>
              </w:rPr>
              <w:t> </w:t>
            </w:r>
            <w:r>
              <w:rPr>
                <w:rFonts w:ascii="Arial"/>
                <w:spacing w:val="-2"/>
                <w:w w:val="90"/>
                <w:sz w:val="9"/>
              </w:rPr>
              <w:t>933,49</w:t>
            </w:r>
          </w:p>
          <w:p>
            <w:pPr>
              <w:pStyle w:val="TableParagraph"/>
              <w:spacing w:line="90" w:lineRule="exact" w:before="53"/>
              <w:ind w:left="452"/>
              <w:rPr>
                <w:rFonts w:ascii="Arial"/>
                <w:sz w:val="9"/>
              </w:rPr>
            </w:pPr>
            <w:r>
              <w:rPr>
                <w:rFonts w:ascii="Arial"/>
                <w:w w:val="75"/>
                <w:sz w:val="9"/>
              </w:rPr>
              <w:t>230</w:t>
            </w:r>
            <w:r>
              <w:rPr>
                <w:rFonts w:ascii="Arial"/>
                <w:spacing w:val="-1"/>
                <w:sz w:val="9"/>
              </w:rPr>
              <w:t> </w:t>
            </w:r>
            <w:r>
              <w:rPr>
                <w:rFonts w:ascii="Arial"/>
                <w:spacing w:val="-2"/>
                <w:w w:val="85"/>
                <w:sz w:val="9"/>
              </w:rPr>
              <w:t>803,62</w:t>
            </w:r>
          </w:p>
        </w:tc>
        <w:tc>
          <w:tcPr>
            <w:tcW w:w="858" w:type="dxa"/>
            <w:shd w:val="clear" w:color="auto" w:fill="FFFFFF"/>
          </w:tcPr>
          <w:p>
            <w:pPr>
              <w:pStyle w:val="TableParagraph"/>
              <w:spacing w:before="93"/>
              <w:rPr>
                <w:sz w:val="9"/>
              </w:rPr>
            </w:pPr>
          </w:p>
          <w:p>
            <w:pPr>
              <w:pStyle w:val="TableParagraph"/>
              <w:ind w:right="19"/>
              <w:jc w:val="right"/>
              <w:rPr>
                <w:rFonts w:ascii="Arial"/>
                <w:sz w:val="9"/>
              </w:rPr>
            </w:pPr>
            <w:r>
              <w:rPr>
                <w:rFonts w:ascii="Arial"/>
                <w:w w:val="75"/>
                <w:sz w:val="9"/>
              </w:rPr>
              <w:t>629</w:t>
            </w:r>
            <w:r>
              <w:rPr>
                <w:rFonts w:ascii="Arial"/>
                <w:spacing w:val="-1"/>
                <w:sz w:val="9"/>
              </w:rPr>
              <w:t> </w:t>
            </w:r>
            <w:r>
              <w:rPr>
                <w:rFonts w:ascii="Arial"/>
                <w:spacing w:val="-2"/>
                <w:w w:val="90"/>
                <w:sz w:val="9"/>
              </w:rPr>
              <w:t>276,18</w:t>
            </w:r>
          </w:p>
          <w:p>
            <w:pPr>
              <w:pStyle w:val="TableParagraph"/>
              <w:spacing w:before="52"/>
              <w:ind w:right="19"/>
              <w:jc w:val="right"/>
              <w:rPr>
                <w:rFonts w:ascii="Arial"/>
                <w:sz w:val="9"/>
              </w:rPr>
            </w:pPr>
            <w:r>
              <w:rPr>
                <w:rFonts w:ascii="Arial"/>
                <w:w w:val="75"/>
                <w:sz w:val="9"/>
              </w:rPr>
              <w:t>181</w:t>
            </w:r>
            <w:r>
              <w:rPr>
                <w:rFonts w:ascii="Arial"/>
                <w:spacing w:val="-1"/>
                <w:sz w:val="9"/>
              </w:rPr>
              <w:t> </w:t>
            </w:r>
            <w:r>
              <w:rPr>
                <w:rFonts w:ascii="Arial"/>
                <w:spacing w:val="-2"/>
                <w:w w:val="90"/>
                <w:sz w:val="9"/>
              </w:rPr>
              <w:t>089,15</w:t>
            </w:r>
          </w:p>
          <w:p>
            <w:pPr>
              <w:pStyle w:val="TableParagraph"/>
              <w:rPr>
                <w:sz w:val="9"/>
              </w:rPr>
            </w:pPr>
          </w:p>
          <w:p>
            <w:pPr>
              <w:pStyle w:val="TableParagraph"/>
              <w:rPr>
                <w:sz w:val="9"/>
              </w:rPr>
            </w:pPr>
          </w:p>
          <w:p>
            <w:pPr>
              <w:pStyle w:val="TableParagraph"/>
              <w:spacing w:before="57"/>
              <w:rPr>
                <w:sz w:val="9"/>
              </w:rPr>
            </w:pPr>
          </w:p>
          <w:p>
            <w:pPr>
              <w:pStyle w:val="TableParagraph"/>
              <w:ind w:right="19"/>
              <w:jc w:val="right"/>
              <w:rPr>
                <w:rFonts w:ascii="Arial"/>
                <w:sz w:val="9"/>
              </w:rPr>
            </w:pPr>
            <w:r>
              <w:rPr>
                <w:rFonts w:ascii="Arial"/>
                <w:spacing w:val="-2"/>
                <w:w w:val="90"/>
                <w:sz w:val="9"/>
              </w:rPr>
              <w:t>29,10</w:t>
            </w:r>
          </w:p>
          <w:p>
            <w:pPr>
              <w:pStyle w:val="TableParagraph"/>
              <w:spacing w:line="90" w:lineRule="exact" w:before="53"/>
              <w:ind w:left="547"/>
              <w:rPr>
                <w:rFonts w:ascii="Arial"/>
                <w:sz w:val="9"/>
              </w:rPr>
            </w:pPr>
            <w:r>
              <w:rPr>
                <w:rFonts w:ascii="Arial"/>
                <w:w w:val="80"/>
                <w:sz w:val="9"/>
              </w:rPr>
              <w:t>3</w:t>
            </w:r>
            <w:r>
              <w:rPr>
                <w:rFonts w:ascii="Arial"/>
                <w:spacing w:val="-1"/>
                <w:w w:val="80"/>
                <w:sz w:val="9"/>
              </w:rPr>
              <w:t> </w:t>
            </w:r>
            <w:r>
              <w:rPr>
                <w:rFonts w:ascii="Arial"/>
                <w:spacing w:val="-2"/>
                <w:w w:val="85"/>
                <w:sz w:val="9"/>
              </w:rPr>
              <w:t>242,39</w:t>
            </w:r>
          </w:p>
        </w:tc>
        <w:tc>
          <w:tcPr>
            <w:tcW w:w="763" w:type="dxa"/>
            <w:shd w:val="clear" w:color="auto" w:fill="FFFFFF"/>
          </w:tcPr>
          <w:p>
            <w:pPr>
              <w:pStyle w:val="TableParagraph"/>
              <w:spacing w:before="93"/>
              <w:rPr>
                <w:sz w:val="9"/>
              </w:rPr>
            </w:pPr>
          </w:p>
          <w:p>
            <w:pPr>
              <w:pStyle w:val="TableParagraph"/>
              <w:ind w:right="18"/>
              <w:jc w:val="right"/>
              <w:rPr>
                <w:rFonts w:ascii="Arial"/>
                <w:sz w:val="9"/>
              </w:rPr>
            </w:pPr>
            <w:r>
              <w:rPr>
                <w:rFonts w:ascii="Arial"/>
                <w:w w:val="75"/>
                <w:sz w:val="9"/>
              </w:rPr>
              <w:t>837</w:t>
            </w:r>
            <w:r>
              <w:rPr>
                <w:rFonts w:ascii="Arial"/>
                <w:spacing w:val="-1"/>
                <w:sz w:val="9"/>
              </w:rPr>
              <w:t> </w:t>
            </w:r>
            <w:r>
              <w:rPr>
                <w:rFonts w:ascii="Arial"/>
                <w:spacing w:val="-2"/>
                <w:w w:val="90"/>
                <w:sz w:val="9"/>
              </w:rPr>
              <w:t>481,55</w:t>
            </w:r>
          </w:p>
          <w:p>
            <w:pPr>
              <w:pStyle w:val="TableParagraph"/>
              <w:spacing w:before="52"/>
              <w:ind w:right="18"/>
              <w:jc w:val="right"/>
              <w:rPr>
                <w:rFonts w:ascii="Arial"/>
                <w:sz w:val="9"/>
              </w:rPr>
            </w:pPr>
            <w:r>
              <w:rPr>
                <w:rFonts w:ascii="Arial"/>
                <w:w w:val="75"/>
                <w:sz w:val="9"/>
              </w:rPr>
              <w:t>98</w:t>
            </w:r>
            <w:r>
              <w:rPr>
                <w:rFonts w:ascii="Arial"/>
                <w:spacing w:val="-2"/>
                <w:sz w:val="9"/>
              </w:rPr>
              <w:t> </w:t>
            </w:r>
            <w:r>
              <w:rPr>
                <w:rFonts w:ascii="Arial"/>
                <w:spacing w:val="-2"/>
                <w:w w:val="90"/>
                <w:sz w:val="9"/>
              </w:rPr>
              <w:t>173,07</w:t>
            </w:r>
          </w:p>
          <w:p>
            <w:pPr>
              <w:pStyle w:val="TableParagraph"/>
              <w:rPr>
                <w:sz w:val="9"/>
              </w:rPr>
            </w:pPr>
          </w:p>
          <w:p>
            <w:pPr>
              <w:pStyle w:val="TableParagraph"/>
              <w:spacing w:before="3"/>
              <w:rPr>
                <w:sz w:val="9"/>
              </w:rPr>
            </w:pPr>
          </w:p>
          <w:p>
            <w:pPr>
              <w:pStyle w:val="TableParagraph"/>
              <w:spacing w:before="1"/>
              <w:ind w:right="18"/>
              <w:jc w:val="right"/>
              <w:rPr>
                <w:rFonts w:ascii="Arial"/>
                <w:sz w:val="9"/>
              </w:rPr>
            </w:pPr>
            <w:r>
              <w:rPr>
                <w:rFonts w:ascii="Arial"/>
                <w:spacing w:val="-2"/>
                <w:w w:val="90"/>
                <w:sz w:val="9"/>
              </w:rPr>
              <w:t>98,32</w:t>
            </w:r>
          </w:p>
          <w:p>
            <w:pPr>
              <w:pStyle w:val="TableParagraph"/>
              <w:spacing w:before="52"/>
              <w:ind w:right="18"/>
              <w:jc w:val="right"/>
              <w:rPr>
                <w:rFonts w:ascii="Arial"/>
                <w:sz w:val="9"/>
              </w:rPr>
            </w:pPr>
            <w:r>
              <w:rPr>
                <w:rFonts w:ascii="Arial"/>
                <w:spacing w:val="-2"/>
                <w:w w:val="90"/>
                <w:sz w:val="9"/>
              </w:rPr>
              <w:t>621,87</w:t>
            </w:r>
          </w:p>
          <w:p>
            <w:pPr>
              <w:pStyle w:val="TableParagraph"/>
              <w:spacing w:line="90" w:lineRule="exact" w:before="53"/>
              <w:ind w:left="413"/>
              <w:rPr>
                <w:rFonts w:ascii="Arial"/>
                <w:sz w:val="9"/>
              </w:rPr>
            </w:pPr>
            <w:r>
              <w:rPr>
                <w:rFonts w:ascii="Arial"/>
                <w:w w:val="75"/>
                <w:sz w:val="9"/>
              </w:rPr>
              <w:t>12</w:t>
            </w:r>
            <w:r>
              <w:rPr>
                <w:rFonts w:ascii="Arial"/>
                <w:spacing w:val="-2"/>
                <w:sz w:val="9"/>
              </w:rPr>
              <w:t> </w:t>
            </w:r>
            <w:r>
              <w:rPr>
                <w:rFonts w:ascii="Arial"/>
                <w:spacing w:val="-2"/>
                <w:w w:val="85"/>
                <w:sz w:val="9"/>
              </w:rPr>
              <w:t>394,96</w:t>
            </w:r>
          </w:p>
        </w:tc>
        <w:tc>
          <w:tcPr>
            <w:tcW w:w="679" w:type="dxa"/>
            <w:shd w:val="clear" w:color="auto" w:fill="FFFFFF"/>
          </w:tcPr>
          <w:p>
            <w:pPr>
              <w:pStyle w:val="TableParagraph"/>
              <w:spacing w:before="93"/>
              <w:rPr>
                <w:sz w:val="9"/>
              </w:rPr>
            </w:pPr>
          </w:p>
          <w:p>
            <w:pPr>
              <w:pStyle w:val="TableParagraph"/>
              <w:ind w:right="-15"/>
              <w:jc w:val="right"/>
              <w:rPr>
                <w:rFonts w:ascii="Arial"/>
                <w:sz w:val="9"/>
              </w:rPr>
            </w:pPr>
            <w:r>
              <w:rPr>
                <w:rFonts w:ascii="Arial"/>
                <w:w w:val="75"/>
                <w:sz w:val="9"/>
              </w:rPr>
              <w:t>208</w:t>
            </w:r>
            <w:r>
              <w:rPr>
                <w:rFonts w:ascii="Arial"/>
                <w:spacing w:val="-1"/>
                <w:sz w:val="9"/>
              </w:rPr>
              <w:t> </w:t>
            </w:r>
            <w:r>
              <w:rPr>
                <w:rFonts w:ascii="Arial"/>
                <w:spacing w:val="-2"/>
                <w:w w:val="90"/>
                <w:sz w:val="9"/>
              </w:rPr>
              <w:t>205,36</w:t>
            </w:r>
          </w:p>
          <w:p>
            <w:pPr>
              <w:pStyle w:val="TableParagraph"/>
              <w:spacing w:before="52"/>
              <w:ind w:right="-15"/>
              <w:jc w:val="right"/>
              <w:rPr>
                <w:rFonts w:ascii="Arial"/>
                <w:sz w:val="9"/>
              </w:rPr>
            </w:pPr>
            <w:r>
              <w:rPr>
                <w:rFonts w:ascii="Arial"/>
                <w:w w:val="75"/>
                <w:sz w:val="9"/>
              </w:rPr>
              <w:t>-82</w:t>
            </w:r>
            <w:r>
              <w:rPr>
                <w:rFonts w:ascii="Arial"/>
                <w:spacing w:val="-2"/>
                <w:sz w:val="9"/>
              </w:rPr>
              <w:t> </w:t>
            </w:r>
            <w:r>
              <w:rPr>
                <w:rFonts w:ascii="Arial"/>
                <w:spacing w:val="-2"/>
                <w:w w:val="75"/>
                <w:sz w:val="9"/>
              </w:rPr>
              <w:t>916,08</w:t>
            </w:r>
          </w:p>
          <w:p>
            <w:pPr>
              <w:pStyle w:val="TableParagraph"/>
              <w:spacing w:before="53"/>
              <w:ind w:right="-15"/>
              <w:jc w:val="right"/>
              <w:rPr>
                <w:rFonts w:ascii="Arial"/>
                <w:sz w:val="9"/>
              </w:rPr>
            </w:pPr>
            <w:r>
              <w:rPr>
                <w:rFonts w:ascii="Arial"/>
                <w:spacing w:val="-4"/>
                <w:w w:val="90"/>
                <w:sz w:val="9"/>
              </w:rPr>
              <w:t>0,00</w:t>
            </w:r>
          </w:p>
          <w:p>
            <w:pPr>
              <w:pStyle w:val="TableParagraph"/>
              <w:spacing w:before="52"/>
              <w:ind w:right="-15"/>
              <w:jc w:val="right"/>
              <w:rPr>
                <w:rFonts w:ascii="Arial"/>
                <w:sz w:val="9"/>
              </w:rPr>
            </w:pPr>
            <w:r>
              <w:rPr>
                <w:rFonts w:ascii="Arial"/>
                <w:spacing w:val="-2"/>
                <w:w w:val="90"/>
                <w:sz w:val="9"/>
              </w:rPr>
              <w:t>98,32</w:t>
            </w:r>
          </w:p>
          <w:p>
            <w:pPr>
              <w:pStyle w:val="TableParagraph"/>
              <w:spacing w:before="53"/>
              <w:ind w:right="-15"/>
              <w:jc w:val="right"/>
              <w:rPr>
                <w:rFonts w:ascii="Arial"/>
                <w:sz w:val="9"/>
              </w:rPr>
            </w:pPr>
            <w:r>
              <w:rPr>
                <w:rFonts w:ascii="Arial"/>
                <w:spacing w:val="-2"/>
                <w:w w:val="90"/>
                <w:sz w:val="9"/>
              </w:rPr>
              <w:t>592,77</w:t>
            </w:r>
          </w:p>
          <w:p>
            <w:pPr>
              <w:pStyle w:val="TableParagraph"/>
              <w:spacing w:line="90" w:lineRule="exact" w:before="53"/>
              <w:ind w:left="390" w:right="-15"/>
              <w:rPr>
                <w:rFonts w:ascii="Arial"/>
                <w:sz w:val="9"/>
              </w:rPr>
            </w:pPr>
            <w:r>
              <w:rPr>
                <w:rFonts w:ascii="Arial"/>
                <w:w w:val="80"/>
                <w:sz w:val="9"/>
              </w:rPr>
              <w:t>9</w:t>
            </w:r>
            <w:r>
              <w:rPr>
                <w:rFonts w:ascii="Arial"/>
                <w:spacing w:val="-1"/>
                <w:w w:val="80"/>
                <w:sz w:val="9"/>
              </w:rPr>
              <w:t> </w:t>
            </w:r>
            <w:r>
              <w:rPr>
                <w:rFonts w:ascii="Arial"/>
                <w:spacing w:val="-2"/>
                <w:w w:val="85"/>
                <w:sz w:val="9"/>
              </w:rPr>
              <w:t>152,57</w:t>
            </w:r>
          </w:p>
        </w:tc>
        <w:tc>
          <w:tcPr>
            <w:tcW w:w="758" w:type="dxa"/>
            <w:shd w:val="clear" w:color="auto" w:fill="FFFFFF"/>
          </w:tcPr>
          <w:p>
            <w:pPr>
              <w:pStyle w:val="TableParagraph"/>
              <w:spacing w:before="93"/>
              <w:rPr>
                <w:sz w:val="9"/>
              </w:rPr>
            </w:pPr>
          </w:p>
          <w:p>
            <w:pPr>
              <w:pStyle w:val="TableParagraph"/>
              <w:ind w:right="19"/>
              <w:jc w:val="right"/>
              <w:rPr>
                <w:rFonts w:ascii="Arial"/>
                <w:sz w:val="9"/>
              </w:rPr>
            </w:pPr>
            <w:r>
              <w:rPr>
                <w:rFonts w:ascii="Arial"/>
                <w:w w:val="75"/>
                <w:sz w:val="9"/>
              </w:rPr>
              <w:t>6</w:t>
            </w:r>
            <w:r>
              <w:rPr>
                <w:rFonts w:ascii="Arial"/>
                <w:spacing w:val="-2"/>
                <w:sz w:val="9"/>
              </w:rPr>
              <w:t> </w:t>
            </w:r>
            <w:r>
              <w:rPr>
                <w:rFonts w:ascii="Arial"/>
                <w:w w:val="75"/>
                <w:sz w:val="9"/>
              </w:rPr>
              <w:t>288</w:t>
            </w:r>
            <w:r>
              <w:rPr>
                <w:rFonts w:ascii="Arial"/>
                <w:spacing w:val="-2"/>
                <w:sz w:val="9"/>
              </w:rPr>
              <w:t> </w:t>
            </w:r>
            <w:r>
              <w:rPr>
                <w:rFonts w:ascii="Arial"/>
                <w:spacing w:val="-2"/>
                <w:w w:val="75"/>
                <w:sz w:val="9"/>
              </w:rPr>
              <w:t>804,81</w:t>
            </w:r>
          </w:p>
          <w:p>
            <w:pPr>
              <w:pStyle w:val="TableParagraph"/>
              <w:spacing w:before="52"/>
              <w:ind w:right="19"/>
              <w:jc w:val="right"/>
              <w:rPr>
                <w:rFonts w:ascii="Arial"/>
                <w:sz w:val="9"/>
              </w:rPr>
            </w:pPr>
            <w:r>
              <w:rPr>
                <w:rFonts w:ascii="Arial"/>
                <w:w w:val="75"/>
                <w:sz w:val="9"/>
              </w:rPr>
              <w:t>1</w:t>
            </w:r>
            <w:r>
              <w:rPr>
                <w:rFonts w:ascii="Arial"/>
                <w:spacing w:val="-2"/>
                <w:sz w:val="9"/>
              </w:rPr>
              <w:t> </w:t>
            </w:r>
            <w:r>
              <w:rPr>
                <w:rFonts w:ascii="Arial"/>
                <w:w w:val="75"/>
                <w:sz w:val="9"/>
              </w:rPr>
              <w:t>930</w:t>
            </w:r>
            <w:r>
              <w:rPr>
                <w:rFonts w:ascii="Arial"/>
                <w:spacing w:val="-2"/>
                <w:sz w:val="9"/>
              </w:rPr>
              <w:t> </w:t>
            </w:r>
            <w:r>
              <w:rPr>
                <w:rFonts w:ascii="Arial"/>
                <w:spacing w:val="-2"/>
                <w:w w:val="75"/>
                <w:sz w:val="9"/>
              </w:rPr>
              <w:t>368,51</w:t>
            </w:r>
          </w:p>
          <w:p>
            <w:pPr>
              <w:pStyle w:val="TableParagraph"/>
              <w:spacing w:before="53"/>
              <w:ind w:right="18"/>
              <w:jc w:val="right"/>
              <w:rPr>
                <w:rFonts w:ascii="Arial"/>
                <w:sz w:val="9"/>
              </w:rPr>
            </w:pPr>
            <w:r>
              <w:rPr>
                <w:rFonts w:ascii="Arial"/>
                <w:w w:val="75"/>
                <w:sz w:val="9"/>
              </w:rPr>
              <w:t>36</w:t>
            </w:r>
            <w:r>
              <w:rPr>
                <w:rFonts w:ascii="Arial"/>
                <w:spacing w:val="-2"/>
                <w:sz w:val="9"/>
              </w:rPr>
              <w:t> </w:t>
            </w:r>
            <w:r>
              <w:rPr>
                <w:rFonts w:ascii="Arial"/>
                <w:spacing w:val="-2"/>
                <w:w w:val="90"/>
                <w:sz w:val="9"/>
              </w:rPr>
              <w:t>300,37</w:t>
            </w:r>
          </w:p>
          <w:p>
            <w:pPr>
              <w:pStyle w:val="TableParagraph"/>
              <w:spacing w:before="52"/>
              <w:ind w:right="18"/>
              <w:jc w:val="right"/>
              <w:rPr>
                <w:rFonts w:ascii="Arial"/>
                <w:sz w:val="9"/>
              </w:rPr>
            </w:pPr>
            <w:r>
              <w:rPr>
                <w:rFonts w:ascii="Arial"/>
                <w:w w:val="75"/>
                <w:sz w:val="9"/>
              </w:rPr>
              <w:t>10</w:t>
            </w:r>
            <w:r>
              <w:rPr>
                <w:rFonts w:ascii="Arial"/>
                <w:spacing w:val="-2"/>
                <w:sz w:val="9"/>
              </w:rPr>
              <w:t> </w:t>
            </w:r>
            <w:r>
              <w:rPr>
                <w:rFonts w:ascii="Arial"/>
                <w:spacing w:val="-2"/>
                <w:w w:val="90"/>
                <w:sz w:val="9"/>
              </w:rPr>
              <w:t>903,51</w:t>
            </w:r>
          </w:p>
          <w:p>
            <w:pPr>
              <w:pStyle w:val="TableParagraph"/>
              <w:spacing w:before="53"/>
              <w:ind w:right="18"/>
              <w:jc w:val="right"/>
              <w:rPr>
                <w:rFonts w:ascii="Arial"/>
                <w:sz w:val="9"/>
              </w:rPr>
            </w:pPr>
            <w:r>
              <w:rPr>
                <w:rFonts w:ascii="Arial"/>
                <w:w w:val="80"/>
                <w:sz w:val="9"/>
              </w:rPr>
              <w:t>2</w:t>
            </w:r>
            <w:r>
              <w:rPr>
                <w:rFonts w:ascii="Arial"/>
                <w:spacing w:val="-1"/>
                <w:w w:val="80"/>
                <w:sz w:val="9"/>
              </w:rPr>
              <w:t> </w:t>
            </w:r>
            <w:r>
              <w:rPr>
                <w:rFonts w:ascii="Arial"/>
                <w:spacing w:val="-2"/>
                <w:w w:val="90"/>
                <w:sz w:val="9"/>
              </w:rPr>
              <w:t>526,26</w:t>
            </w:r>
          </w:p>
          <w:p>
            <w:pPr>
              <w:pStyle w:val="TableParagraph"/>
              <w:spacing w:line="90" w:lineRule="exact" w:before="53"/>
              <w:ind w:left="369"/>
              <w:rPr>
                <w:rFonts w:ascii="Arial"/>
                <w:sz w:val="9"/>
              </w:rPr>
            </w:pPr>
            <w:r>
              <w:rPr>
                <w:rFonts w:ascii="Arial"/>
                <w:w w:val="75"/>
                <w:sz w:val="9"/>
              </w:rPr>
              <w:t>239</w:t>
            </w:r>
            <w:r>
              <w:rPr>
                <w:rFonts w:ascii="Arial"/>
                <w:spacing w:val="-1"/>
                <w:sz w:val="9"/>
              </w:rPr>
              <w:t> </w:t>
            </w:r>
            <w:r>
              <w:rPr>
                <w:rFonts w:ascii="Arial"/>
                <w:spacing w:val="-2"/>
                <w:w w:val="85"/>
                <w:sz w:val="9"/>
              </w:rPr>
              <w:t>956,19</w:t>
            </w:r>
          </w:p>
        </w:tc>
        <w:tc>
          <w:tcPr>
            <w:tcW w:w="995" w:type="dxa"/>
            <w:vMerge/>
            <w:tcBorders>
              <w:top w:val="nil"/>
              <w:bottom w:val="nil"/>
            </w:tcBorders>
          </w:tcPr>
          <w:p>
            <w:pPr>
              <w:rPr>
                <w:sz w:val="2"/>
                <w:szCs w:val="2"/>
              </w:rPr>
            </w:pPr>
          </w:p>
        </w:tc>
      </w:tr>
      <w:tr>
        <w:trPr>
          <w:trHeight w:val="200" w:hRule="atLeast"/>
        </w:trPr>
        <w:tc>
          <w:tcPr>
            <w:tcW w:w="978" w:type="dxa"/>
            <w:vMerge/>
            <w:tcBorders>
              <w:top w:val="nil"/>
              <w:bottom w:val="nil"/>
            </w:tcBorders>
          </w:tcPr>
          <w:p>
            <w:pPr>
              <w:rPr>
                <w:sz w:val="2"/>
                <w:szCs w:val="2"/>
              </w:rPr>
            </w:pPr>
          </w:p>
        </w:tc>
        <w:tc>
          <w:tcPr>
            <w:tcW w:w="529" w:type="dxa"/>
            <w:shd w:val="clear" w:color="auto" w:fill="E7E6E6"/>
          </w:tcPr>
          <w:p>
            <w:pPr>
              <w:pStyle w:val="TableParagraph"/>
              <w:rPr>
                <w:rFonts w:ascii="Times New Roman"/>
                <w:sz w:val="8"/>
              </w:rPr>
            </w:pPr>
          </w:p>
        </w:tc>
        <w:tc>
          <w:tcPr>
            <w:tcW w:w="1584" w:type="dxa"/>
            <w:shd w:val="clear" w:color="auto" w:fill="E7E6E6"/>
          </w:tcPr>
          <w:p>
            <w:pPr>
              <w:pStyle w:val="TableParagraph"/>
              <w:spacing w:line="99" w:lineRule="exact" w:before="81"/>
              <w:ind w:left="352"/>
              <w:rPr>
                <w:rFonts w:ascii="Arial" w:hAnsi="Arial"/>
                <w:b/>
                <w:sz w:val="10"/>
              </w:rPr>
            </w:pPr>
            <w:r>
              <w:rPr>
                <w:rFonts w:ascii="Arial" w:hAnsi="Arial"/>
                <w:b/>
                <w:w w:val="75"/>
                <w:sz w:val="10"/>
              </w:rPr>
              <w:t>TOTAL</w:t>
            </w:r>
            <w:r>
              <w:rPr>
                <w:rFonts w:ascii="Arial" w:hAnsi="Arial"/>
                <w:b/>
                <w:spacing w:val="1"/>
                <w:sz w:val="10"/>
              </w:rPr>
              <w:t> </w:t>
            </w:r>
            <w:r>
              <w:rPr>
                <w:rFonts w:ascii="Arial" w:hAnsi="Arial"/>
                <w:b/>
                <w:w w:val="75"/>
                <w:sz w:val="10"/>
              </w:rPr>
              <w:t>PREVISIÓN</w:t>
            </w:r>
            <w:r>
              <w:rPr>
                <w:rFonts w:ascii="Arial" w:hAnsi="Arial"/>
                <w:b/>
                <w:spacing w:val="4"/>
                <w:sz w:val="10"/>
              </w:rPr>
              <w:t> </w:t>
            </w:r>
            <w:r>
              <w:rPr>
                <w:rFonts w:ascii="Arial" w:hAnsi="Arial"/>
                <w:b/>
                <w:spacing w:val="-4"/>
                <w:w w:val="75"/>
                <w:sz w:val="10"/>
              </w:rPr>
              <w:t>C.P.</w:t>
            </w:r>
          </w:p>
        </w:tc>
        <w:tc>
          <w:tcPr>
            <w:tcW w:w="842" w:type="dxa"/>
            <w:shd w:val="clear" w:color="auto" w:fill="E7E6E6"/>
          </w:tcPr>
          <w:p>
            <w:pPr>
              <w:pStyle w:val="TableParagraph"/>
              <w:rPr>
                <w:rFonts w:ascii="Times New Roman"/>
                <w:sz w:val="8"/>
              </w:rPr>
            </w:pPr>
          </w:p>
        </w:tc>
        <w:tc>
          <w:tcPr>
            <w:tcW w:w="842" w:type="dxa"/>
            <w:shd w:val="clear" w:color="auto" w:fill="E7E6E6"/>
          </w:tcPr>
          <w:p>
            <w:pPr>
              <w:pStyle w:val="TableParagraph"/>
              <w:spacing w:line="90" w:lineRule="exact" w:before="90"/>
              <w:ind w:left="392"/>
              <w:rPr>
                <w:rFonts w:ascii="Arial"/>
                <w:b/>
                <w:sz w:val="9"/>
              </w:rPr>
            </w:pPr>
            <w:r>
              <w:rPr>
                <w:rFonts w:ascii="Arial"/>
                <w:b/>
                <w:w w:val="75"/>
                <w:sz w:val="9"/>
              </w:rPr>
              <w:t>8</w:t>
            </w:r>
            <w:r>
              <w:rPr>
                <w:rFonts w:ascii="Arial"/>
                <w:b/>
                <w:spacing w:val="-2"/>
                <w:sz w:val="9"/>
              </w:rPr>
              <w:t> </w:t>
            </w:r>
            <w:r>
              <w:rPr>
                <w:rFonts w:ascii="Arial"/>
                <w:b/>
                <w:w w:val="75"/>
                <w:sz w:val="9"/>
              </w:rPr>
              <w:t>373</w:t>
            </w:r>
            <w:r>
              <w:rPr>
                <w:rFonts w:ascii="Arial"/>
                <w:b/>
                <w:spacing w:val="-2"/>
                <w:sz w:val="9"/>
              </w:rPr>
              <w:t> </w:t>
            </w:r>
            <w:r>
              <w:rPr>
                <w:rFonts w:ascii="Arial"/>
                <w:b/>
                <w:spacing w:val="-2"/>
                <w:w w:val="75"/>
                <w:sz w:val="9"/>
              </w:rPr>
              <w:t>726,71</w:t>
            </w:r>
          </w:p>
        </w:tc>
        <w:tc>
          <w:tcPr>
            <w:tcW w:w="858" w:type="dxa"/>
            <w:shd w:val="clear" w:color="auto" w:fill="E7E6E6"/>
          </w:tcPr>
          <w:p>
            <w:pPr>
              <w:pStyle w:val="TableParagraph"/>
              <w:spacing w:line="90" w:lineRule="exact" w:before="90"/>
              <w:ind w:left="468"/>
              <w:rPr>
                <w:rFonts w:ascii="Arial"/>
                <w:b/>
                <w:sz w:val="9"/>
              </w:rPr>
            </w:pPr>
            <w:r>
              <w:rPr>
                <w:rFonts w:ascii="Arial"/>
                <w:b/>
                <w:w w:val="75"/>
                <w:sz w:val="9"/>
              </w:rPr>
              <w:t>813</w:t>
            </w:r>
            <w:r>
              <w:rPr>
                <w:rFonts w:ascii="Arial"/>
                <w:b/>
                <w:spacing w:val="-1"/>
                <w:sz w:val="9"/>
              </w:rPr>
              <w:t> </w:t>
            </w:r>
            <w:r>
              <w:rPr>
                <w:rFonts w:ascii="Arial"/>
                <w:b/>
                <w:spacing w:val="-2"/>
                <w:w w:val="85"/>
                <w:sz w:val="9"/>
              </w:rPr>
              <w:t>636,82</w:t>
            </w:r>
          </w:p>
        </w:tc>
        <w:tc>
          <w:tcPr>
            <w:tcW w:w="763" w:type="dxa"/>
            <w:shd w:val="clear" w:color="auto" w:fill="E7E6E6"/>
          </w:tcPr>
          <w:p>
            <w:pPr>
              <w:pStyle w:val="TableParagraph"/>
              <w:spacing w:line="90" w:lineRule="exact" w:before="90"/>
              <w:ind w:left="374"/>
              <w:rPr>
                <w:rFonts w:ascii="Arial"/>
                <w:b/>
                <w:sz w:val="9"/>
              </w:rPr>
            </w:pPr>
            <w:r>
              <w:rPr>
                <w:rFonts w:ascii="Arial"/>
                <w:b/>
                <w:w w:val="75"/>
                <w:sz w:val="9"/>
              </w:rPr>
              <w:t>948</w:t>
            </w:r>
            <w:r>
              <w:rPr>
                <w:rFonts w:ascii="Arial"/>
                <w:b/>
                <w:spacing w:val="-1"/>
                <w:sz w:val="9"/>
              </w:rPr>
              <w:t> </w:t>
            </w:r>
            <w:r>
              <w:rPr>
                <w:rFonts w:ascii="Arial"/>
                <w:b/>
                <w:spacing w:val="-2"/>
                <w:w w:val="85"/>
                <w:sz w:val="9"/>
              </w:rPr>
              <w:t>769,78</w:t>
            </w:r>
          </w:p>
        </w:tc>
        <w:tc>
          <w:tcPr>
            <w:tcW w:w="679" w:type="dxa"/>
            <w:shd w:val="clear" w:color="auto" w:fill="E7E6E6"/>
          </w:tcPr>
          <w:p>
            <w:pPr>
              <w:pStyle w:val="TableParagraph"/>
              <w:spacing w:line="90" w:lineRule="exact" w:before="90"/>
              <w:ind w:left="311" w:right="-15"/>
              <w:rPr>
                <w:rFonts w:ascii="Arial"/>
                <w:sz w:val="9"/>
              </w:rPr>
            </w:pPr>
            <w:r>
              <w:rPr>
                <w:rFonts w:ascii="Arial"/>
                <w:w w:val="75"/>
                <w:sz w:val="9"/>
              </w:rPr>
              <w:t>135</w:t>
            </w:r>
            <w:r>
              <w:rPr>
                <w:rFonts w:ascii="Arial"/>
                <w:spacing w:val="-1"/>
                <w:sz w:val="9"/>
              </w:rPr>
              <w:t> </w:t>
            </w:r>
            <w:r>
              <w:rPr>
                <w:rFonts w:ascii="Arial"/>
                <w:spacing w:val="-2"/>
                <w:w w:val="85"/>
                <w:sz w:val="9"/>
              </w:rPr>
              <w:t>132,96</w:t>
            </w:r>
          </w:p>
        </w:tc>
        <w:tc>
          <w:tcPr>
            <w:tcW w:w="758" w:type="dxa"/>
            <w:shd w:val="clear" w:color="auto" w:fill="E7E6E6"/>
          </w:tcPr>
          <w:p>
            <w:pPr>
              <w:pStyle w:val="TableParagraph"/>
              <w:spacing w:line="90" w:lineRule="exact" w:before="90"/>
              <w:ind w:left="308"/>
              <w:rPr>
                <w:rFonts w:ascii="Arial"/>
                <w:b/>
                <w:sz w:val="9"/>
              </w:rPr>
            </w:pPr>
            <w:r>
              <w:rPr>
                <w:rFonts w:ascii="Arial"/>
                <w:b/>
                <w:w w:val="75"/>
                <w:sz w:val="9"/>
              </w:rPr>
              <w:t>8</w:t>
            </w:r>
            <w:r>
              <w:rPr>
                <w:rFonts w:ascii="Arial"/>
                <w:b/>
                <w:spacing w:val="-2"/>
                <w:sz w:val="9"/>
              </w:rPr>
              <w:t> </w:t>
            </w:r>
            <w:r>
              <w:rPr>
                <w:rFonts w:ascii="Arial"/>
                <w:b/>
                <w:w w:val="75"/>
                <w:sz w:val="9"/>
              </w:rPr>
              <w:t>508</w:t>
            </w:r>
            <w:r>
              <w:rPr>
                <w:rFonts w:ascii="Arial"/>
                <w:b/>
                <w:spacing w:val="-2"/>
                <w:sz w:val="9"/>
              </w:rPr>
              <w:t> </w:t>
            </w:r>
            <w:r>
              <w:rPr>
                <w:rFonts w:ascii="Arial"/>
                <w:b/>
                <w:spacing w:val="-2"/>
                <w:w w:val="75"/>
                <w:sz w:val="9"/>
              </w:rPr>
              <w:t>859,66</w:t>
            </w:r>
          </w:p>
        </w:tc>
        <w:tc>
          <w:tcPr>
            <w:tcW w:w="995" w:type="dxa"/>
            <w:vMerge/>
            <w:tcBorders>
              <w:top w:val="nil"/>
              <w:bottom w:val="nil"/>
            </w:tcBorders>
          </w:tcPr>
          <w:p>
            <w:pPr>
              <w:rPr>
                <w:sz w:val="2"/>
                <w:szCs w:val="2"/>
              </w:rPr>
            </w:pPr>
          </w:p>
        </w:tc>
      </w:tr>
      <w:tr>
        <w:trPr>
          <w:trHeight w:val="9920" w:hRule="atLeast"/>
        </w:trPr>
        <w:tc>
          <w:tcPr>
            <w:tcW w:w="8828" w:type="dxa"/>
            <w:gridSpan w:val="10"/>
            <w:tcBorders>
              <w:top w:val="nil"/>
            </w:tcBorders>
          </w:tcPr>
          <w:p>
            <w:pPr>
              <w:pStyle w:val="TableParagraph"/>
              <w:spacing w:before="187"/>
              <w:ind w:left="107"/>
              <w:rPr>
                <w:sz w:val="22"/>
              </w:rPr>
            </w:pPr>
            <w:r>
              <w:rPr>
                <w:sz w:val="22"/>
              </w:rPr>
              <w:t>La</w:t>
            </w:r>
            <w:r>
              <w:rPr>
                <w:spacing w:val="-5"/>
                <w:sz w:val="22"/>
              </w:rPr>
              <w:t> </w:t>
            </w:r>
            <w:r>
              <w:rPr>
                <w:sz w:val="22"/>
              </w:rPr>
              <w:t>explicación</w:t>
            </w:r>
            <w:r>
              <w:rPr>
                <w:spacing w:val="-4"/>
                <w:sz w:val="22"/>
              </w:rPr>
              <w:t> </w:t>
            </w:r>
            <w:r>
              <w:rPr>
                <w:sz w:val="22"/>
              </w:rPr>
              <w:t>de</w:t>
            </w:r>
            <w:r>
              <w:rPr>
                <w:spacing w:val="-5"/>
                <w:sz w:val="22"/>
              </w:rPr>
              <w:t> </w:t>
            </w:r>
            <w:r>
              <w:rPr>
                <w:sz w:val="22"/>
              </w:rPr>
              <w:t>las</w:t>
            </w:r>
            <w:r>
              <w:rPr>
                <w:spacing w:val="-3"/>
                <w:sz w:val="22"/>
              </w:rPr>
              <w:t> </w:t>
            </w:r>
            <w:r>
              <w:rPr>
                <w:sz w:val="22"/>
              </w:rPr>
              <w:t>variaciones</w:t>
            </w:r>
            <w:r>
              <w:rPr>
                <w:spacing w:val="-5"/>
                <w:sz w:val="22"/>
              </w:rPr>
              <w:t> </w:t>
            </w:r>
            <w:r>
              <w:rPr>
                <w:sz w:val="22"/>
              </w:rPr>
              <w:t>se</w:t>
            </w:r>
            <w:r>
              <w:rPr>
                <w:spacing w:val="-5"/>
                <w:sz w:val="22"/>
              </w:rPr>
              <w:t> </w:t>
            </w:r>
            <w:r>
              <w:rPr>
                <w:sz w:val="22"/>
              </w:rPr>
              <w:t>presenta</w:t>
            </w:r>
            <w:r>
              <w:rPr>
                <w:spacing w:val="-4"/>
                <w:sz w:val="22"/>
              </w:rPr>
              <w:t> </w:t>
            </w:r>
            <w:r>
              <w:rPr>
                <w:sz w:val="22"/>
              </w:rPr>
              <w:t>en</w:t>
            </w:r>
            <w:r>
              <w:rPr>
                <w:spacing w:val="-3"/>
                <w:sz w:val="22"/>
              </w:rPr>
              <w:t> </w:t>
            </w:r>
            <w:r>
              <w:rPr>
                <w:sz w:val="22"/>
              </w:rPr>
              <w:t>el</w:t>
            </w:r>
            <w:r>
              <w:rPr>
                <w:spacing w:val="-4"/>
                <w:sz w:val="22"/>
              </w:rPr>
              <w:t> </w:t>
            </w:r>
            <w:r>
              <w:rPr>
                <w:sz w:val="22"/>
              </w:rPr>
              <w:t>siguiente</w:t>
            </w:r>
            <w:r>
              <w:rPr>
                <w:spacing w:val="-3"/>
                <w:sz w:val="22"/>
              </w:rPr>
              <w:t> </w:t>
            </w:r>
            <w:r>
              <w:rPr>
                <w:spacing w:val="-2"/>
                <w:sz w:val="22"/>
              </w:rPr>
              <w:t>cuadro:</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81"/>
              <w:rPr>
                <w:sz w:val="22"/>
              </w:rPr>
            </w:pPr>
          </w:p>
          <w:p>
            <w:pPr>
              <w:pStyle w:val="TableParagraph"/>
              <w:spacing w:line="259" w:lineRule="auto"/>
              <w:ind w:left="107"/>
              <w:rPr>
                <w:sz w:val="22"/>
              </w:rPr>
            </w:pPr>
            <w:r>
              <w:rPr>
                <w:sz w:val="22"/>
              </w:rPr>
              <w:t>Respecto</w:t>
            </w:r>
            <w:r>
              <w:rPr>
                <w:spacing w:val="65"/>
                <w:sz w:val="22"/>
              </w:rPr>
              <w:t> </w:t>
            </w:r>
            <w:r>
              <w:rPr>
                <w:sz w:val="22"/>
              </w:rPr>
              <w:t>al</w:t>
            </w:r>
            <w:r>
              <w:rPr>
                <w:spacing w:val="64"/>
                <w:sz w:val="22"/>
              </w:rPr>
              <w:t> </w:t>
            </w:r>
            <w:r>
              <w:rPr>
                <w:sz w:val="22"/>
              </w:rPr>
              <w:t>detalle</w:t>
            </w:r>
            <w:r>
              <w:rPr>
                <w:spacing w:val="63"/>
                <w:sz w:val="22"/>
              </w:rPr>
              <w:t> </w:t>
            </w:r>
            <w:r>
              <w:rPr>
                <w:sz w:val="22"/>
              </w:rPr>
              <w:t>de</w:t>
            </w:r>
            <w:r>
              <w:rPr>
                <w:spacing w:val="65"/>
                <w:sz w:val="22"/>
              </w:rPr>
              <w:t> </w:t>
            </w:r>
            <w:r>
              <w:rPr>
                <w:sz w:val="22"/>
              </w:rPr>
              <w:t>las</w:t>
            </w:r>
            <w:r>
              <w:rPr>
                <w:spacing w:val="66"/>
                <w:sz w:val="22"/>
              </w:rPr>
              <w:t> </w:t>
            </w:r>
            <w:r>
              <w:rPr>
                <w:sz w:val="22"/>
              </w:rPr>
              <w:t>cuentas</w:t>
            </w:r>
            <w:r>
              <w:rPr>
                <w:spacing w:val="65"/>
                <w:sz w:val="22"/>
              </w:rPr>
              <w:t> </w:t>
            </w:r>
            <w:r>
              <w:rPr>
                <w:sz w:val="22"/>
              </w:rPr>
              <w:t>por</w:t>
            </w:r>
            <w:r>
              <w:rPr>
                <w:spacing w:val="65"/>
                <w:sz w:val="22"/>
              </w:rPr>
              <w:t> </w:t>
            </w:r>
            <w:r>
              <w:rPr>
                <w:sz w:val="22"/>
              </w:rPr>
              <w:t>cobrar</w:t>
            </w:r>
            <w:r>
              <w:rPr>
                <w:spacing w:val="65"/>
                <w:sz w:val="22"/>
              </w:rPr>
              <w:t> </w:t>
            </w:r>
            <w:r>
              <w:rPr>
                <w:sz w:val="22"/>
              </w:rPr>
              <w:t>por</w:t>
            </w:r>
            <w:r>
              <w:rPr>
                <w:spacing w:val="65"/>
                <w:sz w:val="22"/>
              </w:rPr>
              <w:t> </w:t>
            </w:r>
            <w:r>
              <w:rPr>
                <w:sz w:val="22"/>
              </w:rPr>
              <w:t>rangos</w:t>
            </w:r>
            <w:r>
              <w:rPr>
                <w:spacing w:val="66"/>
                <w:sz w:val="22"/>
              </w:rPr>
              <w:t> </w:t>
            </w:r>
            <w:r>
              <w:rPr>
                <w:sz w:val="22"/>
              </w:rPr>
              <w:t>de</w:t>
            </w:r>
            <w:r>
              <w:rPr>
                <w:spacing w:val="63"/>
                <w:sz w:val="22"/>
              </w:rPr>
              <w:t> </w:t>
            </w:r>
            <w:r>
              <w:rPr>
                <w:sz w:val="22"/>
              </w:rPr>
              <w:t>vencimiento,</w:t>
            </w:r>
            <w:r>
              <w:rPr>
                <w:spacing w:val="65"/>
                <w:sz w:val="22"/>
              </w:rPr>
              <w:t> </w:t>
            </w:r>
            <w:r>
              <w:rPr>
                <w:sz w:val="22"/>
              </w:rPr>
              <w:t>se</w:t>
            </w:r>
            <w:r>
              <w:rPr>
                <w:spacing w:val="61"/>
                <w:sz w:val="22"/>
              </w:rPr>
              <w:t> </w:t>
            </w:r>
            <w:r>
              <w:rPr>
                <w:sz w:val="22"/>
              </w:rPr>
              <w:t>suministra</w:t>
            </w:r>
            <w:r>
              <w:rPr>
                <w:spacing w:val="64"/>
                <w:sz w:val="22"/>
              </w:rPr>
              <w:t> </w:t>
            </w:r>
            <w:r>
              <w:rPr>
                <w:sz w:val="22"/>
              </w:rPr>
              <w:t>la </w:t>
            </w:r>
            <w:r>
              <w:rPr>
                <w:spacing w:val="-2"/>
                <w:sz w:val="22"/>
              </w:rPr>
              <w:t>información:</w:t>
            </w:r>
          </w:p>
          <w:p>
            <w:pPr>
              <w:pStyle w:val="TableParagraph"/>
              <w:spacing w:before="41"/>
              <w:rPr>
                <w:sz w:val="20"/>
              </w:rPr>
            </w:pPr>
          </w:p>
          <w:p>
            <w:pPr>
              <w:pStyle w:val="TableParagraph"/>
              <w:ind w:left="2402"/>
              <w:rPr>
                <w:sz w:val="20"/>
              </w:rPr>
            </w:pPr>
            <w:r>
              <w:rPr>
                <w:sz w:val="20"/>
              </w:rPr>
              <w:drawing>
                <wp:inline distT="0" distB="0" distL="0" distR="0">
                  <wp:extent cx="2547393" cy="2020824"/>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47" cstate="print"/>
                          <a:stretch>
                            <a:fillRect/>
                          </a:stretch>
                        </pic:blipFill>
                        <pic:spPr>
                          <a:xfrm>
                            <a:off x="0" y="0"/>
                            <a:ext cx="2547393" cy="2020824"/>
                          </a:xfrm>
                          <a:prstGeom prst="rect">
                            <a:avLst/>
                          </a:prstGeom>
                        </pic:spPr>
                      </pic:pic>
                    </a:graphicData>
                  </a:graphic>
                </wp:inline>
              </w:drawing>
            </w:r>
            <w:r>
              <w:rPr>
                <w:sz w:val="20"/>
              </w:rPr>
            </w:r>
          </w:p>
          <w:p>
            <w:pPr>
              <w:pStyle w:val="TableParagraph"/>
              <w:spacing w:before="182"/>
              <w:ind w:left="2311"/>
              <w:rPr>
                <w:sz w:val="16"/>
              </w:rPr>
            </w:pPr>
            <w:r>
              <w:rPr>
                <w:sz w:val="16"/>
              </w:rPr>
              <w:t>Fuente:</w:t>
            </w:r>
            <w:r>
              <w:rPr>
                <w:spacing w:val="-11"/>
                <w:sz w:val="16"/>
              </w:rPr>
              <w:t> </w:t>
            </w:r>
            <w:r>
              <w:rPr>
                <w:sz w:val="16"/>
              </w:rPr>
              <w:t>oficio</w:t>
            </w:r>
            <w:r>
              <w:rPr>
                <w:spacing w:val="-9"/>
                <w:sz w:val="16"/>
              </w:rPr>
              <w:t> </w:t>
            </w:r>
            <w:r>
              <w:rPr>
                <w:sz w:val="16"/>
              </w:rPr>
              <w:t>AT-0397-</w:t>
            </w:r>
            <w:r>
              <w:rPr>
                <w:spacing w:val="-4"/>
                <w:sz w:val="16"/>
              </w:rPr>
              <w:t>2026</w:t>
            </w:r>
          </w:p>
        </w:tc>
      </w:tr>
    </w:tbl>
    <w:p>
      <w:pPr>
        <w:pStyle w:val="TableParagraph"/>
        <w:spacing w:after="0"/>
        <w:rPr>
          <w:sz w:val="16"/>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3136">
                <wp:simplePos x="0" y="0"/>
                <wp:positionH relativeFrom="page">
                  <wp:posOffset>9525</wp:posOffset>
                </wp:positionH>
                <wp:positionV relativeFrom="page">
                  <wp:posOffset>297208</wp:posOffset>
                </wp:positionV>
                <wp:extent cx="7762875" cy="9748520"/>
                <wp:effectExtent l="0" t="0" r="0" b="0"/>
                <wp:wrapNone/>
                <wp:docPr id="254" name="Group 254"/>
                <wp:cNvGraphicFramePr>
                  <a:graphicFrameLocks/>
                </wp:cNvGraphicFramePr>
                <a:graphic>
                  <a:graphicData uri="http://schemas.microsoft.com/office/word/2010/wordprocessingGroup">
                    <wpg:wgp>
                      <wpg:cNvPr id="254" name="Group 254"/>
                      <wpg:cNvGrpSpPr/>
                      <wpg:grpSpPr>
                        <a:xfrm>
                          <a:off x="0" y="0"/>
                          <a:ext cx="7762875" cy="9748520"/>
                          <a:chExt cx="7762875" cy="9748520"/>
                        </a:xfrm>
                      </wpg:grpSpPr>
                      <pic:pic>
                        <pic:nvPicPr>
                          <pic:cNvPr id="255" name="Image 255"/>
                          <pic:cNvPicPr/>
                        </pic:nvPicPr>
                        <pic:blipFill>
                          <a:blip r:embed="rId5" cstate="print"/>
                          <a:stretch>
                            <a:fillRect/>
                          </a:stretch>
                        </pic:blipFill>
                        <pic:spPr>
                          <a:xfrm>
                            <a:off x="0" y="0"/>
                            <a:ext cx="7762874" cy="9748489"/>
                          </a:xfrm>
                          <a:prstGeom prst="rect">
                            <a:avLst/>
                          </a:prstGeom>
                        </pic:spPr>
                      </pic:pic>
                      <wps:wsp>
                        <wps:cNvPr id="256" name="Graphic 256"/>
                        <wps:cNvSpPr/>
                        <wps:spPr>
                          <a:xfrm>
                            <a:off x="1053007" y="990837"/>
                            <a:ext cx="5649595" cy="7528559"/>
                          </a:xfrm>
                          <a:custGeom>
                            <a:avLst/>
                            <a:gdLst/>
                            <a:ahLst/>
                            <a:cxnLst/>
                            <a:rect l="l" t="t" r="r" b="b"/>
                            <a:pathLst>
                              <a:path w="5649595" h="7528559">
                                <a:moveTo>
                                  <a:pt x="5630862" y="658444"/>
                                </a:moveTo>
                                <a:lnTo>
                                  <a:pt x="5624779" y="658444"/>
                                </a:lnTo>
                                <a:lnTo>
                                  <a:pt x="5624779" y="7521892"/>
                                </a:lnTo>
                                <a:lnTo>
                                  <a:pt x="24384" y="7521892"/>
                                </a:lnTo>
                                <a:lnTo>
                                  <a:pt x="24384" y="658444"/>
                                </a:lnTo>
                                <a:lnTo>
                                  <a:pt x="18288" y="658444"/>
                                </a:lnTo>
                                <a:lnTo>
                                  <a:pt x="18288" y="7521892"/>
                                </a:lnTo>
                                <a:lnTo>
                                  <a:pt x="18288" y="7527988"/>
                                </a:lnTo>
                                <a:lnTo>
                                  <a:pt x="24384" y="7527988"/>
                                </a:lnTo>
                                <a:lnTo>
                                  <a:pt x="5624779" y="7527988"/>
                                </a:lnTo>
                                <a:lnTo>
                                  <a:pt x="5630862" y="7527988"/>
                                </a:lnTo>
                                <a:lnTo>
                                  <a:pt x="5630862" y="7521892"/>
                                </a:lnTo>
                                <a:lnTo>
                                  <a:pt x="5630862" y="658444"/>
                                </a:lnTo>
                                <a:close/>
                              </a:path>
                              <a:path w="5649595" h="7528559">
                                <a:moveTo>
                                  <a:pt x="5630862" y="652259"/>
                                </a:moveTo>
                                <a:lnTo>
                                  <a:pt x="5624830" y="652259"/>
                                </a:lnTo>
                                <a:lnTo>
                                  <a:pt x="24384" y="652259"/>
                                </a:lnTo>
                                <a:lnTo>
                                  <a:pt x="18288" y="652259"/>
                                </a:lnTo>
                                <a:lnTo>
                                  <a:pt x="18288" y="658355"/>
                                </a:lnTo>
                                <a:lnTo>
                                  <a:pt x="24384" y="658355"/>
                                </a:lnTo>
                                <a:lnTo>
                                  <a:pt x="5624779" y="658355"/>
                                </a:lnTo>
                                <a:lnTo>
                                  <a:pt x="5630862" y="658355"/>
                                </a:lnTo>
                                <a:lnTo>
                                  <a:pt x="5630862" y="652259"/>
                                </a:lnTo>
                                <a:close/>
                              </a:path>
                              <a:path w="5649595" h="752855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3344" id="docshapegroup240" coordorigin="15,468" coordsize="12225,15352">
                <v:shape style="position:absolute;left:15;top:468;width:12225;height:15352" type="#_x0000_t75" id="docshape241" stroked="false">
                  <v:imagedata r:id="rId5" o:title=""/>
                </v:shape>
                <v:shape style="position:absolute;left:1673;top:2028;width:8897;height:11856" id="docshape242" coordorigin="1673,2028" coordsize="8897,11856" path="m10541,3065l10531,3065,10531,13874,1712,13874,1712,3065,1702,3065,1702,13874,1702,13884,1712,13884,10531,13884,10531,13884,10541,13884,10541,13874,10541,3065xm10541,3056l10531,3056,10531,3056,1712,3056,1702,3056,1702,3065,1712,3065,10531,3065,10531,3065,10541,3065,10541,3056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55</w:t>
      </w:r>
    </w:p>
    <w:p>
      <w:pPr>
        <w:pStyle w:val="BodyText"/>
        <w:rPr>
          <w:sz w:val="23"/>
        </w:rPr>
      </w:pPr>
    </w:p>
    <w:p>
      <w:pPr>
        <w:pStyle w:val="BodyText"/>
        <w:spacing w:before="135"/>
        <w:rPr>
          <w:sz w:val="23"/>
        </w:rPr>
      </w:pPr>
    </w:p>
    <w:p>
      <w:pPr>
        <w:spacing w:before="0"/>
        <w:ind w:left="622" w:right="0" w:firstLine="0"/>
        <w:jc w:val="left"/>
        <w:rPr>
          <w:b/>
          <w:i/>
          <w:sz w:val="23"/>
        </w:rPr>
      </w:pPr>
      <w:bookmarkStart w:name="_bookmark33" w:id="34"/>
      <w:bookmarkEnd w:id="34"/>
      <w:r>
        <w:rPr/>
      </w:r>
      <w:r>
        <w:rPr>
          <w:b/>
          <w:spacing w:val="-2"/>
          <w:sz w:val="22"/>
        </w:rPr>
        <w:t>Revelación</w:t>
      </w:r>
      <w:r>
        <w:rPr>
          <w:b/>
          <w:spacing w:val="-11"/>
          <w:sz w:val="22"/>
        </w:rPr>
        <w:t> </w:t>
      </w:r>
      <w:r>
        <w:rPr>
          <w:b/>
          <w:spacing w:val="-2"/>
          <w:sz w:val="22"/>
        </w:rPr>
        <w:t>NICSP</w:t>
      </w:r>
      <w:r>
        <w:rPr>
          <w:b/>
          <w:spacing w:val="-9"/>
          <w:sz w:val="22"/>
        </w:rPr>
        <w:t> </w:t>
      </w:r>
      <w:r>
        <w:rPr>
          <w:b/>
          <w:spacing w:val="-2"/>
          <w:sz w:val="22"/>
        </w:rPr>
        <w:t>9</w:t>
      </w:r>
      <w:r>
        <w:rPr>
          <w:b/>
          <w:spacing w:val="-9"/>
          <w:sz w:val="22"/>
        </w:rPr>
        <w:t> </w:t>
      </w:r>
      <w:r>
        <w:rPr>
          <w:b/>
          <w:i/>
          <w:spacing w:val="-2"/>
          <w:sz w:val="23"/>
        </w:rPr>
        <w:t>Ingresos</w:t>
      </w:r>
      <w:r>
        <w:rPr>
          <w:b/>
          <w:i/>
          <w:spacing w:val="-12"/>
          <w:sz w:val="23"/>
        </w:rPr>
        <w:t> </w:t>
      </w:r>
      <w:r>
        <w:rPr>
          <w:b/>
          <w:i/>
          <w:spacing w:val="-2"/>
          <w:sz w:val="23"/>
        </w:rPr>
        <w:t>de</w:t>
      </w:r>
      <w:r>
        <w:rPr>
          <w:b/>
          <w:i/>
          <w:spacing w:val="-11"/>
          <w:sz w:val="23"/>
        </w:rPr>
        <w:t> </w:t>
      </w:r>
      <w:r>
        <w:rPr>
          <w:b/>
          <w:i/>
          <w:spacing w:val="-2"/>
          <w:sz w:val="23"/>
        </w:rPr>
        <w:t>transacciones</w:t>
      </w:r>
      <w:r>
        <w:rPr>
          <w:b/>
          <w:i/>
          <w:spacing w:val="-11"/>
          <w:sz w:val="23"/>
        </w:rPr>
        <w:t> </w:t>
      </w:r>
      <w:r>
        <w:rPr>
          <w:b/>
          <w:i/>
          <w:spacing w:val="-2"/>
          <w:sz w:val="23"/>
        </w:rPr>
        <w:t>con</w:t>
      </w:r>
      <w:r>
        <w:rPr>
          <w:b/>
          <w:i/>
          <w:spacing w:val="-12"/>
          <w:sz w:val="23"/>
        </w:rPr>
        <w:t> </w:t>
      </w:r>
      <w:r>
        <w:rPr>
          <w:b/>
          <w:i/>
          <w:spacing w:val="-2"/>
          <w:sz w:val="23"/>
        </w:rPr>
        <w:t>contraprestación</w:t>
      </w:r>
    </w:p>
    <w:p>
      <w:pPr>
        <w:pStyle w:val="Heading6"/>
        <w:spacing w:before="133"/>
        <w:ind w:left="734"/>
        <w:rPr>
          <w:b w:val="0"/>
        </w:rPr>
      </w:pPr>
      <w:r>
        <w:rPr>
          <w:color w:val="1F4E79"/>
          <w:spacing w:val="-2"/>
          <w:u w:val="single" w:color="1F4E79"/>
        </w:rPr>
        <w:t>Revelación</w:t>
      </w:r>
      <w:r>
        <w:rPr>
          <w:b w:val="0"/>
          <w:spacing w:val="-2"/>
          <w:u w:val="none"/>
        </w:rPr>
        <w:t>:</w:t>
      </w:r>
    </w:p>
    <w:p>
      <w:pPr>
        <w:pStyle w:val="BodyText"/>
        <w:spacing w:line="259" w:lineRule="auto" w:before="179"/>
        <w:ind w:left="734" w:right="1086"/>
        <w:jc w:val="both"/>
      </w:pPr>
      <w:r>
        <w:rPr/>
        <w:t>Corresponden al ingreso por venta de producto terminado en las tiendas libres de impuestos en Aeropuertos. Los ingresos de ventas de bienes son reconocidos y registrados en los estados financieros cuando se realiza la venta, y se han transferido al comprador los riesgos y beneficios, derivados de la transferencia de la propiedad de los bienes.</w:t>
      </w:r>
    </w:p>
    <w:p>
      <w:pPr>
        <w:pStyle w:val="Heading6"/>
        <w:spacing w:before="160"/>
        <w:ind w:left="734"/>
      </w:pPr>
      <w:r>
        <w:rPr>
          <w:color w:val="FFFFFF"/>
          <w:spacing w:val="-2"/>
          <w:u w:val="single" w:color="FFFFFF"/>
          <w:shd w:fill="00008A" w:color="auto" w:val="clear"/>
        </w:rPr>
        <w:t>Reconocimiento:</w:t>
      </w:r>
    </w:p>
    <w:p>
      <w:pPr>
        <w:pStyle w:val="BodyText"/>
        <w:spacing w:before="159"/>
        <w:ind w:left="734"/>
      </w:pPr>
      <w:r>
        <w:rPr/>
        <w:t>Se</w:t>
      </w:r>
      <w:r>
        <w:rPr>
          <w:spacing w:val="-4"/>
        </w:rPr>
        <w:t> </w:t>
      </w:r>
      <w:r>
        <w:rPr/>
        <w:t>aplicará</w:t>
      </w:r>
      <w:r>
        <w:rPr>
          <w:spacing w:val="-4"/>
        </w:rPr>
        <w:t> </w:t>
      </w:r>
      <w:r>
        <w:rPr/>
        <w:t>la</w:t>
      </w:r>
      <w:r>
        <w:rPr>
          <w:spacing w:val="-5"/>
        </w:rPr>
        <w:t> </w:t>
      </w:r>
      <w:r>
        <w:rPr/>
        <w:t>definición</w:t>
      </w:r>
      <w:r>
        <w:rPr>
          <w:spacing w:val="-2"/>
        </w:rPr>
        <w:t> </w:t>
      </w:r>
      <w:r>
        <w:rPr/>
        <w:t>de</w:t>
      </w:r>
      <w:r>
        <w:rPr>
          <w:spacing w:val="-5"/>
        </w:rPr>
        <w:t> </w:t>
      </w:r>
      <w:r>
        <w:rPr/>
        <w:t>ingresos</w:t>
      </w:r>
      <w:r>
        <w:rPr>
          <w:spacing w:val="-5"/>
        </w:rPr>
        <w:t> </w:t>
      </w:r>
      <w:r>
        <w:rPr/>
        <w:t>ordinarios</w:t>
      </w:r>
      <w:r>
        <w:rPr>
          <w:spacing w:val="-1"/>
        </w:rPr>
        <w:t> </w:t>
      </w:r>
      <w:r>
        <w:rPr/>
        <w:t>de</w:t>
      </w:r>
      <w:r>
        <w:rPr>
          <w:spacing w:val="-5"/>
        </w:rPr>
        <w:t> </w:t>
      </w:r>
      <w:r>
        <w:rPr/>
        <w:t>la</w:t>
      </w:r>
      <w:r>
        <w:rPr>
          <w:spacing w:val="-5"/>
        </w:rPr>
        <w:t> </w:t>
      </w:r>
      <w:r>
        <w:rPr/>
        <w:t>NICSP</w:t>
      </w:r>
      <w:r>
        <w:rPr>
          <w:spacing w:val="-2"/>
        </w:rPr>
        <w:t> </w:t>
      </w:r>
      <w:r>
        <w:rPr>
          <w:spacing w:val="-5"/>
        </w:rPr>
        <w:t>9.</w:t>
      </w:r>
    </w:p>
    <w:p>
      <w:pPr>
        <w:pStyle w:val="BodyText"/>
        <w:spacing w:line="259" w:lineRule="auto" w:before="181"/>
        <w:ind w:left="734" w:right="1093"/>
        <w:jc w:val="both"/>
      </w:pPr>
      <w:r>
        <w:rPr/>
        <w:t>Se</w:t>
      </w:r>
      <w:r>
        <w:rPr>
          <w:spacing w:val="-1"/>
        </w:rPr>
        <w:t> </w:t>
      </w:r>
      <w:r>
        <w:rPr/>
        <w:t>reconoce</w:t>
      </w:r>
      <w:r>
        <w:rPr>
          <w:spacing w:val="-2"/>
        </w:rPr>
        <w:t> </w:t>
      </w:r>
      <w:r>
        <w:rPr/>
        <w:t>un ingreso con</w:t>
      </w:r>
      <w:r>
        <w:rPr>
          <w:spacing w:val="-2"/>
        </w:rPr>
        <w:t> </w:t>
      </w:r>
      <w:r>
        <w:rPr/>
        <w:t>contraprestación cuando haya</w:t>
      </w:r>
      <w:r>
        <w:rPr>
          <w:spacing w:val="-1"/>
        </w:rPr>
        <w:t> </w:t>
      </w:r>
      <w:r>
        <w:rPr/>
        <w:t>surgido un incremento</w:t>
      </w:r>
      <w:r>
        <w:rPr>
          <w:spacing w:val="-1"/>
        </w:rPr>
        <w:t> </w:t>
      </w:r>
      <w:r>
        <w:rPr/>
        <w:t>en los beneficios económicos</w:t>
      </w:r>
      <w:r>
        <w:rPr>
          <w:spacing w:val="-9"/>
        </w:rPr>
        <w:t> </w:t>
      </w:r>
      <w:r>
        <w:rPr/>
        <w:t>futuros,</w:t>
      </w:r>
      <w:r>
        <w:rPr>
          <w:spacing w:val="-8"/>
        </w:rPr>
        <w:t> </w:t>
      </w:r>
      <w:r>
        <w:rPr/>
        <w:t>relacionado</w:t>
      </w:r>
      <w:r>
        <w:rPr>
          <w:spacing w:val="-7"/>
        </w:rPr>
        <w:t> </w:t>
      </w:r>
      <w:r>
        <w:rPr/>
        <w:t>con</w:t>
      </w:r>
      <w:r>
        <w:rPr>
          <w:spacing w:val="-8"/>
        </w:rPr>
        <w:t> </w:t>
      </w:r>
      <w:r>
        <w:rPr/>
        <w:t>un</w:t>
      </w:r>
      <w:r>
        <w:rPr>
          <w:spacing w:val="-8"/>
        </w:rPr>
        <w:t> </w:t>
      </w:r>
      <w:r>
        <w:rPr/>
        <w:t>incremento</w:t>
      </w:r>
      <w:r>
        <w:rPr>
          <w:spacing w:val="-7"/>
        </w:rPr>
        <w:t> </w:t>
      </w:r>
      <w:r>
        <w:rPr/>
        <w:t>en</w:t>
      </w:r>
      <w:r>
        <w:rPr>
          <w:spacing w:val="-9"/>
        </w:rPr>
        <w:t> </w:t>
      </w:r>
      <w:r>
        <w:rPr/>
        <w:t>los</w:t>
      </w:r>
      <w:r>
        <w:rPr>
          <w:spacing w:val="-7"/>
        </w:rPr>
        <w:t> </w:t>
      </w:r>
      <w:r>
        <w:rPr/>
        <w:t>activos</w:t>
      </w:r>
      <w:r>
        <w:rPr>
          <w:spacing w:val="-7"/>
        </w:rPr>
        <w:t> </w:t>
      </w:r>
      <w:r>
        <w:rPr/>
        <w:t>o</w:t>
      </w:r>
      <w:r>
        <w:rPr>
          <w:spacing w:val="-7"/>
        </w:rPr>
        <w:t> </w:t>
      </w:r>
      <w:r>
        <w:rPr/>
        <w:t>una</w:t>
      </w:r>
      <w:r>
        <w:rPr>
          <w:spacing w:val="-8"/>
        </w:rPr>
        <w:t> </w:t>
      </w:r>
      <w:r>
        <w:rPr/>
        <w:t>disminución</w:t>
      </w:r>
      <w:r>
        <w:rPr>
          <w:spacing w:val="-8"/>
        </w:rPr>
        <w:t> </w:t>
      </w:r>
      <w:r>
        <w:rPr/>
        <w:t>en</w:t>
      </w:r>
      <w:r>
        <w:rPr>
          <w:spacing w:val="-8"/>
        </w:rPr>
        <w:t> </w:t>
      </w:r>
      <w:r>
        <w:rPr/>
        <w:t>los</w:t>
      </w:r>
      <w:r>
        <w:rPr>
          <w:spacing w:val="-7"/>
        </w:rPr>
        <w:t> </w:t>
      </w:r>
      <w:r>
        <w:rPr/>
        <w:t>pasivos que pueda medirse con fiabilidad de acuerdo con la NICSP 9.</w:t>
      </w:r>
    </w:p>
    <w:p>
      <w:pPr>
        <w:pStyle w:val="BodyText"/>
        <w:spacing w:line="259" w:lineRule="auto" w:before="159"/>
        <w:ind w:left="734" w:right="1092"/>
        <w:jc w:val="both"/>
      </w:pPr>
      <w:r>
        <w:rPr/>
        <w:t>El</w:t>
      </w:r>
      <w:r>
        <w:rPr>
          <w:spacing w:val="-2"/>
        </w:rPr>
        <w:t> </w:t>
      </w:r>
      <w:r>
        <w:rPr/>
        <w:t>ingreso</w:t>
      </w:r>
      <w:r>
        <w:rPr>
          <w:spacing w:val="-2"/>
        </w:rPr>
        <w:t> </w:t>
      </w:r>
      <w:r>
        <w:rPr/>
        <w:t>recibido,</w:t>
      </w:r>
      <w:r>
        <w:rPr>
          <w:spacing w:val="-2"/>
        </w:rPr>
        <w:t> </w:t>
      </w:r>
      <w:r>
        <w:rPr/>
        <w:t>pero</w:t>
      </w:r>
      <w:r>
        <w:rPr>
          <w:spacing w:val="-2"/>
        </w:rPr>
        <w:t> </w:t>
      </w:r>
      <w:r>
        <w:rPr/>
        <w:t>no</w:t>
      </w:r>
      <w:r>
        <w:rPr>
          <w:spacing w:val="-4"/>
        </w:rPr>
        <w:t> </w:t>
      </w:r>
      <w:r>
        <w:rPr/>
        <w:t>devengado</w:t>
      </w:r>
      <w:r>
        <w:rPr>
          <w:spacing w:val="-2"/>
        </w:rPr>
        <w:t> </w:t>
      </w:r>
      <w:r>
        <w:rPr/>
        <w:t>al</w:t>
      </w:r>
      <w:r>
        <w:rPr>
          <w:spacing w:val="-2"/>
        </w:rPr>
        <w:t> </w:t>
      </w:r>
      <w:r>
        <w:rPr/>
        <w:t>final</w:t>
      </w:r>
      <w:r>
        <w:rPr>
          <w:spacing w:val="-3"/>
        </w:rPr>
        <w:t> </w:t>
      </w:r>
      <w:r>
        <w:rPr/>
        <w:t>del</w:t>
      </w:r>
      <w:r>
        <w:rPr>
          <w:spacing w:val="-2"/>
        </w:rPr>
        <w:t> </w:t>
      </w:r>
      <w:r>
        <w:rPr/>
        <w:t>periodo</w:t>
      </w:r>
      <w:r>
        <w:rPr>
          <w:spacing w:val="-2"/>
        </w:rPr>
        <w:t> </w:t>
      </w:r>
      <w:r>
        <w:rPr/>
        <w:t>contable</w:t>
      </w:r>
      <w:r>
        <w:rPr>
          <w:spacing w:val="-3"/>
        </w:rPr>
        <w:t> </w:t>
      </w:r>
      <w:r>
        <w:rPr/>
        <w:t>se</w:t>
      </w:r>
      <w:r>
        <w:rPr>
          <w:spacing w:val="-3"/>
        </w:rPr>
        <w:t> </w:t>
      </w:r>
      <w:r>
        <w:rPr/>
        <w:t>reconocerá</w:t>
      </w:r>
      <w:r>
        <w:rPr>
          <w:spacing w:val="-5"/>
        </w:rPr>
        <w:t> </w:t>
      </w:r>
      <w:r>
        <w:rPr/>
        <w:t>como</w:t>
      </w:r>
      <w:r>
        <w:rPr>
          <w:spacing w:val="-2"/>
        </w:rPr>
        <w:t> </w:t>
      </w:r>
      <w:r>
        <w:rPr/>
        <w:t>un</w:t>
      </w:r>
      <w:r>
        <w:rPr>
          <w:spacing w:val="-2"/>
        </w:rPr>
        <w:t> </w:t>
      </w:r>
      <w:r>
        <w:rPr/>
        <w:t>pasivo (ingreso no devengado).</w:t>
      </w:r>
    </w:p>
    <w:p>
      <w:pPr>
        <w:pStyle w:val="BodyText"/>
        <w:spacing w:line="259" w:lineRule="auto" w:before="159"/>
        <w:ind w:left="734" w:right="1092"/>
        <w:jc w:val="both"/>
      </w:pPr>
      <w:r>
        <w:rPr/>
        <w:t>El</w:t>
      </w:r>
      <w:r>
        <w:rPr>
          <w:spacing w:val="-7"/>
        </w:rPr>
        <w:t> </w:t>
      </w:r>
      <w:r>
        <w:rPr/>
        <w:t>ingreso</w:t>
      </w:r>
      <w:r>
        <w:rPr>
          <w:spacing w:val="-5"/>
        </w:rPr>
        <w:t> </w:t>
      </w:r>
      <w:r>
        <w:rPr/>
        <w:t>que</w:t>
      </w:r>
      <w:r>
        <w:rPr>
          <w:spacing w:val="-7"/>
        </w:rPr>
        <w:t> </w:t>
      </w:r>
      <w:r>
        <w:rPr/>
        <w:t>se</w:t>
      </w:r>
      <w:r>
        <w:rPr>
          <w:spacing w:val="-7"/>
        </w:rPr>
        <w:t> </w:t>
      </w:r>
      <w:r>
        <w:rPr/>
        <w:t>ha</w:t>
      </w:r>
      <w:r>
        <w:rPr>
          <w:spacing w:val="-7"/>
        </w:rPr>
        <w:t> </w:t>
      </w:r>
      <w:r>
        <w:rPr/>
        <w:t>reconocido</w:t>
      </w:r>
      <w:r>
        <w:rPr>
          <w:spacing w:val="-6"/>
        </w:rPr>
        <w:t> </w:t>
      </w:r>
      <w:r>
        <w:rPr/>
        <w:t>y</w:t>
      </w:r>
      <w:r>
        <w:rPr>
          <w:spacing w:val="-7"/>
        </w:rPr>
        <w:t> </w:t>
      </w:r>
      <w:r>
        <w:rPr/>
        <w:t>que</w:t>
      </w:r>
      <w:r>
        <w:rPr>
          <w:spacing w:val="-7"/>
        </w:rPr>
        <w:t> </w:t>
      </w:r>
      <w:r>
        <w:rPr/>
        <w:t>posteriormente</w:t>
      </w:r>
      <w:r>
        <w:rPr>
          <w:spacing w:val="-7"/>
        </w:rPr>
        <w:t> </w:t>
      </w:r>
      <w:r>
        <w:rPr/>
        <w:t>se</w:t>
      </w:r>
      <w:r>
        <w:rPr>
          <w:spacing w:val="-7"/>
        </w:rPr>
        <w:t> </w:t>
      </w:r>
      <w:r>
        <w:rPr/>
        <w:t>da</w:t>
      </w:r>
      <w:r>
        <w:rPr>
          <w:spacing w:val="-7"/>
        </w:rPr>
        <w:t> </w:t>
      </w:r>
      <w:r>
        <w:rPr/>
        <w:t>de</w:t>
      </w:r>
      <w:r>
        <w:rPr>
          <w:spacing w:val="-6"/>
        </w:rPr>
        <w:t> </w:t>
      </w:r>
      <w:r>
        <w:rPr/>
        <w:t>baja</w:t>
      </w:r>
      <w:r>
        <w:rPr>
          <w:spacing w:val="-5"/>
        </w:rPr>
        <w:t> </w:t>
      </w:r>
      <w:r>
        <w:rPr/>
        <w:t>o</w:t>
      </w:r>
      <w:r>
        <w:rPr>
          <w:spacing w:val="-5"/>
        </w:rPr>
        <w:t> </w:t>
      </w:r>
      <w:r>
        <w:rPr/>
        <w:t>se</w:t>
      </w:r>
      <w:r>
        <w:rPr>
          <w:spacing w:val="-7"/>
        </w:rPr>
        <w:t> </w:t>
      </w:r>
      <w:r>
        <w:rPr/>
        <w:t>difiere</w:t>
      </w:r>
      <w:r>
        <w:rPr>
          <w:spacing w:val="-7"/>
        </w:rPr>
        <w:t> </w:t>
      </w:r>
      <w:r>
        <w:rPr/>
        <w:t>se</w:t>
      </w:r>
      <w:r>
        <w:rPr>
          <w:spacing w:val="-7"/>
        </w:rPr>
        <w:t> </w:t>
      </w:r>
      <w:r>
        <w:rPr/>
        <w:t>reconocerá</w:t>
      </w:r>
      <w:r>
        <w:rPr>
          <w:spacing w:val="-7"/>
        </w:rPr>
        <w:t> </w:t>
      </w:r>
      <w:r>
        <w:rPr/>
        <w:t>como un gasto.</w:t>
      </w:r>
    </w:p>
    <w:p>
      <w:pPr>
        <w:pStyle w:val="BodyText"/>
        <w:spacing w:line="259" w:lineRule="auto" w:before="161"/>
        <w:ind w:left="734" w:right="1090"/>
        <w:jc w:val="both"/>
      </w:pPr>
      <w:r>
        <w:rPr/>
        <w:t>El</w:t>
      </w:r>
      <w:r>
        <w:rPr>
          <w:spacing w:val="-14"/>
        </w:rPr>
        <w:t> </w:t>
      </w:r>
      <w:r>
        <w:rPr/>
        <w:t>ingreso</w:t>
      </w:r>
      <w:r>
        <w:rPr>
          <w:spacing w:val="-13"/>
        </w:rPr>
        <w:t> </w:t>
      </w:r>
      <w:r>
        <w:rPr/>
        <w:t>por</w:t>
      </w:r>
      <w:r>
        <w:rPr>
          <w:spacing w:val="-13"/>
        </w:rPr>
        <w:t> </w:t>
      </w:r>
      <w:r>
        <w:rPr/>
        <w:t>la</w:t>
      </w:r>
      <w:r>
        <w:rPr>
          <w:spacing w:val="-14"/>
        </w:rPr>
        <w:t> </w:t>
      </w:r>
      <w:r>
        <w:rPr/>
        <w:t>venta</w:t>
      </w:r>
      <w:r>
        <w:rPr>
          <w:spacing w:val="-13"/>
        </w:rPr>
        <w:t> </w:t>
      </w:r>
      <w:r>
        <w:rPr/>
        <w:t>de</w:t>
      </w:r>
      <w:r>
        <w:rPr>
          <w:spacing w:val="-14"/>
        </w:rPr>
        <w:t> </w:t>
      </w:r>
      <w:r>
        <w:rPr/>
        <w:t>bienes</w:t>
      </w:r>
      <w:r>
        <w:rPr>
          <w:spacing w:val="-12"/>
        </w:rPr>
        <w:t> </w:t>
      </w:r>
      <w:r>
        <w:rPr/>
        <w:t>y</w:t>
      </w:r>
      <w:r>
        <w:rPr>
          <w:spacing w:val="-14"/>
        </w:rPr>
        <w:t> </w:t>
      </w:r>
      <w:r>
        <w:rPr/>
        <w:t>servicios</w:t>
      </w:r>
      <w:r>
        <w:rPr>
          <w:spacing w:val="-12"/>
        </w:rPr>
        <w:t> </w:t>
      </w:r>
      <w:r>
        <w:rPr/>
        <w:t>y</w:t>
      </w:r>
      <w:r>
        <w:rPr>
          <w:spacing w:val="-14"/>
        </w:rPr>
        <w:t> </w:t>
      </w:r>
      <w:r>
        <w:rPr/>
        <w:t>por</w:t>
      </w:r>
      <w:r>
        <w:rPr>
          <w:spacing w:val="-13"/>
        </w:rPr>
        <w:t> </w:t>
      </w:r>
      <w:r>
        <w:rPr/>
        <w:t>la</w:t>
      </w:r>
      <w:r>
        <w:rPr>
          <w:spacing w:val="-14"/>
        </w:rPr>
        <w:t> </w:t>
      </w:r>
      <w:r>
        <w:rPr/>
        <w:t>prestación</w:t>
      </w:r>
      <w:r>
        <w:rPr>
          <w:spacing w:val="-13"/>
        </w:rPr>
        <w:t> </w:t>
      </w:r>
      <w:r>
        <w:rPr/>
        <w:t>de</w:t>
      </w:r>
      <w:r>
        <w:rPr>
          <w:spacing w:val="-14"/>
        </w:rPr>
        <w:t> </w:t>
      </w:r>
      <w:r>
        <w:rPr/>
        <w:t>servicios</w:t>
      </w:r>
      <w:r>
        <w:rPr>
          <w:spacing w:val="-12"/>
        </w:rPr>
        <w:t> </w:t>
      </w:r>
      <w:r>
        <w:rPr/>
        <w:t>se</w:t>
      </w:r>
      <w:r>
        <w:rPr>
          <w:spacing w:val="-14"/>
        </w:rPr>
        <w:t> </w:t>
      </w:r>
      <w:r>
        <w:rPr/>
        <w:t>reconocerá</w:t>
      </w:r>
      <w:r>
        <w:rPr>
          <w:spacing w:val="-14"/>
        </w:rPr>
        <w:t> </w:t>
      </w:r>
      <w:r>
        <w:rPr/>
        <w:t>en</w:t>
      </w:r>
      <w:r>
        <w:rPr>
          <w:spacing w:val="-13"/>
        </w:rPr>
        <w:t> </w:t>
      </w:r>
      <w:r>
        <w:rPr/>
        <w:t>el</w:t>
      </w:r>
      <w:r>
        <w:rPr>
          <w:spacing w:val="-14"/>
        </w:rPr>
        <w:t> </w:t>
      </w:r>
      <w:r>
        <w:rPr/>
        <w:t>estado del</w:t>
      </w:r>
      <w:r>
        <w:rPr>
          <w:spacing w:val="-5"/>
        </w:rPr>
        <w:t> </w:t>
      </w:r>
      <w:r>
        <w:rPr/>
        <w:t>rendimiento</w:t>
      </w:r>
      <w:r>
        <w:rPr>
          <w:spacing w:val="-4"/>
        </w:rPr>
        <w:t> </w:t>
      </w:r>
      <w:r>
        <w:rPr/>
        <w:t>financiero</w:t>
      </w:r>
      <w:r>
        <w:rPr>
          <w:spacing w:val="-4"/>
        </w:rPr>
        <w:t> </w:t>
      </w:r>
      <w:r>
        <w:rPr/>
        <w:t>cuando</w:t>
      </w:r>
      <w:r>
        <w:rPr>
          <w:spacing w:val="-4"/>
        </w:rPr>
        <w:t> </w:t>
      </w:r>
      <w:r>
        <w:rPr/>
        <w:t>sea</w:t>
      </w:r>
      <w:r>
        <w:rPr>
          <w:spacing w:val="-5"/>
        </w:rPr>
        <w:t> </w:t>
      </w:r>
      <w:r>
        <w:rPr/>
        <w:t>devengado.</w:t>
      </w:r>
      <w:r>
        <w:rPr>
          <w:spacing w:val="-6"/>
        </w:rPr>
        <w:t> </w:t>
      </w:r>
      <w:r>
        <w:rPr/>
        <w:t>La</w:t>
      </w:r>
      <w:r>
        <w:rPr>
          <w:spacing w:val="-6"/>
        </w:rPr>
        <w:t> </w:t>
      </w:r>
      <w:r>
        <w:rPr/>
        <w:t>emisión</w:t>
      </w:r>
      <w:r>
        <w:rPr>
          <w:spacing w:val="-4"/>
        </w:rPr>
        <w:t> </w:t>
      </w:r>
      <w:r>
        <w:rPr/>
        <w:t>de</w:t>
      </w:r>
      <w:r>
        <w:rPr>
          <w:spacing w:val="-6"/>
        </w:rPr>
        <w:t> </w:t>
      </w:r>
      <w:r>
        <w:rPr/>
        <w:t>una</w:t>
      </w:r>
      <w:r>
        <w:rPr>
          <w:spacing w:val="-5"/>
        </w:rPr>
        <w:t> </w:t>
      </w:r>
      <w:r>
        <w:rPr/>
        <w:t>factura</w:t>
      </w:r>
      <w:r>
        <w:rPr>
          <w:spacing w:val="-5"/>
        </w:rPr>
        <w:t> </w:t>
      </w:r>
      <w:r>
        <w:rPr/>
        <w:t>pone</w:t>
      </w:r>
      <w:r>
        <w:rPr>
          <w:spacing w:val="-3"/>
        </w:rPr>
        <w:t> </w:t>
      </w:r>
      <w:r>
        <w:rPr/>
        <w:t>de</w:t>
      </w:r>
      <w:r>
        <w:rPr>
          <w:spacing w:val="-6"/>
        </w:rPr>
        <w:t> </w:t>
      </w:r>
      <w:r>
        <w:rPr/>
        <w:t>manifiesto</w:t>
      </w:r>
      <w:r>
        <w:rPr>
          <w:spacing w:val="-4"/>
        </w:rPr>
        <w:t> </w:t>
      </w:r>
      <w:r>
        <w:rPr/>
        <w:t>el reconocimiento del ingreso.</w:t>
      </w:r>
    </w:p>
    <w:p>
      <w:pPr>
        <w:pStyle w:val="BodyText"/>
      </w:pPr>
    </w:p>
    <w:p>
      <w:pPr>
        <w:pStyle w:val="BodyText"/>
        <w:spacing w:before="87"/>
      </w:pPr>
    </w:p>
    <w:p>
      <w:pPr>
        <w:pStyle w:val="Heading6"/>
        <w:ind w:left="734"/>
      </w:pPr>
      <w:r>
        <w:rPr>
          <w:color w:val="FFFFFF"/>
          <w:spacing w:val="-2"/>
          <w:u w:val="single" w:color="FFFFFF"/>
          <w:shd w:fill="00008A" w:color="auto" w:val="clear"/>
        </w:rPr>
        <w:t>Medición:</w:t>
      </w:r>
    </w:p>
    <w:p>
      <w:pPr>
        <w:pStyle w:val="BodyText"/>
        <w:spacing w:line="259" w:lineRule="auto" w:before="162"/>
        <w:ind w:left="734" w:right="1087"/>
        <w:jc w:val="both"/>
      </w:pPr>
      <w:r>
        <w:rPr/>
        <w:t>Provenientes de la venta de bienes: Cuando los riesgos y recompensas importantes han sido transferidos</w:t>
      </w:r>
      <w:r>
        <w:rPr>
          <w:spacing w:val="-13"/>
        </w:rPr>
        <w:t> </w:t>
      </w:r>
      <w:r>
        <w:rPr/>
        <w:t>al</w:t>
      </w:r>
      <w:r>
        <w:rPr>
          <w:spacing w:val="-11"/>
        </w:rPr>
        <w:t> </w:t>
      </w:r>
      <w:r>
        <w:rPr/>
        <w:t>comprador,</w:t>
      </w:r>
      <w:r>
        <w:rPr>
          <w:spacing w:val="-10"/>
        </w:rPr>
        <w:t> </w:t>
      </w:r>
      <w:r>
        <w:rPr/>
        <w:t>habiendo</w:t>
      </w:r>
      <w:r>
        <w:rPr>
          <w:spacing w:val="-10"/>
        </w:rPr>
        <w:t> </w:t>
      </w:r>
      <w:r>
        <w:rPr/>
        <w:t>pérdida</w:t>
      </w:r>
      <w:r>
        <w:rPr>
          <w:spacing w:val="-12"/>
        </w:rPr>
        <w:t> </w:t>
      </w:r>
      <w:r>
        <w:rPr/>
        <w:t>del</w:t>
      </w:r>
      <w:r>
        <w:rPr>
          <w:spacing w:val="-11"/>
        </w:rPr>
        <w:t> </w:t>
      </w:r>
      <w:r>
        <w:rPr/>
        <w:t>control</w:t>
      </w:r>
      <w:r>
        <w:rPr>
          <w:spacing w:val="-14"/>
        </w:rPr>
        <w:t> </w:t>
      </w:r>
      <w:r>
        <w:rPr/>
        <w:t>efectivo</w:t>
      </w:r>
      <w:r>
        <w:rPr>
          <w:spacing w:val="-10"/>
        </w:rPr>
        <w:t> </w:t>
      </w:r>
      <w:r>
        <w:rPr/>
        <w:t>por</w:t>
      </w:r>
      <w:r>
        <w:rPr>
          <w:spacing w:val="-13"/>
        </w:rPr>
        <w:t> </w:t>
      </w:r>
      <w:r>
        <w:rPr/>
        <w:t>parte</w:t>
      </w:r>
      <w:r>
        <w:rPr>
          <w:spacing w:val="-11"/>
        </w:rPr>
        <w:t> </w:t>
      </w:r>
      <w:r>
        <w:rPr/>
        <w:t>del</w:t>
      </w:r>
      <w:r>
        <w:rPr>
          <w:spacing w:val="-11"/>
        </w:rPr>
        <w:t> </w:t>
      </w:r>
      <w:r>
        <w:rPr/>
        <w:t>vendedor,</w:t>
      </w:r>
      <w:r>
        <w:rPr>
          <w:spacing w:val="-10"/>
        </w:rPr>
        <w:t> </w:t>
      </w:r>
      <w:r>
        <w:rPr/>
        <w:t>la</w:t>
      </w:r>
      <w:r>
        <w:rPr>
          <w:spacing w:val="-14"/>
        </w:rPr>
        <w:t> </w:t>
      </w:r>
      <w:r>
        <w:rPr/>
        <w:t>cantidad de los ingresos ordinarios puede ser medida confiablemente, es probable que los beneficios económicos</w:t>
      </w:r>
      <w:r>
        <w:rPr>
          <w:spacing w:val="-3"/>
        </w:rPr>
        <w:t> </w:t>
      </w:r>
      <w:r>
        <w:rPr/>
        <w:t>o</w:t>
      </w:r>
      <w:r>
        <w:rPr>
          <w:spacing w:val="-1"/>
        </w:rPr>
        <w:t> </w:t>
      </w:r>
      <w:r>
        <w:rPr/>
        <w:t>el</w:t>
      </w:r>
      <w:r>
        <w:rPr>
          <w:spacing w:val="-1"/>
        </w:rPr>
        <w:t> </w:t>
      </w:r>
      <w:r>
        <w:rPr/>
        <w:t>potencial</w:t>
      </w:r>
      <w:r>
        <w:rPr>
          <w:spacing w:val="-1"/>
        </w:rPr>
        <w:t> </w:t>
      </w:r>
      <w:r>
        <w:rPr/>
        <w:t>de</w:t>
      </w:r>
      <w:r>
        <w:rPr>
          <w:spacing w:val="-2"/>
        </w:rPr>
        <w:t> </w:t>
      </w:r>
      <w:r>
        <w:rPr/>
        <w:t>servicio</w:t>
      </w:r>
      <w:r>
        <w:rPr>
          <w:spacing w:val="-1"/>
        </w:rPr>
        <w:t> </w:t>
      </w:r>
      <w:r>
        <w:rPr/>
        <w:t>asociado</w:t>
      </w:r>
      <w:r>
        <w:rPr>
          <w:spacing w:val="-1"/>
        </w:rPr>
        <w:t> </w:t>
      </w:r>
      <w:r>
        <w:rPr/>
        <w:t>con</w:t>
      </w:r>
      <w:r>
        <w:rPr>
          <w:spacing w:val="-1"/>
        </w:rPr>
        <w:t> </w:t>
      </w:r>
      <w:r>
        <w:rPr/>
        <w:t>la</w:t>
      </w:r>
      <w:r>
        <w:rPr>
          <w:spacing w:val="-1"/>
        </w:rPr>
        <w:t> </w:t>
      </w:r>
      <w:r>
        <w:rPr/>
        <w:t>transacción</w:t>
      </w:r>
      <w:r>
        <w:rPr>
          <w:spacing w:val="-1"/>
        </w:rPr>
        <w:t> </w:t>
      </w:r>
      <w:r>
        <w:rPr/>
        <w:t>fluirá</w:t>
      </w:r>
      <w:r>
        <w:rPr>
          <w:spacing w:val="-2"/>
        </w:rPr>
        <w:t> </w:t>
      </w:r>
      <w:r>
        <w:rPr/>
        <w:t>para</w:t>
      </w:r>
      <w:r>
        <w:rPr>
          <w:spacing w:val="-2"/>
        </w:rPr>
        <w:t> </w:t>
      </w:r>
      <w:r>
        <w:rPr/>
        <w:t>la</w:t>
      </w:r>
      <w:r>
        <w:rPr>
          <w:spacing w:val="-3"/>
        </w:rPr>
        <w:t> </w:t>
      </w:r>
      <w:r>
        <w:rPr/>
        <w:t>entidad,</w:t>
      </w:r>
      <w:r>
        <w:rPr>
          <w:spacing w:val="-1"/>
        </w:rPr>
        <w:t> </w:t>
      </w:r>
      <w:r>
        <w:rPr/>
        <w:t>y</w:t>
      </w:r>
      <w:r>
        <w:rPr>
          <w:spacing w:val="-3"/>
        </w:rPr>
        <w:t> </w:t>
      </w:r>
      <w:r>
        <w:rPr/>
        <w:t>los costos incurridos o a ser incurridos con relación a la transacción pueden ser medidos confiablemente.</w:t>
      </w:r>
    </w:p>
    <w:p>
      <w:pPr>
        <w:pStyle w:val="BodyText"/>
        <w:spacing w:line="259" w:lineRule="auto" w:before="159"/>
        <w:ind w:left="734" w:right="1092"/>
        <w:jc w:val="both"/>
      </w:pPr>
      <w:r>
        <w:rPr/>
        <w:t>Los ingresos ordinarios son medidos al valor razonable de la consideración recibida o por cobrar. Se</w:t>
      </w:r>
      <w:r>
        <w:rPr>
          <w:spacing w:val="-9"/>
        </w:rPr>
        <w:t> </w:t>
      </w:r>
      <w:r>
        <w:rPr/>
        <w:t>reconocen</w:t>
      </w:r>
      <w:r>
        <w:rPr>
          <w:spacing w:val="-10"/>
        </w:rPr>
        <w:t> </w:t>
      </w:r>
      <w:r>
        <w:rPr/>
        <w:t>sólo</w:t>
      </w:r>
      <w:r>
        <w:rPr>
          <w:spacing w:val="-7"/>
        </w:rPr>
        <w:t> </w:t>
      </w:r>
      <w:r>
        <w:rPr/>
        <w:t>cuando</w:t>
      </w:r>
      <w:r>
        <w:rPr>
          <w:spacing w:val="-10"/>
        </w:rPr>
        <w:t> </w:t>
      </w:r>
      <w:r>
        <w:rPr/>
        <w:t>sea</w:t>
      </w:r>
      <w:r>
        <w:rPr>
          <w:spacing w:val="-9"/>
        </w:rPr>
        <w:t> </w:t>
      </w:r>
      <w:r>
        <w:rPr/>
        <w:t>probable</w:t>
      </w:r>
      <w:r>
        <w:rPr>
          <w:spacing w:val="-10"/>
        </w:rPr>
        <w:t> </w:t>
      </w:r>
      <w:r>
        <w:rPr/>
        <w:t>que</w:t>
      </w:r>
      <w:r>
        <w:rPr>
          <w:spacing w:val="-11"/>
        </w:rPr>
        <w:t> </w:t>
      </w:r>
      <w:r>
        <w:rPr/>
        <w:t>la</w:t>
      </w:r>
      <w:r>
        <w:rPr>
          <w:spacing w:val="-9"/>
        </w:rPr>
        <w:t> </w:t>
      </w:r>
      <w:r>
        <w:rPr/>
        <w:t>entidad</w:t>
      </w:r>
      <w:r>
        <w:rPr>
          <w:spacing w:val="-10"/>
        </w:rPr>
        <w:t> </w:t>
      </w:r>
      <w:r>
        <w:rPr/>
        <w:t>obtenga</w:t>
      </w:r>
      <w:r>
        <w:rPr>
          <w:spacing w:val="-8"/>
        </w:rPr>
        <w:t> </w:t>
      </w:r>
      <w:r>
        <w:rPr/>
        <w:t>los</w:t>
      </w:r>
      <w:r>
        <w:rPr>
          <w:spacing w:val="-7"/>
        </w:rPr>
        <w:t> </w:t>
      </w:r>
      <w:r>
        <w:rPr/>
        <w:t>beneficios</w:t>
      </w:r>
      <w:r>
        <w:rPr>
          <w:spacing w:val="-9"/>
        </w:rPr>
        <w:t> </w:t>
      </w:r>
      <w:r>
        <w:rPr/>
        <w:t>o</w:t>
      </w:r>
      <w:r>
        <w:rPr>
          <w:spacing w:val="-10"/>
        </w:rPr>
        <w:t> </w:t>
      </w:r>
      <w:r>
        <w:rPr/>
        <w:t>potencial</w:t>
      </w:r>
      <w:r>
        <w:rPr>
          <w:spacing w:val="-9"/>
        </w:rPr>
        <w:t> </w:t>
      </w:r>
      <w:r>
        <w:rPr/>
        <w:t>de</w:t>
      </w:r>
      <w:r>
        <w:rPr>
          <w:spacing w:val="-10"/>
        </w:rPr>
        <w:t> </w:t>
      </w:r>
      <w:r>
        <w:rPr/>
        <w:t>servicio asociados con la transacción.</w:t>
      </w:r>
    </w:p>
    <w:p>
      <w:pPr>
        <w:pStyle w:val="BodyText"/>
        <w:spacing w:line="259" w:lineRule="auto" w:before="160"/>
        <w:ind w:left="734" w:right="1088"/>
        <w:jc w:val="both"/>
      </w:pPr>
      <w:r>
        <w:rPr/>
        <w:t>Las</w:t>
      </w:r>
      <w:r>
        <w:rPr>
          <w:spacing w:val="-10"/>
        </w:rPr>
        <w:t> </w:t>
      </w:r>
      <w:r>
        <w:rPr/>
        <w:t>Políticas</w:t>
      </w:r>
      <w:r>
        <w:rPr>
          <w:spacing w:val="-12"/>
        </w:rPr>
        <w:t> </w:t>
      </w:r>
      <w:r>
        <w:rPr/>
        <w:t>Contables</w:t>
      </w:r>
      <w:r>
        <w:rPr>
          <w:spacing w:val="-10"/>
        </w:rPr>
        <w:t> </w:t>
      </w:r>
      <w:r>
        <w:rPr/>
        <w:t>aplicables</w:t>
      </w:r>
      <w:r>
        <w:rPr>
          <w:spacing w:val="-10"/>
        </w:rPr>
        <w:t> </w:t>
      </w:r>
      <w:r>
        <w:rPr/>
        <w:t>se</w:t>
      </w:r>
      <w:r>
        <w:rPr>
          <w:spacing w:val="-12"/>
        </w:rPr>
        <w:t> </w:t>
      </w:r>
      <w:r>
        <w:rPr/>
        <w:t>muestran</w:t>
      </w:r>
      <w:r>
        <w:rPr>
          <w:spacing w:val="-10"/>
        </w:rPr>
        <w:t> </w:t>
      </w:r>
      <w:r>
        <w:rPr/>
        <w:t>en</w:t>
      </w:r>
      <w:r>
        <w:rPr>
          <w:spacing w:val="-10"/>
        </w:rPr>
        <w:t> </w:t>
      </w:r>
      <w:r>
        <w:rPr/>
        <w:t>el</w:t>
      </w:r>
      <w:r>
        <w:rPr>
          <w:spacing w:val="-11"/>
        </w:rPr>
        <w:t> </w:t>
      </w:r>
      <w:r>
        <w:rPr/>
        <w:t>anexo</w:t>
      </w:r>
      <w:r>
        <w:rPr>
          <w:spacing w:val="-10"/>
        </w:rPr>
        <w:t> </w:t>
      </w:r>
      <w:r>
        <w:rPr/>
        <w:t>No.3,</w:t>
      </w:r>
      <w:r>
        <w:rPr>
          <w:spacing w:val="-10"/>
        </w:rPr>
        <w:t> </w:t>
      </w:r>
      <w:r>
        <w:rPr/>
        <w:t>las</w:t>
      </w:r>
      <w:r>
        <w:rPr>
          <w:spacing w:val="-10"/>
        </w:rPr>
        <w:t> </w:t>
      </w:r>
      <w:r>
        <w:rPr/>
        <w:t>políticas</w:t>
      </w:r>
      <w:r>
        <w:rPr>
          <w:spacing w:val="-10"/>
        </w:rPr>
        <w:t> </w:t>
      </w:r>
      <w:r>
        <w:rPr/>
        <w:t>relevantes</w:t>
      </w:r>
      <w:r>
        <w:rPr>
          <w:spacing w:val="-10"/>
        </w:rPr>
        <w:t> </w:t>
      </w:r>
      <w:r>
        <w:rPr/>
        <w:t>a</w:t>
      </w:r>
      <w:r>
        <w:rPr>
          <w:spacing w:val="-11"/>
        </w:rPr>
        <w:t> </w:t>
      </w:r>
      <w:r>
        <w:rPr/>
        <w:t>esta</w:t>
      </w:r>
      <w:r>
        <w:rPr>
          <w:spacing w:val="-11"/>
        </w:rPr>
        <w:t> </w:t>
      </w:r>
      <w:r>
        <w:rPr/>
        <w:t>norma se muestran a continuación:</w:t>
      </w:r>
    </w:p>
    <w:p>
      <w:pPr>
        <w:spacing w:line="230" w:lineRule="auto" w:before="158"/>
        <w:ind w:left="734" w:right="1092" w:firstLine="0"/>
        <w:jc w:val="both"/>
        <w:rPr>
          <w:i/>
          <w:sz w:val="23"/>
        </w:rPr>
      </w:pPr>
      <w:r>
        <w:rPr>
          <w:i/>
          <w:spacing w:val="-2"/>
          <w:sz w:val="23"/>
        </w:rPr>
        <w:t>4.30</w:t>
      </w:r>
      <w:r>
        <w:rPr>
          <w:i/>
          <w:spacing w:val="-13"/>
          <w:sz w:val="23"/>
        </w:rPr>
        <w:t> </w:t>
      </w:r>
      <w:r>
        <w:rPr>
          <w:i/>
          <w:spacing w:val="-2"/>
          <w:sz w:val="23"/>
        </w:rPr>
        <w:t>La</w:t>
      </w:r>
      <w:r>
        <w:rPr>
          <w:i/>
          <w:spacing w:val="-12"/>
          <w:sz w:val="23"/>
        </w:rPr>
        <w:t> </w:t>
      </w:r>
      <w:r>
        <w:rPr>
          <w:i/>
          <w:spacing w:val="-2"/>
          <w:sz w:val="23"/>
        </w:rPr>
        <w:t>medición</w:t>
      </w:r>
      <w:r>
        <w:rPr>
          <w:i/>
          <w:spacing w:val="-12"/>
          <w:sz w:val="23"/>
        </w:rPr>
        <w:t> </w:t>
      </w:r>
      <w:r>
        <w:rPr>
          <w:i/>
          <w:spacing w:val="-2"/>
          <w:sz w:val="23"/>
        </w:rPr>
        <w:t>de</w:t>
      </w:r>
      <w:r>
        <w:rPr>
          <w:i/>
          <w:spacing w:val="-12"/>
          <w:sz w:val="23"/>
        </w:rPr>
        <w:t> </w:t>
      </w:r>
      <w:r>
        <w:rPr>
          <w:i/>
          <w:spacing w:val="-2"/>
          <w:sz w:val="23"/>
        </w:rPr>
        <w:t>los</w:t>
      </w:r>
      <w:r>
        <w:rPr>
          <w:i/>
          <w:spacing w:val="-11"/>
          <w:sz w:val="23"/>
        </w:rPr>
        <w:t> </w:t>
      </w:r>
      <w:r>
        <w:rPr>
          <w:i/>
          <w:spacing w:val="-2"/>
          <w:sz w:val="23"/>
        </w:rPr>
        <w:t>ingresos</w:t>
      </w:r>
      <w:r>
        <w:rPr>
          <w:i/>
          <w:spacing w:val="-11"/>
          <w:sz w:val="23"/>
        </w:rPr>
        <w:t> </w:t>
      </w:r>
      <w:r>
        <w:rPr>
          <w:i/>
          <w:spacing w:val="-2"/>
          <w:sz w:val="23"/>
        </w:rPr>
        <w:t>se</w:t>
      </w:r>
      <w:r>
        <w:rPr>
          <w:i/>
          <w:spacing w:val="-12"/>
          <w:sz w:val="23"/>
        </w:rPr>
        <w:t> </w:t>
      </w:r>
      <w:r>
        <w:rPr>
          <w:i/>
          <w:spacing w:val="-2"/>
          <w:sz w:val="23"/>
        </w:rPr>
        <w:t>hace</w:t>
      </w:r>
      <w:r>
        <w:rPr>
          <w:i/>
          <w:spacing w:val="-13"/>
          <w:sz w:val="23"/>
        </w:rPr>
        <w:t> </w:t>
      </w:r>
      <w:r>
        <w:rPr>
          <w:i/>
          <w:spacing w:val="-2"/>
          <w:sz w:val="23"/>
        </w:rPr>
        <w:t>utilizando</w:t>
      </w:r>
      <w:r>
        <w:rPr>
          <w:i/>
          <w:spacing w:val="-11"/>
          <w:sz w:val="23"/>
        </w:rPr>
        <w:t> </w:t>
      </w:r>
      <w:r>
        <w:rPr>
          <w:i/>
          <w:spacing w:val="-2"/>
          <w:sz w:val="23"/>
        </w:rPr>
        <w:t>el</w:t>
      </w:r>
      <w:r>
        <w:rPr>
          <w:i/>
          <w:spacing w:val="-12"/>
          <w:sz w:val="23"/>
        </w:rPr>
        <w:t> </w:t>
      </w:r>
      <w:r>
        <w:rPr>
          <w:i/>
          <w:spacing w:val="-2"/>
          <w:sz w:val="23"/>
        </w:rPr>
        <w:t>valor</w:t>
      </w:r>
      <w:r>
        <w:rPr>
          <w:i/>
          <w:spacing w:val="-12"/>
          <w:sz w:val="23"/>
        </w:rPr>
        <w:t> </w:t>
      </w:r>
      <w:r>
        <w:rPr>
          <w:i/>
          <w:spacing w:val="-2"/>
          <w:sz w:val="23"/>
        </w:rPr>
        <w:t>razonable</w:t>
      </w:r>
      <w:r>
        <w:rPr>
          <w:i/>
          <w:spacing w:val="-13"/>
          <w:sz w:val="23"/>
        </w:rPr>
        <w:t> </w:t>
      </w:r>
      <w:r>
        <w:rPr>
          <w:i/>
          <w:spacing w:val="-2"/>
          <w:sz w:val="23"/>
        </w:rPr>
        <w:t>de</w:t>
      </w:r>
      <w:r>
        <w:rPr>
          <w:i/>
          <w:spacing w:val="-12"/>
          <w:sz w:val="23"/>
        </w:rPr>
        <w:t> </w:t>
      </w:r>
      <w:r>
        <w:rPr>
          <w:i/>
          <w:spacing w:val="-2"/>
          <w:sz w:val="23"/>
        </w:rPr>
        <w:t>la</w:t>
      </w:r>
      <w:r>
        <w:rPr>
          <w:i/>
          <w:spacing w:val="-12"/>
          <w:sz w:val="23"/>
        </w:rPr>
        <w:t> </w:t>
      </w:r>
      <w:r>
        <w:rPr>
          <w:i/>
          <w:spacing w:val="-2"/>
          <w:sz w:val="23"/>
        </w:rPr>
        <w:t>contrapartida,</w:t>
      </w:r>
      <w:r>
        <w:rPr>
          <w:i/>
          <w:spacing w:val="-12"/>
          <w:sz w:val="23"/>
        </w:rPr>
        <w:t> </w:t>
      </w:r>
      <w:r>
        <w:rPr>
          <w:i/>
          <w:spacing w:val="-2"/>
          <w:sz w:val="23"/>
        </w:rPr>
        <w:t>recibida </w:t>
      </w:r>
      <w:r>
        <w:rPr>
          <w:i/>
          <w:sz w:val="23"/>
        </w:rPr>
        <w:t>o por recibir, derivada de los mismos teniendo en cuenta el importe de cualquier descuento, bonificación</w:t>
      </w:r>
      <w:r>
        <w:rPr>
          <w:i/>
          <w:spacing w:val="-15"/>
          <w:sz w:val="23"/>
        </w:rPr>
        <w:t> </w:t>
      </w:r>
      <w:r>
        <w:rPr>
          <w:i/>
          <w:sz w:val="23"/>
        </w:rPr>
        <w:t>o</w:t>
      </w:r>
      <w:r>
        <w:rPr>
          <w:i/>
          <w:spacing w:val="-12"/>
          <w:sz w:val="23"/>
        </w:rPr>
        <w:t> </w:t>
      </w:r>
      <w:r>
        <w:rPr>
          <w:i/>
          <w:sz w:val="23"/>
        </w:rPr>
        <w:t>rebaja</w:t>
      </w:r>
      <w:r>
        <w:rPr>
          <w:i/>
          <w:spacing w:val="-13"/>
          <w:sz w:val="23"/>
        </w:rPr>
        <w:t> </w:t>
      </w:r>
      <w:r>
        <w:rPr>
          <w:i/>
          <w:sz w:val="23"/>
        </w:rPr>
        <w:t>comercial</w:t>
      </w:r>
      <w:r>
        <w:rPr>
          <w:i/>
          <w:spacing w:val="-13"/>
          <w:sz w:val="23"/>
        </w:rPr>
        <w:t> </w:t>
      </w:r>
      <w:r>
        <w:rPr>
          <w:i/>
          <w:sz w:val="23"/>
        </w:rPr>
        <w:t>que</w:t>
      </w:r>
      <w:r>
        <w:rPr>
          <w:i/>
          <w:spacing w:val="-14"/>
          <w:sz w:val="23"/>
        </w:rPr>
        <w:t> </w:t>
      </w:r>
      <w:r>
        <w:rPr>
          <w:i/>
          <w:sz w:val="23"/>
        </w:rPr>
        <w:t>la</w:t>
      </w:r>
      <w:r>
        <w:rPr>
          <w:i/>
          <w:spacing w:val="-14"/>
          <w:sz w:val="23"/>
        </w:rPr>
        <w:t> </w:t>
      </w:r>
      <w:r>
        <w:rPr>
          <w:i/>
          <w:sz w:val="23"/>
        </w:rPr>
        <w:t>entidad</w:t>
      </w:r>
      <w:r>
        <w:rPr>
          <w:i/>
          <w:spacing w:val="-13"/>
          <w:sz w:val="23"/>
        </w:rPr>
        <w:t> </w:t>
      </w:r>
      <w:r>
        <w:rPr>
          <w:i/>
          <w:sz w:val="23"/>
        </w:rPr>
        <w:t>pueda</w:t>
      </w:r>
      <w:r>
        <w:rPr>
          <w:i/>
          <w:spacing w:val="-14"/>
          <w:sz w:val="23"/>
        </w:rPr>
        <w:t> </w:t>
      </w:r>
      <w:r>
        <w:rPr>
          <w:i/>
          <w:sz w:val="23"/>
        </w:rPr>
        <w:t>otorgar.</w:t>
      </w:r>
    </w:p>
    <w:p>
      <w:pPr>
        <w:spacing w:after="0" w:line="230" w:lineRule="auto"/>
        <w:jc w:val="both"/>
        <w:rPr>
          <w:i/>
          <w:sz w:val="23"/>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3648">
                <wp:simplePos x="0" y="0"/>
                <wp:positionH relativeFrom="page">
                  <wp:posOffset>9525</wp:posOffset>
                </wp:positionH>
                <wp:positionV relativeFrom="page">
                  <wp:posOffset>297208</wp:posOffset>
                </wp:positionV>
                <wp:extent cx="7762875" cy="9748520"/>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7762875" cy="9748520"/>
                          <a:chExt cx="7762875" cy="9748520"/>
                        </a:xfrm>
                      </wpg:grpSpPr>
                      <pic:pic>
                        <pic:nvPicPr>
                          <pic:cNvPr id="258" name="Image 258"/>
                          <pic:cNvPicPr/>
                        </pic:nvPicPr>
                        <pic:blipFill>
                          <a:blip r:embed="rId5" cstate="print"/>
                          <a:stretch>
                            <a:fillRect/>
                          </a:stretch>
                        </pic:blipFill>
                        <pic:spPr>
                          <a:xfrm>
                            <a:off x="0" y="0"/>
                            <a:ext cx="7762874" cy="9748489"/>
                          </a:xfrm>
                          <a:prstGeom prst="rect">
                            <a:avLst/>
                          </a:prstGeom>
                        </pic:spPr>
                      </pic:pic>
                      <wps:wsp>
                        <wps:cNvPr id="259" name="Graphic 259"/>
                        <wps:cNvSpPr/>
                        <wps:spPr>
                          <a:xfrm>
                            <a:off x="1053007" y="990837"/>
                            <a:ext cx="5649595" cy="6609080"/>
                          </a:xfrm>
                          <a:custGeom>
                            <a:avLst/>
                            <a:gdLst/>
                            <a:ahLst/>
                            <a:cxnLst/>
                            <a:rect l="l" t="t" r="r" b="b"/>
                            <a:pathLst>
                              <a:path w="5649595" h="6609080">
                                <a:moveTo>
                                  <a:pt x="24384" y="132702"/>
                                </a:moveTo>
                                <a:lnTo>
                                  <a:pt x="18288" y="132702"/>
                                </a:lnTo>
                                <a:lnTo>
                                  <a:pt x="18288" y="6602971"/>
                                </a:lnTo>
                                <a:lnTo>
                                  <a:pt x="24384" y="6602971"/>
                                </a:lnTo>
                                <a:lnTo>
                                  <a:pt x="24384" y="132702"/>
                                </a:lnTo>
                                <a:close/>
                              </a:path>
                              <a:path w="5649595" h="6609080">
                                <a:moveTo>
                                  <a:pt x="5630862" y="6602984"/>
                                </a:moveTo>
                                <a:lnTo>
                                  <a:pt x="5624830" y="6602984"/>
                                </a:lnTo>
                                <a:lnTo>
                                  <a:pt x="24384" y="6602984"/>
                                </a:lnTo>
                                <a:lnTo>
                                  <a:pt x="18288" y="6602984"/>
                                </a:lnTo>
                                <a:lnTo>
                                  <a:pt x="18288" y="6609067"/>
                                </a:lnTo>
                                <a:lnTo>
                                  <a:pt x="24384" y="6609067"/>
                                </a:lnTo>
                                <a:lnTo>
                                  <a:pt x="5624779" y="6609067"/>
                                </a:lnTo>
                                <a:lnTo>
                                  <a:pt x="5630862" y="6609067"/>
                                </a:lnTo>
                                <a:lnTo>
                                  <a:pt x="5630862" y="6602984"/>
                                </a:lnTo>
                                <a:close/>
                              </a:path>
                              <a:path w="5649595" h="6609080">
                                <a:moveTo>
                                  <a:pt x="5630862" y="132702"/>
                                </a:moveTo>
                                <a:lnTo>
                                  <a:pt x="5624779" y="132702"/>
                                </a:lnTo>
                                <a:lnTo>
                                  <a:pt x="5624779" y="6602971"/>
                                </a:lnTo>
                                <a:lnTo>
                                  <a:pt x="5630862" y="6602971"/>
                                </a:lnTo>
                                <a:lnTo>
                                  <a:pt x="5630862" y="132702"/>
                                </a:lnTo>
                                <a:close/>
                              </a:path>
                              <a:path w="5649595" h="6609080">
                                <a:moveTo>
                                  <a:pt x="5630862" y="126479"/>
                                </a:moveTo>
                                <a:lnTo>
                                  <a:pt x="5624830" y="126479"/>
                                </a:lnTo>
                                <a:lnTo>
                                  <a:pt x="24384" y="126479"/>
                                </a:lnTo>
                                <a:lnTo>
                                  <a:pt x="18288" y="126479"/>
                                </a:lnTo>
                                <a:lnTo>
                                  <a:pt x="18288" y="132575"/>
                                </a:lnTo>
                                <a:lnTo>
                                  <a:pt x="24384" y="132575"/>
                                </a:lnTo>
                                <a:lnTo>
                                  <a:pt x="5624779" y="132575"/>
                                </a:lnTo>
                                <a:lnTo>
                                  <a:pt x="5630862" y="132575"/>
                                </a:lnTo>
                                <a:lnTo>
                                  <a:pt x="5630862" y="126479"/>
                                </a:lnTo>
                                <a:close/>
                              </a:path>
                              <a:path w="5649595" h="660908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2832" id="docshapegroup243" coordorigin="15,468" coordsize="12225,15352">
                <v:shape style="position:absolute;left:15;top:468;width:12225;height:15352" type="#_x0000_t75" id="docshape244" stroked="false">
                  <v:imagedata r:id="rId5" o:title=""/>
                </v:shape>
                <v:shape style="position:absolute;left:1673;top:2028;width:8897;height:10408" id="docshape245" coordorigin="1673,2028" coordsize="8897,10408" path="m1712,2237l1702,2237,1702,12427,1712,12427,1712,2237xm10541,12427l10531,12427,10531,12427,1712,12427,1702,12427,1702,12436,1712,12436,10531,12436,10531,12436,10541,12436,10541,12427xm10541,2237l10531,2237,10531,12427,10541,12427,10541,2237xm10541,2228l10531,2228,10531,2228,1712,2228,1702,2228,1702,2237,1712,2237,10531,2237,10531,2237,10541,2237,10541,2228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56</w:t>
      </w:r>
    </w:p>
    <w:p>
      <w:pPr>
        <w:spacing w:line="247" w:lineRule="auto" w:before="218"/>
        <w:ind w:left="734" w:right="1001" w:firstLine="0"/>
        <w:jc w:val="left"/>
        <w:rPr>
          <w:i/>
          <w:sz w:val="23"/>
        </w:rPr>
      </w:pPr>
      <w:r>
        <w:rPr>
          <w:i/>
          <w:spacing w:val="-6"/>
          <w:sz w:val="23"/>
        </w:rPr>
        <w:t>4.32</w:t>
      </w:r>
      <w:r>
        <w:rPr>
          <w:i/>
          <w:spacing w:val="-9"/>
          <w:sz w:val="23"/>
        </w:rPr>
        <w:t> </w:t>
      </w:r>
      <w:r>
        <w:rPr>
          <w:i/>
          <w:spacing w:val="-6"/>
          <w:sz w:val="23"/>
        </w:rPr>
        <w:t>Los ingresos</w:t>
      </w:r>
      <w:r>
        <w:rPr>
          <w:i/>
          <w:spacing w:val="-7"/>
          <w:sz w:val="23"/>
        </w:rPr>
        <w:t> </w:t>
      </w:r>
      <w:r>
        <w:rPr>
          <w:i/>
          <w:spacing w:val="-6"/>
          <w:sz w:val="23"/>
        </w:rPr>
        <w:t>procedentes</w:t>
      </w:r>
      <w:r>
        <w:rPr>
          <w:i/>
          <w:spacing w:val="-7"/>
          <w:sz w:val="23"/>
        </w:rPr>
        <w:t> </w:t>
      </w:r>
      <w:r>
        <w:rPr>
          <w:i/>
          <w:spacing w:val="-6"/>
          <w:sz w:val="23"/>
        </w:rPr>
        <w:t>de</w:t>
      </w:r>
      <w:r>
        <w:rPr>
          <w:i/>
          <w:spacing w:val="-9"/>
          <w:sz w:val="23"/>
        </w:rPr>
        <w:t> </w:t>
      </w:r>
      <w:r>
        <w:rPr>
          <w:i/>
          <w:spacing w:val="-6"/>
          <w:sz w:val="23"/>
        </w:rPr>
        <w:t>la</w:t>
      </w:r>
      <w:r>
        <w:rPr>
          <w:i/>
          <w:spacing w:val="-7"/>
          <w:sz w:val="23"/>
        </w:rPr>
        <w:t> </w:t>
      </w:r>
      <w:r>
        <w:rPr>
          <w:i/>
          <w:spacing w:val="-6"/>
          <w:sz w:val="23"/>
        </w:rPr>
        <w:t>venta</w:t>
      </w:r>
      <w:r>
        <w:rPr>
          <w:i/>
          <w:spacing w:val="-8"/>
          <w:sz w:val="23"/>
        </w:rPr>
        <w:t> </w:t>
      </w:r>
      <w:r>
        <w:rPr>
          <w:i/>
          <w:spacing w:val="-6"/>
          <w:sz w:val="23"/>
        </w:rPr>
        <w:t>de</w:t>
      </w:r>
      <w:r>
        <w:rPr>
          <w:i/>
          <w:spacing w:val="-7"/>
          <w:sz w:val="23"/>
        </w:rPr>
        <w:t> </w:t>
      </w:r>
      <w:r>
        <w:rPr>
          <w:i/>
          <w:spacing w:val="-6"/>
          <w:sz w:val="23"/>
        </w:rPr>
        <w:t>bienes</w:t>
      </w:r>
      <w:r>
        <w:rPr>
          <w:i/>
          <w:spacing w:val="-7"/>
          <w:sz w:val="23"/>
        </w:rPr>
        <w:t> </w:t>
      </w:r>
      <w:r>
        <w:rPr>
          <w:i/>
          <w:spacing w:val="-6"/>
          <w:sz w:val="23"/>
        </w:rPr>
        <w:t>deben</w:t>
      </w:r>
      <w:r>
        <w:rPr>
          <w:i/>
          <w:spacing w:val="-8"/>
          <w:sz w:val="23"/>
        </w:rPr>
        <w:t> </w:t>
      </w:r>
      <w:r>
        <w:rPr>
          <w:i/>
          <w:spacing w:val="-6"/>
          <w:sz w:val="23"/>
        </w:rPr>
        <w:t>ser</w:t>
      </w:r>
      <w:r>
        <w:rPr>
          <w:i/>
          <w:spacing w:val="-8"/>
          <w:sz w:val="23"/>
        </w:rPr>
        <w:t> </w:t>
      </w:r>
      <w:r>
        <w:rPr>
          <w:i/>
          <w:spacing w:val="-6"/>
          <w:sz w:val="23"/>
        </w:rPr>
        <w:t>reconocidos</w:t>
      </w:r>
      <w:r>
        <w:rPr>
          <w:i/>
          <w:spacing w:val="-7"/>
          <w:sz w:val="23"/>
        </w:rPr>
        <w:t> </w:t>
      </w:r>
      <w:r>
        <w:rPr>
          <w:i/>
          <w:spacing w:val="-6"/>
          <w:sz w:val="23"/>
        </w:rPr>
        <w:t>y</w:t>
      </w:r>
      <w:r>
        <w:rPr>
          <w:i/>
          <w:spacing w:val="-9"/>
          <w:sz w:val="23"/>
        </w:rPr>
        <w:t> </w:t>
      </w:r>
      <w:r>
        <w:rPr>
          <w:i/>
          <w:spacing w:val="-6"/>
          <w:sz w:val="23"/>
        </w:rPr>
        <w:t>registrados</w:t>
      </w:r>
      <w:r>
        <w:rPr>
          <w:i/>
          <w:spacing w:val="-7"/>
          <w:sz w:val="23"/>
        </w:rPr>
        <w:t> </w:t>
      </w:r>
      <w:r>
        <w:rPr>
          <w:i/>
          <w:spacing w:val="-6"/>
          <w:sz w:val="23"/>
        </w:rPr>
        <w:t>en</w:t>
      </w:r>
      <w:r>
        <w:rPr>
          <w:i/>
          <w:spacing w:val="-8"/>
          <w:sz w:val="23"/>
        </w:rPr>
        <w:t> </w:t>
      </w:r>
      <w:r>
        <w:rPr>
          <w:i/>
          <w:spacing w:val="-6"/>
          <w:sz w:val="23"/>
        </w:rPr>
        <w:t>los</w:t>
      </w:r>
      <w:r>
        <w:rPr>
          <w:i/>
          <w:spacing w:val="-7"/>
          <w:sz w:val="23"/>
        </w:rPr>
        <w:t> </w:t>
      </w:r>
      <w:r>
        <w:rPr>
          <w:i/>
          <w:spacing w:val="-6"/>
          <w:sz w:val="23"/>
        </w:rPr>
        <w:t>EEFF </w:t>
      </w:r>
      <w:r>
        <w:rPr>
          <w:i/>
          <w:sz w:val="23"/>
        </w:rPr>
        <w:t>cuando</w:t>
      </w:r>
      <w:r>
        <w:rPr>
          <w:i/>
          <w:spacing w:val="-13"/>
          <w:sz w:val="23"/>
        </w:rPr>
        <w:t> </w:t>
      </w:r>
      <w:r>
        <w:rPr>
          <w:i/>
          <w:sz w:val="23"/>
        </w:rPr>
        <w:t>se</w:t>
      </w:r>
      <w:r>
        <w:rPr>
          <w:i/>
          <w:spacing w:val="-13"/>
          <w:sz w:val="23"/>
        </w:rPr>
        <w:t> </w:t>
      </w:r>
      <w:r>
        <w:rPr>
          <w:i/>
          <w:sz w:val="23"/>
        </w:rPr>
        <w:t>cumplan</w:t>
      </w:r>
      <w:r>
        <w:rPr>
          <w:i/>
          <w:spacing w:val="-13"/>
          <w:sz w:val="23"/>
        </w:rPr>
        <w:t> </w:t>
      </w:r>
      <w:r>
        <w:rPr>
          <w:i/>
          <w:sz w:val="23"/>
        </w:rPr>
        <w:t>todas</w:t>
      </w:r>
      <w:r>
        <w:rPr>
          <w:i/>
          <w:spacing w:val="-12"/>
          <w:sz w:val="23"/>
        </w:rPr>
        <w:t> </w:t>
      </w:r>
      <w:r>
        <w:rPr>
          <w:i/>
          <w:sz w:val="23"/>
        </w:rPr>
        <w:t>y</w:t>
      </w:r>
      <w:r>
        <w:rPr>
          <w:i/>
          <w:spacing w:val="-15"/>
          <w:sz w:val="23"/>
        </w:rPr>
        <w:t> </w:t>
      </w:r>
      <w:r>
        <w:rPr>
          <w:i/>
          <w:sz w:val="23"/>
        </w:rPr>
        <w:t>cada</w:t>
      </w:r>
      <w:r>
        <w:rPr>
          <w:i/>
          <w:spacing w:val="-13"/>
          <w:sz w:val="23"/>
        </w:rPr>
        <w:t> </w:t>
      </w:r>
      <w:r>
        <w:rPr>
          <w:i/>
          <w:sz w:val="23"/>
        </w:rPr>
        <w:t>una</w:t>
      </w:r>
      <w:r>
        <w:rPr>
          <w:i/>
          <w:spacing w:val="-13"/>
          <w:sz w:val="23"/>
        </w:rPr>
        <w:t> </w:t>
      </w:r>
      <w:r>
        <w:rPr>
          <w:i/>
          <w:sz w:val="23"/>
        </w:rPr>
        <w:t>de</w:t>
      </w:r>
      <w:r>
        <w:rPr>
          <w:i/>
          <w:spacing w:val="-13"/>
          <w:sz w:val="23"/>
        </w:rPr>
        <w:t> </w:t>
      </w:r>
      <w:r>
        <w:rPr>
          <w:i/>
          <w:sz w:val="23"/>
        </w:rPr>
        <w:t>las</w:t>
      </w:r>
      <w:r>
        <w:rPr>
          <w:i/>
          <w:spacing w:val="-12"/>
          <w:sz w:val="23"/>
        </w:rPr>
        <w:t> </w:t>
      </w:r>
      <w:r>
        <w:rPr>
          <w:i/>
          <w:sz w:val="23"/>
        </w:rPr>
        <w:t>siguientes</w:t>
      </w:r>
      <w:r>
        <w:rPr>
          <w:i/>
          <w:spacing w:val="-13"/>
          <w:sz w:val="23"/>
        </w:rPr>
        <w:t> </w:t>
      </w:r>
      <w:r>
        <w:rPr>
          <w:i/>
          <w:sz w:val="23"/>
        </w:rPr>
        <w:t>condiciones:</w:t>
      </w:r>
    </w:p>
    <w:p>
      <w:pPr>
        <w:pStyle w:val="ListParagraph"/>
        <w:numPr>
          <w:ilvl w:val="0"/>
          <w:numId w:val="35"/>
        </w:numPr>
        <w:tabs>
          <w:tab w:pos="948" w:val="left" w:leader="none"/>
        </w:tabs>
        <w:spacing w:line="247" w:lineRule="auto" w:before="163" w:after="0"/>
        <w:ind w:left="734" w:right="1095" w:firstLine="0"/>
        <w:jc w:val="left"/>
        <w:rPr>
          <w:i/>
          <w:sz w:val="23"/>
        </w:rPr>
      </w:pPr>
      <w:r>
        <w:rPr>
          <w:i/>
          <w:spacing w:val="-2"/>
          <w:sz w:val="23"/>
        </w:rPr>
        <w:t>la</w:t>
      </w:r>
      <w:r>
        <w:rPr>
          <w:i/>
          <w:spacing w:val="-13"/>
          <w:sz w:val="23"/>
        </w:rPr>
        <w:t> </w:t>
      </w:r>
      <w:r>
        <w:rPr>
          <w:i/>
          <w:spacing w:val="-2"/>
          <w:sz w:val="23"/>
        </w:rPr>
        <w:t>entidad</w:t>
      </w:r>
      <w:r>
        <w:rPr>
          <w:i/>
          <w:spacing w:val="-12"/>
          <w:sz w:val="23"/>
        </w:rPr>
        <w:t> </w:t>
      </w:r>
      <w:r>
        <w:rPr>
          <w:i/>
          <w:spacing w:val="-2"/>
          <w:sz w:val="23"/>
        </w:rPr>
        <w:t>ha</w:t>
      </w:r>
      <w:r>
        <w:rPr>
          <w:i/>
          <w:spacing w:val="-13"/>
          <w:sz w:val="23"/>
        </w:rPr>
        <w:t> </w:t>
      </w:r>
      <w:r>
        <w:rPr>
          <w:i/>
          <w:spacing w:val="-2"/>
          <w:sz w:val="23"/>
        </w:rPr>
        <w:t>transferido</w:t>
      </w:r>
      <w:r>
        <w:rPr>
          <w:i/>
          <w:spacing w:val="-12"/>
          <w:sz w:val="23"/>
        </w:rPr>
        <w:t> </w:t>
      </w:r>
      <w:r>
        <w:rPr>
          <w:i/>
          <w:spacing w:val="-2"/>
          <w:sz w:val="23"/>
        </w:rPr>
        <w:t>al</w:t>
      </w:r>
      <w:r>
        <w:rPr>
          <w:i/>
          <w:spacing w:val="-12"/>
          <w:sz w:val="23"/>
        </w:rPr>
        <w:t> </w:t>
      </w:r>
      <w:r>
        <w:rPr>
          <w:i/>
          <w:spacing w:val="-2"/>
          <w:sz w:val="23"/>
        </w:rPr>
        <w:t>comprador</w:t>
      </w:r>
      <w:r>
        <w:rPr>
          <w:i/>
          <w:spacing w:val="-13"/>
          <w:sz w:val="23"/>
        </w:rPr>
        <w:t> </w:t>
      </w:r>
      <w:r>
        <w:rPr>
          <w:i/>
          <w:spacing w:val="-2"/>
          <w:sz w:val="23"/>
        </w:rPr>
        <w:t>los</w:t>
      </w:r>
      <w:r>
        <w:rPr>
          <w:i/>
          <w:spacing w:val="-12"/>
          <w:sz w:val="23"/>
        </w:rPr>
        <w:t> </w:t>
      </w:r>
      <w:r>
        <w:rPr>
          <w:i/>
          <w:spacing w:val="-2"/>
          <w:sz w:val="23"/>
        </w:rPr>
        <w:t>riesgos</w:t>
      </w:r>
      <w:r>
        <w:rPr>
          <w:i/>
          <w:spacing w:val="-12"/>
          <w:sz w:val="23"/>
        </w:rPr>
        <w:t> </w:t>
      </w:r>
      <w:r>
        <w:rPr>
          <w:i/>
          <w:spacing w:val="-2"/>
          <w:sz w:val="23"/>
        </w:rPr>
        <w:t>y</w:t>
      </w:r>
      <w:r>
        <w:rPr>
          <w:i/>
          <w:spacing w:val="-13"/>
          <w:sz w:val="23"/>
        </w:rPr>
        <w:t> </w:t>
      </w:r>
      <w:r>
        <w:rPr>
          <w:i/>
          <w:spacing w:val="-2"/>
          <w:sz w:val="23"/>
        </w:rPr>
        <w:t>ventajas,</w:t>
      </w:r>
      <w:r>
        <w:rPr>
          <w:i/>
          <w:spacing w:val="-12"/>
          <w:sz w:val="23"/>
        </w:rPr>
        <w:t> </w:t>
      </w:r>
      <w:r>
        <w:rPr>
          <w:i/>
          <w:spacing w:val="-2"/>
          <w:sz w:val="23"/>
        </w:rPr>
        <w:t>de</w:t>
      </w:r>
      <w:r>
        <w:rPr>
          <w:i/>
          <w:spacing w:val="-13"/>
          <w:sz w:val="23"/>
        </w:rPr>
        <w:t> </w:t>
      </w:r>
      <w:r>
        <w:rPr>
          <w:i/>
          <w:spacing w:val="-2"/>
          <w:sz w:val="23"/>
        </w:rPr>
        <w:t>tipo</w:t>
      </w:r>
      <w:r>
        <w:rPr>
          <w:i/>
          <w:spacing w:val="-12"/>
          <w:sz w:val="23"/>
        </w:rPr>
        <w:t> </w:t>
      </w:r>
      <w:r>
        <w:rPr>
          <w:i/>
          <w:spacing w:val="-2"/>
          <w:sz w:val="23"/>
        </w:rPr>
        <w:t>significativo,</w:t>
      </w:r>
      <w:r>
        <w:rPr>
          <w:i/>
          <w:spacing w:val="-12"/>
          <w:sz w:val="23"/>
        </w:rPr>
        <w:t> </w:t>
      </w:r>
      <w:r>
        <w:rPr>
          <w:i/>
          <w:spacing w:val="-2"/>
          <w:sz w:val="23"/>
        </w:rPr>
        <w:t>derivados</w:t>
      </w:r>
      <w:r>
        <w:rPr>
          <w:i/>
          <w:spacing w:val="-13"/>
          <w:sz w:val="23"/>
        </w:rPr>
        <w:t> </w:t>
      </w:r>
      <w:r>
        <w:rPr>
          <w:i/>
          <w:spacing w:val="-2"/>
          <w:sz w:val="23"/>
        </w:rPr>
        <w:t>de</w:t>
      </w:r>
      <w:r>
        <w:rPr>
          <w:i/>
          <w:spacing w:val="-12"/>
          <w:sz w:val="23"/>
        </w:rPr>
        <w:t> </w:t>
      </w:r>
      <w:r>
        <w:rPr>
          <w:i/>
          <w:spacing w:val="-2"/>
          <w:sz w:val="23"/>
        </w:rPr>
        <w:t>la </w:t>
      </w:r>
      <w:r>
        <w:rPr>
          <w:i/>
          <w:sz w:val="23"/>
        </w:rPr>
        <w:t>propiedad de los bienes;</w:t>
      </w:r>
    </w:p>
    <w:p>
      <w:pPr>
        <w:pStyle w:val="ListParagraph"/>
        <w:numPr>
          <w:ilvl w:val="0"/>
          <w:numId w:val="35"/>
        </w:numPr>
        <w:tabs>
          <w:tab w:pos="962" w:val="left" w:leader="none"/>
        </w:tabs>
        <w:spacing w:line="247" w:lineRule="auto" w:before="161" w:after="0"/>
        <w:ind w:left="734" w:right="1090" w:firstLine="0"/>
        <w:jc w:val="left"/>
        <w:rPr>
          <w:i/>
          <w:sz w:val="23"/>
        </w:rPr>
      </w:pPr>
      <w:r>
        <w:rPr>
          <w:i/>
          <w:spacing w:val="-4"/>
          <w:sz w:val="23"/>
        </w:rPr>
        <w:t>la</w:t>
      </w:r>
      <w:r>
        <w:rPr>
          <w:i/>
          <w:spacing w:val="-9"/>
          <w:sz w:val="23"/>
        </w:rPr>
        <w:t> </w:t>
      </w:r>
      <w:r>
        <w:rPr>
          <w:i/>
          <w:spacing w:val="-4"/>
          <w:sz w:val="23"/>
        </w:rPr>
        <w:t>entidad</w:t>
      </w:r>
      <w:r>
        <w:rPr>
          <w:i/>
          <w:spacing w:val="-9"/>
          <w:sz w:val="23"/>
        </w:rPr>
        <w:t> </w:t>
      </w:r>
      <w:r>
        <w:rPr>
          <w:i/>
          <w:spacing w:val="-4"/>
          <w:sz w:val="23"/>
        </w:rPr>
        <w:t>no</w:t>
      </w:r>
      <w:r>
        <w:rPr>
          <w:i/>
          <w:spacing w:val="-7"/>
          <w:sz w:val="23"/>
        </w:rPr>
        <w:t> </w:t>
      </w:r>
      <w:r>
        <w:rPr>
          <w:i/>
          <w:spacing w:val="-4"/>
          <w:sz w:val="23"/>
        </w:rPr>
        <w:t>conserva</w:t>
      </w:r>
      <w:r>
        <w:rPr>
          <w:i/>
          <w:spacing w:val="-9"/>
          <w:sz w:val="23"/>
        </w:rPr>
        <w:t> </w:t>
      </w:r>
      <w:r>
        <w:rPr>
          <w:i/>
          <w:spacing w:val="-4"/>
          <w:sz w:val="23"/>
        </w:rPr>
        <w:t>para</w:t>
      </w:r>
      <w:r>
        <w:rPr>
          <w:i/>
          <w:spacing w:val="-9"/>
          <w:sz w:val="23"/>
        </w:rPr>
        <w:t> </w:t>
      </w:r>
      <w:r>
        <w:rPr>
          <w:i/>
          <w:spacing w:val="-4"/>
          <w:sz w:val="23"/>
        </w:rPr>
        <w:t>sí</w:t>
      </w:r>
      <w:r>
        <w:rPr>
          <w:i/>
          <w:spacing w:val="-9"/>
          <w:sz w:val="23"/>
        </w:rPr>
        <w:t> </w:t>
      </w:r>
      <w:r>
        <w:rPr>
          <w:i/>
          <w:spacing w:val="-4"/>
          <w:sz w:val="23"/>
        </w:rPr>
        <w:t>ninguna</w:t>
      </w:r>
      <w:r>
        <w:rPr>
          <w:i/>
          <w:spacing w:val="-9"/>
          <w:sz w:val="23"/>
        </w:rPr>
        <w:t> </w:t>
      </w:r>
      <w:r>
        <w:rPr>
          <w:i/>
          <w:spacing w:val="-4"/>
          <w:sz w:val="23"/>
        </w:rPr>
        <w:t>implicación</w:t>
      </w:r>
      <w:r>
        <w:rPr>
          <w:i/>
          <w:spacing w:val="-8"/>
          <w:sz w:val="23"/>
        </w:rPr>
        <w:t> </w:t>
      </w:r>
      <w:r>
        <w:rPr>
          <w:i/>
          <w:spacing w:val="-4"/>
          <w:sz w:val="23"/>
        </w:rPr>
        <w:t>en</w:t>
      </w:r>
      <w:r>
        <w:rPr>
          <w:i/>
          <w:spacing w:val="-10"/>
          <w:sz w:val="23"/>
        </w:rPr>
        <w:t> </w:t>
      </w:r>
      <w:r>
        <w:rPr>
          <w:i/>
          <w:spacing w:val="-4"/>
          <w:sz w:val="23"/>
        </w:rPr>
        <w:t>la</w:t>
      </w:r>
      <w:r>
        <w:rPr>
          <w:i/>
          <w:spacing w:val="-9"/>
          <w:sz w:val="23"/>
        </w:rPr>
        <w:t> </w:t>
      </w:r>
      <w:r>
        <w:rPr>
          <w:i/>
          <w:spacing w:val="-4"/>
          <w:sz w:val="23"/>
        </w:rPr>
        <w:t>gestión</w:t>
      </w:r>
      <w:r>
        <w:rPr>
          <w:i/>
          <w:spacing w:val="-8"/>
          <w:sz w:val="23"/>
        </w:rPr>
        <w:t> </w:t>
      </w:r>
      <w:r>
        <w:rPr>
          <w:i/>
          <w:spacing w:val="-4"/>
          <w:sz w:val="23"/>
        </w:rPr>
        <w:t>corriente</w:t>
      </w:r>
      <w:r>
        <w:rPr>
          <w:i/>
          <w:spacing w:val="-9"/>
          <w:sz w:val="23"/>
        </w:rPr>
        <w:t> </w:t>
      </w:r>
      <w:r>
        <w:rPr>
          <w:i/>
          <w:spacing w:val="-4"/>
          <w:sz w:val="23"/>
        </w:rPr>
        <w:t>de</w:t>
      </w:r>
      <w:r>
        <w:rPr>
          <w:i/>
          <w:spacing w:val="-10"/>
          <w:sz w:val="23"/>
        </w:rPr>
        <w:t> </w:t>
      </w:r>
      <w:r>
        <w:rPr>
          <w:i/>
          <w:spacing w:val="-4"/>
          <w:sz w:val="23"/>
        </w:rPr>
        <w:t>los</w:t>
      </w:r>
      <w:r>
        <w:rPr>
          <w:i/>
          <w:spacing w:val="-9"/>
          <w:sz w:val="23"/>
        </w:rPr>
        <w:t> </w:t>
      </w:r>
      <w:r>
        <w:rPr>
          <w:i/>
          <w:spacing w:val="-4"/>
          <w:sz w:val="23"/>
        </w:rPr>
        <w:t>bienes</w:t>
      </w:r>
      <w:r>
        <w:rPr>
          <w:i/>
          <w:spacing w:val="-7"/>
          <w:sz w:val="23"/>
        </w:rPr>
        <w:t> </w:t>
      </w:r>
      <w:r>
        <w:rPr>
          <w:i/>
          <w:spacing w:val="-4"/>
          <w:sz w:val="23"/>
        </w:rPr>
        <w:t>vendidos, </w:t>
      </w:r>
      <w:r>
        <w:rPr>
          <w:i/>
          <w:spacing w:val="-2"/>
          <w:sz w:val="23"/>
        </w:rPr>
        <w:t>en</w:t>
      </w:r>
      <w:r>
        <w:rPr>
          <w:i/>
          <w:spacing w:val="-10"/>
          <w:sz w:val="23"/>
        </w:rPr>
        <w:t> </w:t>
      </w:r>
      <w:r>
        <w:rPr>
          <w:i/>
          <w:spacing w:val="-2"/>
          <w:sz w:val="23"/>
        </w:rPr>
        <w:t>el</w:t>
      </w:r>
      <w:r>
        <w:rPr>
          <w:i/>
          <w:spacing w:val="-10"/>
          <w:sz w:val="23"/>
        </w:rPr>
        <w:t> </w:t>
      </w:r>
      <w:r>
        <w:rPr>
          <w:i/>
          <w:spacing w:val="-2"/>
          <w:sz w:val="23"/>
        </w:rPr>
        <w:t>grado</w:t>
      </w:r>
      <w:r>
        <w:rPr>
          <w:i/>
          <w:spacing w:val="-10"/>
          <w:sz w:val="23"/>
        </w:rPr>
        <w:t> </w:t>
      </w:r>
      <w:r>
        <w:rPr>
          <w:i/>
          <w:spacing w:val="-2"/>
          <w:sz w:val="23"/>
        </w:rPr>
        <w:t>usualmente</w:t>
      </w:r>
      <w:r>
        <w:rPr>
          <w:i/>
          <w:spacing w:val="-10"/>
          <w:sz w:val="23"/>
        </w:rPr>
        <w:t> </w:t>
      </w:r>
      <w:r>
        <w:rPr>
          <w:i/>
          <w:spacing w:val="-2"/>
          <w:sz w:val="23"/>
        </w:rPr>
        <w:t>asociado</w:t>
      </w:r>
      <w:r>
        <w:rPr>
          <w:i/>
          <w:spacing w:val="-10"/>
          <w:sz w:val="23"/>
        </w:rPr>
        <w:t> </w:t>
      </w:r>
      <w:r>
        <w:rPr>
          <w:i/>
          <w:spacing w:val="-2"/>
          <w:sz w:val="23"/>
        </w:rPr>
        <w:t>con</w:t>
      </w:r>
      <w:r>
        <w:rPr>
          <w:i/>
          <w:spacing w:val="-10"/>
          <w:sz w:val="23"/>
        </w:rPr>
        <w:t> </w:t>
      </w:r>
      <w:r>
        <w:rPr>
          <w:i/>
          <w:spacing w:val="-2"/>
          <w:sz w:val="23"/>
        </w:rPr>
        <w:t>la</w:t>
      </w:r>
      <w:r>
        <w:rPr>
          <w:i/>
          <w:spacing w:val="-10"/>
          <w:sz w:val="23"/>
        </w:rPr>
        <w:t> </w:t>
      </w:r>
      <w:r>
        <w:rPr>
          <w:i/>
          <w:spacing w:val="-2"/>
          <w:sz w:val="23"/>
        </w:rPr>
        <w:t>propiedad,</w:t>
      </w:r>
      <w:r>
        <w:rPr>
          <w:i/>
          <w:spacing w:val="-10"/>
          <w:sz w:val="23"/>
        </w:rPr>
        <w:t> </w:t>
      </w:r>
      <w:r>
        <w:rPr>
          <w:i/>
          <w:spacing w:val="-2"/>
          <w:sz w:val="23"/>
        </w:rPr>
        <w:t>ni</w:t>
      </w:r>
      <w:r>
        <w:rPr>
          <w:i/>
          <w:spacing w:val="-10"/>
          <w:sz w:val="23"/>
        </w:rPr>
        <w:t> </w:t>
      </w:r>
      <w:r>
        <w:rPr>
          <w:i/>
          <w:spacing w:val="-2"/>
          <w:sz w:val="23"/>
        </w:rPr>
        <w:t>retiene</w:t>
      </w:r>
      <w:r>
        <w:rPr>
          <w:i/>
          <w:spacing w:val="-11"/>
          <w:sz w:val="23"/>
        </w:rPr>
        <w:t> </w:t>
      </w:r>
      <w:r>
        <w:rPr>
          <w:i/>
          <w:spacing w:val="-2"/>
          <w:sz w:val="23"/>
        </w:rPr>
        <w:t>el</w:t>
      </w:r>
      <w:r>
        <w:rPr>
          <w:i/>
          <w:spacing w:val="-10"/>
          <w:sz w:val="23"/>
        </w:rPr>
        <w:t> </w:t>
      </w:r>
      <w:r>
        <w:rPr>
          <w:i/>
          <w:spacing w:val="-2"/>
          <w:sz w:val="23"/>
        </w:rPr>
        <w:t>control</w:t>
      </w:r>
      <w:r>
        <w:rPr>
          <w:i/>
          <w:spacing w:val="-10"/>
          <w:sz w:val="23"/>
        </w:rPr>
        <w:t> </w:t>
      </w:r>
      <w:r>
        <w:rPr>
          <w:i/>
          <w:spacing w:val="-2"/>
          <w:sz w:val="23"/>
        </w:rPr>
        <w:t>efectivo</w:t>
      </w:r>
      <w:r>
        <w:rPr>
          <w:i/>
          <w:spacing w:val="-12"/>
          <w:sz w:val="23"/>
        </w:rPr>
        <w:t> </w:t>
      </w:r>
      <w:r>
        <w:rPr>
          <w:i/>
          <w:spacing w:val="-2"/>
          <w:sz w:val="23"/>
        </w:rPr>
        <w:t>sobre</w:t>
      </w:r>
      <w:r>
        <w:rPr>
          <w:i/>
          <w:spacing w:val="-11"/>
          <w:sz w:val="23"/>
        </w:rPr>
        <w:t> </w:t>
      </w:r>
      <w:r>
        <w:rPr>
          <w:i/>
          <w:spacing w:val="-2"/>
          <w:sz w:val="23"/>
        </w:rPr>
        <w:t>los</w:t>
      </w:r>
      <w:r>
        <w:rPr>
          <w:i/>
          <w:spacing w:val="-11"/>
          <w:sz w:val="23"/>
        </w:rPr>
        <w:t> </w:t>
      </w:r>
      <w:r>
        <w:rPr>
          <w:i/>
          <w:spacing w:val="-2"/>
          <w:sz w:val="23"/>
        </w:rPr>
        <w:t>mismos;</w:t>
      </w:r>
    </w:p>
    <w:p>
      <w:pPr>
        <w:pStyle w:val="ListParagraph"/>
        <w:numPr>
          <w:ilvl w:val="0"/>
          <w:numId w:val="35"/>
        </w:numPr>
        <w:tabs>
          <w:tab w:pos="944" w:val="left" w:leader="none"/>
        </w:tabs>
        <w:spacing w:line="240" w:lineRule="auto" w:before="160" w:after="0"/>
        <w:ind w:left="944" w:right="0" w:hanging="210"/>
        <w:jc w:val="left"/>
        <w:rPr>
          <w:i/>
          <w:sz w:val="23"/>
        </w:rPr>
      </w:pPr>
      <w:r>
        <w:rPr>
          <w:i/>
          <w:spacing w:val="-4"/>
          <w:sz w:val="23"/>
        </w:rPr>
        <w:t>el</w:t>
      </w:r>
      <w:r>
        <w:rPr>
          <w:i/>
          <w:spacing w:val="-6"/>
          <w:sz w:val="23"/>
        </w:rPr>
        <w:t> </w:t>
      </w:r>
      <w:r>
        <w:rPr>
          <w:i/>
          <w:spacing w:val="-4"/>
          <w:sz w:val="23"/>
        </w:rPr>
        <w:t>importe</w:t>
      </w:r>
      <w:r>
        <w:rPr>
          <w:i/>
          <w:spacing w:val="-7"/>
          <w:sz w:val="23"/>
        </w:rPr>
        <w:t> </w:t>
      </w:r>
      <w:r>
        <w:rPr>
          <w:i/>
          <w:spacing w:val="-4"/>
          <w:sz w:val="23"/>
        </w:rPr>
        <w:t>de</w:t>
      </w:r>
      <w:r>
        <w:rPr>
          <w:i/>
          <w:spacing w:val="-7"/>
          <w:sz w:val="23"/>
        </w:rPr>
        <w:t> </w:t>
      </w:r>
      <w:r>
        <w:rPr>
          <w:i/>
          <w:spacing w:val="-4"/>
          <w:sz w:val="23"/>
        </w:rPr>
        <w:t>los</w:t>
      </w:r>
      <w:r>
        <w:rPr>
          <w:i/>
          <w:spacing w:val="-5"/>
          <w:sz w:val="23"/>
        </w:rPr>
        <w:t> </w:t>
      </w:r>
      <w:r>
        <w:rPr>
          <w:i/>
          <w:spacing w:val="-4"/>
          <w:sz w:val="23"/>
        </w:rPr>
        <w:t>ingresos</w:t>
      </w:r>
      <w:r>
        <w:rPr>
          <w:i/>
          <w:spacing w:val="-7"/>
          <w:sz w:val="23"/>
        </w:rPr>
        <w:t> </w:t>
      </w:r>
      <w:r>
        <w:rPr>
          <w:i/>
          <w:spacing w:val="-4"/>
          <w:sz w:val="23"/>
        </w:rPr>
        <w:t>puede</w:t>
      </w:r>
      <w:r>
        <w:rPr>
          <w:i/>
          <w:spacing w:val="-7"/>
          <w:sz w:val="23"/>
        </w:rPr>
        <w:t> </w:t>
      </w:r>
      <w:r>
        <w:rPr>
          <w:i/>
          <w:spacing w:val="-4"/>
          <w:sz w:val="23"/>
        </w:rPr>
        <w:t>ser</w:t>
      </w:r>
      <w:r>
        <w:rPr>
          <w:i/>
          <w:spacing w:val="-5"/>
          <w:sz w:val="23"/>
        </w:rPr>
        <w:t> </w:t>
      </w:r>
      <w:r>
        <w:rPr>
          <w:i/>
          <w:spacing w:val="-4"/>
          <w:sz w:val="23"/>
        </w:rPr>
        <w:t>medido</w:t>
      </w:r>
      <w:r>
        <w:rPr>
          <w:i/>
          <w:spacing w:val="-6"/>
          <w:sz w:val="23"/>
        </w:rPr>
        <w:t> </w:t>
      </w:r>
      <w:r>
        <w:rPr>
          <w:i/>
          <w:spacing w:val="-4"/>
          <w:sz w:val="23"/>
        </w:rPr>
        <w:t>con</w:t>
      </w:r>
      <w:r>
        <w:rPr>
          <w:i/>
          <w:spacing w:val="-7"/>
          <w:sz w:val="23"/>
        </w:rPr>
        <w:t> </w:t>
      </w:r>
      <w:r>
        <w:rPr>
          <w:i/>
          <w:spacing w:val="-4"/>
          <w:sz w:val="23"/>
        </w:rPr>
        <w:t>fiabilidad;</w:t>
      </w:r>
    </w:p>
    <w:p>
      <w:pPr>
        <w:pStyle w:val="ListParagraph"/>
        <w:numPr>
          <w:ilvl w:val="0"/>
          <w:numId w:val="35"/>
        </w:numPr>
        <w:tabs>
          <w:tab w:pos="971" w:val="left" w:leader="none"/>
        </w:tabs>
        <w:spacing w:line="247" w:lineRule="auto" w:before="170" w:after="0"/>
        <w:ind w:left="734" w:right="1090" w:firstLine="0"/>
        <w:jc w:val="left"/>
        <w:rPr>
          <w:i/>
          <w:sz w:val="23"/>
        </w:rPr>
      </w:pPr>
      <w:r>
        <w:rPr>
          <w:i/>
          <w:spacing w:val="-2"/>
          <w:sz w:val="23"/>
        </w:rPr>
        <w:t>es</w:t>
      </w:r>
      <w:r>
        <w:rPr>
          <w:i/>
          <w:spacing w:val="-13"/>
          <w:sz w:val="23"/>
        </w:rPr>
        <w:t> </w:t>
      </w:r>
      <w:r>
        <w:rPr>
          <w:i/>
          <w:spacing w:val="-2"/>
          <w:sz w:val="23"/>
        </w:rPr>
        <w:t>posible</w:t>
      </w:r>
      <w:r>
        <w:rPr>
          <w:i/>
          <w:spacing w:val="-12"/>
          <w:sz w:val="23"/>
        </w:rPr>
        <w:t> </w:t>
      </w:r>
      <w:r>
        <w:rPr>
          <w:i/>
          <w:spacing w:val="-2"/>
          <w:sz w:val="23"/>
        </w:rPr>
        <w:t>que</w:t>
      </w:r>
      <w:r>
        <w:rPr>
          <w:i/>
          <w:spacing w:val="-13"/>
          <w:sz w:val="23"/>
        </w:rPr>
        <w:t> </w:t>
      </w:r>
      <w:r>
        <w:rPr>
          <w:i/>
          <w:spacing w:val="-2"/>
          <w:sz w:val="23"/>
        </w:rPr>
        <w:t>la</w:t>
      </w:r>
      <w:r>
        <w:rPr>
          <w:i/>
          <w:spacing w:val="-12"/>
          <w:sz w:val="23"/>
        </w:rPr>
        <w:t> </w:t>
      </w:r>
      <w:r>
        <w:rPr>
          <w:i/>
          <w:spacing w:val="-2"/>
          <w:sz w:val="23"/>
        </w:rPr>
        <w:t>entidad</w:t>
      </w:r>
      <w:r>
        <w:rPr>
          <w:i/>
          <w:spacing w:val="-12"/>
          <w:sz w:val="23"/>
        </w:rPr>
        <w:t> </w:t>
      </w:r>
      <w:r>
        <w:rPr>
          <w:i/>
          <w:spacing w:val="-2"/>
          <w:sz w:val="23"/>
        </w:rPr>
        <w:t>reciba</w:t>
      </w:r>
      <w:r>
        <w:rPr>
          <w:i/>
          <w:spacing w:val="-13"/>
          <w:sz w:val="23"/>
        </w:rPr>
        <w:t> </w:t>
      </w:r>
      <w:r>
        <w:rPr>
          <w:i/>
          <w:spacing w:val="-2"/>
          <w:sz w:val="23"/>
        </w:rPr>
        <w:t>los</w:t>
      </w:r>
      <w:r>
        <w:rPr>
          <w:i/>
          <w:spacing w:val="-12"/>
          <w:sz w:val="23"/>
        </w:rPr>
        <w:t> </w:t>
      </w:r>
      <w:r>
        <w:rPr>
          <w:i/>
          <w:spacing w:val="-2"/>
          <w:sz w:val="23"/>
        </w:rPr>
        <w:t>beneficios</w:t>
      </w:r>
      <w:r>
        <w:rPr>
          <w:i/>
          <w:spacing w:val="-12"/>
          <w:sz w:val="23"/>
        </w:rPr>
        <w:t> </w:t>
      </w:r>
      <w:r>
        <w:rPr>
          <w:i/>
          <w:spacing w:val="-2"/>
          <w:sz w:val="23"/>
        </w:rPr>
        <w:t>económicos</w:t>
      </w:r>
      <w:r>
        <w:rPr>
          <w:i/>
          <w:spacing w:val="-13"/>
          <w:sz w:val="23"/>
        </w:rPr>
        <w:t> </w:t>
      </w:r>
      <w:r>
        <w:rPr>
          <w:i/>
          <w:spacing w:val="-2"/>
          <w:sz w:val="23"/>
        </w:rPr>
        <w:t>o</w:t>
      </w:r>
      <w:r>
        <w:rPr>
          <w:i/>
          <w:spacing w:val="-12"/>
          <w:sz w:val="23"/>
        </w:rPr>
        <w:t> </w:t>
      </w:r>
      <w:r>
        <w:rPr>
          <w:i/>
          <w:spacing w:val="-2"/>
          <w:sz w:val="23"/>
        </w:rPr>
        <w:t>potencial</w:t>
      </w:r>
      <w:r>
        <w:rPr>
          <w:i/>
          <w:spacing w:val="-13"/>
          <w:sz w:val="23"/>
        </w:rPr>
        <w:t> </w:t>
      </w:r>
      <w:r>
        <w:rPr>
          <w:i/>
          <w:spacing w:val="-2"/>
          <w:sz w:val="23"/>
        </w:rPr>
        <w:t>de</w:t>
      </w:r>
      <w:r>
        <w:rPr>
          <w:i/>
          <w:spacing w:val="-12"/>
          <w:sz w:val="23"/>
        </w:rPr>
        <w:t> </w:t>
      </w:r>
      <w:r>
        <w:rPr>
          <w:i/>
          <w:spacing w:val="-2"/>
          <w:sz w:val="23"/>
        </w:rPr>
        <w:t>servicio</w:t>
      </w:r>
      <w:r>
        <w:rPr>
          <w:i/>
          <w:spacing w:val="-12"/>
          <w:sz w:val="23"/>
        </w:rPr>
        <w:t> </w:t>
      </w:r>
      <w:r>
        <w:rPr>
          <w:i/>
          <w:spacing w:val="-2"/>
          <w:sz w:val="23"/>
        </w:rPr>
        <w:t>asociados</w:t>
      </w:r>
      <w:r>
        <w:rPr>
          <w:i/>
          <w:spacing w:val="-13"/>
          <w:sz w:val="23"/>
        </w:rPr>
        <w:t> </w:t>
      </w:r>
      <w:r>
        <w:rPr>
          <w:i/>
          <w:spacing w:val="-2"/>
          <w:sz w:val="23"/>
        </w:rPr>
        <w:t>con </w:t>
      </w:r>
      <w:r>
        <w:rPr>
          <w:i/>
          <w:sz w:val="23"/>
        </w:rPr>
        <w:t>la transacción; y</w:t>
      </w:r>
    </w:p>
    <w:p>
      <w:pPr>
        <w:pStyle w:val="ListParagraph"/>
        <w:numPr>
          <w:ilvl w:val="0"/>
          <w:numId w:val="35"/>
        </w:numPr>
        <w:tabs>
          <w:tab w:pos="976" w:val="left" w:leader="none"/>
        </w:tabs>
        <w:spacing w:line="247" w:lineRule="auto" w:before="161" w:after="0"/>
        <w:ind w:left="734" w:right="1093" w:firstLine="0"/>
        <w:jc w:val="left"/>
        <w:rPr>
          <w:i/>
          <w:sz w:val="23"/>
        </w:rPr>
      </w:pPr>
      <w:r>
        <w:rPr>
          <w:i/>
          <w:sz w:val="23"/>
        </w:rPr>
        <w:t>los</w:t>
      </w:r>
      <w:r>
        <w:rPr>
          <w:i/>
          <w:spacing w:val="-2"/>
          <w:sz w:val="23"/>
        </w:rPr>
        <w:t> </w:t>
      </w:r>
      <w:r>
        <w:rPr>
          <w:i/>
          <w:sz w:val="23"/>
        </w:rPr>
        <w:t>costos</w:t>
      </w:r>
      <w:r>
        <w:rPr>
          <w:i/>
          <w:spacing w:val="-2"/>
          <w:sz w:val="23"/>
        </w:rPr>
        <w:t> </w:t>
      </w:r>
      <w:r>
        <w:rPr>
          <w:i/>
          <w:sz w:val="23"/>
        </w:rPr>
        <w:t>incurridos,</w:t>
      </w:r>
      <w:r>
        <w:rPr>
          <w:i/>
          <w:spacing w:val="-2"/>
          <w:sz w:val="23"/>
        </w:rPr>
        <w:t> </w:t>
      </w:r>
      <w:r>
        <w:rPr>
          <w:i/>
          <w:sz w:val="23"/>
        </w:rPr>
        <w:t>o</w:t>
      </w:r>
      <w:r>
        <w:rPr>
          <w:i/>
          <w:spacing w:val="-5"/>
          <w:sz w:val="23"/>
        </w:rPr>
        <w:t> </w:t>
      </w:r>
      <w:r>
        <w:rPr>
          <w:i/>
          <w:sz w:val="23"/>
        </w:rPr>
        <w:t>por</w:t>
      </w:r>
      <w:r>
        <w:rPr>
          <w:i/>
          <w:spacing w:val="-2"/>
          <w:sz w:val="23"/>
        </w:rPr>
        <w:t> </w:t>
      </w:r>
      <w:r>
        <w:rPr>
          <w:i/>
          <w:sz w:val="23"/>
        </w:rPr>
        <w:t>incurrir,</w:t>
      </w:r>
      <w:r>
        <w:rPr>
          <w:i/>
          <w:spacing w:val="-2"/>
          <w:sz w:val="23"/>
        </w:rPr>
        <w:t> </w:t>
      </w:r>
      <w:r>
        <w:rPr>
          <w:i/>
          <w:sz w:val="23"/>
        </w:rPr>
        <w:t>en</w:t>
      </w:r>
      <w:r>
        <w:rPr>
          <w:i/>
          <w:spacing w:val="-2"/>
          <w:sz w:val="23"/>
        </w:rPr>
        <w:t> </w:t>
      </w:r>
      <w:r>
        <w:rPr>
          <w:i/>
          <w:sz w:val="23"/>
        </w:rPr>
        <w:t>relación</w:t>
      </w:r>
      <w:r>
        <w:rPr>
          <w:i/>
          <w:spacing w:val="-2"/>
          <w:sz w:val="23"/>
        </w:rPr>
        <w:t> </w:t>
      </w:r>
      <w:r>
        <w:rPr>
          <w:i/>
          <w:sz w:val="23"/>
        </w:rPr>
        <w:t>con</w:t>
      </w:r>
      <w:r>
        <w:rPr>
          <w:i/>
          <w:spacing w:val="-2"/>
          <w:sz w:val="23"/>
        </w:rPr>
        <w:t> </w:t>
      </w:r>
      <w:r>
        <w:rPr>
          <w:i/>
          <w:sz w:val="23"/>
        </w:rPr>
        <w:t>la</w:t>
      </w:r>
      <w:r>
        <w:rPr>
          <w:i/>
          <w:spacing w:val="-4"/>
          <w:sz w:val="23"/>
        </w:rPr>
        <w:t> </w:t>
      </w:r>
      <w:r>
        <w:rPr>
          <w:i/>
          <w:sz w:val="23"/>
        </w:rPr>
        <w:t>transacción,</w:t>
      </w:r>
      <w:r>
        <w:rPr>
          <w:i/>
          <w:spacing w:val="-2"/>
          <w:sz w:val="23"/>
        </w:rPr>
        <w:t> </w:t>
      </w:r>
      <w:r>
        <w:rPr>
          <w:i/>
          <w:sz w:val="23"/>
        </w:rPr>
        <w:t>pueden</w:t>
      </w:r>
      <w:r>
        <w:rPr>
          <w:i/>
          <w:spacing w:val="-2"/>
          <w:sz w:val="23"/>
        </w:rPr>
        <w:t> </w:t>
      </w:r>
      <w:r>
        <w:rPr>
          <w:i/>
          <w:sz w:val="23"/>
        </w:rPr>
        <w:t>ser</w:t>
      </w:r>
      <w:r>
        <w:rPr>
          <w:i/>
          <w:spacing w:val="-3"/>
          <w:sz w:val="23"/>
        </w:rPr>
        <w:t> </w:t>
      </w:r>
      <w:r>
        <w:rPr>
          <w:i/>
          <w:sz w:val="23"/>
        </w:rPr>
        <w:t>medidos</w:t>
      </w:r>
      <w:r>
        <w:rPr>
          <w:i/>
          <w:spacing w:val="-4"/>
          <w:sz w:val="23"/>
        </w:rPr>
        <w:t> </w:t>
      </w:r>
      <w:r>
        <w:rPr>
          <w:i/>
          <w:sz w:val="23"/>
        </w:rPr>
        <w:t>con </w:t>
      </w:r>
      <w:r>
        <w:rPr>
          <w:i/>
          <w:spacing w:val="-2"/>
          <w:sz w:val="23"/>
        </w:rPr>
        <w:t>fiabilidad.</w:t>
      </w:r>
    </w:p>
    <w:p>
      <w:pPr>
        <w:pStyle w:val="Heading6"/>
        <w:spacing w:before="171"/>
        <w:ind w:left="734"/>
      </w:pPr>
      <w:r>
        <w:rPr>
          <w:color w:val="FFFFFF"/>
          <w:u w:val="single" w:color="FFFFFF"/>
          <w:shd w:fill="00008A" w:color="auto" w:val="clear"/>
        </w:rPr>
        <w:t>Revelación</w:t>
      </w:r>
      <w:r>
        <w:rPr>
          <w:color w:val="FFFFFF"/>
          <w:spacing w:val="-6"/>
          <w:u w:val="single" w:color="FFFFFF"/>
          <w:shd w:fill="00008A" w:color="auto" w:val="clear"/>
        </w:rPr>
        <w:t> </w:t>
      </w:r>
      <w:r>
        <w:rPr>
          <w:color w:val="FFFFFF"/>
          <w:spacing w:val="-2"/>
          <w:u w:val="single" w:color="FFFFFF"/>
          <w:shd w:fill="00008A" w:color="auto" w:val="clear"/>
        </w:rPr>
        <w:t>Suficiente:</w:t>
      </w:r>
    </w:p>
    <w:p>
      <w:pPr>
        <w:pStyle w:val="BodyText"/>
        <w:spacing w:before="179"/>
        <w:ind w:left="734" w:right="1001"/>
      </w:pPr>
      <w:r>
        <w:rPr/>
        <w:t>La</w:t>
      </w:r>
      <w:r>
        <w:rPr>
          <w:spacing w:val="-3"/>
        </w:rPr>
        <w:t> </w:t>
      </w:r>
      <w:r>
        <w:rPr/>
        <w:t>NICSP</w:t>
      </w:r>
      <w:r>
        <w:rPr>
          <w:spacing w:val="-2"/>
        </w:rPr>
        <w:t> </w:t>
      </w:r>
      <w:r>
        <w:rPr/>
        <w:t>9</w:t>
      </w:r>
      <w:r>
        <w:rPr>
          <w:spacing w:val="-3"/>
        </w:rPr>
        <w:t> </w:t>
      </w:r>
      <w:r>
        <w:rPr/>
        <w:t>aplica</w:t>
      </w:r>
      <w:r>
        <w:rPr>
          <w:spacing w:val="-3"/>
        </w:rPr>
        <w:t> </w:t>
      </w:r>
      <w:r>
        <w:rPr/>
        <w:t>a</w:t>
      </w:r>
      <w:r>
        <w:rPr>
          <w:spacing w:val="-3"/>
        </w:rPr>
        <w:t> </w:t>
      </w:r>
      <w:r>
        <w:rPr/>
        <w:t>los</w:t>
      </w:r>
      <w:r>
        <w:rPr>
          <w:spacing w:val="-1"/>
        </w:rPr>
        <w:t> </w:t>
      </w:r>
      <w:r>
        <w:rPr/>
        <w:t>ingresos</w:t>
      </w:r>
      <w:r>
        <w:rPr>
          <w:spacing w:val="-1"/>
        </w:rPr>
        <w:t> </w:t>
      </w:r>
      <w:r>
        <w:rPr/>
        <w:t>ordinarios</w:t>
      </w:r>
      <w:r>
        <w:rPr>
          <w:spacing w:val="-4"/>
        </w:rPr>
        <w:t> </w:t>
      </w:r>
      <w:r>
        <w:rPr/>
        <w:t>que</w:t>
      </w:r>
      <w:r>
        <w:rPr>
          <w:spacing w:val="-4"/>
        </w:rPr>
        <w:t> </w:t>
      </w:r>
      <w:r>
        <w:rPr/>
        <w:t>surgen</w:t>
      </w:r>
      <w:r>
        <w:rPr>
          <w:spacing w:val="-4"/>
        </w:rPr>
        <w:t> </w:t>
      </w:r>
      <w:r>
        <w:rPr/>
        <w:t>de</w:t>
      </w:r>
      <w:r>
        <w:rPr>
          <w:spacing w:val="-4"/>
        </w:rPr>
        <w:t> </w:t>
      </w:r>
      <w:r>
        <w:rPr/>
        <w:t>los</w:t>
      </w:r>
      <w:r>
        <w:rPr>
          <w:spacing w:val="-1"/>
        </w:rPr>
        <w:t> </w:t>
      </w:r>
      <w:r>
        <w:rPr/>
        <w:t>siguientes</w:t>
      </w:r>
      <w:r>
        <w:rPr>
          <w:spacing w:val="-2"/>
        </w:rPr>
        <w:t> </w:t>
      </w:r>
      <w:r>
        <w:rPr/>
        <w:t>transacciones</w:t>
      </w:r>
      <w:r>
        <w:rPr>
          <w:spacing w:val="-1"/>
        </w:rPr>
        <w:t> </w:t>
      </w:r>
      <w:r>
        <w:rPr/>
        <w:t>y</w:t>
      </w:r>
      <w:r>
        <w:rPr>
          <w:spacing w:val="-3"/>
        </w:rPr>
        <w:t> </w:t>
      </w:r>
      <w:r>
        <w:rPr/>
        <w:t>eventos</w:t>
      </w:r>
      <w:r>
        <w:rPr>
          <w:spacing w:val="-1"/>
        </w:rPr>
        <w:t> </w:t>
      </w:r>
      <w:r>
        <w:rPr/>
        <w:t>de intercambio, en el IMAS los ingresos ordinarios surgen de:</w:t>
      </w:r>
    </w:p>
    <w:p>
      <w:pPr>
        <w:pStyle w:val="BodyText"/>
        <w:spacing w:before="160"/>
        <w:ind w:left="734"/>
      </w:pPr>
      <w:r>
        <w:rPr/>
        <w:t>La</w:t>
      </w:r>
      <w:r>
        <w:rPr>
          <w:spacing w:val="-2"/>
        </w:rPr>
        <w:t> </w:t>
      </w:r>
      <w:r>
        <w:rPr/>
        <w:t>venta</w:t>
      </w:r>
      <w:r>
        <w:rPr>
          <w:spacing w:val="-1"/>
        </w:rPr>
        <w:t> </w:t>
      </w:r>
      <w:r>
        <w:rPr/>
        <w:t>de</w:t>
      </w:r>
      <w:r>
        <w:rPr>
          <w:spacing w:val="-2"/>
        </w:rPr>
        <w:t> bienes</w:t>
      </w:r>
    </w:p>
    <w:p>
      <w:pPr>
        <w:pStyle w:val="BodyText"/>
        <w:spacing w:before="160"/>
        <w:ind w:left="734"/>
      </w:pPr>
      <w:r>
        <w:rPr/>
        <w:t>El</w:t>
      </w:r>
      <w:r>
        <w:rPr>
          <w:spacing w:val="-5"/>
        </w:rPr>
        <w:t> </w:t>
      </w:r>
      <w:r>
        <w:rPr/>
        <w:t>uso</w:t>
      </w:r>
      <w:r>
        <w:rPr>
          <w:spacing w:val="-3"/>
        </w:rPr>
        <w:t> </w:t>
      </w:r>
      <w:r>
        <w:rPr/>
        <w:t>que</w:t>
      </w:r>
      <w:r>
        <w:rPr>
          <w:spacing w:val="-4"/>
        </w:rPr>
        <w:t> </w:t>
      </w:r>
      <w:r>
        <w:rPr/>
        <w:t>otros</w:t>
      </w:r>
      <w:r>
        <w:rPr>
          <w:spacing w:val="-1"/>
        </w:rPr>
        <w:t> </w:t>
      </w:r>
      <w:r>
        <w:rPr/>
        <w:t>hacen</w:t>
      </w:r>
      <w:r>
        <w:rPr>
          <w:spacing w:val="-3"/>
        </w:rPr>
        <w:t> </w:t>
      </w:r>
      <w:r>
        <w:rPr/>
        <w:t>de</w:t>
      </w:r>
      <w:r>
        <w:rPr>
          <w:spacing w:val="-3"/>
        </w:rPr>
        <w:t> </w:t>
      </w:r>
      <w:r>
        <w:rPr/>
        <w:t>activos</w:t>
      </w:r>
      <w:r>
        <w:rPr>
          <w:spacing w:val="-2"/>
        </w:rPr>
        <w:t> </w:t>
      </w:r>
      <w:r>
        <w:rPr/>
        <w:t>de</w:t>
      </w:r>
      <w:r>
        <w:rPr>
          <w:spacing w:val="-3"/>
        </w:rPr>
        <w:t> </w:t>
      </w:r>
      <w:r>
        <w:rPr/>
        <w:t>la</w:t>
      </w:r>
      <w:r>
        <w:rPr>
          <w:spacing w:val="-4"/>
        </w:rPr>
        <w:t> </w:t>
      </w:r>
      <w:r>
        <w:rPr/>
        <w:t>entidad</w:t>
      </w:r>
      <w:r>
        <w:rPr>
          <w:spacing w:val="-2"/>
        </w:rPr>
        <w:t> </w:t>
      </w:r>
      <w:r>
        <w:rPr/>
        <w:t>que</w:t>
      </w:r>
      <w:r>
        <w:rPr>
          <w:spacing w:val="-3"/>
        </w:rPr>
        <w:t> </w:t>
      </w:r>
      <w:r>
        <w:rPr/>
        <w:t>rinden</w:t>
      </w:r>
      <w:r>
        <w:rPr>
          <w:spacing w:val="-2"/>
        </w:rPr>
        <w:t> intereses.</w:t>
      </w:r>
    </w:p>
    <w:p>
      <w:pPr>
        <w:pStyle w:val="BodyText"/>
        <w:spacing w:before="180"/>
      </w:pPr>
    </w:p>
    <w:p>
      <w:pPr>
        <w:pStyle w:val="BodyText"/>
        <w:spacing w:line="256" w:lineRule="auto"/>
        <w:ind w:left="734" w:right="1088"/>
        <w:jc w:val="both"/>
      </w:pPr>
      <w:r>
        <w:rPr/>
        <w:t>El IMAS recibe ingresos de transacciones con contraprestación originados de la venta de bienes. Con</w:t>
      </w:r>
      <w:r>
        <w:rPr>
          <w:spacing w:val="-7"/>
        </w:rPr>
        <w:t> </w:t>
      </w:r>
      <w:r>
        <w:rPr/>
        <w:t>el</w:t>
      </w:r>
      <w:r>
        <w:rPr>
          <w:spacing w:val="-5"/>
        </w:rPr>
        <w:t> </w:t>
      </w:r>
      <w:r>
        <w:rPr/>
        <w:t>propósito</w:t>
      </w:r>
      <w:r>
        <w:rPr>
          <w:spacing w:val="-6"/>
        </w:rPr>
        <w:t> </w:t>
      </w:r>
      <w:r>
        <w:rPr/>
        <w:t>de</w:t>
      </w:r>
      <w:r>
        <w:rPr>
          <w:spacing w:val="-6"/>
        </w:rPr>
        <w:t> </w:t>
      </w:r>
      <w:r>
        <w:rPr/>
        <w:t>generar</w:t>
      </w:r>
      <w:r>
        <w:rPr>
          <w:spacing w:val="-7"/>
        </w:rPr>
        <w:t> </w:t>
      </w:r>
      <w:r>
        <w:rPr/>
        <w:t>ingresos</w:t>
      </w:r>
      <w:r>
        <w:rPr>
          <w:spacing w:val="-6"/>
        </w:rPr>
        <w:t> </w:t>
      </w:r>
      <w:r>
        <w:rPr/>
        <w:t>financieros</w:t>
      </w:r>
      <w:r>
        <w:rPr>
          <w:spacing w:val="-4"/>
        </w:rPr>
        <w:t> </w:t>
      </w:r>
      <w:r>
        <w:rPr/>
        <w:t>al</w:t>
      </w:r>
      <w:r>
        <w:rPr>
          <w:spacing w:val="-5"/>
        </w:rPr>
        <w:t> </w:t>
      </w:r>
      <w:r>
        <w:rPr/>
        <w:t>Instituto</w:t>
      </w:r>
      <w:r>
        <w:rPr>
          <w:spacing w:val="-6"/>
        </w:rPr>
        <w:t> </w:t>
      </w:r>
      <w:r>
        <w:rPr/>
        <w:t>Mixto</w:t>
      </w:r>
      <w:r>
        <w:rPr>
          <w:spacing w:val="-6"/>
        </w:rPr>
        <w:t> </w:t>
      </w:r>
      <w:r>
        <w:rPr/>
        <w:t>de</w:t>
      </w:r>
      <w:r>
        <w:rPr>
          <w:spacing w:val="-6"/>
        </w:rPr>
        <w:t> </w:t>
      </w:r>
      <w:r>
        <w:rPr/>
        <w:t>Ayuda</w:t>
      </w:r>
      <w:r>
        <w:rPr>
          <w:spacing w:val="-8"/>
        </w:rPr>
        <w:t> </w:t>
      </w:r>
      <w:r>
        <w:rPr/>
        <w:t>Social</w:t>
      </w:r>
      <w:r>
        <w:rPr>
          <w:spacing w:val="-8"/>
        </w:rPr>
        <w:t> </w:t>
      </w:r>
      <w:r>
        <w:rPr/>
        <w:t>para</w:t>
      </w:r>
      <w:r>
        <w:rPr>
          <w:spacing w:val="-5"/>
        </w:rPr>
        <w:t> </w:t>
      </w:r>
      <w:r>
        <w:rPr/>
        <w:t>la</w:t>
      </w:r>
      <w:r>
        <w:rPr>
          <w:spacing w:val="-6"/>
        </w:rPr>
        <w:t> </w:t>
      </w:r>
      <w:r>
        <w:rPr/>
        <w:t>atención de sus programas sociales, mediante el Decreto Nº 2617-T del 20 de noviembre de 1972, se le otorgó</w:t>
      </w:r>
      <w:r>
        <w:rPr>
          <w:spacing w:val="-1"/>
        </w:rPr>
        <w:t> </w:t>
      </w:r>
      <w:r>
        <w:rPr/>
        <w:t>la</w:t>
      </w:r>
      <w:r>
        <w:rPr>
          <w:spacing w:val="-1"/>
        </w:rPr>
        <w:t> </w:t>
      </w:r>
      <w:r>
        <w:rPr/>
        <w:t>concesión para</w:t>
      </w:r>
      <w:r>
        <w:rPr>
          <w:spacing w:val="-3"/>
        </w:rPr>
        <w:t> </w:t>
      </w:r>
      <w:r>
        <w:rPr/>
        <w:t>explotar y</w:t>
      </w:r>
      <w:r>
        <w:rPr>
          <w:spacing w:val="-3"/>
        </w:rPr>
        <w:t> </w:t>
      </w:r>
      <w:r>
        <w:rPr/>
        <w:t>operar el</w:t>
      </w:r>
      <w:r>
        <w:rPr>
          <w:spacing w:val="-1"/>
        </w:rPr>
        <w:t> </w:t>
      </w:r>
      <w:r>
        <w:rPr/>
        <w:t>puesto</w:t>
      </w:r>
      <w:r>
        <w:rPr>
          <w:spacing w:val="-1"/>
        </w:rPr>
        <w:t> </w:t>
      </w:r>
      <w:r>
        <w:rPr/>
        <w:t>de</w:t>
      </w:r>
      <w:r>
        <w:rPr>
          <w:spacing w:val="-4"/>
        </w:rPr>
        <w:t> </w:t>
      </w:r>
      <w:r>
        <w:rPr/>
        <w:t>ventas</w:t>
      </w:r>
      <w:r>
        <w:rPr>
          <w:spacing w:val="-2"/>
        </w:rPr>
        <w:t> </w:t>
      </w:r>
      <w:r>
        <w:rPr/>
        <w:t>libre</w:t>
      </w:r>
      <w:r>
        <w:rPr>
          <w:spacing w:val="-2"/>
        </w:rPr>
        <w:t> </w:t>
      </w:r>
      <w:r>
        <w:rPr/>
        <w:t>de</w:t>
      </w:r>
      <w:r>
        <w:rPr>
          <w:spacing w:val="-2"/>
        </w:rPr>
        <w:t> </w:t>
      </w:r>
      <w:r>
        <w:rPr/>
        <w:t>derechos en</w:t>
      </w:r>
      <w:r>
        <w:rPr>
          <w:spacing w:val="-2"/>
        </w:rPr>
        <w:t> </w:t>
      </w:r>
      <w:r>
        <w:rPr/>
        <w:t>la</w:t>
      </w:r>
      <w:r>
        <w:rPr>
          <w:spacing w:val="-1"/>
        </w:rPr>
        <w:t> </w:t>
      </w:r>
      <w:r>
        <w:rPr/>
        <w:t>Terminal</w:t>
      </w:r>
      <w:r>
        <w:rPr>
          <w:spacing w:val="-3"/>
        </w:rPr>
        <w:t> </w:t>
      </w:r>
      <w:r>
        <w:rPr/>
        <w:t>del Aeropuerto Juan Santamaría. Posteriormente, con el fin único de cumplir la misión constitutiva, la </w:t>
      </w:r>
      <w:r>
        <w:rPr>
          <w:spacing w:val="-4"/>
        </w:rPr>
        <w:t>Ley 6256 en su artículo 9º,</w:t>
      </w:r>
      <w:r>
        <w:rPr>
          <w:spacing w:val="-5"/>
        </w:rPr>
        <w:t> </w:t>
      </w:r>
      <w:r>
        <w:rPr>
          <w:spacing w:val="-4"/>
        </w:rPr>
        <w:t>estableció: </w:t>
      </w:r>
      <w:r>
        <w:rPr>
          <w:i/>
          <w:spacing w:val="-4"/>
          <w:sz w:val="23"/>
        </w:rPr>
        <w:t>“Otórguese</w:t>
      </w:r>
      <w:r>
        <w:rPr>
          <w:i/>
          <w:spacing w:val="-5"/>
          <w:sz w:val="23"/>
        </w:rPr>
        <w:t> </w:t>
      </w:r>
      <w:r>
        <w:rPr>
          <w:i/>
          <w:spacing w:val="-4"/>
          <w:sz w:val="23"/>
        </w:rPr>
        <w:t>al</w:t>
      </w:r>
      <w:r>
        <w:rPr>
          <w:i/>
          <w:spacing w:val="-5"/>
          <w:sz w:val="23"/>
        </w:rPr>
        <w:t> </w:t>
      </w:r>
      <w:r>
        <w:rPr>
          <w:i/>
          <w:spacing w:val="-4"/>
          <w:sz w:val="23"/>
        </w:rPr>
        <w:t>IMAS la</w:t>
      </w:r>
      <w:r>
        <w:rPr>
          <w:i/>
          <w:spacing w:val="-5"/>
          <w:sz w:val="23"/>
        </w:rPr>
        <w:t> </w:t>
      </w:r>
      <w:r>
        <w:rPr>
          <w:i/>
          <w:spacing w:val="-4"/>
          <w:sz w:val="23"/>
        </w:rPr>
        <w:t>explotación</w:t>
      </w:r>
      <w:r>
        <w:rPr>
          <w:i/>
          <w:spacing w:val="-7"/>
          <w:sz w:val="23"/>
        </w:rPr>
        <w:t> </w:t>
      </w:r>
      <w:r>
        <w:rPr>
          <w:i/>
          <w:spacing w:val="-4"/>
          <w:sz w:val="23"/>
        </w:rPr>
        <w:t>exclusiva</w:t>
      </w:r>
      <w:r>
        <w:rPr>
          <w:i/>
          <w:spacing w:val="-8"/>
          <w:sz w:val="23"/>
        </w:rPr>
        <w:t> </w:t>
      </w:r>
      <w:r>
        <w:rPr>
          <w:i/>
          <w:spacing w:val="-4"/>
          <w:sz w:val="23"/>
        </w:rPr>
        <w:t>de</w:t>
      </w:r>
      <w:r>
        <w:rPr>
          <w:i/>
          <w:spacing w:val="-7"/>
          <w:sz w:val="23"/>
        </w:rPr>
        <w:t> </w:t>
      </w:r>
      <w:r>
        <w:rPr>
          <w:i/>
          <w:spacing w:val="-4"/>
          <w:sz w:val="23"/>
        </w:rPr>
        <w:t>puestos libres </w:t>
      </w:r>
      <w:r>
        <w:rPr>
          <w:i/>
          <w:sz w:val="23"/>
        </w:rPr>
        <w:t>de</w:t>
      </w:r>
      <w:r>
        <w:rPr>
          <w:i/>
          <w:spacing w:val="-15"/>
          <w:sz w:val="23"/>
        </w:rPr>
        <w:t> </w:t>
      </w:r>
      <w:r>
        <w:rPr>
          <w:i/>
          <w:sz w:val="23"/>
        </w:rPr>
        <w:t>derechos</w:t>
      </w:r>
      <w:r>
        <w:rPr>
          <w:i/>
          <w:spacing w:val="-14"/>
          <w:sz w:val="23"/>
        </w:rPr>
        <w:t> </w:t>
      </w:r>
      <w:r>
        <w:rPr>
          <w:i/>
          <w:sz w:val="23"/>
        </w:rPr>
        <w:t>en</w:t>
      </w:r>
      <w:r>
        <w:rPr>
          <w:i/>
          <w:spacing w:val="-15"/>
          <w:sz w:val="23"/>
        </w:rPr>
        <w:t> </w:t>
      </w:r>
      <w:r>
        <w:rPr>
          <w:i/>
          <w:sz w:val="23"/>
        </w:rPr>
        <w:t>los</w:t>
      </w:r>
      <w:r>
        <w:rPr>
          <w:i/>
          <w:spacing w:val="-14"/>
          <w:sz w:val="23"/>
        </w:rPr>
        <w:t> </w:t>
      </w:r>
      <w:r>
        <w:rPr>
          <w:i/>
          <w:sz w:val="23"/>
        </w:rPr>
        <w:t>puertos,</w:t>
      </w:r>
      <w:r>
        <w:rPr>
          <w:i/>
          <w:spacing w:val="-14"/>
          <w:sz w:val="23"/>
        </w:rPr>
        <w:t> </w:t>
      </w:r>
      <w:r>
        <w:rPr>
          <w:i/>
          <w:sz w:val="23"/>
        </w:rPr>
        <w:t>fronteras</w:t>
      </w:r>
      <w:r>
        <w:rPr>
          <w:i/>
          <w:spacing w:val="-15"/>
          <w:sz w:val="23"/>
        </w:rPr>
        <w:t> </w:t>
      </w:r>
      <w:r>
        <w:rPr>
          <w:i/>
          <w:sz w:val="23"/>
        </w:rPr>
        <w:t>y</w:t>
      </w:r>
      <w:r>
        <w:rPr>
          <w:i/>
          <w:spacing w:val="-14"/>
          <w:sz w:val="23"/>
        </w:rPr>
        <w:t> </w:t>
      </w:r>
      <w:r>
        <w:rPr>
          <w:i/>
          <w:sz w:val="23"/>
        </w:rPr>
        <w:t>aeropuertos</w:t>
      </w:r>
      <w:r>
        <w:rPr>
          <w:i/>
          <w:spacing w:val="-14"/>
          <w:sz w:val="23"/>
        </w:rPr>
        <w:t> </w:t>
      </w:r>
      <w:r>
        <w:rPr>
          <w:i/>
          <w:sz w:val="23"/>
        </w:rPr>
        <w:t>internacionales</w:t>
      </w:r>
      <w:r>
        <w:rPr/>
        <w:t>...”,</w:t>
      </w:r>
      <w:r>
        <w:rPr>
          <w:spacing w:val="-14"/>
        </w:rPr>
        <w:t> </w:t>
      </w:r>
      <w:r>
        <w:rPr/>
        <w:t>realizando</w:t>
      </w:r>
      <w:r>
        <w:rPr>
          <w:spacing w:val="-14"/>
        </w:rPr>
        <w:t> </w:t>
      </w:r>
      <w:r>
        <w:rPr/>
        <w:t>entonces</w:t>
      </w:r>
      <w:r>
        <w:rPr>
          <w:spacing w:val="-14"/>
        </w:rPr>
        <w:t> </w:t>
      </w:r>
      <w:r>
        <w:rPr/>
        <w:t>ventas en el Aeropuerto de Liberia.</w:t>
      </w:r>
    </w:p>
    <w:p>
      <w:pPr>
        <w:pStyle w:val="BodyText"/>
        <w:spacing w:before="15"/>
      </w:pPr>
    </w:p>
    <w:p>
      <w:pPr>
        <w:pStyle w:val="BodyText"/>
        <w:spacing w:line="259" w:lineRule="auto"/>
        <w:ind w:left="734" w:right="1089"/>
        <w:jc w:val="both"/>
      </w:pPr>
      <w:r>
        <w:rPr/>
        <w:t>La venta de bienes es de contado, por lo cual no hay cuentas por cobrar por ventas a crédito. Los ingresos se registran en el momento en que se devengan, Al 31 de julio 2026 y 2025 el ingreso proveniente</w:t>
      </w:r>
      <w:r>
        <w:rPr>
          <w:spacing w:val="1"/>
        </w:rPr>
        <w:t> </w:t>
      </w:r>
      <w:r>
        <w:rPr/>
        <w:t>de</w:t>
      </w:r>
      <w:r>
        <w:rPr>
          <w:spacing w:val="1"/>
        </w:rPr>
        <w:t> </w:t>
      </w:r>
      <w:r>
        <w:rPr/>
        <w:t>la venta de</w:t>
      </w:r>
      <w:r>
        <w:rPr>
          <w:spacing w:val="-2"/>
        </w:rPr>
        <w:t> </w:t>
      </w:r>
      <w:r>
        <w:rPr/>
        <w:t>bienes</w:t>
      </w:r>
      <w:r>
        <w:rPr>
          <w:spacing w:val="2"/>
        </w:rPr>
        <w:t> </w:t>
      </w:r>
      <w:r>
        <w:rPr/>
        <w:t>en</w:t>
      </w:r>
      <w:r>
        <w:rPr>
          <w:spacing w:val="2"/>
        </w:rPr>
        <w:t> </w:t>
      </w:r>
      <w:r>
        <w:rPr/>
        <w:t>las</w:t>
      </w:r>
      <w:r>
        <w:rPr>
          <w:spacing w:val="1"/>
        </w:rPr>
        <w:t> </w:t>
      </w:r>
      <w:r>
        <w:rPr/>
        <w:t>tiendas libres</w:t>
      </w:r>
      <w:r>
        <w:rPr>
          <w:spacing w:val="1"/>
        </w:rPr>
        <w:t> </w:t>
      </w:r>
      <w:r>
        <w:rPr/>
        <w:t>por</w:t>
      </w:r>
      <w:r>
        <w:rPr>
          <w:spacing w:val="2"/>
        </w:rPr>
        <w:t> </w:t>
      </w:r>
      <w:r>
        <w:rPr/>
        <w:t>la</w:t>
      </w:r>
      <w:r>
        <w:rPr>
          <w:spacing w:val="-1"/>
        </w:rPr>
        <w:t> </w:t>
      </w:r>
      <w:r>
        <w:rPr/>
        <w:t>suma</w:t>
      </w:r>
      <w:r>
        <w:rPr>
          <w:spacing w:val="2"/>
        </w:rPr>
        <w:t> </w:t>
      </w:r>
      <w:r>
        <w:rPr/>
        <w:t>el</w:t>
      </w:r>
      <w:r>
        <w:rPr>
          <w:spacing w:val="1"/>
        </w:rPr>
        <w:t> </w:t>
      </w:r>
      <w:r>
        <w:rPr/>
        <w:t>valor en miles</w:t>
      </w:r>
      <w:r>
        <w:rPr>
          <w:spacing w:val="2"/>
        </w:rPr>
        <w:t> </w:t>
      </w:r>
      <w:r>
        <w:rPr/>
        <w:t>de</w:t>
      </w:r>
      <w:r>
        <w:rPr>
          <w:spacing w:val="1"/>
        </w:rPr>
        <w:t> </w:t>
      </w:r>
      <w:r>
        <w:rPr/>
        <w:t>colones</w:t>
      </w:r>
      <w:r>
        <w:rPr>
          <w:spacing w:val="3"/>
        </w:rPr>
        <w:t> </w:t>
      </w:r>
      <w:r>
        <w:rPr>
          <w:spacing w:val="-5"/>
        </w:rPr>
        <w:t>por</w:t>
      </w:r>
    </w:p>
    <w:p>
      <w:pPr>
        <w:pStyle w:val="BodyText"/>
        <w:spacing w:line="259" w:lineRule="auto"/>
        <w:ind w:left="734" w:right="1088"/>
        <w:jc w:val="both"/>
      </w:pPr>
      <w:r>
        <w:rPr/>
        <w:t>¢ 11.205.640,46 y ¢ 11.789.949,84 respectivamente, reflejando una disminución del -4,96% con respecto al año anterior, se presenta la información detallada en la nota 41 del Estado de Rendimiento Financiero.</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5184">
                <wp:simplePos x="0" y="0"/>
                <wp:positionH relativeFrom="page">
                  <wp:posOffset>9525</wp:posOffset>
                </wp:positionH>
                <wp:positionV relativeFrom="page">
                  <wp:posOffset>297208</wp:posOffset>
                </wp:positionV>
                <wp:extent cx="7762875" cy="9748520"/>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7762875" cy="9748520"/>
                          <a:chExt cx="7762875" cy="9748520"/>
                        </a:xfrm>
                      </wpg:grpSpPr>
                      <pic:pic>
                        <pic:nvPicPr>
                          <pic:cNvPr id="261" name="Image 261"/>
                          <pic:cNvPicPr/>
                        </pic:nvPicPr>
                        <pic:blipFill>
                          <a:blip r:embed="rId5" cstate="print"/>
                          <a:stretch>
                            <a:fillRect/>
                          </a:stretch>
                        </pic:blipFill>
                        <pic:spPr>
                          <a:xfrm>
                            <a:off x="0" y="0"/>
                            <a:ext cx="7762874" cy="9748489"/>
                          </a:xfrm>
                          <a:prstGeom prst="rect">
                            <a:avLst/>
                          </a:prstGeom>
                        </pic:spPr>
                      </pic:pic>
                      <wps:wsp>
                        <wps:cNvPr id="262" name="Graphic 26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1296" id="docshapegroup246" coordorigin="15,468" coordsize="12225,15352">
                <v:shape style="position:absolute;left:15;top:468;width:12225;height:15352" type="#_x0000_t75" id="docshape247" stroked="false">
                  <v:imagedata r:id="rId5" o:title=""/>
                </v:shape>
                <v:rect style="position:absolute;left:1673;top:2028;width:8897;height:15" id="docshape24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57</w:t>
      </w:r>
    </w:p>
    <w:p>
      <w:pPr>
        <w:pStyle w:val="Heading5"/>
        <w:spacing w:before="218"/>
      </w:pPr>
      <w:bookmarkStart w:name="_bookmark34" w:id="35"/>
      <w:bookmarkEnd w:id="35"/>
      <w:r>
        <w:rPr>
          <w:b w:val="0"/>
        </w:rPr>
      </w:r>
      <w:r>
        <w:rPr/>
        <w:t>NOTA</w:t>
      </w:r>
      <w:r>
        <w:rPr>
          <w:spacing w:val="-1"/>
        </w:rPr>
        <w:t> </w:t>
      </w:r>
      <w:r>
        <w:rPr/>
        <w:t>N°</w:t>
      </w:r>
      <w:r>
        <w:rPr>
          <w:spacing w:val="-1"/>
        </w:rPr>
        <w:t> </w:t>
      </w:r>
      <w:r>
        <w:rPr>
          <w:spacing w:val="-10"/>
        </w:rPr>
        <w:t>6</w:t>
      </w:r>
    </w:p>
    <w:p>
      <w:pPr>
        <w:pStyle w:val="BodyText"/>
        <w:spacing w:before="126"/>
        <w:ind w:left="622"/>
      </w:pPr>
      <w:r>
        <w:rPr>
          <w:spacing w:val="-2"/>
        </w:rPr>
        <w:t>Inventarios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2"/>
        <w:gridCol w:w="2209"/>
        <w:gridCol w:w="603"/>
        <w:gridCol w:w="2024"/>
        <w:gridCol w:w="2024"/>
        <w:gridCol w:w="1121"/>
      </w:tblGrid>
      <w:tr>
        <w:trPr>
          <w:trHeight w:val="227" w:hRule="atLeast"/>
        </w:trPr>
        <w:tc>
          <w:tcPr>
            <w:tcW w:w="922" w:type="dxa"/>
            <w:vMerge w:val="restart"/>
            <w:shd w:val="clear" w:color="auto" w:fill="365F92"/>
          </w:tcPr>
          <w:p>
            <w:pPr>
              <w:pStyle w:val="TableParagraph"/>
              <w:spacing w:before="116"/>
              <w:ind w:left="69"/>
              <w:rPr>
                <w:b/>
                <w:sz w:val="20"/>
              </w:rPr>
            </w:pPr>
            <w:r>
              <w:rPr>
                <w:b/>
                <w:color w:val="FFFFFF"/>
                <w:spacing w:val="-2"/>
                <w:sz w:val="20"/>
              </w:rPr>
              <w:t>Cuenta</w:t>
            </w:r>
          </w:p>
        </w:tc>
        <w:tc>
          <w:tcPr>
            <w:tcW w:w="2209" w:type="dxa"/>
            <w:vMerge w:val="restart"/>
            <w:shd w:val="clear" w:color="auto" w:fill="365F92"/>
          </w:tcPr>
          <w:p>
            <w:pPr>
              <w:pStyle w:val="TableParagraph"/>
              <w:spacing w:before="205"/>
              <w:ind w:left="620"/>
              <w:rPr>
                <w:b/>
                <w:sz w:val="20"/>
              </w:rPr>
            </w:pPr>
            <w:r>
              <w:rPr>
                <w:b/>
                <w:color w:val="FFFFFF"/>
                <w:spacing w:val="-2"/>
                <w:sz w:val="20"/>
              </w:rPr>
              <w:t>Descripción</w:t>
            </w:r>
          </w:p>
        </w:tc>
        <w:tc>
          <w:tcPr>
            <w:tcW w:w="603" w:type="dxa"/>
            <w:vMerge w:val="restart"/>
            <w:shd w:val="clear" w:color="auto" w:fill="365F92"/>
          </w:tcPr>
          <w:p>
            <w:pPr>
              <w:pStyle w:val="TableParagraph"/>
              <w:spacing w:before="205"/>
              <w:ind w:left="101"/>
              <w:rPr>
                <w:b/>
                <w:sz w:val="20"/>
              </w:rPr>
            </w:pPr>
            <w:r>
              <w:rPr>
                <w:b/>
                <w:color w:val="FFFFFF"/>
                <w:spacing w:val="-4"/>
                <w:sz w:val="20"/>
              </w:rPr>
              <w:t>Nota</w:t>
            </w:r>
          </w:p>
        </w:tc>
        <w:tc>
          <w:tcPr>
            <w:tcW w:w="2024" w:type="dxa"/>
            <w:vMerge w:val="restart"/>
            <w:shd w:val="clear" w:color="auto" w:fill="365F92"/>
          </w:tcPr>
          <w:p>
            <w:pPr>
              <w:pStyle w:val="TableParagraph"/>
              <w:spacing w:before="205"/>
              <w:ind w:left="435"/>
              <w:rPr>
                <w:b/>
                <w:sz w:val="20"/>
              </w:rPr>
            </w:pPr>
            <w:r>
              <w:rPr>
                <w:b/>
                <w:color w:val="FFFFFF"/>
                <w:sz w:val="20"/>
              </w:rPr>
              <w:t>Periodo</w:t>
            </w:r>
            <w:r>
              <w:rPr>
                <w:b/>
                <w:color w:val="FFFFFF"/>
                <w:spacing w:val="-5"/>
                <w:sz w:val="20"/>
              </w:rPr>
              <w:t> </w:t>
            </w:r>
            <w:r>
              <w:rPr>
                <w:b/>
                <w:color w:val="FFFFFF"/>
                <w:spacing w:val="-2"/>
                <w:sz w:val="20"/>
              </w:rPr>
              <w:t>Actual</w:t>
            </w:r>
          </w:p>
        </w:tc>
        <w:tc>
          <w:tcPr>
            <w:tcW w:w="2024" w:type="dxa"/>
            <w:vMerge w:val="restart"/>
            <w:shd w:val="clear" w:color="auto" w:fill="365F92"/>
          </w:tcPr>
          <w:p>
            <w:pPr>
              <w:pStyle w:val="TableParagraph"/>
              <w:spacing w:before="205"/>
              <w:ind w:left="353"/>
              <w:rPr>
                <w:b/>
                <w:sz w:val="20"/>
              </w:rPr>
            </w:pPr>
            <w:r>
              <w:rPr>
                <w:b/>
                <w:color w:val="FFFFFF"/>
                <w:sz w:val="20"/>
              </w:rPr>
              <w:t>Periodo</w:t>
            </w:r>
            <w:r>
              <w:rPr>
                <w:b/>
                <w:color w:val="FFFFFF"/>
                <w:spacing w:val="-5"/>
                <w:sz w:val="20"/>
              </w:rPr>
              <w:t> </w:t>
            </w:r>
            <w:r>
              <w:rPr>
                <w:b/>
                <w:color w:val="FFFFFF"/>
                <w:spacing w:val="-2"/>
                <w:sz w:val="20"/>
              </w:rPr>
              <w:t>Anterior</w:t>
            </w:r>
          </w:p>
        </w:tc>
        <w:tc>
          <w:tcPr>
            <w:tcW w:w="1121" w:type="dxa"/>
            <w:shd w:val="clear" w:color="auto" w:fill="365F92"/>
          </w:tcPr>
          <w:p>
            <w:pPr>
              <w:pStyle w:val="TableParagraph"/>
              <w:spacing w:line="207" w:lineRule="exact"/>
              <w:ind w:left="15" w:right="3"/>
              <w:jc w:val="center"/>
              <w:rPr>
                <w:b/>
                <w:sz w:val="20"/>
              </w:rPr>
            </w:pPr>
            <w:r>
              <w:rPr>
                <w:b/>
                <w:color w:val="FFFFFF"/>
                <w:spacing w:val="-2"/>
                <w:sz w:val="20"/>
              </w:rPr>
              <w:t>Diferencia</w:t>
            </w:r>
          </w:p>
        </w:tc>
      </w:tr>
      <w:tr>
        <w:trPr>
          <w:trHeight w:val="392" w:hRule="atLeast"/>
        </w:trPr>
        <w:tc>
          <w:tcPr>
            <w:tcW w:w="922" w:type="dxa"/>
            <w:vMerge/>
            <w:tcBorders>
              <w:top w:val="nil"/>
            </w:tcBorders>
            <w:shd w:val="clear" w:color="auto" w:fill="365F92"/>
          </w:tcPr>
          <w:p>
            <w:pPr>
              <w:rPr>
                <w:sz w:val="2"/>
                <w:szCs w:val="2"/>
              </w:rPr>
            </w:pPr>
          </w:p>
        </w:tc>
        <w:tc>
          <w:tcPr>
            <w:tcW w:w="2209" w:type="dxa"/>
            <w:vMerge/>
            <w:tcBorders>
              <w:top w:val="nil"/>
            </w:tcBorders>
            <w:shd w:val="clear" w:color="auto" w:fill="365F92"/>
          </w:tcPr>
          <w:p>
            <w:pPr>
              <w:rPr>
                <w:sz w:val="2"/>
                <w:szCs w:val="2"/>
              </w:rPr>
            </w:pPr>
          </w:p>
        </w:tc>
        <w:tc>
          <w:tcPr>
            <w:tcW w:w="603" w:type="dxa"/>
            <w:vMerge/>
            <w:tcBorders>
              <w:top w:val="nil"/>
            </w:tcBorders>
            <w:shd w:val="clear" w:color="auto" w:fill="365F92"/>
          </w:tcPr>
          <w:p>
            <w:pPr>
              <w:rPr>
                <w:sz w:val="2"/>
                <w:szCs w:val="2"/>
              </w:rPr>
            </w:pPr>
          </w:p>
        </w:tc>
        <w:tc>
          <w:tcPr>
            <w:tcW w:w="2024" w:type="dxa"/>
            <w:vMerge/>
            <w:tcBorders>
              <w:top w:val="nil"/>
            </w:tcBorders>
            <w:shd w:val="clear" w:color="auto" w:fill="365F92"/>
          </w:tcPr>
          <w:p>
            <w:pPr>
              <w:rPr>
                <w:sz w:val="2"/>
                <w:szCs w:val="2"/>
              </w:rPr>
            </w:pPr>
          </w:p>
        </w:tc>
        <w:tc>
          <w:tcPr>
            <w:tcW w:w="2024" w:type="dxa"/>
            <w:vMerge/>
            <w:tcBorders>
              <w:top w:val="nil"/>
            </w:tcBorders>
            <w:shd w:val="clear" w:color="auto" w:fill="365F92"/>
          </w:tcPr>
          <w:p>
            <w:pPr>
              <w:rPr>
                <w:sz w:val="2"/>
                <w:szCs w:val="2"/>
              </w:rPr>
            </w:pPr>
          </w:p>
        </w:tc>
        <w:tc>
          <w:tcPr>
            <w:tcW w:w="1121" w:type="dxa"/>
            <w:shd w:val="clear" w:color="auto" w:fill="365F92"/>
          </w:tcPr>
          <w:p>
            <w:pPr>
              <w:pStyle w:val="TableParagraph"/>
              <w:spacing w:before="82"/>
              <w:ind w:left="15" w:right="4"/>
              <w:jc w:val="center"/>
              <w:rPr>
                <w:sz w:val="20"/>
              </w:rPr>
            </w:pPr>
            <w:r>
              <w:rPr>
                <w:color w:val="FFFFFF"/>
                <w:spacing w:val="-10"/>
                <w:sz w:val="20"/>
              </w:rPr>
              <w:t>%</w:t>
            </w:r>
          </w:p>
        </w:tc>
      </w:tr>
      <w:tr>
        <w:trPr>
          <w:trHeight w:val="395" w:hRule="atLeast"/>
        </w:trPr>
        <w:tc>
          <w:tcPr>
            <w:tcW w:w="922" w:type="dxa"/>
          </w:tcPr>
          <w:p>
            <w:pPr>
              <w:pStyle w:val="TableParagraph"/>
              <w:spacing w:before="82"/>
              <w:ind w:left="69"/>
              <w:rPr>
                <w:b/>
                <w:sz w:val="20"/>
              </w:rPr>
            </w:pPr>
            <w:r>
              <w:rPr>
                <w:b/>
                <w:spacing w:val="-2"/>
                <w:sz w:val="20"/>
              </w:rPr>
              <w:t>1.1.4.</w:t>
            </w:r>
          </w:p>
        </w:tc>
        <w:tc>
          <w:tcPr>
            <w:tcW w:w="2209" w:type="dxa"/>
          </w:tcPr>
          <w:p>
            <w:pPr>
              <w:pStyle w:val="TableParagraph"/>
              <w:spacing w:before="82"/>
              <w:ind w:left="66"/>
              <w:rPr>
                <w:b/>
                <w:sz w:val="20"/>
              </w:rPr>
            </w:pPr>
            <w:r>
              <w:rPr>
                <w:b/>
                <w:spacing w:val="-2"/>
                <w:sz w:val="20"/>
              </w:rPr>
              <w:t>Inventarios</w:t>
            </w:r>
          </w:p>
        </w:tc>
        <w:tc>
          <w:tcPr>
            <w:tcW w:w="603" w:type="dxa"/>
          </w:tcPr>
          <w:p>
            <w:pPr>
              <w:pStyle w:val="TableParagraph"/>
              <w:spacing w:before="82"/>
              <w:ind w:left="200"/>
              <w:rPr>
                <w:b/>
                <w:sz w:val="20"/>
              </w:rPr>
            </w:pPr>
            <w:r>
              <w:rPr>
                <w:b/>
                <w:spacing w:val="-5"/>
                <w:sz w:val="20"/>
              </w:rPr>
              <w:t>06</w:t>
            </w:r>
          </w:p>
        </w:tc>
        <w:tc>
          <w:tcPr>
            <w:tcW w:w="2024" w:type="dxa"/>
          </w:tcPr>
          <w:p>
            <w:pPr>
              <w:pStyle w:val="TableParagraph"/>
              <w:spacing w:before="82"/>
              <w:ind w:left="492"/>
              <w:rPr>
                <w:b/>
                <w:sz w:val="20"/>
              </w:rPr>
            </w:pPr>
            <w:r>
              <w:rPr>
                <w:b/>
                <w:sz w:val="20"/>
              </w:rPr>
              <w:t>5</w:t>
            </w:r>
            <w:r>
              <w:rPr>
                <w:b/>
                <w:spacing w:val="-2"/>
                <w:sz w:val="20"/>
              </w:rPr>
              <w:t> </w:t>
            </w:r>
            <w:r>
              <w:rPr>
                <w:b/>
                <w:sz w:val="20"/>
              </w:rPr>
              <w:t>759</w:t>
            </w:r>
            <w:r>
              <w:rPr>
                <w:b/>
                <w:spacing w:val="-2"/>
                <w:sz w:val="20"/>
              </w:rPr>
              <w:t> 054,33</w:t>
            </w:r>
          </w:p>
        </w:tc>
        <w:tc>
          <w:tcPr>
            <w:tcW w:w="2024" w:type="dxa"/>
          </w:tcPr>
          <w:p>
            <w:pPr>
              <w:pStyle w:val="TableParagraph"/>
              <w:spacing w:before="82"/>
              <w:ind w:left="492"/>
              <w:rPr>
                <w:b/>
                <w:sz w:val="20"/>
              </w:rPr>
            </w:pPr>
            <w:r>
              <w:rPr>
                <w:b/>
                <w:sz w:val="20"/>
              </w:rPr>
              <w:t>5</w:t>
            </w:r>
            <w:r>
              <w:rPr>
                <w:b/>
                <w:spacing w:val="-2"/>
                <w:sz w:val="20"/>
              </w:rPr>
              <w:t> </w:t>
            </w:r>
            <w:r>
              <w:rPr>
                <w:b/>
                <w:sz w:val="20"/>
              </w:rPr>
              <w:t>265</w:t>
            </w:r>
            <w:r>
              <w:rPr>
                <w:b/>
                <w:spacing w:val="-2"/>
                <w:sz w:val="20"/>
              </w:rPr>
              <w:t> 042,27</w:t>
            </w:r>
          </w:p>
        </w:tc>
        <w:tc>
          <w:tcPr>
            <w:tcW w:w="1121" w:type="dxa"/>
          </w:tcPr>
          <w:p>
            <w:pPr>
              <w:pStyle w:val="TableParagraph"/>
              <w:spacing w:before="82"/>
              <w:ind w:left="15"/>
              <w:jc w:val="center"/>
              <w:rPr>
                <w:b/>
                <w:sz w:val="20"/>
              </w:rPr>
            </w:pPr>
            <w:r>
              <w:rPr>
                <w:b/>
                <w:spacing w:val="-2"/>
                <w:sz w:val="20"/>
              </w:rPr>
              <w:t>9,38%</w:t>
            </w:r>
          </w:p>
        </w:tc>
      </w:tr>
    </w:tbl>
    <w:p>
      <w:pPr>
        <w:pStyle w:val="BodyText"/>
      </w:pPr>
    </w:p>
    <w:p>
      <w:pPr>
        <w:pStyle w:val="BodyText"/>
        <w:spacing w:before="10"/>
      </w:pPr>
    </w:p>
    <w:p>
      <w:pPr>
        <w:pStyle w:val="Heading6"/>
        <w:ind w:left="622"/>
      </w:pPr>
      <w:r>
        <w:rPr/>
        <w:t>Método</w:t>
      </w:r>
      <w:r>
        <w:rPr>
          <w:spacing w:val="-3"/>
        </w:rPr>
        <w:t> </w:t>
      </w:r>
      <w:r>
        <w:rPr/>
        <w:t>de</w:t>
      </w:r>
      <w:r>
        <w:rPr>
          <w:spacing w:val="-2"/>
        </w:rPr>
        <w:t> </w:t>
      </w:r>
      <w:r>
        <w:rPr/>
        <w:t>Valuación</w:t>
      </w:r>
      <w:r>
        <w:rPr>
          <w:spacing w:val="-3"/>
        </w:rPr>
        <w:t> </w:t>
      </w:r>
      <w:r>
        <w:rPr/>
        <w:t>de</w:t>
      </w:r>
      <w:r>
        <w:rPr>
          <w:spacing w:val="-2"/>
        </w:rPr>
        <w:t> Inventario</w:t>
      </w:r>
    </w:p>
    <w:p>
      <w:pPr>
        <w:pStyle w:val="BodyText"/>
        <w:spacing w:before="8"/>
        <w:rPr>
          <w:b/>
          <w:sz w:val="13"/>
        </w:rPr>
      </w:pPr>
      <w:r>
        <w:rPr>
          <w:b/>
          <w:sz w:val="13"/>
        </w:rPr>
        <mc:AlternateContent>
          <mc:Choice Requires="wps">
            <w:drawing>
              <wp:anchor distT="0" distB="0" distL="0" distR="0" allowOverlap="1" layoutInCell="1" locked="0" behindDoc="1" simplePos="0" relativeHeight="487627264">
                <wp:simplePos x="0" y="0"/>
                <wp:positionH relativeFrom="page">
                  <wp:posOffset>1080820</wp:posOffset>
                </wp:positionH>
                <wp:positionV relativeFrom="paragraph">
                  <wp:posOffset>118228</wp:posOffset>
                </wp:positionV>
                <wp:extent cx="5715000" cy="2962910"/>
                <wp:effectExtent l="0" t="0" r="0" b="0"/>
                <wp:wrapTopAndBottom/>
                <wp:docPr id="263" name="Textbox 263"/>
                <wp:cNvGraphicFramePr>
                  <a:graphicFrameLocks/>
                </wp:cNvGraphicFramePr>
                <a:graphic>
                  <a:graphicData uri="http://schemas.microsoft.com/office/word/2010/wordprocessingShape">
                    <wps:wsp>
                      <wps:cNvPr id="263" name="Textbox 263"/>
                      <wps:cNvSpPr txBox="1"/>
                      <wps:spPr>
                        <a:xfrm>
                          <a:off x="0" y="0"/>
                          <a:ext cx="5715000" cy="2962910"/>
                        </a:xfrm>
                        <a:prstGeom prst="rect">
                          <a:avLst/>
                        </a:prstGeom>
                        <a:ln w="6095">
                          <a:solidFill>
                            <a:srgbClr val="000000"/>
                          </a:solidFill>
                          <a:prstDash val="solid"/>
                        </a:ln>
                      </wps:spPr>
                      <wps:txbx>
                        <w:txbxContent>
                          <w:p>
                            <w:pPr>
                              <w:pStyle w:val="BodyText"/>
                              <w:ind w:left="103" w:right="96"/>
                              <w:jc w:val="both"/>
                            </w:pPr>
                            <w:r>
                              <w:rPr/>
                              <w:t>El</w:t>
                            </w:r>
                            <w:r>
                              <w:rPr>
                                <w:spacing w:val="-10"/>
                              </w:rPr>
                              <w:t> </w:t>
                            </w:r>
                            <w:r>
                              <w:rPr/>
                              <w:t>método</w:t>
                            </w:r>
                            <w:r>
                              <w:rPr>
                                <w:spacing w:val="-9"/>
                              </w:rPr>
                              <w:t> </w:t>
                            </w:r>
                            <w:r>
                              <w:rPr/>
                              <w:t>de</w:t>
                            </w:r>
                            <w:r>
                              <w:rPr>
                                <w:spacing w:val="-11"/>
                              </w:rPr>
                              <w:t> </w:t>
                            </w:r>
                            <w:r>
                              <w:rPr/>
                              <w:t>valuación</w:t>
                            </w:r>
                            <w:r>
                              <w:rPr>
                                <w:spacing w:val="-9"/>
                              </w:rPr>
                              <w:t> </w:t>
                            </w:r>
                            <w:r>
                              <w:rPr/>
                              <w:t>del</w:t>
                            </w:r>
                            <w:r>
                              <w:rPr>
                                <w:spacing w:val="-10"/>
                              </w:rPr>
                              <w:t> </w:t>
                            </w:r>
                            <w:r>
                              <w:rPr/>
                              <w:t>inventario</w:t>
                            </w:r>
                            <w:r>
                              <w:rPr>
                                <w:spacing w:val="-9"/>
                              </w:rPr>
                              <w:t> </w:t>
                            </w:r>
                            <w:r>
                              <w:rPr/>
                              <w:t>al</w:t>
                            </w:r>
                            <w:r>
                              <w:rPr>
                                <w:spacing w:val="-10"/>
                              </w:rPr>
                              <w:t> </w:t>
                            </w:r>
                            <w:r>
                              <w:rPr/>
                              <w:t>cierre</w:t>
                            </w:r>
                            <w:r>
                              <w:rPr>
                                <w:spacing w:val="-11"/>
                              </w:rPr>
                              <w:t> </w:t>
                            </w:r>
                            <w:r>
                              <w:rPr/>
                              <w:t>del</w:t>
                            </w:r>
                            <w:r>
                              <w:rPr>
                                <w:spacing w:val="-10"/>
                              </w:rPr>
                              <w:t> </w:t>
                            </w:r>
                            <w:r>
                              <w:rPr/>
                              <w:t>periodo</w:t>
                            </w:r>
                            <w:r>
                              <w:rPr>
                                <w:spacing w:val="-9"/>
                              </w:rPr>
                              <w:t> </w:t>
                            </w:r>
                            <w:r>
                              <w:rPr/>
                              <w:t>es</w:t>
                            </w:r>
                            <w:r>
                              <w:rPr>
                                <w:spacing w:val="-9"/>
                              </w:rPr>
                              <w:t> </w:t>
                            </w:r>
                            <w:r>
                              <w:rPr/>
                              <w:t>por</w:t>
                            </w:r>
                            <w:r>
                              <w:rPr>
                                <w:spacing w:val="-10"/>
                              </w:rPr>
                              <w:t> </w:t>
                            </w:r>
                            <w:r>
                              <w:rPr/>
                              <w:t>el</w:t>
                            </w:r>
                            <w:r>
                              <w:rPr>
                                <w:spacing w:val="-10"/>
                              </w:rPr>
                              <w:t> </w:t>
                            </w:r>
                            <w:r>
                              <w:rPr/>
                              <w:t>Método</w:t>
                            </w:r>
                            <w:r>
                              <w:rPr>
                                <w:spacing w:val="-9"/>
                              </w:rPr>
                              <w:t> </w:t>
                            </w:r>
                            <w:r>
                              <w:rPr/>
                              <w:t>de</w:t>
                            </w:r>
                            <w:r>
                              <w:rPr>
                                <w:spacing w:val="-11"/>
                              </w:rPr>
                              <w:t> </w:t>
                            </w:r>
                            <w:r>
                              <w:rPr/>
                              <w:t>Promedio</w:t>
                            </w:r>
                            <w:r>
                              <w:rPr>
                                <w:spacing w:val="-9"/>
                              </w:rPr>
                              <w:t> </w:t>
                            </w:r>
                            <w:r>
                              <w:rPr/>
                              <w:t>Ponderado (PP). Se cuenta con autorización de la Dirección General de Contabilidad oficio MH-DGCN-DIR-OF-0388-2023</w:t>
                            </w:r>
                            <w:r>
                              <w:rPr>
                                <w:spacing w:val="-7"/>
                              </w:rPr>
                              <w:t> </w:t>
                            </w:r>
                            <w:r>
                              <w:rPr/>
                              <w:t>del</w:t>
                            </w:r>
                            <w:r>
                              <w:rPr>
                                <w:spacing w:val="-7"/>
                              </w:rPr>
                              <w:t> </w:t>
                            </w:r>
                            <w:r>
                              <w:rPr/>
                              <w:t>25</w:t>
                            </w:r>
                            <w:r>
                              <w:rPr>
                                <w:spacing w:val="-5"/>
                              </w:rPr>
                              <w:t> </w:t>
                            </w:r>
                            <w:r>
                              <w:rPr/>
                              <w:t>de</w:t>
                            </w:r>
                            <w:r>
                              <w:rPr>
                                <w:spacing w:val="-6"/>
                              </w:rPr>
                              <w:t> </w:t>
                            </w:r>
                            <w:r>
                              <w:rPr/>
                              <w:t>mayo</w:t>
                            </w:r>
                            <w:r>
                              <w:rPr>
                                <w:spacing w:val="-5"/>
                              </w:rPr>
                              <w:t> </w:t>
                            </w:r>
                            <w:r>
                              <w:rPr/>
                              <w:t>del</w:t>
                            </w:r>
                            <w:r>
                              <w:rPr>
                                <w:spacing w:val="-7"/>
                              </w:rPr>
                              <w:t> </w:t>
                            </w:r>
                            <w:r>
                              <w:rPr/>
                              <w:t>2023</w:t>
                            </w:r>
                            <w:r>
                              <w:rPr>
                                <w:spacing w:val="-5"/>
                              </w:rPr>
                              <w:t> </w:t>
                            </w:r>
                            <w:r>
                              <w:rPr/>
                              <w:t>para</w:t>
                            </w:r>
                            <w:r>
                              <w:rPr>
                                <w:spacing w:val="-4"/>
                              </w:rPr>
                              <w:t> </w:t>
                            </w:r>
                            <w:r>
                              <w:rPr/>
                              <w:t>el</w:t>
                            </w:r>
                            <w:r>
                              <w:rPr>
                                <w:spacing w:val="-7"/>
                              </w:rPr>
                              <w:t> </w:t>
                            </w:r>
                            <w:r>
                              <w:rPr/>
                              <w:t>uso</w:t>
                            </w:r>
                            <w:r>
                              <w:rPr>
                                <w:spacing w:val="-5"/>
                              </w:rPr>
                              <w:t> </w:t>
                            </w:r>
                            <w:r>
                              <w:rPr/>
                              <w:t>del</w:t>
                            </w:r>
                            <w:r>
                              <w:rPr>
                                <w:spacing w:val="-2"/>
                              </w:rPr>
                              <w:t> </w:t>
                            </w:r>
                            <w:r>
                              <w:rPr/>
                              <w:t>Promedio</w:t>
                            </w:r>
                            <w:r>
                              <w:rPr>
                                <w:spacing w:val="-5"/>
                              </w:rPr>
                              <w:t> </w:t>
                            </w:r>
                            <w:r>
                              <w:rPr/>
                              <w:t>ponderado,</w:t>
                            </w:r>
                            <w:r>
                              <w:rPr>
                                <w:spacing w:val="-6"/>
                              </w:rPr>
                              <w:t> </w:t>
                            </w:r>
                            <w:r>
                              <w:rPr/>
                              <w:t>ya</w:t>
                            </w:r>
                            <w:r>
                              <w:rPr>
                                <w:spacing w:val="-7"/>
                              </w:rPr>
                              <w:t> </w:t>
                            </w:r>
                            <w:r>
                              <w:rPr/>
                              <w:t>se</w:t>
                            </w:r>
                            <w:r>
                              <w:rPr>
                                <w:spacing w:val="-7"/>
                              </w:rPr>
                              <w:t> </w:t>
                            </w:r>
                            <w:r>
                              <w:rPr/>
                              <w:t>cuenta</w:t>
                            </w:r>
                            <w:r>
                              <w:rPr>
                                <w:spacing w:val="-6"/>
                              </w:rPr>
                              <w:t> </w:t>
                            </w:r>
                            <w:r>
                              <w:rPr/>
                              <w:t>con</w:t>
                            </w:r>
                            <w:r>
                              <w:rPr>
                                <w:spacing w:val="-6"/>
                              </w:rPr>
                              <w:t> </w:t>
                            </w:r>
                            <w:r>
                              <w:rPr/>
                              <w:t>una</w:t>
                            </w:r>
                            <w:r>
                              <w:rPr>
                                <w:spacing w:val="-7"/>
                              </w:rPr>
                              <w:t> </w:t>
                            </w:r>
                            <w:r>
                              <w:rPr/>
                              <w:t>la política particular al respecto, incluidos en el Plan Contable para iniciar su ejecución, las políticas aprobadas son las siguientes:</w:t>
                            </w:r>
                          </w:p>
                          <w:p>
                            <w:pPr>
                              <w:spacing w:line="230" w:lineRule="auto" w:before="158"/>
                              <w:ind w:left="1519" w:right="102" w:firstLine="0"/>
                              <w:jc w:val="both"/>
                              <w:rPr>
                                <w:i/>
                                <w:sz w:val="23"/>
                              </w:rPr>
                            </w:pPr>
                            <w:r>
                              <w:rPr>
                                <w:b/>
                                <w:i/>
                                <w:spacing w:val="-4"/>
                                <w:sz w:val="23"/>
                              </w:rPr>
                              <w:t>INV06</w:t>
                            </w:r>
                            <w:r>
                              <w:rPr>
                                <w:i/>
                                <w:spacing w:val="-4"/>
                                <w:sz w:val="23"/>
                              </w:rPr>
                              <w:t>:</w:t>
                            </w:r>
                            <w:r>
                              <w:rPr>
                                <w:i/>
                                <w:spacing w:val="30"/>
                                <w:sz w:val="23"/>
                              </w:rPr>
                              <w:t> </w:t>
                            </w:r>
                            <w:r>
                              <w:rPr>
                                <w:i/>
                                <w:spacing w:val="-4"/>
                                <w:sz w:val="23"/>
                              </w:rPr>
                              <w:t>El</w:t>
                            </w:r>
                            <w:r>
                              <w:rPr>
                                <w:i/>
                                <w:spacing w:val="-10"/>
                                <w:sz w:val="23"/>
                              </w:rPr>
                              <w:t> </w:t>
                            </w:r>
                            <w:r>
                              <w:rPr>
                                <w:i/>
                                <w:spacing w:val="-4"/>
                                <w:sz w:val="23"/>
                              </w:rPr>
                              <w:t>costo</w:t>
                            </w:r>
                            <w:r>
                              <w:rPr>
                                <w:i/>
                                <w:spacing w:val="-11"/>
                                <w:sz w:val="23"/>
                              </w:rPr>
                              <w:t> </w:t>
                            </w:r>
                            <w:r>
                              <w:rPr>
                                <w:i/>
                                <w:spacing w:val="-4"/>
                                <w:sz w:val="23"/>
                              </w:rPr>
                              <w:t>de</w:t>
                            </w:r>
                            <w:r>
                              <w:rPr>
                                <w:i/>
                                <w:spacing w:val="-10"/>
                                <w:sz w:val="23"/>
                              </w:rPr>
                              <w:t> </w:t>
                            </w:r>
                            <w:r>
                              <w:rPr>
                                <w:i/>
                                <w:spacing w:val="-4"/>
                                <w:sz w:val="23"/>
                              </w:rPr>
                              <w:t>los</w:t>
                            </w:r>
                            <w:r>
                              <w:rPr>
                                <w:i/>
                                <w:spacing w:val="-8"/>
                                <w:sz w:val="23"/>
                              </w:rPr>
                              <w:t> </w:t>
                            </w:r>
                            <w:r>
                              <w:rPr>
                                <w:i/>
                                <w:spacing w:val="-4"/>
                                <w:sz w:val="23"/>
                              </w:rPr>
                              <w:t>inventarios</w:t>
                            </w:r>
                            <w:r>
                              <w:rPr>
                                <w:i/>
                                <w:spacing w:val="-10"/>
                                <w:sz w:val="23"/>
                              </w:rPr>
                              <w:t> </w:t>
                            </w:r>
                            <w:r>
                              <w:rPr>
                                <w:i/>
                                <w:spacing w:val="-4"/>
                                <w:sz w:val="23"/>
                              </w:rPr>
                              <w:t>del</w:t>
                            </w:r>
                            <w:r>
                              <w:rPr>
                                <w:i/>
                                <w:spacing w:val="-10"/>
                                <w:sz w:val="23"/>
                              </w:rPr>
                              <w:t> </w:t>
                            </w:r>
                            <w:r>
                              <w:rPr>
                                <w:i/>
                                <w:spacing w:val="-4"/>
                                <w:sz w:val="23"/>
                              </w:rPr>
                              <w:t>IMAS</w:t>
                            </w:r>
                            <w:r>
                              <w:rPr>
                                <w:i/>
                                <w:spacing w:val="-10"/>
                                <w:sz w:val="23"/>
                              </w:rPr>
                              <w:t> </w:t>
                            </w:r>
                            <w:r>
                              <w:rPr>
                                <w:i/>
                                <w:spacing w:val="-4"/>
                                <w:sz w:val="23"/>
                              </w:rPr>
                              <w:t>se</w:t>
                            </w:r>
                            <w:r>
                              <w:rPr>
                                <w:i/>
                                <w:spacing w:val="-11"/>
                                <w:sz w:val="23"/>
                              </w:rPr>
                              <w:t> </w:t>
                            </w:r>
                            <w:r>
                              <w:rPr>
                                <w:i/>
                                <w:spacing w:val="-4"/>
                                <w:sz w:val="23"/>
                              </w:rPr>
                              <w:t>asignarán</w:t>
                            </w:r>
                            <w:r>
                              <w:rPr>
                                <w:i/>
                                <w:spacing w:val="-9"/>
                                <w:sz w:val="23"/>
                              </w:rPr>
                              <w:t> </w:t>
                            </w:r>
                            <w:r>
                              <w:rPr>
                                <w:i/>
                                <w:spacing w:val="-4"/>
                                <w:sz w:val="23"/>
                              </w:rPr>
                              <w:t>utilizando</w:t>
                            </w:r>
                            <w:r>
                              <w:rPr>
                                <w:i/>
                                <w:spacing w:val="-11"/>
                                <w:sz w:val="23"/>
                              </w:rPr>
                              <w:t> </w:t>
                            </w:r>
                            <w:r>
                              <w:rPr>
                                <w:i/>
                                <w:spacing w:val="-4"/>
                                <w:sz w:val="23"/>
                              </w:rPr>
                              <w:t>el</w:t>
                            </w:r>
                            <w:r>
                              <w:rPr>
                                <w:i/>
                                <w:spacing w:val="-10"/>
                                <w:sz w:val="23"/>
                              </w:rPr>
                              <w:t> </w:t>
                            </w:r>
                            <w:r>
                              <w:rPr>
                                <w:i/>
                                <w:spacing w:val="-4"/>
                                <w:sz w:val="23"/>
                              </w:rPr>
                              <w:t>método</w:t>
                            </w:r>
                            <w:r>
                              <w:rPr>
                                <w:i/>
                                <w:spacing w:val="-8"/>
                                <w:sz w:val="23"/>
                              </w:rPr>
                              <w:t> </w:t>
                            </w:r>
                            <w:r>
                              <w:rPr>
                                <w:i/>
                                <w:spacing w:val="-4"/>
                                <w:sz w:val="23"/>
                              </w:rPr>
                              <w:t>costo </w:t>
                            </w:r>
                            <w:r>
                              <w:rPr>
                                <w:i/>
                                <w:sz w:val="23"/>
                              </w:rPr>
                              <w:t>promedio ponderado.</w:t>
                            </w:r>
                          </w:p>
                          <w:p>
                            <w:pPr>
                              <w:spacing w:line="230" w:lineRule="auto" w:before="159"/>
                              <w:ind w:left="1519" w:right="104" w:firstLine="0"/>
                              <w:jc w:val="both"/>
                              <w:rPr>
                                <w:i/>
                                <w:sz w:val="23"/>
                              </w:rPr>
                            </w:pPr>
                            <w:r>
                              <w:rPr>
                                <w:b/>
                                <w:i/>
                                <w:spacing w:val="-2"/>
                                <w:sz w:val="23"/>
                              </w:rPr>
                              <w:t>INV07</w:t>
                            </w:r>
                            <w:r>
                              <w:rPr>
                                <w:i/>
                                <w:spacing w:val="-2"/>
                                <w:sz w:val="23"/>
                              </w:rPr>
                              <w:t>:</w:t>
                            </w:r>
                            <w:r>
                              <w:rPr>
                                <w:i/>
                                <w:spacing w:val="-10"/>
                                <w:sz w:val="23"/>
                              </w:rPr>
                              <w:t> </w:t>
                            </w:r>
                            <w:r>
                              <w:rPr>
                                <w:i/>
                                <w:spacing w:val="-2"/>
                                <w:sz w:val="23"/>
                              </w:rPr>
                              <w:t>Al</w:t>
                            </w:r>
                            <w:r>
                              <w:rPr>
                                <w:i/>
                                <w:spacing w:val="-6"/>
                                <w:sz w:val="23"/>
                              </w:rPr>
                              <w:t> </w:t>
                            </w:r>
                            <w:r>
                              <w:rPr>
                                <w:i/>
                                <w:spacing w:val="-2"/>
                                <w:sz w:val="23"/>
                              </w:rPr>
                              <w:t>utilizar</w:t>
                            </w:r>
                            <w:r>
                              <w:rPr>
                                <w:i/>
                                <w:spacing w:val="-6"/>
                                <w:sz w:val="23"/>
                              </w:rPr>
                              <w:t> </w:t>
                            </w:r>
                            <w:r>
                              <w:rPr>
                                <w:i/>
                                <w:spacing w:val="-2"/>
                                <w:sz w:val="23"/>
                              </w:rPr>
                              <w:t>el</w:t>
                            </w:r>
                            <w:r>
                              <w:rPr>
                                <w:i/>
                                <w:spacing w:val="-9"/>
                                <w:sz w:val="23"/>
                              </w:rPr>
                              <w:t> </w:t>
                            </w:r>
                            <w:r>
                              <w:rPr>
                                <w:i/>
                                <w:spacing w:val="-2"/>
                                <w:sz w:val="23"/>
                              </w:rPr>
                              <w:t>método</w:t>
                            </w:r>
                            <w:r>
                              <w:rPr>
                                <w:i/>
                                <w:spacing w:val="-6"/>
                                <w:sz w:val="23"/>
                              </w:rPr>
                              <w:t> </w:t>
                            </w:r>
                            <w:r>
                              <w:rPr>
                                <w:i/>
                                <w:spacing w:val="-2"/>
                                <w:sz w:val="23"/>
                              </w:rPr>
                              <w:t>o</w:t>
                            </w:r>
                            <w:r>
                              <w:rPr>
                                <w:i/>
                                <w:spacing w:val="-8"/>
                                <w:sz w:val="23"/>
                              </w:rPr>
                              <w:t> </w:t>
                            </w:r>
                            <w:r>
                              <w:rPr>
                                <w:i/>
                                <w:spacing w:val="-2"/>
                                <w:sz w:val="23"/>
                              </w:rPr>
                              <w:t>fórmula</w:t>
                            </w:r>
                            <w:r>
                              <w:rPr>
                                <w:i/>
                                <w:spacing w:val="-7"/>
                                <w:sz w:val="23"/>
                              </w:rPr>
                              <w:t> </w:t>
                            </w:r>
                            <w:r>
                              <w:rPr>
                                <w:i/>
                                <w:spacing w:val="-2"/>
                                <w:sz w:val="23"/>
                              </w:rPr>
                              <w:t>del</w:t>
                            </w:r>
                            <w:r>
                              <w:rPr>
                                <w:i/>
                                <w:spacing w:val="-7"/>
                                <w:sz w:val="23"/>
                              </w:rPr>
                              <w:t> </w:t>
                            </w:r>
                            <w:r>
                              <w:rPr>
                                <w:i/>
                                <w:spacing w:val="-2"/>
                                <w:sz w:val="23"/>
                              </w:rPr>
                              <w:t>costo</w:t>
                            </w:r>
                            <w:r>
                              <w:rPr>
                                <w:i/>
                                <w:spacing w:val="-7"/>
                                <w:sz w:val="23"/>
                              </w:rPr>
                              <w:t> </w:t>
                            </w:r>
                            <w:r>
                              <w:rPr>
                                <w:i/>
                                <w:spacing w:val="-2"/>
                                <w:sz w:val="23"/>
                              </w:rPr>
                              <w:t>promedio</w:t>
                            </w:r>
                            <w:r>
                              <w:rPr>
                                <w:i/>
                                <w:spacing w:val="-6"/>
                                <w:sz w:val="23"/>
                              </w:rPr>
                              <w:t> </w:t>
                            </w:r>
                            <w:r>
                              <w:rPr>
                                <w:i/>
                                <w:spacing w:val="-2"/>
                                <w:sz w:val="23"/>
                              </w:rPr>
                              <w:t>ponderado,</w:t>
                            </w:r>
                            <w:r>
                              <w:rPr>
                                <w:i/>
                                <w:spacing w:val="-6"/>
                                <w:sz w:val="23"/>
                              </w:rPr>
                              <w:t> </w:t>
                            </w:r>
                            <w:r>
                              <w:rPr>
                                <w:i/>
                                <w:spacing w:val="-2"/>
                                <w:sz w:val="23"/>
                              </w:rPr>
                              <w:t>el</w:t>
                            </w:r>
                            <w:r>
                              <w:rPr>
                                <w:i/>
                                <w:spacing w:val="-7"/>
                                <w:sz w:val="23"/>
                              </w:rPr>
                              <w:t> </w:t>
                            </w:r>
                            <w:r>
                              <w:rPr>
                                <w:i/>
                                <w:spacing w:val="-2"/>
                                <w:sz w:val="23"/>
                              </w:rPr>
                              <w:t>costo</w:t>
                            </w:r>
                            <w:r>
                              <w:rPr>
                                <w:i/>
                                <w:spacing w:val="-6"/>
                                <w:sz w:val="23"/>
                              </w:rPr>
                              <w:t> </w:t>
                            </w:r>
                            <w:r>
                              <w:rPr>
                                <w:i/>
                                <w:spacing w:val="-2"/>
                                <w:sz w:val="23"/>
                              </w:rPr>
                              <w:t>de </w:t>
                            </w:r>
                            <w:r>
                              <w:rPr>
                                <w:i/>
                                <w:sz w:val="23"/>
                              </w:rPr>
                              <w:t>cada</w:t>
                            </w:r>
                            <w:r>
                              <w:rPr>
                                <w:i/>
                                <w:spacing w:val="-15"/>
                                <w:sz w:val="23"/>
                              </w:rPr>
                              <w:t> </w:t>
                            </w:r>
                            <w:r>
                              <w:rPr>
                                <w:i/>
                                <w:sz w:val="23"/>
                              </w:rPr>
                              <w:t>partida</w:t>
                            </w:r>
                            <w:r>
                              <w:rPr>
                                <w:i/>
                                <w:spacing w:val="-14"/>
                                <w:sz w:val="23"/>
                              </w:rPr>
                              <w:t> </w:t>
                            </w:r>
                            <w:r>
                              <w:rPr>
                                <w:i/>
                                <w:sz w:val="23"/>
                              </w:rPr>
                              <w:t>se</w:t>
                            </w:r>
                            <w:r>
                              <w:rPr>
                                <w:i/>
                                <w:spacing w:val="-14"/>
                                <w:sz w:val="23"/>
                              </w:rPr>
                              <w:t> </w:t>
                            </w:r>
                            <w:r>
                              <w:rPr>
                                <w:i/>
                                <w:sz w:val="23"/>
                              </w:rPr>
                              <w:t>determinará</w:t>
                            </w:r>
                            <w:r>
                              <w:rPr>
                                <w:i/>
                                <w:spacing w:val="-14"/>
                                <w:sz w:val="23"/>
                              </w:rPr>
                              <w:t> </w:t>
                            </w:r>
                            <w:r>
                              <w:rPr>
                                <w:i/>
                                <w:sz w:val="23"/>
                              </w:rPr>
                              <w:t>a</w:t>
                            </w:r>
                            <w:r>
                              <w:rPr>
                                <w:i/>
                                <w:spacing w:val="-14"/>
                                <w:sz w:val="23"/>
                              </w:rPr>
                              <w:t> </w:t>
                            </w:r>
                            <w:r>
                              <w:rPr>
                                <w:i/>
                                <w:sz w:val="23"/>
                              </w:rPr>
                              <w:t>partir</w:t>
                            </w:r>
                            <w:r>
                              <w:rPr>
                                <w:i/>
                                <w:spacing w:val="-14"/>
                                <w:sz w:val="23"/>
                              </w:rPr>
                              <w:t> </w:t>
                            </w:r>
                            <w:r>
                              <w:rPr>
                                <w:i/>
                                <w:sz w:val="23"/>
                              </w:rPr>
                              <w:t>del</w:t>
                            </w:r>
                            <w:r>
                              <w:rPr>
                                <w:i/>
                                <w:spacing w:val="-14"/>
                                <w:sz w:val="23"/>
                              </w:rPr>
                              <w:t> </w:t>
                            </w:r>
                            <w:r>
                              <w:rPr>
                                <w:i/>
                                <w:sz w:val="23"/>
                              </w:rPr>
                              <w:t>promedio</w:t>
                            </w:r>
                            <w:r>
                              <w:rPr>
                                <w:i/>
                                <w:spacing w:val="-13"/>
                                <w:sz w:val="23"/>
                              </w:rPr>
                              <w:t> </w:t>
                            </w:r>
                            <w:r>
                              <w:rPr>
                                <w:i/>
                                <w:sz w:val="23"/>
                              </w:rPr>
                              <w:t>ponderado</w:t>
                            </w:r>
                            <w:r>
                              <w:rPr>
                                <w:i/>
                                <w:spacing w:val="-14"/>
                                <w:sz w:val="23"/>
                              </w:rPr>
                              <w:t> </w:t>
                            </w:r>
                            <w:r>
                              <w:rPr>
                                <w:i/>
                                <w:sz w:val="23"/>
                              </w:rPr>
                              <w:t>del</w:t>
                            </w:r>
                            <w:r>
                              <w:rPr>
                                <w:i/>
                                <w:spacing w:val="-14"/>
                                <w:sz w:val="23"/>
                              </w:rPr>
                              <w:t> </w:t>
                            </w:r>
                            <w:r>
                              <w:rPr>
                                <w:i/>
                                <w:sz w:val="23"/>
                              </w:rPr>
                              <w:t>costo</w:t>
                            </w:r>
                            <w:r>
                              <w:rPr>
                                <w:i/>
                                <w:spacing w:val="-13"/>
                                <w:sz w:val="23"/>
                              </w:rPr>
                              <w:t> </w:t>
                            </w:r>
                            <w:r>
                              <w:rPr>
                                <w:i/>
                                <w:sz w:val="23"/>
                              </w:rPr>
                              <w:t>de</w:t>
                            </w:r>
                            <w:r>
                              <w:rPr>
                                <w:i/>
                                <w:spacing w:val="-15"/>
                                <w:sz w:val="23"/>
                              </w:rPr>
                              <w:t> </w:t>
                            </w:r>
                            <w:r>
                              <w:rPr>
                                <w:i/>
                                <w:sz w:val="23"/>
                              </w:rPr>
                              <w:t>partidas </w:t>
                            </w:r>
                            <w:r>
                              <w:rPr>
                                <w:i/>
                                <w:spacing w:val="-6"/>
                                <w:sz w:val="23"/>
                              </w:rPr>
                              <w:t>similares al principio del periodo, y del costo de partidas similares compradas durante el periodo. El promedio se calcula automáticamente en el sistema respectivo, después </w:t>
                            </w:r>
                            <w:r>
                              <w:rPr>
                                <w:i/>
                                <w:sz w:val="23"/>
                              </w:rPr>
                              <w:t>de registrar cada adquisición.</w:t>
                            </w:r>
                          </w:p>
                          <w:p>
                            <w:pPr>
                              <w:spacing w:line="230" w:lineRule="auto" w:before="155"/>
                              <w:ind w:left="1519" w:right="103" w:firstLine="0"/>
                              <w:jc w:val="both"/>
                              <w:rPr>
                                <w:i/>
                                <w:sz w:val="23"/>
                              </w:rPr>
                            </w:pPr>
                            <w:r>
                              <w:rPr>
                                <w:b/>
                                <w:i/>
                                <w:sz w:val="23"/>
                              </w:rPr>
                              <w:t>INV08</w:t>
                            </w:r>
                            <w:r>
                              <w:rPr>
                                <w:i/>
                                <w:sz w:val="23"/>
                              </w:rPr>
                              <w:t>: El IMAS aplicará al costo de sus diferentes inventarios el método de promedio</w:t>
                            </w:r>
                            <w:r>
                              <w:rPr>
                                <w:i/>
                                <w:spacing w:val="-15"/>
                                <w:sz w:val="23"/>
                              </w:rPr>
                              <w:t> </w:t>
                            </w:r>
                            <w:r>
                              <w:rPr>
                                <w:i/>
                                <w:sz w:val="23"/>
                              </w:rPr>
                              <w:t>ponderado</w:t>
                            </w:r>
                            <w:r>
                              <w:rPr>
                                <w:i/>
                                <w:spacing w:val="-14"/>
                                <w:sz w:val="23"/>
                              </w:rPr>
                              <w:t> </w:t>
                            </w:r>
                            <w:r>
                              <w:rPr>
                                <w:i/>
                                <w:sz w:val="23"/>
                              </w:rPr>
                              <w:t>de</w:t>
                            </w:r>
                            <w:r>
                              <w:rPr>
                                <w:i/>
                                <w:spacing w:val="-15"/>
                                <w:sz w:val="23"/>
                              </w:rPr>
                              <w:t> </w:t>
                            </w:r>
                            <w:r>
                              <w:rPr>
                                <w:i/>
                                <w:sz w:val="23"/>
                              </w:rPr>
                              <w:t>conformidad</w:t>
                            </w:r>
                            <w:r>
                              <w:rPr>
                                <w:i/>
                                <w:spacing w:val="-14"/>
                                <w:sz w:val="23"/>
                              </w:rPr>
                              <w:t> </w:t>
                            </w:r>
                            <w:r>
                              <w:rPr>
                                <w:i/>
                                <w:sz w:val="23"/>
                              </w:rPr>
                              <w:t>de</w:t>
                            </w:r>
                            <w:r>
                              <w:rPr>
                                <w:i/>
                                <w:spacing w:val="-14"/>
                                <w:sz w:val="23"/>
                              </w:rPr>
                              <w:t> </w:t>
                            </w:r>
                            <w:r>
                              <w:rPr>
                                <w:i/>
                                <w:sz w:val="23"/>
                              </w:rPr>
                              <w:t>la</w:t>
                            </w:r>
                            <w:r>
                              <w:rPr>
                                <w:i/>
                                <w:spacing w:val="-15"/>
                                <w:sz w:val="23"/>
                              </w:rPr>
                              <w:t> </w:t>
                            </w:r>
                            <w:r>
                              <w:rPr>
                                <w:i/>
                                <w:sz w:val="23"/>
                              </w:rPr>
                              <w:t>autorización</w:t>
                            </w:r>
                            <w:r>
                              <w:rPr>
                                <w:i/>
                                <w:spacing w:val="-14"/>
                                <w:sz w:val="23"/>
                              </w:rPr>
                              <w:t> </w:t>
                            </w:r>
                            <w:r>
                              <w:rPr>
                                <w:i/>
                                <w:sz w:val="23"/>
                              </w:rPr>
                              <w:t>previa</w:t>
                            </w:r>
                            <w:r>
                              <w:rPr>
                                <w:i/>
                                <w:spacing w:val="-14"/>
                                <w:sz w:val="23"/>
                              </w:rPr>
                              <w:t> </w:t>
                            </w:r>
                            <w:r>
                              <w:rPr>
                                <w:i/>
                                <w:sz w:val="23"/>
                              </w:rPr>
                              <w:t>de</w:t>
                            </w:r>
                            <w:r>
                              <w:rPr>
                                <w:i/>
                                <w:spacing w:val="-15"/>
                                <w:sz w:val="23"/>
                              </w:rPr>
                              <w:t> </w:t>
                            </w:r>
                            <w:r>
                              <w:rPr>
                                <w:i/>
                                <w:sz w:val="23"/>
                              </w:rPr>
                              <w:t>la</w:t>
                            </w:r>
                            <w:r>
                              <w:rPr>
                                <w:i/>
                                <w:spacing w:val="-14"/>
                                <w:sz w:val="23"/>
                              </w:rPr>
                              <w:t> </w:t>
                            </w:r>
                            <w:r>
                              <w:rPr>
                                <w:i/>
                                <w:sz w:val="23"/>
                              </w:rPr>
                              <w:t>Contabilidad </w:t>
                            </w:r>
                            <w:r>
                              <w:rPr>
                                <w:i/>
                                <w:spacing w:val="-4"/>
                                <w:sz w:val="23"/>
                              </w:rPr>
                              <w:t>Nacional,</w:t>
                            </w:r>
                            <w:r>
                              <w:rPr>
                                <w:i/>
                                <w:spacing w:val="-11"/>
                                <w:sz w:val="23"/>
                              </w:rPr>
                              <w:t> </w:t>
                            </w:r>
                            <w:r>
                              <w:rPr>
                                <w:i/>
                                <w:spacing w:val="-4"/>
                                <w:sz w:val="23"/>
                              </w:rPr>
                              <w:t>otorgada</w:t>
                            </w:r>
                            <w:r>
                              <w:rPr>
                                <w:i/>
                                <w:spacing w:val="-10"/>
                                <w:sz w:val="23"/>
                              </w:rPr>
                              <w:t> </w:t>
                            </w:r>
                            <w:r>
                              <w:rPr>
                                <w:i/>
                                <w:spacing w:val="-4"/>
                                <w:sz w:val="23"/>
                              </w:rPr>
                              <w:t>mediante</w:t>
                            </w:r>
                            <w:r>
                              <w:rPr>
                                <w:i/>
                                <w:spacing w:val="-11"/>
                                <w:sz w:val="23"/>
                              </w:rPr>
                              <w:t> </w:t>
                            </w:r>
                            <w:r>
                              <w:rPr>
                                <w:i/>
                                <w:spacing w:val="-4"/>
                                <w:sz w:val="23"/>
                              </w:rPr>
                              <w:t>oficio</w:t>
                            </w:r>
                            <w:r>
                              <w:rPr>
                                <w:i/>
                                <w:spacing w:val="-10"/>
                                <w:sz w:val="23"/>
                              </w:rPr>
                              <w:t> </w:t>
                            </w:r>
                            <w:r>
                              <w:rPr>
                                <w:i/>
                                <w:spacing w:val="-4"/>
                                <w:sz w:val="23"/>
                              </w:rPr>
                              <w:t>MH-DGCN-DIR-OF-0388-2023</w:t>
                            </w:r>
                            <w:r>
                              <w:rPr>
                                <w:i/>
                                <w:spacing w:val="-10"/>
                                <w:sz w:val="23"/>
                              </w:rPr>
                              <w:t> </w:t>
                            </w:r>
                            <w:r>
                              <w:rPr>
                                <w:i/>
                                <w:spacing w:val="-4"/>
                                <w:sz w:val="23"/>
                              </w:rPr>
                              <w:t>del</w:t>
                            </w:r>
                            <w:r>
                              <w:rPr>
                                <w:i/>
                                <w:spacing w:val="-11"/>
                                <w:sz w:val="23"/>
                              </w:rPr>
                              <w:t> </w:t>
                            </w:r>
                            <w:r>
                              <w:rPr>
                                <w:i/>
                                <w:spacing w:val="-4"/>
                                <w:sz w:val="23"/>
                              </w:rPr>
                              <w:t>25</w:t>
                            </w:r>
                            <w:r>
                              <w:rPr>
                                <w:i/>
                                <w:spacing w:val="-10"/>
                                <w:sz w:val="23"/>
                              </w:rPr>
                              <w:t> </w:t>
                            </w:r>
                            <w:r>
                              <w:rPr>
                                <w:i/>
                                <w:spacing w:val="-4"/>
                                <w:sz w:val="23"/>
                              </w:rPr>
                              <w:t>de</w:t>
                            </w:r>
                            <w:r>
                              <w:rPr>
                                <w:i/>
                                <w:spacing w:val="-10"/>
                                <w:sz w:val="23"/>
                              </w:rPr>
                              <w:t> </w:t>
                            </w:r>
                            <w:r>
                              <w:rPr>
                                <w:i/>
                                <w:spacing w:val="-4"/>
                                <w:sz w:val="23"/>
                              </w:rPr>
                              <w:t>mayo </w:t>
                            </w:r>
                            <w:r>
                              <w:rPr>
                                <w:i/>
                                <w:sz w:val="23"/>
                              </w:rPr>
                              <w:t>del 2023.</w:t>
                            </w:r>
                          </w:p>
                        </w:txbxContent>
                      </wps:txbx>
                      <wps:bodyPr wrap="square" lIns="0" tIns="0" rIns="0" bIns="0" rtlCol="0">
                        <a:noAutofit/>
                      </wps:bodyPr>
                    </wps:wsp>
                  </a:graphicData>
                </a:graphic>
              </wp:anchor>
            </w:drawing>
          </mc:Choice>
          <mc:Fallback>
            <w:pict>
              <v:shape style="position:absolute;margin-left:85.103996pt;margin-top:9.30937pt;width:450pt;height:233.3pt;mso-position-horizontal-relative:page;mso-position-vertical-relative:paragraph;z-index:-15689216;mso-wrap-distance-left:0;mso-wrap-distance-right:0" type="#_x0000_t202" id="docshape249" filled="false" stroked="true" strokeweight=".47998pt" strokecolor="#000000">
                <v:textbox inset="0,0,0,0">
                  <w:txbxContent>
                    <w:p>
                      <w:pPr>
                        <w:pStyle w:val="BodyText"/>
                        <w:ind w:left="103" w:right="96"/>
                        <w:jc w:val="both"/>
                      </w:pPr>
                      <w:r>
                        <w:rPr/>
                        <w:t>El</w:t>
                      </w:r>
                      <w:r>
                        <w:rPr>
                          <w:spacing w:val="-10"/>
                        </w:rPr>
                        <w:t> </w:t>
                      </w:r>
                      <w:r>
                        <w:rPr/>
                        <w:t>método</w:t>
                      </w:r>
                      <w:r>
                        <w:rPr>
                          <w:spacing w:val="-9"/>
                        </w:rPr>
                        <w:t> </w:t>
                      </w:r>
                      <w:r>
                        <w:rPr/>
                        <w:t>de</w:t>
                      </w:r>
                      <w:r>
                        <w:rPr>
                          <w:spacing w:val="-11"/>
                        </w:rPr>
                        <w:t> </w:t>
                      </w:r>
                      <w:r>
                        <w:rPr/>
                        <w:t>valuación</w:t>
                      </w:r>
                      <w:r>
                        <w:rPr>
                          <w:spacing w:val="-9"/>
                        </w:rPr>
                        <w:t> </w:t>
                      </w:r>
                      <w:r>
                        <w:rPr/>
                        <w:t>del</w:t>
                      </w:r>
                      <w:r>
                        <w:rPr>
                          <w:spacing w:val="-10"/>
                        </w:rPr>
                        <w:t> </w:t>
                      </w:r>
                      <w:r>
                        <w:rPr/>
                        <w:t>inventario</w:t>
                      </w:r>
                      <w:r>
                        <w:rPr>
                          <w:spacing w:val="-9"/>
                        </w:rPr>
                        <w:t> </w:t>
                      </w:r>
                      <w:r>
                        <w:rPr/>
                        <w:t>al</w:t>
                      </w:r>
                      <w:r>
                        <w:rPr>
                          <w:spacing w:val="-10"/>
                        </w:rPr>
                        <w:t> </w:t>
                      </w:r>
                      <w:r>
                        <w:rPr/>
                        <w:t>cierre</w:t>
                      </w:r>
                      <w:r>
                        <w:rPr>
                          <w:spacing w:val="-11"/>
                        </w:rPr>
                        <w:t> </w:t>
                      </w:r>
                      <w:r>
                        <w:rPr/>
                        <w:t>del</w:t>
                      </w:r>
                      <w:r>
                        <w:rPr>
                          <w:spacing w:val="-10"/>
                        </w:rPr>
                        <w:t> </w:t>
                      </w:r>
                      <w:r>
                        <w:rPr/>
                        <w:t>periodo</w:t>
                      </w:r>
                      <w:r>
                        <w:rPr>
                          <w:spacing w:val="-9"/>
                        </w:rPr>
                        <w:t> </w:t>
                      </w:r>
                      <w:r>
                        <w:rPr/>
                        <w:t>es</w:t>
                      </w:r>
                      <w:r>
                        <w:rPr>
                          <w:spacing w:val="-9"/>
                        </w:rPr>
                        <w:t> </w:t>
                      </w:r>
                      <w:r>
                        <w:rPr/>
                        <w:t>por</w:t>
                      </w:r>
                      <w:r>
                        <w:rPr>
                          <w:spacing w:val="-10"/>
                        </w:rPr>
                        <w:t> </w:t>
                      </w:r>
                      <w:r>
                        <w:rPr/>
                        <w:t>el</w:t>
                      </w:r>
                      <w:r>
                        <w:rPr>
                          <w:spacing w:val="-10"/>
                        </w:rPr>
                        <w:t> </w:t>
                      </w:r>
                      <w:r>
                        <w:rPr/>
                        <w:t>Método</w:t>
                      </w:r>
                      <w:r>
                        <w:rPr>
                          <w:spacing w:val="-9"/>
                        </w:rPr>
                        <w:t> </w:t>
                      </w:r>
                      <w:r>
                        <w:rPr/>
                        <w:t>de</w:t>
                      </w:r>
                      <w:r>
                        <w:rPr>
                          <w:spacing w:val="-11"/>
                        </w:rPr>
                        <w:t> </w:t>
                      </w:r>
                      <w:r>
                        <w:rPr/>
                        <w:t>Promedio</w:t>
                      </w:r>
                      <w:r>
                        <w:rPr>
                          <w:spacing w:val="-9"/>
                        </w:rPr>
                        <w:t> </w:t>
                      </w:r>
                      <w:r>
                        <w:rPr/>
                        <w:t>Ponderado (PP). Se cuenta con autorización de la Dirección General de Contabilidad oficio MH-DGCN-DIR-OF-0388-2023</w:t>
                      </w:r>
                      <w:r>
                        <w:rPr>
                          <w:spacing w:val="-7"/>
                        </w:rPr>
                        <w:t> </w:t>
                      </w:r>
                      <w:r>
                        <w:rPr/>
                        <w:t>del</w:t>
                      </w:r>
                      <w:r>
                        <w:rPr>
                          <w:spacing w:val="-7"/>
                        </w:rPr>
                        <w:t> </w:t>
                      </w:r>
                      <w:r>
                        <w:rPr/>
                        <w:t>25</w:t>
                      </w:r>
                      <w:r>
                        <w:rPr>
                          <w:spacing w:val="-5"/>
                        </w:rPr>
                        <w:t> </w:t>
                      </w:r>
                      <w:r>
                        <w:rPr/>
                        <w:t>de</w:t>
                      </w:r>
                      <w:r>
                        <w:rPr>
                          <w:spacing w:val="-6"/>
                        </w:rPr>
                        <w:t> </w:t>
                      </w:r>
                      <w:r>
                        <w:rPr/>
                        <w:t>mayo</w:t>
                      </w:r>
                      <w:r>
                        <w:rPr>
                          <w:spacing w:val="-5"/>
                        </w:rPr>
                        <w:t> </w:t>
                      </w:r>
                      <w:r>
                        <w:rPr/>
                        <w:t>del</w:t>
                      </w:r>
                      <w:r>
                        <w:rPr>
                          <w:spacing w:val="-7"/>
                        </w:rPr>
                        <w:t> </w:t>
                      </w:r>
                      <w:r>
                        <w:rPr/>
                        <w:t>2023</w:t>
                      </w:r>
                      <w:r>
                        <w:rPr>
                          <w:spacing w:val="-5"/>
                        </w:rPr>
                        <w:t> </w:t>
                      </w:r>
                      <w:r>
                        <w:rPr/>
                        <w:t>para</w:t>
                      </w:r>
                      <w:r>
                        <w:rPr>
                          <w:spacing w:val="-4"/>
                        </w:rPr>
                        <w:t> </w:t>
                      </w:r>
                      <w:r>
                        <w:rPr/>
                        <w:t>el</w:t>
                      </w:r>
                      <w:r>
                        <w:rPr>
                          <w:spacing w:val="-7"/>
                        </w:rPr>
                        <w:t> </w:t>
                      </w:r>
                      <w:r>
                        <w:rPr/>
                        <w:t>uso</w:t>
                      </w:r>
                      <w:r>
                        <w:rPr>
                          <w:spacing w:val="-5"/>
                        </w:rPr>
                        <w:t> </w:t>
                      </w:r>
                      <w:r>
                        <w:rPr/>
                        <w:t>del</w:t>
                      </w:r>
                      <w:r>
                        <w:rPr>
                          <w:spacing w:val="-2"/>
                        </w:rPr>
                        <w:t> </w:t>
                      </w:r>
                      <w:r>
                        <w:rPr/>
                        <w:t>Promedio</w:t>
                      </w:r>
                      <w:r>
                        <w:rPr>
                          <w:spacing w:val="-5"/>
                        </w:rPr>
                        <w:t> </w:t>
                      </w:r>
                      <w:r>
                        <w:rPr/>
                        <w:t>ponderado,</w:t>
                      </w:r>
                      <w:r>
                        <w:rPr>
                          <w:spacing w:val="-6"/>
                        </w:rPr>
                        <w:t> </w:t>
                      </w:r>
                      <w:r>
                        <w:rPr/>
                        <w:t>ya</w:t>
                      </w:r>
                      <w:r>
                        <w:rPr>
                          <w:spacing w:val="-7"/>
                        </w:rPr>
                        <w:t> </w:t>
                      </w:r>
                      <w:r>
                        <w:rPr/>
                        <w:t>se</w:t>
                      </w:r>
                      <w:r>
                        <w:rPr>
                          <w:spacing w:val="-7"/>
                        </w:rPr>
                        <w:t> </w:t>
                      </w:r>
                      <w:r>
                        <w:rPr/>
                        <w:t>cuenta</w:t>
                      </w:r>
                      <w:r>
                        <w:rPr>
                          <w:spacing w:val="-6"/>
                        </w:rPr>
                        <w:t> </w:t>
                      </w:r>
                      <w:r>
                        <w:rPr/>
                        <w:t>con</w:t>
                      </w:r>
                      <w:r>
                        <w:rPr>
                          <w:spacing w:val="-6"/>
                        </w:rPr>
                        <w:t> </w:t>
                      </w:r>
                      <w:r>
                        <w:rPr/>
                        <w:t>una</w:t>
                      </w:r>
                      <w:r>
                        <w:rPr>
                          <w:spacing w:val="-7"/>
                        </w:rPr>
                        <w:t> </w:t>
                      </w:r>
                      <w:r>
                        <w:rPr/>
                        <w:t>la política particular al respecto, incluidos en el Plan Contable para iniciar su ejecución, las políticas aprobadas son las siguientes:</w:t>
                      </w:r>
                    </w:p>
                    <w:p>
                      <w:pPr>
                        <w:spacing w:line="230" w:lineRule="auto" w:before="158"/>
                        <w:ind w:left="1519" w:right="102" w:firstLine="0"/>
                        <w:jc w:val="both"/>
                        <w:rPr>
                          <w:i/>
                          <w:sz w:val="23"/>
                        </w:rPr>
                      </w:pPr>
                      <w:r>
                        <w:rPr>
                          <w:b/>
                          <w:i/>
                          <w:spacing w:val="-4"/>
                          <w:sz w:val="23"/>
                        </w:rPr>
                        <w:t>INV06</w:t>
                      </w:r>
                      <w:r>
                        <w:rPr>
                          <w:i/>
                          <w:spacing w:val="-4"/>
                          <w:sz w:val="23"/>
                        </w:rPr>
                        <w:t>:</w:t>
                      </w:r>
                      <w:r>
                        <w:rPr>
                          <w:i/>
                          <w:spacing w:val="30"/>
                          <w:sz w:val="23"/>
                        </w:rPr>
                        <w:t> </w:t>
                      </w:r>
                      <w:r>
                        <w:rPr>
                          <w:i/>
                          <w:spacing w:val="-4"/>
                          <w:sz w:val="23"/>
                        </w:rPr>
                        <w:t>El</w:t>
                      </w:r>
                      <w:r>
                        <w:rPr>
                          <w:i/>
                          <w:spacing w:val="-10"/>
                          <w:sz w:val="23"/>
                        </w:rPr>
                        <w:t> </w:t>
                      </w:r>
                      <w:r>
                        <w:rPr>
                          <w:i/>
                          <w:spacing w:val="-4"/>
                          <w:sz w:val="23"/>
                        </w:rPr>
                        <w:t>costo</w:t>
                      </w:r>
                      <w:r>
                        <w:rPr>
                          <w:i/>
                          <w:spacing w:val="-11"/>
                          <w:sz w:val="23"/>
                        </w:rPr>
                        <w:t> </w:t>
                      </w:r>
                      <w:r>
                        <w:rPr>
                          <w:i/>
                          <w:spacing w:val="-4"/>
                          <w:sz w:val="23"/>
                        </w:rPr>
                        <w:t>de</w:t>
                      </w:r>
                      <w:r>
                        <w:rPr>
                          <w:i/>
                          <w:spacing w:val="-10"/>
                          <w:sz w:val="23"/>
                        </w:rPr>
                        <w:t> </w:t>
                      </w:r>
                      <w:r>
                        <w:rPr>
                          <w:i/>
                          <w:spacing w:val="-4"/>
                          <w:sz w:val="23"/>
                        </w:rPr>
                        <w:t>los</w:t>
                      </w:r>
                      <w:r>
                        <w:rPr>
                          <w:i/>
                          <w:spacing w:val="-8"/>
                          <w:sz w:val="23"/>
                        </w:rPr>
                        <w:t> </w:t>
                      </w:r>
                      <w:r>
                        <w:rPr>
                          <w:i/>
                          <w:spacing w:val="-4"/>
                          <w:sz w:val="23"/>
                        </w:rPr>
                        <w:t>inventarios</w:t>
                      </w:r>
                      <w:r>
                        <w:rPr>
                          <w:i/>
                          <w:spacing w:val="-10"/>
                          <w:sz w:val="23"/>
                        </w:rPr>
                        <w:t> </w:t>
                      </w:r>
                      <w:r>
                        <w:rPr>
                          <w:i/>
                          <w:spacing w:val="-4"/>
                          <w:sz w:val="23"/>
                        </w:rPr>
                        <w:t>del</w:t>
                      </w:r>
                      <w:r>
                        <w:rPr>
                          <w:i/>
                          <w:spacing w:val="-10"/>
                          <w:sz w:val="23"/>
                        </w:rPr>
                        <w:t> </w:t>
                      </w:r>
                      <w:r>
                        <w:rPr>
                          <w:i/>
                          <w:spacing w:val="-4"/>
                          <w:sz w:val="23"/>
                        </w:rPr>
                        <w:t>IMAS</w:t>
                      </w:r>
                      <w:r>
                        <w:rPr>
                          <w:i/>
                          <w:spacing w:val="-10"/>
                          <w:sz w:val="23"/>
                        </w:rPr>
                        <w:t> </w:t>
                      </w:r>
                      <w:r>
                        <w:rPr>
                          <w:i/>
                          <w:spacing w:val="-4"/>
                          <w:sz w:val="23"/>
                        </w:rPr>
                        <w:t>se</w:t>
                      </w:r>
                      <w:r>
                        <w:rPr>
                          <w:i/>
                          <w:spacing w:val="-11"/>
                          <w:sz w:val="23"/>
                        </w:rPr>
                        <w:t> </w:t>
                      </w:r>
                      <w:r>
                        <w:rPr>
                          <w:i/>
                          <w:spacing w:val="-4"/>
                          <w:sz w:val="23"/>
                        </w:rPr>
                        <w:t>asignarán</w:t>
                      </w:r>
                      <w:r>
                        <w:rPr>
                          <w:i/>
                          <w:spacing w:val="-9"/>
                          <w:sz w:val="23"/>
                        </w:rPr>
                        <w:t> </w:t>
                      </w:r>
                      <w:r>
                        <w:rPr>
                          <w:i/>
                          <w:spacing w:val="-4"/>
                          <w:sz w:val="23"/>
                        </w:rPr>
                        <w:t>utilizando</w:t>
                      </w:r>
                      <w:r>
                        <w:rPr>
                          <w:i/>
                          <w:spacing w:val="-11"/>
                          <w:sz w:val="23"/>
                        </w:rPr>
                        <w:t> </w:t>
                      </w:r>
                      <w:r>
                        <w:rPr>
                          <w:i/>
                          <w:spacing w:val="-4"/>
                          <w:sz w:val="23"/>
                        </w:rPr>
                        <w:t>el</w:t>
                      </w:r>
                      <w:r>
                        <w:rPr>
                          <w:i/>
                          <w:spacing w:val="-10"/>
                          <w:sz w:val="23"/>
                        </w:rPr>
                        <w:t> </w:t>
                      </w:r>
                      <w:r>
                        <w:rPr>
                          <w:i/>
                          <w:spacing w:val="-4"/>
                          <w:sz w:val="23"/>
                        </w:rPr>
                        <w:t>método</w:t>
                      </w:r>
                      <w:r>
                        <w:rPr>
                          <w:i/>
                          <w:spacing w:val="-8"/>
                          <w:sz w:val="23"/>
                        </w:rPr>
                        <w:t> </w:t>
                      </w:r>
                      <w:r>
                        <w:rPr>
                          <w:i/>
                          <w:spacing w:val="-4"/>
                          <w:sz w:val="23"/>
                        </w:rPr>
                        <w:t>costo </w:t>
                      </w:r>
                      <w:r>
                        <w:rPr>
                          <w:i/>
                          <w:sz w:val="23"/>
                        </w:rPr>
                        <w:t>promedio ponderado.</w:t>
                      </w:r>
                    </w:p>
                    <w:p>
                      <w:pPr>
                        <w:spacing w:line="230" w:lineRule="auto" w:before="159"/>
                        <w:ind w:left="1519" w:right="104" w:firstLine="0"/>
                        <w:jc w:val="both"/>
                        <w:rPr>
                          <w:i/>
                          <w:sz w:val="23"/>
                        </w:rPr>
                      </w:pPr>
                      <w:r>
                        <w:rPr>
                          <w:b/>
                          <w:i/>
                          <w:spacing w:val="-2"/>
                          <w:sz w:val="23"/>
                        </w:rPr>
                        <w:t>INV07</w:t>
                      </w:r>
                      <w:r>
                        <w:rPr>
                          <w:i/>
                          <w:spacing w:val="-2"/>
                          <w:sz w:val="23"/>
                        </w:rPr>
                        <w:t>:</w:t>
                      </w:r>
                      <w:r>
                        <w:rPr>
                          <w:i/>
                          <w:spacing w:val="-10"/>
                          <w:sz w:val="23"/>
                        </w:rPr>
                        <w:t> </w:t>
                      </w:r>
                      <w:r>
                        <w:rPr>
                          <w:i/>
                          <w:spacing w:val="-2"/>
                          <w:sz w:val="23"/>
                        </w:rPr>
                        <w:t>Al</w:t>
                      </w:r>
                      <w:r>
                        <w:rPr>
                          <w:i/>
                          <w:spacing w:val="-6"/>
                          <w:sz w:val="23"/>
                        </w:rPr>
                        <w:t> </w:t>
                      </w:r>
                      <w:r>
                        <w:rPr>
                          <w:i/>
                          <w:spacing w:val="-2"/>
                          <w:sz w:val="23"/>
                        </w:rPr>
                        <w:t>utilizar</w:t>
                      </w:r>
                      <w:r>
                        <w:rPr>
                          <w:i/>
                          <w:spacing w:val="-6"/>
                          <w:sz w:val="23"/>
                        </w:rPr>
                        <w:t> </w:t>
                      </w:r>
                      <w:r>
                        <w:rPr>
                          <w:i/>
                          <w:spacing w:val="-2"/>
                          <w:sz w:val="23"/>
                        </w:rPr>
                        <w:t>el</w:t>
                      </w:r>
                      <w:r>
                        <w:rPr>
                          <w:i/>
                          <w:spacing w:val="-9"/>
                          <w:sz w:val="23"/>
                        </w:rPr>
                        <w:t> </w:t>
                      </w:r>
                      <w:r>
                        <w:rPr>
                          <w:i/>
                          <w:spacing w:val="-2"/>
                          <w:sz w:val="23"/>
                        </w:rPr>
                        <w:t>método</w:t>
                      </w:r>
                      <w:r>
                        <w:rPr>
                          <w:i/>
                          <w:spacing w:val="-6"/>
                          <w:sz w:val="23"/>
                        </w:rPr>
                        <w:t> </w:t>
                      </w:r>
                      <w:r>
                        <w:rPr>
                          <w:i/>
                          <w:spacing w:val="-2"/>
                          <w:sz w:val="23"/>
                        </w:rPr>
                        <w:t>o</w:t>
                      </w:r>
                      <w:r>
                        <w:rPr>
                          <w:i/>
                          <w:spacing w:val="-8"/>
                          <w:sz w:val="23"/>
                        </w:rPr>
                        <w:t> </w:t>
                      </w:r>
                      <w:r>
                        <w:rPr>
                          <w:i/>
                          <w:spacing w:val="-2"/>
                          <w:sz w:val="23"/>
                        </w:rPr>
                        <w:t>fórmula</w:t>
                      </w:r>
                      <w:r>
                        <w:rPr>
                          <w:i/>
                          <w:spacing w:val="-7"/>
                          <w:sz w:val="23"/>
                        </w:rPr>
                        <w:t> </w:t>
                      </w:r>
                      <w:r>
                        <w:rPr>
                          <w:i/>
                          <w:spacing w:val="-2"/>
                          <w:sz w:val="23"/>
                        </w:rPr>
                        <w:t>del</w:t>
                      </w:r>
                      <w:r>
                        <w:rPr>
                          <w:i/>
                          <w:spacing w:val="-7"/>
                          <w:sz w:val="23"/>
                        </w:rPr>
                        <w:t> </w:t>
                      </w:r>
                      <w:r>
                        <w:rPr>
                          <w:i/>
                          <w:spacing w:val="-2"/>
                          <w:sz w:val="23"/>
                        </w:rPr>
                        <w:t>costo</w:t>
                      </w:r>
                      <w:r>
                        <w:rPr>
                          <w:i/>
                          <w:spacing w:val="-7"/>
                          <w:sz w:val="23"/>
                        </w:rPr>
                        <w:t> </w:t>
                      </w:r>
                      <w:r>
                        <w:rPr>
                          <w:i/>
                          <w:spacing w:val="-2"/>
                          <w:sz w:val="23"/>
                        </w:rPr>
                        <w:t>promedio</w:t>
                      </w:r>
                      <w:r>
                        <w:rPr>
                          <w:i/>
                          <w:spacing w:val="-6"/>
                          <w:sz w:val="23"/>
                        </w:rPr>
                        <w:t> </w:t>
                      </w:r>
                      <w:r>
                        <w:rPr>
                          <w:i/>
                          <w:spacing w:val="-2"/>
                          <w:sz w:val="23"/>
                        </w:rPr>
                        <w:t>ponderado,</w:t>
                      </w:r>
                      <w:r>
                        <w:rPr>
                          <w:i/>
                          <w:spacing w:val="-6"/>
                          <w:sz w:val="23"/>
                        </w:rPr>
                        <w:t> </w:t>
                      </w:r>
                      <w:r>
                        <w:rPr>
                          <w:i/>
                          <w:spacing w:val="-2"/>
                          <w:sz w:val="23"/>
                        </w:rPr>
                        <w:t>el</w:t>
                      </w:r>
                      <w:r>
                        <w:rPr>
                          <w:i/>
                          <w:spacing w:val="-7"/>
                          <w:sz w:val="23"/>
                        </w:rPr>
                        <w:t> </w:t>
                      </w:r>
                      <w:r>
                        <w:rPr>
                          <w:i/>
                          <w:spacing w:val="-2"/>
                          <w:sz w:val="23"/>
                        </w:rPr>
                        <w:t>costo</w:t>
                      </w:r>
                      <w:r>
                        <w:rPr>
                          <w:i/>
                          <w:spacing w:val="-6"/>
                          <w:sz w:val="23"/>
                        </w:rPr>
                        <w:t> </w:t>
                      </w:r>
                      <w:r>
                        <w:rPr>
                          <w:i/>
                          <w:spacing w:val="-2"/>
                          <w:sz w:val="23"/>
                        </w:rPr>
                        <w:t>de </w:t>
                      </w:r>
                      <w:r>
                        <w:rPr>
                          <w:i/>
                          <w:sz w:val="23"/>
                        </w:rPr>
                        <w:t>cada</w:t>
                      </w:r>
                      <w:r>
                        <w:rPr>
                          <w:i/>
                          <w:spacing w:val="-15"/>
                          <w:sz w:val="23"/>
                        </w:rPr>
                        <w:t> </w:t>
                      </w:r>
                      <w:r>
                        <w:rPr>
                          <w:i/>
                          <w:sz w:val="23"/>
                        </w:rPr>
                        <w:t>partida</w:t>
                      </w:r>
                      <w:r>
                        <w:rPr>
                          <w:i/>
                          <w:spacing w:val="-14"/>
                          <w:sz w:val="23"/>
                        </w:rPr>
                        <w:t> </w:t>
                      </w:r>
                      <w:r>
                        <w:rPr>
                          <w:i/>
                          <w:sz w:val="23"/>
                        </w:rPr>
                        <w:t>se</w:t>
                      </w:r>
                      <w:r>
                        <w:rPr>
                          <w:i/>
                          <w:spacing w:val="-14"/>
                          <w:sz w:val="23"/>
                        </w:rPr>
                        <w:t> </w:t>
                      </w:r>
                      <w:r>
                        <w:rPr>
                          <w:i/>
                          <w:sz w:val="23"/>
                        </w:rPr>
                        <w:t>determinará</w:t>
                      </w:r>
                      <w:r>
                        <w:rPr>
                          <w:i/>
                          <w:spacing w:val="-14"/>
                          <w:sz w:val="23"/>
                        </w:rPr>
                        <w:t> </w:t>
                      </w:r>
                      <w:r>
                        <w:rPr>
                          <w:i/>
                          <w:sz w:val="23"/>
                        </w:rPr>
                        <w:t>a</w:t>
                      </w:r>
                      <w:r>
                        <w:rPr>
                          <w:i/>
                          <w:spacing w:val="-14"/>
                          <w:sz w:val="23"/>
                        </w:rPr>
                        <w:t> </w:t>
                      </w:r>
                      <w:r>
                        <w:rPr>
                          <w:i/>
                          <w:sz w:val="23"/>
                        </w:rPr>
                        <w:t>partir</w:t>
                      </w:r>
                      <w:r>
                        <w:rPr>
                          <w:i/>
                          <w:spacing w:val="-14"/>
                          <w:sz w:val="23"/>
                        </w:rPr>
                        <w:t> </w:t>
                      </w:r>
                      <w:r>
                        <w:rPr>
                          <w:i/>
                          <w:sz w:val="23"/>
                        </w:rPr>
                        <w:t>del</w:t>
                      </w:r>
                      <w:r>
                        <w:rPr>
                          <w:i/>
                          <w:spacing w:val="-14"/>
                          <w:sz w:val="23"/>
                        </w:rPr>
                        <w:t> </w:t>
                      </w:r>
                      <w:r>
                        <w:rPr>
                          <w:i/>
                          <w:sz w:val="23"/>
                        </w:rPr>
                        <w:t>promedio</w:t>
                      </w:r>
                      <w:r>
                        <w:rPr>
                          <w:i/>
                          <w:spacing w:val="-13"/>
                          <w:sz w:val="23"/>
                        </w:rPr>
                        <w:t> </w:t>
                      </w:r>
                      <w:r>
                        <w:rPr>
                          <w:i/>
                          <w:sz w:val="23"/>
                        </w:rPr>
                        <w:t>ponderado</w:t>
                      </w:r>
                      <w:r>
                        <w:rPr>
                          <w:i/>
                          <w:spacing w:val="-14"/>
                          <w:sz w:val="23"/>
                        </w:rPr>
                        <w:t> </w:t>
                      </w:r>
                      <w:r>
                        <w:rPr>
                          <w:i/>
                          <w:sz w:val="23"/>
                        </w:rPr>
                        <w:t>del</w:t>
                      </w:r>
                      <w:r>
                        <w:rPr>
                          <w:i/>
                          <w:spacing w:val="-14"/>
                          <w:sz w:val="23"/>
                        </w:rPr>
                        <w:t> </w:t>
                      </w:r>
                      <w:r>
                        <w:rPr>
                          <w:i/>
                          <w:sz w:val="23"/>
                        </w:rPr>
                        <w:t>costo</w:t>
                      </w:r>
                      <w:r>
                        <w:rPr>
                          <w:i/>
                          <w:spacing w:val="-13"/>
                          <w:sz w:val="23"/>
                        </w:rPr>
                        <w:t> </w:t>
                      </w:r>
                      <w:r>
                        <w:rPr>
                          <w:i/>
                          <w:sz w:val="23"/>
                        </w:rPr>
                        <w:t>de</w:t>
                      </w:r>
                      <w:r>
                        <w:rPr>
                          <w:i/>
                          <w:spacing w:val="-15"/>
                          <w:sz w:val="23"/>
                        </w:rPr>
                        <w:t> </w:t>
                      </w:r>
                      <w:r>
                        <w:rPr>
                          <w:i/>
                          <w:sz w:val="23"/>
                        </w:rPr>
                        <w:t>partidas </w:t>
                      </w:r>
                      <w:r>
                        <w:rPr>
                          <w:i/>
                          <w:spacing w:val="-6"/>
                          <w:sz w:val="23"/>
                        </w:rPr>
                        <w:t>similares al principio del periodo, y del costo de partidas similares compradas durante el periodo. El promedio se calcula automáticamente en el sistema respectivo, después </w:t>
                      </w:r>
                      <w:r>
                        <w:rPr>
                          <w:i/>
                          <w:sz w:val="23"/>
                        </w:rPr>
                        <w:t>de registrar cada adquisición.</w:t>
                      </w:r>
                    </w:p>
                    <w:p>
                      <w:pPr>
                        <w:spacing w:line="230" w:lineRule="auto" w:before="155"/>
                        <w:ind w:left="1519" w:right="103" w:firstLine="0"/>
                        <w:jc w:val="both"/>
                        <w:rPr>
                          <w:i/>
                          <w:sz w:val="23"/>
                        </w:rPr>
                      </w:pPr>
                      <w:r>
                        <w:rPr>
                          <w:b/>
                          <w:i/>
                          <w:sz w:val="23"/>
                        </w:rPr>
                        <w:t>INV08</w:t>
                      </w:r>
                      <w:r>
                        <w:rPr>
                          <w:i/>
                          <w:sz w:val="23"/>
                        </w:rPr>
                        <w:t>: El IMAS aplicará al costo de sus diferentes inventarios el método de promedio</w:t>
                      </w:r>
                      <w:r>
                        <w:rPr>
                          <w:i/>
                          <w:spacing w:val="-15"/>
                          <w:sz w:val="23"/>
                        </w:rPr>
                        <w:t> </w:t>
                      </w:r>
                      <w:r>
                        <w:rPr>
                          <w:i/>
                          <w:sz w:val="23"/>
                        </w:rPr>
                        <w:t>ponderado</w:t>
                      </w:r>
                      <w:r>
                        <w:rPr>
                          <w:i/>
                          <w:spacing w:val="-14"/>
                          <w:sz w:val="23"/>
                        </w:rPr>
                        <w:t> </w:t>
                      </w:r>
                      <w:r>
                        <w:rPr>
                          <w:i/>
                          <w:sz w:val="23"/>
                        </w:rPr>
                        <w:t>de</w:t>
                      </w:r>
                      <w:r>
                        <w:rPr>
                          <w:i/>
                          <w:spacing w:val="-15"/>
                          <w:sz w:val="23"/>
                        </w:rPr>
                        <w:t> </w:t>
                      </w:r>
                      <w:r>
                        <w:rPr>
                          <w:i/>
                          <w:sz w:val="23"/>
                        </w:rPr>
                        <w:t>conformidad</w:t>
                      </w:r>
                      <w:r>
                        <w:rPr>
                          <w:i/>
                          <w:spacing w:val="-14"/>
                          <w:sz w:val="23"/>
                        </w:rPr>
                        <w:t> </w:t>
                      </w:r>
                      <w:r>
                        <w:rPr>
                          <w:i/>
                          <w:sz w:val="23"/>
                        </w:rPr>
                        <w:t>de</w:t>
                      </w:r>
                      <w:r>
                        <w:rPr>
                          <w:i/>
                          <w:spacing w:val="-14"/>
                          <w:sz w:val="23"/>
                        </w:rPr>
                        <w:t> </w:t>
                      </w:r>
                      <w:r>
                        <w:rPr>
                          <w:i/>
                          <w:sz w:val="23"/>
                        </w:rPr>
                        <w:t>la</w:t>
                      </w:r>
                      <w:r>
                        <w:rPr>
                          <w:i/>
                          <w:spacing w:val="-15"/>
                          <w:sz w:val="23"/>
                        </w:rPr>
                        <w:t> </w:t>
                      </w:r>
                      <w:r>
                        <w:rPr>
                          <w:i/>
                          <w:sz w:val="23"/>
                        </w:rPr>
                        <w:t>autorización</w:t>
                      </w:r>
                      <w:r>
                        <w:rPr>
                          <w:i/>
                          <w:spacing w:val="-14"/>
                          <w:sz w:val="23"/>
                        </w:rPr>
                        <w:t> </w:t>
                      </w:r>
                      <w:r>
                        <w:rPr>
                          <w:i/>
                          <w:sz w:val="23"/>
                        </w:rPr>
                        <w:t>previa</w:t>
                      </w:r>
                      <w:r>
                        <w:rPr>
                          <w:i/>
                          <w:spacing w:val="-14"/>
                          <w:sz w:val="23"/>
                        </w:rPr>
                        <w:t> </w:t>
                      </w:r>
                      <w:r>
                        <w:rPr>
                          <w:i/>
                          <w:sz w:val="23"/>
                        </w:rPr>
                        <w:t>de</w:t>
                      </w:r>
                      <w:r>
                        <w:rPr>
                          <w:i/>
                          <w:spacing w:val="-15"/>
                          <w:sz w:val="23"/>
                        </w:rPr>
                        <w:t> </w:t>
                      </w:r>
                      <w:r>
                        <w:rPr>
                          <w:i/>
                          <w:sz w:val="23"/>
                        </w:rPr>
                        <w:t>la</w:t>
                      </w:r>
                      <w:r>
                        <w:rPr>
                          <w:i/>
                          <w:spacing w:val="-14"/>
                          <w:sz w:val="23"/>
                        </w:rPr>
                        <w:t> </w:t>
                      </w:r>
                      <w:r>
                        <w:rPr>
                          <w:i/>
                          <w:sz w:val="23"/>
                        </w:rPr>
                        <w:t>Contabilidad </w:t>
                      </w:r>
                      <w:r>
                        <w:rPr>
                          <w:i/>
                          <w:spacing w:val="-4"/>
                          <w:sz w:val="23"/>
                        </w:rPr>
                        <w:t>Nacional,</w:t>
                      </w:r>
                      <w:r>
                        <w:rPr>
                          <w:i/>
                          <w:spacing w:val="-11"/>
                          <w:sz w:val="23"/>
                        </w:rPr>
                        <w:t> </w:t>
                      </w:r>
                      <w:r>
                        <w:rPr>
                          <w:i/>
                          <w:spacing w:val="-4"/>
                          <w:sz w:val="23"/>
                        </w:rPr>
                        <w:t>otorgada</w:t>
                      </w:r>
                      <w:r>
                        <w:rPr>
                          <w:i/>
                          <w:spacing w:val="-10"/>
                          <w:sz w:val="23"/>
                        </w:rPr>
                        <w:t> </w:t>
                      </w:r>
                      <w:r>
                        <w:rPr>
                          <w:i/>
                          <w:spacing w:val="-4"/>
                          <w:sz w:val="23"/>
                        </w:rPr>
                        <w:t>mediante</w:t>
                      </w:r>
                      <w:r>
                        <w:rPr>
                          <w:i/>
                          <w:spacing w:val="-11"/>
                          <w:sz w:val="23"/>
                        </w:rPr>
                        <w:t> </w:t>
                      </w:r>
                      <w:r>
                        <w:rPr>
                          <w:i/>
                          <w:spacing w:val="-4"/>
                          <w:sz w:val="23"/>
                        </w:rPr>
                        <w:t>oficio</w:t>
                      </w:r>
                      <w:r>
                        <w:rPr>
                          <w:i/>
                          <w:spacing w:val="-10"/>
                          <w:sz w:val="23"/>
                        </w:rPr>
                        <w:t> </w:t>
                      </w:r>
                      <w:r>
                        <w:rPr>
                          <w:i/>
                          <w:spacing w:val="-4"/>
                          <w:sz w:val="23"/>
                        </w:rPr>
                        <w:t>MH-DGCN-DIR-OF-0388-2023</w:t>
                      </w:r>
                      <w:r>
                        <w:rPr>
                          <w:i/>
                          <w:spacing w:val="-10"/>
                          <w:sz w:val="23"/>
                        </w:rPr>
                        <w:t> </w:t>
                      </w:r>
                      <w:r>
                        <w:rPr>
                          <w:i/>
                          <w:spacing w:val="-4"/>
                          <w:sz w:val="23"/>
                        </w:rPr>
                        <w:t>del</w:t>
                      </w:r>
                      <w:r>
                        <w:rPr>
                          <w:i/>
                          <w:spacing w:val="-11"/>
                          <w:sz w:val="23"/>
                        </w:rPr>
                        <w:t> </w:t>
                      </w:r>
                      <w:r>
                        <w:rPr>
                          <w:i/>
                          <w:spacing w:val="-4"/>
                          <w:sz w:val="23"/>
                        </w:rPr>
                        <w:t>25</w:t>
                      </w:r>
                      <w:r>
                        <w:rPr>
                          <w:i/>
                          <w:spacing w:val="-10"/>
                          <w:sz w:val="23"/>
                        </w:rPr>
                        <w:t> </w:t>
                      </w:r>
                      <w:r>
                        <w:rPr>
                          <w:i/>
                          <w:spacing w:val="-4"/>
                          <w:sz w:val="23"/>
                        </w:rPr>
                        <w:t>de</w:t>
                      </w:r>
                      <w:r>
                        <w:rPr>
                          <w:i/>
                          <w:spacing w:val="-10"/>
                          <w:sz w:val="23"/>
                        </w:rPr>
                        <w:t> </w:t>
                      </w:r>
                      <w:r>
                        <w:rPr>
                          <w:i/>
                          <w:spacing w:val="-4"/>
                          <w:sz w:val="23"/>
                        </w:rPr>
                        <w:t>mayo </w:t>
                      </w:r>
                      <w:r>
                        <w:rPr>
                          <w:i/>
                          <w:sz w:val="23"/>
                        </w:rPr>
                        <w:t>del 2023.</w:t>
                      </w:r>
                    </w:p>
                  </w:txbxContent>
                </v:textbox>
                <v:stroke dashstyle="solid"/>
                <w10:wrap type="topAndBottom"/>
              </v:shape>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1"/>
        <w:rPr>
          <w:b/>
          <w:sz w:val="20"/>
        </w:rPr>
      </w:pPr>
      <w:r>
        <w:rPr>
          <w:b/>
          <w:sz w:val="20"/>
        </w:rPr>
        <mc:AlternateContent>
          <mc:Choice Requires="wps">
            <w:drawing>
              <wp:anchor distT="0" distB="0" distL="0" distR="0" allowOverlap="1" layoutInCell="1" locked="0" behindDoc="1" simplePos="0" relativeHeight="487627776">
                <wp:simplePos x="0" y="0"/>
                <wp:positionH relativeFrom="page">
                  <wp:posOffset>1080820</wp:posOffset>
                </wp:positionH>
                <wp:positionV relativeFrom="paragraph">
                  <wp:posOffset>246570</wp:posOffset>
                </wp:positionV>
                <wp:extent cx="5715000" cy="1440815"/>
                <wp:effectExtent l="0" t="0" r="0" b="0"/>
                <wp:wrapTopAndBottom/>
                <wp:docPr id="264" name="Textbox 264"/>
                <wp:cNvGraphicFramePr>
                  <a:graphicFrameLocks/>
                </wp:cNvGraphicFramePr>
                <a:graphic>
                  <a:graphicData uri="http://schemas.microsoft.com/office/word/2010/wordprocessingShape">
                    <wps:wsp>
                      <wps:cNvPr id="264" name="Textbox 264"/>
                      <wps:cNvSpPr txBox="1"/>
                      <wps:spPr>
                        <a:xfrm>
                          <a:off x="0" y="0"/>
                          <a:ext cx="5715000" cy="1440815"/>
                        </a:xfrm>
                        <a:prstGeom prst="rect">
                          <a:avLst/>
                        </a:prstGeom>
                        <a:ln w="6095">
                          <a:solidFill>
                            <a:srgbClr val="000000"/>
                          </a:solidFill>
                          <a:prstDash val="solid"/>
                        </a:ln>
                      </wps:spPr>
                      <wps:txbx>
                        <w:txbxContent>
                          <w:p>
                            <w:pPr>
                              <w:spacing w:before="0"/>
                              <w:ind w:left="103" w:right="0" w:firstLine="0"/>
                              <w:jc w:val="both"/>
                              <w:rPr>
                                <w:sz w:val="22"/>
                              </w:rPr>
                            </w:pPr>
                            <w:r>
                              <w:rPr>
                                <w:b/>
                                <w:color w:val="1F4E79"/>
                                <w:sz w:val="22"/>
                                <w:u w:val="single" w:color="1F4E79"/>
                              </w:rPr>
                              <w:t>Cual</w:t>
                            </w:r>
                            <w:r>
                              <w:rPr>
                                <w:b/>
                                <w:color w:val="1F4E79"/>
                                <w:spacing w:val="-6"/>
                                <w:sz w:val="22"/>
                                <w:u w:val="single" w:color="1F4E79"/>
                              </w:rPr>
                              <w:t> </w:t>
                            </w:r>
                            <w:r>
                              <w:rPr>
                                <w:b/>
                                <w:color w:val="1F4E79"/>
                                <w:sz w:val="22"/>
                                <w:u w:val="single" w:color="1F4E79"/>
                              </w:rPr>
                              <w:t>sistema</w:t>
                            </w:r>
                            <w:r>
                              <w:rPr>
                                <w:b/>
                                <w:color w:val="1F4E79"/>
                                <w:spacing w:val="-4"/>
                                <w:sz w:val="22"/>
                                <w:u w:val="single" w:color="1F4E79"/>
                              </w:rPr>
                              <w:t> </w:t>
                            </w:r>
                            <w:r>
                              <w:rPr>
                                <w:b/>
                                <w:color w:val="1F4E79"/>
                                <w:sz w:val="22"/>
                                <w:u w:val="single" w:color="1F4E79"/>
                              </w:rPr>
                              <w:t>de</w:t>
                            </w:r>
                            <w:r>
                              <w:rPr>
                                <w:b/>
                                <w:color w:val="1F4E79"/>
                                <w:spacing w:val="-3"/>
                                <w:sz w:val="22"/>
                                <w:u w:val="single" w:color="1F4E79"/>
                              </w:rPr>
                              <w:t> </w:t>
                            </w:r>
                            <w:r>
                              <w:rPr>
                                <w:b/>
                                <w:color w:val="1F4E79"/>
                                <w:sz w:val="22"/>
                                <w:u w:val="single" w:color="1F4E79"/>
                              </w:rPr>
                              <w:t>inventario</w:t>
                            </w:r>
                            <w:r>
                              <w:rPr>
                                <w:b/>
                                <w:color w:val="1F4E79"/>
                                <w:spacing w:val="-6"/>
                                <w:sz w:val="22"/>
                                <w:u w:val="single" w:color="1F4E79"/>
                              </w:rPr>
                              <w:t> </w:t>
                            </w:r>
                            <w:r>
                              <w:rPr>
                                <w:b/>
                                <w:color w:val="1F4E79"/>
                                <w:sz w:val="22"/>
                                <w:u w:val="single" w:color="1F4E79"/>
                              </w:rPr>
                              <w:t>utiliza</w:t>
                            </w:r>
                            <w:r>
                              <w:rPr>
                                <w:b/>
                                <w:color w:val="1F4E79"/>
                                <w:spacing w:val="-4"/>
                                <w:sz w:val="22"/>
                                <w:u w:val="single" w:color="1F4E79"/>
                              </w:rPr>
                              <w:t> </w:t>
                            </w:r>
                            <w:r>
                              <w:rPr>
                                <w:b/>
                                <w:color w:val="1F4E79"/>
                                <w:sz w:val="22"/>
                                <w:u w:val="single" w:color="1F4E79"/>
                              </w:rPr>
                              <w:t>su</w:t>
                            </w:r>
                            <w:r>
                              <w:rPr>
                                <w:b/>
                                <w:color w:val="1F4E79"/>
                                <w:spacing w:val="-3"/>
                                <w:sz w:val="22"/>
                                <w:u w:val="single" w:color="1F4E79"/>
                              </w:rPr>
                              <w:t> </w:t>
                            </w:r>
                            <w:r>
                              <w:rPr>
                                <w:b/>
                                <w:color w:val="1F4E79"/>
                                <w:sz w:val="22"/>
                                <w:u w:val="single" w:color="1F4E79"/>
                              </w:rPr>
                              <w:t>institución</w:t>
                            </w:r>
                            <w:r>
                              <w:rPr>
                                <w:b/>
                                <w:color w:val="1F4E79"/>
                                <w:spacing w:val="-4"/>
                                <w:sz w:val="22"/>
                                <w:u w:val="single" w:color="1F4E79"/>
                              </w:rPr>
                              <w:t> </w:t>
                            </w:r>
                            <w:r>
                              <w:rPr>
                                <w:b/>
                                <w:color w:val="1F4E79"/>
                                <w:sz w:val="22"/>
                                <w:u w:val="single" w:color="1F4E79"/>
                              </w:rPr>
                              <w:t>Periódico</w:t>
                            </w:r>
                            <w:r>
                              <w:rPr>
                                <w:b/>
                                <w:color w:val="1F4E79"/>
                                <w:spacing w:val="-3"/>
                                <w:sz w:val="22"/>
                                <w:u w:val="single" w:color="1F4E79"/>
                              </w:rPr>
                              <w:t> </w:t>
                            </w:r>
                            <w:r>
                              <w:rPr>
                                <w:b/>
                                <w:color w:val="1F4E79"/>
                                <w:sz w:val="22"/>
                                <w:u w:val="single" w:color="1F4E79"/>
                              </w:rPr>
                              <w:t>o</w:t>
                            </w:r>
                            <w:r>
                              <w:rPr>
                                <w:b/>
                                <w:color w:val="1F4E79"/>
                                <w:spacing w:val="-2"/>
                                <w:sz w:val="22"/>
                                <w:u w:val="single" w:color="1F4E79"/>
                              </w:rPr>
                              <w:t> Permanente</w:t>
                            </w:r>
                            <w:r>
                              <w:rPr>
                                <w:spacing w:val="-2"/>
                                <w:sz w:val="22"/>
                                <w:u w:val="none"/>
                              </w:rPr>
                              <w:t>:</w:t>
                            </w:r>
                          </w:p>
                          <w:p>
                            <w:pPr>
                              <w:pStyle w:val="BodyText"/>
                              <w:spacing w:before="179"/>
                              <w:ind w:left="103" w:right="849"/>
                              <w:jc w:val="both"/>
                            </w:pPr>
                            <w:r>
                              <w:rPr/>
                              <w:t>Se</w:t>
                            </w:r>
                            <w:r>
                              <w:rPr>
                                <w:spacing w:val="-4"/>
                              </w:rPr>
                              <w:t> </w:t>
                            </w:r>
                            <w:r>
                              <w:rPr/>
                              <w:t>trata</w:t>
                            </w:r>
                            <w:r>
                              <w:rPr>
                                <w:spacing w:val="-3"/>
                              </w:rPr>
                              <w:t> </w:t>
                            </w:r>
                            <w:r>
                              <w:rPr/>
                              <w:t>contablemente</w:t>
                            </w:r>
                            <w:r>
                              <w:rPr>
                                <w:spacing w:val="-3"/>
                              </w:rPr>
                              <w:t> </w:t>
                            </w:r>
                            <w:r>
                              <w:rPr/>
                              <w:t>por</w:t>
                            </w:r>
                            <w:r>
                              <w:rPr>
                                <w:spacing w:val="-3"/>
                              </w:rPr>
                              <w:t> </w:t>
                            </w:r>
                            <w:r>
                              <w:rPr/>
                              <w:t>inventario</w:t>
                            </w:r>
                            <w:r>
                              <w:rPr>
                                <w:spacing w:val="-3"/>
                              </w:rPr>
                              <w:t> </w:t>
                            </w:r>
                            <w:r>
                              <w:rPr/>
                              <w:t>permanente</w:t>
                            </w:r>
                            <w:r>
                              <w:rPr>
                                <w:spacing w:val="-3"/>
                              </w:rPr>
                              <w:t> </w:t>
                            </w:r>
                            <w:r>
                              <w:rPr/>
                              <w:t>y</w:t>
                            </w:r>
                            <w:r>
                              <w:rPr>
                                <w:spacing w:val="-5"/>
                              </w:rPr>
                              <w:t> </w:t>
                            </w:r>
                            <w:r>
                              <w:rPr/>
                              <w:t>se</w:t>
                            </w:r>
                            <w:r>
                              <w:rPr>
                                <w:spacing w:val="-4"/>
                              </w:rPr>
                              <w:t> </w:t>
                            </w:r>
                            <w:r>
                              <w:rPr/>
                              <w:t>realiza</w:t>
                            </w:r>
                            <w:r>
                              <w:rPr>
                                <w:spacing w:val="-3"/>
                              </w:rPr>
                              <w:t> </w:t>
                            </w:r>
                            <w:r>
                              <w:rPr/>
                              <w:t>anualmente</w:t>
                            </w:r>
                            <w:r>
                              <w:rPr>
                                <w:spacing w:val="-3"/>
                              </w:rPr>
                              <w:t> </w:t>
                            </w:r>
                            <w:r>
                              <w:rPr/>
                              <w:t>un</w:t>
                            </w:r>
                            <w:r>
                              <w:rPr>
                                <w:spacing w:val="-3"/>
                              </w:rPr>
                              <w:t> </w:t>
                            </w:r>
                            <w:r>
                              <w:rPr/>
                              <w:t>recuento</w:t>
                            </w:r>
                            <w:r>
                              <w:rPr>
                                <w:spacing w:val="-2"/>
                              </w:rPr>
                              <w:t> </w:t>
                            </w:r>
                            <w:r>
                              <w:rPr/>
                              <w:t>físico ajustando las diferencias.</w:t>
                            </w:r>
                          </w:p>
                          <w:p>
                            <w:pPr>
                              <w:spacing w:before="161"/>
                              <w:ind w:left="103" w:right="0" w:firstLine="0"/>
                              <w:jc w:val="both"/>
                              <w:rPr>
                                <w:sz w:val="22"/>
                              </w:rPr>
                            </w:pPr>
                            <w:r>
                              <w:rPr>
                                <w:b/>
                                <w:sz w:val="22"/>
                              </w:rPr>
                              <w:t>Cual</w:t>
                            </w:r>
                            <w:r>
                              <w:rPr>
                                <w:b/>
                                <w:spacing w:val="-6"/>
                                <w:sz w:val="22"/>
                              </w:rPr>
                              <w:t> </w:t>
                            </w:r>
                            <w:r>
                              <w:rPr>
                                <w:b/>
                                <w:sz w:val="22"/>
                              </w:rPr>
                              <w:t>sistema</w:t>
                            </w:r>
                            <w:r>
                              <w:rPr>
                                <w:b/>
                                <w:spacing w:val="-4"/>
                                <w:sz w:val="22"/>
                              </w:rPr>
                              <w:t> </w:t>
                            </w:r>
                            <w:r>
                              <w:rPr>
                                <w:b/>
                                <w:sz w:val="22"/>
                              </w:rPr>
                              <w:t>de</w:t>
                            </w:r>
                            <w:r>
                              <w:rPr>
                                <w:b/>
                                <w:spacing w:val="-3"/>
                                <w:sz w:val="22"/>
                              </w:rPr>
                              <w:t> </w:t>
                            </w:r>
                            <w:r>
                              <w:rPr>
                                <w:b/>
                                <w:sz w:val="22"/>
                              </w:rPr>
                              <w:t>inventario</w:t>
                            </w:r>
                            <w:r>
                              <w:rPr>
                                <w:b/>
                                <w:spacing w:val="-6"/>
                                <w:sz w:val="22"/>
                              </w:rPr>
                              <w:t> </w:t>
                            </w:r>
                            <w:r>
                              <w:rPr>
                                <w:b/>
                                <w:sz w:val="22"/>
                              </w:rPr>
                              <w:t>utiliza</w:t>
                            </w:r>
                            <w:r>
                              <w:rPr>
                                <w:b/>
                                <w:spacing w:val="-4"/>
                                <w:sz w:val="22"/>
                              </w:rPr>
                              <w:t> </w:t>
                            </w:r>
                            <w:r>
                              <w:rPr>
                                <w:b/>
                                <w:sz w:val="22"/>
                              </w:rPr>
                              <w:t>su</w:t>
                            </w:r>
                            <w:r>
                              <w:rPr>
                                <w:b/>
                                <w:spacing w:val="-3"/>
                                <w:sz w:val="22"/>
                              </w:rPr>
                              <w:t> </w:t>
                            </w:r>
                            <w:r>
                              <w:rPr>
                                <w:b/>
                                <w:sz w:val="22"/>
                              </w:rPr>
                              <w:t>institución</w:t>
                            </w:r>
                            <w:r>
                              <w:rPr>
                                <w:b/>
                                <w:spacing w:val="-4"/>
                                <w:sz w:val="22"/>
                              </w:rPr>
                              <w:t> </w:t>
                            </w:r>
                            <w:r>
                              <w:rPr>
                                <w:b/>
                                <w:sz w:val="22"/>
                              </w:rPr>
                              <w:t>Periódico</w:t>
                            </w:r>
                            <w:r>
                              <w:rPr>
                                <w:b/>
                                <w:spacing w:val="-3"/>
                                <w:sz w:val="22"/>
                              </w:rPr>
                              <w:t> </w:t>
                            </w:r>
                            <w:r>
                              <w:rPr>
                                <w:b/>
                                <w:sz w:val="22"/>
                              </w:rPr>
                              <w:t>o</w:t>
                            </w:r>
                            <w:r>
                              <w:rPr>
                                <w:b/>
                                <w:spacing w:val="-2"/>
                                <w:sz w:val="22"/>
                              </w:rPr>
                              <w:t> Permanente</w:t>
                            </w:r>
                            <w:r>
                              <w:rPr>
                                <w:spacing w:val="-2"/>
                                <w:sz w:val="22"/>
                              </w:rPr>
                              <w:t>:</w:t>
                            </w:r>
                          </w:p>
                          <w:p>
                            <w:pPr>
                              <w:pStyle w:val="BodyText"/>
                              <w:spacing w:before="1"/>
                              <w:ind w:left="103" w:right="101"/>
                              <w:jc w:val="both"/>
                            </w:pPr>
                            <w:r>
                              <w:rPr/>
                              <w:t>La institución utiliza el sistema permanente. Registro utilizado para contabilizar los inventarios de mercadería</w:t>
                            </w:r>
                            <w:r>
                              <w:rPr>
                                <w:spacing w:val="-11"/>
                              </w:rPr>
                              <w:t> </w:t>
                            </w:r>
                            <w:r>
                              <w:rPr/>
                              <w:t>para</w:t>
                            </w:r>
                            <w:r>
                              <w:rPr>
                                <w:spacing w:val="-11"/>
                              </w:rPr>
                              <w:t> </w:t>
                            </w:r>
                            <w:r>
                              <w:rPr/>
                              <w:t>la</w:t>
                            </w:r>
                            <w:r>
                              <w:rPr>
                                <w:spacing w:val="-12"/>
                              </w:rPr>
                              <w:t> </w:t>
                            </w:r>
                            <w:r>
                              <w:rPr/>
                              <w:t>venta</w:t>
                            </w:r>
                            <w:r>
                              <w:rPr>
                                <w:spacing w:val="-11"/>
                              </w:rPr>
                              <w:t> </w:t>
                            </w:r>
                            <w:r>
                              <w:rPr/>
                              <w:t>en</w:t>
                            </w:r>
                            <w:r>
                              <w:rPr>
                                <w:spacing w:val="-8"/>
                              </w:rPr>
                              <w:t> </w:t>
                            </w:r>
                            <w:r>
                              <w:rPr/>
                              <w:t>forma</w:t>
                            </w:r>
                            <w:r>
                              <w:rPr>
                                <w:spacing w:val="-11"/>
                              </w:rPr>
                              <w:t> </w:t>
                            </w:r>
                            <w:r>
                              <w:rPr/>
                              <w:t>inmediata.</w:t>
                            </w:r>
                            <w:r>
                              <w:rPr>
                                <w:spacing w:val="-12"/>
                              </w:rPr>
                              <w:t> </w:t>
                            </w:r>
                            <w:r>
                              <w:rPr/>
                              <w:t>Conforme</w:t>
                            </w:r>
                            <w:r>
                              <w:rPr>
                                <w:spacing w:val="-14"/>
                              </w:rPr>
                              <w:t> </w:t>
                            </w:r>
                            <w:r>
                              <w:rPr/>
                              <w:t>se</w:t>
                            </w:r>
                            <w:r>
                              <w:rPr>
                                <w:spacing w:val="-12"/>
                              </w:rPr>
                              <w:t> </w:t>
                            </w:r>
                            <w:r>
                              <w:rPr/>
                              <w:t>compra</w:t>
                            </w:r>
                            <w:r>
                              <w:rPr>
                                <w:spacing w:val="-12"/>
                              </w:rPr>
                              <w:t> </w:t>
                            </w:r>
                            <w:r>
                              <w:rPr/>
                              <w:t>y</w:t>
                            </w:r>
                            <w:r>
                              <w:rPr>
                                <w:spacing w:val="-12"/>
                              </w:rPr>
                              <w:t> </w:t>
                            </w:r>
                            <w:r>
                              <w:rPr/>
                              <w:t>se</w:t>
                            </w:r>
                            <w:r>
                              <w:rPr>
                                <w:spacing w:val="-12"/>
                              </w:rPr>
                              <w:t> </w:t>
                            </w:r>
                            <w:r>
                              <w:rPr/>
                              <w:t>vende,</w:t>
                            </w:r>
                            <w:r>
                              <w:rPr>
                                <w:spacing w:val="-11"/>
                              </w:rPr>
                              <w:t> </w:t>
                            </w:r>
                            <w:r>
                              <w:rPr/>
                              <w:t>se</w:t>
                            </w:r>
                            <w:r>
                              <w:rPr>
                                <w:spacing w:val="-12"/>
                              </w:rPr>
                              <w:t> </w:t>
                            </w:r>
                            <w:r>
                              <w:rPr/>
                              <w:t>va</w:t>
                            </w:r>
                            <w:r>
                              <w:rPr>
                                <w:spacing w:val="-12"/>
                              </w:rPr>
                              <w:t> </w:t>
                            </w:r>
                            <w:r>
                              <w:rPr/>
                              <w:t>afectando</w:t>
                            </w:r>
                            <w:r>
                              <w:rPr>
                                <w:spacing w:val="-10"/>
                              </w:rPr>
                              <w:t> </w:t>
                            </w:r>
                            <w:r>
                              <w:rPr/>
                              <w:t>el</w:t>
                            </w:r>
                            <w:r>
                              <w:rPr>
                                <w:spacing w:val="-11"/>
                              </w:rPr>
                              <w:t> </w:t>
                            </w:r>
                            <w:r>
                              <w:rPr/>
                              <w:t>costo de la mercadería vendida.</w:t>
                            </w:r>
                          </w:p>
                        </w:txbxContent>
                      </wps:txbx>
                      <wps:bodyPr wrap="square" lIns="0" tIns="0" rIns="0" bIns="0" rtlCol="0">
                        <a:noAutofit/>
                      </wps:bodyPr>
                    </wps:wsp>
                  </a:graphicData>
                </a:graphic>
              </wp:anchor>
            </w:drawing>
          </mc:Choice>
          <mc:Fallback>
            <w:pict>
              <v:shape style="position:absolute;margin-left:85.103996pt;margin-top:19.415001pt;width:450pt;height:113.45pt;mso-position-horizontal-relative:page;mso-position-vertical-relative:paragraph;z-index:-15688704;mso-wrap-distance-left:0;mso-wrap-distance-right:0" type="#_x0000_t202" id="docshape250" filled="false" stroked="true" strokeweight=".47998pt" strokecolor="#000000">
                <v:textbox inset="0,0,0,0">
                  <w:txbxContent>
                    <w:p>
                      <w:pPr>
                        <w:spacing w:before="0"/>
                        <w:ind w:left="103" w:right="0" w:firstLine="0"/>
                        <w:jc w:val="both"/>
                        <w:rPr>
                          <w:sz w:val="22"/>
                        </w:rPr>
                      </w:pPr>
                      <w:r>
                        <w:rPr>
                          <w:b/>
                          <w:color w:val="1F4E79"/>
                          <w:sz w:val="22"/>
                          <w:u w:val="single" w:color="1F4E79"/>
                        </w:rPr>
                        <w:t>Cual</w:t>
                      </w:r>
                      <w:r>
                        <w:rPr>
                          <w:b/>
                          <w:color w:val="1F4E79"/>
                          <w:spacing w:val="-6"/>
                          <w:sz w:val="22"/>
                          <w:u w:val="single" w:color="1F4E79"/>
                        </w:rPr>
                        <w:t> </w:t>
                      </w:r>
                      <w:r>
                        <w:rPr>
                          <w:b/>
                          <w:color w:val="1F4E79"/>
                          <w:sz w:val="22"/>
                          <w:u w:val="single" w:color="1F4E79"/>
                        </w:rPr>
                        <w:t>sistema</w:t>
                      </w:r>
                      <w:r>
                        <w:rPr>
                          <w:b/>
                          <w:color w:val="1F4E79"/>
                          <w:spacing w:val="-4"/>
                          <w:sz w:val="22"/>
                          <w:u w:val="single" w:color="1F4E79"/>
                        </w:rPr>
                        <w:t> </w:t>
                      </w:r>
                      <w:r>
                        <w:rPr>
                          <w:b/>
                          <w:color w:val="1F4E79"/>
                          <w:sz w:val="22"/>
                          <w:u w:val="single" w:color="1F4E79"/>
                        </w:rPr>
                        <w:t>de</w:t>
                      </w:r>
                      <w:r>
                        <w:rPr>
                          <w:b/>
                          <w:color w:val="1F4E79"/>
                          <w:spacing w:val="-3"/>
                          <w:sz w:val="22"/>
                          <w:u w:val="single" w:color="1F4E79"/>
                        </w:rPr>
                        <w:t> </w:t>
                      </w:r>
                      <w:r>
                        <w:rPr>
                          <w:b/>
                          <w:color w:val="1F4E79"/>
                          <w:sz w:val="22"/>
                          <w:u w:val="single" w:color="1F4E79"/>
                        </w:rPr>
                        <w:t>inventario</w:t>
                      </w:r>
                      <w:r>
                        <w:rPr>
                          <w:b/>
                          <w:color w:val="1F4E79"/>
                          <w:spacing w:val="-6"/>
                          <w:sz w:val="22"/>
                          <w:u w:val="single" w:color="1F4E79"/>
                        </w:rPr>
                        <w:t> </w:t>
                      </w:r>
                      <w:r>
                        <w:rPr>
                          <w:b/>
                          <w:color w:val="1F4E79"/>
                          <w:sz w:val="22"/>
                          <w:u w:val="single" w:color="1F4E79"/>
                        </w:rPr>
                        <w:t>utiliza</w:t>
                      </w:r>
                      <w:r>
                        <w:rPr>
                          <w:b/>
                          <w:color w:val="1F4E79"/>
                          <w:spacing w:val="-4"/>
                          <w:sz w:val="22"/>
                          <w:u w:val="single" w:color="1F4E79"/>
                        </w:rPr>
                        <w:t> </w:t>
                      </w:r>
                      <w:r>
                        <w:rPr>
                          <w:b/>
                          <w:color w:val="1F4E79"/>
                          <w:sz w:val="22"/>
                          <w:u w:val="single" w:color="1F4E79"/>
                        </w:rPr>
                        <w:t>su</w:t>
                      </w:r>
                      <w:r>
                        <w:rPr>
                          <w:b/>
                          <w:color w:val="1F4E79"/>
                          <w:spacing w:val="-3"/>
                          <w:sz w:val="22"/>
                          <w:u w:val="single" w:color="1F4E79"/>
                        </w:rPr>
                        <w:t> </w:t>
                      </w:r>
                      <w:r>
                        <w:rPr>
                          <w:b/>
                          <w:color w:val="1F4E79"/>
                          <w:sz w:val="22"/>
                          <w:u w:val="single" w:color="1F4E79"/>
                        </w:rPr>
                        <w:t>institución</w:t>
                      </w:r>
                      <w:r>
                        <w:rPr>
                          <w:b/>
                          <w:color w:val="1F4E79"/>
                          <w:spacing w:val="-4"/>
                          <w:sz w:val="22"/>
                          <w:u w:val="single" w:color="1F4E79"/>
                        </w:rPr>
                        <w:t> </w:t>
                      </w:r>
                      <w:r>
                        <w:rPr>
                          <w:b/>
                          <w:color w:val="1F4E79"/>
                          <w:sz w:val="22"/>
                          <w:u w:val="single" w:color="1F4E79"/>
                        </w:rPr>
                        <w:t>Periódico</w:t>
                      </w:r>
                      <w:r>
                        <w:rPr>
                          <w:b/>
                          <w:color w:val="1F4E79"/>
                          <w:spacing w:val="-3"/>
                          <w:sz w:val="22"/>
                          <w:u w:val="single" w:color="1F4E79"/>
                        </w:rPr>
                        <w:t> </w:t>
                      </w:r>
                      <w:r>
                        <w:rPr>
                          <w:b/>
                          <w:color w:val="1F4E79"/>
                          <w:sz w:val="22"/>
                          <w:u w:val="single" w:color="1F4E79"/>
                        </w:rPr>
                        <w:t>o</w:t>
                      </w:r>
                      <w:r>
                        <w:rPr>
                          <w:b/>
                          <w:color w:val="1F4E79"/>
                          <w:spacing w:val="-2"/>
                          <w:sz w:val="22"/>
                          <w:u w:val="single" w:color="1F4E79"/>
                        </w:rPr>
                        <w:t> Permanente</w:t>
                      </w:r>
                      <w:r>
                        <w:rPr>
                          <w:spacing w:val="-2"/>
                          <w:sz w:val="22"/>
                          <w:u w:val="none"/>
                        </w:rPr>
                        <w:t>:</w:t>
                      </w:r>
                    </w:p>
                    <w:p>
                      <w:pPr>
                        <w:pStyle w:val="BodyText"/>
                        <w:spacing w:before="179"/>
                        <w:ind w:left="103" w:right="849"/>
                        <w:jc w:val="both"/>
                      </w:pPr>
                      <w:r>
                        <w:rPr/>
                        <w:t>Se</w:t>
                      </w:r>
                      <w:r>
                        <w:rPr>
                          <w:spacing w:val="-4"/>
                        </w:rPr>
                        <w:t> </w:t>
                      </w:r>
                      <w:r>
                        <w:rPr/>
                        <w:t>trata</w:t>
                      </w:r>
                      <w:r>
                        <w:rPr>
                          <w:spacing w:val="-3"/>
                        </w:rPr>
                        <w:t> </w:t>
                      </w:r>
                      <w:r>
                        <w:rPr/>
                        <w:t>contablemente</w:t>
                      </w:r>
                      <w:r>
                        <w:rPr>
                          <w:spacing w:val="-3"/>
                        </w:rPr>
                        <w:t> </w:t>
                      </w:r>
                      <w:r>
                        <w:rPr/>
                        <w:t>por</w:t>
                      </w:r>
                      <w:r>
                        <w:rPr>
                          <w:spacing w:val="-3"/>
                        </w:rPr>
                        <w:t> </w:t>
                      </w:r>
                      <w:r>
                        <w:rPr/>
                        <w:t>inventario</w:t>
                      </w:r>
                      <w:r>
                        <w:rPr>
                          <w:spacing w:val="-3"/>
                        </w:rPr>
                        <w:t> </w:t>
                      </w:r>
                      <w:r>
                        <w:rPr/>
                        <w:t>permanente</w:t>
                      </w:r>
                      <w:r>
                        <w:rPr>
                          <w:spacing w:val="-3"/>
                        </w:rPr>
                        <w:t> </w:t>
                      </w:r>
                      <w:r>
                        <w:rPr/>
                        <w:t>y</w:t>
                      </w:r>
                      <w:r>
                        <w:rPr>
                          <w:spacing w:val="-5"/>
                        </w:rPr>
                        <w:t> </w:t>
                      </w:r>
                      <w:r>
                        <w:rPr/>
                        <w:t>se</w:t>
                      </w:r>
                      <w:r>
                        <w:rPr>
                          <w:spacing w:val="-4"/>
                        </w:rPr>
                        <w:t> </w:t>
                      </w:r>
                      <w:r>
                        <w:rPr/>
                        <w:t>realiza</w:t>
                      </w:r>
                      <w:r>
                        <w:rPr>
                          <w:spacing w:val="-3"/>
                        </w:rPr>
                        <w:t> </w:t>
                      </w:r>
                      <w:r>
                        <w:rPr/>
                        <w:t>anualmente</w:t>
                      </w:r>
                      <w:r>
                        <w:rPr>
                          <w:spacing w:val="-3"/>
                        </w:rPr>
                        <w:t> </w:t>
                      </w:r>
                      <w:r>
                        <w:rPr/>
                        <w:t>un</w:t>
                      </w:r>
                      <w:r>
                        <w:rPr>
                          <w:spacing w:val="-3"/>
                        </w:rPr>
                        <w:t> </w:t>
                      </w:r>
                      <w:r>
                        <w:rPr/>
                        <w:t>recuento</w:t>
                      </w:r>
                      <w:r>
                        <w:rPr>
                          <w:spacing w:val="-2"/>
                        </w:rPr>
                        <w:t> </w:t>
                      </w:r>
                      <w:r>
                        <w:rPr/>
                        <w:t>físico ajustando las diferencias.</w:t>
                      </w:r>
                    </w:p>
                    <w:p>
                      <w:pPr>
                        <w:spacing w:before="161"/>
                        <w:ind w:left="103" w:right="0" w:firstLine="0"/>
                        <w:jc w:val="both"/>
                        <w:rPr>
                          <w:sz w:val="22"/>
                        </w:rPr>
                      </w:pPr>
                      <w:r>
                        <w:rPr>
                          <w:b/>
                          <w:sz w:val="22"/>
                        </w:rPr>
                        <w:t>Cual</w:t>
                      </w:r>
                      <w:r>
                        <w:rPr>
                          <w:b/>
                          <w:spacing w:val="-6"/>
                          <w:sz w:val="22"/>
                        </w:rPr>
                        <w:t> </w:t>
                      </w:r>
                      <w:r>
                        <w:rPr>
                          <w:b/>
                          <w:sz w:val="22"/>
                        </w:rPr>
                        <w:t>sistema</w:t>
                      </w:r>
                      <w:r>
                        <w:rPr>
                          <w:b/>
                          <w:spacing w:val="-4"/>
                          <w:sz w:val="22"/>
                        </w:rPr>
                        <w:t> </w:t>
                      </w:r>
                      <w:r>
                        <w:rPr>
                          <w:b/>
                          <w:sz w:val="22"/>
                        </w:rPr>
                        <w:t>de</w:t>
                      </w:r>
                      <w:r>
                        <w:rPr>
                          <w:b/>
                          <w:spacing w:val="-3"/>
                          <w:sz w:val="22"/>
                        </w:rPr>
                        <w:t> </w:t>
                      </w:r>
                      <w:r>
                        <w:rPr>
                          <w:b/>
                          <w:sz w:val="22"/>
                        </w:rPr>
                        <w:t>inventario</w:t>
                      </w:r>
                      <w:r>
                        <w:rPr>
                          <w:b/>
                          <w:spacing w:val="-6"/>
                          <w:sz w:val="22"/>
                        </w:rPr>
                        <w:t> </w:t>
                      </w:r>
                      <w:r>
                        <w:rPr>
                          <w:b/>
                          <w:sz w:val="22"/>
                        </w:rPr>
                        <w:t>utiliza</w:t>
                      </w:r>
                      <w:r>
                        <w:rPr>
                          <w:b/>
                          <w:spacing w:val="-4"/>
                          <w:sz w:val="22"/>
                        </w:rPr>
                        <w:t> </w:t>
                      </w:r>
                      <w:r>
                        <w:rPr>
                          <w:b/>
                          <w:sz w:val="22"/>
                        </w:rPr>
                        <w:t>su</w:t>
                      </w:r>
                      <w:r>
                        <w:rPr>
                          <w:b/>
                          <w:spacing w:val="-3"/>
                          <w:sz w:val="22"/>
                        </w:rPr>
                        <w:t> </w:t>
                      </w:r>
                      <w:r>
                        <w:rPr>
                          <w:b/>
                          <w:sz w:val="22"/>
                        </w:rPr>
                        <w:t>institución</w:t>
                      </w:r>
                      <w:r>
                        <w:rPr>
                          <w:b/>
                          <w:spacing w:val="-4"/>
                          <w:sz w:val="22"/>
                        </w:rPr>
                        <w:t> </w:t>
                      </w:r>
                      <w:r>
                        <w:rPr>
                          <w:b/>
                          <w:sz w:val="22"/>
                        </w:rPr>
                        <w:t>Periódico</w:t>
                      </w:r>
                      <w:r>
                        <w:rPr>
                          <w:b/>
                          <w:spacing w:val="-3"/>
                          <w:sz w:val="22"/>
                        </w:rPr>
                        <w:t> </w:t>
                      </w:r>
                      <w:r>
                        <w:rPr>
                          <w:b/>
                          <w:sz w:val="22"/>
                        </w:rPr>
                        <w:t>o</w:t>
                      </w:r>
                      <w:r>
                        <w:rPr>
                          <w:b/>
                          <w:spacing w:val="-2"/>
                          <w:sz w:val="22"/>
                        </w:rPr>
                        <w:t> Permanente</w:t>
                      </w:r>
                      <w:r>
                        <w:rPr>
                          <w:spacing w:val="-2"/>
                          <w:sz w:val="22"/>
                        </w:rPr>
                        <w:t>:</w:t>
                      </w:r>
                    </w:p>
                    <w:p>
                      <w:pPr>
                        <w:pStyle w:val="BodyText"/>
                        <w:spacing w:before="1"/>
                        <w:ind w:left="103" w:right="101"/>
                        <w:jc w:val="both"/>
                      </w:pPr>
                      <w:r>
                        <w:rPr/>
                        <w:t>La institución utiliza el sistema permanente. Registro utilizado para contabilizar los inventarios de mercadería</w:t>
                      </w:r>
                      <w:r>
                        <w:rPr>
                          <w:spacing w:val="-11"/>
                        </w:rPr>
                        <w:t> </w:t>
                      </w:r>
                      <w:r>
                        <w:rPr/>
                        <w:t>para</w:t>
                      </w:r>
                      <w:r>
                        <w:rPr>
                          <w:spacing w:val="-11"/>
                        </w:rPr>
                        <w:t> </w:t>
                      </w:r>
                      <w:r>
                        <w:rPr/>
                        <w:t>la</w:t>
                      </w:r>
                      <w:r>
                        <w:rPr>
                          <w:spacing w:val="-12"/>
                        </w:rPr>
                        <w:t> </w:t>
                      </w:r>
                      <w:r>
                        <w:rPr/>
                        <w:t>venta</w:t>
                      </w:r>
                      <w:r>
                        <w:rPr>
                          <w:spacing w:val="-11"/>
                        </w:rPr>
                        <w:t> </w:t>
                      </w:r>
                      <w:r>
                        <w:rPr/>
                        <w:t>en</w:t>
                      </w:r>
                      <w:r>
                        <w:rPr>
                          <w:spacing w:val="-8"/>
                        </w:rPr>
                        <w:t> </w:t>
                      </w:r>
                      <w:r>
                        <w:rPr/>
                        <w:t>forma</w:t>
                      </w:r>
                      <w:r>
                        <w:rPr>
                          <w:spacing w:val="-11"/>
                        </w:rPr>
                        <w:t> </w:t>
                      </w:r>
                      <w:r>
                        <w:rPr/>
                        <w:t>inmediata.</w:t>
                      </w:r>
                      <w:r>
                        <w:rPr>
                          <w:spacing w:val="-12"/>
                        </w:rPr>
                        <w:t> </w:t>
                      </w:r>
                      <w:r>
                        <w:rPr/>
                        <w:t>Conforme</w:t>
                      </w:r>
                      <w:r>
                        <w:rPr>
                          <w:spacing w:val="-14"/>
                        </w:rPr>
                        <w:t> </w:t>
                      </w:r>
                      <w:r>
                        <w:rPr/>
                        <w:t>se</w:t>
                      </w:r>
                      <w:r>
                        <w:rPr>
                          <w:spacing w:val="-12"/>
                        </w:rPr>
                        <w:t> </w:t>
                      </w:r>
                      <w:r>
                        <w:rPr/>
                        <w:t>compra</w:t>
                      </w:r>
                      <w:r>
                        <w:rPr>
                          <w:spacing w:val="-12"/>
                        </w:rPr>
                        <w:t> </w:t>
                      </w:r>
                      <w:r>
                        <w:rPr/>
                        <w:t>y</w:t>
                      </w:r>
                      <w:r>
                        <w:rPr>
                          <w:spacing w:val="-12"/>
                        </w:rPr>
                        <w:t> </w:t>
                      </w:r>
                      <w:r>
                        <w:rPr/>
                        <w:t>se</w:t>
                      </w:r>
                      <w:r>
                        <w:rPr>
                          <w:spacing w:val="-12"/>
                        </w:rPr>
                        <w:t> </w:t>
                      </w:r>
                      <w:r>
                        <w:rPr/>
                        <w:t>vende,</w:t>
                      </w:r>
                      <w:r>
                        <w:rPr>
                          <w:spacing w:val="-11"/>
                        </w:rPr>
                        <w:t> </w:t>
                      </w:r>
                      <w:r>
                        <w:rPr/>
                        <w:t>se</w:t>
                      </w:r>
                      <w:r>
                        <w:rPr>
                          <w:spacing w:val="-12"/>
                        </w:rPr>
                        <w:t> </w:t>
                      </w:r>
                      <w:r>
                        <w:rPr/>
                        <w:t>va</w:t>
                      </w:r>
                      <w:r>
                        <w:rPr>
                          <w:spacing w:val="-12"/>
                        </w:rPr>
                        <w:t> </w:t>
                      </w:r>
                      <w:r>
                        <w:rPr/>
                        <w:t>afectando</w:t>
                      </w:r>
                      <w:r>
                        <w:rPr>
                          <w:spacing w:val="-10"/>
                        </w:rPr>
                        <w:t> </w:t>
                      </w:r>
                      <w:r>
                        <w:rPr/>
                        <w:t>el</w:t>
                      </w:r>
                      <w:r>
                        <w:rPr>
                          <w:spacing w:val="-11"/>
                        </w:rPr>
                        <w:t> </w:t>
                      </w:r>
                      <w:r>
                        <w:rPr/>
                        <w:t>costo de la mercadería vendida.</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5696">
                <wp:simplePos x="0" y="0"/>
                <wp:positionH relativeFrom="page">
                  <wp:posOffset>9525</wp:posOffset>
                </wp:positionH>
                <wp:positionV relativeFrom="page">
                  <wp:posOffset>297208</wp:posOffset>
                </wp:positionV>
                <wp:extent cx="7762875" cy="974852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762875" cy="9748520"/>
                          <a:chExt cx="7762875" cy="9748520"/>
                        </a:xfrm>
                      </wpg:grpSpPr>
                      <pic:pic>
                        <pic:nvPicPr>
                          <pic:cNvPr id="266" name="Image 266"/>
                          <pic:cNvPicPr/>
                        </pic:nvPicPr>
                        <pic:blipFill>
                          <a:blip r:embed="rId5" cstate="print"/>
                          <a:stretch>
                            <a:fillRect/>
                          </a:stretch>
                        </pic:blipFill>
                        <pic:spPr>
                          <a:xfrm>
                            <a:off x="0" y="0"/>
                            <a:ext cx="7762874" cy="9748489"/>
                          </a:xfrm>
                          <a:prstGeom prst="rect">
                            <a:avLst/>
                          </a:prstGeom>
                        </pic:spPr>
                      </pic:pic>
                      <wps:wsp>
                        <wps:cNvPr id="267" name="Graphic 26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1139875" y="2363949"/>
                            <a:ext cx="608330" cy="6350"/>
                          </a:xfrm>
                          <a:custGeom>
                            <a:avLst/>
                            <a:gdLst/>
                            <a:ahLst/>
                            <a:cxnLst/>
                            <a:rect l="l" t="t" r="r" b="b"/>
                            <a:pathLst>
                              <a:path w="608330" h="6350">
                                <a:moveTo>
                                  <a:pt x="608076" y="0"/>
                                </a:moveTo>
                                <a:lnTo>
                                  <a:pt x="0" y="0"/>
                                </a:lnTo>
                                <a:lnTo>
                                  <a:pt x="0" y="6096"/>
                                </a:lnTo>
                                <a:lnTo>
                                  <a:pt x="608076" y="6096"/>
                                </a:lnTo>
                                <a:lnTo>
                                  <a:pt x="608076" y="0"/>
                                </a:lnTo>
                                <a:close/>
                              </a:path>
                            </a:pathLst>
                          </a:custGeom>
                          <a:solidFill>
                            <a:srgbClr val="1F4E79"/>
                          </a:solidFill>
                        </wps:spPr>
                        <wps:bodyPr wrap="square" lIns="0" tIns="0" rIns="0" bIns="0" rtlCol="0">
                          <a:prstTxWarp prst="textNoShape">
                            <a:avLst/>
                          </a:prstTxWarp>
                          <a:noAutofit/>
                        </wps:bodyPr>
                      </wps:wsp>
                      <wps:wsp>
                        <wps:cNvPr id="269" name="Graphic 269"/>
                        <wps:cNvSpPr/>
                        <wps:spPr>
                          <a:xfrm>
                            <a:off x="1068247" y="2219168"/>
                            <a:ext cx="5721350" cy="6520815"/>
                          </a:xfrm>
                          <a:custGeom>
                            <a:avLst/>
                            <a:gdLst/>
                            <a:ahLst/>
                            <a:cxnLst/>
                            <a:rect l="l" t="t" r="r" b="b"/>
                            <a:pathLst>
                              <a:path w="5721350" h="6520815">
                                <a:moveTo>
                                  <a:pt x="6096" y="6172"/>
                                </a:moveTo>
                                <a:lnTo>
                                  <a:pt x="0" y="6172"/>
                                </a:lnTo>
                                <a:lnTo>
                                  <a:pt x="0" y="6514541"/>
                                </a:lnTo>
                                <a:lnTo>
                                  <a:pt x="6096" y="6514541"/>
                                </a:lnTo>
                                <a:lnTo>
                                  <a:pt x="6096" y="6172"/>
                                </a:lnTo>
                                <a:close/>
                              </a:path>
                              <a:path w="5721350" h="6520815">
                                <a:moveTo>
                                  <a:pt x="5720778" y="6514554"/>
                                </a:moveTo>
                                <a:lnTo>
                                  <a:pt x="5714746" y="6514554"/>
                                </a:lnTo>
                                <a:lnTo>
                                  <a:pt x="6096" y="6514554"/>
                                </a:lnTo>
                                <a:lnTo>
                                  <a:pt x="0" y="6514554"/>
                                </a:lnTo>
                                <a:lnTo>
                                  <a:pt x="0" y="6520637"/>
                                </a:lnTo>
                                <a:lnTo>
                                  <a:pt x="6096" y="6520637"/>
                                </a:lnTo>
                                <a:lnTo>
                                  <a:pt x="5714695" y="6520637"/>
                                </a:lnTo>
                                <a:lnTo>
                                  <a:pt x="5720778" y="6520637"/>
                                </a:lnTo>
                                <a:lnTo>
                                  <a:pt x="5720778" y="6514554"/>
                                </a:lnTo>
                                <a:close/>
                              </a:path>
                              <a:path w="5721350" h="6520815">
                                <a:moveTo>
                                  <a:pt x="5720778" y="6172"/>
                                </a:moveTo>
                                <a:lnTo>
                                  <a:pt x="5714695" y="6172"/>
                                </a:lnTo>
                                <a:lnTo>
                                  <a:pt x="5714695" y="6514541"/>
                                </a:lnTo>
                                <a:lnTo>
                                  <a:pt x="5720778" y="6514541"/>
                                </a:lnTo>
                                <a:lnTo>
                                  <a:pt x="5720778" y="6172"/>
                                </a:lnTo>
                                <a:close/>
                              </a:path>
                              <a:path w="5721350" h="6520815">
                                <a:moveTo>
                                  <a:pt x="5720778" y="0"/>
                                </a:moveTo>
                                <a:lnTo>
                                  <a:pt x="5714746" y="0"/>
                                </a:lnTo>
                                <a:lnTo>
                                  <a:pt x="6096" y="0"/>
                                </a:lnTo>
                                <a:lnTo>
                                  <a:pt x="0" y="0"/>
                                </a:lnTo>
                                <a:lnTo>
                                  <a:pt x="0" y="6096"/>
                                </a:lnTo>
                                <a:lnTo>
                                  <a:pt x="6096" y="6096"/>
                                </a:lnTo>
                                <a:lnTo>
                                  <a:pt x="5714695" y="6096"/>
                                </a:lnTo>
                                <a:lnTo>
                                  <a:pt x="5720778" y="6096"/>
                                </a:lnTo>
                                <a:lnTo>
                                  <a:pt x="57207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50784" id="docshapegroup251" coordorigin="15,468" coordsize="12225,15352">
                <v:shape style="position:absolute;left:15;top:468;width:12225;height:15352" type="#_x0000_t75" id="docshape252" stroked="false">
                  <v:imagedata r:id="rId5" o:title=""/>
                </v:shape>
                <v:rect style="position:absolute;left:1673;top:2028;width:8897;height:15" id="docshape253" filled="true" fillcolor="#000000" stroked="false">
                  <v:fill type="solid"/>
                </v:rect>
                <v:rect style="position:absolute;left:1810;top:4190;width:958;height:10" id="docshape254" filled="true" fillcolor="#1f4e79" stroked="false">
                  <v:fill type="solid"/>
                </v:rect>
                <v:shape style="position:absolute;left:1697;top:3962;width:9010;height:10269" id="docshape255" coordorigin="1697,3963" coordsize="9010,10269" path="m1707,3973l1697,3973,1697,14222,1707,14222,1707,3973xm10706,14222l10697,14222,10697,14222,1707,14222,1697,14222,1697,14232,1707,14232,10697,14232,10697,14232,10706,14232,10706,14222xm10706,3973l10697,3973,10697,14222,10706,14222,10706,3973xm10706,3963l10697,3963,10697,3963,1707,3963,1697,3963,1697,3972,1707,3972,10697,3972,10697,3972,10706,3972,10706,3963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58</w:t>
      </w:r>
    </w:p>
    <w:p>
      <w:pPr>
        <w:pStyle w:val="Heading6"/>
        <w:spacing w:before="218"/>
        <w:ind w:left="622"/>
      </w:pPr>
      <w:r>
        <w:rPr>
          <w:spacing w:val="-2"/>
        </w:rPr>
        <w:t>Revelación:</w:t>
      </w:r>
    </w:p>
    <w:p>
      <w:pPr>
        <w:pStyle w:val="BodyText"/>
        <w:spacing w:before="159"/>
        <w:ind w:left="622" w:right="976"/>
        <w:jc w:val="both"/>
      </w:pPr>
      <w:r>
        <w:rPr/>
        <w:t>La cuenta Inventarios, representa el 2,89% del total del Activo, que comparado al periodo anterior genera una variación</w:t>
      </w:r>
      <w:r>
        <w:rPr>
          <w:spacing w:val="-1"/>
        </w:rPr>
        <w:t> </w:t>
      </w:r>
      <w:r>
        <w:rPr/>
        <w:t>absoluta de ¢494.012,06</w:t>
      </w:r>
      <w:r>
        <w:rPr>
          <w:spacing w:val="-1"/>
        </w:rPr>
        <w:t> </w:t>
      </w:r>
      <w:r>
        <w:rPr/>
        <w:t>que corresponde a aumento del 9,38% de recursos dis-</w:t>
      </w:r>
      <w:r>
        <w:rPr>
          <w:spacing w:val="-2"/>
        </w:rPr>
        <w:t>ponibles.</w:t>
      </w:r>
    </w:p>
    <w:p>
      <w:pPr>
        <w:pStyle w:val="BodyText"/>
      </w:pPr>
    </w:p>
    <w:p>
      <w:pPr>
        <w:pStyle w:val="BodyText"/>
        <w:spacing w:before="80"/>
      </w:pPr>
    </w:p>
    <w:p>
      <w:pPr>
        <w:pStyle w:val="Heading6"/>
        <w:ind w:left="730"/>
        <w:rPr>
          <w:b w:val="0"/>
        </w:rPr>
      </w:pPr>
      <w:r>
        <w:rPr>
          <w:color w:val="1F4E79"/>
          <w:spacing w:val="-2"/>
        </w:rPr>
        <w:t>Revelación</w:t>
      </w:r>
      <w:r>
        <w:rPr>
          <w:b w:val="0"/>
          <w:spacing w:val="-2"/>
        </w:rPr>
        <w:t>:</w:t>
      </w:r>
    </w:p>
    <w:p>
      <w:pPr>
        <w:pStyle w:val="BodyText"/>
        <w:spacing w:line="259" w:lineRule="auto" w:before="181"/>
        <w:ind w:left="730" w:right="860"/>
      </w:pPr>
      <w:r>
        <w:rPr/>
        <w:t>El</w:t>
      </w:r>
      <w:r>
        <w:rPr>
          <w:spacing w:val="-8"/>
        </w:rPr>
        <w:t> </w:t>
      </w:r>
      <w:r>
        <w:rPr/>
        <w:t>importe</w:t>
      </w:r>
      <w:r>
        <w:rPr>
          <w:spacing w:val="-8"/>
        </w:rPr>
        <w:t> </w:t>
      </w:r>
      <w:r>
        <w:rPr/>
        <w:t>total</w:t>
      </w:r>
      <w:r>
        <w:rPr>
          <w:spacing w:val="-8"/>
        </w:rPr>
        <w:t> </w:t>
      </w:r>
      <w:r>
        <w:rPr/>
        <w:t>en</w:t>
      </w:r>
      <w:r>
        <w:rPr>
          <w:spacing w:val="-7"/>
        </w:rPr>
        <w:t> </w:t>
      </w:r>
      <w:r>
        <w:rPr/>
        <w:t>libros</w:t>
      </w:r>
      <w:r>
        <w:rPr>
          <w:spacing w:val="-6"/>
        </w:rPr>
        <w:t> </w:t>
      </w:r>
      <w:r>
        <w:rPr/>
        <w:t>de</w:t>
      </w:r>
      <w:r>
        <w:rPr>
          <w:spacing w:val="-11"/>
        </w:rPr>
        <w:t> </w:t>
      </w:r>
      <w:r>
        <w:rPr/>
        <w:t>los</w:t>
      </w:r>
      <w:r>
        <w:rPr>
          <w:spacing w:val="-6"/>
        </w:rPr>
        <w:t> </w:t>
      </w:r>
      <w:r>
        <w:rPr/>
        <w:t>inventarios</w:t>
      </w:r>
      <w:r>
        <w:rPr>
          <w:spacing w:val="-6"/>
        </w:rPr>
        <w:t> </w:t>
      </w:r>
      <w:r>
        <w:rPr/>
        <w:t>y</w:t>
      </w:r>
      <w:r>
        <w:rPr>
          <w:spacing w:val="-8"/>
        </w:rPr>
        <w:t> </w:t>
      </w:r>
      <w:r>
        <w:rPr/>
        <w:t>los</w:t>
      </w:r>
      <w:r>
        <w:rPr>
          <w:spacing w:val="-6"/>
        </w:rPr>
        <w:t> </w:t>
      </w:r>
      <w:r>
        <w:rPr/>
        <w:t>importes</w:t>
      </w:r>
      <w:r>
        <w:rPr>
          <w:spacing w:val="-6"/>
        </w:rPr>
        <w:t> </w:t>
      </w:r>
      <w:r>
        <w:rPr/>
        <w:t>según</w:t>
      </w:r>
      <w:r>
        <w:rPr>
          <w:spacing w:val="-7"/>
        </w:rPr>
        <w:t> </w:t>
      </w:r>
      <w:r>
        <w:rPr/>
        <w:t>la</w:t>
      </w:r>
      <w:r>
        <w:rPr>
          <w:spacing w:val="-8"/>
        </w:rPr>
        <w:t> </w:t>
      </w:r>
      <w:r>
        <w:rPr/>
        <w:t>clasificación</w:t>
      </w:r>
      <w:r>
        <w:rPr>
          <w:spacing w:val="-7"/>
        </w:rPr>
        <w:t> </w:t>
      </w:r>
      <w:r>
        <w:rPr/>
        <w:t>utilizada</w:t>
      </w:r>
      <w:r>
        <w:rPr>
          <w:spacing w:val="-8"/>
        </w:rPr>
        <w:t> </w:t>
      </w:r>
      <w:r>
        <w:rPr/>
        <w:t>por</w:t>
      </w:r>
      <w:r>
        <w:rPr>
          <w:spacing w:val="-7"/>
        </w:rPr>
        <w:t> </w:t>
      </w:r>
      <w:r>
        <w:rPr/>
        <w:t>el</w:t>
      </w:r>
      <w:r>
        <w:rPr>
          <w:spacing w:val="-8"/>
        </w:rPr>
        <w:t> </w:t>
      </w:r>
      <w:r>
        <w:rPr/>
        <w:t>IMAS, Al 31 de julio 2026 y 2025 respectivamente es la siguiente:</w:t>
      </w:r>
    </w:p>
    <w:tbl>
      <w:tblPr>
        <w:tblW w:w="0" w:type="auto"/>
        <w:jc w:val="left"/>
        <w:tblInd w:w="17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91"/>
        <w:gridCol w:w="3328"/>
        <w:gridCol w:w="315"/>
        <w:gridCol w:w="972"/>
        <w:gridCol w:w="972"/>
        <w:gridCol w:w="727"/>
      </w:tblGrid>
      <w:tr>
        <w:trPr>
          <w:trHeight w:val="168" w:hRule="atLeast"/>
        </w:trPr>
        <w:tc>
          <w:tcPr>
            <w:tcW w:w="491" w:type="dxa"/>
            <w:shd w:val="clear" w:color="auto" w:fill="365F92"/>
          </w:tcPr>
          <w:p>
            <w:pPr>
              <w:pStyle w:val="TableParagraph"/>
              <w:spacing w:line="128" w:lineRule="exact" w:before="20"/>
              <w:ind w:left="19"/>
              <w:rPr>
                <w:b/>
                <w:sz w:val="12"/>
              </w:rPr>
            </w:pPr>
            <w:r>
              <w:rPr>
                <w:b/>
                <w:color w:val="FFFFFF"/>
                <w:spacing w:val="-2"/>
                <w:sz w:val="12"/>
              </w:rPr>
              <w:t>1.1.4.</w:t>
            </w:r>
          </w:p>
        </w:tc>
        <w:tc>
          <w:tcPr>
            <w:tcW w:w="3328" w:type="dxa"/>
            <w:shd w:val="clear" w:color="auto" w:fill="365F92"/>
          </w:tcPr>
          <w:p>
            <w:pPr>
              <w:pStyle w:val="TableParagraph"/>
              <w:spacing w:line="128" w:lineRule="exact" w:before="20"/>
              <w:ind w:left="18"/>
              <w:rPr>
                <w:b/>
                <w:sz w:val="12"/>
              </w:rPr>
            </w:pPr>
            <w:r>
              <w:rPr>
                <w:b/>
                <w:color w:val="FFFFFF"/>
                <w:spacing w:val="-2"/>
                <w:sz w:val="12"/>
              </w:rPr>
              <w:t>Inventarios</w:t>
            </w:r>
          </w:p>
        </w:tc>
        <w:tc>
          <w:tcPr>
            <w:tcW w:w="315" w:type="dxa"/>
            <w:shd w:val="clear" w:color="auto" w:fill="365F92"/>
          </w:tcPr>
          <w:p>
            <w:pPr>
              <w:pStyle w:val="TableParagraph"/>
              <w:spacing w:line="128" w:lineRule="exact" w:before="20"/>
              <w:ind w:left="97"/>
              <w:rPr>
                <w:sz w:val="12"/>
              </w:rPr>
            </w:pPr>
            <w:r>
              <w:rPr>
                <w:color w:val="FFFFFF"/>
                <w:spacing w:val="-5"/>
                <w:sz w:val="12"/>
              </w:rPr>
              <w:t>06</w:t>
            </w:r>
          </w:p>
        </w:tc>
        <w:tc>
          <w:tcPr>
            <w:tcW w:w="972" w:type="dxa"/>
            <w:shd w:val="clear" w:color="auto" w:fill="365F92"/>
          </w:tcPr>
          <w:p>
            <w:pPr>
              <w:pStyle w:val="TableParagraph"/>
              <w:spacing w:line="128" w:lineRule="exact" w:before="20"/>
              <w:ind w:right="13"/>
              <w:jc w:val="right"/>
              <w:rPr>
                <w:sz w:val="12"/>
              </w:rPr>
            </w:pPr>
            <w:r>
              <w:rPr>
                <w:color w:val="FFFFFF"/>
                <w:sz w:val="12"/>
              </w:rPr>
              <w:t>5</w:t>
            </w:r>
            <w:r>
              <w:rPr>
                <w:color w:val="FFFFFF"/>
                <w:spacing w:val="-6"/>
                <w:sz w:val="12"/>
              </w:rPr>
              <w:t> </w:t>
            </w:r>
            <w:r>
              <w:rPr>
                <w:color w:val="FFFFFF"/>
                <w:sz w:val="12"/>
              </w:rPr>
              <w:t>759</w:t>
            </w:r>
            <w:r>
              <w:rPr>
                <w:color w:val="FFFFFF"/>
                <w:spacing w:val="-5"/>
                <w:sz w:val="12"/>
              </w:rPr>
              <w:t> </w:t>
            </w:r>
            <w:r>
              <w:rPr>
                <w:color w:val="FFFFFF"/>
                <w:spacing w:val="-2"/>
                <w:sz w:val="12"/>
              </w:rPr>
              <w:t>054,33</w:t>
            </w:r>
          </w:p>
        </w:tc>
        <w:tc>
          <w:tcPr>
            <w:tcW w:w="972" w:type="dxa"/>
            <w:shd w:val="clear" w:color="auto" w:fill="365F92"/>
          </w:tcPr>
          <w:p>
            <w:pPr>
              <w:pStyle w:val="TableParagraph"/>
              <w:spacing w:line="128" w:lineRule="exact" w:before="20"/>
              <w:ind w:right="14"/>
              <w:jc w:val="right"/>
              <w:rPr>
                <w:sz w:val="12"/>
              </w:rPr>
            </w:pPr>
            <w:r>
              <w:rPr>
                <w:color w:val="FFFFFF"/>
                <w:sz w:val="12"/>
              </w:rPr>
              <w:t>5</w:t>
            </w:r>
            <w:r>
              <w:rPr>
                <w:color w:val="FFFFFF"/>
                <w:spacing w:val="-6"/>
                <w:sz w:val="12"/>
              </w:rPr>
              <w:t> </w:t>
            </w:r>
            <w:r>
              <w:rPr>
                <w:color w:val="FFFFFF"/>
                <w:sz w:val="12"/>
              </w:rPr>
              <w:t>265</w:t>
            </w:r>
            <w:r>
              <w:rPr>
                <w:color w:val="FFFFFF"/>
                <w:spacing w:val="-5"/>
                <w:sz w:val="12"/>
              </w:rPr>
              <w:t> </w:t>
            </w:r>
            <w:r>
              <w:rPr>
                <w:color w:val="FFFFFF"/>
                <w:spacing w:val="-2"/>
                <w:sz w:val="12"/>
              </w:rPr>
              <w:t>042,27</w:t>
            </w:r>
          </w:p>
        </w:tc>
        <w:tc>
          <w:tcPr>
            <w:tcW w:w="727" w:type="dxa"/>
            <w:shd w:val="clear" w:color="auto" w:fill="365F92"/>
          </w:tcPr>
          <w:p>
            <w:pPr>
              <w:pStyle w:val="TableParagraph"/>
              <w:spacing w:line="128" w:lineRule="exact" w:before="20"/>
              <w:ind w:right="2"/>
              <w:jc w:val="center"/>
              <w:rPr>
                <w:sz w:val="12"/>
              </w:rPr>
            </w:pPr>
            <w:r>
              <w:rPr>
                <w:color w:val="FFFFFF"/>
                <w:spacing w:val="-2"/>
                <w:sz w:val="12"/>
              </w:rPr>
              <w:t>9,38%</w:t>
            </w:r>
          </w:p>
        </w:tc>
      </w:tr>
      <w:tr>
        <w:trPr>
          <w:trHeight w:val="168" w:hRule="atLeast"/>
        </w:trPr>
        <w:tc>
          <w:tcPr>
            <w:tcW w:w="491" w:type="dxa"/>
          </w:tcPr>
          <w:p>
            <w:pPr>
              <w:pStyle w:val="TableParagraph"/>
              <w:spacing w:line="128" w:lineRule="exact" w:before="20"/>
              <w:ind w:left="15"/>
              <w:rPr>
                <w:sz w:val="12"/>
              </w:rPr>
            </w:pPr>
            <w:r>
              <w:rPr>
                <w:spacing w:val="-2"/>
                <w:sz w:val="12"/>
              </w:rPr>
              <w:t>1.1.4.01.</w:t>
            </w:r>
          </w:p>
        </w:tc>
        <w:tc>
          <w:tcPr>
            <w:tcW w:w="3328" w:type="dxa"/>
          </w:tcPr>
          <w:p>
            <w:pPr>
              <w:pStyle w:val="TableParagraph"/>
              <w:spacing w:line="128" w:lineRule="exact" w:before="20"/>
              <w:ind w:left="15"/>
              <w:rPr>
                <w:sz w:val="12"/>
              </w:rPr>
            </w:pPr>
            <w:r>
              <w:rPr>
                <w:sz w:val="12"/>
              </w:rPr>
              <w:t>Materiales</w:t>
            </w:r>
            <w:r>
              <w:rPr>
                <w:spacing w:val="-7"/>
                <w:sz w:val="12"/>
              </w:rPr>
              <w:t> </w:t>
            </w:r>
            <w:r>
              <w:rPr>
                <w:sz w:val="12"/>
              </w:rPr>
              <w:t>y</w:t>
            </w:r>
            <w:r>
              <w:rPr>
                <w:spacing w:val="-6"/>
                <w:sz w:val="12"/>
              </w:rPr>
              <w:t> </w:t>
            </w:r>
            <w:r>
              <w:rPr>
                <w:sz w:val="12"/>
              </w:rPr>
              <w:t>suministros</w:t>
            </w:r>
            <w:r>
              <w:rPr>
                <w:spacing w:val="-7"/>
                <w:sz w:val="12"/>
              </w:rPr>
              <w:t> </w:t>
            </w:r>
            <w:r>
              <w:rPr>
                <w:sz w:val="12"/>
              </w:rPr>
              <w:t>para</w:t>
            </w:r>
            <w:r>
              <w:rPr>
                <w:spacing w:val="-8"/>
                <w:sz w:val="12"/>
              </w:rPr>
              <w:t> </w:t>
            </w:r>
            <w:r>
              <w:rPr>
                <w:sz w:val="12"/>
              </w:rPr>
              <w:t>consumo</w:t>
            </w:r>
            <w:r>
              <w:rPr>
                <w:spacing w:val="-7"/>
                <w:sz w:val="12"/>
              </w:rPr>
              <w:t> </w:t>
            </w:r>
            <w:r>
              <w:rPr>
                <w:sz w:val="12"/>
              </w:rPr>
              <w:t>y</w:t>
            </w:r>
            <w:r>
              <w:rPr>
                <w:spacing w:val="-7"/>
                <w:sz w:val="12"/>
              </w:rPr>
              <w:t> </w:t>
            </w:r>
            <w:r>
              <w:rPr>
                <w:sz w:val="12"/>
              </w:rPr>
              <w:t>prestación</w:t>
            </w:r>
            <w:r>
              <w:rPr>
                <w:spacing w:val="-8"/>
                <w:sz w:val="12"/>
              </w:rPr>
              <w:t> </w:t>
            </w:r>
            <w:r>
              <w:rPr>
                <w:sz w:val="12"/>
              </w:rPr>
              <w:t>de</w:t>
            </w:r>
            <w:r>
              <w:rPr>
                <w:spacing w:val="-6"/>
                <w:sz w:val="12"/>
              </w:rPr>
              <w:t> </w:t>
            </w:r>
            <w:r>
              <w:rPr>
                <w:spacing w:val="-2"/>
                <w:sz w:val="12"/>
              </w:rPr>
              <w:t>servicios</w:t>
            </w:r>
          </w:p>
        </w:tc>
        <w:tc>
          <w:tcPr>
            <w:tcW w:w="315" w:type="dxa"/>
          </w:tcPr>
          <w:p>
            <w:pPr>
              <w:pStyle w:val="TableParagraph"/>
              <w:rPr>
                <w:rFonts w:ascii="Times New Roman"/>
                <w:sz w:val="10"/>
              </w:rPr>
            </w:pPr>
          </w:p>
        </w:tc>
        <w:tc>
          <w:tcPr>
            <w:tcW w:w="972" w:type="dxa"/>
          </w:tcPr>
          <w:p>
            <w:pPr>
              <w:pStyle w:val="TableParagraph"/>
              <w:spacing w:line="128" w:lineRule="exact" w:before="20"/>
              <w:ind w:right="13"/>
              <w:jc w:val="right"/>
              <w:rPr>
                <w:sz w:val="12"/>
              </w:rPr>
            </w:pPr>
            <w:r>
              <w:rPr>
                <w:sz w:val="12"/>
              </w:rPr>
              <w:t>361</w:t>
            </w:r>
            <w:r>
              <w:rPr>
                <w:spacing w:val="-7"/>
                <w:sz w:val="12"/>
              </w:rPr>
              <w:t> </w:t>
            </w:r>
            <w:r>
              <w:rPr>
                <w:spacing w:val="-2"/>
                <w:sz w:val="12"/>
              </w:rPr>
              <w:t>860,57</w:t>
            </w:r>
          </w:p>
        </w:tc>
        <w:tc>
          <w:tcPr>
            <w:tcW w:w="972" w:type="dxa"/>
          </w:tcPr>
          <w:p>
            <w:pPr>
              <w:pStyle w:val="TableParagraph"/>
              <w:spacing w:line="128" w:lineRule="exact" w:before="20"/>
              <w:ind w:right="15"/>
              <w:jc w:val="right"/>
              <w:rPr>
                <w:sz w:val="12"/>
              </w:rPr>
            </w:pPr>
            <w:r>
              <w:rPr>
                <w:sz w:val="12"/>
              </w:rPr>
              <w:t>196</w:t>
            </w:r>
            <w:r>
              <w:rPr>
                <w:spacing w:val="-7"/>
                <w:sz w:val="12"/>
              </w:rPr>
              <w:t> </w:t>
            </w:r>
            <w:r>
              <w:rPr>
                <w:spacing w:val="-2"/>
                <w:sz w:val="12"/>
              </w:rPr>
              <w:t>286,54</w:t>
            </w:r>
          </w:p>
        </w:tc>
        <w:tc>
          <w:tcPr>
            <w:tcW w:w="727" w:type="dxa"/>
          </w:tcPr>
          <w:p>
            <w:pPr>
              <w:pStyle w:val="TableParagraph"/>
              <w:spacing w:line="128" w:lineRule="exact" w:before="20"/>
              <w:ind w:right="2"/>
              <w:jc w:val="center"/>
              <w:rPr>
                <w:sz w:val="12"/>
              </w:rPr>
            </w:pPr>
            <w:r>
              <w:rPr>
                <w:spacing w:val="-2"/>
                <w:sz w:val="12"/>
              </w:rPr>
              <w:t>84,35%</w:t>
            </w:r>
          </w:p>
        </w:tc>
      </w:tr>
      <w:tr>
        <w:trPr>
          <w:trHeight w:val="168" w:hRule="atLeast"/>
        </w:trPr>
        <w:tc>
          <w:tcPr>
            <w:tcW w:w="491" w:type="dxa"/>
          </w:tcPr>
          <w:p>
            <w:pPr>
              <w:pStyle w:val="TableParagraph"/>
              <w:spacing w:line="129" w:lineRule="exact" w:before="19"/>
              <w:ind w:left="15"/>
              <w:rPr>
                <w:sz w:val="12"/>
              </w:rPr>
            </w:pPr>
            <w:r>
              <w:rPr>
                <w:spacing w:val="-2"/>
                <w:sz w:val="12"/>
              </w:rPr>
              <w:t>1.1.4.02.</w:t>
            </w:r>
          </w:p>
        </w:tc>
        <w:tc>
          <w:tcPr>
            <w:tcW w:w="3328" w:type="dxa"/>
          </w:tcPr>
          <w:p>
            <w:pPr>
              <w:pStyle w:val="TableParagraph"/>
              <w:spacing w:line="129" w:lineRule="exact" w:before="19"/>
              <w:ind w:left="15"/>
              <w:rPr>
                <w:sz w:val="12"/>
              </w:rPr>
            </w:pPr>
            <w:r>
              <w:rPr>
                <w:sz w:val="12"/>
              </w:rPr>
              <w:t>Bienes</w:t>
            </w:r>
            <w:r>
              <w:rPr>
                <w:spacing w:val="-5"/>
                <w:sz w:val="12"/>
              </w:rPr>
              <w:t> </w:t>
            </w:r>
            <w:r>
              <w:rPr>
                <w:sz w:val="12"/>
              </w:rPr>
              <w:t>para</w:t>
            </w:r>
            <w:r>
              <w:rPr>
                <w:spacing w:val="-6"/>
                <w:sz w:val="12"/>
              </w:rPr>
              <w:t> </w:t>
            </w:r>
            <w:r>
              <w:rPr>
                <w:sz w:val="12"/>
              </w:rPr>
              <w:t>la</w:t>
            </w:r>
            <w:r>
              <w:rPr>
                <w:spacing w:val="-7"/>
                <w:sz w:val="12"/>
              </w:rPr>
              <w:t> </w:t>
            </w:r>
            <w:r>
              <w:rPr>
                <w:spacing w:val="-2"/>
                <w:sz w:val="12"/>
              </w:rPr>
              <w:t>venta</w:t>
            </w:r>
          </w:p>
        </w:tc>
        <w:tc>
          <w:tcPr>
            <w:tcW w:w="315" w:type="dxa"/>
          </w:tcPr>
          <w:p>
            <w:pPr>
              <w:pStyle w:val="TableParagraph"/>
              <w:rPr>
                <w:rFonts w:ascii="Times New Roman"/>
                <w:sz w:val="10"/>
              </w:rPr>
            </w:pPr>
          </w:p>
        </w:tc>
        <w:tc>
          <w:tcPr>
            <w:tcW w:w="972" w:type="dxa"/>
          </w:tcPr>
          <w:p>
            <w:pPr>
              <w:pStyle w:val="TableParagraph"/>
              <w:spacing w:line="129" w:lineRule="exact" w:before="19"/>
              <w:ind w:right="13"/>
              <w:jc w:val="right"/>
              <w:rPr>
                <w:sz w:val="12"/>
              </w:rPr>
            </w:pPr>
            <w:r>
              <w:rPr>
                <w:sz w:val="12"/>
              </w:rPr>
              <w:t>5</w:t>
            </w:r>
            <w:r>
              <w:rPr>
                <w:spacing w:val="-6"/>
                <w:sz w:val="12"/>
              </w:rPr>
              <w:t> </w:t>
            </w:r>
            <w:r>
              <w:rPr>
                <w:sz w:val="12"/>
              </w:rPr>
              <w:t>097</w:t>
            </w:r>
            <w:r>
              <w:rPr>
                <w:spacing w:val="-5"/>
                <w:sz w:val="12"/>
              </w:rPr>
              <w:t> </w:t>
            </w:r>
            <w:r>
              <w:rPr>
                <w:spacing w:val="-2"/>
                <w:sz w:val="12"/>
              </w:rPr>
              <w:t>822,28</w:t>
            </w:r>
          </w:p>
        </w:tc>
        <w:tc>
          <w:tcPr>
            <w:tcW w:w="972" w:type="dxa"/>
          </w:tcPr>
          <w:p>
            <w:pPr>
              <w:pStyle w:val="TableParagraph"/>
              <w:spacing w:line="129" w:lineRule="exact" w:before="19"/>
              <w:ind w:right="14"/>
              <w:jc w:val="right"/>
              <w:rPr>
                <w:sz w:val="12"/>
              </w:rPr>
            </w:pPr>
            <w:r>
              <w:rPr>
                <w:sz w:val="12"/>
              </w:rPr>
              <w:t>4</w:t>
            </w:r>
            <w:r>
              <w:rPr>
                <w:spacing w:val="-6"/>
                <w:sz w:val="12"/>
              </w:rPr>
              <w:t> </w:t>
            </w:r>
            <w:r>
              <w:rPr>
                <w:sz w:val="12"/>
              </w:rPr>
              <w:t>357</w:t>
            </w:r>
            <w:r>
              <w:rPr>
                <w:spacing w:val="-5"/>
                <w:sz w:val="12"/>
              </w:rPr>
              <w:t> </w:t>
            </w:r>
            <w:r>
              <w:rPr>
                <w:spacing w:val="-2"/>
                <w:sz w:val="12"/>
              </w:rPr>
              <w:t>084,30</w:t>
            </w:r>
          </w:p>
        </w:tc>
        <w:tc>
          <w:tcPr>
            <w:tcW w:w="727" w:type="dxa"/>
          </w:tcPr>
          <w:p>
            <w:pPr>
              <w:pStyle w:val="TableParagraph"/>
              <w:spacing w:line="129" w:lineRule="exact" w:before="19"/>
              <w:ind w:right="2"/>
              <w:jc w:val="center"/>
              <w:rPr>
                <w:sz w:val="12"/>
              </w:rPr>
            </w:pPr>
            <w:r>
              <w:rPr>
                <w:spacing w:val="-2"/>
                <w:sz w:val="12"/>
              </w:rPr>
              <w:t>17,00%</w:t>
            </w:r>
          </w:p>
        </w:tc>
      </w:tr>
      <w:tr>
        <w:trPr>
          <w:trHeight w:val="168" w:hRule="atLeast"/>
        </w:trPr>
        <w:tc>
          <w:tcPr>
            <w:tcW w:w="491" w:type="dxa"/>
          </w:tcPr>
          <w:p>
            <w:pPr>
              <w:pStyle w:val="TableParagraph"/>
              <w:spacing w:line="129" w:lineRule="exact" w:before="19"/>
              <w:ind w:left="15"/>
              <w:rPr>
                <w:sz w:val="12"/>
              </w:rPr>
            </w:pPr>
            <w:r>
              <w:rPr>
                <w:spacing w:val="-2"/>
                <w:sz w:val="12"/>
              </w:rPr>
              <w:t>1.1.4.03.</w:t>
            </w:r>
          </w:p>
        </w:tc>
        <w:tc>
          <w:tcPr>
            <w:tcW w:w="3328" w:type="dxa"/>
          </w:tcPr>
          <w:p>
            <w:pPr>
              <w:pStyle w:val="TableParagraph"/>
              <w:spacing w:line="129" w:lineRule="exact" w:before="19"/>
              <w:ind w:left="15"/>
              <w:rPr>
                <w:sz w:val="12"/>
              </w:rPr>
            </w:pPr>
            <w:r>
              <w:rPr>
                <w:sz w:val="12"/>
              </w:rPr>
              <w:t>Materias</w:t>
            </w:r>
            <w:r>
              <w:rPr>
                <w:spacing w:val="-6"/>
                <w:sz w:val="12"/>
              </w:rPr>
              <w:t> </w:t>
            </w:r>
            <w:r>
              <w:rPr>
                <w:sz w:val="12"/>
              </w:rPr>
              <w:t>primas</w:t>
            </w:r>
            <w:r>
              <w:rPr>
                <w:spacing w:val="-6"/>
                <w:sz w:val="12"/>
              </w:rPr>
              <w:t> </w:t>
            </w:r>
            <w:r>
              <w:rPr>
                <w:sz w:val="12"/>
              </w:rPr>
              <w:t>y</w:t>
            </w:r>
            <w:r>
              <w:rPr>
                <w:spacing w:val="-6"/>
                <w:sz w:val="12"/>
              </w:rPr>
              <w:t> </w:t>
            </w:r>
            <w:r>
              <w:rPr>
                <w:sz w:val="12"/>
              </w:rPr>
              <w:t>bienes</w:t>
            </w:r>
            <w:r>
              <w:rPr>
                <w:spacing w:val="-6"/>
                <w:sz w:val="12"/>
              </w:rPr>
              <w:t> </w:t>
            </w:r>
            <w:r>
              <w:rPr>
                <w:sz w:val="12"/>
              </w:rPr>
              <w:t>en</w:t>
            </w:r>
            <w:r>
              <w:rPr>
                <w:spacing w:val="-7"/>
                <w:sz w:val="12"/>
              </w:rPr>
              <w:t> </w:t>
            </w:r>
            <w:r>
              <w:rPr>
                <w:spacing w:val="-2"/>
                <w:sz w:val="12"/>
              </w:rPr>
              <w:t>producción</w:t>
            </w:r>
          </w:p>
        </w:tc>
        <w:tc>
          <w:tcPr>
            <w:tcW w:w="315" w:type="dxa"/>
          </w:tcPr>
          <w:p>
            <w:pPr>
              <w:pStyle w:val="TableParagraph"/>
              <w:rPr>
                <w:rFonts w:ascii="Times New Roman"/>
                <w:sz w:val="10"/>
              </w:rPr>
            </w:pPr>
          </w:p>
        </w:tc>
        <w:tc>
          <w:tcPr>
            <w:tcW w:w="972" w:type="dxa"/>
          </w:tcPr>
          <w:p>
            <w:pPr>
              <w:pStyle w:val="TableParagraph"/>
              <w:spacing w:line="129" w:lineRule="exact" w:before="19"/>
              <w:ind w:right="12"/>
              <w:jc w:val="right"/>
              <w:rPr>
                <w:sz w:val="12"/>
              </w:rPr>
            </w:pPr>
            <w:r>
              <w:rPr>
                <w:spacing w:val="-4"/>
                <w:sz w:val="12"/>
              </w:rPr>
              <w:t>0,00</w:t>
            </w:r>
          </w:p>
        </w:tc>
        <w:tc>
          <w:tcPr>
            <w:tcW w:w="972" w:type="dxa"/>
          </w:tcPr>
          <w:p>
            <w:pPr>
              <w:pStyle w:val="TableParagraph"/>
              <w:spacing w:line="129" w:lineRule="exact" w:before="19"/>
              <w:ind w:right="13"/>
              <w:jc w:val="right"/>
              <w:rPr>
                <w:sz w:val="12"/>
              </w:rPr>
            </w:pPr>
            <w:r>
              <w:rPr>
                <w:spacing w:val="-4"/>
                <w:sz w:val="12"/>
              </w:rPr>
              <w:t>0,00</w:t>
            </w:r>
          </w:p>
        </w:tc>
        <w:tc>
          <w:tcPr>
            <w:tcW w:w="727" w:type="dxa"/>
          </w:tcPr>
          <w:p>
            <w:pPr>
              <w:pStyle w:val="TableParagraph"/>
              <w:spacing w:line="129" w:lineRule="exact" w:before="19"/>
              <w:ind w:right="2"/>
              <w:jc w:val="center"/>
              <w:rPr>
                <w:sz w:val="12"/>
              </w:rPr>
            </w:pPr>
            <w:r>
              <w:rPr>
                <w:spacing w:val="-2"/>
                <w:sz w:val="12"/>
              </w:rPr>
              <w:t>0,00%</w:t>
            </w:r>
          </w:p>
        </w:tc>
      </w:tr>
      <w:tr>
        <w:trPr>
          <w:trHeight w:val="168" w:hRule="atLeast"/>
        </w:trPr>
        <w:tc>
          <w:tcPr>
            <w:tcW w:w="491" w:type="dxa"/>
          </w:tcPr>
          <w:p>
            <w:pPr>
              <w:pStyle w:val="TableParagraph"/>
              <w:spacing w:line="129" w:lineRule="exact" w:before="19"/>
              <w:ind w:left="15"/>
              <w:rPr>
                <w:sz w:val="12"/>
              </w:rPr>
            </w:pPr>
            <w:r>
              <w:rPr>
                <w:spacing w:val="-2"/>
                <w:sz w:val="12"/>
              </w:rPr>
              <w:t>1.1.4.04.</w:t>
            </w:r>
          </w:p>
        </w:tc>
        <w:tc>
          <w:tcPr>
            <w:tcW w:w="3328" w:type="dxa"/>
          </w:tcPr>
          <w:p>
            <w:pPr>
              <w:pStyle w:val="TableParagraph"/>
              <w:spacing w:line="129" w:lineRule="exact" w:before="19"/>
              <w:ind w:left="15"/>
              <w:rPr>
                <w:sz w:val="12"/>
              </w:rPr>
            </w:pPr>
            <w:r>
              <w:rPr>
                <w:spacing w:val="-2"/>
                <w:sz w:val="12"/>
              </w:rPr>
              <w:t>Bienes</w:t>
            </w:r>
            <w:r>
              <w:rPr>
                <w:spacing w:val="7"/>
                <w:sz w:val="12"/>
              </w:rPr>
              <w:t> </w:t>
            </w:r>
            <w:r>
              <w:rPr>
                <w:spacing w:val="-2"/>
                <w:sz w:val="12"/>
              </w:rPr>
              <w:t>a</w:t>
            </w:r>
            <w:r>
              <w:rPr>
                <w:spacing w:val="5"/>
                <w:sz w:val="12"/>
              </w:rPr>
              <w:t> </w:t>
            </w:r>
            <w:r>
              <w:rPr>
                <w:spacing w:val="-2"/>
                <w:sz w:val="12"/>
              </w:rPr>
              <w:t>Transferir</w:t>
            </w:r>
            <w:r>
              <w:rPr>
                <w:spacing w:val="3"/>
                <w:sz w:val="12"/>
              </w:rPr>
              <w:t> </w:t>
            </w:r>
            <w:r>
              <w:rPr>
                <w:spacing w:val="-2"/>
                <w:sz w:val="12"/>
              </w:rPr>
              <w:t>sin</w:t>
            </w:r>
            <w:r>
              <w:rPr>
                <w:spacing w:val="5"/>
                <w:sz w:val="12"/>
              </w:rPr>
              <w:t> </w:t>
            </w:r>
            <w:r>
              <w:rPr>
                <w:spacing w:val="-2"/>
                <w:sz w:val="12"/>
              </w:rPr>
              <w:t>contraprestación</w:t>
            </w:r>
            <w:r>
              <w:rPr>
                <w:spacing w:val="5"/>
                <w:sz w:val="12"/>
              </w:rPr>
              <w:t> </w:t>
            </w:r>
            <w:r>
              <w:rPr>
                <w:spacing w:val="-2"/>
                <w:sz w:val="12"/>
              </w:rPr>
              <w:t>-</w:t>
            </w:r>
            <w:r>
              <w:rPr>
                <w:spacing w:val="3"/>
                <w:sz w:val="12"/>
              </w:rPr>
              <w:t> </w:t>
            </w:r>
            <w:r>
              <w:rPr>
                <w:spacing w:val="-2"/>
                <w:sz w:val="12"/>
              </w:rPr>
              <w:t>Donaciones</w:t>
            </w:r>
          </w:p>
        </w:tc>
        <w:tc>
          <w:tcPr>
            <w:tcW w:w="315" w:type="dxa"/>
          </w:tcPr>
          <w:p>
            <w:pPr>
              <w:pStyle w:val="TableParagraph"/>
              <w:rPr>
                <w:rFonts w:ascii="Times New Roman"/>
                <w:sz w:val="10"/>
              </w:rPr>
            </w:pPr>
          </w:p>
        </w:tc>
        <w:tc>
          <w:tcPr>
            <w:tcW w:w="972" w:type="dxa"/>
          </w:tcPr>
          <w:p>
            <w:pPr>
              <w:pStyle w:val="TableParagraph"/>
              <w:spacing w:line="129" w:lineRule="exact" w:before="19"/>
              <w:ind w:right="13"/>
              <w:jc w:val="right"/>
              <w:rPr>
                <w:sz w:val="12"/>
              </w:rPr>
            </w:pPr>
            <w:r>
              <w:rPr>
                <w:sz w:val="12"/>
              </w:rPr>
              <w:t>436</w:t>
            </w:r>
            <w:r>
              <w:rPr>
                <w:spacing w:val="-7"/>
                <w:sz w:val="12"/>
              </w:rPr>
              <w:t> </w:t>
            </w:r>
            <w:r>
              <w:rPr>
                <w:spacing w:val="-2"/>
                <w:sz w:val="12"/>
              </w:rPr>
              <w:t>010,02</w:t>
            </w:r>
          </w:p>
        </w:tc>
        <w:tc>
          <w:tcPr>
            <w:tcW w:w="972" w:type="dxa"/>
          </w:tcPr>
          <w:p>
            <w:pPr>
              <w:pStyle w:val="TableParagraph"/>
              <w:spacing w:line="129" w:lineRule="exact" w:before="19"/>
              <w:ind w:right="15"/>
              <w:jc w:val="right"/>
              <w:rPr>
                <w:sz w:val="12"/>
              </w:rPr>
            </w:pPr>
            <w:r>
              <w:rPr>
                <w:sz w:val="12"/>
              </w:rPr>
              <w:t>847</w:t>
            </w:r>
            <w:r>
              <w:rPr>
                <w:spacing w:val="-7"/>
                <w:sz w:val="12"/>
              </w:rPr>
              <w:t> </w:t>
            </w:r>
            <w:r>
              <w:rPr>
                <w:spacing w:val="-2"/>
                <w:sz w:val="12"/>
              </w:rPr>
              <w:t>623,16</w:t>
            </w:r>
          </w:p>
        </w:tc>
        <w:tc>
          <w:tcPr>
            <w:tcW w:w="727" w:type="dxa"/>
          </w:tcPr>
          <w:p>
            <w:pPr>
              <w:pStyle w:val="TableParagraph"/>
              <w:spacing w:line="129" w:lineRule="exact" w:before="19"/>
              <w:ind w:right="2"/>
              <w:jc w:val="center"/>
              <w:rPr>
                <w:sz w:val="12"/>
              </w:rPr>
            </w:pPr>
            <w:r>
              <w:rPr>
                <w:spacing w:val="-4"/>
                <w:sz w:val="12"/>
              </w:rPr>
              <w:t>-</w:t>
            </w:r>
            <w:r>
              <w:rPr>
                <w:spacing w:val="-2"/>
                <w:sz w:val="12"/>
              </w:rPr>
              <w:t>48,56%</w:t>
            </w:r>
          </w:p>
        </w:tc>
      </w:tr>
      <w:tr>
        <w:trPr>
          <w:trHeight w:val="168" w:hRule="atLeast"/>
        </w:trPr>
        <w:tc>
          <w:tcPr>
            <w:tcW w:w="491" w:type="dxa"/>
          </w:tcPr>
          <w:p>
            <w:pPr>
              <w:pStyle w:val="TableParagraph"/>
              <w:spacing w:line="129" w:lineRule="exact" w:before="19"/>
              <w:ind w:left="15"/>
              <w:rPr>
                <w:sz w:val="12"/>
              </w:rPr>
            </w:pPr>
            <w:r>
              <w:rPr>
                <w:spacing w:val="-2"/>
                <w:sz w:val="12"/>
              </w:rPr>
              <w:t>1.1.4.99.</w:t>
            </w:r>
          </w:p>
        </w:tc>
        <w:tc>
          <w:tcPr>
            <w:tcW w:w="3328" w:type="dxa"/>
          </w:tcPr>
          <w:p>
            <w:pPr>
              <w:pStyle w:val="TableParagraph"/>
              <w:spacing w:line="129" w:lineRule="exact" w:before="19"/>
              <w:ind w:left="15"/>
              <w:rPr>
                <w:sz w:val="12"/>
              </w:rPr>
            </w:pPr>
            <w:r>
              <w:rPr>
                <w:spacing w:val="-2"/>
                <w:sz w:val="12"/>
              </w:rPr>
              <w:t>Previsiones</w:t>
            </w:r>
            <w:r>
              <w:rPr>
                <w:spacing w:val="5"/>
                <w:sz w:val="12"/>
              </w:rPr>
              <w:t> </w:t>
            </w:r>
            <w:r>
              <w:rPr>
                <w:spacing w:val="-2"/>
                <w:sz w:val="12"/>
              </w:rPr>
              <w:t>para</w:t>
            </w:r>
            <w:r>
              <w:rPr>
                <w:spacing w:val="3"/>
                <w:sz w:val="12"/>
              </w:rPr>
              <w:t> </w:t>
            </w:r>
            <w:r>
              <w:rPr>
                <w:spacing w:val="-2"/>
                <w:sz w:val="12"/>
              </w:rPr>
              <w:t>deterioro</w:t>
            </w:r>
            <w:r>
              <w:rPr>
                <w:spacing w:val="4"/>
                <w:sz w:val="12"/>
              </w:rPr>
              <w:t> </w:t>
            </w:r>
            <w:r>
              <w:rPr>
                <w:spacing w:val="-2"/>
                <w:sz w:val="12"/>
              </w:rPr>
              <w:t>y</w:t>
            </w:r>
            <w:r>
              <w:rPr>
                <w:spacing w:val="4"/>
                <w:sz w:val="12"/>
              </w:rPr>
              <w:t> </w:t>
            </w:r>
            <w:r>
              <w:rPr>
                <w:spacing w:val="-2"/>
                <w:sz w:val="12"/>
              </w:rPr>
              <w:t>pérdidas</w:t>
            </w:r>
            <w:r>
              <w:rPr>
                <w:spacing w:val="5"/>
                <w:sz w:val="12"/>
              </w:rPr>
              <w:t> </w:t>
            </w:r>
            <w:r>
              <w:rPr>
                <w:spacing w:val="-2"/>
                <w:sz w:val="12"/>
              </w:rPr>
              <w:t>de</w:t>
            </w:r>
            <w:r>
              <w:rPr>
                <w:spacing w:val="4"/>
                <w:sz w:val="12"/>
              </w:rPr>
              <w:t> </w:t>
            </w:r>
            <w:r>
              <w:rPr>
                <w:spacing w:val="-2"/>
                <w:sz w:val="12"/>
              </w:rPr>
              <w:t>inventario</w:t>
            </w:r>
            <w:r>
              <w:rPr>
                <w:spacing w:val="3"/>
                <w:sz w:val="12"/>
              </w:rPr>
              <w:t> </w:t>
            </w:r>
            <w:r>
              <w:rPr>
                <w:spacing w:val="-10"/>
                <w:sz w:val="12"/>
              </w:rPr>
              <w:t>*</w:t>
            </w:r>
          </w:p>
        </w:tc>
        <w:tc>
          <w:tcPr>
            <w:tcW w:w="315" w:type="dxa"/>
          </w:tcPr>
          <w:p>
            <w:pPr>
              <w:pStyle w:val="TableParagraph"/>
              <w:rPr>
                <w:rFonts w:ascii="Times New Roman"/>
                <w:sz w:val="10"/>
              </w:rPr>
            </w:pPr>
          </w:p>
        </w:tc>
        <w:tc>
          <w:tcPr>
            <w:tcW w:w="972" w:type="dxa"/>
          </w:tcPr>
          <w:p>
            <w:pPr>
              <w:pStyle w:val="TableParagraph"/>
              <w:spacing w:line="129" w:lineRule="exact" w:before="19"/>
              <w:ind w:right="14"/>
              <w:jc w:val="right"/>
              <w:rPr>
                <w:sz w:val="12"/>
              </w:rPr>
            </w:pPr>
            <w:r>
              <w:rPr>
                <w:spacing w:val="-2"/>
                <w:sz w:val="12"/>
              </w:rPr>
              <w:t>-136</w:t>
            </w:r>
            <w:r>
              <w:rPr>
                <w:spacing w:val="-4"/>
                <w:sz w:val="12"/>
              </w:rPr>
              <w:t> </w:t>
            </w:r>
            <w:r>
              <w:rPr>
                <w:spacing w:val="-2"/>
                <w:sz w:val="12"/>
              </w:rPr>
              <w:t>638,54</w:t>
            </w:r>
          </w:p>
        </w:tc>
        <w:tc>
          <w:tcPr>
            <w:tcW w:w="972" w:type="dxa"/>
          </w:tcPr>
          <w:p>
            <w:pPr>
              <w:pStyle w:val="TableParagraph"/>
              <w:spacing w:line="129" w:lineRule="exact" w:before="19"/>
              <w:ind w:right="15"/>
              <w:jc w:val="right"/>
              <w:rPr>
                <w:sz w:val="12"/>
              </w:rPr>
            </w:pPr>
            <w:r>
              <w:rPr>
                <w:spacing w:val="-2"/>
                <w:sz w:val="12"/>
              </w:rPr>
              <w:t>-135</w:t>
            </w:r>
            <w:r>
              <w:rPr>
                <w:spacing w:val="-4"/>
                <w:sz w:val="12"/>
              </w:rPr>
              <w:t> </w:t>
            </w:r>
            <w:r>
              <w:rPr>
                <w:spacing w:val="-2"/>
                <w:sz w:val="12"/>
              </w:rPr>
              <w:t>951,72</w:t>
            </w:r>
          </w:p>
        </w:tc>
        <w:tc>
          <w:tcPr>
            <w:tcW w:w="727" w:type="dxa"/>
          </w:tcPr>
          <w:p>
            <w:pPr>
              <w:pStyle w:val="TableParagraph"/>
              <w:spacing w:line="129" w:lineRule="exact" w:before="19"/>
              <w:ind w:right="2"/>
              <w:jc w:val="center"/>
              <w:rPr>
                <w:sz w:val="12"/>
              </w:rPr>
            </w:pPr>
            <w:r>
              <w:rPr>
                <w:spacing w:val="-2"/>
                <w:sz w:val="12"/>
              </w:rPr>
              <w:t>0,51%</w:t>
            </w:r>
          </w:p>
        </w:tc>
      </w:tr>
    </w:tbl>
    <w:p>
      <w:pPr>
        <w:pStyle w:val="BodyText"/>
        <w:spacing w:before="184"/>
        <w:ind w:left="730" w:right="919"/>
        <w:jc w:val="both"/>
      </w:pPr>
      <w:r>
        <w:rPr/>
        <w:t>La</w:t>
      </w:r>
      <w:r>
        <w:rPr>
          <w:spacing w:val="-10"/>
        </w:rPr>
        <w:t> </w:t>
      </w:r>
      <w:r>
        <w:rPr/>
        <w:t>partida</w:t>
      </w:r>
      <w:r>
        <w:rPr>
          <w:spacing w:val="-10"/>
        </w:rPr>
        <w:t> </w:t>
      </w:r>
      <w:r>
        <w:rPr/>
        <w:t>incluye</w:t>
      </w:r>
      <w:r>
        <w:rPr>
          <w:spacing w:val="-8"/>
        </w:rPr>
        <w:t> </w:t>
      </w:r>
      <w:r>
        <w:rPr/>
        <w:t>los</w:t>
      </w:r>
      <w:r>
        <w:rPr>
          <w:spacing w:val="-8"/>
        </w:rPr>
        <w:t> </w:t>
      </w:r>
      <w:r>
        <w:rPr/>
        <w:t>inventarios</w:t>
      </w:r>
      <w:r>
        <w:rPr>
          <w:spacing w:val="-9"/>
        </w:rPr>
        <w:t> </w:t>
      </w:r>
      <w:r>
        <w:rPr/>
        <w:t>de</w:t>
      </w:r>
      <w:r>
        <w:rPr>
          <w:spacing w:val="-11"/>
        </w:rPr>
        <w:t> </w:t>
      </w:r>
      <w:r>
        <w:rPr/>
        <w:t>materiales</w:t>
      </w:r>
      <w:r>
        <w:rPr>
          <w:spacing w:val="-9"/>
        </w:rPr>
        <w:t> </w:t>
      </w:r>
      <w:r>
        <w:rPr/>
        <w:t>y</w:t>
      </w:r>
      <w:r>
        <w:rPr>
          <w:spacing w:val="-11"/>
        </w:rPr>
        <w:t> </w:t>
      </w:r>
      <w:r>
        <w:rPr/>
        <w:t>suministros</w:t>
      </w:r>
      <w:r>
        <w:rPr>
          <w:spacing w:val="-9"/>
        </w:rPr>
        <w:t> </w:t>
      </w:r>
      <w:r>
        <w:rPr/>
        <w:t>de</w:t>
      </w:r>
      <w:r>
        <w:rPr>
          <w:spacing w:val="-8"/>
        </w:rPr>
        <w:t> </w:t>
      </w:r>
      <w:r>
        <w:rPr/>
        <w:t>consumo</w:t>
      </w:r>
      <w:r>
        <w:rPr>
          <w:spacing w:val="-9"/>
        </w:rPr>
        <w:t> </w:t>
      </w:r>
      <w:r>
        <w:rPr/>
        <w:t>para</w:t>
      </w:r>
      <w:r>
        <w:rPr>
          <w:spacing w:val="-10"/>
        </w:rPr>
        <w:t> </w:t>
      </w:r>
      <w:r>
        <w:rPr/>
        <w:t>prestación</w:t>
      </w:r>
      <w:r>
        <w:rPr>
          <w:spacing w:val="-9"/>
        </w:rPr>
        <w:t> </w:t>
      </w:r>
      <w:r>
        <w:rPr/>
        <w:t>de</w:t>
      </w:r>
      <w:r>
        <w:rPr>
          <w:spacing w:val="-9"/>
        </w:rPr>
        <w:t> </w:t>
      </w:r>
      <w:r>
        <w:rPr/>
        <w:t>servicios, presenta</w:t>
      </w:r>
      <w:r>
        <w:rPr>
          <w:spacing w:val="-12"/>
        </w:rPr>
        <w:t> </w:t>
      </w:r>
      <w:r>
        <w:rPr/>
        <w:t>un</w:t>
      </w:r>
      <w:r>
        <w:rPr>
          <w:spacing w:val="-12"/>
        </w:rPr>
        <w:t> </w:t>
      </w:r>
      <w:r>
        <w:rPr/>
        <w:t>aumento</w:t>
      </w:r>
      <w:r>
        <w:rPr>
          <w:spacing w:val="-11"/>
        </w:rPr>
        <w:t> </w:t>
      </w:r>
      <w:r>
        <w:rPr/>
        <w:t>del</w:t>
      </w:r>
      <w:r>
        <w:rPr>
          <w:spacing w:val="-11"/>
        </w:rPr>
        <w:t> </w:t>
      </w:r>
      <w:r>
        <w:rPr/>
        <w:t>84,35%</w:t>
      </w:r>
      <w:r>
        <w:rPr>
          <w:spacing w:val="-12"/>
        </w:rPr>
        <w:t> </w:t>
      </w:r>
      <w:r>
        <w:rPr/>
        <w:t>con</w:t>
      </w:r>
      <w:r>
        <w:rPr>
          <w:spacing w:val="-11"/>
        </w:rPr>
        <w:t> </w:t>
      </w:r>
      <w:r>
        <w:rPr/>
        <w:t>respecto</w:t>
      </w:r>
      <w:r>
        <w:rPr>
          <w:spacing w:val="-11"/>
        </w:rPr>
        <w:t> </w:t>
      </w:r>
      <w:r>
        <w:rPr/>
        <w:t>al</w:t>
      </w:r>
      <w:r>
        <w:rPr>
          <w:spacing w:val="-12"/>
        </w:rPr>
        <w:t> </w:t>
      </w:r>
      <w:r>
        <w:rPr/>
        <w:t>año</w:t>
      </w:r>
      <w:r>
        <w:rPr>
          <w:spacing w:val="-11"/>
        </w:rPr>
        <w:t> </w:t>
      </w:r>
      <w:r>
        <w:rPr/>
        <w:t>anterior</w:t>
      </w:r>
      <w:r>
        <w:rPr>
          <w:spacing w:val="-12"/>
        </w:rPr>
        <w:t> </w:t>
      </w:r>
      <w:r>
        <w:rPr/>
        <w:t>producto</w:t>
      </w:r>
      <w:r>
        <w:rPr>
          <w:spacing w:val="-11"/>
        </w:rPr>
        <w:t> </w:t>
      </w:r>
      <w:r>
        <w:rPr/>
        <w:t>de</w:t>
      </w:r>
      <w:r>
        <w:rPr>
          <w:spacing w:val="-11"/>
        </w:rPr>
        <w:t> </w:t>
      </w:r>
      <w:r>
        <w:rPr/>
        <w:t>la</w:t>
      </w:r>
      <w:r>
        <w:rPr>
          <w:spacing w:val="-13"/>
        </w:rPr>
        <w:t> </w:t>
      </w:r>
      <w:r>
        <w:rPr/>
        <w:t>adquisición</w:t>
      </w:r>
      <w:r>
        <w:rPr>
          <w:spacing w:val="-12"/>
        </w:rPr>
        <w:t> </w:t>
      </w:r>
      <w:r>
        <w:rPr/>
        <w:t>de</w:t>
      </w:r>
      <w:r>
        <w:rPr>
          <w:spacing w:val="-11"/>
        </w:rPr>
        <w:t> </w:t>
      </w:r>
      <w:r>
        <w:rPr/>
        <w:t>materiales y</w:t>
      </w:r>
      <w:r>
        <w:rPr>
          <w:spacing w:val="-5"/>
        </w:rPr>
        <w:t> </w:t>
      </w:r>
      <w:r>
        <w:rPr/>
        <w:t>productos</w:t>
      </w:r>
      <w:r>
        <w:rPr>
          <w:spacing w:val="-3"/>
        </w:rPr>
        <w:t> </w:t>
      </w:r>
      <w:r>
        <w:rPr/>
        <w:t>de</w:t>
      </w:r>
      <w:r>
        <w:rPr>
          <w:spacing w:val="-3"/>
        </w:rPr>
        <w:t> </w:t>
      </w:r>
      <w:r>
        <w:rPr/>
        <w:t>plástico,</w:t>
      </w:r>
      <w:r>
        <w:rPr>
          <w:spacing w:val="-2"/>
        </w:rPr>
        <w:t> </w:t>
      </w:r>
      <w:r>
        <w:rPr/>
        <w:t>útiles</w:t>
      </w:r>
      <w:r>
        <w:rPr>
          <w:spacing w:val="-3"/>
        </w:rPr>
        <w:t> </w:t>
      </w:r>
      <w:r>
        <w:rPr/>
        <w:t>y</w:t>
      </w:r>
      <w:r>
        <w:rPr>
          <w:spacing w:val="-5"/>
        </w:rPr>
        <w:t> </w:t>
      </w:r>
      <w:r>
        <w:rPr/>
        <w:t>materiales</w:t>
      </w:r>
      <w:r>
        <w:rPr>
          <w:spacing w:val="-3"/>
        </w:rPr>
        <w:t> </w:t>
      </w:r>
      <w:r>
        <w:rPr/>
        <w:t>de</w:t>
      </w:r>
      <w:r>
        <w:rPr>
          <w:spacing w:val="-3"/>
        </w:rPr>
        <w:t> </w:t>
      </w:r>
      <w:r>
        <w:rPr/>
        <w:t>oficina</w:t>
      </w:r>
      <w:r>
        <w:rPr>
          <w:spacing w:val="-5"/>
        </w:rPr>
        <w:t> </w:t>
      </w:r>
      <w:r>
        <w:rPr/>
        <w:t>y</w:t>
      </w:r>
      <w:r>
        <w:rPr>
          <w:spacing w:val="-5"/>
        </w:rPr>
        <w:t> </w:t>
      </w:r>
      <w:r>
        <w:rPr/>
        <w:t>cómputo,</w:t>
      </w:r>
      <w:r>
        <w:rPr>
          <w:spacing w:val="-1"/>
        </w:rPr>
        <w:t> </w:t>
      </w:r>
      <w:r>
        <w:rPr/>
        <w:t>productos</w:t>
      </w:r>
      <w:r>
        <w:rPr>
          <w:spacing w:val="-3"/>
        </w:rPr>
        <w:t> </w:t>
      </w:r>
      <w:r>
        <w:rPr/>
        <w:t>de</w:t>
      </w:r>
      <w:r>
        <w:rPr>
          <w:spacing w:val="-3"/>
        </w:rPr>
        <w:t> </w:t>
      </w:r>
      <w:r>
        <w:rPr/>
        <w:t>papel,</w:t>
      </w:r>
      <w:r>
        <w:rPr>
          <w:spacing w:val="-4"/>
        </w:rPr>
        <w:t> </w:t>
      </w:r>
      <w:r>
        <w:rPr/>
        <w:t>textiles</w:t>
      </w:r>
      <w:r>
        <w:rPr>
          <w:spacing w:val="-3"/>
        </w:rPr>
        <w:t> </w:t>
      </w:r>
      <w:r>
        <w:rPr/>
        <w:t>y</w:t>
      </w:r>
      <w:r>
        <w:rPr>
          <w:spacing w:val="-5"/>
        </w:rPr>
        <w:t> </w:t>
      </w:r>
      <w:r>
        <w:rPr/>
        <w:t>vestua-rios, cartón e impresos y textiles y vestuarios entre otros.</w:t>
      </w:r>
    </w:p>
    <w:p>
      <w:pPr>
        <w:pStyle w:val="BodyText"/>
        <w:spacing w:before="3"/>
      </w:pPr>
    </w:p>
    <w:p>
      <w:pPr>
        <w:pStyle w:val="BodyText"/>
        <w:spacing w:line="256" w:lineRule="auto"/>
        <w:ind w:left="730" w:right="1001"/>
      </w:pPr>
      <w:r>
        <w:rPr/>
        <w:t>La partida de mayor materialidad corresponde al inventario total de bienes para la venta en las Tiendas</w:t>
      </w:r>
      <w:r>
        <w:rPr>
          <w:spacing w:val="-2"/>
        </w:rPr>
        <w:t> </w:t>
      </w:r>
      <w:r>
        <w:rPr/>
        <w:t>Libres</w:t>
      </w:r>
      <w:r>
        <w:rPr>
          <w:spacing w:val="-2"/>
        </w:rPr>
        <w:t> </w:t>
      </w:r>
      <w:r>
        <w:rPr/>
        <w:t>aeropuertos,</w:t>
      </w:r>
      <w:r>
        <w:rPr>
          <w:spacing w:val="-2"/>
        </w:rPr>
        <w:t> </w:t>
      </w:r>
      <w:r>
        <w:rPr/>
        <w:t>los</w:t>
      </w:r>
      <w:r>
        <w:rPr>
          <w:spacing w:val="-2"/>
        </w:rPr>
        <w:t> </w:t>
      </w:r>
      <w:r>
        <w:rPr/>
        <w:t>cuales</w:t>
      </w:r>
      <w:r>
        <w:rPr>
          <w:spacing w:val="-2"/>
        </w:rPr>
        <w:t> </w:t>
      </w:r>
      <w:r>
        <w:rPr/>
        <w:t>al</w:t>
      </w:r>
      <w:r>
        <w:rPr>
          <w:spacing w:val="-3"/>
        </w:rPr>
        <w:t> </w:t>
      </w:r>
      <w:r>
        <w:rPr/>
        <w:t>31</w:t>
      </w:r>
      <w:r>
        <w:rPr>
          <w:spacing w:val="-3"/>
        </w:rPr>
        <w:t> </w:t>
      </w:r>
      <w:r>
        <w:rPr/>
        <w:t>de</w:t>
      </w:r>
      <w:r>
        <w:rPr>
          <w:spacing w:val="-4"/>
        </w:rPr>
        <w:t> </w:t>
      </w:r>
      <w:r>
        <w:rPr/>
        <w:t>julio</w:t>
      </w:r>
      <w:r>
        <w:rPr>
          <w:spacing w:val="-3"/>
        </w:rPr>
        <w:t> </w:t>
      </w:r>
      <w:r>
        <w:rPr/>
        <w:t>2026</w:t>
      </w:r>
      <w:r>
        <w:rPr>
          <w:spacing w:val="-5"/>
        </w:rPr>
        <w:t> </w:t>
      </w:r>
      <w:r>
        <w:rPr/>
        <w:t>y</w:t>
      </w:r>
      <w:r>
        <w:rPr>
          <w:spacing w:val="-4"/>
        </w:rPr>
        <w:t> </w:t>
      </w:r>
      <w:r>
        <w:rPr/>
        <w:t>2025</w:t>
      </w:r>
      <w:r>
        <w:rPr>
          <w:spacing w:val="-4"/>
        </w:rPr>
        <w:t> </w:t>
      </w:r>
      <w:r>
        <w:rPr/>
        <w:t>respectivamente</w:t>
      </w:r>
      <w:r>
        <w:rPr>
          <w:spacing w:val="-3"/>
        </w:rPr>
        <w:t> </w:t>
      </w:r>
      <w:r>
        <w:rPr/>
        <w:t>es</w:t>
      </w:r>
      <w:r>
        <w:rPr>
          <w:spacing w:val="-2"/>
        </w:rPr>
        <w:t> </w:t>
      </w:r>
      <w:r>
        <w:rPr/>
        <w:t>la</w:t>
      </w:r>
      <w:r>
        <w:rPr>
          <w:spacing w:val="-5"/>
        </w:rPr>
        <w:t> </w:t>
      </w:r>
      <w:r>
        <w:rPr/>
        <w:t>siguiente:</w:t>
      </w:r>
    </w:p>
    <w:p>
      <w:pPr>
        <w:pStyle w:val="BodyText"/>
        <w:spacing w:before="46"/>
        <w:rPr>
          <w:sz w:val="20"/>
        </w:rPr>
      </w:pPr>
    </w:p>
    <w:tbl>
      <w:tblPr>
        <w:tblW w:w="0" w:type="auto"/>
        <w:jc w:val="left"/>
        <w:tblInd w:w="8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8"/>
        <w:gridCol w:w="1800"/>
        <w:gridCol w:w="614"/>
        <w:gridCol w:w="2062"/>
        <w:gridCol w:w="2062"/>
        <w:gridCol w:w="1145"/>
      </w:tblGrid>
      <w:tr>
        <w:trPr>
          <w:trHeight w:val="366" w:hRule="atLeast"/>
        </w:trPr>
        <w:tc>
          <w:tcPr>
            <w:tcW w:w="938" w:type="dxa"/>
            <w:vMerge w:val="restart"/>
            <w:shd w:val="clear" w:color="auto" w:fill="365F92"/>
          </w:tcPr>
          <w:p>
            <w:pPr>
              <w:pStyle w:val="TableParagraph"/>
              <w:spacing w:before="171"/>
              <w:ind w:left="71"/>
              <w:rPr>
                <w:b/>
                <w:sz w:val="20"/>
              </w:rPr>
            </w:pPr>
            <w:r>
              <w:rPr>
                <w:b/>
                <w:color w:val="FFFFFF"/>
                <w:spacing w:val="-2"/>
                <w:sz w:val="20"/>
              </w:rPr>
              <w:t>Cuenta</w:t>
            </w:r>
          </w:p>
        </w:tc>
        <w:tc>
          <w:tcPr>
            <w:tcW w:w="1800" w:type="dxa"/>
            <w:vMerge w:val="restart"/>
            <w:shd w:val="clear" w:color="auto" w:fill="365F92"/>
          </w:tcPr>
          <w:p>
            <w:pPr>
              <w:pStyle w:val="TableParagraph"/>
              <w:spacing w:before="32"/>
              <w:rPr>
                <w:sz w:val="20"/>
              </w:rPr>
            </w:pPr>
          </w:p>
          <w:p>
            <w:pPr>
              <w:pStyle w:val="TableParagraph"/>
              <w:ind w:left="419"/>
              <w:rPr>
                <w:b/>
                <w:sz w:val="20"/>
              </w:rPr>
            </w:pPr>
            <w:r>
              <w:rPr>
                <w:b/>
                <w:color w:val="FFFFFF"/>
                <w:spacing w:val="-2"/>
                <w:sz w:val="20"/>
              </w:rPr>
              <w:t>Descripción</w:t>
            </w:r>
          </w:p>
        </w:tc>
        <w:tc>
          <w:tcPr>
            <w:tcW w:w="614" w:type="dxa"/>
            <w:vMerge w:val="restart"/>
            <w:shd w:val="clear" w:color="auto" w:fill="365F92"/>
          </w:tcPr>
          <w:p>
            <w:pPr>
              <w:pStyle w:val="TableParagraph"/>
              <w:spacing w:before="32"/>
              <w:rPr>
                <w:sz w:val="20"/>
              </w:rPr>
            </w:pPr>
          </w:p>
          <w:p>
            <w:pPr>
              <w:pStyle w:val="TableParagraph"/>
              <w:ind w:left="113"/>
              <w:rPr>
                <w:b/>
                <w:sz w:val="20"/>
              </w:rPr>
            </w:pPr>
            <w:r>
              <w:rPr>
                <w:b/>
                <w:color w:val="FFFFFF"/>
                <w:spacing w:val="-4"/>
                <w:sz w:val="20"/>
              </w:rPr>
              <w:t>Nota</w:t>
            </w:r>
          </w:p>
        </w:tc>
        <w:tc>
          <w:tcPr>
            <w:tcW w:w="2062" w:type="dxa"/>
            <w:vMerge w:val="restart"/>
            <w:shd w:val="clear" w:color="auto" w:fill="365F92"/>
          </w:tcPr>
          <w:p>
            <w:pPr>
              <w:pStyle w:val="TableParagraph"/>
              <w:spacing w:before="32"/>
              <w:rPr>
                <w:sz w:val="20"/>
              </w:rPr>
            </w:pPr>
          </w:p>
          <w:p>
            <w:pPr>
              <w:pStyle w:val="TableParagraph"/>
              <w:ind w:left="120"/>
              <w:rPr>
                <w:b/>
                <w:sz w:val="20"/>
              </w:rPr>
            </w:pPr>
            <w:r>
              <w:rPr>
                <w:b/>
                <w:color w:val="FFFFFF"/>
                <w:sz w:val="20"/>
              </w:rPr>
              <w:t>Periodo</w:t>
            </w:r>
            <w:r>
              <w:rPr>
                <w:b/>
                <w:color w:val="FFFFFF"/>
                <w:spacing w:val="-5"/>
                <w:sz w:val="20"/>
              </w:rPr>
              <w:t> </w:t>
            </w:r>
            <w:r>
              <w:rPr>
                <w:b/>
                <w:color w:val="FFFFFF"/>
                <w:spacing w:val="-2"/>
                <w:sz w:val="20"/>
              </w:rPr>
              <w:t>Actual</w:t>
            </w:r>
          </w:p>
        </w:tc>
        <w:tc>
          <w:tcPr>
            <w:tcW w:w="2062" w:type="dxa"/>
            <w:vMerge w:val="restart"/>
            <w:shd w:val="clear" w:color="auto" w:fill="365F92"/>
          </w:tcPr>
          <w:p>
            <w:pPr>
              <w:pStyle w:val="TableParagraph"/>
              <w:spacing w:before="32"/>
              <w:rPr>
                <w:sz w:val="20"/>
              </w:rPr>
            </w:pPr>
          </w:p>
          <w:p>
            <w:pPr>
              <w:pStyle w:val="TableParagraph"/>
              <w:ind w:left="375"/>
              <w:rPr>
                <w:b/>
                <w:sz w:val="20"/>
              </w:rPr>
            </w:pPr>
            <w:r>
              <w:rPr>
                <w:b/>
                <w:color w:val="FFFFFF"/>
                <w:sz w:val="20"/>
              </w:rPr>
              <w:t>Periodo</w:t>
            </w:r>
            <w:r>
              <w:rPr>
                <w:b/>
                <w:color w:val="FFFFFF"/>
                <w:spacing w:val="-5"/>
                <w:sz w:val="20"/>
              </w:rPr>
              <w:t> </w:t>
            </w:r>
            <w:r>
              <w:rPr>
                <w:b/>
                <w:color w:val="FFFFFF"/>
                <w:spacing w:val="-2"/>
                <w:sz w:val="20"/>
              </w:rPr>
              <w:t>Anterior</w:t>
            </w:r>
          </w:p>
        </w:tc>
        <w:tc>
          <w:tcPr>
            <w:tcW w:w="1145" w:type="dxa"/>
            <w:shd w:val="clear" w:color="auto" w:fill="365F92"/>
          </w:tcPr>
          <w:p>
            <w:pPr>
              <w:pStyle w:val="TableParagraph"/>
              <w:spacing w:before="68"/>
              <w:ind w:left="24"/>
              <w:jc w:val="center"/>
              <w:rPr>
                <w:b/>
                <w:sz w:val="20"/>
              </w:rPr>
            </w:pPr>
            <w:r>
              <w:rPr>
                <w:b/>
                <w:color w:val="FFFFFF"/>
                <w:spacing w:val="-2"/>
                <w:sz w:val="20"/>
              </w:rPr>
              <w:t>Diferencia</w:t>
            </w:r>
          </w:p>
        </w:tc>
      </w:tr>
      <w:tr>
        <w:trPr>
          <w:trHeight w:val="363" w:hRule="atLeast"/>
        </w:trPr>
        <w:tc>
          <w:tcPr>
            <w:tcW w:w="938" w:type="dxa"/>
            <w:vMerge/>
            <w:tcBorders>
              <w:top w:val="nil"/>
            </w:tcBorders>
            <w:shd w:val="clear" w:color="auto" w:fill="365F92"/>
          </w:tcPr>
          <w:p>
            <w:pPr>
              <w:rPr>
                <w:sz w:val="2"/>
                <w:szCs w:val="2"/>
              </w:rPr>
            </w:pPr>
          </w:p>
        </w:tc>
        <w:tc>
          <w:tcPr>
            <w:tcW w:w="1800" w:type="dxa"/>
            <w:vMerge/>
            <w:tcBorders>
              <w:top w:val="nil"/>
            </w:tcBorders>
            <w:shd w:val="clear" w:color="auto" w:fill="365F92"/>
          </w:tcPr>
          <w:p>
            <w:pPr>
              <w:rPr>
                <w:sz w:val="2"/>
                <w:szCs w:val="2"/>
              </w:rPr>
            </w:pPr>
          </w:p>
        </w:tc>
        <w:tc>
          <w:tcPr>
            <w:tcW w:w="614" w:type="dxa"/>
            <w:vMerge/>
            <w:tcBorders>
              <w:top w:val="nil"/>
            </w:tcBorders>
            <w:shd w:val="clear" w:color="auto" w:fill="365F92"/>
          </w:tcPr>
          <w:p>
            <w:pPr>
              <w:rPr>
                <w:sz w:val="2"/>
                <w:szCs w:val="2"/>
              </w:rPr>
            </w:pPr>
          </w:p>
        </w:tc>
        <w:tc>
          <w:tcPr>
            <w:tcW w:w="2062" w:type="dxa"/>
            <w:vMerge/>
            <w:tcBorders>
              <w:top w:val="nil"/>
            </w:tcBorders>
            <w:shd w:val="clear" w:color="auto" w:fill="365F92"/>
          </w:tcPr>
          <w:p>
            <w:pPr>
              <w:rPr>
                <w:sz w:val="2"/>
                <w:szCs w:val="2"/>
              </w:rPr>
            </w:pPr>
          </w:p>
        </w:tc>
        <w:tc>
          <w:tcPr>
            <w:tcW w:w="2062" w:type="dxa"/>
            <w:vMerge/>
            <w:tcBorders>
              <w:top w:val="nil"/>
            </w:tcBorders>
            <w:shd w:val="clear" w:color="auto" w:fill="365F92"/>
          </w:tcPr>
          <w:p>
            <w:pPr>
              <w:rPr>
                <w:sz w:val="2"/>
                <w:szCs w:val="2"/>
              </w:rPr>
            </w:pPr>
          </w:p>
        </w:tc>
        <w:tc>
          <w:tcPr>
            <w:tcW w:w="1145" w:type="dxa"/>
            <w:shd w:val="clear" w:color="auto" w:fill="365F92"/>
          </w:tcPr>
          <w:p>
            <w:pPr>
              <w:pStyle w:val="TableParagraph"/>
              <w:spacing w:before="65"/>
              <w:ind w:left="24" w:right="2"/>
              <w:jc w:val="center"/>
              <w:rPr>
                <w:sz w:val="20"/>
              </w:rPr>
            </w:pPr>
            <w:r>
              <w:rPr>
                <w:color w:val="FFFFFF"/>
                <w:spacing w:val="-10"/>
                <w:sz w:val="20"/>
              </w:rPr>
              <w:t>%</w:t>
            </w:r>
          </w:p>
        </w:tc>
      </w:tr>
      <w:tr>
        <w:trPr>
          <w:trHeight w:val="366" w:hRule="atLeast"/>
        </w:trPr>
        <w:tc>
          <w:tcPr>
            <w:tcW w:w="938" w:type="dxa"/>
          </w:tcPr>
          <w:p>
            <w:pPr>
              <w:pStyle w:val="TableParagraph"/>
              <w:spacing w:before="68"/>
              <w:ind w:left="71"/>
              <w:rPr>
                <w:b/>
                <w:sz w:val="20"/>
              </w:rPr>
            </w:pPr>
            <w:r>
              <w:rPr>
                <w:b/>
                <w:spacing w:val="-2"/>
                <w:sz w:val="20"/>
              </w:rPr>
              <w:t>1.1.4.02.</w:t>
            </w:r>
          </w:p>
        </w:tc>
        <w:tc>
          <w:tcPr>
            <w:tcW w:w="1800" w:type="dxa"/>
          </w:tcPr>
          <w:p>
            <w:pPr>
              <w:pStyle w:val="TableParagraph"/>
              <w:spacing w:before="68"/>
              <w:ind w:left="69"/>
              <w:rPr>
                <w:b/>
                <w:sz w:val="20"/>
              </w:rPr>
            </w:pPr>
            <w:r>
              <w:rPr>
                <w:b/>
                <w:sz w:val="20"/>
              </w:rPr>
              <w:t>Bienes</w:t>
            </w:r>
            <w:r>
              <w:rPr>
                <w:b/>
                <w:spacing w:val="-4"/>
                <w:sz w:val="20"/>
              </w:rPr>
              <w:t> </w:t>
            </w:r>
            <w:r>
              <w:rPr>
                <w:b/>
                <w:sz w:val="20"/>
              </w:rPr>
              <w:t>para</w:t>
            </w:r>
            <w:r>
              <w:rPr>
                <w:b/>
                <w:spacing w:val="-3"/>
                <w:sz w:val="20"/>
              </w:rPr>
              <w:t> </w:t>
            </w:r>
            <w:r>
              <w:rPr>
                <w:b/>
                <w:sz w:val="20"/>
              </w:rPr>
              <w:t>la</w:t>
            </w:r>
            <w:r>
              <w:rPr>
                <w:b/>
                <w:spacing w:val="-4"/>
                <w:sz w:val="20"/>
              </w:rPr>
              <w:t> venta</w:t>
            </w:r>
          </w:p>
        </w:tc>
        <w:tc>
          <w:tcPr>
            <w:tcW w:w="614" w:type="dxa"/>
          </w:tcPr>
          <w:p>
            <w:pPr>
              <w:pStyle w:val="TableParagraph"/>
              <w:spacing w:before="68"/>
              <w:ind w:left="209"/>
              <w:rPr>
                <w:b/>
                <w:sz w:val="20"/>
              </w:rPr>
            </w:pPr>
            <w:r>
              <w:rPr>
                <w:b/>
                <w:spacing w:val="-5"/>
                <w:sz w:val="20"/>
              </w:rPr>
              <w:t>06</w:t>
            </w:r>
          </w:p>
        </w:tc>
        <w:tc>
          <w:tcPr>
            <w:tcW w:w="2062" w:type="dxa"/>
          </w:tcPr>
          <w:p>
            <w:pPr>
              <w:pStyle w:val="TableParagraph"/>
              <w:spacing w:before="68"/>
              <w:ind w:left="514"/>
              <w:rPr>
                <w:b/>
                <w:sz w:val="20"/>
              </w:rPr>
            </w:pPr>
            <w:r>
              <w:rPr>
                <w:b/>
                <w:sz w:val="20"/>
              </w:rPr>
              <w:t>5</w:t>
            </w:r>
            <w:r>
              <w:rPr>
                <w:b/>
                <w:spacing w:val="-2"/>
                <w:sz w:val="20"/>
              </w:rPr>
              <w:t> </w:t>
            </w:r>
            <w:r>
              <w:rPr>
                <w:b/>
                <w:sz w:val="20"/>
              </w:rPr>
              <w:t>097</w:t>
            </w:r>
            <w:r>
              <w:rPr>
                <w:b/>
                <w:spacing w:val="-2"/>
                <w:sz w:val="20"/>
              </w:rPr>
              <w:t> 822,28</w:t>
            </w:r>
          </w:p>
        </w:tc>
        <w:tc>
          <w:tcPr>
            <w:tcW w:w="2062" w:type="dxa"/>
          </w:tcPr>
          <w:p>
            <w:pPr>
              <w:pStyle w:val="TableParagraph"/>
              <w:spacing w:before="68"/>
              <w:ind w:left="515"/>
              <w:rPr>
                <w:b/>
                <w:sz w:val="20"/>
              </w:rPr>
            </w:pPr>
            <w:r>
              <w:rPr>
                <w:b/>
                <w:sz w:val="20"/>
              </w:rPr>
              <w:t>4</w:t>
            </w:r>
            <w:r>
              <w:rPr>
                <w:b/>
                <w:spacing w:val="-2"/>
                <w:sz w:val="20"/>
              </w:rPr>
              <w:t> </w:t>
            </w:r>
            <w:r>
              <w:rPr>
                <w:b/>
                <w:sz w:val="20"/>
              </w:rPr>
              <w:t>357</w:t>
            </w:r>
            <w:r>
              <w:rPr>
                <w:b/>
                <w:spacing w:val="-2"/>
                <w:sz w:val="20"/>
              </w:rPr>
              <w:t> 084,30</w:t>
            </w:r>
          </w:p>
        </w:tc>
        <w:tc>
          <w:tcPr>
            <w:tcW w:w="1145" w:type="dxa"/>
          </w:tcPr>
          <w:p>
            <w:pPr>
              <w:pStyle w:val="TableParagraph"/>
              <w:spacing w:before="68"/>
              <w:ind w:left="24"/>
              <w:jc w:val="center"/>
              <w:rPr>
                <w:b/>
                <w:sz w:val="20"/>
              </w:rPr>
            </w:pPr>
            <w:r>
              <w:rPr>
                <w:b/>
                <w:spacing w:val="-2"/>
                <w:sz w:val="20"/>
              </w:rPr>
              <w:t>17,00%</w:t>
            </w:r>
          </w:p>
        </w:tc>
      </w:tr>
    </w:tbl>
    <w:p>
      <w:pPr>
        <w:pStyle w:val="BodyText"/>
      </w:pPr>
    </w:p>
    <w:p>
      <w:pPr>
        <w:pStyle w:val="BodyText"/>
        <w:ind w:left="730" w:right="974"/>
        <w:jc w:val="both"/>
      </w:pPr>
      <w:r>
        <w:rPr/>
        <w:t>La</w:t>
      </w:r>
      <w:r>
        <w:rPr>
          <w:spacing w:val="-9"/>
        </w:rPr>
        <w:t> </w:t>
      </w:r>
      <w:r>
        <w:rPr/>
        <w:t>cuenta</w:t>
      </w:r>
      <w:r>
        <w:rPr>
          <w:spacing w:val="-9"/>
        </w:rPr>
        <w:t> </w:t>
      </w:r>
      <w:r>
        <w:rPr/>
        <w:t>Inventarios</w:t>
      </w:r>
      <w:r>
        <w:rPr>
          <w:spacing w:val="-8"/>
        </w:rPr>
        <w:t> </w:t>
      </w:r>
      <w:r>
        <w:rPr/>
        <w:t>para</w:t>
      </w:r>
      <w:r>
        <w:rPr>
          <w:spacing w:val="-9"/>
        </w:rPr>
        <w:t> </w:t>
      </w:r>
      <w:r>
        <w:rPr/>
        <w:t>la</w:t>
      </w:r>
      <w:r>
        <w:rPr>
          <w:spacing w:val="-10"/>
        </w:rPr>
        <w:t> </w:t>
      </w:r>
      <w:r>
        <w:rPr/>
        <w:t>venta</w:t>
      </w:r>
      <w:r>
        <w:rPr>
          <w:spacing w:val="-9"/>
        </w:rPr>
        <w:t> </w:t>
      </w:r>
      <w:r>
        <w:rPr/>
        <w:t>de</w:t>
      </w:r>
      <w:r>
        <w:rPr>
          <w:spacing w:val="-10"/>
        </w:rPr>
        <w:t> </w:t>
      </w:r>
      <w:r>
        <w:rPr/>
        <w:t>bienes,</w:t>
      </w:r>
      <w:r>
        <w:rPr>
          <w:spacing w:val="-8"/>
        </w:rPr>
        <w:t> </w:t>
      </w:r>
      <w:r>
        <w:rPr/>
        <w:t>representa</w:t>
      </w:r>
      <w:r>
        <w:rPr>
          <w:spacing w:val="-9"/>
        </w:rPr>
        <w:t> </w:t>
      </w:r>
      <w:r>
        <w:rPr/>
        <w:t>el</w:t>
      </w:r>
      <w:r>
        <w:rPr>
          <w:spacing w:val="-9"/>
        </w:rPr>
        <w:t> </w:t>
      </w:r>
      <w:r>
        <w:rPr/>
        <w:t>2,55%</w:t>
      </w:r>
      <w:r>
        <w:rPr>
          <w:spacing w:val="-9"/>
        </w:rPr>
        <w:t> </w:t>
      </w:r>
      <w:r>
        <w:rPr/>
        <w:t>del</w:t>
      </w:r>
      <w:r>
        <w:rPr>
          <w:spacing w:val="-9"/>
        </w:rPr>
        <w:t> </w:t>
      </w:r>
      <w:r>
        <w:rPr/>
        <w:t>total</w:t>
      </w:r>
      <w:r>
        <w:rPr>
          <w:spacing w:val="-10"/>
        </w:rPr>
        <w:t> </w:t>
      </w:r>
      <w:r>
        <w:rPr/>
        <w:t>de</w:t>
      </w:r>
      <w:r>
        <w:rPr>
          <w:spacing w:val="-10"/>
        </w:rPr>
        <w:t> </w:t>
      </w:r>
      <w:r>
        <w:rPr/>
        <w:t>Activo,</w:t>
      </w:r>
      <w:r>
        <w:rPr>
          <w:spacing w:val="-8"/>
        </w:rPr>
        <w:t> </w:t>
      </w:r>
      <w:r>
        <w:rPr/>
        <w:t>que</w:t>
      </w:r>
      <w:r>
        <w:rPr>
          <w:spacing w:val="-10"/>
        </w:rPr>
        <w:t> </w:t>
      </w:r>
      <w:r>
        <w:rPr/>
        <w:t>comparado al</w:t>
      </w:r>
      <w:r>
        <w:rPr>
          <w:spacing w:val="-8"/>
        </w:rPr>
        <w:t> </w:t>
      </w:r>
      <w:r>
        <w:rPr/>
        <w:t>periodo</w:t>
      </w:r>
      <w:r>
        <w:rPr>
          <w:spacing w:val="-7"/>
        </w:rPr>
        <w:t> </w:t>
      </w:r>
      <w:r>
        <w:rPr/>
        <w:t>anterior</w:t>
      </w:r>
      <w:r>
        <w:rPr>
          <w:spacing w:val="-7"/>
        </w:rPr>
        <w:t> </w:t>
      </w:r>
      <w:r>
        <w:rPr/>
        <w:t>genera</w:t>
      </w:r>
      <w:r>
        <w:rPr>
          <w:spacing w:val="-8"/>
        </w:rPr>
        <w:t> </w:t>
      </w:r>
      <w:r>
        <w:rPr/>
        <w:t>una</w:t>
      </w:r>
      <w:r>
        <w:rPr>
          <w:spacing w:val="-8"/>
        </w:rPr>
        <w:t> </w:t>
      </w:r>
      <w:r>
        <w:rPr/>
        <w:t>variación</w:t>
      </w:r>
      <w:r>
        <w:rPr>
          <w:spacing w:val="-7"/>
        </w:rPr>
        <w:t> </w:t>
      </w:r>
      <w:r>
        <w:rPr/>
        <w:t>absoluta</w:t>
      </w:r>
      <w:r>
        <w:rPr>
          <w:spacing w:val="-7"/>
        </w:rPr>
        <w:t> </w:t>
      </w:r>
      <w:r>
        <w:rPr/>
        <w:t>de</w:t>
      </w:r>
      <w:r>
        <w:rPr>
          <w:spacing w:val="-7"/>
        </w:rPr>
        <w:t> </w:t>
      </w:r>
      <w:r>
        <w:rPr>
          <w:rFonts w:ascii="Times New Roman" w:hAnsi="Times New Roman"/>
        </w:rPr>
        <w:t>₡</w:t>
      </w:r>
      <w:r>
        <w:rPr/>
        <w:t>740.737,98</w:t>
      </w:r>
      <w:r>
        <w:rPr>
          <w:spacing w:val="-7"/>
        </w:rPr>
        <w:t> </w:t>
      </w:r>
      <w:r>
        <w:rPr/>
        <w:t>que</w:t>
      </w:r>
      <w:r>
        <w:rPr>
          <w:spacing w:val="-8"/>
        </w:rPr>
        <w:t> </w:t>
      </w:r>
      <w:r>
        <w:rPr/>
        <w:t>corresponde</w:t>
      </w:r>
      <w:r>
        <w:rPr>
          <w:spacing w:val="-8"/>
        </w:rPr>
        <w:t> </w:t>
      </w:r>
      <w:r>
        <w:rPr/>
        <w:t>a</w:t>
      </w:r>
      <w:r>
        <w:rPr>
          <w:spacing w:val="-8"/>
        </w:rPr>
        <w:t> </w:t>
      </w:r>
      <w:r>
        <w:rPr/>
        <w:t>un</w:t>
      </w:r>
      <w:r>
        <w:rPr>
          <w:spacing w:val="-6"/>
        </w:rPr>
        <w:t> </w:t>
      </w:r>
      <w:r>
        <w:rPr/>
        <w:t>aumento</w:t>
      </w:r>
      <w:r>
        <w:rPr>
          <w:spacing w:val="-5"/>
        </w:rPr>
        <w:t> </w:t>
      </w:r>
      <w:r>
        <w:rPr/>
        <w:t>del 17%</w:t>
      </w:r>
      <w:r>
        <w:rPr>
          <w:spacing w:val="-7"/>
        </w:rPr>
        <w:t> </w:t>
      </w:r>
      <w:r>
        <w:rPr/>
        <w:t>de</w:t>
      </w:r>
      <w:r>
        <w:rPr>
          <w:spacing w:val="-9"/>
        </w:rPr>
        <w:t> </w:t>
      </w:r>
      <w:r>
        <w:rPr/>
        <w:t>recursos</w:t>
      </w:r>
      <w:r>
        <w:rPr>
          <w:spacing w:val="-6"/>
        </w:rPr>
        <w:t> </w:t>
      </w:r>
      <w:r>
        <w:rPr/>
        <w:t>disponibles,</w:t>
      </w:r>
      <w:r>
        <w:rPr>
          <w:spacing w:val="-7"/>
        </w:rPr>
        <w:t> </w:t>
      </w:r>
      <w:r>
        <w:rPr/>
        <w:t>producto</w:t>
      </w:r>
      <w:r>
        <w:rPr>
          <w:spacing w:val="-6"/>
        </w:rPr>
        <w:t> </w:t>
      </w:r>
      <w:r>
        <w:rPr/>
        <w:t>de</w:t>
      </w:r>
      <w:r>
        <w:rPr>
          <w:spacing w:val="-9"/>
        </w:rPr>
        <w:t> </w:t>
      </w:r>
      <w:r>
        <w:rPr/>
        <w:t>la</w:t>
      </w:r>
      <w:r>
        <w:rPr>
          <w:spacing w:val="-8"/>
        </w:rPr>
        <w:t> </w:t>
      </w:r>
      <w:r>
        <w:rPr/>
        <w:t>compra</w:t>
      </w:r>
      <w:r>
        <w:rPr>
          <w:spacing w:val="-8"/>
        </w:rPr>
        <w:t> </w:t>
      </w:r>
      <w:r>
        <w:rPr/>
        <w:t>de</w:t>
      </w:r>
      <w:r>
        <w:rPr>
          <w:spacing w:val="-8"/>
        </w:rPr>
        <w:t> </w:t>
      </w:r>
      <w:r>
        <w:rPr/>
        <w:t>bienes</w:t>
      </w:r>
      <w:r>
        <w:rPr>
          <w:spacing w:val="-6"/>
        </w:rPr>
        <w:t> </w:t>
      </w:r>
      <w:r>
        <w:rPr/>
        <w:t>para</w:t>
      </w:r>
      <w:r>
        <w:rPr>
          <w:spacing w:val="-8"/>
        </w:rPr>
        <w:t> </w:t>
      </w:r>
      <w:r>
        <w:rPr/>
        <w:t>la</w:t>
      </w:r>
      <w:r>
        <w:rPr>
          <w:spacing w:val="-8"/>
        </w:rPr>
        <w:t> </w:t>
      </w:r>
      <w:r>
        <w:rPr/>
        <w:t>venta.</w:t>
      </w:r>
      <w:r>
        <w:rPr>
          <w:spacing w:val="-8"/>
        </w:rPr>
        <w:t> </w:t>
      </w:r>
      <w:r>
        <w:rPr/>
        <w:t>El</w:t>
      </w:r>
      <w:r>
        <w:rPr>
          <w:spacing w:val="-8"/>
        </w:rPr>
        <w:t> </w:t>
      </w:r>
      <w:r>
        <w:rPr/>
        <w:t>aumento</w:t>
      </w:r>
      <w:r>
        <w:rPr>
          <w:spacing w:val="-6"/>
        </w:rPr>
        <w:t> </w:t>
      </w:r>
      <w:r>
        <w:rPr/>
        <w:t>en</w:t>
      </w:r>
      <w:r>
        <w:rPr>
          <w:spacing w:val="-7"/>
        </w:rPr>
        <w:t> </w:t>
      </w:r>
      <w:r>
        <w:rPr/>
        <w:t>la</w:t>
      </w:r>
      <w:r>
        <w:rPr>
          <w:spacing w:val="-8"/>
        </w:rPr>
        <w:t> </w:t>
      </w:r>
      <w:r>
        <w:rPr/>
        <w:t>cuenta de inventarios de bienes para la venta en las Tiendas Libres obedece principalmente a una mayor adquisición e ingreso de mercancías destinadas a la comercialización, con el propósito de garantizar la disponibilidad de productos y atender la demanda proyectada de los usuarios. Asimismo, durante el período las entradas de inventario fueron superiores a las salidas por ventas, generando un incremento en las existencias mantenidas al cierre del trimestre.</w:t>
      </w:r>
    </w:p>
    <w:p>
      <w:pPr>
        <w:pStyle w:val="BodyText"/>
        <w:spacing w:before="1"/>
      </w:pPr>
    </w:p>
    <w:p>
      <w:pPr>
        <w:pStyle w:val="BodyText"/>
        <w:ind w:left="730" w:right="977"/>
        <w:jc w:val="both"/>
      </w:pPr>
      <w:r>
        <w:rPr/>
        <w:t>En</w:t>
      </w:r>
      <w:r>
        <w:rPr>
          <w:spacing w:val="-4"/>
        </w:rPr>
        <w:t> </w:t>
      </w:r>
      <w:r>
        <w:rPr/>
        <w:t>el</w:t>
      </w:r>
      <w:r>
        <w:rPr>
          <w:spacing w:val="-5"/>
        </w:rPr>
        <w:t> </w:t>
      </w:r>
      <w:r>
        <w:rPr/>
        <w:t>balance</w:t>
      </w:r>
      <w:r>
        <w:rPr>
          <w:spacing w:val="-6"/>
        </w:rPr>
        <w:t> </w:t>
      </w:r>
      <w:r>
        <w:rPr/>
        <w:t>se</w:t>
      </w:r>
      <w:r>
        <w:rPr>
          <w:spacing w:val="-6"/>
        </w:rPr>
        <w:t> </w:t>
      </w:r>
      <w:r>
        <w:rPr/>
        <w:t>encuentra</w:t>
      </w:r>
      <w:r>
        <w:rPr>
          <w:spacing w:val="-5"/>
        </w:rPr>
        <w:t> </w:t>
      </w:r>
      <w:r>
        <w:rPr/>
        <w:t>neto</w:t>
      </w:r>
      <w:r>
        <w:rPr>
          <w:spacing w:val="-4"/>
        </w:rPr>
        <w:t> </w:t>
      </w:r>
      <w:r>
        <w:rPr/>
        <w:t>de</w:t>
      </w:r>
      <w:r>
        <w:rPr>
          <w:spacing w:val="-6"/>
        </w:rPr>
        <w:t> </w:t>
      </w:r>
      <w:r>
        <w:rPr/>
        <w:t>estimaciones</w:t>
      </w:r>
      <w:r>
        <w:rPr>
          <w:spacing w:val="-4"/>
        </w:rPr>
        <w:t> </w:t>
      </w:r>
      <w:r>
        <w:rPr/>
        <w:t>por</w:t>
      </w:r>
      <w:r>
        <w:rPr>
          <w:spacing w:val="-5"/>
        </w:rPr>
        <w:t> </w:t>
      </w:r>
      <w:r>
        <w:rPr/>
        <w:t>desvalorización</w:t>
      </w:r>
      <w:r>
        <w:rPr>
          <w:spacing w:val="-7"/>
        </w:rPr>
        <w:t> </w:t>
      </w:r>
      <w:r>
        <w:rPr/>
        <w:t>o</w:t>
      </w:r>
      <w:r>
        <w:rPr>
          <w:spacing w:val="-4"/>
        </w:rPr>
        <w:t> </w:t>
      </w:r>
      <w:r>
        <w:rPr/>
        <w:t>pérdida</w:t>
      </w:r>
      <w:r>
        <w:rPr>
          <w:spacing w:val="-6"/>
        </w:rPr>
        <w:t> </w:t>
      </w:r>
      <w:r>
        <w:rPr/>
        <w:t>registrado</w:t>
      </w:r>
      <w:r>
        <w:rPr>
          <w:spacing w:val="-4"/>
        </w:rPr>
        <w:t> </w:t>
      </w:r>
      <w:r>
        <w:rPr/>
        <w:t>de</w:t>
      </w:r>
      <w:r>
        <w:rPr>
          <w:spacing w:val="-6"/>
        </w:rPr>
        <w:t> </w:t>
      </w:r>
      <w:r>
        <w:rPr/>
        <w:t>acuerdo con las pérdidas reales de inventario que a la fecha han sido dados de baja.</w:t>
      </w:r>
    </w:p>
    <w:p>
      <w:pPr>
        <w:pStyle w:val="BodyText"/>
        <w:spacing w:before="250"/>
        <w:ind w:left="730"/>
        <w:jc w:val="both"/>
      </w:pPr>
      <w:r>
        <w:rPr/>
        <w:t>El</w:t>
      </w:r>
      <w:r>
        <w:rPr>
          <w:spacing w:val="-6"/>
        </w:rPr>
        <w:t> </w:t>
      </w:r>
      <w:r>
        <w:rPr/>
        <w:t>sistema</w:t>
      </w:r>
      <w:r>
        <w:rPr>
          <w:spacing w:val="-4"/>
        </w:rPr>
        <w:t> </w:t>
      </w:r>
      <w:r>
        <w:rPr/>
        <w:t>de</w:t>
      </w:r>
      <w:r>
        <w:rPr>
          <w:spacing w:val="-5"/>
        </w:rPr>
        <w:t> </w:t>
      </w:r>
      <w:r>
        <w:rPr/>
        <w:t>inventarios</w:t>
      </w:r>
      <w:r>
        <w:rPr>
          <w:spacing w:val="-3"/>
        </w:rPr>
        <w:t> </w:t>
      </w:r>
      <w:r>
        <w:rPr/>
        <w:t>y</w:t>
      </w:r>
      <w:r>
        <w:rPr>
          <w:spacing w:val="-7"/>
        </w:rPr>
        <w:t> </w:t>
      </w:r>
      <w:r>
        <w:rPr/>
        <w:t>punto</w:t>
      </w:r>
      <w:r>
        <w:rPr>
          <w:spacing w:val="-2"/>
        </w:rPr>
        <w:t> </w:t>
      </w:r>
      <w:r>
        <w:rPr/>
        <w:t>de</w:t>
      </w:r>
      <w:r>
        <w:rPr>
          <w:spacing w:val="-5"/>
        </w:rPr>
        <w:t> </w:t>
      </w:r>
      <w:r>
        <w:rPr/>
        <w:t>venta</w:t>
      </w:r>
      <w:r>
        <w:rPr>
          <w:spacing w:val="-3"/>
        </w:rPr>
        <w:t> </w:t>
      </w:r>
      <w:r>
        <w:rPr/>
        <w:t>(LDCOM)</w:t>
      </w:r>
      <w:r>
        <w:rPr>
          <w:spacing w:val="-7"/>
        </w:rPr>
        <w:t> </w:t>
      </w:r>
      <w:r>
        <w:rPr/>
        <w:t>utiliza</w:t>
      </w:r>
      <w:r>
        <w:rPr>
          <w:spacing w:val="-4"/>
        </w:rPr>
        <w:t> </w:t>
      </w:r>
      <w:r>
        <w:rPr/>
        <w:t>el</w:t>
      </w:r>
      <w:r>
        <w:rPr>
          <w:spacing w:val="-3"/>
        </w:rPr>
        <w:t> </w:t>
      </w:r>
      <w:r>
        <w:rPr/>
        <w:t>método</w:t>
      </w:r>
      <w:r>
        <w:rPr>
          <w:spacing w:val="-3"/>
        </w:rPr>
        <w:t> </w:t>
      </w:r>
      <w:r>
        <w:rPr/>
        <w:t>promedio</w:t>
      </w:r>
      <w:r>
        <w:rPr>
          <w:spacing w:val="-5"/>
        </w:rPr>
        <w:t> </w:t>
      </w:r>
      <w:r>
        <w:rPr>
          <w:spacing w:val="-2"/>
        </w:rPr>
        <w:t>ponderado.</w:t>
      </w:r>
    </w:p>
    <w:p>
      <w:pPr>
        <w:pStyle w:val="BodyText"/>
        <w:spacing w:before="250"/>
        <w:ind w:left="730" w:right="973"/>
        <w:jc w:val="both"/>
      </w:pPr>
      <w:r>
        <w:rPr/>
        <w:t>Al</w:t>
      </w:r>
      <w:r>
        <w:rPr>
          <w:spacing w:val="-1"/>
        </w:rPr>
        <w:t> </w:t>
      </w:r>
      <w:r>
        <w:rPr/>
        <w:t>31</w:t>
      </w:r>
      <w:r>
        <w:rPr>
          <w:spacing w:val="-1"/>
        </w:rPr>
        <w:t> </w:t>
      </w:r>
      <w:r>
        <w:rPr/>
        <w:t>de</w:t>
      </w:r>
      <w:r>
        <w:rPr>
          <w:spacing w:val="-2"/>
        </w:rPr>
        <w:t> </w:t>
      </w:r>
      <w:r>
        <w:rPr/>
        <w:t>Julio</w:t>
      </w:r>
      <w:r>
        <w:rPr>
          <w:spacing w:val="-1"/>
        </w:rPr>
        <w:t> </w:t>
      </w:r>
      <w:r>
        <w:rPr/>
        <w:t>de</w:t>
      </w:r>
      <w:r>
        <w:rPr>
          <w:spacing w:val="-1"/>
        </w:rPr>
        <w:t> </w:t>
      </w:r>
      <w:r>
        <w:rPr/>
        <w:t>2026 y</w:t>
      </w:r>
      <w:r>
        <w:rPr>
          <w:spacing w:val="-2"/>
        </w:rPr>
        <w:t> </w:t>
      </w:r>
      <w:r>
        <w:rPr/>
        <w:t>2025,</w:t>
      </w:r>
      <w:r>
        <w:rPr>
          <w:spacing w:val="-1"/>
        </w:rPr>
        <w:t> </w:t>
      </w:r>
      <w:r>
        <w:rPr/>
        <w:t>el</w:t>
      </w:r>
      <w:r>
        <w:rPr>
          <w:spacing w:val="-1"/>
        </w:rPr>
        <w:t> </w:t>
      </w:r>
      <w:r>
        <w:rPr/>
        <w:t>valor</w:t>
      </w:r>
      <w:r>
        <w:rPr>
          <w:spacing w:val="-1"/>
        </w:rPr>
        <w:t> </w:t>
      </w:r>
      <w:r>
        <w:rPr/>
        <w:t>de</w:t>
      </w:r>
      <w:r>
        <w:rPr>
          <w:spacing w:val="-1"/>
        </w:rPr>
        <w:t> </w:t>
      </w:r>
      <w:r>
        <w:rPr/>
        <w:t>los inventarios de</w:t>
      </w:r>
      <w:r>
        <w:rPr>
          <w:spacing w:val="-3"/>
        </w:rPr>
        <w:t> </w:t>
      </w:r>
      <w:r>
        <w:rPr/>
        <w:t>bienes para</w:t>
      </w:r>
      <w:r>
        <w:rPr>
          <w:spacing w:val="-2"/>
        </w:rPr>
        <w:t> </w:t>
      </w:r>
      <w:r>
        <w:rPr/>
        <w:t>la venta</w:t>
      </w:r>
      <w:r>
        <w:rPr>
          <w:spacing w:val="-1"/>
        </w:rPr>
        <w:t> </w:t>
      </w:r>
      <w:r>
        <w:rPr/>
        <w:t>en miles de</w:t>
      </w:r>
      <w:r>
        <w:rPr>
          <w:spacing w:val="-3"/>
        </w:rPr>
        <w:t> </w:t>
      </w:r>
      <w:r>
        <w:rPr/>
        <w:t>colones de </w:t>
      </w:r>
      <w:r>
        <w:rPr>
          <w:rFonts w:ascii="Times New Roman" w:hAnsi="Times New Roman"/>
        </w:rPr>
        <w:t>₡ </w:t>
      </w:r>
      <w:r>
        <w:rPr/>
        <w:t>5 097 822 276,20 y </w:t>
      </w:r>
      <w:r>
        <w:rPr>
          <w:rFonts w:ascii="Times New Roman" w:hAnsi="Times New Roman"/>
        </w:rPr>
        <w:t>₡ </w:t>
      </w:r>
      <w:r>
        <w:rPr/>
        <w:t>4 357 084 298,67 respectivamente. El gasto registrado en el año corresponde a la estimación por desvalorización de bienes calculada de acuerdo con los registros reales</w:t>
      </w:r>
      <w:r>
        <w:rPr>
          <w:spacing w:val="-9"/>
        </w:rPr>
        <w:t> </w:t>
      </w:r>
      <w:r>
        <w:rPr/>
        <w:t>del</w:t>
      </w:r>
      <w:r>
        <w:rPr>
          <w:spacing w:val="-8"/>
        </w:rPr>
        <w:t> </w:t>
      </w:r>
      <w:r>
        <w:rPr/>
        <w:t>año</w:t>
      </w:r>
      <w:r>
        <w:rPr>
          <w:spacing w:val="-6"/>
        </w:rPr>
        <w:t> </w:t>
      </w:r>
      <w:r>
        <w:rPr/>
        <w:t>y</w:t>
      </w:r>
      <w:r>
        <w:rPr>
          <w:spacing w:val="-8"/>
        </w:rPr>
        <w:t> </w:t>
      </w:r>
      <w:r>
        <w:rPr/>
        <w:t>estos</w:t>
      </w:r>
      <w:r>
        <w:rPr>
          <w:spacing w:val="-6"/>
        </w:rPr>
        <w:t> </w:t>
      </w:r>
      <w:r>
        <w:rPr/>
        <w:t>montos</w:t>
      </w:r>
      <w:r>
        <w:rPr>
          <w:spacing w:val="-7"/>
        </w:rPr>
        <w:t> </w:t>
      </w:r>
      <w:r>
        <w:rPr/>
        <w:t>en</w:t>
      </w:r>
      <w:r>
        <w:rPr>
          <w:spacing w:val="-7"/>
        </w:rPr>
        <w:t> </w:t>
      </w:r>
      <w:r>
        <w:rPr/>
        <w:t>miles</w:t>
      </w:r>
      <w:r>
        <w:rPr>
          <w:spacing w:val="-6"/>
        </w:rPr>
        <w:t> </w:t>
      </w:r>
      <w:r>
        <w:rPr/>
        <w:t>de</w:t>
      </w:r>
      <w:r>
        <w:rPr>
          <w:spacing w:val="-9"/>
        </w:rPr>
        <w:t> </w:t>
      </w:r>
      <w:r>
        <w:rPr/>
        <w:t>colones</w:t>
      </w:r>
      <w:r>
        <w:rPr>
          <w:spacing w:val="-6"/>
        </w:rPr>
        <w:t> </w:t>
      </w:r>
      <w:r>
        <w:rPr/>
        <w:t>corresponden</w:t>
      </w:r>
      <w:r>
        <w:rPr>
          <w:spacing w:val="-7"/>
        </w:rPr>
        <w:t> </w:t>
      </w:r>
      <w:r>
        <w:rPr/>
        <w:t>a</w:t>
      </w:r>
      <w:r>
        <w:rPr>
          <w:spacing w:val="-6"/>
        </w:rPr>
        <w:t> </w:t>
      </w:r>
      <w:r>
        <w:rPr>
          <w:rFonts w:ascii="Times New Roman" w:hAnsi="Times New Roman"/>
        </w:rPr>
        <w:t>₡</w:t>
      </w:r>
      <w:r>
        <w:rPr>
          <w:rFonts w:ascii="Times New Roman" w:hAnsi="Times New Roman"/>
          <w:spacing w:val="-7"/>
        </w:rPr>
        <w:t> </w:t>
      </w:r>
      <w:r>
        <w:rPr/>
        <w:t>16</w:t>
      </w:r>
      <w:r>
        <w:rPr>
          <w:spacing w:val="-8"/>
        </w:rPr>
        <w:t> </w:t>
      </w:r>
      <w:r>
        <w:rPr/>
        <w:t>440</w:t>
      </w:r>
      <w:r>
        <w:rPr>
          <w:spacing w:val="-8"/>
        </w:rPr>
        <w:t> </w:t>
      </w:r>
      <w:r>
        <w:rPr/>
        <w:t>475,84</w:t>
      </w:r>
      <w:r>
        <w:rPr>
          <w:spacing w:val="-8"/>
        </w:rPr>
        <w:t> </w:t>
      </w:r>
      <w:r>
        <w:rPr/>
        <w:t>y</w:t>
      </w:r>
      <w:r>
        <w:rPr>
          <w:spacing w:val="-5"/>
        </w:rPr>
        <w:t> </w:t>
      </w:r>
      <w:r>
        <w:rPr>
          <w:rFonts w:ascii="Times New Roman" w:hAnsi="Times New Roman"/>
        </w:rPr>
        <w:t>₡</w:t>
      </w:r>
      <w:r>
        <w:rPr/>
        <w:t>43</w:t>
      </w:r>
      <w:r>
        <w:rPr>
          <w:spacing w:val="-8"/>
        </w:rPr>
        <w:t> </w:t>
      </w:r>
      <w:r>
        <w:rPr/>
        <w:t>383</w:t>
      </w:r>
      <w:r>
        <w:rPr>
          <w:spacing w:val="-8"/>
        </w:rPr>
        <w:t> </w:t>
      </w:r>
      <w:r>
        <w:rPr>
          <w:spacing w:val="-2"/>
        </w:rPr>
        <w:t>585,52</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6720">
                <wp:simplePos x="0" y="0"/>
                <wp:positionH relativeFrom="page">
                  <wp:posOffset>9525</wp:posOffset>
                </wp:positionH>
                <wp:positionV relativeFrom="page">
                  <wp:posOffset>297208</wp:posOffset>
                </wp:positionV>
                <wp:extent cx="7762875" cy="9748520"/>
                <wp:effectExtent l="0" t="0" r="0" b="0"/>
                <wp:wrapNone/>
                <wp:docPr id="270" name="Group 270"/>
                <wp:cNvGraphicFramePr>
                  <a:graphicFrameLocks/>
                </wp:cNvGraphicFramePr>
                <a:graphic>
                  <a:graphicData uri="http://schemas.microsoft.com/office/word/2010/wordprocessingGroup">
                    <wpg:wgp>
                      <wpg:cNvPr id="270" name="Group 270"/>
                      <wpg:cNvGrpSpPr/>
                      <wpg:grpSpPr>
                        <a:xfrm>
                          <a:off x="0" y="0"/>
                          <a:ext cx="7762875" cy="9748520"/>
                          <a:chExt cx="7762875" cy="9748520"/>
                        </a:xfrm>
                      </wpg:grpSpPr>
                      <pic:pic>
                        <pic:nvPicPr>
                          <pic:cNvPr id="271" name="Image 271"/>
                          <pic:cNvPicPr/>
                        </pic:nvPicPr>
                        <pic:blipFill>
                          <a:blip r:embed="rId5" cstate="print"/>
                          <a:stretch>
                            <a:fillRect/>
                          </a:stretch>
                        </pic:blipFill>
                        <pic:spPr>
                          <a:xfrm>
                            <a:off x="0" y="0"/>
                            <a:ext cx="7762874" cy="9748489"/>
                          </a:xfrm>
                          <a:prstGeom prst="rect">
                            <a:avLst/>
                          </a:prstGeom>
                        </pic:spPr>
                      </pic:pic>
                      <wps:wsp>
                        <wps:cNvPr id="272" name="Graphic 272"/>
                        <wps:cNvSpPr/>
                        <wps:spPr>
                          <a:xfrm>
                            <a:off x="1053007" y="990837"/>
                            <a:ext cx="5736590" cy="5008880"/>
                          </a:xfrm>
                          <a:custGeom>
                            <a:avLst/>
                            <a:gdLst/>
                            <a:ahLst/>
                            <a:cxnLst/>
                            <a:rect l="l" t="t" r="r" b="b"/>
                            <a:pathLst>
                              <a:path w="5736590" h="5008880">
                                <a:moveTo>
                                  <a:pt x="5649214" y="0"/>
                                </a:moveTo>
                                <a:lnTo>
                                  <a:pt x="0" y="0"/>
                                </a:lnTo>
                                <a:lnTo>
                                  <a:pt x="0" y="9131"/>
                                </a:lnTo>
                                <a:lnTo>
                                  <a:pt x="5649214" y="9131"/>
                                </a:lnTo>
                                <a:lnTo>
                                  <a:pt x="5649214" y="0"/>
                                </a:lnTo>
                                <a:close/>
                              </a:path>
                              <a:path w="5736590" h="5008880">
                                <a:moveTo>
                                  <a:pt x="5736018" y="5002403"/>
                                </a:moveTo>
                                <a:lnTo>
                                  <a:pt x="5729986" y="5002403"/>
                                </a:lnTo>
                                <a:lnTo>
                                  <a:pt x="21336" y="5002403"/>
                                </a:lnTo>
                                <a:lnTo>
                                  <a:pt x="15240" y="5002403"/>
                                </a:lnTo>
                                <a:lnTo>
                                  <a:pt x="15240" y="5008486"/>
                                </a:lnTo>
                                <a:lnTo>
                                  <a:pt x="21336" y="5008486"/>
                                </a:lnTo>
                                <a:lnTo>
                                  <a:pt x="5729935" y="5008486"/>
                                </a:lnTo>
                                <a:lnTo>
                                  <a:pt x="5736018" y="5008486"/>
                                </a:lnTo>
                                <a:lnTo>
                                  <a:pt x="5736018" y="5002403"/>
                                </a:lnTo>
                                <a:close/>
                              </a:path>
                              <a:path w="5736590" h="5008880">
                                <a:moveTo>
                                  <a:pt x="5736018" y="126479"/>
                                </a:moveTo>
                                <a:lnTo>
                                  <a:pt x="5729986" y="126479"/>
                                </a:lnTo>
                                <a:lnTo>
                                  <a:pt x="21336" y="126479"/>
                                </a:lnTo>
                                <a:lnTo>
                                  <a:pt x="15240" y="126479"/>
                                </a:lnTo>
                                <a:lnTo>
                                  <a:pt x="15240" y="132575"/>
                                </a:lnTo>
                                <a:lnTo>
                                  <a:pt x="15240" y="5002390"/>
                                </a:lnTo>
                                <a:lnTo>
                                  <a:pt x="21336" y="5002390"/>
                                </a:lnTo>
                                <a:lnTo>
                                  <a:pt x="21336" y="132575"/>
                                </a:lnTo>
                                <a:lnTo>
                                  <a:pt x="5729935" y="132575"/>
                                </a:lnTo>
                                <a:lnTo>
                                  <a:pt x="5729935" y="5002390"/>
                                </a:lnTo>
                                <a:lnTo>
                                  <a:pt x="5736018" y="5002390"/>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9760" id="docshapegroup256" coordorigin="15,468" coordsize="12225,15352">
                <v:shape style="position:absolute;left:15;top:468;width:12225;height:15352" type="#_x0000_t75" id="docshape257" stroked="false">
                  <v:imagedata r:id="rId5" o:title=""/>
                </v:shape>
                <v:shape style="position:absolute;left:1673;top:2028;width:9034;height:7888" id="docshape258" coordorigin="1673,2028" coordsize="9034,7888" path="m10570,2028l1673,2028,1673,2043,10570,2043,10570,2028xm10706,9906l10697,9906,10697,9906,1707,9906,1697,9906,1697,9916,1707,9916,10697,9916,10697,9916,10706,9916,10706,9906xm10706,2228l10697,2228,10697,2228,1707,2228,1697,2228,1697,2237,1697,9906,1707,9906,1707,2237,10697,2237,10697,9906,10706,9906,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59</w:t>
      </w:r>
    </w:p>
    <w:p>
      <w:pPr>
        <w:pStyle w:val="BodyText"/>
        <w:spacing w:before="227"/>
        <w:ind w:left="730" w:right="975"/>
        <w:jc w:val="both"/>
        <w:rPr>
          <w:rFonts w:ascii="Times New Roman" w:hAnsi="Times New Roman"/>
        </w:rPr>
      </w:pPr>
      <w:r>
        <w:rPr/>
        <w:t>respectivamente.</w:t>
      </w:r>
      <w:r>
        <w:rPr>
          <w:spacing w:val="-2"/>
        </w:rPr>
        <w:t> </w:t>
      </w:r>
      <w:r>
        <w:rPr/>
        <w:t>El</w:t>
      </w:r>
      <w:r>
        <w:rPr>
          <w:spacing w:val="-1"/>
        </w:rPr>
        <w:t> </w:t>
      </w:r>
      <w:r>
        <w:rPr/>
        <w:t>costo de</w:t>
      </w:r>
      <w:r>
        <w:rPr>
          <w:spacing w:val="-1"/>
        </w:rPr>
        <w:t> </w:t>
      </w:r>
      <w:r>
        <w:rPr/>
        <w:t>los inventarios no</w:t>
      </w:r>
      <w:r>
        <w:rPr>
          <w:spacing w:val="-2"/>
        </w:rPr>
        <w:t> </w:t>
      </w:r>
      <w:r>
        <w:rPr/>
        <w:t>sufre</w:t>
      </w:r>
      <w:r>
        <w:rPr>
          <w:spacing w:val="-1"/>
        </w:rPr>
        <w:t> </w:t>
      </w:r>
      <w:r>
        <w:rPr/>
        <w:t>rebajas ni</w:t>
      </w:r>
      <w:r>
        <w:rPr>
          <w:spacing w:val="-1"/>
        </w:rPr>
        <w:t> </w:t>
      </w:r>
      <w:r>
        <w:rPr/>
        <w:t>reversiones de</w:t>
      </w:r>
      <w:r>
        <w:rPr>
          <w:spacing w:val="-2"/>
        </w:rPr>
        <w:t> </w:t>
      </w:r>
      <w:r>
        <w:rPr/>
        <w:t>rebajas, lo que</w:t>
      </w:r>
      <w:r>
        <w:rPr>
          <w:spacing w:val="-1"/>
        </w:rPr>
        <w:t> </w:t>
      </w:r>
      <w:r>
        <w:rPr/>
        <w:t>existen son estrategias de mercadeo donde el precio de venta de un producto se descuenta al vender dos o más artículos del mismo tipo (ventas por volumen), rebajas por aplicación de descuentos y/o promociones para rotación de este. En caso de que un artículo se encuentre en mal estado o venga dañado de fábrica el artículo se da de baja contra una nota de crédito que cubre el proveedor o si corresponde, se registra el rebajo del inventario mediante el uso de la previsión para deterioro y pérdidas de inventario</w:t>
      </w:r>
      <w:r>
        <w:rPr>
          <w:rFonts w:ascii="Times New Roman" w:hAnsi="Times New Roman"/>
        </w:rPr>
        <w:t>.</w:t>
      </w:r>
    </w:p>
    <w:p>
      <w:pPr>
        <w:pStyle w:val="BodyText"/>
        <w:spacing w:before="251"/>
        <w:ind w:left="730"/>
        <w:jc w:val="both"/>
      </w:pPr>
      <w:r>
        <w:rPr/>
        <w:t>El</w:t>
      </w:r>
      <w:r>
        <w:rPr>
          <w:spacing w:val="-9"/>
        </w:rPr>
        <w:t> </w:t>
      </w:r>
      <w:r>
        <w:rPr/>
        <w:t>inventario</w:t>
      </w:r>
      <w:r>
        <w:rPr>
          <w:spacing w:val="-6"/>
        </w:rPr>
        <w:t> </w:t>
      </w:r>
      <w:r>
        <w:rPr/>
        <w:t>total</w:t>
      </w:r>
      <w:r>
        <w:rPr>
          <w:spacing w:val="-8"/>
        </w:rPr>
        <w:t> </w:t>
      </w:r>
      <w:r>
        <w:rPr/>
        <w:t>de</w:t>
      </w:r>
      <w:r>
        <w:rPr>
          <w:spacing w:val="-8"/>
        </w:rPr>
        <w:t> </w:t>
      </w:r>
      <w:r>
        <w:rPr/>
        <w:t>empresas</w:t>
      </w:r>
      <w:r>
        <w:rPr>
          <w:spacing w:val="-7"/>
        </w:rPr>
        <w:t> </w:t>
      </w:r>
      <w:r>
        <w:rPr/>
        <w:t>comerciales</w:t>
      </w:r>
      <w:r>
        <w:rPr>
          <w:spacing w:val="-6"/>
        </w:rPr>
        <w:t> </w:t>
      </w:r>
      <w:r>
        <w:rPr/>
        <w:t>en</w:t>
      </w:r>
      <w:r>
        <w:rPr>
          <w:spacing w:val="-6"/>
        </w:rPr>
        <w:t> </w:t>
      </w:r>
      <w:r>
        <w:rPr/>
        <w:t>su</w:t>
      </w:r>
      <w:r>
        <w:rPr>
          <w:spacing w:val="-7"/>
        </w:rPr>
        <w:t> </w:t>
      </w:r>
      <w:r>
        <w:rPr/>
        <w:t>punto</w:t>
      </w:r>
      <w:r>
        <w:rPr>
          <w:spacing w:val="-9"/>
        </w:rPr>
        <w:t> </w:t>
      </w:r>
      <w:r>
        <w:rPr/>
        <w:t>de</w:t>
      </w:r>
      <w:r>
        <w:rPr>
          <w:spacing w:val="-8"/>
        </w:rPr>
        <w:t> </w:t>
      </w:r>
      <w:r>
        <w:rPr/>
        <w:t>venta</w:t>
      </w:r>
      <w:r>
        <w:rPr>
          <w:spacing w:val="-7"/>
        </w:rPr>
        <w:t> </w:t>
      </w:r>
      <w:r>
        <w:rPr/>
        <w:t>se</w:t>
      </w:r>
      <w:r>
        <w:rPr>
          <w:spacing w:val="-8"/>
        </w:rPr>
        <w:t> </w:t>
      </w:r>
      <w:r>
        <w:rPr/>
        <w:t>compone</w:t>
      </w:r>
      <w:r>
        <w:rPr>
          <w:spacing w:val="-7"/>
        </w:rPr>
        <w:t> </w:t>
      </w:r>
      <w:r>
        <w:rPr/>
        <w:t>de</w:t>
      </w:r>
      <w:r>
        <w:rPr>
          <w:spacing w:val="-8"/>
        </w:rPr>
        <w:t> </w:t>
      </w:r>
      <w:r>
        <w:rPr/>
        <w:t>la</w:t>
      </w:r>
      <w:r>
        <w:rPr>
          <w:spacing w:val="-10"/>
        </w:rPr>
        <w:t> </w:t>
      </w:r>
      <w:r>
        <w:rPr/>
        <w:t>siguiente</w:t>
      </w:r>
      <w:r>
        <w:rPr>
          <w:spacing w:val="-6"/>
        </w:rPr>
        <w:t> </w:t>
      </w:r>
      <w:r>
        <w:rPr>
          <w:spacing w:val="-2"/>
        </w:rPr>
        <w:t>manera:</w:t>
      </w:r>
    </w:p>
    <w:p>
      <w:pPr>
        <w:pStyle w:val="BodyText"/>
        <w:spacing w:before="203"/>
        <w:rPr>
          <w:sz w:val="20"/>
        </w:rPr>
      </w:pPr>
    </w:p>
    <w:tbl>
      <w:tblPr>
        <w:tblW w:w="0" w:type="auto"/>
        <w:jc w:val="left"/>
        <w:tblInd w:w="1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6"/>
        <w:gridCol w:w="1964"/>
        <w:gridCol w:w="2000"/>
      </w:tblGrid>
      <w:tr>
        <w:trPr>
          <w:trHeight w:val="372" w:hRule="atLeast"/>
        </w:trPr>
        <w:tc>
          <w:tcPr>
            <w:tcW w:w="2746" w:type="dxa"/>
            <w:shd w:val="clear" w:color="auto" w:fill="365F92"/>
          </w:tcPr>
          <w:p>
            <w:pPr>
              <w:pStyle w:val="TableParagraph"/>
              <w:spacing w:before="105"/>
              <w:ind w:left="11"/>
              <w:jc w:val="center"/>
              <w:rPr>
                <w:rFonts w:ascii="Arial Narrow"/>
                <w:b/>
                <w:sz w:val="14"/>
              </w:rPr>
            </w:pPr>
            <w:r>
              <w:rPr>
                <w:rFonts w:ascii="Arial Narrow"/>
                <w:b/>
                <w:color w:val="FFFFFF"/>
                <w:spacing w:val="-2"/>
                <w:w w:val="105"/>
                <w:sz w:val="14"/>
              </w:rPr>
              <w:t>Inventarios</w:t>
            </w:r>
          </w:p>
        </w:tc>
        <w:tc>
          <w:tcPr>
            <w:tcW w:w="1964" w:type="dxa"/>
            <w:shd w:val="clear" w:color="auto" w:fill="365F92"/>
          </w:tcPr>
          <w:p>
            <w:pPr>
              <w:pStyle w:val="TableParagraph"/>
              <w:spacing w:before="105"/>
              <w:ind w:left="568"/>
              <w:rPr>
                <w:rFonts w:ascii="Arial Narrow"/>
                <w:b/>
                <w:sz w:val="14"/>
              </w:rPr>
            </w:pPr>
            <w:r>
              <w:rPr>
                <w:rFonts w:ascii="Arial Narrow"/>
                <w:b/>
                <w:color w:val="FFFFFF"/>
                <w:w w:val="105"/>
                <w:sz w:val="14"/>
              </w:rPr>
              <w:t>Periodo</w:t>
            </w:r>
            <w:r>
              <w:rPr>
                <w:rFonts w:ascii="Arial Narrow"/>
                <w:b/>
                <w:color w:val="FFFFFF"/>
                <w:spacing w:val="-7"/>
                <w:w w:val="105"/>
                <w:sz w:val="14"/>
              </w:rPr>
              <w:t> </w:t>
            </w:r>
            <w:r>
              <w:rPr>
                <w:rFonts w:ascii="Arial Narrow"/>
                <w:b/>
                <w:color w:val="FFFFFF"/>
                <w:spacing w:val="-2"/>
                <w:w w:val="105"/>
                <w:sz w:val="14"/>
              </w:rPr>
              <w:t>Actual</w:t>
            </w:r>
          </w:p>
        </w:tc>
        <w:tc>
          <w:tcPr>
            <w:tcW w:w="2000" w:type="dxa"/>
            <w:shd w:val="clear" w:color="auto" w:fill="365F92"/>
          </w:tcPr>
          <w:p>
            <w:pPr>
              <w:pStyle w:val="TableParagraph"/>
              <w:spacing w:before="105"/>
              <w:ind w:left="532"/>
              <w:rPr>
                <w:rFonts w:ascii="Arial Narrow"/>
                <w:b/>
                <w:sz w:val="14"/>
              </w:rPr>
            </w:pPr>
            <w:r>
              <w:rPr>
                <w:rFonts w:ascii="Arial Narrow"/>
                <w:b/>
                <w:color w:val="FFFFFF"/>
                <w:w w:val="105"/>
                <w:sz w:val="14"/>
              </w:rPr>
              <w:t>Periodo</w:t>
            </w:r>
            <w:r>
              <w:rPr>
                <w:rFonts w:ascii="Arial Narrow"/>
                <w:b/>
                <w:color w:val="FFFFFF"/>
                <w:spacing w:val="-7"/>
                <w:w w:val="105"/>
                <w:sz w:val="14"/>
              </w:rPr>
              <w:t> </w:t>
            </w:r>
            <w:r>
              <w:rPr>
                <w:rFonts w:ascii="Arial Narrow"/>
                <w:b/>
                <w:color w:val="FFFFFF"/>
                <w:spacing w:val="-2"/>
                <w:w w:val="105"/>
                <w:sz w:val="14"/>
              </w:rPr>
              <w:t>Anterior</w:t>
            </w:r>
          </w:p>
        </w:tc>
      </w:tr>
      <w:tr>
        <w:trPr>
          <w:trHeight w:val="190" w:hRule="atLeast"/>
        </w:trPr>
        <w:tc>
          <w:tcPr>
            <w:tcW w:w="2746" w:type="dxa"/>
          </w:tcPr>
          <w:p>
            <w:pPr>
              <w:pStyle w:val="TableParagraph"/>
              <w:spacing w:line="156" w:lineRule="exact" w:before="14"/>
              <w:ind w:left="22"/>
              <w:rPr>
                <w:rFonts w:ascii="Arial Narrow"/>
                <w:b/>
                <w:sz w:val="14"/>
              </w:rPr>
            </w:pPr>
            <w:r>
              <w:rPr>
                <w:rFonts w:ascii="Arial Narrow"/>
                <w:b/>
                <w:spacing w:val="-2"/>
                <w:w w:val="105"/>
                <w:sz w:val="14"/>
              </w:rPr>
              <w:t>Materiales</w:t>
            </w:r>
            <w:r>
              <w:rPr>
                <w:rFonts w:ascii="Arial Narrow"/>
                <w:b/>
                <w:spacing w:val="1"/>
                <w:w w:val="105"/>
                <w:sz w:val="14"/>
              </w:rPr>
              <w:t> </w:t>
            </w:r>
            <w:r>
              <w:rPr>
                <w:rFonts w:ascii="Arial Narrow"/>
                <w:b/>
                <w:spacing w:val="-2"/>
                <w:w w:val="105"/>
                <w:sz w:val="14"/>
              </w:rPr>
              <w:t>y</w:t>
            </w:r>
            <w:r>
              <w:rPr>
                <w:rFonts w:ascii="Arial Narrow"/>
                <w:b/>
                <w:spacing w:val="1"/>
                <w:w w:val="105"/>
                <w:sz w:val="14"/>
              </w:rPr>
              <w:t> </w:t>
            </w:r>
            <w:r>
              <w:rPr>
                <w:rFonts w:ascii="Arial Narrow"/>
                <w:b/>
                <w:spacing w:val="-2"/>
                <w:w w:val="105"/>
                <w:sz w:val="14"/>
              </w:rPr>
              <w:t>suministros</w:t>
            </w:r>
            <w:r>
              <w:rPr>
                <w:rFonts w:ascii="Arial Narrow"/>
                <w:b/>
                <w:spacing w:val="2"/>
                <w:w w:val="105"/>
                <w:sz w:val="14"/>
              </w:rPr>
              <w:t> </w:t>
            </w:r>
            <w:r>
              <w:rPr>
                <w:rFonts w:ascii="Arial Narrow"/>
                <w:b/>
                <w:spacing w:val="-2"/>
                <w:w w:val="105"/>
                <w:sz w:val="14"/>
              </w:rPr>
              <w:t>para</w:t>
            </w:r>
            <w:r>
              <w:rPr>
                <w:rFonts w:ascii="Arial Narrow"/>
                <w:b/>
                <w:spacing w:val="1"/>
                <w:w w:val="105"/>
                <w:sz w:val="14"/>
              </w:rPr>
              <w:t> </w:t>
            </w:r>
            <w:r>
              <w:rPr>
                <w:rFonts w:ascii="Arial Narrow"/>
                <w:b/>
                <w:spacing w:val="-2"/>
                <w:w w:val="105"/>
                <w:sz w:val="14"/>
              </w:rPr>
              <w:t>consumo</w:t>
            </w:r>
          </w:p>
        </w:tc>
        <w:tc>
          <w:tcPr>
            <w:tcW w:w="1964" w:type="dxa"/>
          </w:tcPr>
          <w:p>
            <w:pPr>
              <w:pStyle w:val="TableParagraph"/>
              <w:spacing w:line="147" w:lineRule="exact" w:before="23"/>
              <w:ind w:right="144"/>
              <w:jc w:val="right"/>
              <w:rPr>
                <w:rFonts w:ascii="Arial Narrow"/>
                <w:b/>
                <w:sz w:val="14"/>
              </w:rPr>
            </w:pPr>
            <w:r>
              <w:rPr>
                <w:rFonts w:ascii="Arial Narrow"/>
                <w:b/>
                <w:spacing w:val="-2"/>
                <w:w w:val="105"/>
                <w:sz w:val="14"/>
              </w:rPr>
              <w:t>236</w:t>
            </w:r>
            <w:r>
              <w:rPr>
                <w:rFonts w:ascii="Arial Narrow"/>
                <w:b/>
                <w:spacing w:val="-3"/>
                <w:w w:val="105"/>
                <w:sz w:val="14"/>
              </w:rPr>
              <w:t> </w:t>
            </w:r>
            <w:r>
              <w:rPr>
                <w:rFonts w:ascii="Arial Narrow"/>
                <w:b/>
                <w:spacing w:val="-2"/>
                <w:w w:val="105"/>
                <w:sz w:val="14"/>
              </w:rPr>
              <w:t>001,19</w:t>
            </w:r>
          </w:p>
        </w:tc>
        <w:tc>
          <w:tcPr>
            <w:tcW w:w="2000" w:type="dxa"/>
          </w:tcPr>
          <w:p>
            <w:pPr>
              <w:pStyle w:val="TableParagraph"/>
              <w:spacing w:line="147" w:lineRule="exact" w:before="23"/>
              <w:ind w:right="143"/>
              <w:jc w:val="right"/>
              <w:rPr>
                <w:rFonts w:ascii="Arial Narrow"/>
                <w:b/>
                <w:sz w:val="14"/>
              </w:rPr>
            </w:pPr>
            <w:r>
              <w:rPr>
                <w:rFonts w:ascii="Arial Narrow"/>
                <w:b/>
                <w:spacing w:val="-2"/>
                <w:w w:val="105"/>
                <w:sz w:val="14"/>
              </w:rPr>
              <w:t>116</w:t>
            </w:r>
            <w:r>
              <w:rPr>
                <w:rFonts w:ascii="Arial Narrow"/>
                <w:b/>
                <w:spacing w:val="-3"/>
                <w:w w:val="105"/>
                <w:sz w:val="14"/>
              </w:rPr>
              <w:t> </w:t>
            </w:r>
            <w:r>
              <w:rPr>
                <w:rFonts w:ascii="Arial Narrow"/>
                <w:b/>
                <w:spacing w:val="-2"/>
                <w:w w:val="105"/>
                <w:sz w:val="14"/>
              </w:rPr>
              <w:t>959,06</w:t>
            </w:r>
          </w:p>
        </w:tc>
      </w:tr>
      <w:tr>
        <w:trPr>
          <w:trHeight w:val="190" w:hRule="atLeast"/>
        </w:trPr>
        <w:tc>
          <w:tcPr>
            <w:tcW w:w="2746" w:type="dxa"/>
          </w:tcPr>
          <w:p>
            <w:pPr>
              <w:pStyle w:val="TableParagraph"/>
              <w:spacing w:line="147" w:lineRule="exact" w:before="23"/>
              <w:ind w:left="22"/>
              <w:rPr>
                <w:rFonts w:ascii="Arial Narrow"/>
                <w:b/>
                <w:i/>
                <w:sz w:val="13"/>
              </w:rPr>
            </w:pPr>
            <w:r>
              <w:rPr>
                <w:rFonts w:ascii="Arial Narrow"/>
                <w:b/>
                <w:i/>
                <w:w w:val="105"/>
                <w:sz w:val="13"/>
              </w:rPr>
              <w:t>Bienes</w:t>
            </w:r>
            <w:r>
              <w:rPr>
                <w:rFonts w:ascii="Arial Narrow"/>
                <w:b/>
                <w:i/>
                <w:spacing w:val="-1"/>
                <w:w w:val="105"/>
                <w:sz w:val="13"/>
              </w:rPr>
              <w:t> </w:t>
            </w:r>
            <w:r>
              <w:rPr>
                <w:rFonts w:ascii="Arial Narrow"/>
                <w:b/>
                <w:i/>
                <w:w w:val="105"/>
                <w:sz w:val="13"/>
              </w:rPr>
              <w:t>para la </w:t>
            </w:r>
            <w:r>
              <w:rPr>
                <w:rFonts w:ascii="Arial Narrow"/>
                <w:b/>
                <w:i/>
                <w:spacing w:val="-2"/>
                <w:w w:val="105"/>
                <w:sz w:val="13"/>
              </w:rPr>
              <w:t>venta</w:t>
            </w:r>
          </w:p>
        </w:tc>
        <w:tc>
          <w:tcPr>
            <w:tcW w:w="1964" w:type="dxa"/>
          </w:tcPr>
          <w:p>
            <w:pPr>
              <w:pStyle w:val="TableParagraph"/>
              <w:spacing w:line="147" w:lineRule="exact" w:before="23"/>
              <w:ind w:right="144"/>
              <w:jc w:val="right"/>
              <w:rPr>
                <w:rFonts w:ascii="Arial Narrow"/>
                <w:b/>
                <w:i/>
                <w:sz w:val="14"/>
              </w:rPr>
            </w:pPr>
            <w:r>
              <w:rPr>
                <w:rFonts w:ascii="Arial Narrow"/>
                <w:b/>
                <w:i/>
                <w:w w:val="105"/>
                <w:sz w:val="14"/>
              </w:rPr>
              <w:t>4</w:t>
            </w:r>
            <w:r>
              <w:rPr>
                <w:rFonts w:ascii="Arial Narrow"/>
                <w:b/>
                <w:i/>
                <w:spacing w:val="-5"/>
                <w:w w:val="105"/>
                <w:sz w:val="14"/>
              </w:rPr>
              <w:t> </w:t>
            </w:r>
            <w:r>
              <w:rPr>
                <w:rFonts w:ascii="Arial Narrow"/>
                <w:b/>
                <w:i/>
                <w:w w:val="105"/>
                <w:sz w:val="14"/>
              </w:rPr>
              <w:t>968</w:t>
            </w:r>
            <w:r>
              <w:rPr>
                <w:rFonts w:ascii="Arial Narrow"/>
                <w:b/>
                <w:i/>
                <w:spacing w:val="-5"/>
                <w:w w:val="105"/>
                <w:sz w:val="14"/>
              </w:rPr>
              <w:t> </w:t>
            </w:r>
            <w:r>
              <w:rPr>
                <w:rFonts w:ascii="Arial Narrow"/>
                <w:b/>
                <w:i/>
                <w:spacing w:val="-2"/>
                <w:w w:val="105"/>
                <w:sz w:val="14"/>
              </w:rPr>
              <w:t>735,39</w:t>
            </w:r>
          </w:p>
        </w:tc>
        <w:tc>
          <w:tcPr>
            <w:tcW w:w="2000" w:type="dxa"/>
          </w:tcPr>
          <w:p>
            <w:pPr>
              <w:pStyle w:val="TableParagraph"/>
              <w:spacing w:line="147" w:lineRule="exact" w:before="23"/>
              <w:ind w:right="144"/>
              <w:jc w:val="right"/>
              <w:rPr>
                <w:rFonts w:ascii="Arial Narrow"/>
                <w:b/>
                <w:i/>
                <w:sz w:val="14"/>
              </w:rPr>
            </w:pPr>
            <w:r>
              <w:rPr>
                <w:rFonts w:ascii="Arial Narrow"/>
                <w:b/>
                <w:i/>
                <w:w w:val="105"/>
                <w:sz w:val="14"/>
              </w:rPr>
              <w:t>4</w:t>
            </w:r>
            <w:r>
              <w:rPr>
                <w:rFonts w:ascii="Arial Narrow"/>
                <w:b/>
                <w:i/>
                <w:spacing w:val="-5"/>
                <w:w w:val="105"/>
                <w:sz w:val="14"/>
              </w:rPr>
              <w:t> </w:t>
            </w:r>
            <w:r>
              <w:rPr>
                <w:rFonts w:ascii="Arial Narrow"/>
                <w:b/>
                <w:i/>
                <w:w w:val="105"/>
                <w:sz w:val="14"/>
              </w:rPr>
              <w:t>228</w:t>
            </w:r>
            <w:r>
              <w:rPr>
                <w:rFonts w:ascii="Arial Narrow"/>
                <w:b/>
                <w:i/>
                <w:spacing w:val="-5"/>
                <w:w w:val="105"/>
                <w:sz w:val="14"/>
              </w:rPr>
              <w:t> </w:t>
            </w:r>
            <w:r>
              <w:rPr>
                <w:rFonts w:ascii="Arial Narrow"/>
                <w:b/>
                <w:i/>
                <w:spacing w:val="-2"/>
                <w:w w:val="105"/>
                <w:sz w:val="14"/>
              </w:rPr>
              <w:t>684,23</w:t>
            </w:r>
          </w:p>
        </w:tc>
      </w:tr>
      <w:tr>
        <w:trPr>
          <w:trHeight w:val="190" w:hRule="atLeast"/>
        </w:trPr>
        <w:tc>
          <w:tcPr>
            <w:tcW w:w="2746" w:type="dxa"/>
          </w:tcPr>
          <w:p>
            <w:pPr>
              <w:pStyle w:val="TableParagraph"/>
              <w:spacing w:line="147" w:lineRule="exact" w:before="23"/>
              <w:ind w:left="22"/>
              <w:rPr>
                <w:rFonts w:ascii="Arial Narrow" w:hAnsi="Arial Narrow"/>
                <w:sz w:val="13"/>
              </w:rPr>
            </w:pPr>
            <w:r>
              <w:rPr>
                <w:rFonts w:ascii="Arial Narrow" w:hAnsi="Arial Narrow"/>
                <w:w w:val="105"/>
                <w:sz w:val="13"/>
              </w:rPr>
              <w:t>Artículos</w:t>
            </w:r>
            <w:r>
              <w:rPr>
                <w:rFonts w:ascii="Arial Narrow" w:hAnsi="Arial Narrow"/>
                <w:spacing w:val="-7"/>
                <w:w w:val="105"/>
                <w:sz w:val="13"/>
              </w:rPr>
              <w:t> </w:t>
            </w:r>
            <w:r>
              <w:rPr>
                <w:rFonts w:ascii="Arial Narrow" w:hAnsi="Arial Narrow"/>
                <w:w w:val="105"/>
                <w:sz w:val="13"/>
              </w:rPr>
              <w:t>disponibles</w:t>
            </w:r>
            <w:r>
              <w:rPr>
                <w:rFonts w:ascii="Arial Narrow" w:hAnsi="Arial Narrow"/>
                <w:spacing w:val="-6"/>
                <w:w w:val="105"/>
                <w:sz w:val="13"/>
              </w:rPr>
              <w:t> </w:t>
            </w:r>
            <w:r>
              <w:rPr>
                <w:rFonts w:ascii="Arial Narrow" w:hAnsi="Arial Narrow"/>
                <w:w w:val="105"/>
                <w:sz w:val="13"/>
              </w:rPr>
              <w:t>para</w:t>
            </w:r>
            <w:r>
              <w:rPr>
                <w:rFonts w:ascii="Arial Narrow" w:hAnsi="Arial Narrow"/>
                <w:spacing w:val="-3"/>
                <w:w w:val="105"/>
                <w:sz w:val="13"/>
              </w:rPr>
              <w:t> </w:t>
            </w:r>
            <w:r>
              <w:rPr>
                <w:rFonts w:ascii="Arial Narrow" w:hAnsi="Arial Narrow"/>
                <w:w w:val="105"/>
                <w:sz w:val="13"/>
              </w:rPr>
              <w:t>la</w:t>
            </w:r>
            <w:r>
              <w:rPr>
                <w:rFonts w:ascii="Arial Narrow" w:hAnsi="Arial Narrow"/>
                <w:spacing w:val="-3"/>
                <w:w w:val="105"/>
                <w:sz w:val="13"/>
              </w:rPr>
              <w:t> </w:t>
            </w:r>
            <w:r>
              <w:rPr>
                <w:rFonts w:ascii="Arial Narrow" w:hAnsi="Arial Narrow"/>
                <w:spacing w:val="-4"/>
                <w:w w:val="105"/>
                <w:sz w:val="13"/>
              </w:rPr>
              <w:t>venta</w:t>
            </w:r>
          </w:p>
        </w:tc>
        <w:tc>
          <w:tcPr>
            <w:tcW w:w="1964" w:type="dxa"/>
          </w:tcPr>
          <w:p>
            <w:pPr>
              <w:pStyle w:val="TableParagraph"/>
              <w:spacing w:line="147" w:lineRule="exact" w:before="23"/>
              <w:ind w:right="144"/>
              <w:jc w:val="right"/>
              <w:rPr>
                <w:rFonts w:ascii="Arial Narrow"/>
                <w:sz w:val="14"/>
              </w:rPr>
            </w:pPr>
            <w:r>
              <w:rPr>
                <w:rFonts w:ascii="Arial Narrow"/>
                <w:w w:val="105"/>
                <w:sz w:val="14"/>
              </w:rPr>
              <w:t>5</w:t>
            </w:r>
            <w:r>
              <w:rPr>
                <w:rFonts w:ascii="Arial Narrow"/>
                <w:spacing w:val="-5"/>
                <w:w w:val="105"/>
                <w:sz w:val="14"/>
              </w:rPr>
              <w:t> </w:t>
            </w:r>
            <w:r>
              <w:rPr>
                <w:rFonts w:ascii="Arial Narrow"/>
                <w:w w:val="105"/>
                <w:sz w:val="14"/>
              </w:rPr>
              <w:t>074</w:t>
            </w:r>
            <w:r>
              <w:rPr>
                <w:rFonts w:ascii="Arial Narrow"/>
                <w:spacing w:val="-5"/>
                <w:w w:val="105"/>
                <w:sz w:val="14"/>
              </w:rPr>
              <w:t> </w:t>
            </w:r>
            <w:r>
              <w:rPr>
                <w:rFonts w:ascii="Arial Narrow"/>
                <w:spacing w:val="-2"/>
                <w:w w:val="105"/>
                <w:sz w:val="14"/>
              </w:rPr>
              <w:t>551,85</w:t>
            </w:r>
          </w:p>
        </w:tc>
        <w:tc>
          <w:tcPr>
            <w:tcW w:w="2000" w:type="dxa"/>
          </w:tcPr>
          <w:p>
            <w:pPr>
              <w:pStyle w:val="TableParagraph"/>
              <w:spacing w:line="147" w:lineRule="exact" w:before="23"/>
              <w:ind w:right="144"/>
              <w:jc w:val="right"/>
              <w:rPr>
                <w:rFonts w:ascii="Arial Narrow"/>
                <w:sz w:val="14"/>
              </w:rPr>
            </w:pPr>
            <w:r>
              <w:rPr>
                <w:rFonts w:ascii="Arial Narrow"/>
                <w:w w:val="105"/>
                <w:sz w:val="14"/>
              </w:rPr>
              <w:t>4</w:t>
            </w:r>
            <w:r>
              <w:rPr>
                <w:rFonts w:ascii="Arial Narrow"/>
                <w:spacing w:val="-5"/>
                <w:w w:val="105"/>
                <w:sz w:val="14"/>
              </w:rPr>
              <w:t> </w:t>
            </w:r>
            <w:r>
              <w:rPr>
                <w:rFonts w:ascii="Arial Narrow"/>
                <w:w w:val="105"/>
                <w:sz w:val="14"/>
              </w:rPr>
              <w:t>322</w:t>
            </w:r>
            <w:r>
              <w:rPr>
                <w:rFonts w:ascii="Arial Narrow"/>
                <w:spacing w:val="-5"/>
                <w:w w:val="105"/>
                <w:sz w:val="14"/>
              </w:rPr>
              <w:t> </w:t>
            </w:r>
            <w:r>
              <w:rPr>
                <w:rFonts w:ascii="Arial Narrow"/>
                <w:spacing w:val="-2"/>
                <w:w w:val="105"/>
                <w:sz w:val="14"/>
              </w:rPr>
              <w:t>894,08</w:t>
            </w:r>
          </w:p>
        </w:tc>
      </w:tr>
      <w:tr>
        <w:trPr>
          <w:trHeight w:val="190" w:hRule="atLeast"/>
        </w:trPr>
        <w:tc>
          <w:tcPr>
            <w:tcW w:w="2746" w:type="dxa"/>
          </w:tcPr>
          <w:p>
            <w:pPr>
              <w:pStyle w:val="TableParagraph"/>
              <w:spacing w:line="147" w:lineRule="exact" w:before="23"/>
              <w:ind w:left="22"/>
              <w:rPr>
                <w:rFonts w:ascii="Arial Narrow" w:hAnsi="Arial Narrow"/>
                <w:sz w:val="13"/>
              </w:rPr>
            </w:pPr>
            <w:r>
              <w:rPr>
                <w:rFonts w:ascii="Arial Narrow" w:hAnsi="Arial Narrow"/>
                <w:w w:val="105"/>
                <w:sz w:val="13"/>
              </w:rPr>
              <w:t>Artículos</w:t>
            </w:r>
            <w:r>
              <w:rPr>
                <w:rFonts w:ascii="Arial Narrow" w:hAnsi="Arial Narrow"/>
                <w:spacing w:val="-8"/>
                <w:w w:val="105"/>
                <w:sz w:val="13"/>
              </w:rPr>
              <w:t> </w:t>
            </w:r>
            <w:r>
              <w:rPr>
                <w:rFonts w:ascii="Arial Narrow" w:hAnsi="Arial Narrow"/>
                <w:w w:val="105"/>
                <w:sz w:val="13"/>
              </w:rPr>
              <w:t>en</w:t>
            </w:r>
            <w:r>
              <w:rPr>
                <w:rFonts w:ascii="Arial Narrow" w:hAnsi="Arial Narrow"/>
                <w:spacing w:val="-4"/>
                <w:w w:val="105"/>
                <w:sz w:val="13"/>
              </w:rPr>
              <w:t> </w:t>
            </w:r>
            <w:r>
              <w:rPr>
                <w:rFonts w:ascii="Arial Narrow" w:hAnsi="Arial Narrow"/>
                <w:w w:val="105"/>
                <w:sz w:val="13"/>
              </w:rPr>
              <w:t>bodega</w:t>
            </w:r>
            <w:r>
              <w:rPr>
                <w:rFonts w:ascii="Arial Narrow" w:hAnsi="Arial Narrow"/>
                <w:spacing w:val="-5"/>
                <w:w w:val="105"/>
                <w:sz w:val="13"/>
              </w:rPr>
              <w:t> </w:t>
            </w:r>
            <w:r>
              <w:rPr>
                <w:rFonts w:ascii="Arial Narrow" w:hAnsi="Arial Narrow"/>
                <w:w w:val="105"/>
                <w:sz w:val="13"/>
              </w:rPr>
              <w:t>de</w:t>
            </w:r>
            <w:r>
              <w:rPr>
                <w:rFonts w:ascii="Arial Narrow" w:hAnsi="Arial Narrow"/>
                <w:spacing w:val="-4"/>
                <w:w w:val="105"/>
                <w:sz w:val="13"/>
              </w:rPr>
              <w:t> </w:t>
            </w:r>
            <w:r>
              <w:rPr>
                <w:rFonts w:ascii="Arial Narrow" w:hAnsi="Arial Narrow"/>
                <w:spacing w:val="-2"/>
                <w:w w:val="105"/>
                <w:sz w:val="13"/>
              </w:rPr>
              <w:t>reparación</w:t>
            </w:r>
          </w:p>
        </w:tc>
        <w:tc>
          <w:tcPr>
            <w:tcW w:w="1964" w:type="dxa"/>
          </w:tcPr>
          <w:p>
            <w:pPr>
              <w:pStyle w:val="TableParagraph"/>
              <w:spacing w:line="147" w:lineRule="exact" w:before="23"/>
              <w:ind w:right="144"/>
              <w:jc w:val="right"/>
              <w:rPr>
                <w:rFonts w:ascii="Arial Narrow"/>
                <w:sz w:val="14"/>
              </w:rPr>
            </w:pPr>
            <w:r>
              <w:rPr>
                <w:rFonts w:ascii="Arial Narrow"/>
                <w:w w:val="105"/>
                <w:sz w:val="14"/>
              </w:rPr>
              <w:t>4</w:t>
            </w:r>
            <w:r>
              <w:rPr>
                <w:rFonts w:ascii="Arial Narrow"/>
                <w:spacing w:val="-2"/>
                <w:w w:val="105"/>
                <w:sz w:val="14"/>
              </w:rPr>
              <w:t> 694,21</w:t>
            </w:r>
          </w:p>
        </w:tc>
        <w:tc>
          <w:tcPr>
            <w:tcW w:w="2000" w:type="dxa"/>
          </w:tcPr>
          <w:p>
            <w:pPr>
              <w:pStyle w:val="TableParagraph"/>
              <w:spacing w:line="147" w:lineRule="exact" w:before="23"/>
              <w:ind w:right="143"/>
              <w:jc w:val="right"/>
              <w:rPr>
                <w:rFonts w:ascii="Arial Narrow"/>
                <w:sz w:val="14"/>
              </w:rPr>
            </w:pPr>
            <w:r>
              <w:rPr>
                <w:rFonts w:ascii="Arial Narrow"/>
                <w:w w:val="105"/>
                <w:sz w:val="14"/>
              </w:rPr>
              <w:t>13</w:t>
            </w:r>
            <w:r>
              <w:rPr>
                <w:rFonts w:ascii="Arial Narrow"/>
                <w:spacing w:val="-5"/>
                <w:w w:val="105"/>
                <w:sz w:val="14"/>
              </w:rPr>
              <w:t> </w:t>
            </w:r>
            <w:r>
              <w:rPr>
                <w:rFonts w:ascii="Arial Narrow"/>
                <w:spacing w:val="-2"/>
                <w:w w:val="105"/>
                <w:sz w:val="14"/>
              </w:rPr>
              <w:t>523,67</w:t>
            </w:r>
          </w:p>
        </w:tc>
      </w:tr>
      <w:tr>
        <w:trPr>
          <w:trHeight w:val="190" w:hRule="atLeast"/>
        </w:trPr>
        <w:tc>
          <w:tcPr>
            <w:tcW w:w="2746" w:type="dxa"/>
          </w:tcPr>
          <w:p>
            <w:pPr>
              <w:pStyle w:val="TableParagraph"/>
              <w:spacing w:line="147" w:lineRule="exact" w:before="23"/>
              <w:ind w:left="22"/>
              <w:rPr>
                <w:rFonts w:ascii="Arial Narrow" w:hAnsi="Arial Narrow"/>
                <w:sz w:val="13"/>
              </w:rPr>
            </w:pPr>
            <w:r>
              <w:rPr>
                <w:rFonts w:ascii="Arial Narrow" w:hAnsi="Arial Narrow"/>
                <w:w w:val="105"/>
                <w:sz w:val="13"/>
              </w:rPr>
              <w:t>Artículos</w:t>
            </w:r>
            <w:r>
              <w:rPr>
                <w:rFonts w:ascii="Arial Narrow" w:hAnsi="Arial Narrow"/>
                <w:spacing w:val="-8"/>
                <w:w w:val="105"/>
                <w:sz w:val="13"/>
              </w:rPr>
              <w:t> </w:t>
            </w:r>
            <w:r>
              <w:rPr>
                <w:rFonts w:ascii="Arial Narrow" w:hAnsi="Arial Narrow"/>
                <w:w w:val="105"/>
                <w:sz w:val="13"/>
              </w:rPr>
              <w:t>en</w:t>
            </w:r>
            <w:r>
              <w:rPr>
                <w:rFonts w:ascii="Arial Narrow" w:hAnsi="Arial Narrow"/>
                <w:spacing w:val="-5"/>
                <w:w w:val="105"/>
                <w:sz w:val="13"/>
              </w:rPr>
              <w:t> </w:t>
            </w:r>
            <w:r>
              <w:rPr>
                <w:rFonts w:ascii="Arial Narrow" w:hAnsi="Arial Narrow"/>
                <w:w w:val="105"/>
                <w:sz w:val="13"/>
              </w:rPr>
              <w:t>bodega</w:t>
            </w:r>
            <w:r>
              <w:rPr>
                <w:rFonts w:ascii="Arial Narrow" w:hAnsi="Arial Narrow"/>
                <w:spacing w:val="-5"/>
                <w:w w:val="105"/>
                <w:sz w:val="13"/>
              </w:rPr>
              <w:t> </w:t>
            </w:r>
            <w:r>
              <w:rPr>
                <w:rFonts w:ascii="Arial Narrow" w:hAnsi="Arial Narrow"/>
                <w:w w:val="105"/>
                <w:sz w:val="13"/>
              </w:rPr>
              <w:t>para</w:t>
            </w:r>
            <w:r>
              <w:rPr>
                <w:rFonts w:ascii="Arial Narrow" w:hAnsi="Arial Narrow"/>
                <w:spacing w:val="-4"/>
                <w:w w:val="105"/>
                <w:sz w:val="13"/>
              </w:rPr>
              <w:t> </w:t>
            </w:r>
            <w:r>
              <w:rPr>
                <w:rFonts w:ascii="Arial Narrow" w:hAnsi="Arial Narrow"/>
                <w:w w:val="105"/>
                <w:sz w:val="13"/>
              </w:rPr>
              <w:t>ser</w:t>
            </w:r>
            <w:r>
              <w:rPr>
                <w:rFonts w:ascii="Arial Narrow" w:hAnsi="Arial Narrow"/>
                <w:spacing w:val="-7"/>
                <w:w w:val="105"/>
                <w:sz w:val="13"/>
              </w:rPr>
              <w:t> </w:t>
            </w:r>
            <w:r>
              <w:rPr>
                <w:rFonts w:ascii="Arial Narrow" w:hAnsi="Arial Narrow"/>
                <w:spacing w:val="-2"/>
                <w:w w:val="105"/>
                <w:sz w:val="13"/>
              </w:rPr>
              <w:t>destruidos</w:t>
            </w:r>
          </w:p>
        </w:tc>
        <w:tc>
          <w:tcPr>
            <w:tcW w:w="1964" w:type="dxa"/>
          </w:tcPr>
          <w:p>
            <w:pPr>
              <w:pStyle w:val="TableParagraph"/>
              <w:spacing w:line="147" w:lineRule="exact" w:before="23"/>
              <w:ind w:right="144"/>
              <w:jc w:val="right"/>
              <w:rPr>
                <w:rFonts w:ascii="Arial Narrow"/>
                <w:sz w:val="14"/>
              </w:rPr>
            </w:pPr>
            <w:r>
              <w:rPr>
                <w:rFonts w:ascii="Arial Narrow"/>
                <w:w w:val="105"/>
                <w:sz w:val="14"/>
              </w:rPr>
              <w:t>18</w:t>
            </w:r>
            <w:r>
              <w:rPr>
                <w:rFonts w:ascii="Arial Narrow"/>
                <w:spacing w:val="-5"/>
                <w:w w:val="105"/>
                <w:sz w:val="14"/>
              </w:rPr>
              <w:t> </w:t>
            </w:r>
            <w:r>
              <w:rPr>
                <w:rFonts w:ascii="Arial Narrow"/>
                <w:spacing w:val="-2"/>
                <w:w w:val="105"/>
                <w:sz w:val="14"/>
              </w:rPr>
              <w:t>576,22</w:t>
            </w:r>
          </w:p>
        </w:tc>
        <w:tc>
          <w:tcPr>
            <w:tcW w:w="2000" w:type="dxa"/>
          </w:tcPr>
          <w:p>
            <w:pPr>
              <w:pStyle w:val="TableParagraph"/>
              <w:spacing w:line="147" w:lineRule="exact" w:before="23"/>
              <w:ind w:right="143"/>
              <w:jc w:val="right"/>
              <w:rPr>
                <w:rFonts w:ascii="Arial Narrow"/>
                <w:sz w:val="14"/>
              </w:rPr>
            </w:pPr>
            <w:r>
              <w:rPr>
                <w:rFonts w:ascii="Arial Narrow"/>
                <w:w w:val="105"/>
                <w:sz w:val="14"/>
              </w:rPr>
              <w:t>20</w:t>
            </w:r>
            <w:r>
              <w:rPr>
                <w:rFonts w:ascii="Arial Narrow"/>
                <w:spacing w:val="-5"/>
                <w:w w:val="105"/>
                <w:sz w:val="14"/>
              </w:rPr>
              <w:t> </w:t>
            </w:r>
            <w:r>
              <w:rPr>
                <w:rFonts w:ascii="Arial Narrow"/>
                <w:spacing w:val="-2"/>
                <w:w w:val="105"/>
                <w:sz w:val="14"/>
              </w:rPr>
              <w:t>666,56</w:t>
            </w:r>
          </w:p>
        </w:tc>
      </w:tr>
      <w:tr>
        <w:trPr>
          <w:trHeight w:val="190" w:hRule="atLeast"/>
        </w:trPr>
        <w:tc>
          <w:tcPr>
            <w:tcW w:w="2746" w:type="dxa"/>
          </w:tcPr>
          <w:p>
            <w:pPr>
              <w:pStyle w:val="TableParagraph"/>
              <w:spacing w:line="147" w:lineRule="exact" w:before="23"/>
              <w:ind w:left="22"/>
              <w:rPr>
                <w:rFonts w:ascii="Arial Narrow" w:hAnsi="Arial Narrow"/>
                <w:sz w:val="13"/>
              </w:rPr>
            </w:pPr>
            <w:r>
              <w:rPr>
                <w:rFonts w:ascii="Arial Narrow" w:hAnsi="Arial Narrow"/>
                <w:w w:val="105"/>
                <w:sz w:val="13"/>
              </w:rPr>
              <w:t>Previsiones</w:t>
            </w:r>
            <w:r>
              <w:rPr>
                <w:rFonts w:ascii="Arial Narrow" w:hAnsi="Arial Narrow"/>
                <w:spacing w:val="-8"/>
                <w:w w:val="105"/>
                <w:sz w:val="13"/>
              </w:rPr>
              <w:t> </w:t>
            </w:r>
            <w:r>
              <w:rPr>
                <w:rFonts w:ascii="Arial Narrow" w:hAnsi="Arial Narrow"/>
                <w:w w:val="105"/>
                <w:sz w:val="13"/>
              </w:rPr>
              <w:t>para</w:t>
            </w:r>
            <w:r>
              <w:rPr>
                <w:rFonts w:ascii="Arial Narrow" w:hAnsi="Arial Narrow"/>
                <w:spacing w:val="-5"/>
                <w:w w:val="105"/>
                <w:sz w:val="13"/>
              </w:rPr>
              <w:t> </w:t>
            </w:r>
            <w:r>
              <w:rPr>
                <w:rFonts w:ascii="Arial Narrow" w:hAnsi="Arial Narrow"/>
                <w:w w:val="105"/>
                <w:sz w:val="13"/>
              </w:rPr>
              <w:t>deterioro</w:t>
            </w:r>
            <w:r>
              <w:rPr>
                <w:rFonts w:ascii="Arial Narrow" w:hAnsi="Arial Narrow"/>
                <w:spacing w:val="-5"/>
                <w:w w:val="105"/>
                <w:sz w:val="13"/>
              </w:rPr>
              <w:t> </w:t>
            </w:r>
            <w:r>
              <w:rPr>
                <w:rFonts w:ascii="Arial Narrow" w:hAnsi="Arial Narrow"/>
                <w:w w:val="105"/>
                <w:sz w:val="13"/>
              </w:rPr>
              <w:t>y</w:t>
            </w:r>
            <w:r>
              <w:rPr>
                <w:rFonts w:ascii="Arial Narrow" w:hAnsi="Arial Narrow"/>
                <w:spacing w:val="-15"/>
                <w:w w:val="105"/>
                <w:sz w:val="13"/>
              </w:rPr>
              <w:t> </w:t>
            </w:r>
            <w:r>
              <w:rPr>
                <w:rFonts w:ascii="Arial Narrow" w:hAnsi="Arial Narrow"/>
                <w:w w:val="105"/>
                <w:sz w:val="13"/>
              </w:rPr>
              <w:t>pérdidas</w:t>
            </w:r>
            <w:r>
              <w:rPr>
                <w:rFonts w:ascii="Arial Narrow" w:hAnsi="Arial Narrow"/>
                <w:spacing w:val="-8"/>
                <w:w w:val="105"/>
                <w:sz w:val="13"/>
              </w:rPr>
              <w:t> </w:t>
            </w:r>
            <w:r>
              <w:rPr>
                <w:rFonts w:ascii="Arial Narrow" w:hAnsi="Arial Narrow"/>
                <w:w w:val="105"/>
                <w:sz w:val="13"/>
              </w:rPr>
              <w:t>de</w:t>
            </w:r>
            <w:r>
              <w:rPr>
                <w:rFonts w:ascii="Arial Narrow" w:hAnsi="Arial Narrow"/>
                <w:spacing w:val="-4"/>
                <w:w w:val="105"/>
                <w:sz w:val="13"/>
              </w:rPr>
              <w:t> </w:t>
            </w:r>
            <w:r>
              <w:rPr>
                <w:rFonts w:ascii="Arial Narrow" w:hAnsi="Arial Narrow"/>
                <w:spacing w:val="-2"/>
                <w:w w:val="105"/>
                <w:sz w:val="13"/>
              </w:rPr>
              <w:t>inventario</w:t>
            </w:r>
          </w:p>
        </w:tc>
        <w:tc>
          <w:tcPr>
            <w:tcW w:w="1964" w:type="dxa"/>
          </w:tcPr>
          <w:p>
            <w:pPr>
              <w:pStyle w:val="TableParagraph"/>
              <w:tabs>
                <w:tab w:pos="1200" w:val="left" w:leader="none"/>
              </w:tabs>
              <w:spacing w:line="147" w:lineRule="exact" w:before="23"/>
              <w:ind w:right="144"/>
              <w:jc w:val="right"/>
              <w:rPr>
                <w:rFonts w:ascii="Arial Narrow"/>
                <w:sz w:val="14"/>
              </w:rPr>
            </w:pPr>
            <w:r>
              <w:rPr>
                <w:rFonts w:ascii="Arial Narrow"/>
                <w:spacing w:val="-10"/>
                <w:w w:val="105"/>
                <w:sz w:val="14"/>
              </w:rPr>
              <w:t>-</w:t>
            </w:r>
            <w:r>
              <w:rPr>
                <w:rFonts w:ascii="Arial Narrow"/>
                <w:sz w:val="14"/>
              </w:rPr>
              <w:tab/>
            </w:r>
            <w:r>
              <w:rPr>
                <w:rFonts w:ascii="Arial Narrow"/>
                <w:spacing w:val="-2"/>
                <w:w w:val="105"/>
                <w:sz w:val="14"/>
              </w:rPr>
              <w:t>129</w:t>
            </w:r>
            <w:r>
              <w:rPr>
                <w:rFonts w:ascii="Arial Narrow"/>
                <w:spacing w:val="-3"/>
                <w:w w:val="105"/>
                <w:sz w:val="14"/>
              </w:rPr>
              <w:t> </w:t>
            </w:r>
            <w:r>
              <w:rPr>
                <w:rFonts w:ascii="Arial Narrow"/>
                <w:spacing w:val="-2"/>
                <w:w w:val="105"/>
                <w:sz w:val="14"/>
              </w:rPr>
              <w:t>086,89</w:t>
            </w:r>
          </w:p>
        </w:tc>
        <w:tc>
          <w:tcPr>
            <w:tcW w:w="2000" w:type="dxa"/>
          </w:tcPr>
          <w:p>
            <w:pPr>
              <w:pStyle w:val="TableParagraph"/>
              <w:tabs>
                <w:tab w:pos="1236" w:val="left" w:leader="none"/>
              </w:tabs>
              <w:spacing w:line="147" w:lineRule="exact" w:before="23"/>
              <w:ind w:right="143"/>
              <w:jc w:val="right"/>
              <w:rPr>
                <w:rFonts w:ascii="Arial Narrow"/>
                <w:sz w:val="14"/>
              </w:rPr>
            </w:pPr>
            <w:r>
              <w:rPr>
                <w:rFonts w:ascii="Arial Narrow"/>
                <w:spacing w:val="-10"/>
                <w:w w:val="105"/>
                <w:sz w:val="14"/>
              </w:rPr>
              <w:t>-</w:t>
            </w:r>
            <w:r>
              <w:rPr>
                <w:rFonts w:ascii="Arial Narrow"/>
                <w:sz w:val="14"/>
              </w:rPr>
              <w:tab/>
            </w:r>
            <w:r>
              <w:rPr>
                <w:rFonts w:ascii="Arial Narrow"/>
                <w:spacing w:val="-2"/>
                <w:w w:val="105"/>
                <w:sz w:val="14"/>
              </w:rPr>
              <w:t>128</w:t>
            </w:r>
            <w:r>
              <w:rPr>
                <w:rFonts w:ascii="Arial Narrow"/>
                <w:spacing w:val="-3"/>
                <w:w w:val="105"/>
                <w:sz w:val="14"/>
              </w:rPr>
              <w:t> </w:t>
            </w:r>
            <w:r>
              <w:rPr>
                <w:rFonts w:ascii="Arial Narrow"/>
                <w:spacing w:val="-2"/>
                <w:w w:val="105"/>
                <w:sz w:val="14"/>
              </w:rPr>
              <w:t>400,07</w:t>
            </w:r>
          </w:p>
        </w:tc>
      </w:tr>
      <w:tr>
        <w:trPr>
          <w:trHeight w:val="181" w:hRule="atLeast"/>
        </w:trPr>
        <w:tc>
          <w:tcPr>
            <w:tcW w:w="2746" w:type="dxa"/>
          </w:tcPr>
          <w:p>
            <w:pPr>
              <w:pStyle w:val="TableParagraph"/>
              <w:spacing w:line="147" w:lineRule="exact" w:before="14"/>
              <w:ind w:left="22"/>
              <w:rPr>
                <w:rFonts w:ascii="Arial Narrow"/>
                <w:b/>
                <w:sz w:val="14"/>
              </w:rPr>
            </w:pPr>
            <w:r>
              <w:rPr>
                <w:rFonts w:ascii="Arial Narrow"/>
                <w:b/>
                <w:w w:val="105"/>
                <w:sz w:val="14"/>
              </w:rPr>
              <w:t>Total</w:t>
            </w:r>
            <w:r>
              <w:rPr>
                <w:rFonts w:ascii="Arial Narrow"/>
                <w:b/>
                <w:spacing w:val="-4"/>
                <w:w w:val="105"/>
                <w:sz w:val="14"/>
              </w:rPr>
              <w:t> </w:t>
            </w:r>
            <w:r>
              <w:rPr>
                <w:rFonts w:ascii="Arial Narrow"/>
                <w:b/>
                <w:w w:val="105"/>
                <w:sz w:val="14"/>
              </w:rPr>
              <w:t>del</w:t>
            </w:r>
            <w:r>
              <w:rPr>
                <w:rFonts w:ascii="Arial Narrow"/>
                <w:b/>
                <w:spacing w:val="-3"/>
                <w:w w:val="105"/>
                <w:sz w:val="14"/>
              </w:rPr>
              <w:t> </w:t>
            </w:r>
            <w:r>
              <w:rPr>
                <w:rFonts w:ascii="Arial Narrow"/>
                <w:b/>
                <w:spacing w:val="-2"/>
                <w:w w:val="105"/>
                <w:sz w:val="14"/>
              </w:rPr>
              <w:t>inventario</w:t>
            </w:r>
          </w:p>
        </w:tc>
        <w:tc>
          <w:tcPr>
            <w:tcW w:w="1964" w:type="dxa"/>
          </w:tcPr>
          <w:p>
            <w:pPr>
              <w:pStyle w:val="TableParagraph"/>
              <w:spacing w:line="147" w:lineRule="exact" w:before="14"/>
              <w:ind w:right="144"/>
              <w:jc w:val="right"/>
              <w:rPr>
                <w:rFonts w:ascii="Arial Narrow"/>
                <w:b/>
                <w:sz w:val="14"/>
              </w:rPr>
            </w:pPr>
            <w:r>
              <w:rPr>
                <w:rFonts w:ascii="Arial Narrow"/>
                <w:b/>
                <w:w w:val="105"/>
                <w:sz w:val="14"/>
              </w:rPr>
              <w:t>5</w:t>
            </w:r>
            <w:r>
              <w:rPr>
                <w:rFonts w:ascii="Arial Narrow"/>
                <w:b/>
                <w:spacing w:val="-5"/>
                <w:w w:val="105"/>
                <w:sz w:val="14"/>
              </w:rPr>
              <w:t> </w:t>
            </w:r>
            <w:r>
              <w:rPr>
                <w:rFonts w:ascii="Arial Narrow"/>
                <w:b/>
                <w:w w:val="105"/>
                <w:sz w:val="14"/>
              </w:rPr>
              <w:t>204</w:t>
            </w:r>
            <w:r>
              <w:rPr>
                <w:rFonts w:ascii="Arial Narrow"/>
                <w:b/>
                <w:spacing w:val="-5"/>
                <w:w w:val="105"/>
                <w:sz w:val="14"/>
              </w:rPr>
              <w:t> </w:t>
            </w:r>
            <w:r>
              <w:rPr>
                <w:rFonts w:ascii="Arial Narrow"/>
                <w:b/>
                <w:spacing w:val="-2"/>
                <w:w w:val="105"/>
                <w:sz w:val="14"/>
              </w:rPr>
              <w:t>736,58</w:t>
            </w:r>
          </w:p>
        </w:tc>
        <w:tc>
          <w:tcPr>
            <w:tcW w:w="2000" w:type="dxa"/>
          </w:tcPr>
          <w:p>
            <w:pPr>
              <w:pStyle w:val="TableParagraph"/>
              <w:spacing w:line="147" w:lineRule="exact" w:before="14"/>
              <w:ind w:right="144"/>
              <w:jc w:val="right"/>
              <w:rPr>
                <w:rFonts w:ascii="Arial Narrow"/>
                <w:b/>
                <w:sz w:val="14"/>
              </w:rPr>
            </w:pPr>
            <w:r>
              <w:rPr>
                <w:rFonts w:ascii="Arial Narrow"/>
                <w:b/>
                <w:w w:val="105"/>
                <w:sz w:val="14"/>
              </w:rPr>
              <w:t>4</w:t>
            </w:r>
            <w:r>
              <w:rPr>
                <w:rFonts w:ascii="Arial Narrow"/>
                <w:b/>
                <w:spacing w:val="-5"/>
                <w:w w:val="105"/>
                <w:sz w:val="14"/>
              </w:rPr>
              <w:t> </w:t>
            </w:r>
            <w:r>
              <w:rPr>
                <w:rFonts w:ascii="Arial Narrow"/>
                <w:b/>
                <w:w w:val="105"/>
                <w:sz w:val="14"/>
              </w:rPr>
              <w:t>345</w:t>
            </w:r>
            <w:r>
              <w:rPr>
                <w:rFonts w:ascii="Arial Narrow"/>
                <w:b/>
                <w:spacing w:val="-5"/>
                <w:w w:val="105"/>
                <w:sz w:val="14"/>
              </w:rPr>
              <w:t> </w:t>
            </w:r>
            <w:r>
              <w:rPr>
                <w:rFonts w:ascii="Arial Narrow"/>
                <w:b/>
                <w:spacing w:val="-2"/>
                <w:w w:val="105"/>
                <w:sz w:val="14"/>
              </w:rPr>
              <w:t>643,29</w:t>
            </w:r>
          </w:p>
        </w:tc>
      </w:tr>
    </w:tbl>
    <w:p>
      <w:pPr>
        <w:pStyle w:val="BodyText"/>
        <w:spacing w:before="199"/>
        <w:ind w:left="730" w:right="922"/>
        <w:jc w:val="both"/>
      </w:pPr>
      <w:r>
        <w:rPr/>
        <w:t>De acuerdo con la NICSP 12, párrafo 42, anualmente se realiza una evaluación del valor neto realizable al final de cada período para determinar el nuevo valor en libros, de manera tal que permanecerá el que sea menor entre el costo y el valor</w:t>
      </w:r>
      <w:r>
        <w:rPr>
          <w:spacing w:val="-1"/>
        </w:rPr>
        <w:t> </w:t>
      </w:r>
      <w:r>
        <w:rPr/>
        <w:t>neto realizable</w:t>
      </w:r>
      <w:r>
        <w:rPr>
          <w:spacing w:val="-1"/>
        </w:rPr>
        <w:t> </w:t>
      </w:r>
      <w:r>
        <w:rPr/>
        <w:t>revisado. El último cálculo del Valor neto realizable se realizó en diciembre 2025 y reflejó que no existe pérdida de valor del </w:t>
      </w:r>
      <w:r>
        <w:rPr>
          <w:spacing w:val="-2"/>
        </w:rPr>
        <w:t>inventario</w:t>
      </w:r>
    </w:p>
    <w:tbl>
      <w:tblPr>
        <w:tblW w:w="0" w:type="auto"/>
        <w:jc w:val="left"/>
        <w:tblInd w:w="3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3"/>
        <w:gridCol w:w="1888"/>
      </w:tblGrid>
      <w:tr>
        <w:trPr>
          <w:trHeight w:val="242" w:hRule="atLeast"/>
        </w:trPr>
        <w:tc>
          <w:tcPr>
            <w:tcW w:w="2243" w:type="dxa"/>
          </w:tcPr>
          <w:p>
            <w:pPr>
              <w:pStyle w:val="TableParagraph"/>
              <w:rPr>
                <w:rFonts w:ascii="Times New Roman"/>
                <w:sz w:val="16"/>
              </w:rPr>
            </w:pPr>
          </w:p>
        </w:tc>
        <w:tc>
          <w:tcPr>
            <w:tcW w:w="1888" w:type="dxa"/>
          </w:tcPr>
          <w:p>
            <w:pPr>
              <w:pStyle w:val="TableParagraph"/>
              <w:spacing w:before="42"/>
              <w:ind w:right="26"/>
              <w:jc w:val="right"/>
              <w:rPr>
                <w:rFonts w:ascii="Calibri" w:hAnsi="Calibri"/>
                <w:b/>
                <w:sz w:val="13"/>
              </w:rPr>
            </w:pPr>
            <w:r>
              <w:rPr>
                <w:rFonts w:ascii="Calibri" w:hAnsi="Calibri"/>
                <w:b/>
                <w:sz w:val="13"/>
              </w:rPr>
              <w:t>Inventario</w:t>
            </w:r>
            <w:r>
              <w:rPr>
                <w:rFonts w:ascii="Calibri" w:hAnsi="Calibri"/>
                <w:b/>
                <w:spacing w:val="-7"/>
                <w:sz w:val="13"/>
              </w:rPr>
              <w:t> </w:t>
            </w:r>
            <w:r>
              <w:rPr>
                <w:rFonts w:ascii="Calibri" w:hAnsi="Calibri"/>
                <w:b/>
                <w:sz w:val="13"/>
              </w:rPr>
              <w:t>mercadería</w:t>
            </w:r>
            <w:r>
              <w:rPr>
                <w:rFonts w:ascii="Calibri" w:hAnsi="Calibri"/>
                <w:b/>
                <w:spacing w:val="-4"/>
                <w:sz w:val="13"/>
              </w:rPr>
              <w:t> </w:t>
            </w:r>
            <w:r>
              <w:rPr>
                <w:rFonts w:ascii="Calibri" w:hAnsi="Calibri"/>
                <w:b/>
                <w:sz w:val="13"/>
              </w:rPr>
              <w:t>para</w:t>
            </w:r>
            <w:r>
              <w:rPr>
                <w:rFonts w:ascii="Calibri" w:hAnsi="Calibri"/>
                <w:b/>
                <w:spacing w:val="-4"/>
                <w:sz w:val="13"/>
              </w:rPr>
              <w:t> venta</w:t>
            </w:r>
          </w:p>
        </w:tc>
      </w:tr>
      <w:tr>
        <w:trPr>
          <w:trHeight w:val="164" w:hRule="atLeast"/>
        </w:trPr>
        <w:tc>
          <w:tcPr>
            <w:tcW w:w="2243" w:type="dxa"/>
          </w:tcPr>
          <w:p>
            <w:pPr>
              <w:pStyle w:val="TableParagraph"/>
              <w:spacing w:line="138" w:lineRule="exact" w:before="6"/>
              <w:ind w:left="19"/>
              <w:rPr>
                <w:rFonts w:ascii="Calibri"/>
                <w:b/>
                <w:sz w:val="13"/>
              </w:rPr>
            </w:pPr>
            <w:r>
              <w:rPr>
                <w:rFonts w:ascii="Calibri"/>
                <w:b/>
                <w:sz w:val="13"/>
              </w:rPr>
              <w:t>Precio</w:t>
            </w:r>
            <w:r>
              <w:rPr>
                <w:rFonts w:ascii="Calibri"/>
                <w:b/>
                <w:spacing w:val="1"/>
                <w:sz w:val="13"/>
              </w:rPr>
              <w:t> </w:t>
            </w:r>
            <w:r>
              <w:rPr>
                <w:rFonts w:ascii="Calibri"/>
                <w:b/>
                <w:sz w:val="13"/>
              </w:rPr>
              <w:t>estimado</w:t>
            </w:r>
            <w:r>
              <w:rPr>
                <w:rFonts w:ascii="Calibri"/>
                <w:b/>
                <w:spacing w:val="1"/>
                <w:sz w:val="13"/>
              </w:rPr>
              <w:t> </w:t>
            </w:r>
            <w:r>
              <w:rPr>
                <w:rFonts w:ascii="Calibri"/>
                <w:b/>
                <w:spacing w:val="-2"/>
                <w:sz w:val="13"/>
              </w:rPr>
              <w:t>venta</w:t>
            </w:r>
          </w:p>
        </w:tc>
        <w:tc>
          <w:tcPr>
            <w:tcW w:w="1888" w:type="dxa"/>
          </w:tcPr>
          <w:p>
            <w:pPr>
              <w:pStyle w:val="TableParagraph"/>
              <w:spacing w:line="138" w:lineRule="exact" w:before="6"/>
              <w:ind w:right="53"/>
              <w:jc w:val="right"/>
              <w:rPr>
                <w:rFonts w:ascii="Calibri"/>
                <w:sz w:val="13"/>
              </w:rPr>
            </w:pPr>
            <w:r>
              <w:rPr>
                <w:rFonts w:ascii="Calibri"/>
                <w:sz w:val="13"/>
              </w:rPr>
              <w:t>7</w:t>
            </w:r>
            <w:r>
              <w:rPr>
                <w:rFonts w:ascii="Calibri"/>
                <w:spacing w:val="-7"/>
                <w:sz w:val="13"/>
              </w:rPr>
              <w:t> </w:t>
            </w:r>
            <w:r>
              <w:rPr>
                <w:rFonts w:ascii="Calibri"/>
                <w:sz w:val="13"/>
              </w:rPr>
              <w:t>069</w:t>
            </w:r>
            <w:r>
              <w:rPr>
                <w:rFonts w:ascii="Calibri"/>
                <w:spacing w:val="-7"/>
                <w:sz w:val="13"/>
              </w:rPr>
              <w:t> </w:t>
            </w:r>
            <w:r>
              <w:rPr>
                <w:rFonts w:ascii="Calibri"/>
                <w:sz w:val="13"/>
              </w:rPr>
              <w:t>697</w:t>
            </w:r>
            <w:r>
              <w:rPr>
                <w:rFonts w:ascii="Calibri"/>
                <w:spacing w:val="-6"/>
                <w:sz w:val="13"/>
              </w:rPr>
              <w:t> </w:t>
            </w:r>
            <w:r>
              <w:rPr>
                <w:rFonts w:ascii="Calibri"/>
                <w:spacing w:val="-2"/>
                <w:sz w:val="13"/>
              </w:rPr>
              <w:t>792,26</w:t>
            </w:r>
          </w:p>
        </w:tc>
      </w:tr>
      <w:tr>
        <w:trPr>
          <w:trHeight w:val="164" w:hRule="atLeast"/>
        </w:trPr>
        <w:tc>
          <w:tcPr>
            <w:tcW w:w="2243" w:type="dxa"/>
          </w:tcPr>
          <w:p>
            <w:pPr>
              <w:pStyle w:val="TableParagraph"/>
              <w:spacing w:line="138" w:lineRule="exact" w:before="6"/>
              <w:ind w:left="19"/>
              <w:rPr>
                <w:rFonts w:ascii="Calibri"/>
                <w:b/>
                <w:sz w:val="13"/>
              </w:rPr>
            </w:pPr>
            <w:r>
              <w:rPr>
                <w:rFonts w:ascii="Calibri"/>
                <w:b/>
                <w:spacing w:val="-2"/>
                <w:sz w:val="13"/>
              </w:rPr>
              <w:t>Menos</w:t>
            </w:r>
            <w:r>
              <w:rPr>
                <w:rFonts w:ascii="Calibri"/>
                <w:b/>
                <w:spacing w:val="-3"/>
                <w:sz w:val="13"/>
              </w:rPr>
              <w:t> </w:t>
            </w:r>
            <w:r>
              <w:rPr>
                <w:rFonts w:ascii="Calibri"/>
                <w:b/>
                <w:spacing w:val="-2"/>
                <w:sz w:val="13"/>
              </w:rPr>
              <w:t>gasto</w:t>
            </w:r>
            <w:r>
              <w:rPr>
                <w:rFonts w:ascii="Calibri"/>
                <w:b/>
                <w:spacing w:val="-5"/>
                <w:sz w:val="13"/>
              </w:rPr>
              <w:t> </w:t>
            </w:r>
            <w:r>
              <w:rPr>
                <w:rFonts w:ascii="Calibri"/>
                <w:b/>
                <w:spacing w:val="-2"/>
                <w:sz w:val="13"/>
              </w:rPr>
              <w:t>de venta</w:t>
            </w:r>
            <w:r>
              <w:rPr>
                <w:rFonts w:ascii="Calibri"/>
                <w:b/>
                <w:spacing w:val="-1"/>
                <w:sz w:val="13"/>
              </w:rPr>
              <w:t> </w:t>
            </w:r>
            <w:r>
              <w:rPr>
                <w:rFonts w:ascii="Calibri"/>
                <w:b/>
                <w:spacing w:val="-2"/>
                <w:sz w:val="13"/>
              </w:rPr>
              <w:t>(comisiones)</w:t>
            </w:r>
          </w:p>
        </w:tc>
        <w:tc>
          <w:tcPr>
            <w:tcW w:w="1888" w:type="dxa"/>
          </w:tcPr>
          <w:p>
            <w:pPr>
              <w:pStyle w:val="TableParagraph"/>
              <w:spacing w:line="138" w:lineRule="exact" w:before="6"/>
              <w:ind w:right="53"/>
              <w:jc w:val="right"/>
              <w:rPr>
                <w:rFonts w:ascii="Calibri"/>
                <w:sz w:val="13"/>
              </w:rPr>
            </w:pPr>
            <w:r>
              <w:rPr>
                <w:rFonts w:ascii="Calibri"/>
                <w:sz w:val="13"/>
              </w:rPr>
              <w:t>303</w:t>
            </w:r>
            <w:r>
              <w:rPr>
                <w:rFonts w:ascii="Calibri"/>
                <w:spacing w:val="-8"/>
                <w:sz w:val="13"/>
              </w:rPr>
              <w:t> </w:t>
            </w:r>
            <w:r>
              <w:rPr>
                <w:rFonts w:ascii="Calibri"/>
                <w:sz w:val="13"/>
              </w:rPr>
              <w:t>617</w:t>
            </w:r>
            <w:r>
              <w:rPr>
                <w:rFonts w:ascii="Calibri"/>
                <w:spacing w:val="-7"/>
                <w:sz w:val="13"/>
              </w:rPr>
              <w:t> </w:t>
            </w:r>
            <w:r>
              <w:rPr>
                <w:rFonts w:ascii="Calibri"/>
                <w:spacing w:val="-2"/>
                <w:sz w:val="13"/>
              </w:rPr>
              <w:t>633,10</w:t>
            </w:r>
          </w:p>
        </w:tc>
      </w:tr>
      <w:tr>
        <w:trPr>
          <w:trHeight w:val="164" w:hRule="atLeast"/>
        </w:trPr>
        <w:tc>
          <w:tcPr>
            <w:tcW w:w="2243" w:type="dxa"/>
          </w:tcPr>
          <w:p>
            <w:pPr>
              <w:pStyle w:val="TableParagraph"/>
              <w:spacing w:line="138" w:lineRule="exact" w:before="6"/>
              <w:ind w:left="19"/>
              <w:rPr>
                <w:rFonts w:ascii="Calibri"/>
                <w:b/>
                <w:sz w:val="13"/>
              </w:rPr>
            </w:pPr>
            <w:r>
              <w:rPr>
                <w:rFonts w:ascii="Calibri"/>
                <w:b/>
                <w:spacing w:val="-2"/>
                <w:sz w:val="13"/>
              </w:rPr>
              <w:t>Valor</w:t>
            </w:r>
            <w:r>
              <w:rPr>
                <w:rFonts w:ascii="Calibri"/>
                <w:b/>
                <w:spacing w:val="-8"/>
                <w:sz w:val="13"/>
              </w:rPr>
              <w:t> </w:t>
            </w:r>
            <w:r>
              <w:rPr>
                <w:rFonts w:ascii="Calibri"/>
                <w:b/>
                <w:spacing w:val="-2"/>
                <w:sz w:val="13"/>
              </w:rPr>
              <w:t>Neto</w:t>
            </w:r>
            <w:r>
              <w:rPr>
                <w:rFonts w:ascii="Calibri"/>
                <w:b/>
                <w:spacing w:val="-9"/>
                <w:sz w:val="13"/>
              </w:rPr>
              <w:t> </w:t>
            </w:r>
            <w:r>
              <w:rPr>
                <w:rFonts w:ascii="Calibri"/>
                <w:b/>
                <w:spacing w:val="-2"/>
                <w:sz w:val="13"/>
              </w:rPr>
              <w:t>Realizable</w:t>
            </w:r>
          </w:p>
        </w:tc>
        <w:tc>
          <w:tcPr>
            <w:tcW w:w="1888" w:type="dxa"/>
          </w:tcPr>
          <w:p>
            <w:pPr>
              <w:pStyle w:val="TableParagraph"/>
              <w:spacing w:line="138" w:lineRule="exact" w:before="6"/>
              <w:ind w:right="53"/>
              <w:jc w:val="right"/>
              <w:rPr>
                <w:rFonts w:ascii="Calibri"/>
                <w:sz w:val="13"/>
              </w:rPr>
            </w:pPr>
            <w:r>
              <w:rPr>
                <w:rFonts w:ascii="Calibri"/>
                <w:sz w:val="13"/>
              </w:rPr>
              <w:t>6</w:t>
            </w:r>
            <w:r>
              <w:rPr>
                <w:rFonts w:ascii="Calibri"/>
                <w:spacing w:val="-7"/>
                <w:sz w:val="13"/>
              </w:rPr>
              <w:t> </w:t>
            </w:r>
            <w:r>
              <w:rPr>
                <w:rFonts w:ascii="Calibri"/>
                <w:sz w:val="13"/>
              </w:rPr>
              <w:t>766</w:t>
            </w:r>
            <w:r>
              <w:rPr>
                <w:rFonts w:ascii="Calibri"/>
                <w:spacing w:val="-7"/>
                <w:sz w:val="13"/>
              </w:rPr>
              <w:t> </w:t>
            </w:r>
            <w:r>
              <w:rPr>
                <w:rFonts w:ascii="Calibri"/>
                <w:sz w:val="13"/>
              </w:rPr>
              <w:t>080</w:t>
            </w:r>
            <w:r>
              <w:rPr>
                <w:rFonts w:ascii="Calibri"/>
                <w:spacing w:val="-6"/>
                <w:sz w:val="13"/>
              </w:rPr>
              <w:t> </w:t>
            </w:r>
            <w:r>
              <w:rPr>
                <w:rFonts w:ascii="Calibri"/>
                <w:spacing w:val="-2"/>
                <w:sz w:val="13"/>
              </w:rPr>
              <w:t>159,16</w:t>
            </w:r>
          </w:p>
        </w:tc>
      </w:tr>
      <w:tr>
        <w:trPr>
          <w:trHeight w:val="164" w:hRule="atLeast"/>
        </w:trPr>
        <w:tc>
          <w:tcPr>
            <w:tcW w:w="2243" w:type="dxa"/>
          </w:tcPr>
          <w:p>
            <w:pPr>
              <w:pStyle w:val="TableParagraph"/>
              <w:rPr>
                <w:rFonts w:ascii="Times New Roman"/>
                <w:sz w:val="10"/>
              </w:rPr>
            </w:pPr>
          </w:p>
        </w:tc>
        <w:tc>
          <w:tcPr>
            <w:tcW w:w="1888" w:type="dxa"/>
          </w:tcPr>
          <w:p>
            <w:pPr>
              <w:pStyle w:val="TableParagraph"/>
              <w:rPr>
                <w:rFonts w:ascii="Times New Roman"/>
                <w:sz w:val="10"/>
              </w:rPr>
            </w:pPr>
          </w:p>
        </w:tc>
      </w:tr>
      <w:tr>
        <w:trPr>
          <w:trHeight w:val="164" w:hRule="atLeast"/>
        </w:trPr>
        <w:tc>
          <w:tcPr>
            <w:tcW w:w="2243" w:type="dxa"/>
          </w:tcPr>
          <w:p>
            <w:pPr>
              <w:pStyle w:val="TableParagraph"/>
              <w:spacing w:line="138" w:lineRule="exact" w:before="6"/>
              <w:ind w:left="19"/>
              <w:rPr>
                <w:rFonts w:ascii="Calibri"/>
                <w:b/>
                <w:sz w:val="13"/>
              </w:rPr>
            </w:pPr>
            <w:r>
              <w:rPr>
                <w:rFonts w:ascii="Calibri"/>
                <w:b/>
                <w:spacing w:val="-2"/>
                <w:sz w:val="13"/>
              </w:rPr>
              <w:t>Valor</w:t>
            </w:r>
            <w:r>
              <w:rPr>
                <w:rFonts w:ascii="Calibri"/>
                <w:b/>
                <w:spacing w:val="-8"/>
                <w:sz w:val="13"/>
              </w:rPr>
              <w:t> </w:t>
            </w:r>
            <w:r>
              <w:rPr>
                <w:rFonts w:ascii="Calibri"/>
                <w:b/>
                <w:spacing w:val="-2"/>
                <w:sz w:val="13"/>
              </w:rPr>
              <w:t>Neto</w:t>
            </w:r>
            <w:r>
              <w:rPr>
                <w:rFonts w:ascii="Calibri"/>
                <w:b/>
                <w:spacing w:val="-9"/>
                <w:sz w:val="13"/>
              </w:rPr>
              <w:t> </w:t>
            </w:r>
            <w:r>
              <w:rPr>
                <w:rFonts w:ascii="Calibri"/>
                <w:b/>
                <w:spacing w:val="-2"/>
                <w:sz w:val="13"/>
              </w:rPr>
              <w:t>Realizable</w:t>
            </w:r>
          </w:p>
        </w:tc>
        <w:tc>
          <w:tcPr>
            <w:tcW w:w="1888" w:type="dxa"/>
          </w:tcPr>
          <w:p>
            <w:pPr>
              <w:pStyle w:val="TableParagraph"/>
              <w:spacing w:line="138" w:lineRule="exact" w:before="6"/>
              <w:ind w:right="53"/>
              <w:jc w:val="right"/>
              <w:rPr>
                <w:rFonts w:ascii="Calibri"/>
                <w:sz w:val="13"/>
              </w:rPr>
            </w:pPr>
            <w:r>
              <w:rPr>
                <w:rFonts w:ascii="Calibri"/>
                <w:sz w:val="13"/>
              </w:rPr>
              <w:t>6</w:t>
            </w:r>
            <w:r>
              <w:rPr>
                <w:rFonts w:ascii="Calibri"/>
                <w:spacing w:val="-7"/>
                <w:sz w:val="13"/>
              </w:rPr>
              <w:t> </w:t>
            </w:r>
            <w:r>
              <w:rPr>
                <w:rFonts w:ascii="Calibri"/>
                <w:sz w:val="13"/>
              </w:rPr>
              <w:t>766</w:t>
            </w:r>
            <w:r>
              <w:rPr>
                <w:rFonts w:ascii="Calibri"/>
                <w:spacing w:val="-7"/>
                <w:sz w:val="13"/>
              </w:rPr>
              <w:t> </w:t>
            </w:r>
            <w:r>
              <w:rPr>
                <w:rFonts w:ascii="Calibri"/>
                <w:sz w:val="13"/>
              </w:rPr>
              <w:t>080</w:t>
            </w:r>
            <w:r>
              <w:rPr>
                <w:rFonts w:ascii="Calibri"/>
                <w:spacing w:val="-6"/>
                <w:sz w:val="13"/>
              </w:rPr>
              <w:t> </w:t>
            </w:r>
            <w:r>
              <w:rPr>
                <w:rFonts w:ascii="Calibri"/>
                <w:spacing w:val="-2"/>
                <w:sz w:val="13"/>
              </w:rPr>
              <w:t>159,16</w:t>
            </w:r>
          </w:p>
        </w:tc>
      </w:tr>
      <w:tr>
        <w:trPr>
          <w:trHeight w:val="164" w:hRule="atLeast"/>
        </w:trPr>
        <w:tc>
          <w:tcPr>
            <w:tcW w:w="2243" w:type="dxa"/>
          </w:tcPr>
          <w:p>
            <w:pPr>
              <w:pStyle w:val="TableParagraph"/>
              <w:spacing w:line="138" w:lineRule="exact" w:before="6"/>
              <w:ind w:left="19"/>
              <w:rPr>
                <w:rFonts w:ascii="Calibri"/>
                <w:b/>
                <w:sz w:val="13"/>
              </w:rPr>
            </w:pPr>
            <w:r>
              <w:rPr>
                <w:rFonts w:ascii="Calibri"/>
                <w:b/>
                <w:sz w:val="13"/>
              </w:rPr>
              <w:t>Valor</w:t>
            </w:r>
            <w:r>
              <w:rPr>
                <w:rFonts w:ascii="Calibri"/>
                <w:b/>
                <w:spacing w:val="-7"/>
                <w:sz w:val="13"/>
              </w:rPr>
              <w:t> </w:t>
            </w:r>
            <w:r>
              <w:rPr>
                <w:rFonts w:ascii="Calibri"/>
                <w:b/>
                <w:sz w:val="13"/>
              </w:rPr>
              <w:t>de</w:t>
            </w:r>
            <w:r>
              <w:rPr>
                <w:rFonts w:ascii="Calibri"/>
                <w:b/>
                <w:spacing w:val="-6"/>
                <w:sz w:val="13"/>
              </w:rPr>
              <w:t> </w:t>
            </w:r>
            <w:r>
              <w:rPr>
                <w:rFonts w:ascii="Calibri"/>
                <w:b/>
                <w:sz w:val="13"/>
              </w:rPr>
              <w:t>costo</w:t>
            </w:r>
            <w:r>
              <w:rPr>
                <w:rFonts w:ascii="Calibri"/>
                <w:b/>
                <w:spacing w:val="-7"/>
                <w:sz w:val="13"/>
              </w:rPr>
              <w:t> </w:t>
            </w:r>
            <w:r>
              <w:rPr>
                <w:rFonts w:ascii="Calibri"/>
                <w:b/>
                <w:sz w:val="13"/>
              </w:rPr>
              <w:t>del</w:t>
            </w:r>
            <w:r>
              <w:rPr>
                <w:rFonts w:ascii="Calibri"/>
                <w:b/>
                <w:spacing w:val="-5"/>
                <w:sz w:val="13"/>
              </w:rPr>
              <w:t> </w:t>
            </w:r>
            <w:r>
              <w:rPr>
                <w:rFonts w:ascii="Calibri"/>
                <w:b/>
                <w:spacing w:val="-2"/>
                <w:sz w:val="13"/>
              </w:rPr>
              <w:t>inventario</w:t>
            </w:r>
          </w:p>
        </w:tc>
        <w:tc>
          <w:tcPr>
            <w:tcW w:w="1888" w:type="dxa"/>
          </w:tcPr>
          <w:p>
            <w:pPr>
              <w:pStyle w:val="TableParagraph"/>
              <w:spacing w:line="138" w:lineRule="exact" w:before="6"/>
              <w:ind w:right="53"/>
              <w:jc w:val="right"/>
              <w:rPr>
                <w:rFonts w:ascii="Calibri"/>
                <w:sz w:val="13"/>
              </w:rPr>
            </w:pPr>
            <w:r>
              <w:rPr>
                <w:rFonts w:ascii="Calibri"/>
                <w:sz w:val="13"/>
              </w:rPr>
              <w:t>4</w:t>
            </w:r>
            <w:r>
              <w:rPr>
                <w:rFonts w:ascii="Calibri"/>
                <w:spacing w:val="-7"/>
                <w:sz w:val="13"/>
              </w:rPr>
              <w:t> </w:t>
            </w:r>
            <w:r>
              <w:rPr>
                <w:rFonts w:ascii="Calibri"/>
                <w:sz w:val="13"/>
              </w:rPr>
              <w:t>814</w:t>
            </w:r>
            <w:r>
              <w:rPr>
                <w:rFonts w:ascii="Calibri"/>
                <w:spacing w:val="-7"/>
                <w:sz w:val="13"/>
              </w:rPr>
              <w:t> </w:t>
            </w:r>
            <w:r>
              <w:rPr>
                <w:rFonts w:ascii="Calibri"/>
                <w:sz w:val="13"/>
              </w:rPr>
              <w:t>838</w:t>
            </w:r>
            <w:r>
              <w:rPr>
                <w:rFonts w:ascii="Calibri"/>
                <w:spacing w:val="-6"/>
                <w:sz w:val="13"/>
              </w:rPr>
              <w:t> </w:t>
            </w:r>
            <w:r>
              <w:rPr>
                <w:rFonts w:ascii="Calibri"/>
                <w:spacing w:val="-2"/>
                <w:sz w:val="13"/>
              </w:rPr>
              <w:t>802,38</w:t>
            </w:r>
          </w:p>
        </w:tc>
      </w:tr>
      <w:tr>
        <w:trPr>
          <w:trHeight w:val="164" w:hRule="atLeast"/>
        </w:trPr>
        <w:tc>
          <w:tcPr>
            <w:tcW w:w="2243" w:type="dxa"/>
          </w:tcPr>
          <w:p>
            <w:pPr>
              <w:pStyle w:val="TableParagraph"/>
              <w:spacing w:line="138" w:lineRule="exact" w:before="6"/>
              <w:ind w:left="19"/>
              <w:rPr>
                <w:rFonts w:ascii="Calibri"/>
                <w:b/>
                <w:sz w:val="13"/>
              </w:rPr>
            </w:pPr>
            <w:r>
              <w:rPr>
                <w:rFonts w:ascii="Calibri"/>
                <w:b/>
                <w:spacing w:val="-2"/>
                <w:sz w:val="13"/>
              </w:rPr>
              <w:t>Total</w:t>
            </w:r>
          </w:p>
        </w:tc>
        <w:tc>
          <w:tcPr>
            <w:tcW w:w="1888" w:type="dxa"/>
          </w:tcPr>
          <w:p>
            <w:pPr>
              <w:pStyle w:val="TableParagraph"/>
              <w:spacing w:line="138" w:lineRule="exact" w:before="6"/>
              <w:ind w:right="53"/>
              <w:jc w:val="right"/>
              <w:rPr>
                <w:rFonts w:ascii="Calibri"/>
                <w:b/>
                <w:sz w:val="13"/>
              </w:rPr>
            </w:pPr>
            <w:r>
              <w:rPr>
                <w:rFonts w:ascii="Calibri"/>
                <w:b/>
                <w:color w:val="155F82"/>
                <w:sz w:val="13"/>
              </w:rPr>
              <w:t>1</w:t>
            </w:r>
            <w:r>
              <w:rPr>
                <w:rFonts w:ascii="Calibri"/>
                <w:b/>
                <w:color w:val="155F82"/>
                <w:spacing w:val="-7"/>
                <w:sz w:val="13"/>
              </w:rPr>
              <w:t> </w:t>
            </w:r>
            <w:r>
              <w:rPr>
                <w:rFonts w:ascii="Calibri"/>
                <w:b/>
                <w:color w:val="155F82"/>
                <w:sz w:val="13"/>
              </w:rPr>
              <w:t>951</w:t>
            </w:r>
            <w:r>
              <w:rPr>
                <w:rFonts w:ascii="Calibri"/>
                <w:b/>
                <w:color w:val="155F82"/>
                <w:spacing w:val="-7"/>
                <w:sz w:val="13"/>
              </w:rPr>
              <w:t> </w:t>
            </w:r>
            <w:r>
              <w:rPr>
                <w:rFonts w:ascii="Calibri"/>
                <w:b/>
                <w:color w:val="155F82"/>
                <w:sz w:val="13"/>
              </w:rPr>
              <w:t>241</w:t>
            </w:r>
            <w:r>
              <w:rPr>
                <w:rFonts w:ascii="Calibri"/>
                <w:b/>
                <w:color w:val="155F82"/>
                <w:spacing w:val="-6"/>
                <w:sz w:val="13"/>
              </w:rPr>
              <w:t> </w:t>
            </w:r>
            <w:r>
              <w:rPr>
                <w:rFonts w:ascii="Calibri"/>
                <w:b/>
                <w:color w:val="155F82"/>
                <w:spacing w:val="-2"/>
                <w:sz w:val="13"/>
              </w:rPr>
              <w:t>356,78</w:t>
            </w:r>
          </w:p>
        </w:tc>
      </w:tr>
    </w:tbl>
    <w:p>
      <w:pPr>
        <w:pStyle w:val="BodyText"/>
      </w:pPr>
    </w:p>
    <w:p>
      <w:pPr>
        <w:pStyle w:val="BodyText"/>
        <w:spacing w:before="182"/>
      </w:pPr>
    </w:p>
    <w:p>
      <w:pPr>
        <w:spacing w:before="0"/>
        <w:ind w:left="622" w:right="0" w:firstLine="0"/>
        <w:jc w:val="both"/>
        <w:rPr>
          <w:b/>
          <w:i/>
          <w:sz w:val="23"/>
        </w:rPr>
      </w:pPr>
      <w:bookmarkStart w:name="_bookmark35" w:id="36"/>
      <w:bookmarkEnd w:id="36"/>
      <w:r>
        <w:rPr/>
      </w:r>
      <w:r>
        <w:rPr>
          <w:b/>
          <w:sz w:val="22"/>
        </w:rPr>
        <w:t>Revelación</w:t>
      </w:r>
      <w:r>
        <w:rPr>
          <w:b/>
          <w:spacing w:val="-6"/>
          <w:sz w:val="22"/>
        </w:rPr>
        <w:t> </w:t>
      </w:r>
      <w:r>
        <w:rPr>
          <w:b/>
          <w:sz w:val="22"/>
        </w:rPr>
        <w:t>NICSP</w:t>
      </w:r>
      <w:r>
        <w:rPr>
          <w:b/>
          <w:spacing w:val="-3"/>
          <w:sz w:val="22"/>
        </w:rPr>
        <w:t> </w:t>
      </w:r>
      <w:r>
        <w:rPr>
          <w:b/>
          <w:sz w:val="22"/>
        </w:rPr>
        <w:t>12</w:t>
      </w:r>
      <w:r>
        <w:rPr>
          <w:b/>
          <w:spacing w:val="-2"/>
          <w:sz w:val="22"/>
        </w:rPr>
        <w:t> </w:t>
      </w:r>
      <w:r>
        <w:rPr>
          <w:b/>
          <w:i/>
          <w:spacing w:val="-2"/>
          <w:sz w:val="23"/>
        </w:rPr>
        <w:t>Inventario</w:t>
      </w:r>
    </w:p>
    <w:p>
      <w:pPr>
        <w:pStyle w:val="ListParagraph"/>
        <w:numPr>
          <w:ilvl w:val="0"/>
          <w:numId w:val="36"/>
        </w:numPr>
        <w:tabs>
          <w:tab w:pos="1689" w:val="left" w:leader="none"/>
        </w:tabs>
        <w:spacing w:line="240" w:lineRule="auto" w:before="121" w:after="0"/>
        <w:ind w:left="1689" w:right="0" w:hanging="708"/>
        <w:jc w:val="left"/>
        <w:rPr>
          <w:sz w:val="22"/>
        </w:rPr>
      </w:pPr>
      <w:r>
        <w:rPr>
          <w:sz w:val="22"/>
        </w:rPr>
        <w:t>Inventario</w:t>
      </w:r>
      <w:r>
        <w:rPr>
          <w:spacing w:val="-6"/>
          <w:sz w:val="22"/>
        </w:rPr>
        <w:t> </w:t>
      </w:r>
      <w:r>
        <w:rPr>
          <w:sz w:val="22"/>
        </w:rPr>
        <w:t>(Párrafo</w:t>
      </w:r>
      <w:r>
        <w:rPr>
          <w:spacing w:val="-6"/>
          <w:sz w:val="22"/>
        </w:rPr>
        <w:t> </w:t>
      </w:r>
      <w:r>
        <w:rPr>
          <w:spacing w:val="-5"/>
          <w:sz w:val="22"/>
        </w:rPr>
        <w:t>12)</w:t>
      </w:r>
    </w:p>
    <w:p>
      <w:pPr>
        <w:pStyle w:val="BodyText"/>
        <w:spacing w:before="34"/>
        <w:rPr>
          <w:sz w:val="20"/>
        </w:rPr>
      </w:pPr>
      <w:r>
        <w:rPr>
          <w:sz w:val="20"/>
        </w:rPr>
        <mc:AlternateContent>
          <mc:Choice Requires="wps">
            <w:drawing>
              <wp:anchor distT="0" distB="0" distL="0" distR="0" allowOverlap="1" layoutInCell="1" locked="0" behindDoc="1" simplePos="0" relativeHeight="487629312">
                <wp:simplePos x="0" y="0"/>
                <wp:positionH relativeFrom="page">
                  <wp:posOffset>1080820</wp:posOffset>
                </wp:positionH>
                <wp:positionV relativeFrom="paragraph">
                  <wp:posOffset>184907</wp:posOffset>
                </wp:positionV>
                <wp:extent cx="5715000" cy="2000250"/>
                <wp:effectExtent l="0" t="0" r="0" b="0"/>
                <wp:wrapTopAndBottom/>
                <wp:docPr id="273" name="Textbox 273"/>
                <wp:cNvGraphicFramePr>
                  <a:graphicFrameLocks/>
                </wp:cNvGraphicFramePr>
                <a:graphic>
                  <a:graphicData uri="http://schemas.microsoft.com/office/word/2010/wordprocessingShape">
                    <wps:wsp>
                      <wps:cNvPr id="273" name="Textbox 273"/>
                      <wps:cNvSpPr txBox="1"/>
                      <wps:spPr>
                        <a:xfrm>
                          <a:off x="0" y="0"/>
                          <a:ext cx="5715000" cy="200025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Conforme</w:t>
                            </w:r>
                            <w:r>
                              <w:rPr>
                                <w:spacing w:val="-3"/>
                              </w:rPr>
                              <w:t> </w:t>
                            </w:r>
                            <w:r>
                              <w:rPr/>
                              <w:t>al</w:t>
                            </w:r>
                            <w:r>
                              <w:rPr>
                                <w:spacing w:val="-2"/>
                              </w:rPr>
                              <w:t> </w:t>
                            </w:r>
                            <w:r>
                              <w:rPr/>
                              <w:t>párrafo</w:t>
                            </w:r>
                            <w:r>
                              <w:rPr>
                                <w:spacing w:val="-2"/>
                              </w:rPr>
                              <w:t> </w:t>
                            </w:r>
                            <w:r>
                              <w:rPr/>
                              <w:t>47</w:t>
                            </w:r>
                            <w:r>
                              <w:rPr>
                                <w:spacing w:val="-4"/>
                              </w:rPr>
                              <w:t> </w:t>
                            </w:r>
                            <w:r>
                              <w:rPr/>
                              <w:t>de</w:t>
                            </w:r>
                            <w:r>
                              <w:rPr>
                                <w:spacing w:val="-4"/>
                              </w:rPr>
                              <w:t> </w:t>
                            </w:r>
                            <w:r>
                              <w:rPr/>
                              <w:t>la</w:t>
                            </w:r>
                            <w:r>
                              <w:rPr>
                                <w:spacing w:val="-3"/>
                              </w:rPr>
                              <w:t> </w:t>
                            </w:r>
                            <w:r>
                              <w:rPr/>
                              <w:t>NICSP</w:t>
                            </w:r>
                            <w:r>
                              <w:rPr>
                                <w:spacing w:val="-2"/>
                              </w:rPr>
                              <w:t> </w:t>
                            </w:r>
                            <w:r>
                              <w:rPr/>
                              <w:t>12</w:t>
                            </w:r>
                            <w:r>
                              <w:rPr>
                                <w:spacing w:val="-5"/>
                              </w:rPr>
                              <w:t> </w:t>
                            </w:r>
                            <w:r>
                              <w:rPr/>
                              <w:t>se</w:t>
                            </w:r>
                            <w:r>
                              <w:rPr>
                                <w:spacing w:val="-3"/>
                              </w:rPr>
                              <w:t> </w:t>
                            </w:r>
                            <w:r>
                              <w:rPr/>
                              <w:t>revela</w:t>
                            </w:r>
                            <w:r>
                              <w:rPr>
                                <w:spacing w:val="-4"/>
                              </w:rPr>
                              <w:t> </w:t>
                            </w:r>
                            <w:r>
                              <w:rPr/>
                              <w:t>lo</w:t>
                            </w:r>
                            <w:r>
                              <w:rPr>
                                <w:spacing w:val="-1"/>
                              </w:rPr>
                              <w:t> </w:t>
                            </w:r>
                            <w:r>
                              <w:rPr>
                                <w:spacing w:val="-2"/>
                              </w:rPr>
                              <w:t>siguiente:</w:t>
                            </w:r>
                          </w:p>
                          <w:p>
                            <w:pPr>
                              <w:spacing w:before="18"/>
                              <w:ind w:left="103" w:right="0" w:firstLine="0"/>
                              <w:jc w:val="left"/>
                              <w:rPr>
                                <w:b/>
                                <w:sz w:val="22"/>
                              </w:rPr>
                            </w:pPr>
                            <w:r>
                              <w:rPr>
                                <w:b/>
                                <w:spacing w:val="-2"/>
                                <w:sz w:val="22"/>
                                <w:u w:val="single"/>
                              </w:rPr>
                              <w:t>Reconocimiento:</w:t>
                            </w:r>
                          </w:p>
                          <w:p>
                            <w:pPr>
                              <w:pStyle w:val="BodyText"/>
                              <w:spacing w:line="259" w:lineRule="auto" w:before="20"/>
                              <w:ind w:left="103"/>
                            </w:pPr>
                            <w:r>
                              <w:rPr/>
                              <w:t>Los</w:t>
                            </w:r>
                            <w:r>
                              <w:rPr>
                                <w:spacing w:val="-2"/>
                              </w:rPr>
                              <w:t> </w:t>
                            </w:r>
                            <w:r>
                              <w:rPr/>
                              <w:t>inventarios</w:t>
                            </w:r>
                            <w:r>
                              <w:rPr>
                                <w:spacing w:val="-2"/>
                              </w:rPr>
                              <w:t> </w:t>
                            </w:r>
                            <w:r>
                              <w:rPr/>
                              <w:t>se</w:t>
                            </w:r>
                            <w:r>
                              <w:rPr>
                                <w:spacing w:val="-4"/>
                              </w:rPr>
                              <w:t> </w:t>
                            </w:r>
                            <w:r>
                              <w:rPr/>
                              <w:t>reconocen</w:t>
                            </w:r>
                            <w:r>
                              <w:rPr>
                                <w:spacing w:val="-3"/>
                              </w:rPr>
                              <w:t> </w:t>
                            </w:r>
                            <w:r>
                              <w:rPr/>
                              <w:t>y</w:t>
                            </w:r>
                            <w:r>
                              <w:rPr>
                                <w:spacing w:val="-4"/>
                              </w:rPr>
                              <w:t> </w:t>
                            </w:r>
                            <w:r>
                              <w:rPr/>
                              <w:t>clasifican</w:t>
                            </w:r>
                            <w:r>
                              <w:rPr>
                                <w:spacing w:val="-3"/>
                              </w:rPr>
                              <w:t> </w:t>
                            </w:r>
                            <w:r>
                              <w:rPr/>
                              <w:t>de</w:t>
                            </w:r>
                            <w:r>
                              <w:rPr>
                                <w:spacing w:val="-5"/>
                              </w:rPr>
                              <w:t> </w:t>
                            </w:r>
                            <w:r>
                              <w:rPr/>
                              <w:t>acuerdo</w:t>
                            </w:r>
                            <w:r>
                              <w:rPr>
                                <w:spacing w:val="-3"/>
                              </w:rPr>
                              <w:t> </w:t>
                            </w:r>
                            <w:r>
                              <w:rPr/>
                              <w:t>con</w:t>
                            </w:r>
                            <w:r>
                              <w:rPr>
                                <w:spacing w:val="-3"/>
                              </w:rPr>
                              <w:t> </w:t>
                            </w:r>
                            <w:r>
                              <w:rPr/>
                              <w:t>su</w:t>
                            </w:r>
                            <w:r>
                              <w:rPr>
                                <w:spacing w:val="-3"/>
                              </w:rPr>
                              <w:t> </w:t>
                            </w:r>
                            <w:r>
                              <w:rPr/>
                              <w:t>naturaleza,</w:t>
                            </w:r>
                            <w:r>
                              <w:rPr>
                                <w:spacing w:val="-3"/>
                              </w:rPr>
                              <w:t> </w:t>
                            </w:r>
                            <w:r>
                              <w:rPr/>
                              <w:t>en</w:t>
                            </w:r>
                            <w:r>
                              <w:rPr>
                                <w:spacing w:val="-3"/>
                              </w:rPr>
                              <w:t> </w:t>
                            </w:r>
                            <w:r>
                              <w:rPr/>
                              <w:t>bienes</w:t>
                            </w:r>
                            <w:r>
                              <w:rPr>
                                <w:spacing w:val="-2"/>
                              </w:rPr>
                              <w:t> </w:t>
                            </w:r>
                            <w:r>
                              <w:rPr/>
                              <w:t>y</w:t>
                            </w:r>
                            <w:r>
                              <w:rPr>
                                <w:spacing w:val="-4"/>
                              </w:rPr>
                              <w:t> </w:t>
                            </w:r>
                            <w:r>
                              <w:rPr/>
                              <w:t>suministros</w:t>
                            </w:r>
                            <w:r>
                              <w:rPr>
                                <w:spacing w:val="-2"/>
                              </w:rPr>
                              <w:t> </w:t>
                            </w:r>
                            <w:r>
                              <w:rPr/>
                              <w:t>de oficina, mercadería para la venta, y bienes para donación.</w:t>
                            </w:r>
                          </w:p>
                          <w:p>
                            <w:pPr>
                              <w:pStyle w:val="BodyText"/>
                              <w:spacing w:before="20"/>
                            </w:pPr>
                          </w:p>
                          <w:p>
                            <w:pPr>
                              <w:spacing w:before="1"/>
                              <w:ind w:left="103" w:right="0" w:firstLine="0"/>
                              <w:jc w:val="left"/>
                              <w:rPr>
                                <w:b/>
                                <w:sz w:val="22"/>
                              </w:rPr>
                            </w:pPr>
                            <w:r>
                              <w:rPr>
                                <w:b/>
                                <w:spacing w:val="-2"/>
                                <w:sz w:val="22"/>
                                <w:u w:val="single"/>
                              </w:rPr>
                              <w:t>Medición:</w:t>
                            </w:r>
                          </w:p>
                          <w:p>
                            <w:pPr>
                              <w:pStyle w:val="BodyText"/>
                              <w:spacing w:line="259" w:lineRule="auto" w:before="18"/>
                              <w:ind w:left="103" w:right="99"/>
                              <w:jc w:val="both"/>
                            </w:pPr>
                            <w:r>
                              <w:rPr/>
                              <w:t>Según la Política Contable General 1. 76 la medición general de los inventarios es, al costo o al valor realizable neto, el que sea menor excepto lo estipulado en las excepciones de la Norma. La fórmula del</w:t>
                            </w:r>
                            <w:r>
                              <w:rPr>
                                <w:spacing w:val="-5"/>
                              </w:rPr>
                              <w:t> </w:t>
                            </w:r>
                            <w:r>
                              <w:rPr/>
                              <w:t>costo</w:t>
                            </w:r>
                            <w:r>
                              <w:rPr>
                                <w:spacing w:val="-4"/>
                              </w:rPr>
                              <w:t> </w:t>
                            </w:r>
                            <w:r>
                              <w:rPr/>
                              <w:t>para</w:t>
                            </w:r>
                            <w:r>
                              <w:rPr>
                                <w:spacing w:val="-5"/>
                              </w:rPr>
                              <w:t> </w:t>
                            </w:r>
                            <w:r>
                              <w:rPr/>
                              <w:t>los</w:t>
                            </w:r>
                            <w:r>
                              <w:rPr>
                                <w:spacing w:val="-4"/>
                              </w:rPr>
                              <w:t> </w:t>
                            </w:r>
                            <w:r>
                              <w:rPr/>
                              <w:t>inventarios</w:t>
                            </w:r>
                            <w:r>
                              <w:rPr>
                                <w:spacing w:val="-4"/>
                              </w:rPr>
                              <w:t> </w:t>
                            </w:r>
                            <w:r>
                              <w:rPr/>
                              <w:t>de</w:t>
                            </w:r>
                            <w:r>
                              <w:rPr>
                                <w:spacing w:val="-6"/>
                              </w:rPr>
                              <w:t> </w:t>
                            </w:r>
                            <w:r>
                              <w:rPr/>
                              <w:t>la</w:t>
                            </w:r>
                            <w:r>
                              <w:rPr>
                                <w:spacing w:val="-6"/>
                              </w:rPr>
                              <w:t> </w:t>
                            </w:r>
                            <w:r>
                              <w:rPr/>
                              <w:t>misma</w:t>
                            </w:r>
                            <w:r>
                              <w:rPr>
                                <w:spacing w:val="-5"/>
                              </w:rPr>
                              <w:t> </w:t>
                            </w:r>
                            <w:r>
                              <w:rPr/>
                              <w:t>naturaleza,</w:t>
                            </w:r>
                            <w:r>
                              <w:rPr>
                                <w:spacing w:val="-5"/>
                              </w:rPr>
                              <w:t> </w:t>
                            </w:r>
                            <w:r>
                              <w:rPr/>
                              <w:t>el</w:t>
                            </w:r>
                            <w:r>
                              <w:rPr>
                                <w:spacing w:val="-5"/>
                              </w:rPr>
                              <w:t> </w:t>
                            </w:r>
                            <w:r>
                              <w:rPr/>
                              <w:t>costo</w:t>
                            </w:r>
                            <w:r>
                              <w:rPr>
                                <w:spacing w:val="-4"/>
                              </w:rPr>
                              <w:t> </w:t>
                            </w:r>
                            <w:r>
                              <w:rPr/>
                              <w:t>de</w:t>
                            </w:r>
                            <w:r>
                              <w:rPr>
                                <w:spacing w:val="-6"/>
                              </w:rPr>
                              <w:t> </w:t>
                            </w:r>
                            <w:r>
                              <w:rPr/>
                              <w:t>los</w:t>
                            </w:r>
                            <w:r>
                              <w:rPr>
                                <w:spacing w:val="-4"/>
                              </w:rPr>
                              <w:t> </w:t>
                            </w:r>
                            <w:r>
                              <w:rPr/>
                              <w:t>inventarios</w:t>
                            </w:r>
                            <w:r>
                              <w:rPr>
                                <w:spacing w:val="-4"/>
                              </w:rPr>
                              <w:t> </w:t>
                            </w:r>
                            <w:r>
                              <w:rPr/>
                              <w:t>se</w:t>
                            </w:r>
                            <w:r>
                              <w:rPr>
                                <w:spacing w:val="-6"/>
                              </w:rPr>
                              <w:t> </w:t>
                            </w:r>
                            <w:r>
                              <w:rPr/>
                              <w:t>asigna</w:t>
                            </w:r>
                            <w:r>
                              <w:rPr>
                                <w:spacing w:val="-6"/>
                              </w:rPr>
                              <w:t> </w:t>
                            </w:r>
                            <w:r>
                              <w:rPr/>
                              <w:t>utilizando</w:t>
                            </w:r>
                            <w:r>
                              <w:rPr>
                                <w:spacing w:val="-4"/>
                              </w:rPr>
                              <w:t> </w:t>
                            </w:r>
                            <w:r>
                              <w:rPr/>
                              <w:t>el método de costo promedio.</w:t>
                            </w:r>
                          </w:p>
                        </w:txbxContent>
                      </wps:txbx>
                      <wps:bodyPr wrap="square" lIns="0" tIns="0" rIns="0" bIns="0" rtlCol="0">
                        <a:noAutofit/>
                      </wps:bodyPr>
                    </wps:wsp>
                  </a:graphicData>
                </a:graphic>
              </wp:anchor>
            </w:drawing>
          </mc:Choice>
          <mc:Fallback>
            <w:pict>
              <v:shape style="position:absolute;margin-left:85.103996pt;margin-top:14.559632pt;width:450pt;height:157.5pt;mso-position-horizontal-relative:page;mso-position-vertical-relative:paragraph;z-index:-15687168;mso-wrap-distance-left:0;mso-wrap-distance-right:0" type="#_x0000_t202" id="docshape25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Conforme</w:t>
                      </w:r>
                      <w:r>
                        <w:rPr>
                          <w:spacing w:val="-3"/>
                        </w:rPr>
                        <w:t> </w:t>
                      </w:r>
                      <w:r>
                        <w:rPr/>
                        <w:t>al</w:t>
                      </w:r>
                      <w:r>
                        <w:rPr>
                          <w:spacing w:val="-2"/>
                        </w:rPr>
                        <w:t> </w:t>
                      </w:r>
                      <w:r>
                        <w:rPr/>
                        <w:t>párrafo</w:t>
                      </w:r>
                      <w:r>
                        <w:rPr>
                          <w:spacing w:val="-2"/>
                        </w:rPr>
                        <w:t> </w:t>
                      </w:r>
                      <w:r>
                        <w:rPr/>
                        <w:t>47</w:t>
                      </w:r>
                      <w:r>
                        <w:rPr>
                          <w:spacing w:val="-4"/>
                        </w:rPr>
                        <w:t> </w:t>
                      </w:r>
                      <w:r>
                        <w:rPr/>
                        <w:t>de</w:t>
                      </w:r>
                      <w:r>
                        <w:rPr>
                          <w:spacing w:val="-4"/>
                        </w:rPr>
                        <w:t> </w:t>
                      </w:r>
                      <w:r>
                        <w:rPr/>
                        <w:t>la</w:t>
                      </w:r>
                      <w:r>
                        <w:rPr>
                          <w:spacing w:val="-3"/>
                        </w:rPr>
                        <w:t> </w:t>
                      </w:r>
                      <w:r>
                        <w:rPr/>
                        <w:t>NICSP</w:t>
                      </w:r>
                      <w:r>
                        <w:rPr>
                          <w:spacing w:val="-2"/>
                        </w:rPr>
                        <w:t> </w:t>
                      </w:r>
                      <w:r>
                        <w:rPr/>
                        <w:t>12</w:t>
                      </w:r>
                      <w:r>
                        <w:rPr>
                          <w:spacing w:val="-5"/>
                        </w:rPr>
                        <w:t> </w:t>
                      </w:r>
                      <w:r>
                        <w:rPr/>
                        <w:t>se</w:t>
                      </w:r>
                      <w:r>
                        <w:rPr>
                          <w:spacing w:val="-3"/>
                        </w:rPr>
                        <w:t> </w:t>
                      </w:r>
                      <w:r>
                        <w:rPr/>
                        <w:t>revela</w:t>
                      </w:r>
                      <w:r>
                        <w:rPr>
                          <w:spacing w:val="-4"/>
                        </w:rPr>
                        <w:t> </w:t>
                      </w:r>
                      <w:r>
                        <w:rPr/>
                        <w:t>lo</w:t>
                      </w:r>
                      <w:r>
                        <w:rPr>
                          <w:spacing w:val="-1"/>
                        </w:rPr>
                        <w:t> </w:t>
                      </w:r>
                      <w:r>
                        <w:rPr>
                          <w:spacing w:val="-2"/>
                        </w:rPr>
                        <w:t>siguiente:</w:t>
                      </w:r>
                    </w:p>
                    <w:p>
                      <w:pPr>
                        <w:spacing w:before="18"/>
                        <w:ind w:left="103" w:right="0" w:firstLine="0"/>
                        <w:jc w:val="left"/>
                        <w:rPr>
                          <w:b/>
                          <w:sz w:val="22"/>
                        </w:rPr>
                      </w:pPr>
                      <w:r>
                        <w:rPr>
                          <w:b/>
                          <w:spacing w:val="-2"/>
                          <w:sz w:val="22"/>
                          <w:u w:val="single"/>
                        </w:rPr>
                        <w:t>Reconocimiento:</w:t>
                      </w:r>
                    </w:p>
                    <w:p>
                      <w:pPr>
                        <w:pStyle w:val="BodyText"/>
                        <w:spacing w:line="259" w:lineRule="auto" w:before="20"/>
                        <w:ind w:left="103"/>
                      </w:pPr>
                      <w:r>
                        <w:rPr/>
                        <w:t>Los</w:t>
                      </w:r>
                      <w:r>
                        <w:rPr>
                          <w:spacing w:val="-2"/>
                        </w:rPr>
                        <w:t> </w:t>
                      </w:r>
                      <w:r>
                        <w:rPr/>
                        <w:t>inventarios</w:t>
                      </w:r>
                      <w:r>
                        <w:rPr>
                          <w:spacing w:val="-2"/>
                        </w:rPr>
                        <w:t> </w:t>
                      </w:r>
                      <w:r>
                        <w:rPr/>
                        <w:t>se</w:t>
                      </w:r>
                      <w:r>
                        <w:rPr>
                          <w:spacing w:val="-4"/>
                        </w:rPr>
                        <w:t> </w:t>
                      </w:r>
                      <w:r>
                        <w:rPr/>
                        <w:t>reconocen</w:t>
                      </w:r>
                      <w:r>
                        <w:rPr>
                          <w:spacing w:val="-3"/>
                        </w:rPr>
                        <w:t> </w:t>
                      </w:r>
                      <w:r>
                        <w:rPr/>
                        <w:t>y</w:t>
                      </w:r>
                      <w:r>
                        <w:rPr>
                          <w:spacing w:val="-4"/>
                        </w:rPr>
                        <w:t> </w:t>
                      </w:r>
                      <w:r>
                        <w:rPr/>
                        <w:t>clasifican</w:t>
                      </w:r>
                      <w:r>
                        <w:rPr>
                          <w:spacing w:val="-3"/>
                        </w:rPr>
                        <w:t> </w:t>
                      </w:r>
                      <w:r>
                        <w:rPr/>
                        <w:t>de</w:t>
                      </w:r>
                      <w:r>
                        <w:rPr>
                          <w:spacing w:val="-5"/>
                        </w:rPr>
                        <w:t> </w:t>
                      </w:r>
                      <w:r>
                        <w:rPr/>
                        <w:t>acuerdo</w:t>
                      </w:r>
                      <w:r>
                        <w:rPr>
                          <w:spacing w:val="-3"/>
                        </w:rPr>
                        <w:t> </w:t>
                      </w:r>
                      <w:r>
                        <w:rPr/>
                        <w:t>con</w:t>
                      </w:r>
                      <w:r>
                        <w:rPr>
                          <w:spacing w:val="-3"/>
                        </w:rPr>
                        <w:t> </w:t>
                      </w:r>
                      <w:r>
                        <w:rPr/>
                        <w:t>su</w:t>
                      </w:r>
                      <w:r>
                        <w:rPr>
                          <w:spacing w:val="-3"/>
                        </w:rPr>
                        <w:t> </w:t>
                      </w:r>
                      <w:r>
                        <w:rPr/>
                        <w:t>naturaleza,</w:t>
                      </w:r>
                      <w:r>
                        <w:rPr>
                          <w:spacing w:val="-3"/>
                        </w:rPr>
                        <w:t> </w:t>
                      </w:r>
                      <w:r>
                        <w:rPr/>
                        <w:t>en</w:t>
                      </w:r>
                      <w:r>
                        <w:rPr>
                          <w:spacing w:val="-3"/>
                        </w:rPr>
                        <w:t> </w:t>
                      </w:r>
                      <w:r>
                        <w:rPr/>
                        <w:t>bienes</w:t>
                      </w:r>
                      <w:r>
                        <w:rPr>
                          <w:spacing w:val="-2"/>
                        </w:rPr>
                        <w:t> </w:t>
                      </w:r>
                      <w:r>
                        <w:rPr/>
                        <w:t>y</w:t>
                      </w:r>
                      <w:r>
                        <w:rPr>
                          <w:spacing w:val="-4"/>
                        </w:rPr>
                        <w:t> </w:t>
                      </w:r>
                      <w:r>
                        <w:rPr/>
                        <w:t>suministros</w:t>
                      </w:r>
                      <w:r>
                        <w:rPr>
                          <w:spacing w:val="-2"/>
                        </w:rPr>
                        <w:t> </w:t>
                      </w:r>
                      <w:r>
                        <w:rPr/>
                        <w:t>de oficina, mercadería para la venta, y bienes para donación.</w:t>
                      </w:r>
                    </w:p>
                    <w:p>
                      <w:pPr>
                        <w:pStyle w:val="BodyText"/>
                        <w:spacing w:before="20"/>
                      </w:pPr>
                    </w:p>
                    <w:p>
                      <w:pPr>
                        <w:spacing w:before="1"/>
                        <w:ind w:left="103" w:right="0" w:firstLine="0"/>
                        <w:jc w:val="left"/>
                        <w:rPr>
                          <w:b/>
                          <w:sz w:val="22"/>
                        </w:rPr>
                      </w:pPr>
                      <w:r>
                        <w:rPr>
                          <w:b/>
                          <w:spacing w:val="-2"/>
                          <w:sz w:val="22"/>
                          <w:u w:val="single"/>
                        </w:rPr>
                        <w:t>Medición:</w:t>
                      </w:r>
                    </w:p>
                    <w:p>
                      <w:pPr>
                        <w:pStyle w:val="BodyText"/>
                        <w:spacing w:line="259" w:lineRule="auto" w:before="18"/>
                        <w:ind w:left="103" w:right="99"/>
                        <w:jc w:val="both"/>
                      </w:pPr>
                      <w:r>
                        <w:rPr/>
                        <w:t>Según la Política Contable General 1. 76 la medición general de los inventarios es, al costo o al valor realizable neto, el que sea menor excepto lo estipulado en las excepciones de la Norma. La fórmula del</w:t>
                      </w:r>
                      <w:r>
                        <w:rPr>
                          <w:spacing w:val="-5"/>
                        </w:rPr>
                        <w:t> </w:t>
                      </w:r>
                      <w:r>
                        <w:rPr/>
                        <w:t>costo</w:t>
                      </w:r>
                      <w:r>
                        <w:rPr>
                          <w:spacing w:val="-4"/>
                        </w:rPr>
                        <w:t> </w:t>
                      </w:r>
                      <w:r>
                        <w:rPr/>
                        <w:t>para</w:t>
                      </w:r>
                      <w:r>
                        <w:rPr>
                          <w:spacing w:val="-5"/>
                        </w:rPr>
                        <w:t> </w:t>
                      </w:r>
                      <w:r>
                        <w:rPr/>
                        <w:t>los</w:t>
                      </w:r>
                      <w:r>
                        <w:rPr>
                          <w:spacing w:val="-4"/>
                        </w:rPr>
                        <w:t> </w:t>
                      </w:r>
                      <w:r>
                        <w:rPr/>
                        <w:t>inventarios</w:t>
                      </w:r>
                      <w:r>
                        <w:rPr>
                          <w:spacing w:val="-4"/>
                        </w:rPr>
                        <w:t> </w:t>
                      </w:r>
                      <w:r>
                        <w:rPr/>
                        <w:t>de</w:t>
                      </w:r>
                      <w:r>
                        <w:rPr>
                          <w:spacing w:val="-6"/>
                        </w:rPr>
                        <w:t> </w:t>
                      </w:r>
                      <w:r>
                        <w:rPr/>
                        <w:t>la</w:t>
                      </w:r>
                      <w:r>
                        <w:rPr>
                          <w:spacing w:val="-6"/>
                        </w:rPr>
                        <w:t> </w:t>
                      </w:r>
                      <w:r>
                        <w:rPr/>
                        <w:t>misma</w:t>
                      </w:r>
                      <w:r>
                        <w:rPr>
                          <w:spacing w:val="-5"/>
                        </w:rPr>
                        <w:t> </w:t>
                      </w:r>
                      <w:r>
                        <w:rPr/>
                        <w:t>naturaleza,</w:t>
                      </w:r>
                      <w:r>
                        <w:rPr>
                          <w:spacing w:val="-5"/>
                        </w:rPr>
                        <w:t> </w:t>
                      </w:r>
                      <w:r>
                        <w:rPr/>
                        <w:t>el</w:t>
                      </w:r>
                      <w:r>
                        <w:rPr>
                          <w:spacing w:val="-5"/>
                        </w:rPr>
                        <w:t> </w:t>
                      </w:r>
                      <w:r>
                        <w:rPr/>
                        <w:t>costo</w:t>
                      </w:r>
                      <w:r>
                        <w:rPr>
                          <w:spacing w:val="-4"/>
                        </w:rPr>
                        <w:t> </w:t>
                      </w:r>
                      <w:r>
                        <w:rPr/>
                        <w:t>de</w:t>
                      </w:r>
                      <w:r>
                        <w:rPr>
                          <w:spacing w:val="-6"/>
                        </w:rPr>
                        <w:t> </w:t>
                      </w:r>
                      <w:r>
                        <w:rPr/>
                        <w:t>los</w:t>
                      </w:r>
                      <w:r>
                        <w:rPr>
                          <w:spacing w:val="-4"/>
                        </w:rPr>
                        <w:t> </w:t>
                      </w:r>
                      <w:r>
                        <w:rPr/>
                        <w:t>inventarios</w:t>
                      </w:r>
                      <w:r>
                        <w:rPr>
                          <w:spacing w:val="-4"/>
                        </w:rPr>
                        <w:t> </w:t>
                      </w:r>
                      <w:r>
                        <w:rPr/>
                        <w:t>se</w:t>
                      </w:r>
                      <w:r>
                        <w:rPr>
                          <w:spacing w:val="-6"/>
                        </w:rPr>
                        <w:t> </w:t>
                      </w:r>
                      <w:r>
                        <w:rPr/>
                        <w:t>asigna</w:t>
                      </w:r>
                      <w:r>
                        <w:rPr>
                          <w:spacing w:val="-6"/>
                        </w:rPr>
                        <w:t> </w:t>
                      </w:r>
                      <w:r>
                        <w:rPr/>
                        <w:t>utilizando</w:t>
                      </w:r>
                      <w:r>
                        <w:rPr>
                          <w:spacing w:val="-4"/>
                        </w:rPr>
                        <w:t> </w:t>
                      </w:r>
                      <w:r>
                        <w:rPr/>
                        <w:t>el método de costo promedio.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8768">
                <wp:simplePos x="0" y="0"/>
                <wp:positionH relativeFrom="page">
                  <wp:posOffset>9525</wp:posOffset>
                </wp:positionH>
                <wp:positionV relativeFrom="page">
                  <wp:posOffset>297208</wp:posOffset>
                </wp:positionV>
                <wp:extent cx="7762875" cy="9748520"/>
                <wp:effectExtent l="0" t="0" r="0" b="0"/>
                <wp:wrapNone/>
                <wp:docPr id="274" name="Group 274"/>
                <wp:cNvGraphicFramePr>
                  <a:graphicFrameLocks/>
                </wp:cNvGraphicFramePr>
                <a:graphic>
                  <a:graphicData uri="http://schemas.microsoft.com/office/word/2010/wordprocessingGroup">
                    <wpg:wgp>
                      <wpg:cNvPr id="274" name="Group 274"/>
                      <wpg:cNvGrpSpPr/>
                      <wpg:grpSpPr>
                        <a:xfrm>
                          <a:off x="0" y="0"/>
                          <a:ext cx="7762875" cy="9748520"/>
                          <a:chExt cx="7762875" cy="9748520"/>
                        </a:xfrm>
                      </wpg:grpSpPr>
                      <pic:pic>
                        <pic:nvPicPr>
                          <pic:cNvPr id="275" name="Image 275"/>
                          <pic:cNvPicPr/>
                        </pic:nvPicPr>
                        <pic:blipFill>
                          <a:blip r:embed="rId5" cstate="print"/>
                          <a:stretch>
                            <a:fillRect/>
                          </a:stretch>
                        </pic:blipFill>
                        <pic:spPr>
                          <a:xfrm>
                            <a:off x="0" y="0"/>
                            <a:ext cx="7762874" cy="9748489"/>
                          </a:xfrm>
                          <a:prstGeom prst="rect">
                            <a:avLst/>
                          </a:prstGeom>
                        </pic:spPr>
                      </pic:pic>
                      <wps:wsp>
                        <wps:cNvPr id="276" name="Graphic 27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7712" id="docshapegroup260" coordorigin="15,468" coordsize="12225,15352">
                <v:shape style="position:absolute;left:15;top:468;width:12225;height:15352" type="#_x0000_t75" id="docshape261" stroked="false">
                  <v:imagedata r:id="rId5" o:title=""/>
                </v:shape>
                <v:rect style="position:absolute;left:1673;top:2028;width:8897;height:15" id="docshape26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60</w:t>
      </w:r>
    </w:p>
    <w:p>
      <w:pPr>
        <w:pStyle w:val="BodyText"/>
        <w:spacing w:before="10"/>
        <w:rPr>
          <w:sz w:val="16"/>
        </w:rPr>
      </w:pPr>
      <w:r>
        <w:rPr>
          <w:sz w:val="16"/>
        </w:rPr>
        <mc:AlternateContent>
          <mc:Choice Requires="wps">
            <w:drawing>
              <wp:anchor distT="0" distB="0" distL="0" distR="0" allowOverlap="1" layoutInCell="1" locked="0" behindDoc="1" simplePos="0" relativeHeight="487630336">
                <wp:simplePos x="0" y="0"/>
                <wp:positionH relativeFrom="page">
                  <wp:posOffset>1080820</wp:posOffset>
                </wp:positionH>
                <wp:positionV relativeFrom="paragraph">
                  <wp:posOffset>141144</wp:posOffset>
                </wp:positionV>
                <wp:extent cx="5715000" cy="350520"/>
                <wp:effectExtent l="0" t="0" r="0" b="0"/>
                <wp:wrapTopAndBottom/>
                <wp:docPr id="277" name="Textbox 277"/>
                <wp:cNvGraphicFramePr>
                  <a:graphicFrameLocks/>
                </wp:cNvGraphicFramePr>
                <a:graphic>
                  <a:graphicData uri="http://schemas.microsoft.com/office/word/2010/wordprocessingShape">
                    <wps:wsp>
                      <wps:cNvPr id="277" name="Textbox 277"/>
                      <wps:cNvSpPr txBox="1"/>
                      <wps:spPr>
                        <a:xfrm>
                          <a:off x="0" y="0"/>
                          <a:ext cx="5715000" cy="350520"/>
                        </a:xfrm>
                        <a:prstGeom prst="rect">
                          <a:avLst/>
                        </a:prstGeom>
                        <a:ln w="6095">
                          <a:solidFill>
                            <a:srgbClr val="000000"/>
                          </a:solidFill>
                          <a:prstDash val="solid"/>
                        </a:ln>
                      </wps:spPr>
                      <wps:txbx>
                        <w:txbxContent>
                          <w:p>
                            <w:pPr>
                              <w:pStyle w:val="BodyText"/>
                              <w:spacing w:line="259" w:lineRule="auto"/>
                              <w:ind w:left="103" w:right="92"/>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txbxContent>
                      </wps:txbx>
                      <wps:bodyPr wrap="square" lIns="0" tIns="0" rIns="0" bIns="0" rtlCol="0">
                        <a:noAutofit/>
                      </wps:bodyPr>
                    </wps:wsp>
                  </a:graphicData>
                </a:graphic>
              </wp:anchor>
            </w:drawing>
          </mc:Choice>
          <mc:Fallback>
            <w:pict>
              <v:shape style="position:absolute;margin-left:85.103996pt;margin-top:11.11375pt;width:450pt;height:27.6pt;mso-position-horizontal-relative:page;mso-position-vertical-relative:paragraph;z-index:-15686144;mso-wrap-distance-left:0;mso-wrap-distance-right:0" type="#_x0000_t202" id="docshape263" filled="false" stroked="true" strokeweight=".47998pt" strokecolor="#000000">
                <v:textbox inset="0,0,0,0">
                  <w:txbxContent>
                    <w:p>
                      <w:pPr>
                        <w:pStyle w:val="BodyText"/>
                        <w:spacing w:line="259" w:lineRule="auto"/>
                        <w:ind w:left="103" w:right="92"/>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txbxContent>
                </v:textbox>
                <v:stroke dashstyle="solid"/>
                <w10:wrap type="topAndBottom"/>
              </v:shape>
            </w:pict>
          </mc:Fallback>
        </mc:AlternateContent>
      </w:r>
    </w:p>
    <w:p>
      <w:pPr>
        <w:pStyle w:val="BodyText"/>
        <w:spacing w:before="186"/>
      </w:pPr>
    </w:p>
    <w:p>
      <w:pPr>
        <w:pStyle w:val="ListParagraph"/>
        <w:numPr>
          <w:ilvl w:val="0"/>
          <w:numId w:val="36"/>
        </w:numPr>
        <w:tabs>
          <w:tab w:pos="1689" w:val="left" w:leader="none"/>
        </w:tabs>
        <w:spacing w:line="240" w:lineRule="auto" w:before="0" w:after="0"/>
        <w:ind w:left="1689" w:right="0" w:hanging="708"/>
        <w:jc w:val="left"/>
        <w:rPr>
          <w:sz w:val="22"/>
        </w:rPr>
      </w:pPr>
      <w:r>
        <w:rPr>
          <w:sz w:val="22"/>
        </w:rPr>
        <w:t>Costo</w:t>
      </w:r>
      <w:r>
        <w:rPr>
          <w:spacing w:val="-5"/>
          <w:sz w:val="22"/>
        </w:rPr>
        <w:t> </w:t>
      </w:r>
      <w:r>
        <w:rPr>
          <w:sz w:val="22"/>
        </w:rPr>
        <w:t>de</w:t>
      </w:r>
      <w:r>
        <w:rPr>
          <w:spacing w:val="-5"/>
          <w:sz w:val="22"/>
        </w:rPr>
        <w:t> </w:t>
      </w:r>
      <w:r>
        <w:rPr>
          <w:sz w:val="22"/>
        </w:rPr>
        <w:t>los</w:t>
      </w:r>
      <w:r>
        <w:rPr>
          <w:spacing w:val="-4"/>
          <w:sz w:val="22"/>
        </w:rPr>
        <w:t> </w:t>
      </w:r>
      <w:r>
        <w:rPr>
          <w:sz w:val="22"/>
        </w:rPr>
        <w:t>Inventarios</w:t>
      </w:r>
      <w:r>
        <w:rPr>
          <w:spacing w:val="-4"/>
          <w:sz w:val="22"/>
        </w:rPr>
        <w:t> </w:t>
      </w:r>
      <w:r>
        <w:rPr>
          <w:sz w:val="22"/>
        </w:rPr>
        <w:t>(Párrafo</w:t>
      </w:r>
      <w:r>
        <w:rPr>
          <w:spacing w:val="-4"/>
          <w:sz w:val="22"/>
        </w:rPr>
        <w:t> </w:t>
      </w:r>
      <w:r>
        <w:rPr>
          <w:spacing w:val="-5"/>
          <w:sz w:val="22"/>
        </w:rPr>
        <w:t>18)</w:t>
      </w:r>
    </w:p>
    <w:p>
      <w:pPr>
        <w:pStyle w:val="BodyText"/>
        <w:spacing w:before="31"/>
        <w:rPr>
          <w:sz w:val="20"/>
        </w:rPr>
      </w:pPr>
      <w:r>
        <w:rPr>
          <w:sz w:val="20"/>
        </w:rPr>
        <mc:AlternateContent>
          <mc:Choice Requires="wps">
            <w:drawing>
              <wp:anchor distT="0" distB="0" distL="0" distR="0" allowOverlap="1" layoutInCell="1" locked="0" behindDoc="1" simplePos="0" relativeHeight="487630848">
                <wp:simplePos x="0" y="0"/>
                <wp:positionH relativeFrom="page">
                  <wp:posOffset>1080820</wp:posOffset>
                </wp:positionH>
                <wp:positionV relativeFrom="paragraph">
                  <wp:posOffset>183467</wp:posOffset>
                </wp:positionV>
                <wp:extent cx="5715000" cy="1657350"/>
                <wp:effectExtent l="0" t="0" r="0" b="0"/>
                <wp:wrapTopAndBottom/>
                <wp:docPr id="278" name="Textbox 278"/>
                <wp:cNvGraphicFramePr>
                  <a:graphicFrameLocks/>
                </wp:cNvGraphicFramePr>
                <a:graphic>
                  <a:graphicData uri="http://schemas.microsoft.com/office/word/2010/wordprocessingShape">
                    <wps:wsp>
                      <wps:cNvPr id="278" name="Textbox 278"/>
                      <wps:cNvSpPr txBox="1"/>
                      <wps:spPr>
                        <a:xfrm>
                          <a:off x="0" y="0"/>
                          <a:ext cx="5715000" cy="165735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El</w:t>
                            </w:r>
                            <w:r>
                              <w:rPr>
                                <w:spacing w:val="-4"/>
                              </w:rPr>
                              <w:t> </w:t>
                            </w:r>
                            <w:r>
                              <w:rPr/>
                              <w:t>costo</w:t>
                            </w:r>
                            <w:r>
                              <w:rPr>
                                <w:spacing w:val="-3"/>
                              </w:rPr>
                              <w:t> </w:t>
                            </w:r>
                            <w:r>
                              <w:rPr/>
                              <w:t>de</w:t>
                            </w:r>
                            <w:r>
                              <w:rPr>
                                <w:spacing w:val="-5"/>
                              </w:rPr>
                              <w:t> </w:t>
                            </w:r>
                            <w:r>
                              <w:rPr/>
                              <w:t>adquisición</w:t>
                            </w:r>
                            <w:r>
                              <w:rPr>
                                <w:spacing w:val="-4"/>
                              </w:rPr>
                              <w:t> </w:t>
                            </w:r>
                            <w:r>
                              <w:rPr/>
                              <w:t>de</w:t>
                            </w:r>
                            <w:r>
                              <w:rPr>
                                <w:spacing w:val="-5"/>
                              </w:rPr>
                              <w:t> </w:t>
                            </w:r>
                            <w:r>
                              <w:rPr/>
                              <w:t>los</w:t>
                            </w:r>
                            <w:r>
                              <w:rPr>
                                <w:spacing w:val="-2"/>
                              </w:rPr>
                              <w:t> </w:t>
                            </w:r>
                            <w:r>
                              <w:rPr/>
                              <w:t>inventarios</w:t>
                            </w:r>
                            <w:r>
                              <w:rPr>
                                <w:spacing w:val="-5"/>
                              </w:rPr>
                              <w:t> </w:t>
                            </w:r>
                            <w:r>
                              <w:rPr>
                                <w:spacing w:val="-2"/>
                              </w:rPr>
                              <w:t>comprende:</w:t>
                            </w:r>
                          </w:p>
                          <w:p>
                            <w:pPr>
                              <w:pStyle w:val="BodyText"/>
                              <w:numPr>
                                <w:ilvl w:val="0"/>
                                <w:numId w:val="37"/>
                              </w:numPr>
                              <w:tabs>
                                <w:tab w:pos="434" w:val="left" w:leader="none"/>
                              </w:tabs>
                              <w:spacing w:line="240" w:lineRule="auto" w:before="21" w:after="0"/>
                              <w:ind w:left="434" w:right="0" w:hanging="276"/>
                              <w:jc w:val="left"/>
                            </w:pPr>
                            <w:r>
                              <w:rPr/>
                              <w:t>el</w:t>
                            </w:r>
                            <w:r>
                              <w:rPr>
                                <w:spacing w:val="-4"/>
                              </w:rPr>
                              <w:t> </w:t>
                            </w:r>
                            <w:r>
                              <w:rPr/>
                              <w:t>precio</w:t>
                            </w:r>
                            <w:r>
                              <w:rPr>
                                <w:spacing w:val="-3"/>
                              </w:rPr>
                              <w:t> </w:t>
                            </w:r>
                            <w:r>
                              <w:rPr/>
                              <w:t>de</w:t>
                            </w:r>
                            <w:r>
                              <w:rPr>
                                <w:spacing w:val="-4"/>
                              </w:rPr>
                              <w:t> </w:t>
                            </w:r>
                            <w:r>
                              <w:rPr>
                                <w:spacing w:val="-2"/>
                              </w:rPr>
                              <w:t>compra,</w:t>
                            </w:r>
                          </w:p>
                          <w:p>
                            <w:pPr>
                              <w:pStyle w:val="BodyText"/>
                              <w:numPr>
                                <w:ilvl w:val="0"/>
                                <w:numId w:val="37"/>
                              </w:numPr>
                              <w:tabs>
                                <w:tab w:pos="440" w:val="left" w:leader="none"/>
                              </w:tabs>
                              <w:spacing w:line="256" w:lineRule="auto" w:before="20" w:after="0"/>
                              <w:ind w:left="103" w:right="109" w:firstLine="0"/>
                              <w:jc w:val="left"/>
                            </w:pPr>
                            <w:r>
                              <w:rPr/>
                              <w:t>los</w:t>
                            </w:r>
                            <w:r>
                              <w:rPr>
                                <w:spacing w:val="40"/>
                              </w:rPr>
                              <w:t> </w:t>
                            </w:r>
                            <w:r>
                              <w:rPr/>
                              <w:t>aranceles</w:t>
                            </w:r>
                            <w:r>
                              <w:rPr>
                                <w:spacing w:val="40"/>
                              </w:rPr>
                              <w:t> </w:t>
                            </w:r>
                            <w:r>
                              <w:rPr/>
                              <w:t>de</w:t>
                            </w:r>
                            <w:r>
                              <w:rPr>
                                <w:spacing w:val="38"/>
                              </w:rPr>
                              <w:t> </w:t>
                            </w:r>
                            <w:r>
                              <w:rPr/>
                              <w:t>importación</w:t>
                            </w:r>
                            <w:r>
                              <w:rPr>
                                <w:spacing w:val="40"/>
                              </w:rPr>
                              <w:t> </w:t>
                            </w:r>
                            <w:r>
                              <w:rPr/>
                              <w:t>y</w:t>
                            </w:r>
                            <w:r>
                              <w:rPr>
                                <w:spacing w:val="39"/>
                              </w:rPr>
                              <w:t> </w:t>
                            </w:r>
                            <w:r>
                              <w:rPr/>
                              <w:t>otros</w:t>
                            </w:r>
                            <w:r>
                              <w:rPr>
                                <w:spacing w:val="40"/>
                              </w:rPr>
                              <w:t> </w:t>
                            </w:r>
                            <w:r>
                              <w:rPr/>
                              <w:t>impuestos</w:t>
                            </w:r>
                            <w:r>
                              <w:rPr>
                                <w:spacing w:val="40"/>
                              </w:rPr>
                              <w:t> </w:t>
                            </w:r>
                            <w:r>
                              <w:rPr/>
                              <w:t>(distintos</w:t>
                            </w:r>
                            <w:r>
                              <w:rPr>
                                <w:spacing w:val="40"/>
                              </w:rPr>
                              <w:t> </w:t>
                            </w:r>
                            <w:r>
                              <w:rPr/>
                              <w:t>de</w:t>
                            </w:r>
                            <w:r>
                              <w:rPr>
                                <w:spacing w:val="38"/>
                              </w:rPr>
                              <w:t> </w:t>
                            </w:r>
                            <w:r>
                              <w:rPr/>
                              <w:t>aquellos</w:t>
                            </w:r>
                            <w:r>
                              <w:rPr>
                                <w:spacing w:val="40"/>
                              </w:rPr>
                              <w:t> </w:t>
                            </w:r>
                            <w:r>
                              <w:rPr/>
                              <w:t>que</w:t>
                            </w:r>
                            <w:r>
                              <w:rPr>
                                <w:spacing w:val="36"/>
                              </w:rPr>
                              <w:t> </w:t>
                            </w:r>
                            <w:r>
                              <w:rPr/>
                              <w:t>sean</w:t>
                            </w:r>
                            <w:r>
                              <w:rPr>
                                <w:spacing w:val="40"/>
                              </w:rPr>
                              <w:t> </w:t>
                            </w:r>
                            <w:r>
                              <w:rPr/>
                              <w:t>recuperables posteriormente por la entidad de las autoridades fiscales), y</w:t>
                            </w:r>
                          </w:p>
                          <w:p>
                            <w:pPr>
                              <w:pStyle w:val="BodyText"/>
                              <w:numPr>
                                <w:ilvl w:val="0"/>
                                <w:numId w:val="37"/>
                              </w:numPr>
                              <w:tabs>
                                <w:tab w:pos="388" w:val="left" w:leader="none"/>
                              </w:tabs>
                              <w:spacing w:line="259" w:lineRule="auto" w:before="3" w:after="0"/>
                              <w:ind w:left="103" w:right="106" w:firstLine="0"/>
                              <w:jc w:val="left"/>
                            </w:pPr>
                            <w:r>
                              <w:rPr/>
                              <w:t>los transportes, el almacenamiento y otros costos directamente atribuibles a la adquisición de los productos terminados, materiales y suministros.</w:t>
                            </w:r>
                          </w:p>
                          <w:p>
                            <w:pPr>
                              <w:pStyle w:val="BodyText"/>
                              <w:spacing w:line="259" w:lineRule="auto" w:before="1"/>
                              <w:ind w:left="103"/>
                            </w:pPr>
                            <w:r>
                              <w:rPr/>
                              <w:t>Los</w:t>
                            </w:r>
                            <w:r>
                              <w:rPr>
                                <w:spacing w:val="-16"/>
                              </w:rPr>
                              <w:t> </w:t>
                            </w:r>
                            <w:r>
                              <w:rPr/>
                              <w:t>descuentos</w:t>
                            </w:r>
                            <w:r>
                              <w:rPr>
                                <w:spacing w:val="-14"/>
                              </w:rPr>
                              <w:t> </w:t>
                            </w:r>
                            <w:r>
                              <w:rPr/>
                              <w:t>comerciales,</w:t>
                            </w:r>
                            <w:r>
                              <w:rPr>
                                <w:spacing w:val="-14"/>
                              </w:rPr>
                              <w:t> </w:t>
                            </w:r>
                            <w:r>
                              <w:rPr/>
                              <w:t>las</w:t>
                            </w:r>
                            <w:r>
                              <w:rPr>
                                <w:spacing w:val="-14"/>
                              </w:rPr>
                              <w:t> </w:t>
                            </w:r>
                            <w:r>
                              <w:rPr/>
                              <w:t>rebajas</w:t>
                            </w:r>
                            <w:r>
                              <w:rPr>
                                <w:spacing w:val="-13"/>
                              </w:rPr>
                              <w:t> </w:t>
                            </w:r>
                            <w:r>
                              <w:rPr/>
                              <w:t>y</w:t>
                            </w:r>
                            <w:r>
                              <w:rPr>
                                <w:spacing w:val="-14"/>
                              </w:rPr>
                              <w:t> </w:t>
                            </w:r>
                            <w:r>
                              <w:rPr/>
                              <w:t>otras</w:t>
                            </w:r>
                            <w:r>
                              <w:rPr>
                                <w:spacing w:val="-14"/>
                              </w:rPr>
                              <w:t> </w:t>
                            </w:r>
                            <w:r>
                              <w:rPr/>
                              <w:t>partidas</w:t>
                            </w:r>
                            <w:r>
                              <w:rPr>
                                <w:spacing w:val="-14"/>
                              </w:rPr>
                              <w:t> </w:t>
                            </w:r>
                            <w:r>
                              <w:rPr/>
                              <w:t>similares</w:t>
                            </w:r>
                            <w:r>
                              <w:rPr>
                                <w:spacing w:val="-14"/>
                              </w:rPr>
                              <w:t> </w:t>
                            </w:r>
                            <w:r>
                              <w:rPr/>
                              <w:t>se</w:t>
                            </w:r>
                            <w:r>
                              <w:rPr>
                                <w:spacing w:val="-13"/>
                              </w:rPr>
                              <w:t> </w:t>
                            </w:r>
                            <w:r>
                              <w:rPr/>
                              <w:t>deducen</w:t>
                            </w:r>
                            <w:r>
                              <w:rPr>
                                <w:spacing w:val="-14"/>
                              </w:rPr>
                              <w:t> </w:t>
                            </w:r>
                            <w:r>
                              <w:rPr/>
                              <w:t>para</w:t>
                            </w:r>
                            <w:r>
                              <w:rPr>
                                <w:spacing w:val="-14"/>
                              </w:rPr>
                              <w:t> </w:t>
                            </w:r>
                            <w:r>
                              <w:rPr/>
                              <w:t>determinar</w:t>
                            </w:r>
                            <w:r>
                              <w:rPr>
                                <w:spacing w:val="-14"/>
                              </w:rPr>
                              <w:t> </w:t>
                            </w:r>
                            <w:r>
                              <w:rPr/>
                              <w:t>los</w:t>
                            </w:r>
                            <w:r>
                              <w:rPr>
                                <w:spacing w:val="-13"/>
                              </w:rPr>
                              <w:t> </w:t>
                            </w:r>
                            <w:r>
                              <w:rPr/>
                              <w:t>costos de adquisición.</w:t>
                            </w:r>
                          </w:p>
                        </w:txbxContent>
                      </wps:txbx>
                      <wps:bodyPr wrap="square" lIns="0" tIns="0" rIns="0" bIns="0" rtlCol="0">
                        <a:noAutofit/>
                      </wps:bodyPr>
                    </wps:wsp>
                  </a:graphicData>
                </a:graphic>
              </wp:anchor>
            </w:drawing>
          </mc:Choice>
          <mc:Fallback>
            <w:pict>
              <v:shape style="position:absolute;margin-left:85.103996pt;margin-top:14.44625pt;width:450pt;height:130.5pt;mso-position-horizontal-relative:page;mso-position-vertical-relative:paragraph;z-index:-15685632;mso-wrap-distance-left:0;mso-wrap-distance-right:0" type="#_x0000_t202" id="docshape26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El</w:t>
                      </w:r>
                      <w:r>
                        <w:rPr>
                          <w:spacing w:val="-4"/>
                        </w:rPr>
                        <w:t> </w:t>
                      </w:r>
                      <w:r>
                        <w:rPr/>
                        <w:t>costo</w:t>
                      </w:r>
                      <w:r>
                        <w:rPr>
                          <w:spacing w:val="-3"/>
                        </w:rPr>
                        <w:t> </w:t>
                      </w:r>
                      <w:r>
                        <w:rPr/>
                        <w:t>de</w:t>
                      </w:r>
                      <w:r>
                        <w:rPr>
                          <w:spacing w:val="-5"/>
                        </w:rPr>
                        <w:t> </w:t>
                      </w:r>
                      <w:r>
                        <w:rPr/>
                        <w:t>adquisición</w:t>
                      </w:r>
                      <w:r>
                        <w:rPr>
                          <w:spacing w:val="-4"/>
                        </w:rPr>
                        <w:t> </w:t>
                      </w:r>
                      <w:r>
                        <w:rPr/>
                        <w:t>de</w:t>
                      </w:r>
                      <w:r>
                        <w:rPr>
                          <w:spacing w:val="-5"/>
                        </w:rPr>
                        <w:t> </w:t>
                      </w:r>
                      <w:r>
                        <w:rPr/>
                        <w:t>los</w:t>
                      </w:r>
                      <w:r>
                        <w:rPr>
                          <w:spacing w:val="-2"/>
                        </w:rPr>
                        <w:t> </w:t>
                      </w:r>
                      <w:r>
                        <w:rPr/>
                        <w:t>inventarios</w:t>
                      </w:r>
                      <w:r>
                        <w:rPr>
                          <w:spacing w:val="-5"/>
                        </w:rPr>
                        <w:t> </w:t>
                      </w:r>
                      <w:r>
                        <w:rPr>
                          <w:spacing w:val="-2"/>
                        </w:rPr>
                        <w:t>comprende:</w:t>
                      </w:r>
                    </w:p>
                    <w:p>
                      <w:pPr>
                        <w:pStyle w:val="BodyText"/>
                        <w:numPr>
                          <w:ilvl w:val="0"/>
                          <w:numId w:val="37"/>
                        </w:numPr>
                        <w:tabs>
                          <w:tab w:pos="434" w:val="left" w:leader="none"/>
                        </w:tabs>
                        <w:spacing w:line="240" w:lineRule="auto" w:before="21" w:after="0"/>
                        <w:ind w:left="434" w:right="0" w:hanging="276"/>
                        <w:jc w:val="left"/>
                      </w:pPr>
                      <w:r>
                        <w:rPr/>
                        <w:t>el</w:t>
                      </w:r>
                      <w:r>
                        <w:rPr>
                          <w:spacing w:val="-4"/>
                        </w:rPr>
                        <w:t> </w:t>
                      </w:r>
                      <w:r>
                        <w:rPr/>
                        <w:t>precio</w:t>
                      </w:r>
                      <w:r>
                        <w:rPr>
                          <w:spacing w:val="-3"/>
                        </w:rPr>
                        <w:t> </w:t>
                      </w:r>
                      <w:r>
                        <w:rPr/>
                        <w:t>de</w:t>
                      </w:r>
                      <w:r>
                        <w:rPr>
                          <w:spacing w:val="-4"/>
                        </w:rPr>
                        <w:t> </w:t>
                      </w:r>
                      <w:r>
                        <w:rPr>
                          <w:spacing w:val="-2"/>
                        </w:rPr>
                        <w:t>compra,</w:t>
                      </w:r>
                    </w:p>
                    <w:p>
                      <w:pPr>
                        <w:pStyle w:val="BodyText"/>
                        <w:numPr>
                          <w:ilvl w:val="0"/>
                          <w:numId w:val="37"/>
                        </w:numPr>
                        <w:tabs>
                          <w:tab w:pos="440" w:val="left" w:leader="none"/>
                        </w:tabs>
                        <w:spacing w:line="256" w:lineRule="auto" w:before="20" w:after="0"/>
                        <w:ind w:left="103" w:right="109" w:firstLine="0"/>
                        <w:jc w:val="left"/>
                      </w:pPr>
                      <w:r>
                        <w:rPr/>
                        <w:t>los</w:t>
                      </w:r>
                      <w:r>
                        <w:rPr>
                          <w:spacing w:val="40"/>
                        </w:rPr>
                        <w:t> </w:t>
                      </w:r>
                      <w:r>
                        <w:rPr/>
                        <w:t>aranceles</w:t>
                      </w:r>
                      <w:r>
                        <w:rPr>
                          <w:spacing w:val="40"/>
                        </w:rPr>
                        <w:t> </w:t>
                      </w:r>
                      <w:r>
                        <w:rPr/>
                        <w:t>de</w:t>
                      </w:r>
                      <w:r>
                        <w:rPr>
                          <w:spacing w:val="38"/>
                        </w:rPr>
                        <w:t> </w:t>
                      </w:r>
                      <w:r>
                        <w:rPr/>
                        <w:t>importación</w:t>
                      </w:r>
                      <w:r>
                        <w:rPr>
                          <w:spacing w:val="40"/>
                        </w:rPr>
                        <w:t> </w:t>
                      </w:r>
                      <w:r>
                        <w:rPr/>
                        <w:t>y</w:t>
                      </w:r>
                      <w:r>
                        <w:rPr>
                          <w:spacing w:val="39"/>
                        </w:rPr>
                        <w:t> </w:t>
                      </w:r>
                      <w:r>
                        <w:rPr/>
                        <w:t>otros</w:t>
                      </w:r>
                      <w:r>
                        <w:rPr>
                          <w:spacing w:val="40"/>
                        </w:rPr>
                        <w:t> </w:t>
                      </w:r>
                      <w:r>
                        <w:rPr/>
                        <w:t>impuestos</w:t>
                      </w:r>
                      <w:r>
                        <w:rPr>
                          <w:spacing w:val="40"/>
                        </w:rPr>
                        <w:t> </w:t>
                      </w:r>
                      <w:r>
                        <w:rPr/>
                        <w:t>(distintos</w:t>
                      </w:r>
                      <w:r>
                        <w:rPr>
                          <w:spacing w:val="40"/>
                        </w:rPr>
                        <w:t> </w:t>
                      </w:r>
                      <w:r>
                        <w:rPr/>
                        <w:t>de</w:t>
                      </w:r>
                      <w:r>
                        <w:rPr>
                          <w:spacing w:val="38"/>
                        </w:rPr>
                        <w:t> </w:t>
                      </w:r>
                      <w:r>
                        <w:rPr/>
                        <w:t>aquellos</w:t>
                      </w:r>
                      <w:r>
                        <w:rPr>
                          <w:spacing w:val="40"/>
                        </w:rPr>
                        <w:t> </w:t>
                      </w:r>
                      <w:r>
                        <w:rPr/>
                        <w:t>que</w:t>
                      </w:r>
                      <w:r>
                        <w:rPr>
                          <w:spacing w:val="36"/>
                        </w:rPr>
                        <w:t> </w:t>
                      </w:r>
                      <w:r>
                        <w:rPr/>
                        <w:t>sean</w:t>
                      </w:r>
                      <w:r>
                        <w:rPr>
                          <w:spacing w:val="40"/>
                        </w:rPr>
                        <w:t> </w:t>
                      </w:r>
                      <w:r>
                        <w:rPr/>
                        <w:t>recuperables posteriormente por la entidad de las autoridades fiscales), y</w:t>
                      </w:r>
                    </w:p>
                    <w:p>
                      <w:pPr>
                        <w:pStyle w:val="BodyText"/>
                        <w:numPr>
                          <w:ilvl w:val="0"/>
                          <w:numId w:val="37"/>
                        </w:numPr>
                        <w:tabs>
                          <w:tab w:pos="388" w:val="left" w:leader="none"/>
                        </w:tabs>
                        <w:spacing w:line="259" w:lineRule="auto" w:before="3" w:after="0"/>
                        <w:ind w:left="103" w:right="106" w:firstLine="0"/>
                        <w:jc w:val="left"/>
                      </w:pPr>
                      <w:r>
                        <w:rPr/>
                        <w:t>los transportes, el almacenamiento y otros costos directamente atribuibles a la adquisición de los productos terminados, materiales y suministros.</w:t>
                      </w:r>
                    </w:p>
                    <w:p>
                      <w:pPr>
                        <w:pStyle w:val="BodyText"/>
                        <w:spacing w:line="259" w:lineRule="auto" w:before="1"/>
                        <w:ind w:left="103"/>
                      </w:pPr>
                      <w:r>
                        <w:rPr/>
                        <w:t>Los</w:t>
                      </w:r>
                      <w:r>
                        <w:rPr>
                          <w:spacing w:val="-16"/>
                        </w:rPr>
                        <w:t> </w:t>
                      </w:r>
                      <w:r>
                        <w:rPr/>
                        <w:t>descuentos</w:t>
                      </w:r>
                      <w:r>
                        <w:rPr>
                          <w:spacing w:val="-14"/>
                        </w:rPr>
                        <w:t> </w:t>
                      </w:r>
                      <w:r>
                        <w:rPr/>
                        <w:t>comerciales,</w:t>
                      </w:r>
                      <w:r>
                        <w:rPr>
                          <w:spacing w:val="-14"/>
                        </w:rPr>
                        <w:t> </w:t>
                      </w:r>
                      <w:r>
                        <w:rPr/>
                        <w:t>las</w:t>
                      </w:r>
                      <w:r>
                        <w:rPr>
                          <w:spacing w:val="-14"/>
                        </w:rPr>
                        <w:t> </w:t>
                      </w:r>
                      <w:r>
                        <w:rPr/>
                        <w:t>rebajas</w:t>
                      </w:r>
                      <w:r>
                        <w:rPr>
                          <w:spacing w:val="-13"/>
                        </w:rPr>
                        <w:t> </w:t>
                      </w:r>
                      <w:r>
                        <w:rPr/>
                        <w:t>y</w:t>
                      </w:r>
                      <w:r>
                        <w:rPr>
                          <w:spacing w:val="-14"/>
                        </w:rPr>
                        <w:t> </w:t>
                      </w:r>
                      <w:r>
                        <w:rPr/>
                        <w:t>otras</w:t>
                      </w:r>
                      <w:r>
                        <w:rPr>
                          <w:spacing w:val="-14"/>
                        </w:rPr>
                        <w:t> </w:t>
                      </w:r>
                      <w:r>
                        <w:rPr/>
                        <w:t>partidas</w:t>
                      </w:r>
                      <w:r>
                        <w:rPr>
                          <w:spacing w:val="-14"/>
                        </w:rPr>
                        <w:t> </w:t>
                      </w:r>
                      <w:r>
                        <w:rPr/>
                        <w:t>similares</w:t>
                      </w:r>
                      <w:r>
                        <w:rPr>
                          <w:spacing w:val="-14"/>
                        </w:rPr>
                        <w:t> </w:t>
                      </w:r>
                      <w:r>
                        <w:rPr/>
                        <w:t>se</w:t>
                      </w:r>
                      <w:r>
                        <w:rPr>
                          <w:spacing w:val="-13"/>
                        </w:rPr>
                        <w:t> </w:t>
                      </w:r>
                      <w:r>
                        <w:rPr/>
                        <w:t>deducen</w:t>
                      </w:r>
                      <w:r>
                        <w:rPr>
                          <w:spacing w:val="-14"/>
                        </w:rPr>
                        <w:t> </w:t>
                      </w:r>
                      <w:r>
                        <w:rPr/>
                        <w:t>para</w:t>
                      </w:r>
                      <w:r>
                        <w:rPr>
                          <w:spacing w:val="-14"/>
                        </w:rPr>
                        <w:t> </w:t>
                      </w:r>
                      <w:r>
                        <w:rPr/>
                        <w:t>determinar</w:t>
                      </w:r>
                      <w:r>
                        <w:rPr>
                          <w:spacing w:val="-14"/>
                        </w:rPr>
                        <w:t> </w:t>
                      </w:r>
                      <w:r>
                        <w:rPr/>
                        <w:t>los</w:t>
                      </w:r>
                      <w:r>
                        <w:rPr>
                          <w:spacing w:val="-13"/>
                        </w:rPr>
                        <w:t> </w:t>
                      </w:r>
                      <w:r>
                        <w:rPr/>
                        <w:t>costos de adquisición.</w:t>
                      </w:r>
                    </w:p>
                  </w:txbxContent>
                </v:textbox>
                <v:stroke dashstyle="solid"/>
                <w10:wrap type="topAndBottom"/>
              </v:shape>
            </w:pict>
          </mc:Fallback>
        </mc:AlternateContent>
      </w:r>
    </w:p>
    <w:p>
      <w:pPr>
        <w:pStyle w:val="BodyText"/>
        <w:spacing w:before="183"/>
      </w:pPr>
    </w:p>
    <w:p>
      <w:pPr>
        <w:pStyle w:val="ListParagraph"/>
        <w:numPr>
          <w:ilvl w:val="0"/>
          <w:numId w:val="36"/>
        </w:numPr>
        <w:tabs>
          <w:tab w:pos="1689" w:val="left" w:leader="none"/>
        </w:tabs>
        <w:spacing w:line="240" w:lineRule="auto" w:before="1" w:after="0"/>
        <w:ind w:left="1689" w:right="0" w:hanging="708"/>
        <w:jc w:val="left"/>
        <w:rPr>
          <w:sz w:val="22"/>
        </w:rPr>
      </w:pPr>
      <w:r>
        <w:rPr>
          <w:sz w:val="22"/>
        </w:rPr>
        <w:t>Importe</w:t>
      </w:r>
      <w:r>
        <w:rPr>
          <w:spacing w:val="-8"/>
          <w:sz w:val="22"/>
        </w:rPr>
        <w:t> </w:t>
      </w:r>
      <w:r>
        <w:rPr>
          <w:sz w:val="22"/>
        </w:rPr>
        <w:t>en</w:t>
      </w:r>
      <w:r>
        <w:rPr>
          <w:spacing w:val="-4"/>
          <w:sz w:val="22"/>
        </w:rPr>
        <w:t> </w:t>
      </w:r>
      <w:r>
        <w:rPr>
          <w:sz w:val="22"/>
        </w:rPr>
        <w:t>libros</w:t>
      </w:r>
      <w:r>
        <w:rPr>
          <w:spacing w:val="-4"/>
          <w:sz w:val="22"/>
        </w:rPr>
        <w:t> </w:t>
      </w:r>
      <w:r>
        <w:rPr>
          <w:sz w:val="22"/>
        </w:rPr>
        <w:t>de</w:t>
      </w:r>
      <w:r>
        <w:rPr>
          <w:spacing w:val="-4"/>
          <w:sz w:val="22"/>
        </w:rPr>
        <w:t> </w:t>
      </w:r>
      <w:r>
        <w:rPr>
          <w:sz w:val="22"/>
        </w:rPr>
        <w:t>Inventario</w:t>
      </w:r>
      <w:r>
        <w:rPr>
          <w:spacing w:val="-4"/>
          <w:sz w:val="22"/>
        </w:rPr>
        <w:t> </w:t>
      </w:r>
      <w:r>
        <w:rPr>
          <w:sz w:val="22"/>
        </w:rPr>
        <w:t>(Párrafo</w:t>
      </w:r>
      <w:r>
        <w:rPr>
          <w:spacing w:val="-5"/>
          <w:sz w:val="22"/>
        </w:rPr>
        <w:t> 47)</w:t>
      </w:r>
    </w:p>
    <w:p>
      <w:pPr>
        <w:pStyle w:val="BodyText"/>
        <w:spacing w:before="33"/>
        <w:rPr>
          <w:sz w:val="20"/>
        </w:rPr>
      </w:pPr>
      <w:r>
        <w:rPr>
          <w:sz w:val="20"/>
        </w:rPr>
        <mc:AlternateContent>
          <mc:Choice Requires="wps">
            <w:drawing>
              <wp:anchor distT="0" distB="0" distL="0" distR="0" allowOverlap="1" layoutInCell="1" locked="0" behindDoc="1" simplePos="0" relativeHeight="487631360">
                <wp:simplePos x="0" y="0"/>
                <wp:positionH relativeFrom="page">
                  <wp:posOffset>1080820</wp:posOffset>
                </wp:positionH>
                <wp:positionV relativeFrom="paragraph">
                  <wp:posOffset>184229</wp:posOffset>
                </wp:positionV>
                <wp:extent cx="5715000" cy="3809365"/>
                <wp:effectExtent l="0" t="0" r="0" b="0"/>
                <wp:wrapTopAndBottom/>
                <wp:docPr id="279" name="Textbox 279"/>
                <wp:cNvGraphicFramePr>
                  <a:graphicFrameLocks/>
                </wp:cNvGraphicFramePr>
                <a:graphic>
                  <a:graphicData uri="http://schemas.microsoft.com/office/word/2010/wordprocessingShape">
                    <wps:wsp>
                      <wps:cNvPr id="279" name="Textbox 279"/>
                      <wps:cNvSpPr txBox="1"/>
                      <wps:spPr>
                        <a:xfrm>
                          <a:off x="0" y="0"/>
                          <a:ext cx="5715000" cy="380936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line="259" w:lineRule="auto" w:before="162"/>
                              <w:ind w:left="103" w:right="102"/>
                              <w:jc w:val="both"/>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p>
                            <w:pPr>
                              <w:pStyle w:val="BodyText"/>
                              <w:spacing w:before="18"/>
                            </w:pPr>
                          </w:p>
                          <w:p>
                            <w:pPr>
                              <w:pStyle w:val="BodyText"/>
                              <w:spacing w:line="259" w:lineRule="auto"/>
                              <w:ind w:left="103" w:right="107"/>
                              <w:jc w:val="both"/>
                            </w:pPr>
                            <w:r>
                              <w:rPr/>
                              <w:t>Los costos de los inventarios, incluye todos los costos derivados de su adquisición y transformación, así como otros costos en los que se haya incurrido para darles su condición y ubicación actuales.</w:t>
                            </w:r>
                          </w:p>
                          <w:p>
                            <w:pPr>
                              <w:pStyle w:val="BodyText"/>
                              <w:spacing w:line="259" w:lineRule="auto" w:before="1"/>
                              <w:ind w:left="103" w:right="100"/>
                              <w:jc w:val="both"/>
                            </w:pPr>
                            <w:r>
                              <w:rPr/>
                              <w:t>Cuando los inventarios son</w:t>
                            </w:r>
                            <w:r>
                              <w:rPr>
                                <w:spacing w:val="-2"/>
                              </w:rPr>
                              <w:t> </w:t>
                            </w:r>
                            <w:r>
                              <w:rPr/>
                              <w:t>vendidos, intercambiados, o</w:t>
                            </w:r>
                            <w:r>
                              <w:rPr>
                                <w:spacing w:val="-2"/>
                              </w:rPr>
                              <w:t> </w:t>
                            </w:r>
                            <w:r>
                              <w:rPr/>
                              <w:t>distribuidos, el</w:t>
                            </w:r>
                            <w:r>
                              <w:rPr>
                                <w:spacing w:val="-1"/>
                              </w:rPr>
                              <w:t> </w:t>
                            </w:r>
                            <w:r>
                              <w:rPr/>
                              <w:t>valor en libros es</w:t>
                            </w:r>
                            <w:r>
                              <w:rPr>
                                <w:spacing w:val="-1"/>
                              </w:rPr>
                              <w:t> </w:t>
                            </w:r>
                            <w:r>
                              <w:rPr/>
                              <w:t>reconocido como un gasto en el período en el cual se reconocen los ingresos ordinarios relacionados. Si no hay ingresos</w:t>
                            </w:r>
                            <w:r>
                              <w:rPr>
                                <w:spacing w:val="-11"/>
                              </w:rPr>
                              <w:t> </w:t>
                            </w:r>
                            <w:r>
                              <w:rPr/>
                              <w:t>ordinarios</w:t>
                            </w:r>
                            <w:r>
                              <w:rPr>
                                <w:spacing w:val="-11"/>
                              </w:rPr>
                              <w:t> </w:t>
                            </w:r>
                            <w:r>
                              <w:rPr/>
                              <w:t>relacionados,</w:t>
                            </w:r>
                            <w:r>
                              <w:rPr>
                                <w:spacing w:val="-12"/>
                              </w:rPr>
                              <w:t> </w:t>
                            </w:r>
                            <w:r>
                              <w:rPr/>
                              <w:t>el</w:t>
                            </w:r>
                            <w:r>
                              <w:rPr>
                                <w:spacing w:val="-12"/>
                              </w:rPr>
                              <w:t> </w:t>
                            </w:r>
                            <w:r>
                              <w:rPr/>
                              <w:t>gasto</w:t>
                            </w:r>
                            <w:r>
                              <w:rPr>
                                <w:spacing w:val="-11"/>
                              </w:rPr>
                              <w:t> </w:t>
                            </w:r>
                            <w:r>
                              <w:rPr/>
                              <w:t>se</w:t>
                            </w:r>
                            <w:r>
                              <w:rPr>
                                <w:spacing w:val="-13"/>
                              </w:rPr>
                              <w:t> </w:t>
                            </w:r>
                            <w:r>
                              <w:rPr/>
                              <w:t>reconoce</w:t>
                            </w:r>
                            <w:r>
                              <w:rPr>
                                <w:spacing w:val="-11"/>
                              </w:rPr>
                              <w:t> </w:t>
                            </w:r>
                            <w:r>
                              <w:rPr/>
                              <w:t>cuando</w:t>
                            </w:r>
                            <w:r>
                              <w:rPr>
                                <w:spacing w:val="-11"/>
                              </w:rPr>
                              <w:t> </w:t>
                            </w:r>
                            <w:r>
                              <w:rPr/>
                              <w:t>los</w:t>
                            </w:r>
                            <w:r>
                              <w:rPr>
                                <w:spacing w:val="-11"/>
                              </w:rPr>
                              <w:t> </w:t>
                            </w:r>
                            <w:r>
                              <w:rPr/>
                              <w:t>bienes</w:t>
                            </w:r>
                            <w:r>
                              <w:rPr>
                                <w:spacing w:val="-11"/>
                              </w:rPr>
                              <w:t> </w:t>
                            </w:r>
                            <w:r>
                              <w:rPr/>
                              <w:t>sean</w:t>
                            </w:r>
                            <w:r>
                              <w:rPr>
                                <w:spacing w:val="-12"/>
                              </w:rPr>
                              <w:t> </w:t>
                            </w:r>
                            <w:r>
                              <w:rPr/>
                              <w:t>distribuidos</w:t>
                            </w:r>
                            <w:r>
                              <w:rPr>
                                <w:spacing w:val="-11"/>
                              </w:rPr>
                              <w:t> </w:t>
                            </w:r>
                            <w:r>
                              <w:rPr/>
                              <w:t>o</w:t>
                            </w:r>
                            <w:r>
                              <w:rPr>
                                <w:spacing w:val="-11"/>
                              </w:rPr>
                              <w:t> </w:t>
                            </w:r>
                            <w:r>
                              <w:rPr/>
                              <w:t>hayan</w:t>
                            </w:r>
                            <w:r>
                              <w:rPr>
                                <w:spacing w:val="-12"/>
                              </w:rPr>
                              <w:t> </w:t>
                            </w:r>
                            <w:r>
                              <w:rPr/>
                              <w:t>sido prestados los servicios relacionados.</w:t>
                            </w:r>
                          </w:p>
                          <w:p>
                            <w:pPr>
                              <w:pStyle w:val="BodyText"/>
                              <w:spacing w:line="259" w:lineRule="auto"/>
                              <w:ind w:left="103" w:right="103"/>
                              <w:jc w:val="both"/>
                            </w:pPr>
                            <w:r>
                              <w:rPr/>
                              <w:t>Los costos incluyen todos los costos de compra, costos de conversión (materiales, mano de obra, y gastos generales), y los otros costos necesarios para llevar el inventario a su localización y condición presente,</w:t>
                            </w:r>
                            <w:r>
                              <w:rPr>
                                <w:spacing w:val="-10"/>
                              </w:rPr>
                              <w:t> </w:t>
                            </w:r>
                            <w:r>
                              <w:rPr/>
                              <w:t>pero</w:t>
                            </w:r>
                            <w:r>
                              <w:rPr>
                                <w:spacing w:val="-9"/>
                              </w:rPr>
                              <w:t> </w:t>
                            </w:r>
                            <w:r>
                              <w:rPr/>
                              <w:t>no</w:t>
                            </w:r>
                            <w:r>
                              <w:rPr>
                                <w:spacing w:val="-9"/>
                              </w:rPr>
                              <w:t> </w:t>
                            </w:r>
                            <w:r>
                              <w:rPr/>
                              <w:t>las</w:t>
                            </w:r>
                            <w:r>
                              <w:rPr>
                                <w:spacing w:val="-9"/>
                              </w:rPr>
                              <w:t> </w:t>
                            </w:r>
                            <w:r>
                              <w:rPr/>
                              <w:t>diferencias</w:t>
                            </w:r>
                            <w:r>
                              <w:rPr>
                                <w:spacing w:val="-9"/>
                              </w:rPr>
                              <w:t> </w:t>
                            </w:r>
                            <w:r>
                              <w:rPr/>
                              <w:t>de</w:t>
                            </w:r>
                            <w:r>
                              <w:rPr>
                                <w:spacing w:val="-10"/>
                              </w:rPr>
                              <w:t> </w:t>
                            </w:r>
                            <w:r>
                              <w:rPr/>
                              <w:t>cambio</w:t>
                            </w:r>
                            <w:r>
                              <w:rPr>
                                <w:spacing w:val="-9"/>
                              </w:rPr>
                              <w:t> </w:t>
                            </w:r>
                            <w:r>
                              <w:rPr/>
                              <w:t>y</w:t>
                            </w:r>
                            <w:r>
                              <w:rPr>
                                <w:spacing w:val="-10"/>
                              </w:rPr>
                              <w:t> </w:t>
                            </w:r>
                            <w:r>
                              <w:rPr/>
                              <w:t>los</w:t>
                            </w:r>
                            <w:r>
                              <w:rPr>
                                <w:spacing w:val="-8"/>
                              </w:rPr>
                              <w:t> </w:t>
                            </w:r>
                            <w:r>
                              <w:rPr/>
                              <w:t>costos</w:t>
                            </w:r>
                            <w:r>
                              <w:rPr>
                                <w:spacing w:val="-10"/>
                              </w:rPr>
                              <w:t> </w:t>
                            </w:r>
                            <w:r>
                              <w:rPr/>
                              <w:t>de</w:t>
                            </w:r>
                            <w:r>
                              <w:rPr>
                                <w:spacing w:val="-10"/>
                              </w:rPr>
                              <w:t> </w:t>
                            </w:r>
                            <w:r>
                              <w:rPr/>
                              <w:t>venta.</w:t>
                            </w:r>
                            <w:r>
                              <w:rPr>
                                <w:spacing w:val="-10"/>
                              </w:rPr>
                              <w:t> </w:t>
                            </w:r>
                            <w:r>
                              <w:rPr/>
                              <w:t>Los</w:t>
                            </w:r>
                            <w:r>
                              <w:rPr>
                                <w:spacing w:val="-8"/>
                              </w:rPr>
                              <w:t> </w:t>
                            </w:r>
                            <w:r>
                              <w:rPr/>
                              <w:t>descuentos</w:t>
                            </w:r>
                            <w:r>
                              <w:rPr>
                                <w:spacing w:val="-9"/>
                              </w:rPr>
                              <w:t> </w:t>
                            </w:r>
                            <w:r>
                              <w:rPr/>
                              <w:t>comerciales,</w:t>
                            </w:r>
                            <w:r>
                              <w:rPr>
                                <w:spacing w:val="-9"/>
                              </w:rPr>
                              <w:t> </w:t>
                            </w:r>
                            <w:r>
                              <w:rPr/>
                              <w:t>rebajas, y otros elementos similares se deducen en la determinación de los costos de compra.</w:t>
                            </w:r>
                          </w:p>
                          <w:p>
                            <w:pPr>
                              <w:pStyle w:val="BodyText"/>
                              <w:spacing w:line="256" w:lineRule="auto"/>
                              <w:ind w:left="103" w:right="103"/>
                              <w:jc w:val="both"/>
                            </w:pPr>
                            <w:r>
                              <w:rPr/>
                              <w:t>Los costos de inventarios de los bienes recibidos por un valor ínfimo o nulo (sin contraprestación) serán imputados por su valor razonable a la fecha de ingreso al activo.</w:t>
                            </w:r>
                          </w:p>
                          <w:p>
                            <w:pPr>
                              <w:pStyle w:val="BodyText"/>
                              <w:spacing w:before="23"/>
                            </w:pPr>
                          </w:p>
                          <w:p>
                            <w:pPr>
                              <w:pStyle w:val="BodyText"/>
                              <w:ind w:left="103"/>
                            </w:pPr>
                            <w:r>
                              <w:rPr>
                                <w:spacing w:val="-2"/>
                              </w:rPr>
                              <w:t>Medición:</w:t>
                            </w:r>
                          </w:p>
                          <w:p>
                            <w:pPr>
                              <w:pStyle w:val="BodyText"/>
                              <w:spacing w:line="259" w:lineRule="auto" w:before="20"/>
                              <w:ind w:left="103"/>
                            </w:pPr>
                            <w:r>
                              <w:rPr/>
                              <w:t>Según la Política</w:t>
                            </w:r>
                            <w:r>
                              <w:rPr>
                                <w:spacing w:val="-1"/>
                              </w:rPr>
                              <w:t> </w:t>
                            </w:r>
                            <w:r>
                              <w:rPr/>
                              <w:t>Contable General 1. 76 la medición general de los inventarios es, al costo o al valor realizable neto, el que sea menor excepto lo estipulado en las excepciones de la Norma.</w:t>
                            </w:r>
                          </w:p>
                        </w:txbxContent>
                      </wps:txbx>
                      <wps:bodyPr wrap="square" lIns="0" tIns="0" rIns="0" bIns="0" rtlCol="0">
                        <a:noAutofit/>
                      </wps:bodyPr>
                    </wps:wsp>
                  </a:graphicData>
                </a:graphic>
              </wp:anchor>
            </w:drawing>
          </mc:Choice>
          <mc:Fallback>
            <w:pict>
              <v:shape style="position:absolute;margin-left:85.103996pt;margin-top:14.50625pt;width:450pt;height:299.95pt;mso-position-horizontal-relative:page;mso-position-vertical-relative:paragraph;z-index:-15685120;mso-wrap-distance-left:0;mso-wrap-distance-right:0" type="#_x0000_t202" id="docshape26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line="259" w:lineRule="auto" w:before="162"/>
                        <w:ind w:left="103" w:right="102"/>
                        <w:jc w:val="both"/>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p>
                      <w:pPr>
                        <w:pStyle w:val="BodyText"/>
                        <w:spacing w:before="18"/>
                      </w:pPr>
                    </w:p>
                    <w:p>
                      <w:pPr>
                        <w:pStyle w:val="BodyText"/>
                        <w:spacing w:line="259" w:lineRule="auto"/>
                        <w:ind w:left="103" w:right="107"/>
                        <w:jc w:val="both"/>
                      </w:pPr>
                      <w:r>
                        <w:rPr/>
                        <w:t>Los costos de los inventarios, incluye todos los costos derivados de su adquisición y transformación, así como otros costos en los que se haya incurrido para darles su condición y ubicación actuales.</w:t>
                      </w:r>
                    </w:p>
                    <w:p>
                      <w:pPr>
                        <w:pStyle w:val="BodyText"/>
                        <w:spacing w:line="259" w:lineRule="auto" w:before="1"/>
                        <w:ind w:left="103" w:right="100"/>
                        <w:jc w:val="both"/>
                      </w:pPr>
                      <w:r>
                        <w:rPr/>
                        <w:t>Cuando los inventarios son</w:t>
                      </w:r>
                      <w:r>
                        <w:rPr>
                          <w:spacing w:val="-2"/>
                        </w:rPr>
                        <w:t> </w:t>
                      </w:r>
                      <w:r>
                        <w:rPr/>
                        <w:t>vendidos, intercambiados, o</w:t>
                      </w:r>
                      <w:r>
                        <w:rPr>
                          <w:spacing w:val="-2"/>
                        </w:rPr>
                        <w:t> </w:t>
                      </w:r>
                      <w:r>
                        <w:rPr/>
                        <w:t>distribuidos, el</w:t>
                      </w:r>
                      <w:r>
                        <w:rPr>
                          <w:spacing w:val="-1"/>
                        </w:rPr>
                        <w:t> </w:t>
                      </w:r>
                      <w:r>
                        <w:rPr/>
                        <w:t>valor en libros es</w:t>
                      </w:r>
                      <w:r>
                        <w:rPr>
                          <w:spacing w:val="-1"/>
                        </w:rPr>
                        <w:t> </w:t>
                      </w:r>
                      <w:r>
                        <w:rPr/>
                        <w:t>reconocido como un gasto en el período en el cual se reconocen los ingresos ordinarios relacionados. Si no hay ingresos</w:t>
                      </w:r>
                      <w:r>
                        <w:rPr>
                          <w:spacing w:val="-11"/>
                        </w:rPr>
                        <w:t> </w:t>
                      </w:r>
                      <w:r>
                        <w:rPr/>
                        <w:t>ordinarios</w:t>
                      </w:r>
                      <w:r>
                        <w:rPr>
                          <w:spacing w:val="-11"/>
                        </w:rPr>
                        <w:t> </w:t>
                      </w:r>
                      <w:r>
                        <w:rPr/>
                        <w:t>relacionados,</w:t>
                      </w:r>
                      <w:r>
                        <w:rPr>
                          <w:spacing w:val="-12"/>
                        </w:rPr>
                        <w:t> </w:t>
                      </w:r>
                      <w:r>
                        <w:rPr/>
                        <w:t>el</w:t>
                      </w:r>
                      <w:r>
                        <w:rPr>
                          <w:spacing w:val="-12"/>
                        </w:rPr>
                        <w:t> </w:t>
                      </w:r>
                      <w:r>
                        <w:rPr/>
                        <w:t>gasto</w:t>
                      </w:r>
                      <w:r>
                        <w:rPr>
                          <w:spacing w:val="-11"/>
                        </w:rPr>
                        <w:t> </w:t>
                      </w:r>
                      <w:r>
                        <w:rPr/>
                        <w:t>se</w:t>
                      </w:r>
                      <w:r>
                        <w:rPr>
                          <w:spacing w:val="-13"/>
                        </w:rPr>
                        <w:t> </w:t>
                      </w:r>
                      <w:r>
                        <w:rPr/>
                        <w:t>reconoce</w:t>
                      </w:r>
                      <w:r>
                        <w:rPr>
                          <w:spacing w:val="-11"/>
                        </w:rPr>
                        <w:t> </w:t>
                      </w:r>
                      <w:r>
                        <w:rPr/>
                        <w:t>cuando</w:t>
                      </w:r>
                      <w:r>
                        <w:rPr>
                          <w:spacing w:val="-11"/>
                        </w:rPr>
                        <w:t> </w:t>
                      </w:r>
                      <w:r>
                        <w:rPr/>
                        <w:t>los</w:t>
                      </w:r>
                      <w:r>
                        <w:rPr>
                          <w:spacing w:val="-11"/>
                        </w:rPr>
                        <w:t> </w:t>
                      </w:r>
                      <w:r>
                        <w:rPr/>
                        <w:t>bienes</w:t>
                      </w:r>
                      <w:r>
                        <w:rPr>
                          <w:spacing w:val="-11"/>
                        </w:rPr>
                        <w:t> </w:t>
                      </w:r>
                      <w:r>
                        <w:rPr/>
                        <w:t>sean</w:t>
                      </w:r>
                      <w:r>
                        <w:rPr>
                          <w:spacing w:val="-12"/>
                        </w:rPr>
                        <w:t> </w:t>
                      </w:r>
                      <w:r>
                        <w:rPr/>
                        <w:t>distribuidos</w:t>
                      </w:r>
                      <w:r>
                        <w:rPr>
                          <w:spacing w:val="-11"/>
                        </w:rPr>
                        <w:t> </w:t>
                      </w:r>
                      <w:r>
                        <w:rPr/>
                        <w:t>o</w:t>
                      </w:r>
                      <w:r>
                        <w:rPr>
                          <w:spacing w:val="-11"/>
                        </w:rPr>
                        <w:t> </w:t>
                      </w:r>
                      <w:r>
                        <w:rPr/>
                        <w:t>hayan</w:t>
                      </w:r>
                      <w:r>
                        <w:rPr>
                          <w:spacing w:val="-12"/>
                        </w:rPr>
                        <w:t> </w:t>
                      </w:r>
                      <w:r>
                        <w:rPr/>
                        <w:t>sido prestados los servicios relacionados.</w:t>
                      </w:r>
                    </w:p>
                    <w:p>
                      <w:pPr>
                        <w:pStyle w:val="BodyText"/>
                        <w:spacing w:line="259" w:lineRule="auto"/>
                        <w:ind w:left="103" w:right="103"/>
                        <w:jc w:val="both"/>
                      </w:pPr>
                      <w:r>
                        <w:rPr/>
                        <w:t>Los costos incluyen todos los costos de compra, costos de conversión (materiales, mano de obra, y gastos generales), y los otros costos necesarios para llevar el inventario a su localización y condición presente,</w:t>
                      </w:r>
                      <w:r>
                        <w:rPr>
                          <w:spacing w:val="-10"/>
                        </w:rPr>
                        <w:t> </w:t>
                      </w:r>
                      <w:r>
                        <w:rPr/>
                        <w:t>pero</w:t>
                      </w:r>
                      <w:r>
                        <w:rPr>
                          <w:spacing w:val="-9"/>
                        </w:rPr>
                        <w:t> </w:t>
                      </w:r>
                      <w:r>
                        <w:rPr/>
                        <w:t>no</w:t>
                      </w:r>
                      <w:r>
                        <w:rPr>
                          <w:spacing w:val="-9"/>
                        </w:rPr>
                        <w:t> </w:t>
                      </w:r>
                      <w:r>
                        <w:rPr/>
                        <w:t>las</w:t>
                      </w:r>
                      <w:r>
                        <w:rPr>
                          <w:spacing w:val="-9"/>
                        </w:rPr>
                        <w:t> </w:t>
                      </w:r>
                      <w:r>
                        <w:rPr/>
                        <w:t>diferencias</w:t>
                      </w:r>
                      <w:r>
                        <w:rPr>
                          <w:spacing w:val="-9"/>
                        </w:rPr>
                        <w:t> </w:t>
                      </w:r>
                      <w:r>
                        <w:rPr/>
                        <w:t>de</w:t>
                      </w:r>
                      <w:r>
                        <w:rPr>
                          <w:spacing w:val="-10"/>
                        </w:rPr>
                        <w:t> </w:t>
                      </w:r>
                      <w:r>
                        <w:rPr/>
                        <w:t>cambio</w:t>
                      </w:r>
                      <w:r>
                        <w:rPr>
                          <w:spacing w:val="-9"/>
                        </w:rPr>
                        <w:t> </w:t>
                      </w:r>
                      <w:r>
                        <w:rPr/>
                        <w:t>y</w:t>
                      </w:r>
                      <w:r>
                        <w:rPr>
                          <w:spacing w:val="-10"/>
                        </w:rPr>
                        <w:t> </w:t>
                      </w:r>
                      <w:r>
                        <w:rPr/>
                        <w:t>los</w:t>
                      </w:r>
                      <w:r>
                        <w:rPr>
                          <w:spacing w:val="-8"/>
                        </w:rPr>
                        <w:t> </w:t>
                      </w:r>
                      <w:r>
                        <w:rPr/>
                        <w:t>costos</w:t>
                      </w:r>
                      <w:r>
                        <w:rPr>
                          <w:spacing w:val="-10"/>
                        </w:rPr>
                        <w:t> </w:t>
                      </w:r>
                      <w:r>
                        <w:rPr/>
                        <w:t>de</w:t>
                      </w:r>
                      <w:r>
                        <w:rPr>
                          <w:spacing w:val="-10"/>
                        </w:rPr>
                        <w:t> </w:t>
                      </w:r>
                      <w:r>
                        <w:rPr/>
                        <w:t>venta.</w:t>
                      </w:r>
                      <w:r>
                        <w:rPr>
                          <w:spacing w:val="-10"/>
                        </w:rPr>
                        <w:t> </w:t>
                      </w:r>
                      <w:r>
                        <w:rPr/>
                        <w:t>Los</w:t>
                      </w:r>
                      <w:r>
                        <w:rPr>
                          <w:spacing w:val="-8"/>
                        </w:rPr>
                        <w:t> </w:t>
                      </w:r>
                      <w:r>
                        <w:rPr/>
                        <w:t>descuentos</w:t>
                      </w:r>
                      <w:r>
                        <w:rPr>
                          <w:spacing w:val="-9"/>
                        </w:rPr>
                        <w:t> </w:t>
                      </w:r>
                      <w:r>
                        <w:rPr/>
                        <w:t>comerciales,</w:t>
                      </w:r>
                      <w:r>
                        <w:rPr>
                          <w:spacing w:val="-9"/>
                        </w:rPr>
                        <w:t> </w:t>
                      </w:r>
                      <w:r>
                        <w:rPr/>
                        <w:t>rebajas, y otros elementos similares se deducen en la determinación de los costos de compra.</w:t>
                      </w:r>
                    </w:p>
                    <w:p>
                      <w:pPr>
                        <w:pStyle w:val="BodyText"/>
                        <w:spacing w:line="256" w:lineRule="auto"/>
                        <w:ind w:left="103" w:right="103"/>
                        <w:jc w:val="both"/>
                      </w:pPr>
                      <w:r>
                        <w:rPr/>
                        <w:t>Los costos de inventarios de los bienes recibidos por un valor ínfimo o nulo (sin contraprestación) serán imputados por su valor razonable a la fecha de ingreso al activo.</w:t>
                      </w:r>
                    </w:p>
                    <w:p>
                      <w:pPr>
                        <w:pStyle w:val="BodyText"/>
                        <w:spacing w:before="23"/>
                      </w:pPr>
                    </w:p>
                    <w:p>
                      <w:pPr>
                        <w:pStyle w:val="BodyText"/>
                        <w:ind w:left="103"/>
                      </w:pPr>
                      <w:r>
                        <w:rPr>
                          <w:spacing w:val="-2"/>
                        </w:rPr>
                        <w:t>Medición:</w:t>
                      </w:r>
                    </w:p>
                    <w:p>
                      <w:pPr>
                        <w:pStyle w:val="BodyText"/>
                        <w:spacing w:line="259" w:lineRule="auto" w:before="20"/>
                        <w:ind w:left="103"/>
                      </w:pPr>
                      <w:r>
                        <w:rPr/>
                        <w:t>Según la Política</w:t>
                      </w:r>
                      <w:r>
                        <w:rPr>
                          <w:spacing w:val="-1"/>
                        </w:rPr>
                        <w:t> </w:t>
                      </w:r>
                      <w:r>
                        <w:rPr/>
                        <w:t>Contable General 1. 76 la medición general de los inventarios es, al costo o al valor realizable neto, el que sea menor excepto lo estipulado en las excepciones de la Norma.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69280">
                <wp:simplePos x="0" y="0"/>
                <wp:positionH relativeFrom="page">
                  <wp:posOffset>9525</wp:posOffset>
                </wp:positionH>
                <wp:positionV relativeFrom="page">
                  <wp:posOffset>297208</wp:posOffset>
                </wp:positionV>
                <wp:extent cx="7762875" cy="9748520"/>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7762875" cy="9748520"/>
                          <a:chExt cx="7762875" cy="9748520"/>
                        </a:xfrm>
                      </wpg:grpSpPr>
                      <pic:pic>
                        <pic:nvPicPr>
                          <pic:cNvPr id="281" name="Image 281"/>
                          <pic:cNvPicPr/>
                        </pic:nvPicPr>
                        <pic:blipFill>
                          <a:blip r:embed="rId5" cstate="print"/>
                          <a:stretch>
                            <a:fillRect/>
                          </a:stretch>
                        </pic:blipFill>
                        <pic:spPr>
                          <a:xfrm>
                            <a:off x="0" y="0"/>
                            <a:ext cx="7762874" cy="9748489"/>
                          </a:xfrm>
                          <a:prstGeom prst="rect">
                            <a:avLst/>
                          </a:prstGeom>
                        </pic:spPr>
                      </pic:pic>
                      <wps:wsp>
                        <wps:cNvPr id="282" name="Graphic 282"/>
                        <wps:cNvSpPr/>
                        <wps:spPr>
                          <a:xfrm>
                            <a:off x="1053007" y="990837"/>
                            <a:ext cx="5736590" cy="7685405"/>
                          </a:xfrm>
                          <a:custGeom>
                            <a:avLst/>
                            <a:gdLst/>
                            <a:ahLst/>
                            <a:cxnLst/>
                            <a:rect l="l" t="t" r="r" b="b"/>
                            <a:pathLst>
                              <a:path w="5736590" h="7685405">
                                <a:moveTo>
                                  <a:pt x="21336" y="132651"/>
                                </a:moveTo>
                                <a:lnTo>
                                  <a:pt x="15240" y="132651"/>
                                </a:lnTo>
                                <a:lnTo>
                                  <a:pt x="15240" y="7678864"/>
                                </a:lnTo>
                                <a:lnTo>
                                  <a:pt x="21336" y="7678864"/>
                                </a:lnTo>
                                <a:lnTo>
                                  <a:pt x="21336" y="132651"/>
                                </a:lnTo>
                                <a:close/>
                              </a:path>
                              <a:path w="5736590" h="7685405">
                                <a:moveTo>
                                  <a:pt x="5649214" y="0"/>
                                </a:moveTo>
                                <a:lnTo>
                                  <a:pt x="0" y="0"/>
                                </a:lnTo>
                                <a:lnTo>
                                  <a:pt x="0" y="9131"/>
                                </a:lnTo>
                                <a:lnTo>
                                  <a:pt x="5649214" y="9131"/>
                                </a:lnTo>
                                <a:lnTo>
                                  <a:pt x="5649214" y="0"/>
                                </a:lnTo>
                                <a:close/>
                              </a:path>
                              <a:path w="5736590" h="7685405">
                                <a:moveTo>
                                  <a:pt x="5736018" y="7678877"/>
                                </a:moveTo>
                                <a:lnTo>
                                  <a:pt x="5729986" y="7678877"/>
                                </a:lnTo>
                                <a:lnTo>
                                  <a:pt x="21336" y="7678877"/>
                                </a:lnTo>
                                <a:lnTo>
                                  <a:pt x="15240" y="7678877"/>
                                </a:lnTo>
                                <a:lnTo>
                                  <a:pt x="15240" y="7684960"/>
                                </a:lnTo>
                                <a:lnTo>
                                  <a:pt x="21336" y="7684960"/>
                                </a:lnTo>
                                <a:lnTo>
                                  <a:pt x="5729935" y="7684960"/>
                                </a:lnTo>
                                <a:lnTo>
                                  <a:pt x="5736018" y="7684960"/>
                                </a:lnTo>
                                <a:lnTo>
                                  <a:pt x="5736018" y="7678877"/>
                                </a:lnTo>
                                <a:close/>
                              </a:path>
                              <a:path w="5736590" h="7685405">
                                <a:moveTo>
                                  <a:pt x="5736018" y="132651"/>
                                </a:moveTo>
                                <a:lnTo>
                                  <a:pt x="5729935" y="132651"/>
                                </a:lnTo>
                                <a:lnTo>
                                  <a:pt x="5729935" y="7678864"/>
                                </a:lnTo>
                                <a:lnTo>
                                  <a:pt x="5736018" y="7678864"/>
                                </a:lnTo>
                                <a:lnTo>
                                  <a:pt x="5736018" y="132651"/>
                                </a:lnTo>
                                <a:close/>
                              </a:path>
                              <a:path w="5736590" h="768540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283" name="Image 283" descr="Tabla  Descripción generada automáticamente"/>
                          <pic:cNvPicPr/>
                        </pic:nvPicPr>
                        <pic:blipFill>
                          <a:blip r:embed="rId48" cstate="print"/>
                          <a:stretch>
                            <a:fillRect/>
                          </a:stretch>
                        </pic:blipFill>
                        <pic:spPr>
                          <a:xfrm>
                            <a:off x="1951354" y="1123794"/>
                            <a:ext cx="3951478" cy="154749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47200" id="docshapegroup266" coordorigin="15,468" coordsize="12225,15352">
                <v:shape style="position:absolute;left:15;top:468;width:12225;height:15352" type="#_x0000_t75" id="docshape267" stroked="false">
                  <v:imagedata r:id="rId5" o:title=""/>
                </v:shape>
                <v:shape style="position:absolute;left:1673;top:2028;width:9034;height:12103" id="docshape268" coordorigin="1673,2028" coordsize="9034,12103" path="m1707,2237l1697,2237,1697,14121,1707,14121,1707,2237xm10570,2028l1673,2028,1673,2043,10570,2043,10570,2028xm10706,14121l10697,14121,10697,14121,1707,14121,1697,14121,1697,14131,1707,14131,10697,14131,10697,14131,10706,14131,10706,14121xm10706,2237l10697,2237,10697,14121,10706,14121,10706,2237xm10706,2228l10697,2228,10697,2228,1707,2228,1697,2228,1697,2237,1707,2237,10697,2237,10697,2237,10706,2237,10706,2228xe" filled="true" fillcolor="#000000" stroked="false">
                  <v:path arrowok="t"/>
                  <v:fill type="solid"/>
                </v:shape>
                <v:shape style="position:absolute;left:3088;top:2237;width:6223;height:2437" type="#_x0000_t75" id="docshape269" alt="Tabla  Descripción generada automáticamente" stroked="false">
                  <v:imagedata r:id="rId48" o:title=""/>
                </v:shape>
                <w10:wrap type="none"/>
              </v:group>
            </w:pict>
          </mc:Fallback>
        </mc:AlternateContent>
      </w:r>
      <w:r>
        <w:rPr>
          <w:color w:val="172951"/>
          <w:sz w:val="20"/>
        </w:rPr>
        <w:t>Pág.</w:t>
      </w:r>
      <w:r>
        <w:rPr>
          <w:color w:val="172951"/>
          <w:spacing w:val="-7"/>
          <w:sz w:val="20"/>
        </w:rPr>
        <w:t> </w:t>
      </w:r>
      <w:r>
        <w:rPr>
          <w:color w:val="172951"/>
          <w:spacing w:val="-5"/>
          <w:sz w:val="20"/>
        </w:rPr>
        <w:t>61</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3"/>
      </w:pPr>
    </w:p>
    <w:p>
      <w:pPr>
        <w:pStyle w:val="BodyText"/>
        <w:spacing w:before="1"/>
        <w:ind w:left="730" w:right="922"/>
        <w:jc w:val="both"/>
      </w:pPr>
      <w:r>
        <w:rPr/>
        <w:t>En cumplimiento de</w:t>
      </w:r>
      <w:r>
        <w:rPr>
          <w:spacing w:val="-1"/>
        </w:rPr>
        <w:t> </w:t>
      </w:r>
      <w:r>
        <w:rPr/>
        <w:t>la política general 1. 77, el inventario de</w:t>
      </w:r>
      <w:r>
        <w:rPr>
          <w:spacing w:val="-1"/>
        </w:rPr>
        <w:t> </w:t>
      </w:r>
      <w:r>
        <w:rPr/>
        <w:t>bienes para donación,</w:t>
      </w:r>
      <w:r>
        <w:rPr>
          <w:spacing w:val="-1"/>
        </w:rPr>
        <w:t> </w:t>
      </w:r>
      <w:r>
        <w:rPr/>
        <w:t>cuyos beneficios económicos o potencial de servicio futuros no están directamente relacionados con la capacidad de generar</w:t>
      </w:r>
      <w:r>
        <w:rPr>
          <w:spacing w:val="-1"/>
        </w:rPr>
        <w:t> </w:t>
      </w:r>
      <w:r>
        <w:rPr/>
        <w:t>entradas netas de</w:t>
      </w:r>
      <w:r>
        <w:rPr>
          <w:spacing w:val="-3"/>
        </w:rPr>
        <w:t> </w:t>
      </w:r>
      <w:r>
        <w:rPr/>
        <w:t>efectivo, pudiendo</w:t>
      </w:r>
      <w:r>
        <w:rPr>
          <w:spacing w:val="-1"/>
        </w:rPr>
        <w:t> </w:t>
      </w:r>
      <w:r>
        <w:rPr/>
        <w:t>por</w:t>
      </w:r>
      <w:r>
        <w:rPr>
          <w:spacing w:val="-1"/>
        </w:rPr>
        <w:t> </w:t>
      </w:r>
      <w:r>
        <w:rPr/>
        <w:t>lo</w:t>
      </w:r>
      <w:r>
        <w:rPr>
          <w:spacing w:val="-1"/>
        </w:rPr>
        <w:t> </w:t>
      </w:r>
      <w:r>
        <w:rPr/>
        <w:t>tanto dichos</w:t>
      </w:r>
      <w:r>
        <w:rPr>
          <w:spacing w:val="-2"/>
        </w:rPr>
        <w:t> </w:t>
      </w:r>
      <w:r>
        <w:rPr/>
        <w:t>bienes generar</w:t>
      </w:r>
      <w:r>
        <w:rPr>
          <w:spacing w:val="-1"/>
        </w:rPr>
        <w:t> </w:t>
      </w:r>
      <w:r>
        <w:rPr/>
        <w:t>una</w:t>
      </w:r>
      <w:r>
        <w:rPr>
          <w:spacing w:val="-4"/>
        </w:rPr>
        <w:t> </w:t>
      </w:r>
      <w:r>
        <w:rPr/>
        <w:t>contraprestación nula o simbólica, los mismos se miden por la cantidad que la se necesitaría pagar para adquirir los beneficios económicos o potencial de servicios futuros necesarios para alcanzar los objetivos de la entidad. En consecuencia, estos tipos de bienes se valuarán al costo de reposición o, en caso de que no puedan ser adquiridos en mercado, mediante una estimación de su costo de reposición.</w:t>
      </w:r>
    </w:p>
    <w:p>
      <w:pPr>
        <w:pStyle w:val="BodyText"/>
        <w:spacing w:before="161"/>
        <w:ind w:left="730" w:right="928"/>
        <w:jc w:val="both"/>
      </w:pPr>
      <w:r>
        <w:rPr/>
        <w:t>La fórmula del costo para los inventarios de</w:t>
      </w:r>
      <w:r>
        <w:rPr>
          <w:spacing w:val="-1"/>
        </w:rPr>
        <w:t> </w:t>
      </w:r>
      <w:r>
        <w:rPr/>
        <w:t>la misma</w:t>
      </w:r>
      <w:r>
        <w:rPr>
          <w:spacing w:val="-2"/>
        </w:rPr>
        <w:t> </w:t>
      </w:r>
      <w:r>
        <w:rPr/>
        <w:t>naturaleza, el costo de</w:t>
      </w:r>
      <w:r>
        <w:rPr>
          <w:spacing w:val="-1"/>
        </w:rPr>
        <w:t> </w:t>
      </w:r>
      <w:r>
        <w:rPr/>
        <w:t>los inventarios se asigna utilizando el método de costo promedio.</w:t>
      </w:r>
    </w:p>
    <w:p>
      <w:pPr>
        <w:pStyle w:val="BodyText"/>
      </w:pPr>
    </w:p>
    <w:p>
      <w:pPr>
        <w:pStyle w:val="BodyText"/>
        <w:ind w:left="730" w:right="1001"/>
      </w:pPr>
      <w:r>
        <w:rPr/>
        <w:t>Los</w:t>
      </w:r>
      <w:r>
        <w:rPr>
          <w:spacing w:val="-2"/>
        </w:rPr>
        <w:t> </w:t>
      </w:r>
      <w:r>
        <w:rPr/>
        <w:t>inventarios</w:t>
      </w:r>
      <w:r>
        <w:rPr>
          <w:spacing w:val="-2"/>
        </w:rPr>
        <w:t> </w:t>
      </w:r>
      <w:r>
        <w:rPr/>
        <w:t>se</w:t>
      </w:r>
      <w:r>
        <w:rPr>
          <w:spacing w:val="-4"/>
        </w:rPr>
        <w:t> </w:t>
      </w:r>
      <w:r>
        <w:rPr/>
        <w:t>reconocen</w:t>
      </w:r>
      <w:r>
        <w:rPr>
          <w:spacing w:val="-3"/>
        </w:rPr>
        <w:t> </w:t>
      </w:r>
      <w:r>
        <w:rPr/>
        <w:t>y</w:t>
      </w:r>
      <w:r>
        <w:rPr>
          <w:spacing w:val="-4"/>
        </w:rPr>
        <w:t> </w:t>
      </w:r>
      <w:r>
        <w:rPr/>
        <w:t>clasifican</w:t>
      </w:r>
      <w:r>
        <w:rPr>
          <w:spacing w:val="-3"/>
        </w:rPr>
        <w:t> </w:t>
      </w:r>
      <w:r>
        <w:rPr/>
        <w:t>de</w:t>
      </w:r>
      <w:r>
        <w:rPr>
          <w:spacing w:val="-5"/>
        </w:rPr>
        <w:t> </w:t>
      </w:r>
      <w:r>
        <w:rPr/>
        <w:t>acuerdo</w:t>
      </w:r>
      <w:r>
        <w:rPr>
          <w:spacing w:val="-3"/>
        </w:rPr>
        <w:t> </w:t>
      </w:r>
      <w:r>
        <w:rPr/>
        <w:t>con</w:t>
      </w:r>
      <w:r>
        <w:rPr>
          <w:spacing w:val="-3"/>
        </w:rPr>
        <w:t> </w:t>
      </w:r>
      <w:r>
        <w:rPr/>
        <w:t>su</w:t>
      </w:r>
      <w:r>
        <w:rPr>
          <w:spacing w:val="-3"/>
        </w:rPr>
        <w:t> </w:t>
      </w:r>
      <w:r>
        <w:rPr/>
        <w:t>naturaleza,</w:t>
      </w:r>
      <w:r>
        <w:rPr>
          <w:spacing w:val="-3"/>
        </w:rPr>
        <w:t> </w:t>
      </w:r>
      <w:r>
        <w:rPr/>
        <w:t>en</w:t>
      </w:r>
      <w:r>
        <w:rPr>
          <w:spacing w:val="-3"/>
        </w:rPr>
        <w:t> </w:t>
      </w:r>
      <w:r>
        <w:rPr/>
        <w:t>bienes</w:t>
      </w:r>
      <w:r>
        <w:rPr>
          <w:spacing w:val="-2"/>
        </w:rPr>
        <w:t> </w:t>
      </w:r>
      <w:r>
        <w:rPr/>
        <w:t>y</w:t>
      </w:r>
      <w:r>
        <w:rPr>
          <w:spacing w:val="-4"/>
        </w:rPr>
        <w:t> </w:t>
      </w:r>
      <w:r>
        <w:rPr/>
        <w:t>suministros</w:t>
      </w:r>
      <w:r>
        <w:rPr>
          <w:spacing w:val="-2"/>
        </w:rPr>
        <w:t> </w:t>
      </w:r>
      <w:r>
        <w:rPr/>
        <w:t>de oficina, mercadería para la venta, y bienes para donación.</w:t>
      </w:r>
    </w:p>
    <w:p>
      <w:pPr>
        <w:pStyle w:val="BodyText"/>
        <w:spacing w:before="250"/>
        <w:ind w:left="730" w:right="1082"/>
      </w:pPr>
      <w:r>
        <w:rPr/>
        <w:t>El</w:t>
      </w:r>
      <w:r>
        <w:rPr>
          <w:spacing w:val="-3"/>
        </w:rPr>
        <w:t> </w:t>
      </w:r>
      <w:r>
        <w:rPr/>
        <w:t>importe</w:t>
      </w:r>
      <w:r>
        <w:rPr>
          <w:spacing w:val="-4"/>
        </w:rPr>
        <w:t> </w:t>
      </w:r>
      <w:r>
        <w:rPr/>
        <w:t>total</w:t>
      </w:r>
      <w:r>
        <w:rPr>
          <w:spacing w:val="-4"/>
        </w:rPr>
        <w:t> </w:t>
      </w:r>
      <w:r>
        <w:rPr/>
        <w:t>en</w:t>
      </w:r>
      <w:r>
        <w:rPr>
          <w:spacing w:val="-3"/>
        </w:rPr>
        <w:t> </w:t>
      </w:r>
      <w:r>
        <w:rPr/>
        <w:t>libros</w:t>
      </w:r>
      <w:r>
        <w:rPr>
          <w:spacing w:val="-2"/>
        </w:rPr>
        <w:t> </w:t>
      </w:r>
      <w:r>
        <w:rPr/>
        <w:t>de</w:t>
      </w:r>
      <w:r>
        <w:rPr>
          <w:spacing w:val="-5"/>
        </w:rPr>
        <w:t> </w:t>
      </w:r>
      <w:r>
        <w:rPr/>
        <w:t>los</w:t>
      </w:r>
      <w:r>
        <w:rPr>
          <w:spacing w:val="-2"/>
        </w:rPr>
        <w:t> </w:t>
      </w:r>
      <w:r>
        <w:rPr/>
        <w:t>inventarios</w:t>
      </w:r>
      <w:r>
        <w:rPr>
          <w:spacing w:val="-2"/>
        </w:rPr>
        <w:t> </w:t>
      </w:r>
      <w:r>
        <w:rPr/>
        <w:t>y</w:t>
      </w:r>
      <w:r>
        <w:rPr>
          <w:spacing w:val="-4"/>
        </w:rPr>
        <w:t> </w:t>
      </w:r>
      <w:r>
        <w:rPr/>
        <w:t>los</w:t>
      </w:r>
      <w:r>
        <w:rPr>
          <w:spacing w:val="-2"/>
        </w:rPr>
        <w:t> </w:t>
      </w:r>
      <w:r>
        <w:rPr/>
        <w:t>importes</w:t>
      </w:r>
      <w:r>
        <w:rPr>
          <w:spacing w:val="-2"/>
        </w:rPr>
        <w:t> </w:t>
      </w:r>
      <w:r>
        <w:rPr/>
        <w:t>según</w:t>
      </w:r>
      <w:r>
        <w:rPr>
          <w:spacing w:val="-3"/>
        </w:rPr>
        <w:t> </w:t>
      </w:r>
      <w:r>
        <w:rPr/>
        <w:t>la</w:t>
      </w:r>
      <w:r>
        <w:rPr>
          <w:spacing w:val="-4"/>
        </w:rPr>
        <w:t> </w:t>
      </w:r>
      <w:r>
        <w:rPr/>
        <w:t>clasificación</w:t>
      </w:r>
      <w:r>
        <w:rPr>
          <w:spacing w:val="-5"/>
        </w:rPr>
        <w:t> </w:t>
      </w:r>
      <w:r>
        <w:rPr/>
        <w:t>utilizada</w:t>
      </w:r>
      <w:r>
        <w:rPr>
          <w:spacing w:val="-4"/>
        </w:rPr>
        <w:t> </w:t>
      </w:r>
      <w:r>
        <w:rPr/>
        <w:t>por</w:t>
      </w:r>
      <w:r>
        <w:rPr>
          <w:spacing w:val="-3"/>
        </w:rPr>
        <w:t> </w:t>
      </w:r>
      <w:r>
        <w:rPr/>
        <w:t>el IMAS en julio 2026- 2025 es la siguiente:</w:t>
      </w:r>
    </w:p>
    <w:p>
      <w:pPr>
        <w:pStyle w:val="BodyText"/>
        <w:spacing w:before="23"/>
        <w:rPr>
          <w:sz w:val="20"/>
        </w:rPr>
      </w:pPr>
    </w:p>
    <w:tbl>
      <w:tblPr>
        <w:tblW w:w="0" w:type="auto"/>
        <w:jc w:val="left"/>
        <w:tblInd w:w="17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90"/>
        <w:gridCol w:w="3324"/>
        <w:gridCol w:w="313"/>
        <w:gridCol w:w="969"/>
        <w:gridCol w:w="969"/>
        <w:gridCol w:w="724"/>
      </w:tblGrid>
      <w:tr>
        <w:trPr>
          <w:trHeight w:val="168" w:hRule="atLeast"/>
        </w:trPr>
        <w:tc>
          <w:tcPr>
            <w:tcW w:w="490" w:type="dxa"/>
            <w:shd w:val="clear" w:color="auto" w:fill="365F92"/>
          </w:tcPr>
          <w:p>
            <w:pPr>
              <w:pStyle w:val="TableParagraph"/>
              <w:spacing w:line="128" w:lineRule="exact" w:before="20"/>
              <w:ind w:left="19"/>
              <w:rPr>
                <w:b/>
                <w:sz w:val="12"/>
              </w:rPr>
            </w:pPr>
            <w:r>
              <w:rPr>
                <w:b/>
                <w:color w:val="FFFFFF"/>
                <w:spacing w:val="-2"/>
                <w:sz w:val="12"/>
              </w:rPr>
              <w:t>1.1.4.</w:t>
            </w:r>
          </w:p>
        </w:tc>
        <w:tc>
          <w:tcPr>
            <w:tcW w:w="3324" w:type="dxa"/>
            <w:shd w:val="clear" w:color="auto" w:fill="365F92"/>
          </w:tcPr>
          <w:p>
            <w:pPr>
              <w:pStyle w:val="TableParagraph"/>
              <w:spacing w:line="128" w:lineRule="exact" w:before="20"/>
              <w:ind w:left="19"/>
              <w:rPr>
                <w:b/>
                <w:sz w:val="12"/>
              </w:rPr>
            </w:pPr>
            <w:r>
              <w:rPr>
                <w:b/>
                <w:color w:val="FFFFFF"/>
                <w:spacing w:val="-2"/>
                <w:sz w:val="12"/>
              </w:rPr>
              <w:t>Inventarios</w:t>
            </w:r>
          </w:p>
        </w:tc>
        <w:tc>
          <w:tcPr>
            <w:tcW w:w="313" w:type="dxa"/>
            <w:shd w:val="clear" w:color="auto" w:fill="365F92"/>
          </w:tcPr>
          <w:p>
            <w:pPr>
              <w:pStyle w:val="TableParagraph"/>
              <w:spacing w:line="128" w:lineRule="exact" w:before="20"/>
              <w:ind w:left="99"/>
              <w:rPr>
                <w:sz w:val="12"/>
              </w:rPr>
            </w:pPr>
            <w:r>
              <w:rPr>
                <w:color w:val="FFFFFF"/>
                <w:spacing w:val="-5"/>
                <w:sz w:val="12"/>
              </w:rPr>
              <w:t>06</w:t>
            </w:r>
          </w:p>
        </w:tc>
        <w:tc>
          <w:tcPr>
            <w:tcW w:w="969" w:type="dxa"/>
            <w:shd w:val="clear" w:color="auto" w:fill="365F92"/>
          </w:tcPr>
          <w:p>
            <w:pPr>
              <w:pStyle w:val="TableParagraph"/>
              <w:spacing w:line="128" w:lineRule="exact" w:before="20"/>
              <w:ind w:right="7"/>
              <w:jc w:val="right"/>
              <w:rPr>
                <w:sz w:val="12"/>
              </w:rPr>
            </w:pPr>
            <w:r>
              <w:rPr>
                <w:color w:val="FFFFFF"/>
                <w:sz w:val="12"/>
              </w:rPr>
              <w:t>5</w:t>
            </w:r>
            <w:r>
              <w:rPr>
                <w:color w:val="FFFFFF"/>
                <w:spacing w:val="-6"/>
                <w:sz w:val="12"/>
              </w:rPr>
              <w:t> </w:t>
            </w:r>
            <w:r>
              <w:rPr>
                <w:color w:val="FFFFFF"/>
                <w:sz w:val="12"/>
              </w:rPr>
              <w:t>759</w:t>
            </w:r>
            <w:r>
              <w:rPr>
                <w:color w:val="FFFFFF"/>
                <w:spacing w:val="-5"/>
                <w:sz w:val="12"/>
              </w:rPr>
              <w:t> </w:t>
            </w:r>
            <w:r>
              <w:rPr>
                <w:color w:val="FFFFFF"/>
                <w:spacing w:val="-2"/>
                <w:sz w:val="12"/>
              </w:rPr>
              <w:t>054,33</w:t>
            </w:r>
          </w:p>
        </w:tc>
        <w:tc>
          <w:tcPr>
            <w:tcW w:w="969" w:type="dxa"/>
            <w:shd w:val="clear" w:color="auto" w:fill="365F92"/>
          </w:tcPr>
          <w:p>
            <w:pPr>
              <w:pStyle w:val="TableParagraph"/>
              <w:spacing w:line="128" w:lineRule="exact" w:before="20"/>
              <w:ind w:right="6"/>
              <w:jc w:val="right"/>
              <w:rPr>
                <w:sz w:val="12"/>
              </w:rPr>
            </w:pPr>
            <w:r>
              <w:rPr>
                <w:color w:val="FFFFFF"/>
                <w:sz w:val="12"/>
              </w:rPr>
              <w:t>5</w:t>
            </w:r>
            <w:r>
              <w:rPr>
                <w:color w:val="FFFFFF"/>
                <w:spacing w:val="-6"/>
                <w:sz w:val="12"/>
              </w:rPr>
              <w:t> </w:t>
            </w:r>
            <w:r>
              <w:rPr>
                <w:color w:val="FFFFFF"/>
                <w:sz w:val="12"/>
              </w:rPr>
              <w:t>265</w:t>
            </w:r>
            <w:r>
              <w:rPr>
                <w:color w:val="FFFFFF"/>
                <w:spacing w:val="-5"/>
                <w:sz w:val="12"/>
              </w:rPr>
              <w:t> </w:t>
            </w:r>
            <w:r>
              <w:rPr>
                <w:color w:val="FFFFFF"/>
                <w:spacing w:val="-2"/>
                <w:sz w:val="12"/>
              </w:rPr>
              <w:t>042,27</w:t>
            </w:r>
          </w:p>
        </w:tc>
        <w:tc>
          <w:tcPr>
            <w:tcW w:w="724" w:type="dxa"/>
            <w:shd w:val="clear" w:color="auto" w:fill="365F92"/>
          </w:tcPr>
          <w:p>
            <w:pPr>
              <w:pStyle w:val="TableParagraph"/>
              <w:spacing w:line="128" w:lineRule="exact" w:before="20"/>
              <w:ind w:left="13"/>
              <w:jc w:val="center"/>
              <w:rPr>
                <w:sz w:val="12"/>
              </w:rPr>
            </w:pPr>
            <w:r>
              <w:rPr>
                <w:color w:val="FFFFFF"/>
                <w:spacing w:val="-2"/>
                <w:sz w:val="12"/>
              </w:rPr>
              <w:t>9,38%</w:t>
            </w:r>
          </w:p>
        </w:tc>
      </w:tr>
      <w:tr>
        <w:trPr>
          <w:trHeight w:val="168" w:hRule="atLeast"/>
        </w:trPr>
        <w:tc>
          <w:tcPr>
            <w:tcW w:w="490" w:type="dxa"/>
          </w:tcPr>
          <w:p>
            <w:pPr>
              <w:pStyle w:val="TableParagraph"/>
              <w:spacing w:line="128" w:lineRule="exact" w:before="20"/>
              <w:ind w:left="15"/>
              <w:rPr>
                <w:sz w:val="12"/>
              </w:rPr>
            </w:pPr>
            <w:r>
              <w:rPr>
                <w:spacing w:val="-2"/>
                <w:sz w:val="12"/>
              </w:rPr>
              <w:t>1.1.4.01.</w:t>
            </w:r>
          </w:p>
        </w:tc>
        <w:tc>
          <w:tcPr>
            <w:tcW w:w="3324" w:type="dxa"/>
          </w:tcPr>
          <w:p>
            <w:pPr>
              <w:pStyle w:val="TableParagraph"/>
              <w:spacing w:line="128" w:lineRule="exact" w:before="20"/>
              <w:ind w:left="15"/>
              <w:rPr>
                <w:sz w:val="12"/>
              </w:rPr>
            </w:pPr>
            <w:r>
              <w:rPr>
                <w:sz w:val="12"/>
              </w:rPr>
              <w:t>Materiales</w:t>
            </w:r>
            <w:r>
              <w:rPr>
                <w:spacing w:val="-7"/>
                <w:sz w:val="12"/>
              </w:rPr>
              <w:t> </w:t>
            </w:r>
            <w:r>
              <w:rPr>
                <w:sz w:val="12"/>
              </w:rPr>
              <w:t>y</w:t>
            </w:r>
            <w:r>
              <w:rPr>
                <w:spacing w:val="-6"/>
                <w:sz w:val="12"/>
              </w:rPr>
              <w:t> </w:t>
            </w:r>
            <w:r>
              <w:rPr>
                <w:sz w:val="12"/>
              </w:rPr>
              <w:t>suministros</w:t>
            </w:r>
            <w:r>
              <w:rPr>
                <w:spacing w:val="-7"/>
                <w:sz w:val="12"/>
              </w:rPr>
              <w:t> </w:t>
            </w:r>
            <w:r>
              <w:rPr>
                <w:sz w:val="12"/>
              </w:rPr>
              <w:t>para</w:t>
            </w:r>
            <w:r>
              <w:rPr>
                <w:spacing w:val="-8"/>
                <w:sz w:val="12"/>
              </w:rPr>
              <w:t> </w:t>
            </w:r>
            <w:r>
              <w:rPr>
                <w:sz w:val="12"/>
              </w:rPr>
              <w:t>consumo</w:t>
            </w:r>
            <w:r>
              <w:rPr>
                <w:spacing w:val="-7"/>
                <w:sz w:val="12"/>
              </w:rPr>
              <w:t> </w:t>
            </w:r>
            <w:r>
              <w:rPr>
                <w:sz w:val="12"/>
              </w:rPr>
              <w:t>y</w:t>
            </w:r>
            <w:r>
              <w:rPr>
                <w:spacing w:val="-7"/>
                <w:sz w:val="12"/>
              </w:rPr>
              <w:t> </w:t>
            </w:r>
            <w:r>
              <w:rPr>
                <w:sz w:val="12"/>
              </w:rPr>
              <w:t>prestación</w:t>
            </w:r>
            <w:r>
              <w:rPr>
                <w:spacing w:val="-8"/>
                <w:sz w:val="12"/>
              </w:rPr>
              <w:t> </w:t>
            </w:r>
            <w:r>
              <w:rPr>
                <w:sz w:val="12"/>
              </w:rPr>
              <w:t>de</w:t>
            </w:r>
            <w:r>
              <w:rPr>
                <w:spacing w:val="-6"/>
                <w:sz w:val="12"/>
              </w:rPr>
              <w:t> </w:t>
            </w:r>
            <w:r>
              <w:rPr>
                <w:spacing w:val="-2"/>
                <w:sz w:val="12"/>
              </w:rPr>
              <w:t>servicios</w:t>
            </w:r>
          </w:p>
        </w:tc>
        <w:tc>
          <w:tcPr>
            <w:tcW w:w="313" w:type="dxa"/>
          </w:tcPr>
          <w:p>
            <w:pPr>
              <w:pStyle w:val="TableParagraph"/>
              <w:rPr>
                <w:rFonts w:ascii="Times New Roman"/>
                <w:sz w:val="10"/>
              </w:rPr>
            </w:pPr>
          </w:p>
        </w:tc>
        <w:tc>
          <w:tcPr>
            <w:tcW w:w="969" w:type="dxa"/>
          </w:tcPr>
          <w:p>
            <w:pPr>
              <w:pStyle w:val="TableParagraph"/>
              <w:spacing w:line="128" w:lineRule="exact" w:before="20"/>
              <w:ind w:right="7"/>
              <w:jc w:val="right"/>
              <w:rPr>
                <w:sz w:val="12"/>
              </w:rPr>
            </w:pPr>
            <w:r>
              <w:rPr>
                <w:sz w:val="12"/>
              </w:rPr>
              <w:t>361</w:t>
            </w:r>
            <w:r>
              <w:rPr>
                <w:spacing w:val="-7"/>
                <w:sz w:val="12"/>
              </w:rPr>
              <w:t> </w:t>
            </w:r>
            <w:r>
              <w:rPr>
                <w:spacing w:val="-2"/>
                <w:sz w:val="12"/>
              </w:rPr>
              <w:t>860,57</w:t>
            </w:r>
          </w:p>
        </w:tc>
        <w:tc>
          <w:tcPr>
            <w:tcW w:w="969" w:type="dxa"/>
          </w:tcPr>
          <w:p>
            <w:pPr>
              <w:pStyle w:val="TableParagraph"/>
              <w:spacing w:line="128" w:lineRule="exact" w:before="20"/>
              <w:ind w:right="7"/>
              <w:jc w:val="right"/>
              <w:rPr>
                <w:sz w:val="12"/>
              </w:rPr>
            </w:pPr>
            <w:r>
              <w:rPr>
                <w:sz w:val="12"/>
              </w:rPr>
              <w:t>196</w:t>
            </w:r>
            <w:r>
              <w:rPr>
                <w:spacing w:val="-7"/>
                <w:sz w:val="12"/>
              </w:rPr>
              <w:t> </w:t>
            </w:r>
            <w:r>
              <w:rPr>
                <w:spacing w:val="-2"/>
                <w:sz w:val="12"/>
              </w:rPr>
              <w:t>286,54</w:t>
            </w:r>
          </w:p>
        </w:tc>
        <w:tc>
          <w:tcPr>
            <w:tcW w:w="724" w:type="dxa"/>
          </w:tcPr>
          <w:p>
            <w:pPr>
              <w:pStyle w:val="TableParagraph"/>
              <w:spacing w:line="128" w:lineRule="exact" w:before="20"/>
              <w:ind w:left="13"/>
              <w:jc w:val="center"/>
              <w:rPr>
                <w:sz w:val="12"/>
              </w:rPr>
            </w:pPr>
            <w:r>
              <w:rPr>
                <w:spacing w:val="-2"/>
                <w:sz w:val="12"/>
              </w:rPr>
              <w:t>84,35%</w:t>
            </w:r>
          </w:p>
        </w:tc>
      </w:tr>
      <w:tr>
        <w:trPr>
          <w:trHeight w:val="168" w:hRule="atLeast"/>
        </w:trPr>
        <w:tc>
          <w:tcPr>
            <w:tcW w:w="490" w:type="dxa"/>
          </w:tcPr>
          <w:p>
            <w:pPr>
              <w:pStyle w:val="TableParagraph"/>
              <w:spacing w:line="129" w:lineRule="exact" w:before="19"/>
              <w:ind w:left="15"/>
              <w:rPr>
                <w:sz w:val="12"/>
              </w:rPr>
            </w:pPr>
            <w:r>
              <w:rPr>
                <w:spacing w:val="-2"/>
                <w:sz w:val="12"/>
              </w:rPr>
              <w:t>1.1.4.02.</w:t>
            </w:r>
          </w:p>
        </w:tc>
        <w:tc>
          <w:tcPr>
            <w:tcW w:w="3324" w:type="dxa"/>
          </w:tcPr>
          <w:p>
            <w:pPr>
              <w:pStyle w:val="TableParagraph"/>
              <w:spacing w:line="129" w:lineRule="exact" w:before="19"/>
              <w:ind w:left="15"/>
              <w:rPr>
                <w:sz w:val="12"/>
              </w:rPr>
            </w:pPr>
            <w:r>
              <w:rPr>
                <w:sz w:val="12"/>
              </w:rPr>
              <w:t>Bienes</w:t>
            </w:r>
            <w:r>
              <w:rPr>
                <w:spacing w:val="-5"/>
                <w:sz w:val="12"/>
              </w:rPr>
              <w:t> </w:t>
            </w:r>
            <w:r>
              <w:rPr>
                <w:sz w:val="12"/>
              </w:rPr>
              <w:t>para</w:t>
            </w:r>
            <w:r>
              <w:rPr>
                <w:spacing w:val="-6"/>
                <w:sz w:val="12"/>
              </w:rPr>
              <w:t> </w:t>
            </w:r>
            <w:r>
              <w:rPr>
                <w:sz w:val="12"/>
              </w:rPr>
              <w:t>la</w:t>
            </w:r>
            <w:r>
              <w:rPr>
                <w:spacing w:val="-7"/>
                <w:sz w:val="12"/>
              </w:rPr>
              <w:t> </w:t>
            </w:r>
            <w:r>
              <w:rPr>
                <w:spacing w:val="-2"/>
                <w:sz w:val="12"/>
              </w:rPr>
              <w:t>venta</w:t>
            </w:r>
          </w:p>
        </w:tc>
        <w:tc>
          <w:tcPr>
            <w:tcW w:w="313" w:type="dxa"/>
          </w:tcPr>
          <w:p>
            <w:pPr>
              <w:pStyle w:val="TableParagraph"/>
              <w:rPr>
                <w:rFonts w:ascii="Times New Roman"/>
                <w:sz w:val="10"/>
              </w:rPr>
            </w:pPr>
          </w:p>
        </w:tc>
        <w:tc>
          <w:tcPr>
            <w:tcW w:w="969" w:type="dxa"/>
          </w:tcPr>
          <w:p>
            <w:pPr>
              <w:pStyle w:val="TableParagraph"/>
              <w:spacing w:line="129" w:lineRule="exact" w:before="19"/>
              <w:ind w:right="7"/>
              <w:jc w:val="right"/>
              <w:rPr>
                <w:sz w:val="12"/>
              </w:rPr>
            </w:pPr>
            <w:r>
              <w:rPr>
                <w:sz w:val="12"/>
              </w:rPr>
              <w:t>5</w:t>
            </w:r>
            <w:r>
              <w:rPr>
                <w:spacing w:val="-6"/>
                <w:sz w:val="12"/>
              </w:rPr>
              <w:t> </w:t>
            </w:r>
            <w:r>
              <w:rPr>
                <w:sz w:val="12"/>
              </w:rPr>
              <w:t>097</w:t>
            </w:r>
            <w:r>
              <w:rPr>
                <w:spacing w:val="-5"/>
                <w:sz w:val="12"/>
              </w:rPr>
              <w:t> </w:t>
            </w:r>
            <w:r>
              <w:rPr>
                <w:spacing w:val="-2"/>
                <w:sz w:val="12"/>
              </w:rPr>
              <w:t>822,28</w:t>
            </w:r>
          </w:p>
        </w:tc>
        <w:tc>
          <w:tcPr>
            <w:tcW w:w="969" w:type="dxa"/>
          </w:tcPr>
          <w:p>
            <w:pPr>
              <w:pStyle w:val="TableParagraph"/>
              <w:spacing w:line="129" w:lineRule="exact" w:before="19"/>
              <w:ind w:right="6"/>
              <w:jc w:val="right"/>
              <w:rPr>
                <w:sz w:val="12"/>
              </w:rPr>
            </w:pPr>
            <w:r>
              <w:rPr>
                <w:sz w:val="12"/>
              </w:rPr>
              <w:t>4</w:t>
            </w:r>
            <w:r>
              <w:rPr>
                <w:spacing w:val="-6"/>
                <w:sz w:val="12"/>
              </w:rPr>
              <w:t> </w:t>
            </w:r>
            <w:r>
              <w:rPr>
                <w:sz w:val="12"/>
              </w:rPr>
              <w:t>357</w:t>
            </w:r>
            <w:r>
              <w:rPr>
                <w:spacing w:val="-5"/>
                <w:sz w:val="12"/>
              </w:rPr>
              <w:t> </w:t>
            </w:r>
            <w:r>
              <w:rPr>
                <w:spacing w:val="-2"/>
                <w:sz w:val="12"/>
              </w:rPr>
              <w:t>084,30</w:t>
            </w:r>
          </w:p>
        </w:tc>
        <w:tc>
          <w:tcPr>
            <w:tcW w:w="724" w:type="dxa"/>
          </w:tcPr>
          <w:p>
            <w:pPr>
              <w:pStyle w:val="TableParagraph"/>
              <w:spacing w:line="129" w:lineRule="exact" w:before="19"/>
              <w:ind w:left="13"/>
              <w:jc w:val="center"/>
              <w:rPr>
                <w:sz w:val="12"/>
              </w:rPr>
            </w:pPr>
            <w:r>
              <w:rPr>
                <w:spacing w:val="-2"/>
                <w:sz w:val="12"/>
              </w:rPr>
              <w:t>17,00%</w:t>
            </w:r>
          </w:p>
        </w:tc>
      </w:tr>
      <w:tr>
        <w:trPr>
          <w:trHeight w:val="168" w:hRule="atLeast"/>
        </w:trPr>
        <w:tc>
          <w:tcPr>
            <w:tcW w:w="490" w:type="dxa"/>
          </w:tcPr>
          <w:p>
            <w:pPr>
              <w:pStyle w:val="TableParagraph"/>
              <w:spacing w:line="129" w:lineRule="exact" w:before="19"/>
              <w:ind w:left="15"/>
              <w:rPr>
                <w:sz w:val="12"/>
              </w:rPr>
            </w:pPr>
            <w:r>
              <w:rPr>
                <w:spacing w:val="-2"/>
                <w:sz w:val="12"/>
              </w:rPr>
              <w:t>1.1.4.03.</w:t>
            </w:r>
          </w:p>
        </w:tc>
        <w:tc>
          <w:tcPr>
            <w:tcW w:w="3324" w:type="dxa"/>
          </w:tcPr>
          <w:p>
            <w:pPr>
              <w:pStyle w:val="TableParagraph"/>
              <w:spacing w:line="129" w:lineRule="exact" w:before="19"/>
              <w:ind w:left="15"/>
              <w:rPr>
                <w:sz w:val="12"/>
              </w:rPr>
            </w:pPr>
            <w:r>
              <w:rPr>
                <w:sz w:val="12"/>
              </w:rPr>
              <w:t>Materias</w:t>
            </w:r>
            <w:r>
              <w:rPr>
                <w:spacing w:val="-6"/>
                <w:sz w:val="12"/>
              </w:rPr>
              <w:t> </w:t>
            </w:r>
            <w:r>
              <w:rPr>
                <w:sz w:val="12"/>
              </w:rPr>
              <w:t>primas</w:t>
            </w:r>
            <w:r>
              <w:rPr>
                <w:spacing w:val="-6"/>
                <w:sz w:val="12"/>
              </w:rPr>
              <w:t> </w:t>
            </w:r>
            <w:r>
              <w:rPr>
                <w:sz w:val="12"/>
              </w:rPr>
              <w:t>y</w:t>
            </w:r>
            <w:r>
              <w:rPr>
                <w:spacing w:val="-6"/>
                <w:sz w:val="12"/>
              </w:rPr>
              <w:t> </w:t>
            </w:r>
            <w:r>
              <w:rPr>
                <w:sz w:val="12"/>
              </w:rPr>
              <w:t>bienes</w:t>
            </w:r>
            <w:r>
              <w:rPr>
                <w:spacing w:val="-6"/>
                <w:sz w:val="12"/>
              </w:rPr>
              <w:t> </w:t>
            </w:r>
            <w:r>
              <w:rPr>
                <w:sz w:val="12"/>
              </w:rPr>
              <w:t>en</w:t>
            </w:r>
            <w:r>
              <w:rPr>
                <w:spacing w:val="-7"/>
                <w:sz w:val="12"/>
              </w:rPr>
              <w:t> </w:t>
            </w:r>
            <w:r>
              <w:rPr>
                <w:spacing w:val="-2"/>
                <w:sz w:val="12"/>
              </w:rPr>
              <w:t>producción</w:t>
            </w:r>
          </w:p>
        </w:tc>
        <w:tc>
          <w:tcPr>
            <w:tcW w:w="313" w:type="dxa"/>
          </w:tcPr>
          <w:p>
            <w:pPr>
              <w:pStyle w:val="TableParagraph"/>
              <w:rPr>
                <w:rFonts w:ascii="Times New Roman"/>
                <w:sz w:val="10"/>
              </w:rPr>
            </w:pPr>
          </w:p>
        </w:tc>
        <w:tc>
          <w:tcPr>
            <w:tcW w:w="969" w:type="dxa"/>
          </w:tcPr>
          <w:p>
            <w:pPr>
              <w:pStyle w:val="TableParagraph"/>
              <w:spacing w:line="129" w:lineRule="exact" w:before="19"/>
              <w:ind w:right="6"/>
              <w:jc w:val="right"/>
              <w:rPr>
                <w:sz w:val="12"/>
              </w:rPr>
            </w:pPr>
            <w:r>
              <w:rPr>
                <w:spacing w:val="-4"/>
                <w:sz w:val="12"/>
              </w:rPr>
              <w:t>0,00</w:t>
            </w:r>
          </w:p>
        </w:tc>
        <w:tc>
          <w:tcPr>
            <w:tcW w:w="969" w:type="dxa"/>
          </w:tcPr>
          <w:p>
            <w:pPr>
              <w:pStyle w:val="TableParagraph"/>
              <w:spacing w:line="129" w:lineRule="exact" w:before="19"/>
              <w:ind w:right="5"/>
              <w:jc w:val="right"/>
              <w:rPr>
                <w:sz w:val="12"/>
              </w:rPr>
            </w:pPr>
            <w:r>
              <w:rPr>
                <w:spacing w:val="-4"/>
                <w:sz w:val="12"/>
              </w:rPr>
              <w:t>0,00</w:t>
            </w:r>
          </w:p>
        </w:tc>
        <w:tc>
          <w:tcPr>
            <w:tcW w:w="724" w:type="dxa"/>
          </w:tcPr>
          <w:p>
            <w:pPr>
              <w:pStyle w:val="TableParagraph"/>
              <w:spacing w:line="129" w:lineRule="exact" w:before="19"/>
              <w:ind w:left="13"/>
              <w:jc w:val="center"/>
              <w:rPr>
                <w:sz w:val="12"/>
              </w:rPr>
            </w:pPr>
            <w:r>
              <w:rPr>
                <w:spacing w:val="-2"/>
                <w:sz w:val="12"/>
              </w:rPr>
              <w:t>0,00%</w:t>
            </w:r>
          </w:p>
        </w:tc>
      </w:tr>
      <w:tr>
        <w:trPr>
          <w:trHeight w:val="168" w:hRule="atLeast"/>
        </w:trPr>
        <w:tc>
          <w:tcPr>
            <w:tcW w:w="490" w:type="dxa"/>
          </w:tcPr>
          <w:p>
            <w:pPr>
              <w:pStyle w:val="TableParagraph"/>
              <w:spacing w:line="129" w:lineRule="exact" w:before="19"/>
              <w:ind w:left="15"/>
              <w:rPr>
                <w:sz w:val="12"/>
              </w:rPr>
            </w:pPr>
            <w:r>
              <w:rPr>
                <w:spacing w:val="-2"/>
                <w:sz w:val="12"/>
              </w:rPr>
              <w:t>1.1.4.04.</w:t>
            </w:r>
          </w:p>
        </w:tc>
        <w:tc>
          <w:tcPr>
            <w:tcW w:w="3324" w:type="dxa"/>
          </w:tcPr>
          <w:p>
            <w:pPr>
              <w:pStyle w:val="TableParagraph"/>
              <w:spacing w:line="129" w:lineRule="exact" w:before="19"/>
              <w:ind w:left="15"/>
              <w:rPr>
                <w:sz w:val="12"/>
              </w:rPr>
            </w:pPr>
            <w:r>
              <w:rPr>
                <w:spacing w:val="-2"/>
                <w:sz w:val="12"/>
              </w:rPr>
              <w:t>Bienes</w:t>
            </w:r>
            <w:r>
              <w:rPr>
                <w:spacing w:val="7"/>
                <w:sz w:val="12"/>
              </w:rPr>
              <w:t> </w:t>
            </w:r>
            <w:r>
              <w:rPr>
                <w:spacing w:val="-2"/>
                <w:sz w:val="12"/>
              </w:rPr>
              <w:t>a</w:t>
            </w:r>
            <w:r>
              <w:rPr>
                <w:spacing w:val="5"/>
                <w:sz w:val="12"/>
              </w:rPr>
              <w:t> </w:t>
            </w:r>
            <w:r>
              <w:rPr>
                <w:spacing w:val="-2"/>
                <w:sz w:val="12"/>
              </w:rPr>
              <w:t>Transferir</w:t>
            </w:r>
            <w:r>
              <w:rPr>
                <w:spacing w:val="2"/>
                <w:sz w:val="12"/>
              </w:rPr>
              <w:t> </w:t>
            </w:r>
            <w:r>
              <w:rPr>
                <w:spacing w:val="-2"/>
                <w:sz w:val="12"/>
              </w:rPr>
              <w:t>sin</w:t>
            </w:r>
            <w:r>
              <w:rPr>
                <w:spacing w:val="5"/>
                <w:sz w:val="12"/>
              </w:rPr>
              <w:t> </w:t>
            </w:r>
            <w:r>
              <w:rPr>
                <w:spacing w:val="-2"/>
                <w:sz w:val="12"/>
              </w:rPr>
              <w:t>contraprestación</w:t>
            </w:r>
            <w:r>
              <w:rPr>
                <w:spacing w:val="5"/>
                <w:sz w:val="12"/>
              </w:rPr>
              <w:t> </w:t>
            </w:r>
            <w:r>
              <w:rPr>
                <w:spacing w:val="-2"/>
                <w:sz w:val="12"/>
              </w:rPr>
              <w:t>-</w:t>
            </w:r>
            <w:r>
              <w:rPr>
                <w:spacing w:val="3"/>
                <w:sz w:val="12"/>
              </w:rPr>
              <w:t> </w:t>
            </w:r>
            <w:r>
              <w:rPr>
                <w:spacing w:val="-2"/>
                <w:sz w:val="12"/>
              </w:rPr>
              <w:t>Donaciones</w:t>
            </w:r>
          </w:p>
        </w:tc>
        <w:tc>
          <w:tcPr>
            <w:tcW w:w="313" w:type="dxa"/>
          </w:tcPr>
          <w:p>
            <w:pPr>
              <w:pStyle w:val="TableParagraph"/>
              <w:rPr>
                <w:rFonts w:ascii="Times New Roman"/>
                <w:sz w:val="10"/>
              </w:rPr>
            </w:pPr>
          </w:p>
        </w:tc>
        <w:tc>
          <w:tcPr>
            <w:tcW w:w="969" w:type="dxa"/>
          </w:tcPr>
          <w:p>
            <w:pPr>
              <w:pStyle w:val="TableParagraph"/>
              <w:spacing w:line="129" w:lineRule="exact" w:before="19"/>
              <w:ind w:right="7"/>
              <w:jc w:val="right"/>
              <w:rPr>
                <w:sz w:val="12"/>
              </w:rPr>
            </w:pPr>
            <w:r>
              <w:rPr>
                <w:sz w:val="12"/>
              </w:rPr>
              <w:t>436</w:t>
            </w:r>
            <w:r>
              <w:rPr>
                <w:spacing w:val="-7"/>
                <w:sz w:val="12"/>
              </w:rPr>
              <w:t> </w:t>
            </w:r>
            <w:r>
              <w:rPr>
                <w:spacing w:val="-2"/>
                <w:sz w:val="12"/>
              </w:rPr>
              <w:t>010,02</w:t>
            </w:r>
          </w:p>
        </w:tc>
        <w:tc>
          <w:tcPr>
            <w:tcW w:w="969" w:type="dxa"/>
          </w:tcPr>
          <w:p>
            <w:pPr>
              <w:pStyle w:val="TableParagraph"/>
              <w:spacing w:line="129" w:lineRule="exact" w:before="19"/>
              <w:ind w:right="7"/>
              <w:jc w:val="right"/>
              <w:rPr>
                <w:sz w:val="12"/>
              </w:rPr>
            </w:pPr>
            <w:r>
              <w:rPr>
                <w:sz w:val="12"/>
              </w:rPr>
              <w:t>847</w:t>
            </w:r>
            <w:r>
              <w:rPr>
                <w:spacing w:val="-7"/>
                <w:sz w:val="12"/>
              </w:rPr>
              <w:t> </w:t>
            </w:r>
            <w:r>
              <w:rPr>
                <w:spacing w:val="-2"/>
                <w:sz w:val="12"/>
              </w:rPr>
              <w:t>623,16</w:t>
            </w:r>
          </w:p>
        </w:tc>
        <w:tc>
          <w:tcPr>
            <w:tcW w:w="724" w:type="dxa"/>
          </w:tcPr>
          <w:p>
            <w:pPr>
              <w:pStyle w:val="TableParagraph"/>
              <w:spacing w:line="129" w:lineRule="exact" w:before="19"/>
              <w:ind w:left="13"/>
              <w:jc w:val="center"/>
              <w:rPr>
                <w:sz w:val="12"/>
              </w:rPr>
            </w:pPr>
            <w:r>
              <w:rPr>
                <w:spacing w:val="-4"/>
                <w:sz w:val="12"/>
              </w:rPr>
              <w:t>-</w:t>
            </w:r>
            <w:r>
              <w:rPr>
                <w:spacing w:val="-2"/>
                <w:sz w:val="12"/>
              </w:rPr>
              <w:t>48,56%</w:t>
            </w:r>
          </w:p>
        </w:tc>
      </w:tr>
      <w:tr>
        <w:trPr>
          <w:trHeight w:val="168" w:hRule="atLeast"/>
        </w:trPr>
        <w:tc>
          <w:tcPr>
            <w:tcW w:w="490" w:type="dxa"/>
          </w:tcPr>
          <w:p>
            <w:pPr>
              <w:pStyle w:val="TableParagraph"/>
              <w:spacing w:line="129" w:lineRule="exact" w:before="19"/>
              <w:ind w:left="15"/>
              <w:rPr>
                <w:sz w:val="12"/>
              </w:rPr>
            </w:pPr>
            <w:r>
              <w:rPr>
                <w:spacing w:val="-2"/>
                <w:sz w:val="12"/>
              </w:rPr>
              <w:t>1.1.4.99.</w:t>
            </w:r>
          </w:p>
        </w:tc>
        <w:tc>
          <w:tcPr>
            <w:tcW w:w="3324" w:type="dxa"/>
          </w:tcPr>
          <w:p>
            <w:pPr>
              <w:pStyle w:val="TableParagraph"/>
              <w:spacing w:line="129" w:lineRule="exact" w:before="19"/>
              <w:ind w:left="15"/>
              <w:rPr>
                <w:sz w:val="12"/>
              </w:rPr>
            </w:pPr>
            <w:r>
              <w:rPr>
                <w:spacing w:val="-2"/>
                <w:sz w:val="12"/>
              </w:rPr>
              <w:t>Previsiones</w:t>
            </w:r>
            <w:r>
              <w:rPr>
                <w:spacing w:val="5"/>
                <w:sz w:val="12"/>
              </w:rPr>
              <w:t> </w:t>
            </w:r>
            <w:r>
              <w:rPr>
                <w:spacing w:val="-2"/>
                <w:sz w:val="12"/>
              </w:rPr>
              <w:t>para</w:t>
            </w:r>
            <w:r>
              <w:rPr>
                <w:spacing w:val="3"/>
                <w:sz w:val="12"/>
              </w:rPr>
              <w:t> </w:t>
            </w:r>
            <w:r>
              <w:rPr>
                <w:spacing w:val="-2"/>
                <w:sz w:val="12"/>
              </w:rPr>
              <w:t>deterioro</w:t>
            </w:r>
            <w:r>
              <w:rPr>
                <w:spacing w:val="4"/>
                <w:sz w:val="12"/>
              </w:rPr>
              <w:t> </w:t>
            </w:r>
            <w:r>
              <w:rPr>
                <w:spacing w:val="-2"/>
                <w:sz w:val="12"/>
              </w:rPr>
              <w:t>y</w:t>
            </w:r>
            <w:r>
              <w:rPr>
                <w:spacing w:val="4"/>
                <w:sz w:val="12"/>
              </w:rPr>
              <w:t> </w:t>
            </w:r>
            <w:r>
              <w:rPr>
                <w:spacing w:val="-2"/>
                <w:sz w:val="12"/>
              </w:rPr>
              <w:t>pérdidas</w:t>
            </w:r>
            <w:r>
              <w:rPr>
                <w:spacing w:val="5"/>
                <w:sz w:val="12"/>
              </w:rPr>
              <w:t> </w:t>
            </w:r>
            <w:r>
              <w:rPr>
                <w:spacing w:val="-2"/>
                <w:sz w:val="12"/>
              </w:rPr>
              <w:t>de</w:t>
            </w:r>
            <w:r>
              <w:rPr>
                <w:spacing w:val="4"/>
                <w:sz w:val="12"/>
              </w:rPr>
              <w:t> </w:t>
            </w:r>
            <w:r>
              <w:rPr>
                <w:spacing w:val="-2"/>
                <w:sz w:val="12"/>
              </w:rPr>
              <w:t>inventario</w:t>
            </w:r>
            <w:r>
              <w:rPr>
                <w:spacing w:val="3"/>
                <w:sz w:val="12"/>
              </w:rPr>
              <w:t> </w:t>
            </w:r>
            <w:r>
              <w:rPr>
                <w:spacing w:val="-10"/>
                <w:sz w:val="12"/>
              </w:rPr>
              <w:t>*</w:t>
            </w:r>
          </w:p>
        </w:tc>
        <w:tc>
          <w:tcPr>
            <w:tcW w:w="313" w:type="dxa"/>
          </w:tcPr>
          <w:p>
            <w:pPr>
              <w:pStyle w:val="TableParagraph"/>
              <w:rPr>
                <w:rFonts w:ascii="Times New Roman"/>
                <w:sz w:val="10"/>
              </w:rPr>
            </w:pPr>
          </w:p>
        </w:tc>
        <w:tc>
          <w:tcPr>
            <w:tcW w:w="969" w:type="dxa"/>
          </w:tcPr>
          <w:p>
            <w:pPr>
              <w:pStyle w:val="TableParagraph"/>
              <w:spacing w:line="129" w:lineRule="exact" w:before="19"/>
              <w:ind w:right="8"/>
              <w:jc w:val="right"/>
              <w:rPr>
                <w:sz w:val="12"/>
              </w:rPr>
            </w:pPr>
            <w:r>
              <w:rPr>
                <w:spacing w:val="-2"/>
                <w:sz w:val="12"/>
              </w:rPr>
              <w:t>-136</w:t>
            </w:r>
            <w:r>
              <w:rPr>
                <w:spacing w:val="-4"/>
                <w:sz w:val="12"/>
              </w:rPr>
              <w:t> </w:t>
            </w:r>
            <w:r>
              <w:rPr>
                <w:spacing w:val="-2"/>
                <w:sz w:val="12"/>
              </w:rPr>
              <w:t>638,54</w:t>
            </w:r>
          </w:p>
        </w:tc>
        <w:tc>
          <w:tcPr>
            <w:tcW w:w="969" w:type="dxa"/>
          </w:tcPr>
          <w:p>
            <w:pPr>
              <w:pStyle w:val="TableParagraph"/>
              <w:spacing w:line="129" w:lineRule="exact" w:before="19"/>
              <w:ind w:right="7"/>
              <w:jc w:val="right"/>
              <w:rPr>
                <w:sz w:val="12"/>
              </w:rPr>
            </w:pPr>
            <w:r>
              <w:rPr>
                <w:spacing w:val="-2"/>
                <w:sz w:val="12"/>
              </w:rPr>
              <w:t>-135</w:t>
            </w:r>
            <w:r>
              <w:rPr>
                <w:spacing w:val="-4"/>
                <w:sz w:val="12"/>
              </w:rPr>
              <w:t> </w:t>
            </w:r>
            <w:r>
              <w:rPr>
                <w:spacing w:val="-2"/>
                <w:sz w:val="12"/>
              </w:rPr>
              <w:t>951,72</w:t>
            </w:r>
          </w:p>
        </w:tc>
        <w:tc>
          <w:tcPr>
            <w:tcW w:w="724" w:type="dxa"/>
          </w:tcPr>
          <w:p>
            <w:pPr>
              <w:pStyle w:val="TableParagraph"/>
              <w:spacing w:line="129" w:lineRule="exact" w:before="19"/>
              <w:ind w:left="13"/>
              <w:jc w:val="center"/>
              <w:rPr>
                <w:sz w:val="12"/>
              </w:rPr>
            </w:pPr>
            <w:r>
              <w:rPr>
                <w:spacing w:val="-2"/>
                <w:sz w:val="12"/>
              </w:rPr>
              <w:t>0,51%</w:t>
            </w:r>
          </w:p>
        </w:tc>
      </w:tr>
    </w:tbl>
    <w:p>
      <w:pPr>
        <w:pStyle w:val="BodyText"/>
        <w:spacing w:line="259" w:lineRule="auto" w:before="189"/>
        <w:ind w:left="730" w:right="1001"/>
      </w:pPr>
      <w:r>
        <w:rPr/>
        <w:t>El</w:t>
      </w:r>
      <w:r>
        <w:rPr>
          <w:spacing w:val="-3"/>
        </w:rPr>
        <w:t> </w:t>
      </w:r>
      <w:r>
        <w:rPr/>
        <w:t>importe</w:t>
      </w:r>
      <w:r>
        <w:rPr>
          <w:spacing w:val="-4"/>
        </w:rPr>
        <w:t> </w:t>
      </w:r>
      <w:r>
        <w:rPr/>
        <w:t>de</w:t>
      </w:r>
      <w:r>
        <w:rPr>
          <w:spacing w:val="-5"/>
        </w:rPr>
        <w:t> </w:t>
      </w:r>
      <w:r>
        <w:rPr/>
        <w:t>los</w:t>
      </w:r>
      <w:r>
        <w:rPr>
          <w:spacing w:val="-2"/>
        </w:rPr>
        <w:t> </w:t>
      </w:r>
      <w:r>
        <w:rPr/>
        <w:t>inventarios</w:t>
      </w:r>
      <w:r>
        <w:rPr>
          <w:spacing w:val="-2"/>
        </w:rPr>
        <w:t> </w:t>
      </w:r>
      <w:r>
        <w:rPr/>
        <w:t>reconocidos</w:t>
      </w:r>
      <w:r>
        <w:rPr>
          <w:spacing w:val="-2"/>
        </w:rPr>
        <w:t> </w:t>
      </w:r>
      <w:r>
        <w:rPr/>
        <w:t>como</w:t>
      </w:r>
      <w:r>
        <w:rPr>
          <w:spacing w:val="-3"/>
        </w:rPr>
        <w:t> </w:t>
      </w:r>
      <w:r>
        <w:rPr/>
        <w:t>un</w:t>
      </w:r>
      <w:r>
        <w:rPr>
          <w:spacing w:val="-3"/>
        </w:rPr>
        <w:t> </w:t>
      </w:r>
      <w:r>
        <w:rPr/>
        <w:t>gasto</w:t>
      </w:r>
      <w:r>
        <w:rPr>
          <w:spacing w:val="-3"/>
        </w:rPr>
        <w:t> </w:t>
      </w:r>
      <w:r>
        <w:rPr/>
        <w:t>durante</w:t>
      </w:r>
      <w:r>
        <w:rPr>
          <w:spacing w:val="-3"/>
        </w:rPr>
        <w:t> </w:t>
      </w:r>
      <w:r>
        <w:rPr/>
        <w:t>el</w:t>
      </w:r>
      <w:r>
        <w:rPr>
          <w:spacing w:val="-3"/>
        </w:rPr>
        <w:t> </w:t>
      </w:r>
      <w:r>
        <w:rPr/>
        <w:t>periodo</w:t>
      </w:r>
      <w:r>
        <w:rPr>
          <w:spacing w:val="-3"/>
        </w:rPr>
        <w:t> </w:t>
      </w:r>
      <w:r>
        <w:rPr/>
        <w:t>a julio</w:t>
      </w:r>
      <w:r>
        <w:rPr>
          <w:spacing w:val="-5"/>
        </w:rPr>
        <w:t> </w:t>
      </w:r>
      <w:r>
        <w:rPr/>
        <w:t>2026-2025</w:t>
      </w:r>
      <w:r>
        <w:rPr>
          <w:spacing w:val="-5"/>
        </w:rPr>
        <w:t> </w:t>
      </w:r>
      <w:r>
        <w:rPr/>
        <w:t>es</w:t>
      </w:r>
      <w:r>
        <w:rPr>
          <w:spacing w:val="-2"/>
        </w:rPr>
        <w:t> </w:t>
      </w:r>
      <w:r>
        <w:rPr/>
        <w:t>la </w:t>
      </w:r>
      <w:r>
        <w:rPr>
          <w:spacing w:val="-2"/>
        </w:rPr>
        <w:t>siguiente:</w:t>
      </w:r>
    </w:p>
    <w:p>
      <w:pPr>
        <w:pStyle w:val="BodyText"/>
        <w:spacing w:before="9"/>
        <w:rPr>
          <w:sz w:val="13"/>
        </w:rPr>
      </w:pPr>
    </w:p>
    <w:tbl>
      <w:tblPr>
        <w:tblW w:w="0" w:type="auto"/>
        <w:jc w:val="left"/>
        <w:tblInd w:w="17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9"/>
        <w:gridCol w:w="2560"/>
        <w:gridCol w:w="690"/>
        <w:gridCol w:w="1233"/>
        <w:gridCol w:w="1183"/>
      </w:tblGrid>
      <w:tr>
        <w:trPr>
          <w:trHeight w:val="202" w:hRule="atLeast"/>
        </w:trPr>
        <w:tc>
          <w:tcPr>
            <w:tcW w:w="1019" w:type="dxa"/>
            <w:shd w:val="clear" w:color="auto" w:fill="365F92"/>
          </w:tcPr>
          <w:p>
            <w:pPr>
              <w:pStyle w:val="TableParagraph"/>
              <w:spacing w:before="33"/>
              <w:ind w:left="15"/>
              <w:rPr>
                <w:rFonts w:ascii="Arial Narrow"/>
                <w:b/>
                <w:sz w:val="12"/>
              </w:rPr>
            </w:pPr>
            <w:r>
              <w:rPr>
                <w:rFonts w:ascii="Arial Narrow"/>
                <w:b/>
                <w:color w:val="FFFFFF"/>
                <w:spacing w:val="-2"/>
                <w:sz w:val="12"/>
              </w:rPr>
              <w:t>5.1.3.</w:t>
            </w:r>
          </w:p>
        </w:tc>
        <w:tc>
          <w:tcPr>
            <w:tcW w:w="2560" w:type="dxa"/>
            <w:shd w:val="clear" w:color="auto" w:fill="365F92"/>
          </w:tcPr>
          <w:p>
            <w:pPr>
              <w:pStyle w:val="TableParagraph"/>
              <w:spacing w:before="33"/>
              <w:ind w:left="15"/>
              <w:rPr>
                <w:rFonts w:ascii="Arial Narrow"/>
                <w:b/>
                <w:sz w:val="12"/>
              </w:rPr>
            </w:pPr>
            <w:r>
              <w:rPr>
                <w:rFonts w:ascii="Arial Narrow"/>
                <w:b/>
                <w:color w:val="FFFFFF"/>
                <w:sz w:val="12"/>
              </w:rPr>
              <w:t>Materiales</w:t>
            </w:r>
            <w:r>
              <w:rPr>
                <w:rFonts w:ascii="Arial Narrow"/>
                <w:b/>
                <w:color w:val="FFFFFF"/>
                <w:spacing w:val="-5"/>
                <w:sz w:val="12"/>
              </w:rPr>
              <w:t> </w:t>
            </w:r>
            <w:r>
              <w:rPr>
                <w:rFonts w:ascii="Arial Narrow"/>
                <w:b/>
                <w:color w:val="FFFFFF"/>
                <w:sz w:val="12"/>
              </w:rPr>
              <w:t>y</w:t>
            </w:r>
            <w:r>
              <w:rPr>
                <w:rFonts w:ascii="Arial Narrow"/>
                <w:b/>
                <w:color w:val="FFFFFF"/>
                <w:spacing w:val="-5"/>
                <w:sz w:val="12"/>
              </w:rPr>
              <w:t> </w:t>
            </w:r>
            <w:r>
              <w:rPr>
                <w:rFonts w:ascii="Arial Narrow"/>
                <w:b/>
                <w:color w:val="FFFFFF"/>
                <w:sz w:val="12"/>
              </w:rPr>
              <w:t>suministros</w:t>
            </w:r>
            <w:r>
              <w:rPr>
                <w:rFonts w:ascii="Arial Narrow"/>
                <w:b/>
                <w:color w:val="FFFFFF"/>
                <w:spacing w:val="-5"/>
                <w:sz w:val="12"/>
              </w:rPr>
              <w:t> </w:t>
            </w:r>
            <w:r>
              <w:rPr>
                <w:rFonts w:ascii="Arial Narrow"/>
                <w:b/>
                <w:color w:val="FFFFFF"/>
                <w:spacing w:val="-2"/>
                <w:sz w:val="12"/>
              </w:rPr>
              <w:t>consumidos</w:t>
            </w:r>
          </w:p>
        </w:tc>
        <w:tc>
          <w:tcPr>
            <w:tcW w:w="690" w:type="dxa"/>
            <w:shd w:val="clear" w:color="auto" w:fill="365F92"/>
          </w:tcPr>
          <w:p>
            <w:pPr>
              <w:pStyle w:val="TableParagraph"/>
              <w:spacing w:before="33"/>
              <w:ind w:left="5"/>
              <w:jc w:val="center"/>
              <w:rPr>
                <w:rFonts w:ascii="Arial Narrow"/>
                <w:sz w:val="12"/>
              </w:rPr>
            </w:pPr>
            <w:r>
              <w:rPr>
                <w:rFonts w:ascii="Arial Narrow"/>
                <w:color w:val="FFFFFF"/>
                <w:spacing w:val="-5"/>
                <w:sz w:val="12"/>
              </w:rPr>
              <w:t>61</w:t>
            </w:r>
          </w:p>
        </w:tc>
        <w:tc>
          <w:tcPr>
            <w:tcW w:w="1233" w:type="dxa"/>
            <w:shd w:val="clear" w:color="auto" w:fill="365F92"/>
          </w:tcPr>
          <w:p>
            <w:pPr>
              <w:pStyle w:val="TableParagraph"/>
              <w:spacing w:before="33"/>
              <w:ind w:left="10" w:right="4"/>
              <w:jc w:val="center"/>
              <w:rPr>
                <w:rFonts w:ascii="Arial Narrow"/>
                <w:sz w:val="12"/>
              </w:rPr>
            </w:pPr>
            <w:r>
              <w:rPr>
                <w:rFonts w:ascii="Arial Narrow"/>
                <w:color w:val="FFFFFF"/>
                <w:sz w:val="12"/>
              </w:rPr>
              <w:t>191</w:t>
            </w:r>
            <w:r>
              <w:rPr>
                <w:rFonts w:ascii="Arial Narrow"/>
                <w:color w:val="FFFFFF"/>
                <w:spacing w:val="-5"/>
                <w:sz w:val="12"/>
              </w:rPr>
              <w:t> </w:t>
            </w:r>
            <w:r>
              <w:rPr>
                <w:rFonts w:ascii="Arial Narrow"/>
                <w:color w:val="FFFFFF"/>
                <w:spacing w:val="-2"/>
                <w:sz w:val="12"/>
              </w:rPr>
              <w:t>149,88</w:t>
            </w:r>
          </w:p>
        </w:tc>
        <w:tc>
          <w:tcPr>
            <w:tcW w:w="1183" w:type="dxa"/>
            <w:shd w:val="clear" w:color="auto" w:fill="365F92"/>
          </w:tcPr>
          <w:p>
            <w:pPr>
              <w:pStyle w:val="TableParagraph"/>
              <w:spacing w:before="33"/>
              <w:ind w:left="23" w:right="15"/>
              <w:jc w:val="center"/>
              <w:rPr>
                <w:rFonts w:ascii="Arial Narrow"/>
                <w:sz w:val="12"/>
              </w:rPr>
            </w:pPr>
            <w:r>
              <w:rPr>
                <w:rFonts w:ascii="Arial Narrow"/>
                <w:color w:val="FFFFFF"/>
                <w:sz w:val="12"/>
              </w:rPr>
              <w:t>212</w:t>
            </w:r>
            <w:r>
              <w:rPr>
                <w:rFonts w:ascii="Arial Narrow"/>
                <w:color w:val="FFFFFF"/>
                <w:spacing w:val="-5"/>
                <w:sz w:val="12"/>
              </w:rPr>
              <w:t> </w:t>
            </w:r>
            <w:r>
              <w:rPr>
                <w:rFonts w:ascii="Arial Narrow"/>
                <w:color w:val="FFFFFF"/>
                <w:spacing w:val="-2"/>
                <w:sz w:val="12"/>
              </w:rPr>
              <w:t>189,14</w:t>
            </w:r>
          </w:p>
        </w:tc>
      </w:tr>
      <w:tr>
        <w:trPr>
          <w:trHeight w:val="202" w:hRule="atLeast"/>
        </w:trPr>
        <w:tc>
          <w:tcPr>
            <w:tcW w:w="1019" w:type="dxa"/>
          </w:tcPr>
          <w:p>
            <w:pPr>
              <w:pStyle w:val="TableParagraph"/>
              <w:spacing w:before="33"/>
              <w:ind w:left="15"/>
              <w:rPr>
                <w:rFonts w:ascii="Arial Narrow"/>
                <w:sz w:val="12"/>
              </w:rPr>
            </w:pPr>
            <w:r>
              <w:rPr>
                <w:rFonts w:ascii="Arial Narrow"/>
                <w:spacing w:val="-2"/>
                <w:sz w:val="12"/>
              </w:rPr>
              <w:t>5.1.3.01.</w:t>
            </w:r>
          </w:p>
        </w:tc>
        <w:tc>
          <w:tcPr>
            <w:tcW w:w="2560" w:type="dxa"/>
          </w:tcPr>
          <w:p>
            <w:pPr>
              <w:pStyle w:val="TableParagraph"/>
              <w:spacing w:before="33"/>
              <w:ind w:left="15"/>
              <w:rPr>
                <w:rFonts w:ascii="Arial Narrow" w:hAnsi="Arial Narrow"/>
                <w:sz w:val="12"/>
              </w:rPr>
            </w:pPr>
            <w:r>
              <w:rPr>
                <w:rFonts w:ascii="Arial Narrow" w:hAnsi="Arial Narrow"/>
                <w:sz w:val="12"/>
              </w:rPr>
              <w:t>Productos</w:t>
            </w:r>
            <w:r>
              <w:rPr>
                <w:rFonts w:ascii="Arial Narrow" w:hAnsi="Arial Narrow"/>
                <w:spacing w:val="-5"/>
                <w:sz w:val="12"/>
              </w:rPr>
              <w:t> </w:t>
            </w:r>
            <w:r>
              <w:rPr>
                <w:rFonts w:ascii="Arial Narrow" w:hAnsi="Arial Narrow"/>
                <w:sz w:val="12"/>
              </w:rPr>
              <w:t>químicos</w:t>
            </w:r>
            <w:r>
              <w:rPr>
                <w:rFonts w:ascii="Arial Narrow" w:hAnsi="Arial Narrow"/>
                <w:spacing w:val="-5"/>
                <w:sz w:val="12"/>
              </w:rPr>
              <w:t> </w:t>
            </w:r>
            <w:r>
              <w:rPr>
                <w:rFonts w:ascii="Arial Narrow" w:hAnsi="Arial Narrow"/>
                <w:sz w:val="12"/>
              </w:rPr>
              <w:t>y</w:t>
            </w:r>
            <w:r>
              <w:rPr>
                <w:rFonts w:ascii="Arial Narrow" w:hAnsi="Arial Narrow"/>
                <w:spacing w:val="-4"/>
                <w:sz w:val="12"/>
              </w:rPr>
              <w:t> </w:t>
            </w:r>
            <w:r>
              <w:rPr>
                <w:rFonts w:ascii="Arial Narrow" w:hAnsi="Arial Narrow"/>
                <w:spacing w:val="-2"/>
                <w:sz w:val="12"/>
              </w:rPr>
              <w:t>conexos</w:t>
            </w:r>
          </w:p>
        </w:tc>
        <w:tc>
          <w:tcPr>
            <w:tcW w:w="690" w:type="dxa"/>
          </w:tcPr>
          <w:p>
            <w:pPr>
              <w:pStyle w:val="TableParagraph"/>
              <w:rPr>
                <w:rFonts w:ascii="Times New Roman"/>
                <w:sz w:val="14"/>
              </w:rPr>
            </w:pPr>
          </w:p>
        </w:tc>
        <w:tc>
          <w:tcPr>
            <w:tcW w:w="1233" w:type="dxa"/>
          </w:tcPr>
          <w:p>
            <w:pPr>
              <w:pStyle w:val="TableParagraph"/>
              <w:spacing w:before="33"/>
              <w:ind w:left="10" w:right="1"/>
              <w:jc w:val="center"/>
              <w:rPr>
                <w:rFonts w:ascii="Arial Narrow"/>
                <w:sz w:val="12"/>
              </w:rPr>
            </w:pPr>
            <w:r>
              <w:rPr>
                <w:rFonts w:ascii="Arial Narrow"/>
                <w:sz w:val="12"/>
              </w:rPr>
              <w:t>60</w:t>
            </w:r>
            <w:r>
              <w:rPr>
                <w:rFonts w:ascii="Arial Narrow"/>
                <w:spacing w:val="-3"/>
                <w:sz w:val="12"/>
              </w:rPr>
              <w:t> </w:t>
            </w:r>
            <w:r>
              <w:rPr>
                <w:rFonts w:ascii="Arial Narrow"/>
                <w:spacing w:val="-2"/>
                <w:sz w:val="12"/>
              </w:rPr>
              <w:t>812,15</w:t>
            </w:r>
          </w:p>
        </w:tc>
        <w:tc>
          <w:tcPr>
            <w:tcW w:w="1183" w:type="dxa"/>
          </w:tcPr>
          <w:p>
            <w:pPr>
              <w:pStyle w:val="TableParagraph"/>
              <w:spacing w:before="33"/>
              <w:ind w:left="23" w:right="12"/>
              <w:jc w:val="center"/>
              <w:rPr>
                <w:rFonts w:ascii="Arial Narrow"/>
                <w:sz w:val="12"/>
              </w:rPr>
            </w:pPr>
            <w:r>
              <w:rPr>
                <w:rFonts w:ascii="Arial Narrow"/>
                <w:sz w:val="12"/>
              </w:rPr>
              <w:t>61</w:t>
            </w:r>
            <w:r>
              <w:rPr>
                <w:rFonts w:ascii="Arial Narrow"/>
                <w:spacing w:val="-3"/>
                <w:sz w:val="12"/>
              </w:rPr>
              <w:t> </w:t>
            </w:r>
            <w:r>
              <w:rPr>
                <w:rFonts w:ascii="Arial Narrow"/>
                <w:spacing w:val="-2"/>
                <w:sz w:val="12"/>
              </w:rPr>
              <w:t>702,04</w:t>
            </w:r>
          </w:p>
        </w:tc>
      </w:tr>
      <w:tr>
        <w:trPr>
          <w:trHeight w:val="202" w:hRule="atLeast"/>
        </w:trPr>
        <w:tc>
          <w:tcPr>
            <w:tcW w:w="1019" w:type="dxa"/>
          </w:tcPr>
          <w:p>
            <w:pPr>
              <w:pStyle w:val="TableParagraph"/>
              <w:spacing w:before="33"/>
              <w:ind w:left="15"/>
              <w:rPr>
                <w:rFonts w:ascii="Arial Narrow"/>
                <w:sz w:val="12"/>
              </w:rPr>
            </w:pPr>
            <w:r>
              <w:rPr>
                <w:rFonts w:ascii="Arial Narrow"/>
                <w:spacing w:val="-2"/>
                <w:sz w:val="12"/>
              </w:rPr>
              <w:t>5.1.3.02.</w:t>
            </w:r>
          </w:p>
        </w:tc>
        <w:tc>
          <w:tcPr>
            <w:tcW w:w="2560" w:type="dxa"/>
          </w:tcPr>
          <w:p>
            <w:pPr>
              <w:pStyle w:val="TableParagraph"/>
              <w:spacing w:before="33"/>
              <w:ind w:left="15"/>
              <w:rPr>
                <w:rFonts w:ascii="Arial Narrow"/>
                <w:sz w:val="12"/>
              </w:rPr>
            </w:pPr>
            <w:r>
              <w:rPr>
                <w:rFonts w:ascii="Arial Narrow"/>
                <w:sz w:val="12"/>
              </w:rPr>
              <w:t>Alimentos</w:t>
            </w:r>
            <w:r>
              <w:rPr>
                <w:rFonts w:ascii="Arial Narrow"/>
                <w:spacing w:val="-6"/>
                <w:sz w:val="12"/>
              </w:rPr>
              <w:t> </w:t>
            </w:r>
            <w:r>
              <w:rPr>
                <w:rFonts w:ascii="Arial Narrow"/>
                <w:sz w:val="12"/>
              </w:rPr>
              <w:t>y</w:t>
            </w:r>
            <w:r>
              <w:rPr>
                <w:rFonts w:ascii="Arial Narrow"/>
                <w:spacing w:val="-6"/>
                <w:sz w:val="12"/>
              </w:rPr>
              <w:t> </w:t>
            </w:r>
            <w:r>
              <w:rPr>
                <w:rFonts w:ascii="Arial Narrow"/>
                <w:sz w:val="12"/>
              </w:rPr>
              <w:t>productos</w:t>
            </w:r>
            <w:r>
              <w:rPr>
                <w:rFonts w:ascii="Arial Narrow"/>
                <w:spacing w:val="-6"/>
                <w:sz w:val="12"/>
              </w:rPr>
              <w:t> </w:t>
            </w:r>
            <w:r>
              <w:rPr>
                <w:rFonts w:ascii="Arial Narrow"/>
                <w:spacing w:val="-2"/>
                <w:sz w:val="12"/>
              </w:rPr>
              <w:t>agropecuarios</w:t>
            </w:r>
          </w:p>
        </w:tc>
        <w:tc>
          <w:tcPr>
            <w:tcW w:w="690" w:type="dxa"/>
          </w:tcPr>
          <w:p>
            <w:pPr>
              <w:pStyle w:val="TableParagraph"/>
              <w:rPr>
                <w:rFonts w:ascii="Times New Roman"/>
                <w:sz w:val="14"/>
              </w:rPr>
            </w:pPr>
          </w:p>
        </w:tc>
        <w:tc>
          <w:tcPr>
            <w:tcW w:w="1233" w:type="dxa"/>
          </w:tcPr>
          <w:p>
            <w:pPr>
              <w:pStyle w:val="TableParagraph"/>
              <w:spacing w:before="33"/>
              <w:ind w:left="10"/>
              <w:jc w:val="center"/>
              <w:rPr>
                <w:rFonts w:ascii="Arial Narrow"/>
                <w:sz w:val="12"/>
              </w:rPr>
            </w:pPr>
            <w:r>
              <w:rPr>
                <w:rFonts w:ascii="Arial Narrow"/>
                <w:spacing w:val="-2"/>
                <w:sz w:val="12"/>
              </w:rPr>
              <w:t>887,17</w:t>
            </w:r>
          </w:p>
        </w:tc>
        <w:tc>
          <w:tcPr>
            <w:tcW w:w="1183" w:type="dxa"/>
          </w:tcPr>
          <w:p>
            <w:pPr>
              <w:pStyle w:val="TableParagraph"/>
              <w:spacing w:before="33"/>
              <w:ind w:left="23" w:right="15"/>
              <w:jc w:val="center"/>
              <w:rPr>
                <w:rFonts w:ascii="Arial Narrow"/>
                <w:sz w:val="12"/>
              </w:rPr>
            </w:pPr>
            <w:r>
              <w:rPr>
                <w:rFonts w:ascii="Arial Narrow"/>
                <w:sz w:val="12"/>
              </w:rPr>
              <w:t>1</w:t>
            </w:r>
            <w:r>
              <w:rPr>
                <w:rFonts w:ascii="Arial Narrow"/>
                <w:spacing w:val="-2"/>
                <w:sz w:val="12"/>
              </w:rPr>
              <w:t> 474,10</w:t>
            </w:r>
          </w:p>
        </w:tc>
      </w:tr>
      <w:tr>
        <w:trPr>
          <w:trHeight w:val="256" w:hRule="atLeast"/>
        </w:trPr>
        <w:tc>
          <w:tcPr>
            <w:tcW w:w="1019" w:type="dxa"/>
          </w:tcPr>
          <w:p>
            <w:pPr>
              <w:pStyle w:val="TableParagraph"/>
              <w:spacing w:before="58"/>
              <w:ind w:left="15"/>
              <w:rPr>
                <w:rFonts w:ascii="Arial Narrow"/>
                <w:sz w:val="12"/>
              </w:rPr>
            </w:pPr>
            <w:r>
              <w:rPr>
                <w:rFonts w:ascii="Arial Narrow"/>
                <w:spacing w:val="-2"/>
                <w:sz w:val="12"/>
              </w:rPr>
              <w:t>5.1.3.03.</w:t>
            </w:r>
          </w:p>
        </w:tc>
        <w:tc>
          <w:tcPr>
            <w:tcW w:w="2560" w:type="dxa"/>
          </w:tcPr>
          <w:p>
            <w:pPr>
              <w:pStyle w:val="TableParagraph"/>
              <w:spacing w:line="125" w:lineRule="exact"/>
              <w:ind w:left="15"/>
              <w:rPr>
                <w:rFonts w:ascii="Arial Narrow" w:hAnsi="Arial Narrow"/>
                <w:sz w:val="12"/>
              </w:rPr>
            </w:pPr>
            <w:r>
              <w:rPr>
                <w:rFonts w:ascii="Arial Narrow" w:hAnsi="Arial Narrow"/>
                <w:sz w:val="12"/>
              </w:rPr>
              <w:t>Materiales</w:t>
            </w:r>
            <w:r>
              <w:rPr>
                <w:rFonts w:ascii="Arial Narrow" w:hAnsi="Arial Narrow"/>
                <w:spacing w:val="-4"/>
                <w:sz w:val="12"/>
              </w:rPr>
              <w:t> </w:t>
            </w:r>
            <w:r>
              <w:rPr>
                <w:rFonts w:ascii="Arial Narrow" w:hAnsi="Arial Narrow"/>
                <w:sz w:val="12"/>
              </w:rPr>
              <w:t>y</w:t>
            </w:r>
            <w:r>
              <w:rPr>
                <w:rFonts w:ascii="Arial Narrow" w:hAnsi="Arial Narrow"/>
                <w:spacing w:val="-3"/>
                <w:sz w:val="12"/>
              </w:rPr>
              <w:t> </w:t>
            </w:r>
            <w:r>
              <w:rPr>
                <w:rFonts w:ascii="Arial Narrow" w:hAnsi="Arial Narrow"/>
                <w:sz w:val="12"/>
              </w:rPr>
              <w:t>productos</w:t>
            </w:r>
            <w:r>
              <w:rPr>
                <w:rFonts w:ascii="Arial Narrow" w:hAnsi="Arial Narrow"/>
                <w:spacing w:val="-3"/>
                <w:sz w:val="12"/>
              </w:rPr>
              <w:t> </w:t>
            </w:r>
            <w:r>
              <w:rPr>
                <w:rFonts w:ascii="Arial Narrow" w:hAnsi="Arial Narrow"/>
                <w:sz w:val="12"/>
              </w:rPr>
              <w:t>de</w:t>
            </w:r>
            <w:r>
              <w:rPr>
                <w:rFonts w:ascii="Arial Narrow" w:hAnsi="Arial Narrow"/>
                <w:spacing w:val="-5"/>
                <w:sz w:val="12"/>
              </w:rPr>
              <w:t> </w:t>
            </w:r>
            <w:r>
              <w:rPr>
                <w:rFonts w:ascii="Arial Narrow" w:hAnsi="Arial Narrow"/>
                <w:sz w:val="12"/>
              </w:rPr>
              <w:t>uso</w:t>
            </w:r>
            <w:r>
              <w:rPr>
                <w:rFonts w:ascii="Arial Narrow" w:hAnsi="Arial Narrow"/>
                <w:spacing w:val="-5"/>
                <w:sz w:val="12"/>
              </w:rPr>
              <w:t> </w:t>
            </w:r>
            <w:r>
              <w:rPr>
                <w:rFonts w:ascii="Arial Narrow" w:hAnsi="Arial Narrow"/>
                <w:sz w:val="12"/>
              </w:rPr>
              <w:t>en</w:t>
            </w:r>
            <w:r>
              <w:rPr>
                <w:rFonts w:ascii="Arial Narrow" w:hAnsi="Arial Narrow"/>
                <w:spacing w:val="-5"/>
                <w:sz w:val="12"/>
              </w:rPr>
              <w:t> </w:t>
            </w:r>
            <w:r>
              <w:rPr>
                <w:rFonts w:ascii="Arial Narrow" w:hAnsi="Arial Narrow"/>
                <w:sz w:val="12"/>
              </w:rPr>
              <w:t>la</w:t>
            </w:r>
            <w:r>
              <w:rPr>
                <w:rFonts w:ascii="Arial Narrow" w:hAnsi="Arial Narrow"/>
                <w:spacing w:val="-4"/>
                <w:sz w:val="12"/>
              </w:rPr>
              <w:t> </w:t>
            </w:r>
            <w:r>
              <w:rPr>
                <w:rFonts w:ascii="Arial Narrow" w:hAnsi="Arial Narrow"/>
                <w:sz w:val="12"/>
              </w:rPr>
              <w:t>construcción</w:t>
            </w:r>
            <w:r>
              <w:rPr>
                <w:rFonts w:ascii="Arial Narrow" w:hAnsi="Arial Narrow"/>
                <w:spacing w:val="-5"/>
                <w:sz w:val="12"/>
              </w:rPr>
              <w:t> </w:t>
            </w:r>
            <w:r>
              <w:rPr>
                <w:rFonts w:ascii="Arial Narrow" w:hAnsi="Arial Narrow"/>
                <w:spacing w:val="-10"/>
                <w:sz w:val="12"/>
              </w:rPr>
              <w:t>y</w:t>
            </w:r>
          </w:p>
          <w:p>
            <w:pPr>
              <w:pStyle w:val="TableParagraph"/>
              <w:spacing w:line="99" w:lineRule="exact" w:before="12"/>
              <w:ind w:left="15"/>
              <w:rPr>
                <w:rFonts w:ascii="Arial Narrow"/>
                <w:sz w:val="12"/>
              </w:rPr>
            </w:pPr>
            <w:r>
              <w:rPr>
                <w:rFonts w:ascii="Arial Narrow"/>
                <w:spacing w:val="-2"/>
                <w:sz w:val="12"/>
              </w:rPr>
              <w:t>mantenimiento</w:t>
            </w:r>
          </w:p>
        </w:tc>
        <w:tc>
          <w:tcPr>
            <w:tcW w:w="690" w:type="dxa"/>
          </w:tcPr>
          <w:p>
            <w:pPr>
              <w:pStyle w:val="TableParagraph"/>
              <w:rPr>
                <w:rFonts w:ascii="Times New Roman"/>
                <w:sz w:val="16"/>
              </w:rPr>
            </w:pPr>
          </w:p>
        </w:tc>
        <w:tc>
          <w:tcPr>
            <w:tcW w:w="1233" w:type="dxa"/>
          </w:tcPr>
          <w:p>
            <w:pPr>
              <w:pStyle w:val="TableParagraph"/>
              <w:spacing w:before="58"/>
              <w:ind w:left="10" w:right="1"/>
              <w:jc w:val="center"/>
              <w:rPr>
                <w:rFonts w:ascii="Arial Narrow"/>
                <w:sz w:val="12"/>
              </w:rPr>
            </w:pPr>
            <w:r>
              <w:rPr>
                <w:rFonts w:ascii="Arial Narrow"/>
                <w:sz w:val="12"/>
              </w:rPr>
              <w:t>10</w:t>
            </w:r>
            <w:r>
              <w:rPr>
                <w:rFonts w:ascii="Arial Narrow"/>
                <w:spacing w:val="-3"/>
                <w:sz w:val="12"/>
              </w:rPr>
              <w:t> </w:t>
            </w:r>
            <w:r>
              <w:rPr>
                <w:rFonts w:ascii="Arial Narrow"/>
                <w:spacing w:val="-2"/>
                <w:sz w:val="12"/>
              </w:rPr>
              <w:t>575,82</w:t>
            </w:r>
          </w:p>
        </w:tc>
        <w:tc>
          <w:tcPr>
            <w:tcW w:w="1183" w:type="dxa"/>
          </w:tcPr>
          <w:p>
            <w:pPr>
              <w:pStyle w:val="TableParagraph"/>
              <w:spacing w:before="58"/>
              <w:ind w:left="23" w:right="15"/>
              <w:jc w:val="center"/>
              <w:rPr>
                <w:rFonts w:ascii="Arial Narrow"/>
                <w:sz w:val="12"/>
              </w:rPr>
            </w:pPr>
            <w:r>
              <w:rPr>
                <w:rFonts w:ascii="Arial Narrow"/>
                <w:sz w:val="12"/>
              </w:rPr>
              <w:t>9</w:t>
            </w:r>
            <w:r>
              <w:rPr>
                <w:rFonts w:ascii="Arial Narrow"/>
                <w:spacing w:val="-2"/>
                <w:sz w:val="12"/>
              </w:rPr>
              <w:t> 770,01</w:t>
            </w:r>
          </w:p>
        </w:tc>
      </w:tr>
      <w:tr>
        <w:trPr>
          <w:trHeight w:val="202" w:hRule="atLeast"/>
        </w:trPr>
        <w:tc>
          <w:tcPr>
            <w:tcW w:w="1019" w:type="dxa"/>
          </w:tcPr>
          <w:p>
            <w:pPr>
              <w:pStyle w:val="TableParagraph"/>
              <w:spacing w:before="33"/>
              <w:ind w:left="15"/>
              <w:rPr>
                <w:rFonts w:ascii="Arial Narrow"/>
                <w:sz w:val="12"/>
              </w:rPr>
            </w:pPr>
            <w:r>
              <w:rPr>
                <w:rFonts w:ascii="Arial Narrow"/>
                <w:spacing w:val="-2"/>
                <w:sz w:val="12"/>
              </w:rPr>
              <w:t>5.1.3.04.</w:t>
            </w:r>
          </w:p>
        </w:tc>
        <w:tc>
          <w:tcPr>
            <w:tcW w:w="2560" w:type="dxa"/>
          </w:tcPr>
          <w:p>
            <w:pPr>
              <w:pStyle w:val="TableParagraph"/>
              <w:spacing w:before="33"/>
              <w:ind w:left="15"/>
              <w:rPr>
                <w:rFonts w:ascii="Arial Narrow"/>
                <w:sz w:val="12"/>
              </w:rPr>
            </w:pPr>
            <w:r>
              <w:rPr>
                <w:rFonts w:ascii="Arial Narrow"/>
                <w:sz w:val="12"/>
              </w:rPr>
              <w:t>Herramientas,</w:t>
            </w:r>
            <w:r>
              <w:rPr>
                <w:rFonts w:ascii="Arial Narrow"/>
                <w:spacing w:val="-6"/>
                <w:sz w:val="12"/>
              </w:rPr>
              <w:t> </w:t>
            </w:r>
            <w:r>
              <w:rPr>
                <w:rFonts w:ascii="Arial Narrow"/>
                <w:sz w:val="12"/>
              </w:rPr>
              <w:t>repuestos</w:t>
            </w:r>
            <w:r>
              <w:rPr>
                <w:rFonts w:ascii="Arial Narrow"/>
                <w:spacing w:val="-6"/>
                <w:sz w:val="12"/>
              </w:rPr>
              <w:t> </w:t>
            </w:r>
            <w:r>
              <w:rPr>
                <w:rFonts w:ascii="Arial Narrow"/>
                <w:sz w:val="12"/>
              </w:rPr>
              <w:t>y</w:t>
            </w:r>
            <w:r>
              <w:rPr>
                <w:rFonts w:ascii="Arial Narrow"/>
                <w:spacing w:val="-6"/>
                <w:sz w:val="12"/>
              </w:rPr>
              <w:t> </w:t>
            </w:r>
            <w:r>
              <w:rPr>
                <w:rFonts w:ascii="Arial Narrow"/>
                <w:spacing w:val="-2"/>
                <w:sz w:val="12"/>
              </w:rPr>
              <w:t>accesorios</w:t>
            </w:r>
          </w:p>
        </w:tc>
        <w:tc>
          <w:tcPr>
            <w:tcW w:w="690" w:type="dxa"/>
          </w:tcPr>
          <w:p>
            <w:pPr>
              <w:pStyle w:val="TableParagraph"/>
              <w:rPr>
                <w:rFonts w:ascii="Times New Roman"/>
                <w:sz w:val="14"/>
              </w:rPr>
            </w:pPr>
          </w:p>
        </w:tc>
        <w:tc>
          <w:tcPr>
            <w:tcW w:w="1233" w:type="dxa"/>
          </w:tcPr>
          <w:p>
            <w:pPr>
              <w:pStyle w:val="TableParagraph"/>
              <w:spacing w:before="33"/>
              <w:ind w:left="10" w:right="4"/>
              <w:jc w:val="center"/>
              <w:rPr>
                <w:rFonts w:ascii="Arial Narrow"/>
                <w:sz w:val="12"/>
              </w:rPr>
            </w:pPr>
            <w:r>
              <w:rPr>
                <w:rFonts w:ascii="Arial Narrow"/>
                <w:sz w:val="12"/>
              </w:rPr>
              <w:t>8</w:t>
            </w:r>
            <w:r>
              <w:rPr>
                <w:rFonts w:ascii="Arial Narrow"/>
                <w:spacing w:val="-2"/>
                <w:sz w:val="12"/>
              </w:rPr>
              <w:t> 937,76</w:t>
            </w:r>
          </w:p>
        </w:tc>
        <w:tc>
          <w:tcPr>
            <w:tcW w:w="1183" w:type="dxa"/>
          </w:tcPr>
          <w:p>
            <w:pPr>
              <w:pStyle w:val="TableParagraph"/>
              <w:spacing w:before="33"/>
              <w:ind w:left="23" w:right="12"/>
              <w:jc w:val="center"/>
              <w:rPr>
                <w:rFonts w:ascii="Arial Narrow"/>
                <w:sz w:val="12"/>
              </w:rPr>
            </w:pPr>
            <w:r>
              <w:rPr>
                <w:rFonts w:ascii="Arial Narrow"/>
                <w:sz w:val="12"/>
              </w:rPr>
              <w:t>11</w:t>
            </w:r>
            <w:r>
              <w:rPr>
                <w:rFonts w:ascii="Arial Narrow"/>
                <w:spacing w:val="-3"/>
                <w:sz w:val="12"/>
              </w:rPr>
              <w:t> </w:t>
            </w:r>
            <w:r>
              <w:rPr>
                <w:rFonts w:ascii="Arial Narrow"/>
                <w:spacing w:val="-2"/>
                <w:sz w:val="12"/>
              </w:rPr>
              <w:t>813,60</w:t>
            </w:r>
          </w:p>
        </w:tc>
      </w:tr>
      <w:tr>
        <w:trPr>
          <w:trHeight w:val="202" w:hRule="atLeast"/>
        </w:trPr>
        <w:tc>
          <w:tcPr>
            <w:tcW w:w="1019" w:type="dxa"/>
          </w:tcPr>
          <w:p>
            <w:pPr>
              <w:pStyle w:val="TableParagraph"/>
              <w:spacing w:before="33"/>
              <w:ind w:left="15"/>
              <w:rPr>
                <w:rFonts w:ascii="Arial Narrow"/>
                <w:sz w:val="12"/>
              </w:rPr>
            </w:pPr>
            <w:r>
              <w:rPr>
                <w:rFonts w:ascii="Arial Narrow"/>
                <w:spacing w:val="-2"/>
                <w:sz w:val="12"/>
              </w:rPr>
              <w:t>5.1.3.99.</w:t>
            </w:r>
          </w:p>
        </w:tc>
        <w:tc>
          <w:tcPr>
            <w:tcW w:w="2560" w:type="dxa"/>
          </w:tcPr>
          <w:p>
            <w:pPr>
              <w:pStyle w:val="TableParagraph"/>
              <w:spacing w:before="33"/>
              <w:ind w:left="15"/>
              <w:rPr>
                <w:rFonts w:ascii="Arial Narrow" w:hAnsi="Arial Narrow"/>
                <w:sz w:val="12"/>
              </w:rPr>
            </w:pPr>
            <w:r>
              <w:rPr>
                <w:rFonts w:ascii="Arial Narrow" w:hAnsi="Arial Narrow"/>
                <w:sz w:val="12"/>
              </w:rPr>
              <w:t>Útiles,</w:t>
            </w:r>
            <w:r>
              <w:rPr>
                <w:rFonts w:ascii="Arial Narrow" w:hAnsi="Arial Narrow"/>
                <w:spacing w:val="-5"/>
                <w:sz w:val="12"/>
              </w:rPr>
              <w:t> </w:t>
            </w:r>
            <w:r>
              <w:rPr>
                <w:rFonts w:ascii="Arial Narrow" w:hAnsi="Arial Narrow"/>
                <w:sz w:val="12"/>
              </w:rPr>
              <w:t>materiales</w:t>
            </w:r>
            <w:r>
              <w:rPr>
                <w:rFonts w:ascii="Arial Narrow" w:hAnsi="Arial Narrow"/>
                <w:spacing w:val="-4"/>
                <w:sz w:val="12"/>
              </w:rPr>
              <w:t> </w:t>
            </w:r>
            <w:r>
              <w:rPr>
                <w:rFonts w:ascii="Arial Narrow" w:hAnsi="Arial Narrow"/>
                <w:sz w:val="12"/>
              </w:rPr>
              <w:t>y</w:t>
            </w:r>
            <w:r>
              <w:rPr>
                <w:rFonts w:ascii="Arial Narrow" w:hAnsi="Arial Narrow"/>
                <w:spacing w:val="-4"/>
                <w:sz w:val="12"/>
              </w:rPr>
              <w:t> </w:t>
            </w:r>
            <w:r>
              <w:rPr>
                <w:rFonts w:ascii="Arial Narrow" w:hAnsi="Arial Narrow"/>
                <w:sz w:val="12"/>
              </w:rPr>
              <w:t>suministros</w:t>
            </w:r>
            <w:r>
              <w:rPr>
                <w:rFonts w:ascii="Arial Narrow" w:hAnsi="Arial Narrow"/>
                <w:spacing w:val="-4"/>
                <w:sz w:val="12"/>
              </w:rPr>
              <w:t> </w:t>
            </w:r>
            <w:r>
              <w:rPr>
                <w:rFonts w:ascii="Arial Narrow" w:hAnsi="Arial Narrow"/>
                <w:spacing w:val="-2"/>
                <w:sz w:val="12"/>
              </w:rPr>
              <w:t>diversos</w:t>
            </w:r>
          </w:p>
        </w:tc>
        <w:tc>
          <w:tcPr>
            <w:tcW w:w="690" w:type="dxa"/>
          </w:tcPr>
          <w:p>
            <w:pPr>
              <w:pStyle w:val="TableParagraph"/>
              <w:rPr>
                <w:rFonts w:ascii="Times New Roman"/>
                <w:sz w:val="14"/>
              </w:rPr>
            </w:pPr>
          </w:p>
        </w:tc>
        <w:tc>
          <w:tcPr>
            <w:tcW w:w="1233" w:type="dxa"/>
          </w:tcPr>
          <w:p>
            <w:pPr>
              <w:pStyle w:val="TableParagraph"/>
              <w:spacing w:before="33"/>
              <w:ind w:left="10" w:right="4"/>
              <w:jc w:val="center"/>
              <w:rPr>
                <w:rFonts w:ascii="Arial Narrow"/>
                <w:sz w:val="12"/>
              </w:rPr>
            </w:pPr>
            <w:r>
              <w:rPr>
                <w:rFonts w:ascii="Arial Narrow"/>
                <w:sz w:val="12"/>
              </w:rPr>
              <w:t>109</w:t>
            </w:r>
            <w:r>
              <w:rPr>
                <w:rFonts w:ascii="Arial Narrow"/>
                <w:spacing w:val="-5"/>
                <w:sz w:val="12"/>
              </w:rPr>
              <w:t> </w:t>
            </w:r>
            <w:r>
              <w:rPr>
                <w:rFonts w:ascii="Arial Narrow"/>
                <w:spacing w:val="-2"/>
                <w:sz w:val="12"/>
              </w:rPr>
              <w:t>936,99</w:t>
            </w:r>
          </w:p>
        </w:tc>
        <w:tc>
          <w:tcPr>
            <w:tcW w:w="1183" w:type="dxa"/>
          </w:tcPr>
          <w:p>
            <w:pPr>
              <w:pStyle w:val="TableParagraph"/>
              <w:spacing w:before="33"/>
              <w:ind w:left="23" w:right="15"/>
              <w:jc w:val="center"/>
              <w:rPr>
                <w:rFonts w:ascii="Arial Narrow"/>
                <w:sz w:val="12"/>
              </w:rPr>
            </w:pPr>
            <w:r>
              <w:rPr>
                <w:rFonts w:ascii="Arial Narrow"/>
                <w:sz w:val="12"/>
              </w:rPr>
              <w:t>127</w:t>
            </w:r>
            <w:r>
              <w:rPr>
                <w:rFonts w:ascii="Arial Narrow"/>
                <w:spacing w:val="-5"/>
                <w:sz w:val="12"/>
              </w:rPr>
              <w:t> </w:t>
            </w:r>
            <w:r>
              <w:rPr>
                <w:rFonts w:ascii="Arial Narrow"/>
                <w:spacing w:val="-2"/>
                <w:sz w:val="12"/>
              </w:rPr>
              <w:t>429,39</w:t>
            </w:r>
          </w:p>
        </w:tc>
      </w:tr>
    </w:tbl>
    <w:p>
      <w:pPr>
        <w:pStyle w:val="BodyText"/>
        <w:spacing w:before="204"/>
      </w:pPr>
    </w:p>
    <w:p>
      <w:pPr>
        <w:pStyle w:val="BodyText"/>
        <w:spacing w:after="54"/>
        <w:ind w:left="730"/>
      </w:pPr>
      <w:r>
        <w:rPr/>
        <w:t>El</w:t>
      </w:r>
      <w:r>
        <w:rPr>
          <w:spacing w:val="-6"/>
        </w:rPr>
        <w:t> </w:t>
      </w:r>
      <w:r>
        <w:rPr/>
        <w:t>costo</w:t>
      </w:r>
      <w:r>
        <w:rPr>
          <w:spacing w:val="-3"/>
        </w:rPr>
        <w:t> </w:t>
      </w:r>
      <w:r>
        <w:rPr/>
        <w:t>de</w:t>
      </w:r>
      <w:r>
        <w:rPr>
          <w:spacing w:val="-4"/>
        </w:rPr>
        <w:t> </w:t>
      </w:r>
      <w:r>
        <w:rPr/>
        <w:t>la</w:t>
      </w:r>
      <w:r>
        <w:rPr>
          <w:spacing w:val="-5"/>
        </w:rPr>
        <w:t> </w:t>
      </w:r>
      <w:r>
        <w:rPr/>
        <w:t>mercadería</w:t>
      </w:r>
      <w:r>
        <w:rPr>
          <w:spacing w:val="-4"/>
        </w:rPr>
        <w:t> </w:t>
      </w:r>
      <w:r>
        <w:rPr/>
        <w:t>vendida</w:t>
      </w:r>
      <w:r>
        <w:rPr>
          <w:spacing w:val="-4"/>
        </w:rPr>
        <w:t> </w:t>
      </w:r>
      <w:r>
        <w:rPr/>
        <w:t>refleja</w:t>
      </w:r>
      <w:r>
        <w:rPr>
          <w:spacing w:val="-4"/>
        </w:rPr>
        <w:t> </w:t>
      </w:r>
      <w:r>
        <w:rPr/>
        <w:t>un</w:t>
      </w:r>
      <w:r>
        <w:rPr>
          <w:spacing w:val="-3"/>
        </w:rPr>
        <w:t> </w:t>
      </w:r>
      <w:r>
        <w:rPr/>
        <w:t>aumento</w:t>
      </w:r>
      <w:r>
        <w:rPr>
          <w:spacing w:val="-2"/>
        </w:rPr>
        <w:t> </w:t>
      </w:r>
      <w:r>
        <w:rPr/>
        <w:t>del</w:t>
      </w:r>
      <w:r>
        <w:rPr>
          <w:spacing w:val="-2"/>
        </w:rPr>
        <w:t> </w:t>
      </w:r>
      <w:r>
        <w:rPr/>
        <w:t>1,90%</w:t>
      </w:r>
      <w:r>
        <w:rPr>
          <w:spacing w:val="-3"/>
        </w:rPr>
        <w:t> </w:t>
      </w:r>
      <w:r>
        <w:rPr/>
        <w:t>con</w:t>
      </w:r>
      <w:r>
        <w:rPr>
          <w:spacing w:val="-3"/>
        </w:rPr>
        <w:t> </w:t>
      </w:r>
      <w:r>
        <w:rPr/>
        <w:t>respecto</w:t>
      </w:r>
      <w:r>
        <w:rPr>
          <w:spacing w:val="-3"/>
        </w:rPr>
        <w:t> </w:t>
      </w:r>
      <w:r>
        <w:rPr/>
        <w:t>del</w:t>
      </w:r>
      <w:r>
        <w:rPr>
          <w:spacing w:val="-3"/>
        </w:rPr>
        <w:t> </w:t>
      </w:r>
      <w:r>
        <w:rPr/>
        <w:t>año</w:t>
      </w:r>
      <w:r>
        <w:rPr>
          <w:spacing w:val="-3"/>
        </w:rPr>
        <w:t> </w:t>
      </w:r>
      <w:r>
        <w:rPr>
          <w:spacing w:val="-2"/>
        </w:rPr>
        <w:t>anterior.</w:t>
      </w:r>
    </w:p>
    <w:tbl>
      <w:tblPr>
        <w:tblW w:w="0" w:type="auto"/>
        <w:jc w:val="left"/>
        <w:tblInd w:w="17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33"/>
        <w:gridCol w:w="2596"/>
        <w:gridCol w:w="700"/>
        <w:gridCol w:w="1251"/>
        <w:gridCol w:w="1200"/>
      </w:tblGrid>
      <w:tr>
        <w:trPr>
          <w:trHeight w:val="205" w:hRule="atLeast"/>
        </w:trPr>
        <w:tc>
          <w:tcPr>
            <w:tcW w:w="1033" w:type="dxa"/>
            <w:shd w:val="clear" w:color="auto" w:fill="365F92"/>
          </w:tcPr>
          <w:p>
            <w:pPr>
              <w:pStyle w:val="TableParagraph"/>
              <w:spacing w:before="36"/>
              <w:ind w:left="15"/>
              <w:rPr>
                <w:rFonts w:ascii="Arial Narrow"/>
                <w:b/>
                <w:sz w:val="12"/>
              </w:rPr>
            </w:pPr>
            <w:r>
              <w:rPr>
                <w:rFonts w:ascii="Arial Narrow"/>
                <w:b/>
                <w:color w:val="FFFFFF"/>
                <w:spacing w:val="-2"/>
                <w:sz w:val="12"/>
              </w:rPr>
              <w:t>5.3.1.</w:t>
            </w:r>
          </w:p>
        </w:tc>
        <w:tc>
          <w:tcPr>
            <w:tcW w:w="2596" w:type="dxa"/>
            <w:tcBorders>
              <w:right w:val="single" w:sz="4" w:space="0" w:color="000000"/>
            </w:tcBorders>
            <w:shd w:val="clear" w:color="auto" w:fill="365F92"/>
          </w:tcPr>
          <w:p>
            <w:pPr>
              <w:pStyle w:val="TableParagraph"/>
              <w:spacing w:before="36"/>
              <w:ind w:left="16"/>
              <w:rPr>
                <w:rFonts w:ascii="Arial Narrow"/>
                <w:b/>
                <w:sz w:val="12"/>
              </w:rPr>
            </w:pPr>
            <w:r>
              <w:rPr>
                <w:rFonts w:ascii="Arial Narrow"/>
                <w:b/>
                <w:color w:val="FFFFFF"/>
                <w:sz w:val="12"/>
              </w:rPr>
              <w:t>Costo</w:t>
            </w:r>
            <w:r>
              <w:rPr>
                <w:rFonts w:ascii="Arial Narrow"/>
                <w:b/>
                <w:color w:val="FFFFFF"/>
                <w:spacing w:val="2"/>
                <w:sz w:val="12"/>
              </w:rPr>
              <w:t> </w:t>
            </w:r>
            <w:r>
              <w:rPr>
                <w:rFonts w:ascii="Arial Narrow"/>
                <w:b/>
                <w:color w:val="FFFFFF"/>
                <w:sz w:val="12"/>
              </w:rPr>
              <w:t>de</w:t>
            </w:r>
            <w:r>
              <w:rPr>
                <w:rFonts w:ascii="Arial Narrow"/>
                <w:b/>
                <w:color w:val="FFFFFF"/>
                <w:spacing w:val="1"/>
                <w:sz w:val="12"/>
              </w:rPr>
              <w:t> </w:t>
            </w:r>
            <w:r>
              <w:rPr>
                <w:rFonts w:ascii="Arial Narrow"/>
                <w:b/>
                <w:color w:val="FFFFFF"/>
                <w:sz w:val="12"/>
              </w:rPr>
              <w:t>ventas</w:t>
            </w:r>
            <w:r>
              <w:rPr>
                <w:rFonts w:ascii="Arial Narrow"/>
                <w:b/>
                <w:color w:val="FFFFFF"/>
                <w:spacing w:val="1"/>
                <w:sz w:val="12"/>
              </w:rPr>
              <w:t> </w:t>
            </w:r>
            <w:r>
              <w:rPr>
                <w:rFonts w:ascii="Arial Narrow"/>
                <w:b/>
                <w:color w:val="FFFFFF"/>
                <w:sz w:val="12"/>
              </w:rPr>
              <w:t>de</w:t>
            </w:r>
            <w:r>
              <w:rPr>
                <w:rFonts w:ascii="Arial Narrow"/>
                <w:b/>
                <w:color w:val="FFFFFF"/>
                <w:spacing w:val="1"/>
                <w:sz w:val="12"/>
              </w:rPr>
              <w:t> </w:t>
            </w:r>
            <w:r>
              <w:rPr>
                <w:rFonts w:ascii="Arial Narrow"/>
                <w:b/>
                <w:color w:val="FFFFFF"/>
                <w:sz w:val="12"/>
              </w:rPr>
              <w:t>bienes</w:t>
            </w:r>
            <w:r>
              <w:rPr>
                <w:rFonts w:ascii="Arial Narrow"/>
                <w:b/>
                <w:color w:val="FFFFFF"/>
                <w:spacing w:val="1"/>
                <w:sz w:val="12"/>
              </w:rPr>
              <w:t> </w:t>
            </w:r>
            <w:r>
              <w:rPr>
                <w:rFonts w:ascii="Arial Narrow"/>
                <w:b/>
                <w:color w:val="FFFFFF"/>
                <w:sz w:val="12"/>
              </w:rPr>
              <w:t>y </w:t>
            </w:r>
            <w:r>
              <w:rPr>
                <w:rFonts w:ascii="Arial Narrow"/>
                <w:b/>
                <w:color w:val="FFFFFF"/>
                <w:spacing w:val="-2"/>
                <w:sz w:val="12"/>
              </w:rPr>
              <w:t>servicios</w:t>
            </w:r>
          </w:p>
        </w:tc>
        <w:tc>
          <w:tcPr>
            <w:tcW w:w="700" w:type="dxa"/>
            <w:tcBorders>
              <w:left w:val="single" w:sz="4" w:space="0" w:color="000000"/>
            </w:tcBorders>
            <w:shd w:val="clear" w:color="auto" w:fill="365F92"/>
          </w:tcPr>
          <w:p>
            <w:pPr>
              <w:pStyle w:val="TableParagraph"/>
              <w:spacing w:before="36"/>
              <w:ind w:left="2"/>
              <w:jc w:val="center"/>
              <w:rPr>
                <w:rFonts w:ascii="Arial Narrow"/>
                <w:sz w:val="12"/>
              </w:rPr>
            </w:pPr>
            <w:r>
              <w:rPr>
                <w:rFonts w:ascii="Arial Narrow"/>
                <w:color w:val="FFFFFF"/>
                <w:spacing w:val="-5"/>
                <w:sz w:val="12"/>
              </w:rPr>
              <w:t>69</w:t>
            </w:r>
          </w:p>
        </w:tc>
        <w:tc>
          <w:tcPr>
            <w:tcW w:w="1251" w:type="dxa"/>
            <w:shd w:val="clear" w:color="auto" w:fill="365F92"/>
          </w:tcPr>
          <w:p>
            <w:pPr>
              <w:pStyle w:val="TableParagraph"/>
              <w:spacing w:before="36"/>
              <w:ind w:left="338"/>
              <w:rPr>
                <w:rFonts w:ascii="Arial Narrow"/>
                <w:sz w:val="12"/>
              </w:rPr>
            </w:pPr>
            <w:r>
              <w:rPr>
                <w:rFonts w:ascii="Arial Narrow"/>
                <w:color w:val="FFFFFF"/>
                <w:sz w:val="12"/>
              </w:rPr>
              <w:t>7 251 </w:t>
            </w:r>
            <w:r>
              <w:rPr>
                <w:rFonts w:ascii="Arial Narrow"/>
                <w:color w:val="FFFFFF"/>
                <w:spacing w:val="-2"/>
                <w:sz w:val="12"/>
              </w:rPr>
              <w:t>705,51</w:t>
            </w:r>
          </w:p>
        </w:tc>
        <w:tc>
          <w:tcPr>
            <w:tcW w:w="1200" w:type="dxa"/>
            <w:shd w:val="clear" w:color="auto" w:fill="365F92"/>
          </w:tcPr>
          <w:p>
            <w:pPr>
              <w:pStyle w:val="TableParagraph"/>
              <w:spacing w:before="36"/>
              <w:ind w:left="313"/>
              <w:rPr>
                <w:rFonts w:ascii="Arial Narrow"/>
                <w:sz w:val="12"/>
              </w:rPr>
            </w:pPr>
            <w:r>
              <w:rPr>
                <w:rFonts w:ascii="Arial Narrow"/>
                <w:color w:val="FFFFFF"/>
                <w:sz w:val="12"/>
              </w:rPr>
              <w:t>7 276 </w:t>
            </w:r>
            <w:r>
              <w:rPr>
                <w:rFonts w:ascii="Arial Narrow"/>
                <w:color w:val="FFFFFF"/>
                <w:spacing w:val="-2"/>
                <w:sz w:val="12"/>
              </w:rPr>
              <w:t>788,17</w:t>
            </w:r>
          </w:p>
        </w:tc>
      </w:tr>
    </w:tbl>
    <w:p>
      <w:pPr>
        <w:pStyle w:val="BodyText"/>
        <w:spacing w:line="259" w:lineRule="auto" w:before="182"/>
        <w:ind w:left="730" w:right="860"/>
      </w:pPr>
      <w:r>
        <w:rPr/>
        <w:t>No</w:t>
      </w:r>
      <w:r>
        <w:rPr>
          <w:spacing w:val="28"/>
        </w:rPr>
        <w:t> </w:t>
      </w:r>
      <w:r>
        <w:rPr/>
        <w:t>hay</w:t>
      </w:r>
      <w:r>
        <w:rPr>
          <w:spacing w:val="27"/>
        </w:rPr>
        <w:t> </w:t>
      </w:r>
      <w:r>
        <w:rPr/>
        <w:t>reversiones</w:t>
      </w:r>
      <w:r>
        <w:rPr>
          <w:spacing w:val="29"/>
        </w:rPr>
        <w:t> </w:t>
      </w:r>
      <w:r>
        <w:rPr/>
        <w:t>por</w:t>
      </w:r>
      <w:r>
        <w:rPr>
          <w:spacing w:val="28"/>
        </w:rPr>
        <w:t> </w:t>
      </w:r>
      <w:r>
        <w:rPr/>
        <w:t>rebajas</w:t>
      </w:r>
      <w:r>
        <w:rPr>
          <w:spacing w:val="29"/>
        </w:rPr>
        <w:t> </w:t>
      </w:r>
      <w:r>
        <w:rPr/>
        <w:t>de</w:t>
      </w:r>
      <w:r>
        <w:rPr>
          <w:spacing w:val="26"/>
        </w:rPr>
        <w:t> </w:t>
      </w:r>
      <w:r>
        <w:rPr/>
        <w:t>valor</w:t>
      </w:r>
      <w:r>
        <w:rPr>
          <w:spacing w:val="28"/>
        </w:rPr>
        <w:t> </w:t>
      </w:r>
      <w:r>
        <w:rPr/>
        <w:t>reconocidas</w:t>
      </w:r>
      <w:r>
        <w:rPr>
          <w:spacing w:val="26"/>
        </w:rPr>
        <w:t> </w:t>
      </w:r>
      <w:r>
        <w:rPr/>
        <w:t>en</w:t>
      </w:r>
      <w:r>
        <w:rPr>
          <w:spacing w:val="28"/>
        </w:rPr>
        <w:t> </w:t>
      </w:r>
      <w:r>
        <w:rPr/>
        <w:t>el</w:t>
      </w:r>
      <w:r>
        <w:rPr>
          <w:spacing w:val="27"/>
        </w:rPr>
        <w:t> </w:t>
      </w:r>
      <w:r>
        <w:rPr/>
        <w:t>estado</w:t>
      </w:r>
      <w:r>
        <w:rPr>
          <w:spacing w:val="28"/>
        </w:rPr>
        <w:t> </w:t>
      </w:r>
      <w:r>
        <w:rPr/>
        <w:t>de</w:t>
      </w:r>
      <w:r>
        <w:rPr>
          <w:spacing w:val="26"/>
        </w:rPr>
        <w:t> </w:t>
      </w:r>
      <w:r>
        <w:rPr/>
        <w:t>rendimiento</w:t>
      </w:r>
      <w:r>
        <w:rPr>
          <w:spacing w:val="28"/>
        </w:rPr>
        <w:t> </w:t>
      </w:r>
      <w:r>
        <w:rPr/>
        <w:t>financieros</w:t>
      </w:r>
      <w:r>
        <w:rPr>
          <w:spacing w:val="29"/>
        </w:rPr>
        <w:t> </w:t>
      </w:r>
      <w:r>
        <w:rPr/>
        <w:t>del </w:t>
      </w:r>
      <w:r>
        <w:rPr>
          <w:spacing w:val="-2"/>
        </w:rPr>
        <w:t>periodo.</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0816">
                <wp:simplePos x="0" y="0"/>
                <wp:positionH relativeFrom="page">
                  <wp:posOffset>9525</wp:posOffset>
                </wp:positionH>
                <wp:positionV relativeFrom="page">
                  <wp:posOffset>297208</wp:posOffset>
                </wp:positionV>
                <wp:extent cx="7762875" cy="9748520"/>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7762875" cy="9748520"/>
                          <a:chExt cx="7762875" cy="9748520"/>
                        </a:xfrm>
                      </wpg:grpSpPr>
                      <pic:pic>
                        <pic:nvPicPr>
                          <pic:cNvPr id="285" name="Image 285"/>
                          <pic:cNvPicPr/>
                        </pic:nvPicPr>
                        <pic:blipFill>
                          <a:blip r:embed="rId5" cstate="print"/>
                          <a:stretch>
                            <a:fillRect/>
                          </a:stretch>
                        </pic:blipFill>
                        <pic:spPr>
                          <a:xfrm>
                            <a:off x="0" y="0"/>
                            <a:ext cx="7762874" cy="9748489"/>
                          </a:xfrm>
                          <a:prstGeom prst="rect">
                            <a:avLst/>
                          </a:prstGeom>
                        </pic:spPr>
                      </pic:pic>
                      <wps:wsp>
                        <wps:cNvPr id="286" name="Graphic 286"/>
                        <wps:cNvSpPr/>
                        <wps:spPr>
                          <a:xfrm>
                            <a:off x="1053007" y="990837"/>
                            <a:ext cx="5736590" cy="2832100"/>
                          </a:xfrm>
                          <a:custGeom>
                            <a:avLst/>
                            <a:gdLst/>
                            <a:ahLst/>
                            <a:cxnLst/>
                            <a:rect l="l" t="t" r="r" b="b"/>
                            <a:pathLst>
                              <a:path w="5736590" h="2832100">
                                <a:moveTo>
                                  <a:pt x="21336" y="132702"/>
                                </a:moveTo>
                                <a:lnTo>
                                  <a:pt x="15240" y="132702"/>
                                </a:lnTo>
                                <a:lnTo>
                                  <a:pt x="15240" y="2825864"/>
                                </a:lnTo>
                                <a:lnTo>
                                  <a:pt x="21336" y="2825864"/>
                                </a:lnTo>
                                <a:lnTo>
                                  <a:pt x="21336" y="132702"/>
                                </a:lnTo>
                                <a:close/>
                              </a:path>
                              <a:path w="5736590" h="2832100">
                                <a:moveTo>
                                  <a:pt x="5649214" y="0"/>
                                </a:moveTo>
                                <a:lnTo>
                                  <a:pt x="0" y="0"/>
                                </a:lnTo>
                                <a:lnTo>
                                  <a:pt x="0" y="9131"/>
                                </a:lnTo>
                                <a:lnTo>
                                  <a:pt x="5649214" y="9131"/>
                                </a:lnTo>
                                <a:lnTo>
                                  <a:pt x="5649214" y="0"/>
                                </a:lnTo>
                                <a:close/>
                              </a:path>
                              <a:path w="5736590" h="2832100">
                                <a:moveTo>
                                  <a:pt x="5736018" y="2825877"/>
                                </a:moveTo>
                                <a:lnTo>
                                  <a:pt x="5729986" y="2825877"/>
                                </a:lnTo>
                                <a:lnTo>
                                  <a:pt x="21336" y="2825877"/>
                                </a:lnTo>
                                <a:lnTo>
                                  <a:pt x="15240" y="2825877"/>
                                </a:lnTo>
                                <a:lnTo>
                                  <a:pt x="15240" y="2831960"/>
                                </a:lnTo>
                                <a:lnTo>
                                  <a:pt x="21336" y="2831960"/>
                                </a:lnTo>
                                <a:lnTo>
                                  <a:pt x="5729935" y="2831960"/>
                                </a:lnTo>
                                <a:lnTo>
                                  <a:pt x="5736018" y="2831960"/>
                                </a:lnTo>
                                <a:lnTo>
                                  <a:pt x="5736018" y="2825877"/>
                                </a:lnTo>
                                <a:close/>
                              </a:path>
                              <a:path w="5736590" h="2832100">
                                <a:moveTo>
                                  <a:pt x="5736018" y="132702"/>
                                </a:moveTo>
                                <a:lnTo>
                                  <a:pt x="5729935" y="132702"/>
                                </a:lnTo>
                                <a:lnTo>
                                  <a:pt x="5729935" y="2825864"/>
                                </a:lnTo>
                                <a:lnTo>
                                  <a:pt x="5736018" y="2825864"/>
                                </a:lnTo>
                                <a:lnTo>
                                  <a:pt x="5736018" y="132702"/>
                                </a:lnTo>
                                <a:close/>
                              </a:path>
                              <a:path w="5736590" h="283210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5664" id="docshapegroup270" coordorigin="15,468" coordsize="12225,15352">
                <v:shape style="position:absolute;left:15;top:468;width:12225;height:15352" type="#_x0000_t75" id="docshape271" stroked="false">
                  <v:imagedata r:id="rId5" o:title=""/>
                </v:shape>
                <v:shape style="position:absolute;left:1673;top:2028;width:9034;height:4460" id="docshape272" coordorigin="1673,2028" coordsize="9034,4460" path="m1707,2237l1697,2237,1697,6479,1707,6479,1707,2237xm10570,2028l1673,2028,1673,2043,10570,2043,10570,2028xm10706,6479l10697,6479,10697,6479,1707,6479,1697,6479,1697,6488,1707,6488,10697,6488,10697,6488,10706,6488,10706,6479xm10706,2237l10697,2237,10697,6479,10706,6479,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62</w:t>
      </w:r>
    </w:p>
    <w:p>
      <w:pPr>
        <w:pStyle w:val="BodyText"/>
        <w:spacing w:before="227"/>
        <w:ind w:left="730" w:right="974"/>
        <w:jc w:val="both"/>
      </w:pPr>
      <w:r>
        <w:rPr/>
        <w:t>El</w:t>
      </w:r>
      <w:r>
        <w:rPr>
          <w:spacing w:val="-4"/>
        </w:rPr>
        <w:t> </w:t>
      </w:r>
      <w:r>
        <w:rPr/>
        <w:t>costo</w:t>
      </w:r>
      <w:r>
        <w:rPr>
          <w:spacing w:val="-3"/>
        </w:rPr>
        <w:t> </w:t>
      </w:r>
      <w:r>
        <w:rPr/>
        <w:t>de</w:t>
      </w:r>
      <w:r>
        <w:rPr>
          <w:spacing w:val="-5"/>
        </w:rPr>
        <w:t> </w:t>
      </w:r>
      <w:r>
        <w:rPr/>
        <w:t>los</w:t>
      </w:r>
      <w:r>
        <w:rPr>
          <w:spacing w:val="-3"/>
        </w:rPr>
        <w:t> </w:t>
      </w:r>
      <w:r>
        <w:rPr/>
        <w:t>inventarios</w:t>
      </w:r>
      <w:r>
        <w:rPr>
          <w:spacing w:val="-3"/>
        </w:rPr>
        <w:t> </w:t>
      </w:r>
      <w:r>
        <w:rPr/>
        <w:t>no</w:t>
      </w:r>
      <w:r>
        <w:rPr>
          <w:spacing w:val="-3"/>
        </w:rPr>
        <w:t> </w:t>
      </w:r>
      <w:r>
        <w:rPr/>
        <w:t>sufre</w:t>
      </w:r>
      <w:r>
        <w:rPr>
          <w:spacing w:val="-5"/>
        </w:rPr>
        <w:t> </w:t>
      </w:r>
      <w:r>
        <w:rPr/>
        <w:t>rebajas</w:t>
      </w:r>
      <w:r>
        <w:rPr>
          <w:spacing w:val="-3"/>
        </w:rPr>
        <w:t> </w:t>
      </w:r>
      <w:r>
        <w:rPr/>
        <w:t>ni</w:t>
      </w:r>
      <w:r>
        <w:rPr>
          <w:spacing w:val="-4"/>
        </w:rPr>
        <w:t> </w:t>
      </w:r>
      <w:r>
        <w:rPr/>
        <w:t>se</w:t>
      </w:r>
      <w:r>
        <w:rPr>
          <w:spacing w:val="-5"/>
        </w:rPr>
        <w:t> </w:t>
      </w:r>
      <w:r>
        <w:rPr/>
        <w:t>realizan</w:t>
      </w:r>
      <w:r>
        <w:rPr>
          <w:spacing w:val="-4"/>
        </w:rPr>
        <w:t> </w:t>
      </w:r>
      <w:r>
        <w:rPr/>
        <w:t>reversiones</w:t>
      </w:r>
      <w:r>
        <w:rPr>
          <w:spacing w:val="-3"/>
        </w:rPr>
        <w:t> </w:t>
      </w:r>
      <w:r>
        <w:rPr/>
        <w:t>de</w:t>
      </w:r>
      <w:r>
        <w:rPr>
          <w:spacing w:val="-5"/>
        </w:rPr>
        <w:t> </w:t>
      </w:r>
      <w:r>
        <w:rPr/>
        <w:t>rebajas,</w:t>
      </w:r>
      <w:r>
        <w:rPr>
          <w:spacing w:val="-4"/>
        </w:rPr>
        <w:t> </w:t>
      </w:r>
      <w:r>
        <w:rPr/>
        <w:t>lo</w:t>
      </w:r>
      <w:r>
        <w:rPr>
          <w:spacing w:val="-3"/>
        </w:rPr>
        <w:t> </w:t>
      </w:r>
      <w:r>
        <w:rPr/>
        <w:t>que</w:t>
      </w:r>
      <w:r>
        <w:rPr>
          <w:spacing w:val="-5"/>
        </w:rPr>
        <w:t> </w:t>
      </w:r>
      <w:r>
        <w:rPr/>
        <w:t>se</w:t>
      </w:r>
      <w:r>
        <w:rPr>
          <w:spacing w:val="-5"/>
        </w:rPr>
        <w:t> </w:t>
      </w:r>
      <w:r>
        <w:rPr/>
        <w:t>utilizan</w:t>
      </w:r>
      <w:r>
        <w:rPr>
          <w:spacing w:val="-3"/>
        </w:rPr>
        <w:t> </w:t>
      </w:r>
      <w:r>
        <w:rPr/>
        <w:t>son estrategias de</w:t>
      </w:r>
      <w:r>
        <w:rPr>
          <w:spacing w:val="-3"/>
        </w:rPr>
        <w:t> </w:t>
      </w:r>
      <w:r>
        <w:rPr/>
        <w:t>mercadeo</w:t>
      </w:r>
      <w:r>
        <w:rPr>
          <w:spacing w:val="-1"/>
        </w:rPr>
        <w:t> </w:t>
      </w:r>
      <w:r>
        <w:rPr/>
        <w:t>donde</w:t>
      </w:r>
      <w:r>
        <w:rPr>
          <w:spacing w:val="-3"/>
        </w:rPr>
        <w:t> </w:t>
      </w:r>
      <w:r>
        <w:rPr/>
        <w:t>el</w:t>
      </w:r>
      <w:r>
        <w:rPr>
          <w:spacing w:val="-1"/>
        </w:rPr>
        <w:t> </w:t>
      </w:r>
      <w:r>
        <w:rPr/>
        <w:t>precio</w:t>
      </w:r>
      <w:r>
        <w:rPr>
          <w:spacing w:val="-1"/>
        </w:rPr>
        <w:t> </w:t>
      </w:r>
      <w:r>
        <w:rPr/>
        <w:t>de</w:t>
      </w:r>
      <w:r>
        <w:rPr>
          <w:spacing w:val="-3"/>
        </w:rPr>
        <w:t> </w:t>
      </w:r>
      <w:r>
        <w:rPr/>
        <w:t>venta</w:t>
      </w:r>
      <w:r>
        <w:rPr>
          <w:spacing w:val="-1"/>
        </w:rPr>
        <w:t> </w:t>
      </w:r>
      <w:r>
        <w:rPr/>
        <w:t>de</w:t>
      </w:r>
      <w:r>
        <w:rPr>
          <w:spacing w:val="-1"/>
        </w:rPr>
        <w:t> </w:t>
      </w:r>
      <w:r>
        <w:rPr/>
        <w:t>un</w:t>
      </w:r>
      <w:r>
        <w:rPr>
          <w:spacing w:val="-1"/>
        </w:rPr>
        <w:t> </w:t>
      </w:r>
      <w:r>
        <w:rPr/>
        <w:t>producto</w:t>
      </w:r>
      <w:r>
        <w:rPr>
          <w:spacing w:val="-3"/>
        </w:rPr>
        <w:t> </w:t>
      </w:r>
      <w:r>
        <w:rPr/>
        <w:t>se</w:t>
      </w:r>
      <w:r>
        <w:rPr>
          <w:spacing w:val="-2"/>
        </w:rPr>
        <w:t> </w:t>
      </w:r>
      <w:r>
        <w:rPr/>
        <w:t>ve</w:t>
      </w:r>
      <w:r>
        <w:rPr>
          <w:spacing w:val="-3"/>
        </w:rPr>
        <w:t> </w:t>
      </w:r>
      <w:r>
        <w:rPr/>
        <w:t>afectado</w:t>
      </w:r>
      <w:r>
        <w:rPr>
          <w:spacing w:val="-1"/>
        </w:rPr>
        <w:t> </w:t>
      </w:r>
      <w:r>
        <w:rPr/>
        <w:t>al</w:t>
      </w:r>
      <w:r>
        <w:rPr>
          <w:spacing w:val="-1"/>
        </w:rPr>
        <w:t> </w:t>
      </w:r>
      <w:r>
        <w:rPr/>
        <w:t>vender</w:t>
      </w:r>
      <w:r>
        <w:rPr>
          <w:spacing w:val="-1"/>
        </w:rPr>
        <w:t> </w:t>
      </w:r>
      <w:r>
        <w:rPr/>
        <w:t>dos o</w:t>
      </w:r>
      <w:r>
        <w:rPr>
          <w:spacing w:val="-1"/>
        </w:rPr>
        <w:t> </w:t>
      </w:r>
      <w:r>
        <w:rPr/>
        <w:t>más artículos</w:t>
      </w:r>
      <w:r>
        <w:rPr>
          <w:spacing w:val="-11"/>
        </w:rPr>
        <w:t> </w:t>
      </w:r>
      <w:r>
        <w:rPr/>
        <w:t>del</w:t>
      </w:r>
      <w:r>
        <w:rPr>
          <w:spacing w:val="-12"/>
        </w:rPr>
        <w:t> </w:t>
      </w:r>
      <w:r>
        <w:rPr/>
        <w:t>mismo</w:t>
      </w:r>
      <w:r>
        <w:rPr>
          <w:spacing w:val="-11"/>
        </w:rPr>
        <w:t> </w:t>
      </w:r>
      <w:r>
        <w:rPr/>
        <w:t>tipo</w:t>
      </w:r>
      <w:r>
        <w:rPr>
          <w:spacing w:val="-11"/>
        </w:rPr>
        <w:t> </w:t>
      </w:r>
      <w:r>
        <w:rPr/>
        <w:t>(ventas</w:t>
      </w:r>
      <w:r>
        <w:rPr>
          <w:spacing w:val="-11"/>
        </w:rPr>
        <w:t> </w:t>
      </w:r>
      <w:r>
        <w:rPr/>
        <w:t>por</w:t>
      </w:r>
      <w:r>
        <w:rPr>
          <w:spacing w:val="-11"/>
        </w:rPr>
        <w:t> </w:t>
      </w:r>
      <w:r>
        <w:rPr/>
        <w:t>volumen),</w:t>
      </w:r>
      <w:r>
        <w:rPr>
          <w:spacing w:val="-12"/>
        </w:rPr>
        <w:t> </w:t>
      </w:r>
      <w:r>
        <w:rPr/>
        <w:t>rebajas</w:t>
      </w:r>
      <w:r>
        <w:rPr>
          <w:spacing w:val="-11"/>
        </w:rPr>
        <w:t> </w:t>
      </w:r>
      <w:r>
        <w:rPr/>
        <w:t>el</w:t>
      </w:r>
      <w:r>
        <w:rPr>
          <w:spacing w:val="-12"/>
        </w:rPr>
        <w:t> </w:t>
      </w:r>
      <w:r>
        <w:rPr/>
        <w:t>precio</w:t>
      </w:r>
      <w:r>
        <w:rPr>
          <w:spacing w:val="-11"/>
        </w:rPr>
        <w:t> </w:t>
      </w:r>
      <w:r>
        <w:rPr/>
        <w:t>de</w:t>
      </w:r>
      <w:r>
        <w:rPr>
          <w:spacing w:val="-13"/>
        </w:rPr>
        <w:t> </w:t>
      </w:r>
      <w:r>
        <w:rPr/>
        <w:t>venta</w:t>
      </w:r>
      <w:r>
        <w:rPr>
          <w:spacing w:val="-12"/>
        </w:rPr>
        <w:t> </w:t>
      </w:r>
      <w:r>
        <w:rPr/>
        <w:t>por</w:t>
      </w:r>
      <w:r>
        <w:rPr>
          <w:spacing w:val="-11"/>
        </w:rPr>
        <w:t> </w:t>
      </w:r>
      <w:r>
        <w:rPr/>
        <w:t>aplicación</w:t>
      </w:r>
      <w:r>
        <w:rPr>
          <w:spacing w:val="-12"/>
        </w:rPr>
        <w:t> </w:t>
      </w:r>
      <w:r>
        <w:rPr/>
        <w:t>de</w:t>
      </w:r>
      <w:r>
        <w:rPr>
          <w:spacing w:val="-13"/>
        </w:rPr>
        <w:t> </w:t>
      </w:r>
      <w:r>
        <w:rPr/>
        <w:t>descuentos y/o</w:t>
      </w:r>
      <w:r>
        <w:rPr>
          <w:spacing w:val="-10"/>
        </w:rPr>
        <w:t> </w:t>
      </w:r>
      <w:r>
        <w:rPr/>
        <w:t>promociones</w:t>
      </w:r>
      <w:r>
        <w:rPr>
          <w:spacing w:val="-10"/>
        </w:rPr>
        <w:t> </w:t>
      </w:r>
      <w:r>
        <w:rPr/>
        <w:t>para</w:t>
      </w:r>
      <w:r>
        <w:rPr>
          <w:spacing w:val="-11"/>
        </w:rPr>
        <w:t> </w:t>
      </w:r>
      <w:r>
        <w:rPr/>
        <w:t>rotación</w:t>
      </w:r>
      <w:r>
        <w:rPr>
          <w:spacing w:val="-10"/>
        </w:rPr>
        <w:t> </w:t>
      </w:r>
      <w:r>
        <w:rPr/>
        <w:t>de</w:t>
      </w:r>
      <w:r>
        <w:rPr>
          <w:spacing w:val="-12"/>
        </w:rPr>
        <w:t> </w:t>
      </w:r>
      <w:r>
        <w:rPr/>
        <w:t>este.</w:t>
      </w:r>
      <w:r>
        <w:rPr>
          <w:spacing w:val="-12"/>
        </w:rPr>
        <w:t> </w:t>
      </w:r>
      <w:r>
        <w:rPr/>
        <w:t>En</w:t>
      </w:r>
      <w:r>
        <w:rPr>
          <w:spacing w:val="-11"/>
        </w:rPr>
        <w:t> </w:t>
      </w:r>
      <w:r>
        <w:rPr/>
        <w:t>caso</w:t>
      </w:r>
      <w:r>
        <w:rPr>
          <w:spacing w:val="-10"/>
        </w:rPr>
        <w:t> </w:t>
      </w:r>
      <w:r>
        <w:rPr/>
        <w:t>de</w:t>
      </w:r>
      <w:r>
        <w:rPr>
          <w:spacing w:val="-12"/>
        </w:rPr>
        <w:t> </w:t>
      </w:r>
      <w:r>
        <w:rPr/>
        <w:t>que</w:t>
      </w:r>
      <w:r>
        <w:rPr>
          <w:spacing w:val="-12"/>
        </w:rPr>
        <w:t> </w:t>
      </w:r>
      <w:r>
        <w:rPr/>
        <w:t>un</w:t>
      </w:r>
      <w:r>
        <w:rPr>
          <w:spacing w:val="-11"/>
        </w:rPr>
        <w:t> </w:t>
      </w:r>
      <w:r>
        <w:rPr/>
        <w:t>artículo</w:t>
      </w:r>
      <w:r>
        <w:rPr>
          <w:spacing w:val="-10"/>
        </w:rPr>
        <w:t> </w:t>
      </w:r>
      <w:r>
        <w:rPr/>
        <w:t>se</w:t>
      </w:r>
      <w:r>
        <w:rPr>
          <w:spacing w:val="-12"/>
        </w:rPr>
        <w:t> </w:t>
      </w:r>
      <w:r>
        <w:rPr/>
        <w:t>encuentre</w:t>
      </w:r>
      <w:r>
        <w:rPr>
          <w:spacing w:val="-11"/>
        </w:rPr>
        <w:t> </w:t>
      </w:r>
      <w:r>
        <w:rPr/>
        <w:t>en</w:t>
      </w:r>
      <w:r>
        <w:rPr>
          <w:spacing w:val="-11"/>
        </w:rPr>
        <w:t> </w:t>
      </w:r>
      <w:r>
        <w:rPr/>
        <w:t>mal</w:t>
      </w:r>
      <w:r>
        <w:rPr>
          <w:spacing w:val="-11"/>
        </w:rPr>
        <w:t> </w:t>
      </w:r>
      <w:r>
        <w:rPr/>
        <w:t>estado</w:t>
      </w:r>
      <w:r>
        <w:rPr>
          <w:spacing w:val="-10"/>
        </w:rPr>
        <w:t> </w:t>
      </w:r>
      <w:r>
        <w:rPr/>
        <w:t>o</w:t>
      </w:r>
      <w:r>
        <w:rPr>
          <w:spacing w:val="-10"/>
        </w:rPr>
        <w:t> </w:t>
      </w:r>
      <w:r>
        <w:rPr/>
        <w:t>venga dañado de fábrica el artículo se da de baja contra una nota de crédito que cubre el proveedor o si corresponde, se registra mediante el uso de la previsión para deterioro y pérdidas de inventario.</w:t>
      </w:r>
    </w:p>
    <w:p>
      <w:pPr>
        <w:pStyle w:val="BodyText"/>
        <w:ind w:left="730" w:right="978"/>
        <w:jc w:val="both"/>
      </w:pPr>
      <w:r>
        <w:rPr/>
        <w:t>No se evidencian circunstancias o eventos que hayan producido la reversión de las rebajas de </w:t>
      </w:r>
      <w:r>
        <w:rPr>
          <w:spacing w:val="-2"/>
        </w:rPr>
        <w:t>inventario.</w:t>
      </w:r>
    </w:p>
    <w:p>
      <w:pPr>
        <w:pStyle w:val="BodyText"/>
      </w:pPr>
    </w:p>
    <w:p>
      <w:pPr>
        <w:pStyle w:val="BodyText"/>
        <w:ind w:left="730" w:right="932"/>
        <w:jc w:val="both"/>
      </w:pPr>
      <w:r>
        <w:rPr/>
        <w:t>Al 31 de julio, el gasto corresponde a la estimación de desvalorización de bienes refleja una disminución con respecto al año anterior:</w:t>
      </w:r>
    </w:p>
    <w:p>
      <w:pPr>
        <w:pStyle w:val="BodyText"/>
        <w:spacing w:before="1"/>
        <w:rPr>
          <w:sz w:val="14"/>
        </w:rPr>
      </w:pPr>
    </w:p>
    <w:tbl>
      <w:tblPr>
        <w:tblW w:w="0" w:type="auto"/>
        <w:jc w:val="left"/>
        <w:tblInd w:w="17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34"/>
        <w:gridCol w:w="2597"/>
        <w:gridCol w:w="701"/>
        <w:gridCol w:w="1252"/>
        <w:gridCol w:w="1201"/>
      </w:tblGrid>
      <w:tr>
        <w:trPr>
          <w:trHeight w:val="205" w:hRule="atLeast"/>
        </w:trPr>
        <w:tc>
          <w:tcPr>
            <w:tcW w:w="1034" w:type="dxa"/>
            <w:shd w:val="clear" w:color="auto" w:fill="365F92"/>
          </w:tcPr>
          <w:p>
            <w:pPr>
              <w:pStyle w:val="TableParagraph"/>
              <w:spacing w:before="35"/>
              <w:ind w:left="15"/>
              <w:rPr>
                <w:rFonts w:ascii="Arial Narrow"/>
                <w:b/>
                <w:sz w:val="12"/>
              </w:rPr>
            </w:pPr>
            <w:r>
              <w:rPr>
                <w:rFonts w:ascii="Arial Narrow"/>
                <w:b/>
                <w:color w:val="FFFFFF"/>
                <w:spacing w:val="-2"/>
                <w:sz w:val="12"/>
              </w:rPr>
              <w:t>5.1.6.</w:t>
            </w:r>
          </w:p>
        </w:tc>
        <w:tc>
          <w:tcPr>
            <w:tcW w:w="2597" w:type="dxa"/>
            <w:tcBorders>
              <w:right w:val="single" w:sz="4" w:space="0" w:color="000000"/>
            </w:tcBorders>
            <w:shd w:val="clear" w:color="auto" w:fill="365F92"/>
          </w:tcPr>
          <w:p>
            <w:pPr>
              <w:pStyle w:val="TableParagraph"/>
              <w:spacing w:before="35"/>
              <w:ind w:left="15"/>
              <w:rPr>
                <w:rFonts w:ascii="Arial Narrow" w:hAnsi="Arial Narrow"/>
                <w:b/>
                <w:sz w:val="12"/>
              </w:rPr>
            </w:pPr>
            <w:r>
              <w:rPr>
                <w:rFonts w:ascii="Arial Narrow" w:hAnsi="Arial Narrow"/>
                <w:b/>
                <w:color w:val="FFFFFF"/>
                <w:sz w:val="12"/>
              </w:rPr>
              <w:t>Deterioro</w:t>
            </w:r>
            <w:r>
              <w:rPr>
                <w:rFonts w:ascii="Arial Narrow" w:hAnsi="Arial Narrow"/>
                <w:b/>
                <w:color w:val="FFFFFF"/>
                <w:spacing w:val="1"/>
                <w:sz w:val="12"/>
              </w:rPr>
              <w:t> </w:t>
            </w:r>
            <w:r>
              <w:rPr>
                <w:rFonts w:ascii="Arial Narrow" w:hAnsi="Arial Narrow"/>
                <w:b/>
                <w:color w:val="FFFFFF"/>
                <w:sz w:val="12"/>
              </w:rPr>
              <w:t>y</w:t>
            </w:r>
            <w:r>
              <w:rPr>
                <w:rFonts w:ascii="Arial Narrow" w:hAnsi="Arial Narrow"/>
                <w:b/>
                <w:color w:val="FFFFFF"/>
                <w:spacing w:val="1"/>
                <w:sz w:val="12"/>
              </w:rPr>
              <w:t> </w:t>
            </w:r>
            <w:r>
              <w:rPr>
                <w:rFonts w:ascii="Arial Narrow" w:hAnsi="Arial Narrow"/>
                <w:b/>
                <w:color w:val="FFFFFF"/>
                <w:sz w:val="12"/>
              </w:rPr>
              <w:t>pérdidas de</w:t>
            </w:r>
            <w:r>
              <w:rPr>
                <w:rFonts w:ascii="Arial Narrow" w:hAnsi="Arial Narrow"/>
                <w:b/>
                <w:color w:val="FFFFFF"/>
                <w:spacing w:val="1"/>
                <w:sz w:val="12"/>
              </w:rPr>
              <w:t> </w:t>
            </w:r>
            <w:r>
              <w:rPr>
                <w:rFonts w:ascii="Arial Narrow" w:hAnsi="Arial Narrow"/>
                <w:b/>
                <w:color w:val="FFFFFF"/>
                <w:spacing w:val="-2"/>
                <w:sz w:val="12"/>
              </w:rPr>
              <w:t>inventarios</w:t>
            </w:r>
          </w:p>
        </w:tc>
        <w:tc>
          <w:tcPr>
            <w:tcW w:w="701" w:type="dxa"/>
            <w:tcBorders>
              <w:left w:val="single" w:sz="4" w:space="0" w:color="000000"/>
            </w:tcBorders>
            <w:shd w:val="clear" w:color="auto" w:fill="365F92"/>
          </w:tcPr>
          <w:p>
            <w:pPr>
              <w:pStyle w:val="TableParagraph"/>
              <w:spacing w:before="35"/>
              <w:ind w:right="1"/>
              <w:jc w:val="center"/>
              <w:rPr>
                <w:rFonts w:ascii="Arial Narrow"/>
                <w:sz w:val="12"/>
              </w:rPr>
            </w:pPr>
            <w:r>
              <w:rPr>
                <w:rFonts w:ascii="Arial Narrow"/>
                <w:color w:val="FFFFFF"/>
                <w:spacing w:val="-5"/>
                <w:sz w:val="12"/>
              </w:rPr>
              <w:t>64</w:t>
            </w:r>
          </w:p>
        </w:tc>
        <w:tc>
          <w:tcPr>
            <w:tcW w:w="1252" w:type="dxa"/>
            <w:shd w:val="clear" w:color="auto" w:fill="365F92"/>
          </w:tcPr>
          <w:p>
            <w:pPr>
              <w:pStyle w:val="TableParagraph"/>
              <w:spacing w:before="35"/>
              <w:ind w:left="22" w:right="20"/>
              <w:jc w:val="center"/>
              <w:rPr>
                <w:rFonts w:ascii="Arial Narrow"/>
                <w:sz w:val="12"/>
              </w:rPr>
            </w:pPr>
            <w:r>
              <w:rPr>
                <w:rFonts w:ascii="Arial Narrow"/>
                <w:color w:val="FFFFFF"/>
                <w:sz w:val="12"/>
              </w:rPr>
              <w:t>16</w:t>
            </w:r>
            <w:r>
              <w:rPr>
                <w:rFonts w:ascii="Arial Narrow"/>
                <w:color w:val="FFFFFF"/>
                <w:spacing w:val="-2"/>
                <w:sz w:val="12"/>
              </w:rPr>
              <w:t> 440,48</w:t>
            </w:r>
          </w:p>
        </w:tc>
        <w:tc>
          <w:tcPr>
            <w:tcW w:w="1201" w:type="dxa"/>
            <w:shd w:val="clear" w:color="auto" w:fill="365F92"/>
          </w:tcPr>
          <w:p>
            <w:pPr>
              <w:pStyle w:val="TableParagraph"/>
              <w:spacing w:before="35"/>
              <w:ind w:left="1"/>
              <w:jc w:val="center"/>
              <w:rPr>
                <w:rFonts w:ascii="Arial Narrow"/>
                <w:sz w:val="12"/>
              </w:rPr>
            </w:pPr>
            <w:r>
              <w:rPr>
                <w:rFonts w:ascii="Arial Narrow"/>
                <w:color w:val="FFFFFF"/>
                <w:sz w:val="12"/>
              </w:rPr>
              <w:t>43</w:t>
            </w:r>
            <w:r>
              <w:rPr>
                <w:rFonts w:ascii="Arial Narrow"/>
                <w:color w:val="FFFFFF"/>
                <w:spacing w:val="-2"/>
                <w:sz w:val="12"/>
              </w:rPr>
              <w:t> 836,91</w:t>
            </w:r>
          </w:p>
        </w:tc>
      </w:tr>
      <w:tr>
        <w:trPr>
          <w:trHeight w:val="299" w:hRule="atLeast"/>
        </w:trPr>
        <w:tc>
          <w:tcPr>
            <w:tcW w:w="1034" w:type="dxa"/>
          </w:tcPr>
          <w:p>
            <w:pPr>
              <w:pStyle w:val="TableParagraph"/>
              <w:spacing w:before="82"/>
              <w:ind w:left="15"/>
              <w:rPr>
                <w:rFonts w:ascii="Arial Narrow"/>
                <w:sz w:val="12"/>
              </w:rPr>
            </w:pPr>
            <w:r>
              <w:rPr>
                <w:rFonts w:ascii="Arial Narrow"/>
                <w:spacing w:val="-2"/>
                <w:sz w:val="12"/>
              </w:rPr>
              <w:t>5.1.6.01.</w:t>
            </w:r>
          </w:p>
        </w:tc>
        <w:tc>
          <w:tcPr>
            <w:tcW w:w="2597" w:type="dxa"/>
          </w:tcPr>
          <w:p>
            <w:pPr>
              <w:pStyle w:val="TableParagraph"/>
              <w:spacing w:before="6"/>
              <w:ind w:left="15"/>
              <w:rPr>
                <w:rFonts w:ascii="Arial Narrow" w:hAnsi="Arial Narrow"/>
                <w:sz w:val="12"/>
              </w:rPr>
            </w:pPr>
            <w:r>
              <w:rPr>
                <w:rFonts w:ascii="Arial Narrow" w:hAnsi="Arial Narrow"/>
                <w:sz w:val="12"/>
              </w:rPr>
              <w:t>Deterioro</w:t>
            </w:r>
            <w:r>
              <w:rPr>
                <w:rFonts w:ascii="Arial Narrow" w:hAnsi="Arial Narrow"/>
                <w:spacing w:val="-3"/>
                <w:sz w:val="12"/>
              </w:rPr>
              <w:t> </w:t>
            </w:r>
            <w:r>
              <w:rPr>
                <w:rFonts w:ascii="Arial Narrow" w:hAnsi="Arial Narrow"/>
                <w:sz w:val="12"/>
              </w:rPr>
              <w:t>y</w:t>
            </w:r>
            <w:r>
              <w:rPr>
                <w:rFonts w:ascii="Arial Narrow" w:hAnsi="Arial Narrow"/>
                <w:spacing w:val="-3"/>
                <w:sz w:val="12"/>
              </w:rPr>
              <w:t> </w:t>
            </w:r>
            <w:r>
              <w:rPr>
                <w:rFonts w:ascii="Arial Narrow" w:hAnsi="Arial Narrow"/>
                <w:sz w:val="12"/>
              </w:rPr>
              <w:t>pérdidas</w:t>
            </w:r>
            <w:r>
              <w:rPr>
                <w:rFonts w:ascii="Arial Narrow" w:hAnsi="Arial Narrow"/>
                <w:spacing w:val="-2"/>
                <w:sz w:val="12"/>
              </w:rPr>
              <w:t> </w:t>
            </w:r>
            <w:r>
              <w:rPr>
                <w:rFonts w:ascii="Arial Narrow" w:hAnsi="Arial Narrow"/>
                <w:sz w:val="12"/>
              </w:rPr>
              <w:t>de</w:t>
            </w:r>
            <w:r>
              <w:rPr>
                <w:rFonts w:ascii="Arial Narrow" w:hAnsi="Arial Narrow"/>
                <w:spacing w:val="-3"/>
                <w:sz w:val="12"/>
              </w:rPr>
              <w:t> </w:t>
            </w:r>
            <w:r>
              <w:rPr>
                <w:rFonts w:ascii="Arial Narrow" w:hAnsi="Arial Narrow"/>
                <w:sz w:val="12"/>
              </w:rPr>
              <w:t>inventarios</w:t>
            </w:r>
            <w:r>
              <w:rPr>
                <w:rFonts w:ascii="Arial Narrow" w:hAnsi="Arial Narrow"/>
                <w:spacing w:val="-3"/>
                <w:sz w:val="12"/>
              </w:rPr>
              <w:t> </w:t>
            </w:r>
            <w:r>
              <w:rPr>
                <w:rFonts w:ascii="Arial Narrow" w:hAnsi="Arial Narrow"/>
                <w:sz w:val="12"/>
              </w:rPr>
              <w:t>por</w:t>
            </w:r>
            <w:r>
              <w:rPr>
                <w:rFonts w:ascii="Arial Narrow" w:hAnsi="Arial Narrow"/>
                <w:spacing w:val="-3"/>
                <w:sz w:val="12"/>
              </w:rPr>
              <w:t> </w:t>
            </w:r>
            <w:r>
              <w:rPr>
                <w:rFonts w:ascii="Arial Narrow" w:hAnsi="Arial Narrow"/>
                <w:sz w:val="12"/>
              </w:rPr>
              <w:t>materiales</w:t>
            </w:r>
            <w:r>
              <w:rPr>
                <w:rFonts w:ascii="Arial Narrow" w:hAnsi="Arial Narrow"/>
                <w:spacing w:val="-2"/>
                <w:sz w:val="12"/>
              </w:rPr>
              <w:t> </w:t>
            </w:r>
            <w:r>
              <w:rPr>
                <w:rFonts w:ascii="Arial Narrow" w:hAnsi="Arial Narrow"/>
                <w:spacing w:val="-10"/>
                <w:sz w:val="12"/>
              </w:rPr>
              <w:t>y</w:t>
            </w:r>
          </w:p>
          <w:p>
            <w:pPr>
              <w:pStyle w:val="TableParagraph"/>
              <w:spacing w:line="121" w:lineRule="exact" w:before="15"/>
              <w:ind w:left="15"/>
              <w:rPr>
                <w:rFonts w:ascii="Arial Narrow" w:hAnsi="Arial Narrow"/>
                <w:sz w:val="12"/>
              </w:rPr>
            </w:pPr>
            <w:r>
              <w:rPr>
                <w:rFonts w:ascii="Arial Narrow" w:hAnsi="Arial Narrow"/>
                <w:sz w:val="12"/>
              </w:rPr>
              <w:t>suministros</w:t>
            </w:r>
            <w:r>
              <w:rPr>
                <w:rFonts w:ascii="Arial Narrow" w:hAnsi="Arial Narrow"/>
                <w:spacing w:val="-2"/>
                <w:sz w:val="12"/>
              </w:rPr>
              <w:t> </w:t>
            </w:r>
            <w:r>
              <w:rPr>
                <w:rFonts w:ascii="Arial Narrow" w:hAnsi="Arial Narrow"/>
                <w:sz w:val="12"/>
              </w:rPr>
              <w:t>para</w:t>
            </w:r>
            <w:r>
              <w:rPr>
                <w:rFonts w:ascii="Arial Narrow" w:hAnsi="Arial Narrow"/>
                <w:spacing w:val="-2"/>
                <w:sz w:val="12"/>
              </w:rPr>
              <w:t> </w:t>
            </w:r>
            <w:r>
              <w:rPr>
                <w:rFonts w:ascii="Arial Narrow" w:hAnsi="Arial Narrow"/>
                <w:sz w:val="12"/>
              </w:rPr>
              <w:t>consumo</w:t>
            </w:r>
            <w:r>
              <w:rPr>
                <w:rFonts w:ascii="Arial Narrow" w:hAnsi="Arial Narrow"/>
                <w:spacing w:val="-2"/>
                <w:sz w:val="12"/>
              </w:rPr>
              <w:t> </w:t>
            </w:r>
            <w:r>
              <w:rPr>
                <w:rFonts w:ascii="Arial Narrow" w:hAnsi="Arial Narrow"/>
                <w:sz w:val="12"/>
              </w:rPr>
              <w:t>y</w:t>
            </w:r>
            <w:r>
              <w:rPr>
                <w:rFonts w:ascii="Arial Narrow" w:hAnsi="Arial Narrow"/>
                <w:spacing w:val="-1"/>
                <w:sz w:val="12"/>
              </w:rPr>
              <w:t> </w:t>
            </w:r>
            <w:r>
              <w:rPr>
                <w:rFonts w:ascii="Arial Narrow" w:hAnsi="Arial Narrow"/>
                <w:sz w:val="12"/>
              </w:rPr>
              <w:t>prestación</w:t>
            </w:r>
            <w:r>
              <w:rPr>
                <w:rFonts w:ascii="Arial Narrow" w:hAnsi="Arial Narrow"/>
                <w:spacing w:val="-2"/>
                <w:sz w:val="12"/>
              </w:rPr>
              <w:t> </w:t>
            </w:r>
            <w:r>
              <w:rPr>
                <w:rFonts w:ascii="Arial Narrow" w:hAnsi="Arial Narrow"/>
                <w:sz w:val="12"/>
              </w:rPr>
              <w:t>de</w:t>
            </w:r>
            <w:r>
              <w:rPr>
                <w:rFonts w:ascii="Arial Narrow" w:hAnsi="Arial Narrow"/>
                <w:spacing w:val="-3"/>
                <w:sz w:val="12"/>
              </w:rPr>
              <w:t> </w:t>
            </w:r>
            <w:r>
              <w:rPr>
                <w:rFonts w:ascii="Arial Narrow" w:hAnsi="Arial Narrow"/>
                <w:spacing w:val="-2"/>
                <w:sz w:val="12"/>
              </w:rPr>
              <w:t>servicios</w:t>
            </w:r>
          </w:p>
        </w:tc>
        <w:tc>
          <w:tcPr>
            <w:tcW w:w="701" w:type="dxa"/>
          </w:tcPr>
          <w:p>
            <w:pPr>
              <w:pStyle w:val="TableParagraph"/>
              <w:rPr>
                <w:rFonts w:ascii="Times New Roman"/>
                <w:sz w:val="18"/>
              </w:rPr>
            </w:pPr>
          </w:p>
        </w:tc>
        <w:tc>
          <w:tcPr>
            <w:tcW w:w="1252" w:type="dxa"/>
          </w:tcPr>
          <w:p>
            <w:pPr>
              <w:pStyle w:val="TableParagraph"/>
              <w:spacing w:before="82"/>
              <w:ind w:left="22" w:right="19"/>
              <w:jc w:val="center"/>
              <w:rPr>
                <w:rFonts w:ascii="Arial Narrow"/>
                <w:sz w:val="12"/>
              </w:rPr>
            </w:pPr>
            <w:r>
              <w:rPr>
                <w:rFonts w:ascii="Arial Narrow"/>
                <w:spacing w:val="-4"/>
                <w:sz w:val="12"/>
              </w:rPr>
              <w:t>0,00</w:t>
            </w:r>
          </w:p>
        </w:tc>
        <w:tc>
          <w:tcPr>
            <w:tcW w:w="1201" w:type="dxa"/>
          </w:tcPr>
          <w:p>
            <w:pPr>
              <w:pStyle w:val="TableParagraph"/>
              <w:spacing w:before="82"/>
              <w:ind w:left="1"/>
              <w:jc w:val="center"/>
              <w:rPr>
                <w:rFonts w:ascii="Arial Narrow"/>
                <w:sz w:val="12"/>
              </w:rPr>
            </w:pPr>
            <w:r>
              <w:rPr>
                <w:rFonts w:ascii="Arial Narrow"/>
                <w:spacing w:val="-2"/>
                <w:sz w:val="12"/>
              </w:rPr>
              <w:t>453,33</w:t>
            </w:r>
          </w:p>
        </w:tc>
      </w:tr>
      <w:tr>
        <w:trPr>
          <w:trHeight w:val="299" w:hRule="atLeast"/>
        </w:trPr>
        <w:tc>
          <w:tcPr>
            <w:tcW w:w="1034" w:type="dxa"/>
          </w:tcPr>
          <w:p>
            <w:pPr>
              <w:pStyle w:val="TableParagraph"/>
              <w:spacing w:before="82"/>
              <w:ind w:left="15"/>
              <w:rPr>
                <w:rFonts w:ascii="Arial Narrow"/>
                <w:sz w:val="12"/>
              </w:rPr>
            </w:pPr>
            <w:r>
              <w:rPr>
                <w:rFonts w:ascii="Arial Narrow"/>
                <w:spacing w:val="-2"/>
                <w:sz w:val="12"/>
              </w:rPr>
              <w:t>5.1.6.02.</w:t>
            </w:r>
          </w:p>
        </w:tc>
        <w:tc>
          <w:tcPr>
            <w:tcW w:w="2597" w:type="dxa"/>
          </w:tcPr>
          <w:p>
            <w:pPr>
              <w:pStyle w:val="TableParagraph"/>
              <w:spacing w:before="6"/>
              <w:ind w:left="15"/>
              <w:rPr>
                <w:rFonts w:ascii="Arial Narrow" w:hAnsi="Arial Narrow"/>
                <w:sz w:val="12"/>
              </w:rPr>
            </w:pPr>
            <w:r>
              <w:rPr>
                <w:rFonts w:ascii="Arial Narrow" w:hAnsi="Arial Narrow"/>
                <w:sz w:val="12"/>
              </w:rPr>
              <w:t>Deterioro</w:t>
            </w:r>
            <w:r>
              <w:rPr>
                <w:rFonts w:ascii="Arial Narrow" w:hAnsi="Arial Narrow"/>
                <w:spacing w:val="-3"/>
                <w:sz w:val="12"/>
              </w:rPr>
              <w:t> </w:t>
            </w:r>
            <w:r>
              <w:rPr>
                <w:rFonts w:ascii="Arial Narrow" w:hAnsi="Arial Narrow"/>
                <w:sz w:val="12"/>
              </w:rPr>
              <w:t>y</w:t>
            </w:r>
            <w:r>
              <w:rPr>
                <w:rFonts w:ascii="Arial Narrow" w:hAnsi="Arial Narrow"/>
                <w:spacing w:val="-3"/>
                <w:sz w:val="12"/>
              </w:rPr>
              <w:t> </w:t>
            </w:r>
            <w:r>
              <w:rPr>
                <w:rFonts w:ascii="Arial Narrow" w:hAnsi="Arial Narrow"/>
                <w:sz w:val="12"/>
              </w:rPr>
              <w:t>pérdidas</w:t>
            </w:r>
            <w:r>
              <w:rPr>
                <w:rFonts w:ascii="Arial Narrow" w:hAnsi="Arial Narrow"/>
                <w:spacing w:val="-2"/>
                <w:sz w:val="12"/>
              </w:rPr>
              <w:t> </w:t>
            </w:r>
            <w:r>
              <w:rPr>
                <w:rFonts w:ascii="Arial Narrow" w:hAnsi="Arial Narrow"/>
                <w:sz w:val="12"/>
              </w:rPr>
              <w:t>de</w:t>
            </w:r>
            <w:r>
              <w:rPr>
                <w:rFonts w:ascii="Arial Narrow" w:hAnsi="Arial Narrow"/>
                <w:spacing w:val="-4"/>
                <w:sz w:val="12"/>
              </w:rPr>
              <w:t> </w:t>
            </w:r>
            <w:r>
              <w:rPr>
                <w:rFonts w:ascii="Arial Narrow" w:hAnsi="Arial Narrow"/>
                <w:sz w:val="12"/>
              </w:rPr>
              <w:t>inventarios</w:t>
            </w:r>
            <w:r>
              <w:rPr>
                <w:rFonts w:ascii="Arial Narrow" w:hAnsi="Arial Narrow"/>
                <w:spacing w:val="-2"/>
                <w:sz w:val="12"/>
              </w:rPr>
              <w:t> </w:t>
            </w:r>
            <w:r>
              <w:rPr>
                <w:rFonts w:ascii="Arial Narrow" w:hAnsi="Arial Narrow"/>
                <w:sz w:val="12"/>
              </w:rPr>
              <w:t>por</w:t>
            </w:r>
            <w:r>
              <w:rPr>
                <w:rFonts w:ascii="Arial Narrow" w:hAnsi="Arial Narrow"/>
                <w:spacing w:val="-3"/>
                <w:sz w:val="12"/>
              </w:rPr>
              <w:t> </w:t>
            </w:r>
            <w:r>
              <w:rPr>
                <w:rFonts w:ascii="Arial Narrow" w:hAnsi="Arial Narrow"/>
                <w:sz w:val="12"/>
              </w:rPr>
              <w:t>bienes</w:t>
            </w:r>
            <w:r>
              <w:rPr>
                <w:rFonts w:ascii="Arial Narrow" w:hAnsi="Arial Narrow"/>
                <w:spacing w:val="-2"/>
                <w:sz w:val="12"/>
              </w:rPr>
              <w:t> </w:t>
            </w:r>
            <w:r>
              <w:rPr>
                <w:rFonts w:ascii="Arial Narrow" w:hAnsi="Arial Narrow"/>
                <w:sz w:val="12"/>
              </w:rPr>
              <w:t>para</w:t>
            </w:r>
            <w:r>
              <w:rPr>
                <w:rFonts w:ascii="Arial Narrow" w:hAnsi="Arial Narrow"/>
                <w:spacing w:val="-3"/>
                <w:sz w:val="12"/>
              </w:rPr>
              <w:t> </w:t>
            </w:r>
            <w:r>
              <w:rPr>
                <w:rFonts w:ascii="Arial Narrow" w:hAnsi="Arial Narrow"/>
                <w:spacing w:val="-5"/>
                <w:sz w:val="12"/>
              </w:rPr>
              <w:t>la</w:t>
            </w:r>
          </w:p>
          <w:p>
            <w:pPr>
              <w:pStyle w:val="TableParagraph"/>
              <w:spacing w:line="121" w:lineRule="exact" w:before="15"/>
              <w:ind w:left="15"/>
              <w:rPr>
                <w:rFonts w:ascii="Arial Narrow"/>
                <w:sz w:val="12"/>
              </w:rPr>
            </w:pPr>
            <w:r>
              <w:rPr>
                <w:rFonts w:ascii="Arial Narrow"/>
                <w:spacing w:val="-2"/>
                <w:sz w:val="12"/>
              </w:rPr>
              <w:t>venta</w:t>
            </w:r>
          </w:p>
        </w:tc>
        <w:tc>
          <w:tcPr>
            <w:tcW w:w="701" w:type="dxa"/>
          </w:tcPr>
          <w:p>
            <w:pPr>
              <w:pStyle w:val="TableParagraph"/>
              <w:rPr>
                <w:rFonts w:ascii="Times New Roman"/>
                <w:sz w:val="18"/>
              </w:rPr>
            </w:pPr>
          </w:p>
        </w:tc>
        <w:tc>
          <w:tcPr>
            <w:tcW w:w="1252" w:type="dxa"/>
          </w:tcPr>
          <w:p>
            <w:pPr>
              <w:pStyle w:val="TableParagraph"/>
              <w:spacing w:before="82"/>
              <w:ind w:left="22" w:right="20"/>
              <w:jc w:val="center"/>
              <w:rPr>
                <w:rFonts w:ascii="Arial Narrow"/>
                <w:sz w:val="12"/>
              </w:rPr>
            </w:pPr>
            <w:r>
              <w:rPr>
                <w:rFonts w:ascii="Arial Narrow"/>
                <w:sz w:val="12"/>
              </w:rPr>
              <w:t>16</w:t>
            </w:r>
            <w:r>
              <w:rPr>
                <w:rFonts w:ascii="Arial Narrow"/>
                <w:spacing w:val="-2"/>
                <w:sz w:val="12"/>
              </w:rPr>
              <w:t> 440,48</w:t>
            </w:r>
          </w:p>
        </w:tc>
        <w:tc>
          <w:tcPr>
            <w:tcW w:w="1201" w:type="dxa"/>
          </w:tcPr>
          <w:p>
            <w:pPr>
              <w:pStyle w:val="TableParagraph"/>
              <w:spacing w:before="82"/>
              <w:ind w:left="1"/>
              <w:jc w:val="center"/>
              <w:rPr>
                <w:rFonts w:ascii="Arial Narrow"/>
                <w:sz w:val="12"/>
              </w:rPr>
            </w:pPr>
            <w:r>
              <w:rPr>
                <w:rFonts w:ascii="Arial Narrow"/>
                <w:sz w:val="12"/>
              </w:rPr>
              <w:t>43</w:t>
            </w:r>
            <w:r>
              <w:rPr>
                <w:rFonts w:ascii="Arial Narrow"/>
                <w:spacing w:val="-2"/>
                <w:sz w:val="12"/>
              </w:rPr>
              <w:t> 383,59</w:t>
            </w:r>
          </w:p>
        </w:tc>
      </w:tr>
      <w:tr>
        <w:trPr>
          <w:trHeight w:val="299" w:hRule="atLeast"/>
        </w:trPr>
        <w:tc>
          <w:tcPr>
            <w:tcW w:w="1034" w:type="dxa"/>
          </w:tcPr>
          <w:p>
            <w:pPr>
              <w:pStyle w:val="TableParagraph"/>
              <w:spacing w:before="82"/>
              <w:ind w:left="15"/>
              <w:rPr>
                <w:rFonts w:ascii="Arial Narrow"/>
                <w:sz w:val="12"/>
              </w:rPr>
            </w:pPr>
            <w:r>
              <w:rPr>
                <w:rFonts w:ascii="Arial Narrow"/>
                <w:spacing w:val="-2"/>
                <w:sz w:val="12"/>
              </w:rPr>
              <w:t>5.1.6.03.</w:t>
            </w:r>
          </w:p>
        </w:tc>
        <w:tc>
          <w:tcPr>
            <w:tcW w:w="2597" w:type="dxa"/>
          </w:tcPr>
          <w:p>
            <w:pPr>
              <w:pStyle w:val="TableParagraph"/>
              <w:spacing w:before="6"/>
              <w:ind w:left="15"/>
              <w:rPr>
                <w:rFonts w:ascii="Arial Narrow" w:hAnsi="Arial Narrow"/>
                <w:sz w:val="12"/>
              </w:rPr>
            </w:pPr>
            <w:r>
              <w:rPr>
                <w:rFonts w:ascii="Arial Narrow" w:hAnsi="Arial Narrow"/>
                <w:sz w:val="12"/>
              </w:rPr>
              <w:t>Deterioro</w:t>
            </w:r>
            <w:r>
              <w:rPr>
                <w:rFonts w:ascii="Arial Narrow" w:hAnsi="Arial Narrow"/>
                <w:spacing w:val="-3"/>
                <w:sz w:val="12"/>
              </w:rPr>
              <w:t> </w:t>
            </w:r>
            <w:r>
              <w:rPr>
                <w:rFonts w:ascii="Arial Narrow" w:hAnsi="Arial Narrow"/>
                <w:sz w:val="12"/>
              </w:rPr>
              <w:t>y</w:t>
            </w:r>
            <w:r>
              <w:rPr>
                <w:rFonts w:ascii="Arial Narrow" w:hAnsi="Arial Narrow"/>
                <w:spacing w:val="-2"/>
                <w:sz w:val="12"/>
              </w:rPr>
              <w:t> </w:t>
            </w:r>
            <w:r>
              <w:rPr>
                <w:rFonts w:ascii="Arial Narrow" w:hAnsi="Arial Narrow"/>
                <w:sz w:val="12"/>
              </w:rPr>
              <w:t>pérdidas</w:t>
            </w:r>
            <w:r>
              <w:rPr>
                <w:rFonts w:ascii="Arial Narrow" w:hAnsi="Arial Narrow"/>
                <w:spacing w:val="-2"/>
                <w:sz w:val="12"/>
              </w:rPr>
              <w:t> </w:t>
            </w:r>
            <w:r>
              <w:rPr>
                <w:rFonts w:ascii="Arial Narrow" w:hAnsi="Arial Narrow"/>
                <w:sz w:val="12"/>
              </w:rPr>
              <w:t>de</w:t>
            </w:r>
            <w:r>
              <w:rPr>
                <w:rFonts w:ascii="Arial Narrow" w:hAnsi="Arial Narrow"/>
                <w:spacing w:val="-4"/>
                <w:sz w:val="12"/>
              </w:rPr>
              <w:t> </w:t>
            </w:r>
            <w:r>
              <w:rPr>
                <w:rFonts w:ascii="Arial Narrow" w:hAnsi="Arial Narrow"/>
                <w:sz w:val="12"/>
              </w:rPr>
              <w:t>inventarios</w:t>
            </w:r>
            <w:r>
              <w:rPr>
                <w:rFonts w:ascii="Arial Narrow" w:hAnsi="Arial Narrow"/>
                <w:spacing w:val="-2"/>
                <w:sz w:val="12"/>
              </w:rPr>
              <w:t> </w:t>
            </w:r>
            <w:r>
              <w:rPr>
                <w:rFonts w:ascii="Arial Narrow" w:hAnsi="Arial Narrow"/>
                <w:sz w:val="12"/>
              </w:rPr>
              <w:t>por</w:t>
            </w:r>
            <w:r>
              <w:rPr>
                <w:rFonts w:ascii="Arial Narrow" w:hAnsi="Arial Narrow"/>
                <w:spacing w:val="-3"/>
                <w:sz w:val="12"/>
              </w:rPr>
              <w:t> </w:t>
            </w:r>
            <w:r>
              <w:rPr>
                <w:rFonts w:ascii="Arial Narrow" w:hAnsi="Arial Narrow"/>
                <w:sz w:val="12"/>
              </w:rPr>
              <w:t>materias</w:t>
            </w:r>
            <w:r>
              <w:rPr>
                <w:rFonts w:ascii="Arial Narrow" w:hAnsi="Arial Narrow"/>
                <w:spacing w:val="-2"/>
                <w:sz w:val="12"/>
              </w:rPr>
              <w:t> </w:t>
            </w:r>
            <w:r>
              <w:rPr>
                <w:rFonts w:ascii="Arial Narrow" w:hAnsi="Arial Narrow"/>
                <w:sz w:val="12"/>
              </w:rPr>
              <w:t>primas</w:t>
            </w:r>
            <w:r>
              <w:rPr>
                <w:rFonts w:ascii="Arial Narrow" w:hAnsi="Arial Narrow"/>
                <w:spacing w:val="-2"/>
                <w:sz w:val="12"/>
              </w:rPr>
              <w:t> </w:t>
            </w:r>
            <w:r>
              <w:rPr>
                <w:rFonts w:ascii="Arial Narrow" w:hAnsi="Arial Narrow"/>
                <w:spacing w:val="-10"/>
                <w:sz w:val="12"/>
              </w:rPr>
              <w:t>y</w:t>
            </w:r>
          </w:p>
          <w:p>
            <w:pPr>
              <w:pStyle w:val="TableParagraph"/>
              <w:spacing w:line="121" w:lineRule="exact" w:before="15"/>
              <w:ind w:left="15"/>
              <w:rPr>
                <w:rFonts w:ascii="Arial Narrow" w:hAnsi="Arial Narrow"/>
                <w:sz w:val="12"/>
              </w:rPr>
            </w:pPr>
            <w:r>
              <w:rPr>
                <w:rFonts w:ascii="Arial Narrow" w:hAnsi="Arial Narrow"/>
                <w:sz w:val="12"/>
              </w:rPr>
              <w:t>bienes</w:t>
            </w:r>
            <w:r>
              <w:rPr>
                <w:rFonts w:ascii="Arial Narrow" w:hAnsi="Arial Narrow"/>
                <w:spacing w:val="-3"/>
                <w:sz w:val="12"/>
              </w:rPr>
              <w:t> </w:t>
            </w:r>
            <w:r>
              <w:rPr>
                <w:rFonts w:ascii="Arial Narrow" w:hAnsi="Arial Narrow"/>
                <w:sz w:val="12"/>
              </w:rPr>
              <w:t>en</w:t>
            </w:r>
            <w:r>
              <w:rPr>
                <w:rFonts w:ascii="Arial Narrow" w:hAnsi="Arial Narrow"/>
                <w:spacing w:val="-3"/>
                <w:sz w:val="12"/>
              </w:rPr>
              <w:t> </w:t>
            </w:r>
            <w:r>
              <w:rPr>
                <w:rFonts w:ascii="Arial Narrow" w:hAnsi="Arial Narrow"/>
                <w:spacing w:val="-2"/>
                <w:sz w:val="12"/>
              </w:rPr>
              <w:t>producción</w:t>
            </w:r>
          </w:p>
        </w:tc>
        <w:tc>
          <w:tcPr>
            <w:tcW w:w="701" w:type="dxa"/>
          </w:tcPr>
          <w:p>
            <w:pPr>
              <w:pStyle w:val="TableParagraph"/>
              <w:rPr>
                <w:rFonts w:ascii="Times New Roman"/>
                <w:sz w:val="18"/>
              </w:rPr>
            </w:pPr>
          </w:p>
        </w:tc>
        <w:tc>
          <w:tcPr>
            <w:tcW w:w="1252" w:type="dxa"/>
          </w:tcPr>
          <w:p>
            <w:pPr>
              <w:pStyle w:val="TableParagraph"/>
              <w:spacing w:before="82"/>
              <w:ind w:left="22" w:right="19"/>
              <w:jc w:val="center"/>
              <w:rPr>
                <w:rFonts w:ascii="Arial Narrow"/>
                <w:sz w:val="12"/>
              </w:rPr>
            </w:pPr>
            <w:r>
              <w:rPr>
                <w:rFonts w:ascii="Arial Narrow"/>
                <w:spacing w:val="-4"/>
                <w:sz w:val="12"/>
              </w:rPr>
              <w:t>0,00</w:t>
            </w:r>
          </w:p>
        </w:tc>
        <w:tc>
          <w:tcPr>
            <w:tcW w:w="1201" w:type="dxa"/>
          </w:tcPr>
          <w:p>
            <w:pPr>
              <w:pStyle w:val="TableParagraph"/>
              <w:spacing w:before="82"/>
              <w:ind w:left="1"/>
              <w:jc w:val="center"/>
              <w:rPr>
                <w:rFonts w:ascii="Arial Narrow"/>
                <w:sz w:val="12"/>
              </w:rPr>
            </w:pPr>
            <w:r>
              <w:rPr>
                <w:rFonts w:ascii="Arial Narrow"/>
                <w:spacing w:val="-4"/>
                <w:sz w:val="12"/>
              </w:rPr>
              <w:t>0,00</w:t>
            </w:r>
          </w:p>
        </w:tc>
      </w:tr>
    </w:tbl>
    <w:p>
      <w:pPr>
        <w:pStyle w:val="BodyText"/>
      </w:pPr>
    </w:p>
    <w:p>
      <w:pPr>
        <w:pStyle w:val="BodyText"/>
        <w:spacing w:before="133"/>
      </w:pPr>
    </w:p>
    <w:p>
      <w:pPr>
        <w:pStyle w:val="Heading6"/>
        <w:numPr>
          <w:ilvl w:val="0"/>
          <w:numId w:val="36"/>
        </w:numPr>
        <w:tabs>
          <w:tab w:pos="1689" w:val="left" w:leader="none"/>
        </w:tabs>
        <w:spacing w:line="240" w:lineRule="auto" w:before="0" w:after="0"/>
        <w:ind w:left="1689" w:right="0" w:hanging="708"/>
        <w:jc w:val="left"/>
      </w:pPr>
      <w:r>
        <w:rPr>
          <w:u w:val="single"/>
        </w:rPr>
        <w:t>Otra</w:t>
      </w:r>
      <w:r>
        <w:rPr>
          <w:spacing w:val="-4"/>
          <w:u w:val="single"/>
        </w:rPr>
        <w:t> </w:t>
      </w:r>
      <w:r>
        <w:rPr>
          <w:u w:val="single"/>
        </w:rPr>
        <w:t>información</w:t>
      </w:r>
      <w:r>
        <w:rPr>
          <w:spacing w:val="-3"/>
          <w:u w:val="single"/>
        </w:rPr>
        <w:t> </w:t>
      </w:r>
      <w:r>
        <w:rPr>
          <w:u w:val="single"/>
        </w:rPr>
        <w:t>por</w:t>
      </w:r>
      <w:r>
        <w:rPr>
          <w:spacing w:val="-3"/>
          <w:u w:val="single"/>
        </w:rPr>
        <w:t> </w:t>
      </w:r>
      <w:r>
        <w:rPr>
          <w:spacing w:val="-2"/>
          <w:u w:val="single"/>
        </w:rPr>
        <w:t>revelar</w:t>
      </w:r>
    </w:p>
    <w:p>
      <w:pPr>
        <w:pStyle w:val="BodyText"/>
        <w:spacing w:before="123"/>
        <w:rPr>
          <w:b/>
          <w:sz w:val="20"/>
        </w:rPr>
      </w:pPr>
      <w:r>
        <w:rPr>
          <w:b/>
          <w:sz w:val="20"/>
        </w:rPr>
        <mc:AlternateContent>
          <mc:Choice Requires="wps">
            <w:drawing>
              <wp:anchor distT="0" distB="0" distL="0" distR="0" allowOverlap="1" layoutInCell="1" locked="0" behindDoc="1" simplePos="0" relativeHeight="487632896">
                <wp:simplePos x="0" y="0"/>
                <wp:positionH relativeFrom="page">
                  <wp:posOffset>1080820</wp:posOffset>
                </wp:positionH>
                <wp:positionV relativeFrom="paragraph">
                  <wp:posOffset>241545</wp:posOffset>
                </wp:positionV>
                <wp:extent cx="5715000" cy="452755"/>
                <wp:effectExtent l="0" t="0" r="0" b="0"/>
                <wp:wrapTopAndBottom/>
                <wp:docPr id="287" name="Textbox 287"/>
                <wp:cNvGraphicFramePr>
                  <a:graphicFrameLocks/>
                </wp:cNvGraphicFramePr>
                <a:graphic>
                  <a:graphicData uri="http://schemas.microsoft.com/office/word/2010/wordprocessingShape">
                    <wps:wsp>
                      <wps:cNvPr id="287" name="Textbox 287"/>
                      <wps:cNvSpPr txBox="1"/>
                      <wps:spPr>
                        <a:xfrm>
                          <a:off x="0" y="0"/>
                          <a:ext cx="5715000" cy="45275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6"/>
                              </w:rPr>
                              <w:t> </w:t>
                            </w:r>
                            <w:r>
                              <w:rPr/>
                              <w:t>31</w:t>
                            </w:r>
                            <w:r>
                              <w:rPr>
                                <w:spacing w:val="-4"/>
                              </w:rPr>
                              <w:t> </w:t>
                            </w:r>
                            <w:r>
                              <w:rPr/>
                              <w:t>de</w:t>
                            </w:r>
                            <w:r>
                              <w:rPr>
                                <w:spacing w:val="-5"/>
                              </w:rPr>
                              <w:t> </w:t>
                            </w:r>
                            <w:r>
                              <w:rPr/>
                              <w:t>julio</w:t>
                            </w:r>
                            <w:r>
                              <w:rPr>
                                <w:spacing w:val="-3"/>
                              </w:rPr>
                              <w:t> </w:t>
                            </w:r>
                            <w:r>
                              <w:rPr/>
                              <w:t>no</w:t>
                            </w:r>
                            <w:r>
                              <w:rPr>
                                <w:spacing w:val="-2"/>
                              </w:rPr>
                              <w:t> </w:t>
                            </w:r>
                            <w:r>
                              <w:rPr/>
                              <w:t>existen</w:t>
                            </w:r>
                            <w:r>
                              <w:rPr>
                                <w:spacing w:val="-4"/>
                              </w:rPr>
                              <w:t> </w:t>
                            </w:r>
                            <w:r>
                              <w:rPr/>
                              <w:t>inventarios</w:t>
                            </w:r>
                            <w:r>
                              <w:rPr>
                                <w:spacing w:val="-2"/>
                              </w:rPr>
                              <w:t> </w:t>
                            </w:r>
                            <w:r>
                              <w:rPr/>
                              <w:t>pignorados</w:t>
                            </w:r>
                            <w:r>
                              <w:rPr>
                                <w:spacing w:val="-2"/>
                              </w:rPr>
                              <w:t> </w:t>
                            </w:r>
                            <w:r>
                              <w:rPr/>
                              <w:t>en</w:t>
                            </w:r>
                            <w:r>
                              <w:rPr>
                                <w:spacing w:val="-5"/>
                              </w:rPr>
                              <w:t> </w:t>
                            </w:r>
                            <w:r>
                              <w:rPr/>
                              <w:t>garantía</w:t>
                            </w:r>
                            <w:r>
                              <w:rPr>
                                <w:spacing w:val="-4"/>
                              </w:rPr>
                              <w:t> </w:t>
                            </w:r>
                            <w:r>
                              <w:rPr/>
                              <w:t>de</w:t>
                            </w:r>
                            <w:r>
                              <w:rPr>
                                <w:spacing w:val="-5"/>
                              </w:rPr>
                              <w:t> </w:t>
                            </w:r>
                            <w:r>
                              <w:rPr>
                                <w:spacing w:val="-2"/>
                              </w:rPr>
                              <w:t>deudas.</w:t>
                            </w:r>
                          </w:p>
                        </w:txbxContent>
                      </wps:txbx>
                      <wps:bodyPr wrap="square" lIns="0" tIns="0" rIns="0" bIns="0" rtlCol="0">
                        <a:noAutofit/>
                      </wps:bodyPr>
                    </wps:wsp>
                  </a:graphicData>
                </a:graphic>
              </wp:anchor>
            </w:drawing>
          </mc:Choice>
          <mc:Fallback>
            <w:pict>
              <v:shape style="position:absolute;margin-left:85.103996pt;margin-top:19.019331pt;width:450pt;height:35.65pt;mso-position-horizontal-relative:page;mso-position-vertical-relative:paragraph;z-index:-15683584;mso-wrap-distance-left:0;mso-wrap-distance-right:0" type="#_x0000_t202" id="docshape27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6"/>
                        </w:rPr>
                        <w:t> </w:t>
                      </w:r>
                      <w:r>
                        <w:rPr/>
                        <w:t>31</w:t>
                      </w:r>
                      <w:r>
                        <w:rPr>
                          <w:spacing w:val="-4"/>
                        </w:rPr>
                        <w:t> </w:t>
                      </w:r>
                      <w:r>
                        <w:rPr/>
                        <w:t>de</w:t>
                      </w:r>
                      <w:r>
                        <w:rPr>
                          <w:spacing w:val="-5"/>
                        </w:rPr>
                        <w:t> </w:t>
                      </w:r>
                      <w:r>
                        <w:rPr/>
                        <w:t>julio</w:t>
                      </w:r>
                      <w:r>
                        <w:rPr>
                          <w:spacing w:val="-3"/>
                        </w:rPr>
                        <w:t> </w:t>
                      </w:r>
                      <w:r>
                        <w:rPr/>
                        <w:t>no</w:t>
                      </w:r>
                      <w:r>
                        <w:rPr>
                          <w:spacing w:val="-2"/>
                        </w:rPr>
                        <w:t> </w:t>
                      </w:r>
                      <w:r>
                        <w:rPr/>
                        <w:t>existen</w:t>
                      </w:r>
                      <w:r>
                        <w:rPr>
                          <w:spacing w:val="-4"/>
                        </w:rPr>
                        <w:t> </w:t>
                      </w:r>
                      <w:r>
                        <w:rPr/>
                        <w:t>inventarios</w:t>
                      </w:r>
                      <w:r>
                        <w:rPr>
                          <w:spacing w:val="-2"/>
                        </w:rPr>
                        <w:t> </w:t>
                      </w:r>
                      <w:r>
                        <w:rPr/>
                        <w:t>pignorados</w:t>
                      </w:r>
                      <w:r>
                        <w:rPr>
                          <w:spacing w:val="-2"/>
                        </w:rPr>
                        <w:t> </w:t>
                      </w:r>
                      <w:r>
                        <w:rPr/>
                        <w:t>en</w:t>
                      </w:r>
                      <w:r>
                        <w:rPr>
                          <w:spacing w:val="-5"/>
                        </w:rPr>
                        <w:t> </w:t>
                      </w:r>
                      <w:r>
                        <w:rPr/>
                        <w:t>garantía</w:t>
                      </w:r>
                      <w:r>
                        <w:rPr>
                          <w:spacing w:val="-4"/>
                        </w:rPr>
                        <w:t> </w:t>
                      </w:r>
                      <w:r>
                        <w:rPr/>
                        <w:t>de</w:t>
                      </w:r>
                      <w:r>
                        <w:rPr>
                          <w:spacing w:val="-5"/>
                        </w:rPr>
                        <w:t> </w:t>
                      </w:r>
                      <w:r>
                        <w:rPr>
                          <w:spacing w:val="-2"/>
                        </w:rPr>
                        <w:t>deudas.</w:t>
                      </w:r>
                    </w:p>
                  </w:txbxContent>
                </v:textbox>
                <v:stroke dashstyle="solid"/>
                <w10:wrap type="topAndBottom"/>
              </v:shape>
            </w:pict>
          </mc:Fallback>
        </mc:AlternateContent>
      </w:r>
    </w:p>
    <w:p>
      <w:pPr>
        <w:pStyle w:val="BodyText"/>
        <w:spacing w:before="184"/>
        <w:rPr>
          <w:b/>
        </w:rPr>
      </w:pPr>
    </w:p>
    <w:p>
      <w:pPr>
        <w:pStyle w:val="Heading5"/>
      </w:pPr>
      <w:bookmarkStart w:name="_bookmark36" w:id="37"/>
      <w:bookmarkEnd w:id="37"/>
      <w:r>
        <w:rPr>
          <w:b w:val="0"/>
        </w:rPr>
      </w:r>
      <w:r>
        <w:rPr/>
        <w:t>NOTA</w:t>
      </w:r>
      <w:r>
        <w:rPr>
          <w:spacing w:val="-1"/>
        </w:rPr>
        <w:t> </w:t>
      </w:r>
      <w:r>
        <w:rPr/>
        <w:t>N° </w:t>
      </w:r>
      <w:r>
        <w:rPr>
          <w:spacing w:val="-10"/>
        </w:rPr>
        <w:t>7</w:t>
      </w:r>
    </w:p>
    <w:p>
      <w:pPr>
        <w:pStyle w:val="BodyText"/>
        <w:spacing w:before="115"/>
        <w:rPr>
          <w:b/>
        </w:rPr>
      </w:pPr>
    </w:p>
    <w:p>
      <w:pPr>
        <w:pStyle w:val="BodyText"/>
        <w:ind w:left="622"/>
      </w:pPr>
      <w:r>
        <w:rPr/>
        <w:t>Otros</w:t>
      </w:r>
      <w:r>
        <w:rPr>
          <w:spacing w:val="-6"/>
        </w:rPr>
        <w:t> </w:t>
      </w:r>
      <w:r>
        <w:rPr/>
        <w:t>activos</w:t>
      </w:r>
      <w:r>
        <w:rPr>
          <w:spacing w:val="-3"/>
        </w:rPr>
        <w:t> </w:t>
      </w:r>
      <w:r>
        <w:rPr/>
        <w:t>a</w:t>
      </w:r>
      <w:r>
        <w:rPr>
          <w:spacing w:val="-5"/>
        </w:rPr>
        <w:t> </w:t>
      </w:r>
      <w:r>
        <w:rPr/>
        <w:t>corto</w:t>
      </w:r>
      <w:r>
        <w:rPr>
          <w:spacing w:val="-4"/>
        </w:rPr>
        <w:t> 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2261"/>
        <w:gridCol w:w="708"/>
        <w:gridCol w:w="1984"/>
        <w:gridCol w:w="1891"/>
        <w:gridCol w:w="1197"/>
      </w:tblGrid>
      <w:tr>
        <w:trPr>
          <w:trHeight w:val="323" w:hRule="atLeast"/>
        </w:trPr>
        <w:tc>
          <w:tcPr>
            <w:tcW w:w="991" w:type="dxa"/>
            <w:vMerge w:val="restart"/>
            <w:shd w:val="clear" w:color="auto" w:fill="365F92"/>
          </w:tcPr>
          <w:p>
            <w:pPr>
              <w:pStyle w:val="TableParagraph"/>
              <w:spacing w:before="130"/>
              <w:ind w:left="69"/>
              <w:rPr>
                <w:b/>
                <w:sz w:val="20"/>
              </w:rPr>
            </w:pPr>
            <w:r>
              <w:rPr>
                <w:b/>
                <w:color w:val="FFFFFF"/>
                <w:spacing w:val="-2"/>
                <w:sz w:val="20"/>
              </w:rPr>
              <w:t>Cuenta</w:t>
            </w:r>
          </w:p>
        </w:tc>
        <w:tc>
          <w:tcPr>
            <w:tcW w:w="2261" w:type="dxa"/>
            <w:vMerge w:val="restart"/>
            <w:shd w:val="clear" w:color="auto" w:fill="365F92"/>
          </w:tcPr>
          <w:p>
            <w:pPr>
              <w:pStyle w:val="TableParagraph"/>
              <w:spacing w:before="219"/>
              <w:ind w:left="648"/>
              <w:rPr>
                <w:b/>
                <w:sz w:val="20"/>
              </w:rPr>
            </w:pPr>
            <w:r>
              <w:rPr>
                <w:b/>
                <w:color w:val="FFFFFF"/>
                <w:spacing w:val="-2"/>
                <w:sz w:val="20"/>
              </w:rPr>
              <w:t>Descripción</w:t>
            </w:r>
          </w:p>
        </w:tc>
        <w:tc>
          <w:tcPr>
            <w:tcW w:w="708" w:type="dxa"/>
            <w:vMerge w:val="restart"/>
            <w:shd w:val="clear" w:color="auto" w:fill="365F92"/>
          </w:tcPr>
          <w:p>
            <w:pPr>
              <w:pStyle w:val="TableParagraph"/>
              <w:spacing w:before="219"/>
              <w:ind w:left="158"/>
              <w:rPr>
                <w:b/>
                <w:sz w:val="20"/>
              </w:rPr>
            </w:pPr>
            <w:r>
              <w:rPr>
                <w:b/>
                <w:color w:val="FFFFFF"/>
                <w:spacing w:val="-4"/>
                <w:sz w:val="20"/>
              </w:rPr>
              <w:t>Nota</w:t>
            </w:r>
          </w:p>
        </w:tc>
        <w:tc>
          <w:tcPr>
            <w:tcW w:w="1984" w:type="dxa"/>
            <w:vMerge w:val="restart"/>
            <w:shd w:val="clear" w:color="auto" w:fill="365F92"/>
          </w:tcPr>
          <w:p>
            <w:pPr>
              <w:pStyle w:val="TableParagraph"/>
              <w:spacing w:before="219"/>
              <w:ind w:left="418"/>
              <w:rPr>
                <w:b/>
                <w:sz w:val="20"/>
              </w:rPr>
            </w:pPr>
            <w:r>
              <w:rPr>
                <w:b/>
                <w:color w:val="FFFFFF"/>
                <w:sz w:val="20"/>
              </w:rPr>
              <w:t>Periodo</w:t>
            </w:r>
            <w:r>
              <w:rPr>
                <w:b/>
                <w:color w:val="FFFFFF"/>
                <w:spacing w:val="-5"/>
                <w:sz w:val="20"/>
              </w:rPr>
              <w:t> </w:t>
            </w:r>
            <w:r>
              <w:rPr>
                <w:b/>
                <w:color w:val="FFFFFF"/>
                <w:spacing w:val="-2"/>
                <w:sz w:val="20"/>
              </w:rPr>
              <w:t>Actual</w:t>
            </w:r>
          </w:p>
        </w:tc>
        <w:tc>
          <w:tcPr>
            <w:tcW w:w="1891" w:type="dxa"/>
            <w:vMerge w:val="restart"/>
            <w:shd w:val="clear" w:color="auto" w:fill="365F92"/>
          </w:tcPr>
          <w:p>
            <w:pPr>
              <w:pStyle w:val="TableParagraph"/>
              <w:spacing w:before="219"/>
              <w:ind w:left="289"/>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6"/>
              <w:ind w:left="28" w:right="6"/>
              <w:jc w:val="center"/>
              <w:rPr>
                <w:b/>
                <w:sz w:val="20"/>
              </w:rPr>
            </w:pPr>
            <w:r>
              <w:rPr>
                <w:b/>
                <w:color w:val="FFFFFF"/>
                <w:spacing w:val="-2"/>
                <w:sz w:val="20"/>
              </w:rPr>
              <w:t>Diferencia</w:t>
            </w:r>
          </w:p>
        </w:tc>
      </w:tr>
      <w:tr>
        <w:trPr>
          <w:trHeight w:val="323" w:hRule="atLeast"/>
        </w:trPr>
        <w:tc>
          <w:tcPr>
            <w:tcW w:w="991" w:type="dxa"/>
            <w:vMerge/>
            <w:tcBorders>
              <w:top w:val="nil"/>
            </w:tcBorders>
            <w:shd w:val="clear" w:color="auto" w:fill="365F92"/>
          </w:tcPr>
          <w:p>
            <w:pPr>
              <w:rPr>
                <w:sz w:val="2"/>
                <w:szCs w:val="2"/>
              </w:rPr>
            </w:pPr>
          </w:p>
        </w:tc>
        <w:tc>
          <w:tcPr>
            <w:tcW w:w="2261"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984" w:type="dxa"/>
            <w:vMerge/>
            <w:tcBorders>
              <w:top w:val="nil"/>
            </w:tcBorders>
            <w:shd w:val="clear" w:color="auto" w:fill="365F92"/>
          </w:tcPr>
          <w:p>
            <w:pPr>
              <w:rPr>
                <w:sz w:val="2"/>
                <w:szCs w:val="2"/>
              </w:rPr>
            </w:pPr>
          </w:p>
        </w:tc>
        <w:tc>
          <w:tcPr>
            <w:tcW w:w="1891"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7"/>
              <w:jc w:val="center"/>
              <w:rPr>
                <w:sz w:val="20"/>
              </w:rPr>
            </w:pPr>
            <w:r>
              <w:rPr>
                <w:color w:val="FFFFFF"/>
                <w:spacing w:val="-10"/>
                <w:sz w:val="20"/>
              </w:rPr>
              <w:t>%</w:t>
            </w:r>
          </w:p>
        </w:tc>
      </w:tr>
      <w:tr>
        <w:trPr>
          <w:trHeight w:val="325" w:hRule="atLeast"/>
        </w:trPr>
        <w:tc>
          <w:tcPr>
            <w:tcW w:w="991" w:type="dxa"/>
          </w:tcPr>
          <w:p>
            <w:pPr>
              <w:pStyle w:val="TableParagraph"/>
              <w:spacing w:before="49"/>
              <w:ind w:left="69"/>
              <w:rPr>
                <w:b/>
                <w:sz w:val="20"/>
              </w:rPr>
            </w:pPr>
            <w:r>
              <w:rPr>
                <w:b/>
                <w:spacing w:val="-2"/>
                <w:sz w:val="20"/>
              </w:rPr>
              <w:t>1.1.9.</w:t>
            </w:r>
          </w:p>
        </w:tc>
        <w:tc>
          <w:tcPr>
            <w:tcW w:w="2261" w:type="dxa"/>
          </w:tcPr>
          <w:p>
            <w:pPr>
              <w:pStyle w:val="TableParagraph"/>
              <w:spacing w:before="49"/>
              <w:ind w:left="69"/>
              <w:rPr>
                <w:b/>
                <w:sz w:val="20"/>
              </w:rPr>
            </w:pPr>
            <w:r>
              <w:rPr>
                <w:b/>
                <w:sz w:val="20"/>
              </w:rPr>
              <w:t>Otros</w:t>
            </w:r>
            <w:r>
              <w:rPr>
                <w:b/>
                <w:spacing w:val="-5"/>
                <w:sz w:val="20"/>
              </w:rPr>
              <w:t> </w:t>
            </w:r>
            <w:r>
              <w:rPr>
                <w:b/>
                <w:sz w:val="20"/>
              </w:rPr>
              <w:t>activos</w:t>
            </w:r>
            <w:r>
              <w:rPr>
                <w:b/>
                <w:spacing w:val="-2"/>
                <w:sz w:val="20"/>
              </w:rPr>
              <w:t> </w:t>
            </w:r>
            <w:r>
              <w:rPr>
                <w:b/>
                <w:sz w:val="20"/>
              </w:rPr>
              <w:t>a</w:t>
            </w:r>
            <w:r>
              <w:rPr>
                <w:b/>
                <w:spacing w:val="-5"/>
                <w:sz w:val="20"/>
              </w:rPr>
              <w:t> </w:t>
            </w:r>
            <w:r>
              <w:rPr>
                <w:b/>
                <w:sz w:val="20"/>
              </w:rPr>
              <w:t>corto</w:t>
            </w:r>
            <w:r>
              <w:rPr>
                <w:b/>
                <w:spacing w:val="-3"/>
                <w:sz w:val="20"/>
              </w:rPr>
              <w:t> </w:t>
            </w:r>
            <w:r>
              <w:rPr>
                <w:b/>
                <w:spacing w:val="-4"/>
                <w:sz w:val="20"/>
              </w:rPr>
              <w:t>plazo</w:t>
            </w:r>
          </w:p>
        </w:tc>
        <w:tc>
          <w:tcPr>
            <w:tcW w:w="708" w:type="dxa"/>
          </w:tcPr>
          <w:p>
            <w:pPr>
              <w:pStyle w:val="TableParagraph"/>
              <w:spacing w:before="49"/>
              <w:ind w:left="18" w:right="1"/>
              <w:jc w:val="center"/>
              <w:rPr>
                <w:b/>
                <w:sz w:val="20"/>
              </w:rPr>
            </w:pPr>
            <w:r>
              <w:rPr>
                <w:b/>
                <w:spacing w:val="-5"/>
                <w:sz w:val="20"/>
              </w:rPr>
              <w:t>07</w:t>
            </w:r>
          </w:p>
        </w:tc>
        <w:tc>
          <w:tcPr>
            <w:tcW w:w="1984" w:type="dxa"/>
          </w:tcPr>
          <w:p>
            <w:pPr>
              <w:pStyle w:val="TableParagraph"/>
              <w:spacing w:before="49"/>
              <w:ind w:left="598"/>
              <w:rPr>
                <w:b/>
                <w:sz w:val="20"/>
              </w:rPr>
            </w:pPr>
            <w:r>
              <w:rPr>
                <w:b/>
                <w:sz w:val="20"/>
              </w:rPr>
              <w:t>86</w:t>
            </w:r>
            <w:r>
              <w:rPr>
                <w:b/>
                <w:spacing w:val="-2"/>
                <w:sz w:val="20"/>
              </w:rPr>
              <w:t> 697,24</w:t>
            </w:r>
          </w:p>
        </w:tc>
        <w:tc>
          <w:tcPr>
            <w:tcW w:w="1891" w:type="dxa"/>
          </w:tcPr>
          <w:p>
            <w:pPr>
              <w:pStyle w:val="TableParagraph"/>
              <w:spacing w:before="49"/>
              <w:ind w:left="553"/>
              <w:rPr>
                <w:b/>
                <w:sz w:val="20"/>
              </w:rPr>
            </w:pPr>
            <w:r>
              <w:rPr>
                <w:b/>
                <w:sz w:val="20"/>
              </w:rPr>
              <w:t>50</w:t>
            </w:r>
            <w:r>
              <w:rPr>
                <w:b/>
                <w:spacing w:val="-2"/>
                <w:sz w:val="20"/>
              </w:rPr>
              <w:t> 601,74</w:t>
            </w:r>
          </w:p>
        </w:tc>
        <w:tc>
          <w:tcPr>
            <w:tcW w:w="1197" w:type="dxa"/>
          </w:tcPr>
          <w:p>
            <w:pPr>
              <w:pStyle w:val="TableParagraph"/>
              <w:spacing w:before="49"/>
              <w:ind w:left="28" w:right="6"/>
              <w:jc w:val="center"/>
              <w:rPr>
                <w:b/>
                <w:sz w:val="20"/>
              </w:rPr>
            </w:pPr>
            <w:r>
              <w:rPr>
                <w:b/>
                <w:spacing w:val="-2"/>
                <w:sz w:val="20"/>
              </w:rPr>
              <w:t>71,33%</w:t>
            </w:r>
          </w:p>
        </w:tc>
      </w:tr>
    </w:tbl>
    <w:p>
      <w:pPr>
        <w:pStyle w:val="BodyText"/>
        <w:rPr>
          <w:sz w:val="20"/>
        </w:rPr>
      </w:pPr>
    </w:p>
    <w:p>
      <w:pPr>
        <w:pStyle w:val="BodyText"/>
        <w:spacing w:before="191"/>
        <w:rPr>
          <w:sz w:val="20"/>
        </w:rPr>
      </w:pPr>
      <w:r>
        <w:rPr>
          <w:sz w:val="20"/>
        </w:rPr>
        <mc:AlternateContent>
          <mc:Choice Requires="wps">
            <w:drawing>
              <wp:anchor distT="0" distB="0" distL="0" distR="0" allowOverlap="1" layoutInCell="1" locked="0" behindDoc="1" simplePos="0" relativeHeight="487633408">
                <wp:simplePos x="0" y="0"/>
                <wp:positionH relativeFrom="page">
                  <wp:posOffset>1080820</wp:posOffset>
                </wp:positionH>
                <wp:positionV relativeFrom="paragraph">
                  <wp:posOffset>285035</wp:posOffset>
                </wp:positionV>
                <wp:extent cx="5715000" cy="758190"/>
                <wp:effectExtent l="0" t="0" r="0" b="0"/>
                <wp:wrapTopAndBottom/>
                <wp:docPr id="288" name="Textbox 288"/>
                <wp:cNvGraphicFramePr>
                  <a:graphicFrameLocks/>
                </wp:cNvGraphicFramePr>
                <a:graphic>
                  <a:graphicData uri="http://schemas.microsoft.com/office/word/2010/wordprocessingShape">
                    <wps:wsp>
                      <wps:cNvPr id="288" name="Textbox 288"/>
                      <wps:cNvSpPr txBox="1"/>
                      <wps:spPr>
                        <a:xfrm>
                          <a:off x="0" y="0"/>
                          <a:ext cx="5715000" cy="758190"/>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right="102"/>
                              <w:jc w:val="both"/>
                            </w:pPr>
                            <w:r>
                              <w:rPr/>
                              <w:t>Los saldos mostrados representan los seguros pagados por adelantado correspondiente a pólizas de incendio,</w:t>
                            </w:r>
                            <w:r>
                              <w:rPr>
                                <w:spacing w:val="-5"/>
                              </w:rPr>
                              <w:t> </w:t>
                            </w:r>
                            <w:r>
                              <w:rPr/>
                              <w:t>robo,</w:t>
                            </w:r>
                            <w:r>
                              <w:rPr>
                                <w:spacing w:val="-7"/>
                              </w:rPr>
                              <w:t> </w:t>
                            </w:r>
                            <w:r>
                              <w:rPr/>
                              <w:t>riesgos</w:t>
                            </w:r>
                            <w:r>
                              <w:rPr>
                                <w:spacing w:val="-4"/>
                              </w:rPr>
                              <w:t> </w:t>
                            </w:r>
                            <w:r>
                              <w:rPr/>
                              <w:t>de</w:t>
                            </w:r>
                            <w:r>
                              <w:rPr>
                                <w:spacing w:val="-6"/>
                              </w:rPr>
                              <w:t> </w:t>
                            </w:r>
                            <w:r>
                              <w:rPr/>
                              <w:t>trabajo</w:t>
                            </w:r>
                            <w:r>
                              <w:rPr>
                                <w:spacing w:val="-4"/>
                              </w:rPr>
                              <w:t> </w:t>
                            </w:r>
                            <w:r>
                              <w:rPr/>
                              <w:t>y</w:t>
                            </w:r>
                            <w:r>
                              <w:rPr>
                                <w:spacing w:val="-6"/>
                              </w:rPr>
                              <w:t> </w:t>
                            </w:r>
                            <w:r>
                              <w:rPr/>
                              <w:t>de</w:t>
                            </w:r>
                            <w:r>
                              <w:rPr>
                                <w:spacing w:val="-6"/>
                              </w:rPr>
                              <w:t> </w:t>
                            </w:r>
                            <w:r>
                              <w:rPr/>
                              <w:t>la</w:t>
                            </w:r>
                            <w:r>
                              <w:rPr>
                                <w:spacing w:val="-6"/>
                              </w:rPr>
                              <w:t> </w:t>
                            </w:r>
                            <w:r>
                              <w:rPr/>
                              <w:t>flotilla</w:t>
                            </w:r>
                            <w:r>
                              <w:rPr>
                                <w:spacing w:val="-6"/>
                              </w:rPr>
                              <w:t> </w:t>
                            </w:r>
                            <w:r>
                              <w:rPr/>
                              <w:t>vehículo,</w:t>
                            </w:r>
                            <w:r>
                              <w:rPr>
                                <w:spacing w:val="-4"/>
                              </w:rPr>
                              <w:t> </w:t>
                            </w:r>
                            <w:r>
                              <w:rPr/>
                              <w:t>por</w:t>
                            </w:r>
                            <w:r>
                              <w:rPr>
                                <w:spacing w:val="-4"/>
                              </w:rPr>
                              <w:t> </w:t>
                            </w:r>
                            <w:r>
                              <w:rPr/>
                              <w:t>un</w:t>
                            </w:r>
                            <w:r>
                              <w:rPr>
                                <w:spacing w:val="-4"/>
                              </w:rPr>
                              <w:t> </w:t>
                            </w:r>
                            <w:r>
                              <w:rPr/>
                              <w:t>año.</w:t>
                            </w:r>
                            <w:r>
                              <w:rPr>
                                <w:spacing w:val="-6"/>
                              </w:rPr>
                              <w:t> </w:t>
                            </w:r>
                            <w:r>
                              <w:rPr/>
                              <w:t>Mensualmente</w:t>
                            </w:r>
                            <w:r>
                              <w:rPr>
                                <w:spacing w:val="-6"/>
                              </w:rPr>
                              <w:t> </w:t>
                            </w:r>
                            <w:r>
                              <w:rPr/>
                              <w:t>se</w:t>
                            </w:r>
                            <w:r>
                              <w:rPr>
                                <w:spacing w:val="-6"/>
                              </w:rPr>
                              <w:t> </w:t>
                            </w:r>
                            <w:r>
                              <w:rPr/>
                              <w:t>ajusta</w:t>
                            </w:r>
                            <w:r>
                              <w:rPr>
                                <w:spacing w:val="-5"/>
                              </w:rPr>
                              <w:t> </w:t>
                            </w:r>
                            <w:r>
                              <w:rPr/>
                              <w:t>el</w:t>
                            </w:r>
                            <w:r>
                              <w:rPr>
                                <w:spacing w:val="-5"/>
                              </w:rPr>
                              <w:t> </w:t>
                            </w:r>
                            <w:r>
                              <w:rPr/>
                              <w:t>gasto </w:t>
                            </w:r>
                            <w:r>
                              <w:rPr>
                                <w:spacing w:val="-2"/>
                              </w:rPr>
                              <w:t>correspondiente.</w:t>
                            </w:r>
                          </w:p>
                        </w:txbxContent>
                      </wps:txbx>
                      <wps:bodyPr wrap="square" lIns="0" tIns="0" rIns="0" bIns="0" rtlCol="0">
                        <a:noAutofit/>
                      </wps:bodyPr>
                    </wps:wsp>
                  </a:graphicData>
                </a:graphic>
              </wp:anchor>
            </w:drawing>
          </mc:Choice>
          <mc:Fallback>
            <w:pict>
              <v:shape style="position:absolute;margin-left:85.103996pt;margin-top:22.443766pt;width:450pt;height:59.7pt;mso-position-horizontal-relative:page;mso-position-vertical-relative:paragraph;z-index:-15683072;mso-wrap-distance-left:0;mso-wrap-distance-right:0" type="#_x0000_t202" id="docshape274"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right="102"/>
                        <w:jc w:val="both"/>
                      </w:pPr>
                      <w:r>
                        <w:rPr/>
                        <w:t>Los saldos mostrados representan los seguros pagados por adelantado correspondiente a pólizas de incendio,</w:t>
                      </w:r>
                      <w:r>
                        <w:rPr>
                          <w:spacing w:val="-5"/>
                        </w:rPr>
                        <w:t> </w:t>
                      </w:r>
                      <w:r>
                        <w:rPr/>
                        <w:t>robo,</w:t>
                      </w:r>
                      <w:r>
                        <w:rPr>
                          <w:spacing w:val="-7"/>
                        </w:rPr>
                        <w:t> </w:t>
                      </w:r>
                      <w:r>
                        <w:rPr/>
                        <w:t>riesgos</w:t>
                      </w:r>
                      <w:r>
                        <w:rPr>
                          <w:spacing w:val="-4"/>
                        </w:rPr>
                        <w:t> </w:t>
                      </w:r>
                      <w:r>
                        <w:rPr/>
                        <w:t>de</w:t>
                      </w:r>
                      <w:r>
                        <w:rPr>
                          <w:spacing w:val="-6"/>
                        </w:rPr>
                        <w:t> </w:t>
                      </w:r>
                      <w:r>
                        <w:rPr/>
                        <w:t>trabajo</w:t>
                      </w:r>
                      <w:r>
                        <w:rPr>
                          <w:spacing w:val="-4"/>
                        </w:rPr>
                        <w:t> </w:t>
                      </w:r>
                      <w:r>
                        <w:rPr/>
                        <w:t>y</w:t>
                      </w:r>
                      <w:r>
                        <w:rPr>
                          <w:spacing w:val="-6"/>
                        </w:rPr>
                        <w:t> </w:t>
                      </w:r>
                      <w:r>
                        <w:rPr/>
                        <w:t>de</w:t>
                      </w:r>
                      <w:r>
                        <w:rPr>
                          <w:spacing w:val="-6"/>
                        </w:rPr>
                        <w:t> </w:t>
                      </w:r>
                      <w:r>
                        <w:rPr/>
                        <w:t>la</w:t>
                      </w:r>
                      <w:r>
                        <w:rPr>
                          <w:spacing w:val="-6"/>
                        </w:rPr>
                        <w:t> </w:t>
                      </w:r>
                      <w:r>
                        <w:rPr/>
                        <w:t>flotilla</w:t>
                      </w:r>
                      <w:r>
                        <w:rPr>
                          <w:spacing w:val="-6"/>
                        </w:rPr>
                        <w:t> </w:t>
                      </w:r>
                      <w:r>
                        <w:rPr/>
                        <w:t>vehículo,</w:t>
                      </w:r>
                      <w:r>
                        <w:rPr>
                          <w:spacing w:val="-4"/>
                        </w:rPr>
                        <w:t> </w:t>
                      </w:r>
                      <w:r>
                        <w:rPr/>
                        <w:t>por</w:t>
                      </w:r>
                      <w:r>
                        <w:rPr>
                          <w:spacing w:val="-4"/>
                        </w:rPr>
                        <w:t> </w:t>
                      </w:r>
                      <w:r>
                        <w:rPr/>
                        <w:t>un</w:t>
                      </w:r>
                      <w:r>
                        <w:rPr>
                          <w:spacing w:val="-4"/>
                        </w:rPr>
                        <w:t> </w:t>
                      </w:r>
                      <w:r>
                        <w:rPr/>
                        <w:t>año.</w:t>
                      </w:r>
                      <w:r>
                        <w:rPr>
                          <w:spacing w:val="-6"/>
                        </w:rPr>
                        <w:t> </w:t>
                      </w:r>
                      <w:r>
                        <w:rPr/>
                        <w:t>Mensualmente</w:t>
                      </w:r>
                      <w:r>
                        <w:rPr>
                          <w:spacing w:val="-6"/>
                        </w:rPr>
                        <w:t> </w:t>
                      </w:r>
                      <w:r>
                        <w:rPr/>
                        <w:t>se</w:t>
                      </w:r>
                      <w:r>
                        <w:rPr>
                          <w:spacing w:val="-6"/>
                        </w:rPr>
                        <w:t> </w:t>
                      </w:r>
                      <w:r>
                        <w:rPr/>
                        <w:t>ajusta</w:t>
                      </w:r>
                      <w:r>
                        <w:rPr>
                          <w:spacing w:val="-5"/>
                        </w:rPr>
                        <w:t> </w:t>
                      </w:r>
                      <w:r>
                        <w:rPr/>
                        <w:t>el</w:t>
                      </w:r>
                      <w:r>
                        <w:rPr>
                          <w:spacing w:val="-5"/>
                        </w:rPr>
                        <w:t> </w:t>
                      </w:r>
                      <w:r>
                        <w:rPr/>
                        <w:t>gasto </w:t>
                      </w:r>
                      <w:r>
                        <w:rPr>
                          <w:spacing w:val="-2"/>
                        </w:rPr>
                        <w:t>correspondiente.</w:t>
                      </w:r>
                    </w:p>
                  </w:txbxContent>
                </v:textbox>
                <v:stroke dashstyle="solid"/>
                <w10:wrap type="topAndBottom"/>
              </v:shape>
            </w:pict>
          </mc:Fallback>
        </mc:AlternateContent>
      </w:r>
    </w:p>
    <w:p>
      <w:pPr>
        <w:pStyle w:val="BodyText"/>
        <w:spacing w:before="208"/>
        <w:rPr>
          <w:sz w:val="20"/>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40"/>
      </w:tblGrid>
      <w:tr>
        <w:trPr>
          <w:trHeight w:val="287" w:hRule="atLeast"/>
        </w:trPr>
        <w:tc>
          <w:tcPr>
            <w:tcW w:w="1241" w:type="dxa"/>
            <w:tcBorders>
              <w:bottom w:val="nil"/>
            </w:tcBorders>
            <w:shd w:val="clear" w:color="auto" w:fill="365F92"/>
          </w:tcPr>
          <w:p>
            <w:pPr>
              <w:pStyle w:val="TableParagraph"/>
              <w:spacing w:before="27"/>
              <w:ind w:left="69"/>
              <w:rPr>
                <w:b/>
                <w:sz w:val="20"/>
              </w:rPr>
            </w:pPr>
            <w:r>
              <w:rPr>
                <w:b/>
                <w:color w:val="FFFFFF"/>
                <w:spacing w:val="-2"/>
                <w:sz w:val="20"/>
              </w:rPr>
              <w:t>Cuenta</w:t>
            </w:r>
          </w:p>
        </w:tc>
        <w:tc>
          <w:tcPr>
            <w:tcW w:w="3140" w:type="dxa"/>
            <w:tcBorders>
              <w:bottom w:val="nil"/>
            </w:tcBorders>
            <w:shd w:val="clear" w:color="auto" w:fill="365F92"/>
          </w:tcPr>
          <w:p>
            <w:pPr>
              <w:pStyle w:val="TableParagraph"/>
              <w:spacing w:before="27"/>
              <w:ind w:left="16"/>
              <w:jc w:val="center"/>
              <w:rPr>
                <w:b/>
                <w:sz w:val="20"/>
              </w:rPr>
            </w:pPr>
            <w:r>
              <w:rPr>
                <w:b/>
                <w:color w:val="FFFFFF"/>
                <w:spacing w:val="-2"/>
                <w:sz w:val="20"/>
              </w:rPr>
              <w:t>Descripción</w:t>
            </w:r>
          </w:p>
        </w:tc>
      </w:tr>
      <w:tr>
        <w:trPr>
          <w:trHeight w:val="299" w:hRule="atLeast"/>
        </w:trPr>
        <w:tc>
          <w:tcPr>
            <w:tcW w:w="1241" w:type="dxa"/>
            <w:tcBorders>
              <w:top w:val="nil"/>
            </w:tcBorders>
          </w:tcPr>
          <w:p>
            <w:pPr>
              <w:pStyle w:val="TableParagraph"/>
              <w:spacing w:before="35"/>
              <w:ind w:left="69"/>
              <w:rPr>
                <w:b/>
                <w:sz w:val="20"/>
              </w:rPr>
            </w:pPr>
            <w:r>
              <w:rPr>
                <w:b/>
                <w:spacing w:val="-2"/>
                <w:sz w:val="20"/>
              </w:rPr>
              <w:t>1.1.9.01.</w:t>
            </w:r>
          </w:p>
        </w:tc>
        <w:tc>
          <w:tcPr>
            <w:tcW w:w="3140" w:type="dxa"/>
            <w:tcBorders>
              <w:top w:val="nil"/>
            </w:tcBorders>
          </w:tcPr>
          <w:p>
            <w:pPr>
              <w:pStyle w:val="TableParagraph"/>
              <w:spacing w:before="35"/>
              <w:ind w:left="68"/>
              <w:rPr>
                <w:b/>
                <w:sz w:val="20"/>
              </w:rPr>
            </w:pPr>
            <w:r>
              <w:rPr>
                <w:b/>
                <w:sz w:val="20"/>
              </w:rPr>
              <w:t>Gastos</w:t>
            </w:r>
            <w:r>
              <w:rPr>
                <w:b/>
                <w:spacing w:val="-3"/>
                <w:sz w:val="20"/>
              </w:rPr>
              <w:t> </w:t>
            </w:r>
            <w:r>
              <w:rPr>
                <w:b/>
                <w:sz w:val="20"/>
              </w:rPr>
              <w:t>a</w:t>
            </w:r>
            <w:r>
              <w:rPr>
                <w:b/>
                <w:spacing w:val="-5"/>
                <w:sz w:val="20"/>
              </w:rPr>
              <w:t> </w:t>
            </w:r>
            <w:r>
              <w:rPr>
                <w:b/>
                <w:sz w:val="20"/>
              </w:rPr>
              <w:t>devengar</w:t>
            </w:r>
            <w:r>
              <w:rPr>
                <w:b/>
                <w:spacing w:val="-2"/>
                <w:sz w:val="20"/>
              </w:rPr>
              <w:t> </w:t>
            </w:r>
            <w:r>
              <w:rPr>
                <w:b/>
                <w:sz w:val="20"/>
              </w:rPr>
              <w:t>a</w:t>
            </w:r>
            <w:r>
              <w:rPr>
                <w:b/>
                <w:spacing w:val="-4"/>
                <w:sz w:val="20"/>
              </w:rPr>
              <w:t> </w:t>
            </w:r>
            <w:r>
              <w:rPr>
                <w:b/>
                <w:sz w:val="20"/>
              </w:rPr>
              <w:t>corto</w:t>
            </w:r>
            <w:r>
              <w:rPr>
                <w:b/>
                <w:spacing w:val="-4"/>
                <w:sz w:val="20"/>
              </w:rPr>
              <w:t> plazo</w:t>
            </w:r>
          </w:p>
        </w:tc>
      </w:tr>
    </w:tbl>
    <w:p>
      <w:pPr>
        <w:pStyle w:val="TableParagraph"/>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1840">
                <wp:simplePos x="0" y="0"/>
                <wp:positionH relativeFrom="page">
                  <wp:posOffset>9525</wp:posOffset>
                </wp:positionH>
                <wp:positionV relativeFrom="page">
                  <wp:posOffset>297208</wp:posOffset>
                </wp:positionV>
                <wp:extent cx="7762875" cy="9748520"/>
                <wp:effectExtent l="0" t="0" r="0" b="0"/>
                <wp:wrapNone/>
                <wp:docPr id="289" name="Group 289"/>
                <wp:cNvGraphicFramePr>
                  <a:graphicFrameLocks/>
                </wp:cNvGraphicFramePr>
                <a:graphic>
                  <a:graphicData uri="http://schemas.microsoft.com/office/word/2010/wordprocessingGroup">
                    <wpg:wgp>
                      <wpg:cNvPr id="289" name="Group 289"/>
                      <wpg:cNvGrpSpPr/>
                      <wpg:grpSpPr>
                        <a:xfrm>
                          <a:off x="0" y="0"/>
                          <a:ext cx="7762875" cy="9748520"/>
                          <a:chExt cx="7762875" cy="9748520"/>
                        </a:xfrm>
                      </wpg:grpSpPr>
                      <pic:pic>
                        <pic:nvPicPr>
                          <pic:cNvPr id="290" name="Image 290"/>
                          <pic:cNvPicPr/>
                        </pic:nvPicPr>
                        <pic:blipFill>
                          <a:blip r:embed="rId5" cstate="print"/>
                          <a:stretch>
                            <a:fillRect/>
                          </a:stretch>
                        </pic:blipFill>
                        <pic:spPr>
                          <a:xfrm>
                            <a:off x="0" y="0"/>
                            <a:ext cx="7762874" cy="9748489"/>
                          </a:xfrm>
                          <a:prstGeom prst="rect">
                            <a:avLst/>
                          </a:prstGeom>
                        </pic:spPr>
                      </pic:pic>
                      <wps:wsp>
                        <wps:cNvPr id="291" name="Graphic 291"/>
                        <wps:cNvSpPr/>
                        <wps:spPr>
                          <a:xfrm>
                            <a:off x="1053007" y="990837"/>
                            <a:ext cx="5649595" cy="3422650"/>
                          </a:xfrm>
                          <a:custGeom>
                            <a:avLst/>
                            <a:gdLst/>
                            <a:ahLst/>
                            <a:cxnLst/>
                            <a:rect l="l" t="t" r="r" b="b"/>
                            <a:pathLst>
                              <a:path w="5649595" h="3422650">
                                <a:moveTo>
                                  <a:pt x="4933543" y="3413201"/>
                                </a:moveTo>
                                <a:lnTo>
                                  <a:pt x="2777134" y="3413201"/>
                                </a:lnTo>
                                <a:lnTo>
                                  <a:pt x="2777134" y="3422573"/>
                                </a:lnTo>
                                <a:lnTo>
                                  <a:pt x="4933543" y="3422573"/>
                                </a:lnTo>
                                <a:lnTo>
                                  <a:pt x="4933543" y="3413201"/>
                                </a:lnTo>
                                <a:close/>
                              </a:path>
                              <a:path w="5649595" h="342265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4640" id="docshapegroup275" coordorigin="15,468" coordsize="12225,15352">
                <v:shape style="position:absolute;left:15;top:468;width:12225;height:15352" type="#_x0000_t75" id="docshape276" stroked="false">
                  <v:imagedata r:id="rId5" o:title=""/>
                </v:shape>
                <v:shape style="position:absolute;left:1673;top:2028;width:8897;height:5390" id="docshape277" coordorigin="1673,2028" coordsize="8897,5390" path="m9443,7404l6047,7404,6047,7418,9443,7418,9443,7404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63</w:t>
      </w:r>
    </w:p>
    <w:p>
      <w:pPr>
        <w:pStyle w:val="BodyText"/>
        <w:rPr>
          <w:sz w:val="19"/>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84"/>
        <w:gridCol w:w="2412"/>
        <w:gridCol w:w="1461"/>
      </w:tblGrid>
      <w:tr>
        <w:trPr>
          <w:trHeight w:val="230" w:hRule="atLeast"/>
        </w:trPr>
        <w:tc>
          <w:tcPr>
            <w:tcW w:w="3884" w:type="dxa"/>
            <w:tcBorders>
              <w:bottom w:val="nil"/>
            </w:tcBorders>
            <w:shd w:val="clear" w:color="auto" w:fill="365F92"/>
          </w:tcPr>
          <w:p>
            <w:pPr>
              <w:pStyle w:val="TableParagraph"/>
              <w:spacing w:line="209" w:lineRule="exact" w:before="1"/>
              <w:ind w:left="17"/>
              <w:jc w:val="center"/>
              <w:rPr>
                <w:b/>
                <w:sz w:val="20"/>
              </w:rPr>
            </w:pPr>
            <w:r>
              <w:rPr>
                <w:b/>
                <w:color w:val="FFFFFF"/>
                <w:spacing w:val="-2"/>
                <w:sz w:val="20"/>
              </w:rPr>
              <w:t>Cuenta</w:t>
            </w:r>
          </w:p>
        </w:tc>
        <w:tc>
          <w:tcPr>
            <w:tcW w:w="2412" w:type="dxa"/>
            <w:tcBorders>
              <w:bottom w:val="nil"/>
            </w:tcBorders>
            <w:shd w:val="clear" w:color="auto" w:fill="365F92"/>
          </w:tcPr>
          <w:p>
            <w:pPr>
              <w:pStyle w:val="TableParagraph"/>
              <w:spacing w:line="209" w:lineRule="exact" w:before="1"/>
              <w:ind w:left="15"/>
              <w:jc w:val="center"/>
              <w:rPr>
                <w:b/>
                <w:sz w:val="20"/>
              </w:rPr>
            </w:pPr>
            <w:r>
              <w:rPr>
                <w:b/>
                <w:color w:val="FFFFFF"/>
                <w:spacing w:val="-2"/>
                <w:sz w:val="20"/>
              </w:rPr>
              <w:t>Detalle</w:t>
            </w:r>
          </w:p>
        </w:tc>
        <w:tc>
          <w:tcPr>
            <w:tcW w:w="1461" w:type="dxa"/>
            <w:tcBorders>
              <w:bottom w:val="nil"/>
            </w:tcBorders>
            <w:shd w:val="clear" w:color="auto" w:fill="365F92"/>
          </w:tcPr>
          <w:p>
            <w:pPr>
              <w:pStyle w:val="TableParagraph"/>
              <w:spacing w:line="209" w:lineRule="exact" w:before="1"/>
              <w:ind w:left="456"/>
              <w:rPr>
                <w:b/>
                <w:sz w:val="20"/>
              </w:rPr>
            </w:pPr>
            <w:r>
              <w:rPr>
                <w:b/>
                <w:color w:val="FFFFFF"/>
                <w:spacing w:val="-2"/>
                <w:sz w:val="20"/>
              </w:rPr>
              <w:t>Monto</w:t>
            </w:r>
          </w:p>
        </w:tc>
      </w:tr>
      <w:tr>
        <w:trPr>
          <w:trHeight w:val="911" w:hRule="atLeast"/>
        </w:trPr>
        <w:tc>
          <w:tcPr>
            <w:tcW w:w="3884" w:type="dxa"/>
            <w:tcBorders>
              <w:top w:val="nil"/>
            </w:tcBorders>
          </w:tcPr>
          <w:p>
            <w:pPr>
              <w:pStyle w:val="TableParagraph"/>
              <w:spacing w:before="227"/>
              <w:ind w:left="69" w:firstLine="50"/>
              <w:rPr>
                <w:b/>
                <w:sz w:val="20"/>
              </w:rPr>
            </w:pPr>
            <w:r>
              <w:rPr>
                <w:b/>
                <w:sz w:val="20"/>
              </w:rPr>
              <w:t>1.1.9.01.01.01.0.</w:t>
            </w:r>
            <w:r>
              <w:rPr>
                <w:b/>
                <w:spacing w:val="-7"/>
                <w:sz w:val="20"/>
              </w:rPr>
              <w:t> </w:t>
            </w:r>
            <w:r>
              <w:rPr>
                <w:b/>
                <w:sz w:val="20"/>
              </w:rPr>
              <w:t>Primas</w:t>
            </w:r>
            <w:r>
              <w:rPr>
                <w:b/>
                <w:spacing w:val="-7"/>
                <w:sz w:val="20"/>
              </w:rPr>
              <w:t> </w:t>
            </w:r>
            <w:r>
              <w:rPr>
                <w:b/>
                <w:sz w:val="20"/>
              </w:rPr>
              <w:t>y</w:t>
            </w:r>
            <w:r>
              <w:rPr>
                <w:b/>
                <w:spacing w:val="-6"/>
                <w:sz w:val="20"/>
              </w:rPr>
              <w:t> </w:t>
            </w:r>
            <w:r>
              <w:rPr>
                <w:b/>
                <w:sz w:val="20"/>
              </w:rPr>
              <w:t>gastos</w:t>
            </w:r>
            <w:r>
              <w:rPr>
                <w:b/>
                <w:spacing w:val="-7"/>
                <w:sz w:val="20"/>
              </w:rPr>
              <w:t> </w:t>
            </w:r>
            <w:r>
              <w:rPr>
                <w:b/>
                <w:sz w:val="20"/>
              </w:rPr>
              <w:t>de</w:t>
            </w:r>
            <w:r>
              <w:rPr>
                <w:b/>
                <w:spacing w:val="-7"/>
                <w:sz w:val="20"/>
              </w:rPr>
              <w:t> </w:t>
            </w:r>
            <w:r>
              <w:rPr>
                <w:b/>
                <w:sz w:val="20"/>
              </w:rPr>
              <w:t>seguros</w:t>
            </w:r>
            <w:r>
              <w:rPr>
                <w:b/>
                <w:spacing w:val="-7"/>
                <w:sz w:val="20"/>
              </w:rPr>
              <w:t> </w:t>
            </w:r>
            <w:r>
              <w:rPr>
                <w:b/>
                <w:sz w:val="20"/>
              </w:rPr>
              <w:t>a devengar c/p</w:t>
            </w:r>
          </w:p>
        </w:tc>
        <w:tc>
          <w:tcPr>
            <w:tcW w:w="2412" w:type="dxa"/>
            <w:tcBorders>
              <w:top w:val="nil"/>
            </w:tcBorders>
          </w:tcPr>
          <w:p>
            <w:pPr>
              <w:pStyle w:val="TableParagraph"/>
              <w:ind w:left="66" w:firstLine="50"/>
              <w:rPr>
                <w:sz w:val="20"/>
              </w:rPr>
            </w:pPr>
            <w:r>
              <w:rPr>
                <w:sz w:val="20"/>
              </w:rPr>
              <w:t>Pólizas de seguros de vehículos,</w:t>
            </w:r>
            <w:r>
              <w:rPr>
                <w:spacing w:val="-13"/>
                <w:sz w:val="20"/>
              </w:rPr>
              <w:t> </w:t>
            </w:r>
            <w:r>
              <w:rPr>
                <w:sz w:val="20"/>
              </w:rPr>
              <w:t>robos,</w:t>
            </w:r>
            <w:r>
              <w:rPr>
                <w:spacing w:val="-12"/>
                <w:sz w:val="20"/>
              </w:rPr>
              <w:t> </w:t>
            </w:r>
            <w:r>
              <w:rPr>
                <w:sz w:val="20"/>
              </w:rPr>
              <w:t>riesgos</w:t>
            </w:r>
            <w:r>
              <w:rPr>
                <w:spacing w:val="-13"/>
                <w:sz w:val="20"/>
              </w:rPr>
              <w:t> </w:t>
            </w:r>
            <w:r>
              <w:rPr>
                <w:sz w:val="20"/>
              </w:rPr>
              <w:t>de trabajo y responsabilidad</w:t>
            </w:r>
          </w:p>
          <w:p>
            <w:pPr>
              <w:pStyle w:val="TableParagraph"/>
              <w:spacing w:line="208" w:lineRule="exact"/>
              <w:ind w:left="66"/>
              <w:rPr>
                <w:sz w:val="20"/>
              </w:rPr>
            </w:pPr>
            <w:r>
              <w:rPr>
                <w:spacing w:val="-4"/>
                <w:sz w:val="20"/>
              </w:rPr>
              <w:t>civil</w:t>
            </w:r>
          </w:p>
        </w:tc>
        <w:tc>
          <w:tcPr>
            <w:tcW w:w="1461" w:type="dxa"/>
            <w:tcBorders>
              <w:top w:val="nil"/>
            </w:tcBorders>
          </w:tcPr>
          <w:p>
            <w:pPr>
              <w:pStyle w:val="TableParagraph"/>
              <w:spacing w:before="111"/>
              <w:rPr>
                <w:sz w:val="20"/>
              </w:rPr>
            </w:pPr>
          </w:p>
          <w:p>
            <w:pPr>
              <w:pStyle w:val="TableParagraph"/>
              <w:ind w:left="456"/>
              <w:rPr>
                <w:sz w:val="20"/>
              </w:rPr>
            </w:pPr>
            <w:r>
              <w:rPr>
                <w:sz w:val="20"/>
              </w:rPr>
              <w:t>¢</w:t>
            </w:r>
            <w:r>
              <w:rPr>
                <w:spacing w:val="-1"/>
                <w:sz w:val="20"/>
              </w:rPr>
              <w:t> </w:t>
            </w:r>
            <w:r>
              <w:rPr>
                <w:spacing w:val="-2"/>
                <w:sz w:val="20"/>
              </w:rPr>
              <w:t>48.707,46</w:t>
            </w:r>
          </w:p>
        </w:tc>
      </w:tr>
      <w:tr>
        <w:trPr>
          <w:trHeight w:val="455" w:hRule="atLeast"/>
        </w:trPr>
        <w:tc>
          <w:tcPr>
            <w:tcW w:w="3884" w:type="dxa"/>
          </w:tcPr>
          <w:p>
            <w:pPr>
              <w:pStyle w:val="TableParagraph"/>
              <w:spacing w:line="227" w:lineRule="exact"/>
              <w:ind w:left="119"/>
              <w:rPr>
                <w:b/>
                <w:sz w:val="20"/>
              </w:rPr>
            </w:pPr>
            <w:r>
              <w:rPr>
                <w:b/>
                <w:sz w:val="20"/>
              </w:rPr>
              <w:t>1.1.9.01.01.02.0.</w:t>
            </w:r>
            <w:r>
              <w:rPr>
                <w:b/>
                <w:spacing w:val="-8"/>
                <w:sz w:val="20"/>
              </w:rPr>
              <w:t> </w:t>
            </w:r>
            <w:r>
              <w:rPr>
                <w:b/>
                <w:sz w:val="20"/>
              </w:rPr>
              <w:t>Alquileres</w:t>
            </w:r>
            <w:r>
              <w:rPr>
                <w:b/>
                <w:spacing w:val="-7"/>
                <w:sz w:val="20"/>
              </w:rPr>
              <w:t> </w:t>
            </w:r>
            <w:r>
              <w:rPr>
                <w:b/>
                <w:sz w:val="20"/>
              </w:rPr>
              <w:t>y</w:t>
            </w:r>
            <w:r>
              <w:rPr>
                <w:b/>
                <w:spacing w:val="-8"/>
                <w:sz w:val="20"/>
              </w:rPr>
              <w:t> </w:t>
            </w:r>
            <w:r>
              <w:rPr>
                <w:b/>
                <w:sz w:val="20"/>
              </w:rPr>
              <w:t>derechos</w:t>
            </w:r>
            <w:r>
              <w:rPr>
                <w:b/>
                <w:spacing w:val="-7"/>
                <w:sz w:val="20"/>
              </w:rPr>
              <w:t> </w:t>
            </w:r>
            <w:r>
              <w:rPr>
                <w:b/>
                <w:spacing w:val="-4"/>
                <w:sz w:val="20"/>
              </w:rPr>
              <w:t>sobre</w:t>
            </w:r>
          </w:p>
          <w:p>
            <w:pPr>
              <w:pStyle w:val="TableParagraph"/>
              <w:spacing w:line="209" w:lineRule="exact"/>
              <w:ind w:left="69"/>
              <w:rPr>
                <w:b/>
                <w:sz w:val="20"/>
              </w:rPr>
            </w:pPr>
            <w:r>
              <w:rPr>
                <w:b/>
                <w:sz w:val="20"/>
              </w:rPr>
              <w:t>bienes</w:t>
            </w:r>
            <w:r>
              <w:rPr>
                <w:b/>
                <w:spacing w:val="-6"/>
                <w:sz w:val="20"/>
              </w:rPr>
              <w:t> </w:t>
            </w:r>
            <w:r>
              <w:rPr>
                <w:b/>
                <w:sz w:val="20"/>
              </w:rPr>
              <w:t>a</w:t>
            </w:r>
            <w:r>
              <w:rPr>
                <w:b/>
                <w:spacing w:val="-6"/>
                <w:sz w:val="20"/>
              </w:rPr>
              <w:t> </w:t>
            </w:r>
            <w:r>
              <w:rPr>
                <w:b/>
                <w:sz w:val="20"/>
              </w:rPr>
              <w:t>devengar</w:t>
            </w:r>
            <w:r>
              <w:rPr>
                <w:b/>
                <w:spacing w:val="-4"/>
                <w:sz w:val="20"/>
              </w:rPr>
              <w:t> </w:t>
            </w:r>
            <w:r>
              <w:rPr>
                <w:b/>
                <w:spacing w:val="-5"/>
                <w:sz w:val="20"/>
              </w:rPr>
              <w:t>c/p</w:t>
            </w:r>
          </w:p>
        </w:tc>
        <w:tc>
          <w:tcPr>
            <w:tcW w:w="2412" w:type="dxa"/>
          </w:tcPr>
          <w:p>
            <w:pPr>
              <w:pStyle w:val="TableParagraph"/>
              <w:rPr>
                <w:rFonts w:ascii="Times New Roman"/>
                <w:sz w:val="20"/>
              </w:rPr>
            </w:pPr>
          </w:p>
        </w:tc>
        <w:tc>
          <w:tcPr>
            <w:tcW w:w="1461" w:type="dxa"/>
          </w:tcPr>
          <w:p>
            <w:pPr>
              <w:pStyle w:val="TableParagraph"/>
              <w:rPr>
                <w:rFonts w:ascii="Times New Roman"/>
                <w:sz w:val="20"/>
              </w:rPr>
            </w:pPr>
          </w:p>
        </w:tc>
      </w:tr>
      <w:tr>
        <w:trPr>
          <w:trHeight w:val="457" w:hRule="atLeast"/>
        </w:trPr>
        <w:tc>
          <w:tcPr>
            <w:tcW w:w="3884" w:type="dxa"/>
          </w:tcPr>
          <w:p>
            <w:pPr>
              <w:pStyle w:val="TableParagraph"/>
              <w:spacing w:line="230" w:lineRule="atLeast"/>
              <w:ind w:left="69" w:right="83" w:firstLine="50"/>
              <w:rPr>
                <w:b/>
                <w:sz w:val="20"/>
              </w:rPr>
            </w:pPr>
            <w:r>
              <w:rPr>
                <w:b/>
                <w:sz w:val="20"/>
              </w:rPr>
              <w:t>1.1.9.01.01.03.0. Reparaciones y mejoras sobre</w:t>
            </w:r>
            <w:r>
              <w:rPr>
                <w:b/>
                <w:spacing w:val="-8"/>
                <w:sz w:val="20"/>
              </w:rPr>
              <w:t> </w:t>
            </w:r>
            <w:r>
              <w:rPr>
                <w:b/>
                <w:sz w:val="20"/>
              </w:rPr>
              <w:t>inmuebles</w:t>
            </w:r>
            <w:r>
              <w:rPr>
                <w:b/>
                <w:spacing w:val="-8"/>
                <w:sz w:val="20"/>
              </w:rPr>
              <w:t> </w:t>
            </w:r>
            <w:r>
              <w:rPr>
                <w:b/>
                <w:sz w:val="20"/>
              </w:rPr>
              <w:t>de</w:t>
            </w:r>
            <w:r>
              <w:rPr>
                <w:b/>
                <w:spacing w:val="-8"/>
                <w:sz w:val="20"/>
              </w:rPr>
              <w:t> </w:t>
            </w:r>
            <w:r>
              <w:rPr>
                <w:b/>
                <w:sz w:val="20"/>
              </w:rPr>
              <w:t>terceros</w:t>
            </w:r>
            <w:r>
              <w:rPr>
                <w:b/>
                <w:spacing w:val="-8"/>
                <w:sz w:val="20"/>
              </w:rPr>
              <w:t> </w:t>
            </w:r>
            <w:r>
              <w:rPr>
                <w:b/>
                <w:sz w:val="20"/>
              </w:rPr>
              <w:t>arrendados</w:t>
            </w:r>
            <w:r>
              <w:rPr>
                <w:b/>
                <w:spacing w:val="-8"/>
                <w:sz w:val="20"/>
              </w:rPr>
              <w:t> </w:t>
            </w:r>
            <w:r>
              <w:rPr>
                <w:b/>
                <w:sz w:val="20"/>
              </w:rPr>
              <w:t>c/p</w:t>
            </w:r>
          </w:p>
        </w:tc>
        <w:tc>
          <w:tcPr>
            <w:tcW w:w="2412" w:type="dxa"/>
          </w:tcPr>
          <w:p>
            <w:pPr>
              <w:pStyle w:val="TableParagraph"/>
              <w:rPr>
                <w:rFonts w:ascii="Times New Roman"/>
                <w:sz w:val="20"/>
              </w:rPr>
            </w:pPr>
          </w:p>
        </w:tc>
        <w:tc>
          <w:tcPr>
            <w:tcW w:w="1461" w:type="dxa"/>
          </w:tcPr>
          <w:p>
            <w:pPr>
              <w:pStyle w:val="TableParagraph"/>
              <w:rPr>
                <w:rFonts w:ascii="Times New Roman"/>
                <w:sz w:val="20"/>
              </w:rPr>
            </w:pPr>
          </w:p>
        </w:tc>
      </w:tr>
      <w:tr>
        <w:trPr>
          <w:trHeight w:val="455" w:hRule="atLeast"/>
        </w:trPr>
        <w:tc>
          <w:tcPr>
            <w:tcW w:w="3884" w:type="dxa"/>
          </w:tcPr>
          <w:p>
            <w:pPr>
              <w:pStyle w:val="TableParagraph"/>
              <w:spacing w:line="224" w:lineRule="exact"/>
              <w:ind w:left="119"/>
              <w:rPr>
                <w:b/>
                <w:sz w:val="20"/>
              </w:rPr>
            </w:pPr>
            <w:r>
              <w:rPr>
                <w:b/>
                <w:sz w:val="20"/>
              </w:rPr>
              <w:t>1.1.9.01.01.99.0.</w:t>
            </w:r>
            <w:r>
              <w:rPr>
                <w:b/>
                <w:spacing w:val="-7"/>
                <w:sz w:val="20"/>
              </w:rPr>
              <w:t> </w:t>
            </w:r>
            <w:r>
              <w:rPr>
                <w:b/>
                <w:sz w:val="20"/>
              </w:rPr>
              <w:t>Otros</w:t>
            </w:r>
            <w:r>
              <w:rPr>
                <w:b/>
                <w:spacing w:val="-7"/>
                <w:sz w:val="20"/>
              </w:rPr>
              <w:t> </w:t>
            </w:r>
            <w:r>
              <w:rPr>
                <w:b/>
                <w:sz w:val="20"/>
              </w:rPr>
              <w:t>servicios</w:t>
            </w:r>
            <w:r>
              <w:rPr>
                <w:b/>
                <w:spacing w:val="-6"/>
                <w:sz w:val="20"/>
              </w:rPr>
              <w:t> </w:t>
            </w:r>
            <w:r>
              <w:rPr>
                <w:b/>
                <w:sz w:val="20"/>
              </w:rPr>
              <w:t>a</w:t>
            </w:r>
            <w:r>
              <w:rPr>
                <w:b/>
                <w:spacing w:val="-7"/>
                <w:sz w:val="20"/>
              </w:rPr>
              <w:t> </w:t>
            </w:r>
            <w:r>
              <w:rPr>
                <w:b/>
                <w:spacing w:val="-2"/>
                <w:sz w:val="20"/>
              </w:rPr>
              <w:t>devengar</w:t>
            </w:r>
          </w:p>
          <w:p>
            <w:pPr>
              <w:pStyle w:val="TableParagraph"/>
              <w:spacing w:line="211" w:lineRule="exact"/>
              <w:ind w:left="69"/>
              <w:rPr>
                <w:b/>
                <w:sz w:val="20"/>
              </w:rPr>
            </w:pPr>
            <w:r>
              <w:rPr>
                <w:b/>
                <w:spacing w:val="-5"/>
                <w:sz w:val="20"/>
              </w:rPr>
              <w:t>c/p</w:t>
            </w:r>
          </w:p>
        </w:tc>
        <w:tc>
          <w:tcPr>
            <w:tcW w:w="2412" w:type="dxa"/>
          </w:tcPr>
          <w:p>
            <w:pPr>
              <w:pStyle w:val="TableParagraph"/>
              <w:spacing w:before="111"/>
              <w:ind w:left="117"/>
              <w:rPr>
                <w:sz w:val="20"/>
              </w:rPr>
            </w:pPr>
            <w:r>
              <w:rPr>
                <w:sz w:val="20"/>
              </w:rPr>
              <w:t>Otros</w:t>
            </w:r>
            <w:r>
              <w:rPr>
                <w:spacing w:val="-7"/>
                <w:sz w:val="20"/>
              </w:rPr>
              <w:t> </w:t>
            </w:r>
            <w:r>
              <w:rPr>
                <w:sz w:val="20"/>
              </w:rPr>
              <w:t>gastos</w:t>
            </w:r>
            <w:r>
              <w:rPr>
                <w:spacing w:val="-7"/>
                <w:sz w:val="20"/>
              </w:rPr>
              <w:t> </w:t>
            </w:r>
            <w:r>
              <w:rPr>
                <w:spacing w:val="-2"/>
                <w:sz w:val="20"/>
              </w:rPr>
              <w:t>prepagados</w:t>
            </w:r>
          </w:p>
        </w:tc>
        <w:tc>
          <w:tcPr>
            <w:tcW w:w="1461" w:type="dxa"/>
          </w:tcPr>
          <w:p>
            <w:pPr>
              <w:pStyle w:val="TableParagraph"/>
              <w:spacing w:before="111"/>
              <w:ind w:left="506"/>
              <w:rPr>
                <w:sz w:val="20"/>
              </w:rPr>
            </w:pPr>
            <w:r>
              <w:rPr>
                <w:spacing w:val="-2"/>
                <w:sz w:val="20"/>
              </w:rPr>
              <w:t>¢37.989,78</w:t>
            </w:r>
          </w:p>
        </w:tc>
      </w:tr>
    </w:tbl>
    <w:p>
      <w:pPr>
        <w:pStyle w:val="BodyText"/>
        <w:spacing w:before="14"/>
        <w:rPr>
          <w:sz w:val="20"/>
        </w:rPr>
      </w:pPr>
    </w:p>
    <w:p>
      <w:pPr>
        <w:pStyle w:val="Heading6"/>
        <w:ind w:left="622"/>
      </w:pPr>
      <w:r>
        <w:rPr>
          <w:spacing w:val="-2"/>
        </w:rPr>
        <w:t>Revelación:</w:t>
      </w:r>
    </w:p>
    <w:p>
      <w:pPr>
        <w:pStyle w:val="BodyText"/>
        <w:spacing w:line="259" w:lineRule="auto" w:before="179"/>
        <w:ind w:left="622" w:right="974"/>
        <w:jc w:val="both"/>
      </w:pPr>
      <w:r>
        <w:rPr/>
        <w:t>La cuenta Otros activos a corto plazo, representa el 0,043% del total del Activo, que comparado al periodo</w:t>
      </w:r>
      <w:r>
        <w:rPr>
          <w:spacing w:val="-14"/>
        </w:rPr>
        <w:t> </w:t>
      </w:r>
      <w:r>
        <w:rPr/>
        <w:t>anterior</w:t>
      </w:r>
      <w:r>
        <w:rPr>
          <w:spacing w:val="-14"/>
        </w:rPr>
        <w:t> </w:t>
      </w:r>
      <w:r>
        <w:rPr/>
        <w:t>genera</w:t>
      </w:r>
      <w:r>
        <w:rPr>
          <w:spacing w:val="-13"/>
        </w:rPr>
        <w:t> </w:t>
      </w:r>
      <w:r>
        <w:rPr/>
        <w:t>una</w:t>
      </w:r>
      <w:r>
        <w:rPr>
          <w:spacing w:val="-14"/>
        </w:rPr>
        <w:t> </w:t>
      </w:r>
      <w:r>
        <w:rPr/>
        <w:t>variación</w:t>
      </w:r>
      <w:r>
        <w:rPr>
          <w:spacing w:val="-13"/>
        </w:rPr>
        <w:t> </w:t>
      </w:r>
      <w:r>
        <w:rPr/>
        <w:t>absoluta</w:t>
      </w:r>
      <w:r>
        <w:rPr>
          <w:spacing w:val="-13"/>
        </w:rPr>
        <w:t> </w:t>
      </w:r>
      <w:r>
        <w:rPr/>
        <w:t>de</w:t>
      </w:r>
      <w:r>
        <w:rPr>
          <w:spacing w:val="-9"/>
        </w:rPr>
        <w:t> </w:t>
      </w:r>
      <w:r>
        <w:rPr/>
        <w:t>36.095,5</w:t>
      </w:r>
      <w:r>
        <w:rPr>
          <w:spacing w:val="-13"/>
        </w:rPr>
        <w:t> </w:t>
      </w:r>
      <w:r>
        <w:rPr/>
        <w:t>que</w:t>
      </w:r>
      <w:r>
        <w:rPr>
          <w:spacing w:val="-12"/>
        </w:rPr>
        <w:t> </w:t>
      </w:r>
      <w:r>
        <w:rPr/>
        <w:t>corresponde</w:t>
      </w:r>
      <w:r>
        <w:rPr>
          <w:spacing w:val="-12"/>
        </w:rPr>
        <w:t> </w:t>
      </w:r>
      <w:r>
        <w:rPr/>
        <w:t>a</w:t>
      </w:r>
      <w:r>
        <w:rPr>
          <w:spacing w:val="-13"/>
        </w:rPr>
        <w:t> </w:t>
      </w:r>
      <w:r>
        <w:rPr/>
        <w:t>un</w:t>
      </w:r>
      <w:r>
        <w:rPr>
          <w:spacing w:val="-13"/>
        </w:rPr>
        <w:t> </w:t>
      </w:r>
      <w:r>
        <w:rPr/>
        <w:t>Aumento</w:t>
      </w:r>
      <w:r>
        <w:rPr>
          <w:spacing w:val="-14"/>
        </w:rPr>
        <w:t> </w:t>
      </w:r>
      <w:r>
        <w:rPr/>
        <w:t>del</w:t>
      </w:r>
      <w:r>
        <w:rPr>
          <w:spacing w:val="-14"/>
        </w:rPr>
        <w:t> </w:t>
      </w:r>
      <w:r>
        <w:rPr/>
        <w:t>71,33% de recursos disponibles.</w:t>
      </w:r>
    </w:p>
    <w:p>
      <w:pPr>
        <w:pStyle w:val="BodyText"/>
        <w:spacing w:before="159"/>
        <w:ind w:left="677"/>
      </w:pPr>
      <w:r>
        <w:rPr/>
        <w:t>El</w:t>
      </w:r>
      <w:r>
        <w:rPr>
          <w:spacing w:val="-3"/>
        </w:rPr>
        <w:t> </w:t>
      </w:r>
      <w:r>
        <w:rPr/>
        <w:t>movimiento</w:t>
      </w:r>
      <w:r>
        <w:rPr>
          <w:spacing w:val="-4"/>
        </w:rPr>
        <w:t> </w:t>
      </w:r>
      <w:r>
        <w:rPr/>
        <w:t>se</w:t>
      </w:r>
      <w:r>
        <w:rPr>
          <w:spacing w:val="-3"/>
        </w:rPr>
        <w:t> </w:t>
      </w:r>
      <w:r>
        <w:rPr/>
        <w:t>presenta</w:t>
      </w:r>
      <w:r>
        <w:rPr>
          <w:spacing w:val="-4"/>
        </w:rPr>
        <w:t> </w:t>
      </w:r>
      <w:r>
        <w:rPr/>
        <w:t>a</w:t>
      </w:r>
      <w:r>
        <w:rPr>
          <w:spacing w:val="-3"/>
        </w:rPr>
        <w:t> </w:t>
      </w:r>
      <w:r>
        <w:rPr>
          <w:spacing w:val="-2"/>
        </w:rPr>
        <w:t>continuación:</w:t>
      </w:r>
    </w:p>
    <w:p>
      <w:pPr>
        <w:tabs>
          <w:tab w:pos="3112" w:val="left" w:leader="none"/>
          <w:tab w:pos="6552" w:val="left" w:leader="none"/>
        </w:tabs>
        <w:spacing w:before="195"/>
        <w:ind w:left="0" w:right="177" w:firstLine="0"/>
        <w:jc w:val="center"/>
        <w:rPr>
          <w:rFonts w:ascii="Times New Roman"/>
          <w:sz w:val="19"/>
        </w:rPr>
      </w:pPr>
      <w:r>
        <w:rPr>
          <w:rFonts w:ascii="Times New Roman"/>
          <w:sz w:val="19"/>
        </w:rPr>
        <w:t>GASTOS</w:t>
      </w:r>
      <w:r>
        <w:rPr>
          <w:rFonts w:ascii="Times New Roman"/>
          <w:spacing w:val="-11"/>
          <w:sz w:val="19"/>
        </w:rPr>
        <w:t> </w:t>
      </w:r>
      <w:r>
        <w:rPr>
          <w:rFonts w:ascii="Times New Roman"/>
          <w:spacing w:val="-2"/>
          <w:sz w:val="19"/>
        </w:rPr>
        <w:t>PREPAGADOS</w:t>
      </w:r>
      <w:r>
        <w:rPr>
          <w:rFonts w:ascii="Times New Roman"/>
          <w:sz w:val="19"/>
        </w:rPr>
        <w:tab/>
      </w:r>
      <w:r>
        <w:rPr>
          <w:rFonts w:ascii="Times New Roman"/>
          <w:sz w:val="19"/>
          <w:u w:val="single"/>
        </w:rPr>
        <w:tab/>
      </w:r>
    </w:p>
    <w:p>
      <w:pPr>
        <w:tabs>
          <w:tab w:pos="7349" w:val="left" w:leader="none"/>
        </w:tabs>
        <w:spacing w:before="50"/>
        <w:ind w:left="5562" w:right="0" w:firstLine="0"/>
        <w:jc w:val="left"/>
        <w:rPr>
          <w:rFonts w:ascii="Times New Roman"/>
          <w:b/>
          <w:sz w:val="17"/>
        </w:rPr>
      </w:pPr>
      <w:r>
        <w:rPr>
          <w:rFonts w:ascii="Times New Roman"/>
          <w:b/>
          <w:spacing w:val="-4"/>
          <w:w w:val="105"/>
          <w:sz w:val="17"/>
          <w:u w:val="single"/>
        </w:rPr>
        <w:t>2026</w:t>
      </w:r>
      <w:r>
        <w:rPr>
          <w:rFonts w:ascii="Times New Roman"/>
          <w:b/>
          <w:sz w:val="17"/>
          <w:u w:val="none"/>
        </w:rPr>
        <w:tab/>
      </w:r>
      <w:r>
        <w:rPr>
          <w:rFonts w:ascii="Times New Roman"/>
          <w:b/>
          <w:spacing w:val="-4"/>
          <w:w w:val="105"/>
          <w:sz w:val="17"/>
          <w:u w:val="single"/>
        </w:rPr>
        <w:t>2025</w:t>
      </w:r>
    </w:p>
    <w:p>
      <w:pPr>
        <w:pStyle w:val="BodyText"/>
        <w:spacing w:before="29"/>
        <w:rPr>
          <w:rFonts w:ascii="Times New Roman"/>
          <w:b/>
          <w:sz w:val="20"/>
        </w:rPr>
      </w:pPr>
    </w:p>
    <w:tbl>
      <w:tblPr>
        <w:tblW w:w="0" w:type="auto"/>
        <w:jc w:val="left"/>
        <w:tblInd w:w="1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63"/>
        <w:gridCol w:w="1955"/>
        <w:gridCol w:w="1441"/>
      </w:tblGrid>
      <w:tr>
        <w:trPr>
          <w:trHeight w:val="247" w:hRule="atLeast"/>
        </w:trPr>
        <w:tc>
          <w:tcPr>
            <w:tcW w:w="3163" w:type="dxa"/>
          </w:tcPr>
          <w:p>
            <w:pPr>
              <w:pStyle w:val="TableParagraph"/>
              <w:spacing w:line="218" w:lineRule="exact" w:before="9"/>
              <w:ind w:left="50"/>
              <w:rPr>
                <w:rFonts w:ascii="Times New Roman" w:hAnsi="Times New Roman"/>
                <w:sz w:val="19"/>
              </w:rPr>
            </w:pPr>
            <w:r>
              <w:rPr>
                <w:rFonts w:ascii="Times New Roman" w:hAnsi="Times New Roman"/>
                <w:sz w:val="19"/>
              </w:rPr>
              <w:t>Saldo</w:t>
            </w:r>
            <w:r>
              <w:rPr>
                <w:rFonts w:ascii="Times New Roman" w:hAnsi="Times New Roman"/>
                <w:spacing w:val="-6"/>
                <w:sz w:val="19"/>
              </w:rPr>
              <w:t> </w:t>
            </w:r>
            <w:r>
              <w:rPr>
                <w:rFonts w:ascii="Times New Roman" w:hAnsi="Times New Roman"/>
                <w:sz w:val="19"/>
              </w:rPr>
              <w:t>al</w:t>
            </w:r>
            <w:r>
              <w:rPr>
                <w:rFonts w:ascii="Times New Roman" w:hAnsi="Times New Roman"/>
                <w:spacing w:val="-2"/>
                <w:sz w:val="19"/>
              </w:rPr>
              <w:t> </w:t>
            </w:r>
            <w:r>
              <w:rPr>
                <w:rFonts w:ascii="Times New Roman" w:hAnsi="Times New Roman"/>
                <w:sz w:val="19"/>
              </w:rPr>
              <w:t>inicio</w:t>
            </w:r>
            <w:r>
              <w:rPr>
                <w:rFonts w:ascii="Times New Roman" w:hAnsi="Times New Roman"/>
                <w:spacing w:val="-5"/>
                <w:sz w:val="19"/>
              </w:rPr>
              <w:t> </w:t>
            </w:r>
            <w:r>
              <w:rPr>
                <w:rFonts w:ascii="Times New Roman" w:hAnsi="Times New Roman"/>
                <w:sz w:val="19"/>
              </w:rPr>
              <w:t>del</w:t>
            </w:r>
            <w:r>
              <w:rPr>
                <w:rFonts w:ascii="Times New Roman" w:hAnsi="Times New Roman"/>
                <w:spacing w:val="-2"/>
                <w:sz w:val="19"/>
              </w:rPr>
              <w:t> </w:t>
            </w:r>
            <w:r>
              <w:rPr>
                <w:rFonts w:ascii="Times New Roman" w:hAnsi="Times New Roman"/>
                <w:spacing w:val="-5"/>
                <w:sz w:val="19"/>
              </w:rPr>
              <w:t>año</w:t>
            </w:r>
          </w:p>
        </w:tc>
        <w:tc>
          <w:tcPr>
            <w:tcW w:w="1955" w:type="dxa"/>
            <w:tcBorders>
              <w:top w:val="single" w:sz="6" w:space="0" w:color="000000"/>
            </w:tcBorders>
          </w:tcPr>
          <w:p>
            <w:pPr>
              <w:pStyle w:val="TableParagraph"/>
              <w:spacing w:line="218" w:lineRule="exact" w:before="9"/>
              <w:ind w:right="426"/>
              <w:jc w:val="right"/>
              <w:rPr>
                <w:rFonts w:ascii="Times New Roman"/>
                <w:sz w:val="19"/>
              </w:rPr>
            </w:pPr>
            <w:r>
              <w:rPr>
                <w:rFonts w:ascii="Times New Roman"/>
                <w:sz w:val="19"/>
              </w:rPr>
              <w:t>84 </w:t>
            </w:r>
            <w:r>
              <w:rPr>
                <w:rFonts w:ascii="Times New Roman"/>
                <w:spacing w:val="-2"/>
                <w:sz w:val="19"/>
              </w:rPr>
              <w:t>045,76</w:t>
            </w:r>
          </w:p>
        </w:tc>
        <w:tc>
          <w:tcPr>
            <w:tcW w:w="1441" w:type="dxa"/>
            <w:tcBorders>
              <w:top w:val="single" w:sz="6" w:space="0" w:color="000000"/>
            </w:tcBorders>
          </w:tcPr>
          <w:p>
            <w:pPr>
              <w:pStyle w:val="TableParagraph"/>
              <w:spacing w:line="218" w:lineRule="exact" w:before="9"/>
              <w:ind w:right="27"/>
              <w:jc w:val="right"/>
              <w:rPr>
                <w:rFonts w:ascii="Times New Roman"/>
                <w:sz w:val="19"/>
              </w:rPr>
            </w:pPr>
            <w:r>
              <w:rPr>
                <w:rFonts w:ascii="Times New Roman"/>
                <w:sz w:val="19"/>
              </w:rPr>
              <w:t>23 </w:t>
            </w:r>
            <w:r>
              <w:rPr>
                <w:rFonts w:ascii="Times New Roman"/>
                <w:spacing w:val="-2"/>
                <w:sz w:val="19"/>
              </w:rPr>
              <w:t>694,08</w:t>
            </w:r>
          </w:p>
        </w:tc>
      </w:tr>
      <w:tr>
        <w:trPr>
          <w:trHeight w:val="248" w:hRule="atLeast"/>
        </w:trPr>
        <w:tc>
          <w:tcPr>
            <w:tcW w:w="3163" w:type="dxa"/>
          </w:tcPr>
          <w:p>
            <w:pPr>
              <w:pStyle w:val="TableParagraph"/>
              <w:spacing w:line="217" w:lineRule="exact" w:before="12"/>
              <w:ind w:left="50"/>
              <w:rPr>
                <w:rFonts w:ascii="Times New Roman" w:hAnsi="Times New Roman"/>
                <w:sz w:val="19"/>
              </w:rPr>
            </w:pPr>
            <w:r>
              <w:rPr>
                <w:rFonts w:ascii="Times New Roman" w:hAnsi="Times New Roman"/>
                <w:sz w:val="19"/>
              </w:rPr>
              <w:t>Incrementos</w:t>
            </w:r>
            <w:r>
              <w:rPr>
                <w:rFonts w:ascii="Times New Roman" w:hAnsi="Times New Roman"/>
                <w:spacing w:val="-7"/>
                <w:sz w:val="19"/>
              </w:rPr>
              <w:t> </w:t>
            </w:r>
            <w:r>
              <w:rPr>
                <w:rFonts w:ascii="Times New Roman" w:hAnsi="Times New Roman"/>
                <w:sz w:val="19"/>
              </w:rPr>
              <w:t>del</w:t>
            </w:r>
            <w:r>
              <w:rPr>
                <w:rFonts w:ascii="Times New Roman" w:hAnsi="Times New Roman"/>
                <w:spacing w:val="-10"/>
                <w:sz w:val="19"/>
              </w:rPr>
              <w:t> </w:t>
            </w:r>
            <w:r>
              <w:rPr>
                <w:rFonts w:ascii="Times New Roman" w:hAnsi="Times New Roman"/>
                <w:spacing w:val="-5"/>
                <w:sz w:val="19"/>
              </w:rPr>
              <w:t>año</w:t>
            </w:r>
          </w:p>
        </w:tc>
        <w:tc>
          <w:tcPr>
            <w:tcW w:w="1955" w:type="dxa"/>
          </w:tcPr>
          <w:p>
            <w:pPr>
              <w:pStyle w:val="TableParagraph"/>
              <w:spacing w:line="201" w:lineRule="exact" w:before="28"/>
              <w:ind w:left="662"/>
              <w:rPr>
                <w:rFonts w:ascii="Calibri"/>
                <w:sz w:val="17"/>
              </w:rPr>
            </w:pPr>
            <w:r>
              <w:rPr>
                <w:rFonts w:ascii="Calibri"/>
                <w:w w:val="105"/>
                <w:sz w:val="17"/>
              </w:rPr>
              <w:t>307</w:t>
            </w:r>
            <w:r>
              <w:rPr>
                <w:rFonts w:ascii="Calibri"/>
                <w:spacing w:val="-5"/>
                <w:w w:val="105"/>
                <w:sz w:val="17"/>
              </w:rPr>
              <w:t> </w:t>
            </w:r>
            <w:r>
              <w:rPr>
                <w:rFonts w:ascii="Calibri"/>
                <w:spacing w:val="-2"/>
                <w:w w:val="105"/>
                <w:sz w:val="17"/>
              </w:rPr>
              <w:t>961,14</w:t>
            </w:r>
          </w:p>
        </w:tc>
        <w:tc>
          <w:tcPr>
            <w:tcW w:w="1441" w:type="dxa"/>
          </w:tcPr>
          <w:p>
            <w:pPr>
              <w:pStyle w:val="TableParagraph"/>
              <w:spacing w:line="217" w:lineRule="exact" w:before="12"/>
              <w:ind w:right="27"/>
              <w:jc w:val="right"/>
              <w:rPr>
                <w:rFonts w:ascii="Times New Roman"/>
                <w:sz w:val="19"/>
              </w:rPr>
            </w:pPr>
            <w:r>
              <w:rPr>
                <w:rFonts w:ascii="Times New Roman"/>
                <w:sz w:val="19"/>
              </w:rPr>
              <w:t>216 </w:t>
            </w:r>
            <w:r>
              <w:rPr>
                <w:rFonts w:ascii="Times New Roman"/>
                <w:spacing w:val="-2"/>
                <w:sz w:val="19"/>
              </w:rPr>
              <w:t>694,51</w:t>
            </w:r>
          </w:p>
        </w:tc>
      </w:tr>
      <w:tr>
        <w:trPr>
          <w:trHeight w:val="243" w:hRule="atLeast"/>
        </w:trPr>
        <w:tc>
          <w:tcPr>
            <w:tcW w:w="3163" w:type="dxa"/>
          </w:tcPr>
          <w:p>
            <w:pPr>
              <w:pStyle w:val="TableParagraph"/>
              <w:spacing w:line="215" w:lineRule="exact" w:before="8"/>
              <w:ind w:left="50"/>
              <w:rPr>
                <w:rFonts w:ascii="Times New Roman" w:hAnsi="Times New Roman"/>
                <w:sz w:val="19"/>
              </w:rPr>
            </w:pPr>
            <w:r>
              <w:rPr>
                <w:rFonts w:ascii="Times New Roman" w:hAnsi="Times New Roman"/>
                <w:sz w:val="19"/>
              </w:rPr>
              <w:t>Uso</w:t>
            </w:r>
            <w:r>
              <w:rPr>
                <w:rFonts w:ascii="Times New Roman" w:hAnsi="Times New Roman"/>
                <w:spacing w:val="-4"/>
                <w:sz w:val="19"/>
              </w:rPr>
              <w:t> </w:t>
            </w:r>
            <w:r>
              <w:rPr>
                <w:rFonts w:ascii="Times New Roman" w:hAnsi="Times New Roman"/>
                <w:sz w:val="19"/>
              </w:rPr>
              <w:t>de</w:t>
            </w:r>
            <w:r>
              <w:rPr>
                <w:rFonts w:ascii="Times New Roman" w:hAnsi="Times New Roman"/>
                <w:spacing w:val="-2"/>
                <w:sz w:val="19"/>
              </w:rPr>
              <w:t> </w:t>
            </w:r>
            <w:r>
              <w:rPr>
                <w:rFonts w:ascii="Times New Roman" w:hAnsi="Times New Roman"/>
                <w:sz w:val="19"/>
              </w:rPr>
              <w:t>la</w:t>
            </w:r>
            <w:r>
              <w:rPr>
                <w:rFonts w:ascii="Times New Roman" w:hAnsi="Times New Roman"/>
                <w:spacing w:val="4"/>
                <w:sz w:val="19"/>
              </w:rPr>
              <w:t> </w:t>
            </w:r>
            <w:r>
              <w:rPr>
                <w:rFonts w:ascii="Times New Roman" w:hAnsi="Times New Roman"/>
                <w:spacing w:val="-2"/>
                <w:sz w:val="19"/>
              </w:rPr>
              <w:t>estimación</w:t>
            </w:r>
          </w:p>
        </w:tc>
        <w:tc>
          <w:tcPr>
            <w:tcW w:w="1955" w:type="dxa"/>
          </w:tcPr>
          <w:p>
            <w:pPr>
              <w:pStyle w:val="TableParagraph"/>
              <w:spacing w:line="215" w:lineRule="exact" w:before="8"/>
              <w:ind w:right="426"/>
              <w:jc w:val="right"/>
              <w:rPr>
                <w:rFonts w:ascii="Times New Roman"/>
                <w:sz w:val="19"/>
              </w:rPr>
            </w:pPr>
            <w:r>
              <w:rPr>
                <w:rFonts w:ascii="Times New Roman"/>
                <w:sz w:val="19"/>
                <w:u w:val="single"/>
              </w:rPr>
              <w:t>-305</w:t>
            </w:r>
            <w:r>
              <w:rPr>
                <w:rFonts w:ascii="Times New Roman"/>
                <w:spacing w:val="1"/>
                <w:sz w:val="19"/>
                <w:u w:val="single"/>
              </w:rPr>
              <w:t> </w:t>
            </w:r>
            <w:r>
              <w:rPr>
                <w:rFonts w:ascii="Times New Roman"/>
                <w:spacing w:val="-2"/>
                <w:sz w:val="19"/>
                <w:u w:val="single"/>
              </w:rPr>
              <w:t>309,66</w:t>
            </w:r>
          </w:p>
        </w:tc>
        <w:tc>
          <w:tcPr>
            <w:tcW w:w="1441" w:type="dxa"/>
          </w:tcPr>
          <w:p>
            <w:pPr>
              <w:pStyle w:val="TableParagraph"/>
              <w:spacing w:line="215" w:lineRule="exact" w:before="8"/>
              <w:ind w:right="27"/>
              <w:jc w:val="right"/>
              <w:rPr>
                <w:rFonts w:ascii="Times New Roman"/>
                <w:sz w:val="19"/>
              </w:rPr>
            </w:pPr>
            <w:r>
              <w:rPr>
                <w:rFonts w:ascii="Times New Roman"/>
                <w:sz w:val="19"/>
                <w:u w:val="single"/>
              </w:rPr>
              <w:t>-189</w:t>
            </w:r>
            <w:r>
              <w:rPr>
                <w:rFonts w:ascii="Times New Roman"/>
                <w:spacing w:val="1"/>
                <w:sz w:val="19"/>
                <w:u w:val="single"/>
              </w:rPr>
              <w:t> </w:t>
            </w:r>
            <w:r>
              <w:rPr>
                <w:rFonts w:ascii="Times New Roman"/>
                <w:spacing w:val="-2"/>
                <w:sz w:val="19"/>
                <w:u w:val="single"/>
              </w:rPr>
              <w:t>786,85</w:t>
            </w:r>
          </w:p>
        </w:tc>
      </w:tr>
      <w:tr>
        <w:trPr>
          <w:trHeight w:val="234" w:hRule="atLeast"/>
        </w:trPr>
        <w:tc>
          <w:tcPr>
            <w:tcW w:w="3163" w:type="dxa"/>
          </w:tcPr>
          <w:p>
            <w:pPr>
              <w:pStyle w:val="TableParagraph"/>
              <w:spacing w:line="205" w:lineRule="exact" w:before="10"/>
              <w:ind w:left="50"/>
              <w:rPr>
                <w:rFonts w:ascii="Times New Roman"/>
                <w:sz w:val="19"/>
              </w:rPr>
            </w:pPr>
            <w:r>
              <w:rPr>
                <w:rFonts w:ascii="Times New Roman"/>
                <w:sz w:val="19"/>
              </w:rPr>
              <w:t>Saldo</w:t>
            </w:r>
            <w:r>
              <w:rPr>
                <w:rFonts w:ascii="Times New Roman"/>
                <w:spacing w:val="-4"/>
                <w:sz w:val="19"/>
              </w:rPr>
              <w:t> </w:t>
            </w:r>
            <w:r>
              <w:rPr>
                <w:rFonts w:ascii="Times New Roman"/>
                <w:sz w:val="19"/>
              </w:rPr>
              <w:t>al </w:t>
            </w:r>
            <w:r>
              <w:rPr>
                <w:rFonts w:ascii="Times New Roman"/>
                <w:spacing w:val="-2"/>
                <w:sz w:val="19"/>
              </w:rPr>
              <w:t>final</w:t>
            </w:r>
          </w:p>
        </w:tc>
        <w:tc>
          <w:tcPr>
            <w:tcW w:w="1955" w:type="dxa"/>
            <w:tcBorders>
              <w:bottom w:val="double" w:sz="2" w:space="0" w:color="000000"/>
            </w:tcBorders>
          </w:tcPr>
          <w:p>
            <w:pPr>
              <w:pStyle w:val="TableParagraph"/>
              <w:spacing w:line="200" w:lineRule="exact" w:before="14"/>
              <w:ind w:right="426"/>
              <w:jc w:val="right"/>
              <w:rPr>
                <w:rFonts w:ascii="Times New Roman"/>
                <w:b/>
                <w:sz w:val="19"/>
              </w:rPr>
            </w:pPr>
            <w:r>
              <w:rPr>
                <w:rFonts w:ascii="Times New Roman"/>
                <w:b/>
                <w:sz w:val="19"/>
              </w:rPr>
              <w:t>86 </w:t>
            </w:r>
            <w:r>
              <w:rPr>
                <w:rFonts w:ascii="Times New Roman"/>
                <w:b/>
                <w:spacing w:val="-2"/>
                <w:sz w:val="19"/>
              </w:rPr>
              <w:t>697,24</w:t>
            </w:r>
          </w:p>
        </w:tc>
        <w:tc>
          <w:tcPr>
            <w:tcW w:w="1441" w:type="dxa"/>
            <w:tcBorders>
              <w:bottom w:val="double" w:sz="2" w:space="0" w:color="000000"/>
            </w:tcBorders>
          </w:tcPr>
          <w:p>
            <w:pPr>
              <w:pStyle w:val="TableParagraph"/>
              <w:spacing w:line="200" w:lineRule="exact" w:before="14"/>
              <w:ind w:right="27"/>
              <w:jc w:val="right"/>
              <w:rPr>
                <w:rFonts w:ascii="Times New Roman"/>
                <w:b/>
                <w:sz w:val="19"/>
              </w:rPr>
            </w:pPr>
            <w:r>
              <w:rPr>
                <w:rFonts w:ascii="Times New Roman"/>
                <w:b/>
                <w:sz w:val="19"/>
              </w:rPr>
              <w:t>50 </w:t>
            </w:r>
            <w:r>
              <w:rPr>
                <w:rFonts w:ascii="Times New Roman"/>
                <w:b/>
                <w:spacing w:val="-2"/>
                <w:sz w:val="19"/>
              </w:rPr>
              <w:t>601,74</w:t>
            </w:r>
          </w:p>
        </w:tc>
      </w:tr>
    </w:tbl>
    <w:p>
      <w:pPr>
        <w:pStyle w:val="BodyText"/>
        <w:rPr>
          <w:rFonts w:ascii="Times New Roman"/>
          <w:b/>
          <w:sz w:val="17"/>
        </w:rPr>
      </w:pPr>
    </w:p>
    <w:p>
      <w:pPr>
        <w:pStyle w:val="BodyText"/>
        <w:rPr>
          <w:rFonts w:ascii="Times New Roman"/>
          <w:b/>
          <w:sz w:val="17"/>
        </w:rPr>
      </w:pPr>
    </w:p>
    <w:p>
      <w:pPr>
        <w:pStyle w:val="BodyText"/>
        <w:spacing w:before="21"/>
        <w:rPr>
          <w:rFonts w:ascii="Times New Roman"/>
          <w:b/>
          <w:sz w:val="17"/>
        </w:rPr>
      </w:pPr>
    </w:p>
    <w:p>
      <w:pPr>
        <w:pStyle w:val="ListParagraph"/>
        <w:numPr>
          <w:ilvl w:val="1"/>
          <w:numId w:val="31"/>
        </w:numPr>
        <w:tabs>
          <w:tab w:pos="946" w:val="left" w:leader="none"/>
        </w:tabs>
        <w:spacing w:line="590" w:lineRule="auto" w:before="0" w:after="0"/>
        <w:ind w:left="622" w:right="6896" w:firstLine="0"/>
        <w:jc w:val="left"/>
        <w:rPr>
          <w:b/>
          <w:sz w:val="22"/>
        </w:rPr>
      </w:pPr>
      <w:bookmarkStart w:name="_bookmark37" w:id="38"/>
      <w:bookmarkEnd w:id="38"/>
      <w:r>
        <w:rPr/>
      </w:r>
      <w:r>
        <w:rPr>
          <w:b/>
          <w:color w:val="1F3762"/>
          <w:sz w:val="22"/>
        </w:rPr>
        <w:t>ACTIVO</w:t>
      </w:r>
      <w:r>
        <w:rPr>
          <w:b/>
          <w:color w:val="1F3762"/>
          <w:spacing w:val="-14"/>
          <w:sz w:val="22"/>
        </w:rPr>
        <w:t> </w:t>
      </w:r>
      <w:r>
        <w:rPr>
          <w:b/>
          <w:color w:val="1F3762"/>
          <w:sz w:val="22"/>
        </w:rPr>
        <w:t>NO</w:t>
      </w:r>
      <w:r>
        <w:rPr>
          <w:b/>
          <w:color w:val="1F3762"/>
          <w:spacing w:val="-14"/>
          <w:sz w:val="22"/>
        </w:rPr>
        <w:t> </w:t>
      </w:r>
      <w:r>
        <w:rPr>
          <w:b/>
          <w:color w:val="1F3762"/>
          <w:sz w:val="22"/>
        </w:rPr>
        <w:t>CORRIENTE </w:t>
      </w:r>
      <w:bookmarkStart w:name="_bookmark38" w:id="39"/>
      <w:bookmarkEnd w:id="39"/>
      <w:r>
        <w:rPr>
          <w:b/>
          <w:color w:val="1F3762"/>
          <w:spacing w:val="-1"/>
          <w:sz w:val="22"/>
        </w:rPr>
      </w:r>
      <w:r>
        <w:rPr>
          <w:b/>
          <w:sz w:val="22"/>
        </w:rPr>
        <w:t>NOTA N° 8</w:t>
      </w:r>
    </w:p>
    <w:p>
      <w:pPr>
        <w:pStyle w:val="BodyText"/>
        <w:spacing w:line="250" w:lineRule="exact"/>
        <w:ind w:left="622"/>
        <w:jc w:val="both"/>
      </w:pPr>
      <w:r>
        <w:rPr/>
        <w:t>Inversiones</w:t>
      </w:r>
      <w:r>
        <w:rPr>
          <w:spacing w:val="-2"/>
        </w:rPr>
        <w:t> </w:t>
      </w:r>
      <w:r>
        <w:rPr/>
        <w:t>a</w:t>
      </w:r>
      <w:r>
        <w:rPr>
          <w:spacing w:val="-4"/>
        </w:rPr>
        <w:t> </w:t>
      </w:r>
      <w:r>
        <w:rPr/>
        <w:t>largo</w:t>
      </w:r>
      <w:r>
        <w:rPr>
          <w:spacing w:val="-1"/>
        </w:rPr>
        <w:t> </w:t>
      </w:r>
      <w:r>
        <w:rPr>
          <w:spacing w:val="-4"/>
        </w:rPr>
        <w:t>plazo</w:t>
      </w:r>
    </w:p>
    <w:p>
      <w:pPr>
        <w:pStyle w:val="BodyText"/>
        <w:spacing w:before="10"/>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7"/>
        <w:gridCol w:w="2508"/>
        <w:gridCol w:w="566"/>
        <w:gridCol w:w="1842"/>
        <w:gridCol w:w="1891"/>
        <w:gridCol w:w="1197"/>
      </w:tblGrid>
      <w:tr>
        <w:trPr>
          <w:trHeight w:val="323" w:hRule="atLeast"/>
        </w:trPr>
        <w:tc>
          <w:tcPr>
            <w:tcW w:w="1027" w:type="dxa"/>
            <w:vMerge w:val="restart"/>
            <w:shd w:val="clear" w:color="auto" w:fill="365F92"/>
          </w:tcPr>
          <w:p>
            <w:pPr>
              <w:pStyle w:val="TableParagraph"/>
              <w:spacing w:before="128"/>
              <w:ind w:left="69"/>
              <w:rPr>
                <w:b/>
                <w:sz w:val="20"/>
              </w:rPr>
            </w:pPr>
            <w:r>
              <w:rPr>
                <w:b/>
                <w:color w:val="FFFFFF"/>
                <w:spacing w:val="-2"/>
                <w:sz w:val="20"/>
              </w:rPr>
              <w:t>Cuenta</w:t>
            </w:r>
          </w:p>
        </w:tc>
        <w:tc>
          <w:tcPr>
            <w:tcW w:w="2508" w:type="dxa"/>
            <w:vMerge w:val="restart"/>
            <w:shd w:val="clear" w:color="auto" w:fill="365F92"/>
          </w:tcPr>
          <w:p>
            <w:pPr>
              <w:pStyle w:val="TableParagraph"/>
              <w:spacing w:before="219"/>
              <w:ind w:left="770"/>
              <w:rPr>
                <w:b/>
                <w:sz w:val="20"/>
              </w:rPr>
            </w:pPr>
            <w:r>
              <w:rPr>
                <w:b/>
                <w:color w:val="FFFFFF"/>
                <w:spacing w:val="-2"/>
                <w:sz w:val="20"/>
              </w:rPr>
              <w:t>Descripción</w:t>
            </w:r>
          </w:p>
        </w:tc>
        <w:tc>
          <w:tcPr>
            <w:tcW w:w="566" w:type="dxa"/>
            <w:vMerge w:val="restart"/>
            <w:shd w:val="clear" w:color="auto" w:fill="365F92"/>
          </w:tcPr>
          <w:p>
            <w:pPr>
              <w:pStyle w:val="TableParagraph"/>
              <w:spacing w:before="219"/>
              <w:ind w:left="86"/>
              <w:rPr>
                <w:b/>
                <w:sz w:val="20"/>
              </w:rPr>
            </w:pPr>
            <w:r>
              <w:rPr>
                <w:b/>
                <w:color w:val="FFFFFF"/>
                <w:spacing w:val="-4"/>
                <w:sz w:val="20"/>
              </w:rPr>
              <w:t>Nota</w:t>
            </w:r>
          </w:p>
        </w:tc>
        <w:tc>
          <w:tcPr>
            <w:tcW w:w="1842" w:type="dxa"/>
            <w:vMerge w:val="restart"/>
            <w:shd w:val="clear" w:color="auto" w:fill="365F92"/>
          </w:tcPr>
          <w:p>
            <w:pPr>
              <w:pStyle w:val="TableParagraph"/>
              <w:spacing w:before="219"/>
              <w:ind w:left="349"/>
              <w:rPr>
                <w:b/>
                <w:sz w:val="20"/>
              </w:rPr>
            </w:pPr>
            <w:r>
              <w:rPr>
                <w:b/>
                <w:color w:val="FFFFFF"/>
                <w:sz w:val="20"/>
              </w:rPr>
              <w:t>Periodo</w:t>
            </w:r>
            <w:r>
              <w:rPr>
                <w:b/>
                <w:color w:val="FFFFFF"/>
                <w:spacing w:val="-5"/>
                <w:sz w:val="20"/>
              </w:rPr>
              <w:t> </w:t>
            </w:r>
            <w:r>
              <w:rPr>
                <w:b/>
                <w:color w:val="FFFFFF"/>
                <w:spacing w:val="-2"/>
                <w:sz w:val="20"/>
              </w:rPr>
              <w:t>Actual</w:t>
            </w:r>
          </w:p>
        </w:tc>
        <w:tc>
          <w:tcPr>
            <w:tcW w:w="1891" w:type="dxa"/>
            <w:vMerge w:val="restart"/>
            <w:shd w:val="clear" w:color="auto" w:fill="365F92"/>
          </w:tcPr>
          <w:p>
            <w:pPr>
              <w:pStyle w:val="TableParagraph"/>
              <w:spacing w:before="219"/>
              <w:ind w:left="290"/>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6"/>
              <w:ind w:left="28" w:right="4"/>
              <w:jc w:val="center"/>
              <w:rPr>
                <w:b/>
                <w:sz w:val="20"/>
              </w:rPr>
            </w:pPr>
            <w:r>
              <w:rPr>
                <w:b/>
                <w:color w:val="FFFFFF"/>
                <w:spacing w:val="-2"/>
                <w:sz w:val="20"/>
              </w:rPr>
              <w:t>Diferencia</w:t>
            </w:r>
          </w:p>
        </w:tc>
      </w:tr>
      <w:tr>
        <w:trPr>
          <w:trHeight w:val="323" w:hRule="atLeast"/>
        </w:trPr>
        <w:tc>
          <w:tcPr>
            <w:tcW w:w="1027" w:type="dxa"/>
            <w:vMerge/>
            <w:tcBorders>
              <w:top w:val="nil"/>
            </w:tcBorders>
            <w:shd w:val="clear" w:color="auto" w:fill="365F92"/>
          </w:tcPr>
          <w:p>
            <w:pPr>
              <w:rPr>
                <w:sz w:val="2"/>
                <w:szCs w:val="2"/>
              </w:rPr>
            </w:pPr>
          </w:p>
        </w:tc>
        <w:tc>
          <w:tcPr>
            <w:tcW w:w="2508"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842" w:type="dxa"/>
            <w:vMerge/>
            <w:tcBorders>
              <w:top w:val="nil"/>
            </w:tcBorders>
            <w:shd w:val="clear" w:color="auto" w:fill="365F92"/>
          </w:tcPr>
          <w:p>
            <w:pPr>
              <w:rPr>
                <w:sz w:val="2"/>
                <w:szCs w:val="2"/>
              </w:rPr>
            </w:pPr>
          </w:p>
        </w:tc>
        <w:tc>
          <w:tcPr>
            <w:tcW w:w="1891"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5"/>
              <w:jc w:val="center"/>
              <w:rPr>
                <w:sz w:val="20"/>
              </w:rPr>
            </w:pPr>
            <w:r>
              <w:rPr>
                <w:color w:val="FFFFFF"/>
                <w:spacing w:val="-10"/>
                <w:sz w:val="20"/>
              </w:rPr>
              <w:t>%</w:t>
            </w:r>
          </w:p>
        </w:tc>
      </w:tr>
      <w:tr>
        <w:trPr>
          <w:trHeight w:val="326" w:hRule="atLeast"/>
        </w:trPr>
        <w:tc>
          <w:tcPr>
            <w:tcW w:w="1027" w:type="dxa"/>
          </w:tcPr>
          <w:p>
            <w:pPr>
              <w:pStyle w:val="TableParagraph"/>
              <w:spacing w:before="49"/>
              <w:ind w:left="69"/>
              <w:rPr>
                <w:b/>
                <w:sz w:val="20"/>
              </w:rPr>
            </w:pPr>
            <w:r>
              <w:rPr>
                <w:b/>
                <w:spacing w:val="-2"/>
                <w:sz w:val="20"/>
              </w:rPr>
              <w:t>1.2.2.</w:t>
            </w:r>
          </w:p>
        </w:tc>
        <w:tc>
          <w:tcPr>
            <w:tcW w:w="2508" w:type="dxa"/>
          </w:tcPr>
          <w:p>
            <w:pPr>
              <w:pStyle w:val="TableParagraph"/>
              <w:spacing w:before="49"/>
              <w:ind w:left="69"/>
              <w:rPr>
                <w:b/>
                <w:sz w:val="20"/>
              </w:rPr>
            </w:pPr>
            <w:r>
              <w:rPr>
                <w:b/>
                <w:sz w:val="20"/>
              </w:rPr>
              <w:t>Inversiones</w:t>
            </w:r>
            <w:r>
              <w:rPr>
                <w:b/>
                <w:spacing w:val="-4"/>
                <w:sz w:val="20"/>
              </w:rPr>
              <w:t> </w:t>
            </w:r>
            <w:r>
              <w:rPr>
                <w:b/>
                <w:sz w:val="20"/>
              </w:rPr>
              <w:t>a</w:t>
            </w:r>
            <w:r>
              <w:rPr>
                <w:b/>
                <w:spacing w:val="-4"/>
                <w:sz w:val="20"/>
              </w:rPr>
              <w:t> </w:t>
            </w:r>
            <w:r>
              <w:rPr>
                <w:b/>
                <w:sz w:val="20"/>
              </w:rPr>
              <w:t>largo</w:t>
            </w:r>
            <w:r>
              <w:rPr>
                <w:b/>
                <w:spacing w:val="-5"/>
                <w:sz w:val="20"/>
              </w:rPr>
              <w:t> </w:t>
            </w:r>
            <w:r>
              <w:rPr>
                <w:b/>
                <w:spacing w:val="-4"/>
                <w:sz w:val="20"/>
              </w:rPr>
              <w:t>plazo</w:t>
            </w:r>
          </w:p>
        </w:tc>
        <w:tc>
          <w:tcPr>
            <w:tcW w:w="566" w:type="dxa"/>
          </w:tcPr>
          <w:p>
            <w:pPr>
              <w:pStyle w:val="TableParagraph"/>
              <w:spacing w:before="49"/>
              <w:ind w:left="185"/>
              <w:rPr>
                <w:b/>
                <w:sz w:val="20"/>
              </w:rPr>
            </w:pPr>
            <w:r>
              <w:rPr>
                <w:b/>
                <w:spacing w:val="-5"/>
                <w:sz w:val="20"/>
              </w:rPr>
              <w:t>08</w:t>
            </w:r>
          </w:p>
        </w:tc>
        <w:tc>
          <w:tcPr>
            <w:tcW w:w="1842" w:type="dxa"/>
          </w:tcPr>
          <w:p>
            <w:pPr>
              <w:pStyle w:val="TableParagraph"/>
              <w:spacing w:before="49"/>
              <w:ind w:left="20"/>
              <w:jc w:val="center"/>
              <w:rPr>
                <w:b/>
                <w:sz w:val="20"/>
              </w:rPr>
            </w:pPr>
            <w:r>
              <w:rPr>
                <w:b/>
                <w:spacing w:val="-4"/>
                <w:sz w:val="20"/>
              </w:rPr>
              <w:t>0,00</w:t>
            </w:r>
          </w:p>
        </w:tc>
        <w:tc>
          <w:tcPr>
            <w:tcW w:w="1891" w:type="dxa"/>
          </w:tcPr>
          <w:p>
            <w:pPr>
              <w:pStyle w:val="TableParagraph"/>
              <w:spacing w:before="49"/>
              <w:ind w:left="73" w:right="51"/>
              <w:jc w:val="center"/>
              <w:rPr>
                <w:b/>
                <w:sz w:val="20"/>
              </w:rPr>
            </w:pPr>
            <w:r>
              <w:rPr>
                <w:b/>
                <w:spacing w:val="-4"/>
                <w:sz w:val="20"/>
              </w:rPr>
              <w:t>0,00</w:t>
            </w:r>
          </w:p>
        </w:tc>
        <w:tc>
          <w:tcPr>
            <w:tcW w:w="1197" w:type="dxa"/>
          </w:tcPr>
          <w:p>
            <w:pPr>
              <w:pStyle w:val="TableParagraph"/>
              <w:spacing w:before="49"/>
              <w:ind w:left="28" w:right="1"/>
              <w:jc w:val="center"/>
              <w:rPr>
                <w:b/>
                <w:sz w:val="20"/>
              </w:rPr>
            </w:pPr>
            <w:r>
              <w:rPr>
                <w:b/>
                <w:spacing w:val="-2"/>
                <w:sz w:val="20"/>
              </w:rPr>
              <w:t>0,00%</w:t>
            </w:r>
          </w:p>
        </w:tc>
      </w:tr>
    </w:tbl>
    <w:p>
      <w:pPr>
        <w:pStyle w:val="BodyText"/>
        <w:rPr>
          <w:sz w:val="20"/>
        </w:rPr>
      </w:pPr>
    </w:p>
    <w:p>
      <w:pPr>
        <w:pStyle w:val="BodyText"/>
        <w:spacing w:before="54"/>
        <w:rPr>
          <w:sz w:val="20"/>
        </w:rPr>
      </w:pPr>
      <w:r>
        <w:rPr>
          <w:sz w:val="20"/>
        </w:rPr>
        <mc:AlternateContent>
          <mc:Choice Requires="wps">
            <w:drawing>
              <wp:anchor distT="0" distB="0" distL="0" distR="0" allowOverlap="1" layoutInCell="1" locked="0" behindDoc="1" simplePos="0" relativeHeight="487634432">
                <wp:simplePos x="0" y="0"/>
                <wp:positionH relativeFrom="page">
                  <wp:posOffset>1080820</wp:posOffset>
                </wp:positionH>
                <wp:positionV relativeFrom="paragraph">
                  <wp:posOffset>197564</wp:posOffset>
                </wp:positionV>
                <wp:extent cx="5715000" cy="622300"/>
                <wp:effectExtent l="0" t="0" r="0" b="0"/>
                <wp:wrapTopAndBottom/>
                <wp:docPr id="292" name="Textbox 292"/>
                <wp:cNvGraphicFramePr>
                  <a:graphicFrameLocks/>
                </wp:cNvGraphicFramePr>
                <a:graphic>
                  <a:graphicData uri="http://schemas.microsoft.com/office/word/2010/wordprocessingShape">
                    <wps:wsp>
                      <wps:cNvPr id="292" name="Textbox 292"/>
                      <wps:cNvSpPr txBox="1"/>
                      <wps:spPr>
                        <a:xfrm>
                          <a:off x="0" y="0"/>
                          <a:ext cx="5715000" cy="62230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2"/>
                              </w:rPr>
                              <w:t> </w:t>
                            </w:r>
                            <w:r>
                              <w:rPr/>
                              <w:t>la</w:t>
                            </w:r>
                            <w:r>
                              <w:rPr>
                                <w:spacing w:val="-3"/>
                              </w:rPr>
                              <w:t> </w:t>
                            </w:r>
                            <w:r>
                              <w:rPr/>
                              <w:t>cuenta</w:t>
                            </w:r>
                            <w:r>
                              <w:rPr>
                                <w:spacing w:val="-2"/>
                              </w:rPr>
                              <w:t> </w:t>
                            </w:r>
                            <w:r>
                              <w:rPr/>
                              <w:t>no</w:t>
                            </w:r>
                            <w:r>
                              <w:rPr>
                                <w:spacing w:val="-4"/>
                              </w:rPr>
                              <w:t> </w:t>
                            </w:r>
                            <w:r>
                              <w:rPr/>
                              <w:t>presenta</w:t>
                            </w:r>
                            <w:r>
                              <w:rPr>
                                <w:spacing w:val="-2"/>
                              </w:rPr>
                              <w:t> </w:t>
                            </w:r>
                            <w:r>
                              <w:rPr/>
                              <w:t>ningún</w:t>
                            </w:r>
                            <w:r>
                              <w:rPr>
                                <w:spacing w:val="-1"/>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5.55625pt;width:450pt;height:49pt;mso-position-horizontal-relative:page;mso-position-vertical-relative:paragraph;z-index:-15682048;mso-wrap-distance-left:0;mso-wrap-distance-right:0" type="#_x0000_t202" id="docshape278"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2"/>
                        </w:rPr>
                        <w:t> </w:t>
                      </w:r>
                      <w:r>
                        <w:rPr/>
                        <w:t>la</w:t>
                      </w:r>
                      <w:r>
                        <w:rPr>
                          <w:spacing w:val="-3"/>
                        </w:rPr>
                        <w:t> </w:t>
                      </w:r>
                      <w:r>
                        <w:rPr/>
                        <w:t>cuenta</w:t>
                      </w:r>
                      <w:r>
                        <w:rPr>
                          <w:spacing w:val="-2"/>
                        </w:rPr>
                        <w:t> </w:t>
                      </w:r>
                      <w:r>
                        <w:rPr/>
                        <w:t>no</w:t>
                      </w:r>
                      <w:r>
                        <w:rPr>
                          <w:spacing w:val="-4"/>
                        </w:rPr>
                        <w:t> </w:t>
                      </w:r>
                      <w:r>
                        <w:rPr/>
                        <w:t>presenta</w:t>
                      </w:r>
                      <w:r>
                        <w:rPr>
                          <w:spacing w:val="-2"/>
                        </w:rPr>
                        <w:t> </w:t>
                      </w:r>
                      <w:r>
                        <w:rPr/>
                        <w:t>ningún</w:t>
                      </w:r>
                      <w:r>
                        <w:rPr>
                          <w:spacing w:val="-1"/>
                        </w:rPr>
                        <w:t> </w:t>
                      </w:r>
                      <w:r>
                        <w:rPr>
                          <w:spacing w:val="-2"/>
                        </w:rPr>
                        <w:t>movimiento.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2352">
                <wp:simplePos x="0" y="0"/>
                <wp:positionH relativeFrom="page">
                  <wp:posOffset>9525</wp:posOffset>
                </wp:positionH>
                <wp:positionV relativeFrom="page">
                  <wp:posOffset>297208</wp:posOffset>
                </wp:positionV>
                <wp:extent cx="7762875" cy="9748520"/>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7762875" cy="9748520"/>
                          <a:chExt cx="7762875" cy="9748520"/>
                        </a:xfrm>
                      </wpg:grpSpPr>
                      <pic:pic>
                        <pic:nvPicPr>
                          <pic:cNvPr id="294" name="Image 294"/>
                          <pic:cNvPicPr/>
                        </pic:nvPicPr>
                        <pic:blipFill>
                          <a:blip r:embed="rId5" cstate="print"/>
                          <a:stretch>
                            <a:fillRect/>
                          </a:stretch>
                        </pic:blipFill>
                        <pic:spPr>
                          <a:xfrm>
                            <a:off x="0" y="0"/>
                            <a:ext cx="7762874" cy="9748489"/>
                          </a:xfrm>
                          <a:prstGeom prst="rect">
                            <a:avLst/>
                          </a:prstGeom>
                        </pic:spPr>
                      </pic:pic>
                      <wps:wsp>
                        <wps:cNvPr id="295" name="Graphic 29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1139875" y="3934050"/>
                            <a:ext cx="608330" cy="6350"/>
                          </a:xfrm>
                          <a:custGeom>
                            <a:avLst/>
                            <a:gdLst/>
                            <a:ahLst/>
                            <a:cxnLst/>
                            <a:rect l="l" t="t" r="r" b="b"/>
                            <a:pathLst>
                              <a:path w="608330" h="6350">
                                <a:moveTo>
                                  <a:pt x="608076" y="0"/>
                                </a:moveTo>
                                <a:lnTo>
                                  <a:pt x="0" y="0"/>
                                </a:lnTo>
                                <a:lnTo>
                                  <a:pt x="0" y="6096"/>
                                </a:lnTo>
                                <a:lnTo>
                                  <a:pt x="608076" y="6096"/>
                                </a:lnTo>
                                <a:lnTo>
                                  <a:pt x="608076" y="0"/>
                                </a:lnTo>
                                <a:close/>
                              </a:path>
                            </a:pathLst>
                          </a:custGeom>
                          <a:solidFill>
                            <a:srgbClr val="1F4E79"/>
                          </a:solidFill>
                        </wps:spPr>
                        <wps:bodyPr wrap="square" lIns="0" tIns="0" rIns="0" bIns="0" rtlCol="0">
                          <a:prstTxWarp prst="textNoShape">
                            <a:avLst/>
                          </a:prstTxWarp>
                          <a:noAutofit/>
                        </wps:bodyPr>
                      </wps:wsp>
                      <wps:wsp>
                        <wps:cNvPr id="297" name="Graphic 297"/>
                        <wps:cNvSpPr/>
                        <wps:spPr>
                          <a:xfrm>
                            <a:off x="1068247" y="3789269"/>
                            <a:ext cx="5721350" cy="4864100"/>
                          </a:xfrm>
                          <a:custGeom>
                            <a:avLst/>
                            <a:gdLst/>
                            <a:ahLst/>
                            <a:cxnLst/>
                            <a:rect l="l" t="t" r="r" b="b"/>
                            <a:pathLst>
                              <a:path w="5721350" h="4864100">
                                <a:moveTo>
                                  <a:pt x="3233915" y="3121279"/>
                                </a:moveTo>
                                <a:lnTo>
                                  <a:pt x="2822994" y="3121279"/>
                                </a:lnTo>
                                <a:lnTo>
                                  <a:pt x="2822994" y="3130397"/>
                                </a:lnTo>
                                <a:lnTo>
                                  <a:pt x="3233915" y="3130397"/>
                                </a:lnTo>
                                <a:lnTo>
                                  <a:pt x="3233915" y="3121279"/>
                                </a:lnTo>
                                <a:close/>
                              </a:path>
                              <a:path w="5721350" h="4864100">
                                <a:moveTo>
                                  <a:pt x="4325226" y="3121279"/>
                                </a:moveTo>
                                <a:lnTo>
                                  <a:pt x="3914102" y="3121279"/>
                                </a:lnTo>
                                <a:lnTo>
                                  <a:pt x="3914102" y="3130397"/>
                                </a:lnTo>
                                <a:lnTo>
                                  <a:pt x="4325226" y="3130397"/>
                                </a:lnTo>
                                <a:lnTo>
                                  <a:pt x="4325226" y="3121279"/>
                                </a:lnTo>
                                <a:close/>
                              </a:path>
                              <a:path w="5721350" h="4864100">
                                <a:moveTo>
                                  <a:pt x="5007724" y="2451366"/>
                                </a:moveTo>
                                <a:lnTo>
                                  <a:pt x="708850" y="2451366"/>
                                </a:lnTo>
                                <a:lnTo>
                                  <a:pt x="704291" y="2451366"/>
                                </a:lnTo>
                                <a:lnTo>
                                  <a:pt x="704291" y="3137230"/>
                                </a:lnTo>
                                <a:lnTo>
                                  <a:pt x="708850" y="3137230"/>
                                </a:lnTo>
                                <a:lnTo>
                                  <a:pt x="5003165" y="3137230"/>
                                </a:lnTo>
                                <a:lnTo>
                                  <a:pt x="5007724" y="3137230"/>
                                </a:lnTo>
                                <a:lnTo>
                                  <a:pt x="5007724" y="3132671"/>
                                </a:lnTo>
                                <a:lnTo>
                                  <a:pt x="5007724" y="2570264"/>
                                </a:lnTo>
                                <a:lnTo>
                                  <a:pt x="5003165" y="2570264"/>
                                </a:lnTo>
                                <a:lnTo>
                                  <a:pt x="5003165" y="3132671"/>
                                </a:lnTo>
                                <a:lnTo>
                                  <a:pt x="708850" y="3132671"/>
                                </a:lnTo>
                                <a:lnTo>
                                  <a:pt x="708850" y="2455926"/>
                                </a:lnTo>
                                <a:lnTo>
                                  <a:pt x="5003165" y="2455926"/>
                                </a:lnTo>
                                <a:lnTo>
                                  <a:pt x="5003165" y="2563431"/>
                                </a:lnTo>
                                <a:lnTo>
                                  <a:pt x="5007724" y="2563431"/>
                                </a:lnTo>
                                <a:lnTo>
                                  <a:pt x="5007724" y="2455926"/>
                                </a:lnTo>
                                <a:lnTo>
                                  <a:pt x="5007724" y="2451366"/>
                                </a:lnTo>
                                <a:close/>
                              </a:path>
                              <a:path w="5721350" h="4864100">
                                <a:moveTo>
                                  <a:pt x="5720778" y="0"/>
                                </a:moveTo>
                                <a:lnTo>
                                  <a:pt x="5714746" y="0"/>
                                </a:lnTo>
                                <a:lnTo>
                                  <a:pt x="5714695" y="6096"/>
                                </a:lnTo>
                                <a:lnTo>
                                  <a:pt x="5714695" y="4857572"/>
                                </a:lnTo>
                                <a:lnTo>
                                  <a:pt x="6096" y="4857572"/>
                                </a:lnTo>
                                <a:lnTo>
                                  <a:pt x="6096" y="6096"/>
                                </a:lnTo>
                                <a:lnTo>
                                  <a:pt x="5714695" y="6096"/>
                                </a:lnTo>
                                <a:lnTo>
                                  <a:pt x="5714695" y="0"/>
                                </a:lnTo>
                                <a:lnTo>
                                  <a:pt x="6096" y="0"/>
                                </a:lnTo>
                                <a:lnTo>
                                  <a:pt x="0" y="0"/>
                                </a:lnTo>
                                <a:lnTo>
                                  <a:pt x="0" y="6045"/>
                                </a:lnTo>
                                <a:lnTo>
                                  <a:pt x="0" y="4857572"/>
                                </a:lnTo>
                                <a:lnTo>
                                  <a:pt x="0" y="4863668"/>
                                </a:lnTo>
                                <a:lnTo>
                                  <a:pt x="6096" y="4863668"/>
                                </a:lnTo>
                                <a:lnTo>
                                  <a:pt x="5714695" y="4863668"/>
                                </a:lnTo>
                                <a:lnTo>
                                  <a:pt x="5720778" y="4863668"/>
                                </a:lnTo>
                                <a:lnTo>
                                  <a:pt x="5720778" y="4857572"/>
                                </a:lnTo>
                                <a:lnTo>
                                  <a:pt x="5720778" y="6096"/>
                                </a:lnTo>
                                <a:lnTo>
                                  <a:pt x="5720778" y="0"/>
                                </a:lnTo>
                                <a:close/>
                              </a:path>
                            </a:pathLst>
                          </a:custGeom>
                          <a:solidFill>
                            <a:srgbClr val="000000"/>
                          </a:solidFill>
                        </wps:spPr>
                        <wps:bodyPr wrap="square" lIns="0" tIns="0" rIns="0" bIns="0" rtlCol="0">
                          <a:prstTxWarp prst="textNoShape">
                            <a:avLst/>
                          </a:prstTxWarp>
                          <a:noAutofit/>
                        </wps:bodyPr>
                      </wps:wsp>
                      <wps:wsp>
                        <wps:cNvPr id="298" name="Textbox 298"/>
                        <wps:cNvSpPr txBox="1"/>
                        <wps:spPr>
                          <a:xfrm>
                            <a:off x="3546536" y="6256864"/>
                            <a:ext cx="2542540" cy="93980"/>
                          </a:xfrm>
                          <a:prstGeom prst="rect">
                            <a:avLst/>
                          </a:prstGeom>
                        </wps:spPr>
                        <wps:txbx>
                          <w:txbxContent>
                            <w:p>
                              <w:pPr>
                                <w:tabs>
                                  <w:tab w:pos="466" w:val="left" w:leader="none"/>
                                  <w:tab w:pos="2257" w:val="left" w:leader="none"/>
                                  <w:tab w:pos="3088" w:val="left" w:leader="none"/>
                                </w:tabs>
                                <w:spacing w:line="147" w:lineRule="exact" w:before="0"/>
                                <w:ind w:left="0" w:right="0" w:firstLine="0"/>
                                <w:jc w:val="left"/>
                                <w:rPr>
                                  <w:rFonts w:ascii="Times New Roman" w:hAnsi="Times New Roman"/>
                                  <w:b/>
                                  <w:sz w:val="13"/>
                                </w:rPr>
                              </w:pPr>
                              <w:r>
                                <w:rPr>
                                  <w:rFonts w:ascii="Times New Roman" w:hAnsi="Times New Roman"/>
                                  <w:b/>
                                  <w:sz w:val="13"/>
                                  <w:u w:val="single"/>
                                </w:rPr>
                                <w:tab/>
                              </w:r>
                              <w:r>
                                <w:rPr>
                                  <w:rFonts w:ascii="Times New Roman" w:hAnsi="Times New Roman"/>
                                  <w:b/>
                                  <w:spacing w:val="-4"/>
                                  <w:sz w:val="13"/>
                                  <w:u w:val="single"/>
                                </w:rPr>
                                <w:t>2026</w:t>
                              </w:r>
                              <w:r>
                                <w:rPr>
                                  <w:rFonts w:ascii="Times New Roman" w:hAnsi="Times New Roman"/>
                                  <w:b/>
                                  <w:sz w:val="13"/>
                                  <w:u w:val="single"/>
                                </w:rPr>
                                <w:tab/>
                              </w:r>
                              <w:r>
                                <w:rPr>
                                  <w:rFonts w:ascii="Times New Roman" w:hAnsi="Times New Roman"/>
                                  <w:b/>
                                  <w:spacing w:val="-4"/>
                                  <w:sz w:val="13"/>
                                  <w:u w:val="single"/>
                                </w:rPr>
                                <w:t>2025</w:t>
                              </w:r>
                              <w:r>
                                <w:rPr>
                                  <w:rFonts w:ascii="Times New Roman" w:hAnsi="Times New Roman"/>
                                  <w:b/>
                                  <w:sz w:val="13"/>
                                  <w:u w:val="single"/>
                                </w:rPr>
                                <w:tab/>
                                <w:t>Variación</w:t>
                              </w:r>
                              <w:r>
                                <w:rPr>
                                  <w:rFonts w:ascii="Times New Roman" w:hAnsi="Times New Roman"/>
                                  <w:b/>
                                  <w:spacing w:val="3"/>
                                  <w:sz w:val="13"/>
                                  <w:u w:val="single"/>
                                </w:rPr>
                                <w:t> </w:t>
                              </w:r>
                              <w:r>
                                <w:rPr>
                                  <w:rFonts w:ascii="Times New Roman" w:hAnsi="Times New Roman"/>
                                  <w:b/>
                                  <w:spacing w:val="-10"/>
                                  <w:sz w:val="13"/>
                                  <w:u w:val="single"/>
                                </w:rPr>
                                <w:t>%</w:t>
                              </w:r>
                              <w:r>
                                <w:rPr>
                                  <w:rFonts w:ascii="Times New Roman" w:hAnsi="Times New Roman"/>
                                  <w:b/>
                                  <w:spacing w:val="80"/>
                                  <w:sz w:val="13"/>
                                  <w:u w:val="single"/>
                                </w:rPr>
                                <w:t> </w:t>
                              </w:r>
                            </w:p>
                          </w:txbxContent>
                        </wps:txbx>
                        <wps:bodyPr wrap="square" lIns="0" tIns="0" rIns="0" bIns="0" rtlCol="0">
                          <a:noAutofit/>
                        </wps:bodyPr>
                      </wps:wsp>
                      <wps:wsp>
                        <wps:cNvPr id="299" name="Textbox 299"/>
                        <wps:cNvSpPr txBox="1"/>
                        <wps:spPr>
                          <a:xfrm>
                            <a:off x="1788515" y="6367034"/>
                            <a:ext cx="1602740" cy="550545"/>
                          </a:xfrm>
                          <a:prstGeom prst="rect">
                            <a:avLst/>
                          </a:prstGeom>
                        </wps:spPr>
                        <wps:txbx>
                          <w:txbxContent>
                            <w:p>
                              <w:pPr>
                                <w:spacing w:line="159" w:lineRule="exact" w:before="0"/>
                                <w:ind w:left="86" w:right="0" w:firstLine="0"/>
                                <w:jc w:val="left"/>
                                <w:rPr>
                                  <w:rFonts w:ascii="Times New Roman"/>
                                  <w:b/>
                                  <w:sz w:val="14"/>
                                </w:rPr>
                              </w:pPr>
                              <w:r>
                                <w:rPr>
                                  <w:rFonts w:ascii="Times New Roman"/>
                                  <w:b/>
                                  <w:sz w:val="14"/>
                                </w:rPr>
                                <w:t>Documentos</w:t>
                              </w:r>
                              <w:r>
                                <w:rPr>
                                  <w:rFonts w:ascii="Times New Roman"/>
                                  <w:b/>
                                  <w:spacing w:val="6"/>
                                  <w:sz w:val="14"/>
                                </w:rPr>
                                <w:t> </w:t>
                              </w:r>
                              <w:r>
                                <w:rPr>
                                  <w:rFonts w:ascii="Times New Roman"/>
                                  <w:b/>
                                  <w:sz w:val="14"/>
                                </w:rPr>
                                <w:t>por</w:t>
                              </w:r>
                              <w:r>
                                <w:rPr>
                                  <w:rFonts w:ascii="Times New Roman"/>
                                  <w:b/>
                                  <w:spacing w:val="6"/>
                                  <w:sz w:val="14"/>
                                </w:rPr>
                                <w:t> </w:t>
                              </w:r>
                              <w:r>
                                <w:rPr>
                                  <w:rFonts w:ascii="Times New Roman"/>
                                  <w:b/>
                                  <w:sz w:val="14"/>
                                </w:rPr>
                                <w:t>cobrar,</w:t>
                              </w:r>
                              <w:r>
                                <w:rPr>
                                  <w:rFonts w:ascii="Times New Roman"/>
                                  <w:b/>
                                  <w:spacing w:val="6"/>
                                  <w:sz w:val="14"/>
                                </w:rPr>
                                <w:t> </w:t>
                              </w:r>
                              <w:r>
                                <w:rPr>
                                  <w:rFonts w:ascii="Times New Roman"/>
                                  <w:b/>
                                  <w:sz w:val="14"/>
                                </w:rPr>
                                <w:t>largo</w:t>
                              </w:r>
                              <w:r>
                                <w:rPr>
                                  <w:rFonts w:ascii="Times New Roman"/>
                                  <w:b/>
                                  <w:spacing w:val="1"/>
                                  <w:sz w:val="14"/>
                                </w:rPr>
                                <w:t> </w:t>
                              </w:r>
                              <w:r>
                                <w:rPr>
                                  <w:rFonts w:ascii="Times New Roman"/>
                                  <w:b/>
                                  <w:spacing w:val="-4"/>
                                  <w:sz w:val="14"/>
                                </w:rPr>
                                <w:t>plazo</w:t>
                              </w:r>
                            </w:p>
                            <w:p>
                              <w:pPr>
                                <w:spacing w:before="29"/>
                                <w:ind w:left="0" w:right="0" w:firstLine="0"/>
                                <w:jc w:val="left"/>
                                <w:rPr>
                                  <w:rFonts w:ascii="Calibri"/>
                                  <w:sz w:val="13"/>
                                </w:rPr>
                              </w:pPr>
                              <w:r>
                                <w:rPr>
                                  <w:rFonts w:ascii="Calibri"/>
                                  <w:sz w:val="13"/>
                                </w:rPr>
                                <w:t>Documentos</w:t>
                              </w:r>
                              <w:r>
                                <w:rPr>
                                  <w:rFonts w:ascii="Calibri"/>
                                  <w:spacing w:val="1"/>
                                  <w:sz w:val="13"/>
                                </w:rPr>
                                <w:t> </w:t>
                              </w:r>
                              <w:r>
                                <w:rPr>
                                  <w:rFonts w:ascii="Calibri"/>
                                  <w:sz w:val="13"/>
                                </w:rPr>
                                <w:t>a</w:t>
                              </w:r>
                              <w:r>
                                <w:rPr>
                                  <w:rFonts w:ascii="Calibri"/>
                                  <w:spacing w:val="5"/>
                                  <w:sz w:val="13"/>
                                </w:rPr>
                                <w:t> </w:t>
                              </w:r>
                              <w:r>
                                <w:rPr>
                                  <w:rFonts w:ascii="Calibri"/>
                                  <w:sz w:val="13"/>
                                </w:rPr>
                                <w:t>cobrar</w:t>
                              </w:r>
                              <w:r>
                                <w:rPr>
                                  <w:rFonts w:ascii="Calibri"/>
                                  <w:spacing w:val="3"/>
                                  <w:sz w:val="13"/>
                                </w:rPr>
                                <w:t> </w:t>
                              </w:r>
                              <w:r>
                                <w:rPr>
                                  <w:rFonts w:ascii="Calibri"/>
                                  <w:sz w:val="13"/>
                                </w:rPr>
                                <w:t>por</w:t>
                              </w:r>
                              <w:r>
                                <w:rPr>
                                  <w:rFonts w:ascii="Calibri"/>
                                  <w:spacing w:val="4"/>
                                  <w:sz w:val="13"/>
                                </w:rPr>
                                <w:t> </w:t>
                              </w:r>
                              <w:r>
                                <w:rPr>
                                  <w:rFonts w:ascii="Calibri"/>
                                  <w:spacing w:val="-2"/>
                                  <w:sz w:val="13"/>
                                </w:rPr>
                                <w:t>ventas</w:t>
                              </w:r>
                            </w:p>
                            <w:p>
                              <w:pPr>
                                <w:spacing w:line="261" w:lineRule="auto" w:before="14"/>
                                <w:ind w:left="0" w:right="0" w:firstLine="0"/>
                                <w:jc w:val="left"/>
                                <w:rPr>
                                  <w:rFonts w:ascii="Calibri"/>
                                  <w:sz w:val="13"/>
                                </w:rPr>
                              </w:pPr>
                              <w:r>
                                <w:rPr>
                                  <w:rFonts w:ascii="Calibri"/>
                                  <w:sz w:val="13"/>
                                </w:rPr>
                                <w:t>Documentos a cobrar por fraccionamientos de</w:t>
                              </w:r>
                              <w:r>
                                <w:rPr>
                                  <w:rFonts w:ascii="Calibri"/>
                                  <w:spacing w:val="40"/>
                                  <w:sz w:val="13"/>
                                </w:rPr>
                                <w:t> </w:t>
                              </w:r>
                              <w:r>
                                <w:rPr>
                                  <w:rFonts w:ascii="Calibri"/>
                                  <w:spacing w:val="-4"/>
                                  <w:sz w:val="13"/>
                                </w:rPr>
                                <w:t>pago</w:t>
                              </w:r>
                            </w:p>
                            <w:p>
                              <w:pPr>
                                <w:spacing w:before="10"/>
                                <w:ind w:left="224" w:right="0" w:firstLine="0"/>
                                <w:jc w:val="center"/>
                                <w:rPr>
                                  <w:rFonts w:ascii="Times New Roman"/>
                                  <w:b/>
                                  <w:sz w:val="13"/>
                                </w:rPr>
                              </w:pPr>
                              <w:r>
                                <w:rPr>
                                  <w:rFonts w:ascii="Times New Roman"/>
                                  <w:b/>
                                  <w:spacing w:val="-2"/>
                                  <w:sz w:val="13"/>
                                </w:rPr>
                                <w:t>Total</w:t>
                              </w:r>
                            </w:p>
                          </w:txbxContent>
                        </wps:txbx>
                        <wps:bodyPr wrap="square" lIns="0" tIns="0" rIns="0" bIns="0" rtlCol="0">
                          <a:noAutofit/>
                        </wps:bodyPr>
                      </wps:wsp>
                      <wps:wsp>
                        <wps:cNvPr id="300" name="Textbox 300"/>
                        <wps:cNvSpPr txBox="1"/>
                        <wps:spPr>
                          <a:xfrm>
                            <a:off x="3891249" y="6483656"/>
                            <a:ext cx="424180" cy="438150"/>
                          </a:xfrm>
                          <a:prstGeom prst="rect">
                            <a:avLst/>
                          </a:prstGeom>
                        </wps:spPr>
                        <wps:txbx>
                          <w:txbxContent>
                            <w:p>
                              <w:pPr>
                                <w:spacing w:line="159" w:lineRule="exact" w:before="0"/>
                                <w:ind w:left="0" w:right="0" w:firstLine="0"/>
                                <w:jc w:val="left"/>
                                <w:rPr>
                                  <w:rFonts w:ascii="Times New Roman"/>
                                  <w:sz w:val="14"/>
                                </w:rPr>
                              </w:pPr>
                              <w:r>
                                <w:rPr>
                                  <w:rFonts w:ascii="Times New Roman"/>
                                  <w:w w:val="105"/>
                                  <w:sz w:val="14"/>
                                </w:rPr>
                                <w:t>458</w:t>
                              </w:r>
                              <w:r>
                                <w:rPr>
                                  <w:rFonts w:ascii="Times New Roman"/>
                                  <w:spacing w:val="-7"/>
                                  <w:w w:val="105"/>
                                  <w:sz w:val="14"/>
                                </w:rPr>
                                <w:t> </w:t>
                              </w:r>
                              <w:r>
                                <w:rPr>
                                  <w:rFonts w:ascii="Times New Roman"/>
                                  <w:spacing w:val="-2"/>
                                  <w:w w:val="105"/>
                                  <w:sz w:val="14"/>
                                </w:rPr>
                                <w:t>499,16</w:t>
                              </w:r>
                            </w:p>
                            <w:p>
                              <w:pPr>
                                <w:spacing w:before="102"/>
                                <w:ind w:left="71" w:right="0" w:firstLine="0"/>
                                <w:jc w:val="left"/>
                                <w:rPr>
                                  <w:rFonts w:ascii="Times New Roman"/>
                                  <w:sz w:val="14"/>
                                </w:rPr>
                              </w:pPr>
                              <w:r>
                                <w:rPr>
                                  <w:rFonts w:ascii="Times New Roman"/>
                                  <w:w w:val="105"/>
                                  <w:sz w:val="14"/>
                                </w:rPr>
                                <w:t>96</w:t>
                              </w:r>
                              <w:r>
                                <w:rPr>
                                  <w:rFonts w:ascii="Times New Roman"/>
                                  <w:spacing w:val="-5"/>
                                  <w:w w:val="105"/>
                                  <w:sz w:val="14"/>
                                </w:rPr>
                                <w:t> </w:t>
                              </w:r>
                              <w:r>
                                <w:rPr>
                                  <w:rFonts w:ascii="Times New Roman"/>
                                  <w:spacing w:val="-2"/>
                                  <w:w w:val="105"/>
                                  <w:sz w:val="14"/>
                                </w:rPr>
                                <w:t>327,31</w:t>
                              </w:r>
                            </w:p>
                            <w:p>
                              <w:pPr>
                                <w:spacing w:before="105"/>
                                <w:ind w:left="0" w:right="0" w:firstLine="0"/>
                                <w:jc w:val="left"/>
                                <w:rPr>
                                  <w:rFonts w:ascii="Times New Roman"/>
                                  <w:b/>
                                  <w:sz w:val="14"/>
                                </w:rPr>
                              </w:pPr>
                              <w:r>
                                <w:rPr>
                                  <w:rFonts w:ascii="Times New Roman"/>
                                  <w:b/>
                                  <w:w w:val="105"/>
                                  <w:sz w:val="14"/>
                                </w:rPr>
                                <w:t>554</w:t>
                              </w:r>
                              <w:r>
                                <w:rPr>
                                  <w:rFonts w:ascii="Times New Roman"/>
                                  <w:b/>
                                  <w:spacing w:val="-7"/>
                                  <w:w w:val="105"/>
                                  <w:sz w:val="14"/>
                                </w:rPr>
                                <w:t> </w:t>
                              </w:r>
                              <w:r>
                                <w:rPr>
                                  <w:rFonts w:ascii="Times New Roman"/>
                                  <w:b/>
                                  <w:spacing w:val="-2"/>
                                  <w:w w:val="105"/>
                                  <w:sz w:val="14"/>
                                </w:rPr>
                                <w:t>826,47</w:t>
                              </w:r>
                            </w:p>
                          </w:txbxContent>
                        </wps:txbx>
                        <wps:bodyPr wrap="square" lIns="0" tIns="0" rIns="0" bIns="0" rtlCol="0">
                          <a:noAutofit/>
                        </wps:bodyPr>
                      </wps:wsp>
                      <wps:wsp>
                        <wps:cNvPr id="301" name="Textbox 301"/>
                        <wps:cNvSpPr txBox="1"/>
                        <wps:spPr>
                          <a:xfrm>
                            <a:off x="4982359" y="6483656"/>
                            <a:ext cx="424180" cy="438150"/>
                          </a:xfrm>
                          <a:prstGeom prst="rect">
                            <a:avLst/>
                          </a:prstGeom>
                        </wps:spPr>
                        <wps:txbx>
                          <w:txbxContent>
                            <w:p>
                              <w:pPr>
                                <w:spacing w:line="159" w:lineRule="exact" w:before="0"/>
                                <w:ind w:left="0" w:right="0" w:firstLine="0"/>
                                <w:jc w:val="left"/>
                                <w:rPr>
                                  <w:rFonts w:ascii="Times New Roman"/>
                                  <w:sz w:val="14"/>
                                </w:rPr>
                              </w:pPr>
                              <w:r>
                                <w:rPr>
                                  <w:rFonts w:ascii="Times New Roman"/>
                                  <w:w w:val="105"/>
                                  <w:sz w:val="14"/>
                                </w:rPr>
                                <w:t>479</w:t>
                              </w:r>
                              <w:r>
                                <w:rPr>
                                  <w:rFonts w:ascii="Times New Roman"/>
                                  <w:spacing w:val="-7"/>
                                  <w:w w:val="105"/>
                                  <w:sz w:val="14"/>
                                </w:rPr>
                                <w:t> </w:t>
                              </w:r>
                              <w:r>
                                <w:rPr>
                                  <w:rFonts w:ascii="Times New Roman"/>
                                  <w:spacing w:val="-2"/>
                                  <w:w w:val="105"/>
                                  <w:sz w:val="14"/>
                                </w:rPr>
                                <w:t>870,85</w:t>
                              </w:r>
                            </w:p>
                            <w:p>
                              <w:pPr>
                                <w:spacing w:before="102"/>
                                <w:ind w:left="0" w:right="0" w:firstLine="0"/>
                                <w:jc w:val="left"/>
                                <w:rPr>
                                  <w:rFonts w:ascii="Times New Roman"/>
                                  <w:sz w:val="14"/>
                                </w:rPr>
                              </w:pPr>
                              <w:r>
                                <w:rPr>
                                  <w:rFonts w:ascii="Times New Roman"/>
                                  <w:w w:val="105"/>
                                  <w:sz w:val="14"/>
                                </w:rPr>
                                <w:t>216</w:t>
                              </w:r>
                              <w:r>
                                <w:rPr>
                                  <w:rFonts w:ascii="Times New Roman"/>
                                  <w:spacing w:val="-7"/>
                                  <w:w w:val="105"/>
                                  <w:sz w:val="14"/>
                                </w:rPr>
                                <w:t> </w:t>
                              </w:r>
                              <w:r>
                                <w:rPr>
                                  <w:rFonts w:ascii="Times New Roman"/>
                                  <w:spacing w:val="-2"/>
                                  <w:w w:val="105"/>
                                  <w:sz w:val="14"/>
                                </w:rPr>
                                <w:t>768,06</w:t>
                              </w:r>
                            </w:p>
                            <w:p>
                              <w:pPr>
                                <w:spacing w:before="105"/>
                                <w:ind w:left="0" w:right="0" w:firstLine="0"/>
                                <w:jc w:val="left"/>
                                <w:rPr>
                                  <w:rFonts w:ascii="Times New Roman"/>
                                  <w:b/>
                                  <w:sz w:val="14"/>
                                </w:rPr>
                              </w:pPr>
                              <w:r>
                                <w:rPr>
                                  <w:rFonts w:ascii="Times New Roman"/>
                                  <w:b/>
                                  <w:w w:val="105"/>
                                  <w:sz w:val="14"/>
                                </w:rPr>
                                <w:t>696</w:t>
                              </w:r>
                              <w:r>
                                <w:rPr>
                                  <w:rFonts w:ascii="Times New Roman"/>
                                  <w:b/>
                                  <w:spacing w:val="-7"/>
                                  <w:w w:val="105"/>
                                  <w:sz w:val="14"/>
                                </w:rPr>
                                <w:t> </w:t>
                              </w:r>
                              <w:r>
                                <w:rPr>
                                  <w:rFonts w:ascii="Times New Roman"/>
                                  <w:b/>
                                  <w:spacing w:val="-2"/>
                                  <w:w w:val="105"/>
                                  <w:sz w:val="14"/>
                                </w:rPr>
                                <w:t>638,91</w:t>
                              </w:r>
                            </w:p>
                          </w:txbxContent>
                        </wps:txbx>
                        <wps:bodyPr wrap="square" lIns="0" tIns="0" rIns="0" bIns="0" rtlCol="0">
                          <a:noAutofit/>
                        </wps:bodyPr>
                      </wps:wsp>
                      <wps:wsp>
                        <wps:cNvPr id="302" name="Textbox 302"/>
                        <wps:cNvSpPr txBox="1"/>
                        <wps:spPr>
                          <a:xfrm>
                            <a:off x="5827255" y="6501846"/>
                            <a:ext cx="248920" cy="85090"/>
                          </a:xfrm>
                          <a:prstGeom prst="rect">
                            <a:avLst/>
                          </a:prstGeom>
                        </wps:spPr>
                        <wps:txbx>
                          <w:txbxContent>
                            <w:p>
                              <w:pPr>
                                <w:spacing w:line="133" w:lineRule="exact" w:before="0"/>
                                <w:ind w:left="0" w:right="0" w:firstLine="0"/>
                                <w:jc w:val="left"/>
                                <w:rPr>
                                  <w:rFonts w:ascii="Calibri"/>
                                  <w:sz w:val="13"/>
                                </w:rPr>
                              </w:pPr>
                              <w:r>
                                <w:rPr>
                                  <w:rFonts w:ascii="Calibri"/>
                                  <w:spacing w:val="-2"/>
                                  <w:sz w:val="13"/>
                                </w:rPr>
                                <w:t>-4,45%</w:t>
                              </w:r>
                            </w:p>
                          </w:txbxContent>
                        </wps:txbx>
                        <wps:bodyPr wrap="square" lIns="0" tIns="0" rIns="0" bIns="0" rtlCol="0">
                          <a:noAutofit/>
                        </wps:bodyPr>
                      </wps:wsp>
                      <wps:wsp>
                        <wps:cNvPr id="303" name="Textbox 303"/>
                        <wps:cNvSpPr txBox="1"/>
                        <wps:spPr>
                          <a:xfrm>
                            <a:off x="5779260" y="6721415"/>
                            <a:ext cx="296545" cy="199390"/>
                          </a:xfrm>
                          <a:prstGeom prst="rect">
                            <a:avLst/>
                          </a:prstGeom>
                        </wps:spPr>
                        <wps:txbx>
                          <w:txbxContent>
                            <w:p>
                              <w:pPr>
                                <w:spacing w:line="135" w:lineRule="exact" w:before="0"/>
                                <w:ind w:left="7" w:right="0" w:firstLine="0"/>
                                <w:jc w:val="left"/>
                                <w:rPr>
                                  <w:rFonts w:ascii="Calibri"/>
                                  <w:sz w:val="13"/>
                                </w:rPr>
                              </w:pPr>
                              <w:r>
                                <w:rPr>
                                  <w:rFonts w:ascii="Calibri"/>
                                  <w:spacing w:val="-2"/>
                                  <w:sz w:val="13"/>
                                </w:rPr>
                                <w:t>-55,56%</w:t>
                              </w:r>
                            </w:p>
                            <w:p>
                              <w:pPr>
                                <w:spacing w:line="157" w:lineRule="exact" w:before="21"/>
                                <w:ind w:left="0" w:right="0" w:firstLine="0"/>
                                <w:jc w:val="left"/>
                                <w:rPr>
                                  <w:rFonts w:ascii="Calibri"/>
                                  <w:b/>
                                  <w:sz w:val="13"/>
                                </w:rPr>
                              </w:pPr>
                              <w:r>
                                <w:rPr>
                                  <w:rFonts w:ascii="Calibri"/>
                                  <w:b/>
                                  <w:spacing w:val="-2"/>
                                  <w:sz w:val="13"/>
                                  <w:u w:val="single"/>
                                </w:rPr>
                                <w:t>-20,36%</w:t>
                              </w:r>
                            </w:p>
                          </w:txbxContent>
                        </wps:txbx>
                        <wps:bodyPr wrap="square" lIns="0" tIns="0" rIns="0" bIns="0" rtlCol="0">
                          <a:noAutofit/>
                        </wps:bodyPr>
                      </wps:wsp>
                    </wpg:wgp>
                  </a:graphicData>
                </a:graphic>
              </wp:anchor>
            </w:drawing>
          </mc:Choice>
          <mc:Fallback>
            <w:pict>
              <v:group style="position:absolute;margin-left:.75001pt;margin-top:23.402267pt;width:611.25pt;height:767.6pt;mso-position-horizontal-relative:page;mso-position-vertical-relative:page;z-index:-29744128" id="docshapegroup279" coordorigin="15,468" coordsize="12225,15352">
                <v:shape style="position:absolute;left:15;top:468;width:12225;height:15352" type="#_x0000_t75" id="docshape280" stroked="false">
                  <v:imagedata r:id="rId5" o:title=""/>
                </v:shape>
                <v:rect style="position:absolute;left:1673;top:2028;width:8897;height:15" id="docshape281" filled="true" fillcolor="#000000" stroked="false">
                  <v:fill type="solid"/>
                </v:rect>
                <v:rect style="position:absolute;left:1810;top:6663;width:958;height:10" id="docshape282" filled="true" fillcolor="#1f4e79" stroked="false">
                  <v:fill type="solid"/>
                </v:rect>
                <v:shape style="position:absolute;left:1697;top:6435;width:9010;height:7660" id="docshape283" coordorigin="1697,6435" coordsize="9010,7660" path="m6790,11351l6143,11351,6143,11365,6790,11365,6790,11351xm8509,11351l7861,11351,7861,11365,8509,11365,8509,11351xm9583,10296l2814,10296,2806,10296,2806,11376,2814,11376,9576,11376,9583,11376,9583,11369,9583,10483,9576,10483,9576,11369,2814,11369,2814,10303,9576,10303,9576,10472,9583,10472,9583,10303,9583,10296xm10706,6435l10697,6435,10697,6435,10697,6445,10697,14085,1707,14085,1707,6445,10697,6445,10697,6435,1707,6435,1697,6435,1697,6445,1697,6445,1697,14085,1697,14095,1707,14095,10697,14095,10697,14095,10706,14095,10706,14085,10706,6445,10706,6445,10706,6435xe" filled="true" fillcolor="#000000" stroked="false">
                  <v:path arrowok="t"/>
                  <v:fill type="solid"/>
                </v:shape>
                <v:shape style="position:absolute;left:5600;top:10321;width:4004;height:148" type="#_x0000_t202" id="docshape284" filled="false" stroked="false">
                  <v:textbox inset="0,0,0,0">
                    <w:txbxContent>
                      <w:p>
                        <w:pPr>
                          <w:tabs>
                            <w:tab w:pos="466" w:val="left" w:leader="none"/>
                            <w:tab w:pos="2257" w:val="left" w:leader="none"/>
                            <w:tab w:pos="3088" w:val="left" w:leader="none"/>
                          </w:tabs>
                          <w:spacing w:line="147" w:lineRule="exact" w:before="0"/>
                          <w:ind w:left="0" w:right="0" w:firstLine="0"/>
                          <w:jc w:val="left"/>
                          <w:rPr>
                            <w:rFonts w:ascii="Times New Roman" w:hAnsi="Times New Roman"/>
                            <w:b/>
                            <w:sz w:val="13"/>
                          </w:rPr>
                        </w:pPr>
                        <w:r>
                          <w:rPr>
                            <w:rFonts w:ascii="Times New Roman" w:hAnsi="Times New Roman"/>
                            <w:b/>
                            <w:sz w:val="13"/>
                            <w:u w:val="single"/>
                          </w:rPr>
                          <w:tab/>
                        </w:r>
                        <w:r>
                          <w:rPr>
                            <w:rFonts w:ascii="Times New Roman" w:hAnsi="Times New Roman"/>
                            <w:b/>
                            <w:spacing w:val="-4"/>
                            <w:sz w:val="13"/>
                            <w:u w:val="single"/>
                          </w:rPr>
                          <w:t>2026</w:t>
                        </w:r>
                        <w:r>
                          <w:rPr>
                            <w:rFonts w:ascii="Times New Roman" w:hAnsi="Times New Roman"/>
                            <w:b/>
                            <w:sz w:val="13"/>
                            <w:u w:val="single"/>
                          </w:rPr>
                          <w:tab/>
                        </w:r>
                        <w:r>
                          <w:rPr>
                            <w:rFonts w:ascii="Times New Roman" w:hAnsi="Times New Roman"/>
                            <w:b/>
                            <w:spacing w:val="-4"/>
                            <w:sz w:val="13"/>
                            <w:u w:val="single"/>
                          </w:rPr>
                          <w:t>2025</w:t>
                        </w:r>
                        <w:r>
                          <w:rPr>
                            <w:rFonts w:ascii="Times New Roman" w:hAnsi="Times New Roman"/>
                            <w:b/>
                            <w:sz w:val="13"/>
                            <w:u w:val="single"/>
                          </w:rPr>
                          <w:tab/>
                          <w:t>Variación</w:t>
                        </w:r>
                        <w:r>
                          <w:rPr>
                            <w:rFonts w:ascii="Times New Roman" w:hAnsi="Times New Roman"/>
                            <w:b/>
                            <w:spacing w:val="3"/>
                            <w:sz w:val="13"/>
                            <w:u w:val="single"/>
                          </w:rPr>
                          <w:t> </w:t>
                        </w:r>
                        <w:r>
                          <w:rPr>
                            <w:rFonts w:ascii="Times New Roman" w:hAnsi="Times New Roman"/>
                            <w:b/>
                            <w:spacing w:val="-10"/>
                            <w:sz w:val="13"/>
                            <w:u w:val="single"/>
                          </w:rPr>
                          <w:t>%</w:t>
                        </w:r>
                        <w:r>
                          <w:rPr>
                            <w:rFonts w:ascii="Times New Roman" w:hAnsi="Times New Roman"/>
                            <w:b/>
                            <w:spacing w:val="80"/>
                            <w:sz w:val="13"/>
                            <w:u w:val="single"/>
                          </w:rPr>
                          <w:t> </w:t>
                        </w:r>
                      </w:p>
                    </w:txbxContent>
                  </v:textbox>
                  <w10:wrap type="none"/>
                </v:shape>
                <v:shape style="position:absolute;left:2831;top:10494;width:2524;height:867" type="#_x0000_t202" id="docshape285" filled="false" stroked="false">
                  <v:textbox inset="0,0,0,0">
                    <w:txbxContent>
                      <w:p>
                        <w:pPr>
                          <w:spacing w:line="159" w:lineRule="exact" w:before="0"/>
                          <w:ind w:left="86" w:right="0" w:firstLine="0"/>
                          <w:jc w:val="left"/>
                          <w:rPr>
                            <w:rFonts w:ascii="Times New Roman"/>
                            <w:b/>
                            <w:sz w:val="14"/>
                          </w:rPr>
                        </w:pPr>
                        <w:r>
                          <w:rPr>
                            <w:rFonts w:ascii="Times New Roman"/>
                            <w:b/>
                            <w:sz w:val="14"/>
                          </w:rPr>
                          <w:t>Documentos</w:t>
                        </w:r>
                        <w:r>
                          <w:rPr>
                            <w:rFonts w:ascii="Times New Roman"/>
                            <w:b/>
                            <w:spacing w:val="6"/>
                            <w:sz w:val="14"/>
                          </w:rPr>
                          <w:t> </w:t>
                        </w:r>
                        <w:r>
                          <w:rPr>
                            <w:rFonts w:ascii="Times New Roman"/>
                            <w:b/>
                            <w:sz w:val="14"/>
                          </w:rPr>
                          <w:t>por</w:t>
                        </w:r>
                        <w:r>
                          <w:rPr>
                            <w:rFonts w:ascii="Times New Roman"/>
                            <w:b/>
                            <w:spacing w:val="6"/>
                            <w:sz w:val="14"/>
                          </w:rPr>
                          <w:t> </w:t>
                        </w:r>
                        <w:r>
                          <w:rPr>
                            <w:rFonts w:ascii="Times New Roman"/>
                            <w:b/>
                            <w:sz w:val="14"/>
                          </w:rPr>
                          <w:t>cobrar,</w:t>
                        </w:r>
                        <w:r>
                          <w:rPr>
                            <w:rFonts w:ascii="Times New Roman"/>
                            <w:b/>
                            <w:spacing w:val="6"/>
                            <w:sz w:val="14"/>
                          </w:rPr>
                          <w:t> </w:t>
                        </w:r>
                        <w:r>
                          <w:rPr>
                            <w:rFonts w:ascii="Times New Roman"/>
                            <w:b/>
                            <w:sz w:val="14"/>
                          </w:rPr>
                          <w:t>largo</w:t>
                        </w:r>
                        <w:r>
                          <w:rPr>
                            <w:rFonts w:ascii="Times New Roman"/>
                            <w:b/>
                            <w:spacing w:val="1"/>
                            <w:sz w:val="14"/>
                          </w:rPr>
                          <w:t> </w:t>
                        </w:r>
                        <w:r>
                          <w:rPr>
                            <w:rFonts w:ascii="Times New Roman"/>
                            <w:b/>
                            <w:spacing w:val="-4"/>
                            <w:sz w:val="14"/>
                          </w:rPr>
                          <w:t>plazo</w:t>
                        </w:r>
                      </w:p>
                      <w:p>
                        <w:pPr>
                          <w:spacing w:before="29"/>
                          <w:ind w:left="0" w:right="0" w:firstLine="0"/>
                          <w:jc w:val="left"/>
                          <w:rPr>
                            <w:rFonts w:ascii="Calibri"/>
                            <w:sz w:val="13"/>
                          </w:rPr>
                        </w:pPr>
                        <w:r>
                          <w:rPr>
                            <w:rFonts w:ascii="Calibri"/>
                            <w:sz w:val="13"/>
                          </w:rPr>
                          <w:t>Documentos</w:t>
                        </w:r>
                        <w:r>
                          <w:rPr>
                            <w:rFonts w:ascii="Calibri"/>
                            <w:spacing w:val="1"/>
                            <w:sz w:val="13"/>
                          </w:rPr>
                          <w:t> </w:t>
                        </w:r>
                        <w:r>
                          <w:rPr>
                            <w:rFonts w:ascii="Calibri"/>
                            <w:sz w:val="13"/>
                          </w:rPr>
                          <w:t>a</w:t>
                        </w:r>
                        <w:r>
                          <w:rPr>
                            <w:rFonts w:ascii="Calibri"/>
                            <w:spacing w:val="5"/>
                            <w:sz w:val="13"/>
                          </w:rPr>
                          <w:t> </w:t>
                        </w:r>
                        <w:r>
                          <w:rPr>
                            <w:rFonts w:ascii="Calibri"/>
                            <w:sz w:val="13"/>
                          </w:rPr>
                          <w:t>cobrar</w:t>
                        </w:r>
                        <w:r>
                          <w:rPr>
                            <w:rFonts w:ascii="Calibri"/>
                            <w:spacing w:val="3"/>
                            <w:sz w:val="13"/>
                          </w:rPr>
                          <w:t> </w:t>
                        </w:r>
                        <w:r>
                          <w:rPr>
                            <w:rFonts w:ascii="Calibri"/>
                            <w:sz w:val="13"/>
                          </w:rPr>
                          <w:t>por</w:t>
                        </w:r>
                        <w:r>
                          <w:rPr>
                            <w:rFonts w:ascii="Calibri"/>
                            <w:spacing w:val="4"/>
                            <w:sz w:val="13"/>
                          </w:rPr>
                          <w:t> </w:t>
                        </w:r>
                        <w:r>
                          <w:rPr>
                            <w:rFonts w:ascii="Calibri"/>
                            <w:spacing w:val="-2"/>
                            <w:sz w:val="13"/>
                          </w:rPr>
                          <w:t>ventas</w:t>
                        </w:r>
                      </w:p>
                      <w:p>
                        <w:pPr>
                          <w:spacing w:line="261" w:lineRule="auto" w:before="14"/>
                          <w:ind w:left="0" w:right="0" w:firstLine="0"/>
                          <w:jc w:val="left"/>
                          <w:rPr>
                            <w:rFonts w:ascii="Calibri"/>
                            <w:sz w:val="13"/>
                          </w:rPr>
                        </w:pPr>
                        <w:r>
                          <w:rPr>
                            <w:rFonts w:ascii="Calibri"/>
                            <w:sz w:val="13"/>
                          </w:rPr>
                          <w:t>Documentos a cobrar por fraccionamientos de</w:t>
                        </w:r>
                        <w:r>
                          <w:rPr>
                            <w:rFonts w:ascii="Calibri"/>
                            <w:spacing w:val="40"/>
                            <w:sz w:val="13"/>
                          </w:rPr>
                          <w:t> </w:t>
                        </w:r>
                        <w:r>
                          <w:rPr>
                            <w:rFonts w:ascii="Calibri"/>
                            <w:spacing w:val="-4"/>
                            <w:sz w:val="13"/>
                          </w:rPr>
                          <w:t>pago</w:t>
                        </w:r>
                      </w:p>
                      <w:p>
                        <w:pPr>
                          <w:spacing w:before="10"/>
                          <w:ind w:left="224" w:right="0" w:firstLine="0"/>
                          <w:jc w:val="center"/>
                          <w:rPr>
                            <w:rFonts w:ascii="Times New Roman"/>
                            <w:b/>
                            <w:sz w:val="13"/>
                          </w:rPr>
                        </w:pPr>
                        <w:r>
                          <w:rPr>
                            <w:rFonts w:ascii="Times New Roman"/>
                            <w:b/>
                            <w:spacing w:val="-2"/>
                            <w:sz w:val="13"/>
                          </w:rPr>
                          <w:t>Total</w:t>
                        </w:r>
                      </w:p>
                    </w:txbxContent>
                  </v:textbox>
                  <w10:wrap type="none"/>
                </v:shape>
                <v:shape style="position:absolute;left:6142;top:10678;width:668;height:690" type="#_x0000_t202" id="docshape286" filled="false" stroked="false">
                  <v:textbox inset="0,0,0,0">
                    <w:txbxContent>
                      <w:p>
                        <w:pPr>
                          <w:spacing w:line="159" w:lineRule="exact" w:before="0"/>
                          <w:ind w:left="0" w:right="0" w:firstLine="0"/>
                          <w:jc w:val="left"/>
                          <w:rPr>
                            <w:rFonts w:ascii="Times New Roman"/>
                            <w:sz w:val="14"/>
                          </w:rPr>
                        </w:pPr>
                        <w:r>
                          <w:rPr>
                            <w:rFonts w:ascii="Times New Roman"/>
                            <w:w w:val="105"/>
                            <w:sz w:val="14"/>
                          </w:rPr>
                          <w:t>458</w:t>
                        </w:r>
                        <w:r>
                          <w:rPr>
                            <w:rFonts w:ascii="Times New Roman"/>
                            <w:spacing w:val="-7"/>
                            <w:w w:val="105"/>
                            <w:sz w:val="14"/>
                          </w:rPr>
                          <w:t> </w:t>
                        </w:r>
                        <w:r>
                          <w:rPr>
                            <w:rFonts w:ascii="Times New Roman"/>
                            <w:spacing w:val="-2"/>
                            <w:w w:val="105"/>
                            <w:sz w:val="14"/>
                          </w:rPr>
                          <w:t>499,16</w:t>
                        </w:r>
                      </w:p>
                      <w:p>
                        <w:pPr>
                          <w:spacing w:before="102"/>
                          <w:ind w:left="71" w:right="0" w:firstLine="0"/>
                          <w:jc w:val="left"/>
                          <w:rPr>
                            <w:rFonts w:ascii="Times New Roman"/>
                            <w:sz w:val="14"/>
                          </w:rPr>
                        </w:pPr>
                        <w:r>
                          <w:rPr>
                            <w:rFonts w:ascii="Times New Roman"/>
                            <w:w w:val="105"/>
                            <w:sz w:val="14"/>
                          </w:rPr>
                          <w:t>96</w:t>
                        </w:r>
                        <w:r>
                          <w:rPr>
                            <w:rFonts w:ascii="Times New Roman"/>
                            <w:spacing w:val="-5"/>
                            <w:w w:val="105"/>
                            <w:sz w:val="14"/>
                          </w:rPr>
                          <w:t> </w:t>
                        </w:r>
                        <w:r>
                          <w:rPr>
                            <w:rFonts w:ascii="Times New Roman"/>
                            <w:spacing w:val="-2"/>
                            <w:w w:val="105"/>
                            <w:sz w:val="14"/>
                          </w:rPr>
                          <w:t>327,31</w:t>
                        </w:r>
                      </w:p>
                      <w:p>
                        <w:pPr>
                          <w:spacing w:before="105"/>
                          <w:ind w:left="0" w:right="0" w:firstLine="0"/>
                          <w:jc w:val="left"/>
                          <w:rPr>
                            <w:rFonts w:ascii="Times New Roman"/>
                            <w:b/>
                            <w:sz w:val="14"/>
                          </w:rPr>
                        </w:pPr>
                        <w:r>
                          <w:rPr>
                            <w:rFonts w:ascii="Times New Roman"/>
                            <w:b/>
                            <w:w w:val="105"/>
                            <w:sz w:val="14"/>
                          </w:rPr>
                          <w:t>554</w:t>
                        </w:r>
                        <w:r>
                          <w:rPr>
                            <w:rFonts w:ascii="Times New Roman"/>
                            <w:b/>
                            <w:spacing w:val="-7"/>
                            <w:w w:val="105"/>
                            <w:sz w:val="14"/>
                          </w:rPr>
                          <w:t> </w:t>
                        </w:r>
                        <w:r>
                          <w:rPr>
                            <w:rFonts w:ascii="Times New Roman"/>
                            <w:b/>
                            <w:spacing w:val="-2"/>
                            <w:w w:val="105"/>
                            <w:sz w:val="14"/>
                          </w:rPr>
                          <w:t>826,47</w:t>
                        </w:r>
                      </w:p>
                    </w:txbxContent>
                  </v:textbox>
                  <w10:wrap type="none"/>
                </v:shape>
                <v:shape style="position:absolute;left:7861;top:10678;width:668;height:690" type="#_x0000_t202" id="docshape287" filled="false" stroked="false">
                  <v:textbox inset="0,0,0,0">
                    <w:txbxContent>
                      <w:p>
                        <w:pPr>
                          <w:spacing w:line="159" w:lineRule="exact" w:before="0"/>
                          <w:ind w:left="0" w:right="0" w:firstLine="0"/>
                          <w:jc w:val="left"/>
                          <w:rPr>
                            <w:rFonts w:ascii="Times New Roman"/>
                            <w:sz w:val="14"/>
                          </w:rPr>
                        </w:pPr>
                        <w:r>
                          <w:rPr>
                            <w:rFonts w:ascii="Times New Roman"/>
                            <w:w w:val="105"/>
                            <w:sz w:val="14"/>
                          </w:rPr>
                          <w:t>479</w:t>
                        </w:r>
                        <w:r>
                          <w:rPr>
                            <w:rFonts w:ascii="Times New Roman"/>
                            <w:spacing w:val="-7"/>
                            <w:w w:val="105"/>
                            <w:sz w:val="14"/>
                          </w:rPr>
                          <w:t> </w:t>
                        </w:r>
                        <w:r>
                          <w:rPr>
                            <w:rFonts w:ascii="Times New Roman"/>
                            <w:spacing w:val="-2"/>
                            <w:w w:val="105"/>
                            <w:sz w:val="14"/>
                          </w:rPr>
                          <w:t>870,85</w:t>
                        </w:r>
                      </w:p>
                      <w:p>
                        <w:pPr>
                          <w:spacing w:before="102"/>
                          <w:ind w:left="0" w:right="0" w:firstLine="0"/>
                          <w:jc w:val="left"/>
                          <w:rPr>
                            <w:rFonts w:ascii="Times New Roman"/>
                            <w:sz w:val="14"/>
                          </w:rPr>
                        </w:pPr>
                        <w:r>
                          <w:rPr>
                            <w:rFonts w:ascii="Times New Roman"/>
                            <w:w w:val="105"/>
                            <w:sz w:val="14"/>
                          </w:rPr>
                          <w:t>216</w:t>
                        </w:r>
                        <w:r>
                          <w:rPr>
                            <w:rFonts w:ascii="Times New Roman"/>
                            <w:spacing w:val="-7"/>
                            <w:w w:val="105"/>
                            <w:sz w:val="14"/>
                          </w:rPr>
                          <w:t> </w:t>
                        </w:r>
                        <w:r>
                          <w:rPr>
                            <w:rFonts w:ascii="Times New Roman"/>
                            <w:spacing w:val="-2"/>
                            <w:w w:val="105"/>
                            <w:sz w:val="14"/>
                          </w:rPr>
                          <w:t>768,06</w:t>
                        </w:r>
                      </w:p>
                      <w:p>
                        <w:pPr>
                          <w:spacing w:before="105"/>
                          <w:ind w:left="0" w:right="0" w:firstLine="0"/>
                          <w:jc w:val="left"/>
                          <w:rPr>
                            <w:rFonts w:ascii="Times New Roman"/>
                            <w:b/>
                            <w:sz w:val="14"/>
                          </w:rPr>
                        </w:pPr>
                        <w:r>
                          <w:rPr>
                            <w:rFonts w:ascii="Times New Roman"/>
                            <w:b/>
                            <w:w w:val="105"/>
                            <w:sz w:val="14"/>
                          </w:rPr>
                          <w:t>696</w:t>
                        </w:r>
                        <w:r>
                          <w:rPr>
                            <w:rFonts w:ascii="Times New Roman"/>
                            <w:b/>
                            <w:spacing w:val="-7"/>
                            <w:w w:val="105"/>
                            <w:sz w:val="14"/>
                          </w:rPr>
                          <w:t> </w:t>
                        </w:r>
                        <w:r>
                          <w:rPr>
                            <w:rFonts w:ascii="Times New Roman"/>
                            <w:b/>
                            <w:spacing w:val="-2"/>
                            <w:w w:val="105"/>
                            <w:sz w:val="14"/>
                          </w:rPr>
                          <w:t>638,91</w:t>
                        </w:r>
                      </w:p>
                    </w:txbxContent>
                  </v:textbox>
                  <w10:wrap type="none"/>
                </v:shape>
                <v:shape style="position:absolute;left:9191;top:10707;width:392;height:134" type="#_x0000_t202" id="docshape288" filled="false" stroked="false">
                  <v:textbox inset="0,0,0,0">
                    <w:txbxContent>
                      <w:p>
                        <w:pPr>
                          <w:spacing w:line="133" w:lineRule="exact" w:before="0"/>
                          <w:ind w:left="0" w:right="0" w:firstLine="0"/>
                          <w:jc w:val="left"/>
                          <w:rPr>
                            <w:rFonts w:ascii="Calibri"/>
                            <w:sz w:val="13"/>
                          </w:rPr>
                        </w:pPr>
                        <w:r>
                          <w:rPr>
                            <w:rFonts w:ascii="Calibri"/>
                            <w:spacing w:val="-2"/>
                            <w:sz w:val="13"/>
                          </w:rPr>
                          <w:t>-4,45%</w:t>
                        </w:r>
                      </w:p>
                    </w:txbxContent>
                  </v:textbox>
                  <w10:wrap type="none"/>
                </v:shape>
                <v:shape style="position:absolute;left:9116;top:11052;width:467;height:314" type="#_x0000_t202" id="docshape289" filled="false" stroked="false">
                  <v:textbox inset="0,0,0,0">
                    <w:txbxContent>
                      <w:p>
                        <w:pPr>
                          <w:spacing w:line="135" w:lineRule="exact" w:before="0"/>
                          <w:ind w:left="7" w:right="0" w:firstLine="0"/>
                          <w:jc w:val="left"/>
                          <w:rPr>
                            <w:rFonts w:ascii="Calibri"/>
                            <w:sz w:val="13"/>
                          </w:rPr>
                        </w:pPr>
                        <w:r>
                          <w:rPr>
                            <w:rFonts w:ascii="Calibri"/>
                            <w:spacing w:val="-2"/>
                            <w:sz w:val="13"/>
                          </w:rPr>
                          <w:t>-55,56%</w:t>
                        </w:r>
                      </w:p>
                      <w:p>
                        <w:pPr>
                          <w:spacing w:line="157" w:lineRule="exact" w:before="21"/>
                          <w:ind w:left="0" w:right="0" w:firstLine="0"/>
                          <w:jc w:val="left"/>
                          <w:rPr>
                            <w:rFonts w:ascii="Calibri"/>
                            <w:b/>
                            <w:sz w:val="13"/>
                          </w:rPr>
                        </w:pPr>
                        <w:r>
                          <w:rPr>
                            <w:rFonts w:ascii="Calibri"/>
                            <w:b/>
                            <w:spacing w:val="-2"/>
                            <w:sz w:val="13"/>
                            <w:u w:val="single"/>
                          </w:rPr>
                          <w:t>-20,36%</w:t>
                        </w:r>
                      </w:p>
                    </w:txbxContent>
                  </v:textbox>
                  <w10:wrap type="none"/>
                </v:shape>
                <w10:wrap type="none"/>
              </v:group>
            </w:pict>
          </mc:Fallback>
        </mc:AlternateContent>
      </w:r>
      <w:r>
        <w:rPr>
          <w:color w:val="172951"/>
          <w:sz w:val="20"/>
        </w:rPr>
        <w:t>Pág.</w:t>
      </w:r>
      <w:r>
        <w:rPr>
          <w:color w:val="172951"/>
          <w:spacing w:val="-7"/>
          <w:sz w:val="20"/>
        </w:rPr>
        <w:t> </w:t>
      </w:r>
      <w:r>
        <w:rPr>
          <w:color w:val="172951"/>
          <w:spacing w:val="-5"/>
          <w:sz w:val="20"/>
        </w:rPr>
        <w:t>64</w:t>
      </w:r>
    </w:p>
    <w:p>
      <w:pPr>
        <w:pStyle w:val="Heading5"/>
        <w:spacing w:before="218"/>
      </w:pPr>
      <w:bookmarkStart w:name="_bookmark39" w:id="40"/>
      <w:bookmarkEnd w:id="40"/>
      <w:r>
        <w:rPr>
          <w:b w:val="0"/>
        </w:rPr>
      </w:r>
      <w:r>
        <w:rPr/>
        <w:t>NOTA</w:t>
      </w:r>
      <w:r>
        <w:rPr>
          <w:spacing w:val="-1"/>
        </w:rPr>
        <w:t> </w:t>
      </w:r>
      <w:r>
        <w:rPr/>
        <w:t>N° </w:t>
      </w:r>
      <w:r>
        <w:rPr>
          <w:spacing w:val="-10"/>
        </w:rPr>
        <w:t>9</w:t>
      </w:r>
    </w:p>
    <w:p>
      <w:pPr>
        <w:pStyle w:val="BodyText"/>
        <w:spacing w:before="114"/>
        <w:rPr>
          <w:b/>
        </w:rPr>
      </w:pPr>
    </w:p>
    <w:p>
      <w:pPr>
        <w:pStyle w:val="BodyText"/>
        <w:spacing w:before="1"/>
        <w:ind w:left="622"/>
      </w:pPr>
      <w:r>
        <w:rPr/>
        <w:t>Cuentas</w:t>
      </w:r>
      <w:r>
        <w:rPr>
          <w:spacing w:val="-3"/>
        </w:rPr>
        <w:t> </w:t>
      </w:r>
      <w:r>
        <w:rPr/>
        <w:t>a</w:t>
      </w:r>
      <w:r>
        <w:rPr>
          <w:spacing w:val="-3"/>
        </w:rPr>
        <w:t> </w:t>
      </w:r>
      <w:r>
        <w:rPr/>
        <w:t>cobrar</w:t>
      </w:r>
      <w:r>
        <w:rPr>
          <w:spacing w:val="-3"/>
        </w:rPr>
        <w:t> </w:t>
      </w:r>
      <w:r>
        <w:rPr/>
        <w:t>a</w:t>
      </w:r>
      <w:r>
        <w:rPr>
          <w:spacing w:val="-3"/>
        </w:rPr>
        <w:t> </w:t>
      </w:r>
      <w:r>
        <w:rPr/>
        <w:t>largo</w:t>
      </w:r>
      <w:r>
        <w:rPr>
          <w:spacing w:val="-2"/>
        </w:rPr>
        <w:t> 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7"/>
        <w:gridCol w:w="2710"/>
        <w:gridCol w:w="713"/>
        <w:gridCol w:w="1959"/>
        <w:gridCol w:w="1658"/>
        <w:gridCol w:w="1207"/>
      </w:tblGrid>
      <w:tr>
        <w:trPr>
          <w:trHeight w:val="335" w:hRule="atLeast"/>
        </w:trPr>
        <w:tc>
          <w:tcPr>
            <w:tcW w:w="847" w:type="dxa"/>
            <w:vMerge w:val="restart"/>
            <w:shd w:val="clear" w:color="auto" w:fill="365F92"/>
          </w:tcPr>
          <w:p>
            <w:pPr>
              <w:pStyle w:val="TableParagraph"/>
              <w:spacing w:before="140"/>
              <w:ind w:left="69"/>
              <w:rPr>
                <w:b/>
                <w:sz w:val="20"/>
              </w:rPr>
            </w:pPr>
            <w:r>
              <w:rPr>
                <w:b/>
                <w:color w:val="FFFFFF"/>
                <w:spacing w:val="-2"/>
                <w:sz w:val="20"/>
              </w:rPr>
              <w:t>Cuenta</w:t>
            </w:r>
          </w:p>
        </w:tc>
        <w:tc>
          <w:tcPr>
            <w:tcW w:w="2710" w:type="dxa"/>
            <w:vMerge w:val="restart"/>
            <w:shd w:val="clear" w:color="auto" w:fill="365F92"/>
          </w:tcPr>
          <w:p>
            <w:pPr>
              <w:pStyle w:val="TableParagraph"/>
              <w:rPr>
                <w:sz w:val="20"/>
              </w:rPr>
            </w:pPr>
          </w:p>
          <w:p>
            <w:pPr>
              <w:pStyle w:val="TableParagraph"/>
              <w:spacing w:before="1"/>
              <w:ind w:left="873"/>
              <w:rPr>
                <w:b/>
                <w:sz w:val="20"/>
              </w:rPr>
            </w:pPr>
            <w:r>
              <w:rPr>
                <w:b/>
                <w:color w:val="FFFFFF"/>
                <w:spacing w:val="-2"/>
                <w:sz w:val="20"/>
              </w:rPr>
              <w:t>Descripción</w:t>
            </w:r>
          </w:p>
        </w:tc>
        <w:tc>
          <w:tcPr>
            <w:tcW w:w="713" w:type="dxa"/>
            <w:vMerge w:val="restart"/>
            <w:shd w:val="clear" w:color="auto" w:fill="365F92"/>
          </w:tcPr>
          <w:p>
            <w:pPr>
              <w:pStyle w:val="TableParagraph"/>
              <w:rPr>
                <w:sz w:val="20"/>
              </w:rPr>
            </w:pPr>
          </w:p>
          <w:p>
            <w:pPr>
              <w:pStyle w:val="TableParagraph"/>
              <w:spacing w:before="1"/>
              <w:ind w:left="160"/>
              <w:rPr>
                <w:b/>
                <w:sz w:val="20"/>
              </w:rPr>
            </w:pPr>
            <w:r>
              <w:rPr>
                <w:b/>
                <w:color w:val="FFFFFF"/>
                <w:spacing w:val="-4"/>
                <w:sz w:val="20"/>
              </w:rPr>
              <w:t>Nota</w:t>
            </w:r>
          </w:p>
        </w:tc>
        <w:tc>
          <w:tcPr>
            <w:tcW w:w="1959" w:type="dxa"/>
            <w:vMerge w:val="restart"/>
            <w:shd w:val="clear" w:color="auto" w:fill="365F92"/>
          </w:tcPr>
          <w:p>
            <w:pPr>
              <w:pStyle w:val="TableParagraph"/>
              <w:rPr>
                <w:sz w:val="20"/>
              </w:rPr>
            </w:pPr>
          </w:p>
          <w:p>
            <w:pPr>
              <w:pStyle w:val="TableParagraph"/>
              <w:spacing w:before="1"/>
              <w:ind w:left="403"/>
              <w:rPr>
                <w:b/>
                <w:sz w:val="20"/>
              </w:rPr>
            </w:pPr>
            <w:r>
              <w:rPr>
                <w:b/>
                <w:color w:val="FFFFFF"/>
                <w:sz w:val="20"/>
              </w:rPr>
              <w:t>Periodo</w:t>
            </w:r>
            <w:r>
              <w:rPr>
                <w:b/>
                <w:color w:val="FFFFFF"/>
                <w:spacing w:val="-5"/>
                <w:sz w:val="20"/>
              </w:rPr>
              <w:t> </w:t>
            </w:r>
            <w:r>
              <w:rPr>
                <w:b/>
                <w:color w:val="FFFFFF"/>
                <w:spacing w:val="-2"/>
                <w:sz w:val="20"/>
              </w:rPr>
              <w:t>Actual</w:t>
            </w:r>
          </w:p>
        </w:tc>
        <w:tc>
          <w:tcPr>
            <w:tcW w:w="1658" w:type="dxa"/>
            <w:vMerge w:val="restart"/>
            <w:shd w:val="clear" w:color="auto" w:fill="365F92"/>
          </w:tcPr>
          <w:p>
            <w:pPr>
              <w:pStyle w:val="TableParagraph"/>
              <w:rPr>
                <w:sz w:val="20"/>
              </w:rPr>
            </w:pPr>
          </w:p>
          <w:p>
            <w:pPr>
              <w:pStyle w:val="TableParagraph"/>
              <w:spacing w:before="1"/>
              <w:ind w:left="170"/>
              <w:rPr>
                <w:b/>
                <w:sz w:val="20"/>
              </w:rPr>
            </w:pPr>
            <w:r>
              <w:rPr>
                <w:b/>
                <w:color w:val="FFFFFF"/>
                <w:sz w:val="20"/>
              </w:rPr>
              <w:t>Periodo</w:t>
            </w:r>
            <w:r>
              <w:rPr>
                <w:b/>
                <w:color w:val="FFFFFF"/>
                <w:spacing w:val="-5"/>
                <w:sz w:val="20"/>
              </w:rPr>
              <w:t> </w:t>
            </w:r>
            <w:r>
              <w:rPr>
                <w:b/>
                <w:color w:val="FFFFFF"/>
                <w:spacing w:val="-2"/>
                <w:sz w:val="20"/>
              </w:rPr>
              <w:t>Anterior</w:t>
            </w:r>
          </w:p>
        </w:tc>
        <w:tc>
          <w:tcPr>
            <w:tcW w:w="1207" w:type="dxa"/>
            <w:shd w:val="clear" w:color="auto" w:fill="365F92"/>
          </w:tcPr>
          <w:p>
            <w:pPr>
              <w:pStyle w:val="TableParagraph"/>
              <w:spacing w:before="51"/>
              <w:ind w:left="24" w:right="5"/>
              <w:jc w:val="center"/>
              <w:rPr>
                <w:b/>
                <w:sz w:val="20"/>
              </w:rPr>
            </w:pPr>
            <w:r>
              <w:rPr>
                <w:b/>
                <w:color w:val="FFFFFF"/>
                <w:spacing w:val="-2"/>
                <w:sz w:val="20"/>
              </w:rPr>
              <w:t>Diferencia</w:t>
            </w:r>
          </w:p>
        </w:tc>
      </w:tr>
      <w:tr>
        <w:trPr>
          <w:trHeight w:val="332" w:hRule="atLeast"/>
        </w:trPr>
        <w:tc>
          <w:tcPr>
            <w:tcW w:w="847" w:type="dxa"/>
            <w:vMerge/>
            <w:tcBorders>
              <w:top w:val="nil"/>
            </w:tcBorders>
            <w:shd w:val="clear" w:color="auto" w:fill="365F92"/>
          </w:tcPr>
          <w:p>
            <w:pPr>
              <w:rPr>
                <w:sz w:val="2"/>
                <w:szCs w:val="2"/>
              </w:rPr>
            </w:pPr>
          </w:p>
        </w:tc>
        <w:tc>
          <w:tcPr>
            <w:tcW w:w="2710" w:type="dxa"/>
            <w:vMerge/>
            <w:tcBorders>
              <w:top w:val="nil"/>
            </w:tcBorders>
            <w:shd w:val="clear" w:color="auto" w:fill="365F92"/>
          </w:tcPr>
          <w:p>
            <w:pPr>
              <w:rPr>
                <w:sz w:val="2"/>
                <w:szCs w:val="2"/>
              </w:rPr>
            </w:pPr>
          </w:p>
        </w:tc>
        <w:tc>
          <w:tcPr>
            <w:tcW w:w="713" w:type="dxa"/>
            <w:vMerge/>
            <w:tcBorders>
              <w:top w:val="nil"/>
            </w:tcBorders>
            <w:shd w:val="clear" w:color="auto" w:fill="365F92"/>
          </w:tcPr>
          <w:p>
            <w:pPr>
              <w:rPr>
                <w:sz w:val="2"/>
                <w:szCs w:val="2"/>
              </w:rPr>
            </w:pPr>
          </w:p>
        </w:tc>
        <w:tc>
          <w:tcPr>
            <w:tcW w:w="1959" w:type="dxa"/>
            <w:vMerge/>
            <w:tcBorders>
              <w:top w:val="nil"/>
            </w:tcBorders>
            <w:shd w:val="clear" w:color="auto" w:fill="365F92"/>
          </w:tcPr>
          <w:p>
            <w:pPr>
              <w:rPr>
                <w:sz w:val="2"/>
                <w:szCs w:val="2"/>
              </w:rPr>
            </w:pPr>
          </w:p>
        </w:tc>
        <w:tc>
          <w:tcPr>
            <w:tcW w:w="1658" w:type="dxa"/>
            <w:vMerge/>
            <w:tcBorders>
              <w:top w:val="nil"/>
            </w:tcBorders>
            <w:shd w:val="clear" w:color="auto" w:fill="365F92"/>
          </w:tcPr>
          <w:p>
            <w:pPr>
              <w:rPr>
                <w:sz w:val="2"/>
                <w:szCs w:val="2"/>
              </w:rPr>
            </w:pPr>
          </w:p>
        </w:tc>
        <w:tc>
          <w:tcPr>
            <w:tcW w:w="1207" w:type="dxa"/>
            <w:shd w:val="clear" w:color="auto" w:fill="365F92"/>
          </w:tcPr>
          <w:p>
            <w:pPr>
              <w:pStyle w:val="TableParagraph"/>
              <w:spacing w:before="51"/>
              <w:ind w:left="24" w:right="6"/>
              <w:jc w:val="center"/>
              <w:rPr>
                <w:sz w:val="20"/>
              </w:rPr>
            </w:pPr>
            <w:r>
              <w:rPr>
                <w:color w:val="FFFFFF"/>
                <w:spacing w:val="-10"/>
                <w:sz w:val="20"/>
              </w:rPr>
              <w:t>%</w:t>
            </w:r>
          </w:p>
        </w:tc>
      </w:tr>
      <w:tr>
        <w:trPr>
          <w:trHeight w:val="337" w:hRule="atLeast"/>
        </w:trPr>
        <w:tc>
          <w:tcPr>
            <w:tcW w:w="847" w:type="dxa"/>
          </w:tcPr>
          <w:p>
            <w:pPr>
              <w:pStyle w:val="TableParagraph"/>
              <w:spacing w:before="53"/>
              <w:ind w:left="69"/>
              <w:rPr>
                <w:b/>
                <w:sz w:val="20"/>
              </w:rPr>
            </w:pPr>
            <w:r>
              <w:rPr>
                <w:b/>
                <w:spacing w:val="-2"/>
                <w:sz w:val="20"/>
              </w:rPr>
              <w:t>1.2.3.</w:t>
            </w:r>
          </w:p>
        </w:tc>
        <w:tc>
          <w:tcPr>
            <w:tcW w:w="2710" w:type="dxa"/>
          </w:tcPr>
          <w:p>
            <w:pPr>
              <w:pStyle w:val="TableParagraph"/>
              <w:spacing w:before="53"/>
              <w:ind w:left="69"/>
              <w:rPr>
                <w:b/>
                <w:sz w:val="20"/>
              </w:rPr>
            </w:pPr>
            <w:r>
              <w:rPr>
                <w:b/>
                <w:sz w:val="20"/>
              </w:rPr>
              <w:t>Cuentas</w:t>
            </w:r>
            <w:r>
              <w:rPr>
                <w:b/>
                <w:spacing w:val="-3"/>
                <w:sz w:val="20"/>
              </w:rPr>
              <w:t> </w:t>
            </w:r>
            <w:r>
              <w:rPr>
                <w:b/>
                <w:sz w:val="20"/>
              </w:rPr>
              <w:t>a</w:t>
            </w:r>
            <w:r>
              <w:rPr>
                <w:b/>
                <w:spacing w:val="-4"/>
                <w:sz w:val="20"/>
              </w:rPr>
              <w:t> </w:t>
            </w:r>
            <w:r>
              <w:rPr>
                <w:b/>
                <w:sz w:val="20"/>
              </w:rPr>
              <w:t>cobrar</w:t>
            </w:r>
            <w:r>
              <w:rPr>
                <w:b/>
                <w:spacing w:val="-3"/>
                <w:sz w:val="20"/>
              </w:rPr>
              <w:t> </w:t>
            </w:r>
            <w:r>
              <w:rPr>
                <w:b/>
                <w:sz w:val="20"/>
              </w:rPr>
              <w:t>a</w:t>
            </w:r>
            <w:r>
              <w:rPr>
                <w:b/>
                <w:spacing w:val="-4"/>
                <w:sz w:val="20"/>
              </w:rPr>
              <w:t> </w:t>
            </w:r>
            <w:r>
              <w:rPr>
                <w:b/>
                <w:sz w:val="20"/>
              </w:rPr>
              <w:t>largo</w:t>
            </w:r>
            <w:r>
              <w:rPr>
                <w:b/>
                <w:spacing w:val="-4"/>
                <w:sz w:val="20"/>
              </w:rPr>
              <w:t> plazo</w:t>
            </w:r>
          </w:p>
        </w:tc>
        <w:tc>
          <w:tcPr>
            <w:tcW w:w="713" w:type="dxa"/>
          </w:tcPr>
          <w:p>
            <w:pPr>
              <w:pStyle w:val="TableParagraph"/>
              <w:spacing w:before="53"/>
              <w:ind w:left="18"/>
              <w:jc w:val="center"/>
              <w:rPr>
                <w:b/>
                <w:sz w:val="20"/>
              </w:rPr>
            </w:pPr>
            <w:r>
              <w:rPr>
                <w:b/>
                <w:spacing w:val="-5"/>
                <w:sz w:val="20"/>
              </w:rPr>
              <w:t>09</w:t>
            </w:r>
          </w:p>
        </w:tc>
        <w:tc>
          <w:tcPr>
            <w:tcW w:w="1959" w:type="dxa"/>
          </w:tcPr>
          <w:p>
            <w:pPr>
              <w:pStyle w:val="TableParagraph"/>
              <w:spacing w:before="53"/>
              <w:ind w:left="535"/>
              <w:rPr>
                <w:b/>
                <w:sz w:val="20"/>
              </w:rPr>
            </w:pPr>
            <w:r>
              <w:rPr>
                <w:b/>
                <w:sz w:val="20"/>
              </w:rPr>
              <w:t>110</w:t>
            </w:r>
            <w:r>
              <w:rPr>
                <w:b/>
                <w:spacing w:val="-3"/>
                <w:sz w:val="20"/>
              </w:rPr>
              <w:t> </w:t>
            </w:r>
            <w:r>
              <w:rPr>
                <w:b/>
                <w:spacing w:val="-2"/>
                <w:sz w:val="20"/>
              </w:rPr>
              <w:t>786,54</w:t>
            </w:r>
          </w:p>
        </w:tc>
        <w:tc>
          <w:tcPr>
            <w:tcW w:w="1658" w:type="dxa"/>
          </w:tcPr>
          <w:p>
            <w:pPr>
              <w:pStyle w:val="TableParagraph"/>
              <w:spacing w:before="53"/>
              <w:ind w:left="384"/>
              <w:rPr>
                <w:b/>
                <w:sz w:val="20"/>
              </w:rPr>
            </w:pPr>
            <w:r>
              <w:rPr>
                <w:b/>
                <w:sz w:val="20"/>
              </w:rPr>
              <w:t>113</w:t>
            </w:r>
            <w:r>
              <w:rPr>
                <w:b/>
                <w:spacing w:val="-3"/>
                <w:sz w:val="20"/>
              </w:rPr>
              <w:t> </w:t>
            </w:r>
            <w:r>
              <w:rPr>
                <w:b/>
                <w:spacing w:val="-2"/>
                <w:sz w:val="20"/>
              </w:rPr>
              <w:t>395,60</w:t>
            </w:r>
          </w:p>
        </w:tc>
        <w:tc>
          <w:tcPr>
            <w:tcW w:w="1207" w:type="dxa"/>
          </w:tcPr>
          <w:p>
            <w:pPr>
              <w:pStyle w:val="TableParagraph"/>
              <w:spacing w:before="53"/>
              <w:ind w:left="24" w:right="5"/>
              <w:jc w:val="center"/>
              <w:rPr>
                <w:b/>
                <w:sz w:val="20"/>
              </w:rPr>
            </w:pPr>
            <w:r>
              <w:rPr>
                <w:b/>
                <w:spacing w:val="-2"/>
                <w:sz w:val="20"/>
              </w:rPr>
              <w:t>-2,30%</w:t>
            </w:r>
          </w:p>
        </w:tc>
      </w:tr>
    </w:tbl>
    <w:p>
      <w:pPr>
        <w:pStyle w:val="Heading6"/>
        <w:spacing w:before="241"/>
        <w:ind w:left="622"/>
      </w:pPr>
      <w:r>
        <w:rPr>
          <w:spacing w:val="-2"/>
        </w:rPr>
        <w:t>Revelación:</w:t>
      </w:r>
    </w:p>
    <w:p>
      <w:pPr>
        <w:pStyle w:val="BodyText"/>
        <w:spacing w:line="259" w:lineRule="auto" w:before="179"/>
        <w:ind w:left="622" w:right="1001"/>
      </w:pPr>
      <w:r>
        <w:rPr/>
        <w:t>La cuenta Cuentas a cobrar a largo plazo, representa el 0,06% del total del Activo, que comparado al periodo anterior genera</w:t>
      </w:r>
      <w:r>
        <w:rPr>
          <w:spacing w:val="-3"/>
        </w:rPr>
        <w:t> </w:t>
      </w:r>
      <w:r>
        <w:rPr/>
        <w:t>una</w:t>
      </w:r>
      <w:r>
        <w:rPr>
          <w:spacing w:val="-4"/>
        </w:rPr>
        <w:t> </w:t>
      </w:r>
      <w:r>
        <w:rPr/>
        <w:t>variación absoluta</w:t>
      </w:r>
      <w:r>
        <w:rPr>
          <w:spacing w:val="-2"/>
        </w:rPr>
        <w:t> </w:t>
      </w:r>
      <w:r>
        <w:rPr/>
        <w:t>de</w:t>
      </w:r>
      <w:r>
        <w:rPr>
          <w:spacing w:val="-1"/>
        </w:rPr>
        <w:t> </w:t>
      </w:r>
      <w:r>
        <w:rPr/>
        <w:t>¢-2.609,07</w:t>
      </w:r>
      <w:r>
        <w:rPr>
          <w:spacing w:val="-1"/>
        </w:rPr>
        <w:t> </w:t>
      </w:r>
      <w:r>
        <w:rPr/>
        <w:t>que</w:t>
      </w:r>
      <w:r>
        <w:rPr>
          <w:spacing w:val="2"/>
        </w:rPr>
        <w:t> </w:t>
      </w:r>
      <w:r>
        <w:rPr/>
        <w:t>corresponde</w:t>
      </w:r>
      <w:r>
        <w:rPr>
          <w:spacing w:val="-2"/>
        </w:rPr>
        <w:t> </w:t>
      </w:r>
      <w:r>
        <w:rPr/>
        <w:t>a una disminución</w:t>
      </w:r>
      <w:r>
        <w:rPr>
          <w:spacing w:val="-2"/>
        </w:rPr>
        <w:t> </w:t>
      </w:r>
      <w:r>
        <w:rPr>
          <w:spacing w:val="-5"/>
        </w:rPr>
        <w:t>del</w:t>
      </w:r>
    </w:p>
    <w:p>
      <w:pPr>
        <w:pStyle w:val="BodyText"/>
        <w:spacing w:before="1"/>
        <w:ind w:left="622"/>
      </w:pPr>
      <w:r>
        <w:rPr/>
        <w:t>-2,30%</w:t>
      </w:r>
      <w:r>
        <w:rPr>
          <w:spacing w:val="-4"/>
        </w:rPr>
        <w:t> </w:t>
      </w:r>
      <w:r>
        <w:rPr/>
        <w:t>de</w:t>
      </w:r>
      <w:r>
        <w:rPr>
          <w:spacing w:val="-3"/>
        </w:rPr>
        <w:t> </w:t>
      </w:r>
      <w:r>
        <w:rPr/>
        <w:t>recursos</w:t>
      </w:r>
      <w:r>
        <w:rPr>
          <w:spacing w:val="-3"/>
        </w:rPr>
        <w:t> </w:t>
      </w:r>
      <w:r>
        <w:rPr>
          <w:spacing w:val="-2"/>
        </w:rPr>
        <w:t>disponibles.</w:t>
      </w:r>
    </w:p>
    <w:p>
      <w:pPr>
        <w:pStyle w:val="BodyText"/>
      </w:pPr>
    </w:p>
    <w:p>
      <w:pPr>
        <w:pStyle w:val="BodyText"/>
        <w:spacing w:before="118"/>
      </w:pPr>
    </w:p>
    <w:p>
      <w:pPr>
        <w:pStyle w:val="Heading6"/>
        <w:ind w:left="730"/>
        <w:rPr>
          <w:b w:val="0"/>
        </w:rPr>
      </w:pPr>
      <w:r>
        <w:rPr>
          <w:color w:val="1F4E79"/>
          <w:spacing w:val="-2"/>
        </w:rPr>
        <w:t>Revelación</w:t>
      </w:r>
      <w:r>
        <w:rPr>
          <w:b w:val="0"/>
          <w:spacing w:val="-2"/>
        </w:rPr>
        <w:t>:</w:t>
      </w:r>
    </w:p>
    <w:p>
      <w:pPr>
        <w:pStyle w:val="BodyText"/>
        <w:spacing w:before="179"/>
        <w:ind w:left="730"/>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before="22"/>
        <w:rPr>
          <w:sz w:val="20"/>
        </w:rPr>
      </w:pPr>
    </w:p>
    <w:tbl>
      <w:tblPr>
        <w:tblW w:w="0" w:type="auto"/>
        <w:jc w:val="left"/>
        <w:tblInd w:w="17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20"/>
        <w:gridCol w:w="2907"/>
        <w:gridCol w:w="547"/>
        <w:gridCol w:w="964"/>
        <w:gridCol w:w="964"/>
      </w:tblGrid>
      <w:tr>
        <w:trPr>
          <w:trHeight w:val="196" w:hRule="atLeast"/>
        </w:trPr>
        <w:tc>
          <w:tcPr>
            <w:tcW w:w="1420" w:type="dxa"/>
            <w:shd w:val="clear" w:color="auto" w:fill="365F92"/>
          </w:tcPr>
          <w:p>
            <w:pPr>
              <w:pStyle w:val="TableParagraph"/>
              <w:spacing w:line="168" w:lineRule="exact" w:before="8"/>
              <w:ind w:left="21"/>
              <w:rPr>
                <w:rFonts w:ascii="Arial Narrow"/>
                <w:b/>
                <w:sz w:val="16"/>
              </w:rPr>
            </w:pPr>
            <w:r>
              <w:rPr>
                <w:rFonts w:ascii="Arial Narrow"/>
                <w:b/>
                <w:color w:val="FFFFFF"/>
                <w:spacing w:val="-2"/>
                <w:sz w:val="16"/>
              </w:rPr>
              <w:t>1.2.3.</w:t>
            </w:r>
          </w:p>
        </w:tc>
        <w:tc>
          <w:tcPr>
            <w:tcW w:w="2907" w:type="dxa"/>
            <w:shd w:val="clear" w:color="auto" w:fill="365F92"/>
          </w:tcPr>
          <w:p>
            <w:pPr>
              <w:pStyle w:val="TableParagraph"/>
              <w:spacing w:line="168" w:lineRule="exact" w:before="8"/>
              <w:ind w:left="21"/>
              <w:rPr>
                <w:rFonts w:ascii="Arial Narrow"/>
                <w:b/>
                <w:sz w:val="16"/>
              </w:rPr>
            </w:pPr>
            <w:r>
              <w:rPr>
                <w:rFonts w:ascii="Arial Narrow"/>
                <w:b/>
                <w:color w:val="FFFFFF"/>
                <w:sz w:val="16"/>
              </w:rPr>
              <w:t>Cuentas a cobrar</w:t>
            </w:r>
            <w:r>
              <w:rPr>
                <w:rFonts w:ascii="Arial Narrow"/>
                <w:b/>
                <w:color w:val="FFFFFF"/>
                <w:spacing w:val="2"/>
                <w:sz w:val="16"/>
              </w:rPr>
              <w:t> </w:t>
            </w:r>
            <w:r>
              <w:rPr>
                <w:rFonts w:ascii="Arial Narrow"/>
                <w:b/>
                <w:color w:val="FFFFFF"/>
                <w:sz w:val="16"/>
              </w:rPr>
              <w:t>a largo</w:t>
            </w:r>
            <w:r>
              <w:rPr>
                <w:rFonts w:ascii="Arial Narrow"/>
                <w:b/>
                <w:color w:val="FFFFFF"/>
                <w:spacing w:val="2"/>
                <w:sz w:val="16"/>
              </w:rPr>
              <w:t> </w:t>
            </w:r>
            <w:r>
              <w:rPr>
                <w:rFonts w:ascii="Arial Narrow"/>
                <w:b/>
                <w:color w:val="FFFFFF"/>
                <w:spacing w:val="-4"/>
                <w:sz w:val="16"/>
              </w:rPr>
              <w:t>plazo</w:t>
            </w:r>
          </w:p>
        </w:tc>
        <w:tc>
          <w:tcPr>
            <w:tcW w:w="547" w:type="dxa"/>
            <w:shd w:val="clear" w:color="auto" w:fill="365F92"/>
          </w:tcPr>
          <w:p>
            <w:pPr>
              <w:pStyle w:val="TableParagraph"/>
              <w:spacing w:line="168" w:lineRule="exact" w:before="8"/>
              <w:ind w:left="7"/>
              <w:jc w:val="center"/>
              <w:rPr>
                <w:rFonts w:ascii="Arial Narrow"/>
                <w:sz w:val="16"/>
              </w:rPr>
            </w:pPr>
            <w:r>
              <w:rPr>
                <w:rFonts w:ascii="Arial Narrow"/>
                <w:color w:val="FFFFFF"/>
                <w:spacing w:val="-5"/>
                <w:sz w:val="16"/>
              </w:rPr>
              <w:t>09</w:t>
            </w:r>
          </w:p>
        </w:tc>
        <w:tc>
          <w:tcPr>
            <w:tcW w:w="964" w:type="dxa"/>
            <w:shd w:val="clear" w:color="auto" w:fill="365F92"/>
          </w:tcPr>
          <w:p>
            <w:pPr>
              <w:pStyle w:val="TableParagraph"/>
              <w:spacing w:line="168" w:lineRule="exact" w:before="8"/>
              <w:ind w:left="7" w:right="5"/>
              <w:jc w:val="center"/>
              <w:rPr>
                <w:rFonts w:ascii="Arial Narrow"/>
                <w:sz w:val="16"/>
              </w:rPr>
            </w:pPr>
            <w:r>
              <w:rPr>
                <w:rFonts w:ascii="Arial Narrow"/>
                <w:color w:val="FFFFFF"/>
                <w:sz w:val="16"/>
              </w:rPr>
              <w:t>110</w:t>
            </w:r>
            <w:r>
              <w:rPr>
                <w:rFonts w:ascii="Arial Narrow"/>
                <w:color w:val="FFFFFF"/>
                <w:spacing w:val="-3"/>
                <w:sz w:val="16"/>
              </w:rPr>
              <w:t> </w:t>
            </w:r>
            <w:r>
              <w:rPr>
                <w:rFonts w:ascii="Arial Narrow"/>
                <w:color w:val="FFFFFF"/>
                <w:spacing w:val="-2"/>
                <w:sz w:val="16"/>
              </w:rPr>
              <w:t>786,54</w:t>
            </w:r>
          </w:p>
        </w:tc>
        <w:tc>
          <w:tcPr>
            <w:tcW w:w="964" w:type="dxa"/>
            <w:shd w:val="clear" w:color="auto" w:fill="365F92"/>
          </w:tcPr>
          <w:p>
            <w:pPr>
              <w:pStyle w:val="TableParagraph"/>
              <w:spacing w:line="168" w:lineRule="exact" w:before="8"/>
              <w:ind w:left="7" w:right="6"/>
              <w:jc w:val="center"/>
              <w:rPr>
                <w:rFonts w:ascii="Arial Narrow"/>
                <w:sz w:val="16"/>
              </w:rPr>
            </w:pPr>
            <w:r>
              <w:rPr>
                <w:rFonts w:ascii="Arial Narrow"/>
                <w:color w:val="FFFFFF"/>
                <w:sz w:val="16"/>
              </w:rPr>
              <w:t>113</w:t>
            </w:r>
            <w:r>
              <w:rPr>
                <w:rFonts w:ascii="Arial Narrow"/>
                <w:color w:val="FFFFFF"/>
                <w:spacing w:val="-3"/>
                <w:sz w:val="16"/>
              </w:rPr>
              <w:t> </w:t>
            </w:r>
            <w:r>
              <w:rPr>
                <w:rFonts w:ascii="Arial Narrow"/>
                <w:color w:val="FFFFFF"/>
                <w:spacing w:val="-2"/>
                <w:sz w:val="16"/>
              </w:rPr>
              <w:t>395,60</w:t>
            </w:r>
          </w:p>
        </w:tc>
      </w:tr>
      <w:tr>
        <w:trPr>
          <w:trHeight w:val="196" w:hRule="atLeast"/>
        </w:trPr>
        <w:tc>
          <w:tcPr>
            <w:tcW w:w="1420" w:type="dxa"/>
          </w:tcPr>
          <w:p>
            <w:pPr>
              <w:pStyle w:val="TableParagraph"/>
              <w:spacing w:line="169" w:lineRule="exact" w:before="8"/>
              <w:ind w:left="21"/>
              <w:rPr>
                <w:rFonts w:ascii="Arial Narrow"/>
                <w:sz w:val="16"/>
              </w:rPr>
            </w:pPr>
            <w:r>
              <w:rPr>
                <w:rFonts w:ascii="Arial Narrow"/>
                <w:spacing w:val="-2"/>
                <w:sz w:val="16"/>
              </w:rPr>
              <w:t>1.2.3.03.</w:t>
            </w:r>
          </w:p>
        </w:tc>
        <w:tc>
          <w:tcPr>
            <w:tcW w:w="2907" w:type="dxa"/>
          </w:tcPr>
          <w:p>
            <w:pPr>
              <w:pStyle w:val="TableParagraph"/>
              <w:spacing w:line="169" w:lineRule="exact" w:before="8"/>
              <w:ind w:left="21"/>
              <w:rPr>
                <w:rFonts w:ascii="Arial Narrow"/>
                <w:sz w:val="16"/>
              </w:rPr>
            </w:pPr>
            <w:r>
              <w:rPr>
                <w:rFonts w:ascii="Arial Narrow"/>
                <w:sz w:val="16"/>
              </w:rPr>
              <w:t>Ventas</w:t>
            </w:r>
            <w:r>
              <w:rPr>
                <w:rFonts w:ascii="Arial Narrow"/>
                <w:spacing w:val="-1"/>
                <w:sz w:val="16"/>
              </w:rPr>
              <w:t> </w:t>
            </w:r>
            <w:r>
              <w:rPr>
                <w:rFonts w:ascii="Arial Narrow"/>
                <w:sz w:val="16"/>
              </w:rPr>
              <w:t>a</w:t>
            </w:r>
            <w:r>
              <w:rPr>
                <w:rFonts w:ascii="Arial Narrow"/>
                <w:spacing w:val="-2"/>
                <w:sz w:val="16"/>
              </w:rPr>
              <w:t> </w:t>
            </w:r>
            <w:r>
              <w:rPr>
                <w:rFonts w:ascii="Arial Narrow"/>
                <w:sz w:val="16"/>
              </w:rPr>
              <w:t>cobrar</w:t>
            </w:r>
            <w:r>
              <w:rPr>
                <w:rFonts w:ascii="Arial Narrow"/>
                <w:spacing w:val="-2"/>
                <w:sz w:val="16"/>
              </w:rPr>
              <w:t> </w:t>
            </w:r>
            <w:r>
              <w:rPr>
                <w:rFonts w:ascii="Arial Narrow"/>
                <w:sz w:val="16"/>
              </w:rPr>
              <w:t>a</w:t>
            </w:r>
            <w:r>
              <w:rPr>
                <w:rFonts w:ascii="Arial Narrow"/>
                <w:spacing w:val="-2"/>
                <w:sz w:val="16"/>
              </w:rPr>
              <w:t> </w:t>
            </w:r>
            <w:r>
              <w:rPr>
                <w:rFonts w:ascii="Arial Narrow"/>
                <w:sz w:val="16"/>
              </w:rPr>
              <w:t>largo</w:t>
            </w:r>
            <w:r>
              <w:rPr>
                <w:rFonts w:ascii="Arial Narrow"/>
                <w:spacing w:val="-3"/>
                <w:sz w:val="16"/>
              </w:rPr>
              <w:t> </w:t>
            </w:r>
            <w:r>
              <w:rPr>
                <w:rFonts w:ascii="Arial Narrow"/>
                <w:spacing w:val="-4"/>
                <w:sz w:val="16"/>
              </w:rPr>
              <w:t>plazo</w:t>
            </w:r>
          </w:p>
        </w:tc>
        <w:tc>
          <w:tcPr>
            <w:tcW w:w="547" w:type="dxa"/>
          </w:tcPr>
          <w:p>
            <w:pPr>
              <w:pStyle w:val="TableParagraph"/>
              <w:rPr>
                <w:rFonts w:ascii="Times New Roman"/>
                <w:sz w:val="12"/>
              </w:rPr>
            </w:pPr>
          </w:p>
        </w:tc>
        <w:tc>
          <w:tcPr>
            <w:tcW w:w="964" w:type="dxa"/>
          </w:tcPr>
          <w:p>
            <w:pPr>
              <w:pStyle w:val="TableParagraph"/>
              <w:spacing w:line="169" w:lineRule="exact" w:before="8"/>
              <w:ind w:left="7"/>
              <w:jc w:val="center"/>
              <w:rPr>
                <w:rFonts w:ascii="Arial Narrow"/>
                <w:sz w:val="16"/>
              </w:rPr>
            </w:pPr>
            <w:r>
              <w:rPr>
                <w:rFonts w:ascii="Arial Narrow"/>
                <w:spacing w:val="-4"/>
                <w:sz w:val="16"/>
              </w:rPr>
              <w:t>0,00</w:t>
            </w:r>
          </w:p>
        </w:tc>
        <w:tc>
          <w:tcPr>
            <w:tcW w:w="964" w:type="dxa"/>
          </w:tcPr>
          <w:p>
            <w:pPr>
              <w:pStyle w:val="TableParagraph"/>
              <w:spacing w:line="169" w:lineRule="exact" w:before="8"/>
              <w:ind w:left="7"/>
              <w:jc w:val="center"/>
              <w:rPr>
                <w:rFonts w:ascii="Arial Narrow"/>
                <w:sz w:val="16"/>
              </w:rPr>
            </w:pPr>
            <w:r>
              <w:rPr>
                <w:rFonts w:ascii="Arial Narrow"/>
                <w:spacing w:val="-4"/>
                <w:sz w:val="16"/>
              </w:rPr>
              <w:t>0,00</w:t>
            </w:r>
          </w:p>
        </w:tc>
      </w:tr>
      <w:tr>
        <w:trPr>
          <w:trHeight w:val="196" w:hRule="atLeast"/>
        </w:trPr>
        <w:tc>
          <w:tcPr>
            <w:tcW w:w="1420" w:type="dxa"/>
          </w:tcPr>
          <w:p>
            <w:pPr>
              <w:pStyle w:val="TableParagraph"/>
              <w:spacing w:line="168" w:lineRule="exact" w:before="8"/>
              <w:ind w:left="21"/>
              <w:rPr>
                <w:rFonts w:ascii="Arial Narrow"/>
                <w:sz w:val="16"/>
              </w:rPr>
            </w:pPr>
            <w:r>
              <w:rPr>
                <w:rFonts w:ascii="Arial Narrow"/>
                <w:spacing w:val="-2"/>
                <w:sz w:val="16"/>
              </w:rPr>
              <w:t>1.2.3.07.</w:t>
            </w:r>
          </w:p>
        </w:tc>
        <w:tc>
          <w:tcPr>
            <w:tcW w:w="2907" w:type="dxa"/>
          </w:tcPr>
          <w:p>
            <w:pPr>
              <w:pStyle w:val="TableParagraph"/>
              <w:spacing w:line="168" w:lineRule="exact" w:before="8"/>
              <w:ind w:left="21"/>
              <w:rPr>
                <w:rFonts w:ascii="Arial Narrow" w:hAnsi="Arial Narrow"/>
                <w:sz w:val="16"/>
              </w:rPr>
            </w:pPr>
            <w:r>
              <w:rPr>
                <w:rFonts w:ascii="Arial Narrow" w:hAnsi="Arial Narrow"/>
                <w:sz w:val="16"/>
              </w:rPr>
              <w:t>Préstamos</w:t>
            </w:r>
            <w:r>
              <w:rPr>
                <w:rFonts w:ascii="Arial Narrow" w:hAnsi="Arial Narrow"/>
                <w:spacing w:val="-2"/>
                <w:sz w:val="16"/>
              </w:rPr>
              <w:t> </w:t>
            </w:r>
            <w:r>
              <w:rPr>
                <w:rFonts w:ascii="Arial Narrow" w:hAnsi="Arial Narrow"/>
                <w:sz w:val="16"/>
              </w:rPr>
              <w:t>a</w:t>
            </w:r>
            <w:r>
              <w:rPr>
                <w:rFonts w:ascii="Arial Narrow" w:hAnsi="Arial Narrow"/>
                <w:spacing w:val="-3"/>
                <w:sz w:val="16"/>
              </w:rPr>
              <w:t> </w:t>
            </w:r>
            <w:r>
              <w:rPr>
                <w:rFonts w:ascii="Arial Narrow" w:hAnsi="Arial Narrow"/>
                <w:sz w:val="16"/>
              </w:rPr>
              <w:t>largo</w:t>
            </w:r>
            <w:r>
              <w:rPr>
                <w:rFonts w:ascii="Arial Narrow" w:hAnsi="Arial Narrow"/>
                <w:spacing w:val="-2"/>
                <w:sz w:val="16"/>
              </w:rPr>
              <w:t> </w:t>
            </w:r>
            <w:r>
              <w:rPr>
                <w:rFonts w:ascii="Arial Narrow" w:hAnsi="Arial Narrow"/>
                <w:spacing w:val="-4"/>
                <w:sz w:val="16"/>
              </w:rPr>
              <w:t>plazo</w:t>
            </w:r>
          </w:p>
        </w:tc>
        <w:tc>
          <w:tcPr>
            <w:tcW w:w="547" w:type="dxa"/>
          </w:tcPr>
          <w:p>
            <w:pPr>
              <w:pStyle w:val="TableParagraph"/>
              <w:rPr>
                <w:rFonts w:ascii="Times New Roman"/>
                <w:sz w:val="12"/>
              </w:rPr>
            </w:pP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r>
      <w:tr>
        <w:trPr>
          <w:trHeight w:val="196" w:hRule="atLeast"/>
        </w:trPr>
        <w:tc>
          <w:tcPr>
            <w:tcW w:w="1420" w:type="dxa"/>
          </w:tcPr>
          <w:p>
            <w:pPr>
              <w:pStyle w:val="TableParagraph"/>
              <w:spacing w:line="168" w:lineRule="exact" w:before="8"/>
              <w:ind w:left="21"/>
              <w:rPr>
                <w:rFonts w:ascii="Arial Narrow"/>
                <w:sz w:val="16"/>
              </w:rPr>
            </w:pPr>
            <w:r>
              <w:rPr>
                <w:rFonts w:ascii="Arial Narrow"/>
                <w:spacing w:val="-2"/>
                <w:sz w:val="16"/>
              </w:rPr>
              <w:t>1.2.3.08.</w:t>
            </w:r>
          </w:p>
        </w:tc>
        <w:tc>
          <w:tcPr>
            <w:tcW w:w="2907" w:type="dxa"/>
          </w:tcPr>
          <w:p>
            <w:pPr>
              <w:pStyle w:val="TableParagraph"/>
              <w:spacing w:line="168" w:lineRule="exact" w:before="8"/>
              <w:ind w:left="21"/>
              <w:rPr>
                <w:rFonts w:ascii="Arial Narrow"/>
                <w:sz w:val="16"/>
              </w:rPr>
            </w:pPr>
            <w:r>
              <w:rPr>
                <w:rFonts w:ascii="Arial Narrow"/>
                <w:sz w:val="16"/>
              </w:rPr>
              <w:t>Documentos</w:t>
            </w:r>
            <w:r>
              <w:rPr>
                <w:rFonts w:ascii="Arial Narrow"/>
                <w:spacing w:val="-1"/>
                <w:sz w:val="16"/>
              </w:rPr>
              <w:t> </w:t>
            </w:r>
            <w:r>
              <w:rPr>
                <w:rFonts w:ascii="Arial Narrow"/>
                <w:sz w:val="16"/>
              </w:rPr>
              <w:t>a</w:t>
            </w:r>
            <w:r>
              <w:rPr>
                <w:rFonts w:ascii="Arial Narrow"/>
                <w:spacing w:val="-3"/>
                <w:sz w:val="16"/>
              </w:rPr>
              <w:t> </w:t>
            </w:r>
            <w:r>
              <w:rPr>
                <w:rFonts w:ascii="Arial Narrow"/>
                <w:sz w:val="16"/>
              </w:rPr>
              <w:t>cobrar</w:t>
            </w:r>
            <w:r>
              <w:rPr>
                <w:rFonts w:ascii="Arial Narrow"/>
                <w:spacing w:val="-2"/>
                <w:sz w:val="16"/>
              </w:rPr>
              <w:t> </w:t>
            </w:r>
            <w:r>
              <w:rPr>
                <w:rFonts w:ascii="Arial Narrow"/>
                <w:sz w:val="16"/>
              </w:rPr>
              <w:t>a</w:t>
            </w:r>
            <w:r>
              <w:rPr>
                <w:rFonts w:ascii="Arial Narrow"/>
                <w:spacing w:val="-2"/>
                <w:sz w:val="16"/>
              </w:rPr>
              <w:t> </w:t>
            </w:r>
            <w:r>
              <w:rPr>
                <w:rFonts w:ascii="Arial Narrow"/>
                <w:sz w:val="16"/>
              </w:rPr>
              <w:t>largo</w:t>
            </w:r>
            <w:r>
              <w:rPr>
                <w:rFonts w:ascii="Arial Narrow"/>
                <w:spacing w:val="-3"/>
                <w:sz w:val="16"/>
              </w:rPr>
              <w:t> </w:t>
            </w:r>
            <w:r>
              <w:rPr>
                <w:rFonts w:ascii="Arial Narrow"/>
                <w:spacing w:val="-4"/>
                <w:sz w:val="16"/>
              </w:rPr>
              <w:t>plazo</w:t>
            </w:r>
          </w:p>
        </w:tc>
        <w:tc>
          <w:tcPr>
            <w:tcW w:w="547" w:type="dxa"/>
          </w:tcPr>
          <w:p>
            <w:pPr>
              <w:pStyle w:val="TableParagraph"/>
              <w:rPr>
                <w:rFonts w:ascii="Times New Roman"/>
                <w:sz w:val="12"/>
              </w:rPr>
            </w:pPr>
          </w:p>
        </w:tc>
        <w:tc>
          <w:tcPr>
            <w:tcW w:w="964" w:type="dxa"/>
          </w:tcPr>
          <w:p>
            <w:pPr>
              <w:pStyle w:val="TableParagraph"/>
              <w:spacing w:line="168" w:lineRule="exact" w:before="8"/>
              <w:ind w:left="7" w:right="5"/>
              <w:jc w:val="center"/>
              <w:rPr>
                <w:rFonts w:ascii="Arial Narrow"/>
                <w:sz w:val="16"/>
              </w:rPr>
            </w:pPr>
            <w:r>
              <w:rPr>
                <w:rFonts w:ascii="Arial Narrow"/>
                <w:sz w:val="16"/>
              </w:rPr>
              <w:t>554</w:t>
            </w:r>
            <w:r>
              <w:rPr>
                <w:rFonts w:ascii="Arial Narrow"/>
                <w:spacing w:val="-3"/>
                <w:sz w:val="16"/>
              </w:rPr>
              <w:t> </w:t>
            </w:r>
            <w:r>
              <w:rPr>
                <w:rFonts w:ascii="Arial Narrow"/>
                <w:spacing w:val="-2"/>
                <w:sz w:val="16"/>
              </w:rPr>
              <w:t>826,47</w:t>
            </w:r>
          </w:p>
        </w:tc>
        <w:tc>
          <w:tcPr>
            <w:tcW w:w="964" w:type="dxa"/>
          </w:tcPr>
          <w:p>
            <w:pPr>
              <w:pStyle w:val="TableParagraph"/>
              <w:spacing w:line="168" w:lineRule="exact" w:before="8"/>
              <w:ind w:left="7" w:right="6"/>
              <w:jc w:val="center"/>
              <w:rPr>
                <w:rFonts w:ascii="Arial Narrow"/>
                <w:sz w:val="16"/>
              </w:rPr>
            </w:pPr>
            <w:r>
              <w:rPr>
                <w:rFonts w:ascii="Arial Narrow"/>
                <w:sz w:val="16"/>
              </w:rPr>
              <w:t>696</w:t>
            </w:r>
            <w:r>
              <w:rPr>
                <w:rFonts w:ascii="Arial Narrow"/>
                <w:spacing w:val="-3"/>
                <w:sz w:val="16"/>
              </w:rPr>
              <w:t> </w:t>
            </w:r>
            <w:r>
              <w:rPr>
                <w:rFonts w:ascii="Arial Narrow"/>
                <w:spacing w:val="-2"/>
                <w:sz w:val="16"/>
              </w:rPr>
              <w:t>638,91</w:t>
            </w:r>
          </w:p>
        </w:tc>
      </w:tr>
      <w:tr>
        <w:trPr>
          <w:trHeight w:val="196" w:hRule="atLeast"/>
        </w:trPr>
        <w:tc>
          <w:tcPr>
            <w:tcW w:w="1420" w:type="dxa"/>
          </w:tcPr>
          <w:p>
            <w:pPr>
              <w:pStyle w:val="TableParagraph"/>
              <w:spacing w:line="168" w:lineRule="exact" w:before="8"/>
              <w:ind w:left="21"/>
              <w:rPr>
                <w:rFonts w:ascii="Arial Narrow"/>
                <w:sz w:val="16"/>
              </w:rPr>
            </w:pPr>
            <w:r>
              <w:rPr>
                <w:rFonts w:ascii="Arial Narrow"/>
                <w:spacing w:val="-2"/>
                <w:sz w:val="16"/>
              </w:rPr>
              <w:t>1.2.3.09.</w:t>
            </w:r>
          </w:p>
        </w:tc>
        <w:tc>
          <w:tcPr>
            <w:tcW w:w="2907" w:type="dxa"/>
          </w:tcPr>
          <w:p>
            <w:pPr>
              <w:pStyle w:val="TableParagraph"/>
              <w:spacing w:line="168" w:lineRule="exact" w:before="8"/>
              <w:ind w:left="21"/>
              <w:rPr>
                <w:rFonts w:ascii="Arial Narrow"/>
                <w:sz w:val="16"/>
              </w:rPr>
            </w:pPr>
            <w:r>
              <w:rPr>
                <w:rFonts w:ascii="Arial Narrow"/>
                <w:sz w:val="16"/>
              </w:rPr>
              <w:t>Anticipos</w:t>
            </w:r>
            <w:r>
              <w:rPr>
                <w:rFonts w:ascii="Arial Narrow"/>
                <w:spacing w:val="-2"/>
                <w:sz w:val="16"/>
              </w:rPr>
              <w:t> </w:t>
            </w:r>
            <w:r>
              <w:rPr>
                <w:rFonts w:ascii="Arial Narrow"/>
                <w:sz w:val="16"/>
              </w:rPr>
              <w:t>a</w:t>
            </w:r>
            <w:r>
              <w:rPr>
                <w:rFonts w:ascii="Arial Narrow"/>
                <w:spacing w:val="-3"/>
                <w:sz w:val="16"/>
              </w:rPr>
              <w:t> </w:t>
            </w:r>
            <w:r>
              <w:rPr>
                <w:rFonts w:ascii="Arial Narrow"/>
                <w:sz w:val="16"/>
              </w:rPr>
              <w:t>largo</w:t>
            </w:r>
            <w:r>
              <w:rPr>
                <w:rFonts w:ascii="Arial Narrow"/>
                <w:spacing w:val="-2"/>
                <w:sz w:val="16"/>
              </w:rPr>
              <w:t> plazo</w:t>
            </w:r>
          </w:p>
        </w:tc>
        <w:tc>
          <w:tcPr>
            <w:tcW w:w="547" w:type="dxa"/>
          </w:tcPr>
          <w:p>
            <w:pPr>
              <w:pStyle w:val="TableParagraph"/>
              <w:rPr>
                <w:rFonts w:ascii="Times New Roman"/>
                <w:sz w:val="12"/>
              </w:rPr>
            </w:pP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r>
      <w:tr>
        <w:trPr>
          <w:trHeight w:val="196" w:hRule="atLeast"/>
        </w:trPr>
        <w:tc>
          <w:tcPr>
            <w:tcW w:w="1420" w:type="dxa"/>
          </w:tcPr>
          <w:p>
            <w:pPr>
              <w:pStyle w:val="TableParagraph"/>
              <w:spacing w:line="168" w:lineRule="exact" w:before="8"/>
              <w:ind w:left="21"/>
              <w:rPr>
                <w:rFonts w:ascii="Arial Narrow"/>
                <w:sz w:val="16"/>
              </w:rPr>
            </w:pPr>
            <w:r>
              <w:rPr>
                <w:rFonts w:ascii="Arial Narrow"/>
                <w:spacing w:val="-2"/>
                <w:sz w:val="16"/>
              </w:rPr>
              <w:t>1.2.3.10.</w:t>
            </w:r>
          </w:p>
        </w:tc>
        <w:tc>
          <w:tcPr>
            <w:tcW w:w="2907" w:type="dxa"/>
          </w:tcPr>
          <w:p>
            <w:pPr>
              <w:pStyle w:val="TableParagraph"/>
              <w:spacing w:line="168" w:lineRule="exact" w:before="8"/>
              <w:ind w:left="21"/>
              <w:rPr>
                <w:rFonts w:ascii="Arial Narrow"/>
                <w:sz w:val="16"/>
              </w:rPr>
            </w:pPr>
            <w:r>
              <w:rPr>
                <w:rFonts w:ascii="Arial Narrow"/>
                <w:sz w:val="16"/>
              </w:rPr>
              <w:t>Deudores</w:t>
            </w:r>
            <w:r>
              <w:rPr>
                <w:rFonts w:ascii="Arial Narrow"/>
                <w:spacing w:val="-3"/>
                <w:sz w:val="16"/>
              </w:rPr>
              <w:t> </w:t>
            </w:r>
            <w:r>
              <w:rPr>
                <w:rFonts w:ascii="Arial Narrow"/>
                <w:sz w:val="16"/>
              </w:rPr>
              <w:t>por</w:t>
            </w:r>
            <w:r>
              <w:rPr>
                <w:rFonts w:ascii="Arial Narrow"/>
                <w:spacing w:val="-4"/>
                <w:sz w:val="16"/>
              </w:rPr>
              <w:t> </w:t>
            </w:r>
            <w:r>
              <w:rPr>
                <w:rFonts w:ascii="Arial Narrow"/>
                <w:sz w:val="16"/>
              </w:rPr>
              <w:t>avales</w:t>
            </w:r>
            <w:r>
              <w:rPr>
                <w:rFonts w:ascii="Arial Narrow"/>
                <w:spacing w:val="-3"/>
                <w:sz w:val="16"/>
              </w:rPr>
              <w:t> </w:t>
            </w:r>
            <w:r>
              <w:rPr>
                <w:rFonts w:ascii="Arial Narrow"/>
                <w:sz w:val="16"/>
              </w:rPr>
              <w:t>ejecutados</w:t>
            </w:r>
            <w:r>
              <w:rPr>
                <w:rFonts w:ascii="Arial Narrow"/>
                <w:spacing w:val="-2"/>
                <w:sz w:val="16"/>
              </w:rPr>
              <w:t> </w:t>
            </w:r>
            <w:r>
              <w:rPr>
                <w:rFonts w:ascii="Arial Narrow"/>
                <w:sz w:val="16"/>
              </w:rPr>
              <w:t>a</w:t>
            </w:r>
            <w:r>
              <w:rPr>
                <w:rFonts w:ascii="Arial Narrow"/>
                <w:spacing w:val="-5"/>
                <w:sz w:val="16"/>
              </w:rPr>
              <w:t> </w:t>
            </w:r>
            <w:r>
              <w:rPr>
                <w:rFonts w:ascii="Arial Narrow"/>
                <w:sz w:val="16"/>
              </w:rPr>
              <w:t>largo</w:t>
            </w:r>
            <w:r>
              <w:rPr>
                <w:rFonts w:ascii="Arial Narrow"/>
                <w:spacing w:val="-4"/>
                <w:sz w:val="16"/>
              </w:rPr>
              <w:t> </w:t>
            </w:r>
            <w:r>
              <w:rPr>
                <w:rFonts w:ascii="Arial Narrow"/>
                <w:spacing w:val="-2"/>
                <w:sz w:val="16"/>
              </w:rPr>
              <w:t>plazo</w:t>
            </w:r>
          </w:p>
        </w:tc>
        <w:tc>
          <w:tcPr>
            <w:tcW w:w="547" w:type="dxa"/>
          </w:tcPr>
          <w:p>
            <w:pPr>
              <w:pStyle w:val="TableParagraph"/>
              <w:rPr>
                <w:rFonts w:ascii="Times New Roman"/>
                <w:sz w:val="12"/>
              </w:rPr>
            </w:pP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c>
          <w:tcPr>
            <w:tcW w:w="964" w:type="dxa"/>
          </w:tcPr>
          <w:p>
            <w:pPr>
              <w:pStyle w:val="TableParagraph"/>
              <w:spacing w:line="168" w:lineRule="exact" w:before="8"/>
              <w:ind w:left="7"/>
              <w:jc w:val="center"/>
              <w:rPr>
                <w:rFonts w:ascii="Arial Narrow"/>
                <w:sz w:val="16"/>
              </w:rPr>
            </w:pPr>
            <w:r>
              <w:rPr>
                <w:rFonts w:ascii="Arial Narrow"/>
                <w:spacing w:val="-4"/>
                <w:sz w:val="16"/>
              </w:rPr>
              <w:t>0,00</w:t>
            </w:r>
          </w:p>
        </w:tc>
      </w:tr>
      <w:tr>
        <w:trPr>
          <w:trHeight w:val="196" w:hRule="atLeast"/>
        </w:trPr>
        <w:tc>
          <w:tcPr>
            <w:tcW w:w="1420" w:type="dxa"/>
          </w:tcPr>
          <w:p>
            <w:pPr>
              <w:pStyle w:val="TableParagraph"/>
              <w:spacing w:line="169" w:lineRule="exact" w:before="8"/>
              <w:ind w:left="21"/>
              <w:rPr>
                <w:rFonts w:ascii="Arial Narrow"/>
                <w:sz w:val="16"/>
              </w:rPr>
            </w:pPr>
            <w:r>
              <w:rPr>
                <w:rFonts w:ascii="Arial Narrow"/>
                <w:spacing w:val="-2"/>
                <w:sz w:val="16"/>
              </w:rPr>
              <w:t>1.2.3.98.</w:t>
            </w:r>
          </w:p>
        </w:tc>
        <w:tc>
          <w:tcPr>
            <w:tcW w:w="2907" w:type="dxa"/>
          </w:tcPr>
          <w:p>
            <w:pPr>
              <w:pStyle w:val="TableParagraph"/>
              <w:spacing w:line="169" w:lineRule="exact" w:before="8"/>
              <w:ind w:left="21"/>
              <w:rPr>
                <w:rFonts w:ascii="Arial Narrow"/>
                <w:sz w:val="16"/>
              </w:rPr>
            </w:pPr>
            <w:r>
              <w:rPr>
                <w:rFonts w:ascii="Arial Narrow"/>
                <w:sz w:val="16"/>
              </w:rPr>
              <w:t>Otras</w:t>
            </w:r>
            <w:r>
              <w:rPr>
                <w:rFonts w:ascii="Arial Narrow"/>
                <w:spacing w:val="-1"/>
                <w:sz w:val="16"/>
              </w:rPr>
              <w:t> </w:t>
            </w:r>
            <w:r>
              <w:rPr>
                <w:rFonts w:ascii="Arial Narrow"/>
                <w:sz w:val="16"/>
              </w:rPr>
              <w:t>cuentas a</w:t>
            </w:r>
            <w:r>
              <w:rPr>
                <w:rFonts w:ascii="Arial Narrow"/>
                <w:spacing w:val="-2"/>
                <w:sz w:val="16"/>
              </w:rPr>
              <w:t> </w:t>
            </w:r>
            <w:r>
              <w:rPr>
                <w:rFonts w:ascii="Arial Narrow"/>
                <w:sz w:val="16"/>
              </w:rPr>
              <w:t>cobrar</w:t>
            </w:r>
            <w:r>
              <w:rPr>
                <w:rFonts w:ascii="Arial Narrow"/>
                <w:spacing w:val="-2"/>
                <w:sz w:val="16"/>
              </w:rPr>
              <w:t> </w:t>
            </w:r>
            <w:r>
              <w:rPr>
                <w:rFonts w:ascii="Arial Narrow"/>
                <w:sz w:val="16"/>
              </w:rPr>
              <w:t>a</w:t>
            </w:r>
            <w:r>
              <w:rPr>
                <w:rFonts w:ascii="Arial Narrow"/>
                <w:spacing w:val="-2"/>
                <w:sz w:val="16"/>
              </w:rPr>
              <w:t> </w:t>
            </w:r>
            <w:r>
              <w:rPr>
                <w:rFonts w:ascii="Arial Narrow"/>
                <w:sz w:val="16"/>
              </w:rPr>
              <w:t>largo</w:t>
            </w:r>
            <w:r>
              <w:rPr>
                <w:rFonts w:ascii="Arial Narrow"/>
                <w:spacing w:val="-2"/>
                <w:sz w:val="16"/>
              </w:rPr>
              <w:t> </w:t>
            </w:r>
            <w:r>
              <w:rPr>
                <w:rFonts w:ascii="Arial Narrow"/>
                <w:spacing w:val="-4"/>
                <w:sz w:val="16"/>
              </w:rPr>
              <w:t>plazo</w:t>
            </w:r>
          </w:p>
        </w:tc>
        <w:tc>
          <w:tcPr>
            <w:tcW w:w="547" w:type="dxa"/>
          </w:tcPr>
          <w:p>
            <w:pPr>
              <w:pStyle w:val="TableParagraph"/>
              <w:rPr>
                <w:rFonts w:ascii="Times New Roman"/>
                <w:sz w:val="12"/>
              </w:rPr>
            </w:pPr>
          </w:p>
        </w:tc>
        <w:tc>
          <w:tcPr>
            <w:tcW w:w="964" w:type="dxa"/>
          </w:tcPr>
          <w:p>
            <w:pPr>
              <w:pStyle w:val="TableParagraph"/>
              <w:spacing w:line="169" w:lineRule="exact" w:before="8"/>
              <w:ind w:left="7"/>
              <w:jc w:val="center"/>
              <w:rPr>
                <w:rFonts w:ascii="Arial Narrow"/>
                <w:sz w:val="16"/>
              </w:rPr>
            </w:pPr>
            <w:r>
              <w:rPr>
                <w:rFonts w:ascii="Arial Narrow"/>
                <w:sz w:val="16"/>
              </w:rPr>
              <w:t>93</w:t>
            </w:r>
            <w:r>
              <w:rPr>
                <w:rFonts w:ascii="Arial Narrow"/>
                <w:spacing w:val="-2"/>
                <w:sz w:val="16"/>
              </w:rPr>
              <w:t> 612,18</w:t>
            </w:r>
          </w:p>
        </w:tc>
        <w:tc>
          <w:tcPr>
            <w:tcW w:w="964" w:type="dxa"/>
          </w:tcPr>
          <w:p>
            <w:pPr>
              <w:pStyle w:val="TableParagraph"/>
              <w:spacing w:line="169" w:lineRule="exact" w:before="8"/>
              <w:ind w:left="7"/>
              <w:jc w:val="center"/>
              <w:rPr>
                <w:rFonts w:ascii="Arial Narrow"/>
                <w:sz w:val="16"/>
              </w:rPr>
            </w:pPr>
            <w:r>
              <w:rPr>
                <w:rFonts w:ascii="Arial Narrow"/>
                <w:sz w:val="16"/>
              </w:rPr>
              <w:t>89</w:t>
            </w:r>
            <w:r>
              <w:rPr>
                <w:rFonts w:ascii="Arial Narrow"/>
                <w:spacing w:val="-2"/>
                <w:sz w:val="16"/>
              </w:rPr>
              <w:t> 651,43</w:t>
            </w:r>
          </w:p>
        </w:tc>
      </w:tr>
      <w:tr>
        <w:trPr>
          <w:trHeight w:val="397" w:hRule="atLeast"/>
        </w:trPr>
        <w:tc>
          <w:tcPr>
            <w:tcW w:w="1420" w:type="dxa"/>
          </w:tcPr>
          <w:p>
            <w:pPr>
              <w:pStyle w:val="TableParagraph"/>
              <w:spacing w:before="109"/>
              <w:ind w:left="21"/>
              <w:rPr>
                <w:rFonts w:ascii="Arial Narrow"/>
                <w:sz w:val="16"/>
              </w:rPr>
            </w:pPr>
            <w:r>
              <w:rPr>
                <w:rFonts w:ascii="Arial Narrow"/>
                <w:spacing w:val="-2"/>
                <w:sz w:val="16"/>
              </w:rPr>
              <w:t>1.2.3.99.</w:t>
            </w:r>
          </w:p>
        </w:tc>
        <w:tc>
          <w:tcPr>
            <w:tcW w:w="2907" w:type="dxa"/>
          </w:tcPr>
          <w:p>
            <w:pPr>
              <w:pStyle w:val="TableParagraph"/>
              <w:spacing w:before="8"/>
              <w:ind w:left="21"/>
              <w:rPr>
                <w:rFonts w:ascii="Arial Narrow"/>
                <w:sz w:val="16"/>
              </w:rPr>
            </w:pPr>
            <w:r>
              <w:rPr>
                <w:rFonts w:ascii="Arial Narrow"/>
                <w:sz w:val="16"/>
              </w:rPr>
              <w:t>Previsiones</w:t>
            </w:r>
            <w:r>
              <w:rPr>
                <w:rFonts w:ascii="Arial Narrow"/>
                <w:spacing w:val="-2"/>
                <w:sz w:val="16"/>
              </w:rPr>
              <w:t> </w:t>
            </w:r>
            <w:r>
              <w:rPr>
                <w:rFonts w:ascii="Arial Narrow"/>
                <w:sz w:val="16"/>
              </w:rPr>
              <w:t>para</w:t>
            </w:r>
            <w:r>
              <w:rPr>
                <w:rFonts w:ascii="Arial Narrow"/>
                <w:spacing w:val="-4"/>
                <w:sz w:val="16"/>
              </w:rPr>
              <w:t> </w:t>
            </w:r>
            <w:r>
              <w:rPr>
                <w:rFonts w:ascii="Arial Narrow"/>
                <w:sz w:val="16"/>
              </w:rPr>
              <w:t>deterioro</w:t>
            </w:r>
            <w:r>
              <w:rPr>
                <w:rFonts w:ascii="Arial Narrow"/>
                <w:spacing w:val="-3"/>
                <w:sz w:val="16"/>
              </w:rPr>
              <w:t> </w:t>
            </w:r>
            <w:r>
              <w:rPr>
                <w:rFonts w:ascii="Arial Narrow"/>
                <w:sz w:val="16"/>
              </w:rPr>
              <w:t>de</w:t>
            </w:r>
            <w:r>
              <w:rPr>
                <w:rFonts w:ascii="Arial Narrow"/>
                <w:spacing w:val="-4"/>
                <w:sz w:val="16"/>
              </w:rPr>
              <w:t> </w:t>
            </w:r>
            <w:r>
              <w:rPr>
                <w:rFonts w:ascii="Arial Narrow"/>
                <w:sz w:val="16"/>
              </w:rPr>
              <w:t>cuentas</w:t>
            </w:r>
            <w:r>
              <w:rPr>
                <w:rFonts w:ascii="Arial Narrow"/>
                <w:spacing w:val="-2"/>
                <w:sz w:val="16"/>
              </w:rPr>
              <w:t> </w:t>
            </w:r>
            <w:r>
              <w:rPr>
                <w:rFonts w:ascii="Arial Narrow"/>
                <w:sz w:val="16"/>
              </w:rPr>
              <w:t>a</w:t>
            </w:r>
            <w:r>
              <w:rPr>
                <w:rFonts w:ascii="Arial Narrow"/>
                <w:spacing w:val="-3"/>
                <w:sz w:val="16"/>
              </w:rPr>
              <w:t> </w:t>
            </w:r>
            <w:r>
              <w:rPr>
                <w:rFonts w:ascii="Arial Narrow"/>
                <w:sz w:val="16"/>
              </w:rPr>
              <w:t>cobrar</w:t>
            </w:r>
            <w:r>
              <w:rPr>
                <w:rFonts w:ascii="Arial Narrow"/>
                <w:spacing w:val="-4"/>
                <w:sz w:val="16"/>
              </w:rPr>
              <w:t> </w:t>
            </w:r>
            <w:r>
              <w:rPr>
                <w:rFonts w:ascii="Arial Narrow"/>
                <w:spacing w:val="-10"/>
                <w:sz w:val="16"/>
              </w:rPr>
              <w:t>a</w:t>
            </w:r>
          </w:p>
          <w:p>
            <w:pPr>
              <w:pStyle w:val="TableParagraph"/>
              <w:spacing w:line="168" w:lineRule="exact" w:before="18"/>
              <w:ind w:left="21"/>
              <w:rPr>
                <w:rFonts w:ascii="Arial Narrow"/>
                <w:sz w:val="16"/>
              </w:rPr>
            </w:pPr>
            <w:r>
              <w:rPr>
                <w:rFonts w:ascii="Arial Narrow"/>
                <w:sz w:val="16"/>
              </w:rPr>
              <w:t>largo</w:t>
            </w:r>
            <w:r>
              <w:rPr>
                <w:rFonts w:ascii="Arial Narrow"/>
                <w:spacing w:val="-5"/>
                <w:sz w:val="16"/>
              </w:rPr>
              <w:t> </w:t>
            </w:r>
            <w:r>
              <w:rPr>
                <w:rFonts w:ascii="Arial Narrow"/>
                <w:sz w:val="16"/>
              </w:rPr>
              <w:t>plazo</w:t>
            </w:r>
            <w:r>
              <w:rPr>
                <w:rFonts w:ascii="Arial Narrow"/>
                <w:spacing w:val="-4"/>
                <w:sz w:val="16"/>
              </w:rPr>
              <w:t> </w:t>
            </w:r>
            <w:r>
              <w:rPr>
                <w:rFonts w:ascii="Arial Narrow"/>
                <w:spacing w:val="-10"/>
                <w:sz w:val="16"/>
              </w:rPr>
              <w:t>*</w:t>
            </w:r>
          </w:p>
        </w:tc>
        <w:tc>
          <w:tcPr>
            <w:tcW w:w="547" w:type="dxa"/>
          </w:tcPr>
          <w:p>
            <w:pPr>
              <w:pStyle w:val="TableParagraph"/>
              <w:rPr>
                <w:rFonts w:ascii="Times New Roman"/>
                <w:sz w:val="18"/>
              </w:rPr>
            </w:pPr>
          </w:p>
        </w:tc>
        <w:tc>
          <w:tcPr>
            <w:tcW w:w="964" w:type="dxa"/>
          </w:tcPr>
          <w:p>
            <w:pPr>
              <w:pStyle w:val="TableParagraph"/>
              <w:spacing w:before="109"/>
              <w:ind w:left="7"/>
              <w:jc w:val="center"/>
              <w:rPr>
                <w:rFonts w:ascii="Arial Narrow"/>
                <w:sz w:val="16"/>
              </w:rPr>
            </w:pPr>
            <w:r>
              <w:rPr>
                <w:rFonts w:ascii="Arial Narrow"/>
                <w:sz w:val="16"/>
              </w:rPr>
              <w:t>-537</w:t>
            </w:r>
            <w:r>
              <w:rPr>
                <w:rFonts w:ascii="Arial Narrow"/>
                <w:spacing w:val="-4"/>
                <w:sz w:val="16"/>
              </w:rPr>
              <w:t> </w:t>
            </w:r>
            <w:r>
              <w:rPr>
                <w:rFonts w:ascii="Arial Narrow"/>
                <w:spacing w:val="-2"/>
                <w:sz w:val="16"/>
              </w:rPr>
              <w:t>652,11</w:t>
            </w:r>
          </w:p>
        </w:tc>
        <w:tc>
          <w:tcPr>
            <w:tcW w:w="964" w:type="dxa"/>
          </w:tcPr>
          <w:p>
            <w:pPr>
              <w:pStyle w:val="TableParagraph"/>
              <w:spacing w:before="109"/>
              <w:ind w:left="7" w:right="1"/>
              <w:jc w:val="center"/>
              <w:rPr>
                <w:rFonts w:ascii="Arial Narrow"/>
                <w:sz w:val="16"/>
              </w:rPr>
            </w:pPr>
            <w:r>
              <w:rPr>
                <w:rFonts w:ascii="Arial Narrow"/>
                <w:sz w:val="16"/>
              </w:rPr>
              <w:t>-672</w:t>
            </w:r>
            <w:r>
              <w:rPr>
                <w:rFonts w:ascii="Arial Narrow"/>
                <w:spacing w:val="-4"/>
                <w:sz w:val="16"/>
              </w:rPr>
              <w:t> </w:t>
            </w:r>
            <w:r>
              <w:rPr>
                <w:rFonts w:ascii="Arial Narrow"/>
                <w:spacing w:val="-2"/>
                <w:sz w:val="16"/>
              </w:rPr>
              <w:t>894,74</w:t>
            </w:r>
          </w:p>
        </w:tc>
      </w:tr>
    </w:tbl>
    <w:p>
      <w:pPr>
        <w:pStyle w:val="BodyText"/>
        <w:spacing w:before="197"/>
        <w:ind w:left="730" w:right="923"/>
        <w:jc w:val="both"/>
      </w:pPr>
      <w:r>
        <w:rPr/>
        <w:t>La</w:t>
      </w:r>
      <w:r>
        <w:rPr>
          <w:spacing w:val="-4"/>
        </w:rPr>
        <w:t> </w:t>
      </w:r>
      <w:r>
        <w:rPr/>
        <w:t>cuenta</w:t>
      </w:r>
      <w:r>
        <w:rPr>
          <w:spacing w:val="-3"/>
        </w:rPr>
        <w:t> </w:t>
      </w:r>
      <w:r>
        <w:rPr/>
        <w:t>de</w:t>
      </w:r>
      <w:r>
        <w:rPr>
          <w:spacing w:val="-2"/>
        </w:rPr>
        <w:t> </w:t>
      </w:r>
      <w:r>
        <w:rPr/>
        <w:t>Documentos</w:t>
      </w:r>
      <w:r>
        <w:rPr>
          <w:spacing w:val="-5"/>
        </w:rPr>
        <w:t> </w:t>
      </w:r>
      <w:r>
        <w:rPr/>
        <w:t>por</w:t>
      </w:r>
      <w:r>
        <w:rPr>
          <w:spacing w:val="-3"/>
        </w:rPr>
        <w:t> </w:t>
      </w:r>
      <w:r>
        <w:rPr/>
        <w:t>cobrar</w:t>
      </w:r>
      <w:r>
        <w:rPr>
          <w:spacing w:val="-3"/>
        </w:rPr>
        <w:t> </w:t>
      </w:r>
      <w:r>
        <w:rPr/>
        <w:t>representa</w:t>
      </w:r>
      <w:r>
        <w:rPr>
          <w:spacing w:val="-6"/>
        </w:rPr>
        <w:t> </w:t>
      </w:r>
      <w:r>
        <w:rPr/>
        <w:t>el</w:t>
      </w:r>
      <w:r>
        <w:rPr>
          <w:spacing w:val="-3"/>
        </w:rPr>
        <w:t> </w:t>
      </w:r>
      <w:r>
        <w:rPr/>
        <w:t>valor</w:t>
      </w:r>
      <w:r>
        <w:rPr>
          <w:spacing w:val="-3"/>
        </w:rPr>
        <w:t> </w:t>
      </w:r>
      <w:r>
        <w:rPr/>
        <w:t>de</w:t>
      </w:r>
      <w:r>
        <w:rPr>
          <w:spacing w:val="-2"/>
        </w:rPr>
        <w:t> </w:t>
      </w:r>
      <w:r>
        <w:rPr/>
        <w:t>los</w:t>
      </w:r>
      <w:r>
        <w:rPr>
          <w:spacing w:val="-5"/>
        </w:rPr>
        <w:t> </w:t>
      </w:r>
      <w:r>
        <w:rPr/>
        <w:t>derechos</w:t>
      </w:r>
      <w:r>
        <w:rPr>
          <w:spacing w:val="-5"/>
        </w:rPr>
        <w:t> </w:t>
      </w:r>
      <w:r>
        <w:rPr/>
        <w:t>a</w:t>
      </w:r>
      <w:r>
        <w:rPr>
          <w:spacing w:val="-4"/>
        </w:rPr>
        <w:t> </w:t>
      </w:r>
      <w:r>
        <w:rPr/>
        <w:t>Largo</w:t>
      </w:r>
      <w:r>
        <w:rPr>
          <w:spacing w:val="-5"/>
        </w:rPr>
        <w:t> </w:t>
      </w:r>
      <w:r>
        <w:rPr/>
        <w:t>Plazo,</w:t>
      </w:r>
      <w:r>
        <w:rPr>
          <w:spacing w:val="-3"/>
        </w:rPr>
        <w:t> </w:t>
      </w:r>
      <w:r>
        <w:rPr/>
        <w:t>corresponde a documentos a cobrar por ventas de bienes y servicios a beneficiarios, en un plazo mayor a un año, se</w:t>
      </w:r>
      <w:r>
        <w:rPr>
          <w:spacing w:val="-9"/>
        </w:rPr>
        <w:t> </w:t>
      </w:r>
      <w:r>
        <w:rPr/>
        <w:t>incluyen</w:t>
      </w:r>
      <w:r>
        <w:rPr>
          <w:spacing w:val="-10"/>
        </w:rPr>
        <w:t> </w:t>
      </w:r>
      <w:r>
        <w:rPr/>
        <w:t>los</w:t>
      </w:r>
      <w:r>
        <w:rPr>
          <w:spacing w:val="-10"/>
        </w:rPr>
        <w:t> </w:t>
      </w:r>
      <w:r>
        <w:rPr/>
        <w:t>pagarés,</w:t>
      </w:r>
      <w:r>
        <w:rPr>
          <w:spacing w:val="-10"/>
        </w:rPr>
        <w:t> </w:t>
      </w:r>
      <w:r>
        <w:rPr/>
        <w:t>letras</w:t>
      </w:r>
      <w:r>
        <w:rPr>
          <w:spacing w:val="-10"/>
        </w:rPr>
        <w:t> </w:t>
      </w:r>
      <w:r>
        <w:rPr/>
        <w:t>libres</w:t>
      </w:r>
      <w:r>
        <w:rPr>
          <w:spacing w:val="-10"/>
        </w:rPr>
        <w:t> </w:t>
      </w:r>
      <w:r>
        <w:rPr/>
        <w:t>de</w:t>
      </w:r>
      <w:r>
        <w:rPr>
          <w:spacing w:val="-10"/>
        </w:rPr>
        <w:t> </w:t>
      </w:r>
      <w:r>
        <w:rPr/>
        <w:t>gravámenes</w:t>
      </w:r>
      <w:r>
        <w:rPr>
          <w:spacing w:val="-12"/>
        </w:rPr>
        <w:t> </w:t>
      </w:r>
      <w:r>
        <w:rPr/>
        <w:t>que</w:t>
      </w:r>
      <w:r>
        <w:rPr>
          <w:spacing w:val="-9"/>
        </w:rPr>
        <w:t> </w:t>
      </w:r>
      <w:r>
        <w:rPr/>
        <w:t>no</w:t>
      </w:r>
      <w:r>
        <w:rPr>
          <w:spacing w:val="-10"/>
        </w:rPr>
        <w:t> </w:t>
      </w:r>
      <w:r>
        <w:rPr/>
        <w:t>hayan</w:t>
      </w:r>
      <w:r>
        <w:rPr>
          <w:spacing w:val="-10"/>
        </w:rPr>
        <w:t> </w:t>
      </w:r>
      <w:r>
        <w:rPr/>
        <w:t>vencido.</w:t>
      </w:r>
      <w:r>
        <w:rPr>
          <w:spacing w:val="-10"/>
        </w:rPr>
        <w:t> </w:t>
      </w:r>
      <w:r>
        <w:rPr/>
        <w:t>Se</w:t>
      </w:r>
      <w:r>
        <w:rPr>
          <w:spacing w:val="-9"/>
        </w:rPr>
        <w:t> </w:t>
      </w:r>
      <w:r>
        <w:rPr/>
        <w:t>compone</w:t>
      </w:r>
      <w:r>
        <w:rPr>
          <w:spacing w:val="-9"/>
        </w:rPr>
        <w:t> </w:t>
      </w:r>
      <w:r>
        <w:rPr/>
        <w:t>de</w:t>
      </w:r>
      <w:r>
        <w:rPr>
          <w:spacing w:val="-9"/>
        </w:rPr>
        <w:t> </w:t>
      </w:r>
      <w:r>
        <w:rPr/>
        <w:t>la</w:t>
      </w:r>
      <w:r>
        <w:rPr>
          <w:spacing w:val="-12"/>
        </w:rPr>
        <w:t> </w:t>
      </w:r>
      <w:r>
        <w:rPr/>
        <w:t>siguiente:</w:t>
      </w:r>
    </w:p>
    <w:p>
      <w:pPr>
        <w:pStyle w:val="BodyText"/>
      </w:pPr>
    </w:p>
    <w:p>
      <w:pPr>
        <w:pStyle w:val="BodyText"/>
      </w:pPr>
    </w:p>
    <w:p>
      <w:pPr>
        <w:pStyle w:val="BodyText"/>
      </w:pPr>
    </w:p>
    <w:p>
      <w:pPr>
        <w:pStyle w:val="BodyText"/>
      </w:pPr>
    </w:p>
    <w:p>
      <w:pPr>
        <w:pStyle w:val="BodyText"/>
        <w:spacing w:before="146"/>
      </w:pPr>
    </w:p>
    <w:p>
      <w:pPr>
        <w:pStyle w:val="BodyText"/>
        <w:ind w:left="730" w:right="923"/>
        <w:jc w:val="both"/>
      </w:pPr>
      <w:r>
        <w:rPr/>
        <w:t>Las</w:t>
      </w:r>
      <w:r>
        <w:rPr>
          <w:spacing w:val="-9"/>
        </w:rPr>
        <w:t> </w:t>
      </w:r>
      <w:r>
        <w:rPr/>
        <w:t>variaciones</w:t>
      </w:r>
      <w:r>
        <w:rPr>
          <w:spacing w:val="-9"/>
        </w:rPr>
        <w:t> </w:t>
      </w:r>
      <w:r>
        <w:rPr/>
        <w:t>de</w:t>
      </w:r>
      <w:r>
        <w:rPr>
          <w:spacing w:val="-9"/>
        </w:rPr>
        <w:t> </w:t>
      </w:r>
      <w:r>
        <w:rPr/>
        <w:t>la</w:t>
      </w:r>
      <w:r>
        <w:rPr>
          <w:spacing w:val="-11"/>
        </w:rPr>
        <w:t> </w:t>
      </w:r>
      <w:r>
        <w:rPr/>
        <w:t>cuenta</w:t>
      </w:r>
      <w:r>
        <w:rPr>
          <w:spacing w:val="-12"/>
        </w:rPr>
        <w:t> </w:t>
      </w:r>
      <w:r>
        <w:rPr/>
        <w:t>Documentos</w:t>
      </w:r>
      <w:r>
        <w:rPr>
          <w:spacing w:val="-9"/>
        </w:rPr>
        <w:t> </w:t>
      </w:r>
      <w:r>
        <w:rPr/>
        <w:t>por</w:t>
      </w:r>
      <w:r>
        <w:rPr>
          <w:spacing w:val="-9"/>
        </w:rPr>
        <w:t> </w:t>
      </w:r>
      <w:r>
        <w:rPr/>
        <w:t>cobrar</w:t>
      </w:r>
      <w:r>
        <w:rPr>
          <w:spacing w:val="-10"/>
        </w:rPr>
        <w:t> </w:t>
      </w:r>
      <w:r>
        <w:rPr/>
        <w:t>refleja</w:t>
      </w:r>
      <w:r>
        <w:rPr>
          <w:spacing w:val="-10"/>
        </w:rPr>
        <w:t> </w:t>
      </w:r>
      <w:r>
        <w:rPr/>
        <w:t>una</w:t>
      </w:r>
      <w:r>
        <w:rPr>
          <w:spacing w:val="-10"/>
        </w:rPr>
        <w:t> </w:t>
      </w:r>
      <w:r>
        <w:rPr/>
        <w:t>disminución</w:t>
      </w:r>
      <w:r>
        <w:rPr>
          <w:spacing w:val="-9"/>
        </w:rPr>
        <w:t> </w:t>
      </w:r>
      <w:r>
        <w:rPr/>
        <w:t>del</w:t>
      </w:r>
      <w:r>
        <w:rPr>
          <w:spacing w:val="-6"/>
        </w:rPr>
        <w:t> </w:t>
      </w:r>
      <w:r>
        <w:rPr/>
        <w:t>-20,36%</w:t>
      </w:r>
      <w:r>
        <w:rPr>
          <w:spacing w:val="-10"/>
        </w:rPr>
        <w:t> </w:t>
      </w:r>
      <w:r>
        <w:rPr/>
        <w:t>producto</w:t>
      </w:r>
      <w:r>
        <w:rPr>
          <w:spacing w:val="-8"/>
        </w:rPr>
        <w:t> </w:t>
      </w:r>
      <w:r>
        <w:rPr/>
        <w:t>de la gestión cobratoria y depuración cuentas, así como la recuperación propia de los arreglos de pago, </w:t>
      </w:r>
      <w:r>
        <w:rPr>
          <w:spacing w:val="-2"/>
        </w:rPr>
        <w:t>respectivamente.</w:t>
      </w:r>
    </w:p>
    <w:p>
      <w:pPr>
        <w:pStyle w:val="BodyText"/>
        <w:spacing w:before="159"/>
        <w:ind w:left="730" w:right="925"/>
        <w:jc w:val="both"/>
      </w:pPr>
      <w:r>
        <w:rPr/>
        <w:t>Las</w:t>
      </w:r>
      <w:r>
        <w:rPr>
          <w:spacing w:val="-5"/>
        </w:rPr>
        <w:t> </w:t>
      </w:r>
      <w:r>
        <w:rPr/>
        <w:t>variaciones</w:t>
      </w:r>
      <w:r>
        <w:rPr>
          <w:spacing w:val="-5"/>
        </w:rPr>
        <w:t> </w:t>
      </w:r>
      <w:r>
        <w:rPr/>
        <w:t>de</w:t>
      </w:r>
      <w:r>
        <w:rPr>
          <w:spacing w:val="-5"/>
        </w:rPr>
        <w:t> </w:t>
      </w:r>
      <w:r>
        <w:rPr/>
        <w:t>la</w:t>
      </w:r>
      <w:r>
        <w:rPr>
          <w:spacing w:val="-7"/>
        </w:rPr>
        <w:t> </w:t>
      </w:r>
      <w:r>
        <w:rPr/>
        <w:t>cuenta</w:t>
      </w:r>
      <w:r>
        <w:rPr>
          <w:spacing w:val="-8"/>
        </w:rPr>
        <w:t> </w:t>
      </w:r>
      <w:r>
        <w:rPr/>
        <w:t>Otras</w:t>
      </w:r>
      <w:r>
        <w:rPr>
          <w:spacing w:val="-5"/>
        </w:rPr>
        <w:t> </w:t>
      </w:r>
      <w:r>
        <w:rPr/>
        <w:t>cuentas</w:t>
      </w:r>
      <w:r>
        <w:rPr>
          <w:spacing w:val="-5"/>
        </w:rPr>
        <w:t> </w:t>
      </w:r>
      <w:r>
        <w:rPr/>
        <w:t>por</w:t>
      </w:r>
      <w:r>
        <w:rPr>
          <w:spacing w:val="-6"/>
        </w:rPr>
        <w:t> </w:t>
      </w:r>
      <w:r>
        <w:rPr/>
        <w:t>cobrar</w:t>
      </w:r>
      <w:r>
        <w:rPr>
          <w:spacing w:val="-6"/>
        </w:rPr>
        <w:t> </w:t>
      </w:r>
      <w:r>
        <w:rPr/>
        <w:t>corresponden</w:t>
      </w:r>
      <w:r>
        <w:rPr>
          <w:spacing w:val="-5"/>
        </w:rPr>
        <w:t> </w:t>
      </w:r>
      <w:r>
        <w:rPr/>
        <w:t>a</w:t>
      </w:r>
      <w:r>
        <w:rPr>
          <w:spacing w:val="-6"/>
        </w:rPr>
        <w:t> </w:t>
      </w:r>
      <w:r>
        <w:rPr/>
        <w:t>depósitos</w:t>
      </w:r>
      <w:r>
        <w:rPr>
          <w:spacing w:val="-5"/>
        </w:rPr>
        <w:t> </w:t>
      </w:r>
      <w:r>
        <w:rPr/>
        <w:t>de</w:t>
      </w:r>
      <w:r>
        <w:rPr>
          <w:spacing w:val="-7"/>
        </w:rPr>
        <w:t> </w:t>
      </w:r>
      <w:r>
        <w:rPr/>
        <w:t>garantía</w:t>
      </w:r>
      <w:r>
        <w:rPr>
          <w:spacing w:val="-6"/>
        </w:rPr>
        <w:t> </w:t>
      </w:r>
      <w:r>
        <w:rPr/>
        <w:t>por</w:t>
      </w:r>
      <w:r>
        <w:rPr>
          <w:spacing w:val="-5"/>
        </w:rPr>
        <w:t> </w:t>
      </w:r>
      <w:r>
        <w:rPr/>
        <w:t>alqui-leres operativos institucionales, la cual refleja un aumento del 4,42% producto del registro nuevos arrendamientos de alquiler de las oficinas.</w:t>
      </w:r>
    </w:p>
    <w:p>
      <w:pPr>
        <w:pStyle w:val="BodyText"/>
        <w:spacing w:line="276" w:lineRule="auto" w:before="162"/>
        <w:ind w:left="730" w:right="1001"/>
      </w:pPr>
      <w:r>
        <w:rPr/>
        <w:t>El</w:t>
      </w:r>
      <w:r>
        <w:rPr>
          <w:spacing w:val="-3"/>
        </w:rPr>
        <w:t> </w:t>
      </w:r>
      <w:r>
        <w:rPr/>
        <w:t>movimiento</w:t>
      </w:r>
      <w:r>
        <w:rPr>
          <w:spacing w:val="-2"/>
        </w:rPr>
        <w:t> </w:t>
      </w:r>
      <w:r>
        <w:rPr/>
        <w:t>de</w:t>
      </w:r>
      <w:r>
        <w:rPr>
          <w:spacing w:val="-5"/>
        </w:rPr>
        <w:t> </w:t>
      </w:r>
      <w:r>
        <w:rPr/>
        <w:t>las</w:t>
      </w:r>
      <w:r>
        <w:rPr>
          <w:spacing w:val="-2"/>
        </w:rPr>
        <w:t> </w:t>
      </w:r>
      <w:r>
        <w:rPr/>
        <w:t>previsiones</w:t>
      </w:r>
      <w:r>
        <w:rPr>
          <w:spacing w:val="-2"/>
        </w:rPr>
        <w:t> </w:t>
      </w:r>
      <w:r>
        <w:rPr/>
        <w:t>para</w:t>
      </w:r>
      <w:r>
        <w:rPr>
          <w:spacing w:val="-4"/>
        </w:rPr>
        <w:t> </w:t>
      </w:r>
      <w:r>
        <w:rPr/>
        <w:t>deterioro</w:t>
      </w:r>
      <w:r>
        <w:rPr>
          <w:spacing w:val="-3"/>
        </w:rPr>
        <w:t> </w:t>
      </w:r>
      <w:r>
        <w:rPr/>
        <w:t>por</w:t>
      </w:r>
      <w:r>
        <w:rPr>
          <w:spacing w:val="-3"/>
        </w:rPr>
        <w:t> </w:t>
      </w:r>
      <w:r>
        <w:rPr/>
        <w:t>cuentas</w:t>
      </w:r>
      <w:r>
        <w:rPr>
          <w:spacing w:val="-3"/>
        </w:rPr>
        <w:t> </w:t>
      </w:r>
      <w:r>
        <w:rPr/>
        <w:t>y</w:t>
      </w:r>
      <w:r>
        <w:rPr>
          <w:spacing w:val="-4"/>
        </w:rPr>
        <w:t> </w:t>
      </w:r>
      <w:r>
        <w:rPr/>
        <w:t>documentos</w:t>
      </w:r>
      <w:r>
        <w:rPr>
          <w:spacing w:val="-2"/>
        </w:rPr>
        <w:t> </w:t>
      </w:r>
      <w:r>
        <w:rPr/>
        <w:t>por</w:t>
      </w:r>
      <w:r>
        <w:rPr>
          <w:spacing w:val="-3"/>
        </w:rPr>
        <w:t> </w:t>
      </w:r>
      <w:r>
        <w:rPr/>
        <w:t>cobrar</w:t>
      </w:r>
      <w:r>
        <w:rPr>
          <w:spacing w:val="-3"/>
        </w:rPr>
        <w:t> </w:t>
      </w:r>
      <w:r>
        <w:rPr/>
        <w:t>a</w:t>
      </w:r>
      <w:r>
        <w:rPr>
          <w:spacing w:val="-4"/>
        </w:rPr>
        <w:t> </w:t>
      </w:r>
      <w:r>
        <w:rPr/>
        <w:t>largo</w:t>
      </w:r>
      <w:r>
        <w:rPr>
          <w:spacing w:val="-2"/>
        </w:rPr>
        <w:t> </w:t>
      </w:r>
      <w:r>
        <w:rPr/>
        <w:t>plazo se presenta a continuación:</w:t>
      </w:r>
    </w:p>
    <w:p>
      <w:pPr>
        <w:pStyle w:val="BodyText"/>
        <w:spacing w:after="0" w:line="27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2864">
                <wp:simplePos x="0" y="0"/>
                <wp:positionH relativeFrom="page">
                  <wp:posOffset>9525</wp:posOffset>
                </wp:positionH>
                <wp:positionV relativeFrom="page">
                  <wp:posOffset>297208</wp:posOffset>
                </wp:positionV>
                <wp:extent cx="7762875" cy="9748520"/>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7762875" cy="9748520"/>
                          <a:chExt cx="7762875" cy="9748520"/>
                        </a:xfrm>
                      </wpg:grpSpPr>
                      <pic:pic>
                        <pic:nvPicPr>
                          <pic:cNvPr id="305" name="Image 305"/>
                          <pic:cNvPicPr/>
                        </pic:nvPicPr>
                        <pic:blipFill>
                          <a:blip r:embed="rId5" cstate="print"/>
                          <a:stretch>
                            <a:fillRect/>
                          </a:stretch>
                        </pic:blipFill>
                        <pic:spPr>
                          <a:xfrm>
                            <a:off x="0" y="0"/>
                            <a:ext cx="7762874" cy="9748489"/>
                          </a:xfrm>
                          <a:prstGeom prst="rect">
                            <a:avLst/>
                          </a:prstGeom>
                        </pic:spPr>
                      </pic:pic>
                      <wps:wsp>
                        <wps:cNvPr id="306" name="Graphic 30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3616" id="docshapegroup290" coordorigin="15,468" coordsize="12225,15352">
                <v:shape style="position:absolute;left:15;top:468;width:12225;height:15352" type="#_x0000_t75" id="docshape291" stroked="false">
                  <v:imagedata r:id="rId5" o:title=""/>
                </v:shape>
                <v:rect style="position:absolute;left:1673;top:2028;width:8897;height:15" id="docshape292"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77280">
                <wp:simplePos x="0" y="0"/>
                <wp:positionH relativeFrom="page">
                  <wp:posOffset>1588268</wp:posOffset>
                </wp:positionH>
                <wp:positionV relativeFrom="paragraph">
                  <wp:posOffset>1591936</wp:posOffset>
                </wp:positionV>
                <wp:extent cx="4696460" cy="953770"/>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4696460" cy="95377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1"/>
                              <w:gridCol w:w="1680"/>
                              <w:gridCol w:w="893"/>
                              <w:gridCol w:w="893"/>
                              <w:gridCol w:w="910"/>
                              <w:gridCol w:w="809"/>
                              <w:gridCol w:w="720"/>
                              <w:gridCol w:w="804"/>
                            </w:tblGrid>
                            <w:tr>
                              <w:trPr>
                                <w:trHeight w:val="410" w:hRule="atLeast"/>
                              </w:trPr>
                              <w:tc>
                                <w:tcPr>
                                  <w:tcW w:w="7270" w:type="dxa"/>
                                  <w:gridSpan w:val="8"/>
                                  <w:shd w:val="clear" w:color="auto" w:fill="E7E6E6"/>
                                </w:tcPr>
                                <w:p>
                                  <w:pPr>
                                    <w:pStyle w:val="TableParagraph"/>
                                    <w:spacing w:line="206" w:lineRule="exact"/>
                                    <w:ind w:left="2665" w:right="1826" w:hanging="832"/>
                                    <w:rPr>
                                      <w:rFonts w:ascii="Arial" w:hAnsi="Arial"/>
                                      <w:b/>
                                      <w:sz w:val="11"/>
                                    </w:rPr>
                                  </w:pPr>
                                  <w:r>
                                    <w:rPr>
                                      <w:rFonts w:ascii="Arial" w:hAnsi="Arial"/>
                                      <w:b/>
                                      <w:w w:val="80"/>
                                      <w:sz w:val="11"/>
                                    </w:rPr>
                                    <w:t>CONCILIACIÓN DE LAS VARIACIONES DE LAS ESTIMACIONES DE INCOBRABLES</w:t>
                                  </w:r>
                                  <w:r>
                                    <w:rPr>
                                      <w:rFonts w:ascii="Arial" w:hAnsi="Arial"/>
                                      <w:b/>
                                      <w:spacing w:val="40"/>
                                      <w:sz w:val="11"/>
                                    </w:rPr>
                                    <w:t> </w:t>
                                  </w:r>
                                  <w:r>
                                    <w:rPr>
                                      <w:rFonts w:ascii="Arial" w:hAnsi="Arial"/>
                                      <w:b/>
                                      <w:w w:val="85"/>
                                      <w:sz w:val="11"/>
                                    </w:rPr>
                                    <w:t>DE LAS CUENTAS POR COBRAR AL 31.07.26</w:t>
                                  </w:r>
                                </w:p>
                              </w:tc>
                            </w:tr>
                            <w:tr>
                              <w:trPr>
                                <w:trHeight w:val="377" w:hRule="atLeast"/>
                              </w:trPr>
                              <w:tc>
                                <w:tcPr>
                                  <w:tcW w:w="561" w:type="dxa"/>
                                  <w:vMerge w:val="restart"/>
                                  <w:shd w:val="clear" w:color="auto" w:fill="E7E6E6"/>
                                </w:tcPr>
                                <w:p>
                                  <w:pPr>
                                    <w:pStyle w:val="TableParagraph"/>
                                    <w:spacing w:before="39"/>
                                    <w:rPr>
                                      <w:sz w:val="9"/>
                                    </w:rPr>
                                  </w:pPr>
                                </w:p>
                                <w:p>
                                  <w:pPr>
                                    <w:pStyle w:val="TableParagraph"/>
                                    <w:spacing w:line="276" w:lineRule="auto"/>
                                    <w:ind w:left="64" w:firstLine="53"/>
                                    <w:rPr>
                                      <w:rFonts w:ascii="Arial"/>
                                      <w:b/>
                                      <w:sz w:val="9"/>
                                    </w:rPr>
                                  </w:pPr>
                                  <w:r>
                                    <w:rPr>
                                      <w:rFonts w:ascii="Arial"/>
                                      <w:b/>
                                      <w:spacing w:val="-2"/>
                                      <w:w w:val="95"/>
                                      <w:sz w:val="9"/>
                                    </w:rPr>
                                    <w:t>CUENTA</w:t>
                                  </w:r>
                                  <w:r>
                                    <w:rPr>
                                      <w:rFonts w:ascii="Arial"/>
                                      <w:b/>
                                      <w:spacing w:val="40"/>
                                      <w:sz w:val="9"/>
                                    </w:rPr>
                                    <w:t> </w:t>
                                  </w:r>
                                  <w:r>
                                    <w:rPr>
                                      <w:rFonts w:ascii="Arial"/>
                                      <w:b/>
                                      <w:spacing w:val="-2"/>
                                      <w:w w:val="85"/>
                                      <w:sz w:val="9"/>
                                    </w:rPr>
                                    <w:t>CONTABLE</w:t>
                                  </w:r>
                                </w:p>
                              </w:tc>
                              <w:tc>
                                <w:tcPr>
                                  <w:tcW w:w="1680" w:type="dxa"/>
                                  <w:vMerge w:val="restart"/>
                                  <w:shd w:val="clear" w:color="auto" w:fill="E7E6E6"/>
                                </w:tcPr>
                                <w:p>
                                  <w:pPr>
                                    <w:pStyle w:val="TableParagraph"/>
                                    <w:rPr>
                                      <w:sz w:val="9"/>
                                    </w:rPr>
                                  </w:pPr>
                                </w:p>
                                <w:p>
                                  <w:pPr>
                                    <w:pStyle w:val="TableParagraph"/>
                                    <w:spacing w:before="55"/>
                                    <w:rPr>
                                      <w:sz w:val="9"/>
                                    </w:rPr>
                                  </w:pPr>
                                </w:p>
                                <w:p>
                                  <w:pPr>
                                    <w:pStyle w:val="TableParagraph"/>
                                    <w:ind w:left="273"/>
                                    <w:rPr>
                                      <w:rFonts w:ascii="Arial"/>
                                      <w:b/>
                                      <w:sz w:val="9"/>
                                    </w:rPr>
                                  </w:pPr>
                                  <w:r>
                                    <w:rPr>
                                      <w:rFonts w:ascii="Arial"/>
                                      <w:b/>
                                      <w:w w:val="80"/>
                                      <w:sz w:val="9"/>
                                    </w:rPr>
                                    <w:t>NOMBRE</w:t>
                                  </w:r>
                                  <w:r>
                                    <w:rPr>
                                      <w:rFonts w:ascii="Arial"/>
                                      <w:b/>
                                      <w:spacing w:val="10"/>
                                      <w:sz w:val="9"/>
                                    </w:rPr>
                                    <w:t> </w:t>
                                  </w:r>
                                  <w:r>
                                    <w:rPr>
                                      <w:rFonts w:ascii="Arial"/>
                                      <w:b/>
                                      <w:w w:val="80"/>
                                      <w:sz w:val="9"/>
                                    </w:rPr>
                                    <w:t>CUENTA</w:t>
                                  </w:r>
                                  <w:r>
                                    <w:rPr>
                                      <w:rFonts w:ascii="Arial"/>
                                      <w:b/>
                                      <w:spacing w:val="8"/>
                                      <w:sz w:val="9"/>
                                    </w:rPr>
                                    <w:t> </w:t>
                                  </w:r>
                                  <w:r>
                                    <w:rPr>
                                      <w:rFonts w:ascii="Arial"/>
                                      <w:b/>
                                      <w:spacing w:val="-2"/>
                                      <w:w w:val="80"/>
                                      <w:sz w:val="9"/>
                                    </w:rPr>
                                    <w:t>CONTABLE</w:t>
                                  </w:r>
                                </w:p>
                              </w:tc>
                              <w:tc>
                                <w:tcPr>
                                  <w:tcW w:w="893" w:type="dxa"/>
                                  <w:vMerge w:val="restart"/>
                                  <w:shd w:val="clear" w:color="auto" w:fill="E7E6E6"/>
                                </w:tcPr>
                                <w:p>
                                  <w:pPr>
                                    <w:pStyle w:val="TableParagraph"/>
                                    <w:rPr>
                                      <w:sz w:val="9"/>
                                    </w:rPr>
                                  </w:pPr>
                                </w:p>
                                <w:p>
                                  <w:pPr>
                                    <w:pStyle w:val="TableParagraph"/>
                                    <w:spacing w:before="55"/>
                                    <w:rPr>
                                      <w:sz w:val="9"/>
                                    </w:rPr>
                                  </w:pPr>
                                </w:p>
                                <w:p>
                                  <w:pPr>
                                    <w:pStyle w:val="TableParagraph"/>
                                    <w:ind w:left="226"/>
                                    <w:rPr>
                                      <w:rFonts w:ascii="Arial"/>
                                      <w:b/>
                                      <w:sz w:val="9"/>
                                    </w:rPr>
                                  </w:pPr>
                                  <w:r>
                                    <w:rPr>
                                      <w:rFonts w:ascii="Arial"/>
                                      <w:b/>
                                      <w:spacing w:val="-2"/>
                                      <w:w w:val="95"/>
                                      <w:sz w:val="9"/>
                                    </w:rPr>
                                    <w:t>CONCEPTO</w:t>
                                  </w:r>
                                </w:p>
                              </w:tc>
                              <w:tc>
                                <w:tcPr>
                                  <w:tcW w:w="893" w:type="dxa"/>
                                  <w:vMerge w:val="restart"/>
                                  <w:shd w:val="clear" w:color="auto" w:fill="E7E6E6"/>
                                </w:tcPr>
                                <w:p>
                                  <w:pPr>
                                    <w:pStyle w:val="TableParagraph"/>
                                    <w:spacing w:line="276" w:lineRule="auto" w:before="24"/>
                                    <w:ind w:left="92" w:right="87" w:firstLine="5"/>
                                    <w:jc w:val="center"/>
                                    <w:rPr>
                                      <w:rFonts w:ascii="Arial"/>
                                      <w:b/>
                                      <w:sz w:val="9"/>
                                    </w:rPr>
                                  </w:pPr>
                                  <w:r>
                                    <w:rPr>
                                      <w:rFonts w:ascii="Arial"/>
                                      <w:b/>
                                      <w:spacing w:val="-2"/>
                                      <w:w w:val="95"/>
                                      <w:sz w:val="9"/>
                                    </w:rPr>
                                    <w:t>SALDOS</w:t>
                                  </w:r>
                                  <w:r>
                                    <w:rPr>
                                      <w:rFonts w:ascii="Arial"/>
                                      <w:b/>
                                      <w:spacing w:val="40"/>
                                      <w:sz w:val="9"/>
                                    </w:rPr>
                                    <w:t> </w:t>
                                  </w:r>
                                  <w:r>
                                    <w:rPr>
                                      <w:rFonts w:ascii="Arial"/>
                                      <w:b/>
                                      <w:spacing w:val="-2"/>
                                      <w:w w:val="85"/>
                                      <w:sz w:val="9"/>
                                    </w:rPr>
                                    <w:t>ESTIM.INCOBR.</w:t>
                                  </w:r>
                                  <w:r>
                                    <w:rPr>
                                      <w:rFonts w:ascii="Arial"/>
                                      <w:b/>
                                      <w:spacing w:val="-5"/>
                                      <w:sz w:val="9"/>
                                    </w:rPr>
                                    <w:t> </w:t>
                                  </w:r>
                                  <w:r>
                                    <w:rPr>
                                      <w:rFonts w:ascii="Arial"/>
                                      <w:b/>
                                      <w:spacing w:val="-2"/>
                                      <w:w w:val="85"/>
                                      <w:sz w:val="9"/>
                                    </w:rPr>
                                    <w:t>AL</w:t>
                                  </w:r>
                                  <w:r>
                                    <w:rPr>
                                      <w:rFonts w:ascii="Arial"/>
                                      <w:b/>
                                      <w:spacing w:val="40"/>
                                      <w:sz w:val="9"/>
                                    </w:rPr>
                                    <w:t> </w:t>
                                  </w:r>
                                  <w:r>
                                    <w:rPr>
                                      <w:rFonts w:ascii="Arial"/>
                                      <w:b/>
                                      <w:spacing w:val="-2"/>
                                      <w:w w:val="95"/>
                                      <w:sz w:val="9"/>
                                    </w:rPr>
                                    <w:t>31.12.2025</w:t>
                                  </w:r>
                                </w:p>
                              </w:tc>
                              <w:tc>
                                <w:tcPr>
                                  <w:tcW w:w="2439" w:type="dxa"/>
                                  <w:gridSpan w:val="3"/>
                                  <w:shd w:val="clear" w:color="auto" w:fill="E7E6E6"/>
                                </w:tcPr>
                                <w:p>
                                  <w:pPr>
                                    <w:pStyle w:val="TableParagraph"/>
                                    <w:spacing w:before="33"/>
                                    <w:rPr>
                                      <w:sz w:val="9"/>
                                    </w:rPr>
                                  </w:pPr>
                                </w:p>
                                <w:p>
                                  <w:pPr>
                                    <w:pStyle w:val="TableParagraph"/>
                                    <w:ind w:left="756"/>
                                    <w:rPr>
                                      <w:rFonts w:ascii="Arial"/>
                                      <w:b/>
                                      <w:sz w:val="9"/>
                                    </w:rPr>
                                  </w:pPr>
                                  <w:r>
                                    <w:rPr>
                                      <w:rFonts w:ascii="Arial"/>
                                      <w:b/>
                                      <w:w w:val="80"/>
                                      <w:sz w:val="9"/>
                                    </w:rPr>
                                    <w:t>VARIACIONES</w:t>
                                  </w:r>
                                  <w:r>
                                    <w:rPr>
                                      <w:rFonts w:ascii="Arial"/>
                                      <w:b/>
                                      <w:spacing w:val="5"/>
                                      <w:sz w:val="9"/>
                                    </w:rPr>
                                    <w:t> </w:t>
                                  </w:r>
                                  <w:r>
                                    <w:rPr>
                                      <w:rFonts w:ascii="Arial"/>
                                      <w:b/>
                                      <w:w w:val="80"/>
                                      <w:sz w:val="9"/>
                                    </w:rPr>
                                    <w:t>A</w:t>
                                  </w:r>
                                  <w:r>
                                    <w:rPr>
                                      <w:rFonts w:ascii="Arial"/>
                                      <w:b/>
                                      <w:spacing w:val="4"/>
                                      <w:sz w:val="9"/>
                                    </w:rPr>
                                    <w:t> </w:t>
                                  </w:r>
                                  <w:r>
                                    <w:rPr>
                                      <w:rFonts w:ascii="Arial"/>
                                      <w:b/>
                                      <w:spacing w:val="-2"/>
                                      <w:w w:val="80"/>
                                      <w:sz w:val="9"/>
                                    </w:rPr>
                                    <w:t>31.07.26</w:t>
                                  </w:r>
                                </w:p>
                              </w:tc>
                              <w:tc>
                                <w:tcPr>
                                  <w:tcW w:w="804" w:type="dxa"/>
                                  <w:vMerge w:val="restart"/>
                                  <w:shd w:val="clear" w:color="auto" w:fill="E7E6E6"/>
                                </w:tcPr>
                                <w:p>
                                  <w:pPr>
                                    <w:pStyle w:val="TableParagraph"/>
                                    <w:spacing w:line="276" w:lineRule="auto" w:before="24"/>
                                    <w:ind w:left="47" w:right="43" w:firstLine="5"/>
                                    <w:jc w:val="center"/>
                                    <w:rPr>
                                      <w:rFonts w:ascii="Arial"/>
                                      <w:b/>
                                      <w:sz w:val="9"/>
                                    </w:rPr>
                                  </w:pPr>
                                  <w:r>
                                    <w:rPr>
                                      <w:rFonts w:ascii="Arial"/>
                                      <w:b/>
                                      <w:spacing w:val="-2"/>
                                      <w:w w:val="95"/>
                                      <w:sz w:val="9"/>
                                    </w:rPr>
                                    <w:t>SALDOS</w:t>
                                  </w:r>
                                  <w:r>
                                    <w:rPr>
                                      <w:rFonts w:ascii="Arial"/>
                                      <w:b/>
                                      <w:spacing w:val="40"/>
                                      <w:sz w:val="9"/>
                                    </w:rPr>
                                    <w:t> </w:t>
                                  </w:r>
                                  <w:r>
                                    <w:rPr>
                                      <w:rFonts w:ascii="Arial"/>
                                      <w:b/>
                                      <w:spacing w:val="-2"/>
                                      <w:w w:val="85"/>
                                      <w:sz w:val="9"/>
                                    </w:rPr>
                                    <w:t>ESTIM.INCOBR.</w:t>
                                  </w:r>
                                  <w:r>
                                    <w:rPr>
                                      <w:rFonts w:ascii="Arial"/>
                                      <w:b/>
                                      <w:spacing w:val="-5"/>
                                      <w:sz w:val="9"/>
                                    </w:rPr>
                                    <w:t> </w:t>
                                  </w:r>
                                  <w:r>
                                    <w:rPr>
                                      <w:rFonts w:ascii="Arial"/>
                                      <w:b/>
                                      <w:spacing w:val="-2"/>
                                      <w:w w:val="85"/>
                                      <w:sz w:val="9"/>
                                    </w:rPr>
                                    <w:t>AL</w:t>
                                  </w:r>
                                  <w:r>
                                    <w:rPr>
                                      <w:rFonts w:ascii="Arial"/>
                                      <w:b/>
                                      <w:spacing w:val="40"/>
                                      <w:sz w:val="9"/>
                                    </w:rPr>
                                    <w:t> </w:t>
                                  </w:r>
                                  <w:r>
                                    <w:rPr>
                                      <w:rFonts w:ascii="Arial"/>
                                      <w:b/>
                                      <w:spacing w:val="-2"/>
                                      <w:w w:val="95"/>
                                      <w:sz w:val="9"/>
                                    </w:rPr>
                                    <w:t>31.07.26</w:t>
                                  </w:r>
                                </w:p>
                              </w:tc>
                            </w:tr>
                            <w:tr>
                              <w:trPr>
                                <w:trHeight w:val="149" w:hRule="atLeast"/>
                              </w:trPr>
                              <w:tc>
                                <w:tcPr>
                                  <w:tcW w:w="561" w:type="dxa"/>
                                  <w:vMerge/>
                                  <w:tcBorders>
                                    <w:top w:val="nil"/>
                                  </w:tcBorders>
                                  <w:shd w:val="clear" w:color="auto" w:fill="E7E6E6"/>
                                </w:tcPr>
                                <w:p>
                                  <w:pPr>
                                    <w:rPr>
                                      <w:sz w:val="2"/>
                                      <w:szCs w:val="2"/>
                                    </w:rPr>
                                  </w:pPr>
                                </w:p>
                              </w:tc>
                              <w:tc>
                                <w:tcPr>
                                  <w:tcW w:w="1680" w:type="dxa"/>
                                  <w:vMerge/>
                                  <w:tcBorders>
                                    <w:top w:val="nil"/>
                                  </w:tcBorders>
                                  <w:shd w:val="clear" w:color="auto" w:fill="E7E6E6"/>
                                </w:tcPr>
                                <w:p>
                                  <w:pPr>
                                    <w:rPr>
                                      <w:sz w:val="2"/>
                                      <w:szCs w:val="2"/>
                                    </w:rPr>
                                  </w:pPr>
                                </w:p>
                              </w:tc>
                              <w:tc>
                                <w:tcPr>
                                  <w:tcW w:w="893" w:type="dxa"/>
                                  <w:vMerge/>
                                  <w:tcBorders>
                                    <w:top w:val="nil"/>
                                  </w:tcBorders>
                                  <w:shd w:val="clear" w:color="auto" w:fill="E7E6E6"/>
                                </w:tcPr>
                                <w:p>
                                  <w:pPr>
                                    <w:rPr>
                                      <w:sz w:val="2"/>
                                      <w:szCs w:val="2"/>
                                    </w:rPr>
                                  </w:pPr>
                                </w:p>
                              </w:tc>
                              <w:tc>
                                <w:tcPr>
                                  <w:tcW w:w="893" w:type="dxa"/>
                                  <w:vMerge/>
                                  <w:tcBorders>
                                    <w:top w:val="nil"/>
                                  </w:tcBorders>
                                  <w:shd w:val="clear" w:color="auto" w:fill="E7E6E6"/>
                                </w:tcPr>
                                <w:p>
                                  <w:pPr>
                                    <w:rPr>
                                      <w:sz w:val="2"/>
                                      <w:szCs w:val="2"/>
                                    </w:rPr>
                                  </w:pPr>
                                </w:p>
                              </w:tc>
                              <w:tc>
                                <w:tcPr>
                                  <w:tcW w:w="910" w:type="dxa"/>
                                  <w:shd w:val="clear" w:color="auto" w:fill="E7E6E6"/>
                                </w:tcPr>
                                <w:p>
                                  <w:pPr>
                                    <w:pStyle w:val="TableParagraph"/>
                                    <w:spacing w:line="115" w:lineRule="exact" w:before="14"/>
                                    <w:ind w:left="5"/>
                                    <w:jc w:val="center"/>
                                    <w:rPr>
                                      <w:rFonts w:ascii="Arial"/>
                                      <w:b/>
                                      <w:sz w:val="11"/>
                                    </w:rPr>
                                  </w:pPr>
                                  <w:r>
                                    <w:rPr>
                                      <w:rFonts w:ascii="Arial"/>
                                      <w:b/>
                                      <w:spacing w:val="-4"/>
                                      <w:w w:val="95"/>
                                      <w:sz w:val="11"/>
                                    </w:rPr>
                                    <w:t>DEBE</w:t>
                                  </w:r>
                                </w:p>
                              </w:tc>
                              <w:tc>
                                <w:tcPr>
                                  <w:tcW w:w="809" w:type="dxa"/>
                                  <w:shd w:val="clear" w:color="auto" w:fill="E7E6E6"/>
                                </w:tcPr>
                                <w:p>
                                  <w:pPr>
                                    <w:pStyle w:val="TableParagraph"/>
                                    <w:spacing w:line="115" w:lineRule="exact" w:before="14"/>
                                    <w:ind w:left="242"/>
                                    <w:rPr>
                                      <w:rFonts w:ascii="Arial"/>
                                      <w:b/>
                                      <w:sz w:val="11"/>
                                    </w:rPr>
                                  </w:pPr>
                                  <w:r>
                                    <w:rPr>
                                      <w:rFonts w:ascii="Arial"/>
                                      <w:b/>
                                      <w:spacing w:val="-4"/>
                                      <w:w w:val="95"/>
                                      <w:sz w:val="11"/>
                                    </w:rPr>
                                    <w:t>HABER</w:t>
                                  </w:r>
                                </w:p>
                              </w:tc>
                              <w:tc>
                                <w:tcPr>
                                  <w:tcW w:w="720" w:type="dxa"/>
                                  <w:shd w:val="clear" w:color="auto" w:fill="E7E6E6"/>
                                </w:tcPr>
                                <w:p>
                                  <w:pPr>
                                    <w:pStyle w:val="TableParagraph"/>
                                    <w:spacing w:line="115" w:lineRule="exact" w:before="14"/>
                                    <w:ind w:left="231"/>
                                    <w:rPr>
                                      <w:rFonts w:ascii="Arial"/>
                                      <w:b/>
                                      <w:sz w:val="11"/>
                                    </w:rPr>
                                  </w:pPr>
                                  <w:r>
                                    <w:rPr>
                                      <w:rFonts w:ascii="Arial"/>
                                      <w:b/>
                                      <w:spacing w:val="-4"/>
                                      <w:w w:val="95"/>
                                      <w:sz w:val="11"/>
                                    </w:rPr>
                                    <w:t>NETO</w:t>
                                  </w:r>
                                </w:p>
                              </w:tc>
                              <w:tc>
                                <w:tcPr>
                                  <w:tcW w:w="804" w:type="dxa"/>
                                  <w:vMerge/>
                                  <w:tcBorders>
                                    <w:top w:val="nil"/>
                                  </w:tcBorders>
                                  <w:shd w:val="clear" w:color="auto" w:fill="E7E6E6"/>
                                </w:tcPr>
                                <w:p>
                                  <w:pPr>
                                    <w:rPr>
                                      <w:sz w:val="2"/>
                                      <w:szCs w:val="2"/>
                                    </w:rPr>
                                  </w:pPr>
                                </w:p>
                              </w:tc>
                            </w:tr>
                            <w:tr>
                              <w:trPr>
                                <w:trHeight w:val="170" w:hRule="atLeast"/>
                              </w:trPr>
                              <w:tc>
                                <w:tcPr>
                                  <w:tcW w:w="561" w:type="dxa"/>
                                  <w:tcBorders>
                                    <w:bottom w:val="nil"/>
                                  </w:tcBorders>
                                  <w:shd w:val="clear" w:color="auto" w:fill="FFFFFF"/>
                                </w:tcPr>
                                <w:p>
                                  <w:pPr>
                                    <w:pStyle w:val="TableParagraph"/>
                                    <w:spacing w:before="39"/>
                                    <w:ind w:left="10"/>
                                    <w:jc w:val="center"/>
                                    <w:rPr>
                                      <w:rFonts w:ascii="Arial"/>
                                      <w:sz w:val="9"/>
                                    </w:rPr>
                                  </w:pPr>
                                  <w:r>
                                    <w:rPr>
                                      <w:rFonts w:ascii="Arial"/>
                                      <w:spacing w:val="-2"/>
                                      <w:w w:val="95"/>
                                      <w:sz w:val="9"/>
                                    </w:rPr>
                                    <w:t>1.2.3.99</w:t>
                                  </w:r>
                                </w:p>
                              </w:tc>
                              <w:tc>
                                <w:tcPr>
                                  <w:tcW w:w="1680" w:type="dxa"/>
                                  <w:tcBorders>
                                    <w:bottom w:val="nil"/>
                                  </w:tcBorders>
                                  <w:shd w:val="clear" w:color="auto" w:fill="FFFFFF"/>
                                </w:tcPr>
                                <w:p>
                                  <w:pPr>
                                    <w:pStyle w:val="TableParagraph"/>
                                    <w:spacing w:before="39"/>
                                    <w:ind w:left="11" w:right="-29"/>
                                    <w:jc w:val="center"/>
                                    <w:rPr>
                                      <w:rFonts w:ascii="Arial"/>
                                      <w:sz w:val="9"/>
                                    </w:rPr>
                                  </w:pPr>
                                  <w:r>
                                    <w:rPr>
                                      <w:rFonts w:ascii="Arial"/>
                                      <w:w w:val="80"/>
                                      <w:sz w:val="9"/>
                                    </w:rPr>
                                    <w:t>PREVISION</w:t>
                                  </w:r>
                                  <w:r>
                                    <w:rPr>
                                      <w:rFonts w:ascii="Arial"/>
                                      <w:spacing w:val="3"/>
                                      <w:sz w:val="9"/>
                                    </w:rPr>
                                    <w:t> </w:t>
                                  </w:r>
                                  <w:r>
                                    <w:rPr>
                                      <w:rFonts w:ascii="Arial"/>
                                      <w:w w:val="80"/>
                                      <w:sz w:val="9"/>
                                    </w:rPr>
                                    <w:t>DOC</w:t>
                                  </w:r>
                                  <w:r>
                                    <w:rPr>
                                      <w:rFonts w:ascii="Arial"/>
                                      <w:spacing w:val="8"/>
                                      <w:sz w:val="9"/>
                                    </w:rPr>
                                    <w:t> </w:t>
                                  </w:r>
                                  <w:r>
                                    <w:rPr>
                                      <w:rFonts w:ascii="Arial"/>
                                      <w:w w:val="80"/>
                                      <w:sz w:val="9"/>
                                    </w:rPr>
                                    <w:t>X</w:t>
                                  </w:r>
                                  <w:r>
                                    <w:rPr>
                                      <w:rFonts w:ascii="Arial"/>
                                      <w:spacing w:val="3"/>
                                      <w:sz w:val="9"/>
                                    </w:rPr>
                                    <w:t> </w:t>
                                  </w:r>
                                  <w:r>
                                    <w:rPr>
                                      <w:rFonts w:ascii="Arial"/>
                                      <w:w w:val="80"/>
                                      <w:sz w:val="9"/>
                                    </w:rPr>
                                    <w:t>COBRAR</w:t>
                                  </w:r>
                                  <w:r>
                                    <w:rPr>
                                      <w:rFonts w:ascii="Arial"/>
                                      <w:spacing w:val="8"/>
                                      <w:sz w:val="9"/>
                                    </w:rPr>
                                    <w:t> </w:t>
                                  </w:r>
                                  <w:r>
                                    <w:rPr>
                                      <w:rFonts w:ascii="Arial"/>
                                      <w:w w:val="80"/>
                                      <w:sz w:val="9"/>
                                    </w:rPr>
                                    <w:t>FRACCIONES</w:t>
                                  </w:r>
                                  <w:r>
                                    <w:rPr>
                                      <w:rFonts w:ascii="Arial"/>
                                      <w:spacing w:val="5"/>
                                      <w:sz w:val="9"/>
                                    </w:rPr>
                                    <w:t> </w:t>
                                  </w:r>
                                  <w:r>
                                    <w:rPr>
                                      <w:rFonts w:ascii="Arial"/>
                                      <w:spacing w:val="-5"/>
                                      <w:w w:val="80"/>
                                      <w:sz w:val="9"/>
                                    </w:rPr>
                                    <w:t>L.P</w:t>
                                  </w:r>
                                </w:p>
                              </w:tc>
                              <w:tc>
                                <w:tcPr>
                                  <w:tcW w:w="893" w:type="dxa"/>
                                  <w:tcBorders>
                                    <w:bottom w:val="nil"/>
                                  </w:tcBorders>
                                  <w:shd w:val="clear" w:color="auto" w:fill="FFFFFF"/>
                                </w:tcPr>
                                <w:p>
                                  <w:pPr>
                                    <w:pStyle w:val="TableParagraph"/>
                                    <w:spacing w:before="39"/>
                                    <w:ind w:left="11"/>
                                    <w:rPr>
                                      <w:rFonts w:ascii="Arial"/>
                                      <w:sz w:val="9"/>
                                    </w:rPr>
                                  </w:pPr>
                                  <w:r>
                                    <w:rPr>
                                      <w:rFonts w:ascii="Arial"/>
                                      <w:w w:val="80"/>
                                      <w:sz w:val="9"/>
                                    </w:rPr>
                                    <w:t>MOTELES</w:t>
                                  </w:r>
                                  <w:r>
                                    <w:rPr>
                                      <w:rFonts w:ascii="Arial"/>
                                      <w:spacing w:val="5"/>
                                      <w:sz w:val="9"/>
                                    </w:rPr>
                                    <w:t> </w:t>
                                  </w:r>
                                  <w:r>
                                    <w:rPr>
                                      <w:rFonts w:ascii="Arial"/>
                                      <w:spacing w:val="-5"/>
                                      <w:w w:val="95"/>
                                      <w:sz w:val="9"/>
                                    </w:rPr>
                                    <w:t>L.P</w:t>
                                  </w:r>
                                </w:p>
                              </w:tc>
                              <w:tc>
                                <w:tcPr>
                                  <w:tcW w:w="893" w:type="dxa"/>
                                  <w:tcBorders>
                                    <w:bottom w:val="nil"/>
                                  </w:tcBorders>
                                  <w:shd w:val="clear" w:color="auto" w:fill="FFFFFF"/>
                                </w:tcPr>
                                <w:p>
                                  <w:pPr>
                                    <w:pStyle w:val="TableParagraph"/>
                                    <w:spacing w:before="39"/>
                                    <w:ind w:right="23"/>
                                    <w:jc w:val="right"/>
                                    <w:rPr>
                                      <w:rFonts w:ascii="Arial"/>
                                      <w:sz w:val="9"/>
                                    </w:rPr>
                                  </w:pPr>
                                  <w:r>
                                    <w:rPr>
                                      <w:rFonts w:ascii="Arial"/>
                                      <w:w w:val="80"/>
                                      <w:sz w:val="9"/>
                                    </w:rPr>
                                    <w:t>164</w:t>
                                  </w:r>
                                  <w:r>
                                    <w:rPr>
                                      <w:rFonts w:ascii="Arial"/>
                                      <w:spacing w:val="-1"/>
                                      <w:sz w:val="9"/>
                                    </w:rPr>
                                    <w:t> </w:t>
                                  </w:r>
                                  <w:r>
                                    <w:rPr>
                                      <w:rFonts w:ascii="Arial"/>
                                      <w:spacing w:val="-2"/>
                                      <w:w w:val="95"/>
                                      <w:sz w:val="9"/>
                                    </w:rPr>
                                    <w:t>621,51</w:t>
                                  </w:r>
                                </w:p>
                              </w:tc>
                              <w:tc>
                                <w:tcPr>
                                  <w:tcW w:w="910" w:type="dxa"/>
                                  <w:tcBorders>
                                    <w:bottom w:val="nil"/>
                                  </w:tcBorders>
                                  <w:shd w:val="clear" w:color="auto" w:fill="FFFFFF"/>
                                </w:tcPr>
                                <w:p>
                                  <w:pPr>
                                    <w:pStyle w:val="TableParagraph"/>
                                    <w:spacing w:before="39"/>
                                    <w:ind w:right="1"/>
                                    <w:jc w:val="right"/>
                                    <w:rPr>
                                      <w:rFonts w:ascii="Arial"/>
                                      <w:sz w:val="9"/>
                                    </w:rPr>
                                  </w:pPr>
                                  <w:r>
                                    <w:rPr>
                                      <w:rFonts w:ascii="Arial"/>
                                      <w:w w:val="80"/>
                                      <w:sz w:val="9"/>
                                    </w:rPr>
                                    <w:t>130</w:t>
                                  </w:r>
                                  <w:r>
                                    <w:rPr>
                                      <w:rFonts w:ascii="Arial"/>
                                      <w:spacing w:val="-1"/>
                                      <w:sz w:val="9"/>
                                    </w:rPr>
                                    <w:t> </w:t>
                                  </w:r>
                                  <w:r>
                                    <w:rPr>
                                      <w:rFonts w:ascii="Arial"/>
                                      <w:spacing w:val="-2"/>
                                      <w:w w:val="95"/>
                                      <w:sz w:val="9"/>
                                    </w:rPr>
                                    <w:t>101,80</w:t>
                                  </w:r>
                                </w:p>
                              </w:tc>
                              <w:tc>
                                <w:tcPr>
                                  <w:tcW w:w="809" w:type="dxa"/>
                                  <w:tcBorders>
                                    <w:bottom w:val="nil"/>
                                  </w:tcBorders>
                                  <w:shd w:val="clear" w:color="auto" w:fill="FFFFFF"/>
                                </w:tcPr>
                                <w:p>
                                  <w:pPr>
                                    <w:pStyle w:val="TableParagraph"/>
                                    <w:spacing w:before="39"/>
                                    <w:ind w:right="1"/>
                                    <w:jc w:val="right"/>
                                    <w:rPr>
                                      <w:rFonts w:ascii="Arial"/>
                                      <w:sz w:val="9"/>
                                    </w:rPr>
                                  </w:pPr>
                                  <w:r>
                                    <w:rPr>
                                      <w:rFonts w:ascii="Arial"/>
                                      <w:w w:val="80"/>
                                      <w:sz w:val="9"/>
                                    </w:rPr>
                                    <w:t>50</w:t>
                                  </w:r>
                                  <w:r>
                                    <w:rPr>
                                      <w:rFonts w:ascii="Arial"/>
                                      <w:spacing w:val="-1"/>
                                      <w:w w:val="95"/>
                                      <w:sz w:val="9"/>
                                    </w:rPr>
                                    <w:t> </w:t>
                                  </w:r>
                                  <w:r>
                                    <w:rPr>
                                      <w:rFonts w:ascii="Arial"/>
                                      <w:spacing w:val="-2"/>
                                      <w:w w:val="95"/>
                                      <w:sz w:val="9"/>
                                    </w:rPr>
                                    <w:t>433,22</w:t>
                                  </w:r>
                                </w:p>
                              </w:tc>
                              <w:tc>
                                <w:tcPr>
                                  <w:tcW w:w="720" w:type="dxa"/>
                                  <w:tcBorders>
                                    <w:bottom w:val="nil"/>
                                  </w:tcBorders>
                                  <w:shd w:val="clear" w:color="auto" w:fill="FFFFFF"/>
                                </w:tcPr>
                                <w:p>
                                  <w:pPr>
                                    <w:pStyle w:val="TableParagraph"/>
                                    <w:spacing w:before="39"/>
                                    <w:ind w:right="1"/>
                                    <w:jc w:val="right"/>
                                    <w:rPr>
                                      <w:rFonts w:ascii="Arial"/>
                                      <w:sz w:val="9"/>
                                    </w:rPr>
                                  </w:pPr>
                                  <w:r>
                                    <w:rPr>
                                      <w:rFonts w:ascii="Arial"/>
                                      <w:w w:val="80"/>
                                      <w:sz w:val="9"/>
                                    </w:rPr>
                                    <w:t>-79</w:t>
                                  </w:r>
                                  <w:r>
                                    <w:rPr>
                                      <w:rFonts w:ascii="Arial"/>
                                      <w:spacing w:val="-3"/>
                                      <w:sz w:val="9"/>
                                    </w:rPr>
                                    <w:t> </w:t>
                                  </w:r>
                                  <w:r>
                                    <w:rPr>
                                      <w:rFonts w:ascii="Arial"/>
                                      <w:spacing w:val="-2"/>
                                      <w:w w:val="80"/>
                                      <w:sz w:val="9"/>
                                    </w:rPr>
                                    <w:t>668,58</w:t>
                                  </w:r>
                                </w:p>
                              </w:tc>
                              <w:tc>
                                <w:tcPr>
                                  <w:tcW w:w="804" w:type="dxa"/>
                                  <w:tcBorders>
                                    <w:bottom w:val="nil"/>
                                  </w:tcBorders>
                                  <w:shd w:val="clear" w:color="auto" w:fill="FFFFFF"/>
                                </w:tcPr>
                                <w:p>
                                  <w:pPr>
                                    <w:pStyle w:val="TableParagraph"/>
                                    <w:spacing w:before="39"/>
                                    <w:ind w:right="24"/>
                                    <w:jc w:val="right"/>
                                    <w:rPr>
                                      <w:rFonts w:ascii="Arial"/>
                                      <w:sz w:val="9"/>
                                    </w:rPr>
                                  </w:pPr>
                                  <w:r>
                                    <w:rPr>
                                      <w:rFonts w:ascii="Arial"/>
                                      <w:w w:val="80"/>
                                      <w:sz w:val="9"/>
                                    </w:rPr>
                                    <w:t>84</w:t>
                                  </w:r>
                                  <w:r>
                                    <w:rPr>
                                      <w:rFonts w:ascii="Arial"/>
                                      <w:spacing w:val="-1"/>
                                      <w:w w:val="95"/>
                                      <w:sz w:val="9"/>
                                    </w:rPr>
                                    <w:t> </w:t>
                                  </w:r>
                                  <w:r>
                                    <w:rPr>
                                      <w:rFonts w:ascii="Arial"/>
                                      <w:spacing w:val="-2"/>
                                      <w:w w:val="95"/>
                                      <w:sz w:val="9"/>
                                    </w:rPr>
                                    <w:t>952,93</w:t>
                                  </w:r>
                                </w:p>
                              </w:tc>
                            </w:tr>
                            <w:tr>
                              <w:trPr>
                                <w:trHeight w:val="135" w:hRule="atLeast"/>
                              </w:trPr>
                              <w:tc>
                                <w:tcPr>
                                  <w:tcW w:w="561" w:type="dxa"/>
                                  <w:tcBorders>
                                    <w:top w:val="nil"/>
                                  </w:tcBorders>
                                  <w:shd w:val="clear" w:color="auto" w:fill="FFFFFF"/>
                                </w:tcPr>
                                <w:p>
                                  <w:pPr>
                                    <w:pStyle w:val="TableParagraph"/>
                                    <w:spacing w:line="90" w:lineRule="exact" w:before="25"/>
                                    <w:ind w:left="10"/>
                                    <w:jc w:val="center"/>
                                    <w:rPr>
                                      <w:rFonts w:ascii="Arial"/>
                                      <w:sz w:val="9"/>
                                    </w:rPr>
                                  </w:pPr>
                                  <w:r>
                                    <w:rPr>
                                      <w:rFonts w:ascii="Arial"/>
                                      <w:spacing w:val="-2"/>
                                      <w:w w:val="95"/>
                                      <w:sz w:val="9"/>
                                    </w:rPr>
                                    <w:t>1.2.3.99</w:t>
                                  </w:r>
                                </w:p>
                              </w:tc>
                              <w:tc>
                                <w:tcPr>
                                  <w:tcW w:w="1680" w:type="dxa"/>
                                  <w:tcBorders>
                                    <w:top w:val="nil"/>
                                  </w:tcBorders>
                                  <w:shd w:val="clear" w:color="auto" w:fill="FFFFFF"/>
                                </w:tcPr>
                                <w:p>
                                  <w:pPr>
                                    <w:pStyle w:val="TableParagraph"/>
                                    <w:spacing w:line="90" w:lineRule="exact" w:before="25"/>
                                    <w:ind w:right="63"/>
                                    <w:jc w:val="center"/>
                                    <w:rPr>
                                      <w:rFonts w:ascii="Arial"/>
                                      <w:sz w:val="9"/>
                                    </w:rPr>
                                  </w:pPr>
                                  <w:r>
                                    <w:rPr>
                                      <w:rFonts w:ascii="Arial"/>
                                      <w:w w:val="80"/>
                                      <w:sz w:val="9"/>
                                    </w:rPr>
                                    <w:t>PREVISION</w:t>
                                  </w:r>
                                  <w:r>
                                    <w:rPr>
                                      <w:rFonts w:ascii="Arial"/>
                                      <w:spacing w:val="2"/>
                                      <w:sz w:val="9"/>
                                    </w:rPr>
                                    <w:t> </w:t>
                                  </w:r>
                                  <w:r>
                                    <w:rPr>
                                      <w:rFonts w:ascii="Arial"/>
                                      <w:w w:val="80"/>
                                      <w:sz w:val="9"/>
                                    </w:rPr>
                                    <w:t>DOC.</w:t>
                                  </w:r>
                                  <w:r>
                                    <w:rPr>
                                      <w:rFonts w:ascii="Arial"/>
                                      <w:spacing w:val="7"/>
                                      <w:sz w:val="9"/>
                                    </w:rPr>
                                    <w:t> </w:t>
                                  </w:r>
                                  <w:r>
                                    <w:rPr>
                                      <w:rFonts w:ascii="Arial"/>
                                      <w:w w:val="80"/>
                                      <w:sz w:val="9"/>
                                    </w:rPr>
                                    <w:t>BIENES</w:t>
                                  </w:r>
                                  <w:r>
                                    <w:rPr>
                                      <w:rFonts w:ascii="Arial"/>
                                      <w:spacing w:val="4"/>
                                      <w:sz w:val="9"/>
                                    </w:rPr>
                                    <w:t> </w:t>
                                  </w:r>
                                  <w:r>
                                    <w:rPr>
                                      <w:rFonts w:ascii="Arial"/>
                                      <w:w w:val="80"/>
                                      <w:sz w:val="9"/>
                                    </w:rPr>
                                    <w:t>Y</w:t>
                                  </w:r>
                                  <w:r>
                                    <w:rPr>
                                      <w:rFonts w:ascii="Arial"/>
                                      <w:spacing w:val="5"/>
                                      <w:sz w:val="9"/>
                                    </w:rPr>
                                    <w:t> </w:t>
                                  </w:r>
                                  <w:r>
                                    <w:rPr>
                                      <w:rFonts w:ascii="Arial"/>
                                      <w:w w:val="80"/>
                                      <w:sz w:val="9"/>
                                    </w:rPr>
                                    <w:t>SERVICIOS</w:t>
                                  </w:r>
                                  <w:r>
                                    <w:rPr>
                                      <w:rFonts w:ascii="Arial"/>
                                      <w:spacing w:val="4"/>
                                      <w:sz w:val="9"/>
                                    </w:rPr>
                                    <w:t> </w:t>
                                  </w:r>
                                  <w:r>
                                    <w:rPr>
                                      <w:rFonts w:ascii="Arial"/>
                                      <w:spacing w:val="-4"/>
                                      <w:w w:val="80"/>
                                      <w:sz w:val="9"/>
                                    </w:rPr>
                                    <w:t>L.P.</w:t>
                                  </w:r>
                                </w:p>
                              </w:tc>
                              <w:tc>
                                <w:tcPr>
                                  <w:tcW w:w="893" w:type="dxa"/>
                                  <w:tcBorders>
                                    <w:top w:val="nil"/>
                                  </w:tcBorders>
                                  <w:shd w:val="clear" w:color="auto" w:fill="FFFFFF"/>
                                </w:tcPr>
                                <w:p>
                                  <w:pPr>
                                    <w:pStyle w:val="TableParagraph"/>
                                    <w:spacing w:line="90" w:lineRule="exact" w:before="25"/>
                                    <w:ind w:left="11"/>
                                    <w:rPr>
                                      <w:rFonts w:ascii="Arial"/>
                                      <w:sz w:val="9"/>
                                    </w:rPr>
                                  </w:pPr>
                                  <w:r>
                                    <w:rPr>
                                      <w:rFonts w:ascii="Arial"/>
                                      <w:w w:val="80"/>
                                      <w:sz w:val="9"/>
                                    </w:rPr>
                                    <w:t>BENEFICIARIOS</w:t>
                                  </w:r>
                                  <w:r>
                                    <w:rPr>
                                      <w:rFonts w:ascii="Arial"/>
                                      <w:spacing w:val="17"/>
                                      <w:sz w:val="9"/>
                                    </w:rPr>
                                    <w:t> </w:t>
                                  </w:r>
                                  <w:r>
                                    <w:rPr>
                                      <w:rFonts w:ascii="Arial"/>
                                      <w:spacing w:val="-4"/>
                                      <w:w w:val="95"/>
                                      <w:sz w:val="9"/>
                                    </w:rPr>
                                    <w:t>L.P.</w:t>
                                  </w:r>
                                </w:p>
                              </w:tc>
                              <w:tc>
                                <w:tcPr>
                                  <w:tcW w:w="893" w:type="dxa"/>
                                  <w:tcBorders>
                                    <w:top w:val="nil"/>
                                  </w:tcBorders>
                                  <w:shd w:val="clear" w:color="auto" w:fill="FFFFFF"/>
                                </w:tcPr>
                                <w:p>
                                  <w:pPr>
                                    <w:pStyle w:val="TableParagraph"/>
                                    <w:spacing w:line="90" w:lineRule="exact" w:before="25"/>
                                    <w:ind w:right="23"/>
                                    <w:jc w:val="right"/>
                                    <w:rPr>
                                      <w:rFonts w:ascii="Arial"/>
                                      <w:sz w:val="9"/>
                                    </w:rPr>
                                  </w:pPr>
                                  <w:r>
                                    <w:rPr>
                                      <w:rFonts w:ascii="Arial"/>
                                      <w:w w:val="80"/>
                                      <w:sz w:val="9"/>
                                    </w:rPr>
                                    <w:t>456</w:t>
                                  </w:r>
                                  <w:r>
                                    <w:rPr>
                                      <w:rFonts w:ascii="Arial"/>
                                      <w:spacing w:val="-1"/>
                                      <w:sz w:val="9"/>
                                    </w:rPr>
                                    <w:t> </w:t>
                                  </w:r>
                                  <w:r>
                                    <w:rPr>
                                      <w:rFonts w:ascii="Arial"/>
                                      <w:spacing w:val="-2"/>
                                      <w:w w:val="95"/>
                                      <w:sz w:val="9"/>
                                    </w:rPr>
                                    <w:t>162,69</w:t>
                                  </w:r>
                                </w:p>
                              </w:tc>
                              <w:tc>
                                <w:tcPr>
                                  <w:tcW w:w="910" w:type="dxa"/>
                                  <w:tcBorders>
                                    <w:top w:val="nil"/>
                                  </w:tcBorders>
                                  <w:shd w:val="clear" w:color="auto" w:fill="FFFFFF"/>
                                </w:tcPr>
                                <w:p>
                                  <w:pPr>
                                    <w:pStyle w:val="TableParagraph"/>
                                    <w:spacing w:line="90" w:lineRule="exact" w:before="25"/>
                                    <w:ind w:right="1"/>
                                    <w:jc w:val="right"/>
                                    <w:rPr>
                                      <w:rFonts w:ascii="Arial"/>
                                      <w:sz w:val="9"/>
                                    </w:rPr>
                                  </w:pPr>
                                  <w:r>
                                    <w:rPr>
                                      <w:rFonts w:ascii="Arial"/>
                                      <w:w w:val="85"/>
                                      <w:sz w:val="9"/>
                                    </w:rPr>
                                    <w:t>4</w:t>
                                  </w:r>
                                  <w:r>
                                    <w:rPr>
                                      <w:rFonts w:ascii="Arial"/>
                                      <w:spacing w:val="-1"/>
                                      <w:w w:val="85"/>
                                      <w:sz w:val="9"/>
                                    </w:rPr>
                                    <w:t> </w:t>
                                  </w:r>
                                  <w:r>
                                    <w:rPr>
                                      <w:rFonts w:ascii="Arial"/>
                                      <w:spacing w:val="-2"/>
                                      <w:w w:val="95"/>
                                      <w:sz w:val="9"/>
                                    </w:rPr>
                                    <w:t>025,70</w:t>
                                  </w:r>
                                </w:p>
                              </w:tc>
                              <w:tc>
                                <w:tcPr>
                                  <w:tcW w:w="809" w:type="dxa"/>
                                  <w:tcBorders>
                                    <w:top w:val="nil"/>
                                  </w:tcBorders>
                                  <w:shd w:val="clear" w:color="auto" w:fill="FFFFFF"/>
                                </w:tcPr>
                                <w:p>
                                  <w:pPr>
                                    <w:pStyle w:val="TableParagraph"/>
                                    <w:spacing w:line="90" w:lineRule="exact" w:before="25"/>
                                    <w:ind w:right="1"/>
                                    <w:jc w:val="right"/>
                                    <w:rPr>
                                      <w:rFonts w:ascii="Arial"/>
                                      <w:sz w:val="9"/>
                                    </w:rPr>
                                  </w:pPr>
                                  <w:r>
                                    <w:rPr>
                                      <w:rFonts w:ascii="Arial"/>
                                      <w:spacing w:val="-2"/>
                                      <w:w w:val="95"/>
                                      <w:sz w:val="9"/>
                                    </w:rPr>
                                    <w:t>562,20</w:t>
                                  </w:r>
                                </w:p>
                              </w:tc>
                              <w:tc>
                                <w:tcPr>
                                  <w:tcW w:w="720" w:type="dxa"/>
                                  <w:tcBorders>
                                    <w:top w:val="nil"/>
                                  </w:tcBorders>
                                  <w:shd w:val="clear" w:color="auto" w:fill="FFFFFF"/>
                                </w:tcPr>
                                <w:p>
                                  <w:pPr>
                                    <w:pStyle w:val="TableParagraph"/>
                                    <w:spacing w:line="90" w:lineRule="exact" w:before="25"/>
                                    <w:ind w:right="1"/>
                                    <w:jc w:val="right"/>
                                    <w:rPr>
                                      <w:rFonts w:ascii="Arial"/>
                                      <w:sz w:val="9"/>
                                    </w:rPr>
                                  </w:pPr>
                                  <w:r>
                                    <w:rPr>
                                      <w:rFonts w:ascii="Arial"/>
                                      <w:w w:val="85"/>
                                      <w:sz w:val="9"/>
                                    </w:rPr>
                                    <w:t>-3</w:t>
                                  </w:r>
                                  <w:r>
                                    <w:rPr>
                                      <w:rFonts w:ascii="Arial"/>
                                      <w:spacing w:val="-2"/>
                                      <w:w w:val="85"/>
                                      <w:sz w:val="9"/>
                                    </w:rPr>
                                    <w:t> 463,50</w:t>
                                  </w:r>
                                </w:p>
                              </w:tc>
                              <w:tc>
                                <w:tcPr>
                                  <w:tcW w:w="804" w:type="dxa"/>
                                  <w:tcBorders>
                                    <w:top w:val="nil"/>
                                  </w:tcBorders>
                                  <w:shd w:val="clear" w:color="auto" w:fill="FFFFFF"/>
                                </w:tcPr>
                                <w:p>
                                  <w:pPr>
                                    <w:pStyle w:val="TableParagraph"/>
                                    <w:spacing w:line="90" w:lineRule="exact" w:before="25"/>
                                    <w:ind w:right="24"/>
                                    <w:jc w:val="right"/>
                                    <w:rPr>
                                      <w:rFonts w:ascii="Arial"/>
                                      <w:sz w:val="9"/>
                                    </w:rPr>
                                  </w:pPr>
                                  <w:r>
                                    <w:rPr>
                                      <w:rFonts w:ascii="Arial"/>
                                      <w:w w:val="80"/>
                                      <w:sz w:val="9"/>
                                    </w:rPr>
                                    <w:t>452</w:t>
                                  </w:r>
                                  <w:r>
                                    <w:rPr>
                                      <w:rFonts w:ascii="Arial"/>
                                      <w:spacing w:val="-1"/>
                                      <w:sz w:val="9"/>
                                    </w:rPr>
                                    <w:t> </w:t>
                                  </w:r>
                                  <w:r>
                                    <w:rPr>
                                      <w:rFonts w:ascii="Arial"/>
                                      <w:spacing w:val="-2"/>
                                      <w:w w:val="95"/>
                                      <w:sz w:val="9"/>
                                    </w:rPr>
                                    <w:t>699,19</w:t>
                                  </w:r>
                                </w:p>
                              </w:tc>
                            </w:tr>
                            <w:tr>
                              <w:trPr>
                                <w:trHeight w:val="199" w:hRule="atLeast"/>
                              </w:trPr>
                              <w:tc>
                                <w:tcPr>
                                  <w:tcW w:w="561" w:type="dxa"/>
                                  <w:shd w:val="clear" w:color="auto" w:fill="E7E6E6"/>
                                </w:tcPr>
                                <w:p>
                                  <w:pPr>
                                    <w:pStyle w:val="TableParagraph"/>
                                    <w:rPr>
                                      <w:rFonts w:ascii="Times New Roman"/>
                                      <w:sz w:val="12"/>
                                    </w:rPr>
                                  </w:pPr>
                                </w:p>
                              </w:tc>
                              <w:tc>
                                <w:tcPr>
                                  <w:tcW w:w="1680" w:type="dxa"/>
                                  <w:shd w:val="clear" w:color="auto" w:fill="E7E6E6"/>
                                </w:tcPr>
                                <w:p>
                                  <w:pPr>
                                    <w:pStyle w:val="TableParagraph"/>
                                    <w:spacing w:line="109" w:lineRule="exact" w:before="71"/>
                                    <w:ind w:left="11"/>
                                    <w:jc w:val="center"/>
                                    <w:rPr>
                                      <w:rFonts w:ascii="Arial" w:hAnsi="Arial"/>
                                      <w:b/>
                                      <w:sz w:val="11"/>
                                    </w:rPr>
                                  </w:pPr>
                                  <w:r>
                                    <w:rPr>
                                      <w:rFonts w:ascii="Arial" w:hAnsi="Arial"/>
                                      <w:b/>
                                      <w:w w:val="80"/>
                                      <w:sz w:val="11"/>
                                    </w:rPr>
                                    <w:t>TOTAL</w:t>
                                  </w:r>
                                  <w:r>
                                    <w:rPr>
                                      <w:rFonts w:ascii="Arial" w:hAnsi="Arial"/>
                                      <w:b/>
                                      <w:spacing w:val="3"/>
                                      <w:sz w:val="11"/>
                                    </w:rPr>
                                    <w:t> </w:t>
                                  </w:r>
                                  <w:r>
                                    <w:rPr>
                                      <w:rFonts w:ascii="Arial" w:hAnsi="Arial"/>
                                      <w:b/>
                                      <w:w w:val="80"/>
                                      <w:sz w:val="11"/>
                                    </w:rPr>
                                    <w:t>PREVISIÓN</w:t>
                                  </w:r>
                                  <w:r>
                                    <w:rPr>
                                      <w:rFonts w:ascii="Arial" w:hAnsi="Arial"/>
                                      <w:b/>
                                      <w:sz w:val="11"/>
                                    </w:rPr>
                                    <w:t> </w:t>
                                  </w:r>
                                  <w:r>
                                    <w:rPr>
                                      <w:rFonts w:ascii="Arial" w:hAnsi="Arial"/>
                                      <w:b/>
                                      <w:spacing w:val="-4"/>
                                      <w:w w:val="80"/>
                                      <w:sz w:val="11"/>
                                    </w:rPr>
                                    <w:t>L.P.</w:t>
                                  </w:r>
                                </w:p>
                              </w:tc>
                              <w:tc>
                                <w:tcPr>
                                  <w:tcW w:w="893" w:type="dxa"/>
                                  <w:shd w:val="clear" w:color="auto" w:fill="E7E6E6"/>
                                </w:tcPr>
                                <w:p>
                                  <w:pPr>
                                    <w:pStyle w:val="TableParagraph"/>
                                    <w:rPr>
                                      <w:rFonts w:ascii="Times New Roman"/>
                                      <w:sz w:val="12"/>
                                    </w:rPr>
                                  </w:pPr>
                                </w:p>
                              </w:tc>
                              <w:tc>
                                <w:tcPr>
                                  <w:tcW w:w="893" w:type="dxa"/>
                                  <w:shd w:val="clear" w:color="auto" w:fill="E7E6E6"/>
                                </w:tcPr>
                                <w:p>
                                  <w:pPr>
                                    <w:pStyle w:val="TableParagraph"/>
                                    <w:spacing w:line="90" w:lineRule="exact" w:before="90"/>
                                    <w:ind w:right="23"/>
                                    <w:jc w:val="right"/>
                                    <w:rPr>
                                      <w:rFonts w:ascii="Arial"/>
                                      <w:b/>
                                      <w:sz w:val="9"/>
                                    </w:rPr>
                                  </w:pPr>
                                  <w:r>
                                    <w:rPr>
                                      <w:rFonts w:ascii="Arial"/>
                                      <w:b/>
                                      <w:w w:val="80"/>
                                      <w:sz w:val="9"/>
                                    </w:rPr>
                                    <w:t>620</w:t>
                                  </w:r>
                                  <w:r>
                                    <w:rPr>
                                      <w:rFonts w:ascii="Arial"/>
                                      <w:b/>
                                      <w:spacing w:val="-1"/>
                                      <w:sz w:val="9"/>
                                    </w:rPr>
                                    <w:t> </w:t>
                                  </w:r>
                                  <w:r>
                                    <w:rPr>
                                      <w:rFonts w:ascii="Arial"/>
                                      <w:b/>
                                      <w:spacing w:val="-2"/>
                                      <w:w w:val="95"/>
                                      <w:sz w:val="9"/>
                                    </w:rPr>
                                    <w:t>784,20</w:t>
                                  </w:r>
                                </w:p>
                              </w:tc>
                              <w:tc>
                                <w:tcPr>
                                  <w:tcW w:w="910" w:type="dxa"/>
                                  <w:shd w:val="clear" w:color="auto" w:fill="E7E6E6"/>
                                </w:tcPr>
                                <w:p>
                                  <w:pPr>
                                    <w:pStyle w:val="TableParagraph"/>
                                    <w:spacing w:line="90" w:lineRule="exact" w:before="90"/>
                                    <w:ind w:right="24"/>
                                    <w:jc w:val="right"/>
                                    <w:rPr>
                                      <w:rFonts w:ascii="Arial"/>
                                      <w:b/>
                                      <w:sz w:val="9"/>
                                    </w:rPr>
                                  </w:pPr>
                                  <w:r>
                                    <w:rPr>
                                      <w:rFonts w:ascii="Arial"/>
                                      <w:b/>
                                      <w:w w:val="80"/>
                                      <w:sz w:val="9"/>
                                    </w:rPr>
                                    <w:t>134</w:t>
                                  </w:r>
                                  <w:r>
                                    <w:rPr>
                                      <w:rFonts w:ascii="Arial"/>
                                      <w:b/>
                                      <w:spacing w:val="-1"/>
                                      <w:sz w:val="9"/>
                                    </w:rPr>
                                    <w:t> </w:t>
                                  </w:r>
                                  <w:r>
                                    <w:rPr>
                                      <w:rFonts w:ascii="Arial"/>
                                      <w:b/>
                                      <w:spacing w:val="-2"/>
                                      <w:w w:val="95"/>
                                      <w:sz w:val="9"/>
                                    </w:rPr>
                                    <w:t>127,50</w:t>
                                  </w:r>
                                </w:p>
                              </w:tc>
                              <w:tc>
                                <w:tcPr>
                                  <w:tcW w:w="809" w:type="dxa"/>
                                  <w:shd w:val="clear" w:color="auto" w:fill="E7E6E6"/>
                                </w:tcPr>
                                <w:p>
                                  <w:pPr>
                                    <w:pStyle w:val="TableParagraph"/>
                                    <w:spacing w:line="90" w:lineRule="exact" w:before="90"/>
                                    <w:ind w:right="23"/>
                                    <w:jc w:val="right"/>
                                    <w:rPr>
                                      <w:rFonts w:ascii="Arial"/>
                                      <w:b/>
                                      <w:sz w:val="9"/>
                                    </w:rPr>
                                  </w:pPr>
                                  <w:r>
                                    <w:rPr>
                                      <w:rFonts w:ascii="Arial"/>
                                      <w:b/>
                                      <w:w w:val="80"/>
                                      <w:sz w:val="9"/>
                                    </w:rPr>
                                    <w:t>50</w:t>
                                  </w:r>
                                  <w:r>
                                    <w:rPr>
                                      <w:rFonts w:ascii="Arial"/>
                                      <w:b/>
                                      <w:spacing w:val="-1"/>
                                      <w:w w:val="95"/>
                                      <w:sz w:val="9"/>
                                    </w:rPr>
                                    <w:t> </w:t>
                                  </w:r>
                                  <w:r>
                                    <w:rPr>
                                      <w:rFonts w:ascii="Arial"/>
                                      <w:b/>
                                      <w:spacing w:val="-2"/>
                                      <w:w w:val="95"/>
                                      <w:sz w:val="9"/>
                                    </w:rPr>
                                    <w:t>995,42</w:t>
                                  </w:r>
                                </w:p>
                              </w:tc>
                              <w:tc>
                                <w:tcPr>
                                  <w:tcW w:w="720" w:type="dxa"/>
                                  <w:shd w:val="clear" w:color="auto" w:fill="E7E6E6"/>
                                </w:tcPr>
                                <w:p>
                                  <w:pPr>
                                    <w:pStyle w:val="TableParagraph"/>
                                    <w:spacing w:line="90" w:lineRule="exact" w:before="90"/>
                                    <w:ind w:right="1"/>
                                    <w:jc w:val="right"/>
                                    <w:rPr>
                                      <w:rFonts w:ascii="Arial"/>
                                      <w:sz w:val="9"/>
                                    </w:rPr>
                                  </w:pPr>
                                  <w:r>
                                    <w:rPr>
                                      <w:rFonts w:ascii="Arial"/>
                                      <w:w w:val="80"/>
                                      <w:sz w:val="9"/>
                                    </w:rPr>
                                    <w:t>-83</w:t>
                                  </w:r>
                                  <w:r>
                                    <w:rPr>
                                      <w:rFonts w:ascii="Arial"/>
                                      <w:spacing w:val="-3"/>
                                      <w:sz w:val="9"/>
                                    </w:rPr>
                                    <w:t> </w:t>
                                  </w:r>
                                  <w:r>
                                    <w:rPr>
                                      <w:rFonts w:ascii="Arial"/>
                                      <w:spacing w:val="-2"/>
                                      <w:w w:val="80"/>
                                      <w:sz w:val="9"/>
                                    </w:rPr>
                                    <w:t>132,08</w:t>
                                  </w:r>
                                </w:p>
                              </w:tc>
                              <w:tc>
                                <w:tcPr>
                                  <w:tcW w:w="804" w:type="dxa"/>
                                  <w:shd w:val="clear" w:color="auto" w:fill="E7E6E6"/>
                                </w:tcPr>
                                <w:p>
                                  <w:pPr>
                                    <w:pStyle w:val="TableParagraph"/>
                                    <w:spacing w:line="90" w:lineRule="exact" w:before="90"/>
                                    <w:ind w:right="24"/>
                                    <w:jc w:val="right"/>
                                    <w:rPr>
                                      <w:rFonts w:ascii="Arial"/>
                                      <w:b/>
                                      <w:sz w:val="9"/>
                                    </w:rPr>
                                  </w:pPr>
                                  <w:r>
                                    <w:rPr>
                                      <w:rFonts w:ascii="Arial"/>
                                      <w:b/>
                                      <w:w w:val="80"/>
                                      <w:sz w:val="9"/>
                                    </w:rPr>
                                    <w:t>537</w:t>
                                  </w:r>
                                  <w:r>
                                    <w:rPr>
                                      <w:rFonts w:ascii="Arial"/>
                                      <w:b/>
                                      <w:spacing w:val="-1"/>
                                      <w:sz w:val="9"/>
                                    </w:rPr>
                                    <w:t> </w:t>
                                  </w:r>
                                  <w:r>
                                    <w:rPr>
                                      <w:rFonts w:ascii="Arial"/>
                                      <w:b/>
                                      <w:spacing w:val="-2"/>
                                      <w:w w:val="95"/>
                                      <w:sz w:val="9"/>
                                    </w:rPr>
                                    <w:t>652,12</w:t>
                                  </w:r>
                                </w:p>
                              </w:tc>
                            </w:tr>
                          </w:tbl>
                          <w:p>
                            <w:pPr>
                              <w:pStyle w:val="BodyText"/>
                            </w:pPr>
                          </w:p>
                        </w:txbxContent>
                      </wps:txbx>
                      <wps:bodyPr wrap="square" lIns="0" tIns="0" rIns="0" bIns="0" rtlCol="0">
                        <a:noAutofit/>
                      </wps:bodyPr>
                    </wps:wsp>
                  </a:graphicData>
                </a:graphic>
              </wp:anchor>
            </w:drawing>
          </mc:Choice>
          <mc:Fallback>
            <w:pict>
              <v:shape style="position:absolute;margin-left:125.060509pt;margin-top:125.349304pt;width:369.8pt;height:75.1pt;mso-position-horizontal-relative:page;mso-position-vertical-relative:paragraph;z-index:15777280" type="#_x0000_t202" id="docshape29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1"/>
                        <w:gridCol w:w="1680"/>
                        <w:gridCol w:w="893"/>
                        <w:gridCol w:w="893"/>
                        <w:gridCol w:w="910"/>
                        <w:gridCol w:w="809"/>
                        <w:gridCol w:w="720"/>
                        <w:gridCol w:w="804"/>
                      </w:tblGrid>
                      <w:tr>
                        <w:trPr>
                          <w:trHeight w:val="410" w:hRule="atLeast"/>
                        </w:trPr>
                        <w:tc>
                          <w:tcPr>
                            <w:tcW w:w="7270" w:type="dxa"/>
                            <w:gridSpan w:val="8"/>
                            <w:shd w:val="clear" w:color="auto" w:fill="E7E6E6"/>
                          </w:tcPr>
                          <w:p>
                            <w:pPr>
                              <w:pStyle w:val="TableParagraph"/>
                              <w:spacing w:line="206" w:lineRule="exact"/>
                              <w:ind w:left="2665" w:right="1826" w:hanging="832"/>
                              <w:rPr>
                                <w:rFonts w:ascii="Arial" w:hAnsi="Arial"/>
                                <w:b/>
                                <w:sz w:val="11"/>
                              </w:rPr>
                            </w:pPr>
                            <w:r>
                              <w:rPr>
                                <w:rFonts w:ascii="Arial" w:hAnsi="Arial"/>
                                <w:b/>
                                <w:w w:val="80"/>
                                <w:sz w:val="11"/>
                              </w:rPr>
                              <w:t>CONCILIACIÓN DE LAS VARIACIONES DE LAS ESTIMACIONES DE INCOBRABLES</w:t>
                            </w:r>
                            <w:r>
                              <w:rPr>
                                <w:rFonts w:ascii="Arial" w:hAnsi="Arial"/>
                                <w:b/>
                                <w:spacing w:val="40"/>
                                <w:sz w:val="11"/>
                              </w:rPr>
                              <w:t> </w:t>
                            </w:r>
                            <w:r>
                              <w:rPr>
                                <w:rFonts w:ascii="Arial" w:hAnsi="Arial"/>
                                <w:b/>
                                <w:w w:val="85"/>
                                <w:sz w:val="11"/>
                              </w:rPr>
                              <w:t>DE LAS CUENTAS POR COBRAR AL 31.07.26</w:t>
                            </w:r>
                          </w:p>
                        </w:tc>
                      </w:tr>
                      <w:tr>
                        <w:trPr>
                          <w:trHeight w:val="377" w:hRule="atLeast"/>
                        </w:trPr>
                        <w:tc>
                          <w:tcPr>
                            <w:tcW w:w="561" w:type="dxa"/>
                            <w:vMerge w:val="restart"/>
                            <w:shd w:val="clear" w:color="auto" w:fill="E7E6E6"/>
                          </w:tcPr>
                          <w:p>
                            <w:pPr>
                              <w:pStyle w:val="TableParagraph"/>
                              <w:spacing w:before="39"/>
                              <w:rPr>
                                <w:sz w:val="9"/>
                              </w:rPr>
                            </w:pPr>
                          </w:p>
                          <w:p>
                            <w:pPr>
                              <w:pStyle w:val="TableParagraph"/>
                              <w:spacing w:line="276" w:lineRule="auto"/>
                              <w:ind w:left="64" w:firstLine="53"/>
                              <w:rPr>
                                <w:rFonts w:ascii="Arial"/>
                                <w:b/>
                                <w:sz w:val="9"/>
                              </w:rPr>
                            </w:pPr>
                            <w:r>
                              <w:rPr>
                                <w:rFonts w:ascii="Arial"/>
                                <w:b/>
                                <w:spacing w:val="-2"/>
                                <w:w w:val="95"/>
                                <w:sz w:val="9"/>
                              </w:rPr>
                              <w:t>CUENTA</w:t>
                            </w:r>
                            <w:r>
                              <w:rPr>
                                <w:rFonts w:ascii="Arial"/>
                                <w:b/>
                                <w:spacing w:val="40"/>
                                <w:sz w:val="9"/>
                              </w:rPr>
                              <w:t> </w:t>
                            </w:r>
                            <w:r>
                              <w:rPr>
                                <w:rFonts w:ascii="Arial"/>
                                <w:b/>
                                <w:spacing w:val="-2"/>
                                <w:w w:val="85"/>
                                <w:sz w:val="9"/>
                              </w:rPr>
                              <w:t>CONTABLE</w:t>
                            </w:r>
                          </w:p>
                        </w:tc>
                        <w:tc>
                          <w:tcPr>
                            <w:tcW w:w="1680" w:type="dxa"/>
                            <w:vMerge w:val="restart"/>
                            <w:shd w:val="clear" w:color="auto" w:fill="E7E6E6"/>
                          </w:tcPr>
                          <w:p>
                            <w:pPr>
                              <w:pStyle w:val="TableParagraph"/>
                              <w:rPr>
                                <w:sz w:val="9"/>
                              </w:rPr>
                            </w:pPr>
                          </w:p>
                          <w:p>
                            <w:pPr>
                              <w:pStyle w:val="TableParagraph"/>
                              <w:spacing w:before="55"/>
                              <w:rPr>
                                <w:sz w:val="9"/>
                              </w:rPr>
                            </w:pPr>
                          </w:p>
                          <w:p>
                            <w:pPr>
                              <w:pStyle w:val="TableParagraph"/>
                              <w:ind w:left="273"/>
                              <w:rPr>
                                <w:rFonts w:ascii="Arial"/>
                                <w:b/>
                                <w:sz w:val="9"/>
                              </w:rPr>
                            </w:pPr>
                            <w:r>
                              <w:rPr>
                                <w:rFonts w:ascii="Arial"/>
                                <w:b/>
                                <w:w w:val="80"/>
                                <w:sz w:val="9"/>
                              </w:rPr>
                              <w:t>NOMBRE</w:t>
                            </w:r>
                            <w:r>
                              <w:rPr>
                                <w:rFonts w:ascii="Arial"/>
                                <w:b/>
                                <w:spacing w:val="10"/>
                                <w:sz w:val="9"/>
                              </w:rPr>
                              <w:t> </w:t>
                            </w:r>
                            <w:r>
                              <w:rPr>
                                <w:rFonts w:ascii="Arial"/>
                                <w:b/>
                                <w:w w:val="80"/>
                                <w:sz w:val="9"/>
                              </w:rPr>
                              <w:t>CUENTA</w:t>
                            </w:r>
                            <w:r>
                              <w:rPr>
                                <w:rFonts w:ascii="Arial"/>
                                <w:b/>
                                <w:spacing w:val="8"/>
                                <w:sz w:val="9"/>
                              </w:rPr>
                              <w:t> </w:t>
                            </w:r>
                            <w:r>
                              <w:rPr>
                                <w:rFonts w:ascii="Arial"/>
                                <w:b/>
                                <w:spacing w:val="-2"/>
                                <w:w w:val="80"/>
                                <w:sz w:val="9"/>
                              </w:rPr>
                              <w:t>CONTABLE</w:t>
                            </w:r>
                          </w:p>
                        </w:tc>
                        <w:tc>
                          <w:tcPr>
                            <w:tcW w:w="893" w:type="dxa"/>
                            <w:vMerge w:val="restart"/>
                            <w:shd w:val="clear" w:color="auto" w:fill="E7E6E6"/>
                          </w:tcPr>
                          <w:p>
                            <w:pPr>
                              <w:pStyle w:val="TableParagraph"/>
                              <w:rPr>
                                <w:sz w:val="9"/>
                              </w:rPr>
                            </w:pPr>
                          </w:p>
                          <w:p>
                            <w:pPr>
                              <w:pStyle w:val="TableParagraph"/>
                              <w:spacing w:before="55"/>
                              <w:rPr>
                                <w:sz w:val="9"/>
                              </w:rPr>
                            </w:pPr>
                          </w:p>
                          <w:p>
                            <w:pPr>
                              <w:pStyle w:val="TableParagraph"/>
                              <w:ind w:left="226"/>
                              <w:rPr>
                                <w:rFonts w:ascii="Arial"/>
                                <w:b/>
                                <w:sz w:val="9"/>
                              </w:rPr>
                            </w:pPr>
                            <w:r>
                              <w:rPr>
                                <w:rFonts w:ascii="Arial"/>
                                <w:b/>
                                <w:spacing w:val="-2"/>
                                <w:w w:val="95"/>
                                <w:sz w:val="9"/>
                              </w:rPr>
                              <w:t>CONCEPTO</w:t>
                            </w:r>
                          </w:p>
                        </w:tc>
                        <w:tc>
                          <w:tcPr>
                            <w:tcW w:w="893" w:type="dxa"/>
                            <w:vMerge w:val="restart"/>
                            <w:shd w:val="clear" w:color="auto" w:fill="E7E6E6"/>
                          </w:tcPr>
                          <w:p>
                            <w:pPr>
                              <w:pStyle w:val="TableParagraph"/>
                              <w:spacing w:line="276" w:lineRule="auto" w:before="24"/>
                              <w:ind w:left="92" w:right="87" w:firstLine="5"/>
                              <w:jc w:val="center"/>
                              <w:rPr>
                                <w:rFonts w:ascii="Arial"/>
                                <w:b/>
                                <w:sz w:val="9"/>
                              </w:rPr>
                            </w:pPr>
                            <w:r>
                              <w:rPr>
                                <w:rFonts w:ascii="Arial"/>
                                <w:b/>
                                <w:spacing w:val="-2"/>
                                <w:w w:val="95"/>
                                <w:sz w:val="9"/>
                              </w:rPr>
                              <w:t>SALDOS</w:t>
                            </w:r>
                            <w:r>
                              <w:rPr>
                                <w:rFonts w:ascii="Arial"/>
                                <w:b/>
                                <w:spacing w:val="40"/>
                                <w:sz w:val="9"/>
                              </w:rPr>
                              <w:t> </w:t>
                            </w:r>
                            <w:r>
                              <w:rPr>
                                <w:rFonts w:ascii="Arial"/>
                                <w:b/>
                                <w:spacing w:val="-2"/>
                                <w:w w:val="85"/>
                                <w:sz w:val="9"/>
                              </w:rPr>
                              <w:t>ESTIM.INCOBR.</w:t>
                            </w:r>
                            <w:r>
                              <w:rPr>
                                <w:rFonts w:ascii="Arial"/>
                                <w:b/>
                                <w:spacing w:val="-5"/>
                                <w:sz w:val="9"/>
                              </w:rPr>
                              <w:t> </w:t>
                            </w:r>
                            <w:r>
                              <w:rPr>
                                <w:rFonts w:ascii="Arial"/>
                                <w:b/>
                                <w:spacing w:val="-2"/>
                                <w:w w:val="85"/>
                                <w:sz w:val="9"/>
                              </w:rPr>
                              <w:t>AL</w:t>
                            </w:r>
                            <w:r>
                              <w:rPr>
                                <w:rFonts w:ascii="Arial"/>
                                <w:b/>
                                <w:spacing w:val="40"/>
                                <w:sz w:val="9"/>
                              </w:rPr>
                              <w:t> </w:t>
                            </w:r>
                            <w:r>
                              <w:rPr>
                                <w:rFonts w:ascii="Arial"/>
                                <w:b/>
                                <w:spacing w:val="-2"/>
                                <w:w w:val="95"/>
                                <w:sz w:val="9"/>
                              </w:rPr>
                              <w:t>31.12.2025</w:t>
                            </w:r>
                          </w:p>
                        </w:tc>
                        <w:tc>
                          <w:tcPr>
                            <w:tcW w:w="2439" w:type="dxa"/>
                            <w:gridSpan w:val="3"/>
                            <w:shd w:val="clear" w:color="auto" w:fill="E7E6E6"/>
                          </w:tcPr>
                          <w:p>
                            <w:pPr>
                              <w:pStyle w:val="TableParagraph"/>
                              <w:spacing w:before="33"/>
                              <w:rPr>
                                <w:sz w:val="9"/>
                              </w:rPr>
                            </w:pPr>
                          </w:p>
                          <w:p>
                            <w:pPr>
                              <w:pStyle w:val="TableParagraph"/>
                              <w:ind w:left="756"/>
                              <w:rPr>
                                <w:rFonts w:ascii="Arial"/>
                                <w:b/>
                                <w:sz w:val="9"/>
                              </w:rPr>
                            </w:pPr>
                            <w:r>
                              <w:rPr>
                                <w:rFonts w:ascii="Arial"/>
                                <w:b/>
                                <w:w w:val="80"/>
                                <w:sz w:val="9"/>
                              </w:rPr>
                              <w:t>VARIACIONES</w:t>
                            </w:r>
                            <w:r>
                              <w:rPr>
                                <w:rFonts w:ascii="Arial"/>
                                <w:b/>
                                <w:spacing w:val="5"/>
                                <w:sz w:val="9"/>
                              </w:rPr>
                              <w:t> </w:t>
                            </w:r>
                            <w:r>
                              <w:rPr>
                                <w:rFonts w:ascii="Arial"/>
                                <w:b/>
                                <w:w w:val="80"/>
                                <w:sz w:val="9"/>
                              </w:rPr>
                              <w:t>A</w:t>
                            </w:r>
                            <w:r>
                              <w:rPr>
                                <w:rFonts w:ascii="Arial"/>
                                <w:b/>
                                <w:spacing w:val="4"/>
                                <w:sz w:val="9"/>
                              </w:rPr>
                              <w:t> </w:t>
                            </w:r>
                            <w:r>
                              <w:rPr>
                                <w:rFonts w:ascii="Arial"/>
                                <w:b/>
                                <w:spacing w:val="-2"/>
                                <w:w w:val="80"/>
                                <w:sz w:val="9"/>
                              </w:rPr>
                              <w:t>31.07.26</w:t>
                            </w:r>
                          </w:p>
                        </w:tc>
                        <w:tc>
                          <w:tcPr>
                            <w:tcW w:w="804" w:type="dxa"/>
                            <w:vMerge w:val="restart"/>
                            <w:shd w:val="clear" w:color="auto" w:fill="E7E6E6"/>
                          </w:tcPr>
                          <w:p>
                            <w:pPr>
                              <w:pStyle w:val="TableParagraph"/>
                              <w:spacing w:line="276" w:lineRule="auto" w:before="24"/>
                              <w:ind w:left="47" w:right="43" w:firstLine="5"/>
                              <w:jc w:val="center"/>
                              <w:rPr>
                                <w:rFonts w:ascii="Arial"/>
                                <w:b/>
                                <w:sz w:val="9"/>
                              </w:rPr>
                            </w:pPr>
                            <w:r>
                              <w:rPr>
                                <w:rFonts w:ascii="Arial"/>
                                <w:b/>
                                <w:spacing w:val="-2"/>
                                <w:w w:val="95"/>
                                <w:sz w:val="9"/>
                              </w:rPr>
                              <w:t>SALDOS</w:t>
                            </w:r>
                            <w:r>
                              <w:rPr>
                                <w:rFonts w:ascii="Arial"/>
                                <w:b/>
                                <w:spacing w:val="40"/>
                                <w:sz w:val="9"/>
                              </w:rPr>
                              <w:t> </w:t>
                            </w:r>
                            <w:r>
                              <w:rPr>
                                <w:rFonts w:ascii="Arial"/>
                                <w:b/>
                                <w:spacing w:val="-2"/>
                                <w:w w:val="85"/>
                                <w:sz w:val="9"/>
                              </w:rPr>
                              <w:t>ESTIM.INCOBR.</w:t>
                            </w:r>
                            <w:r>
                              <w:rPr>
                                <w:rFonts w:ascii="Arial"/>
                                <w:b/>
                                <w:spacing w:val="-5"/>
                                <w:sz w:val="9"/>
                              </w:rPr>
                              <w:t> </w:t>
                            </w:r>
                            <w:r>
                              <w:rPr>
                                <w:rFonts w:ascii="Arial"/>
                                <w:b/>
                                <w:spacing w:val="-2"/>
                                <w:w w:val="85"/>
                                <w:sz w:val="9"/>
                              </w:rPr>
                              <w:t>AL</w:t>
                            </w:r>
                            <w:r>
                              <w:rPr>
                                <w:rFonts w:ascii="Arial"/>
                                <w:b/>
                                <w:spacing w:val="40"/>
                                <w:sz w:val="9"/>
                              </w:rPr>
                              <w:t> </w:t>
                            </w:r>
                            <w:r>
                              <w:rPr>
                                <w:rFonts w:ascii="Arial"/>
                                <w:b/>
                                <w:spacing w:val="-2"/>
                                <w:w w:val="95"/>
                                <w:sz w:val="9"/>
                              </w:rPr>
                              <w:t>31.07.26</w:t>
                            </w:r>
                          </w:p>
                        </w:tc>
                      </w:tr>
                      <w:tr>
                        <w:trPr>
                          <w:trHeight w:val="149" w:hRule="atLeast"/>
                        </w:trPr>
                        <w:tc>
                          <w:tcPr>
                            <w:tcW w:w="561" w:type="dxa"/>
                            <w:vMerge/>
                            <w:tcBorders>
                              <w:top w:val="nil"/>
                            </w:tcBorders>
                            <w:shd w:val="clear" w:color="auto" w:fill="E7E6E6"/>
                          </w:tcPr>
                          <w:p>
                            <w:pPr>
                              <w:rPr>
                                <w:sz w:val="2"/>
                                <w:szCs w:val="2"/>
                              </w:rPr>
                            </w:pPr>
                          </w:p>
                        </w:tc>
                        <w:tc>
                          <w:tcPr>
                            <w:tcW w:w="1680" w:type="dxa"/>
                            <w:vMerge/>
                            <w:tcBorders>
                              <w:top w:val="nil"/>
                            </w:tcBorders>
                            <w:shd w:val="clear" w:color="auto" w:fill="E7E6E6"/>
                          </w:tcPr>
                          <w:p>
                            <w:pPr>
                              <w:rPr>
                                <w:sz w:val="2"/>
                                <w:szCs w:val="2"/>
                              </w:rPr>
                            </w:pPr>
                          </w:p>
                        </w:tc>
                        <w:tc>
                          <w:tcPr>
                            <w:tcW w:w="893" w:type="dxa"/>
                            <w:vMerge/>
                            <w:tcBorders>
                              <w:top w:val="nil"/>
                            </w:tcBorders>
                            <w:shd w:val="clear" w:color="auto" w:fill="E7E6E6"/>
                          </w:tcPr>
                          <w:p>
                            <w:pPr>
                              <w:rPr>
                                <w:sz w:val="2"/>
                                <w:szCs w:val="2"/>
                              </w:rPr>
                            </w:pPr>
                          </w:p>
                        </w:tc>
                        <w:tc>
                          <w:tcPr>
                            <w:tcW w:w="893" w:type="dxa"/>
                            <w:vMerge/>
                            <w:tcBorders>
                              <w:top w:val="nil"/>
                            </w:tcBorders>
                            <w:shd w:val="clear" w:color="auto" w:fill="E7E6E6"/>
                          </w:tcPr>
                          <w:p>
                            <w:pPr>
                              <w:rPr>
                                <w:sz w:val="2"/>
                                <w:szCs w:val="2"/>
                              </w:rPr>
                            </w:pPr>
                          </w:p>
                        </w:tc>
                        <w:tc>
                          <w:tcPr>
                            <w:tcW w:w="910" w:type="dxa"/>
                            <w:shd w:val="clear" w:color="auto" w:fill="E7E6E6"/>
                          </w:tcPr>
                          <w:p>
                            <w:pPr>
                              <w:pStyle w:val="TableParagraph"/>
                              <w:spacing w:line="115" w:lineRule="exact" w:before="14"/>
                              <w:ind w:left="5"/>
                              <w:jc w:val="center"/>
                              <w:rPr>
                                <w:rFonts w:ascii="Arial"/>
                                <w:b/>
                                <w:sz w:val="11"/>
                              </w:rPr>
                            </w:pPr>
                            <w:r>
                              <w:rPr>
                                <w:rFonts w:ascii="Arial"/>
                                <w:b/>
                                <w:spacing w:val="-4"/>
                                <w:w w:val="95"/>
                                <w:sz w:val="11"/>
                              </w:rPr>
                              <w:t>DEBE</w:t>
                            </w:r>
                          </w:p>
                        </w:tc>
                        <w:tc>
                          <w:tcPr>
                            <w:tcW w:w="809" w:type="dxa"/>
                            <w:shd w:val="clear" w:color="auto" w:fill="E7E6E6"/>
                          </w:tcPr>
                          <w:p>
                            <w:pPr>
                              <w:pStyle w:val="TableParagraph"/>
                              <w:spacing w:line="115" w:lineRule="exact" w:before="14"/>
                              <w:ind w:left="242"/>
                              <w:rPr>
                                <w:rFonts w:ascii="Arial"/>
                                <w:b/>
                                <w:sz w:val="11"/>
                              </w:rPr>
                            </w:pPr>
                            <w:r>
                              <w:rPr>
                                <w:rFonts w:ascii="Arial"/>
                                <w:b/>
                                <w:spacing w:val="-4"/>
                                <w:w w:val="95"/>
                                <w:sz w:val="11"/>
                              </w:rPr>
                              <w:t>HABER</w:t>
                            </w:r>
                          </w:p>
                        </w:tc>
                        <w:tc>
                          <w:tcPr>
                            <w:tcW w:w="720" w:type="dxa"/>
                            <w:shd w:val="clear" w:color="auto" w:fill="E7E6E6"/>
                          </w:tcPr>
                          <w:p>
                            <w:pPr>
                              <w:pStyle w:val="TableParagraph"/>
                              <w:spacing w:line="115" w:lineRule="exact" w:before="14"/>
                              <w:ind w:left="231"/>
                              <w:rPr>
                                <w:rFonts w:ascii="Arial"/>
                                <w:b/>
                                <w:sz w:val="11"/>
                              </w:rPr>
                            </w:pPr>
                            <w:r>
                              <w:rPr>
                                <w:rFonts w:ascii="Arial"/>
                                <w:b/>
                                <w:spacing w:val="-4"/>
                                <w:w w:val="95"/>
                                <w:sz w:val="11"/>
                              </w:rPr>
                              <w:t>NETO</w:t>
                            </w:r>
                          </w:p>
                        </w:tc>
                        <w:tc>
                          <w:tcPr>
                            <w:tcW w:w="804" w:type="dxa"/>
                            <w:vMerge/>
                            <w:tcBorders>
                              <w:top w:val="nil"/>
                            </w:tcBorders>
                            <w:shd w:val="clear" w:color="auto" w:fill="E7E6E6"/>
                          </w:tcPr>
                          <w:p>
                            <w:pPr>
                              <w:rPr>
                                <w:sz w:val="2"/>
                                <w:szCs w:val="2"/>
                              </w:rPr>
                            </w:pPr>
                          </w:p>
                        </w:tc>
                      </w:tr>
                      <w:tr>
                        <w:trPr>
                          <w:trHeight w:val="170" w:hRule="atLeast"/>
                        </w:trPr>
                        <w:tc>
                          <w:tcPr>
                            <w:tcW w:w="561" w:type="dxa"/>
                            <w:tcBorders>
                              <w:bottom w:val="nil"/>
                            </w:tcBorders>
                            <w:shd w:val="clear" w:color="auto" w:fill="FFFFFF"/>
                          </w:tcPr>
                          <w:p>
                            <w:pPr>
                              <w:pStyle w:val="TableParagraph"/>
                              <w:spacing w:before="39"/>
                              <w:ind w:left="10"/>
                              <w:jc w:val="center"/>
                              <w:rPr>
                                <w:rFonts w:ascii="Arial"/>
                                <w:sz w:val="9"/>
                              </w:rPr>
                            </w:pPr>
                            <w:r>
                              <w:rPr>
                                <w:rFonts w:ascii="Arial"/>
                                <w:spacing w:val="-2"/>
                                <w:w w:val="95"/>
                                <w:sz w:val="9"/>
                              </w:rPr>
                              <w:t>1.2.3.99</w:t>
                            </w:r>
                          </w:p>
                        </w:tc>
                        <w:tc>
                          <w:tcPr>
                            <w:tcW w:w="1680" w:type="dxa"/>
                            <w:tcBorders>
                              <w:bottom w:val="nil"/>
                            </w:tcBorders>
                            <w:shd w:val="clear" w:color="auto" w:fill="FFFFFF"/>
                          </w:tcPr>
                          <w:p>
                            <w:pPr>
                              <w:pStyle w:val="TableParagraph"/>
                              <w:spacing w:before="39"/>
                              <w:ind w:left="11" w:right="-29"/>
                              <w:jc w:val="center"/>
                              <w:rPr>
                                <w:rFonts w:ascii="Arial"/>
                                <w:sz w:val="9"/>
                              </w:rPr>
                            </w:pPr>
                            <w:r>
                              <w:rPr>
                                <w:rFonts w:ascii="Arial"/>
                                <w:w w:val="80"/>
                                <w:sz w:val="9"/>
                              </w:rPr>
                              <w:t>PREVISION</w:t>
                            </w:r>
                            <w:r>
                              <w:rPr>
                                <w:rFonts w:ascii="Arial"/>
                                <w:spacing w:val="3"/>
                                <w:sz w:val="9"/>
                              </w:rPr>
                              <w:t> </w:t>
                            </w:r>
                            <w:r>
                              <w:rPr>
                                <w:rFonts w:ascii="Arial"/>
                                <w:w w:val="80"/>
                                <w:sz w:val="9"/>
                              </w:rPr>
                              <w:t>DOC</w:t>
                            </w:r>
                            <w:r>
                              <w:rPr>
                                <w:rFonts w:ascii="Arial"/>
                                <w:spacing w:val="8"/>
                                <w:sz w:val="9"/>
                              </w:rPr>
                              <w:t> </w:t>
                            </w:r>
                            <w:r>
                              <w:rPr>
                                <w:rFonts w:ascii="Arial"/>
                                <w:w w:val="80"/>
                                <w:sz w:val="9"/>
                              </w:rPr>
                              <w:t>X</w:t>
                            </w:r>
                            <w:r>
                              <w:rPr>
                                <w:rFonts w:ascii="Arial"/>
                                <w:spacing w:val="3"/>
                                <w:sz w:val="9"/>
                              </w:rPr>
                              <w:t> </w:t>
                            </w:r>
                            <w:r>
                              <w:rPr>
                                <w:rFonts w:ascii="Arial"/>
                                <w:w w:val="80"/>
                                <w:sz w:val="9"/>
                              </w:rPr>
                              <w:t>COBRAR</w:t>
                            </w:r>
                            <w:r>
                              <w:rPr>
                                <w:rFonts w:ascii="Arial"/>
                                <w:spacing w:val="8"/>
                                <w:sz w:val="9"/>
                              </w:rPr>
                              <w:t> </w:t>
                            </w:r>
                            <w:r>
                              <w:rPr>
                                <w:rFonts w:ascii="Arial"/>
                                <w:w w:val="80"/>
                                <w:sz w:val="9"/>
                              </w:rPr>
                              <w:t>FRACCIONES</w:t>
                            </w:r>
                            <w:r>
                              <w:rPr>
                                <w:rFonts w:ascii="Arial"/>
                                <w:spacing w:val="5"/>
                                <w:sz w:val="9"/>
                              </w:rPr>
                              <w:t> </w:t>
                            </w:r>
                            <w:r>
                              <w:rPr>
                                <w:rFonts w:ascii="Arial"/>
                                <w:spacing w:val="-5"/>
                                <w:w w:val="80"/>
                                <w:sz w:val="9"/>
                              </w:rPr>
                              <w:t>L.P</w:t>
                            </w:r>
                          </w:p>
                        </w:tc>
                        <w:tc>
                          <w:tcPr>
                            <w:tcW w:w="893" w:type="dxa"/>
                            <w:tcBorders>
                              <w:bottom w:val="nil"/>
                            </w:tcBorders>
                            <w:shd w:val="clear" w:color="auto" w:fill="FFFFFF"/>
                          </w:tcPr>
                          <w:p>
                            <w:pPr>
                              <w:pStyle w:val="TableParagraph"/>
                              <w:spacing w:before="39"/>
                              <w:ind w:left="11"/>
                              <w:rPr>
                                <w:rFonts w:ascii="Arial"/>
                                <w:sz w:val="9"/>
                              </w:rPr>
                            </w:pPr>
                            <w:r>
                              <w:rPr>
                                <w:rFonts w:ascii="Arial"/>
                                <w:w w:val="80"/>
                                <w:sz w:val="9"/>
                              </w:rPr>
                              <w:t>MOTELES</w:t>
                            </w:r>
                            <w:r>
                              <w:rPr>
                                <w:rFonts w:ascii="Arial"/>
                                <w:spacing w:val="5"/>
                                <w:sz w:val="9"/>
                              </w:rPr>
                              <w:t> </w:t>
                            </w:r>
                            <w:r>
                              <w:rPr>
                                <w:rFonts w:ascii="Arial"/>
                                <w:spacing w:val="-5"/>
                                <w:w w:val="95"/>
                                <w:sz w:val="9"/>
                              </w:rPr>
                              <w:t>L.P</w:t>
                            </w:r>
                          </w:p>
                        </w:tc>
                        <w:tc>
                          <w:tcPr>
                            <w:tcW w:w="893" w:type="dxa"/>
                            <w:tcBorders>
                              <w:bottom w:val="nil"/>
                            </w:tcBorders>
                            <w:shd w:val="clear" w:color="auto" w:fill="FFFFFF"/>
                          </w:tcPr>
                          <w:p>
                            <w:pPr>
                              <w:pStyle w:val="TableParagraph"/>
                              <w:spacing w:before="39"/>
                              <w:ind w:right="23"/>
                              <w:jc w:val="right"/>
                              <w:rPr>
                                <w:rFonts w:ascii="Arial"/>
                                <w:sz w:val="9"/>
                              </w:rPr>
                            </w:pPr>
                            <w:r>
                              <w:rPr>
                                <w:rFonts w:ascii="Arial"/>
                                <w:w w:val="80"/>
                                <w:sz w:val="9"/>
                              </w:rPr>
                              <w:t>164</w:t>
                            </w:r>
                            <w:r>
                              <w:rPr>
                                <w:rFonts w:ascii="Arial"/>
                                <w:spacing w:val="-1"/>
                                <w:sz w:val="9"/>
                              </w:rPr>
                              <w:t> </w:t>
                            </w:r>
                            <w:r>
                              <w:rPr>
                                <w:rFonts w:ascii="Arial"/>
                                <w:spacing w:val="-2"/>
                                <w:w w:val="95"/>
                                <w:sz w:val="9"/>
                              </w:rPr>
                              <w:t>621,51</w:t>
                            </w:r>
                          </w:p>
                        </w:tc>
                        <w:tc>
                          <w:tcPr>
                            <w:tcW w:w="910" w:type="dxa"/>
                            <w:tcBorders>
                              <w:bottom w:val="nil"/>
                            </w:tcBorders>
                            <w:shd w:val="clear" w:color="auto" w:fill="FFFFFF"/>
                          </w:tcPr>
                          <w:p>
                            <w:pPr>
                              <w:pStyle w:val="TableParagraph"/>
                              <w:spacing w:before="39"/>
                              <w:ind w:right="1"/>
                              <w:jc w:val="right"/>
                              <w:rPr>
                                <w:rFonts w:ascii="Arial"/>
                                <w:sz w:val="9"/>
                              </w:rPr>
                            </w:pPr>
                            <w:r>
                              <w:rPr>
                                <w:rFonts w:ascii="Arial"/>
                                <w:w w:val="80"/>
                                <w:sz w:val="9"/>
                              </w:rPr>
                              <w:t>130</w:t>
                            </w:r>
                            <w:r>
                              <w:rPr>
                                <w:rFonts w:ascii="Arial"/>
                                <w:spacing w:val="-1"/>
                                <w:sz w:val="9"/>
                              </w:rPr>
                              <w:t> </w:t>
                            </w:r>
                            <w:r>
                              <w:rPr>
                                <w:rFonts w:ascii="Arial"/>
                                <w:spacing w:val="-2"/>
                                <w:w w:val="95"/>
                                <w:sz w:val="9"/>
                              </w:rPr>
                              <w:t>101,80</w:t>
                            </w:r>
                          </w:p>
                        </w:tc>
                        <w:tc>
                          <w:tcPr>
                            <w:tcW w:w="809" w:type="dxa"/>
                            <w:tcBorders>
                              <w:bottom w:val="nil"/>
                            </w:tcBorders>
                            <w:shd w:val="clear" w:color="auto" w:fill="FFFFFF"/>
                          </w:tcPr>
                          <w:p>
                            <w:pPr>
                              <w:pStyle w:val="TableParagraph"/>
                              <w:spacing w:before="39"/>
                              <w:ind w:right="1"/>
                              <w:jc w:val="right"/>
                              <w:rPr>
                                <w:rFonts w:ascii="Arial"/>
                                <w:sz w:val="9"/>
                              </w:rPr>
                            </w:pPr>
                            <w:r>
                              <w:rPr>
                                <w:rFonts w:ascii="Arial"/>
                                <w:w w:val="80"/>
                                <w:sz w:val="9"/>
                              </w:rPr>
                              <w:t>50</w:t>
                            </w:r>
                            <w:r>
                              <w:rPr>
                                <w:rFonts w:ascii="Arial"/>
                                <w:spacing w:val="-1"/>
                                <w:w w:val="95"/>
                                <w:sz w:val="9"/>
                              </w:rPr>
                              <w:t> </w:t>
                            </w:r>
                            <w:r>
                              <w:rPr>
                                <w:rFonts w:ascii="Arial"/>
                                <w:spacing w:val="-2"/>
                                <w:w w:val="95"/>
                                <w:sz w:val="9"/>
                              </w:rPr>
                              <w:t>433,22</w:t>
                            </w:r>
                          </w:p>
                        </w:tc>
                        <w:tc>
                          <w:tcPr>
                            <w:tcW w:w="720" w:type="dxa"/>
                            <w:tcBorders>
                              <w:bottom w:val="nil"/>
                            </w:tcBorders>
                            <w:shd w:val="clear" w:color="auto" w:fill="FFFFFF"/>
                          </w:tcPr>
                          <w:p>
                            <w:pPr>
                              <w:pStyle w:val="TableParagraph"/>
                              <w:spacing w:before="39"/>
                              <w:ind w:right="1"/>
                              <w:jc w:val="right"/>
                              <w:rPr>
                                <w:rFonts w:ascii="Arial"/>
                                <w:sz w:val="9"/>
                              </w:rPr>
                            </w:pPr>
                            <w:r>
                              <w:rPr>
                                <w:rFonts w:ascii="Arial"/>
                                <w:w w:val="80"/>
                                <w:sz w:val="9"/>
                              </w:rPr>
                              <w:t>-79</w:t>
                            </w:r>
                            <w:r>
                              <w:rPr>
                                <w:rFonts w:ascii="Arial"/>
                                <w:spacing w:val="-3"/>
                                <w:sz w:val="9"/>
                              </w:rPr>
                              <w:t> </w:t>
                            </w:r>
                            <w:r>
                              <w:rPr>
                                <w:rFonts w:ascii="Arial"/>
                                <w:spacing w:val="-2"/>
                                <w:w w:val="80"/>
                                <w:sz w:val="9"/>
                              </w:rPr>
                              <w:t>668,58</w:t>
                            </w:r>
                          </w:p>
                        </w:tc>
                        <w:tc>
                          <w:tcPr>
                            <w:tcW w:w="804" w:type="dxa"/>
                            <w:tcBorders>
                              <w:bottom w:val="nil"/>
                            </w:tcBorders>
                            <w:shd w:val="clear" w:color="auto" w:fill="FFFFFF"/>
                          </w:tcPr>
                          <w:p>
                            <w:pPr>
                              <w:pStyle w:val="TableParagraph"/>
                              <w:spacing w:before="39"/>
                              <w:ind w:right="24"/>
                              <w:jc w:val="right"/>
                              <w:rPr>
                                <w:rFonts w:ascii="Arial"/>
                                <w:sz w:val="9"/>
                              </w:rPr>
                            </w:pPr>
                            <w:r>
                              <w:rPr>
                                <w:rFonts w:ascii="Arial"/>
                                <w:w w:val="80"/>
                                <w:sz w:val="9"/>
                              </w:rPr>
                              <w:t>84</w:t>
                            </w:r>
                            <w:r>
                              <w:rPr>
                                <w:rFonts w:ascii="Arial"/>
                                <w:spacing w:val="-1"/>
                                <w:w w:val="95"/>
                                <w:sz w:val="9"/>
                              </w:rPr>
                              <w:t> </w:t>
                            </w:r>
                            <w:r>
                              <w:rPr>
                                <w:rFonts w:ascii="Arial"/>
                                <w:spacing w:val="-2"/>
                                <w:w w:val="95"/>
                                <w:sz w:val="9"/>
                              </w:rPr>
                              <w:t>952,93</w:t>
                            </w:r>
                          </w:p>
                        </w:tc>
                      </w:tr>
                      <w:tr>
                        <w:trPr>
                          <w:trHeight w:val="135" w:hRule="atLeast"/>
                        </w:trPr>
                        <w:tc>
                          <w:tcPr>
                            <w:tcW w:w="561" w:type="dxa"/>
                            <w:tcBorders>
                              <w:top w:val="nil"/>
                            </w:tcBorders>
                            <w:shd w:val="clear" w:color="auto" w:fill="FFFFFF"/>
                          </w:tcPr>
                          <w:p>
                            <w:pPr>
                              <w:pStyle w:val="TableParagraph"/>
                              <w:spacing w:line="90" w:lineRule="exact" w:before="25"/>
                              <w:ind w:left="10"/>
                              <w:jc w:val="center"/>
                              <w:rPr>
                                <w:rFonts w:ascii="Arial"/>
                                <w:sz w:val="9"/>
                              </w:rPr>
                            </w:pPr>
                            <w:r>
                              <w:rPr>
                                <w:rFonts w:ascii="Arial"/>
                                <w:spacing w:val="-2"/>
                                <w:w w:val="95"/>
                                <w:sz w:val="9"/>
                              </w:rPr>
                              <w:t>1.2.3.99</w:t>
                            </w:r>
                          </w:p>
                        </w:tc>
                        <w:tc>
                          <w:tcPr>
                            <w:tcW w:w="1680" w:type="dxa"/>
                            <w:tcBorders>
                              <w:top w:val="nil"/>
                            </w:tcBorders>
                            <w:shd w:val="clear" w:color="auto" w:fill="FFFFFF"/>
                          </w:tcPr>
                          <w:p>
                            <w:pPr>
                              <w:pStyle w:val="TableParagraph"/>
                              <w:spacing w:line="90" w:lineRule="exact" w:before="25"/>
                              <w:ind w:right="63"/>
                              <w:jc w:val="center"/>
                              <w:rPr>
                                <w:rFonts w:ascii="Arial"/>
                                <w:sz w:val="9"/>
                              </w:rPr>
                            </w:pPr>
                            <w:r>
                              <w:rPr>
                                <w:rFonts w:ascii="Arial"/>
                                <w:w w:val="80"/>
                                <w:sz w:val="9"/>
                              </w:rPr>
                              <w:t>PREVISION</w:t>
                            </w:r>
                            <w:r>
                              <w:rPr>
                                <w:rFonts w:ascii="Arial"/>
                                <w:spacing w:val="2"/>
                                <w:sz w:val="9"/>
                              </w:rPr>
                              <w:t> </w:t>
                            </w:r>
                            <w:r>
                              <w:rPr>
                                <w:rFonts w:ascii="Arial"/>
                                <w:w w:val="80"/>
                                <w:sz w:val="9"/>
                              </w:rPr>
                              <w:t>DOC.</w:t>
                            </w:r>
                            <w:r>
                              <w:rPr>
                                <w:rFonts w:ascii="Arial"/>
                                <w:spacing w:val="7"/>
                                <w:sz w:val="9"/>
                              </w:rPr>
                              <w:t> </w:t>
                            </w:r>
                            <w:r>
                              <w:rPr>
                                <w:rFonts w:ascii="Arial"/>
                                <w:w w:val="80"/>
                                <w:sz w:val="9"/>
                              </w:rPr>
                              <w:t>BIENES</w:t>
                            </w:r>
                            <w:r>
                              <w:rPr>
                                <w:rFonts w:ascii="Arial"/>
                                <w:spacing w:val="4"/>
                                <w:sz w:val="9"/>
                              </w:rPr>
                              <w:t> </w:t>
                            </w:r>
                            <w:r>
                              <w:rPr>
                                <w:rFonts w:ascii="Arial"/>
                                <w:w w:val="80"/>
                                <w:sz w:val="9"/>
                              </w:rPr>
                              <w:t>Y</w:t>
                            </w:r>
                            <w:r>
                              <w:rPr>
                                <w:rFonts w:ascii="Arial"/>
                                <w:spacing w:val="5"/>
                                <w:sz w:val="9"/>
                              </w:rPr>
                              <w:t> </w:t>
                            </w:r>
                            <w:r>
                              <w:rPr>
                                <w:rFonts w:ascii="Arial"/>
                                <w:w w:val="80"/>
                                <w:sz w:val="9"/>
                              </w:rPr>
                              <w:t>SERVICIOS</w:t>
                            </w:r>
                            <w:r>
                              <w:rPr>
                                <w:rFonts w:ascii="Arial"/>
                                <w:spacing w:val="4"/>
                                <w:sz w:val="9"/>
                              </w:rPr>
                              <w:t> </w:t>
                            </w:r>
                            <w:r>
                              <w:rPr>
                                <w:rFonts w:ascii="Arial"/>
                                <w:spacing w:val="-4"/>
                                <w:w w:val="80"/>
                                <w:sz w:val="9"/>
                              </w:rPr>
                              <w:t>L.P.</w:t>
                            </w:r>
                          </w:p>
                        </w:tc>
                        <w:tc>
                          <w:tcPr>
                            <w:tcW w:w="893" w:type="dxa"/>
                            <w:tcBorders>
                              <w:top w:val="nil"/>
                            </w:tcBorders>
                            <w:shd w:val="clear" w:color="auto" w:fill="FFFFFF"/>
                          </w:tcPr>
                          <w:p>
                            <w:pPr>
                              <w:pStyle w:val="TableParagraph"/>
                              <w:spacing w:line="90" w:lineRule="exact" w:before="25"/>
                              <w:ind w:left="11"/>
                              <w:rPr>
                                <w:rFonts w:ascii="Arial"/>
                                <w:sz w:val="9"/>
                              </w:rPr>
                            </w:pPr>
                            <w:r>
                              <w:rPr>
                                <w:rFonts w:ascii="Arial"/>
                                <w:w w:val="80"/>
                                <w:sz w:val="9"/>
                              </w:rPr>
                              <w:t>BENEFICIARIOS</w:t>
                            </w:r>
                            <w:r>
                              <w:rPr>
                                <w:rFonts w:ascii="Arial"/>
                                <w:spacing w:val="17"/>
                                <w:sz w:val="9"/>
                              </w:rPr>
                              <w:t> </w:t>
                            </w:r>
                            <w:r>
                              <w:rPr>
                                <w:rFonts w:ascii="Arial"/>
                                <w:spacing w:val="-4"/>
                                <w:w w:val="95"/>
                                <w:sz w:val="9"/>
                              </w:rPr>
                              <w:t>L.P.</w:t>
                            </w:r>
                          </w:p>
                        </w:tc>
                        <w:tc>
                          <w:tcPr>
                            <w:tcW w:w="893" w:type="dxa"/>
                            <w:tcBorders>
                              <w:top w:val="nil"/>
                            </w:tcBorders>
                            <w:shd w:val="clear" w:color="auto" w:fill="FFFFFF"/>
                          </w:tcPr>
                          <w:p>
                            <w:pPr>
                              <w:pStyle w:val="TableParagraph"/>
                              <w:spacing w:line="90" w:lineRule="exact" w:before="25"/>
                              <w:ind w:right="23"/>
                              <w:jc w:val="right"/>
                              <w:rPr>
                                <w:rFonts w:ascii="Arial"/>
                                <w:sz w:val="9"/>
                              </w:rPr>
                            </w:pPr>
                            <w:r>
                              <w:rPr>
                                <w:rFonts w:ascii="Arial"/>
                                <w:w w:val="80"/>
                                <w:sz w:val="9"/>
                              </w:rPr>
                              <w:t>456</w:t>
                            </w:r>
                            <w:r>
                              <w:rPr>
                                <w:rFonts w:ascii="Arial"/>
                                <w:spacing w:val="-1"/>
                                <w:sz w:val="9"/>
                              </w:rPr>
                              <w:t> </w:t>
                            </w:r>
                            <w:r>
                              <w:rPr>
                                <w:rFonts w:ascii="Arial"/>
                                <w:spacing w:val="-2"/>
                                <w:w w:val="95"/>
                                <w:sz w:val="9"/>
                              </w:rPr>
                              <w:t>162,69</w:t>
                            </w:r>
                          </w:p>
                        </w:tc>
                        <w:tc>
                          <w:tcPr>
                            <w:tcW w:w="910" w:type="dxa"/>
                            <w:tcBorders>
                              <w:top w:val="nil"/>
                            </w:tcBorders>
                            <w:shd w:val="clear" w:color="auto" w:fill="FFFFFF"/>
                          </w:tcPr>
                          <w:p>
                            <w:pPr>
                              <w:pStyle w:val="TableParagraph"/>
                              <w:spacing w:line="90" w:lineRule="exact" w:before="25"/>
                              <w:ind w:right="1"/>
                              <w:jc w:val="right"/>
                              <w:rPr>
                                <w:rFonts w:ascii="Arial"/>
                                <w:sz w:val="9"/>
                              </w:rPr>
                            </w:pPr>
                            <w:r>
                              <w:rPr>
                                <w:rFonts w:ascii="Arial"/>
                                <w:w w:val="85"/>
                                <w:sz w:val="9"/>
                              </w:rPr>
                              <w:t>4</w:t>
                            </w:r>
                            <w:r>
                              <w:rPr>
                                <w:rFonts w:ascii="Arial"/>
                                <w:spacing w:val="-1"/>
                                <w:w w:val="85"/>
                                <w:sz w:val="9"/>
                              </w:rPr>
                              <w:t> </w:t>
                            </w:r>
                            <w:r>
                              <w:rPr>
                                <w:rFonts w:ascii="Arial"/>
                                <w:spacing w:val="-2"/>
                                <w:w w:val="95"/>
                                <w:sz w:val="9"/>
                              </w:rPr>
                              <w:t>025,70</w:t>
                            </w:r>
                          </w:p>
                        </w:tc>
                        <w:tc>
                          <w:tcPr>
                            <w:tcW w:w="809" w:type="dxa"/>
                            <w:tcBorders>
                              <w:top w:val="nil"/>
                            </w:tcBorders>
                            <w:shd w:val="clear" w:color="auto" w:fill="FFFFFF"/>
                          </w:tcPr>
                          <w:p>
                            <w:pPr>
                              <w:pStyle w:val="TableParagraph"/>
                              <w:spacing w:line="90" w:lineRule="exact" w:before="25"/>
                              <w:ind w:right="1"/>
                              <w:jc w:val="right"/>
                              <w:rPr>
                                <w:rFonts w:ascii="Arial"/>
                                <w:sz w:val="9"/>
                              </w:rPr>
                            </w:pPr>
                            <w:r>
                              <w:rPr>
                                <w:rFonts w:ascii="Arial"/>
                                <w:spacing w:val="-2"/>
                                <w:w w:val="95"/>
                                <w:sz w:val="9"/>
                              </w:rPr>
                              <w:t>562,20</w:t>
                            </w:r>
                          </w:p>
                        </w:tc>
                        <w:tc>
                          <w:tcPr>
                            <w:tcW w:w="720" w:type="dxa"/>
                            <w:tcBorders>
                              <w:top w:val="nil"/>
                            </w:tcBorders>
                            <w:shd w:val="clear" w:color="auto" w:fill="FFFFFF"/>
                          </w:tcPr>
                          <w:p>
                            <w:pPr>
                              <w:pStyle w:val="TableParagraph"/>
                              <w:spacing w:line="90" w:lineRule="exact" w:before="25"/>
                              <w:ind w:right="1"/>
                              <w:jc w:val="right"/>
                              <w:rPr>
                                <w:rFonts w:ascii="Arial"/>
                                <w:sz w:val="9"/>
                              </w:rPr>
                            </w:pPr>
                            <w:r>
                              <w:rPr>
                                <w:rFonts w:ascii="Arial"/>
                                <w:w w:val="85"/>
                                <w:sz w:val="9"/>
                              </w:rPr>
                              <w:t>-3</w:t>
                            </w:r>
                            <w:r>
                              <w:rPr>
                                <w:rFonts w:ascii="Arial"/>
                                <w:spacing w:val="-2"/>
                                <w:w w:val="85"/>
                                <w:sz w:val="9"/>
                              </w:rPr>
                              <w:t> 463,50</w:t>
                            </w:r>
                          </w:p>
                        </w:tc>
                        <w:tc>
                          <w:tcPr>
                            <w:tcW w:w="804" w:type="dxa"/>
                            <w:tcBorders>
                              <w:top w:val="nil"/>
                            </w:tcBorders>
                            <w:shd w:val="clear" w:color="auto" w:fill="FFFFFF"/>
                          </w:tcPr>
                          <w:p>
                            <w:pPr>
                              <w:pStyle w:val="TableParagraph"/>
                              <w:spacing w:line="90" w:lineRule="exact" w:before="25"/>
                              <w:ind w:right="24"/>
                              <w:jc w:val="right"/>
                              <w:rPr>
                                <w:rFonts w:ascii="Arial"/>
                                <w:sz w:val="9"/>
                              </w:rPr>
                            </w:pPr>
                            <w:r>
                              <w:rPr>
                                <w:rFonts w:ascii="Arial"/>
                                <w:w w:val="80"/>
                                <w:sz w:val="9"/>
                              </w:rPr>
                              <w:t>452</w:t>
                            </w:r>
                            <w:r>
                              <w:rPr>
                                <w:rFonts w:ascii="Arial"/>
                                <w:spacing w:val="-1"/>
                                <w:sz w:val="9"/>
                              </w:rPr>
                              <w:t> </w:t>
                            </w:r>
                            <w:r>
                              <w:rPr>
                                <w:rFonts w:ascii="Arial"/>
                                <w:spacing w:val="-2"/>
                                <w:w w:val="95"/>
                                <w:sz w:val="9"/>
                              </w:rPr>
                              <w:t>699,19</w:t>
                            </w:r>
                          </w:p>
                        </w:tc>
                      </w:tr>
                      <w:tr>
                        <w:trPr>
                          <w:trHeight w:val="199" w:hRule="atLeast"/>
                        </w:trPr>
                        <w:tc>
                          <w:tcPr>
                            <w:tcW w:w="561" w:type="dxa"/>
                            <w:shd w:val="clear" w:color="auto" w:fill="E7E6E6"/>
                          </w:tcPr>
                          <w:p>
                            <w:pPr>
                              <w:pStyle w:val="TableParagraph"/>
                              <w:rPr>
                                <w:rFonts w:ascii="Times New Roman"/>
                                <w:sz w:val="12"/>
                              </w:rPr>
                            </w:pPr>
                          </w:p>
                        </w:tc>
                        <w:tc>
                          <w:tcPr>
                            <w:tcW w:w="1680" w:type="dxa"/>
                            <w:shd w:val="clear" w:color="auto" w:fill="E7E6E6"/>
                          </w:tcPr>
                          <w:p>
                            <w:pPr>
                              <w:pStyle w:val="TableParagraph"/>
                              <w:spacing w:line="109" w:lineRule="exact" w:before="71"/>
                              <w:ind w:left="11"/>
                              <w:jc w:val="center"/>
                              <w:rPr>
                                <w:rFonts w:ascii="Arial" w:hAnsi="Arial"/>
                                <w:b/>
                                <w:sz w:val="11"/>
                              </w:rPr>
                            </w:pPr>
                            <w:r>
                              <w:rPr>
                                <w:rFonts w:ascii="Arial" w:hAnsi="Arial"/>
                                <w:b/>
                                <w:w w:val="80"/>
                                <w:sz w:val="11"/>
                              </w:rPr>
                              <w:t>TOTAL</w:t>
                            </w:r>
                            <w:r>
                              <w:rPr>
                                <w:rFonts w:ascii="Arial" w:hAnsi="Arial"/>
                                <w:b/>
                                <w:spacing w:val="3"/>
                                <w:sz w:val="11"/>
                              </w:rPr>
                              <w:t> </w:t>
                            </w:r>
                            <w:r>
                              <w:rPr>
                                <w:rFonts w:ascii="Arial" w:hAnsi="Arial"/>
                                <w:b/>
                                <w:w w:val="80"/>
                                <w:sz w:val="11"/>
                              </w:rPr>
                              <w:t>PREVISIÓN</w:t>
                            </w:r>
                            <w:r>
                              <w:rPr>
                                <w:rFonts w:ascii="Arial" w:hAnsi="Arial"/>
                                <w:b/>
                                <w:sz w:val="11"/>
                              </w:rPr>
                              <w:t> </w:t>
                            </w:r>
                            <w:r>
                              <w:rPr>
                                <w:rFonts w:ascii="Arial" w:hAnsi="Arial"/>
                                <w:b/>
                                <w:spacing w:val="-4"/>
                                <w:w w:val="80"/>
                                <w:sz w:val="11"/>
                              </w:rPr>
                              <w:t>L.P.</w:t>
                            </w:r>
                          </w:p>
                        </w:tc>
                        <w:tc>
                          <w:tcPr>
                            <w:tcW w:w="893" w:type="dxa"/>
                            <w:shd w:val="clear" w:color="auto" w:fill="E7E6E6"/>
                          </w:tcPr>
                          <w:p>
                            <w:pPr>
                              <w:pStyle w:val="TableParagraph"/>
                              <w:rPr>
                                <w:rFonts w:ascii="Times New Roman"/>
                                <w:sz w:val="12"/>
                              </w:rPr>
                            </w:pPr>
                          </w:p>
                        </w:tc>
                        <w:tc>
                          <w:tcPr>
                            <w:tcW w:w="893" w:type="dxa"/>
                            <w:shd w:val="clear" w:color="auto" w:fill="E7E6E6"/>
                          </w:tcPr>
                          <w:p>
                            <w:pPr>
                              <w:pStyle w:val="TableParagraph"/>
                              <w:spacing w:line="90" w:lineRule="exact" w:before="90"/>
                              <w:ind w:right="23"/>
                              <w:jc w:val="right"/>
                              <w:rPr>
                                <w:rFonts w:ascii="Arial"/>
                                <w:b/>
                                <w:sz w:val="9"/>
                              </w:rPr>
                            </w:pPr>
                            <w:r>
                              <w:rPr>
                                <w:rFonts w:ascii="Arial"/>
                                <w:b/>
                                <w:w w:val="80"/>
                                <w:sz w:val="9"/>
                              </w:rPr>
                              <w:t>620</w:t>
                            </w:r>
                            <w:r>
                              <w:rPr>
                                <w:rFonts w:ascii="Arial"/>
                                <w:b/>
                                <w:spacing w:val="-1"/>
                                <w:sz w:val="9"/>
                              </w:rPr>
                              <w:t> </w:t>
                            </w:r>
                            <w:r>
                              <w:rPr>
                                <w:rFonts w:ascii="Arial"/>
                                <w:b/>
                                <w:spacing w:val="-2"/>
                                <w:w w:val="95"/>
                                <w:sz w:val="9"/>
                              </w:rPr>
                              <w:t>784,20</w:t>
                            </w:r>
                          </w:p>
                        </w:tc>
                        <w:tc>
                          <w:tcPr>
                            <w:tcW w:w="910" w:type="dxa"/>
                            <w:shd w:val="clear" w:color="auto" w:fill="E7E6E6"/>
                          </w:tcPr>
                          <w:p>
                            <w:pPr>
                              <w:pStyle w:val="TableParagraph"/>
                              <w:spacing w:line="90" w:lineRule="exact" w:before="90"/>
                              <w:ind w:right="24"/>
                              <w:jc w:val="right"/>
                              <w:rPr>
                                <w:rFonts w:ascii="Arial"/>
                                <w:b/>
                                <w:sz w:val="9"/>
                              </w:rPr>
                            </w:pPr>
                            <w:r>
                              <w:rPr>
                                <w:rFonts w:ascii="Arial"/>
                                <w:b/>
                                <w:w w:val="80"/>
                                <w:sz w:val="9"/>
                              </w:rPr>
                              <w:t>134</w:t>
                            </w:r>
                            <w:r>
                              <w:rPr>
                                <w:rFonts w:ascii="Arial"/>
                                <w:b/>
                                <w:spacing w:val="-1"/>
                                <w:sz w:val="9"/>
                              </w:rPr>
                              <w:t> </w:t>
                            </w:r>
                            <w:r>
                              <w:rPr>
                                <w:rFonts w:ascii="Arial"/>
                                <w:b/>
                                <w:spacing w:val="-2"/>
                                <w:w w:val="95"/>
                                <w:sz w:val="9"/>
                              </w:rPr>
                              <w:t>127,50</w:t>
                            </w:r>
                          </w:p>
                        </w:tc>
                        <w:tc>
                          <w:tcPr>
                            <w:tcW w:w="809" w:type="dxa"/>
                            <w:shd w:val="clear" w:color="auto" w:fill="E7E6E6"/>
                          </w:tcPr>
                          <w:p>
                            <w:pPr>
                              <w:pStyle w:val="TableParagraph"/>
                              <w:spacing w:line="90" w:lineRule="exact" w:before="90"/>
                              <w:ind w:right="23"/>
                              <w:jc w:val="right"/>
                              <w:rPr>
                                <w:rFonts w:ascii="Arial"/>
                                <w:b/>
                                <w:sz w:val="9"/>
                              </w:rPr>
                            </w:pPr>
                            <w:r>
                              <w:rPr>
                                <w:rFonts w:ascii="Arial"/>
                                <w:b/>
                                <w:w w:val="80"/>
                                <w:sz w:val="9"/>
                              </w:rPr>
                              <w:t>50</w:t>
                            </w:r>
                            <w:r>
                              <w:rPr>
                                <w:rFonts w:ascii="Arial"/>
                                <w:b/>
                                <w:spacing w:val="-1"/>
                                <w:w w:val="95"/>
                                <w:sz w:val="9"/>
                              </w:rPr>
                              <w:t> </w:t>
                            </w:r>
                            <w:r>
                              <w:rPr>
                                <w:rFonts w:ascii="Arial"/>
                                <w:b/>
                                <w:spacing w:val="-2"/>
                                <w:w w:val="95"/>
                                <w:sz w:val="9"/>
                              </w:rPr>
                              <w:t>995,42</w:t>
                            </w:r>
                          </w:p>
                        </w:tc>
                        <w:tc>
                          <w:tcPr>
                            <w:tcW w:w="720" w:type="dxa"/>
                            <w:shd w:val="clear" w:color="auto" w:fill="E7E6E6"/>
                          </w:tcPr>
                          <w:p>
                            <w:pPr>
                              <w:pStyle w:val="TableParagraph"/>
                              <w:spacing w:line="90" w:lineRule="exact" w:before="90"/>
                              <w:ind w:right="1"/>
                              <w:jc w:val="right"/>
                              <w:rPr>
                                <w:rFonts w:ascii="Arial"/>
                                <w:sz w:val="9"/>
                              </w:rPr>
                            </w:pPr>
                            <w:r>
                              <w:rPr>
                                <w:rFonts w:ascii="Arial"/>
                                <w:w w:val="80"/>
                                <w:sz w:val="9"/>
                              </w:rPr>
                              <w:t>-83</w:t>
                            </w:r>
                            <w:r>
                              <w:rPr>
                                <w:rFonts w:ascii="Arial"/>
                                <w:spacing w:val="-3"/>
                                <w:sz w:val="9"/>
                              </w:rPr>
                              <w:t> </w:t>
                            </w:r>
                            <w:r>
                              <w:rPr>
                                <w:rFonts w:ascii="Arial"/>
                                <w:spacing w:val="-2"/>
                                <w:w w:val="80"/>
                                <w:sz w:val="9"/>
                              </w:rPr>
                              <w:t>132,08</w:t>
                            </w:r>
                          </w:p>
                        </w:tc>
                        <w:tc>
                          <w:tcPr>
                            <w:tcW w:w="804" w:type="dxa"/>
                            <w:shd w:val="clear" w:color="auto" w:fill="E7E6E6"/>
                          </w:tcPr>
                          <w:p>
                            <w:pPr>
                              <w:pStyle w:val="TableParagraph"/>
                              <w:spacing w:line="90" w:lineRule="exact" w:before="90"/>
                              <w:ind w:right="24"/>
                              <w:jc w:val="right"/>
                              <w:rPr>
                                <w:rFonts w:ascii="Arial"/>
                                <w:b/>
                                <w:sz w:val="9"/>
                              </w:rPr>
                            </w:pPr>
                            <w:r>
                              <w:rPr>
                                <w:rFonts w:ascii="Arial"/>
                                <w:b/>
                                <w:w w:val="80"/>
                                <w:sz w:val="9"/>
                              </w:rPr>
                              <w:t>537</w:t>
                            </w:r>
                            <w:r>
                              <w:rPr>
                                <w:rFonts w:ascii="Arial"/>
                                <w:b/>
                                <w:spacing w:val="-1"/>
                                <w:sz w:val="9"/>
                              </w:rPr>
                              <w:t> </w:t>
                            </w:r>
                            <w:r>
                              <w:rPr>
                                <w:rFonts w:ascii="Arial"/>
                                <w:b/>
                                <w:spacing w:val="-2"/>
                                <w:w w:val="95"/>
                                <w:sz w:val="9"/>
                              </w:rPr>
                              <w:t>652,12</w:t>
                            </w: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65</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6"/>
        <w:gridCol w:w="3291"/>
        <w:gridCol w:w="1414"/>
        <w:gridCol w:w="1195"/>
        <w:gridCol w:w="1238"/>
        <w:gridCol w:w="935"/>
      </w:tblGrid>
      <w:tr>
        <w:trPr>
          <w:trHeight w:val="177" w:hRule="atLeast"/>
        </w:trPr>
        <w:tc>
          <w:tcPr>
            <w:tcW w:w="926" w:type="dxa"/>
            <w:vMerge w:val="restart"/>
            <w:tcBorders>
              <w:bottom w:val="nil"/>
            </w:tcBorders>
          </w:tcPr>
          <w:p>
            <w:pPr>
              <w:pStyle w:val="TableParagraph"/>
              <w:rPr>
                <w:rFonts w:ascii="Times New Roman"/>
                <w:sz w:val="12"/>
              </w:rPr>
            </w:pPr>
          </w:p>
        </w:tc>
        <w:tc>
          <w:tcPr>
            <w:tcW w:w="3291" w:type="dxa"/>
            <w:vMerge w:val="restart"/>
            <w:tcBorders>
              <w:top w:val="single" w:sz="6" w:space="0" w:color="000000"/>
              <w:right w:val="nil"/>
            </w:tcBorders>
          </w:tcPr>
          <w:p>
            <w:pPr>
              <w:pStyle w:val="TableParagraph"/>
              <w:rPr>
                <w:sz w:val="14"/>
              </w:rPr>
            </w:pPr>
          </w:p>
          <w:p>
            <w:pPr>
              <w:pStyle w:val="TableParagraph"/>
              <w:spacing w:before="60"/>
              <w:rPr>
                <w:sz w:val="14"/>
              </w:rPr>
            </w:pPr>
          </w:p>
          <w:p>
            <w:pPr>
              <w:pStyle w:val="TableParagraph"/>
              <w:spacing w:line="276" w:lineRule="auto"/>
              <w:ind w:left="107" w:right="1838"/>
              <w:rPr>
                <w:rFonts w:ascii="Times New Roman" w:hAnsi="Times New Roman"/>
                <w:sz w:val="14"/>
              </w:rPr>
            </w:pPr>
            <w:r>
              <w:rPr>
                <w:rFonts w:ascii="Times New Roman" w:hAnsi="Times New Roman"/>
                <w:sz w:val="14"/>
              </w:rPr>
              <w:t>Saldo</w:t>
            </w:r>
            <w:r>
              <w:rPr>
                <w:rFonts w:ascii="Times New Roman" w:hAnsi="Times New Roman"/>
                <w:spacing w:val="-7"/>
                <w:sz w:val="14"/>
              </w:rPr>
              <w:t> </w:t>
            </w:r>
            <w:r>
              <w:rPr>
                <w:rFonts w:ascii="Times New Roman" w:hAnsi="Times New Roman"/>
                <w:sz w:val="14"/>
              </w:rPr>
              <w:t>al</w:t>
            </w:r>
            <w:r>
              <w:rPr>
                <w:rFonts w:ascii="Times New Roman" w:hAnsi="Times New Roman"/>
                <w:spacing w:val="-4"/>
                <w:sz w:val="14"/>
              </w:rPr>
              <w:t> </w:t>
            </w:r>
            <w:r>
              <w:rPr>
                <w:rFonts w:ascii="Times New Roman" w:hAnsi="Times New Roman"/>
                <w:sz w:val="14"/>
              </w:rPr>
              <w:t>inicio</w:t>
            </w:r>
            <w:r>
              <w:rPr>
                <w:rFonts w:ascii="Times New Roman" w:hAnsi="Times New Roman"/>
                <w:spacing w:val="-6"/>
                <w:sz w:val="14"/>
              </w:rPr>
              <w:t> </w:t>
            </w:r>
            <w:r>
              <w:rPr>
                <w:rFonts w:ascii="Times New Roman" w:hAnsi="Times New Roman"/>
                <w:sz w:val="14"/>
              </w:rPr>
              <w:t>del</w:t>
            </w:r>
            <w:r>
              <w:rPr>
                <w:rFonts w:ascii="Times New Roman" w:hAnsi="Times New Roman"/>
                <w:spacing w:val="-4"/>
                <w:sz w:val="14"/>
              </w:rPr>
              <w:t> </w:t>
            </w:r>
            <w:r>
              <w:rPr>
                <w:rFonts w:ascii="Times New Roman" w:hAnsi="Times New Roman"/>
                <w:sz w:val="14"/>
              </w:rPr>
              <w:t>año</w:t>
            </w:r>
            <w:r>
              <w:rPr>
                <w:rFonts w:ascii="Times New Roman" w:hAnsi="Times New Roman"/>
                <w:spacing w:val="40"/>
                <w:sz w:val="14"/>
              </w:rPr>
              <w:t> </w:t>
            </w:r>
            <w:r>
              <w:rPr>
                <w:rFonts w:ascii="Times New Roman" w:hAnsi="Times New Roman"/>
                <w:sz w:val="14"/>
              </w:rPr>
              <w:t>Incrementos del año</w:t>
            </w:r>
            <w:r>
              <w:rPr>
                <w:rFonts w:ascii="Times New Roman" w:hAnsi="Times New Roman"/>
                <w:spacing w:val="40"/>
                <w:sz w:val="14"/>
              </w:rPr>
              <w:t> </w:t>
            </w:r>
            <w:r>
              <w:rPr>
                <w:rFonts w:ascii="Times New Roman" w:hAnsi="Times New Roman"/>
                <w:sz w:val="14"/>
              </w:rPr>
              <w:t>Uso de la estimación</w:t>
            </w:r>
          </w:p>
          <w:p>
            <w:pPr>
              <w:pStyle w:val="TableParagraph"/>
              <w:spacing w:line="143" w:lineRule="exact"/>
              <w:ind w:left="107"/>
              <w:rPr>
                <w:rFonts w:ascii="Times New Roman"/>
                <w:sz w:val="14"/>
              </w:rPr>
            </w:pPr>
            <w:r>
              <w:rPr>
                <w:rFonts w:ascii="Times New Roman"/>
                <w:sz w:val="14"/>
              </w:rPr>
              <w:t>Saldo</w:t>
            </w:r>
            <w:r>
              <w:rPr>
                <w:rFonts w:ascii="Times New Roman"/>
                <w:spacing w:val="-2"/>
                <w:sz w:val="14"/>
              </w:rPr>
              <w:t> </w:t>
            </w:r>
            <w:r>
              <w:rPr>
                <w:rFonts w:ascii="Times New Roman"/>
                <w:sz w:val="14"/>
              </w:rPr>
              <w:t>al</w:t>
            </w:r>
            <w:r>
              <w:rPr>
                <w:rFonts w:ascii="Times New Roman"/>
                <w:spacing w:val="3"/>
                <w:sz w:val="14"/>
              </w:rPr>
              <w:t> </w:t>
            </w:r>
            <w:r>
              <w:rPr>
                <w:rFonts w:ascii="Times New Roman"/>
                <w:spacing w:val="-2"/>
                <w:sz w:val="14"/>
              </w:rPr>
              <w:t>final</w:t>
            </w:r>
          </w:p>
        </w:tc>
        <w:tc>
          <w:tcPr>
            <w:tcW w:w="3847" w:type="dxa"/>
            <w:gridSpan w:val="3"/>
            <w:tcBorders>
              <w:top w:val="single" w:sz="6" w:space="0" w:color="000000"/>
              <w:left w:val="nil"/>
              <w:bottom w:val="single" w:sz="6" w:space="0" w:color="000000"/>
            </w:tcBorders>
          </w:tcPr>
          <w:p>
            <w:pPr>
              <w:pStyle w:val="TableParagraph"/>
              <w:tabs>
                <w:tab w:pos="3098" w:val="left" w:leader="none"/>
              </w:tabs>
              <w:spacing w:line="135" w:lineRule="exact" w:before="22"/>
              <w:ind w:left="576"/>
              <w:rPr>
                <w:rFonts w:ascii="Times New Roman"/>
                <w:b/>
                <w:sz w:val="13"/>
              </w:rPr>
            </w:pPr>
            <w:r>
              <w:rPr>
                <w:rFonts w:ascii="Times New Roman"/>
                <w:b/>
                <w:spacing w:val="-4"/>
                <w:sz w:val="13"/>
                <w:u w:val="single"/>
              </w:rPr>
              <w:t>2026</w:t>
            </w:r>
            <w:r>
              <w:rPr>
                <w:rFonts w:ascii="Times New Roman"/>
                <w:b/>
                <w:sz w:val="13"/>
                <w:u w:val="none"/>
              </w:rPr>
              <w:tab/>
            </w:r>
            <w:r>
              <w:rPr>
                <w:rFonts w:ascii="Times New Roman"/>
                <w:b/>
                <w:spacing w:val="-4"/>
                <w:sz w:val="13"/>
                <w:u w:val="single"/>
              </w:rPr>
              <w:t>2025</w:t>
            </w:r>
          </w:p>
        </w:tc>
        <w:tc>
          <w:tcPr>
            <w:tcW w:w="935" w:type="dxa"/>
            <w:vMerge w:val="restart"/>
            <w:tcBorders>
              <w:bottom w:val="nil"/>
            </w:tcBorders>
          </w:tcPr>
          <w:p>
            <w:pPr>
              <w:pStyle w:val="TableParagraph"/>
              <w:rPr>
                <w:rFonts w:ascii="Times New Roman"/>
                <w:sz w:val="12"/>
              </w:rPr>
            </w:pPr>
          </w:p>
        </w:tc>
      </w:tr>
      <w:tr>
        <w:trPr>
          <w:trHeight w:val="164" w:hRule="atLeast"/>
        </w:trPr>
        <w:tc>
          <w:tcPr>
            <w:tcW w:w="926" w:type="dxa"/>
            <w:vMerge/>
            <w:tcBorders>
              <w:top w:val="nil"/>
              <w:bottom w:val="nil"/>
            </w:tcBorders>
          </w:tcPr>
          <w:p>
            <w:pPr>
              <w:rPr>
                <w:sz w:val="2"/>
                <w:szCs w:val="2"/>
              </w:rPr>
            </w:pPr>
          </w:p>
        </w:tc>
        <w:tc>
          <w:tcPr>
            <w:tcW w:w="3291" w:type="dxa"/>
            <w:vMerge/>
            <w:tcBorders>
              <w:top w:val="nil"/>
              <w:right w:val="nil"/>
            </w:tcBorders>
          </w:tcPr>
          <w:p>
            <w:pPr>
              <w:rPr>
                <w:sz w:val="2"/>
                <w:szCs w:val="2"/>
              </w:rPr>
            </w:pPr>
          </w:p>
        </w:tc>
        <w:tc>
          <w:tcPr>
            <w:tcW w:w="1414" w:type="dxa"/>
            <w:tcBorders>
              <w:top w:val="single" w:sz="6" w:space="0" w:color="000000"/>
              <w:left w:val="nil"/>
              <w:bottom w:val="single" w:sz="6" w:space="0" w:color="000000"/>
              <w:right w:val="nil"/>
            </w:tcBorders>
          </w:tcPr>
          <w:p>
            <w:pPr>
              <w:pStyle w:val="TableParagraph"/>
              <w:rPr>
                <w:rFonts w:ascii="Times New Roman"/>
                <w:sz w:val="10"/>
              </w:rPr>
            </w:pPr>
          </w:p>
        </w:tc>
        <w:tc>
          <w:tcPr>
            <w:tcW w:w="1195" w:type="dxa"/>
            <w:tcBorders>
              <w:top w:val="single" w:sz="6" w:space="0" w:color="000000"/>
              <w:left w:val="nil"/>
              <w:bottom w:val="nil"/>
              <w:right w:val="nil"/>
            </w:tcBorders>
          </w:tcPr>
          <w:p>
            <w:pPr>
              <w:pStyle w:val="TableParagraph"/>
              <w:rPr>
                <w:rFonts w:ascii="Times New Roman"/>
                <w:sz w:val="10"/>
              </w:rPr>
            </w:pPr>
          </w:p>
        </w:tc>
        <w:tc>
          <w:tcPr>
            <w:tcW w:w="1238" w:type="dxa"/>
            <w:tcBorders>
              <w:top w:val="single" w:sz="6" w:space="0" w:color="000000"/>
              <w:left w:val="nil"/>
              <w:bottom w:val="single" w:sz="6" w:space="0" w:color="000000"/>
            </w:tcBorders>
          </w:tcPr>
          <w:p>
            <w:pPr>
              <w:pStyle w:val="TableParagraph"/>
              <w:rPr>
                <w:rFonts w:ascii="Times New Roman"/>
                <w:sz w:val="10"/>
              </w:rPr>
            </w:pPr>
          </w:p>
        </w:tc>
        <w:tc>
          <w:tcPr>
            <w:tcW w:w="935" w:type="dxa"/>
            <w:vMerge/>
            <w:tcBorders>
              <w:top w:val="nil"/>
              <w:bottom w:val="nil"/>
            </w:tcBorders>
          </w:tcPr>
          <w:p>
            <w:pPr>
              <w:rPr>
                <w:sz w:val="2"/>
                <w:szCs w:val="2"/>
              </w:rPr>
            </w:pPr>
          </w:p>
        </w:tc>
      </w:tr>
      <w:tr>
        <w:trPr>
          <w:trHeight w:val="726" w:hRule="atLeast"/>
        </w:trPr>
        <w:tc>
          <w:tcPr>
            <w:tcW w:w="926" w:type="dxa"/>
            <w:vMerge/>
            <w:tcBorders>
              <w:top w:val="nil"/>
              <w:bottom w:val="nil"/>
            </w:tcBorders>
          </w:tcPr>
          <w:p>
            <w:pPr>
              <w:rPr>
                <w:sz w:val="2"/>
                <w:szCs w:val="2"/>
              </w:rPr>
            </w:pPr>
          </w:p>
        </w:tc>
        <w:tc>
          <w:tcPr>
            <w:tcW w:w="3291" w:type="dxa"/>
            <w:vMerge/>
            <w:tcBorders>
              <w:top w:val="nil"/>
              <w:right w:val="nil"/>
            </w:tcBorders>
          </w:tcPr>
          <w:p>
            <w:pPr>
              <w:rPr>
                <w:sz w:val="2"/>
                <w:szCs w:val="2"/>
              </w:rPr>
            </w:pPr>
          </w:p>
        </w:tc>
        <w:tc>
          <w:tcPr>
            <w:tcW w:w="2609" w:type="dxa"/>
            <w:gridSpan w:val="2"/>
            <w:tcBorders>
              <w:top w:val="nil"/>
              <w:left w:val="nil"/>
              <w:right w:val="nil"/>
            </w:tcBorders>
          </w:tcPr>
          <w:p>
            <w:pPr>
              <w:pStyle w:val="TableParagraph"/>
              <w:spacing w:before="7"/>
              <w:ind w:left="751"/>
              <w:rPr>
                <w:rFonts w:ascii="Times New Roman"/>
                <w:sz w:val="14"/>
              </w:rPr>
            </w:pPr>
            <w:r>
              <w:rPr>
                <w:rFonts w:ascii="Times New Roman"/>
                <w:sz w:val="14"/>
              </w:rPr>
              <w:t>620</w:t>
            </w:r>
            <w:r>
              <w:rPr>
                <w:rFonts w:ascii="Times New Roman"/>
                <w:spacing w:val="3"/>
                <w:sz w:val="14"/>
              </w:rPr>
              <w:t> </w:t>
            </w:r>
            <w:r>
              <w:rPr>
                <w:rFonts w:ascii="Times New Roman"/>
                <w:spacing w:val="-2"/>
                <w:sz w:val="14"/>
              </w:rPr>
              <w:t>784,19</w:t>
            </w:r>
          </w:p>
          <w:p>
            <w:pPr>
              <w:pStyle w:val="TableParagraph"/>
              <w:spacing w:before="26"/>
              <w:ind w:left="823"/>
              <w:rPr>
                <w:rFonts w:ascii="Times New Roman"/>
                <w:sz w:val="14"/>
              </w:rPr>
            </w:pPr>
            <w:r>
              <w:rPr>
                <w:rFonts w:ascii="Times New Roman"/>
                <w:sz w:val="14"/>
              </w:rPr>
              <w:t>50</w:t>
            </w:r>
            <w:r>
              <w:rPr>
                <w:rFonts w:ascii="Times New Roman"/>
                <w:spacing w:val="2"/>
                <w:sz w:val="14"/>
              </w:rPr>
              <w:t> </w:t>
            </w:r>
            <w:r>
              <w:rPr>
                <w:rFonts w:ascii="Times New Roman"/>
                <w:spacing w:val="-2"/>
                <w:sz w:val="14"/>
              </w:rPr>
              <w:t>995,43</w:t>
            </w:r>
          </w:p>
          <w:p>
            <w:pPr>
              <w:pStyle w:val="TableParagraph"/>
              <w:tabs>
                <w:tab w:pos="722" w:val="left" w:leader="none"/>
              </w:tabs>
              <w:spacing w:before="30"/>
              <w:ind w:left="5"/>
              <w:rPr>
                <w:rFonts w:ascii="Calibri"/>
                <w:sz w:val="13"/>
              </w:rPr>
            </w:pPr>
            <w:r>
              <w:rPr>
                <w:rFonts w:ascii="Calibri"/>
                <w:sz w:val="13"/>
                <w:u w:val="single"/>
              </w:rPr>
              <w:tab/>
              <w:t>-134</w:t>
            </w:r>
            <w:r>
              <w:rPr>
                <w:rFonts w:ascii="Calibri"/>
                <w:spacing w:val="1"/>
                <w:sz w:val="13"/>
                <w:u w:val="single"/>
              </w:rPr>
              <w:t> </w:t>
            </w:r>
            <w:r>
              <w:rPr>
                <w:rFonts w:ascii="Calibri"/>
                <w:spacing w:val="-2"/>
                <w:sz w:val="13"/>
                <w:u w:val="single"/>
              </w:rPr>
              <w:t>127,51</w:t>
            </w:r>
            <w:r>
              <w:rPr>
                <w:rFonts w:ascii="Calibri"/>
                <w:spacing w:val="80"/>
                <w:sz w:val="13"/>
                <w:u w:val="single"/>
              </w:rPr>
              <w:t> </w:t>
            </w:r>
          </w:p>
          <w:p>
            <w:pPr>
              <w:pStyle w:val="TableParagraph"/>
              <w:spacing w:line="142" w:lineRule="exact" w:before="21"/>
              <w:ind w:left="751"/>
              <w:rPr>
                <w:rFonts w:ascii="Times New Roman"/>
                <w:b/>
                <w:sz w:val="14"/>
              </w:rPr>
            </w:pPr>
            <w:r>
              <w:rPr>
                <w:rFonts w:ascii="Times New Roman"/>
                <w:b/>
                <w:sz w:val="14"/>
              </w:rPr>
              <w:t>537</w:t>
            </w:r>
            <w:r>
              <w:rPr>
                <w:rFonts w:ascii="Times New Roman"/>
                <w:b/>
                <w:spacing w:val="3"/>
                <w:sz w:val="14"/>
              </w:rPr>
              <w:t> </w:t>
            </w:r>
            <w:r>
              <w:rPr>
                <w:rFonts w:ascii="Times New Roman"/>
                <w:b/>
                <w:spacing w:val="-2"/>
                <w:sz w:val="14"/>
              </w:rPr>
              <w:t>652,11</w:t>
            </w:r>
          </w:p>
        </w:tc>
        <w:tc>
          <w:tcPr>
            <w:tcW w:w="1238" w:type="dxa"/>
            <w:tcBorders>
              <w:top w:val="single" w:sz="6" w:space="0" w:color="000000"/>
              <w:left w:val="nil"/>
            </w:tcBorders>
          </w:tcPr>
          <w:p>
            <w:pPr>
              <w:pStyle w:val="TableParagraph"/>
              <w:spacing w:before="7"/>
              <w:ind w:left="579"/>
              <w:rPr>
                <w:rFonts w:ascii="Times New Roman"/>
                <w:sz w:val="14"/>
              </w:rPr>
            </w:pPr>
            <w:r>
              <w:rPr>
                <w:rFonts w:ascii="Times New Roman"/>
                <w:sz w:val="14"/>
              </w:rPr>
              <w:t>801</w:t>
            </w:r>
            <w:r>
              <w:rPr>
                <w:rFonts w:ascii="Times New Roman"/>
                <w:spacing w:val="3"/>
                <w:sz w:val="14"/>
              </w:rPr>
              <w:t> </w:t>
            </w:r>
            <w:r>
              <w:rPr>
                <w:rFonts w:ascii="Times New Roman"/>
                <w:spacing w:val="-2"/>
                <w:sz w:val="14"/>
              </w:rPr>
              <w:t>404,33</w:t>
            </w:r>
          </w:p>
          <w:p>
            <w:pPr>
              <w:pStyle w:val="TableParagraph"/>
              <w:spacing w:before="26"/>
              <w:ind w:left="651"/>
              <w:rPr>
                <w:rFonts w:ascii="Times New Roman"/>
                <w:sz w:val="14"/>
              </w:rPr>
            </w:pPr>
            <w:r>
              <w:rPr>
                <w:rFonts w:ascii="Times New Roman"/>
                <w:sz w:val="14"/>
              </w:rPr>
              <w:t>54</w:t>
            </w:r>
            <w:r>
              <w:rPr>
                <w:rFonts w:ascii="Times New Roman"/>
                <w:spacing w:val="2"/>
                <w:sz w:val="14"/>
              </w:rPr>
              <w:t> </w:t>
            </w:r>
            <w:r>
              <w:rPr>
                <w:rFonts w:ascii="Times New Roman"/>
                <w:spacing w:val="-2"/>
                <w:sz w:val="14"/>
              </w:rPr>
              <w:t>405,21</w:t>
            </w:r>
          </w:p>
          <w:p>
            <w:pPr>
              <w:pStyle w:val="TableParagraph"/>
              <w:spacing w:before="23"/>
              <w:ind w:left="533"/>
              <w:rPr>
                <w:rFonts w:ascii="Times New Roman"/>
                <w:sz w:val="14"/>
              </w:rPr>
            </w:pPr>
            <w:r>
              <w:rPr>
                <w:rFonts w:ascii="Times New Roman"/>
                <w:sz w:val="14"/>
                <w:u w:val="single"/>
              </w:rPr>
              <w:t>-182</w:t>
            </w:r>
            <w:r>
              <w:rPr>
                <w:rFonts w:ascii="Times New Roman"/>
                <w:spacing w:val="2"/>
                <w:sz w:val="14"/>
                <w:u w:val="single"/>
              </w:rPr>
              <w:t> </w:t>
            </w:r>
            <w:r>
              <w:rPr>
                <w:rFonts w:ascii="Times New Roman"/>
                <w:spacing w:val="-2"/>
                <w:sz w:val="14"/>
                <w:u w:val="single"/>
              </w:rPr>
              <w:t>914,79</w:t>
            </w:r>
          </w:p>
          <w:p>
            <w:pPr>
              <w:pStyle w:val="TableParagraph"/>
              <w:spacing w:line="142" w:lineRule="exact" w:before="26"/>
              <w:ind w:left="579"/>
              <w:rPr>
                <w:rFonts w:ascii="Times New Roman"/>
                <w:b/>
                <w:sz w:val="14"/>
              </w:rPr>
            </w:pPr>
            <w:r>
              <w:rPr>
                <w:rFonts w:ascii="Times New Roman"/>
                <w:b/>
                <w:sz w:val="14"/>
              </w:rPr>
              <w:t>672</w:t>
            </w:r>
            <w:r>
              <w:rPr>
                <w:rFonts w:ascii="Times New Roman"/>
                <w:b/>
                <w:spacing w:val="3"/>
                <w:sz w:val="14"/>
              </w:rPr>
              <w:t> </w:t>
            </w:r>
            <w:r>
              <w:rPr>
                <w:rFonts w:ascii="Times New Roman"/>
                <w:b/>
                <w:spacing w:val="-2"/>
                <w:sz w:val="14"/>
              </w:rPr>
              <w:t>894,74</w:t>
            </w:r>
          </w:p>
        </w:tc>
        <w:tc>
          <w:tcPr>
            <w:tcW w:w="935" w:type="dxa"/>
            <w:vMerge/>
            <w:tcBorders>
              <w:top w:val="nil"/>
              <w:bottom w:val="nil"/>
            </w:tcBorders>
          </w:tcPr>
          <w:p>
            <w:pPr>
              <w:rPr>
                <w:sz w:val="2"/>
                <w:szCs w:val="2"/>
              </w:rPr>
            </w:pPr>
          </w:p>
        </w:tc>
      </w:tr>
      <w:tr>
        <w:trPr>
          <w:trHeight w:val="5142" w:hRule="atLeast"/>
        </w:trPr>
        <w:tc>
          <w:tcPr>
            <w:tcW w:w="8999" w:type="dxa"/>
            <w:gridSpan w:val="6"/>
            <w:tcBorders>
              <w:top w:val="nil"/>
            </w:tcBorders>
          </w:tcPr>
          <w:p>
            <w:pPr>
              <w:pStyle w:val="TableParagraph"/>
              <w:spacing w:before="178"/>
              <w:ind w:left="107"/>
              <w:rPr>
                <w:sz w:val="22"/>
              </w:rPr>
            </w:pPr>
            <w:r>
              <w:rPr>
                <w:sz w:val="22"/>
              </w:rPr>
              <w:t>Con</w:t>
            </w:r>
            <w:r>
              <w:rPr>
                <w:spacing w:val="-7"/>
                <w:sz w:val="22"/>
              </w:rPr>
              <w:t> </w:t>
            </w:r>
            <w:r>
              <w:rPr>
                <w:sz w:val="22"/>
              </w:rPr>
              <w:t>respecto</w:t>
            </w:r>
            <w:r>
              <w:rPr>
                <w:spacing w:val="-3"/>
                <w:sz w:val="22"/>
              </w:rPr>
              <w:t> </w:t>
            </w:r>
            <w:r>
              <w:rPr>
                <w:sz w:val="22"/>
              </w:rPr>
              <w:t>a</w:t>
            </w:r>
            <w:r>
              <w:rPr>
                <w:spacing w:val="-3"/>
                <w:sz w:val="22"/>
              </w:rPr>
              <w:t> </w:t>
            </w:r>
            <w:r>
              <w:rPr>
                <w:sz w:val="22"/>
              </w:rPr>
              <w:t>las</w:t>
            </w:r>
            <w:r>
              <w:rPr>
                <w:spacing w:val="-3"/>
                <w:sz w:val="22"/>
              </w:rPr>
              <w:t> </w:t>
            </w:r>
            <w:r>
              <w:rPr>
                <w:sz w:val="22"/>
              </w:rPr>
              <w:t>previsiones</w:t>
            </w:r>
            <w:r>
              <w:rPr>
                <w:spacing w:val="-2"/>
                <w:sz w:val="22"/>
              </w:rPr>
              <w:t> </w:t>
            </w:r>
            <w:r>
              <w:rPr>
                <w:sz w:val="22"/>
              </w:rPr>
              <w:t>para</w:t>
            </w:r>
            <w:r>
              <w:rPr>
                <w:spacing w:val="-4"/>
                <w:sz w:val="22"/>
              </w:rPr>
              <w:t> </w:t>
            </w:r>
            <w:r>
              <w:rPr>
                <w:sz w:val="22"/>
              </w:rPr>
              <w:t>deterioro</w:t>
            </w:r>
            <w:r>
              <w:rPr>
                <w:spacing w:val="-3"/>
                <w:sz w:val="22"/>
              </w:rPr>
              <w:t> </w:t>
            </w:r>
            <w:r>
              <w:rPr>
                <w:sz w:val="22"/>
              </w:rPr>
              <w:t>de</w:t>
            </w:r>
            <w:r>
              <w:rPr>
                <w:spacing w:val="-5"/>
                <w:sz w:val="22"/>
              </w:rPr>
              <w:t> </w:t>
            </w:r>
            <w:r>
              <w:rPr>
                <w:sz w:val="22"/>
              </w:rPr>
              <w:t>cuentas</w:t>
            </w:r>
            <w:r>
              <w:rPr>
                <w:spacing w:val="-4"/>
                <w:sz w:val="22"/>
              </w:rPr>
              <w:t> </w:t>
            </w:r>
            <w:r>
              <w:rPr>
                <w:sz w:val="22"/>
              </w:rPr>
              <w:t>a</w:t>
            </w:r>
            <w:r>
              <w:rPr>
                <w:spacing w:val="-4"/>
                <w:sz w:val="22"/>
              </w:rPr>
              <w:t> </w:t>
            </w:r>
            <w:r>
              <w:rPr>
                <w:sz w:val="22"/>
              </w:rPr>
              <w:t>cobrar</w:t>
            </w:r>
            <w:r>
              <w:rPr>
                <w:spacing w:val="-3"/>
                <w:sz w:val="22"/>
              </w:rPr>
              <w:t> </w:t>
            </w:r>
            <w:r>
              <w:rPr>
                <w:sz w:val="22"/>
              </w:rPr>
              <w:t>presenta</w:t>
            </w:r>
            <w:r>
              <w:rPr>
                <w:spacing w:val="-3"/>
                <w:sz w:val="22"/>
              </w:rPr>
              <w:t> </w:t>
            </w:r>
            <w:r>
              <w:rPr>
                <w:sz w:val="22"/>
              </w:rPr>
              <w:t>una</w:t>
            </w:r>
            <w:r>
              <w:rPr>
                <w:spacing w:val="-3"/>
                <w:sz w:val="22"/>
              </w:rPr>
              <w:t> </w:t>
            </w:r>
            <w:r>
              <w:rPr>
                <w:sz w:val="22"/>
              </w:rPr>
              <w:t>disminución</w:t>
            </w:r>
            <w:r>
              <w:rPr>
                <w:spacing w:val="-3"/>
                <w:sz w:val="22"/>
              </w:rPr>
              <w:t> </w:t>
            </w:r>
            <w:r>
              <w:rPr>
                <w:spacing w:val="-5"/>
                <w:sz w:val="22"/>
              </w:rPr>
              <w:t>del</w:t>
            </w:r>
          </w:p>
          <w:p>
            <w:pPr>
              <w:pStyle w:val="TableParagraph"/>
              <w:spacing w:before="21"/>
              <w:ind w:left="107"/>
              <w:rPr>
                <w:sz w:val="22"/>
              </w:rPr>
            </w:pPr>
            <w:r>
              <w:rPr>
                <w:sz w:val="22"/>
              </w:rPr>
              <w:t>-20,10%</w:t>
            </w:r>
            <w:r>
              <w:rPr>
                <w:spacing w:val="-5"/>
                <w:sz w:val="22"/>
              </w:rPr>
              <w:t> </w:t>
            </w:r>
            <w:r>
              <w:rPr>
                <w:sz w:val="22"/>
              </w:rPr>
              <w:t>producto</w:t>
            </w:r>
            <w:r>
              <w:rPr>
                <w:spacing w:val="-5"/>
                <w:sz w:val="22"/>
              </w:rPr>
              <w:t> </w:t>
            </w:r>
            <w:r>
              <w:rPr>
                <w:sz w:val="22"/>
              </w:rPr>
              <w:t>de</w:t>
            </w:r>
            <w:r>
              <w:rPr>
                <w:spacing w:val="-5"/>
                <w:sz w:val="22"/>
              </w:rPr>
              <w:t> </w:t>
            </w:r>
            <w:r>
              <w:rPr>
                <w:sz w:val="22"/>
              </w:rPr>
              <w:t>la</w:t>
            </w:r>
            <w:r>
              <w:rPr>
                <w:spacing w:val="-5"/>
                <w:sz w:val="22"/>
              </w:rPr>
              <w:t> </w:t>
            </w:r>
            <w:r>
              <w:rPr>
                <w:sz w:val="22"/>
              </w:rPr>
              <w:t>gestión</w:t>
            </w:r>
            <w:r>
              <w:rPr>
                <w:spacing w:val="-3"/>
                <w:sz w:val="22"/>
              </w:rPr>
              <w:t> </w:t>
            </w:r>
            <w:r>
              <w:rPr>
                <w:sz w:val="22"/>
              </w:rPr>
              <w:t>cobratoria</w:t>
            </w:r>
            <w:r>
              <w:rPr>
                <w:spacing w:val="-3"/>
                <w:sz w:val="22"/>
              </w:rPr>
              <w:t> </w:t>
            </w:r>
            <w:r>
              <w:rPr>
                <w:sz w:val="22"/>
              </w:rPr>
              <w:t>y</w:t>
            </w:r>
            <w:r>
              <w:rPr>
                <w:spacing w:val="-4"/>
                <w:sz w:val="22"/>
              </w:rPr>
              <w:t> </w:t>
            </w:r>
            <w:r>
              <w:rPr>
                <w:sz w:val="22"/>
              </w:rPr>
              <w:t>depuración</w:t>
            </w:r>
            <w:r>
              <w:rPr>
                <w:spacing w:val="-5"/>
                <w:sz w:val="22"/>
              </w:rPr>
              <w:t> </w:t>
            </w:r>
            <w:r>
              <w:rPr>
                <w:sz w:val="22"/>
              </w:rPr>
              <w:t>de</w:t>
            </w:r>
            <w:r>
              <w:rPr>
                <w:spacing w:val="-5"/>
                <w:sz w:val="22"/>
              </w:rPr>
              <w:t> </w:t>
            </w:r>
            <w:r>
              <w:rPr>
                <w:sz w:val="22"/>
              </w:rPr>
              <w:t>las</w:t>
            </w:r>
            <w:r>
              <w:rPr>
                <w:spacing w:val="-2"/>
                <w:sz w:val="22"/>
              </w:rPr>
              <w:t> </w:t>
            </w:r>
            <w:r>
              <w:rPr>
                <w:sz w:val="22"/>
              </w:rPr>
              <w:t>cuentas</w:t>
            </w:r>
            <w:r>
              <w:rPr>
                <w:spacing w:val="-3"/>
                <w:sz w:val="22"/>
              </w:rPr>
              <w:t> </w:t>
            </w:r>
            <w:r>
              <w:rPr>
                <w:sz w:val="22"/>
              </w:rPr>
              <w:t>por</w:t>
            </w:r>
            <w:r>
              <w:rPr>
                <w:spacing w:val="-2"/>
                <w:sz w:val="22"/>
              </w:rPr>
              <w:t> cobrar.</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05"/>
              <w:rPr>
                <w:sz w:val="22"/>
              </w:rPr>
            </w:pPr>
          </w:p>
          <w:p>
            <w:pPr>
              <w:pStyle w:val="TableParagraph"/>
              <w:ind w:left="107"/>
              <w:rPr>
                <w:sz w:val="22"/>
              </w:rPr>
            </w:pPr>
            <w:r>
              <w:rPr>
                <w:sz w:val="22"/>
              </w:rPr>
              <w:t>La</w:t>
            </w:r>
            <w:r>
              <w:rPr>
                <w:spacing w:val="-4"/>
                <w:sz w:val="22"/>
              </w:rPr>
              <w:t> </w:t>
            </w:r>
            <w:r>
              <w:rPr>
                <w:sz w:val="22"/>
              </w:rPr>
              <w:t>variación</w:t>
            </w:r>
            <w:r>
              <w:rPr>
                <w:spacing w:val="-3"/>
                <w:sz w:val="22"/>
              </w:rPr>
              <w:t> </w:t>
            </w:r>
            <w:r>
              <w:rPr>
                <w:sz w:val="22"/>
              </w:rPr>
              <w:t>es</w:t>
            </w:r>
            <w:r>
              <w:rPr>
                <w:spacing w:val="-2"/>
                <w:sz w:val="22"/>
              </w:rPr>
              <w:t> </w:t>
            </w:r>
            <w:r>
              <w:rPr>
                <w:sz w:val="22"/>
              </w:rPr>
              <w:t>producto</w:t>
            </w:r>
            <w:r>
              <w:rPr>
                <w:spacing w:val="-2"/>
                <w:sz w:val="22"/>
              </w:rPr>
              <w:t> </w:t>
            </w:r>
            <w:r>
              <w:rPr>
                <w:sz w:val="22"/>
              </w:rPr>
              <w:t>de</w:t>
            </w:r>
            <w:r>
              <w:rPr>
                <w:spacing w:val="-4"/>
                <w:sz w:val="22"/>
              </w:rPr>
              <w:t> </w:t>
            </w:r>
            <w:r>
              <w:rPr>
                <w:sz w:val="22"/>
              </w:rPr>
              <w:t>lo</w:t>
            </w:r>
            <w:r>
              <w:rPr>
                <w:spacing w:val="-2"/>
                <w:sz w:val="22"/>
              </w:rPr>
              <w:t> siguiente:</w:t>
            </w:r>
          </w:p>
        </w:tc>
      </w:tr>
    </w:tbl>
    <w:p>
      <w:pPr>
        <w:pStyle w:val="BodyText"/>
        <w:spacing w:before="202"/>
        <w:rPr>
          <w:sz w:val="20"/>
        </w:rPr>
      </w:pPr>
    </w:p>
    <w:p>
      <w:pPr>
        <w:pStyle w:val="Heading5"/>
      </w:pPr>
      <w:r>
        <w:rPr/>
        <mc:AlternateContent>
          <mc:Choice Requires="wps">
            <w:drawing>
              <wp:anchor distT="0" distB="0" distL="0" distR="0" allowOverlap="1" layoutInCell="1" locked="0" behindDoc="0" simplePos="0" relativeHeight="15777792">
                <wp:simplePos x="0" y="0"/>
                <wp:positionH relativeFrom="page">
                  <wp:posOffset>1554109</wp:posOffset>
                </wp:positionH>
                <wp:positionV relativeFrom="paragraph">
                  <wp:posOffset>-1659661</wp:posOffset>
                </wp:positionV>
                <wp:extent cx="4756150" cy="1264920"/>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4756150" cy="1264920"/>
                        </a:xfrm>
                        <a:prstGeom prst="rect">
                          <a:avLst/>
                        </a:prstGeom>
                      </wps:spPr>
                      <wps:txbx>
                        <w:txbxContent>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0"/>
                              <w:gridCol w:w="1789"/>
                              <w:gridCol w:w="745"/>
                              <w:gridCol w:w="843"/>
                              <w:gridCol w:w="757"/>
                              <w:gridCol w:w="770"/>
                              <w:gridCol w:w="524"/>
                              <w:gridCol w:w="1416"/>
                            </w:tblGrid>
                            <w:tr>
                              <w:trPr>
                                <w:trHeight w:val="238" w:hRule="atLeast"/>
                              </w:trPr>
                              <w:tc>
                                <w:tcPr>
                                  <w:tcW w:w="7364" w:type="dxa"/>
                                  <w:gridSpan w:val="8"/>
                                  <w:tcBorders>
                                    <w:left w:val="single" w:sz="2" w:space="0" w:color="000000"/>
                                    <w:right w:val="single" w:sz="2" w:space="0" w:color="000000"/>
                                  </w:tcBorders>
                                  <w:shd w:val="clear" w:color="auto" w:fill="E7E6E6"/>
                                </w:tcPr>
                                <w:p>
                                  <w:pPr>
                                    <w:pStyle w:val="TableParagraph"/>
                                    <w:spacing w:before="71"/>
                                    <w:ind w:left="3"/>
                                    <w:jc w:val="center"/>
                                    <w:rPr>
                                      <w:rFonts w:ascii="Arial"/>
                                      <w:b/>
                                      <w:sz w:val="9"/>
                                    </w:rPr>
                                  </w:pPr>
                                  <w:r>
                                    <w:rPr>
                                      <w:rFonts w:ascii="Arial"/>
                                      <w:b/>
                                      <w:w w:val="90"/>
                                      <w:sz w:val="9"/>
                                    </w:rPr>
                                    <w:t>VARIACIONES</w:t>
                                  </w:r>
                                  <w:r>
                                    <w:rPr>
                                      <w:rFonts w:ascii="Arial"/>
                                      <w:b/>
                                      <w:spacing w:val="2"/>
                                      <w:sz w:val="9"/>
                                    </w:rPr>
                                    <w:t> </w:t>
                                  </w:r>
                                  <w:r>
                                    <w:rPr>
                                      <w:rFonts w:ascii="Arial"/>
                                      <w:b/>
                                      <w:w w:val="90"/>
                                      <w:sz w:val="9"/>
                                    </w:rPr>
                                    <w:t>DE</w:t>
                                  </w:r>
                                  <w:r>
                                    <w:rPr>
                                      <w:rFonts w:ascii="Arial"/>
                                      <w:b/>
                                      <w:spacing w:val="3"/>
                                      <w:sz w:val="9"/>
                                    </w:rPr>
                                    <w:t> </w:t>
                                  </w:r>
                                  <w:r>
                                    <w:rPr>
                                      <w:rFonts w:ascii="Arial"/>
                                      <w:b/>
                                      <w:w w:val="90"/>
                                      <w:sz w:val="9"/>
                                    </w:rPr>
                                    <w:t>LAS</w:t>
                                  </w:r>
                                  <w:r>
                                    <w:rPr>
                                      <w:rFonts w:ascii="Arial"/>
                                      <w:b/>
                                      <w:spacing w:val="4"/>
                                      <w:sz w:val="9"/>
                                    </w:rPr>
                                    <w:t> </w:t>
                                  </w:r>
                                  <w:r>
                                    <w:rPr>
                                      <w:rFonts w:ascii="Arial"/>
                                      <w:b/>
                                      <w:w w:val="90"/>
                                      <w:sz w:val="9"/>
                                    </w:rPr>
                                    <w:t>CUENTAS</w:t>
                                  </w:r>
                                  <w:r>
                                    <w:rPr>
                                      <w:rFonts w:ascii="Arial"/>
                                      <w:b/>
                                      <w:spacing w:val="3"/>
                                      <w:sz w:val="9"/>
                                    </w:rPr>
                                    <w:t> </w:t>
                                  </w:r>
                                  <w:r>
                                    <w:rPr>
                                      <w:rFonts w:ascii="Arial"/>
                                      <w:b/>
                                      <w:w w:val="90"/>
                                      <w:sz w:val="9"/>
                                    </w:rPr>
                                    <w:t>DE</w:t>
                                  </w:r>
                                  <w:r>
                                    <w:rPr>
                                      <w:rFonts w:ascii="Arial"/>
                                      <w:b/>
                                      <w:spacing w:val="4"/>
                                      <w:sz w:val="9"/>
                                    </w:rPr>
                                    <w:t> </w:t>
                                  </w:r>
                                  <w:r>
                                    <w:rPr>
                                      <w:rFonts w:ascii="Arial"/>
                                      <w:b/>
                                      <w:w w:val="90"/>
                                      <w:sz w:val="9"/>
                                    </w:rPr>
                                    <w:t>ESTIMACION</w:t>
                                  </w:r>
                                  <w:r>
                                    <w:rPr>
                                      <w:rFonts w:ascii="Arial"/>
                                      <w:b/>
                                      <w:sz w:val="9"/>
                                    </w:rPr>
                                    <w:t> </w:t>
                                  </w:r>
                                  <w:r>
                                    <w:rPr>
                                      <w:rFonts w:ascii="Arial"/>
                                      <w:b/>
                                      <w:w w:val="90"/>
                                      <w:sz w:val="9"/>
                                    </w:rPr>
                                    <w:t>DE</w:t>
                                  </w:r>
                                  <w:r>
                                    <w:rPr>
                                      <w:rFonts w:ascii="Arial"/>
                                      <w:b/>
                                      <w:spacing w:val="3"/>
                                      <w:sz w:val="9"/>
                                    </w:rPr>
                                    <w:t> </w:t>
                                  </w:r>
                                  <w:r>
                                    <w:rPr>
                                      <w:rFonts w:ascii="Arial"/>
                                      <w:b/>
                                      <w:w w:val="90"/>
                                      <w:sz w:val="9"/>
                                    </w:rPr>
                                    <w:t>INCOBRABLES</w:t>
                                  </w:r>
                                  <w:r>
                                    <w:rPr>
                                      <w:rFonts w:ascii="Arial"/>
                                      <w:b/>
                                      <w:spacing w:val="2"/>
                                      <w:sz w:val="9"/>
                                    </w:rPr>
                                    <w:t> </w:t>
                                  </w:r>
                                  <w:r>
                                    <w:rPr>
                                      <w:rFonts w:ascii="Arial"/>
                                      <w:b/>
                                      <w:w w:val="90"/>
                                      <w:sz w:val="9"/>
                                    </w:rPr>
                                    <w:t>DE</w:t>
                                  </w:r>
                                  <w:r>
                                    <w:rPr>
                                      <w:rFonts w:ascii="Arial"/>
                                      <w:b/>
                                      <w:spacing w:val="4"/>
                                      <w:sz w:val="9"/>
                                    </w:rPr>
                                    <w:t> </w:t>
                                  </w:r>
                                  <w:r>
                                    <w:rPr>
                                      <w:rFonts w:ascii="Arial"/>
                                      <w:b/>
                                      <w:w w:val="90"/>
                                      <w:sz w:val="9"/>
                                    </w:rPr>
                                    <w:t>LAS</w:t>
                                  </w:r>
                                  <w:r>
                                    <w:rPr>
                                      <w:rFonts w:ascii="Arial"/>
                                      <w:b/>
                                      <w:spacing w:val="4"/>
                                      <w:sz w:val="9"/>
                                    </w:rPr>
                                    <w:t> </w:t>
                                  </w:r>
                                  <w:r>
                                    <w:rPr>
                                      <w:rFonts w:ascii="Arial"/>
                                      <w:b/>
                                      <w:w w:val="90"/>
                                      <w:sz w:val="9"/>
                                    </w:rPr>
                                    <w:t>CUENTAS</w:t>
                                  </w:r>
                                  <w:r>
                                    <w:rPr>
                                      <w:rFonts w:ascii="Arial"/>
                                      <w:b/>
                                      <w:spacing w:val="3"/>
                                      <w:sz w:val="9"/>
                                    </w:rPr>
                                    <w:t> </w:t>
                                  </w:r>
                                  <w:r>
                                    <w:rPr>
                                      <w:rFonts w:ascii="Arial"/>
                                      <w:b/>
                                      <w:w w:val="90"/>
                                      <w:sz w:val="9"/>
                                    </w:rPr>
                                    <w:t>A</w:t>
                                  </w:r>
                                  <w:r>
                                    <w:rPr>
                                      <w:rFonts w:ascii="Arial"/>
                                      <w:b/>
                                      <w:sz w:val="9"/>
                                    </w:rPr>
                                    <w:t> </w:t>
                                  </w:r>
                                  <w:r>
                                    <w:rPr>
                                      <w:rFonts w:ascii="Arial"/>
                                      <w:b/>
                                      <w:w w:val="90"/>
                                      <w:sz w:val="9"/>
                                    </w:rPr>
                                    <w:t>COBRAR</w:t>
                                  </w:r>
                                  <w:r>
                                    <w:rPr>
                                      <w:rFonts w:ascii="Arial"/>
                                      <w:b/>
                                      <w:spacing w:val="3"/>
                                      <w:sz w:val="9"/>
                                    </w:rPr>
                                    <w:t> </w:t>
                                  </w:r>
                                  <w:r>
                                    <w:rPr>
                                      <w:rFonts w:ascii="Arial"/>
                                      <w:b/>
                                      <w:w w:val="90"/>
                                      <w:sz w:val="9"/>
                                    </w:rPr>
                                    <w:t>LP</w:t>
                                  </w:r>
                                  <w:r>
                                    <w:rPr>
                                      <w:rFonts w:ascii="Arial"/>
                                      <w:b/>
                                      <w:sz w:val="9"/>
                                    </w:rPr>
                                    <w:t> </w:t>
                                  </w:r>
                                  <w:r>
                                    <w:rPr>
                                      <w:rFonts w:ascii="Arial"/>
                                      <w:b/>
                                      <w:w w:val="90"/>
                                      <w:sz w:val="9"/>
                                    </w:rPr>
                                    <w:t>AL</w:t>
                                  </w:r>
                                  <w:r>
                                    <w:rPr>
                                      <w:rFonts w:ascii="Arial"/>
                                      <w:b/>
                                      <w:spacing w:val="2"/>
                                      <w:sz w:val="9"/>
                                    </w:rPr>
                                    <w:t> </w:t>
                                  </w:r>
                                  <w:r>
                                    <w:rPr>
                                      <w:rFonts w:ascii="Arial"/>
                                      <w:b/>
                                      <w:w w:val="90"/>
                                      <w:sz w:val="9"/>
                                    </w:rPr>
                                    <w:t>31.07.26</w:t>
                                  </w:r>
                                  <w:r>
                                    <w:rPr>
                                      <w:rFonts w:ascii="Arial"/>
                                      <w:b/>
                                      <w:spacing w:val="3"/>
                                      <w:sz w:val="9"/>
                                    </w:rPr>
                                    <w:t> </w:t>
                                  </w:r>
                                  <w:r>
                                    <w:rPr>
                                      <w:rFonts w:ascii="Arial"/>
                                      <w:b/>
                                      <w:w w:val="90"/>
                                      <w:sz w:val="9"/>
                                    </w:rPr>
                                    <w:t>y</w:t>
                                  </w:r>
                                  <w:r>
                                    <w:rPr>
                                      <w:rFonts w:ascii="Arial"/>
                                      <w:b/>
                                      <w:spacing w:val="5"/>
                                      <w:sz w:val="9"/>
                                    </w:rPr>
                                    <w:t> </w:t>
                                  </w:r>
                                  <w:r>
                                    <w:rPr>
                                      <w:rFonts w:ascii="Arial"/>
                                      <w:b/>
                                      <w:spacing w:val="-2"/>
                                      <w:w w:val="90"/>
                                      <w:sz w:val="9"/>
                                    </w:rPr>
                                    <w:t>31.07.25</w:t>
                                  </w:r>
                                </w:p>
                              </w:tc>
                            </w:tr>
                            <w:tr>
                              <w:trPr>
                                <w:trHeight w:val="115" w:hRule="atLeast"/>
                              </w:trPr>
                              <w:tc>
                                <w:tcPr>
                                  <w:tcW w:w="520" w:type="dxa"/>
                                  <w:tcBorders>
                                    <w:left w:val="single" w:sz="2" w:space="0" w:color="000000"/>
                                    <w:right w:val="single" w:sz="2" w:space="0" w:color="000000"/>
                                  </w:tcBorders>
                                </w:tcPr>
                                <w:p>
                                  <w:pPr>
                                    <w:pStyle w:val="TableParagraph"/>
                                    <w:rPr>
                                      <w:rFonts w:ascii="Times New Roman"/>
                                      <w:sz w:val="6"/>
                                    </w:rPr>
                                  </w:pPr>
                                </w:p>
                              </w:tc>
                              <w:tc>
                                <w:tcPr>
                                  <w:tcW w:w="1789" w:type="dxa"/>
                                  <w:tcBorders>
                                    <w:left w:val="single" w:sz="2" w:space="0" w:color="000000"/>
                                    <w:right w:val="single" w:sz="2" w:space="0" w:color="000000"/>
                                  </w:tcBorders>
                                </w:tcPr>
                                <w:p>
                                  <w:pPr>
                                    <w:pStyle w:val="TableParagraph"/>
                                    <w:rPr>
                                      <w:rFonts w:ascii="Times New Roman"/>
                                      <w:sz w:val="6"/>
                                    </w:rPr>
                                  </w:pPr>
                                </w:p>
                              </w:tc>
                              <w:tc>
                                <w:tcPr>
                                  <w:tcW w:w="745" w:type="dxa"/>
                                  <w:tcBorders>
                                    <w:left w:val="single" w:sz="2" w:space="0" w:color="000000"/>
                                    <w:right w:val="single" w:sz="2" w:space="0" w:color="000000"/>
                                  </w:tcBorders>
                                </w:tcPr>
                                <w:p>
                                  <w:pPr>
                                    <w:pStyle w:val="TableParagraph"/>
                                    <w:rPr>
                                      <w:rFonts w:ascii="Times New Roman"/>
                                      <w:sz w:val="6"/>
                                    </w:rPr>
                                  </w:pPr>
                                </w:p>
                              </w:tc>
                              <w:tc>
                                <w:tcPr>
                                  <w:tcW w:w="843" w:type="dxa"/>
                                  <w:tcBorders>
                                    <w:left w:val="single" w:sz="2" w:space="0" w:color="000000"/>
                                    <w:right w:val="single" w:sz="2" w:space="0" w:color="000000"/>
                                  </w:tcBorders>
                                </w:tcPr>
                                <w:p>
                                  <w:pPr>
                                    <w:pStyle w:val="TableParagraph"/>
                                    <w:rPr>
                                      <w:rFonts w:ascii="Times New Roman"/>
                                      <w:sz w:val="6"/>
                                    </w:rPr>
                                  </w:pPr>
                                </w:p>
                              </w:tc>
                              <w:tc>
                                <w:tcPr>
                                  <w:tcW w:w="757" w:type="dxa"/>
                                  <w:tcBorders>
                                    <w:left w:val="single" w:sz="2" w:space="0" w:color="000000"/>
                                    <w:right w:val="single" w:sz="2" w:space="0" w:color="000000"/>
                                  </w:tcBorders>
                                </w:tcPr>
                                <w:p>
                                  <w:pPr>
                                    <w:pStyle w:val="TableParagraph"/>
                                    <w:rPr>
                                      <w:rFonts w:ascii="Times New Roman"/>
                                      <w:sz w:val="6"/>
                                    </w:rPr>
                                  </w:pPr>
                                </w:p>
                              </w:tc>
                              <w:tc>
                                <w:tcPr>
                                  <w:tcW w:w="770" w:type="dxa"/>
                                  <w:tcBorders>
                                    <w:left w:val="single" w:sz="2" w:space="0" w:color="000000"/>
                                    <w:right w:val="single" w:sz="2" w:space="0" w:color="000000"/>
                                  </w:tcBorders>
                                  <w:shd w:val="clear" w:color="auto" w:fill="FFFFFF"/>
                                </w:tcPr>
                                <w:p>
                                  <w:pPr>
                                    <w:pStyle w:val="TableParagraph"/>
                                    <w:rPr>
                                      <w:rFonts w:ascii="Times New Roman"/>
                                      <w:sz w:val="6"/>
                                    </w:rPr>
                                  </w:pPr>
                                </w:p>
                              </w:tc>
                              <w:tc>
                                <w:tcPr>
                                  <w:tcW w:w="524" w:type="dxa"/>
                                  <w:tcBorders>
                                    <w:left w:val="single" w:sz="2" w:space="0" w:color="000000"/>
                                    <w:right w:val="single" w:sz="2" w:space="0" w:color="000000"/>
                                  </w:tcBorders>
                                  <w:shd w:val="clear" w:color="auto" w:fill="FFFFFF"/>
                                </w:tcPr>
                                <w:p>
                                  <w:pPr>
                                    <w:pStyle w:val="TableParagraph"/>
                                    <w:rPr>
                                      <w:rFonts w:ascii="Times New Roman"/>
                                      <w:sz w:val="6"/>
                                    </w:rPr>
                                  </w:pPr>
                                </w:p>
                              </w:tc>
                              <w:tc>
                                <w:tcPr>
                                  <w:tcW w:w="1416" w:type="dxa"/>
                                  <w:tcBorders>
                                    <w:left w:val="single" w:sz="2" w:space="0" w:color="000000"/>
                                    <w:right w:val="single" w:sz="2" w:space="0" w:color="000000"/>
                                  </w:tcBorders>
                                </w:tcPr>
                                <w:p>
                                  <w:pPr>
                                    <w:pStyle w:val="TableParagraph"/>
                                    <w:rPr>
                                      <w:rFonts w:ascii="Times New Roman"/>
                                      <w:sz w:val="6"/>
                                    </w:rPr>
                                  </w:pPr>
                                </w:p>
                              </w:tc>
                            </w:tr>
                            <w:tr>
                              <w:trPr>
                                <w:trHeight w:val="358" w:hRule="atLeast"/>
                              </w:trPr>
                              <w:tc>
                                <w:tcPr>
                                  <w:tcW w:w="520" w:type="dxa"/>
                                  <w:tcBorders>
                                    <w:left w:val="single" w:sz="2" w:space="0" w:color="000000"/>
                                    <w:bottom w:val="single" w:sz="2" w:space="0" w:color="000000"/>
                                    <w:right w:val="single" w:sz="2" w:space="0" w:color="000000"/>
                                  </w:tcBorders>
                                  <w:shd w:val="clear" w:color="auto" w:fill="E7E6E6"/>
                                </w:tcPr>
                                <w:p>
                                  <w:pPr>
                                    <w:pStyle w:val="TableParagraph"/>
                                    <w:spacing w:before="27"/>
                                    <w:rPr>
                                      <w:sz w:val="8"/>
                                    </w:rPr>
                                  </w:pPr>
                                </w:p>
                                <w:p>
                                  <w:pPr>
                                    <w:pStyle w:val="TableParagraph"/>
                                    <w:spacing w:line="110" w:lineRule="atLeast"/>
                                    <w:ind w:left="46" w:right="36" w:firstLine="51"/>
                                    <w:rPr>
                                      <w:rFonts w:ascii="Arial"/>
                                      <w:b/>
                                      <w:sz w:val="8"/>
                                    </w:rPr>
                                  </w:pPr>
                                  <w:r>
                                    <w:rPr>
                                      <w:rFonts w:ascii="Arial"/>
                                      <w:b/>
                                      <w:spacing w:val="-2"/>
                                      <w:sz w:val="8"/>
                                    </w:rPr>
                                    <w:t>CUENTA</w:t>
                                  </w:r>
                                  <w:r>
                                    <w:rPr>
                                      <w:rFonts w:ascii="Arial"/>
                                      <w:b/>
                                      <w:spacing w:val="40"/>
                                      <w:sz w:val="8"/>
                                    </w:rPr>
                                    <w:t> </w:t>
                                  </w:r>
                                  <w:r>
                                    <w:rPr>
                                      <w:rFonts w:ascii="Arial"/>
                                      <w:b/>
                                      <w:spacing w:val="-4"/>
                                      <w:sz w:val="8"/>
                                    </w:rPr>
                                    <w:t>CONTABLE</w:t>
                                  </w:r>
                                </w:p>
                              </w:tc>
                              <w:tc>
                                <w:tcPr>
                                  <w:tcW w:w="1789" w:type="dxa"/>
                                  <w:tcBorders>
                                    <w:left w:val="single" w:sz="2" w:space="0" w:color="000000"/>
                                    <w:bottom w:val="single" w:sz="2" w:space="0" w:color="000000"/>
                                    <w:right w:val="single" w:sz="2" w:space="0" w:color="000000"/>
                                  </w:tcBorders>
                                  <w:shd w:val="clear" w:color="auto" w:fill="E7E6E6"/>
                                </w:tcPr>
                                <w:p>
                                  <w:pPr>
                                    <w:pStyle w:val="TableParagraph"/>
                                    <w:rPr>
                                      <w:sz w:val="8"/>
                                    </w:rPr>
                                  </w:pPr>
                                </w:p>
                                <w:p>
                                  <w:pPr>
                                    <w:pStyle w:val="TableParagraph"/>
                                    <w:spacing w:before="82"/>
                                    <w:rPr>
                                      <w:sz w:val="8"/>
                                    </w:rPr>
                                  </w:pPr>
                                </w:p>
                                <w:p>
                                  <w:pPr>
                                    <w:pStyle w:val="TableParagraph"/>
                                    <w:spacing w:line="74" w:lineRule="exact"/>
                                    <w:ind w:left="327"/>
                                    <w:rPr>
                                      <w:rFonts w:ascii="Arial"/>
                                      <w:b/>
                                      <w:sz w:val="8"/>
                                    </w:rPr>
                                  </w:pPr>
                                  <w:r>
                                    <w:rPr>
                                      <w:rFonts w:ascii="Arial"/>
                                      <w:b/>
                                      <w:spacing w:val="-4"/>
                                      <w:sz w:val="8"/>
                                    </w:rPr>
                                    <w:t>NOMBRE</w:t>
                                  </w:r>
                                  <w:r>
                                    <w:rPr>
                                      <w:rFonts w:ascii="Arial"/>
                                      <w:b/>
                                      <w:spacing w:val="8"/>
                                      <w:sz w:val="8"/>
                                    </w:rPr>
                                    <w:t> </w:t>
                                  </w:r>
                                  <w:r>
                                    <w:rPr>
                                      <w:rFonts w:ascii="Arial"/>
                                      <w:b/>
                                      <w:spacing w:val="-4"/>
                                      <w:sz w:val="8"/>
                                    </w:rPr>
                                    <w:t>CUENTA</w:t>
                                  </w:r>
                                  <w:r>
                                    <w:rPr>
                                      <w:rFonts w:ascii="Arial"/>
                                      <w:b/>
                                      <w:spacing w:val="6"/>
                                      <w:sz w:val="8"/>
                                    </w:rPr>
                                    <w:t> </w:t>
                                  </w:r>
                                  <w:r>
                                    <w:rPr>
                                      <w:rFonts w:ascii="Arial"/>
                                      <w:b/>
                                      <w:spacing w:val="-4"/>
                                      <w:sz w:val="8"/>
                                    </w:rPr>
                                    <w:t>CONTABLE</w:t>
                                  </w:r>
                                </w:p>
                              </w:tc>
                              <w:tc>
                                <w:tcPr>
                                  <w:tcW w:w="745" w:type="dxa"/>
                                  <w:tcBorders>
                                    <w:left w:val="single" w:sz="2" w:space="0" w:color="000000"/>
                                    <w:bottom w:val="single" w:sz="2" w:space="0" w:color="000000"/>
                                    <w:right w:val="single" w:sz="2" w:space="0" w:color="000000"/>
                                  </w:tcBorders>
                                  <w:shd w:val="clear" w:color="auto" w:fill="E7E6E6"/>
                                </w:tcPr>
                                <w:p>
                                  <w:pPr>
                                    <w:pStyle w:val="TableParagraph"/>
                                    <w:rPr>
                                      <w:sz w:val="8"/>
                                    </w:rPr>
                                  </w:pPr>
                                </w:p>
                                <w:p>
                                  <w:pPr>
                                    <w:pStyle w:val="TableParagraph"/>
                                    <w:spacing w:before="82"/>
                                    <w:rPr>
                                      <w:sz w:val="8"/>
                                    </w:rPr>
                                  </w:pPr>
                                </w:p>
                                <w:p>
                                  <w:pPr>
                                    <w:pStyle w:val="TableParagraph"/>
                                    <w:spacing w:line="74" w:lineRule="exact"/>
                                    <w:ind w:left="3"/>
                                    <w:jc w:val="center"/>
                                    <w:rPr>
                                      <w:rFonts w:ascii="Arial"/>
                                      <w:b/>
                                      <w:sz w:val="8"/>
                                    </w:rPr>
                                  </w:pPr>
                                  <w:r>
                                    <w:rPr>
                                      <w:rFonts w:ascii="Arial"/>
                                      <w:b/>
                                      <w:spacing w:val="-2"/>
                                      <w:sz w:val="8"/>
                                    </w:rPr>
                                    <w:t>CONCEPTO</w:t>
                                  </w:r>
                                </w:p>
                              </w:tc>
                              <w:tc>
                                <w:tcPr>
                                  <w:tcW w:w="843" w:type="dxa"/>
                                  <w:tcBorders>
                                    <w:left w:val="single" w:sz="2" w:space="0" w:color="000000"/>
                                    <w:bottom w:val="single" w:sz="2" w:space="0" w:color="000000"/>
                                    <w:right w:val="single" w:sz="2" w:space="0" w:color="000000"/>
                                  </w:tcBorders>
                                  <w:shd w:val="clear" w:color="auto" w:fill="E7E6E6"/>
                                </w:tcPr>
                                <w:p>
                                  <w:pPr>
                                    <w:pStyle w:val="TableParagraph"/>
                                    <w:spacing w:line="110" w:lineRule="exact" w:before="10"/>
                                    <w:ind w:left="68" w:right="63" w:hanging="1"/>
                                    <w:jc w:val="center"/>
                                    <w:rPr>
                                      <w:rFonts w:ascii="Arial"/>
                                      <w:b/>
                                      <w:sz w:val="8"/>
                                    </w:rPr>
                                  </w:pPr>
                                  <w:r>
                                    <w:rPr>
                                      <w:rFonts w:ascii="Arial"/>
                                      <w:b/>
                                      <w:spacing w:val="-2"/>
                                      <w:sz w:val="8"/>
                                    </w:rPr>
                                    <w:t>SALDOS</w:t>
                                  </w:r>
                                  <w:r>
                                    <w:rPr>
                                      <w:rFonts w:ascii="Arial"/>
                                      <w:b/>
                                      <w:spacing w:val="40"/>
                                      <w:sz w:val="8"/>
                                    </w:rPr>
                                    <w:t> </w:t>
                                  </w:r>
                                  <w:r>
                                    <w:rPr>
                                      <w:rFonts w:ascii="Arial"/>
                                      <w:b/>
                                      <w:spacing w:val="-4"/>
                                      <w:sz w:val="8"/>
                                    </w:rPr>
                                    <w:t>ESTIM.INCOBR.</w:t>
                                  </w:r>
                                  <w:r>
                                    <w:rPr>
                                      <w:rFonts w:ascii="Arial"/>
                                      <w:b/>
                                      <w:spacing w:val="-3"/>
                                      <w:sz w:val="8"/>
                                    </w:rPr>
                                    <w:t> </w:t>
                                  </w:r>
                                  <w:r>
                                    <w:rPr>
                                      <w:rFonts w:ascii="Arial"/>
                                      <w:b/>
                                      <w:spacing w:val="-4"/>
                                      <w:sz w:val="8"/>
                                    </w:rPr>
                                    <w:t>AL</w:t>
                                  </w:r>
                                  <w:r>
                                    <w:rPr>
                                      <w:rFonts w:ascii="Arial"/>
                                      <w:b/>
                                      <w:spacing w:val="40"/>
                                      <w:sz w:val="8"/>
                                    </w:rPr>
                                    <w:t> </w:t>
                                  </w:r>
                                  <w:r>
                                    <w:rPr>
                                      <w:rFonts w:ascii="Arial"/>
                                      <w:b/>
                                      <w:spacing w:val="-2"/>
                                      <w:sz w:val="8"/>
                                    </w:rPr>
                                    <w:t>31.07.26</w:t>
                                  </w:r>
                                </w:p>
                              </w:tc>
                              <w:tc>
                                <w:tcPr>
                                  <w:tcW w:w="757" w:type="dxa"/>
                                  <w:tcBorders>
                                    <w:left w:val="single" w:sz="2" w:space="0" w:color="000000"/>
                                    <w:bottom w:val="single" w:sz="2" w:space="0" w:color="000000"/>
                                    <w:right w:val="single" w:sz="2" w:space="0" w:color="000000"/>
                                  </w:tcBorders>
                                  <w:shd w:val="clear" w:color="auto" w:fill="E7E6E6"/>
                                </w:tcPr>
                                <w:p>
                                  <w:pPr>
                                    <w:pStyle w:val="TableParagraph"/>
                                    <w:spacing w:line="110" w:lineRule="exact" w:before="10"/>
                                    <w:ind w:left="27" w:right="19" w:hanging="1"/>
                                    <w:jc w:val="center"/>
                                    <w:rPr>
                                      <w:rFonts w:ascii="Arial"/>
                                      <w:b/>
                                      <w:sz w:val="8"/>
                                    </w:rPr>
                                  </w:pPr>
                                  <w:r>
                                    <w:rPr>
                                      <w:rFonts w:ascii="Arial"/>
                                      <w:b/>
                                      <w:spacing w:val="-2"/>
                                      <w:sz w:val="8"/>
                                    </w:rPr>
                                    <w:t>SALDOS</w:t>
                                  </w:r>
                                  <w:r>
                                    <w:rPr>
                                      <w:rFonts w:ascii="Arial"/>
                                      <w:b/>
                                      <w:spacing w:val="40"/>
                                      <w:sz w:val="8"/>
                                    </w:rPr>
                                    <w:t> </w:t>
                                  </w:r>
                                  <w:r>
                                    <w:rPr>
                                      <w:rFonts w:ascii="Arial"/>
                                      <w:b/>
                                      <w:spacing w:val="-4"/>
                                      <w:sz w:val="8"/>
                                    </w:rPr>
                                    <w:t>ESTIM.INCOBR.</w:t>
                                  </w:r>
                                  <w:r>
                                    <w:rPr>
                                      <w:rFonts w:ascii="Arial"/>
                                      <w:b/>
                                      <w:spacing w:val="-3"/>
                                      <w:sz w:val="8"/>
                                    </w:rPr>
                                    <w:t> </w:t>
                                  </w:r>
                                  <w:r>
                                    <w:rPr>
                                      <w:rFonts w:ascii="Arial"/>
                                      <w:b/>
                                      <w:spacing w:val="-4"/>
                                      <w:sz w:val="8"/>
                                    </w:rPr>
                                    <w:t>AL</w:t>
                                  </w:r>
                                  <w:r>
                                    <w:rPr>
                                      <w:rFonts w:ascii="Arial"/>
                                      <w:b/>
                                      <w:spacing w:val="40"/>
                                      <w:sz w:val="8"/>
                                    </w:rPr>
                                    <w:t> </w:t>
                                  </w:r>
                                  <w:r>
                                    <w:rPr>
                                      <w:rFonts w:ascii="Arial"/>
                                      <w:b/>
                                      <w:spacing w:val="-2"/>
                                      <w:sz w:val="8"/>
                                    </w:rPr>
                                    <w:t>31.07.25</w:t>
                                  </w:r>
                                </w:p>
                              </w:tc>
                              <w:tc>
                                <w:tcPr>
                                  <w:tcW w:w="770" w:type="dxa"/>
                                  <w:tcBorders>
                                    <w:left w:val="single" w:sz="2" w:space="0" w:color="000000"/>
                                    <w:bottom w:val="single" w:sz="2" w:space="0" w:color="000000"/>
                                    <w:right w:val="single" w:sz="2" w:space="0" w:color="000000"/>
                                  </w:tcBorders>
                                  <w:shd w:val="clear" w:color="auto" w:fill="E7E6E6"/>
                                </w:tcPr>
                                <w:p>
                                  <w:pPr>
                                    <w:pStyle w:val="TableParagraph"/>
                                    <w:spacing w:before="44"/>
                                    <w:rPr>
                                      <w:sz w:val="8"/>
                                    </w:rPr>
                                  </w:pPr>
                                </w:p>
                                <w:p>
                                  <w:pPr>
                                    <w:pStyle w:val="TableParagraph"/>
                                    <w:ind w:left="169"/>
                                    <w:rPr>
                                      <w:rFonts w:ascii="Arial" w:hAnsi="Arial"/>
                                      <w:b/>
                                      <w:sz w:val="8"/>
                                    </w:rPr>
                                  </w:pPr>
                                  <w:r>
                                    <w:rPr>
                                      <w:rFonts w:ascii="Arial" w:hAnsi="Arial"/>
                                      <w:b/>
                                      <w:spacing w:val="-2"/>
                                      <w:sz w:val="8"/>
                                    </w:rPr>
                                    <w:t>VARIACIÓN</w:t>
                                  </w:r>
                                </w:p>
                              </w:tc>
                              <w:tc>
                                <w:tcPr>
                                  <w:tcW w:w="524" w:type="dxa"/>
                                  <w:tcBorders>
                                    <w:left w:val="single" w:sz="2" w:space="0" w:color="000000"/>
                                    <w:bottom w:val="single" w:sz="2" w:space="0" w:color="000000"/>
                                    <w:right w:val="single" w:sz="2" w:space="0" w:color="000000"/>
                                  </w:tcBorders>
                                  <w:shd w:val="clear" w:color="auto" w:fill="E7E6E6"/>
                                </w:tcPr>
                                <w:p>
                                  <w:pPr>
                                    <w:pStyle w:val="TableParagraph"/>
                                    <w:spacing w:line="290" w:lineRule="auto" w:before="80"/>
                                    <w:ind w:left="45" w:firstLine="183"/>
                                    <w:rPr>
                                      <w:rFonts w:ascii="Arial" w:hAnsi="Arial"/>
                                      <w:b/>
                                      <w:sz w:val="8"/>
                                    </w:rPr>
                                  </w:pPr>
                                  <w:r>
                                    <w:rPr>
                                      <w:rFonts w:ascii="Arial" w:hAnsi="Arial"/>
                                      <w:b/>
                                      <w:spacing w:val="-10"/>
                                      <w:sz w:val="8"/>
                                    </w:rPr>
                                    <w:t>%</w:t>
                                  </w:r>
                                  <w:r>
                                    <w:rPr>
                                      <w:rFonts w:ascii="Arial" w:hAnsi="Arial"/>
                                      <w:b/>
                                      <w:spacing w:val="40"/>
                                      <w:sz w:val="8"/>
                                    </w:rPr>
                                    <w:t> </w:t>
                                  </w:r>
                                  <w:r>
                                    <w:rPr>
                                      <w:rFonts w:ascii="Arial" w:hAnsi="Arial"/>
                                      <w:b/>
                                      <w:spacing w:val="-4"/>
                                      <w:sz w:val="8"/>
                                    </w:rPr>
                                    <w:t>VARIACIÓN</w:t>
                                  </w:r>
                                </w:p>
                              </w:tc>
                              <w:tc>
                                <w:tcPr>
                                  <w:tcW w:w="1416" w:type="dxa"/>
                                  <w:tcBorders>
                                    <w:left w:val="single" w:sz="2" w:space="0" w:color="000000"/>
                                    <w:bottom w:val="single" w:sz="2" w:space="0" w:color="000000"/>
                                    <w:right w:val="single" w:sz="2" w:space="0" w:color="000000"/>
                                  </w:tcBorders>
                                  <w:shd w:val="clear" w:color="auto" w:fill="E7E6E6"/>
                                </w:tcPr>
                                <w:p>
                                  <w:pPr>
                                    <w:pStyle w:val="TableParagraph"/>
                                    <w:spacing w:before="44"/>
                                    <w:rPr>
                                      <w:sz w:val="8"/>
                                    </w:rPr>
                                  </w:pPr>
                                </w:p>
                                <w:p>
                                  <w:pPr>
                                    <w:pStyle w:val="TableParagraph"/>
                                    <w:ind w:left="5"/>
                                    <w:jc w:val="center"/>
                                    <w:rPr>
                                      <w:rFonts w:ascii="Arial"/>
                                      <w:b/>
                                      <w:sz w:val="8"/>
                                    </w:rPr>
                                  </w:pPr>
                                  <w:r>
                                    <w:rPr>
                                      <w:rFonts w:ascii="Arial"/>
                                      <w:b/>
                                      <w:spacing w:val="-2"/>
                                      <w:sz w:val="8"/>
                                    </w:rPr>
                                    <w:t>NOTAS</w:t>
                                  </w:r>
                                </w:p>
                              </w:tc>
                            </w:tr>
                            <w:tr>
                              <w:trPr>
                                <w:trHeight w:val="441" w:hRule="atLeast"/>
                              </w:trPr>
                              <w:tc>
                                <w:tcPr>
                                  <w:tcW w:w="520"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224"/>
                                    <w:rPr>
                                      <w:rFonts w:ascii="Arial"/>
                                      <w:sz w:val="8"/>
                                    </w:rPr>
                                  </w:pPr>
                                  <w:r>
                                    <w:rPr>
                                      <w:rFonts w:ascii="Arial"/>
                                      <w:spacing w:val="-2"/>
                                      <w:sz w:val="8"/>
                                    </w:rPr>
                                    <w:t>1.2.3.99</w:t>
                                  </w:r>
                                </w:p>
                              </w:tc>
                              <w:tc>
                                <w:tcPr>
                                  <w:tcW w:w="1789"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5"/>
                                    <w:rPr>
                                      <w:rFonts w:ascii="Arial"/>
                                      <w:sz w:val="8"/>
                                    </w:rPr>
                                  </w:pPr>
                                  <w:r>
                                    <w:rPr>
                                      <w:rFonts w:ascii="Arial"/>
                                      <w:spacing w:val="-4"/>
                                      <w:sz w:val="8"/>
                                    </w:rPr>
                                    <w:t>PREVISION</w:t>
                                  </w:r>
                                  <w:r>
                                    <w:rPr>
                                      <w:rFonts w:ascii="Arial"/>
                                      <w:spacing w:val="7"/>
                                      <w:sz w:val="8"/>
                                    </w:rPr>
                                    <w:t> </w:t>
                                  </w:r>
                                  <w:r>
                                    <w:rPr>
                                      <w:rFonts w:ascii="Arial"/>
                                      <w:spacing w:val="-4"/>
                                      <w:sz w:val="8"/>
                                    </w:rPr>
                                    <w:t>DOC.</w:t>
                                  </w:r>
                                  <w:r>
                                    <w:rPr>
                                      <w:rFonts w:ascii="Arial"/>
                                      <w:spacing w:val="6"/>
                                      <w:sz w:val="8"/>
                                    </w:rPr>
                                    <w:t> </w:t>
                                  </w:r>
                                  <w:r>
                                    <w:rPr>
                                      <w:rFonts w:ascii="Arial"/>
                                      <w:spacing w:val="-4"/>
                                      <w:sz w:val="8"/>
                                    </w:rPr>
                                    <w:t>BIENES</w:t>
                                  </w:r>
                                  <w:r>
                                    <w:rPr>
                                      <w:rFonts w:ascii="Arial"/>
                                      <w:spacing w:val="6"/>
                                      <w:sz w:val="8"/>
                                    </w:rPr>
                                    <w:t> </w:t>
                                  </w:r>
                                  <w:r>
                                    <w:rPr>
                                      <w:rFonts w:ascii="Arial"/>
                                      <w:spacing w:val="-4"/>
                                      <w:sz w:val="8"/>
                                    </w:rPr>
                                    <w:t>Y</w:t>
                                  </w:r>
                                  <w:r>
                                    <w:rPr>
                                      <w:rFonts w:ascii="Arial"/>
                                      <w:spacing w:val="2"/>
                                      <w:sz w:val="8"/>
                                    </w:rPr>
                                    <w:t> </w:t>
                                  </w:r>
                                  <w:r>
                                    <w:rPr>
                                      <w:rFonts w:ascii="Arial"/>
                                      <w:spacing w:val="-4"/>
                                      <w:sz w:val="8"/>
                                    </w:rPr>
                                    <w:t>SERVICIOS</w:t>
                                  </w:r>
                                  <w:r>
                                    <w:rPr>
                                      <w:rFonts w:ascii="Arial"/>
                                      <w:spacing w:val="7"/>
                                      <w:sz w:val="8"/>
                                    </w:rPr>
                                    <w:t> </w:t>
                                  </w:r>
                                  <w:r>
                                    <w:rPr>
                                      <w:rFonts w:ascii="Arial"/>
                                      <w:spacing w:val="-4"/>
                                      <w:sz w:val="8"/>
                                    </w:rPr>
                                    <w:t>L.P.</w:t>
                                  </w:r>
                                </w:p>
                              </w:tc>
                              <w:tc>
                                <w:tcPr>
                                  <w:tcW w:w="745"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3"/>
                                    <w:jc w:val="center"/>
                                    <w:rPr>
                                      <w:rFonts w:ascii="Arial"/>
                                      <w:sz w:val="8"/>
                                    </w:rPr>
                                  </w:pPr>
                                  <w:r>
                                    <w:rPr>
                                      <w:rFonts w:ascii="Arial"/>
                                      <w:spacing w:val="-4"/>
                                      <w:sz w:val="8"/>
                                    </w:rPr>
                                    <w:t>BENEFICIARIOS</w:t>
                                  </w:r>
                                  <w:r>
                                    <w:rPr>
                                      <w:rFonts w:ascii="Arial"/>
                                      <w:spacing w:val="12"/>
                                      <w:sz w:val="8"/>
                                    </w:rPr>
                                    <w:t> </w:t>
                                  </w:r>
                                  <w:r>
                                    <w:rPr>
                                      <w:rFonts w:ascii="Arial"/>
                                      <w:spacing w:val="-5"/>
                                      <w:sz w:val="8"/>
                                    </w:rPr>
                                    <w:t>L.P</w:t>
                                  </w:r>
                                </w:p>
                              </w:tc>
                              <w:tc>
                                <w:tcPr>
                                  <w:tcW w:w="843"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216"/>
                                    <w:rPr>
                                      <w:rFonts w:ascii="Arial"/>
                                      <w:sz w:val="8"/>
                                    </w:rPr>
                                  </w:pPr>
                                  <w:r>
                                    <w:rPr>
                                      <w:rFonts w:ascii="Arial"/>
                                      <w:sz w:val="8"/>
                                    </w:rPr>
                                    <w:t>452</w:t>
                                  </w:r>
                                  <w:r>
                                    <w:rPr>
                                      <w:rFonts w:ascii="Arial"/>
                                      <w:spacing w:val="-7"/>
                                      <w:sz w:val="8"/>
                                    </w:rPr>
                                    <w:t> </w:t>
                                  </w:r>
                                  <w:r>
                                    <w:rPr>
                                      <w:rFonts w:ascii="Arial"/>
                                      <w:spacing w:val="-2"/>
                                      <w:sz w:val="8"/>
                                    </w:rPr>
                                    <w:t>699,19</w:t>
                                  </w:r>
                                </w:p>
                              </w:tc>
                              <w:tc>
                                <w:tcPr>
                                  <w:tcW w:w="757"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71"/>
                                    <w:rPr>
                                      <w:rFonts w:ascii="Arial"/>
                                      <w:sz w:val="8"/>
                                    </w:rPr>
                                  </w:pPr>
                                  <w:r>
                                    <w:rPr>
                                      <w:rFonts w:ascii="Arial"/>
                                      <w:sz w:val="8"/>
                                    </w:rPr>
                                    <w:t>477</w:t>
                                  </w:r>
                                  <w:r>
                                    <w:rPr>
                                      <w:rFonts w:ascii="Arial"/>
                                      <w:spacing w:val="-7"/>
                                      <w:sz w:val="8"/>
                                    </w:rPr>
                                    <w:t> </w:t>
                                  </w:r>
                                  <w:r>
                                    <w:rPr>
                                      <w:rFonts w:ascii="Arial"/>
                                      <w:spacing w:val="-2"/>
                                      <w:sz w:val="8"/>
                                    </w:rPr>
                                    <w:t>346,28</w:t>
                                  </w:r>
                                </w:p>
                              </w:tc>
                              <w:tc>
                                <w:tcPr>
                                  <w:tcW w:w="77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86"/>
                                    <w:rPr>
                                      <w:sz w:val="8"/>
                                    </w:rPr>
                                  </w:pPr>
                                </w:p>
                                <w:p>
                                  <w:pPr>
                                    <w:pStyle w:val="TableParagraph"/>
                                    <w:spacing w:before="1"/>
                                    <w:ind w:left="198"/>
                                    <w:rPr>
                                      <w:rFonts w:ascii="Arial"/>
                                      <w:sz w:val="8"/>
                                    </w:rPr>
                                  </w:pPr>
                                  <w:r>
                                    <w:rPr>
                                      <w:rFonts w:ascii="Arial"/>
                                      <w:sz w:val="8"/>
                                    </w:rPr>
                                    <w:t>-24</w:t>
                                  </w:r>
                                  <w:r>
                                    <w:rPr>
                                      <w:rFonts w:ascii="Arial"/>
                                      <w:spacing w:val="-6"/>
                                      <w:sz w:val="8"/>
                                    </w:rPr>
                                    <w:t> </w:t>
                                  </w:r>
                                  <w:r>
                                    <w:rPr>
                                      <w:rFonts w:ascii="Arial"/>
                                      <w:spacing w:val="-2"/>
                                      <w:sz w:val="8"/>
                                    </w:rPr>
                                    <w:t>647,09</w:t>
                                  </w:r>
                                </w:p>
                              </w:tc>
                              <w:tc>
                                <w:tcPr>
                                  <w:tcW w:w="52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86"/>
                                    <w:rPr>
                                      <w:sz w:val="8"/>
                                    </w:rPr>
                                  </w:pPr>
                                </w:p>
                                <w:p>
                                  <w:pPr>
                                    <w:pStyle w:val="TableParagraph"/>
                                    <w:spacing w:before="1"/>
                                    <w:ind w:left="138"/>
                                    <w:rPr>
                                      <w:rFonts w:ascii="Arial"/>
                                      <w:sz w:val="8"/>
                                    </w:rPr>
                                  </w:pPr>
                                  <w:r>
                                    <w:rPr>
                                      <w:rFonts w:ascii="Arial"/>
                                      <w:spacing w:val="-2"/>
                                      <w:sz w:val="8"/>
                                    </w:rPr>
                                    <w:t>-5,16%</w:t>
                                  </w:r>
                                </w:p>
                              </w:tc>
                              <w:tc>
                                <w:tcPr>
                                  <w:tcW w:w="1416" w:type="dxa"/>
                                  <w:tcBorders>
                                    <w:top w:val="single" w:sz="2" w:space="0" w:color="000000"/>
                                    <w:left w:val="single" w:sz="2" w:space="0" w:color="000000"/>
                                    <w:bottom w:val="single" w:sz="2" w:space="0" w:color="000000"/>
                                    <w:right w:val="single" w:sz="2" w:space="0" w:color="000000"/>
                                  </w:tcBorders>
                                </w:tcPr>
                                <w:p>
                                  <w:pPr>
                                    <w:pStyle w:val="TableParagraph"/>
                                    <w:spacing w:line="290" w:lineRule="auto" w:before="8"/>
                                    <w:ind w:left="15" w:right="55"/>
                                    <w:rPr>
                                      <w:rFonts w:ascii="Arial" w:hAnsi="Arial"/>
                                      <w:sz w:val="8"/>
                                    </w:rPr>
                                  </w:pPr>
                                  <w:r>
                                    <w:rPr>
                                      <w:rFonts w:ascii="Arial" w:hAnsi="Arial"/>
                                      <w:sz w:val="8"/>
                                    </w:rPr>
                                    <w:t>El</w:t>
                                  </w:r>
                                  <w:r>
                                    <w:rPr>
                                      <w:rFonts w:ascii="Arial" w:hAnsi="Arial"/>
                                      <w:spacing w:val="-4"/>
                                      <w:sz w:val="8"/>
                                    </w:rPr>
                                    <w:t> </w:t>
                                  </w:r>
                                  <w:r>
                                    <w:rPr>
                                      <w:rFonts w:ascii="Arial" w:hAnsi="Arial"/>
                                      <w:sz w:val="8"/>
                                    </w:rPr>
                                    <w:t>efecto</w:t>
                                  </w:r>
                                  <w:r>
                                    <w:rPr>
                                      <w:rFonts w:ascii="Arial" w:hAnsi="Arial"/>
                                      <w:spacing w:val="-6"/>
                                      <w:sz w:val="8"/>
                                    </w:rPr>
                                    <w:t> </w:t>
                                  </w:r>
                                  <w:r>
                                    <w:rPr>
                                      <w:rFonts w:ascii="Arial" w:hAnsi="Arial"/>
                                      <w:sz w:val="8"/>
                                    </w:rPr>
                                    <w:t>neto</w:t>
                                  </w:r>
                                  <w:r>
                                    <w:rPr>
                                      <w:rFonts w:ascii="Arial" w:hAnsi="Arial"/>
                                      <w:spacing w:val="-6"/>
                                      <w:sz w:val="8"/>
                                    </w:rPr>
                                    <w:t> </w:t>
                                  </w:r>
                                  <w:r>
                                    <w:rPr>
                                      <w:rFonts w:ascii="Arial" w:hAnsi="Arial"/>
                                      <w:sz w:val="8"/>
                                    </w:rPr>
                                    <w:t>por</w:t>
                                  </w:r>
                                  <w:r>
                                    <w:rPr>
                                      <w:rFonts w:ascii="Arial" w:hAnsi="Arial"/>
                                      <w:spacing w:val="-4"/>
                                      <w:sz w:val="8"/>
                                    </w:rPr>
                                    <w:t> </w:t>
                                  </w:r>
                                  <w:r>
                                    <w:rPr>
                                      <w:rFonts w:ascii="Arial" w:hAnsi="Arial"/>
                                      <w:sz w:val="8"/>
                                    </w:rPr>
                                    <w:t>disminución</w:t>
                                  </w:r>
                                  <w:r>
                                    <w:rPr>
                                      <w:rFonts w:ascii="Arial" w:hAnsi="Arial"/>
                                      <w:spacing w:val="14"/>
                                      <w:sz w:val="8"/>
                                    </w:rPr>
                                    <w:t> </w:t>
                                  </w:r>
                                  <w:r>
                                    <w:rPr>
                                      <w:rFonts w:ascii="Arial" w:hAnsi="Arial"/>
                                      <w:sz w:val="8"/>
                                    </w:rPr>
                                    <w:t>en</w:t>
                                  </w:r>
                                  <w:r>
                                    <w:rPr>
                                      <w:rFonts w:ascii="Arial" w:hAnsi="Arial"/>
                                      <w:spacing w:val="-4"/>
                                      <w:sz w:val="8"/>
                                    </w:rPr>
                                    <w:t> </w:t>
                                  </w:r>
                                  <w:r>
                                    <w:rPr>
                                      <w:rFonts w:ascii="Arial" w:hAnsi="Arial"/>
                                      <w:sz w:val="8"/>
                                    </w:rPr>
                                    <w:t>los</w:t>
                                  </w:r>
                                  <w:r>
                                    <w:rPr>
                                      <w:rFonts w:ascii="Arial" w:hAnsi="Arial"/>
                                      <w:spacing w:val="40"/>
                                      <w:sz w:val="8"/>
                                    </w:rPr>
                                    <w:t> </w:t>
                                  </w:r>
                                  <w:r>
                                    <w:rPr>
                                      <w:rFonts w:ascii="Arial" w:hAnsi="Arial"/>
                                      <w:sz w:val="8"/>
                                    </w:rPr>
                                    <w:t>saldos de</w:t>
                                  </w:r>
                                  <w:r>
                                    <w:rPr>
                                      <w:rFonts w:ascii="Arial" w:hAnsi="Arial"/>
                                      <w:spacing w:val="-3"/>
                                      <w:sz w:val="8"/>
                                    </w:rPr>
                                    <w:t> </w:t>
                                  </w:r>
                                  <w:r>
                                    <w:rPr>
                                      <w:rFonts w:ascii="Arial" w:hAnsi="Arial"/>
                                      <w:sz w:val="8"/>
                                    </w:rPr>
                                    <w:t>las cuenta</w:t>
                                  </w:r>
                                  <w:r>
                                    <w:rPr>
                                      <w:rFonts w:ascii="Arial" w:hAnsi="Arial"/>
                                      <w:spacing w:val="-3"/>
                                      <w:sz w:val="8"/>
                                    </w:rPr>
                                    <w:t> </w:t>
                                  </w:r>
                                  <w:r>
                                    <w:rPr>
                                      <w:rFonts w:ascii="Arial" w:hAnsi="Arial"/>
                                      <w:sz w:val="8"/>
                                    </w:rPr>
                                    <w:t>por cobrar</w:t>
                                  </w:r>
                                  <w:r>
                                    <w:rPr>
                                      <w:rFonts w:ascii="Arial" w:hAnsi="Arial"/>
                                      <w:spacing w:val="40"/>
                                      <w:sz w:val="8"/>
                                    </w:rPr>
                                    <w:t> </w:t>
                                  </w:r>
                                  <w:r>
                                    <w:rPr>
                                      <w:rFonts w:ascii="Arial" w:hAnsi="Arial"/>
                                      <w:spacing w:val="-2"/>
                                      <w:sz w:val="8"/>
                                    </w:rPr>
                                    <w:t>disminuyen</w:t>
                                  </w:r>
                                  <w:r>
                                    <w:rPr>
                                      <w:rFonts w:ascii="Arial" w:hAnsi="Arial"/>
                                      <w:sz w:val="8"/>
                                    </w:rPr>
                                    <w:t> </w:t>
                                  </w:r>
                                  <w:r>
                                    <w:rPr>
                                      <w:rFonts w:ascii="Arial" w:hAnsi="Arial"/>
                                      <w:spacing w:val="-2"/>
                                      <w:sz w:val="8"/>
                                    </w:rPr>
                                    <w:t>un</w:t>
                                  </w:r>
                                  <w:r>
                                    <w:rPr>
                                      <w:rFonts w:ascii="Arial" w:hAnsi="Arial"/>
                                      <w:sz w:val="8"/>
                                    </w:rPr>
                                    <w:t> </w:t>
                                  </w:r>
                                  <w:r>
                                    <w:rPr>
                                      <w:rFonts w:ascii="Arial" w:hAnsi="Arial"/>
                                      <w:spacing w:val="-2"/>
                                      <w:sz w:val="8"/>
                                    </w:rPr>
                                    <w:t>-5,16%</w:t>
                                  </w:r>
                                  <w:r>
                                    <w:rPr>
                                      <w:rFonts w:ascii="Arial" w:hAnsi="Arial"/>
                                      <w:sz w:val="8"/>
                                    </w:rPr>
                                    <w:t> </w:t>
                                  </w:r>
                                  <w:r>
                                    <w:rPr>
                                      <w:rFonts w:ascii="Arial" w:hAnsi="Arial"/>
                                      <w:spacing w:val="-2"/>
                                      <w:sz w:val="8"/>
                                    </w:rPr>
                                    <w:t>en</w:t>
                                  </w:r>
                                  <w:r>
                                    <w:rPr>
                                      <w:rFonts w:ascii="Arial" w:hAnsi="Arial"/>
                                      <w:sz w:val="8"/>
                                    </w:rPr>
                                    <w:t> </w:t>
                                  </w:r>
                                  <w:r>
                                    <w:rPr>
                                      <w:rFonts w:ascii="Arial" w:hAnsi="Arial"/>
                                      <w:spacing w:val="-2"/>
                                      <w:sz w:val="8"/>
                                    </w:rPr>
                                    <w:t>el</w:t>
                                  </w:r>
                                  <w:r>
                                    <w:rPr>
                                      <w:rFonts w:ascii="Arial" w:hAnsi="Arial"/>
                                      <w:spacing w:val="1"/>
                                      <w:sz w:val="8"/>
                                    </w:rPr>
                                    <w:t> </w:t>
                                  </w:r>
                                  <w:r>
                                    <w:rPr>
                                      <w:rFonts w:ascii="Arial" w:hAnsi="Arial"/>
                                      <w:spacing w:val="-2"/>
                                      <w:sz w:val="8"/>
                                    </w:rPr>
                                    <w:t>porcentaje</w:t>
                                  </w:r>
                                </w:p>
                                <w:p>
                                  <w:pPr>
                                    <w:pStyle w:val="TableParagraph"/>
                                    <w:spacing w:line="79" w:lineRule="exact"/>
                                    <w:ind w:left="15"/>
                                    <w:rPr>
                                      <w:rFonts w:ascii="Arial"/>
                                      <w:sz w:val="8"/>
                                    </w:rPr>
                                  </w:pPr>
                                  <w:r>
                                    <w:rPr>
                                      <w:rFonts w:ascii="Arial"/>
                                      <w:spacing w:val="-2"/>
                                      <w:sz w:val="8"/>
                                    </w:rPr>
                                    <w:t>de incobrabilidad</w:t>
                                  </w:r>
                                  <w:r>
                                    <w:rPr>
                                      <w:rFonts w:ascii="Arial"/>
                                      <w:spacing w:val="2"/>
                                      <w:sz w:val="8"/>
                                    </w:rPr>
                                    <w:t> </w:t>
                                  </w:r>
                                  <w:r>
                                    <w:rPr>
                                      <w:rFonts w:ascii="Arial"/>
                                      <w:spacing w:val="-2"/>
                                      <w:sz w:val="8"/>
                                    </w:rPr>
                                    <w:t>aplicado a</w:t>
                                  </w:r>
                                  <w:r>
                                    <w:rPr>
                                      <w:rFonts w:ascii="Arial"/>
                                      <w:spacing w:val="-1"/>
                                      <w:sz w:val="8"/>
                                    </w:rPr>
                                    <w:t> </w:t>
                                  </w:r>
                                  <w:r>
                                    <w:rPr>
                                      <w:rFonts w:ascii="Arial"/>
                                      <w:spacing w:val="-2"/>
                                      <w:sz w:val="8"/>
                                    </w:rPr>
                                    <w:t>julio </w:t>
                                  </w:r>
                                  <w:r>
                                    <w:rPr>
                                      <w:rFonts w:ascii="Arial"/>
                                      <w:spacing w:val="-4"/>
                                      <w:sz w:val="8"/>
                                    </w:rPr>
                                    <w:t>2026</w:t>
                                  </w:r>
                                </w:p>
                              </w:tc>
                            </w:tr>
                            <w:tr>
                              <w:trPr>
                                <w:trHeight w:val="668" w:hRule="atLeast"/>
                              </w:trPr>
                              <w:tc>
                                <w:tcPr>
                                  <w:tcW w:w="520"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121"/>
                                    <w:rPr>
                                      <w:rFonts w:ascii="Arial"/>
                                      <w:sz w:val="8"/>
                                    </w:rPr>
                                  </w:pPr>
                                  <w:r>
                                    <w:rPr>
                                      <w:rFonts w:ascii="Arial"/>
                                      <w:spacing w:val="-2"/>
                                      <w:sz w:val="8"/>
                                    </w:rPr>
                                    <w:t>1.2.3.99</w:t>
                                  </w:r>
                                </w:p>
                              </w:tc>
                              <w:tc>
                                <w:tcPr>
                                  <w:tcW w:w="1789"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41"/>
                                    <w:rPr>
                                      <w:rFonts w:ascii="Arial"/>
                                      <w:sz w:val="8"/>
                                    </w:rPr>
                                  </w:pPr>
                                  <w:r>
                                    <w:rPr>
                                      <w:rFonts w:ascii="Arial"/>
                                      <w:spacing w:val="-4"/>
                                      <w:sz w:val="8"/>
                                    </w:rPr>
                                    <w:t>PREVISION</w:t>
                                  </w:r>
                                  <w:r>
                                    <w:rPr>
                                      <w:rFonts w:ascii="Arial"/>
                                      <w:spacing w:val="5"/>
                                      <w:sz w:val="8"/>
                                    </w:rPr>
                                    <w:t> </w:t>
                                  </w:r>
                                  <w:r>
                                    <w:rPr>
                                      <w:rFonts w:ascii="Arial"/>
                                      <w:spacing w:val="-4"/>
                                      <w:sz w:val="8"/>
                                    </w:rPr>
                                    <w:t>DOC</w:t>
                                  </w:r>
                                  <w:r>
                                    <w:rPr>
                                      <w:rFonts w:ascii="Arial"/>
                                      <w:spacing w:val="8"/>
                                      <w:sz w:val="8"/>
                                    </w:rPr>
                                    <w:t> </w:t>
                                  </w:r>
                                  <w:r>
                                    <w:rPr>
                                      <w:rFonts w:ascii="Arial"/>
                                      <w:spacing w:val="-4"/>
                                      <w:sz w:val="8"/>
                                    </w:rPr>
                                    <w:t>X</w:t>
                                  </w:r>
                                  <w:r>
                                    <w:rPr>
                                      <w:rFonts w:ascii="Arial"/>
                                      <w:spacing w:val="2"/>
                                      <w:sz w:val="8"/>
                                    </w:rPr>
                                    <w:t> </w:t>
                                  </w:r>
                                  <w:r>
                                    <w:rPr>
                                      <w:rFonts w:ascii="Arial"/>
                                      <w:spacing w:val="-4"/>
                                      <w:sz w:val="8"/>
                                    </w:rPr>
                                    <w:t>COBRAR</w:t>
                                  </w:r>
                                  <w:r>
                                    <w:rPr>
                                      <w:rFonts w:ascii="Arial"/>
                                      <w:spacing w:val="8"/>
                                      <w:sz w:val="8"/>
                                    </w:rPr>
                                    <w:t> </w:t>
                                  </w:r>
                                  <w:r>
                                    <w:rPr>
                                      <w:rFonts w:ascii="Arial"/>
                                      <w:spacing w:val="-4"/>
                                      <w:sz w:val="8"/>
                                    </w:rPr>
                                    <w:t>FRACCIONES</w:t>
                                  </w:r>
                                  <w:r>
                                    <w:rPr>
                                      <w:rFonts w:ascii="Arial"/>
                                      <w:spacing w:val="7"/>
                                      <w:sz w:val="8"/>
                                    </w:rPr>
                                    <w:t> </w:t>
                                  </w:r>
                                  <w:r>
                                    <w:rPr>
                                      <w:rFonts w:ascii="Arial"/>
                                      <w:spacing w:val="-4"/>
                                      <w:sz w:val="8"/>
                                    </w:rPr>
                                    <w:t>L.P.</w:t>
                                  </w:r>
                                </w:p>
                              </w:tc>
                              <w:tc>
                                <w:tcPr>
                                  <w:tcW w:w="745"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5"/>
                                    <w:jc w:val="center"/>
                                    <w:rPr>
                                      <w:rFonts w:ascii="Arial"/>
                                      <w:sz w:val="8"/>
                                    </w:rPr>
                                  </w:pPr>
                                  <w:r>
                                    <w:rPr>
                                      <w:rFonts w:ascii="Arial"/>
                                      <w:spacing w:val="-2"/>
                                      <w:sz w:val="8"/>
                                    </w:rPr>
                                    <w:t>MOTELES </w:t>
                                  </w:r>
                                  <w:r>
                                    <w:rPr>
                                      <w:rFonts w:ascii="Arial"/>
                                      <w:spacing w:val="-5"/>
                                      <w:sz w:val="8"/>
                                    </w:rPr>
                                    <w:t>L.P</w:t>
                                  </w:r>
                                </w:p>
                              </w:tc>
                              <w:tc>
                                <w:tcPr>
                                  <w:tcW w:w="843"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236"/>
                                    <w:rPr>
                                      <w:rFonts w:ascii="Arial"/>
                                      <w:sz w:val="8"/>
                                    </w:rPr>
                                  </w:pPr>
                                  <w:r>
                                    <w:rPr>
                                      <w:rFonts w:ascii="Arial"/>
                                      <w:sz w:val="8"/>
                                    </w:rPr>
                                    <w:t>84</w:t>
                                  </w:r>
                                  <w:r>
                                    <w:rPr>
                                      <w:rFonts w:ascii="Arial"/>
                                      <w:spacing w:val="-4"/>
                                      <w:sz w:val="8"/>
                                    </w:rPr>
                                    <w:t> </w:t>
                                  </w:r>
                                  <w:r>
                                    <w:rPr>
                                      <w:rFonts w:ascii="Arial"/>
                                      <w:spacing w:val="-2"/>
                                      <w:sz w:val="8"/>
                                    </w:rPr>
                                    <w:t>952,92</w:t>
                                  </w:r>
                                </w:p>
                              </w:tc>
                              <w:tc>
                                <w:tcPr>
                                  <w:tcW w:w="757"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171"/>
                                    <w:rPr>
                                      <w:rFonts w:ascii="Arial"/>
                                      <w:sz w:val="8"/>
                                    </w:rPr>
                                  </w:pPr>
                                  <w:r>
                                    <w:rPr>
                                      <w:rFonts w:ascii="Arial"/>
                                      <w:sz w:val="8"/>
                                    </w:rPr>
                                    <w:t>195</w:t>
                                  </w:r>
                                  <w:r>
                                    <w:rPr>
                                      <w:rFonts w:ascii="Arial"/>
                                      <w:spacing w:val="-7"/>
                                      <w:sz w:val="8"/>
                                    </w:rPr>
                                    <w:t> </w:t>
                                  </w:r>
                                  <w:r>
                                    <w:rPr>
                                      <w:rFonts w:ascii="Arial"/>
                                      <w:spacing w:val="-2"/>
                                      <w:sz w:val="8"/>
                                    </w:rPr>
                                    <w:t>548,46</w:t>
                                  </w:r>
                                </w:p>
                              </w:tc>
                              <w:tc>
                                <w:tcPr>
                                  <w:tcW w:w="770" w:type="dxa"/>
                                  <w:tcBorders>
                                    <w:top w:val="single" w:sz="2" w:space="0" w:color="000000"/>
                                    <w:left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21"/>
                                    <w:rPr>
                                      <w:sz w:val="8"/>
                                    </w:rPr>
                                  </w:pPr>
                                </w:p>
                                <w:p>
                                  <w:pPr>
                                    <w:pStyle w:val="TableParagraph"/>
                                    <w:ind w:left="177"/>
                                    <w:rPr>
                                      <w:rFonts w:ascii="Arial"/>
                                      <w:sz w:val="8"/>
                                    </w:rPr>
                                  </w:pPr>
                                  <w:r>
                                    <w:rPr>
                                      <w:rFonts w:ascii="Arial"/>
                                      <w:spacing w:val="-2"/>
                                      <w:sz w:val="8"/>
                                    </w:rPr>
                                    <w:t>-110</w:t>
                                  </w:r>
                                  <w:r>
                                    <w:rPr>
                                      <w:rFonts w:ascii="Arial"/>
                                      <w:spacing w:val="1"/>
                                      <w:sz w:val="8"/>
                                    </w:rPr>
                                    <w:t> </w:t>
                                  </w:r>
                                  <w:r>
                                    <w:rPr>
                                      <w:rFonts w:ascii="Arial"/>
                                      <w:spacing w:val="-2"/>
                                      <w:sz w:val="8"/>
                                    </w:rPr>
                                    <w:t>595,54</w:t>
                                  </w:r>
                                </w:p>
                              </w:tc>
                              <w:tc>
                                <w:tcPr>
                                  <w:tcW w:w="524" w:type="dxa"/>
                                  <w:tcBorders>
                                    <w:top w:val="single" w:sz="2" w:space="0" w:color="000000"/>
                                    <w:left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21"/>
                                    <w:rPr>
                                      <w:sz w:val="8"/>
                                    </w:rPr>
                                  </w:pPr>
                                </w:p>
                                <w:p>
                                  <w:pPr>
                                    <w:pStyle w:val="TableParagraph"/>
                                    <w:ind w:left="118"/>
                                    <w:rPr>
                                      <w:rFonts w:ascii="Arial"/>
                                      <w:sz w:val="8"/>
                                    </w:rPr>
                                  </w:pPr>
                                  <w:r>
                                    <w:rPr>
                                      <w:rFonts w:ascii="Arial"/>
                                      <w:spacing w:val="-2"/>
                                      <w:sz w:val="8"/>
                                    </w:rPr>
                                    <w:t>-56,56%</w:t>
                                  </w:r>
                                </w:p>
                              </w:tc>
                              <w:tc>
                                <w:tcPr>
                                  <w:tcW w:w="1416" w:type="dxa"/>
                                  <w:tcBorders>
                                    <w:top w:val="single" w:sz="2" w:space="0" w:color="000000"/>
                                    <w:left w:val="single" w:sz="2" w:space="0" w:color="000000"/>
                                    <w:right w:val="single" w:sz="2" w:space="0" w:color="000000"/>
                                  </w:tcBorders>
                                </w:tcPr>
                                <w:p>
                                  <w:pPr>
                                    <w:pStyle w:val="TableParagraph"/>
                                    <w:spacing w:line="290" w:lineRule="auto" w:before="11"/>
                                    <w:ind w:left="15" w:right="33"/>
                                    <w:rPr>
                                      <w:rFonts w:ascii="Arial" w:hAnsi="Arial"/>
                                      <w:sz w:val="8"/>
                                    </w:rPr>
                                  </w:pPr>
                                  <w:r>
                                    <w:rPr>
                                      <w:rFonts w:ascii="Arial" w:hAnsi="Arial"/>
                                      <w:spacing w:val="-2"/>
                                      <w:sz w:val="8"/>
                                    </w:rPr>
                                    <w:t>Efecto neto disminuye en los saldos de</w:t>
                                  </w:r>
                                  <w:r>
                                    <w:rPr>
                                      <w:rFonts w:ascii="Arial" w:hAnsi="Arial"/>
                                      <w:spacing w:val="40"/>
                                      <w:sz w:val="8"/>
                                    </w:rPr>
                                    <w:t> </w:t>
                                  </w:r>
                                  <w:r>
                                    <w:rPr>
                                      <w:rFonts w:ascii="Arial" w:hAnsi="Arial"/>
                                      <w:spacing w:val="-2"/>
                                      <w:sz w:val="8"/>
                                    </w:rPr>
                                    <w:t>las</w:t>
                                  </w:r>
                                  <w:r>
                                    <w:rPr>
                                      <w:rFonts w:ascii="Arial" w:hAnsi="Arial"/>
                                      <w:spacing w:val="-4"/>
                                      <w:sz w:val="8"/>
                                    </w:rPr>
                                    <w:t> </w:t>
                                  </w:r>
                                  <w:r>
                                    <w:rPr>
                                      <w:rFonts w:ascii="Arial" w:hAnsi="Arial"/>
                                      <w:spacing w:val="-2"/>
                                      <w:sz w:val="8"/>
                                    </w:rPr>
                                    <w:t>cuentas</w:t>
                                  </w:r>
                                  <w:r>
                                    <w:rPr>
                                      <w:rFonts w:ascii="Arial" w:hAnsi="Arial"/>
                                      <w:spacing w:val="-4"/>
                                      <w:sz w:val="8"/>
                                    </w:rPr>
                                    <w:t> </w:t>
                                  </w:r>
                                  <w:r>
                                    <w:rPr>
                                      <w:rFonts w:ascii="Arial" w:hAnsi="Arial"/>
                                      <w:spacing w:val="-2"/>
                                      <w:sz w:val="8"/>
                                    </w:rPr>
                                    <w:t>por</w:t>
                                  </w:r>
                                  <w:r>
                                    <w:rPr>
                                      <w:rFonts w:ascii="Arial" w:hAnsi="Arial"/>
                                      <w:spacing w:val="-3"/>
                                      <w:sz w:val="8"/>
                                    </w:rPr>
                                    <w:t> </w:t>
                                  </w:r>
                                  <w:r>
                                    <w:rPr>
                                      <w:rFonts w:ascii="Arial" w:hAnsi="Arial"/>
                                      <w:spacing w:val="-2"/>
                                      <w:sz w:val="8"/>
                                    </w:rPr>
                                    <w:t>cobrar</w:t>
                                  </w:r>
                                  <w:r>
                                    <w:rPr>
                                      <w:rFonts w:ascii="Arial" w:hAnsi="Arial"/>
                                      <w:spacing w:val="-4"/>
                                      <w:sz w:val="8"/>
                                    </w:rPr>
                                    <w:t> </w:t>
                                  </w:r>
                                  <w:r>
                                    <w:rPr>
                                      <w:rFonts w:ascii="Arial" w:hAnsi="Arial"/>
                                      <w:spacing w:val="-2"/>
                                      <w:sz w:val="8"/>
                                    </w:rPr>
                                    <w:t>en</w:t>
                                  </w:r>
                                  <w:r>
                                    <w:rPr>
                                      <w:rFonts w:ascii="Arial" w:hAnsi="Arial"/>
                                      <w:spacing w:val="-3"/>
                                      <w:sz w:val="8"/>
                                    </w:rPr>
                                    <w:t> </w:t>
                                  </w:r>
                                  <w:r>
                                    <w:rPr>
                                      <w:rFonts w:ascii="Arial" w:hAnsi="Arial"/>
                                      <w:spacing w:val="-2"/>
                                      <w:sz w:val="8"/>
                                    </w:rPr>
                                    <w:t>-56,56%</w:t>
                                  </w:r>
                                  <w:r>
                                    <w:rPr>
                                      <w:rFonts w:ascii="Arial" w:hAnsi="Arial"/>
                                      <w:spacing w:val="-4"/>
                                      <w:sz w:val="8"/>
                                    </w:rPr>
                                    <w:t> </w:t>
                                  </w:r>
                                  <w:r>
                                    <w:rPr>
                                      <w:rFonts w:ascii="Arial" w:hAnsi="Arial"/>
                                      <w:spacing w:val="-2"/>
                                      <w:sz w:val="8"/>
                                    </w:rPr>
                                    <w:t>en</w:t>
                                  </w:r>
                                  <w:r>
                                    <w:rPr>
                                      <w:rFonts w:ascii="Arial" w:hAnsi="Arial"/>
                                      <w:spacing w:val="-3"/>
                                      <w:sz w:val="8"/>
                                    </w:rPr>
                                    <w:t> </w:t>
                                  </w:r>
                                  <w:r>
                                    <w:rPr>
                                      <w:rFonts w:ascii="Arial" w:hAnsi="Arial"/>
                                      <w:spacing w:val="-2"/>
                                      <w:sz w:val="8"/>
                                    </w:rPr>
                                    <w:t>el</w:t>
                                  </w:r>
                                  <w:r>
                                    <w:rPr>
                                      <w:rFonts w:ascii="Arial" w:hAnsi="Arial"/>
                                      <w:spacing w:val="40"/>
                                      <w:sz w:val="8"/>
                                    </w:rPr>
                                    <w:t> </w:t>
                                  </w:r>
                                  <w:r>
                                    <w:rPr>
                                      <w:rFonts w:ascii="Arial" w:hAnsi="Arial"/>
                                      <w:spacing w:val="-2"/>
                                      <w:sz w:val="8"/>
                                    </w:rPr>
                                    <w:t>porcentaje de incobrabilidad</w:t>
                                  </w:r>
                                  <w:r>
                                    <w:rPr>
                                      <w:rFonts w:ascii="Arial" w:hAnsi="Arial"/>
                                      <w:sz w:val="8"/>
                                    </w:rPr>
                                    <w:t> </w:t>
                                  </w:r>
                                  <w:r>
                                    <w:rPr>
                                      <w:rFonts w:ascii="Arial" w:hAnsi="Arial"/>
                                      <w:spacing w:val="-2"/>
                                      <w:sz w:val="8"/>
                                    </w:rPr>
                                    <w:t>aplicado a</w:t>
                                  </w:r>
                                  <w:r>
                                    <w:rPr>
                                      <w:rFonts w:ascii="Arial" w:hAnsi="Arial"/>
                                      <w:spacing w:val="40"/>
                                      <w:sz w:val="8"/>
                                    </w:rPr>
                                    <w:t> </w:t>
                                  </w:r>
                                  <w:r>
                                    <w:rPr>
                                      <w:rFonts w:ascii="Arial" w:hAnsi="Arial"/>
                                      <w:sz w:val="8"/>
                                    </w:rPr>
                                    <w:t>la previsión en el año 2026.</w:t>
                                  </w:r>
                                </w:p>
                              </w:tc>
                            </w:tr>
                            <w:tr>
                              <w:trPr>
                                <w:trHeight w:val="112" w:hRule="atLeast"/>
                              </w:trPr>
                              <w:tc>
                                <w:tcPr>
                                  <w:tcW w:w="520" w:type="dxa"/>
                                  <w:tcBorders>
                                    <w:left w:val="single" w:sz="2" w:space="0" w:color="000000"/>
                                    <w:right w:val="single" w:sz="2" w:space="0" w:color="000000"/>
                                  </w:tcBorders>
                                  <w:shd w:val="clear" w:color="auto" w:fill="FFFFFF"/>
                                </w:tcPr>
                                <w:p>
                                  <w:pPr>
                                    <w:pStyle w:val="TableParagraph"/>
                                    <w:rPr>
                                      <w:rFonts w:ascii="Times New Roman"/>
                                      <w:sz w:val="6"/>
                                    </w:rPr>
                                  </w:pPr>
                                </w:p>
                              </w:tc>
                              <w:tc>
                                <w:tcPr>
                                  <w:tcW w:w="1789" w:type="dxa"/>
                                  <w:tcBorders>
                                    <w:left w:val="single" w:sz="2" w:space="0" w:color="000000"/>
                                    <w:right w:val="single" w:sz="2" w:space="0" w:color="000000"/>
                                  </w:tcBorders>
                                  <w:shd w:val="clear" w:color="auto" w:fill="FFFFFF"/>
                                </w:tcPr>
                                <w:p>
                                  <w:pPr>
                                    <w:pStyle w:val="TableParagraph"/>
                                    <w:spacing w:line="73" w:lineRule="exact" w:before="19"/>
                                    <w:ind w:left="15"/>
                                    <w:rPr>
                                      <w:rFonts w:ascii="Arial" w:hAnsi="Arial"/>
                                      <w:b/>
                                      <w:sz w:val="8"/>
                                    </w:rPr>
                                  </w:pPr>
                                  <w:r>
                                    <w:rPr>
                                      <w:rFonts w:ascii="Arial" w:hAnsi="Arial"/>
                                      <w:b/>
                                      <w:spacing w:val="-2"/>
                                      <w:sz w:val="8"/>
                                    </w:rPr>
                                    <w:t>TOTAL</w:t>
                                  </w:r>
                                  <w:r>
                                    <w:rPr>
                                      <w:rFonts w:ascii="Arial" w:hAnsi="Arial"/>
                                      <w:b/>
                                      <w:spacing w:val="-4"/>
                                      <w:sz w:val="8"/>
                                    </w:rPr>
                                    <w:t> </w:t>
                                  </w:r>
                                  <w:r>
                                    <w:rPr>
                                      <w:rFonts w:ascii="Arial" w:hAnsi="Arial"/>
                                      <w:b/>
                                      <w:spacing w:val="-2"/>
                                      <w:sz w:val="8"/>
                                    </w:rPr>
                                    <w:t>PREVISIÓN</w:t>
                                  </w:r>
                                  <w:r>
                                    <w:rPr>
                                      <w:rFonts w:ascii="Arial" w:hAnsi="Arial"/>
                                      <w:b/>
                                      <w:spacing w:val="-3"/>
                                      <w:sz w:val="8"/>
                                    </w:rPr>
                                    <w:t> </w:t>
                                  </w:r>
                                  <w:r>
                                    <w:rPr>
                                      <w:rFonts w:ascii="Arial" w:hAnsi="Arial"/>
                                      <w:b/>
                                      <w:spacing w:val="-2"/>
                                      <w:sz w:val="8"/>
                                    </w:rPr>
                                    <w:t>Largo</w:t>
                                  </w:r>
                                  <w:r>
                                    <w:rPr>
                                      <w:rFonts w:ascii="Arial" w:hAnsi="Arial"/>
                                      <w:b/>
                                      <w:spacing w:val="-3"/>
                                      <w:sz w:val="8"/>
                                    </w:rPr>
                                    <w:t> </w:t>
                                  </w:r>
                                  <w:r>
                                    <w:rPr>
                                      <w:rFonts w:ascii="Arial" w:hAnsi="Arial"/>
                                      <w:b/>
                                      <w:spacing w:val="-2"/>
                                      <w:sz w:val="8"/>
                                    </w:rPr>
                                    <w:t>plazo</w:t>
                                  </w:r>
                                </w:p>
                              </w:tc>
                              <w:tc>
                                <w:tcPr>
                                  <w:tcW w:w="745" w:type="dxa"/>
                                  <w:tcBorders>
                                    <w:left w:val="single" w:sz="2" w:space="0" w:color="000000"/>
                                    <w:right w:val="single" w:sz="2" w:space="0" w:color="000000"/>
                                  </w:tcBorders>
                                  <w:shd w:val="clear" w:color="auto" w:fill="FFFFFF"/>
                                </w:tcPr>
                                <w:p>
                                  <w:pPr>
                                    <w:pStyle w:val="TableParagraph"/>
                                    <w:rPr>
                                      <w:rFonts w:ascii="Times New Roman"/>
                                      <w:sz w:val="6"/>
                                    </w:rPr>
                                  </w:pPr>
                                </w:p>
                              </w:tc>
                              <w:tc>
                                <w:tcPr>
                                  <w:tcW w:w="843" w:type="dxa"/>
                                  <w:tcBorders>
                                    <w:left w:val="single" w:sz="2" w:space="0" w:color="000000"/>
                                    <w:right w:val="single" w:sz="2" w:space="0" w:color="000000"/>
                                  </w:tcBorders>
                                  <w:shd w:val="clear" w:color="auto" w:fill="FFFFFF"/>
                                </w:tcPr>
                                <w:p>
                                  <w:pPr>
                                    <w:pStyle w:val="TableParagraph"/>
                                    <w:spacing w:line="73" w:lineRule="exact" w:before="19"/>
                                    <w:ind w:left="435"/>
                                    <w:rPr>
                                      <w:rFonts w:ascii="Arial"/>
                                      <w:b/>
                                      <w:sz w:val="8"/>
                                    </w:rPr>
                                  </w:pPr>
                                  <w:r>
                                    <w:rPr>
                                      <w:rFonts w:ascii="Arial"/>
                                      <w:b/>
                                      <w:sz w:val="8"/>
                                    </w:rPr>
                                    <w:t>537</w:t>
                                  </w:r>
                                  <w:r>
                                    <w:rPr>
                                      <w:rFonts w:ascii="Arial"/>
                                      <w:b/>
                                      <w:spacing w:val="-7"/>
                                      <w:sz w:val="8"/>
                                    </w:rPr>
                                    <w:t> </w:t>
                                  </w:r>
                                  <w:r>
                                    <w:rPr>
                                      <w:rFonts w:ascii="Arial"/>
                                      <w:b/>
                                      <w:spacing w:val="-2"/>
                                      <w:sz w:val="8"/>
                                    </w:rPr>
                                    <w:t>652,11</w:t>
                                  </w:r>
                                </w:p>
                              </w:tc>
                              <w:tc>
                                <w:tcPr>
                                  <w:tcW w:w="757" w:type="dxa"/>
                                  <w:tcBorders>
                                    <w:left w:val="single" w:sz="2" w:space="0" w:color="000000"/>
                                    <w:right w:val="single" w:sz="2" w:space="0" w:color="000000"/>
                                  </w:tcBorders>
                                  <w:shd w:val="clear" w:color="auto" w:fill="FFFFFF"/>
                                </w:tcPr>
                                <w:p>
                                  <w:pPr>
                                    <w:pStyle w:val="TableParagraph"/>
                                    <w:spacing w:line="73" w:lineRule="exact" w:before="19"/>
                                    <w:ind w:left="350"/>
                                    <w:rPr>
                                      <w:rFonts w:ascii="Arial"/>
                                      <w:b/>
                                      <w:sz w:val="8"/>
                                    </w:rPr>
                                  </w:pPr>
                                  <w:r>
                                    <w:rPr>
                                      <w:rFonts w:ascii="Arial"/>
                                      <w:b/>
                                      <w:sz w:val="8"/>
                                    </w:rPr>
                                    <w:t>672</w:t>
                                  </w:r>
                                  <w:r>
                                    <w:rPr>
                                      <w:rFonts w:ascii="Arial"/>
                                      <w:b/>
                                      <w:spacing w:val="-7"/>
                                      <w:sz w:val="8"/>
                                    </w:rPr>
                                    <w:t> </w:t>
                                  </w:r>
                                  <w:r>
                                    <w:rPr>
                                      <w:rFonts w:ascii="Arial"/>
                                      <w:b/>
                                      <w:spacing w:val="-2"/>
                                      <w:sz w:val="8"/>
                                    </w:rPr>
                                    <w:t>894,74</w:t>
                                  </w:r>
                                </w:p>
                              </w:tc>
                              <w:tc>
                                <w:tcPr>
                                  <w:tcW w:w="770" w:type="dxa"/>
                                  <w:tcBorders>
                                    <w:left w:val="single" w:sz="2" w:space="0" w:color="000000"/>
                                    <w:right w:val="single" w:sz="2" w:space="0" w:color="000000"/>
                                  </w:tcBorders>
                                  <w:shd w:val="clear" w:color="auto" w:fill="FFFFFF"/>
                                </w:tcPr>
                                <w:p>
                                  <w:pPr>
                                    <w:pStyle w:val="TableParagraph"/>
                                    <w:spacing w:line="73" w:lineRule="exact" w:before="19"/>
                                    <w:ind w:left="337"/>
                                    <w:rPr>
                                      <w:rFonts w:ascii="Arial"/>
                                      <w:b/>
                                      <w:sz w:val="8"/>
                                    </w:rPr>
                                  </w:pPr>
                                  <w:r>
                                    <w:rPr>
                                      <w:rFonts w:ascii="Arial"/>
                                      <w:b/>
                                      <w:spacing w:val="-2"/>
                                      <w:sz w:val="8"/>
                                    </w:rPr>
                                    <w:t>-135</w:t>
                                  </w:r>
                                  <w:r>
                                    <w:rPr>
                                      <w:rFonts w:ascii="Arial"/>
                                      <w:b/>
                                      <w:spacing w:val="1"/>
                                      <w:sz w:val="8"/>
                                    </w:rPr>
                                    <w:t> </w:t>
                                  </w:r>
                                  <w:r>
                                    <w:rPr>
                                      <w:rFonts w:ascii="Arial"/>
                                      <w:b/>
                                      <w:spacing w:val="-2"/>
                                      <w:sz w:val="8"/>
                                    </w:rPr>
                                    <w:t>242,63</w:t>
                                  </w:r>
                                </w:p>
                              </w:tc>
                              <w:tc>
                                <w:tcPr>
                                  <w:tcW w:w="524" w:type="dxa"/>
                                  <w:tcBorders>
                                    <w:left w:val="single" w:sz="2" w:space="0" w:color="000000"/>
                                    <w:right w:val="single" w:sz="2" w:space="0" w:color="000000"/>
                                  </w:tcBorders>
                                  <w:shd w:val="clear" w:color="auto" w:fill="FFFFFF"/>
                                </w:tcPr>
                                <w:p>
                                  <w:pPr>
                                    <w:pStyle w:val="TableParagraph"/>
                                    <w:spacing w:line="73" w:lineRule="exact" w:before="19"/>
                                    <w:ind w:left="221"/>
                                    <w:rPr>
                                      <w:rFonts w:ascii="Arial"/>
                                      <w:b/>
                                      <w:sz w:val="8"/>
                                    </w:rPr>
                                  </w:pPr>
                                  <w:r>
                                    <w:rPr>
                                      <w:rFonts w:ascii="Arial"/>
                                      <w:b/>
                                      <w:spacing w:val="-2"/>
                                      <w:sz w:val="8"/>
                                    </w:rPr>
                                    <w:t>-20,10%</w:t>
                                  </w:r>
                                </w:p>
                              </w:tc>
                              <w:tc>
                                <w:tcPr>
                                  <w:tcW w:w="1416" w:type="dxa"/>
                                  <w:tcBorders>
                                    <w:left w:val="single" w:sz="2" w:space="0" w:color="000000"/>
                                    <w:right w:val="single" w:sz="2" w:space="0" w:color="000000"/>
                                  </w:tcBorders>
                                  <w:shd w:val="clear" w:color="auto" w:fill="FFFFFF"/>
                                </w:tcPr>
                                <w:p>
                                  <w:pPr>
                                    <w:pStyle w:val="TableParagraph"/>
                                    <w:rPr>
                                      <w:rFonts w:ascii="Times New Roman"/>
                                      <w:sz w:val="6"/>
                                    </w:rPr>
                                  </w:pPr>
                                </w:p>
                              </w:tc>
                            </w:tr>
                          </w:tbl>
                          <w:p>
                            <w:pPr>
                              <w:pStyle w:val="BodyText"/>
                            </w:pPr>
                          </w:p>
                        </w:txbxContent>
                      </wps:txbx>
                      <wps:bodyPr wrap="square" lIns="0" tIns="0" rIns="0" bIns="0" rtlCol="0">
                        <a:noAutofit/>
                      </wps:bodyPr>
                    </wps:wsp>
                  </a:graphicData>
                </a:graphic>
              </wp:anchor>
            </w:drawing>
          </mc:Choice>
          <mc:Fallback>
            <w:pict>
              <v:shape style="position:absolute;margin-left:122.370789pt;margin-top:-130.681992pt;width:374.5pt;height:99.6pt;mso-position-horizontal-relative:page;mso-position-vertical-relative:paragraph;z-index:15777792" type="#_x0000_t202" id="docshape294" filled="false" stroked="false">
                <v:textbox inset="0,0,0,0">
                  <w:txbxContent>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0"/>
                        <w:gridCol w:w="1789"/>
                        <w:gridCol w:w="745"/>
                        <w:gridCol w:w="843"/>
                        <w:gridCol w:w="757"/>
                        <w:gridCol w:w="770"/>
                        <w:gridCol w:w="524"/>
                        <w:gridCol w:w="1416"/>
                      </w:tblGrid>
                      <w:tr>
                        <w:trPr>
                          <w:trHeight w:val="238" w:hRule="atLeast"/>
                        </w:trPr>
                        <w:tc>
                          <w:tcPr>
                            <w:tcW w:w="7364" w:type="dxa"/>
                            <w:gridSpan w:val="8"/>
                            <w:tcBorders>
                              <w:left w:val="single" w:sz="2" w:space="0" w:color="000000"/>
                              <w:right w:val="single" w:sz="2" w:space="0" w:color="000000"/>
                            </w:tcBorders>
                            <w:shd w:val="clear" w:color="auto" w:fill="E7E6E6"/>
                          </w:tcPr>
                          <w:p>
                            <w:pPr>
                              <w:pStyle w:val="TableParagraph"/>
                              <w:spacing w:before="71"/>
                              <w:ind w:left="3"/>
                              <w:jc w:val="center"/>
                              <w:rPr>
                                <w:rFonts w:ascii="Arial"/>
                                <w:b/>
                                <w:sz w:val="9"/>
                              </w:rPr>
                            </w:pPr>
                            <w:r>
                              <w:rPr>
                                <w:rFonts w:ascii="Arial"/>
                                <w:b/>
                                <w:w w:val="90"/>
                                <w:sz w:val="9"/>
                              </w:rPr>
                              <w:t>VARIACIONES</w:t>
                            </w:r>
                            <w:r>
                              <w:rPr>
                                <w:rFonts w:ascii="Arial"/>
                                <w:b/>
                                <w:spacing w:val="2"/>
                                <w:sz w:val="9"/>
                              </w:rPr>
                              <w:t> </w:t>
                            </w:r>
                            <w:r>
                              <w:rPr>
                                <w:rFonts w:ascii="Arial"/>
                                <w:b/>
                                <w:w w:val="90"/>
                                <w:sz w:val="9"/>
                              </w:rPr>
                              <w:t>DE</w:t>
                            </w:r>
                            <w:r>
                              <w:rPr>
                                <w:rFonts w:ascii="Arial"/>
                                <w:b/>
                                <w:spacing w:val="3"/>
                                <w:sz w:val="9"/>
                              </w:rPr>
                              <w:t> </w:t>
                            </w:r>
                            <w:r>
                              <w:rPr>
                                <w:rFonts w:ascii="Arial"/>
                                <w:b/>
                                <w:w w:val="90"/>
                                <w:sz w:val="9"/>
                              </w:rPr>
                              <w:t>LAS</w:t>
                            </w:r>
                            <w:r>
                              <w:rPr>
                                <w:rFonts w:ascii="Arial"/>
                                <w:b/>
                                <w:spacing w:val="4"/>
                                <w:sz w:val="9"/>
                              </w:rPr>
                              <w:t> </w:t>
                            </w:r>
                            <w:r>
                              <w:rPr>
                                <w:rFonts w:ascii="Arial"/>
                                <w:b/>
                                <w:w w:val="90"/>
                                <w:sz w:val="9"/>
                              </w:rPr>
                              <w:t>CUENTAS</w:t>
                            </w:r>
                            <w:r>
                              <w:rPr>
                                <w:rFonts w:ascii="Arial"/>
                                <w:b/>
                                <w:spacing w:val="3"/>
                                <w:sz w:val="9"/>
                              </w:rPr>
                              <w:t> </w:t>
                            </w:r>
                            <w:r>
                              <w:rPr>
                                <w:rFonts w:ascii="Arial"/>
                                <w:b/>
                                <w:w w:val="90"/>
                                <w:sz w:val="9"/>
                              </w:rPr>
                              <w:t>DE</w:t>
                            </w:r>
                            <w:r>
                              <w:rPr>
                                <w:rFonts w:ascii="Arial"/>
                                <w:b/>
                                <w:spacing w:val="4"/>
                                <w:sz w:val="9"/>
                              </w:rPr>
                              <w:t> </w:t>
                            </w:r>
                            <w:r>
                              <w:rPr>
                                <w:rFonts w:ascii="Arial"/>
                                <w:b/>
                                <w:w w:val="90"/>
                                <w:sz w:val="9"/>
                              </w:rPr>
                              <w:t>ESTIMACION</w:t>
                            </w:r>
                            <w:r>
                              <w:rPr>
                                <w:rFonts w:ascii="Arial"/>
                                <w:b/>
                                <w:sz w:val="9"/>
                              </w:rPr>
                              <w:t> </w:t>
                            </w:r>
                            <w:r>
                              <w:rPr>
                                <w:rFonts w:ascii="Arial"/>
                                <w:b/>
                                <w:w w:val="90"/>
                                <w:sz w:val="9"/>
                              </w:rPr>
                              <w:t>DE</w:t>
                            </w:r>
                            <w:r>
                              <w:rPr>
                                <w:rFonts w:ascii="Arial"/>
                                <w:b/>
                                <w:spacing w:val="3"/>
                                <w:sz w:val="9"/>
                              </w:rPr>
                              <w:t> </w:t>
                            </w:r>
                            <w:r>
                              <w:rPr>
                                <w:rFonts w:ascii="Arial"/>
                                <w:b/>
                                <w:w w:val="90"/>
                                <w:sz w:val="9"/>
                              </w:rPr>
                              <w:t>INCOBRABLES</w:t>
                            </w:r>
                            <w:r>
                              <w:rPr>
                                <w:rFonts w:ascii="Arial"/>
                                <w:b/>
                                <w:spacing w:val="2"/>
                                <w:sz w:val="9"/>
                              </w:rPr>
                              <w:t> </w:t>
                            </w:r>
                            <w:r>
                              <w:rPr>
                                <w:rFonts w:ascii="Arial"/>
                                <w:b/>
                                <w:w w:val="90"/>
                                <w:sz w:val="9"/>
                              </w:rPr>
                              <w:t>DE</w:t>
                            </w:r>
                            <w:r>
                              <w:rPr>
                                <w:rFonts w:ascii="Arial"/>
                                <w:b/>
                                <w:spacing w:val="4"/>
                                <w:sz w:val="9"/>
                              </w:rPr>
                              <w:t> </w:t>
                            </w:r>
                            <w:r>
                              <w:rPr>
                                <w:rFonts w:ascii="Arial"/>
                                <w:b/>
                                <w:w w:val="90"/>
                                <w:sz w:val="9"/>
                              </w:rPr>
                              <w:t>LAS</w:t>
                            </w:r>
                            <w:r>
                              <w:rPr>
                                <w:rFonts w:ascii="Arial"/>
                                <w:b/>
                                <w:spacing w:val="4"/>
                                <w:sz w:val="9"/>
                              </w:rPr>
                              <w:t> </w:t>
                            </w:r>
                            <w:r>
                              <w:rPr>
                                <w:rFonts w:ascii="Arial"/>
                                <w:b/>
                                <w:w w:val="90"/>
                                <w:sz w:val="9"/>
                              </w:rPr>
                              <w:t>CUENTAS</w:t>
                            </w:r>
                            <w:r>
                              <w:rPr>
                                <w:rFonts w:ascii="Arial"/>
                                <w:b/>
                                <w:spacing w:val="3"/>
                                <w:sz w:val="9"/>
                              </w:rPr>
                              <w:t> </w:t>
                            </w:r>
                            <w:r>
                              <w:rPr>
                                <w:rFonts w:ascii="Arial"/>
                                <w:b/>
                                <w:w w:val="90"/>
                                <w:sz w:val="9"/>
                              </w:rPr>
                              <w:t>A</w:t>
                            </w:r>
                            <w:r>
                              <w:rPr>
                                <w:rFonts w:ascii="Arial"/>
                                <w:b/>
                                <w:sz w:val="9"/>
                              </w:rPr>
                              <w:t> </w:t>
                            </w:r>
                            <w:r>
                              <w:rPr>
                                <w:rFonts w:ascii="Arial"/>
                                <w:b/>
                                <w:w w:val="90"/>
                                <w:sz w:val="9"/>
                              </w:rPr>
                              <w:t>COBRAR</w:t>
                            </w:r>
                            <w:r>
                              <w:rPr>
                                <w:rFonts w:ascii="Arial"/>
                                <w:b/>
                                <w:spacing w:val="3"/>
                                <w:sz w:val="9"/>
                              </w:rPr>
                              <w:t> </w:t>
                            </w:r>
                            <w:r>
                              <w:rPr>
                                <w:rFonts w:ascii="Arial"/>
                                <w:b/>
                                <w:w w:val="90"/>
                                <w:sz w:val="9"/>
                              </w:rPr>
                              <w:t>LP</w:t>
                            </w:r>
                            <w:r>
                              <w:rPr>
                                <w:rFonts w:ascii="Arial"/>
                                <w:b/>
                                <w:sz w:val="9"/>
                              </w:rPr>
                              <w:t> </w:t>
                            </w:r>
                            <w:r>
                              <w:rPr>
                                <w:rFonts w:ascii="Arial"/>
                                <w:b/>
                                <w:w w:val="90"/>
                                <w:sz w:val="9"/>
                              </w:rPr>
                              <w:t>AL</w:t>
                            </w:r>
                            <w:r>
                              <w:rPr>
                                <w:rFonts w:ascii="Arial"/>
                                <w:b/>
                                <w:spacing w:val="2"/>
                                <w:sz w:val="9"/>
                              </w:rPr>
                              <w:t> </w:t>
                            </w:r>
                            <w:r>
                              <w:rPr>
                                <w:rFonts w:ascii="Arial"/>
                                <w:b/>
                                <w:w w:val="90"/>
                                <w:sz w:val="9"/>
                              </w:rPr>
                              <w:t>31.07.26</w:t>
                            </w:r>
                            <w:r>
                              <w:rPr>
                                <w:rFonts w:ascii="Arial"/>
                                <w:b/>
                                <w:spacing w:val="3"/>
                                <w:sz w:val="9"/>
                              </w:rPr>
                              <w:t> </w:t>
                            </w:r>
                            <w:r>
                              <w:rPr>
                                <w:rFonts w:ascii="Arial"/>
                                <w:b/>
                                <w:w w:val="90"/>
                                <w:sz w:val="9"/>
                              </w:rPr>
                              <w:t>y</w:t>
                            </w:r>
                            <w:r>
                              <w:rPr>
                                <w:rFonts w:ascii="Arial"/>
                                <w:b/>
                                <w:spacing w:val="5"/>
                                <w:sz w:val="9"/>
                              </w:rPr>
                              <w:t> </w:t>
                            </w:r>
                            <w:r>
                              <w:rPr>
                                <w:rFonts w:ascii="Arial"/>
                                <w:b/>
                                <w:spacing w:val="-2"/>
                                <w:w w:val="90"/>
                                <w:sz w:val="9"/>
                              </w:rPr>
                              <w:t>31.07.25</w:t>
                            </w:r>
                          </w:p>
                        </w:tc>
                      </w:tr>
                      <w:tr>
                        <w:trPr>
                          <w:trHeight w:val="115" w:hRule="atLeast"/>
                        </w:trPr>
                        <w:tc>
                          <w:tcPr>
                            <w:tcW w:w="520" w:type="dxa"/>
                            <w:tcBorders>
                              <w:left w:val="single" w:sz="2" w:space="0" w:color="000000"/>
                              <w:right w:val="single" w:sz="2" w:space="0" w:color="000000"/>
                            </w:tcBorders>
                          </w:tcPr>
                          <w:p>
                            <w:pPr>
                              <w:pStyle w:val="TableParagraph"/>
                              <w:rPr>
                                <w:rFonts w:ascii="Times New Roman"/>
                                <w:sz w:val="6"/>
                              </w:rPr>
                            </w:pPr>
                          </w:p>
                        </w:tc>
                        <w:tc>
                          <w:tcPr>
                            <w:tcW w:w="1789" w:type="dxa"/>
                            <w:tcBorders>
                              <w:left w:val="single" w:sz="2" w:space="0" w:color="000000"/>
                              <w:right w:val="single" w:sz="2" w:space="0" w:color="000000"/>
                            </w:tcBorders>
                          </w:tcPr>
                          <w:p>
                            <w:pPr>
                              <w:pStyle w:val="TableParagraph"/>
                              <w:rPr>
                                <w:rFonts w:ascii="Times New Roman"/>
                                <w:sz w:val="6"/>
                              </w:rPr>
                            </w:pPr>
                          </w:p>
                        </w:tc>
                        <w:tc>
                          <w:tcPr>
                            <w:tcW w:w="745" w:type="dxa"/>
                            <w:tcBorders>
                              <w:left w:val="single" w:sz="2" w:space="0" w:color="000000"/>
                              <w:right w:val="single" w:sz="2" w:space="0" w:color="000000"/>
                            </w:tcBorders>
                          </w:tcPr>
                          <w:p>
                            <w:pPr>
                              <w:pStyle w:val="TableParagraph"/>
                              <w:rPr>
                                <w:rFonts w:ascii="Times New Roman"/>
                                <w:sz w:val="6"/>
                              </w:rPr>
                            </w:pPr>
                          </w:p>
                        </w:tc>
                        <w:tc>
                          <w:tcPr>
                            <w:tcW w:w="843" w:type="dxa"/>
                            <w:tcBorders>
                              <w:left w:val="single" w:sz="2" w:space="0" w:color="000000"/>
                              <w:right w:val="single" w:sz="2" w:space="0" w:color="000000"/>
                            </w:tcBorders>
                          </w:tcPr>
                          <w:p>
                            <w:pPr>
                              <w:pStyle w:val="TableParagraph"/>
                              <w:rPr>
                                <w:rFonts w:ascii="Times New Roman"/>
                                <w:sz w:val="6"/>
                              </w:rPr>
                            </w:pPr>
                          </w:p>
                        </w:tc>
                        <w:tc>
                          <w:tcPr>
                            <w:tcW w:w="757" w:type="dxa"/>
                            <w:tcBorders>
                              <w:left w:val="single" w:sz="2" w:space="0" w:color="000000"/>
                              <w:right w:val="single" w:sz="2" w:space="0" w:color="000000"/>
                            </w:tcBorders>
                          </w:tcPr>
                          <w:p>
                            <w:pPr>
                              <w:pStyle w:val="TableParagraph"/>
                              <w:rPr>
                                <w:rFonts w:ascii="Times New Roman"/>
                                <w:sz w:val="6"/>
                              </w:rPr>
                            </w:pPr>
                          </w:p>
                        </w:tc>
                        <w:tc>
                          <w:tcPr>
                            <w:tcW w:w="770" w:type="dxa"/>
                            <w:tcBorders>
                              <w:left w:val="single" w:sz="2" w:space="0" w:color="000000"/>
                              <w:right w:val="single" w:sz="2" w:space="0" w:color="000000"/>
                            </w:tcBorders>
                            <w:shd w:val="clear" w:color="auto" w:fill="FFFFFF"/>
                          </w:tcPr>
                          <w:p>
                            <w:pPr>
                              <w:pStyle w:val="TableParagraph"/>
                              <w:rPr>
                                <w:rFonts w:ascii="Times New Roman"/>
                                <w:sz w:val="6"/>
                              </w:rPr>
                            </w:pPr>
                          </w:p>
                        </w:tc>
                        <w:tc>
                          <w:tcPr>
                            <w:tcW w:w="524" w:type="dxa"/>
                            <w:tcBorders>
                              <w:left w:val="single" w:sz="2" w:space="0" w:color="000000"/>
                              <w:right w:val="single" w:sz="2" w:space="0" w:color="000000"/>
                            </w:tcBorders>
                            <w:shd w:val="clear" w:color="auto" w:fill="FFFFFF"/>
                          </w:tcPr>
                          <w:p>
                            <w:pPr>
                              <w:pStyle w:val="TableParagraph"/>
                              <w:rPr>
                                <w:rFonts w:ascii="Times New Roman"/>
                                <w:sz w:val="6"/>
                              </w:rPr>
                            </w:pPr>
                          </w:p>
                        </w:tc>
                        <w:tc>
                          <w:tcPr>
                            <w:tcW w:w="1416" w:type="dxa"/>
                            <w:tcBorders>
                              <w:left w:val="single" w:sz="2" w:space="0" w:color="000000"/>
                              <w:right w:val="single" w:sz="2" w:space="0" w:color="000000"/>
                            </w:tcBorders>
                          </w:tcPr>
                          <w:p>
                            <w:pPr>
                              <w:pStyle w:val="TableParagraph"/>
                              <w:rPr>
                                <w:rFonts w:ascii="Times New Roman"/>
                                <w:sz w:val="6"/>
                              </w:rPr>
                            </w:pPr>
                          </w:p>
                        </w:tc>
                      </w:tr>
                      <w:tr>
                        <w:trPr>
                          <w:trHeight w:val="358" w:hRule="atLeast"/>
                        </w:trPr>
                        <w:tc>
                          <w:tcPr>
                            <w:tcW w:w="520" w:type="dxa"/>
                            <w:tcBorders>
                              <w:left w:val="single" w:sz="2" w:space="0" w:color="000000"/>
                              <w:bottom w:val="single" w:sz="2" w:space="0" w:color="000000"/>
                              <w:right w:val="single" w:sz="2" w:space="0" w:color="000000"/>
                            </w:tcBorders>
                            <w:shd w:val="clear" w:color="auto" w:fill="E7E6E6"/>
                          </w:tcPr>
                          <w:p>
                            <w:pPr>
                              <w:pStyle w:val="TableParagraph"/>
                              <w:spacing w:before="27"/>
                              <w:rPr>
                                <w:sz w:val="8"/>
                              </w:rPr>
                            </w:pPr>
                          </w:p>
                          <w:p>
                            <w:pPr>
                              <w:pStyle w:val="TableParagraph"/>
                              <w:spacing w:line="110" w:lineRule="atLeast"/>
                              <w:ind w:left="46" w:right="36" w:firstLine="51"/>
                              <w:rPr>
                                <w:rFonts w:ascii="Arial"/>
                                <w:b/>
                                <w:sz w:val="8"/>
                              </w:rPr>
                            </w:pPr>
                            <w:r>
                              <w:rPr>
                                <w:rFonts w:ascii="Arial"/>
                                <w:b/>
                                <w:spacing w:val="-2"/>
                                <w:sz w:val="8"/>
                              </w:rPr>
                              <w:t>CUENTA</w:t>
                            </w:r>
                            <w:r>
                              <w:rPr>
                                <w:rFonts w:ascii="Arial"/>
                                <w:b/>
                                <w:spacing w:val="40"/>
                                <w:sz w:val="8"/>
                              </w:rPr>
                              <w:t> </w:t>
                            </w:r>
                            <w:r>
                              <w:rPr>
                                <w:rFonts w:ascii="Arial"/>
                                <w:b/>
                                <w:spacing w:val="-4"/>
                                <w:sz w:val="8"/>
                              </w:rPr>
                              <w:t>CONTABLE</w:t>
                            </w:r>
                          </w:p>
                        </w:tc>
                        <w:tc>
                          <w:tcPr>
                            <w:tcW w:w="1789" w:type="dxa"/>
                            <w:tcBorders>
                              <w:left w:val="single" w:sz="2" w:space="0" w:color="000000"/>
                              <w:bottom w:val="single" w:sz="2" w:space="0" w:color="000000"/>
                              <w:right w:val="single" w:sz="2" w:space="0" w:color="000000"/>
                            </w:tcBorders>
                            <w:shd w:val="clear" w:color="auto" w:fill="E7E6E6"/>
                          </w:tcPr>
                          <w:p>
                            <w:pPr>
                              <w:pStyle w:val="TableParagraph"/>
                              <w:rPr>
                                <w:sz w:val="8"/>
                              </w:rPr>
                            </w:pPr>
                          </w:p>
                          <w:p>
                            <w:pPr>
                              <w:pStyle w:val="TableParagraph"/>
                              <w:spacing w:before="82"/>
                              <w:rPr>
                                <w:sz w:val="8"/>
                              </w:rPr>
                            </w:pPr>
                          </w:p>
                          <w:p>
                            <w:pPr>
                              <w:pStyle w:val="TableParagraph"/>
                              <w:spacing w:line="74" w:lineRule="exact"/>
                              <w:ind w:left="327"/>
                              <w:rPr>
                                <w:rFonts w:ascii="Arial"/>
                                <w:b/>
                                <w:sz w:val="8"/>
                              </w:rPr>
                            </w:pPr>
                            <w:r>
                              <w:rPr>
                                <w:rFonts w:ascii="Arial"/>
                                <w:b/>
                                <w:spacing w:val="-4"/>
                                <w:sz w:val="8"/>
                              </w:rPr>
                              <w:t>NOMBRE</w:t>
                            </w:r>
                            <w:r>
                              <w:rPr>
                                <w:rFonts w:ascii="Arial"/>
                                <w:b/>
                                <w:spacing w:val="8"/>
                                <w:sz w:val="8"/>
                              </w:rPr>
                              <w:t> </w:t>
                            </w:r>
                            <w:r>
                              <w:rPr>
                                <w:rFonts w:ascii="Arial"/>
                                <w:b/>
                                <w:spacing w:val="-4"/>
                                <w:sz w:val="8"/>
                              </w:rPr>
                              <w:t>CUENTA</w:t>
                            </w:r>
                            <w:r>
                              <w:rPr>
                                <w:rFonts w:ascii="Arial"/>
                                <w:b/>
                                <w:spacing w:val="6"/>
                                <w:sz w:val="8"/>
                              </w:rPr>
                              <w:t> </w:t>
                            </w:r>
                            <w:r>
                              <w:rPr>
                                <w:rFonts w:ascii="Arial"/>
                                <w:b/>
                                <w:spacing w:val="-4"/>
                                <w:sz w:val="8"/>
                              </w:rPr>
                              <w:t>CONTABLE</w:t>
                            </w:r>
                          </w:p>
                        </w:tc>
                        <w:tc>
                          <w:tcPr>
                            <w:tcW w:w="745" w:type="dxa"/>
                            <w:tcBorders>
                              <w:left w:val="single" w:sz="2" w:space="0" w:color="000000"/>
                              <w:bottom w:val="single" w:sz="2" w:space="0" w:color="000000"/>
                              <w:right w:val="single" w:sz="2" w:space="0" w:color="000000"/>
                            </w:tcBorders>
                            <w:shd w:val="clear" w:color="auto" w:fill="E7E6E6"/>
                          </w:tcPr>
                          <w:p>
                            <w:pPr>
                              <w:pStyle w:val="TableParagraph"/>
                              <w:rPr>
                                <w:sz w:val="8"/>
                              </w:rPr>
                            </w:pPr>
                          </w:p>
                          <w:p>
                            <w:pPr>
                              <w:pStyle w:val="TableParagraph"/>
                              <w:spacing w:before="82"/>
                              <w:rPr>
                                <w:sz w:val="8"/>
                              </w:rPr>
                            </w:pPr>
                          </w:p>
                          <w:p>
                            <w:pPr>
                              <w:pStyle w:val="TableParagraph"/>
                              <w:spacing w:line="74" w:lineRule="exact"/>
                              <w:ind w:left="3"/>
                              <w:jc w:val="center"/>
                              <w:rPr>
                                <w:rFonts w:ascii="Arial"/>
                                <w:b/>
                                <w:sz w:val="8"/>
                              </w:rPr>
                            </w:pPr>
                            <w:r>
                              <w:rPr>
                                <w:rFonts w:ascii="Arial"/>
                                <w:b/>
                                <w:spacing w:val="-2"/>
                                <w:sz w:val="8"/>
                              </w:rPr>
                              <w:t>CONCEPTO</w:t>
                            </w:r>
                          </w:p>
                        </w:tc>
                        <w:tc>
                          <w:tcPr>
                            <w:tcW w:w="843" w:type="dxa"/>
                            <w:tcBorders>
                              <w:left w:val="single" w:sz="2" w:space="0" w:color="000000"/>
                              <w:bottom w:val="single" w:sz="2" w:space="0" w:color="000000"/>
                              <w:right w:val="single" w:sz="2" w:space="0" w:color="000000"/>
                            </w:tcBorders>
                            <w:shd w:val="clear" w:color="auto" w:fill="E7E6E6"/>
                          </w:tcPr>
                          <w:p>
                            <w:pPr>
                              <w:pStyle w:val="TableParagraph"/>
                              <w:spacing w:line="110" w:lineRule="exact" w:before="10"/>
                              <w:ind w:left="68" w:right="63" w:hanging="1"/>
                              <w:jc w:val="center"/>
                              <w:rPr>
                                <w:rFonts w:ascii="Arial"/>
                                <w:b/>
                                <w:sz w:val="8"/>
                              </w:rPr>
                            </w:pPr>
                            <w:r>
                              <w:rPr>
                                <w:rFonts w:ascii="Arial"/>
                                <w:b/>
                                <w:spacing w:val="-2"/>
                                <w:sz w:val="8"/>
                              </w:rPr>
                              <w:t>SALDOS</w:t>
                            </w:r>
                            <w:r>
                              <w:rPr>
                                <w:rFonts w:ascii="Arial"/>
                                <w:b/>
                                <w:spacing w:val="40"/>
                                <w:sz w:val="8"/>
                              </w:rPr>
                              <w:t> </w:t>
                            </w:r>
                            <w:r>
                              <w:rPr>
                                <w:rFonts w:ascii="Arial"/>
                                <w:b/>
                                <w:spacing w:val="-4"/>
                                <w:sz w:val="8"/>
                              </w:rPr>
                              <w:t>ESTIM.INCOBR.</w:t>
                            </w:r>
                            <w:r>
                              <w:rPr>
                                <w:rFonts w:ascii="Arial"/>
                                <w:b/>
                                <w:spacing w:val="-3"/>
                                <w:sz w:val="8"/>
                              </w:rPr>
                              <w:t> </w:t>
                            </w:r>
                            <w:r>
                              <w:rPr>
                                <w:rFonts w:ascii="Arial"/>
                                <w:b/>
                                <w:spacing w:val="-4"/>
                                <w:sz w:val="8"/>
                              </w:rPr>
                              <w:t>AL</w:t>
                            </w:r>
                            <w:r>
                              <w:rPr>
                                <w:rFonts w:ascii="Arial"/>
                                <w:b/>
                                <w:spacing w:val="40"/>
                                <w:sz w:val="8"/>
                              </w:rPr>
                              <w:t> </w:t>
                            </w:r>
                            <w:r>
                              <w:rPr>
                                <w:rFonts w:ascii="Arial"/>
                                <w:b/>
                                <w:spacing w:val="-2"/>
                                <w:sz w:val="8"/>
                              </w:rPr>
                              <w:t>31.07.26</w:t>
                            </w:r>
                          </w:p>
                        </w:tc>
                        <w:tc>
                          <w:tcPr>
                            <w:tcW w:w="757" w:type="dxa"/>
                            <w:tcBorders>
                              <w:left w:val="single" w:sz="2" w:space="0" w:color="000000"/>
                              <w:bottom w:val="single" w:sz="2" w:space="0" w:color="000000"/>
                              <w:right w:val="single" w:sz="2" w:space="0" w:color="000000"/>
                            </w:tcBorders>
                            <w:shd w:val="clear" w:color="auto" w:fill="E7E6E6"/>
                          </w:tcPr>
                          <w:p>
                            <w:pPr>
                              <w:pStyle w:val="TableParagraph"/>
                              <w:spacing w:line="110" w:lineRule="exact" w:before="10"/>
                              <w:ind w:left="27" w:right="19" w:hanging="1"/>
                              <w:jc w:val="center"/>
                              <w:rPr>
                                <w:rFonts w:ascii="Arial"/>
                                <w:b/>
                                <w:sz w:val="8"/>
                              </w:rPr>
                            </w:pPr>
                            <w:r>
                              <w:rPr>
                                <w:rFonts w:ascii="Arial"/>
                                <w:b/>
                                <w:spacing w:val="-2"/>
                                <w:sz w:val="8"/>
                              </w:rPr>
                              <w:t>SALDOS</w:t>
                            </w:r>
                            <w:r>
                              <w:rPr>
                                <w:rFonts w:ascii="Arial"/>
                                <w:b/>
                                <w:spacing w:val="40"/>
                                <w:sz w:val="8"/>
                              </w:rPr>
                              <w:t> </w:t>
                            </w:r>
                            <w:r>
                              <w:rPr>
                                <w:rFonts w:ascii="Arial"/>
                                <w:b/>
                                <w:spacing w:val="-4"/>
                                <w:sz w:val="8"/>
                              </w:rPr>
                              <w:t>ESTIM.INCOBR.</w:t>
                            </w:r>
                            <w:r>
                              <w:rPr>
                                <w:rFonts w:ascii="Arial"/>
                                <w:b/>
                                <w:spacing w:val="-3"/>
                                <w:sz w:val="8"/>
                              </w:rPr>
                              <w:t> </w:t>
                            </w:r>
                            <w:r>
                              <w:rPr>
                                <w:rFonts w:ascii="Arial"/>
                                <w:b/>
                                <w:spacing w:val="-4"/>
                                <w:sz w:val="8"/>
                              </w:rPr>
                              <w:t>AL</w:t>
                            </w:r>
                            <w:r>
                              <w:rPr>
                                <w:rFonts w:ascii="Arial"/>
                                <w:b/>
                                <w:spacing w:val="40"/>
                                <w:sz w:val="8"/>
                              </w:rPr>
                              <w:t> </w:t>
                            </w:r>
                            <w:r>
                              <w:rPr>
                                <w:rFonts w:ascii="Arial"/>
                                <w:b/>
                                <w:spacing w:val="-2"/>
                                <w:sz w:val="8"/>
                              </w:rPr>
                              <w:t>31.07.25</w:t>
                            </w:r>
                          </w:p>
                        </w:tc>
                        <w:tc>
                          <w:tcPr>
                            <w:tcW w:w="770" w:type="dxa"/>
                            <w:tcBorders>
                              <w:left w:val="single" w:sz="2" w:space="0" w:color="000000"/>
                              <w:bottom w:val="single" w:sz="2" w:space="0" w:color="000000"/>
                              <w:right w:val="single" w:sz="2" w:space="0" w:color="000000"/>
                            </w:tcBorders>
                            <w:shd w:val="clear" w:color="auto" w:fill="E7E6E6"/>
                          </w:tcPr>
                          <w:p>
                            <w:pPr>
                              <w:pStyle w:val="TableParagraph"/>
                              <w:spacing w:before="44"/>
                              <w:rPr>
                                <w:sz w:val="8"/>
                              </w:rPr>
                            </w:pPr>
                          </w:p>
                          <w:p>
                            <w:pPr>
                              <w:pStyle w:val="TableParagraph"/>
                              <w:ind w:left="169"/>
                              <w:rPr>
                                <w:rFonts w:ascii="Arial" w:hAnsi="Arial"/>
                                <w:b/>
                                <w:sz w:val="8"/>
                              </w:rPr>
                            </w:pPr>
                            <w:r>
                              <w:rPr>
                                <w:rFonts w:ascii="Arial" w:hAnsi="Arial"/>
                                <w:b/>
                                <w:spacing w:val="-2"/>
                                <w:sz w:val="8"/>
                              </w:rPr>
                              <w:t>VARIACIÓN</w:t>
                            </w:r>
                          </w:p>
                        </w:tc>
                        <w:tc>
                          <w:tcPr>
                            <w:tcW w:w="524" w:type="dxa"/>
                            <w:tcBorders>
                              <w:left w:val="single" w:sz="2" w:space="0" w:color="000000"/>
                              <w:bottom w:val="single" w:sz="2" w:space="0" w:color="000000"/>
                              <w:right w:val="single" w:sz="2" w:space="0" w:color="000000"/>
                            </w:tcBorders>
                            <w:shd w:val="clear" w:color="auto" w:fill="E7E6E6"/>
                          </w:tcPr>
                          <w:p>
                            <w:pPr>
                              <w:pStyle w:val="TableParagraph"/>
                              <w:spacing w:line="290" w:lineRule="auto" w:before="80"/>
                              <w:ind w:left="45" w:firstLine="183"/>
                              <w:rPr>
                                <w:rFonts w:ascii="Arial" w:hAnsi="Arial"/>
                                <w:b/>
                                <w:sz w:val="8"/>
                              </w:rPr>
                            </w:pPr>
                            <w:r>
                              <w:rPr>
                                <w:rFonts w:ascii="Arial" w:hAnsi="Arial"/>
                                <w:b/>
                                <w:spacing w:val="-10"/>
                                <w:sz w:val="8"/>
                              </w:rPr>
                              <w:t>%</w:t>
                            </w:r>
                            <w:r>
                              <w:rPr>
                                <w:rFonts w:ascii="Arial" w:hAnsi="Arial"/>
                                <w:b/>
                                <w:spacing w:val="40"/>
                                <w:sz w:val="8"/>
                              </w:rPr>
                              <w:t> </w:t>
                            </w:r>
                            <w:r>
                              <w:rPr>
                                <w:rFonts w:ascii="Arial" w:hAnsi="Arial"/>
                                <w:b/>
                                <w:spacing w:val="-4"/>
                                <w:sz w:val="8"/>
                              </w:rPr>
                              <w:t>VARIACIÓN</w:t>
                            </w:r>
                          </w:p>
                        </w:tc>
                        <w:tc>
                          <w:tcPr>
                            <w:tcW w:w="1416" w:type="dxa"/>
                            <w:tcBorders>
                              <w:left w:val="single" w:sz="2" w:space="0" w:color="000000"/>
                              <w:bottom w:val="single" w:sz="2" w:space="0" w:color="000000"/>
                              <w:right w:val="single" w:sz="2" w:space="0" w:color="000000"/>
                            </w:tcBorders>
                            <w:shd w:val="clear" w:color="auto" w:fill="E7E6E6"/>
                          </w:tcPr>
                          <w:p>
                            <w:pPr>
                              <w:pStyle w:val="TableParagraph"/>
                              <w:spacing w:before="44"/>
                              <w:rPr>
                                <w:sz w:val="8"/>
                              </w:rPr>
                            </w:pPr>
                          </w:p>
                          <w:p>
                            <w:pPr>
                              <w:pStyle w:val="TableParagraph"/>
                              <w:ind w:left="5"/>
                              <w:jc w:val="center"/>
                              <w:rPr>
                                <w:rFonts w:ascii="Arial"/>
                                <w:b/>
                                <w:sz w:val="8"/>
                              </w:rPr>
                            </w:pPr>
                            <w:r>
                              <w:rPr>
                                <w:rFonts w:ascii="Arial"/>
                                <w:b/>
                                <w:spacing w:val="-2"/>
                                <w:sz w:val="8"/>
                              </w:rPr>
                              <w:t>NOTAS</w:t>
                            </w:r>
                          </w:p>
                        </w:tc>
                      </w:tr>
                      <w:tr>
                        <w:trPr>
                          <w:trHeight w:val="441" w:hRule="atLeast"/>
                        </w:trPr>
                        <w:tc>
                          <w:tcPr>
                            <w:tcW w:w="520"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224"/>
                              <w:rPr>
                                <w:rFonts w:ascii="Arial"/>
                                <w:sz w:val="8"/>
                              </w:rPr>
                            </w:pPr>
                            <w:r>
                              <w:rPr>
                                <w:rFonts w:ascii="Arial"/>
                                <w:spacing w:val="-2"/>
                                <w:sz w:val="8"/>
                              </w:rPr>
                              <w:t>1.2.3.99</w:t>
                            </w:r>
                          </w:p>
                        </w:tc>
                        <w:tc>
                          <w:tcPr>
                            <w:tcW w:w="1789"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5"/>
                              <w:rPr>
                                <w:rFonts w:ascii="Arial"/>
                                <w:sz w:val="8"/>
                              </w:rPr>
                            </w:pPr>
                            <w:r>
                              <w:rPr>
                                <w:rFonts w:ascii="Arial"/>
                                <w:spacing w:val="-4"/>
                                <w:sz w:val="8"/>
                              </w:rPr>
                              <w:t>PREVISION</w:t>
                            </w:r>
                            <w:r>
                              <w:rPr>
                                <w:rFonts w:ascii="Arial"/>
                                <w:spacing w:val="7"/>
                                <w:sz w:val="8"/>
                              </w:rPr>
                              <w:t> </w:t>
                            </w:r>
                            <w:r>
                              <w:rPr>
                                <w:rFonts w:ascii="Arial"/>
                                <w:spacing w:val="-4"/>
                                <w:sz w:val="8"/>
                              </w:rPr>
                              <w:t>DOC.</w:t>
                            </w:r>
                            <w:r>
                              <w:rPr>
                                <w:rFonts w:ascii="Arial"/>
                                <w:spacing w:val="6"/>
                                <w:sz w:val="8"/>
                              </w:rPr>
                              <w:t> </w:t>
                            </w:r>
                            <w:r>
                              <w:rPr>
                                <w:rFonts w:ascii="Arial"/>
                                <w:spacing w:val="-4"/>
                                <w:sz w:val="8"/>
                              </w:rPr>
                              <w:t>BIENES</w:t>
                            </w:r>
                            <w:r>
                              <w:rPr>
                                <w:rFonts w:ascii="Arial"/>
                                <w:spacing w:val="6"/>
                                <w:sz w:val="8"/>
                              </w:rPr>
                              <w:t> </w:t>
                            </w:r>
                            <w:r>
                              <w:rPr>
                                <w:rFonts w:ascii="Arial"/>
                                <w:spacing w:val="-4"/>
                                <w:sz w:val="8"/>
                              </w:rPr>
                              <w:t>Y</w:t>
                            </w:r>
                            <w:r>
                              <w:rPr>
                                <w:rFonts w:ascii="Arial"/>
                                <w:spacing w:val="2"/>
                                <w:sz w:val="8"/>
                              </w:rPr>
                              <w:t> </w:t>
                            </w:r>
                            <w:r>
                              <w:rPr>
                                <w:rFonts w:ascii="Arial"/>
                                <w:spacing w:val="-4"/>
                                <w:sz w:val="8"/>
                              </w:rPr>
                              <w:t>SERVICIOS</w:t>
                            </w:r>
                            <w:r>
                              <w:rPr>
                                <w:rFonts w:ascii="Arial"/>
                                <w:spacing w:val="7"/>
                                <w:sz w:val="8"/>
                              </w:rPr>
                              <w:t> </w:t>
                            </w:r>
                            <w:r>
                              <w:rPr>
                                <w:rFonts w:ascii="Arial"/>
                                <w:spacing w:val="-4"/>
                                <w:sz w:val="8"/>
                              </w:rPr>
                              <w:t>L.P.</w:t>
                            </w:r>
                          </w:p>
                        </w:tc>
                        <w:tc>
                          <w:tcPr>
                            <w:tcW w:w="745"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3"/>
                              <w:jc w:val="center"/>
                              <w:rPr>
                                <w:rFonts w:ascii="Arial"/>
                                <w:sz w:val="8"/>
                              </w:rPr>
                            </w:pPr>
                            <w:r>
                              <w:rPr>
                                <w:rFonts w:ascii="Arial"/>
                                <w:spacing w:val="-4"/>
                                <w:sz w:val="8"/>
                              </w:rPr>
                              <w:t>BENEFICIARIOS</w:t>
                            </w:r>
                            <w:r>
                              <w:rPr>
                                <w:rFonts w:ascii="Arial"/>
                                <w:spacing w:val="12"/>
                                <w:sz w:val="8"/>
                              </w:rPr>
                              <w:t> </w:t>
                            </w:r>
                            <w:r>
                              <w:rPr>
                                <w:rFonts w:ascii="Arial"/>
                                <w:spacing w:val="-5"/>
                                <w:sz w:val="8"/>
                              </w:rPr>
                              <w:t>L.P</w:t>
                            </w:r>
                          </w:p>
                        </w:tc>
                        <w:tc>
                          <w:tcPr>
                            <w:tcW w:w="843"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216"/>
                              <w:rPr>
                                <w:rFonts w:ascii="Arial"/>
                                <w:sz w:val="8"/>
                              </w:rPr>
                            </w:pPr>
                            <w:r>
                              <w:rPr>
                                <w:rFonts w:ascii="Arial"/>
                                <w:sz w:val="8"/>
                              </w:rPr>
                              <w:t>452</w:t>
                            </w:r>
                            <w:r>
                              <w:rPr>
                                <w:rFonts w:ascii="Arial"/>
                                <w:spacing w:val="-7"/>
                                <w:sz w:val="8"/>
                              </w:rPr>
                              <w:t> </w:t>
                            </w:r>
                            <w:r>
                              <w:rPr>
                                <w:rFonts w:ascii="Arial"/>
                                <w:spacing w:val="-2"/>
                                <w:sz w:val="8"/>
                              </w:rPr>
                              <w:t>699,19</w:t>
                            </w:r>
                          </w:p>
                        </w:tc>
                        <w:tc>
                          <w:tcPr>
                            <w:tcW w:w="757" w:type="dxa"/>
                            <w:tcBorders>
                              <w:top w:val="single" w:sz="2" w:space="0" w:color="000000"/>
                              <w:left w:val="single" w:sz="2" w:space="0" w:color="000000"/>
                              <w:bottom w:val="single" w:sz="2" w:space="0" w:color="000000"/>
                              <w:right w:val="single" w:sz="2" w:space="0" w:color="000000"/>
                            </w:tcBorders>
                          </w:tcPr>
                          <w:p>
                            <w:pPr>
                              <w:pStyle w:val="TableParagraph"/>
                              <w:spacing w:before="86"/>
                              <w:rPr>
                                <w:sz w:val="8"/>
                              </w:rPr>
                            </w:pPr>
                          </w:p>
                          <w:p>
                            <w:pPr>
                              <w:pStyle w:val="TableParagraph"/>
                              <w:spacing w:before="1"/>
                              <w:ind w:left="171"/>
                              <w:rPr>
                                <w:rFonts w:ascii="Arial"/>
                                <w:sz w:val="8"/>
                              </w:rPr>
                            </w:pPr>
                            <w:r>
                              <w:rPr>
                                <w:rFonts w:ascii="Arial"/>
                                <w:sz w:val="8"/>
                              </w:rPr>
                              <w:t>477</w:t>
                            </w:r>
                            <w:r>
                              <w:rPr>
                                <w:rFonts w:ascii="Arial"/>
                                <w:spacing w:val="-7"/>
                                <w:sz w:val="8"/>
                              </w:rPr>
                              <w:t> </w:t>
                            </w:r>
                            <w:r>
                              <w:rPr>
                                <w:rFonts w:ascii="Arial"/>
                                <w:spacing w:val="-2"/>
                                <w:sz w:val="8"/>
                              </w:rPr>
                              <w:t>346,28</w:t>
                            </w:r>
                          </w:p>
                        </w:tc>
                        <w:tc>
                          <w:tcPr>
                            <w:tcW w:w="77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86"/>
                              <w:rPr>
                                <w:sz w:val="8"/>
                              </w:rPr>
                            </w:pPr>
                          </w:p>
                          <w:p>
                            <w:pPr>
                              <w:pStyle w:val="TableParagraph"/>
                              <w:spacing w:before="1"/>
                              <w:ind w:left="198"/>
                              <w:rPr>
                                <w:rFonts w:ascii="Arial"/>
                                <w:sz w:val="8"/>
                              </w:rPr>
                            </w:pPr>
                            <w:r>
                              <w:rPr>
                                <w:rFonts w:ascii="Arial"/>
                                <w:sz w:val="8"/>
                              </w:rPr>
                              <w:t>-24</w:t>
                            </w:r>
                            <w:r>
                              <w:rPr>
                                <w:rFonts w:ascii="Arial"/>
                                <w:spacing w:val="-6"/>
                                <w:sz w:val="8"/>
                              </w:rPr>
                              <w:t> </w:t>
                            </w:r>
                            <w:r>
                              <w:rPr>
                                <w:rFonts w:ascii="Arial"/>
                                <w:spacing w:val="-2"/>
                                <w:sz w:val="8"/>
                              </w:rPr>
                              <w:t>647,09</w:t>
                            </w:r>
                          </w:p>
                        </w:tc>
                        <w:tc>
                          <w:tcPr>
                            <w:tcW w:w="52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86"/>
                              <w:rPr>
                                <w:sz w:val="8"/>
                              </w:rPr>
                            </w:pPr>
                          </w:p>
                          <w:p>
                            <w:pPr>
                              <w:pStyle w:val="TableParagraph"/>
                              <w:spacing w:before="1"/>
                              <w:ind w:left="138"/>
                              <w:rPr>
                                <w:rFonts w:ascii="Arial"/>
                                <w:sz w:val="8"/>
                              </w:rPr>
                            </w:pPr>
                            <w:r>
                              <w:rPr>
                                <w:rFonts w:ascii="Arial"/>
                                <w:spacing w:val="-2"/>
                                <w:sz w:val="8"/>
                              </w:rPr>
                              <w:t>-5,16%</w:t>
                            </w:r>
                          </w:p>
                        </w:tc>
                        <w:tc>
                          <w:tcPr>
                            <w:tcW w:w="1416" w:type="dxa"/>
                            <w:tcBorders>
                              <w:top w:val="single" w:sz="2" w:space="0" w:color="000000"/>
                              <w:left w:val="single" w:sz="2" w:space="0" w:color="000000"/>
                              <w:bottom w:val="single" w:sz="2" w:space="0" w:color="000000"/>
                              <w:right w:val="single" w:sz="2" w:space="0" w:color="000000"/>
                            </w:tcBorders>
                          </w:tcPr>
                          <w:p>
                            <w:pPr>
                              <w:pStyle w:val="TableParagraph"/>
                              <w:spacing w:line="290" w:lineRule="auto" w:before="8"/>
                              <w:ind w:left="15" w:right="55"/>
                              <w:rPr>
                                <w:rFonts w:ascii="Arial" w:hAnsi="Arial"/>
                                <w:sz w:val="8"/>
                              </w:rPr>
                            </w:pPr>
                            <w:r>
                              <w:rPr>
                                <w:rFonts w:ascii="Arial" w:hAnsi="Arial"/>
                                <w:sz w:val="8"/>
                              </w:rPr>
                              <w:t>El</w:t>
                            </w:r>
                            <w:r>
                              <w:rPr>
                                <w:rFonts w:ascii="Arial" w:hAnsi="Arial"/>
                                <w:spacing w:val="-4"/>
                                <w:sz w:val="8"/>
                              </w:rPr>
                              <w:t> </w:t>
                            </w:r>
                            <w:r>
                              <w:rPr>
                                <w:rFonts w:ascii="Arial" w:hAnsi="Arial"/>
                                <w:sz w:val="8"/>
                              </w:rPr>
                              <w:t>efecto</w:t>
                            </w:r>
                            <w:r>
                              <w:rPr>
                                <w:rFonts w:ascii="Arial" w:hAnsi="Arial"/>
                                <w:spacing w:val="-6"/>
                                <w:sz w:val="8"/>
                              </w:rPr>
                              <w:t> </w:t>
                            </w:r>
                            <w:r>
                              <w:rPr>
                                <w:rFonts w:ascii="Arial" w:hAnsi="Arial"/>
                                <w:sz w:val="8"/>
                              </w:rPr>
                              <w:t>neto</w:t>
                            </w:r>
                            <w:r>
                              <w:rPr>
                                <w:rFonts w:ascii="Arial" w:hAnsi="Arial"/>
                                <w:spacing w:val="-6"/>
                                <w:sz w:val="8"/>
                              </w:rPr>
                              <w:t> </w:t>
                            </w:r>
                            <w:r>
                              <w:rPr>
                                <w:rFonts w:ascii="Arial" w:hAnsi="Arial"/>
                                <w:sz w:val="8"/>
                              </w:rPr>
                              <w:t>por</w:t>
                            </w:r>
                            <w:r>
                              <w:rPr>
                                <w:rFonts w:ascii="Arial" w:hAnsi="Arial"/>
                                <w:spacing w:val="-4"/>
                                <w:sz w:val="8"/>
                              </w:rPr>
                              <w:t> </w:t>
                            </w:r>
                            <w:r>
                              <w:rPr>
                                <w:rFonts w:ascii="Arial" w:hAnsi="Arial"/>
                                <w:sz w:val="8"/>
                              </w:rPr>
                              <w:t>disminución</w:t>
                            </w:r>
                            <w:r>
                              <w:rPr>
                                <w:rFonts w:ascii="Arial" w:hAnsi="Arial"/>
                                <w:spacing w:val="14"/>
                                <w:sz w:val="8"/>
                              </w:rPr>
                              <w:t> </w:t>
                            </w:r>
                            <w:r>
                              <w:rPr>
                                <w:rFonts w:ascii="Arial" w:hAnsi="Arial"/>
                                <w:sz w:val="8"/>
                              </w:rPr>
                              <w:t>en</w:t>
                            </w:r>
                            <w:r>
                              <w:rPr>
                                <w:rFonts w:ascii="Arial" w:hAnsi="Arial"/>
                                <w:spacing w:val="-4"/>
                                <w:sz w:val="8"/>
                              </w:rPr>
                              <w:t> </w:t>
                            </w:r>
                            <w:r>
                              <w:rPr>
                                <w:rFonts w:ascii="Arial" w:hAnsi="Arial"/>
                                <w:sz w:val="8"/>
                              </w:rPr>
                              <w:t>los</w:t>
                            </w:r>
                            <w:r>
                              <w:rPr>
                                <w:rFonts w:ascii="Arial" w:hAnsi="Arial"/>
                                <w:spacing w:val="40"/>
                                <w:sz w:val="8"/>
                              </w:rPr>
                              <w:t> </w:t>
                            </w:r>
                            <w:r>
                              <w:rPr>
                                <w:rFonts w:ascii="Arial" w:hAnsi="Arial"/>
                                <w:sz w:val="8"/>
                              </w:rPr>
                              <w:t>saldos de</w:t>
                            </w:r>
                            <w:r>
                              <w:rPr>
                                <w:rFonts w:ascii="Arial" w:hAnsi="Arial"/>
                                <w:spacing w:val="-3"/>
                                <w:sz w:val="8"/>
                              </w:rPr>
                              <w:t> </w:t>
                            </w:r>
                            <w:r>
                              <w:rPr>
                                <w:rFonts w:ascii="Arial" w:hAnsi="Arial"/>
                                <w:sz w:val="8"/>
                              </w:rPr>
                              <w:t>las cuenta</w:t>
                            </w:r>
                            <w:r>
                              <w:rPr>
                                <w:rFonts w:ascii="Arial" w:hAnsi="Arial"/>
                                <w:spacing w:val="-3"/>
                                <w:sz w:val="8"/>
                              </w:rPr>
                              <w:t> </w:t>
                            </w:r>
                            <w:r>
                              <w:rPr>
                                <w:rFonts w:ascii="Arial" w:hAnsi="Arial"/>
                                <w:sz w:val="8"/>
                              </w:rPr>
                              <w:t>por cobrar</w:t>
                            </w:r>
                            <w:r>
                              <w:rPr>
                                <w:rFonts w:ascii="Arial" w:hAnsi="Arial"/>
                                <w:spacing w:val="40"/>
                                <w:sz w:val="8"/>
                              </w:rPr>
                              <w:t> </w:t>
                            </w:r>
                            <w:r>
                              <w:rPr>
                                <w:rFonts w:ascii="Arial" w:hAnsi="Arial"/>
                                <w:spacing w:val="-2"/>
                                <w:sz w:val="8"/>
                              </w:rPr>
                              <w:t>disminuyen</w:t>
                            </w:r>
                            <w:r>
                              <w:rPr>
                                <w:rFonts w:ascii="Arial" w:hAnsi="Arial"/>
                                <w:sz w:val="8"/>
                              </w:rPr>
                              <w:t> </w:t>
                            </w:r>
                            <w:r>
                              <w:rPr>
                                <w:rFonts w:ascii="Arial" w:hAnsi="Arial"/>
                                <w:spacing w:val="-2"/>
                                <w:sz w:val="8"/>
                              </w:rPr>
                              <w:t>un</w:t>
                            </w:r>
                            <w:r>
                              <w:rPr>
                                <w:rFonts w:ascii="Arial" w:hAnsi="Arial"/>
                                <w:sz w:val="8"/>
                              </w:rPr>
                              <w:t> </w:t>
                            </w:r>
                            <w:r>
                              <w:rPr>
                                <w:rFonts w:ascii="Arial" w:hAnsi="Arial"/>
                                <w:spacing w:val="-2"/>
                                <w:sz w:val="8"/>
                              </w:rPr>
                              <w:t>-5,16%</w:t>
                            </w:r>
                            <w:r>
                              <w:rPr>
                                <w:rFonts w:ascii="Arial" w:hAnsi="Arial"/>
                                <w:sz w:val="8"/>
                              </w:rPr>
                              <w:t> </w:t>
                            </w:r>
                            <w:r>
                              <w:rPr>
                                <w:rFonts w:ascii="Arial" w:hAnsi="Arial"/>
                                <w:spacing w:val="-2"/>
                                <w:sz w:val="8"/>
                              </w:rPr>
                              <w:t>en</w:t>
                            </w:r>
                            <w:r>
                              <w:rPr>
                                <w:rFonts w:ascii="Arial" w:hAnsi="Arial"/>
                                <w:sz w:val="8"/>
                              </w:rPr>
                              <w:t> </w:t>
                            </w:r>
                            <w:r>
                              <w:rPr>
                                <w:rFonts w:ascii="Arial" w:hAnsi="Arial"/>
                                <w:spacing w:val="-2"/>
                                <w:sz w:val="8"/>
                              </w:rPr>
                              <w:t>el</w:t>
                            </w:r>
                            <w:r>
                              <w:rPr>
                                <w:rFonts w:ascii="Arial" w:hAnsi="Arial"/>
                                <w:spacing w:val="1"/>
                                <w:sz w:val="8"/>
                              </w:rPr>
                              <w:t> </w:t>
                            </w:r>
                            <w:r>
                              <w:rPr>
                                <w:rFonts w:ascii="Arial" w:hAnsi="Arial"/>
                                <w:spacing w:val="-2"/>
                                <w:sz w:val="8"/>
                              </w:rPr>
                              <w:t>porcentaje</w:t>
                            </w:r>
                          </w:p>
                          <w:p>
                            <w:pPr>
                              <w:pStyle w:val="TableParagraph"/>
                              <w:spacing w:line="79" w:lineRule="exact"/>
                              <w:ind w:left="15"/>
                              <w:rPr>
                                <w:rFonts w:ascii="Arial"/>
                                <w:sz w:val="8"/>
                              </w:rPr>
                            </w:pPr>
                            <w:r>
                              <w:rPr>
                                <w:rFonts w:ascii="Arial"/>
                                <w:spacing w:val="-2"/>
                                <w:sz w:val="8"/>
                              </w:rPr>
                              <w:t>de incobrabilidad</w:t>
                            </w:r>
                            <w:r>
                              <w:rPr>
                                <w:rFonts w:ascii="Arial"/>
                                <w:spacing w:val="2"/>
                                <w:sz w:val="8"/>
                              </w:rPr>
                              <w:t> </w:t>
                            </w:r>
                            <w:r>
                              <w:rPr>
                                <w:rFonts w:ascii="Arial"/>
                                <w:spacing w:val="-2"/>
                                <w:sz w:val="8"/>
                              </w:rPr>
                              <w:t>aplicado a</w:t>
                            </w:r>
                            <w:r>
                              <w:rPr>
                                <w:rFonts w:ascii="Arial"/>
                                <w:spacing w:val="-1"/>
                                <w:sz w:val="8"/>
                              </w:rPr>
                              <w:t> </w:t>
                            </w:r>
                            <w:r>
                              <w:rPr>
                                <w:rFonts w:ascii="Arial"/>
                                <w:spacing w:val="-2"/>
                                <w:sz w:val="8"/>
                              </w:rPr>
                              <w:t>julio </w:t>
                            </w:r>
                            <w:r>
                              <w:rPr>
                                <w:rFonts w:ascii="Arial"/>
                                <w:spacing w:val="-4"/>
                                <w:sz w:val="8"/>
                              </w:rPr>
                              <w:t>2026</w:t>
                            </w:r>
                          </w:p>
                        </w:tc>
                      </w:tr>
                      <w:tr>
                        <w:trPr>
                          <w:trHeight w:val="668" w:hRule="atLeast"/>
                        </w:trPr>
                        <w:tc>
                          <w:tcPr>
                            <w:tcW w:w="520"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121"/>
                              <w:rPr>
                                <w:rFonts w:ascii="Arial"/>
                                <w:sz w:val="8"/>
                              </w:rPr>
                            </w:pPr>
                            <w:r>
                              <w:rPr>
                                <w:rFonts w:ascii="Arial"/>
                                <w:spacing w:val="-2"/>
                                <w:sz w:val="8"/>
                              </w:rPr>
                              <w:t>1.2.3.99</w:t>
                            </w:r>
                          </w:p>
                        </w:tc>
                        <w:tc>
                          <w:tcPr>
                            <w:tcW w:w="1789"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41"/>
                              <w:rPr>
                                <w:rFonts w:ascii="Arial"/>
                                <w:sz w:val="8"/>
                              </w:rPr>
                            </w:pPr>
                            <w:r>
                              <w:rPr>
                                <w:rFonts w:ascii="Arial"/>
                                <w:spacing w:val="-4"/>
                                <w:sz w:val="8"/>
                              </w:rPr>
                              <w:t>PREVISION</w:t>
                            </w:r>
                            <w:r>
                              <w:rPr>
                                <w:rFonts w:ascii="Arial"/>
                                <w:spacing w:val="5"/>
                                <w:sz w:val="8"/>
                              </w:rPr>
                              <w:t> </w:t>
                            </w:r>
                            <w:r>
                              <w:rPr>
                                <w:rFonts w:ascii="Arial"/>
                                <w:spacing w:val="-4"/>
                                <w:sz w:val="8"/>
                              </w:rPr>
                              <w:t>DOC</w:t>
                            </w:r>
                            <w:r>
                              <w:rPr>
                                <w:rFonts w:ascii="Arial"/>
                                <w:spacing w:val="8"/>
                                <w:sz w:val="8"/>
                              </w:rPr>
                              <w:t> </w:t>
                            </w:r>
                            <w:r>
                              <w:rPr>
                                <w:rFonts w:ascii="Arial"/>
                                <w:spacing w:val="-4"/>
                                <w:sz w:val="8"/>
                              </w:rPr>
                              <w:t>X</w:t>
                            </w:r>
                            <w:r>
                              <w:rPr>
                                <w:rFonts w:ascii="Arial"/>
                                <w:spacing w:val="2"/>
                                <w:sz w:val="8"/>
                              </w:rPr>
                              <w:t> </w:t>
                            </w:r>
                            <w:r>
                              <w:rPr>
                                <w:rFonts w:ascii="Arial"/>
                                <w:spacing w:val="-4"/>
                                <w:sz w:val="8"/>
                              </w:rPr>
                              <w:t>COBRAR</w:t>
                            </w:r>
                            <w:r>
                              <w:rPr>
                                <w:rFonts w:ascii="Arial"/>
                                <w:spacing w:val="8"/>
                                <w:sz w:val="8"/>
                              </w:rPr>
                              <w:t> </w:t>
                            </w:r>
                            <w:r>
                              <w:rPr>
                                <w:rFonts w:ascii="Arial"/>
                                <w:spacing w:val="-4"/>
                                <w:sz w:val="8"/>
                              </w:rPr>
                              <w:t>FRACCIONES</w:t>
                            </w:r>
                            <w:r>
                              <w:rPr>
                                <w:rFonts w:ascii="Arial"/>
                                <w:spacing w:val="7"/>
                                <w:sz w:val="8"/>
                              </w:rPr>
                              <w:t> </w:t>
                            </w:r>
                            <w:r>
                              <w:rPr>
                                <w:rFonts w:ascii="Arial"/>
                                <w:spacing w:val="-4"/>
                                <w:sz w:val="8"/>
                              </w:rPr>
                              <w:t>L.P.</w:t>
                            </w:r>
                          </w:p>
                        </w:tc>
                        <w:tc>
                          <w:tcPr>
                            <w:tcW w:w="745"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5"/>
                              <w:jc w:val="center"/>
                              <w:rPr>
                                <w:rFonts w:ascii="Arial"/>
                                <w:sz w:val="8"/>
                              </w:rPr>
                            </w:pPr>
                            <w:r>
                              <w:rPr>
                                <w:rFonts w:ascii="Arial"/>
                                <w:spacing w:val="-2"/>
                                <w:sz w:val="8"/>
                              </w:rPr>
                              <w:t>MOTELES </w:t>
                            </w:r>
                            <w:r>
                              <w:rPr>
                                <w:rFonts w:ascii="Arial"/>
                                <w:spacing w:val="-5"/>
                                <w:sz w:val="8"/>
                              </w:rPr>
                              <w:t>L.P</w:t>
                            </w:r>
                          </w:p>
                        </w:tc>
                        <w:tc>
                          <w:tcPr>
                            <w:tcW w:w="843"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236"/>
                              <w:rPr>
                                <w:rFonts w:ascii="Arial"/>
                                <w:sz w:val="8"/>
                              </w:rPr>
                            </w:pPr>
                            <w:r>
                              <w:rPr>
                                <w:rFonts w:ascii="Arial"/>
                                <w:sz w:val="8"/>
                              </w:rPr>
                              <w:t>84</w:t>
                            </w:r>
                            <w:r>
                              <w:rPr>
                                <w:rFonts w:ascii="Arial"/>
                                <w:spacing w:val="-4"/>
                                <w:sz w:val="8"/>
                              </w:rPr>
                              <w:t> </w:t>
                            </w:r>
                            <w:r>
                              <w:rPr>
                                <w:rFonts w:ascii="Arial"/>
                                <w:spacing w:val="-2"/>
                                <w:sz w:val="8"/>
                              </w:rPr>
                              <w:t>952,92</w:t>
                            </w:r>
                          </w:p>
                        </w:tc>
                        <w:tc>
                          <w:tcPr>
                            <w:tcW w:w="757" w:type="dxa"/>
                            <w:tcBorders>
                              <w:top w:val="single" w:sz="2" w:space="0" w:color="000000"/>
                              <w:left w:val="single" w:sz="2" w:space="0" w:color="000000"/>
                              <w:right w:val="single" w:sz="2" w:space="0" w:color="000000"/>
                            </w:tcBorders>
                          </w:tcPr>
                          <w:p>
                            <w:pPr>
                              <w:pStyle w:val="TableParagraph"/>
                              <w:rPr>
                                <w:sz w:val="8"/>
                              </w:rPr>
                            </w:pPr>
                          </w:p>
                          <w:p>
                            <w:pPr>
                              <w:pStyle w:val="TableParagraph"/>
                              <w:rPr>
                                <w:sz w:val="8"/>
                              </w:rPr>
                            </w:pPr>
                          </w:p>
                          <w:p>
                            <w:pPr>
                              <w:pStyle w:val="TableParagraph"/>
                              <w:spacing w:before="21"/>
                              <w:rPr>
                                <w:sz w:val="8"/>
                              </w:rPr>
                            </w:pPr>
                          </w:p>
                          <w:p>
                            <w:pPr>
                              <w:pStyle w:val="TableParagraph"/>
                              <w:ind w:left="171"/>
                              <w:rPr>
                                <w:rFonts w:ascii="Arial"/>
                                <w:sz w:val="8"/>
                              </w:rPr>
                            </w:pPr>
                            <w:r>
                              <w:rPr>
                                <w:rFonts w:ascii="Arial"/>
                                <w:sz w:val="8"/>
                              </w:rPr>
                              <w:t>195</w:t>
                            </w:r>
                            <w:r>
                              <w:rPr>
                                <w:rFonts w:ascii="Arial"/>
                                <w:spacing w:val="-7"/>
                                <w:sz w:val="8"/>
                              </w:rPr>
                              <w:t> </w:t>
                            </w:r>
                            <w:r>
                              <w:rPr>
                                <w:rFonts w:ascii="Arial"/>
                                <w:spacing w:val="-2"/>
                                <w:sz w:val="8"/>
                              </w:rPr>
                              <w:t>548,46</w:t>
                            </w:r>
                          </w:p>
                        </w:tc>
                        <w:tc>
                          <w:tcPr>
                            <w:tcW w:w="770" w:type="dxa"/>
                            <w:tcBorders>
                              <w:top w:val="single" w:sz="2" w:space="0" w:color="000000"/>
                              <w:left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21"/>
                              <w:rPr>
                                <w:sz w:val="8"/>
                              </w:rPr>
                            </w:pPr>
                          </w:p>
                          <w:p>
                            <w:pPr>
                              <w:pStyle w:val="TableParagraph"/>
                              <w:ind w:left="177"/>
                              <w:rPr>
                                <w:rFonts w:ascii="Arial"/>
                                <w:sz w:val="8"/>
                              </w:rPr>
                            </w:pPr>
                            <w:r>
                              <w:rPr>
                                <w:rFonts w:ascii="Arial"/>
                                <w:spacing w:val="-2"/>
                                <w:sz w:val="8"/>
                              </w:rPr>
                              <w:t>-110</w:t>
                            </w:r>
                            <w:r>
                              <w:rPr>
                                <w:rFonts w:ascii="Arial"/>
                                <w:spacing w:val="1"/>
                                <w:sz w:val="8"/>
                              </w:rPr>
                              <w:t> </w:t>
                            </w:r>
                            <w:r>
                              <w:rPr>
                                <w:rFonts w:ascii="Arial"/>
                                <w:spacing w:val="-2"/>
                                <w:sz w:val="8"/>
                              </w:rPr>
                              <w:t>595,54</w:t>
                            </w:r>
                          </w:p>
                        </w:tc>
                        <w:tc>
                          <w:tcPr>
                            <w:tcW w:w="524" w:type="dxa"/>
                            <w:tcBorders>
                              <w:top w:val="single" w:sz="2" w:space="0" w:color="000000"/>
                              <w:left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21"/>
                              <w:rPr>
                                <w:sz w:val="8"/>
                              </w:rPr>
                            </w:pPr>
                          </w:p>
                          <w:p>
                            <w:pPr>
                              <w:pStyle w:val="TableParagraph"/>
                              <w:ind w:left="118"/>
                              <w:rPr>
                                <w:rFonts w:ascii="Arial"/>
                                <w:sz w:val="8"/>
                              </w:rPr>
                            </w:pPr>
                            <w:r>
                              <w:rPr>
                                <w:rFonts w:ascii="Arial"/>
                                <w:spacing w:val="-2"/>
                                <w:sz w:val="8"/>
                              </w:rPr>
                              <w:t>-56,56%</w:t>
                            </w:r>
                          </w:p>
                        </w:tc>
                        <w:tc>
                          <w:tcPr>
                            <w:tcW w:w="1416" w:type="dxa"/>
                            <w:tcBorders>
                              <w:top w:val="single" w:sz="2" w:space="0" w:color="000000"/>
                              <w:left w:val="single" w:sz="2" w:space="0" w:color="000000"/>
                              <w:right w:val="single" w:sz="2" w:space="0" w:color="000000"/>
                            </w:tcBorders>
                          </w:tcPr>
                          <w:p>
                            <w:pPr>
                              <w:pStyle w:val="TableParagraph"/>
                              <w:spacing w:line="290" w:lineRule="auto" w:before="11"/>
                              <w:ind w:left="15" w:right="33"/>
                              <w:rPr>
                                <w:rFonts w:ascii="Arial" w:hAnsi="Arial"/>
                                <w:sz w:val="8"/>
                              </w:rPr>
                            </w:pPr>
                            <w:r>
                              <w:rPr>
                                <w:rFonts w:ascii="Arial" w:hAnsi="Arial"/>
                                <w:spacing w:val="-2"/>
                                <w:sz w:val="8"/>
                              </w:rPr>
                              <w:t>Efecto neto disminuye en los saldos de</w:t>
                            </w:r>
                            <w:r>
                              <w:rPr>
                                <w:rFonts w:ascii="Arial" w:hAnsi="Arial"/>
                                <w:spacing w:val="40"/>
                                <w:sz w:val="8"/>
                              </w:rPr>
                              <w:t> </w:t>
                            </w:r>
                            <w:r>
                              <w:rPr>
                                <w:rFonts w:ascii="Arial" w:hAnsi="Arial"/>
                                <w:spacing w:val="-2"/>
                                <w:sz w:val="8"/>
                              </w:rPr>
                              <w:t>las</w:t>
                            </w:r>
                            <w:r>
                              <w:rPr>
                                <w:rFonts w:ascii="Arial" w:hAnsi="Arial"/>
                                <w:spacing w:val="-4"/>
                                <w:sz w:val="8"/>
                              </w:rPr>
                              <w:t> </w:t>
                            </w:r>
                            <w:r>
                              <w:rPr>
                                <w:rFonts w:ascii="Arial" w:hAnsi="Arial"/>
                                <w:spacing w:val="-2"/>
                                <w:sz w:val="8"/>
                              </w:rPr>
                              <w:t>cuentas</w:t>
                            </w:r>
                            <w:r>
                              <w:rPr>
                                <w:rFonts w:ascii="Arial" w:hAnsi="Arial"/>
                                <w:spacing w:val="-4"/>
                                <w:sz w:val="8"/>
                              </w:rPr>
                              <w:t> </w:t>
                            </w:r>
                            <w:r>
                              <w:rPr>
                                <w:rFonts w:ascii="Arial" w:hAnsi="Arial"/>
                                <w:spacing w:val="-2"/>
                                <w:sz w:val="8"/>
                              </w:rPr>
                              <w:t>por</w:t>
                            </w:r>
                            <w:r>
                              <w:rPr>
                                <w:rFonts w:ascii="Arial" w:hAnsi="Arial"/>
                                <w:spacing w:val="-3"/>
                                <w:sz w:val="8"/>
                              </w:rPr>
                              <w:t> </w:t>
                            </w:r>
                            <w:r>
                              <w:rPr>
                                <w:rFonts w:ascii="Arial" w:hAnsi="Arial"/>
                                <w:spacing w:val="-2"/>
                                <w:sz w:val="8"/>
                              </w:rPr>
                              <w:t>cobrar</w:t>
                            </w:r>
                            <w:r>
                              <w:rPr>
                                <w:rFonts w:ascii="Arial" w:hAnsi="Arial"/>
                                <w:spacing w:val="-4"/>
                                <w:sz w:val="8"/>
                              </w:rPr>
                              <w:t> </w:t>
                            </w:r>
                            <w:r>
                              <w:rPr>
                                <w:rFonts w:ascii="Arial" w:hAnsi="Arial"/>
                                <w:spacing w:val="-2"/>
                                <w:sz w:val="8"/>
                              </w:rPr>
                              <w:t>en</w:t>
                            </w:r>
                            <w:r>
                              <w:rPr>
                                <w:rFonts w:ascii="Arial" w:hAnsi="Arial"/>
                                <w:spacing w:val="-3"/>
                                <w:sz w:val="8"/>
                              </w:rPr>
                              <w:t> </w:t>
                            </w:r>
                            <w:r>
                              <w:rPr>
                                <w:rFonts w:ascii="Arial" w:hAnsi="Arial"/>
                                <w:spacing w:val="-2"/>
                                <w:sz w:val="8"/>
                              </w:rPr>
                              <w:t>-56,56%</w:t>
                            </w:r>
                            <w:r>
                              <w:rPr>
                                <w:rFonts w:ascii="Arial" w:hAnsi="Arial"/>
                                <w:spacing w:val="-4"/>
                                <w:sz w:val="8"/>
                              </w:rPr>
                              <w:t> </w:t>
                            </w:r>
                            <w:r>
                              <w:rPr>
                                <w:rFonts w:ascii="Arial" w:hAnsi="Arial"/>
                                <w:spacing w:val="-2"/>
                                <w:sz w:val="8"/>
                              </w:rPr>
                              <w:t>en</w:t>
                            </w:r>
                            <w:r>
                              <w:rPr>
                                <w:rFonts w:ascii="Arial" w:hAnsi="Arial"/>
                                <w:spacing w:val="-3"/>
                                <w:sz w:val="8"/>
                              </w:rPr>
                              <w:t> </w:t>
                            </w:r>
                            <w:r>
                              <w:rPr>
                                <w:rFonts w:ascii="Arial" w:hAnsi="Arial"/>
                                <w:spacing w:val="-2"/>
                                <w:sz w:val="8"/>
                              </w:rPr>
                              <w:t>el</w:t>
                            </w:r>
                            <w:r>
                              <w:rPr>
                                <w:rFonts w:ascii="Arial" w:hAnsi="Arial"/>
                                <w:spacing w:val="40"/>
                                <w:sz w:val="8"/>
                              </w:rPr>
                              <w:t> </w:t>
                            </w:r>
                            <w:r>
                              <w:rPr>
                                <w:rFonts w:ascii="Arial" w:hAnsi="Arial"/>
                                <w:spacing w:val="-2"/>
                                <w:sz w:val="8"/>
                              </w:rPr>
                              <w:t>porcentaje de incobrabilidad</w:t>
                            </w:r>
                            <w:r>
                              <w:rPr>
                                <w:rFonts w:ascii="Arial" w:hAnsi="Arial"/>
                                <w:sz w:val="8"/>
                              </w:rPr>
                              <w:t> </w:t>
                            </w:r>
                            <w:r>
                              <w:rPr>
                                <w:rFonts w:ascii="Arial" w:hAnsi="Arial"/>
                                <w:spacing w:val="-2"/>
                                <w:sz w:val="8"/>
                              </w:rPr>
                              <w:t>aplicado a</w:t>
                            </w:r>
                            <w:r>
                              <w:rPr>
                                <w:rFonts w:ascii="Arial" w:hAnsi="Arial"/>
                                <w:spacing w:val="40"/>
                                <w:sz w:val="8"/>
                              </w:rPr>
                              <w:t> </w:t>
                            </w:r>
                            <w:r>
                              <w:rPr>
                                <w:rFonts w:ascii="Arial" w:hAnsi="Arial"/>
                                <w:sz w:val="8"/>
                              </w:rPr>
                              <w:t>la previsión en el año 2026.</w:t>
                            </w:r>
                          </w:p>
                        </w:tc>
                      </w:tr>
                      <w:tr>
                        <w:trPr>
                          <w:trHeight w:val="112" w:hRule="atLeast"/>
                        </w:trPr>
                        <w:tc>
                          <w:tcPr>
                            <w:tcW w:w="520" w:type="dxa"/>
                            <w:tcBorders>
                              <w:left w:val="single" w:sz="2" w:space="0" w:color="000000"/>
                              <w:right w:val="single" w:sz="2" w:space="0" w:color="000000"/>
                            </w:tcBorders>
                            <w:shd w:val="clear" w:color="auto" w:fill="FFFFFF"/>
                          </w:tcPr>
                          <w:p>
                            <w:pPr>
                              <w:pStyle w:val="TableParagraph"/>
                              <w:rPr>
                                <w:rFonts w:ascii="Times New Roman"/>
                                <w:sz w:val="6"/>
                              </w:rPr>
                            </w:pPr>
                          </w:p>
                        </w:tc>
                        <w:tc>
                          <w:tcPr>
                            <w:tcW w:w="1789" w:type="dxa"/>
                            <w:tcBorders>
                              <w:left w:val="single" w:sz="2" w:space="0" w:color="000000"/>
                              <w:right w:val="single" w:sz="2" w:space="0" w:color="000000"/>
                            </w:tcBorders>
                            <w:shd w:val="clear" w:color="auto" w:fill="FFFFFF"/>
                          </w:tcPr>
                          <w:p>
                            <w:pPr>
                              <w:pStyle w:val="TableParagraph"/>
                              <w:spacing w:line="73" w:lineRule="exact" w:before="19"/>
                              <w:ind w:left="15"/>
                              <w:rPr>
                                <w:rFonts w:ascii="Arial" w:hAnsi="Arial"/>
                                <w:b/>
                                <w:sz w:val="8"/>
                              </w:rPr>
                            </w:pPr>
                            <w:r>
                              <w:rPr>
                                <w:rFonts w:ascii="Arial" w:hAnsi="Arial"/>
                                <w:b/>
                                <w:spacing w:val="-2"/>
                                <w:sz w:val="8"/>
                              </w:rPr>
                              <w:t>TOTAL</w:t>
                            </w:r>
                            <w:r>
                              <w:rPr>
                                <w:rFonts w:ascii="Arial" w:hAnsi="Arial"/>
                                <w:b/>
                                <w:spacing w:val="-4"/>
                                <w:sz w:val="8"/>
                              </w:rPr>
                              <w:t> </w:t>
                            </w:r>
                            <w:r>
                              <w:rPr>
                                <w:rFonts w:ascii="Arial" w:hAnsi="Arial"/>
                                <w:b/>
                                <w:spacing w:val="-2"/>
                                <w:sz w:val="8"/>
                              </w:rPr>
                              <w:t>PREVISIÓN</w:t>
                            </w:r>
                            <w:r>
                              <w:rPr>
                                <w:rFonts w:ascii="Arial" w:hAnsi="Arial"/>
                                <w:b/>
                                <w:spacing w:val="-3"/>
                                <w:sz w:val="8"/>
                              </w:rPr>
                              <w:t> </w:t>
                            </w:r>
                            <w:r>
                              <w:rPr>
                                <w:rFonts w:ascii="Arial" w:hAnsi="Arial"/>
                                <w:b/>
                                <w:spacing w:val="-2"/>
                                <w:sz w:val="8"/>
                              </w:rPr>
                              <w:t>Largo</w:t>
                            </w:r>
                            <w:r>
                              <w:rPr>
                                <w:rFonts w:ascii="Arial" w:hAnsi="Arial"/>
                                <w:b/>
                                <w:spacing w:val="-3"/>
                                <w:sz w:val="8"/>
                              </w:rPr>
                              <w:t> </w:t>
                            </w:r>
                            <w:r>
                              <w:rPr>
                                <w:rFonts w:ascii="Arial" w:hAnsi="Arial"/>
                                <w:b/>
                                <w:spacing w:val="-2"/>
                                <w:sz w:val="8"/>
                              </w:rPr>
                              <w:t>plazo</w:t>
                            </w:r>
                          </w:p>
                        </w:tc>
                        <w:tc>
                          <w:tcPr>
                            <w:tcW w:w="745" w:type="dxa"/>
                            <w:tcBorders>
                              <w:left w:val="single" w:sz="2" w:space="0" w:color="000000"/>
                              <w:right w:val="single" w:sz="2" w:space="0" w:color="000000"/>
                            </w:tcBorders>
                            <w:shd w:val="clear" w:color="auto" w:fill="FFFFFF"/>
                          </w:tcPr>
                          <w:p>
                            <w:pPr>
                              <w:pStyle w:val="TableParagraph"/>
                              <w:rPr>
                                <w:rFonts w:ascii="Times New Roman"/>
                                <w:sz w:val="6"/>
                              </w:rPr>
                            </w:pPr>
                          </w:p>
                        </w:tc>
                        <w:tc>
                          <w:tcPr>
                            <w:tcW w:w="843" w:type="dxa"/>
                            <w:tcBorders>
                              <w:left w:val="single" w:sz="2" w:space="0" w:color="000000"/>
                              <w:right w:val="single" w:sz="2" w:space="0" w:color="000000"/>
                            </w:tcBorders>
                            <w:shd w:val="clear" w:color="auto" w:fill="FFFFFF"/>
                          </w:tcPr>
                          <w:p>
                            <w:pPr>
                              <w:pStyle w:val="TableParagraph"/>
                              <w:spacing w:line="73" w:lineRule="exact" w:before="19"/>
                              <w:ind w:left="435"/>
                              <w:rPr>
                                <w:rFonts w:ascii="Arial"/>
                                <w:b/>
                                <w:sz w:val="8"/>
                              </w:rPr>
                            </w:pPr>
                            <w:r>
                              <w:rPr>
                                <w:rFonts w:ascii="Arial"/>
                                <w:b/>
                                <w:sz w:val="8"/>
                              </w:rPr>
                              <w:t>537</w:t>
                            </w:r>
                            <w:r>
                              <w:rPr>
                                <w:rFonts w:ascii="Arial"/>
                                <w:b/>
                                <w:spacing w:val="-7"/>
                                <w:sz w:val="8"/>
                              </w:rPr>
                              <w:t> </w:t>
                            </w:r>
                            <w:r>
                              <w:rPr>
                                <w:rFonts w:ascii="Arial"/>
                                <w:b/>
                                <w:spacing w:val="-2"/>
                                <w:sz w:val="8"/>
                              </w:rPr>
                              <w:t>652,11</w:t>
                            </w:r>
                          </w:p>
                        </w:tc>
                        <w:tc>
                          <w:tcPr>
                            <w:tcW w:w="757" w:type="dxa"/>
                            <w:tcBorders>
                              <w:left w:val="single" w:sz="2" w:space="0" w:color="000000"/>
                              <w:right w:val="single" w:sz="2" w:space="0" w:color="000000"/>
                            </w:tcBorders>
                            <w:shd w:val="clear" w:color="auto" w:fill="FFFFFF"/>
                          </w:tcPr>
                          <w:p>
                            <w:pPr>
                              <w:pStyle w:val="TableParagraph"/>
                              <w:spacing w:line="73" w:lineRule="exact" w:before="19"/>
                              <w:ind w:left="350"/>
                              <w:rPr>
                                <w:rFonts w:ascii="Arial"/>
                                <w:b/>
                                <w:sz w:val="8"/>
                              </w:rPr>
                            </w:pPr>
                            <w:r>
                              <w:rPr>
                                <w:rFonts w:ascii="Arial"/>
                                <w:b/>
                                <w:sz w:val="8"/>
                              </w:rPr>
                              <w:t>672</w:t>
                            </w:r>
                            <w:r>
                              <w:rPr>
                                <w:rFonts w:ascii="Arial"/>
                                <w:b/>
                                <w:spacing w:val="-7"/>
                                <w:sz w:val="8"/>
                              </w:rPr>
                              <w:t> </w:t>
                            </w:r>
                            <w:r>
                              <w:rPr>
                                <w:rFonts w:ascii="Arial"/>
                                <w:b/>
                                <w:spacing w:val="-2"/>
                                <w:sz w:val="8"/>
                              </w:rPr>
                              <w:t>894,74</w:t>
                            </w:r>
                          </w:p>
                        </w:tc>
                        <w:tc>
                          <w:tcPr>
                            <w:tcW w:w="770" w:type="dxa"/>
                            <w:tcBorders>
                              <w:left w:val="single" w:sz="2" w:space="0" w:color="000000"/>
                              <w:right w:val="single" w:sz="2" w:space="0" w:color="000000"/>
                            </w:tcBorders>
                            <w:shd w:val="clear" w:color="auto" w:fill="FFFFFF"/>
                          </w:tcPr>
                          <w:p>
                            <w:pPr>
                              <w:pStyle w:val="TableParagraph"/>
                              <w:spacing w:line="73" w:lineRule="exact" w:before="19"/>
                              <w:ind w:left="337"/>
                              <w:rPr>
                                <w:rFonts w:ascii="Arial"/>
                                <w:b/>
                                <w:sz w:val="8"/>
                              </w:rPr>
                            </w:pPr>
                            <w:r>
                              <w:rPr>
                                <w:rFonts w:ascii="Arial"/>
                                <w:b/>
                                <w:spacing w:val="-2"/>
                                <w:sz w:val="8"/>
                              </w:rPr>
                              <w:t>-135</w:t>
                            </w:r>
                            <w:r>
                              <w:rPr>
                                <w:rFonts w:ascii="Arial"/>
                                <w:b/>
                                <w:spacing w:val="1"/>
                                <w:sz w:val="8"/>
                              </w:rPr>
                              <w:t> </w:t>
                            </w:r>
                            <w:r>
                              <w:rPr>
                                <w:rFonts w:ascii="Arial"/>
                                <w:b/>
                                <w:spacing w:val="-2"/>
                                <w:sz w:val="8"/>
                              </w:rPr>
                              <w:t>242,63</w:t>
                            </w:r>
                          </w:p>
                        </w:tc>
                        <w:tc>
                          <w:tcPr>
                            <w:tcW w:w="524" w:type="dxa"/>
                            <w:tcBorders>
                              <w:left w:val="single" w:sz="2" w:space="0" w:color="000000"/>
                              <w:right w:val="single" w:sz="2" w:space="0" w:color="000000"/>
                            </w:tcBorders>
                            <w:shd w:val="clear" w:color="auto" w:fill="FFFFFF"/>
                          </w:tcPr>
                          <w:p>
                            <w:pPr>
                              <w:pStyle w:val="TableParagraph"/>
                              <w:spacing w:line="73" w:lineRule="exact" w:before="19"/>
                              <w:ind w:left="221"/>
                              <w:rPr>
                                <w:rFonts w:ascii="Arial"/>
                                <w:b/>
                                <w:sz w:val="8"/>
                              </w:rPr>
                            </w:pPr>
                            <w:r>
                              <w:rPr>
                                <w:rFonts w:ascii="Arial"/>
                                <w:b/>
                                <w:spacing w:val="-2"/>
                                <w:sz w:val="8"/>
                              </w:rPr>
                              <w:t>-20,10%</w:t>
                            </w:r>
                          </w:p>
                        </w:tc>
                        <w:tc>
                          <w:tcPr>
                            <w:tcW w:w="1416" w:type="dxa"/>
                            <w:tcBorders>
                              <w:left w:val="single" w:sz="2" w:space="0" w:color="000000"/>
                              <w:right w:val="single" w:sz="2" w:space="0" w:color="000000"/>
                            </w:tcBorders>
                            <w:shd w:val="clear" w:color="auto" w:fill="FFFFFF"/>
                          </w:tcPr>
                          <w:p>
                            <w:pPr>
                              <w:pStyle w:val="TableParagraph"/>
                              <w:rPr>
                                <w:rFonts w:ascii="Times New Roman"/>
                                <w:sz w:val="6"/>
                              </w:rPr>
                            </w:pPr>
                          </w:p>
                        </w:tc>
                      </w:tr>
                    </w:tbl>
                    <w:p>
                      <w:pPr>
                        <w:pStyle w:val="BodyText"/>
                      </w:pPr>
                    </w:p>
                  </w:txbxContent>
                </v:textbox>
                <w10:wrap type="none"/>
              </v:shape>
            </w:pict>
          </mc:Fallback>
        </mc:AlternateContent>
      </w:r>
      <w:bookmarkStart w:name="_bookmark40" w:id="41"/>
      <w:bookmarkEnd w:id="41"/>
      <w:r>
        <w:rPr>
          <w:b w:val="0"/>
        </w:rPr>
      </w:r>
      <w:r>
        <w:rPr/>
        <w:t>NOTA</w:t>
      </w:r>
      <w:r>
        <w:rPr>
          <w:spacing w:val="-1"/>
        </w:rPr>
        <w:t> </w:t>
      </w:r>
      <w:r>
        <w:rPr/>
        <w:t>N° </w:t>
      </w:r>
      <w:r>
        <w:rPr>
          <w:spacing w:val="-5"/>
        </w:rPr>
        <w:t>10</w:t>
      </w:r>
    </w:p>
    <w:p>
      <w:pPr>
        <w:pStyle w:val="BodyText"/>
        <w:spacing w:before="113"/>
        <w:rPr>
          <w:b/>
        </w:rPr>
      </w:pPr>
    </w:p>
    <w:p>
      <w:pPr>
        <w:spacing w:before="1"/>
        <w:ind w:left="622" w:right="0" w:firstLine="0"/>
        <w:jc w:val="left"/>
        <w:rPr>
          <w:sz w:val="20"/>
        </w:rPr>
      </w:pPr>
      <w:r>
        <w:rPr>
          <w:sz w:val="20"/>
        </w:rPr>
        <w:t>Bienes</w:t>
      </w:r>
      <w:r>
        <w:rPr>
          <w:spacing w:val="-5"/>
          <w:sz w:val="20"/>
        </w:rPr>
        <w:t> </w:t>
      </w:r>
      <w:r>
        <w:rPr>
          <w:sz w:val="20"/>
        </w:rPr>
        <w:t>no</w:t>
      </w:r>
      <w:r>
        <w:rPr>
          <w:spacing w:val="-4"/>
          <w:sz w:val="20"/>
        </w:rPr>
        <w:t> </w:t>
      </w:r>
      <w:r>
        <w:rPr>
          <w:spacing w:val="-2"/>
          <w:sz w:val="20"/>
        </w:rPr>
        <w:t>concesionados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18"/>
        <w:gridCol w:w="2635"/>
        <w:gridCol w:w="532"/>
        <w:gridCol w:w="2063"/>
        <w:gridCol w:w="1719"/>
        <w:gridCol w:w="1165"/>
      </w:tblGrid>
      <w:tr>
        <w:trPr>
          <w:trHeight w:val="316" w:hRule="atLeast"/>
        </w:trPr>
        <w:tc>
          <w:tcPr>
            <w:tcW w:w="818" w:type="dxa"/>
            <w:vMerge w:val="restart"/>
            <w:shd w:val="clear" w:color="auto" w:fill="365F92"/>
          </w:tcPr>
          <w:p>
            <w:pPr>
              <w:pStyle w:val="TableParagraph"/>
              <w:spacing w:before="121"/>
              <w:ind w:left="69"/>
              <w:rPr>
                <w:b/>
                <w:sz w:val="20"/>
              </w:rPr>
            </w:pPr>
            <w:r>
              <w:rPr>
                <w:b/>
                <w:color w:val="FFFFFF"/>
                <w:spacing w:val="-2"/>
                <w:sz w:val="20"/>
              </w:rPr>
              <w:t>Cuenta</w:t>
            </w:r>
          </w:p>
        </w:tc>
        <w:tc>
          <w:tcPr>
            <w:tcW w:w="2635" w:type="dxa"/>
            <w:vMerge w:val="restart"/>
            <w:shd w:val="clear" w:color="auto" w:fill="365F92"/>
          </w:tcPr>
          <w:p>
            <w:pPr>
              <w:pStyle w:val="TableParagraph"/>
              <w:spacing w:before="209"/>
              <w:ind w:left="835"/>
              <w:rPr>
                <w:b/>
                <w:sz w:val="20"/>
              </w:rPr>
            </w:pPr>
            <w:r>
              <w:rPr>
                <w:b/>
                <w:color w:val="FFFFFF"/>
                <w:spacing w:val="-2"/>
                <w:sz w:val="20"/>
              </w:rPr>
              <w:t>Descripción</w:t>
            </w:r>
          </w:p>
        </w:tc>
        <w:tc>
          <w:tcPr>
            <w:tcW w:w="532" w:type="dxa"/>
            <w:vMerge w:val="restart"/>
            <w:shd w:val="clear" w:color="auto" w:fill="365F92"/>
          </w:tcPr>
          <w:p>
            <w:pPr>
              <w:pStyle w:val="TableParagraph"/>
              <w:spacing w:before="209"/>
              <w:ind w:left="67"/>
              <w:rPr>
                <w:b/>
                <w:sz w:val="20"/>
              </w:rPr>
            </w:pPr>
            <w:r>
              <w:rPr>
                <w:b/>
                <w:color w:val="FFFFFF"/>
                <w:spacing w:val="-4"/>
                <w:sz w:val="20"/>
              </w:rPr>
              <w:t>Nota</w:t>
            </w:r>
          </w:p>
        </w:tc>
        <w:tc>
          <w:tcPr>
            <w:tcW w:w="2063" w:type="dxa"/>
            <w:vMerge w:val="restart"/>
            <w:shd w:val="clear" w:color="auto" w:fill="365F92"/>
          </w:tcPr>
          <w:p>
            <w:pPr>
              <w:pStyle w:val="TableParagraph"/>
              <w:spacing w:before="209"/>
              <w:ind w:left="460"/>
              <w:rPr>
                <w:b/>
                <w:sz w:val="20"/>
              </w:rPr>
            </w:pPr>
            <w:r>
              <w:rPr>
                <w:b/>
                <w:color w:val="FFFFFF"/>
                <w:sz w:val="20"/>
              </w:rPr>
              <w:t>Periodo</w:t>
            </w:r>
            <w:r>
              <w:rPr>
                <w:b/>
                <w:color w:val="FFFFFF"/>
                <w:spacing w:val="-5"/>
                <w:sz w:val="20"/>
              </w:rPr>
              <w:t> </w:t>
            </w:r>
            <w:r>
              <w:rPr>
                <w:b/>
                <w:color w:val="FFFFFF"/>
                <w:spacing w:val="-2"/>
                <w:sz w:val="20"/>
              </w:rPr>
              <w:t>Actual</w:t>
            </w:r>
          </w:p>
        </w:tc>
        <w:tc>
          <w:tcPr>
            <w:tcW w:w="1719" w:type="dxa"/>
            <w:vMerge w:val="restart"/>
            <w:shd w:val="clear" w:color="auto" w:fill="365F92"/>
          </w:tcPr>
          <w:p>
            <w:pPr>
              <w:pStyle w:val="TableParagraph"/>
              <w:spacing w:before="209"/>
              <w:ind w:left="205"/>
              <w:rPr>
                <w:b/>
                <w:sz w:val="20"/>
              </w:rPr>
            </w:pPr>
            <w:r>
              <w:rPr>
                <w:b/>
                <w:color w:val="FFFFFF"/>
                <w:sz w:val="20"/>
              </w:rPr>
              <w:t>Periodo</w:t>
            </w:r>
            <w:r>
              <w:rPr>
                <w:b/>
                <w:color w:val="FFFFFF"/>
                <w:spacing w:val="-5"/>
                <w:sz w:val="20"/>
              </w:rPr>
              <w:t> </w:t>
            </w:r>
            <w:r>
              <w:rPr>
                <w:b/>
                <w:color w:val="FFFFFF"/>
                <w:spacing w:val="-2"/>
                <w:sz w:val="20"/>
              </w:rPr>
              <w:t>Anterior</w:t>
            </w:r>
          </w:p>
        </w:tc>
        <w:tc>
          <w:tcPr>
            <w:tcW w:w="1165" w:type="dxa"/>
            <w:shd w:val="clear" w:color="auto" w:fill="365F92"/>
          </w:tcPr>
          <w:p>
            <w:pPr>
              <w:pStyle w:val="TableParagraph"/>
              <w:spacing w:before="44"/>
              <w:ind w:left="27"/>
              <w:jc w:val="center"/>
              <w:rPr>
                <w:b/>
                <w:sz w:val="20"/>
              </w:rPr>
            </w:pPr>
            <w:r>
              <w:rPr>
                <w:b/>
                <w:color w:val="FFFFFF"/>
                <w:spacing w:val="-2"/>
                <w:sz w:val="20"/>
              </w:rPr>
              <w:t>Diferencia</w:t>
            </w:r>
          </w:p>
        </w:tc>
      </w:tr>
      <w:tr>
        <w:trPr>
          <w:trHeight w:val="313" w:hRule="atLeast"/>
        </w:trPr>
        <w:tc>
          <w:tcPr>
            <w:tcW w:w="818" w:type="dxa"/>
            <w:vMerge/>
            <w:tcBorders>
              <w:top w:val="nil"/>
            </w:tcBorders>
            <w:shd w:val="clear" w:color="auto" w:fill="365F92"/>
          </w:tcPr>
          <w:p>
            <w:pPr>
              <w:rPr>
                <w:sz w:val="2"/>
                <w:szCs w:val="2"/>
              </w:rPr>
            </w:pPr>
          </w:p>
        </w:tc>
        <w:tc>
          <w:tcPr>
            <w:tcW w:w="2635" w:type="dxa"/>
            <w:vMerge/>
            <w:tcBorders>
              <w:top w:val="nil"/>
            </w:tcBorders>
            <w:shd w:val="clear" w:color="auto" w:fill="365F92"/>
          </w:tcPr>
          <w:p>
            <w:pPr>
              <w:rPr>
                <w:sz w:val="2"/>
                <w:szCs w:val="2"/>
              </w:rPr>
            </w:pPr>
          </w:p>
        </w:tc>
        <w:tc>
          <w:tcPr>
            <w:tcW w:w="532" w:type="dxa"/>
            <w:vMerge/>
            <w:tcBorders>
              <w:top w:val="nil"/>
            </w:tcBorders>
            <w:shd w:val="clear" w:color="auto" w:fill="365F92"/>
          </w:tcPr>
          <w:p>
            <w:pPr>
              <w:rPr>
                <w:sz w:val="2"/>
                <w:szCs w:val="2"/>
              </w:rPr>
            </w:pPr>
          </w:p>
        </w:tc>
        <w:tc>
          <w:tcPr>
            <w:tcW w:w="2063" w:type="dxa"/>
            <w:vMerge/>
            <w:tcBorders>
              <w:top w:val="nil"/>
            </w:tcBorders>
            <w:shd w:val="clear" w:color="auto" w:fill="365F92"/>
          </w:tcPr>
          <w:p>
            <w:pPr>
              <w:rPr>
                <w:sz w:val="2"/>
                <w:szCs w:val="2"/>
              </w:rPr>
            </w:pPr>
          </w:p>
        </w:tc>
        <w:tc>
          <w:tcPr>
            <w:tcW w:w="1719" w:type="dxa"/>
            <w:vMerge/>
            <w:tcBorders>
              <w:top w:val="nil"/>
            </w:tcBorders>
            <w:shd w:val="clear" w:color="auto" w:fill="365F92"/>
          </w:tcPr>
          <w:p>
            <w:pPr>
              <w:rPr>
                <w:sz w:val="2"/>
                <w:szCs w:val="2"/>
              </w:rPr>
            </w:pPr>
          </w:p>
        </w:tc>
        <w:tc>
          <w:tcPr>
            <w:tcW w:w="1165" w:type="dxa"/>
            <w:shd w:val="clear" w:color="auto" w:fill="365F92"/>
          </w:tcPr>
          <w:p>
            <w:pPr>
              <w:pStyle w:val="TableParagraph"/>
              <w:spacing w:before="41"/>
              <w:ind w:left="27" w:right="1"/>
              <w:jc w:val="center"/>
              <w:rPr>
                <w:sz w:val="20"/>
              </w:rPr>
            </w:pPr>
            <w:r>
              <w:rPr>
                <w:color w:val="FFFFFF"/>
                <w:spacing w:val="-10"/>
                <w:sz w:val="20"/>
              </w:rPr>
              <w:t>%</w:t>
            </w:r>
          </w:p>
        </w:tc>
      </w:tr>
      <w:tr>
        <w:trPr>
          <w:trHeight w:val="315" w:hRule="atLeast"/>
        </w:trPr>
        <w:tc>
          <w:tcPr>
            <w:tcW w:w="818" w:type="dxa"/>
          </w:tcPr>
          <w:p>
            <w:pPr>
              <w:pStyle w:val="TableParagraph"/>
              <w:spacing w:before="44"/>
              <w:ind w:left="69"/>
              <w:rPr>
                <w:b/>
                <w:sz w:val="20"/>
              </w:rPr>
            </w:pPr>
            <w:r>
              <w:rPr>
                <w:b/>
                <w:spacing w:val="-2"/>
                <w:sz w:val="20"/>
              </w:rPr>
              <w:t>1.2.5.</w:t>
            </w:r>
          </w:p>
        </w:tc>
        <w:tc>
          <w:tcPr>
            <w:tcW w:w="2635" w:type="dxa"/>
          </w:tcPr>
          <w:p>
            <w:pPr>
              <w:pStyle w:val="TableParagraph"/>
              <w:spacing w:before="44"/>
              <w:ind w:left="69"/>
              <w:rPr>
                <w:b/>
                <w:sz w:val="20"/>
              </w:rPr>
            </w:pPr>
            <w:r>
              <w:rPr>
                <w:b/>
                <w:sz w:val="20"/>
              </w:rPr>
              <w:t>Bienes</w:t>
            </w:r>
            <w:r>
              <w:rPr>
                <w:b/>
                <w:spacing w:val="-3"/>
                <w:sz w:val="20"/>
              </w:rPr>
              <w:t> </w:t>
            </w:r>
            <w:r>
              <w:rPr>
                <w:b/>
                <w:sz w:val="20"/>
              </w:rPr>
              <w:t>no</w:t>
            </w:r>
            <w:r>
              <w:rPr>
                <w:b/>
                <w:spacing w:val="-5"/>
                <w:sz w:val="20"/>
              </w:rPr>
              <w:t> </w:t>
            </w:r>
            <w:r>
              <w:rPr>
                <w:b/>
                <w:spacing w:val="-2"/>
                <w:sz w:val="20"/>
              </w:rPr>
              <w:t>concesionados</w:t>
            </w:r>
          </w:p>
        </w:tc>
        <w:tc>
          <w:tcPr>
            <w:tcW w:w="532" w:type="dxa"/>
          </w:tcPr>
          <w:p>
            <w:pPr>
              <w:pStyle w:val="TableParagraph"/>
              <w:spacing w:before="44"/>
              <w:ind w:left="166"/>
              <w:rPr>
                <w:b/>
                <w:sz w:val="20"/>
              </w:rPr>
            </w:pPr>
            <w:r>
              <w:rPr>
                <w:b/>
                <w:spacing w:val="-5"/>
                <w:sz w:val="20"/>
              </w:rPr>
              <w:t>10</w:t>
            </w:r>
          </w:p>
        </w:tc>
        <w:tc>
          <w:tcPr>
            <w:tcW w:w="2063" w:type="dxa"/>
          </w:tcPr>
          <w:p>
            <w:pPr>
              <w:pStyle w:val="TableParagraph"/>
              <w:spacing w:before="44"/>
              <w:ind w:left="419"/>
              <w:rPr>
                <w:b/>
                <w:sz w:val="20"/>
              </w:rPr>
            </w:pPr>
            <w:r>
              <w:rPr>
                <w:b/>
                <w:sz w:val="20"/>
              </w:rPr>
              <w:t>138</w:t>
            </w:r>
            <w:r>
              <w:rPr>
                <w:b/>
                <w:spacing w:val="-3"/>
                <w:sz w:val="20"/>
              </w:rPr>
              <w:t> </w:t>
            </w:r>
            <w:r>
              <w:rPr>
                <w:b/>
                <w:sz w:val="20"/>
              </w:rPr>
              <w:t>588</w:t>
            </w:r>
            <w:r>
              <w:rPr>
                <w:b/>
                <w:spacing w:val="-3"/>
                <w:sz w:val="20"/>
              </w:rPr>
              <w:t> </w:t>
            </w:r>
            <w:r>
              <w:rPr>
                <w:b/>
                <w:spacing w:val="-2"/>
                <w:sz w:val="20"/>
              </w:rPr>
              <w:t>898,47</w:t>
            </w:r>
          </w:p>
        </w:tc>
        <w:tc>
          <w:tcPr>
            <w:tcW w:w="1719" w:type="dxa"/>
          </w:tcPr>
          <w:p>
            <w:pPr>
              <w:pStyle w:val="TableParagraph"/>
              <w:spacing w:before="44"/>
              <w:ind w:left="245"/>
              <w:rPr>
                <w:b/>
                <w:sz w:val="20"/>
              </w:rPr>
            </w:pPr>
            <w:r>
              <w:rPr>
                <w:b/>
                <w:sz w:val="20"/>
              </w:rPr>
              <w:t>139</w:t>
            </w:r>
            <w:r>
              <w:rPr>
                <w:b/>
                <w:spacing w:val="-3"/>
                <w:sz w:val="20"/>
              </w:rPr>
              <w:t> </w:t>
            </w:r>
            <w:r>
              <w:rPr>
                <w:b/>
                <w:sz w:val="20"/>
              </w:rPr>
              <w:t>453</w:t>
            </w:r>
            <w:r>
              <w:rPr>
                <w:b/>
                <w:spacing w:val="-3"/>
                <w:sz w:val="20"/>
              </w:rPr>
              <w:t> </w:t>
            </w:r>
            <w:r>
              <w:rPr>
                <w:b/>
                <w:spacing w:val="-2"/>
                <w:sz w:val="20"/>
              </w:rPr>
              <w:t>935,88</w:t>
            </w:r>
          </w:p>
        </w:tc>
        <w:tc>
          <w:tcPr>
            <w:tcW w:w="1165" w:type="dxa"/>
          </w:tcPr>
          <w:p>
            <w:pPr>
              <w:pStyle w:val="TableParagraph"/>
              <w:spacing w:before="44"/>
              <w:ind w:left="27"/>
              <w:jc w:val="center"/>
              <w:rPr>
                <w:b/>
                <w:sz w:val="20"/>
              </w:rPr>
            </w:pPr>
            <w:r>
              <w:rPr>
                <w:b/>
                <w:spacing w:val="-2"/>
                <w:sz w:val="20"/>
              </w:rPr>
              <w:t>-0,62%</w:t>
            </w:r>
          </w:p>
        </w:tc>
      </w:tr>
    </w:tbl>
    <w:p>
      <w:pPr>
        <w:pStyle w:val="BodyText"/>
        <w:rPr>
          <w:sz w:val="20"/>
        </w:rPr>
      </w:pPr>
    </w:p>
    <w:p>
      <w:pPr>
        <w:pStyle w:val="BodyText"/>
        <w:rPr>
          <w:sz w:val="20"/>
        </w:rPr>
      </w:pPr>
    </w:p>
    <w:p>
      <w:pPr>
        <w:pStyle w:val="BodyText"/>
        <w:spacing w:before="44"/>
        <w:rPr>
          <w:sz w:val="20"/>
        </w:rPr>
      </w:pPr>
    </w:p>
    <w:p>
      <w:pPr>
        <w:pStyle w:val="Heading6"/>
        <w:ind w:left="622"/>
      </w:pPr>
      <w:r>
        <w:rPr>
          <w:spacing w:val="-2"/>
        </w:rPr>
        <w:t>Revelación:</w:t>
      </w:r>
    </w:p>
    <w:p>
      <w:pPr>
        <w:pStyle w:val="BodyText"/>
        <w:spacing w:line="259" w:lineRule="auto" w:before="179"/>
        <w:ind w:left="622" w:right="977"/>
        <w:jc w:val="both"/>
      </w:pPr>
      <w:r>
        <w:rPr/>
        <w:t>La cuenta de Bienes no concesionados representa el 69,43% del total del Activo, que comparado al periodo anterior genera una variación absoluta de ¢-865.037,41 que corresponde a una disminución del -0,62% de recursos disponibles.</w:t>
      </w:r>
    </w:p>
    <w:p>
      <w:pPr>
        <w:pStyle w:val="BodyText"/>
      </w:pPr>
    </w:p>
    <w:p>
      <w:pPr>
        <w:pStyle w:val="BodyText"/>
        <w:spacing w:before="89"/>
      </w:pPr>
    </w:p>
    <w:p>
      <w:pPr>
        <w:pStyle w:val="BodyText"/>
        <w:spacing w:line="259" w:lineRule="auto"/>
        <w:ind w:left="622" w:right="977"/>
        <w:jc w:val="both"/>
      </w:pPr>
      <w:r>
        <w:rPr/>
        <w:t>Esta</w:t>
      </w:r>
      <w:r>
        <w:rPr>
          <w:spacing w:val="-3"/>
        </w:rPr>
        <w:t> </w:t>
      </w:r>
      <w:r>
        <w:rPr/>
        <w:t>nota</w:t>
      </w:r>
      <w:r>
        <w:rPr>
          <w:spacing w:val="-5"/>
        </w:rPr>
        <w:t> </w:t>
      </w:r>
      <w:r>
        <w:rPr/>
        <w:t>explicativa</w:t>
      </w:r>
      <w:r>
        <w:rPr>
          <w:spacing w:val="-3"/>
        </w:rPr>
        <w:t> </w:t>
      </w:r>
      <w:r>
        <w:rPr/>
        <w:t>está</w:t>
      </w:r>
      <w:r>
        <w:rPr>
          <w:spacing w:val="-3"/>
        </w:rPr>
        <w:t> </w:t>
      </w:r>
      <w:r>
        <w:rPr/>
        <w:t>vinculada</w:t>
      </w:r>
      <w:r>
        <w:rPr>
          <w:spacing w:val="-3"/>
        </w:rPr>
        <w:t> </w:t>
      </w:r>
      <w:r>
        <w:rPr/>
        <w:t>con</w:t>
      </w:r>
      <w:r>
        <w:rPr>
          <w:spacing w:val="-3"/>
        </w:rPr>
        <w:t> </w:t>
      </w:r>
      <w:r>
        <w:rPr/>
        <w:t>las</w:t>
      </w:r>
      <w:r>
        <w:rPr>
          <w:spacing w:val="-2"/>
        </w:rPr>
        <w:t> </w:t>
      </w:r>
      <w:r>
        <w:rPr/>
        <w:t>notas</w:t>
      </w:r>
      <w:r>
        <w:rPr>
          <w:spacing w:val="-2"/>
        </w:rPr>
        <w:t> </w:t>
      </w:r>
      <w:r>
        <w:rPr/>
        <w:t>del</w:t>
      </w:r>
      <w:r>
        <w:rPr>
          <w:spacing w:val="-3"/>
        </w:rPr>
        <w:t> </w:t>
      </w:r>
      <w:r>
        <w:rPr/>
        <w:t>Estado</w:t>
      </w:r>
      <w:r>
        <w:rPr>
          <w:spacing w:val="-3"/>
        </w:rPr>
        <w:t> </w:t>
      </w:r>
      <w:r>
        <w:rPr/>
        <w:t>de</w:t>
      </w:r>
      <w:r>
        <w:rPr>
          <w:spacing w:val="-4"/>
        </w:rPr>
        <w:t> </w:t>
      </w:r>
      <w:r>
        <w:rPr/>
        <w:t>Situación</w:t>
      </w:r>
      <w:r>
        <w:rPr>
          <w:spacing w:val="-3"/>
        </w:rPr>
        <w:t> </w:t>
      </w:r>
      <w:r>
        <w:rPr/>
        <w:t>y</w:t>
      </w:r>
      <w:r>
        <w:rPr>
          <w:spacing w:val="-3"/>
        </w:rPr>
        <w:t> </w:t>
      </w:r>
      <w:r>
        <w:rPr/>
        <w:t>Evolución</w:t>
      </w:r>
      <w:r>
        <w:rPr>
          <w:spacing w:val="-3"/>
        </w:rPr>
        <w:t> </w:t>
      </w:r>
      <w:r>
        <w:rPr/>
        <w:t>de</w:t>
      </w:r>
      <w:r>
        <w:rPr>
          <w:spacing w:val="-4"/>
        </w:rPr>
        <w:t> </w:t>
      </w:r>
      <w:r>
        <w:rPr/>
        <w:t>Bienes</w:t>
      </w:r>
      <w:r>
        <w:rPr>
          <w:spacing w:val="-4"/>
        </w:rPr>
        <w:t> </w:t>
      </w:r>
      <w:r>
        <w:rPr/>
        <w:t>Notas No.91 y 92 en las cuales se desarrolla con mayor detalle la composición de las cuentas, sus saldos y hechos relevantes.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4912">
                <wp:simplePos x="0" y="0"/>
                <wp:positionH relativeFrom="page">
                  <wp:posOffset>9525</wp:posOffset>
                </wp:positionH>
                <wp:positionV relativeFrom="page">
                  <wp:posOffset>297208</wp:posOffset>
                </wp:positionV>
                <wp:extent cx="7762875" cy="9748520"/>
                <wp:effectExtent l="0" t="0" r="0" b="0"/>
                <wp:wrapNone/>
                <wp:docPr id="309" name="Group 309"/>
                <wp:cNvGraphicFramePr>
                  <a:graphicFrameLocks/>
                </wp:cNvGraphicFramePr>
                <a:graphic>
                  <a:graphicData uri="http://schemas.microsoft.com/office/word/2010/wordprocessingGroup">
                    <wpg:wgp>
                      <wpg:cNvPr id="309" name="Group 309"/>
                      <wpg:cNvGrpSpPr/>
                      <wpg:grpSpPr>
                        <a:xfrm>
                          <a:off x="0" y="0"/>
                          <a:ext cx="7762875" cy="9748520"/>
                          <a:chExt cx="7762875" cy="9748520"/>
                        </a:xfrm>
                      </wpg:grpSpPr>
                      <pic:pic>
                        <pic:nvPicPr>
                          <pic:cNvPr id="310" name="Image 310"/>
                          <pic:cNvPicPr/>
                        </pic:nvPicPr>
                        <pic:blipFill>
                          <a:blip r:embed="rId5" cstate="print"/>
                          <a:stretch>
                            <a:fillRect/>
                          </a:stretch>
                        </pic:blipFill>
                        <pic:spPr>
                          <a:xfrm>
                            <a:off x="0" y="0"/>
                            <a:ext cx="7762874" cy="9748489"/>
                          </a:xfrm>
                          <a:prstGeom prst="rect">
                            <a:avLst/>
                          </a:prstGeom>
                        </pic:spPr>
                      </pic:pic>
                      <wps:wsp>
                        <wps:cNvPr id="311" name="Graphic 31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1568" id="docshapegroup295" coordorigin="15,468" coordsize="12225,15352">
                <v:shape style="position:absolute;left:15;top:468;width:12225;height:15352" type="#_x0000_t75" id="docshape296" stroked="false">
                  <v:imagedata r:id="rId5" o:title=""/>
                </v:shape>
                <v:rect style="position:absolute;left:1673;top:2028;width:8897;height:15" id="docshape29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66</w:t>
      </w:r>
    </w:p>
    <w:p>
      <w:pPr>
        <w:pStyle w:val="Heading5"/>
        <w:spacing w:before="218"/>
      </w:pPr>
      <w:bookmarkStart w:name="_bookmark41" w:id="42"/>
      <w:bookmarkEnd w:id="42"/>
      <w:r>
        <w:rPr>
          <w:b w:val="0"/>
        </w:rPr>
      </w:r>
      <w:r>
        <w:rPr/>
        <w:t>NOTA</w:t>
      </w:r>
      <w:r>
        <w:rPr>
          <w:spacing w:val="-1"/>
        </w:rPr>
        <w:t> </w:t>
      </w:r>
      <w:r>
        <w:rPr/>
        <w:t>N° </w:t>
      </w:r>
      <w:r>
        <w:rPr>
          <w:spacing w:val="-5"/>
        </w:rPr>
        <w:t>11</w:t>
      </w:r>
    </w:p>
    <w:p>
      <w:pPr>
        <w:pStyle w:val="BodyText"/>
        <w:spacing w:before="114"/>
        <w:rPr>
          <w:b/>
        </w:rPr>
      </w:pPr>
    </w:p>
    <w:p>
      <w:pPr>
        <w:pStyle w:val="BodyText"/>
        <w:spacing w:before="1"/>
        <w:ind w:left="622"/>
      </w:pPr>
      <w:r>
        <w:rPr/>
        <w:t>Bienes</w:t>
      </w:r>
      <w:r>
        <w:rPr>
          <w:spacing w:val="-1"/>
        </w:rPr>
        <w:t> </w:t>
      </w:r>
      <w:r>
        <w:rPr>
          <w:spacing w:val="-2"/>
        </w:rPr>
        <w:t>concesionados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55"/>
        <w:gridCol w:w="3560"/>
        <w:gridCol w:w="571"/>
        <w:gridCol w:w="1380"/>
        <w:gridCol w:w="1305"/>
        <w:gridCol w:w="1166"/>
      </w:tblGrid>
      <w:tr>
        <w:trPr>
          <w:trHeight w:val="311" w:hRule="atLeast"/>
        </w:trPr>
        <w:tc>
          <w:tcPr>
            <w:tcW w:w="955" w:type="dxa"/>
            <w:vMerge w:val="restart"/>
            <w:shd w:val="clear" w:color="auto" w:fill="365F92"/>
          </w:tcPr>
          <w:p>
            <w:pPr>
              <w:pStyle w:val="TableParagraph"/>
              <w:spacing w:before="108"/>
              <w:ind w:left="69"/>
              <w:rPr>
                <w:b/>
                <w:sz w:val="22"/>
              </w:rPr>
            </w:pPr>
            <w:r>
              <w:rPr>
                <w:b/>
                <w:color w:val="FFFFFF"/>
                <w:spacing w:val="-2"/>
                <w:sz w:val="22"/>
              </w:rPr>
              <w:t>Cuenta</w:t>
            </w:r>
          </w:p>
        </w:tc>
        <w:tc>
          <w:tcPr>
            <w:tcW w:w="3560" w:type="dxa"/>
            <w:vMerge w:val="restart"/>
            <w:shd w:val="clear" w:color="auto" w:fill="365F92"/>
          </w:tcPr>
          <w:p>
            <w:pPr>
              <w:pStyle w:val="TableParagraph"/>
              <w:spacing w:before="197"/>
              <w:ind w:left="21"/>
              <w:jc w:val="center"/>
              <w:rPr>
                <w:b/>
                <w:sz w:val="22"/>
              </w:rPr>
            </w:pPr>
            <w:r>
              <w:rPr>
                <w:b/>
                <w:color w:val="FFFFFF"/>
                <w:spacing w:val="-2"/>
                <w:sz w:val="22"/>
              </w:rPr>
              <w:t>Descripción</w:t>
            </w:r>
          </w:p>
        </w:tc>
        <w:tc>
          <w:tcPr>
            <w:tcW w:w="571" w:type="dxa"/>
            <w:vMerge w:val="restart"/>
            <w:shd w:val="clear" w:color="auto" w:fill="365F92"/>
          </w:tcPr>
          <w:p>
            <w:pPr>
              <w:pStyle w:val="TableParagraph"/>
              <w:spacing w:before="197"/>
              <w:ind w:left="69"/>
              <w:rPr>
                <w:b/>
                <w:sz w:val="22"/>
              </w:rPr>
            </w:pPr>
            <w:r>
              <w:rPr>
                <w:b/>
                <w:color w:val="FFFFFF"/>
                <w:spacing w:val="-4"/>
                <w:sz w:val="22"/>
              </w:rPr>
              <w:t>Nota</w:t>
            </w:r>
          </w:p>
        </w:tc>
        <w:tc>
          <w:tcPr>
            <w:tcW w:w="1380" w:type="dxa"/>
            <w:vMerge w:val="restart"/>
            <w:shd w:val="clear" w:color="auto" w:fill="365F92"/>
          </w:tcPr>
          <w:p>
            <w:pPr>
              <w:pStyle w:val="TableParagraph"/>
              <w:spacing w:before="72"/>
              <w:ind w:left="408" w:right="290" w:hanging="44"/>
              <w:rPr>
                <w:b/>
                <w:sz w:val="22"/>
              </w:rPr>
            </w:pPr>
            <w:r>
              <w:rPr>
                <w:b/>
                <w:color w:val="FFFFFF"/>
                <w:spacing w:val="-2"/>
                <w:sz w:val="22"/>
              </w:rPr>
              <w:t>Periodo Actual</w:t>
            </w:r>
          </w:p>
        </w:tc>
        <w:tc>
          <w:tcPr>
            <w:tcW w:w="1305" w:type="dxa"/>
            <w:vMerge w:val="restart"/>
            <w:shd w:val="clear" w:color="auto" w:fill="365F92"/>
          </w:tcPr>
          <w:p>
            <w:pPr>
              <w:pStyle w:val="TableParagraph"/>
              <w:spacing w:before="72"/>
              <w:ind w:left="276" w:firstLine="50"/>
              <w:rPr>
                <w:b/>
                <w:sz w:val="22"/>
              </w:rPr>
            </w:pPr>
            <w:r>
              <w:rPr>
                <w:b/>
                <w:color w:val="FFFFFF"/>
                <w:spacing w:val="-2"/>
                <w:sz w:val="22"/>
              </w:rPr>
              <w:t>Periodo Anterior</w:t>
            </w:r>
          </w:p>
        </w:tc>
        <w:tc>
          <w:tcPr>
            <w:tcW w:w="1166" w:type="dxa"/>
            <w:shd w:val="clear" w:color="auto" w:fill="365F92"/>
          </w:tcPr>
          <w:p>
            <w:pPr>
              <w:pStyle w:val="TableParagraph"/>
              <w:spacing w:before="29"/>
              <w:ind w:left="21" w:right="1"/>
              <w:jc w:val="center"/>
              <w:rPr>
                <w:b/>
                <w:sz w:val="22"/>
              </w:rPr>
            </w:pPr>
            <w:r>
              <w:rPr>
                <w:b/>
                <w:color w:val="FFFFFF"/>
                <w:spacing w:val="-2"/>
                <w:sz w:val="22"/>
              </w:rPr>
              <w:t>Diferencia</w:t>
            </w:r>
          </w:p>
        </w:tc>
      </w:tr>
      <w:tr>
        <w:trPr>
          <w:trHeight w:val="313" w:hRule="atLeast"/>
        </w:trPr>
        <w:tc>
          <w:tcPr>
            <w:tcW w:w="955" w:type="dxa"/>
            <w:vMerge/>
            <w:tcBorders>
              <w:top w:val="nil"/>
            </w:tcBorders>
            <w:shd w:val="clear" w:color="auto" w:fill="365F92"/>
          </w:tcPr>
          <w:p>
            <w:pPr>
              <w:rPr>
                <w:sz w:val="2"/>
                <w:szCs w:val="2"/>
              </w:rPr>
            </w:pPr>
          </w:p>
        </w:tc>
        <w:tc>
          <w:tcPr>
            <w:tcW w:w="3560"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380" w:type="dxa"/>
            <w:vMerge/>
            <w:tcBorders>
              <w:top w:val="nil"/>
            </w:tcBorders>
            <w:shd w:val="clear" w:color="auto" w:fill="365F92"/>
          </w:tcPr>
          <w:p>
            <w:pPr>
              <w:rPr>
                <w:sz w:val="2"/>
                <w:szCs w:val="2"/>
              </w:rPr>
            </w:pPr>
          </w:p>
        </w:tc>
        <w:tc>
          <w:tcPr>
            <w:tcW w:w="1305" w:type="dxa"/>
            <w:vMerge/>
            <w:tcBorders>
              <w:top w:val="nil"/>
            </w:tcBorders>
            <w:shd w:val="clear" w:color="auto" w:fill="365F92"/>
          </w:tcPr>
          <w:p>
            <w:pPr>
              <w:rPr>
                <w:sz w:val="2"/>
                <w:szCs w:val="2"/>
              </w:rPr>
            </w:pPr>
          </w:p>
        </w:tc>
        <w:tc>
          <w:tcPr>
            <w:tcW w:w="1166" w:type="dxa"/>
            <w:shd w:val="clear" w:color="auto" w:fill="365F92"/>
          </w:tcPr>
          <w:p>
            <w:pPr>
              <w:pStyle w:val="TableParagraph"/>
              <w:spacing w:before="31"/>
              <w:ind w:left="21" w:right="2"/>
              <w:jc w:val="center"/>
              <w:rPr>
                <w:sz w:val="22"/>
              </w:rPr>
            </w:pPr>
            <w:r>
              <w:rPr>
                <w:color w:val="FFFFFF"/>
                <w:spacing w:val="-10"/>
                <w:sz w:val="22"/>
              </w:rPr>
              <w:t>%</w:t>
            </w:r>
          </w:p>
        </w:tc>
      </w:tr>
      <w:tr>
        <w:trPr>
          <w:trHeight w:val="313" w:hRule="atLeast"/>
        </w:trPr>
        <w:tc>
          <w:tcPr>
            <w:tcW w:w="955" w:type="dxa"/>
          </w:tcPr>
          <w:p>
            <w:pPr>
              <w:pStyle w:val="TableParagraph"/>
              <w:spacing w:before="31"/>
              <w:ind w:left="69"/>
              <w:rPr>
                <w:b/>
                <w:sz w:val="22"/>
              </w:rPr>
            </w:pPr>
            <w:r>
              <w:rPr>
                <w:b/>
                <w:spacing w:val="-2"/>
                <w:sz w:val="22"/>
              </w:rPr>
              <w:t>1.2.6.</w:t>
            </w:r>
          </w:p>
        </w:tc>
        <w:tc>
          <w:tcPr>
            <w:tcW w:w="3560" w:type="dxa"/>
          </w:tcPr>
          <w:p>
            <w:pPr>
              <w:pStyle w:val="TableParagraph"/>
              <w:spacing w:before="31"/>
              <w:ind w:left="69"/>
              <w:rPr>
                <w:b/>
                <w:sz w:val="22"/>
              </w:rPr>
            </w:pPr>
            <w:r>
              <w:rPr>
                <w:b/>
                <w:sz w:val="22"/>
              </w:rPr>
              <w:t>Bienes</w:t>
            </w:r>
            <w:r>
              <w:rPr>
                <w:b/>
                <w:spacing w:val="-1"/>
                <w:sz w:val="22"/>
              </w:rPr>
              <w:t> </w:t>
            </w:r>
            <w:r>
              <w:rPr>
                <w:b/>
                <w:spacing w:val="-2"/>
                <w:sz w:val="22"/>
              </w:rPr>
              <w:t>concesionados</w:t>
            </w:r>
          </w:p>
        </w:tc>
        <w:tc>
          <w:tcPr>
            <w:tcW w:w="571" w:type="dxa"/>
          </w:tcPr>
          <w:p>
            <w:pPr>
              <w:pStyle w:val="TableParagraph"/>
              <w:spacing w:before="41"/>
              <w:ind w:left="187"/>
              <w:rPr>
                <w:b/>
                <w:sz w:val="20"/>
              </w:rPr>
            </w:pPr>
            <w:r>
              <w:rPr>
                <w:b/>
                <w:spacing w:val="-5"/>
                <w:sz w:val="20"/>
              </w:rPr>
              <w:t>11</w:t>
            </w:r>
          </w:p>
        </w:tc>
        <w:tc>
          <w:tcPr>
            <w:tcW w:w="1380" w:type="dxa"/>
          </w:tcPr>
          <w:p>
            <w:pPr>
              <w:pStyle w:val="TableParagraph"/>
              <w:spacing w:before="41"/>
              <w:ind w:left="15"/>
              <w:jc w:val="center"/>
              <w:rPr>
                <w:b/>
                <w:sz w:val="20"/>
              </w:rPr>
            </w:pPr>
            <w:r>
              <w:rPr>
                <w:b/>
                <w:spacing w:val="-4"/>
                <w:sz w:val="20"/>
              </w:rPr>
              <w:t>0,00</w:t>
            </w:r>
          </w:p>
        </w:tc>
        <w:tc>
          <w:tcPr>
            <w:tcW w:w="1305" w:type="dxa"/>
          </w:tcPr>
          <w:p>
            <w:pPr>
              <w:pStyle w:val="TableParagraph"/>
              <w:spacing w:before="41"/>
              <w:ind w:left="13"/>
              <w:jc w:val="center"/>
              <w:rPr>
                <w:b/>
                <w:sz w:val="20"/>
              </w:rPr>
            </w:pPr>
            <w:r>
              <w:rPr>
                <w:b/>
                <w:spacing w:val="-4"/>
                <w:sz w:val="20"/>
              </w:rPr>
              <w:t>0,00</w:t>
            </w:r>
          </w:p>
        </w:tc>
        <w:tc>
          <w:tcPr>
            <w:tcW w:w="1166" w:type="dxa"/>
          </w:tcPr>
          <w:p>
            <w:pPr>
              <w:pStyle w:val="TableParagraph"/>
              <w:spacing w:before="41"/>
              <w:ind w:left="21"/>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before="181"/>
        <w:ind w:left="622"/>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p>
      <w:pPr>
        <w:pStyle w:val="BodyText"/>
        <w:spacing w:before="34"/>
      </w:pPr>
    </w:p>
    <w:p>
      <w:pPr>
        <w:pStyle w:val="BodyText"/>
        <w:spacing w:line="259" w:lineRule="auto"/>
        <w:ind w:left="622" w:right="974"/>
        <w:jc w:val="both"/>
      </w:pPr>
      <w:r>
        <w:rPr/>
        <w:t>Esta</w:t>
      </w:r>
      <w:r>
        <w:rPr>
          <w:spacing w:val="-5"/>
        </w:rPr>
        <w:t> </w:t>
      </w:r>
      <w:r>
        <w:rPr/>
        <w:t>nota</w:t>
      </w:r>
      <w:r>
        <w:rPr>
          <w:spacing w:val="-7"/>
        </w:rPr>
        <w:t> </w:t>
      </w:r>
      <w:r>
        <w:rPr/>
        <w:t>explicativa</w:t>
      </w:r>
      <w:r>
        <w:rPr>
          <w:spacing w:val="-6"/>
        </w:rPr>
        <w:t> </w:t>
      </w:r>
      <w:r>
        <w:rPr/>
        <w:t>está</w:t>
      </w:r>
      <w:r>
        <w:rPr>
          <w:spacing w:val="-5"/>
        </w:rPr>
        <w:t> </w:t>
      </w:r>
      <w:r>
        <w:rPr/>
        <w:t>vinculada</w:t>
      </w:r>
      <w:r>
        <w:rPr>
          <w:spacing w:val="-6"/>
        </w:rPr>
        <w:t> </w:t>
      </w:r>
      <w:r>
        <w:rPr/>
        <w:t>con</w:t>
      </w:r>
      <w:r>
        <w:rPr>
          <w:spacing w:val="-4"/>
        </w:rPr>
        <w:t> </w:t>
      </w:r>
      <w:r>
        <w:rPr/>
        <w:t>las</w:t>
      </w:r>
      <w:r>
        <w:rPr>
          <w:spacing w:val="-6"/>
        </w:rPr>
        <w:t> </w:t>
      </w:r>
      <w:r>
        <w:rPr/>
        <w:t>notas</w:t>
      </w:r>
      <w:r>
        <w:rPr>
          <w:spacing w:val="-6"/>
        </w:rPr>
        <w:t> </w:t>
      </w:r>
      <w:r>
        <w:rPr/>
        <w:t>del</w:t>
      </w:r>
      <w:r>
        <w:rPr>
          <w:spacing w:val="-5"/>
        </w:rPr>
        <w:t> </w:t>
      </w:r>
      <w:r>
        <w:rPr/>
        <w:t>Estado</w:t>
      </w:r>
      <w:r>
        <w:rPr>
          <w:spacing w:val="-4"/>
        </w:rPr>
        <w:t> </w:t>
      </w:r>
      <w:r>
        <w:rPr/>
        <w:t>de</w:t>
      </w:r>
      <w:r>
        <w:rPr>
          <w:spacing w:val="-9"/>
        </w:rPr>
        <w:t> </w:t>
      </w:r>
      <w:r>
        <w:rPr/>
        <w:t>Situación</w:t>
      </w:r>
      <w:r>
        <w:rPr>
          <w:spacing w:val="-7"/>
        </w:rPr>
        <w:t> </w:t>
      </w:r>
      <w:r>
        <w:rPr/>
        <w:t>y</w:t>
      </w:r>
      <w:r>
        <w:rPr>
          <w:spacing w:val="-6"/>
        </w:rPr>
        <w:t> </w:t>
      </w:r>
      <w:r>
        <w:rPr/>
        <w:t>Evolución</w:t>
      </w:r>
      <w:r>
        <w:rPr>
          <w:spacing w:val="-7"/>
        </w:rPr>
        <w:t> </w:t>
      </w:r>
      <w:r>
        <w:rPr/>
        <w:t>de</w:t>
      </w:r>
      <w:r>
        <w:rPr>
          <w:spacing w:val="-6"/>
        </w:rPr>
        <w:t> </w:t>
      </w:r>
      <w:r>
        <w:rPr/>
        <w:t>Bienes</w:t>
      </w:r>
      <w:r>
        <w:rPr>
          <w:spacing w:val="-4"/>
        </w:rPr>
        <w:t> </w:t>
      </w:r>
      <w:r>
        <w:rPr/>
        <w:t>donde se debe desarrollar con mayor detalle la composición de las cuentas, sus saldos y hechos relevantes</w:t>
      </w:r>
    </w:p>
    <w:p>
      <w:pPr>
        <w:pStyle w:val="Heading5"/>
        <w:spacing w:before="161"/>
        <w:jc w:val="both"/>
      </w:pPr>
      <w:bookmarkStart w:name="_bookmark42" w:id="43"/>
      <w:bookmarkEnd w:id="43"/>
      <w:r>
        <w:rPr>
          <w:b w:val="0"/>
        </w:rPr>
      </w:r>
      <w:r>
        <w:rPr/>
        <w:t>NOTA</w:t>
      </w:r>
      <w:r>
        <w:rPr>
          <w:spacing w:val="-1"/>
        </w:rPr>
        <w:t> </w:t>
      </w:r>
      <w:r>
        <w:rPr/>
        <w:t>N° </w:t>
      </w:r>
      <w:r>
        <w:rPr>
          <w:spacing w:val="-5"/>
        </w:rPr>
        <w:t>12</w:t>
      </w:r>
    </w:p>
    <w:p>
      <w:pPr>
        <w:pStyle w:val="BodyText"/>
        <w:spacing w:before="112"/>
        <w:rPr>
          <w:b/>
        </w:rPr>
      </w:pPr>
    </w:p>
    <w:p>
      <w:pPr>
        <w:pStyle w:val="BodyText"/>
        <w:ind w:left="622"/>
      </w:pPr>
      <w:r>
        <w:rPr/>
        <w:t>Inversiones</w:t>
      </w:r>
      <w:r>
        <w:rPr>
          <w:spacing w:val="-2"/>
        </w:rPr>
        <w:t> </w:t>
      </w:r>
      <w:r>
        <w:rPr/>
        <w:t>patrimoniales</w:t>
      </w:r>
      <w:r>
        <w:rPr>
          <w:spacing w:val="-2"/>
        </w:rPr>
        <w:t> </w:t>
      </w:r>
      <w:r>
        <w:rPr/>
        <w:t>-</w:t>
      </w:r>
      <w:r>
        <w:rPr>
          <w:spacing w:val="-6"/>
        </w:rPr>
        <w:t> </w:t>
      </w:r>
      <w:r>
        <w:rPr/>
        <w:t>Método</w:t>
      </w:r>
      <w:r>
        <w:rPr>
          <w:spacing w:val="-3"/>
        </w:rPr>
        <w:t> </w:t>
      </w:r>
      <w:r>
        <w:rPr/>
        <w:t>de</w:t>
      </w:r>
      <w:r>
        <w:rPr>
          <w:spacing w:val="-4"/>
        </w:rPr>
        <w:t> </w:t>
      </w:r>
      <w:r>
        <w:rPr>
          <w:spacing w:val="-2"/>
        </w:rPr>
        <w:t>participación</w:t>
      </w:r>
    </w:p>
    <w:p>
      <w:pPr>
        <w:pStyle w:val="BodyText"/>
        <w:spacing w:before="10"/>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8"/>
        <w:gridCol w:w="3502"/>
        <w:gridCol w:w="566"/>
        <w:gridCol w:w="1354"/>
        <w:gridCol w:w="1442"/>
        <w:gridCol w:w="1147"/>
      </w:tblGrid>
      <w:tr>
        <w:trPr>
          <w:trHeight w:val="227" w:hRule="atLeast"/>
        </w:trPr>
        <w:tc>
          <w:tcPr>
            <w:tcW w:w="938" w:type="dxa"/>
            <w:vMerge w:val="restart"/>
            <w:shd w:val="clear" w:color="auto" w:fill="365F92"/>
          </w:tcPr>
          <w:p>
            <w:pPr>
              <w:pStyle w:val="TableParagraph"/>
              <w:spacing w:before="34"/>
              <w:ind w:left="69"/>
              <w:rPr>
                <w:b/>
                <w:sz w:val="20"/>
              </w:rPr>
            </w:pPr>
            <w:r>
              <w:rPr>
                <w:b/>
                <w:color w:val="FFFFFF"/>
                <w:spacing w:val="-2"/>
                <w:sz w:val="20"/>
              </w:rPr>
              <w:t>Cuenta</w:t>
            </w:r>
          </w:p>
        </w:tc>
        <w:tc>
          <w:tcPr>
            <w:tcW w:w="3502" w:type="dxa"/>
            <w:vMerge w:val="restart"/>
            <w:shd w:val="clear" w:color="auto" w:fill="365F92"/>
          </w:tcPr>
          <w:p>
            <w:pPr>
              <w:pStyle w:val="TableParagraph"/>
              <w:spacing w:before="123"/>
              <w:ind w:left="15"/>
              <w:jc w:val="center"/>
              <w:rPr>
                <w:b/>
                <w:sz w:val="20"/>
              </w:rPr>
            </w:pPr>
            <w:r>
              <w:rPr>
                <w:b/>
                <w:color w:val="FFFFFF"/>
                <w:spacing w:val="-2"/>
                <w:sz w:val="20"/>
              </w:rPr>
              <w:t>Descripción</w:t>
            </w:r>
          </w:p>
        </w:tc>
        <w:tc>
          <w:tcPr>
            <w:tcW w:w="566" w:type="dxa"/>
            <w:vMerge w:val="restart"/>
            <w:shd w:val="clear" w:color="auto" w:fill="365F92"/>
          </w:tcPr>
          <w:p>
            <w:pPr>
              <w:pStyle w:val="TableParagraph"/>
              <w:spacing w:before="123"/>
              <w:ind w:left="86"/>
              <w:rPr>
                <w:b/>
                <w:sz w:val="20"/>
              </w:rPr>
            </w:pPr>
            <w:r>
              <w:rPr>
                <w:b/>
                <w:color w:val="FFFFFF"/>
                <w:spacing w:val="-4"/>
                <w:sz w:val="20"/>
              </w:rPr>
              <w:t>Nota</w:t>
            </w:r>
          </w:p>
        </w:tc>
        <w:tc>
          <w:tcPr>
            <w:tcW w:w="1354" w:type="dxa"/>
            <w:vMerge w:val="restart"/>
            <w:shd w:val="clear" w:color="auto" w:fill="365F92"/>
          </w:tcPr>
          <w:p>
            <w:pPr>
              <w:pStyle w:val="TableParagraph"/>
              <w:spacing w:line="230" w:lineRule="atLeast"/>
              <w:ind w:left="420" w:right="311" w:hanging="36"/>
              <w:rPr>
                <w:b/>
                <w:sz w:val="20"/>
              </w:rPr>
            </w:pPr>
            <w:r>
              <w:rPr>
                <w:b/>
                <w:color w:val="FFFFFF"/>
                <w:spacing w:val="-2"/>
                <w:sz w:val="20"/>
              </w:rPr>
              <w:t>Periodo Actual</w:t>
            </w:r>
          </w:p>
        </w:tc>
        <w:tc>
          <w:tcPr>
            <w:tcW w:w="1442" w:type="dxa"/>
            <w:vMerge w:val="restart"/>
            <w:shd w:val="clear" w:color="auto" w:fill="365F92"/>
          </w:tcPr>
          <w:p>
            <w:pPr>
              <w:pStyle w:val="TableParagraph"/>
              <w:spacing w:line="230" w:lineRule="atLeast"/>
              <w:ind w:left="382" w:right="353" w:firstLine="45"/>
              <w:rPr>
                <w:b/>
                <w:sz w:val="20"/>
              </w:rPr>
            </w:pPr>
            <w:r>
              <w:rPr>
                <w:b/>
                <w:color w:val="FFFFFF"/>
                <w:spacing w:val="-2"/>
                <w:sz w:val="20"/>
              </w:rPr>
              <w:t>Periodo Anterior</w:t>
            </w:r>
          </w:p>
        </w:tc>
        <w:tc>
          <w:tcPr>
            <w:tcW w:w="1147" w:type="dxa"/>
            <w:shd w:val="clear" w:color="auto" w:fill="365F92"/>
          </w:tcPr>
          <w:p>
            <w:pPr>
              <w:pStyle w:val="TableParagraph"/>
              <w:spacing w:line="207" w:lineRule="exact"/>
              <w:ind w:left="21" w:right="3"/>
              <w:jc w:val="center"/>
              <w:rPr>
                <w:b/>
                <w:sz w:val="20"/>
              </w:rPr>
            </w:pPr>
            <w:r>
              <w:rPr>
                <w:b/>
                <w:color w:val="FFFFFF"/>
                <w:spacing w:val="-2"/>
                <w:sz w:val="20"/>
              </w:rPr>
              <w:t>Diferencia</w:t>
            </w:r>
          </w:p>
        </w:tc>
      </w:tr>
      <w:tr>
        <w:trPr>
          <w:trHeight w:val="229" w:hRule="atLeast"/>
        </w:trPr>
        <w:tc>
          <w:tcPr>
            <w:tcW w:w="938" w:type="dxa"/>
            <w:vMerge/>
            <w:tcBorders>
              <w:top w:val="nil"/>
            </w:tcBorders>
            <w:shd w:val="clear" w:color="auto" w:fill="365F92"/>
          </w:tcPr>
          <w:p>
            <w:pPr>
              <w:rPr>
                <w:sz w:val="2"/>
                <w:szCs w:val="2"/>
              </w:rPr>
            </w:pPr>
          </w:p>
        </w:tc>
        <w:tc>
          <w:tcPr>
            <w:tcW w:w="3502"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354" w:type="dxa"/>
            <w:vMerge/>
            <w:tcBorders>
              <w:top w:val="nil"/>
            </w:tcBorders>
            <w:shd w:val="clear" w:color="auto" w:fill="365F92"/>
          </w:tcPr>
          <w:p>
            <w:pPr>
              <w:rPr>
                <w:sz w:val="2"/>
                <w:szCs w:val="2"/>
              </w:rPr>
            </w:pPr>
          </w:p>
        </w:tc>
        <w:tc>
          <w:tcPr>
            <w:tcW w:w="1442" w:type="dxa"/>
            <w:vMerge/>
            <w:tcBorders>
              <w:top w:val="nil"/>
            </w:tcBorders>
            <w:shd w:val="clear" w:color="auto" w:fill="365F92"/>
          </w:tcPr>
          <w:p>
            <w:pPr>
              <w:rPr>
                <w:sz w:val="2"/>
                <w:szCs w:val="2"/>
              </w:rPr>
            </w:pPr>
          </w:p>
        </w:tc>
        <w:tc>
          <w:tcPr>
            <w:tcW w:w="1147" w:type="dxa"/>
            <w:shd w:val="clear" w:color="auto" w:fill="365F92"/>
          </w:tcPr>
          <w:p>
            <w:pPr>
              <w:pStyle w:val="TableParagraph"/>
              <w:spacing w:line="209" w:lineRule="exact" w:before="1"/>
              <w:ind w:left="21" w:right="4"/>
              <w:jc w:val="center"/>
              <w:rPr>
                <w:sz w:val="20"/>
              </w:rPr>
            </w:pPr>
            <w:r>
              <w:rPr>
                <w:color w:val="FFFFFF"/>
                <w:spacing w:val="-10"/>
                <w:sz w:val="20"/>
              </w:rPr>
              <w:t>%</w:t>
            </w:r>
          </w:p>
        </w:tc>
      </w:tr>
      <w:tr>
        <w:trPr>
          <w:trHeight w:val="455" w:hRule="atLeast"/>
        </w:trPr>
        <w:tc>
          <w:tcPr>
            <w:tcW w:w="938" w:type="dxa"/>
          </w:tcPr>
          <w:p>
            <w:pPr>
              <w:pStyle w:val="TableParagraph"/>
              <w:spacing w:before="111"/>
              <w:ind w:left="69"/>
              <w:rPr>
                <w:b/>
                <w:sz w:val="20"/>
              </w:rPr>
            </w:pPr>
            <w:r>
              <w:rPr>
                <w:b/>
                <w:spacing w:val="-2"/>
                <w:sz w:val="20"/>
              </w:rPr>
              <w:t>1.2.7.</w:t>
            </w:r>
          </w:p>
        </w:tc>
        <w:tc>
          <w:tcPr>
            <w:tcW w:w="3502" w:type="dxa"/>
          </w:tcPr>
          <w:p>
            <w:pPr>
              <w:pStyle w:val="TableParagraph"/>
              <w:spacing w:line="227" w:lineRule="exact"/>
              <w:ind w:left="69"/>
              <w:rPr>
                <w:b/>
                <w:sz w:val="20"/>
              </w:rPr>
            </w:pPr>
            <w:r>
              <w:rPr>
                <w:b/>
                <w:sz w:val="20"/>
              </w:rPr>
              <w:t>Inversiones</w:t>
            </w:r>
            <w:r>
              <w:rPr>
                <w:b/>
                <w:spacing w:val="-7"/>
                <w:sz w:val="20"/>
              </w:rPr>
              <w:t> </w:t>
            </w:r>
            <w:r>
              <w:rPr>
                <w:b/>
                <w:sz w:val="20"/>
              </w:rPr>
              <w:t>patrimoniales</w:t>
            </w:r>
            <w:r>
              <w:rPr>
                <w:b/>
                <w:spacing w:val="-5"/>
                <w:sz w:val="20"/>
              </w:rPr>
              <w:t> </w:t>
            </w:r>
            <w:r>
              <w:rPr>
                <w:b/>
                <w:sz w:val="20"/>
              </w:rPr>
              <w:t>-</w:t>
            </w:r>
            <w:r>
              <w:rPr>
                <w:b/>
                <w:spacing w:val="-6"/>
                <w:sz w:val="20"/>
              </w:rPr>
              <w:t> </w:t>
            </w:r>
            <w:r>
              <w:rPr>
                <w:b/>
                <w:sz w:val="20"/>
              </w:rPr>
              <w:t>Método</w:t>
            </w:r>
            <w:r>
              <w:rPr>
                <w:b/>
                <w:spacing w:val="-6"/>
                <w:sz w:val="20"/>
              </w:rPr>
              <w:t> </w:t>
            </w:r>
            <w:r>
              <w:rPr>
                <w:b/>
                <w:spacing w:val="-5"/>
                <w:sz w:val="20"/>
              </w:rPr>
              <w:t>de</w:t>
            </w:r>
          </w:p>
          <w:p>
            <w:pPr>
              <w:pStyle w:val="TableParagraph"/>
              <w:spacing w:line="209" w:lineRule="exact"/>
              <w:ind w:left="69"/>
              <w:rPr>
                <w:b/>
                <w:sz w:val="20"/>
              </w:rPr>
            </w:pPr>
            <w:r>
              <w:rPr>
                <w:b/>
                <w:spacing w:val="-2"/>
                <w:sz w:val="20"/>
              </w:rPr>
              <w:t>participación</w:t>
            </w:r>
          </w:p>
        </w:tc>
        <w:tc>
          <w:tcPr>
            <w:tcW w:w="566" w:type="dxa"/>
          </w:tcPr>
          <w:p>
            <w:pPr>
              <w:pStyle w:val="TableParagraph"/>
              <w:spacing w:before="111"/>
              <w:ind w:left="185"/>
              <w:rPr>
                <w:b/>
                <w:sz w:val="20"/>
              </w:rPr>
            </w:pPr>
            <w:r>
              <w:rPr>
                <w:b/>
                <w:spacing w:val="-5"/>
                <w:sz w:val="20"/>
              </w:rPr>
              <w:t>12</w:t>
            </w:r>
          </w:p>
        </w:tc>
        <w:tc>
          <w:tcPr>
            <w:tcW w:w="1354" w:type="dxa"/>
          </w:tcPr>
          <w:p>
            <w:pPr>
              <w:pStyle w:val="TableParagraph"/>
              <w:spacing w:before="111"/>
              <w:ind w:left="111"/>
              <w:rPr>
                <w:b/>
                <w:sz w:val="20"/>
              </w:rPr>
            </w:pPr>
            <w:r>
              <w:rPr>
                <w:b/>
                <w:sz w:val="20"/>
              </w:rPr>
              <w:t>14</w:t>
            </w:r>
            <w:r>
              <w:rPr>
                <w:b/>
                <w:spacing w:val="-3"/>
                <w:sz w:val="20"/>
              </w:rPr>
              <w:t> </w:t>
            </w:r>
            <w:r>
              <w:rPr>
                <w:b/>
                <w:sz w:val="20"/>
              </w:rPr>
              <w:t>182</w:t>
            </w:r>
            <w:r>
              <w:rPr>
                <w:b/>
                <w:spacing w:val="-2"/>
                <w:sz w:val="20"/>
              </w:rPr>
              <w:t> 817,46</w:t>
            </w:r>
          </w:p>
        </w:tc>
        <w:tc>
          <w:tcPr>
            <w:tcW w:w="1442" w:type="dxa"/>
          </w:tcPr>
          <w:p>
            <w:pPr>
              <w:pStyle w:val="TableParagraph"/>
              <w:spacing w:before="111"/>
              <w:ind w:left="154"/>
              <w:rPr>
                <w:b/>
                <w:sz w:val="20"/>
              </w:rPr>
            </w:pPr>
            <w:r>
              <w:rPr>
                <w:b/>
                <w:sz w:val="20"/>
              </w:rPr>
              <w:t>13</w:t>
            </w:r>
            <w:r>
              <w:rPr>
                <w:b/>
                <w:spacing w:val="-3"/>
                <w:sz w:val="20"/>
              </w:rPr>
              <w:t> </w:t>
            </w:r>
            <w:r>
              <w:rPr>
                <w:b/>
                <w:sz w:val="20"/>
              </w:rPr>
              <w:t>782</w:t>
            </w:r>
            <w:r>
              <w:rPr>
                <w:b/>
                <w:spacing w:val="-2"/>
                <w:sz w:val="20"/>
              </w:rPr>
              <w:t> 817,46</w:t>
            </w:r>
          </w:p>
        </w:tc>
        <w:tc>
          <w:tcPr>
            <w:tcW w:w="1147" w:type="dxa"/>
          </w:tcPr>
          <w:p>
            <w:pPr>
              <w:pStyle w:val="TableParagraph"/>
              <w:spacing w:before="111"/>
              <w:ind w:left="21"/>
              <w:jc w:val="center"/>
              <w:rPr>
                <w:b/>
                <w:sz w:val="20"/>
              </w:rPr>
            </w:pPr>
            <w:r>
              <w:rPr>
                <w:b/>
                <w:spacing w:val="-2"/>
                <w:sz w:val="20"/>
              </w:rPr>
              <w:t>2,90%</w:t>
            </w:r>
          </w:p>
        </w:tc>
      </w:tr>
    </w:tbl>
    <w:p>
      <w:pPr>
        <w:pStyle w:val="Heading6"/>
        <w:spacing w:before="241"/>
        <w:ind w:left="622"/>
        <w:rPr>
          <w:b w:val="0"/>
        </w:rPr>
      </w:pPr>
      <w:r>
        <w:rPr>
          <w:spacing w:val="-2"/>
        </w:rPr>
        <w:t>Revelación</w:t>
      </w:r>
      <w:r>
        <w:rPr>
          <w:b w:val="0"/>
          <w:spacing w:val="-2"/>
        </w:rPr>
        <w:t>:</w:t>
      </w:r>
    </w:p>
    <w:p>
      <w:pPr>
        <w:pStyle w:val="BodyText"/>
        <w:spacing w:line="259" w:lineRule="auto" w:before="181"/>
        <w:ind w:left="622" w:right="974"/>
        <w:jc w:val="both"/>
      </w:pPr>
      <w:r>
        <w:rPr/>
        <w:t>La</w:t>
      </w:r>
      <w:r>
        <w:rPr>
          <w:spacing w:val="-14"/>
        </w:rPr>
        <w:t> </w:t>
      </w:r>
      <w:r>
        <w:rPr/>
        <w:t>cuenta</w:t>
      </w:r>
      <w:r>
        <w:rPr>
          <w:spacing w:val="-14"/>
        </w:rPr>
        <w:t> </w:t>
      </w:r>
      <w:r>
        <w:rPr/>
        <w:t>Inversiones</w:t>
      </w:r>
      <w:r>
        <w:rPr>
          <w:spacing w:val="-14"/>
        </w:rPr>
        <w:t> </w:t>
      </w:r>
      <w:r>
        <w:rPr/>
        <w:t>patrimoniales</w:t>
      </w:r>
      <w:r>
        <w:rPr>
          <w:spacing w:val="-13"/>
        </w:rPr>
        <w:t> </w:t>
      </w:r>
      <w:r>
        <w:rPr/>
        <w:t>-</w:t>
      </w:r>
      <w:r>
        <w:rPr>
          <w:spacing w:val="-14"/>
        </w:rPr>
        <w:t> </w:t>
      </w:r>
      <w:r>
        <w:rPr/>
        <w:t>Método</w:t>
      </w:r>
      <w:r>
        <w:rPr>
          <w:spacing w:val="-14"/>
        </w:rPr>
        <w:t> </w:t>
      </w:r>
      <w:r>
        <w:rPr/>
        <w:t>de</w:t>
      </w:r>
      <w:r>
        <w:rPr>
          <w:spacing w:val="-14"/>
        </w:rPr>
        <w:t> </w:t>
      </w:r>
      <w:r>
        <w:rPr/>
        <w:t>participación,</w:t>
      </w:r>
      <w:r>
        <w:rPr>
          <w:spacing w:val="-13"/>
        </w:rPr>
        <w:t> </w:t>
      </w:r>
      <w:r>
        <w:rPr/>
        <w:t>representa</w:t>
      </w:r>
      <w:r>
        <w:rPr>
          <w:spacing w:val="-14"/>
        </w:rPr>
        <w:t> </w:t>
      </w:r>
      <w:r>
        <w:rPr/>
        <w:t>el</w:t>
      </w:r>
      <w:r>
        <w:rPr>
          <w:spacing w:val="-14"/>
        </w:rPr>
        <w:t> </w:t>
      </w:r>
      <w:r>
        <w:rPr/>
        <w:t>7,11%</w:t>
      </w:r>
      <w:r>
        <w:rPr>
          <w:spacing w:val="-14"/>
        </w:rPr>
        <w:t> </w:t>
      </w:r>
      <w:r>
        <w:rPr/>
        <w:t>del</w:t>
      </w:r>
      <w:r>
        <w:rPr>
          <w:spacing w:val="-13"/>
        </w:rPr>
        <w:t> </w:t>
      </w:r>
      <w:r>
        <w:rPr/>
        <w:t>total</w:t>
      </w:r>
      <w:r>
        <w:rPr>
          <w:spacing w:val="-14"/>
        </w:rPr>
        <w:t> </w:t>
      </w:r>
      <w:r>
        <w:rPr/>
        <w:t>del</w:t>
      </w:r>
      <w:r>
        <w:rPr>
          <w:spacing w:val="-14"/>
        </w:rPr>
        <w:t> </w:t>
      </w:r>
      <w:r>
        <w:rPr/>
        <w:t>Activo, que comparado al periodo anterior genera una variación absoluta de ¢400.000 que corresponde a un 2,90%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37504">
                <wp:simplePos x="0" y="0"/>
                <wp:positionH relativeFrom="page">
                  <wp:posOffset>1080820</wp:posOffset>
                </wp:positionH>
                <wp:positionV relativeFrom="paragraph">
                  <wp:posOffset>233235</wp:posOffset>
                </wp:positionV>
                <wp:extent cx="5715000" cy="2352040"/>
                <wp:effectExtent l="0" t="0" r="0" b="0"/>
                <wp:wrapTopAndBottom/>
                <wp:docPr id="312" name="Textbox 312"/>
                <wp:cNvGraphicFramePr>
                  <a:graphicFrameLocks/>
                </wp:cNvGraphicFramePr>
                <a:graphic>
                  <a:graphicData uri="http://schemas.microsoft.com/office/word/2010/wordprocessingShape">
                    <wps:wsp>
                      <wps:cNvPr id="312" name="Textbox 312"/>
                      <wps:cNvSpPr txBox="1"/>
                      <wps:spPr>
                        <a:xfrm>
                          <a:off x="0" y="0"/>
                          <a:ext cx="5715000" cy="235204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8"/>
                              <w:jc w:val="both"/>
                            </w:pPr>
                            <w:r>
                              <w:rPr/>
                              <w:t>Corresponde</w:t>
                            </w:r>
                            <w:r>
                              <w:rPr>
                                <w:spacing w:val="-7"/>
                              </w:rPr>
                              <w:t> </w:t>
                            </w:r>
                            <w:r>
                              <w:rPr/>
                              <w:t>a</w:t>
                            </w:r>
                            <w:r>
                              <w:rPr>
                                <w:spacing w:val="-6"/>
                              </w:rPr>
                              <w:t> </w:t>
                            </w:r>
                            <w:r>
                              <w:rPr/>
                              <w:t>los</w:t>
                            </w:r>
                            <w:r>
                              <w:rPr>
                                <w:spacing w:val="-5"/>
                              </w:rPr>
                              <w:t> </w:t>
                            </w:r>
                            <w:r>
                              <w:rPr/>
                              <w:t>recursos</w:t>
                            </w:r>
                            <w:r>
                              <w:rPr>
                                <w:spacing w:val="-7"/>
                              </w:rPr>
                              <w:t> </w:t>
                            </w:r>
                            <w:r>
                              <w:rPr/>
                              <w:t>aportado</w:t>
                            </w:r>
                            <w:r>
                              <w:rPr>
                                <w:spacing w:val="-5"/>
                              </w:rPr>
                              <w:t> </w:t>
                            </w:r>
                            <w:r>
                              <w:rPr/>
                              <w:t>para</w:t>
                            </w:r>
                            <w:r>
                              <w:rPr>
                                <w:spacing w:val="-6"/>
                              </w:rPr>
                              <w:t> </w:t>
                            </w:r>
                            <w:r>
                              <w:rPr/>
                              <w:t>el</w:t>
                            </w:r>
                            <w:r>
                              <w:rPr>
                                <w:spacing w:val="-6"/>
                              </w:rPr>
                              <w:t> </w:t>
                            </w:r>
                            <w:r>
                              <w:rPr/>
                              <w:t>FIDEICOMISO</w:t>
                            </w:r>
                            <w:r>
                              <w:rPr>
                                <w:spacing w:val="-5"/>
                              </w:rPr>
                              <w:t> </w:t>
                            </w:r>
                            <w:r>
                              <w:rPr/>
                              <w:t>BCR-IMAS-BANACIO/73-2002</w:t>
                            </w:r>
                            <w:r>
                              <w:rPr>
                                <w:spacing w:val="-7"/>
                              </w:rPr>
                              <w:t> </w:t>
                            </w:r>
                            <w:r>
                              <w:rPr/>
                              <w:t>en</w:t>
                            </w:r>
                            <w:r>
                              <w:rPr>
                                <w:spacing w:val="-5"/>
                              </w:rPr>
                              <w:t> </w:t>
                            </w:r>
                            <w:r>
                              <w:rPr/>
                              <w:t>el cual el IMAS aporta recursos desde el 20 de diciembre del 2002. El convenio fue aprobado por el Consejo</w:t>
                            </w:r>
                            <w:r>
                              <w:rPr>
                                <w:spacing w:val="-4"/>
                              </w:rPr>
                              <w:t> </w:t>
                            </w:r>
                            <w:r>
                              <w:rPr/>
                              <w:t>Directivo</w:t>
                            </w:r>
                            <w:r>
                              <w:rPr>
                                <w:spacing w:val="-4"/>
                              </w:rPr>
                              <w:t> </w:t>
                            </w:r>
                            <w:r>
                              <w:rPr/>
                              <w:t>del</w:t>
                            </w:r>
                            <w:r>
                              <w:rPr>
                                <w:spacing w:val="-5"/>
                              </w:rPr>
                              <w:t> </w:t>
                            </w:r>
                            <w:r>
                              <w:rPr/>
                              <w:t>IMAS,</w:t>
                            </w:r>
                            <w:r>
                              <w:rPr>
                                <w:spacing w:val="-5"/>
                              </w:rPr>
                              <w:t> </w:t>
                            </w:r>
                            <w:r>
                              <w:rPr/>
                              <w:t>ACD</w:t>
                            </w:r>
                            <w:r>
                              <w:rPr>
                                <w:spacing w:val="-5"/>
                              </w:rPr>
                              <w:t> </w:t>
                            </w:r>
                            <w:r>
                              <w:rPr/>
                              <w:t>011-2002,</w:t>
                            </w:r>
                            <w:r>
                              <w:rPr>
                                <w:spacing w:val="-5"/>
                              </w:rPr>
                              <w:t> </w:t>
                            </w:r>
                            <w:r>
                              <w:rPr/>
                              <w:t>artículo</w:t>
                            </w:r>
                            <w:r>
                              <w:rPr>
                                <w:spacing w:val="-4"/>
                              </w:rPr>
                              <w:t> </w:t>
                            </w:r>
                            <w:r>
                              <w:rPr/>
                              <w:t>5</w:t>
                            </w:r>
                            <w:r>
                              <w:rPr>
                                <w:spacing w:val="-5"/>
                              </w:rPr>
                              <w:t> </w:t>
                            </w:r>
                            <w:r>
                              <w:rPr/>
                              <w:t>de</w:t>
                            </w:r>
                            <w:r>
                              <w:rPr>
                                <w:spacing w:val="-6"/>
                              </w:rPr>
                              <w:t> </w:t>
                            </w:r>
                            <w:r>
                              <w:rPr/>
                              <w:t>acta</w:t>
                            </w:r>
                            <w:r>
                              <w:rPr>
                                <w:spacing w:val="-6"/>
                              </w:rPr>
                              <w:t> </w:t>
                            </w:r>
                            <w:r>
                              <w:rPr/>
                              <w:t>03-2002</w:t>
                            </w:r>
                            <w:r>
                              <w:rPr>
                                <w:spacing w:val="-5"/>
                              </w:rPr>
                              <w:t> </w:t>
                            </w:r>
                            <w:r>
                              <w:rPr/>
                              <w:t>del</w:t>
                            </w:r>
                            <w:r>
                              <w:rPr>
                                <w:spacing w:val="-2"/>
                              </w:rPr>
                              <w:t> </w:t>
                            </w:r>
                            <w:r>
                              <w:rPr/>
                              <w:t>16</w:t>
                            </w:r>
                            <w:r>
                              <w:rPr>
                                <w:spacing w:val="-6"/>
                              </w:rPr>
                              <w:t> </w:t>
                            </w:r>
                            <w:r>
                              <w:rPr/>
                              <w:t>de</w:t>
                            </w:r>
                            <w:r>
                              <w:rPr>
                                <w:spacing w:val="-2"/>
                              </w:rPr>
                              <w:t> </w:t>
                            </w:r>
                            <w:r>
                              <w:rPr/>
                              <w:t>enero</w:t>
                            </w:r>
                            <w:r>
                              <w:rPr>
                                <w:spacing w:val="-4"/>
                              </w:rPr>
                              <w:t> </w:t>
                            </w:r>
                            <w:r>
                              <w:rPr/>
                              <w:t>del</w:t>
                            </w:r>
                            <w:r>
                              <w:rPr>
                                <w:spacing w:val="-5"/>
                              </w:rPr>
                              <w:t> </w:t>
                            </w:r>
                            <w:r>
                              <w:rPr/>
                              <w:t>2002.</w:t>
                            </w:r>
                            <w:r>
                              <w:rPr>
                                <w:spacing w:val="-4"/>
                              </w:rPr>
                              <w:t> </w:t>
                            </w:r>
                            <w:r>
                              <w:rPr/>
                              <w:t>El convenio</w:t>
                            </w:r>
                            <w:r>
                              <w:rPr>
                                <w:spacing w:val="-5"/>
                              </w:rPr>
                              <w:t> </w:t>
                            </w:r>
                            <w:r>
                              <w:rPr/>
                              <w:t>fue</w:t>
                            </w:r>
                            <w:r>
                              <w:rPr>
                                <w:spacing w:val="-6"/>
                              </w:rPr>
                              <w:t> </w:t>
                            </w:r>
                            <w:r>
                              <w:rPr/>
                              <w:t>refrendado</w:t>
                            </w:r>
                            <w:r>
                              <w:rPr>
                                <w:spacing w:val="-5"/>
                              </w:rPr>
                              <w:t> </w:t>
                            </w:r>
                            <w:r>
                              <w:rPr/>
                              <w:t>por</w:t>
                            </w:r>
                            <w:r>
                              <w:rPr>
                                <w:spacing w:val="-5"/>
                              </w:rPr>
                              <w:t> </w:t>
                            </w:r>
                            <w:r>
                              <w:rPr/>
                              <w:t>la</w:t>
                            </w:r>
                            <w:r>
                              <w:rPr>
                                <w:spacing w:val="-6"/>
                              </w:rPr>
                              <w:t> </w:t>
                            </w:r>
                            <w:r>
                              <w:rPr/>
                              <w:t>Contraloría</w:t>
                            </w:r>
                            <w:r>
                              <w:rPr>
                                <w:spacing w:val="-6"/>
                              </w:rPr>
                              <w:t> </w:t>
                            </w:r>
                            <w:r>
                              <w:rPr/>
                              <w:t>General</w:t>
                            </w:r>
                            <w:r>
                              <w:rPr>
                                <w:spacing w:val="-6"/>
                              </w:rPr>
                              <w:t> </w:t>
                            </w:r>
                            <w:r>
                              <w:rPr/>
                              <w:t>de</w:t>
                            </w:r>
                            <w:r>
                              <w:rPr>
                                <w:spacing w:val="-7"/>
                              </w:rPr>
                              <w:t> </w:t>
                            </w:r>
                            <w:r>
                              <w:rPr/>
                              <w:t>la</w:t>
                            </w:r>
                            <w:r>
                              <w:rPr>
                                <w:spacing w:val="-6"/>
                              </w:rPr>
                              <w:t> </w:t>
                            </w:r>
                            <w:r>
                              <w:rPr/>
                              <w:t>República,</w:t>
                            </w:r>
                            <w:r>
                              <w:rPr>
                                <w:spacing w:val="-5"/>
                              </w:rPr>
                              <w:t> </w:t>
                            </w:r>
                            <w:r>
                              <w:rPr/>
                              <w:t>el</w:t>
                            </w:r>
                            <w:r>
                              <w:rPr>
                                <w:spacing w:val="-6"/>
                              </w:rPr>
                              <w:t> </w:t>
                            </w:r>
                            <w:r>
                              <w:rPr/>
                              <w:t>26</w:t>
                            </w:r>
                            <w:r>
                              <w:rPr>
                                <w:spacing w:val="-6"/>
                              </w:rPr>
                              <w:t> </w:t>
                            </w:r>
                            <w:r>
                              <w:rPr/>
                              <w:t>de</w:t>
                            </w:r>
                            <w:r>
                              <w:rPr>
                                <w:spacing w:val="-6"/>
                              </w:rPr>
                              <w:t> </w:t>
                            </w:r>
                            <w:r>
                              <w:rPr/>
                              <w:t>abril</w:t>
                            </w:r>
                            <w:r>
                              <w:rPr>
                                <w:spacing w:val="-6"/>
                              </w:rPr>
                              <w:t> </w:t>
                            </w:r>
                            <w:r>
                              <w:rPr/>
                              <w:t>del</w:t>
                            </w:r>
                            <w:r>
                              <w:rPr>
                                <w:spacing w:val="-6"/>
                              </w:rPr>
                              <w:t> </w:t>
                            </w:r>
                            <w:r>
                              <w:rPr/>
                              <w:t>2002</w:t>
                            </w:r>
                            <w:r>
                              <w:rPr>
                                <w:spacing w:val="-4"/>
                              </w:rPr>
                              <w:t> </w:t>
                            </w:r>
                            <w:r>
                              <w:rPr/>
                              <w:t>en</w:t>
                            </w:r>
                            <w:r>
                              <w:rPr>
                                <w:spacing w:val="-5"/>
                              </w:rPr>
                              <w:t> </w:t>
                            </w:r>
                            <w:r>
                              <w:rPr/>
                              <w:t>el</w:t>
                            </w:r>
                            <w:r>
                              <w:rPr>
                                <w:spacing w:val="-6"/>
                              </w:rPr>
                              <w:t> </w:t>
                            </w:r>
                            <w:r>
                              <w:rPr/>
                              <w:t>cual el IMAS era el fideicomitente y fideicomisario principal, el BCAC es el fiduciario y el BNCR es el fideicomisario</w:t>
                            </w:r>
                            <w:r>
                              <w:rPr>
                                <w:spacing w:val="-6"/>
                              </w:rPr>
                              <w:t> </w:t>
                            </w:r>
                            <w:r>
                              <w:rPr/>
                              <w:t>garantizado.</w:t>
                            </w:r>
                            <w:r>
                              <w:rPr>
                                <w:spacing w:val="-8"/>
                              </w:rPr>
                              <w:t> </w:t>
                            </w:r>
                            <w:r>
                              <w:rPr/>
                              <w:t>Por</w:t>
                            </w:r>
                            <w:r>
                              <w:rPr>
                                <w:spacing w:val="-5"/>
                              </w:rPr>
                              <w:t> </w:t>
                            </w:r>
                            <w:r>
                              <w:rPr/>
                              <w:t>el</w:t>
                            </w:r>
                            <w:r>
                              <w:rPr>
                                <w:spacing w:val="-5"/>
                              </w:rPr>
                              <w:t> </w:t>
                            </w:r>
                            <w:r>
                              <w:rPr/>
                              <w:t>cierre</w:t>
                            </w:r>
                            <w:r>
                              <w:rPr>
                                <w:spacing w:val="-6"/>
                              </w:rPr>
                              <w:t> </w:t>
                            </w:r>
                            <w:r>
                              <w:rPr/>
                              <w:t>de</w:t>
                            </w:r>
                            <w:r>
                              <w:rPr>
                                <w:spacing w:val="-9"/>
                              </w:rPr>
                              <w:t> </w:t>
                            </w:r>
                            <w:r>
                              <w:rPr/>
                              <w:t>operaciones</w:t>
                            </w:r>
                            <w:r>
                              <w:rPr>
                                <w:spacing w:val="-6"/>
                              </w:rPr>
                              <w:t> </w:t>
                            </w:r>
                            <w:r>
                              <w:rPr/>
                              <w:t>del</w:t>
                            </w:r>
                            <w:r>
                              <w:rPr>
                                <w:spacing w:val="-5"/>
                              </w:rPr>
                              <w:t> </w:t>
                            </w:r>
                            <w:r>
                              <w:rPr/>
                              <w:t>BCAC</w:t>
                            </w:r>
                            <w:r>
                              <w:rPr>
                                <w:spacing w:val="-6"/>
                              </w:rPr>
                              <w:t> </w:t>
                            </w:r>
                            <w:r>
                              <w:rPr/>
                              <w:t>se</w:t>
                            </w:r>
                            <w:r>
                              <w:rPr>
                                <w:spacing w:val="-6"/>
                              </w:rPr>
                              <w:t> </w:t>
                            </w:r>
                            <w:r>
                              <w:rPr/>
                              <w:t>realiza</w:t>
                            </w:r>
                            <w:r>
                              <w:rPr>
                                <w:spacing w:val="-5"/>
                              </w:rPr>
                              <w:t> </w:t>
                            </w:r>
                            <w:r>
                              <w:rPr/>
                              <w:t>un</w:t>
                            </w:r>
                            <w:r>
                              <w:rPr>
                                <w:spacing w:val="-7"/>
                              </w:rPr>
                              <w:t> </w:t>
                            </w:r>
                            <w:r>
                              <w:rPr/>
                              <w:t>nuevo</w:t>
                            </w:r>
                            <w:r>
                              <w:rPr>
                                <w:spacing w:val="-4"/>
                              </w:rPr>
                              <w:t> </w:t>
                            </w:r>
                            <w:r>
                              <w:rPr/>
                              <w:t>contrato</w:t>
                            </w:r>
                            <w:r>
                              <w:rPr>
                                <w:spacing w:val="-4"/>
                              </w:rPr>
                              <w:t> </w:t>
                            </w:r>
                            <w:r>
                              <w:rPr/>
                              <w:t>con</w:t>
                            </w:r>
                            <w:r>
                              <w:rPr>
                                <w:spacing w:val="-7"/>
                              </w:rPr>
                              <w:t> </w:t>
                            </w:r>
                            <w:r>
                              <w:rPr/>
                              <w:t># 034-2018-CI-07-A de sustitución del fiduciario por el BCR. El propósito inmediato del Fideicomiso es lograr que las mujeres y familias en condiciones de pobreza alcancen un desarrollo social y económico sostenibles, mediante el acceso a servicios financieros (préstamos) y no financieros (capacitación, asistencia técnica), para fortalecer sus actividades productivas.</w:t>
                            </w:r>
                          </w:p>
                          <w:p>
                            <w:pPr>
                              <w:pStyle w:val="BodyText"/>
                            </w:pPr>
                          </w:p>
                          <w:p>
                            <w:pPr>
                              <w:pStyle w:val="BodyText"/>
                              <w:ind w:left="103"/>
                              <w:jc w:val="both"/>
                            </w:pPr>
                            <w:r>
                              <w:rPr/>
                              <w:t>El</w:t>
                            </w:r>
                            <w:r>
                              <w:rPr>
                                <w:spacing w:val="-6"/>
                              </w:rPr>
                              <w:t> </w:t>
                            </w:r>
                            <w:r>
                              <w:rPr/>
                              <w:t>fideicomiso</w:t>
                            </w:r>
                            <w:r>
                              <w:rPr>
                                <w:spacing w:val="-5"/>
                              </w:rPr>
                              <w:t> </w:t>
                            </w:r>
                            <w:r>
                              <w:rPr/>
                              <w:t>se</w:t>
                            </w:r>
                            <w:r>
                              <w:rPr>
                                <w:spacing w:val="-4"/>
                              </w:rPr>
                              <w:t> </w:t>
                            </w:r>
                            <w:r>
                              <w:rPr/>
                              <w:t>clasificado</w:t>
                            </w:r>
                            <w:r>
                              <w:rPr>
                                <w:spacing w:val="-5"/>
                              </w:rPr>
                              <w:t> </w:t>
                            </w:r>
                            <w:r>
                              <w:rPr/>
                              <w:t>por</w:t>
                            </w:r>
                            <w:r>
                              <w:rPr>
                                <w:spacing w:val="-3"/>
                              </w:rPr>
                              <w:t> </w:t>
                            </w:r>
                            <w:r>
                              <w:rPr/>
                              <w:t>la</w:t>
                            </w:r>
                            <w:r>
                              <w:rPr>
                                <w:spacing w:val="-4"/>
                              </w:rPr>
                              <w:t> </w:t>
                            </w:r>
                            <w:r>
                              <w:rPr/>
                              <w:t>Contraloría</w:t>
                            </w:r>
                            <w:r>
                              <w:rPr>
                                <w:spacing w:val="-4"/>
                              </w:rPr>
                              <w:t> </w:t>
                            </w:r>
                            <w:r>
                              <w:rPr/>
                              <w:t>General</w:t>
                            </w:r>
                            <w:r>
                              <w:rPr>
                                <w:spacing w:val="-3"/>
                              </w:rPr>
                              <w:t> </w:t>
                            </w:r>
                            <w:r>
                              <w:rPr/>
                              <w:t>de</w:t>
                            </w:r>
                            <w:r>
                              <w:rPr>
                                <w:spacing w:val="-4"/>
                              </w:rPr>
                              <w:t> </w:t>
                            </w:r>
                            <w:r>
                              <w:rPr/>
                              <w:t>la</w:t>
                            </w:r>
                            <w:r>
                              <w:rPr>
                                <w:spacing w:val="-5"/>
                              </w:rPr>
                              <w:t> </w:t>
                            </w:r>
                            <w:r>
                              <w:rPr/>
                              <w:t>República</w:t>
                            </w:r>
                            <w:r>
                              <w:rPr>
                                <w:spacing w:val="-4"/>
                              </w:rPr>
                              <w:t> </w:t>
                            </w:r>
                            <w:r>
                              <w:rPr/>
                              <w:t>como</w:t>
                            </w:r>
                            <w:r>
                              <w:rPr>
                                <w:spacing w:val="-3"/>
                              </w:rPr>
                              <w:t> </w:t>
                            </w:r>
                            <w:r>
                              <w:rPr/>
                              <w:t>de</w:t>
                            </w:r>
                            <w:r>
                              <w:rPr>
                                <w:spacing w:val="-5"/>
                              </w:rPr>
                              <w:t> </w:t>
                            </w:r>
                            <w:r>
                              <w:rPr>
                                <w:spacing w:val="-2"/>
                              </w:rPr>
                              <w:t>Administración.</w:t>
                            </w:r>
                          </w:p>
                        </w:txbxContent>
                      </wps:txbx>
                      <wps:bodyPr wrap="square" lIns="0" tIns="0" rIns="0" bIns="0" rtlCol="0">
                        <a:noAutofit/>
                      </wps:bodyPr>
                    </wps:wsp>
                  </a:graphicData>
                </a:graphic>
              </wp:anchor>
            </w:drawing>
          </mc:Choice>
          <mc:Fallback>
            <w:pict>
              <v:shape style="position:absolute;margin-left:85.103996pt;margin-top:18.36503pt;width:450pt;height:185.2pt;mso-position-horizontal-relative:page;mso-position-vertical-relative:paragraph;z-index:-15678976;mso-wrap-distance-left:0;mso-wrap-distance-right:0" type="#_x0000_t202" id="docshape29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8"/>
                        <w:jc w:val="both"/>
                      </w:pPr>
                      <w:r>
                        <w:rPr/>
                        <w:t>Corresponde</w:t>
                      </w:r>
                      <w:r>
                        <w:rPr>
                          <w:spacing w:val="-7"/>
                        </w:rPr>
                        <w:t> </w:t>
                      </w:r>
                      <w:r>
                        <w:rPr/>
                        <w:t>a</w:t>
                      </w:r>
                      <w:r>
                        <w:rPr>
                          <w:spacing w:val="-6"/>
                        </w:rPr>
                        <w:t> </w:t>
                      </w:r>
                      <w:r>
                        <w:rPr/>
                        <w:t>los</w:t>
                      </w:r>
                      <w:r>
                        <w:rPr>
                          <w:spacing w:val="-5"/>
                        </w:rPr>
                        <w:t> </w:t>
                      </w:r>
                      <w:r>
                        <w:rPr/>
                        <w:t>recursos</w:t>
                      </w:r>
                      <w:r>
                        <w:rPr>
                          <w:spacing w:val="-7"/>
                        </w:rPr>
                        <w:t> </w:t>
                      </w:r>
                      <w:r>
                        <w:rPr/>
                        <w:t>aportado</w:t>
                      </w:r>
                      <w:r>
                        <w:rPr>
                          <w:spacing w:val="-5"/>
                        </w:rPr>
                        <w:t> </w:t>
                      </w:r>
                      <w:r>
                        <w:rPr/>
                        <w:t>para</w:t>
                      </w:r>
                      <w:r>
                        <w:rPr>
                          <w:spacing w:val="-6"/>
                        </w:rPr>
                        <w:t> </w:t>
                      </w:r>
                      <w:r>
                        <w:rPr/>
                        <w:t>el</w:t>
                      </w:r>
                      <w:r>
                        <w:rPr>
                          <w:spacing w:val="-6"/>
                        </w:rPr>
                        <w:t> </w:t>
                      </w:r>
                      <w:r>
                        <w:rPr/>
                        <w:t>FIDEICOMISO</w:t>
                      </w:r>
                      <w:r>
                        <w:rPr>
                          <w:spacing w:val="-5"/>
                        </w:rPr>
                        <w:t> </w:t>
                      </w:r>
                      <w:r>
                        <w:rPr/>
                        <w:t>BCR-IMAS-BANACIO/73-2002</w:t>
                      </w:r>
                      <w:r>
                        <w:rPr>
                          <w:spacing w:val="-7"/>
                        </w:rPr>
                        <w:t> </w:t>
                      </w:r>
                      <w:r>
                        <w:rPr/>
                        <w:t>en</w:t>
                      </w:r>
                      <w:r>
                        <w:rPr>
                          <w:spacing w:val="-5"/>
                        </w:rPr>
                        <w:t> </w:t>
                      </w:r>
                      <w:r>
                        <w:rPr/>
                        <w:t>el cual el IMAS aporta recursos desde el 20 de diciembre del 2002. El convenio fue aprobado por el Consejo</w:t>
                      </w:r>
                      <w:r>
                        <w:rPr>
                          <w:spacing w:val="-4"/>
                        </w:rPr>
                        <w:t> </w:t>
                      </w:r>
                      <w:r>
                        <w:rPr/>
                        <w:t>Directivo</w:t>
                      </w:r>
                      <w:r>
                        <w:rPr>
                          <w:spacing w:val="-4"/>
                        </w:rPr>
                        <w:t> </w:t>
                      </w:r>
                      <w:r>
                        <w:rPr/>
                        <w:t>del</w:t>
                      </w:r>
                      <w:r>
                        <w:rPr>
                          <w:spacing w:val="-5"/>
                        </w:rPr>
                        <w:t> </w:t>
                      </w:r>
                      <w:r>
                        <w:rPr/>
                        <w:t>IMAS,</w:t>
                      </w:r>
                      <w:r>
                        <w:rPr>
                          <w:spacing w:val="-5"/>
                        </w:rPr>
                        <w:t> </w:t>
                      </w:r>
                      <w:r>
                        <w:rPr/>
                        <w:t>ACD</w:t>
                      </w:r>
                      <w:r>
                        <w:rPr>
                          <w:spacing w:val="-5"/>
                        </w:rPr>
                        <w:t> </w:t>
                      </w:r>
                      <w:r>
                        <w:rPr/>
                        <w:t>011-2002,</w:t>
                      </w:r>
                      <w:r>
                        <w:rPr>
                          <w:spacing w:val="-5"/>
                        </w:rPr>
                        <w:t> </w:t>
                      </w:r>
                      <w:r>
                        <w:rPr/>
                        <w:t>artículo</w:t>
                      </w:r>
                      <w:r>
                        <w:rPr>
                          <w:spacing w:val="-4"/>
                        </w:rPr>
                        <w:t> </w:t>
                      </w:r>
                      <w:r>
                        <w:rPr/>
                        <w:t>5</w:t>
                      </w:r>
                      <w:r>
                        <w:rPr>
                          <w:spacing w:val="-5"/>
                        </w:rPr>
                        <w:t> </w:t>
                      </w:r>
                      <w:r>
                        <w:rPr/>
                        <w:t>de</w:t>
                      </w:r>
                      <w:r>
                        <w:rPr>
                          <w:spacing w:val="-6"/>
                        </w:rPr>
                        <w:t> </w:t>
                      </w:r>
                      <w:r>
                        <w:rPr/>
                        <w:t>acta</w:t>
                      </w:r>
                      <w:r>
                        <w:rPr>
                          <w:spacing w:val="-6"/>
                        </w:rPr>
                        <w:t> </w:t>
                      </w:r>
                      <w:r>
                        <w:rPr/>
                        <w:t>03-2002</w:t>
                      </w:r>
                      <w:r>
                        <w:rPr>
                          <w:spacing w:val="-5"/>
                        </w:rPr>
                        <w:t> </w:t>
                      </w:r>
                      <w:r>
                        <w:rPr/>
                        <w:t>del</w:t>
                      </w:r>
                      <w:r>
                        <w:rPr>
                          <w:spacing w:val="-2"/>
                        </w:rPr>
                        <w:t> </w:t>
                      </w:r>
                      <w:r>
                        <w:rPr/>
                        <w:t>16</w:t>
                      </w:r>
                      <w:r>
                        <w:rPr>
                          <w:spacing w:val="-6"/>
                        </w:rPr>
                        <w:t> </w:t>
                      </w:r>
                      <w:r>
                        <w:rPr/>
                        <w:t>de</w:t>
                      </w:r>
                      <w:r>
                        <w:rPr>
                          <w:spacing w:val="-2"/>
                        </w:rPr>
                        <w:t> </w:t>
                      </w:r>
                      <w:r>
                        <w:rPr/>
                        <w:t>enero</w:t>
                      </w:r>
                      <w:r>
                        <w:rPr>
                          <w:spacing w:val="-4"/>
                        </w:rPr>
                        <w:t> </w:t>
                      </w:r>
                      <w:r>
                        <w:rPr/>
                        <w:t>del</w:t>
                      </w:r>
                      <w:r>
                        <w:rPr>
                          <w:spacing w:val="-5"/>
                        </w:rPr>
                        <w:t> </w:t>
                      </w:r>
                      <w:r>
                        <w:rPr/>
                        <w:t>2002.</w:t>
                      </w:r>
                      <w:r>
                        <w:rPr>
                          <w:spacing w:val="-4"/>
                        </w:rPr>
                        <w:t> </w:t>
                      </w:r>
                      <w:r>
                        <w:rPr/>
                        <w:t>El convenio</w:t>
                      </w:r>
                      <w:r>
                        <w:rPr>
                          <w:spacing w:val="-5"/>
                        </w:rPr>
                        <w:t> </w:t>
                      </w:r>
                      <w:r>
                        <w:rPr/>
                        <w:t>fue</w:t>
                      </w:r>
                      <w:r>
                        <w:rPr>
                          <w:spacing w:val="-6"/>
                        </w:rPr>
                        <w:t> </w:t>
                      </w:r>
                      <w:r>
                        <w:rPr/>
                        <w:t>refrendado</w:t>
                      </w:r>
                      <w:r>
                        <w:rPr>
                          <w:spacing w:val="-5"/>
                        </w:rPr>
                        <w:t> </w:t>
                      </w:r>
                      <w:r>
                        <w:rPr/>
                        <w:t>por</w:t>
                      </w:r>
                      <w:r>
                        <w:rPr>
                          <w:spacing w:val="-5"/>
                        </w:rPr>
                        <w:t> </w:t>
                      </w:r>
                      <w:r>
                        <w:rPr/>
                        <w:t>la</w:t>
                      </w:r>
                      <w:r>
                        <w:rPr>
                          <w:spacing w:val="-6"/>
                        </w:rPr>
                        <w:t> </w:t>
                      </w:r>
                      <w:r>
                        <w:rPr/>
                        <w:t>Contraloría</w:t>
                      </w:r>
                      <w:r>
                        <w:rPr>
                          <w:spacing w:val="-6"/>
                        </w:rPr>
                        <w:t> </w:t>
                      </w:r>
                      <w:r>
                        <w:rPr/>
                        <w:t>General</w:t>
                      </w:r>
                      <w:r>
                        <w:rPr>
                          <w:spacing w:val="-6"/>
                        </w:rPr>
                        <w:t> </w:t>
                      </w:r>
                      <w:r>
                        <w:rPr/>
                        <w:t>de</w:t>
                      </w:r>
                      <w:r>
                        <w:rPr>
                          <w:spacing w:val="-7"/>
                        </w:rPr>
                        <w:t> </w:t>
                      </w:r>
                      <w:r>
                        <w:rPr/>
                        <w:t>la</w:t>
                      </w:r>
                      <w:r>
                        <w:rPr>
                          <w:spacing w:val="-6"/>
                        </w:rPr>
                        <w:t> </w:t>
                      </w:r>
                      <w:r>
                        <w:rPr/>
                        <w:t>República,</w:t>
                      </w:r>
                      <w:r>
                        <w:rPr>
                          <w:spacing w:val="-5"/>
                        </w:rPr>
                        <w:t> </w:t>
                      </w:r>
                      <w:r>
                        <w:rPr/>
                        <w:t>el</w:t>
                      </w:r>
                      <w:r>
                        <w:rPr>
                          <w:spacing w:val="-6"/>
                        </w:rPr>
                        <w:t> </w:t>
                      </w:r>
                      <w:r>
                        <w:rPr/>
                        <w:t>26</w:t>
                      </w:r>
                      <w:r>
                        <w:rPr>
                          <w:spacing w:val="-6"/>
                        </w:rPr>
                        <w:t> </w:t>
                      </w:r>
                      <w:r>
                        <w:rPr/>
                        <w:t>de</w:t>
                      </w:r>
                      <w:r>
                        <w:rPr>
                          <w:spacing w:val="-6"/>
                        </w:rPr>
                        <w:t> </w:t>
                      </w:r>
                      <w:r>
                        <w:rPr/>
                        <w:t>abril</w:t>
                      </w:r>
                      <w:r>
                        <w:rPr>
                          <w:spacing w:val="-6"/>
                        </w:rPr>
                        <w:t> </w:t>
                      </w:r>
                      <w:r>
                        <w:rPr/>
                        <w:t>del</w:t>
                      </w:r>
                      <w:r>
                        <w:rPr>
                          <w:spacing w:val="-6"/>
                        </w:rPr>
                        <w:t> </w:t>
                      </w:r>
                      <w:r>
                        <w:rPr/>
                        <w:t>2002</w:t>
                      </w:r>
                      <w:r>
                        <w:rPr>
                          <w:spacing w:val="-4"/>
                        </w:rPr>
                        <w:t> </w:t>
                      </w:r>
                      <w:r>
                        <w:rPr/>
                        <w:t>en</w:t>
                      </w:r>
                      <w:r>
                        <w:rPr>
                          <w:spacing w:val="-5"/>
                        </w:rPr>
                        <w:t> </w:t>
                      </w:r>
                      <w:r>
                        <w:rPr/>
                        <w:t>el</w:t>
                      </w:r>
                      <w:r>
                        <w:rPr>
                          <w:spacing w:val="-6"/>
                        </w:rPr>
                        <w:t> </w:t>
                      </w:r>
                      <w:r>
                        <w:rPr/>
                        <w:t>cual el IMAS era el fideicomitente y fideicomisario principal, el BCAC es el fiduciario y el BNCR es el fideicomisario</w:t>
                      </w:r>
                      <w:r>
                        <w:rPr>
                          <w:spacing w:val="-6"/>
                        </w:rPr>
                        <w:t> </w:t>
                      </w:r>
                      <w:r>
                        <w:rPr/>
                        <w:t>garantizado.</w:t>
                      </w:r>
                      <w:r>
                        <w:rPr>
                          <w:spacing w:val="-8"/>
                        </w:rPr>
                        <w:t> </w:t>
                      </w:r>
                      <w:r>
                        <w:rPr/>
                        <w:t>Por</w:t>
                      </w:r>
                      <w:r>
                        <w:rPr>
                          <w:spacing w:val="-5"/>
                        </w:rPr>
                        <w:t> </w:t>
                      </w:r>
                      <w:r>
                        <w:rPr/>
                        <w:t>el</w:t>
                      </w:r>
                      <w:r>
                        <w:rPr>
                          <w:spacing w:val="-5"/>
                        </w:rPr>
                        <w:t> </w:t>
                      </w:r>
                      <w:r>
                        <w:rPr/>
                        <w:t>cierre</w:t>
                      </w:r>
                      <w:r>
                        <w:rPr>
                          <w:spacing w:val="-6"/>
                        </w:rPr>
                        <w:t> </w:t>
                      </w:r>
                      <w:r>
                        <w:rPr/>
                        <w:t>de</w:t>
                      </w:r>
                      <w:r>
                        <w:rPr>
                          <w:spacing w:val="-9"/>
                        </w:rPr>
                        <w:t> </w:t>
                      </w:r>
                      <w:r>
                        <w:rPr/>
                        <w:t>operaciones</w:t>
                      </w:r>
                      <w:r>
                        <w:rPr>
                          <w:spacing w:val="-6"/>
                        </w:rPr>
                        <w:t> </w:t>
                      </w:r>
                      <w:r>
                        <w:rPr/>
                        <w:t>del</w:t>
                      </w:r>
                      <w:r>
                        <w:rPr>
                          <w:spacing w:val="-5"/>
                        </w:rPr>
                        <w:t> </w:t>
                      </w:r>
                      <w:r>
                        <w:rPr/>
                        <w:t>BCAC</w:t>
                      </w:r>
                      <w:r>
                        <w:rPr>
                          <w:spacing w:val="-6"/>
                        </w:rPr>
                        <w:t> </w:t>
                      </w:r>
                      <w:r>
                        <w:rPr/>
                        <w:t>se</w:t>
                      </w:r>
                      <w:r>
                        <w:rPr>
                          <w:spacing w:val="-6"/>
                        </w:rPr>
                        <w:t> </w:t>
                      </w:r>
                      <w:r>
                        <w:rPr/>
                        <w:t>realiza</w:t>
                      </w:r>
                      <w:r>
                        <w:rPr>
                          <w:spacing w:val="-5"/>
                        </w:rPr>
                        <w:t> </w:t>
                      </w:r>
                      <w:r>
                        <w:rPr/>
                        <w:t>un</w:t>
                      </w:r>
                      <w:r>
                        <w:rPr>
                          <w:spacing w:val="-7"/>
                        </w:rPr>
                        <w:t> </w:t>
                      </w:r>
                      <w:r>
                        <w:rPr/>
                        <w:t>nuevo</w:t>
                      </w:r>
                      <w:r>
                        <w:rPr>
                          <w:spacing w:val="-4"/>
                        </w:rPr>
                        <w:t> </w:t>
                      </w:r>
                      <w:r>
                        <w:rPr/>
                        <w:t>contrato</w:t>
                      </w:r>
                      <w:r>
                        <w:rPr>
                          <w:spacing w:val="-4"/>
                        </w:rPr>
                        <w:t> </w:t>
                      </w:r>
                      <w:r>
                        <w:rPr/>
                        <w:t>con</w:t>
                      </w:r>
                      <w:r>
                        <w:rPr>
                          <w:spacing w:val="-7"/>
                        </w:rPr>
                        <w:t> </w:t>
                      </w:r>
                      <w:r>
                        <w:rPr/>
                        <w:t># 034-2018-CI-07-A de sustitución del fiduciario por el BCR. El propósito inmediato del Fideicomiso es lograr que las mujeres y familias en condiciones de pobreza alcancen un desarrollo social y económico sostenibles, mediante el acceso a servicios financieros (préstamos) y no financieros (capacitación, asistencia técnica), para fortalecer sus actividades productivas.</w:t>
                      </w:r>
                    </w:p>
                    <w:p>
                      <w:pPr>
                        <w:pStyle w:val="BodyText"/>
                      </w:pPr>
                    </w:p>
                    <w:p>
                      <w:pPr>
                        <w:pStyle w:val="BodyText"/>
                        <w:ind w:left="103"/>
                        <w:jc w:val="both"/>
                      </w:pPr>
                      <w:r>
                        <w:rPr/>
                        <w:t>El</w:t>
                      </w:r>
                      <w:r>
                        <w:rPr>
                          <w:spacing w:val="-6"/>
                        </w:rPr>
                        <w:t> </w:t>
                      </w:r>
                      <w:r>
                        <w:rPr/>
                        <w:t>fideicomiso</w:t>
                      </w:r>
                      <w:r>
                        <w:rPr>
                          <w:spacing w:val="-5"/>
                        </w:rPr>
                        <w:t> </w:t>
                      </w:r>
                      <w:r>
                        <w:rPr/>
                        <w:t>se</w:t>
                      </w:r>
                      <w:r>
                        <w:rPr>
                          <w:spacing w:val="-4"/>
                        </w:rPr>
                        <w:t> </w:t>
                      </w:r>
                      <w:r>
                        <w:rPr/>
                        <w:t>clasificado</w:t>
                      </w:r>
                      <w:r>
                        <w:rPr>
                          <w:spacing w:val="-5"/>
                        </w:rPr>
                        <w:t> </w:t>
                      </w:r>
                      <w:r>
                        <w:rPr/>
                        <w:t>por</w:t>
                      </w:r>
                      <w:r>
                        <w:rPr>
                          <w:spacing w:val="-3"/>
                        </w:rPr>
                        <w:t> </w:t>
                      </w:r>
                      <w:r>
                        <w:rPr/>
                        <w:t>la</w:t>
                      </w:r>
                      <w:r>
                        <w:rPr>
                          <w:spacing w:val="-4"/>
                        </w:rPr>
                        <w:t> </w:t>
                      </w:r>
                      <w:r>
                        <w:rPr/>
                        <w:t>Contraloría</w:t>
                      </w:r>
                      <w:r>
                        <w:rPr>
                          <w:spacing w:val="-4"/>
                        </w:rPr>
                        <w:t> </w:t>
                      </w:r>
                      <w:r>
                        <w:rPr/>
                        <w:t>General</w:t>
                      </w:r>
                      <w:r>
                        <w:rPr>
                          <w:spacing w:val="-3"/>
                        </w:rPr>
                        <w:t> </w:t>
                      </w:r>
                      <w:r>
                        <w:rPr/>
                        <w:t>de</w:t>
                      </w:r>
                      <w:r>
                        <w:rPr>
                          <w:spacing w:val="-4"/>
                        </w:rPr>
                        <w:t> </w:t>
                      </w:r>
                      <w:r>
                        <w:rPr/>
                        <w:t>la</w:t>
                      </w:r>
                      <w:r>
                        <w:rPr>
                          <w:spacing w:val="-5"/>
                        </w:rPr>
                        <w:t> </w:t>
                      </w:r>
                      <w:r>
                        <w:rPr/>
                        <w:t>República</w:t>
                      </w:r>
                      <w:r>
                        <w:rPr>
                          <w:spacing w:val="-4"/>
                        </w:rPr>
                        <w:t> </w:t>
                      </w:r>
                      <w:r>
                        <w:rPr/>
                        <w:t>como</w:t>
                      </w:r>
                      <w:r>
                        <w:rPr>
                          <w:spacing w:val="-3"/>
                        </w:rPr>
                        <w:t> </w:t>
                      </w:r>
                      <w:r>
                        <w:rPr/>
                        <w:t>de</w:t>
                      </w:r>
                      <w:r>
                        <w:rPr>
                          <w:spacing w:val="-5"/>
                        </w:rPr>
                        <w:t> </w:t>
                      </w:r>
                      <w:r>
                        <w:rPr>
                          <w:spacing w:val="-2"/>
                        </w:rPr>
                        <w:t>Administración.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5424">
                <wp:simplePos x="0" y="0"/>
                <wp:positionH relativeFrom="page">
                  <wp:posOffset>9525</wp:posOffset>
                </wp:positionH>
                <wp:positionV relativeFrom="page">
                  <wp:posOffset>297208</wp:posOffset>
                </wp:positionV>
                <wp:extent cx="7762875" cy="974852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7762875" cy="9748520"/>
                          <a:chExt cx="7762875" cy="9748520"/>
                        </a:xfrm>
                      </wpg:grpSpPr>
                      <pic:pic>
                        <pic:nvPicPr>
                          <pic:cNvPr id="314" name="Image 314"/>
                          <pic:cNvPicPr/>
                        </pic:nvPicPr>
                        <pic:blipFill>
                          <a:blip r:embed="rId5" cstate="print"/>
                          <a:stretch>
                            <a:fillRect/>
                          </a:stretch>
                        </pic:blipFill>
                        <pic:spPr>
                          <a:xfrm>
                            <a:off x="0" y="0"/>
                            <a:ext cx="7762874" cy="9748489"/>
                          </a:xfrm>
                          <a:prstGeom prst="rect">
                            <a:avLst/>
                          </a:prstGeom>
                        </pic:spPr>
                      </pic:pic>
                      <wps:wsp>
                        <wps:cNvPr id="315" name="Graphic 315"/>
                        <wps:cNvSpPr/>
                        <wps:spPr>
                          <a:xfrm>
                            <a:off x="1053007" y="990837"/>
                            <a:ext cx="5736590" cy="7835900"/>
                          </a:xfrm>
                          <a:custGeom>
                            <a:avLst/>
                            <a:gdLst/>
                            <a:ahLst/>
                            <a:cxnLst/>
                            <a:rect l="l" t="t" r="r" b="b"/>
                            <a:pathLst>
                              <a:path w="5736590" h="7835900">
                                <a:moveTo>
                                  <a:pt x="21336" y="132651"/>
                                </a:moveTo>
                                <a:lnTo>
                                  <a:pt x="15240" y="132651"/>
                                </a:lnTo>
                                <a:lnTo>
                                  <a:pt x="15240" y="7829740"/>
                                </a:lnTo>
                                <a:lnTo>
                                  <a:pt x="21336" y="7829740"/>
                                </a:lnTo>
                                <a:lnTo>
                                  <a:pt x="21336" y="132651"/>
                                </a:lnTo>
                                <a:close/>
                              </a:path>
                              <a:path w="5736590" h="7835900">
                                <a:moveTo>
                                  <a:pt x="5649214" y="0"/>
                                </a:moveTo>
                                <a:lnTo>
                                  <a:pt x="0" y="0"/>
                                </a:lnTo>
                                <a:lnTo>
                                  <a:pt x="0" y="9131"/>
                                </a:lnTo>
                                <a:lnTo>
                                  <a:pt x="5649214" y="9131"/>
                                </a:lnTo>
                                <a:lnTo>
                                  <a:pt x="5649214" y="0"/>
                                </a:lnTo>
                                <a:close/>
                              </a:path>
                              <a:path w="5736590" h="7835900">
                                <a:moveTo>
                                  <a:pt x="5736018" y="7829753"/>
                                </a:moveTo>
                                <a:lnTo>
                                  <a:pt x="5729986" y="7829753"/>
                                </a:lnTo>
                                <a:lnTo>
                                  <a:pt x="21336" y="7829753"/>
                                </a:lnTo>
                                <a:lnTo>
                                  <a:pt x="15240" y="7829753"/>
                                </a:lnTo>
                                <a:lnTo>
                                  <a:pt x="15240" y="7835836"/>
                                </a:lnTo>
                                <a:lnTo>
                                  <a:pt x="21336" y="7835836"/>
                                </a:lnTo>
                                <a:lnTo>
                                  <a:pt x="5729935" y="7835836"/>
                                </a:lnTo>
                                <a:lnTo>
                                  <a:pt x="5736018" y="7835836"/>
                                </a:lnTo>
                                <a:lnTo>
                                  <a:pt x="5736018" y="7829753"/>
                                </a:lnTo>
                                <a:close/>
                              </a:path>
                              <a:path w="5736590" h="7835900">
                                <a:moveTo>
                                  <a:pt x="5736018" y="132651"/>
                                </a:moveTo>
                                <a:lnTo>
                                  <a:pt x="5729935" y="132651"/>
                                </a:lnTo>
                                <a:lnTo>
                                  <a:pt x="5729935" y="7829740"/>
                                </a:lnTo>
                                <a:lnTo>
                                  <a:pt x="5736018" y="7829740"/>
                                </a:lnTo>
                                <a:lnTo>
                                  <a:pt x="5736018" y="132651"/>
                                </a:lnTo>
                                <a:close/>
                              </a:path>
                              <a:path w="5736590" h="783590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1056" id="docshapegroup299" coordorigin="15,468" coordsize="12225,15352">
                <v:shape style="position:absolute;left:15;top:468;width:12225;height:15352" type="#_x0000_t75" id="docshape300" stroked="false">
                  <v:imagedata r:id="rId5" o:title=""/>
                </v:shape>
                <v:shape style="position:absolute;left:1673;top:2028;width:9034;height:12340" id="docshape301" coordorigin="1673,2028" coordsize="9034,12340" path="m1707,2237l1697,2237,1697,14359,1707,14359,1707,2237xm10570,2028l1673,2028,1673,2043,10570,2043,10570,2028xm10706,14359l10697,14359,10697,14359,1707,14359,1697,14359,1697,14368,1707,14368,10697,14368,10697,14368,10706,14368,10706,14359xm10706,2237l10697,2237,10697,14359,10706,14359,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67</w:t>
      </w:r>
    </w:p>
    <w:p>
      <w:pPr>
        <w:pStyle w:val="Heading6"/>
        <w:spacing w:before="227"/>
        <w:ind w:left="730"/>
        <w:rPr>
          <w:b w:val="0"/>
        </w:rPr>
      </w:pPr>
      <w:r>
        <w:rPr>
          <w:spacing w:val="-2"/>
        </w:rPr>
        <w:t>Revelación</w:t>
      </w:r>
      <w:r>
        <w:rPr>
          <w:b w:val="0"/>
          <w:spacing w:val="-2"/>
        </w:rPr>
        <w:t>:</w:t>
      </w:r>
    </w:p>
    <w:p>
      <w:pPr>
        <w:pStyle w:val="BodyText"/>
        <w:spacing w:before="160"/>
        <w:ind w:left="730" w:right="921"/>
        <w:jc w:val="both"/>
      </w:pPr>
      <w:r>
        <w:rPr/>
        <w:t>Al 31 de julio 2026 los aportes netos realizados al Fideicomiso ascienden a ¢14.182.817,46.</w:t>
      </w:r>
      <w:r>
        <w:rPr>
          <w:spacing w:val="40"/>
        </w:rPr>
        <w:t> </w:t>
      </w:r>
      <w:r>
        <w:rPr/>
        <w:t>Estos aportes realizados son con recursos IMAS y se han incorporado fondos provenientes de FODESAF e INAMU los cuales han sido reconocidos en la partida de inversiones patrimoniales y para la institución es una inversión social, la cual se refleja en los estados financieros institucionales.</w:t>
      </w:r>
    </w:p>
    <w:p>
      <w:pPr>
        <w:pStyle w:val="BodyText"/>
        <w:rPr>
          <w:sz w:val="20"/>
        </w:rPr>
      </w:pPr>
    </w:p>
    <w:p>
      <w:pPr>
        <w:pStyle w:val="BodyText"/>
        <w:spacing w:before="51"/>
        <w:rPr>
          <w:sz w:val="20"/>
        </w:rPr>
      </w:pPr>
    </w:p>
    <w:tbl>
      <w:tblPr>
        <w:tblW w:w="0" w:type="auto"/>
        <w:jc w:val="left"/>
        <w:tblInd w:w="2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45"/>
        <w:gridCol w:w="1198"/>
        <w:gridCol w:w="819"/>
      </w:tblGrid>
      <w:tr>
        <w:trPr>
          <w:trHeight w:val="455" w:hRule="atLeast"/>
        </w:trPr>
        <w:tc>
          <w:tcPr>
            <w:tcW w:w="4262" w:type="dxa"/>
            <w:gridSpan w:val="3"/>
            <w:tcBorders>
              <w:bottom w:val="single" w:sz="2" w:space="0" w:color="000000"/>
            </w:tcBorders>
            <w:shd w:val="clear" w:color="auto" w:fill="FFFFFF"/>
          </w:tcPr>
          <w:p>
            <w:pPr>
              <w:pStyle w:val="TableParagraph"/>
              <w:spacing w:before="28"/>
              <w:ind w:right="16"/>
              <w:jc w:val="center"/>
              <w:rPr>
                <w:b/>
                <w:sz w:val="17"/>
              </w:rPr>
            </w:pPr>
            <w:r>
              <w:rPr>
                <w:b/>
                <w:w w:val="105"/>
                <w:sz w:val="17"/>
              </w:rPr>
              <w:t>Movimientos</w:t>
            </w:r>
            <w:r>
              <w:rPr>
                <w:b/>
                <w:spacing w:val="75"/>
                <w:w w:val="150"/>
                <w:sz w:val="17"/>
              </w:rPr>
              <w:t> </w:t>
            </w:r>
            <w:r>
              <w:rPr>
                <w:b/>
                <w:w w:val="105"/>
                <w:sz w:val="17"/>
              </w:rPr>
              <w:t>Aportes</w:t>
            </w:r>
            <w:r>
              <w:rPr>
                <w:b/>
                <w:spacing w:val="28"/>
                <w:w w:val="105"/>
                <w:sz w:val="17"/>
              </w:rPr>
              <w:t> </w:t>
            </w:r>
            <w:r>
              <w:rPr>
                <w:b/>
                <w:w w:val="105"/>
                <w:sz w:val="17"/>
              </w:rPr>
              <w:t>Patrimonio</w:t>
            </w:r>
            <w:r>
              <w:rPr>
                <w:b/>
                <w:spacing w:val="26"/>
                <w:w w:val="105"/>
                <w:sz w:val="17"/>
              </w:rPr>
              <w:t> </w:t>
            </w:r>
            <w:r>
              <w:rPr>
                <w:b/>
                <w:spacing w:val="-2"/>
                <w:w w:val="105"/>
                <w:sz w:val="17"/>
              </w:rPr>
              <w:t>Fideimas</w:t>
            </w:r>
          </w:p>
          <w:p>
            <w:pPr>
              <w:pStyle w:val="TableParagraph"/>
              <w:spacing w:line="178" w:lineRule="exact" w:before="36"/>
              <w:ind w:left="6" w:right="16"/>
              <w:jc w:val="center"/>
              <w:rPr>
                <w:b/>
                <w:sz w:val="17"/>
              </w:rPr>
            </w:pPr>
            <w:r>
              <w:rPr>
                <w:b/>
                <w:w w:val="105"/>
                <w:sz w:val="17"/>
              </w:rPr>
              <w:t>En</w:t>
            </w:r>
            <w:r>
              <w:rPr>
                <w:b/>
                <w:spacing w:val="10"/>
                <w:w w:val="105"/>
                <w:sz w:val="17"/>
              </w:rPr>
              <w:t> </w:t>
            </w:r>
            <w:r>
              <w:rPr>
                <w:b/>
                <w:w w:val="105"/>
                <w:sz w:val="17"/>
              </w:rPr>
              <w:t>Miles</w:t>
            </w:r>
            <w:r>
              <w:rPr>
                <w:b/>
                <w:spacing w:val="13"/>
                <w:w w:val="105"/>
                <w:sz w:val="17"/>
              </w:rPr>
              <w:t> </w:t>
            </w:r>
            <w:r>
              <w:rPr>
                <w:b/>
                <w:w w:val="105"/>
                <w:sz w:val="17"/>
              </w:rPr>
              <w:t>de</w:t>
            </w:r>
            <w:r>
              <w:rPr>
                <w:b/>
                <w:spacing w:val="14"/>
                <w:w w:val="105"/>
                <w:sz w:val="17"/>
              </w:rPr>
              <w:t> </w:t>
            </w:r>
            <w:r>
              <w:rPr>
                <w:b/>
                <w:spacing w:val="-2"/>
                <w:w w:val="105"/>
                <w:sz w:val="17"/>
              </w:rPr>
              <w:t>Colones</w:t>
            </w:r>
          </w:p>
        </w:tc>
      </w:tr>
      <w:tr>
        <w:trPr>
          <w:trHeight w:val="225" w:hRule="atLeast"/>
        </w:trPr>
        <w:tc>
          <w:tcPr>
            <w:tcW w:w="2245" w:type="dxa"/>
            <w:tcBorders>
              <w:top w:val="single" w:sz="2" w:space="0" w:color="000000"/>
              <w:bottom w:val="double" w:sz="2" w:space="0" w:color="000000"/>
            </w:tcBorders>
            <w:shd w:val="clear" w:color="auto" w:fill="FFFFFF"/>
          </w:tcPr>
          <w:p>
            <w:pPr>
              <w:pStyle w:val="TableParagraph"/>
              <w:spacing w:line="169" w:lineRule="exact" w:before="36"/>
              <w:ind w:right="4"/>
              <w:jc w:val="center"/>
              <w:rPr>
                <w:b/>
                <w:sz w:val="16"/>
              </w:rPr>
            </w:pPr>
            <w:r>
              <w:rPr>
                <w:b/>
                <w:spacing w:val="-2"/>
                <w:sz w:val="16"/>
              </w:rPr>
              <w:t>Detalle</w:t>
            </w:r>
          </w:p>
        </w:tc>
        <w:tc>
          <w:tcPr>
            <w:tcW w:w="1198" w:type="dxa"/>
            <w:tcBorders>
              <w:top w:val="single" w:sz="2" w:space="0" w:color="000000"/>
              <w:bottom w:val="double" w:sz="2" w:space="0" w:color="000000"/>
            </w:tcBorders>
            <w:shd w:val="clear" w:color="auto" w:fill="FFFFFF"/>
          </w:tcPr>
          <w:p>
            <w:pPr>
              <w:pStyle w:val="TableParagraph"/>
              <w:spacing w:line="169" w:lineRule="exact" w:before="36"/>
              <w:ind w:left="350"/>
              <w:rPr>
                <w:b/>
                <w:sz w:val="16"/>
              </w:rPr>
            </w:pPr>
            <w:r>
              <w:rPr>
                <w:b/>
                <w:spacing w:val="-2"/>
                <w:sz w:val="16"/>
              </w:rPr>
              <w:t>Monto</w:t>
            </w:r>
          </w:p>
        </w:tc>
        <w:tc>
          <w:tcPr>
            <w:tcW w:w="819" w:type="dxa"/>
            <w:tcBorders>
              <w:top w:val="single" w:sz="2" w:space="0" w:color="000000"/>
              <w:bottom w:val="double" w:sz="2" w:space="0" w:color="000000"/>
            </w:tcBorders>
            <w:shd w:val="clear" w:color="auto" w:fill="FFFFFF"/>
          </w:tcPr>
          <w:p>
            <w:pPr>
              <w:pStyle w:val="TableParagraph"/>
              <w:spacing w:line="169" w:lineRule="exact" w:before="36"/>
              <w:ind w:left="33" w:right="80"/>
              <w:jc w:val="center"/>
              <w:rPr>
                <w:b/>
                <w:sz w:val="16"/>
              </w:rPr>
            </w:pPr>
            <w:r>
              <w:rPr>
                <w:b/>
                <w:spacing w:val="-2"/>
                <w:sz w:val="16"/>
              </w:rPr>
              <w:t>Variación</w:t>
            </w:r>
          </w:p>
        </w:tc>
      </w:tr>
      <w:tr>
        <w:trPr>
          <w:trHeight w:val="916" w:hRule="atLeast"/>
        </w:trPr>
        <w:tc>
          <w:tcPr>
            <w:tcW w:w="2245" w:type="dxa"/>
            <w:tcBorders>
              <w:top w:val="double" w:sz="2" w:space="0" w:color="000000"/>
              <w:bottom w:val="single" w:sz="2" w:space="0" w:color="000000"/>
            </w:tcBorders>
            <w:shd w:val="clear" w:color="auto" w:fill="FFFFFF"/>
          </w:tcPr>
          <w:p>
            <w:pPr>
              <w:pStyle w:val="TableParagraph"/>
              <w:spacing w:before="36"/>
              <w:ind w:left="19"/>
              <w:rPr>
                <w:sz w:val="16"/>
              </w:rPr>
            </w:pPr>
            <w:r>
              <w:rPr>
                <w:spacing w:val="-2"/>
                <w:sz w:val="16"/>
              </w:rPr>
              <w:t>Patrimonio</w:t>
            </w:r>
            <w:r>
              <w:rPr>
                <w:spacing w:val="-1"/>
                <w:sz w:val="16"/>
              </w:rPr>
              <w:t> </w:t>
            </w:r>
            <w:r>
              <w:rPr>
                <w:spacing w:val="-2"/>
                <w:sz w:val="16"/>
              </w:rPr>
              <w:t>Fideimas</w:t>
            </w:r>
          </w:p>
          <w:p>
            <w:pPr>
              <w:pStyle w:val="TableParagraph"/>
              <w:spacing w:before="96"/>
              <w:rPr>
                <w:sz w:val="16"/>
              </w:rPr>
            </w:pPr>
          </w:p>
          <w:p>
            <w:pPr>
              <w:pStyle w:val="TableParagraph"/>
              <w:ind w:left="19"/>
              <w:rPr>
                <w:sz w:val="16"/>
              </w:rPr>
            </w:pPr>
            <w:r>
              <w:rPr>
                <w:spacing w:val="-2"/>
                <w:sz w:val="16"/>
              </w:rPr>
              <w:t>Aportes</w:t>
            </w:r>
            <w:r>
              <w:rPr>
                <w:spacing w:val="3"/>
                <w:sz w:val="16"/>
              </w:rPr>
              <w:t> </w:t>
            </w:r>
            <w:r>
              <w:rPr>
                <w:spacing w:val="-4"/>
                <w:sz w:val="16"/>
              </w:rPr>
              <w:t>Imas</w:t>
            </w:r>
          </w:p>
        </w:tc>
        <w:tc>
          <w:tcPr>
            <w:tcW w:w="1198" w:type="dxa"/>
            <w:tcBorders>
              <w:top w:val="double" w:sz="2" w:space="0" w:color="000000"/>
              <w:bottom w:val="single" w:sz="2" w:space="0" w:color="000000"/>
            </w:tcBorders>
            <w:shd w:val="clear" w:color="auto" w:fill="FFFFFF"/>
          </w:tcPr>
          <w:p>
            <w:pPr>
              <w:pStyle w:val="TableParagraph"/>
              <w:spacing w:before="36"/>
              <w:ind w:left="326"/>
              <w:rPr>
                <w:sz w:val="16"/>
              </w:rPr>
            </w:pPr>
            <w:r>
              <w:rPr>
                <w:sz w:val="16"/>
              </w:rPr>
              <w:t>5</w:t>
            </w:r>
            <w:r>
              <w:rPr>
                <w:spacing w:val="-7"/>
                <w:sz w:val="16"/>
              </w:rPr>
              <w:t> </w:t>
            </w:r>
            <w:r>
              <w:rPr>
                <w:sz w:val="16"/>
              </w:rPr>
              <w:t>458</w:t>
            </w:r>
            <w:r>
              <w:rPr>
                <w:spacing w:val="-7"/>
                <w:sz w:val="16"/>
              </w:rPr>
              <w:t> </w:t>
            </w:r>
            <w:r>
              <w:rPr>
                <w:spacing w:val="-2"/>
                <w:sz w:val="16"/>
              </w:rPr>
              <w:t>896,11</w:t>
            </w:r>
          </w:p>
          <w:p>
            <w:pPr>
              <w:pStyle w:val="TableParagraph"/>
              <w:spacing w:before="96"/>
              <w:rPr>
                <w:sz w:val="16"/>
              </w:rPr>
            </w:pPr>
          </w:p>
          <w:p>
            <w:pPr>
              <w:pStyle w:val="TableParagraph"/>
              <w:ind w:left="249"/>
              <w:rPr>
                <w:sz w:val="16"/>
              </w:rPr>
            </w:pPr>
            <w:r>
              <w:rPr>
                <w:sz w:val="16"/>
              </w:rPr>
              <w:t>14</w:t>
            </w:r>
            <w:r>
              <w:rPr>
                <w:spacing w:val="-8"/>
                <w:sz w:val="16"/>
              </w:rPr>
              <w:t> </w:t>
            </w:r>
            <w:r>
              <w:rPr>
                <w:sz w:val="16"/>
              </w:rPr>
              <w:t>182</w:t>
            </w:r>
            <w:r>
              <w:rPr>
                <w:spacing w:val="-8"/>
                <w:sz w:val="16"/>
              </w:rPr>
              <w:t> </w:t>
            </w:r>
            <w:r>
              <w:rPr>
                <w:spacing w:val="-2"/>
                <w:sz w:val="16"/>
              </w:rPr>
              <w:t>817,46</w:t>
            </w:r>
          </w:p>
        </w:tc>
        <w:tc>
          <w:tcPr>
            <w:tcW w:w="819" w:type="dxa"/>
            <w:tcBorders>
              <w:top w:val="double" w:sz="2" w:space="0" w:color="000000"/>
              <w:bottom w:val="single" w:sz="2" w:space="0" w:color="000000"/>
            </w:tcBorders>
            <w:shd w:val="clear" w:color="auto" w:fill="FFFFFF"/>
          </w:tcPr>
          <w:p>
            <w:pPr>
              <w:pStyle w:val="TableParagraph"/>
              <w:rPr>
                <w:rFonts w:ascii="Times New Roman"/>
                <w:sz w:val="16"/>
              </w:rPr>
            </w:pPr>
          </w:p>
        </w:tc>
      </w:tr>
      <w:tr>
        <w:trPr>
          <w:trHeight w:val="225" w:hRule="atLeast"/>
        </w:trPr>
        <w:tc>
          <w:tcPr>
            <w:tcW w:w="2245" w:type="dxa"/>
            <w:tcBorders>
              <w:top w:val="single" w:sz="2" w:space="0" w:color="000000"/>
              <w:bottom w:val="double" w:sz="2" w:space="0" w:color="000000"/>
            </w:tcBorders>
            <w:shd w:val="clear" w:color="auto" w:fill="FFFFFF"/>
          </w:tcPr>
          <w:p>
            <w:pPr>
              <w:pStyle w:val="TableParagraph"/>
              <w:spacing w:line="151" w:lineRule="exact" w:before="54"/>
              <w:ind w:left="19"/>
              <w:rPr>
                <w:b/>
                <w:sz w:val="14"/>
              </w:rPr>
            </w:pPr>
            <w:r>
              <w:rPr>
                <w:b/>
                <w:w w:val="105"/>
                <w:sz w:val="14"/>
              </w:rPr>
              <w:t>Patrimonio</w:t>
            </w:r>
            <w:r>
              <w:rPr>
                <w:b/>
                <w:spacing w:val="34"/>
                <w:w w:val="105"/>
                <w:sz w:val="14"/>
              </w:rPr>
              <w:t> </w:t>
            </w:r>
            <w:r>
              <w:rPr>
                <w:b/>
                <w:w w:val="105"/>
                <w:sz w:val="14"/>
              </w:rPr>
              <w:t>consumido</w:t>
            </w:r>
            <w:r>
              <w:rPr>
                <w:b/>
                <w:spacing w:val="34"/>
                <w:w w:val="105"/>
                <w:sz w:val="14"/>
              </w:rPr>
              <w:t> </w:t>
            </w:r>
            <w:r>
              <w:rPr>
                <w:b/>
                <w:spacing w:val="-2"/>
                <w:w w:val="105"/>
                <w:sz w:val="14"/>
              </w:rPr>
              <w:t>Fideimas</w:t>
            </w:r>
          </w:p>
        </w:tc>
        <w:tc>
          <w:tcPr>
            <w:tcW w:w="1198" w:type="dxa"/>
            <w:tcBorders>
              <w:top w:val="single" w:sz="2" w:space="0" w:color="000000"/>
              <w:bottom w:val="double" w:sz="2" w:space="0" w:color="000000"/>
            </w:tcBorders>
            <w:shd w:val="clear" w:color="auto" w:fill="FFFFFF"/>
          </w:tcPr>
          <w:p>
            <w:pPr>
              <w:pStyle w:val="TableParagraph"/>
              <w:spacing w:line="169" w:lineRule="exact" w:before="36"/>
              <w:ind w:left="220"/>
              <w:rPr>
                <w:b/>
                <w:sz w:val="16"/>
              </w:rPr>
            </w:pPr>
            <w:r>
              <w:rPr>
                <w:b/>
                <w:sz w:val="16"/>
              </w:rPr>
              <w:t>-8</w:t>
            </w:r>
            <w:r>
              <w:rPr>
                <w:b/>
                <w:spacing w:val="8"/>
                <w:sz w:val="16"/>
              </w:rPr>
              <w:t> </w:t>
            </w:r>
            <w:r>
              <w:rPr>
                <w:b/>
                <w:sz w:val="16"/>
              </w:rPr>
              <w:t>723</w:t>
            </w:r>
            <w:r>
              <w:rPr>
                <w:b/>
                <w:spacing w:val="9"/>
                <w:sz w:val="16"/>
              </w:rPr>
              <w:t> </w:t>
            </w:r>
            <w:r>
              <w:rPr>
                <w:b/>
                <w:spacing w:val="-2"/>
                <w:sz w:val="16"/>
              </w:rPr>
              <w:t>921,35</w:t>
            </w:r>
          </w:p>
        </w:tc>
        <w:tc>
          <w:tcPr>
            <w:tcW w:w="819" w:type="dxa"/>
            <w:tcBorders>
              <w:top w:val="single" w:sz="2" w:space="0" w:color="000000"/>
              <w:bottom w:val="double" w:sz="2" w:space="0" w:color="000000"/>
            </w:tcBorders>
            <w:shd w:val="clear" w:color="auto" w:fill="FFFFFF"/>
          </w:tcPr>
          <w:p>
            <w:pPr>
              <w:pStyle w:val="TableParagraph"/>
              <w:spacing w:line="169" w:lineRule="exact" w:before="36"/>
              <w:ind w:left="33" w:right="73"/>
              <w:jc w:val="center"/>
              <w:rPr>
                <w:b/>
                <w:sz w:val="16"/>
              </w:rPr>
            </w:pPr>
            <w:r>
              <w:rPr>
                <w:b/>
                <w:sz w:val="16"/>
              </w:rPr>
              <w:t>-</w:t>
            </w:r>
            <w:r>
              <w:rPr>
                <w:b/>
                <w:spacing w:val="-2"/>
                <w:sz w:val="16"/>
              </w:rPr>
              <w:t>61,51%</w:t>
            </w:r>
          </w:p>
        </w:tc>
      </w:tr>
      <w:tr>
        <w:trPr>
          <w:trHeight w:val="461" w:hRule="atLeast"/>
        </w:trPr>
        <w:tc>
          <w:tcPr>
            <w:tcW w:w="4262" w:type="dxa"/>
            <w:gridSpan w:val="3"/>
            <w:tcBorders>
              <w:top w:val="double" w:sz="2" w:space="0" w:color="000000"/>
            </w:tcBorders>
            <w:shd w:val="clear" w:color="auto" w:fill="FFFFFF"/>
          </w:tcPr>
          <w:p>
            <w:pPr>
              <w:pStyle w:val="TableParagraph"/>
              <w:spacing w:before="63"/>
              <w:ind w:left="19"/>
              <w:rPr>
                <w:b/>
                <w:i/>
                <w:sz w:val="13"/>
              </w:rPr>
            </w:pPr>
            <w:r>
              <w:rPr>
                <w:b/>
                <w:i/>
                <w:sz w:val="13"/>
              </w:rPr>
              <w:t>Fuente:</w:t>
            </w:r>
            <w:r>
              <w:rPr>
                <w:b/>
                <w:i/>
                <w:spacing w:val="34"/>
                <w:sz w:val="13"/>
              </w:rPr>
              <w:t> </w:t>
            </w:r>
            <w:r>
              <w:rPr>
                <w:b/>
                <w:i/>
                <w:sz w:val="13"/>
              </w:rPr>
              <w:t>Creación</w:t>
            </w:r>
            <w:r>
              <w:rPr>
                <w:b/>
                <w:i/>
                <w:spacing w:val="30"/>
                <w:sz w:val="13"/>
              </w:rPr>
              <w:t> </w:t>
            </w:r>
            <w:r>
              <w:rPr>
                <w:b/>
                <w:i/>
                <w:spacing w:val="-2"/>
                <w:sz w:val="13"/>
              </w:rPr>
              <w:t>propia</w:t>
            </w:r>
          </w:p>
          <w:p>
            <w:pPr>
              <w:pStyle w:val="TableParagraph"/>
              <w:spacing w:line="148" w:lineRule="exact" w:before="82"/>
              <w:ind w:left="19"/>
              <w:rPr>
                <w:b/>
                <w:i/>
                <w:sz w:val="13"/>
              </w:rPr>
            </w:pPr>
            <w:r>
              <w:rPr>
                <w:b/>
                <w:i/>
                <w:sz w:val="13"/>
              </w:rPr>
              <w:t>Nota:</w:t>
            </w:r>
            <w:r>
              <w:rPr>
                <w:b/>
                <w:i/>
                <w:spacing w:val="34"/>
                <w:sz w:val="13"/>
              </w:rPr>
              <w:t> </w:t>
            </w:r>
            <w:r>
              <w:rPr>
                <w:b/>
                <w:i/>
                <w:sz w:val="13"/>
              </w:rPr>
              <w:t>Información</w:t>
            </w:r>
            <w:r>
              <w:rPr>
                <w:b/>
                <w:i/>
                <w:spacing w:val="30"/>
                <w:sz w:val="13"/>
              </w:rPr>
              <w:t> </w:t>
            </w:r>
            <w:r>
              <w:rPr>
                <w:b/>
                <w:i/>
                <w:sz w:val="13"/>
              </w:rPr>
              <w:t>Fuente</w:t>
            </w:r>
            <w:r>
              <w:rPr>
                <w:b/>
                <w:i/>
                <w:spacing w:val="30"/>
                <w:sz w:val="13"/>
              </w:rPr>
              <w:t> </w:t>
            </w:r>
            <w:r>
              <w:rPr>
                <w:b/>
                <w:i/>
                <w:sz w:val="13"/>
              </w:rPr>
              <w:t>EEFF</w:t>
            </w:r>
            <w:r>
              <w:rPr>
                <w:b/>
                <w:i/>
                <w:spacing w:val="33"/>
                <w:sz w:val="13"/>
              </w:rPr>
              <w:t> </w:t>
            </w:r>
            <w:r>
              <w:rPr>
                <w:b/>
                <w:i/>
                <w:sz w:val="13"/>
              </w:rPr>
              <w:t>Fideimas</w:t>
            </w:r>
            <w:r>
              <w:rPr>
                <w:b/>
                <w:i/>
                <w:spacing w:val="35"/>
                <w:sz w:val="13"/>
              </w:rPr>
              <w:t> </w:t>
            </w:r>
            <w:r>
              <w:rPr>
                <w:b/>
                <w:i/>
                <w:sz w:val="13"/>
              </w:rPr>
              <w:t>Julio</w:t>
            </w:r>
            <w:r>
              <w:rPr>
                <w:b/>
                <w:i/>
                <w:spacing w:val="32"/>
                <w:sz w:val="13"/>
              </w:rPr>
              <w:t> </w:t>
            </w:r>
            <w:r>
              <w:rPr>
                <w:b/>
                <w:i/>
                <w:spacing w:val="-4"/>
                <w:sz w:val="13"/>
              </w:rPr>
              <w:t>2026</w:t>
            </w:r>
          </w:p>
        </w:tc>
      </w:tr>
    </w:tbl>
    <w:p>
      <w:pPr>
        <w:pStyle w:val="BodyText"/>
        <w:spacing w:before="1"/>
        <w:rPr>
          <w:sz w:val="17"/>
        </w:rPr>
      </w:pPr>
    </w:p>
    <w:tbl>
      <w:tblPr>
        <w:tblW w:w="0" w:type="auto"/>
        <w:jc w:val="left"/>
        <w:tblInd w:w="2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44"/>
      </w:tblGrid>
      <w:tr>
        <w:trPr>
          <w:trHeight w:val="408" w:hRule="atLeast"/>
        </w:trPr>
        <w:tc>
          <w:tcPr>
            <w:tcW w:w="6244" w:type="dxa"/>
            <w:tcBorders>
              <w:right w:val="single" w:sz="2" w:space="0" w:color="FFFFFF"/>
            </w:tcBorders>
            <w:shd w:val="clear" w:color="auto" w:fill="1F4E79"/>
          </w:tcPr>
          <w:p>
            <w:pPr>
              <w:pStyle w:val="TableParagraph"/>
              <w:spacing w:before="88"/>
              <w:ind w:left="11"/>
              <w:jc w:val="center"/>
              <w:rPr>
                <w:rFonts w:ascii="Calibri" w:hAnsi="Calibri"/>
                <w:b/>
                <w:sz w:val="19"/>
              </w:rPr>
            </w:pPr>
            <w:r>
              <w:rPr>
                <w:rFonts w:ascii="Calibri" w:hAnsi="Calibri"/>
                <w:b/>
                <w:color w:val="FFFFFF"/>
                <w:sz w:val="19"/>
              </w:rPr>
              <w:t>ANÁLISIS</w:t>
            </w:r>
            <w:r>
              <w:rPr>
                <w:rFonts w:ascii="Calibri" w:hAnsi="Calibri"/>
                <w:b/>
                <w:color w:val="FFFFFF"/>
                <w:spacing w:val="-8"/>
                <w:sz w:val="19"/>
              </w:rPr>
              <w:t> </w:t>
            </w:r>
            <w:r>
              <w:rPr>
                <w:rFonts w:ascii="Calibri" w:hAnsi="Calibri"/>
                <w:b/>
                <w:color w:val="FFFFFF"/>
                <w:sz w:val="19"/>
              </w:rPr>
              <w:t>DE</w:t>
            </w:r>
            <w:r>
              <w:rPr>
                <w:rFonts w:ascii="Calibri" w:hAnsi="Calibri"/>
                <w:b/>
                <w:color w:val="FFFFFF"/>
                <w:spacing w:val="-7"/>
                <w:sz w:val="19"/>
              </w:rPr>
              <w:t> </w:t>
            </w:r>
            <w:r>
              <w:rPr>
                <w:rFonts w:ascii="Calibri" w:hAnsi="Calibri"/>
                <w:b/>
                <w:color w:val="FFFFFF"/>
                <w:sz w:val="19"/>
              </w:rPr>
              <w:t>RESULTADOS</w:t>
            </w:r>
            <w:r>
              <w:rPr>
                <w:rFonts w:ascii="Calibri" w:hAnsi="Calibri"/>
                <w:b/>
                <w:color w:val="FFFFFF"/>
                <w:spacing w:val="-7"/>
                <w:sz w:val="19"/>
              </w:rPr>
              <w:t> </w:t>
            </w:r>
            <w:r>
              <w:rPr>
                <w:rFonts w:ascii="Calibri" w:hAnsi="Calibri"/>
                <w:b/>
                <w:color w:val="FFFFFF"/>
                <w:sz w:val="19"/>
              </w:rPr>
              <w:t>—</w:t>
            </w:r>
            <w:r>
              <w:rPr>
                <w:rFonts w:ascii="Calibri" w:hAnsi="Calibri"/>
                <w:b/>
                <w:color w:val="FFFFFF"/>
                <w:spacing w:val="-12"/>
                <w:sz w:val="19"/>
              </w:rPr>
              <w:t> </w:t>
            </w:r>
            <w:r>
              <w:rPr>
                <w:rFonts w:ascii="Calibri" w:hAnsi="Calibri"/>
                <w:b/>
                <w:color w:val="FFFFFF"/>
                <w:sz w:val="19"/>
              </w:rPr>
              <w:t>JULIO</w:t>
            </w:r>
            <w:r>
              <w:rPr>
                <w:rFonts w:ascii="Calibri" w:hAnsi="Calibri"/>
                <w:b/>
                <w:color w:val="FFFFFF"/>
                <w:spacing w:val="-10"/>
                <w:sz w:val="19"/>
              </w:rPr>
              <w:t> </w:t>
            </w:r>
            <w:r>
              <w:rPr>
                <w:rFonts w:ascii="Calibri" w:hAnsi="Calibri"/>
                <w:b/>
                <w:color w:val="FFFFFF"/>
                <w:sz w:val="19"/>
              </w:rPr>
              <w:t>2026</w:t>
            </w:r>
            <w:r>
              <w:rPr>
                <w:rFonts w:ascii="Calibri" w:hAnsi="Calibri"/>
                <w:b/>
                <w:color w:val="FFFFFF"/>
                <w:spacing w:val="-10"/>
                <w:sz w:val="19"/>
              </w:rPr>
              <w:t> </w:t>
            </w:r>
            <w:r>
              <w:rPr>
                <w:rFonts w:ascii="Calibri" w:hAnsi="Calibri"/>
                <w:b/>
                <w:color w:val="FFFFFF"/>
                <w:sz w:val="19"/>
              </w:rPr>
              <w:t>VS.</w:t>
            </w:r>
            <w:r>
              <w:rPr>
                <w:rFonts w:ascii="Calibri" w:hAnsi="Calibri"/>
                <w:b/>
                <w:color w:val="FFFFFF"/>
                <w:spacing w:val="-9"/>
                <w:sz w:val="19"/>
              </w:rPr>
              <w:t> </w:t>
            </w:r>
            <w:r>
              <w:rPr>
                <w:rFonts w:ascii="Calibri" w:hAnsi="Calibri"/>
                <w:b/>
                <w:color w:val="FFFFFF"/>
                <w:sz w:val="19"/>
              </w:rPr>
              <w:t>JULIO</w:t>
            </w:r>
            <w:r>
              <w:rPr>
                <w:rFonts w:ascii="Calibri" w:hAnsi="Calibri"/>
                <w:b/>
                <w:color w:val="FFFFFF"/>
                <w:spacing w:val="-10"/>
                <w:sz w:val="19"/>
              </w:rPr>
              <w:t> </w:t>
            </w:r>
            <w:r>
              <w:rPr>
                <w:rFonts w:ascii="Calibri" w:hAnsi="Calibri"/>
                <w:b/>
                <w:color w:val="FFFFFF"/>
                <w:spacing w:val="-4"/>
                <w:sz w:val="19"/>
              </w:rPr>
              <w:t>2025</w:t>
            </w:r>
          </w:p>
        </w:tc>
      </w:tr>
      <w:tr>
        <w:trPr>
          <w:trHeight w:val="2173" w:hRule="atLeast"/>
        </w:trPr>
        <w:tc>
          <w:tcPr>
            <w:tcW w:w="6244" w:type="dxa"/>
            <w:tcBorders>
              <w:right w:val="single" w:sz="2" w:space="0" w:color="FFFFFF"/>
            </w:tcBorders>
            <w:shd w:val="clear" w:color="auto" w:fill="F7F8FB"/>
          </w:tcPr>
          <w:p>
            <w:pPr>
              <w:pStyle w:val="TableParagraph"/>
              <w:spacing w:line="254" w:lineRule="auto" w:before="72"/>
              <w:ind w:left="31"/>
              <w:rPr>
                <w:rFonts w:ascii="Calibri" w:hAnsi="Calibri"/>
                <w:sz w:val="16"/>
              </w:rPr>
            </w:pPr>
            <w:r>
              <w:rPr>
                <w:rFonts w:ascii="Calibri" w:hAnsi="Calibri"/>
                <w:color w:val="333333"/>
                <w:spacing w:val="-2"/>
                <w:sz w:val="16"/>
              </w:rPr>
              <w:t>Al</w:t>
            </w:r>
            <w:r>
              <w:rPr>
                <w:rFonts w:ascii="Calibri" w:hAnsi="Calibri"/>
                <w:color w:val="333333"/>
                <w:spacing w:val="-5"/>
                <w:sz w:val="16"/>
              </w:rPr>
              <w:t> </w:t>
            </w:r>
            <w:r>
              <w:rPr>
                <w:rFonts w:ascii="Calibri" w:hAnsi="Calibri"/>
                <w:color w:val="333333"/>
                <w:spacing w:val="-2"/>
                <w:sz w:val="16"/>
              </w:rPr>
              <w:t>31</w:t>
            </w:r>
            <w:r>
              <w:rPr>
                <w:rFonts w:ascii="Calibri" w:hAnsi="Calibri"/>
                <w:color w:val="333333"/>
                <w:spacing w:val="-4"/>
                <w:sz w:val="16"/>
              </w:rPr>
              <w:t> </w:t>
            </w:r>
            <w:r>
              <w:rPr>
                <w:rFonts w:ascii="Calibri" w:hAnsi="Calibri"/>
                <w:color w:val="333333"/>
                <w:spacing w:val="-2"/>
                <w:sz w:val="16"/>
              </w:rPr>
              <w:t>de</w:t>
            </w:r>
            <w:r>
              <w:rPr>
                <w:rFonts w:ascii="Calibri" w:hAnsi="Calibri"/>
                <w:color w:val="333333"/>
                <w:spacing w:val="-5"/>
                <w:sz w:val="16"/>
              </w:rPr>
              <w:t> </w:t>
            </w:r>
            <w:r>
              <w:rPr>
                <w:rFonts w:ascii="Calibri" w:hAnsi="Calibri"/>
                <w:color w:val="333333"/>
                <w:spacing w:val="-2"/>
                <w:sz w:val="16"/>
              </w:rPr>
              <w:t>julio</w:t>
            </w:r>
            <w:r>
              <w:rPr>
                <w:rFonts w:ascii="Calibri" w:hAnsi="Calibri"/>
                <w:color w:val="333333"/>
                <w:spacing w:val="-4"/>
                <w:sz w:val="16"/>
              </w:rPr>
              <w:t> </w:t>
            </w:r>
            <w:r>
              <w:rPr>
                <w:rFonts w:ascii="Calibri" w:hAnsi="Calibri"/>
                <w:color w:val="333333"/>
                <w:spacing w:val="-2"/>
                <w:sz w:val="16"/>
              </w:rPr>
              <w:t>de</w:t>
            </w:r>
            <w:r>
              <w:rPr>
                <w:rFonts w:ascii="Calibri" w:hAnsi="Calibri"/>
                <w:color w:val="333333"/>
                <w:spacing w:val="-5"/>
                <w:sz w:val="16"/>
              </w:rPr>
              <w:t> </w:t>
            </w:r>
            <w:r>
              <w:rPr>
                <w:rFonts w:ascii="Calibri" w:hAnsi="Calibri"/>
                <w:color w:val="333333"/>
                <w:spacing w:val="-2"/>
                <w:sz w:val="16"/>
              </w:rPr>
              <w:t>2026, los</w:t>
            </w:r>
            <w:r>
              <w:rPr>
                <w:rFonts w:ascii="Calibri" w:hAnsi="Calibri"/>
                <w:color w:val="333333"/>
                <w:spacing w:val="-4"/>
                <w:sz w:val="16"/>
              </w:rPr>
              <w:t> </w:t>
            </w:r>
            <w:r>
              <w:rPr>
                <w:rFonts w:ascii="Calibri" w:hAnsi="Calibri"/>
                <w:color w:val="333333"/>
                <w:spacing w:val="-2"/>
                <w:sz w:val="16"/>
              </w:rPr>
              <w:t>activos</w:t>
            </w:r>
            <w:r>
              <w:rPr>
                <w:rFonts w:ascii="Calibri" w:hAnsi="Calibri"/>
                <w:color w:val="333333"/>
                <w:spacing w:val="-4"/>
                <w:sz w:val="16"/>
              </w:rPr>
              <w:t> </w:t>
            </w:r>
            <w:r>
              <w:rPr>
                <w:rFonts w:ascii="Calibri" w:hAnsi="Calibri"/>
                <w:color w:val="333333"/>
                <w:spacing w:val="-2"/>
                <w:sz w:val="16"/>
              </w:rPr>
              <w:t>totalizaron</w:t>
            </w:r>
            <w:r>
              <w:rPr>
                <w:rFonts w:ascii="Calibri" w:hAnsi="Calibri"/>
                <w:color w:val="333333"/>
                <w:spacing w:val="-4"/>
                <w:sz w:val="16"/>
              </w:rPr>
              <w:t> </w:t>
            </w:r>
            <w:r>
              <w:rPr>
                <w:rFonts w:ascii="Calibri" w:hAnsi="Calibri"/>
                <w:color w:val="333333"/>
                <w:spacing w:val="-2"/>
                <w:sz w:val="16"/>
              </w:rPr>
              <w:t>5</w:t>
            </w:r>
            <w:r>
              <w:rPr>
                <w:rFonts w:ascii="Calibri" w:hAnsi="Calibri"/>
                <w:color w:val="333333"/>
                <w:spacing w:val="-4"/>
                <w:sz w:val="16"/>
              </w:rPr>
              <w:t> </w:t>
            </w:r>
            <w:r>
              <w:rPr>
                <w:rFonts w:ascii="Calibri" w:hAnsi="Calibri"/>
                <w:color w:val="333333"/>
                <w:spacing w:val="-2"/>
                <w:sz w:val="16"/>
              </w:rPr>
              <w:t>687</w:t>
            </w:r>
            <w:r>
              <w:rPr>
                <w:rFonts w:ascii="Calibri" w:hAnsi="Calibri"/>
                <w:color w:val="333333"/>
                <w:spacing w:val="-4"/>
                <w:sz w:val="16"/>
              </w:rPr>
              <w:t> </w:t>
            </w:r>
            <w:r>
              <w:rPr>
                <w:rFonts w:ascii="Calibri" w:hAnsi="Calibri"/>
                <w:color w:val="333333"/>
                <w:spacing w:val="-2"/>
                <w:sz w:val="16"/>
              </w:rPr>
              <w:t>847,60</w:t>
            </w:r>
            <w:r>
              <w:rPr>
                <w:rFonts w:ascii="Calibri" w:hAnsi="Calibri"/>
                <w:color w:val="333333"/>
                <w:spacing w:val="-4"/>
                <w:sz w:val="16"/>
              </w:rPr>
              <w:t> </w:t>
            </w:r>
            <w:r>
              <w:rPr>
                <w:rFonts w:ascii="Calibri" w:hAnsi="Calibri"/>
                <w:color w:val="333333"/>
                <w:spacing w:val="-2"/>
                <w:sz w:val="16"/>
              </w:rPr>
              <w:t>miles</w:t>
            </w:r>
            <w:r>
              <w:rPr>
                <w:rFonts w:ascii="Calibri" w:hAnsi="Calibri"/>
                <w:color w:val="333333"/>
                <w:spacing w:val="-4"/>
                <w:sz w:val="16"/>
              </w:rPr>
              <w:t> </w:t>
            </w:r>
            <w:r>
              <w:rPr>
                <w:rFonts w:ascii="Calibri" w:hAnsi="Calibri"/>
                <w:color w:val="333333"/>
                <w:spacing w:val="-2"/>
                <w:sz w:val="16"/>
              </w:rPr>
              <w:t>de</w:t>
            </w:r>
            <w:r>
              <w:rPr>
                <w:rFonts w:ascii="Calibri" w:hAnsi="Calibri"/>
                <w:color w:val="333333"/>
                <w:spacing w:val="-5"/>
                <w:sz w:val="16"/>
              </w:rPr>
              <w:t> </w:t>
            </w:r>
            <w:r>
              <w:rPr>
                <w:rFonts w:ascii="Calibri" w:hAnsi="Calibri"/>
                <w:color w:val="333333"/>
                <w:spacing w:val="-2"/>
                <w:sz w:val="16"/>
              </w:rPr>
              <w:t>colones, una</w:t>
            </w:r>
            <w:r>
              <w:rPr>
                <w:rFonts w:ascii="Calibri" w:hAnsi="Calibri"/>
                <w:color w:val="333333"/>
                <w:spacing w:val="-5"/>
                <w:sz w:val="16"/>
              </w:rPr>
              <w:t> </w:t>
            </w:r>
            <w:r>
              <w:rPr>
                <w:rFonts w:ascii="Calibri" w:hAnsi="Calibri"/>
                <w:color w:val="333333"/>
                <w:spacing w:val="-2"/>
                <w:sz w:val="16"/>
              </w:rPr>
              <w:t>disminución</w:t>
            </w:r>
            <w:r>
              <w:rPr>
                <w:rFonts w:ascii="Calibri" w:hAnsi="Calibri"/>
                <w:color w:val="333333"/>
                <w:spacing w:val="-4"/>
                <w:sz w:val="16"/>
              </w:rPr>
              <w:t> </w:t>
            </w:r>
            <w:r>
              <w:rPr>
                <w:rFonts w:ascii="Calibri" w:hAnsi="Calibri"/>
                <w:color w:val="333333"/>
                <w:spacing w:val="-2"/>
                <w:sz w:val="16"/>
              </w:rPr>
              <w:t>de</w:t>
            </w:r>
            <w:r>
              <w:rPr>
                <w:rFonts w:ascii="Calibri" w:hAnsi="Calibri"/>
                <w:color w:val="333333"/>
                <w:spacing w:val="40"/>
                <w:sz w:val="16"/>
              </w:rPr>
              <w:t> </w:t>
            </w:r>
            <w:r>
              <w:rPr>
                <w:rFonts w:ascii="Calibri" w:hAnsi="Calibri"/>
                <w:color w:val="333333"/>
                <w:sz w:val="16"/>
              </w:rPr>
              <w:t>398 711,88 (6,55%) respecto a julio de 2025.</w:t>
            </w:r>
          </w:p>
          <w:p>
            <w:pPr>
              <w:pStyle w:val="TableParagraph"/>
              <w:spacing w:line="254" w:lineRule="auto" w:before="129"/>
              <w:ind w:left="31"/>
              <w:rPr>
                <w:rFonts w:ascii="Calibri" w:hAnsi="Calibri"/>
                <w:sz w:val="16"/>
              </w:rPr>
            </w:pPr>
            <w:r>
              <w:rPr>
                <w:rFonts w:ascii="Calibri" w:hAnsi="Calibri"/>
                <w:color w:val="333333"/>
                <w:spacing w:val="-2"/>
                <w:sz w:val="16"/>
              </w:rPr>
              <w:t>Los pasivos ascendieron a 228 951,49 miles de colones y aumentaron 13 474,27 (6,25%), aunque</w:t>
            </w:r>
            <w:r>
              <w:rPr>
                <w:rFonts w:ascii="Calibri" w:hAnsi="Calibri"/>
                <w:color w:val="333333"/>
                <w:spacing w:val="40"/>
                <w:sz w:val="16"/>
              </w:rPr>
              <w:t> </w:t>
            </w:r>
            <w:r>
              <w:rPr>
                <w:rFonts w:ascii="Calibri" w:hAnsi="Calibri"/>
                <w:color w:val="333333"/>
                <w:sz w:val="16"/>
              </w:rPr>
              <w:t>continúan</w:t>
            </w:r>
            <w:r>
              <w:rPr>
                <w:rFonts w:ascii="Calibri" w:hAnsi="Calibri"/>
                <w:color w:val="333333"/>
                <w:spacing w:val="-2"/>
                <w:sz w:val="16"/>
              </w:rPr>
              <w:t> </w:t>
            </w:r>
            <w:r>
              <w:rPr>
                <w:rFonts w:ascii="Calibri" w:hAnsi="Calibri"/>
                <w:color w:val="333333"/>
                <w:sz w:val="16"/>
              </w:rPr>
              <w:t>representando</w:t>
            </w:r>
            <w:r>
              <w:rPr>
                <w:rFonts w:ascii="Calibri" w:hAnsi="Calibri"/>
                <w:color w:val="333333"/>
                <w:spacing w:val="-2"/>
                <w:sz w:val="16"/>
              </w:rPr>
              <w:t> </w:t>
            </w:r>
            <w:r>
              <w:rPr>
                <w:rFonts w:ascii="Calibri" w:hAnsi="Calibri"/>
                <w:color w:val="333333"/>
                <w:sz w:val="16"/>
              </w:rPr>
              <w:t>una</w:t>
            </w:r>
            <w:r>
              <w:rPr>
                <w:rFonts w:ascii="Calibri" w:hAnsi="Calibri"/>
                <w:color w:val="333333"/>
                <w:spacing w:val="-3"/>
                <w:sz w:val="16"/>
              </w:rPr>
              <w:t> </w:t>
            </w:r>
            <w:r>
              <w:rPr>
                <w:rFonts w:ascii="Calibri" w:hAnsi="Calibri"/>
                <w:color w:val="333333"/>
                <w:sz w:val="16"/>
              </w:rPr>
              <w:t>proporción</w:t>
            </w:r>
            <w:r>
              <w:rPr>
                <w:rFonts w:ascii="Calibri" w:hAnsi="Calibri"/>
                <w:color w:val="333333"/>
                <w:spacing w:val="-2"/>
                <w:sz w:val="16"/>
              </w:rPr>
              <w:t> </w:t>
            </w:r>
            <w:r>
              <w:rPr>
                <w:rFonts w:ascii="Calibri" w:hAnsi="Calibri"/>
                <w:color w:val="333333"/>
                <w:sz w:val="16"/>
              </w:rPr>
              <w:t>reducida</w:t>
            </w:r>
            <w:r>
              <w:rPr>
                <w:rFonts w:ascii="Calibri" w:hAnsi="Calibri"/>
                <w:color w:val="333333"/>
                <w:spacing w:val="-4"/>
                <w:sz w:val="16"/>
              </w:rPr>
              <w:t> </w:t>
            </w:r>
            <w:r>
              <w:rPr>
                <w:rFonts w:ascii="Calibri" w:hAnsi="Calibri"/>
                <w:color w:val="333333"/>
                <w:sz w:val="16"/>
              </w:rPr>
              <w:t>de</w:t>
            </w:r>
            <w:r>
              <w:rPr>
                <w:rFonts w:ascii="Calibri" w:hAnsi="Calibri"/>
                <w:color w:val="333333"/>
                <w:spacing w:val="-3"/>
                <w:sz w:val="16"/>
              </w:rPr>
              <w:t> </w:t>
            </w:r>
            <w:r>
              <w:rPr>
                <w:rFonts w:ascii="Calibri" w:hAnsi="Calibri"/>
                <w:color w:val="333333"/>
                <w:sz w:val="16"/>
              </w:rPr>
              <w:t>los</w:t>
            </w:r>
            <w:r>
              <w:rPr>
                <w:rFonts w:ascii="Calibri" w:hAnsi="Calibri"/>
                <w:color w:val="333333"/>
                <w:spacing w:val="-2"/>
                <w:sz w:val="16"/>
              </w:rPr>
              <w:t> </w:t>
            </w:r>
            <w:r>
              <w:rPr>
                <w:rFonts w:ascii="Calibri" w:hAnsi="Calibri"/>
                <w:color w:val="333333"/>
                <w:sz w:val="16"/>
              </w:rPr>
              <w:t>activos.</w:t>
            </w:r>
          </w:p>
          <w:p>
            <w:pPr>
              <w:pStyle w:val="TableParagraph"/>
              <w:spacing w:line="252" w:lineRule="auto" w:before="128"/>
              <w:ind w:left="31"/>
              <w:rPr>
                <w:rFonts w:ascii="Calibri" w:hAnsi="Calibri"/>
                <w:sz w:val="16"/>
              </w:rPr>
            </w:pPr>
            <w:r>
              <w:rPr>
                <w:rFonts w:ascii="Calibri" w:hAnsi="Calibri"/>
                <w:color w:val="333333"/>
                <w:spacing w:val="-2"/>
                <w:sz w:val="16"/>
              </w:rPr>
              <w:t>El</w:t>
            </w:r>
            <w:r>
              <w:rPr>
                <w:rFonts w:ascii="Calibri" w:hAnsi="Calibri"/>
                <w:color w:val="333333"/>
                <w:spacing w:val="-4"/>
                <w:sz w:val="16"/>
              </w:rPr>
              <w:t> </w:t>
            </w:r>
            <w:r>
              <w:rPr>
                <w:rFonts w:ascii="Calibri" w:hAnsi="Calibri"/>
                <w:color w:val="333333"/>
                <w:spacing w:val="-2"/>
                <w:sz w:val="16"/>
              </w:rPr>
              <w:t>patrimonio</w:t>
            </w:r>
            <w:r>
              <w:rPr>
                <w:rFonts w:ascii="Calibri" w:hAnsi="Calibri"/>
                <w:color w:val="333333"/>
                <w:spacing w:val="-3"/>
                <w:sz w:val="16"/>
              </w:rPr>
              <w:t> </w:t>
            </w:r>
            <w:r>
              <w:rPr>
                <w:rFonts w:ascii="Calibri" w:hAnsi="Calibri"/>
                <w:color w:val="333333"/>
                <w:spacing w:val="-2"/>
                <w:sz w:val="16"/>
              </w:rPr>
              <w:t>Fideimas</w:t>
            </w:r>
            <w:r>
              <w:rPr>
                <w:rFonts w:ascii="Calibri" w:hAnsi="Calibri"/>
                <w:color w:val="333333"/>
                <w:spacing w:val="-3"/>
                <w:sz w:val="16"/>
              </w:rPr>
              <w:t> </w:t>
            </w:r>
            <w:r>
              <w:rPr>
                <w:rFonts w:ascii="Calibri" w:hAnsi="Calibri"/>
                <w:color w:val="333333"/>
                <w:spacing w:val="-2"/>
                <w:sz w:val="16"/>
              </w:rPr>
              <w:t>cerró</w:t>
            </w:r>
            <w:r>
              <w:rPr>
                <w:rFonts w:ascii="Calibri" w:hAnsi="Calibri"/>
                <w:color w:val="333333"/>
                <w:spacing w:val="-3"/>
                <w:sz w:val="16"/>
              </w:rPr>
              <w:t> </w:t>
            </w:r>
            <w:r>
              <w:rPr>
                <w:rFonts w:ascii="Calibri" w:hAnsi="Calibri"/>
                <w:color w:val="333333"/>
                <w:spacing w:val="-2"/>
                <w:sz w:val="16"/>
              </w:rPr>
              <w:t>en</w:t>
            </w:r>
            <w:r>
              <w:rPr>
                <w:rFonts w:ascii="Calibri" w:hAnsi="Calibri"/>
                <w:color w:val="333333"/>
                <w:spacing w:val="-3"/>
                <w:sz w:val="16"/>
              </w:rPr>
              <w:t> </w:t>
            </w:r>
            <w:r>
              <w:rPr>
                <w:rFonts w:ascii="Calibri" w:hAnsi="Calibri"/>
                <w:color w:val="333333"/>
                <w:spacing w:val="-2"/>
                <w:sz w:val="16"/>
              </w:rPr>
              <w:t>5</w:t>
            </w:r>
            <w:r>
              <w:rPr>
                <w:rFonts w:ascii="Calibri" w:hAnsi="Calibri"/>
                <w:color w:val="333333"/>
                <w:spacing w:val="-3"/>
                <w:sz w:val="16"/>
              </w:rPr>
              <w:t> </w:t>
            </w:r>
            <w:r>
              <w:rPr>
                <w:rFonts w:ascii="Calibri" w:hAnsi="Calibri"/>
                <w:color w:val="333333"/>
                <w:spacing w:val="-2"/>
                <w:sz w:val="16"/>
              </w:rPr>
              <w:t>458</w:t>
            </w:r>
            <w:r>
              <w:rPr>
                <w:rFonts w:ascii="Calibri" w:hAnsi="Calibri"/>
                <w:color w:val="333333"/>
                <w:spacing w:val="-3"/>
                <w:sz w:val="16"/>
              </w:rPr>
              <w:t> </w:t>
            </w:r>
            <w:r>
              <w:rPr>
                <w:rFonts w:ascii="Calibri" w:hAnsi="Calibri"/>
                <w:color w:val="333333"/>
                <w:spacing w:val="-2"/>
                <w:sz w:val="16"/>
              </w:rPr>
              <w:t>896,11</w:t>
            </w:r>
            <w:r>
              <w:rPr>
                <w:rFonts w:ascii="Calibri" w:hAnsi="Calibri"/>
                <w:color w:val="333333"/>
                <w:spacing w:val="-3"/>
                <w:sz w:val="16"/>
              </w:rPr>
              <w:t> </w:t>
            </w:r>
            <w:r>
              <w:rPr>
                <w:rFonts w:ascii="Calibri" w:hAnsi="Calibri"/>
                <w:color w:val="333333"/>
                <w:spacing w:val="-2"/>
                <w:sz w:val="16"/>
              </w:rPr>
              <w:t>miles</w:t>
            </w:r>
            <w:r>
              <w:rPr>
                <w:rFonts w:ascii="Calibri" w:hAnsi="Calibri"/>
                <w:color w:val="333333"/>
                <w:spacing w:val="-3"/>
                <w:sz w:val="16"/>
              </w:rPr>
              <w:t> </w:t>
            </w:r>
            <w:r>
              <w:rPr>
                <w:rFonts w:ascii="Calibri" w:hAnsi="Calibri"/>
                <w:color w:val="333333"/>
                <w:spacing w:val="-2"/>
                <w:sz w:val="16"/>
              </w:rPr>
              <w:t>de</w:t>
            </w:r>
            <w:r>
              <w:rPr>
                <w:rFonts w:ascii="Calibri" w:hAnsi="Calibri"/>
                <w:color w:val="333333"/>
                <w:spacing w:val="-4"/>
                <w:sz w:val="16"/>
              </w:rPr>
              <w:t> </w:t>
            </w:r>
            <w:r>
              <w:rPr>
                <w:rFonts w:ascii="Calibri" w:hAnsi="Calibri"/>
                <w:color w:val="333333"/>
                <w:spacing w:val="-2"/>
                <w:sz w:val="16"/>
              </w:rPr>
              <w:t>colones, con</w:t>
            </w:r>
            <w:r>
              <w:rPr>
                <w:rFonts w:ascii="Calibri" w:hAnsi="Calibri"/>
                <w:color w:val="333333"/>
                <w:spacing w:val="-3"/>
                <w:sz w:val="16"/>
              </w:rPr>
              <w:t> </w:t>
            </w:r>
            <w:r>
              <w:rPr>
                <w:rFonts w:ascii="Calibri" w:hAnsi="Calibri"/>
                <w:color w:val="333333"/>
                <w:spacing w:val="-2"/>
                <w:sz w:val="16"/>
              </w:rPr>
              <w:t>una</w:t>
            </w:r>
            <w:r>
              <w:rPr>
                <w:rFonts w:ascii="Calibri" w:hAnsi="Calibri"/>
                <w:color w:val="333333"/>
                <w:spacing w:val="-4"/>
                <w:sz w:val="16"/>
              </w:rPr>
              <w:t> </w:t>
            </w:r>
            <w:r>
              <w:rPr>
                <w:rFonts w:ascii="Calibri" w:hAnsi="Calibri"/>
                <w:color w:val="333333"/>
                <w:spacing w:val="-2"/>
                <w:sz w:val="16"/>
              </w:rPr>
              <w:t>reducción</w:t>
            </w:r>
            <w:r>
              <w:rPr>
                <w:rFonts w:ascii="Calibri" w:hAnsi="Calibri"/>
                <w:color w:val="333333"/>
                <w:spacing w:val="-3"/>
                <w:sz w:val="16"/>
              </w:rPr>
              <w:t> </w:t>
            </w:r>
            <w:r>
              <w:rPr>
                <w:rFonts w:ascii="Calibri" w:hAnsi="Calibri"/>
                <w:color w:val="333333"/>
                <w:spacing w:val="-2"/>
                <w:sz w:val="16"/>
              </w:rPr>
              <w:t>de</w:t>
            </w:r>
            <w:r>
              <w:rPr>
                <w:rFonts w:ascii="Calibri" w:hAnsi="Calibri"/>
                <w:color w:val="333333"/>
                <w:spacing w:val="-4"/>
                <w:sz w:val="16"/>
              </w:rPr>
              <w:t> </w:t>
            </w:r>
            <w:r>
              <w:rPr>
                <w:rFonts w:ascii="Calibri" w:hAnsi="Calibri"/>
                <w:color w:val="333333"/>
                <w:spacing w:val="-2"/>
                <w:sz w:val="16"/>
              </w:rPr>
              <w:t>412</w:t>
            </w:r>
            <w:r>
              <w:rPr>
                <w:rFonts w:ascii="Calibri" w:hAnsi="Calibri"/>
                <w:color w:val="333333"/>
                <w:spacing w:val="-3"/>
                <w:sz w:val="16"/>
              </w:rPr>
              <w:t> </w:t>
            </w:r>
            <w:r>
              <w:rPr>
                <w:rFonts w:ascii="Calibri" w:hAnsi="Calibri"/>
                <w:color w:val="333333"/>
                <w:spacing w:val="-2"/>
                <w:sz w:val="16"/>
              </w:rPr>
              <w:t>186,15</w:t>
            </w:r>
            <w:r>
              <w:rPr>
                <w:rFonts w:ascii="Calibri" w:hAnsi="Calibri"/>
                <w:color w:val="333333"/>
                <w:spacing w:val="40"/>
                <w:sz w:val="16"/>
              </w:rPr>
              <w:t> </w:t>
            </w:r>
            <w:r>
              <w:rPr>
                <w:rFonts w:ascii="Calibri" w:hAnsi="Calibri"/>
                <w:color w:val="333333"/>
                <w:sz w:val="16"/>
              </w:rPr>
              <w:t>(7,02%) frente al año anterior.</w:t>
            </w:r>
          </w:p>
          <w:p>
            <w:pPr>
              <w:pStyle w:val="TableParagraph"/>
              <w:spacing w:line="252" w:lineRule="auto" w:before="132"/>
              <w:ind w:left="31"/>
              <w:rPr>
                <w:rFonts w:ascii="Calibri" w:hAnsi="Calibri"/>
                <w:sz w:val="16"/>
              </w:rPr>
            </w:pPr>
            <w:r>
              <w:rPr>
                <w:rFonts w:ascii="Calibri" w:hAnsi="Calibri"/>
                <w:color w:val="333333"/>
                <w:spacing w:val="-2"/>
                <w:sz w:val="16"/>
              </w:rPr>
              <w:t>Los</w:t>
            </w:r>
            <w:r>
              <w:rPr>
                <w:rFonts w:ascii="Calibri" w:hAnsi="Calibri"/>
                <w:color w:val="333333"/>
                <w:spacing w:val="-5"/>
                <w:sz w:val="16"/>
              </w:rPr>
              <w:t> </w:t>
            </w:r>
            <w:r>
              <w:rPr>
                <w:rFonts w:ascii="Calibri" w:hAnsi="Calibri"/>
                <w:color w:val="333333"/>
                <w:spacing w:val="-2"/>
                <w:sz w:val="16"/>
              </w:rPr>
              <w:t>aportes</w:t>
            </w:r>
            <w:r>
              <w:rPr>
                <w:rFonts w:ascii="Calibri" w:hAnsi="Calibri"/>
                <w:color w:val="333333"/>
                <w:spacing w:val="-5"/>
                <w:sz w:val="16"/>
              </w:rPr>
              <w:t> </w:t>
            </w:r>
            <w:r>
              <w:rPr>
                <w:rFonts w:ascii="Calibri" w:hAnsi="Calibri"/>
                <w:color w:val="333333"/>
                <w:spacing w:val="-2"/>
                <w:sz w:val="16"/>
              </w:rPr>
              <w:t>del</w:t>
            </w:r>
            <w:r>
              <w:rPr>
                <w:rFonts w:ascii="Calibri" w:hAnsi="Calibri"/>
                <w:color w:val="333333"/>
                <w:spacing w:val="-6"/>
                <w:sz w:val="16"/>
              </w:rPr>
              <w:t> </w:t>
            </w:r>
            <w:r>
              <w:rPr>
                <w:rFonts w:ascii="Calibri" w:hAnsi="Calibri"/>
                <w:color w:val="333333"/>
                <w:spacing w:val="-2"/>
                <w:sz w:val="16"/>
              </w:rPr>
              <w:t>IMAS</w:t>
            </w:r>
            <w:r>
              <w:rPr>
                <w:rFonts w:ascii="Calibri" w:hAnsi="Calibri"/>
                <w:color w:val="333333"/>
                <w:spacing w:val="-7"/>
                <w:sz w:val="16"/>
              </w:rPr>
              <w:t> </w:t>
            </w:r>
            <w:r>
              <w:rPr>
                <w:rFonts w:ascii="Calibri" w:hAnsi="Calibri"/>
                <w:color w:val="333333"/>
                <w:spacing w:val="-2"/>
                <w:sz w:val="16"/>
              </w:rPr>
              <w:t>crecieron</w:t>
            </w:r>
            <w:r>
              <w:rPr>
                <w:rFonts w:ascii="Calibri" w:hAnsi="Calibri"/>
                <w:color w:val="333333"/>
                <w:spacing w:val="-5"/>
                <w:sz w:val="16"/>
              </w:rPr>
              <w:t> </w:t>
            </w:r>
            <w:r>
              <w:rPr>
                <w:rFonts w:ascii="Calibri" w:hAnsi="Calibri"/>
                <w:color w:val="333333"/>
                <w:spacing w:val="-2"/>
                <w:sz w:val="16"/>
              </w:rPr>
              <w:t>400</w:t>
            </w:r>
            <w:r>
              <w:rPr>
                <w:rFonts w:ascii="Calibri" w:hAnsi="Calibri"/>
                <w:color w:val="333333"/>
                <w:spacing w:val="-5"/>
                <w:sz w:val="16"/>
              </w:rPr>
              <w:t> </w:t>
            </w:r>
            <w:r>
              <w:rPr>
                <w:rFonts w:ascii="Calibri" w:hAnsi="Calibri"/>
                <w:color w:val="333333"/>
                <w:spacing w:val="-2"/>
                <w:sz w:val="16"/>
              </w:rPr>
              <w:t>000,00</w:t>
            </w:r>
            <w:r>
              <w:rPr>
                <w:rFonts w:ascii="Calibri" w:hAnsi="Calibri"/>
                <w:color w:val="333333"/>
                <w:spacing w:val="-5"/>
                <w:sz w:val="16"/>
              </w:rPr>
              <w:t> </w:t>
            </w:r>
            <w:r>
              <w:rPr>
                <w:rFonts w:ascii="Calibri" w:hAnsi="Calibri"/>
                <w:color w:val="333333"/>
                <w:spacing w:val="-2"/>
                <w:sz w:val="16"/>
              </w:rPr>
              <w:t>(2,90%);</w:t>
            </w:r>
            <w:r>
              <w:rPr>
                <w:rFonts w:ascii="Calibri" w:hAnsi="Calibri"/>
                <w:color w:val="333333"/>
                <w:spacing w:val="-5"/>
                <w:sz w:val="16"/>
              </w:rPr>
              <w:t> </w:t>
            </w:r>
            <w:r>
              <w:rPr>
                <w:rFonts w:ascii="Calibri" w:hAnsi="Calibri"/>
                <w:color w:val="333333"/>
                <w:spacing w:val="-2"/>
                <w:sz w:val="16"/>
              </w:rPr>
              <w:t>sin</w:t>
            </w:r>
            <w:r>
              <w:rPr>
                <w:rFonts w:ascii="Calibri" w:hAnsi="Calibri"/>
                <w:color w:val="333333"/>
                <w:spacing w:val="-5"/>
                <w:sz w:val="16"/>
              </w:rPr>
              <w:t> </w:t>
            </w:r>
            <w:r>
              <w:rPr>
                <w:rFonts w:ascii="Calibri" w:hAnsi="Calibri"/>
                <w:color w:val="333333"/>
                <w:spacing w:val="-2"/>
                <w:sz w:val="16"/>
              </w:rPr>
              <w:t>embargo,</w:t>
            </w:r>
            <w:r>
              <w:rPr>
                <w:rFonts w:ascii="Calibri" w:hAnsi="Calibri"/>
                <w:color w:val="333333"/>
                <w:spacing w:val="-4"/>
                <w:sz w:val="16"/>
              </w:rPr>
              <w:t> </w:t>
            </w:r>
            <w:r>
              <w:rPr>
                <w:rFonts w:ascii="Calibri" w:hAnsi="Calibri"/>
                <w:color w:val="333333"/>
                <w:spacing w:val="-2"/>
                <w:sz w:val="16"/>
              </w:rPr>
              <w:t>el</w:t>
            </w:r>
            <w:r>
              <w:rPr>
                <w:rFonts w:ascii="Calibri" w:hAnsi="Calibri"/>
                <w:color w:val="333333"/>
                <w:spacing w:val="-6"/>
                <w:sz w:val="16"/>
              </w:rPr>
              <w:t> </w:t>
            </w:r>
            <w:r>
              <w:rPr>
                <w:rFonts w:ascii="Calibri" w:hAnsi="Calibri"/>
                <w:color w:val="333333"/>
                <w:spacing w:val="-2"/>
                <w:sz w:val="16"/>
              </w:rPr>
              <w:t>patrimonio</w:t>
            </w:r>
            <w:r>
              <w:rPr>
                <w:rFonts w:ascii="Calibri" w:hAnsi="Calibri"/>
                <w:color w:val="333333"/>
                <w:spacing w:val="-5"/>
                <w:sz w:val="16"/>
              </w:rPr>
              <w:t> </w:t>
            </w:r>
            <w:r>
              <w:rPr>
                <w:rFonts w:ascii="Calibri" w:hAnsi="Calibri"/>
                <w:color w:val="333333"/>
                <w:spacing w:val="-2"/>
                <w:sz w:val="16"/>
              </w:rPr>
              <w:t>consumido</w:t>
            </w:r>
            <w:r>
              <w:rPr>
                <w:rFonts w:ascii="Calibri" w:hAnsi="Calibri"/>
                <w:color w:val="333333"/>
                <w:spacing w:val="40"/>
                <w:sz w:val="16"/>
              </w:rPr>
              <w:t> </w:t>
            </w:r>
            <w:r>
              <w:rPr>
                <w:rFonts w:ascii="Calibri" w:hAnsi="Calibri"/>
                <w:color w:val="333333"/>
                <w:sz w:val="16"/>
              </w:rPr>
              <w:t>aumentó en magnitud 812 186,15 (10,27%).</w:t>
            </w:r>
          </w:p>
        </w:tc>
      </w:tr>
      <w:tr>
        <w:trPr>
          <w:trHeight w:val="537" w:hRule="atLeast"/>
        </w:trPr>
        <w:tc>
          <w:tcPr>
            <w:tcW w:w="6244" w:type="dxa"/>
            <w:tcBorders>
              <w:bottom w:val="single" w:sz="2" w:space="0" w:color="FFFFFF"/>
              <w:right w:val="single" w:sz="2" w:space="0" w:color="FFFFFF"/>
            </w:tcBorders>
            <w:shd w:val="clear" w:color="auto" w:fill="D9E0F1"/>
          </w:tcPr>
          <w:p>
            <w:pPr>
              <w:pStyle w:val="TableParagraph"/>
              <w:spacing w:line="252" w:lineRule="auto" w:before="68"/>
              <w:ind w:left="31"/>
              <w:rPr>
                <w:rFonts w:ascii="Calibri" w:hAnsi="Calibri"/>
                <w:b/>
                <w:sz w:val="16"/>
              </w:rPr>
            </w:pPr>
            <w:r>
              <w:rPr>
                <w:rFonts w:ascii="Calibri" w:hAnsi="Calibri"/>
                <w:b/>
                <w:color w:val="333333"/>
                <w:sz w:val="16"/>
              </w:rPr>
              <w:t>Conclusión:</w:t>
            </w:r>
            <w:r>
              <w:rPr>
                <w:rFonts w:ascii="Calibri" w:hAnsi="Calibri"/>
                <w:b/>
                <w:color w:val="333333"/>
                <w:spacing w:val="-10"/>
                <w:sz w:val="16"/>
              </w:rPr>
              <w:t> </w:t>
            </w:r>
            <w:r>
              <w:rPr>
                <w:rFonts w:ascii="Calibri" w:hAnsi="Calibri"/>
                <w:b/>
                <w:color w:val="333333"/>
                <w:sz w:val="16"/>
              </w:rPr>
              <w:t>el</w:t>
            </w:r>
            <w:r>
              <w:rPr>
                <w:rFonts w:ascii="Calibri" w:hAnsi="Calibri"/>
                <w:b/>
                <w:color w:val="333333"/>
                <w:spacing w:val="-9"/>
                <w:sz w:val="16"/>
              </w:rPr>
              <w:t> </w:t>
            </w:r>
            <w:r>
              <w:rPr>
                <w:rFonts w:ascii="Calibri" w:hAnsi="Calibri"/>
                <w:b/>
                <w:color w:val="333333"/>
                <w:sz w:val="16"/>
              </w:rPr>
              <w:t>patrimonio</w:t>
            </w:r>
            <w:r>
              <w:rPr>
                <w:rFonts w:ascii="Calibri" w:hAnsi="Calibri"/>
                <w:b/>
                <w:color w:val="333333"/>
                <w:spacing w:val="-9"/>
                <w:sz w:val="16"/>
              </w:rPr>
              <w:t> </w:t>
            </w:r>
            <w:r>
              <w:rPr>
                <w:rFonts w:ascii="Calibri" w:hAnsi="Calibri"/>
                <w:b/>
                <w:color w:val="333333"/>
                <w:sz w:val="16"/>
              </w:rPr>
              <w:t>consumido</w:t>
            </w:r>
            <w:r>
              <w:rPr>
                <w:rFonts w:ascii="Calibri" w:hAnsi="Calibri"/>
                <w:b/>
                <w:color w:val="333333"/>
                <w:spacing w:val="-9"/>
                <w:sz w:val="16"/>
              </w:rPr>
              <w:t> </w:t>
            </w:r>
            <w:r>
              <w:rPr>
                <w:rFonts w:ascii="Calibri" w:hAnsi="Calibri"/>
                <w:b/>
                <w:color w:val="333333"/>
                <w:sz w:val="16"/>
              </w:rPr>
              <w:t>equivale</w:t>
            </w:r>
            <w:r>
              <w:rPr>
                <w:rFonts w:ascii="Calibri" w:hAnsi="Calibri"/>
                <w:b/>
                <w:color w:val="333333"/>
                <w:spacing w:val="-9"/>
                <w:sz w:val="16"/>
              </w:rPr>
              <w:t> </w:t>
            </w:r>
            <w:r>
              <w:rPr>
                <w:rFonts w:ascii="Calibri" w:hAnsi="Calibri"/>
                <w:b/>
                <w:color w:val="333333"/>
                <w:sz w:val="16"/>
              </w:rPr>
              <w:t>al</w:t>
            </w:r>
            <w:r>
              <w:rPr>
                <w:rFonts w:ascii="Calibri" w:hAnsi="Calibri"/>
                <w:b/>
                <w:color w:val="333333"/>
                <w:spacing w:val="-9"/>
                <w:sz w:val="16"/>
              </w:rPr>
              <w:t> </w:t>
            </w:r>
            <w:r>
              <w:rPr>
                <w:rFonts w:ascii="Calibri" w:hAnsi="Calibri"/>
                <w:b/>
                <w:color w:val="333333"/>
                <w:sz w:val="16"/>
              </w:rPr>
              <w:t>61,51%</w:t>
            </w:r>
            <w:r>
              <w:rPr>
                <w:rFonts w:ascii="Calibri" w:hAnsi="Calibri"/>
                <w:b/>
                <w:color w:val="333333"/>
                <w:spacing w:val="-9"/>
                <w:sz w:val="16"/>
              </w:rPr>
              <w:t> </w:t>
            </w:r>
            <w:r>
              <w:rPr>
                <w:rFonts w:ascii="Calibri" w:hAnsi="Calibri"/>
                <w:b/>
                <w:color w:val="333333"/>
                <w:sz w:val="16"/>
              </w:rPr>
              <w:t>de</w:t>
            </w:r>
            <w:r>
              <w:rPr>
                <w:rFonts w:ascii="Calibri" w:hAnsi="Calibri"/>
                <w:b/>
                <w:color w:val="333333"/>
                <w:spacing w:val="-9"/>
                <w:sz w:val="16"/>
              </w:rPr>
              <w:t> </w:t>
            </w:r>
            <w:r>
              <w:rPr>
                <w:rFonts w:ascii="Calibri" w:hAnsi="Calibri"/>
                <w:b/>
                <w:color w:val="333333"/>
                <w:sz w:val="16"/>
              </w:rPr>
              <w:t>los</w:t>
            </w:r>
            <w:r>
              <w:rPr>
                <w:rFonts w:ascii="Calibri" w:hAnsi="Calibri"/>
                <w:b/>
                <w:color w:val="333333"/>
                <w:spacing w:val="-9"/>
                <w:sz w:val="16"/>
              </w:rPr>
              <w:t> </w:t>
            </w:r>
            <w:r>
              <w:rPr>
                <w:rFonts w:ascii="Calibri" w:hAnsi="Calibri"/>
                <w:b/>
                <w:color w:val="333333"/>
                <w:sz w:val="16"/>
              </w:rPr>
              <w:t>aportes,</w:t>
            </w:r>
            <w:r>
              <w:rPr>
                <w:rFonts w:ascii="Calibri" w:hAnsi="Calibri"/>
                <w:b/>
                <w:color w:val="333333"/>
                <w:spacing w:val="-9"/>
                <w:sz w:val="16"/>
              </w:rPr>
              <w:t> </w:t>
            </w:r>
            <w:r>
              <w:rPr>
                <w:rFonts w:ascii="Calibri" w:hAnsi="Calibri"/>
                <w:b/>
                <w:color w:val="333333"/>
                <w:sz w:val="16"/>
              </w:rPr>
              <w:t>frente</w:t>
            </w:r>
            <w:r>
              <w:rPr>
                <w:rFonts w:ascii="Calibri" w:hAnsi="Calibri"/>
                <w:b/>
                <w:color w:val="333333"/>
                <w:spacing w:val="-9"/>
                <w:sz w:val="16"/>
              </w:rPr>
              <w:t> </w:t>
            </w:r>
            <w:r>
              <w:rPr>
                <w:rFonts w:ascii="Calibri" w:hAnsi="Calibri"/>
                <w:b/>
                <w:color w:val="333333"/>
                <w:sz w:val="16"/>
              </w:rPr>
              <w:t>al</w:t>
            </w:r>
            <w:r>
              <w:rPr>
                <w:rFonts w:ascii="Calibri" w:hAnsi="Calibri"/>
                <w:b/>
                <w:color w:val="333333"/>
                <w:spacing w:val="-9"/>
                <w:sz w:val="16"/>
              </w:rPr>
              <w:t> </w:t>
            </w:r>
            <w:r>
              <w:rPr>
                <w:rFonts w:ascii="Calibri" w:hAnsi="Calibri"/>
                <w:b/>
                <w:color w:val="333333"/>
                <w:sz w:val="16"/>
              </w:rPr>
              <w:t>57,40%</w:t>
            </w:r>
            <w:r>
              <w:rPr>
                <w:rFonts w:ascii="Calibri" w:hAnsi="Calibri"/>
                <w:b/>
                <w:color w:val="333333"/>
                <w:spacing w:val="-9"/>
                <w:sz w:val="16"/>
              </w:rPr>
              <w:t> </w:t>
            </w:r>
            <w:r>
              <w:rPr>
                <w:rFonts w:ascii="Calibri" w:hAnsi="Calibri"/>
                <w:b/>
                <w:color w:val="333333"/>
                <w:sz w:val="16"/>
              </w:rPr>
              <w:t>en</w:t>
            </w:r>
            <w:r>
              <w:rPr>
                <w:rFonts w:ascii="Calibri" w:hAnsi="Calibri"/>
                <w:b/>
                <w:color w:val="333333"/>
                <w:spacing w:val="40"/>
                <w:sz w:val="16"/>
              </w:rPr>
              <w:t> </w:t>
            </w:r>
            <w:r>
              <w:rPr>
                <w:rFonts w:ascii="Calibri" w:hAnsi="Calibri"/>
                <w:b/>
                <w:color w:val="333333"/>
                <w:spacing w:val="-2"/>
                <w:sz w:val="16"/>
              </w:rPr>
              <w:t>julio</w:t>
            </w:r>
            <w:r>
              <w:rPr>
                <w:rFonts w:ascii="Calibri" w:hAnsi="Calibri"/>
                <w:b/>
                <w:color w:val="333333"/>
                <w:spacing w:val="-7"/>
                <w:sz w:val="16"/>
              </w:rPr>
              <w:t> </w:t>
            </w:r>
            <w:r>
              <w:rPr>
                <w:rFonts w:ascii="Calibri" w:hAnsi="Calibri"/>
                <w:b/>
                <w:color w:val="333333"/>
                <w:spacing w:val="-2"/>
                <w:sz w:val="16"/>
              </w:rPr>
              <w:t>de</w:t>
            </w:r>
            <w:r>
              <w:rPr>
                <w:rFonts w:ascii="Calibri" w:hAnsi="Calibri"/>
                <w:b/>
                <w:color w:val="333333"/>
                <w:spacing w:val="-6"/>
                <w:sz w:val="16"/>
              </w:rPr>
              <w:t> </w:t>
            </w:r>
            <w:r>
              <w:rPr>
                <w:rFonts w:ascii="Calibri" w:hAnsi="Calibri"/>
                <w:b/>
                <w:color w:val="333333"/>
                <w:spacing w:val="-2"/>
                <w:sz w:val="16"/>
              </w:rPr>
              <w:t>2025;</w:t>
            </w:r>
            <w:r>
              <w:rPr>
                <w:rFonts w:ascii="Calibri" w:hAnsi="Calibri"/>
                <w:b/>
                <w:color w:val="333333"/>
                <w:spacing w:val="-6"/>
                <w:sz w:val="16"/>
              </w:rPr>
              <w:t> </w:t>
            </w:r>
            <w:r>
              <w:rPr>
                <w:rFonts w:ascii="Calibri" w:hAnsi="Calibri"/>
                <w:b/>
                <w:color w:val="333333"/>
                <w:spacing w:val="-2"/>
                <w:sz w:val="16"/>
              </w:rPr>
              <w:t>el</w:t>
            </w:r>
            <w:r>
              <w:rPr>
                <w:rFonts w:ascii="Calibri" w:hAnsi="Calibri"/>
                <w:b/>
                <w:color w:val="333333"/>
                <w:spacing w:val="-7"/>
                <w:sz w:val="16"/>
              </w:rPr>
              <w:t> </w:t>
            </w:r>
            <w:r>
              <w:rPr>
                <w:rFonts w:ascii="Calibri" w:hAnsi="Calibri"/>
                <w:b/>
                <w:color w:val="333333"/>
                <w:spacing w:val="-2"/>
                <w:sz w:val="16"/>
              </w:rPr>
              <w:t>incremento</w:t>
            </w:r>
            <w:r>
              <w:rPr>
                <w:rFonts w:ascii="Calibri" w:hAnsi="Calibri"/>
                <w:b/>
                <w:color w:val="333333"/>
                <w:spacing w:val="-7"/>
                <w:sz w:val="16"/>
              </w:rPr>
              <w:t> </w:t>
            </w:r>
            <w:r>
              <w:rPr>
                <w:rFonts w:ascii="Calibri" w:hAnsi="Calibri"/>
                <w:b/>
                <w:color w:val="333333"/>
                <w:spacing w:val="-2"/>
                <w:sz w:val="16"/>
              </w:rPr>
              <w:t>de</w:t>
            </w:r>
            <w:r>
              <w:rPr>
                <w:rFonts w:ascii="Calibri" w:hAnsi="Calibri"/>
                <w:b/>
                <w:color w:val="333333"/>
                <w:spacing w:val="-6"/>
                <w:sz w:val="16"/>
              </w:rPr>
              <w:t> </w:t>
            </w:r>
            <w:r>
              <w:rPr>
                <w:rFonts w:ascii="Calibri" w:hAnsi="Calibri"/>
                <w:b/>
                <w:color w:val="333333"/>
                <w:spacing w:val="-2"/>
                <w:sz w:val="16"/>
              </w:rPr>
              <w:t>aportes</w:t>
            </w:r>
            <w:r>
              <w:rPr>
                <w:rFonts w:ascii="Calibri" w:hAnsi="Calibri"/>
                <w:b/>
                <w:color w:val="333333"/>
                <w:spacing w:val="-8"/>
                <w:sz w:val="16"/>
              </w:rPr>
              <w:t> </w:t>
            </w:r>
            <w:r>
              <w:rPr>
                <w:rFonts w:ascii="Calibri" w:hAnsi="Calibri"/>
                <w:b/>
                <w:color w:val="333333"/>
                <w:spacing w:val="-2"/>
                <w:sz w:val="16"/>
              </w:rPr>
              <w:t>no</w:t>
            </w:r>
            <w:r>
              <w:rPr>
                <w:rFonts w:ascii="Calibri" w:hAnsi="Calibri"/>
                <w:b/>
                <w:color w:val="333333"/>
                <w:spacing w:val="-7"/>
                <w:sz w:val="16"/>
              </w:rPr>
              <w:t> </w:t>
            </w:r>
            <w:r>
              <w:rPr>
                <w:rFonts w:ascii="Calibri" w:hAnsi="Calibri"/>
                <w:b/>
                <w:color w:val="333333"/>
                <w:spacing w:val="-2"/>
                <w:sz w:val="16"/>
              </w:rPr>
              <w:t>compensó</w:t>
            </w:r>
            <w:r>
              <w:rPr>
                <w:rFonts w:ascii="Calibri" w:hAnsi="Calibri"/>
                <w:b/>
                <w:color w:val="333333"/>
                <w:spacing w:val="-7"/>
                <w:sz w:val="16"/>
              </w:rPr>
              <w:t> </w:t>
            </w:r>
            <w:r>
              <w:rPr>
                <w:rFonts w:ascii="Calibri" w:hAnsi="Calibri"/>
                <w:b/>
                <w:color w:val="333333"/>
                <w:spacing w:val="-2"/>
                <w:sz w:val="16"/>
              </w:rPr>
              <w:t>el</w:t>
            </w:r>
            <w:r>
              <w:rPr>
                <w:rFonts w:ascii="Calibri" w:hAnsi="Calibri"/>
                <w:b/>
                <w:color w:val="333333"/>
                <w:spacing w:val="-7"/>
                <w:sz w:val="16"/>
              </w:rPr>
              <w:t> </w:t>
            </w:r>
            <w:r>
              <w:rPr>
                <w:rFonts w:ascii="Calibri" w:hAnsi="Calibri"/>
                <w:b/>
                <w:color w:val="333333"/>
                <w:spacing w:val="-2"/>
                <w:sz w:val="16"/>
              </w:rPr>
              <w:t>deterioro</w:t>
            </w:r>
            <w:r>
              <w:rPr>
                <w:rFonts w:ascii="Calibri" w:hAnsi="Calibri"/>
                <w:b/>
                <w:color w:val="333333"/>
                <w:spacing w:val="-7"/>
                <w:sz w:val="16"/>
              </w:rPr>
              <w:t> </w:t>
            </w:r>
            <w:r>
              <w:rPr>
                <w:rFonts w:ascii="Calibri" w:hAnsi="Calibri"/>
                <w:b/>
                <w:color w:val="333333"/>
                <w:spacing w:val="-2"/>
                <w:sz w:val="16"/>
              </w:rPr>
              <w:t>acumulado</w:t>
            </w:r>
            <w:r>
              <w:rPr>
                <w:rFonts w:ascii="Calibri" w:hAnsi="Calibri"/>
                <w:b/>
                <w:color w:val="333333"/>
                <w:spacing w:val="-7"/>
                <w:sz w:val="16"/>
              </w:rPr>
              <w:t> </w:t>
            </w:r>
            <w:r>
              <w:rPr>
                <w:rFonts w:ascii="Calibri" w:hAnsi="Calibri"/>
                <w:b/>
                <w:color w:val="333333"/>
                <w:spacing w:val="-2"/>
                <w:sz w:val="16"/>
              </w:rPr>
              <w:t>del</w:t>
            </w:r>
            <w:r>
              <w:rPr>
                <w:rFonts w:ascii="Calibri" w:hAnsi="Calibri"/>
                <w:b/>
                <w:color w:val="333333"/>
                <w:spacing w:val="-7"/>
                <w:sz w:val="16"/>
              </w:rPr>
              <w:t> </w:t>
            </w:r>
            <w:r>
              <w:rPr>
                <w:rFonts w:ascii="Calibri" w:hAnsi="Calibri"/>
                <w:b/>
                <w:color w:val="333333"/>
                <w:spacing w:val="-2"/>
                <w:sz w:val="16"/>
              </w:rPr>
              <w:t>patrimonio.</w:t>
            </w:r>
          </w:p>
        </w:tc>
      </w:tr>
    </w:tbl>
    <w:p>
      <w:pPr>
        <w:pStyle w:val="BodyText"/>
        <w:spacing w:line="256" w:lineRule="auto" w:before="186"/>
        <w:ind w:left="730" w:right="1001"/>
      </w:pPr>
      <w:r>
        <w:rPr/>
        <w:t>Al</w:t>
      </w:r>
      <w:r>
        <w:rPr>
          <w:spacing w:val="-2"/>
        </w:rPr>
        <w:t> </w:t>
      </w:r>
      <w:r>
        <w:rPr/>
        <w:t>31</w:t>
      </w:r>
      <w:r>
        <w:rPr>
          <w:spacing w:val="-3"/>
        </w:rPr>
        <w:t> </w:t>
      </w:r>
      <w:r>
        <w:rPr/>
        <w:t>de</w:t>
      </w:r>
      <w:r>
        <w:rPr>
          <w:spacing w:val="-4"/>
        </w:rPr>
        <w:t> </w:t>
      </w:r>
      <w:r>
        <w:rPr/>
        <w:t>julio</w:t>
      </w:r>
      <w:r>
        <w:rPr>
          <w:spacing w:val="-2"/>
        </w:rPr>
        <w:t> </w:t>
      </w:r>
      <w:r>
        <w:rPr/>
        <w:t>2026</w:t>
      </w:r>
      <w:r>
        <w:rPr>
          <w:spacing w:val="-3"/>
        </w:rPr>
        <w:t> </w:t>
      </w:r>
      <w:r>
        <w:rPr/>
        <w:t>los</w:t>
      </w:r>
      <w:r>
        <w:rPr>
          <w:spacing w:val="-2"/>
        </w:rPr>
        <w:t> </w:t>
      </w:r>
      <w:r>
        <w:rPr/>
        <w:t>aportes</w:t>
      </w:r>
      <w:r>
        <w:rPr>
          <w:spacing w:val="-2"/>
        </w:rPr>
        <w:t> </w:t>
      </w:r>
      <w:r>
        <w:rPr/>
        <w:t>netos</w:t>
      </w:r>
      <w:r>
        <w:rPr>
          <w:spacing w:val="-2"/>
        </w:rPr>
        <w:t> </w:t>
      </w:r>
      <w:r>
        <w:rPr/>
        <w:t>realizados</w:t>
      </w:r>
      <w:r>
        <w:rPr>
          <w:spacing w:val="-4"/>
        </w:rPr>
        <w:t> </w:t>
      </w:r>
      <w:r>
        <w:rPr/>
        <w:t>al</w:t>
      </w:r>
      <w:r>
        <w:rPr>
          <w:spacing w:val="-2"/>
        </w:rPr>
        <w:t> </w:t>
      </w:r>
      <w:r>
        <w:rPr/>
        <w:t>Fideicomiso</w:t>
      </w:r>
      <w:r>
        <w:rPr>
          <w:spacing w:val="-2"/>
        </w:rPr>
        <w:t> </w:t>
      </w:r>
      <w:r>
        <w:rPr/>
        <w:t>ascienden</w:t>
      </w:r>
      <w:r>
        <w:rPr>
          <w:spacing w:val="-1"/>
        </w:rPr>
        <w:t> </w:t>
      </w:r>
      <w:r>
        <w:rPr>
          <w:sz w:val="20"/>
        </w:rPr>
        <w:t>a</w:t>
      </w:r>
      <w:r>
        <w:rPr>
          <w:spacing w:val="-3"/>
          <w:sz w:val="20"/>
        </w:rPr>
        <w:t> </w:t>
      </w:r>
      <w:r>
        <w:rPr>
          <w:sz w:val="20"/>
        </w:rPr>
        <w:t>¢14.182.817,46</w:t>
      </w:r>
      <w:r>
        <w:rPr/>
        <w:t>,</w:t>
      </w:r>
      <w:r>
        <w:rPr>
          <w:spacing w:val="-2"/>
        </w:rPr>
        <w:t> </w:t>
      </w:r>
      <w:r>
        <w:rPr/>
        <w:t>de</w:t>
      </w:r>
      <w:r>
        <w:rPr>
          <w:spacing w:val="-4"/>
        </w:rPr>
        <w:t> </w:t>
      </w:r>
      <w:r>
        <w:rPr/>
        <w:t>los cuáles el 61,51% se ha consumido en las operaciones del fideicomiso.</w:t>
      </w:r>
    </w:p>
    <w:p>
      <w:pPr>
        <w:pStyle w:val="BodyText"/>
        <w:spacing w:before="4"/>
        <w:rPr>
          <w:sz w:val="14"/>
        </w:rPr>
      </w:pPr>
    </w:p>
    <w:tbl>
      <w:tblPr>
        <w:tblW w:w="0" w:type="auto"/>
        <w:jc w:val="left"/>
        <w:tblInd w:w="2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9"/>
        <w:gridCol w:w="1432"/>
        <w:gridCol w:w="1475"/>
      </w:tblGrid>
      <w:tr>
        <w:trPr>
          <w:trHeight w:val="456" w:hRule="atLeast"/>
        </w:trPr>
        <w:tc>
          <w:tcPr>
            <w:tcW w:w="4786" w:type="dxa"/>
            <w:gridSpan w:val="3"/>
            <w:tcBorders>
              <w:top w:val="nil"/>
              <w:left w:val="nil"/>
              <w:right w:val="nil"/>
            </w:tcBorders>
            <w:shd w:val="clear" w:color="auto" w:fill="FFFFFF"/>
          </w:tcPr>
          <w:p>
            <w:pPr>
              <w:pStyle w:val="TableParagraph"/>
              <w:spacing w:before="16"/>
              <w:ind w:left="22" w:right="19"/>
              <w:jc w:val="center"/>
              <w:rPr>
                <w:rFonts w:ascii="Calibri"/>
                <w:b/>
                <w:sz w:val="17"/>
              </w:rPr>
            </w:pPr>
            <w:r>
              <w:rPr>
                <w:rFonts w:ascii="Calibri"/>
                <w:b/>
                <w:spacing w:val="-2"/>
                <w:w w:val="105"/>
                <w:sz w:val="17"/>
              </w:rPr>
              <w:t>Detalle</w:t>
            </w:r>
            <w:r>
              <w:rPr>
                <w:rFonts w:ascii="Calibri"/>
                <w:b/>
                <w:spacing w:val="6"/>
                <w:w w:val="105"/>
                <w:sz w:val="17"/>
              </w:rPr>
              <w:t> </w:t>
            </w:r>
            <w:r>
              <w:rPr>
                <w:rFonts w:ascii="Calibri"/>
                <w:b/>
                <w:spacing w:val="-2"/>
                <w:w w:val="105"/>
                <w:sz w:val="17"/>
              </w:rPr>
              <w:t>Estados</w:t>
            </w:r>
            <w:r>
              <w:rPr>
                <w:rFonts w:ascii="Calibri"/>
                <w:b/>
                <w:spacing w:val="5"/>
                <w:w w:val="105"/>
                <w:sz w:val="17"/>
              </w:rPr>
              <w:t> </w:t>
            </w:r>
            <w:r>
              <w:rPr>
                <w:rFonts w:ascii="Calibri"/>
                <w:b/>
                <w:spacing w:val="-2"/>
                <w:w w:val="105"/>
                <w:sz w:val="17"/>
              </w:rPr>
              <w:t>Financiero</w:t>
            </w:r>
            <w:r>
              <w:rPr>
                <w:rFonts w:ascii="Calibri"/>
                <w:b/>
                <w:spacing w:val="5"/>
                <w:w w:val="105"/>
                <w:sz w:val="17"/>
              </w:rPr>
              <w:t> </w:t>
            </w:r>
            <w:r>
              <w:rPr>
                <w:rFonts w:ascii="Calibri"/>
                <w:b/>
                <w:spacing w:val="-2"/>
                <w:w w:val="105"/>
                <w:sz w:val="17"/>
              </w:rPr>
              <w:t>Fideimas</w:t>
            </w:r>
            <w:r>
              <w:rPr>
                <w:rFonts w:ascii="Calibri"/>
                <w:b/>
                <w:spacing w:val="5"/>
                <w:w w:val="105"/>
                <w:sz w:val="17"/>
              </w:rPr>
              <w:t> </w:t>
            </w:r>
            <w:r>
              <w:rPr>
                <w:rFonts w:ascii="Calibri"/>
                <w:b/>
                <w:spacing w:val="-2"/>
                <w:w w:val="105"/>
                <w:sz w:val="17"/>
              </w:rPr>
              <w:t>Julio</w:t>
            </w:r>
            <w:r>
              <w:rPr>
                <w:rFonts w:ascii="Calibri"/>
                <w:b/>
                <w:spacing w:val="5"/>
                <w:w w:val="105"/>
                <w:sz w:val="17"/>
              </w:rPr>
              <w:t> </w:t>
            </w:r>
            <w:r>
              <w:rPr>
                <w:rFonts w:ascii="Calibri"/>
                <w:b/>
                <w:spacing w:val="-2"/>
                <w:w w:val="105"/>
                <w:sz w:val="17"/>
              </w:rPr>
              <w:t>2026-</w:t>
            </w:r>
            <w:r>
              <w:rPr>
                <w:rFonts w:ascii="Calibri"/>
                <w:b/>
                <w:spacing w:val="-4"/>
                <w:w w:val="105"/>
                <w:sz w:val="17"/>
              </w:rPr>
              <w:t>2025</w:t>
            </w:r>
          </w:p>
          <w:p>
            <w:pPr>
              <w:pStyle w:val="TableParagraph"/>
              <w:spacing w:line="180" w:lineRule="exact" w:before="32"/>
              <w:ind w:left="3" w:right="22"/>
              <w:jc w:val="center"/>
              <w:rPr>
                <w:rFonts w:ascii="Calibri"/>
                <w:b/>
                <w:i/>
                <w:sz w:val="16"/>
              </w:rPr>
            </w:pPr>
            <w:r>
              <w:rPr>
                <w:rFonts w:ascii="Calibri"/>
                <w:b/>
                <w:i/>
                <w:sz w:val="16"/>
              </w:rPr>
              <w:t>En</w:t>
            </w:r>
            <w:r>
              <w:rPr>
                <w:rFonts w:ascii="Calibri"/>
                <w:b/>
                <w:i/>
                <w:spacing w:val="-8"/>
                <w:sz w:val="16"/>
              </w:rPr>
              <w:t> </w:t>
            </w:r>
            <w:r>
              <w:rPr>
                <w:rFonts w:ascii="Calibri"/>
                <w:b/>
                <w:i/>
                <w:sz w:val="16"/>
              </w:rPr>
              <w:t>miles</w:t>
            </w:r>
            <w:r>
              <w:rPr>
                <w:rFonts w:ascii="Calibri"/>
                <w:b/>
                <w:i/>
                <w:spacing w:val="-8"/>
                <w:sz w:val="16"/>
              </w:rPr>
              <w:t> </w:t>
            </w:r>
            <w:r>
              <w:rPr>
                <w:rFonts w:ascii="Calibri"/>
                <w:b/>
                <w:i/>
                <w:sz w:val="16"/>
              </w:rPr>
              <w:t>de</w:t>
            </w:r>
            <w:r>
              <w:rPr>
                <w:rFonts w:ascii="Calibri"/>
                <w:b/>
                <w:i/>
                <w:spacing w:val="-4"/>
                <w:sz w:val="16"/>
              </w:rPr>
              <w:t> </w:t>
            </w:r>
            <w:r>
              <w:rPr>
                <w:rFonts w:ascii="Calibri"/>
                <w:b/>
                <w:i/>
                <w:spacing w:val="-2"/>
                <w:sz w:val="16"/>
              </w:rPr>
              <w:t>colones</w:t>
            </w:r>
          </w:p>
        </w:tc>
      </w:tr>
      <w:tr>
        <w:trPr>
          <w:trHeight w:val="225" w:hRule="atLeast"/>
        </w:trPr>
        <w:tc>
          <w:tcPr>
            <w:tcW w:w="1879" w:type="dxa"/>
            <w:tcBorders>
              <w:left w:val="single" w:sz="2" w:space="0" w:color="000000"/>
              <w:right w:val="single" w:sz="2" w:space="0" w:color="000000"/>
            </w:tcBorders>
            <w:shd w:val="clear" w:color="auto" w:fill="FFFFFF"/>
          </w:tcPr>
          <w:p>
            <w:pPr>
              <w:pStyle w:val="TableParagraph"/>
              <w:spacing w:line="190" w:lineRule="exact" w:before="15"/>
              <w:ind w:left="20" w:right="8"/>
              <w:jc w:val="center"/>
              <w:rPr>
                <w:rFonts w:ascii="Calibri"/>
                <w:b/>
                <w:sz w:val="17"/>
              </w:rPr>
            </w:pPr>
            <w:r>
              <w:rPr>
                <w:rFonts w:ascii="Calibri"/>
                <w:b/>
                <w:spacing w:val="-2"/>
                <w:w w:val="105"/>
                <w:sz w:val="17"/>
              </w:rPr>
              <w:t>Detalle</w:t>
            </w:r>
          </w:p>
        </w:tc>
        <w:tc>
          <w:tcPr>
            <w:tcW w:w="1432" w:type="dxa"/>
            <w:tcBorders>
              <w:left w:val="single" w:sz="2" w:space="0" w:color="000000"/>
              <w:right w:val="single" w:sz="2" w:space="0" w:color="000000"/>
            </w:tcBorders>
            <w:shd w:val="clear" w:color="auto" w:fill="FFFFFF"/>
          </w:tcPr>
          <w:p>
            <w:pPr>
              <w:pStyle w:val="TableParagraph"/>
              <w:spacing w:line="190" w:lineRule="exact" w:before="15"/>
              <w:ind w:left="398"/>
              <w:rPr>
                <w:rFonts w:ascii="Calibri"/>
                <w:b/>
                <w:sz w:val="17"/>
              </w:rPr>
            </w:pPr>
            <w:r>
              <w:rPr>
                <w:rFonts w:ascii="Calibri"/>
                <w:b/>
                <w:spacing w:val="-2"/>
                <w:w w:val="105"/>
                <w:sz w:val="17"/>
              </w:rPr>
              <w:t>31.07.26</w:t>
            </w:r>
          </w:p>
        </w:tc>
        <w:tc>
          <w:tcPr>
            <w:tcW w:w="1475" w:type="dxa"/>
            <w:tcBorders>
              <w:left w:val="single" w:sz="2" w:space="0" w:color="000000"/>
            </w:tcBorders>
            <w:shd w:val="clear" w:color="auto" w:fill="FFFFFF"/>
          </w:tcPr>
          <w:p>
            <w:pPr>
              <w:pStyle w:val="TableParagraph"/>
              <w:spacing w:line="190" w:lineRule="exact" w:before="15"/>
              <w:ind w:left="373"/>
              <w:rPr>
                <w:rFonts w:ascii="Calibri"/>
                <w:b/>
                <w:sz w:val="17"/>
              </w:rPr>
            </w:pPr>
            <w:r>
              <w:rPr>
                <w:rFonts w:ascii="Calibri"/>
                <w:b/>
                <w:spacing w:val="-2"/>
                <w:w w:val="105"/>
                <w:sz w:val="17"/>
              </w:rPr>
              <w:t>31.07.262</w:t>
            </w:r>
          </w:p>
        </w:tc>
      </w:tr>
      <w:tr>
        <w:trPr>
          <w:trHeight w:val="225" w:hRule="atLeast"/>
        </w:trPr>
        <w:tc>
          <w:tcPr>
            <w:tcW w:w="1879" w:type="dxa"/>
            <w:tcBorders>
              <w:left w:val="single" w:sz="2" w:space="0" w:color="000000"/>
              <w:bottom w:val="single" w:sz="2" w:space="0" w:color="44B3E0"/>
              <w:right w:val="single" w:sz="2" w:space="0" w:color="000000"/>
            </w:tcBorders>
            <w:shd w:val="clear" w:color="auto" w:fill="DAE9F8"/>
          </w:tcPr>
          <w:p>
            <w:pPr>
              <w:pStyle w:val="TableParagraph"/>
              <w:spacing w:line="180" w:lineRule="exact" w:before="25"/>
              <w:ind w:left="28"/>
              <w:rPr>
                <w:rFonts w:ascii="Calibri"/>
                <w:sz w:val="16"/>
              </w:rPr>
            </w:pPr>
            <w:r>
              <w:rPr>
                <w:rFonts w:ascii="Calibri"/>
                <w:w w:val="90"/>
                <w:sz w:val="16"/>
              </w:rPr>
              <w:t>Total</w:t>
            </w:r>
            <w:r>
              <w:rPr>
                <w:rFonts w:ascii="Calibri"/>
                <w:spacing w:val="2"/>
                <w:sz w:val="16"/>
              </w:rPr>
              <w:t> </w:t>
            </w:r>
            <w:r>
              <w:rPr>
                <w:rFonts w:ascii="Calibri"/>
                <w:spacing w:val="-2"/>
                <w:sz w:val="16"/>
              </w:rPr>
              <w:t>Activos</w:t>
            </w:r>
          </w:p>
        </w:tc>
        <w:tc>
          <w:tcPr>
            <w:tcW w:w="1432" w:type="dxa"/>
            <w:tcBorders>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5</w:t>
            </w:r>
            <w:r>
              <w:rPr>
                <w:rFonts w:ascii="Calibri"/>
                <w:spacing w:val="-9"/>
                <w:sz w:val="16"/>
              </w:rPr>
              <w:t> </w:t>
            </w:r>
            <w:r>
              <w:rPr>
                <w:rFonts w:ascii="Calibri"/>
                <w:sz w:val="16"/>
              </w:rPr>
              <w:t>687</w:t>
            </w:r>
            <w:r>
              <w:rPr>
                <w:rFonts w:ascii="Calibri"/>
                <w:spacing w:val="-9"/>
                <w:sz w:val="16"/>
              </w:rPr>
              <w:t> </w:t>
            </w:r>
            <w:r>
              <w:rPr>
                <w:rFonts w:ascii="Calibri"/>
                <w:spacing w:val="-2"/>
                <w:sz w:val="16"/>
              </w:rPr>
              <w:t>847,60</w:t>
            </w:r>
          </w:p>
        </w:tc>
        <w:tc>
          <w:tcPr>
            <w:tcW w:w="1475" w:type="dxa"/>
            <w:tcBorders>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6</w:t>
            </w:r>
            <w:r>
              <w:rPr>
                <w:rFonts w:ascii="Calibri"/>
                <w:spacing w:val="-9"/>
                <w:sz w:val="16"/>
              </w:rPr>
              <w:t> </w:t>
            </w:r>
            <w:r>
              <w:rPr>
                <w:rFonts w:ascii="Calibri"/>
                <w:sz w:val="16"/>
              </w:rPr>
              <w:t>086</w:t>
            </w:r>
            <w:r>
              <w:rPr>
                <w:rFonts w:ascii="Calibri"/>
                <w:spacing w:val="-9"/>
                <w:sz w:val="16"/>
              </w:rPr>
              <w:t> </w:t>
            </w:r>
            <w:r>
              <w:rPr>
                <w:rFonts w:ascii="Calibri"/>
                <w:spacing w:val="-2"/>
                <w:sz w:val="16"/>
              </w:rPr>
              <w:t>559,48</w:t>
            </w: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32"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75"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left="28"/>
              <w:rPr>
                <w:rFonts w:ascii="Calibri"/>
                <w:sz w:val="16"/>
              </w:rPr>
            </w:pPr>
            <w:r>
              <w:rPr>
                <w:rFonts w:ascii="Calibri"/>
                <w:w w:val="90"/>
                <w:sz w:val="16"/>
              </w:rPr>
              <w:t>Total</w:t>
            </w:r>
            <w:r>
              <w:rPr>
                <w:rFonts w:ascii="Calibri"/>
                <w:spacing w:val="2"/>
                <w:sz w:val="16"/>
              </w:rPr>
              <w:t> </w:t>
            </w:r>
            <w:r>
              <w:rPr>
                <w:rFonts w:ascii="Calibri"/>
                <w:spacing w:val="-2"/>
                <w:sz w:val="16"/>
              </w:rPr>
              <w:t>Pasivos</w:t>
            </w:r>
          </w:p>
        </w:tc>
        <w:tc>
          <w:tcPr>
            <w:tcW w:w="1432"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8"/>
              <w:jc w:val="right"/>
              <w:rPr>
                <w:rFonts w:ascii="Calibri"/>
                <w:sz w:val="16"/>
              </w:rPr>
            </w:pPr>
            <w:r>
              <w:rPr>
                <w:rFonts w:ascii="Calibri"/>
                <w:spacing w:val="-2"/>
                <w:sz w:val="16"/>
              </w:rPr>
              <w:t>228</w:t>
            </w:r>
            <w:r>
              <w:rPr>
                <w:rFonts w:ascii="Calibri"/>
                <w:spacing w:val="-4"/>
                <w:sz w:val="16"/>
              </w:rPr>
              <w:t> </w:t>
            </w:r>
            <w:r>
              <w:rPr>
                <w:rFonts w:ascii="Calibri"/>
                <w:spacing w:val="-2"/>
                <w:sz w:val="16"/>
              </w:rPr>
              <w:t>951,49</w:t>
            </w:r>
          </w:p>
        </w:tc>
        <w:tc>
          <w:tcPr>
            <w:tcW w:w="1475"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pacing w:val="-2"/>
                <w:sz w:val="16"/>
              </w:rPr>
              <w:t>215</w:t>
            </w:r>
            <w:r>
              <w:rPr>
                <w:rFonts w:ascii="Calibri"/>
                <w:spacing w:val="-4"/>
                <w:sz w:val="16"/>
              </w:rPr>
              <w:t> </w:t>
            </w:r>
            <w:r>
              <w:rPr>
                <w:rFonts w:ascii="Calibri"/>
                <w:spacing w:val="-2"/>
                <w:sz w:val="16"/>
              </w:rPr>
              <w:t>477,22</w:t>
            </w: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32"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75"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left="28"/>
              <w:rPr>
                <w:rFonts w:ascii="Calibri"/>
                <w:sz w:val="16"/>
              </w:rPr>
            </w:pPr>
            <w:r>
              <w:rPr>
                <w:rFonts w:ascii="Calibri"/>
                <w:spacing w:val="-6"/>
                <w:sz w:val="16"/>
              </w:rPr>
              <w:t>Patrimonio</w:t>
            </w:r>
            <w:r>
              <w:rPr>
                <w:rFonts w:ascii="Calibri"/>
                <w:spacing w:val="10"/>
                <w:sz w:val="16"/>
              </w:rPr>
              <w:t> </w:t>
            </w:r>
            <w:r>
              <w:rPr>
                <w:rFonts w:ascii="Calibri"/>
                <w:spacing w:val="-2"/>
                <w:sz w:val="16"/>
              </w:rPr>
              <w:t>Fideimas</w:t>
            </w:r>
          </w:p>
        </w:tc>
        <w:tc>
          <w:tcPr>
            <w:tcW w:w="1432"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5</w:t>
            </w:r>
            <w:r>
              <w:rPr>
                <w:rFonts w:ascii="Calibri"/>
                <w:spacing w:val="-9"/>
                <w:sz w:val="16"/>
              </w:rPr>
              <w:t> </w:t>
            </w:r>
            <w:r>
              <w:rPr>
                <w:rFonts w:ascii="Calibri"/>
                <w:sz w:val="16"/>
              </w:rPr>
              <w:t>458</w:t>
            </w:r>
            <w:r>
              <w:rPr>
                <w:rFonts w:ascii="Calibri"/>
                <w:spacing w:val="-9"/>
                <w:sz w:val="16"/>
              </w:rPr>
              <w:t> </w:t>
            </w:r>
            <w:r>
              <w:rPr>
                <w:rFonts w:ascii="Calibri"/>
                <w:spacing w:val="-2"/>
                <w:sz w:val="16"/>
              </w:rPr>
              <w:t>896,11</w:t>
            </w:r>
          </w:p>
        </w:tc>
        <w:tc>
          <w:tcPr>
            <w:tcW w:w="1475"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5</w:t>
            </w:r>
            <w:r>
              <w:rPr>
                <w:rFonts w:ascii="Calibri"/>
                <w:spacing w:val="-9"/>
                <w:sz w:val="16"/>
              </w:rPr>
              <w:t> </w:t>
            </w:r>
            <w:r>
              <w:rPr>
                <w:rFonts w:ascii="Calibri"/>
                <w:sz w:val="16"/>
              </w:rPr>
              <w:t>871</w:t>
            </w:r>
            <w:r>
              <w:rPr>
                <w:rFonts w:ascii="Calibri"/>
                <w:spacing w:val="-9"/>
                <w:sz w:val="16"/>
              </w:rPr>
              <w:t> </w:t>
            </w:r>
            <w:r>
              <w:rPr>
                <w:rFonts w:ascii="Calibri"/>
                <w:spacing w:val="-2"/>
                <w:sz w:val="16"/>
              </w:rPr>
              <w:t>082,26</w:t>
            </w: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32"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75"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left="28"/>
              <w:rPr>
                <w:rFonts w:ascii="Calibri"/>
                <w:sz w:val="16"/>
              </w:rPr>
            </w:pPr>
            <w:r>
              <w:rPr>
                <w:rFonts w:ascii="Calibri"/>
                <w:spacing w:val="-5"/>
                <w:sz w:val="16"/>
              </w:rPr>
              <w:t>Aportes</w:t>
            </w:r>
            <w:r>
              <w:rPr>
                <w:rFonts w:ascii="Calibri"/>
                <w:spacing w:val="2"/>
                <w:sz w:val="16"/>
              </w:rPr>
              <w:t> </w:t>
            </w:r>
            <w:r>
              <w:rPr>
                <w:rFonts w:ascii="Calibri"/>
                <w:spacing w:val="-4"/>
                <w:sz w:val="16"/>
              </w:rPr>
              <w:t>Imas</w:t>
            </w:r>
          </w:p>
        </w:tc>
        <w:tc>
          <w:tcPr>
            <w:tcW w:w="1432"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14</w:t>
            </w:r>
            <w:r>
              <w:rPr>
                <w:rFonts w:ascii="Calibri"/>
                <w:spacing w:val="-10"/>
                <w:sz w:val="16"/>
              </w:rPr>
              <w:t> </w:t>
            </w:r>
            <w:r>
              <w:rPr>
                <w:rFonts w:ascii="Calibri"/>
                <w:sz w:val="16"/>
              </w:rPr>
              <w:t>182</w:t>
            </w:r>
            <w:r>
              <w:rPr>
                <w:rFonts w:ascii="Calibri"/>
                <w:spacing w:val="-9"/>
                <w:sz w:val="16"/>
              </w:rPr>
              <w:t> </w:t>
            </w:r>
            <w:r>
              <w:rPr>
                <w:rFonts w:ascii="Calibri"/>
                <w:spacing w:val="-2"/>
                <w:sz w:val="16"/>
              </w:rPr>
              <w:t>817,46</w:t>
            </w:r>
          </w:p>
        </w:tc>
        <w:tc>
          <w:tcPr>
            <w:tcW w:w="1475" w:type="dxa"/>
            <w:tcBorders>
              <w:top w:val="single" w:sz="2" w:space="0" w:color="44B3E0"/>
              <w:left w:val="single" w:sz="2" w:space="0" w:color="000000"/>
              <w:bottom w:val="single" w:sz="2" w:space="0" w:color="44B3E0"/>
              <w:right w:val="single" w:sz="2" w:space="0" w:color="000000"/>
            </w:tcBorders>
            <w:shd w:val="clear" w:color="auto" w:fill="DAE9F8"/>
          </w:tcPr>
          <w:p>
            <w:pPr>
              <w:pStyle w:val="TableParagraph"/>
              <w:spacing w:line="180" w:lineRule="exact" w:before="25"/>
              <w:ind w:right="69"/>
              <w:jc w:val="right"/>
              <w:rPr>
                <w:rFonts w:ascii="Calibri"/>
                <w:sz w:val="16"/>
              </w:rPr>
            </w:pPr>
            <w:r>
              <w:rPr>
                <w:rFonts w:ascii="Calibri"/>
                <w:sz w:val="16"/>
              </w:rPr>
              <w:t>13</w:t>
            </w:r>
            <w:r>
              <w:rPr>
                <w:rFonts w:ascii="Calibri"/>
                <w:spacing w:val="-10"/>
                <w:sz w:val="16"/>
              </w:rPr>
              <w:t> </w:t>
            </w:r>
            <w:r>
              <w:rPr>
                <w:rFonts w:ascii="Calibri"/>
                <w:sz w:val="16"/>
              </w:rPr>
              <w:t>782</w:t>
            </w:r>
            <w:r>
              <w:rPr>
                <w:rFonts w:ascii="Calibri"/>
                <w:spacing w:val="-9"/>
                <w:sz w:val="16"/>
              </w:rPr>
              <w:t> </w:t>
            </w:r>
            <w:r>
              <w:rPr>
                <w:rFonts w:ascii="Calibri"/>
                <w:spacing w:val="-2"/>
                <w:sz w:val="16"/>
              </w:rPr>
              <w:t>817,46</w:t>
            </w:r>
          </w:p>
        </w:tc>
      </w:tr>
      <w:tr>
        <w:trPr>
          <w:trHeight w:val="225" w:hRule="atLeast"/>
        </w:trPr>
        <w:tc>
          <w:tcPr>
            <w:tcW w:w="1879"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32"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c>
          <w:tcPr>
            <w:tcW w:w="1475" w:type="dxa"/>
            <w:tcBorders>
              <w:top w:val="single" w:sz="2" w:space="0" w:color="44B3E0"/>
              <w:left w:val="single" w:sz="2" w:space="0" w:color="000000"/>
              <w:bottom w:val="single" w:sz="2" w:space="0" w:color="44B3E0"/>
              <w:right w:val="single" w:sz="2" w:space="0" w:color="000000"/>
            </w:tcBorders>
            <w:shd w:val="clear" w:color="auto" w:fill="FFFFFF"/>
          </w:tcPr>
          <w:p>
            <w:pPr>
              <w:pStyle w:val="TableParagraph"/>
              <w:rPr>
                <w:rFonts w:ascii="Times New Roman"/>
                <w:sz w:val="16"/>
              </w:rPr>
            </w:pPr>
          </w:p>
        </w:tc>
      </w:tr>
      <w:tr>
        <w:trPr>
          <w:trHeight w:val="225" w:hRule="atLeast"/>
        </w:trPr>
        <w:tc>
          <w:tcPr>
            <w:tcW w:w="1879" w:type="dxa"/>
            <w:tcBorders>
              <w:top w:val="single" w:sz="2" w:space="0" w:color="44B3E0"/>
              <w:left w:val="single" w:sz="2" w:space="0" w:color="000000"/>
              <w:bottom w:val="single" w:sz="2" w:space="0" w:color="000000"/>
              <w:right w:val="single" w:sz="2" w:space="0" w:color="000000"/>
            </w:tcBorders>
            <w:shd w:val="clear" w:color="auto" w:fill="DAE9F8"/>
          </w:tcPr>
          <w:p>
            <w:pPr>
              <w:pStyle w:val="TableParagraph"/>
              <w:spacing w:line="180" w:lineRule="exact" w:before="25"/>
              <w:ind w:left="28"/>
              <w:rPr>
                <w:rFonts w:ascii="Calibri"/>
                <w:sz w:val="16"/>
              </w:rPr>
            </w:pPr>
            <w:r>
              <w:rPr>
                <w:rFonts w:ascii="Calibri"/>
                <w:spacing w:val="-6"/>
                <w:sz w:val="16"/>
              </w:rPr>
              <w:t>Patrimonio</w:t>
            </w:r>
            <w:r>
              <w:rPr>
                <w:rFonts w:ascii="Calibri"/>
                <w:spacing w:val="10"/>
                <w:sz w:val="16"/>
              </w:rPr>
              <w:t> </w:t>
            </w:r>
            <w:r>
              <w:rPr>
                <w:rFonts w:ascii="Calibri"/>
                <w:spacing w:val="-2"/>
                <w:sz w:val="16"/>
              </w:rPr>
              <w:t>consumido</w:t>
            </w:r>
          </w:p>
        </w:tc>
        <w:tc>
          <w:tcPr>
            <w:tcW w:w="1432" w:type="dxa"/>
            <w:tcBorders>
              <w:top w:val="single" w:sz="2" w:space="0" w:color="44B3E0"/>
              <w:left w:val="single" w:sz="2" w:space="0" w:color="000000"/>
              <w:bottom w:val="single" w:sz="2" w:space="0" w:color="000000"/>
              <w:right w:val="single" w:sz="2" w:space="0" w:color="000000"/>
            </w:tcBorders>
            <w:shd w:val="clear" w:color="auto" w:fill="DAE9F8"/>
          </w:tcPr>
          <w:p>
            <w:pPr>
              <w:pStyle w:val="TableParagraph"/>
              <w:tabs>
                <w:tab w:pos="494" w:val="left" w:leader="none"/>
              </w:tabs>
              <w:spacing w:line="180" w:lineRule="exact" w:before="25"/>
              <w:ind w:right="69"/>
              <w:jc w:val="right"/>
              <w:rPr>
                <w:rFonts w:ascii="Calibri"/>
                <w:sz w:val="16"/>
              </w:rPr>
            </w:pPr>
            <w:r>
              <w:rPr>
                <w:rFonts w:ascii="Calibri"/>
                <w:spacing w:val="-10"/>
                <w:sz w:val="16"/>
              </w:rPr>
              <w:t>-</w:t>
            </w:r>
            <w:r>
              <w:rPr>
                <w:rFonts w:ascii="Calibri"/>
                <w:sz w:val="16"/>
              </w:rPr>
              <w:tab/>
              <w:t>8</w:t>
            </w:r>
            <w:r>
              <w:rPr>
                <w:rFonts w:ascii="Calibri"/>
                <w:spacing w:val="-9"/>
                <w:sz w:val="16"/>
              </w:rPr>
              <w:t> </w:t>
            </w:r>
            <w:r>
              <w:rPr>
                <w:rFonts w:ascii="Calibri"/>
                <w:sz w:val="16"/>
              </w:rPr>
              <w:t>723</w:t>
            </w:r>
            <w:r>
              <w:rPr>
                <w:rFonts w:ascii="Calibri"/>
                <w:spacing w:val="-9"/>
                <w:sz w:val="16"/>
              </w:rPr>
              <w:t> </w:t>
            </w:r>
            <w:r>
              <w:rPr>
                <w:rFonts w:ascii="Calibri"/>
                <w:spacing w:val="-2"/>
                <w:sz w:val="16"/>
              </w:rPr>
              <w:t>921,35</w:t>
            </w:r>
          </w:p>
        </w:tc>
        <w:tc>
          <w:tcPr>
            <w:tcW w:w="1475" w:type="dxa"/>
            <w:tcBorders>
              <w:top w:val="single" w:sz="2" w:space="0" w:color="44B3E0"/>
              <w:left w:val="single" w:sz="2" w:space="0" w:color="000000"/>
              <w:bottom w:val="single" w:sz="2" w:space="0" w:color="000000"/>
              <w:right w:val="single" w:sz="2" w:space="0" w:color="000000"/>
            </w:tcBorders>
            <w:shd w:val="clear" w:color="auto" w:fill="DAE9F8"/>
          </w:tcPr>
          <w:p>
            <w:pPr>
              <w:pStyle w:val="TableParagraph"/>
              <w:tabs>
                <w:tab w:pos="537" w:val="left" w:leader="none"/>
              </w:tabs>
              <w:spacing w:line="180" w:lineRule="exact" w:before="25"/>
              <w:ind w:right="69"/>
              <w:jc w:val="right"/>
              <w:rPr>
                <w:rFonts w:ascii="Calibri"/>
                <w:sz w:val="16"/>
              </w:rPr>
            </w:pPr>
            <w:r>
              <w:rPr>
                <w:rFonts w:ascii="Calibri"/>
                <w:spacing w:val="-10"/>
                <w:sz w:val="16"/>
              </w:rPr>
              <w:t>-</w:t>
            </w:r>
            <w:r>
              <w:rPr>
                <w:rFonts w:ascii="Calibri"/>
                <w:sz w:val="16"/>
              </w:rPr>
              <w:tab/>
              <w:t>7</w:t>
            </w:r>
            <w:r>
              <w:rPr>
                <w:rFonts w:ascii="Calibri"/>
                <w:spacing w:val="-9"/>
                <w:sz w:val="16"/>
              </w:rPr>
              <w:t> </w:t>
            </w:r>
            <w:r>
              <w:rPr>
                <w:rFonts w:ascii="Calibri"/>
                <w:sz w:val="16"/>
              </w:rPr>
              <w:t>911</w:t>
            </w:r>
            <w:r>
              <w:rPr>
                <w:rFonts w:ascii="Calibri"/>
                <w:spacing w:val="-9"/>
                <w:sz w:val="16"/>
              </w:rPr>
              <w:t> </w:t>
            </w:r>
            <w:r>
              <w:rPr>
                <w:rFonts w:ascii="Calibri"/>
                <w:spacing w:val="-2"/>
                <w:sz w:val="16"/>
              </w:rPr>
              <w:t>735,20</w:t>
            </w:r>
          </w:p>
        </w:tc>
      </w:tr>
      <w:tr>
        <w:trPr>
          <w:trHeight w:val="225" w:hRule="atLeast"/>
        </w:trPr>
        <w:tc>
          <w:tcPr>
            <w:tcW w:w="4786" w:type="dxa"/>
            <w:gridSpan w:val="3"/>
            <w:tcBorders>
              <w:top w:val="single" w:sz="2" w:space="0" w:color="000000"/>
              <w:left w:val="single" w:sz="2" w:space="0" w:color="000000"/>
              <w:bottom w:val="single" w:sz="2" w:space="0" w:color="44B3E0"/>
              <w:right w:val="single" w:sz="2" w:space="0" w:color="000000"/>
            </w:tcBorders>
            <w:shd w:val="clear" w:color="auto" w:fill="FFFFFF"/>
          </w:tcPr>
          <w:p>
            <w:pPr>
              <w:pStyle w:val="TableParagraph"/>
              <w:spacing w:line="152" w:lineRule="exact" w:before="54"/>
              <w:ind w:left="23"/>
              <w:rPr>
                <w:rFonts w:ascii="Calibri"/>
                <w:b/>
                <w:i/>
                <w:sz w:val="13"/>
              </w:rPr>
            </w:pPr>
            <w:r>
              <w:rPr>
                <w:rFonts w:ascii="Calibri"/>
                <w:b/>
                <w:i/>
                <w:spacing w:val="-2"/>
                <w:sz w:val="13"/>
              </w:rPr>
              <w:t>Fuente:</w:t>
            </w:r>
            <w:r>
              <w:rPr>
                <w:rFonts w:ascii="Calibri"/>
                <w:b/>
                <w:i/>
                <w:spacing w:val="-4"/>
                <w:sz w:val="13"/>
              </w:rPr>
              <w:t> </w:t>
            </w:r>
            <w:r>
              <w:rPr>
                <w:rFonts w:ascii="Calibri"/>
                <w:b/>
                <w:i/>
                <w:spacing w:val="-2"/>
                <w:sz w:val="13"/>
              </w:rPr>
              <w:t>Unidad</w:t>
            </w:r>
            <w:r>
              <w:rPr>
                <w:rFonts w:ascii="Calibri"/>
                <w:b/>
                <w:i/>
                <w:spacing w:val="-4"/>
                <w:sz w:val="13"/>
              </w:rPr>
              <w:t> </w:t>
            </w:r>
            <w:r>
              <w:rPr>
                <w:rFonts w:ascii="Calibri"/>
                <w:b/>
                <w:i/>
                <w:spacing w:val="-2"/>
                <w:sz w:val="13"/>
              </w:rPr>
              <w:t>Contabilidad</w:t>
            </w:r>
          </w:p>
        </w:tc>
      </w:tr>
      <w:tr>
        <w:trPr>
          <w:trHeight w:val="225" w:hRule="atLeast"/>
        </w:trPr>
        <w:tc>
          <w:tcPr>
            <w:tcW w:w="4786" w:type="dxa"/>
            <w:gridSpan w:val="3"/>
            <w:tcBorders>
              <w:top w:val="single" w:sz="2" w:space="0" w:color="44B3E0"/>
              <w:left w:val="single" w:sz="2" w:space="0" w:color="000000"/>
              <w:bottom w:val="single" w:sz="2" w:space="0" w:color="000000"/>
              <w:right w:val="single" w:sz="2" w:space="0" w:color="000000"/>
            </w:tcBorders>
            <w:shd w:val="clear" w:color="auto" w:fill="FFFFFF"/>
          </w:tcPr>
          <w:p>
            <w:pPr>
              <w:pStyle w:val="TableParagraph"/>
              <w:spacing w:line="152" w:lineRule="exact" w:before="54"/>
              <w:ind w:left="23"/>
              <w:rPr>
                <w:rFonts w:ascii="Calibri" w:hAnsi="Calibri"/>
                <w:b/>
                <w:i/>
                <w:sz w:val="13"/>
              </w:rPr>
            </w:pPr>
            <w:r>
              <w:rPr>
                <w:rFonts w:ascii="Calibri" w:hAnsi="Calibri"/>
                <w:b/>
                <w:i/>
                <w:spacing w:val="-2"/>
                <w:sz w:val="13"/>
              </w:rPr>
              <w:t>Nota:</w:t>
            </w:r>
            <w:r>
              <w:rPr>
                <w:rFonts w:ascii="Calibri" w:hAnsi="Calibri"/>
                <w:b/>
                <w:i/>
                <w:sz w:val="13"/>
              </w:rPr>
              <w:t> </w:t>
            </w:r>
            <w:r>
              <w:rPr>
                <w:rFonts w:ascii="Calibri" w:hAnsi="Calibri"/>
                <w:b/>
                <w:i/>
                <w:spacing w:val="-2"/>
                <w:sz w:val="13"/>
              </w:rPr>
              <w:t>Información</w:t>
            </w:r>
            <w:r>
              <w:rPr>
                <w:rFonts w:ascii="Calibri" w:hAnsi="Calibri"/>
                <w:b/>
                <w:i/>
                <w:sz w:val="13"/>
              </w:rPr>
              <w:t> </w:t>
            </w:r>
            <w:r>
              <w:rPr>
                <w:rFonts w:ascii="Calibri" w:hAnsi="Calibri"/>
                <w:b/>
                <w:i/>
                <w:spacing w:val="-2"/>
                <w:sz w:val="13"/>
              </w:rPr>
              <w:t>Fuente</w:t>
            </w:r>
            <w:r>
              <w:rPr>
                <w:rFonts w:ascii="Calibri" w:hAnsi="Calibri"/>
                <w:b/>
                <w:i/>
                <w:spacing w:val="4"/>
                <w:sz w:val="13"/>
              </w:rPr>
              <w:t> </w:t>
            </w:r>
            <w:r>
              <w:rPr>
                <w:rFonts w:ascii="Calibri" w:hAnsi="Calibri"/>
                <w:b/>
                <w:i/>
                <w:spacing w:val="-2"/>
                <w:sz w:val="13"/>
              </w:rPr>
              <w:t>EEFF Fideimas</w:t>
            </w:r>
            <w:r>
              <w:rPr>
                <w:rFonts w:ascii="Calibri" w:hAnsi="Calibri"/>
                <w:b/>
                <w:i/>
                <w:spacing w:val="-1"/>
                <w:sz w:val="13"/>
              </w:rPr>
              <w:t> </w:t>
            </w:r>
            <w:r>
              <w:rPr>
                <w:rFonts w:ascii="Calibri" w:hAnsi="Calibri"/>
                <w:b/>
                <w:i/>
                <w:spacing w:val="-2"/>
                <w:sz w:val="13"/>
              </w:rPr>
              <w:t>Julio</w:t>
            </w:r>
            <w:r>
              <w:rPr>
                <w:rFonts w:ascii="Calibri" w:hAnsi="Calibri"/>
                <w:b/>
                <w:i/>
                <w:spacing w:val="3"/>
                <w:sz w:val="13"/>
              </w:rPr>
              <w:t> </w:t>
            </w:r>
            <w:r>
              <w:rPr>
                <w:rFonts w:ascii="Calibri" w:hAnsi="Calibri"/>
                <w:b/>
                <w:i/>
                <w:spacing w:val="-4"/>
                <w:sz w:val="13"/>
              </w:rPr>
              <w:t>2026</w:t>
            </w:r>
          </w:p>
        </w:tc>
      </w:tr>
    </w:tbl>
    <w:p>
      <w:pPr>
        <w:pStyle w:val="TableParagraph"/>
        <w:spacing w:after="0" w:line="152" w:lineRule="exact"/>
        <w:rPr>
          <w:rFonts w:ascii="Calibri" w:hAnsi="Calibri"/>
          <w:b/>
          <w:i/>
          <w:sz w:val="13"/>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5936">
                <wp:simplePos x="0" y="0"/>
                <wp:positionH relativeFrom="page">
                  <wp:posOffset>9525</wp:posOffset>
                </wp:positionH>
                <wp:positionV relativeFrom="page">
                  <wp:posOffset>297208</wp:posOffset>
                </wp:positionV>
                <wp:extent cx="7762875" cy="9748520"/>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7762875" cy="9748520"/>
                          <a:chExt cx="7762875" cy="9748520"/>
                        </a:xfrm>
                      </wpg:grpSpPr>
                      <pic:pic>
                        <pic:nvPicPr>
                          <pic:cNvPr id="317" name="Image 317"/>
                          <pic:cNvPicPr/>
                        </pic:nvPicPr>
                        <pic:blipFill>
                          <a:blip r:embed="rId5" cstate="print"/>
                          <a:stretch>
                            <a:fillRect/>
                          </a:stretch>
                        </pic:blipFill>
                        <pic:spPr>
                          <a:xfrm>
                            <a:off x="0" y="0"/>
                            <a:ext cx="7762874" cy="9748489"/>
                          </a:xfrm>
                          <a:prstGeom prst="rect">
                            <a:avLst/>
                          </a:prstGeom>
                        </pic:spPr>
                      </pic:pic>
                      <wps:wsp>
                        <wps:cNvPr id="318" name="Graphic 318"/>
                        <wps:cNvSpPr/>
                        <wps:spPr>
                          <a:xfrm>
                            <a:off x="1053007" y="990837"/>
                            <a:ext cx="5736590" cy="7674609"/>
                          </a:xfrm>
                          <a:custGeom>
                            <a:avLst/>
                            <a:gdLst/>
                            <a:ahLst/>
                            <a:cxnLst/>
                            <a:rect l="l" t="t" r="r" b="b"/>
                            <a:pathLst>
                              <a:path w="5736590" h="7674609">
                                <a:moveTo>
                                  <a:pt x="21336" y="132651"/>
                                </a:moveTo>
                                <a:lnTo>
                                  <a:pt x="15240" y="132651"/>
                                </a:lnTo>
                                <a:lnTo>
                                  <a:pt x="15240" y="7668196"/>
                                </a:lnTo>
                                <a:lnTo>
                                  <a:pt x="21336" y="7668196"/>
                                </a:lnTo>
                                <a:lnTo>
                                  <a:pt x="21336" y="132651"/>
                                </a:lnTo>
                                <a:close/>
                              </a:path>
                              <a:path w="5736590" h="7674609">
                                <a:moveTo>
                                  <a:pt x="5649214" y="0"/>
                                </a:moveTo>
                                <a:lnTo>
                                  <a:pt x="0" y="0"/>
                                </a:lnTo>
                                <a:lnTo>
                                  <a:pt x="0" y="9131"/>
                                </a:lnTo>
                                <a:lnTo>
                                  <a:pt x="5649214" y="9131"/>
                                </a:lnTo>
                                <a:lnTo>
                                  <a:pt x="5649214" y="0"/>
                                </a:lnTo>
                                <a:close/>
                              </a:path>
                              <a:path w="5736590" h="7674609">
                                <a:moveTo>
                                  <a:pt x="5736018" y="7668209"/>
                                </a:moveTo>
                                <a:lnTo>
                                  <a:pt x="5729986" y="7668209"/>
                                </a:lnTo>
                                <a:lnTo>
                                  <a:pt x="21336" y="7668209"/>
                                </a:lnTo>
                                <a:lnTo>
                                  <a:pt x="15240" y="7668209"/>
                                </a:lnTo>
                                <a:lnTo>
                                  <a:pt x="15240" y="7674292"/>
                                </a:lnTo>
                                <a:lnTo>
                                  <a:pt x="21336" y="7674292"/>
                                </a:lnTo>
                                <a:lnTo>
                                  <a:pt x="5729935" y="7674292"/>
                                </a:lnTo>
                                <a:lnTo>
                                  <a:pt x="5736018" y="7674292"/>
                                </a:lnTo>
                                <a:lnTo>
                                  <a:pt x="5736018" y="7668209"/>
                                </a:lnTo>
                                <a:close/>
                              </a:path>
                              <a:path w="5736590" h="7674609">
                                <a:moveTo>
                                  <a:pt x="5736018" y="132651"/>
                                </a:moveTo>
                                <a:lnTo>
                                  <a:pt x="5729935" y="132651"/>
                                </a:lnTo>
                                <a:lnTo>
                                  <a:pt x="5729935" y="7668196"/>
                                </a:lnTo>
                                <a:lnTo>
                                  <a:pt x="5736018" y="7668196"/>
                                </a:lnTo>
                                <a:lnTo>
                                  <a:pt x="5736018" y="132651"/>
                                </a:lnTo>
                                <a:close/>
                              </a:path>
                              <a:path w="5736590" h="7674609">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0544" id="docshapegroup302" coordorigin="15,468" coordsize="12225,15352">
                <v:shape style="position:absolute;left:15;top:468;width:12225;height:15352" type="#_x0000_t75" id="docshape303" stroked="false">
                  <v:imagedata r:id="rId5" o:title=""/>
                </v:shape>
                <v:shape style="position:absolute;left:1673;top:2028;width:9034;height:12086" id="docshape304" coordorigin="1673,2028" coordsize="9034,12086" path="m1707,2237l1697,2237,1697,14104,1707,14104,1707,2237xm10570,2028l1673,2028,1673,2043,10570,2043,10570,2028xm10706,14104l10697,14104,10697,14104,1707,14104,1697,14104,1697,14114,1707,14114,10697,14114,10697,14114,10706,14114,10706,14104xm10706,2237l10697,2237,10697,14104,10706,14104,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68</w:t>
      </w:r>
    </w:p>
    <w:p>
      <w:pPr>
        <w:pStyle w:val="BodyText"/>
        <w:spacing w:before="228"/>
      </w:pPr>
    </w:p>
    <w:p>
      <w:pPr>
        <w:pStyle w:val="Heading6"/>
        <w:spacing w:line="250" w:lineRule="exact"/>
        <w:ind w:left="730"/>
      </w:pPr>
      <w:r>
        <w:rPr>
          <w:spacing w:val="-2"/>
        </w:rPr>
        <w:t>Riesgos</w:t>
      </w:r>
    </w:p>
    <w:p>
      <w:pPr>
        <w:pStyle w:val="BodyText"/>
        <w:ind w:left="730" w:right="929"/>
        <w:jc w:val="both"/>
      </w:pPr>
      <w:r>
        <w:rPr/>
        <w:t>Según los estados financieros del fideicomisario indican que el fideicomiso tiene exposición a los siguientes riesgos con el uso de instrumentos financieros:</w:t>
      </w:r>
    </w:p>
    <w:p>
      <w:pPr>
        <w:pStyle w:val="BodyText"/>
        <w:ind w:left="730" w:right="928"/>
        <w:jc w:val="both"/>
      </w:pPr>
      <w:r>
        <w:rPr/>
        <w:t>Esta nota presenta la información sobre la exposición del fideicomiso a cada uno de los riesgos anteriormente mencionados, la normativa interna con que cuenta el fideicomiso y los procesos para medir y manejar dichos riesgos.</w:t>
      </w:r>
    </w:p>
    <w:p>
      <w:pPr>
        <w:pStyle w:val="Heading4"/>
        <w:spacing w:before="243"/>
      </w:pPr>
      <w:r>
        <w:rPr>
          <w:spacing w:val="-4"/>
        </w:rPr>
        <w:t>Riesgo</w:t>
      </w:r>
      <w:r>
        <w:rPr>
          <w:spacing w:val="-9"/>
        </w:rPr>
        <w:t> </w:t>
      </w:r>
      <w:r>
        <w:rPr>
          <w:spacing w:val="-4"/>
        </w:rPr>
        <w:t>de</w:t>
      </w:r>
      <w:r>
        <w:rPr>
          <w:spacing w:val="-9"/>
        </w:rPr>
        <w:t> </w:t>
      </w:r>
      <w:r>
        <w:rPr>
          <w:spacing w:val="-4"/>
        </w:rPr>
        <w:t>crédito</w:t>
      </w:r>
      <w:r>
        <w:rPr>
          <w:spacing w:val="-8"/>
        </w:rPr>
        <w:t> </w:t>
      </w:r>
      <w:r>
        <w:rPr>
          <w:spacing w:val="-4"/>
        </w:rPr>
        <w:t>de</w:t>
      </w:r>
      <w:r>
        <w:rPr>
          <w:spacing w:val="-9"/>
        </w:rPr>
        <w:t> </w:t>
      </w:r>
      <w:r>
        <w:rPr>
          <w:spacing w:val="-4"/>
        </w:rPr>
        <w:t>contraparte.</w:t>
      </w:r>
    </w:p>
    <w:p>
      <w:pPr>
        <w:pStyle w:val="BodyText"/>
        <w:spacing w:before="20"/>
        <w:rPr>
          <w:b/>
          <w:i/>
          <w:sz w:val="23"/>
        </w:rPr>
      </w:pPr>
    </w:p>
    <w:p>
      <w:pPr>
        <w:pStyle w:val="BodyText"/>
        <w:ind w:left="730" w:right="926"/>
        <w:jc w:val="both"/>
      </w:pPr>
      <w:r>
        <w:rPr/>
        <w:t>El riesgo de crédito de contraparte es el riesgo de que una contraparte en una transacción financiera no</w:t>
      </w:r>
      <w:r>
        <w:rPr>
          <w:spacing w:val="-3"/>
        </w:rPr>
        <w:t> </w:t>
      </w:r>
      <w:r>
        <w:rPr/>
        <w:t>cumpla</w:t>
      </w:r>
      <w:r>
        <w:rPr>
          <w:spacing w:val="-4"/>
        </w:rPr>
        <w:t> </w:t>
      </w:r>
      <w:r>
        <w:rPr/>
        <w:t>con</w:t>
      </w:r>
      <w:r>
        <w:rPr>
          <w:spacing w:val="-5"/>
        </w:rPr>
        <w:t> </w:t>
      </w:r>
      <w:r>
        <w:rPr/>
        <w:t>sus</w:t>
      </w:r>
      <w:r>
        <w:rPr>
          <w:spacing w:val="-5"/>
        </w:rPr>
        <w:t> </w:t>
      </w:r>
      <w:r>
        <w:rPr/>
        <w:t>obligaciones</w:t>
      </w:r>
      <w:r>
        <w:rPr>
          <w:spacing w:val="-2"/>
        </w:rPr>
        <w:t> </w:t>
      </w:r>
      <w:r>
        <w:rPr/>
        <w:t>contractuales,</w:t>
      </w:r>
      <w:r>
        <w:rPr>
          <w:spacing w:val="-6"/>
        </w:rPr>
        <w:t> </w:t>
      </w:r>
      <w:r>
        <w:rPr/>
        <w:t>lo</w:t>
      </w:r>
      <w:r>
        <w:rPr>
          <w:spacing w:val="-5"/>
        </w:rPr>
        <w:t> </w:t>
      </w:r>
      <w:r>
        <w:rPr/>
        <w:t>que</w:t>
      </w:r>
      <w:r>
        <w:rPr>
          <w:spacing w:val="-5"/>
        </w:rPr>
        <w:t> </w:t>
      </w:r>
      <w:r>
        <w:rPr/>
        <w:t>puede</w:t>
      </w:r>
      <w:r>
        <w:rPr>
          <w:spacing w:val="-5"/>
        </w:rPr>
        <w:t> </w:t>
      </w:r>
      <w:r>
        <w:rPr/>
        <w:t>resultar</w:t>
      </w:r>
      <w:r>
        <w:rPr>
          <w:spacing w:val="-3"/>
        </w:rPr>
        <w:t> </w:t>
      </w:r>
      <w:r>
        <w:rPr/>
        <w:t>en</w:t>
      </w:r>
      <w:r>
        <w:rPr>
          <w:spacing w:val="-3"/>
        </w:rPr>
        <w:t> </w:t>
      </w:r>
      <w:r>
        <w:rPr/>
        <w:t>una</w:t>
      </w:r>
      <w:r>
        <w:rPr>
          <w:spacing w:val="-3"/>
        </w:rPr>
        <w:t> </w:t>
      </w:r>
      <w:r>
        <w:rPr/>
        <w:t>pérdida</w:t>
      </w:r>
      <w:r>
        <w:rPr>
          <w:spacing w:val="-7"/>
        </w:rPr>
        <w:t> </w:t>
      </w:r>
      <w:r>
        <w:rPr/>
        <w:t>financiera</w:t>
      </w:r>
      <w:r>
        <w:rPr>
          <w:spacing w:val="-4"/>
        </w:rPr>
        <w:t> </w:t>
      </w:r>
      <w:r>
        <w:rPr/>
        <w:t>para</w:t>
      </w:r>
      <w:r>
        <w:rPr>
          <w:spacing w:val="-4"/>
        </w:rPr>
        <w:t> </w:t>
      </w:r>
      <w:r>
        <w:rPr/>
        <w:t>la otra parte involucrada.</w:t>
      </w:r>
    </w:p>
    <w:p>
      <w:pPr>
        <w:pStyle w:val="BodyText"/>
      </w:pPr>
    </w:p>
    <w:p>
      <w:pPr>
        <w:pStyle w:val="BodyText"/>
        <w:spacing w:before="1"/>
      </w:pPr>
    </w:p>
    <w:p>
      <w:pPr>
        <w:pStyle w:val="BodyText"/>
        <w:ind w:left="730" w:right="924"/>
        <w:jc w:val="both"/>
      </w:pPr>
      <w:r>
        <w:rPr/>
        <w:t>El fideicomiso limita su exposición al riesgo de crédito invirtiendo en emisores con una sólida capacidad</w:t>
      </w:r>
      <w:r>
        <w:rPr>
          <w:spacing w:val="-8"/>
        </w:rPr>
        <w:t> </w:t>
      </w:r>
      <w:r>
        <w:rPr/>
        <w:t>de</w:t>
      </w:r>
      <w:r>
        <w:rPr>
          <w:spacing w:val="-9"/>
        </w:rPr>
        <w:t> </w:t>
      </w:r>
      <w:r>
        <w:rPr/>
        <w:t>cumplir</w:t>
      </w:r>
      <w:r>
        <w:rPr>
          <w:spacing w:val="-8"/>
        </w:rPr>
        <w:t> </w:t>
      </w:r>
      <w:r>
        <w:rPr/>
        <w:t>con</w:t>
      </w:r>
      <w:r>
        <w:rPr>
          <w:spacing w:val="-10"/>
        </w:rPr>
        <w:t> </w:t>
      </w:r>
      <w:r>
        <w:rPr/>
        <w:t>sus</w:t>
      </w:r>
      <w:r>
        <w:rPr>
          <w:spacing w:val="-9"/>
        </w:rPr>
        <w:t> </w:t>
      </w:r>
      <w:r>
        <w:rPr/>
        <w:t>obligaciones</w:t>
      </w:r>
      <w:r>
        <w:rPr>
          <w:spacing w:val="-10"/>
        </w:rPr>
        <w:t> </w:t>
      </w:r>
      <w:r>
        <w:rPr/>
        <w:t>financieras,</w:t>
      </w:r>
      <w:r>
        <w:rPr>
          <w:spacing w:val="-13"/>
        </w:rPr>
        <w:t> </w:t>
      </w:r>
      <w:r>
        <w:rPr/>
        <w:t>específicamente</w:t>
      </w:r>
      <w:r>
        <w:rPr>
          <w:spacing w:val="-9"/>
        </w:rPr>
        <w:t> </w:t>
      </w:r>
      <w:r>
        <w:rPr/>
        <w:t>solo</w:t>
      </w:r>
      <w:r>
        <w:rPr>
          <w:spacing w:val="-7"/>
        </w:rPr>
        <w:t> </w:t>
      </w:r>
      <w:r>
        <w:rPr/>
        <w:t>invierte</w:t>
      </w:r>
      <w:r>
        <w:rPr>
          <w:spacing w:val="-9"/>
        </w:rPr>
        <w:t> </w:t>
      </w:r>
      <w:r>
        <w:rPr/>
        <w:t>sus</w:t>
      </w:r>
      <w:r>
        <w:rPr>
          <w:spacing w:val="-9"/>
        </w:rPr>
        <w:t> </w:t>
      </w:r>
      <w:r>
        <w:rPr/>
        <w:t>recursos</w:t>
      </w:r>
      <w:r>
        <w:rPr>
          <w:spacing w:val="-9"/>
        </w:rPr>
        <w:t> </w:t>
      </w:r>
      <w:r>
        <w:rPr/>
        <w:t>en</w:t>
      </w:r>
      <w:r>
        <w:rPr>
          <w:spacing w:val="-8"/>
        </w:rPr>
        <w:t> </w:t>
      </w:r>
      <w:r>
        <w:rPr/>
        <w:t>el sector</w:t>
      </w:r>
      <w:r>
        <w:rPr>
          <w:spacing w:val="-4"/>
        </w:rPr>
        <w:t> </w:t>
      </w:r>
      <w:r>
        <w:rPr/>
        <w:t>público</w:t>
      </w:r>
      <w:r>
        <w:rPr>
          <w:spacing w:val="-2"/>
        </w:rPr>
        <w:t> </w:t>
      </w:r>
      <w:r>
        <w:rPr/>
        <w:t>costarricense,</w:t>
      </w:r>
      <w:r>
        <w:rPr>
          <w:spacing w:val="-5"/>
        </w:rPr>
        <w:t> </w:t>
      </w:r>
      <w:r>
        <w:rPr/>
        <w:t>en</w:t>
      </w:r>
      <w:r>
        <w:rPr>
          <w:spacing w:val="-2"/>
        </w:rPr>
        <w:t> </w:t>
      </w:r>
      <w:r>
        <w:rPr/>
        <w:t>emisores</w:t>
      </w:r>
      <w:r>
        <w:rPr>
          <w:spacing w:val="-2"/>
        </w:rPr>
        <w:t> </w:t>
      </w:r>
      <w:r>
        <w:rPr/>
        <w:t>tales</w:t>
      </w:r>
      <w:r>
        <w:rPr>
          <w:spacing w:val="-4"/>
        </w:rPr>
        <w:t> </w:t>
      </w:r>
      <w:r>
        <w:rPr/>
        <w:t>como</w:t>
      </w:r>
      <w:r>
        <w:rPr>
          <w:spacing w:val="-4"/>
        </w:rPr>
        <w:t> </w:t>
      </w:r>
      <w:r>
        <w:rPr/>
        <w:t>el</w:t>
      </w:r>
      <w:r>
        <w:rPr>
          <w:spacing w:val="-3"/>
        </w:rPr>
        <w:t> </w:t>
      </w:r>
      <w:r>
        <w:rPr/>
        <w:t>Ministerio</w:t>
      </w:r>
      <w:r>
        <w:rPr>
          <w:spacing w:val="-4"/>
        </w:rPr>
        <w:t> </w:t>
      </w:r>
      <w:r>
        <w:rPr/>
        <w:t>de</w:t>
      </w:r>
      <w:r>
        <w:rPr>
          <w:spacing w:val="-4"/>
        </w:rPr>
        <w:t> </w:t>
      </w:r>
      <w:r>
        <w:rPr/>
        <w:t>Hacienda</w:t>
      </w:r>
      <w:r>
        <w:rPr>
          <w:spacing w:val="-3"/>
        </w:rPr>
        <w:t> </w:t>
      </w:r>
      <w:r>
        <w:rPr/>
        <w:t>y</w:t>
      </w:r>
      <w:r>
        <w:rPr>
          <w:spacing w:val="-3"/>
        </w:rPr>
        <w:t> </w:t>
      </w:r>
      <w:r>
        <w:rPr/>
        <w:t>el</w:t>
      </w:r>
      <w:r>
        <w:rPr>
          <w:spacing w:val="-5"/>
        </w:rPr>
        <w:t> </w:t>
      </w:r>
      <w:r>
        <w:rPr/>
        <w:t>Banco</w:t>
      </w:r>
      <w:r>
        <w:rPr>
          <w:spacing w:val="-4"/>
        </w:rPr>
        <w:t> </w:t>
      </w:r>
      <w:r>
        <w:rPr/>
        <w:t>Central</w:t>
      </w:r>
      <w:r>
        <w:rPr>
          <w:spacing w:val="-3"/>
        </w:rPr>
        <w:t> </w:t>
      </w:r>
      <w:r>
        <w:rPr/>
        <w:t>de Costa Rica, los cuales poseen instrumentos que presentan mayor liquidez y menor probabilidad de incumplimiento. A su vez, el fideicomiso tiene una política de inversión autorizada por el Comité Director del FIDEIMAS, política que establece los lineamientos bajo los cuales el gestor de las inversiones puede realizar sus inversiones, aunado esta política es acorde con el contrato del </w:t>
      </w:r>
      <w:r>
        <w:rPr>
          <w:spacing w:val="-2"/>
        </w:rPr>
        <w:t>fideicomiso.</w:t>
      </w:r>
    </w:p>
    <w:p>
      <w:pPr>
        <w:pStyle w:val="Heading4"/>
        <w:spacing w:before="242"/>
      </w:pPr>
      <w:r>
        <w:rPr>
          <w:spacing w:val="-4"/>
        </w:rPr>
        <w:t>Riesgo</w:t>
      </w:r>
      <w:r>
        <w:rPr>
          <w:spacing w:val="-9"/>
        </w:rPr>
        <w:t> </w:t>
      </w:r>
      <w:r>
        <w:rPr>
          <w:spacing w:val="-4"/>
        </w:rPr>
        <w:t>de</w:t>
      </w:r>
      <w:r>
        <w:rPr>
          <w:spacing w:val="-9"/>
        </w:rPr>
        <w:t> </w:t>
      </w:r>
      <w:r>
        <w:rPr>
          <w:spacing w:val="-4"/>
        </w:rPr>
        <w:t>liquidez</w:t>
      </w:r>
    </w:p>
    <w:p>
      <w:pPr>
        <w:pStyle w:val="BodyText"/>
        <w:spacing w:before="19"/>
        <w:rPr>
          <w:b/>
          <w:i/>
          <w:sz w:val="23"/>
        </w:rPr>
      </w:pPr>
    </w:p>
    <w:p>
      <w:pPr>
        <w:pStyle w:val="BodyText"/>
        <w:spacing w:before="1"/>
        <w:ind w:left="730" w:right="922"/>
        <w:jc w:val="both"/>
      </w:pPr>
      <w:r>
        <w:rPr/>
        <w:t>El</w:t>
      </w:r>
      <w:r>
        <w:rPr>
          <w:spacing w:val="-5"/>
        </w:rPr>
        <w:t> </w:t>
      </w:r>
      <w:r>
        <w:rPr/>
        <w:t>riesgo</w:t>
      </w:r>
      <w:r>
        <w:rPr>
          <w:spacing w:val="-4"/>
        </w:rPr>
        <w:t> </w:t>
      </w:r>
      <w:r>
        <w:rPr/>
        <w:t>de</w:t>
      </w:r>
      <w:r>
        <w:rPr>
          <w:spacing w:val="-6"/>
        </w:rPr>
        <w:t> </w:t>
      </w:r>
      <w:r>
        <w:rPr/>
        <w:t>liquidez</w:t>
      </w:r>
      <w:r>
        <w:rPr>
          <w:spacing w:val="-5"/>
        </w:rPr>
        <w:t> </w:t>
      </w:r>
      <w:r>
        <w:rPr/>
        <w:t>es</w:t>
      </w:r>
      <w:r>
        <w:rPr>
          <w:spacing w:val="-4"/>
        </w:rPr>
        <w:t> </w:t>
      </w:r>
      <w:r>
        <w:rPr/>
        <w:t>la</w:t>
      </w:r>
      <w:r>
        <w:rPr>
          <w:spacing w:val="-6"/>
        </w:rPr>
        <w:t> </w:t>
      </w:r>
      <w:r>
        <w:rPr/>
        <w:t>posibilidad</w:t>
      </w:r>
      <w:r>
        <w:rPr>
          <w:spacing w:val="-5"/>
        </w:rPr>
        <w:t> </w:t>
      </w:r>
      <w:r>
        <w:rPr/>
        <w:t>de</w:t>
      </w:r>
      <w:r>
        <w:rPr>
          <w:spacing w:val="-6"/>
        </w:rPr>
        <w:t> </w:t>
      </w:r>
      <w:r>
        <w:rPr/>
        <w:t>que</w:t>
      </w:r>
      <w:r>
        <w:rPr>
          <w:spacing w:val="-6"/>
        </w:rPr>
        <w:t> </w:t>
      </w:r>
      <w:r>
        <w:rPr/>
        <w:t>el</w:t>
      </w:r>
      <w:r>
        <w:rPr>
          <w:spacing w:val="-5"/>
        </w:rPr>
        <w:t> </w:t>
      </w:r>
      <w:r>
        <w:rPr/>
        <w:t>fideicomiso</w:t>
      </w:r>
      <w:r>
        <w:rPr>
          <w:spacing w:val="-4"/>
        </w:rPr>
        <w:t> </w:t>
      </w:r>
      <w:r>
        <w:rPr/>
        <w:t>no</w:t>
      </w:r>
      <w:r>
        <w:rPr>
          <w:spacing w:val="-4"/>
        </w:rPr>
        <w:t> </w:t>
      </w:r>
      <w:r>
        <w:rPr/>
        <w:t>pueda</w:t>
      </w:r>
      <w:r>
        <w:rPr>
          <w:spacing w:val="-6"/>
        </w:rPr>
        <w:t> </w:t>
      </w:r>
      <w:r>
        <w:rPr/>
        <w:t>cumplir</w:t>
      </w:r>
      <w:r>
        <w:rPr>
          <w:spacing w:val="-5"/>
        </w:rPr>
        <w:t> </w:t>
      </w:r>
      <w:r>
        <w:rPr/>
        <w:t>con</w:t>
      </w:r>
      <w:r>
        <w:rPr>
          <w:spacing w:val="-7"/>
        </w:rPr>
        <w:t> </w:t>
      </w:r>
      <w:r>
        <w:rPr/>
        <w:t>sus</w:t>
      </w:r>
      <w:r>
        <w:rPr>
          <w:spacing w:val="-6"/>
        </w:rPr>
        <w:t> </w:t>
      </w:r>
      <w:r>
        <w:rPr/>
        <w:t>obligaciones</w:t>
      </w:r>
      <w:r>
        <w:rPr>
          <w:spacing w:val="-4"/>
        </w:rPr>
        <w:t> </w:t>
      </w:r>
      <w:r>
        <w:rPr/>
        <w:t>de pago en el momento en que estas se vencen. La gestión del riesgo de liquidez implica mantener suficientes fondos líquidos además significa que la venta de un valor va a estar determinada por la oferta y demanda de este. Si al momento de la negociación no hay suficiente demanda u oferta en el mercado, podría dificultarse la inversión de los recursos al precio deseado, o por el contrario podría ser imposible obtener liquidez a un precio de mercado que guarde alguna relación con los últimos precios observados en el mercado.</w:t>
      </w:r>
    </w:p>
    <w:p>
      <w:pPr>
        <w:pStyle w:val="BodyText"/>
        <w:ind w:left="730" w:right="923"/>
        <w:jc w:val="both"/>
      </w:pPr>
      <w:r>
        <w:rPr/>
        <w:t>El fiduciario utiliza diversas proyecciones financieras que le permiten manejar su flujo de efectivo operacional,</w:t>
      </w:r>
      <w:r>
        <w:rPr>
          <w:spacing w:val="-2"/>
        </w:rPr>
        <w:t> </w:t>
      </w:r>
      <w:r>
        <w:rPr/>
        <w:t>de</w:t>
      </w:r>
      <w:r>
        <w:rPr>
          <w:spacing w:val="-4"/>
        </w:rPr>
        <w:t> </w:t>
      </w:r>
      <w:r>
        <w:rPr/>
        <w:t>forma</w:t>
      </w:r>
      <w:r>
        <w:rPr>
          <w:spacing w:val="-5"/>
        </w:rPr>
        <w:t> </w:t>
      </w:r>
      <w:r>
        <w:rPr/>
        <w:t>tal,</w:t>
      </w:r>
      <w:r>
        <w:rPr>
          <w:spacing w:val="-5"/>
        </w:rPr>
        <w:t> </w:t>
      </w:r>
      <w:r>
        <w:rPr/>
        <w:t>que</w:t>
      </w:r>
      <w:r>
        <w:rPr>
          <w:spacing w:val="-4"/>
        </w:rPr>
        <w:t> </w:t>
      </w:r>
      <w:r>
        <w:rPr/>
        <w:t>se</w:t>
      </w:r>
      <w:r>
        <w:rPr>
          <w:spacing w:val="-3"/>
        </w:rPr>
        <w:t> </w:t>
      </w:r>
      <w:r>
        <w:rPr/>
        <w:t>asegura</w:t>
      </w:r>
      <w:r>
        <w:rPr>
          <w:spacing w:val="-3"/>
        </w:rPr>
        <w:t> </w:t>
      </w:r>
      <w:r>
        <w:rPr/>
        <w:t>de</w:t>
      </w:r>
      <w:r>
        <w:rPr>
          <w:spacing w:val="-6"/>
        </w:rPr>
        <w:t> </w:t>
      </w:r>
      <w:r>
        <w:rPr/>
        <w:t>tener</w:t>
      </w:r>
      <w:r>
        <w:rPr>
          <w:spacing w:val="-2"/>
        </w:rPr>
        <w:t> </w:t>
      </w:r>
      <w:r>
        <w:rPr/>
        <w:t>suficiente</w:t>
      </w:r>
      <w:r>
        <w:rPr>
          <w:spacing w:val="-2"/>
        </w:rPr>
        <w:t> </w:t>
      </w:r>
      <w:r>
        <w:rPr/>
        <w:t>efectivo</w:t>
      </w:r>
      <w:r>
        <w:rPr>
          <w:spacing w:val="-2"/>
        </w:rPr>
        <w:t> </w:t>
      </w:r>
      <w:r>
        <w:rPr/>
        <w:t>para</w:t>
      </w:r>
      <w:r>
        <w:rPr>
          <w:spacing w:val="-3"/>
        </w:rPr>
        <w:t> </w:t>
      </w:r>
      <w:r>
        <w:rPr/>
        <w:t>cumplir</w:t>
      </w:r>
      <w:r>
        <w:rPr>
          <w:spacing w:val="-3"/>
        </w:rPr>
        <w:t> </w:t>
      </w:r>
      <w:r>
        <w:rPr/>
        <w:t>en</w:t>
      </w:r>
      <w:r>
        <w:rPr>
          <w:spacing w:val="-2"/>
        </w:rPr>
        <w:t> </w:t>
      </w:r>
      <w:r>
        <w:rPr/>
        <w:t>forma</w:t>
      </w:r>
      <w:r>
        <w:rPr>
          <w:spacing w:val="-3"/>
        </w:rPr>
        <w:t> </w:t>
      </w:r>
      <w:r>
        <w:rPr/>
        <w:t>adecuada y oportuna con todas sus necesidades operativas.</w:t>
      </w:r>
    </w:p>
    <w:p>
      <w:pPr>
        <w:pStyle w:val="BodyText"/>
      </w:pPr>
    </w:p>
    <w:p>
      <w:pPr>
        <w:pStyle w:val="BodyText"/>
        <w:ind w:left="730" w:right="930"/>
        <w:jc w:val="both"/>
      </w:pPr>
      <w:r>
        <w:rPr/>
        <w:t>La gestión de la liquidez del Fideicomiso Banco de Costa Rica IMAS BANACIO Setenta y tres dos mil dos y subcuentas deberá:</w:t>
      </w:r>
    </w:p>
    <w:p>
      <w:pPr>
        <w:pStyle w:val="BodyText"/>
        <w:spacing w:before="1"/>
      </w:pPr>
    </w:p>
    <w:p>
      <w:pPr>
        <w:pStyle w:val="BodyText"/>
        <w:ind w:left="730" w:right="931"/>
        <w:jc w:val="both"/>
      </w:pPr>
      <w:r>
        <w:rPr/>
        <w:t>Desarrollar los instrumentos necesarios para el manejo de la liquidez del portafolio de Fideicomiso Banco de Costa Rica IMAS BANACIO Setenta y tres dos mil dos.</w:t>
      </w:r>
    </w:p>
    <w:p>
      <w:pPr>
        <w:pStyle w:val="BodyText"/>
        <w:ind w:left="730" w:right="1001"/>
      </w:pPr>
      <w:r>
        <w:rPr/>
        <w:t>Establecer o buscar los mecanismos y controles necesarios para un manejo adecuado y eficiente del flujo de caja del Fideicomiso Banco de Costa Rica IMAS BANACIO Setenta y tres dos mil dos.</w:t>
      </w:r>
    </w:p>
    <w:p>
      <w:pPr>
        <w:pStyle w:val="BodyText"/>
        <w:ind w:left="730" w:right="860"/>
      </w:pPr>
      <w:r>
        <w:rPr/>
        <w:t>Minimizar</w:t>
      </w:r>
      <w:r>
        <w:rPr>
          <w:spacing w:val="-8"/>
        </w:rPr>
        <w:t> </w:t>
      </w:r>
      <w:r>
        <w:rPr/>
        <w:t>las</w:t>
      </w:r>
      <w:r>
        <w:rPr>
          <w:spacing w:val="-6"/>
        </w:rPr>
        <w:t> </w:t>
      </w:r>
      <w:r>
        <w:rPr/>
        <w:t>posibles</w:t>
      </w:r>
      <w:r>
        <w:rPr>
          <w:spacing w:val="-6"/>
        </w:rPr>
        <w:t> </w:t>
      </w:r>
      <w:r>
        <w:rPr/>
        <w:t>pérdidas</w:t>
      </w:r>
      <w:r>
        <w:rPr>
          <w:spacing w:val="-6"/>
        </w:rPr>
        <w:t> </w:t>
      </w:r>
      <w:r>
        <w:rPr/>
        <w:t>que</w:t>
      </w:r>
      <w:r>
        <w:rPr>
          <w:spacing w:val="-8"/>
        </w:rPr>
        <w:t> </w:t>
      </w:r>
      <w:r>
        <w:rPr/>
        <w:t>se</w:t>
      </w:r>
      <w:r>
        <w:rPr>
          <w:spacing w:val="-8"/>
        </w:rPr>
        <w:t> </w:t>
      </w:r>
      <w:r>
        <w:rPr/>
        <w:t>pueda</w:t>
      </w:r>
      <w:r>
        <w:rPr>
          <w:spacing w:val="-8"/>
        </w:rPr>
        <w:t> </w:t>
      </w:r>
      <w:r>
        <w:rPr/>
        <w:t>incurrir</w:t>
      </w:r>
      <w:r>
        <w:rPr>
          <w:spacing w:val="-7"/>
        </w:rPr>
        <w:t> </w:t>
      </w:r>
      <w:r>
        <w:rPr/>
        <w:t>por</w:t>
      </w:r>
      <w:r>
        <w:rPr>
          <w:spacing w:val="-7"/>
        </w:rPr>
        <w:t> </w:t>
      </w:r>
      <w:r>
        <w:rPr/>
        <w:t>la</w:t>
      </w:r>
      <w:r>
        <w:rPr>
          <w:spacing w:val="-8"/>
        </w:rPr>
        <w:t> </w:t>
      </w:r>
      <w:r>
        <w:rPr/>
        <w:t>venta</w:t>
      </w:r>
      <w:r>
        <w:rPr>
          <w:spacing w:val="-7"/>
        </w:rPr>
        <w:t> </w:t>
      </w:r>
      <w:r>
        <w:rPr/>
        <w:t>anticipada</w:t>
      </w:r>
      <w:r>
        <w:rPr>
          <w:spacing w:val="-8"/>
        </w:rPr>
        <w:t> </w:t>
      </w:r>
      <w:r>
        <w:rPr/>
        <w:t>o</w:t>
      </w:r>
      <w:r>
        <w:rPr>
          <w:spacing w:val="-6"/>
        </w:rPr>
        <w:t> </w:t>
      </w:r>
      <w:r>
        <w:rPr/>
        <w:t>forzosa</w:t>
      </w:r>
      <w:r>
        <w:rPr>
          <w:spacing w:val="-8"/>
        </w:rPr>
        <w:t> </w:t>
      </w:r>
      <w:r>
        <w:rPr/>
        <w:t>de</w:t>
      </w:r>
      <w:r>
        <w:rPr>
          <w:spacing w:val="-9"/>
        </w:rPr>
        <w:t> </w:t>
      </w:r>
      <w:r>
        <w:rPr/>
        <w:t>activos</w:t>
      </w:r>
      <w:r>
        <w:rPr>
          <w:spacing w:val="-6"/>
        </w:rPr>
        <w:t> </w:t>
      </w:r>
      <w:r>
        <w:rPr/>
        <w:t>para hacer frente a sus obligaciones.</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6448">
                <wp:simplePos x="0" y="0"/>
                <wp:positionH relativeFrom="page">
                  <wp:posOffset>9525</wp:posOffset>
                </wp:positionH>
                <wp:positionV relativeFrom="page">
                  <wp:posOffset>297208</wp:posOffset>
                </wp:positionV>
                <wp:extent cx="7762875" cy="9748520"/>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7762875" cy="9748520"/>
                          <a:chExt cx="7762875" cy="9748520"/>
                        </a:xfrm>
                      </wpg:grpSpPr>
                      <pic:pic>
                        <pic:nvPicPr>
                          <pic:cNvPr id="320" name="Image 320"/>
                          <pic:cNvPicPr/>
                        </pic:nvPicPr>
                        <pic:blipFill>
                          <a:blip r:embed="rId5" cstate="print"/>
                          <a:stretch>
                            <a:fillRect/>
                          </a:stretch>
                        </pic:blipFill>
                        <pic:spPr>
                          <a:xfrm>
                            <a:off x="0" y="0"/>
                            <a:ext cx="7762874" cy="9748489"/>
                          </a:xfrm>
                          <a:prstGeom prst="rect">
                            <a:avLst/>
                          </a:prstGeom>
                        </pic:spPr>
                      </pic:pic>
                      <wps:wsp>
                        <wps:cNvPr id="321" name="Graphic 321"/>
                        <wps:cNvSpPr/>
                        <wps:spPr>
                          <a:xfrm>
                            <a:off x="1053007" y="990837"/>
                            <a:ext cx="5736590" cy="7823834"/>
                          </a:xfrm>
                          <a:custGeom>
                            <a:avLst/>
                            <a:gdLst/>
                            <a:ahLst/>
                            <a:cxnLst/>
                            <a:rect l="l" t="t" r="r" b="b"/>
                            <a:pathLst>
                              <a:path w="5736590" h="7823834">
                                <a:moveTo>
                                  <a:pt x="21336" y="132651"/>
                                </a:moveTo>
                                <a:lnTo>
                                  <a:pt x="15240" y="132651"/>
                                </a:lnTo>
                                <a:lnTo>
                                  <a:pt x="15240" y="7817548"/>
                                </a:lnTo>
                                <a:lnTo>
                                  <a:pt x="21336" y="7817548"/>
                                </a:lnTo>
                                <a:lnTo>
                                  <a:pt x="21336" y="132651"/>
                                </a:lnTo>
                                <a:close/>
                              </a:path>
                              <a:path w="5736590" h="7823834">
                                <a:moveTo>
                                  <a:pt x="5649214" y="0"/>
                                </a:moveTo>
                                <a:lnTo>
                                  <a:pt x="0" y="0"/>
                                </a:lnTo>
                                <a:lnTo>
                                  <a:pt x="0" y="9131"/>
                                </a:lnTo>
                                <a:lnTo>
                                  <a:pt x="5649214" y="9131"/>
                                </a:lnTo>
                                <a:lnTo>
                                  <a:pt x="5649214" y="0"/>
                                </a:lnTo>
                                <a:close/>
                              </a:path>
                              <a:path w="5736590" h="7823834">
                                <a:moveTo>
                                  <a:pt x="5736018" y="7817561"/>
                                </a:moveTo>
                                <a:lnTo>
                                  <a:pt x="5729986" y="7817561"/>
                                </a:lnTo>
                                <a:lnTo>
                                  <a:pt x="21336" y="7817561"/>
                                </a:lnTo>
                                <a:lnTo>
                                  <a:pt x="15240" y="7817561"/>
                                </a:lnTo>
                                <a:lnTo>
                                  <a:pt x="15240" y="7823644"/>
                                </a:lnTo>
                                <a:lnTo>
                                  <a:pt x="21336" y="7823644"/>
                                </a:lnTo>
                                <a:lnTo>
                                  <a:pt x="5729935" y="7823644"/>
                                </a:lnTo>
                                <a:lnTo>
                                  <a:pt x="5736018" y="7823644"/>
                                </a:lnTo>
                                <a:lnTo>
                                  <a:pt x="5736018" y="7817561"/>
                                </a:lnTo>
                                <a:close/>
                              </a:path>
                              <a:path w="5736590" h="7823834">
                                <a:moveTo>
                                  <a:pt x="5736018" y="132651"/>
                                </a:moveTo>
                                <a:lnTo>
                                  <a:pt x="5729935" y="132651"/>
                                </a:lnTo>
                                <a:lnTo>
                                  <a:pt x="5729935" y="7817548"/>
                                </a:lnTo>
                                <a:lnTo>
                                  <a:pt x="5736018" y="7817548"/>
                                </a:lnTo>
                                <a:lnTo>
                                  <a:pt x="5736018" y="132651"/>
                                </a:lnTo>
                                <a:close/>
                              </a:path>
                              <a:path w="5736590" h="7823834">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40032" id="docshapegroup305" coordorigin="15,468" coordsize="12225,15352">
                <v:shape style="position:absolute;left:15;top:468;width:12225;height:15352" type="#_x0000_t75" id="docshape306" stroked="false">
                  <v:imagedata r:id="rId5" o:title=""/>
                </v:shape>
                <v:shape style="position:absolute;left:1673;top:2028;width:9034;height:12321" id="docshape307" coordorigin="1673,2028" coordsize="9034,12321" path="m1707,2237l1697,2237,1697,14340,1707,14340,1707,2237xm10570,2028l1673,2028,1673,2043,10570,2043,10570,2028xm10706,14340l10697,14340,10697,14340,1707,14340,1697,14340,1697,14349,1707,14349,10697,14349,10697,14349,10706,14349,10706,14340xm10706,2237l10697,2237,10697,14340,10706,14340,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69</w:t>
      </w:r>
    </w:p>
    <w:p>
      <w:pPr>
        <w:pStyle w:val="BodyText"/>
        <w:spacing w:before="227"/>
        <w:ind w:left="730" w:right="921"/>
        <w:jc w:val="both"/>
      </w:pPr>
      <w:r>
        <w:rPr/>
        <w:t>En relación con el FIDEIMAS, este tiene una política de inversiones autorizada por el Comité Director. Esta política es de obligatorio cumplimiento para el gestor de las inversiones. Cada tres meses,</w:t>
      </w:r>
      <w:r>
        <w:rPr>
          <w:spacing w:val="-5"/>
        </w:rPr>
        <w:t> </w:t>
      </w:r>
      <w:r>
        <w:rPr/>
        <w:t>se</w:t>
      </w:r>
      <w:r>
        <w:rPr>
          <w:spacing w:val="-3"/>
        </w:rPr>
        <w:t> </w:t>
      </w:r>
      <w:r>
        <w:rPr/>
        <w:t>presenta</w:t>
      </w:r>
      <w:r>
        <w:rPr>
          <w:spacing w:val="-2"/>
        </w:rPr>
        <w:t> </w:t>
      </w:r>
      <w:r>
        <w:rPr/>
        <w:t>al</w:t>
      </w:r>
      <w:r>
        <w:rPr>
          <w:spacing w:val="-5"/>
        </w:rPr>
        <w:t> </w:t>
      </w:r>
      <w:r>
        <w:rPr/>
        <w:t>Comité</w:t>
      </w:r>
      <w:r>
        <w:rPr>
          <w:spacing w:val="-3"/>
        </w:rPr>
        <w:t> </w:t>
      </w:r>
      <w:r>
        <w:rPr/>
        <w:t>Director un</w:t>
      </w:r>
      <w:r>
        <w:rPr>
          <w:spacing w:val="-5"/>
        </w:rPr>
        <w:t> </w:t>
      </w:r>
      <w:r>
        <w:rPr/>
        <w:t>informe</w:t>
      </w:r>
      <w:r>
        <w:rPr>
          <w:spacing w:val="-6"/>
        </w:rPr>
        <w:t> </w:t>
      </w:r>
      <w:r>
        <w:rPr/>
        <w:t>sobre</w:t>
      </w:r>
      <w:r>
        <w:rPr>
          <w:spacing w:val="-3"/>
        </w:rPr>
        <w:t> </w:t>
      </w:r>
      <w:r>
        <w:rPr/>
        <w:t>el</w:t>
      </w:r>
      <w:r>
        <w:rPr>
          <w:spacing w:val="-2"/>
        </w:rPr>
        <w:t> </w:t>
      </w:r>
      <w:r>
        <w:rPr/>
        <w:t>estado</w:t>
      </w:r>
      <w:r>
        <w:rPr>
          <w:spacing w:val="-2"/>
        </w:rPr>
        <w:t> </w:t>
      </w:r>
      <w:r>
        <w:rPr/>
        <w:t>de</w:t>
      </w:r>
      <w:r>
        <w:rPr>
          <w:spacing w:val="-4"/>
        </w:rPr>
        <w:t> </w:t>
      </w:r>
      <w:r>
        <w:rPr/>
        <w:t>las</w:t>
      </w:r>
      <w:r>
        <w:rPr>
          <w:spacing w:val="-4"/>
        </w:rPr>
        <w:t> </w:t>
      </w:r>
      <w:r>
        <w:rPr/>
        <w:t>inversiones,</w:t>
      </w:r>
      <w:r>
        <w:rPr>
          <w:spacing w:val="-2"/>
        </w:rPr>
        <w:t> </w:t>
      </w:r>
      <w:r>
        <w:rPr/>
        <w:t>el</w:t>
      </w:r>
      <w:r>
        <w:rPr>
          <w:spacing w:val="-2"/>
        </w:rPr>
        <w:t> </w:t>
      </w:r>
      <w:r>
        <w:rPr/>
        <w:t>cumplimiento de</w:t>
      </w:r>
      <w:r>
        <w:rPr>
          <w:spacing w:val="-4"/>
        </w:rPr>
        <w:t> </w:t>
      </w:r>
      <w:r>
        <w:rPr/>
        <w:t>las</w:t>
      </w:r>
      <w:r>
        <w:rPr>
          <w:spacing w:val="-1"/>
        </w:rPr>
        <w:t> </w:t>
      </w:r>
      <w:r>
        <w:rPr/>
        <w:t>proyecciones,</w:t>
      </w:r>
      <w:r>
        <w:rPr>
          <w:spacing w:val="-2"/>
        </w:rPr>
        <w:t> </w:t>
      </w:r>
      <w:r>
        <w:rPr/>
        <w:t>el</w:t>
      </w:r>
      <w:r>
        <w:rPr>
          <w:spacing w:val="-2"/>
        </w:rPr>
        <w:t> </w:t>
      </w:r>
      <w:r>
        <w:rPr/>
        <w:t>comportamiento</w:t>
      </w:r>
      <w:r>
        <w:rPr>
          <w:spacing w:val="-2"/>
        </w:rPr>
        <w:t> </w:t>
      </w:r>
      <w:r>
        <w:rPr/>
        <w:t>del</w:t>
      </w:r>
      <w:r>
        <w:rPr>
          <w:spacing w:val="-2"/>
        </w:rPr>
        <w:t> </w:t>
      </w:r>
      <w:r>
        <w:rPr/>
        <w:t>mercado</w:t>
      </w:r>
      <w:r>
        <w:rPr>
          <w:spacing w:val="-2"/>
        </w:rPr>
        <w:t> </w:t>
      </w:r>
      <w:r>
        <w:rPr/>
        <w:t>y</w:t>
      </w:r>
      <w:r>
        <w:rPr>
          <w:spacing w:val="-3"/>
        </w:rPr>
        <w:t> </w:t>
      </w:r>
      <w:r>
        <w:rPr/>
        <w:t>las</w:t>
      </w:r>
      <w:r>
        <w:rPr>
          <w:spacing w:val="-1"/>
        </w:rPr>
        <w:t> </w:t>
      </w:r>
      <w:r>
        <w:rPr/>
        <w:t>colocaciones</w:t>
      </w:r>
      <w:r>
        <w:rPr>
          <w:spacing w:val="-1"/>
        </w:rPr>
        <w:t> </w:t>
      </w:r>
      <w:r>
        <w:rPr/>
        <w:t>realizadas.</w:t>
      </w:r>
      <w:r>
        <w:rPr>
          <w:spacing w:val="-6"/>
        </w:rPr>
        <w:t> </w:t>
      </w:r>
      <w:r>
        <w:rPr/>
        <w:t>Además,</w:t>
      </w:r>
      <w:r>
        <w:rPr>
          <w:spacing w:val="-2"/>
        </w:rPr>
        <w:t> </w:t>
      </w:r>
      <w:r>
        <w:rPr/>
        <w:t>cada</w:t>
      </w:r>
      <w:r>
        <w:rPr>
          <w:spacing w:val="-3"/>
        </w:rPr>
        <w:t> </w:t>
      </w:r>
      <w:r>
        <w:rPr/>
        <w:t>dos meses,</w:t>
      </w:r>
      <w:r>
        <w:rPr>
          <w:spacing w:val="-7"/>
        </w:rPr>
        <w:t> </w:t>
      </w:r>
      <w:r>
        <w:rPr/>
        <w:t>el</w:t>
      </w:r>
      <w:r>
        <w:rPr>
          <w:spacing w:val="-5"/>
        </w:rPr>
        <w:t> </w:t>
      </w:r>
      <w:r>
        <w:rPr/>
        <w:t>Puesto</w:t>
      </w:r>
      <w:r>
        <w:rPr>
          <w:spacing w:val="-4"/>
        </w:rPr>
        <w:t> </w:t>
      </w:r>
      <w:r>
        <w:rPr/>
        <w:t>de</w:t>
      </w:r>
      <w:r>
        <w:rPr>
          <w:spacing w:val="-6"/>
        </w:rPr>
        <w:t> </w:t>
      </w:r>
      <w:r>
        <w:rPr/>
        <w:t>Bolsa</w:t>
      </w:r>
      <w:r>
        <w:rPr>
          <w:spacing w:val="-5"/>
        </w:rPr>
        <w:t> </w:t>
      </w:r>
      <w:r>
        <w:rPr/>
        <w:t>realiza</w:t>
      </w:r>
      <w:r>
        <w:rPr>
          <w:spacing w:val="-5"/>
        </w:rPr>
        <w:t> </w:t>
      </w:r>
      <w:r>
        <w:rPr/>
        <w:t>un</w:t>
      </w:r>
      <w:r>
        <w:rPr>
          <w:spacing w:val="-5"/>
        </w:rPr>
        <w:t> </w:t>
      </w:r>
      <w:r>
        <w:rPr/>
        <w:t>seguimiento</w:t>
      </w:r>
      <w:r>
        <w:rPr>
          <w:spacing w:val="-4"/>
        </w:rPr>
        <w:t> </w:t>
      </w:r>
      <w:r>
        <w:rPr/>
        <w:t>del</w:t>
      </w:r>
      <w:r>
        <w:rPr>
          <w:spacing w:val="-5"/>
        </w:rPr>
        <w:t> </w:t>
      </w:r>
      <w:r>
        <w:rPr/>
        <w:t>comportamiento</w:t>
      </w:r>
      <w:r>
        <w:rPr>
          <w:spacing w:val="-4"/>
        </w:rPr>
        <w:t> </w:t>
      </w:r>
      <w:r>
        <w:rPr/>
        <w:t>de</w:t>
      </w:r>
      <w:r>
        <w:rPr>
          <w:spacing w:val="-6"/>
        </w:rPr>
        <w:t> </w:t>
      </w:r>
      <w:r>
        <w:rPr/>
        <w:t>las</w:t>
      </w:r>
      <w:r>
        <w:rPr>
          <w:spacing w:val="-6"/>
        </w:rPr>
        <w:t> </w:t>
      </w:r>
      <w:r>
        <w:rPr/>
        <w:t>inversiones</w:t>
      </w:r>
      <w:r>
        <w:rPr>
          <w:spacing w:val="-4"/>
        </w:rPr>
        <w:t> </w:t>
      </w:r>
      <w:r>
        <w:rPr/>
        <w:t>y</w:t>
      </w:r>
      <w:r>
        <w:rPr>
          <w:spacing w:val="-6"/>
        </w:rPr>
        <w:t> </w:t>
      </w:r>
      <w:r>
        <w:rPr/>
        <w:t>presenta</w:t>
      </w:r>
      <w:r>
        <w:rPr>
          <w:spacing w:val="-7"/>
        </w:rPr>
        <w:t> </w:t>
      </w:r>
      <w:r>
        <w:rPr/>
        <w:t>su estado a la Unidad Ejecutora y al fiduciario.</w:t>
      </w:r>
    </w:p>
    <w:p>
      <w:pPr>
        <w:pStyle w:val="BodyText"/>
        <w:spacing w:before="119"/>
      </w:pPr>
    </w:p>
    <w:p>
      <w:pPr>
        <w:pStyle w:val="Heading4"/>
      </w:pPr>
      <w:r>
        <w:rPr>
          <w:spacing w:val="-4"/>
        </w:rPr>
        <w:t>Riesgo</w:t>
      </w:r>
      <w:r>
        <w:rPr>
          <w:spacing w:val="-9"/>
        </w:rPr>
        <w:t> </w:t>
      </w:r>
      <w:r>
        <w:rPr>
          <w:spacing w:val="-4"/>
        </w:rPr>
        <w:t>de</w:t>
      </w:r>
      <w:r>
        <w:rPr>
          <w:spacing w:val="-11"/>
        </w:rPr>
        <w:t> </w:t>
      </w:r>
      <w:r>
        <w:rPr>
          <w:spacing w:val="-4"/>
        </w:rPr>
        <w:t>mercado</w:t>
      </w:r>
    </w:p>
    <w:p>
      <w:pPr>
        <w:pStyle w:val="BodyText"/>
        <w:spacing w:before="19"/>
        <w:rPr>
          <w:b/>
          <w:i/>
          <w:sz w:val="23"/>
        </w:rPr>
      </w:pPr>
    </w:p>
    <w:p>
      <w:pPr>
        <w:pStyle w:val="BodyText"/>
        <w:ind w:left="730" w:right="930"/>
        <w:jc w:val="both"/>
      </w:pPr>
      <w:r>
        <w:rPr/>
        <w:t>Riesgo precio: Pérdida potencial que se puede producir por variaciones en los precios de los instrumentos que conforman el portafolio de inversión.</w:t>
      </w:r>
    </w:p>
    <w:p>
      <w:pPr>
        <w:pStyle w:val="BodyText"/>
        <w:spacing w:before="250"/>
        <w:ind w:left="730" w:right="924"/>
        <w:jc w:val="both"/>
      </w:pPr>
      <w:r>
        <w:rPr/>
        <w:t>Riesgo de tasa de interés:</w:t>
      </w:r>
      <w:r>
        <w:rPr>
          <w:spacing w:val="40"/>
        </w:rPr>
        <w:t> </w:t>
      </w:r>
      <w:r>
        <w:rPr/>
        <w:t>Es la posibilidad de que los cambios en las tasas de interés afecten negativamente</w:t>
      </w:r>
      <w:r>
        <w:rPr>
          <w:spacing w:val="-1"/>
        </w:rPr>
        <w:t> </w:t>
      </w:r>
      <w:r>
        <w:rPr/>
        <w:t>los ingresos</w:t>
      </w:r>
      <w:r>
        <w:rPr>
          <w:spacing w:val="-1"/>
        </w:rPr>
        <w:t> </w:t>
      </w:r>
      <w:r>
        <w:rPr/>
        <w:t>o los valores de</w:t>
      </w:r>
      <w:r>
        <w:rPr>
          <w:spacing w:val="-2"/>
        </w:rPr>
        <w:t> </w:t>
      </w:r>
      <w:r>
        <w:rPr/>
        <w:t>los instrumentos</w:t>
      </w:r>
      <w:r>
        <w:rPr>
          <w:spacing w:val="-1"/>
        </w:rPr>
        <w:t> </w:t>
      </w:r>
      <w:r>
        <w:rPr/>
        <w:t>financieros, el</w:t>
      </w:r>
      <w:r>
        <w:rPr>
          <w:spacing w:val="-1"/>
        </w:rPr>
        <w:t> </w:t>
      </w:r>
      <w:r>
        <w:rPr/>
        <w:t>riesgo</w:t>
      </w:r>
      <w:r>
        <w:rPr>
          <w:spacing w:val="-4"/>
        </w:rPr>
        <w:t> </w:t>
      </w:r>
      <w:r>
        <w:rPr/>
        <w:t>que</w:t>
      </w:r>
      <w:r>
        <w:rPr>
          <w:spacing w:val="-1"/>
        </w:rPr>
        <w:t> </w:t>
      </w:r>
      <w:r>
        <w:rPr/>
        <w:t>el</w:t>
      </w:r>
      <w:r>
        <w:rPr>
          <w:spacing w:val="-1"/>
        </w:rPr>
        <w:t> </w:t>
      </w:r>
      <w:r>
        <w:rPr/>
        <w:t>precio de</w:t>
      </w:r>
      <w:r>
        <w:rPr>
          <w:spacing w:val="-2"/>
        </w:rPr>
        <w:t> </w:t>
      </w:r>
      <w:r>
        <w:rPr/>
        <w:t>un título que devenga un interés fijo, como un bono, una obligación o un préstamo, se vea afectado por la variación de las tasas de interés del mercado.</w:t>
      </w:r>
    </w:p>
    <w:p>
      <w:pPr>
        <w:pStyle w:val="BodyText"/>
      </w:pPr>
    </w:p>
    <w:p>
      <w:pPr>
        <w:pStyle w:val="BodyText"/>
        <w:spacing w:before="1"/>
        <w:ind w:left="730" w:right="924"/>
        <w:jc w:val="both"/>
      </w:pPr>
      <w:r>
        <w:rPr/>
        <w:t>Riesgo de tipo de cambio:</w:t>
      </w:r>
      <w:r>
        <w:rPr>
          <w:spacing w:val="40"/>
        </w:rPr>
        <w:t> </w:t>
      </w:r>
      <w:r>
        <w:rPr/>
        <w:t>Se refiere a la fluctuación del precio de una moneda con respecto a otra en</w:t>
      </w:r>
      <w:r>
        <w:rPr>
          <w:spacing w:val="-7"/>
        </w:rPr>
        <w:t> </w:t>
      </w:r>
      <w:r>
        <w:rPr/>
        <w:t>un</w:t>
      </w:r>
      <w:r>
        <w:rPr>
          <w:spacing w:val="-9"/>
        </w:rPr>
        <w:t> </w:t>
      </w:r>
      <w:r>
        <w:rPr/>
        <w:t>mercado</w:t>
      </w:r>
      <w:r>
        <w:rPr>
          <w:spacing w:val="-7"/>
        </w:rPr>
        <w:t> </w:t>
      </w:r>
      <w:r>
        <w:rPr/>
        <w:t>local</w:t>
      </w:r>
      <w:r>
        <w:rPr>
          <w:spacing w:val="-8"/>
        </w:rPr>
        <w:t> </w:t>
      </w:r>
      <w:r>
        <w:rPr/>
        <w:t>o</w:t>
      </w:r>
      <w:r>
        <w:rPr>
          <w:spacing w:val="-9"/>
        </w:rPr>
        <w:t> </w:t>
      </w:r>
      <w:r>
        <w:rPr/>
        <w:t>internacional,</w:t>
      </w:r>
      <w:r>
        <w:rPr>
          <w:spacing w:val="-7"/>
        </w:rPr>
        <w:t> </w:t>
      </w:r>
      <w:r>
        <w:rPr/>
        <w:t>de</w:t>
      </w:r>
      <w:r>
        <w:rPr>
          <w:spacing w:val="-11"/>
        </w:rPr>
        <w:t> </w:t>
      </w:r>
      <w:r>
        <w:rPr/>
        <w:t>manera</w:t>
      </w:r>
      <w:r>
        <w:rPr>
          <w:spacing w:val="-8"/>
        </w:rPr>
        <w:t> </w:t>
      </w:r>
      <w:r>
        <w:rPr/>
        <w:t>tal</w:t>
      </w:r>
      <w:r>
        <w:rPr>
          <w:spacing w:val="-11"/>
        </w:rPr>
        <w:t> </w:t>
      </w:r>
      <w:r>
        <w:rPr/>
        <w:t>que</w:t>
      </w:r>
      <w:r>
        <w:rPr>
          <w:spacing w:val="-11"/>
        </w:rPr>
        <w:t> </w:t>
      </w:r>
      <w:r>
        <w:rPr/>
        <w:t>dicha</w:t>
      </w:r>
      <w:r>
        <w:rPr>
          <w:spacing w:val="-8"/>
        </w:rPr>
        <w:t> </w:t>
      </w:r>
      <w:r>
        <w:rPr/>
        <w:t>fluctuación</w:t>
      </w:r>
      <w:r>
        <w:rPr>
          <w:spacing w:val="-7"/>
        </w:rPr>
        <w:t> </w:t>
      </w:r>
      <w:r>
        <w:rPr/>
        <w:t>afecte</w:t>
      </w:r>
      <w:r>
        <w:rPr>
          <w:spacing w:val="-8"/>
        </w:rPr>
        <w:t> </w:t>
      </w:r>
      <w:r>
        <w:rPr/>
        <w:t>el</w:t>
      </w:r>
      <w:r>
        <w:rPr>
          <w:spacing w:val="-8"/>
        </w:rPr>
        <w:t> </w:t>
      </w:r>
      <w:r>
        <w:rPr/>
        <w:t>rendimiento</w:t>
      </w:r>
      <w:r>
        <w:rPr>
          <w:spacing w:val="-8"/>
        </w:rPr>
        <w:t> </w:t>
      </w:r>
      <w:r>
        <w:rPr/>
        <w:t>de</w:t>
      </w:r>
      <w:r>
        <w:rPr>
          <w:spacing w:val="-9"/>
        </w:rPr>
        <w:t> </w:t>
      </w:r>
      <w:r>
        <w:rPr/>
        <w:t>una inversión desde el punto de vista de la moneda base del inversionista. Este riesgo está presente en aquellas operaciones donde se coloquen recursos en monedas distintas a la moneda base del inversionista dado que los tipos de cambio pueden ser volátiles y pueden fluctuar debido a factores políticos, económicos y especulativos, esta volatilidad puede afectar significativamente el valor de los flujos de efectivo futuros en moneda extranjera, así como en la rentabilidad y el patrimonio neto.</w:t>
      </w:r>
    </w:p>
    <w:p>
      <w:pPr>
        <w:pStyle w:val="BodyText"/>
        <w:ind w:left="730" w:right="928"/>
        <w:jc w:val="both"/>
      </w:pPr>
      <w:r>
        <w:rPr/>
        <w:t>Como medida para controlar este riesgo, el fideicomiso, según las políticas de inversión establece invertir en un 100% de los recursos administrados en moneda local (colones costarricenses).</w:t>
      </w:r>
    </w:p>
    <w:p>
      <w:pPr>
        <w:pStyle w:val="BodyText"/>
        <w:spacing w:before="1"/>
      </w:pPr>
    </w:p>
    <w:p>
      <w:pPr>
        <w:pStyle w:val="BodyText"/>
        <w:ind w:left="730"/>
        <w:jc w:val="both"/>
      </w:pPr>
      <w:r>
        <w:rPr/>
        <w:t>Tasa</w:t>
      </w:r>
      <w:r>
        <w:rPr>
          <w:spacing w:val="-4"/>
        </w:rPr>
        <w:t> </w:t>
      </w:r>
      <w:r>
        <w:rPr/>
        <w:t>de</w:t>
      </w:r>
      <w:r>
        <w:rPr>
          <w:spacing w:val="-4"/>
        </w:rPr>
        <w:t> </w:t>
      </w:r>
      <w:r>
        <w:rPr/>
        <w:t>ejecución</w:t>
      </w:r>
      <w:r>
        <w:rPr>
          <w:spacing w:val="-3"/>
        </w:rPr>
        <w:t> </w:t>
      </w:r>
      <w:r>
        <w:rPr/>
        <w:t>de</w:t>
      </w:r>
      <w:r>
        <w:rPr>
          <w:spacing w:val="-4"/>
        </w:rPr>
        <w:t> </w:t>
      </w:r>
      <w:r>
        <w:rPr>
          <w:spacing w:val="-2"/>
        </w:rPr>
        <w:t>avales</w:t>
      </w:r>
    </w:p>
    <w:p>
      <w:pPr>
        <w:pStyle w:val="BodyText"/>
        <w:spacing w:before="28"/>
      </w:pPr>
    </w:p>
    <w:p>
      <w:pPr>
        <w:pStyle w:val="BodyText"/>
        <w:spacing w:before="1"/>
        <w:ind w:left="730" w:right="926"/>
        <w:jc w:val="both"/>
      </w:pPr>
      <w:r>
        <w:rPr/>
        <w:t>La</w:t>
      </w:r>
      <w:r>
        <w:rPr>
          <w:spacing w:val="-3"/>
        </w:rPr>
        <w:t> </w:t>
      </w:r>
      <w:r>
        <w:rPr/>
        <w:t>tasa</w:t>
      </w:r>
      <w:r>
        <w:rPr>
          <w:spacing w:val="-3"/>
        </w:rPr>
        <w:t> </w:t>
      </w:r>
      <w:r>
        <w:rPr/>
        <w:t>de</w:t>
      </w:r>
      <w:r>
        <w:rPr>
          <w:spacing w:val="-2"/>
        </w:rPr>
        <w:t> </w:t>
      </w:r>
      <w:r>
        <w:rPr/>
        <w:t>ejecución</w:t>
      </w:r>
      <w:r>
        <w:rPr>
          <w:spacing w:val="-2"/>
        </w:rPr>
        <w:t> </w:t>
      </w:r>
      <w:r>
        <w:rPr/>
        <w:t>de</w:t>
      </w:r>
      <w:r>
        <w:rPr>
          <w:spacing w:val="-2"/>
        </w:rPr>
        <w:t> </w:t>
      </w:r>
      <w:r>
        <w:rPr/>
        <w:t>avales</w:t>
      </w:r>
      <w:r>
        <w:rPr>
          <w:spacing w:val="-3"/>
        </w:rPr>
        <w:t> </w:t>
      </w:r>
      <w:r>
        <w:rPr/>
        <w:t>es</w:t>
      </w:r>
      <w:r>
        <w:rPr>
          <w:spacing w:val="-1"/>
        </w:rPr>
        <w:t> </w:t>
      </w:r>
      <w:r>
        <w:rPr/>
        <w:t>una</w:t>
      </w:r>
      <w:r>
        <w:rPr>
          <w:spacing w:val="-3"/>
        </w:rPr>
        <w:t> </w:t>
      </w:r>
      <w:r>
        <w:rPr/>
        <w:t>medida</w:t>
      </w:r>
      <w:r>
        <w:rPr>
          <w:spacing w:val="-3"/>
        </w:rPr>
        <w:t> </w:t>
      </w:r>
      <w:r>
        <w:rPr/>
        <w:t>que</w:t>
      </w:r>
      <w:r>
        <w:rPr>
          <w:spacing w:val="-1"/>
        </w:rPr>
        <w:t> </w:t>
      </w:r>
      <w:r>
        <w:rPr/>
        <w:t>indica</w:t>
      </w:r>
      <w:r>
        <w:rPr>
          <w:spacing w:val="-3"/>
        </w:rPr>
        <w:t> </w:t>
      </w:r>
      <w:r>
        <w:rPr/>
        <w:t>el</w:t>
      </w:r>
      <w:r>
        <w:rPr>
          <w:spacing w:val="-2"/>
        </w:rPr>
        <w:t> </w:t>
      </w:r>
      <w:r>
        <w:rPr/>
        <w:t>porcentaje</w:t>
      </w:r>
      <w:r>
        <w:rPr>
          <w:spacing w:val="-1"/>
        </w:rPr>
        <w:t> </w:t>
      </w:r>
      <w:r>
        <w:rPr/>
        <w:t>de</w:t>
      </w:r>
      <w:r>
        <w:rPr>
          <w:spacing w:val="-2"/>
        </w:rPr>
        <w:t> </w:t>
      </w:r>
      <w:r>
        <w:rPr/>
        <w:t>avales</w:t>
      </w:r>
      <w:r>
        <w:rPr>
          <w:spacing w:val="-1"/>
        </w:rPr>
        <w:t> </w:t>
      </w:r>
      <w:r>
        <w:rPr/>
        <w:t>(o</w:t>
      </w:r>
      <w:r>
        <w:rPr>
          <w:spacing w:val="-2"/>
        </w:rPr>
        <w:t> </w:t>
      </w:r>
      <w:r>
        <w:rPr/>
        <w:t>garantías)</w:t>
      </w:r>
      <w:r>
        <w:rPr>
          <w:spacing w:val="-2"/>
        </w:rPr>
        <w:t> </w:t>
      </w:r>
      <w:r>
        <w:rPr/>
        <w:t>emitidos por</w:t>
      </w:r>
      <w:r>
        <w:rPr>
          <w:spacing w:val="-3"/>
        </w:rPr>
        <w:t> </w:t>
      </w:r>
      <w:r>
        <w:rPr/>
        <w:t>un</w:t>
      </w:r>
      <w:r>
        <w:rPr>
          <w:spacing w:val="-5"/>
        </w:rPr>
        <w:t> </w:t>
      </w:r>
      <w:r>
        <w:rPr/>
        <w:t>fideicomiso</w:t>
      </w:r>
      <w:r>
        <w:rPr>
          <w:spacing w:val="-5"/>
        </w:rPr>
        <w:t> </w:t>
      </w:r>
      <w:r>
        <w:rPr/>
        <w:t>u</w:t>
      </w:r>
      <w:r>
        <w:rPr>
          <w:spacing w:val="-6"/>
        </w:rPr>
        <w:t> </w:t>
      </w:r>
      <w:r>
        <w:rPr/>
        <w:t>otra</w:t>
      </w:r>
      <w:r>
        <w:rPr>
          <w:spacing w:val="-6"/>
        </w:rPr>
        <w:t> </w:t>
      </w:r>
      <w:r>
        <w:rPr/>
        <w:t>entidad</w:t>
      </w:r>
      <w:r>
        <w:rPr>
          <w:spacing w:val="-3"/>
        </w:rPr>
        <w:t> </w:t>
      </w:r>
      <w:r>
        <w:rPr/>
        <w:t>que</w:t>
      </w:r>
      <w:r>
        <w:rPr>
          <w:spacing w:val="-2"/>
        </w:rPr>
        <w:t> </w:t>
      </w:r>
      <w:r>
        <w:rPr/>
        <w:t>han</w:t>
      </w:r>
      <w:r>
        <w:rPr>
          <w:spacing w:val="-5"/>
        </w:rPr>
        <w:t> </w:t>
      </w:r>
      <w:r>
        <w:rPr/>
        <w:t>sido</w:t>
      </w:r>
      <w:r>
        <w:rPr>
          <w:spacing w:val="-5"/>
        </w:rPr>
        <w:t> </w:t>
      </w:r>
      <w:r>
        <w:rPr/>
        <w:t>ejecutados</w:t>
      </w:r>
      <w:r>
        <w:rPr>
          <w:spacing w:val="-2"/>
        </w:rPr>
        <w:t> </w:t>
      </w:r>
      <w:r>
        <w:rPr/>
        <w:t>debido</w:t>
      </w:r>
      <w:r>
        <w:rPr>
          <w:spacing w:val="-5"/>
        </w:rPr>
        <w:t> </w:t>
      </w:r>
      <w:r>
        <w:rPr/>
        <w:t>al</w:t>
      </w:r>
      <w:r>
        <w:rPr>
          <w:spacing w:val="-3"/>
        </w:rPr>
        <w:t> </w:t>
      </w:r>
      <w:r>
        <w:rPr/>
        <w:t>incumplimiento</w:t>
      </w:r>
      <w:r>
        <w:rPr>
          <w:spacing w:val="-2"/>
        </w:rPr>
        <w:t> </w:t>
      </w:r>
      <w:r>
        <w:rPr/>
        <w:t>de</w:t>
      </w:r>
      <w:r>
        <w:rPr>
          <w:spacing w:val="-2"/>
        </w:rPr>
        <w:t> </w:t>
      </w:r>
      <w:r>
        <w:rPr/>
        <w:t>los</w:t>
      </w:r>
      <w:r>
        <w:rPr>
          <w:spacing w:val="-2"/>
        </w:rPr>
        <w:t> </w:t>
      </w:r>
      <w:r>
        <w:rPr/>
        <w:t>deudores en los préstamos garantizados. En otras palabras, es la proporción de avales que han tenido que ser activados para cubrir pérdidas por préstamos que no fueron pagados según lo acordado.</w:t>
      </w:r>
    </w:p>
    <w:p>
      <w:pPr>
        <w:pStyle w:val="BodyText"/>
        <w:spacing w:before="29"/>
      </w:pPr>
    </w:p>
    <w:p>
      <w:pPr>
        <w:pStyle w:val="BodyText"/>
        <w:ind w:left="730"/>
        <w:jc w:val="both"/>
      </w:pPr>
      <w:r>
        <w:rPr/>
        <w:t>Componentes</w:t>
      </w:r>
      <w:r>
        <w:rPr>
          <w:spacing w:val="-2"/>
        </w:rPr>
        <w:t> </w:t>
      </w:r>
      <w:r>
        <w:rPr/>
        <w:t>y</w:t>
      </w:r>
      <w:r>
        <w:rPr>
          <w:spacing w:val="-7"/>
        </w:rPr>
        <w:t> </w:t>
      </w:r>
      <w:r>
        <w:rPr/>
        <w:t>Significado</w:t>
      </w:r>
      <w:r>
        <w:rPr>
          <w:spacing w:val="-5"/>
        </w:rPr>
        <w:t> </w:t>
      </w:r>
      <w:r>
        <w:rPr/>
        <w:t>de</w:t>
      </w:r>
      <w:r>
        <w:rPr>
          <w:spacing w:val="-3"/>
        </w:rPr>
        <w:t> </w:t>
      </w:r>
      <w:r>
        <w:rPr/>
        <w:t>la</w:t>
      </w:r>
      <w:r>
        <w:rPr>
          <w:spacing w:val="-5"/>
        </w:rPr>
        <w:t> </w:t>
      </w:r>
      <w:r>
        <w:rPr/>
        <w:t>Tasa</w:t>
      </w:r>
      <w:r>
        <w:rPr>
          <w:spacing w:val="-4"/>
        </w:rPr>
        <w:t> </w:t>
      </w:r>
      <w:r>
        <w:rPr/>
        <w:t>de</w:t>
      </w:r>
      <w:r>
        <w:rPr>
          <w:spacing w:val="-2"/>
        </w:rPr>
        <w:t> </w:t>
      </w:r>
      <w:r>
        <w:rPr/>
        <w:t>Ejecución</w:t>
      </w:r>
      <w:r>
        <w:rPr>
          <w:spacing w:val="-3"/>
        </w:rPr>
        <w:t> </w:t>
      </w:r>
      <w:r>
        <w:rPr/>
        <w:t>de</w:t>
      </w:r>
      <w:r>
        <w:rPr>
          <w:spacing w:val="-4"/>
        </w:rPr>
        <w:t> </w:t>
      </w:r>
      <w:r>
        <w:rPr>
          <w:spacing w:val="-2"/>
        </w:rPr>
        <w:t>Avales:</w:t>
      </w:r>
    </w:p>
    <w:p>
      <w:pPr>
        <w:pStyle w:val="BodyText"/>
        <w:spacing w:before="29"/>
      </w:pPr>
    </w:p>
    <w:p>
      <w:pPr>
        <w:pStyle w:val="ListParagraph"/>
        <w:numPr>
          <w:ilvl w:val="0"/>
          <w:numId w:val="38"/>
        </w:numPr>
        <w:tabs>
          <w:tab w:pos="1090" w:val="left" w:leader="none"/>
        </w:tabs>
        <w:spacing w:line="240" w:lineRule="auto" w:before="0" w:after="0"/>
        <w:ind w:left="1090" w:right="930" w:hanging="360"/>
        <w:jc w:val="both"/>
        <w:rPr>
          <w:sz w:val="22"/>
        </w:rPr>
      </w:pPr>
      <w:r>
        <w:rPr>
          <w:sz w:val="22"/>
        </w:rPr>
        <w:t>Número de Avales Ejecutados: Este es el número de avales que han sido activados debido al in-cumplimiento del deudor.</w:t>
      </w:r>
    </w:p>
    <w:p>
      <w:pPr>
        <w:pStyle w:val="ListParagraph"/>
        <w:numPr>
          <w:ilvl w:val="0"/>
          <w:numId w:val="38"/>
        </w:numPr>
        <w:tabs>
          <w:tab w:pos="1090" w:val="left" w:leader="none"/>
        </w:tabs>
        <w:spacing w:line="240" w:lineRule="auto" w:before="0" w:after="0"/>
        <w:ind w:left="1090" w:right="927" w:hanging="360"/>
        <w:jc w:val="both"/>
        <w:rPr>
          <w:sz w:val="22"/>
        </w:rPr>
      </w:pPr>
      <w:r>
        <w:rPr>
          <w:sz w:val="22"/>
        </w:rPr>
        <w:t>Número</w:t>
      </w:r>
      <w:r>
        <w:rPr>
          <w:spacing w:val="-4"/>
          <w:sz w:val="22"/>
        </w:rPr>
        <w:t> </w:t>
      </w:r>
      <w:r>
        <w:rPr>
          <w:sz w:val="22"/>
        </w:rPr>
        <w:t>Total</w:t>
      </w:r>
      <w:r>
        <w:rPr>
          <w:spacing w:val="-6"/>
          <w:sz w:val="22"/>
        </w:rPr>
        <w:t> </w:t>
      </w:r>
      <w:r>
        <w:rPr>
          <w:sz w:val="22"/>
        </w:rPr>
        <w:t>de</w:t>
      </w:r>
      <w:r>
        <w:rPr>
          <w:spacing w:val="-4"/>
          <w:sz w:val="22"/>
        </w:rPr>
        <w:t> </w:t>
      </w:r>
      <w:r>
        <w:rPr>
          <w:sz w:val="22"/>
        </w:rPr>
        <w:t>Avales</w:t>
      </w:r>
      <w:r>
        <w:rPr>
          <w:spacing w:val="-4"/>
          <w:sz w:val="22"/>
        </w:rPr>
        <w:t> </w:t>
      </w:r>
      <w:r>
        <w:rPr>
          <w:sz w:val="22"/>
        </w:rPr>
        <w:t>Emitidos:</w:t>
      </w:r>
      <w:r>
        <w:rPr>
          <w:spacing w:val="-4"/>
          <w:sz w:val="22"/>
        </w:rPr>
        <w:t> </w:t>
      </w:r>
      <w:r>
        <w:rPr>
          <w:sz w:val="22"/>
        </w:rPr>
        <w:t>Este</w:t>
      </w:r>
      <w:r>
        <w:rPr>
          <w:spacing w:val="-6"/>
          <w:sz w:val="22"/>
        </w:rPr>
        <w:t> </w:t>
      </w:r>
      <w:r>
        <w:rPr>
          <w:sz w:val="22"/>
        </w:rPr>
        <w:t>es</w:t>
      </w:r>
      <w:r>
        <w:rPr>
          <w:spacing w:val="-6"/>
          <w:sz w:val="22"/>
        </w:rPr>
        <w:t> </w:t>
      </w:r>
      <w:r>
        <w:rPr>
          <w:sz w:val="22"/>
        </w:rPr>
        <w:t>el</w:t>
      </w:r>
      <w:r>
        <w:rPr>
          <w:spacing w:val="-8"/>
          <w:sz w:val="22"/>
        </w:rPr>
        <w:t> </w:t>
      </w:r>
      <w:r>
        <w:rPr>
          <w:sz w:val="22"/>
        </w:rPr>
        <w:t>número</w:t>
      </w:r>
      <w:r>
        <w:rPr>
          <w:spacing w:val="-4"/>
          <w:sz w:val="22"/>
        </w:rPr>
        <w:t> </w:t>
      </w:r>
      <w:r>
        <w:rPr>
          <w:sz w:val="22"/>
        </w:rPr>
        <w:t>total</w:t>
      </w:r>
      <w:r>
        <w:rPr>
          <w:spacing w:val="-6"/>
          <w:sz w:val="22"/>
        </w:rPr>
        <w:t> </w:t>
      </w:r>
      <w:r>
        <w:rPr>
          <w:sz w:val="22"/>
        </w:rPr>
        <w:t>de</w:t>
      </w:r>
      <w:r>
        <w:rPr>
          <w:spacing w:val="-6"/>
          <w:sz w:val="22"/>
        </w:rPr>
        <w:t> </w:t>
      </w:r>
      <w:r>
        <w:rPr>
          <w:sz w:val="22"/>
        </w:rPr>
        <w:t>avales</w:t>
      </w:r>
      <w:r>
        <w:rPr>
          <w:spacing w:val="-5"/>
          <w:sz w:val="22"/>
        </w:rPr>
        <w:t> </w:t>
      </w:r>
      <w:r>
        <w:rPr>
          <w:sz w:val="22"/>
        </w:rPr>
        <w:t>que</w:t>
      </w:r>
      <w:r>
        <w:rPr>
          <w:spacing w:val="-4"/>
          <w:sz w:val="22"/>
        </w:rPr>
        <w:t> </w:t>
      </w:r>
      <w:r>
        <w:rPr>
          <w:sz w:val="22"/>
        </w:rPr>
        <w:t>han</w:t>
      </w:r>
      <w:r>
        <w:rPr>
          <w:spacing w:val="-4"/>
          <w:sz w:val="22"/>
        </w:rPr>
        <w:t> </w:t>
      </w:r>
      <w:r>
        <w:rPr>
          <w:sz w:val="22"/>
        </w:rPr>
        <w:t>sido</w:t>
      </w:r>
      <w:r>
        <w:rPr>
          <w:spacing w:val="-6"/>
          <w:sz w:val="22"/>
        </w:rPr>
        <w:t> </w:t>
      </w:r>
      <w:r>
        <w:rPr>
          <w:sz w:val="22"/>
        </w:rPr>
        <w:t>emitidos</w:t>
      </w:r>
      <w:r>
        <w:rPr>
          <w:spacing w:val="-6"/>
          <w:sz w:val="22"/>
        </w:rPr>
        <w:t> </w:t>
      </w:r>
      <w:r>
        <w:rPr>
          <w:sz w:val="22"/>
        </w:rPr>
        <w:t>por</w:t>
      </w:r>
      <w:r>
        <w:rPr>
          <w:spacing w:val="-7"/>
          <w:sz w:val="22"/>
        </w:rPr>
        <w:t> </w:t>
      </w:r>
      <w:r>
        <w:rPr>
          <w:sz w:val="22"/>
        </w:rPr>
        <w:t>el fideicomiso u otra entidad durante un período específico.</w:t>
      </w:r>
    </w:p>
    <w:p>
      <w:pPr>
        <w:pStyle w:val="ListParagraph"/>
        <w:numPr>
          <w:ilvl w:val="0"/>
          <w:numId w:val="38"/>
        </w:numPr>
        <w:tabs>
          <w:tab w:pos="1090" w:val="left" w:leader="none"/>
        </w:tabs>
        <w:spacing w:line="240" w:lineRule="auto" w:before="0" w:after="0"/>
        <w:ind w:left="1090" w:right="926" w:hanging="360"/>
        <w:jc w:val="both"/>
        <w:rPr>
          <w:sz w:val="22"/>
        </w:rPr>
      </w:pPr>
      <w:r>
        <w:rPr>
          <w:sz w:val="22"/>
        </w:rPr>
        <w:t>Cálculo de la Tasa: La tasa de ejecución de avales se calcula dividiendo el número de avales eje-cutados</w:t>
      </w:r>
      <w:r>
        <w:rPr>
          <w:spacing w:val="-1"/>
          <w:sz w:val="22"/>
        </w:rPr>
        <w:t> </w:t>
      </w:r>
      <w:r>
        <w:rPr>
          <w:sz w:val="22"/>
        </w:rPr>
        <w:t>por</w:t>
      </w:r>
      <w:r>
        <w:rPr>
          <w:spacing w:val="-2"/>
          <w:sz w:val="22"/>
        </w:rPr>
        <w:t> </w:t>
      </w:r>
      <w:r>
        <w:rPr>
          <w:sz w:val="22"/>
        </w:rPr>
        <w:t>el</w:t>
      </w:r>
      <w:r>
        <w:rPr>
          <w:spacing w:val="-2"/>
          <w:sz w:val="22"/>
        </w:rPr>
        <w:t> </w:t>
      </w:r>
      <w:r>
        <w:rPr>
          <w:sz w:val="22"/>
        </w:rPr>
        <w:t>número</w:t>
      </w:r>
      <w:r>
        <w:rPr>
          <w:spacing w:val="-2"/>
          <w:sz w:val="22"/>
        </w:rPr>
        <w:t> </w:t>
      </w:r>
      <w:r>
        <w:rPr>
          <w:sz w:val="22"/>
        </w:rPr>
        <w:t>total</w:t>
      </w:r>
      <w:r>
        <w:rPr>
          <w:spacing w:val="-6"/>
          <w:sz w:val="22"/>
        </w:rPr>
        <w:t> </w:t>
      </w:r>
      <w:r>
        <w:rPr>
          <w:sz w:val="22"/>
        </w:rPr>
        <w:t>de</w:t>
      </w:r>
      <w:r>
        <w:rPr>
          <w:spacing w:val="-2"/>
          <w:sz w:val="22"/>
        </w:rPr>
        <w:t> </w:t>
      </w:r>
      <w:r>
        <w:rPr>
          <w:sz w:val="22"/>
        </w:rPr>
        <w:t>avales</w:t>
      </w:r>
      <w:r>
        <w:rPr>
          <w:spacing w:val="-3"/>
          <w:sz w:val="22"/>
        </w:rPr>
        <w:t> </w:t>
      </w:r>
      <w:r>
        <w:rPr>
          <w:sz w:val="22"/>
        </w:rPr>
        <w:t>emitidos</w:t>
      </w:r>
      <w:r>
        <w:rPr>
          <w:spacing w:val="-1"/>
          <w:sz w:val="22"/>
        </w:rPr>
        <w:t> </w:t>
      </w:r>
      <w:r>
        <w:rPr>
          <w:sz w:val="22"/>
        </w:rPr>
        <w:t>y</w:t>
      </w:r>
      <w:r>
        <w:rPr>
          <w:spacing w:val="-3"/>
          <w:sz w:val="22"/>
        </w:rPr>
        <w:t> </w:t>
      </w:r>
      <w:r>
        <w:rPr>
          <w:sz w:val="22"/>
        </w:rPr>
        <w:t>multiplicando</w:t>
      </w:r>
      <w:r>
        <w:rPr>
          <w:spacing w:val="-2"/>
          <w:sz w:val="22"/>
        </w:rPr>
        <w:t> </w:t>
      </w:r>
      <w:r>
        <w:rPr>
          <w:sz w:val="22"/>
        </w:rPr>
        <w:t>el</w:t>
      </w:r>
      <w:r>
        <w:rPr>
          <w:spacing w:val="-2"/>
          <w:sz w:val="22"/>
        </w:rPr>
        <w:t> </w:t>
      </w:r>
      <w:r>
        <w:rPr>
          <w:sz w:val="22"/>
        </w:rPr>
        <w:t>resultado</w:t>
      </w:r>
      <w:r>
        <w:rPr>
          <w:spacing w:val="-2"/>
          <w:sz w:val="22"/>
        </w:rPr>
        <w:t> </w:t>
      </w:r>
      <w:r>
        <w:rPr>
          <w:sz w:val="22"/>
        </w:rPr>
        <w:t>por</w:t>
      </w:r>
      <w:r>
        <w:rPr>
          <w:spacing w:val="-2"/>
          <w:sz w:val="22"/>
        </w:rPr>
        <w:t> </w:t>
      </w:r>
      <w:r>
        <w:rPr>
          <w:sz w:val="22"/>
        </w:rPr>
        <w:t>100</w:t>
      </w:r>
      <w:r>
        <w:rPr>
          <w:spacing w:val="-4"/>
          <w:sz w:val="22"/>
        </w:rPr>
        <w:t> </w:t>
      </w:r>
      <w:r>
        <w:rPr>
          <w:sz w:val="22"/>
        </w:rPr>
        <w:t>para</w:t>
      </w:r>
      <w:r>
        <w:rPr>
          <w:spacing w:val="-3"/>
          <w:sz w:val="22"/>
        </w:rPr>
        <w:t> </w:t>
      </w:r>
      <w:r>
        <w:rPr>
          <w:sz w:val="22"/>
        </w:rPr>
        <w:t>obtener un porcentaje.</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6960">
                <wp:simplePos x="0" y="0"/>
                <wp:positionH relativeFrom="page">
                  <wp:posOffset>9525</wp:posOffset>
                </wp:positionH>
                <wp:positionV relativeFrom="page">
                  <wp:posOffset>297208</wp:posOffset>
                </wp:positionV>
                <wp:extent cx="7762875" cy="9748520"/>
                <wp:effectExtent l="0" t="0" r="0" b="0"/>
                <wp:wrapNone/>
                <wp:docPr id="322" name="Group 322"/>
                <wp:cNvGraphicFramePr>
                  <a:graphicFrameLocks/>
                </wp:cNvGraphicFramePr>
                <a:graphic>
                  <a:graphicData uri="http://schemas.microsoft.com/office/word/2010/wordprocessingGroup">
                    <wpg:wgp>
                      <wpg:cNvPr id="322" name="Group 322"/>
                      <wpg:cNvGrpSpPr/>
                      <wpg:grpSpPr>
                        <a:xfrm>
                          <a:off x="0" y="0"/>
                          <a:ext cx="7762875" cy="9748520"/>
                          <a:chExt cx="7762875" cy="9748520"/>
                        </a:xfrm>
                      </wpg:grpSpPr>
                      <pic:pic>
                        <pic:nvPicPr>
                          <pic:cNvPr id="323" name="Image 323"/>
                          <pic:cNvPicPr/>
                        </pic:nvPicPr>
                        <pic:blipFill>
                          <a:blip r:embed="rId5" cstate="print"/>
                          <a:stretch>
                            <a:fillRect/>
                          </a:stretch>
                        </pic:blipFill>
                        <pic:spPr>
                          <a:xfrm>
                            <a:off x="0" y="0"/>
                            <a:ext cx="7762874" cy="9748489"/>
                          </a:xfrm>
                          <a:prstGeom prst="rect">
                            <a:avLst/>
                          </a:prstGeom>
                        </pic:spPr>
                      </pic:pic>
                      <wps:wsp>
                        <wps:cNvPr id="324" name="Graphic 324"/>
                        <wps:cNvSpPr/>
                        <wps:spPr>
                          <a:xfrm>
                            <a:off x="1053007" y="990837"/>
                            <a:ext cx="5736590" cy="6025515"/>
                          </a:xfrm>
                          <a:custGeom>
                            <a:avLst/>
                            <a:gdLst/>
                            <a:ahLst/>
                            <a:cxnLst/>
                            <a:rect l="l" t="t" r="r" b="b"/>
                            <a:pathLst>
                              <a:path w="5736590" h="6025515">
                                <a:moveTo>
                                  <a:pt x="5649214" y="0"/>
                                </a:moveTo>
                                <a:lnTo>
                                  <a:pt x="0" y="0"/>
                                </a:lnTo>
                                <a:lnTo>
                                  <a:pt x="0" y="9131"/>
                                </a:lnTo>
                                <a:lnTo>
                                  <a:pt x="5649214" y="9131"/>
                                </a:lnTo>
                                <a:lnTo>
                                  <a:pt x="5649214" y="0"/>
                                </a:lnTo>
                                <a:close/>
                              </a:path>
                              <a:path w="5736590" h="6025515">
                                <a:moveTo>
                                  <a:pt x="5736018" y="126479"/>
                                </a:moveTo>
                                <a:lnTo>
                                  <a:pt x="5729986" y="126479"/>
                                </a:lnTo>
                                <a:lnTo>
                                  <a:pt x="5729935" y="132575"/>
                                </a:lnTo>
                                <a:lnTo>
                                  <a:pt x="5729935" y="6018898"/>
                                </a:lnTo>
                                <a:lnTo>
                                  <a:pt x="21336" y="6018898"/>
                                </a:lnTo>
                                <a:lnTo>
                                  <a:pt x="21336" y="132575"/>
                                </a:lnTo>
                                <a:lnTo>
                                  <a:pt x="5729935" y="132575"/>
                                </a:lnTo>
                                <a:lnTo>
                                  <a:pt x="5729935" y="126479"/>
                                </a:lnTo>
                                <a:lnTo>
                                  <a:pt x="21336" y="126479"/>
                                </a:lnTo>
                                <a:lnTo>
                                  <a:pt x="15240" y="126479"/>
                                </a:lnTo>
                                <a:lnTo>
                                  <a:pt x="15240" y="132575"/>
                                </a:lnTo>
                                <a:lnTo>
                                  <a:pt x="15240" y="6018898"/>
                                </a:lnTo>
                                <a:lnTo>
                                  <a:pt x="15240" y="6024994"/>
                                </a:lnTo>
                                <a:lnTo>
                                  <a:pt x="21336" y="6024994"/>
                                </a:lnTo>
                                <a:lnTo>
                                  <a:pt x="5729935" y="6024994"/>
                                </a:lnTo>
                                <a:lnTo>
                                  <a:pt x="5736018" y="6024994"/>
                                </a:lnTo>
                                <a:lnTo>
                                  <a:pt x="5736018" y="6018898"/>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9520" id="docshapegroup308" coordorigin="15,468" coordsize="12225,15352">
                <v:shape style="position:absolute;left:15;top:468;width:12225;height:15352" type="#_x0000_t75" id="docshape309" stroked="false">
                  <v:imagedata r:id="rId5" o:title=""/>
                </v:shape>
                <v:shape style="position:absolute;left:1673;top:2028;width:9034;height:9489" id="docshape310" coordorigin="1673,2028" coordsize="9034,9489" path="m10570,2028l1673,2028,1673,2043,10570,2043,10570,2028xm10706,2228l10697,2228,10697,2228,10697,2237,10697,11507,1707,11507,1707,2237,10697,2237,10697,2228,1707,2228,1697,2228,1697,2237,1697,11507,1697,11517,1707,11517,10697,11517,10697,11517,10706,11517,10706,1150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70</w:t>
      </w:r>
    </w:p>
    <w:p>
      <w:pPr>
        <w:pStyle w:val="BodyText"/>
      </w:pPr>
    </w:p>
    <w:p>
      <w:pPr>
        <w:pStyle w:val="BodyText"/>
        <w:spacing w:before="4"/>
      </w:pPr>
    </w:p>
    <w:p>
      <w:pPr>
        <w:pStyle w:val="BodyText"/>
        <w:ind w:left="730"/>
        <w:jc w:val="both"/>
      </w:pPr>
      <w:r>
        <w:rPr/>
        <w:t>Importancia</w:t>
      </w:r>
      <w:r>
        <w:rPr>
          <w:spacing w:val="-4"/>
        </w:rPr>
        <w:t> </w:t>
      </w:r>
      <w:r>
        <w:rPr/>
        <w:t>de</w:t>
      </w:r>
      <w:r>
        <w:rPr>
          <w:spacing w:val="-2"/>
        </w:rPr>
        <w:t> </w:t>
      </w:r>
      <w:r>
        <w:rPr/>
        <w:t>la</w:t>
      </w:r>
      <w:r>
        <w:rPr>
          <w:spacing w:val="-4"/>
        </w:rPr>
        <w:t> </w:t>
      </w:r>
      <w:r>
        <w:rPr/>
        <w:t>Tasa</w:t>
      </w:r>
      <w:r>
        <w:rPr>
          <w:spacing w:val="-3"/>
        </w:rPr>
        <w:t> </w:t>
      </w:r>
      <w:r>
        <w:rPr/>
        <w:t>de</w:t>
      </w:r>
      <w:r>
        <w:rPr>
          <w:spacing w:val="-4"/>
        </w:rPr>
        <w:t> </w:t>
      </w:r>
      <w:r>
        <w:rPr/>
        <w:t>Ejecución</w:t>
      </w:r>
      <w:r>
        <w:rPr>
          <w:spacing w:val="-2"/>
        </w:rPr>
        <w:t> </w:t>
      </w:r>
      <w:r>
        <w:rPr/>
        <w:t>de</w:t>
      </w:r>
      <w:r>
        <w:rPr>
          <w:spacing w:val="-3"/>
        </w:rPr>
        <w:t> </w:t>
      </w:r>
      <w:r>
        <w:rPr>
          <w:spacing w:val="-2"/>
        </w:rPr>
        <w:t>Avales:</w:t>
      </w:r>
    </w:p>
    <w:p>
      <w:pPr>
        <w:pStyle w:val="BodyText"/>
        <w:spacing w:before="31"/>
      </w:pPr>
    </w:p>
    <w:p>
      <w:pPr>
        <w:pStyle w:val="ListParagraph"/>
        <w:numPr>
          <w:ilvl w:val="1"/>
          <w:numId w:val="38"/>
        </w:numPr>
        <w:tabs>
          <w:tab w:pos="844" w:val="left" w:leader="none"/>
        </w:tabs>
        <w:spacing w:line="240" w:lineRule="auto" w:before="0" w:after="0"/>
        <w:ind w:left="730" w:right="930" w:firstLine="0"/>
        <w:jc w:val="both"/>
        <w:rPr>
          <w:sz w:val="22"/>
        </w:rPr>
      </w:pPr>
      <w:r>
        <w:rPr>
          <w:sz w:val="22"/>
        </w:rPr>
        <w:t>Evaluación del Riesgo: Una alta tasa de ejecución de avales puede indicar un alto nivel de riesgo en la cartera de créditos garantizados. Esto puede reflejar problemas en la selección de deudores, en la gestión del riesgo crediticio, o en las condiciones económicas generales.</w:t>
      </w:r>
    </w:p>
    <w:p>
      <w:pPr>
        <w:pStyle w:val="BodyText"/>
        <w:spacing w:before="28"/>
      </w:pPr>
    </w:p>
    <w:p>
      <w:pPr>
        <w:pStyle w:val="ListParagraph"/>
        <w:numPr>
          <w:ilvl w:val="1"/>
          <w:numId w:val="38"/>
        </w:numPr>
        <w:tabs>
          <w:tab w:pos="839" w:val="left" w:leader="none"/>
        </w:tabs>
        <w:spacing w:line="240" w:lineRule="auto" w:before="0" w:after="0"/>
        <w:ind w:left="730" w:right="924" w:firstLine="0"/>
        <w:jc w:val="both"/>
        <w:rPr>
          <w:sz w:val="22"/>
        </w:rPr>
      </w:pPr>
      <w:r>
        <w:rPr>
          <w:sz w:val="22"/>
        </w:rPr>
        <w:t>Revisión</w:t>
      </w:r>
      <w:r>
        <w:rPr>
          <w:spacing w:val="-2"/>
          <w:sz w:val="22"/>
        </w:rPr>
        <w:t> </w:t>
      </w:r>
      <w:r>
        <w:rPr>
          <w:sz w:val="22"/>
        </w:rPr>
        <w:t>de</w:t>
      </w:r>
      <w:r>
        <w:rPr>
          <w:spacing w:val="-2"/>
          <w:sz w:val="22"/>
        </w:rPr>
        <w:t> </w:t>
      </w:r>
      <w:r>
        <w:rPr>
          <w:sz w:val="22"/>
        </w:rPr>
        <w:t>Políticas:</w:t>
      </w:r>
      <w:r>
        <w:rPr>
          <w:spacing w:val="-1"/>
          <w:sz w:val="22"/>
        </w:rPr>
        <w:t> </w:t>
      </w:r>
      <w:r>
        <w:rPr>
          <w:sz w:val="22"/>
        </w:rPr>
        <w:t>Si</w:t>
      </w:r>
      <w:r>
        <w:rPr>
          <w:spacing w:val="-2"/>
          <w:sz w:val="22"/>
        </w:rPr>
        <w:t> </w:t>
      </w:r>
      <w:r>
        <w:rPr>
          <w:sz w:val="22"/>
        </w:rPr>
        <w:t>la</w:t>
      </w:r>
      <w:r>
        <w:rPr>
          <w:spacing w:val="-5"/>
          <w:sz w:val="22"/>
        </w:rPr>
        <w:t> </w:t>
      </w:r>
      <w:r>
        <w:rPr>
          <w:sz w:val="22"/>
        </w:rPr>
        <w:t>tasa</w:t>
      </w:r>
      <w:r>
        <w:rPr>
          <w:spacing w:val="-3"/>
          <w:sz w:val="22"/>
        </w:rPr>
        <w:t> </w:t>
      </w:r>
      <w:r>
        <w:rPr>
          <w:sz w:val="22"/>
        </w:rPr>
        <w:t>de</w:t>
      </w:r>
      <w:r>
        <w:rPr>
          <w:spacing w:val="-4"/>
          <w:sz w:val="22"/>
        </w:rPr>
        <w:t> </w:t>
      </w:r>
      <w:r>
        <w:rPr>
          <w:sz w:val="22"/>
        </w:rPr>
        <w:t>ejecución</w:t>
      </w:r>
      <w:r>
        <w:rPr>
          <w:spacing w:val="-2"/>
          <w:sz w:val="22"/>
        </w:rPr>
        <w:t> </w:t>
      </w:r>
      <w:r>
        <w:rPr>
          <w:sz w:val="22"/>
        </w:rPr>
        <w:t>de</w:t>
      </w:r>
      <w:r>
        <w:rPr>
          <w:spacing w:val="-1"/>
          <w:sz w:val="22"/>
        </w:rPr>
        <w:t> </w:t>
      </w:r>
      <w:r>
        <w:rPr>
          <w:sz w:val="22"/>
        </w:rPr>
        <w:t>avales</w:t>
      </w:r>
      <w:r>
        <w:rPr>
          <w:spacing w:val="-4"/>
          <w:sz w:val="22"/>
        </w:rPr>
        <w:t> </w:t>
      </w:r>
      <w:r>
        <w:rPr>
          <w:sz w:val="22"/>
        </w:rPr>
        <w:t>es</w:t>
      </w:r>
      <w:r>
        <w:rPr>
          <w:spacing w:val="-1"/>
          <w:sz w:val="22"/>
        </w:rPr>
        <w:t> </w:t>
      </w:r>
      <w:r>
        <w:rPr>
          <w:sz w:val="22"/>
        </w:rPr>
        <w:t>elevada,</w:t>
      </w:r>
      <w:r>
        <w:rPr>
          <w:spacing w:val="-2"/>
          <w:sz w:val="22"/>
        </w:rPr>
        <w:t> </w:t>
      </w:r>
      <w:r>
        <w:rPr>
          <w:sz w:val="22"/>
        </w:rPr>
        <w:t>puede</w:t>
      </w:r>
      <w:r>
        <w:rPr>
          <w:spacing w:val="-4"/>
          <w:sz w:val="22"/>
        </w:rPr>
        <w:t> </w:t>
      </w:r>
      <w:r>
        <w:rPr>
          <w:sz w:val="22"/>
        </w:rPr>
        <w:t>ser</w:t>
      </w:r>
      <w:r>
        <w:rPr>
          <w:spacing w:val="-2"/>
          <w:sz w:val="22"/>
        </w:rPr>
        <w:t> </w:t>
      </w:r>
      <w:r>
        <w:rPr>
          <w:sz w:val="22"/>
        </w:rPr>
        <w:t>necesario</w:t>
      </w:r>
      <w:r>
        <w:rPr>
          <w:spacing w:val="-2"/>
          <w:sz w:val="22"/>
        </w:rPr>
        <w:t> </w:t>
      </w:r>
      <w:r>
        <w:rPr>
          <w:sz w:val="22"/>
        </w:rPr>
        <w:t>revisar</w:t>
      </w:r>
      <w:r>
        <w:rPr>
          <w:spacing w:val="-2"/>
          <w:sz w:val="22"/>
        </w:rPr>
        <w:t> </w:t>
      </w:r>
      <w:r>
        <w:rPr>
          <w:sz w:val="22"/>
        </w:rPr>
        <w:t>y</w:t>
      </w:r>
      <w:r>
        <w:rPr>
          <w:spacing w:val="-3"/>
          <w:sz w:val="22"/>
        </w:rPr>
        <w:t> </w:t>
      </w:r>
      <w:r>
        <w:rPr>
          <w:sz w:val="22"/>
        </w:rPr>
        <w:t>forta-lecer</w:t>
      </w:r>
      <w:r>
        <w:rPr>
          <w:spacing w:val="-1"/>
          <w:sz w:val="22"/>
        </w:rPr>
        <w:t> </w:t>
      </w:r>
      <w:r>
        <w:rPr>
          <w:sz w:val="22"/>
        </w:rPr>
        <w:t>las políticas de</w:t>
      </w:r>
      <w:r>
        <w:rPr>
          <w:spacing w:val="-2"/>
          <w:sz w:val="22"/>
        </w:rPr>
        <w:t> </w:t>
      </w:r>
      <w:r>
        <w:rPr>
          <w:sz w:val="22"/>
        </w:rPr>
        <w:t>otorgamiento de avales,</w:t>
      </w:r>
      <w:r>
        <w:rPr>
          <w:spacing w:val="-3"/>
          <w:sz w:val="22"/>
        </w:rPr>
        <w:t> </w:t>
      </w:r>
      <w:r>
        <w:rPr>
          <w:sz w:val="22"/>
        </w:rPr>
        <w:t>mejorando la</w:t>
      </w:r>
      <w:r>
        <w:rPr>
          <w:spacing w:val="-2"/>
          <w:sz w:val="22"/>
        </w:rPr>
        <w:t> </w:t>
      </w:r>
      <w:r>
        <w:rPr>
          <w:sz w:val="22"/>
        </w:rPr>
        <w:t>evaluación</w:t>
      </w:r>
      <w:r>
        <w:rPr>
          <w:spacing w:val="-1"/>
          <w:sz w:val="22"/>
        </w:rPr>
        <w:t> </w:t>
      </w:r>
      <w:r>
        <w:rPr>
          <w:sz w:val="22"/>
        </w:rPr>
        <w:t>de los riesgos crediticios y</w:t>
      </w:r>
      <w:r>
        <w:rPr>
          <w:spacing w:val="-4"/>
          <w:sz w:val="22"/>
        </w:rPr>
        <w:t> </w:t>
      </w:r>
      <w:r>
        <w:rPr>
          <w:sz w:val="22"/>
        </w:rPr>
        <w:t>esta-bleciendo controles más estrictos.</w:t>
      </w:r>
    </w:p>
    <w:p>
      <w:pPr>
        <w:pStyle w:val="BodyText"/>
        <w:spacing w:before="29"/>
      </w:pPr>
    </w:p>
    <w:p>
      <w:pPr>
        <w:pStyle w:val="BodyText"/>
        <w:ind w:left="730" w:right="927"/>
        <w:jc w:val="both"/>
      </w:pPr>
      <w:r>
        <w:rPr/>
        <w:t>En</w:t>
      </w:r>
      <w:r>
        <w:rPr>
          <w:spacing w:val="-4"/>
        </w:rPr>
        <w:t> </w:t>
      </w:r>
      <w:r>
        <w:rPr/>
        <w:t>síntesis,</w:t>
      </w:r>
      <w:r>
        <w:rPr>
          <w:spacing w:val="-7"/>
        </w:rPr>
        <w:t> </w:t>
      </w:r>
      <w:r>
        <w:rPr/>
        <w:t>la</w:t>
      </w:r>
      <w:r>
        <w:rPr>
          <w:spacing w:val="-6"/>
        </w:rPr>
        <w:t> </w:t>
      </w:r>
      <w:r>
        <w:rPr/>
        <w:t>tasa</w:t>
      </w:r>
      <w:r>
        <w:rPr>
          <w:spacing w:val="-5"/>
        </w:rPr>
        <w:t> </w:t>
      </w:r>
      <w:r>
        <w:rPr/>
        <w:t>de</w:t>
      </w:r>
      <w:r>
        <w:rPr>
          <w:spacing w:val="-9"/>
        </w:rPr>
        <w:t> </w:t>
      </w:r>
      <w:r>
        <w:rPr/>
        <w:t>ejecución</w:t>
      </w:r>
      <w:r>
        <w:rPr>
          <w:spacing w:val="-4"/>
        </w:rPr>
        <w:t> </w:t>
      </w:r>
      <w:r>
        <w:rPr/>
        <w:t>de</w:t>
      </w:r>
      <w:r>
        <w:rPr>
          <w:spacing w:val="-4"/>
        </w:rPr>
        <w:t> </w:t>
      </w:r>
      <w:r>
        <w:rPr/>
        <w:t>avales</w:t>
      </w:r>
      <w:r>
        <w:rPr>
          <w:spacing w:val="-6"/>
        </w:rPr>
        <w:t> </w:t>
      </w:r>
      <w:r>
        <w:rPr/>
        <w:t>es</w:t>
      </w:r>
      <w:r>
        <w:rPr>
          <w:spacing w:val="-4"/>
        </w:rPr>
        <w:t> </w:t>
      </w:r>
      <w:r>
        <w:rPr/>
        <w:t>una</w:t>
      </w:r>
      <w:r>
        <w:rPr>
          <w:spacing w:val="-8"/>
        </w:rPr>
        <w:t> </w:t>
      </w:r>
      <w:r>
        <w:rPr/>
        <w:t>métrica</w:t>
      </w:r>
      <w:r>
        <w:rPr>
          <w:spacing w:val="-8"/>
        </w:rPr>
        <w:t> </w:t>
      </w:r>
      <w:r>
        <w:rPr/>
        <w:t>crucial</w:t>
      </w:r>
      <w:r>
        <w:rPr>
          <w:spacing w:val="-5"/>
        </w:rPr>
        <w:t> </w:t>
      </w:r>
      <w:r>
        <w:rPr/>
        <w:t>para</w:t>
      </w:r>
      <w:r>
        <w:rPr>
          <w:spacing w:val="-5"/>
        </w:rPr>
        <w:t> </w:t>
      </w:r>
      <w:r>
        <w:rPr/>
        <w:t>entender</w:t>
      </w:r>
      <w:r>
        <w:rPr>
          <w:spacing w:val="-5"/>
        </w:rPr>
        <w:t> </w:t>
      </w:r>
      <w:r>
        <w:rPr/>
        <w:t>la</w:t>
      </w:r>
      <w:r>
        <w:rPr>
          <w:spacing w:val="-8"/>
        </w:rPr>
        <w:t> </w:t>
      </w:r>
      <w:r>
        <w:rPr/>
        <w:t>efectividad</w:t>
      </w:r>
      <w:r>
        <w:rPr>
          <w:spacing w:val="-5"/>
        </w:rPr>
        <w:t> </w:t>
      </w:r>
      <w:r>
        <w:rPr/>
        <w:t>y</w:t>
      </w:r>
      <w:r>
        <w:rPr>
          <w:spacing w:val="-6"/>
        </w:rPr>
        <w:t> </w:t>
      </w:r>
      <w:r>
        <w:rPr/>
        <w:t>el</w:t>
      </w:r>
      <w:r>
        <w:rPr>
          <w:spacing w:val="-5"/>
        </w:rPr>
        <w:t> </w:t>
      </w:r>
      <w:r>
        <w:rPr/>
        <w:t>riesgo asociado con los avales emitidos por una entidad financiera o fideicomiso.</w:t>
      </w:r>
    </w:p>
    <w:p>
      <w:pPr>
        <w:pStyle w:val="BodyText"/>
        <w:spacing w:before="29"/>
      </w:pPr>
    </w:p>
    <w:p>
      <w:pPr>
        <w:pStyle w:val="BodyText"/>
        <w:ind w:left="730" w:right="927"/>
        <w:jc w:val="both"/>
      </w:pPr>
      <w:r>
        <w:rPr/>
        <w:t>Los avales otorgados son la garantía que concede el fideicomiso a favor de los fideicomisarios, para respaldar</w:t>
      </w:r>
      <w:r>
        <w:rPr>
          <w:spacing w:val="-5"/>
        </w:rPr>
        <w:t> </w:t>
      </w:r>
      <w:r>
        <w:rPr/>
        <w:t>en</w:t>
      </w:r>
      <w:r>
        <w:rPr>
          <w:spacing w:val="-2"/>
        </w:rPr>
        <w:t> </w:t>
      </w:r>
      <w:r>
        <w:rPr/>
        <w:t>todo</w:t>
      </w:r>
      <w:r>
        <w:rPr>
          <w:spacing w:val="-4"/>
        </w:rPr>
        <w:t> </w:t>
      </w:r>
      <w:r>
        <w:rPr/>
        <w:t>o</w:t>
      </w:r>
      <w:r>
        <w:rPr>
          <w:spacing w:val="-2"/>
        </w:rPr>
        <w:t> </w:t>
      </w:r>
      <w:r>
        <w:rPr/>
        <w:t>en</w:t>
      </w:r>
      <w:r>
        <w:rPr>
          <w:spacing w:val="-2"/>
        </w:rPr>
        <w:t> </w:t>
      </w:r>
      <w:r>
        <w:rPr/>
        <w:t>parte</w:t>
      </w:r>
      <w:r>
        <w:rPr>
          <w:spacing w:val="-1"/>
        </w:rPr>
        <w:t> </w:t>
      </w:r>
      <w:r>
        <w:rPr/>
        <w:t>los</w:t>
      </w:r>
      <w:r>
        <w:rPr>
          <w:spacing w:val="-1"/>
        </w:rPr>
        <w:t> </w:t>
      </w:r>
      <w:r>
        <w:rPr/>
        <w:t>créditos</w:t>
      </w:r>
      <w:r>
        <w:rPr>
          <w:spacing w:val="-4"/>
        </w:rPr>
        <w:t> </w:t>
      </w:r>
      <w:r>
        <w:rPr/>
        <w:t>que</w:t>
      </w:r>
      <w:r>
        <w:rPr>
          <w:spacing w:val="-1"/>
        </w:rPr>
        <w:t> </w:t>
      </w:r>
      <w:r>
        <w:rPr/>
        <w:t>otorgan</w:t>
      </w:r>
      <w:r>
        <w:rPr>
          <w:spacing w:val="-2"/>
        </w:rPr>
        <w:t> </w:t>
      </w:r>
      <w:r>
        <w:rPr/>
        <w:t>a</w:t>
      </w:r>
      <w:r>
        <w:rPr>
          <w:spacing w:val="-6"/>
        </w:rPr>
        <w:t> </w:t>
      </w:r>
      <w:r>
        <w:rPr/>
        <w:t>sus</w:t>
      </w:r>
      <w:r>
        <w:rPr>
          <w:spacing w:val="-2"/>
        </w:rPr>
        <w:t> </w:t>
      </w:r>
      <w:r>
        <w:rPr/>
        <w:t>deudores</w:t>
      </w:r>
      <w:r>
        <w:rPr>
          <w:spacing w:val="-1"/>
        </w:rPr>
        <w:t> </w:t>
      </w:r>
      <w:r>
        <w:rPr/>
        <w:t>y</w:t>
      </w:r>
      <w:r>
        <w:rPr>
          <w:spacing w:val="-3"/>
        </w:rPr>
        <w:t> </w:t>
      </w:r>
      <w:r>
        <w:rPr/>
        <w:t>a</w:t>
      </w:r>
      <w:r>
        <w:rPr>
          <w:spacing w:val="-3"/>
        </w:rPr>
        <w:t> </w:t>
      </w:r>
      <w:r>
        <w:rPr/>
        <w:t>su</w:t>
      </w:r>
      <w:r>
        <w:rPr>
          <w:spacing w:val="-2"/>
        </w:rPr>
        <w:t> </w:t>
      </w:r>
      <w:r>
        <w:rPr/>
        <w:t>vez</w:t>
      </w:r>
      <w:r>
        <w:rPr>
          <w:spacing w:val="-2"/>
        </w:rPr>
        <w:t> </w:t>
      </w:r>
      <w:r>
        <w:rPr/>
        <w:t>beneficiarios</w:t>
      </w:r>
      <w:r>
        <w:rPr>
          <w:spacing w:val="-1"/>
        </w:rPr>
        <w:t> </w:t>
      </w:r>
      <w:r>
        <w:rPr/>
        <w:t>del</w:t>
      </w:r>
      <w:r>
        <w:rPr>
          <w:spacing w:val="-2"/>
        </w:rPr>
        <w:t> </w:t>
      </w:r>
      <w:r>
        <w:rPr/>
        <w:t>fidei-comiso.</w:t>
      </w:r>
      <w:r>
        <w:rPr>
          <w:spacing w:val="-2"/>
        </w:rPr>
        <w:t> </w:t>
      </w:r>
      <w:r>
        <w:rPr/>
        <w:t>Este</w:t>
      </w:r>
      <w:r>
        <w:rPr>
          <w:spacing w:val="-2"/>
        </w:rPr>
        <w:t> </w:t>
      </w:r>
      <w:r>
        <w:rPr/>
        <w:t>riesgo</w:t>
      </w:r>
      <w:r>
        <w:rPr>
          <w:spacing w:val="-3"/>
        </w:rPr>
        <w:t> </w:t>
      </w:r>
      <w:r>
        <w:rPr/>
        <w:t>depende</w:t>
      </w:r>
      <w:r>
        <w:rPr>
          <w:spacing w:val="-2"/>
        </w:rPr>
        <w:t> </w:t>
      </w:r>
      <w:r>
        <w:rPr/>
        <w:t>de</w:t>
      </w:r>
      <w:r>
        <w:rPr>
          <w:spacing w:val="-3"/>
        </w:rPr>
        <w:t> </w:t>
      </w:r>
      <w:r>
        <w:rPr/>
        <w:t>los</w:t>
      </w:r>
      <w:r>
        <w:rPr>
          <w:spacing w:val="-2"/>
        </w:rPr>
        <w:t> </w:t>
      </w:r>
      <w:r>
        <w:rPr/>
        <w:t>controles</w:t>
      </w:r>
      <w:r>
        <w:rPr>
          <w:spacing w:val="-2"/>
        </w:rPr>
        <w:t> </w:t>
      </w:r>
      <w:r>
        <w:rPr/>
        <w:t>que</w:t>
      </w:r>
      <w:r>
        <w:rPr>
          <w:spacing w:val="-3"/>
        </w:rPr>
        <w:t> </w:t>
      </w:r>
      <w:r>
        <w:rPr/>
        <w:t>tenga</w:t>
      </w:r>
      <w:r>
        <w:rPr>
          <w:spacing w:val="-6"/>
        </w:rPr>
        <w:t> </w:t>
      </w:r>
      <w:r>
        <w:rPr/>
        <w:t>el</w:t>
      </w:r>
      <w:r>
        <w:rPr>
          <w:spacing w:val="-3"/>
        </w:rPr>
        <w:t> </w:t>
      </w:r>
      <w:r>
        <w:rPr/>
        <w:t>Operador</w:t>
      </w:r>
      <w:r>
        <w:rPr>
          <w:spacing w:val="-3"/>
        </w:rPr>
        <w:t> </w:t>
      </w:r>
      <w:r>
        <w:rPr/>
        <w:t>Financiero</w:t>
      </w:r>
      <w:r>
        <w:rPr>
          <w:spacing w:val="-3"/>
        </w:rPr>
        <w:t> </w:t>
      </w:r>
      <w:r>
        <w:rPr/>
        <w:t>autorizado,</w:t>
      </w:r>
      <w:r>
        <w:rPr>
          <w:spacing w:val="-3"/>
        </w:rPr>
        <w:t> </w:t>
      </w:r>
      <w:r>
        <w:rPr/>
        <w:t>al</w:t>
      </w:r>
      <w:r>
        <w:rPr>
          <w:spacing w:val="-4"/>
        </w:rPr>
        <w:t> </w:t>
      </w:r>
      <w:r>
        <w:rPr/>
        <w:t>cual</w:t>
      </w:r>
      <w:r>
        <w:rPr>
          <w:spacing w:val="-3"/>
        </w:rPr>
        <w:t> </w:t>
      </w:r>
      <w:r>
        <w:rPr/>
        <w:t>se le están otorgando avales.</w:t>
      </w:r>
    </w:p>
    <w:p>
      <w:pPr>
        <w:pStyle w:val="BodyText"/>
        <w:spacing w:before="30"/>
      </w:pPr>
    </w:p>
    <w:p>
      <w:pPr>
        <w:pStyle w:val="BodyText"/>
        <w:ind w:left="730" w:right="930"/>
        <w:jc w:val="both"/>
      </w:pPr>
      <w:r>
        <w:rPr/>
        <w:t>Lo anterior se basa en una buena gestión de estudio crediticio para determinar si efectivamente es o no candidato para otorgarle crédito con el aval de FIDEIMAS.</w:t>
      </w:r>
    </w:p>
    <w:p>
      <w:pPr>
        <w:pStyle w:val="BodyText"/>
        <w:spacing w:before="29"/>
      </w:pPr>
    </w:p>
    <w:p>
      <w:pPr>
        <w:pStyle w:val="BodyText"/>
        <w:ind w:left="730" w:right="929"/>
        <w:jc w:val="both"/>
      </w:pPr>
      <w:r>
        <w:rPr/>
        <w:t>Una deficiente gestión por</w:t>
      </w:r>
      <w:r>
        <w:rPr>
          <w:spacing w:val="-2"/>
        </w:rPr>
        <w:t> </w:t>
      </w:r>
      <w:r>
        <w:rPr/>
        <w:t>parte del</w:t>
      </w:r>
      <w:r>
        <w:rPr>
          <w:spacing w:val="-1"/>
        </w:rPr>
        <w:t> </w:t>
      </w:r>
      <w:r>
        <w:rPr/>
        <w:t>Operador puede llevar al</w:t>
      </w:r>
      <w:r>
        <w:rPr>
          <w:spacing w:val="-1"/>
        </w:rPr>
        <w:t> </w:t>
      </w:r>
      <w:r>
        <w:rPr/>
        <w:t>riesgo de incumplimiento y, por ende, a la necesidad de solicitar ejecuciones de avales.</w:t>
      </w:r>
    </w:p>
    <w:p>
      <w:pPr>
        <w:pStyle w:val="BodyText"/>
        <w:spacing w:before="30"/>
      </w:pPr>
    </w:p>
    <w:p>
      <w:pPr>
        <w:pStyle w:val="BodyText"/>
        <w:spacing w:line="250" w:lineRule="exact"/>
        <w:ind w:left="730"/>
      </w:pPr>
      <w:r>
        <w:rPr/>
        <w:t>Causas</w:t>
      </w:r>
      <w:r>
        <w:rPr>
          <w:spacing w:val="-4"/>
        </w:rPr>
        <w:t> </w:t>
      </w:r>
      <w:r>
        <w:rPr/>
        <w:t>que</w:t>
      </w:r>
      <w:r>
        <w:rPr>
          <w:spacing w:val="-3"/>
        </w:rPr>
        <w:t> </w:t>
      </w:r>
      <w:r>
        <w:rPr/>
        <w:t>pueden</w:t>
      </w:r>
      <w:r>
        <w:rPr>
          <w:spacing w:val="-4"/>
        </w:rPr>
        <w:t> </w:t>
      </w:r>
      <w:r>
        <w:rPr/>
        <w:t>provocar</w:t>
      </w:r>
      <w:r>
        <w:rPr>
          <w:spacing w:val="-4"/>
        </w:rPr>
        <w:t> </w:t>
      </w:r>
      <w:r>
        <w:rPr/>
        <w:t>el</w:t>
      </w:r>
      <w:r>
        <w:rPr>
          <w:spacing w:val="-3"/>
        </w:rPr>
        <w:t> </w:t>
      </w:r>
      <w:r>
        <w:rPr>
          <w:spacing w:val="-2"/>
        </w:rPr>
        <w:t>riesgo:</w:t>
      </w:r>
    </w:p>
    <w:p>
      <w:pPr>
        <w:pStyle w:val="ListParagraph"/>
        <w:numPr>
          <w:ilvl w:val="1"/>
          <w:numId w:val="38"/>
        </w:numPr>
        <w:tabs>
          <w:tab w:pos="839" w:val="left" w:leader="none"/>
        </w:tabs>
        <w:spacing w:line="240" w:lineRule="auto" w:before="0" w:after="0"/>
        <w:ind w:left="730" w:right="925" w:firstLine="0"/>
        <w:jc w:val="left"/>
        <w:rPr>
          <w:sz w:val="22"/>
        </w:rPr>
      </w:pPr>
      <w:r>
        <w:rPr>
          <w:sz w:val="22"/>
        </w:rPr>
        <w:t>Inadecuado</w:t>
      </w:r>
      <w:r>
        <w:rPr>
          <w:spacing w:val="-2"/>
          <w:sz w:val="22"/>
        </w:rPr>
        <w:t> </w:t>
      </w:r>
      <w:r>
        <w:rPr>
          <w:sz w:val="22"/>
        </w:rPr>
        <w:t>control</w:t>
      </w:r>
      <w:r>
        <w:rPr>
          <w:spacing w:val="-2"/>
          <w:sz w:val="22"/>
        </w:rPr>
        <w:t> </w:t>
      </w:r>
      <w:r>
        <w:rPr>
          <w:sz w:val="22"/>
        </w:rPr>
        <w:t>entre</w:t>
      </w:r>
      <w:r>
        <w:rPr>
          <w:spacing w:val="-2"/>
          <w:sz w:val="22"/>
        </w:rPr>
        <w:t> </w:t>
      </w:r>
      <w:r>
        <w:rPr>
          <w:sz w:val="22"/>
        </w:rPr>
        <w:t>los</w:t>
      </w:r>
      <w:r>
        <w:rPr>
          <w:spacing w:val="-1"/>
          <w:sz w:val="22"/>
        </w:rPr>
        <w:t> </w:t>
      </w:r>
      <w:r>
        <w:rPr>
          <w:sz w:val="22"/>
        </w:rPr>
        <w:t>activos</w:t>
      </w:r>
      <w:r>
        <w:rPr>
          <w:spacing w:val="-1"/>
          <w:sz w:val="22"/>
        </w:rPr>
        <w:t> </w:t>
      </w:r>
      <w:r>
        <w:rPr>
          <w:sz w:val="22"/>
        </w:rPr>
        <w:t>fideicomitidos</w:t>
      </w:r>
      <w:r>
        <w:rPr>
          <w:spacing w:val="-4"/>
          <w:sz w:val="22"/>
        </w:rPr>
        <w:t> </w:t>
      </w:r>
      <w:r>
        <w:rPr>
          <w:sz w:val="22"/>
        </w:rPr>
        <w:t>que</w:t>
      </w:r>
      <w:r>
        <w:rPr>
          <w:spacing w:val="-3"/>
          <w:sz w:val="22"/>
        </w:rPr>
        <w:t> </w:t>
      </w:r>
      <w:r>
        <w:rPr>
          <w:sz w:val="22"/>
        </w:rPr>
        <w:t>se</w:t>
      </w:r>
      <w:r>
        <w:rPr>
          <w:spacing w:val="-3"/>
          <w:sz w:val="22"/>
        </w:rPr>
        <w:t> </w:t>
      </w:r>
      <w:r>
        <w:rPr>
          <w:sz w:val="22"/>
        </w:rPr>
        <w:t>poseen</w:t>
      </w:r>
      <w:r>
        <w:rPr>
          <w:spacing w:val="-2"/>
          <w:sz w:val="22"/>
        </w:rPr>
        <w:t> </w:t>
      </w:r>
      <w:r>
        <w:rPr>
          <w:sz w:val="22"/>
        </w:rPr>
        <w:t>y</w:t>
      </w:r>
      <w:r>
        <w:rPr>
          <w:spacing w:val="-3"/>
          <w:sz w:val="22"/>
        </w:rPr>
        <w:t> </w:t>
      </w:r>
      <w:r>
        <w:rPr>
          <w:sz w:val="22"/>
        </w:rPr>
        <w:t>la</w:t>
      </w:r>
      <w:r>
        <w:rPr>
          <w:spacing w:val="-4"/>
          <w:sz w:val="22"/>
        </w:rPr>
        <w:t> </w:t>
      </w:r>
      <w:r>
        <w:rPr>
          <w:sz w:val="22"/>
        </w:rPr>
        <w:t>cartera</w:t>
      </w:r>
      <w:r>
        <w:rPr>
          <w:spacing w:val="-3"/>
          <w:sz w:val="22"/>
        </w:rPr>
        <w:t> </w:t>
      </w:r>
      <w:r>
        <w:rPr>
          <w:sz w:val="22"/>
        </w:rPr>
        <w:t>de</w:t>
      </w:r>
      <w:r>
        <w:rPr>
          <w:spacing w:val="-2"/>
          <w:sz w:val="22"/>
        </w:rPr>
        <w:t> </w:t>
      </w:r>
      <w:r>
        <w:rPr>
          <w:sz w:val="22"/>
        </w:rPr>
        <w:t>crédito</w:t>
      </w:r>
      <w:r>
        <w:rPr>
          <w:spacing w:val="-1"/>
          <w:sz w:val="22"/>
        </w:rPr>
        <w:t> </w:t>
      </w:r>
      <w:r>
        <w:rPr>
          <w:sz w:val="22"/>
        </w:rPr>
        <w:t>garantizada (ejecución masiva de avales).</w:t>
      </w:r>
    </w:p>
    <w:p>
      <w:pPr>
        <w:pStyle w:val="ListParagraph"/>
        <w:numPr>
          <w:ilvl w:val="1"/>
          <w:numId w:val="38"/>
        </w:numPr>
        <w:tabs>
          <w:tab w:pos="839" w:val="left" w:leader="none"/>
        </w:tabs>
        <w:spacing w:line="240" w:lineRule="auto" w:before="0" w:after="0"/>
        <w:ind w:left="730" w:right="4942" w:firstLine="0"/>
        <w:jc w:val="left"/>
        <w:rPr>
          <w:sz w:val="22"/>
        </w:rPr>
      </w:pPr>
      <w:r>
        <w:rPr>
          <w:sz w:val="22"/>
        </w:rPr>
        <w:t>Deterioro</w:t>
      </w:r>
      <w:r>
        <w:rPr>
          <w:spacing w:val="-4"/>
          <w:sz w:val="22"/>
        </w:rPr>
        <w:t> </w:t>
      </w:r>
      <w:r>
        <w:rPr>
          <w:sz w:val="22"/>
        </w:rPr>
        <w:t>de</w:t>
      </w:r>
      <w:r>
        <w:rPr>
          <w:spacing w:val="-5"/>
          <w:sz w:val="22"/>
        </w:rPr>
        <w:t> </w:t>
      </w:r>
      <w:r>
        <w:rPr>
          <w:sz w:val="22"/>
        </w:rPr>
        <w:t>la</w:t>
      </w:r>
      <w:r>
        <w:rPr>
          <w:spacing w:val="-5"/>
          <w:sz w:val="22"/>
        </w:rPr>
        <w:t> </w:t>
      </w:r>
      <w:r>
        <w:rPr>
          <w:sz w:val="22"/>
        </w:rPr>
        <w:t>cartera</w:t>
      </w:r>
      <w:r>
        <w:rPr>
          <w:spacing w:val="-5"/>
          <w:sz w:val="22"/>
        </w:rPr>
        <w:t> </w:t>
      </w:r>
      <w:r>
        <w:rPr>
          <w:sz w:val="22"/>
        </w:rPr>
        <w:t>avalada</w:t>
      </w:r>
      <w:r>
        <w:rPr>
          <w:spacing w:val="-5"/>
          <w:sz w:val="22"/>
        </w:rPr>
        <w:t> </w:t>
      </w:r>
      <w:r>
        <w:rPr>
          <w:sz w:val="22"/>
        </w:rPr>
        <w:t>por</w:t>
      </w:r>
      <w:r>
        <w:rPr>
          <w:spacing w:val="-4"/>
          <w:sz w:val="22"/>
        </w:rPr>
        <w:t> </w:t>
      </w:r>
      <w:r>
        <w:rPr>
          <w:sz w:val="22"/>
        </w:rPr>
        <w:t>afectación</w:t>
      </w:r>
      <w:r>
        <w:rPr>
          <w:spacing w:val="-4"/>
          <w:sz w:val="22"/>
        </w:rPr>
        <w:t> </w:t>
      </w:r>
      <w:r>
        <w:rPr>
          <w:sz w:val="22"/>
        </w:rPr>
        <w:t>de</w:t>
      </w:r>
      <w:r>
        <w:rPr>
          <w:spacing w:val="-5"/>
          <w:sz w:val="22"/>
        </w:rPr>
        <w:t> </w:t>
      </w:r>
      <w:r>
        <w:rPr>
          <w:sz w:val="22"/>
        </w:rPr>
        <w:t>tasa. Controles para mitigar el riesgo:</w:t>
      </w:r>
    </w:p>
    <w:p>
      <w:pPr>
        <w:pStyle w:val="ListParagraph"/>
        <w:numPr>
          <w:ilvl w:val="1"/>
          <w:numId w:val="38"/>
        </w:numPr>
        <w:tabs>
          <w:tab w:pos="892" w:val="left" w:leader="none"/>
        </w:tabs>
        <w:spacing w:line="240" w:lineRule="auto" w:before="1" w:after="0"/>
        <w:ind w:left="730" w:right="928" w:firstLine="0"/>
        <w:jc w:val="both"/>
        <w:rPr>
          <w:sz w:val="22"/>
        </w:rPr>
      </w:pPr>
      <w:r>
        <w:rPr>
          <w:sz w:val="22"/>
        </w:rPr>
        <w:t>Proceso de verificación de la disponibilidad de recursos, manteniendo reservas o provisiones adecuadas para cubrir posibles incumplimientos, basadas en modelos de riesgo y previsiones económicas. Las provisiones deben ser revisadas y ajustadas periódicamente.</w:t>
      </w:r>
    </w:p>
    <w:p>
      <w:pPr>
        <w:pStyle w:val="ListParagraph"/>
        <w:numPr>
          <w:ilvl w:val="1"/>
          <w:numId w:val="38"/>
        </w:numPr>
        <w:tabs>
          <w:tab w:pos="839" w:val="left" w:leader="none"/>
        </w:tabs>
        <w:spacing w:line="249" w:lineRule="exact" w:before="0" w:after="0"/>
        <w:ind w:left="839" w:right="0" w:hanging="109"/>
        <w:jc w:val="both"/>
        <w:rPr>
          <w:sz w:val="22"/>
        </w:rPr>
      </w:pPr>
      <w:r>
        <w:rPr>
          <w:sz w:val="22"/>
        </w:rPr>
        <w:t>Revisiones</w:t>
      </w:r>
      <w:r>
        <w:rPr>
          <w:spacing w:val="-2"/>
          <w:sz w:val="22"/>
        </w:rPr>
        <w:t> </w:t>
      </w:r>
      <w:r>
        <w:rPr>
          <w:sz w:val="22"/>
        </w:rPr>
        <w:t>con</w:t>
      </w:r>
      <w:r>
        <w:rPr>
          <w:spacing w:val="-3"/>
          <w:sz w:val="22"/>
        </w:rPr>
        <w:t> </w:t>
      </w:r>
      <w:r>
        <w:rPr>
          <w:sz w:val="22"/>
        </w:rPr>
        <w:t>la</w:t>
      </w:r>
      <w:r>
        <w:rPr>
          <w:spacing w:val="-4"/>
          <w:sz w:val="22"/>
        </w:rPr>
        <w:t> </w:t>
      </w:r>
      <w:r>
        <w:rPr>
          <w:sz w:val="22"/>
        </w:rPr>
        <w:t>Unidad</w:t>
      </w:r>
      <w:r>
        <w:rPr>
          <w:spacing w:val="-2"/>
          <w:sz w:val="22"/>
        </w:rPr>
        <w:t> </w:t>
      </w:r>
      <w:r>
        <w:rPr>
          <w:sz w:val="22"/>
        </w:rPr>
        <w:t>Ejecutora</w:t>
      </w:r>
      <w:r>
        <w:rPr>
          <w:spacing w:val="-4"/>
          <w:sz w:val="22"/>
        </w:rPr>
        <w:t> </w:t>
      </w:r>
      <w:r>
        <w:rPr>
          <w:sz w:val="22"/>
        </w:rPr>
        <w:t>(UE)</w:t>
      </w:r>
      <w:r>
        <w:rPr>
          <w:spacing w:val="-3"/>
          <w:sz w:val="22"/>
        </w:rPr>
        <w:t> </w:t>
      </w:r>
      <w:r>
        <w:rPr>
          <w:sz w:val="22"/>
        </w:rPr>
        <w:t>en</w:t>
      </w:r>
      <w:r>
        <w:rPr>
          <w:spacing w:val="-2"/>
          <w:sz w:val="22"/>
        </w:rPr>
        <w:t> </w:t>
      </w:r>
      <w:r>
        <w:rPr>
          <w:sz w:val="22"/>
        </w:rPr>
        <w:t>temas</w:t>
      </w:r>
      <w:r>
        <w:rPr>
          <w:spacing w:val="-3"/>
          <w:sz w:val="22"/>
        </w:rPr>
        <w:t> </w:t>
      </w:r>
      <w:r>
        <w:rPr>
          <w:sz w:val="22"/>
        </w:rPr>
        <w:t>de</w:t>
      </w:r>
      <w:r>
        <w:rPr>
          <w:spacing w:val="-6"/>
          <w:sz w:val="22"/>
        </w:rPr>
        <w:t> </w:t>
      </w:r>
      <w:r>
        <w:rPr>
          <w:spacing w:val="-2"/>
          <w:sz w:val="22"/>
        </w:rPr>
        <w:t>presupuesto.</w:t>
      </w:r>
    </w:p>
    <w:p>
      <w:pPr>
        <w:pStyle w:val="ListParagraph"/>
        <w:numPr>
          <w:ilvl w:val="1"/>
          <w:numId w:val="38"/>
        </w:numPr>
        <w:tabs>
          <w:tab w:pos="844" w:val="left" w:leader="none"/>
        </w:tabs>
        <w:spacing w:line="240" w:lineRule="auto" w:before="2" w:after="0"/>
        <w:ind w:left="730" w:right="931" w:firstLine="0"/>
        <w:jc w:val="both"/>
        <w:rPr>
          <w:sz w:val="22"/>
        </w:rPr>
      </w:pPr>
      <w:r>
        <w:rPr>
          <w:sz w:val="22"/>
        </w:rPr>
        <w:t>Realizar monitoreos continuos de los deudores y las condiciones del</w:t>
      </w:r>
      <w:r>
        <w:rPr>
          <w:spacing w:val="-2"/>
          <w:sz w:val="22"/>
        </w:rPr>
        <w:t> </w:t>
      </w:r>
      <w:r>
        <w:rPr>
          <w:sz w:val="22"/>
        </w:rPr>
        <w:t>mercado para detectar señales tempranas de problemas financieros.</w:t>
      </w:r>
    </w:p>
    <w:p>
      <w:pPr>
        <w:pStyle w:val="BodyText"/>
        <w:spacing w:before="190"/>
      </w:pPr>
    </w:p>
    <w:p>
      <w:pPr>
        <w:pStyle w:val="Heading5"/>
        <w:spacing w:before="1"/>
      </w:pPr>
      <w:bookmarkStart w:name="_bookmark43" w:id="44"/>
      <w:bookmarkEnd w:id="44"/>
      <w:r>
        <w:rPr>
          <w:b w:val="0"/>
        </w:rPr>
      </w:r>
      <w:r>
        <w:rPr/>
        <w:t>NOTA</w:t>
      </w:r>
      <w:r>
        <w:rPr>
          <w:spacing w:val="-1"/>
        </w:rPr>
        <w:t> </w:t>
      </w:r>
      <w:r>
        <w:rPr/>
        <w:t>N° </w:t>
      </w:r>
      <w:r>
        <w:rPr>
          <w:spacing w:val="-5"/>
        </w:rPr>
        <w:t>13</w:t>
      </w:r>
    </w:p>
    <w:p>
      <w:pPr>
        <w:pStyle w:val="BodyText"/>
        <w:spacing w:before="114"/>
        <w:rPr>
          <w:b/>
        </w:rPr>
      </w:pPr>
    </w:p>
    <w:p>
      <w:pPr>
        <w:pStyle w:val="BodyText"/>
        <w:ind w:left="622"/>
      </w:pPr>
      <w:r>
        <w:rPr/>
        <w:t>Otros</w:t>
      </w:r>
      <w:r>
        <w:rPr>
          <w:spacing w:val="-5"/>
        </w:rPr>
        <w:t> </w:t>
      </w:r>
      <w:r>
        <w:rPr/>
        <w:t>activos</w:t>
      </w:r>
      <w:r>
        <w:rPr>
          <w:spacing w:val="-3"/>
        </w:rPr>
        <w:t> </w:t>
      </w:r>
      <w:r>
        <w:rPr/>
        <w:t>a</w:t>
      </w:r>
      <w:r>
        <w:rPr>
          <w:spacing w:val="-4"/>
        </w:rPr>
        <w:t> </w:t>
      </w:r>
      <w:r>
        <w:rPr/>
        <w:t>largo</w:t>
      </w:r>
      <w:r>
        <w:rPr>
          <w:spacing w:val="-3"/>
        </w:rPr>
        <w:t> </w:t>
      </w:r>
      <w:r>
        <w:rPr>
          <w:spacing w:val="-4"/>
        </w:rPr>
        <w:t>plazo</w:t>
      </w:r>
    </w:p>
    <w:p>
      <w:pPr>
        <w:pStyle w:val="BodyText"/>
        <w:spacing w:before="7"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2261"/>
        <w:gridCol w:w="850"/>
        <w:gridCol w:w="1985"/>
        <w:gridCol w:w="1749"/>
        <w:gridCol w:w="1197"/>
      </w:tblGrid>
      <w:tr>
        <w:trPr>
          <w:trHeight w:val="325" w:hRule="atLeast"/>
        </w:trPr>
        <w:tc>
          <w:tcPr>
            <w:tcW w:w="991" w:type="dxa"/>
            <w:vMerge w:val="restart"/>
            <w:shd w:val="clear" w:color="auto" w:fill="365F92"/>
          </w:tcPr>
          <w:p>
            <w:pPr>
              <w:pStyle w:val="TableParagraph"/>
              <w:spacing w:before="130"/>
              <w:ind w:left="69"/>
              <w:rPr>
                <w:b/>
                <w:sz w:val="20"/>
              </w:rPr>
            </w:pPr>
            <w:r>
              <w:rPr>
                <w:b/>
                <w:color w:val="FFFFFF"/>
                <w:spacing w:val="-2"/>
                <w:sz w:val="20"/>
              </w:rPr>
              <w:t>Cuenta</w:t>
            </w:r>
          </w:p>
        </w:tc>
        <w:tc>
          <w:tcPr>
            <w:tcW w:w="2261" w:type="dxa"/>
            <w:vMerge w:val="restart"/>
            <w:shd w:val="clear" w:color="auto" w:fill="365F92"/>
          </w:tcPr>
          <w:p>
            <w:pPr>
              <w:pStyle w:val="TableParagraph"/>
              <w:spacing w:before="219"/>
              <w:ind w:left="648"/>
              <w:rPr>
                <w:b/>
                <w:sz w:val="20"/>
              </w:rPr>
            </w:pPr>
            <w:r>
              <w:rPr>
                <w:b/>
                <w:color w:val="FFFFFF"/>
                <w:spacing w:val="-2"/>
                <w:sz w:val="20"/>
              </w:rPr>
              <w:t>Descripción</w:t>
            </w:r>
          </w:p>
        </w:tc>
        <w:tc>
          <w:tcPr>
            <w:tcW w:w="850" w:type="dxa"/>
            <w:vMerge w:val="restart"/>
            <w:shd w:val="clear" w:color="auto" w:fill="365F92"/>
          </w:tcPr>
          <w:p>
            <w:pPr>
              <w:pStyle w:val="TableParagraph"/>
              <w:spacing w:before="219"/>
              <w:ind w:left="228"/>
              <w:rPr>
                <w:b/>
                <w:sz w:val="20"/>
              </w:rPr>
            </w:pPr>
            <w:r>
              <w:rPr>
                <w:b/>
                <w:color w:val="FFFFFF"/>
                <w:spacing w:val="-4"/>
                <w:sz w:val="20"/>
              </w:rPr>
              <w:t>Nota</w:t>
            </w:r>
          </w:p>
        </w:tc>
        <w:tc>
          <w:tcPr>
            <w:tcW w:w="1985" w:type="dxa"/>
            <w:vMerge w:val="restart"/>
            <w:shd w:val="clear" w:color="auto" w:fill="365F92"/>
          </w:tcPr>
          <w:p>
            <w:pPr>
              <w:pStyle w:val="TableParagraph"/>
              <w:spacing w:before="219"/>
              <w:ind w:left="417"/>
              <w:rPr>
                <w:b/>
                <w:sz w:val="20"/>
              </w:rPr>
            </w:pPr>
            <w:r>
              <w:rPr>
                <w:b/>
                <w:color w:val="FFFFFF"/>
                <w:sz w:val="20"/>
              </w:rPr>
              <w:t>Periodo</w:t>
            </w:r>
            <w:r>
              <w:rPr>
                <w:b/>
                <w:color w:val="FFFFFF"/>
                <w:spacing w:val="-5"/>
                <w:sz w:val="20"/>
              </w:rPr>
              <w:t> </w:t>
            </w:r>
            <w:r>
              <w:rPr>
                <w:b/>
                <w:color w:val="FFFFFF"/>
                <w:spacing w:val="-2"/>
                <w:sz w:val="20"/>
              </w:rPr>
              <w:t>Actual</w:t>
            </w:r>
          </w:p>
        </w:tc>
        <w:tc>
          <w:tcPr>
            <w:tcW w:w="1749" w:type="dxa"/>
            <w:vMerge w:val="restart"/>
            <w:shd w:val="clear" w:color="auto" w:fill="365F92"/>
          </w:tcPr>
          <w:p>
            <w:pPr>
              <w:pStyle w:val="TableParagraph"/>
              <w:spacing w:before="219"/>
              <w:ind w:left="216"/>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9"/>
              <w:ind w:left="28" w:right="8"/>
              <w:jc w:val="center"/>
              <w:rPr>
                <w:b/>
                <w:sz w:val="20"/>
              </w:rPr>
            </w:pPr>
            <w:r>
              <w:rPr>
                <w:b/>
                <w:color w:val="FFFFFF"/>
                <w:spacing w:val="-2"/>
                <w:sz w:val="20"/>
              </w:rPr>
              <w:t>Diferencia</w:t>
            </w:r>
          </w:p>
        </w:tc>
      </w:tr>
      <w:tr>
        <w:trPr>
          <w:trHeight w:val="323" w:hRule="atLeast"/>
        </w:trPr>
        <w:tc>
          <w:tcPr>
            <w:tcW w:w="991" w:type="dxa"/>
            <w:vMerge/>
            <w:tcBorders>
              <w:top w:val="nil"/>
            </w:tcBorders>
            <w:shd w:val="clear" w:color="auto" w:fill="365F92"/>
          </w:tcPr>
          <w:p>
            <w:pPr>
              <w:rPr>
                <w:sz w:val="2"/>
                <w:szCs w:val="2"/>
              </w:rPr>
            </w:pPr>
          </w:p>
        </w:tc>
        <w:tc>
          <w:tcPr>
            <w:tcW w:w="2261" w:type="dxa"/>
            <w:vMerge/>
            <w:tcBorders>
              <w:top w:val="nil"/>
            </w:tcBorders>
            <w:shd w:val="clear" w:color="auto" w:fill="365F92"/>
          </w:tcPr>
          <w:p>
            <w:pPr>
              <w:rPr>
                <w:sz w:val="2"/>
                <w:szCs w:val="2"/>
              </w:rPr>
            </w:pPr>
          </w:p>
        </w:tc>
        <w:tc>
          <w:tcPr>
            <w:tcW w:w="850" w:type="dxa"/>
            <w:vMerge/>
            <w:tcBorders>
              <w:top w:val="nil"/>
            </w:tcBorders>
            <w:shd w:val="clear" w:color="auto" w:fill="365F92"/>
          </w:tcPr>
          <w:p>
            <w:pPr>
              <w:rPr>
                <w:sz w:val="2"/>
                <w:szCs w:val="2"/>
              </w:rPr>
            </w:pPr>
          </w:p>
        </w:tc>
        <w:tc>
          <w:tcPr>
            <w:tcW w:w="1985"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9"/>
              <w:jc w:val="center"/>
              <w:rPr>
                <w:sz w:val="20"/>
              </w:rPr>
            </w:pPr>
            <w:r>
              <w:rPr>
                <w:color w:val="FFFFFF"/>
                <w:spacing w:val="-10"/>
                <w:sz w:val="20"/>
              </w:rPr>
              <w:t>%</w:t>
            </w:r>
          </w:p>
        </w:tc>
      </w:tr>
      <w:tr>
        <w:trPr>
          <w:trHeight w:val="325" w:hRule="atLeast"/>
        </w:trPr>
        <w:tc>
          <w:tcPr>
            <w:tcW w:w="991" w:type="dxa"/>
          </w:tcPr>
          <w:p>
            <w:pPr>
              <w:pStyle w:val="TableParagraph"/>
              <w:spacing w:before="46"/>
              <w:ind w:left="69"/>
              <w:rPr>
                <w:b/>
                <w:sz w:val="20"/>
              </w:rPr>
            </w:pPr>
            <w:r>
              <w:rPr>
                <w:b/>
                <w:spacing w:val="-2"/>
                <w:sz w:val="20"/>
              </w:rPr>
              <w:t>1.2.9.</w:t>
            </w:r>
          </w:p>
        </w:tc>
        <w:tc>
          <w:tcPr>
            <w:tcW w:w="2261" w:type="dxa"/>
          </w:tcPr>
          <w:p>
            <w:pPr>
              <w:pStyle w:val="TableParagraph"/>
              <w:spacing w:before="46"/>
              <w:ind w:left="69"/>
              <w:rPr>
                <w:b/>
                <w:sz w:val="20"/>
              </w:rPr>
            </w:pPr>
            <w:r>
              <w:rPr>
                <w:b/>
                <w:sz w:val="20"/>
              </w:rPr>
              <w:t>Otros</w:t>
            </w:r>
            <w:r>
              <w:rPr>
                <w:b/>
                <w:spacing w:val="-5"/>
                <w:sz w:val="20"/>
              </w:rPr>
              <w:t> </w:t>
            </w:r>
            <w:r>
              <w:rPr>
                <w:b/>
                <w:sz w:val="20"/>
              </w:rPr>
              <w:t>activos</w:t>
            </w:r>
            <w:r>
              <w:rPr>
                <w:b/>
                <w:spacing w:val="-2"/>
                <w:sz w:val="20"/>
              </w:rPr>
              <w:t> </w:t>
            </w:r>
            <w:r>
              <w:rPr>
                <w:b/>
                <w:sz w:val="20"/>
              </w:rPr>
              <w:t>a</w:t>
            </w:r>
            <w:r>
              <w:rPr>
                <w:b/>
                <w:spacing w:val="-5"/>
                <w:sz w:val="20"/>
              </w:rPr>
              <w:t> </w:t>
            </w:r>
            <w:r>
              <w:rPr>
                <w:b/>
                <w:sz w:val="20"/>
              </w:rPr>
              <w:t>largo</w:t>
            </w:r>
            <w:r>
              <w:rPr>
                <w:b/>
                <w:spacing w:val="-4"/>
                <w:sz w:val="20"/>
              </w:rPr>
              <w:t> plazo</w:t>
            </w:r>
          </w:p>
        </w:tc>
        <w:tc>
          <w:tcPr>
            <w:tcW w:w="850" w:type="dxa"/>
          </w:tcPr>
          <w:p>
            <w:pPr>
              <w:pStyle w:val="TableParagraph"/>
              <w:spacing w:before="46"/>
              <w:ind w:left="19"/>
              <w:jc w:val="center"/>
              <w:rPr>
                <w:b/>
                <w:sz w:val="20"/>
              </w:rPr>
            </w:pPr>
            <w:r>
              <w:rPr>
                <w:b/>
                <w:spacing w:val="-5"/>
                <w:sz w:val="20"/>
              </w:rPr>
              <w:t>13</w:t>
            </w:r>
          </w:p>
        </w:tc>
        <w:tc>
          <w:tcPr>
            <w:tcW w:w="1985" w:type="dxa"/>
          </w:tcPr>
          <w:p>
            <w:pPr>
              <w:pStyle w:val="TableParagraph"/>
              <w:spacing w:before="46"/>
              <w:ind w:left="18"/>
              <w:jc w:val="center"/>
              <w:rPr>
                <w:b/>
                <w:sz w:val="20"/>
              </w:rPr>
            </w:pPr>
            <w:r>
              <w:rPr>
                <w:b/>
                <w:spacing w:val="-4"/>
                <w:sz w:val="20"/>
              </w:rPr>
              <w:t>0,00</w:t>
            </w:r>
          </w:p>
        </w:tc>
        <w:tc>
          <w:tcPr>
            <w:tcW w:w="1749" w:type="dxa"/>
          </w:tcPr>
          <w:p>
            <w:pPr>
              <w:pStyle w:val="TableParagraph"/>
              <w:spacing w:before="46"/>
              <w:ind w:left="16"/>
              <w:jc w:val="center"/>
              <w:rPr>
                <w:b/>
                <w:sz w:val="20"/>
              </w:rPr>
            </w:pPr>
            <w:r>
              <w:rPr>
                <w:b/>
                <w:spacing w:val="-4"/>
                <w:sz w:val="20"/>
              </w:rPr>
              <w:t>0,00</w:t>
            </w:r>
          </w:p>
        </w:tc>
        <w:tc>
          <w:tcPr>
            <w:tcW w:w="1197" w:type="dxa"/>
          </w:tcPr>
          <w:p>
            <w:pPr>
              <w:pStyle w:val="TableParagraph"/>
              <w:spacing w:before="46"/>
              <w:ind w:left="28" w:right="5"/>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9008">
                <wp:simplePos x="0" y="0"/>
                <wp:positionH relativeFrom="page">
                  <wp:posOffset>9525</wp:posOffset>
                </wp:positionH>
                <wp:positionV relativeFrom="page">
                  <wp:posOffset>297208</wp:posOffset>
                </wp:positionV>
                <wp:extent cx="7762875" cy="9748520"/>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7762875" cy="9748520"/>
                          <a:chExt cx="7762875" cy="9748520"/>
                        </a:xfrm>
                      </wpg:grpSpPr>
                      <pic:pic>
                        <pic:nvPicPr>
                          <pic:cNvPr id="326" name="Image 326"/>
                          <pic:cNvPicPr/>
                        </pic:nvPicPr>
                        <pic:blipFill>
                          <a:blip r:embed="rId5" cstate="print"/>
                          <a:stretch>
                            <a:fillRect/>
                          </a:stretch>
                        </pic:blipFill>
                        <pic:spPr>
                          <a:xfrm>
                            <a:off x="0" y="0"/>
                            <a:ext cx="7762874" cy="9748489"/>
                          </a:xfrm>
                          <a:prstGeom prst="rect">
                            <a:avLst/>
                          </a:prstGeom>
                        </pic:spPr>
                      </pic:pic>
                      <wps:wsp>
                        <wps:cNvPr id="327" name="Graphic 32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7472" id="docshapegroup311" coordorigin="15,468" coordsize="12225,15352">
                <v:shape style="position:absolute;left:15;top:468;width:12225;height:15352" type="#_x0000_t75" id="docshape312" stroked="false">
                  <v:imagedata r:id="rId5" o:title=""/>
                </v:shape>
                <v:rect style="position:absolute;left:1673;top:2028;width:8897;height:15" id="docshape31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71</w:t>
      </w:r>
    </w:p>
    <w:p>
      <w:pPr>
        <w:pStyle w:val="BodyText"/>
        <w:rPr>
          <w:sz w:val="20"/>
        </w:rPr>
      </w:pPr>
    </w:p>
    <w:p>
      <w:pPr>
        <w:pStyle w:val="BodyText"/>
        <w:spacing w:before="145"/>
        <w:rPr>
          <w:sz w:val="20"/>
        </w:rPr>
      </w:pPr>
      <w:r>
        <w:rPr>
          <w:sz w:val="20"/>
        </w:rPr>
        <mc:AlternateContent>
          <mc:Choice Requires="wps">
            <w:drawing>
              <wp:anchor distT="0" distB="0" distL="0" distR="0" allowOverlap="1" layoutInCell="1" locked="0" behindDoc="1" simplePos="0" relativeHeight="487640576">
                <wp:simplePos x="0" y="0"/>
                <wp:positionH relativeFrom="page">
                  <wp:posOffset>1080820</wp:posOffset>
                </wp:positionH>
                <wp:positionV relativeFrom="paragraph">
                  <wp:posOffset>255365</wp:posOffset>
                </wp:positionV>
                <wp:extent cx="5715000" cy="620395"/>
                <wp:effectExtent l="0" t="0" r="0" b="0"/>
                <wp:wrapTopAndBottom/>
                <wp:docPr id="328" name="Textbox 328"/>
                <wp:cNvGraphicFramePr>
                  <a:graphicFrameLocks/>
                </wp:cNvGraphicFramePr>
                <a:graphic>
                  <a:graphicData uri="http://schemas.microsoft.com/office/word/2010/wordprocessingShape">
                    <wps:wsp>
                      <wps:cNvPr id="328" name="Textbox 328"/>
                      <wps:cNvSpPr txBox="1"/>
                      <wps:spPr>
                        <a:xfrm>
                          <a:off x="0" y="0"/>
                          <a:ext cx="5715000" cy="62039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0.107494pt;width:450pt;height:48.85pt;mso-position-horizontal-relative:page;mso-position-vertical-relative:paragraph;z-index:-15675904;mso-wrap-distance-left:0;mso-wrap-distance-right:0" type="#_x0000_t202" id="docshape31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245"/>
        <w:ind w:left="622"/>
      </w:pPr>
      <w:r>
        <w:rPr/>
        <w:t>Detalle</w:t>
      </w:r>
      <w:r>
        <w:rPr>
          <w:spacing w:val="-9"/>
        </w:rPr>
        <w:t> </w:t>
      </w:r>
      <w:r>
        <w:rPr>
          <w:spacing w:val="-2"/>
        </w:rPr>
        <w:t>cuenta:</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835"/>
        <w:gridCol w:w="708"/>
        <w:gridCol w:w="1702"/>
        <w:gridCol w:w="1608"/>
        <w:gridCol w:w="1198"/>
      </w:tblGrid>
      <w:tr>
        <w:trPr>
          <w:trHeight w:val="325" w:hRule="atLeast"/>
        </w:trPr>
        <w:tc>
          <w:tcPr>
            <w:tcW w:w="984" w:type="dxa"/>
            <w:vMerge w:val="restart"/>
            <w:shd w:val="clear" w:color="auto" w:fill="365F92"/>
          </w:tcPr>
          <w:p>
            <w:pPr>
              <w:pStyle w:val="TableParagraph"/>
              <w:spacing w:before="130"/>
              <w:ind w:left="69"/>
              <w:rPr>
                <w:b/>
                <w:sz w:val="20"/>
              </w:rPr>
            </w:pPr>
            <w:r>
              <w:rPr>
                <w:b/>
                <w:color w:val="FFFFFF"/>
                <w:spacing w:val="-2"/>
                <w:sz w:val="20"/>
              </w:rPr>
              <w:t>Cuenta</w:t>
            </w:r>
          </w:p>
        </w:tc>
        <w:tc>
          <w:tcPr>
            <w:tcW w:w="2835" w:type="dxa"/>
            <w:vMerge w:val="restart"/>
            <w:shd w:val="clear" w:color="auto" w:fill="365F92"/>
          </w:tcPr>
          <w:p>
            <w:pPr>
              <w:pStyle w:val="TableParagraph"/>
              <w:spacing w:before="219"/>
              <w:ind w:left="936"/>
              <w:rPr>
                <w:b/>
                <w:sz w:val="20"/>
              </w:rPr>
            </w:pPr>
            <w:r>
              <w:rPr>
                <w:b/>
                <w:color w:val="FFFFFF"/>
                <w:spacing w:val="-2"/>
                <w:sz w:val="20"/>
              </w:rPr>
              <w:t>Descripción</w:t>
            </w:r>
          </w:p>
        </w:tc>
        <w:tc>
          <w:tcPr>
            <w:tcW w:w="708" w:type="dxa"/>
            <w:vMerge w:val="restart"/>
            <w:shd w:val="clear" w:color="auto" w:fill="365F92"/>
          </w:tcPr>
          <w:p>
            <w:pPr>
              <w:pStyle w:val="TableParagraph"/>
              <w:spacing w:before="219"/>
              <w:ind w:left="158"/>
              <w:rPr>
                <w:b/>
                <w:sz w:val="20"/>
              </w:rPr>
            </w:pPr>
            <w:r>
              <w:rPr>
                <w:b/>
                <w:color w:val="FFFFFF"/>
                <w:spacing w:val="-4"/>
                <w:sz w:val="20"/>
              </w:rPr>
              <w:t>Nota</w:t>
            </w:r>
          </w:p>
        </w:tc>
        <w:tc>
          <w:tcPr>
            <w:tcW w:w="1702" w:type="dxa"/>
            <w:vMerge w:val="restart"/>
            <w:shd w:val="clear" w:color="auto" w:fill="365F92"/>
          </w:tcPr>
          <w:p>
            <w:pPr>
              <w:pStyle w:val="TableParagraph"/>
              <w:spacing w:before="219"/>
              <w:ind w:left="275"/>
              <w:rPr>
                <w:b/>
                <w:sz w:val="20"/>
              </w:rPr>
            </w:pPr>
            <w:r>
              <w:rPr>
                <w:b/>
                <w:color w:val="FFFFFF"/>
                <w:sz w:val="20"/>
              </w:rPr>
              <w:t>Periodo</w:t>
            </w:r>
            <w:r>
              <w:rPr>
                <w:b/>
                <w:color w:val="FFFFFF"/>
                <w:spacing w:val="-5"/>
                <w:sz w:val="20"/>
              </w:rPr>
              <w:t> </w:t>
            </w:r>
            <w:r>
              <w:rPr>
                <w:b/>
                <w:color w:val="FFFFFF"/>
                <w:spacing w:val="-2"/>
                <w:sz w:val="20"/>
              </w:rPr>
              <w:t>Actual</w:t>
            </w:r>
          </w:p>
        </w:tc>
        <w:tc>
          <w:tcPr>
            <w:tcW w:w="1608" w:type="dxa"/>
            <w:vMerge w:val="restart"/>
            <w:shd w:val="clear" w:color="auto" w:fill="365F92"/>
          </w:tcPr>
          <w:p>
            <w:pPr>
              <w:pStyle w:val="TableParagraph"/>
              <w:spacing w:before="219"/>
              <w:ind w:left="146"/>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49"/>
              <w:ind w:left="23" w:right="6"/>
              <w:jc w:val="center"/>
              <w:rPr>
                <w:b/>
                <w:sz w:val="20"/>
              </w:rPr>
            </w:pPr>
            <w:r>
              <w:rPr>
                <w:b/>
                <w:color w:val="FFFFFF"/>
                <w:spacing w:val="-2"/>
                <w:sz w:val="20"/>
              </w:rPr>
              <w:t>Diferencia</w:t>
            </w:r>
          </w:p>
        </w:tc>
      </w:tr>
      <w:tr>
        <w:trPr>
          <w:trHeight w:val="323" w:hRule="atLeast"/>
        </w:trPr>
        <w:tc>
          <w:tcPr>
            <w:tcW w:w="984"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608"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7"/>
              <w:jc w:val="center"/>
              <w:rPr>
                <w:sz w:val="20"/>
              </w:rPr>
            </w:pPr>
            <w:r>
              <w:rPr>
                <w:color w:val="FFFFFF"/>
                <w:spacing w:val="-10"/>
                <w:sz w:val="20"/>
              </w:rPr>
              <w:t>%</w:t>
            </w:r>
          </w:p>
        </w:tc>
      </w:tr>
      <w:tr>
        <w:trPr>
          <w:trHeight w:val="325" w:hRule="atLeast"/>
        </w:trPr>
        <w:tc>
          <w:tcPr>
            <w:tcW w:w="984" w:type="dxa"/>
          </w:tcPr>
          <w:p>
            <w:pPr>
              <w:pStyle w:val="TableParagraph"/>
              <w:spacing w:before="46"/>
              <w:ind w:left="69"/>
              <w:rPr>
                <w:b/>
                <w:sz w:val="20"/>
              </w:rPr>
            </w:pPr>
            <w:r>
              <w:rPr>
                <w:b/>
                <w:spacing w:val="-2"/>
                <w:sz w:val="20"/>
              </w:rPr>
              <w:t>1.2.9.01.</w:t>
            </w:r>
          </w:p>
        </w:tc>
        <w:tc>
          <w:tcPr>
            <w:tcW w:w="2835" w:type="dxa"/>
          </w:tcPr>
          <w:p>
            <w:pPr>
              <w:pStyle w:val="TableParagraph"/>
              <w:spacing w:before="46"/>
              <w:ind w:left="69"/>
              <w:rPr>
                <w:b/>
                <w:sz w:val="20"/>
              </w:rPr>
            </w:pPr>
            <w:r>
              <w:rPr>
                <w:b/>
                <w:sz w:val="20"/>
              </w:rPr>
              <w:t>Gastos</w:t>
            </w:r>
            <w:r>
              <w:rPr>
                <w:b/>
                <w:spacing w:val="-3"/>
                <w:sz w:val="20"/>
              </w:rPr>
              <w:t> </w:t>
            </w:r>
            <w:r>
              <w:rPr>
                <w:b/>
                <w:sz w:val="20"/>
              </w:rPr>
              <w:t>a</w:t>
            </w:r>
            <w:r>
              <w:rPr>
                <w:b/>
                <w:spacing w:val="-4"/>
                <w:sz w:val="20"/>
              </w:rPr>
              <w:t> </w:t>
            </w:r>
            <w:r>
              <w:rPr>
                <w:b/>
                <w:sz w:val="20"/>
              </w:rPr>
              <w:t>devengar</w:t>
            </w:r>
            <w:r>
              <w:rPr>
                <w:b/>
                <w:spacing w:val="-2"/>
                <w:sz w:val="20"/>
              </w:rPr>
              <w:t> </w:t>
            </w:r>
            <w:r>
              <w:rPr>
                <w:b/>
                <w:sz w:val="20"/>
              </w:rPr>
              <w:t>a</w:t>
            </w:r>
            <w:r>
              <w:rPr>
                <w:b/>
                <w:spacing w:val="-4"/>
                <w:sz w:val="20"/>
              </w:rPr>
              <w:t> </w:t>
            </w:r>
            <w:r>
              <w:rPr>
                <w:b/>
                <w:sz w:val="20"/>
              </w:rPr>
              <w:t>largo</w:t>
            </w:r>
            <w:r>
              <w:rPr>
                <w:b/>
                <w:spacing w:val="-5"/>
                <w:sz w:val="20"/>
              </w:rPr>
              <w:t> </w:t>
            </w:r>
            <w:r>
              <w:rPr>
                <w:b/>
                <w:spacing w:val="-4"/>
                <w:sz w:val="20"/>
              </w:rPr>
              <w:t>plazo</w:t>
            </w:r>
          </w:p>
        </w:tc>
        <w:tc>
          <w:tcPr>
            <w:tcW w:w="708" w:type="dxa"/>
          </w:tcPr>
          <w:p>
            <w:pPr>
              <w:pStyle w:val="TableParagraph"/>
              <w:spacing w:line="211" w:lineRule="exact" w:before="94"/>
              <w:ind w:left="18" w:right="1"/>
              <w:jc w:val="center"/>
              <w:rPr>
                <w:b/>
                <w:sz w:val="20"/>
              </w:rPr>
            </w:pPr>
            <w:r>
              <w:rPr>
                <w:b/>
                <w:spacing w:val="-5"/>
                <w:sz w:val="20"/>
              </w:rPr>
              <w:t>13</w:t>
            </w:r>
          </w:p>
        </w:tc>
        <w:tc>
          <w:tcPr>
            <w:tcW w:w="1702" w:type="dxa"/>
          </w:tcPr>
          <w:p>
            <w:pPr>
              <w:pStyle w:val="TableParagraph"/>
              <w:spacing w:before="46"/>
              <w:ind w:left="68" w:right="55"/>
              <w:jc w:val="center"/>
              <w:rPr>
                <w:b/>
                <w:sz w:val="20"/>
              </w:rPr>
            </w:pPr>
            <w:r>
              <w:rPr>
                <w:b/>
                <w:spacing w:val="-4"/>
                <w:sz w:val="20"/>
              </w:rPr>
              <w:t>0,00</w:t>
            </w:r>
          </w:p>
        </w:tc>
        <w:tc>
          <w:tcPr>
            <w:tcW w:w="1608" w:type="dxa"/>
          </w:tcPr>
          <w:p>
            <w:pPr>
              <w:pStyle w:val="TableParagraph"/>
              <w:spacing w:before="46"/>
              <w:ind w:left="17"/>
              <w:jc w:val="center"/>
              <w:rPr>
                <w:b/>
                <w:sz w:val="20"/>
              </w:rPr>
            </w:pPr>
            <w:r>
              <w:rPr>
                <w:b/>
                <w:spacing w:val="-4"/>
                <w:sz w:val="20"/>
              </w:rPr>
              <w:t>0,00</w:t>
            </w:r>
          </w:p>
        </w:tc>
        <w:tc>
          <w:tcPr>
            <w:tcW w:w="1198" w:type="dxa"/>
          </w:tcPr>
          <w:p>
            <w:pPr>
              <w:pStyle w:val="TableParagraph"/>
              <w:spacing w:before="46"/>
              <w:ind w:left="23" w:right="3"/>
              <w:jc w:val="center"/>
              <w:rPr>
                <w:b/>
                <w:sz w:val="20"/>
              </w:rPr>
            </w:pPr>
            <w:r>
              <w:rPr>
                <w:b/>
                <w:spacing w:val="-2"/>
                <w:sz w:val="20"/>
              </w:rPr>
              <w:t>0,00%</w:t>
            </w:r>
          </w:p>
        </w:tc>
      </w:tr>
    </w:tbl>
    <w:p>
      <w:pPr>
        <w:pStyle w:val="BodyText"/>
        <w:rPr>
          <w:sz w:val="20"/>
        </w:rPr>
      </w:pPr>
    </w:p>
    <w:p>
      <w:pPr>
        <w:pStyle w:val="BodyText"/>
        <w:spacing w:before="166"/>
        <w:rPr>
          <w:sz w:val="20"/>
        </w:rPr>
      </w:pPr>
      <w:r>
        <w:rPr>
          <w:sz w:val="20"/>
        </w:rPr>
        <mc:AlternateContent>
          <mc:Choice Requires="wps">
            <w:drawing>
              <wp:anchor distT="0" distB="0" distL="0" distR="0" allowOverlap="1" layoutInCell="1" locked="0" behindDoc="1" simplePos="0" relativeHeight="487641088">
                <wp:simplePos x="0" y="0"/>
                <wp:positionH relativeFrom="page">
                  <wp:posOffset>1080820</wp:posOffset>
                </wp:positionH>
                <wp:positionV relativeFrom="paragraph">
                  <wp:posOffset>268906</wp:posOffset>
                </wp:positionV>
                <wp:extent cx="5715000" cy="553720"/>
                <wp:effectExtent l="0" t="0" r="0" b="0"/>
                <wp:wrapTopAndBottom/>
                <wp:docPr id="329" name="Textbox 329"/>
                <wp:cNvGraphicFramePr>
                  <a:graphicFrameLocks/>
                </wp:cNvGraphicFramePr>
                <a:graphic>
                  <a:graphicData uri="http://schemas.microsoft.com/office/word/2010/wordprocessingShape">
                    <wps:wsp>
                      <wps:cNvPr id="329" name="Textbox 329"/>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1.173756pt;width:450pt;height:43.6pt;mso-position-horizontal-relative:page;mso-position-vertical-relative:paragraph;z-index:-15675392;mso-wrap-distance-left:0;mso-wrap-distance-right:0" type="#_x0000_t202" id="docshape315" filled="false" stroked="true" strokeweight=".47998pt" strokecolor="#000000">
                <v:textbox inset="0,0,0,0">
                  <w:txbxContent>
                    <w:p>
                      <w:pPr>
                        <w:spacing w:before="0"/>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6"/>
      </w:pPr>
    </w:p>
    <w:p>
      <w:pPr>
        <w:pStyle w:val="Heading6"/>
        <w:ind w:left="622"/>
        <w:rPr>
          <w:b w:val="0"/>
        </w:rPr>
      </w:pPr>
      <w:r>
        <w:rPr>
          <w:spacing w:val="-2"/>
        </w:rPr>
        <w:t>Revelación</w:t>
      </w:r>
      <w:r>
        <w:rPr>
          <w:b w:val="0"/>
          <w:spacing w:val="-2"/>
        </w:rPr>
        <w:t>:</w:t>
      </w:r>
    </w:p>
    <w:p>
      <w:pPr>
        <w:pStyle w:val="BodyText"/>
        <w:spacing w:line="259" w:lineRule="auto" w:before="179"/>
        <w:ind w:left="622" w:right="979"/>
        <w:jc w:val="both"/>
      </w:pPr>
      <w:r>
        <w:rPr/>
        <w:t>La</w:t>
      </w:r>
      <w:r>
        <w:rPr>
          <w:spacing w:val="-1"/>
        </w:rPr>
        <w:t> </w:t>
      </w:r>
      <w:r>
        <w:rPr/>
        <w:t>cuenta Gastos a</w:t>
      </w:r>
      <w:r>
        <w:rPr>
          <w:spacing w:val="-3"/>
        </w:rPr>
        <w:t> </w:t>
      </w:r>
      <w:r>
        <w:rPr/>
        <w:t>devengar a</w:t>
      </w:r>
      <w:r>
        <w:rPr>
          <w:spacing w:val="-1"/>
        </w:rPr>
        <w:t> </w:t>
      </w:r>
      <w:r>
        <w:rPr/>
        <w:t>largo plazo, representa</w:t>
      </w:r>
      <w:r>
        <w:rPr>
          <w:spacing w:val="-2"/>
        </w:rPr>
        <w:t> </w:t>
      </w:r>
      <w:r>
        <w:rPr/>
        <w:t>el</w:t>
      </w:r>
      <w:r>
        <w:rPr>
          <w:spacing w:val="-1"/>
        </w:rPr>
        <w:t> </w:t>
      </w:r>
      <w:r>
        <w:rPr/>
        <w:t>0,00%</w:t>
      </w:r>
      <w:r>
        <w:rPr>
          <w:spacing w:val="-1"/>
        </w:rPr>
        <w:t> </w:t>
      </w:r>
      <w:r>
        <w:rPr/>
        <w:t>del</w:t>
      </w:r>
      <w:r>
        <w:rPr>
          <w:spacing w:val="-1"/>
        </w:rPr>
        <w:t> </w:t>
      </w:r>
      <w:r>
        <w:rPr/>
        <w:t>total</w:t>
      </w:r>
      <w:r>
        <w:rPr>
          <w:spacing w:val="-1"/>
        </w:rPr>
        <w:t> </w:t>
      </w:r>
      <w:r>
        <w:rPr/>
        <w:t>del</w:t>
      </w:r>
      <w:r>
        <w:rPr>
          <w:spacing w:val="-1"/>
        </w:rPr>
        <w:t> </w:t>
      </w:r>
      <w:r>
        <w:rPr/>
        <w:t>Activo,</w:t>
      </w:r>
      <w:r>
        <w:rPr>
          <w:spacing w:val="-5"/>
        </w:rPr>
        <w:t> </w:t>
      </w:r>
      <w:r>
        <w:rPr/>
        <w:t>que</w:t>
      </w:r>
      <w:r>
        <w:rPr>
          <w:spacing w:val="-1"/>
        </w:rPr>
        <w:t> </w:t>
      </w:r>
      <w:r>
        <w:rPr/>
        <w:t>comparado</w:t>
      </w:r>
      <w:r>
        <w:rPr>
          <w:spacing w:val="-2"/>
        </w:rPr>
        <w:t> </w:t>
      </w:r>
      <w:r>
        <w:rPr/>
        <w:t>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4"/>
        </w:rPr>
        <w:t> </w:t>
      </w:r>
      <w:r>
        <w:rPr/>
        <w:t>0</w:t>
      </w:r>
      <w:r>
        <w:rPr>
          <w:spacing w:val="-5"/>
        </w:rPr>
        <w:t> </w:t>
      </w:r>
      <w:r>
        <w:rPr/>
        <w:t>000,00</w:t>
      </w:r>
      <w:r>
        <w:rPr>
          <w:spacing w:val="-6"/>
        </w:rPr>
        <w:t> </w:t>
      </w:r>
      <w:r>
        <w:rPr/>
        <w:t>que</w:t>
      </w:r>
      <w:r>
        <w:rPr>
          <w:spacing w:val="-4"/>
        </w:rPr>
        <w:t> </w:t>
      </w:r>
      <w:r>
        <w:rPr/>
        <w:t>corresponde</w:t>
      </w:r>
      <w:r>
        <w:rPr>
          <w:spacing w:val="-4"/>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41600">
                <wp:simplePos x="0" y="0"/>
                <wp:positionH relativeFrom="page">
                  <wp:posOffset>1080820</wp:posOffset>
                </wp:positionH>
                <wp:positionV relativeFrom="paragraph">
                  <wp:posOffset>233402</wp:posOffset>
                </wp:positionV>
                <wp:extent cx="5715000" cy="553720"/>
                <wp:effectExtent l="0" t="0" r="0" b="0"/>
                <wp:wrapTopAndBottom/>
                <wp:docPr id="330" name="Textbox 330"/>
                <wp:cNvGraphicFramePr>
                  <a:graphicFrameLocks/>
                </wp:cNvGraphicFramePr>
                <a:graphic>
                  <a:graphicData uri="http://schemas.microsoft.com/office/word/2010/wordprocessingShape">
                    <wps:wsp>
                      <wps:cNvPr id="330" name="Textbox 330"/>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78139pt;width:450pt;height:43.6pt;mso-position-horizontal-relative:page;mso-position-vertical-relative:paragraph;z-index:-15674880;mso-wrap-distance-left:0;mso-wrap-distance-right:0" type="#_x0000_t202" id="docshape31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6"/>
      </w:pPr>
    </w:p>
    <w:p>
      <w:pPr>
        <w:pStyle w:val="Heading5"/>
        <w:numPr>
          <w:ilvl w:val="0"/>
          <w:numId w:val="39"/>
        </w:numPr>
        <w:tabs>
          <w:tab w:pos="838" w:val="left" w:leader="none"/>
        </w:tabs>
        <w:spacing w:line="240" w:lineRule="auto" w:before="0" w:after="0"/>
        <w:ind w:left="838" w:right="0" w:hanging="216"/>
        <w:jc w:val="left"/>
      </w:pPr>
      <w:bookmarkStart w:name="_bookmark44" w:id="45"/>
      <w:bookmarkEnd w:id="45"/>
      <w:r>
        <w:rPr>
          <w:b w:val="0"/>
        </w:rPr>
      </w:r>
      <w:r>
        <w:rPr>
          <w:color w:val="1F3762"/>
          <w:spacing w:val="-2"/>
        </w:rPr>
        <w:t>PASIVO</w:t>
      </w:r>
    </w:p>
    <w:p>
      <w:pPr>
        <w:pStyle w:val="Heading5"/>
        <w:numPr>
          <w:ilvl w:val="1"/>
          <w:numId w:val="39"/>
        </w:numPr>
        <w:tabs>
          <w:tab w:pos="946" w:val="left" w:leader="none"/>
        </w:tabs>
        <w:spacing w:line="240" w:lineRule="auto" w:before="167" w:after="0"/>
        <w:ind w:left="946" w:right="0" w:hanging="324"/>
        <w:jc w:val="left"/>
      </w:pPr>
      <w:bookmarkStart w:name="_bookmark45" w:id="46"/>
      <w:bookmarkEnd w:id="46"/>
      <w:r>
        <w:rPr>
          <w:b w:val="0"/>
        </w:rPr>
      </w:r>
      <w:r>
        <w:rPr>
          <w:color w:val="1F3762"/>
        </w:rPr>
        <w:t>PASIVO</w:t>
      </w:r>
      <w:r>
        <w:rPr>
          <w:color w:val="1F3762"/>
          <w:spacing w:val="-5"/>
        </w:rPr>
        <w:t> </w:t>
      </w:r>
      <w:r>
        <w:rPr>
          <w:color w:val="1F3762"/>
          <w:spacing w:val="-2"/>
        </w:rPr>
        <w:t>CORRIENTE</w:t>
      </w:r>
    </w:p>
    <w:p>
      <w:pPr>
        <w:pStyle w:val="Heading5"/>
        <w:spacing w:before="164"/>
      </w:pPr>
      <w:bookmarkStart w:name="_bookmark46" w:id="47"/>
      <w:bookmarkEnd w:id="47"/>
      <w:r>
        <w:rPr>
          <w:b w:val="0"/>
        </w:rPr>
      </w:r>
      <w:r>
        <w:rPr/>
        <w:t>NOTA</w:t>
      </w:r>
      <w:r>
        <w:rPr>
          <w:spacing w:val="-1"/>
        </w:rPr>
        <w:t> </w:t>
      </w:r>
      <w:r>
        <w:rPr/>
        <w:t>N° </w:t>
      </w:r>
      <w:r>
        <w:rPr>
          <w:spacing w:val="-5"/>
        </w:rPr>
        <w:t>14</w:t>
      </w:r>
    </w:p>
    <w:p>
      <w:pPr>
        <w:pStyle w:val="BodyText"/>
        <w:spacing w:before="115"/>
        <w:rPr>
          <w:b/>
        </w:rPr>
      </w:pPr>
    </w:p>
    <w:p>
      <w:pPr>
        <w:pStyle w:val="BodyText"/>
        <w:spacing w:before="1"/>
        <w:ind w:left="622"/>
      </w:pPr>
      <w:r>
        <w:rPr/>
        <w:t>Deudas</w:t>
      </w:r>
      <w:r>
        <w:rPr>
          <w:spacing w:val="-5"/>
        </w:rPr>
        <w:t> </w:t>
      </w:r>
      <w:r>
        <w:rPr/>
        <w:t>a</w:t>
      </w:r>
      <w:r>
        <w:rPr>
          <w:spacing w:val="-3"/>
        </w:rPr>
        <w:t> </w:t>
      </w:r>
      <w:r>
        <w:rPr/>
        <w:t>corto</w:t>
      </w:r>
      <w:r>
        <w:rPr>
          <w:spacing w:val="-3"/>
        </w:rPr>
        <w:t> </w:t>
      </w:r>
      <w:r>
        <w:rPr>
          <w:spacing w:val="-4"/>
        </w:rPr>
        <w:t>plazo</w:t>
      </w:r>
    </w:p>
    <w:p>
      <w:pPr>
        <w:pStyle w:val="BodyText"/>
        <w:spacing w:before="6"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1882"/>
        <w:gridCol w:w="643"/>
        <w:gridCol w:w="2160"/>
        <w:gridCol w:w="2160"/>
        <w:gridCol w:w="1197"/>
      </w:tblGrid>
      <w:tr>
        <w:trPr>
          <w:trHeight w:val="323" w:hRule="atLeast"/>
        </w:trPr>
        <w:tc>
          <w:tcPr>
            <w:tcW w:w="991" w:type="dxa"/>
            <w:vMerge w:val="restart"/>
            <w:shd w:val="clear" w:color="auto" w:fill="365F92"/>
          </w:tcPr>
          <w:p>
            <w:pPr>
              <w:pStyle w:val="TableParagraph"/>
              <w:spacing w:before="130"/>
              <w:ind w:left="69"/>
              <w:rPr>
                <w:b/>
                <w:sz w:val="20"/>
              </w:rPr>
            </w:pPr>
            <w:r>
              <w:rPr>
                <w:b/>
                <w:color w:val="FFFFFF"/>
                <w:spacing w:val="-2"/>
                <w:sz w:val="20"/>
              </w:rPr>
              <w:t>Cuenta</w:t>
            </w:r>
          </w:p>
        </w:tc>
        <w:tc>
          <w:tcPr>
            <w:tcW w:w="1882" w:type="dxa"/>
            <w:vMerge w:val="restart"/>
            <w:shd w:val="clear" w:color="auto" w:fill="365F92"/>
          </w:tcPr>
          <w:p>
            <w:pPr>
              <w:pStyle w:val="TableParagraph"/>
              <w:spacing w:before="219"/>
              <w:ind w:left="458"/>
              <w:rPr>
                <w:b/>
                <w:sz w:val="20"/>
              </w:rPr>
            </w:pPr>
            <w:r>
              <w:rPr>
                <w:b/>
                <w:color w:val="FFFFFF"/>
                <w:spacing w:val="-2"/>
                <w:sz w:val="20"/>
              </w:rPr>
              <w:t>Descripción</w:t>
            </w:r>
          </w:p>
        </w:tc>
        <w:tc>
          <w:tcPr>
            <w:tcW w:w="643" w:type="dxa"/>
            <w:vMerge w:val="restart"/>
            <w:shd w:val="clear" w:color="auto" w:fill="365F92"/>
          </w:tcPr>
          <w:p>
            <w:pPr>
              <w:pStyle w:val="TableParagraph"/>
              <w:spacing w:before="219"/>
              <w:ind w:left="124"/>
              <w:rPr>
                <w:b/>
                <w:sz w:val="20"/>
              </w:rPr>
            </w:pPr>
            <w:r>
              <w:rPr>
                <w:b/>
                <w:color w:val="FFFFFF"/>
                <w:spacing w:val="-4"/>
                <w:sz w:val="20"/>
              </w:rPr>
              <w:t>Nota</w:t>
            </w:r>
          </w:p>
        </w:tc>
        <w:tc>
          <w:tcPr>
            <w:tcW w:w="2160" w:type="dxa"/>
            <w:vMerge w:val="restart"/>
            <w:shd w:val="clear" w:color="auto" w:fill="365F92"/>
          </w:tcPr>
          <w:p>
            <w:pPr>
              <w:pStyle w:val="TableParagraph"/>
              <w:spacing w:before="219"/>
              <w:ind w:left="506"/>
              <w:rPr>
                <w:b/>
                <w:sz w:val="20"/>
              </w:rPr>
            </w:pPr>
            <w:r>
              <w:rPr>
                <w:b/>
                <w:color w:val="FFFFFF"/>
                <w:sz w:val="20"/>
              </w:rPr>
              <w:t>Periodo</w:t>
            </w:r>
            <w:r>
              <w:rPr>
                <w:b/>
                <w:color w:val="FFFFFF"/>
                <w:spacing w:val="-5"/>
                <w:sz w:val="20"/>
              </w:rPr>
              <w:t> </w:t>
            </w:r>
            <w:r>
              <w:rPr>
                <w:b/>
                <w:color w:val="FFFFFF"/>
                <w:spacing w:val="-2"/>
                <w:sz w:val="20"/>
              </w:rPr>
              <w:t>Actual</w:t>
            </w:r>
          </w:p>
        </w:tc>
        <w:tc>
          <w:tcPr>
            <w:tcW w:w="2160" w:type="dxa"/>
            <w:vMerge w:val="restart"/>
            <w:shd w:val="clear" w:color="auto" w:fill="365F92"/>
          </w:tcPr>
          <w:p>
            <w:pPr>
              <w:pStyle w:val="TableParagraph"/>
              <w:spacing w:before="219"/>
              <w:ind w:left="423"/>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6"/>
              <w:ind w:left="28" w:right="8"/>
              <w:jc w:val="center"/>
              <w:rPr>
                <w:b/>
                <w:sz w:val="20"/>
              </w:rPr>
            </w:pPr>
            <w:r>
              <w:rPr>
                <w:b/>
                <w:color w:val="FFFFFF"/>
                <w:spacing w:val="-2"/>
                <w:sz w:val="20"/>
              </w:rPr>
              <w:t>Diferencia</w:t>
            </w:r>
          </w:p>
        </w:tc>
      </w:tr>
      <w:tr>
        <w:trPr>
          <w:trHeight w:val="325" w:hRule="atLeast"/>
        </w:trPr>
        <w:tc>
          <w:tcPr>
            <w:tcW w:w="991" w:type="dxa"/>
            <w:vMerge/>
            <w:tcBorders>
              <w:top w:val="nil"/>
            </w:tcBorders>
            <w:shd w:val="clear" w:color="auto" w:fill="365F92"/>
          </w:tcPr>
          <w:p>
            <w:pPr>
              <w:rPr>
                <w:sz w:val="2"/>
                <w:szCs w:val="2"/>
              </w:rPr>
            </w:pPr>
          </w:p>
        </w:tc>
        <w:tc>
          <w:tcPr>
            <w:tcW w:w="1882"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197" w:type="dxa"/>
            <w:shd w:val="clear" w:color="auto" w:fill="365F92"/>
          </w:tcPr>
          <w:p>
            <w:pPr>
              <w:pStyle w:val="TableParagraph"/>
              <w:spacing w:before="49"/>
              <w:ind w:left="28" w:right="9"/>
              <w:jc w:val="center"/>
              <w:rPr>
                <w:sz w:val="20"/>
              </w:rPr>
            </w:pPr>
            <w:r>
              <w:rPr>
                <w:color w:val="FFFFFF"/>
                <w:spacing w:val="-10"/>
                <w:sz w:val="20"/>
              </w:rPr>
              <w:t>%</w:t>
            </w:r>
          </w:p>
        </w:tc>
      </w:tr>
      <w:tr>
        <w:trPr>
          <w:trHeight w:val="323" w:hRule="atLeast"/>
        </w:trPr>
        <w:tc>
          <w:tcPr>
            <w:tcW w:w="991" w:type="dxa"/>
          </w:tcPr>
          <w:p>
            <w:pPr>
              <w:pStyle w:val="TableParagraph"/>
              <w:spacing w:before="46"/>
              <w:ind w:left="69"/>
              <w:rPr>
                <w:b/>
                <w:sz w:val="20"/>
              </w:rPr>
            </w:pPr>
            <w:r>
              <w:rPr>
                <w:b/>
                <w:spacing w:val="-2"/>
                <w:sz w:val="20"/>
              </w:rPr>
              <w:t>2.1.1.</w:t>
            </w:r>
          </w:p>
        </w:tc>
        <w:tc>
          <w:tcPr>
            <w:tcW w:w="1882" w:type="dxa"/>
          </w:tcPr>
          <w:p>
            <w:pPr>
              <w:pStyle w:val="TableParagraph"/>
              <w:spacing w:before="46"/>
              <w:ind w:left="69"/>
              <w:rPr>
                <w:b/>
                <w:sz w:val="20"/>
              </w:rPr>
            </w:pPr>
            <w:r>
              <w:rPr>
                <w:b/>
                <w:sz w:val="20"/>
              </w:rPr>
              <w:t>Deudas</w:t>
            </w:r>
            <w:r>
              <w:rPr>
                <w:b/>
                <w:spacing w:val="-3"/>
                <w:sz w:val="20"/>
              </w:rPr>
              <w:t> </w:t>
            </w:r>
            <w:r>
              <w:rPr>
                <w:b/>
                <w:sz w:val="20"/>
              </w:rPr>
              <w:t>a</w:t>
            </w:r>
            <w:r>
              <w:rPr>
                <w:b/>
                <w:spacing w:val="-4"/>
                <w:sz w:val="20"/>
              </w:rPr>
              <w:t> </w:t>
            </w:r>
            <w:r>
              <w:rPr>
                <w:b/>
                <w:sz w:val="20"/>
              </w:rPr>
              <w:t>corto</w:t>
            </w:r>
            <w:r>
              <w:rPr>
                <w:b/>
                <w:spacing w:val="-3"/>
                <w:sz w:val="20"/>
              </w:rPr>
              <w:t> </w:t>
            </w:r>
            <w:r>
              <w:rPr>
                <w:b/>
                <w:spacing w:val="-4"/>
                <w:sz w:val="20"/>
              </w:rPr>
              <w:t>plazo</w:t>
            </w:r>
          </w:p>
        </w:tc>
        <w:tc>
          <w:tcPr>
            <w:tcW w:w="643" w:type="dxa"/>
          </w:tcPr>
          <w:p>
            <w:pPr>
              <w:pStyle w:val="TableParagraph"/>
              <w:spacing w:before="46"/>
              <w:ind w:left="223"/>
              <w:rPr>
                <w:b/>
                <w:sz w:val="20"/>
              </w:rPr>
            </w:pPr>
            <w:r>
              <w:rPr>
                <w:b/>
                <w:spacing w:val="-5"/>
                <w:sz w:val="20"/>
              </w:rPr>
              <w:t>14</w:t>
            </w:r>
          </w:p>
        </w:tc>
        <w:tc>
          <w:tcPr>
            <w:tcW w:w="2160" w:type="dxa"/>
          </w:tcPr>
          <w:p>
            <w:pPr>
              <w:pStyle w:val="TableParagraph"/>
              <w:spacing w:before="46"/>
              <w:ind w:left="562"/>
              <w:rPr>
                <w:b/>
                <w:sz w:val="20"/>
              </w:rPr>
            </w:pPr>
            <w:r>
              <w:rPr>
                <w:b/>
                <w:sz w:val="20"/>
              </w:rPr>
              <w:t>3</w:t>
            </w:r>
            <w:r>
              <w:rPr>
                <w:b/>
                <w:spacing w:val="-2"/>
                <w:sz w:val="20"/>
              </w:rPr>
              <w:t> </w:t>
            </w:r>
            <w:r>
              <w:rPr>
                <w:b/>
                <w:sz w:val="20"/>
              </w:rPr>
              <w:t>835</w:t>
            </w:r>
            <w:r>
              <w:rPr>
                <w:b/>
                <w:spacing w:val="-2"/>
                <w:sz w:val="20"/>
              </w:rPr>
              <w:t> 916,17</w:t>
            </w:r>
          </w:p>
        </w:tc>
        <w:tc>
          <w:tcPr>
            <w:tcW w:w="2160" w:type="dxa"/>
          </w:tcPr>
          <w:p>
            <w:pPr>
              <w:pStyle w:val="TableParagraph"/>
              <w:spacing w:before="46"/>
              <w:ind w:left="562"/>
              <w:rPr>
                <w:b/>
                <w:sz w:val="20"/>
              </w:rPr>
            </w:pPr>
            <w:r>
              <w:rPr>
                <w:b/>
                <w:sz w:val="20"/>
              </w:rPr>
              <w:t>3</w:t>
            </w:r>
            <w:r>
              <w:rPr>
                <w:b/>
                <w:spacing w:val="-2"/>
                <w:sz w:val="20"/>
              </w:rPr>
              <w:t> </w:t>
            </w:r>
            <w:r>
              <w:rPr>
                <w:b/>
                <w:sz w:val="20"/>
              </w:rPr>
              <w:t>661</w:t>
            </w:r>
            <w:r>
              <w:rPr>
                <w:b/>
                <w:spacing w:val="-2"/>
                <w:sz w:val="20"/>
              </w:rPr>
              <w:t> 089,18</w:t>
            </w:r>
          </w:p>
        </w:tc>
        <w:tc>
          <w:tcPr>
            <w:tcW w:w="1197" w:type="dxa"/>
          </w:tcPr>
          <w:p>
            <w:pPr>
              <w:pStyle w:val="TableParagraph"/>
              <w:spacing w:before="46"/>
              <w:ind w:left="28" w:right="5"/>
              <w:jc w:val="center"/>
              <w:rPr>
                <w:b/>
                <w:sz w:val="20"/>
              </w:rPr>
            </w:pPr>
            <w:r>
              <w:rPr>
                <w:b/>
                <w:spacing w:val="-2"/>
                <w:sz w:val="20"/>
              </w:rPr>
              <w:t>4,78%</w:t>
            </w:r>
          </w:p>
        </w:tc>
      </w:tr>
    </w:tbl>
    <w:p>
      <w:pPr>
        <w:pStyle w:val="Heading6"/>
        <w:ind w:left="622"/>
        <w:rPr>
          <w:b w:val="0"/>
        </w:rPr>
      </w:pPr>
      <w:r>
        <w:rPr>
          <w:spacing w:val="-2"/>
        </w:rPr>
        <w:t>Revelación</w:t>
      </w:r>
      <w:r>
        <w:rPr>
          <w:b w:val="0"/>
          <w:spacing w:val="-2"/>
        </w:rPr>
        <w:t>:</w:t>
      </w:r>
    </w:p>
    <w:p>
      <w:pPr>
        <w:pStyle w:val="BodyText"/>
        <w:spacing w:before="1"/>
        <w:ind w:left="622" w:right="975"/>
        <w:jc w:val="both"/>
      </w:pPr>
      <w:r>
        <w:rPr/>
        <w:t>La cuenta Deudas a corto plazo, representa el 45,99 % del total de</w:t>
      </w:r>
      <w:r>
        <w:rPr>
          <w:spacing w:val="-1"/>
        </w:rPr>
        <w:t> </w:t>
      </w:r>
      <w:r>
        <w:rPr/>
        <w:t>Pasivo, que comparado al periodo anterior genera una variación absoluta de ¢174.826,99 que corresponde a un aumento del 4,78% de recursos disponibles, producto del aumento en deudas comerciales, sociales y fiscales.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79520">
                <wp:simplePos x="0" y="0"/>
                <wp:positionH relativeFrom="page">
                  <wp:posOffset>9525</wp:posOffset>
                </wp:positionH>
                <wp:positionV relativeFrom="page">
                  <wp:posOffset>297208</wp:posOffset>
                </wp:positionV>
                <wp:extent cx="7762875" cy="974852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7762875" cy="9748520"/>
                          <a:chExt cx="7762875" cy="9748520"/>
                        </a:xfrm>
                      </wpg:grpSpPr>
                      <pic:pic>
                        <pic:nvPicPr>
                          <pic:cNvPr id="332" name="Image 332"/>
                          <pic:cNvPicPr/>
                        </pic:nvPicPr>
                        <pic:blipFill>
                          <a:blip r:embed="rId5" cstate="print"/>
                          <a:stretch>
                            <a:fillRect/>
                          </a:stretch>
                        </pic:blipFill>
                        <pic:spPr>
                          <a:xfrm>
                            <a:off x="0" y="0"/>
                            <a:ext cx="7762874" cy="9748489"/>
                          </a:xfrm>
                          <a:prstGeom prst="rect">
                            <a:avLst/>
                          </a:prstGeom>
                        </pic:spPr>
                      </pic:pic>
                      <wps:wsp>
                        <wps:cNvPr id="333" name="Graphic 333"/>
                        <wps:cNvSpPr/>
                        <wps:spPr>
                          <a:xfrm>
                            <a:off x="1053007" y="990837"/>
                            <a:ext cx="5866130" cy="7066280"/>
                          </a:xfrm>
                          <a:custGeom>
                            <a:avLst/>
                            <a:gdLst/>
                            <a:ahLst/>
                            <a:cxnLst/>
                            <a:rect l="l" t="t" r="r" b="b"/>
                            <a:pathLst>
                              <a:path w="5866130" h="7066280">
                                <a:moveTo>
                                  <a:pt x="5649214" y="0"/>
                                </a:moveTo>
                                <a:lnTo>
                                  <a:pt x="0" y="0"/>
                                </a:lnTo>
                                <a:lnTo>
                                  <a:pt x="0" y="9131"/>
                                </a:lnTo>
                                <a:lnTo>
                                  <a:pt x="5649214" y="9131"/>
                                </a:lnTo>
                                <a:lnTo>
                                  <a:pt x="5649214" y="0"/>
                                </a:lnTo>
                                <a:close/>
                              </a:path>
                              <a:path w="5866130" h="7066280">
                                <a:moveTo>
                                  <a:pt x="5865571" y="7060184"/>
                                </a:moveTo>
                                <a:lnTo>
                                  <a:pt x="5859526" y="7060184"/>
                                </a:lnTo>
                                <a:lnTo>
                                  <a:pt x="21336" y="7060184"/>
                                </a:lnTo>
                                <a:lnTo>
                                  <a:pt x="15240" y="7060184"/>
                                </a:lnTo>
                                <a:lnTo>
                                  <a:pt x="15240" y="7066267"/>
                                </a:lnTo>
                                <a:lnTo>
                                  <a:pt x="21336" y="7066267"/>
                                </a:lnTo>
                                <a:lnTo>
                                  <a:pt x="5859475" y="7066267"/>
                                </a:lnTo>
                                <a:lnTo>
                                  <a:pt x="5865571" y="7066267"/>
                                </a:lnTo>
                                <a:lnTo>
                                  <a:pt x="5865571" y="7060184"/>
                                </a:lnTo>
                                <a:close/>
                              </a:path>
                              <a:path w="5866130" h="7066280">
                                <a:moveTo>
                                  <a:pt x="5865571" y="2255888"/>
                                </a:moveTo>
                                <a:lnTo>
                                  <a:pt x="5859526" y="2255888"/>
                                </a:lnTo>
                                <a:lnTo>
                                  <a:pt x="21336" y="2255888"/>
                                </a:lnTo>
                                <a:lnTo>
                                  <a:pt x="15240" y="2255888"/>
                                </a:lnTo>
                                <a:lnTo>
                                  <a:pt x="15240" y="2261984"/>
                                </a:lnTo>
                                <a:lnTo>
                                  <a:pt x="15240" y="7060171"/>
                                </a:lnTo>
                                <a:lnTo>
                                  <a:pt x="21336" y="7060171"/>
                                </a:lnTo>
                                <a:lnTo>
                                  <a:pt x="21336" y="2261984"/>
                                </a:lnTo>
                                <a:lnTo>
                                  <a:pt x="5859475" y="2261984"/>
                                </a:lnTo>
                                <a:lnTo>
                                  <a:pt x="5859475" y="7060171"/>
                                </a:lnTo>
                                <a:lnTo>
                                  <a:pt x="5865571" y="7060171"/>
                                </a:lnTo>
                                <a:lnTo>
                                  <a:pt x="5865571" y="2261984"/>
                                </a:lnTo>
                                <a:lnTo>
                                  <a:pt x="5865571" y="2255888"/>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6598635" y="5912722"/>
                            <a:ext cx="1270" cy="141605"/>
                          </a:xfrm>
                          <a:custGeom>
                            <a:avLst/>
                            <a:gdLst/>
                            <a:ahLst/>
                            <a:cxnLst/>
                            <a:rect l="l" t="t" r="r" b="b"/>
                            <a:pathLst>
                              <a:path w="0" h="141605">
                                <a:moveTo>
                                  <a:pt x="0" y="0"/>
                                </a:moveTo>
                                <a:lnTo>
                                  <a:pt x="0" y="141083"/>
                                </a:lnTo>
                              </a:path>
                            </a:pathLst>
                          </a:custGeom>
                          <a:ln w="3074">
                            <a:solidFill>
                              <a:srgbClr val="000000"/>
                            </a:solidFill>
                            <a:prstDash val="solid"/>
                          </a:ln>
                        </wps:spPr>
                        <wps:bodyPr wrap="square" lIns="0" tIns="0" rIns="0" bIns="0" rtlCol="0">
                          <a:prstTxWarp prst="textNoShape">
                            <a:avLst/>
                          </a:prstTxWarp>
                          <a:noAutofit/>
                        </wps:bodyPr>
                      </wps:wsp>
                      <wps:wsp>
                        <wps:cNvPr id="335" name="Graphic 335"/>
                        <wps:cNvSpPr/>
                        <wps:spPr>
                          <a:xfrm>
                            <a:off x="6597098" y="5911194"/>
                            <a:ext cx="3175" cy="144145"/>
                          </a:xfrm>
                          <a:custGeom>
                            <a:avLst/>
                            <a:gdLst/>
                            <a:ahLst/>
                            <a:cxnLst/>
                            <a:rect l="l" t="t" r="r" b="b"/>
                            <a:pathLst>
                              <a:path w="3175" h="144145">
                                <a:moveTo>
                                  <a:pt x="3074" y="0"/>
                                </a:moveTo>
                                <a:lnTo>
                                  <a:pt x="0" y="0"/>
                                </a:lnTo>
                                <a:lnTo>
                                  <a:pt x="0" y="144139"/>
                                </a:lnTo>
                                <a:lnTo>
                                  <a:pt x="3074" y="144139"/>
                                </a:lnTo>
                                <a:lnTo>
                                  <a:pt x="3074"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1381772" y="5909666"/>
                            <a:ext cx="1270" cy="749300"/>
                          </a:xfrm>
                          <a:custGeom>
                            <a:avLst/>
                            <a:gdLst/>
                            <a:ahLst/>
                            <a:cxnLst/>
                            <a:rect l="l" t="t" r="r" b="b"/>
                            <a:pathLst>
                              <a:path w="0" h="749300">
                                <a:moveTo>
                                  <a:pt x="0" y="0"/>
                                </a:moveTo>
                                <a:lnTo>
                                  <a:pt x="0" y="748713"/>
                                </a:lnTo>
                              </a:path>
                            </a:pathLst>
                          </a:custGeom>
                          <a:ln w="3074">
                            <a:solidFill>
                              <a:srgbClr val="000000"/>
                            </a:solidFill>
                            <a:prstDash val="solid"/>
                          </a:ln>
                        </wps:spPr>
                        <wps:bodyPr wrap="square" lIns="0" tIns="0" rIns="0" bIns="0" rtlCol="0">
                          <a:prstTxWarp prst="textNoShape">
                            <a:avLst/>
                          </a:prstTxWarp>
                          <a:noAutofit/>
                        </wps:bodyPr>
                      </wps:wsp>
                      <wps:wsp>
                        <wps:cNvPr id="337" name="Graphic 337"/>
                        <wps:cNvSpPr/>
                        <wps:spPr>
                          <a:xfrm>
                            <a:off x="1380235" y="5908138"/>
                            <a:ext cx="3175" cy="751840"/>
                          </a:xfrm>
                          <a:custGeom>
                            <a:avLst/>
                            <a:gdLst/>
                            <a:ahLst/>
                            <a:cxnLst/>
                            <a:rect l="l" t="t" r="r" b="b"/>
                            <a:pathLst>
                              <a:path w="3175" h="751840">
                                <a:moveTo>
                                  <a:pt x="3074" y="0"/>
                                </a:moveTo>
                                <a:lnTo>
                                  <a:pt x="0" y="0"/>
                                </a:lnTo>
                                <a:lnTo>
                                  <a:pt x="0" y="751768"/>
                                </a:lnTo>
                                <a:lnTo>
                                  <a:pt x="3074" y="751768"/>
                                </a:lnTo>
                                <a:lnTo>
                                  <a:pt x="3074"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6598635" y="6066030"/>
                            <a:ext cx="1270" cy="592455"/>
                          </a:xfrm>
                          <a:custGeom>
                            <a:avLst/>
                            <a:gdLst/>
                            <a:ahLst/>
                            <a:cxnLst/>
                            <a:rect l="l" t="t" r="r" b="b"/>
                            <a:pathLst>
                              <a:path w="0" h="592455">
                                <a:moveTo>
                                  <a:pt x="0" y="0"/>
                                </a:moveTo>
                                <a:lnTo>
                                  <a:pt x="0" y="592349"/>
                                </a:lnTo>
                              </a:path>
                            </a:pathLst>
                          </a:custGeom>
                          <a:ln w="3074">
                            <a:solidFill>
                              <a:srgbClr val="000000"/>
                            </a:solidFill>
                            <a:prstDash val="solid"/>
                          </a:ln>
                        </wps:spPr>
                        <wps:bodyPr wrap="square" lIns="0" tIns="0" rIns="0" bIns="0" rtlCol="0">
                          <a:prstTxWarp prst="textNoShape">
                            <a:avLst/>
                          </a:prstTxWarp>
                          <a:noAutofit/>
                        </wps:bodyPr>
                      </wps:wsp>
                      <wps:wsp>
                        <wps:cNvPr id="339" name="Graphic 339"/>
                        <wps:cNvSpPr/>
                        <wps:spPr>
                          <a:xfrm>
                            <a:off x="6597098" y="6064502"/>
                            <a:ext cx="3175" cy="595630"/>
                          </a:xfrm>
                          <a:custGeom>
                            <a:avLst/>
                            <a:gdLst/>
                            <a:ahLst/>
                            <a:cxnLst/>
                            <a:rect l="l" t="t" r="r" b="b"/>
                            <a:pathLst>
                              <a:path w="3175" h="595630">
                                <a:moveTo>
                                  <a:pt x="3074" y="0"/>
                                </a:moveTo>
                                <a:lnTo>
                                  <a:pt x="0" y="0"/>
                                </a:lnTo>
                                <a:lnTo>
                                  <a:pt x="0" y="595404"/>
                                </a:lnTo>
                                <a:lnTo>
                                  <a:pt x="3074" y="595404"/>
                                </a:lnTo>
                                <a:lnTo>
                                  <a:pt x="3074"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1384847" y="5909666"/>
                            <a:ext cx="5213985" cy="1270"/>
                          </a:xfrm>
                          <a:custGeom>
                            <a:avLst/>
                            <a:gdLst/>
                            <a:ahLst/>
                            <a:cxnLst/>
                            <a:rect l="l" t="t" r="r" b="b"/>
                            <a:pathLst>
                              <a:path w="5213985" h="0">
                                <a:moveTo>
                                  <a:pt x="0" y="0"/>
                                </a:moveTo>
                                <a:lnTo>
                                  <a:pt x="5213788" y="0"/>
                                </a:lnTo>
                              </a:path>
                            </a:pathLst>
                          </a:custGeom>
                          <a:ln w="3055">
                            <a:solidFill>
                              <a:srgbClr val="000000"/>
                            </a:solidFill>
                            <a:prstDash val="solid"/>
                          </a:ln>
                        </wps:spPr>
                        <wps:bodyPr wrap="square" lIns="0" tIns="0" rIns="0" bIns="0" rtlCol="0">
                          <a:prstTxWarp prst="textNoShape">
                            <a:avLst/>
                          </a:prstTxWarp>
                          <a:noAutofit/>
                        </wps:bodyPr>
                      </wps:wsp>
                      <wps:wsp>
                        <wps:cNvPr id="341" name="Graphic 341"/>
                        <wps:cNvSpPr/>
                        <wps:spPr>
                          <a:xfrm>
                            <a:off x="1383309" y="5908138"/>
                            <a:ext cx="5217160" cy="3175"/>
                          </a:xfrm>
                          <a:custGeom>
                            <a:avLst/>
                            <a:gdLst/>
                            <a:ahLst/>
                            <a:cxnLst/>
                            <a:rect l="l" t="t" r="r" b="b"/>
                            <a:pathLst>
                              <a:path w="5217160" h="3175">
                                <a:moveTo>
                                  <a:pt x="5216862" y="0"/>
                                </a:moveTo>
                                <a:lnTo>
                                  <a:pt x="0" y="0"/>
                                </a:lnTo>
                                <a:lnTo>
                                  <a:pt x="0" y="3055"/>
                                </a:lnTo>
                                <a:lnTo>
                                  <a:pt x="5216862" y="3056"/>
                                </a:lnTo>
                                <a:lnTo>
                                  <a:pt x="5216862"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1384847" y="6658378"/>
                            <a:ext cx="5213985" cy="1270"/>
                          </a:xfrm>
                          <a:custGeom>
                            <a:avLst/>
                            <a:gdLst/>
                            <a:ahLst/>
                            <a:cxnLst/>
                            <a:rect l="l" t="t" r="r" b="b"/>
                            <a:pathLst>
                              <a:path w="5213985" h="0">
                                <a:moveTo>
                                  <a:pt x="0" y="0"/>
                                </a:moveTo>
                                <a:lnTo>
                                  <a:pt x="5213788" y="0"/>
                                </a:lnTo>
                              </a:path>
                            </a:pathLst>
                          </a:custGeom>
                          <a:ln w="3055">
                            <a:solidFill>
                              <a:srgbClr val="000000"/>
                            </a:solidFill>
                            <a:prstDash val="solid"/>
                          </a:ln>
                        </wps:spPr>
                        <wps:bodyPr wrap="square" lIns="0" tIns="0" rIns="0" bIns="0" rtlCol="0">
                          <a:prstTxWarp prst="textNoShape">
                            <a:avLst/>
                          </a:prstTxWarp>
                          <a:noAutofit/>
                        </wps:bodyPr>
                      </wps:wsp>
                      <wps:wsp>
                        <wps:cNvPr id="343" name="Graphic 343"/>
                        <wps:cNvSpPr/>
                        <wps:spPr>
                          <a:xfrm>
                            <a:off x="1383310" y="6656851"/>
                            <a:ext cx="5217160" cy="3175"/>
                          </a:xfrm>
                          <a:custGeom>
                            <a:avLst/>
                            <a:gdLst/>
                            <a:ahLst/>
                            <a:cxnLst/>
                            <a:rect l="l" t="t" r="r" b="b"/>
                            <a:pathLst>
                              <a:path w="5217160" h="3175">
                                <a:moveTo>
                                  <a:pt x="5216862" y="0"/>
                                </a:moveTo>
                                <a:lnTo>
                                  <a:pt x="0" y="0"/>
                                </a:lnTo>
                                <a:lnTo>
                                  <a:pt x="0" y="3055"/>
                                </a:lnTo>
                                <a:lnTo>
                                  <a:pt x="5216862" y="3056"/>
                                </a:lnTo>
                                <a:lnTo>
                                  <a:pt x="5216862" y="0"/>
                                </a:lnTo>
                                <a:close/>
                              </a:path>
                            </a:pathLst>
                          </a:custGeom>
                          <a:solidFill>
                            <a:srgbClr val="000000"/>
                          </a:solidFill>
                        </wps:spPr>
                        <wps:bodyPr wrap="square" lIns="0" tIns="0" rIns="0" bIns="0" rtlCol="0">
                          <a:prstTxWarp prst="textNoShape">
                            <a:avLst/>
                          </a:prstTxWarp>
                          <a:noAutofit/>
                        </wps:bodyPr>
                      </wps:wsp>
                      <wps:wsp>
                        <wps:cNvPr id="344" name="Textbox 344"/>
                        <wps:cNvSpPr txBox="1"/>
                        <wps:spPr>
                          <a:xfrm>
                            <a:off x="4779240" y="5926617"/>
                            <a:ext cx="246379" cy="126364"/>
                          </a:xfrm>
                          <a:prstGeom prst="rect">
                            <a:avLst/>
                          </a:prstGeom>
                        </wps:spPr>
                        <wps:txbx>
                          <w:txbxContent>
                            <w:p>
                              <w:pPr>
                                <w:spacing w:line="198" w:lineRule="exact" w:before="0"/>
                                <w:ind w:left="0" w:right="0" w:firstLine="0"/>
                                <w:jc w:val="left"/>
                                <w:rPr>
                                  <w:rFonts w:ascii="Times New Roman"/>
                                  <w:b/>
                                  <w:sz w:val="18"/>
                                </w:rPr>
                              </w:pPr>
                              <w:r>
                                <w:rPr>
                                  <w:rFonts w:ascii="Times New Roman"/>
                                  <w:b/>
                                  <w:spacing w:val="-4"/>
                                  <w:sz w:val="18"/>
                                  <w:u w:val="double"/>
                                </w:rPr>
                                <w:t>2026</w:t>
                              </w:r>
                            </w:p>
                          </w:txbxContent>
                        </wps:txbx>
                        <wps:bodyPr wrap="square" lIns="0" tIns="0" rIns="0" bIns="0" rtlCol="0">
                          <a:noAutofit/>
                        </wps:bodyPr>
                      </wps:wsp>
                      <wps:wsp>
                        <wps:cNvPr id="345" name="Textbox 345"/>
                        <wps:cNvSpPr txBox="1"/>
                        <wps:spPr>
                          <a:xfrm>
                            <a:off x="5665113" y="5926617"/>
                            <a:ext cx="927735" cy="126364"/>
                          </a:xfrm>
                          <a:prstGeom prst="rect">
                            <a:avLst/>
                          </a:prstGeom>
                        </wps:spPr>
                        <wps:txbx>
                          <w:txbxContent>
                            <w:p>
                              <w:pPr>
                                <w:tabs>
                                  <w:tab w:pos="644" w:val="left" w:leader="none"/>
                                </w:tabs>
                                <w:spacing w:line="198" w:lineRule="exact" w:before="0"/>
                                <w:ind w:left="0" w:right="0" w:firstLine="0"/>
                                <w:jc w:val="left"/>
                                <w:rPr>
                                  <w:rFonts w:ascii="Times New Roman" w:hAnsi="Times New Roman"/>
                                  <w:b/>
                                  <w:sz w:val="18"/>
                                </w:rPr>
                              </w:pPr>
                              <w:r>
                                <w:rPr>
                                  <w:rFonts w:ascii="Times New Roman" w:hAnsi="Times New Roman"/>
                                  <w:b/>
                                  <w:spacing w:val="-4"/>
                                  <w:sz w:val="18"/>
                                  <w:u w:val="double"/>
                                </w:rPr>
                                <w:t>2025</w:t>
                              </w:r>
                              <w:r>
                                <w:rPr>
                                  <w:rFonts w:ascii="Times New Roman" w:hAnsi="Times New Roman"/>
                                  <w:b/>
                                  <w:sz w:val="18"/>
                                  <w:u w:val="none"/>
                                </w:rPr>
                                <w:tab/>
                              </w:r>
                              <w:r>
                                <w:rPr>
                                  <w:rFonts w:ascii="Times New Roman" w:hAnsi="Times New Roman"/>
                                  <w:b/>
                                  <w:spacing w:val="-12"/>
                                  <w:sz w:val="18"/>
                                  <w:u w:val="double"/>
                                </w:rPr>
                                <w:t> </w:t>
                              </w:r>
                              <w:r>
                                <w:rPr>
                                  <w:rFonts w:ascii="Times New Roman" w:hAnsi="Times New Roman"/>
                                  <w:b/>
                                  <w:sz w:val="18"/>
                                  <w:u w:val="double"/>
                                </w:rPr>
                                <w:t>Variación</w:t>
                              </w:r>
                            </w:p>
                          </w:txbxContent>
                        </wps:txbx>
                        <wps:bodyPr wrap="square" lIns="0" tIns="0" rIns="0" bIns="0" rtlCol="0">
                          <a:noAutofit/>
                        </wps:bodyPr>
                      </wps:wsp>
                      <wps:wsp>
                        <wps:cNvPr id="346" name="Textbox 346"/>
                        <wps:cNvSpPr txBox="1"/>
                        <wps:spPr>
                          <a:xfrm>
                            <a:off x="1472460" y="6230431"/>
                            <a:ext cx="2103120" cy="420370"/>
                          </a:xfrm>
                          <a:prstGeom prst="rect">
                            <a:avLst/>
                          </a:prstGeom>
                        </wps:spPr>
                        <wps:txbx>
                          <w:txbxContent>
                            <w:p>
                              <w:pPr>
                                <w:spacing w:line="268" w:lineRule="auto" w:before="0"/>
                                <w:ind w:left="0" w:right="1345" w:firstLine="0"/>
                                <w:jc w:val="left"/>
                                <w:rPr>
                                  <w:rFonts w:ascii="Times New Roman" w:hAnsi="Times New Roman"/>
                                  <w:sz w:val="18"/>
                                </w:rPr>
                              </w:pPr>
                              <w:r>
                                <w:rPr>
                                  <w:rFonts w:ascii="Times New Roman" w:hAnsi="Times New Roman"/>
                                  <w:sz w:val="18"/>
                                </w:rPr>
                                <w:t>Por adquisición de bienes </w:t>
                              </w:r>
                              <w:r>
                                <w:rPr>
                                  <w:rFonts w:ascii="Times New Roman" w:hAnsi="Times New Roman"/>
                                  <w:spacing w:val="-2"/>
                                  <w:sz w:val="18"/>
                                </w:rPr>
                                <w:t>Por</w:t>
                              </w:r>
                              <w:r>
                                <w:rPr>
                                  <w:rFonts w:ascii="Times New Roman" w:hAnsi="Times New Roman"/>
                                  <w:spacing w:val="-10"/>
                                  <w:sz w:val="18"/>
                                </w:rPr>
                                <w:t> </w:t>
                              </w:r>
                              <w:r>
                                <w:rPr>
                                  <w:rFonts w:ascii="Times New Roman" w:hAnsi="Times New Roman"/>
                                  <w:spacing w:val="-2"/>
                                  <w:sz w:val="18"/>
                                </w:rPr>
                                <w:t>adquisición</w:t>
                              </w:r>
                              <w:r>
                                <w:rPr>
                                  <w:rFonts w:ascii="Times New Roman" w:hAnsi="Times New Roman"/>
                                  <w:spacing w:val="-9"/>
                                  <w:sz w:val="18"/>
                                </w:rPr>
                                <w:t> </w:t>
                              </w:r>
                              <w:r>
                                <w:rPr>
                                  <w:rFonts w:ascii="Times New Roman" w:hAnsi="Times New Roman"/>
                                  <w:spacing w:val="-2"/>
                                  <w:sz w:val="18"/>
                                </w:rPr>
                                <w:t>de</w:t>
                              </w:r>
                              <w:r>
                                <w:rPr>
                                  <w:rFonts w:ascii="Times New Roman" w:hAnsi="Times New Roman"/>
                                  <w:spacing w:val="-9"/>
                                  <w:sz w:val="18"/>
                                </w:rPr>
                                <w:t> </w:t>
                              </w:r>
                              <w:r>
                                <w:rPr>
                                  <w:rFonts w:ascii="Times New Roman" w:hAnsi="Times New Roman"/>
                                  <w:spacing w:val="-2"/>
                                  <w:sz w:val="18"/>
                                </w:rPr>
                                <w:t>servicios</w:t>
                              </w:r>
                            </w:p>
                            <w:p>
                              <w:pPr>
                                <w:spacing w:line="207" w:lineRule="exact" w:before="0"/>
                                <w:ind w:left="0" w:right="0" w:firstLine="0"/>
                                <w:jc w:val="left"/>
                                <w:rPr>
                                  <w:rFonts w:ascii="Times New Roman" w:hAnsi="Times New Roman"/>
                                  <w:sz w:val="18"/>
                                </w:rPr>
                              </w:pPr>
                              <w:r>
                                <w:rPr>
                                  <w:rFonts w:ascii="Times New Roman" w:hAnsi="Times New Roman"/>
                                  <w:spacing w:val="-4"/>
                                  <w:sz w:val="18"/>
                                </w:rPr>
                                <w:t>Total deudas</w:t>
                              </w:r>
                              <w:r>
                                <w:rPr>
                                  <w:rFonts w:ascii="Times New Roman" w:hAnsi="Times New Roman"/>
                                  <w:spacing w:val="1"/>
                                  <w:sz w:val="18"/>
                                </w:rPr>
                                <w:t> </w:t>
                              </w:r>
                              <w:r>
                                <w:rPr>
                                  <w:rFonts w:ascii="Times New Roman" w:hAnsi="Times New Roman"/>
                                  <w:spacing w:val="-4"/>
                                  <w:sz w:val="18"/>
                                </w:rPr>
                                <w:t>por</w:t>
                              </w:r>
                              <w:r>
                                <w:rPr>
                                  <w:rFonts w:ascii="Times New Roman" w:hAnsi="Times New Roman"/>
                                  <w:spacing w:val="1"/>
                                  <w:sz w:val="18"/>
                                </w:rPr>
                                <w:t> </w:t>
                              </w:r>
                              <w:r>
                                <w:rPr>
                                  <w:rFonts w:ascii="Times New Roman" w:hAnsi="Times New Roman"/>
                                  <w:spacing w:val="-4"/>
                                  <w:sz w:val="18"/>
                                </w:rPr>
                                <w:t>adquisición</w:t>
                              </w:r>
                              <w:r>
                                <w:rPr>
                                  <w:rFonts w:ascii="Times New Roman" w:hAnsi="Times New Roman"/>
                                  <w:spacing w:val="6"/>
                                  <w:sz w:val="18"/>
                                </w:rPr>
                                <w:t> </w:t>
                              </w:r>
                              <w:r>
                                <w:rPr>
                                  <w:rFonts w:ascii="Times New Roman" w:hAnsi="Times New Roman"/>
                                  <w:spacing w:val="-4"/>
                                  <w:sz w:val="18"/>
                                </w:rPr>
                                <w:t>bienes</w:t>
                              </w:r>
                              <w:r>
                                <w:rPr>
                                  <w:rFonts w:ascii="Times New Roman" w:hAnsi="Times New Roman"/>
                                  <w:spacing w:val="1"/>
                                  <w:sz w:val="18"/>
                                </w:rPr>
                                <w:t> </w:t>
                              </w:r>
                              <w:r>
                                <w:rPr>
                                  <w:rFonts w:ascii="Times New Roman" w:hAnsi="Times New Roman"/>
                                  <w:spacing w:val="-4"/>
                                  <w:sz w:val="18"/>
                                </w:rPr>
                                <w:t>y</w:t>
                              </w:r>
                              <w:r>
                                <w:rPr>
                                  <w:rFonts w:ascii="Times New Roman" w:hAnsi="Times New Roman"/>
                                  <w:spacing w:val="-5"/>
                                  <w:sz w:val="18"/>
                                </w:rPr>
                                <w:t> </w:t>
                              </w:r>
                              <w:r>
                                <w:rPr>
                                  <w:rFonts w:ascii="Times New Roman" w:hAnsi="Times New Roman"/>
                                  <w:spacing w:val="-4"/>
                                  <w:sz w:val="18"/>
                                </w:rPr>
                                <w:t>servicios</w:t>
                              </w:r>
                            </w:p>
                          </w:txbxContent>
                        </wps:txbx>
                        <wps:bodyPr wrap="square" lIns="0" tIns="0" rIns="0" bIns="0" rtlCol="0">
                          <a:noAutofit/>
                        </wps:bodyPr>
                      </wps:wsp>
                      <wps:wsp>
                        <wps:cNvPr id="347" name="Textbox 347"/>
                        <wps:cNvSpPr txBox="1"/>
                        <wps:spPr>
                          <a:xfrm>
                            <a:off x="4545603" y="6238268"/>
                            <a:ext cx="478790" cy="112395"/>
                          </a:xfrm>
                          <a:prstGeom prst="rect">
                            <a:avLst/>
                          </a:prstGeom>
                        </wps:spPr>
                        <wps:txbx>
                          <w:txbxContent>
                            <w:p>
                              <w:pPr>
                                <w:spacing w:line="177" w:lineRule="exact" w:before="0"/>
                                <w:ind w:left="0" w:right="0" w:firstLine="0"/>
                                <w:jc w:val="left"/>
                                <w:rPr>
                                  <w:rFonts w:ascii="Times New Roman"/>
                                  <w:sz w:val="16"/>
                                </w:rPr>
                              </w:pPr>
                              <w:r>
                                <w:rPr>
                                  <w:rFonts w:ascii="Times New Roman"/>
                                  <w:sz w:val="16"/>
                                </w:rPr>
                                <w:t>785</w:t>
                              </w:r>
                              <w:r>
                                <w:rPr>
                                  <w:rFonts w:ascii="Times New Roman"/>
                                  <w:spacing w:val="2"/>
                                  <w:sz w:val="16"/>
                                </w:rPr>
                                <w:t> </w:t>
                              </w:r>
                              <w:r>
                                <w:rPr>
                                  <w:rFonts w:ascii="Times New Roman"/>
                                  <w:spacing w:val="-2"/>
                                  <w:sz w:val="16"/>
                                </w:rPr>
                                <w:t>831,68</w:t>
                              </w:r>
                            </w:p>
                          </w:txbxContent>
                        </wps:txbx>
                        <wps:bodyPr wrap="square" lIns="0" tIns="0" rIns="0" bIns="0" rtlCol="0">
                          <a:noAutofit/>
                        </wps:bodyPr>
                      </wps:wsp>
                      <wps:wsp>
                        <wps:cNvPr id="348" name="Textbox 348"/>
                        <wps:cNvSpPr txBox="1"/>
                        <wps:spPr>
                          <a:xfrm>
                            <a:off x="5431476" y="6238268"/>
                            <a:ext cx="478790" cy="112395"/>
                          </a:xfrm>
                          <a:prstGeom prst="rect">
                            <a:avLst/>
                          </a:prstGeom>
                        </wps:spPr>
                        <wps:txbx>
                          <w:txbxContent>
                            <w:p>
                              <w:pPr>
                                <w:spacing w:line="177" w:lineRule="exact" w:before="0"/>
                                <w:ind w:left="0" w:right="0" w:firstLine="0"/>
                                <w:jc w:val="left"/>
                                <w:rPr>
                                  <w:rFonts w:ascii="Times New Roman"/>
                                  <w:sz w:val="16"/>
                                </w:rPr>
                              </w:pPr>
                              <w:r>
                                <w:rPr>
                                  <w:rFonts w:ascii="Times New Roman"/>
                                  <w:sz w:val="16"/>
                                </w:rPr>
                                <w:t>603</w:t>
                              </w:r>
                              <w:r>
                                <w:rPr>
                                  <w:rFonts w:ascii="Times New Roman"/>
                                  <w:spacing w:val="2"/>
                                  <w:sz w:val="16"/>
                                </w:rPr>
                                <w:t> </w:t>
                              </w:r>
                              <w:r>
                                <w:rPr>
                                  <w:rFonts w:ascii="Times New Roman"/>
                                  <w:spacing w:val="-2"/>
                                  <w:sz w:val="16"/>
                                </w:rPr>
                                <w:t>353,48</w:t>
                              </w:r>
                            </w:p>
                          </w:txbxContent>
                        </wps:txbx>
                        <wps:bodyPr wrap="square" lIns="0" tIns="0" rIns="0" bIns="0" rtlCol="0">
                          <a:noAutofit/>
                        </wps:bodyPr>
                      </wps:wsp>
                      <wps:wsp>
                        <wps:cNvPr id="349" name="Textbox 349"/>
                        <wps:cNvSpPr txBox="1"/>
                        <wps:spPr>
                          <a:xfrm>
                            <a:off x="6274311" y="6255627"/>
                            <a:ext cx="319405" cy="101600"/>
                          </a:xfrm>
                          <a:prstGeom prst="rect">
                            <a:avLst/>
                          </a:prstGeom>
                        </wps:spPr>
                        <wps:txbx>
                          <w:txbxContent>
                            <w:p>
                              <w:pPr>
                                <w:spacing w:line="160" w:lineRule="exact" w:before="0"/>
                                <w:ind w:left="0" w:right="0" w:firstLine="0"/>
                                <w:jc w:val="left"/>
                                <w:rPr>
                                  <w:rFonts w:ascii="Calibri"/>
                                  <w:sz w:val="16"/>
                                </w:rPr>
                              </w:pPr>
                              <w:r>
                                <w:rPr>
                                  <w:rFonts w:ascii="Calibri"/>
                                  <w:spacing w:val="-2"/>
                                  <w:sz w:val="16"/>
                                </w:rPr>
                                <w:t>30,24%</w:t>
                              </w:r>
                            </w:p>
                          </w:txbxContent>
                        </wps:txbx>
                        <wps:bodyPr wrap="square" lIns="0" tIns="0" rIns="0" bIns="0" rtlCol="0">
                          <a:noAutofit/>
                        </wps:bodyPr>
                      </wps:wsp>
                      <wps:wsp>
                        <wps:cNvPr id="350" name="Textbox 350"/>
                        <wps:cNvSpPr txBox="1"/>
                        <wps:spPr>
                          <a:xfrm>
                            <a:off x="4068595" y="6385464"/>
                            <a:ext cx="2525395" cy="118745"/>
                          </a:xfrm>
                          <a:prstGeom prst="rect">
                            <a:avLst/>
                          </a:prstGeom>
                        </wps:spPr>
                        <wps:txbx>
                          <w:txbxContent>
                            <w:p>
                              <w:pPr>
                                <w:tabs>
                                  <w:tab w:pos="751" w:val="left" w:leader="none"/>
                                  <w:tab w:pos="2146" w:val="left" w:leader="none"/>
                                  <w:tab w:pos="3507" w:val="left" w:leader="none"/>
                                </w:tabs>
                                <w:spacing w:line="187" w:lineRule="exact" w:before="0"/>
                                <w:ind w:left="0" w:right="0" w:firstLine="0"/>
                                <w:jc w:val="left"/>
                                <w:rPr>
                                  <w:rFonts w:ascii="Calibri"/>
                                  <w:sz w:val="16"/>
                                </w:rPr>
                              </w:pPr>
                              <w:r>
                                <w:rPr>
                                  <w:rFonts w:ascii="Times New Roman"/>
                                  <w:sz w:val="16"/>
                                  <w:u w:val="single"/>
                                </w:rPr>
                                <w:tab/>
                                <w:t>444</w:t>
                              </w:r>
                              <w:r>
                                <w:rPr>
                                  <w:rFonts w:ascii="Times New Roman"/>
                                  <w:spacing w:val="2"/>
                                  <w:sz w:val="16"/>
                                  <w:u w:val="single"/>
                                </w:rPr>
                                <w:t> </w:t>
                              </w:r>
                              <w:r>
                                <w:rPr>
                                  <w:rFonts w:ascii="Times New Roman"/>
                                  <w:spacing w:val="-2"/>
                                  <w:sz w:val="16"/>
                                  <w:u w:val="single"/>
                                </w:rPr>
                                <w:t>118,09</w:t>
                              </w:r>
                              <w:r>
                                <w:rPr>
                                  <w:rFonts w:ascii="Times New Roman"/>
                                  <w:sz w:val="16"/>
                                  <w:u w:val="single"/>
                                </w:rPr>
                                <w:tab/>
                                <w:t>480</w:t>
                              </w:r>
                              <w:r>
                                <w:rPr>
                                  <w:rFonts w:ascii="Times New Roman"/>
                                  <w:spacing w:val="2"/>
                                  <w:sz w:val="16"/>
                                  <w:u w:val="single"/>
                                </w:rPr>
                                <w:t> </w:t>
                              </w:r>
                              <w:r>
                                <w:rPr>
                                  <w:rFonts w:ascii="Times New Roman"/>
                                  <w:spacing w:val="-2"/>
                                  <w:sz w:val="16"/>
                                  <w:u w:val="single"/>
                                </w:rPr>
                                <w:t>795,55</w:t>
                              </w:r>
                              <w:r>
                                <w:rPr>
                                  <w:rFonts w:ascii="Times New Roman"/>
                                  <w:sz w:val="16"/>
                                  <w:u w:val="single"/>
                                </w:rPr>
                                <w:tab/>
                              </w:r>
                              <w:r>
                                <w:rPr>
                                  <w:rFonts w:ascii="Calibri"/>
                                  <w:spacing w:val="-2"/>
                                  <w:sz w:val="16"/>
                                  <w:u w:val="single"/>
                                </w:rPr>
                                <w:t>-7,63%</w:t>
                              </w:r>
                            </w:p>
                          </w:txbxContent>
                        </wps:txbx>
                        <wps:bodyPr wrap="square" lIns="0" tIns="0" rIns="0" bIns="0" rtlCol="0">
                          <a:noAutofit/>
                        </wps:bodyPr>
                      </wps:wsp>
                      <wps:wsp>
                        <wps:cNvPr id="351" name="Textbox 351"/>
                        <wps:cNvSpPr txBox="1"/>
                        <wps:spPr>
                          <a:xfrm>
                            <a:off x="4468545" y="6532660"/>
                            <a:ext cx="555625" cy="112395"/>
                          </a:xfrm>
                          <a:prstGeom prst="rect">
                            <a:avLst/>
                          </a:prstGeom>
                        </wps:spPr>
                        <wps:txbx>
                          <w:txbxContent>
                            <w:p>
                              <w:pPr>
                                <w:spacing w:line="177" w:lineRule="exact" w:before="0"/>
                                <w:ind w:left="0" w:right="0" w:firstLine="0"/>
                                <w:jc w:val="left"/>
                                <w:rPr>
                                  <w:rFonts w:ascii="Times New Roman"/>
                                  <w:b/>
                                  <w:sz w:val="16"/>
                                </w:rPr>
                              </w:pPr>
                              <w:r>
                                <w:rPr>
                                  <w:rFonts w:ascii="Times New Roman"/>
                                  <w:b/>
                                  <w:sz w:val="16"/>
                                </w:rPr>
                                <w:t>1</w:t>
                              </w:r>
                              <w:r>
                                <w:rPr>
                                  <w:rFonts w:ascii="Times New Roman"/>
                                  <w:b/>
                                  <w:spacing w:val="1"/>
                                  <w:sz w:val="16"/>
                                </w:rPr>
                                <w:t> </w:t>
                              </w:r>
                              <w:r>
                                <w:rPr>
                                  <w:rFonts w:ascii="Times New Roman"/>
                                  <w:b/>
                                  <w:sz w:val="16"/>
                                </w:rPr>
                                <w:t>229</w:t>
                              </w:r>
                              <w:r>
                                <w:rPr>
                                  <w:rFonts w:ascii="Times New Roman"/>
                                  <w:b/>
                                  <w:spacing w:val="1"/>
                                  <w:sz w:val="16"/>
                                </w:rPr>
                                <w:t> </w:t>
                              </w:r>
                              <w:r>
                                <w:rPr>
                                  <w:rFonts w:ascii="Times New Roman"/>
                                  <w:b/>
                                  <w:spacing w:val="-2"/>
                                  <w:sz w:val="16"/>
                                </w:rPr>
                                <w:t>949,76</w:t>
                              </w:r>
                            </w:p>
                          </w:txbxContent>
                        </wps:txbx>
                        <wps:bodyPr wrap="square" lIns="0" tIns="0" rIns="0" bIns="0" rtlCol="0">
                          <a:noAutofit/>
                        </wps:bodyPr>
                      </wps:wsp>
                      <wps:wsp>
                        <wps:cNvPr id="352" name="Textbox 352"/>
                        <wps:cNvSpPr txBox="1"/>
                        <wps:spPr>
                          <a:xfrm>
                            <a:off x="5354417" y="6532660"/>
                            <a:ext cx="555625" cy="112395"/>
                          </a:xfrm>
                          <a:prstGeom prst="rect">
                            <a:avLst/>
                          </a:prstGeom>
                        </wps:spPr>
                        <wps:txbx>
                          <w:txbxContent>
                            <w:p>
                              <w:pPr>
                                <w:spacing w:line="177" w:lineRule="exact" w:before="0"/>
                                <w:ind w:left="0" w:right="0" w:firstLine="0"/>
                                <w:jc w:val="left"/>
                                <w:rPr>
                                  <w:rFonts w:ascii="Times New Roman"/>
                                  <w:b/>
                                  <w:sz w:val="16"/>
                                </w:rPr>
                              </w:pPr>
                              <w:r>
                                <w:rPr>
                                  <w:rFonts w:ascii="Times New Roman"/>
                                  <w:b/>
                                  <w:sz w:val="16"/>
                                </w:rPr>
                                <w:t>1</w:t>
                              </w:r>
                              <w:r>
                                <w:rPr>
                                  <w:rFonts w:ascii="Times New Roman"/>
                                  <w:b/>
                                  <w:spacing w:val="1"/>
                                  <w:sz w:val="16"/>
                                </w:rPr>
                                <w:t> </w:t>
                              </w:r>
                              <w:r>
                                <w:rPr>
                                  <w:rFonts w:ascii="Times New Roman"/>
                                  <w:b/>
                                  <w:sz w:val="16"/>
                                </w:rPr>
                                <w:t>084</w:t>
                              </w:r>
                              <w:r>
                                <w:rPr>
                                  <w:rFonts w:ascii="Times New Roman"/>
                                  <w:b/>
                                  <w:spacing w:val="1"/>
                                  <w:sz w:val="16"/>
                                </w:rPr>
                                <w:t> </w:t>
                              </w:r>
                              <w:r>
                                <w:rPr>
                                  <w:rFonts w:ascii="Times New Roman"/>
                                  <w:b/>
                                  <w:spacing w:val="-2"/>
                                  <w:sz w:val="16"/>
                                </w:rPr>
                                <w:t>149,03</w:t>
                              </w:r>
                            </w:p>
                          </w:txbxContent>
                        </wps:txbx>
                        <wps:bodyPr wrap="square" lIns="0" tIns="0" rIns="0" bIns="0" rtlCol="0">
                          <a:noAutofit/>
                        </wps:bodyPr>
                      </wps:wsp>
                      <wps:wsp>
                        <wps:cNvPr id="353" name="Textbox 353"/>
                        <wps:cNvSpPr txBox="1"/>
                        <wps:spPr>
                          <a:xfrm>
                            <a:off x="6243569" y="6532660"/>
                            <a:ext cx="348615" cy="112395"/>
                          </a:xfrm>
                          <a:prstGeom prst="rect">
                            <a:avLst/>
                          </a:prstGeom>
                        </wps:spPr>
                        <wps:txbx>
                          <w:txbxContent>
                            <w:p>
                              <w:pPr>
                                <w:spacing w:line="177" w:lineRule="exact" w:before="0"/>
                                <w:ind w:left="0" w:right="0" w:firstLine="0"/>
                                <w:jc w:val="left"/>
                                <w:rPr>
                                  <w:rFonts w:ascii="Times New Roman"/>
                                  <w:b/>
                                  <w:sz w:val="16"/>
                                </w:rPr>
                              </w:pPr>
                              <w:r>
                                <w:rPr>
                                  <w:rFonts w:ascii="Times New Roman"/>
                                  <w:b/>
                                  <w:spacing w:val="-2"/>
                                  <w:sz w:val="16"/>
                                </w:rPr>
                                <w:t>13,45%</w:t>
                              </w:r>
                            </w:p>
                          </w:txbxContent>
                        </wps:txbx>
                        <wps:bodyPr wrap="square" lIns="0" tIns="0" rIns="0" bIns="0" rtlCol="0">
                          <a:noAutofit/>
                        </wps:bodyPr>
                      </wps:wsp>
                    </wpg:wgp>
                  </a:graphicData>
                </a:graphic>
              </wp:anchor>
            </w:drawing>
          </mc:Choice>
          <mc:Fallback>
            <w:pict>
              <v:group style="position:absolute;margin-left:.75001pt;margin-top:23.402267pt;width:611.25pt;height:767.6pt;mso-position-horizontal-relative:page;mso-position-vertical-relative:page;z-index:-29736960" id="docshapegroup317" coordorigin="15,468" coordsize="12225,15352">
                <v:shape style="position:absolute;left:15;top:468;width:12225;height:15352" type="#_x0000_t75" id="docshape318" stroked="false">
                  <v:imagedata r:id="rId5" o:title=""/>
                </v:shape>
                <v:shape style="position:absolute;left:1673;top:2028;width:9238;height:11128" id="docshape319" coordorigin="1673,2028" coordsize="9238,11128" path="m10570,2028l1673,2028,1673,2043,10570,2043,10570,2028xm10910,13147l10901,13147,10901,13147,1707,13147,1697,13147,1697,13156,1707,13156,10901,13156,10901,13156,10910,13156,10910,13147xm10910,5581l10901,5581,10901,5581,1707,5581,1697,5581,1697,5591,1697,13147,1707,13147,1707,5591,10901,5591,10901,13147,10910,13147,10910,5591,10910,5581xe" filled="true" fillcolor="#000000" stroked="false">
                  <v:path arrowok="t"/>
                  <v:fill type="solid"/>
                </v:shape>
                <v:line style="position:absolute" from="10407,9779" to="10407,10002" stroked="true" strokeweight=".24206pt" strokecolor="#000000">
                  <v:stroke dashstyle="solid"/>
                </v:line>
                <v:rect style="position:absolute;left:10404;top:9777;width:5;height:227" id="docshape320" filled="true" fillcolor="#000000" stroked="false">
                  <v:fill type="solid"/>
                </v:rect>
                <v:line style="position:absolute" from="2191,9775" to="2191,10954" stroked="true" strokeweight=".24206pt" strokecolor="#000000">
                  <v:stroke dashstyle="solid"/>
                </v:line>
                <v:rect style="position:absolute;left:2188;top:9772;width:5;height:1184" id="docshape321" filled="true" fillcolor="#000000" stroked="false">
                  <v:fill type="solid"/>
                </v:rect>
                <v:line style="position:absolute" from="10407,10021" to="10407,10954" stroked="true" strokeweight=".24206pt" strokecolor="#000000">
                  <v:stroke dashstyle="solid"/>
                </v:line>
                <v:rect style="position:absolute;left:10404;top:10018;width:5;height:938" id="docshape322" filled="true" fillcolor="#000000" stroked="false">
                  <v:fill type="solid"/>
                </v:rect>
                <v:line style="position:absolute" from="2196,9775" to="10407,9775" stroked="true" strokeweight=".240628pt" strokecolor="#000000">
                  <v:stroke dashstyle="solid"/>
                </v:line>
                <v:rect style="position:absolute;left:2193;top:9772;width:8216;height:5" id="docshape323" filled="true" fillcolor="#000000" stroked="false">
                  <v:fill type="solid"/>
                </v:rect>
                <v:line style="position:absolute" from="2196,10954" to="10407,10954" stroked="true" strokeweight=".240628pt" strokecolor="#000000">
                  <v:stroke dashstyle="solid"/>
                </v:line>
                <v:rect style="position:absolute;left:2193;top:10951;width:8216;height:5" id="docshape324" filled="true" fillcolor="#000000" stroked="false">
                  <v:fill type="solid"/>
                </v:rect>
                <v:shape style="position:absolute;left:7541;top:9801;width:388;height:199" type="#_x0000_t202" id="docshape325" filled="false" stroked="false">
                  <v:textbox inset="0,0,0,0">
                    <w:txbxContent>
                      <w:p>
                        <w:pPr>
                          <w:spacing w:line="198" w:lineRule="exact" w:before="0"/>
                          <w:ind w:left="0" w:right="0" w:firstLine="0"/>
                          <w:jc w:val="left"/>
                          <w:rPr>
                            <w:rFonts w:ascii="Times New Roman"/>
                            <w:b/>
                            <w:sz w:val="18"/>
                          </w:rPr>
                        </w:pPr>
                        <w:r>
                          <w:rPr>
                            <w:rFonts w:ascii="Times New Roman"/>
                            <w:b/>
                            <w:spacing w:val="-4"/>
                            <w:sz w:val="18"/>
                            <w:u w:val="double"/>
                          </w:rPr>
                          <w:t>2026</w:t>
                        </w:r>
                      </w:p>
                    </w:txbxContent>
                  </v:textbox>
                  <w10:wrap type="none"/>
                </v:shape>
                <v:shape style="position:absolute;left:8936;top:9801;width:1461;height:199" type="#_x0000_t202" id="docshape326" filled="false" stroked="false">
                  <v:textbox inset="0,0,0,0">
                    <w:txbxContent>
                      <w:p>
                        <w:pPr>
                          <w:tabs>
                            <w:tab w:pos="644" w:val="left" w:leader="none"/>
                          </w:tabs>
                          <w:spacing w:line="198" w:lineRule="exact" w:before="0"/>
                          <w:ind w:left="0" w:right="0" w:firstLine="0"/>
                          <w:jc w:val="left"/>
                          <w:rPr>
                            <w:rFonts w:ascii="Times New Roman" w:hAnsi="Times New Roman"/>
                            <w:b/>
                            <w:sz w:val="18"/>
                          </w:rPr>
                        </w:pPr>
                        <w:r>
                          <w:rPr>
                            <w:rFonts w:ascii="Times New Roman" w:hAnsi="Times New Roman"/>
                            <w:b/>
                            <w:spacing w:val="-4"/>
                            <w:sz w:val="18"/>
                            <w:u w:val="double"/>
                          </w:rPr>
                          <w:t>2025</w:t>
                        </w:r>
                        <w:r>
                          <w:rPr>
                            <w:rFonts w:ascii="Times New Roman" w:hAnsi="Times New Roman"/>
                            <w:b/>
                            <w:sz w:val="18"/>
                            <w:u w:val="none"/>
                          </w:rPr>
                          <w:tab/>
                        </w:r>
                        <w:r>
                          <w:rPr>
                            <w:rFonts w:ascii="Times New Roman" w:hAnsi="Times New Roman"/>
                            <w:b/>
                            <w:spacing w:val="-12"/>
                            <w:sz w:val="18"/>
                            <w:u w:val="double"/>
                          </w:rPr>
                          <w:t> </w:t>
                        </w:r>
                        <w:r>
                          <w:rPr>
                            <w:rFonts w:ascii="Times New Roman" w:hAnsi="Times New Roman"/>
                            <w:b/>
                            <w:sz w:val="18"/>
                            <w:u w:val="double"/>
                          </w:rPr>
                          <w:t>Variación</w:t>
                        </w:r>
                      </w:p>
                    </w:txbxContent>
                  </v:textbox>
                  <w10:wrap type="none"/>
                </v:shape>
                <v:shape style="position:absolute;left:2333;top:10279;width:3312;height:662" type="#_x0000_t202" id="docshape327" filled="false" stroked="false">
                  <v:textbox inset="0,0,0,0">
                    <w:txbxContent>
                      <w:p>
                        <w:pPr>
                          <w:spacing w:line="268" w:lineRule="auto" w:before="0"/>
                          <w:ind w:left="0" w:right="1345" w:firstLine="0"/>
                          <w:jc w:val="left"/>
                          <w:rPr>
                            <w:rFonts w:ascii="Times New Roman" w:hAnsi="Times New Roman"/>
                            <w:sz w:val="18"/>
                          </w:rPr>
                        </w:pPr>
                        <w:r>
                          <w:rPr>
                            <w:rFonts w:ascii="Times New Roman" w:hAnsi="Times New Roman"/>
                            <w:sz w:val="18"/>
                          </w:rPr>
                          <w:t>Por adquisición de bienes </w:t>
                        </w:r>
                        <w:r>
                          <w:rPr>
                            <w:rFonts w:ascii="Times New Roman" w:hAnsi="Times New Roman"/>
                            <w:spacing w:val="-2"/>
                            <w:sz w:val="18"/>
                          </w:rPr>
                          <w:t>Por</w:t>
                        </w:r>
                        <w:r>
                          <w:rPr>
                            <w:rFonts w:ascii="Times New Roman" w:hAnsi="Times New Roman"/>
                            <w:spacing w:val="-10"/>
                            <w:sz w:val="18"/>
                          </w:rPr>
                          <w:t> </w:t>
                        </w:r>
                        <w:r>
                          <w:rPr>
                            <w:rFonts w:ascii="Times New Roman" w:hAnsi="Times New Roman"/>
                            <w:spacing w:val="-2"/>
                            <w:sz w:val="18"/>
                          </w:rPr>
                          <w:t>adquisición</w:t>
                        </w:r>
                        <w:r>
                          <w:rPr>
                            <w:rFonts w:ascii="Times New Roman" w:hAnsi="Times New Roman"/>
                            <w:spacing w:val="-9"/>
                            <w:sz w:val="18"/>
                          </w:rPr>
                          <w:t> </w:t>
                        </w:r>
                        <w:r>
                          <w:rPr>
                            <w:rFonts w:ascii="Times New Roman" w:hAnsi="Times New Roman"/>
                            <w:spacing w:val="-2"/>
                            <w:sz w:val="18"/>
                          </w:rPr>
                          <w:t>de</w:t>
                        </w:r>
                        <w:r>
                          <w:rPr>
                            <w:rFonts w:ascii="Times New Roman" w:hAnsi="Times New Roman"/>
                            <w:spacing w:val="-9"/>
                            <w:sz w:val="18"/>
                          </w:rPr>
                          <w:t> </w:t>
                        </w:r>
                        <w:r>
                          <w:rPr>
                            <w:rFonts w:ascii="Times New Roman" w:hAnsi="Times New Roman"/>
                            <w:spacing w:val="-2"/>
                            <w:sz w:val="18"/>
                          </w:rPr>
                          <w:t>servicios</w:t>
                        </w:r>
                      </w:p>
                      <w:p>
                        <w:pPr>
                          <w:spacing w:line="207" w:lineRule="exact" w:before="0"/>
                          <w:ind w:left="0" w:right="0" w:firstLine="0"/>
                          <w:jc w:val="left"/>
                          <w:rPr>
                            <w:rFonts w:ascii="Times New Roman" w:hAnsi="Times New Roman"/>
                            <w:sz w:val="18"/>
                          </w:rPr>
                        </w:pPr>
                        <w:r>
                          <w:rPr>
                            <w:rFonts w:ascii="Times New Roman" w:hAnsi="Times New Roman"/>
                            <w:spacing w:val="-4"/>
                            <w:sz w:val="18"/>
                          </w:rPr>
                          <w:t>Total deudas</w:t>
                        </w:r>
                        <w:r>
                          <w:rPr>
                            <w:rFonts w:ascii="Times New Roman" w:hAnsi="Times New Roman"/>
                            <w:spacing w:val="1"/>
                            <w:sz w:val="18"/>
                          </w:rPr>
                          <w:t> </w:t>
                        </w:r>
                        <w:r>
                          <w:rPr>
                            <w:rFonts w:ascii="Times New Roman" w:hAnsi="Times New Roman"/>
                            <w:spacing w:val="-4"/>
                            <w:sz w:val="18"/>
                          </w:rPr>
                          <w:t>por</w:t>
                        </w:r>
                        <w:r>
                          <w:rPr>
                            <w:rFonts w:ascii="Times New Roman" w:hAnsi="Times New Roman"/>
                            <w:spacing w:val="1"/>
                            <w:sz w:val="18"/>
                          </w:rPr>
                          <w:t> </w:t>
                        </w:r>
                        <w:r>
                          <w:rPr>
                            <w:rFonts w:ascii="Times New Roman" w:hAnsi="Times New Roman"/>
                            <w:spacing w:val="-4"/>
                            <w:sz w:val="18"/>
                          </w:rPr>
                          <w:t>adquisición</w:t>
                        </w:r>
                        <w:r>
                          <w:rPr>
                            <w:rFonts w:ascii="Times New Roman" w:hAnsi="Times New Roman"/>
                            <w:spacing w:val="6"/>
                            <w:sz w:val="18"/>
                          </w:rPr>
                          <w:t> </w:t>
                        </w:r>
                        <w:r>
                          <w:rPr>
                            <w:rFonts w:ascii="Times New Roman" w:hAnsi="Times New Roman"/>
                            <w:spacing w:val="-4"/>
                            <w:sz w:val="18"/>
                          </w:rPr>
                          <w:t>bienes</w:t>
                        </w:r>
                        <w:r>
                          <w:rPr>
                            <w:rFonts w:ascii="Times New Roman" w:hAnsi="Times New Roman"/>
                            <w:spacing w:val="1"/>
                            <w:sz w:val="18"/>
                          </w:rPr>
                          <w:t> </w:t>
                        </w:r>
                        <w:r>
                          <w:rPr>
                            <w:rFonts w:ascii="Times New Roman" w:hAnsi="Times New Roman"/>
                            <w:spacing w:val="-4"/>
                            <w:sz w:val="18"/>
                          </w:rPr>
                          <w:t>y</w:t>
                        </w:r>
                        <w:r>
                          <w:rPr>
                            <w:rFonts w:ascii="Times New Roman" w:hAnsi="Times New Roman"/>
                            <w:spacing w:val="-5"/>
                            <w:sz w:val="18"/>
                          </w:rPr>
                          <w:t> </w:t>
                        </w:r>
                        <w:r>
                          <w:rPr>
                            <w:rFonts w:ascii="Times New Roman" w:hAnsi="Times New Roman"/>
                            <w:spacing w:val="-4"/>
                            <w:sz w:val="18"/>
                          </w:rPr>
                          <w:t>servicios</w:t>
                        </w:r>
                      </w:p>
                    </w:txbxContent>
                  </v:textbox>
                  <w10:wrap type="none"/>
                </v:shape>
                <v:shape style="position:absolute;left:7173;top:10292;width:754;height:177" type="#_x0000_t202" id="docshape328" filled="false" stroked="false">
                  <v:textbox inset="0,0,0,0">
                    <w:txbxContent>
                      <w:p>
                        <w:pPr>
                          <w:spacing w:line="177" w:lineRule="exact" w:before="0"/>
                          <w:ind w:left="0" w:right="0" w:firstLine="0"/>
                          <w:jc w:val="left"/>
                          <w:rPr>
                            <w:rFonts w:ascii="Times New Roman"/>
                            <w:sz w:val="16"/>
                          </w:rPr>
                        </w:pPr>
                        <w:r>
                          <w:rPr>
                            <w:rFonts w:ascii="Times New Roman"/>
                            <w:sz w:val="16"/>
                          </w:rPr>
                          <w:t>785</w:t>
                        </w:r>
                        <w:r>
                          <w:rPr>
                            <w:rFonts w:ascii="Times New Roman"/>
                            <w:spacing w:val="2"/>
                            <w:sz w:val="16"/>
                          </w:rPr>
                          <w:t> </w:t>
                        </w:r>
                        <w:r>
                          <w:rPr>
                            <w:rFonts w:ascii="Times New Roman"/>
                            <w:spacing w:val="-2"/>
                            <w:sz w:val="16"/>
                          </w:rPr>
                          <w:t>831,68</w:t>
                        </w:r>
                      </w:p>
                    </w:txbxContent>
                  </v:textbox>
                  <w10:wrap type="none"/>
                </v:shape>
                <v:shape style="position:absolute;left:8568;top:10292;width:754;height:177" type="#_x0000_t202" id="docshape329" filled="false" stroked="false">
                  <v:textbox inset="0,0,0,0">
                    <w:txbxContent>
                      <w:p>
                        <w:pPr>
                          <w:spacing w:line="177" w:lineRule="exact" w:before="0"/>
                          <w:ind w:left="0" w:right="0" w:firstLine="0"/>
                          <w:jc w:val="left"/>
                          <w:rPr>
                            <w:rFonts w:ascii="Times New Roman"/>
                            <w:sz w:val="16"/>
                          </w:rPr>
                        </w:pPr>
                        <w:r>
                          <w:rPr>
                            <w:rFonts w:ascii="Times New Roman"/>
                            <w:sz w:val="16"/>
                          </w:rPr>
                          <w:t>603</w:t>
                        </w:r>
                        <w:r>
                          <w:rPr>
                            <w:rFonts w:ascii="Times New Roman"/>
                            <w:spacing w:val="2"/>
                            <w:sz w:val="16"/>
                          </w:rPr>
                          <w:t> </w:t>
                        </w:r>
                        <w:r>
                          <w:rPr>
                            <w:rFonts w:ascii="Times New Roman"/>
                            <w:spacing w:val="-2"/>
                            <w:sz w:val="16"/>
                          </w:rPr>
                          <w:t>353,48</w:t>
                        </w:r>
                      </w:p>
                    </w:txbxContent>
                  </v:textbox>
                  <w10:wrap type="none"/>
                </v:shape>
                <v:shape style="position:absolute;left:9895;top:10319;width:503;height:160" type="#_x0000_t202" id="docshape330" filled="false" stroked="false">
                  <v:textbox inset="0,0,0,0">
                    <w:txbxContent>
                      <w:p>
                        <w:pPr>
                          <w:spacing w:line="160" w:lineRule="exact" w:before="0"/>
                          <w:ind w:left="0" w:right="0" w:firstLine="0"/>
                          <w:jc w:val="left"/>
                          <w:rPr>
                            <w:rFonts w:ascii="Calibri"/>
                            <w:sz w:val="16"/>
                          </w:rPr>
                        </w:pPr>
                        <w:r>
                          <w:rPr>
                            <w:rFonts w:ascii="Calibri"/>
                            <w:spacing w:val="-2"/>
                            <w:sz w:val="16"/>
                          </w:rPr>
                          <w:t>30,24%</w:t>
                        </w:r>
                      </w:p>
                    </w:txbxContent>
                  </v:textbox>
                  <w10:wrap type="none"/>
                </v:shape>
                <v:shape style="position:absolute;left:6422;top:10523;width:3977;height:187" type="#_x0000_t202" id="docshape331" filled="false" stroked="false">
                  <v:textbox inset="0,0,0,0">
                    <w:txbxContent>
                      <w:p>
                        <w:pPr>
                          <w:tabs>
                            <w:tab w:pos="751" w:val="left" w:leader="none"/>
                            <w:tab w:pos="2146" w:val="left" w:leader="none"/>
                            <w:tab w:pos="3507" w:val="left" w:leader="none"/>
                          </w:tabs>
                          <w:spacing w:line="187" w:lineRule="exact" w:before="0"/>
                          <w:ind w:left="0" w:right="0" w:firstLine="0"/>
                          <w:jc w:val="left"/>
                          <w:rPr>
                            <w:rFonts w:ascii="Calibri"/>
                            <w:sz w:val="16"/>
                          </w:rPr>
                        </w:pPr>
                        <w:r>
                          <w:rPr>
                            <w:rFonts w:ascii="Times New Roman"/>
                            <w:sz w:val="16"/>
                            <w:u w:val="single"/>
                          </w:rPr>
                          <w:tab/>
                          <w:t>444</w:t>
                        </w:r>
                        <w:r>
                          <w:rPr>
                            <w:rFonts w:ascii="Times New Roman"/>
                            <w:spacing w:val="2"/>
                            <w:sz w:val="16"/>
                            <w:u w:val="single"/>
                          </w:rPr>
                          <w:t> </w:t>
                        </w:r>
                        <w:r>
                          <w:rPr>
                            <w:rFonts w:ascii="Times New Roman"/>
                            <w:spacing w:val="-2"/>
                            <w:sz w:val="16"/>
                            <w:u w:val="single"/>
                          </w:rPr>
                          <w:t>118,09</w:t>
                        </w:r>
                        <w:r>
                          <w:rPr>
                            <w:rFonts w:ascii="Times New Roman"/>
                            <w:sz w:val="16"/>
                            <w:u w:val="single"/>
                          </w:rPr>
                          <w:tab/>
                          <w:t>480</w:t>
                        </w:r>
                        <w:r>
                          <w:rPr>
                            <w:rFonts w:ascii="Times New Roman"/>
                            <w:spacing w:val="2"/>
                            <w:sz w:val="16"/>
                            <w:u w:val="single"/>
                          </w:rPr>
                          <w:t> </w:t>
                        </w:r>
                        <w:r>
                          <w:rPr>
                            <w:rFonts w:ascii="Times New Roman"/>
                            <w:spacing w:val="-2"/>
                            <w:sz w:val="16"/>
                            <w:u w:val="single"/>
                          </w:rPr>
                          <w:t>795,55</w:t>
                        </w:r>
                        <w:r>
                          <w:rPr>
                            <w:rFonts w:ascii="Times New Roman"/>
                            <w:sz w:val="16"/>
                            <w:u w:val="single"/>
                          </w:rPr>
                          <w:tab/>
                        </w:r>
                        <w:r>
                          <w:rPr>
                            <w:rFonts w:ascii="Calibri"/>
                            <w:spacing w:val="-2"/>
                            <w:sz w:val="16"/>
                            <w:u w:val="single"/>
                          </w:rPr>
                          <w:t>-7,63%</w:t>
                        </w:r>
                      </w:p>
                    </w:txbxContent>
                  </v:textbox>
                  <w10:wrap type="none"/>
                </v:shape>
                <v:shape style="position:absolute;left:7052;top:10755;width:875;height:177" type="#_x0000_t202" id="docshape332" filled="false" stroked="false">
                  <v:textbox inset="0,0,0,0">
                    <w:txbxContent>
                      <w:p>
                        <w:pPr>
                          <w:spacing w:line="177" w:lineRule="exact" w:before="0"/>
                          <w:ind w:left="0" w:right="0" w:firstLine="0"/>
                          <w:jc w:val="left"/>
                          <w:rPr>
                            <w:rFonts w:ascii="Times New Roman"/>
                            <w:b/>
                            <w:sz w:val="16"/>
                          </w:rPr>
                        </w:pPr>
                        <w:r>
                          <w:rPr>
                            <w:rFonts w:ascii="Times New Roman"/>
                            <w:b/>
                            <w:sz w:val="16"/>
                          </w:rPr>
                          <w:t>1</w:t>
                        </w:r>
                        <w:r>
                          <w:rPr>
                            <w:rFonts w:ascii="Times New Roman"/>
                            <w:b/>
                            <w:spacing w:val="1"/>
                            <w:sz w:val="16"/>
                          </w:rPr>
                          <w:t> </w:t>
                        </w:r>
                        <w:r>
                          <w:rPr>
                            <w:rFonts w:ascii="Times New Roman"/>
                            <w:b/>
                            <w:sz w:val="16"/>
                          </w:rPr>
                          <w:t>229</w:t>
                        </w:r>
                        <w:r>
                          <w:rPr>
                            <w:rFonts w:ascii="Times New Roman"/>
                            <w:b/>
                            <w:spacing w:val="1"/>
                            <w:sz w:val="16"/>
                          </w:rPr>
                          <w:t> </w:t>
                        </w:r>
                        <w:r>
                          <w:rPr>
                            <w:rFonts w:ascii="Times New Roman"/>
                            <w:b/>
                            <w:spacing w:val="-2"/>
                            <w:sz w:val="16"/>
                          </w:rPr>
                          <w:t>949,76</w:t>
                        </w:r>
                      </w:p>
                    </w:txbxContent>
                  </v:textbox>
                  <w10:wrap type="none"/>
                </v:shape>
                <v:shape style="position:absolute;left:8447;top:10755;width:875;height:177" type="#_x0000_t202" id="docshape333" filled="false" stroked="false">
                  <v:textbox inset="0,0,0,0">
                    <w:txbxContent>
                      <w:p>
                        <w:pPr>
                          <w:spacing w:line="177" w:lineRule="exact" w:before="0"/>
                          <w:ind w:left="0" w:right="0" w:firstLine="0"/>
                          <w:jc w:val="left"/>
                          <w:rPr>
                            <w:rFonts w:ascii="Times New Roman"/>
                            <w:b/>
                            <w:sz w:val="16"/>
                          </w:rPr>
                        </w:pPr>
                        <w:r>
                          <w:rPr>
                            <w:rFonts w:ascii="Times New Roman"/>
                            <w:b/>
                            <w:sz w:val="16"/>
                          </w:rPr>
                          <w:t>1</w:t>
                        </w:r>
                        <w:r>
                          <w:rPr>
                            <w:rFonts w:ascii="Times New Roman"/>
                            <w:b/>
                            <w:spacing w:val="1"/>
                            <w:sz w:val="16"/>
                          </w:rPr>
                          <w:t> </w:t>
                        </w:r>
                        <w:r>
                          <w:rPr>
                            <w:rFonts w:ascii="Times New Roman"/>
                            <w:b/>
                            <w:sz w:val="16"/>
                          </w:rPr>
                          <w:t>084</w:t>
                        </w:r>
                        <w:r>
                          <w:rPr>
                            <w:rFonts w:ascii="Times New Roman"/>
                            <w:b/>
                            <w:spacing w:val="1"/>
                            <w:sz w:val="16"/>
                          </w:rPr>
                          <w:t> </w:t>
                        </w:r>
                        <w:r>
                          <w:rPr>
                            <w:rFonts w:ascii="Times New Roman"/>
                            <w:b/>
                            <w:spacing w:val="-2"/>
                            <w:sz w:val="16"/>
                          </w:rPr>
                          <w:t>149,03</w:t>
                        </w:r>
                      </w:p>
                    </w:txbxContent>
                  </v:textbox>
                  <w10:wrap type="none"/>
                </v:shape>
                <v:shape style="position:absolute;left:9847;top:10755;width:549;height:177" type="#_x0000_t202" id="docshape334" filled="false" stroked="false">
                  <v:textbox inset="0,0,0,0">
                    <w:txbxContent>
                      <w:p>
                        <w:pPr>
                          <w:spacing w:line="177" w:lineRule="exact" w:before="0"/>
                          <w:ind w:left="0" w:right="0" w:firstLine="0"/>
                          <w:jc w:val="left"/>
                          <w:rPr>
                            <w:rFonts w:ascii="Times New Roman"/>
                            <w:b/>
                            <w:sz w:val="16"/>
                          </w:rPr>
                        </w:pPr>
                        <w:r>
                          <w:rPr>
                            <w:rFonts w:ascii="Times New Roman"/>
                            <w:b/>
                            <w:spacing w:val="-2"/>
                            <w:sz w:val="16"/>
                          </w:rPr>
                          <w:t>13,45%</w:t>
                        </w:r>
                      </w:p>
                    </w:txbxContent>
                  </v:textbox>
                  <w10:wrap type="none"/>
                </v:shape>
                <w10:wrap type="none"/>
              </v:group>
            </w:pict>
          </mc:Fallback>
        </mc:AlternateContent>
      </w:r>
      <w:r>
        <w:rPr>
          <w:color w:val="172951"/>
          <w:sz w:val="20"/>
        </w:rPr>
        <w:t>Pág.</w:t>
      </w:r>
      <w:r>
        <w:rPr>
          <w:color w:val="172951"/>
          <w:spacing w:val="-7"/>
          <w:sz w:val="20"/>
        </w:rPr>
        <w:t> </w:t>
      </w:r>
      <w:r>
        <w:rPr>
          <w:color w:val="172951"/>
          <w:spacing w:val="-5"/>
          <w:sz w:val="20"/>
        </w:rPr>
        <w:t>72</w:t>
      </w:r>
    </w:p>
    <w:p>
      <w:pPr>
        <w:pStyle w:val="BodyText"/>
        <w:spacing w:before="216"/>
      </w:pPr>
    </w:p>
    <w:p>
      <w:pPr>
        <w:pStyle w:val="BodyText"/>
        <w:ind w:left="622"/>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before="13"/>
        <w:rPr>
          <w:sz w:val="20"/>
        </w:rPr>
      </w:pPr>
    </w:p>
    <w:tbl>
      <w:tblPr>
        <w:tblW w:w="0" w:type="auto"/>
        <w:jc w:val="left"/>
        <w:tblInd w:w="16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21"/>
        <w:gridCol w:w="2910"/>
        <w:gridCol w:w="548"/>
        <w:gridCol w:w="966"/>
        <w:gridCol w:w="966"/>
      </w:tblGrid>
      <w:tr>
        <w:trPr>
          <w:trHeight w:val="196" w:hRule="atLeast"/>
        </w:trPr>
        <w:tc>
          <w:tcPr>
            <w:tcW w:w="1421" w:type="dxa"/>
            <w:shd w:val="clear" w:color="auto" w:fill="365F92"/>
          </w:tcPr>
          <w:p>
            <w:pPr>
              <w:pStyle w:val="TableParagraph"/>
              <w:spacing w:line="168" w:lineRule="exact" w:before="8"/>
              <w:ind w:left="21"/>
              <w:rPr>
                <w:rFonts w:ascii="Arial Narrow"/>
                <w:b/>
                <w:sz w:val="16"/>
              </w:rPr>
            </w:pPr>
            <w:r>
              <w:rPr>
                <w:rFonts w:ascii="Arial Narrow"/>
                <w:b/>
                <w:color w:val="FFFFFF"/>
                <w:spacing w:val="-2"/>
                <w:sz w:val="16"/>
              </w:rPr>
              <w:t>2.1.1.</w:t>
            </w:r>
          </w:p>
        </w:tc>
        <w:tc>
          <w:tcPr>
            <w:tcW w:w="2910" w:type="dxa"/>
            <w:shd w:val="clear" w:color="auto" w:fill="365F92"/>
          </w:tcPr>
          <w:p>
            <w:pPr>
              <w:pStyle w:val="TableParagraph"/>
              <w:spacing w:line="168" w:lineRule="exact" w:before="8"/>
              <w:ind w:left="21"/>
              <w:rPr>
                <w:rFonts w:ascii="Arial Narrow"/>
                <w:b/>
                <w:sz w:val="16"/>
              </w:rPr>
            </w:pPr>
            <w:r>
              <w:rPr>
                <w:rFonts w:ascii="Arial Narrow"/>
                <w:b/>
                <w:color w:val="FFFFFF"/>
                <w:sz w:val="16"/>
              </w:rPr>
              <w:t>Deudas</w:t>
            </w:r>
            <w:r>
              <w:rPr>
                <w:rFonts w:ascii="Arial Narrow"/>
                <w:b/>
                <w:color w:val="FFFFFF"/>
                <w:spacing w:val="-2"/>
                <w:sz w:val="16"/>
              </w:rPr>
              <w:t> </w:t>
            </w:r>
            <w:r>
              <w:rPr>
                <w:rFonts w:ascii="Arial Narrow"/>
                <w:b/>
                <w:color w:val="FFFFFF"/>
                <w:sz w:val="16"/>
              </w:rPr>
              <w:t>a corto</w:t>
            </w:r>
            <w:r>
              <w:rPr>
                <w:rFonts w:ascii="Arial Narrow"/>
                <w:b/>
                <w:color w:val="FFFFFF"/>
                <w:spacing w:val="2"/>
                <w:sz w:val="16"/>
              </w:rPr>
              <w:t> </w:t>
            </w:r>
            <w:r>
              <w:rPr>
                <w:rFonts w:ascii="Arial Narrow"/>
                <w:b/>
                <w:color w:val="FFFFFF"/>
                <w:spacing w:val="-2"/>
                <w:sz w:val="16"/>
              </w:rPr>
              <w:t>plazo</w:t>
            </w:r>
          </w:p>
        </w:tc>
        <w:tc>
          <w:tcPr>
            <w:tcW w:w="548" w:type="dxa"/>
            <w:shd w:val="clear" w:color="auto" w:fill="365F92"/>
          </w:tcPr>
          <w:p>
            <w:pPr>
              <w:pStyle w:val="TableParagraph"/>
              <w:spacing w:line="168" w:lineRule="exact" w:before="8"/>
              <w:ind w:left="10" w:right="2"/>
              <w:jc w:val="center"/>
              <w:rPr>
                <w:rFonts w:ascii="Arial Narrow"/>
                <w:sz w:val="16"/>
              </w:rPr>
            </w:pPr>
            <w:r>
              <w:rPr>
                <w:rFonts w:ascii="Arial Narrow"/>
                <w:color w:val="FFFFFF"/>
                <w:spacing w:val="-5"/>
                <w:sz w:val="16"/>
              </w:rPr>
              <w:t>14</w:t>
            </w:r>
          </w:p>
        </w:tc>
        <w:tc>
          <w:tcPr>
            <w:tcW w:w="966" w:type="dxa"/>
            <w:shd w:val="clear" w:color="auto" w:fill="365F92"/>
          </w:tcPr>
          <w:p>
            <w:pPr>
              <w:pStyle w:val="TableParagraph"/>
              <w:spacing w:line="168" w:lineRule="exact" w:before="8"/>
              <w:ind w:left="14" w:right="7"/>
              <w:jc w:val="center"/>
              <w:rPr>
                <w:rFonts w:ascii="Arial Narrow"/>
                <w:sz w:val="16"/>
              </w:rPr>
            </w:pPr>
            <w:r>
              <w:rPr>
                <w:rFonts w:ascii="Arial Narrow"/>
                <w:color w:val="FFFFFF"/>
                <w:sz w:val="16"/>
              </w:rPr>
              <w:t>3</w:t>
            </w:r>
            <w:r>
              <w:rPr>
                <w:rFonts w:ascii="Arial Narrow"/>
                <w:color w:val="FFFFFF"/>
                <w:spacing w:val="-1"/>
                <w:sz w:val="16"/>
              </w:rPr>
              <w:t> </w:t>
            </w:r>
            <w:r>
              <w:rPr>
                <w:rFonts w:ascii="Arial Narrow"/>
                <w:color w:val="FFFFFF"/>
                <w:sz w:val="16"/>
              </w:rPr>
              <w:t>835</w:t>
            </w:r>
            <w:r>
              <w:rPr>
                <w:rFonts w:ascii="Arial Narrow"/>
                <w:color w:val="FFFFFF"/>
                <w:spacing w:val="-1"/>
                <w:sz w:val="16"/>
              </w:rPr>
              <w:t> </w:t>
            </w:r>
            <w:r>
              <w:rPr>
                <w:rFonts w:ascii="Arial Narrow"/>
                <w:color w:val="FFFFFF"/>
                <w:spacing w:val="-2"/>
                <w:sz w:val="16"/>
              </w:rPr>
              <w:t>916,17</w:t>
            </w:r>
          </w:p>
        </w:tc>
        <w:tc>
          <w:tcPr>
            <w:tcW w:w="966" w:type="dxa"/>
            <w:shd w:val="clear" w:color="auto" w:fill="365F92"/>
          </w:tcPr>
          <w:p>
            <w:pPr>
              <w:pStyle w:val="TableParagraph"/>
              <w:spacing w:line="168" w:lineRule="exact" w:before="8"/>
              <w:ind w:left="14" w:right="10"/>
              <w:jc w:val="center"/>
              <w:rPr>
                <w:rFonts w:ascii="Arial Narrow"/>
                <w:sz w:val="16"/>
              </w:rPr>
            </w:pPr>
            <w:r>
              <w:rPr>
                <w:rFonts w:ascii="Arial Narrow"/>
                <w:color w:val="FFFFFF"/>
                <w:sz w:val="16"/>
              </w:rPr>
              <w:t>3</w:t>
            </w:r>
            <w:r>
              <w:rPr>
                <w:rFonts w:ascii="Arial Narrow"/>
                <w:color w:val="FFFFFF"/>
                <w:spacing w:val="-1"/>
                <w:sz w:val="16"/>
              </w:rPr>
              <w:t> </w:t>
            </w:r>
            <w:r>
              <w:rPr>
                <w:rFonts w:ascii="Arial Narrow"/>
                <w:color w:val="FFFFFF"/>
                <w:sz w:val="16"/>
              </w:rPr>
              <w:t>661</w:t>
            </w:r>
            <w:r>
              <w:rPr>
                <w:rFonts w:ascii="Arial Narrow"/>
                <w:color w:val="FFFFFF"/>
                <w:spacing w:val="-1"/>
                <w:sz w:val="16"/>
              </w:rPr>
              <w:t> </w:t>
            </w:r>
            <w:r>
              <w:rPr>
                <w:rFonts w:ascii="Arial Narrow"/>
                <w:color w:val="FFFFFF"/>
                <w:spacing w:val="-2"/>
                <w:sz w:val="16"/>
              </w:rPr>
              <w:t>089,18</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2.1.1.01.</w:t>
            </w:r>
          </w:p>
        </w:tc>
        <w:tc>
          <w:tcPr>
            <w:tcW w:w="2910" w:type="dxa"/>
          </w:tcPr>
          <w:p>
            <w:pPr>
              <w:pStyle w:val="TableParagraph"/>
              <w:spacing w:line="168" w:lineRule="exact" w:before="8"/>
              <w:ind w:left="21"/>
              <w:rPr>
                <w:rFonts w:ascii="Arial Narrow"/>
                <w:sz w:val="16"/>
              </w:rPr>
            </w:pPr>
            <w:r>
              <w:rPr>
                <w:rFonts w:ascii="Arial Narrow"/>
                <w:sz w:val="16"/>
              </w:rPr>
              <w:t>Deudas</w:t>
            </w:r>
            <w:r>
              <w:rPr>
                <w:rFonts w:ascii="Arial Narrow"/>
                <w:spacing w:val="-1"/>
                <w:sz w:val="16"/>
              </w:rPr>
              <w:t> </w:t>
            </w:r>
            <w:r>
              <w:rPr>
                <w:rFonts w:ascii="Arial Narrow"/>
                <w:sz w:val="16"/>
              </w:rPr>
              <w:t>comerciales</w:t>
            </w:r>
            <w:r>
              <w:rPr>
                <w:rFonts w:ascii="Arial Narrow"/>
                <w:spacing w:val="-1"/>
                <w:sz w:val="16"/>
              </w:rPr>
              <w:t> </w:t>
            </w:r>
            <w:r>
              <w:rPr>
                <w:rFonts w:ascii="Arial Narrow"/>
                <w:sz w:val="16"/>
              </w:rPr>
              <w:t>a</w:t>
            </w:r>
            <w:r>
              <w:rPr>
                <w:rFonts w:ascii="Arial Narrow"/>
                <w:spacing w:val="-3"/>
                <w:sz w:val="16"/>
              </w:rPr>
              <w:t> </w:t>
            </w:r>
            <w:r>
              <w:rPr>
                <w:rFonts w:ascii="Arial Narrow"/>
                <w:sz w:val="16"/>
              </w:rPr>
              <w:t>corto</w:t>
            </w:r>
            <w:r>
              <w:rPr>
                <w:rFonts w:ascii="Arial Narrow"/>
                <w:spacing w:val="-3"/>
                <w:sz w:val="16"/>
              </w:rPr>
              <w:t> </w:t>
            </w:r>
            <w:r>
              <w:rPr>
                <w:rFonts w:ascii="Arial Narrow"/>
                <w:spacing w:val="-4"/>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z w:val="16"/>
              </w:rPr>
              <w:t>1</w:t>
            </w:r>
            <w:r>
              <w:rPr>
                <w:rFonts w:ascii="Arial Narrow"/>
                <w:spacing w:val="-1"/>
                <w:sz w:val="16"/>
              </w:rPr>
              <w:t> </w:t>
            </w:r>
            <w:r>
              <w:rPr>
                <w:rFonts w:ascii="Arial Narrow"/>
                <w:sz w:val="16"/>
              </w:rPr>
              <w:t>229</w:t>
            </w:r>
            <w:r>
              <w:rPr>
                <w:rFonts w:ascii="Arial Narrow"/>
                <w:spacing w:val="-1"/>
                <w:sz w:val="16"/>
              </w:rPr>
              <w:t> </w:t>
            </w:r>
            <w:r>
              <w:rPr>
                <w:rFonts w:ascii="Arial Narrow"/>
                <w:spacing w:val="-2"/>
                <w:sz w:val="16"/>
              </w:rPr>
              <w:t>949,76</w:t>
            </w:r>
          </w:p>
        </w:tc>
        <w:tc>
          <w:tcPr>
            <w:tcW w:w="966" w:type="dxa"/>
          </w:tcPr>
          <w:p>
            <w:pPr>
              <w:pStyle w:val="TableParagraph"/>
              <w:spacing w:line="168" w:lineRule="exact" w:before="8"/>
              <w:ind w:left="14" w:right="10"/>
              <w:jc w:val="center"/>
              <w:rPr>
                <w:rFonts w:ascii="Arial Narrow"/>
                <w:sz w:val="16"/>
              </w:rPr>
            </w:pPr>
            <w:r>
              <w:rPr>
                <w:rFonts w:ascii="Arial Narrow"/>
                <w:sz w:val="16"/>
              </w:rPr>
              <w:t>1</w:t>
            </w:r>
            <w:r>
              <w:rPr>
                <w:rFonts w:ascii="Arial Narrow"/>
                <w:spacing w:val="-1"/>
                <w:sz w:val="16"/>
              </w:rPr>
              <w:t> </w:t>
            </w:r>
            <w:r>
              <w:rPr>
                <w:rFonts w:ascii="Arial Narrow"/>
                <w:sz w:val="16"/>
              </w:rPr>
              <w:t>084</w:t>
            </w:r>
            <w:r>
              <w:rPr>
                <w:rFonts w:ascii="Arial Narrow"/>
                <w:spacing w:val="-1"/>
                <w:sz w:val="16"/>
              </w:rPr>
              <w:t> </w:t>
            </w:r>
            <w:r>
              <w:rPr>
                <w:rFonts w:ascii="Arial Narrow"/>
                <w:spacing w:val="-2"/>
                <w:sz w:val="16"/>
              </w:rPr>
              <w:t>149,03</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2.1.1.02.</w:t>
            </w:r>
          </w:p>
        </w:tc>
        <w:tc>
          <w:tcPr>
            <w:tcW w:w="2910" w:type="dxa"/>
          </w:tcPr>
          <w:p>
            <w:pPr>
              <w:pStyle w:val="TableParagraph"/>
              <w:spacing w:line="168" w:lineRule="exact" w:before="8"/>
              <w:ind w:left="21"/>
              <w:rPr>
                <w:rFonts w:ascii="Arial Narrow"/>
                <w:sz w:val="16"/>
              </w:rPr>
            </w:pPr>
            <w:r>
              <w:rPr>
                <w:rFonts w:ascii="Arial Narrow"/>
                <w:sz w:val="16"/>
              </w:rPr>
              <w:t>Deudas</w:t>
            </w:r>
            <w:r>
              <w:rPr>
                <w:rFonts w:ascii="Arial Narrow"/>
                <w:spacing w:val="-1"/>
                <w:sz w:val="16"/>
              </w:rPr>
              <w:t> </w:t>
            </w:r>
            <w:r>
              <w:rPr>
                <w:rFonts w:ascii="Arial Narrow"/>
                <w:sz w:val="16"/>
              </w:rPr>
              <w:t>sociales y fiscales a</w:t>
            </w:r>
            <w:r>
              <w:rPr>
                <w:rFonts w:ascii="Arial Narrow"/>
                <w:spacing w:val="-2"/>
                <w:sz w:val="16"/>
              </w:rPr>
              <w:t> </w:t>
            </w:r>
            <w:r>
              <w:rPr>
                <w:rFonts w:ascii="Arial Narrow"/>
                <w:sz w:val="16"/>
              </w:rPr>
              <w:t>corto</w:t>
            </w:r>
            <w:r>
              <w:rPr>
                <w:rFonts w:ascii="Arial Narrow"/>
                <w:spacing w:val="-1"/>
                <w:sz w:val="16"/>
              </w:rPr>
              <w:t> </w:t>
            </w:r>
            <w:r>
              <w:rPr>
                <w:rFonts w:ascii="Arial Narrow"/>
                <w:spacing w:val="-4"/>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z w:val="16"/>
              </w:rPr>
              <w:t>2</w:t>
            </w:r>
            <w:r>
              <w:rPr>
                <w:rFonts w:ascii="Arial Narrow"/>
                <w:spacing w:val="-1"/>
                <w:sz w:val="16"/>
              </w:rPr>
              <w:t> </w:t>
            </w:r>
            <w:r>
              <w:rPr>
                <w:rFonts w:ascii="Arial Narrow"/>
                <w:sz w:val="16"/>
              </w:rPr>
              <w:t>568</w:t>
            </w:r>
            <w:r>
              <w:rPr>
                <w:rFonts w:ascii="Arial Narrow"/>
                <w:spacing w:val="-1"/>
                <w:sz w:val="16"/>
              </w:rPr>
              <w:t> </w:t>
            </w:r>
            <w:r>
              <w:rPr>
                <w:rFonts w:ascii="Arial Narrow"/>
                <w:spacing w:val="-2"/>
                <w:sz w:val="16"/>
              </w:rPr>
              <w:t>102,12</w:t>
            </w:r>
          </w:p>
        </w:tc>
        <w:tc>
          <w:tcPr>
            <w:tcW w:w="966" w:type="dxa"/>
          </w:tcPr>
          <w:p>
            <w:pPr>
              <w:pStyle w:val="TableParagraph"/>
              <w:spacing w:line="168" w:lineRule="exact" w:before="8"/>
              <w:ind w:left="14" w:right="10"/>
              <w:jc w:val="center"/>
              <w:rPr>
                <w:rFonts w:ascii="Arial Narrow"/>
                <w:sz w:val="16"/>
              </w:rPr>
            </w:pPr>
            <w:r>
              <w:rPr>
                <w:rFonts w:ascii="Arial Narrow"/>
                <w:sz w:val="16"/>
              </w:rPr>
              <w:t>2</w:t>
            </w:r>
            <w:r>
              <w:rPr>
                <w:rFonts w:ascii="Arial Narrow"/>
                <w:spacing w:val="-1"/>
                <w:sz w:val="16"/>
              </w:rPr>
              <w:t> </w:t>
            </w:r>
            <w:r>
              <w:rPr>
                <w:rFonts w:ascii="Arial Narrow"/>
                <w:sz w:val="16"/>
              </w:rPr>
              <w:t>493</w:t>
            </w:r>
            <w:r>
              <w:rPr>
                <w:rFonts w:ascii="Arial Narrow"/>
                <w:spacing w:val="-1"/>
                <w:sz w:val="16"/>
              </w:rPr>
              <w:t> </w:t>
            </w:r>
            <w:r>
              <w:rPr>
                <w:rFonts w:ascii="Arial Narrow"/>
                <w:spacing w:val="-2"/>
                <w:sz w:val="16"/>
              </w:rPr>
              <w:t>086,29</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2.1.1.03.</w:t>
            </w:r>
          </w:p>
        </w:tc>
        <w:tc>
          <w:tcPr>
            <w:tcW w:w="2910" w:type="dxa"/>
          </w:tcPr>
          <w:p>
            <w:pPr>
              <w:pStyle w:val="TableParagraph"/>
              <w:spacing w:line="168" w:lineRule="exact" w:before="8"/>
              <w:ind w:left="21"/>
              <w:rPr>
                <w:rFonts w:ascii="Arial Narrow"/>
                <w:sz w:val="16"/>
              </w:rPr>
            </w:pPr>
            <w:r>
              <w:rPr>
                <w:rFonts w:ascii="Arial Narrow"/>
                <w:sz w:val="16"/>
              </w:rPr>
              <w:t>Transferencias</w:t>
            </w:r>
            <w:r>
              <w:rPr>
                <w:rFonts w:ascii="Arial Narrow"/>
                <w:spacing w:val="-1"/>
                <w:sz w:val="16"/>
              </w:rPr>
              <w:t> </w:t>
            </w:r>
            <w:r>
              <w:rPr>
                <w:rFonts w:ascii="Arial Narrow"/>
                <w:sz w:val="16"/>
              </w:rPr>
              <w:t>a</w:t>
            </w:r>
            <w:r>
              <w:rPr>
                <w:rFonts w:ascii="Arial Narrow"/>
                <w:spacing w:val="-2"/>
                <w:sz w:val="16"/>
              </w:rPr>
              <w:t> </w:t>
            </w:r>
            <w:r>
              <w:rPr>
                <w:rFonts w:ascii="Arial Narrow"/>
                <w:sz w:val="16"/>
              </w:rPr>
              <w:t>pagar</w:t>
            </w:r>
            <w:r>
              <w:rPr>
                <w:rFonts w:ascii="Arial Narrow"/>
                <w:spacing w:val="-2"/>
                <w:sz w:val="16"/>
              </w:rPr>
              <w:t> </w:t>
            </w:r>
            <w:r>
              <w:rPr>
                <w:rFonts w:ascii="Arial Narrow"/>
                <w:sz w:val="16"/>
              </w:rPr>
              <w:t>a</w:t>
            </w:r>
            <w:r>
              <w:rPr>
                <w:rFonts w:ascii="Arial Narrow"/>
                <w:spacing w:val="-3"/>
                <w:sz w:val="16"/>
              </w:rPr>
              <w:t> </w:t>
            </w:r>
            <w:r>
              <w:rPr>
                <w:rFonts w:ascii="Arial Narrow"/>
                <w:sz w:val="16"/>
              </w:rPr>
              <w:t>corto</w:t>
            </w:r>
            <w:r>
              <w:rPr>
                <w:rFonts w:ascii="Arial Narrow"/>
                <w:spacing w:val="-2"/>
                <w:sz w:val="16"/>
              </w:rPr>
              <w:t> </w:t>
            </w:r>
            <w:r>
              <w:rPr>
                <w:rFonts w:ascii="Arial Narrow"/>
                <w:spacing w:val="-4"/>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z w:val="16"/>
              </w:rPr>
              <w:t>28</w:t>
            </w:r>
            <w:r>
              <w:rPr>
                <w:rFonts w:ascii="Arial Narrow"/>
                <w:spacing w:val="-2"/>
                <w:sz w:val="16"/>
              </w:rPr>
              <w:t> 010,38</w:t>
            </w:r>
          </w:p>
        </w:tc>
        <w:tc>
          <w:tcPr>
            <w:tcW w:w="966" w:type="dxa"/>
          </w:tcPr>
          <w:p>
            <w:pPr>
              <w:pStyle w:val="TableParagraph"/>
              <w:spacing w:line="168" w:lineRule="exact" w:before="8"/>
              <w:ind w:left="14" w:right="9"/>
              <w:jc w:val="center"/>
              <w:rPr>
                <w:rFonts w:ascii="Arial Narrow"/>
                <w:sz w:val="16"/>
              </w:rPr>
            </w:pPr>
            <w:r>
              <w:rPr>
                <w:rFonts w:ascii="Arial Narrow"/>
                <w:sz w:val="16"/>
              </w:rPr>
              <w:t>81</w:t>
            </w:r>
            <w:r>
              <w:rPr>
                <w:rFonts w:ascii="Arial Narrow"/>
                <w:spacing w:val="-2"/>
                <w:sz w:val="16"/>
              </w:rPr>
              <w:t> 493,72</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2.1.1.04.</w:t>
            </w:r>
          </w:p>
        </w:tc>
        <w:tc>
          <w:tcPr>
            <w:tcW w:w="2910" w:type="dxa"/>
          </w:tcPr>
          <w:p>
            <w:pPr>
              <w:pStyle w:val="TableParagraph"/>
              <w:spacing w:line="168" w:lineRule="exact" w:before="8"/>
              <w:ind w:left="21"/>
              <w:rPr>
                <w:rFonts w:ascii="Arial Narrow"/>
                <w:sz w:val="16"/>
              </w:rPr>
            </w:pPr>
            <w:r>
              <w:rPr>
                <w:rFonts w:ascii="Arial Narrow"/>
                <w:sz w:val="16"/>
              </w:rPr>
              <w:t>Documentos a</w:t>
            </w:r>
            <w:r>
              <w:rPr>
                <w:rFonts w:ascii="Arial Narrow"/>
                <w:spacing w:val="-2"/>
                <w:sz w:val="16"/>
              </w:rPr>
              <w:t> </w:t>
            </w:r>
            <w:r>
              <w:rPr>
                <w:rFonts w:ascii="Arial Narrow"/>
                <w:sz w:val="16"/>
              </w:rPr>
              <w:t>pagar</w:t>
            </w:r>
            <w:r>
              <w:rPr>
                <w:rFonts w:ascii="Arial Narrow"/>
                <w:spacing w:val="-2"/>
                <w:sz w:val="16"/>
              </w:rPr>
              <w:t> </w:t>
            </w:r>
            <w:r>
              <w:rPr>
                <w:rFonts w:ascii="Arial Narrow"/>
                <w:sz w:val="16"/>
              </w:rPr>
              <w:t>a</w:t>
            </w:r>
            <w:r>
              <w:rPr>
                <w:rFonts w:ascii="Arial Narrow"/>
                <w:spacing w:val="-2"/>
                <w:sz w:val="16"/>
              </w:rPr>
              <w:t> </w:t>
            </w:r>
            <w:r>
              <w:rPr>
                <w:rFonts w:ascii="Arial Narrow"/>
                <w:sz w:val="16"/>
              </w:rPr>
              <w:t>corto</w:t>
            </w:r>
            <w:r>
              <w:rPr>
                <w:rFonts w:ascii="Arial Narrow"/>
                <w:spacing w:val="-2"/>
                <w:sz w:val="16"/>
              </w:rPr>
              <w:t> </w:t>
            </w:r>
            <w:r>
              <w:rPr>
                <w:rFonts w:ascii="Arial Narrow"/>
                <w:spacing w:val="-4"/>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pacing w:val="-4"/>
                <w:sz w:val="16"/>
              </w:rPr>
              <w:t>0,00</w:t>
            </w:r>
          </w:p>
        </w:tc>
        <w:tc>
          <w:tcPr>
            <w:tcW w:w="966" w:type="dxa"/>
          </w:tcPr>
          <w:p>
            <w:pPr>
              <w:pStyle w:val="TableParagraph"/>
              <w:spacing w:line="168" w:lineRule="exact" w:before="8"/>
              <w:ind w:left="14" w:right="9"/>
              <w:jc w:val="center"/>
              <w:rPr>
                <w:rFonts w:ascii="Arial Narrow"/>
                <w:sz w:val="16"/>
              </w:rPr>
            </w:pPr>
            <w:r>
              <w:rPr>
                <w:rFonts w:ascii="Arial Narrow"/>
                <w:spacing w:val="-4"/>
                <w:sz w:val="16"/>
              </w:rPr>
              <w:t>0,00</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2.1.1.05.</w:t>
            </w:r>
          </w:p>
        </w:tc>
        <w:tc>
          <w:tcPr>
            <w:tcW w:w="2910" w:type="dxa"/>
          </w:tcPr>
          <w:p>
            <w:pPr>
              <w:pStyle w:val="TableParagraph"/>
              <w:spacing w:line="168" w:lineRule="exact" w:before="8"/>
              <w:ind w:left="21"/>
              <w:rPr>
                <w:rFonts w:ascii="Arial Narrow"/>
                <w:sz w:val="16"/>
              </w:rPr>
            </w:pPr>
            <w:r>
              <w:rPr>
                <w:rFonts w:ascii="Arial Narrow"/>
                <w:sz w:val="16"/>
              </w:rPr>
              <w:t>Inversiones</w:t>
            </w:r>
            <w:r>
              <w:rPr>
                <w:rFonts w:ascii="Arial Narrow"/>
                <w:spacing w:val="-2"/>
                <w:sz w:val="16"/>
              </w:rPr>
              <w:t> </w:t>
            </w:r>
            <w:r>
              <w:rPr>
                <w:rFonts w:ascii="Arial Narrow"/>
                <w:sz w:val="16"/>
              </w:rPr>
              <w:t>patrimoniales</w:t>
            </w:r>
            <w:r>
              <w:rPr>
                <w:rFonts w:ascii="Arial Narrow"/>
                <w:spacing w:val="-1"/>
                <w:sz w:val="16"/>
              </w:rPr>
              <w:t> </w:t>
            </w:r>
            <w:r>
              <w:rPr>
                <w:rFonts w:ascii="Arial Narrow"/>
                <w:sz w:val="16"/>
              </w:rPr>
              <w:t>a</w:t>
            </w:r>
            <w:r>
              <w:rPr>
                <w:rFonts w:ascii="Arial Narrow"/>
                <w:spacing w:val="-3"/>
                <w:sz w:val="16"/>
              </w:rPr>
              <w:t> </w:t>
            </w:r>
            <w:r>
              <w:rPr>
                <w:rFonts w:ascii="Arial Narrow"/>
                <w:sz w:val="16"/>
              </w:rPr>
              <w:t>pagar</w:t>
            </w:r>
            <w:r>
              <w:rPr>
                <w:rFonts w:ascii="Arial Narrow"/>
                <w:spacing w:val="-3"/>
                <w:sz w:val="16"/>
              </w:rPr>
              <w:t> </w:t>
            </w:r>
            <w:r>
              <w:rPr>
                <w:rFonts w:ascii="Arial Narrow"/>
                <w:sz w:val="16"/>
              </w:rPr>
              <w:t>a</w:t>
            </w:r>
            <w:r>
              <w:rPr>
                <w:rFonts w:ascii="Arial Narrow"/>
                <w:spacing w:val="-4"/>
                <w:sz w:val="16"/>
              </w:rPr>
              <w:t> </w:t>
            </w:r>
            <w:r>
              <w:rPr>
                <w:rFonts w:ascii="Arial Narrow"/>
                <w:sz w:val="16"/>
              </w:rPr>
              <w:t>corto</w:t>
            </w:r>
            <w:r>
              <w:rPr>
                <w:rFonts w:ascii="Arial Narrow"/>
                <w:spacing w:val="-3"/>
                <w:sz w:val="16"/>
              </w:rPr>
              <w:t> </w:t>
            </w:r>
            <w:r>
              <w:rPr>
                <w:rFonts w:ascii="Arial Narrow"/>
                <w:spacing w:val="-2"/>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pacing w:val="-4"/>
                <w:sz w:val="16"/>
              </w:rPr>
              <w:t>0,00</w:t>
            </w:r>
          </w:p>
        </w:tc>
        <w:tc>
          <w:tcPr>
            <w:tcW w:w="966" w:type="dxa"/>
          </w:tcPr>
          <w:p>
            <w:pPr>
              <w:pStyle w:val="TableParagraph"/>
              <w:spacing w:line="168" w:lineRule="exact" w:before="8"/>
              <w:ind w:left="14" w:right="9"/>
              <w:jc w:val="center"/>
              <w:rPr>
                <w:rFonts w:ascii="Arial Narrow"/>
                <w:sz w:val="16"/>
              </w:rPr>
            </w:pPr>
            <w:r>
              <w:rPr>
                <w:rFonts w:ascii="Arial Narrow"/>
                <w:spacing w:val="-4"/>
                <w:sz w:val="16"/>
              </w:rPr>
              <w:t>0,00</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2.1.1.06.</w:t>
            </w:r>
          </w:p>
        </w:tc>
        <w:tc>
          <w:tcPr>
            <w:tcW w:w="2910" w:type="dxa"/>
          </w:tcPr>
          <w:p>
            <w:pPr>
              <w:pStyle w:val="TableParagraph"/>
              <w:spacing w:line="168" w:lineRule="exact" w:before="8"/>
              <w:ind w:left="21"/>
              <w:rPr>
                <w:rFonts w:ascii="Arial Narrow"/>
                <w:sz w:val="16"/>
              </w:rPr>
            </w:pPr>
            <w:r>
              <w:rPr>
                <w:rFonts w:ascii="Arial Narrow"/>
                <w:sz w:val="16"/>
              </w:rPr>
              <w:t>Deudas</w:t>
            </w:r>
            <w:r>
              <w:rPr>
                <w:rFonts w:ascii="Arial Narrow"/>
                <w:spacing w:val="-2"/>
                <w:sz w:val="16"/>
              </w:rPr>
              <w:t> </w:t>
            </w:r>
            <w:r>
              <w:rPr>
                <w:rFonts w:ascii="Arial Narrow"/>
                <w:sz w:val="16"/>
              </w:rPr>
              <w:t>por</w:t>
            </w:r>
            <w:r>
              <w:rPr>
                <w:rFonts w:ascii="Arial Narrow"/>
                <w:spacing w:val="-3"/>
                <w:sz w:val="16"/>
              </w:rPr>
              <w:t> </w:t>
            </w:r>
            <w:r>
              <w:rPr>
                <w:rFonts w:ascii="Arial Narrow"/>
                <w:sz w:val="16"/>
              </w:rPr>
              <w:t>avales</w:t>
            </w:r>
            <w:r>
              <w:rPr>
                <w:rFonts w:ascii="Arial Narrow"/>
                <w:spacing w:val="-2"/>
                <w:sz w:val="16"/>
              </w:rPr>
              <w:t> </w:t>
            </w:r>
            <w:r>
              <w:rPr>
                <w:rFonts w:ascii="Arial Narrow"/>
                <w:sz w:val="16"/>
              </w:rPr>
              <w:t>ejecutados</w:t>
            </w:r>
            <w:r>
              <w:rPr>
                <w:rFonts w:ascii="Arial Narrow"/>
                <w:spacing w:val="-1"/>
                <w:sz w:val="16"/>
              </w:rPr>
              <w:t> </w:t>
            </w:r>
            <w:r>
              <w:rPr>
                <w:rFonts w:ascii="Arial Narrow"/>
                <w:sz w:val="16"/>
              </w:rPr>
              <w:t>a</w:t>
            </w:r>
            <w:r>
              <w:rPr>
                <w:rFonts w:ascii="Arial Narrow"/>
                <w:spacing w:val="-3"/>
                <w:sz w:val="16"/>
              </w:rPr>
              <w:t> </w:t>
            </w:r>
            <w:r>
              <w:rPr>
                <w:rFonts w:ascii="Arial Narrow"/>
                <w:sz w:val="16"/>
              </w:rPr>
              <w:t>corto</w:t>
            </w:r>
            <w:r>
              <w:rPr>
                <w:rFonts w:ascii="Arial Narrow"/>
                <w:spacing w:val="-4"/>
                <w:sz w:val="16"/>
              </w:rPr>
              <w:t> </w:t>
            </w:r>
            <w:r>
              <w:rPr>
                <w:rFonts w:ascii="Arial Narrow"/>
                <w:spacing w:val="-2"/>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pacing w:val="-4"/>
                <w:sz w:val="16"/>
              </w:rPr>
              <w:t>0,00</w:t>
            </w:r>
          </w:p>
        </w:tc>
        <w:tc>
          <w:tcPr>
            <w:tcW w:w="966" w:type="dxa"/>
          </w:tcPr>
          <w:p>
            <w:pPr>
              <w:pStyle w:val="TableParagraph"/>
              <w:spacing w:line="168" w:lineRule="exact" w:before="8"/>
              <w:ind w:left="14" w:right="9"/>
              <w:jc w:val="center"/>
              <w:rPr>
                <w:rFonts w:ascii="Arial Narrow"/>
                <w:sz w:val="16"/>
              </w:rPr>
            </w:pPr>
            <w:r>
              <w:rPr>
                <w:rFonts w:ascii="Arial Narrow"/>
                <w:spacing w:val="-4"/>
                <w:sz w:val="16"/>
              </w:rPr>
              <w:t>0,00</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2.1.1.07.</w:t>
            </w:r>
          </w:p>
        </w:tc>
        <w:tc>
          <w:tcPr>
            <w:tcW w:w="2910" w:type="dxa"/>
          </w:tcPr>
          <w:p>
            <w:pPr>
              <w:pStyle w:val="TableParagraph"/>
              <w:spacing w:line="168" w:lineRule="exact" w:before="8"/>
              <w:ind w:left="21"/>
              <w:rPr>
                <w:rFonts w:ascii="Arial Narrow"/>
                <w:sz w:val="16"/>
              </w:rPr>
            </w:pPr>
            <w:r>
              <w:rPr>
                <w:rFonts w:ascii="Arial Narrow"/>
                <w:sz w:val="16"/>
              </w:rPr>
              <w:t>Deudas</w:t>
            </w:r>
            <w:r>
              <w:rPr>
                <w:rFonts w:ascii="Arial Narrow"/>
                <w:spacing w:val="-1"/>
                <w:sz w:val="16"/>
              </w:rPr>
              <w:t> </w:t>
            </w:r>
            <w:r>
              <w:rPr>
                <w:rFonts w:ascii="Arial Narrow"/>
                <w:sz w:val="16"/>
              </w:rPr>
              <w:t>por</w:t>
            </w:r>
            <w:r>
              <w:rPr>
                <w:rFonts w:ascii="Arial Narrow"/>
                <w:spacing w:val="-2"/>
                <w:sz w:val="16"/>
              </w:rPr>
              <w:t> </w:t>
            </w:r>
            <w:r>
              <w:rPr>
                <w:rFonts w:ascii="Arial Narrow"/>
                <w:sz w:val="16"/>
              </w:rPr>
              <w:t>anticipos a</w:t>
            </w:r>
            <w:r>
              <w:rPr>
                <w:rFonts w:ascii="Arial Narrow"/>
                <w:spacing w:val="-3"/>
                <w:sz w:val="16"/>
              </w:rPr>
              <w:t> </w:t>
            </w:r>
            <w:r>
              <w:rPr>
                <w:rFonts w:ascii="Arial Narrow"/>
                <w:sz w:val="16"/>
              </w:rPr>
              <w:t>corto</w:t>
            </w:r>
            <w:r>
              <w:rPr>
                <w:rFonts w:ascii="Arial Narrow"/>
                <w:spacing w:val="-2"/>
                <w:sz w:val="16"/>
              </w:rPr>
              <w:t> </w:t>
            </w:r>
            <w:r>
              <w:rPr>
                <w:rFonts w:ascii="Arial Narrow"/>
                <w:spacing w:val="-4"/>
                <w:sz w:val="16"/>
              </w:rPr>
              <w:t>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pacing w:val="-4"/>
                <w:sz w:val="16"/>
              </w:rPr>
              <w:t>0,00</w:t>
            </w:r>
          </w:p>
        </w:tc>
        <w:tc>
          <w:tcPr>
            <w:tcW w:w="966" w:type="dxa"/>
          </w:tcPr>
          <w:p>
            <w:pPr>
              <w:pStyle w:val="TableParagraph"/>
              <w:spacing w:line="168" w:lineRule="exact" w:before="8"/>
              <w:ind w:left="14" w:right="9"/>
              <w:jc w:val="center"/>
              <w:rPr>
                <w:rFonts w:ascii="Arial Narrow"/>
                <w:sz w:val="16"/>
              </w:rPr>
            </w:pPr>
            <w:r>
              <w:rPr>
                <w:rFonts w:ascii="Arial Narrow"/>
                <w:spacing w:val="-4"/>
                <w:sz w:val="16"/>
              </w:rPr>
              <w:t>0,00</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2.1.1.08.</w:t>
            </w:r>
          </w:p>
        </w:tc>
        <w:tc>
          <w:tcPr>
            <w:tcW w:w="2910" w:type="dxa"/>
          </w:tcPr>
          <w:p>
            <w:pPr>
              <w:pStyle w:val="TableParagraph"/>
              <w:spacing w:line="168" w:lineRule="exact" w:before="8"/>
              <w:ind w:left="21"/>
              <w:rPr>
                <w:rFonts w:ascii="Arial Narrow"/>
                <w:sz w:val="16"/>
              </w:rPr>
            </w:pPr>
            <w:r>
              <w:rPr>
                <w:rFonts w:ascii="Arial Narrow"/>
                <w:sz w:val="16"/>
              </w:rPr>
              <w:t>Deudas</w:t>
            </w:r>
            <w:r>
              <w:rPr>
                <w:rFonts w:ascii="Arial Narrow"/>
                <w:spacing w:val="-3"/>
                <w:sz w:val="16"/>
              </w:rPr>
              <w:t> </w:t>
            </w:r>
            <w:r>
              <w:rPr>
                <w:rFonts w:ascii="Arial Narrow"/>
                <w:sz w:val="16"/>
              </w:rPr>
              <w:t>por</w:t>
            </w:r>
            <w:r>
              <w:rPr>
                <w:rFonts w:ascii="Arial Narrow"/>
                <w:spacing w:val="-5"/>
                <w:sz w:val="16"/>
              </w:rPr>
              <w:t> </w:t>
            </w:r>
            <w:r>
              <w:rPr>
                <w:rFonts w:ascii="Arial Narrow"/>
                <w:sz w:val="16"/>
              </w:rPr>
              <w:t>Planillas</w:t>
            </w:r>
            <w:r>
              <w:rPr>
                <w:rFonts w:ascii="Arial Narrow"/>
                <w:spacing w:val="-3"/>
                <w:sz w:val="16"/>
              </w:rPr>
              <w:t> </w:t>
            </w:r>
            <w:r>
              <w:rPr>
                <w:rFonts w:ascii="Arial Narrow"/>
                <w:spacing w:val="-2"/>
                <w:sz w:val="16"/>
              </w:rPr>
              <w:t>salariales</w:t>
            </w:r>
          </w:p>
        </w:tc>
        <w:tc>
          <w:tcPr>
            <w:tcW w:w="548" w:type="dxa"/>
          </w:tcPr>
          <w:p>
            <w:pPr>
              <w:pStyle w:val="TableParagraph"/>
              <w:rPr>
                <w:rFonts w:ascii="Times New Roman"/>
                <w:sz w:val="12"/>
              </w:rPr>
            </w:pPr>
          </w:p>
        </w:tc>
        <w:tc>
          <w:tcPr>
            <w:tcW w:w="966" w:type="dxa"/>
          </w:tcPr>
          <w:p>
            <w:pPr>
              <w:pStyle w:val="TableParagraph"/>
              <w:spacing w:line="168" w:lineRule="exact" w:before="8"/>
              <w:ind w:left="14" w:right="7"/>
              <w:jc w:val="center"/>
              <w:rPr>
                <w:rFonts w:ascii="Arial Narrow"/>
                <w:sz w:val="16"/>
              </w:rPr>
            </w:pPr>
            <w:r>
              <w:rPr>
                <w:rFonts w:ascii="Arial Narrow"/>
                <w:spacing w:val="-4"/>
                <w:sz w:val="16"/>
              </w:rPr>
              <w:t>0,00</w:t>
            </w:r>
          </w:p>
        </w:tc>
        <w:tc>
          <w:tcPr>
            <w:tcW w:w="966" w:type="dxa"/>
          </w:tcPr>
          <w:p>
            <w:pPr>
              <w:pStyle w:val="TableParagraph"/>
              <w:spacing w:line="168" w:lineRule="exact" w:before="8"/>
              <w:ind w:left="14" w:right="9"/>
              <w:jc w:val="center"/>
              <w:rPr>
                <w:rFonts w:ascii="Arial Narrow"/>
                <w:sz w:val="16"/>
              </w:rPr>
            </w:pPr>
            <w:r>
              <w:rPr>
                <w:rFonts w:ascii="Arial Narrow"/>
                <w:spacing w:val="-4"/>
                <w:sz w:val="16"/>
              </w:rPr>
              <w:t>0,00</w:t>
            </w:r>
          </w:p>
        </w:tc>
      </w:tr>
      <w:tr>
        <w:trPr>
          <w:trHeight w:val="398" w:hRule="atLeast"/>
        </w:trPr>
        <w:tc>
          <w:tcPr>
            <w:tcW w:w="1421" w:type="dxa"/>
          </w:tcPr>
          <w:p>
            <w:pPr>
              <w:pStyle w:val="TableParagraph"/>
              <w:spacing w:before="109"/>
              <w:ind w:left="21"/>
              <w:rPr>
                <w:rFonts w:ascii="Arial Narrow"/>
                <w:sz w:val="16"/>
              </w:rPr>
            </w:pPr>
            <w:r>
              <w:rPr>
                <w:rFonts w:ascii="Arial Narrow"/>
                <w:spacing w:val="-2"/>
                <w:sz w:val="16"/>
              </w:rPr>
              <w:t>2.1.1.13.</w:t>
            </w:r>
          </w:p>
        </w:tc>
        <w:tc>
          <w:tcPr>
            <w:tcW w:w="2910" w:type="dxa"/>
          </w:tcPr>
          <w:p>
            <w:pPr>
              <w:pStyle w:val="TableParagraph"/>
              <w:spacing w:before="8"/>
              <w:ind w:left="21"/>
              <w:rPr>
                <w:rFonts w:ascii="Arial Narrow"/>
                <w:sz w:val="16"/>
              </w:rPr>
            </w:pPr>
            <w:r>
              <w:rPr>
                <w:rFonts w:ascii="Arial Narrow"/>
                <w:sz w:val="16"/>
              </w:rPr>
              <w:t>Deudas</w:t>
            </w:r>
            <w:r>
              <w:rPr>
                <w:rFonts w:ascii="Arial Narrow"/>
                <w:spacing w:val="-1"/>
                <w:sz w:val="16"/>
              </w:rPr>
              <w:t> </w:t>
            </w:r>
            <w:r>
              <w:rPr>
                <w:rFonts w:ascii="Arial Narrow"/>
                <w:sz w:val="16"/>
              </w:rPr>
              <w:t>por</w:t>
            </w:r>
            <w:r>
              <w:rPr>
                <w:rFonts w:ascii="Arial Narrow"/>
                <w:spacing w:val="-2"/>
                <w:sz w:val="16"/>
              </w:rPr>
              <w:t> </w:t>
            </w:r>
            <w:r>
              <w:rPr>
                <w:rFonts w:ascii="Arial Narrow"/>
                <w:sz w:val="16"/>
              </w:rPr>
              <w:t>Creditos</w:t>
            </w:r>
            <w:r>
              <w:rPr>
                <w:rFonts w:ascii="Arial Narrow"/>
                <w:spacing w:val="-1"/>
                <w:sz w:val="16"/>
              </w:rPr>
              <w:t> </w:t>
            </w:r>
            <w:r>
              <w:rPr>
                <w:rFonts w:ascii="Arial Narrow"/>
                <w:sz w:val="16"/>
              </w:rPr>
              <w:t>Fiscales a</w:t>
            </w:r>
            <w:r>
              <w:rPr>
                <w:rFonts w:ascii="Arial Narrow"/>
                <w:spacing w:val="-2"/>
                <w:sz w:val="16"/>
              </w:rPr>
              <w:t> </w:t>
            </w:r>
            <w:r>
              <w:rPr>
                <w:rFonts w:ascii="Arial Narrow"/>
                <w:sz w:val="16"/>
              </w:rPr>
              <w:t>favor</w:t>
            </w:r>
            <w:r>
              <w:rPr>
                <w:rFonts w:ascii="Arial Narrow"/>
                <w:spacing w:val="-3"/>
                <w:sz w:val="16"/>
              </w:rPr>
              <w:t> </w:t>
            </w:r>
            <w:r>
              <w:rPr>
                <w:rFonts w:ascii="Arial Narrow"/>
                <w:sz w:val="16"/>
              </w:rPr>
              <w:t>de</w:t>
            </w:r>
            <w:r>
              <w:rPr>
                <w:rFonts w:ascii="Arial Narrow"/>
                <w:spacing w:val="-3"/>
                <w:sz w:val="16"/>
              </w:rPr>
              <w:t> </w:t>
            </w:r>
            <w:r>
              <w:rPr>
                <w:rFonts w:ascii="Arial Narrow"/>
                <w:spacing w:val="-2"/>
                <w:sz w:val="16"/>
              </w:rPr>
              <w:t>terceros</w:t>
            </w:r>
          </w:p>
          <w:p>
            <w:pPr>
              <w:pStyle w:val="TableParagraph"/>
              <w:spacing w:line="168" w:lineRule="exact" w:before="18"/>
              <w:ind w:left="21"/>
              <w:rPr>
                <w:rFonts w:ascii="Arial Narrow"/>
                <w:sz w:val="16"/>
              </w:rPr>
            </w:pPr>
            <w:r>
              <w:rPr>
                <w:rFonts w:ascii="Arial Narrow"/>
                <w:spacing w:val="-5"/>
                <w:sz w:val="16"/>
              </w:rPr>
              <w:t>c/p</w:t>
            </w:r>
          </w:p>
        </w:tc>
        <w:tc>
          <w:tcPr>
            <w:tcW w:w="548" w:type="dxa"/>
          </w:tcPr>
          <w:p>
            <w:pPr>
              <w:pStyle w:val="TableParagraph"/>
              <w:rPr>
                <w:rFonts w:ascii="Times New Roman"/>
                <w:sz w:val="18"/>
              </w:rPr>
            </w:pPr>
          </w:p>
        </w:tc>
        <w:tc>
          <w:tcPr>
            <w:tcW w:w="966" w:type="dxa"/>
          </w:tcPr>
          <w:p>
            <w:pPr>
              <w:pStyle w:val="TableParagraph"/>
              <w:spacing w:before="109"/>
              <w:ind w:left="14" w:right="7"/>
              <w:jc w:val="center"/>
              <w:rPr>
                <w:rFonts w:ascii="Arial Narrow"/>
                <w:sz w:val="16"/>
              </w:rPr>
            </w:pPr>
            <w:r>
              <w:rPr>
                <w:rFonts w:ascii="Arial Narrow"/>
                <w:spacing w:val="-4"/>
                <w:sz w:val="16"/>
              </w:rPr>
              <w:t>0,00</w:t>
            </w:r>
          </w:p>
        </w:tc>
        <w:tc>
          <w:tcPr>
            <w:tcW w:w="966" w:type="dxa"/>
          </w:tcPr>
          <w:p>
            <w:pPr>
              <w:pStyle w:val="TableParagraph"/>
              <w:spacing w:before="109"/>
              <w:ind w:left="14" w:right="9"/>
              <w:jc w:val="center"/>
              <w:rPr>
                <w:rFonts w:ascii="Arial Narrow"/>
                <w:sz w:val="16"/>
              </w:rPr>
            </w:pPr>
            <w:r>
              <w:rPr>
                <w:rFonts w:ascii="Arial Narrow"/>
                <w:spacing w:val="-4"/>
                <w:sz w:val="16"/>
              </w:rPr>
              <w:t>0,00</w:t>
            </w:r>
          </w:p>
        </w:tc>
      </w:tr>
      <w:tr>
        <w:trPr>
          <w:trHeight w:val="196" w:hRule="atLeast"/>
        </w:trPr>
        <w:tc>
          <w:tcPr>
            <w:tcW w:w="1421" w:type="dxa"/>
          </w:tcPr>
          <w:p>
            <w:pPr>
              <w:pStyle w:val="TableParagraph"/>
              <w:spacing w:line="168" w:lineRule="exact" w:before="8"/>
              <w:ind w:left="21"/>
              <w:rPr>
                <w:rFonts w:ascii="Arial Narrow"/>
                <w:sz w:val="16"/>
              </w:rPr>
            </w:pPr>
            <w:r>
              <w:rPr>
                <w:rFonts w:ascii="Arial Narrow"/>
                <w:spacing w:val="-2"/>
                <w:sz w:val="16"/>
              </w:rPr>
              <w:t>2.1.1.99.</w:t>
            </w:r>
          </w:p>
        </w:tc>
        <w:tc>
          <w:tcPr>
            <w:tcW w:w="2910" w:type="dxa"/>
          </w:tcPr>
          <w:p>
            <w:pPr>
              <w:pStyle w:val="TableParagraph"/>
              <w:spacing w:line="168" w:lineRule="exact" w:before="8"/>
              <w:ind w:left="21"/>
              <w:rPr>
                <w:rFonts w:ascii="Arial Narrow"/>
                <w:sz w:val="16"/>
              </w:rPr>
            </w:pPr>
            <w:r>
              <w:rPr>
                <w:rFonts w:ascii="Arial Narrow"/>
                <w:sz w:val="16"/>
              </w:rPr>
              <w:t>Otras</w:t>
            </w:r>
            <w:r>
              <w:rPr>
                <w:rFonts w:ascii="Arial Narrow"/>
                <w:spacing w:val="-1"/>
                <w:sz w:val="16"/>
              </w:rPr>
              <w:t> </w:t>
            </w:r>
            <w:r>
              <w:rPr>
                <w:rFonts w:ascii="Arial Narrow"/>
                <w:sz w:val="16"/>
              </w:rPr>
              <w:t>deudas a</w:t>
            </w:r>
            <w:r>
              <w:rPr>
                <w:rFonts w:ascii="Arial Narrow"/>
                <w:spacing w:val="-2"/>
                <w:sz w:val="16"/>
              </w:rPr>
              <w:t> </w:t>
            </w:r>
            <w:r>
              <w:rPr>
                <w:rFonts w:ascii="Arial Narrow"/>
                <w:sz w:val="16"/>
              </w:rPr>
              <w:t>corto</w:t>
            </w:r>
            <w:r>
              <w:rPr>
                <w:rFonts w:ascii="Arial Narrow"/>
                <w:spacing w:val="-2"/>
                <w:sz w:val="16"/>
              </w:rPr>
              <w:t> plazo</w:t>
            </w:r>
          </w:p>
        </w:tc>
        <w:tc>
          <w:tcPr>
            <w:tcW w:w="548" w:type="dxa"/>
          </w:tcPr>
          <w:p>
            <w:pPr>
              <w:pStyle w:val="TableParagraph"/>
              <w:rPr>
                <w:rFonts w:ascii="Times New Roman"/>
                <w:sz w:val="12"/>
              </w:rPr>
            </w:pPr>
          </w:p>
        </w:tc>
        <w:tc>
          <w:tcPr>
            <w:tcW w:w="966" w:type="dxa"/>
          </w:tcPr>
          <w:p>
            <w:pPr>
              <w:pStyle w:val="TableParagraph"/>
              <w:spacing w:line="168" w:lineRule="exact" w:before="8"/>
              <w:ind w:left="14" w:right="12"/>
              <w:jc w:val="center"/>
              <w:rPr>
                <w:rFonts w:ascii="Arial Narrow"/>
                <w:sz w:val="16"/>
              </w:rPr>
            </w:pPr>
            <w:r>
              <w:rPr>
                <w:rFonts w:ascii="Arial Narrow"/>
                <w:sz w:val="16"/>
              </w:rPr>
              <w:t>9 </w:t>
            </w:r>
            <w:r>
              <w:rPr>
                <w:rFonts w:ascii="Arial Narrow"/>
                <w:spacing w:val="-2"/>
                <w:sz w:val="16"/>
              </w:rPr>
              <w:t>853,91</w:t>
            </w:r>
          </w:p>
        </w:tc>
        <w:tc>
          <w:tcPr>
            <w:tcW w:w="966" w:type="dxa"/>
          </w:tcPr>
          <w:p>
            <w:pPr>
              <w:pStyle w:val="TableParagraph"/>
              <w:spacing w:line="168" w:lineRule="exact" w:before="8"/>
              <w:ind w:left="14" w:right="14"/>
              <w:jc w:val="center"/>
              <w:rPr>
                <w:rFonts w:ascii="Arial Narrow"/>
                <w:sz w:val="16"/>
              </w:rPr>
            </w:pPr>
            <w:r>
              <w:rPr>
                <w:rFonts w:ascii="Arial Narrow"/>
                <w:sz w:val="16"/>
              </w:rPr>
              <w:t>2 </w:t>
            </w:r>
            <w:r>
              <w:rPr>
                <w:rFonts w:ascii="Arial Narrow"/>
                <w:spacing w:val="-2"/>
                <w:sz w:val="16"/>
              </w:rPr>
              <w:t>360,14</w:t>
            </w:r>
          </w:p>
        </w:tc>
      </w:tr>
    </w:tbl>
    <w:p>
      <w:pPr>
        <w:pStyle w:val="Heading6"/>
        <w:spacing w:before="205"/>
        <w:ind w:left="730"/>
        <w:rPr>
          <w:b w:val="0"/>
        </w:rPr>
      </w:pPr>
      <w:r>
        <w:rPr>
          <w:color w:val="1F4E79"/>
          <w:spacing w:val="-2"/>
          <w:u w:val="single" w:color="1F4E79"/>
        </w:rPr>
        <w:t>Revelación</w:t>
      </w:r>
      <w:r>
        <w:rPr>
          <w:b w:val="0"/>
          <w:spacing w:val="-2"/>
          <w:u w:val="none"/>
        </w:rPr>
        <w:t>:</w:t>
      </w:r>
    </w:p>
    <w:p>
      <w:pPr>
        <w:pStyle w:val="BodyText"/>
        <w:spacing w:before="179"/>
        <w:ind w:left="730"/>
      </w:pPr>
      <w:r>
        <w:rPr/>
        <mc:AlternateContent>
          <mc:Choice Requires="wps">
            <w:drawing>
              <wp:anchor distT="0" distB="0" distL="0" distR="0" allowOverlap="1" layoutInCell="1" locked="0" behindDoc="0" simplePos="0" relativeHeight="15783936">
                <wp:simplePos x="0" y="0"/>
                <wp:positionH relativeFrom="page">
                  <wp:posOffset>1111300</wp:posOffset>
                </wp:positionH>
                <wp:positionV relativeFrom="paragraph">
                  <wp:posOffset>374134</wp:posOffset>
                </wp:positionV>
                <wp:extent cx="5763895" cy="686435"/>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5763895" cy="686435"/>
                        </a:xfrm>
                        <a:prstGeom prst="rect">
                          <a:avLst/>
                        </a:prstGeom>
                      </wps:spPr>
                      <wps:txbx>
                        <w:txbxContent>
                          <w:tbl>
                            <w:tblPr>
                              <w:tblW w:w="0" w:type="auto"/>
                              <w:jc w:val="lef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8"/>
                              <w:gridCol w:w="3123"/>
                              <w:gridCol w:w="561"/>
                              <w:gridCol w:w="1546"/>
                              <w:gridCol w:w="1610"/>
                              <w:gridCol w:w="1267"/>
                            </w:tblGrid>
                            <w:tr>
                              <w:trPr>
                                <w:trHeight w:val="282" w:hRule="atLeast"/>
                              </w:trPr>
                              <w:tc>
                                <w:tcPr>
                                  <w:tcW w:w="828"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3123"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561"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546"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610"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267" w:type="dxa"/>
                                  <w:tcBorders>
                                    <w:top w:val="single" w:sz="8" w:space="0" w:color="000000"/>
                                    <w:left w:val="single" w:sz="8" w:space="0" w:color="000000"/>
                                    <w:bottom w:val="single" w:sz="8" w:space="0" w:color="000000"/>
                                    <w:right w:val="single" w:sz="8" w:space="0" w:color="000000"/>
                                  </w:tcBorders>
                                  <w:shd w:val="clear" w:color="auto" w:fill="365F92"/>
                                </w:tcPr>
                                <w:p>
                                  <w:pPr>
                                    <w:pStyle w:val="TableParagraph"/>
                                    <w:spacing w:before="27"/>
                                    <w:ind w:left="22"/>
                                    <w:jc w:val="center"/>
                                    <w:rPr>
                                      <w:b/>
                                      <w:sz w:val="20"/>
                                    </w:rPr>
                                  </w:pPr>
                                  <w:r>
                                    <w:rPr>
                                      <w:b/>
                                      <w:color w:val="FFFFFF"/>
                                      <w:spacing w:val="-2"/>
                                      <w:sz w:val="20"/>
                                    </w:rPr>
                                    <w:t>Diferencia</w:t>
                                  </w:r>
                                </w:p>
                              </w:tc>
                            </w:tr>
                            <w:tr>
                              <w:trPr>
                                <w:trHeight w:val="75" w:hRule="atLeast"/>
                              </w:trPr>
                              <w:tc>
                                <w:tcPr>
                                  <w:tcW w:w="828" w:type="dxa"/>
                                  <w:shd w:val="clear" w:color="auto" w:fill="365F92"/>
                                </w:tcPr>
                                <w:p>
                                  <w:pPr>
                                    <w:pStyle w:val="TableParagraph"/>
                                    <w:rPr>
                                      <w:rFonts w:ascii="Times New Roman"/>
                                      <w:sz w:val="2"/>
                                    </w:rPr>
                                  </w:pPr>
                                </w:p>
                              </w:tc>
                              <w:tc>
                                <w:tcPr>
                                  <w:tcW w:w="3123" w:type="dxa"/>
                                  <w:shd w:val="clear" w:color="auto" w:fill="365F92"/>
                                </w:tcPr>
                                <w:p>
                                  <w:pPr>
                                    <w:pStyle w:val="TableParagraph"/>
                                    <w:rPr>
                                      <w:rFonts w:ascii="Times New Roman"/>
                                      <w:sz w:val="2"/>
                                    </w:rPr>
                                  </w:pPr>
                                </w:p>
                              </w:tc>
                              <w:tc>
                                <w:tcPr>
                                  <w:tcW w:w="561" w:type="dxa"/>
                                  <w:shd w:val="clear" w:color="auto" w:fill="365F92"/>
                                </w:tcPr>
                                <w:p>
                                  <w:pPr>
                                    <w:pStyle w:val="TableParagraph"/>
                                    <w:rPr>
                                      <w:rFonts w:ascii="Times New Roman"/>
                                      <w:sz w:val="2"/>
                                    </w:rPr>
                                  </w:pPr>
                                </w:p>
                              </w:tc>
                              <w:tc>
                                <w:tcPr>
                                  <w:tcW w:w="1546" w:type="dxa"/>
                                  <w:shd w:val="clear" w:color="auto" w:fill="365F92"/>
                                </w:tcPr>
                                <w:p>
                                  <w:pPr>
                                    <w:pStyle w:val="TableParagraph"/>
                                    <w:rPr>
                                      <w:rFonts w:ascii="Times New Roman"/>
                                      <w:sz w:val="2"/>
                                    </w:rPr>
                                  </w:pPr>
                                </w:p>
                              </w:tc>
                              <w:tc>
                                <w:tcPr>
                                  <w:tcW w:w="1610" w:type="dxa"/>
                                  <w:shd w:val="clear" w:color="auto" w:fill="365F92"/>
                                </w:tcPr>
                                <w:p>
                                  <w:pPr>
                                    <w:pStyle w:val="TableParagraph"/>
                                    <w:rPr>
                                      <w:rFonts w:ascii="Times New Roman"/>
                                      <w:sz w:val="2"/>
                                    </w:rPr>
                                  </w:pPr>
                                </w:p>
                              </w:tc>
                              <w:tc>
                                <w:tcPr>
                                  <w:tcW w:w="1267" w:type="dxa"/>
                                  <w:tcBorders>
                                    <w:top w:val="single" w:sz="8" w:space="0" w:color="000000"/>
                                    <w:right w:val="single" w:sz="8" w:space="0" w:color="000000"/>
                                  </w:tcBorders>
                                  <w:shd w:val="clear" w:color="auto" w:fill="365F92"/>
                                </w:tcPr>
                                <w:p>
                                  <w:pPr>
                                    <w:pStyle w:val="TableParagraph"/>
                                    <w:rPr>
                                      <w:rFonts w:ascii="Times New Roman"/>
                                      <w:sz w:val="2"/>
                                    </w:rPr>
                                  </w:pPr>
                                </w:p>
                              </w:tc>
                            </w:tr>
                            <w:tr>
                              <w:trPr>
                                <w:trHeight w:val="204" w:hRule="atLeast"/>
                              </w:trPr>
                              <w:tc>
                                <w:tcPr>
                                  <w:tcW w:w="828" w:type="dxa"/>
                                  <w:shd w:val="clear" w:color="auto" w:fill="365F92"/>
                                </w:tcPr>
                                <w:p>
                                  <w:pPr>
                                    <w:pStyle w:val="TableParagraph"/>
                                    <w:rPr>
                                      <w:rFonts w:ascii="Times New Roman"/>
                                      <w:sz w:val="14"/>
                                    </w:rPr>
                                  </w:pPr>
                                </w:p>
                              </w:tc>
                              <w:tc>
                                <w:tcPr>
                                  <w:tcW w:w="3123" w:type="dxa"/>
                                  <w:shd w:val="clear" w:color="auto" w:fill="365F92"/>
                                </w:tcPr>
                                <w:p>
                                  <w:pPr>
                                    <w:pStyle w:val="TableParagraph"/>
                                    <w:rPr>
                                      <w:rFonts w:ascii="Times New Roman"/>
                                      <w:sz w:val="14"/>
                                    </w:rPr>
                                  </w:pPr>
                                </w:p>
                              </w:tc>
                              <w:tc>
                                <w:tcPr>
                                  <w:tcW w:w="561" w:type="dxa"/>
                                  <w:shd w:val="clear" w:color="auto" w:fill="365F92"/>
                                </w:tcPr>
                                <w:p>
                                  <w:pPr>
                                    <w:pStyle w:val="TableParagraph"/>
                                    <w:rPr>
                                      <w:rFonts w:ascii="Times New Roman"/>
                                      <w:sz w:val="14"/>
                                    </w:rPr>
                                  </w:pPr>
                                </w:p>
                              </w:tc>
                              <w:tc>
                                <w:tcPr>
                                  <w:tcW w:w="1546" w:type="dxa"/>
                                  <w:shd w:val="clear" w:color="auto" w:fill="365F92"/>
                                </w:tcPr>
                                <w:p>
                                  <w:pPr>
                                    <w:pStyle w:val="TableParagraph"/>
                                    <w:rPr>
                                      <w:rFonts w:ascii="Times New Roman"/>
                                      <w:sz w:val="14"/>
                                    </w:rPr>
                                  </w:pPr>
                                </w:p>
                              </w:tc>
                              <w:tc>
                                <w:tcPr>
                                  <w:tcW w:w="1610" w:type="dxa"/>
                                  <w:shd w:val="clear" w:color="auto" w:fill="365F92"/>
                                </w:tcPr>
                                <w:p>
                                  <w:pPr>
                                    <w:pStyle w:val="TableParagraph"/>
                                    <w:rPr>
                                      <w:rFonts w:ascii="Times New Roman"/>
                                      <w:sz w:val="14"/>
                                    </w:rPr>
                                  </w:pPr>
                                </w:p>
                              </w:tc>
                              <w:tc>
                                <w:tcPr>
                                  <w:tcW w:w="1267" w:type="dxa"/>
                                  <w:tcBorders>
                                    <w:bottom w:val="single" w:sz="8" w:space="0" w:color="000000"/>
                                    <w:right w:val="single" w:sz="8" w:space="0" w:color="000000"/>
                                  </w:tcBorders>
                                  <w:shd w:val="clear" w:color="auto" w:fill="365F92"/>
                                </w:tcPr>
                                <w:p>
                                  <w:pPr>
                                    <w:pStyle w:val="TableParagraph"/>
                                    <w:spacing w:line="177" w:lineRule="exact"/>
                                    <w:ind w:left="31"/>
                                    <w:jc w:val="center"/>
                                    <w:rPr>
                                      <w:sz w:val="20"/>
                                    </w:rPr>
                                  </w:pPr>
                                  <w:r>
                                    <w:rPr>
                                      <w:color w:val="FFFFFF"/>
                                      <w:spacing w:val="-10"/>
                                      <w:sz w:val="20"/>
                                    </w:rPr>
                                    <w:t>%</w:t>
                                  </w:r>
                                </w:p>
                              </w:tc>
                            </w:tr>
                            <w:tr>
                              <w:trPr>
                                <w:trHeight w:val="440" w:hRule="atLeast"/>
                              </w:trPr>
                              <w:tc>
                                <w:tcPr>
                                  <w:tcW w:w="828"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pacing w:val="-2"/>
                                      <w:sz w:val="20"/>
                                    </w:rPr>
                                    <w:t>2.1.1.01.</w:t>
                                  </w:r>
                                </w:p>
                              </w:tc>
                              <w:tc>
                                <w:tcPr>
                                  <w:tcW w:w="3123"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z w:val="20"/>
                                    </w:rPr>
                                    <w:t>Deudas</w:t>
                                  </w:r>
                                  <w:r>
                                    <w:rPr>
                                      <w:b/>
                                      <w:spacing w:val="-6"/>
                                      <w:sz w:val="20"/>
                                    </w:rPr>
                                    <w:t> </w:t>
                                  </w:r>
                                  <w:r>
                                    <w:rPr>
                                      <w:b/>
                                      <w:sz w:val="20"/>
                                    </w:rPr>
                                    <w:t>comerciales</w:t>
                                  </w:r>
                                  <w:r>
                                    <w:rPr>
                                      <w:b/>
                                      <w:spacing w:val="-3"/>
                                      <w:sz w:val="20"/>
                                    </w:rPr>
                                    <w:t> </w:t>
                                  </w:r>
                                  <w:r>
                                    <w:rPr>
                                      <w:b/>
                                      <w:sz w:val="20"/>
                                    </w:rPr>
                                    <w:t>a</w:t>
                                  </w:r>
                                  <w:r>
                                    <w:rPr>
                                      <w:b/>
                                      <w:spacing w:val="-5"/>
                                      <w:sz w:val="20"/>
                                    </w:rPr>
                                    <w:t> </w:t>
                                  </w:r>
                                  <w:r>
                                    <w:rPr>
                                      <w:b/>
                                      <w:sz w:val="20"/>
                                    </w:rPr>
                                    <w:t>corto</w:t>
                                  </w:r>
                                  <w:r>
                                    <w:rPr>
                                      <w:b/>
                                      <w:spacing w:val="-4"/>
                                      <w:sz w:val="20"/>
                                    </w:rPr>
                                    <w:t> </w:t>
                                  </w:r>
                                  <w:r>
                                    <w:rPr>
                                      <w:b/>
                                      <w:spacing w:val="-2"/>
                                      <w:sz w:val="20"/>
                                    </w:rPr>
                                    <w:t>plazo</w:t>
                                  </w:r>
                                </w:p>
                              </w:tc>
                              <w:tc>
                                <w:tcPr>
                                  <w:tcW w:w="561"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pacing w:val="-5"/>
                                      <w:sz w:val="20"/>
                                    </w:rPr>
                                    <w:t>14</w:t>
                                  </w:r>
                                </w:p>
                              </w:tc>
                              <w:tc>
                                <w:tcPr>
                                  <w:tcW w:w="1546" w:type="dxa"/>
                                  <w:tcBorders>
                                    <w:left w:val="single" w:sz="8" w:space="0" w:color="000000"/>
                                    <w:bottom w:val="single" w:sz="8" w:space="0" w:color="000000"/>
                                    <w:right w:val="single" w:sz="8" w:space="0" w:color="000000"/>
                                  </w:tcBorders>
                                </w:tcPr>
                                <w:p>
                                  <w:pPr>
                                    <w:pStyle w:val="TableParagraph"/>
                                    <w:spacing w:before="97"/>
                                    <w:ind w:left="254"/>
                                    <w:rPr>
                                      <w:b/>
                                      <w:sz w:val="20"/>
                                    </w:rPr>
                                  </w:pPr>
                                  <w:r>
                                    <w:rPr>
                                      <w:b/>
                                      <w:sz w:val="20"/>
                                    </w:rPr>
                                    <w:t>3</w:t>
                                  </w:r>
                                  <w:r>
                                    <w:rPr>
                                      <w:b/>
                                      <w:spacing w:val="-2"/>
                                      <w:sz w:val="20"/>
                                    </w:rPr>
                                    <w:t> </w:t>
                                  </w:r>
                                  <w:r>
                                    <w:rPr>
                                      <w:b/>
                                      <w:sz w:val="20"/>
                                    </w:rPr>
                                    <w:t>835</w:t>
                                  </w:r>
                                  <w:r>
                                    <w:rPr>
                                      <w:b/>
                                      <w:spacing w:val="-2"/>
                                      <w:sz w:val="20"/>
                                    </w:rPr>
                                    <w:t> 916,17</w:t>
                                  </w:r>
                                </w:p>
                              </w:tc>
                              <w:tc>
                                <w:tcPr>
                                  <w:tcW w:w="1610" w:type="dxa"/>
                                  <w:tcBorders>
                                    <w:left w:val="single" w:sz="8" w:space="0" w:color="000000"/>
                                    <w:bottom w:val="single" w:sz="8" w:space="0" w:color="000000"/>
                                    <w:right w:val="single" w:sz="8" w:space="0" w:color="000000"/>
                                  </w:tcBorders>
                                </w:tcPr>
                                <w:p>
                                  <w:pPr>
                                    <w:pStyle w:val="TableParagraph"/>
                                    <w:spacing w:before="97"/>
                                    <w:ind w:left="286"/>
                                    <w:rPr>
                                      <w:b/>
                                      <w:sz w:val="20"/>
                                    </w:rPr>
                                  </w:pPr>
                                  <w:r>
                                    <w:rPr>
                                      <w:b/>
                                      <w:sz w:val="20"/>
                                    </w:rPr>
                                    <w:t>3</w:t>
                                  </w:r>
                                  <w:r>
                                    <w:rPr>
                                      <w:b/>
                                      <w:spacing w:val="-2"/>
                                      <w:sz w:val="20"/>
                                    </w:rPr>
                                    <w:t> </w:t>
                                  </w:r>
                                  <w:r>
                                    <w:rPr>
                                      <w:b/>
                                      <w:sz w:val="20"/>
                                    </w:rPr>
                                    <w:t>661</w:t>
                                  </w:r>
                                  <w:r>
                                    <w:rPr>
                                      <w:b/>
                                      <w:spacing w:val="-2"/>
                                      <w:sz w:val="20"/>
                                    </w:rPr>
                                    <w:t> 089,18</w:t>
                                  </w:r>
                                </w:p>
                              </w:tc>
                              <w:tc>
                                <w:tcPr>
                                  <w:tcW w:w="1267" w:type="dxa"/>
                                  <w:tcBorders>
                                    <w:top w:val="single" w:sz="8" w:space="0" w:color="000000"/>
                                    <w:left w:val="single" w:sz="8" w:space="0" w:color="000000"/>
                                    <w:bottom w:val="single" w:sz="8" w:space="0" w:color="000000"/>
                                    <w:right w:val="single" w:sz="8" w:space="0" w:color="000000"/>
                                  </w:tcBorders>
                                </w:tcPr>
                                <w:p>
                                  <w:pPr>
                                    <w:pStyle w:val="TableParagraph"/>
                                    <w:spacing w:before="97"/>
                                    <w:ind w:left="22" w:right="2"/>
                                    <w:jc w:val="center"/>
                                    <w:rPr>
                                      <w:b/>
                                      <w:sz w:val="20"/>
                                    </w:rPr>
                                  </w:pPr>
                                  <w:r>
                                    <w:rPr>
                                      <w:b/>
                                      <w:spacing w:val="-2"/>
                                      <w:sz w:val="20"/>
                                    </w:rPr>
                                    <w:t>4,78%</w:t>
                                  </w:r>
                                </w:p>
                              </w:tc>
                            </w:tr>
                          </w:tbl>
                          <w:p>
                            <w:pPr>
                              <w:pStyle w:val="BodyText"/>
                            </w:pPr>
                          </w:p>
                        </w:txbxContent>
                      </wps:txbx>
                      <wps:bodyPr wrap="square" lIns="0" tIns="0" rIns="0" bIns="0" rtlCol="0">
                        <a:noAutofit/>
                      </wps:bodyPr>
                    </wps:wsp>
                  </a:graphicData>
                </a:graphic>
              </wp:anchor>
            </w:drawing>
          </mc:Choice>
          <mc:Fallback>
            <w:pict>
              <v:shape style="position:absolute;margin-left:87.503998pt;margin-top:29.45944pt;width:453.85pt;height:54.05pt;mso-position-horizontal-relative:page;mso-position-vertical-relative:paragraph;z-index:15783936" type="#_x0000_t202" id="docshape335" filled="false" stroked="false">
                <v:textbox inset="0,0,0,0">
                  <w:txbxContent>
                    <w:tbl>
                      <w:tblPr>
                        <w:tblW w:w="0" w:type="auto"/>
                        <w:jc w:val="lef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8"/>
                        <w:gridCol w:w="3123"/>
                        <w:gridCol w:w="561"/>
                        <w:gridCol w:w="1546"/>
                        <w:gridCol w:w="1610"/>
                        <w:gridCol w:w="1267"/>
                      </w:tblGrid>
                      <w:tr>
                        <w:trPr>
                          <w:trHeight w:val="282" w:hRule="atLeast"/>
                        </w:trPr>
                        <w:tc>
                          <w:tcPr>
                            <w:tcW w:w="828"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3123"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561"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546"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610" w:type="dxa"/>
                            <w:tcBorders>
                              <w:top w:val="single" w:sz="8" w:space="0" w:color="000000"/>
                              <w:left w:val="single" w:sz="8" w:space="0" w:color="000000"/>
                              <w:right w:val="single" w:sz="8" w:space="0" w:color="000000"/>
                            </w:tcBorders>
                            <w:shd w:val="clear" w:color="auto" w:fill="365F92"/>
                          </w:tcPr>
                          <w:p>
                            <w:pPr>
                              <w:pStyle w:val="TableParagraph"/>
                              <w:rPr>
                                <w:rFonts w:ascii="Times New Roman"/>
                                <w:sz w:val="18"/>
                              </w:rPr>
                            </w:pPr>
                          </w:p>
                        </w:tc>
                        <w:tc>
                          <w:tcPr>
                            <w:tcW w:w="1267" w:type="dxa"/>
                            <w:tcBorders>
                              <w:top w:val="single" w:sz="8" w:space="0" w:color="000000"/>
                              <w:left w:val="single" w:sz="8" w:space="0" w:color="000000"/>
                              <w:bottom w:val="single" w:sz="8" w:space="0" w:color="000000"/>
                              <w:right w:val="single" w:sz="8" w:space="0" w:color="000000"/>
                            </w:tcBorders>
                            <w:shd w:val="clear" w:color="auto" w:fill="365F92"/>
                          </w:tcPr>
                          <w:p>
                            <w:pPr>
                              <w:pStyle w:val="TableParagraph"/>
                              <w:spacing w:before="27"/>
                              <w:ind w:left="22"/>
                              <w:jc w:val="center"/>
                              <w:rPr>
                                <w:b/>
                                <w:sz w:val="20"/>
                              </w:rPr>
                            </w:pPr>
                            <w:r>
                              <w:rPr>
                                <w:b/>
                                <w:color w:val="FFFFFF"/>
                                <w:spacing w:val="-2"/>
                                <w:sz w:val="20"/>
                              </w:rPr>
                              <w:t>Diferencia</w:t>
                            </w:r>
                          </w:p>
                        </w:tc>
                      </w:tr>
                      <w:tr>
                        <w:trPr>
                          <w:trHeight w:val="75" w:hRule="atLeast"/>
                        </w:trPr>
                        <w:tc>
                          <w:tcPr>
                            <w:tcW w:w="828" w:type="dxa"/>
                            <w:shd w:val="clear" w:color="auto" w:fill="365F92"/>
                          </w:tcPr>
                          <w:p>
                            <w:pPr>
                              <w:pStyle w:val="TableParagraph"/>
                              <w:rPr>
                                <w:rFonts w:ascii="Times New Roman"/>
                                <w:sz w:val="2"/>
                              </w:rPr>
                            </w:pPr>
                          </w:p>
                        </w:tc>
                        <w:tc>
                          <w:tcPr>
                            <w:tcW w:w="3123" w:type="dxa"/>
                            <w:shd w:val="clear" w:color="auto" w:fill="365F92"/>
                          </w:tcPr>
                          <w:p>
                            <w:pPr>
                              <w:pStyle w:val="TableParagraph"/>
                              <w:rPr>
                                <w:rFonts w:ascii="Times New Roman"/>
                                <w:sz w:val="2"/>
                              </w:rPr>
                            </w:pPr>
                          </w:p>
                        </w:tc>
                        <w:tc>
                          <w:tcPr>
                            <w:tcW w:w="561" w:type="dxa"/>
                            <w:shd w:val="clear" w:color="auto" w:fill="365F92"/>
                          </w:tcPr>
                          <w:p>
                            <w:pPr>
                              <w:pStyle w:val="TableParagraph"/>
                              <w:rPr>
                                <w:rFonts w:ascii="Times New Roman"/>
                                <w:sz w:val="2"/>
                              </w:rPr>
                            </w:pPr>
                          </w:p>
                        </w:tc>
                        <w:tc>
                          <w:tcPr>
                            <w:tcW w:w="1546" w:type="dxa"/>
                            <w:shd w:val="clear" w:color="auto" w:fill="365F92"/>
                          </w:tcPr>
                          <w:p>
                            <w:pPr>
                              <w:pStyle w:val="TableParagraph"/>
                              <w:rPr>
                                <w:rFonts w:ascii="Times New Roman"/>
                                <w:sz w:val="2"/>
                              </w:rPr>
                            </w:pPr>
                          </w:p>
                        </w:tc>
                        <w:tc>
                          <w:tcPr>
                            <w:tcW w:w="1610" w:type="dxa"/>
                            <w:shd w:val="clear" w:color="auto" w:fill="365F92"/>
                          </w:tcPr>
                          <w:p>
                            <w:pPr>
                              <w:pStyle w:val="TableParagraph"/>
                              <w:rPr>
                                <w:rFonts w:ascii="Times New Roman"/>
                                <w:sz w:val="2"/>
                              </w:rPr>
                            </w:pPr>
                          </w:p>
                        </w:tc>
                        <w:tc>
                          <w:tcPr>
                            <w:tcW w:w="1267" w:type="dxa"/>
                            <w:tcBorders>
                              <w:top w:val="single" w:sz="8" w:space="0" w:color="000000"/>
                              <w:right w:val="single" w:sz="8" w:space="0" w:color="000000"/>
                            </w:tcBorders>
                            <w:shd w:val="clear" w:color="auto" w:fill="365F92"/>
                          </w:tcPr>
                          <w:p>
                            <w:pPr>
                              <w:pStyle w:val="TableParagraph"/>
                              <w:rPr>
                                <w:rFonts w:ascii="Times New Roman"/>
                                <w:sz w:val="2"/>
                              </w:rPr>
                            </w:pPr>
                          </w:p>
                        </w:tc>
                      </w:tr>
                      <w:tr>
                        <w:trPr>
                          <w:trHeight w:val="204" w:hRule="atLeast"/>
                        </w:trPr>
                        <w:tc>
                          <w:tcPr>
                            <w:tcW w:w="828" w:type="dxa"/>
                            <w:shd w:val="clear" w:color="auto" w:fill="365F92"/>
                          </w:tcPr>
                          <w:p>
                            <w:pPr>
                              <w:pStyle w:val="TableParagraph"/>
                              <w:rPr>
                                <w:rFonts w:ascii="Times New Roman"/>
                                <w:sz w:val="14"/>
                              </w:rPr>
                            </w:pPr>
                          </w:p>
                        </w:tc>
                        <w:tc>
                          <w:tcPr>
                            <w:tcW w:w="3123" w:type="dxa"/>
                            <w:shd w:val="clear" w:color="auto" w:fill="365F92"/>
                          </w:tcPr>
                          <w:p>
                            <w:pPr>
                              <w:pStyle w:val="TableParagraph"/>
                              <w:rPr>
                                <w:rFonts w:ascii="Times New Roman"/>
                                <w:sz w:val="14"/>
                              </w:rPr>
                            </w:pPr>
                          </w:p>
                        </w:tc>
                        <w:tc>
                          <w:tcPr>
                            <w:tcW w:w="561" w:type="dxa"/>
                            <w:shd w:val="clear" w:color="auto" w:fill="365F92"/>
                          </w:tcPr>
                          <w:p>
                            <w:pPr>
                              <w:pStyle w:val="TableParagraph"/>
                              <w:rPr>
                                <w:rFonts w:ascii="Times New Roman"/>
                                <w:sz w:val="14"/>
                              </w:rPr>
                            </w:pPr>
                          </w:p>
                        </w:tc>
                        <w:tc>
                          <w:tcPr>
                            <w:tcW w:w="1546" w:type="dxa"/>
                            <w:shd w:val="clear" w:color="auto" w:fill="365F92"/>
                          </w:tcPr>
                          <w:p>
                            <w:pPr>
                              <w:pStyle w:val="TableParagraph"/>
                              <w:rPr>
                                <w:rFonts w:ascii="Times New Roman"/>
                                <w:sz w:val="14"/>
                              </w:rPr>
                            </w:pPr>
                          </w:p>
                        </w:tc>
                        <w:tc>
                          <w:tcPr>
                            <w:tcW w:w="1610" w:type="dxa"/>
                            <w:shd w:val="clear" w:color="auto" w:fill="365F92"/>
                          </w:tcPr>
                          <w:p>
                            <w:pPr>
                              <w:pStyle w:val="TableParagraph"/>
                              <w:rPr>
                                <w:rFonts w:ascii="Times New Roman"/>
                                <w:sz w:val="14"/>
                              </w:rPr>
                            </w:pPr>
                          </w:p>
                        </w:tc>
                        <w:tc>
                          <w:tcPr>
                            <w:tcW w:w="1267" w:type="dxa"/>
                            <w:tcBorders>
                              <w:bottom w:val="single" w:sz="8" w:space="0" w:color="000000"/>
                              <w:right w:val="single" w:sz="8" w:space="0" w:color="000000"/>
                            </w:tcBorders>
                            <w:shd w:val="clear" w:color="auto" w:fill="365F92"/>
                          </w:tcPr>
                          <w:p>
                            <w:pPr>
                              <w:pStyle w:val="TableParagraph"/>
                              <w:spacing w:line="177" w:lineRule="exact"/>
                              <w:ind w:left="31"/>
                              <w:jc w:val="center"/>
                              <w:rPr>
                                <w:sz w:val="20"/>
                              </w:rPr>
                            </w:pPr>
                            <w:r>
                              <w:rPr>
                                <w:color w:val="FFFFFF"/>
                                <w:spacing w:val="-10"/>
                                <w:sz w:val="20"/>
                              </w:rPr>
                              <w:t>%</w:t>
                            </w:r>
                          </w:p>
                        </w:tc>
                      </w:tr>
                      <w:tr>
                        <w:trPr>
                          <w:trHeight w:val="440" w:hRule="atLeast"/>
                        </w:trPr>
                        <w:tc>
                          <w:tcPr>
                            <w:tcW w:w="828"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pacing w:val="-2"/>
                                <w:sz w:val="20"/>
                              </w:rPr>
                              <w:t>2.1.1.01.</w:t>
                            </w:r>
                          </w:p>
                        </w:tc>
                        <w:tc>
                          <w:tcPr>
                            <w:tcW w:w="3123"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z w:val="20"/>
                              </w:rPr>
                              <w:t>Deudas</w:t>
                            </w:r>
                            <w:r>
                              <w:rPr>
                                <w:b/>
                                <w:spacing w:val="-6"/>
                                <w:sz w:val="20"/>
                              </w:rPr>
                              <w:t> </w:t>
                            </w:r>
                            <w:r>
                              <w:rPr>
                                <w:b/>
                                <w:sz w:val="20"/>
                              </w:rPr>
                              <w:t>comerciales</w:t>
                            </w:r>
                            <w:r>
                              <w:rPr>
                                <w:b/>
                                <w:spacing w:val="-3"/>
                                <w:sz w:val="20"/>
                              </w:rPr>
                              <w:t> </w:t>
                            </w:r>
                            <w:r>
                              <w:rPr>
                                <w:b/>
                                <w:sz w:val="20"/>
                              </w:rPr>
                              <w:t>a</w:t>
                            </w:r>
                            <w:r>
                              <w:rPr>
                                <w:b/>
                                <w:spacing w:val="-5"/>
                                <w:sz w:val="20"/>
                              </w:rPr>
                              <w:t> </w:t>
                            </w:r>
                            <w:r>
                              <w:rPr>
                                <w:b/>
                                <w:sz w:val="20"/>
                              </w:rPr>
                              <w:t>corto</w:t>
                            </w:r>
                            <w:r>
                              <w:rPr>
                                <w:b/>
                                <w:spacing w:val="-4"/>
                                <w:sz w:val="20"/>
                              </w:rPr>
                              <w:t> </w:t>
                            </w:r>
                            <w:r>
                              <w:rPr>
                                <w:b/>
                                <w:spacing w:val="-2"/>
                                <w:sz w:val="20"/>
                              </w:rPr>
                              <w:t>plazo</w:t>
                            </w:r>
                          </w:p>
                        </w:tc>
                        <w:tc>
                          <w:tcPr>
                            <w:tcW w:w="561" w:type="dxa"/>
                            <w:tcBorders>
                              <w:left w:val="single" w:sz="8" w:space="0" w:color="000000"/>
                              <w:bottom w:val="single" w:sz="8" w:space="0" w:color="000000"/>
                              <w:right w:val="single" w:sz="8" w:space="0" w:color="000000"/>
                            </w:tcBorders>
                          </w:tcPr>
                          <w:p>
                            <w:pPr>
                              <w:pStyle w:val="TableParagraph"/>
                              <w:spacing w:before="104"/>
                              <w:ind w:left="69"/>
                              <w:rPr>
                                <w:b/>
                                <w:sz w:val="20"/>
                              </w:rPr>
                            </w:pPr>
                            <w:r>
                              <w:rPr>
                                <w:b/>
                                <w:spacing w:val="-5"/>
                                <w:sz w:val="20"/>
                              </w:rPr>
                              <w:t>14</w:t>
                            </w:r>
                          </w:p>
                        </w:tc>
                        <w:tc>
                          <w:tcPr>
                            <w:tcW w:w="1546" w:type="dxa"/>
                            <w:tcBorders>
                              <w:left w:val="single" w:sz="8" w:space="0" w:color="000000"/>
                              <w:bottom w:val="single" w:sz="8" w:space="0" w:color="000000"/>
                              <w:right w:val="single" w:sz="8" w:space="0" w:color="000000"/>
                            </w:tcBorders>
                          </w:tcPr>
                          <w:p>
                            <w:pPr>
                              <w:pStyle w:val="TableParagraph"/>
                              <w:spacing w:before="97"/>
                              <w:ind w:left="254"/>
                              <w:rPr>
                                <w:b/>
                                <w:sz w:val="20"/>
                              </w:rPr>
                            </w:pPr>
                            <w:r>
                              <w:rPr>
                                <w:b/>
                                <w:sz w:val="20"/>
                              </w:rPr>
                              <w:t>3</w:t>
                            </w:r>
                            <w:r>
                              <w:rPr>
                                <w:b/>
                                <w:spacing w:val="-2"/>
                                <w:sz w:val="20"/>
                              </w:rPr>
                              <w:t> </w:t>
                            </w:r>
                            <w:r>
                              <w:rPr>
                                <w:b/>
                                <w:sz w:val="20"/>
                              </w:rPr>
                              <w:t>835</w:t>
                            </w:r>
                            <w:r>
                              <w:rPr>
                                <w:b/>
                                <w:spacing w:val="-2"/>
                                <w:sz w:val="20"/>
                              </w:rPr>
                              <w:t> 916,17</w:t>
                            </w:r>
                          </w:p>
                        </w:tc>
                        <w:tc>
                          <w:tcPr>
                            <w:tcW w:w="1610" w:type="dxa"/>
                            <w:tcBorders>
                              <w:left w:val="single" w:sz="8" w:space="0" w:color="000000"/>
                              <w:bottom w:val="single" w:sz="8" w:space="0" w:color="000000"/>
                              <w:right w:val="single" w:sz="8" w:space="0" w:color="000000"/>
                            </w:tcBorders>
                          </w:tcPr>
                          <w:p>
                            <w:pPr>
                              <w:pStyle w:val="TableParagraph"/>
                              <w:spacing w:before="97"/>
                              <w:ind w:left="286"/>
                              <w:rPr>
                                <w:b/>
                                <w:sz w:val="20"/>
                              </w:rPr>
                            </w:pPr>
                            <w:r>
                              <w:rPr>
                                <w:b/>
                                <w:sz w:val="20"/>
                              </w:rPr>
                              <w:t>3</w:t>
                            </w:r>
                            <w:r>
                              <w:rPr>
                                <w:b/>
                                <w:spacing w:val="-2"/>
                                <w:sz w:val="20"/>
                              </w:rPr>
                              <w:t> </w:t>
                            </w:r>
                            <w:r>
                              <w:rPr>
                                <w:b/>
                                <w:sz w:val="20"/>
                              </w:rPr>
                              <w:t>661</w:t>
                            </w:r>
                            <w:r>
                              <w:rPr>
                                <w:b/>
                                <w:spacing w:val="-2"/>
                                <w:sz w:val="20"/>
                              </w:rPr>
                              <w:t> 089,18</w:t>
                            </w:r>
                          </w:p>
                        </w:tc>
                        <w:tc>
                          <w:tcPr>
                            <w:tcW w:w="1267" w:type="dxa"/>
                            <w:tcBorders>
                              <w:top w:val="single" w:sz="8" w:space="0" w:color="000000"/>
                              <w:left w:val="single" w:sz="8" w:space="0" w:color="000000"/>
                              <w:bottom w:val="single" w:sz="8" w:space="0" w:color="000000"/>
                              <w:right w:val="single" w:sz="8" w:space="0" w:color="000000"/>
                            </w:tcBorders>
                          </w:tcPr>
                          <w:p>
                            <w:pPr>
                              <w:pStyle w:val="TableParagraph"/>
                              <w:spacing w:before="97"/>
                              <w:ind w:left="22" w:right="2"/>
                              <w:jc w:val="center"/>
                              <w:rPr>
                                <w:b/>
                                <w:sz w:val="20"/>
                              </w:rPr>
                            </w:pPr>
                            <w:r>
                              <w:rPr>
                                <w:b/>
                                <w:spacing w:val="-2"/>
                                <w:sz w:val="20"/>
                              </w:rPr>
                              <w:t>4,78%</w:t>
                            </w:r>
                          </w:p>
                        </w:tc>
                      </w:tr>
                    </w:tbl>
                    <w:p>
                      <w:pPr>
                        <w:pStyle w:val="BodyText"/>
                      </w:pPr>
                    </w:p>
                  </w:txbxContent>
                </v:textbox>
                <w10:wrap type="none"/>
              </v:shape>
            </w:pict>
          </mc:Fallback>
        </mc:AlternateContent>
      </w:r>
      <w:r>
        <w:rPr/>
        <w:t>Detalle</w:t>
      </w:r>
      <w:r>
        <w:rPr>
          <w:spacing w:val="-5"/>
        </w:rPr>
        <w:t> </w:t>
      </w:r>
      <w:r>
        <w:rPr/>
        <w:t>de</w:t>
      </w:r>
      <w:r>
        <w:rPr>
          <w:spacing w:val="-4"/>
        </w:rPr>
        <w:t> </w:t>
      </w:r>
      <w:r>
        <w:rPr>
          <w:spacing w:val="-2"/>
        </w:rPr>
        <w:t>cuenta:</w:t>
      </w:r>
    </w:p>
    <w:p>
      <w:pPr>
        <w:pStyle w:val="BodyText"/>
        <w:spacing w:before="104"/>
      </w:pPr>
    </w:p>
    <w:p>
      <w:pPr>
        <w:tabs>
          <w:tab w:pos="2648" w:val="left" w:leader="none"/>
          <w:tab w:pos="4774" w:val="left" w:leader="none"/>
        </w:tabs>
        <w:spacing w:before="0"/>
        <w:ind w:left="809" w:right="0" w:firstLine="0"/>
        <w:jc w:val="both"/>
        <w:rPr>
          <w:b/>
          <w:sz w:val="20"/>
        </w:rPr>
      </w:pPr>
      <w:r>
        <w:rPr>
          <w:b/>
          <w:color w:val="FFFFFF"/>
          <w:spacing w:val="-2"/>
          <w:sz w:val="20"/>
        </w:rPr>
        <w:t>Cuenta</w:t>
      </w:r>
      <w:r>
        <w:rPr>
          <w:b/>
          <w:color w:val="FFFFFF"/>
          <w:sz w:val="20"/>
        </w:rPr>
        <w:tab/>
      </w:r>
      <w:r>
        <w:rPr>
          <w:b/>
          <w:color w:val="FFFFFF"/>
          <w:spacing w:val="-2"/>
          <w:sz w:val="20"/>
        </w:rPr>
        <w:t>Descripción</w:t>
      </w:r>
      <w:r>
        <w:rPr>
          <w:b/>
          <w:color w:val="FFFFFF"/>
          <w:sz w:val="20"/>
        </w:rPr>
        <w:tab/>
        <w:t>Nota</w:t>
      </w:r>
      <w:r>
        <w:rPr>
          <w:b/>
          <w:color w:val="FFFFFF"/>
          <w:spacing w:val="75"/>
          <w:sz w:val="20"/>
        </w:rPr>
        <w:t>  </w:t>
      </w:r>
      <w:r>
        <w:rPr>
          <w:b/>
          <w:color w:val="FFFFFF"/>
          <w:sz w:val="20"/>
        </w:rPr>
        <w:t>Periodo</w:t>
      </w:r>
      <w:r>
        <w:rPr>
          <w:b/>
          <w:color w:val="FFFFFF"/>
          <w:spacing w:val="-1"/>
          <w:sz w:val="20"/>
        </w:rPr>
        <w:t> </w:t>
      </w:r>
      <w:r>
        <w:rPr>
          <w:b/>
          <w:color w:val="FFFFFF"/>
          <w:sz w:val="20"/>
        </w:rPr>
        <w:t>Actual</w:t>
      </w:r>
      <w:r>
        <w:rPr>
          <w:b/>
          <w:color w:val="FFFFFF"/>
          <w:spacing w:val="69"/>
          <w:w w:val="150"/>
          <w:sz w:val="20"/>
        </w:rPr>
        <w:t>  </w:t>
      </w:r>
      <w:r>
        <w:rPr>
          <w:b/>
          <w:color w:val="FFFFFF"/>
          <w:sz w:val="20"/>
        </w:rPr>
        <w:t>Periodo</w:t>
      </w:r>
      <w:r>
        <w:rPr>
          <w:b/>
          <w:color w:val="FFFFFF"/>
          <w:spacing w:val="-1"/>
          <w:sz w:val="20"/>
        </w:rPr>
        <w:t> </w:t>
      </w:r>
      <w:r>
        <w:rPr>
          <w:b/>
          <w:color w:val="FFFFFF"/>
          <w:spacing w:val="-2"/>
          <w:sz w:val="20"/>
        </w:rPr>
        <w:t>Anterior</w:t>
      </w:r>
    </w:p>
    <w:p>
      <w:pPr>
        <w:pStyle w:val="BodyText"/>
        <w:rPr>
          <w:b/>
          <w:sz w:val="20"/>
        </w:rPr>
      </w:pPr>
    </w:p>
    <w:p>
      <w:pPr>
        <w:pStyle w:val="BodyText"/>
        <w:rPr>
          <w:b/>
          <w:sz w:val="20"/>
        </w:rPr>
      </w:pPr>
    </w:p>
    <w:p>
      <w:pPr>
        <w:pStyle w:val="BodyText"/>
        <w:spacing w:before="224"/>
        <w:rPr>
          <w:b/>
          <w:sz w:val="20"/>
        </w:rPr>
      </w:pPr>
    </w:p>
    <w:p>
      <w:pPr>
        <w:pStyle w:val="BodyText"/>
        <w:ind w:left="730" w:right="720"/>
        <w:jc w:val="both"/>
      </w:pPr>
      <w:r>
        <w:rPr/>
        <w:t>La</w:t>
      </w:r>
      <w:r>
        <w:rPr>
          <w:spacing w:val="-14"/>
        </w:rPr>
        <w:t> </w:t>
      </w:r>
      <w:r>
        <w:rPr/>
        <w:t>cuenta</w:t>
      </w:r>
      <w:r>
        <w:rPr>
          <w:spacing w:val="-14"/>
        </w:rPr>
        <w:t> </w:t>
      </w:r>
      <w:r>
        <w:rPr/>
        <w:t>Deudas</w:t>
      </w:r>
      <w:r>
        <w:rPr>
          <w:spacing w:val="-14"/>
        </w:rPr>
        <w:t> </w:t>
      </w:r>
      <w:r>
        <w:rPr/>
        <w:t>comerciales,</w:t>
      </w:r>
      <w:r>
        <w:rPr>
          <w:spacing w:val="-13"/>
        </w:rPr>
        <w:t> </w:t>
      </w:r>
      <w:r>
        <w:rPr/>
        <w:t>corresponden</w:t>
      </w:r>
      <w:r>
        <w:rPr>
          <w:spacing w:val="-14"/>
        </w:rPr>
        <w:t> </w:t>
      </w:r>
      <w:r>
        <w:rPr/>
        <w:t>a</w:t>
      </w:r>
      <w:r>
        <w:rPr>
          <w:spacing w:val="-14"/>
        </w:rPr>
        <w:t> </w:t>
      </w:r>
      <w:r>
        <w:rPr/>
        <w:t>las</w:t>
      </w:r>
      <w:r>
        <w:rPr>
          <w:spacing w:val="-14"/>
        </w:rPr>
        <w:t> </w:t>
      </w:r>
      <w:r>
        <w:rPr/>
        <w:t>deudas</w:t>
      </w:r>
      <w:r>
        <w:rPr>
          <w:spacing w:val="-13"/>
        </w:rPr>
        <w:t> </w:t>
      </w:r>
      <w:r>
        <w:rPr/>
        <w:t>por</w:t>
      </w:r>
      <w:r>
        <w:rPr>
          <w:spacing w:val="-14"/>
        </w:rPr>
        <w:t> </w:t>
      </w:r>
      <w:r>
        <w:rPr/>
        <w:t>adquisición</w:t>
      </w:r>
      <w:r>
        <w:rPr>
          <w:spacing w:val="-14"/>
        </w:rPr>
        <w:t> </w:t>
      </w:r>
      <w:r>
        <w:rPr/>
        <w:t>de</w:t>
      </w:r>
      <w:r>
        <w:rPr>
          <w:spacing w:val="-14"/>
        </w:rPr>
        <w:t> </w:t>
      </w:r>
      <w:r>
        <w:rPr/>
        <w:t>bienes</w:t>
      </w:r>
      <w:r>
        <w:rPr>
          <w:spacing w:val="-13"/>
        </w:rPr>
        <w:t> </w:t>
      </w:r>
      <w:r>
        <w:rPr/>
        <w:t>y</w:t>
      </w:r>
      <w:r>
        <w:rPr>
          <w:spacing w:val="-14"/>
        </w:rPr>
        <w:t> </w:t>
      </w:r>
      <w:r>
        <w:rPr/>
        <w:t>servicios</w:t>
      </w:r>
      <w:r>
        <w:rPr>
          <w:spacing w:val="-14"/>
        </w:rPr>
        <w:t> </w:t>
      </w:r>
      <w:r>
        <w:rPr/>
        <w:t>los</w:t>
      </w:r>
      <w:r>
        <w:rPr>
          <w:spacing w:val="-14"/>
        </w:rPr>
        <w:t> </w:t>
      </w:r>
      <w:r>
        <w:rPr/>
        <w:t>cuales representan el 45,99% del total de Pasivo, que comparado al periodo anterior genera una variación absoluta de ¢ 174.826,99 que corresponde a un aumento del 4,78% de recursos disponibles, producto del incremento en las cuentas a pagar a proveedores por deudas sociales y fiscales.</w:t>
      </w:r>
    </w:p>
    <w:p>
      <w:pPr>
        <w:pStyle w:val="BodyText"/>
        <w:spacing w:before="1"/>
      </w:pPr>
    </w:p>
    <w:p>
      <w:pPr>
        <w:pStyle w:val="BodyText"/>
        <w:ind w:left="730" w:right="726"/>
        <w:jc w:val="both"/>
      </w:pPr>
      <w:r>
        <w:rPr/>
        <w:t>Al 31 de julio 2026 y 2025 las deudas comerciales por adquisición de bienes y servicios se detalla de la siguiente manera:</w:t>
      </w:r>
    </w:p>
    <w:p>
      <w:pPr>
        <w:pStyle w:val="BodyText"/>
      </w:pPr>
    </w:p>
    <w:p>
      <w:pPr>
        <w:pStyle w:val="BodyText"/>
      </w:pPr>
    </w:p>
    <w:p>
      <w:pPr>
        <w:pStyle w:val="BodyText"/>
      </w:pPr>
    </w:p>
    <w:p>
      <w:pPr>
        <w:pStyle w:val="BodyText"/>
      </w:pPr>
    </w:p>
    <w:p>
      <w:pPr>
        <w:pStyle w:val="BodyText"/>
      </w:pPr>
    </w:p>
    <w:p>
      <w:pPr>
        <w:pStyle w:val="BodyText"/>
      </w:pPr>
    </w:p>
    <w:p>
      <w:pPr>
        <w:pStyle w:val="BodyText"/>
        <w:spacing w:before="180"/>
      </w:pPr>
    </w:p>
    <w:p>
      <w:pPr>
        <w:pStyle w:val="BodyText"/>
        <w:ind w:left="730" w:right="721"/>
        <w:jc w:val="both"/>
      </w:pPr>
      <w:r>
        <w:rPr/>
        <w:t>El análisis de antigüedad de saldos se presenta en el siguiente cuadro en el cual el</w:t>
      </w:r>
      <w:r>
        <w:rPr>
          <w:spacing w:val="40"/>
        </w:rPr>
        <w:t> </w:t>
      </w:r>
      <w:r>
        <w:rPr/>
        <w:t>96% corresponde a facturas</w:t>
      </w:r>
      <w:r>
        <w:rPr>
          <w:spacing w:val="-8"/>
        </w:rPr>
        <w:t> </w:t>
      </w:r>
      <w:r>
        <w:rPr/>
        <w:t>pendientes</w:t>
      </w:r>
      <w:r>
        <w:rPr>
          <w:spacing w:val="-8"/>
        </w:rPr>
        <w:t> </w:t>
      </w:r>
      <w:r>
        <w:rPr/>
        <w:t>de</w:t>
      </w:r>
      <w:r>
        <w:rPr>
          <w:spacing w:val="-10"/>
        </w:rPr>
        <w:t> </w:t>
      </w:r>
      <w:r>
        <w:rPr/>
        <w:t>pago</w:t>
      </w:r>
      <w:r>
        <w:rPr>
          <w:spacing w:val="-10"/>
        </w:rPr>
        <w:t> </w:t>
      </w:r>
      <w:r>
        <w:rPr/>
        <w:t>que</w:t>
      </w:r>
      <w:r>
        <w:rPr>
          <w:spacing w:val="-10"/>
        </w:rPr>
        <w:t> </w:t>
      </w:r>
      <w:r>
        <w:rPr/>
        <w:t>se</w:t>
      </w:r>
      <w:r>
        <w:rPr>
          <w:spacing w:val="-10"/>
        </w:rPr>
        <w:t> </w:t>
      </w:r>
      <w:r>
        <w:rPr/>
        <w:t>cancelarán</w:t>
      </w:r>
      <w:r>
        <w:rPr>
          <w:spacing w:val="-8"/>
        </w:rPr>
        <w:t> </w:t>
      </w:r>
      <w:r>
        <w:rPr/>
        <w:t>en</w:t>
      </w:r>
      <w:r>
        <w:rPr>
          <w:spacing w:val="-8"/>
        </w:rPr>
        <w:t> </w:t>
      </w:r>
      <w:r>
        <w:rPr/>
        <w:t>agosto</w:t>
      </w:r>
      <w:r>
        <w:rPr>
          <w:spacing w:val="-9"/>
        </w:rPr>
        <w:t> </w:t>
      </w:r>
      <w:r>
        <w:rPr/>
        <w:t>2026,</w:t>
      </w:r>
      <w:r>
        <w:rPr>
          <w:spacing w:val="-8"/>
        </w:rPr>
        <w:t> </w:t>
      </w:r>
      <w:r>
        <w:rPr/>
        <w:t>el</w:t>
      </w:r>
      <w:r>
        <w:rPr>
          <w:spacing w:val="-9"/>
        </w:rPr>
        <w:t> </w:t>
      </w:r>
      <w:r>
        <w:rPr/>
        <w:t>resto</w:t>
      </w:r>
      <w:r>
        <w:rPr>
          <w:spacing w:val="-7"/>
        </w:rPr>
        <w:t> </w:t>
      </w:r>
      <w:r>
        <w:rPr/>
        <w:t>de</w:t>
      </w:r>
      <w:r>
        <w:rPr>
          <w:spacing w:val="-10"/>
        </w:rPr>
        <w:t> </w:t>
      </w:r>
      <w:r>
        <w:rPr/>
        <w:t>las</w:t>
      </w:r>
      <w:r>
        <w:rPr>
          <w:spacing w:val="-8"/>
        </w:rPr>
        <w:t> </w:t>
      </w:r>
      <w:r>
        <w:rPr/>
        <w:t>facturas</w:t>
      </w:r>
      <w:r>
        <w:rPr>
          <w:spacing w:val="-8"/>
        </w:rPr>
        <w:t> </w:t>
      </w:r>
      <w:r>
        <w:rPr/>
        <w:t>pendientes</w:t>
      </w:r>
      <w:r>
        <w:rPr>
          <w:spacing w:val="-8"/>
        </w:rPr>
        <w:t> </w:t>
      </w:r>
      <w:r>
        <w:rPr/>
        <w:t>de</w:t>
      </w:r>
      <w:r>
        <w:rPr>
          <w:spacing w:val="-10"/>
        </w:rPr>
        <w:t> </w:t>
      </w:r>
      <w:r>
        <w:rPr/>
        <w:t>pago correspondientes al proveedor Corposarchí, así como una factura con más 360 días del periodo 2024 registrada</w:t>
      </w:r>
      <w:r>
        <w:rPr>
          <w:spacing w:val="-7"/>
        </w:rPr>
        <w:t> </w:t>
      </w:r>
      <w:r>
        <w:rPr/>
        <w:t>por</w:t>
      </w:r>
      <w:r>
        <w:rPr>
          <w:spacing w:val="-6"/>
        </w:rPr>
        <w:t> </w:t>
      </w:r>
      <w:r>
        <w:rPr/>
        <w:t>empresas</w:t>
      </w:r>
      <w:r>
        <w:rPr>
          <w:spacing w:val="-5"/>
        </w:rPr>
        <w:t> </w:t>
      </w:r>
      <w:r>
        <w:rPr/>
        <w:t>comerciales</w:t>
      </w:r>
      <w:r>
        <w:rPr>
          <w:spacing w:val="-5"/>
        </w:rPr>
        <w:t> </w:t>
      </w:r>
      <w:r>
        <w:rPr/>
        <w:t>sin</w:t>
      </w:r>
      <w:r>
        <w:rPr>
          <w:spacing w:val="-6"/>
        </w:rPr>
        <w:t> </w:t>
      </w:r>
      <w:r>
        <w:rPr/>
        <w:t>pago</w:t>
      </w:r>
      <w:r>
        <w:rPr>
          <w:spacing w:val="-5"/>
        </w:rPr>
        <w:t> </w:t>
      </w:r>
      <w:r>
        <w:rPr/>
        <w:t>por</w:t>
      </w:r>
      <w:r>
        <w:rPr>
          <w:spacing w:val="-8"/>
        </w:rPr>
        <w:t> </w:t>
      </w:r>
      <w:r>
        <w:rPr/>
        <w:t>motivo</w:t>
      </w:r>
      <w:r>
        <w:rPr>
          <w:spacing w:val="-5"/>
        </w:rPr>
        <w:t> </w:t>
      </w:r>
      <w:r>
        <w:rPr/>
        <w:t>de</w:t>
      </w:r>
      <w:r>
        <w:rPr>
          <w:spacing w:val="-7"/>
        </w:rPr>
        <w:t> </w:t>
      </w:r>
      <w:r>
        <w:rPr/>
        <w:t>que</w:t>
      </w:r>
      <w:r>
        <w:rPr>
          <w:spacing w:val="-7"/>
        </w:rPr>
        <w:t> </w:t>
      </w:r>
      <w:r>
        <w:rPr/>
        <w:t>se</w:t>
      </w:r>
      <w:r>
        <w:rPr>
          <w:spacing w:val="-7"/>
        </w:rPr>
        <w:t> </w:t>
      </w:r>
      <w:r>
        <w:rPr/>
        <w:t>trata</w:t>
      </w:r>
      <w:r>
        <w:rPr>
          <w:spacing w:val="-6"/>
        </w:rPr>
        <w:t> </w:t>
      </w:r>
      <w:r>
        <w:rPr/>
        <w:t>de</w:t>
      </w:r>
      <w:r>
        <w:rPr>
          <w:spacing w:val="-7"/>
        </w:rPr>
        <w:t> </w:t>
      </w:r>
      <w:r>
        <w:rPr/>
        <w:t>retenciones</w:t>
      </w:r>
      <w:r>
        <w:rPr>
          <w:spacing w:val="-5"/>
        </w:rPr>
        <w:t> </w:t>
      </w:r>
      <w:r>
        <w:rPr/>
        <w:t>practicadas</w:t>
      </w:r>
      <w:r>
        <w:rPr>
          <w:spacing w:val="-5"/>
        </w:rPr>
        <w:t> </w:t>
      </w:r>
      <w:r>
        <w:rPr/>
        <w:t>cuya rectificación de la declaración no ha sido presentada imposibilitando su pago:</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0544">
                <wp:simplePos x="0" y="0"/>
                <wp:positionH relativeFrom="page">
                  <wp:posOffset>9525</wp:posOffset>
                </wp:positionH>
                <wp:positionV relativeFrom="page">
                  <wp:posOffset>297208</wp:posOffset>
                </wp:positionV>
                <wp:extent cx="7762875" cy="9748520"/>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7762875" cy="9748520"/>
                          <a:chExt cx="7762875" cy="9748520"/>
                        </a:xfrm>
                      </wpg:grpSpPr>
                      <pic:pic>
                        <pic:nvPicPr>
                          <pic:cNvPr id="356" name="Image 356"/>
                          <pic:cNvPicPr/>
                        </pic:nvPicPr>
                        <pic:blipFill>
                          <a:blip r:embed="rId5" cstate="print"/>
                          <a:stretch>
                            <a:fillRect/>
                          </a:stretch>
                        </pic:blipFill>
                        <pic:spPr>
                          <a:xfrm>
                            <a:off x="0" y="0"/>
                            <a:ext cx="7762874" cy="9748489"/>
                          </a:xfrm>
                          <a:prstGeom prst="rect">
                            <a:avLst/>
                          </a:prstGeom>
                        </pic:spPr>
                      </pic:pic>
                      <wps:wsp>
                        <wps:cNvPr id="357" name="Graphic 35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5936" id="docshapegroup336" coordorigin="15,468" coordsize="12225,15352">
                <v:shape style="position:absolute;left:15;top:468;width:12225;height:15352" type="#_x0000_t75" id="docshape337" stroked="false">
                  <v:imagedata r:id="rId5" o:title=""/>
                </v:shape>
                <v:rect style="position:absolute;left:1673;top:2028;width:8897;height:15" id="docshape338"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85472">
                <wp:simplePos x="0" y="0"/>
                <wp:positionH relativeFrom="page">
                  <wp:posOffset>1111300</wp:posOffset>
                </wp:positionH>
                <wp:positionV relativeFrom="page">
                  <wp:posOffset>3281806</wp:posOffset>
                </wp:positionV>
                <wp:extent cx="5783580" cy="728344"/>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5783580" cy="728344"/>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3162"/>
                              <w:gridCol w:w="567"/>
                              <w:gridCol w:w="1561"/>
                              <w:gridCol w:w="1580"/>
                              <w:gridCol w:w="1273"/>
                            </w:tblGrid>
                            <w:tr>
                              <w:trPr>
                                <w:trHeight w:val="299" w:hRule="atLeast"/>
                              </w:trPr>
                              <w:tc>
                                <w:tcPr>
                                  <w:tcW w:w="828" w:type="dxa"/>
                                  <w:tcBorders>
                                    <w:bottom w:val="nil"/>
                                  </w:tcBorders>
                                  <w:shd w:val="clear" w:color="auto" w:fill="365F92"/>
                                </w:tcPr>
                                <w:p>
                                  <w:pPr>
                                    <w:pStyle w:val="TableParagraph"/>
                                    <w:rPr>
                                      <w:rFonts w:ascii="Times New Roman"/>
                                      <w:sz w:val="20"/>
                                    </w:rPr>
                                  </w:pPr>
                                </w:p>
                              </w:tc>
                              <w:tc>
                                <w:tcPr>
                                  <w:tcW w:w="3162" w:type="dxa"/>
                                  <w:tcBorders>
                                    <w:bottom w:val="nil"/>
                                  </w:tcBorders>
                                  <w:shd w:val="clear" w:color="auto" w:fill="365F92"/>
                                </w:tcPr>
                                <w:p>
                                  <w:pPr>
                                    <w:pStyle w:val="TableParagraph"/>
                                    <w:rPr>
                                      <w:rFonts w:ascii="Times New Roman"/>
                                      <w:sz w:val="20"/>
                                    </w:rPr>
                                  </w:pPr>
                                </w:p>
                              </w:tc>
                              <w:tc>
                                <w:tcPr>
                                  <w:tcW w:w="567" w:type="dxa"/>
                                  <w:tcBorders>
                                    <w:bottom w:val="nil"/>
                                  </w:tcBorders>
                                  <w:shd w:val="clear" w:color="auto" w:fill="365F92"/>
                                </w:tcPr>
                                <w:p>
                                  <w:pPr>
                                    <w:pStyle w:val="TableParagraph"/>
                                    <w:rPr>
                                      <w:rFonts w:ascii="Times New Roman"/>
                                      <w:sz w:val="20"/>
                                    </w:rPr>
                                  </w:pPr>
                                </w:p>
                              </w:tc>
                              <w:tc>
                                <w:tcPr>
                                  <w:tcW w:w="1561" w:type="dxa"/>
                                  <w:tcBorders>
                                    <w:bottom w:val="nil"/>
                                  </w:tcBorders>
                                  <w:shd w:val="clear" w:color="auto" w:fill="365F92"/>
                                </w:tcPr>
                                <w:p>
                                  <w:pPr>
                                    <w:pStyle w:val="TableParagraph"/>
                                    <w:rPr>
                                      <w:rFonts w:ascii="Times New Roman"/>
                                      <w:sz w:val="20"/>
                                    </w:rPr>
                                  </w:pPr>
                                </w:p>
                              </w:tc>
                              <w:tc>
                                <w:tcPr>
                                  <w:tcW w:w="1580" w:type="dxa"/>
                                  <w:tcBorders>
                                    <w:bottom w:val="nil"/>
                                  </w:tcBorders>
                                  <w:shd w:val="clear" w:color="auto" w:fill="365F92"/>
                                </w:tcPr>
                                <w:p>
                                  <w:pPr>
                                    <w:pStyle w:val="TableParagraph"/>
                                    <w:rPr>
                                      <w:rFonts w:ascii="Times New Roman"/>
                                      <w:sz w:val="20"/>
                                    </w:rPr>
                                  </w:pPr>
                                </w:p>
                              </w:tc>
                              <w:tc>
                                <w:tcPr>
                                  <w:tcW w:w="1273" w:type="dxa"/>
                                  <w:shd w:val="clear" w:color="auto" w:fill="365F92"/>
                                </w:tcPr>
                                <w:p>
                                  <w:pPr>
                                    <w:pStyle w:val="TableParagraph"/>
                                    <w:spacing w:before="34"/>
                                    <w:ind w:left="9"/>
                                    <w:jc w:val="center"/>
                                    <w:rPr>
                                      <w:b/>
                                      <w:sz w:val="20"/>
                                    </w:rPr>
                                  </w:pPr>
                                  <w:r>
                                    <w:rPr>
                                      <w:b/>
                                      <w:color w:val="FFFFFF"/>
                                      <w:spacing w:val="-2"/>
                                      <w:sz w:val="20"/>
                                    </w:rPr>
                                    <w:t>Diferencia</w:t>
                                  </w:r>
                                </w:p>
                              </w:tc>
                            </w:tr>
                            <w:tr>
                              <w:trPr>
                                <w:trHeight w:val="299" w:hRule="atLeast"/>
                              </w:trPr>
                              <w:tc>
                                <w:tcPr>
                                  <w:tcW w:w="8971" w:type="dxa"/>
                                  <w:gridSpan w:val="6"/>
                                  <w:tcBorders>
                                    <w:top w:val="nil"/>
                                    <w:left w:val="nil"/>
                                    <w:bottom w:val="nil"/>
                                  </w:tcBorders>
                                  <w:shd w:val="clear" w:color="auto" w:fill="365F92"/>
                                </w:tcPr>
                                <w:p>
                                  <w:pPr>
                                    <w:pStyle w:val="TableParagraph"/>
                                    <w:tabs>
                                      <w:tab w:pos="1934" w:val="left" w:leader="none"/>
                                      <w:tab w:pos="4085" w:val="left" w:leader="none"/>
                                      <w:tab w:pos="4745" w:val="left" w:leader="none"/>
                                      <w:tab w:pos="6234" w:val="left" w:leader="none"/>
                                    </w:tabs>
                                    <w:spacing w:line="69" w:lineRule="exact"/>
                                    <w:ind w:left="79"/>
                                    <w:rPr>
                                      <w:b/>
                                      <w:sz w:val="20"/>
                                    </w:rPr>
                                  </w:pPr>
                                  <w:r>
                                    <w:rPr>
                                      <w:b/>
                                      <w:color w:val="FFFFFF"/>
                                      <w:spacing w:val="-2"/>
                                      <w:sz w:val="20"/>
                                    </w:rPr>
                                    <w:t>Cuenta</w:t>
                                  </w:r>
                                  <w:r>
                                    <w:rPr>
                                      <w:b/>
                                      <w:color w:val="FFFFFF"/>
                                      <w:sz w:val="20"/>
                                    </w:rPr>
                                    <w:tab/>
                                  </w:r>
                                  <w:r>
                                    <w:rPr>
                                      <w:b/>
                                      <w:color w:val="FFFFFF"/>
                                      <w:spacing w:val="-2"/>
                                      <w:sz w:val="20"/>
                                    </w:rPr>
                                    <w:t>Descripción</w:t>
                                  </w:r>
                                  <w:r>
                                    <w:rPr>
                                      <w:b/>
                                      <w:color w:val="FFFFFF"/>
                                      <w:sz w:val="20"/>
                                    </w:rPr>
                                    <w:tab/>
                                  </w:r>
                                  <w:r>
                                    <w:rPr>
                                      <w:b/>
                                      <w:color w:val="FFFFFF"/>
                                      <w:spacing w:val="-4"/>
                                      <w:sz w:val="20"/>
                                    </w:rPr>
                                    <w:t>Nota</w:t>
                                  </w:r>
                                  <w:r>
                                    <w:rPr>
                                      <w:b/>
                                      <w:color w:val="FFFFFF"/>
                                      <w:sz w:val="20"/>
                                    </w:rPr>
                                    <w:tab/>
                                    <w:t>Periodo</w:t>
                                  </w:r>
                                  <w:r>
                                    <w:rPr>
                                      <w:b/>
                                      <w:color w:val="FFFFFF"/>
                                      <w:spacing w:val="-5"/>
                                      <w:sz w:val="20"/>
                                    </w:rPr>
                                    <w:t> </w:t>
                                  </w:r>
                                  <w:r>
                                    <w:rPr>
                                      <w:b/>
                                      <w:color w:val="FFFFFF"/>
                                      <w:spacing w:val="-2"/>
                                      <w:sz w:val="20"/>
                                    </w:rPr>
                                    <w:t>Actual</w:t>
                                  </w:r>
                                  <w:r>
                                    <w:rPr>
                                      <w:b/>
                                      <w:color w:val="FFFFFF"/>
                                      <w:sz w:val="20"/>
                                    </w:rPr>
                                    <w:tab/>
                                    <w:t>Periodo</w:t>
                                  </w:r>
                                  <w:r>
                                    <w:rPr>
                                      <w:b/>
                                      <w:color w:val="FFFFFF"/>
                                      <w:spacing w:val="-5"/>
                                      <w:sz w:val="20"/>
                                    </w:rPr>
                                    <w:t> </w:t>
                                  </w:r>
                                  <w:r>
                                    <w:rPr>
                                      <w:b/>
                                      <w:color w:val="FFFFFF"/>
                                      <w:spacing w:val="-2"/>
                                      <w:sz w:val="20"/>
                                    </w:rPr>
                                    <w:t>Anterior</w:t>
                                  </w:r>
                                </w:p>
                                <w:p>
                                  <w:pPr>
                                    <w:pStyle w:val="TableParagraph"/>
                                    <w:spacing w:line="193" w:lineRule="exact"/>
                                    <w:ind w:right="546"/>
                                    <w:jc w:val="right"/>
                                    <w:rPr>
                                      <w:sz w:val="20"/>
                                    </w:rPr>
                                  </w:pPr>
                                  <w:r>
                                    <w:rPr>
                                      <w:color w:val="FFFFFF"/>
                                      <w:spacing w:val="-10"/>
                                      <w:sz w:val="20"/>
                                    </w:rPr>
                                    <w:t>%</w:t>
                                  </w:r>
                                </w:p>
                              </w:tc>
                            </w:tr>
                            <w:tr>
                              <w:trPr>
                                <w:trHeight w:val="469" w:hRule="atLeast"/>
                              </w:trPr>
                              <w:tc>
                                <w:tcPr>
                                  <w:tcW w:w="828" w:type="dxa"/>
                                  <w:tcBorders>
                                    <w:top w:val="nil"/>
                                  </w:tcBorders>
                                </w:tcPr>
                                <w:p>
                                  <w:pPr>
                                    <w:pStyle w:val="TableParagraph"/>
                                    <w:spacing w:before="121"/>
                                    <w:ind w:left="69"/>
                                    <w:rPr>
                                      <w:b/>
                                      <w:sz w:val="20"/>
                                    </w:rPr>
                                  </w:pPr>
                                  <w:r>
                                    <w:rPr>
                                      <w:b/>
                                      <w:spacing w:val="-2"/>
                                      <w:sz w:val="20"/>
                                    </w:rPr>
                                    <w:t>2.1.1.02.</w:t>
                                  </w:r>
                                </w:p>
                              </w:tc>
                              <w:tc>
                                <w:tcPr>
                                  <w:tcW w:w="3162" w:type="dxa"/>
                                  <w:tcBorders>
                                    <w:top w:val="nil"/>
                                  </w:tcBorders>
                                </w:tcPr>
                                <w:p>
                                  <w:pPr>
                                    <w:pStyle w:val="TableParagraph"/>
                                    <w:spacing w:line="220" w:lineRule="atLeast"/>
                                    <w:ind w:left="69" w:right="128"/>
                                    <w:rPr>
                                      <w:b/>
                                      <w:sz w:val="20"/>
                                    </w:rPr>
                                  </w:pPr>
                                  <w:r>
                                    <w:rPr>
                                      <w:b/>
                                      <w:sz w:val="20"/>
                                    </w:rPr>
                                    <w:t>Deudas</w:t>
                                  </w:r>
                                  <w:r>
                                    <w:rPr>
                                      <w:b/>
                                      <w:spacing w:val="-7"/>
                                      <w:sz w:val="20"/>
                                    </w:rPr>
                                    <w:t> </w:t>
                                  </w:r>
                                  <w:r>
                                    <w:rPr>
                                      <w:b/>
                                      <w:sz w:val="20"/>
                                    </w:rPr>
                                    <w:t>sociales</w:t>
                                  </w:r>
                                  <w:r>
                                    <w:rPr>
                                      <w:b/>
                                      <w:spacing w:val="-9"/>
                                      <w:sz w:val="20"/>
                                    </w:rPr>
                                    <w:t> </w:t>
                                  </w:r>
                                  <w:r>
                                    <w:rPr>
                                      <w:b/>
                                      <w:sz w:val="20"/>
                                    </w:rPr>
                                    <w:t>y</w:t>
                                  </w:r>
                                  <w:r>
                                    <w:rPr>
                                      <w:b/>
                                      <w:spacing w:val="-8"/>
                                      <w:sz w:val="20"/>
                                    </w:rPr>
                                    <w:t> </w:t>
                                  </w:r>
                                  <w:r>
                                    <w:rPr>
                                      <w:b/>
                                      <w:sz w:val="20"/>
                                    </w:rPr>
                                    <w:t>fiscales</w:t>
                                  </w:r>
                                  <w:r>
                                    <w:rPr>
                                      <w:b/>
                                      <w:spacing w:val="-7"/>
                                      <w:sz w:val="20"/>
                                    </w:rPr>
                                    <w:t> </w:t>
                                  </w:r>
                                  <w:r>
                                    <w:rPr>
                                      <w:b/>
                                      <w:sz w:val="20"/>
                                    </w:rPr>
                                    <w:t>a</w:t>
                                  </w:r>
                                  <w:r>
                                    <w:rPr>
                                      <w:b/>
                                      <w:spacing w:val="-9"/>
                                      <w:sz w:val="20"/>
                                    </w:rPr>
                                    <w:t> </w:t>
                                  </w:r>
                                  <w:r>
                                    <w:rPr>
                                      <w:b/>
                                      <w:sz w:val="20"/>
                                    </w:rPr>
                                    <w:t>corto </w:t>
                                  </w:r>
                                  <w:r>
                                    <w:rPr>
                                      <w:b/>
                                      <w:spacing w:val="-2"/>
                                      <w:sz w:val="20"/>
                                    </w:rPr>
                                    <w:t>plazo</w:t>
                                  </w:r>
                                </w:p>
                              </w:tc>
                              <w:tc>
                                <w:tcPr>
                                  <w:tcW w:w="567" w:type="dxa"/>
                                  <w:tcBorders>
                                    <w:top w:val="nil"/>
                                  </w:tcBorders>
                                </w:tcPr>
                                <w:p>
                                  <w:pPr>
                                    <w:pStyle w:val="TableParagraph"/>
                                    <w:spacing w:before="121"/>
                                    <w:ind w:left="68"/>
                                    <w:rPr>
                                      <w:b/>
                                      <w:sz w:val="20"/>
                                    </w:rPr>
                                  </w:pPr>
                                  <w:r>
                                    <w:rPr>
                                      <w:b/>
                                      <w:spacing w:val="-5"/>
                                      <w:sz w:val="20"/>
                                    </w:rPr>
                                    <w:t>14</w:t>
                                  </w:r>
                                </w:p>
                              </w:tc>
                              <w:tc>
                                <w:tcPr>
                                  <w:tcW w:w="1561" w:type="dxa"/>
                                  <w:tcBorders>
                                    <w:top w:val="nil"/>
                                  </w:tcBorders>
                                </w:tcPr>
                                <w:p>
                                  <w:pPr>
                                    <w:pStyle w:val="TableParagraph"/>
                                    <w:spacing w:before="111"/>
                                    <w:ind w:left="260"/>
                                    <w:rPr>
                                      <w:b/>
                                      <w:sz w:val="20"/>
                                    </w:rPr>
                                  </w:pPr>
                                  <w:r>
                                    <w:rPr>
                                      <w:b/>
                                      <w:sz w:val="20"/>
                                    </w:rPr>
                                    <w:t>2</w:t>
                                  </w:r>
                                  <w:r>
                                    <w:rPr>
                                      <w:b/>
                                      <w:spacing w:val="-2"/>
                                      <w:sz w:val="20"/>
                                    </w:rPr>
                                    <w:t> </w:t>
                                  </w:r>
                                  <w:r>
                                    <w:rPr>
                                      <w:b/>
                                      <w:sz w:val="20"/>
                                    </w:rPr>
                                    <w:t>568</w:t>
                                  </w:r>
                                  <w:r>
                                    <w:rPr>
                                      <w:b/>
                                      <w:spacing w:val="-2"/>
                                      <w:sz w:val="20"/>
                                    </w:rPr>
                                    <w:t> 102,12</w:t>
                                  </w:r>
                                </w:p>
                              </w:tc>
                              <w:tc>
                                <w:tcPr>
                                  <w:tcW w:w="1580" w:type="dxa"/>
                                  <w:tcBorders>
                                    <w:top w:val="nil"/>
                                  </w:tcBorders>
                                </w:tcPr>
                                <w:p>
                                  <w:pPr>
                                    <w:pStyle w:val="TableParagraph"/>
                                    <w:spacing w:before="111"/>
                                    <w:ind w:left="269"/>
                                    <w:rPr>
                                      <w:b/>
                                      <w:sz w:val="20"/>
                                    </w:rPr>
                                  </w:pPr>
                                  <w:r>
                                    <w:rPr>
                                      <w:b/>
                                      <w:sz w:val="20"/>
                                    </w:rPr>
                                    <w:t>2</w:t>
                                  </w:r>
                                  <w:r>
                                    <w:rPr>
                                      <w:b/>
                                      <w:spacing w:val="-2"/>
                                      <w:sz w:val="20"/>
                                    </w:rPr>
                                    <w:t> </w:t>
                                  </w:r>
                                  <w:r>
                                    <w:rPr>
                                      <w:b/>
                                      <w:sz w:val="20"/>
                                    </w:rPr>
                                    <w:t>493</w:t>
                                  </w:r>
                                  <w:r>
                                    <w:rPr>
                                      <w:b/>
                                      <w:spacing w:val="-2"/>
                                      <w:sz w:val="20"/>
                                    </w:rPr>
                                    <w:t> 086,29</w:t>
                                  </w:r>
                                </w:p>
                              </w:tc>
                              <w:tc>
                                <w:tcPr>
                                  <w:tcW w:w="1273" w:type="dxa"/>
                                </w:tcPr>
                                <w:p>
                                  <w:pPr>
                                    <w:pStyle w:val="TableParagraph"/>
                                    <w:spacing w:before="111"/>
                                    <w:ind w:left="9" w:right="2"/>
                                    <w:jc w:val="center"/>
                                    <w:rPr>
                                      <w:b/>
                                      <w:sz w:val="20"/>
                                    </w:rPr>
                                  </w:pPr>
                                  <w:r>
                                    <w:rPr>
                                      <w:b/>
                                      <w:spacing w:val="-2"/>
                                      <w:sz w:val="20"/>
                                    </w:rPr>
                                    <w:t>3,01%</w:t>
                                  </w:r>
                                </w:p>
                              </w:tc>
                            </w:tr>
                          </w:tbl>
                          <w:p>
                            <w:pPr>
                              <w:pStyle w:val="BodyText"/>
                            </w:pPr>
                          </w:p>
                        </w:txbxContent>
                      </wps:txbx>
                      <wps:bodyPr wrap="square" lIns="0" tIns="0" rIns="0" bIns="0" rtlCol="0">
                        <a:noAutofit/>
                      </wps:bodyPr>
                    </wps:wsp>
                  </a:graphicData>
                </a:graphic>
              </wp:anchor>
            </w:drawing>
          </mc:Choice>
          <mc:Fallback>
            <w:pict>
              <v:shape style="position:absolute;margin-left:87.503998pt;margin-top:258.409973pt;width:455.4pt;height:57.35pt;mso-position-horizontal-relative:page;mso-position-vertical-relative:page;z-index:15785472" type="#_x0000_t202" id="docshape339"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3162"/>
                        <w:gridCol w:w="567"/>
                        <w:gridCol w:w="1561"/>
                        <w:gridCol w:w="1580"/>
                        <w:gridCol w:w="1273"/>
                      </w:tblGrid>
                      <w:tr>
                        <w:trPr>
                          <w:trHeight w:val="299" w:hRule="atLeast"/>
                        </w:trPr>
                        <w:tc>
                          <w:tcPr>
                            <w:tcW w:w="828" w:type="dxa"/>
                            <w:tcBorders>
                              <w:bottom w:val="nil"/>
                            </w:tcBorders>
                            <w:shd w:val="clear" w:color="auto" w:fill="365F92"/>
                          </w:tcPr>
                          <w:p>
                            <w:pPr>
                              <w:pStyle w:val="TableParagraph"/>
                              <w:rPr>
                                <w:rFonts w:ascii="Times New Roman"/>
                                <w:sz w:val="20"/>
                              </w:rPr>
                            </w:pPr>
                          </w:p>
                        </w:tc>
                        <w:tc>
                          <w:tcPr>
                            <w:tcW w:w="3162" w:type="dxa"/>
                            <w:tcBorders>
                              <w:bottom w:val="nil"/>
                            </w:tcBorders>
                            <w:shd w:val="clear" w:color="auto" w:fill="365F92"/>
                          </w:tcPr>
                          <w:p>
                            <w:pPr>
                              <w:pStyle w:val="TableParagraph"/>
                              <w:rPr>
                                <w:rFonts w:ascii="Times New Roman"/>
                                <w:sz w:val="20"/>
                              </w:rPr>
                            </w:pPr>
                          </w:p>
                        </w:tc>
                        <w:tc>
                          <w:tcPr>
                            <w:tcW w:w="567" w:type="dxa"/>
                            <w:tcBorders>
                              <w:bottom w:val="nil"/>
                            </w:tcBorders>
                            <w:shd w:val="clear" w:color="auto" w:fill="365F92"/>
                          </w:tcPr>
                          <w:p>
                            <w:pPr>
                              <w:pStyle w:val="TableParagraph"/>
                              <w:rPr>
                                <w:rFonts w:ascii="Times New Roman"/>
                                <w:sz w:val="20"/>
                              </w:rPr>
                            </w:pPr>
                          </w:p>
                        </w:tc>
                        <w:tc>
                          <w:tcPr>
                            <w:tcW w:w="1561" w:type="dxa"/>
                            <w:tcBorders>
                              <w:bottom w:val="nil"/>
                            </w:tcBorders>
                            <w:shd w:val="clear" w:color="auto" w:fill="365F92"/>
                          </w:tcPr>
                          <w:p>
                            <w:pPr>
                              <w:pStyle w:val="TableParagraph"/>
                              <w:rPr>
                                <w:rFonts w:ascii="Times New Roman"/>
                                <w:sz w:val="20"/>
                              </w:rPr>
                            </w:pPr>
                          </w:p>
                        </w:tc>
                        <w:tc>
                          <w:tcPr>
                            <w:tcW w:w="1580" w:type="dxa"/>
                            <w:tcBorders>
                              <w:bottom w:val="nil"/>
                            </w:tcBorders>
                            <w:shd w:val="clear" w:color="auto" w:fill="365F92"/>
                          </w:tcPr>
                          <w:p>
                            <w:pPr>
                              <w:pStyle w:val="TableParagraph"/>
                              <w:rPr>
                                <w:rFonts w:ascii="Times New Roman"/>
                                <w:sz w:val="20"/>
                              </w:rPr>
                            </w:pPr>
                          </w:p>
                        </w:tc>
                        <w:tc>
                          <w:tcPr>
                            <w:tcW w:w="1273" w:type="dxa"/>
                            <w:shd w:val="clear" w:color="auto" w:fill="365F92"/>
                          </w:tcPr>
                          <w:p>
                            <w:pPr>
                              <w:pStyle w:val="TableParagraph"/>
                              <w:spacing w:before="34"/>
                              <w:ind w:left="9"/>
                              <w:jc w:val="center"/>
                              <w:rPr>
                                <w:b/>
                                <w:sz w:val="20"/>
                              </w:rPr>
                            </w:pPr>
                            <w:r>
                              <w:rPr>
                                <w:b/>
                                <w:color w:val="FFFFFF"/>
                                <w:spacing w:val="-2"/>
                                <w:sz w:val="20"/>
                              </w:rPr>
                              <w:t>Diferencia</w:t>
                            </w:r>
                          </w:p>
                        </w:tc>
                      </w:tr>
                      <w:tr>
                        <w:trPr>
                          <w:trHeight w:val="299" w:hRule="atLeast"/>
                        </w:trPr>
                        <w:tc>
                          <w:tcPr>
                            <w:tcW w:w="8971" w:type="dxa"/>
                            <w:gridSpan w:val="6"/>
                            <w:tcBorders>
                              <w:top w:val="nil"/>
                              <w:left w:val="nil"/>
                              <w:bottom w:val="nil"/>
                            </w:tcBorders>
                            <w:shd w:val="clear" w:color="auto" w:fill="365F92"/>
                          </w:tcPr>
                          <w:p>
                            <w:pPr>
                              <w:pStyle w:val="TableParagraph"/>
                              <w:tabs>
                                <w:tab w:pos="1934" w:val="left" w:leader="none"/>
                                <w:tab w:pos="4085" w:val="left" w:leader="none"/>
                                <w:tab w:pos="4745" w:val="left" w:leader="none"/>
                                <w:tab w:pos="6234" w:val="left" w:leader="none"/>
                              </w:tabs>
                              <w:spacing w:line="69" w:lineRule="exact"/>
                              <w:ind w:left="79"/>
                              <w:rPr>
                                <w:b/>
                                <w:sz w:val="20"/>
                              </w:rPr>
                            </w:pPr>
                            <w:r>
                              <w:rPr>
                                <w:b/>
                                <w:color w:val="FFFFFF"/>
                                <w:spacing w:val="-2"/>
                                <w:sz w:val="20"/>
                              </w:rPr>
                              <w:t>Cuenta</w:t>
                            </w:r>
                            <w:r>
                              <w:rPr>
                                <w:b/>
                                <w:color w:val="FFFFFF"/>
                                <w:sz w:val="20"/>
                              </w:rPr>
                              <w:tab/>
                            </w:r>
                            <w:r>
                              <w:rPr>
                                <w:b/>
                                <w:color w:val="FFFFFF"/>
                                <w:spacing w:val="-2"/>
                                <w:sz w:val="20"/>
                              </w:rPr>
                              <w:t>Descripción</w:t>
                            </w:r>
                            <w:r>
                              <w:rPr>
                                <w:b/>
                                <w:color w:val="FFFFFF"/>
                                <w:sz w:val="20"/>
                              </w:rPr>
                              <w:tab/>
                            </w:r>
                            <w:r>
                              <w:rPr>
                                <w:b/>
                                <w:color w:val="FFFFFF"/>
                                <w:spacing w:val="-4"/>
                                <w:sz w:val="20"/>
                              </w:rPr>
                              <w:t>Nota</w:t>
                            </w:r>
                            <w:r>
                              <w:rPr>
                                <w:b/>
                                <w:color w:val="FFFFFF"/>
                                <w:sz w:val="20"/>
                              </w:rPr>
                              <w:tab/>
                              <w:t>Periodo</w:t>
                            </w:r>
                            <w:r>
                              <w:rPr>
                                <w:b/>
                                <w:color w:val="FFFFFF"/>
                                <w:spacing w:val="-5"/>
                                <w:sz w:val="20"/>
                              </w:rPr>
                              <w:t> </w:t>
                            </w:r>
                            <w:r>
                              <w:rPr>
                                <w:b/>
                                <w:color w:val="FFFFFF"/>
                                <w:spacing w:val="-2"/>
                                <w:sz w:val="20"/>
                              </w:rPr>
                              <w:t>Actual</w:t>
                            </w:r>
                            <w:r>
                              <w:rPr>
                                <w:b/>
                                <w:color w:val="FFFFFF"/>
                                <w:sz w:val="20"/>
                              </w:rPr>
                              <w:tab/>
                              <w:t>Periodo</w:t>
                            </w:r>
                            <w:r>
                              <w:rPr>
                                <w:b/>
                                <w:color w:val="FFFFFF"/>
                                <w:spacing w:val="-5"/>
                                <w:sz w:val="20"/>
                              </w:rPr>
                              <w:t> </w:t>
                            </w:r>
                            <w:r>
                              <w:rPr>
                                <w:b/>
                                <w:color w:val="FFFFFF"/>
                                <w:spacing w:val="-2"/>
                                <w:sz w:val="20"/>
                              </w:rPr>
                              <w:t>Anterior</w:t>
                            </w:r>
                          </w:p>
                          <w:p>
                            <w:pPr>
                              <w:pStyle w:val="TableParagraph"/>
                              <w:spacing w:line="193" w:lineRule="exact"/>
                              <w:ind w:right="546"/>
                              <w:jc w:val="right"/>
                              <w:rPr>
                                <w:sz w:val="20"/>
                              </w:rPr>
                            </w:pPr>
                            <w:r>
                              <w:rPr>
                                <w:color w:val="FFFFFF"/>
                                <w:spacing w:val="-10"/>
                                <w:sz w:val="20"/>
                              </w:rPr>
                              <w:t>%</w:t>
                            </w:r>
                          </w:p>
                        </w:tc>
                      </w:tr>
                      <w:tr>
                        <w:trPr>
                          <w:trHeight w:val="469" w:hRule="atLeast"/>
                        </w:trPr>
                        <w:tc>
                          <w:tcPr>
                            <w:tcW w:w="828" w:type="dxa"/>
                            <w:tcBorders>
                              <w:top w:val="nil"/>
                            </w:tcBorders>
                          </w:tcPr>
                          <w:p>
                            <w:pPr>
                              <w:pStyle w:val="TableParagraph"/>
                              <w:spacing w:before="121"/>
                              <w:ind w:left="69"/>
                              <w:rPr>
                                <w:b/>
                                <w:sz w:val="20"/>
                              </w:rPr>
                            </w:pPr>
                            <w:r>
                              <w:rPr>
                                <w:b/>
                                <w:spacing w:val="-2"/>
                                <w:sz w:val="20"/>
                              </w:rPr>
                              <w:t>2.1.1.02.</w:t>
                            </w:r>
                          </w:p>
                        </w:tc>
                        <w:tc>
                          <w:tcPr>
                            <w:tcW w:w="3162" w:type="dxa"/>
                            <w:tcBorders>
                              <w:top w:val="nil"/>
                            </w:tcBorders>
                          </w:tcPr>
                          <w:p>
                            <w:pPr>
                              <w:pStyle w:val="TableParagraph"/>
                              <w:spacing w:line="220" w:lineRule="atLeast"/>
                              <w:ind w:left="69" w:right="128"/>
                              <w:rPr>
                                <w:b/>
                                <w:sz w:val="20"/>
                              </w:rPr>
                            </w:pPr>
                            <w:r>
                              <w:rPr>
                                <w:b/>
                                <w:sz w:val="20"/>
                              </w:rPr>
                              <w:t>Deudas</w:t>
                            </w:r>
                            <w:r>
                              <w:rPr>
                                <w:b/>
                                <w:spacing w:val="-7"/>
                                <w:sz w:val="20"/>
                              </w:rPr>
                              <w:t> </w:t>
                            </w:r>
                            <w:r>
                              <w:rPr>
                                <w:b/>
                                <w:sz w:val="20"/>
                              </w:rPr>
                              <w:t>sociales</w:t>
                            </w:r>
                            <w:r>
                              <w:rPr>
                                <w:b/>
                                <w:spacing w:val="-9"/>
                                <w:sz w:val="20"/>
                              </w:rPr>
                              <w:t> </w:t>
                            </w:r>
                            <w:r>
                              <w:rPr>
                                <w:b/>
                                <w:sz w:val="20"/>
                              </w:rPr>
                              <w:t>y</w:t>
                            </w:r>
                            <w:r>
                              <w:rPr>
                                <w:b/>
                                <w:spacing w:val="-8"/>
                                <w:sz w:val="20"/>
                              </w:rPr>
                              <w:t> </w:t>
                            </w:r>
                            <w:r>
                              <w:rPr>
                                <w:b/>
                                <w:sz w:val="20"/>
                              </w:rPr>
                              <w:t>fiscales</w:t>
                            </w:r>
                            <w:r>
                              <w:rPr>
                                <w:b/>
                                <w:spacing w:val="-7"/>
                                <w:sz w:val="20"/>
                              </w:rPr>
                              <w:t> </w:t>
                            </w:r>
                            <w:r>
                              <w:rPr>
                                <w:b/>
                                <w:sz w:val="20"/>
                              </w:rPr>
                              <w:t>a</w:t>
                            </w:r>
                            <w:r>
                              <w:rPr>
                                <w:b/>
                                <w:spacing w:val="-9"/>
                                <w:sz w:val="20"/>
                              </w:rPr>
                              <w:t> </w:t>
                            </w:r>
                            <w:r>
                              <w:rPr>
                                <w:b/>
                                <w:sz w:val="20"/>
                              </w:rPr>
                              <w:t>corto </w:t>
                            </w:r>
                            <w:r>
                              <w:rPr>
                                <w:b/>
                                <w:spacing w:val="-2"/>
                                <w:sz w:val="20"/>
                              </w:rPr>
                              <w:t>plazo</w:t>
                            </w:r>
                          </w:p>
                        </w:tc>
                        <w:tc>
                          <w:tcPr>
                            <w:tcW w:w="567" w:type="dxa"/>
                            <w:tcBorders>
                              <w:top w:val="nil"/>
                            </w:tcBorders>
                          </w:tcPr>
                          <w:p>
                            <w:pPr>
                              <w:pStyle w:val="TableParagraph"/>
                              <w:spacing w:before="121"/>
                              <w:ind w:left="68"/>
                              <w:rPr>
                                <w:b/>
                                <w:sz w:val="20"/>
                              </w:rPr>
                            </w:pPr>
                            <w:r>
                              <w:rPr>
                                <w:b/>
                                <w:spacing w:val="-5"/>
                                <w:sz w:val="20"/>
                              </w:rPr>
                              <w:t>14</w:t>
                            </w:r>
                          </w:p>
                        </w:tc>
                        <w:tc>
                          <w:tcPr>
                            <w:tcW w:w="1561" w:type="dxa"/>
                            <w:tcBorders>
                              <w:top w:val="nil"/>
                            </w:tcBorders>
                          </w:tcPr>
                          <w:p>
                            <w:pPr>
                              <w:pStyle w:val="TableParagraph"/>
                              <w:spacing w:before="111"/>
                              <w:ind w:left="260"/>
                              <w:rPr>
                                <w:b/>
                                <w:sz w:val="20"/>
                              </w:rPr>
                            </w:pPr>
                            <w:r>
                              <w:rPr>
                                <w:b/>
                                <w:sz w:val="20"/>
                              </w:rPr>
                              <w:t>2</w:t>
                            </w:r>
                            <w:r>
                              <w:rPr>
                                <w:b/>
                                <w:spacing w:val="-2"/>
                                <w:sz w:val="20"/>
                              </w:rPr>
                              <w:t> </w:t>
                            </w:r>
                            <w:r>
                              <w:rPr>
                                <w:b/>
                                <w:sz w:val="20"/>
                              </w:rPr>
                              <w:t>568</w:t>
                            </w:r>
                            <w:r>
                              <w:rPr>
                                <w:b/>
                                <w:spacing w:val="-2"/>
                                <w:sz w:val="20"/>
                              </w:rPr>
                              <w:t> 102,12</w:t>
                            </w:r>
                          </w:p>
                        </w:tc>
                        <w:tc>
                          <w:tcPr>
                            <w:tcW w:w="1580" w:type="dxa"/>
                            <w:tcBorders>
                              <w:top w:val="nil"/>
                            </w:tcBorders>
                          </w:tcPr>
                          <w:p>
                            <w:pPr>
                              <w:pStyle w:val="TableParagraph"/>
                              <w:spacing w:before="111"/>
                              <w:ind w:left="269"/>
                              <w:rPr>
                                <w:b/>
                                <w:sz w:val="20"/>
                              </w:rPr>
                            </w:pPr>
                            <w:r>
                              <w:rPr>
                                <w:b/>
                                <w:sz w:val="20"/>
                              </w:rPr>
                              <w:t>2</w:t>
                            </w:r>
                            <w:r>
                              <w:rPr>
                                <w:b/>
                                <w:spacing w:val="-2"/>
                                <w:sz w:val="20"/>
                              </w:rPr>
                              <w:t> </w:t>
                            </w:r>
                            <w:r>
                              <w:rPr>
                                <w:b/>
                                <w:sz w:val="20"/>
                              </w:rPr>
                              <w:t>493</w:t>
                            </w:r>
                            <w:r>
                              <w:rPr>
                                <w:b/>
                                <w:spacing w:val="-2"/>
                                <w:sz w:val="20"/>
                              </w:rPr>
                              <w:t> 086,29</w:t>
                            </w:r>
                          </w:p>
                        </w:tc>
                        <w:tc>
                          <w:tcPr>
                            <w:tcW w:w="1273" w:type="dxa"/>
                          </w:tcPr>
                          <w:p>
                            <w:pPr>
                              <w:pStyle w:val="TableParagraph"/>
                              <w:spacing w:before="111"/>
                              <w:ind w:left="9" w:right="2"/>
                              <w:jc w:val="center"/>
                              <w:rPr>
                                <w:b/>
                                <w:sz w:val="20"/>
                              </w:rPr>
                            </w:pPr>
                            <w:r>
                              <w:rPr>
                                <w:b/>
                                <w:spacing w:val="-2"/>
                                <w:sz w:val="20"/>
                              </w:rPr>
                              <w:t>3,01%</w:t>
                            </w:r>
                          </w:p>
                        </w:tc>
                      </w:tr>
                    </w:tbl>
                    <w:p>
                      <w:pPr>
                        <w:pStyle w:val="BodyText"/>
                      </w:pPr>
                    </w:p>
                  </w:txbxContent>
                </v:textbox>
                <w10:wrap type="none"/>
              </v:shape>
            </w:pict>
          </mc:Fallback>
        </mc:AlternateContent>
      </w:r>
      <w:r>
        <w:rPr>
          <w:sz w:val="20"/>
        </w:rPr>
        <mc:AlternateContent>
          <mc:Choice Requires="wps">
            <w:drawing>
              <wp:anchor distT="0" distB="0" distL="0" distR="0" allowOverlap="1" layoutInCell="1" locked="0" behindDoc="0" simplePos="0" relativeHeight="15785984">
                <wp:simplePos x="0" y="0"/>
                <wp:positionH relativeFrom="page">
                  <wp:posOffset>1117396</wp:posOffset>
                </wp:positionH>
                <wp:positionV relativeFrom="page">
                  <wp:posOffset>3287902</wp:posOffset>
                </wp:positionV>
                <wp:extent cx="5771515" cy="715010"/>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5771515" cy="7150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8"/>
                              <w:gridCol w:w="3162"/>
                              <w:gridCol w:w="567"/>
                              <w:gridCol w:w="1561"/>
                              <w:gridCol w:w="1580"/>
                              <w:gridCol w:w="1273"/>
                            </w:tblGrid>
                            <w:tr>
                              <w:trPr>
                                <w:trHeight w:val="319" w:hRule="atLeast"/>
                              </w:trPr>
                              <w:tc>
                                <w:tcPr>
                                  <w:tcW w:w="828" w:type="dxa"/>
                                  <w:shd w:val="clear" w:color="auto" w:fill="365F92"/>
                                </w:tcPr>
                                <w:p>
                                  <w:pPr>
                                    <w:pStyle w:val="TableParagraph"/>
                                    <w:rPr>
                                      <w:rFonts w:ascii="Times New Roman"/>
                                      <w:sz w:val="20"/>
                                    </w:rPr>
                                  </w:pPr>
                                </w:p>
                              </w:tc>
                              <w:tc>
                                <w:tcPr>
                                  <w:tcW w:w="3162" w:type="dxa"/>
                                  <w:shd w:val="clear" w:color="auto" w:fill="365F92"/>
                                </w:tcPr>
                                <w:p>
                                  <w:pPr>
                                    <w:pStyle w:val="TableParagraph"/>
                                    <w:rPr>
                                      <w:rFonts w:ascii="Times New Roman"/>
                                      <w:sz w:val="20"/>
                                    </w:rPr>
                                  </w:pPr>
                                </w:p>
                              </w:tc>
                              <w:tc>
                                <w:tcPr>
                                  <w:tcW w:w="567" w:type="dxa"/>
                                  <w:shd w:val="clear" w:color="auto" w:fill="365F92"/>
                                </w:tcPr>
                                <w:p>
                                  <w:pPr>
                                    <w:pStyle w:val="TableParagraph"/>
                                    <w:rPr>
                                      <w:rFonts w:ascii="Times New Roman"/>
                                      <w:sz w:val="20"/>
                                    </w:rPr>
                                  </w:pPr>
                                </w:p>
                              </w:tc>
                              <w:tc>
                                <w:tcPr>
                                  <w:tcW w:w="1561" w:type="dxa"/>
                                  <w:shd w:val="clear" w:color="auto" w:fill="365F92"/>
                                </w:tcPr>
                                <w:p>
                                  <w:pPr>
                                    <w:pStyle w:val="TableParagraph"/>
                                    <w:rPr>
                                      <w:rFonts w:ascii="Times New Roman"/>
                                      <w:sz w:val="20"/>
                                    </w:rPr>
                                  </w:pPr>
                                </w:p>
                              </w:tc>
                              <w:tc>
                                <w:tcPr>
                                  <w:tcW w:w="1580" w:type="dxa"/>
                                  <w:shd w:val="clear" w:color="auto" w:fill="365F92"/>
                                </w:tcPr>
                                <w:p>
                                  <w:pPr>
                                    <w:pStyle w:val="TableParagraph"/>
                                    <w:rPr>
                                      <w:rFonts w:ascii="Times New Roman"/>
                                      <w:sz w:val="20"/>
                                    </w:rPr>
                                  </w:pPr>
                                </w:p>
                              </w:tc>
                              <w:tc>
                                <w:tcPr>
                                  <w:tcW w:w="1273" w:type="dxa"/>
                                </w:tcPr>
                                <w:p>
                                  <w:pPr>
                                    <w:pStyle w:val="TableParagraph"/>
                                    <w:rPr>
                                      <w:rFonts w:ascii="Times New Roman"/>
                                      <w:sz w:val="20"/>
                                    </w:rPr>
                                  </w:pPr>
                                </w:p>
                              </w:tc>
                            </w:tr>
                            <w:tr>
                              <w:trPr>
                                <w:trHeight w:val="91" w:hRule="atLeast"/>
                              </w:trPr>
                              <w:tc>
                                <w:tcPr>
                                  <w:tcW w:w="828" w:type="dxa"/>
                                  <w:shd w:val="clear" w:color="auto" w:fill="365F92"/>
                                </w:tcPr>
                                <w:p>
                                  <w:pPr>
                                    <w:pStyle w:val="TableParagraph"/>
                                    <w:rPr>
                                      <w:rFonts w:ascii="Times New Roman"/>
                                      <w:sz w:val="4"/>
                                    </w:rPr>
                                  </w:pPr>
                                </w:p>
                              </w:tc>
                              <w:tc>
                                <w:tcPr>
                                  <w:tcW w:w="3162" w:type="dxa"/>
                                  <w:shd w:val="clear" w:color="auto" w:fill="365F92"/>
                                </w:tcPr>
                                <w:p>
                                  <w:pPr>
                                    <w:pStyle w:val="TableParagraph"/>
                                    <w:rPr>
                                      <w:rFonts w:ascii="Times New Roman"/>
                                      <w:sz w:val="4"/>
                                    </w:rPr>
                                  </w:pPr>
                                </w:p>
                              </w:tc>
                              <w:tc>
                                <w:tcPr>
                                  <w:tcW w:w="567" w:type="dxa"/>
                                  <w:shd w:val="clear" w:color="auto" w:fill="365F92"/>
                                </w:tcPr>
                                <w:p>
                                  <w:pPr>
                                    <w:pStyle w:val="TableParagraph"/>
                                    <w:rPr>
                                      <w:rFonts w:ascii="Times New Roman"/>
                                      <w:sz w:val="4"/>
                                    </w:rPr>
                                  </w:pPr>
                                </w:p>
                              </w:tc>
                              <w:tc>
                                <w:tcPr>
                                  <w:tcW w:w="1561" w:type="dxa"/>
                                  <w:shd w:val="clear" w:color="auto" w:fill="365F92"/>
                                </w:tcPr>
                                <w:p>
                                  <w:pPr>
                                    <w:pStyle w:val="TableParagraph"/>
                                    <w:rPr>
                                      <w:rFonts w:ascii="Times New Roman"/>
                                      <w:sz w:val="4"/>
                                    </w:rPr>
                                  </w:pPr>
                                </w:p>
                              </w:tc>
                              <w:tc>
                                <w:tcPr>
                                  <w:tcW w:w="1580" w:type="dxa"/>
                                  <w:shd w:val="clear" w:color="auto" w:fill="365F92"/>
                                </w:tcPr>
                                <w:p>
                                  <w:pPr>
                                    <w:pStyle w:val="TableParagraph"/>
                                    <w:rPr>
                                      <w:rFonts w:ascii="Times New Roman"/>
                                      <w:sz w:val="4"/>
                                    </w:rPr>
                                  </w:pPr>
                                </w:p>
                              </w:tc>
                              <w:tc>
                                <w:tcPr>
                                  <w:tcW w:w="1273" w:type="dxa"/>
                                  <w:shd w:val="clear" w:color="auto" w:fill="365F92"/>
                                </w:tcPr>
                                <w:p>
                                  <w:pPr>
                                    <w:pStyle w:val="TableParagraph"/>
                                    <w:rPr>
                                      <w:rFonts w:ascii="Times New Roman"/>
                                      <w:sz w:val="4"/>
                                    </w:rPr>
                                  </w:pPr>
                                </w:p>
                              </w:tc>
                            </w:tr>
                            <w:tr>
                              <w:trPr>
                                <w:trHeight w:val="227" w:hRule="atLeast"/>
                              </w:trPr>
                              <w:tc>
                                <w:tcPr>
                                  <w:tcW w:w="828" w:type="dxa"/>
                                  <w:shd w:val="clear" w:color="auto" w:fill="365F92"/>
                                </w:tcPr>
                                <w:p>
                                  <w:pPr>
                                    <w:pStyle w:val="TableParagraph"/>
                                    <w:rPr>
                                      <w:rFonts w:ascii="Times New Roman"/>
                                      <w:sz w:val="16"/>
                                    </w:rPr>
                                  </w:pPr>
                                </w:p>
                              </w:tc>
                              <w:tc>
                                <w:tcPr>
                                  <w:tcW w:w="3162" w:type="dxa"/>
                                  <w:shd w:val="clear" w:color="auto" w:fill="365F92"/>
                                </w:tcPr>
                                <w:p>
                                  <w:pPr>
                                    <w:pStyle w:val="TableParagraph"/>
                                    <w:rPr>
                                      <w:rFonts w:ascii="Times New Roman"/>
                                      <w:sz w:val="16"/>
                                    </w:rPr>
                                  </w:pPr>
                                </w:p>
                              </w:tc>
                              <w:tc>
                                <w:tcPr>
                                  <w:tcW w:w="567" w:type="dxa"/>
                                  <w:shd w:val="clear" w:color="auto" w:fill="365F92"/>
                                </w:tcPr>
                                <w:p>
                                  <w:pPr>
                                    <w:pStyle w:val="TableParagraph"/>
                                    <w:rPr>
                                      <w:rFonts w:ascii="Times New Roman"/>
                                      <w:sz w:val="16"/>
                                    </w:rPr>
                                  </w:pPr>
                                </w:p>
                              </w:tc>
                              <w:tc>
                                <w:tcPr>
                                  <w:tcW w:w="1561" w:type="dxa"/>
                                  <w:shd w:val="clear" w:color="auto" w:fill="365F92"/>
                                </w:tcPr>
                                <w:p>
                                  <w:pPr>
                                    <w:pStyle w:val="TableParagraph"/>
                                    <w:rPr>
                                      <w:rFonts w:ascii="Times New Roman"/>
                                      <w:sz w:val="16"/>
                                    </w:rPr>
                                  </w:pPr>
                                </w:p>
                              </w:tc>
                              <w:tc>
                                <w:tcPr>
                                  <w:tcW w:w="1580" w:type="dxa"/>
                                  <w:shd w:val="clear" w:color="auto" w:fill="365F92"/>
                                </w:tcPr>
                                <w:p>
                                  <w:pPr>
                                    <w:pStyle w:val="TableParagraph"/>
                                    <w:rPr>
                                      <w:rFonts w:ascii="Times New Roman"/>
                                      <w:sz w:val="16"/>
                                    </w:rPr>
                                  </w:pPr>
                                </w:p>
                              </w:tc>
                              <w:tc>
                                <w:tcPr>
                                  <w:tcW w:w="1273" w:type="dxa"/>
                                  <w:shd w:val="clear" w:color="auto" w:fill="365F92"/>
                                </w:tcPr>
                                <w:p>
                                  <w:pPr>
                                    <w:pStyle w:val="TableParagraph"/>
                                    <w:rPr>
                                      <w:rFonts w:ascii="Times New Roman"/>
                                      <w:sz w:val="16"/>
                                    </w:rPr>
                                  </w:pPr>
                                </w:p>
                              </w:tc>
                            </w:tr>
                            <w:tr>
                              <w:trPr>
                                <w:trHeight w:val="489" w:hRule="atLeast"/>
                              </w:trPr>
                              <w:tc>
                                <w:tcPr>
                                  <w:tcW w:w="828" w:type="dxa"/>
                                </w:tcPr>
                                <w:p>
                                  <w:pPr>
                                    <w:pStyle w:val="TableParagraph"/>
                                    <w:rPr>
                                      <w:rFonts w:ascii="Times New Roman"/>
                                      <w:sz w:val="20"/>
                                    </w:rPr>
                                  </w:pPr>
                                </w:p>
                              </w:tc>
                              <w:tc>
                                <w:tcPr>
                                  <w:tcW w:w="3162" w:type="dxa"/>
                                </w:tcPr>
                                <w:p>
                                  <w:pPr>
                                    <w:pStyle w:val="TableParagraph"/>
                                    <w:rPr>
                                      <w:rFonts w:ascii="Times New Roman"/>
                                      <w:sz w:val="20"/>
                                    </w:rPr>
                                  </w:pPr>
                                </w:p>
                              </w:tc>
                              <w:tc>
                                <w:tcPr>
                                  <w:tcW w:w="567" w:type="dxa"/>
                                </w:tcPr>
                                <w:p>
                                  <w:pPr>
                                    <w:pStyle w:val="TableParagraph"/>
                                    <w:rPr>
                                      <w:rFonts w:ascii="Times New Roman"/>
                                      <w:sz w:val="20"/>
                                    </w:rPr>
                                  </w:pPr>
                                </w:p>
                              </w:tc>
                              <w:tc>
                                <w:tcPr>
                                  <w:tcW w:w="1561" w:type="dxa"/>
                                </w:tcPr>
                                <w:p>
                                  <w:pPr>
                                    <w:pStyle w:val="TableParagraph"/>
                                    <w:rPr>
                                      <w:rFonts w:ascii="Times New Roman"/>
                                      <w:sz w:val="20"/>
                                    </w:rPr>
                                  </w:pPr>
                                </w:p>
                              </w:tc>
                              <w:tc>
                                <w:tcPr>
                                  <w:tcW w:w="1580" w:type="dxa"/>
                                </w:tcPr>
                                <w:p>
                                  <w:pPr>
                                    <w:pStyle w:val="TableParagraph"/>
                                    <w:rPr>
                                      <w:rFonts w:ascii="Times New Roman"/>
                                      <w:sz w:val="20"/>
                                    </w:rPr>
                                  </w:pPr>
                                </w:p>
                              </w:tc>
                              <w:tc>
                                <w:tcPr>
                                  <w:tcW w:w="1273"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87.984009pt;margin-top:258.889984pt;width:454.45pt;height:56.3pt;mso-position-horizontal-relative:page;mso-position-vertical-relative:page;z-index:15785984" type="#_x0000_t202" id="docshape34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8"/>
                        <w:gridCol w:w="3162"/>
                        <w:gridCol w:w="567"/>
                        <w:gridCol w:w="1561"/>
                        <w:gridCol w:w="1580"/>
                        <w:gridCol w:w="1273"/>
                      </w:tblGrid>
                      <w:tr>
                        <w:trPr>
                          <w:trHeight w:val="319" w:hRule="atLeast"/>
                        </w:trPr>
                        <w:tc>
                          <w:tcPr>
                            <w:tcW w:w="828" w:type="dxa"/>
                            <w:shd w:val="clear" w:color="auto" w:fill="365F92"/>
                          </w:tcPr>
                          <w:p>
                            <w:pPr>
                              <w:pStyle w:val="TableParagraph"/>
                              <w:rPr>
                                <w:rFonts w:ascii="Times New Roman"/>
                                <w:sz w:val="20"/>
                              </w:rPr>
                            </w:pPr>
                          </w:p>
                        </w:tc>
                        <w:tc>
                          <w:tcPr>
                            <w:tcW w:w="3162" w:type="dxa"/>
                            <w:shd w:val="clear" w:color="auto" w:fill="365F92"/>
                          </w:tcPr>
                          <w:p>
                            <w:pPr>
                              <w:pStyle w:val="TableParagraph"/>
                              <w:rPr>
                                <w:rFonts w:ascii="Times New Roman"/>
                                <w:sz w:val="20"/>
                              </w:rPr>
                            </w:pPr>
                          </w:p>
                        </w:tc>
                        <w:tc>
                          <w:tcPr>
                            <w:tcW w:w="567" w:type="dxa"/>
                            <w:shd w:val="clear" w:color="auto" w:fill="365F92"/>
                          </w:tcPr>
                          <w:p>
                            <w:pPr>
                              <w:pStyle w:val="TableParagraph"/>
                              <w:rPr>
                                <w:rFonts w:ascii="Times New Roman"/>
                                <w:sz w:val="20"/>
                              </w:rPr>
                            </w:pPr>
                          </w:p>
                        </w:tc>
                        <w:tc>
                          <w:tcPr>
                            <w:tcW w:w="1561" w:type="dxa"/>
                            <w:shd w:val="clear" w:color="auto" w:fill="365F92"/>
                          </w:tcPr>
                          <w:p>
                            <w:pPr>
                              <w:pStyle w:val="TableParagraph"/>
                              <w:rPr>
                                <w:rFonts w:ascii="Times New Roman"/>
                                <w:sz w:val="20"/>
                              </w:rPr>
                            </w:pPr>
                          </w:p>
                        </w:tc>
                        <w:tc>
                          <w:tcPr>
                            <w:tcW w:w="1580" w:type="dxa"/>
                            <w:shd w:val="clear" w:color="auto" w:fill="365F92"/>
                          </w:tcPr>
                          <w:p>
                            <w:pPr>
                              <w:pStyle w:val="TableParagraph"/>
                              <w:rPr>
                                <w:rFonts w:ascii="Times New Roman"/>
                                <w:sz w:val="20"/>
                              </w:rPr>
                            </w:pPr>
                          </w:p>
                        </w:tc>
                        <w:tc>
                          <w:tcPr>
                            <w:tcW w:w="1273" w:type="dxa"/>
                          </w:tcPr>
                          <w:p>
                            <w:pPr>
                              <w:pStyle w:val="TableParagraph"/>
                              <w:rPr>
                                <w:rFonts w:ascii="Times New Roman"/>
                                <w:sz w:val="20"/>
                              </w:rPr>
                            </w:pPr>
                          </w:p>
                        </w:tc>
                      </w:tr>
                      <w:tr>
                        <w:trPr>
                          <w:trHeight w:val="91" w:hRule="atLeast"/>
                        </w:trPr>
                        <w:tc>
                          <w:tcPr>
                            <w:tcW w:w="828" w:type="dxa"/>
                            <w:shd w:val="clear" w:color="auto" w:fill="365F92"/>
                          </w:tcPr>
                          <w:p>
                            <w:pPr>
                              <w:pStyle w:val="TableParagraph"/>
                              <w:rPr>
                                <w:rFonts w:ascii="Times New Roman"/>
                                <w:sz w:val="4"/>
                              </w:rPr>
                            </w:pPr>
                          </w:p>
                        </w:tc>
                        <w:tc>
                          <w:tcPr>
                            <w:tcW w:w="3162" w:type="dxa"/>
                            <w:shd w:val="clear" w:color="auto" w:fill="365F92"/>
                          </w:tcPr>
                          <w:p>
                            <w:pPr>
                              <w:pStyle w:val="TableParagraph"/>
                              <w:rPr>
                                <w:rFonts w:ascii="Times New Roman"/>
                                <w:sz w:val="4"/>
                              </w:rPr>
                            </w:pPr>
                          </w:p>
                        </w:tc>
                        <w:tc>
                          <w:tcPr>
                            <w:tcW w:w="567" w:type="dxa"/>
                            <w:shd w:val="clear" w:color="auto" w:fill="365F92"/>
                          </w:tcPr>
                          <w:p>
                            <w:pPr>
                              <w:pStyle w:val="TableParagraph"/>
                              <w:rPr>
                                <w:rFonts w:ascii="Times New Roman"/>
                                <w:sz w:val="4"/>
                              </w:rPr>
                            </w:pPr>
                          </w:p>
                        </w:tc>
                        <w:tc>
                          <w:tcPr>
                            <w:tcW w:w="1561" w:type="dxa"/>
                            <w:shd w:val="clear" w:color="auto" w:fill="365F92"/>
                          </w:tcPr>
                          <w:p>
                            <w:pPr>
                              <w:pStyle w:val="TableParagraph"/>
                              <w:rPr>
                                <w:rFonts w:ascii="Times New Roman"/>
                                <w:sz w:val="4"/>
                              </w:rPr>
                            </w:pPr>
                          </w:p>
                        </w:tc>
                        <w:tc>
                          <w:tcPr>
                            <w:tcW w:w="1580" w:type="dxa"/>
                            <w:shd w:val="clear" w:color="auto" w:fill="365F92"/>
                          </w:tcPr>
                          <w:p>
                            <w:pPr>
                              <w:pStyle w:val="TableParagraph"/>
                              <w:rPr>
                                <w:rFonts w:ascii="Times New Roman"/>
                                <w:sz w:val="4"/>
                              </w:rPr>
                            </w:pPr>
                          </w:p>
                        </w:tc>
                        <w:tc>
                          <w:tcPr>
                            <w:tcW w:w="1273" w:type="dxa"/>
                            <w:shd w:val="clear" w:color="auto" w:fill="365F92"/>
                          </w:tcPr>
                          <w:p>
                            <w:pPr>
                              <w:pStyle w:val="TableParagraph"/>
                              <w:rPr>
                                <w:rFonts w:ascii="Times New Roman"/>
                                <w:sz w:val="4"/>
                              </w:rPr>
                            </w:pPr>
                          </w:p>
                        </w:tc>
                      </w:tr>
                      <w:tr>
                        <w:trPr>
                          <w:trHeight w:val="227" w:hRule="atLeast"/>
                        </w:trPr>
                        <w:tc>
                          <w:tcPr>
                            <w:tcW w:w="828" w:type="dxa"/>
                            <w:shd w:val="clear" w:color="auto" w:fill="365F92"/>
                          </w:tcPr>
                          <w:p>
                            <w:pPr>
                              <w:pStyle w:val="TableParagraph"/>
                              <w:rPr>
                                <w:rFonts w:ascii="Times New Roman"/>
                                <w:sz w:val="16"/>
                              </w:rPr>
                            </w:pPr>
                          </w:p>
                        </w:tc>
                        <w:tc>
                          <w:tcPr>
                            <w:tcW w:w="3162" w:type="dxa"/>
                            <w:shd w:val="clear" w:color="auto" w:fill="365F92"/>
                          </w:tcPr>
                          <w:p>
                            <w:pPr>
                              <w:pStyle w:val="TableParagraph"/>
                              <w:rPr>
                                <w:rFonts w:ascii="Times New Roman"/>
                                <w:sz w:val="16"/>
                              </w:rPr>
                            </w:pPr>
                          </w:p>
                        </w:tc>
                        <w:tc>
                          <w:tcPr>
                            <w:tcW w:w="567" w:type="dxa"/>
                            <w:shd w:val="clear" w:color="auto" w:fill="365F92"/>
                          </w:tcPr>
                          <w:p>
                            <w:pPr>
                              <w:pStyle w:val="TableParagraph"/>
                              <w:rPr>
                                <w:rFonts w:ascii="Times New Roman"/>
                                <w:sz w:val="16"/>
                              </w:rPr>
                            </w:pPr>
                          </w:p>
                        </w:tc>
                        <w:tc>
                          <w:tcPr>
                            <w:tcW w:w="1561" w:type="dxa"/>
                            <w:shd w:val="clear" w:color="auto" w:fill="365F92"/>
                          </w:tcPr>
                          <w:p>
                            <w:pPr>
                              <w:pStyle w:val="TableParagraph"/>
                              <w:rPr>
                                <w:rFonts w:ascii="Times New Roman"/>
                                <w:sz w:val="16"/>
                              </w:rPr>
                            </w:pPr>
                          </w:p>
                        </w:tc>
                        <w:tc>
                          <w:tcPr>
                            <w:tcW w:w="1580" w:type="dxa"/>
                            <w:shd w:val="clear" w:color="auto" w:fill="365F92"/>
                          </w:tcPr>
                          <w:p>
                            <w:pPr>
                              <w:pStyle w:val="TableParagraph"/>
                              <w:rPr>
                                <w:rFonts w:ascii="Times New Roman"/>
                                <w:sz w:val="16"/>
                              </w:rPr>
                            </w:pPr>
                          </w:p>
                        </w:tc>
                        <w:tc>
                          <w:tcPr>
                            <w:tcW w:w="1273" w:type="dxa"/>
                            <w:shd w:val="clear" w:color="auto" w:fill="365F92"/>
                          </w:tcPr>
                          <w:p>
                            <w:pPr>
                              <w:pStyle w:val="TableParagraph"/>
                              <w:rPr>
                                <w:rFonts w:ascii="Times New Roman"/>
                                <w:sz w:val="16"/>
                              </w:rPr>
                            </w:pPr>
                          </w:p>
                        </w:tc>
                      </w:tr>
                      <w:tr>
                        <w:trPr>
                          <w:trHeight w:val="489" w:hRule="atLeast"/>
                        </w:trPr>
                        <w:tc>
                          <w:tcPr>
                            <w:tcW w:w="828" w:type="dxa"/>
                          </w:tcPr>
                          <w:p>
                            <w:pPr>
                              <w:pStyle w:val="TableParagraph"/>
                              <w:rPr>
                                <w:rFonts w:ascii="Times New Roman"/>
                                <w:sz w:val="20"/>
                              </w:rPr>
                            </w:pPr>
                          </w:p>
                        </w:tc>
                        <w:tc>
                          <w:tcPr>
                            <w:tcW w:w="3162" w:type="dxa"/>
                          </w:tcPr>
                          <w:p>
                            <w:pPr>
                              <w:pStyle w:val="TableParagraph"/>
                              <w:rPr>
                                <w:rFonts w:ascii="Times New Roman"/>
                                <w:sz w:val="20"/>
                              </w:rPr>
                            </w:pPr>
                          </w:p>
                        </w:tc>
                        <w:tc>
                          <w:tcPr>
                            <w:tcW w:w="567" w:type="dxa"/>
                          </w:tcPr>
                          <w:p>
                            <w:pPr>
                              <w:pStyle w:val="TableParagraph"/>
                              <w:rPr>
                                <w:rFonts w:ascii="Times New Roman"/>
                                <w:sz w:val="20"/>
                              </w:rPr>
                            </w:pPr>
                          </w:p>
                        </w:tc>
                        <w:tc>
                          <w:tcPr>
                            <w:tcW w:w="1561" w:type="dxa"/>
                          </w:tcPr>
                          <w:p>
                            <w:pPr>
                              <w:pStyle w:val="TableParagraph"/>
                              <w:rPr>
                                <w:rFonts w:ascii="Times New Roman"/>
                                <w:sz w:val="20"/>
                              </w:rPr>
                            </w:pPr>
                          </w:p>
                        </w:tc>
                        <w:tc>
                          <w:tcPr>
                            <w:tcW w:w="1580" w:type="dxa"/>
                          </w:tcPr>
                          <w:p>
                            <w:pPr>
                              <w:pStyle w:val="TableParagraph"/>
                              <w:rPr>
                                <w:rFonts w:ascii="Times New Roman"/>
                                <w:sz w:val="20"/>
                              </w:rPr>
                            </w:pPr>
                          </w:p>
                        </w:tc>
                        <w:tc>
                          <w:tcPr>
                            <w:tcW w:w="1273" w:type="dxa"/>
                          </w:tcPr>
                          <w:p>
                            <w:pPr>
                              <w:pStyle w:val="TableParagraph"/>
                              <w:rPr>
                                <w:rFonts w:ascii="Times New Roman"/>
                                <w:sz w:val="20"/>
                              </w:rPr>
                            </w:pP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73</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3"/>
        <w:gridCol w:w="3577"/>
        <w:gridCol w:w="2813"/>
      </w:tblGrid>
      <w:tr>
        <w:trPr>
          <w:trHeight w:val="2077" w:hRule="atLeast"/>
        </w:trPr>
        <w:tc>
          <w:tcPr>
            <w:tcW w:w="2813" w:type="dxa"/>
            <w:vMerge w:val="restart"/>
            <w:tcBorders>
              <w:bottom w:val="nil"/>
              <w:right w:val="nil"/>
            </w:tcBorders>
          </w:tcPr>
          <w:p>
            <w:pPr>
              <w:pStyle w:val="TableParagraph"/>
              <w:rPr>
                <w:rFonts w:ascii="Times New Roman"/>
                <w:sz w:val="20"/>
              </w:rPr>
            </w:pPr>
          </w:p>
        </w:tc>
        <w:tc>
          <w:tcPr>
            <w:tcW w:w="3577" w:type="dxa"/>
            <w:tcBorders>
              <w:left w:val="nil"/>
              <w:bottom w:val="single" w:sz="2" w:space="0" w:color="000000"/>
              <w:right w:val="nil"/>
            </w:tcBorders>
            <w:shd w:val="clear" w:color="auto" w:fill="FFFFFF"/>
          </w:tcPr>
          <w:p>
            <w:pPr>
              <w:pStyle w:val="TableParagraph"/>
              <w:spacing w:line="343" w:lineRule="auto" w:before="52"/>
              <w:ind w:left="1322" w:right="238" w:hanging="770"/>
              <w:rPr>
                <w:rFonts w:ascii="Arial" w:hAnsi="Arial"/>
                <w:b/>
                <w:sz w:val="14"/>
              </w:rPr>
            </w:pPr>
            <w:r>
              <w:rPr>
                <w:rFonts w:ascii="Arial" w:hAnsi="Arial"/>
                <w:b/>
                <w:spacing w:val="-2"/>
                <w:w w:val="105"/>
                <w:sz w:val="14"/>
              </w:rPr>
              <w:t>Antigüedad</w:t>
            </w:r>
            <w:r>
              <w:rPr>
                <w:rFonts w:ascii="Arial" w:hAnsi="Arial"/>
                <w:b/>
                <w:spacing w:val="13"/>
                <w:w w:val="105"/>
                <w:sz w:val="14"/>
              </w:rPr>
              <w:t> </w:t>
            </w:r>
            <w:r>
              <w:rPr>
                <w:rFonts w:ascii="Arial" w:hAnsi="Arial"/>
                <w:b/>
                <w:spacing w:val="-2"/>
                <w:w w:val="105"/>
                <w:sz w:val="14"/>
              </w:rPr>
              <w:t>deudas</w:t>
            </w:r>
            <w:r>
              <w:rPr>
                <w:rFonts w:ascii="Arial" w:hAnsi="Arial"/>
                <w:b/>
                <w:spacing w:val="-8"/>
                <w:w w:val="105"/>
                <w:sz w:val="14"/>
              </w:rPr>
              <w:t> </w:t>
            </w:r>
            <w:r>
              <w:rPr>
                <w:rFonts w:ascii="Arial" w:hAnsi="Arial"/>
                <w:b/>
                <w:spacing w:val="-2"/>
                <w:w w:val="105"/>
                <w:sz w:val="14"/>
              </w:rPr>
              <w:t>comerciales</w:t>
            </w:r>
            <w:r>
              <w:rPr>
                <w:rFonts w:ascii="Arial" w:hAnsi="Arial"/>
                <w:b/>
                <w:spacing w:val="-8"/>
                <w:w w:val="105"/>
                <w:sz w:val="14"/>
              </w:rPr>
              <w:t> </w:t>
            </w:r>
            <w:r>
              <w:rPr>
                <w:rFonts w:ascii="Arial" w:hAnsi="Arial"/>
                <w:b/>
                <w:spacing w:val="-2"/>
                <w:w w:val="105"/>
                <w:sz w:val="14"/>
              </w:rPr>
              <w:t>CP</w:t>
            </w:r>
            <w:r>
              <w:rPr>
                <w:rFonts w:ascii="Arial" w:hAnsi="Arial"/>
                <w:b/>
                <w:w w:val="105"/>
                <w:sz w:val="14"/>
              </w:rPr>
              <w:t> Miles</w:t>
            </w:r>
            <w:r>
              <w:rPr>
                <w:rFonts w:ascii="Arial" w:hAnsi="Arial"/>
                <w:b/>
                <w:spacing w:val="-4"/>
                <w:w w:val="105"/>
                <w:sz w:val="14"/>
              </w:rPr>
              <w:t> </w:t>
            </w:r>
            <w:r>
              <w:rPr>
                <w:rFonts w:ascii="Arial" w:hAnsi="Arial"/>
                <w:b/>
                <w:w w:val="105"/>
                <w:sz w:val="14"/>
              </w:rPr>
              <w:t>colones</w:t>
            </w:r>
          </w:p>
          <w:p>
            <w:pPr>
              <w:pStyle w:val="TableParagraph"/>
              <w:tabs>
                <w:tab w:pos="2980" w:val="left" w:leader="none"/>
              </w:tabs>
              <w:spacing w:before="1"/>
              <w:ind w:left="28"/>
              <w:rPr>
                <w:rFonts w:ascii="Arial"/>
                <w:b/>
                <w:sz w:val="14"/>
              </w:rPr>
            </w:pPr>
            <w:r>
              <w:rPr>
                <w:rFonts w:ascii="Arial"/>
                <w:b/>
                <w:w w:val="105"/>
                <w:sz w:val="14"/>
              </w:rPr>
              <w:t>Factor</w:t>
            </w:r>
            <w:r>
              <w:rPr>
                <w:rFonts w:ascii="Arial"/>
                <w:b/>
                <w:spacing w:val="26"/>
                <w:w w:val="105"/>
                <w:sz w:val="14"/>
              </w:rPr>
              <w:t> </w:t>
            </w:r>
            <w:r>
              <w:rPr>
                <w:rFonts w:ascii="Arial"/>
                <w:b/>
                <w:spacing w:val="-2"/>
                <w:w w:val="105"/>
                <w:sz w:val="14"/>
              </w:rPr>
              <w:t>Antiguiedad</w:t>
            </w:r>
            <w:r>
              <w:rPr>
                <w:rFonts w:ascii="Arial"/>
                <w:b/>
                <w:sz w:val="14"/>
              </w:rPr>
              <w:tab/>
            </w:r>
            <w:r>
              <w:rPr>
                <w:rFonts w:ascii="Arial"/>
                <w:b/>
                <w:spacing w:val="-2"/>
                <w:w w:val="105"/>
                <w:sz w:val="14"/>
              </w:rPr>
              <w:t>Importe</w:t>
            </w:r>
          </w:p>
          <w:p>
            <w:pPr>
              <w:pStyle w:val="TableParagraph"/>
              <w:tabs>
                <w:tab w:pos="2591" w:val="left" w:leader="none"/>
              </w:tabs>
              <w:spacing w:before="51"/>
              <w:ind w:left="28"/>
              <w:rPr>
                <w:rFonts w:ascii="Arial" w:hAnsi="Arial"/>
                <w:sz w:val="16"/>
              </w:rPr>
            </w:pPr>
            <w:r>
              <w:rPr>
                <w:rFonts w:ascii="Arial" w:hAnsi="Arial"/>
                <w:spacing w:val="-2"/>
                <w:sz w:val="16"/>
              </w:rPr>
              <w:t>0-30</w:t>
            </w:r>
            <w:r>
              <w:rPr>
                <w:rFonts w:ascii="Arial" w:hAnsi="Arial"/>
                <w:spacing w:val="-5"/>
                <w:sz w:val="16"/>
              </w:rPr>
              <w:t> </w:t>
            </w:r>
            <w:r>
              <w:rPr>
                <w:rFonts w:ascii="Arial" w:hAnsi="Arial"/>
                <w:spacing w:val="-4"/>
                <w:sz w:val="16"/>
              </w:rPr>
              <w:t>días</w:t>
            </w:r>
            <w:r>
              <w:rPr>
                <w:rFonts w:ascii="Arial" w:hAnsi="Arial"/>
                <w:sz w:val="16"/>
              </w:rPr>
              <w:tab/>
              <w:t>1</w:t>
            </w:r>
            <w:r>
              <w:rPr>
                <w:rFonts w:ascii="Arial" w:hAnsi="Arial"/>
                <w:spacing w:val="-8"/>
                <w:sz w:val="16"/>
              </w:rPr>
              <w:t> </w:t>
            </w:r>
            <w:r>
              <w:rPr>
                <w:rFonts w:ascii="Arial" w:hAnsi="Arial"/>
                <w:sz w:val="16"/>
              </w:rPr>
              <w:t>180</w:t>
            </w:r>
            <w:r>
              <w:rPr>
                <w:rFonts w:ascii="Arial" w:hAnsi="Arial"/>
                <w:spacing w:val="-8"/>
                <w:sz w:val="16"/>
              </w:rPr>
              <w:t> </w:t>
            </w:r>
            <w:r>
              <w:rPr>
                <w:rFonts w:ascii="Arial" w:hAnsi="Arial"/>
                <w:spacing w:val="-2"/>
                <w:sz w:val="16"/>
              </w:rPr>
              <w:t>717,88</w:t>
            </w:r>
          </w:p>
          <w:p>
            <w:pPr>
              <w:pStyle w:val="TableParagraph"/>
              <w:tabs>
                <w:tab w:pos="2807" w:val="left" w:leader="none"/>
              </w:tabs>
              <w:spacing w:before="47"/>
              <w:ind w:left="28"/>
              <w:rPr>
                <w:rFonts w:ascii="Arial"/>
                <w:sz w:val="16"/>
              </w:rPr>
            </w:pPr>
            <w:r>
              <w:rPr>
                <w:rFonts w:ascii="Arial"/>
                <w:sz w:val="16"/>
              </w:rPr>
              <w:t>30</w:t>
            </w:r>
            <w:r>
              <w:rPr>
                <w:rFonts w:ascii="Arial"/>
                <w:spacing w:val="-7"/>
                <w:sz w:val="16"/>
              </w:rPr>
              <w:t> </w:t>
            </w:r>
            <w:r>
              <w:rPr>
                <w:rFonts w:ascii="Arial"/>
                <w:sz w:val="16"/>
              </w:rPr>
              <w:t>a</w:t>
            </w:r>
            <w:r>
              <w:rPr>
                <w:rFonts w:ascii="Arial"/>
                <w:spacing w:val="-11"/>
                <w:sz w:val="16"/>
              </w:rPr>
              <w:t> </w:t>
            </w:r>
            <w:r>
              <w:rPr>
                <w:rFonts w:ascii="Arial"/>
                <w:sz w:val="16"/>
              </w:rPr>
              <w:t>90</w:t>
            </w:r>
            <w:r>
              <w:rPr>
                <w:rFonts w:ascii="Arial"/>
                <w:spacing w:val="-7"/>
                <w:sz w:val="16"/>
              </w:rPr>
              <w:t> </w:t>
            </w:r>
            <w:r>
              <w:rPr>
                <w:rFonts w:ascii="Arial"/>
                <w:spacing w:val="-4"/>
                <w:sz w:val="16"/>
              </w:rPr>
              <w:t>dias</w:t>
            </w:r>
            <w:r>
              <w:rPr>
                <w:rFonts w:ascii="Arial"/>
                <w:sz w:val="16"/>
              </w:rPr>
              <w:tab/>
              <w:t>33</w:t>
            </w:r>
            <w:r>
              <w:rPr>
                <w:rFonts w:ascii="Arial"/>
                <w:spacing w:val="-8"/>
                <w:sz w:val="16"/>
              </w:rPr>
              <w:t> </w:t>
            </w:r>
            <w:r>
              <w:rPr>
                <w:rFonts w:ascii="Arial"/>
                <w:spacing w:val="-2"/>
                <w:sz w:val="16"/>
              </w:rPr>
              <w:t>231,37</w:t>
            </w:r>
          </w:p>
          <w:p>
            <w:pPr>
              <w:pStyle w:val="TableParagraph"/>
              <w:tabs>
                <w:tab w:pos="2894" w:val="left" w:leader="none"/>
              </w:tabs>
              <w:spacing w:before="47"/>
              <w:ind w:left="28"/>
              <w:rPr>
                <w:rFonts w:ascii="Arial" w:hAnsi="Arial"/>
                <w:sz w:val="16"/>
              </w:rPr>
            </w:pPr>
            <w:r>
              <w:rPr>
                <w:rFonts w:ascii="Arial" w:hAnsi="Arial"/>
                <w:sz w:val="16"/>
              </w:rPr>
              <w:t>90</w:t>
            </w:r>
            <w:r>
              <w:rPr>
                <w:rFonts w:ascii="Arial" w:hAnsi="Arial"/>
                <w:spacing w:val="-9"/>
                <w:sz w:val="16"/>
              </w:rPr>
              <w:t> </w:t>
            </w:r>
            <w:r>
              <w:rPr>
                <w:rFonts w:ascii="Arial" w:hAnsi="Arial"/>
                <w:sz w:val="16"/>
              </w:rPr>
              <w:t>a</w:t>
            </w:r>
            <w:r>
              <w:rPr>
                <w:rFonts w:ascii="Arial" w:hAnsi="Arial"/>
                <w:spacing w:val="-11"/>
                <w:sz w:val="16"/>
              </w:rPr>
              <w:t> </w:t>
            </w:r>
            <w:r>
              <w:rPr>
                <w:rFonts w:ascii="Arial" w:hAnsi="Arial"/>
                <w:sz w:val="16"/>
              </w:rPr>
              <w:t>120</w:t>
            </w:r>
            <w:r>
              <w:rPr>
                <w:rFonts w:ascii="Arial" w:hAnsi="Arial"/>
                <w:spacing w:val="-8"/>
                <w:sz w:val="16"/>
              </w:rPr>
              <w:t> </w:t>
            </w:r>
            <w:r>
              <w:rPr>
                <w:rFonts w:ascii="Arial" w:hAnsi="Arial"/>
                <w:spacing w:val="-4"/>
                <w:sz w:val="16"/>
              </w:rPr>
              <w:t>días</w:t>
            </w:r>
            <w:r>
              <w:rPr>
                <w:rFonts w:ascii="Arial" w:hAnsi="Arial"/>
                <w:sz w:val="16"/>
              </w:rPr>
              <w:tab/>
              <w:t>1</w:t>
            </w:r>
            <w:r>
              <w:rPr>
                <w:rFonts w:ascii="Arial" w:hAnsi="Arial"/>
                <w:spacing w:val="-5"/>
                <w:sz w:val="16"/>
              </w:rPr>
              <w:t> </w:t>
            </w:r>
            <w:r>
              <w:rPr>
                <w:rFonts w:ascii="Arial" w:hAnsi="Arial"/>
                <w:spacing w:val="-2"/>
                <w:sz w:val="16"/>
              </w:rPr>
              <w:t>078,49</w:t>
            </w:r>
          </w:p>
          <w:p>
            <w:pPr>
              <w:pStyle w:val="TableParagraph"/>
              <w:tabs>
                <w:tab w:pos="3024" w:val="left" w:leader="none"/>
              </w:tabs>
              <w:spacing w:before="46"/>
              <w:ind w:left="28"/>
              <w:rPr>
                <w:rFonts w:ascii="Arial" w:hAnsi="Arial"/>
                <w:sz w:val="16"/>
              </w:rPr>
            </w:pPr>
            <w:r>
              <w:rPr>
                <w:rFonts w:ascii="Arial" w:hAnsi="Arial"/>
                <w:sz w:val="16"/>
              </w:rPr>
              <w:t>120</w:t>
            </w:r>
            <w:r>
              <w:rPr>
                <w:rFonts w:ascii="Arial" w:hAnsi="Arial"/>
                <w:spacing w:val="-11"/>
                <w:sz w:val="16"/>
              </w:rPr>
              <w:t> </w:t>
            </w:r>
            <w:r>
              <w:rPr>
                <w:rFonts w:ascii="Arial" w:hAnsi="Arial"/>
                <w:sz w:val="16"/>
              </w:rPr>
              <w:t>a</w:t>
            </w:r>
            <w:r>
              <w:rPr>
                <w:rFonts w:ascii="Arial" w:hAnsi="Arial"/>
                <w:spacing w:val="-11"/>
                <w:sz w:val="16"/>
              </w:rPr>
              <w:t> </w:t>
            </w:r>
            <w:r>
              <w:rPr>
                <w:rFonts w:ascii="Arial" w:hAnsi="Arial"/>
                <w:sz w:val="16"/>
              </w:rPr>
              <w:t>180</w:t>
            </w:r>
            <w:r>
              <w:rPr>
                <w:rFonts w:ascii="Arial" w:hAnsi="Arial"/>
                <w:spacing w:val="-9"/>
                <w:sz w:val="16"/>
              </w:rPr>
              <w:t> </w:t>
            </w:r>
            <w:r>
              <w:rPr>
                <w:rFonts w:ascii="Arial" w:hAnsi="Arial"/>
                <w:spacing w:val="-4"/>
                <w:sz w:val="16"/>
              </w:rPr>
              <w:t>días</w:t>
            </w:r>
            <w:r>
              <w:rPr>
                <w:rFonts w:ascii="Arial" w:hAnsi="Arial"/>
                <w:sz w:val="16"/>
              </w:rPr>
              <w:tab/>
            </w:r>
            <w:r>
              <w:rPr>
                <w:rFonts w:ascii="Arial" w:hAnsi="Arial"/>
                <w:spacing w:val="-2"/>
                <w:sz w:val="16"/>
              </w:rPr>
              <w:t>610,68</w:t>
            </w:r>
          </w:p>
          <w:p>
            <w:pPr>
              <w:pStyle w:val="TableParagraph"/>
              <w:tabs>
                <w:tab w:pos="3110" w:val="left" w:leader="none"/>
              </w:tabs>
              <w:spacing w:before="47"/>
              <w:ind w:left="28"/>
              <w:rPr>
                <w:rFonts w:ascii="Arial" w:hAnsi="Arial"/>
                <w:sz w:val="16"/>
              </w:rPr>
            </w:pPr>
            <w:r>
              <w:rPr>
                <w:rFonts w:ascii="Arial" w:hAnsi="Arial"/>
                <w:sz w:val="16"/>
              </w:rPr>
              <w:t>180</w:t>
            </w:r>
            <w:r>
              <w:rPr>
                <w:rFonts w:ascii="Arial" w:hAnsi="Arial"/>
                <w:spacing w:val="-11"/>
                <w:sz w:val="16"/>
              </w:rPr>
              <w:t> </w:t>
            </w:r>
            <w:r>
              <w:rPr>
                <w:rFonts w:ascii="Arial" w:hAnsi="Arial"/>
                <w:sz w:val="16"/>
              </w:rPr>
              <w:t>a</w:t>
            </w:r>
            <w:r>
              <w:rPr>
                <w:rFonts w:ascii="Arial" w:hAnsi="Arial"/>
                <w:spacing w:val="-11"/>
                <w:sz w:val="16"/>
              </w:rPr>
              <w:t> </w:t>
            </w:r>
            <w:r>
              <w:rPr>
                <w:rFonts w:ascii="Arial" w:hAnsi="Arial"/>
                <w:sz w:val="16"/>
              </w:rPr>
              <w:t>360</w:t>
            </w:r>
            <w:r>
              <w:rPr>
                <w:rFonts w:ascii="Arial" w:hAnsi="Arial"/>
                <w:spacing w:val="-9"/>
                <w:sz w:val="16"/>
              </w:rPr>
              <w:t> </w:t>
            </w:r>
            <w:r>
              <w:rPr>
                <w:rFonts w:ascii="Arial" w:hAnsi="Arial"/>
                <w:spacing w:val="-4"/>
                <w:sz w:val="16"/>
              </w:rPr>
              <w:t>días</w:t>
            </w:r>
            <w:r>
              <w:rPr>
                <w:rFonts w:ascii="Arial" w:hAnsi="Arial"/>
                <w:sz w:val="16"/>
              </w:rPr>
              <w:tab/>
            </w:r>
            <w:r>
              <w:rPr>
                <w:rFonts w:ascii="Arial" w:hAnsi="Arial"/>
                <w:spacing w:val="-4"/>
                <w:sz w:val="16"/>
              </w:rPr>
              <w:t>39,55</w:t>
            </w:r>
          </w:p>
          <w:p>
            <w:pPr>
              <w:pStyle w:val="TableParagraph"/>
              <w:tabs>
                <w:tab w:pos="2807" w:val="left" w:leader="none"/>
              </w:tabs>
              <w:spacing w:line="178" w:lineRule="exact" w:before="47"/>
              <w:ind w:left="28"/>
              <w:rPr>
                <w:rFonts w:ascii="Arial" w:hAnsi="Arial"/>
                <w:sz w:val="16"/>
              </w:rPr>
            </w:pPr>
            <w:r>
              <w:rPr>
                <w:rFonts w:ascii="Arial" w:hAnsi="Arial"/>
                <w:spacing w:val="-2"/>
                <w:sz w:val="16"/>
              </w:rPr>
              <w:t>Mas</w:t>
            </w:r>
            <w:r>
              <w:rPr>
                <w:rFonts w:ascii="Arial" w:hAnsi="Arial"/>
                <w:spacing w:val="-5"/>
                <w:sz w:val="16"/>
              </w:rPr>
              <w:t> </w:t>
            </w:r>
            <w:r>
              <w:rPr>
                <w:rFonts w:ascii="Arial" w:hAnsi="Arial"/>
                <w:spacing w:val="-2"/>
                <w:sz w:val="16"/>
              </w:rPr>
              <w:t>360</w:t>
            </w:r>
            <w:r>
              <w:rPr>
                <w:rFonts w:ascii="Arial" w:hAnsi="Arial"/>
                <w:spacing w:val="-7"/>
                <w:sz w:val="16"/>
              </w:rPr>
              <w:t> </w:t>
            </w:r>
            <w:r>
              <w:rPr>
                <w:rFonts w:ascii="Arial" w:hAnsi="Arial"/>
                <w:spacing w:val="-4"/>
                <w:sz w:val="16"/>
              </w:rPr>
              <w:t>días</w:t>
            </w:r>
            <w:r>
              <w:rPr>
                <w:rFonts w:ascii="Arial" w:hAnsi="Arial"/>
                <w:sz w:val="16"/>
              </w:rPr>
              <w:tab/>
              <w:t>14</w:t>
            </w:r>
            <w:r>
              <w:rPr>
                <w:rFonts w:ascii="Arial" w:hAnsi="Arial"/>
                <w:spacing w:val="-8"/>
                <w:sz w:val="16"/>
              </w:rPr>
              <w:t> </w:t>
            </w:r>
            <w:r>
              <w:rPr>
                <w:rFonts w:ascii="Arial" w:hAnsi="Arial"/>
                <w:spacing w:val="-2"/>
                <w:sz w:val="16"/>
              </w:rPr>
              <w:t>271,79</w:t>
            </w:r>
          </w:p>
        </w:tc>
        <w:tc>
          <w:tcPr>
            <w:tcW w:w="2813" w:type="dxa"/>
            <w:vMerge w:val="restart"/>
            <w:tcBorders>
              <w:left w:val="nil"/>
              <w:bottom w:val="nil"/>
            </w:tcBorders>
          </w:tcPr>
          <w:p>
            <w:pPr>
              <w:pStyle w:val="TableParagraph"/>
              <w:rPr>
                <w:rFonts w:ascii="Times New Roman"/>
                <w:sz w:val="20"/>
              </w:rPr>
            </w:pPr>
          </w:p>
        </w:tc>
      </w:tr>
      <w:tr>
        <w:trPr>
          <w:trHeight w:val="225" w:hRule="atLeast"/>
        </w:trPr>
        <w:tc>
          <w:tcPr>
            <w:tcW w:w="2813" w:type="dxa"/>
            <w:vMerge/>
            <w:tcBorders>
              <w:top w:val="nil"/>
              <w:bottom w:val="nil"/>
              <w:right w:val="nil"/>
            </w:tcBorders>
          </w:tcPr>
          <w:p>
            <w:pPr>
              <w:rPr>
                <w:sz w:val="2"/>
                <w:szCs w:val="2"/>
              </w:rPr>
            </w:pPr>
          </w:p>
        </w:tc>
        <w:tc>
          <w:tcPr>
            <w:tcW w:w="3577" w:type="dxa"/>
            <w:tcBorders>
              <w:top w:val="single" w:sz="2" w:space="0" w:color="000000"/>
              <w:left w:val="nil"/>
              <w:bottom w:val="double" w:sz="2" w:space="0" w:color="000000"/>
              <w:right w:val="nil"/>
            </w:tcBorders>
            <w:shd w:val="clear" w:color="auto" w:fill="FFFFFF"/>
          </w:tcPr>
          <w:p>
            <w:pPr>
              <w:pStyle w:val="TableParagraph"/>
              <w:tabs>
                <w:tab w:pos="2654" w:val="left" w:leader="none"/>
              </w:tabs>
              <w:spacing w:before="12"/>
              <w:ind w:left="28"/>
              <w:rPr>
                <w:rFonts w:ascii="Arial" w:hAnsi="Arial"/>
                <w:b/>
                <w:position w:val="-2"/>
                <w:sz w:val="14"/>
              </w:rPr>
            </w:pPr>
            <w:r>
              <w:rPr>
                <w:rFonts w:ascii="Arial" w:hAnsi="Arial"/>
                <w:b/>
                <w:spacing w:val="-2"/>
                <w:w w:val="105"/>
                <w:sz w:val="14"/>
              </w:rPr>
              <w:t>Total</w:t>
            </w:r>
            <w:r>
              <w:rPr>
                <w:rFonts w:ascii="Arial" w:hAnsi="Arial"/>
                <w:b/>
                <w:spacing w:val="-8"/>
                <w:w w:val="105"/>
                <w:sz w:val="14"/>
              </w:rPr>
              <w:t> </w:t>
            </w:r>
            <w:r>
              <w:rPr>
                <w:rFonts w:ascii="Arial" w:hAnsi="Arial"/>
                <w:b/>
                <w:spacing w:val="-2"/>
                <w:w w:val="105"/>
                <w:sz w:val="14"/>
              </w:rPr>
              <w:t>Antigüedad</w:t>
            </w:r>
            <w:r>
              <w:rPr>
                <w:rFonts w:ascii="Arial" w:hAnsi="Arial"/>
                <w:b/>
                <w:spacing w:val="28"/>
                <w:w w:val="105"/>
                <w:sz w:val="14"/>
              </w:rPr>
              <w:t> </w:t>
            </w:r>
            <w:r>
              <w:rPr>
                <w:rFonts w:ascii="Arial" w:hAnsi="Arial"/>
                <w:b/>
                <w:spacing w:val="-2"/>
                <w:w w:val="105"/>
                <w:sz w:val="14"/>
              </w:rPr>
              <w:t>deudas</w:t>
            </w:r>
            <w:r>
              <w:rPr>
                <w:rFonts w:ascii="Arial" w:hAnsi="Arial"/>
                <w:b/>
                <w:sz w:val="14"/>
              </w:rPr>
              <w:tab/>
            </w:r>
            <w:r>
              <w:rPr>
                <w:rFonts w:ascii="Arial" w:hAnsi="Arial"/>
                <w:b/>
                <w:w w:val="105"/>
                <w:position w:val="-2"/>
                <w:sz w:val="14"/>
              </w:rPr>
              <w:t>1</w:t>
            </w:r>
            <w:r>
              <w:rPr>
                <w:rFonts w:ascii="Arial" w:hAnsi="Arial"/>
                <w:b/>
                <w:spacing w:val="-5"/>
                <w:w w:val="105"/>
                <w:position w:val="-2"/>
                <w:sz w:val="14"/>
              </w:rPr>
              <w:t> </w:t>
            </w:r>
            <w:r>
              <w:rPr>
                <w:rFonts w:ascii="Arial" w:hAnsi="Arial"/>
                <w:b/>
                <w:w w:val="105"/>
                <w:position w:val="-2"/>
                <w:sz w:val="14"/>
              </w:rPr>
              <w:t>229</w:t>
            </w:r>
            <w:r>
              <w:rPr>
                <w:rFonts w:ascii="Arial" w:hAnsi="Arial"/>
                <w:b/>
                <w:spacing w:val="-4"/>
                <w:w w:val="105"/>
                <w:position w:val="-2"/>
                <w:sz w:val="14"/>
              </w:rPr>
              <w:t> </w:t>
            </w:r>
            <w:r>
              <w:rPr>
                <w:rFonts w:ascii="Arial" w:hAnsi="Arial"/>
                <w:b/>
                <w:spacing w:val="-2"/>
                <w:w w:val="105"/>
                <w:position w:val="-2"/>
                <w:sz w:val="14"/>
              </w:rPr>
              <w:t>949,76</w:t>
            </w:r>
          </w:p>
        </w:tc>
        <w:tc>
          <w:tcPr>
            <w:tcW w:w="2813" w:type="dxa"/>
            <w:vMerge/>
            <w:tcBorders>
              <w:top w:val="nil"/>
              <w:left w:val="nil"/>
              <w:bottom w:val="nil"/>
            </w:tcBorders>
          </w:tcPr>
          <w:p>
            <w:pPr>
              <w:rPr>
                <w:sz w:val="2"/>
                <w:szCs w:val="2"/>
              </w:rPr>
            </w:pPr>
          </w:p>
        </w:tc>
      </w:tr>
      <w:tr>
        <w:trPr>
          <w:trHeight w:val="9766" w:hRule="atLeast"/>
        </w:trPr>
        <w:tc>
          <w:tcPr>
            <w:tcW w:w="9203" w:type="dxa"/>
            <w:gridSpan w:val="3"/>
            <w:tcBorders>
              <w:top w:val="nil"/>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79"/>
              <w:rPr>
                <w:sz w:val="22"/>
              </w:rPr>
            </w:pPr>
          </w:p>
          <w:p>
            <w:pPr>
              <w:pStyle w:val="TableParagraph"/>
              <w:ind w:left="107" w:right="99"/>
              <w:jc w:val="both"/>
              <w:rPr>
                <w:sz w:val="22"/>
              </w:rPr>
            </w:pPr>
            <w:r>
              <w:rPr>
                <w:sz w:val="22"/>
              </w:rPr>
              <w:t>Dicha cuenta compuesta por las cuotas patronales a pagar a la Caja Costarricense de Seguro Social, el impuesto al salario y retenciones del 2% del impuesto sobre la renta a proveedores, aguinaldo y salario escolar por pagar, así como otras deducciones que se tengan relacionadas a la planilla.</w:t>
            </w:r>
          </w:p>
          <w:p>
            <w:pPr>
              <w:pStyle w:val="TableParagraph"/>
              <w:spacing w:before="251"/>
              <w:ind w:left="107" w:right="95"/>
              <w:jc w:val="both"/>
              <w:rPr>
                <w:sz w:val="22"/>
              </w:rPr>
            </w:pPr>
            <w:r>
              <w:rPr>
                <w:sz w:val="22"/>
              </w:rPr>
              <w:t>La</w:t>
            </w:r>
            <w:r>
              <w:rPr>
                <w:spacing w:val="-16"/>
                <w:sz w:val="22"/>
              </w:rPr>
              <w:t> </w:t>
            </w:r>
            <w:r>
              <w:rPr>
                <w:sz w:val="22"/>
              </w:rPr>
              <w:t>cuenta</w:t>
            </w:r>
            <w:r>
              <w:rPr>
                <w:spacing w:val="-14"/>
                <w:sz w:val="22"/>
              </w:rPr>
              <w:t> </w:t>
            </w:r>
            <w:r>
              <w:rPr>
                <w:sz w:val="22"/>
              </w:rPr>
              <w:t>Deudas</w:t>
            </w:r>
            <w:r>
              <w:rPr>
                <w:spacing w:val="-14"/>
                <w:sz w:val="22"/>
              </w:rPr>
              <w:t> </w:t>
            </w:r>
            <w:r>
              <w:rPr>
                <w:sz w:val="22"/>
              </w:rPr>
              <w:t>sociales</w:t>
            </w:r>
            <w:r>
              <w:rPr>
                <w:spacing w:val="-13"/>
                <w:sz w:val="22"/>
              </w:rPr>
              <w:t> </w:t>
            </w:r>
            <w:r>
              <w:rPr>
                <w:sz w:val="22"/>
              </w:rPr>
              <w:t>y</w:t>
            </w:r>
            <w:r>
              <w:rPr>
                <w:spacing w:val="-14"/>
                <w:sz w:val="22"/>
              </w:rPr>
              <w:t> </w:t>
            </w:r>
            <w:r>
              <w:rPr>
                <w:sz w:val="22"/>
              </w:rPr>
              <w:t>fiscales,</w:t>
            </w:r>
            <w:r>
              <w:rPr>
                <w:spacing w:val="-14"/>
                <w:sz w:val="22"/>
              </w:rPr>
              <w:t> </w:t>
            </w:r>
            <w:r>
              <w:rPr>
                <w:sz w:val="22"/>
              </w:rPr>
              <w:t>representan</w:t>
            </w:r>
            <w:r>
              <w:rPr>
                <w:spacing w:val="-14"/>
                <w:sz w:val="22"/>
              </w:rPr>
              <w:t> </w:t>
            </w:r>
            <w:r>
              <w:rPr>
                <w:sz w:val="22"/>
              </w:rPr>
              <w:t>el</w:t>
            </w:r>
            <w:r>
              <w:rPr>
                <w:spacing w:val="-13"/>
                <w:sz w:val="22"/>
              </w:rPr>
              <w:t> </w:t>
            </w:r>
            <w:r>
              <w:rPr>
                <w:sz w:val="22"/>
              </w:rPr>
              <w:t>30,79%</w:t>
            </w:r>
            <w:r>
              <w:rPr>
                <w:spacing w:val="-14"/>
                <w:sz w:val="22"/>
              </w:rPr>
              <w:t> </w:t>
            </w:r>
            <w:r>
              <w:rPr>
                <w:sz w:val="22"/>
              </w:rPr>
              <w:t>del</w:t>
            </w:r>
            <w:r>
              <w:rPr>
                <w:spacing w:val="-14"/>
                <w:sz w:val="22"/>
              </w:rPr>
              <w:t> </w:t>
            </w:r>
            <w:r>
              <w:rPr>
                <w:sz w:val="22"/>
              </w:rPr>
              <w:t>total</w:t>
            </w:r>
            <w:r>
              <w:rPr>
                <w:spacing w:val="-14"/>
                <w:sz w:val="22"/>
              </w:rPr>
              <w:t> </w:t>
            </w:r>
            <w:r>
              <w:rPr>
                <w:sz w:val="22"/>
              </w:rPr>
              <w:t>de</w:t>
            </w:r>
            <w:r>
              <w:rPr>
                <w:spacing w:val="-13"/>
                <w:sz w:val="22"/>
              </w:rPr>
              <w:t> </w:t>
            </w:r>
            <w:r>
              <w:rPr>
                <w:sz w:val="22"/>
              </w:rPr>
              <w:t>Pasivo,</w:t>
            </w:r>
            <w:r>
              <w:rPr>
                <w:spacing w:val="-14"/>
                <w:sz w:val="22"/>
              </w:rPr>
              <w:t> </w:t>
            </w:r>
            <w:r>
              <w:rPr>
                <w:sz w:val="22"/>
              </w:rPr>
              <w:t>que</w:t>
            </w:r>
            <w:r>
              <w:rPr>
                <w:spacing w:val="-14"/>
                <w:sz w:val="22"/>
              </w:rPr>
              <w:t> </w:t>
            </w:r>
            <w:r>
              <w:rPr>
                <w:sz w:val="22"/>
              </w:rPr>
              <w:t>comparado</w:t>
            </w:r>
            <w:r>
              <w:rPr>
                <w:spacing w:val="-14"/>
                <w:sz w:val="22"/>
              </w:rPr>
              <w:t> </w:t>
            </w:r>
            <w:r>
              <w:rPr>
                <w:sz w:val="22"/>
              </w:rPr>
              <w:t>al</w:t>
            </w:r>
            <w:r>
              <w:rPr>
                <w:spacing w:val="-13"/>
                <w:sz w:val="22"/>
              </w:rPr>
              <w:t> </w:t>
            </w:r>
            <w:r>
              <w:rPr>
                <w:sz w:val="22"/>
              </w:rPr>
              <w:t>periodo anterior genera una variación absoluta de ¢ 75.015,83 que corresponde a un aumento del 3,01% de recursos disponibles, producto de la disminución en pagos en impuestos al personal retenidos, y las retenciones y otros gastos a pagar que serán cancelados en julio 2026.</w:t>
            </w:r>
          </w:p>
          <w:p>
            <w:pPr>
              <w:pStyle w:val="TableParagraph"/>
              <w:rPr>
                <w:sz w:val="22"/>
              </w:rPr>
            </w:pPr>
          </w:p>
          <w:p>
            <w:pPr>
              <w:pStyle w:val="TableParagraph"/>
              <w:spacing w:before="1"/>
              <w:ind w:left="107"/>
              <w:jc w:val="both"/>
              <w:rPr>
                <w:sz w:val="22"/>
              </w:rPr>
            </w:pPr>
            <w:r>
              <w:rPr>
                <w:sz w:val="22"/>
              </w:rPr>
              <w:t>Al</w:t>
            </w:r>
            <w:r>
              <w:rPr>
                <w:spacing w:val="-4"/>
                <w:sz w:val="22"/>
              </w:rPr>
              <w:t> </w:t>
            </w:r>
            <w:r>
              <w:rPr>
                <w:sz w:val="22"/>
              </w:rPr>
              <w:t>31</w:t>
            </w:r>
            <w:r>
              <w:rPr>
                <w:spacing w:val="-2"/>
                <w:sz w:val="22"/>
              </w:rPr>
              <w:t> </w:t>
            </w:r>
            <w:r>
              <w:rPr>
                <w:sz w:val="22"/>
              </w:rPr>
              <w:t>de</w:t>
            </w:r>
            <w:r>
              <w:rPr>
                <w:spacing w:val="-3"/>
                <w:sz w:val="22"/>
              </w:rPr>
              <w:t> </w:t>
            </w:r>
            <w:r>
              <w:rPr>
                <w:sz w:val="22"/>
              </w:rPr>
              <w:t>julio</w:t>
            </w:r>
            <w:r>
              <w:rPr>
                <w:spacing w:val="-1"/>
                <w:sz w:val="22"/>
              </w:rPr>
              <w:t> </w:t>
            </w:r>
            <w:r>
              <w:rPr>
                <w:sz w:val="22"/>
              </w:rPr>
              <w:t>2026</w:t>
            </w:r>
            <w:r>
              <w:rPr>
                <w:spacing w:val="-4"/>
                <w:sz w:val="22"/>
              </w:rPr>
              <w:t> </w:t>
            </w:r>
            <w:r>
              <w:rPr>
                <w:sz w:val="22"/>
              </w:rPr>
              <w:t>y</w:t>
            </w:r>
            <w:r>
              <w:rPr>
                <w:spacing w:val="-3"/>
                <w:sz w:val="22"/>
              </w:rPr>
              <w:t> </w:t>
            </w:r>
            <w:r>
              <w:rPr>
                <w:sz w:val="22"/>
              </w:rPr>
              <w:t>2025</w:t>
            </w:r>
            <w:r>
              <w:rPr>
                <w:spacing w:val="-3"/>
                <w:sz w:val="22"/>
              </w:rPr>
              <w:t> </w:t>
            </w:r>
            <w:r>
              <w:rPr>
                <w:sz w:val="22"/>
              </w:rPr>
              <w:t>la</w:t>
            </w:r>
            <w:r>
              <w:rPr>
                <w:spacing w:val="-2"/>
                <w:sz w:val="22"/>
              </w:rPr>
              <w:t> </w:t>
            </w:r>
            <w:r>
              <w:rPr>
                <w:sz w:val="22"/>
              </w:rPr>
              <w:t>cuenta</w:t>
            </w:r>
            <w:r>
              <w:rPr>
                <w:spacing w:val="-2"/>
                <w:sz w:val="22"/>
              </w:rPr>
              <w:t> </w:t>
            </w:r>
            <w:r>
              <w:rPr>
                <w:sz w:val="22"/>
              </w:rPr>
              <w:t>se</w:t>
            </w:r>
            <w:r>
              <w:rPr>
                <w:spacing w:val="-3"/>
                <w:sz w:val="22"/>
              </w:rPr>
              <w:t> </w:t>
            </w:r>
            <w:r>
              <w:rPr>
                <w:sz w:val="22"/>
              </w:rPr>
              <w:t>detalla</w:t>
            </w:r>
            <w:r>
              <w:rPr>
                <w:spacing w:val="-3"/>
                <w:sz w:val="22"/>
              </w:rPr>
              <w:t> </w:t>
            </w:r>
            <w:r>
              <w:rPr>
                <w:sz w:val="22"/>
              </w:rPr>
              <w:t>de</w:t>
            </w:r>
            <w:r>
              <w:rPr>
                <w:spacing w:val="-4"/>
                <w:sz w:val="22"/>
              </w:rPr>
              <w:t> </w:t>
            </w:r>
            <w:r>
              <w:rPr>
                <w:sz w:val="22"/>
              </w:rPr>
              <w:t>la</w:t>
            </w:r>
            <w:r>
              <w:rPr>
                <w:spacing w:val="-4"/>
                <w:sz w:val="22"/>
              </w:rPr>
              <w:t> </w:t>
            </w:r>
            <w:r>
              <w:rPr>
                <w:sz w:val="22"/>
              </w:rPr>
              <w:t>siguiente</w:t>
            </w:r>
            <w:r>
              <w:rPr>
                <w:spacing w:val="-1"/>
                <w:sz w:val="22"/>
              </w:rPr>
              <w:t> </w:t>
            </w:r>
            <w:r>
              <w:rPr>
                <w:spacing w:val="-2"/>
                <w:sz w:val="22"/>
              </w:rPr>
              <w:t>manera:</w:t>
            </w:r>
          </w:p>
          <w:p>
            <w:pPr>
              <w:pStyle w:val="TableParagraph"/>
              <w:spacing w:before="205"/>
              <w:rPr>
                <w:sz w:val="22"/>
              </w:rPr>
            </w:pPr>
          </w:p>
          <w:p>
            <w:pPr>
              <w:pStyle w:val="TableParagraph"/>
              <w:tabs>
                <w:tab w:pos="1379" w:val="left" w:leader="none"/>
                <w:tab w:pos="2016" w:val="left" w:leader="none"/>
              </w:tabs>
              <w:spacing w:before="1"/>
              <w:ind w:right="559"/>
              <w:jc w:val="right"/>
              <w:rPr>
                <w:rFonts w:ascii="Times New Roman" w:hAnsi="Times New Roman"/>
                <w:b/>
                <w:sz w:val="17"/>
              </w:rPr>
            </w:pPr>
            <w:r>
              <w:rPr>
                <w:rFonts w:ascii="Times New Roman" w:hAnsi="Times New Roman"/>
                <w:b/>
                <w:spacing w:val="-4"/>
                <w:w w:val="105"/>
                <w:sz w:val="17"/>
                <w:u w:val="double"/>
              </w:rPr>
              <w:t>2026</w:t>
            </w:r>
            <w:r>
              <w:rPr>
                <w:rFonts w:ascii="Times New Roman" w:hAnsi="Times New Roman"/>
                <w:b/>
                <w:sz w:val="17"/>
                <w:u w:val="none"/>
              </w:rPr>
              <w:tab/>
            </w:r>
            <w:r>
              <w:rPr>
                <w:rFonts w:ascii="Times New Roman" w:hAnsi="Times New Roman"/>
                <w:b/>
                <w:spacing w:val="-4"/>
                <w:w w:val="105"/>
                <w:sz w:val="17"/>
                <w:u w:val="double"/>
              </w:rPr>
              <w:t>2025</w:t>
            </w:r>
            <w:r>
              <w:rPr>
                <w:rFonts w:ascii="Times New Roman" w:hAnsi="Times New Roman"/>
                <w:b/>
                <w:sz w:val="17"/>
                <w:u w:val="none"/>
              </w:rPr>
              <w:tab/>
            </w:r>
            <w:r>
              <w:rPr>
                <w:rFonts w:ascii="Times New Roman" w:hAnsi="Times New Roman"/>
                <w:b/>
                <w:sz w:val="17"/>
                <w:u w:val="double"/>
              </w:rPr>
              <w:t> </w:t>
            </w:r>
            <w:r>
              <w:rPr>
                <w:rFonts w:ascii="Times New Roman" w:hAnsi="Times New Roman"/>
                <w:b/>
                <w:w w:val="105"/>
                <w:sz w:val="17"/>
                <w:u w:val="double"/>
              </w:rPr>
              <w:t>Variación</w:t>
            </w:r>
          </w:p>
          <w:p>
            <w:pPr>
              <w:pStyle w:val="TableParagraph"/>
              <w:spacing w:before="80"/>
              <w:rPr>
                <w:sz w:val="17"/>
              </w:rPr>
            </w:pPr>
          </w:p>
          <w:p>
            <w:pPr>
              <w:pStyle w:val="TableParagraph"/>
              <w:tabs>
                <w:tab w:pos="4651" w:val="left" w:leader="none"/>
                <w:tab w:pos="6031" w:val="left" w:leader="none"/>
                <w:tab w:pos="7463" w:val="left" w:leader="none"/>
              </w:tabs>
              <w:ind w:right="554"/>
              <w:jc w:val="right"/>
              <w:rPr>
                <w:rFonts w:ascii="Calibri"/>
                <w:sz w:val="17"/>
              </w:rPr>
            </w:pPr>
            <w:r>
              <w:rPr>
                <w:rFonts w:ascii="Calibri"/>
                <w:sz w:val="17"/>
              </w:rPr>
              <mc:AlternateContent>
                <mc:Choice Requires="wps">
                  <w:drawing>
                    <wp:anchor distT="0" distB="0" distL="0" distR="0" allowOverlap="1" layoutInCell="1" locked="0" behindDoc="1" simplePos="0" relativeHeight="473581056">
                      <wp:simplePos x="0" y="0"/>
                      <wp:positionH relativeFrom="column">
                        <wp:posOffset>339293</wp:posOffset>
                      </wp:positionH>
                      <wp:positionV relativeFrom="paragraph">
                        <wp:posOffset>-316270</wp:posOffset>
                      </wp:positionV>
                      <wp:extent cx="5162550" cy="1393190"/>
                      <wp:effectExtent l="0" t="0" r="0" b="0"/>
                      <wp:wrapNone/>
                      <wp:docPr id="360" name="Group 360"/>
                      <wp:cNvGraphicFramePr>
                        <a:graphicFrameLocks/>
                      </wp:cNvGraphicFramePr>
                      <a:graphic>
                        <a:graphicData uri="http://schemas.microsoft.com/office/word/2010/wordprocessingGroup">
                          <wpg:wgp>
                            <wpg:cNvPr id="360" name="Group 360"/>
                            <wpg:cNvGrpSpPr/>
                            <wpg:grpSpPr>
                              <a:xfrm>
                                <a:off x="0" y="0"/>
                                <a:ext cx="5162550" cy="1393190"/>
                                <a:chExt cx="5162550" cy="1393190"/>
                              </a:xfrm>
                            </wpg:grpSpPr>
                            <wps:wsp>
                              <wps:cNvPr id="361" name="Graphic 361"/>
                              <wps:cNvSpPr/>
                              <wps:spPr>
                                <a:xfrm>
                                  <a:off x="0" y="0"/>
                                  <a:ext cx="5162550" cy="1393190"/>
                                </a:xfrm>
                                <a:custGeom>
                                  <a:avLst/>
                                  <a:gdLst/>
                                  <a:ahLst/>
                                  <a:cxnLst/>
                                  <a:rect l="l" t="t" r="r" b="b"/>
                                  <a:pathLst>
                                    <a:path w="5162550" h="1393190">
                                      <a:moveTo>
                                        <a:pt x="5162143" y="155054"/>
                                      </a:moveTo>
                                      <a:lnTo>
                                        <a:pt x="5156060" y="155054"/>
                                      </a:lnTo>
                                      <a:lnTo>
                                        <a:pt x="5156060" y="1393037"/>
                                      </a:lnTo>
                                      <a:lnTo>
                                        <a:pt x="5162143" y="1393037"/>
                                      </a:lnTo>
                                      <a:lnTo>
                                        <a:pt x="5162143" y="155054"/>
                                      </a:lnTo>
                                      <a:close/>
                                    </a:path>
                                    <a:path w="5162550" h="1393190">
                                      <a:moveTo>
                                        <a:pt x="5162143" y="2984"/>
                                      </a:moveTo>
                                      <a:lnTo>
                                        <a:pt x="5161915" y="2984"/>
                                      </a:lnTo>
                                      <a:lnTo>
                                        <a:pt x="5161915" y="0"/>
                                      </a:lnTo>
                                      <a:lnTo>
                                        <a:pt x="4483989" y="0"/>
                                      </a:lnTo>
                                      <a:lnTo>
                                        <a:pt x="2658592" y="0"/>
                                      </a:lnTo>
                                      <a:lnTo>
                                        <a:pt x="3035" y="0"/>
                                      </a:lnTo>
                                      <a:lnTo>
                                        <a:pt x="0" y="0"/>
                                      </a:lnTo>
                                      <a:lnTo>
                                        <a:pt x="0" y="1393037"/>
                                      </a:lnTo>
                                      <a:lnTo>
                                        <a:pt x="3035" y="1393037"/>
                                      </a:lnTo>
                                      <a:lnTo>
                                        <a:pt x="3035" y="3035"/>
                                      </a:lnTo>
                                      <a:lnTo>
                                        <a:pt x="2658592" y="3035"/>
                                      </a:lnTo>
                                      <a:lnTo>
                                        <a:pt x="4483989" y="3035"/>
                                      </a:lnTo>
                                      <a:lnTo>
                                        <a:pt x="5156060" y="3035"/>
                                      </a:lnTo>
                                      <a:lnTo>
                                        <a:pt x="5156060" y="145884"/>
                                      </a:lnTo>
                                      <a:lnTo>
                                        <a:pt x="5162143" y="145884"/>
                                      </a:lnTo>
                                      <a:lnTo>
                                        <a:pt x="5162143" y="2984"/>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3040" y="1386965"/>
                                  <a:ext cx="5159375" cy="6350"/>
                                </a:xfrm>
                                <a:custGeom>
                                  <a:avLst/>
                                  <a:gdLst/>
                                  <a:ahLst/>
                                  <a:cxnLst/>
                                  <a:rect l="l" t="t" r="r" b="b"/>
                                  <a:pathLst>
                                    <a:path w="5159375" h="6350">
                                      <a:moveTo>
                                        <a:pt x="5159103" y="0"/>
                                      </a:moveTo>
                                      <a:lnTo>
                                        <a:pt x="0" y="0"/>
                                      </a:lnTo>
                                      <a:lnTo>
                                        <a:pt x="0" y="6069"/>
                                      </a:lnTo>
                                      <a:lnTo>
                                        <a:pt x="5159103" y="6069"/>
                                      </a:lnTo>
                                      <a:lnTo>
                                        <a:pt x="51591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716009pt;margin-top:-24.903221pt;width:406.5pt;height:109.7pt;mso-position-horizontal-relative:column;mso-position-vertical-relative:paragraph;z-index:-29735424" id="docshapegroup341" coordorigin="534,-498" coordsize="8130,2194">
                      <v:shape style="position:absolute;left:534;top:-499;width:8130;height:2194" id="docshape342" coordorigin="534,-498" coordsize="8130,2194" path="m8664,-254l8654,-254,8654,1696,8664,1696,8664,-254xm8664,-493l8663,-493,8663,-498,7596,-498,4721,-498,539,-498,534,-498,534,1696,539,1696,539,-493,4721,-493,7596,-493,8654,-493,8654,-268,8664,-268,8664,-493xe" filled="true" fillcolor="#000000" stroked="false">
                        <v:path arrowok="t"/>
                        <v:fill type="solid"/>
                      </v:shape>
                      <v:rect style="position:absolute;left:539;top:1686;width:8125;height:10" id="docshape343" filled="true" fillcolor="#000000" stroked="false">
                        <v:fill type="solid"/>
                      </v:rect>
                      <w10:wrap type="none"/>
                    </v:group>
                  </w:pict>
                </mc:Fallback>
              </mc:AlternateContent>
            </w:r>
            <w:r>
              <w:rPr>
                <w:rFonts w:ascii="Times New Roman"/>
                <w:sz w:val="19"/>
              </w:rPr>
              <w:t>Por</w:t>
            </w:r>
            <w:r>
              <w:rPr>
                <w:rFonts w:ascii="Times New Roman"/>
                <w:spacing w:val="-9"/>
                <w:sz w:val="19"/>
              </w:rPr>
              <w:t> </w:t>
            </w:r>
            <w:r>
              <w:rPr>
                <w:rFonts w:ascii="Times New Roman"/>
                <w:sz w:val="19"/>
              </w:rPr>
              <w:t>Contribuciones</w:t>
            </w:r>
            <w:r>
              <w:rPr>
                <w:rFonts w:ascii="Times New Roman"/>
                <w:spacing w:val="-4"/>
                <w:sz w:val="19"/>
              </w:rPr>
              <w:t> </w:t>
            </w:r>
            <w:r>
              <w:rPr>
                <w:rFonts w:ascii="Times New Roman"/>
                <w:sz w:val="19"/>
              </w:rPr>
              <w:t>patronales</w:t>
            </w:r>
            <w:r>
              <w:rPr>
                <w:rFonts w:ascii="Times New Roman"/>
                <w:spacing w:val="-5"/>
                <w:sz w:val="19"/>
              </w:rPr>
              <w:t> </w:t>
            </w:r>
            <w:r>
              <w:rPr>
                <w:rFonts w:ascii="Times New Roman"/>
                <w:sz w:val="19"/>
              </w:rPr>
              <w:t>por</w:t>
            </w:r>
            <w:r>
              <w:rPr>
                <w:rFonts w:ascii="Times New Roman"/>
                <w:spacing w:val="-8"/>
                <w:sz w:val="19"/>
              </w:rPr>
              <w:t> </w:t>
            </w:r>
            <w:r>
              <w:rPr>
                <w:rFonts w:ascii="Times New Roman"/>
                <w:spacing w:val="-2"/>
                <w:sz w:val="19"/>
              </w:rPr>
              <w:t>pagar</w:t>
            </w:r>
            <w:r>
              <w:rPr>
                <w:rFonts w:ascii="Times New Roman"/>
                <w:sz w:val="19"/>
              </w:rPr>
              <w:tab/>
              <w:t>287 </w:t>
            </w:r>
            <w:r>
              <w:rPr>
                <w:rFonts w:ascii="Times New Roman"/>
                <w:spacing w:val="-2"/>
                <w:sz w:val="19"/>
              </w:rPr>
              <w:t>161,48</w:t>
            </w:r>
            <w:r>
              <w:rPr>
                <w:rFonts w:ascii="Times New Roman"/>
                <w:sz w:val="19"/>
              </w:rPr>
              <w:tab/>
              <w:t>308 </w:t>
            </w:r>
            <w:r>
              <w:rPr>
                <w:rFonts w:ascii="Times New Roman"/>
                <w:spacing w:val="-2"/>
                <w:sz w:val="19"/>
              </w:rPr>
              <w:t>849,76</w:t>
            </w:r>
            <w:r>
              <w:rPr>
                <w:rFonts w:ascii="Times New Roman"/>
                <w:sz w:val="19"/>
              </w:rPr>
              <w:tab/>
            </w:r>
            <w:r>
              <w:rPr>
                <w:rFonts w:ascii="Calibri"/>
                <w:sz w:val="17"/>
              </w:rPr>
              <w:t>-</w:t>
            </w:r>
            <w:r>
              <w:rPr>
                <w:rFonts w:ascii="Calibri"/>
                <w:spacing w:val="-2"/>
                <w:sz w:val="17"/>
              </w:rPr>
              <w:t>7,02%</w:t>
            </w:r>
          </w:p>
          <w:p>
            <w:pPr>
              <w:pStyle w:val="TableParagraph"/>
              <w:tabs>
                <w:tab w:pos="4651" w:val="left" w:leader="none"/>
                <w:tab w:pos="6031" w:val="left" w:leader="none"/>
                <w:tab w:pos="7372" w:val="left" w:leader="none"/>
              </w:tabs>
              <w:spacing w:before="21"/>
              <w:ind w:right="554"/>
              <w:jc w:val="right"/>
              <w:rPr>
                <w:rFonts w:ascii="Calibri"/>
                <w:sz w:val="17"/>
              </w:rPr>
            </w:pPr>
            <w:r>
              <w:rPr>
                <w:rFonts w:ascii="Times New Roman"/>
                <w:sz w:val="19"/>
              </w:rPr>
              <w:t>Retenciones</w:t>
            </w:r>
            <w:r>
              <w:rPr>
                <w:rFonts w:ascii="Times New Roman"/>
                <w:spacing w:val="-3"/>
                <w:sz w:val="19"/>
              </w:rPr>
              <w:t> </w:t>
            </w:r>
            <w:r>
              <w:rPr>
                <w:rFonts w:ascii="Times New Roman"/>
                <w:sz w:val="19"/>
              </w:rPr>
              <w:t>al</w:t>
            </w:r>
            <w:r>
              <w:rPr>
                <w:rFonts w:ascii="Times New Roman"/>
                <w:spacing w:val="-6"/>
                <w:sz w:val="19"/>
              </w:rPr>
              <w:t> </w:t>
            </w:r>
            <w:r>
              <w:rPr>
                <w:rFonts w:ascii="Times New Roman"/>
                <w:sz w:val="19"/>
              </w:rPr>
              <w:t>personal</w:t>
            </w:r>
            <w:r>
              <w:rPr>
                <w:rFonts w:ascii="Times New Roman"/>
                <w:spacing w:val="-5"/>
                <w:sz w:val="19"/>
              </w:rPr>
              <w:t> </w:t>
            </w:r>
            <w:r>
              <w:rPr>
                <w:rFonts w:ascii="Times New Roman"/>
                <w:sz w:val="19"/>
              </w:rPr>
              <w:t>por</w:t>
            </w:r>
            <w:r>
              <w:rPr>
                <w:rFonts w:ascii="Times New Roman"/>
                <w:spacing w:val="-7"/>
                <w:sz w:val="19"/>
              </w:rPr>
              <w:t> </w:t>
            </w:r>
            <w:r>
              <w:rPr>
                <w:rFonts w:ascii="Times New Roman"/>
                <w:spacing w:val="-2"/>
                <w:sz w:val="19"/>
              </w:rPr>
              <w:t>pagar</w:t>
            </w:r>
            <w:r>
              <w:rPr>
                <w:rFonts w:ascii="Times New Roman"/>
                <w:sz w:val="19"/>
              </w:rPr>
              <w:tab/>
              <w:t>147 </w:t>
            </w:r>
            <w:r>
              <w:rPr>
                <w:rFonts w:ascii="Times New Roman"/>
                <w:spacing w:val="-2"/>
                <w:sz w:val="19"/>
              </w:rPr>
              <w:t>323,78</w:t>
            </w:r>
            <w:r>
              <w:rPr>
                <w:rFonts w:ascii="Times New Roman"/>
                <w:sz w:val="19"/>
              </w:rPr>
              <w:tab/>
              <w:t>181 </w:t>
            </w:r>
            <w:r>
              <w:rPr>
                <w:rFonts w:ascii="Times New Roman"/>
                <w:spacing w:val="-2"/>
                <w:sz w:val="19"/>
              </w:rPr>
              <w:t>572,83</w:t>
            </w:r>
            <w:r>
              <w:rPr>
                <w:rFonts w:ascii="Times New Roman"/>
                <w:sz w:val="19"/>
              </w:rPr>
              <w:tab/>
            </w:r>
            <w:r>
              <w:rPr>
                <w:rFonts w:ascii="Calibri"/>
                <w:sz w:val="17"/>
              </w:rPr>
              <w:t>-</w:t>
            </w:r>
            <w:r>
              <w:rPr>
                <w:rFonts w:ascii="Calibri"/>
                <w:spacing w:val="-2"/>
                <w:sz w:val="17"/>
              </w:rPr>
              <w:t>18,86%</w:t>
            </w:r>
          </w:p>
          <w:p>
            <w:pPr>
              <w:pStyle w:val="TableParagraph"/>
              <w:tabs>
                <w:tab w:pos="4747" w:val="left" w:leader="none"/>
                <w:tab w:pos="6127" w:val="left" w:leader="none"/>
                <w:tab w:pos="7516" w:val="left" w:leader="none"/>
              </w:tabs>
              <w:spacing w:before="21"/>
              <w:ind w:right="554"/>
              <w:jc w:val="right"/>
              <w:rPr>
                <w:rFonts w:ascii="Calibri"/>
                <w:sz w:val="17"/>
              </w:rPr>
            </w:pPr>
            <w:r>
              <w:rPr>
                <w:rFonts w:ascii="Times New Roman"/>
                <w:sz w:val="19"/>
              </w:rPr>
              <w:t>Impuesto</w:t>
            </w:r>
            <w:r>
              <w:rPr>
                <w:rFonts w:ascii="Times New Roman"/>
                <w:spacing w:val="-9"/>
                <w:sz w:val="19"/>
              </w:rPr>
              <w:t> </w:t>
            </w:r>
            <w:r>
              <w:rPr>
                <w:rFonts w:ascii="Times New Roman"/>
                <w:sz w:val="19"/>
              </w:rPr>
              <w:t>retenidos</w:t>
            </w:r>
            <w:r>
              <w:rPr>
                <w:rFonts w:ascii="Times New Roman"/>
                <w:spacing w:val="41"/>
                <w:sz w:val="19"/>
              </w:rPr>
              <w:t> </w:t>
            </w:r>
            <w:r>
              <w:rPr>
                <w:rFonts w:ascii="Times New Roman"/>
                <w:sz w:val="19"/>
              </w:rPr>
              <w:t>por</w:t>
            </w:r>
            <w:r>
              <w:rPr>
                <w:rFonts w:ascii="Times New Roman"/>
                <w:spacing w:val="-6"/>
                <w:sz w:val="19"/>
              </w:rPr>
              <w:t> </w:t>
            </w:r>
            <w:r>
              <w:rPr>
                <w:rFonts w:ascii="Times New Roman"/>
                <w:spacing w:val="-2"/>
                <w:sz w:val="19"/>
              </w:rPr>
              <w:t>pagar</w:t>
            </w:r>
            <w:r>
              <w:rPr>
                <w:rFonts w:ascii="Times New Roman"/>
                <w:sz w:val="19"/>
              </w:rPr>
              <w:tab/>
              <w:t>87 </w:t>
            </w:r>
            <w:r>
              <w:rPr>
                <w:rFonts w:ascii="Times New Roman"/>
                <w:spacing w:val="-2"/>
                <w:sz w:val="19"/>
              </w:rPr>
              <w:t>633,16</w:t>
            </w:r>
            <w:r>
              <w:rPr>
                <w:rFonts w:ascii="Times New Roman"/>
                <w:sz w:val="19"/>
              </w:rPr>
              <w:tab/>
              <w:t>81 </w:t>
            </w:r>
            <w:r>
              <w:rPr>
                <w:rFonts w:ascii="Times New Roman"/>
                <w:spacing w:val="-2"/>
                <w:sz w:val="19"/>
              </w:rPr>
              <w:t>449,43</w:t>
            </w:r>
            <w:r>
              <w:rPr>
                <w:rFonts w:ascii="Times New Roman"/>
                <w:sz w:val="19"/>
              </w:rPr>
              <w:tab/>
            </w:r>
            <w:r>
              <w:rPr>
                <w:rFonts w:ascii="Calibri"/>
                <w:spacing w:val="-2"/>
                <w:sz w:val="17"/>
              </w:rPr>
              <w:t>7,59%</w:t>
            </w:r>
          </w:p>
          <w:p>
            <w:pPr>
              <w:pStyle w:val="TableParagraph"/>
              <w:tabs>
                <w:tab w:pos="4651" w:val="left" w:leader="none"/>
                <w:tab w:pos="6031" w:val="left" w:leader="none"/>
                <w:tab w:pos="7516" w:val="left" w:leader="none"/>
              </w:tabs>
              <w:spacing w:before="22"/>
              <w:ind w:right="554"/>
              <w:jc w:val="right"/>
              <w:rPr>
                <w:rFonts w:ascii="Calibri"/>
                <w:sz w:val="17"/>
              </w:rPr>
            </w:pPr>
            <w:r>
              <w:rPr>
                <w:rFonts w:ascii="Times New Roman"/>
                <w:sz w:val="19"/>
              </w:rPr>
              <w:t>Aguinaldo</w:t>
            </w:r>
            <w:r>
              <w:rPr>
                <w:rFonts w:ascii="Times New Roman"/>
                <w:spacing w:val="-4"/>
                <w:sz w:val="19"/>
              </w:rPr>
              <w:t> </w:t>
            </w:r>
            <w:r>
              <w:rPr>
                <w:rFonts w:ascii="Times New Roman"/>
                <w:sz w:val="19"/>
              </w:rPr>
              <w:t>por</w:t>
            </w:r>
            <w:r>
              <w:rPr>
                <w:rFonts w:ascii="Times New Roman"/>
                <w:spacing w:val="-1"/>
                <w:sz w:val="19"/>
              </w:rPr>
              <w:t> </w:t>
            </w:r>
            <w:r>
              <w:rPr>
                <w:rFonts w:ascii="Times New Roman"/>
                <w:spacing w:val="-2"/>
                <w:sz w:val="19"/>
              </w:rPr>
              <w:t>pagar</w:t>
            </w:r>
            <w:r>
              <w:rPr>
                <w:rFonts w:ascii="Times New Roman"/>
                <w:sz w:val="19"/>
              </w:rPr>
              <w:tab/>
              <w:t>969 </w:t>
            </w:r>
            <w:r>
              <w:rPr>
                <w:rFonts w:ascii="Times New Roman"/>
                <w:spacing w:val="-2"/>
                <w:sz w:val="19"/>
              </w:rPr>
              <w:t>655,28</w:t>
            </w:r>
            <w:r>
              <w:rPr>
                <w:rFonts w:ascii="Times New Roman"/>
                <w:sz w:val="19"/>
              </w:rPr>
              <w:tab/>
              <w:t>941 </w:t>
            </w:r>
            <w:r>
              <w:rPr>
                <w:rFonts w:ascii="Times New Roman"/>
                <w:spacing w:val="-2"/>
                <w:sz w:val="19"/>
              </w:rPr>
              <w:t>091,74</w:t>
            </w:r>
            <w:r>
              <w:rPr>
                <w:rFonts w:ascii="Times New Roman"/>
                <w:sz w:val="19"/>
              </w:rPr>
              <w:tab/>
            </w:r>
            <w:r>
              <w:rPr>
                <w:rFonts w:ascii="Calibri"/>
                <w:spacing w:val="-2"/>
                <w:sz w:val="17"/>
              </w:rPr>
              <w:t>3,04%</w:t>
            </w:r>
          </w:p>
          <w:p>
            <w:pPr>
              <w:pStyle w:val="TableParagraph"/>
              <w:tabs>
                <w:tab w:pos="4651" w:val="left" w:leader="none"/>
                <w:tab w:pos="6031" w:val="left" w:leader="none"/>
                <w:tab w:pos="7516" w:val="left" w:leader="none"/>
              </w:tabs>
              <w:spacing w:before="21"/>
              <w:ind w:right="554"/>
              <w:jc w:val="right"/>
              <w:rPr>
                <w:rFonts w:ascii="Calibri"/>
                <w:sz w:val="17"/>
              </w:rPr>
            </w:pPr>
            <w:r>
              <w:rPr>
                <w:rFonts w:ascii="Times New Roman"/>
                <w:sz w:val="19"/>
              </w:rPr>
              <w:t>Salario</w:t>
            </w:r>
            <w:r>
              <w:rPr>
                <w:rFonts w:ascii="Times New Roman"/>
                <w:spacing w:val="-9"/>
                <w:sz w:val="19"/>
              </w:rPr>
              <w:t> </w:t>
            </w:r>
            <w:r>
              <w:rPr>
                <w:rFonts w:ascii="Times New Roman"/>
                <w:sz w:val="19"/>
              </w:rPr>
              <w:t>escolar</w:t>
            </w:r>
            <w:r>
              <w:rPr>
                <w:rFonts w:ascii="Times New Roman"/>
                <w:spacing w:val="-6"/>
                <w:sz w:val="19"/>
              </w:rPr>
              <w:t> </w:t>
            </w:r>
            <w:r>
              <w:rPr>
                <w:rFonts w:ascii="Times New Roman"/>
                <w:sz w:val="19"/>
              </w:rPr>
              <w:t>por</w:t>
            </w:r>
            <w:r>
              <w:rPr>
                <w:rFonts w:ascii="Times New Roman"/>
                <w:spacing w:val="-6"/>
                <w:sz w:val="19"/>
              </w:rPr>
              <w:t> </w:t>
            </w:r>
            <w:r>
              <w:rPr>
                <w:rFonts w:ascii="Times New Roman"/>
                <w:spacing w:val="-2"/>
                <w:sz w:val="19"/>
              </w:rPr>
              <w:t>pagar</w:t>
            </w:r>
            <w:r>
              <w:rPr>
                <w:rFonts w:ascii="Times New Roman"/>
                <w:sz w:val="19"/>
              </w:rPr>
              <w:tab/>
              <w:t>782 </w:t>
            </w:r>
            <w:r>
              <w:rPr>
                <w:rFonts w:ascii="Times New Roman"/>
                <w:spacing w:val="-2"/>
                <w:sz w:val="19"/>
              </w:rPr>
              <w:t>327,59</w:t>
            </w:r>
            <w:r>
              <w:rPr>
                <w:rFonts w:ascii="Times New Roman"/>
                <w:sz w:val="19"/>
              </w:rPr>
              <w:tab/>
              <w:t>768 </w:t>
            </w:r>
            <w:r>
              <w:rPr>
                <w:rFonts w:ascii="Times New Roman"/>
                <w:spacing w:val="-2"/>
                <w:sz w:val="19"/>
              </w:rPr>
              <w:t>685,68</w:t>
            </w:r>
            <w:r>
              <w:rPr>
                <w:rFonts w:ascii="Times New Roman"/>
                <w:sz w:val="19"/>
              </w:rPr>
              <w:tab/>
            </w:r>
            <w:r>
              <w:rPr>
                <w:rFonts w:ascii="Calibri"/>
                <w:spacing w:val="-2"/>
                <w:sz w:val="17"/>
              </w:rPr>
              <w:t>1,77%</w:t>
            </w:r>
          </w:p>
          <w:p>
            <w:pPr>
              <w:pStyle w:val="TableParagraph"/>
              <w:tabs>
                <w:tab w:pos="4043" w:val="left" w:leader="none"/>
                <w:tab w:pos="4651" w:val="left" w:leader="none"/>
                <w:tab w:pos="6031" w:val="left" w:leader="none"/>
                <w:tab w:pos="7425" w:val="left" w:leader="none"/>
              </w:tabs>
              <w:spacing w:before="21"/>
              <w:ind w:right="554"/>
              <w:jc w:val="right"/>
              <w:rPr>
                <w:rFonts w:ascii="Calibri"/>
                <w:sz w:val="17"/>
              </w:rPr>
            </w:pPr>
            <w:r>
              <w:rPr>
                <w:rFonts w:ascii="Times New Roman"/>
                <w:sz w:val="19"/>
              </w:rPr>
              <w:t>Otros</w:t>
            </w:r>
            <w:r>
              <w:rPr>
                <w:rFonts w:ascii="Times New Roman"/>
                <w:spacing w:val="-1"/>
                <w:sz w:val="19"/>
              </w:rPr>
              <w:t> </w:t>
            </w:r>
            <w:r>
              <w:rPr>
                <w:rFonts w:ascii="Times New Roman"/>
                <w:sz w:val="19"/>
              </w:rPr>
              <w:t>gastos en</w:t>
            </w:r>
            <w:r>
              <w:rPr>
                <w:rFonts w:ascii="Times New Roman"/>
                <w:spacing w:val="-2"/>
                <w:sz w:val="19"/>
              </w:rPr>
              <w:t> </w:t>
            </w:r>
            <w:r>
              <w:rPr>
                <w:rFonts w:ascii="Times New Roman"/>
                <w:sz w:val="19"/>
              </w:rPr>
              <w:t>personal</w:t>
            </w:r>
            <w:r>
              <w:rPr>
                <w:rFonts w:ascii="Times New Roman"/>
                <w:spacing w:val="-2"/>
                <w:sz w:val="19"/>
              </w:rPr>
              <w:t> </w:t>
            </w:r>
            <w:r>
              <w:rPr>
                <w:rFonts w:ascii="Times New Roman"/>
                <w:sz w:val="19"/>
              </w:rPr>
              <w:t>a</w:t>
            </w:r>
            <w:r>
              <w:rPr>
                <w:rFonts w:ascii="Times New Roman"/>
                <w:spacing w:val="-1"/>
                <w:sz w:val="19"/>
              </w:rPr>
              <w:t> </w:t>
            </w:r>
            <w:r>
              <w:rPr>
                <w:rFonts w:ascii="Times New Roman"/>
                <w:spacing w:val="-2"/>
                <w:sz w:val="19"/>
              </w:rPr>
              <w:t>pagar</w:t>
            </w:r>
            <w:r>
              <w:rPr>
                <w:rFonts w:ascii="Times New Roman"/>
                <w:sz w:val="19"/>
              </w:rPr>
              <w:tab/>
            </w:r>
            <w:r>
              <w:rPr>
                <w:rFonts w:ascii="Times New Roman"/>
                <w:sz w:val="19"/>
                <w:u w:val="single"/>
              </w:rPr>
              <w:tab/>
              <w:t>294 </w:t>
            </w:r>
            <w:r>
              <w:rPr>
                <w:rFonts w:ascii="Times New Roman"/>
                <w:spacing w:val="-2"/>
                <w:sz w:val="19"/>
                <w:u w:val="single"/>
              </w:rPr>
              <w:t>000,83</w:t>
            </w:r>
            <w:r>
              <w:rPr>
                <w:rFonts w:ascii="Times New Roman"/>
                <w:sz w:val="19"/>
                <w:u w:val="single"/>
              </w:rPr>
              <w:tab/>
              <w:t>211 </w:t>
            </w:r>
            <w:r>
              <w:rPr>
                <w:rFonts w:ascii="Times New Roman"/>
                <w:spacing w:val="-2"/>
                <w:sz w:val="19"/>
                <w:u w:val="single"/>
              </w:rPr>
              <w:t>436,86</w:t>
            </w:r>
            <w:r>
              <w:rPr>
                <w:rFonts w:ascii="Times New Roman"/>
                <w:sz w:val="19"/>
                <w:u w:val="none"/>
              </w:rPr>
              <w:tab/>
            </w:r>
            <w:r>
              <w:rPr>
                <w:rFonts w:ascii="Calibri"/>
                <w:spacing w:val="-2"/>
                <w:sz w:val="17"/>
                <w:u w:val="none"/>
              </w:rPr>
              <w:t>39,05%</w:t>
            </w:r>
          </w:p>
          <w:p>
            <w:pPr>
              <w:pStyle w:val="TableParagraph"/>
              <w:tabs>
                <w:tab w:pos="2759" w:val="left" w:leader="none"/>
                <w:tab w:pos="4138" w:val="left" w:leader="none"/>
                <w:tab w:pos="5676" w:val="left" w:leader="none"/>
              </w:tabs>
              <w:spacing w:before="22"/>
              <w:ind w:right="560"/>
              <w:jc w:val="right"/>
              <w:rPr>
                <w:rFonts w:ascii="Times New Roman"/>
                <w:b/>
                <w:sz w:val="19"/>
              </w:rPr>
            </w:pPr>
            <w:r>
              <w:rPr>
                <w:rFonts w:ascii="Times New Roman"/>
                <w:b/>
                <w:spacing w:val="-2"/>
                <w:sz w:val="17"/>
              </w:rPr>
              <w:t>Total</w:t>
            </w:r>
            <w:r>
              <w:rPr>
                <w:rFonts w:ascii="Times New Roman"/>
                <w:b/>
                <w:sz w:val="17"/>
              </w:rPr>
              <w:tab/>
            </w:r>
            <w:r>
              <w:rPr>
                <w:rFonts w:ascii="Times New Roman"/>
                <w:b/>
                <w:sz w:val="19"/>
                <w:u w:val="single"/>
              </w:rPr>
              <w:t>2 568</w:t>
            </w:r>
            <w:r>
              <w:rPr>
                <w:rFonts w:ascii="Times New Roman"/>
                <w:b/>
                <w:spacing w:val="1"/>
                <w:sz w:val="19"/>
                <w:u w:val="single"/>
              </w:rPr>
              <w:t> </w:t>
            </w:r>
            <w:r>
              <w:rPr>
                <w:rFonts w:ascii="Times New Roman"/>
                <w:b/>
                <w:spacing w:val="-2"/>
                <w:sz w:val="19"/>
                <w:u w:val="single"/>
              </w:rPr>
              <w:t>102,12</w:t>
            </w:r>
            <w:r>
              <w:rPr>
                <w:rFonts w:ascii="Times New Roman"/>
                <w:b/>
                <w:sz w:val="19"/>
                <w:u w:val="none"/>
              </w:rPr>
              <w:tab/>
            </w:r>
            <w:r>
              <w:rPr>
                <w:rFonts w:ascii="Times New Roman"/>
                <w:b/>
                <w:sz w:val="19"/>
                <w:u w:val="single"/>
              </w:rPr>
              <w:t>2 493</w:t>
            </w:r>
            <w:r>
              <w:rPr>
                <w:rFonts w:ascii="Times New Roman"/>
                <w:b/>
                <w:spacing w:val="1"/>
                <w:sz w:val="19"/>
                <w:u w:val="single"/>
              </w:rPr>
              <w:t> </w:t>
            </w:r>
            <w:r>
              <w:rPr>
                <w:rFonts w:ascii="Times New Roman"/>
                <w:b/>
                <w:spacing w:val="-2"/>
                <w:sz w:val="19"/>
                <w:u w:val="single"/>
              </w:rPr>
              <w:t>086,29</w:t>
            </w:r>
            <w:r>
              <w:rPr>
                <w:rFonts w:ascii="Times New Roman"/>
                <w:b/>
                <w:sz w:val="19"/>
                <w:u w:val="none"/>
              </w:rPr>
              <w:tab/>
            </w:r>
            <w:r>
              <w:rPr>
                <w:rFonts w:ascii="Times New Roman"/>
                <w:b/>
                <w:spacing w:val="-2"/>
                <w:sz w:val="19"/>
                <w:u w:val="single"/>
              </w:rPr>
              <w:t>3,01%</w:t>
            </w:r>
          </w:p>
          <w:p>
            <w:pPr>
              <w:pStyle w:val="TableParagraph"/>
              <w:spacing w:before="185"/>
              <w:ind w:left="107"/>
              <w:rPr>
                <w:b/>
                <w:i/>
                <w:sz w:val="23"/>
              </w:rPr>
            </w:pPr>
            <w:r>
              <w:rPr>
                <w:b/>
                <w:i/>
                <w:spacing w:val="-4"/>
                <w:sz w:val="23"/>
              </w:rPr>
              <w:t>Beneficios</w:t>
            </w:r>
            <w:r>
              <w:rPr>
                <w:b/>
                <w:i/>
                <w:spacing w:val="-11"/>
                <w:sz w:val="23"/>
              </w:rPr>
              <w:t> </w:t>
            </w:r>
            <w:r>
              <w:rPr>
                <w:b/>
                <w:i/>
                <w:spacing w:val="-4"/>
                <w:sz w:val="23"/>
              </w:rPr>
              <w:t>a</w:t>
            </w:r>
            <w:r>
              <w:rPr>
                <w:b/>
                <w:i/>
                <w:spacing w:val="-10"/>
                <w:sz w:val="23"/>
              </w:rPr>
              <w:t> </w:t>
            </w:r>
            <w:r>
              <w:rPr>
                <w:b/>
                <w:i/>
                <w:spacing w:val="-4"/>
                <w:sz w:val="23"/>
              </w:rPr>
              <w:t>los</w:t>
            </w:r>
            <w:r>
              <w:rPr>
                <w:b/>
                <w:i/>
                <w:spacing w:val="-11"/>
                <w:sz w:val="23"/>
              </w:rPr>
              <w:t> </w:t>
            </w:r>
            <w:r>
              <w:rPr>
                <w:b/>
                <w:i/>
                <w:spacing w:val="-4"/>
                <w:sz w:val="23"/>
              </w:rPr>
              <w:t>empleados</w:t>
            </w:r>
            <w:r>
              <w:rPr>
                <w:b/>
                <w:i/>
                <w:spacing w:val="-9"/>
                <w:sz w:val="23"/>
              </w:rPr>
              <w:t> </w:t>
            </w:r>
            <w:r>
              <w:rPr>
                <w:b/>
                <w:i/>
                <w:spacing w:val="-4"/>
                <w:sz w:val="23"/>
              </w:rPr>
              <w:t>–</w:t>
            </w:r>
            <w:r>
              <w:rPr>
                <w:b/>
                <w:i/>
                <w:spacing w:val="-10"/>
                <w:sz w:val="23"/>
              </w:rPr>
              <w:t> </w:t>
            </w:r>
            <w:r>
              <w:rPr>
                <w:b/>
                <w:i/>
                <w:spacing w:val="-4"/>
                <w:sz w:val="23"/>
              </w:rPr>
              <w:t>Pasivos</w:t>
            </w:r>
          </w:p>
          <w:p>
            <w:pPr>
              <w:pStyle w:val="TableParagraph"/>
              <w:spacing w:line="410" w:lineRule="auto" w:before="178"/>
              <w:ind w:left="107" w:right="6385"/>
              <w:rPr>
                <w:sz w:val="22"/>
              </w:rPr>
            </w:pPr>
            <w:r>
              <w:rPr>
                <w:sz w:val="22"/>
                <w:u w:val="single"/>
              </w:rPr>
              <w:t>Aguinaldo por pagar</w:t>
            </w:r>
            <w:r>
              <w:rPr>
                <w:sz w:val="22"/>
                <w:u w:val="none"/>
              </w:rPr>
              <w:t> Naturaleza</w:t>
            </w:r>
            <w:r>
              <w:rPr>
                <w:spacing w:val="-12"/>
                <w:sz w:val="22"/>
                <w:u w:val="none"/>
              </w:rPr>
              <w:t> </w:t>
            </w:r>
            <w:r>
              <w:rPr>
                <w:sz w:val="22"/>
                <w:u w:val="none"/>
              </w:rPr>
              <w:t>de</w:t>
            </w:r>
            <w:r>
              <w:rPr>
                <w:spacing w:val="-13"/>
                <w:sz w:val="22"/>
                <w:u w:val="none"/>
              </w:rPr>
              <w:t> </w:t>
            </w:r>
            <w:r>
              <w:rPr>
                <w:sz w:val="22"/>
                <w:u w:val="none"/>
              </w:rPr>
              <w:t>la</w:t>
            </w:r>
            <w:r>
              <w:rPr>
                <w:spacing w:val="-14"/>
                <w:sz w:val="22"/>
                <w:u w:val="none"/>
              </w:rPr>
              <w:t> </w:t>
            </w:r>
            <w:r>
              <w:rPr>
                <w:sz w:val="22"/>
                <w:u w:val="none"/>
              </w:rPr>
              <w:t>obligación</w:t>
            </w:r>
          </w:p>
          <w:p>
            <w:pPr>
              <w:pStyle w:val="TableParagraph"/>
              <w:spacing w:line="259" w:lineRule="auto" w:before="3"/>
              <w:ind w:left="107" w:right="93"/>
              <w:jc w:val="both"/>
              <w:rPr>
                <w:sz w:val="22"/>
              </w:rPr>
            </w:pPr>
            <w:r>
              <w:rPr>
                <w:sz w:val="22"/>
              </w:rPr>
              <w:t>El</w:t>
            </w:r>
            <w:r>
              <w:rPr>
                <w:spacing w:val="-4"/>
                <w:sz w:val="22"/>
              </w:rPr>
              <w:t> </w:t>
            </w:r>
            <w:r>
              <w:rPr>
                <w:sz w:val="22"/>
              </w:rPr>
              <w:t>aguinaldo</w:t>
            </w:r>
            <w:r>
              <w:rPr>
                <w:spacing w:val="-3"/>
                <w:sz w:val="22"/>
              </w:rPr>
              <w:t> </w:t>
            </w:r>
            <w:r>
              <w:rPr>
                <w:sz w:val="22"/>
              </w:rPr>
              <w:t>constituye</w:t>
            </w:r>
            <w:r>
              <w:rPr>
                <w:spacing w:val="-5"/>
                <w:sz w:val="22"/>
              </w:rPr>
              <w:t> </w:t>
            </w:r>
            <w:r>
              <w:rPr>
                <w:sz w:val="22"/>
              </w:rPr>
              <w:t>un</w:t>
            </w:r>
            <w:r>
              <w:rPr>
                <w:spacing w:val="-4"/>
                <w:sz w:val="22"/>
              </w:rPr>
              <w:t> </w:t>
            </w:r>
            <w:r>
              <w:rPr>
                <w:sz w:val="22"/>
              </w:rPr>
              <w:t>beneficio</w:t>
            </w:r>
            <w:r>
              <w:rPr>
                <w:spacing w:val="-3"/>
                <w:sz w:val="22"/>
              </w:rPr>
              <w:t> </w:t>
            </w:r>
            <w:r>
              <w:rPr>
                <w:sz w:val="22"/>
              </w:rPr>
              <w:t>a</w:t>
            </w:r>
            <w:r>
              <w:rPr>
                <w:spacing w:val="-4"/>
                <w:sz w:val="22"/>
              </w:rPr>
              <w:t> </w:t>
            </w:r>
            <w:r>
              <w:rPr>
                <w:sz w:val="22"/>
              </w:rPr>
              <w:t>los</w:t>
            </w:r>
            <w:r>
              <w:rPr>
                <w:spacing w:val="-3"/>
                <w:sz w:val="22"/>
              </w:rPr>
              <w:t> </w:t>
            </w:r>
            <w:r>
              <w:rPr>
                <w:sz w:val="22"/>
              </w:rPr>
              <w:t>empleados</w:t>
            </w:r>
            <w:r>
              <w:rPr>
                <w:spacing w:val="-3"/>
                <w:sz w:val="22"/>
              </w:rPr>
              <w:t> </w:t>
            </w:r>
            <w:r>
              <w:rPr>
                <w:sz w:val="22"/>
              </w:rPr>
              <w:t>de</w:t>
            </w:r>
            <w:r>
              <w:rPr>
                <w:spacing w:val="-5"/>
                <w:sz w:val="22"/>
              </w:rPr>
              <w:t> </w:t>
            </w:r>
            <w:r>
              <w:rPr>
                <w:sz w:val="22"/>
              </w:rPr>
              <w:t>corto</w:t>
            </w:r>
            <w:r>
              <w:rPr>
                <w:spacing w:val="-3"/>
                <w:sz w:val="22"/>
              </w:rPr>
              <w:t> </w:t>
            </w:r>
            <w:r>
              <w:rPr>
                <w:sz w:val="22"/>
              </w:rPr>
              <w:t>plazo,</w:t>
            </w:r>
            <w:r>
              <w:rPr>
                <w:spacing w:val="-4"/>
                <w:sz w:val="22"/>
              </w:rPr>
              <w:t> </w:t>
            </w:r>
            <w:r>
              <w:rPr>
                <w:sz w:val="22"/>
              </w:rPr>
              <w:t>reconocido</w:t>
            </w:r>
            <w:r>
              <w:rPr>
                <w:spacing w:val="-3"/>
                <w:sz w:val="22"/>
              </w:rPr>
              <w:t> </w:t>
            </w:r>
            <w:r>
              <w:rPr>
                <w:sz w:val="22"/>
              </w:rPr>
              <w:t>de</w:t>
            </w:r>
            <w:r>
              <w:rPr>
                <w:spacing w:val="-5"/>
                <w:sz w:val="22"/>
              </w:rPr>
              <w:t> </w:t>
            </w:r>
            <w:r>
              <w:rPr>
                <w:sz w:val="22"/>
              </w:rPr>
              <w:t>conformidad</w:t>
            </w:r>
            <w:r>
              <w:rPr>
                <w:spacing w:val="-4"/>
                <w:sz w:val="22"/>
              </w:rPr>
              <w:t> </w:t>
            </w:r>
            <w:r>
              <w:rPr>
                <w:sz w:val="22"/>
              </w:rPr>
              <w:t>con</w:t>
            </w:r>
            <w:r>
              <w:rPr>
                <w:spacing w:val="-3"/>
                <w:sz w:val="22"/>
              </w:rPr>
              <w:t> </w:t>
            </w:r>
            <w:r>
              <w:rPr>
                <w:sz w:val="22"/>
              </w:rPr>
              <w:t>la NICSP 39 Beneficios a los Empleados. Corresponde a la obligación acumulada por los servicios prestados</w:t>
            </w:r>
            <w:r>
              <w:rPr>
                <w:spacing w:val="-5"/>
                <w:sz w:val="22"/>
              </w:rPr>
              <w:t> </w:t>
            </w:r>
            <w:r>
              <w:rPr>
                <w:sz w:val="22"/>
              </w:rPr>
              <w:t>por</w:t>
            </w:r>
            <w:r>
              <w:rPr>
                <w:spacing w:val="-6"/>
                <w:sz w:val="22"/>
              </w:rPr>
              <w:t> </w:t>
            </w:r>
            <w:r>
              <w:rPr>
                <w:sz w:val="22"/>
              </w:rPr>
              <w:t>los</w:t>
            </w:r>
            <w:r>
              <w:rPr>
                <w:spacing w:val="-7"/>
                <w:sz w:val="22"/>
              </w:rPr>
              <w:t> </w:t>
            </w:r>
            <w:r>
              <w:rPr>
                <w:sz w:val="22"/>
              </w:rPr>
              <w:t>funcionarios</w:t>
            </w:r>
            <w:r>
              <w:rPr>
                <w:spacing w:val="-7"/>
                <w:sz w:val="22"/>
              </w:rPr>
              <w:t> </w:t>
            </w:r>
            <w:r>
              <w:rPr>
                <w:sz w:val="22"/>
              </w:rPr>
              <w:t>durante</w:t>
            </w:r>
            <w:r>
              <w:rPr>
                <w:spacing w:val="-6"/>
                <w:sz w:val="22"/>
              </w:rPr>
              <w:t> </w:t>
            </w:r>
            <w:r>
              <w:rPr>
                <w:sz w:val="22"/>
              </w:rPr>
              <w:t>el</w:t>
            </w:r>
            <w:r>
              <w:rPr>
                <w:spacing w:val="-6"/>
                <w:sz w:val="22"/>
              </w:rPr>
              <w:t> </w:t>
            </w:r>
            <w:r>
              <w:rPr>
                <w:sz w:val="22"/>
              </w:rPr>
              <w:t>período</w:t>
            </w:r>
            <w:r>
              <w:rPr>
                <w:spacing w:val="-5"/>
                <w:sz w:val="22"/>
              </w:rPr>
              <w:t> </w:t>
            </w:r>
            <w:r>
              <w:rPr>
                <w:sz w:val="22"/>
              </w:rPr>
              <w:t>y</w:t>
            </w:r>
            <w:r>
              <w:rPr>
                <w:spacing w:val="-7"/>
                <w:sz w:val="22"/>
              </w:rPr>
              <w:t> </w:t>
            </w:r>
            <w:r>
              <w:rPr>
                <w:sz w:val="22"/>
              </w:rPr>
              <w:t>pendiente</w:t>
            </w:r>
            <w:r>
              <w:rPr>
                <w:spacing w:val="-4"/>
                <w:sz w:val="22"/>
              </w:rPr>
              <w:t> </w:t>
            </w:r>
            <w:r>
              <w:rPr>
                <w:sz w:val="22"/>
              </w:rPr>
              <w:t>de</w:t>
            </w:r>
            <w:r>
              <w:rPr>
                <w:spacing w:val="-7"/>
                <w:sz w:val="22"/>
              </w:rPr>
              <w:t> </w:t>
            </w:r>
            <w:r>
              <w:rPr>
                <w:sz w:val="22"/>
              </w:rPr>
              <w:t>pago</w:t>
            </w:r>
            <w:r>
              <w:rPr>
                <w:spacing w:val="-5"/>
                <w:sz w:val="22"/>
              </w:rPr>
              <w:t> </w:t>
            </w:r>
            <w:r>
              <w:rPr>
                <w:sz w:val="22"/>
              </w:rPr>
              <w:t>al</w:t>
            </w:r>
            <w:r>
              <w:rPr>
                <w:spacing w:val="-6"/>
                <w:sz w:val="22"/>
              </w:rPr>
              <w:t> </w:t>
            </w:r>
            <w:r>
              <w:rPr>
                <w:sz w:val="22"/>
              </w:rPr>
              <w:t>cierre</w:t>
            </w:r>
            <w:r>
              <w:rPr>
                <w:spacing w:val="-7"/>
                <w:sz w:val="22"/>
              </w:rPr>
              <w:t> </w:t>
            </w:r>
            <w:r>
              <w:rPr>
                <w:sz w:val="22"/>
              </w:rPr>
              <w:t>del</w:t>
            </w:r>
            <w:r>
              <w:rPr>
                <w:spacing w:val="-9"/>
                <w:sz w:val="22"/>
              </w:rPr>
              <w:t> </w:t>
            </w:r>
            <w:r>
              <w:rPr>
                <w:sz w:val="22"/>
              </w:rPr>
              <w:t>ejercicio</w:t>
            </w:r>
            <w:r>
              <w:rPr>
                <w:spacing w:val="-5"/>
                <w:sz w:val="22"/>
              </w:rPr>
              <w:t> </w:t>
            </w:r>
            <w:r>
              <w:rPr>
                <w:sz w:val="22"/>
              </w:rPr>
              <w:t>económico.</w:t>
            </w:r>
          </w:p>
        </w:tc>
      </w:tr>
    </w:tbl>
    <w:p>
      <w:pPr>
        <w:pStyle w:val="TableParagraph"/>
        <w:spacing w:after="0" w:line="259"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2592">
                <wp:simplePos x="0" y="0"/>
                <wp:positionH relativeFrom="page">
                  <wp:posOffset>9525</wp:posOffset>
                </wp:positionH>
                <wp:positionV relativeFrom="page">
                  <wp:posOffset>297208</wp:posOffset>
                </wp:positionV>
                <wp:extent cx="7762875" cy="974852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7762875" cy="9748520"/>
                          <a:chExt cx="7762875" cy="9748520"/>
                        </a:xfrm>
                      </wpg:grpSpPr>
                      <pic:pic>
                        <pic:nvPicPr>
                          <pic:cNvPr id="364" name="Image 364"/>
                          <pic:cNvPicPr/>
                        </pic:nvPicPr>
                        <pic:blipFill>
                          <a:blip r:embed="rId5" cstate="print"/>
                          <a:stretch>
                            <a:fillRect/>
                          </a:stretch>
                        </pic:blipFill>
                        <pic:spPr>
                          <a:xfrm>
                            <a:off x="0" y="0"/>
                            <a:ext cx="7762874" cy="9748489"/>
                          </a:xfrm>
                          <a:prstGeom prst="rect">
                            <a:avLst/>
                          </a:prstGeom>
                        </pic:spPr>
                      </pic:pic>
                      <wps:wsp>
                        <wps:cNvPr id="365" name="Graphic 365"/>
                        <wps:cNvSpPr/>
                        <wps:spPr>
                          <a:xfrm>
                            <a:off x="1053007" y="990837"/>
                            <a:ext cx="5866130" cy="7814945"/>
                          </a:xfrm>
                          <a:custGeom>
                            <a:avLst/>
                            <a:gdLst/>
                            <a:ahLst/>
                            <a:cxnLst/>
                            <a:rect l="l" t="t" r="r" b="b"/>
                            <a:pathLst>
                              <a:path w="5866130" h="7814945">
                                <a:moveTo>
                                  <a:pt x="5649214" y="0"/>
                                </a:moveTo>
                                <a:lnTo>
                                  <a:pt x="0" y="0"/>
                                </a:lnTo>
                                <a:lnTo>
                                  <a:pt x="0" y="9131"/>
                                </a:lnTo>
                                <a:lnTo>
                                  <a:pt x="5649214" y="9131"/>
                                </a:lnTo>
                                <a:lnTo>
                                  <a:pt x="5649214" y="0"/>
                                </a:lnTo>
                                <a:close/>
                              </a:path>
                              <a:path w="5866130" h="7814945">
                                <a:moveTo>
                                  <a:pt x="5865571" y="132651"/>
                                </a:moveTo>
                                <a:lnTo>
                                  <a:pt x="5859475" y="132651"/>
                                </a:lnTo>
                                <a:lnTo>
                                  <a:pt x="5859475" y="7808404"/>
                                </a:lnTo>
                                <a:lnTo>
                                  <a:pt x="21336" y="7808404"/>
                                </a:lnTo>
                                <a:lnTo>
                                  <a:pt x="21336" y="132651"/>
                                </a:lnTo>
                                <a:lnTo>
                                  <a:pt x="15240" y="132651"/>
                                </a:lnTo>
                                <a:lnTo>
                                  <a:pt x="15240" y="7808404"/>
                                </a:lnTo>
                                <a:lnTo>
                                  <a:pt x="15240" y="7814500"/>
                                </a:lnTo>
                                <a:lnTo>
                                  <a:pt x="21336" y="7814500"/>
                                </a:lnTo>
                                <a:lnTo>
                                  <a:pt x="5859475" y="7814500"/>
                                </a:lnTo>
                                <a:lnTo>
                                  <a:pt x="5865571" y="7814500"/>
                                </a:lnTo>
                                <a:lnTo>
                                  <a:pt x="5865571" y="7808404"/>
                                </a:lnTo>
                                <a:lnTo>
                                  <a:pt x="5865571" y="132651"/>
                                </a:lnTo>
                                <a:close/>
                              </a:path>
                              <a:path w="5866130" h="7814945">
                                <a:moveTo>
                                  <a:pt x="5865571" y="126479"/>
                                </a:moveTo>
                                <a:lnTo>
                                  <a:pt x="5859526" y="126479"/>
                                </a:lnTo>
                                <a:lnTo>
                                  <a:pt x="21336" y="126479"/>
                                </a:lnTo>
                                <a:lnTo>
                                  <a:pt x="15240" y="126479"/>
                                </a:lnTo>
                                <a:lnTo>
                                  <a:pt x="15240" y="132575"/>
                                </a:lnTo>
                                <a:lnTo>
                                  <a:pt x="21336" y="132575"/>
                                </a:lnTo>
                                <a:lnTo>
                                  <a:pt x="5859475" y="132575"/>
                                </a:lnTo>
                                <a:lnTo>
                                  <a:pt x="5865571" y="132575"/>
                                </a:lnTo>
                                <a:lnTo>
                                  <a:pt x="5865571"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3888" id="docshapegroup344" coordorigin="15,468" coordsize="12225,15352">
                <v:shape style="position:absolute;left:15;top:468;width:12225;height:15352" type="#_x0000_t75" id="docshape345" stroked="false">
                  <v:imagedata r:id="rId5" o:title=""/>
                </v:shape>
                <v:shape style="position:absolute;left:1673;top:2028;width:9238;height:12307" id="docshape346" coordorigin="1673,2028" coordsize="9238,12307" path="m10570,2028l1673,2028,1673,2043,10570,2043,10570,2028xm10910,2237l10901,2237,10901,14325,1707,14325,1707,2237,1697,2237,1697,14325,1697,14335,1707,14335,10901,14335,10901,14335,10910,14335,10910,14325,10910,2237xm10910,2228l10901,2228,10901,2228,1707,2228,1697,2228,1697,2237,1707,2237,10901,2237,10901,2237,10910,2237,10910,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74</w:t>
      </w:r>
    </w:p>
    <w:p>
      <w:pPr>
        <w:pStyle w:val="BodyText"/>
      </w:pPr>
    </w:p>
    <w:p>
      <w:pPr>
        <w:pStyle w:val="BodyText"/>
        <w:spacing w:before="157"/>
      </w:pPr>
    </w:p>
    <w:p>
      <w:pPr>
        <w:pStyle w:val="BodyText"/>
        <w:ind w:left="730"/>
        <w:jc w:val="both"/>
      </w:pPr>
      <w:r>
        <w:rPr/>
        <w:t>Política</w:t>
      </w:r>
      <w:r>
        <w:rPr>
          <w:spacing w:val="-6"/>
        </w:rPr>
        <w:t> </w:t>
      </w:r>
      <w:r>
        <w:rPr>
          <w:spacing w:val="-2"/>
        </w:rPr>
        <w:t>contable</w:t>
      </w:r>
    </w:p>
    <w:p>
      <w:pPr>
        <w:pStyle w:val="BodyText"/>
        <w:spacing w:line="259" w:lineRule="auto" w:before="179"/>
        <w:ind w:left="730" w:right="722"/>
        <w:jc w:val="both"/>
      </w:pPr>
      <w:r>
        <w:rPr/>
        <w:t>La</w:t>
      </w:r>
      <w:r>
        <w:rPr>
          <w:spacing w:val="-10"/>
        </w:rPr>
        <w:t> </w:t>
      </w:r>
      <w:r>
        <w:rPr/>
        <w:t>Institución</w:t>
      </w:r>
      <w:r>
        <w:rPr>
          <w:spacing w:val="-11"/>
        </w:rPr>
        <w:t> </w:t>
      </w:r>
      <w:r>
        <w:rPr/>
        <w:t>reconoce</w:t>
      </w:r>
      <w:r>
        <w:rPr>
          <w:spacing w:val="-11"/>
        </w:rPr>
        <w:t> </w:t>
      </w:r>
      <w:r>
        <w:rPr/>
        <w:t>el</w:t>
      </w:r>
      <w:r>
        <w:rPr>
          <w:spacing w:val="-10"/>
        </w:rPr>
        <w:t> </w:t>
      </w:r>
      <w:r>
        <w:rPr/>
        <w:t>gasto</w:t>
      </w:r>
      <w:r>
        <w:rPr>
          <w:spacing w:val="-11"/>
        </w:rPr>
        <w:t> </w:t>
      </w:r>
      <w:r>
        <w:rPr/>
        <w:t>por</w:t>
      </w:r>
      <w:r>
        <w:rPr>
          <w:spacing w:val="-12"/>
        </w:rPr>
        <w:t> </w:t>
      </w:r>
      <w:r>
        <w:rPr/>
        <w:t>aguinaldo</w:t>
      </w:r>
      <w:r>
        <w:rPr>
          <w:spacing w:val="-11"/>
        </w:rPr>
        <w:t> </w:t>
      </w:r>
      <w:r>
        <w:rPr/>
        <w:t>y</w:t>
      </w:r>
      <w:r>
        <w:rPr>
          <w:spacing w:val="-11"/>
        </w:rPr>
        <w:t> </w:t>
      </w:r>
      <w:r>
        <w:rPr/>
        <w:t>el</w:t>
      </w:r>
      <w:r>
        <w:rPr>
          <w:spacing w:val="-10"/>
        </w:rPr>
        <w:t> </w:t>
      </w:r>
      <w:r>
        <w:rPr/>
        <w:t>correspondiente</w:t>
      </w:r>
      <w:r>
        <w:rPr>
          <w:spacing w:val="-13"/>
        </w:rPr>
        <w:t> </w:t>
      </w:r>
      <w:r>
        <w:rPr/>
        <w:t>pasivo</w:t>
      </w:r>
      <w:r>
        <w:rPr>
          <w:spacing w:val="-11"/>
        </w:rPr>
        <w:t> </w:t>
      </w:r>
      <w:r>
        <w:rPr/>
        <w:t>a</w:t>
      </w:r>
      <w:r>
        <w:rPr>
          <w:spacing w:val="-12"/>
        </w:rPr>
        <w:t> </w:t>
      </w:r>
      <w:r>
        <w:rPr/>
        <w:t>medida</w:t>
      </w:r>
      <w:r>
        <w:rPr>
          <w:spacing w:val="-13"/>
        </w:rPr>
        <w:t> </w:t>
      </w:r>
      <w:r>
        <w:rPr/>
        <w:t>que</w:t>
      </w:r>
      <w:r>
        <w:rPr>
          <w:spacing w:val="-11"/>
        </w:rPr>
        <w:t> </w:t>
      </w:r>
      <w:r>
        <w:rPr/>
        <w:t>los</w:t>
      </w:r>
      <w:r>
        <w:rPr>
          <w:spacing w:val="-11"/>
        </w:rPr>
        <w:t> </w:t>
      </w:r>
      <w:r>
        <w:rPr/>
        <w:t>funcionarios prestan sus servicios, aplicando la base contable de devengo. La medición se efectúa sobre la mejor estimación</w:t>
      </w:r>
      <w:r>
        <w:rPr>
          <w:spacing w:val="-5"/>
        </w:rPr>
        <w:t> </w:t>
      </w:r>
      <w:r>
        <w:rPr/>
        <w:t>del</w:t>
      </w:r>
      <w:r>
        <w:rPr>
          <w:spacing w:val="-6"/>
        </w:rPr>
        <w:t> </w:t>
      </w:r>
      <w:r>
        <w:rPr/>
        <w:t>importe</w:t>
      </w:r>
      <w:r>
        <w:rPr>
          <w:spacing w:val="-7"/>
        </w:rPr>
        <w:t> </w:t>
      </w:r>
      <w:r>
        <w:rPr/>
        <w:t>que</w:t>
      </w:r>
      <w:r>
        <w:rPr>
          <w:spacing w:val="-7"/>
        </w:rPr>
        <w:t> </w:t>
      </w:r>
      <w:r>
        <w:rPr/>
        <w:t>deberá</w:t>
      </w:r>
      <w:r>
        <w:rPr>
          <w:spacing w:val="-6"/>
        </w:rPr>
        <w:t> </w:t>
      </w:r>
      <w:r>
        <w:rPr/>
        <w:t>cancelarse,</w:t>
      </w:r>
      <w:r>
        <w:rPr>
          <w:spacing w:val="-6"/>
        </w:rPr>
        <w:t> </w:t>
      </w:r>
      <w:r>
        <w:rPr/>
        <w:t>considerando</w:t>
      </w:r>
      <w:r>
        <w:rPr>
          <w:spacing w:val="-5"/>
        </w:rPr>
        <w:t> </w:t>
      </w:r>
      <w:r>
        <w:rPr/>
        <w:t>las</w:t>
      </w:r>
      <w:r>
        <w:rPr>
          <w:spacing w:val="-5"/>
        </w:rPr>
        <w:t> </w:t>
      </w:r>
      <w:r>
        <w:rPr/>
        <w:t>remuneraciones</w:t>
      </w:r>
      <w:r>
        <w:rPr>
          <w:spacing w:val="-5"/>
        </w:rPr>
        <w:t> </w:t>
      </w:r>
      <w:r>
        <w:rPr/>
        <w:t>sujetas</w:t>
      </w:r>
      <w:r>
        <w:rPr>
          <w:spacing w:val="-5"/>
        </w:rPr>
        <w:t> </w:t>
      </w:r>
      <w:r>
        <w:rPr/>
        <w:t>a</w:t>
      </w:r>
      <w:r>
        <w:rPr>
          <w:spacing w:val="-6"/>
        </w:rPr>
        <w:t> </w:t>
      </w:r>
      <w:r>
        <w:rPr/>
        <w:t>este</w:t>
      </w:r>
      <w:r>
        <w:rPr>
          <w:spacing w:val="-6"/>
        </w:rPr>
        <w:t> </w:t>
      </w:r>
      <w:r>
        <w:rPr/>
        <w:t>beneficio y la normativa laboral vigente.</w:t>
      </w:r>
    </w:p>
    <w:p>
      <w:pPr>
        <w:pStyle w:val="BodyText"/>
        <w:spacing w:line="259" w:lineRule="auto" w:before="159"/>
        <w:ind w:left="730" w:right="722"/>
        <w:jc w:val="both"/>
      </w:pPr>
      <w:r>
        <w:rPr/>
        <w:t>De</w:t>
      </w:r>
      <w:r>
        <w:rPr>
          <w:spacing w:val="-8"/>
        </w:rPr>
        <w:t> </w:t>
      </w:r>
      <w:r>
        <w:rPr/>
        <w:t>acuerdo</w:t>
      </w:r>
      <w:r>
        <w:rPr>
          <w:spacing w:val="-7"/>
        </w:rPr>
        <w:t> </w:t>
      </w:r>
      <w:r>
        <w:rPr/>
        <w:t>con</w:t>
      </w:r>
      <w:r>
        <w:rPr>
          <w:spacing w:val="-7"/>
        </w:rPr>
        <w:t> </w:t>
      </w:r>
      <w:r>
        <w:rPr/>
        <w:t>la</w:t>
      </w:r>
      <w:r>
        <w:rPr>
          <w:spacing w:val="-8"/>
        </w:rPr>
        <w:t> </w:t>
      </w:r>
      <w:r>
        <w:rPr/>
        <w:t>NICSP</w:t>
      </w:r>
      <w:r>
        <w:rPr>
          <w:spacing w:val="-8"/>
        </w:rPr>
        <w:t> </w:t>
      </w:r>
      <w:r>
        <w:rPr/>
        <w:t>39</w:t>
      </w:r>
      <w:r>
        <w:rPr>
          <w:spacing w:val="-8"/>
        </w:rPr>
        <w:t> </w:t>
      </w:r>
      <w:r>
        <w:rPr/>
        <w:t>y</w:t>
      </w:r>
      <w:r>
        <w:rPr>
          <w:spacing w:val="-8"/>
        </w:rPr>
        <w:t> </w:t>
      </w:r>
      <w:r>
        <w:rPr/>
        <w:t>el</w:t>
      </w:r>
      <w:r>
        <w:rPr>
          <w:spacing w:val="-8"/>
        </w:rPr>
        <w:t> </w:t>
      </w:r>
      <w:r>
        <w:rPr/>
        <w:t>Plan</w:t>
      </w:r>
      <w:r>
        <w:rPr>
          <w:spacing w:val="-7"/>
        </w:rPr>
        <w:t> </w:t>
      </w:r>
      <w:r>
        <w:rPr/>
        <w:t>General</w:t>
      </w:r>
      <w:r>
        <w:rPr>
          <w:spacing w:val="-8"/>
        </w:rPr>
        <w:t> </w:t>
      </w:r>
      <w:r>
        <w:rPr/>
        <w:t>de</w:t>
      </w:r>
      <w:r>
        <w:rPr>
          <w:spacing w:val="-9"/>
        </w:rPr>
        <w:t> </w:t>
      </w:r>
      <w:r>
        <w:rPr/>
        <w:t>Contabilidad</w:t>
      </w:r>
      <w:r>
        <w:rPr>
          <w:spacing w:val="-8"/>
        </w:rPr>
        <w:t> </w:t>
      </w:r>
      <w:r>
        <w:rPr/>
        <w:t>Nacional,</w:t>
      </w:r>
      <w:r>
        <w:rPr>
          <w:spacing w:val="-7"/>
        </w:rPr>
        <w:t> </w:t>
      </w:r>
      <w:r>
        <w:rPr/>
        <w:t>el</w:t>
      </w:r>
      <w:r>
        <w:rPr>
          <w:spacing w:val="-8"/>
        </w:rPr>
        <w:t> </w:t>
      </w:r>
      <w:r>
        <w:rPr/>
        <w:t>aguinaldo</w:t>
      </w:r>
      <w:r>
        <w:rPr>
          <w:spacing w:val="-6"/>
        </w:rPr>
        <w:t> </w:t>
      </w:r>
      <w:r>
        <w:rPr/>
        <w:t>se</w:t>
      </w:r>
      <w:r>
        <w:rPr>
          <w:spacing w:val="-8"/>
        </w:rPr>
        <w:t> </w:t>
      </w:r>
      <w:r>
        <w:rPr/>
        <w:t>clasifica</w:t>
      </w:r>
      <w:r>
        <w:rPr>
          <w:spacing w:val="-8"/>
        </w:rPr>
        <w:t> </w:t>
      </w:r>
      <w:r>
        <w:rPr/>
        <w:t>como un</w:t>
      </w:r>
      <w:r>
        <w:rPr>
          <w:spacing w:val="-1"/>
        </w:rPr>
        <w:t> </w:t>
      </w:r>
      <w:r>
        <w:rPr/>
        <w:t>beneficio</w:t>
      </w:r>
      <w:r>
        <w:rPr>
          <w:spacing w:val="-1"/>
        </w:rPr>
        <w:t> </w:t>
      </w:r>
      <w:r>
        <w:rPr/>
        <w:t>a</w:t>
      </w:r>
      <w:r>
        <w:rPr>
          <w:spacing w:val="-1"/>
        </w:rPr>
        <w:t> </w:t>
      </w:r>
      <w:r>
        <w:rPr/>
        <w:t>corto plazo,</w:t>
      </w:r>
      <w:r>
        <w:rPr>
          <w:spacing w:val="-4"/>
        </w:rPr>
        <w:t> </w:t>
      </w:r>
      <w:r>
        <w:rPr/>
        <w:t>debido</w:t>
      </w:r>
      <w:r>
        <w:rPr>
          <w:spacing w:val="-1"/>
        </w:rPr>
        <w:t> </w:t>
      </w:r>
      <w:r>
        <w:rPr/>
        <w:t>a</w:t>
      </w:r>
      <w:r>
        <w:rPr>
          <w:spacing w:val="-1"/>
        </w:rPr>
        <w:t> </w:t>
      </w:r>
      <w:r>
        <w:rPr/>
        <w:t>que</w:t>
      </w:r>
      <w:r>
        <w:rPr>
          <w:spacing w:val="-3"/>
        </w:rPr>
        <w:t> </w:t>
      </w:r>
      <w:r>
        <w:rPr/>
        <w:t>se</w:t>
      </w:r>
      <w:r>
        <w:rPr>
          <w:spacing w:val="-2"/>
        </w:rPr>
        <w:t> </w:t>
      </w:r>
      <w:r>
        <w:rPr/>
        <w:t>espera</w:t>
      </w:r>
      <w:r>
        <w:rPr>
          <w:spacing w:val="-2"/>
        </w:rPr>
        <w:t> </w:t>
      </w:r>
      <w:r>
        <w:rPr/>
        <w:t>su</w:t>
      </w:r>
      <w:r>
        <w:rPr>
          <w:spacing w:val="-1"/>
        </w:rPr>
        <w:t> </w:t>
      </w:r>
      <w:r>
        <w:rPr/>
        <w:t>liquidación</w:t>
      </w:r>
      <w:r>
        <w:rPr>
          <w:spacing w:val="-1"/>
        </w:rPr>
        <w:t> </w:t>
      </w:r>
      <w:r>
        <w:rPr/>
        <w:t>dentro de</w:t>
      </w:r>
      <w:r>
        <w:rPr>
          <w:spacing w:val="-3"/>
        </w:rPr>
        <w:t> </w:t>
      </w:r>
      <w:r>
        <w:rPr/>
        <w:t>los doce</w:t>
      </w:r>
      <w:r>
        <w:rPr>
          <w:spacing w:val="-2"/>
        </w:rPr>
        <w:t> </w:t>
      </w:r>
      <w:r>
        <w:rPr/>
        <w:t>meses siguientes</w:t>
      </w:r>
      <w:r>
        <w:rPr>
          <w:spacing w:val="-1"/>
        </w:rPr>
        <w:t> </w:t>
      </w:r>
      <w:r>
        <w:rPr/>
        <w:t>al cierre</w:t>
      </w:r>
      <w:r>
        <w:rPr>
          <w:spacing w:val="-7"/>
        </w:rPr>
        <w:t> </w:t>
      </w:r>
      <w:r>
        <w:rPr/>
        <w:t>del</w:t>
      </w:r>
      <w:r>
        <w:rPr>
          <w:spacing w:val="-6"/>
        </w:rPr>
        <w:t> </w:t>
      </w:r>
      <w:r>
        <w:rPr/>
        <w:t>período.</w:t>
      </w:r>
      <w:r>
        <w:rPr>
          <w:spacing w:val="-6"/>
        </w:rPr>
        <w:t> </w:t>
      </w:r>
      <w:r>
        <w:rPr/>
        <w:t>En</w:t>
      </w:r>
      <w:r>
        <w:rPr>
          <w:spacing w:val="-5"/>
        </w:rPr>
        <w:t> </w:t>
      </w:r>
      <w:r>
        <w:rPr/>
        <w:t>consecuencia,</w:t>
      </w:r>
      <w:r>
        <w:rPr>
          <w:spacing w:val="-6"/>
        </w:rPr>
        <w:t> </w:t>
      </w:r>
      <w:r>
        <w:rPr/>
        <w:t>el</w:t>
      </w:r>
      <w:r>
        <w:rPr>
          <w:spacing w:val="-6"/>
        </w:rPr>
        <w:t> </w:t>
      </w:r>
      <w:r>
        <w:rPr/>
        <w:t>saldo</w:t>
      </w:r>
      <w:r>
        <w:rPr>
          <w:spacing w:val="-7"/>
        </w:rPr>
        <w:t> </w:t>
      </w:r>
      <w:r>
        <w:rPr/>
        <w:t>se</w:t>
      </w:r>
      <w:r>
        <w:rPr>
          <w:spacing w:val="-5"/>
        </w:rPr>
        <w:t> </w:t>
      </w:r>
      <w:r>
        <w:rPr/>
        <w:t>presenta</w:t>
      </w:r>
      <w:r>
        <w:rPr>
          <w:spacing w:val="-6"/>
        </w:rPr>
        <w:t> </w:t>
      </w:r>
      <w:r>
        <w:rPr/>
        <w:t>como</w:t>
      </w:r>
      <w:r>
        <w:rPr>
          <w:spacing w:val="-7"/>
        </w:rPr>
        <w:t> </w:t>
      </w:r>
      <w:r>
        <w:rPr/>
        <w:t>pasivo</w:t>
      </w:r>
      <w:r>
        <w:rPr>
          <w:spacing w:val="-7"/>
        </w:rPr>
        <w:t> </w:t>
      </w:r>
      <w:r>
        <w:rPr/>
        <w:t>corriente</w:t>
      </w:r>
      <w:r>
        <w:rPr>
          <w:spacing w:val="-6"/>
        </w:rPr>
        <w:t> </w:t>
      </w:r>
      <w:r>
        <w:rPr/>
        <w:t>dentro</w:t>
      </w:r>
      <w:r>
        <w:rPr>
          <w:spacing w:val="-5"/>
        </w:rPr>
        <w:t> </w:t>
      </w:r>
      <w:r>
        <w:rPr/>
        <w:t>de</w:t>
      </w:r>
      <w:r>
        <w:rPr>
          <w:spacing w:val="-10"/>
        </w:rPr>
        <w:t> </w:t>
      </w:r>
      <w:r>
        <w:rPr/>
        <w:t>los</w:t>
      </w:r>
      <w:r>
        <w:rPr>
          <w:spacing w:val="-5"/>
        </w:rPr>
        <w:t> </w:t>
      </w:r>
      <w:r>
        <w:rPr/>
        <w:t>beneficios a los empleados por pagar.</w:t>
      </w:r>
    </w:p>
    <w:p>
      <w:pPr>
        <w:pStyle w:val="BodyText"/>
        <w:spacing w:before="160"/>
        <w:ind w:left="730"/>
        <w:jc w:val="both"/>
      </w:pPr>
      <w:r>
        <w:rPr/>
        <w:t>Saldo</w:t>
      </w:r>
      <w:r>
        <w:rPr>
          <w:spacing w:val="-4"/>
        </w:rPr>
        <w:t> </w:t>
      </w:r>
      <w:r>
        <w:rPr/>
        <w:t>al</w:t>
      </w:r>
      <w:r>
        <w:rPr>
          <w:spacing w:val="-2"/>
        </w:rPr>
        <w:t> cierre</w:t>
      </w:r>
    </w:p>
    <w:p>
      <w:pPr>
        <w:pStyle w:val="BodyText"/>
        <w:spacing w:before="181"/>
        <w:ind w:left="730"/>
        <w:jc w:val="both"/>
      </w:pPr>
      <w:r>
        <w:rPr/>
        <w:t>Al</w:t>
      </w:r>
      <w:r>
        <w:rPr>
          <w:spacing w:val="-8"/>
        </w:rPr>
        <w:t> </w:t>
      </w:r>
      <w:r>
        <w:rPr/>
        <w:t>31</w:t>
      </w:r>
      <w:r>
        <w:rPr>
          <w:spacing w:val="-6"/>
        </w:rPr>
        <w:t> </w:t>
      </w:r>
      <w:r>
        <w:rPr/>
        <w:t>de</w:t>
      </w:r>
      <w:r>
        <w:rPr>
          <w:spacing w:val="-7"/>
        </w:rPr>
        <w:t> </w:t>
      </w:r>
      <w:r>
        <w:rPr/>
        <w:t>julio</w:t>
      </w:r>
      <w:r>
        <w:rPr>
          <w:spacing w:val="-5"/>
        </w:rPr>
        <w:t> </w:t>
      </w:r>
      <w:r>
        <w:rPr/>
        <w:t>de</w:t>
      </w:r>
      <w:r>
        <w:rPr>
          <w:spacing w:val="-7"/>
        </w:rPr>
        <w:t> </w:t>
      </w:r>
      <w:r>
        <w:rPr/>
        <w:t>2026,</w:t>
      </w:r>
      <w:r>
        <w:rPr>
          <w:spacing w:val="-5"/>
        </w:rPr>
        <w:t> </w:t>
      </w:r>
      <w:r>
        <w:rPr/>
        <w:t>el</w:t>
      </w:r>
      <w:r>
        <w:rPr>
          <w:spacing w:val="-6"/>
        </w:rPr>
        <w:t> </w:t>
      </w:r>
      <w:r>
        <w:rPr/>
        <w:t>saldo</w:t>
      </w:r>
      <w:r>
        <w:rPr>
          <w:spacing w:val="-4"/>
        </w:rPr>
        <w:t> </w:t>
      </w:r>
      <w:r>
        <w:rPr/>
        <w:t>correspondiente</w:t>
      </w:r>
      <w:r>
        <w:rPr>
          <w:spacing w:val="-6"/>
        </w:rPr>
        <w:t> </w:t>
      </w:r>
      <w:r>
        <w:rPr/>
        <w:t>al</w:t>
      </w:r>
      <w:r>
        <w:rPr>
          <w:spacing w:val="-5"/>
        </w:rPr>
        <w:t> </w:t>
      </w:r>
      <w:r>
        <w:rPr/>
        <w:t>aguinaldo</w:t>
      </w:r>
      <w:r>
        <w:rPr>
          <w:spacing w:val="-5"/>
        </w:rPr>
        <w:t> </w:t>
      </w:r>
      <w:r>
        <w:rPr/>
        <w:t>devengado</w:t>
      </w:r>
      <w:r>
        <w:rPr>
          <w:spacing w:val="-4"/>
        </w:rPr>
        <w:t> </w:t>
      </w:r>
      <w:r>
        <w:rPr/>
        <w:t>y</w:t>
      </w:r>
      <w:r>
        <w:rPr>
          <w:spacing w:val="-7"/>
        </w:rPr>
        <w:t> </w:t>
      </w:r>
      <w:r>
        <w:rPr/>
        <w:t>pendiente</w:t>
      </w:r>
      <w:r>
        <w:rPr>
          <w:spacing w:val="-5"/>
        </w:rPr>
        <w:t> </w:t>
      </w:r>
      <w:r>
        <w:rPr/>
        <w:t>de</w:t>
      </w:r>
      <w:r>
        <w:rPr>
          <w:spacing w:val="-7"/>
        </w:rPr>
        <w:t> </w:t>
      </w:r>
      <w:r>
        <w:rPr/>
        <w:t>pago</w:t>
      </w:r>
      <w:r>
        <w:rPr>
          <w:spacing w:val="-4"/>
        </w:rPr>
        <w:t> </w:t>
      </w:r>
      <w:r>
        <w:rPr/>
        <w:t>asciende</w:t>
      </w:r>
      <w:r>
        <w:rPr>
          <w:spacing w:val="-6"/>
        </w:rPr>
        <w:t> </w:t>
      </w:r>
      <w:r>
        <w:rPr>
          <w:spacing w:val="-10"/>
        </w:rPr>
        <w:t>a</w:t>
      </w:r>
    </w:p>
    <w:p>
      <w:pPr>
        <w:pStyle w:val="BodyText"/>
        <w:spacing w:line="259" w:lineRule="auto" w:before="21"/>
        <w:ind w:left="730" w:right="722"/>
        <w:jc w:val="both"/>
      </w:pPr>
      <w:r>
        <w:rPr>
          <w:rFonts w:ascii="Times New Roman" w:hAnsi="Times New Roman"/>
        </w:rPr>
        <w:t>₡ </w:t>
      </w:r>
      <w:r>
        <w:rPr/>
        <w:t>969.655,28, monto que representa los derechos acumulados por los funcionarios por los servicios prestados hasta</w:t>
      </w:r>
      <w:r>
        <w:rPr>
          <w:spacing w:val="-3"/>
        </w:rPr>
        <w:t> </w:t>
      </w:r>
      <w:r>
        <w:rPr/>
        <w:t>la</w:t>
      </w:r>
      <w:r>
        <w:rPr>
          <w:spacing w:val="-1"/>
        </w:rPr>
        <w:t> </w:t>
      </w:r>
      <w:r>
        <w:rPr/>
        <w:t>fecha</w:t>
      </w:r>
      <w:r>
        <w:rPr>
          <w:spacing w:val="-1"/>
        </w:rPr>
        <w:t> </w:t>
      </w:r>
      <w:r>
        <w:rPr/>
        <w:t>de</w:t>
      </w:r>
      <w:r>
        <w:rPr>
          <w:spacing w:val="-2"/>
        </w:rPr>
        <w:t> </w:t>
      </w:r>
      <w:r>
        <w:rPr/>
        <w:t>cierre</w:t>
      </w:r>
      <w:r>
        <w:rPr>
          <w:spacing w:val="-1"/>
        </w:rPr>
        <w:t> </w:t>
      </w:r>
      <w:r>
        <w:rPr/>
        <w:t>del</w:t>
      </w:r>
      <w:r>
        <w:rPr>
          <w:spacing w:val="-1"/>
        </w:rPr>
        <w:t> </w:t>
      </w:r>
      <w:r>
        <w:rPr/>
        <w:t>ejercicio.</w:t>
      </w:r>
      <w:r>
        <w:rPr>
          <w:spacing w:val="-1"/>
        </w:rPr>
        <w:t> </w:t>
      </w:r>
      <w:r>
        <w:rPr/>
        <w:t>La</w:t>
      </w:r>
      <w:r>
        <w:rPr>
          <w:spacing w:val="-1"/>
        </w:rPr>
        <w:t> </w:t>
      </w:r>
      <w:r>
        <w:rPr/>
        <w:t>Administración considera</w:t>
      </w:r>
      <w:r>
        <w:rPr>
          <w:spacing w:val="-1"/>
        </w:rPr>
        <w:t> </w:t>
      </w:r>
      <w:r>
        <w:rPr/>
        <w:t>que</w:t>
      </w:r>
      <w:r>
        <w:rPr>
          <w:spacing w:val="-1"/>
        </w:rPr>
        <w:t> </w:t>
      </w:r>
      <w:r>
        <w:rPr/>
        <w:t>el</w:t>
      </w:r>
      <w:r>
        <w:rPr>
          <w:spacing w:val="-2"/>
        </w:rPr>
        <w:t> </w:t>
      </w:r>
      <w:r>
        <w:rPr/>
        <w:t>importe</w:t>
      </w:r>
      <w:r>
        <w:rPr>
          <w:spacing w:val="-1"/>
        </w:rPr>
        <w:t> </w:t>
      </w:r>
      <w:r>
        <w:rPr/>
        <w:t>reconocido refleja razonablemente la obligación existente y no identifica incertidumbres significativas relacionadas con su liquidación.</w:t>
      </w:r>
    </w:p>
    <w:p>
      <w:pPr>
        <w:pStyle w:val="BodyText"/>
        <w:spacing w:before="9" w:after="1"/>
        <w:rPr>
          <w:sz w:val="13"/>
        </w:rPr>
      </w:pPr>
    </w:p>
    <w:tbl>
      <w:tblPr>
        <w:tblW w:w="0" w:type="auto"/>
        <w:jc w:val="left"/>
        <w:tblInd w:w="2004" w:type="dxa"/>
        <w:tblBorders>
          <w:top w:val="single" w:sz="2" w:space="0" w:color="DFDFDF"/>
          <w:left w:val="single" w:sz="2" w:space="0" w:color="DFDFDF"/>
          <w:bottom w:val="single" w:sz="2" w:space="0" w:color="DFDFDF"/>
          <w:right w:val="single" w:sz="2" w:space="0" w:color="DFDFDF"/>
          <w:insideH w:val="single" w:sz="2" w:space="0" w:color="DFDFDF"/>
          <w:insideV w:val="single" w:sz="2" w:space="0" w:color="DFDFDF"/>
        </w:tblBorders>
        <w:tblLayout w:type="fixed"/>
        <w:tblCellMar>
          <w:top w:w="0" w:type="dxa"/>
          <w:left w:w="0" w:type="dxa"/>
          <w:bottom w:w="0" w:type="dxa"/>
          <w:right w:w="0" w:type="dxa"/>
        </w:tblCellMar>
        <w:tblLook w:val="01E0"/>
      </w:tblPr>
      <w:tblGrid>
        <w:gridCol w:w="1087"/>
        <w:gridCol w:w="1336"/>
        <w:gridCol w:w="319"/>
        <w:gridCol w:w="1017"/>
        <w:gridCol w:w="1336"/>
        <w:gridCol w:w="319"/>
        <w:gridCol w:w="1029"/>
      </w:tblGrid>
      <w:tr>
        <w:trPr>
          <w:trHeight w:val="544" w:hRule="atLeast"/>
        </w:trPr>
        <w:tc>
          <w:tcPr>
            <w:tcW w:w="6443" w:type="dxa"/>
            <w:gridSpan w:val="7"/>
            <w:tcBorders>
              <w:top w:val="nil"/>
              <w:left w:val="nil"/>
              <w:bottom w:val="nil"/>
              <w:right w:val="nil"/>
            </w:tcBorders>
            <w:shd w:val="clear" w:color="auto" w:fill="D9D9D9"/>
          </w:tcPr>
          <w:p>
            <w:pPr>
              <w:pStyle w:val="TableParagraph"/>
              <w:spacing w:line="324" w:lineRule="auto" w:before="43"/>
              <w:ind w:left="1750" w:right="1742"/>
              <w:jc w:val="center"/>
              <w:rPr>
                <w:rFonts w:ascii="Calibri" w:hAnsi="Calibri"/>
                <w:b/>
                <w:sz w:val="11"/>
              </w:rPr>
            </w:pPr>
            <w:r>
              <w:rPr>
                <w:rFonts w:ascii="Calibri" w:hAnsi="Calibri"/>
                <w:b/>
                <w:w w:val="135"/>
                <w:sz w:val="11"/>
              </w:rPr>
              <w:t>MOVIMIENTOS</w:t>
            </w:r>
            <w:r>
              <w:rPr>
                <w:rFonts w:ascii="Calibri" w:hAnsi="Calibri"/>
                <w:b/>
                <w:spacing w:val="-6"/>
                <w:w w:val="135"/>
                <w:sz w:val="11"/>
              </w:rPr>
              <w:t> </w:t>
            </w:r>
            <w:r>
              <w:rPr>
                <w:rFonts w:ascii="Calibri" w:hAnsi="Calibri"/>
                <w:b/>
                <w:w w:val="135"/>
                <w:sz w:val="11"/>
              </w:rPr>
              <w:t>PROVISIÓN</w:t>
            </w:r>
            <w:r>
              <w:rPr>
                <w:rFonts w:ascii="Calibri" w:hAnsi="Calibri"/>
                <w:b/>
                <w:spacing w:val="-4"/>
                <w:w w:val="135"/>
                <w:sz w:val="11"/>
              </w:rPr>
              <w:t> </w:t>
            </w:r>
            <w:r>
              <w:rPr>
                <w:rFonts w:ascii="Calibri" w:hAnsi="Calibri"/>
                <w:b/>
                <w:w w:val="135"/>
                <w:sz w:val="11"/>
              </w:rPr>
              <w:t>AGUINALDO</w:t>
            </w:r>
            <w:r>
              <w:rPr>
                <w:rFonts w:ascii="Calibri" w:hAnsi="Calibri"/>
                <w:b/>
                <w:spacing w:val="40"/>
                <w:w w:val="140"/>
                <w:sz w:val="11"/>
              </w:rPr>
              <w:t> </w:t>
            </w:r>
            <w:r>
              <w:rPr>
                <w:rFonts w:ascii="Calibri" w:hAnsi="Calibri"/>
                <w:b/>
                <w:w w:val="140"/>
                <w:sz w:val="11"/>
              </w:rPr>
              <w:t>CUENTA</w:t>
            </w:r>
            <w:r>
              <w:rPr>
                <w:rFonts w:ascii="Calibri" w:hAnsi="Calibri"/>
                <w:b/>
                <w:spacing w:val="-9"/>
                <w:w w:val="140"/>
                <w:sz w:val="11"/>
              </w:rPr>
              <w:t> </w:t>
            </w:r>
            <w:r>
              <w:rPr>
                <w:rFonts w:ascii="Calibri" w:hAnsi="Calibri"/>
                <w:b/>
                <w:w w:val="140"/>
                <w:sz w:val="11"/>
              </w:rPr>
              <w:t>2110201033</w:t>
            </w:r>
          </w:p>
          <w:p>
            <w:pPr>
              <w:pStyle w:val="TableParagraph"/>
              <w:spacing w:line="118" w:lineRule="exact"/>
              <w:ind w:left="1750" w:right="1743"/>
              <w:jc w:val="center"/>
              <w:rPr>
                <w:rFonts w:ascii="Calibri"/>
                <w:b/>
                <w:sz w:val="11"/>
              </w:rPr>
            </w:pPr>
            <w:r>
              <w:rPr>
                <w:rFonts w:ascii="Calibri"/>
                <w:b/>
                <w:w w:val="140"/>
                <w:sz w:val="11"/>
              </w:rPr>
              <w:t>AL</w:t>
            </w:r>
            <w:r>
              <w:rPr>
                <w:rFonts w:ascii="Calibri"/>
                <w:b/>
                <w:spacing w:val="-6"/>
                <w:w w:val="140"/>
                <w:sz w:val="11"/>
              </w:rPr>
              <w:t> </w:t>
            </w:r>
            <w:r>
              <w:rPr>
                <w:rFonts w:ascii="Calibri"/>
                <w:b/>
                <w:w w:val="140"/>
                <w:sz w:val="11"/>
              </w:rPr>
              <w:t>31</w:t>
            </w:r>
            <w:r>
              <w:rPr>
                <w:rFonts w:ascii="Calibri"/>
                <w:b/>
                <w:spacing w:val="-4"/>
                <w:w w:val="140"/>
                <w:sz w:val="11"/>
              </w:rPr>
              <w:t> </w:t>
            </w:r>
            <w:r>
              <w:rPr>
                <w:rFonts w:ascii="Calibri"/>
                <w:b/>
                <w:w w:val="140"/>
                <w:sz w:val="11"/>
              </w:rPr>
              <w:t>DE</w:t>
            </w:r>
            <w:r>
              <w:rPr>
                <w:rFonts w:ascii="Calibri"/>
                <w:b/>
                <w:spacing w:val="-5"/>
                <w:w w:val="140"/>
                <w:sz w:val="11"/>
              </w:rPr>
              <w:t> </w:t>
            </w:r>
            <w:r>
              <w:rPr>
                <w:rFonts w:ascii="Calibri"/>
                <w:b/>
                <w:w w:val="140"/>
                <w:sz w:val="11"/>
              </w:rPr>
              <w:t>JULIO</w:t>
            </w:r>
            <w:r>
              <w:rPr>
                <w:rFonts w:ascii="Calibri"/>
                <w:b/>
                <w:spacing w:val="-8"/>
                <w:w w:val="140"/>
                <w:sz w:val="11"/>
              </w:rPr>
              <w:t> </w:t>
            </w:r>
            <w:r>
              <w:rPr>
                <w:rFonts w:ascii="Calibri"/>
                <w:b/>
                <w:spacing w:val="-4"/>
                <w:w w:val="140"/>
                <w:sz w:val="11"/>
              </w:rPr>
              <w:t>2026</w:t>
            </w:r>
          </w:p>
        </w:tc>
      </w:tr>
      <w:tr>
        <w:trPr>
          <w:trHeight w:val="173" w:hRule="atLeast"/>
        </w:trPr>
        <w:tc>
          <w:tcPr>
            <w:tcW w:w="1087" w:type="dxa"/>
            <w:tcBorders>
              <w:top w:val="nil"/>
              <w:bottom w:val="single" w:sz="4" w:space="0" w:color="000000"/>
            </w:tcBorders>
          </w:tcPr>
          <w:p>
            <w:pPr>
              <w:pStyle w:val="TableParagraph"/>
              <w:rPr>
                <w:rFonts w:ascii="Times New Roman"/>
                <w:sz w:val="10"/>
              </w:rPr>
            </w:pPr>
          </w:p>
        </w:tc>
        <w:tc>
          <w:tcPr>
            <w:tcW w:w="1336" w:type="dxa"/>
            <w:tcBorders>
              <w:top w:val="nil"/>
              <w:bottom w:val="single" w:sz="4" w:space="0" w:color="000000"/>
            </w:tcBorders>
          </w:tcPr>
          <w:p>
            <w:pPr>
              <w:pStyle w:val="TableParagraph"/>
              <w:rPr>
                <w:rFonts w:ascii="Times New Roman"/>
                <w:sz w:val="10"/>
              </w:rPr>
            </w:pPr>
          </w:p>
        </w:tc>
        <w:tc>
          <w:tcPr>
            <w:tcW w:w="1336" w:type="dxa"/>
            <w:gridSpan w:val="2"/>
            <w:tcBorders>
              <w:top w:val="nil"/>
              <w:bottom w:val="single" w:sz="4" w:space="0" w:color="000000"/>
            </w:tcBorders>
          </w:tcPr>
          <w:p>
            <w:pPr>
              <w:pStyle w:val="TableParagraph"/>
              <w:rPr>
                <w:rFonts w:ascii="Times New Roman"/>
                <w:sz w:val="10"/>
              </w:rPr>
            </w:pPr>
          </w:p>
        </w:tc>
        <w:tc>
          <w:tcPr>
            <w:tcW w:w="1336" w:type="dxa"/>
            <w:tcBorders>
              <w:top w:val="nil"/>
              <w:bottom w:val="single" w:sz="4" w:space="0" w:color="000000"/>
            </w:tcBorders>
          </w:tcPr>
          <w:p>
            <w:pPr>
              <w:pStyle w:val="TableParagraph"/>
              <w:rPr>
                <w:rFonts w:ascii="Times New Roman"/>
                <w:sz w:val="10"/>
              </w:rPr>
            </w:pPr>
          </w:p>
        </w:tc>
        <w:tc>
          <w:tcPr>
            <w:tcW w:w="1348" w:type="dxa"/>
            <w:gridSpan w:val="2"/>
            <w:tcBorders>
              <w:top w:val="nil"/>
              <w:bottom w:val="single" w:sz="4" w:space="0" w:color="000000"/>
            </w:tcBorders>
          </w:tcPr>
          <w:p>
            <w:pPr>
              <w:pStyle w:val="TableParagraph"/>
              <w:rPr>
                <w:rFonts w:ascii="Times New Roman"/>
                <w:sz w:val="10"/>
              </w:rPr>
            </w:pPr>
          </w:p>
        </w:tc>
      </w:tr>
      <w:tr>
        <w:trPr>
          <w:trHeight w:val="171" w:hRule="atLeast"/>
        </w:trPr>
        <w:tc>
          <w:tcPr>
            <w:tcW w:w="1087" w:type="dxa"/>
            <w:tcBorders>
              <w:top w:val="single" w:sz="4" w:space="0" w:color="000000"/>
              <w:left w:val="single" w:sz="2" w:space="0" w:color="000000"/>
              <w:bottom w:val="single" w:sz="4" w:space="0" w:color="000000"/>
            </w:tcBorders>
          </w:tcPr>
          <w:p>
            <w:pPr>
              <w:pStyle w:val="TableParagraph"/>
              <w:rPr>
                <w:rFonts w:ascii="Times New Roman"/>
                <w:sz w:val="10"/>
              </w:rPr>
            </w:pPr>
          </w:p>
        </w:tc>
        <w:tc>
          <w:tcPr>
            <w:tcW w:w="1336" w:type="dxa"/>
            <w:tcBorders>
              <w:top w:val="single" w:sz="4" w:space="0" w:color="000000"/>
              <w:bottom w:val="single" w:sz="4" w:space="0" w:color="000000"/>
            </w:tcBorders>
          </w:tcPr>
          <w:p>
            <w:pPr>
              <w:pStyle w:val="TableParagraph"/>
              <w:spacing w:line="113" w:lineRule="exact" w:before="38"/>
              <w:ind w:left="180"/>
              <w:rPr>
                <w:rFonts w:ascii="Calibri"/>
                <w:b/>
                <w:sz w:val="11"/>
              </w:rPr>
            </w:pPr>
            <w:r>
              <w:rPr>
                <w:rFonts w:ascii="Calibri"/>
                <w:b/>
                <w:w w:val="140"/>
                <w:sz w:val="11"/>
              </w:rPr>
              <w:t>SALDO</w:t>
            </w:r>
            <w:r>
              <w:rPr>
                <w:rFonts w:ascii="Calibri"/>
                <w:b/>
                <w:spacing w:val="-2"/>
                <w:w w:val="140"/>
                <w:sz w:val="11"/>
              </w:rPr>
              <w:t> </w:t>
            </w:r>
            <w:r>
              <w:rPr>
                <w:rFonts w:ascii="Calibri"/>
                <w:b/>
                <w:spacing w:val="-2"/>
                <w:w w:val="145"/>
                <w:sz w:val="11"/>
              </w:rPr>
              <w:t>INICIAL</w:t>
            </w:r>
          </w:p>
        </w:tc>
        <w:tc>
          <w:tcPr>
            <w:tcW w:w="1336" w:type="dxa"/>
            <w:gridSpan w:val="2"/>
            <w:tcBorders>
              <w:top w:val="single" w:sz="4" w:space="0" w:color="000000"/>
              <w:bottom w:val="single" w:sz="4" w:space="0" w:color="000000"/>
            </w:tcBorders>
          </w:tcPr>
          <w:p>
            <w:pPr>
              <w:pStyle w:val="TableParagraph"/>
              <w:spacing w:line="113" w:lineRule="exact" w:before="38"/>
              <w:ind w:left="188"/>
              <w:rPr>
                <w:rFonts w:ascii="Calibri"/>
                <w:b/>
                <w:sz w:val="11"/>
              </w:rPr>
            </w:pPr>
            <w:r>
              <w:rPr>
                <w:rFonts w:ascii="Calibri"/>
                <w:b/>
                <w:spacing w:val="-2"/>
                <w:w w:val="145"/>
                <w:sz w:val="11"/>
              </w:rPr>
              <w:t>INCREMENTOS</w:t>
            </w:r>
          </w:p>
        </w:tc>
        <w:tc>
          <w:tcPr>
            <w:tcW w:w="1336" w:type="dxa"/>
            <w:tcBorders>
              <w:top w:val="single" w:sz="4" w:space="0" w:color="000000"/>
              <w:bottom w:val="single" w:sz="4" w:space="0" w:color="000000"/>
            </w:tcBorders>
          </w:tcPr>
          <w:p>
            <w:pPr>
              <w:pStyle w:val="TableParagraph"/>
              <w:spacing w:line="113" w:lineRule="exact" w:before="38"/>
              <w:ind w:right="118"/>
              <w:jc w:val="right"/>
              <w:rPr>
                <w:rFonts w:ascii="Calibri"/>
                <w:b/>
                <w:sz w:val="11"/>
              </w:rPr>
            </w:pPr>
            <w:r>
              <w:rPr>
                <w:rFonts w:ascii="Calibri"/>
                <w:b/>
                <w:spacing w:val="-2"/>
                <w:w w:val="145"/>
                <w:sz w:val="11"/>
              </w:rPr>
              <w:t>DISMINUCIONES</w:t>
            </w:r>
          </w:p>
        </w:tc>
        <w:tc>
          <w:tcPr>
            <w:tcW w:w="1348" w:type="dxa"/>
            <w:gridSpan w:val="2"/>
            <w:tcBorders>
              <w:top w:val="single" w:sz="4" w:space="0" w:color="000000"/>
              <w:bottom w:val="single" w:sz="4" w:space="0" w:color="000000"/>
              <w:right w:val="single" w:sz="4" w:space="0" w:color="000000"/>
            </w:tcBorders>
          </w:tcPr>
          <w:p>
            <w:pPr>
              <w:pStyle w:val="TableParagraph"/>
              <w:spacing w:line="113" w:lineRule="exact" w:before="38"/>
              <w:ind w:left="254"/>
              <w:rPr>
                <w:rFonts w:ascii="Calibri"/>
                <w:b/>
                <w:sz w:val="11"/>
              </w:rPr>
            </w:pPr>
            <w:r>
              <w:rPr>
                <w:rFonts w:ascii="Calibri"/>
                <w:b/>
                <w:w w:val="140"/>
                <w:sz w:val="11"/>
              </w:rPr>
              <w:t>SALDO</w:t>
            </w:r>
            <w:r>
              <w:rPr>
                <w:rFonts w:ascii="Calibri"/>
                <w:b/>
                <w:spacing w:val="-2"/>
                <w:w w:val="140"/>
                <w:sz w:val="11"/>
              </w:rPr>
              <w:t> </w:t>
            </w:r>
            <w:r>
              <w:rPr>
                <w:rFonts w:ascii="Calibri"/>
                <w:b/>
                <w:spacing w:val="-2"/>
                <w:w w:val="145"/>
                <w:sz w:val="11"/>
              </w:rPr>
              <w:t>FINAL</w:t>
            </w:r>
          </w:p>
        </w:tc>
      </w:tr>
      <w:tr>
        <w:trPr>
          <w:trHeight w:val="175" w:hRule="atLeast"/>
        </w:trPr>
        <w:tc>
          <w:tcPr>
            <w:tcW w:w="1087" w:type="dxa"/>
            <w:tcBorders>
              <w:top w:val="single" w:sz="4" w:space="0" w:color="000000"/>
            </w:tcBorders>
          </w:tcPr>
          <w:p>
            <w:pPr>
              <w:pStyle w:val="TableParagraph"/>
              <w:spacing w:line="114" w:lineRule="exact" w:before="41"/>
              <w:ind w:left="24"/>
              <w:rPr>
                <w:rFonts w:ascii="Calibri"/>
                <w:b/>
                <w:sz w:val="11"/>
              </w:rPr>
            </w:pPr>
            <w:r>
              <w:rPr>
                <w:rFonts w:ascii="Calibri"/>
                <w:b/>
                <w:spacing w:val="-4"/>
                <w:w w:val="140"/>
                <w:sz w:val="11"/>
              </w:rPr>
              <w:t>2025</w:t>
            </w:r>
          </w:p>
        </w:tc>
        <w:tc>
          <w:tcPr>
            <w:tcW w:w="1336" w:type="dxa"/>
            <w:tcBorders>
              <w:top w:val="single" w:sz="4" w:space="0" w:color="000000"/>
            </w:tcBorders>
          </w:tcPr>
          <w:p>
            <w:pPr>
              <w:pStyle w:val="TableParagraph"/>
              <w:tabs>
                <w:tab w:pos="555" w:val="left" w:leader="none"/>
              </w:tabs>
              <w:spacing w:line="114" w:lineRule="exact" w:before="41"/>
              <w:ind w:left="24"/>
              <w:rPr>
                <w:rFonts w:ascii="Calibri"/>
                <w:b/>
                <w:sz w:val="11"/>
              </w:rPr>
            </w:pPr>
            <w:r>
              <w:rPr>
                <w:rFonts w:ascii="Calibri"/>
                <w:b/>
                <w:spacing w:val="-10"/>
                <w:w w:val="140"/>
                <w:sz w:val="11"/>
              </w:rPr>
              <w:t>-</w:t>
            </w:r>
            <w:r>
              <w:rPr>
                <w:rFonts w:ascii="Calibri"/>
                <w:b/>
                <w:sz w:val="11"/>
              </w:rPr>
              <w:tab/>
            </w:r>
            <w:r>
              <w:rPr>
                <w:rFonts w:ascii="Calibri"/>
                <w:b/>
                <w:w w:val="140"/>
                <w:sz w:val="11"/>
              </w:rPr>
              <w:t>130</w:t>
            </w:r>
            <w:r>
              <w:rPr>
                <w:rFonts w:ascii="Calibri"/>
                <w:b/>
                <w:spacing w:val="-4"/>
                <w:w w:val="140"/>
                <w:sz w:val="11"/>
              </w:rPr>
              <w:t> </w:t>
            </w:r>
            <w:r>
              <w:rPr>
                <w:rFonts w:ascii="Calibri"/>
                <w:b/>
                <w:spacing w:val="-2"/>
                <w:w w:val="140"/>
                <w:sz w:val="11"/>
              </w:rPr>
              <w:t>051,36</w:t>
            </w:r>
          </w:p>
        </w:tc>
        <w:tc>
          <w:tcPr>
            <w:tcW w:w="1336" w:type="dxa"/>
            <w:gridSpan w:val="2"/>
            <w:tcBorders>
              <w:top w:val="single" w:sz="4" w:space="0" w:color="000000"/>
            </w:tcBorders>
          </w:tcPr>
          <w:p>
            <w:pPr>
              <w:pStyle w:val="TableParagraph"/>
              <w:rPr>
                <w:rFonts w:ascii="Times New Roman"/>
                <w:sz w:val="10"/>
              </w:rPr>
            </w:pPr>
          </w:p>
        </w:tc>
        <w:tc>
          <w:tcPr>
            <w:tcW w:w="1336" w:type="dxa"/>
            <w:tcBorders>
              <w:top w:val="single" w:sz="4" w:space="0" w:color="000000"/>
            </w:tcBorders>
          </w:tcPr>
          <w:p>
            <w:pPr>
              <w:pStyle w:val="TableParagraph"/>
              <w:rPr>
                <w:rFonts w:ascii="Times New Roman"/>
                <w:sz w:val="10"/>
              </w:rPr>
            </w:pPr>
          </w:p>
        </w:tc>
        <w:tc>
          <w:tcPr>
            <w:tcW w:w="1348" w:type="dxa"/>
            <w:gridSpan w:val="2"/>
            <w:tcBorders>
              <w:top w:val="single" w:sz="4" w:space="0" w:color="000000"/>
            </w:tcBorders>
          </w:tcPr>
          <w:p>
            <w:pPr>
              <w:pStyle w:val="TableParagraph"/>
              <w:spacing w:line="114" w:lineRule="exact" w:before="41"/>
              <w:ind w:left="8"/>
              <w:jc w:val="center"/>
              <w:rPr>
                <w:rFonts w:ascii="Calibri"/>
                <w:b/>
                <w:sz w:val="11"/>
              </w:rPr>
            </w:pPr>
            <w:r>
              <w:rPr>
                <w:rFonts w:ascii="Calibri"/>
                <w:b/>
                <w:spacing w:val="-4"/>
                <w:w w:val="140"/>
                <w:sz w:val="11"/>
              </w:rPr>
              <w:t>2026</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4"/>
                <w:w w:val="145"/>
                <w:sz w:val="11"/>
              </w:rPr>
              <w:t>ENERO</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212</w:t>
            </w:r>
            <w:r>
              <w:rPr>
                <w:rFonts w:ascii="Calibri"/>
                <w:spacing w:val="-5"/>
                <w:w w:val="140"/>
                <w:sz w:val="11"/>
              </w:rPr>
              <w:t> </w:t>
            </w:r>
            <w:r>
              <w:rPr>
                <w:rFonts w:ascii="Calibri"/>
                <w:spacing w:val="-2"/>
                <w:w w:val="140"/>
                <w:sz w:val="11"/>
              </w:rPr>
              <w:t>137,45</w:t>
            </w:r>
          </w:p>
        </w:tc>
        <w:tc>
          <w:tcPr>
            <w:tcW w:w="1336" w:type="dxa"/>
          </w:tcPr>
          <w:p>
            <w:pPr>
              <w:pStyle w:val="TableParagraph"/>
              <w:spacing w:line="114" w:lineRule="exact" w:before="48"/>
              <w:ind w:right="64"/>
              <w:jc w:val="right"/>
              <w:rPr>
                <w:rFonts w:ascii="Calibri"/>
                <w:sz w:val="11"/>
              </w:rPr>
            </w:pPr>
            <w:r>
              <w:rPr>
                <w:rFonts w:ascii="Calibri"/>
                <w:spacing w:val="-2"/>
                <w:w w:val="140"/>
                <w:sz w:val="11"/>
              </w:rPr>
              <w:t>752,94</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341</w:t>
            </w:r>
            <w:r>
              <w:rPr>
                <w:rFonts w:ascii="Calibri"/>
                <w:b/>
                <w:spacing w:val="-4"/>
                <w:w w:val="140"/>
                <w:sz w:val="11"/>
              </w:rPr>
              <w:t> </w:t>
            </w:r>
            <w:r>
              <w:rPr>
                <w:rFonts w:ascii="Calibri"/>
                <w:b/>
                <w:spacing w:val="-2"/>
                <w:w w:val="140"/>
                <w:sz w:val="11"/>
              </w:rPr>
              <w:t>435,87</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2"/>
                <w:w w:val="145"/>
                <w:sz w:val="11"/>
              </w:rPr>
              <w:t>FEBRERO</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107</w:t>
            </w:r>
            <w:r>
              <w:rPr>
                <w:rFonts w:ascii="Calibri"/>
                <w:spacing w:val="-5"/>
                <w:w w:val="140"/>
                <w:sz w:val="11"/>
              </w:rPr>
              <w:t> </w:t>
            </w:r>
            <w:r>
              <w:rPr>
                <w:rFonts w:ascii="Calibri"/>
                <w:spacing w:val="-2"/>
                <w:w w:val="140"/>
                <w:sz w:val="11"/>
              </w:rPr>
              <w:t>643,01</w:t>
            </w:r>
          </w:p>
        </w:tc>
        <w:tc>
          <w:tcPr>
            <w:tcW w:w="1336" w:type="dxa"/>
          </w:tcPr>
          <w:p>
            <w:pPr>
              <w:pStyle w:val="TableParagraph"/>
              <w:spacing w:line="114" w:lineRule="exact" w:before="48"/>
              <w:ind w:right="65"/>
              <w:jc w:val="right"/>
              <w:rPr>
                <w:rFonts w:ascii="Calibri"/>
                <w:sz w:val="11"/>
              </w:rPr>
            </w:pPr>
            <w:r>
              <w:rPr>
                <w:rFonts w:ascii="Calibri"/>
                <w:w w:val="140"/>
                <w:sz w:val="11"/>
              </w:rPr>
              <w:t>1</w:t>
            </w:r>
            <w:r>
              <w:rPr>
                <w:rFonts w:ascii="Calibri"/>
                <w:spacing w:val="-6"/>
                <w:w w:val="140"/>
                <w:sz w:val="11"/>
              </w:rPr>
              <w:t> </w:t>
            </w:r>
            <w:r>
              <w:rPr>
                <w:rFonts w:ascii="Calibri"/>
                <w:spacing w:val="-2"/>
                <w:w w:val="140"/>
                <w:sz w:val="11"/>
              </w:rPr>
              <w:t>484,12</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447</w:t>
            </w:r>
            <w:r>
              <w:rPr>
                <w:rFonts w:ascii="Calibri"/>
                <w:b/>
                <w:spacing w:val="-4"/>
                <w:w w:val="140"/>
                <w:sz w:val="11"/>
              </w:rPr>
              <w:t> </w:t>
            </w:r>
            <w:r>
              <w:rPr>
                <w:rFonts w:ascii="Calibri"/>
                <w:b/>
                <w:spacing w:val="-2"/>
                <w:w w:val="140"/>
                <w:sz w:val="11"/>
              </w:rPr>
              <w:t>594,76</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2"/>
                <w:w w:val="135"/>
                <w:sz w:val="11"/>
              </w:rPr>
              <w:t>MARZO</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107</w:t>
            </w:r>
            <w:r>
              <w:rPr>
                <w:rFonts w:ascii="Calibri"/>
                <w:spacing w:val="-5"/>
                <w:w w:val="140"/>
                <w:sz w:val="11"/>
              </w:rPr>
              <w:t> </w:t>
            </w:r>
            <w:r>
              <w:rPr>
                <w:rFonts w:ascii="Calibri"/>
                <w:spacing w:val="-2"/>
                <w:w w:val="140"/>
                <w:sz w:val="11"/>
              </w:rPr>
              <w:t>428,49</w:t>
            </w:r>
          </w:p>
        </w:tc>
        <w:tc>
          <w:tcPr>
            <w:tcW w:w="1336" w:type="dxa"/>
          </w:tcPr>
          <w:p>
            <w:pPr>
              <w:pStyle w:val="TableParagraph"/>
              <w:spacing w:line="114" w:lineRule="exact" w:before="48"/>
              <w:ind w:right="65"/>
              <w:jc w:val="right"/>
              <w:rPr>
                <w:rFonts w:ascii="Calibri"/>
                <w:sz w:val="11"/>
              </w:rPr>
            </w:pPr>
            <w:r>
              <w:rPr>
                <w:rFonts w:ascii="Calibri"/>
                <w:w w:val="140"/>
                <w:sz w:val="11"/>
              </w:rPr>
              <w:t>2</w:t>
            </w:r>
            <w:r>
              <w:rPr>
                <w:rFonts w:ascii="Calibri"/>
                <w:spacing w:val="-6"/>
                <w:w w:val="140"/>
                <w:sz w:val="11"/>
              </w:rPr>
              <w:t> </w:t>
            </w:r>
            <w:r>
              <w:rPr>
                <w:rFonts w:ascii="Calibri"/>
                <w:spacing w:val="-2"/>
                <w:w w:val="140"/>
                <w:sz w:val="11"/>
              </w:rPr>
              <w:t>632,40</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552</w:t>
            </w:r>
            <w:r>
              <w:rPr>
                <w:rFonts w:ascii="Calibri"/>
                <w:b/>
                <w:spacing w:val="-4"/>
                <w:w w:val="140"/>
                <w:sz w:val="11"/>
              </w:rPr>
              <w:t> </w:t>
            </w:r>
            <w:r>
              <w:rPr>
                <w:rFonts w:ascii="Calibri"/>
                <w:b/>
                <w:spacing w:val="-2"/>
                <w:w w:val="140"/>
                <w:sz w:val="11"/>
              </w:rPr>
              <w:t>390,85</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2"/>
                <w:w w:val="145"/>
                <w:sz w:val="11"/>
              </w:rPr>
              <w:t>ABRIL</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107</w:t>
            </w:r>
            <w:r>
              <w:rPr>
                <w:rFonts w:ascii="Calibri"/>
                <w:spacing w:val="-5"/>
                <w:w w:val="140"/>
                <w:sz w:val="11"/>
              </w:rPr>
              <w:t> </w:t>
            </w:r>
            <w:r>
              <w:rPr>
                <w:rFonts w:ascii="Calibri"/>
                <w:spacing w:val="-2"/>
                <w:w w:val="140"/>
                <w:sz w:val="11"/>
              </w:rPr>
              <w:t>857,84</w:t>
            </w:r>
          </w:p>
        </w:tc>
        <w:tc>
          <w:tcPr>
            <w:tcW w:w="1336" w:type="dxa"/>
          </w:tcPr>
          <w:p>
            <w:pPr>
              <w:pStyle w:val="TableParagraph"/>
              <w:spacing w:line="114" w:lineRule="exact" w:before="48"/>
              <w:ind w:right="65"/>
              <w:jc w:val="right"/>
              <w:rPr>
                <w:rFonts w:ascii="Calibri"/>
                <w:sz w:val="11"/>
              </w:rPr>
            </w:pPr>
            <w:r>
              <w:rPr>
                <w:rFonts w:ascii="Calibri"/>
                <w:w w:val="140"/>
                <w:sz w:val="11"/>
              </w:rPr>
              <w:t>1</w:t>
            </w:r>
            <w:r>
              <w:rPr>
                <w:rFonts w:ascii="Calibri"/>
                <w:spacing w:val="-6"/>
                <w:w w:val="140"/>
                <w:sz w:val="11"/>
              </w:rPr>
              <w:t> </w:t>
            </w:r>
            <w:r>
              <w:rPr>
                <w:rFonts w:ascii="Calibri"/>
                <w:spacing w:val="-2"/>
                <w:w w:val="140"/>
                <w:sz w:val="11"/>
              </w:rPr>
              <w:t>664,10</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658</w:t>
            </w:r>
            <w:r>
              <w:rPr>
                <w:rFonts w:ascii="Calibri"/>
                <w:b/>
                <w:spacing w:val="-4"/>
                <w:w w:val="140"/>
                <w:sz w:val="11"/>
              </w:rPr>
              <w:t> </w:t>
            </w:r>
            <w:r>
              <w:rPr>
                <w:rFonts w:ascii="Calibri"/>
                <w:b/>
                <w:spacing w:val="-2"/>
                <w:w w:val="140"/>
                <w:sz w:val="11"/>
              </w:rPr>
              <w:t>584,60</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4"/>
                <w:w w:val="135"/>
                <w:sz w:val="11"/>
              </w:rPr>
              <w:t>MAYO</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108</w:t>
            </w:r>
            <w:r>
              <w:rPr>
                <w:rFonts w:ascii="Calibri"/>
                <w:spacing w:val="-5"/>
                <w:w w:val="140"/>
                <w:sz w:val="11"/>
              </w:rPr>
              <w:t> </w:t>
            </w:r>
            <w:r>
              <w:rPr>
                <w:rFonts w:ascii="Calibri"/>
                <w:spacing w:val="-2"/>
                <w:w w:val="140"/>
                <w:sz w:val="11"/>
              </w:rPr>
              <w:t>664,15</w:t>
            </w:r>
          </w:p>
        </w:tc>
        <w:tc>
          <w:tcPr>
            <w:tcW w:w="1336" w:type="dxa"/>
          </w:tcPr>
          <w:p>
            <w:pPr>
              <w:pStyle w:val="TableParagraph"/>
              <w:spacing w:line="114" w:lineRule="exact" w:before="48"/>
              <w:ind w:right="65"/>
              <w:jc w:val="right"/>
              <w:rPr>
                <w:rFonts w:ascii="Calibri"/>
                <w:sz w:val="11"/>
              </w:rPr>
            </w:pPr>
            <w:r>
              <w:rPr>
                <w:rFonts w:ascii="Calibri"/>
                <w:w w:val="140"/>
                <w:sz w:val="11"/>
              </w:rPr>
              <w:t>3</w:t>
            </w:r>
            <w:r>
              <w:rPr>
                <w:rFonts w:ascii="Calibri"/>
                <w:spacing w:val="-6"/>
                <w:w w:val="140"/>
                <w:sz w:val="11"/>
              </w:rPr>
              <w:t> </w:t>
            </w:r>
            <w:r>
              <w:rPr>
                <w:rFonts w:ascii="Calibri"/>
                <w:spacing w:val="-2"/>
                <w:w w:val="140"/>
                <w:sz w:val="11"/>
              </w:rPr>
              <w:t>446,40</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763</w:t>
            </w:r>
            <w:r>
              <w:rPr>
                <w:rFonts w:ascii="Calibri"/>
                <w:b/>
                <w:spacing w:val="-4"/>
                <w:w w:val="140"/>
                <w:sz w:val="11"/>
              </w:rPr>
              <w:t> </w:t>
            </w:r>
            <w:r>
              <w:rPr>
                <w:rFonts w:ascii="Calibri"/>
                <w:b/>
                <w:spacing w:val="-2"/>
                <w:w w:val="140"/>
                <w:sz w:val="11"/>
              </w:rPr>
              <w:t>802,34</w:t>
            </w:r>
          </w:p>
        </w:tc>
      </w:tr>
      <w:tr>
        <w:trPr>
          <w:trHeight w:val="182" w:hRule="atLeast"/>
        </w:trPr>
        <w:tc>
          <w:tcPr>
            <w:tcW w:w="1087" w:type="dxa"/>
          </w:tcPr>
          <w:p>
            <w:pPr>
              <w:pStyle w:val="TableParagraph"/>
              <w:spacing w:line="114" w:lineRule="exact" w:before="48"/>
              <w:ind w:left="24"/>
              <w:rPr>
                <w:rFonts w:ascii="Calibri"/>
                <w:sz w:val="11"/>
              </w:rPr>
            </w:pPr>
            <w:r>
              <w:rPr>
                <w:rFonts w:ascii="Calibri"/>
                <w:spacing w:val="-4"/>
                <w:w w:val="140"/>
                <w:sz w:val="11"/>
              </w:rPr>
              <w:t>JUNIO</w:t>
            </w:r>
          </w:p>
        </w:tc>
        <w:tc>
          <w:tcPr>
            <w:tcW w:w="1336" w:type="dxa"/>
          </w:tcPr>
          <w:p>
            <w:pPr>
              <w:pStyle w:val="TableParagraph"/>
              <w:rPr>
                <w:rFonts w:ascii="Times New Roman"/>
                <w:sz w:val="12"/>
              </w:rPr>
            </w:pPr>
          </w:p>
        </w:tc>
        <w:tc>
          <w:tcPr>
            <w:tcW w:w="319" w:type="dxa"/>
            <w:tcBorders>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tcBorders>
          </w:tcPr>
          <w:p>
            <w:pPr>
              <w:pStyle w:val="TableParagraph"/>
              <w:spacing w:line="114" w:lineRule="exact" w:before="48"/>
              <w:ind w:right="65"/>
              <w:jc w:val="right"/>
              <w:rPr>
                <w:rFonts w:ascii="Calibri"/>
                <w:sz w:val="11"/>
              </w:rPr>
            </w:pPr>
            <w:r>
              <w:rPr>
                <w:rFonts w:ascii="Calibri"/>
                <w:w w:val="140"/>
                <w:sz w:val="11"/>
              </w:rPr>
              <w:t>107</w:t>
            </w:r>
            <w:r>
              <w:rPr>
                <w:rFonts w:ascii="Calibri"/>
                <w:spacing w:val="-5"/>
                <w:w w:val="140"/>
                <w:sz w:val="11"/>
              </w:rPr>
              <w:t> </w:t>
            </w:r>
            <w:r>
              <w:rPr>
                <w:rFonts w:ascii="Calibri"/>
                <w:spacing w:val="-2"/>
                <w:w w:val="140"/>
                <w:sz w:val="11"/>
              </w:rPr>
              <w:t>770,21</w:t>
            </w:r>
          </w:p>
        </w:tc>
        <w:tc>
          <w:tcPr>
            <w:tcW w:w="1336" w:type="dxa"/>
          </w:tcPr>
          <w:p>
            <w:pPr>
              <w:pStyle w:val="TableParagraph"/>
              <w:spacing w:line="114" w:lineRule="exact" w:before="48"/>
              <w:ind w:right="65"/>
              <w:jc w:val="right"/>
              <w:rPr>
                <w:rFonts w:ascii="Calibri"/>
                <w:sz w:val="11"/>
              </w:rPr>
            </w:pPr>
            <w:r>
              <w:rPr>
                <w:rFonts w:ascii="Calibri"/>
                <w:w w:val="140"/>
                <w:sz w:val="11"/>
              </w:rPr>
              <w:t>7</w:t>
            </w:r>
            <w:r>
              <w:rPr>
                <w:rFonts w:ascii="Calibri"/>
                <w:spacing w:val="-6"/>
                <w:w w:val="140"/>
                <w:sz w:val="11"/>
              </w:rPr>
              <w:t> </w:t>
            </w:r>
            <w:r>
              <w:rPr>
                <w:rFonts w:ascii="Calibri"/>
                <w:spacing w:val="-2"/>
                <w:w w:val="140"/>
                <w:sz w:val="11"/>
              </w:rPr>
              <w:t>169,89</w:t>
            </w:r>
          </w:p>
        </w:tc>
        <w:tc>
          <w:tcPr>
            <w:tcW w:w="319" w:type="dxa"/>
            <w:tcBorders>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tcBorders>
          </w:tcPr>
          <w:p>
            <w:pPr>
              <w:pStyle w:val="TableParagraph"/>
              <w:spacing w:line="114" w:lineRule="exact" w:before="48"/>
              <w:ind w:right="65"/>
              <w:jc w:val="right"/>
              <w:rPr>
                <w:rFonts w:ascii="Calibri"/>
                <w:b/>
                <w:sz w:val="11"/>
              </w:rPr>
            </w:pPr>
            <w:r>
              <w:rPr>
                <w:rFonts w:ascii="Calibri"/>
                <w:b/>
                <w:w w:val="140"/>
                <w:sz w:val="11"/>
              </w:rPr>
              <w:t>864</w:t>
            </w:r>
            <w:r>
              <w:rPr>
                <w:rFonts w:ascii="Calibri"/>
                <w:b/>
                <w:spacing w:val="-4"/>
                <w:w w:val="140"/>
                <w:sz w:val="11"/>
              </w:rPr>
              <w:t> </w:t>
            </w:r>
            <w:r>
              <w:rPr>
                <w:rFonts w:ascii="Calibri"/>
                <w:b/>
                <w:spacing w:val="-2"/>
                <w:w w:val="140"/>
                <w:sz w:val="11"/>
              </w:rPr>
              <w:t>402,66</w:t>
            </w:r>
          </w:p>
        </w:tc>
      </w:tr>
      <w:tr>
        <w:trPr>
          <w:trHeight w:val="182" w:hRule="atLeast"/>
        </w:trPr>
        <w:tc>
          <w:tcPr>
            <w:tcW w:w="1087" w:type="dxa"/>
            <w:tcBorders>
              <w:bottom w:val="single" w:sz="2" w:space="0" w:color="000000"/>
            </w:tcBorders>
          </w:tcPr>
          <w:p>
            <w:pPr>
              <w:pStyle w:val="TableParagraph"/>
              <w:spacing w:line="114" w:lineRule="exact" w:before="48"/>
              <w:ind w:left="24"/>
              <w:rPr>
                <w:rFonts w:ascii="Calibri"/>
                <w:sz w:val="11"/>
              </w:rPr>
            </w:pPr>
            <w:r>
              <w:rPr>
                <w:rFonts w:ascii="Calibri"/>
                <w:spacing w:val="-4"/>
                <w:w w:val="140"/>
                <w:sz w:val="11"/>
              </w:rPr>
              <w:t>JULIO</w:t>
            </w:r>
          </w:p>
        </w:tc>
        <w:tc>
          <w:tcPr>
            <w:tcW w:w="1336" w:type="dxa"/>
            <w:tcBorders>
              <w:bottom w:val="single" w:sz="2" w:space="0" w:color="000000"/>
            </w:tcBorders>
          </w:tcPr>
          <w:p>
            <w:pPr>
              <w:pStyle w:val="TableParagraph"/>
              <w:rPr>
                <w:rFonts w:ascii="Times New Roman"/>
                <w:sz w:val="12"/>
              </w:rPr>
            </w:pPr>
          </w:p>
        </w:tc>
        <w:tc>
          <w:tcPr>
            <w:tcW w:w="319" w:type="dxa"/>
            <w:tcBorders>
              <w:bottom w:val="single" w:sz="2" w:space="0" w:color="000000"/>
              <w:right w:val="nil"/>
            </w:tcBorders>
          </w:tcPr>
          <w:p>
            <w:pPr>
              <w:pStyle w:val="TableParagraph"/>
              <w:spacing w:line="114" w:lineRule="exact" w:before="48"/>
              <w:ind w:left="36"/>
              <w:rPr>
                <w:rFonts w:ascii="Calibri"/>
                <w:sz w:val="11"/>
              </w:rPr>
            </w:pPr>
            <w:r>
              <w:rPr>
                <w:rFonts w:ascii="Calibri"/>
                <w:spacing w:val="-10"/>
                <w:w w:val="140"/>
                <w:sz w:val="11"/>
              </w:rPr>
              <w:t>-</w:t>
            </w:r>
          </w:p>
        </w:tc>
        <w:tc>
          <w:tcPr>
            <w:tcW w:w="1017" w:type="dxa"/>
            <w:tcBorders>
              <w:left w:val="nil"/>
              <w:bottom w:val="single" w:sz="2" w:space="0" w:color="000000"/>
            </w:tcBorders>
          </w:tcPr>
          <w:p>
            <w:pPr>
              <w:pStyle w:val="TableParagraph"/>
              <w:spacing w:line="114" w:lineRule="exact" w:before="48"/>
              <w:ind w:right="65"/>
              <w:jc w:val="right"/>
              <w:rPr>
                <w:rFonts w:ascii="Calibri"/>
                <w:sz w:val="11"/>
              </w:rPr>
            </w:pPr>
            <w:r>
              <w:rPr>
                <w:rFonts w:ascii="Calibri"/>
                <w:w w:val="140"/>
                <w:sz w:val="11"/>
              </w:rPr>
              <w:t>108</w:t>
            </w:r>
            <w:r>
              <w:rPr>
                <w:rFonts w:ascii="Calibri"/>
                <w:spacing w:val="-5"/>
                <w:w w:val="140"/>
                <w:sz w:val="11"/>
              </w:rPr>
              <w:t> </w:t>
            </w:r>
            <w:r>
              <w:rPr>
                <w:rFonts w:ascii="Calibri"/>
                <w:spacing w:val="-2"/>
                <w:w w:val="140"/>
                <w:sz w:val="11"/>
              </w:rPr>
              <w:t>924,74</w:t>
            </w:r>
          </w:p>
        </w:tc>
        <w:tc>
          <w:tcPr>
            <w:tcW w:w="1336" w:type="dxa"/>
            <w:tcBorders>
              <w:bottom w:val="single" w:sz="2" w:space="0" w:color="000000"/>
            </w:tcBorders>
          </w:tcPr>
          <w:p>
            <w:pPr>
              <w:pStyle w:val="TableParagraph"/>
              <w:spacing w:line="114" w:lineRule="exact" w:before="48"/>
              <w:ind w:right="65"/>
              <w:jc w:val="right"/>
              <w:rPr>
                <w:rFonts w:ascii="Calibri"/>
                <w:sz w:val="11"/>
              </w:rPr>
            </w:pPr>
            <w:r>
              <w:rPr>
                <w:rFonts w:ascii="Calibri"/>
                <w:w w:val="140"/>
                <w:sz w:val="11"/>
              </w:rPr>
              <w:t>3</w:t>
            </w:r>
            <w:r>
              <w:rPr>
                <w:rFonts w:ascii="Calibri"/>
                <w:spacing w:val="-6"/>
                <w:w w:val="140"/>
                <w:sz w:val="11"/>
              </w:rPr>
              <w:t> </w:t>
            </w:r>
            <w:r>
              <w:rPr>
                <w:rFonts w:ascii="Calibri"/>
                <w:spacing w:val="-2"/>
                <w:w w:val="140"/>
                <w:sz w:val="11"/>
              </w:rPr>
              <w:t>672,12</w:t>
            </w:r>
          </w:p>
        </w:tc>
        <w:tc>
          <w:tcPr>
            <w:tcW w:w="319" w:type="dxa"/>
            <w:tcBorders>
              <w:bottom w:val="single" w:sz="2" w:space="0" w:color="000000"/>
              <w:right w:val="nil"/>
            </w:tcBorders>
          </w:tcPr>
          <w:p>
            <w:pPr>
              <w:pStyle w:val="TableParagraph"/>
              <w:spacing w:line="114" w:lineRule="exact" w:before="48"/>
              <w:ind w:left="22"/>
              <w:rPr>
                <w:rFonts w:ascii="Calibri"/>
                <w:b/>
                <w:sz w:val="11"/>
              </w:rPr>
            </w:pPr>
            <w:r>
              <w:rPr>
                <w:rFonts w:ascii="Calibri"/>
                <w:b/>
                <w:spacing w:val="-10"/>
                <w:w w:val="140"/>
                <w:sz w:val="11"/>
              </w:rPr>
              <w:t>-</w:t>
            </w:r>
          </w:p>
        </w:tc>
        <w:tc>
          <w:tcPr>
            <w:tcW w:w="1029" w:type="dxa"/>
            <w:tcBorders>
              <w:left w:val="nil"/>
              <w:bottom w:val="single" w:sz="2" w:space="0" w:color="000000"/>
            </w:tcBorders>
          </w:tcPr>
          <w:p>
            <w:pPr>
              <w:pStyle w:val="TableParagraph"/>
              <w:spacing w:line="114" w:lineRule="exact" w:before="48"/>
              <w:ind w:right="65"/>
              <w:jc w:val="right"/>
              <w:rPr>
                <w:rFonts w:ascii="Calibri"/>
                <w:b/>
                <w:sz w:val="11"/>
              </w:rPr>
            </w:pPr>
            <w:r>
              <w:rPr>
                <w:rFonts w:ascii="Calibri"/>
                <w:b/>
                <w:w w:val="140"/>
                <w:sz w:val="11"/>
              </w:rPr>
              <w:t>969</w:t>
            </w:r>
            <w:r>
              <w:rPr>
                <w:rFonts w:ascii="Calibri"/>
                <w:b/>
                <w:spacing w:val="-4"/>
                <w:w w:val="140"/>
                <w:sz w:val="11"/>
              </w:rPr>
              <w:t> </w:t>
            </w:r>
            <w:r>
              <w:rPr>
                <w:rFonts w:ascii="Calibri"/>
                <w:b/>
                <w:spacing w:val="-2"/>
                <w:w w:val="140"/>
                <w:sz w:val="11"/>
              </w:rPr>
              <w:t>655,28</w:t>
            </w:r>
          </w:p>
        </w:tc>
      </w:tr>
      <w:tr>
        <w:trPr>
          <w:trHeight w:val="138" w:hRule="atLeast"/>
        </w:trPr>
        <w:tc>
          <w:tcPr>
            <w:tcW w:w="1087" w:type="dxa"/>
            <w:tcBorders>
              <w:top w:val="single" w:sz="2" w:space="0" w:color="000000"/>
              <w:bottom w:val="double" w:sz="2" w:space="0" w:color="000000"/>
            </w:tcBorders>
          </w:tcPr>
          <w:p>
            <w:pPr>
              <w:pStyle w:val="TableParagraph"/>
              <w:rPr>
                <w:rFonts w:ascii="Times New Roman"/>
                <w:sz w:val="8"/>
              </w:rPr>
            </w:pPr>
          </w:p>
        </w:tc>
        <w:tc>
          <w:tcPr>
            <w:tcW w:w="1336" w:type="dxa"/>
            <w:tcBorders>
              <w:top w:val="single" w:sz="2" w:space="0" w:color="000000"/>
              <w:bottom w:val="double" w:sz="2" w:space="0" w:color="000000"/>
            </w:tcBorders>
          </w:tcPr>
          <w:p>
            <w:pPr>
              <w:pStyle w:val="TableParagraph"/>
              <w:spacing w:line="112" w:lineRule="exact" w:before="6"/>
              <w:ind w:right="220"/>
              <w:jc w:val="right"/>
              <w:rPr>
                <w:rFonts w:ascii="Calibri"/>
                <w:b/>
                <w:sz w:val="11"/>
              </w:rPr>
            </w:pPr>
            <w:r>
              <w:rPr>
                <w:rFonts w:ascii="Calibri"/>
                <w:b/>
                <w:spacing w:val="-10"/>
                <w:w w:val="140"/>
                <w:sz w:val="11"/>
              </w:rPr>
              <w:t>-</w:t>
            </w:r>
          </w:p>
        </w:tc>
        <w:tc>
          <w:tcPr>
            <w:tcW w:w="319" w:type="dxa"/>
            <w:tcBorders>
              <w:top w:val="single" w:sz="2" w:space="0" w:color="000000"/>
              <w:bottom w:val="double" w:sz="2" w:space="0" w:color="000000"/>
              <w:right w:val="nil"/>
            </w:tcBorders>
          </w:tcPr>
          <w:p>
            <w:pPr>
              <w:pStyle w:val="TableParagraph"/>
              <w:spacing w:line="112" w:lineRule="exact" w:before="6"/>
              <w:ind w:left="24"/>
              <w:rPr>
                <w:rFonts w:ascii="Calibri"/>
                <w:b/>
                <w:sz w:val="11"/>
              </w:rPr>
            </w:pPr>
            <w:r>
              <w:rPr>
                <w:rFonts w:ascii="Calibri"/>
                <w:b/>
                <w:spacing w:val="-10"/>
                <w:w w:val="140"/>
                <w:sz w:val="11"/>
              </w:rPr>
              <w:t>-</w:t>
            </w:r>
          </w:p>
        </w:tc>
        <w:tc>
          <w:tcPr>
            <w:tcW w:w="1017" w:type="dxa"/>
            <w:tcBorders>
              <w:top w:val="single" w:sz="2" w:space="0" w:color="000000"/>
              <w:left w:val="nil"/>
              <w:bottom w:val="double" w:sz="2" w:space="0" w:color="000000"/>
            </w:tcBorders>
          </w:tcPr>
          <w:p>
            <w:pPr>
              <w:pStyle w:val="TableParagraph"/>
              <w:spacing w:line="112" w:lineRule="exact" w:before="6"/>
              <w:ind w:right="65"/>
              <w:jc w:val="right"/>
              <w:rPr>
                <w:rFonts w:ascii="Calibri"/>
                <w:b/>
                <w:sz w:val="11"/>
              </w:rPr>
            </w:pPr>
            <w:r>
              <w:rPr>
                <w:rFonts w:ascii="Calibri"/>
                <w:b/>
                <w:w w:val="140"/>
                <w:sz w:val="11"/>
              </w:rPr>
              <w:t>860</w:t>
            </w:r>
            <w:r>
              <w:rPr>
                <w:rFonts w:ascii="Calibri"/>
                <w:b/>
                <w:spacing w:val="-4"/>
                <w:w w:val="140"/>
                <w:sz w:val="11"/>
              </w:rPr>
              <w:t> </w:t>
            </w:r>
            <w:r>
              <w:rPr>
                <w:rFonts w:ascii="Calibri"/>
                <w:b/>
                <w:spacing w:val="-2"/>
                <w:w w:val="140"/>
                <w:sz w:val="11"/>
              </w:rPr>
              <w:t>425,89</w:t>
            </w:r>
          </w:p>
        </w:tc>
        <w:tc>
          <w:tcPr>
            <w:tcW w:w="1336" w:type="dxa"/>
            <w:tcBorders>
              <w:top w:val="single" w:sz="2" w:space="0" w:color="000000"/>
              <w:bottom w:val="double" w:sz="2" w:space="0" w:color="000000"/>
            </w:tcBorders>
          </w:tcPr>
          <w:p>
            <w:pPr>
              <w:pStyle w:val="TableParagraph"/>
              <w:spacing w:line="112" w:lineRule="exact" w:before="6"/>
              <w:ind w:right="65"/>
              <w:jc w:val="right"/>
              <w:rPr>
                <w:rFonts w:ascii="Calibri"/>
                <w:b/>
                <w:sz w:val="11"/>
              </w:rPr>
            </w:pPr>
            <w:r>
              <w:rPr>
                <w:rFonts w:ascii="Calibri"/>
                <w:b/>
                <w:w w:val="140"/>
                <w:sz w:val="11"/>
              </w:rPr>
              <w:t>20</w:t>
            </w:r>
            <w:r>
              <w:rPr>
                <w:rFonts w:ascii="Calibri"/>
                <w:b/>
                <w:spacing w:val="-4"/>
                <w:w w:val="140"/>
                <w:sz w:val="11"/>
              </w:rPr>
              <w:t> </w:t>
            </w:r>
            <w:r>
              <w:rPr>
                <w:rFonts w:ascii="Calibri"/>
                <w:b/>
                <w:spacing w:val="-2"/>
                <w:w w:val="140"/>
                <w:sz w:val="11"/>
              </w:rPr>
              <w:t>821,97</w:t>
            </w:r>
          </w:p>
        </w:tc>
        <w:tc>
          <w:tcPr>
            <w:tcW w:w="1348" w:type="dxa"/>
            <w:gridSpan w:val="2"/>
            <w:tcBorders>
              <w:top w:val="single" w:sz="2" w:space="0" w:color="000000"/>
              <w:bottom w:val="double" w:sz="2" w:space="0" w:color="000000"/>
            </w:tcBorders>
          </w:tcPr>
          <w:p>
            <w:pPr>
              <w:pStyle w:val="TableParagraph"/>
              <w:rPr>
                <w:rFonts w:ascii="Times New Roman"/>
                <w:sz w:val="8"/>
              </w:rPr>
            </w:pPr>
          </w:p>
        </w:tc>
      </w:tr>
    </w:tbl>
    <w:p>
      <w:pPr>
        <w:pStyle w:val="BodyText"/>
        <w:spacing w:line="259" w:lineRule="auto" w:before="182"/>
        <w:ind w:left="730" w:right="726"/>
        <w:jc w:val="both"/>
      </w:pPr>
      <w:r>
        <w:rPr/>
        <w:t>El reconocimiento del aguinaldo se realiza conforme los empleados prestan sus servicios durante el período. El pasivo se mantiene clasificado como corriente debido a que su cancelación se efectúa en el período siguiente al cierre.</w:t>
      </w:r>
    </w:p>
    <w:p>
      <w:pPr>
        <w:pStyle w:val="BodyText"/>
        <w:spacing w:line="259" w:lineRule="auto" w:before="159"/>
        <w:ind w:left="730" w:right="546"/>
      </w:pPr>
      <w:r>
        <w:rPr/>
        <w:t>El gasto asociado se presenta en el Estado de Rendimiento Financiero dentro del rubro de Gastos por beneficios a los empleados.</w:t>
      </w:r>
    </w:p>
    <w:p>
      <w:pPr>
        <w:pStyle w:val="BodyText"/>
        <w:spacing w:line="412" w:lineRule="auto" w:before="159"/>
        <w:ind w:left="730" w:right="5327"/>
      </w:pPr>
      <w:r>
        <w:rPr>
          <w:u w:val="single"/>
        </w:rPr>
        <w:t>Cuenta</w:t>
      </w:r>
      <w:r>
        <w:rPr>
          <w:spacing w:val="-5"/>
          <w:u w:val="single"/>
        </w:rPr>
        <w:t> </w:t>
      </w:r>
      <w:r>
        <w:rPr>
          <w:u w:val="single"/>
        </w:rPr>
        <w:t>por</w:t>
      </w:r>
      <w:r>
        <w:rPr>
          <w:spacing w:val="-5"/>
          <w:u w:val="single"/>
        </w:rPr>
        <w:t> </w:t>
      </w:r>
      <w:r>
        <w:rPr>
          <w:u w:val="single"/>
        </w:rPr>
        <w:t>pagar</w:t>
      </w:r>
      <w:r>
        <w:rPr>
          <w:spacing w:val="-5"/>
          <w:u w:val="single"/>
        </w:rPr>
        <w:t> </w:t>
      </w:r>
      <w:r>
        <w:rPr>
          <w:u w:val="single"/>
        </w:rPr>
        <w:t>por</w:t>
      </w:r>
      <w:r>
        <w:rPr>
          <w:spacing w:val="-8"/>
          <w:u w:val="single"/>
        </w:rPr>
        <w:t> </w:t>
      </w:r>
      <w:r>
        <w:rPr>
          <w:u w:val="single"/>
        </w:rPr>
        <w:t>concepto</w:t>
      </w:r>
      <w:r>
        <w:rPr>
          <w:spacing w:val="-5"/>
          <w:u w:val="single"/>
        </w:rPr>
        <w:t> </w:t>
      </w:r>
      <w:r>
        <w:rPr>
          <w:u w:val="single"/>
        </w:rPr>
        <w:t>de</w:t>
      </w:r>
      <w:r>
        <w:rPr>
          <w:spacing w:val="-7"/>
          <w:u w:val="single"/>
        </w:rPr>
        <w:t> </w:t>
      </w:r>
      <w:r>
        <w:rPr>
          <w:u w:val="single"/>
        </w:rPr>
        <w:t>salario</w:t>
      </w:r>
      <w:r>
        <w:rPr>
          <w:spacing w:val="-5"/>
          <w:u w:val="single"/>
        </w:rPr>
        <w:t> </w:t>
      </w:r>
      <w:r>
        <w:rPr>
          <w:u w:val="single"/>
        </w:rPr>
        <w:t>escolar</w:t>
      </w:r>
      <w:r>
        <w:rPr>
          <w:u w:val="none"/>
        </w:rPr>
        <w:t> Naturaleza del beneficio</w:t>
      </w:r>
    </w:p>
    <w:p>
      <w:pPr>
        <w:pStyle w:val="BodyText"/>
        <w:spacing w:line="259" w:lineRule="auto"/>
        <w:ind w:left="730" w:right="718"/>
        <w:jc w:val="both"/>
      </w:pPr>
      <w:r>
        <w:rPr/>
        <w:t>El</w:t>
      </w:r>
      <w:r>
        <w:rPr>
          <w:spacing w:val="-1"/>
        </w:rPr>
        <w:t> </w:t>
      </w:r>
      <w:r>
        <w:rPr/>
        <w:t>salario escolar constituye</w:t>
      </w:r>
      <w:r>
        <w:rPr>
          <w:spacing w:val="-1"/>
        </w:rPr>
        <w:t> </w:t>
      </w:r>
      <w:r>
        <w:rPr/>
        <w:t>un beneficio a</w:t>
      </w:r>
      <w:r>
        <w:rPr>
          <w:spacing w:val="-3"/>
        </w:rPr>
        <w:t> </w:t>
      </w:r>
      <w:r>
        <w:rPr/>
        <w:t>los</w:t>
      </w:r>
      <w:r>
        <w:rPr>
          <w:spacing w:val="-1"/>
        </w:rPr>
        <w:t> </w:t>
      </w:r>
      <w:r>
        <w:rPr/>
        <w:t>empleados</w:t>
      </w:r>
      <w:r>
        <w:rPr>
          <w:spacing w:val="-1"/>
        </w:rPr>
        <w:t> </w:t>
      </w:r>
      <w:r>
        <w:rPr/>
        <w:t>derivado de</w:t>
      </w:r>
      <w:r>
        <w:rPr>
          <w:spacing w:val="-2"/>
        </w:rPr>
        <w:t> </w:t>
      </w:r>
      <w:r>
        <w:rPr/>
        <w:t>los</w:t>
      </w:r>
      <w:r>
        <w:rPr>
          <w:spacing w:val="-1"/>
        </w:rPr>
        <w:t> </w:t>
      </w:r>
      <w:r>
        <w:rPr/>
        <w:t>servicios</w:t>
      </w:r>
      <w:r>
        <w:rPr>
          <w:spacing w:val="-4"/>
        </w:rPr>
        <w:t> </w:t>
      </w:r>
      <w:r>
        <w:rPr/>
        <w:t>prestados durante</w:t>
      </w:r>
      <w:r>
        <w:rPr>
          <w:spacing w:val="-1"/>
        </w:rPr>
        <w:t> </w:t>
      </w:r>
      <w:r>
        <w:rPr/>
        <w:t>el periodo. De conformidad con la NICSP 39, la Institución reconoce un pasivo cuando las personas funcionarias</w:t>
      </w:r>
      <w:r>
        <w:rPr>
          <w:spacing w:val="-8"/>
        </w:rPr>
        <w:t> </w:t>
      </w:r>
      <w:r>
        <w:rPr/>
        <w:t>han</w:t>
      </w:r>
      <w:r>
        <w:rPr>
          <w:spacing w:val="-7"/>
        </w:rPr>
        <w:t> </w:t>
      </w:r>
      <w:r>
        <w:rPr/>
        <w:t>prestado</w:t>
      </w:r>
      <w:r>
        <w:rPr>
          <w:spacing w:val="-9"/>
        </w:rPr>
        <w:t> </w:t>
      </w:r>
      <w:r>
        <w:rPr/>
        <w:t>servicios</w:t>
      </w:r>
      <w:r>
        <w:rPr>
          <w:spacing w:val="-9"/>
        </w:rPr>
        <w:t> </w:t>
      </w:r>
      <w:r>
        <w:rPr/>
        <w:t>que</w:t>
      </w:r>
      <w:r>
        <w:rPr>
          <w:spacing w:val="-8"/>
        </w:rPr>
        <w:t> </w:t>
      </w:r>
      <w:r>
        <w:rPr/>
        <w:t>generan</w:t>
      </w:r>
      <w:r>
        <w:rPr>
          <w:spacing w:val="-7"/>
        </w:rPr>
        <w:t> </w:t>
      </w:r>
      <w:r>
        <w:rPr/>
        <w:t>el</w:t>
      </w:r>
      <w:r>
        <w:rPr>
          <w:spacing w:val="-8"/>
        </w:rPr>
        <w:t> </w:t>
      </w:r>
      <w:r>
        <w:rPr/>
        <w:t>derecho</w:t>
      </w:r>
      <w:r>
        <w:rPr>
          <w:spacing w:val="-6"/>
        </w:rPr>
        <w:t> </w:t>
      </w:r>
      <w:r>
        <w:rPr/>
        <w:t>a</w:t>
      </w:r>
      <w:r>
        <w:rPr>
          <w:spacing w:val="-8"/>
        </w:rPr>
        <w:t> </w:t>
      </w:r>
      <w:r>
        <w:rPr/>
        <w:t>recibir</w:t>
      </w:r>
      <w:r>
        <w:rPr>
          <w:spacing w:val="-7"/>
        </w:rPr>
        <w:t> </w:t>
      </w:r>
      <w:r>
        <w:rPr/>
        <w:t>el</w:t>
      </w:r>
      <w:r>
        <w:rPr>
          <w:spacing w:val="-8"/>
        </w:rPr>
        <w:t> </w:t>
      </w:r>
      <w:r>
        <w:rPr/>
        <w:t>beneficio</w:t>
      </w:r>
      <w:r>
        <w:rPr>
          <w:spacing w:val="-7"/>
        </w:rPr>
        <w:t> </w:t>
      </w:r>
      <w:r>
        <w:rPr/>
        <w:t>en</w:t>
      </w:r>
      <w:r>
        <w:rPr>
          <w:spacing w:val="-7"/>
        </w:rPr>
        <w:t> </w:t>
      </w:r>
      <w:r>
        <w:rPr/>
        <w:t>el</w:t>
      </w:r>
      <w:r>
        <w:rPr>
          <w:spacing w:val="-8"/>
        </w:rPr>
        <w:t> </w:t>
      </w:r>
      <w:r>
        <w:rPr/>
        <w:t>futuro,</w:t>
      </w:r>
      <w:r>
        <w:rPr>
          <w:spacing w:val="-7"/>
        </w:rPr>
        <w:t> </w:t>
      </w:r>
      <w:r>
        <w:rPr/>
        <w:t>y</w:t>
      </w:r>
      <w:r>
        <w:rPr>
          <w:spacing w:val="-8"/>
        </w:rPr>
        <w:t> </w:t>
      </w:r>
      <w:r>
        <w:rPr/>
        <w:t>reconoce simultáneamente</w:t>
      </w:r>
      <w:r>
        <w:rPr>
          <w:spacing w:val="-6"/>
        </w:rPr>
        <w:t> </w:t>
      </w:r>
      <w:r>
        <w:rPr/>
        <w:t>el</w:t>
      </w:r>
      <w:r>
        <w:rPr>
          <w:spacing w:val="-6"/>
        </w:rPr>
        <w:t> </w:t>
      </w:r>
      <w:r>
        <w:rPr/>
        <w:t>gasto</w:t>
      </w:r>
      <w:r>
        <w:rPr>
          <w:spacing w:val="-5"/>
        </w:rPr>
        <w:t> </w:t>
      </w:r>
      <w:r>
        <w:rPr/>
        <w:t>correspondiente</w:t>
      </w:r>
      <w:r>
        <w:rPr>
          <w:spacing w:val="-6"/>
        </w:rPr>
        <w:t> </w:t>
      </w:r>
      <w:r>
        <w:rPr/>
        <w:t>conforme</w:t>
      </w:r>
      <w:r>
        <w:rPr>
          <w:spacing w:val="-7"/>
        </w:rPr>
        <w:t> </w:t>
      </w:r>
      <w:r>
        <w:rPr/>
        <w:t>se</w:t>
      </w:r>
      <w:r>
        <w:rPr>
          <w:spacing w:val="-9"/>
        </w:rPr>
        <w:t> </w:t>
      </w:r>
      <w:r>
        <w:rPr/>
        <w:t>consume</w:t>
      </w:r>
      <w:r>
        <w:rPr>
          <w:spacing w:val="-7"/>
        </w:rPr>
        <w:t> </w:t>
      </w:r>
      <w:r>
        <w:rPr/>
        <w:t>el</w:t>
      </w:r>
      <w:r>
        <w:rPr>
          <w:spacing w:val="-6"/>
        </w:rPr>
        <w:t> </w:t>
      </w:r>
      <w:r>
        <w:rPr/>
        <w:t>potencial</w:t>
      </w:r>
      <w:r>
        <w:rPr>
          <w:spacing w:val="-6"/>
        </w:rPr>
        <w:t> </w:t>
      </w:r>
      <w:r>
        <w:rPr/>
        <w:t>de</w:t>
      </w:r>
      <w:r>
        <w:rPr>
          <w:spacing w:val="-7"/>
        </w:rPr>
        <w:t> </w:t>
      </w:r>
      <w:r>
        <w:rPr/>
        <w:t>servicio</w:t>
      </w:r>
      <w:r>
        <w:rPr>
          <w:spacing w:val="-5"/>
        </w:rPr>
        <w:t> </w:t>
      </w:r>
      <w:r>
        <w:rPr/>
        <w:t>proporcionado por dichas personas.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3104">
                <wp:simplePos x="0" y="0"/>
                <wp:positionH relativeFrom="page">
                  <wp:posOffset>9525</wp:posOffset>
                </wp:positionH>
                <wp:positionV relativeFrom="page">
                  <wp:posOffset>297208</wp:posOffset>
                </wp:positionV>
                <wp:extent cx="7762875" cy="9748520"/>
                <wp:effectExtent l="0" t="0" r="0" b="0"/>
                <wp:wrapNone/>
                <wp:docPr id="366" name="Group 366"/>
                <wp:cNvGraphicFramePr>
                  <a:graphicFrameLocks/>
                </wp:cNvGraphicFramePr>
                <a:graphic>
                  <a:graphicData uri="http://schemas.microsoft.com/office/word/2010/wordprocessingGroup">
                    <wpg:wgp>
                      <wpg:cNvPr id="366" name="Group 366"/>
                      <wpg:cNvGrpSpPr/>
                      <wpg:grpSpPr>
                        <a:xfrm>
                          <a:off x="0" y="0"/>
                          <a:ext cx="7762875" cy="9748520"/>
                          <a:chExt cx="7762875" cy="9748520"/>
                        </a:xfrm>
                      </wpg:grpSpPr>
                      <pic:pic>
                        <pic:nvPicPr>
                          <pic:cNvPr id="367" name="Image 367"/>
                          <pic:cNvPicPr/>
                        </pic:nvPicPr>
                        <pic:blipFill>
                          <a:blip r:embed="rId5" cstate="print"/>
                          <a:stretch>
                            <a:fillRect/>
                          </a:stretch>
                        </pic:blipFill>
                        <pic:spPr>
                          <a:xfrm>
                            <a:off x="0" y="0"/>
                            <a:ext cx="7762874" cy="9748489"/>
                          </a:xfrm>
                          <a:prstGeom prst="rect">
                            <a:avLst/>
                          </a:prstGeom>
                        </pic:spPr>
                      </pic:pic>
                      <wps:wsp>
                        <wps:cNvPr id="368" name="Graphic 368"/>
                        <wps:cNvSpPr/>
                        <wps:spPr>
                          <a:xfrm>
                            <a:off x="1053007" y="990837"/>
                            <a:ext cx="5866130" cy="7790180"/>
                          </a:xfrm>
                          <a:custGeom>
                            <a:avLst/>
                            <a:gdLst/>
                            <a:ahLst/>
                            <a:cxnLst/>
                            <a:rect l="l" t="t" r="r" b="b"/>
                            <a:pathLst>
                              <a:path w="5866130" h="7790180">
                                <a:moveTo>
                                  <a:pt x="21336" y="132651"/>
                                </a:moveTo>
                                <a:lnTo>
                                  <a:pt x="15240" y="132651"/>
                                </a:lnTo>
                                <a:lnTo>
                                  <a:pt x="15240" y="7784020"/>
                                </a:lnTo>
                                <a:lnTo>
                                  <a:pt x="21336" y="7784020"/>
                                </a:lnTo>
                                <a:lnTo>
                                  <a:pt x="21336" y="132651"/>
                                </a:lnTo>
                                <a:close/>
                              </a:path>
                              <a:path w="5866130" h="7790180">
                                <a:moveTo>
                                  <a:pt x="5649214" y="0"/>
                                </a:moveTo>
                                <a:lnTo>
                                  <a:pt x="0" y="0"/>
                                </a:lnTo>
                                <a:lnTo>
                                  <a:pt x="0" y="9131"/>
                                </a:lnTo>
                                <a:lnTo>
                                  <a:pt x="5649214" y="9131"/>
                                </a:lnTo>
                                <a:lnTo>
                                  <a:pt x="5649214" y="0"/>
                                </a:lnTo>
                                <a:close/>
                              </a:path>
                              <a:path w="5866130" h="7790180">
                                <a:moveTo>
                                  <a:pt x="5865571" y="7784033"/>
                                </a:moveTo>
                                <a:lnTo>
                                  <a:pt x="5859526" y="7784033"/>
                                </a:lnTo>
                                <a:lnTo>
                                  <a:pt x="21336" y="7784033"/>
                                </a:lnTo>
                                <a:lnTo>
                                  <a:pt x="15240" y="7784033"/>
                                </a:lnTo>
                                <a:lnTo>
                                  <a:pt x="15240" y="7790116"/>
                                </a:lnTo>
                                <a:lnTo>
                                  <a:pt x="21336" y="7790116"/>
                                </a:lnTo>
                                <a:lnTo>
                                  <a:pt x="5859475" y="7790116"/>
                                </a:lnTo>
                                <a:lnTo>
                                  <a:pt x="5865571" y="7790116"/>
                                </a:lnTo>
                                <a:lnTo>
                                  <a:pt x="5865571" y="7784033"/>
                                </a:lnTo>
                                <a:close/>
                              </a:path>
                              <a:path w="5866130" h="7790180">
                                <a:moveTo>
                                  <a:pt x="5865571" y="132651"/>
                                </a:moveTo>
                                <a:lnTo>
                                  <a:pt x="5859475" y="132651"/>
                                </a:lnTo>
                                <a:lnTo>
                                  <a:pt x="5859475" y="7784020"/>
                                </a:lnTo>
                                <a:lnTo>
                                  <a:pt x="5865571" y="7784020"/>
                                </a:lnTo>
                                <a:lnTo>
                                  <a:pt x="5865571" y="132651"/>
                                </a:lnTo>
                                <a:close/>
                              </a:path>
                              <a:path w="5866130" h="7790180">
                                <a:moveTo>
                                  <a:pt x="5865571" y="126479"/>
                                </a:moveTo>
                                <a:lnTo>
                                  <a:pt x="5859526" y="126479"/>
                                </a:lnTo>
                                <a:lnTo>
                                  <a:pt x="21336" y="126479"/>
                                </a:lnTo>
                                <a:lnTo>
                                  <a:pt x="15240" y="126479"/>
                                </a:lnTo>
                                <a:lnTo>
                                  <a:pt x="15240" y="132575"/>
                                </a:lnTo>
                                <a:lnTo>
                                  <a:pt x="21336" y="132575"/>
                                </a:lnTo>
                                <a:lnTo>
                                  <a:pt x="5859475" y="132575"/>
                                </a:lnTo>
                                <a:lnTo>
                                  <a:pt x="5865571" y="132575"/>
                                </a:lnTo>
                                <a:lnTo>
                                  <a:pt x="5865571"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3376" id="docshapegroup347" coordorigin="15,468" coordsize="12225,15352">
                <v:shape style="position:absolute;left:15;top:468;width:12225;height:15352" type="#_x0000_t75" id="docshape348" stroked="false">
                  <v:imagedata r:id="rId5" o:title=""/>
                </v:shape>
                <v:shape style="position:absolute;left:1673;top:2028;width:9238;height:12268" id="docshape349" coordorigin="1673,2028" coordsize="9238,12268" path="m1707,2237l1697,2237,1697,14287,1707,14287,1707,2237xm10570,2028l1673,2028,1673,2043,10570,2043,10570,2028xm10910,14287l10901,14287,10901,14287,1707,14287,1697,14287,1697,14296,1707,14296,10901,14296,10901,14296,10910,14296,10910,14287xm10910,2237l10901,2237,10901,14287,10910,14287,10910,2237xm10910,2228l10901,2228,10901,2228,1707,2228,1697,2228,1697,2237,1707,2237,10901,2237,10901,2237,10910,2237,10910,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75</w:t>
      </w:r>
    </w:p>
    <w:p>
      <w:pPr>
        <w:pStyle w:val="BodyText"/>
        <w:spacing w:line="259" w:lineRule="auto" w:before="227"/>
        <w:ind w:left="730" w:right="721"/>
        <w:jc w:val="both"/>
      </w:pPr>
      <w:r>
        <w:rPr/>
        <w:t>El beneficio se clasifica como un beneficio a los empleados a corto plazo, debido a que se acumula durante</w:t>
      </w:r>
      <w:r>
        <w:rPr>
          <w:spacing w:val="-9"/>
        </w:rPr>
        <w:t> </w:t>
      </w:r>
      <w:r>
        <w:rPr/>
        <w:t>los</w:t>
      </w:r>
      <w:r>
        <w:rPr>
          <w:spacing w:val="-10"/>
        </w:rPr>
        <w:t> </w:t>
      </w:r>
      <w:r>
        <w:rPr/>
        <w:t>meses</w:t>
      </w:r>
      <w:r>
        <w:rPr>
          <w:spacing w:val="-8"/>
        </w:rPr>
        <w:t> </w:t>
      </w:r>
      <w:r>
        <w:rPr/>
        <w:t>de</w:t>
      </w:r>
      <w:r>
        <w:rPr>
          <w:spacing w:val="-10"/>
        </w:rPr>
        <w:t> </w:t>
      </w:r>
      <w:r>
        <w:rPr/>
        <w:t>enero</w:t>
      </w:r>
      <w:r>
        <w:rPr>
          <w:spacing w:val="-10"/>
        </w:rPr>
        <w:t> </w:t>
      </w:r>
      <w:r>
        <w:rPr/>
        <w:t>a</w:t>
      </w:r>
      <w:r>
        <w:rPr>
          <w:spacing w:val="-9"/>
        </w:rPr>
        <w:t> </w:t>
      </w:r>
      <w:r>
        <w:rPr/>
        <w:t>diciembre</w:t>
      </w:r>
      <w:r>
        <w:rPr>
          <w:spacing w:val="-10"/>
        </w:rPr>
        <w:t> </w:t>
      </w:r>
      <w:r>
        <w:rPr/>
        <w:t>y</w:t>
      </w:r>
      <w:r>
        <w:rPr>
          <w:spacing w:val="-10"/>
        </w:rPr>
        <w:t> </w:t>
      </w:r>
      <w:r>
        <w:rPr/>
        <w:t>se</w:t>
      </w:r>
      <w:r>
        <w:rPr>
          <w:spacing w:val="-10"/>
        </w:rPr>
        <w:t> </w:t>
      </w:r>
      <w:r>
        <w:rPr/>
        <w:t>paga</w:t>
      </w:r>
      <w:r>
        <w:rPr>
          <w:spacing w:val="-9"/>
        </w:rPr>
        <w:t> </w:t>
      </w:r>
      <w:r>
        <w:rPr/>
        <w:t>de</w:t>
      </w:r>
      <w:r>
        <w:rPr>
          <w:spacing w:val="-10"/>
        </w:rPr>
        <w:t> </w:t>
      </w:r>
      <w:r>
        <w:rPr/>
        <w:t>forma</w:t>
      </w:r>
      <w:r>
        <w:rPr>
          <w:spacing w:val="-9"/>
        </w:rPr>
        <w:t> </w:t>
      </w:r>
      <w:r>
        <w:rPr/>
        <w:t>diferida</w:t>
      </w:r>
      <w:r>
        <w:rPr>
          <w:spacing w:val="-10"/>
        </w:rPr>
        <w:t> </w:t>
      </w:r>
      <w:r>
        <w:rPr/>
        <w:t>en</w:t>
      </w:r>
      <w:r>
        <w:rPr>
          <w:spacing w:val="-8"/>
        </w:rPr>
        <w:t> </w:t>
      </w:r>
      <w:r>
        <w:rPr/>
        <w:t>enero</w:t>
      </w:r>
      <w:r>
        <w:rPr>
          <w:spacing w:val="-8"/>
        </w:rPr>
        <w:t> </w:t>
      </w:r>
      <w:r>
        <w:rPr/>
        <w:t>del</w:t>
      </w:r>
      <w:r>
        <w:rPr>
          <w:spacing w:val="-9"/>
        </w:rPr>
        <w:t> </w:t>
      </w:r>
      <w:r>
        <w:rPr/>
        <w:t>año</w:t>
      </w:r>
      <w:r>
        <w:rPr>
          <w:spacing w:val="-8"/>
        </w:rPr>
        <w:t> </w:t>
      </w:r>
      <w:r>
        <w:rPr/>
        <w:t>siguiente</w:t>
      </w:r>
      <w:r>
        <w:rPr>
          <w:spacing w:val="-9"/>
        </w:rPr>
        <w:t> </w:t>
      </w:r>
      <w:r>
        <w:rPr/>
        <w:t>o,</w:t>
      </w:r>
      <w:r>
        <w:rPr>
          <w:spacing w:val="-8"/>
        </w:rPr>
        <w:t> </w:t>
      </w:r>
      <w:r>
        <w:rPr/>
        <w:t>cuando proceda, al término de la relación laboral. En consecuencia, la obligación se reconoce por su importe nominal, sin descuento, después de deducir los importes pagados.</w:t>
      </w:r>
    </w:p>
    <w:p>
      <w:pPr>
        <w:pStyle w:val="BodyText"/>
        <w:spacing w:before="159"/>
        <w:ind w:left="730"/>
      </w:pPr>
      <w:r>
        <w:rPr/>
        <w:t>Política</w:t>
      </w:r>
      <w:r>
        <w:rPr>
          <w:spacing w:val="-6"/>
        </w:rPr>
        <w:t> </w:t>
      </w:r>
      <w:r>
        <w:rPr>
          <w:spacing w:val="-2"/>
        </w:rPr>
        <w:t>contable</w:t>
      </w:r>
    </w:p>
    <w:p>
      <w:pPr>
        <w:pStyle w:val="BodyText"/>
        <w:spacing w:line="259" w:lineRule="auto" w:before="181"/>
        <w:ind w:left="730" w:right="723"/>
        <w:jc w:val="both"/>
      </w:pPr>
      <w:r>
        <w:rPr/>
        <w:t>La cuenta por pagar por salario escolar se reconoce mensualmente con base en la estimación remitida por Desarrollo Humano a la Unidad de Contabilidad, calculada sobre los salarios devengados por las personas funcionarias durante el respectivo mes.</w:t>
      </w:r>
    </w:p>
    <w:p>
      <w:pPr>
        <w:pStyle w:val="BodyText"/>
        <w:spacing w:line="259" w:lineRule="auto" w:before="160"/>
        <w:ind w:left="730" w:right="721"/>
        <w:jc w:val="both"/>
      </w:pPr>
      <w:r>
        <w:rPr/>
        <w:t>El</w:t>
      </w:r>
      <w:r>
        <w:rPr>
          <w:spacing w:val="-14"/>
        </w:rPr>
        <w:t> </w:t>
      </w:r>
      <w:r>
        <w:rPr/>
        <w:t>importe</w:t>
      </w:r>
      <w:r>
        <w:rPr>
          <w:spacing w:val="-14"/>
        </w:rPr>
        <w:t> </w:t>
      </w:r>
      <w:r>
        <w:rPr/>
        <w:t>acumulado</w:t>
      </w:r>
      <w:r>
        <w:rPr>
          <w:spacing w:val="-14"/>
        </w:rPr>
        <w:t> </w:t>
      </w:r>
      <w:r>
        <w:rPr/>
        <w:t>se</w:t>
      </w:r>
      <w:r>
        <w:rPr>
          <w:spacing w:val="-13"/>
        </w:rPr>
        <w:t> </w:t>
      </w:r>
      <w:r>
        <w:rPr/>
        <w:t>ajusta</w:t>
      </w:r>
      <w:r>
        <w:rPr>
          <w:spacing w:val="-14"/>
        </w:rPr>
        <w:t> </w:t>
      </w:r>
      <w:r>
        <w:rPr/>
        <w:t>en</w:t>
      </w:r>
      <w:r>
        <w:rPr>
          <w:spacing w:val="-14"/>
        </w:rPr>
        <w:t> </w:t>
      </w:r>
      <w:r>
        <w:rPr/>
        <w:t>enero</w:t>
      </w:r>
      <w:r>
        <w:rPr>
          <w:spacing w:val="-14"/>
        </w:rPr>
        <w:t> </w:t>
      </w:r>
      <w:r>
        <w:rPr/>
        <w:t>de</w:t>
      </w:r>
      <w:r>
        <w:rPr>
          <w:spacing w:val="-13"/>
        </w:rPr>
        <w:t> </w:t>
      </w:r>
      <w:r>
        <w:rPr/>
        <w:t>cada</w:t>
      </w:r>
      <w:r>
        <w:rPr>
          <w:spacing w:val="-14"/>
        </w:rPr>
        <w:t> </w:t>
      </w:r>
      <w:r>
        <w:rPr/>
        <w:t>año</w:t>
      </w:r>
      <w:r>
        <w:rPr>
          <w:spacing w:val="-14"/>
        </w:rPr>
        <w:t> </w:t>
      </w:r>
      <w:r>
        <w:rPr/>
        <w:t>con</w:t>
      </w:r>
      <w:r>
        <w:rPr>
          <w:spacing w:val="-14"/>
        </w:rPr>
        <w:t> </w:t>
      </w:r>
      <w:r>
        <w:rPr/>
        <w:t>base</w:t>
      </w:r>
      <w:r>
        <w:rPr>
          <w:spacing w:val="-13"/>
        </w:rPr>
        <w:t> </w:t>
      </w:r>
      <w:r>
        <w:rPr/>
        <w:t>en</w:t>
      </w:r>
      <w:r>
        <w:rPr>
          <w:spacing w:val="-14"/>
        </w:rPr>
        <w:t> </w:t>
      </w:r>
      <w:r>
        <w:rPr/>
        <w:t>el</w:t>
      </w:r>
      <w:r>
        <w:rPr>
          <w:spacing w:val="-14"/>
        </w:rPr>
        <w:t> </w:t>
      </w:r>
      <w:r>
        <w:rPr/>
        <w:t>salario</w:t>
      </w:r>
      <w:r>
        <w:rPr>
          <w:spacing w:val="-14"/>
        </w:rPr>
        <w:t> </w:t>
      </w:r>
      <w:r>
        <w:rPr/>
        <w:t>escolar</w:t>
      </w:r>
      <w:r>
        <w:rPr>
          <w:spacing w:val="-13"/>
        </w:rPr>
        <w:t> </w:t>
      </w:r>
      <w:r>
        <w:rPr/>
        <w:t>efectivamente</w:t>
      </w:r>
      <w:r>
        <w:rPr>
          <w:spacing w:val="-14"/>
        </w:rPr>
        <w:t> </w:t>
      </w:r>
      <w:r>
        <w:rPr/>
        <w:t>pagado. Cuando la relación laboral finaliza antes de</w:t>
      </w:r>
      <w:r>
        <w:rPr>
          <w:spacing w:val="-1"/>
        </w:rPr>
        <w:t> </w:t>
      </w:r>
      <w:r>
        <w:rPr/>
        <w:t>la fecha ordinaria de</w:t>
      </w:r>
      <w:r>
        <w:rPr>
          <w:spacing w:val="-1"/>
        </w:rPr>
        <w:t> </w:t>
      </w:r>
      <w:r>
        <w:rPr/>
        <w:t>pago, se determina y cancela el monto proporcional correspondiente al tiempo efectivamente laborado, conforme a la normativa aplicable y a las políticas institucionales.</w:t>
      </w:r>
    </w:p>
    <w:p>
      <w:pPr>
        <w:pStyle w:val="BodyText"/>
        <w:spacing w:line="259" w:lineRule="auto" w:before="159"/>
        <w:ind w:left="730" w:right="722"/>
        <w:jc w:val="both"/>
      </w:pPr>
      <w:r>
        <w:rPr/>
        <w:t>El</w:t>
      </w:r>
      <w:r>
        <w:rPr>
          <w:spacing w:val="-14"/>
        </w:rPr>
        <w:t> </w:t>
      </w:r>
      <w:r>
        <w:rPr/>
        <w:t>salario</w:t>
      </w:r>
      <w:r>
        <w:rPr>
          <w:spacing w:val="-14"/>
        </w:rPr>
        <w:t> </w:t>
      </w:r>
      <w:r>
        <w:rPr/>
        <w:t>escolar</w:t>
      </w:r>
      <w:r>
        <w:rPr>
          <w:spacing w:val="-14"/>
        </w:rPr>
        <w:t> </w:t>
      </w:r>
      <w:r>
        <w:rPr/>
        <w:t>se</w:t>
      </w:r>
      <w:r>
        <w:rPr>
          <w:spacing w:val="-13"/>
        </w:rPr>
        <w:t> </w:t>
      </w:r>
      <w:r>
        <w:rPr/>
        <w:t>registra</w:t>
      </w:r>
      <w:r>
        <w:rPr>
          <w:spacing w:val="-14"/>
        </w:rPr>
        <w:t> </w:t>
      </w:r>
      <w:r>
        <w:rPr/>
        <w:t>de</w:t>
      </w:r>
      <w:r>
        <w:rPr>
          <w:spacing w:val="-14"/>
        </w:rPr>
        <w:t> </w:t>
      </w:r>
      <w:r>
        <w:rPr/>
        <w:t>forma</w:t>
      </w:r>
      <w:r>
        <w:rPr>
          <w:spacing w:val="-14"/>
        </w:rPr>
        <w:t> </w:t>
      </w:r>
      <w:r>
        <w:rPr/>
        <w:t>separada</w:t>
      </w:r>
      <w:r>
        <w:rPr>
          <w:spacing w:val="-13"/>
        </w:rPr>
        <w:t> </w:t>
      </w:r>
      <w:r>
        <w:rPr/>
        <w:t>de</w:t>
      </w:r>
      <w:r>
        <w:rPr>
          <w:spacing w:val="-14"/>
        </w:rPr>
        <w:t> </w:t>
      </w:r>
      <w:r>
        <w:rPr/>
        <w:t>las</w:t>
      </w:r>
      <w:r>
        <w:rPr>
          <w:spacing w:val="-14"/>
        </w:rPr>
        <w:t> </w:t>
      </w:r>
      <w:r>
        <w:rPr/>
        <w:t>deducciones</w:t>
      </w:r>
      <w:r>
        <w:rPr>
          <w:spacing w:val="-14"/>
        </w:rPr>
        <w:t> </w:t>
      </w:r>
      <w:r>
        <w:rPr/>
        <w:t>legales</w:t>
      </w:r>
      <w:r>
        <w:rPr>
          <w:spacing w:val="-13"/>
        </w:rPr>
        <w:t> </w:t>
      </w:r>
      <w:r>
        <w:rPr/>
        <w:t>correspondientes</w:t>
      </w:r>
      <w:r>
        <w:rPr>
          <w:spacing w:val="-14"/>
        </w:rPr>
        <w:t> </w:t>
      </w:r>
      <w:r>
        <w:rPr/>
        <w:t>y</w:t>
      </w:r>
      <w:r>
        <w:rPr>
          <w:spacing w:val="-14"/>
        </w:rPr>
        <w:t> </w:t>
      </w:r>
      <w:r>
        <w:rPr/>
        <w:t>se</w:t>
      </w:r>
      <w:r>
        <w:rPr>
          <w:spacing w:val="-14"/>
        </w:rPr>
        <w:t> </w:t>
      </w:r>
      <w:r>
        <w:rPr/>
        <w:t>considera para efectos del cálculo del aguinaldo, por tratarse de una remuneración adicional.</w:t>
      </w:r>
    </w:p>
    <w:p>
      <w:pPr>
        <w:pStyle w:val="BodyText"/>
        <w:spacing w:before="159"/>
        <w:ind w:left="730"/>
      </w:pPr>
      <w:r>
        <w:rPr/>
        <w:t>Movimiento</w:t>
      </w:r>
      <w:r>
        <w:rPr>
          <w:spacing w:val="-3"/>
        </w:rPr>
        <w:t> </w:t>
      </w:r>
      <w:r>
        <w:rPr/>
        <w:t>de</w:t>
      </w:r>
      <w:r>
        <w:rPr>
          <w:spacing w:val="-5"/>
        </w:rPr>
        <w:t> </w:t>
      </w:r>
      <w:r>
        <w:rPr/>
        <w:t>la</w:t>
      </w:r>
      <w:r>
        <w:rPr>
          <w:spacing w:val="-4"/>
        </w:rPr>
        <w:t> </w:t>
      </w:r>
      <w:r>
        <w:rPr/>
        <w:t>cuenta</w:t>
      </w:r>
      <w:r>
        <w:rPr>
          <w:spacing w:val="-3"/>
        </w:rPr>
        <w:t> </w:t>
      </w:r>
      <w:r>
        <w:rPr/>
        <w:t>por</w:t>
      </w:r>
      <w:r>
        <w:rPr>
          <w:spacing w:val="-2"/>
        </w:rPr>
        <w:t> pagar</w:t>
      </w:r>
    </w:p>
    <w:p>
      <w:pPr>
        <w:pStyle w:val="BodyText"/>
        <w:spacing w:line="259" w:lineRule="auto" w:before="181"/>
        <w:ind w:left="730" w:right="720"/>
        <w:jc w:val="both"/>
      </w:pPr>
      <w:r>
        <w:rPr/>
        <w:t>La composición y movimiento de la cuenta por pagar por concepto de salario escolar de la cuenta contable, al 31 de julio de 2026, es la siguiente:</w:t>
      </w:r>
    </w:p>
    <w:p>
      <w:pPr>
        <w:pStyle w:val="BodyText"/>
        <w:spacing w:before="1"/>
        <w:rPr>
          <w:sz w:val="16"/>
        </w:rPr>
      </w:pPr>
    </w:p>
    <w:tbl>
      <w:tblPr>
        <w:tblW w:w="0" w:type="auto"/>
        <w:jc w:val="left"/>
        <w:tblInd w:w="2781"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top w:w="0" w:type="dxa"/>
          <w:left w:w="0" w:type="dxa"/>
          <w:bottom w:w="0" w:type="dxa"/>
          <w:right w:w="0" w:type="dxa"/>
        </w:tblCellMar>
        <w:tblLook w:val="01E0"/>
      </w:tblPr>
      <w:tblGrid>
        <w:gridCol w:w="2999"/>
        <w:gridCol w:w="902"/>
      </w:tblGrid>
      <w:tr>
        <w:trPr>
          <w:trHeight w:val="523" w:hRule="atLeast"/>
        </w:trPr>
        <w:tc>
          <w:tcPr>
            <w:tcW w:w="2999" w:type="dxa"/>
            <w:tcBorders>
              <w:left w:val="single" w:sz="4" w:space="0" w:color="E6E6E6"/>
              <w:right w:val="single" w:sz="4" w:space="0" w:color="E6E6E6"/>
            </w:tcBorders>
            <w:shd w:val="clear" w:color="auto" w:fill="F5F5F5"/>
          </w:tcPr>
          <w:p>
            <w:pPr>
              <w:pStyle w:val="TableParagraph"/>
              <w:spacing w:before="100"/>
              <w:ind w:left="103"/>
              <w:rPr>
                <w:b/>
                <w:sz w:val="17"/>
              </w:rPr>
            </w:pPr>
            <w:r>
              <w:rPr>
                <w:b/>
                <w:spacing w:val="-2"/>
                <w:w w:val="80"/>
                <w:sz w:val="17"/>
              </w:rPr>
              <w:t>Concepto</w:t>
            </w:r>
          </w:p>
        </w:tc>
        <w:tc>
          <w:tcPr>
            <w:tcW w:w="902" w:type="dxa"/>
            <w:tcBorders>
              <w:left w:val="single" w:sz="4" w:space="0" w:color="E6E6E6"/>
              <w:right w:val="single" w:sz="4" w:space="0" w:color="E6E6E6"/>
            </w:tcBorders>
            <w:shd w:val="clear" w:color="auto" w:fill="F5F5F5"/>
          </w:tcPr>
          <w:p>
            <w:pPr>
              <w:pStyle w:val="TableParagraph"/>
              <w:spacing w:before="100"/>
              <w:ind w:left="119"/>
              <w:rPr>
                <w:b/>
                <w:sz w:val="17"/>
              </w:rPr>
            </w:pPr>
            <w:r>
              <w:rPr>
                <w:b/>
                <w:w w:val="70"/>
                <w:sz w:val="17"/>
              </w:rPr>
              <w:t>Julio</w:t>
            </w:r>
            <w:r>
              <w:rPr>
                <w:b/>
                <w:spacing w:val="-9"/>
                <w:sz w:val="17"/>
              </w:rPr>
              <w:t> </w:t>
            </w:r>
            <w:r>
              <w:rPr>
                <w:b/>
                <w:spacing w:val="-4"/>
                <w:w w:val="75"/>
                <w:sz w:val="17"/>
              </w:rPr>
              <w:t>2026</w:t>
            </w:r>
          </w:p>
        </w:tc>
      </w:tr>
      <w:tr>
        <w:trPr>
          <w:trHeight w:val="545" w:hRule="atLeast"/>
        </w:trPr>
        <w:tc>
          <w:tcPr>
            <w:tcW w:w="2999" w:type="dxa"/>
            <w:tcBorders>
              <w:left w:val="single" w:sz="4" w:space="0" w:color="E6E6E6"/>
              <w:right w:val="single" w:sz="4" w:space="0" w:color="E6E6E6"/>
            </w:tcBorders>
          </w:tcPr>
          <w:p>
            <w:pPr>
              <w:pStyle w:val="TableParagraph"/>
              <w:spacing w:before="123"/>
              <w:ind w:left="103"/>
              <w:rPr>
                <w:sz w:val="17"/>
              </w:rPr>
            </w:pPr>
            <w:r>
              <w:rPr>
                <w:w w:val="70"/>
                <w:sz w:val="17"/>
              </w:rPr>
              <w:t>Saldo</w:t>
            </w:r>
            <w:r>
              <w:rPr>
                <w:spacing w:val="-9"/>
                <w:sz w:val="17"/>
              </w:rPr>
              <w:t> </w:t>
            </w:r>
            <w:r>
              <w:rPr>
                <w:w w:val="70"/>
                <w:sz w:val="17"/>
              </w:rPr>
              <w:t>al</w:t>
            </w:r>
            <w:r>
              <w:rPr>
                <w:spacing w:val="-8"/>
                <w:sz w:val="17"/>
              </w:rPr>
              <w:t> </w:t>
            </w:r>
            <w:r>
              <w:rPr>
                <w:w w:val="70"/>
                <w:sz w:val="17"/>
              </w:rPr>
              <w:t>31</w:t>
            </w:r>
            <w:r>
              <w:rPr>
                <w:spacing w:val="-8"/>
                <w:sz w:val="17"/>
              </w:rPr>
              <w:t> </w:t>
            </w:r>
            <w:r>
              <w:rPr>
                <w:w w:val="70"/>
                <w:sz w:val="17"/>
              </w:rPr>
              <w:t>de</w:t>
            </w:r>
            <w:r>
              <w:rPr>
                <w:spacing w:val="-9"/>
                <w:sz w:val="17"/>
              </w:rPr>
              <w:t> </w:t>
            </w:r>
            <w:r>
              <w:rPr>
                <w:w w:val="70"/>
                <w:sz w:val="17"/>
              </w:rPr>
              <w:t>diciembre</w:t>
            </w:r>
            <w:r>
              <w:rPr>
                <w:spacing w:val="-9"/>
                <w:sz w:val="17"/>
              </w:rPr>
              <w:t> </w:t>
            </w:r>
            <w:r>
              <w:rPr>
                <w:w w:val="70"/>
                <w:sz w:val="17"/>
              </w:rPr>
              <w:t>de</w:t>
            </w:r>
            <w:r>
              <w:rPr>
                <w:spacing w:val="-9"/>
                <w:sz w:val="17"/>
              </w:rPr>
              <w:t> </w:t>
            </w:r>
            <w:r>
              <w:rPr>
                <w:spacing w:val="-4"/>
                <w:w w:val="70"/>
                <w:sz w:val="17"/>
              </w:rPr>
              <w:t>2025</w:t>
            </w:r>
          </w:p>
        </w:tc>
        <w:tc>
          <w:tcPr>
            <w:tcW w:w="902" w:type="dxa"/>
            <w:tcBorders>
              <w:left w:val="single" w:sz="4" w:space="0" w:color="E6E6E6"/>
              <w:right w:val="single" w:sz="4" w:space="0" w:color="E6E6E6"/>
            </w:tcBorders>
          </w:tcPr>
          <w:p>
            <w:pPr>
              <w:pStyle w:val="TableParagraph"/>
              <w:spacing w:before="123"/>
              <w:ind w:left="119"/>
              <w:rPr>
                <w:sz w:val="17"/>
              </w:rPr>
            </w:pPr>
            <w:r>
              <w:rPr>
                <w:spacing w:val="-2"/>
                <w:w w:val="80"/>
                <w:sz w:val="17"/>
              </w:rPr>
              <w:t>1.238.147,79</w:t>
            </w:r>
          </w:p>
        </w:tc>
      </w:tr>
      <w:tr>
        <w:trPr>
          <w:trHeight w:val="546" w:hRule="atLeast"/>
        </w:trPr>
        <w:tc>
          <w:tcPr>
            <w:tcW w:w="2999" w:type="dxa"/>
            <w:tcBorders>
              <w:left w:val="single" w:sz="4" w:space="0" w:color="E6E6E6"/>
              <w:right w:val="single" w:sz="4" w:space="0" w:color="E6E6E6"/>
            </w:tcBorders>
          </w:tcPr>
          <w:p>
            <w:pPr>
              <w:pStyle w:val="TableParagraph"/>
              <w:spacing w:before="123"/>
              <w:ind w:left="103"/>
              <w:rPr>
                <w:sz w:val="17"/>
              </w:rPr>
            </w:pPr>
            <w:r>
              <w:rPr>
                <w:w w:val="70"/>
                <w:sz w:val="17"/>
              </w:rPr>
              <w:t>Incrementos</w:t>
            </w:r>
            <w:r>
              <w:rPr>
                <w:spacing w:val="-6"/>
                <w:sz w:val="17"/>
              </w:rPr>
              <w:t> </w:t>
            </w:r>
            <w:r>
              <w:rPr>
                <w:w w:val="70"/>
                <w:sz w:val="17"/>
              </w:rPr>
              <w:t>reconocidos</w:t>
            </w:r>
            <w:r>
              <w:rPr>
                <w:spacing w:val="-6"/>
                <w:sz w:val="17"/>
              </w:rPr>
              <w:t> </w:t>
            </w:r>
            <w:r>
              <w:rPr>
                <w:w w:val="70"/>
                <w:sz w:val="17"/>
              </w:rPr>
              <w:t>de</w:t>
            </w:r>
            <w:r>
              <w:rPr>
                <w:spacing w:val="-7"/>
                <w:sz w:val="17"/>
              </w:rPr>
              <w:t> </w:t>
            </w:r>
            <w:r>
              <w:rPr>
                <w:w w:val="70"/>
                <w:sz w:val="17"/>
              </w:rPr>
              <w:t>enero</w:t>
            </w:r>
            <w:r>
              <w:rPr>
                <w:spacing w:val="-7"/>
                <w:sz w:val="17"/>
              </w:rPr>
              <w:t> </w:t>
            </w:r>
            <w:r>
              <w:rPr>
                <w:w w:val="70"/>
                <w:sz w:val="17"/>
              </w:rPr>
              <w:t>a</w:t>
            </w:r>
            <w:r>
              <w:rPr>
                <w:spacing w:val="-7"/>
                <w:sz w:val="17"/>
              </w:rPr>
              <w:t> </w:t>
            </w:r>
            <w:r>
              <w:rPr>
                <w:w w:val="70"/>
                <w:sz w:val="17"/>
              </w:rPr>
              <w:t>julio</w:t>
            </w:r>
            <w:r>
              <w:rPr>
                <w:spacing w:val="-7"/>
                <w:sz w:val="17"/>
              </w:rPr>
              <w:t> </w:t>
            </w:r>
            <w:r>
              <w:rPr>
                <w:w w:val="70"/>
                <w:sz w:val="17"/>
              </w:rPr>
              <w:t>de</w:t>
            </w:r>
            <w:r>
              <w:rPr>
                <w:spacing w:val="-7"/>
                <w:sz w:val="17"/>
              </w:rPr>
              <w:t> </w:t>
            </w:r>
            <w:r>
              <w:rPr>
                <w:spacing w:val="-4"/>
                <w:w w:val="70"/>
                <w:sz w:val="17"/>
              </w:rPr>
              <w:t>2026</w:t>
            </w:r>
          </w:p>
        </w:tc>
        <w:tc>
          <w:tcPr>
            <w:tcW w:w="902" w:type="dxa"/>
            <w:tcBorders>
              <w:left w:val="single" w:sz="4" w:space="0" w:color="E6E6E6"/>
              <w:right w:val="single" w:sz="4" w:space="0" w:color="E6E6E6"/>
            </w:tcBorders>
          </w:tcPr>
          <w:p>
            <w:pPr>
              <w:pStyle w:val="TableParagraph"/>
              <w:spacing w:before="123"/>
              <w:ind w:left="119"/>
              <w:rPr>
                <w:sz w:val="17"/>
              </w:rPr>
            </w:pPr>
            <w:r>
              <w:rPr>
                <w:spacing w:val="-2"/>
                <w:w w:val="80"/>
                <w:sz w:val="17"/>
              </w:rPr>
              <w:t>799.581,47</w:t>
            </w:r>
          </w:p>
        </w:tc>
      </w:tr>
      <w:tr>
        <w:trPr>
          <w:trHeight w:val="549" w:hRule="atLeast"/>
        </w:trPr>
        <w:tc>
          <w:tcPr>
            <w:tcW w:w="2999" w:type="dxa"/>
            <w:tcBorders>
              <w:left w:val="single" w:sz="4" w:space="0" w:color="E6E6E6"/>
              <w:bottom w:val="double" w:sz="6" w:space="0" w:color="E6E6E6"/>
              <w:right w:val="single" w:sz="4" w:space="0" w:color="E6E6E6"/>
            </w:tcBorders>
          </w:tcPr>
          <w:p>
            <w:pPr>
              <w:pStyle w:val="TableParagraph"/>
              <w:spacing w:before="123"/>
              <w:ind w:left="103"/>
              <w:rPr>
                <w:sz w:val="17"/>
              </w:rPr>
            </w:pPr>
            <w:r>
              <w:rPr>
                <w:w w:val="70"/>
                <w:sz w:val="17"/>
              </w:rPr>
              <w:t>Disminuciones</w:t>
            </w:r>
            <w:r>
              <w:rPr>
                <w:spacing w:val="-7"/>
                <w:sz w:val="17"/>
              </w:rPr>
              <w:t> </w:t>
            </w:r>
            <w:r>
              <w:rPr>
                <w:w w:val="70"/>
                <w:sz w:val="17"/>
              </w:rPr>
              <w:t>y</w:t>
            </w:r>
            <w:r>
              <w:rPr>
                <w:spacing w:val="-8"/>
                <w:sz w:val="17"/>
              </w:rPr>
              <w:t> </w:t>
            </w:r>
            <w:r>
              <w:rPr>
                <w:w w:val="70"/>
                <w:sz w:val="17"/>
              </w:rPr>
              <w:t>pagos</w:t>
            </w:r>
            <w:r>
              <w:rPr>
                <w:spacing w:val="-7"/>
                <w:sz w:val="17"/>
              </w:rPr>
              <w:t> </w:t>
            </w:r>
            <w:r>
              <w:rPr>
                <w:w w:val="70"/>
                <w:sz w:val="17"/>
              </w:rPr>
              <w:t>aplicados</w:t>
            </w:r>
            <w:r>
              <w:rPr>
                <w:spacing w:val="-6"/>
                <w:sz w:val="17"/>
              </w:rPr>
              <w:t> </w:t>
            </w:r>
            <w:r>
              <w:rPr>
                <w:w w:val="70"/>
                <w:sz w:val="17"/>
              </w:rPr>
              <w:t>de</w:t>
            </w:r>
            <w:r>
              <w:rPr>
                <w:spacing w:val="-8"/>
                <w:sz w:val="17"/>
              </w:rPr>
              <w:t> </w:t>
            </w:r>
            <w:r>
              <w:rPr>
                <w:w w:val="70"/>
                <w:sz w:val="17"/>
              </w:rPr>
              <w:t>enero</w:t>
            </w:r>
            <w:r>
              <w:rPr>
                <w:spacing w:val="-8"/>
                <w:sz w:val="17"/>
              </w:rPr>
              <w:t> </w:t>
            </w:r>
            <w:r>
              <w:rPr>
                <w:w w:val="70"/>
                <w:sz w:val="17"/>
              </w:rPr>
              <w:t>a</w:t>
            </w:r>
            <w:r>
              <w:rPr>
                <w:spacing w:val="-7"/>
                <w:sz w:val="17"/>
              </w:rPr>
              <w:t> </w:t>
            </w:r>
            <w:r>
              <w:rPr>
                <w:w w:val="70"/>
                <w:sz w:val="17"/>
              </w:rPr>
              <w:t>julio</w:t>
            </w:r>
            <w:r>
              <w:rPr>
                <w:spacing w:val="-8"/>
                <w:sz w:val="17"/>
              </w:rPr>
              <w:t> </w:t>
            </w:r>
            <w:r>
              <w:rPr>
                <w:w w:val="70"/>
                <w:sz w:val="17"/>
              </w:rPr>
              <w:t>de</w:t>
            </w:r>
            <w:r>
              <w:rPr>
                <w:spacing w:val="-8"/>
                <w:sz w:val="17"/>
              </w:rPr>
              <w:t> </w:t>
            </w:r>
            <w:r>
              <w:rPr>
                <w:spacing w:val="-4"/>
                <w:w w:val="70"/>
                <w:sz w:val="17"/>
              </w:rPr>
              <w:t>2026</w:t>
            </w:r>
          </w:p>
        </w:tc>
        <w:tc>
          <w:tcPr>
            <w:tcW w:w="902" w:type="dxa"/>
            <w:tcBorders>
              <w:left w:val="single" w:sz="4" w:space="0" w:color="E6E6E6"/>
              <w:right w:val="single" w:sz="4" w:space="0" w:color="E6E6E6"/>
            </w:tcBorders>
          </w:tcPr>
          <w:p>
            <w:pPr>
              <w:pStyle w:val="TableParagraph"/>
              <w:spacing w:before="123"/>
              <w:ind w:left="119"/>
              <w:rPr>
                <w:sz w:val="17"/>
              </w:rPr>
            </w:pPr>
            <w:r>
              <w:rPr>
                <w:spacing w:val="-2"/>
                <w:w w:val="80"/>
                <w:sz w:val="17"/>
              </w:rPr>
              <w:t>(1.255.401,67)</w:t>
            </w:r>
          </w:p>
        </w:tc>
      </w:tr>
      <w:tr>
        <w:trPr>
          <w:trHeight w:val="522" w:hRule="atLeast"/>
        </w:trPr>
        <w:tc>
          <w:tcPr>
            <w:tcW w:w="2999" w:type="dxa"/>
            <w:tcBorders>
              <w:top w:val="double" w:sz="6" w:space="0" w:color="E6E6E6"/>
              <w:left w:val="single" w:sz="4" w:space="0" w:color="E6E6E6"/>
              <w:right w:val="single" w:sz="4" w:space="0" w:color="E6E6E6"/>
            </w:tcBorders>
            <w:shd w:val="clear" w:color="auto" w:fill="F5F5F5"/>
          </w:tcPr>
          <w:p>
            <w:pPr>
              <w:pStyle w:val="TableParagraph"/>
              <w:spacing w:before="101"/>
              <w:ind w:left="103"/>
              <w:rPr>
                <w:b/>
                <w:sz w:val="17"/>
              </w:rPr>
            </w:pPr>
            <w:r>
              <w:rPr>
                <w:b/>
                <w:w w:val="70"/>
                <w:sz w:val="17"/>
              </w:rPr>
              <w:t>Saldo</w:t>
            </w:r>
            <w:r>
              <w:rPr>
                <w:b/>
                <w:spacing w:val="-10"/>
                <w:sz w:val="17"/>
              </w:rPr>
              <w:t> </w:t>
            </w:r>
            <w:r>
              <w:rPr>
                <w:b/>
                <w:w w:val="70"/>
                <w:sz w:val="17"/>
              </w:rPr>
              <w:t>al</w:t>
            </w:r>
            <w:r>
              <w:rPr>
                <w:b/>
                <w:spacing w:val="-9"/>
                <w:sz w:val="17"/>
              </w:rPr>
              <w:t> </w:t>
            </w:r>
            <w:r>
              <w:rPr>
                <w:b/>
                <w:w w:val="70"/>
                <w:sz w:val="17"/>
              </w:rPr>
              <w:t>31</w:t>
            </w:r>
            <w:r>
              <w:rPr>
                <w:b/>
                <w:spacing w:val="-9"/>
                <w:sz w:val="17"/>
              </w:rPr>
              <w:t> </w:t>
            </w:r>
            <w:r>
              <w:rPr>
                <w:b/>
                <w:w w:val="70"/>
                <w:sz w:val="17"/>
              </w:rPr>
              <w:t>de</w:t>
            </w:r>
            <w:r>
              <w:rPr>
                <w:b/>
                <w:spacing w:val="-8"/>
                <w:sz w:val="17"/>
              </w:rPr>
              <w:t> </w:t>
            </w:r>
            <w:r>
              <w:rPr>
                <w:b/>
                <w:w w:val="70"/>
                <w:sz w:val="17"/>
              </w:rPr>
              <w:t>julio</w:t>
            </w:r>
            <w:r>
              <w:rPr>
                <w:b/>
                <w:spacing w:val="-9"/>
                <w:sz w:val="17"/>
              </w:rPr>
              <w:t> </w:t>
            </w:r>
            <w:r>
              <w:rPr>
                <w:b/>
                <w:w w:val="70"/>
                <w:sz w:val="17"/>
              </w:rPr>
              <w:t>de</w:t>
            </w:r>
            <w:r>
              <w:rPr>
                <w:b/>
                <w:spacing w:val="-9"/>
                <w:sz w:val="17"/>
              </w:rPr>
              <w:t> </w:t>
            </w:r>
            <w:r>
              <w:rPr>
                <w:b/>
                <w:spacing w:val="-4"/>
                <w:w w:val="70"/>
                <w:sz w:val="17"/>
              </w:rPr>
              <w:t>2026</w:t>
            </w:r>
          </w:p>
        </w:tc>
        <w:tc>
          <w:tcPr>
            <w:tcW w:w="902" w:type="dxa"/>
            <w:tcBorders>
              <w:left w:val="single" w:sz="4" w:space="0" w:color="E6E6E6"/>
              <w:right w:val="single" w:sz="4" w:space="0" w:color="E6E6E6"/>
            </w:tcBorders>
          </w:tcPr>
          <w:p>
            <w:pPr>
              <w:pStyle w:val="TableParagraph"/>
              <w:spacing w:before="101"/>
              <w:ind w:left="119"/>
              <w:rPr>
                <w:b/>
                <w:sz w:val="17"/>
              </w:rPr>
            </w:pPr>
            <w:r>
              <w:rPr>
                <w:b/>
                <w:spacing w:val="-2"/>
                <w:w w:val="80"/>
                <w:sz w:val="17"/>
              </w:rPr>
              <w:t>782.327,59</w:t>
            </w:r>
          </w:p>
        </w:tc>
      </w:tr>
    </w:tbl>
    <w:p>
      <w:pPr>
        <w:pStyle w:val="BodyText"/>
      </w:pPr>
    </w:p>
    <w:p>
      <w:pPr>
        <w:pStyle w:val="BodyText"/>
        <w:spacing w:before="62"/>
      </w:pPr>
    </w:p>
    <w:p>
      <w:pPr>
        <w:pStyle w:val="BodyText"/>
        <w:spacing w:line="259" w:lineRule="auto"/>
        <w:ind w:left="730" w:right="721"/>
        <w:jc w:val="both"/>
      </w:pPr>
      <w:r>
        <w:rPr/>
        <w:t>Los</w:t>
      </w:r>
      <w:r>
        <w:rPr>
          <w:spacing w:val="-14"/>
        </w:rPr>
        <w:t> </w:t>
      </w:r>
      <w:r>
        <w:rPr/>
        <w:t>incrementos</w:t>
      </w:r>
      <w:r>
        <w:rPr>
          <w:spacing w:val="-14"/>
        </w:rPr>
        <w:t> </w:t>
      </w:r>
      <w:r>
        <w:rPr/>
        <w:t>acumulados</w:t>
      </w:r>
      <w:r>
        <w:rPr>
          <w:spacing w:val="-14"/>
        </w:rPr>
        <w:t> </w:t>
      </w:r>
      <w:r>
        <w:rPr/>
        <w:t>corresponden</w:t>
      </w:r>
      <w:r>
        <w:rPr>
          <w:spacing w:val="-13"/>
        </w:rPr>
        <w:t> </w:t>
      </w:r>
      <w:r>
        <w:rPr/>
        <w:t>al</w:t>
      </w:r>
      <w:r>
        <w:rPr>
          <w:spacing w:val="-14"/>
        </w:rPr>
        <w:t> </w:t>
      </w:r>
      <w:r>
        <w:rPr/>
        <w:t>reconocimiento</w:t>
      </w:r>
      <w:r>
        <w:rPr>
          <w:spacing w:val="-14"/>
        </w:rPr>
        <w:t> </w:t>
      </w:r>
      <w:r>
        <w:rPr/>
        <w:t>mensual</w:t>
      </w:r>
      <w:r>
        <w:rPr>
          <w:spacing w:val="-14"/>
        </w:rPr>
        <w:t> </w:t>
      </w:r>
      <w:r>
        <w:rPr/>
        <w:t>del</w:t>
      </w:r>
      <w:r>
        <w:rPr>
          <w:spacing w:val="-13"/>
        </w:rPr>
        <w:t> </w:t>
      </w:r>
      <w:r>
        <w:rPr/>
        <w:t>gasto</w:t>
      </w:r>
      <w:r>
        <w:rPr>
          <w:spacing w:val="-14"/>
        </w:rPr>
        <w:t> </w:t>
      </w:r>
      <w:r>
        <w:rPr/>
        <w:t>y</w:t>
      </w:r>
      <w:r>
        <w:rPr>
          <w:spacing w:val="-14"/>
        </w:rPr>
        <w:t> </w:t>
      </w:r>
      <w:r>
        <w:rPr/>
        <w:t>de</w:t>
      </w:r>
      <w:r>
        <w:rPr>
          <w:spacing w:val="-14"/>
        </w:rPr>
        <w:t> </w:t>
      </w:r>
      <w:r>
        <w:rPr/>
        <w:t>la</w:t>
      </w:r>
      <w:r>
        <w:rPr>
          <w:spacing w:val="-13"/>
        </w:rPr>
        <w:t> </w:t>
      </w:r>
      <w:r>
        <w:rPr/>
        <w:t>cuenta</w:t>
      </w:r>
      <w:r>
        <w:rPr>
          <w:spacing w:val="-14"/>
        </w:rPr>
        <w:t> </w:t>
      </w:r>
      <w:r>
        <w:rPr/>
        <w:t>por</w:t>
      </w:r>
      <w:r>
        <w:rPr>
          <w:spacing w:val="-14"/>
        </w:rPr>
        <w:t> </w:t>
      </w:r>
      <w:r>
        <w:rPr/>
        <w:t>pagar generado por los servicios prestados por las personas funcionarias. Las disminuciones representan los pagos y demás aplicaciones efectuadas contra la obligación durante el periodo.</w:t>
      </w:r>
    </w:p>
    <w:p>
      <w:pPr>
        <w:pStyle w:val="BodyText"/>
        <w:spacing w:before="162"/>
        <w:ind w:left="730"/>
      </w:pPr>
      <w:r>
        <w:rPr/>
        <w:t>Al</w:t>
      </w:r>
      <w:r>
        <w:rPr>
          <w:spacing w:val="42"/>
        </w:rPr>
        <w:t> </w:t>
      </w:r>
      <w:r>
        <w:rPr/>
        <w:t>31</w:t>
      </w:r>
      <w:r>
        <w:rPr>
          <w:spacing w:val="43"/>
        </w:rPr>
        <w:t> </w:t>
      </w:r>
      <w:r>
        <w:rPr/>
        <w:t>de</w:t>
      </w:r>
      <w:r>
        <w:rPr>
          <w:spacing w:val="43"/>
        </w:rPr>
        <w:t> </w:t>
      </w:r>
      <w:r>
        <w:rPr/>
        <w:t>julio</w:t>
      </w:r>
      <w:r>
        <w:rPr>
          <w:spacing w:val="45"/>
        </w:rPr>
        <w:t> </w:t>
      </w:r>
      <w:r>
        <w:rPr/>
        <w:t>de</w:t>
      </w:r>
      <w:r>
        <w:rPr>
          <w:spacing w:val="43"/>
        </w:rPr>
        <w:t> </w:t>
      </w:r>
      <w:r>
        <w:rPr/>
        <w:t>2026,</w:t>
      </w:r>
      <w:r>
        <w:rPr>
          <w:spacing w:val="45"/>
        </w:rPr>
        <w:t> </w:t>
      </w:r>
      <w:r>
        <w:rPr/>
        <w:t>la</w:t>
      </w:r>
      <w:r>
        <w:rPr>
          <w:spacing w:val="44"/>
        </w:rPr>
        <w:t> </w:t>
      </w:r>
      <w:r>
        <w:rPr/>
        <w:t>Institución</w:t>
      </w:r>
      <w:r>
        <w:rPr>
          <w:spacing w:val="45"/>
        </w:rPr>
        <w:t> </w:t>
      </w:r>
      <w:r>
        <w:rPr/>
        <w:t>mantiene</w:t>
      </w:r>
      <w:r>
        <w:rPr>
          <w:spacing w:val="43"/>
        </w:rPr>
        <w:t> </w:t>
      </w:r>
      <w:r>
        <w:rPr/>
        <w:t>una</w:t>
      </w:r>
      <w:r>
        <w:rPr>
          <w:spacing w:val="44"/>
        </w:rPr>
        <w:t> </w:t>
      </w:r>
      <w:r>
        <w:rPr/>
        <w:t>obligación</w:t>
      </w:r>
      <w:r>
        <w:rPr>
          <w:spacing w:val="45"/>
        </w:rPr>
        <w:t> </w:t>
      </w:r>
      <w:r>
        <w:rPr/>
        <w:t>acumulada</w:t>
      </w:r>
      <w:r>
        <w:rPr>
          <w:spacing w:val="43"/>
        </w:rPr>
        <w:t> </w:t>
      </w:r>
      <w:r>
        <w:rPr/>
        <w:t>por</w:t>
      </w:r>
      <w:r>
        <w:rPr>
          <w:spacing w:val="44"/>
        </w:rPr>
        <w:t> </w:t>
      </w:r>
      <w:r>
        <w:rPr/>
        <w:t>salario</w:t>
      </w:r>
      <w:r>
        <w:rPr>
          <w:spacing w:val="45"/>
        </w:rPr>
        <w:t> </w:t>
      </w:r>
      <w:r>
        <w:rPr/>
        <w:t>escolar</w:t>
      </w:r>
      <w:r>
        <w:rPr>
          <w:spacing w:val="45"/>
        </w:rPr>
        <w:t> </w:t>
      </w:r>
      <w:r>
        <w:rPr>
          <w:spacing w:val="-5"/>
        </w:rPr>
        <w:t>de</w:t>
      </w:r>
    </w:p>
    <w:p>
      <w:pPr>
        <w:pStyle w:val="BodyText"/>
        <w:spacing w:line="259" w:lineRule="auto" w:before="19"/>
        <w:ind w:left="730" w:right="726"/>
        <w:jc w:val="both"/>
      </w:pPr>
      <w:r>
        <w:rPr>
          <w:rFonts w:ascii="Times New Roman" w:hAnsi="Times New Roman"/>
        </w:rPr>
        <w:t>₡</w:t>
      </w:r>
      <w:r>
        <w:rPr/>
        <w:t>782.327,59 miles, presentada dentro de las cuentas por pagar por beneficios a los empleados a corto plazo. El saldo representa el importe devengado y pendiente de pago a esa fecha.</w:t>
      </w:r>
    </w:p>
    <w:p>
      <w:pPr>
        <w:pStyle w:val="BodyText"/>
        <w:spacing w:line="259" w:lineRule="auto" w:before="161"/>
        <w:ind w:left="730" w:right="724"/>
        <w:jc w:val="both"/>
      </w:pPr>
      <w:r>
        <w:rPr/>
        <w:t>De acuerdo con las políticas contables institucionales, la obligación se actualiza mensualmente con la información</w:t>
      </w:r>
      <w:r>
        <w:rPr>
          <w:spacing w:val="-12"/>
        </w:rPr>
        <w:t> </w:t>
      </w:r>
      <w:r>
        <w:rPr/>
        <w:t>suministrada</w:t>
      </w:r>
      <w:r>
        <w:rPr>
          <w:spacing w:val="-10"/>
        </w:rPr>
        <w:t> </w:t>
      </w:r>
      <w:r>
        <w:rPr/>
        <w:t>por</w:t>
      </w:r>
      <w:r>
        <w:rPr>
          <w:spacing w:val="-10"/>
        </w:rPr>
        <w:t> </w:t>
      </w:r>
      <w:r>
        <w:rPr/>
        <w:t>Desarrollo</w:t>
      </w:r>
      <w:r>
        <w:rPr>
          <w:spacing w:val="-11"/>
        </w:rPr>
        <w:t> </w:t>
      </w:r>
      <w:r>
        <w:rPr/>
        <w:t>Humano</w:t>
      </w:r>
      <w:r>
        <w:rPr>
          <w:spacing w:val="-9"/>
        </w:rPr>
        <w:t> </w:t>
      </w:r>
      <w:r>
        <w:rPr/>
        <w:t>y</w:t>
      </w:r>
      <w:r>
        <w:rPr>
          <w:spacing w:val="-13"/>
        </w:rPr>
        <w:t> </w:t>
      </w:r>
      <w:r>
        <w:rPr/>
        <w:t>se</w:t>
      </w:r>
      <w:r>
        <w:rPr>
          <w:spacing w:val="-13"/>
        </w:rPr>
        <w:t> </w:t>
      </w:r>
      <w:r>
        <w:rPr/>
        <w:t>ajustará</w:t>
      </w:r>
      <w:r>
        <w:rPr>
          <w:spacing w:val="-10"/>
        </w:rPr>
        <w:t> </w:t>
      </w:r>
      <w:r>
        <w:rPr/>
        <w:t>en</w:t>
      </w:r>
      <w:r>
        <w:rPr>
          <w:spacing w:val="-9"/>
        </w:rPr>
        <w:t> </w:t>
      </w:r>
      <w:r>
        <w:rPr/>
        <w:t>enero</w:t>
      </w:r>
      <w:r>
        <w:rPr>
          <w:spacing w:val="-11"/>
        </w:rPr>
        <w:t> </w:t>
      </w:r>
      <w:r>
        <w:rPr/>
        <w:t>de</w:t>
      </w:r>
      <w:r>
        <w:rPr>
          <w:spacing w:val="-11"/>
        </w:rPr>
        <w:t> </w:t>
      </w:r>
      <w:r>
        <w:rPr/>
        <w:t>2027</w:t>
      </w:r>
      <w:r>
        <w:rPr>
          <w:spacing w:val="-11"/>
        </w:rPr>
        <w:t> </w:t>
      </w:r>
      <w:r>
        <w:rPr/>
        <w:t>con</w:t>
      </w:r>
      <w:r>
        <w:rPr>
          <w:spacing w:val="-9"/>
        </w:rPr>
        <w:t> </w:t>
      </w:r>
      <w:r>
        <w:rPr/>
        <w:t>base</w:t>
      </w:r>
      <w:r>
        <w:rPr>
          <w:spacing w:val="-11"/>
        </w:rPr>
        <w:t> </w:t>
      </w:r>
      <w:r>
        <w:rPr/>
        <w:t>en</w:t>
      </w:r>
      <w:r>
        <w:rPr>
          <w:spacing w:val="-9"/>
        </w:rPr>
        <w:t> </w:t>
      </w:r>
      <w:r>
        <w:rPr/>
        <w:t>el</w:t>
      </w:r>
      <w:r>
        <w:rPr>
          <w:spacing w:val="-10"/>
        </w:rPr>
        <w:t> </w:t>
      </w:r>
      <w:r>
        <w:rPr/>
        <w:t>importe efectivamente pagado.</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4128">
                <wp:simplePos x="0" y="0"/>
                <wp:positionH relativeFrom="page">
                  <wp:posOffset>9525</wp:posOffset>
                </wp:positionH>
                <wp:positionV relativeFrom="page">
                  <wp:posOffset>297208</wp:posOffset>
                </wp:positionV>
                <wp:extent cx="7762875" cy="9748520"/>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7762875" cy="9748520"/>
                          <a:chExt cx="7762875" cy="9748520"/>
                        </a:xfrm>
                      </wpg:grpSpPr>
                      <pic:pic>
                        <pic:nvPicPr>
                          <pic:cNvPr id="370" name="Image 370"/>
                          <pic:cNvPicPr/>
                        </pic:nvPicPr>
                        <pic:blipFill>
                          <a:blip r:embed="rId5" cstate="print"/>
                          <a:stretch>
                            <a:fillRect/>
                          </a:stretch>
                        </pic:blipFill>
                        <pic:spPr>
                          <a:xfrm>
                            <a:off x="0" y="0"/>
                            <a:ext cx="7762874" cy="9748489"/>
                          </a:xfrm>
                          <a:prstGeom prst="rect">
                            <a:avLst/>
                          </a:prstGeom>
                        </pic:spPr>
                      </pic:pic>
                      <wps:wsp>
                        <wps:cNvPr id="371" name="Graphic 37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2352" id="docshapegroup350" coordorigin="15,468" coordsize="12225,15352">
                <v:shape style="position:absolute;left:15;top:468;width:12225;height:15352" type="#_x0000_t75" id="docshape351" stroked="false">
                  <v:imagedata r:id="rId5" o:title=""/>
                </v:shape>
                <v:rect style="position:absolute;left:1673;top:2028;width:8897;height:15" id="docshape352"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89056">
                <wp:simplePos x="0" y="0"/>
                <wp:positionH relativeFrom="page">
                  <wp:posOffset>1039672</wp:posOffset>
                </wp:positionH>
                <wp:positionV relativeFrom="paragraph">
                  <wp:posOffset>316229</wp:posOffset>
                </wp:positionV>
                <wp:extent cx="5927090" cy="753110"/>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5927090" cy="753110"/>
                        </a:xfrm>
                        <a:prstGeom prst="rect">
                          <a:avLst/>
                        </a:prstGeom>
                      </wps:spPr>
                      <wps:txbx>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
                              <w:gridCol w:w="843"/>
                              <w:gridCol w:w="3182"/>
                              <w:gridCol w:w="534"/>
                              <w:gridCol w:w="1562"/>
                              <w:gridCol w:w="1581"/>
                              <w:gridCol w:w="1274"/>
                              <w:gridCol w:w="119"/>
                            </w:tblGrid>
                            <w:tr>
                              <w:trPr>
                                <w:trHeight w:val="310" w:hRule="atLeast"/>
                              </w:trPr>
                              <w:tc>
                                <w:tcPr>
                                  <w:tcW w:w="118" w:type="dxa"/>
                                  <w:vMerge w:val="restart"/>
                                  <w:tcBorders>
                                    <w:top w:val="single" w:sz="4" w:space="0" w:color="000000"/>
                                    <w:left w:val="single" w:sz="4" w:space="0" w:color="000000"/>
                                  </w:tcBorders>
                                </w:tcPr>
                                <w:p>
                                  <w:pPr>
                                    <w:pStyle w:val="TableParagraph"/>
                                    <w:rPr>
                                      <w:rFonts w:ascii="Times New Roman"/>
                                      <w:sz w:val="20"/>
                                    </w:rPr>
                                  </w:pPr>
                                </w:p>
                              </w:tc>
                              <w:tc>
                                <w:tcPr>
                                  <w:tcW w:w="843"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3182"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534"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562"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581"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274" w:type="dxa"/>
                                  <w:tcBorders>
                                    <w:top w:val="single" w:sz="12" w:space="0" w:color="000000"/>
                                    <w:left w:val="single" w:sz="8" w:space="0" w:color="000000"/>
                                    <w:bottom w:val="single" w:sz="8" w:space="0" w:color="000000"/>
                                    <w:right w:val="single" w:sz="8" w:space="0" w:color="000000"/>
                                  </w:tcBorders>
                                  <w:shd w:val="clear" w:color="auto" w:fill="365F92"/>
                                </w:tcPr>
                                <w:p>
                                  <w:pPr>
                                    <w:pStyle w:val="TableParagraph"/>
                                    <w:spacing w:before="46"/>
                                    <w:ind w:left="2" w:right="9"/>
                                    <w:jc w:val="center"/>
                                    <w:rPr>
                                      <w:b/>
                                      <w:sz w:val="20"/>
                                    </w:rPr>
                                  </w:pPr>
                                  <w:r>
                                    <w:rPr>
                                      <w:b/>
                                      <w:color w:val="FFFFFF"/>
                                      <w:spacing w:val="-2"/>
                                      <w:sz w:val="20"/>
                                    </w:rPr>
                                    <w:t>Diferencia</w:t>
                                  </w:r>
                                </w:p>
                              </w:tc>
                              <w:tc>
                                <w:tcPr>
                                  <w:tcW w:w="119" w:type="dxa"/>
                                  <w:tcBorders>
                                    <w:top w:val="single" w:sz="4" w:space="0" w:color="000000"/>
                                    <w:left w:val="single" w:sz="8" w:space="0" w:color="000000"/>
                                    <w:right w:val="single" w:sz="4" w:space="0" w:color="000000"/>
                                  </w:tcBorders>
                                </w:tcPr>
                                <w:p>
                                  <w:pPr>
                                    <w:pStyle w:val="TableParagraph"/>
                                    <w:rPr>
                                      <w:rFonts w:ascii="Times New Roman"/>
                                      <w:sz w:val="20"/>
                                    </w:rPr>
                                  </w:pPr>
                                </w:p>
                              </w:tc>
                            </w:tr>
                            <w:tr>
                              <w:trPr>
                                <w:trHeight w:val="80" w:hRule="atLeast"/>
                              </w:trPr>
                              <w:tc>
                                <w:tcPr>
                                  <w:tcW w:w="118" w:type="dxa"/>
                                  <w:vMerge/>
                                  <w:tcBorders>
                                    <w:top w:val="nil"/>
                                    <w:left w:val="single" w:sz="4" w:space="0" w:color="000000"/>
                                  </w:tcBorders>
                                </w:tcPr>
                                <w:p>
                                  <w:pPr>
                                    <w:rPr>
                                      <w:sz w:val="2"/>
                                      <w:szCs w:val="2"/>
                                    </w:rPr>
                                  </w:pPr>
                                </w:p>
                              </w:tc>
                              <w:tc>
                                <w:tcPr>
                                  <w:tcW w:w="843" w:type="dxa"/>
                                  <w:shd w:val="clear" w:color="auto" w:fill="365F92"/>
                                </w:tcPr>
                                <w:p>
                                  <w:pPr>
                                    <w:pStyle w:val="TableParagraph"/>
                                    <w:rPr>
                                      <w:rFonts w:ascii="Times New Roman"/>
                                      <w:sz w:val="2"/>
                                    </w:rPr>
                                  </w:pPr>
                                </w:p>
                              </w:tc>
                              <w:tc>
                                <w:tcPr>
                                  <w:tcW w:w="3182" w:type="dxa"/>
                                  <w:shd w:val="clear" w:color="auto" w:fill="365F92"/>
                                </w:tcPr>
                                <w:p>
                                  <w:pPr>
                                    <w:pStyle w:val="TableParagraph"/>
                                    <w:rPr>
                                      <w:rFonts w:ascii="Times New Roman"/>
                                      <w:sz w:val="2"/>
                                    </w:rPr>
                                  </w:pPr>
                                </w:p>
                              </w:tc>
                              <w:tc>
                                <w:tcPr>
                                  <w:tcW w:w="534" w:type="dxa"/>
                                  <w:shd w:val="clear" w:color="auto" w:fill="365F92"/>
                                </w:tcPr>
                                <w:p>
                                  <w:pPr>
                                    <w:pStyle w:val="TableParagraph"/>
                                    <w:rPr>
                                      <w:rFonts w:ascii="Times New Roman"/>
                                      <w:sz w:val="2"/>
                                    </w:rPr>
                                  </w:pPr>
                                </w:p>
                              </w:tc>
                              <w:tc>
                                <w:tcPr>
                                  <w:tcW w:w="1562" w:type="dxa"/>
                                  <w:shd w:val="clear" w:color="auto" w:fill="365F92"/>
                                </w:tcPr>
                                <w:p>
                                  <w:pPr>
                                    <w:pStyle w:val="TableParagraph"/>
                                    <w:rPr>
                                      <w:rFonts w:ascii="Times New Roman"/>
                                      <w:sz w:val="2"/>
                                    </w:rPr>
                                  </w:pPr>
                                </w:p>
                              </w:tc>
                              <w:tc>
                                <w:tcPr>
                                  <w:tcW w:w="1581" w:type="dxa"/>
                                  <w:shd w:val="clear" w:color="auto" w:fill="365F92"/>
                                </w:tcPr>
                                <w:p>
                                  <w:pPr>
                                    <w:pStyle w:val="TableParagraph"/>
                                    <w:rPr>
                                      <w:rFonts w:ascii="Times New Roman"/>
                                      <w:sz w:val="2"/>
                                    </w:rPr>
                                  </w:pPr>
                                </w:p>
                              </w:tc>
                              <w:tc>
                                <w:tcPr>
                                  <w:tcW w:w="1274" w:type="dxa"/>
                                  <w:tcBorders>
                                    <w:top w:val="single" w:sz="8" w:space="0" w:color="000000"/>
                                    <w:right w:val="single" w:sz="8" w:space="0" w:color="000000"/>
                                  </w:tcBorders>
                                  <w:shd w:val="clear" w:color="auto" w:fill="365F92"/>
                                </w:tcPr>
                                <w:p>
                                  <w:pPr>
                                    <w:pStyle w:val="TableParagraph"/>
                                    <w:rPr>
                                      <w:rFonts w:ascii="Times New Roman"/>
                                      <w:sz w:val="2"/>
                                    </w:rPr>
                                  </w:pPr>
                                </w:p>
                              </w:tc>
                              <w:tc>
                                <w:tcPr>
                                  <w:tcW w:w="119" w:type="dxa"/>
                                  <w:vMerge w:val="restart"/>
                                  <w:tcBorders>
                                    <w:left w:val="single" w:sz="8" w:space="0" w:color="000000"/>
                                    <w:right w:val="single" w:sz="4" w:space="0" w:color="000000"/>
                                  </w:tcBorders>
                                </w:tcPr>
                                <w:p>
                                  <w:pPr>
                                    <w:pStyle w:val="TableParagraph"/>
                                    <w:rPr>
                                      <w:rFonts w:ascii="Times New Roman"/>
                                      <w:sz w:val="20"/>
                                    </w:rPr>
                                  </w:pPr>
                                </w:p>
                              </w:tc>
                            </w:tr>
                            <w:tr>
                              <w:trPr>
                                <w:trHeight w:val="218" w:hRule="atLeast"/>
                              </w:trPr>
                              <w:tc>
                                <w:tcPr>
                                  <w:tcW w:w="118" w:type="dxa"/>
                                  <w:vMerge/>
                                  <w:tcBorders>
                                    <w:top w:val="nil"/>
                                    <w:left w:val="single" w:sz="4" w:space="0" w:color="000000"/>
                                  </w:tcBorders>
                                </w:tcPr>
                                <w:p>
                                  <w:pPr>
                                    <w:rPr>
                                      <w:sz w:val="2"/>
                                      <w:szCs w:val="2"/>
                                    </w:rPr>
                                  </w:pPr>
                                </w:p>
                              </w:tc>
                              <w:tc>
                                <w:tcPr>
                                  <w:tcW w:w="843" w:type="dxa"/>
                                  <w:shd w:val="clear" w:color="auto" w:fill="365F92"/>
                                </w:tcPr>
                                <w:p>
                                  <w:pPr>
                                    <w:pStyle w:val="TableParagraph"/>
                                    <w:rPr>
                                      <w:rFonts w:ascii="Times New Roman"/>
                                      <w:sz w:val="14"/>
                                    </w:rPr>
                                  </w:pPr>
                                </w:p>
                              </w:tc>
                              <w:tc>
                                <w:tcPr>
                                  <w:tcW w:w="3182" w:type="dxa"/>
                                  <w:shd w:val="clear" w:color="auto" w:fill="365F92"/>
                                </w:tcPr>
                                <w:p>
                                  <w:pPr>
                                    <w:pStyle w:val="TableParagraph"/>
                                    <w:rPr>
                                      <w:rFonts w:ascii="Times New Roman"/>
                                      <w:sz w:val="14"/>
                                    </w:rPr>
                                  </w:pPr>
                                </w:p>
                              </w:tc>
                              <w:tc>
                                <w:tcPr>
                                  <w:tcW w:w="534" w:type="dxa"/>
                                  <w:shd w:val="clear" w:color="auto" w:fill="365F92"/>
                                </w:tcPr>
                                <w:p>
                                  <w:pPr>
                                    <w:pStyle w:val="TableParagraph"/>
                                    <w:rPr>
                                      <w:rFonts w:ascii="Times New Roman"/>
                                      <w:sz w:val="14"/>
                                    </w:rPr>
                                  </w:pPr>
                                </w:p>
                              </w:tc>
                              <w:tc>
                                <w:tcPr>
                                  <w:tcW w:w="1562" w:type="dxa"/>
                                  <w:shd w:val="clear" w:color="auto" w:fill="365F92"/>
                                </w:tcPr>
                                <w:p>
                                  <w:pPr>
                                    <w:pStyle w:val="TableParagraph"/>
                                    <w:rPr>
                                      <w:rFonts w:ascii="Times New Roman"/>
                                      <w:sz w:val="14"/>
                                    </w:rPr>
                                  </w:pPr>
                                </w:p>
                              </w:tc>
                              <w:tc>
                                <w:tcPr>
                                  <w:tcW w:w="1581" w:type="dxa"/>
                                  <w:shd w:val="clear" w:color="auto" w:fill="365F92"/>
                                </w:tcPr>
                                <w:p>
                                  <w:pPr>
                                    <w:pStyle w:val="TableParagraph"/>
                                    <w:rPr>
                                      <w:rFonts w:ascii="Times New Roman"/>
                                      <w:sz w:val="14"/>
                                    </w:rPr>
                                  </w:pPr>
                                </w:p>
                              </w:tc>
                              <w:tc>
                                <w:tcPr>
                                  <w:tcW w:w="1274" w:type="dxa"/>
                                  <w:tcBorders>
                                    <w:bottom w:val="single" w:sz="8" w:space="0" w:color="000000"/>
                                    <w:right w:val="single" w:sz="8" w:space="0" w:color="000000"/>
                                  </w:tcBorders>
                                  <w:shd w:val="clear" w:color="auto" w:fill="365F92"/>
                                </w:tcPr>
                                <w:p>
                                  <w:pPr>
                                    <w:pStyle w:val="TableParagraph"/>
                                    <w:spacing w:line="182" w:lineRule="exact"/>
                                    <w:jc w:val="center"/>
                                    <w:rPr>
                                      <w:sz w:val="20"/>
                                    </w:rPr>
                                  </w:pPr>
                                  <w:r>
                                    <w:rPr>
                                      <w:color w:val="FFFFFF"/>
                                      <w:spacing w:val="-10"/>
                                      <w:sz w:val="20"/>
                                    </w:rPr>
                                    <w:t>%</w:t>
                                  </w:r>
                                </w:p>
                              </w:tc>
                              <w:tc>
                                <w:tcPr>
                                  <w:tcW w:w="119" w:type="dxa"/>
                                  <w:vMerge/>
                                  <w:tcBorders>
                                    <w:top w:val="nil"/>
                                    <w:left w:val="single" w:sz="8" w:space="0" w:color="000000"/>
                                    <w:right w:val="single" w:sz="4" w:space="0" w:color="000000"/>
                                  </w:tcBorders>
                                </w:tcPr>
                                <w:p>
                                  <w:pPr>
                                    <w:rPr>
                                      <w:sz w:val="2"/>
                                      <w:szCs w:val="2"/>
                                    </w:rPr>
                                  </w:pPr>
                                </w:p>
                              </w:tc>
                            </w:tr>
                            <w:tr>
                              <w:trPr>
                                <w:trHeight w:val="478" w:hRule="atLeast"/>
                              </w:trPr>
                              <w:tc>
                                <w:tcPr>
                                  <w:tcW w:w="118" w:type="dxa"/>
                                  <w:tcBorders>
                                    <w:left w:val="single" w:sz="4" w:space="0" w:color="000000"/>
                                    <w:bottom w:val="single" w:sz="4" w:space="0" w:color="000000"/>
                                    <w:right w:val="single" w:sz="8" w:space="0" w:color="000000"/>
                                  </w:tcBorders>
                                </w:tcPr>
                                <w:p>
                                  <w:pPr>
                                    <w:pStyle w:val="TableParagraph"/>
                                    <w:rPr>
                                      <w:rFonts w:ascii="Times New Roman"/>
                                      <w:sz w:val="20"/>
                                    </w:rPr>
                                  </w:pPr>
                                </w:p>
                              </w:tc>
                              <w:tc>
                                <w:tcPr>
                                  <w:tcW w:w="843" w:type="dxa"/>
                                  <w:tcBorders>
                                    <w:left w:val="single" w:sz="8" w:space="0" w:color="000000"/>
                                    <w:bottom w:val="single" w:sz="12" w:space="0" w:color="000000"/>
                                    <w:right w:val="single" w:sz="8" w:space="0" w:color="000000"/>
                                  </w:tcBorders>
                                </w:tcPr>
                                <w:p>
                                  <w:pPr>
                                    <w:pStyle w:val="TableParagraph"/>
                                    <w:spacing w:before="121"/>
                                    <w:ind w:left="64"/>
                                    <w:rPr>
                                      <w:b/>
                                      <w:sz w:val="20"/>
                                    </w:rPr>
                                  </w:pPr>
                                  <w:r>
                                    <w:rPr>
                                      <w:b/>
                                      <w:spacing w:val="-2"/>
                                      <w:sz w:val="20"/>
                                    </w:rPr>
                                    <w:t>2.1.1.03.</w:t>
                                  </w:r>
                                </w:p>
                              </w:tc>
                              <w:tc>
                                <w:tcPr>
                                  <w:tcW w:w="3182" w:type="dxa"/>
                                  <w:tcBorders>
                                    <w:left w:val="single" w:sz="8" w:space="0" w:color="000000"/>
                                    <w:bottom w:val="single" w:sz="12" w:space="0" w:color="000000"/>
                                    <w:right w:val="single" w:sz="8" w:space="0" w:color="000000"/>
                                  </w:tcBorders>
                                </w:tcPr>
                                <w:p>
                                  <w:pPr>
                                    <w:pStyle w:val="TableParagraph"/>
                                    <w:spacing w:before="121"/>
                                    <w:ind w:left="63"/>
                                    <w:rPr>
                                      <w:b/>
                                      <w:sz w:val="20"/>
                                    </w:rPr>
                                  </w:pPr>
                                  <w:r>
                                    <w:rPr>
                                      <w:b/>
                                      <w:sz w:val="20"/>
                                    </w:rPr>
                                    <w:t>Transferencias</w:t>
                                  </w:r>
                                  <w:r>
                                    <w:rPr>
                                      <w:b/>
                                      <w:spacing w:val="-6"/>
                                      <w:sz w:val="20"/>
                                    </w:rPr>
                                    <w:t> </w:t>
                                  </w:r>
                                  <w:r>
                                    <w:rPr>
                                      <w:b/>
                                      <w:sz w:val="20"/>
                                    </w:rPr>
                                    <w:t>por</w:t>
                                  </w:r>
                                  <w:r>
                                    <w:rPr>
                                      <w:b/>
                                      <w:spacing w:val="-5"/>
                                      <w:sz w:val="20"/>
                                    </w:rPr>
                                    <w:t> </w:t>
                                  </w:r>
                                  <w:r>
                                    <w:rPr>
                                      <w:b/>
                                      <w:sz w:val="20"/>
                                    </w:rPr>
                                    <w:t>pagar</w:t>
                                  </w:r>
                                  <w:r>
                                    <w:rPr>
                                      <w:b/>
                                      <w:spacing w:val="-3"/>
                                      <w:sz w:val="20"/>
                                    </w:rPr>
                                    <w:t> </w:t>
                                  </w:r>
                                  <w:r>
                                    <w:rPr>
                                      <w:b/>
                                      <w:sz w:val="20"/>
                                    </w:rPr>
                                    <w:t>a</w:t>
                                  </w:r>
                                  <w:r>
                                    <w:rPr>
                                      <w:b/>
                                      <w:spacing w:val="-5"/>
                                      <w:sz w:val="20"/>
                                    </w:rPr>
                                    <w:t> </w:t>
                                  </w:r>
                                  <w:r>
                                    <w:rPr>
                                      <w:b/>
                                      <w:sz w:val="20"/>
                                    </w:rPr>
                                    <w:t>corto</w:t>
                                  </w:r>
                                  <w:r>
                                    <w:rPr>
                                      <w:b/>
                                      <w:spacing w:val="-5"/>
                                      <w:sz w:val="20"/>
                                    </w:rPr>
                                    <w:t> </w:t>
                                  </w:r>
                                  <w:r>
                                    <w:rPr>
                                      <w:b/>
                                      <w:spacing w:val="-4"/>
                                      <w:sz w:val="20"/>
                                    </w:rPr>
                                    <w:t>plazo</w:t>
                                  </w:r>
                                </w:p>
                              </w:tc>
                              <w:tc>
                                <w:tcPr>
                                  <w:tcW w:w="534" w:type="dxa"/>
                                  <w:tcBorders>
                                    <w:left w:val="single" w:sz="8" w:space="0" w:color="000000"/>
                                    <w:bottom w:val="single" w:sz="12" w:space="0" w:color="000000"/>
                                    <w:right w:val="single" w:sz="8" w:space="0" w:color="000000"/>
                                  </w:tcBorders>
                                </w:tcPr>
                                <w:p>
                                  <w:pPr>
                                    <w:pStyle w:val="TableParagraph"/>
                                    <w:spacing w:before="111"/>
                                    <w:ind w:left="160"/>
                                    <w:rPr>
                                      <w:b/>
                                      <w:sz w:val="20"/>
                                    </w:rPr>
                                  </w:pPr>
                                  <w:r>
                                    <w:rPr>
                                      <w:b/>
                                      <w:spacing w:val="-5"/>
                                      <w:sz w:val="20"/>
                                    </w:rPr>
                                    <w:t>14</w:t>
                                  </w:r>
                                </w:p>
                              </w:tc>
                              <w:tc>
                                <w:tcPr>
                                  <w:tcW w:w="1562" w:type="dxa"/>
                                  <w:tcBorders>
                                    <w:left w:val="single" w:sz="8" w:space="0" w:color="000000"/>
                                    <w:bottom w:val="single" w:sz="12" w:space="0" w:color="000000"/>
                                    <w:right w:val="single" w:sz="8" w:space="0" w:color="000000"/>
                                  </w:tcBorders>
                                </w:tcPr>
                                <w:p>
                                  <w:pPr>
                                    <w:pStyle w:val="TableParagraph"/>
                                    <w:spacing w:before="111"/>
                                    <w:ind w:left="375"/>
                                    <w:rPr>
                                      <w:b/>
                                      <w:sz w:val="20"/>
                                    </w:rPr>
                                  </w:pPr>
                                  <w:r>
                                    <w:rPr>
                                      <w:b/>
                                      <w:sz w:val="20"/>
                                    </w:rPr>
                                    <w:t>28</w:t>
                                  </w:r>
                                  <w:r>
                                    <w:rPr>
                                      <w:b/>
                                      <w:spacing w:val="-2"/>
                                      <w:sz w:val="20"/>
                                    </w:rPr>
                                    <w:t> 010,38</w:t>
                                  </w:r>
                                </w:p>
                              </w:tc>
                              <w:tc>
                                <w:tcPr>
                                  <w:tcW w:w="1581" w:type="dxa"/>
                                  <w:tcBorders>
                                    <w:left w:val="single" w:sz="8" w:space="0" w:color="000000"/>
                                    <w:bottom w:val="single" w:sz="12" w:space="0" w:color="000000"/>
                                    <w:right w:val="single" w:sz="8" w:space="0" w:color="000000"/>
                                  </w:tcBorders>
                                </w:tcPr>
                                <w:p>
                                  <w:pPr>
                                    <w:pStyle w:val="TableParagraph"/>
                                    <w:spacing w:before="111"/>
                                    <w:ind w:left="386"/>
                                    <w:rPr>
                                      <w:b/>
                                      <w:sz w:val="20"/>
                                    </w:rPr>
                                  </w:pPr>
                                  <w:r>
                                    <w:rPr>
                                      <w:b/>
                                      <w:sz w:val="20"/>
                                    </w:rPr>
                                    <w:t>81</w:t>
                                  </w:r>
                                  <w:r>
                                    <w:rPr>
                                      <w:b/>
                                      <w:spacing w:val="-2"/>
                                      <w:sz w:val="20"/>
                                    </w:rPr>
                                    <w:t> 493,72</w:t>
                                  </w:r>
                                </w:p>
                              </w:tc>
                              <w:tc>
                                <w:tcPr>
                                  <w:tcW w:w="1274" w:type="dxa"/>
                                  <w:tcBorders>
                                    <w:top w:val="single" w:sz="8" w:space="0" w:color="000000"/>
                                    <w:left w:val="single" w:sz="8" w:space="0" w:color="000000"/>
                                    <w:bottom w:val="single" w:sz="12" w:space="0" w:color="000000"/>
                                    <w:right w:val="single" w:sz="8" w:space="0" w:color="000000"/>
                                  </w:tcBorders>
                                </w:tcPr>
                                <w:p>
                                  <w:pPr>
                                    <w:pStyle w:val="TableParagraph"/>
                                    <w:spacing w:before="111"/>
                                    <w:ind w:right="9"/>
                                    <w:jc w:val="center"/>
                                    <w:rPr>
                                      <w:b/>
                                      <w:sz w:val="20"/>
                                    </w:rPr>
                                  </w:pPr>
                                  <w:r>
                                    <w:rPr>
                                      <w:b/>
                                      <w:spacing w:val="-2"/>
                                      <w:sz w:val="20"/>
                                    </w:rPr>
                                    <w:t>-65,63%</w:t>
                                  </w:r>
                                </w:p>
                              </w:tc>
                              <w:tc>
                                <w:tcPr>
                                  <w:tcW w:w="119" w:type="dxa"/>
                                  <w:tcBorders>
                                    <w:left w:val="single" w:sz="8" w:space="0" w:color="000000"/>
                                    <w:bottom w:val="single" w:sz="4" w:space="0" w:color="000000"/>
                                    <w:right w:val="single" w:sz="4" w:space="0" w:color="000000"/>
                                  </w:tcBorders>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81.863983pt;margin-top:24.9pt;width:466.7pt;height:59.3pt;mso-position-horizontal-relative:page;mso-position-vertical-relative:paragraph;z-index:15789056" type="#_x0000_t202" id="docshape353" filled="false" stroked="false">
                <v:textbox inset="0,0,0,0">
                  <w:txbxContent>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
                        <w:gridCol w:w="843"/>
                        <w:gridCol w:w="3182"/>
                        <w:gridCol w:w="534"/>
                        <w:gridCol w:w="1562"/>
                        <w:gridCol w:w="1581"/>
                        <w:gridCol w:w="1274"/>
                        <w:gridCol w:w="119"/>
                      </w:tblGrid>
                      <w:tr>
                        <w:trPr>
                          <w:trHeight w:val="310" w:hRule="atLeast"/>
                        </w:trPr>
                        <w:tc>
                          <w:tcPr>
                            <w:tcW w:w="118" w:type="dxa"/>
                            <w:vMerge w:val="restart"/>
                            <w:tcBorders>
                              <w:top w:val="single" w:sz="4" w:space="0" w:color="000000"/>
                              <w:left w:val="single" w:sz="4" w:space="0" w:color="000000"/>
                            </w:tcBorders>
                          </w:tcPr>
                          <w:p>
                            <w:pPr>
                              <w:pStyle w:val="TableParagraph"/>
                              <w:rPr>
                                <w:rFonts w:ascii="Times New Roman"/>
                                <w:sz w:val="20"/>
                              </w:rPr>
                            </w:pPr>
                          </w:p>
                        </w:tc>
                        <w:tc>
                          <w:tcPr>
                            <w:tcW w:w="843"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3182"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534"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562"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581" w:type="dxa"/>
                            <w:tcBorders>
                              <w:top w:val="single" w:sz="12" w:space="0" w:color="000000"/>
                              <w:left w:val="single" w:sz="8" w:space="0" w:color="000000"/>
                              <w:right w:val="single" w:sz="8" w:space="0" w:color="000000"/>
                            </w:tcBorders>
                            <w:shd w:val="clear" w:color="auto" w:fill="365F92"/>
                          </w:tcPr>
                          <w:p>
                            <w:pPr>
                              <w:pStyle w:val="TableParagraph"/>
                              <w:rPr>
                                <w:rFonts w:ascii="Times New Roman"/>
                                <w:sz w:val="20"/>
                              </w:rPr>
                            </w:pPr>
                          </w:p>
                        </w:tc>
                        <w:tc>
                          <w:tcPr>
                            <w:tcW w:w="1274" w:type="dxa"/>
                            <w:tcBorders>
                              <w:top w:val="single" w:sz="12" w:space="0" w:color="000000"/>
                              <w:left w:val="single" w:sz="8" w:space="0" w:color="000000"/>
                              <w:bottom w:val="single" w:sz="8" w:space="0" w:color="000000"/>
                              <w:right w:val="single" w:sz="8" w:space="0" w:color="000000"/>
                            </w:tcBorders>
                            <w:shd w:val="clear" w:color="auto" w:fill="365F92"/>
                          </w:tcPr>
                          <w:p>
                            <w:pPr>
                              <w:pStyle w:val="TableParagraph"/>
                              <w:spacing w:before="46"/>
                              <w:ind w:left="2" w:right="9"/>
                              <w:jc w:val="center"/>
                              <w:rPr>
                                <w:b/>
                                <w:sz w:val="20"/>
                              </w:rPr>
                            </w:pPr>
                            <w:r>
                              <w:rPr>
                                <w:b/>
                                <w:color w:val="FFFFFF"/>
                                <w:spacing w:val="-2"/>
                                <w:sz w:val="20"/>
                              </w:rPr>
                              <w:t>Diferencia</w:t>
                            </w:r>
                          </w:p>
                        </w:tc>
                        <w:tc>
                          <w:tcPr>
                            <w:tcW w:w="119" w:type="dxa"/>
                            <w:tcBorders>
                              <w:top w:val="single" w:sz="4" w:space="0" w:color="000000"/>
                              <w:left w:val="single" w:sz="8" w:space="0" w:color="000000"/>
                              <w:right w:val="single" w:sz="4" w:space="0" w:color="000000"/>
                            </w:tcBorders>
                          </w:tcPr>
                          <w:p>
                            <w:pPr>
                              <w:pStyle w:val="TableParagraph"/>
                              <w:rPr>
                                <w:rFonts w:ascii="Times New Roman"/>
                                <w:sz w:val="20"/>
                              </w:rPr>
                            </w:pPr>
                          </w:p>
                        </w:tc>
                      </w:tr>
                      <w:tr>
                        <w:trPr>
                          <w:trHeight w:val="80" w:hRule="atLeast"/>
                        </w:trPr>
                        <w:tc>
                          <w:tcPr>
                            <w:tcW w:w="118" w:type="dxa"/>
                            <w:vMerge/>
                            <w:tcBorders>
                              <w:top w:val="nil"/>
                              <w:left w:val="single" w:sz="4" w:space="0" w:color="000000"/>
                            </w:tcBorders>
                          </w:tcPr>
                          <w:p>
                            <w:pPr>
                              <w:rPr>
                                <w:sz w:val="2"/>
                                <w:szCs w:val="2"/>
                              </w:rPr>
                            </w:pPr>
                          </w:p>
                        </w:tc>
                        <w:tc>
                          <w:tcPr>
                            <w:tcW w:w="843" w:type="dxa"/>
                            <w:shd w:val="clear" w:color="auto" w:fill="365F92"/>
                          </w:tcPr>
                          <w:p>
                            <w:pPr>
                              <w:pStyle w:val="TableParagraph"/>
                              <w:rPr>
                                <w:rFonts w:ascii="Times New Roman"/>
                                <w:sz w:val="2"/>
                              </w:rPr>
                            </w:pPr>
                          </w:p>
                        </w:tc>
                        <w:tc>
                          <w:tcPr>
                            <w:tcW w:w="3182" w:type="dxa"/>
                            <w:shd w:val="clear" w:color="auto" w:fill="365F92"/>
                          </w:tcPr>
                          <w:p>
                            <w:pPr>
                              <w:pStyle w:val="TableParagraph"/>
                              <w:rPr>
                                <w:rFonts w:ascii="Times New Roman"/>
                                <w:sz w:val="2"/>
                              </w:rPr>
                            </w:pPr>
                          </w:p>
                        </w:tc>
                        <w:tc>
                          <w:tcPr>
                            <w:tcW w:w="534" w:type="dxa"/>
                            <w:shd w:val="clear" w:color="auto" w:fill="365F92"/>
                          </w:tcPr>
                          <w:p>
                            <w:pPr>
                              <w:pStyle w:val="TableParagraph"/>
                              <w:rPr>
                                <w:rFonts w:ascii="Times New Roman"/>
                                <w:sz w:val="2"/>
                              </w:rPr>
                            </w:pPr>
                          </w:p>
                        </w:tc>
                        <w:tc>
                          <w:tcPr>
                            <w:tcW w:w="1562" w:type="dxa"/>
                            <w:shd w:val="clear" w:color="auto" w:fill="365F92"/>
                          </w:tcPr>
                          <w:p>
                            <w:pPr>
                              <w:pStyle w:val="TableParagraph"/>
                              <w:rPr>
                                <w:rFonts w:ascii="Times New Roman"/>
                                <w:sz w:val="2"/>
                              </w:rPr>
                            </w:pPr>
                          </w:p>
                        </w:tc>
                        <w:tc>
                          <w:tcPr>
                            <w:tcW w:w="1581" w:type="dxa"/>
                            <w:shd w:val="clear" w:color="auto" w:fill="365F92"/>
                          </w:tcPr>
                          <w:p>
                            <w:pPr>
                              <w:pStyle w:val="TableParagraph"/>
                              <w:rPr>
                                <w:rFonts w:ascii="Times New Roman"/>
                                <w:sz w:val="2"/>
                              </w:rPr>
                            </w:pPr>
                          </w:p>
                        </w:tc>
                        <w:tc>
                          <w:tcPr>
                            <w:tcW w:w="1274" w:type="dxa"/>
                            <w:tcBorders>
                              <w:top w:val="single" w:sz="8" w:space="0" w:color="000000"/>
                              <w:right w:val="single" w:sz="8" w:space="0" w:color="000000"/>
                            </w:tcBorders>
                            <w:shd w:val="clear" w:color="auto" w:fill="365F92"/>
                          </w:tcPr>
                          <w:p>
                            <w:pPr>
                              <w:pStyle w:val="TableParagraph"/>
                              <w:rPr>
                                <w:rFonts w:ascii="Times New Roman"/>
                                <w:sz w:val="2"/>
                              </w:rPr>
                            </w:pPr>
                          </w:p>
                        </w:tc>
                        <w:tc>
                          <w:tcPr>
                            <w:tcW w:w="119" w:type="dxa"/>
                            <w:vMerge w:val="restart"/>
                            <w:tcBorders>
                              <w:left w:val="single" w:sz="8" w:space="0" w:color="000000"/>
                              <w:right w:val="single" w:sz="4" w:space="0" w:color="000000"/>
                            </w:tcBorders>
                          </w:tcPr>
                          <w:p>
                            <w:pPr>
                              <w:pStyle w:val="TableParagraph"/>
                              <w:rPr>
                                <w:rFonts w:ascii="Times New Roman"/>
                                <w:sz w:val="20"/>
                              </w:rPr>
                            </w:pPr>
                          </w:p>
                        </w:tc>
                      </w:tr>
                      <w:tr>
                        <w:trPr>
                          <w:trHeight w:val="218" w:hRule="atLeast"/>
                        </w:trPr>
                        <w:tc>
                          <w:tcPr>
                            <w:tcW w:w="118" w:type="dxa"/>
                            <w:vMerge/>
                            <w:tcBorders>
                              <w:top w:val="nil"/>
                              <w:left w:val="single" w:sz="4" w:space="0" w:color="000000"/>
                            </w:tcBorders>
                          </w:tcPr>
                          <w:p>
                            <w:pPr>
                              <w:rPr>
                                <w:sz w:val="2"/>
                                <w:szCs w:val="2"/>
                              </w:rPr>
                            </w:pPr>
                          </w:p>
                        </w:tc>
                        <w:tc>
                          <w:tcPr>
                            <w:tcW w:w="843" w:type="dxa"/>
                            <w:shd w:val="clear" w:color="auto" w:fill="365F92"/>
                          </w:tcPr>
                          <w:p>
                            <w:pPr>
                              <w:pStyle w:val="TableParagraph"/>
                              <w:rPr>
                                <w:rFonts w:ascii="Times New Roman"/>
                                <w:sz w:val="14"/>
                              </w:rPr>
                            </w:pPr>
                          </w:p>
                        </w:tc>
                        <w:tc>
                          <w:tcPr>
                            <w:tcW w:w="3182" w:type="dxa"/>
                            <w:shd w:val="clear" w:color="auto" w:fill="365F92"/>
                          </w:tcPr>
                          <w:p>
                            <w:pPr>
                              <w:pStyle w:val="TableParagraph"/>
                              <w:rPr>
                                <w:rFonts w:ascii="Times New Roman"/>
                                <w:sz w:val="14"/>
                              </w:rPr>
                            </w:pPr>
                          </w:p>
                        </w:tc>
                        <w:tc>
                          <w:tcPr>
                            <w:tcW w:w="534" w:type="dxa"/>
                            <w:shd w:val="clear" w:color="auto" w:fill="365F92"/>
                          </w:tcPr>
                          <w:p>
                            <w:pPr>
                              <w:pStyle w:val="TableParagraph"/>
                              <w:rPr>
                                <w:rFonts w:ascii="Times New Roman"/>
                                <w:sz w:val="14"/>
                              </w:rPr>
                            </w:pPr>
                          </w:p>
                        </w:tc>
                        <w:tc>
                          <w:tcPr>
                            <w:tcW w:w="1562" w:type="dxa"/>
                            <w:shd w:val="clear" w:color="auto" w:fill="365F92"/>
                          </w:tcPr>
                          <w:p>
                            <w:pPr>
                              <w:pStyle w:val="TableParagraph"/>
                              <w:rPr>
                                <w:rFonts w:ascii="Times New Roman"/>
                                <w:sz w:val="14"/>
                              </w:rPr>
                            </w:pPr>
                          </w:p>
                        </w:tc>
                        <w:tc>
                          <w:tcPr>
                            <w:tcW w:w="1581" w:type="dxa"/>
                            <w:shd w:val="clear" w:color="auto" w:fill="365F92"/>
                          </w:tcPr>
                          <w:p>
                            <w:pPr>
                              <w:pStyle w:val="TableParagraph"/>
                              <w:rPr>
                                <w:rFonts w:ascii="Times New Roman"/>
                                <w:sz w:val="14"/>
                              </w:rPr>
                            </w:pPr>
                          </w:p>
                        </w:tc>
                        <w:tc>
                          <w:tcPr>
                            <w:tcW w:w="1274" w:type="dxa"/>
                            <w:tcBorders>
                              <w:bottom w:val="single" w:sz="8" w:space="0" w:color="000000"/>
                              <w:right w:val="single" w:sz="8" w:space="0" w:color="000000"/>
                            </w:tcBorders>
                            <w:shd w:val="clear" w:color="auto" w:fill="365F92"/>
                          </w:tcPr>
                          <w:p>
                            <w:pPr>
                              <w:pStyle w:val="TableParagraph"/>
                              <w:spacing w:line="182" w:lineRule="exact"/>
                              <w:jc w:val="center"/>
                              <w:rPr>
                                <w:sz w:val="20"/>
                              </w:rPr>
                            </w:pPr>
                            <w:r>
                              <w:rPr>
                                <w:color w:val="FFFFFF"/>
                                <w:spacing w:val="-10"/>
                                <w:sz w:val="20"/>
                              </w:rPr>
                              <w:t>%</w:t>
                            </w:r>
                          </w:p>
                        </w:tc>
                        <w:tc>
                          <w:tcPr>
                            <w:tcW w:w="119" w:type="dxa"/>
                            <w:vMerge/>
                            <w:tcBorders>
                              <w:top w:val="nil"/>
                              <w:left w:val="single" w:sz="8" w:space="0" w:color="000000"/>
                              <w:right w:val="single" w:sz="4" w:space="0" w:color="000000"/>
                            </w:tcBorders>
                          </w:tcPr>
                          <w:p>
                            <w:pPr>
                              <w:rPr>
                                <w:sz w:val="2"/>
                                <w:szCs w:val="2"/>
                              </w:rPr>
                            </w:pPr>
                          </w:p>
                        </w:tc>
                      </w:tr>
                      <w:tr>
                        <w:trPr>
                          <w:trHeight w:val="478" w:hRule="atLeast"/>
                        </w:trPr>
                        <w:tc>
                          <w:tcPr>
                            <w:tcW w:w="118" w:type="dxa"/>
                            <w:tcBorders>
                              <w:left w:val="single" w:sz="4" w:space="0" w:color="000000"/>
                              <w:bottom w:val="single" w:sz="4" w:space="0" w:color="000000"/>
                              <w:right w:val="single" w:sz="8" w:space="0" w:color="000000"/>
                            </w:tcBorders>
                          </w:tcPr>
                          <w:p>
                            <w:pPr>
                              <w:pStyle w:val="TableParagraph"/>
                              <w:rPr>
                                <w:rFonts w:ascii="Times New Roman"/>
                                <w:sz w:val="20"/>
                              </w:rPr>
                            </w:pPr>
                          </w:p>
                        </w:tc>
                        <w:tc>
                          <w:tcPr>
                            <w:tcW w:w="843" w:type="dxa"/>
                            <w:tcBorders>
                              <w:left w:val="single" w:sz="8" w:space="0" w:color="000000"/>
                              <w:bottom w:val="single" w:sz="12" w:space="0" w:color="000000"/>
                              <w:right w:val="single" w:sz="8" w:space="0" w:color="000000"/>
                            </w:tcBorders>
                          </w:tcPr>
                          <w:p>
                            <w:pPr>
                              <w:pStyle w:val="TableParagraph"/>
                              <w:spacing w:before="121"/>
                              <w:ind w:left="64"/>
                              <w:rPr>
                                <w:b/>
                                <w:sz w:val="20"/>
                              </w:rPr>
                            </w:pPr>
                            <w:r>
                              <w:rPr>
                                <w:b/>
                                <w:spacing w:val="-2"/>
                                <w:sz w:val="20"/>
                              </w:rPr>
                              <w:t>2.1.1.03.</w:t>
                            </w:r>
                          </w:p>
                        </w:tc>
                        <w:tc>
                          <w:tcPr>
                            <w:tcW w:w="3182" w:type="dxa"/>
                            <w:tcBorders>
                              <w:left w:val="single" w:sz="8" w:space="0" w:color="000000"/>
                              <w:bottom w:val="single" w:sz="12" w:space="0" w:color="000000"/>
                              <w:right w:val="single" w:sz="8" w:space="0" w:color="000000"/>
                            </w:tcBorders>
                          </w:tcPr>
                          <w:p>
                            <w:pPr>
                              <w:pStyle w:val="TableParagraph"/>
                              <w:spacing w:before="121"/>
                              <w:ind w:left="63"/>
                              <w:rPr>
                                <w:b/>
                                <w:sz w:val="20"/>
                              </w:rPr>
                            </w:pPr>
                            <w:r>
                              <w:rPr>
                                <w:b/>
                                <w:sz w:val="20"/>
                              </w:rPr>
                              <w:t>Transferencias</w:t>
                            </w:r>
                            <w:r>
                              <w:rPr>
                                <w:b/>
                                <w:spacing w:val="-6"/>
                                <w:sz w:val="20"/>
                              </w:rPr>
                              <w:t> </w:t>
                            </w:r>
                            <w:r>
                              <w:rPr>
                                <w:b/>
                                <w:sz w:val="20"/>
                              </w:rPr>
                              <w:t>por</w:t>
                            </w:r>
                            <w:r>
                              <w:rPr>
                                <w:b/>
                                <w:spacing w:val="-5"/>
                                <w:sz w:val="20"/>
                              </w:rPr>
                              <w:t> </w:t>
                            </w:r>
                            <w:r>
                              <w:rPr>
                                <w:b/>
                                <w:sz w:val="20"/>
                              </w:rPr>
                              <w:t>pagar</w:t>
                            </w:r>
                            <w:r>
                              <w:rPr>
                                <w:b/>
                                <w:spacing w:val="-3"/>
                                <w:sz w:val="20"/>
                              </w:rPr>
                              <w:t> </w:t>
                            </w:r>
                            <w:r>
                              <w:rPr>
                                <w:b/>
                                <w:sz w:val="20"/>
                              </w:rPr>
                              <w:t>a</w:t>
                            </w:r>
                            <w:r>
                              <w:rPr>
                                <w:b/>
                                <w:spacing w:val="-5"/>
                                <w:sz w:val="20"/>
                              </w:rPr>
                              <w:t> </w:t>
                            </w:r>
                            <w:r>
                              <w:rPr>
                                <w:b/>
                                <w:sz w:val="20"/>
                              </w:rPr>
                              <w:t>corto</w:t>
                            </w:r>
                            <w:r>
                              <w:rPr>
                                <w:b/>
                                <w:spacing w:val="-5"/>
                                <w:sz w:val="20"/>
                              </w:rPr>
                              <w:t> </w:t>
                            </w:r>
                            <w:r>
                              <w:rPr>
                                <w:b/>
                                <w:spacing w:val="-4"/>
                                <w:sz w:val="20"/>
                              </w:rPr>
                              <w:t>plazo</w:t>
                            </w:r>
                          </w:p>
                        </w:tc>
                        <w:tc>
                          <w:tcPr>
                            <w:tcW w:w="534" w:type="dxa"/>
                            <w:tcBorders>
                              <w:left w:val="single" w:sz="8" w:space="0" w:color="000000"/>
                              <w:bottom w:val="single" w:sz="12" w:space="0" w:color="000000"/>
                              <w:right w:val="single" w:sz="8" w:space="0" w:color="000000"/>
                            </w:tcBorders>
                          </w:tcPr>
                          <w:p>
                            <w:pPr>
                              <w:pStyle w:val="TableParagraph"/>
                              <w:spacing w:before="111"/>
                              <w:ind w:left="160"/>
                              <w:rPr>
                                <w:b/>
                                <w:sz w:val="20"/>
                              </w:rPr>
                            </w:pPr>
                            <w:r>
                              <w:rPr>
                                <w:b/>
                                <w:spacing w:val="-5"/>
                                <w:sz w:val="20"/>
                              </w:rPr>
                              <w:t>14</w:t>
                            </w:r>
                          </w:p>
                        </w:tc>
                        <w:tc>
                          <w:tcPr>
                            <w:tcW w:w="1562" w:type="dxa"/>
                            <w:tcBorders>
                              <w:left w:val="single" w:sz="8" w:space="0" w:color="000000"/>
                              <w:bottom w:val="single" w:sz="12" w:space="0" w:color="000000"/>
                              <w:right w:val="single" w:sz="8" w:space="0" w:color="000000"/>
                            </w:tcBorders>
                          </w:tcPr>
                          <w:p>
                            <w:pPr>
                              <w:pStyle w:val="TableParagraph"/>
                              <w:spacing w:before="111"/>
                              <w:ind w:left="375"/>
                              <w:rPr>
                                <w:b/>
                                <w:sz w:val="20"/>
                              </w:rPr>
                            </w:pPr>
                            <w:r>
                              <w:rPr>
                                <w:b/>
                                <w:sz w:val="20"/>
                              </w:rPr>
                              <w:t>28</w:t>
                            </w:r>
                            <w:r>
                              <w:rPr>
                                <w:b/>
                                <w:spacing w:val="-2"/>
                                <w:sz w:val="20"/>
                              </w:rPr>
                              <w:t> 010,38</w:t>
                            </w:r>
                          </w:p>
                        </w:tc>
                        <w:tc>
                          <w:tcPr>
                            <w:tcW w:w="1581" w:type="dxa"/>
                            <w:tcBorders>
                              <w:left w:val="single" w:sz="8" w:space="0" w:color="000000"/>
                              <w:bottom w:val="single" w:sz="12" w:space="0" w:color="000000"/>
                              <w:right w:val="single" w:sz="8" w:space="0" w:color="000000"/>
                            </w:tcBorders>
                          </w:tcPr>
                          <w:p>
                            <w:pPr>
                              <w:pStyle w:val="TableParagraph"/>
                              <w:spacing w:before="111"/>
                              <w:ind w:left="386"/>
                              <w:rPr>
                                <w:b/>
                                <w:sz w:val="20"/>
                              </w:rPr>
                            </w:pPr>
                            <w:r>
                              <w:rPr>
                                <w:b/>
                                <w:sz w:val="20"/>
                              </w:rPr>
                              <w:t>81</w:t>
                            </w:r>
                            <w:r>
                              <w:rPr>
                                <w:b/>
                                <w:spacing w:val="-2"/>
                                <w:sz w:val="20"/>
                              </w:rPr>
                              <w:t> 493,72</w:t>
                            </w:r>
                          </w:p>
                        </w:tc>
                        <w:tc>
                          <w:tcPr>
                            <w:tcW w:w="1274" w:type="dxa"/>
                            <w:tcBorders>
                              <w:top w:val="single" w:sz="8" w:space="0" w:color="000000"/>
                              <w:left w:val="single" w:sz="8" w:space="0" w:color="000000"/>
                              <w:bottom w:val="single" w:sz="12" w:space="0" w:color="000000"/>
                              <w:right w:val="single" w:sz="8" w:space="0" w:color="000000"/>
                            </w:tcBorders>
                          </w:tcPr>
                          <w:p>
                            <w:pPr>
                              <w:pStyle w:val="TableParagraph"/>
                              <w:spacing w:before="111"/>
                              <w:ind w:right="9"/>
                              <w:jc w:val="center"/>
                              <w:rPr>
                                <w:b/>
                                <w:sz w:val="20"/>
                              </w:rPr>
                            </w:pPr>
                            <w:r>
                              <w:rPr>
                                <w:b/>
                                <w:spacing w:val="-2"/>
                                <w:sz w:val="20"/>
                              </w:rPr>
                              <w:t>-65,63%</w:t>
                            </w:r>
                          </w:p>
                        </w:tc>
                        <w:tc>
                          <w:tcPr>
                            <w:tcW w:w="119" w:type="dxa"/>
                            <w:tcBorders>
                              <w:left w:val="single" w:sz="8" w:space="0" w:color="000000"/>
                              <w:bottom w:val="single" w:sz="4" w:space="0" w:color="000000"/>
                              <w:right w:val="single" w:sz="4" w:space="0" w:color="000000"/>
                            </w:tcBorders>
                          </w:tcPr>
                          <w:p>
                            <w:pPr>
                              <w:pStyle w:val="TableParagraph"/>
                              <w:rPr>
                                <w:rFonts w:ascii="Times New Roman"/>
                                <w:sz w:val="20"/>
                              </w:rPr>
                            </w:pP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76</w:t>
      </w:r>
    </w:p>
    <w:p>
      <w:pPr>
        <w:pStyle w:val="BodyText"/>
        <w:spacing w:before="213"/>
        <w:rPr>
          <w:sz w:val="20"/>
        </w:rPr>
      </w:pPr>
    </w:p>
    <w:p>
      <w:pPr>
        <w:tabs>
          <w:tab w:pos="2691" w:val="left" w:leader="none"/>
          <w:tab w:pos="4832" w:val="left" w:leader="none"/>
          <w:tab w:pos="5475" w:val="left" w:leader="none"/>
          <w:tab w:pos="6964" w:val="left" w:leader="none"/>
        </w:tabs>
        <w:spacing w:before="1"/>
        <w:ind w:left="809" w:right="0" w:firstLine="0"/>
        <w:jc w:val="left"/>
        <w:rPr>
          <w:b/>
          <w:sz w:val="20"/>
        </w:rPr>
      </w:pPr>
      <w:r>
        <w:rPr>
          <w:b/>
          <w:color w:val="FFFFFF"/>
          <w:spacing w:val="-2"/>
          <w:sz w:val="20"/>
        </w:rPr>
        <w:t>Cuenta</w:t>
      </w:r>
      <w:r>
        <w:rPr>
          <w:b/>
          <w:color w:val="FFFFFF"/>
          <w:sz w:val="20"/>
        </w:rPr>
        <w:tab/>
      </w:r>
      <w:r>
        <w:rPr>
          <w:b/>
          <w:color w:val="FFFFFF"/>
          <w:spacing w:val="-2"/>
          <w:sz w:val="20"/>
        </w:rPr>
        <w:t>Descripción</w:t>
      </w:r>
      <w:r>
        <w:rPr>
          <w:b/>
          <w:color w:val="FFFFFF"/>
          <w:sz w:val="20"/>
        </w:rPr>
        <w:tab/>
      </w:r>
      <w:r>
        <w:rPr>
          <w:b/>
          <w:color w:val="FFFFFF"/>
          <w:spacing w:val="-4"/>
          <w:sz w:val="20"/>
        </w:rPr>
        <w:t>Nota</w:t>
      </w:r>
      <w:r>
        <w:rPr>
          <w:b/>
          <w:color w:val="FFFFFF"/>
          <w:sz w:val="20"/>
        </w:rPr>
        <w:tab/>
        <w:t>Periodo</w:t>
      </w:r>
      <w:r>
        <w:rPr>
          <w:b/>
          <w:color w:val="FFFFFF"/>
          <w:spacing w:val="-5"/>
          <w:sz w:val="20"/>
        </w:rPr>
        <w:t> </w:t>
      </w:r>
      <w:r>
        <w:rPr>
          <w:b/>
          <w:color w:val="FFFFFF"/>
          <w:spacing w:val="-2"/>
          <w:sz w:val="20"/>
        </w:rPr>
        <w:t>Actual</w:t>
      </w:r>
      <w:r>
        <w:rPr>
          <w:b/>
          <w:color w:val="FFFFFF"/>
          <w:sz w:val="20"/>
        </w:rPr>
        <w:tab/>
        <w:t>Periodo</w:t>
      </w:r>
      <w:r>
        <w:rPr>
          <w:b/>
          <w:color w:val="FFFFFF"/>
          <w:spacing w:val="-5"/>
          <w:sz w:val="20"/>
        </w:rPr>
        <w:t> </w:t>
      </w:r>
      <w:r>
        <w:rPr>
          <w:b/>
          <w:color w:val="FFFFFF"/>
          <w:spacing w:val="-2"/>
          <w:sz w:val="20"/>
        </w:rPr>
        <w:t>Anterior</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0"/>
        </w:rPr>
      </w:pPr>
    </w:p>
    <w:p>
      <w:pPr>
        <w:pStyle w:val="BodyText"/>
        <w:spacing w:before="1"/>
        <w:ind w:left="622"/>
      </w:pPr>
      <w:r>
        <w:rPr>
          <w:spacing w:val="-2"/>
        </w:rPr>
        <w:t>Detalle:</w:t>
      </w:r>
    </w:p>
    <w:p>
      <w:pPr>
        <w:pStyle w:val="BodyText"/>
        <w:spacing w:before="6" w:after="1"/>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4573"/>
      </w:tblGrid>
      <w:tr>
        <w:trPr>
          <w:trHeight w:val="289" w:hRule="atLeast"/>
        </w:trPr>
        <w:tc>
          <w:tcPr>
            <w:tcW w:w="1241" w:type="dxa"/>
            <w:tcBorders>
              <w:bottom w:val="nil"/>
            </w:tcBorders>
            <w:shd w:val="clear" w:color="auto" w:fill="365F92"/>
          </w:tcPr>
          <w:p>
            <w:pPr>
              <w:pStyle w:val="TableParagraph"/>
              <w:spacing w:before="29"/>
              <w:ind w:left="69"/>
              <w:rPr>
                <w:b/>
                <w:sz w:val="20"/>
              </w:rPr>
            </w:pPr>
            <w:r>
              <w:rPr>
                <w:b/>
                <w:color w:val="FFFFFF"/>
                <w:spacing w:val="-2"/>
                <w:sz w:val="20"/>
              </w:rPr>
              <w:t>Cuenta</w:t>
            </w:r>
          </w:p>
        </w:tc>
        <w:tc>
          <w:tcPr>
            <w:tcW w:w="4573" w:type="dxa"/>
            <w:tcBorders>
              <w:bottom w:val="nil"/>
            </w:tcBorders>
            <w:shd w:val="clear" w:color="auto" w:fill="365F92"/>
          </w:tcPr>
          <w:p>
            <w:pPr>
              <w:pStyle w:val="TableParagraph"/>
              <w:spacing w:before="29"/>
              <w:ind w:left="18"/>
              <w:jc w:val="center"/>
              <w:rPr>
                <w:b/>
                <w:sz w:val="20"/>
              </w:rPr>
            </w:pPr>
            <w:r>
              <w:rPr>
                <w:b/>
                <w:color w:val="FFFFFF"/>
                <w:spacing w:val="-2"/>
                <w:sz w:val="20"/>
              </w:rPr>
              <w:t>Descripción</w:t>
            </w:r>
          </w:p>
        </w:tc>
      </w:tr>
      <w:tr>
        <w:trPr>
          <w:trHeight w:val="540" w:hRule="atLeast"/>
        </w:trPr>
        <w:tc>
          <w:tcPr>
            <w:tcW w:w="1241" w:type="dxa"/>
            <w:tcBorders>
              <w:top w:val="nil"/>
            </w:tcBorders>
          </w:tcPr>
          <w:p>
            <w:pPr>
              <w:pStyle w:val="TableParagraph"/>
              <w:spacing w:before="155"/>
              <w:ind w:left="69"/>
              <w:rPr>
                <w:b/>
                <w:sz w:val="20"/>
              </w:rPr>
            </w:pPr>
            <w:r>
              <w:rPr>
                <w:b/>
                <w:spacing w:val="-2"/>
                <w:sz w:val="20"/>
              </w:rPr>
              <w:t>2.1.1.03.02.</w:t>
            </w:r>
          </w:p>
        </w:tc>
        <w:tc>
          <w:tcPr>
            <w:tcW w:w="4573" w:type="dxa"/>
            <w:tcBorders>
              <w:top w:val="nil"/>
            </w:tcBorders>
          </w:tcPr>
          <w:p>
            <w:pPr>
              <w:pStyle w:val="TableParagraph"/>
              <w:spacing w:before="155"/>
              <w:ind w:left="68"/>
              <w:rPr>
                <w:b/>
                <w:sz w:val="20"/>
              </w:rPr>
            </w:pPr>
            <w:r>
              <w:rPr>
                <w:b/>
                <w:sz w:val="20"/>
              </w:rPr>
              <w:t>Transferencias</w:t>
            </w:r>
            <w:r>
              <w:rPr>
                <w:b/>
                <w:spacing w:val="-6"/>
                <w:sz w:val="20"/>
              </w:rPr>
              <w:t> </w:t>
            </w:r>
            <w:r>
              <w:rPr>
                <w:b/>
                <w:sz w:val="20"/>
              </w:rPr>
              <w:t>al</w:t>
            </w:r>
            <w:r>
              <w:rPr>
                <w:b/>
                <w:spacing w:val="-5"/>
                <w:sz w:val="20"/>
              </w:rPr>
              <w:t> </w:t>
            </w:r>
            <w:r>
              <w:rPr>
                <w:b/>
                <w:sz w:val="20"/>
              </w:rPr>
              <w:t>sector</w:t>
            </w:r>
            <w:r>
              <w:rPr>
                <w:b/>
                <w:spacing w:val="-5"/>
                <w:sz w:val="20"/>
              </w:rPr>
              <w:t> </w:t>
            </w:r>
            <w:r>
              <w:rPr>
                <w:b/>
                <w:sz w:val="20"/>
              </w:rPr>
              <w:t>público</w:t>
            </w:r>
            <w:r>
              <w:rPr>
                <w:b/>
                <w:spacing w:val="-4"/>
                <w:sz w:val="20"/>
              </w:rPr>
              <w:t> </w:t>
            </w:r>
            <w:r>
              <w:rPr>
                <w:b/>
                <w:sz w:val="20"/>
              </w:rPr>
              <w:t>interno</w:t>
            </w:r>
            <w:r>
              <w:rPr>
                <w:b/>
                <w:spacing w:val="-5"/>
                <w:sz w:val="20"/>
              </w:rPr>
              <w:t> </w:t>
            </w:r>
            <w:r>
              <w:rPr>
                <w:b/>
                <w:sz w:val="20"/>
              </w:rPr>
              <w:t>a</w:t>
            </w:r>
            <w:r>
              <w:rPr>
                <w:b/>
                <w:spacing w:val="-5"/>
                <w:sz w:val="20"/>
              </w:rPr>
              <w:t> </w:t>
            </w:r>
            <w:r>
              <w:rPr>
                <w:b/>
                <w:sz w:val="20"/>
              </w:rPr>
              <w:t>pagar</w:t>
            </w:r>
            <w:r>
              <w:rPr>
                <w:b/>
                <w:spacing w:val="-5"/>
                <w:sz w:val="20"/>
              </w:rPr>
              <w:t> c/p</w:t>
            </w:r>
          </w:p>
        </w:tc>
      </w:tr>
    </w:tbl>
    <w:p>
      <w:pPr>
        <w:pStyle w:val="BodyText"/>
        <w:spacing w:before="204"/>
        <w:rPr>
          <w:sz w:val="20"/>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4"/>
        <w:gridCol w:w="4679"/>
        <w:gridCol w:w="1733"/>
      </w:tblGrid>
      <w:tr>
        <w:trPr>
          <w:trHeight w:val="455" w:hRule="atLeast"/>
        </w:trPr>
        <w:tc>
          <w:tcPr>
            <w:tcW w:w="1844" w:type="dxa"/>
            <w:shd w:val="clear" w:color="auto" w:fill="365F91"/>
          </w:tcPr>
          <w:p>
            <w:pPr>
              <w:pStyle w:val="TableParagraph"/>
              <w:spacing w:line="227" w:lineRule="exact"/>
              <w:ind w:left="69" w:right="53"/>
              <w:jc w:val="center"/>
              <w:rPr>
                <w:sz w:val="20"/>
              </w:rPr>
            </w:pPr>
            <w:r>
              <w:rPr>
                <w:color w:val="FFFFFF"/>
                <w:spacing w:val="-2"/>
                <w:sz w:val="20"/>
              </w:rPr>
              <w:t>CODIGO</w:t>
            </w:r>
          </w:p>
          <w:p>
            <w:pPr>
              <w:pStyle w:val="TableParagraph"/>
              <w:spacing w:line="209" w:lineRule="exact"/>
              <w:ind w:left="69" w:right="53"/>
              <w:jc w:val="center"/>
              <w:rPr>
                <w:sz w:val="20"/>
              </w:rPr>
            </w:pPr>
            <w:r>
              <w:rPr>
                <w:color w:val="FFFFFF"/>
                <w:spacing w:val="-2"/>
                <w:sz w:val="20"/>
              </w:rPr>
              <w:t>INSTITUCIONAL</w:t>
            </w:r>
          </w:p>
        </w:tc>
        <w:tc>
          <w:tcPr>
            <w:tcW w:w="4679" w:type="dxa"/>
            <w:shd w:val="clear" w:color="auto" w:fill="365F91"/>
          </w:tcPr>
          <w:p>
            <w:pPr>
              <w:pStyle w:val="TableParagraph"/>
              <w:spacing w:before="111"/>
              <w:ind w:left="1405"/>
              <w:rPr>
                <w:sz w:val="20"/>
              </w:rPr>
            </w:pPr>
            <w:r>
              <w:rPr>
                <w:color w:val="FFFFFF"/>
                <w:sz w:val="20"/>
              </w:rPr>
              <w:t>NOMBRE</w:t>
            </w:r>
            <w:r>
              <w:rPr>
                <w:color w:val="FFFFFF"/>
                <w:spacing w:val="-12"/>
                <w:sz w:val="20"/>
              </w:rPr>
              <w:t> </w:t>
            </w:r>
            <w:r>
              <w:rPr>
                <w:color w:val="FFFFFF"/>
                <w:spacing w:val="-2"/>
                <w:sz w:val="20"/>
              </w:rPr>
              <w:t>ENTIDAD</w:t>
            </w:r>
          </w:p>
        </w:tc>
        <w:tc>
          <w:tcPr>
            <w:tcW w:w="1733" w:type="dxa"/>
            <w:shd w:val="clear" w:color="auto" w:fill="365F91"/>
          </w:tcPr>
          <w:p>
            <w:pPr>
              <w:pStyle w:val="TableParagraph"/>
              <w:spacing w:before="111"/>
              <w:ind w:left="467"/>
              <w:rPr>
                <w:sz w:val="20"/>
              </w:rPr>
            </w:pPr>
            <w:r>
              <w:rPr>
                <w:color w:val="FFFFFF"/>
                <w:spacing w:val="-2"/>
                <w:sz w:val="20"/>
              </w:rPr>
              <w:t>MONTO</w:t>
            </w:r>
          </w:p>
        </w:tc>
      </w:tr>
      <w:tr>
        <w:trPr>
          <w:trHeight w:val="229" w:hRule="atLeast"/>
        </w:trPr>
        <w:tc>
          <w:tcPr>
            <w:tcW w:w="1844" w:type="dxa"/>
          </w:tcPr>
          <w:p>
            <w:pPr>
              <w:pStyle w:val="TableParagraph"/>
              <w:rPr>
                <w:rFonts w:ascii="Times New Roman"/>
                <w:sz w:val="16"/>
              </w:rPr>
            </w:pPr>
          </w:p>
        </w:tc>
        <w:tc>
          <w:tcPr>
            <w:tcW w:w="4679" w:type="dxa"/>
          </w:tcPr>
          <w:p>
            <w:pPr>
              <w:pStyle w:val="TableParagraph"/>
              <w:rPr>
                <w:rFonts w:ascii="Times New Roman"/>
                <w:sz w:val="16"/>
              </w:rPr>
            </w:pPr>
          </w:p>
        </w:tc>
        <w:tc>
          <w:tcPr>
            <w:tcW w:w="1733" w:type="dxa"/>
          </w:tcPr>
          <w:p>
            <w:pPr>
              <w:pStyle w:val="TableParagraph"/>
              <w:rPr>
                <w:rFonts w:ascii="Times New Roman"/>
                <w:sz w:val="16"/>
              </w:rPr>
            </w:pPr>
          </w:p>
        </w:tc>
      </w:tr>
    </w:tbl>
    <w:p>
      <w:pPr>
        <w:pStyle w:val="BodyText"/>
        <w:spacing w:before="177"/>
        <w:rPr>
          <w:sz w:val="20"/>
        </w:rPr>
      </w:pPr>
      <w:r>
        <w:rPr>
          <w:sz w:val="20"/>
        </w:rPr>
        <mc:AlternateContent>
          <mc:Choice Requires="wps">
            <w:drawing>
              <wp:anchor distT="0" distB="0" distL="0" distR="0" allowOverlap="1" layoutInCell="1" locked="0" behindDoc="1" simplePos="0" relativeHeight="487646720">
                <wp:simplePos x="0" y="0"/>
                <wp:positionH relativeFrom="page">
                  <wp:posOffset>1080820</wp:posOffset>
                </wp:positionH>
                <wp:positionV relativeFrom="paragraph">
                  <wp:posOffset>275843</wp:posOffset>
                </wp:positionV>
                <wp:extent cx="5715000" cy="554990"/>
                <wp:effectExtent l="0" t="0" r="0" b="0"/>
                <wp:wrapTopAndBottom/>
                <wp:docPr id="373" name="Textbox 373"/>
                <wp:cNvGraphicFramePr>
                  <a:graphicFrameLocks/>
                </wp:cNvGraphicFramePr>
                <a:graphic>
                  <a:graphicData uri="http://schemas.microsoft.com/office/word/2010/wordprocessingShape">
                    <wps:wsp>
                      <wps:cNvPr id="373" name="Textbox 373"/>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4"/>
                              </w:rPr>
                              <w:t> </w:t>
                            </w:r>
                            <w:r>
                              <w:rPr/>
                              <w:t>julio</w:t>
                            </w:r>
                            <w:r>
                              <w:rPr>
                                <w:spacing w:val="-2"/>
                              </w:rPr>
                              <w:t> </w:t>
                            </w:r>
                            <w:r>
                              <w:rPr/>
                              <w:t>2026,</w:t>
                            </w:r>
                            <w:r>
                              <w:rPr>
                                <w:spacing w:val="-2"/>
                              </w:rPr>
                              <w:t> </w:t>
                            </w:r>
                            <w:r>
                              <w:rPr/>
                              <w:t>la</w:t>
                            </w:r>
                            <w:r>
                              <w:rPr>
                                <w:spacing w:val="-5"/>
                              </w:rPr>
                              <w:t> </w:t>
                            </w:r>
                            <w:r>
                              <w:rPr/>
                              <w:t>cuenta</w:t>
                            </w:r>
                            <w:r>
                              <w:rPr>
                                <w:spacing w:val="-2"/>
                              </w:rPr>
                              <w:t> </w:t>
                            </w:r>
                            <w:r>
                              <w:rPr/>
                              <w:t>no</w:t>
                            </w:r>
                            <w:r>
                              <w:rPr>
                                <w:spacing w:val="-2"/>
                              </w:rPr>
                              <w:t> </w:t>
                            </w:r>
                            <w:r>
                              <w:rPr/>
                              <w:t>presenta</w:t>
                            </w:r>
                            <w:r>
                              <w:rPr>
                                <w:spacing w:val="-6"/>
                              </w:rPr>
                              <w:t> </w:t>
                            </w:r>
                            <w:r>
                              <w:rPr/>
                              <w:t>ningún</w:t>
                            </w:r>
                            <w:r>
                              <w:rPr>
                                <w:spacing w:val="-5"/>
                              </w:rPr>
                              <w:t> </w:t>
                            </w:r>
                            <w:r>
                              <w:rPr/>
                              <w:t>movimiento </w:t>
                            </w:r>
                            <w:r>
                              <w:rPr>
                                <w:spacing w:val="-2"/>
                              </w:rPr>
                              <w:t>pendiente.</w:t>
                            </w:r>
                          </w:p>
                        </w:txbxContent>
                      </wps:txbx>
                      <wps:bodyPr wrap="square" lIns="0" tIns="0" rIns="0" bIns="0" rtlCol="0">
                        <a:noAutofit/>
                      </wps:bodyPr>
                    </wps:wsp>
                  </a:graphicData>
                </a:graphic>
              </wp:anchor>
            </w:drawing>
          </mc:Choice>
          <mc:Fallback>
            <w:pict>
              <v:shape style="position:absolute;margin-left:85.103996pt;margin-top:21.719999pt;width:450pt;height:43.7pt;mso-position-horizontal-relative:page;mso-position-vertical-relative:paragraph;z-index:-15669760;mso-wrap-distance-left:0;mso-wrap-distance-right:0" type="#_x0000_t202" id="docshape35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4"/>
                        </w:rPr>
                        <w:t> </w:t>
                      </w:r>
                      <w:r>
                        <w:rPr/>
                        <w:t>julio</w:t>
                      </w:r>
                      <w:r>
                        <w:rPr>
                          <w:spacing w:val="-2"/>
                        </w:rPr>
                        <w:t> </w:t>
                      </w:r>
                      <w:r>
                        <w:rPr/>
                        <w:t>2026,</w:t>
                      </w:r>
                      <w:r>
                        <w:rPr>
                          <w:spacing w:val="-2"/>
                        </w:rPr>
                        <w:t> </w:t>
                      </w:r>
                      <w:r>
                        <w:rPr/>
                        <w:t>la</w:t>
                      </w:r>
                      <w:r>
                        <w:rPr>
                          <w:spacing w:val="-5"/>
                        </w:rPr>
                        <w:t> </w:t>
                      </w:r>
                      <w:r>
                        <w:rPr/>
                        <w:t>cuenta</w:t>
                      </w:r>
                      <w:r>
                        <w:rPr>
                          <w:spacing w:val="-2"/>
                        </w:rPr>
                        <w:t> </w:t>
                      </w:r>
                      <w:r>
                        <w:rPr/>
                        <w:t>no</w:t>
                      </w:r>
                      <w:r>
                        <w:rPr>
                          <w:spacing w:val="-2"/>
                        </w:rPr>
                        <w:t> </w:t>
                      </w:r>
                      <w:r>
                        <w:rPr/>
                        <w:t>presenta</w:t>
                      </w:r>
                      <w:r>
                        <w:rPr>
                          <w:spacing w:val="-6"/>
                        </w:rPr>
                        <w:t> </w:t>
                      </w:r>
                      <w:r>
                        <w:rPr/>
                        <w:t>ningún</w:t>
                      </w:r>
                      <w:r>
                        <w:rPr>
                          <w:spacing w:val="-5"/>
                        </w:rPr>
                        <w:t> </w:t>
                      </w:r>
                      <w:r>
                        <w:rPr/>
                        <w:t>movimiento </w:t>
                      </w:r>
                      <w:r>
                        <w:rPr>
                          <w:spacing w:val="-2"/>
                        </w:rPr>
                        <w:t>pendiente.</w:t>
                      </w:r>
                    </w:p>
                  </w:txbxContent>
                </v:textbox>
                <v:stroke dashstyle="solid"/>
                <w10:wrap type="topAndBottom"/>
              </v:shape>
            </w:pict>
          </mc:Fallback>
        </mc:AlternateContent>
      </w:r>
    </w:p>
    <w:p>
      <w:pPr>
        <w:pStyle w:val="BodyText"/>
        <w:spacing w:before="175"/>
      </w:pPr>
    </w:p>
    <w:p>
      <w:pPr>
        <w:spacing w:before="0"/>
        <w:ind w:left="622" w:right="0" w:firstLine="0"/>
        <w:jc w:val="left"/>
        <w:rPr>
          <w:i/>
          <w:sz w:val="23"/>
        </w:rPr>
      </w:pPr>
      <w:r>
        <w:rPr>
          <w:i/>
          <w:spacing w:val="-4"/>
          <w:sz w:val="23"/>
        </w:rPr>
        <w:t>Otras</w:t>
      </w:r>
      <w:r>
        <w:rPr>
          <w:i/>
          <w:spacing w:val="-6"/>
          <w:sz w:val="23"/>
        </w:rPr>
        <w:t> </w:t>
      </w:r>
      <w:r>
        <w:rPr>
          <w:i/>
          <w:spacing w:val="-4"/>
          <w:sz w:val="23"/>
        </w:rPr>
        <w:t>cuentas</w:t>
      </w:r>
      <w:r>
        <w:rPr>
          <w:i/>
          <w:spacing w:val="-5"/>
          <w:sz w:val="23"/>
        </w:rPr>
        <w:t> </w:t>
      </w:r>
      <w:r>
        <w:rPr>
          <w:i/>
          <w:spacing w:val="-4"/>
          <w:sz w:val="23"/>
        </w:rPr>
        <w:t>por</w:t>
      </w:r>
      <w:r>
        <w:rPr>
          <w:i/>
          <w:spacing w:val="-5"/>
          <w:sz w:val="23"/>
        </w:rPr>
        <w:t> </w:t>
      </w:r>
      <w:r>
        <w:rPr>
          <w:i/>
          <w:spacing w:val="-4"/>
          <w:sz w:val="23"/>
        </w:rPr>
        <w:t>pagar</w:t>
      </w:r>
    </w:p>
    <w:p>
      <w:pPr>
        <w:pStyle w:val="BodyText"/>
        <w:spacing w:before="7"/>
        <w:rPr>
          <w:i/>
          <w:sz w:val="15"/>
        </w:rPr>
      </w:pPr>
    </w:p>
    <w:tbl>
      <w:tblPr>
        <w:tblW w:w="0" w:type="auto"/>
        <w:jc w:val="left"/>
        <w:tblInd w:w="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69"/>
        <w:gridCol w:w="2076"/>
        <w:gridCol w:w="1049"/>
      </w:tblGrid>
      <w:tr>
        <w:trPr>
          <w:trHeight w:val="239" w:hRule="atLeast"/>
        </w:trPr>
        <w:tc>
          <w:tcPr>
            <w:tcW w:w="4869" w:type="dxa"/>
            <w:tcBorders>
              <w:top w:val="single" w:sz="2" w:space="0" w:color="000000"/>
            </w:tcBorders>
          </w:tcPr>
          <w:p>
            <w:pPr>
              <w:pStyle w:val="TableParagraph"/>
              <w:rPr>
                <w:rFonts w:ascii="Times New Roman"/>
                <w:sz w:val="16"/>
              </w:rPr>
            </w:pPr>
          </w:p>
        </w:tc>
        <w:tc>
          <w:tcPr>
            <w:tcW w:w="2076" w:type="dxa"/>
            <w:tcBorders>
              <w:top w:val="single" w:sz="2" w:space="0" w:color="000000"/>
            </w:tcBorders>
          </w:tcPr>
          <w:p>
            <w:pPr>
              <w:pStyle w:val="TableParagraph"/>
              <w:spacing w:before="23"/>
              <w:ind w:right="353"/>
              <w:jc w:val="right"/>
              <w:rPr>
                <w:rFonts w:ascii="Times New Roman"/>
                <w:b/>
                <w:sz w:val="17"/>
              </w:rPr>
            </w:pPr>
            <w:r>
              <w:rPr>
                <w:rFonts w:ascii="Times New Roman"/>
                <w:b/>
                <w:spacing w:val="-4"/>
                <w:w w:val="105"/>
                <w:sz w:val="17"/>
                <w:u w:val="double"/>
              </w:rPr>
              <w:t>2026</w:t>
            </w:r>
          </w:p>
        </w:tc>
        <w:tc>
          <w:tcPr>
            <w:tcW w:w="1049" w:type="dxa"/>
            <w:tcBorders>
              <w:top w:val="single" w:sz="2" w:space="0" w:color="000000"/>
            </w:tcBorders>
          </w:tcPr>
          <w:p>
            <w:pPr>
              <w:pStyle w:val="TableParagraph"/>
              <w:spacing w:before="23"/>
              <w:ind w:right="23"/>
              <w:jc w:val="right"/>
              <w:rPr>
                <w:rFonts w:ascii="Times New Roman"/>
                <w:b/>
                <w:sz w:val="17"/>
              </w:rPr>
            </w:pPr>
            <w:r>
              <w:rPr>
                <w:rFonts w:ascii="Times New Roman"/>
                <w:b/>
                <w:spacing w:val="-4"/>
                <w:w w:val="105"/>
                <w:sz w:val="17"/>
                <w:u w:val="double"/>
              </w:rPr>
              <w:t>2025</w:t>
            </w:r>
          </w:p>
        </w:tc>
      </w:tr>
      <w:tr>
        <w:trPr>
          <w:trHeight w:val="484" w:hRule="atLeast"/>
        </w:trPr>
        <w:tc>
          <w:tcPr>
            <w:tcW w:w="4869" w:type="dxa"/>
          </w:tcPr>
          <w:p>
            <w:pPr>
              <w:pStyle w:val="TableParagraph"/>
              <w:spacing w:before="37"/>
              <w:rPr>
                <w:i/>
                <w:sz w:val="19"/>
              </w:rPr>
            </w:pPr>
          </w:p>
          <w:p>
            <w:pPr>
              <w:pStyle w:val="TableParagraph"/>
              <w:spacing w:line="210" w:lineRule="exact"/>
              <w:ind w:left="1080"/>
              <w:rPr>
                <w:rFonts w:ascii="Times New Roman"/>
                <w:b/>
                <w:sz w:val="19"/>
              </w:rPr>
            </w:pPr>
            <w:r>
              <w:rPr>
                <w:rFonts w:ascii="Times New Roman"/>
                <w:b/>
                <w:sz w:val="19"/>
              </w:rPr>
              <mc:AlternateContent>
                <mc:Choice Requires="wps">
                  <w:drawing>
                    <wp:anchor distT="0" distB="0" distL="0" distR="0" allowOverlap="1" layoutInCell="1" locked="0" behindDoc="1" simplePos="0" relativeHeight="473584640">
                      <wp:simplePos x="0" y="0"/>
                      <wp:positionH relativeFrom="column">
                        <wp:posOffset>594690</wp:posOffset>
                      </wp:positionH>
                      <wp:positionV relativeFrom="paragraph">
                        <wp:posOffset>-315968</wp:posOffset>
                      </wp:positionV>
                      <wp:extent cx="3175" cy="928369"/>
                      <wp:effectExtent l="0" t="0" r="0" b="0"/>
                      <wp:wrapNone/>
                      <wp:docPr id="374" name="Group 374"/>
                      <wp:cNvGraphicFramePr>
                        <a:graphicFrameLocks/>
                      </wp:cNvGraphicFramePr>
                      <a:graphic>
                        <a:graphicData uri="http://schemas.microsoft.com/office/word/2010/wordprocessingGroup">
                          <wpg:wgp>
                            <wpg:cNvPr id="374" name="Group 374"/>
                            <wpg:cNvGrpSpPr/>
                            <wpg:grpSpPr>
                              <a:xfrm>
                                <a:off x="0" y="0"/>
                                <a:ext cx="3175" cy="928369"/>
                                <a:chExt cx="3175" cy="928369"/>
                              </a:xfrm>
                            </wpg:grpSpPr>
                            <wps:wsp>
                              <wps:cNvPr id="375" name="Graphic 375"/>
                              <wps:cNvSpPr/>
                              <wps:spPr>
                                <a:xfrm>
                                  <a:off x="0" y="0"/>
                                  <a:ext cx="3175" cy="928369"/>
                                </a:xfrm>
                                <a:custGeom>
                                  <a:avLst/>
                                  <a:gdLst/>
                                  <a:ahLst/>
                                  <a:cxnLst/>
                                  <a:rect l="l" t="t" r="r" b="b"/>
                                  <a:pathLst>
                                    <a:path w="3175" h="928369">
                                      <a:moveTo>
                                        <a:pt x="3037" y="927745"/>
                                      </a:moveTo>
                                      <a:lnTo>
                                        <a:pt x="3037" y="0"/>
                                      </a:lnTo>
                                      <a:lnTo>
                                        <a:pt x="0" y="0"/>
                                      </a:lnTo>
                                      <a:lnTo>
                                        <a:pt x="0" y="927745"/>
                                      </a:lnTo>
                                      <a:lnTo>
                                        <a:pt x="3037" y="92774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6.825996pt;margin-top:-24.87944pt;width:.25pt;height:73.1pt;mso-position-horizontal-relative:column;mso-position-vertical-relative:paragraph;z-index:-29731840" id="docshapegroup355" coordorigin="937,-498" coordsize="5,1462">
                      <v:rect style="position:absolute;left:936;top:-498;width:5;height:1462" id="docshape356" filled="true" fillcolor="#000000" stroked="false">
                        <v:fill type="solid"/>
                      </v:rect>
                      <w10:wrap type="none"/>
                    </v:group>
                  </w:pict>
                </mc:Fallback>
              </mc:AlternateContent>
            </w:r>
            <w:r>
              <w:rPr>
                <w:rFonts w:ascii="Times New Roman"/>
                <w:b/>
                <w:sz w:val="19"/>
              </w:rPr>
              <w:t>Gastos</w:t>
            </w:r>
            <w:r>
              <w:rPr>
                <w:rFonts w:ascii="Times New Roman"/>
                <w:b/>
                <w:spacing w:val="-6"/>
                <w:sz w:val="19"/>
              </w:rPr>
              <w:t> </w:t>
            </w:r>
            <w:r>
              <w:rPr>
                <w:rFonts w:ascii="Times New Roman"/>
                <w:b/>
                <w:sz w:val="19"/>
              </w:rPr>
              <w:t>acumulados</w:t>
            </w:r>
            <w:r>
              <w:rPr>
                <w:rFonts w:ascii="Times New Roman"/>
                <w:b/>
                <w:spacing w:val="-6"/>
                <w:sz w:val="19"/>
              </w:rPr>
              <w:t> </w:t>
            </w:r>
            <w:r>
              <w:rPr>
                <w:rFonts w:ascii="Times New Roman"/>
                <w:b/>
                <w:sz w:val="19"/>
              </w:rPr>
              <w:t>por</w:t>
            </w:r>
            <w:r>
              <w:rPr>
                <w:rFonts w:ascii="Times New Roman"/>
                <w:b/>
                <w:spacing w:val="-6"/>
                <w:sz w:val="19"/>
              </w:rPr>
              <w:t> </w:t>
            </w:r>
            <w:r>
              <w:rPr>
                <w:rFonts w:ascii="Times New Roman"/>
                <w:b/>
                <w:spacing w:val="-4"/>
                <w:sz w:val="19"/>
              </w:rPr>
              <w:t>pagar</w:t>
            </w:r>
          </w:p>
        </w:tc>
        <w:tc>
          <w:tcPr>
            <w:tcW w:w="2076" w:type="dxa"/>
          </w:tcPr>
          <w:p>
            <w:pPr>
              <w:pStyle w:val="TableParagraph"/>
              <w:rPr>
                <w:rFonts w:ascii="Times New Roman"/>
                <w:sz w:val="20"/>
              </w:rPr>
            </w:pPr>
          </w:p>
        </w:tc>
        <w:tc>
          <w:tcPr>
            <w:tcW w:w="1049" w:type="dxa"/>
            <w:tcBorders>
              <w:right w:val="single" w:sz="4" w:space="0" w:color="000000"/>
            </w:tcBorders>
          </w:tcPr>
          <w:p>
            <w:pPr>
              <w:pStyle w:val="TableParagraph"/>
              <w:rPr>
                <w:rFonts w:ascii="Times New Roman"/>
                <w:sz w:val="20"/>
              </w:rPr>
            </w:pPr>
          </w:p>
        </w:tc>
      </w:tr>
      <w:tr>
        <w:trPr>
          <w:trHeight w:val="249" w:hRule="atLeast"/>
        </w:trPr>
        <w:tc>
          <w:tcPr>
            <w:tcW w:w="4869" w:type="dxa"/>
          </w:tcPr>
          <w:p>
            <w:pPr>
              <w:pStyle w:val="TableParagraph"/>
              <w:spacing w:line="215" w:lineRule="exact" w:before="14"/>
              <w:ind w:left="1080"/>
              <w:rPr>
                <w:rFonts w:ascii="Times New Roman"/>
                <w:sz w:val="19"/>
              </w:rPr>
            </w:pPr>
            <w:r>
              <w:rPr>
                <w:rFonts w:ascii="Times New Roman"/>
                <w:sz w:val="19"/>
              </w:rPr>
              <w:t>Gastos</w:t>
            </w:r>
            <w:r>
              <w:rPr>
                <w:rFonts w:ascii="Times New Roman"/>
                <w:spacing w:val="-3"/>
                <w:sz w:val="19"/>
              </w:rPr>
              <w:t> </w:t>
            </w:r>
            <w:r>
              <w:rPr>
                <w:rFonts w:ascii="Times New Roman"/>
                <w:sz w:val="19"/>
              </w:rPr>
              <w:t>acumulados por</w:t>
            </w:r>
            <w:r>
              <w:rPr>
                <w:rFonts w:ascii="Times New Roman"/>
                <w:spacing w:val="41"/>
                <w:sz w:val="19"/>
              </w:rPr>
              <w:t> </w:t>
            </w:r>
            <w:r>
              <w:rPr>
                <w:rFonts w:ascii="Times New Roman"/>
                <w:sz w:val="19"/>
              </w:rPr>
              <w:t>pagar</w:t>
            </w:r>
            <w:r>
              <w:rPr>
                <w:rFonts w:ascii="Times New Roman"/>
                <w:spacing w:val="-3"/>
                <w:sz w:val="19"/>
              </w:rPr>
              <w:t> </w:t>
            </w:r>
            <w:r>
              <w:rPr>
                <w:rFonts w:ascii="Times New Roman"/>
                <w:spacing w:val="-2"/>
                <w:sz w:val="19"/>
              </w:rPr>
              <w:t>fletes</w:t>
            </w:r>
          </w:p>
        </w:tc>
        <w:tc>
          <w:tcPr>
            <w:tcW w:w="2076" w:type="dxa"/>
          </w:tcPr>
          <w:p>
            <w:pPr>
              <w:pStyle w:val="TableParagraph"/>
              <w:spacing w:line="215" w:lineRule="exact" w:before="14"/>
              <w:ind w:right="353"/>
              <w:jc w:val="right"/>
              <w:rPr>
                <w:rFonts w:ascii="Times New Roman"/>
                <w:sz w:val="19"/>
              </w:rPr>
            </w:pPr>
            <w:r>
              <w:rPr>
                <w:rFonts w:ascii="Times New Roman"/>
                <w:sz w:val="19"/>
              </w:rPr>
              <w:t>6</w:t>
            </w:r>
            <w:r>
              <w:rPr>
                <w:rFonts w:ascii="Times New Roman"/>
                <w:spacing w:val="-1"/>
                <w:sz w:val="19"/>
              </w:rPr>
              <w:t> </w:t>
            </w:r>
            <w:r>
              <w:rPr>
                <w:rFonts w:ascii="Times New Roman"/>
                <w:spacing w:val="-2"/>
                <w:sz w:val="19"/>
              </w:rPr>
              <w:t>189,56</w:t>
            </w:r>
          </w:p>
        </w:tc>
        <w:tc>
          <w:tcPr>
            <w:tcW w:w="1049" w:type="dxa"/>
          </w:tcPr>
          <w:p>
            <w:pPr>
              <w:pStyle w:val="TableParagraph"/>
              <w:spacing w:line="215" w:lineRule="exact" w:before="14"/>
              <w:ind w:right="23"/>
              <w:jc w:val="right"/>
              <w:rPr>
                <w:rFonts w:ascii="Times New Roman"/>
                <w:sz w:val="19"/>
              </w:rPr>
            </w:pPr>
            <w:r>
              <w:rPr>
                <w:rFonts w:ascii="Times New Roman"/>
                <w:spacing w:val="-4"/>
                <w:sz w:val="19"/>
              </w:rPr>
              <w:t>0,00</w:t>
            </w:r>
          </w:p>
        </w:tc>
      </w:tr>
      <w:tr>
        <w:trPr>
          <w:trHeight w:val="244" w:hRule="atLeast"/>
        </w:trPr>
        <w:tc>
          <w:tcPr>
            <w:tcW w:w="4869" w:type="dxa"/>
          </w:tcPr>
          <w:p>
            <w:pPr>
              <w:pStyle w:val="TableParagraph"/>
              <w:spacing w:line="215" w:lineRule="exact" w:before="9"/>
              <w:ind w:left="1080"/>
              <w:rPr>
                <w:rFonts w:ascii="Times New Roman"/>
                <w:sz w:val="19"/>
              </w:rPr>
            </w:pPr>
            <w:r>
              <w:rPr>
                <w:rFonts w:ascii="Times New Roman"/>
                <w:sz w:val="19"/>
              </w:rPr>
              <w:t>Otras</w:t>
            </w:r>
            <w:r>
              <w:rPr>
                <w:rFonts w:ascii="Times New Roman"/>
                <w:spacing w:val="-1"/>
                <w:sz w:val="19"/>
              </w:rPr>
              <w:t> </w:t>
            </w:r>
            <w:r>
              <w:rPr>
                <w:rFonts w:ascii="Times New Roman"/>
                <w:sz w:val="19"/>
              </w:rPr>
              <w:t>deudas varias por</w:t>
            </w:r>
            <w:r>
              <w:rPr>
                <w:rFonts w:ascii="Times New Roman"/>
                <w:spacing w:val="-4"/>
                <w:sz w:val="19"/>
              </w:rPr>
              <w:t> </w:t>
            </w:r>
            <w:r>
              <w:rPr>
                <w:rFonts w:ascii="Times New Roman"/>
                <w:spacing w:val="-2"/>
                <w:sz w:val="19"/>
              </w:rPr>
              <w:t>pagar</w:t>
            </w:r>
          </w:p>
        </w:tc>
        <w:tc>
          <w:tcPr>
            <w:tcW w:w="2076" w:type="dxa"/>
          </w:tcPr>
          <w:p>
            <w:pPr>
              <w:pStyle w:val="TableParagraph"/>
              <w:spacing w:line="215" w:lineRule="exact" w:before="9"/>
              <w:ind w:right="353"/>
              <w:jc w:val="right"/>
              <w:rPr>
                <w:rFonts w:ascii="Times New Roman"/>
                <w:sz w:val="19"/>
              </w:rPr>
            </w:pPr>
            <w:r>
              <w:rPr>
                <w:rFonts w:ascii="Times New Roman"/>
                <w:sz w:val="19"/>
              </w:rPr>
              <w:t>3</w:t>
            </w:r>
            <w:r>
              <w:rPr>
                <w:rFonts w:ascii="Times New Roman"/>
                <w:spacing w:val="-1"/>
                <w:sz w:val="19"/>
              </w:rPr>
              <w:t> </w:t>
            </w:r>
            <w:r>
              <w:rPr>
                <w:rFonts w:ascii="Times New Roman"/>
                <w:spacing w:val="-2"/>
                <w:sz w:val="19"/>
              </w:rPr>
              <w:t>664,34</w:t>
            </w:r>
          </w:p>
        </w:tc>
        <w:tc>
          <w:tcPr>
            <w:tcW w:w="1049" w:type="dxa"/>
          </w:tcPr>
          <w:p>
            <w:pPr>
              <w:pStyle w:val="TableParagraph"/>
              <w:spacing w:line="215" w:lineRule="exact" w:before="9"/>
              <w:ind w:right="23"/>
              <w:jc w:val="right"/>
              <w:rPr>
                <w:rFonts w:ascii="Times New Roman"/>
                <w:sz w:val="19"/>
              </w:rPr>
            </w:pPr>
            <w:r>
              <w:rPr>
                <w:rFonts w:ascii="Times New Roman"/>
                <w:sz w:val="19"/>
              </w:rPr>
              <w:t>2</w:t>
            </w:r>
            <w:r>
              <w:rPr>
                <w:rFonts w:ascii="Times New Roman"/>
                <w:spacing w:val="-1"/>
                <w:sz w:val="19"/>
              </w:rPr>
              <w:t> </w:t>
            </w:r>
            <w:r>
              <w:rPr>
                <w:rFonts w:ascii="Times New Roman"/>
                <w:spacing w:val="-2"/>
                <w:sz w:val="19"/>
              </w:rPr>
              <w:t>360,14</w:t>
            </w:r>
          </w:p>
        </w:tc>
      </w:tr>
      <w:tr>
        <w:trPr>
          <w:trHeight w:val="229" w:hRule="atLeast"/>
        </w:trPr>
        <w:tc>
          <w:tcPr>
            <w:tcW w:w="4869" w:type="dxa"/>
            <w:tcBorders>
              <w:bottom w:val="single" w:sz="4" w:space="0" w:color="000000"/>
            </w:tcBorders>
          </w:tcPr>
          <w:p>
            <w:pPr>
              <w:pStyle w:val="TableParagraph"/>
              <w:rPr>
                <w:rFonts w:ascii="Times New Roman"/>
                <w:sz w:val="16"/>
              </w:rPr>
            </w:pPr>
          </w:p>
        </w:tc>
        <w:tc>
          <w:tcPr>
            <w:tcW w:w="2076" w:type="dxa"/>
            <w:tcBorders>
              <w:bottom w:val="single" w:sz="4" w:space="0" w:color="000000"/>
            </w:tcBorders>
          </w:tcPr>
          <w:p>
            <w:pPr>
              <w:pStyle w:val="TableParagraph"/>
              <w:spacing w:line="200" w:lineRule="exact" w:before="9"/>
              <w:ind w:right="353"/>
              <w:jc w:val="right"/>
              <w:rPr>
                <w:rFonts w:ascii="Times New Roman"/>
                <w:b/>
                <w:sz w:val="19"/>
              </w:rPr>
            </w:pPr>
            <w:r>
              <w:rPr>
                <w:rFonts w:ascii="Times New Roman"/>
                <w:b/>
                <w:sz w:val="19"/>
                <w:u w:val="single"/>
              </w:rPr>
              <w:t>9</w:t>
            </w:r>
            <w:r>
              <w:rPr>
                <w:rFonts w:ascii="Times New Roman"/>
                <w:b/>
                <w:spacing w:val="-1"/>
                <w:sz w:val="19"/>
                <w:u w:val="single"/>
              </w:rPr>
              <w:t> </w:t>
            </w:r>
            <w:r>
              <w:rPr>
                <w:rFonts w:ascii="Times New Roman"/>
                <w:b/>
                <w:spacing w:val="-2"/>
                <w:sz w:val="19"/>
                <w:u w:val="single"/>
              </w:rPr>
              <w:t>853,91</w:t>
            </w:r>
          </w:p>
        </w:tc>
        <w:tc>
          <w:tcPr>
            <w:tcW w:w="1049" w:type="dxa"/>
            <w:tcBorders>
              <w:bottom w:val="single" w:sz="4" w:space="0" w:color="000000"/>
              <w:right w:val="single" w:sz="4" w:space="0" w:color="000000"/>
            </w:tcBorders>
          </w:tcPr>
          <w:p>
            <w:pPr>
              <w:pStyle w:val="TableParagraph"/>
              <w:spacing w:line="200" w:lineRule="exact" w:before="9"/>
              <w:ind w:right="18"/>
              <w:jc w:val="right"/>
              <w:rPr>
                <w:rFonts w:ascii="Times New Roman"/>
                <w:b/>
                <w:sz w:val="19"/>
              </w:rPr>
            </w:pPr>
            <w:r>
              <w:rPr>
                <w:rFonts w:ascii="Times New Roman"/>
                <w:b/>
                <w:sz w:val="19"/>
                <w:u w:val="single"/>
              </w:rPr>
              <w:t>2</w:t>
            </w:r>
            <w:r>
              <w:rPr>
                <w:rFonts w:ascii="Times New Roman"/>
                <w:b/>
                <w:spacing w:val="-1"/>
                <w:sz w:val="19"/>
                <w:u w:val="single"/>
              </w:rPr>
              <w:t> </w:t>
            </w:r>
            <w:r>
              <w:rPr>
                <w:rFonts w:ascii="Times New Roman"/>
                <w:b/>
                <w:spacing w:val="-2"/>
                <w:sz w:val="19"/>
                <w:u w:val="single"/>
              </w:rPr>
              <w:t>360,14</w:t>
            </w:r>
          </w:p>
        </w:tc>
      </w:tr>
      <w:tr>
        <w:trPr>
          <w:trHeight w:val="1068" w:hRule="atLeast"/>
        </w:trPr>
        <w:tc>
          <w:tcPr>
            <w:tcW w:w="4869" w:type="dxa"/>
            <w:tcBorders>
              <w:top w:val="single" w:sz="4" w:space="0" w:color="000000"/>
            </w:tcBorders>
          </w:tcPr>
          <w:p>
            <w:pPr>
              <w:pStyle w:val="TableParagraph"/>
              <w:rPr>
                <w:i/>
                <w:sz w:val="22"/>
              </w:rPr>
            </w:pPr>
          </w:p>
          <w:p>
            <w:pPr>
              <w:pStyle w:val="TableParagraph"/>
              <w:spacing w:before="119"/>
              <w:rPr>
                <w:i/>
                <w:sz w:val="22"/>
              </w:rPr>
            </w:pPr>
          </w:p>
          <w:p>
            <w:pPr>
              <w:pStyle w:val="TableParagraph"/>
              <w:ind w:left="50"/>
              <w:rPr>
                <w:b/>
                <w:sz w:val="22"/>
              </w:rPr>
            </w:pPr>
            <w:bookmarkStart w:name="_bookmark47" w:id="48"/>
            <w:bookmarkEnd w:id="48"/>
            <w:r>
              <w:rPr/>
            </w:r>
            <w:r>
              <w:rPr>
                <w:b/>
                <w:sz w:val="22"/>
              </w:rPr>
              <w:t>NOTA</w:t>
            </w:r>
            <w:r>
              <w:rPr>
                <w:b/>
                <w:spacing w:val="-1"/>
                <w:sz w:val="22"/>
              </w:rPr>
              <w:t> </w:t>
            </w:r>
            <w:r>
              <w:rPr>
                <w:b/>
                <w:sz w:val="22"/>
              </w:rPr>
              <w:t>N° </w:t>
            </w:r>
            <w:r>
              <w:rPr>
                <w:b/>
                <w:spacing w:val="-5"/>
                <w:sz w:val="22"/>
              </w:rPr>
              <w:t>15</w:t>
            </w:r>
          </w:p>
        </w:tc>
        <w:tc>
          <w:tcPr>
            <w:tcW w:w="2076" w:type="dxa"/>
            <w:tcBorders>
              <w:top w:val="single" w:sz="4" w:space="0" w:color="000000"/>
            </w:tcBorders>
          </w:tcPr>
          <w:p>
            <w:pPr>
              <w:pStyle w:val="TableParagraph"/>
              <w:rPr>
                <w:rFonts w:ascii="Times New Roman"/>
                <w:sz w:val="20"/>
              </w:rPr>
            </w:pPr>
          </w:p>
        </w:tc>
        <w:tc>
          <w:tcPr>
            <w:tcW w:w="1049" w:type="dxa"/>
            <w:tcBorders>
              <w:top w:val="single" w:sz="4" w:space="0" w:color="000000"/>
            </w:tcBorders>
          </w:tcPr>
          <w:p>
            <w:pPr>
              <w:pStyle w:val="TableParagraph"/>
              <w:rPr>
                <w:rFonts w:ascii="Times New Roman"/>
                <w:sz w:val="20"/>
              </w:rPr>
            </w:pPr>
          </w:p>
        </w:tc>
      </w:tr>
      <w:tr>
        <w:trPr>
          <w:trHeight w:val="418" w:hRule="atLeast"/>
        </w:trPr>
        <w:tc>
          <w:tcPr>
            <w:tcW w:w="4869" w:type="dxa"/>
          </w:tcPr>
          <w:p>
            <w:pPr>
              <w:pStyle w:val="TableParagraph"/>
              <w:spacing w:line="229" w:lineRule="exact" w:before="169"/>
              <w:ind w:left="50"/>
              <w:rPr>
                <w:sz w:val="22"/>
              </w:rPr>
            </w:pPr>
            <w:r>
              <w:rPr>
                <w:sz w:val="22"/>
              </w:rPr>
              <w:t>Endeudamiento</w:t>
            </w:r>
            <w:r>
              <w:rPr>
                <w:spacing w:val="-4"/>
                <w:sz w:val="22"/>
              </w:rPr>
              <w:t> </w:t>
            </w:r>
            <w:r>
              <w:rPr>
                <w:sz w:val="22"/>
              </w:rPr>
              <w:t>público</w:t>
            </w:r>
            <w:r>
              <w:rPr>
                <w:spacing w:val="-4"/>
                <w:sz w:val="22"/>
              </w:rPr>
              <w:t> </w:t>
            </w:r>
            <w:r>
              <w:rPr>
                <w:sz w:val="22"/>
              </w:rPr>
              <w:t>a</w:t>
            </w:r>
            <w:r>
              <w:rPr>
                <w:spacing w:val="-5"/>
                <w:sz w:val="22"/>
              </w:rPr>
              <w:t> </w:t>
            </w:r>
            <w:r>
              <w:rPr>
                <w:sz w:val="22"/>
              </w:rPr>
              <w:t>corto</w:t>
            </w:r>
            <w:r>
              <w:rPr>
                <w:spacing w:val="-4"/>
                <w:sz w:val="22"/>
              </w:rPr>
              <w:t> plazo</w:t>
            </w:r>
          </w:p>
        </w:tc>
        <w:tc>
          <w:tcPr>
            <w:tcW w:w="2076" w:type="dxa"/>
          </w:tcPr>
          <w:p>
            <w:pPr>
              <w:pStyle w:val="TableParagraph"/>
              <w:rPr>
                <w:rFonts w:ascii="Times New Roman"/>
                <w:sz w:val="20"/>
              </w:rPr>
            </w:pPr>
          </w:p>
        </w:tc>
        <w:tc>
          <w:tcPr>
            <w:tcW w:w="1049" w:type="dxa"/>
          </w:tcPr>
          <w:p>
            <w:pPr>
              <w:pStyle w:val="TableParagraph"/>
              <w:rPr>
                <w:rFonts w:ascii="Times New Roman"/>
                <w:sz w:val="20"/>
              </w:rPr>
            </w:pPr>
          </w:p>
        </w:tc>
      </w:tr>
    </w:tbl>
    <w:p>
      <w:pPr>
        <w:pStyle w:val="BodyText"/>
        <w:rPr>
          <w:i/>
          <w:sz w:val="20"/>
        </w:rPr>
      </w:pPr>
    </w:p>
    <w:p>
      <w:pPr>
        <w:pStyle w:val="BodyText"/>
        <w:rPr>
          <w:i/>
          <w:sz w:val="20"/>
        </w:rPr>
      </w:pPr>
    </w:p>
    <w:p>
      <w:pPr>
        <w:pStyle w:val="BodyText"/>
        <w:spacing w:before="8"/>
        <w:rPr>
          <w:i/>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2977"/>
        <w:gridCol w:w="566"/>
        <w:gridCol w:w="1702"/>
        <w:gridCol w:w="1629"/>
        <w:gridCol w:w="1176"/>
      </w:tblGrid>
      <w:tr>
        <w:trPr>
          <w:trHeight w:val="327" w:hRule="atLeast"/>
        </w:trPr>
        <w:tc>
          <w:tcPr>
            <w:tcW w:w="1126" w:type="dxa"/>
            <w:vMerge w:val="restart"/>
            <w:shd w:val="clear" w:color="auto" w:fill="365F92"/>
          </w:tcPr>
          <w:p>
            <w:pPr>
              <w:pStyle w:val="TableParagraph"/>
              <w:spacing w:before="135"/>
              <w:ind w:left="69"/>
              <w:rPr>
                <w:b/>
                <w:sz w:val="20"/>
              </w:rPr>
            </w:pPr>
            <w:r>
              <w:rPr>
                <w:b/>
                <w:color w:val="FFFFFF"/>
                <w:spacing w:val="-2"/>
                <w:sz w:val="20"/>
              </w:rPr>
              <w:t>Cuenta</w:t>
            </w:r>
          </w:p>
        </w:tc>
        <w:tc>
          <w:tcPr>
            <w:tcW w:w="2977" w:type="dxa"/>
            <w:vMerge w:val="restart"/>
            <w:shd w:val="clear" w:color="auto" w:fill="365F92"/>
          </w:tcPr>
          <w:p>
            <w:pPr>
              <w:pStyle w:val="TableParagraph"/>
              <w:spacing w:before="224"/>
              <w:ind w:left="10"/>
              <w:jc w:val="center"/>
              <w:rPr>
                <w:b/>
                <w:sz w:val="20"/>
              </w:rPr>
            </w:pPr>
            <w:r>
              <w:rPr>
                <w:b/>
                <w:color w:val="FFFFFF"/>
                <w:spacing w:val="-2"/>
                <w:sz w:val="20"/>
              </w:rPr>
              <w:t>Descripción</w:t>
            </w:r>
          </w:p>
        </w:tc>
        <w:tc>
          <w:tcPr>
            <w:tcW w:w="566" w:type="dxa"/>
            <w:vMerge w:val="restart"/>
            <w:shd w:val="clear" w:color="auto" w:fill="365F92"/>
          </w:tcPr>
          <w:p>
            <w:pPr>
              <w:pStyle w:val="TableParagraph"/>
              <w:spacing w:before="224"/>
              <w:ind w:left="85"/>
              <w:rPr>
                <w:b/>
                <w:sz w:val="20"/>
              </w:rPr>
            </w:pPr>
            <w:r>
              <w:rPr>
                <w:b/>
                <w:color w:val="FFFFFF"/>
                <w:spacing w:val="-4"/>
                <w:sz w:val="20"/>
              </w:rPr>
              <w:t>Nota</w:t>
            </w:r>
          </w:p>
        </w:tc>
        <w:tc>
          <w:tcPr>
            <w:tcW w:w="1702" w:type="dxa"/>
            <w:vMerge w:val="restart"/>
            <w:shd w:val="clear" w:color="auto" w:fill="365F92"/>
          </w:tcPr>
          <w:p>
            <w:pPr>
              <w:pStyle w:val="TableParagraph"/>
              <w:spacing w:before="224"/>
              <w:ind w:left="275"/>
              <w:rPr>
                <w:b/>
                <w:sz w:val="20"/>
              </w:rPr>
            </w:pPr>
            <w:r>
              <w:rPr>
                <w:b/>
                <w:color w:val="FFFFFF"/>
                <w:sz w:val="20"/>
              </w:rPr>
              <w:t>Periodo</w:t>
            </w:r>
            <w:r>
              <w:rPr>
                <w:b/>
                <w:color w:val="FFFFFF"/>
                <w:spacing w:val="-5"/>
                <w:sz w:val="20"/>
              </w:rPr>
              <w:t> </w:t>
            </w:r>
            <w:r>
              <w:rPr>
                <w:b/>
                <w:color w:val="FFFFFF"/>
                <w:spacing w:val="-2"/>
                <w:sz w:val="20"/>
              </w:rPr>
              <w:t>Actual</w:t>
            </w:r>
          </w:p>
        </w:tc>
        <w:tc>
          <w:tcPr>
            <w:tcW w:w="1629" w:type="dxa"/>
            <w:vMerge w:val="restart"/>
            <w:shd w:val="clear" w:color="auto" w:fill="365F92"/>
          </w:tcPr>
          <w:p>
            <w:pPr>
              <w:pStyle w:val="TableParagraph"/>
              <w:spacing w:before="224"/>
              <w:ind w:left="158"/>
              <w:rPr>
                <w:b/>
                <w:sz w:val="20"/>
              </w:rPr>
            </w:pPr>
            <w:r>
              <w:rPr>
                <w:b/>
                <w:color w:val="FFFFFF"/>
                <w:sz w:val="20"/>
              </w:rPr>
              <w:t>Periodo</w:t>
            </w:r>
            <w:r>
              <w:rPr>
                <w:b/>
                <w:color w:val="FFFFFF"/>
                <w:spacing w:val="-5"/>
                <w:sz w:val="20"/>
              </w:rPr>
              <w:t> </w:t>
            </w:r>
            <w:r>
              <w:rPr>
                <w:b/>
                <w:color w:val="FFFFFF"/>
                <w:spacing w:val="-2"/>
                <w:sz w:val="20"/>
              </w:rPr>
              <w:t>Anterior</w:t>
            </w:r>
          </w:p>
        </w:tc>
        <w:tc>
          <w:tcPr>
            <w:tcW w:w="1176" w:type="dxa"/>
            <w:shd w:val="clear" w:color="auto" w:fill="365F92"/>
          </w:tcPr>
          <w:p>
            <w:pPr>
              <w:pStyle w:val="TableParagraph"/>
              <w:spacing w:before="49"/>
              <w:ind w:left="19" w:right="3"/>
              <w:jc w:val="center"/>
              <w:rPr>
                <w:b/>
                <w:sz w:val="20"/>
              </w:rPr>
            </w:pPr>
            <w:r>
              <w:rPr>
                <w:b/>
                <w:color w:val="FFFFFF"/>
                <w:spacing w:val="-2"/>
                <w:sz w:val="20"/>
              </w:rPr>
              <w:t>Diferencia</w:t>
            </w:r>
          </w:p>
        </w:tc>
      </w:tr>
      <w:tr>
        <w:trPr>
          <w:trHeight w:val="328" w:hRule="atLeast"/>
        </w:trPr>
        <w:tc>
          <w:tcPr>
            <w:tcW w:w="1126" w:type="dxa"/>
            <w:vMerge/>
            <w:tcBorders>
              <w:top w:val="nil"/>
            </w:tcBorders>
            <w:shd w:val="clear" w:color="auto" w:fill="365F92"/>
          </w:tcPr>
          <w:p>
            <w:pPr>
              <w:rPr>
                <w:sz w:val="2"/>
                <w:szCs w:val="2"/>
              </w:rPr>
            </w:pPr>
          </w:p>
        </w:tc>
        <w:tc>
          <w:tcPr>
            <w:tcW w:w="2977"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629" w:type="dxa"/>
            <w:vMerge/>
            <w:tcBorders>
              <w:top w:val="nil"/>
            </w:tcBorders>
            <w:shd w:val="clear" w:color="auto" w:fill="365F92"/>
          </w:tcPr>
          <w:p>
            <w:pPr>
              <w:rPr>
                <w:sz w:val="2"/>
                <w:szCs w:val="2"/>
              </w:rPr>
            </w:pPr>
          </w:p>
        </w:tc>
        <w:tc>
          <w:tcPr>
            <w:tcW w:w="1176" w:type="dxa"/>
            <w:shd w:val="clear" w:color="auto" w:fill="365F92"/>
          </w:tcPr>
          <w:p>
            <w:pPr>
              <w:pStyle w:val="TableParagraph"/>
              <w:spacing w:before="49"/>
              <w:ind w:left="19" w:right="4"/>
              <w:jc w:val="center"/>
              <w:rPr>
                <w:sz w:val="20"/>
              </w:rPr>
            </w:pPr>
            <w:r>
              <w:rPr>
                <w:color w:val="FFFFFF"/>
                <w:spacing w:val="-10"/>
                <w:sz w:val="20"/>
              </w:rPr>
              <w:t>%</w:t>
            </w:r>
          </w:p>
        </w:tc>
      </w:tr>
      <w:tr>
        <w:trPr>
          <w:trHeight w:val="457" w:hRule="atLeast"/>
        </w:trPr>
        <w:tc>
          <w:tcPr>
            <w:tcW w:w="1126" w:type="dxa"/>
          </w:tcPr>
          <w:p>
            <w:pPr>
              <w:pStyle w:val="TableParagraph"/>
              <w:spacing w:before="113"/>
              <w:ind w:left="69"/>
              <w:rPr>
                <w:b/>
                <w:sz w:val="20"/>
              </w:rPr>
            </w:pPr>
            <w:r>
              <w:rPr>
                <w:b/>
                <w:spacing w:val="-2"/>
                <w:sz w:val="20"/>
              </w:rPr>
              <w:t>2.1.2.</w:t>
            </w:r>
          </w:p>
        </w:tc>
        <w:tc>
          <w:tcPr>
            <w:tcW w:w="2977" w:type="dxa"/>
          </w:tcPr>
          <w:p>
            <w:pPr>
              <w:pStyle w:val="TableParagraph"/>
              <w:spacing w:line="220" w:lineRule="atLeast"/>
              <w:ind w:left="66" w:right="22"/>
              <w:rPr>
                <w:b/>
                <w:sz w:val="20"/>
              </w:rPr>
            </w:pPr>
            <w:r>
              <w:rPr>
                <w:b/>
                <w:sz w:val="20"/>
              </w:rPr>
              <w:t>Endeudamiento</w:t>
            </w:r>
            <w:r>
              <w:rPr>
                <w:b/>
                <w:spacing w:val="-13"/>
                <w:sz w:val="20"/>
              </w:rPr>
              <w:t> </w:t>
            </w:r>
            <w:r>
              <w:rPr>
                <w:b/>
                <w:sz w:val="20"/>
              </w:rPr>
              <w:t>público</w:t>
            </w:r>
            <w:r>
              <w:rPr>
                <w:b/>
                <w:spacing w:val="-12"/>
                <w:sz w:val="20"/>
              </w:rPr>
              <w:t> </w:t>
            </w:r>
            <w:r>
              <w:rPr>
                <w:b/>
                <w:sz w:val="20"/>
              </w:rPr>
              <w:t>a</w:t>
            </w:r>
            <w:r>
              <w:rPr>
                <w:b/>
                <w:spacing w:val="-13"/>
                <w:sz w:val="20"/>
              </w:rPr>
              <w:t> </w:t>
            </w:r>
            <w:r>
              <w:rPr>
                <w:b/>
                <w:sz w:val="20"/>
              </w:rPr>
              <w:t>corto </w:t>
            </w:r>
            <w:r>
              <w:rPr>
                <w:b/>
                <w:spacing w:val="-2"/>
                <w:sz w:val="20"/>
              </w:rPr>
              <w:t>plazo</w:t>
            </w:r>
          </w:p>
        </w:tc>
        <w:tc>
          <w:tcPr>
            <w:tcW w:w="566" w:type="dxa"/>
          </w:tcPr>
          <w:p>
            <w:pPr>
              <w:pStyle w:val="TableParagraph"/>
              <w:spacing w:before="113"/>
              <w:ind w:left="183"/>
              <w:rPr>
                <w:b/>
                <w:sz w:val="20"/>
              </w:rPr>
            </w:pPr>
            <w:r>
              <w:rPr>
                <w:b/>
                <w:spacing w:val="-5"/>
                <w:sz w:val="20"/>
              </w:rPr>
              <w:t>15</w:t>
            </w:r>
          </w:p>
        </w:tc>
        <w:tc>
          <w:tcPr>
            <w:tcW w:w="1702" w:type="dxa"/>
          </w:tcPr>
          <w:p>
            <w:pPr>
              <w:pStyle w:val="TableParagraph"/>
              <w:spacing w:before="113"/>
              <w:ind w:left="68" w:right="2"/>
              <w:jc w:val="center"/>
              <w:rPr>
                <w:b/>
                <w:sz w:val="20"/>
              </w:rPr>
            </w:pPr>
            <w:r>
              <w:rPr>
                <w:b/>
                <w:spacing w:val="-4"/>
                <w:sz w:val="20"/>
              </w:rPr>
              <w:t>0,00</w:t>
            </w:r>
          </w:p>
        </w:tc>
        <w:tc>
          <w:tcPr>
            <w:tcW w:w="1629" w:type="dxa"/>
          </w:tcPr>
          <w:p>
            <w:pPr>
              <w:pStyle w:val="TableParagraph"/>
              <w:spacing w:before="113"/>
              <w:ind w:left="19"/>
              <w:jc w:val="center"/>
              <w:rPr>
                <w:b/>
                <w:sz w:val="20"/>
              </w:rPr>
            </w:pPr>
            <w:r>
              <w:rPr>
                <w:b/>
                <w:spacing w:val="-4"/>
                <w:sz w:val="20"/>
              </w:rPr>
              <w:t>0,00</w:t>
            </w:r>
          </w:p>
        </w:tc>
        <w:tc>
          <w:tcPr>
            <w:tcW w:w="1176" w:type="dxa"/>
          </w:tcPr>
          <w:p>
            <w:pPr>
              <w:pStyle w:val="TableParagraph"/>
              <w:spacing w:before="113"/>
              <w:ind w:left="19"/>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6176">
                <wp:simplePos x="0" y="0"/>
                <wp:positionH relativeFrom="page">
                  <wp:posOffset>9525</wp:posOffset>
                </wp:positionH>
                <wp:positionV relativeFrom="page">
                  <wp:posOffset>297208</wp:posOffset>
                </wp:positionV>
                <wp:extent cx="7762875" cy="9748520"/>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7762875" cy="9748520"/>
                          <a:chExt cx="7762875" cy="9748520"/>
                        </a:xfrm>
                      </wpg:grpSpPr>
                      <pic:pic>
                        <pic:nvPicPr>
                          <pic:cNvPr id="377" name="Image 377"/>
                          <pic:cNvPicPr/>
                        </pic:nvPicPr>
                        <pic:blipFill>
                          <a:blip r:embed="rId5" cstate="print"/>
                          <a:stretch>
                            <a:fillRect/>
                          </a:stretch>
                        </pic:blipFill>
                        <pic:spPr>
                          <a:xfrm>
                            <a:off x="0" y="0"/>
                            <a:ext cx="7762874" cy="9748489"/>
                          </a:xfrm>
                          <a:prstGeom prst="rect">
                            <a:avLst/>
                          </a:prstGeom>
                        </pic:spPr>
                      </pic:pic>
                      <wps:wsp>
                        <wps:cNvPr id="378" name="Graphic 37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30304" id="docshapegroup357" coordorigin="15,468" coordsize="12225,15352">
                <v:shape style="position:absolute;left:15;top:468;width:12225;height:15352" type="#_x0000_t75" id="docshape358" stroked="false">
                  <v:imagedata r:id="rId5" o:title=""/>
                </v:shape>
                <v:rect style="position:absolute;left:1673;top:2028;width:8897;height:15" id="docshape35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77</w:t>
      </w:r>
    </w:p>
    <w:p>
      <w:pPr>
        <w:pStyle w:val="BodyText"/>
        <w:spacing w:before="10"/>
        <w:rPr>
          <w:sz w:val="16"/>
        </w:rPr>
      </w:pPr>
      <w:r>
        <w:rPr>
          <w:sz w:val="16"/>
        </w:rPr>
        <mc:AlternateContent>
          <mc:Choice Requires="wps">
            <w:drawing>
              <wp:anchor distT="0" distB="0" distL="0" distR="0" allowOverlap="1" layoutInCell="1" locked="0" behindDoc="1" simplePos="0" relativeHeight="487648768">
                <wp:simplePos x="0" y="0"/>
                <wp:positionH relativeFrom="page">
                  <wp:posOffset>1080820</wp:posOffset>
                </wp:positionH>
                <wp:positionV relativeFrom="paragraph">
                  <wp:posOffset>141144</wp:posOffset>
                </wp:positionV>
                <wp:extent cx="5715000" cy="554990"/>
                <wp:effectExtent l="0" t="0" r="0" b="0"/>
                <wp:wrapTopAndBottom/>
                <wp:docPr id="379" name="Textbox 379"/>
                <wp:cNvGraphicFramePr>
                  <a:graphicFrameLocks/>
                </wp:cNvGraphicFramePr>
                <a:graphic>
                  <a:graphicData uri="http://schemas.microsoft.com/office/word/2010/wordprocessingShape">
                    <wps:wsp>
                      <wps:cNvPr id="379" name="Textbox 379"/>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667712;mso-wrap-distance-left:0;mso-wrap-distance-right:0" type="#_x0000_t202" id="docshape36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3"/>
      </w:pPr>
    </w:p>
    <w:p>
      <w:pPr>
        <w:pStyle w:val="Heading5"/>
        <w:spacing w:before="1"/>
      </w:pPr>
      <w:bookmarkStart w:name="_bookmark48" w:id="49"/>
      <w:bookmarkEnd w:id="49"/>
      <w:r>
        <w:rPr>
          <w:b w:val="0"/>
        </w:rPr>
      </w:r>
      <w:r>
        <w:rPr/>
        <w:t>NOTA</w:t>
      </w:r>
      <w:r>
        <w:rPr>
          <w:spacing w:val="-1"/>
        </w:rPr>
        <w:t> </w:t>
      </w:r>
      <w:r>
        <w:rPr/>
        <w:t>N° </w:t>
      </w:r>
      <w:r>
        <w:rPr>
          <w:spacing w:val="-5"/>
        </w:rPr>
        <w:t>16</w:t>
      </w:r>
    </w:p>
    <w:p>
      <w:pPr>
        <w:pStyle w:val="BodyText"/>
        <w:spacing w:before="114"/>
        <w:rPr>
          <w:b/>
        </w:rPr>
      </w:pPr>
    </w:p>
    <w:p>
      <w:pPr>
        <w:pStyle w:val="Heading6"/>
        <w:spacing w:before="1"/>
        <w:ind w:left="622"/>
      </w:pPr>
      <w:r>
        <w:rPr/>
        <w:t>Fondos</w:t>
      </w:r>
      <w:r>
        <w:rPr>
          <w:spacing w:val="-1"/>
        </w:rPr>
        <w:t> </w:t>
      </w:r>
      <w:r>
        <w:rPr/>
        <w:t>de</w:t>
      </w:r>
      <w:r>
        <w:rPr>
          <w:spacing w:val="-4"/>
        </w:rPr>
        <w:t> </w:t>
      </w:r>
      <w:r>
        <w:rPr/>
        <w:t>terceros y</w:t>
      </w:r>
      <w:r>
        <w:rPr>
          <w:spacing w:val="-3"/>
        </w:rPr>
        <w:t> </w:t>
      </w:r>
      <w:r>
        <w:rPr/>
        <w:t>en</w:t>
      </w:r>
      <w:r>
        <w:rPr>
          <w:spacing w:val="-1"/>
        </w:rPr>
        <w:t> </w:t>
      </w:r>
      <w:r>
        <w:rPr>
          <w:spacing w:val="-2"/>
        </w:rPr>
        <w:t>garantía</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835"/>
        <w:gridCol w:w="566"/>
        <w:gridCol w:w="1702"/>
        <w:gridCol w:w="1749"/>
        <w:gridCol w:w="1197"/>
      </w:tblGrid>
      <w:tr>
        <w:trPr>
          <w:trHeight w:val="326" w:hRule="atLeast"/>
        </w:trPr>
        <w:tc>
          <w:tcPr>
            <w:tcW w:w="984" w:type="dxa"/>
            <w:vMerge w:val="restart"/>
            <w:shd w:val="clear" w:color="auto" w:fill="365F92"/>
          </w:tcPr>
          <w:p>
            <w:pPr>
              <w:pStyle w:val="TableParagraph"/>
              <w:spacing w:before="130"/>
              <w:ind w:left="69"/>
              <w:rPr>
                <w:b/>
                <w:sz w:val="20"/>
              </w:rPr>
            </w:pPr>
            <w:r>
              <w:rPr>
                <w:b/>
                <w:color w:val="FFFFFF"/>
                <w:spacing w:val="-2"/>
                <w:sz w:val="20"/>
              </w:rPr>
              <w:t>Cuenta</w:t>
            </w:r>
          </w:p>
        </w:tc>
        <w:tc>
          <w:tcPr>
            <w:tcW w:w="2835" w:type="dxa"/>
            <w:vMerge w:val="restart"/>
            <w:shd w:val="clear" w:color="auto" w:fill="365F92"/>
          </w:tcPr>
          <w:p>
            <w:pPr>
              <w:pStyle w:val="TableParagraph"/>
              <w:spacing w:before="220"/>
              <w:ind w:left="936"/>
              <w:rPr>
                <w:b/>
                <w:sz w:val="20"/>
              </w:rPr>
            </w:pPr>
            <w:r>
              <w:rPr>
                <w:b/>
                <w:color w:val="FFFFFF"/>
                <w:spacing w:val="-2"/>
                <w:sz w:val="20"/>
              </w:rPr>
              <w:t>Descripción</w:t>
            </w:r>
          </w:p>
        </w:tc>
        <w:tc>
          <w:tcPr>
            <w:tcW w:w="566" w:type="dxa"/>
            <w:vMerge w:val="restart"/>
            <w:shd w:val="clear" w:color="auto" w:fill="365F92"/>
          </w:tcPr>
          <w:p>
            <w:pPr>
              <w:pStyle w:val="TableParagraph"/>
              <w:spacing w:before="220"/>
              <w:ind w:left="86"/>
              <w:rPr>
                <w:b/>
                <w:sz w:val="20"/>
              </w:rPr>
            </w:pPr>
            <w:r>
              <w:rPr>
                <w:b/>
                <w:color w:val="FFFFFF"/>
                <w:spacing w:val="-4"/>
                <w:sz w:val="20"/>
              </w:rPr>
              <w:t>Nota</w:t>
            </w:r>
          </w:p>
        </w:tc>
        <w:tc>
          <w:tcPr>
            <w:tcW w:w="1702" w:type="dxa"/>
            <w:vMerge w:val="restart"/>
            <w:shd w:val="clear" w:color="auto" w:fill="365F92"/>
          </w:tcPr>
          <w:p>
            <w:pPr>
              <w:pStyle w:val="TableParagraph"/>
              <w:spacing w:before="220"/>
              <w:ind w:left="276"/>
              <w:rPr>
                <w:b/>
                <w:sz w:val="20"/>
              </w:rPr>
            </w:pPr>
            <w:r>
              <w:rPr>
                <w:b/>
                <w:color w:val="FFFFFF"/>
                <w:sz w:val="20"/>
              </w:rPr>
              <w:t>Periodo</w:t>
            </w:r>
            <w:r>
              <w:rPr>
                <w:b/>
                <w:color w:val="FFFFFF"/>
                <w:spacing w:val="-5"/>
                <w:sz w:val="20"/>
              </w:rPr>
              <w:t> </w:t>
            </w:r>
            <w:r>
              <w:rPr>
                <w:b/>
                <w:color w:val="FFFFFF"/>
                <w:spacing w:val="-2"/>
                <w:sz w:val="20"/>
              </w:rPr>
              <w:t>Actual</w:t>
            </w:r>
          </w:p>
        </w:tc>
        <w:tc>
          <w:tcPr>
            <w:tcW w:w="1749" w:type="dxa"/>
            <w:vMerge w:val="restart"/>
            <w:shd w:val="clear" w:color="auto" w:fill="365F92"/>
          </w:tcPr>
          <w:p>
            <w:pPr>
              <w:pStyle w:val="TableParagraph"/>
              <w:spacing w:before="220"/>
              <w:ind w:left="216"/>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9"/>
              <w:ind w:left="28" w:right="8"/>
              <w:jc w:val="center"/>
              <w:rPr>
                <w:b/>
                <w:sz w:val="20"/>
              </w:rPr>
            </w:pPr>
            <w:r>
              <w:rPr>
                <w:b/>
                <w:color w:val="FFFFFF"/>
                <w:spacing w:val="-2"/>
                <w:sz w:val="20"/>
              </w:rPr>
              <w:t>Diferencia</w:t>
            </w:r>
          </w:p>
        </w:tc>
      </w:tr>
      <w:tr>
        <w:trPr>
          <w:trHeight w:val="323" w:hRule="atLeast"/>
        </w:trPr>
        <w:tc>
          <w:tcPr>
            <w:tcW w:w="984"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9"/>
              <w:jc w:val="center"/>
              <w:rPr>
                <w:b/>
                <w:sz w:val="20"/>
              </w:rPr>
            </w:pPr>
            <w:r>
              <w:rPr>
                <w:b/>
                <w:color w:val="FFFFFF"/>
                <w:spacing w:val="-10"/>
                <w:sz w:val="20"/>
              </w:rPr>
              <w:t>%</w:t>
            </w:r>
          </w:p>
        </w:tc>
      </w:tr>
      <w:tr>
        <w:trPr>
          <w:trHeight w:val="325" w:hRule="atLeast"/>
        </w:trPr>
        <w:tc>
          <w:tcPr>
            <w:tcW w:w="984" w:type="dxa"/>
          </w:tcPr>
          <w:p>
            <w:pPr>
              <w:pStyle w:val="TableParagraph"/>
              <w:spacing w:before="46"/>
              <w:ind w:left="69"/>
              <w:rPr>
                <w:b/>
                <w:sz w:val="20"/>
              </w:rPr>
            </w:pPr>
            <w:r>
              <w:rPr>
                <w:b/>
                <w:spacing w:val="-2"/>
                <w:sz w:val="20"/>
              </w:rPr>
              <w:t>2.1.3.</w:t>
            </w:r>
          </w:p>
        </w:tc>
        <w:tc>
          <w:tcPr>
            <w:tcW w:w="2835" w:type="dxa"/>
          </w:tcPr>
          <w:p>
            <w:pPr>
              <w:pStyle w:val="TableParagraph"/>
              <w:spacing w:before="46"/>
              <w:ind w:left="69"/>
              <w:rPr>
                <w:b/>
                <w:sz w:val="20"/>
              </w:rPr>
            </w:pPr>
            <w:r>
              <w:rPr>
                <w:b/>
                <w:sz w:val="20"/>
              </w:rPr>
              <w:t>Fondos</w:t>
            </w:r>
            <w:r>
              <w:rPr>
                <w:b/>
                <w:spacing w:val="-4"/>
                <w:sz w:val="20"/>
              </w:rPr>
              <w:t> </w:t>
            </w:r>
            <w:r>
              <w:rPr>
                <w:b/>
                <w:sz w:val="20"/>
              </w:rPr>
              <w:t>de</w:t>
            </w:r>
            <w:r>
              <w:rPr>
                <w:b/>
                <w:spacing w:val="-4"/>
                <w:sz w:val="20"/>
              </w:rPr>
              <w:t> </w:t>
            </w:r>
            <w:r>
              <w:rPr>
                <w:b/>
                <w:sz w:val="20"/>
              </w:rPr>
              <w:t>terceros</w:t>
            </w:r>
            <w:r>
              <w:rPr>
                <w:b/>
                <w:spacing w:val="-3"/>
                <w:sz w:val="20"/>
              </w:rPr>
              <w:t> </w:t>
            </w:r>
            <w:r>
              <w:rPr>
                <w:b/>
                <w:sz w:val="20"/>
              </w:rPr>
              <w:t>y</w:t>
            </w:r>
            <w:r>
              <w:rPr>
                <w:b/>
                <w:spacing w:val="-3"/>
                <w:sz w:val="20"/>
              </w:rPr>
              <w:t> </w:t>
            </w:r>
            <w:r>
              <w:rPr>
                <w:b/>
                <w:sz w:val="20"/>
              </w:rPr>
              <w:t>en </w:t>
            </w:r>
            <w:r>
              <w:rPr>
                <w:b/>
                <w:spacing w:val="-2"/>
                <w:sz w:val="20"/>
              </w:rPr>
              <w:t>garantía</w:t>
            </w:r>
          </w:p>
        </w:tc>
        <w:tc>
          <w:tcPr>
            <w:tcW w:w="566" w:type="dxa"/>
          </w:tcPr>
          <w:p>
            <w:pPr>
              <w:pStyle w:val="TableParagraph"/>
              <w:spacing w:before="46"/>
              <w:ind w:left="184"/>
              <w:rPr>
                <w:b/>
                <w:sz w:val="20"/>
              </w:rPr>
            </w:pPr>
            <w:r>
              <w:rPr>
                <w:b/>
                <w:spacing w:val="-5"/>
                <w:sz w:val="20"/>
              </w:rPr>
              <w:t>16</w:t>
            </w:r>
          </w:p>
        </w:tc>
        <w:tc>
          <w:tcPr>
            <w:tcW w:w="1702" w:type="dxa"/>
          </w:tcPr>
          <w:p>
            <w:pPr>
              <w:pStyle w:val="TableParagraph"/>
              <w:spacing w:before="46"/>
              <w:ind w:left="405"/>
              <w:rPr>
                <w:b/>
                <w:sz w:val="20"/>
              </w:rPr>
            </w:pPr>
            <w:r>
              <w:rPr>
                <w:b/>
                <w:sz w:val="20"/>
              </w:rPr>
              <w:t>181</w:t>
            </w:r>
            <w:r>
              <w:rPr>
                <w:b/>
                <w:spacing w:val="-3"/>
                <w:sz w:val="20"/>
              </w:rPr>
              <w:t> </w:t>
            </w:r>
            <w:r>
              <w:rPr>
                <w:b/>
                <w:spacing w:val="-2"/>
                <w:sz w:val="20"/>
              </w:rPr>
              <w:t>305,21</w:t>
            </w:r>
          </w:p>
        </w:tc>
        <w:tc>
          <w:tcPr>
            <w:tcW w:w="1749" w:type="dxa"/>
          </w:tcPr>
          <w:p>
            <w:pPr>
              <w:pStyle w:val="TableParagraph"/>
              <w:spacing w:before="46"/>
              <w:ind w:left="430"/>
              <w:rPr>
                <w:b/>
                <w:sz w:val="20"/>
              </w:rPr>
            </w:pPr>
            <w:r>
              <w:rPr>
                <w:b/>
                <w:sz w:val="20"/>
              </w:rPr>
              <w:t>156</w:t>
            </w:r>
            <w:r>
              <w:rPr>
                <w:b/>
                <w:spacing w:val="-3"/>
                <w:sz w:val="20"/>
              </w:rPr>
              <w:t> </w:t>
            </w:r>
            <w:r>
              <w:rPr>
                <w:b/>
                <w:spacing w:val="-2"/>
                <w:sz w:val="20"/>
              </w:rPr>
              <w:t>263,73</w:t>
            </w:r>
          </w:p>
        </w:tc>
        <w:tc>
          <w:tcPr>
            <w:tcW w:w="1197" w:type="dxa"/>
          </w:tcPr>
          <w:p>
            <w:pPr>
              <w:pStyle w:val="TableParagraph"/>
              <w:spacing w:before="46"/>
              <w:ind w:left="28" w:right="7"/>
              <w:jc w:val="center"/>
              <w:rPr>
                <w:b/>
                <w:sz w:val="20"/>
              </w:rPr>
            </w:pPr>
            <w:r>
              <w:rPr>
                <w:b/>
                <w:spacing w:val="-2"/>
                <w:sz w:val="20"/>
              </w:rPr>
              <w:t>16,03%</w:t>
            </w:r>
          </w:p>
        </w:tc>
      </w:tr>
    </w:tbl>
    <w:p>
      <w:pPr>
        <w:pStyle w:val="BodyText"/>
        <w:spacing w:before="176"/>
        <w:rPr>
          <w:b/>
        </w:rPr>
      </w:pPr>
    </w:p>
    <w:p>
      <w:pPr>
        <w:pStyle w:val="BodyText"/>
        <w:spacing w:line="276" w:lineRule="auto" w:before="1"/>
        <w:ind w:left="622" w:right="977"/>
        <w:jc w:val="both"/>
      </w:pPr>
      <w:r>
        <w:rPr/>
        <w:t>Conjunto</w:t>
      </w:r>
      <w:r>
        <w:rPr>
          <w:spacing w:val="-7"/>
        </w:rPr>
        <w:t> </w:t>
      </w:r>
      <w:r>
        <w:rPr/>
        <w:t>de</w:t>
      </w:r>
      <w:r>
        <w:rPr>
          <w:spacing w:val="-7"/>
        </w:rPr>
        <w:t> </w:t>
      </w:r>
      <w:r>
        <w:rPr/>
        <w:t>cuentas</w:t>
      </w:r>
      <w:r>
        <w:rPr>
          <w:spacing w:val="-7"/>
        </w:rPr>
        <w:t> </w:t>
      </w:r>
      <w:r>
        <w:rPr/>
        <w:t>que</w:t>
      </w:r>
      <w:r>
        <w:rPr>
          <w:spacing w:val="-7"/>
        </w:rPr>
        <w:t> </w:t>
      </w:r>
      <w:r>
        <w:rPr/>
        <w:t>comprenden</w:t>
      </w:r>
      <w:r>
        <w:rPr>
          <w:spacing w:val="-5"/>
        </w:rPr>
        <w:t> </w:t>
      </w:r>
      <w:r>
        <w:rPr/>
        <w:t>las</w:t>
      </w:r>
      <w:r>
        <w:rPr>
          <w:spacing w:val="-7"/>
        </w:rPr>
        <w:t> </w:t>
      </w:r>
      <w:r>
        <w:rPr/>
        <w:t>obligaciones</w:t>
      </w:r>
      <w:r>
        <w:rPr>
          <w:spacing w:val="-5"/>
        </w:rPr>
        <w:t> </w:t>
      </w:r>
      <w:r>
        <w:rPr/>
        <w:t>contraídas,</w:t>
      </w:r>
      <w:r>
        <w:rPr>
          <w:spacing w:val="-8"/>
        </w:rPr>
        <w:t> </w:t>
      </w:r>
      <w:r>
        <w:rPr/>
        <w:t>derivadas</w:t>
      </w:r>
      <w:r>
        <w:rPr>
          <w:spacing w:val="-5"/>
        </w:rPr>
        <w:t> </w:t>
      </w:r>
      <w:r>
        <w:rPr/>
        <w:t>de</w:t>
      </w:r>
      <w:r>
        <w:rPr>
          <w:spacing w:val="-7"/>
        </w:rPr>
        <w:t> </w:t>
      </w:r>
      <w:r>
        <w:rPr/>
        <w:t>los</w:t>
      </w:r>
      <w:r>
        <w:rPr>
          <w:spacing w:val="-7"/>
        </w:rPr>
        <w:t> </w:t>
      </w:r>
      <w:r>
        <w:rPr/>
        <w:t>fondos</w:t>
      </w:r>
      <w:r>
        <w:rPr>
          <w:spacing w:val="-5"/>
        </w:rPr>
        <w:t> </w:t>
      </w:r>
      <w:r>
        <w:rPr/>
        <w:t>recaudados por cuenta de terceros en base a normas legales, convenios o contratos, que no han sido transferidos al</w:t>
      </w:r>
      <w:r>
        <w:rPr>
          <w:spacing w:val="-6"/>
        </w:rPr>
        <w:t> </w:t>
      </w:r>
      <w:r>
        <w:rPr/>
        <w:t>titular</w:t>
      </w:r>
      <w:r>
        <w:rPr>
          <w:spacing w:val="-6"/>
        </w:rPr>
        <w:t> </w:t>
      </w:r>
      <w:r>
        <w:rPr/>
        <w:t>y</w:t>
      </w:r>
      <w:r>
        <w:rPr>
          <w:spacing w:val="-7"/>
        </w:rPr>
        <w:t> </w:t>
      </w:r>
      <w:r>
        <w:rPr/>
        <w:t>aquellos</w:t>
      </w:r>
      <w:r>
        <w:rPr>
          <w:spacing w:val="-7"/>
        </w:rPr>
        <w:t> </w:t>
      </w:r>
      <w:r>
        <w:rPr/>
        <w:t>que</w:t>
      </w:r>
      <w:r>
        <w:rPr>
          <w:spacing w:val="-7"/>
        </w:rPr>
        <w:t> </w:t>
      </w:r>
      <w:r>
        <w:rPr/>
        <w:t>se</w:t>
      </w:r>
      <w:r>
        <w:rPr>
          <w:spacing w:val="-7"/>
        </w:rPr>
        <w:t> </w:t>
      </w:r>
      <w:r>
        <w:rPr/>
        <w:t>encuentran</w:t>
      </w:r>
      <w:r>
        <w:rPr>
          <w:spacing w:val="-6"/>
        </w:rPr>
        <w:t> </w:t>
      </w:r>
      <w:r>
        <w:rPr/>
        <w:t>en</w:t>
      </w:r>
      <w:r>
        <w:rPr>
          <w:spacing w:val="-5"/>
        </w:rPr>
        <w:t> </w:t>
      </w:r>
      <w:r>
        <w:rPr/>
        <w:t>poder</w:t>
      </w:r>
      <w:r>
        <w:rPr>
          <w:spacing w:val="-6"/>
        </w:rPr>
        <w:t> </w:t>
      </w:r>
      <w:r>
        <w:rPr/>
        <w:t>del</w:t>
      </w:r>
      <w:r>
        <w:rPr>
          <w:spacing w:val="-6"/>
        </w:rPr>
        <w:t> </w:t>
      </w:r>
      <w:r>
        <w:rPr/>
        <w:t>ente,</w:t>
      </w:r>
      <w:r>
        <w:rPr>
          <w:spacing w:val="-6"/>
        </w:rPr>
        <w:t> </w:t>
      </w:r>
      <w:r>
        <w:rPr/>
        <w:t>en</w:t>
      </w:r>
      <w:r>
        <w:rPr>
          <w:spacing w:val="-5"/>
        </w:rPr>
        <w:t> </w:t>
      </w:r>
      <w:r>
        <w:rPr/>
        <w:t>garantía</w:t>
      </w:r>
      <w:r>
        <w:rPr>
          <w:spacing w:val="-7"/>
        </w:rPr>
        <w:t> </w:t>
      </w:r>
      <w:r>
        <w:rPr/>
        <w:t>del</w:t>
      </w:r>
      <w:r>
        <w:rPr>
          <w:spacing w:val="-6"/>
        </w:rPr>
        <w:t> </w:t>
      </w:r>
      <w:r>
        <w:rPr/>
        <w:t>cumplimiento</w:t>
      </w:r>
      <w:r>
        <w:rPr>
          <w:spacing w:val="-5"/>
        </w:rPr>
        <w:t> </w:t>
      </w:r>
      <w:r>
        <w:rPr/>
        <w:t>de</w:t>
      </w:r>
      <w:r>
        <w:rPr>
          <w:spacing w:val="-9"/>
        </w:rPr>
        <w:t> </w:t>
      </w:r>
      <w:r>
        <w:rPr/>
        <w:t>obligaciones generadas por contratos o normas legales. Se incluyen asimismo las eventuales tenencias de fondos pertenecientes a terceros ajenos a la entidad pública, originadas en depósitos erróneos en cuentas bancarias de la entidad.</w:t>
      </w:r>
    </w:p>
    <w:p>
      <w:pPr>
        <w:pStyle w:val="BodyText"/>
        <w:spacing w:line="259" w:lineRule="auto" w:before="140"/>
        <w:ind w:left="622" w:right="1108"/>
        <w:jc w:val="both"/>
      </w:pPr>
      <w:r>
        <w:rPr/>
        <w:t>La</w:t>
      </w:r>
      <w:r>
        <w:rPr>
          <w:spacing w:val="-3"/>
        </w:rPr>
        <w:t> </w:t>
      </w:r>
      <w:r>
        <w:rPr/>
        <w:t>cuenta</w:t>
      </w:r>
      <w:r>
        <w:rPr>
          <w:spacing w:val="-2"/>
        </w:rPr>
        <w:t> </w:t>
      </w:r>
      <w:r>
        <w:rPr/>
        <w:t>Fondos</w:t>
      </w:r>
      <w:r>
        <w:rPr>
          <w:spacing w:val="-1"/>
        </w:rPr>
        <w:t> </w:t>
      </w:r>
      <w:r>
        <w:rPr/>
        <w:t>de</w:t>
      </w:r>
      <w:r>
        <w:rPr>
          <w:spacing w:val="-1"/>
        </w:rPr>
        <w:t> </w:t>
      </w:r>
      <w:r>
        <w:rPr/>
        <w:t>terceros</w:t>
      </w:r>
      <w:r>
        <w:rPr>
          <w:spacing w:val="-1"/>
        </w:rPr>
        <w:t> </w:t>
      </w:r>
      <w:r>
        <w:rPr/>
        <w:t>y</w:t>
      </w:r>
      <w:r>
        <w:rPr>
          <w:spacing w:val="-6"/>
        </w:rPr>
        <w:t> </w:t>
      </w:r>
      <w:r>
        <w:rPr/>
        <w:t>en</w:t>
      </w:r>
      <w:r>
        <w:rPr>
          <w:spacing w:val="-2"/>
        </w:rPr>
        <w:t> </w:t>
      </w:r>
      <w:r>
        <w:rPr/>
        <w:t>garantía,</w:t>
      </w:r>
      <w:r>
        <w:rPr>
          <w:spacing w:val="-2"/>
        </w:rPr>
        <w:t> </w:t>
      </w:r>
      <w:r>
        <w:rPr/>
        <w:t>representa</w:t>
      </w:r>
      <w:r>
        <w:rPr>
          <w:spacing w:val="-5"/>
        </w:rPr>
        <w:t> </w:t>
      </w:r>
      <w:r>
        <w:rPr/>
        <w:t>el 2,17%</w:t>
      </w:r>
      <w:r>
        <w:rPr>
          <w:spacing w:val="-2"/>
        </w:rPr>
        <w:t> </w:t>
      </w:r>
      <w:r>
        <w:rPr/>
        <w:t>del</w:t>
      </w:r>
      <w:r>
        <w:rPr>
          <w:spacing w:val="-5"/>
        </w:rPr>
        <w:t> </w:t>
      </w:r>
      <w:r>
        <w:rPr/>
        <w:t>total</w:t>
      </w:r>
      <w:r>
        <w:rPr>
          <w:spacing w:val="-3"/>
        </w:rPr>
        <w:t> </w:t>
      </w:r>
      <w:r>
        <w:rPr/>
        <w:t>del</w:t>
      </w:r>
      <w:r>
        <w:rPr>
          <w:spacing w:val="-2"/>
        </w:rPr>
        <w:t> </w:t>
      </w:r>
      <w:r>
        <w:rPr/>
        <w:t>Pasivo,</w:t>
      </w:r>
      <w:r>
        <w:rPr>
          <w:spacing w:val="-2"/>
        </w:rPr>
        <w:t> </w:t>
      </w:r>
      <w:r>
        <w:rPr/>
        <w:t>que</w:t>
      </w:r>
      <w:r>
        <w:rPr>
          <w:spacing w:val="-1"/>
        </w:rPr>
        <w:t> </w:t>
      </w:r>
      <w:r>
        <w:rPr/>
        <w:t>comparado al</w:t>
      </w:r>
      <w:r>
        <w:rPr>
          <w:spacing w:val="-2"/>
        </w:rPr>
        <w:t> </w:t>
      </w:r>
      <w:r>
        <w:rPr/>
        <w:t>periodo</w:t>
      </w:r>
      <w:r>
        <w:rPr>
          <w:spacing w:val="-2"/>
        </w:rPr>
        <w:t> </w:t>
      </w:r>
      <w:r>
        <w:rPr/>
        <w:t>anterior</w:t>
      </w:r>
      <w:r>
        <w:rPr>
          <w:spacing w:val="-5"/>
        </w:rPr>
        <w:t> </w:t>
      </w:r>
      <w:r>
        <w:rPr/>
        <w:t>genera</w:t>
      </w:r>
      <w:r>
        <w:rPr>
          <w:spacing w:val="-3"/>
        </w:rPr>
        <w:t> </w:t>
      </w:r>
      <w:r>
        <w:rPr/>
        <w:t>una</w:t>
      </w:r>
      <w:r>
        <w:rPr>
          <w:spacing w:val="-2"/>
        </w:rPr>
        <w:t> </w:t>
      </w:r>
      <w:r>
        <w:rPr/>
        <w:t>variación</w:t>
      </w:r>
      <w:r>
        <w:rPr>
          <w:spacing w:val="-2"/>
        </w:rPr>
        <w:t> </w:t>
      </w:r>
      <w:r>
        <w:rPr/>
        <w:t>absoluta</w:t>
      </w:r>
      <w:r>
        <w:rPr>
          <w:spacing w:val="-2"/>
        </w:rPr>
        <w:t> </w:t>
      </w:r>
      <w:r>
        <w:rPr/>
        <w:t>de</w:t>
      </w:r>
      <w:r>
        <w:rPr>
          <w:spacing w:val="-1"/>
        </w:rPr>
        <w:t> </w:t>
      </w:r>
      <w:r>
        <w:rPr/>
        <w:t>¢25.041,48</w:t>
      </w:r>
      <w:r>
        <w:rPr>
          <w:spacing w:val="-3"/>
        </w:rPr>
        <w:t> </w:t>
      </w:r>
      <w:r>
        <w:rPr/>
        <w:t>que</w:t>
      </w:r>
      <w:r>
        <w:rPr>
          <w:spacing w:val="-1"/>
        </w:rPr>
        <w:t> </w:t>
      </w:r>
      <w:r>
        <w:rPr/>
        <w:t>corresponde</w:t>
      </w:r>
      <w:r>
        <w:rPr>
          <w:spacing w:val="-2"/>
        </w:rPr>
        <w:t> </w:t>
      </w:r>
      <w:r>
        <w:rPr/>
        <w:t>a</w:t>
      </w:r>
      <w:r>
        <w:rPr>
          <w:spacing w:val="-5"/>
        </w:rPr>
        <w:t> </w:t>
      </w:r>
      <w:r>
        <w:rPr/>
        <w:t>un</w:t>
      </w:r>
      <w:r>
        <w:rPr>
          <w:spacing w:val="-2"/>
        </w:rPr>
        <w:t> </w:t>
      </w:r>
      <w:r>
        <w:rPr/>
        <w:t>Aumento</w:t>
      </w:r>
      <w:r>
        <w:rPr>
          <w:spacing w:val="-3"/>
        </w:rPr>
        <w:t> </w:t>
      </w:r>
      <w:r>
        <w:rPr/>
        <w:t>del 16,03% de recursos disponibles.</w:t>
      </w:r>
    </w:p>
    <w:p>
      <w:pPr>
        <w:pStyle w:val="BodyText"/>
        <w:spacing w:before="158"/>
      </w:pPr>
    </w:p>
    <w:p>
      <w:pPr>
        <w:pStyle w:val="BodyText"/>
        <w:ind w:left="622"/>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before="12"/>
        <w:rPr>
          <w:sz w:val="20"/>
        </w:rPr>
      </w:pPr>
    </w:p>
    <w:tbl>
      <w:tblPr>
        <w:tblW w:w="0" w:type="auto"/>
        <w:jc w:val="left"/>
        <w:tblInd w:w="16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424"/>
        <w:gridCol w:w="2915"/>
        <w:gridCol w:w="548"/>
        <w:gridCol w:w="966"/>
        <w:gridCol w:w="966"/>
      </w:tblGrid>
      <w:tr>
        <w:trPr>
          <w:trHeight w:val="197" w:hRule="atLeast"/>
        </w:trPr>
        <w:tc>
          <w:tcPr>
            <w:tcW w:w="1424" w:type="dxa"/>
            <w:tcBorders>
              <w:right w:val="single" w:sz="4" w:space="0" w:color="000000"/>
            </w:tcBorders>
            <w:shd w:val="clear" w:color="auto" w:fill="365F92"/>
          </w:tcPr>
          <w:p>
            <w:pPr>
              <w:pStyle w:val="TableParagraph"/>
              <w:spacing w:line="168" w:lineRule="exact" w:before="9"/>
              <w:ind w:left="21"/>
              <w:rPr>
                <w:rFonts w:ascii="Arial Narrow"/>
                <w:b/>
                <w:sz w:val="16"/>
              </w:rPr>
            </w:pPr>
            <w:r>
              <w:rPr>
                <w:rFonts w:ascii="Arial Narrow"/>
                <w:b/>
                <w:color w:val="FFFFFF"/>
                <w:spacing w:val="-2"/>
                <w:sz w:val="16"/>
              </w:rPr>
              <w:t>2.1.3.</w:t>
            </w:r>
          </w:p>
        </w:tc>
        <w:tc>
          <w:tcPr>
            <w:tcW w:w="2915" w:type="dxa"/>
            <w:tcBorders>
              <w:left w:val="single" w:sz="4" w:space="0" w:color="000000"/>
            </w:tcBorders>
            <w:shd w:val="clear" w:color="auto" w:fill="365F92"/>
          </w:tcPr>
          <w:p>
            <w:pPr>
              <w:pStyle w:val="TableParagraph"/>
              <w:spacing w:line="168" w:lineRule="exact" w:before="9"/>
              <w:ind w:left="19"/>
              <w:rPr>
                <w:rFonts w:ascii="Arial Narrow" w:hAnsi="Arial Narrow"/>
                <w:b/>
                <w:sz w:val="16"/>
              </w:rPr>
            </w:pPr>
            <w:r>
              <w:rPr>
                <w:rFonts w:ascii="Arial Narrow" w:hAnsi="Arial Narrow"/>
                <w:b/>
                <w:color w:val="FFFFFF"/>
                <w:sz w:val="16"/>
              </w:rPr>
              <w:t>Fondos</w:t>
            </w:r>
            <w:r>
              <w:rPr>
                <w:rFonts w:ascii="Arial Narrow" w:hAnsi="Arial Narrow"/>
                <w:b/>
                <w:color w:val="FFFFFF"/>
                <w:spacing w:val="-1"/>
                <w:sz w:val="16"/>
              </w:rPr>
              <w:t> </w:t>
            </w:r>
            <w:r>
              <w:rPr>
                <w:rFonts w:ascii="Arial Narrow" w:hAnsi="Arial Narrow"/>
                <w:b/>
                <w:color w:val="FFFFFF"/>
                <w:sz w:val="16"/>
              </w:rPr>
              <w:t>de</w:t>
            </w:r>
            <w:r>
              <w:rPr>
                <w:rFonts w:ascii="Arial Narrow" w:hAnsi="Arial Narrow"/>
                <w:b/>
                <w:color w:val="FFFFFF"/>
                <w:spacing w:val="-1"/>
                <w:sz w:val="16"/>
              </w:rPr>
              <w:t> </w:t>
            </w:r>
            <w:r>
              <w:rPr>
                <w:rFonts w:ascii="Arial Narrow" w:hAnsi="Arial Narrow"/>
                <w:b/>
                <w:color w:val="FFFFFF"/>
                <w:sz w:val="16"/>
              </w:rPr>
              <w:t>terceros</w:t>
            </w:r>
            <w:r>
              <w:rPr>
                <w:rFonts w:ascii="Arial Narrow" w:hAnsi="Arial Narrow"/>
                <w:b/>
                <w:color w:val="FFFFFF"/>
                <w:spacing w:val="-1"/>
                <w:sz w:val="16"/>
              </w:rPr>
              <w:t> </w:t>
            </w:r>
            <w:r>
              <w:rPr>
                <w:rFonts w:ascii="Arial Narrow" w:hAnsi="Arial Narrow"/>
                <w:b/>
                <w:color w:val="FFFFFF"/>
                <w:sz w:val="16"/>
              </w:rPr>
              <w:t>y en</w:t>
            </w:r>
            <w:r>
              <w:rPr>
                <w:rFonts w:ascii="Arial Narrow" w:hAnsi="Arial Narrow"/>
                <w:b/>
                <w:color w:val="FFFFFF"/>
                <w:spacing w:val="1"/>
                <w:sz w:val="16"/>
              </w:rPr>
              <w:t> </w:t>
            </w:r>
            <w:r>
              <w:rPr>
                <w:rFonts w:ascii="Arial Narrow" w:hAnsi="Arial Narrow"/>
                <w:b/>
                <w:color w:val="FFFFFF"/>
                <w:spacing w:val="-2"/>
                <w:sz w:val="16"/>
              </w:rPr>
              <w:t>garantía</w:t>
            </w:r>
          </w:p>
        </w:tc>
        <w:tc>
          <w:tcPr>
            <w:tcW w:w="548" w:type="dxa"/>
            <w:shd w:val="clear" w:color="auto" w:fill="365F92"/>
          </w:tcPr>
          <w:p>
            <w:pPr>
              <w:pStyle w:val="TableParagraph"/>
              <w:spacing w:line="168" w:lineRule="exact" w:before="9"/>
              <w:ind w:left="10"/>
              <w:jc w:val="center"/>
              <w:rPr>
                <w:rFonts w:ascii="Arial Narrow"/>
                <w:sz w:val="16"/>
              </w:rPr>
            </w:pPr>
            <w:r>
              <w:rPr>
                <w:rFonts w:ascii="Arial Narrow"/>
                <w:color w:val="FFFFFF"/>
                <w:spacing w:val="-5"/>
                <w:sz w:val="16"/>
              </w:rPr>
              <w:t>16</w:t>
            </w:r>
          </w:p>
        </w:tc>
        <w:tc>
          <w:tcPr>
            <w:tcW w:w="966" w:type="dxa"/>
            <w:shd w:val="clear" w:color="auto" w:fill="365F92"/>
          </w:tcPr>
          <w:p>
            <w:pPr>
              <w:pStyle w:val="TableParagraph"/>
              <w:spacing w:line="168" w:lineRule="exact" w:before="9"/>
              <w:ind w:left="14" w:right="8"/>
              <w:jc w:val="center"/>
              <w:rPr>
                <w:rFonts w:ascii="Arial Narrow"/>
                <w:sz w:val="16"/>
              </w:rPr>
            </w:pPr>
            <w:r>
              <w:rPr>
                <w:rFonts w:ascii="Arial Narrow"/>
                <w:color w:val="FFFFFF"/>
                <w:sz w:val="16"/>
              </w:rPr>
              <w:t>181</w:t>
            </w:r>
            <w:r>
              <w:rPr>
                <w:rFonts w:ascii="Arial Narrow"/>
                <w:color w:val="FFFFFF"/>
                <w:spacing w:val="-4"/>
                <w:sz w:val="16"/>
              </w:rPr>
              <w:t> </w:t>
            </w:r>
            <w:r>
              <w:rPr>
                <w:rFonts w:ascii="Arial Narrow"/>
                <w:color w:val="FFFFFF"/>
                <w:spacing w:val="-2"/>
                <w:sz w:val="16"/>
              </w:rPr>
              <w:t>305,21</w:t>
            </w:r>
          </w:p>
        </w:tc>
        <w:tc>
          <w:tcPr>
            <w:tcW w:w="966" w:type="dxa"/>
            <w:shd w:val="clear" w:color="auto" w:fill="365F92"/>
          </w:tcPr>
          <w:p>
            <w:pPr>
              <w:pStyle w:val="TableParagraph"/>
              <w:spacing w:line="168" w:lineRule="exact" w:before="9"/>
              <w:ind w:left="14" w:right="7"/>
              <w:jc w:val="center"/>
              <w:rPr>
                <w:rFonts w:ascii="Arial Narrow"/>
                <w:sz w:val="16"/>
              </w:rPr>
            </w:pPr>
            <w:r>
              <w:rPr>
                <w:rFonts w:ascii="Arial Narrow"/>
                <w:color w:val="FFFFFF"/>
                <w:sz w:val="16"/>
              </w:rPr>
              <w:t>156</w:t>
            </w:r>
            <w:r>
              <w:rPr>
                <w:rFonts w:ascii="Arial Narrow"/>
                <w:color w:val="FFFFFF"/>
                <w:spacing w:val="-4"/>
                <w:sz w:val="16"/>
              </w:rPr>
              <w:t> </w:t>
            </w:r>
            <w:r>
              <w:rPr>
                <w:rFonts w:ascii="Arial Narrow"/>
                <w:color w:val="FFFFFF"/>
                <w:spacing w:val="-2"/>
                <w:sz w:val="16"/>
              </w:rPr>
              <w:t>263,73</w:t>
            </w:r>
          </w:p>
        </w:tc>
      </w:tr>
      <w:tr>
        <w:trPr>
          <w:trHeight w:val="197" w:hRule="atLeast"/>
        </w:trPr>
        <w:tc>
          <w:tcPr>
            <w:tcW w:w="1424" w:type="dxa"/>
            <w:tcBorders>
              <w:right w:val="single" w:sz="4" w:space="0" w:color="000000"/>
            </w:tcBorders>
          </w:tcPr>
          <w:p>
            <w:pPr>
              <w:pStyle w:val="TableParagraph"/>
              <w:spacing w:line="168" w:lineRule="exact" w:before="9"/>
              <w:ind w:left="21"/>
              <w:rPr>
                <w:rFonts w:ascii="Arial Narrow"/>
                <w:sz w:val="16"/>
              </w:rPr>
            </w:pPr>
            <w:r>
              <w:rPr>
                <w:rFonts w:ascii="Arial Narrow"/>
                <w:spacing w:val="-2"/>
                <w:sz w:val="16"/>
              </w:rPr>
              <w:t>2.1.3.01.</w:t>
            </w:r>
          </w:p>
        </w:tc>
        <w:tc>
          <w:tcPr>
            <w:tcW w:w="2915" w:type="dxa"/>
            <w:tcBorders>
              <w:left w:val="single" w:sz="4" w:space="0" w:color="000000"/>
            </w:tcBorders>
          </w:tcPr>
          <w:p>
            <w:pPr>
              <w:pStyle w:val="TableParagraph"/>
              <w:spacing w:line="168" w:lineRule="exact" w:before="9"/>
              <w:ind w:left="19"/>
              <w:rPr>
                <w:rFonts w:ascii="Arial Narrow" w:hAnsi="Arial Narrow"/>
                <w:sz w:val="16"/>
              </w:rPr>
            </w:pPr>
            <w:r>
              <w:rPr>
                <w:rFonts w:ascii="Arial Narrow" w:hAnsi="Arial Narrow"/>
                <w:sz w:val="16"/>
              </w:rPr>
              <w:t>Fondos</w:t>
            </w:r>
            <w:r>
              <w:rPr>
                <w:rFonts w:ascii="Arial Narrow" w:hAnsi="Arial Narrow"/>
                <w:spacing w:val="-1"/>
                <w:sz w:val="16"/>
              </w:rPr>
              <w:t> </w:t>
            </w:r>
            <w:r>
              <w:rPr>
                <w:rFonts w:ascii="Arial Narrow" w:hAnsi="Arial Narrow"/>
                <w:sz w:val="16"/>
              </w:rPr>
              <w:t>de</w:t>
            </w:r>
            <w:r>
              <w:rPr>
                <w:rFonts w:ascii="Arial Narrow" w:hAnsi="Arial Narrow"/>
                <w:spacing w:val="-3"/>
                <w:sz w:val="16"/>
              </w:rPr>
              <w:t> </w:t>
            </w:r>
            <w:r>
              <w:rPr>
                <w:rFonts w:ascii="Arial Narrow" w:hAnsi="Arial Narrow"/>
                <w:sz w:val="16"/>
              </w:rPr>
              <w:t>terceros</w:t>
            </w:r>
            <w:r>
              <w:rPr>
                <w:rFonts w:ascii="Arial Narrow" w:hAnsi="Arial Narrow"/>
                <w:spacing w:val="-1"/>
                <w:sz w:val="16"/>
              </w:rPr>
              <w:t> </w:t>
            </w:r>
            <w:r>
              <w:rPr>
                <w:rFonts w:ascii="Arial Narrow" w:hAnsi="Arial Narrow"/>
                <w:sz w:val="16"/>
              </w:rPr>
              <w:t>en</w:t>
            </w:r>
            <w:r>
              <w:rPr>
                <w:rFonts w:ascii="Arial Narrow" w:hAnsi="Arial Narrow"/>
                <w:spacing w:val="-3"/>
                <w:sz w:val="16"/>
              </w:rPr>
              <w:t> </w:t>
            </w:r>
            <w:r>
              <w:rPr>
                <w:rFonts w:ascii="Arial Narrow" w:hAnsi="Arial Narrow"/>
                <w:sz w:val="16"/>
              </w:rPr>
              <w:t>la</w:t>
            </w:r>
            <w:r>
              <w:rPr>
                <w:rFonts w:ascii="Arial Narrow" w:hAnsi="Arial Narrow"/>
                <w:spacing w:val="-4"/>
                <w:sz w:val="16"/>
              </w:rPr>
              <w:t> </w:t>
            </w:r>
            <w:r>
              <w:rPr>
                <w:rFonts w:ascii="Arial Narrow" w:hAnsi="Arial Narrow"/>
                <w:sz w:val="16"/>
              </w:rPr>
              <w:t>Caja</w:t>
            </w:r>
            <w:r>
              <w:rPr>
                <w:rFonts w:ascii="Arial Narrow" w:hAnsi="Arial Narrow"/>
                <w:spacing w:val="-3"/>
                <w:sz w:val="16"/>
              </w:rPr>
              <w:t> </w:t>
            </w:r>
            <w:r>
              <w:rPr>
                <w:rFonts w:ascii="Arial Narrow" w:hAnsi="Arial Narrow"/>
                <w:spacing w:val="-4"/>
                <w:sz w:val="16"/>
              </w:rPr>
              <w:t>Única</w:t>
            </w:r>
          </w:p>
        </w:tc>
        <w:tc>
          <w:tcPr>
            <w:tcW w:w="548" w:type="dxa"/>
          </w:tcPr>
          <w:p>
            <w:pPr>
              <w:pStyle w:val="TableParagraph"/>
              <w:rPr>
                <w:rFonts w:ascii="Times New Roman"/>
                <w:sz w:val="12"/>
              </w:rPr>
            </w:pPr>
          </w:p>
        </w:tc>
        <w:tc>
          <w:tcPr>
            <w:tcW w:w="966" w:type="dxa"/>
          </w:tcPr>
          <w:p>
            <w:pPr>
              <w:pStyle w:val="TableParagraph"/>
              <w:spacing w:line="168" w:lineRule="exact" w:before="9"/>
              <w:ind w:left="14" w:right="3"/>
              <w:jc w:val="center"/>
              <w:rPr>
                <w:rFonts w:ascii="Arial Narrow"/>
                <w:sz w:val="16"/>
              </w:rPr>
            </w:pPr>
            <w:r>
              <w:rPr>
                <w:rFonts w:ascii="Arial Narrow"/>
                <w:spacing w:val="-4"/>
                <w:sz w:val="16"/>
              </w:rPr>
              <w:t>0,00</w:t>
            </w:r>
          </w:p>
        </w:tc>
        <w:tc>
          <w:tcPr>
            <w:tcW w:w="966" w:type="dxa"/>
          </w:tcPr>
          <w:p>
            <w:pPr>
              <w:pStyle w:val="TableParagraph"/>
              <w:spacing w:line="168" w:lineRule="exact" w:before="9"/>
              <w:ind w:left="14"/>
              <w:jc w:val="center"/>
              <w:rPr>
                <w:rFonts w:ascii="Arial Narrow"/>
                <w:sz w:val="16"/>
              </w:rPr>
            </w:pPr>
            <w:r>
              <w:rPr>
                <w:rFonts w:ascii="Arial Narrow"/>
                <w:spacing w:val="-4"/>
                <w:sz w:val="16"/>
              </w:rPr>
              <w:t>0,00</w:t>
            </w:r>
          </w:p>
        </w:tc>
      </w:tr>
      <w:tr>
        <w:trPr>
          <w:trHeight w:val="197" w:hRule="atLeast"/>
        </w:trPr>
        <w:tc>
          <w:tcPr>
            <w:tcW w:w="1424" w:type="dxa"/>
            <w:tcBorders>
              <w:right w:val="single" w:sz="4" w:space="0" w:color="000000"/>
            </w:tcBorders>
          </w:tcPr>
          <w:p>
            <w:pPr>
              <w:pStyle w:val="TableParagraph"/>
              <w:spacing w:line="168" w:lineRule="exact" w:before="9"/>
              <w:ind w:left="21"/>
              <w:rPr>
                <w:rFonts w:ascii="Arial Narrow"/>
                <w:sz w:val="16"/>
              </w:rPr>
            </w:pPr>
            <w:r>
              <w:rPr>
                <w:rFonts w:ascii="Arial Narrow"/>
                <w:spacing w:val="-2"/>
                <w:sz w:val="16"/>
              </w:rPr>
              <w:t>2.1.3.02.</w:t>
            </w:r>
          </w:p>
        </w:tc>
        <w:tc>
          <w:tcPr>
            <w:tcW w:w="2915" w:type="dxa"/>
            <w:tcBorders>
              <w:left w:val="single" w:sz="4" w:space="0" w:color="000000"/>
            </w:tcBorders>
          </w:tcPr>
          <w:p>
            <w:pPr>
              <w:pStyle w:val="TableParagraph"/>
              <w:spacing w:line="168" w:lineRule="exact" w:before="9"/>
              <w:ind w:left="19"/>
              <w:rPr>
                <w:rFonts w:ascii="Arial Narrow" w:hAnsi="Arial Narrow"/>
                <w:sz w:val="16"/>
              </w:rPr>
            </w:pPr>
            <w:r>
              <w:rPr>
                <w:rFonts w:ascii="Arial Narrow" w:hAnsi="Arial Narrow"/>
                <w:sz w:val="16"/>
              </w:rPr>
              <w:t>Recaudación</w:t>
            </w:r>
            <w:r>
              <w:rPr>
                <w:rFonts w:ascii="Arial Narrow" w:hAnsi="Arial Narrow"/>
                <w:spacing w:val="-5"/>
                <w:sz w:val="16"/>
              </w:rPr>
              <w:t> </w:t>
            </w:r>
            <w:r>
              <w:rPr>
                <w:rFonts w:ascii="Arial Narrow" w:hAnsi="Arial Narrow"/>
                <w:sz w:val="16"/>
              </w:rPr>
              <w:t>por</w:t>
            </w:r>
            <w:r>
              <w:rPr>
                <w:rFonts w:ascii="Arial Narrow" w:hAnsi="Arial Narrow"/>
                <w:spacing w:val="-4"/>
                <w:sz w:val="16"/>
              </w:rPr>
              <w:t> </w:t>
            </w:r>
            <w:r>
              <w:rPr>
                <w:rFonts w:ascii="Arial Narrow" w:hAnsi="Arial Narrow"/>
                <w:sz w:val="16"/>
              </w:rPr>
              <w:t>cuenta</w:t>
            </w:r>
            <w:r>
              <w:rPr>
                <w:rFonts w:ascii="Arial Narrow" w:hAnsi="Arial Narrow"/>
                <w:spacing w:val="-5"/>
                <w:sz w:val="16"/>
              </w:rPr>
              <w:t> </w:t>
            </w:r>
            <w:r>
              <w:rPr>
                <w:rFonts w:ascii="Arial Narrow" w:hAnsi="Arial Narrow"/>
                <w:sz w:val="16"/>
              </w:rPr>
              <w:t>de</w:t>
            </w:r>
            <w:r>
              <w:rPr>
                <w:rFonts w:ascii="Arial Narrow" w:hAnsi="Arial Narrow"/>
                <w:spacing w:val="-4"/>
                <w:sz w:val="16"/>
              </w:rPr>
              <w:t> </w:t>
            </w:r>
            <w:r>
              <w:rPr>
                <w:rFonts w:ascii="Arial Narrow" w:hAnsi="Arial Narrow"/>
                <w:spacing w:val="-2"/>
                <w:sz w:val="16"/>
              </w:rPr>
              <w:t>terceros</w:t>
            </w:r>
          </w:p>
        </w:tc>
        <w:tc>
          <w:tcPr>
            <w:tcW w:w="548" w:type="dxa"/>
          </w:tcPr>
          <w:p>
            <w:pPr>
              <w:pStyle w:val="TableParagraph"/>
              <w:rPr>
                <w:rFonts w:ascii="Times New Roman"/>
                <w:sz w:val="12"/>
              </w:rPr>
            </w:pPr>
          </w:p>
        </w:tc>
        <w:tc>
          <w:tcPr>
            <w:tcW w:w="966" w:type="dxa"/>
          </w:tcPr>
          <w:p>
            <w:pPr>
              <w:pStyle w:val="TableParagraph"/>
              <w:spacing w:line="168" w:lineRule="exact" w:before="9"/>
              <w:ind w:left="14" w:right="3"/>
              <w:jc w:val="center"/>
              <w:rPr>
                <w:rFonts w:ascii="Arial Narrow"/>
                <w:sz w:val="16"/>
              </w:rPr>
            </w:pPr>
            <w:r>
              <w:rPr>
                <w:rFonts w:ascii="Arial Narrow"/>
                <w:spacing w:val="-4"/>
                <w:sz w:val="16"/>
              </w:rPr>
              <w:t>0,00</w:t>
            </w:r>
          </w:p>
        </w:tc>
        <w:tc>
          <w:tcPr>
            <w:tcW w:w="966" w:type="dxa"/>
          </w:tcPr>
          <w:p>
            <w:pPr>
              <w:pStyle w:val="TableParagraph"/>
              <w:spacing w:line="168" w:lineRule="exact" w:before="9"/>
              <w:ind w:left="14"/>
              <w:jc w:val="center"/>
              <w:rPr>
                <w:rFonts w:ascii="Arial Narrow"/>
                <w:sz w:val="16"/>
              </w:rPr>
            </w:pPr>
            <w:r>
              <w:rPr>
                <w:rFonts w:ascii="Arial Narrow"/>
                <w:spacing w:val="-4"/>
                <w:sz w:val="16"/>
              </w:rPr>
              <w:t>0,00</w:t>
            </w:r>
          </w:p>
        </w:tc>
      </w:tr>
      <w:tr>
        <w:trPr>
          <w:trHeight w:val="197" w:hRule="atLeast"/>
        </w:trPr>
        <w:tc>
          <w:tcPr>
            <w:tcW w:w="1424" w:type="dxa"/>
            <w:tcBorders>
              <w:right w:val="single" w:sz="4" w:space="0" w:color="000000"/>
            </w:tcBorders>
          </w:tcPr>
          <w:p>
            <w:pPr>
              <w:pStyle w:val="TableParagraph"/>
              <w:spacing w:line="168" w:lineRule="exact" w:before="9"/>
              <w:ind w:left="21"/>
              <w:rPr>
                <w:rFonts w:ascii="Arial Narrow"/>
                <w:sz w:val="16"/>
              </w:rPr>
            </w:pPr>
            <w:r>
              <w:rPr>
                <w:rFonts w:ascii="Arial Narrow"/>
                <w:spacing w:val="-2"/>
                <w:sz w:val="16"/>
              </w:rPr>
              <w:t>2.1.3.03.</w:t>
            </w:r>
          </w:p>
        </w:tc>
        <w:tc>
          <w:tcPr>
            <w:tcW w:w="2915" w:type="dxa"/>
            <w:tcBorders>
              <w:left w:val="single" w:sz="4" w:space="0" w:color="000000"/>
            </w:tcBorders>
          </w:tcPr>
          <w:p>
            <w:pPr>
              <w:pStyle w:val="TableParagraph"/>
              <w:spacing w:line="168" w:lineRule="exact" w:before="9"/>
              <w:ind w:left="19"/>
              <w:rPr>
                <w:rFonts w:ascii="Arial Narrow" w:hAnsi="Arial Narrow"/>
                <w:sz w:val="16"/>
              </w:rPr>
            </w:pPr>
            <w:r>
              <w:rPr>
                <w:rFonts w:ascii="Arial Narrow" w:hAnsi="Arial Narrow"/>
                <w:sz w:val="16"/>
              </w:rPr>
              <w:t>Depósitos</w:t>
            </w:r>
            <w:r>
              <w:rPr>
                <w:rFonts w:ascii="Arial Narrow" w:hAnsi="Arial Narrow"/>
                <w:spacing w:val="-2"/>
                <w:sz w:val="16"/>
              </w:rPr>
              <w:t> </w:t>
            </w:r>
            <w:r>
              <w:rPr>
                <w:rFonts w:ascii="Arial Narrow" w:hAnsi="Arial Narrow"/>
                <w:sz w:val="16"/>
              </w:rPr>
              <w:t>en</w:t>
            </w:r>
            <w:r>
              <w:rPr>
                <w:rFonts w:ascii="Arial Narrow" w:hAnsi="Arial Narrow"/>
                <w:spacing w:val="-4"/>
                <w:sz w:val="16"/>
              </w:rPr>
              <w:t> </w:t>
            </w:r>
            <w:r>
              <w:rPr>
                <w:rFonts w:ascii="Arial Narrow" w:hAnsi="Arial Narrow"/>
                <w:spacing w:val="-2"/>
                <w:sz w:val="16"/>
              </w:rPr>
              <w:t>garantía</w:t>
            </w:r>
          </w:p>
        </w:tc>
        <w:tc>
          <w:tcPr>
            <w:tcW w:w="548" w:type="dxa"/>
          </w:tcPr>
          <w:p>
            <w:pPr>
              <w:pStyle w:val="TableParagraph"/>
              <w:rPr>
                <w:rFonts w:ascii="Times New Roman"/>
                <w:sz w:val="12"/>
              </w:rPr>
            </w:pPr>
          </w:p>
        </w:tc>
        <w:tc>
          <w:tcPr>
            <w:tcW w:w="966" w:type="dxa"/>
          </w:tcPr>
          <w:p>
            <w:pPr>
              <w:pStyle w:val="TableParagraph"/>
              <w:spacing w:line="168" w:lineRule="exact" w:before="9"/>
              <w:ind w:left="14" w:right="8"/>
              <w:jc w:val="center"/>
              <w:rPr>
                <w:rFonts w:ascii="Arial Narrow"/>
                <w:sz w:val="16"/>
              </w:rPr>
            </w:pPr>
            <w:r>
              <w:rPr>
                <w:rFonts w:ascii="Arial Narrow"/>
                <w:sz w:val="16"/>
              </w:rPr>
              <w:t>147</w:t>
            </w:r>
            <w:r>
              <w:rPr>
                <w:rFonts w:ascii="Arial Narrow"/>
                <w:spacing w:val="-4"/>
                <w:sz w:val="16"/>
              </w:rPr>
              <w:t> </w:t>
            </w:r>
            <w:r>
              <w:rPr>
                <w:rFonts w:ascii="Arial Narrow"/>
                <w:spacing w:val="-2"/>
                <w:sz w:val="16"/>
              </w:rPr>
              <w:t>991,59</w:t>
            </w:r>
          </w:p>
        </w:tc>
        <w:tc>
          <w:tcPr>
            <w:tcW w:w="966" w:type="dxa"/>
          </w:tcPr>
          <w:p>
            <w:pPr>
              <w:pStyle w:val="TableParagraph"/>
              <w:spacing w:line="168" w:lineRule="exact" w:before="9"/>
              <w:ind w:left="14" w:right="7"/>
              <w:jc w:val="center"/>
              <w:rPr>
                <w:rFonts w:ascii="Arial Narrow"/>
                <w:sz w:val="16"/>
              </w:rPr>
            </w:pPr>
            <w:r>
              <w:rPr>
                <w:rFonts w:ascii="Arial Narrow"/>
                <w:sz w:val="16"/>
              </w:rPr>
              <w:t>123</w:t>
            </w:r>
            <w:r>
              <w:rPr>
                <w:rFonts w:ascii="Arial Narrow"/>
                <w:spacing w:val="-4"/>
                <w:sz w:val="16"/>
              </w:rPr>
              <w:t> </w:t>
            </w:r>
            <w:r>
              <w:rPr>
                <w:rFonts w:ascii="Arial Narrow"/>
                <w:spacing w:val="-2"/>
                <w:sz w:val="16"/>
              </w:rPr>
              <w:t>615,28</w:t>
            </w:r>
          </w:p>
        </w:tc>
      </w:tr>
      <w:tr>
        <w:trPr>
          <w:trHeight w:val="197" w:hRule="atLeast"/>
        </w:trPr>
        <w:tc>
          <w:tcPr>
            <w:tcW w:w="1424" w:type="dxa"/>
            <w:tcBorders>
              <w:right w:val="single" w:sz="4" w:space="0" w:color="000000"/>
            </w:tcBorders>
          </w:tcPr>
          <w:p>
            <w:pPr>
              <w:pStyle w:val="TableParagraph"/>
              <w:spacing w:line="169" w:lineRule="exact" w:before="9"/>
              <w:ind w:left="21"/>
              <w:rPr>
                <w:rFonts w:ascii="Arial Narrow"/>
                <w:sz w:val="16"/>
              </w:rPr>
            </w:pPr>
            <w:r>
              <w:rPr>
                <w:rFonts w:ascii="Arial Narrow"/>
                <w:spacing w:val="-2"/>
                <w:sz w:val="16"/>
              </w:rPr>
              <w:t>2.1.3.90.</w:t>
            </w:r>
          </w:p>
        </w:tc>
        <w:tc>
          <w:tcPr>
            <w:tcW w:w="2915" w:type="dxa"/>
            <w:tcBorders>
              <w:left w:val="single" w:sz="4" w:space="0" w:color="000000"/>
            </w:tcBorders>
          </w:tcPr>
          <w:p>
            <w:pPr>
              <w:pStyle w:val="TableParagraph"/>
              <w:spacing w:line="169" w:lineRule="exact" w:before="9"/>
              <w:ind w:left="19"/>
              <w:rPr>
                <w:rFonts w:ascii="Arial Narrow"/>
                <w:sz w:val="16"/>
              </w:rPr>
            </w:pPr>
            <w:r>
              <w:rPr>
                <w:rFonts w:ascii="Arial Narrow"/>
                <w:sz w:val="16"/>
              </w:rPr>
              <w:t>Cuentas</w:t>
            </w:r>
            <w:r>
              <w:rPr>
                <w:rFonts w:ascii="Arial Narrow"/>
                <w:spacing w:val="-2"/>
                <w:sz w:val="16"/>
              </w:rPr>
              <w:t> </w:t>
            </w:r>
            <w:r>
              <w:rPr>
                <w:rFonts w:ascii="Arial Narrow"/>
                <w:sz w:val="16"/>
              </w:rPr>
              <w:t>Asociadas</w:t>
            </w:r>
            <w:r>
              <w:rPr>
                <w:rFonts w:ascii="Arial Narrow"/>
                <w:spacing w:val="-2"/>
                <w:sz w:val="16"/>
              </w:rPr>
              <w:t> </w:t>
            </w:r>
            <w:r>
              <w:rPr>
                <w:rFonts w:ascii="Arial Narrow"/>
                <w:sz w:val="16"/>
              </w:rPr>
              <w:t>(</w:t>
            </w:r>
            <w:r>
              <w:rPr>
                <w:rFonts w:ascii="Arial Narrow"/>
                <w:spacing w:val="-3"/>
                <w:sz w:val="16"/>
              </w:rPr>
              <w:t> </w:t>
            </w:r>
            <w:r>
              <w:rPr>
                <w:rFonts w:ascii="Arial Narrow"/>
                <w:sz w:val="16"/>
              </w:rPr>
              <w:t>Deudores</w:t>
            </w:r>
            <w:r>
              <w:rPr>
                <w:rFonts w:ascii="Arial Narrow"/>
                <w:spacing w:val="-1"/>
                <w:sz w:val="16"/>
              </w:rPr>
              <w:t> </w:t>
            </w:r>
            <w:r>
              <w:rPr>
                <w:rFonts w:ascii="Arial Narrow"/>
                <w:sz w:val="16"/>
              </w:rPr>
              <w:t>)</w:t>
            </w:r>
            <w:r>
              <w:rPr>
                <w:rFonts w:ascii="Arial Narrow"/>
                <w:spacing w:val="30"/>
                <w:sz w:val="16"/>
              </w:rPr>
              <w:t> </w:t>
            </w:r>
            <w:r>
              <w:rPr>
                <w:rFonts w:ascii="Arial Narrow"/>
                <w:spacing w:val="-5"/>
                <w:sz w:val="16"/>
              </w:rPr>
              <w:t>CP</w:t>
            </w:r>
          </w:p>
        </w:tc>
        <w:tc>
          <w:tcPr>
            <w:tcW w:w="548" w:type="dxa"/>
          </w:tcPr>
          <w:p>
            <w:pPr>
              <w:pStyle w:val="TableParagraph"/>
              <w:rPr>
                <w:rFonts w:ascii="Times New Roman"/>
                <w:sz w:val="12"/>
              </w:rPr>
            </w:pPr>
          </w:p>
        </w:tc>
        <w:tc>
          <w:tcPr>
            <w:tcW w:w="966" w:type="dxa"/>
          </w:tcPr>
          <w:p>
            <w:pPr>
              <w:pStyle w:val="TableParagraph"/>
              <w:spacing w:line="169" w:lineRule="exact" w:before="9"/>
              <w:ind w:left="14" w:right="3"/>
              <w:jc w:val="center"/>
              <w:rPr>
                <w:rFonts w:ascii="Arial Narrow"/>
                <w:sz w:val="16"/>
              </w:rPr>
            </w:pPr>
            <w:r>
              <w:rPr>
                <w:rFonts w:ascii="Arial Narrow"/>
                <w:spacing w:val="-4"/>
                <w:sz w:val="16"/>
              </w:rPr>
              <w:t>0,00</w:t>
            </w:r>
          </w:p>
        </w:tc>
        <w:tc>
          <w:tcPr>
            <w:tcW w:w="966" w:type="dxa"/>
          </w:tcPr>
          <w:p>
            <w:pPr>
              <w:pStyle w:val="TableParagraph"/>
              <w:spacing w:line="169" w:lineRule="exact" w:before="9"/>
              <w:ind w:left="14"/>
              <w:jc w:val="center"/>
              <w:rPr>
                <w:rFonts w:ascii="Arial Narrow"/>
                <w:sz w:val="16"/>
              </w:rPr>
            </w:pPr>
            <w:r>
              <w:rPr>
                <w:rFonts w:ascii="Arial Narrow"/>
                <w:spacing w:val="-4"/>
                <w:sz w:val="16"/>
              </w:rPr>
              <w:t>0,00</w:t>
            </w:r>
          </w:p>
        </w:tc>
      </w:tr>
      <w:tr>
        <w:trPr>
          <w:trHeight w:val="197" w:hRule="atLeast"/>
        </w:trPr>
        <w:tc>
          <w:tcPr>
            <w:tcW w:w="1424" w:type="dxa"/>
            <w:tcBorders>
              <w:right w:val="single" w:sz="4" w:space="0" w:color="000000"/>
            </w:tcBorders>
          </w:tcPr>
          <w:p>
            <w:pPr>
              <w:pStyle w:val="TableParagraph"/>
              <w:spacing w:line="169" w:lineRule="exact" w:before="8"/>
              <w:ind w:left="21"/>
              <w:rPr>
                <w:rFonts w:ascii="Arial Narrow"/>
                <w:sz w:val="16"/>
              </w:rPr>
            </w:pPr>
            <w:r>
              <w:rPr>
                <w:rFonts w:ascii="Arial Narrow"/>
                <w:spacing w:val="-2"/>
                <w:sz w:val="16"/>
              </w:rPr>
              <w:t>2.1.3.99.</w:t>
            </w:r>
          </w:p>
        </w:tc>
        <w:tc>
          <w:tcPr>
            <w:tcW w:w="2915" w:type="dxa"/>
            <w:tcBorders>
              <w:left w:val="single" w:sz="4" w:space="0" w:color="000000"/>
            </w:tcBorders>
          </w:tcPr>
          <w:p>
            <w:pPr>
              <w:pStyle w:val="TableParagraph"/>
              <w:spacing w:line="169" w:lineRule="exact" w:before="8"/>
              <w:ind w:left="19"/>
              <w:rPr>
                <w:rFonts w:ascii="Arial Narrow"/>
                <w:sz w:val="16"/>
              </w:rPr>
            </w:pPr>
            <w:r>
              <w:rPr>
                <w:rFonts w:ascii="Arial Narrow"/>
                <w:sz w:val="16"/>
              </w:rPr>
              <w:t>Otros</w:t>
            </w:r>
            <w:r>
              <w:rPr>
                <w:rFonts w:ascii="Arial Narrow"/>
                <w:spacing w:val="-2"/>
                <w:sz w:val="16"/>
              </w:rPr>
              <w:t> </w:t>
            </w:r>
            <w:r>
              <w:rPr>
                <w:rFonts w:ascii="Arial Narrow"/>
                <w:sz w:val="16"/>
              </w:rPr>
              <w:t>fondos</w:t>
            </w:r>
            <w:r>
              <w:rPr>
                <w:rFonts w:ascii="Arial Narrow"/>
                <w:spacing w:val="-2"/>
                <w:sz w:val="16"/>
              </w:rPr>
              <w:t> </w:t>
            </w:r>
            <w:r>
              <w:rPr>
                <w:rFonts w:ascii="Arial Narrow"/>
                <w:sz w:val="16"/>
              </w:rPr>
              <w:t>de</w:t>
            </w:r>
            <w:r>
              <w:rPr>
                <w:rFonts w:ascii="Arial Narrow"/>
                <w:spacing w:val="-3"/>
                <w:sz w:val="16"/>
              </w:rPr>
              <w:t> </w:t>
            </w:r>
            <w:r>
              <w:rPr>
                <w:rFonts w:ascii="Arial Narrow"/>
                <w:spacing w:val="-2"/>
                <w:sz w:val="16"/>
              </w:rPr>
              <w:t>terceros</w:t>
            </w:r>
          </w:p>
        </w:tc>
        <w:tc>
          <w:tcPr>
            <w:tcW w:w="548" w:type="dxa"/>
          </w:tcPr>
          <w:p>
            <w:pPr>
              <w:pStyle w:val="TableParagraph"/>
              <w:rPr>
                <w:rFonts w:ascii="Times New Roman"/>
                <w:sz w:val="12"/>
              </w:rPr>
            </w:pPr>
          </w:p>
        </w:tc>
        <w:tc>
          <w:tcPr>
            <w:tcW w:w="966" w:type="dxa"/>
          </w:tcPr>
          <w:p>
            <w:pPr>
              <w:pStyle w:val="TableParagraph"/>
              <w:spacing w:line="169" w:lineRule="exact" w:before="8"/>
              <w:ind w:left="14" w:right="3"/>
              <w:jc w:val="center"/>
              <w:rPr>
                <w:rFonts w:ascii="Arial Narrow"/>
                <w:sz w:val="16"/>
              </w:rPr>
            </w:pPr>
            <w:r>
              <w:rPr>
                <w:rFonts w:ascii="Arial Narrow"/>
                <w:sz w:val="16"/>
              </w:rPr>
              <w:t>33</w:t>
            </w:r>
            <w:r>
              <w:rPr>
                <w:rFonts w:ascii="Arial Narrow"/>
                <w:spacing w:val="-2"/>
                <w:sz w:val="16"/>
              </w:rPr>
              <w:t> 313,63</w:t>
            </w:r>
          </w:p>
        </w:tc>
        <w:tc>
          <w:tcPr>
            <w:tcW w:w="966" w:type="dxa"/>
          </w:tcPr>
          <w:p>
            <w:pPr>
              <w:pStyle w:val="TableParagraph"/>
              <w:spacing w:line="169" w:lineRule="exact" w:before="8"/>
              <w:ind w:left="14" w:right="1"/>
              <w:jc w:val="center"/>
              <w:rPr>
                <w:rFonts w:ascii="Arial Narrow"/>
                <w:sz w:val="16"/>
              </w:rPr>
            </w:pPr>
            <w:r>
              <w:rPr>
                <w:rFonts w:ascii="Arial Narrow"/>
                <w:sz w:val="16"/>
              </w:rPr>
              <w:t>32</w:t>
            </w:r>
            <w:r>
              <w:rPr>
                <w:rFonts w:ascii="Arial Narrow"/>
                <w:spacing w:val="-2"/>
                <w:sz w:val="16"/>
              </w:rPr>
              <w:t> 648,45</w:t>
            </w:r>
          </w:p>
        </w:tc>
      </w:tr>
    </w:tbl>
    <w:p>
      <w:pPr>
        <w:pStyle w:val="BodyText"/>
        <w:spacing w:before="23"/>
      </w:pPr>
    </w:p>
    <w:p>
      <w:pPr>
        <w:pStyle w:val="BodyText"/>
        <w:ind w:left="622"/>
      </w:pPr>
      <w:r>
        <w:rPr>
          <w:spacing w:val="-2"/>
        </w:rPr>
        <w:t>Detalle</w:t>
      </w:r>
    </w:p>
    <w:p>
      <w:pPr>
        <w:pStyle w:val="BodyText"/>
        <w:spacing w:before="9"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gridCol w:w="2235"/>
        <w:gridCol w:w="680"/>
        <w:gridCol w:w="1911"/>
        <w:gridCol w:w="1753"/>
        <w:gridCol w:w="1102"/>
      </w:tblGrid>
      <w:tr>
        <w:trPr>
          <w:trHeight w:val="297" w:hRule="atLeast"/>
        </w:trPr>
        <w:tc>
          <w:tcPr>
            <w:tcW w:w="1032" w:type="dxa"/>
            <w:vMerge w:val="restart"/>
            <w:shd w:val="clear" w:color="auto" w:fill="365F92"/>
          </w:tcPr>
          <w:p>
            <w:pPr>
              <w:pStyle w:val="TableParagraph"/>
              <w:spacing w:before="102"/>
              <w:ind w:left="69"/>
              <w:rPr>
                <w:b/>
                <w:sz w:val="20"/>
              </w:rPr>
            </w:pPr>
            <w:r>
              <w:rPr>
                <w:b/>
                <w:color w:val="FFFFFF"/>
                <w:spacing w:val="-2"/>
                <w:sz w:val="20"/>
              </w:rPr>
              <w:t>Cuenta</w:t>
            </w:r>
          </w:p>
        </w:tc>
        <w:tc>
          <w:tcPr>
            <w:tcW w:w="2235" w:type="dxa"/>
            <w:vMerge w:val="restart"/>
            <w:shd w:val="clear" w:color="auto" w:fill="365F92"/>
          </w:tcPr>
          <w:p>
            <w:pPr>
              <w:pStyle w:val="TableParagraph"/>
              <w:spacing w:before="193"/>
              <w:ind w:left="633"/>
              <w:rPr>
                <w:b/>
                <w:sz w:val="20"/>
              </w:rPr>
            </w:pPr>
            <w:r>
              <w:rPr>
                <w:b/>
                <w:color w:val="FFFFFF"/>
                <w:spacing w:val="-2"/>
                <w:sz w:val="20"/>
              </w:rPr>
              <w:t>Descripción</w:t>
            </w:r>
          </w:p>
        </w:tc>
        <w:tc>
          <w:tcPr>
            <w:tcW w:w="680" w:type="dxa"/>
            <w:vMerge w:val="restart"/>
            <w:shd w:val="clear" w:color="auto" w:fill="365F92"/>
          </w:tcPr>
          <w:p>
            <w:pPr>
              <w:pStyle w:val="TableParagraph"/>
              <w:spacing w:before="193"/>
              <w:ind w:left="143"/>
              <w:rPr>
                <w:b/>
                <w:sz w:val="20"/>
              </w:rPr>
            </w:pPr>
            <w:r>
              <w:rPr>
                <w:b/>
                <w:color w:val="FFFFFF"/>
                <w:spacing w:val="-4"/>
                <w:sz w:val="20"/>
              </w:rPr>
              <w:t>Nota</w:t>
            </w:r>
          </w:p>
        </w:tc>
        <w:tc>
          <w:tcPr>
            <w:tcW w:w="1911" w:type="dxa"/>
            <w:vMerge w:val="restart"/>
            <w:shd w:val="clear" w:color="auto" w:fill="365F92"/>
          </w:tcPr>
          <w:p>
            <w:pPr>
              <w:pStyle w:val="TableParagraph"/>
              <w:spacing w:before="193"/>
              <w:ind w:left="380"/>
              <w:rPr>
                <w:b/>
                <w:sz w:val="20"/>
              </w:rPr>
            </w:pPr>
            <w:r>
              <w:rPr>
                <w:b/>
                <w:color w:val="FFFFFF"/>
                <w:sz w:val="20"/>
              </w:rPr>
              <w:t>Periodo</w:t>
            </w:r>
            <w:r>
              <w:rPr>
                <w:b/>
                <w:color w:val="FFFFFF"/>
                <w:spacing w:val="-5"/>
                <w:sz w:val="20"/>
              </w:rPr>
              <w:t> </w:t>
            </w:r>
            <w:r>
              <w:rPr>
                <w:b/>
                <w:color w:val="FFFFFF"/>
                <w:spacing w:val="-2"/>
                <w:sz w:val="20"/>
              </w:rPr>
              <w:t>Actual</w:t>
            </w:r>
          </w:p>
        </w:tc>
        <w:tc>
          <w:tcPr>
            <w:tcW w:w="1753" w:type="dxa"/>
            <w:vMerge w:val="restart"/>
            <w:shd w:val="clear" w:color="auto" w:fill="365F92"/>
          </w:tcPr>
          <w:p>
            <w:pPr>
              <w:pStyle w:val="TableParagraph"/>
              <w:spacing w:before="193"/>
              <w:ind w:left="217"/>
              <w:rPr>
                <w:b/>
                <w:sz w:val="20"/>
              </w:rPr>
            </w:pPr>
            <w:r>
              <w:rPr>
                <w:b/>
                <w:color w:val="FFFFFF"/>
                <w:sz w:val="20"/>
              </w:rPr>
              <w:t>Periodo</w:t>
            </w:r>
            <w:r>
              <w:rPr>
                <w:b/>
                <w:color w:val="FFFFFF"/>
                <w:spacing w:val="-5"/>
                <w:sz w:val="20"/>
              </w:rPr>
              <w:t> </w:t>
            </w:r>
            <w:r>
              <w:rPr>
                <w:b/>
                <w:color w:val="FFFFFF"/>
                <w:spacing w:val="-2"/>
                <w:sz w:val="20"/>
              </w:rPr>
              <w:t>Anterior</w:t>
            </w:r>
          </w:p>
        </w:tc>
        <w:tc>
          <w:tcPr>
            <w:tcW w:w="1102" w:type="dxa"/>
            <w:shd w:val="clear" w:color="auto" w:fill="365F92"/>
          </w:tcPr>
          <w:p>
            <w:pPr>
              <w:pStyle w:val="TableParagraph"/>
              <w:spacing w:before="35"/>
              <w:ind w:left="19" w:right="6"/>
              <w:jc w:val="center"/>
              <w:rPr>
                <w:b/>
                <w:sz w:val="20"/>
              </w:rPr>
            </w:pPr>
            <w:r>
              <w:rPr>
                <w:b/>
                <w:color w:val="FFFFFF"/>
                <w:spacing w:val="-2"/>
                <w:sz w:val="20"/>
              </w:rPr>
              <w:t>Diferencia</w:t>
            </w:r>
          </w:p>
        </w:tc>
      </w:tr>
      <w:tr>
        <w:trPr>
          <w:trHeight w:val="296" w:hRule="atLeast"/>
        </w:trPr>
        <w:tc>
          <w:tcPr>
            <w:tcW w:w="1032" w:type="dxa"/>
            <w:vMerge/>
            <w:tcBorders>
              <w:top w:val="nil"/>
            </w:tcBorders>
            <w:shd w:val="clear" w:color="auto" w:fill="365F92"/>
          </w:tcPr>
          <w:p>
            <w:pPr>
              <w:rPr>
                <w:sz w:val="2"/>
                <w:szCs w:val="2"/>
              </w:rPr>
            </w:pPr>
          </w:p>
        </w:tc>
        <w:tc>
          <w:tcPr>
            <w:tcW w:w="2235" w:type="dxa"/>
            <w:vMerge/>
            <w:tcBorders>
              <w:top w:val="nil"/>
            </w:tcBorders>
            <w:shd w:val="clear" w:color="auto" w:fill="365F92"/>
          </w:tcPr>
          <w:p>
            <w:pPr>
              <w:rPr>
                <w:sz w:val="2"/>
                <w:szCs w:val="2"/>
              </w:rPr>
            </w:pPr>
          </w:p>
        </w:tc>
        <w:tc>
          <w:tcPr>
            <w:tcW w:w="680" w:type="dxa"/>
            <w:vMerge/>
            <w:tcBorders>
              <w:top w:val="nil"/>
            </w:tcBorders>
            <w:shd w:val="clear" w:color="auto" w:fill="365F92"/>
          </w:tcPr>
          <w:p>
            <w:pPr>
              <w:rPr>
                <w:sz w:val="2"/>
                <w:szCs w:val="2"/>
              </w:rPr>
            </w:pPr>
          </w:p>
        </w:tc>
        <w:tc>
          <w:tcPr>
            <w:tcW w:w="1911" w:type="dxa"/>
            <w:vMerge/>
            <w:tcBorders>
              <w:top w:val="nil"/>
            </w:tcBorders>
            <w:shd w:val="clear" w:color="auto" w:fill="365F92"/>
          </w:tcPr>
          <w:p>
            <w:pPr>
              <w:rPr>
                <w:sz w:val="2"/>
                <w:szCs w:val="2"/>
              </w:rPr>
            </w:pPr>
          </w:p>
        </w:tc>
        <w:tc>
          <w:tcPr>
            <w:tcW w:w="1753" w:type="dxa"/>
            <w:vMerge/>
            <w:tcBorders>
              <w:top w:val="nil"/>
            </w:tcBorders>
            <w:shd w:val="clear" w:color="auto" w:fill="365F92"/>
          </w:tcPr>
          <w:p>
            <w:pPr>
              <w:rPr>
                <w:sz w:val="2"/>
                <w:szCs w:val="2"/>
              </w:rPr>
            </w:pPr>
          </w:p>
        </w:tc>
        <w:tc>
          <w:tcPr>
            <w:tcW w:w="1102" w:type="dxa"/>
            <w:shd w:val="clear" w:color="auto" w:fill="365F92"/>
          </w:tcPr>
          <w:p>
            <w:pPr>
              <w:pStyle w:val="TableParagraph"/>
              <w:spacing w:before="32"/>
              <w:ind w:left="19" w:right="8"/>
              <w:jc w:val="center"/>
              <w:rPr>
                <w:sz w:val="20"/>
              </w:rPr>
            </w:pPr>
            <w:r>
              <w:rPr>
                <w:color w:val="FFFFFF"/>
                <w:spacing w:val="-10"/>
                <w:sz w:val="20"/>
              </w:rPr>
              <w:t>%</w:t>
            </w:r>
          </w:p>
        </w:tc>
      </w:tr>
      <w:tr>
        <w:trPr>
          <w:trHeight w:val="296" w:hRule="atLeast"/>
        </w:trPr>
        <w:tc>
          <w:tcPr>
            <w:tcW w:w="1032" w:type="dxa"/>
          </w:tcPr>
          <w:p>
            <w:pPr>
              <w:pStyle w:val="TableParagraph"/>
              <w:spacing w:before="32"/>
              <w:ind w:left="69"/>
              <w:rPr>
                <w:b/>
                <w:sz w:val="20"/>
              </w:rPr>
            </w:pPr>
            <w:r>
              <w:rPr>
                <w:b/>
                <w:spacing w:val="-2"/>
                <w:sz w:val="20"/>
              </w:rPr>
              <w:t>2.1.3.03.</w:t>
            </w:r>
          </w:p>
        </w:tc>
        <w:tc>
          <w:tcPr>
            <w:tcW w:w="2235" w:type="dxa"/>
          </w:tcPr>
          <w:p>
            <w:pPr>
              <w:pStyle w:val="TableParagraph"/>
              <w:spacing w:before="32"/>
              <w:ind w:left="69"/>
              <w:rPr>
                <w:b/>
                <w:sz w:val="20"/>
              </w:rPr>
            </w:pPr>
            <w:r>
              <w:rPr>
                <w:b/>
                <w:sz w:val="20"/>
              </w:rPr>
              <w:t>Depósitos</w:t>
            </w:r>
            <w:r>
              <w:rPr>
                <w:b/>
                <w:spacing w:val="-5"/>
                <w:sz w:val="20"/>
              </w:rPr>
              <w:t> </w:t>
            </w:r>
            <w:r>
              <w:rPr>
                <w:b/>
                <w:sz w:val="20"/>
              </w:rPr>
              <w:t>en</w:t>
            </w:r>
            <w:r>
              <w:rPr>
                <w:b/>
                <w:spacing w:val="-4"/>
                <w:sz w:val="20"/>
              </w:rPr>
              <w:t> </w:t>
            </w:r>
            <w:r>
              <w:rPr>
                <w:b/>
                <w:spacing w:val="-2"/>
                <w:sz w:val="20"/>
              </w:rPr>
              <w:t>garantía</w:t>
            </w:r>
          </w:p>
        </w:tc>
        <w:tc>
          <w:tcPr>
            <w:tcW w:w="680" w:type="dxa"/>
          </w:tcPr>
          <w:p>
            <w:pPr>
              <w:pStyle w:val="TableParagraph"/>
              <w:spacing w:before="32"/>
              <w:ind w:left="15"/>
              <w:jc w:val="center"/>
              <w:rPr>
                <w:b/>
                <w:sz w:val="20"/>
              </w:rPr>
            </w:pPr>
            <w:r>
              <w:rPr>
                <w:b/>
                <w:spacing w:val="-5"/>
                <w:sz w:val="20"/>
              </w:rPr>
              <w:t>16</w:t>
            </w:r>
          </w:p>
        </w:tc>
        <w:tc>
          <w:tcPr>
            <w:tcW w:w="1911" w:type="dxa"/>
          </w:tcPr>
          <w:p>
            <w:pPr>
              <w:pStyle w:val="TableParagraph"/>
              <w:spacing w:before="32"/>
              <w:ind w:left="510"/>
              <w:rPr>
                <w:b/>
                <w:sz w:val="20"/>
              </w:rPr>
            </w:pPr>
            <w:r>
              <w:rPr>
                <w:b/>
                <w:sz w:val="20"/>
              </w:rPr>
              <w:t>147</w:t>
            </w:r>
            <w:r>
              <w:rPr>
                <w:b/>
                <w:spacing w:val="-3"/>
                <w:sz w:val="20"/>
              </w:rPr>
              <w:t> </w:t>
            </w:r>
            <w:r>
              <w:rPr>
                <w:b/>
                <w:spacing w:val="-2"/>
                <w:sz w:val="20"/>
              </w:rPr>
              <w:t>991,59</w:t>
            </w:r>
          </w:p>
        </w:tc>
        <w:tc>
          <w:tcPr>
            <w:tcW w:w="1753" w:type="dxa"/>
          </w:tcPr>
          <w:p>
            <w:pPr>
              <w:pStyle w:val="TableParagraph"/>
              <w:spacing w:before="32"/>
              <w:ind w:left="431"/>
              <w:rPr>
                <w:b/>
                <w:sz w:val="20"/>
              </w:rPr>
            </w:pPr>
            <w:r>
              <w:rPr>
                <w:b/>
                <w:sz w:val="20"/>
              </w:rPr>
              <w:t>123</w:t>
            </w:r>
            <w:r>
              <w:rPr>
                <w:b/>
                <w:spacing w:val="-3"/>
                <w:sz w:val="20"/>
              </w:rPr>
              <w:t> </w:t>
            </w:r>
            <w:r>
              <w:rPr>
                <w:b/>
                <w:spacing w:val="-2"/>
                <w:sz w:val="20"/>
              </w:rPr>
              <w:t>615,28</w:t>
            </w:r>
          </w:p>
        </w:tc>
        <w:tc>
          <w:tcPr>
            <w:tcW w:w="1102" w:type="dxa"/>
          </w:tcPr>
          <w:p>
            <w:pPr>
              <w:pStyle w:val="TableParagraph"/>
              <w:spacing w:before="32"/>
              <w:ind w:left="19" w:right="6"/>
              <w:jc w:val="center"/>
              <w:rPr>
                <w:b/>
                <w:sz w:val="20"/>
              </w:rPr>
            </w:pPr>
            <w:r>
              <w:rPr>
                <w:b/>
                <w:spacing w:val="-2"/>
                <w:sz w:val="20"/>
              </w:rPr>
              <w:t>19,72%</w:t>
            </w:r>
          </w:p>
        </w:tc>
      </w:tr>
    </w:tbl>
    <w:p>
      <w:pPr>
        <w:pStyle w:val="BodyText"/>
      </w:pPr>
    </w:p>
    <w:p>
      <w:pPr>
        <w:pStyle w:val="BodyText"/>
        <w:spacing w:before="248"/>
      </w:pPr>
    </w:p>
    <w:p>
      <w:pPr>
        <w:pStyle w:val="Heading6"/>
        <w:ind w:left="622"/>
      </w:pPr>
      <w:r>
        <w:rPr>
          <w:spacing w:val="-2"/>
        </w:rPr>
        <w:t>Revelación:</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7712">
                <wp:simplePos x="0" y="0"/>
                <wp:positionH relativeFrom="page">
                  <wp:posOffset>9525</wp:posOffset>
                </wp:positionH>
                <wp:positionV relativeFrom="page">
                  <wp:posOffset>297208</wp:posOffset>
                </wp:positionV>
                <wp:extent cx="7762875" cy="9748520"/>
                <wp:effectExtent l="0" t="0" r="0" b="0"/>
                <wp:wrapNone/>
                <wp:docPr id="380" name="Group 380"/>
                <wp:cNvGraphicFramePr>
                  <a:graphicFrameLocks/>
                </wp:cNvGraphicFramePr>
                <a:graphic>
                  <a:graphicData uri="http://schemas.microsoft.com/office/word/2010/wordprocessingGroup">
                    <wpg:wgp>
                      <wpg:cNvPr id="380" name="Group 380"/>
                      <wpg:cNvGrpSpPr/>
                      <wpg:grpSpPr>
                        <a:xfrm>
                          <a:off x="0" y="0"/>
                          <a:ext cx="7762875" cy="9748520"/>
                          <a:chExt cx="7762875" cy="9748520"/>
                        </a:xfrm>
                      </wpg:grpSpPr>
                      <pic:pic>
                        <pic:nvPicPr>
                          <pic:cNvPr id="381" name="Image 381"/>
                          <pic:cNvPicPr/>
                        </pic:nvPicPr>
                        <pic:blipFill>
                          <a:blip r:embed="rId5" cstate="print"/>
                          <a:stretch>
                            <a:fillRect/>
                          </a:stretch>
                        </pic:blipFill>
                        <pic:spPr>
                          <a:xfrm>
                            <a:off x="0" y="0"/>
                            <a:ext cx="7762874" cy="9748489"/>
                          </a:xfrm>
                          <a:prstGeom prst="rect">
                            <a:avLst/>
                          </a:prstGeom>
                        </pic:spPr>
                      </pic:pic>
                      <wps:wsp>
                        <wps:cNvPr id="382" name="Graphic 382"/>
                        <wps:cNvSpPr/>
                        <wps:spPr>
                          <a:xfrm>
                            <a:off x="1053007" y="990837"/>
                            <a:ext cx="5920740" cy="7721600"/>
                          </a:xfrm>
                          <a:custGeom>
                            <a:avLst/>
                            <a:gdLst/>
                            <a:ahLst/>
                            <a:cxnLst/>
                            <a:rect l="l" t="t" r="r" b="b"/>
                            <a:pathLst>
                              <a:path w="5920740" h="7721600">
                                <a:moveTo>
                                  <a:pt x="21336" y="1024191"/>
                                </a:moveTo>
                                <a:lnTo>
                                  <a:pt x="15240" y="1024191"/>
                                </a:lnTo>
                                <a:lnTo>
                                  <a:pt x="15240" y="7715440"/>
                                </a:lnTo>
                                <a:lnTo>
                                  <a:pt x="21336" y="7715440"/>
                                </a:lnTo>
                                <a:lnTo>
                                  <a:pt x="21336" y="1024191"/>
                                </a:lnTo>
                                <a:close/>
                              </a:path>
                              <a:path w="5920740" h="7721600">
                                <a:moveTo>
                                  <a:pt x="5649214" y="0"/>
                                </a:moveTo>
                                <a:lnTo>
                                  <a:pt x="0" y="0"/>
                                </a:lnTo>
                                <a:lnTo>
                                  <a:pt x="0" y="9131"/>
                                </a:lnTo>
                                <a:lnTo>
                                  <a:pt x="5649214" y="9131"/>
                                </a:lnTo>
                                <a:lnTo>
                                  <a:pt x="5649214" y="0"/>
                                </a:lnTo>
                                <a:close/>
                              </a:path>
                              <a:path w="5920740" h="7721600">
                                <a:moveTo>
                                  <a:pt x="5920435" y="7715453"/>
                                </a:moveTo>
                                <a:lnTo>
                                  <a:pt x="5914390" y="7715453"/>
                                </a:lnTo>
                                <a:lnTo>
                                  <a:pt x="21336" y="7715453"/>
                                </a:lnTo>
                                <a:lnTo>
                                  <a:pt x="15240" y="7715453"/>
                                </a:lnTo>
                                <a:lnTo>
                                  <a:pt x="15240" y="7721536"/>
                                </a:lnTo>
                                <a:lnTo>
                                  <a:pt x="21336" y="7721536"/>
                                </a:lnTo>
                                <a:lnTo>
                                  <a:pt x="5914339" y="7721536"/>
                                </a:lnTo>
                                <a:lnTo>
                                  <a:pt x="5920435" y="7721536"/>
                                </a:lnTo>
                                <a:lnTo>
                                  <a:pt x="5920435" y="7715453"/>
                                </a:lnTo>
                                <a:close/>
                              </a:path>
                              <a:path w="5920740" h="7721600">
                                <a:moveTo>
                                  <a:pt x="5920435" y="1024191"/>
                                </a:moveTo>
                                <a:lnTo>
                                  <a:pt x="5914339" y="1024191"/>
                                </a:lnTo>
                                <a:lnTo>
                                  <a:pt x="5914339" y="7715440"/>
                                </a:lnTo>
                                <a:lnTo>
                                  <a:pt x="5920435" y="7715440"/>
                                </a:lnTo>
                                <a:lnTo>
                                  <a:pt x="5920435" y="1024191"/>
                                </a:lnTo>
                                <a:close/>
                              </a:path>
                              <a:path w="5920740" h="7721600">
                                <a:moveTo>
                                  <a:pt x="5920435" y="1018019"/>
                                </a:moveTo>
                                <a:lnTo>
                                  <a:pt x="5914390" y="1018019"/>
                                </a:lnTo>
                                <a:lnTo>
                                  <a:pt x="21336" y="1018019"/>
                                </a:lnTo>
                                <a:lnTo>
                                  <a:pt x="15240" y="1018019"/>
                                </a:lnTo>
                                <a:lnTo>
                                  <a:pt x="15240" y="1024115"/>
                                </a:lnTo>
                                <a:lnTo>
                                  <a:pt x="21336" y="1024115"/>
                                </a:lnTo>
                                <a:lnTo>
                                  <a:pt x="5914339" y="1024115"/>
                                </a:lnTo>
                                <a:lnTo>
                                  <a:pt x="5920435" y="1024115"/>
                                </a:lnTo>
                                <a:lnTo>
                                  <a:pt x="5920435" y="10180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8768" id="docshapegroup361" coordorigin="15,468" coordsize="12225,15352">
                <v:shape style="position:absolute;left:15;top:468;width:12225;height:15352" type="#_x0000_t75" id="docshape362" stroked="false">
                  <v:imagedata r:id="rId5" o:title=""/>
                </v:shape>
                <v:shape style="position:absolute;left:1673;top:2028;width:9324;height:12160" id="docshape363" coordorigin="1673,2028" coordsize="9324,12160" path="m1707,3641l1697,3641,1697,14179,1707,14179,1707,3641xm10570,2028l1673,2028,1673,2043,10570,2043,10570,2028xm10997,14179l10987,14179,10987,14179,1707,14179,1697,14179,1697,14188,1707,14188,10987,14188,10987,14188,10997,14188,10997,14179xm10997,3641l10987,3641,10987,14179,10997,14179,10997,3641xm10997,3632l10987,3632,10987,3632,1707,3632,1697,3632,1697,3641,1707,3641,10987,3641,10987,3641,10997,3641,10997,3632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78</w:t>
      </w:r>
    </w:p>
    <w:p>
      <w:pPr>
        <w:pStyle w:val="BodyText"/>
        <w:spacing w:line="259" w:lineRule="auto" w:before="218"/>
        <w:ind w:left="622" w:right="1086"/>
        <w:jc w:val="both"/>
      </w:pPr>
      <w:r>
        <w:rPr/>
        <w:t>La</w:t>
      </w:r>
      <w:r>
        <w:rPr>
          <w:spacing w:val="-2"/>
        </w:rPr>
        <w:t> </w:t>
      </w:r>
      <w:r>
        <w:rPr/>
        <w:t>cuenta</w:t>
      </w:r>
      <w:r>
        <w:rPr>
          <w:spacing w:val="-1"/>
        </w:rPr>
        <w:t> </w:t>
      </w:r>
      <w:r>
        <w:rPr/>
        <w:t>Depósitos</w:t>
      </w:r>
      <w:r>
        <w:rPr>
          <w:spacing w:val="-3"/>
        </w:rPr>
        <w:t> </w:t>
      </w:r>
      <w:r>
        <w:rPr/>
        <w:t>en</w:t>
      </w:r>
      <w:r>
        <w:rPr>
          <w:spacing w:val="-3"/>
        </w:rPr>
        <w:t> </w:t>
      </w:r>
      <w:r>
        <w:rPr/>
        <w:t>garantía,</w:t>
      </w:r>
      <w:r>
        <w:rPr>
          <w:spacing w:val="-1"/>
        </w:rPr>
        <w:t> </w:t>
      </w:r>
      <w:r>
        <w:rPr/>
        <w:t>representa</w:t>
      </w:r>
      <w:r>
        <w:rPr>
          <w:spacing w:val="-1"/>
        </w:rPr>
        <w:t> </w:t>
      </w:r>
      <w:r>
        <w:rPr/>
        <w:t>el 1,77%</w:t>
      </w:r>
      <w:r>
        <w:rPr>
          <w:spacing w:val="-1"/>
        </w:rPr>
        <w:t> </w:t>
      </w:r>
      <w:r>
        <w:rPr/>
        <w:t>del</w:t>
      </w:r>
      <w:r>
        <w:rPr>
          <w:spacing w:val="-1"/>
        </w:rPr>
        <w:t> </w:t>
      </w:r>
      <w:r>
        <w:rPr/>
        <w:t>total</w:t>
      </w:r>
      <w:r>
        <w:rPr>
          <w:spacing w:val="-2"/>
        </w:rPr>
        <w:t> </w:t>
      </w:r>
      <w:r>
        <w:rPr/>
        <w:t>del</w:t>
      </w:r>
      <w:r>
        <w:rPr>
          <w:spacing w:val="-1"/>
        </w:rPr>
        <w:t> </w:t>
      </w:r>
      <w:r>
        <w:rPr/>
        <w:t>Pasivo,</w:t>
      </w:r>
      <w:r>
        <w:rPr>
          <w:spacing w:val="-4"/>
        </w:rPr>
        <w:t> </w:t>
      </w:r>
      <w:r>
        <w:rPr/>
        <w:t>que</w:t>
      </w:r>
      <w:r>
        <w:rPr>
          <w:spacing w:val="-1"/>
        </w:rPr>
        <w:t> </w:t>
      </w:r>
      <w:r>
        <w:rPr/>
        <w:t>comparado</w:t>
      </w:r>
      <w:r>
        <w:rPr>
          <w:spacing w:val="-1"/>
        </w:rPr>
        <w:t> </w:t>
      </w:r>
      <w:r>
        <w:rPr/>
        <w:t>al</w:t>
      </w:r>
      <w:r>
        <w:rPr>
          <w:spacing w:val="-2"/>
        </w:rPr>
        <w:t> </w:t>
      </w:r>
      <w:r>
        <w:rPr/>
        <w:t>periodo anterior</w:t>
      </w:r>
      <w:r>
        <w:rPr>
          <w:spacing w:val="-3"/>
        </w:rPr>
        <w:t> </w:t>
      </w:r>
      <w:r>
        <w:rPr/>
        <w:t>genera</w:t>
      </w:r>
      <w:r>
        <w:rPr>
          <w:spacing w:val="-4"/>
        </w:rPr>
        <w:t> </w:t>
      </w:r>
      <w:r>
        <w:rPr/>
        <w:t>una</w:t>
      </w:r>
      <w:r>
        <w:rPr>
          <w:spacing w:val="-4"/>
        </w:rPr>
        <w:t> </w:t>
      </w:r>
      <w:r>
        <w:rPr/>
        <w:t>variación</w:t>
      </w:r>
      <w:r>
        <w:rPr>
          <w:spacing w:val="-3"/>
        </w:rPr>
        <w:t> </w:t>
      </w:r>
      <w:r>
        <w:rPr/>
        <w:t>absoluta</w:t>
      </w:r>
      <w:r>
        <w:rPr>
          <w:spacing w:val="-3"/>
        </w:rPr>
        <w:t> </w:t>
      </w:r>
      <w:r>
        <w:rPr/>
        <w:t>de</w:t>
      </w:r>
      <w:r>
        <w:rPr>
          <w:spacing w:val="-2"/>
        </w:rPr>
        <w:t> </w:t>
      </w:r>
      <w:r>
        <w:rPr/>
        <w:t>¢24.376,31</w:t>
      </w:r>
      <w:r>
        <w:rPr>
          <w:spacing w:val="-3"/>
        </w:rPr>
        <w:t> </w:t>
      </w:r>
      <w:r>
        <w:rPr/>
        <w:t>que</w:t>
      </w:r>
      <w:r>
        <w:rPr>
          <w:spacing w:val="-3"/>
        </w:rPr>
        <w:t> </w:t>
      </w:r>
      <w:r>
        <w:rPr/>
        <w:t>corresponde</w:t>
      </w:r>
      <w:r>
        <w:rPr>
          <w:spacing w:val="-3"/>
        </w:rPr>
        <w:t> </w:t>
      </w:r>
      <w:r>
        <w:rPr/>
        <w:t>a</w:t>
      </w:r>
      <w:r>
        <w:rPr>
          <w:spacing w:val="-4"/>
        </w:rPr>
        <w:t> </w:t>
      </w:r>
      <w:r>
        <w:rPr/>
        <w:t>un</w:t>
      </w:r>
      <w:r>
        <w:rPr>
          <w:spacing w:val="-3"/>
        </w:rPr>
        <w:t> </w:t>
      </w:r>
      <w:r>
        <w:rPr/>
        <w:t>Aumento</w:t>
      </w:r>
      <w:r>
        <w:rPr>
          <w:spacing w:val="-2"/>
        </w:rPr>
        <w:t> </w:t>
      </w:r>
      <w:r>
        <w:rPr/>
        <w:t>del</w:t>
      </w:r>
      <w:r>
        <w:rPr>
          <w:spacing w:val="-2"/>
        </w:rPr>
        <w:t> </w:t>
      </w:r>
      <w:r>
        <w:rPr/>
        <w:t>19,72%</w:t>
      </w:r>
      <w:r>
        <w:rPr>
          <w:spacing w:val="-3"/>
        </w:rPr>
        <w:t> </w:t>
      </w:r>
      <w:r>
        <w:rPr/>
        <w:t>de recursos disponibles.</w:t>
      </w:r>
    </w:p>
    <w:p>
      <w:pPr>
        <w:pStyle w:val="BodyText"/>
      </w:pPr>
    </w:p>
    <w:p>
      <w:pPr>
        <w:pStyle w:val="BodyText"/>
        <w:spacing w:before="98"/>
      </w:pPr>
    </w:p>
    <w:p>
      <w:pPr>
        <w:pStyle w:val="Heading6"/>
        <w:ind w:left="730"/>
        <w:rPr>
          <w:b w:val="0"/>
        </w:rPr>
      </w:pPr>
      <w:r>
        <w:rPr>
          <w:color w:val="1F4E79"/>
          <w:spacing w:val="-2"/>
          <w:u w:val="single" w:color="1F4E79"/>
        </w:rPr>
        <w:t>Revelación</w:t>
      </w:r>
      <w:r>
        <w:rPr>
          <w:b w:val="0"/>
          <w:spacing w:val="-2"/>
          <w:u w:val="none"/>
        </w:rPr>
        <w:t>:</w:t>
      </w:r>
    </w:p>
    <w:p>
      <w:pPr>
        <w:pStyle w:val="BodyText"/>
        <w:spacing w:before="179"/>
        <w:ind w:left="730"/>
      </w:pPr>
      <w:r>
        <w:rPr/>
        <w:t>Al</w:t>
      </w:r>
      <w:r>
        <w:rPr>
          <w:spacing w:val="-4"/>
        </w:rPr>
        <w:t> </w:t>
      </w:r>
      <w:r>
        <w:rPr/>
        <w:t>31</w:t>
      </w:r>
      <w:r>
        <w:rPr>
          <w:spacing w:val="-2"/>
        </w:rPr>
        <w:t> </w:t>
      </w:r>
      <w:r>
        <w:rPr/>
        <w:t>de</w:t>
      </w:r>
      <w:r>
        <w:rPr>
          <w:spacing w:val="-3"/>
        </w:rPr>
        <w:t> </w:t>
      </w:r>
      <w:r>
        <w:rPr/>
        <w:t>julio</w:t>
      </w:r>
      <w:r>
        <w:rPr>
          <w:spacing w:val="-2"/>
        </w:rPr>
        <w:t> </w:t>
      </w:r>
      <w:r>
        <w:rPr/>
        <w:t>2026</w:t>
      </w:r>
      <w:r>
        <w:rPr>
          <w:spacing w:val="-3"/>
        </w:rPr>
        <w:t> </w:t>
      </w:r>
      <w:r>
        <w:rPr/>
        <w:t>y</w:t>
      </w:r>
      <w:r>
        <w:rPr>
          <w:spacing w:val="-3"/>
        </w:rPr>
        <w:t> </w:t>
      </w:r>
      <w:r>
        <w:rPr/>
        <w:t>2025</w:t>
      </w:r>
      <w:r>
        <w:rPr>
          <w:spacing w:val="-3"/>
        </w:rPr>
        <w:t> </w:t>
      </w:r>
      <w:r>
        <w:rPr/>
        <w:t>la</w:t>
      </w:r>
      <w:r>
        <w:rPr>
          <w:spacing w:val="-3"/>
        </w:rPr>
        <w:t> </w:t>
      </w:r>
      <w:r>
        <w:rPr/>
        <w:t>cuenta</w:t>
      </w:r>
      <w:r>
        <w:rPr>
          <w:spacing w:val="-2"/>
        </w:rPr>
        <w:t> </w:t>
      </w:r>
      <w:r>
        <w:rPr/>
        <w:t>de</w:t>
      </w:r>
      <w:r>
        <w:rPr>
          <w:spacing w:val="-3"/>
        </w:rPr>
        <w:t> </w:t>
      </w:r>
      <w:r>
        <w:rPr/>
        <w:t>depósitos</w:t>
      </w:r>
      <w:r>
        <w:rPr>
          <w:spacing w:val="-1"/>
        </w:rPr>
        <w:t> </w:t>
      </w:r>
      <w:r>
        <w:rPr/>
        <w:t>en</w:t>
      </w:r>
      <w:r>
        <w:rPr>
          <w:spacing w:val="-2"/>
        </w:rPr>
        <w:t> </w:t>
      </w:r>
      <w:r>
        <w:rPr/>
        <w:t>garantía</w:t>
      </w:r>
      <w:r>
        <w:rPr>
          <w:spacing w:val="-3"/>
        </w:rPr>
        <w:t> </w:t>
      </w:r>
      <w:r>
        <w:rPr/>
        <w:t>se</w:t>
      </w:r>
      <w:r>
        <w:rPr>
          <w:spacing w:val="-2"/>
        </w:rPr>
        <w:t> </w:t>
      </w:r>
      <w:r>
        <w:rPr/>
        <w:t>compone</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before="21"/>
        <w:rPr>
          <w:sz w:val="20"/>
        </w:rPr>
      </w:pPr>
    </w:p>
    <w:tbl>
      <w:tblPr>
        <w:tblW w:w="0" w:type="auto"/>
        <w:jc w:val="left"/>
        <w:tblInd w:w="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6"/>
        <w:gridCol w:w="1476"/>
        <w:gridCol w:w="1750"/>
        <w:gridCol w:w="1049"/>
      </w:tblGrid>
      <w:tr>
        <w:trPr>
          <w:trHeight w:val="227" w:hRule="atLeast"/>
        </w:trPr>
        <w:tc>
          <w:tcPr>
            <w:tcW w:w="4336" w:type="dxa"/>
            <w:tcBorders>
              <w:top w:val="single" w:sz="2" w:space="0" w:color="000000"/>
              <w:left w:val="single" w:sz="2" w:space="0" w:color="000000"/>
              <w:bottom w:val="single" w:sz="4" w:space="0" w:color="000000"/>
            </w:tcBorders>
          </w:tcPr>
          <w:p>
            <w:pPr>
              <w:pStyle w:val="TableParagraph"/>
              <w:rPr>
                <w:rFonts w:ascii="Times New Roman"/>
                <w:sz w:val="16"/>
              </w:rPr>
            </w:pPr>
          </w:p>
        </w:tc>
        <w:tc>
          <w:tcPr>
            <w:tcW w:w="1476" w:type="dxa"/>
            <w:tcBorders>
              <w:top w:val="single" w:sz="2" w:space="0" w:color="000000"/>
              <w:bottom w:val="single" w:sz="4" w:space="0" w:color="000000"/>
            </w:tcBorders>
          </w:tcPr>
          <w:p>
            <w:pPr>
              <w:pStyle w:val="TableParagraph"/>
              <w:spacing w:line="192" w:lineRule="exact" w:before="15"/>
              <w:ind w:left="66" w:right="113"/>
              <w:jc w:val="center"/>
              <w:rPr>
                <w:rFonts w:ascii="Times New Roman"/>
                <w:b/>
                <w:sz w:val="18"/>
              </w:rPr>
            </w:pPr>
            <w:r>
              <w:rPr>
                <w:rFonts w:ascii="Times New Roman"/>
                <w:b/>
                <w:spacing w:val="-4"/>
                <w:sz w:val="18"/>
                <w:u w:val="single"/>
              </w:rPr>
              <w:t>2026</w:t>
            </w:r>
          </w:p>
        </w:tc>
        <w:tc>
          <w:tcPr>
            <w:tcW w:w="1750" w:type="dxa"/>
            <w:tcBorders>
              <w:top w:val="single" w:sz="2" w:space="0" w:color="000000"/>
              <w:bottom w:val="single" w:sz="4" w:space="0" w:color="000000"/>
            </w:tcBorders>
          </w:tcPr>
          <w:p>
            <w:pPr>
              <w:pStyle w:val="TableParagraph"/>
              <w:spacing w:line="192" w:lineRule="exact" w:before="15"/>
              <w:ind w:right="199"/>
              <w:jc w:val="center"/>
              <w:rPr>
                <w:rFonts w:ascii="Times New Roman"/>
                <w:b/>
                <w:sz w:val="18"/>
              </w:rPr>
            </w:pPr>
            <w:r>
              <w:rPr>
                <w:rFonts w:ascii="Times New Roman"/>
                <w:b/>
                <w:spacing w:val="-4"/>
                <w:sz w:val="18"/>
                <w:u w:val="single"/>
              </w:rPr>
              <w:t>2025</w:t>
            </w:r>
          </w:p>
        </w:tc>
        <w:tc>
          <w:tcPr>
            <w:tcW w:w="1049" w:type="dxa"/>
            <w:tcBorders>
              <w:top w:val="single" w:sz="2" w:space="0" w:color="000000"/>
              <w:bottom w:val="single" w:sz="4" w:space="0" w:color="000000"/>
              <w:right w:val="single" w:sz="4" w:space="0" w:color="000000"/>
            </w:tcBorders>
          </w:tcPr>
          <w:p>
            <w:pPr>
              <w:pStyle w:val="TableParagraph"/>
              <w:spacing w:line="192" w:lineRule="exact" w:before="15"/>
              <w:ind w:left="24" w:right="15"/>
              <w:jc w:val="center"/>
              <w:rPr>
                <w:rFonts w:ascii="Times New Roman" w:hAnsi="Times New Roman"/>
                <w:b/>
                <w:sz w:val="18"/>
              </w:rPr>
            </w:pPr>
            <w:r>
              <w:rPr>
                <w:rFonts w:ascii="Times New Roman" w:hAnsi="Times New Roman"/>
                <w:b/>
                <w:spacing w:val="-2"/>
                <w:sz w:val="18"/>
                <w:u w:val="single"/>
              </w:rPr>
              <w:t>Variación</w:t>
            </w:r>
            <w:r>
              <w:rPr>
                <w:rFonts w:ascii="Times New Roman" w:hAnsi="Times New Roman"/>
                <w:b/>
                <w:spacing w:val="-1"/>
                <w:sz w:val="18"/>
                <w:u w:val="single"/>
              </w:rPr>
              <w:t> </w:t>
            </w:r>
            <w:r>
              <w:rPr>
                <w:rFonts w:ascii="Times New Roman" w:hAnsi="Times New Roman"/>
                <w:b/>
                <w:spacing w:val="-10"/>
                <w:sz w:val="18"/>
                <w:u w:val="single"/>
              </w:rPr>
              <w:t>%</w:t>
            </w:r>
          </w:p>
        </w:tc>
      </w:tr>
      <w:tr>
        <w:trPr>
          <w:trHeight w:val="248" w:hRule="atLeast"/>
        </w:trPr>
        <w:tc>
          <w:tcPr>
            <w:tcW w:w="4336" w:type="dxa"/>
            <w:tcBorders>
              <w:top w:val="single" w:sz="4" w:space="0" w:color="000000"/>
              <w:left w:val="single" w:sz="2" w:space="0" w:color="000000"/>
            </w:tcBorders>
          </w:tcPr>
          <w:p>
            <w:pPr>
              <w:pStyle w:val="TableParagraph"/>
              <w:spacing w:line="213" w:lineRule="exact" w:before="15"/>
              <w:ind w:left="144"/>
              <w:rPr>
                <w:rFonts w:ascii="Times New Roman" w:hAnsi="Times New Roman"/>
                <w:b/>
                <w:sz w:val="19"/>
              </w:rPr>
            </w:pPr>
            <w:r>
              <w:rPr>
                <w:rFonts w:ascii="Times New Roman" w:hAnsi="Times New Roman"/>
                <w:b/>
                <w:sz w:val="19"/>
              </w:rPr>
              <w:t>Depósitos</w:t>
            </w:r>
            <w:r>
              <w:rPr>
                <w:rFonts w:ascii="Times New Roman" w:hAnsi="Times New Roman"/>
                <w:b/>
                <w:spacing w:val="-3"/>
                <w:sz w:val="19"/>
              </w:rPr>
              <w:t> </w:t>
            </w:r>
            <w:r>
              <w:rPr>
                <w:rFonts w:ascii="Times New Roman" w:hAnsi="Times New Roman"/>
                <w:b/>
                <w:sz w:val="19"/>
              </w:rPr>
              <w:t>en</w:t>
            </w:r>
            <w:r>
              <w:rPr>
                <w:rFonts w:ascii="Times New Roman" w:hAnsi="Times New Roman"/>
                <w:b/>
                <w:spacing w:val="-10"/>
                <w:sz w:val="19"/>
              </w:rPr>
              <w:t> </w:t>
            </w:r>
            <w:r>
              <w:rPr>
                <w:rFonts w:ascii="Times New Roman" w:hAnsi="Times New Roman"/>
                <w:b/>
                <w:sz w:val="19"/>
              </w:rPr>
              <w:t>garantía</w:t>
            </w:r>
            <w:r>
              <w:rPr>
                <w:rFonts w:ascii="Times New Roman" w:hAnsi="Times New Roman"/>
                <w:b/>
                <w:spacing w:val="-4"/>
                <w:sz w:val="19"/>
              </w:rPr>
              <w:t> </w:t>
            </w:r>
            <w:r>
              <w:rPr>
                <w:rFonts w:ascii="Times New Roman" w:hAnsi="Times New Roman"/>
                <w:b/>
                <w:sz w:val="19"/>
              </w:rPr>
              <w:t>y</w:t>
            </w:r>
            <w:r>
              <w:rPr>
                <w:rFonts w:ascii="Times New Roman" w:hAnsi="Times New Roman"/>
                <w:b/>
                <w:spacing w:val="-9"/>
                <w:sz w:val="19"/>
              </w:rPr>
              <w:t> </w:t>
            </w:r>
            <w:r>
              <w:rPr>
                <w:rFonts w:ascii="Times New Roman" w:hAnsi="Times New Roman"/>
                <w:b/>
                <w:sz w:val="19"/>
              </w:rPr>
              <w:t>otros</w:t>
            </w:r>
            <w:r>
              <w:rPr>
                <w:rFonts w:ascii="Times New Roman" w:hAnsi="Times New Roman"/>
                <w:b/>
                <w:spacing w:val="-2"/>
                <w:sz w:val="19"/>
              </w:rPr>
              <w:t> </w:t>
            </w:r>
            <w:r>
              <w:rPr>
                <w:rFonts w:ascii="Times New Roman" w:hAnsi="Times New Roman"/>
                <w:b/>
                <w:sz w:val="19"/>
              </w:rPr>
              <w:t>fondos</w:t>
            </w:r>
            <w:r>
              <w:rPr>
                <w:rFonts w:ascii="Times New Roman" w:hAnsi="Times New Roman"/>
                <w:b/>
                <w:spacing w:val="-2"/>
                <w:sz w:val="19"/>
              </w:rPr>
              <w:t> </w:t>
            </w:r>
            <w:r>
              <w:rPr>
                <w:rFonts w:ascii="Times New Roman" w:hAnsi="Times New Roman"/>
                <w:b/>
                <w:sz w:val="19"/>
              </w:rPr>
              <w:t>a</w:t>
            </w:r>
            <w:r>
              <w:rPr>
                <w:rFonts w:ascii="Times New Roman" w:hAnsi="Times New Roman"/>
                <w:b/>
                <w:spacing w:val="-5"/>
                <w:sz w:val="19"/>
              </w:rPr>
              <w:t> </w:t>
            </w:r>
            <w:r>
              <w:rPr>
                <w:rFonts w:ascii="Times New Roman" w:hAnsi="Times New Roman"/>
                <w:b/>
                <w:spacing w:val="-2"/>
                <w:sz w:val="19"/>
              </w:rPr>
              <w:t>terceros</w:t>
            </w:r>
          </w:p>
        </w:tc>
        <w:tc>
          <w:tcPr>
            <w:tcW w:w="1476" w:type="dxa"/>
            <w:tcBorders>
              <w:top w:val="single" w:sz="4" w:space="0" w:color="000000"/>
            </w:tcBorders>
          </w:tcPr>
          <w:p>
            <w:pPr>
              <w:pStyle w:val="TableParagraph"/>
              <w:rPr>
                <w:rFonts w:ascii="Times New Roman"/>
                <w:sz w:val="18"/>
              </w:rPr>
            </w:pPr>
          </w:p>
        </w:tc>
        <w:tc>
          <w:tcPr>
            <w:tcW w:w="1750" w:type="dxa"/>
            <w:tcBorders>
              <w:top w:val="single" w:sz="4" w:space="0" w:color="000000"/>
            </w:tcBorders>
          </w:tcPr>
          <w:p>
            <w:pPr>
              <w:pStyle w:val="TableParagraph"/>
              <w:rPr>
                <w:rFonts w:ascii="Times New Roman"/>
                <w:sz w:val="18"/>
              </w:rPr>
            </w:pPr>
          </w:p>
        </w:tc>
        <w:tc>
          <w:tcPr>
            <w:tcW w:w="1049" w:type="dxa"/>
            <w:tcBorders>
              <w:top w:val="single" w:sz="4" w:space="0" w:color="000000"/>
              <w:right w:val="single" w:sz="4" w:space="0" w:color="000000"/>
            </w:tcBorders>
          </w:tcPr>
          <w:p>
            <w:pPr>
              <w:pStyle w:val="TableParagraph"/>
              <w:rPr>
                <w:rFonts w:ascii="Times New Roman"/>
                <w:sz w:val="18"/>
              </w:rPr>
            </w:pPr>
          </w:p>
        </w:tc>
      </w:tr>
      <w:tr>
        <w:trPr>
          <w:trHeight w:val="245" w:hRule="atLeast"/>
        </w:trPr>
        <w:tc>
          <w:tcPr>
            <w:tcW w:w="4336" w:type="dxa"/>
            <w:tcBorders>
              <w:left w:val="single" w:sz="2" w:space="0" w:color="000000"/>
            </w:tcBorders>
          </w:tcPr>
          <w:p>
            <w:pPr>
              <w:pStyle w:val="TableParagraph"/>
              <w:spacing w:line="217" w:lineRule="exact" w:before="9"/>
              <w:ind w:left="144"/>
              <w:rPr>
                <w:rFonts w:ascii="Times New Roman" w:hAnsi="Times New Roman"/>
                <w:sz w:val="19"/>
              </w:rPr>
            </w:pPr>
            <w:r>
              <w:rPr>
                <w:rFonts w:ascii="Times New Roman" w:hAnsi="Times New Roman"/>
                <w:sz w:val="19"/>
              </w:rPr>
              <w:t>Depósitos</w:t>
            </w:r>
            <w:r>
              <w:rPr>
                <w:rFonts w:ascii="Times New Roman" w:hAnsi="Times New Roman"/>
                <w:spacing w:val="-2"/>
                <w:sz w:val="19"/>
              </w:rPr>
              <w:t> </w:t>
            </w:r>
            <w:r>
              <w:rPr>
                <w:rFonts w:ascii="Times New Roman" w:hAnsi="Times New Roman"/>
                <w:sz w:val="19"/>
              </w:rPr>
              <w:t>en</w:t>
            </w:r>
            <w:r>
              <w:rPr>
                <w:rFonts w:ascii="Times New Roman" w:hAnsi="Times New Roman"/>
                <w:spacing w:val="-3"/>
                <w:sz w:val="19"/>
              </w:rPr>
              <w:t> </w:t>
            </w:r>
            <w:r>
              <w:rPr>
                <w:rFonts w:ascii="Times New Roman" w:hAnsi="Times New Roman"/>
                <w:sz w:val="19"/>
              </w:rPr>
              <w:t>garantía</w:t>
            </w:r>
            <w:r>
              <w:rPr>
                <w:rFonts w:ascii="Times New Roman" w:hAnsi="Times New Roman"/>
                <w:spacing w:val="-3"/>
                <w:sz w:val="19"/>
              </w:rPr>
              <w:t> </w:t>
            </w:r>
            <w:r>
              <w:rPr>
                <w:rFonts w:ascii="Times New Roman" w:hAnsi="Times New Roman"/>
                <w:sz w:val="19"/>
              </w:rPr>
              <w:t>por</w:t>
            </w:r>
            <w:r>
              <w:rPr>
                <w:rFonts w:ascii="Times New Roman" w:hAnsi="Times New Roman"/>
                <w:spacing w:val="-4"/>
                <w:sz w:val="19"/>
              </w:rPr>
              <w:t> </w:t>
            </w:r>
            <w:r>
              <w:rPr>
                <w:rFonts w:ascii="Times New Roman" w:hAnsi="Times New Roman"/>
                <w:sz w:val="19"/>
              </w:rPr>
              <w:t>contratos</w:t>
            </w:r>
            <w:r>
              <w:rPr>
                <w:rFonts w:ascii="Times New Roman" w:hAnsi="Times New Roman"/>
                <w:spacing w:val="-2"/>
                <w:sz w:val="19"/>
              </w:rPr>
              <w:t> </w:t>
            </w:r>
            <w:r>
              <w:rPr>
                <w:rFonts w:ascii="Times New Roman" w:hAnsi="Times New Roman"/>
                <w:sz w:val="19"/>
              </w:rPr>
              <w:t>de</w:t>
            </w:r>
            <w:r>
              <w:rPr>
                <w:rFonts w:ascii="Times New Roman" w:hAnsi="Times New Roman"/>
                <w:spacing w:val="-7"/>
                <w:sz w:val="19"/>
              </w:rPr>
              <w:t> </w:t>
            </w:r>
            <w:r>
              <w:rPr>
                <w:rFonts w:ascii="Times New Roman" w:hAnsi="Times New Roman"/>
                <w:spacing w:val="-2"/>
                <w:sz w:val="19"/>
              </w:rPr>
              <w:t>servicios</w:t>
            </w:r>
          </w:p>
        </w:tc>
        <w:tc>
          <w:tcPr>
            <w:tcW w:w="1476" w:type="dxa"/>
          </w:tcPr>
          <w:p>
            <w:pPr>
              <w:pStyle w:val="TableParagraph"/>
              <w:spacing w:line="217" w:lineRule="exact" w:before="9"/>
              <w:ind w:right="376"/>
              <w:jc w:val="right"/>
              <w:rPr>
                <w:rFonts w:ascii="Times New Roman"/>
                <w:sz w:val="19"/>
              </w:rPr>
            </w:pPr>
            <w:r>
              <w:rPr>
                <w:rFonts w:ascii="Times New Roman"/>
                <w:sz w:val="19"/>
              </w:rPr>
              <w:t>69 </w:t>
            </w:r>
            <w:r>
              <w:rPr>
                <w:rFonts w:ascii="Times New Roman"/>
                <w:spacing w:val="-2"/>
                <w:sz w:val="19"/>
              </w:rPr>
              <w:t>362,26</w:t>
            </w:r>
          </w:p>
        </w:tc>
        <w:tc>
          <w:tcPr>
            <w:tcW w:w="1750" w:type="dxa"/>
          </w:tcPr>
          <w:p>
            <w:pPr>
              <w:pStyle w:val="TableParagraph"/>
              <w:spacing w:line="217" w:lineRule="exact" w:before="9"/>
              <w:ind w:right="587"/>
              <w:jc w:val="right"/>
              <w:rPr>
                <w:rFonts w:ascii="Times New Roman"/>
                <w:sz w:val="19"/>
              </w:rPr>
            </w:pPr>
            <w:r>
              <w:rPr>
                <w:rFonts w:ascii="Times New Roman"/>
                <w:sz w:val="19"/>
              </w:rPr>
              <w:t>65 </w:t>
            </w:r>
            <w:r>
              <w:rPr>
                <w:rFonts w:ascii="Times New Roman"/>
                <w:spacing w:val="-2"/>
                <w:sz w:val="19"/>
              </w:rPr>
              <w:t>037,02</w:t>
            </w:r>
          </w:p>
        </w:tc>
        <w:tc>
          <w:tcPr>
            <w:tcW w:w="1049" w:type="dxa"/>
            <w:tcBorders>
              <w:right w:val="single" w:sz="4" w:space="0" w:color="000000"/>
            </w:tcBorders>
          </w:tcPr>
          <w:p>
            <w:pPr>
              <w:pStyle w:val="TableParagraph"/>
              <w:spacing w:line="211" w:lineRule="exact" w:before="15"/>
              <w:ind w:left="24" w:right="4"/>
              <w:jc w:val="center"/>
              <w:rPr>
                <w:rFonts w:ascii="Calibri"/>
                <w:b/>
                <w:sz w:val="18"/>
              </w:rPr>
            </w:pPr>
            <w:r>
              <w:rPr>
                <w:rFonts w:ascii="Calibri"/>
                <w:b/>
                <w:spacing w:val="-2"/>
                <w:sz w:val="18"/>
              </w:rPr>
              <w:t>6,65%</w:t>
            </w:r>
          </w:p>
        </w:tc>
      </w:tr>
      <w:tr>
        <w:trPr>
          <w:trHeight w:val="246" w:hRule="atLeast"/>
        </w:trPr>
        <w:tc>
          <w:tcPr>
            <w:tcW w:w="4336" w:type="dxa"/>
            <w:tcBorders>
              <w:left w:val="single" w:sz="2" w:space="0" w:color="000000"/>
            </w:tcBorders>
          </w:tcPr>
          <w:p>
            <w:pPr>
              <w:pStyle w:val="TableParagraph"/>
              <w:spacing w:line="217" w:lineRule="exact" w:before="10"/>
              <w:ind w:left="144"/>
              <w:rPr>
                <w:rFonts w:ascii="Times New Roman" w:hAnsi="Times New Roman"/>
                <w:sz w:val="19"/>
              </w:rPr>
            </w:pPr>
            <w:r>
              <w:rPr>
                <w:rFonts w:ascii="Times New Roman" w:hAnsi="Times New Roman"/>
                <w:sz w:val="19"/>
              </w:rPr>
              <w:t>Otros</w:t>
            </w:r>
            <w:r>
              <w:rPr>
                <w:rFonts w:ascii="Times New Roman" w:hAnsi="Times New Roman"/>
                <w:spacing w:val="-2"/>
                <w:sz w:val="19"/>
              </w:rPr>
              <w:t> </w:t>
            </w:r>
            <w:r>
              <w:rPr>
                <w:rFonts w:ascii="Times New Roman" w:hAnsi="Times New Roman"/>
                <w:sz w:val="19"/>
              </w:rPr>
              <w:t>depósitos</w:t>
            </w:r>
            <w:r>
              <w:rPr>
                <w:rFonts w:ascii="Times New Roman" w:hAnsi="Times New Roman"/>
                <w:spacing w:val="-2"/>
                <w:sz w:val="19"/>
              </w:rPr>
              <w:t> </w:t>
            </w:r>
            <w:r>
              <w:rPr>
                <w:rFonts w:ascii="Times New Roman" w:hAnsi="Times New Roman"/>
                <w:sz w:val="19"/>
              </w:rPr>
              <w:t>en</w:t>
            </w:r>
            <w:r>
              <w:rPr>
                <w:rFonts w:ascii="Times New Roman" w:hAnsi="Times New Roman"/>
                <w:spacing w:val="-3"/>
                <w:sz w:val="19"/>
              </w:rPr>
              <w:t> </w:t>
            </w:r>
            <w:r>
              <w:rPr>
                <w:rFonts w:ascii="Times New Roman" w:hAnsi="Times New Roman"/>
                <w:sz w:val="19"/>
              </w:rPr>
              <w:t>garantía</w:t>
            </w:r>
            <w:r>
              <w:rPr>
                <w:rFonts w:ascii="Times New Roman" w:hAnsi="Times New Roman"/>
                <w:spacing w:val="-2"/>
                <w:sz w:val="19"/>
              </w:rPr>
              <w:t> </w:t>
            </w:r>
            <w:r>
              <w:rPr>
                <w:rFonts w:ascii="Times New Roman" w:hAnsi="Times New Roman"/>
                <w:sz w:val="19"/>
              </w:rPr>
              <w:t>en</w:t>
            </w:r>
            <w:r>
              <w:rPr>
                <w:rFonts w:ascii="Times New Roman" w:hAnsi="Times New Roman"/>
                <w:spacing w:val="-4"/>
                <w:sz w:val="19"/>
              </w:rPr>
              <w:t> </w:t>
            </w:r>
            <w:r>
              <w:rPr>
                <w:rFonts w:ascii="Times New Roman" w:hAnsi="Times New Roman"/>
                <w:sz w:val="19"/>
              </w:rPr>
              <w:t>moneda</w:t>
            </w:r>
            <w:r>
              <w:rPr>
                <w:rFonts w:ascii="Times New Roman" w:hAnsi="Times New Roman"/>
                <w:spacing w:val="-2"/>
                <w:sz w:val="19"/>
              </w:rPr>
              <w:t> nacional</w:t>
            </w:r>
          </w:p>
        </w:tc>
        <w:tc>
          <w:tcPr>
            <w:tcW w:w="1476" w:type="dxa"/>
          </w:tcPr>
          <w:p>
            <w:pPr>
              <w:pStyle w:val="TableParagraph"/>
              <w:spacing w:line="217" w:lineRule="exact" w:before="10"/>
              <w:ind w:right="376"/>
              <w:jc w:val="right"/>
              <w:rPr>
                <w:rFonts w:ascii="Times New Roman"/>
                <w:sz w:val="19"/>
              </w:rPr>
            </w:pPr>
            <w:r>
              <w:rPr>
                <w:rFonts w:ascii="Times New Roman"/>
                <w:sz w:val="19"/>
              </w:rPr>
              <w:t>73 </w:t>
            </w:r>
            <w:r>
              <w:rPr>
                <w:rFonts w:ascii="Times New Roman"/>
                <w:spacing w:val="-2"/>
                <w:sz w:val="19"/>
              </w:rPr>
              <w:t>410,14</w:t>
            </w:r>
          </w:p>
        </w:tc>
        <w:tc>
          <w:tcPr>
            <w:tcW w:w="1750" w:type="dxa"/>
          </w:tcPr>
          <w:p>
            <w:pPr>
              <w:pStyle w:val="TableParagraph"/>
              <w:spacing w:line="217" w:lineRule="exact" w:before="10"/>
              <w:ind w:right="587"/>
              <w:jc w:val="right"/>
              <w:rPr>
                <w:rFonts w:ascii="Times New Roman"/>
                <w:sz w:val="19"/>
              </w:rPr>
            </w:pPr>
            <w:r>
              <w:rPr>
                <w:rFonts w:ascii="Times New Roman"/>
                <w:sz w:val="19"/>
              </w:rPr>
              <w:t>55 </w:t>
            </w:r>
            <w:r>
              <w:rPr>
                <w:rFonts w:ascii="Times New Roman"/>
                <w:spacing w:val="-2"/>
                <w:sz w:val="19"/>
              </w:rPr>
              <w:t>264,93</w:t>
            </w:r>
          </w:p>
        </w:tc>
        <w:tc>
          <w:tcPr>
            <w:tcW w:w="1049" w:type="dxa"/>
            <w:tcBorders>
              <w:right w:val="single" w:sz="4" w:space="0" w:color="000000"/>
            </w:tcBorders>
          </w:tcPr>
          <w:p>
            <w:pPr>
              <w:pStyle w:val="TableParagraph"/>
              <w:spacing w:line="211" w:lineRule="exact" w:before="16"/>
              <w:ind w:left="24"/>
              <w:jc w:val="center"/>
              <w:rPr>
                <w:rFonts w:ascii="Calibri"/>
                <w:b/>
                <w:sz w:val="18"/>
              </w:rPr>
            </w:pPr>
            <w:r>
              <w:rPr>
                <w:rFonts w:ascii="Calibri"/>
                <w:b/>
                <w:spacing w:val="-2"/>
                <w:sz w:val="18"/>
              </w:rPr>
              <w:t>32,83%</w:t>
            </w:r>
          </w:p>
        </w:tc>
      </w:tr>
      <w:tr>
        <w:trPr>
          <w:trHeight w:val="482" w:hRule="atLeast"/>
        </w:trPr>
        <w:tc>
          <w:tcPr>
            <w:tcW w:w="4336" w:type="dxa"/>
            <w:tcBorders>
              <w:left w:val="single" w:sz="2" w:space="0" w:color="000000"/>
            </w:tcBorders>
          </w:tcPr>
          <w:p>
            <w:pPr>
              <w:pStyle w:val="TableParagraph"/>
              <w:spacing w:before="9"/>
              <w:ind w:left="144"/>
              <w:rPr>
                <w:rFonts w:ascii="Times New Roman" w:hAnsi="Times New Roman"/>
                <w:sz w:val="19"/>
              </w:rPr>
            </w:pPr>
            <w:r>
              <w:rPr>
                <w:rFonts w:ascii="Times New Roman" w:hAnsi="Times New Roman"/>
                <w:sz w:val="19"/>
              </w:rPr>
              <w:t>Depósitos</w:t>
            </w:r>
            <w:r>
              <w:rPr>
                <w:rFonts w:ascii="Times New Roman" w:hAnsi="Times New Roman"/>
                <w:spacing w:val="-4"/>
                <w:sz w:val="19"/>
              </w:rPr>
              <w:t> </w:t>
            </w:r>
            <w:r>
              <w:rPr>
                <w:rFonts w:ascii="Times New Roman" w:hAnsi="Times New Roman"/>
                <w:sz w:val="19"/>
              </w:rPr>
              <w:t>en</w:t>
            </w:r>
            <w:r>
              <w:rPr>
                <w:rFonts w:ascii="Times New Roman" w:hAnsi="Times New Roman"/>
                <w:spacing w:val="-5"/>
                <w:sz w:val="19"/>
              </w:rPr>
              <w:t> </w:t>
            </w:r>
            <w:r>
              <w:rPr>
                <w:rFonts w:ascii="Times New Roman" w:hAnsi="Times New Roman"/>
                <w:sz w:val="19"/>
              </w:rPr>
              <w:t>garantía</w:t>
            </w:r>
            <w:r>
              <w:rPr>
                <w:rFonts w:ascii="Times New Roman" w:hAnsi="Times New Roman"/>
                <w:spacing w:val="-4"/>
                <w:sz w:val="19"/>
              </w:rPr>
              <w:t> </w:t>
            </w:r>
            <w:r>
              <w:rPr>
                <w:rFonts w:ascii="Times New Roman" w:hAnsi="Times New Roman"/>
                <w:sz w:val="19"/>
              </w:rPr>
              <w:t>por</w:t>
            </w:r>
            <w:r>
              <w:rPr>
                <w:rFonts w:ascii="Times New Roman" w:hAnsi="Times New Roman"/>
                <w:spacing w:val="-6"/>
                <w:sz w:val="19"/>
              </w:rPr>
              <w:t> </w:t>
            </w:r>
            <w:r>
              <w:rPr>
                <w:rFonts w:ascii="Times New Roman" w:hAnsi="Times New Roman"/>
                <w:sz w:val="19"/>
              </w:rPr>
              <w:t>retención</w:t>
            </w:r>
            <w:r>
              <w:rPr>
                <w:rFonts w:ascii="Times New Roman" w:hAnsi="Times New Roman"/>
                <w:spacing w:val="-5"/>
                <w:sz w:val="19"/>
              </w:rPr>
              <w:t> </w:t>
            </w:r>
            <w:r>
              <w:rPr>
                <w:rFonts w:ascii="Times New Roman" w:hAnsi="Times New Roman"/>
                <w:sz w:val="19"/>
              </w:rPr>
              <w:t>en</w:t>
            </w:r>
            <w:r>
              <w:rPr>
                <w:rFonts w:ascii="Times New Roman" w:hAnsi="Times New Roman"/>
                <w:spacing w:val="-5"/>
                <w:sz w:val="19"/>
              </w:rPr>
              <w:t> </w:t>
            </w:r>
            <w:r>
              <w:rPr>
                <w:rFonts w:ascii="Times New Roman" w:hAnsi="Times New Roman"/>
                <w:sz w:val="19"/>
              </w:rPr>
              <w:t>contratos</w:t>
            </w:r>
            <w:r>
              <w:rPr>
                <w:rFonts w:ascii="Times New Roman" w:hAnsi="Times New Roman"/>
                <w:spacing w:val="-4"/>
                <w:sz w:val="19"/>
              </w:rPr>
              <w:t> </w:t>
            </w:r>
            <w:r>
              <w:rPr>
                <w:rFonts w:ascii="Times New Roman" w:hAnsi="Times New Roman"/>
                <w:spacing w:val="-5"/>
                <w:sz w:val="19"/>
              </w:rPr>
              <w:t>de</w:t>
            </w:r>
          </w:p>
          <w:p>
            <w:pPr>
              <w:pStyle w:val="TableParagraph"/>
              <w:spacing w:line="206" w:lineRule="exact" w:before="29"/>
              <w:ind w:left="144"/>
              <w:rPr>
                <w:rFonts w:ascii="Times New Roman" w:hAnsi="Times New Roman"/>
                <w:sz w:val="19"/>
              </w:rPr>
            </w:pPr>
            <w:r>
              <w:rPr>
                <w:rFonts w:ascii="Times New Roman" w:hAnsi="Times New Roman"/>
                <w:sz w:val="19"/>
              </w:rPr>
              <w:t>construcción</w:t>
            </w:r>
            <w:r>
              <w:rPr>
                <w:rFonts w:ascii="Times New Roman" w:hAnsi="Times New Roman"/>
                <w:spacing w:val="-7"/>
                <w:sz w:val="19"/>
              </w:rPr>
              <w:t> </w:t>
            </w:r>
            <w:r>
              <w:rPr>
                <w:rFonts w:ascii="Times New Roman" w:hAnsi="Times New Roman"/>
                <w:sz w:val="19"/>
              </w:rPr>
              <w:t>de</w:t>
            </w:r>
            <w:r>
              <w:rPr>
                <w:rFonts w:ascii="Times New Roman" w:hAnsi="Times New Roman"/>
                <w:spacing w:val="-9"/>
                <w:sz w:val="19"/>
              </w:rPr>
              <w:t> </w:t>
            </w:r>
            <w:r>
              <w:rPr>
                <w:rFonts w:ascii="Times New Roman" w:hAnsi="Times New Roman"/>
                <w:spacing w:val="-4"/>
                <w:sz w:val="19"/>
              </w:rPr>
              <w:t>obras</w:t>
            </w:r>
          </w:p>
        </w:tc>
        <w:tc>
          <w:tcPr>
            <w:tcW w:w="1476" w:type="dxa"/>
          </w:tcPr>
          <w:p>
            <w:pPr>
              <w:pStyle w:val="TableParagraph"/>
              <w:spacing w:before="130"/>
              <w:ind w:right="423"/>
              <w:jc w:val="right"/>
              <w:rPr>
                <w:rFonts w:ascii="Times New Roman"/>
                <w:sz w:val="19"/>
              </w:rPr>
            </w:pPr>
            <w:r>
              <w:rPr>
                <w:rFonts w:ascii="Times New Roman"/>
                <w:sz w:val="19"/>
              </w:rPr>
              <w:t>5 </w:t>
            </w:r>
            <w:r>
              <w:rPr>
                <w:rFonts w:ascii="Times New Roman"/>
                <w:spacing w:val="-2"/>
                <w:sz w:val="19"/>
              </w:rPr>
              <w:t>219,18</w:t>
            </w:r>
          </w:p>
        </w:tc>
        <w:tc>
          <w:tcPr>
            <w:tcW w:w="1750" w:type="dxa"/>
          </w:tcPr>
          <w:p>
            <w:pPr>
              <w:pStyle w:val="TableParagraph"/>
              <w:spacing w:before="130"/>
              <w:ind w:left="435"/>
              <w:rPr>
                <w:rFonts w:ascii="Times New Roman"/>
                <w:sz w:val="19"/>
              </w:rPr>
            </w:pPr>
            <w:r>
              <w:rPr>
                <w:rFonts w:ascii="Times New Roman"/>
                <w:sz w:val="19"/>
              </w:rPr>
              <w:t>3 </w:t>
            </w:r>
            <w:r>
              <w:rPr>
                <w:rFonts w:ascii="Times New Roman"/>
                <w:spacing w:val="-2"/>
                <w:sz w:val="19"/>
              </w:rPr>
              <w:t>313,32</w:t>
            </w:r>
          </w:p>
        </w:tc>
        <w:tc>
          <w:tcPr>
            <w:tcW w:w="1049" w:type="dxa"/>
            <w:tcBorders>
              <w:bottom w:val="single" w:sz="2" w:space="0" w:color="000000"/>
              <w:right w:val="single" w:sz="4" w:space="0" w:color="000000"/>
            </w:tcBorders>
          </w:tcPr>
          <w:p>
            <w:pPr>
              <w:pStyle w:val="TableParagraph"/>
              <w:spacing w:before="131"/>
              <w:ind w:left="24"/>
              <w:jc w:val="center"/>
              <w:rPr>
                <w:rFonts w:ascii="Calibri"/>
                <w:b/>
                <w:sz w:val="18"/>
              </w:rPr>
            </w:pPr>
            <w:r>
              <w:rPr>
                <w:rFonts w:ascii="Calibri"/>
                <w:b/>
                <w:spacing w:val="-2"/>
                <w:sz w:val="18"/>
              </w:rPr>
              <w:t>57,52%</w:t>
            </w:r>
          </w:p>
        </w:tc>
      </w:tr>
      <w:tr>
        <w:trPr>
          <w:trHeight w:val="236" w:hRule="atLeast"/>
        </w:trPr>
        <w:tc>
          <w:tcPr>
            <w:tcW w:w="4336" w:type="dxa"/>
            <w:tcBorders>
              <w:left w:val="single" w:sz="2" w:space="0" w:color="000000"/>
              <w:bottom w:val="single" w:sz="4" w:space="0" w:color="000000"/>
            </w:tcBorders>
          </w:tcPr>
          <w:p>
            <w:pPr>
              <w:pStyle w:val="TableParagraph"/>
              <w:spacing w:line="196" w:lineRule="exact" w:before="20"/>
              <w:ind w:left="27"/>
              <w:jc w:val="center"/>
              <w:rPr>
                <w:rFonts w:ascii="Times New Roman"/>
                <w:b/>
                <w:sz w:val="18"/>
              </w:rPr>
            </w:pPr>
            <w:r>
              <w:rPr>
                <w:rFonts w:ascii="Times New Roman"/>
                <w:b/>
                <w:spacing w:val="-2"/>
                <w:sz w:val="18"/>
              </w:rPr>
              <w:t>Total</w:t>
            </w:r>
          </w:p>
        </w:tc>
        <w:tc>
          <w:tcPr>
            <w:tcW w:w="1476" w:type="dxa"/>
            <w:tcBorders>
              <w:bottom w:val="single" w:sz="4" w:space="0" w:color="000000"/>
            </w:tcBorders>
          </w:tcPr>
          <w:p>
            <w:pPr>
              <w:pStyle w:val="TableParagraph"/>
              <w:spacing w:line="20" w:lineRule="exact"/>
              <w:ind w:left="21"/>
              <w:rPr>
                <w:sz w:val="2"/>
              </w:rPr>
            </w:pPr>
            <w:r>
              <w:rPr>
                <w:sz w:val="2"/>
              </w:rPr>
              <mc:AlternateContent>
                <mc:Choice Requires="wps">
                  <w:drawing>
                    <wp:inline distT="0" distB="0" distL="0" distR="0">
                      <wp:extent cx="878205" cy="3175"/>
                      <wp:effectExtent l="0" t="0" r="0" b="6350"/>
                      <wp:docPr id="383" name="Group 383"/>
                      <wp:cNvGraphicFramePr>
                        <a:graphicFrameLocks/>
                      </wp:cNvGraphicFramePr>
                      <a:graphic>
                        <a:graphicData uri="http://schemas.microsoft.com/office/word/2010/wordprocessingGroup">
                          <wpg:wgp>
                            <wpg:cNvPr id="383" name="Group 383"/>
                            <wpg:cNvGrpSpPr/>
                            <wpg:grpSpPr>
                              <a:xfrm>
                                <a:off x="0" y="0"/>
                                <a:ext cx="878205" cy="3175"/>
                                <a:chExt cx="878205" cy="3175"/>
                              </a:xfrm>
                            </wpg:grpSpPr>
                            <wps:wsp>
                              <wps:cNvPr id="384" name="Graphic 384"/>
                              <wps:cNvSpPr/>
                              <wps:spPr>
                                <a:xfrm>
                                  <a:off x="1533" y="1531"/>
                                  <a:ext cx="875030" cy="1270"/>
                                </a:xfrm>
                                <a:custGeom>
                                  <a:avLst/>
                                  <a:gdLst/>
                                  <a:ahLst/>
                                  <a:cxnLst/>
                                  <a:rect l="l" t="t" r="r" b="b"/>
                                  <a:pathLst>
                                    <a:path w="875030" h="0">
                                      <a:moveTo>
                                        <a:pt x="0" y="0"/>
                                      </a:moveTo>
                                      <a:lnTo>
                                        <a:pt x="874854" y="0"/>
                                      </a:lnTo>
                                    </a:path>
                                  </a:pathLst>
                                </a:custGeom>
                                <a:ln w="3062">
                                  <a:solidFill>
                                    <a:srgbClr val="000000"/>
                                  </a:solidFill>
                                  <a:prstDash val="solid"/>
                                </a:ln>
                              </wps:spPr>
                              <wps:bodyPr wrap="square" lIns="0" tIns="0" rIns="0" bIns="0" rtlCol="0">
                                <a:prstTxWarp prst="textNoShape">
                                  <a:avLst/>
                                </a:prstTxWarp>
                                <a:noAutofit/>
                              </wps:bodyPr>
                            </wps:wsp>
                            <wps:wsp>
                              <wps:cNvPr id="385" name="Graphic 385"/>
                              <wps:cNvSpPr/>
                              <wps:spPr>
                                <a:xfrm>
                                  <a:off x="0" y="0"/>
                                  <a:ext cx="878205" cy="3175"/>
                                </a:xfrm>
                                <a:custGeom>
                                  <a:avLst/>
                                  <a:gdLst/>
                                  <a:ahLst/>
                                  <a:cxnLst/>
                                  <a:rect l="l" t="t" r="r" b="b"/>
                                  <a:pathLst>
                                    <a:path w="878205" h="3175">
                                      <a:moveTo>
                                        <a:pt x="877922" y="0"/>
                                      </a:moveTo>
                                      <a:lnTo>
                                        <a:pt x="0" y="0"/>
                                      </a:lnTo>
                                      <a:lnTo>
                                        <a:pt x="0" y="3062"/>
                                      </a:lnTo>
                                      <a:lnTo>
                                        <a:pt x="877922" y="3063"/>
                                      </a:lnTo>
                                      <a:lnTo>
                                        <a:pt x="8779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9.150pt;height:.25pt;mso-position-horizontal-relative:char;mso-position-vertical-relative:line" id="docshapegroup364" coordorigin="0,0" coordsize="1383,5">
                      <v:line style="position:absolute" from="2,2" to="1380,2" stroked="true" strokeweight=".241175pt" strokecolor="#000000">
                        <v:stroke dashstyle="solid"/>
                      </v:line>
                      <v:rect style="position:absolute;left:0;top:0;width:1383;height:5" id="docshape365" filled="true" fillcolor="#000000" stroked="false">
                        <v:fill type="solid"/>
                      </v:rect>
                    </v:group>
                  </w:pict>
                </mc:Fallback>
              </mc:AlternateContent>
            </w:r>
            <w:r>
              <w:rPr>
                <w:sz w:val="2"/>
              </w:rPr>
            </w:r>
          </w:p>
          <w:p>
            <w:pPr>
              <w:pStyle w:val="TableParagraph"/>
              <w:spacing w:line="196" w:lineRule="exact"/>
              <w:ind w:right="326"/>
              <w:jc w:val="right"/>
              <w:rPr>
                <w:rFonts w:ascii="Times New Roman"/>
                <w:b/>
                <w:sz w:val="19"/>
              </w:rPr>
            </w:pPr>
            <w:r>
              <w:rPr>
                <w:rFonts w:ascii="Times New Roman"/>
                <w:b/>
                <w:sz w:val="19"/>
                <w:u w:val="single"/>
              </w:rPr>
              <w:t>147 </w:t>
            </w:r>
            <w:r>
              <w:rPr>
                <w:rFonts w:ascii="Times New Roman"/>
                <w:b/>
                <w:spacing w:val="-2"/>
                <w:sz w:val="19"/>
                <w:u w:val="single"/>
              </w:rPr>
              <w:t>991,59</w:t>
            </w:r>
          </w:p>
        </w:tc>
        <w:tc>
          <w:tcPr>
            <w:tcW w:w="1750" w:type="dxa"/>
            <w:tcBorders>
              <w:bottom w:val="single" w:sz="4" w:space="0" w:color="000000"/>
            </w:tcBorders>
          </w:tcPr>
          <w:p>
            <w:pPr>
              <w:pStyle w:val="TableParagraph"/>
              <w:spacing w:line="20" w:lineRule="exact"/>
              <w:ind w:left="92"/>
              <w:rPr>
                <w:sz w:val="2"/>
              </w:rPr>
            </w:pPr>
            <w:r>
              <w:rPr>
                <w:sz w:val="2"/>
              </w:rPr>
              <mc:AlternateContent>
                <mc:Choice Requires="wps">
                  <w:drawing>
                    <wp:inline distT="0" distB="0" distL="0" distR="0">
                      <wp:extent cx="869315" cy="3175"/>
                      <wp:effectExtent l="0" t="0" r="0" b="6350"/>
                      <wp:docPr id="386" name="Group 386"/>
                      <wp:cNvGraphicFramePr>
                        <a:graphicFrameLocks/>
                      </wp:cNvGraphicFramePr>
                      <a:graphic>
                        <a:graphicData uri="http://schemas.microsoft.com/office/word/2010/wordprocessingGroup">
                          <wpg:wgp>
                            <wpg:cNvPr id="386" name="Group 386"/>
                            <wpg:cNvGrpSpPr/>
                            <wpg:grpSpPr>
                              <a:xfrm>
                                <a:off x="0" y="0"/>
                                <a:ext cx="869315" cy="3175"/>
                                <a:chExt cx="869315" cy="3175"/>
                              </a:xfrm>
                            </wpg:grpSpPr>
                            <wps:wsp>
                              <wps:cNvPr id="387" name="Graphic 387"/>
                              <wps:cNvSpPr/>
                              <wps:spPr>
                                <a:xfrm>
                                  <a:off x="1533" y="1531"/>
                                  <a:ext cx="866140" cy="1270"/>
                                </a:xfrm>
                                <a:custGeom>
                                  <a:avLst/>
                                  <a:gdLst/>
                                  <a:ahLst/>
                                  <a:cxnLst/>
                                  <a:rect l="l" t="t" r="r" b="b"/>
                                  <a:pathLst>
                                    <a:path w="866140" h="0">
                                      <a:moveTo>
                                        <a:pt x="0" y="0"/>
                                      </a:moveTo>
                                      <a:lnTo>
                                        <a:pt x="865651" y="0"/>
                                      </a:lnTo>
                                    </a:path>
                                  </a:pathLst>
                                </a:custGeom>
                                <a:ln w="3062">
                                  <a:solidFill>
                                    <a:srgbClr val="000000"/>
                                  </a:solidFill>
                                  <a:prstDash val="solid"/>
                                </a:ln>
                              </wps:spPr>
                              <wps:bodyPr wrap="square" lIns="0" tIns="0" rIns="0" bIns="0" rtlCol="0">
                                <a:prstTxWarp prst="textNoShape">
                                  <a:avLst/>
                                </a:prstTxWarp>
                                <a:noAutofit/>
                              </wps:bodyPr>
                            </wps:wsp>
                            <wps:wsp>
                              <wps:cNvPr id="388" name="Graphic 388"/>
                              <wps:cNvSpPr/>
                              <wps:spPr>
                                <a:xfrm>
                                  <a:off x="0" y="0"/>
                                  <a:ext cx="869315" cy="3175"/>
                                </a:xfrm>
                                <a:custGeom>
                                  <a:avLst/>
                                  <a:gdLst/>
                                  <a:ahLst/>
                                  <a:cxnLst/>
                                  <a:rect l="l" t="t" r="r" b="b"/>
                                  <a:pathLst>
                                    <a:path w="869315" h="3175">
                                      <a:moveTo>
                                        <a:pt x="868719" y="0"/>
                                      </a:moveTo>
                                      <a:lnTo>
                                        <a:pt x="0" y="0"/>
                                      </a:lnTo>
                                      <a:lnTo>
                                        <a:pt x="0" y="3062"/>
                                      </a:lnTo>
                                      <a:lnTo>
                                        <a:pt x="868719" y="3063"/>
                                      </a:lnTo>
                                      <a:lnTo>
                                        <a:pt x="8687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8.45pt;height:.25pt;mso-position-horizontal-relative:char;mso-position-vertical-relative:line" id="docshapegroup366" coordorigin="0,0" coordsize="1369,5">
                      <v:line style="position:absolute" from="2,2" to="1366,2" stroked="true" strokeweight=".241175pt" strokecolor="#000000">
                        <v:stroke dashstyle="solid"/>
                      </v:line>
                      <v:rect style="position:absolute;left:0;top:0;width:1369;height:5" id="docshape367" filled="true" fillcolor="#000000" stroked="false">
                        <v:fill type="solid"/>
                      </v:rect>
                    </v:group>
                  </w:pict>
                </mc:Fallback>
              </mc:AlternateContent>
            </w:r>
            <w:r>
              <w:rPr>
                <w:sz w:val="2"/>
              </w:rPr>
            </w:r>
          </w:p>
          <w:p>
            <w:pPr>
              <w:pStyle w:val="TableParagraph"/>
              <w:spacing w:line="196" w:lineRule="exact"/>
              <w:ind w:right="539"/>
              <w:jc w:val="right"/>
              <w:rPr>
                <w:rFonts w:ascii="Times New Roman"/>
                <w:b/>
                <w:sz w:val="19"/>
              </w:rPr>
            </w:pPr>
            <w:r>
              <w:rPr>
                <w:rFonts w:ascii="Times New Roman"/>
                <w:b/>
                <w:sz w:val="19"/>
                <w:u w:val="single"/>
              </w:rPr>
              <w:t>123 </w:t>
            </w:r>
            <w:r>
              <w:rPr>
                <w:rFonts w:ascii="Times New Roman"/>
                <w:b/>
                <w:spacing w:val="-2"/>
                <w:sz w:val="19"/>
                <w:u w:val="single"/>
              </w:rPr>
              <w:t>615,28</w:t>
            </w:r>
          </w:p>
        </w:tc>
        <w:tc>
          <w:tcPr>
            <w:tcW w:w="1049" w:type="dxa"/>
            <w:tcBorders>
              <w:top w:val="single" w:sz="2" w:space="0" w:color="000000"/>
              <w:bottom w:val="single" w:sz="4" w:space="0" w:color="000000"/>
              <w:right w:val="single" w:sz="4" w:space="0" w:color="000000"/>
            </w:tcBorders>
          </w:tcPr>
          <w:p>
            <w:pPr>
              <w:pStyle w:val="TableParagraph"/>
              <w:spacing w:line="201" w:lineRule="exact" w:before="16"/>
              <w:ind w:left="24" w:right="13"/>
              <w:jc w:val="center"/>
              <w:rPr>
                <w:rFonts w:ascii="Times New Roman"/>
                <w:b/>
                <w:sz w:val="19"/>
              </w:rPr>
            </w:pPr>
            <w:r>
              <w:rPr>
                <w:rFonts w:ascii="Times New Roman"/>
                <w:b/>
                <w:spacing w:val="-2"/>
                <w:sz w:val="19"/>
                <w:u w:val="single"/>
              </w:rPr>
              <w:t>19,72%</w:t>
            </w:r>
          </w:p>
        </w:tc>
      </w:tr>
    </w:tbl>
    <w:p>
      <w:pPr>
        <w:pStyle w:val="BodyText"/>
        <w:spacing w:before="185"/>
      </w:pPr>
    </w:p>
    <w:p>
      <w:pPr>
        <w:pStyle w:val="BodyText"/>
        <w:ind w:left="730" w:right="632"/>
        <w:jc w:val="both"/>
      </w:pPr>
      <w:r>
        <w:rPr/>
        <w:t>Los depósitos en garantía por contratos de servicios presentan un incremento del 6,65% con respecto al año anterior, corresponden al registro de las garantías de participación y cumplimiento realizadas en efectivo por los proveedores, el saldo mostrado corresponde a contrataciones activas.</w:t>
      </w:r>
    </w:p>
    <w:p>
      <w:pPr>
        <w:pStyle w:val="BodyText"/>
        <w:spacing w:before="250"/>
        <w:ind w:left="730"/>
        <w:jc w:val="both"/>
      </w:pPr>
      <w:r>
        <w:rPr/>
        <w:t>El</w:t>
      </w:r>
      <w:r>
        <w:rPr>
          <w:spacing w:val="-6"/>
        </w:rPr>
        <w:t> </w:t>
      </w:r>
      <w:r>
        <w:rPr/>
        <w:t>análisis</w:t>
      </w:r>
      <w:r>
        <w:rPr>
          <w:spacing w:val="-3"/>
        </w:rPr>
        <w:t> </w:t>
      </w:r>
      <w:r>
        <w:rPr/>
        <w:t>de</w:t>
      </w:r>
      <w:r>
        <w:rPr>
          <w:spacing w:val="-5"/>
        </w:rPr>
        <w:t> </w:t>
      </w:r>
      <w:r>
        <w:rPr/>
        <w:t>antigüedad</w:t>
      </w:r>
      <w:r>
        <w:rPr>
          <w:spacing w:val="-3"/>
        </w:rPr>
        <w:t> </w:t>
      </w:r>
      <w:r>
        <w:rPr/>
        <w:t>de</w:t>
      </w:r>
      <w:r>
        <w:rPr>
          <w:spacing w:val="-4"/>
        </w:rPr>
        <w:t> </w:t>
      </w:r>
      <w:r>
        <w:rPr/>
        <w:t>las</w:t>
      </w:r>
      <w:r>
        <w:rPr>
          <w:spacing w:val="-2"/>
        </w:rPr>
        <w:t> </w:t>
      </w:r>
      <w:r>
        <w:rPr/>
        <w:t>garantías</w:t>
      </w:r>
      <w:r>
        <w:rPr>
          <w:spacing w:val="-2"/>
        </w:rPr>
        <w:t> </w:t>
      </w:r>
      <w:r>
        <w:rPr/>
        <w:t>de</w:t>
      </w:r>
      <w:r>
        <w:rPr>
          <w:spacing w:val="-5"/>
        </w:rPr>
        <w:t> </w:t>
      </w:r>
      <w:r>
        <w:rPr/>
        <w:t>contrataciones</w:t>
      </w:r>
      <w:r>
        <w:rPr>
          <w:spacing w:val="-2"/>
        </w:rPr>
        <w:t> </w:t>
      </w:r>
      <w:r>
        <w:rPr/>
        <w:t>en</w:t>
      </w:r>
      <w:r>
        <w:rPr>
          <w:spacing w:val="-3"/>
        </w:rPr>
        <w:t> </w:t>
      </w:r>
      <w:r>
        <w:rPr/>
        <w:t>ejecución</w:t>
      </w:r>
      <w:r>
        <w:rPr>
          <w:spacing w:val="-3"/>
        </w:rPr>
        <w:t> </w:t>
      </w:r>
      <w:r>
        <w:rPr/>
        <w:t>se</w:t>
      </w:r>
      <w:r>
        <w:rPr>
          <w:spacing w:val="-5"/>
        </w:rPr>
        <w:t> </w:t>
      </w:r>
      <w:r>
        <w:rPr/>
        <w:t>muestra</w:t>
      </w:r>
      <w:r>
        <w:rPr>
          <w:spacing w:val="-5"/>
        </w:rPr>
        <w:t> </w:t>
      </w:r>
      <w:r>
        <w:rPr/>
        <w:t>a</w:t>
      </w:r>
      <w:r>
        <w:rPr>
          <w:spacing w:val="-4"/>
        </w:rPr>
        <w:t> </w:t>
      </w:r>
      <w:r>
        <w:rPr>
          <w:spacing w:val="-2"/>
        </w:rPr>
        <w:t>continuación:</w:t>
      </w:r>
    </w:p>
    <w:p>
      <w:pPr>
        <w:pStyle w:val="BodyText"/>
        <w:rPr>
          <w:sz w:val="10"/>
        </w:rPr>
      </w:pPr>
    </w:p>
    <w:p>
      <w:pPr>
        <w:pStyle w:val="BodyText"/>
        <w:spacing w:before="56"/>
        <w:rPr>
          <w:sz w:val="10"/>
        </w:rPr>
      </w:pPr>
    </w:p>
    <w:p>
      <w:pPr>
        <w:spacing w:line="321" w:lineRule="auto" w:before="0"/>
        <w:ind w:left="4238" w:right="4111" w:firstLine="0"/>
        <w:jc w:val="center"/>
        <w:rPr>
          <w:rFonts w:ascii="Arial" w:hAnsi="Arial"/>
          <w:b/>
          <w:sz w:val="10"/>
        </w:rPr>
      </w:pPr>
      <w:r>
        <w:rPr>
          <w:rFonts w:ascii="Arial" w:hAnsi="Arial"/>
          <w:b/>
          <w:spacing w:val="-2"/>
          <w:w w:val="140"/>
          <w:sz w:val="10"/>
        </w:rPr>
        <w:t>GARANTIAS</w:t>
      </w:r>
      <w:r>
        <w:rPr>
          <w:rFonts w:ascii="Arial" w:hAnsi="Arial"/>
          <w:b/>
          <w:spacing w:val="9"/>
          <w:w w:val="140"/>
          <w:sz w:val="10"/>
        </w:rPr>
        <w:t> </w:t>
      </w:r>
      <w:r>
        <w:rPr>
          <w:rFonts w:ascii="Arial" w:hAnsi="Arial"/>
          <w:b/>
          <w:spacing w:val="-2"/>
          <w:w w:val="140"/>
          <w:sz w:val="10"/>
        </w:rPr>
        <w:t>EFECTIVO</w:t>
      </w:r>
      <w:r>
        <w:rPr>
          <w:rFonts w:ascii="Arial" w:hAnsi="Arial"/>
          <w:b/>
          <w:spacing w:val="40"/>
          <w:w w:val="140"/>
          <w:sz w:val="10"/>
        </w:rPr>
        <w:t> </w:t>
      </w:r>
      <w:r>
        <w:rPr>
          <w:rFonts w:ascii="Arial" w:hAnsi="Arial"/>
          <w:b/>
          <w:w w:val="140"/>
          <w:sz w:val="10"/>
        </w:rPr>
        <w:t>SALDOS POR AÑO</w:t>
      </w:r>
    </w:p>
    <w:p>
      <w:pPr>
        <w:pStyle w:val="BodyText"/>
        <w:spacing w:before="45"/>
        <w:rPr>
          <w:rFonts w:ascii="Arial"/>
          <w:b/>
          <w:sz w:val="20"/>
        </w:rPr>
      </w:pPr>
    </w:p>
    <w:tbl>
      <w:tblPr>
        <w:tblW w:w="0" w:type="auto"/>
        <w:jc w:val="left"/>
        <w:tblInd w:w="3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6"/>
        <w:gridCol w:w="1594"/>
      </w:tblGrid>
      <w:tr>
        <w:trPr>
          <w:trHeight w:val="147" w:hRule="atLeast"/>
        </w:trPr>
        <w:tc>
          <w:tcPr>
            <w:tcW w:w="1516" w:type="dxa"/>
            <w:tcBorders>
              <w:left w:val="single" w:sz="2" w:space="0" w:color="000000"/>
              <w:bottom w:val="single" w:sz="2" w:space="0" w:color="000000"/>
              <w:right w:val="single" w:sz="2" w:space="0" w:color="000000"/>
            </w:tcBorders>
          </w:tcPr>
          <w:p>
            <w:pPr>
              <w:pStyle w:val="TableParagraph"/>
              <w:spacing w:line="110" w:lineRule="exact" w:before="18"/>
              <w:ind w:right="18"/>
              <w:jc w:val="right"/>
              <w:rPr>
                <w:rFonts w:ascii="Arial"/>
                <w:sz w:val="11"/>
              </w:rPr>
            </w:pPr>
            <w:r>
              <w:rPr>
                <w:rFonts w:ascii="Arial"/>
                <w:spacing w:val="-4"/>
                <w:w w:val="140"/>
                <w:sz w:val="11"/>
              </w:rPr>
              <w:t>2015</w:t>
            </w:r>
          </w:p>
        </w:tc>
        <w:tc>
          <w:tcPr>
            <w:tcW w:w="1594" w:type="dxa"/>
            <w:tcBorders>
              <w:left w:val="single" w:sz="2" w:space="0" w:color="000000"/>
              <w:bottom w:val="single" w:sz="2" w:space="0" w:color="000000"/>
            </w:tcBorders>
          </w:tcPr>
          <w:p>
            <w:pPr>
              <w:pStyle w:val="TableParagraph"/>
              <w:spacing w:line="110" w:lineRule="exact" w:before="18"/>
              <w:ind w:right="66"/>
              <w:jc w:val="right"/>
              <w:rPr>
                <w:rFonts w:ascii="Arial"/>
                <w:sz w:val="11"/>
              </w:rPr>
            </w:pPr>
            <w:r>
              <w:rPr>
                <w:rFonts w:ascii="Arial"/>
                <w:spacing w:val="-2"/>
                <w:w w:val="140"/>
                <w:sz w:val="11"/>
              </w:rPr>
              <w:t>256,15</w:t>
            </w:r>
          </w:p>
        </w:tc>
      </w:tr>
      <w:tr>
        <w:trPr>
          <w:trHeight w:val="148"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2016</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6"/>
              <w:jc w:val="right"/>
              <w:rPr>
                <w:rFonts w:ascii="Arial"/>
                <w:sz w:val="11"/>
              </w:rPr>
            </w:pPr>
            <w:r>
              <w:rPr>
                <w:rFonts w:ascii="Arial"/>
                <w:spacing w:val="-2"/>
                <w:w w:val="140"/>
                <w:sz w:val="11"/>
              </w:rPr>
              <w:t>82,50</w:t>
            </w:r>
          </w:p>
        </w:tc>
      </w:tr>
      <w:tr>
        <w:trPr>
          <w:trHeight w:val="149"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2018</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1 </w:t>
            </w:r>
            <w:r>
              <w:rPr>
                <w:rFonts w:ascii="Arial"/>
                <w:spacing w:val="-2"/>
                <w:w w:val="140"/>
                <w:sz w:val="11"/>
              </w:rPr>
              <w:t>205,45</w:t>
            </w:r>
          </w:p>
        </w:tc>
      </w:tr>
      <w:tr>
        <w:trPr>
          <w:trHeight w:val="148"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2019</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19 </w:t>
            </w:r>
            <w:r>
              <w:rPr>
                <w:rFonts w:ascii="Arial"/>
                <w:spacing w:val="-2"/>
                <w:w w:val="140"/>
                <w:sz w:val="11"/>
              </w:rPr>
              <w:t>081,30</w:t>
            </w:r>
          </w:p>
        </w:tc>
      </w:tr>
      <w:tr>
        <w:trPr>
          <w:trHeight w:val="149"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2020</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2 </w:t>
            </w:r>
            <w:r>
              <w:rPr>
                <w:rFonts w:ascii="Arial"/>
                <w:spacing w:val="-2"/>
                <w:w w:val="140"/>
                <w:sz w:val="11"/>
              </w:rPr>
              <w:t>358,60</w:t>
            </w:r>
          </w:p>
        </w:tc>
      </w:tr>
      <w:tr>
        <w:trPr>
          <w:trHeight w:val="148"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2021</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6"/>
              <w:jc w:val="right"/>
              <w:rPr>
                <w:rFonts w:ascii="Arial"/>
                <w:sz w:val="11"/>
              </w:rPr>
            </w:pPr>
            <w:r>
              <w:rPr>
                <w:rFonts w:ascii="Arial"/>
                <w:spacing w:val="-2"/>
                <w:w w:val="140"/>
                <w:sz w:val="11"/>
              </w:rPr>
              <w:t>700,00</w:t>
            </w:r>
          </w:p>
        </w:tc>
      </w:tr>
      <w:tr>
        <w:trPr>
          <w:trHeight w:val="148"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2022</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10 </w:t>
            </w:r>
            <w:r>
              <w:rPr>
                <w:rFonts w:ascii="Arial"/>
                <w:spacing w:val="-2"/>
                <w:w w:val="140"/>
                <w:sz w:val="11"/>
              </w:rPr>
              <w:t>379,84</w:t>
            </w:r>
          </w:p>
        </w:tc>
      </w:tr>
      <w:tr>
        <w:trPr>
          <w:trHeight w:val="149"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2023</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8 </w:t>
            </w:r>
            <w:r>
              <w:rPr>
                <w:rFonts w:ascii="Arial"/>
                <w:spacing w:val="-2"/>
                <w:w w:val="140"/>
                <w:sz w:val="11"/>
              </w:rPr>
              <w:t>313,67</w:t>
            </w:r>
          </w:p>
        </w:tc>
      </w:tr>
      <w:tr>
        <w:trPr>
          <w:trHeight w:val="149" w:hRule="atLeast"/>
        </w:trPr>
        <w:tc>
          <w:tcPr>
            <w:tcW w:w="1516" w:type="dxa"/>
            <w:tcBorders>
              <w:top w:val="single" w:sz="2" w:space="0" w:color="000000"/>
              <w:left w:val="single" w:sz="2" w:space="0" w:color="000000"/>
              <w:bottom w:val="single" w:sz="2" w:space="0" w:color="000000"/>
              <w:right w:val="single" w:sz="2" w:space="0" w:color="000000"/>
            </w:tcBorders>
          </w:tcPr>
          <w:p>
            <w:pPr>
              <w:pStyle w:val="TableParagraph"/>
              <w:spacing w:line="110" w:lineRule="exact" w:before="19"/>
              <w:ind w:right="18"/>
              <w:jc w:val="right"/>
              <w:rPr>
                <w:rFonts w:ascii="Arial"/>
                <w:sz w:val="11"/>
              </w:rPr>
            </w:pPr>
            <w:r>
              <w:rPr>
                <w:rFonts w:ascii="Arial"/>
                <w:spacing w:val="-4"/>
                <w:w w:val="140"/>
                <w:sz w:val="11"/>
              </w:rPr>
              <w:t>2024</w:t>
            </w:r>
          </w:p>
        </w:tc>
        <w:tc>
          <w:tcPr>
            <w:tcW w:w="1594" w:type="dxa"/>
            <w:tcBorders>
              <w:top w:val="single" w:sz="2" w:space="0" w:color="000000"/>
              <w:left w:val="single" w:sz="2" w:space="0" w:color="000000"/>
              <w:bottom w:val="single" w:sz="2" w:space="0" w:color="000000"/>
            </w:tcBorders>
          </w:tcPr>
          <w:p>
            <w:pPr>
              <w:pStyle w:val="TableParagraph"/>
              <w:spacing w:line="110" w:lineRule="exact" w:before="19"/>
              <w:ind w:right="67"/>
              <w:jc w:val="right"/>
              <w:rPr>
                <w:rFonts w:ascii="Arial"/>
                <w:sz w:val="11"/>
              </w:rPr>
            </w:pPr>
            <w:r>
              <w:rPr>
                <w:rFonts w:ascii="Arial"/>
                <w:w w:val="140"/>
                <w:sz w:val="11"/>
              </w:rPr>
              <w:t>6 </w:t>
            </w:r>
            <w:r>
              <w:rPr>
                <w:rFonts w:ascii="Arial"/>
                <w:spacing w:val="-2"/>
                <w:w w:val="140"/>
                <w:sz w:val="11"/>
              </w:rPr>
              <w:t>533,84</w:t>
            </w:r>
          </w:p>
        </w:tc>
      </w:tr>
      <w:tr>
        <w:trPr>
          <w:trHeight w:val="147" w:hRule="atLeast"/>
        </w:trPr>
        <w:tc>
          <w:tcPr>
            <w:tcW w:w="1516" w:type="dxa"/>
            <w:tcBorders>
              <w:top w:val="single" w:sz="2" w:space="0" w:color="000000"/>
              <w:left w:val="single" w:sz="2" w:space="0" w:color="000000"/>
              <w:right w:val="single" w:sz="2" w:space="0" w:color="000000"/>
            </w:tcBorders>
          </w:tcPr>
          <w:p>
            <w:pPr>
              <w:pStyle w:val="TableParagraph"/>
              <w:spacing w:line="109" w:lineRule="exact" w:before="19"/>
              <w:ind w:right="18"/>
              <w:jc w:val="right"/>
              <w:rPr>
                <w:rFonts w:ascii="Arial"/>
                <w:sz w:val="11"/>
              </w:rPr>
            </w:pPr>
            <w:r>
              <w:rPr>
                <w:rFonts w:ascii="Arial"/>
                <w:spacing w:val="-4"/>
                <w:w w:val="140"/>
                <w:sz w:val="11"/>
              </w:rPr>
              <w:t>2025</w:t>
            </w:r>
          </w:p>
        </w:tc>
        <w:tc>
          <w:tcPr>
            <w:tcW w:w="1594" w:type="dxa"/>
            <w:tcBorders>
              <w:top w:val="single" w:sz="2" w:space="0" w:color="000000"/>
              <w:left w:val="single" w:sz="2" w:space="0" w:color="000000"/>
            </w:tcBorders>
          </w:tcPr>
          <w:p>
            <w:pPr>
              <w:pStyle w:val="TableParagraph"/>
              <w:spacing w:line="109" w:lineRule="exact" w:before="19"/>
              <w:ind w:right="67"/>
              <w:jc w:val="right"/>
              <w:rPr>
                <w:rFonts w:ascii="Arial"/>
                <w:sz w:val="11"/>
              </w:rPr>
            </w:pPr>
            <w:r>
              <w:rPr>
                <w:rFonts w:ascii="Arial"/>
                <w:w w:val="140"/>
                <w:sz w:val="11"/>
              </w:rPr>
              <w:t>16 </w:t>
            </w:r>
            <w:r>
              <w:rPr>
                <w:rFonts w:ascii="Arial"/>
                <w:spacing w:val="-2"/>
                <w:w w:val="140"/>
                <w:sz w:val="11"/>
              </w:rPr>
              <w:t>889,67</w:t>
            </w:r>
          </w:p>
        </w:tc>
      </w:tr>
      <w:tr>
        <w:trPr>
          <w:trHeight w:val="147" w:hRule="atLeast"/>
        </w:trPr>
        <w:tc>
          <w:tcPr>
            <w:tcW w:w="1516" w:type="dxa"/>
            <w:tcBorders>
              <w:left w:val="single" w:sz="2" w:space="0" w:color="000000"/>
              <w:right w:val="single" w:sz="2" w:space="0" w:color="000000"/>
            </w:tcBorders>
          </w:tcPr>
          <w:p>
            <w:pPr>
              <w:pStyle w:val="TableParagraph"/>
              <w:spacing w:line="109" w:lineRule="exact" w:before="18"/>
              <w:ind w:right="18"/>
              <w:jc w:val="right"/>
              <w:rPr>
                <w:rFonts w:ascii="Arial"/>
                <w:sz w:val="11"/>
              </w:rPr>
            </w:pPr>
            <w:r>
              <w:rPr>
                <w:rFonts w:ascii="Arial"/>
                <w:spacing w:val="-4"/>
                <w:w w:val="140"/>
                <w:sz w:val="11"/>
              </w:rPr>
              <w:t>2026</w:t>
            </w:r>
          </w:p>
        </w:tc>
        <w:tc>
          <w:tcPr>
            <w:tcW w:w="1594" w:type="dxa"/>
            <w:tcBorders>
              <w:left w:val="single" w:sz="2" w:space="0" w:color="000000"/>
            </w:tcBorders>
          </w:tcPr>
          <w:p>
            <w:pPr>
              <w:pStyle w:val="TableParagraph"/>
              <w:spacing w:line="109" w:lineRule="exact" w:before="18"/>
              <w:ind w:right="67"/>
              <w:jc w:val="right"/>
              <w:rPr>
                <w:rFonts w:ascii="Arial"/>
                <w:sz w:val="11"/>
              </w:rPr>
            </w:pPr>
            <w:r>
              <w:rPr>
                <w:rFonts w:ascii="Arial"/>
                <w:w w:val="140"/>
                <w:sz w:val="11"/>
              </w:rPr>
              <w:t>3 </w:t>
            </w:r>
            <w:r>
              <w:rPr>
                <w:rFonts w:ascii="Arial"/>
                <w:spacing w:val="-2"/>
                <w:w w:val="140"/>
                <w:sz w:val="11"/>
              </w:rPr>
              <w:t>561,25</w:t>
            </w:r>
          </w:p>
        </w:tc>
      </w:tr>
    </w:tbl>
    <w:p>
      <w:pPr>
        <w:pStyle w:val="BodyText"/>
        <w:spacing w:before="60"/>
        <w:rPr>
          <w:rFonts w:ascii="Arial"/>
          <w:b/>
          <w:sz w:val="10"/>
        </w:rPr>
      </w:pPr>
    </w:p>
    <w:p>
      <w:pPr>
        <w:tabs>
          <w:tab w:pos="2422" w:val="left" w:leader="none"/>
        </w:tabs>
        <w:spacing w:before="0"/>
        <w:ind w:left="1053" w:right="0" w:firstLine="0"/>
        <w:jc w:val="center"/>
        <w:rPr>
          <w:rFonts w:ascii="Arial" w:hAnsi="Arial"/>
          <w:b/>
          <w:sz w:val="11"/>
        </w:rPr>
      </w:pPr>
      <w:r>
        <w:rPr>
          <w:rFonts w:ascii="Arial" w:hAnsi="Arial"/>
          <w:b/>
          <w:w w:val="140"/>
          <w:sz w:val="11"/>
        </w:rPr>
        <w:t>TOTAL</w:t>
      </w:r>
      <w:r>
        <w:rPr>
          <w:rFonts w:ascii="Arial" w:hAnsi="Arial"/>
          <w:b/>
          <w:spacing w:val="-14"/>
          <w:w w:val="140"/>
          <w:sz w:val="11"/>
        </w:rPr>
        <w:t> </w:t>
      </w:r>
      <w:r>
        <w:rPr>
          <w:rFonts w:ascii="Arial" w:hAnsi="Arial"/>
          <w:b/>
          <w:spacing w:val="45"/>
          <w:w w:val="140"/>
          <w:sz w:val="11"/>
          <w:u w:val="single"/>
        </w:rPr>
        <w:t> </w:t>
      </w:r>
      <w:r>
        <w:rPr>
          <w:rFonts w:ascii="Arial" w:hAnsi="Arial"/>
          <w:b/>
          <w:spacing w:val="-10"/>
          <w:w w:val="140"/>
          <w:sz w:val="11"/>
          <w:u w:val="single"/>
        </w:rPr>
        <w:t>₡</w:t>
      </w:r>
      <w:r>
        <w:rPr>
          <w:rFonts w:ascii="Arial" w:hAnsi="Arial"/>
          <w:b/>
          <w:sz w:val="11"/>
          <w:u w:val="single"/>
        </w:rPr>
        <w:tab/>
      </w:r>
      <w:r>
        <w:rPr>
          <w:rFonts w:ascii="Arial" w:hAnsi="Arial"/>
          <w:b/>
          <w:w w:val="140"/>
          <w:sz w:val="11"/>
          <w:u w:val="single"/>
        </w:rPr>
        <w:t>69 </w:t>
      </w:r>
      <w:r>
        <w:rPr>
          <w:rFonts w:ascii="Arial" w:hAnsi="Arial"/>
          <w:b/>
          <w:spacing w:val="-2"/>
          <w:w w:val="140"/>
          <w:sz w:val="11"/>
          <w:u w:val="single"/>
        </w:rPr>
        <w:t>362,26</w:t>
      </w:r>
      <w:r>
        <w:rPr>
          <w:rFonts w:ascii="Arial" w:hAnsi="Arial"/>
          <w:b/>
          <w:spacing w:val="40"/>
          <w:w w:val="140"/>
          <w:sz w:val="11"/>
          <w:u w:val="single"/>
        </w:rPr>
        <w:t> </w:t>
      </w:r>
    </w:p>
    <w:p>
      <w:pPr>
        <w:pStyle w:val="BodyText"/>
        <w:spacing w:before="198"/>
        <w:ind w:left="730" w:right="636"/>
        <w:jc w:val="both"/>
      </w:pPr>
      <w:r>
        <w:rPr/>
        <w:t>Las variaciones de la cuenta de depósitos de contratos servicios de construcción son producto de la retención practicada a contratistas de garantías de ejecución de obras y la devolución según los plazos establecidos en la contratación.</w:t>
      </w:r>
    </w:p>
    <w:p>
      <w:pPr>
        <w:pStyle w:val="BodyText"/>
        <w:rPr>
          <w:sz w:val="20"/>
        </w:rPr>
      </w:pPr>
    </w:p>
    <w:p>
      <w:pPr>
        <w:pStyle w:val="BodyText"/>
        <w:spacing w:before="48" w:after="1"/>
        <w:rPr>
          <w:sz w:val="20"/>
        </w:rPr>
      </w:pPr>
    </w:p>
    <w:tbl>
      <w:tblPr>
        <w:tblW w:w="0" w:type="auto"/>
        <w:jc w:val="left"/>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70"/>
        <w:gridCol w:w="2355"/>
        <w:gridCol w:w="572"/>
        <w:gridCol w:w="1844"/>
        <w:gridCol w:w="1986"/>
        <w:gridCol w:w="1230"/>
      </w:tblGrid>
      <w:tr>
        <w:trPr>
          <w:trHeight w:val="347" w:hRule="atLeast"/>
        </w:trPr>
        <w:tc>
          <w:tcPr>
            <w:tcW w:w="1070" w:type="dxa"/>
            <w:vMerge w:val="restart"/>
            <w:shd w:val="clear" w:color="auto" w:fill="365F92"/>
          </w:tcPr>
          <w:p>
            <w:pPr>
              <w:pStyle w:val="TableParagraph"/>
              <w:spacing w:before="141"/>
              <w:ind w:left="69"/>
              <w:rPr>
                <w:b/>
                <w:sz w:val="22"/>
              </w:rPr>
            </w:pPr>
            <w:r>
              <w:rPr>
                <w:b/>
                <w:color w:val="FFFFFF"/>
                <w:spacing w:val="-2"/>
                <w:sz w:val="22"/>
              </w:rPr>
              <w:t>Cuenta</w:t>
            </w:r>
          </w:p>
        </w:tc>
        <w:tc>
          <w:tcPr>
            <w:tcW w:w="2355" w:type="dxa"/>
            <w:vMerge w:val="restart"/>
            <w:shd w:val="clear" w:color="auto" w:fill="365F92"/>
          </w:tcPr>
          <w:p>
            <w:pPr>
              <w:pStyle w:val="TableParagraph"/>
              <w:spacing w:before="230"/>
              <w:ind w:left="646"/>
              <w:rPr>
                <w:b/>
                <w:sz w:val="22"/>
              </w:rPr>
            </w:pPr>
            <w:r>
              <w:rPr>
                <w:b/>
                <w:color w:val="FFFFFF"/>
                <w:spacing w:val="-2"/>
                <w:sz w:val="22"/>
              </w:rPr>
              <w:t>Descripción</w:t>
            </w:r>
          </w:p>
        </w:tc>
        <w:tc>
          <w:tcPr>
            <w:tcW w:w="572" w:type="dxa"/>
            <w:vMerge w:val="restart"/>
            <w:shd w:val="clear" w:color="auto" w:fill="365F92"/>
          </w:tcPr>
          <w:p>
            <w:pPr>
              <w:pStyle w:val="TableParagraph"/>
              <w:spacing w:before="230"/>
              <w:ind w:left="69"/>
              <w:rPr>
                <w:b/>
                <w:sz w:val="22"/>
              </w:rPr>
            </w:pPr>
            <w:r>
              <w:rPr>
                <w:b/>
                <w:color w:val="FFFFFF"/>
                <w:spacing w:val="-4"/>
                <w:sz w:val="22"/>
              </w:rPr>
              <w:t>Nota</w:t>
            </w:r>
          </w:p>
        </w:tc>
        <w:tc>
          <w:tcPr>
            <w:tcW w:w="1844" w:type="dxa"/>
            <w:vMerge w:val="restart"/>
            <w:shd w:val="clear" w:color="auto" w:fill="365F92"/>
          </w:tcPr>
          <w:p>
            <w:pPr>
              <w:pStyle w:val="TableParagraph"/>
              <w:spacing w:before="230"/>
              <w:ind w:left="289"/>
              <w:rPr>
                <w:b/>
                <w:sz w:val="22"/>
              </w:rPr>
            </w:pPr>
            <w:r>
              <w:rPr>
                <w:b/>
                <w:color w:val="FFFFFF"/>
                <w:sz w:val="22"/>
              </w:rPr>
              <w:t>Periodo</w:t>
            </w:r>
            <w:r>
              <w:rPr>
                <w:b/>
                <w:color w:val="FFFFFF"/>
                <w:spacing w:val="-4"/>
                <w:sz w:val="22"/>
              </w:rPr>
              <w:t> </w:t>
            </w:r>
            <w:r>
              <w:rPr>
                <w:b/>
                <w:color w:val="FFFFFF"/>
                <w:spacing w:val="-2"/>
                <w:sz w:val="22"/>
              </w:rPr>
              <w:t>Actual</w:t>
            </w:r>
          </w:p>
        </w:tc>
        <w:tc>
          <w:tcPr>
            <w:tcW w:w="1986" w:type="dxa"/>
            <w:vMerge w:val="restart"/>
            <w:shd w:val="clear" w:color="auto" w:fill="365F92"/>
          </w:tcPr>
          <w:p>
            <w:pPr>
              <w:pStyle w:val="TableParagraph"/>
              <w:spacing w:before="230"/>
              <w:ind w:left="265"/>
              <w:rPr>
                <w:b/>
                <w:sz w:val="22"/>
              </w:rPr>
            </w:pPr>
            <w:r>
              <w:rPr>
                <w:b/>
                <w:color w:val="FFFFFF"/>
                <w:sz w:val="22"/>
              </w:rPr>
              <w:t>Periodo</w:t>
            </w:r>
            <w:r>
              <w:rPr>
                <w:b/>
                <w:color w:val="FFFFFF"/>
                <w:spacing w:val="-4"/>
                <w:sz w:val="22"/>
              </w:rPr>
              <w:t> </w:t>
            </w:r>
            <w:r>
              <w:rPr>
                <w:b/>
                <w:color w:val="FFFFFF"/>
                <w:spacing w:val="-2"/>
                <w:sz w:val="22"/>
              </w:rPr>
              <w:t>Anterior</w:t>
            </w:r>
          </w:p>
        </w:tc>
        <w:tc>
          <w:tcPr>
            <w:tcW w:w="1230" w:type="dxa"/>
            <w:shd w:val="clear" w:color="auto" w:fill="365F92"/>
          </w:tcPr>
          <w:p>
            <w:pPr>
              <w:pStyle w:val="TableParagraph"/>
              <w:spacing w:before="48"/>
              <w:ind w:left="15" w:right="3"/>
              <w:jc w:val="center"/>
              <w:rPr>
                <w:b/>
                <w:sz w:val="22"/>
              </w:rPr>
            </w:pPr>
            <w:r>
              <w:rPr>
                <w:b/>
                <w:color w:val="FFFFFF"/>
                <w:spacing w:val="-2"/>
                <w:sz w:val="22"/>
              </w:rPr>
              <w:t>Diferencia</w:t>
            </w:r>
          </w:p>
        </w:tc>
      </w:tr>
      <w:tr>
        <w:trPr>
          <w:trHeight w:val="347" w:hRule="atLeast"/>
        </w:trPr>
        <w:tc>
          <w:tcPr>
            <w:tcW w:w="1070" w:type="dxa"/>
            <w:vMerge/>
            <w:tcBorders>
              <w:top w:val="nil"/>
            </w:tcBorders>
            <w:shd w:val="clear" w:color="auto" w:fill="365F92"/>
          </w:tcPr>
          <w:p>
            <w:pPr>
              <w:rPr>
                <w:sz w:val="2"/>
                <w:szCs w:val="2"/>
              </w:rPr>
            </w:pPr>
          </w:p>
        </w:tc>
        <w:tc>
          <w:tcPr>
            <w:tcW w:w="2355"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986" w:type="dxa"/>
            <w:vMerge/>
            <w:tcBorders>
              <w:top w:val="nil"/>
            </w:tcBorders>
            <w:shd w:val="clear" w:color="auto" w:fill="365F92"/>
          </w:tcPr>
          <w:p>
            <w:pPr>
              <w:rPr>
                <w:sz w:val="2"/>
                <w:szCs w:val="2"/>
              </w:rPr>
            </w:pPr>
          </w:p>
        </w:tc>
        <w:tc>
          <w:tcPr>
            <w:tcW w:w="1230" w:type="dxa"/>
            <w:shd w:val="clear" w:color="auto" w:fill="365F92"/>
          </w:tcPr>
          <w:p>
            <w:pPr>
              <w:pStyle w:val="TableParagraph"/>
              <w:spacing w:before="48"/>
              <w:ind w:left="15"/>
              <w:jc w:val="center"/>
              <w:rPr>
                <w:sz w:val="22"/>
              </w:rPr>
            </w:pPr>
            <w:r>
              <w:rPr>
                <w:color w:val="FFFFFF"/>
                <w:spacing w:val="-10"/>
                <w:sz w:val="22"/>
              </w:rPr>
              <w:t>%</w:t>
            </w:r>
          </w:p>
        </w:tc>
      </w:tr>
      <w:tr>
        <w:trPr>
          <w:trHeight w:val="347" w:hRule="atLeast"/>
        </w:trPr>
        <w:tc>
          <w:tcPr>
            <w:tcW w:w="1070" w:type="dxa"/>
          </w:tcPr>
          <w:p>
            <w:pPr>
              <w:pStyle w:val="TableParagraph"/>
              <w:spacing w:before="58"/>
              <w:ind w:left="69"/>
              <w:rPr>
                <w:b/>
                <w:sz w:val="20"/>
              </w:rPr>
            </w:pPr>
            <w:r>
              <w:rPr>
                <w:b/>
                <w:spacing w:val="-2"/>
                <w:sz w:val="20"/>
              </w:rPr>
              <w:t>2.1.3.99.</w:t>
            </w:r>
          </w:p>
        </w:tc>
        <w:tc>
          <w:tcPr>
            <w:tcW w:w="2355" w:type="dxa"/>
          </w:tcPr>
          <w:p>
            <w:pPr>
              <w:pStyle w:val="TableParagraph"/>
              <w:spacing w:before="58"/>
              <w:ind w:left="69"/>
              <w:rPr>
                <w:b/>
                <w:sz w:val="20"/>
              </w:rPr>
            </w:pPr>
            <w:r>
              <w:rPr>
                <w:b/>
                <w:sz w:val="20"/>
              </w:rPr>
              <w:t>Otros</w:t>
            </w:r>
            <w:r>
              <w:rPr>
                <w:b/>
                <w:spacing w:val="-4"/>
                <w:sz w:val="20"/>
              </w:rPr>
              <w:t> </w:t>
            </w:r>
            <w:r>
              <w:rPr>
                <w:b/>
                <w:sz w:val="20"/>
              </w:rPr>
              <w:t>fondos</w:t>
            </w:r>
            <w:r>
              <w:rPr>
                <w:b/>
                <w:spacing w:val="-4"/>
                <w:sz w:val="20"/>
              </w:rPr>
              <w:t> </w:t>
            </w:r>
            <w:r>
              <w:rPr>
                <w:b/>
                <w:sz w:val="20"/>
              </w:rPr>
              <w:t>de</w:t>
            </w:r>
            <w:r>
              <w:rPr>
                <w:b/>
                <w:spacing w:val="-4"/>
                <w:sz w:val="20"/>
              </w:rPr>
              <w:t> </w:t>
            </w:r>
            <w:r>
              <w:rPr>
                <w:b/>
                <w:spacing w:val="-2"/>
                <w:sz w:val="20"/>
              </w:rPr>
              <w:t>terceros</w:t>
            </w:r>
          </w:p>
        </w:tc>
        <w:tc>
          <w:tcPr>
            <w:tcW w:w="572" w:type="dxa"/>
          </w:tcPr>
          <w:p>
            <w:pPr>
              <w:pStyle w:val="TableParagraph"/>
              <w:spacing w:before="58"/>
              <w:ind w:left="187"/>
              <w:rPr>
                <w:b/>
                <w:sz w:val="20"/>
              </w:rPr>
            </w:pPr>
            <w:r>
              <w:rPr>
                <w:b/>
                <w:spacing w:val="-5"/>
                <w:sz w:val="20"/>
              </w:rPr>
              <w:t>16</w:t>
            </w:r>
          </w:p>
        </w:tc>
        <w:tc>
          <w:tcPr>
            <w:tcW w:w="1844" w:type="dxa"/>
          </w:tcPr>
          <w:p>
            <w:pPr>
              <w:pStyle w:val="TableParagraph"/>
              <w:spacing w:before="58"/>
              <w:ind w:left="527"/>
              <w:rPr>
                <w:b/>
                <w:sz w:val="20"/>
              </w:rPr>
            </w:pPr>
            <w:r>
              <w:rPr>
                <w:b/>
                <w:sz w:val="20"/>
              </w:rPr>
              <w:t>33</w:t>
            </w:r>
            <w:r>
              <w:rPr>
                <w:b/>
                <w:spacing w:val="-2"/>
                <w:sz w:val="20"/>
              </w:rPr>
              <w:t> 313,63</w:t>
            </w:r>
          </w:p>
        </w:tc>
        <w:tc>
          <w:tcPr>
            <w:tcW w:w="1986" w:type="dxa"/>
          </w:tcPr>
          <w:p>
            <w:pPr>
              <w:pStyle w:val="TableParagraph"/>
              <w:spacing w:before="58"/>
              <w:ind w:left="596"/>
              <w:rPr>
                <w:b/>
                <w:sz w:val="20"/>
              </w:rPr>
            </w:pPr>
            <w:r>
              <w:rPr>
                <w:b/>
                <w:sz w:val="20"/>
              </w:rPr>
              <w:t>32</w:t>
            </w:r>
            <w:r>
              <w:rPr>
                <w:b/>
                <w:spacing w:val="-2"/>
                <w:sz w:val="20"/>
              </w:rPr>
              <w:t> 648,45</w:t>
            </w:r>
          </w:p>
        </w:tc>
        <w:tc>
          <w:tcPr>
            <w:tcW w:w="1230" w:type="dxa"/>
          </w:tcPr>
          <w:p>
            <w:pPr>
              <w:pStyle w:val="TableParagraph"/>
              <w:spacing w:before="58"/>
              <w:ind w:left="15" w:right="2"/>
              <w:jc w:val="center"/>
              <w:rPr>
                <w:b/>
                <w:sz w:val="20"/>
              </w:rPr>
            </w:pPr>
            <w:r>
              <w:rPr>
                <w:b/>
                <w:spacing w:val="-2"/>
                <w:sz w:val="20"/>
              </w:rPr>
              <w:t>2,04%</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88736">
                <wp:simplePos x="0" y="0"/>
                <wp:positionH relativeFrom="page">
                  <wp:posOffset>9525</wp:posOffset>
                </wp:positionH>
                <wp:positionV relativeFrom="page">
                  <wp:posOffset>297208</wp:posOffset>
                </wp:positionV>
                <wp:extent cx="7762875" cy="9748520"/>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7762875" cy="9748520"/>
                          <a:chExt cx="7762875" cy="9748520"/>
                        </a:xfrm>
                      </wpg:grpSpPr>
                      <pic:pic>
                        <pic:nvPicPr>
                          <pic:cNvPr id="390" name="Image 390"/>
                          <pic:cNvPicPr/>
                        </pic:nvPicPr>
                        <pic:blipFill>
                          <a:blip r:embed="rId5" cstate="print"/>
                          <a:stretch>
                            <a:fillRect/>
                          </a:stretch>
                        </pic:blipFill>
                        <pic:spPr>
                          <a:xfrm>
                            <a:off x="0" y="0"/>
                            <a:ext cx="7762874" cy="9748489"/>
                          </a:xfrm>
                          <a:prstGeom prst="rect">
                            <a:avLst/>
                          </a:prstGeom>
                        </pic:spPr>
                      </pic:pic>
                      <wps:wsp>
                        <wps:cNvPr id="391" name="Graphic 391"/>
                        <wps:cNvSpPr/>
                        <wps:spPr>
                          <a:xfrm>
                            <a:off x="1053007" y="990837"/>
                            <a:ext cx="5920740" cy="1962150"/>
                          </a:xfrm>
                          <a:custGeom>
                            <a:avLst/>
                            <a:gdLst/>
                            <a:ahLst/>
                            <a:cxnLst/>
                            <a:rect l="l" t="t" r="r" b="b"/>
                            <a:pathLst>
                              <a:path w="5920740" h="1962150">
                                <a:moveTo>
                                  <a:pt x="5649214" y="0"/>
                                </a:moveTo>
                                <a:lnTo>
                                  <a:pt x="0" y="0"/>
                                </a:lnTo>
                                <a:lnTo>
                                  <a:pt x="0" y="9131"/>
                                </a:lnTo>
                                <a:lnTo>
                                  <a:pt x="5649214" y="9131"/>
                                </a:lnTo>
                                <a:lnTo>
                                  <a:pt x="5649214" y="0"/>
                                </a:lnTo>
                                <a:close/>
                              </a:path>
                              <a:path w="5920740" h="1962150">
                                <a:moveTo>
                                  <a:pt x="5920435" y="132702"/>
                                </a:moveTo>
                                <a:lnTo>
                                  <a:pt x="5914339" y="132702"/>
                                </a:lnTo>
                                <a:lnTo>
                                  <a:pt x="5914339" y="1955660"/>
                                </a:lnTo>
                                <a:lnTo>
                                  <a:pt x="21336" y="1955660"/>
                                </a:lnTo>
                                <a:lnTo>
                                  <a:pt x="21336" y="132702"/>
                                </a:lnTo>
                                <a:lnTo>
                                  <a:pt x="15240" y="132702"/>
                                </a:lnTo>
                                <a:lnTo>
                                  <a:pt x="15240" y="1955660"/>
                                </a:lnTo>
                                <a:lnTo>
                                  <a:pt x="15240" y="1961756"/>
                                </a:lnTo>
                                <a:lnTo>
                                  <a:pt x="21336" y="1961756"/>
                                </a:lnTo>
                                <a:lnTo>
                                  <a:pt x="5914339" y="1961756"/>
                                </a:lnTo>
                                <a:lnTo>
                                  <a:pt x="5920435" y="1961756"/>
                                </a:lnTo>
                                <a:lnTo>
                                  <a:pt x="5920435" y="1955660"/>
                                </a:lnTo>
                                <a:lnTo>
                                  <a:pt x="5920435" y="132702"/>
                                </a:lnTo>
                                <a:close/>
                              </a:path>
                              <a:path w="5920740" h="1962150">
                                <a:moveTo>
                                  <a:pt x="5920435" y="126479"/>
                                </a:moveTo>
                                <a:lnTo>
                                  <a:pt x="5914390" y="126479"/>
                                </a:lnTo>
                                <a:lnTo>
                                  <a:pt x="21336" y="126479"/>
                                </a:lnTo>
                                <a:lnTo>
                                  <a:pt x="15240" y="126479"/>
                                </a:lnTo>
                                <a:lnTo>
                                  <a:pt x="15240" y="132575"/>
                                </a:lnTo>
                                <a:lnTo>
                                  <a:pt x="21336" y="132575"/>
                                </a:lnTo>
                                <a:lnTo>
                                  <a:pt x="5914339" y="132575"/>
                                </a:lnTo>
                                <a:lnTo>
                                  <a:pt x="5920435" y="132575"/>
                                </a:lnTo>
                                <a:lnTo>
                                  <a:pt x="5920435"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7744" id="docshapegroup368" coordorigin="15,468" coordsize="12225,15352">
                <v:shape style="position:absolute;left:15;top:468;width:12225;height:15352" type="#_x0000_t75" id="docshape369" stroked="false">
                  <v:imagedata r:id="rId5" o:title=""/>
                </v:shape>
                <v:shape style="position:absolute;left:1673;top:2028;width:9324;height:3090" id="docshape370" coordorigin="1673,2028" coordsize="9324,3090" path="m10570,2028l1673,2028,1673,2043,10570,2043,10570,2028xm10997,2237l10987,2237,10987,5108,1707,5108,1707,2237,1697,2237,1697,5108,1697,5118,1707,5118,10987,5118,10987,5118,10997,5118,10997,5108,10997,2237xm10997,2228l10987,2228,10987,2228,1707,2228,1697,2228,1697,2237,1707,2237,10987,2237,10987,2237,10997,2237,10997,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79</w:t>
      </w:r>
    </w:p>
    <w:p>
      <w:pPr>
        <w:pStyle w:val="BodyText"/>
        <w:spacing w:before="227"/>
        <w:ind w:left="730"/>
      </w:pPr>
      <w:r>
        <w:rPr/>
        <w:t>En</w:t>
      </w:r>
      <w:r>
        <w:rPr>
          <w:spacing w:val="-4"/>
        </w:rPr>
        <w:t> </w:t>
      </w:r>
      <w:r>
        <w:rPr/>
        <w:t>cuanto</w:t>
      </w:r>
      <w:r>
        <w:rPr>
          <w:spacing w:val="-1"/>
        </w:rPr>
        <w:t> </w:t>
      </w:r>
      <w:r>
        <w:rPr/>
        <w:t>la</w:t>
      </w:r>
      <w:r>
        <w:rPr>
          <w:spacing w:val="-4"/>
        </w:rPr>
        <w:t> </w:t>
      </w:r>
      <w:r>
        <w:rPr/>
        <w:t>cuenta</w:t>
      </w:r>
      <w:r>
        <w:rPr>
          <w:spacing w:val="-2"/>
        </w:rPr>
        <w:t> </w:t>
      </w:r>
      <w:r>
        <w:rPr/>
        <w:t>Fondos</w:t>
      </w:r>
      <w:r>
        <w:rPr>
          <w:spacing w:val="-4"/>
        </w:rPr>
        <w:t> </w:t>
      </w:r>
      <w:r>
        <w:rPr/>
        <w:t>de</w:t>
      </w:r>
      <w:r>
        <w:rPr>
          <w:spacing w:val="-4"/>
        </w:rPr>
        <w:t> </w:t>
      </w:r>
      <w:r>
        <w:rPr/>
        <w:t>terceros al</w:t>
      </w:r>
      <w:r>
        <w:rPr>
          <w:spacing w:val="-2"/>
        </w:rPr>
        <w:t> </w:t>
      </w:r>
      <w:r>
        <w:rPr/>
        <w:t>31</w:t>
      </w:r>
      <w:r>
        <w:rPr>
          <w:spacing w:val="-2"/>
        </w:rPr>
        <w:t> </w:t>
      </w:r>
      <w:r>
        <w:rPr/>
        <w:t>de</w:t>
      </w:r>
      <w:r>
        <w:rPr>
          <w:spacing w:val="-3"/>
        </w:rPr>
        <w:t> </w:t>
      </w:r>
      <w:r>
        <w:rPr/>
        <w:t>julio</w:t>
      </w:r>
      <w:r>
        <w:rPr>
          <w:spacing w:val="-2"/>
        </w:rPr>
        <w:t> </w:t>
      </w:r>
      <w:r>
        <w:rPr/>
        <w:t>2026</w:t>
      </w:r>
      <w:r>
        <w:rPr>
          <w:spacing w:val="-4"/>
        </w:rPr>
        <w:t> </w:t>
      </w:r>
      <w:r>
        <w:rPr/>
        <w:t>y</w:t>
      </w:r>
      <w:r>
        <w:rPr>
          <w:spacing w:val="-3"/>
        </w:rPr>
        <w:t> </w:t>
      </w:r>
      <w:r>
        <w:rPr/>
        <w:t>2025</w:t>
      </w:r>
      <w:r>
        <w:rPr>
          <w:spacing w:val="-2"/>
        </w:rPr>
        <w:t> </w:t>
      </w:r>
      <w:r>
        <w:rPr/>
        <w:t>se</w:t>
      </w:r>
      <w:r>
        <w:rPr>
          <w:spacing w:val="-3"/>
        </w:rPr>
        <w:t> </w:t>
      </w:r>
      <w:r>
        <w:rPr/>
        <w:t>compone</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before="201"/>
        <w:rPr>
          <w:sz w:val="20"/>
        </w:rPr>
      </w:pPr>
    </w:p>
    <w:tbl>
      <w:tblPr>
        <w:tblW w:w="0" w:type="auto"/>
        <w:jc w:val="left"/>
        <w:tblInd w:w="1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2"/>
        <w:gridCol w:w="3307"/>
      </w:tblGrid>
      <w:tr>
        <w:trPr>
          <w:trHeight w:val="209" w:hRule="atLeast"/>
        </w:trPr>
        <w:tc>
          <w:tcPr>
            <w:tcW w:w="4052" w:type="dxa"/>
            <w:tcBorders>
              <w:top w:val="single" w:sz="2" w:space="0" w:color="000000"/>
              <w:left w:val="single" w:sz="2" w:space="0" w:color="000000"/>
            </w:tcBorders>
          </w:tcPr>
          <w:p>
            <w:pPr>
              <w:pStyle w:val="TableParagraph"/>
              <w:rPr>
                <w:rFonts w:ascii="Times New Roman"/>
                <w:sz w:val="14"/>
              </w:rPr>
            </w:pPr>
          </w:p>
        </w:tc>
        <w:tc>
          <w:tcPr>
            <w:tcW w:w="3307" w:type="dxa"/>
            <w:tcBorders>
              <w:top w:val="single" w:sz="2" w:space="0" w:color="000000"/>
              <w:right w:val="single" w:sz="4" w:space="0" w:color="000000"/>
            </w:tcBorders>
          </w:tcPr>
          <w:p>
            <w:pPr>
              <w:pStyle w:val="TableParagraph"/>
              <w:tabs>
                <w:tab w:pos="1193" w:val="left" w:leader="none"/>
                <w:tab w:pos="1978" w:val="left" w:leader="none"/>
              </w:tabs>
              <w:spacing w:line="169" w:lineRule="exact" w:before="20"/>
              <w:ind w:right="23"/>
              <w:jc w:val="right"/>
              <w:rPr>
                <w:rFonts w:ascii="Times New Roman" w:hAnsi="Times New Roman"/>
                <w:b/>
                <w:sz w:val="15"/>
              </w:rPr>
            </w:pPr>
            <w:r>
              <w:rPr>
                <w:rFonts w:ascii="Times New Roman" w:hAnsi="Times New Roman"/>
                <w:b/>
                <w:spacing w:val="-4"/>
                <w:w w:val="105"/>
                <w:sz w:val="15"/>
                <w:u w:val="double"/>
              </w:rPr>
              <w:t>2026</w:t>
            </w:r>
            <w:r>
              <w:rPr>
                <w:rFonts w:ascii="Times New Roman" w:hAnsi="Times New Roman"/>
                <w:b/>
                <w:sz w:val="15"/>
                <w:u w:val="none"/>
              </w:rPr>
              <w:tab/>
            </w:r>
            <w:r>
              <w:rPr>
                <w:rFonts w:ascii="Times New Roman" w:hAnsi="Times New Roman"/>
                <w:b/>
                <w:spacing w:val="-4"/>
                <w:w w:val="105"/>
                <w:sz w:val="15"/>
                <w:u w:val="double"/>
              </w:rPr>
              <w:t>2025</w:t>
            </w:r>
            <w:r>
              <w:rPr>
                <w:rFonts w:ascii="Times New Roman" w:hAnsi="Times New Roman"/>
                <w:b/>
                <w:sz w:val="15"/>
                <w:u w:val="none"/>
              </w:rPr>
              <w:tab/>
            </w:r>
            <w:r>
              <w:rPr>
                <w:rFonts w:ascii="Times New Roman" w:hAnsi="Times New Roman"/>
                <w:b/>
                <w:spacing w:val="-2"/>
                <w:w w:val="105"/>
                <w:sz w:val="15"/>
                <w:u w:val="double"/>
              </w:rPr>
              <w:t>Variación</w:t>
            </w:r>
            <w:r>
              <w:rPr>
                <w:rFonts w:ascii="Times New Roman" w:hAnsi="Times New Roman"/>
                <w:b/>
                <w:spacing w:val="-1"/>
                <w:w w:val="105"/>
                <w:sz w:val="15"/>
                <w:u w:val="double"/>
              </w:rPr>
              <w:t> </w:t>
            </w:r>
            <w:r>
              <w:rPr>
                <w:rFonts w:ascii="Times New Roman" w:hAnsi="Times New Roman"/>
                <w:b/>
                <w:spacing w:val="-10"/>
                <w:w w:val="105"/>
                <w:sz w:val="15"/>
                <w:u w:val="double"/>
              </w:rPr>
              <w:t>%</w:t>
            </w:r>
          </w:p>
        </w:tc>
      </w:tr>
      <w:tr>
        <w:trPr>
          <w:trHeight w:val="216" w:hRule="atLeast"/>
        </w:trPr>
        <w:tc>
          <w:tcPr>
            <w:tcW w:w="4052" w:type="dxa"/>
            <w:tcBorders>
              <w:left w:val="single" w:sz="2" w:space="0" w:color="000000"/>
            </w:tcBorders>
          </w:tcPr>
          <w:p>
            <w:pPr>
              <w:pStyle w:val="TableParagraph"/>
              <w:spacing w:line="189" w:lineRule="exact" w:before="7"/>
              <w:ind w:left="126"/>
              <w:rPr>
                <w:rFonts w:ascii="Times New Roman"/>
                <w:b/>
                <w:sz w:val="17"/>
              </w:rPr>
            </w:pPr>
            <w:r>
              <w:rPr>
                <w:rFonts w:ascii="Times New Roman"/>
                <w:b/>
                <w:spacing w:val="-2"/>
                <w:sz w:val="17"/>
              </w:rPr>
              <w:t>Otros pasivos</w:t>
            </w:r>
          </w:p>
        </w:tc>
        <w:tc>
          <w:tcPr>
            <w:tcW w:w="3307" w:type="dxa"/>
            <w:tcBorders>
              <w:right w:val="single" w:sz="4" w:space="0" w:color="000000"/>
            </w:tcBorders>
          </w:tcPr>
          <w:p>
            <w:pPr>
              <w:pStyle w:val="TableParagraph"/>
              <w:rPr>
                <w:rFonts w:ascii="Times New Roman"/>
                <w:sz w:val="14"/>
              </w:rPr>
            </w:pPr>
          </w:p>
        </w:tc>
      </w:tr>
      <w:tr>
        <w:trPr>
          <w:trHeight w:val="216" w:hRule="atLeast"/>
        </w:trPr>
        <w:tc>
          <w:tcPr>
            <w:tcW w:w="4052" w:type="dxa"/>
            <w:tcBorders>
              <w:left w:val="single" w:sz="2" w:space="0" w:color="000000"/>
            </w:tcBorders>
          </w:tcPr>
          <w:p>
            <w:pPr>
              <w:pStyle w:val="TableParagraph"/>
              <w:spacing w:line="191" w:lineRule="exact" w:before="5"/>
              <w:ind w:left="126"/>
              <w:rPr>
                <w:rFonts w:ascii="Times New Roman"/>
                <w:sz w:val="17"/>
              </w:rPr>
            </w:pPr>
            <w:r>
              <w:rPr>
                <w:rFonts w:ascii="Times New Roman"/>
                <w:spacing w:val="-2"/>
                <w:sz w:val="17"/>
              </w:rPr>
              <w:t>Otros</w:t>
            </w:r>
            <w:r>
              <w:rPr>
                <w:rFonts w:ascii="Times New Roman"/>
                <w:spacing w:val="-5"/>
                <w:sz w:val="17"/>
              </w:rPr>
              <w:t> </w:t>
            </w:r>
            <w:r>
              <w:rPr>
                <w:rFonts w:ascii="Times New Roman"/>
                <w:spacing w:val="-2"/>
                <w:sz w:val="17"/>
              </w:rPr>
              <w:t>fondos</w:t>
            </w:r>
            <w:r>
              <w:rPr>
                <w:rFonts w:ascii="Times New Roman"/>
                <w:spacing w:val="-5"/>
                <w:sz w:val="17"/>
              </w:rPr>
              <w:t> </w:t>
            </w:r>
            <w:r>
              <w:rPr>
                <w:rFonts w:ascii="Times New Roman"/>
                <w:spacing w:val="-2"/>
                <w:sz w:val="17"/>
              </w:rPr>
              <w:t>sector</w:t>
            </w:r>
            <w:r>
              <w:rPr>
                <w:rFonts w:ascii="Times New Roman"/>
                <w:spacing w:val="-7"/>
                <w:sz w:val="17"/>
              </w:rPr>
              <w:t> </w:t>
            </w:r>
            <w:r>
              <w:rPr>
                <w:rFonts w:ascii="Times New Roman"/>
                <w:spacing w:val="-2"/>
                <w:sz w:val="17"/>
              </w:rPr>
              <w:t>privado</w:t>
            </w:r>
          </w:p>
        </w:tc>
        <w:tc>
          <w:tcPr>
            <w:tcW w:w="3307" w:type="dxa"/>
            <w:tcBorders>
              <w:right w:val="single" w:sz="4" w:space="0" w:color="000000"/>
            </w:tcBorders>
          </w:tcPr>
          <w:p>
            <w:pPr>
              <w:pStyle w:val="TableParagraph"/>
              <w:tabs>
                <w:tab w:pos="1202" w:val="left" w:leader="none"/>
                <w:tab w:pos="2366" w:val="left" w:leader="none"/>
              </w:tabs>
              <w:spacing w:line="191" w:lineRule="exact" w:before="5"/>
              <w:ind w:right="8"/>
              <w:jc w:val="right"/>
              <w:rPr>
                <w:rFonts w:ascii="Calibri"/>
                <w:sz w:val="15"/>
              </w:rPr>
            </w:pPr>
            <w:r>
              <w:rPr>
                <w:rFonts w:ascii="Times New Roman"/>
                <w:sz w:val="17"/>
              </w:rPr>
              <w:t>6</w:t>
            </w:r>
            <w:r>
              <w:rPr>
                <w:rFonts w:ascii="Times New Roman"/>
                <w:spacing w:val="-2"/>
                <w:sz w:val="17"/>
              </w:rPr>
              <w:t> 008,53</w:t>
            </w:r>
            <w:r>
              <w:rPr>
                <w:rFonts w:ascii="Times New Roman"/>
                <w:sz w:val="17"/>
              </w:rPr>
              <w:tab/>
              <w:t>5</w:t>
            </w:r>
            <w:r>
              <w:rPr>
                <w:rFonts w:ascii="Times New Roman"/>
                <w:spacing w:val="-2"/>
                <w:sz w:val="17"/>
              </w:rPr>
              <w:t> 798,71</w:t>
            </w:r>
            <w:r>
              <w:rPr>
                <w:rFonts w:ascii="Times New Roman"/>
                <w:sz w:val="17"/>
              </w:rPr>
              <w:tab/>
            </w:r>
            <w:r>
              <w:rPr>
                <w:rFonts w:ascii="Calibri"/>
                <w:spacing w:val="-2"/>
                <w:sz w:val="15"/>
              </w:rPr>
              <w:t>3,62%</w:t>
            </w:r>
          </w:p>
        </w:tc>
      </w:tr>
      <w:tr>
        <w:trPr>
          <w:trHeight w:val="419" w:hRule="atLeast"/>
        </w:trPr>
        <w:tc>
          <w:tcPr>
            <w:tcW w:w="4052" w:type="dxa"/>
            <w:tcBorders>
              <w:left w:val="single" w:sz="2" w:space="0" w:color="000000"/>
            </w:tcBorders>
          </w:tcPr>
          <w:p>
            <w:pPr>
              <w:pStyle w:val="TableParagraph"/>
              <w:spacing w:before="4"/>
              <w:ind w:left="126"/>
              <w:rPr>
                <w:rFonts w:ascii="Times New Roman"/>
                <w:sz w:val="17"/>
              </w:rPr>
            </w:pPr>
            <w:r>
              <w:rPr>
                <w:rFonts w:ascii="Times New Roman"/>
                <w:sz w:val="17"/>
              </w:rPr>
              <w:t>Otras</w:t>
            </w:r>
            <w:r>
              <w:rPr>
                <w:rFonts w:ascii="Times New Roman"/>
                <w:spacing w:val="-6"/>
                <w:sz w:val="17"/>
              </w:rPr>
              <w:t> </w:t>
            </w:r>
            <w:r>
              <w:rPr>
                <w:rFonts w:ascii="Times New Roman"/>
                <w:sz w:val="17"/>
              </w:rPr>
              <w:t>deudas</w:t>
            </w:r>
            <w:r>
              <w:rPr>
                <w:rFonts w:ascii="Times New Roman"/>
                <w:spacing w:val="-5"/>
                <w:sz w:val="17"/>
              </w:rPr>
              <w:t> </w:t>
            </w:r>
            <w:r>
              <w:rPr>
                <w:rFonts w:ascii="Times New Roman"/>
                <w:sz w:val="17"/>
              </w:rPr>
              <w:t>a</w:t>
            </w:r>
            <w:r>
              <w:rPr>
                <w:rFonts w:ascii="Times New Roman"/>
                <w:spacing w:val="-6"/>
                <w:sz w:val="17"/>
              </w:rPr>
              <w:t> </w:t>
            </w:r>
            <w:r>
              <w:rPr>
                <w:rFonts w:ascii="Times New Roman"/>
                <w:spacing w:val="-2"/>
                <w:sz w:val="17"/>
              </w:rPr>
              <w:t>terceros</w:t>
            </w:r>
          </w:p>
        </w:tc>
        <w:tc>
          <w:tcPr>
            <w:tcW w:w="3307" w:type="dxa"/>
            <w:tcBorders>
              <w:bottom w:val="single" w:sz="2" w:space="0" w:color="000000"/>
              <w:right w:val="single" w:sz="4" w:space="0" w:color="000000"/>
            </w:tcBorders>
          </w:tcPr>
          <w:p>
            <w:pPr>
              <w:pStyle w:val="TableParagraph"/>
              <w:tabs>
                <w:tab w:pos="1202" w:val="left" w:leader="none"/>
                <w:tab w:pos="2451" w:val="left" w:leader="none"/>
              </w:tabs>
              <w:spacing w:before="4"/>
              <w:ind w:right="8"/>
              <w:jc w:val="right"/>
              <w:rPr>
                <w:rFonts w:ascii="Calibri"/>
                <w:sz w:val="15"/>
              </w:rPr>
            </w:pPr>
            <w:r>
              <w:rPr>
                <w:rFonts w:ascii="Times New Roman"/>
                <w:sz w:val="17"/>
              </w:rPr>
              <w:t>27</w:t>
            </w:r>
            <w:r>
              <w:rPr>
                <w:rFonts w:ascii="Times New Roman"/>
                <w:spacing w:val="-4"/>
                <w:sz w:val="17"/>
              </w:rPr>
              <w:t> </w:t>
            </w:r>
            <w:r>
              <w:rPr>
                <w:rFonts w:ascii="Times New Roman"/>
                <w:spacing w:val="-2"/>
                <w:sz w:val="17"/>
              </w:rPr>
              <w:t>305,10</w:t>
            </w:r>
            <w:r>
              <w:rPr>
                <w:rFonts w:ascii="Times New Roman"/>
                <w:sz w:val="17"/>
              </w:rPr>
              <w:tab/>
              <w:t>26</w:t>
            </w:r>
            <w:r>
              <w:rPr>
                <w:rFonts w:ascii="Times New Roman"/>
                <w:spacing w:val="-4"/>
                <w:sz w:val="17"/>
              </w:rPr>
              <w:t> </w:t>
            </w:r>
            <w:r>
              <w:rPr>
                <w:rFonts w:ascii="Times New Roman"/>
                <w:spacing w:val="-2"/>
                <w:sz w:val="17"/>
              </w:rPr>
              <w:t>849,74</w:t>
            </w:r>
            <w:r>
              <w:rPr>
                <w:rFonts w:ascii="Times New Roman"/>
                <w:sz w:val="17"/>
              </w:rPr>
              <w:tab/>
            </w:r>
            <w:r>
              <w:rPr>
                <w:rFonts w:ascii="Calibri"/>
                <w:spacing w:val="-2"/>
                <w:sz w:val="15"/>
              </w:rPr>
              <w:t>1,70%</w:t>
            </w:r>
          </w:p>
        </w:tc>
      </w:tr>
      <w:tr>
        <w:trPr>
          <w:trHeight w:val="205" w:hRule="atLeast"/>
        </w:trPr>
        <w:tc>
          <w:tcPr>
            <w:tcW w:w="4052" w:type="dxa"/>
            <w:tcBorders>
              <w:left w:val="single" w:sz="2" w:space="0" w:color="000000"/>
              <w:bottom w:val="single" w:sz="4" w:space="0" w:color="000000"/>
            </w:tcBorders>
          </w:tcPr>
          <w:p>
            <w:pPr>
              <w:pStyle w:val="TableParagraph"/>
              <w:spacing w:line="161" w:lineRule="exact" w:before="24"/>
              <w:ind w:left="8"/>
              <w:jc w:val="center"/>
              <w:rPr>
                <w:rFonts w:ascii="Times New Roman"/>
                <w:b/>
                <w:sz w:val="15"/>
              </w:rPr>
            </w:pPr>
            <w:r>
              <w:rPr>
                <w:rFonts w:ascii="Times New Roman"/>
                <w:b/>
                <w:spacing w:val="-2"/>
                <w:w w:val="105"/>
                <w:sz w:val="15"/>
              </w:rPr>
              <w:t>Total</w:t>
            </w:r>
          </w:p>
        </w:tc>
        <w:tc>
          <w:tcPr>
            <w:tcW w:w="3307" w:type="dxa"/>
            <w:tcBorders>
              <w:top w:val="single" w:sz="2" w:space="0" w:color="000000"/>
              <w:bottom w:val="single" w:sz="4" w:space="0" w:color="000000"/>
              <w:right w:val="single" w:sz="4" w:space="0" w:color="000000"/>
            </w:tcBorders>
          </w:tcPr>
          <w:p>
            <w:pPr>
              <w:pStyle w:val="TableParagraph"/>
              <w:tabs>
                <w:tab w:pos="421" w:val="left" w:leader="none"/>
                <w:tab w:pos="1623" w:val="left" w:leader="none"/>
                <w:tab w:pos="2792" w:val="left" w:leader="none"/>
              </w:tabs>
              <w:spacing w:line="176" w:lineRule="exact" w:before="9"/>
              <w:ind w:right="13"/>
              <w:jc w:val="right"/>
              <w:rPr>
                <w:rFonts w:ascii="Times New Roman"/>
                <w:b/>
                <w:sz w:val="17"/>
              </w:rPr>
            </w:pPr>
            <w:r>
              <w:rPr>
                <w:rFonts w:ascii="Times New Roman"/>
                <w:b/>
                <w:sz w:val="17"/>
                <w:u w:val="single"/>
              </w:rPr>
              <w:tab/>
              <w:t>33</w:t>
            </w:r>
            <w:r>
              <w:rPr>
                <w:rFonts w:ascii="Times New Roman"/>
                <w:b/>
                <w:spacing w:val="-4"/>
                <w:sz w:val="17"/>
                <w:u w:val="single"/>
              </w:rPr>
              <w:t> </w:t>
            </w:r>
            <w:r>
              <w:rPr>
                <w:rFonts w:ascii="Times New Roman"/>
                <w:b/>
                <w:spacing w:val="-2"/>
                <w:sz w:val="17"/>
                <w:u w:val="single"/>
              </w:rPr>
              <w:t>313,63</w:t>
            </w:r>
            <w:r>
              <w:rPr>
                <w:rFonts w:ascii="Times New Roman"/>
                <w:b/>
                <w:sz w:val="17"/>
                <w:u w:val="single"/>
              </w:rPr>
              <w:tab/>
              <w:t>32</w:t>
            </w:r>
            <w:r>
              <w:rPr>
                <w:rFonts w:ascii="Times New Roman"/>
                <w:b/>
                <w:spacing w:val="-2"/>
                <w:sz w:val="17"/>
                <w:u w:val="single"/>
              </w:rPr>
              <w:t> </w:t>
            </w:r>
            <w:r>
              <w:rPr>
                <w:rFonts w:ascii="Times New Roman"/>
                <w:b/>
                <w:sz w:val="17"/>
                <w:u w:val="single"/>
              </w:rPr>
              <w:t>648,45</w:t>
            </w:r>
            <w:r>
              <w:rPr>
                <w:rFonts w:ascii="Times New Roman"/>
                <w:b/>
                <w:spacing w:val="-2"/>
                <w:sz w:val="17"/>
                <w:u w:val="single"/>
              </w:rPr>
              <w:t> </w:t>
            </w:r>
            <w:r>
              <w:rPr>
                <w:rFonts w:ascii="Times New Roman"/>
                <w:b/>
                <w:sz w:val="17"/>
                <w:u w:val="none"/>
              </w:rPr>
              <w:tab/>
            </w:r>
            <w:r>
              <w:rPr>
                <w:rFonts w:ascii="Times New Roman"/>
                <w:b/>
                <w:spacing w:val="-4"/>
                <w:sz w:val="17"/>
                <w:u w:val="single"/>
              </w:rPr>
              <w:t>2,04%</w:t>
            </w:r>
          </w:p>
        </w:tc>
      </w:tr>
    </w:tbl>
    <w:p>
      <w:pPr>
        <w:pStyle w:val="BodyText"/>
        <w:spacing w:line="276" w:lineRule="auto" w:before="188"/>
        <w:ind w:left="730" w:right="546"/>
      </w:pPr>
      <w:r>
        <w:rPr/>
        <w:t>Las</w:t>
      </w:r>
      <w:r>
        <w:rPr>
          <w:spacing w:val="-14"/>
        </w:rPr>
        <w:t> </w:t>
      </w:r>
      <w:r>
        <w:rPr/>
        <w:t>variaciones</w:t>
      </w:r>
      <w:r>
        <w:rPr>
          <w:spacing w:val="-14"/>
        </w:rPr>
        <w:t> </w:t>
      </w:r>
      <w:r>
        <w:rPr/>
        <w:t>en</w:t>
      </w:r>
      <w:r>
        <w:rPr>
          <w:spacing w:val="-13"/>
        </w:rPr>
        <w:t> </w:t>
      </w:r>
      <w:r>
        <w:rPr/>
        <w:t>la</w:t>
      </w:r>
      <w:r>
        <w:rPr>
          <w:spacing w:val="-14"/>
        </w:rPr>
        <w:t> </w:t>
      </w:r>
      <w:r>
        <w:rPr/>
        <w:t>cuenta</w:t>
      </w:r>
      <w:r>
        <w:rPr>
          <w:spacing w:val="-14"/>
        </w:rPr>
        <w:t> </w:t>
      </w:r>
      <w:r>
        <w:rPr/>
        <w:t>otros</w:t>
      </w:r>
      <w:r>
        <w:rPr>
          <w:spacing w:val="-13"/>
        </w:rPr>
        <w:t> </w:t>
      </w:r>
      <w:r>
        <w:rPr/>
        <w:t>fondos</w:t>
      </w:r>
      <w:r>
        <w:rPr>
          <w:spacing w:val="-13"/>
        </w:rPr>
        <w:t> </w:t>
      </w:r>
      <w:r>
        <w:rPr/>
        <w:t>del</w:t>
      </w:r>
      <w:r>
        <w:rPr>
          <w:spacing w:val="-14"/>
        </w:rPr>
        <w:t> </w:t>
      </w:r>
      <w:r>
        <w:rPr/>
        <w:t>sector</w:t>
      </w:r>
      <w:r>
        <w:rPr>
          <w:spacing w:val="-13"/>
        </w:rPr>
        <w:t> </w:t>
      </w:r>
      <w:r>
        <w:rPr/>
        <w:t>privado</w:t>
      </w:r>
      <w:r>
        <w:rPr>
          <w:spacing w:val="-14"/>
        </w:rPr>
        <w:t> </w:t>
      </w:r>
      <w:r>
        <w:rPr/>
        <w:t>presentan</w:t>
      </w:r>
      <w:r>
        <w:rPr>
          <w:spacing w:val="-12"/>
        </w:rPr>
        <w:t> </w:t>
      </w:r>
      <w:r>
        <w:rPr/>
        <w:t>un</w:t>
      </w:r>
      <w:r>
        <w:rPr>
          <w:spacing w:val="-14"/>
        </w:rPr>
        <w:t> </w:t>
      </w:r>
      <w:r>
        <w:rPr/>
        <w:t>aumento</w:t>
      </w:r>
      <w:r>
        <w:rPr>
          <w:spacing w:val="-13"/>
        </w:rPr>
        <w:t> </w:t>
      </w:r>
      <w:r>
        <w:rPr/>
        <w:t>del</w:t>
      </w:r>
      <w:r>
        <w:rPr>
          <w:spacing w:val="-14"/>
        </w:rPr>
        <w:t> </w:t>
      </w:r>
      <w:r>
        <w:rPr/>
        <w:t>2,04%</w:t>
      </w:r>
      <w:r>
        <w:rPr>
          <w:spacing w:val="-13"/>
        </w:rPr>
        <w:t> </w:t>
      </w:r>
      <w:r>
        <w:rPr/>
        <w:t>con</w:t>
      </w:r>
      <w:r>
        <w:rPr>
          <w:spacing w:val="-14"/>
        </w:rPr>
        <w:t> </w:t>
      </w:r>
      <w:r>
        <w:rPr/>
        <w:t>respecto al</w:t>
      </w:r>
      <w:r>
        <w:rPr>
          <w:spacing w:val="-11"/>
        </w:rPr>
        <w:t> </w:t>
      </w:r>
      <w:r>
        <w:rPr/>
        <w:t>año</w:t>
      </w:r>
      <w:r>
        <w:rPr>
          <w:spacing w:val="-7"/>
        </w:rPr>
        <w:t> </w:t>
      </w:r>
      <w:r>
        <w:rPr/>
        <w:t>anterior,</w:t>
      </w:r>
      <w:r>
        <w:rPr>
          <w:spacing w:val="-8"/>
        </w:rPr>
        <w:t> </w:t>
      </w:r>
      <w:r>
        <w:rPr/>
        <w:t>producto</w:t>
      </w:r>
      <w:r>
        <w:rPr>
          <w:spacing w:val="-5"/>
        </w:rPr>
        <w:t> </w:t>
      </w:r>
      <w:r>
        <w:rPr/>
        <w:t>del</w:t>
      </w:r>
      <w:r>
        <w:rPr>
          <w:spacing w:val="-9"/>
        </w:rPr>
        <w:t> </w:t>
      </w:r>
      <w:r>
        <w:rPr/>
        <w:t>aumento</w:t>
      </w:r>
      <w:r>
        <w:rPr>
          <w:spacing w:val="-7"/>
        </w:rPr>
        <w:t> </w:t>
      </w:r>
      <w:r>
        <w:rPr/>
        <w:t>de</w:t>
      </w:r>
      <w:r>
        <w:rPr>
          <w:spacing w:val="-10"/>
        </w:rPr>
        <w:t> </w:t>
      </w:r>
      <w:r>
        <w:rPr/>
        <w:t>cuentas</w:t>
      </w:r>
      <w:r>
        <w:rPr>
          <w:spacing w:val="-7"/>
        </w:rPr>
        <w:t> </w:t>
      </w:r>
      <w:r>
        <w:rPr/>
        <w:t>por</w:t>
      </w:r>
      <w:r>
        <w:rPr>
          <w:spacing w:val="-7"/>
        </w:rPr>
        <w:t> </w:t>
      </w:r>
      <w:r>
        <w:rPr/>
        <w:t>pagar</w:t>
      </w:r>
      <w:r>
        <w:rPr>
          <w:spacing w:val="-9"/>
        </w:rPr>
        <w:t> </w:t>
      </w:r>
      <w:r>
        <w:rPr/>
        <w:t>a</w:t>
      </w:r>
      <w:r>
        <w:rPr>
          <w:spacing w:val="-9"/>
        </w:rPr>
        <w:t> </w:t>
      </w:r>
      <w:r>
        <w:rPr/>
        <w:t>sector</w:t>
      </w:r>
      <w:r>
        <w:rPr>
          <w:spacing w:val="-7"/>
        </w:rPr>
        <w:t> </w:t>
      </w:r>
      <w:r>
        <w:rPr/>
        <w:t>privado</w:t>
      </w:r>
      <w:r>
        <w:rPr>
          <w:spacing w:val="-7"/>
        </w:rPr>
        <w:t> </w:t>
      </w:r>
      <w:r>
        <w:rPr/>
        <w:t>comparando</w:t>
      </w:r>
      <w:r>
        <w:rPr>
          <w:spacing w:val="-8"/>
        </w:rPr>
        <w:t> </w:t>
      </w:r>
      <w:r>
        <w:rPr/>
        <w:t>el</w:t>
      </w:r>
      <w:r>
        <w:rPr>
          <w:spacing w:val="-9"/>
        </w:rPr>
        <w:t> </w:t>
      </w:r>
      <w:r>
        <w:rPr/>
        <w:t>año</w:t>
      </w:r>
      <w:r>
        <w:rPr>
          <w:spacing w:val="-6"/>
        </w:rPr>
        <w:t> </w:t>
      </w:r>
      <w:r>
        <w:rPr>
          <w:spacing w:val="-2"/>
        </w:rPr>
        <w:t>anterior.</w:t>
      </w:r>
    </w:p>
    <w:p>
      <w:pPr>
        <w:pStyle w:val="BodyText"/>
      </w:pPr>
    </w:p>
    <w:p>
      <w:pPr>
        <w:pStyle w:val="BodyText"/>
        <w:spacing w:before="78"/>
      </w:pPr>
    </w:p>
    <w:p>
      <w:pPr>
        <w:pStyle w:val="Heading5"/>
        <w:jc w:val="both"/>
      </w:pPr>
      <w:bookmarkStart w:name="_bookmark49" w:id="50"/>
      <w:bookmarkEnd w:id="50"/>
      <w:r>
        <w:rPr>
          <w:b w:val="0"/>
        </w:rPr>
      </w:r>
      <w:r>
        <w:rPr/>
        <w:t>NOTA</w:t>
      </w:r>
      <w:r>
        <w:rPr>
          <w:spacing w:val="-1"/>
        </w:rPr>
        <w:t> </w:t>
      </w:r>
      <w:r>
        <w:rPr/>
        <w:t>N° </w:t>
      </w:r>
      <w:r>
        <w:rPr>
          <w:spacing w:val="-5"/>
        </w:rPr>
        <w:t>17</w:t>
      </w:r>
    </w:p>
    <w:p>
      <w:pPr>
        <w:pStyle w:val="BodyText"/>
        <w:spacing w:before="115"/>
        <w:rPr>
          <w:b/>
        </w:rPr>
      </w:pPr>
    </w:p>
    <w:p>
      <w:pPr>
        <w:pStyle w:val="BodyText"/>
        <w:ind w:left="622"/>
        <w:jc w:val="both"/>
      </w:pPr>
      <w:r>
        <w:rPr/>
        <w:t>Provisiones</w:t>
      </w:r>
      <w:r>
        <w:rPr>
          <w:spacing w:val="-3"/>
        </w:rPr>
        <w:t> </w:t>
      </w:r>
      <w:r>
        <w:rPr/>
        <w:t>y</w:t>
      </w:r>
      <w:r>
        <w:rPr>
          <w:spacing w:val="-5"/>
        </w:rPr>
        <w:t> </w:t>
      </w:r>
      <w:r>
        <w:rPr/>
        <w:t>reservas</w:t>
      </w:r>
      <w:r>
        <w:rPr>
          <w:spacing w:val="-3"/>
        </w:rPr>
        <w:t> </w:t>
      </w:r>
      <w:r>
        <w:rPr/>
        <w:t>técnicas</w:t>
      </w:r>
      <w:r>
        <w:rPr>
          <w:spacing w:val="-3"/>
        </w:rPr>
        <w:t> </w:t>
      </w:r>
      <w:r>
        <w:rPr/>
        <w:t>a</w:t>
      </w:r>
      <w:r>
        <w:rPr>
          <w:spacing w:val="-5"/>
        </w:rPr>
        <w:t> </w:t>
      </w:r>
      <w:r>
        <w:rPr/>
        <w:t>corto</w:t>
      </w:r>
      <w:r>
        <w:rPr>
          <w:spacing w:val="-3"/>
        </w:rPr>
        <w:t> </w:t>
      </w:r>
      <w:r>
        <w:rPr>
          <w:spacing w:val="-4"/>
        </w:rPr>
        <w:t>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9"/>
        <w:gridCol w:w="2638"/>
        <w:gridCol w:w="708"/>
        <w:gridCol w:w="1843"/>
        <w:gridCol w:w="1607"/>
        <w:gridCol w:w="1197"/>
      </w:tblGrid>
      <w:tr>
        <w:trPr>
          <w:trHeight w:val="323" w:hRule="atLeast"/>
        </w:trPr>
        <w:tc>
          <w:tcPr>
            <w:tcW w:w="1039" w:type="dxa"/>
            <w:vMerge w:val="restart"/>
            <w:shd w:val="clear" w:color="auto" w:fill="365F92"/>
          </w:tcPr>
          <w:p>
            <w:pPr>
              <w:pStyle w:val="TableParagraph"/>
              <w:spacing w:before="120"/>
              <w:ind w:left="69"/>
              <w:rPr>
                <w:b/>
                <w:sz w:val="22"/>
              </w:rPr>
            </w:pPr>
            <w:r>
              <w:rPr>
                <w:b/>
                <w:color w:val="FFFFFF"/>
                <w:spacing w:val="-2"/>
                <w:sz w:val="22"/>
              </w:rPr>
              <w:t>Cuenta</w:t>
            </w:r>
          </w:p>
        </w:tc>
        <w:tc>
          <w:tcPr>
            <w:tcW w:w="2638" w:type="dxa"/>
            <w:vMerge w:val="restart"/>
            <w:shd w:val="clear" w:color="auto" w:fill="365F92"/>
          </w:tcPr>
          <w:p>
            <w:pPr>
              <w:pStyle w:val="TableParagraph"/>
              <w:spacing w:before="209"/>
              <w:ind w:left="789"/>
              <w:rPr>
                <w:b/>
                <w:sz w:val="22"/>
              </w:rPr>
            </w:pPr>
            <w:r>
              <w:rPr>
                <w:b/>
                <w:color w:val="FFFFFF"/>
                <w:spacing w:val="-2"/>
                <w:sz w:val="22"/>
              </w:rPr>
              <w:t>Descripción</w:t>
            </w:r>
          </w:p>
        </w:tc>
        <w:tc>
          <w:tcPr>
            <w:tcW w:w="708" w:type="dxa"/>
            <w:vMerge w:val="restart"/>
            <w:shd w:val="clear" w:color="auto" w:fill="365F92"/>
          </w:tcPr>
          <w:p>
            <w:pPr>
              <w:pStyle w:val="TableParagraph"/>
              <w:spacing w:before="209"/>
              <w:ind w:left="137"/>
              <w:rPr>
                <w:b/>
                <w:sz w:val="22"/>
              </w:rPr>
            </w:pPr>
            <w:r>
              <w:rPr>
                <w:b/>
                <w:color w:val="FFFFFF"/>
                <w:spacing w:val="-4"/>
                <w:sz w:val="22"/>
              </w:rPr>
              <w:t>Nota</w:t>
            </w:r>
          </w:p>
        </w:tc>
        <w:tc>
          <w:tcPr>
            <w:tcW w:w="1843" w:type="dxa"/>
            <w:vMerge w:val="restart"/>
            <w:shd w:val="clear" w:color="auto" w:fill="365F92"/>
          </w:tcPr>
          <w:p>
            <w:pPr>
              <w:pStyle w:val="TableParagraph"/>
              <w:spacing w:before="209"/>
              <w:ind w:left="288"/>
              <w:rPr>
                <w:b/>
                <w:sz w:val="22"/>
              </w:rPr>
            </w:pPr>
            <w:r>
              <w:rPr>
                <w:b/>
                <w:color w:val="FFFFFF"/>
                <w:sz w:val="22"/>
              </w:rPr>
              <w:t>Periodo</w:t>
            </w:r>
            <w:r>
              <w:rPr>
                <w:b/>
                <w:color w:val="FFFFFF"/>
                <w:spacing w:val="-4"/>
                <w:sz w:val="22"/>
              </w:rPr>
              <w:t> </w:t>
            </w:r>
            <w:r>
              <w:rPr>
                <w:b/>
                <w:color w:val="FFFFFF"/>
                <w:spacing w:val="-2"/>
                <w:sz w:val="22"/>
              </w:rPr>
              <w:t>Actual</w:t>
            </w:r>
          </w:p>
        </w:tc>
        <w:tc>
          <w:tcPr>
            <w:tcW w:w="1607" w:type="dxa"/>
            <w:vMerge w:val="restart"/>
            <w:shd w:val="clear" w:color="auto" w:fill="365F92"/>
          </w:tcPr>
          <w:p>
            <w:pPr>
              <w:pStyle w:val="TableParagraph"/>
              <w:spacing w:before="81"/>
              <w:ind w:left="430" w:firstLine="50"/>
              <w:rPr>
                <w:b/>
                <w:sz w:val="22"/>
              </w:rPr>
            </w:pPr>
            <w:r>
              <w:rPr>
                <w:b/>
                <w:color w:val="FFFFFF"/>
                <w:spacing w:val="-2"/>
                <w:sz w:val="22"/>
              </w:rPr>
              <w:t>Periodo Anterior</w:t>
            </w:r>
          </w:p>
        </w:tc>
        <w:tc>
          <w:tcPr>
            <w:tcW w:w="1197" w:type="dxa"/>
            <w:shd w:val="clear" w:color="auto" w:fill="365F92"/>
          </w:tcPr>
          <w:p>
            <w:pPr>
              <w:pStyle w:val="TableParagraph"/>
              <w:spacing w:before="36"/>
              <w:ind w:left="28" w:right="4"/>
              <w:jc w:val="center"/>
              <w:rPr>
                <w:b/>
                <w:sz w:val="22"/>
              </w:rPr>
            </w:pPr>
            <w:r>
              <w:rPr>
                <w:b/>
                <w:color w:val="FFFFFF"/>
                <w:spacing w:val="-2"/>
                <w:sz w:val="22"/>
              </w:rPr>
              <w:t>Diferencia</w:t>
            </w:r>
          </w:p>
        </w:tc>
      </w:tr>
      <w:tr>
        <w:trPr>
          <w:trHeight w:val="323" w:hRule="atLeast"/>
        </w:trPr>
        <w:tc>
          <w:tcPr>
            <w:tcW w:w="1039" w:type="dxa"/>
            <w:vMerge/>
            <w:tcBorders>
              <w:top w:val="nil"/>
            </w:tcBorders>
            <w:shd w:val="clear" w:color="auto" w:fill="365F92"/>
          </w:tcPr>
          <w:p>
            <w:pPr>
              <w:rPr>
                <w:sz w:val="2"/>
                <w:szCs w:val="2"/>
              </w:rPr>
            </w:pPr>
          </w:p>
        </w:tc>
        <w:tc>
          <w:tcPr>
            <w:tcW w:w="2638"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843" w:type="dxa"/>
            <w:vMerge/>
            <w:tcBorders>
              <w:top w:val="nil"/>
            </w:tcBorders>
            <w:shd w:val="clear" w:color="auto" w:fill="365F92"/>
          </w:tcPr>
          <w:p>
            <w:pPr>
              <w:rPr>
                <w:sz w:val="2"/>
                <w:szCs w:val="2"/>
              </w:rPr>
            </w:pPr>
          </w:p>
        </w:tc>
        <w:tc>
          <w:tcPr>
            <w:tcW w:w="1607"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5"/>
              <w:jc w:val="center"/>
              <w:rPr>
                <w:sz w:val="22"/>
              </w:rPr>
            </w:pPr>
            <w:r>
              <w:rPr>
                <w:color w:val="FFFFFF"/>
                <w:spacing w:val="-10"/>
                <w:sz w:val="22"/>
              </w:rPr>
              <w:t>%</w:t>
            </w:r>
          </w:p>
        </w:tc>
      </w:tr>
      <w:tr>
        <w:trPr>
          <w:trHeight w:val="541" w:hRule="atLeast"/>
        </w:trPr>
        <w:tc>
          <w:tcPr>
            <w:tcW w:w="1039" w:type="dxa"/>
          </w:tcPr>
          <w:p>
            <w:pPr>
              <w:pStyle w:val="TableParagraph"/>
              <w:spacing w:before="157"/>
              <w:ind w:left="69"/>
              <w:rPr>
                <w:b/>
                <w:sz w:val="20"/>
              </w:rPr>
            </w:pPr>
            <w:r>
              <w:rPr>
                <w:b/>
                <w:spacing w:val="-2"/>
                <w:sz w:val="20"/>
              </w:rPr>
              <w:t>2.1.4.</w:t>
            </w:r>
          </w:p>
        </w:tc>
        <w:tc>
          <w:tcPr>
            <w:tcW w:w="2638" w:type="dxa"/>
          </w:tcPr>
          <w:p>
            <w:pPr>
              <w:pStyle w:val="TableParagraph"/>
              <w:spacing w:before="41"/>
              <w:ind w:left="69"/>
              <w:rPr>
                <w:b/>
                <w:sz w:val="20"/>
              </w:rPr>
            </w:pPr>
            <w:r>
              <w:rPr>
                <w:b/>
                <w:sz w:val="20"/>
              </w:rPr>
              <w:t>Provisiones</w:t>
            </w:r>
            <w:r>
              <w:rPr>
                <w:b/>
                <w:spacing w:val="-13"/>
                <w:sz w:val="20"/>
              </w:rPr>
              <w:t> </w:t>
            </w:r>
            <w:r>
              <w:rPr>
                <w:b/>
                <w:sz w:val="20"/>
              </w:rPr>
              <w:t>y</w:t>
            </w:r>
            <w:r>
              <w:rPr>
                <w:b/>
                <w:spacing w:val="-12"/>
                <w:sz w:val="20"/>
              </w:rPr>
              <w:t> </w:t>
            </w:r>
            <w:r>
              <w:rPr>
                <w:b/>
                <w:sz w:val="20"/>
              </w:rPr>
              <w:t>reservas</w:t>
            </w:r>
            <w:r>
              <w:rPr>
                <w:b/>
                <w:spacing w:val="-13"/>
                <w:sz w:val="20"/>
              </w:rPr>
              <w:t> </w:t>
            </w:r>
            <w:r>
              <w:rPr>
                <w:b/>
                <w:sz w:val="20"/>
              </w:rPr>
              <w:t>técnicas</w:t>
            </w:r>
            <w:r>
              <w:rPr>
                <w:b/>
                <w:spacing w:val="-12"/>
                <w:sz w:val="20"/>
              </w:rPr>
              <w:t> </w:t>
            </w:r>
            <w:r>
              <w:rPr>
                <w:b/>
                <w:sz w:val="20"/>
              </w:rPr>
              <w:t>a corto plazo</w:t>
            </w:r>
          </w:p>
        </w:tc>
        <w:tc>
          <w:tcPr>
            <w:tcW w:w="708" w:type="dxa"/>
          </w:tcPr>
          <w:p>
            <w:pPr>
              <w:pStyle w:val="TableParagraph"/>
              <w:spacing w:before="157"/>
              <w:ind w:left="18"/>
              <w:jc w:val="center"/>
              <w:rPr>
                <w:b/>
                <w:sz w:val="20"/>
              </w:rPr>
            </w:pPr>
            <w:r>
              <w:rPr>
                <w:b/>
                <w:spacing w:val="-5"/>
                <w:sz w:val="20"/>
              </w:rPr>
              <w:t>17</w:t>
            </w:r>
          </w:p>
        </w:tc>
        <w:tc>
          <w:tcPr>
            <w:tcW w:w="1843" w:type="dxa"/>
          </w:tcPr>
          <w:p>
            <w:pPr>
              <w:pStyle w:val="TableParagraph"/>
              <w:spacing w:before="157"/>
              <w:ind w:left="403"/>
              <w:rPr>
                <w:b/>
                <w:sz w:val="20"/>
              </w:rPr>
            </w:pPr>
            <w:r>
              <w:rPr>
                <w:b/>
                <w:sz w:val="20"/>
              </w:rPr>
              <w:t>2</w:t>
            </w:r>
            <w:r>
              <w:rPr>
                <w:b/>
                <w:spacing w:val="-2"/>
                <w:sz w:val="20"/>
              </w:rPr>
              <w:t> </w:t>
            </w:r>
            <w:r>
              <w:rPr>
                <w:b/>
                <w:sz w:val="20"/>
              </w:rPr>
              <w:t>362</w:t>
            </w:r>
            <w:r>
              <w:rPr>
                <w:b/>
                <w:spacing w:val="-2"/>
                <w:sz w:val="20"/>
              </w:rPr>
              <w:t> 569,54</w:t>
            </w:r>
          </w:p>
        </w:tc>
        <w:tc>
          <w:tcPr>
            <w:tcW w:w="1607" w:type="dxa"/>
          </w:tcPr>
          <w:p>
            <w:pPr>
              <w:pStyle w:val="TableParagraph"/>
              <w:spacing w:before="157"/>
              <w:ind w:left="286"/>
              <w:rPr>
                <w:b/>
                <w:sz w:val="20"/>
              </w:rPr>
            </w:pPr>
            <w:r>
              <w:rPr>
                <w:b/>
                <w:sz w:val="20"/>
              </w:rPr>
              <w:t>1</w:t>
            </w:r>
            <w:r>
              <w:rPr>
                <w:b/>
                <w:spacing w:val="-2"/>
                <w:sz w:val="20"/>
              </w:rPr>
              <w:t> </w:t>
            </w:r>
            <w:r>
              <w:rPr>
                <w:b/>
                <w:sz w:val="20"/>
              </w:rPr>
              <w:t>489</w:t>
            </w:r>
            <w:r>
              <w:rPr>
                <w:b/>
                <w:spacing w:val="-2"/>
                <w:sz w:val="20"/>
              </w:rPr>
              <w:t> 644,19</w:t>
            </w:r>
          </w:p>
        </w:tc>
        <w:tc>
          <w:tcPr>
            <w:tcW w:w="1197" w:type="dxa"/>
          </w:tcPr>
          <w:p>
            <w:pPr>
              <w:pStyle w:val="TableParagraph"/>
              <w:spacing w:before="157"/>
              <w:ind w:left="28" w:right="6"/>
              <w:jc w:val="center"/>
              <w:rPr>
                <w:b/>
                <w:sz w:val="20"/>
              </w:rPr>
            </w:pPr>
            <w:r>
              <w:rPr>
                <w:b/>
                <w:spacing w:val="-2"/>
                <w:sz w:val="20"/>
              </w:rPr>
              <w:t>58,60%</w:t>
            </w:r>
          </w:p>
        </w:tc>
      </w:tr>
    </w:tbl>
    <w:p>
      <w:pPr>
        <w:pStyle w:val="BodyText"/>
        <w:spacing w:before="160"/>
      </w:pPr>
    </w:p>
    <w:p>
      <w:pPr>
        <w:pStyle w:val="BodyText"/>
        <w:ind w:left="622" w:right="979"/>
        <w:jc w:val="both"/>
      </w:pPr>
      <w:r>
        <w:rPr/>
        <w:t>Conjunto</w:t>
      </w:r>
      <w:r>
        <w:rPr>
          <w:spacing w:val="-6"/>
        </w:rPr>
        <w:t> </w:t>
      </w:r>
      <w:r>
        <w:rPr/>
        <w:t>de</w:t>
      </w:r>
      <w:r>
        <w:rPr>
          <w:spacing w:val="-9"/>
        </w:rPr>
        <w:t> </w:t>
      </w:r>
      <w:r>
        <w:rPr/>
        <w:t>cuentas</w:t>
      </w:r>
      <w:r>
        <w:rPr>
          <w:spacing w:val="-6"/>
        </w:rPr>
        <w:t> </w:t>
      </w:r>
      <w:r>
        <w:rPr/>
        <w:t>que</w:t>
      </w:r>
      <w:r>
        <w:rPr>
          <w:spacing w:val="-8"/>
        </w:rPr>
        <w:t> </w:t>
      </w:r>
      <w:r>
        <w:rPr/>
        <w:t>comprenden</w:t>
      </w:r>
      <w:r>
        <w:rPr>
          <w:spacing w:val="-7"/>
        </w:rPr>
        <w:t> </w:t>
      </w:r>
      <w:r>
        <w:rPr/>
        <w:t>las</w:t>
      </w:r>
      <w:r>
        <w:rPr>
          <w:spacing w:val="-6"/>
        </w:rPr>
        <w:t> </w:t>
      </w:r>
      <w:r>
        <w:rPr/>
        <w:t>estimaciones</w:t>
      </w:r>
      <w:r>
        <w:rPr>
          <w:spacing w:val="-9"/>
        </w:rPr>
        <w:t> </w:t>
      </w:r>
      <w:r>
        <w:rPr/>
        <w:t>cuantificables</w:t>
      </w:r>
      <w:r>
        <w:rPr>
          <w:spacing w:val="-6"/>
        </w:rPr>
        <w:t> </w:t>
      </w:r>
      <w:r>
        <w:rPr/>
        <w:t>de</w:t>
      </w:r>
      <w:r>
        <w:rPr>
          <w:spacing w:val="-9"/>
        </w:rPr>
        <w:t> </w:t>
      </w:r>
      <w:r>
        <w:rPr/>
        <w:t>pasivos</w:t>
      </w:r>
      <w:r>
        <w:rPr>
          <w:spacing w:val="-6"/>
        </w:rPr>
        <w:t> </w:t>
      </w:r>
      <w:r>
        <w:rPr/>
        <w:t>respecto</w:t>
      </w:r>
      <w:r>
        <w:rPr>
          <w:spacing w:val="-6"/>
        </w:rPr>
        <w:t> </w:t>
      </w:r>
      <w:r>
        <w:rPr/>
        <w:t>de</w:t>
      </w:r>
      <w:r>
        <w:rPr>
          <w:spacing w:val="-9"/>
        </w:rPr>
        <w:t> </w:t>
      </w:r>
      <w:r>
        <w:rPr/>
        <w:t>los</w:t>
      </w:r>
      <w:r>
        <w:rPr>
          <w:spacing w:val="-6"/>
        </w:rPr>
        <w:t> </w:t>
      </w:r>
      <w:r>
        <w:rPr/>
        <w:t>cuales existe</w:t>
      </w:r>
      <w:r>
        <w:rPr>
          <w:spacing w:val="-10"/>
        </w:rPr>
        <w:t> </w:t>
      </w:r>
      <w:r>
        <w:rPr/>
        <w:t>incertidumbre</w:t>
      </w:r>
      <w:r>
        <w:rPr>
          <w:spacing w:val="-11"/>
        </w:rPr>
        <w:t> </w:t>
      </w:r>
      <w:r>
        <w:rPr/>
        <w:t>acerca</w:t>
      </w:r>
      <w:r>
        <w:rPr>
          <w:spacing w:val="-10"/>
        </w:rPr>
        <w:t> </w:t>
      </w:r>
      <w:r>
        <w:rPr/>
        <w:t>de</w:t>
      </w:r>
      <w:r>
        <w:rPr>
          <w:spacing w:val="-11"/>
        </w:rPr>
        <w:t> </w:t>
      </w:r>
      <w:r>
        <w:rPr/>
        <w:t>su</w:t>
      </w:r>
      <w:r>
        <w:rPr>
          <w:spacing w:val="-10"/>
        </w:rPr>
        <w:t> </w:t>
      </w:r>
      <w:r>
        <w:rPr/>
        <w:t>cuantía</w:t>
      </w:r>
      <w:r>
        <w:rPr>
          <w:spacing w:val="-10"/>
        </w:rPr>
        <w:t> </w:t>
      </w:r>
      <w:r>
        <w:rPr/>
        <w:t>y/o</w:t>
      </w:r>
      <w:r>
        <w:rPr>
          <w:spacing w:val="-9"/>
        </w:rPr>
        <w:t> </w:t>
      </w:r>
      <w:r>
        <w:rPr/>
        <w:t>de</w:t>
      </w:r>
      <w:r>
        <w:rPr>
          <w:spacing w:val="-11"/>
        </w:rPr>
        <w:t> </w:t>
      </w:r>
      <w:r>
        <w:rPr/>
        <w:t>su</w:t>
      </w:r>
      <w:r>
        <w:rPr>
          <w:spacing w:val="-10"/>
        </w:rPr>
        <w:t> </w:t>
      </w:r>
      <w:r>
        <w:rPr/>
        <w:t>vencimiento,</w:t>
      </w:r>
      <w:r>
        <w:rPr>
          <w:spacing w:val="-9"/>
        </w:rPr>
        <w:t> </w:t>
      </w:r>
      <w:r>
        <w:rPr/>
        <w:t>así</w:t>
      </w:r>
      <w:r>
        <w:rPr>
          <w:spacing w:val="-10"/>
        </w:rPr>
        <w:t> </w:t>
      </w:r>
      <w:r>
        <w:rPr/>
        <w:t>como</w:t>
      </w:r>
      <w:r>
        <w:rPr>
          <w:spacing w:val="-9"/>
        </w:rPr>
        <w:t> </w:t>
      </w:r>
      <w:r>
        <w:rPr/>
        <w:t>de</w:t>
      </w:r>
      <w:r>
        <w:rPr>
          <w:spacing w:val="-11"/>
        </w:rPr>
        <w:t> </w:t>
      </w:r>
      <w:r>
        <w:rPr/>
        <w:t>los</w:t>
      </w:r>
      <w:r>
        <w:rPr>
          <w:spacing w:val="-9"/>
        </w:rPr>
        <w:t> </w:t>
      </w:r>
      <w:r>
        <w:rPr/>
        <w:t>pasivos</w:t>
      </w:r>
      <w:r>
        <w:rPr>
          <w:spacing w:val="-8"/>
        </w:rPr>
        <w:t> </w:t>
      </w:r>
      <w:r>
        <w:rPr/>
        <w:t>generados</w:t>
      </w:r>
      <w:r>
        <w:rPr>
          <w:spacing w:val="-9"/>
        </w:rPr>
        <w:t> </w:t>
      </w:r>
      <w:r>
        <w:rPr/>
        <w:t>por las entidades públicas en su carácter de operadores de sistemas de seguros no de vida y de cajas de pensiones no autónomas o no basadas en fondos asignados.</w:t>
      </w:r>
    </w:p>
    <w:p>
      <w:pPr>
        <w:pStyle w:val="BodyText"/>
        <w:spacing w:before="240"/>
        <w:ind w:left="622"/>
        <w:jc w:val="both"/>
      </w:pPr>
      <w:r>
        <w:rPr/>
        <w:t>Detalle</w:t>
      </w:r>
      <w:r>
        <w:rPr>
          <w:spacing w:val="-9"/>
        </w:rPr>
        <w:t> </w:t>
      </w:r>
      <w:r>
        <w:rPr>
          <w:spacing w:val="-2"/>
        </w:rPr>
        <w:t>cuenta:</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68"/>
        <w:gridCol w:w="2319"/>
        <w:gridCol w:w="598"/>
        <w:gridCol w:w="1978"/>
        <w:gridCol w:w="1979"/>
        <w:gridCol w:w="1105"/>
      </w:tblGrid>
      <w:tr>
        <w:trPr>
          <w:trHeight w:val="308" w:hRule="atLeast"/>
        </w:trPr>
        <w:tc>
          <w:tcPr>
            <w:tcW w:w="1068" w:type="dxa"/>
            <w:vMerge w:val="restart"/>
            <w:shd w:val="clear" w:color="auto" w:fill="365F92"/>
          </w:tcPr>
          <w:p>
            <w:pPr>
              <w:pStyle w:val="TableParagraph"/>
              <w:spacing w:before="103"/>
              <w:ind w:left="69"/>
              <w:rPr>
                <w:b/>
                <w:sz w:val="22"/>
              </w:rPr>
            </w:pPr>
            <w:r>
              <w:rPr>
                <w:b/>
                <w:color w:val="FFFFFF"/>
                <w:spacing w:val="-2"/>
                <w:sz w:val="22"/>
              </w:rPr>
              <w:t>Cuenta</w:t>
            </w:r>
          </w:p>
        </w:tc>
        <w:tc>
          <w:tcPr>
            <w:tcW w:w="2319" w:type="dxa"/>
            <w:vMerge w:val="restart"/>
            <w:shd w:val="clear" w:color="auto" w:fill="365F92"/>
          </w:tcPr>
          <w:p>
            <w:pPr>
              <w:pStyle w:val="TableParagraph"/>
              <w:spacing w:before="192"/>
              <w:ind w:left="628"/>
              <w:rPr>
                <w:b/>
                <w:sz w:val="22"/>
              </w:rPr>
            </w:pPr>
            <w:r>
              <w:rPr>
                <w:b/>
                <w:color w:val="FFFFFF"/>
                <w:spacing w:val="-2"/>
                <w:sz w:val="22"/>
              </w:rPr>
              <w:t>Descripción</w:t>
            </w:r>
          </w:p>
        </w:tc>
        <w:tc>
          <w:tcPr>
            <w:tcW w:w="598" w:type="dxa"/>
            <w:vMerge w:val="restart"/>
            <w:shd w:val="clear" w:color="auto" w:fill="365F92"/>
          </w:tcPr>
          <w:p>
            <w:pPr>
              <w:pStyle w:val="TableParagraph"/>
              <w:spacing w:before="192"/>
              <w:ind w:left="81"/>
              <w:rPr>
                <w:b/>
                <w:sz w:val="22"/>
              </w:rPr>
            </w:pPr>
            <w:r>
              <w:rPr>
                <w:b/>
                <w:color w:val="FFFFFF"/>
                <w:spacing w:val="-4"/>
                <w:sz w:val="22"/>
              </w:rPr>
              <w:t>Nota</w:t>
            </w:r>
          </w:p>
        </w:tc>
        <w:tc>
          <w:tcPr>
            <w:tcW w:w="1978" w:type="dxa"/>
            <w:vMerge w:val="restart"/>
            <w:shd w:val="clear" w:color="auto" w:fill="365F92"/>
          </w:tcPr>
          <w:p>
            <w:pPr>
              <w:pStyle w:val="TableParagraph"/>
              <w:spacing w:before="192"/>
              <w:ind w:left="354"/>
              <w:rPr>
                <w:b/>
                <w:sz w:val="22"/>
              </w:rPr>
            </w:pPr>
            <w:r>
              <w:rPr>
                <w:b/>
                <w:color w:val="FFFFFF"/>
                <w:sz w:val="22"/>
              </w:rPr>
              <w:t>Periodo</w:t>
            </w:r>
            <w:r>
              <w:rPr>
                <w:b/>
                <w:color w:val="FFFFFF"/>
                <w:spacing w:val="-4"/>
                <w:sz w:val="22"/>
              </w:rPr>
              <w:t> </w:t>
            </w:r>
            <w:r>
              <w:rPr>
                <w:b/>
                <w:color w:val="FFFFFF"/>
                <w:spacing w:val="-2"/>
                <w:sz w:val="22"/>
              </w:rPr>
              <w:t>Actual</w:t>
            </w:r>
          </w:p>
        </w:tc>
        <w:tc>
          <w:tcPr>
            <w:tcW w:w="1979" w:type="dxa"/>
            <w:vMerge w:val="restart"/>
            <w:shd w:val="clear" w:color="auto" w:fill="365F92"/>
          </w:tcPr>
          <w:p>
            <w:pPr>
              <w:pStyle w:val="TableParagraph"/>
              <w:spacing w:before="192"/>
              <w:ind w:left="263"/>
              <w:rPr>
                <w:b/>
                <w:sz w:val="22"/>
              </w:rPr>
            </w:pPr>
            <w:r>
              <w:rPr>
                <w:b/>
                <w:color w:val="FFFFFF"/>
                <w:sz w:val="22"/>
              </w:rPr>
              <w:t>Periodo</w:t>
            </w:r>
            <w:r>
              <w:rPr>
                <w:b/>
                <w:color w:val="FFFFFF"/>
                <w:spacing w:val="-4"/>
                <w:sz w:val="22"/>
              </w:rPr>
              <w:t> </w:t>
            </w:r>
            <w:r>
              <w:rPr>
                <w:b/>
                <w:color w:val="FFFFFF"/>
                <w:spacing w:val="-2"/>
                <w:sz w:val="22"/>
              </w:rPr>
              <w:t>Anterior</w:t>
            </w:r>
          </w:p>
        </w:tc>
        <w:tc>
          <w:tcPr>
            <w:tcW w:w="1105" w:type="dxa"/>
            <w:shd w:val="clear" w:color="auto" w:fill="365F92"/>
          </w:tcPr>
          <w:p>
            <w:pPr>
              <w:pStyle w:val="TableParagraph"/>
              <w:spacing w:before="29"/>
              <w:ind w:left="16" w:right="3"/>
              <w:jc w:val="center"/>
              <w:rPr>
                <w:b/>
                <w:sz w:val="22"/>
              </w:rPr>
            </w:pPr>
            <w:r>
              <w:rPr>
                <w:b/>
                <w:color w:val="FFFFFF"/>
                <w:spacing w:val="-2"/>
                <w:sz w:val="22"/>
              </w:rPr>
              <w:t>Diferencia</w:t>
            </w:r>
          </w:p>
        </w:tc>
      </w:tr>
      <w:tr>
        <w:trPr>
          <w:trHeight w:val="306" w:hRule="atLeast"/>
        </w:trPr>
        <w:tc>
          <w:tcPr>
            <w:tcW w:w="1068" w:type="dxa"/>
            <w:vMerge/>
            <w:tcBorders>
              <w:top w:val="nil"/>
            </w:tcBorders>
            <w:shd w:val="clear" w:color="auto" w:fill="365F92"/>
          </w:tcPr>
          <w:p>
            <w:pPr>
              <w:rPr>
                <w:sz w:val="2"/>
                <w:szCs w:val="2"/>
              </w:rPr>
            </w:pPr>
          </w:p>
        </w:tc>
        <w:tc>
          <w:tcPr>
            <w:tcW w:w="2319" w:type="dxa"/>
            <w:vMerge/>
            <w:tcBorders>
              <w:top w:val="nil"/>
            </w:tcBorders>
            <w:shd w:val="clear" w:color="auto" w:fill="365F92"/>
          </w:tcPr>
          <w:p>
            <w:pPr>
              <w:rPr>
                <w:sz w:val="2"/>
                <w:szCs w:val="2"/>
              </w:rPr>
            </w:pPr>
          </w:p>
        </w:tc>
        <w:tc>
          <w:tcPr>
            <w:tcW w:w="598" w:type="dxa"/>
            <w:vMerge/>
            <w:tcBorders>
              <w:top w:val="nil"/>
            </w:tcBorders>
            <w:shd w:val="clear" w:color="auto" w:fill="365F92"/>
          </w:tcPr>
          <w:p>
            <w:pPr>
              <w:rPr>
                <w:sz w:val="2"/>
                <w:szCs w:val="2"/>
              </w:rPr>
            </w:pPr>
          </w:p>
        </w:tc>
        <w:tc>
          <w:tcPr>
            <w:tcW w:w="1978" w:type="dxa"/>
            <w:vMerge/>
            <w:tcBorders>
              <w:top w:val="nil"/>
            </w:tcBorders>
            <w:shd w:val="clear" w:color="auto" w:fill="365F92"/>
          </w:tcPr>
          <w:p>
            <w:pPr>
              <w:rPr>
                <w:sz w:val="2"/>
                <w:szCs w:val="2"/>
              </w:rPr>
            </w:pPr>
          </w:p>
        </w:tc>
        <w:tc>
          <w:tcPr>
            <w:tcW w:w="1979" w:type="dxa"/>
            <w:vMerge/>
            <w:tcBorders>
              <w:top w:val="nil"/>
            </w:tcBorders>
            <w:shd w:val="clear" w:color="auto" w:fill="365F92"/>
          </w:tcPr>
          <w:p>
            <w:pPr>
              <w:rPr>
                <w:sz w:val="2"/>
                <w:szCs w:val="2"/>
              </w:rPr>
            </w:pPr>
          </w:p>
        </w:tc>
        <w:tc>
          <w:tcPr>
            <w:tcW w:w="1105" w:type="dxa"/>
            <w:shd w:val="clear" w:color="auto" w:fill="365F92"/>
          </w:tcPr>
          <w:p>
            <w:pPr>
              <w:pStyle w:val="TableParagraph"/>
              <w:spacing w:before="26"/>
              <w:ind w:left="16"/>
              <w:jc w:val="center"/>
              <w:rPr>
                <w:sz w:val="22"/>
              </w:rPr>
            </w:pPr>
            <w:r>
              <w:rPr>
                <w:color w:val="FFFFFF"/>
                <w:spacing w:val="-10"/>
                <w:sz w:val="22"/>
              </w:rPr>
              <w:t>%</w:t>
            </w:r>
          </w:p>
        </w:tc>
      </w:tr>
      <w:tr>
        <w:trPr>
          <w:trHeight w:val="308" w:hRule="atLeast"/>
        </w:trPr>
        <w:tc>
          <w:tcPr>
            <w:tcW w:w="1068" w:type="dxa"/>
          </w:tcPr>
          <w:p>
            <w:pPr>
              <w:pStyle w:val="TableParagraph"/>
              <w:spacing w:before="39"/>
              <w:ind w:left="69"/>
              <w:rPr>
                <w:b/>
                <w:sz w:val="20"/>
              </w:rPr>
            </w:pPr>
            <w:r>
              <w:rPr>
                <w:b/>
                <w:spacing w:val="-2"/>
                <w:sz w:val="20"/>
              </w:rPr>
              <w:t>2.1.4.01.</w:t>
            </w:r>
          </w:p>
        </w:tc>
        <w:tc>
          <w:tcPr>
            <w:tcW w:w="2319" w:type="dxa"/>
          </w:tcPr>
          <w:p>
            <w:pPr>
              <w:pStyle w:val="TableParagraph"/>
              <w:spacing w:before="39"/>
              <w:ind w:left="69"/>
              <w:rPr>
                <w:b/>
                <w:sz w:val="20"/>
              </w:rPr>
            </w:pPr>
            <w:r>
              <w:rPr>
                <w:b/>
                <w:sz w:val="20"/>
              </w:rPr>
              <w:t>Provisiones</w:t>
            </w:r>
            <w:r>
              <w:rPr>
                <w:b/>
                <w:spacing w:val="-5"/>
                <w:sz w:val="20"/>
              </w:rPr>
              <w:t> </w:t>
            </w:r>
            <w:r>
              <w:rPr>
                <w:b/>
                <w:sz w:val="20"/>
              </w:rPr>
              <w:t>a</w:t>
            </w:r>
            <w:r>
              <w:rPr>
                <w:b/>
                <w:spacing w:val="-5"/>
                <w:sz w:val="20"/>
              </w:rPr>
              <w:t> </w:t>
            </w:r>
            <w:r>
              <w:rPr>
                <w:b/>
                <w:sz w:val="20"/>
              </w:rPr>
              <w:t>corto</w:t>
            </w:r>
            <w:r>
              <w:rPr>
                <w:b/>
                <w:spacing w:val="-4"/>
                <w:sz w:val="20"/>
              </w:rPr>
              <w:t> plazo</w:t>
            </w:r>
          </w:p>
        </w:tc>
        <w:tc>
          <w:tcPr>
            <w:tcW w:w="598" w:type="dxa"/>
          </w:tcPr>
          <w:p>
            <w:pPr>
              <w:pStyle w:val="TableParagraph"/>
              <w:spacing w:before="39"/>
              <w:ind w:left="198"/>
              <w:rPr>
                <w:b/>
                <w:sz w:val="20"/>
              </w:rPr>
            </w:pPr>
            <w:r>
              <w:rPr>
                <w:b/>
                <w:spacing w:val="-5"/>
                <w:sz w:val="20"/>
              </w:rPr>
              <w:t>17</w:t>
            </w:r>
          </w:p>
        </w:tc>
        <w:tc>
          <w:tcPr>
            <w:tcW w:w="1978" w:type="dxa"/>
          </w:tcPr>
          <w:p>
            <w:pPr>
              <w:pStyle w:val="TableParagraph"/>
              <w:spacing w:before="39"/>
              <w:ind w:left="469"/>
              <w:rPr>
                <w:b/>
                <w:sz w:val="20"/>
              </w:rPr>
            </w:pPr>
            <w:r>
              <w:rPr>
                <w:b/>
                <w:sz w:val="20"/>
              </w:rPr>
              <w:t>2</w:t>
            </w:r>
            <w:r>
              <w:rPr>
                <w:b/>
                <w:spacing w:val="-2"/>
                <w:sz w:val="20"/>
              </w:rPr>
              <w:t> </w:t>
            </w:r>
            <w:r>
              <w:rPr>
                <w:b/>
                <w:sz w:val="20"/>
              </w:rPr>
              <w:t>362</w:t>
            </w:r>
            <w:r>
              <w:rPr>
                <w:b/>
                <w:spacing w:val="-2"/>
                <w:sz w:val="20"/>
              </w:rPr>
              <w:t> 569,54</w:t>
            </w:r>
          </w:p>
        </w:tc>
        <w:tc>
          <w:tcPr>
            <w:tcW w:w="1979" w:type="dxa"/>
          </w:tcPr>
          <w:p>
            <w:pPr>
              <w:pStyle w:val="TableParagraph"/>
              <w:spacing w:before="39"/>
              <w:ind w:left="470"/>
              <w:rPr>
                <w:b/>
                <w:sz w:val="20"/>
              </w:rPr>
            </w:pPr>
            <w:r>
              <w:rPr>
                <w:b/>
                <w:sz w:val="20"/>
              </w:rPr>
              <w:t>1</w:t>
            </w:r>
            <w:r>
              <w:rPr>
                <w:b/>
                <w:spacing w:val="-2"/>
                <w:sz w:val="20"/>
              </w:rPr>
              <w:t> </w:t>
            </w:r>
            <w:r>
              <w:rPr>
                <w:b/>
                <w:sz w:val="20"/>
              </w:rPr>
              <w:t>489</w:t>
            </w:r>
            <w:r>
              <w:rPr>
                <w:b/>
                <w:spacing w:val="-2"/>
                <w:sz w:val="20"/>
              </w:rPr>
              <w:t> 644,19</w:t>
            </w:r>
          </w:p>
        </w:tc>
        <w:tc>
          <w:tcPr>
            <w:tcW w:w="1105" w:type="dxa"/>
          </w:tcPr>
          <w:p>
            <w:pPr>
              <w:pStyle w:val="TableParagraph"/>
              <w:spacing w:before="39"/>
              <w:ind w:left="16"/>
              <w:jc w:val="center"/>
              <w:rPr>
                <w:b/>
                <w:sz w:val="20"/>
              </w:rPr>
            </w:pPr>
            <w:r>
              <w:rPr>
                <w:b/>
                <w:spacing w:val="-2"/>
                <w:sz w:val="20"/>
              </w:rPr>
              <w:t>58,60%</w:t>
            </w:r>
          </w:p>
        </w:tc>
      </w:tr>
    </w:tbl>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651328">
                <wp:simplePos x="0" y="0"/>
                <wp:positionH relativeFrom="page">
                  <wp:posOffset>1080820</wp:posOffset>
                </wp:positionH>
                <wp:positionV relativeFrom="paragraph">
                  <wp:posOffset>285194</wp:posOffset>
                </wp:positionV>
                <wp:extent cx="5715000" cy="1483360"/>
                <wp:effectExtent l="0" t="0" r="0" b="0"/>
                <wp:wrapTopAndBottom/>
                <wp:docPr id="392" name="Textbox 392"/>
                <wp:cNvGraphicFramePr>
                  <a:graphicFrameLocks/>
                </wp:cNvGraphicFramePr>
                <a:graphic>
                  <a:graphicData uri="http://schemas.microsoft.com/office/word/2010/wordprocessingShape">
                    <wps:wsp>
                      <wps:cNvPr id="392" name="Textbox 392"/>
                      <wps:cNvSpPr txBox="1"/>
                      <wps:spPr>
                        <a:xfrm>
                          <a:off x="0" y="0"/>
                          <a:ext cx="5715000" cy="1483360"/>
                        </a:xfrm>
                        <a:prstGeom prst="rect">
                          <a:avLst/>
                        </a:prstGeom>
                        <a:ln w="6095">
                          <a:solidFill>
                            <a:srgbClr val="000000"/>
                          </a:solidFill>
                          <a:prstDash val="solid"/>
                        </a:ln>
                      </wps:spPr>
                      <wps:txbx>
                        <w:txbxContent>
                          <w:p>
                            <w:pPr>
                              <w:spacing w:before="1"/>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8"/>
                              <w:ind w:left="103" w:right="644"/>
                            </w:pPr>
                            <w:r>
                              <w:rPr/>
                              <w:t>En</w:t>
                            </w:r>
                            <w:r>
                              <w:rPr>
                                <w:spacing w:val="-2"/>
                              </w:rPr>
                              <w:t> </w:t>
                            </w:r>
                            <w:r>
                              <w:rPr/>
                              <w:t>cuanto</w:t>
                            </w:r>
                            <w:r>
                              <w:rPr>
                                <w:spacing w:val="-1"/>
                              </w:rPr>
                              <w:t> </w:t>
                            </w:r>
                            <w:r>
                              <w:rPr/>
                              <w:t>la</w:t>
                            </w:r>
                            <w:r>
                              <w:rPr>
                                <w:spacing w:val="-4"/>
                              </w:rPr>
                              <w:t> </w:t>
                            </w:r>
                            <w:r>
                              <w:rPr/>
                              <w:t>cuenta</w:t>
                            </w:r>
                            <w:r>
                              <w:rPr>
                                <w:spacing w:val="-2"/>
                              </w:rPr>
                              <w:t> </w:t>
                            </w:r>
                            <w:r>
                              <w:rPr/>
                              <w:t>Provisiones</w:t>
                            </w:r>
                            <w:r>
                              <w:rPr>
                                <w:spacing w:val="-1"/>
                              </w:rPr>
                              <w:t> </w:t>
                            </w:r>
                            <w:r>
                              <w:rPr/>
                              <w:t>y</w:t>
                            </w:r>
                            <w:r>
                              <w:rPr>
                                <w:spacing w:val="-3"/>
                              </w:rPr>
                              <w:t> </w:t>
                            </w:r>
                            <w:r>
                              <w:rPr/>
                              <w:t>reservas</w:t>
                            </w:r>
                            <w:r>
                              <w:rPr>
                                <w:spacing w:val="-1"/>
                              </w:rPr>
                              <w:t> </w:t>
                            </w:r>
                            <w:r>
                              <w:rPr/>
                              <w:t>técnicas al</w:t>
                            </w:r>
                            <w:r>
                              <w:rPr>
                                <w:spacing w:val="-2"/>
                              </w:rPr>
                              <w:t> </w:t>
                            </w:r>
                            <w:r>
                              <w:rPr/>
                              <w:t>31</w:t>
                            </w:r>
                            <w:r>
                              <w:rPr>
                                <w:spacing w:val="-2"/>
                              </w:rPr>
                              <w:t> </w:t>
                            </w:r>
                            <w:r>
                              <w:rPr/>
                              <w:t>de</w:t>
                            </w:r>
                            <w:r>
                              <w:rPr>
                                <w:spacing w:val="-3"/>
                              </w:rPr>
                              <w:t> </w:t>
                            </w:r>
                            <w:r>
                              <w:rPr/>
                              <w:t>julio</w:t>
                            </w:r>
                            <w:r>
                              <w:rPr>
                                <w:spacing w:val="-2"/>
                              </w:rPr>
                              <w:t> </w:t>
                            </w:r>
                            <w:r>
                              <w:rPr/>
                              <w:t>2026</w:t>
                            </w:r>
                            <w:r>
                              <w:rPr>
                                <w:spacing w:val="-4"/>
                              </w:rPr>
                              <w:t> </w:t>
                            </w:r>
                            <w:r>
                              <w:rPr/>
                              <w:t>y</w:t>
                            </w:r>
                            <w:r>
                              <w:rPr>
                                <w:spacing w:val="-3"/>
                              </w:rPr>
                              <w:t> </w:t>
                            </w:r>
                            <w:r>
                              <w:rPr/>
                              <w:t>2025</w:t>
                            </w:r>
                            <w:r>
                              <w:rPr>
                                <w:spacing w:val="-3"/>
                              </w:rPr>
                              <w:t> </w:t>
                            </w:r>
                            <w:r>
                              <w:rPr/>
                              <w:t>se</w:t>
                            </w:r>
                            <w:r>
                              <w:rPr>
                                <w:spacing w:val="-3"/>
                              </w:rPr>
                              <w:t> </w:t>
                            </w:r>
                            <w:r>
                              <w:rPr/>
                              <w:t>compone</w:t>
                            </w:r>
                            <w:r>
                              <w:rPr>
                                <w:spacing w:val="-3"/>
                              </w:rPr>
                              <w:t> </w:t>
                            </w:r>
                            <w:r>
                              <w:rPr/>
                              <w:t>de las siguientes provisiones:</w:t>
                            </w:r>
                          </w:p>
                        </w:txbxContent>
                      </wps:txbx>
                      <wps:bodyPr wrap="square" lIns="0" tIns="0" rIns="0" bIns="0" rtlCol="0">
                        <a:noAutofit/>
                      </wps:bodyPr>
                    </wps:wsp>
                  </a:graphicData>
                </a:graphic>
              </wp:anchor>
            </w:drawing>
          </mc:Choice>
          <mc:Fallback>
            <w:pict>
              <v:shape style="position:absolute;margin-left:85.103996pt;margin-top:22.456249pt;width:450pt;height:116.8pt;mso-position-horizontal-relative:page;mso-position-vertical-relative:paragraph;z-index:-15665152;mso-wrap-distance-left:0;mso-wrap-distance-right:0" type="#_x0000_t202" id="docshape371" filled="false" stroked="true" strokeweight=".47998pt" strokecolor="#000000">
                <v:textbox inset="0,0,0,0">
                  <w:txbxContent>
                    <w:p>
                      <w:pPr>
                        <w:spacing w:before="1"/>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8"/>
                        <w:ind w:left="103" w:right="644"/>
                      </w:pPr>
                      <w:r>
                        <w:rPr/>
                        <w:t>En</w:t>
                      </w:r>
                      <w:r>
                        <w:rPr>
                          <w:spacing w:val="-2"/>
                        </w:rPr>
                        <w:t> </w:t>
                      </w:r>
                      <w:r>
                        <w:rPr/>
                        <w:t>cuanto</w:t>
                      </w:r>
                      <w:r>
                        <w:rPr>
                          <w:spacing w:val="-1"/>
                        </w:rPr>
                        <w:t> </w:t>
                      </w:r>
                      <w:r>
                        <w:rPr/>
                        <w:t>la</w:t>
                      </w:r>
                      <w:r>
                        <w:rPr>
                          <w:spacing w:val="-4"/>
                        </w:rPr>
                        <w:t> </w:t>
                      </w:r>
                      <w:r>
                        <w:rPr/>
                        <w:t>cuenta</w:t>
                      </w:r>
                      <w:r>
                        <w:rPr>
                          <w:spacing w:val="-2"/>
                        </w:rPr>
                        <w:t> </w:t>
                      </w:r>
                      <w:r>
                        <w:rPr/>
                        <w:t>Provisiones</w:t>
                      </w:r>
                      <w:r>
                        <w:rPr>
                          <w:spacing w:val="-1"/>
                        </w:rPr>
                        <w:t> </w:t>
                      </w:r>
                      <w:r>
                        <w:rPr/>
                        <w:t>y</w:t>
                      </w:r>
                      <w:r>
                        <w:rPr>
                          <w:spacing w:val="-3"/>
                        </w:rPr>
                        <w:t> </w:t>
                      </w:r>
                      <w:r>
                        <w:rPr/>
                        <w:t>reservas</w:t>
                      </w:r>
                      <w:r>
                        <w:rPr>
                          <w:spacing w:val="-1"/>
                        </w:rPr>
                        <w:t> </w:t>
                      </w:r>
                      <w:r>
                        <w:rPr/>
                        <w:t>técnicas al</w:t>
                      </w:r>
                      <w:r>
                        <w:rPr>
                          <w:spacing w:val="-2"/>
                        </w:rPr>
                        <w:t> </w:t>
                      </w:r>
                      <w:r>
                        <w:rPr/>
                        <w:t>31</w:t>
                      </w:r>
                      <w:r>
                        <w:rPr>
                          <w:spacing w:val="-2"/>
                        </w:rPr>
                        <w:t> </w:t>
                      </w:r>
                      <w:r>
                        <w:rPr/>
                        <w:t>de</w:t>
                      </w:r>
                      <w:r>
                        <w:rPr>
                          <w:spacing w:val="-3"/>
                        </w:rPr>
                        <w:t> </w:t>
                      </w:r>
                      <w:r>
                        <w:rPr/>
                        <w:t>julio</w:t>
                      </w:r>
                      <w:r>
                        <w:rPr>
                          <w:spacing w:val="-2"/>
                        </w:rPr>
                        <w:t> </w:t>
                      </w:r>
                      <w:r>
                        <w:rPr/>
                        <w:t>2026</w:t>
                      </w:r>
                      <w:r>
                        <w:rPr>
                          <w:spacing w:val="-4"/>
                        </w:rPr>
                        <w:t> </w:t>
                      </w:r>
                      <w:r>
                        <w:rPr/>
                        <w:t>y</w:t>
                      </w:r>
                      <w:r>
                        <w:rPr>
                          <w:spacing w:val="-3"/>
                        </w:rPr>
                        <w:t> </w:t>
                      </w:r>
                      <w:r>
                        <w:rPr/>
                        <w:t>2025</w:t>
                      </w:r>
                      <w:r>
                        <w:rPr>
                          <w:spacing w:val="-3"/>
                        </w:rPr>
                        <w:t> </w:t>
                      </w:r>
                      <w:r>
                        <w:rPr/>
                        <w:t>se</w:t>
                      </w:r>
                      <w:r>
                        <w:rPr>
                          <w:spacing w:val="-3"/>
                        </w:rPr>
                        <w:t> </w:t>
                      </w:r>
                      <w:r>
                        <w:rPr/>
                        <w:t>compone</w:t>
                      </w:r>
                      <w:r>
                        <w:rPr>
                          <w:spacing w:val="-3"/>
                        </w:rPr>
                        <w:t> </w:t>
                      </w:r>
                      <w:r>
                        <w:rPr/>
                        <w:t>de las siguientes provisiones: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both"/>
        <w:rPr>
          <w:sz w:val="20"/>
        </w:rPr>
      </w:pPr>
      <w:r>
        <w:rPr>
          <w:sz w:val="20"/>
        </w:rPr>
        <mc:AlternateContent>
          <mc:Choice Requires="wps">
            <w:drawing>
              <wp:anchor distT="0" distB="0" distL="0" distR="0" allowOverlap="1" layoutInCell="1" locked="0" behindDoc="1" simplePos="0" relativeHeight="473590272">
                <wp:simplePos x="0" y="0"/>
                <wp:positionH relativeFrom="page">
                  <wp:posOffset>9525</wp:posOffset>
                </wp:positionH>
                <wp:positionV relativeFrom="page">
                  <wp:posOffset>297208</wp:posOffset>
                </wp:positionV>
                <wp:extent cx="7762875" cy="9748520"/>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7762875" cy="9748520"/>
                          <a:chExt cx="7762875" cy="9748520"/>
                        </a:xfrm>
                      </wpg:grpSpPr>
                      <pic:pic>
                        <pic:nvPicPr>
                          <pic:cNvPr id="394" name="Image 394"/>
                          <pic:cNvPicPr/>
                        </pic:nvPicPr>
                        <pic:blipFill>
                          <a:blip r:embed="rId5" cstate="print"/>
                          <a:stretch>
                            <a:fillRect/>
                          </a:stretch>
                        </pic:blipFill>
                        <pic:spPr>
                          <a:xfrm>
                            <a:off x="0" y="0"/>
                            <a:ext cx="7762874" cy="9748489"/>
                          </a:xfrm>
                          <a:prstGeom prst="rect">
                            <a:avLst/>
                          </a:prstGeom>
                        </pic:spPr>
                      </pic:pic>
                      <wps:wsp>
                        <wps:cNvPr id="395" name="Graphic 39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6208" id="docshapegroup372" coordorigin="15,468" coordsize="12225,15352">
                <v:shape style="position:absolute;left:15;top:468;width:12225;height:15352" type="#_x0000_t75" id="docshape373" stroked="false">
                  <v:imagedata r:id="rId5" o:title=""/>
                </v:shape>
                <v:rect style="position:absolute;left:1673;top:2028;width:8897;height:15" id="docshape37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80</w:t>
      </w:r>
    </w:p>
    <w:p>
      <w:pPr>
        <w:pStyle w:val="BodyText"/>
        <w:rPr>
          <w:sz w:val="19"/>
        </w:rPr>
      </w:pPr>
    </w:p>
    <w:tbl>
      <w:tblPr>
        <w:tblW w:w="0" w:type="auto"/>
        <w:jc w:val="left"/>
        <w:tblInd w:w="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1"/>
        <w:gridCol w:w="4148"/>
        <w:gridCol w:w="1594"/>
        <w:gridCol w:w="1391"/>
        <w:gridCol w:w="722"/>
      </w:tblGrid>
      <w:tr>
        <w:trPr>
          <w:trHeight w:val="231" w:hRule="atLeast"/>
        </w:trPr>
        <w:tc>
          <w:tcPr>
            <w:tcW w:w="1141" w:type="dxa"/>
            <w:vMerge w:val="restart"/>
            <w:tcBorders>
              <w:top w:val="single" w:sz="4" w:space="0" w:color="000000"/>
              <w:left w:val="single" w:sz="4" w:space="0" w:color="000000"/>
              <w:right w:val="single" w:sz="2" w:space="0" w:color="000000"/>
            </w:tcBorders>
          </w:tcPr>
          <w:p>
            <w:pPr>
              <w:pStyle w:val="TableParagraph"/>
              <w:rPr>
                <w:rFonts w:ascii="Times New Roman"/>
                <w:sz w:val="20"/>
              </w:rPr>
            </w:pPr>
          </w:p>
        </w:tc>
        <w:tc>
          <w:tcPr>
            <w:tcW w:w="4148" w:type="dxa"/>
            <w:tcBorders>
              <w:top w:val="single" w:sz="6" w:space="0" w:color="000000"/>
              <w:left w:val="single" w:sz="2" w:space="0" w:color="000000"/>
            </w:tcBorders>
            <w:shd w:val="clear" w:color="auto" w:fill="FFFFFF"/>
          </w:tcPr>
          <w:p>
            <w:pPr>
              <w:pStyle w:val="TableParagraph"/>
              <w:spacing w:line="185" w:lineRule="exact" w:before="26"/>
              <w:ind w:left="1203"/>
              <w:rPr>
                <w:rFonts w:ascii="Calibri"/>
                <w:b/>
                <w:sz w:val="16"/>
              </w:rPr>
            </w:pPr>
            <w:r>
              <w:rPr>
                <w:rFonts w:ascii="Calibri"/>
                <w:b/>
                <w:spacing w:val="-2"/>
                <w:sz w:val="16"/>
              </w:rPr>
              <w:t>Detalle</w:t>
            </w:r>
            <w:r>
              <w:rPr>
                <w:rFonts w:ascii="Calibri"/>
                <w:b/>
                <w:spacing w:val="9"/>
                <w:sz w:val="16"/>
              </w:rPr>
              <w:t> </w:t>
            </w:r>
            <w:r>
              <w:rPr>
                <w:rFonts w:ascii="Calibri"/>
                <w:b/>
                <w:spacing w:val="-2"/>
                <w:sz w:val="16"/>
              </w:rPr>
              <w:t>provisiones</w:t>
            </w:r>
            <w:r>
              <w:rPr>
                <w:rFonts w:ascii="Calibri"/>
                <w:b/>
                <w:spacing w:val="5"/>
                <w:sz w:val="16"/>
              </w:rPr>
              <w:t> </w:t>
            </w:r>
            <w:r>
              <w:rPr>
                <w:rFonts w:ascii="Calibri"/>
                <w:b/>
                <w:spacing w:val="-2"/>
                <w:sz w:val="16"/>
              </w:rPr>
              <w:t>litigios</w:t>
            </w:r>
          </w:p>
        </w:tc>
        <w:tc>
          <w:tcPr>
            <w:tcW w:w="1594" w:type="dxa"/>
            <w:tcBorders>
              <w:top w:val="single" w:sz="6" w:space="0" w:color="000000"/>
            </w:tcBorders>
            <w:shd w:val="clear" w:color="auto" w:fill="FFFFFF"/>
          </w:tcPr>
          <w:p>
            <w:pPr>
              <w:pStyle w:val="TableParagraph"/>
              <w:spacing w:line="185" w:lineRule="exact" w:before="26"/>
              <w:ind w:left="488"/>
              <w:rPr>
                <w:rFonts w:ascii="Calibri" w:hAnsi="Calibri"/>
                <w:b/>
                <w:sz w:val="16"/>
              </w:rPr>
            </w:pPr>
            <w:r>
              <w:rPr>
                <w:rFonts w:ascii="Calibri" w:hAnsi="Calibri"/>
                <w:b/>
                <w:sz w:val="16"/>
              </w:rPr>
              <w:t>Año</w:t>
            </w:r>
            <w:r>
              <w:rPr>
                <w:rFonts w:ascii="Calibri" w:hAnsi="Calibri"/>
                <w:b/>
                <w:spacing w:val="-5"/>
                <w:sz w:val="16"/>
              </w:rPr>
              <w:t> </w:t>
            </w:r>
            <w:r>
              <w:rPr>
                <w:rFonts w:ascii="Calibri" w:hAnsi="Calibri"/>
                <w:b/>
                <w:spacing w:val="-4"/>
                <w:sz w:val="16"/>
              </w:rPr>
              <w:t>2026</w:t>
            </w:r>
          </w:p>
        </w:tc>
        <w:tc>
          <w:tcPr>
            <w:tcW w:w="1391" w:type="dxa"/>
            <w:tcBorders>
              <w:top w:val="single" w:sz="6" w:space="0" w:color="000000"/>
              <w:right w:val="single" w:sz="4" w:space="0" w:color="000000"/>
            </w:tcBorders>
            <w:shd w:val="clear" w:color="auto" w:fill="FFFFFF"/>
          </w:tcPr>
          <w:p>
            <w:pPr>
              <w:pStyle w:val="TableParagraph"/>
              <w:spacing w:line="185" w:lineRule="exact" w:before="26"/>
              <w:ind w:left="388"/>
              <w:rPr>
                <w:rFonts w:ascii="Calibri" w:hAnsi="Calibri"/>
                <w:b/>
                <w:sz w:val="16"/>
              </w:rPr>
            </w:pPr>
            <w:r>
              <w:rPr>
                <w:rFonts w:ascii="Calibri" w:hAnsi="Calibri"/>
                <w:b/>
                <w:sz w:val="16"/>
              </w:rPr>
              <w:t>Año</w:t>
            </w:r>
            <w:r>
              <w:rPr>
                <w:rFonts w:ascii="Calibri" w:hAnsi="Calibri"/>
                <w:b/>
                <w:spacing w:val="-5"/>
                <w:sz w:val="16"/>
              </w:rPr>
              <w:t> </w:t>
            </w:r>
            <w:r>
              <w:rPr>
                <w:rFonts w:ascii="Calibri" w:hAnsi="Calibri"/>
                <w:b/>
                <w:spacing w:val="-4"/>
                <w:sz w:val="16"/>
              </w:rPr>
              <w:t>2025</w:t>
            </w:r>
          </w:p>
        </w:tc>
        <w:tc>
          <w:tcPr>
            <w:tcW w:w="722"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tc>
      </w:tr>
      <w:tr>
        <w:trPr>
          <w:trHeight w:val="228" w:hRule="atLeast"/>
        </w:trPr>
        <w:tc>
          <w:tcPr>
            <w:tcW w:w="1141" w:type="dxa"/>
            <w:vMerge/>
            <w:tcBorders>
              <w:top w:val="nil"/>
              <w:left w:val="single" w:sz="4" w:space="0" w:color="000000"/>
              <w:right w:val="single" w:sz="2" w:space="0" w:color="000000"/>
            </w:tcBorders>
          </w:tcPr>
          <w:p>
            <w:pPr>
              <w:rPr>
                <w:sz w:val="2"/>
                <w:szCs w:val="2"/>
              </w:rPr>
            </w:pPr>
          </w:p>
        </w:tc>
        <w:tc>
          <w:tcPr>
            <w:tcW w:w="4148" w:type="dxa"/>
            <w:tcBorders>
              <w:left w:val="single" w:sz="2" w:space="0" w:color="000000"/>
            </w:tcBorders>
          </w:tcPr>
          <w:p>
            <w:pPr>
              <w:pStyle w:val="TableParagraph"/>
              <w:spacing w:before="24"/>
              <w:ind w:left="145"/>
              <w:rPr>
                <w:rFonts w:ascii="Times New Roman"/>
                <w:sz w:val="16"/>
              </w:rPr>
            </w:pPr>
            <w:r>
              <w:rPr>
                <w:rFonts w:ascii="Times New Roman"/>
                <w:spacing w:val="-2"/>
                <w:sz w:val="16"/>
              </w:rPr>
              <w:t>Provisiones</w:t>
            </w:r>
            <w:r>
              <w:rPr>
                <w:rFonts w:ascii="Times New Roman"/>
                <w:spacing w:val="-8"/>
                <w:sz w:val="16"/>
              </w:rPr>
              <w:t> </w:t>
            </w:r>
            <w:r>
              <w:rPr>
                <w:rFonts w:ascii="Times New Roman"/>
                <w:spacing w:val="-2"/>
                <w:sz w:val="16"/>
              </w:rPr>
              <w:t>para</w:t>
            </w:r>
            <w:r>
              <w:rPr>
                <w:rFonts w:ascii="Times New Roman"/>
                <w:spacing w:val="-4"/>
                <w:sz w:val="16"/>
              </w:rPr>
              <w:t> </w:t>
            </w:r>
            <w:r>
              <w:rPr>
                <w:rFonts w:ascii="Times New Roman"/>
                <w:spacing w:val="-2"/>
                <w:sz w:val="16"/>
              </w:rPr>
              <w:t>litigios</w:t>
            </w:r>
            <w:r>
              <w:rPr>
                <w:rFonts w:ascii="Times New Roman"/>
                <w:spacing w:val="-8"/>
                <w:sz w:val="16"/>
              </w:rPr>
              <w:t> </w:t>
            </w:r>
            <w:r>
              <w:rPr>
                <w:rFonts w:ascii="Times New Roman"/>
                <w:spacing w:val="-2"/>
                <w:sz w:val="16"/>
              </w:rPr>
              <w:t>y</w:t>
            </w:r>
            <w:r>
              <w:rPr>
                <w:rFonts w:ascii="Times New Roman"/>
                <w:spacing w:val="-6"/>
                <w:sz w:val="16"/>
              </w:rPr>
              <w:t> </w:t>
            </w:r>
            <w:r>
              <w:rPr>
                <w:rFonts w:ascii="Times New Roman"/>
                <w:spacing w:val="-2"/>
                <w:sz w:val="16"/>
              </w:rPr>
              <w:t>demandas</w:t>
            </w:r>
            <w:r>
              <w:rPr>
                <w:rFonts w:ascii="Times New Roman"/>
                <w:spacing w:val="-8"/>
                <w:sz w:val="16"/>
              </w:rPr>
              <w:t> </w:t>
            </w:r>
            <w:r>
              <w:rPr>
                <w:rFonts w:ascii="Times New Roman"/>
                <w:spacing w:val="-2"/>
                <w:sz w:val="16"/>
              </w:rPr>
              <w:t>laborales</w:t>
            </w:r>
          </w:p>
        </w:tc>
        <w:tc>
          <w:tcPr>
            <w:tcW w:w="1594" w:type="dxa"/>
          </w:tcPr>
          <w:p>
            <w:pPr>
              <w:pStyle w:val="TableParagraph"/>
              <w:spacing w:before="24"/>
              <w:ind w:right="92"/>
              <w:jc w:val="right"/>
              <w:rPr>
                <w:rFonts w:ascii="Times New Roman"/>
                <w:sz w:val="16"/>
              </w:rPr>
            </w:pPr>
            <w:r>
              <w:rPr>
                <w:rFonts w:ascii="Times New Roman"/>
                <w:sz w:val="16"/>
              </w:rPr>
              <w:t>1 525 </w:t>
            </w:r>
            <w:r>
              <w:rPr>
                <w:rFonts w:ascii="Times New Roman"/>
                <w:spacing w:val="-2"/>
                <w:sz w:val="16"/>
              </w:rPr>
              <w:t>012,42</w:t>
            </w:r>
          </w:p>
        </w:tc>
        <w:tc>
          <w:tcPr>
            <w:tcW w:w="1391" w:type="dxa"/>
            <w:tcBorders>
              <w:right w:val="single" w:sz="4" w:space="0" w:color="000000"/>
            </w:tcBorders>
          </w:tcPr>
          <w:p>
            <w:pPr>
              <w:pStyle w:val="TableParagraph"/>
              <w:spacing w:before="24"/>
              <w:ind w:right="77"/>
              <w:jc w:val="right"/>
              <w:rPr>
                <w:rFonts w:ascii="Times New Roman"/>
                <w:sz w:val="16"/>
              </w:rPr>
            </w:pPr>
            <w:r>
              <w:rPr>
                <w:rFonts w:ascii="Times New Roman"/>
                <w:sz w:val="16"/>
              </w:rPr>
              <w:t>492</w:t>
            </w:r>
            <w:r>
              <w:rPr>
                <w:rFonts w:ascii="Times New Roman"/>
                <w:spacing w:val="1"/>
                <w:sz w:val="16"/>
              </w:rPr>
              <w:t> </w:t>
            </w:r>
            <w:r>
              <w:rPr>
                <w:rFonts w:ascii="Times New Roman"/>
                <w:spacing w:val="-2"/>
                <w:sz w:val="16"/>
              </w:rPr>
              <w:t>416,39</w:t>
            </w:r>
          </w:p>
        </w:tc>
        <w:tc>
          <w:tcPr>
            <w:tcW w:w="722" w:type="dxa"/>
            <w:vMerge/>
            <w:tcBorders>
              <w:top w:val="nil"/>
              <w:left w:val="single" w:sz="4" w:space="0" w:color="000000"/>
              <w:right w:val="single" w:sz="4" w:space="0" w:color="000000"/>
            </w:tcBorders>
          </w:tcPr>
          <w:p>
            <w:pPr>
              <w:rPr>
                <w:sz w:val="2"/>
                <w:szCs w:val="2"/>
              </w:rPr>
            </w:pPr>
          </w:p>
        </w:tc>
      </w:tr>
      <w:tr>
        <w:trPr>
          <w:trHeight w:val="229" w:hRule="atLeast"/>
        </w:trPr>
        <w:tc>
          <w:tcPr>
            <w:tcW w:w="1141" w:type="dxa"/>
            <w:vMerge/>
            <w:tcBorders>
              <w:top w:val="nil"/>
              <w:left w:val="single" w:sz="4" w:space="0" w:color="000000"/>
              <w:right w:val="single" w:sz="2" w:space="0" w:color="000000"/>
            </w:tcBorders>
          </w:tcPr>
          <w:p>
            <w:pPr>
              <w:rPr>
                <w:sz w:val="2"/>
                <w:szCs w:val="2"/>
              </w:rPr>
            </w:pPr>
          </w:p>
        </w:tc>
        <w:tc>
          <w:tcPr>
            <w:tcW w:w="4148" w:type="dxa"/>
            <w:tcBorders>
              <w:left w:val="single" w:sz="2" w:space="0" w:color="000000"/>
            </w:tcBorders>
          </w:tcPr>
          <w:p>
            <w:pPr>
              <w:pStyle w:val="TableParagraph"/>
              <w:spacing w:line="183" w:lineRule="exact" w:before="27"/>
              <w:ind w:left="145"/>
              <w:rPr>
                <w:rFonts w:ascii="Times New Roman"/>
                <w:sz w:val="16"/>
              </w:rPr>
            </w:pPr>
            <w:r>
              <w:rPr>
                <w:rFonts w:ascii="Times New Roman"/>
                <w:spacing w:val="-2"/>
                <w:sz w:val="16"/>
              </w:rPr>
              <w:t>Provisiones</w:t>
            </w:r>
            <w:r>
              <w:rPr>
                <w:rFonts w:ascii="Times New Roman"/>
                <w:spacing w:val="-8"/>
                <w:sz w:val="16"/>
              </w:rPr>
              <w:t> </w:t>
            </w:r>
            <w:r>
              <w:rPr>
                <w:rFonts w:ascii="Times New Roman"/>
                <w:spacing w:val="-2"/>
                <w:sz w:val="16"/>
              </w:rPr>
              <w:t>otros</w:t>
            </w:r>
            <w:r>
              <w:rPr>
                <w:rFonts w:ascii="Times New Roman"/>
                <w:spacing w:val="-8"/>
                <w:sz w:val="16"/>
              </w:rPr>
              <w:t> </w:t>
            </w:r>
            <w:r>
              <w:rPr>
                <w:rFonts w:ascii="Times New Roman"/>
                <w:spacing w:val="-2"/>
                <w:sz w:val="16"/>
              </w:rPr>
              <w:t>litigios</w:t>
            </w:r>
            <w:r>
              <w:rPr>
                <w:rFonts w:ascii="Times New Roman"/>
                <w:spacing w:val="-8"/>
                <w:sz w:val="16"/>
              </w:rPr>
              <w:t> </w:t>
            </w:r>
            <w:r>
              <w:rPr>
                <w:rFonts w:ascii="Times New Roman"/>
                <w:spacing w:val="-2"/>
                <w:sz w:val="16"/>
              </w:rPr>
              <w:t>y</w:t>
            </w:r>
            <w:r>
              <w:rPr>
                <w:rFonts w:ascii="Times New Roman"/>
                <w:spacing w:val="-7"/>
                <w:sz w:val="16"/>
              </w:rPr>
              <w:t> </w:t>
            </w:r>
            <w:r>
              <w:rPr>
                <w:rFonts w:ascii="Times New Roman"/>
                <w:spacing w:val="-2"/>
                <w:sz w:val="16"/>
              </w:rPr>
              <w:t>demandas</w:t>
            </w:r>
          </w:p>
        </w:tc>
        <w:tc>
          <w:tcPr>
            <w:tcW w:w="1594" w:type="dxa"/>
          </w:tcPr>
          <w:p>
            <w:pPr>
              <w:pStyle w:val="TableParagraph"/>
              <w:tabs>
                <w:tab w:pos="811" w:val="left" w:leader="none"/>
              </w:tabs>
              <w:spacing w:before="12"/>
              <w:ind w:right="63"/>
              <w:jc w:val="right"/>
              <w:rPr>
                <w:rFonts w:ascii="Times New Roman"/>
                <w:sz w:val="16"/>
              </w:rPr>
            </w:pPr>
            <w:r>
              <w:rPr>
                <w:rFonts w:ascii="Times New Roman"/>
                <w:sz w:val="16"/>
                <w:u w:val="single"/>
              </w:rPr>
              <w:tab/>
              <w:t>59 </w:t>
            </w:r>
            <w:r>
              <w:rPr>
                <w:rFonts w:ascii="Times New Roman"/>
                <w:spacing w:val="-2"/>
                <w:sz w:val="16"/>
                <w:u w:val="single"/>
              </w:rPr>
              <w:t>955,92</w:t>
            </w:r>
          </w:p>
        </w:tc>
        <w:tc>
          <w:tcPr>
            <w:tcW w:w="1391" w:type="dxa"/>
            <w:tcBorders>
              <w:right w:val="single" w:sz="4" w:space="0" w:color="000000"/>
            </w:tcBorders>
          </w:tcPr>
          <w:p>
            <w:pPr>
              <w:pStyle w:val="TableParagraph"/>
              <w:tabs>
                <w:tab w:pos="502" w:val="left" w:leader="none"/>
              </w:tabs>
              <w:spacing w:before="12"/>
              <w:ind w:right="77"/>
              <w:jc w:val="right"/>
              <w:rPr>
                <w:rFonts w:ascii="Times New Roman"/>
                <w:sz w:val="16"/>
              </w:rPr>
            </w:pPr>
            <w:r>
              <w:rPr>
                <w:rFonts w:ascii="Times New Roman"/>
                <w:sz w:val="16"/>
                <w:u w:val="single"/>
              </w:rPr>
              <w:tab/>
              <w:t>104</w:t>
            </w:r>
            <w:r>
              <w:rPr>
                <w:rFonts w:ascii="Times New Roman"/>
                <w:spacing w:val="1"/>
                <w:sz w:val="16"/>
                <w:u w:val="single"/>
              </w:rPr>
              <w:t> </w:t>
            </w:r>
            <w:r>
              <w:rPr>
                <w:rFonts w:ascii="Times New Roman"/>
                <w:spacing w:val="-2"/>
                <w:sz w:val="16"/>
                <w:u w:val="single"/>
              </w:rPr>
              <w:t>949,06</w:t>
            </w:r>
          </w:p>
        </w:tc>
        <w:tc>
          <w:tcPr>
            <w:tcW w:w="722" w:type="dxa"/>
            <w:vMerge/>
            <w:tcBorders>
              <w:top w:val="nil"/>
              <w:left w:val="single" w:sz="4" w:space="0" w:color="000000"/>
              <w:right w:val="single" w:sz="4" w:space="0" w:color="000000"/>
            </w:tcBorders>
          </w:tcPr>
          <w:p>
            <w:pPr>
              <w:rPr>
                <w:sz w:val="2"/>
                <w:szCs w:val="2"/>
              </w:rPr>
            </w:pPr>
          </w:p>
        </w:tc>
      </w:tr>
      <w:tr>
        <w:trPr>
          <w:trHeight w:val="236" w:hRule="atLeast"/>
        </w:trPr>
        <w:tc>
          <w:tcPr>
            <w:tcW w:w="1141" w:type="dxa"/>
            <w:vMerge/>
            <w:tcBorders>
              <w:top w:val="nil"/>
              <w:left w:val="single" w:sz="4" w:space="0" w:color="000000"/>
              <w:right w:val="single" w:sz="2" w:space="0" w:color="000000"/>
            </w:tcBorders>
          </w:tcPr>
          <w:p>
            <w:pPr>
              <w:rPr>
                <w:sz w:val="2"/>
                <w:szCs w:val="2"/>
              </w:rPr>
            </w:pPr>
          </w:p>
        </w:tc>
        <w:tc>
          <w:tcPr>
            <w:tcW w:w="4148" w:type="dxa"/>
            <w:tcBorders>
              <w:left w:val="single" w:sz="2" w:space="0" w:color="000000"/>
            </w:tcBorders>
            <w:shd w:val="clear" w:color="auto" w:fill="FFFFFF"/>
          </w:tcPr>
          <w:p>
            <w:pPr>
              <w:pStyle w:val="TableParagraph"/>
              <w:spacing w:before="28"/>
              <w:jc w:val="center"/>
              <w:rPr>
                <w:rFonts w:ascii="Arial Narrow"/>
                <w:b/>
                <w:sz w:val="16"/>
              </w:rPr>
            </w:pPr>
            <w:r>
              <w:rPr>
                <w:rFonts w:ascii="Arial Narrow"/>
                <w:b/>
                <w:spacing w:val="-2"/>
                <w:sz w:val="16"/>
              </w:rPr>
              <w:t>Subtotal</w:t>
            </w:r>
          </w:p>
        </w:tc>
        <w:tc>
          <w:tcPr>
            <w:tcW w:w="1594" w:type="dxa"/>
          </w:tcPr>
          <w:p>
            <w:pPr>
              <w:pStyle w:val="TableParagraph"/>
              <w:spacing w:before="29"/>
              <w:ind w:right="92"/>
              <w:jc w:val="right"/>
              <w:rPr>
                <w:rFonts w:ascii="Times New Roman"/>
                <w:sz w:val="16"/>
              </w:rPr>
            </w:pPr>
            <w:r>
              <w:rPr>
                <w:rFonts w:ascii="Times New Roman"/>
                <w:sz w:val="16"/>
              </w:rPr>
              <w:t>1 584 </w:t>
            </w:r>
            <w:r>
              <w:rPr>
                <w:rFonts w:ascii="Times New Roman"/>
                <w:spacing w:val="-2"/>
                <w:sz w:val="16"/>
              </w:rPr>
              <w:t>968,34</w:t>
            </w:r>
          </w:p>
        </w:tc>
        <w:tc>
          <w:tcPr>
            <w:tcW w:w="1391" w:type="dxa"/>
            <w:tcBorders>
              <w:right w:val="single" w:sz="4" w:space="0" w:color="000000"/>
            </w:tcBorders>
          </w:tcPr>
          <w:p>
            <w:pPr>
              <w:pStyle w:val="TableParagraph"/>
              <w:spacing w:before="29"/>
              <w:ind w:right="77"/>
              <w:jc w:val="right"/>
              <w:rPr>
                <w:rFonts w:ascii="Times New Roman"/>
                <w:sz w:val="16"/>
              </w:rPr>
            </w:pPr>
            <w:r>
              <w:rPr>
                <w:rFonts w:ascii="Times New Roman"/>
                <w:sz w:val="16"/>
              </w:rPr>
              <w:t>597</w:t>
            </w:r>
            <w:r>
              <w:rPr>
                <w:rFonts w:ascii="Times New Roman"/>
                <w:spacing w:val="1"/>
                <w:sz w:val="16"/>
              </w:rPr>
              <w:t> </w:t>
            </w:r>
            <w:r>
              <w:rPr>
                <w:rFonts w:ascii="Times New Roman"/>
                <w:spacing w:val="-2"/>
                <w:sz w:val="16"/>
              </w:rPr>
              <w:t>365,46</w:t>
            </w:r>
          </w:p>
        </w:tc>
        <w:tc>
          <w:tcPr>
            <w:tcW w:w="722" w:type="dxa"/>
            <w:vMerge/>
            <w:tcBorders>
              <w:top w:val="nil"/>
              <w:left w:val="single" w:sz="4" w:space="0" w:color="000000"/>
              <w:right w:val="single" w:sz="4" w:space="0" w:color="000000"/>
            </w:tcBorders>
          </w:tcPr>
          <w:p>
            <w:pPr>
              <w:rPr>
                <w:sz w:val="2"/>
                <w:szCs w:val="2"/>
              </w:rPr>
            </w:pPr>
          </w:p>
        </w:tc>
      </w:tr>
      <w:tr>
        <w:trPr>
          <w:trHeight w:val="226" w:hRule="atLeast"/>
        </w:trPr>
        <w:tc>
          <w:tcPr>
            <w:tcW w:w="1141" w:type="dxa"/>
            <w:vMerge/>
            <w:tcBorders>
              <w:top w:val="nil"/>
              <w:left w:val="single" w:sz="4" w:space="0" w:color="000000"/>
              <w:right w:val="single" w:sz="2" w:space="0" w:color="000000"/>
            </w:tcBorders>
          </w:tcPr>
          <w:p>
            <w:pPr>
              <w:rPr>
                <w:sz w:val="2"/>
                <w:szCs w:val="2"/>
              </w:rPr>
            </w:pPr>
          </w:p>
        </w:tc>
        <w:tc>
          <w:tcPr>
            <w:tcW w:w="4148" w:type="dxa"/>
            <w:tcBorders>
              <w:left w:val="single" w:sz="2" w:space="0" w:color="000000"/>
            </w:tcBorders>
          </w:tcPr>
          <w:p>
            <w:pPr>
              <w:pStyle w:val="TableParagraph"/>
              <w:spacing w:line="183" w:lineRule="exact" w:before="24"/>
              <w:ind w:left="145"/>
              <w:rPr>
                <w:rFonts w:ascii="Times New Roman"/>
                <w:sz w:val="16"/>
              </w:rPr>
            </w:pPr>
            <w:r>
              <w:rPr>
                <w:rFonts w:ascii="Times New Roman"/>
                <w:spacing w:val="-4"/>
                <w:sz w:val="16"/>
              </w:rPr>
              <w:t>Provisiones</w:t>
            </w:r>
            <w:r>
              <w:rPr>
                <w:rFonts w:ascii="Times New Roman"/>
                <w:spacing w:val="5"/>
                <w:sz w:val="16"/>
              </w:rPr>
              <w:t> </w:t>
            </w:r>
            <w:r>
              <w:rPr>
                <w:rFonts w:ascii="Times New Roman"/>
                <w:spacing w:val="-2"/>
                <w:sz w:val="16"/>
              </w:rPr>
              <w:t>varias</w:t>
            </w:r>
          </w:p>
        </w:tc>
        <w:tc>
          <w:tcPr>
            <w:tcW w:w="1594" w:type="dxa"/>
          </w:tcPr>
          <w:p>
            <w:pPr>
              <w:pStyle w:val="TableParagraph"/>
              <w:tabs>
                <w:tab w:pos="734" w:val="left" w:leader="none"/>
              </w:tabs>
              <w:spacing w:before="9"/>
              <w:ind w:right="58"/>
              <w:jc w:val="right"/>
              <w:rPr>
                <w:rFonts w:ascii="Times New Roman"/>
                <w:sz w:val="16"/>
              </w:rPr>
            </w:pPr>
            <w:r>
              <w:rPr>
                <w:rFonts w:ascii="Times New Roman"/>
                <w:sz w:val="16"/>
                <w:u w:val="single"/>
              </w:rPr>
              <w:tab/>
              <w:t>777</w:t>
            </w:r>
            <w:r>
              <w:rPr>
                <w:rFonts w:ascii="Times New Roman"/>
                <w:spacing w:val="1"/>
                <w:sz w:val="16"/>
                <w:u w:val="single"/>
              </w:rPr>
              <w:t> </w:t>
            </w:r>
            <w:r>
              <w:rPr>
                <w:rFonts w:ascii="Times New Roman"/>
                <w:spacing w:val="-2"/>
                <w:sz w:val="16"/>
                <w:u w:val="single"/>
              </w:rPr>
              <w:t>601,19</w:t>
            </w:r>
          </w:p>
        </w:tc>
        <w:tc>
          <w:tcPr>
            <w:tcW w:w="1391" w:type="dxa"/>
            <w:tcBorders>
              <w:right w:val="single" w:sz="4" w:space="0" w:color="000000"/>
            </w:tcBorders>
          </w:tcPr>
          <w:p>
            <w:pPr>
              <w:pStyle w:val="TableParagraph"/>
              <w:tabs>
                <w:tab w:pos="502" w:val="left" w:leader="none"/>
              </w:tabs>
              <w:spacing w:before="9"/>
              <w:ind w:right="77"/>
              <w:jc w:val="right"/>
              <w:rPr>
                <w:rFonts w:ascii="Times New Roman"/>
                <w:sz w:val="16"/>
              </w:rPr>
            </w:pPr>
            <w:r>
              <w:rPr>
                <w:rFonts w:ascii="Times New Roman"/>
                <w:sz w:val="16"/>
                <w:u w:val="single"/>
              </w:rPr>
              <w:tab/>
              <w:t>892</w:t>
            </w:r>
            <w:r>
              <w:rPr>
                <w:rFonts w:ascii="Times New Roman"/>
                <w:spacing w:val="1"/>
                <w:sz w:val="16"/>
                <w:u w:val="single"/>
              </w:rPr>
              <w:t> </w:t>
            </w:r>
            <w:r>
              <w:rPr>
                <w:rFonts w:ascii="Times New Roman"/>
                <w:spacing w:val="-2"/>
                <w:sz w:val="16"/>
                <w:u w:val="single"/>
              </w:rPr>
              <w:t>278,74</w:t>
            </w:r>
          </w:p>
        </w:tc>
        <w:tc>
          <w:tcPr>
            <w:tcW w:w="722" w:type="dxa"/>
            <w:vMerge/>
            <w:tcBorders>
              <w:top w:val="nil"/>
              <w:left w:val="single" w:sz="4" w:space="0" w:color="000000"/>
              <w:right w:val="single" w:sz="4" w:space="0" w:color="000000"/>
            </w:tcBorders>
          </w:tcPr>
          <w:p>
            <w:pPr>
              <w:rPr>
                <w:sz w:val="2"/>
                <w:szCs w:val="2"/>
              </w:rPr>
            </w:pPr>
          </w:p>
        </w:tc>
      </w:tr>
      <w:tr>
        <w:trPr>
          <w:trHeight w:val="231" w:hRule="atLeast"/>
        </w:trPr>
        <w:tc>
          <w:tcPr>
            <w:tcW w:w="1141" w:type="dxa"/>
            <w:vMerge/>
            <w:tcBorders>
              <w:top w:val="nil"/>
              <w:left w:val="single" w:sz="4" w:space="0" w:color="000000"/>
              <w:right w:val="single" w:sz="2" w:space="0" w:color="000000"/>
            </w:tcBorders>
          </w:tcPr>
          <w:p>
            <w:pPr>
              <w:rPr>
                <w:sz w:val="2"/>
                <w:szCs w:val="2"/>
              </w:rPr>
            </w:pPr>
          </w:p>
        </w:tc>
        <w:tc>
          <w:tcPr>
            <w:tcW w:w="4148" w:type="dxa"/>
            <w:tcBorders>
              <w:left w:val="single" w:sz="2" w:space="0" w:color="000000"/>
              <w:bottom w:val="single" w:sz="4" w:space="0" w:color="000000"/>
            </w:tcBorders>
            <w:shd w:val="clear" w:color="auto" w:fill="FFFFFF"/>
          </w:tcPr>
          <w:p>
            <w:pPr>
              <w:pStyle w:val="TableParagraph"/>
              <w:spacing w:line="183" w:lineRule="exact" w:before="28"/>
              <w:jc w:val="center"/>
              <w:rPr>
                <w:rFonts w:ascii="Arial Narrow"/>
                <w:b/>
                <w:sz w:val="16"/>
              </w:rPr>
            </w:pPr>
            <w:r>
              <w:rPr>
                <w:rFonts w:ascii="Arial Narrow"/>
                <w:b/>
                <w:spacing w:val="-2"/>
                <w:sz w:val="16"/>
              </w:rPr>
              <w:t>Total</w:t>
            </w:r>
          </w:p>
        </w:tc>
        <w:tc>
          <w:tcPr>
            <w:tcW w:w="1594" w:type="dxa"/>
            <w:tcBorders>
              <w:bottom w:val="single" w:sz="4" w:space="0" w:color="000000"/>
            </w:tcBorders>
          </w:tcPr>
          <w:p>
            <w:pPr>
              <w:pStyle w:val="TableParagraph"/>
              <w:spacing w:line="178" w:lineRule="exact" w:before="34"/>
              <w:ind w:right="92"/>
              <w:jc w:val="right"/>
              <w:rPr>
                <w:rFonts w:ascii="Times New Roman"/>
                <w:b/>
                <w:sz w:val="16"/>
              </w:rPr>
            </w:pPr>
            <w:r>
              <w:rPr>
                <w:rFonts w:ascii="Times New Roman"/>
                <w:b/>
                <w:sz w:val="16"/>
              </w:rPr>
              <w:t>2 362 </w:t>
            </w:r>
            <w:r>
              <w:rPr>
                <w:rFonts w:ascii="Times New Roman"/>
                <w:b/>
                <w:spacing w:val="-2"/>
                <w:sz w:val="16"/>
              </w:rPr>
              <w:t>569,54</w:t>
            </w:r>
          </w:p>
        </w:tc>
        <w:tc>
          <w:tcPr>
            <w:tcW w:w="1391" w:type="dxa"/>
            <w:tcBorders>
              <w:bottom w:val="single" w:sz="4" w:space="0" w:color="000000"/>
              <w:right w:val="single" w:sz="4" w:space="0" w:color="000000"/>
            </w:tcBorders>
          </w:tcPr>
          <w:p>
            <w:pPr>
              <w:pStyle w:val="TableParagraph"/>
              <w:spacing w:line="178" w:lineRule="exact" w:before="34"/>
              <w:ind w:right="72"/>
              <w:jc w:val="right"/>
              <w:rPr>
                <w:rFonts w:ascii="Times New Roman"/>
                <w:b/>
                <w:sz w:val="16"/>
              </w:rPr>
            </w:pPr>
            <w:r>
              <w:rPr>
                <w:rFonts w:ascii="Times New Roman"/>
                <w:b/>
                <w:sz w:val="16"/>
              </w:rPr>
              <w:t>1 489 </w:t>
            </w:r>
            <w:r>
              <w:rPr>
                <w:rFonts w:ascii="Times New Roman"/>
                <w:b/>
                <w:spacing w:val="-2"/>
                <w:sz w:val="16"/>
              </w:rPr>
              <w:t>644,19</w:t>
            </w:r>
          </w:p>
        </w:tc>
        <w:tc>
          <w:tcPr>
            <w:tcW w:w="722" w:type="dxa"/>
            <w:vMerge/>
            <w:tcBorders>
              <w:top w:val="nil"/>
              <w:left w:val="single" w:sz="4" w:space="0" w:color="000000"/>
              <w:right w:val="single" w:sz="4" w:space="0" w:color="000000"/>
            </w:tcBorders>
          </w:tcPr>
          <w:p>
            <w:pPr>
              <w:rPr>
                <w:sz w:val="2"/>
                <w:szCs w:val="2"/>
              </w:rPr>
            </w:pPr>
          </w:p>
        </w:tc>
      </w:tr>
      <w:tr>
        <w:trPr>
          <w:trHeight w:val="171" w:hRule="atLeast"/>
        </w:trPr>
        <w:tc>
          <w:tcPr>
            <w:tcW w:w="8996" w:type="dxa"/>
            <w:gridSpan w:val="5"/>
            <w:tcBorders>
              <w:left w:val="single" w:sz="4" w:space="0" w:color="000000"/>
              <w:bottom w:val="single" w:sz="4" w:space="0" w:color="000000"/>
              <w:right w:val="single" w:sz="4" w:space="0" w:color="000000"/>
            </w:tcBorders>
          </w:tcPr>
          <w:p>
            <w:pPr>
              <w:pStyle w:val="TableParagraph"/>
              <w:rPr>
                <w:rFonts w:ascii="Times New Roman"/>
                <w:sz w:val="10"/>
              </w:rPr>
            </w:pPr>
          </w:p>
        </w:tc>
      </w:tr>
    </w:tbl>
    <w:p>
      <w:pPr>
        <w:pStyle w:val="BodyText"/>
        <w:spacing w:before="26"/>
        <w:rPr>
          <w:sz w:val="20"/>
        </w:rPr>
      </w:pPr>
    </w:p>
    <w:p>
      <w:pPr>
        <w:pStyle w:val="Heading6"/>
        <w:spacing w:line="250" w:lineRule="exact"/>
        <w:ind w:left="622"/>
        <w:rPr>
          <w:b w:val="0"/>
        </w:rPr>
      </w:pPr>
      <w:r>
        <w:rPr>
          <w:spacing w:val="-2"/>
        </w:rPr>
        <w:t>Revelación</w:t>
      </w:r>
      <w:r>
        <w:rPr>
          <w:b w:val="0"/>
          <w:spacing w:val="-2"/>
        </w:rPr>
        <w:t>:</w:t>
      </w:r>
    </w:p>
    <w:p>
      <w:pPr>
        <w:pStyle w:val="BodyText"/>
        <w:ind w:left="622" w:right="973"/>
        <w:jc w:val="both"/>
      </w:pPr>
      <w:r>
        <w:rPr/>
        <w:t>La cuenta Provisiones y reservas técnicas a corto plazo, representa el 28,32% del total de Pasivo, que comparado al periodo anterior genera una variación absoluta de ¢ 872.925,34 que corresponde a un aumento del 58,60% de recursos disponibles, producto del registro de nuevos procesos judiciales correspondiente a reclamos de derechos laborales.</w:t>
      </w:r>
    </w:p>
    <w:p>
      <w:pPr>
        <w:pStyle w:val="BodyText"/>
        <w:spacing w:before="181"/>
        <w:rPr>
          <w:sz w:val="20"/>
        </w:rPr>
      </w:pPr>
      <w:r>
        <w:rPr>
          <w:sz w:val="20"/>
        </w:rPr>
        <mc:AlternateContent>
          <mc:Choice Requires="wps">
            <w:drawing>
              <wp:anchor distT="0" distB="0" distL="0" distR="0" allowOverlap="1" layoutInCell="1" locked="0" behindDoc="1" simplePos="0" relativeHeight="487652352">
                <wp:simplePos x="0" y="0"/>
                <wp:positionH relativeFrom="page">
                  <wp:posOffset>1080820</wp:posOffset>
                </wp:positionH>
                <wp:positionV relativeFrom="paragraph">
                  <wp:posOffset>278292</wp:posOffset>
                </wp:positionV>
                <wp:extent cx="5715000" cy="2223770"/>
                <wp:effectExtent l="0" t="0" r="0" b="0"/>
                <wp:wrapTopAndBottom/>
                <wp:docPr id="396" name="Textbox 396"/>
                <wp:cNvGraphicFramePr>
                  <a:graphicFrameLocks/>
                </wp:cNvGraphicFramePr>
                <a:graphic>
                  <a:graphicData uri="http://schemas.microsoft.com/office/word/2010/wordprocessingShape">
                    <wps:wsp>
                      <wps:cNvPr id="396" name="Textbox 396"/>
                      <wps:cNvSpPr txBox="1"/>
                      <wps:spPr>
                        <a:xfrm>
                          <a:off x="0" y="0"/>
                          <a:ext cx="5715000" cy="222377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3"/>
                              <w:jc w:val="both"/>
                            </w:pPr>
                            <w:r>
                              <w:rPr/>
                              <w:t>La cuenta de "provisiones y reservas técnicas a corto plazo" refleja las estimaciones económicas de carácter corriente que realiza la entidad para cubrir posibles obligaciones previsibles y cuantificables dentro de un vencimiento inferior a un año. Estas provisiones están destinadas a anticipar y cubrir compromisos</w:t>
                            </w:r>
                            <w:r>
                              <w:rPr>
                                <w:spacing w:val="-6"/>
                              </w:rPr>
                              <w:t> </w:t>
                            </w:r>
                            <w:r>
                              <w:rPr/>
                              <w:t>futuros</w:t>
                            </w:r>
                            <w:r>
                              <w:rPr>
                                <w:spacing w:val="-6"/>
                              </w:rPr>
                              <w:t> </w:t>
                            </w:r>
                            <w:r>
                              <w:rPr/>
                              <w:t>relacionados</w:t>
                            </w:r>
                            <w:r>
                              <w:rPr>
                                <w:spacing w:val="-6"/>
                              </w:rPr>
                              <w:t> </w:t>
                            </w:r>
                            <w:r>
                              <w:rPr/>
                              <w:t>con</w:t>
                            </w:r>
                            <w:r>
                              <w:rPr>
                                <w:spacing w:val="-6"/>
                              </w:rPr>
                              <w:t> </w:t>
                            </w:r>
                            <w:r>
                              <w:rPr/>
                              <w:t>derechos</w:t>
                            </w:r>
                            <w:r>
                              <w:rPr>
                                <w:spacing w:val="-6"/>
                              </w:rPr>
                              <w:t> </w:t>
                            </w:r>
                            <w:r>
                              <w:rPr/>
                              <w:t>laborales</w:t>
                            </w:r>
                            <w:r>
                              <w:rPr>
                                <w:spacing w:val="-6"/>
                              </w:rPr>
                              <w:t> </w:t>
                            </w:r>
                            <w:r>
                              <w:rPr/>
                              <w:t>de</w:t>
                            </w:r>
                            <w:r>
                              <w:rPr>
                                <w:spacing w:val="-7"/>
                              </w:rPr>
                              <w:t> </w:t>
                            </w:r>
                            <w:r>
                              <w:rPr/>
                              <w:t>los</w:t>
                            </w:r>
                            <w:r>
                              <w:rPr>
                                <w:spacing w:val="-6"/>
                              </w:rPr>
                              <w:t> </w:t>
                            </w:r>
                            <w:r>
                              <w:rPr/>
                              <w:t>empleados,</w:t>
                            </w:r>
                            <w:r>
                              <w:rPr>
                                <w:spacing w:val="-7"/>
                              </w:rPr>
                              <w:t> </w:t>
                            </w:r>
                            <w:r>
                              <w:rPr/>
                              <w:t>tales</w:t>
                            </w:r>
                            <w:r>
                              <w:rPr>
                                <w:spacing w:val="-6"/>
                              </w:rPr>
                              <w:t> </w:t>
                            </w:r>
                            <w:r>
                              <w:rPr/>
                              <w:t>como</w:t>
                            </w:r>
                            <w:r>
                              <w:rPr>
                                <w:spacing w:val="-6"/>
                              </w:rPr>
                              <w:t> </w:t>
                            </w:r>
                            <w:r>
                              <w:rPr/>
                              <w:t>las</w:t>
                            </w:r>
                            <w:r>
                              <w:rPr>
                                <w:spacing w:val="-6"/>
                              </w:rPr>
                              <w:t> </w:t>
                            </w:r>
                            <w:r>
                              <w:rPr/>
                              <w:t>ausencias retribuidas acumulativas, particularmente conocidas como vacaciones.</w:t>
                            </w:r>
                          </w:p>
                          <w:p>
                            <w:pPr>
                              <w:pStyle w:val="BodyText"/>
                              <w:spacing w:line="278" w:lineRule="auto" w:before="119"/>
                              <w:ind w:left="103" w:right="108"/>
                              <w:jc w:val="both"/>
                            </w:pPr>
                            <w:r>
                              <w:rPr/>
                              <w:t>Las diferencias en el cálculo de las provisiones ya sean positivas o negativas, se reconocen en los resultados financieros del periodo en el que se detectan.</w:t>
                            </w:r>
                          </w:p>
                          <w:p>
                            <w:pPr>
                              <w:pStyle w:val="BodyText"/>
                              <w:spacing w:before="117"/>
                              <w:ind w:left="103"/>
                              <w:jc w:val="both"/>
                            </w:pPr>
                            <w:r>
                              <w:rPr/>
                              <w:t>El</w:t>
                            </w:r>
                            <w:r>
                              <w:rPr>
                                <w:spacing w:val="-3"/>
                              </w:rPr>
                              <w:t> </w:t>
                            </w:r>
                            <w:r>
                              <w:rPr/>
                              <w:t>IMAS</w:t>
                            </w:r>
                            <w:r>
                              <w:rPr>
                                <w:spacing w:val="-1"/>
                              </w:rPr>
                              <w:t> </w:t>
                            </w:r>
                            <w:r>
                              <w:rPr/>
                              <w:t>posee</w:t>
                            </w:r>
                            <w:r>
                              <w:rPr>
                                <w:spacing w:val="-3"/>
                              </w:rPr>
                              <w:t> </w:t>
                            </w:r>
                            <w:r>
                              <w:rPr/>
                              <w:t>dos</w:t>
                            </w:r>
                            <w:r>
                              <w:rPr>
                                <w:spacing w:val="-1"/>
                              </w:rPr>
                              <w:t> </w:t>
                            </w:r>
                            <w:r>
                              <w:rPr/>
                              <w:t>tipos</w:t>
                            </w:r>
                            <w:r>
                              <w:rPr>
                                <w:spacing w:val="-1"/>
                              </w:rPr>
                              <w:t> </w:t>
                            </w:r>
                            <w:r>
                              <w:rPr/>
                              <w:t>de</w:t>
                            </w:r>
                            <w:r>
                              <w:rPr>
                                <w:spacing w:val="-6"/>
                              </w:rPr>
                              <w:t> </w:t>
                            </w:r>
                            <w:r>
                              <w:rPr>
                                <w:spacing w:val="-2"/>
                              </w:rPr>
                              <w:t>provisiones:</w:t>
                            </w:r>
                          </w:p>
                          <w:p>
                            <w:pPr>
                              <w:pStyle w:val="BodyText"/>
                              <w:numPr>
                                <w:ilvl w:val="0"/>
                                <w:numId w:val="40"/>
                              </w:numPr>
                              <w:tabs>
                                <w:tab w:pos="822" w:val="left" w:leader="none"/>
                              </w:tabs>
                              <w:spacing w:line="255" w:lineRule="exact" w:before="19" w:after="0"/>
                              <w:ind w:left="822" w:right="0" w:hanging="359"/>
                              <w:jc w:val="both"/>
                            </w:pPr>
                            <w:r>
                              <w:rPr/>
                              <w:t>Provisiones</w:t>
                            </w:r>
                            <w:r>
                              <w:rPr>
                                <w:spacing w:val="-3"/>
                              </w:rPr>
                              <w:t> </w:t>
                            </w:r>
                            <w:r>
                              <w:rPr/>
                              <w:t>para</w:t>
                            </w:r>
                            <w:r>
                              <w:rPr>
                                <w:spacing w:val="-3"/>
                              </w:rPr>
                              <w:t> </w:t>
                            </w:r>
                            <w:r>
                              <w:rPr/>
                              <w:t>litigios</w:t>
                            </w:r>
                            <w:r>
                              <w:rPr>
                                <w:spacing w:val="-3"/>
                              </w:rPr>
                              <w:t> </w:t>
                            </w:r>
                            <w:r>
                              <w:rPr/>
                              <w:t>y</w:t>
                            </w:r>
                            <w:r>
                              <w:rPr>
                                <w:spacing w:val="-3"/>
                              </w:rPr>
                              <w:t> </w:t>
                            </w:r>
                            <w:r>
                              <w:rPr>
                                <w:spacing w:val="-2"/>
                              </w:rPr>
                              <w:t>demandas</w:t>
                            </w:r>
                          </w:p>
                          <w:p>
                            <w:pPr>
                              <w:pStyle w:val="BodyText"/>
                              <w:numPr>
                                <w:ilvl w:val="0"/>
                                <w:numId w:val="40"/>
                              </w:numPr>
                              <w:tabs>
                                <w:tab w:pos="822" w:val="left" w:leader="none"/>
                              </w:tabs>
                              <w:spacing w:line="255" w:lineRule="exact" w:before="0" w:after="0"/>
                              <w:ind w:left="822" w:right="0" w:hanging="359"/>
                              <w:jc w:val="both"/>
                            </w:pPr>
                            <w:r>
                              <w:rPr/>
                              <w:t>Provisiones</w:t>
                            </w:r>
                            <w:r>
                              <w:rPr>
                                <w:spacing w:val="-2"/>
                              </w:rPr>
                              <w:t> </w:t>
                            </w:r>
                            <w:r>
                              <w:rPr/>
                              <w:t>de</w:t>
                            </w:r>
                            <w:r>
                              <w:rPr>
                                <w:spacing w:val="-3"/>
                              </w:rPr>
                              <w:t> </w:t>
                            </w:r>
                            <w:r>
                              <w:rPr>
                                <w:spacing w:val="-2"/>
                              </w:rPr>
                              <w:t>vacaciones</w:t>
                            </w:r>
                          </w:p>
                        </w:txbxContent>
                      </wps:txbx>
                      <wps:bodyPr wrap="square" lIns="0" tIns="0" rIns="0" bIns="0" rtlCol="0">
                        <a:noAutofit/>
                      </wps:bodyPr>
                    </wps:wsp>
                  </a:graphicData>
                </a:graphic>
              </wp:anchor>
            </w:drawing>
          </mc:Choice>
          <mc:Fallback>
            <w:pict>
              <v:shape style="position:absolute;margin-left:85.103996pt;margin-top:21.912832pt;width:450pt;height:175.1pt;mso-position-horizontal-relative:page;mso-position-vertical-relative:paragraph;z-index:-15664128;mso-wrap-distance-left:0;mso-wrap-distance-right:0" type="#_x0000_t202" id="docshape37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3"/>
                        <w:jc w:val="both"/>
                      </w:pPr>
                      <w:r>
                        <w:rPr/>
                        <w:t>La cuenta de "provisiones y reservas técnicas a corto plazo" refleja las estimaciones económicas de carácter corriente que realiza la entidad para cubrir posibles obligaciones previsibles y cuantificables dentro de un vencimiento inferior a un año. Estas provisiones están destinadas a anticipar y cubrir compromisos</w:t>
                      </w:r>
                      <w:r>
                        <w:rPr>
                          <w:spacing w:val="-6"/>
                        </w:rPr>
                        <w:t> </w:t>
                      </w:r>
                      <w:r>
                        <w:rPr/>
                        <w:t>futuros</w:t>
                      </w:r>
                      <w:r>
                        <w:rPr>
                          <w:spacing w:val="-6"/>
                        </w:rPr>
                        <w:t> </w:t>
                      </w:r>
                      <w:r>
                        <w:rPr/>
                        <w:t>relacionados</w:t>
                      </w:r>
                      <w:r>
                        <w:rPr>
                          <w:spacing w:val="-6"/>
                        </w:rPr>
                        <w:t> </w:t>
                      </w:r>
                      <w:r>
                        <w:rPr/>
                        <w:t>con</w:t>
                      </w:r>
                      <w:r>
                        <w:rPr>
                          <w:spacing w:val="-6"/>
                        </w:rPr>
                        <w:t> </w:t>
                      </w:r>
                      <w:r>
                        <w:rPr/>
                        <w:t>derechos</w:t>
                      </w:r>
                      <w:r>
                        <w:rPr>
                          <w:spacing w:val="-6"/>
                        </w:rPr>
                        <w:t> </w:t>
                      </w:r>
                      <w:r>
                        <w:rPr/>
                        <w:t>laborales</w:t>
                      </w:r>
                      <w:r>
                        <w:rPr>
                          <w:spacing w:val="-6"/>
                        </w:rPr>
                        <w:t> </w:t>
                      </w:r>
                      <w:r>
                        <w:rPr/>
                        <w:t>de</w:t>
                      </w:r>
                      <w:r>
                        <w:rPr>
                          <w:spacing w:val="-7"/>
                        </w:rPr>
                        <w:t> </w:t>
                      </w:r>
                      <w:r>
                        <w:rPr/>
                        <w:t>los</w:t>
                      </w:r>
                      <w:r>
                        <w:rPr>
                          <w:spacing w:val="-6"/>
                        </w:rPr>
                        <w:t> </w:t>
                      </w:r>
                      <w:r>
                        <w:rPr/>
                        <w:t>empleados,</w:t>
                      </w:r>
                      <w:r>
                        <w:rPr>
                          <w:spacing w:val="-7"/>
                        </w:rPr>
                        <w:t> </w:t>
                      </w:r>
                      <w:r>
                        <w:rPr/>
                        <w:t>tales</w:t>
                      </w:r>
                      <w:r>
                        <w:rPr>
                          <w:spacing w:val="-6"/>
                        </w:rPr>
                        <w:t> </w:t>
                      </w:r>
                      <w:r>
                        <w:rPr/>
                        <w:t>como</w:t>
                      </w:r>
                      <w:r>
                        <w:rPr>
                          <w:spacing w:val="-6"/>
                        </w:rPr>
                        <w:t> </w:t>
                      </w:r>
                      <w:r>
                        <w:rPr/>
                        <w:t>las</w:t>
                      </w:r>
                      <w:r>
                        <w:rPr>
                          <w:spacing w:val="-6"/>
                        </w:rPr>
                        <w:t> </w:t>
                      </w:r>
                      <w:r>
                        <w:rPr/>
                        <w:t>ausencias retribuidas acumulativas, particularmente conocidas como vacaciones.</w:t>
                      </w:r>
                    </w:p>
                    <w:p>
                      <w:pPr>
                        <w:pStyle w:val="BodyText"/>
                        <w:spacing w:line="278" w:lineRule="auto" w:before="119"/>
                        <w:ind w:left="103" w:right="108"/>
                        <w:jc w:val="both"/>
                      </w:pPr>
                      <w:r>
                        <w:rPr/>
                        <w:t>Las diferencias en el cálculo de las provisiones ya sean positivas o negativas, se reconocen en los resultados financieros del periodo en el que se detectan.</w:t>
                      </w:r>
                    </w:p>
                    <w:p>
                      <w:pPr>
                        <w:pStyle w:val="BodyText"/>
                        <w:spacing w:before="117"/>
                        <w:ind w:left="103"/>
                        <w:jc w:val="both"/>
                      </w:pPr>
                      <w:r>
                        <w:rPr/>
                        <w:t>El</w:t>
                      </w:r>
                      <w:r>
                        <w:rPr>
                          <w:spacing w:val="-3"/>
                        </w:rPr>
                        <w:t> </w:t>
                      </w:r>
                      <w:r>
                        <w:rPr/>
                        <w:t>IMAS</w:t>
                      </w:r>
                      <w:r>
                        <w:rPr>
                          <w:spacing w:val="-1"/>
                        </w:rPr>
                        <w:t> </w:t>
                      </w:r>
                      <w:r>
                        <w:rPr/>
                        <w:t>posee</w:t>
                      </w:r>
                      <w:r>
                        <w:rPr>
                          <w:spacing w:val="-3"/>
                        </w:rPr>
                        <w:t> </w:t>
                      </w:r>
                      <w:r>
                        <w:rPr/>
                        <w:t>dos</w:t>
                      </w:r>
                      <w:r>
                        <w:rPr>
                          <w:spacing w:val="-1"/>
                        </w:rPr>
                        <w:t> </w:t>
                      </w:r>
                      <w:r>
                        <w:rPr/>
                        <w:t>tipos</w:t>
                      </w:r>
                      <w:r>
                        <w:rPr>
                          <w:spacing w:val="-1"/>
                        </w:rPr>
                        <w:t> </w:t>
                      </w:r>
                      <w:r>
                        <w:rPr/>
                        <w:t>de</w:t>
                      </w:r>
                      <w:r>
                        <w:rPr>
                          <w:spacing w:val="-6"/>
                        </w:rPr>
                        <w:t> </w:t>
                      </w:r>
                      <w:r>
                        <w:rPr>
                          <w:spacing w:val="-2"/>
                        </w:rPr>
                        <w:t>provisiones:</w:t>
                      </w:r>
                    </w:p>
                    <w:p>
                      <w:pPr>
                        <w:pStyle w:val="BodyText"/>
                        <w:numPr>
                          <w:ilvl w:val="0"/>
                          <w:numId w:val="40"/>
                        </w:numPr>
                        <w:tabs>
                          <w:tab w:pos="822" w:val="left" w:leader="none"/>
                        </w:tabs>
                        <w:spacing w:line="255" w:lineRule="exact" w:before="19" w:after="0"/>
                        <w:ind w:left="822" w:right="0" w:hanging="359"/>
                        <w:jc w:val="both"/>
                      </w:pPr>
                      <w:r>
                        <w:rPr/>
                        <w:t>Provisiones</w:t>
                      </w:r>
                      <w:r>
                        <w:rPr>
                          <w:spacing w:val="-3"/>
                        </w:rPr>
                        <w:t> </w:t>
                      </w:r>
                      <w:r>
                        <w:rPr/>
                        <w:t>para</w:t>
                      </w:r>
                      <w:r>
                        <w:rPr>
                          <w:spacing w:val="-3"/>
                        </w:rPr>
                        <w:t> </w:t>
                      </w:r>
                      <w:r>
                        <w:rPr/>
                        <w:t>litigios</w:t>
                      </w:r>
                      <w:r>
                        <w:rPr>
                          <w:spacing w:val="-3"/>
                        </w:rPr>
                        <w:t> </w:t>
                      </w:r>
                      <w:r>
                        <w:rPr/>
                        <w:t>y</w:t>
                      </w:r>
                      <w:r>
                        <w:rPr>
                          <w:spacing w:val="-3"/>
                        </w:rPr>
                        <w:t> </w:t>
                      </w:r>
                      <w:r>
                        <w:rPr>
                          <w:spacing w:val="-2"/>
                        </w:rPr>
                        <w:t>demandas</w:t>
                      </w:r>
                    </w:p>
                    <w:p>
                      <w:pPr>
                        <w:pStyle w:val="BodyText"/>
                        <w:numPr>
                          <w:ilvl w:val="0"/>
                          <w:numId w:val="40"/>
                        </w:numPr>
                        <w:tabs>
                          <w:tab w:pos="822" w:val="left" w:leader="none"/>
                        </w:tabs>
                        <w:spacing w:line="255" w:lineRule="exact" w:before="0" w:after="0"/>
                        <w:ind w:left="822" w:right="0" w:hanging="359"/>
                        <w:jc w:val="both"/>
                      </w:pPr>
                      <w:r>
                        <w:rPr/>
                        <w:t>Provisiones</w:t>
                      </w:r>
                      <w:r>
                        <w:rPr>
                          <w:spacing w:val="-2"/>
                        </w:rPr>
                        <w:t> </w:t>
                      </w:r>
                      <w:r>
                        <w:rPr/>
                        <w:t>de</w:t>
                      </w:r>
                      <w:r>
                        <w:rPr>
                          <w:spacing w:val="-3"/>
                        </w:rPr>
                        <w:t> </w:t>
                      </w:r>
                      <w:r>
                        <w:rPr>
                          <w:spacing w:val="-2"/>
                        </w:rPr>
                        <w:t>vacaciones</w:t>
                      </w:r>
                    </w:p>
                  </w:txbxContent>
                </v:textbox>
                <v:stroke dashstyle="solid"/>
                <w10:wrap type="topAndBottom"/>
              </v:shape>
            </w:pict>
          </mc:Fallback>
        </mc:AlternateContent>
      </w:r>
    </w:p>
    <w:p>
      <w:pPr>
        <w:pStyle w:val="BodyText"/>
        <w:spacing w:before="163"/>
        <w:rPr>
          <w:sz w:val="23"/>
        </w:rPr>
      </w:pPr>
    </w:p>
    <w:p>
      <w:pPr>
        <w:spacing w:before="0"/>
        <w:ind w:left="622" w:right="0" w:firstLine="0"/>
        <w:jc w:val="left"/>
        <w:rPr>
          <w:b/>
          <w:i/>
          <w:sz w:val="23"/>
        </w:rPr>
      </w:pPr>
      <w:bookmarkStart w:name="_bookmark50" w:id="51"/>
      <w:bookmarkEnd w:id="51"/>
      <w:r>
        <w:rPr/>
      </w:r>
      <w:r>
        <w:rPr>
          <w:b/>
          <w:spacing w:val="-4"/>
          <w:sz w:val="22"/>
        </w:rPr>
        <w:t>Revelación</w:t>
      </w:r>
      <w:r>
        <w:rPr>
          <w:b/>
          <w:sz w:val="22"/>
        </w:rPr>
        <w:t> </w:t>
      </w:r>
      <w:r>
        <w:rPr>
          <w:b/>
          <w:spacing w:val="-4"/>
          <w:sz w:val="22"/>
        </w:rPr>
        <w:t>NICSP19</w:t>
      </w:r>
      <w:r>
        <w:rPr>
          <w:b/>
          <w:spacing w:val="4"/>
          <w:sz w:val="22"/>
        </w:rPr>
        <w:t> </w:t>
      </w:r>
      <w:r>
        <w:rPr>
          <w:b/>
          <w:i/>
          <w:spacing w:val="-4"/>
          <w:sz w:val="23"/>
        </w:rPr>
        <w:t>Provisiones,</w:t>
      </w:r>
      <w:r>
        <w:rPr>
          <w:b/>
          <w:i/>
          <w:sz w:val="23"/>
        </w:rPr>
        <w:t> </w:t>
      </w:r>
      <w:r>
        <w:rPr>
          <w:b/>
          <w:i/>
          <w:spacing w:val="-4"/>
          <w:sz w:val="23"/>
        </w:rPr>
        <w:t>Pasivos</w:t>
      </w:r>
      <w:r>
        <w:rPr>
          <w:b/>
          <w:i/>
          <w:spacing w:val="1"/>
          <w:sz w:val="23"/>
        </w:rPr>
        <w:t> </w:t>
      </w:r>
      <w:r>
        <w:rPr>
          <w:b/>
          <w:i/>
          <w:spacing w:val="-4"/>
          <w:sz w:val="23"/>
        </w:rPr>
        <w:t>contingentes</w:t>
      </w:r>
      <w:r>
        <w:rPr>
          <w:b/>
          <w:i/>
          <w:spacing w:val="-2"/>
          <w:sz w:val="23"/>
        </w:rPr>
        <w:t> </w:t>
      </w:r>
      <w:r>
        <w:rPr>
          <w:b/>
          <w:i/>
          <w:spacing w:val="-4"/>
          <w:sz w:val="23"/>
        </w:rPr>
        <w:t>y</w:t>
      </w:r>
      <w:r>
        <w:rPr>
          <w:b/>
          <w:i/>
          <w:spacing w:val="-1"/>
          <w:sz w:val="23"/>
        </w:rPr>
        <w:t> </w:t>
      </w:r>
      <w:r>
        <w:rPr>
          <w:b/>
          <w:i/>
          <w:spacing w:val="-4"/>
          <w:sz w:val="23"/>
        </w:rPr>
        <w:t>Activos</w:t>
      </w:r>
      <w:r>
        <w:rPr>
          <w:b/>
          <w:i/>
          <w:spacing w:val="1"/>
          <w:sz w:val="23"/>
        </w:rPr>
        <w:t> </w:t>
      </w:r>
      <w:r>
        <w:rPr>
          <w:b/>
          <w:i/>
          <w:spacing w:val="-4"/>
          <w:sz w:val="23"/>
        </w:rPr>
        <w:t>Contingentes</w:t>
      </w:r>
    </w:p>
    <w:p>
      <w:pPr>
        <w:pStyle w:val="BodyText"/>
        <w:spacing w:before="111"/>
        <w:rPr>
          <w:b/>
          <w:i/>
          <w:sz w:val="20"/>
        </w:rPr>
      </w:pPr>
      <w:r>
        <w:rPr>
          <w:b/>
          <w:i/>
          <w:sz w:val="20"/>
        </w:rPr>
        <mc:AlternateContent>
          <mc:Choice Requires="wps">
            <w:drawing>
              <wp:anchor distT="0" distB="0" distL="0" distR="0" allowOverlap="1" layoutInCell="1" locked="0" behindDoc="1" simplePos="0" relativeHeight="487652864">
                <wp:simplePos x="0" y="0"/>
                <wp:positionH relativeFrom="page">
                  <wp:posOffset>1080820</wp:posOffset>
                </wp:positionH>
                <wp:positionV relativeFrom="paragraph">
                  <wp:posOffset>233878</wp:posOffset>
                </wp:positionV>
                <wp:extent cx="5957570" cy="1829435"/>
                <wp:effectExtent l="0" t="0" r="0" b="0"/>
                <wp:wrapTopAndBottom/>
                <wp:docPr id="397" name="Textbox 397"/>
                <wp:cNvGraphicFramePr>
                  <a:graphicFrameLocks/>
                </wp:cNvGraphicFramePr>
                <a:graphic>
                  <a:graphicData uri="http://schemas.microsoft.com/office/word/2010/wordprocessingShape">
                    <wps:wsp>
                      <wps:cNvPr id="397" name="Textbox 397"/>
                      <wps:cNvSpPr txBox="1"/>
                      <wps:spPr>
                        <a:xfrm>
                          <a:off x="0" y="0"/>
                          <a:ext cx="5957570" cy="1829435"/>
                        </a:xfrm>
                        <a:prstGeom prst="rect">
                          <a:avLst/>
                        </a:prstGeom>
                        <a:ln w="6096">
                          <a:solidFill>
                            <a:srgbClr val="000000"/>
                          </a:solidFill>
                          <a:prstDash val="solid"/>
                        </a:ln>
                      </wps:spPr>
                      <wps:txbx>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430" w:lineRule="atLeast" w:before="2"/>
                              <w:ind w:left="64" w:right="1382"/>
                            </w:pPr>
                            <w:r>
                              <w:rPr/>
                              <w:t>Conforme</w:t>
                            </w:r>
                            <w:r>
                              <w:rPr>
                                <w:spacing w:val="-3"/>
                              </w:rPr>
                              <w:t> </w:t>
                            </w:r>
                            <w:r>
                              <w:rPr/>
                              <w:t>al</w:t>
                            </w:r>
                            <w:r>
                              <w:rPr>
                                <w:spacing w:val="-2"/>
                              </w:rPr>
                              <w:t> </w:t>
                            </w:r>
                            <w:r>
                              <w:rPr/>
                              <w:t>párrafo</w:t>
                            </w:r>
                            <w:r>
                              <w:rPr>
                                <w:spacing w:val="-2"/>
                              </w:rPr>
                              <w:t> </w:t>
                            </w:r>
                            <w:r>
                              <w:rPr/>
                              <w:t>97</w:t>
                            </w:r>
                            <w:r>
                              <w:rPr>
                                <w:spacing w:val="-4"/>
                              </w:rPr>
                              <w:t> </w:t>
                            </w:r>
                            <w:r>
                              <w:rPr/>
                              <w:t>de</w:t>
                            </w:r>
                            <w:r>
                              <w:rPr>
                                <w:spacing w:val="-4"/>
                              </w:rPr>
                              <w:t> </w:t>
                            </w:r>
                            <w:r>
                              <w:rPr/>
                              <w:t>la</w:t>
                            </w:r>
                            <w:r>
                              <w:rPr>
                                <w:spacing w:val="-4"/>
                              </w:rPr>
                              <w:t> </w:t>
                            </w:r>
                            <w:r>
                              <w:rPr/>
                              <w:t>NICSP</w:t>
                            </w:r>
                            <w:r>
                              <w:rPr>
                                <w:spacing w:val="-2"/>
                              </w:rPr>
                              <w:t> </w:t>
                            </w:r>
                            <w:r>
                              <w:rPr/>
                              <w:t>19</w:t>
                            </w:r>
                            <w:r>
                              <w:rPr>
                                <w:spacing w:val="-2"/>
                              </w:rPr>
                              <w:t> </w:t>
                            </w:r>
                            <w:r>
                              <w:rPr/>
                              <w:t>para</w:t>
                            </w:r>
                            <w:r>
                              <w:rPr>
                                <w:spacing w:val="-3"/>
                              </w:rPr>
                              <w:t> </w:t>
                            </w:r>
                            <w:r>
                              <w:rPr/>
                              <w:t>cada</w:t>
                            </w:r>
                            <w:r>
                              <w:rPr>
                                <w:spacing w:val="-3"/>
                              </w:rPr>
                              <w:t> </w:t>
                            </w:r>
                            <w:r>
                              <w:rPr/>
                              <w:t>tipo</w:t>
                            </w:r>
                            <w:r>
                              <w:rPr>
                                <w:spacing w:val="-4"/>
                              </w:rPr>
                              <w:t> </w:t>
                            </w:r>
                            <w:r>
                              <w:rPr/>
                              <w:t>de</w:t>
                            </w:r>
                            <w:r>
                              <w:rPr>
                                <w:spacing w:val="-4"/>
                              </w:rPr>
                              <w:t> </w:t>
                            </w:r>
                            <w:r>
                              <w:rPr/>
                              <w:t>provisión,</w:t>
                            </w:r>
                            <w:r>
                              <w:rPr>
                                <w:spacing w:val="-2"/>
                              </w:rPr>
                              <w:t> </w:t>
                            </w:r>
                            <w:r>
                              <w:rPr/>
                              <w:t>se</w:t>
                            </w:r>
                            <w:r>
                              <w:rPr>
                                <w:spacing w:val="-6"/>
                              </w:rPr>
                              <w:t> </w:t>
                            </w:r>
                            <w:r>
                              <w:rPr/>
                              <w:t>muestra: </w:t>
                            </w:r>
                            <w:r>
                              <w:rPr>
                                <w:u w:val="single"/>
                              </w:rPr>
                              <w:t>Provisiones para litigios y demandas laborales</w:t>
                            </w:r>
                          </w:p>
                          <w:p>
                            <w:pPr>
                              <w:pStyle w:val="BodyText"/>
                              <w:ind w:left="64" w:right="66"/>
                              <w:jc w:val="both"/>
                            </w:pPr>
                            <w:r>
                              <w:rPr/>
                              <w:t>En el siguiente detalle muestra las provisiones de litigios y demandas laborales y comerciales indicando cuales demandas por juicios laborales, comerciales y daños a terceros cuyos fallos han sido declarados parcialmente con lugar en primera instancia.</w:t>
                            </w:r>
                          </w:p>
                          <w:p>
                            <w:pPr>
                              <w:pStyle w:val="BodyText"/>
                              <w:spacing w:before="249"/>
                              <w:ind w:left="64" w:right="62"/>
                              <w:jc w:val="both"/>
                            </w:pPr>
                            <w:r>
                              <w:rPr/>
                              <w:t>En el siguiente cuadro se presenta el valor en libros a diciembre 2025 y al final de julio 2026, con los incrementos,</w:t>
                            </w:r>
                            <w:r>
                              <w:rPr>
                                <w:spacing w:val="-1"/>
                              </w:rPr>
                              <w:t> </w:t>
                            </w:r>
                            <w:r>
                              <w:rPr/>
                              <w:t>recuperaciones y/o reversiones,</w:t>
                            </w:r>
                            <w:r>
                              <w:rPr>
                                <w:spacing w:val="-1"/>
                              </w:rPr>
                              <w:t> </w:t>
                            </w:r>
                            <w:r>
                              <w:rPr/>
                              <w:t>así</w:t>
                            </w:r>
                            <w:r>
                              <w:rPr>
                                <w:spacing w:val="-2"/>
                              </w:rPr>
                              <w:t> </w:t>
                            </w:r>
                            <w:r>
                              <w:rPr/>
                              <w:t>como las disminuciones por</w:t>
                            </w:r>
                            <w:r>
                              <w:rPr>
                                <w:spacing w:val="-1"/>
                              </w:rPr>
                              <w:t> </w:t>
                            </w:r>
                            <w:r>
                              <w:rPr/>
                              <w:t>aplicación</w:t>
                            </w:r>
                            <w:r>
                              <w:rPr>
                                <w:spacing w:val="-1"/>
                              </w:rPr>
                              <w:t> </w:t>
                            </w:r>
                            <w:r>
                              <w:rPr/>
                              <w:t>en</w:t>
                            </w:r>
                            <w:r>
                              <w:rPr>
                                <w:spacing w:val="-1"/>
                              </w:rPr>
                              <w:t> </w:t>
                            </w:r>
                            <w:r>
                              <w:rPr/>
                              <w:t>las provisiones de litigios:</w:t>
                            </w:r>
                          </w:p>
                        </w:txbxContent>
                      </wps:txbx>
                      <wps:bodyPr wrap="square" lIns="0" tIns="0" rIns="0" bIns="0" rtlCol="0">
                        <a:noAutofit/>
                      </wps:bodyPr>
                    </wps:wsp>
                  </a:graphicData>
                </a:graphic>
              </wp:anchor>
            </w:drawing>
          </mc:Choice>
          <mc:Fallback>
            <w:pict>
              <v:shape style="position:absolute;margin-left:85.103996pt;margin-top:18.415594pt;width:469.1pt;height:144.050pt;mso-position-horizontal-relative:page;mso-position-vertical-relative:paragraph;z-index:-15663616;mso-wrap-distance-left:0;mso-wrap-distance-right:0" type="#_x0000_t202" id="docshape376" filled="false" stroked="true" strokeweight=".48004pt" strokecolor="#000000">
                <v:textbox inset="0,0,0,0">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430" w:lineRule="atLeast" w:before="2"/>
                        <w:ind w:left="64" w:right="1382"/>
                      </w:pPr>
                      <w:r>
                        <w:rPr/>
                        <w:t>Conforme</w:t>
                      </w:r>
                      <w:r>
                        <w:rPr>
                          <w:spacing w:val="-3"/>
                        </w:rPr>
                        <w:t> </w:t>
                      </w:r>
                      <w:r>
                        <w:rPr/>
                        <w:t>al</w:t>
                      </w:r>
                      <w:r>
                        <w:rPr>
                          <w:spacing w:val="-2"/>
                        </w:rPr>
                        <w:t> </w:t>
                      </w:r>
                      <w:r>
                        <w:rPr/>
                        <w:t>párrafo</w:t>
                      </w:r>
                      <w:r>
                        <w:rPr>
                          <w:spacing w:val="-2"/>
                        </w:rPr>
                        <w:t> </w:t>
                      </w:r>
                      <w:r>
                        <w:rPr/>
                        <w:t>97</w:t>
                      </w:r>
                      <w:r>
                        <w:rPr>
                          <w:spacing w:val="-4"/>
                        </w:rPr>
                        <w:t> </w:t>
                      </w:r>
                      <w:r>
                        <w:rPr/>
                        <w:t>de</w:t>
                      </w:r>
                      <w:r>
                        <w:rPr>
                          <w:spacing w:val="-4"/>
                        </w:rPr>
                        <w:t> </w:t>
                      </w:r>
                      <w:r>
                        <w:rPr/>
                        <w:t>la</w:t>
                      </w:r>
                      <w:r>
                        <w:rPr>
                          <w:spacing w:val="-4"/>
                        </w:rPr>
                        <w:t> </w:t>
                      </w:r>
                      <w:r>
                        <w:rPr/>
                        <w:t>NICSP</w:t>
                      </w:r>
                      <w:r>
                        <w:rPr>
                          <w:spacing w:val="-2"/>
                        </w:rPr>
                        <w:t> </w:t>
                      </w:r>
                      <w:r>
                        <w:rPr/>
                        <w:t>19</w:t>
                      </w:r>
                      <w:r>
                        <w:rPr>
                          <w:spacing w:val="-2"/>
                        </w:rPr>
                        <w:t> </w:t>
                      </w:r>
                      <w:r>
                        <w:rPr/>
                        <w:t>para</w:t>
                      </w:r>
                      <w:r>
                        <w:rPr>
                          <w:spacing w:val="-3"/>
                        </w:rPr>
                        <w:t> </w:t>
                      </w:r>
                      <w:r>
                        <w:rPr/>
                        <w:t>cada</w:t>
                      </w:r>
                      <w:r>
                        <w:rPr>
                          <w:spacing w:val="-3"/>
                        </w:rPr>
                        <w:t> </w:t>
                      </w:r>
                      <w:r>
                        <w:rPr/>
                        <w:t>tipo</w:t>
                      </w:r>
                      <w:r>
                        <w:rPr>
                          <w:spacing w:val="-4"/>
                        </w:rPr>
                        <w:t> </w:t>
                      </w:r>
                      <w:r>
                        <w:rPr/>
                        <w:t>de</w:t>
                      </w:r>
                      <w:r>
                        <w:rPr>
                          <w:spacing w:val="-4"/>
                        </w:rPr>
                        <w:t> </w:t>
                      </w:r>
                      <w:r>
                        <w:rPr/>
                        <w:t>provisión,</w:t>
                      </w:r>
                      <w:r>
                        <w:rPr>
                          <w:spacing w:val="-2"/>
                        </w:rPr>
                        <w:t> </w:t>
                      </w:r>
                      <w:r>
                        <w:rPr/>
                        <w:t>se</w:t>
                      </w:r>
                      <w:r>
                        <w:rPr>
                          <w:spacing w:val="-6"/>
                        </w:rPr>
                        <w:t> </w:t>
                      </w:r>
                      <w:r>
                        <w:rPr/>
                        <w:t>muestra: </w:t>
                      </w:r>
                      <w:r>
                        <w:rPr>
                          <w:u w:val="single"/>
                        </w:rPr>
                        <w:t>Provisiones para litigios y demandas laborales</w:t>
                      </w:r>
                    </w:p>
                    <w:p>
                      <w:pPr>
                        <w:pStyle w:val="BodyText"/>
                        <w:ind w:left="64" w:right="66"/>
                        <w:jc w:val="both"/>
                      </w:pPr>
                      <w:r>
                        <w:rPr/>
                        <w:t>En el siguiente detalle muestra las provisiones de litigios y demandas laborales y comerciales indicando cuales demandas por juicios laborales, comerciales y daños a terceros cuyos fallos han sido declarados parcialmente con lugar en primera instancia.</w:t>
                      </w:r>
                    </w:p>
                    <w:p>
                      <w:pPr>
                        <w:pStyle w:val="BodyText"/>
                        <w:spacing w:before="249"/>
                        <w:ind w:left="64" w:right="62"/>
                        <w:jc w:val="both"/>
                      </w:pPr>
                      <w:r>
                        <w:rPr/>
                        <w:t>En el siguiente cuadro se presenta el valor en libros a diciembre 2025 y al final de julio 2026, con los incrementos,</w:t>
                      </w:r>
                      <w:r>
                        <w:rPr>
                          <w:spacing w:val="-1"/>
                        </w:rPr>
                        <w:t> </w:t>
                      </w:r>
                      <w:r>
                        <w:rPr/>
                        <w:t>recuperaciones y/o reversiones,</w:t>
                      </w:r>
                      <w:r>
                        <w:rPr>
                          <w:spacing w:val="-1"/>
                        </w:rPr>
                        <w:t> </w:t>
                      </w:r>
                      <w:r>
                        <w:rPr/>
                        <w:t>así</w:t>
                      </w:r>
                      <w:r>
                        <w:rPr>
                          <w:spacing w:val="-2"/>
                        </w:rPr>
                        <w:t> </w:t>
                      </w:r>
                      <w:r>
                        <w:rPr/>
                        <w:t>como las disminuciones por</w:t>
                      </w:r>
                      <w:r>
                        <w:rPr>
                          <w:spacing w:val="-1"/>
                        </w:rPr>
                        <w:t> </w:t>
                      </w:r>
                      <w:r>
                        <w:rPr/>
                        <w:t>aplicación</w:t>
                      </w:r>
                      <w:r>
                        <w:rPr>
                          <w:spacing w:val="-1"/>
                        </w:rPr>
                        <w:t> </w:t>
                      </w:r>
                      <w:r>
                        <w:rPr/>
                        <w:t>en</w:t>
                      </w:r>
                      <w:r>
                        <w:rPr>
                          <w:spacing w:val="-1"/>
                        </w:rPr>
                        <w:t> </w:t>
                      </w:r>
                      <w:r>
                        <w:rPr/>
                        <w:t>las provisiones de litigios:</w:t>
                      </w:r>
                    </w:p>
                  </w:txbxContent>
                </v:textbox>
                <v:stroke dashstyle="solid"/>
                <w10:wrap type="topAndBottom"/>
              </v:shape>
            </w:pict>
          </mc:Fallback>
        </mc:AlternateContent>
      </w:r>
    </w:p>
    <w:p>
      <w:pPr>
        <w:pStyle w:val="BodyText"/>
        <w:spacing w:after="0"/>
        <w:rPr>
          <w:b/>
          <w:i/>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0784">
                <wp:simplePos x="0" y="0"/>
                <wp:positionH relativeFrom="page">
                  <wp:posOffset>9525</wp:posOffset>
                </wp:positionH>
                <wp:positionV relativeFrom="page">
                  <wp:posOffset>297208</wp:posOffset>
                </wp:positionV>
                <wp:extent cx="7762875" cy="9748520"/>
                <wp:effectExtent l="0" t="0" r="0" b="0"/>
                <wp:wrapNone/>
                <wp:docPr id="398" name="Group 398"/>
                <wp:cNvGraphicFramePr>
                  <a:graphicFrameLocks/>
                </wp:cNvGraphicFramePr>
                <a:graphic>
                  <a:graphicData uri="http://schemas.microsoft.com/office/word/2010/wordprocessingGroup">
                    <wpg:wgp>
                      <wpg:cNvPr id="398" name="Group 398"/>
                      <wpg:cNvGrpSpPr/>
                      <wpg:grpSpPr>
                        <a:xfrm>
                          <a:off x="0" y="0"/>
                          <a:ext cx="7762875" cy="9748520"/>
                          <a:chExt cx="7762875" cy="9748520"/>
                        </a:xfrm>
                      </wpg:grpSpPr>
                      <pic:pic>
                        <pic:nvPicPr>
                          <pic:cNvPr id="399" name="Image 399"/>
                          <pic:cNvPicPr/>
                        </pic:nvPicPr>
                        <pic:blipFill>
                          <a:blip r:embed="rId5" cstate="print"/>
                          <a:stretch>
                            <a:fillRect/>
                          </a:stretch>
                        </pic:blipFill>
                        <pic:spPr>
                          <a:xfrm>
                            <a:off x="0" y="0"/>
                            <a:ext cx="7762874" cy="9748489"/>
                          </a:xfrm>
                          <a:prstGeom prst="rect">
                            <a:avLst/>
                          </a:prstGeom>
                        </pic:spPr>
                      </pic:pic>
                      <wps:wsp>
                        <wps:cNvPr id="400" name="Graphic 40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5696" id="docshapegroup377" coordorigin="15,468" coordsize="12225,15352">
                <v:shape style="position:absolute;left:15;top:468;width:12225;height:15352" type="#_x0000_t75" id="docshape378" stroked="false">
                  <v:imagedata r:id="rId5" o:title=""/>
                </v:shape>
                <v:rect style="position:absolute;left:1673;top:2028;width:8897;height:15" id="docshape37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81</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6"/>
        <w:gridCol w:w="5717"/>
        <w:gridCol w:w="1836"/>
      </w:tblGrid>
      <w:tr>
        <w:trPr>
          <w:trHeight w:val="230" w:hRule="atLeast"/>
        </w:trPr>
        <w:tc>
          <w:tcPr>
            <w:tcW w:w="1826" w:type="dxa"/>
            <w:vMerge w:val="restart"/>
            <w:tcBorders>
              <w:bottom w:val="nil"/>
              <w:right w:val="single" w:sz="2" w:space="0" w:color="000000"/>
            </w:tcBorders>
          </w:tcPr>
          <w:p>
            <w:pPr>
              <w:pStyle w:val="TableParagraph"/>
              <w:rPr>
                <w:rFonts w:ascii="Times New Roman"/>
                <w:sz w:val="20"/>
              </w:rPr>
            </w:pPr>
          </w:p>
        </w:tc>
        <w:tc>
          <w:tcPr>
            <w:tcW w:w="5717" w:type="dxa"/>
            <w:tcBorders>
              <w:top w:val="single" w:sz="6" w:space="0" w:color="000000"/>
              <w:left w:val="single" w:sz="2" w:space="0" w:color="000000"/>
              <w:bottom w:val="nil"/>
            </w:tcBorders>
            <w:shd w:val="clear" w:color="auto" w:fill="FFFFFF"/>
          </w:tcPr>
          <w:p>
            <w:pPr>
              <w:pStyle w:val="TableParagraph"/>
              <w:tabs>
                <w:tab w:pos="5191" w:val="left" w:leader="none"/>
              </w:tabs>
              <w:spacing w:line="204" w:lineRule="exact" w:before="6"/>
              <w:ind w:left="1804"/>
              <w:rPr>
                <w:rFonts w:ascii="Calibri"/>
                <w:b/>
                <w:sz w:val="18"/>
              </w:rPr>
            </w:pPr>
            <w:r>
              <w:rPr>
                <w:rFonts w:ascii="Calibri"/>
                <w:b/>
                <w:spacing w:val="-2"/>
                <w:sz w:val="18"/>
              </w:rPr>
              <w:t>Detalle</w:t>
            </w:r>
            <w:r>
              <w:rPr>
                <w:rFonts w:ascii="Calibri"/>
                <w:b/>
                <w:sz w:val="18"/>
              </w:rPr>
              <w:tab/>
            </w:r>
            <w:r>
              <w:rPr>
                <w:rFonts w:ascii="Calibri"/>
                <w:b/>
                <w:spacing w:val="-2"/>
                <w:sz w:val="18"/>
              </w:rPr>
              <w:t>Monto</w:t>
            </w:r>
          </w:p>
        </w:tc>
        <w:tc>
          <w:tcPr>
            <w:tcW w:w="1836" w:type="dxa"/>
            <w:vMerge w:val="restart"/>
            <w:tcBorders>
              <w:bottom w:val="nil"/>
            </w:tcBorders>
          </w:tcPr>
          <w:p>
            <w:pPr>
              <w:pStyle w:val="TableParagraph"/>
              <w:rPr>
                <w:rFonts w:ascii="Times New Roman"/>
                <w:sz w:val="20"/>
              </w:rPr>
            </w:pPr>
          </w:p>
        </w:tc>
      </w:tr>
      <w:tr>
        <w:trPr>
          <w:trHeight w:val="730" w:hRule="atLeast"/>
        </w:trPr>
        <w:tc>
          <w:tcPr>
            <w:tcW w:w="1826" w:type="dxa"/>
            <w:vMerge/>
            <w:tcBorders>
              <w:top w:val="nil"/>
              <w:bottom w:val="nil"/>
              <w:right w:val="single" w:sz="2" w:space="0" w:color="000000"/>
            </w:tcBorders>
          </w:tcPr>
          <w:p>
            <w:pPr>
              <w:rPr>
                <w:sz w:val="2"/>
                <w:szCs w:val="2"/>
              </w:rPr>
            </w:pPr>
          </w:p>
        </w:tc>
        <w:tc>
          <w:tcPr>
            <w:tcW w:w="5717" w:type="dxa"/>
            <w:tcBorders>
              <w:top w:val="nil"/>
              <w:left w:val="single" w:sz="2" w:space="0" w:color="000000"/>
              <w:bottom w:val="nil"/>
            </w:tcBorders>
          </w:tcPr>
          <w:p>
            <w:pPr>
              <w:pStyle w:val="TableParagraph"/>
              <w:tabs>
                <w:tab w:pos="4570" w:val="left" w:leader="none"/>
              </w:tabs>
              <w:spacing w:before="15"/>
              <w:ind w:left="144"/>
              <w:rPr>
                <w:rFonts w:ascii="Times New Roman"/>
                <w:sz w:val="19"/>
              </w:rPr>
            </w:pPr>
            <w:r>
              <w:rPr>
                <w:rFonts w:ascii="Times New Roman"/>
                <w:sz w:val="19"/>
              </w:rPr>
              <w:t>Saldo</w:t>
            </w:r>
            <w:r>
              <w:rPr>
                <w:rFonts w:ascii="Times New Roman"/>
                <w:spacing w:val="-10"/>
                <w:sz w:val="19"/>
              </w:rPr>
              <w:t> </w:t>
            </w:r>
            <w:r>
              <w:rPr>
                <w:rFonts w:ascii="Times New Roman"/>
                <w:sz w:val="19"/>
              </w:rPr>
              <w:t>inicial</w:t>
            </w:r>
            <w:r>
              <w:rPr>
                <w:rFonts w:ascii="Times New Roman"/>
                <w:spacing w:val="-5"/>
                <w:sz w:val="19"/>
              </w:rPr>
              <w:t> </w:t>
            </w:r>
            <w:r>
              <w:rPr>
                <w:rFonts w:ascii="Times New Roman"/>
                <w:sz w:val="19"/>
              </w:rPr>
              <w:t>de</w:t>
            </w:r>
            <w:r>
              <w:rPr>
                <w:rFonts w:ascii="Times New Roman"/>
                <w:spacing w:val="-8"/>
                <w:sz w:val="19"/>
              </w:rPr>
              <w:t> </w:t>
            </w:r>
            <w:r>
              <w:rPr>
                <w:rFonts w:ascii="Times New Roman"/>
                <w:sz w:val="19"/>
              </w:rPr>
              <w:t>provisiones</w:t>
            </w:r>
            <w:r>
              <w:rPr>
                <w:rFonts w:ascii="Times New Roman"/>
                <w:spacing w:val="-3"/>
                <w:sz w:val="19"/>
              </w:rPr>
              <w:t> </w:t>
            </w:r>
            <w:r>
              <w:rPr>
                <w:rFonts w:ascii="Times New Roman"/>
                <w:sz w:val="19"/>
              </w:rPr>
              <w:t>Litigios</w:t>
            </w:r>
            <w:r>
              <w:rPr>
                <w:rFonts w:ascii="Times New Roman"/>
                <w:spacing w:val="59"/>
                <w:w w:val="150"/>
                <w:sz w:val="19"/>
              </w:rPr>
              <w:t> </w:t>
            </w:r>
            <w:r>
              <w:rPr>
                <w:rFonts w:ascii="Times New Roman"/>
                <w:spacing w:val="-2"/>
                <w:sz w:val="19"/>
              </w:rPr>
              <w:t>31.12.25</w:t>
            </w:r>
            <w:r>
              <w:rPr>
                <w:rFonts w:ascii="Times New Roman"/>
                <w:sz w:val="19"/>
              </w:rPr>
              <w:tab/>
              <w:t>1 425</w:t>
            </w:r>
            <w:r>
              <w:rPr>
                <w:rFonts w:ascii="Times New Roman"/>
                <w:spacing w:val="1"/>
                <w:sz w:val="19"/>
              </w:rPr>
              <w:t> </w:t>
            </w:r>
            <w:r>
              <w:rPr>
                <w:rFonts w:ascii="Times New Roman"/>
                <w:spacing w:val="-2"/>
                <w:sz w:val="19"/>
              </w:rPr>
              <w:t>808,66</w:t>
            </w:r>
          </w:p>
          <w:p>
            <w:pPr>
              <w:pStyle w:val="TableParagraph"/>
              <w:tabs>
                <w:tab w:pos="4714" w:val="left" w:leader="none"/>
              </w:tabs>
              <w:spacing w:before="26"/>
              <w:ind w:left="144"/>
              <w:rPr>
                <w:rFonts w:ascii="Times New Roman"/>
                <w:sz w:val="19"/>
              </w:rPr>
            </w:pPr>
            <w:r>
              <w:rPr>
                <w:rFonts w:ascii="Times New Roman"/>
                <w:spacing w:val="-2"/>
                <w:sz w:val="19"/>
              </w:rPr>
              <w:t>Incrementos</w:t>
            </w:r>
            <w:r>
              <w:rPr>
                <w:rFonts w:ascii="Times New Roman"/>
                <w:sz w:val="19"/>
              </w:rPr>
              <w:tab/>
              <w:t>436</w:t>
            </w:r>
            <w:r>
              <w:rPr>
                <w:rFonts w:ascii="Times New Roman"/>
                <w:spacing w:val="-1"/>
                <w:sz w:val="19"/>
              </w:rPr>
              <w:t> </w:t>
            </w:r>
            <w:r>
              <w:rPr>
                <w:rFonts w:ascii="Times New Roman"/>
                <w:spacing w:val="-2"/>
                <w:sz w:val="19"/>
              </w:rPr>
              <w:t>707,28</w:t>
            </w:r>
          </w:p>
          <w:p>
            <w:pPr>
              <w:pStyle w:val="TableParagraph"/>
              <w:tabs>
                <w:tab w:pos="4714" w:val="left" w:leader="none"/>
              </w:tabs>
              <w:spacing w:line="205" w:lineRule="exact" w:before="27"/>
              <w:ind w:left="144"/>
              <w:rPr>
                <w:rFonts w:ascii="Times New Roman" w:hAnsi="Times New Roman"/>
                <w:sz w:val="19"/>
              </w:rPr>
            </w:pPr>
            <w:r>
              <w:rPr>
                <w:rFonts w:ascii="Times New Roman" w:hAnsi="Times New Roman"/>
                <w:sz w:val="19"/>
              </w:rPr>
              <w:t>Disminuciones</w:t>
            </w:r>
            <w:r>
              <w:rPr>
                <w:rFonts w:ascii="Times New Roman" w:hAnsi="Times New Roman"/>
                <w:spacing w:val="-6"/>
                <w:sz w:val="19"/>
              </w:rPr>
              <w:t> </w:t>
            </w:r>
            <w:r>
              <w:rPr>
                <w:rFonts w:ascii="Times New Roman" w:hAnsi="Times New Roman"/>
                <w:sz w:val="19"/>
              </w:rPr>
              <w:t>por</w:t>
            </w:r>
            <w:r>
              <w:rPr>
                <w:rFonts w:ascii="Times New Roman" w:hAnsi="Times New Roman"/>
                <w:spacing w:val="-8"/>
                <w:sz w:val="19"/>
              </w:rPr>
              <w:t> </w:t>
            </w:r>
            <w:r>
              <w:rPr>
                <w:rFonts w:ascii="Times New Roman" w:hAnsi="Times New Roman"/>
                <w:spacing w:val="-2"/>
                <w:sz w:val="19"/>
              </w:rPr>
              <w:t>aplicación</w:t>
            </w:r>
            <w:r>
              <w:rPr>
                <w:rFonts w:ascii="Times New Roman" w:hAnsi="Times New Roman"/>
                <w:sz w:val="19"/>
              </w:rPr>
              <w:tab/>
              <w:t>277</w:t>
            </w:r>
            <w:r>
              <w:rPr>
                <w:rFonts w:ascii="Times New Roman" w:hAnsi="Times New Roman"/>
                <w:spacing w:val="-1"/>
                <w:sz w:val="19"/>
              </w:rPr>
              <w:t> </w:t>
            </w:r>
            <w:r>
              <w:rPr>
                <w:rFonts w:ascii="Times New Roman" w:hAnsi="Times New Roman"/>
                <w:spacing w:val="-2"/>
                <w:sz w:val="19"/>
              </w:rPr>
              <w:t>547,60</w:t>
            </w:r>
          </w:p>
        </w:tc>
        <w:tc>
          <w:tcPr>
            <w:tcW w:w="1836" w:type="dxa"/>
            <w:vMerge/>
            <w:tcBorders>
              <w:top w:val="nil"/>
              <w:bottom w:val="nil"/>
            </w:tcBorders>
          </w:tcPr>
          <w:p>
            <w:pPr>
              <w:rPr>
                <w:sz w:val="2"/>
                <w:szCs w:val="2"/>
              </w:rPr>
            </w:pPr>
          </w:p>
        </w:tc>
      </w:tr>
      <w:tr>
        <w:trPr>
          <w:trHeight w:val="233" w:hRule="atLeast"/>
        </w:trPr>
        <w:tc>
          <w:tcPr>
            <w:tcW w:w="1826" w:type="dxa"/>
            <w:vMerge/>
            <w:tcBorders>
              <w:top w:val="nil"/>
              <w:bottom w:val="nil"/>
              <w:right w:val="single" w:sz="2" w:space="0" w:color="000000"/>
            </w:tcBorders>
          </w:tcPr>
          <w:p>
            <w:pPr>
              <w:rPr>
                <w:sz w:val="2"/>
                <w:szCs w:val="2"/>
              </w:rPr>
            </w:pPr>
          </w:p>
        </w:tc>
        <w:tc>
          <w:tcPr>
            <w:tcW w:w="5717" w:type="dxa"/>
            <w:tcBorders>
              <w:top w:val="nil"/>
              <w:left w:val="single" w:sz="2" w:space="0" w:color="000000"/>
              <w:bottom w:val="nil"/>
            </w:tcBorders>
            <w:shd w:val="clear" w:color="auto" w:fill="FFFFFF"/>
          </w:tcPr>
          <w:p>
            <w:pPr>
              <w:pStyle w:val="TableParagraph"/>
              <w:rPr>
                <w:rFonts w:ascii="Times New Roman"/>
                <w:sz w:val="16"/>
              </w:rPr>
            </w:pPr>
          </w:p>
        </w:tc>
        <w:tc>
          <w:tcPr>
            <w:tcW w:w="1836" w:type="dxa"/>
            <w:vMerge/>
            <w:tcBorders>
              <w:top w:val="nil"/>
              <w:bottom w:val="nil"/>
            </w:tcBorders>
          </w:tcPr>
          <w:p>
            <w:pPr>
              <w:rPr>
                <w:sz w:val="2"/>
                <w:szCs w:val="2"/>
              </w:rPr>
            </w:pPr>
          </w:p>
        </w:tc>
      </w:tr>
      <w:tr>
        <w:trPr>
          <w:trHeight w:val="242" w:hRule="atLeast"/>
        </w:trPr>
        <w:tc>
          <w:tcPr>
            <w:tcW w:w="1826" w:type="dxa"/>
            <w:vMerge/>
            <w:tcBorders>
              <w:top w:val="nil"/>
              <w:bottom w:val="nil"/>
              <w:right w:val="single" w:sz="2" w:space="0" w:color="000000"/>
            </w:tcBorders>
          </w:tcPr>
          <w:p>
            <w:pPr>
              <w:rPr>
                <w:sz w:val="2"/>
                <w:szCs w:val="2"/>
              </w:rPr>
            </w:pPr>
          </w:p>
        </w:tc>
        <w:tc>
          <w:tcPr>
            <w:tcW w:w="5717" w:type="dxa"/>
            <w:tcBorders>
              <w:top w:val="nil"/>
              <w:left w:val="single" w:sz="2" w:space="0" w:color="000000"/>
            </w:tcBorders>
          </w:tcPr>
          <w:p>
            <w:pPr>
              <w:pStyle w:val="TableParagraph"/>
              <w:tabs>
                <w:tab w:pos="4608" w:val="left" w:leader="none"/>
              </w:tabs>
              <w:spacing w:line="205" w:lineRule="exact" w:before="17"/>
              <w:ind w:left="144"/>
              <w:rPr>
                <w:rFonts w:ascii="Times New Roman"/>
                <w:sz w:val="19"/>
              </w:rPr>
            </w:pPr>
            <w:r>
              <w:rPr>
                <w:rFonts w:ascii="Times New Roman"/>
                <w:sz w:val="19"/>
              </w:rPr>
              <w:t>Saldo</w:t>
            </w:r>
            <w:r>
              <w:rPr>
                <w:rFonts w:ascii="Times New Roman"/>
                <w:spacing w:val="-10"/>
                <w:sz w:val="19"/>
              </w:rPr>
              <w:t> </w:t>
            </w:r>
            <w:r>
              <w:rPr>
                <w:rFonts w:ascii="Times New Roman"/>
                <w:sz w:val="19"/>
              </w:rPr>
              <w:t>final</w:t>
            </w:r>
            <w:r>
              <w:rPr>
                <w:rFonts w:ascii="Times New Roman"/>
                <w:spacing w:val="-6"/>
                <w:sz w:val="19"/>
              </w:rPr>
              <w:t> </w:t>
            </w:r>
            <w:r>
              <w:rPr>
                <w:rFonts w:ascii="Times New Roman"/>
                <w:sz w:val="19"/>
              </w:rPr>
              <w:t>de</w:t>
            </w:r>
            <w:r>
              <w:rPr>
                <w:rFonts w:ascii="Times New Roman"/>
                <w:spacing w:val="-9"/>
                <w:sz w:val="19"/>
              </w:rPr>
              <w:t> </w:t>
            </w:r>
            <w:r>
              <w:rPr>
                <w:rFonts w:ascii="Times New Roman"/>
                <w:sz w:val="19"/>
              </w:rPr>
              <w:t>provisiones</w:t>
            </w:r>
            <w:r>
              <w:rPr>
                <w:rFonts w:ascii="Times New Roman"/>
                <w:spacing w:val="-3"/>
                <w:sz w:val="19"/>
              </w:rPr>
              <w:t> </w:t>
            </w:r>
            <w:r>
              <w:rPr>
                <w:rFonts w:ascii="Times New Roman"/>
                <w:sz w:val="19"/>
              </w:rPr>
              <w:t>litigios</w:t>
            </w:r>
            <w:r>
              <w:rPr>
                <w:rFonts w:ascii="Times New Roman"/>
                <w:spacing w:val="-4"/>
                <w:sz w:val="19"/>
              </w:rPr>
              <w:t> </w:t>
            </w:r>
            <w:r>
              <w:rPr>
                <w:rFonts w:ascii="Times New Roman"/>
                <w:spacing w:val="-2"/>
                <w:sz w:val="19"/>
              </w:rPr>
              <w:t>31.07.2026</w:t>
            </w:r>
            <w:r>
              <w:rPr>
                <w:rFonts w:ascii="Times New Roman"/>
                <w:sz w:val="19"/>
              </w:rPr>
              <w:tab/>
              <w:t>1 584</w:t>
            </w:r>
            <w:r>
              <w:rPr>
                <w:rFonts w:ascii="Times New Roman"/>
                <w:spacing w:val="1"/>
                <w:sz w:val="19"/>
              </w:rPr>
              <w:t> </w:t>
            </w:r>
            <w:r>
              <w:rPr>
                <w:rFonts w:ascii="Times New Roman"/>
                <w:spacing w:val="-2"/>
                <w:sz w:val="19"/>
              </w:rPr>
              <w:t>968,34</w:t>
            </w:r>
          </w:p>
        </w:tc>
        <w:tc>
          <w:tcPr>
            <w:tcW w:w="1836" w:type="dxa"/>
            <w:vMerge/>
            <w:tcBorders>
              <w:top w:val="nil"/>
              <w:bottom w:val="nil"/>
            </w:tcBorders>
          </w:tcPr>
          <w:p>
            <w:pPr>
              <w:rPr>
                <w:sz w:val="2"/>
                <w:szCs w:val="2"/>
              </w:rPr>
            </w:pPr>
          </w:p>
        </w:tc>
      </w:tr>
      <w:tr>
        <w:trPr>
          <w:trHeight w:val="6170" w:hRule="atLeast"/>
        </w:trPr>
        <w:tc>
          <w:tcPr>
            <w:tcW w:w="9379" w:type="dxa"/>
            <w:gridSpan w:val="3"/>
            <w:tcBorders>
              <w:top w:val="nil"/>
            </w:tcBorders>
          </w:tcPr>
          <w:p>
            <w:pPr>
              <w:pStyle w:val="TableParagraph"/>
              <w:rPr>
                <w:sz w:val="22"/>
              </w:rPr>
            </w:pPr>
          </w:p>
          <w:p>
            <w:pPr>
              <w:pStyle w:val="TableParagraph"/>
              <w:spacing w:before="19"/>
              <w:rPr>
                <w:sz w:val="22"/>
              </w:rPr>
            </w:pPr>
          </w:p>
          <w:p>
            <w:pPr>
              <w:pStyle w:val="TableParagraph"/>
              <w:ind w:left="69"/>
              <w:jc w:val="both"/>
              <w:rPr>
                <w:b/>
                <w:sz w:val="22"/>
              </w:rPr>
            </w:pPr>
            <w:r>
              <w:rPr>
                <w:b/>
                <w:sz w:val="22"/>
              </w:rPr>
              <w:t>Metodología</w:t>
            </w:r>
            <w:r>
              <w:rPr>
                <w:b/>
                <w:spacing w:val="-5"/>
                <w:sz w:val="22"/>
              </w:rPr>
              <w:t> </w:t>
            </w:r>
            <w:r>
              <w:rPr>
                <w:b/>
                <w:sz w:val="22"/>
              </w:rPr>
              <w:t>aplicada</w:t>
            </w:r>
            <w:r>
              <w:rPr>
                <w:b/>
                <w:spacing w:val="-3"/>
                <w:sz w:val="22"/>
              </w:rPr>
              <w:t> </w:t>
            </w:r>
            <w:r>
              <w:rPr>
                <w:b/>
                <w:sz w:val="22"/>
              </w:rPr>
              <w:t>a</w:t>
            </w:r>
            <w:r>
              <w:rPr>
                <w:b/>
                <w:spacing w:val="-4"/>
                <w:sz w:val="22"/>
              </w:rPr>
              <w:t> </w:t>
            </w:r>
            <w:r>
              <w:rPr>
                <w:b/>
                <w:sz w:val="22"/>
              </w:rPr>
              <w:t>provisionar</w:t>
            </w:r>
            <w:r>
              <w:rPr>
                <w:b/>
                <w:spacing w:val="-2"/>
                <w:sz w:val="22"/>
              </w:rPr>
              <w:t> litigios:</w:t>
            </w:r>
          </w:p>
          <w:p>
            <w:pPr>
              <w:pStyle w:val="TableParagraph"/>
              <w:spacing w:before="250"/>
              <w:ind w:left="69" w:right="54"/>
              <w:jc w:val="both"/>
              <w:rPr>
                <w:sz w:val="22"/>
              </w:rPr>
            </w:pPr>
            <w:r>
              <w:rPr>
                <w:sz w:val="22"/>
              </w:rPr>
              <w:t>La</w:t>
            </w:r>
            <w:r>
              <w:rPr>
                <w:spacing w:val="-10"/>
                <w:sz w:val="22"/>
              </w:rPr>
              <w:t> </w:t>
            </w:r>
            <w:r>
              <w:rPr>
                <w:sz w:val="22"/>
              </w:rPr>
              <w:t>Asesoría</w:t>
            </w:r>
            <w:r>
              <w:rPr>
                <w:spacing w:val="-10"/>
                <w:sz w:val="22"/>
              </w:rPr>
              <w:t> </w:t>
            </w:r>
            <w:r>
              <w:rPr>
                <w:sz w:val="22"/>
              </w:rPr>
              <w:t>Jurídica</w:t>
            </w:r>
            <w:r>
              <w:rPr>
                <w:spacing w:val="-11"/>
                <w:sz w:val="22"/>
              </w:rPr>
              <w:t> </w:t>
            </w:r>
            <w:r>
              <w:rPr>
                <w:sz w:val="22"/>
              </w:rPr>
              <w:t>es</w:t>
            </w:r>
            <w:r>
              <w:rPr>
                <w:spacing w:val="-11"/>
                <w:sz w:val="22"/>
              </w:rPr>
              <w:t> </w:t>
            </w:r>
            <w:r>
              <w:rPr>
                <w:sz w:val="22"/>
              </w:rPr>
              <w:t>quién</w:t>
            </w:r>
            <w:r>
              <w:rPr>
                <w:spacing w:val="-9"/>
                <w:sz w:val="22"/>
              </w:rPr>
              <w:t> </w:t>
            </w:r>
            <w:r>
              <w:rPr>
                <w:sz w:val="22"/>
              </w:rPr>
              <w:t>establece</w:t>
            </w:r>
            <w:r>
              <w:rPr>
                <w:spacing w:val="-11"/>
                <w:sz w:val="22"/>
              </w:rPr>
              <w:t> </w:t>
            </w:r>
            <w:r>
              <w:rPr>
                <w:sz w:val="22"/>
              </w:rPr>
              <w:t>la</w:t>
            </w:r>
            <w:r>
              <w:rPr>
                <w:spacing w:val="-11"/>
                <w:sz w:val="22"/>
              </w:rPr>
              <w:t> </w:t>
            </w:r>
            <w:r>
              <w:rPr>
                <w:sz w:val="22"/>
              </w:rPr>
              <w:t>metodología</w:t>
            </w:r>
            <w:r>
              <w:rPr>
                <w:spacing w:val="-10"/>
                <w:sz w:val="22"/>
              </w:rPr>
              <w:t> </w:t>
            </w:r>
            <w:r>
              <w:rPr>
                <w:sz w:val="22"/>
              </w:rPr>
              <w:t>para</w:t>
            </w:r>
            <w:r>
              <w:rPr>
                <w:spacing w:val="-10"/>
                <w:sz w:val="22"/>
              </w:rPr>
              <w:t> </w:t>
            </w:r>
            <w:r>
              <w:rPr>
                <w:sz w:val="22"/>
              </w:rPr>
              <w:t>estimar</w:t>
            </w:r>
            <w:r>
              <w:rPr>
                <w:spacing w:val="-10"/>
                <w:sz w:val="22"/>
              </w:rPr>
              <w:t> </w:t>
            </w:r>
            <w:r>
              <w:rPr>
                <w:sz w:val="22"/>
              </w:rPr>
              <w:t>la</w:t>
            </w:r>
            <w:r>
              <w:rPr>
                <w:spacing w:val="-11"/>
                <w:sz w:val="22"/>
              </w:rPr>
              <w:t> </w:t>
            </w:r>
            <w:r>
              <w:rPr>
                <w:sz w:val="22"/>
              </w:rPr>
              <w:t>probabilidad</w:t>
            </w:r>
            <w:r>
              <w:rPr>
                <w:spacing w:val="-10"/>
                <w:sz w:val="22"/>
              </w:rPr>
              <w:t> </w:t>
            </w:r>
            <w:r>
              <w:rPr>
                <w:sz w:val="22"/>
              </w:rPr>
              <w:t>de</w:t>
            </w:r>
            <w:r>
              <w:rPr>
                <w:spacing w:val="-11"/>
                <w:sz w:val="22"/>
              </w:rPr>
              <w:t> </w:t>
            </w:r>
            <w:r>
              <w:rPr>
                <w:sz w:val="22"/>
              </w:rPr>
              <w:t>fracaso</w:t>
            </w:r>
            <w:r>
              <w:rPr>
                <w:spacing w:val="-9"/>
                <w:sz w:val="22"/>
              </w:rPr>
              <w:t> </w:t>
            </w:r>
            <w:r>
              <w:rPr>
                <w:sz w:val="22"/>
              </w:rPr>
              <w:t>de</w:t>
            </w:r>
            <w:r>
              <w:rPr>
                <w:spacing w:val="-11"/>
                <w:sz w:val="22"/>
              </w:rPr>
              <w:t> </w:t>
            </w:r>
            <w:r>
              <w:rPr>
                <w:sz w:val="22"/>
              </w:rPr>
              <w:t>los</w:t>
            </w:r>
            <w:r>
              <w:rPr>
                <w:spacing w:val="-9"/>
                <w:sz w:val="22"/>
              </w:rPr>
              <w:t> </w:t>
            </w:r>
            <w:r>
              <w:rPr>
                <w:sz w:val="22"/>
              </w:rPr>
              <w:t>litigios, valora cada caso y define los pasivos contingentes, los cuales serán detallados en un documento indicando los procesos judiciales que se encuentran en trámite contra del IMAS, por conceptos como: las deudas provenientes de</w:t>
            </w:r>
            <w:r>
              <w:rPr>
                <w:spacing w:val="-2"/>
                <w:sz w:val="22"/>
              </w:rPr>
              <w:t> </w:t>
            </w:r>
            <w:r>
              <w:rPr>
                <w:sz w:val="22"/>
              </w:rPr>
              <w:t>procesos de</w:t>
            </w:r>
            <w:r>
              <w:rPr>
                <w:spacing w:val="-2"/>
                <w:sz w:val="22"/>
              </w:rPr>
              <w:t> </w:t>
            </w:r>
            <w:r>
              <w:rPr>
                <w:sz w:val="22"/>
              </w:rPr>
              <w:t>tránsito, daños a</w:t>
            </w:r>
            <w:r>
              <w:rPr>
                <w:spacing w:val="-1"/>
                <w:sz w:val="22"/>
              </w:rPr>
              <w:t> </w:t>
            </w:r>
            <w:r>
              <w:rPr>
                <w:sz w:val="22"/>
              </w:rPr>
              <w:t>terceros,</w:t>
            </w:r>
            <w:r>
              <w:rPr>
                <w:spacing w:val="-2"/>
                <w:sz w:val="22"/>
              </w:rPr>
              <w:t> </w:t>
            </w:r>
            <w:r>
              <w:rPr>
                <w:sz w:val="22"/>
              </w:rPr>
              <w:t>litigios por demandas comerciales y</w:t>
            </w:r>
            <w:r>
              <w:rPr>
                <w:spacing w:val="-1"/>
                <w:sz w:val="22"/>
              </w:rPr>
              <w:t> </w:t>
            </w:r>
            <w:r>
              <w:rPr>
                <w:sz w:val="22"/>
              </w:rPr>
              <w:t>laborales, cuya información</w:t>
            </w:r>
            <w:r>
              <w:rPr>
                <w:spacing w:val="-6"/>
                <w:sz w:val="22"/>
              </w:rPr>
              <w:t> </w:t>
            </w:r>
            <w:r>
              <w:rPr>
                <w:sz w:val="22"/>
              </w:rPr>
              <w:t>es</w:t>
            </w:r>
            <w:r>
              <w:rPr>
                <w:spacing w:val="-5"/>
                <w:sz w:val="22"/>
              </w:rPr>
              <w:t> </w:t>
            </w:r>
            <w:r>
              <w:rPr>
                <w:sz w:val="22"/>
              </w:rPr>
              <w:t>recibida</w:t>
            </w:r>
            <w:r>
              <w:rPr>
                <w:spacing w:val="-7"/>
                <w:sz w:val="22"/>
              </w:rPr>
              <w:t> </w:t>
            </w:r>
            <w:r>
              <w:rPr>
                <w:sz w:val="22"/>
              </w:rPr>
              <w:t>mediante</w:t>
            </w:r>
            <w:r>
              <w:rPr>
                <w:spacing w:val="-7"/>
                <w:sz w:val="22"/>
              </w:rPr>
              <w:t> </w:t>
            </w:r>
            <w:r>
              <w:rPr>
                <w:sz w:val="22"/>
              </w:rPr>
              <w:t>oficio</w:t>
            </w:r>
            <w:r>
              <w:rPr>
                <w:spacing w:val="-6"/>
                <w:sz w:val="22"/>
              </w:rPr>
              <w:t> </w:t>
            </w:r>
            <w:r>
              <w:rPr>
                <w:sz w:val="22"/>
              </w:rPr>
              <w:t>a</w:t>
            </w:r>
            <w:r>
              <w:rPr>
                <w:spacing w:val="-7"/>
                <w:sz w:val="22"/>
              </w:rPr>
              <w:t> </w:t>
            </w:r>
            <w:r>
              <w:rPr>
                <w:sz w:val="22"/>
              </w:rPr>
              <w:t>la</w:t>
            </w:r>
            <w:r>
              <w:rPr>
                <w:spacing w:val="-7"/>
                <w:sz w:val="22"/>
              </w:rPr>
              <w:t> </w:t>
            </w:r>
            <w:r>
              <w:rPr>
                <w:sz w:val="22"/>
              </w:rPr>
              <w:t>Unidad</w:t>
            </w:r>
            <w:r>
              <w:rPr>
                <w:spacing w:val="-4"/>
                <w:sz w:val="22"/>
              </w:rPr>
              <w:t> </w:t>
            </w:r>
            <w:r>
              <w:rPr>
                <w:sz w:val="22"/>
              </w:rPr>
              <w:t>Contable.</w:t>
            </w:r>
            <w:r>
              <w:rPr>
                <w:spacing w:val="80"/>
                <w:sz w:val="22"/>
              </w:rPr>
              <w:t> </w:t>
            </w:r>
            <w:r>
              <w:rPr>
                <w:sz w:val="22"/>
              </w:rPr>
              <w:t>Asesoría</w:t>
            </w:r>
            <w:r>
              <w:rPr>
                <w:spacing w:val="-7"/>
                <w:sz w:val="22"/>
              </w:rPr>
              <w:t> </w:t>
            </w:r>
            <w:r>
              <w:rPr>
                <w:sz w:val="22"/>
              </w:rPr>
              <w:t>Jurídica</w:t>
            </w:r>
            <w:r>
              <w:rPr>
                <w:spacing w:val="-7"/>
                <w:sz w:val="22"/>
              </w:rPr>
              <w:t> </w:t>
            </w:r>
            <w:r>
              <w:rPr>
                <w:sz w:val="22"/>
              </w:rPr>
              <w:t>ajustará</w:t>
            </w:r>
            <w:r>
              <w:rPr>
                <w:spacing w:val="-7"/>
                <w:sz w:val="22"/>
              </w:rPr>
              <w:t> </w:t>
            </w:r>
            <w:r>
              <w:rPr>
                <w:sz w:val="22"/>
              </w:rPr>
              <w:t>la</w:t>
            </w:r>
            <w:r>
              <w:rPr>
                <w:spacing w:val="-7"/>
                <w:sz w:val="22"/>
              </w:rPr>
              <w:t> </w:t>
            </w:r>
            <w:r>
              <w:rPr>
                <w:sz w:val="22"/>
              </w:rPr>
              <w:t>tabla</w:t>
            </w:r>
            <w:r>
              <w:rPr>
                <w:spacing w:val="-7"/>
                <w:sz w:val="22"/>
              </w:rPr>
              <w:t> </w:t>
            </w:r>
            <w:r>
              <w:rPr>
                <w:sz w:val="22"/>
              </w:rPr>
              <w:t>de</w:t>
            </w:r>
            <w:r>
              <w:rPr>
                <w:spacing w:val="-6"/>
                <w:sz w:val="22"/>
              </w:rPr>
              <w:t> </w:t>
            </w:r>
            <w:r>
              <w:rPr>
                <w:sz w:val="22"/>
              </w:rPr>
              <w:t>litigios en proceso, donde se exprese el monto estimado exigible establecido en el primer fallo administrativo o judicial con sentencia condenatoria al IMAS.</w:t>
            </w:r>
          </w:p>
          <w:p>
            <w:pPr>
              <w:pStyle w:val="TableParagraph"/>
              <w:spacing w:before="2"/>
              <w:rPr>
                <w:sz w:val="22"/>
              </w:rPr>
            </w:pPr>
          </w:p>
          <w:p>
            <w:pPr>
              <w:pStyle w:val="TableParagraph"/>
              <w:ind w:left="69" w:right="57"/>
              <w:jc w:val="both"/>
              <w:rPr>
                <w:sz w:val="22"/>
              </w:rPr>
            </w:pPr>
            <w:r>
              <w:rPr>
                <w:sz w:val="22"/>
              </w:rPr>
              <w:t>En</w:t>
            </w:r>
            <w:r>
              <w:rPr>
                <w:spacing w:val="-4"/>
                <w:sz w:val="22"/>
              </w:rPr>
              <w:t> </w:t>
            </w:r>
            <w:r>
              <w:rPr>
                <w:sz w:val="22"/>
              </w:rPr>
              <w:t>caso</w:t>
            </w:r>
            <w:r>
              <w:rPr>
                <w:spacing w:val="-4"/>
                <w:sz w:val="22"/>
              </w:rPr>
              <w:t> </w:t>
            </w:r>
            <w:r>
              <w:rPr>
                <w:sz w:val="22"/>
              </w:rPr>
              <w:t>de</w:t>
            </w:r>
            <w:r>
              <w:rPr>
                <w:spacing w:val="-6"/>
                <w:sz w:val="22"/>
              </w:rPr>
              <w:t> </w:t>
            </w:r>
            <w:r>
              <w:rPr>
                <w:sz w:val="22"/>
              </w:rPr>
              <w:t>que</w:t>
            </w:r>
            <w:r>
              <w:rPr>
                <w:spacing w:val="-6"/>
                <w:sz w:val="22"/>
              </w:rPr>
              <w:t> </w:t>
            </w:r>
            <w:r>
              <w:rPr>
                <w:sz w:val="22"/>
              </w:rPr>
              <w:t>el</w:t>
            </w:r>
            <w:r>
              <w:rPr>
                <w:spacing w:val="-5"/>
                <w:sz w:val="22"/>
              </w:rPr>
              <w:t> </w:t>
            </w:r>
            <w:r>
              <w:rPr>
                <w:sz w:val="22"/>
              </w:rPr>
              <w:t>primer</w:t>
            </w:r>
            <w:r>
              <w:rPr>
                <w:spacing w:val="-5"/>
                <w:sz w:val="22"/>
              </w:rPr>
              <w:t> </w:t>
            </w:r>
            <w:r>
              <w:rPr>
                <w:sz w:val="22"/>
              </w:rPr>
              <w:t>fallo</w:t>
            </w:r>
            <w:r>
              <w:rPr>
                <w:spacing w:val="-4"/>
                <w:sz w:val="22"/>
              </w:rPr>
              <w:t> </w:t>
            </w:r>
            <w:r>
              <w:rPr>
                <w:sz w:val="22"/>
              </w:rPr>
              <w:t>no</w:t>
            </w:r>
            <w:r>
              <w:rPr>
                <w:spacing w:val="-4"/>
                <w:sz w:val="22"/>
              </w:rPr>
              <w:t> </w:t>
            </w:r>
            <w:r>
              <w:rPr>
                <w:sz w:val="22"/>
              </w:rPr>
              <w:t>establezca</w:t>
            </w:r>
            <w:r>
              <w:rPr>
                <w:spacing w:val="-6"/>
                <w:sz w:val="22"/>
              </w:rPr>
              <w:t> </w:t>
            </w:r>
            <w:r>
              <w:rPr>
                <w:sz w:val="22"/>
              </w:rPr>
              <w:t>el</w:t>
            </w:r>
            <w:r>
              <w:rPr>
                <w:spacing w:val="-5"/>
                <w:sz w:val="22"/>
              </w:rPr>
              <w:t> </w:t>
            </w:r>
            <w:r>
              <w:rPr>
                <w:sz w:val="22"/>
              </w:rPr>
              <w:t>monto</w:t>
            </w:r>
            <w:r>
              <w:rPr>
                <w:spacing w:val="-4"/>
                <w:sz w:val="22"/>
              </w:rPr>
              <w:t> </w:t>
            </w:r>
            <w:r>
              <w:rPr>
                <w:sz w:val="22"/>
              </w:rPr>
              <w:t>estimado</w:t>
            </w:r>
            <w:r>
              <w:rPr>
                <w:spacing w:val="-4"/>
                <w:sz w:val="22"/>
              </w:rPr>
              <w:t> </w:t>
            </w:r>
            <w:r>
              <w:rPr>
                <w:sz w:val="22"/>
              </w:rPr>
              <w:t>exigible,</w:t>
            </w:r>
            <w:r>
              <w:rPr>
                <w:spacing w:val="-5"/>
                <w:sz w:val="22"/>
              </w:rPr>
              <w:t> </w:t>
            </w:r>
            <w:r>
              <w:rPr>
                <w:sz w:val="22"/>
              </w:rPr>
              <w:t>Asesoría</w:t>
            </w:r>
            <w:r>
              <w:rPr>
                <w:spacing w:val="-5"/>
                <w:sz w:val="22"/>
              </w:rPr>
              <w:t> </w:t>
            </w:r>
            <w:r>
              <w:rPr>
                <w:sz w:val="22"/>
              </w:rPr>
              <w:t>Jurídica</w:t>
            </w:r>
            <w:r>
              <w:rPr>
                <w:spacing w:val="-6"/>
                <w:sz w:val="22"/>
              </w:rPr>
              <w:t> </w:t>
            </w:r>
            <w:r>
              <w:rPr>
                <w:sz w:val="22"/>
              </w:rPr>
              <w:t>en</w:t>
            </w:r>
            <w:r>
              <w:rPr>
                <w:spacing w:val="-4"/>
                <w:sz w:val="22"/>
              </w:rPr>
              <w:t> </w:t>
            </w:r>
            <w:r>
              <w:rPr>
                <w:sz w:val="22"/>
              </w:rPr>
              <w:t>coordinación con</w:t>
            </w:r>
            <w:r>
              <w:rPr>
                <w:spacing w:val="-5"/>
                <w:sz w:val="22"/>
              </w:rPr>
              <w:t> </w:t>
            </w:r>
            <w:r>
              <w:rPr>
                <w:sz w:val="22"/>
              </w:rPr>
              <w:t>las</w:t>
            </w:r>
            <w:r>
              <w:rPr>
                <w:spacing w:val="-7"/>
                <w:sz w:val="22"/>
              </w:rPr>
              <w:t> </w:t>
            </w:r>
            <w:r>
              <w:rPr>
                <w:sz w:val="22"/>
              </w:rPr>
              <w:t>áreas</w:t>
            </w:r>
            <w:r>
              <w:rPr>
                <w:spacing w:val="-5"/>
                <w:sz w:val="22"/>
              </w:rPr>
              <w:t> </w:t>
            </w:r>
            <w:r>
              <w:rPr>
                <w:sz w:val="22"/>
              </w:rPr>
              <w:t>atinentes,</w:t>
            </w:r>
            <w:r>
              <w:rPr>
                <w:spacing w:val="-6"/>
                <w:sz w:val="22"/>
              </w:rPr>
              <w:t> </w:t>
            </w:r>
            <w:r>
              <w:rPr>
                <w:sz w:val="22"/>
              </w:rPr>
              <w:t>determinará</w:t>
            </w:r>
            <w:r>
              <w:rPr>
                <w:spacing w:val="-6"/>
                <w:sz w:val="22"/>
              </w:rPr>
              <w:t> </w:t>
            </w:r>
            <w:r>
              <w:rPr>
                <w:sz w:val="22"/>
              </w:rPr>
              <w:t>un</w:t>
            </w:r>
            <w:r>
              <w:rPr>
                <w:spacing w:val="-10"/>
                <w:sz w:val="22"/>
              </w:rPr>
              <w:t> </w:t>
            </w:r>
            <w:r>
              <w:rPr>
                <w:sz w:val="22"/>
              </w:rPr>
              <w:t>monto</w:t>
            </w:r>
            <w:r>
              <w:rPr>
                <w:spacing w:val="-5"/>
                <w:sz w:val="22"/>
              </w:rPr>
              <w:t> </w:t>
            </w:r>
            <w:r>
              <w:rPr>
                <w:sz w:val="22"/>
              </w:rPr>
              <w:t>aproximado</w:t>
            </w:r>
            <w:r>
              <w:rPr>
                <w:spacing w:val="-5"/>
                <w:sz w:val="22"/>
              </w:rPr>
              <w:t> </w:t>
            </w:r>
            <w:r>
              <w:rPr>
                <w:sz w:val="22"/>
              </w:rPr>
              <w:t>según</w:t>
            </w:r>
            <w:r>
              <w:rPr>
                <w:spacing w:val="-5"/>
                <w:sz w:val="22"/>
              </w:rPr>
              <w:t> </w:t>
            </w:r>
            <w:r>
              <w:rPr>
                <w:sz w:val="22"/>
              </w:rPr>
              <w:t>las</w:t>
            </w:r>
            <w:r>
              <w:rPr>
                <w:spacing w:val="-7"/>
                <w:sz w:val="22"/>
              </w:rPr>
              <w:t> </w:t>
            </w:r>
            <w:r>
              <w:rPr>
                <w:sz w:val="22"/>
              </w:rPr>
              <w:t>mejores</w:t>
            </w:r>
            <w:r>
              <w:rPr>
                <w:spacing w:val="-5"/>
                <w:sz w:val="22"/>
              </w:rPr>
              <w:t> </w:t>
            </w:r>
            <w:r>
              <w:rPr>
                <w:sz w:val="22"/>
              </w:rPr>
              <w:t>prácticas</w:t>
            </w:r>
            <w:r>
              <w:rPr>
                <w:spacing w:val="-5"/>
                <w:sz w:val="22"/>
              </w:rPr>
              <w:t> </w:t>
            </w:r>
            <w:r>
              <w:rPr>
                <w:sz w:val="22"/>
              </w:rPr>
              <w:t>institucionales,</w:t>
            </w:r>
            <w:r>
              <w:rPr>
                <w:spacing w:val="-8"/>
                <w:sz w:val="22"/>
              </w:rPr>
              <w:t> </w:t>
            </w:r>
            <w:r>
              <w:rPr>
                <w:sz w:val="22"/>
              </w:rPr>
              <w:t>en</w:t>
            </w:r>
            <w:r>
              <w:rPr>
                <w:spacing w:val="-5"/>
                <w:sz w:val="22"/>
              </w:rPr>
              <w:t> </w:t>
            </w:r>
            <w:r>
              <w:rPr>
                <w:sz w:val="22"/>
              </w:rPr>
              <w:t>el tanto exista una resolución de primera instancia con sentencia condenatoria contra el IMAS, en caso contrario, de conformidad con el párrafo primero del artículo quinto de la Directriz de la Contabilidad Nacional Nº CN-001-2014, dichas provisiones no serán reconocidas mediante asientos contables en los Estados Financieros. Para establecer el registro para la provisión se toma el porcentaje de la provisión por expediente judicial para poder elaborar la información de registro final.</w:t>
            </w:r>
          </w:p>
          <w:p>
            <w:pPr>
              <w:pStyle w:val="TableParagraph"/>
              <w:spacing w:line="259" w:lineRule="auto" w:before="250"/>
              <w:ind w:left="69" w:right="53"/>
              <w:jc w:val="both"/>
              <w:rPr>
                <w:sz w:val="22"/>
              </w:rPr>
            </w:pPr>
            <w:r>
              <w:rPr>
                <w:sz w:val="22"/>
              </w:rPr>
              <w:t>En</w:t>
            </w:r>
            <w:r>
              <w:rPr>
                <w:spacing w:val="-1"/>
                <w:sz w:val="22"/>
              </w:rPr>
              <w:t> </w:t>
            </w:r>
            <w:r>
              <w:rPr>
                <w:sz w:val="22"/>
              </w:rPr>
              <w:t>el</w:t>
            </w:r>
            <w:r>
              <w:rPr>
                <w:spacing w:val="-2"/>
                <w:sz w:val="22"/>
              </w:rPr>
              <w:t> </w:t>
            </w:r>
            <w:r>
              <w:rPr>
                <w:b/>
                <w:sz w:val="22"/>
              </w:rPr>
              <w:t>Anexo</w:t>
            </w:r>
            <w:r>
              <w:rPr>
                <w:b/>
                <w:spacing w:val="-1"/>
                <w:sz w:val="22"/>
              </w:rPr>
              <w:t> </w:t>
            </w:r>
            <w:r>
              <w:rPr>
                <w:b/>
                <w:sz w:val="22"/>
              </w:rPr>
              <w:t>No.6</w:t>
            </w:r>
            <w:r>
              <w:rPr>
                <w:b/>
                <w:spacing w:val="-1"/>
                <w:sz w:val="22"/>
              </w:rPr>
              <w:t> </w:t>
            </w:r>
            <w:r>
              <w:rPr>
                <w:sz w:val="22"/>
              </w:rPr>
              <w:t>se</w:t>
            </w:r>
            <w:r>
              <w:rPr>
                <w:spacing w:val="-2"/>
                <w:sz w:val="22"/>
              </w:rPr>
              <w:t> </w:t>
            </w:r>
            <w:r>
              <w:rPr>
                <w:sz w:val="22"/>
              </w:rPr>
              <w:t>detalla</w:t>
            </w:r>
            <w:r>
              <w:rPr>
                <w:spacing w:val="-3"/>
                <w:sz w:val="22"/>
              </w:rPr>
              <w:t> </w:t>
            </w:r>
            <w:r>
              <w:rPr>
                <w:sz w:val="22"/>
              </w:rPr>
              <w:t>el</w:t>
            </w:r>
            <w:r>
              <w:rPr>
                <w:spacing w:val="-1"/>
                <w:sz w:val="22"/>
              </w:rPr>
              <w:t> </w:t>
            </w:r>
            <w:r>
              <w:rPr>
                <w:sz w:val="22"/>
              </w:rPr>
              <w:t>último</w:t>
            </w:r>
            <w:r>
              <w:rPr>
                <w:spacing w:val="-1"/>
                <w:sz w:val="22"/>
              </w:rPr>
              <w:t> </w:t>
            </w:r>
            <w:r>
              <w:rPr>
                <w:sz w:val="22"/>
              </w:rPr>
              <w:t>informe</w:t>
            </w:r>
            <w:r>
              <w:rPr>
                <w:spacing w:val="-2"/>
                <w:sz w:val="22"/>
              </w:rPr>
              <w:t> </w:t>
            </w:r>
            <w:r>
              <w:rPr>
                <w:sz w:val="22"/>
              </w:rPr>
              <w:t>de</w:t>
            </w:r>
            <w:r>
              <w:rPr>
                <w:spacing w:val="-3"/>
                <w:sz w:val="22"/>
              </w:rPr>
              <w:t> </w:t>
            </w:r>
            <w:r>
              <w:rPr>
                <w:sz w:val="22"/>
              </w:rPr>
              <w:t>procesos judiciales emitido</w:t>
            </w:r>
            <w:r>
              <w:rPr>
                <w:spacing w:val="-1"/>
                <w:sz w:val="22"/>
              </w:rPr>
              <w:t> </w:t>
            </w:r>
            <w:r>
              <w:rPr>
                <w:sz w:val="22"/>
              </w:rPr>
              <w:t>por</w:t>
            </w:r>
            <w:r>
              <w:rPr>
                <w:spacing w:val="-1"/>
                <w:sz w:val="22"/>
              </w:rPr>
              <w:t> </w:t>
            </w:r>
            <w:r>
              <w:rPr>
                <w:sz w:val="22"/>
              </w:rPr>
              <w:t>Asesoría</w:t>
            </w:r>
            <w:r>
              <w:rPr>
                <w:spacing w:val="-2"/>
                <w:sz w:val="22"/>
              </w:rPr>
              <w:t> </w:t>
            </w:r>
            <w:r>
              <w:rPr>
                <w:sz w:val="22"/>
              </w:rPr>
              <w:t>Jurídica</w:t>
            </w:r>
            <w:r>
              <w:rPr>
                <w:spacing w:val="-3"/>
                <w:sz w:val="22"/>
              </w:rPr>
              <w:t> </w:t>
            </w:r>
            <w:r>
              <w:rPr>
                <w:sz w:val="22"/>
              </w:rPr>
              <w:t>IMAS-AJ-2120-2026 con corte al 31 de julio 2026.</w:t>
            </w:r>
          </w:p>
          <w:p>
            <w:pPr>
              <w:pStyle w:val="TableParagraph"/>
              <w:spacing w:before="162"/>
              <w:ind w:left="69"/>
              <w:jc w:val="both"/>
              <w:rPr>
                <w:sz w:val="22"/>
              </w:rPr>
            </w:pPr>
            <w:r>
              <w:rPr>
                <w:sz w:val="22"/>
              </w:rPr>
              <w:t>Se</w:t>
            </w:r>
            <w:r>
              <w:rPr>
                <w:spacing w:val="-6"/>
                <w:sz w:val="22"/>
              </w:rPr>
              <w:t> </w:t>
            </w:r>
            <w:r>
              <w:rPr>
                <w:sz w:val="22"/>
              </w:rPr>
              <w:t>encuentran</w:t>
            </w:r>
            <w:r>
              <w:rPr>
                <w:spacing w:val="-4"/>
                <w:sz w:val="22"/>
              </w:rPr>
              <w:t> </w:t>
            </w:r>
            <w:r>
              <w:rPr>
                <w:sz w:val="22"/>
              </w:rPr>
              <w:t>provisionados</w:t>
            </w:r>
            <w:r>
              <w:rPr>
                <w:spacing w:val="-4"/>
                <w:sz w:val="22"/>
              </w:rPr>
              <w:t> </w:t>
            </w:r>
            <w:r>
              <w:rPr>
                <w:sz w:val="22"/>
              </w:rPr>
              <w:t>los</w:t>
            </w:r>
            <w:r>
              <w:rPr>
                <w:spacing w:val="-3"/>
                <w:sz w:val="22"/>
              </w:rPr>
              <w:t> </w:t>
            </w:r>
            <w:r>
              <w:rPr>
                <w:spacing w:val="-2"/>
                <w:sz w:val="22"/>
              </w:rPr>
              <w:t>siguientes:</w:t>
            </w:r>
          </w:p>
        </w:tc>
      </w:tr>
    </w:tbl>
    <w:p>
      <w:pPr>
        <w:pStyle w:val="TableParagraph"/>
        <w:spacing w:after="0"/>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1296">
                <wp:simplePos x="0" y="0"/>
                <wp:positionH relativeFrom="page">
                  <wp:posOffset>9525</wp:posOffset>
                </wp:positionH>
                <wp:positionV relativeFrom="page">
                  <wp:posOffset>297208</wp:posOffset>
                </wp:positionV>
                <wp:extent cx="7762875" cy="9748520"/>
                <wp:effectExtent l="0" t="0" r="0" b="0"/>
                <wp:wrapNone/>
                <wp:docPr id="401" name="Group 401"/>
                <wp:cNvGraphicFramePr>
                  <a:graphicFrameLocks/>
                </wp:cNvGraphicFramePr>
                <a:graphic>
                  <a:graphicData uri="http://schemas.microsoft.com/office/word/2010/wordprocessingGroup">
                    <wpg:wgp>
                      <wpg:cNvPr id="401" name="Group 401"/>
                      <wpg:cNvGrpSpPr/>
                      <wpg:grpSpPr>
                        <a:xfrm>
                          <a:off x="0" y="0"/>
                          <a:ext cx="7762875" cy="9748520"/>
                          <a:chExt cx="7762875" cy="9748520"/>
                        </a:xfrm>
                      </wpg:grpSpPr>
                      <pic:pic>
                        <pic:nvPicPr>
                          <pic:cNvPr id="402" name="Image 402"/>
                          <pic:cNvPicPr/>
                        </pic:nvPicPr>
                        <pic:blipFill>
                          <a:blip r:embed="rId5" cstate="print"/>
                          <a:stretch>
                            <a:fillRect/>
                          </a:stretch>
                        </pic:blipFill>
                        <pic:spPr>
                          <a:xfrm>
                            <a:off x="0" y="0"/>
                            <a:ext cx="7762874" cy="9748489"/>
                          </a:xfrm>
                          <a:prstGeom prst="rect">
                            <a:avLst/>
                          </a:prstGeom>
                        </pic:spPr>
                      </pic:pic>
                      <wps:wsp>
                        <wps:cNvPr id="403" name="Graphic 40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5184" id="docshapegroup380" coordorigin="15,468" coordsize="12225,15352">
                <v:shape style="position:absolute;left:15;top:468;width:12225;height:15352" type="#_x0000_t75" id="docshape381" stroked="false">
                  <v:imagedata r:id="rId5" o:title=""/>
                </v:shape>
                <v:rect style="position:absolute;left:1673;top:2028;width:8897;height:15" id="docshape38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82</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620"/>
        <w:gridCol w:w="700"/>
        <w:gridCol w:w="1039"/>
        <w:gridCol w:w="499"/>
        <w:gridCol w:w="636"/>
        <w:gridCol w:w="862"/>
        <w:gridCol w:w="1064"/>
        <w:gridCol w:w="1845"/>
        <w:gridCol w:w="621"/>
        <w:gridCol w:w="621"/>
        <w:gridCol w:w="83"/>
      </w:tblGrid>
      <w:tr>
        <w:trPr>
          <w:trHeight w:val="313" w:hRule="atLeast"/>
        </w:trPr>
        <w:tc>
          <w:tcPr>
            <w:tcW w:w="790" w:type="dxa"/>
            <w:vMerge w:val="restart"/>
            <w:tcBorders>
              <w:right w:val="nil"/>
            </w:tcBorders>
          </w:tcPr>
          <w:p>
            <w:pPr>
              <w:pStyle w:val="TableParagraph"/>
              <w:rPr>
                <w:rFonts w:ascii="Times New Roman"/>
                <w:sz w:val="8"/>
              </w:rPr>
            </w:pPr>
          </w:p>
        </w:tc>
        <w:tc>
          <w:tcPr>
            <w:tcW w:w="8507" w:type="dxa"/>
            <w:gridSpan w:val="10"/>
            <w:tcBorders>
              <w:left w:val="nil"/>
              <w:bottom w:val="single" w:sz="2" w:space="0" w:color="000000"/>
              <w:right w:val="nil"/>
            </w:tcBorders>
            <w:shd w:val="clear" w:color="auto" w:fill="FFFFFF"/>
          </w:tcPr>
          <w:p>
            <w:pPr>
              <w:pStyle w:val="TableParagraph"/>
              <w:spacing w:before="11"/>
              <w:ind w:left="12" w:right="2"/>
              <w:jc w:val="center"/>
              <w:rPr>
                <w:rFonts w:ascii="Calibri"/>
                <w:b/>
                <w:sz w:val="13"/>
              </w:rPr>
            </w:pPr>
            <w:r>
              <w:rPr>
                <w:rFonts w:ascii="Calibri"/>
                <w:b/>
                <w:sz w:val="13"/>
              </w:rPr>
              <w:t>INSTITUTO</w:t>
            </w:r>
            <w:r>
              <w:rPr>
                <w:rFonts w:ascii="Calibri"/>
                <w:b/>
                <w:spacing w:val="1"/>
                <w:sz w:val="13"/>
              </w:rPr>
              <w:t> </w:t>
            </w:r>
            <w:r>
              <w:rPr>
                <w:rFonts w:ascii="Calibri"/>
                <w:b/>
                <w:sz w:val="13"/>
              </w:rPr>
              <w:t>MIXTO</w:t>
            </w:r>
            <w:r>
              <w:rPr>
                <w:rFonts w:ascii="Calibri"/>
                <w:b/>
                <w:spacing w:val="2"/>
                <w:sz w:val="13"/>
              </w:rPr>
              <w:t> </w:t>
            </w:r>
            <w:r>
              <w:rPr>
                <w:rFonts w:ascii="Calibri"/>
                <w:b/>
                <w:sz w:val="13"/>
              </w:rPr>
              <w:t>DE AYUDA</w:t>
            </w:r>
            <w:r>
              <w:rPr>
                <w:rFonts w:ascii="Calibri"/>
                <w:b/>
                <w:spacing w:val="2"/>
                <w:sz w:val="13"/>
              </w:rPr>
              <w:t> </w:t>
            </w:r>
            <w:r>
              <w:rPr>
                <w:rFonts w:ascii="Calibri"/>
                <w:b/>
                <w:spacing w:val="-2"/>
                <w:sz w:val="13"/>
              </w:rPr>
              <w:t>SOCIAL</w:t>
            </w:r>
          </w:p>
          <w:p>
            <w:pPr>
              <w:pStyle w:val="TableParagraph"/>
              <w:spacing w:line="112" w:lineRule="exact" w:before="12"/>
              <w:ind w:left="12"/>
              <w:jc w:val="center"/>
              <w:rPr>
                <w:rFonts w:ascii="Calibri"/>
                <w:b/>
                <w:sz w:val="11"/>
              </w:rPr>
            </w:pPr>
            <w:r>
              <w:rPr>
                <w:rFonts w:ascii="Calibri"/>
                <w:b/>
                <w:w w:val="110"/>
                <w:sz w:val="11"/>
              </w:rPr>
              <w:t>DETALLE</w:t>
            </w:r>
            <w:r>
              <w:rPr>
                <w:rFonts w:ascii="Calibri"/>
                <w:b/>
                <w:spacing w:val="-7"/>
                <w:w w:val="110"/>
                <w:sz w:val="11"/>
              </w:rPr>
              <w:t> </w:t>
            </w:r>
            <w:r>
              <w:rPr>
                <w:rFonts w:ascii="Calibri"/>
                <w:b/>
                <w:w w:val="110"/>
                <w:sz w:val="11"/>
              </w:rPr>
              <w:t>DE</w:t>
            </w:r>
            <w:r>
              <w:rPr>
                <w:rFonts w:ascii="Calibri"/>
                <w:b/>
                <w:spacing w:val="-7"/>
                <w:w w:val="110"/>
                <w:sz w:val="11"/>
              </w:rPr>
              <w:t> </w:t>
            </w:r>
            <w:r>
              <w:rPr>
                <w:rFonts w:ascii="Calibri"/>
                <w:b/>
                <w:w w:val="110"/>
                <w:sz w:val="11"/>
              </w:rPr>
              <w:t>PROCESOS</w:t>
            </w:r>
            <w:r>
              <w:rPr>
                <w:rFonts w:ascii="Calibri"/>
                <w:b/>
                <w:spacing w:val="-7"/>
                <w:w w:val="110"/>
                <w:sz w:val="11"/>
              </w:rPr>
              <w:t> </w:t>
            </w:r>
            <w:r>
              <w:rPr>
                <w:rFonts w:ascii="Calibri"/>
                <w:b/>
                <w:w w:val="110"/>
                <w:sz w:val="11"/>
              </w:rPr>
              <w:t>JUDICALES</w:t>
            </w:r>
            <w:r>
              <w:rPr>
                <w:rFonts w:ascii="Calibri"/>
                <w:b/>
                <w:spacing w:val="-7"/>
                <w:w w:val="110"/>
                <w:sz w:val="11"/>
              </w:rPr>
              <w:t> </w:t>
            </w:r>
            <w:r>
              <w:rPr>
                <w:rFonts w:ascii="Calibri"/>
                <w:b/>
                <w:w w:val="110"/>
                <w:sz w:val="11"/>
              </w:rPr>
              <w:t>AL</w:t>
            </w:r>
            <w:r>
              <w:rPr>
                <w:rFonts w:ascii="Calibri"/>
                <w:b/>
                <w:spacing w:val="-8"/>
                <w:w w:val="110"/>
                <w:sz w:val="11"/>
              </w:rPr>
              <w:t> </w:t>
            </w:r>
            <w:r>
              <w:rPr>
                <w:rFonts w:ascii="Calibri"/>
                <w:b/>
                <w:w w:val="110"/>
                <w:sz w:val="11"/>
              </w:rPr>
              <w:t>31</w:t>
            </w:r>
            <w:r>
              <w:rPr>
                <w:rFonts w:ascii="Calibri"/>
                <w:b/>
                <w:spacing w:val="2"/>
                <w:w w:val="110"/>
                <w:sz w:val="11"/>
              </w:rPr>
              <w:t> </w:t>
            </w:r>
            <w:r>
              <w:rPr>
                <w:rFonts w:ascii="Calibri"/>
                <w:b/>
                <w:w w:val="110"/>
                <w:sz w:val="11"/>
              </w:rPr>
              <w:t>DE</w:t>
            </w:r>
            <w:r>
              <w:rPr>
                <w:rFonts w:ascii="Calibri"/>
                <w:b/>
                <w:spacing w:val="-7"/>
                <w:w w:val="110"/>
                <w:sz w:val="11"/>
              </w:rPr>
              <w:t> </w:t>
            </w:r>
            <w:r>
              <w:rPr>
                <w:rFonts w:ascii="Calibri"/>
                <w:b/>
                <w:w w:val="110"/>
                <w:sz w:val="11"/>
              </w:rPr>
              <w:t>JULIO</w:t>
            </w:r>
            <w:r>
              <w:rPr>
                <w:rFonts w:ascii="Calibri"/>
                <w:b/>
                <w:spacing w:val="-7"/>
                <w:w w:val="110"/>
                <w:sz w:val="11"/>
              </w:rPr>
              <w:t> </w:t>
            </w:r>
            <w:r>
              <w:rPr>
                <w:rFonts w:ascii="Calibri"/>
                <w:b/>
                <w:spacing w:val="-4"/>
                <w:w w:val="110"/>
                <w:sz w:val="11"/>
              </w:rPr>
              <w:t>2026</w:t>
            </w:r>
          </w:p>
        </w:tc>
        <w:tc>
          <w:tcPr>
            <w:tcW w:w="83" w:type="dxa"/>
            <w:vMerge w:val="restart"/>
            <w:tcBorders>
              <w:left w:val="nil"/>
            </w:tcBorders>
          </w:tcPr>
          <w:p>
            <w:pPr>
              <w:pStyle w:val="TableParagraph"/>
              <w:rPr>
                <w:rFonts w:ascii="Times New Roman"/>
                <w:sz w:val="8"/>
              </w:rPr>
            </w:pPr>
          </w:p>
        </w:tc>
      </w:tr>
      <w:tr>
        <w:trPr>
          <w:trHeight w:val="528"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17"/>
              <w:rPr>
                <w:sz w:val="7"/>
              </w:rPr>
            </w:pPr>
          </w:p>
          <w:p>
            <w:pPr>
              <w:pStyle w:val="TableParagraph"/>
              <w:spacing w:line="276" w:lineRule="auto"/>
              <w:ind w:left="146" w:right="51" w:firstLine="35"/>
              <w:rPr>
                <w:rFonts w:ascii="Calibri"/>
                <w:b/>
                <w:sz w:val="7"/>
              </w:rPr>
            </w:pPr>
            <w:r>
              <w:rPr>
                <w:rFonts w:ascii="Calibri"/>
                <w:b/>
                <w:w w:val="115"/>
                <w:sz w:val="7"/>
              </w:rPr>
              <w:t>TIPO</w:t>
            </w:r>
            <w:r>
              <w:rPr>
                <w:rFonts w:ascii="Calibri"/>
                <w:b/>
                <w:spacing w:val="-5"/>
                <w:w w:val="115"/>
                <w:sz w:val="7"/>
              </w:rPr>
              <w:t> </w:t>
            </w:r>
            <w:r>
              <w:rPr>
                <w:rFonts w:ascii="Calibri"/>
                <w:b/>
                <w:w w:val="115"/>
                <w:sz w:val="7"/>
              </w:rPr>
              <w:t>DE</w:t>
            </w:r>
            <w:r>
              <w:rPr>
                <w:rFonts w:ascii="Calibri"/>
                <w:b/>
                <w:spacing w:val="40"/>
                <w:w w:val="115"/>
                <w:sz w:val="7"/>
              </w:rPr>
              <w:t> </w:t>
            </w:r>
            <w:r>
              <w:rPr>
                <w:rFonts w:ascii="Calibri"/>
                <w:b/>
                <w:spacing w:val="-2"/>
                <w:w w:val="115"/>
                <w:sz w:val="7"/>
              </w:rPr>
              <w:t>PROCESO</w:t>
            </w:r>
          </w:p>
        </w:tc>
        <w:tc>
          <w:tcPr>
            <w:tcW w:w="700"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17"/>
              <w:rPr>
                <w:sz w:val="7"/>
              </w:rPr>
            </w:pPr>
          </w:p>
          <w:p>
            <w:pPr>
              <w:pStyle w:val="TableParagraph"/>
              <w:spacing w:line="276" w:lineRule="auto"/>
              <w:ind w:left="233" w:hanging="167"/>
              <w:rPr>
                <w:rFonts w:ascii="Calibri" w:hAnsi="Calibri"/>
                <w:b/>
                <w:sz w:val="7"/>
              </w:rPr>
            </w:pPr>
            <w:r>
              <w:rPr>
                <w:rFonts w:ascii="Calibri" w:hAnsi="Calibri"/>
                <w:b/>
                <w:spacing w:val="-2"/>
                <w:w w:val="115"/>
                <w:sz w:val="7"/>
              </w:rPr>
              <w:t>Nº</w:t>
            </w:r>
            <w:r>
              <w:rPr>
                <w:rFonts w:ascii="Calibri" w:hAnsi="Calibri"/>
                <w:b/>
                <w:spacing w:val="-3"/>
                <w:w w:val="115"/>
                <w:sz w:val="7"/>
              </w:rPr>
              <w:t> </w:t>
            </w:r>
            <w:r>
              <w:rPr>
                <w:rFonts w:ascii="Calibri" w:hAnsi="Calibri"/>
                <w:b/>
                <w:spacing w:val="-2"/>
                <w:w w:val="115"/>
                <w:sz w:val="7"/>
              </w:rPr>
              <w:t>de</w:t>
            </w:r>
            <w:r>
              <w:rPr>
                <w:rFonts w:ascii="Calibri" w:hAnsi="Calibri"/>
                <w:b/>
                <w:spacing w:val="-3"/>
                <w:w w:val="115"/>
                <w:sz w:val="7"/>
              </w:rPr>
              <w:t> </w:t>
            </w:r>
            <w:r>
              <w:rPr>
                <w:rFonts w:ascii="Calibri" w:hAnsi="Calibri"/>
                <w:b/>
                <w:spacing w:val="-2"/>
                <w:w w:val="115"/>
                <w:sz w:val="7"/>
              </w:rPr>
              <w:t>Expediente</w:t>
            </w:r>
            <w:r>
              <w:rPr>
                <w:rFonts w:ascii="Calibri" w:hAnsi="Calibri"/>
                <w:b/>
                <w:spacing w:val="40"/>
                <w:w w:val="115"/>
                <w:sz w:val="7"/>
              </w:rPr>
              <w:t> </w:t>
            </w:r>
            <w:r>
              <w:rPr>
                <w:rFonts w:ascii="Calibri" w:hAnsi="Calibri"/>
                <w:b/>
                <w:spacing w:val="-2"/>
                <w:w w:val="115"/>
                <w:sz w:val="7"/>
                <w:u w:val="single"/>
              </w:rPr>
              <w:t>judicial</w:t>
            </w:r>
          </w:p>
        </w:tc>
        <w:tc>
          <w:tcPr>
            <w:tcW w:w="1039"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64"/>
              <w:rPr>
                <w:sz w:val="7"/>
              </w:rPr>
            </w:pPr>
          </w:p>
          <w:p>
            <w:pPr>
              <w:pStyle w:val="TableParagraph"/>
              <w:ind w:left="17"/>
              <w:rPr>
                <w:rFonts w:ascii="Calibri"/>
                <w:b/>
                <w:sz w:val="7"/>
              </w:rPr>
            </w:pPr>
            <w:r>
              <w:rPr>
                <w:rFonts w:ascii="Calibri"/>
                <w:b/>
                <w:w w:val="110"/>
                <w:sz w:val="7"/>
              </w:rPr>
              <w:t>Nombre</w:t>
            </w:r>
            <w:r>
              <w:rPr>
                <w:rFonts w:ascii="Calibri"/>
                <w:b/>
                <w:spacing w:val="1"/>
                <w:w w:val="110"/>
                <w:sz w:val="7"/>
              </w:rPr>
              <w:t> </w:t>
            </w:r>
            <w:r>
              <w:rPr>
                <w:rFonts w:ascii="Calibri"/>
                <w:b/>
                <w:w w:val="110"/>
                <w:sz w:val="7"/>
              </w:rPr>
              <w:t>del</w:t>
            </w:r>
            <w:r>
              <w:rPr>
                <w:rFonts w:ascii="Calibri"/>
                <w:b/>
                <w:spacing w:val="-2"/>
                <w:w w:val="110"/>
                <w:sz w:val="7"/>
              </w:rPr>
              <w:t> </w:t>
            </w:r>
            <w:r>
              <w:rPr>
                <w:rFonts w:ascii="Calibri"/>
                <w:b/>
                <w:spacing w:val="-4"/>
                <w:w w:val="110"/>
                <w:sz w:val="7"/>
              </w:rPr>
              <w:t>actor</w:t>
            </w:r>
          </w:p>
        </w:tc>
        <w:tc>
          <w:tcPr>
            <w:tcW w:w="499"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spacing w:line="276" w:lineRule="auto" w:before="78"/>
              <w:ind w:left="101" w:right="84" w:firstLine="3"/>
              <w:jc w:val="center"/>
              <w:rPr>
                <w:rFonts w:ascii="Calibri" w:hAnsi="Calibri"/>
                <w:b/>
                <w:sz w:val="7"/>
              </w:rPr>
            </w:pPr>
            <w:r>
              <w:rPr>
                <w:rFonts w:ascii="Calibri" w:hAnsi="Calibri"/>
                <w:b/>
                <w:spacing w:val="-2"/>
                <w:w w:val="115"/>
                <w:sz w:val="7"/>
              </w:rPr>
              <w:t>Número</w:t>
            </w:r>
            <w:r>
              <w:rPr>
                <w:rFonts w:ascii="Calibri" w:hAnsi="Calibri"/>
                <w:b/>
                <w:spacing w:val="40"/>
                <w:w w:val="115"/>
                <w:sz w:val="7"/>
              </w:rPr>
              <w:t> </w:t>
            </w:r>
            <w:r>
              <w:rPr>
                <w:rFonts w:ascii="Calibri" w:hAnsi="Calibri"/>
                <w:b/>
                <w:spacing w:val="-2"/>
                <w:w w:val="115"/>
                <w:sz w:val="7"/>
              </w:rPr>
              <w:t>cédula</w:t>
            </w:r>
            <w:r>
              <w:rPr>
                <w:rFonts w:ascii="Calibri" w:hAnsi="Calibri"/>
                <w:b/>
                <w:spacing w:val="40"/>
                <w:w w:val="115"/>
                <w:sz w:val="7"/>
              </w:rPr>
              <w:t> </w:t>
            </w:r>
            <w:r>
              <w:rPr>
                <w:rFonts w:ascii="Calibri" w:hAnsi="Calibri"/>
                <w:b/>
                <w:spacing w:val="-2"/>
                <w:w w:val="115"/>
                <w:sz w:val="7"/>
              </w:rPr>
              <w:t>jurídica</w:t>
            </w:r>
            <w:r>
              <w:rPr>
                <w:rFonts w:ascii="Calibri" w:hAnsi="Calibri"/>
                <w:b/>
                <w:spacing w:val="-6"/>
                <w:w w:val="115"/>
                <w:sz w:val="7"/>
              </w:rPr>
              <w:t> </w:t>
            </w:r>
            <w:r>
              <w:rPr>
                <w:rFonts w:ascii="Calibri" w:hAnsi="Calibri"/>
                <w:b/>
                <w:spacing w:val="-2"/>
                <w:w w:val="115"/>
                <w:sz w:val="7"/>
              </w:rPr>
              <w:t>o</w:t>
            </w:r>
            <w:r>
              <w:rPr>
                <w:rFonts w:ascii="Calibri" w:hAnsi="Calibri"/>
                <w:b/>
                <w:spacing w:val="40"/>
                <w:w w:val="115"/>
                <w:sz w:val="7"/>
              </w:rPr>
              <w:t> </w:t>
            </w:r>
            <w:r>
              <w:rPr>
                <w:rFonts w:ascii="Calibri" w:hAnsi="Calibri"/>
                <w:b/>
                <w:spacing w:val="-2"/>
                <w:w w:val="115"/>
                <w:sz w:val="7"/>
              </w:rPr>
              <w:t>física</w:t>
            </w:r>
          </w:p>
        </w:tc>
        <w:tc>
          <w:tcPr>
            <w:tcW w:w="636"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17"/>
              <w:rPr>
                <w:sz w:val="7"/>
              </w:rPr>
            </w:pPr>
          </w:p>
          <w:p>
            <w:pPr>
              <w:pStyle w:val="TableParagraph"/>
              <w:spacing w:line="276" w:lineRule="auto"/>
              <w:ind w:left="167" w:hanging="45"/>
              <w:rPr>
                <w:rFonts w:ascii="Calibri"/>
                <w:b/>
                <w:sz w:val="7"/>
              </w:rPr>
            </w:pPr>
            <w:r>
              <w:rPr>
                <w:rFonts w:ascii="Calibri"/>
                <w:b/>
                <w:spacing w:val="-4"/>
                <w:w w:val="115"/>
                <w:sz w:val="7"/>
              </w:rPr>
              <w:t>Motivo</w:t>
            </w:r>
            <w:r>
              <w:rPr>
                <w:rFonts w:ascii="Calibri"/>
                <w:b/>
                <w:spacing w:val="-1"/>
                <w:sz w:val="7"/>
              </w:rPr>
              <w:t> </w:t>
            </w:r>
            <w:r>
              <w:rPr>
                <w:rFonts w:ascii="Calibri"/>
                <w:b/>
                <w:spacing w:val="-4"/>
                <w:w w:val="115"/>
                <w:sz w:val="7"/>
              </w:rPr>
              <w:t>de</w:t>
            </w:r>
            <w:r>
              <w:rPr>
                <w:rFonts w:ascii="Calibri"/>
                <w:b/>
                <w:spacing w:val="-1"/>
                <w:sz w:val="7"/>
              </w:rPr>
              <w:t> </w:t>
            </w:r>
            <w:r>
              <w:rPr>
                <w:rFonts w:ascii="Calibri"/>
                <w:b/>
                <w:spacing w:val="-4"/>
                <w:w w:val="115"/>
                <w:sz w:val="7"/>
              </w:rPr>
              <w:t>la</w:t>
            </w:r>
            <w:r>
              <w:rPr>
                <w:rFonts w:ascii="Calibri"/>
                <w:b/>
                <w:spacing w:val="40"/>
                <w:w w:val="115"/>
                <w:sz w:val="7"/>
              </w:rPr>
              <w:t> </w:t>
            </w:r>
            <w:r>
              <w:rPr>
                <w:rFonts w:ascii="Calibri"/>
                <w:b/>
                <w:spacing w:val="-2"/>
                <w:w w:val="115"/>
                <w:sz w:val="7"/>
              </w:rPr>
              <w:t>demanda</w:t>
            </w:r>
          </w:p>
        </w:tc>
        <w:tc>
          <w:tcPr>
            <w:tcW w:w="862"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64"/>
              <w:rPr>
                <w:sz w:val="7"/>
              </w:rPr>
            </w:pPr>
          </w:p>
          <w:p>
            <w:pPr>
              <w:pStyle w:val="TableParagraph"/>
              <w:ind w:left="12" w:right="1"/>
              <w:jc w:val="center"/>
              <w:rPr>
                <w:rFonts w:ascii="Calibri"/>
                <w:b/>
                <w:sz w:val="7"/>
              </w:rPr>
            </w:pPr>
            <w:r>
              <w:rPr>
                <w:rFonts w:ascii="Calibri"/>
                <w:b/>
                <w:spacing w:val="-2"/>
                <w:w w:val="115"/>
                <w:sz w:val="7"/>
              </w:rPr>
              <w:t>Estado</w:t>
            </w:r>
            <w:r>
              <w:rPr>
                <w:rFonts w:ascii="Calibri"/>
                <w:b/>
                <w:spacing w:val="5"/>
                <w:w w:val="115"/>
                <w:sz w:val="7"/>
              </w:rPr>
              <w:t> </w:t>
            </w:r>
            <w:r>
              <w:rPr>
                <w:rFonts w:ascii="Calibri"/>
                <w:b/>
                <w:spacing w:val="-2"/>
                <w:w w:val="115"/>
                <w:sz w:val="7"/>
              </w:rPr>
              <w:t>Actual</w:t>
            </w:r>
          </w:p>
        </w:tc>
        <w:tc>
          <w:tcPr>
            <w:tcW w:w="1064"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21"/>
              <w:rPr>
                <w:sz w:val="7"/>
              </w:rPr>
            </w:pPr>
          </w:p>
          <w:p>
            <w:pPr>
              <w:pStyle w:val="TableParagraph"/>
              <w:spacing w:line="295" w:lineRule="auto" w:before="1"/>
              <w:ind w:left="436" w:right="81" w:hanging="342"/>
              <w:rPr>
                <w:sz w:val="7"/>
              </w:rPr>
            </w:pPr>
            <w:r>
              <w:rPr>
                <w:w w:val="115"/>
                <w:sz w:val="7"/>
              </w:rPr>
              <w:t>Monto</w:t>
            </w:r>
            <w:r>
              <w:rPr>
                <w:spacing w:val="-6"/>
                <w:w w:val="115"/>
                <w:sz w:val="7"/>
              </w:rPr>
              <w:t> </w:t>
            </w:r>
            <w:r>
              <w:rPr>
                <w:w w:val="115"/>
                <w:sz w:val="7"/>
              </w:rPr>
              <w:t>provisión</w:t>
            </w:r>
            <w:r>
              <w:rPr>
                <w:spacing w:val="-5"/>
                <w:w w:val="115"/>
                <w:sz w:val="7"/>
              </w:rPr>
              <w:t> </w:t>
            </w:r>
            <w:r>
              <w:rPr>
                <w:w w:val="115"/>
                <w:sz w:val="7"/>
              </w:rPr>
              <w:t>A</w:t>
            </w:r>
            <w:r>
              <w:rPr>
                <w:spacing w:val="-5"/>
                <w:w w:val="115"/>
                <w:sz w:val="7"/>
              </w:rPr>
              <w:t> </w:t>
            </w:r>
            <w:r>
              <w:rPr>
                <w:w w:val="115"/>
                <w:sz w:val="7"/>
              </w:rPr>
              <w:t>Marzo</w:t>
            </w:r>
            <w:r>
              <w:rPr>
                <w:spacing w:val="-5"/>
                <w:w w:val="115"/>
                <w:sz w:val="7"/>
              </w:rPr>
              <w:t> </w:t>
            </w:r>
            <w:r>
              <w:rPr>
                <w:w w:val="115"/>
                <w:sz w:val="7"/>
              </w:rPr>
              <w:t>-</w:t>
            </w:r>
            <w:r>
              <w:rPr>
                <w:spacing w:val="40"/>
                <w:w w:val="115"/>
                <w:sz w:val="7"/>
              </w:rPr>
              <w:t> </w:t>
            </w:r>
            <w:r>
              <w:rPr>
                <w:spacing w:val="-2"/>
                <w:w w:val="115"/>
                <w:sz w:val="7"/>
              </w:rPr>
              <w:t>Miles-</w:t>
            </w:r>
          </w:p>
        </w:tc>
        <w:tc>
          <w:tcPr>
            <w:tcW w:w="1845"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64"/>
              <w:rPr>
                <w:sz w:val="7"/>
              </w:rPr>
            </w:pPr>
          </w:p>
          <w:p>
            <w:pPr>
              <w:pStyle w:val="TableParagraph"/>
              <w:ind w:left="7"/>
              <w:jc w:val="center"/>
              <w:rPr>
                <w:rFonts w:ascii="Calibri"/>
                <w:b/>
                <w:sz w:val="7"/>
              </w:rPr>
            </w:pPr>
            <w:r>
              <w:rPr>
                <w:rFonts w:ascii="Calibri"/>
                <w:b/>
                <w:spacing w:val="-2"/>
                <w:w w:val="115"/>
                <w:sz w:val="7"/>
              </w:rPr>
              <w:t>Observaciones</w:t>
            </w:r>
            <w:r>
              <w:rPr>
                <w:rFonts w:ascii="Calibri"/>
                <w:b/>
                <w:spacing w:val="14"/>
                <w:w w:val="115"/>
                <w:sz w:val="7"/>
              </w:rPr>
              <w:t> </w:t>
            </w:r>
            <w:r>
              <w:rPr>
                <w:rFonts w:ascii="Calibri"/>
                <w:b/>
                <w:spacing w:val="-10"/>
                <w:w w:val="115"/>
                <w:sz w:val="7"/>
              </w:rPr>
              <w:t>1</w:t>
            </w:r>
          </w:p>
        </w:tc>
        <w:tc>
          <w:tcPr>
            <w:tcW w:w="621"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64"/>
              <w:rPr>
                <w:sz w:val="7"/>
              </w:rPr>
            </w:pPr>
          </w:p>
          <w:p>
            <w:pPr>
              <w:pStyle w:val="TableParagraph"/>
              <w:ind w:left="37"/>
              <w:rPr>
                <w:rFonts w:ascii="Calibri"/>
                <w:b/>
                <w:sz w:val="7"/>
              </w:rPr>
            </w:pPr>
            <w:r>
              <w:rPr>
                <w:rFonts w:ascii="Calibri"/>
                <w:b/>
                <w:spacing w:val="-2"/>
                <w:w w:val="115"/>
                <w:sz w:val="7"/>
              </w:rPr>
              <w:t>Observaciones</w:t>
            </w:r>
            <w:r>
              <w:rPr>
                <w:rFonts w:ascii="Calibri"/>
                <w:b/>
                <w:spacing w:val="14"/>
                <w:w w:val="115"/>
                <w:sz w:val="7"/>
              </w:rPr>
              <w:t> </w:t>
            </w:r>
            <w:r>
              <w:rPr>
                <w:rFonts w:ascii="Calibri"/>
                <w:b/>
                <w:spacing w:val="-10"/>
                <w:w w:val="115"/>
                <w:sz w:val="7"/>
              </w:rPr>
              <w:t>2</w:t>
            </w:r>
          </w:p>
        </w:tc>
        <w:tc>
          <w:tcPr>
            <w:tcW w:w="621"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sz w:val="7"/>
              </w:rPr>
            </w:pPr>
          </w:p>
          <w:p>
            <w:pPr>
              <w:pStyle w:val="TableParagraph"/>
              <w:spacing w:before="64"/>
              <w:rPr>
                <w:sz w:val="7"/>
              </w:rPr>
            </w:pPr>
          </w:p>
          <w:p>
            <w:pPr>
              <w:pStyle w:val="TableParagraph"/>
              <w:ind w:left="10" w:right="3"/>
              <w:jc w:val="center"/>
              <w:rPr>
                <w:rFonts w:ascii="Calibri"/>
                <w:b/>
                <w:sz w:val="7"/>
              </w:rPr>
            </w:pPr>
            <w:r>
              <w:rPr>
                <w:rFonts w:ascii="Calibri"/>
                <w:b/>
                <w:spacing w:val="-2"/>
                <w:w w:val="115"/>
                <w:sz w:val="7"/>
              </w:rPr>
              <w:t>Observaciones</w:t>
            </w:r>
            <w:r>
              <w:rPr>
                <w:rFonts w:ascii="Calibri"/>
                <w:b/>
                <w:spacing w:val="14"/>
                <w:w w:val="115"/>
                <w:sz w:val="7"/>
              </w:rPr>
              <w:t> </w:t>
            </w:r>
            <w:r>
              <w:rPr>
                <w:rFonts w:ascii="Calibri"/>
                <w:b/>
                <w:spacing w:val="-10"/>
                <w:w w:val="115"/>
                <w:sz w:val="7"/>
              </w:rPr>
              <w:t>3</w:t>
            </w:r>
          </w:p>
        </w:tc>
        <w:tc>
          <w:tcPr>
            <w:tcW w:w="83" w:type="dxa"/>
            <w:vMerge/>
            <w:tcBorders>
              <w:top w:val="nil"/>
              <w:left w:val="nil"/>
            </w:tcBorders>
          </w:tcPr>
          <w:p>
            <w:pPr>
              <w:rPr>
                <w:sz w:val="2"/>
                <w:szCs w:val="2"/>
              </w:rPr>
            </w:pPr>
          </w:p>
        </w:tc>
      </w:tr>
      <w:tr>
        <w:trPr>
          <w:trHeight w:val="88"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spacing w:line="63" w:lineRule="exact" w:before="5"/>
              <w:ind w:left="11" w:right="2"/>
              <w:jc w:val="center"/>
              <w:rPr>
                <w:rFonts w:ascii="Calibri"/>
                <w:b/>
                <w:sz w:val="7"/>
              </w:rPr>
            </w:pPr>
            <w:r>
              <w:rPr>
                <w:rFonts w:ascii="Calibri"/>
                <w:b/>
                <w:w w:val="115"/>
                <w:sz w:val="7"/>
              </w:rPr>
              <w:t>PROCESO</w:t>
            </w:r>
            <w:r>
              <w:rPr>
                <w:rFonts w:ascii="Calibri"/>
                <w:b/>
                <w:spacing w:val="6"/>
                <w:w w:val="115"/>
                <w:sz w:val="7"/>
              </w:rPr>
              <w:t> </w:t>
            </w:r>
            <w:r>
              <w:rPr>
                <w:rFonts w:ascii="Calibri"/>
                <w:b/>
                <w:spacing w:val="-4"/>
                <w:w w:val="115"/>
                <w:sz w:val="7"/>
              </w:rPr>
              <w:t>IMAS</w:t>
            </w:r>
          </w:p>
        </w:tc>
        <w:tc>
          <w:tcPr>
            <w:tcW w:w="700"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039"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499"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36"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862"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064"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845"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21"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21"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83" w:type="dxa"/>
            <w:vMerge/>
            <w:tcBorders>
              <w:top w:val="nil"/>
              <w:left w:val="nil"/>
            </w:tcBorders>
          </w:tcPr>
          <w:p>
            <w:pPr>
              <w:rPr>
                <w:sz w:val="2"/>
                <w:szCs w:val="2"/>
              </w:rPr>
            </w:pPr>
          </w:p>
        </w:tc>
      </w:tr>
      <w:tr>
        <w:trPr>
          <w:trHeight w:val="971"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66" w:right="51" w:firstLine="17"/>
              <w:rPr>
                <w:rFonts w:ascii="Calibri" w:hAnsi="Calibri"/>
                <w:b/>
                <w:sz w:val="7"/>
              </w:rPr>
            </w:pPr>
            <w:r>
              <w:rPr>
                <w:rFonts w:ascii="Calibri" w:hAnsi="Calibri"/>
                <w:b/>
                <w:w w:val="120"/>
                <w:sz w:val="7"/>
              </w:rPr>
              <w:t>ACCIÓN</w:t>
            </w:r>
            <w:r>
              <w:rPr>
                <w:rFonts w:ascii="Calibri" w:hAnsi="Calibri"/>
                <w:b/>
                <w:spacing w:val="-7"/>
                <w:w w:val="120"/>
                <w:sz w:val="7"/>
              </w:rPr>
              <w:t> </w:t>
            </w:r>
            <w:r>
              <w:rPr>
                <w:rFonts w:ascii="Calibri" w:hAnsi="Calibri"/>
                <w:b/>
                <w:w w:val="120"/>
                <w:sz w:val="7"/>
              </w:rPr>
              <w:t>CIVIL</w:t>
            </w:r>
            <w:r>
              <w:rPr>
                <w:rFonts w:ascii="Calibri" w:hAnsi="Calibri"/>
                <w:b/>
                <w:spacing w:val="40"/>
                <w:w w:val="120"/>
                <w:sz w:val="7"/>
              </w:rPr>
              <w:t> </w:t>
            </w:r>
            <w:r>
              <w:rPr>
                <w:rFonts w:ascii="Calibri" w:hAnsi="Calibri"/>
                <w:b/>
                <w:spacing w:val="-2"/>
                <w:w w:val="115"/>
                <w:sz w:val="7"/>
              </w:rPr>
              <w:t>RESARCITORIA</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6"/>
              <w:rPr>
                <w:sz w:val="7"/>
              </w:rPr>
            </w:pPr>
          </w:p>
          <w:p>
            <w:pPr>
              <w:pStyle w:val="TableParagraph"/>
              <w:ind w:left="13" w:right="5"/>
              <w:jc w:val="center"/>
              <w:rPr>
                <w:rFonts w:ascii="Calibri"/>
                <w:sz w:val="7"/>
              </w:rPr>
            </w:pPr>
            <w:r>
              <w:rPr>
                <w:rFonts w:ascii="Calibri"/>
                <w:w w:val="110"/>
                <w:sz w:val="7"/>
              </w:rPr>
              <w:t>02-202468-345-</w:t>
            </w:r>
            <w:r>
              <w:rPr>
                <w:rFonts w:ascii="Calibri"/>
                <w:spacing w:val="-5"/>
                <w:w w:val="110"/>
                <w:sz w:val="7"/>
              </w:rPr>
              <w:t>PE</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6"/>
              <w:rPr>
                <w:sz w:val="7"/>
              </w:rPr>
            </w:pPr>
          </w:p>
          <w:p>
            <w:pPr>
              <w:pStyle w:val="TableParagraph"/>
              <w:ind w:left="17"/>
              <w:rPr>
                <w:rFonts w:ascii="Calibri"/>
                <w:sz w:val="7"/>
              </w:rPr>
            </w:pPr>
            <w:r>
              <w:rPr>
                <w:rFonts w:ascii="Calibri"/>
                <w:spacing w:val="-2"/>
                <w:w w:val="115"/>
                <w:sz w:val="7"/>
              </w:rPr>
              <w:t>MUCAP</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ind w:left="146"/>
              <w:rPr>
                <w:rFonts w:ascii="Calibri"/>
                <w:sz w:val="7"/>
              </w:rPr>
            </w:pPr>
            <w:r>
              <w:rPr>
                <w:rFonts w:ascii="Calibri"/>
                <w:w w:val="110"/>
                <w:sz w:val="7"/>
              </w:rPr>
              <w:t>3-</w:t>
            </w:r>
            <w:r>
              <w:rPr>
                <w:rFonts w:ascii="Calibri"/>
                <w:spacing w:val="-4"/>
                <w:w w:val="115"/>
                <w:sz w:val="7"/>
              </w:rPr>
              <w:t>009-</w:t>
            </w:r>
          </w:p>
          <w:p>
            <w:pPr>
              <w:pStyle w:val="TableParagraph"/>
              <w:spacing w:before="13"/>
              <w:ind w:left="66"/>
              <w:rPr>
                <w:rFonts w:ascii="Calibri"/>
                <w:sz w:val="7"/>
              </w:rPr>
            </w:pPr>
            <w:r>
              <w:rPr>
                <w:rFonts w:ascii="Calibri"/>
                <w:spacing w:val="-2"/>
                <w:w w:val="115"/>
                <w:sz w:val="7"/>
              </w:rPr>
              <w:t>004500143</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spacing w:before="9"/>
              <w:rPr>
                <w:sz w:val="7"/>
              </w:rPr>
            </w:pPr>
          </w:p>
          <w:p>
            <w:pPr>
              <w:pStyle w:val="TableParagraph"/>
              <w:spacing w:line="276" w:lineRule="auto" w:before="1"/>
              <w:ind w:left="18" w:right="1" w:firstLine="2"/>
              <w:jc w:val="center"/>
              <w:rPr>
                <w:rFonts w:ascii="Calibri" w:hAnsi="Calibri"/>
                <w:sz w:val="7"/>
              </w:rPr>
            </w:pPr>
            <w:r>
              <w:rPr>
                <w:rFonts w:ascii="Calibri" w:hAnsi="Calibri"/>
                <w:w w:val="115"/>
                <w:sz w:val="7"/>
              </w:rPr>
              <w:t>Acción</w:t>
            </w:r>
            <w:r>
              <w:rPr>
                <w:rFonts w:ascii="Calibri" w:hAnsi="Calibri"/>
                <w:spacing w:val="-5"/>
                <w:w w:val="115"/>
                <w:sz w:val="7"/>
              </w:rPr>
              <w:t> </w:t>
            </w:r>
            <w:r>
              <w:rPr>
                <w:rFonts w:ascii="Calibri" w:hAnsi="Calibri"/>
                <w:w w:val="115"/>
                <w:sz w:val="7"/>
              </w:rPr>
              <w:t>Civil</w:t>
            </w:r>
            <w:r>
              <w:rPr>
                <w:rFonts w:ascii="Calibri" w:hAnsi="Calibri"/>
                <w:spacing w:val="40"/>
                <w:w w:val="115"/>
                <w:sz w:val="7"/>
              </w:rPr>
              <w:t> </w:t>
            </w:r>
            <w:r>
              <w:rPr>
                <w:rFonts w:ascii="Calibri" w:hAnsi="Calibri"/>
                <w:w w:val="115"/>
                <w:sz w:val="7"/>
              </w:rPr>
              <w:t>Resarcitoria</w:t>
            </w:r>
            <w:r>
              <w:rPr>
                <w:rFonts w:ascii="Calibri" w:hAnsi="Calibri"/>
                <w:spacing w:val="-5"/>
                <w:w w:val="115"/>
                <w:sz w:val="7"/>
              </w:rPr>
              <w:t> </w:t>
            </w:r>
            <w:r>
              <w:rPr>
                <w:rFonts w:ascii="Calibri" w:hAnsi="Calibri"/>
                <w:w w:val="115"/>
                <w:sz w:val="7"/>
              </w:rPr>
              <w:t>(daño</w:t>
            </w:r>
            <w:r>
              <w:rPr>
                <w:rFonts w:ascii="Calibri" w:hAnsi="Calibri"/>
                <w:spacing w:val="40"/>
                <w:w w:val="115"/>
                <w:sz w:val="7"/>
              </w:rPr>
              <w:t> </w:t>
            </w:r>
            <w:r>
              <w:rPr>
                <w:rFonts w:ascii="Calibri" w:hAnsi="Calibri"/>
                <w:spacing w:val="-2"/>
                <w:w w:val="110"/>
                <w:sz w:val="7"/>
              </w:rPr>
              <w:t>patrimonial,interes</w:t>
            </w:r>
            <w:r>
              <w:rPr>
                <w:rFonts w:ascii="Calibri" w:hAnsi="Calibri"/>
                <w:spacing w:val="40"/>
                <w:w w:val="115"/>
                <w:sz w:val="7"/>
              </w:rPr>
              <w:t> </w:t>
            </w:r>
            <w:r>
              <w:rPr>
                <w:rFonts w:ascii="Calibri" w:hAnsi="Calibri"/>
                <w:w w:val="115"/>
                <w:sz w:val="7"/>
              </w:rPr>
              <w:t>es,</w:t>
            </w:r>
            <w:r>
              <w:rPr>
                <w:rFonts w:ascii="Calibri" w:hAnsi="Calibri"/>
                <w:spacing w:val="-5"/>
                <w:w w:val="115"/>
                <w:sz w:val="7"/>
              </w:rPr>
              <w:t> </w:t>
            </w:r>
            <w:r>
              <w:rPr>
                <w:rFonts w:ascii="Calibri" w:hAnsi="Calibri"/>
                <w:w w:val="115"/>
                <w:sz w:val="7"/>
              </w:rPr>
              <w:t>indexación,</w:t>
            </w:r>
            <w:r>
              <w:rPr>
                <w:rFonts w:ascii="Calibri" w:hAnsi="Calibri"/>
                <w:spacing w:val="40"/>
                <w:w w:val="115"/>
                <w:sz w:val="7"/>
              </w:rPr>
              <w:t> </w:t>
            </w:r>
            <w:r>
              <w:rPr>
                <w:rFonts w:ascii="Calibri" w:hAnsi="Calibri"/>
                <w:spacing w:val="-2"/>
                <w:w w:val="115"/>
                <w:sz w:val="7"/>
              </w:rPr>
              <w:t>costas)</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6"/>
              <w:rPr>
                <w:sz w:val="7"/>
              </w:rPr>
            </w:pPr>
          </w:p>
          <w:p>
            <w:pPr>
              <w:pStyle w:val="TableParagraph"/>
              <w:ind w:left="12" w:right="1"/>
              <w:jc w:val="center"/>
              <w:rPr>
                <w:rFonts w:ascii="Calibri"/>
                <w:sz w:val="7"/>
              </w:rPr>
            </w:pPr>
            <w:r>
              <w:rPr>
                <w:rFonts w:ascii="Calibri"/>
                <w:w w:val="110"/>
                <w:sz w:val="7"/>
              </w:rPr>
              <w:t>Parcialmente con</w:t>
            </w:r>
            <w:r>
              <w:rPr>
                <w:rFonts w:ascii="Calibri"/>
                <w:spacing w:val="2"/>
                <w:w w:val="110"/>
                <w:sz w:val="7"/>
              </w:rPr>
              <w:t> </w:t>
            </w:r>
            <w:r>
              <w:rPr>
                <w:rFonts w:ascii="Calibri"/>
                <w:spacing w:val="-2"/>
                <w:w w:val="110"/>
                <w:sz w:val="7"/>
              </w:rPr>
              <w:t>lugar</w:t>
            </w:r>
          </w:p>
        </w:tc>
        <w:tc>
          <w:tcPr>
            <w:tcW w:w="106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7"/>
              <w:rPr>
                <w:sz w:val="7"/>
              </w:rPr>
            </w:pPr>
          </w:p>
          <w:p>
            <w:pPr>
              <w:pStyle w:val="TableParagraph"/>
              <w:ind w:left="14"/>
              <w:jc w:val="center"/>
              <w:rPr>
                <w:sz w:val="7"/>
              </w:rPr>
            </w:pPr>
            <w:r>
              <w:rPr>
                <w:rFonts w:ascii="Times New Roman" w:hAnsi="Times New Roman"/>
                <w:spacing w:val="-2"/>
                <w:w w:val="115"/>
                <w:sz w:val="7"/>
              </w:rPr>
              <w:t>₡</w:t>
            </w:r>
            <w:r>
              <w:rPr>
                <w:spacing w:val="-2"/>
                <w:w w:val="115"/>
                <w:sz w:val="7"/>
              </w:rPr>
              <w:t>0,00</w:t>
            </w:r>
          </w:p>
        </w:tc>
        <w:tc>
          <w:tcPr>
            <w:tcW w:w="1845"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76" w:lineRule="auto" w:before="5"/>
              <w:ind w:left="17" w:right="29"/>
              <w:rPr>
                <w:rFonts w:ascii="Calibri" w:hAnsi="Calibri"/>
                <w:sz w:val="7"/>
              </w:rPr>
            </w:pPr>
            <w:r>
              <w:rPr>
                <w:rFonts w:ascii="Calibri" w:hAnsi="Calibri"/>
                <w:w w:val="110"/>
                <w:sz w:val="7"/>
              </w:rPr>
              <w:t>Sentencia</w:t>
            </w:r>
            <w:r>
              <w:rPr>
                <w:rFonts w:ascii="Calibri" w:hAnsi="Calibri"/>
                <w:spacing w:val="-3"/>
                <w:w w:val="110"/>
                <w:sz w:val="7"/>
              </w:rPr>
              <w:t> </w:t>
            </w:r>
            <w:r>
              <w:rPr>
                <w:rFonts w:ascii="Calibri" w:hAnsi="Calibri"/>
                <w:w w:val="110"/>
                <w:sz w:val="7"/>
              </w:rPr>
              <w:t>fue</w:t>
            </w:r>
            <w:r>
              <w:rPr>
                <w:rFonts w:ascii="Calibri" w:hAnsi="Calibri"/>
                <w:spacing w:val="-3"/>
                <w:w w:val="110"/>
                <w:sz w:val="7"/>
              </w:rPr>
              <w:t> </w:t>
            </w:r>
            <w:r>
              <w:rPr>
                <w:rFonts w:ascii="Calibri" w:hAnsi="Calibri"/>
                <w:w w:val="110"/>
                <w:sz w:val="7"/>
              </w:rPr>
              <w:t>anulada</w:t>
            </w:r>
            <w:r>
              <w:rPr>
                <w:rFonts w:ascii="Calibri" w:hAnsi="Calibri"/>
                <w:spacing w:val="-3"/>
                <w:w w:val="110"/>
                <w:sz w:val="7"/>
              </w:rPr>
              <w:t> </w:t>
            </w:r>
            <w:r>
              <w:rPr>
                <w:rFonts w:ascii="Calibri" w:hAnsi="Calibri"/>
                <w:w w:val="110"/>
                <w:sz w:val="7"/>
              </w:rPr>
              <w:t>de</w:t>
            </w:r>
            <w:r>
              <w:rPr>
                <w:rFonts w:ascii="Calibri" w:hAnsi="Calibri"/>
                <w:spacing w:val="-2"/>
                <w:w w:val="110"/>
                <w:sz w:val="7"/>
              </w:rPr>
              <w:t> </w:t>
            </w:r>
            <w:r>
              <w:rPr>
                <w:rFonts w:ascii="Calibri" w:hAnsi="Calibri"/>
                <w:w w:val="110"/>
                <w:sz w:val="7"/>
              </w:rPr>
              <w:t>forma</w:t>
            </w:r>
            <w:r>
              <w:rPr>
                <w:rFonts w:ascii="Calibri" w:hAnsi="Calibri"/>
                <w:spacing w:val="-3"/>
                <w:w w:val="110"/>
                <w:sz w:val="7"/>
              </w:rPr>
              <w:t> </w:t>
            </w:r>
            <w:r>
              <w:rPr>
                <w:rFonts w:ascii="Calibri" w:hAnsi="Calibri"/>
                <w:w w:val="110"/>
                <w:sz w:val="7"/>
              </w:rPr>
              <w:t>parcial.</w:t>
            </w:r>
            <w:r>
              <w:rPr>
                <w:rFonts w:ascii="Calibri" w:hAnsi="Calibri"/>
                <w:spacing w:val="-2"/>
                <w:w w:val="110"/>
                <w:sz w:val="7"/>
              </w:rPr>
              <w:t> </w:t>
            </w:r>
            <w:r>
              <w:rPr>
                <w:rFonts w:ascii="Calibri" w:hAnsi="Calibri"/>
                <w:w w:val="110"/>
                <w:sz w:val="7"/>
              </w:rPr>
              <w:t>Monto</w:t>
            </w:r>
            <w:r>
              <w:rPr>
                <w:rFonts w:ascii="Calibri" w:hAnsi="Calibri"/>
                <w:spacing w:val="-1"/>
                <w:w w:val="110"/>
                <w:sz w:val="7"/>
              </w:rPr>
              <w:t> </w:t>
            </w:r>
            <w:r>
              <w:rPr>
                <w:rFonts w:ascii="Calibri" w:hAnsi="Calibri"/>
                <w:w w:val="110"/>
                <w:sz w:val="7"/>
              </w:rPr>
              <w:t>a</w:t>
            </w:r>
            <w:r>
              <w:rPr>
                <w:rFonts w:ascii="Calibri" w:hAnsi="Calibri"/>
                <w:spacing w:val="-3"/>
                <w:w w:val="110"/>
                <w:sz w:val="7"/>
              </w:rPr>
              <w:t> </w:t>
            </w:r>
            <w:r>
              <w:rPr>
                <w:rFonts w:ascii="Calibri" w:hAnsi="Calibri"/>
                <w:w w:val="110"/>
                <w:sz w:val="7"/>
              </w:rPr>
              <w:t>pagar</w:t>
            </w:r>
            <w:r>
              <w:rPr>
                <w:rFonts w:ascii="Calibri" w:hAnsi="Calibri"/>
                <w:spacing w:val="40"/>
                <w:w w:val="115"/>
                <w:sz w:val="7"/>
              </w:rPr>
              <w:t> </w:t>
            </w:r>
            <w:r>
              <w:rPr>
                <w:rFonts w:ascii="Calibri" w:hAnsi="Calibri"/>
                <w:w w:val="115"/>
                <w:sz w:val="7"/>
              </w:rPr>
              <w:t>por</w:t>
            </w:r>
            <w:r>
              <w:rPr>
                <w:rFonts w:ascii="Calibri" w:hAnsi="Calibri"/>
                <w:spacing w:val="-5"/>
                <w:w w:val="115"/>
                <w:sz w:val="7"/>
              </w:rPr>
              <w:t> </w:t>
            </w:r>
            <w:r>
              <w:rPr>
                <w:rFonts w:ascii="Calibri" w:hAnsi="Calibri"/>
                <w:w w:val="115"/>
                <w:sz w:val="7"/>
              </w:rPr>
              <w:t>IMAS</w:t>
            </w:r>
            <w:r>
              <w:rPr>
                <w:rFonts w:ascii="Calibri" w:hAnsi="Calibri"/>
                <w:spacing w:val="-3"/>
                <w:w w:val="115"/>
                <w:sz w:val="7"/>
              </w:rPr>
              <w:t> </w:t>
            </w:r>
            <w:r>
              <w:rPr>
                <w:rFonts w:ascii="Calibri" w:hAnsi="Calibri"/>
                <w:w w:val="115"/>
                <w:sz w:val="7"/>
              </w:rPr>
              <w:t>no</w:t>
            </w:r>
            <w:r>
              <w:rPr>
                <w:rFonts w:ascii="Calibri" w:hAnsi="Calibri"/>
                <w:spacing w:val="-3"/>
                <w:w w:val="115"/>
                <w:sz w:val="7"/>
              </w:rPr>
              <w:t> </w:t>
            </w:r>
            <w:r>
              <w:rPr>
                <w:rFonts w:ascii="Calibri" w:hAnsi="Calibri"/>
                <w:w w:val="115"/>
                <w:sz w:val="7"/>
              </w:rPr>
              <w:t>fue</w:t>
            </w:r>
            <w:r>
              <w:rPr>
                <w:rFonts w:ascii="Calibri" w:hAnsi="Calibri"/>
                <w:spacing w:val="-5"/>
                <w:w w:val="115"/>
                <w:sz w:val="7"/>
              </w:rPr>
              <w:t> </w:t>
            </w:r>
            <w:r>
              <w:rPr>
                <w:rFonts w:ascii="Calibri" w:hAnsi="Calibri"/>
                <w:w w:val="115"/>
                <w:sz w:val="7"/>
              </w:rPr>
              <w:t>anulado.</w:t>
            </w:r>
            <w:r>
              <w:rPr>
                <w:rFonts w:ascii="Calibri" w:hAnsi="Calibri"/>
                <w:spacing w:val="-3"/>
                <w:w w:val="115"/>
                <w:sz w:val="7"/>
              </w:rPr>
              <w:t> </w:t>
            </w:r>
            <w:r>
              <w:rPr>
                <w:rFonts w:ascii="Calibri" w:hAnsi="Calibri"/>
                <w:w w:val="115"/>
                <w:sz w:val="7"/>
              </w:rPr>
              <w:t>SENTENCIA</w:t>
            </w:r>
            <w:r>
              <w:rPr>
                <w:rFonts w:ascii="Calibri" w:hAnsi="Calibri"/>
                <w:spacing w:val="-6"/>
                <w:w w:val="115"/>
                <w:sz w:val="7"/>
              </w:rPr>
              <w:t> </w:t>
            </w:r>
            <w:r>
              <w:rPr>
                <w:rFonts w:ascii="Calibri" w:hAnsi="Calibri"/>
                <w:w w:val="115"/>
                <w:sz w:val="7"/>
              </w:rPr>
              <w:t>662-2024</w:t>
            </w:r>
            <w:r>
              <w:rPr>
                <w:rFonts w:ascii="Calibri" w:hAnsi="Calibri"/>
                <w:spacing w:val="11"/>
                <w:w w:val="115"/>
                <w:sz w:val="7"/>
              </w:rPr>
              <w:t> </w:t>
            </w:r>
            <w:r>
              <w:rPr>
                <w:rFonts w:ascii="Calibri" w:hAnsi="Calibri"/>
                <w:w w:val="115"/>
                <w:sz w:val="7"/>
              </w:rPr>
              <w:t>QUE</w:t>
            </w:r>
            <w:r>
              <w:rPr>
                <w:rFonts w:ascii="Calibri" w:hAnsi="Calibri"/>
                <w:spacing w:val="40"/>
                <w:w w:val="115"/>
                <w:sz w:val="7"/>
              </w:rPr>
              <w:t> </w:t>
            </w:r>
            <w:r>
              <w:rPr>
                <w:rFonts w:ascii="Calibri" w:hAnsi="Calibri"/>
                <w:w w:val="110"/>
                <w:sz w:val="7"/>
              </w:rPr>
              <w:t>INTEGRA</w:t>
            </w:r>
            <w:r>
              <w:rPr>
                <w:rFonts w:ascii="Calibri" w:hAnsi="Calibri"/>
                <w:spacing w:val="1"/>
                <w:w w:val="110"/>
                <w:sz w:val="7"/>
              </w:rPr>
              <w:t> </w:t>
            </w:r>
            <w:r>
              <w:rPr>
                <w:rFonts w:ascii="Calibri" w:hAnsi="Calibri"/>
                <w:w w:val="110"/>
                <w:sz w:val="7"/>
              </w:rPr>
              <w:t>SENTENCIA</w:t>
            </w:r>
            <w:r>
              <w:rPr>
                <w:rFonts w:ascii="Calibri" w:hAnsi="Calibri"/>
                <w:spacing w:val="1"/>
                <w:w w:val="110"/>
                <w:sz w:val="7"/>
              </w:rPr>
              <w:t> </w:t>
            </w:r>
            <w:r>
              <w:rPr>
                <w:rFonts w:ascii="Calibri" w:hAnsi="Calibri"/>
                <w:w w:val="110"/>
                <w:sz w:val="7"/>
              </w:rPr>
              <w:t>NÚMERO</w:t>
            </w:r>
            <w:r>
              <w:rPr>
                <w:rFonts w:ascii="Calibri" w:hAnsi="Calibri"/>
                <w:spacing w:val="5"/>
                <w:w w:val="110"/>
                <w:sz w:val="7"/>
              </w:rPr>
              <w:t> </w:t>
            </w:r>
            <w:r>
              <w:rPr>
                <w:rFonts w:ascii="Calibri" w:hAnsi="Calibri"/>
                <w:w w:val="110"/>
                <w:sz w:val="7"/>
              </w:rPr>
              <w:t>254-2010</w:t>
            </w:r>
            <w:r>
              <w:rPr>
                <w:rFonts w:ascii="Calibri" w:hAnsi="Calibri"/>
                <w:spacing w:val="5"/>
                <w:w w:val="110"/>
                <w:sz w:val="7"/>
              </w:rPr>
              <w:t> </w:t>
            </w:r>
            <w:r>
              <w:rPr>
                <w:rFonts w:ascii="Calibri" w:hAnsi="Calibri"/>
                <w:w w:val="110"/>
                <w:sz w:val="7"/>
              </w:rPr>
              <w:t>Y</w:t>
            </w:r>
            <w:r>
              <w:rPr>
                <w:rFonts w:ascii="Calibri" w:hAnsi="Calibri"/>
                <w:spacing w:val="3"/>
                <w:w w:val="110"/>
                <w:sz w:val="7"/>
              </w:rPr>
              <w:t> </w:t>
            </w:r>
            <w:r>
              <w:rPr>
                <w:rFonts w:ascii="Calibri" w:hAnsi="Calibri"/>
                <w:w w:val="110"/>
                <w:sz w:val="7"/>
              </w:rPr>
              <w:t>668-</w:t>
            </w:r>
            <w:r>
              <w:rPr>
                <w:rFonts w:ascii="Calibri" w:hAnsi="Calibri"/>
                <w:spacing w:val="-2"/>
                <w:w w:val="110"/>
                <w:sz w:val="7"/>
              </w:rPr>
              <w:t>2020.</w:t>
            </w:r>
          </w:p>
          <w:p>
            <w:pPr>
              <w:pStyle w:val="TableParagraph"/>
              <w:spacing w:line="276" w:lineRule="auto"/>
              <w:ind w:left="17" w:right="29"/>
              <w:rPr>
                <w:rFonts w:ascii="Calibri" w:hAnsi="Calibri"/>
                <w:sz w:val="7"/>
              </w:rPr>
            </w:pPr>
            <w:r>
              <w:rPr>
                <w:rFonts w:ascii="Calibri" w:hAnsi="Calibri"/>
                <w:w w:val="115"/>
                <w:sz w:val="7"/>
              </w:rPr>
              <w:t>En</w:t>
            </w:r>
            <w:r>
              <w:rPr>
                <w:rFonts w:ascii="Calibri" w:hAnsi="Calibri"/>
                <w:spacing w:val="-1"/>
                <w:w w:val="115"/>
                <w:sz w:val="7"/>
              </w:rPr>
              <w:t> </w:t>
            </w:r>
            <w:r>
              <w:rPr>
                <w:rFonts w:ascii="Calibri" w:hAnsi="Calibri"/>
                <w:w w:val="115"/>
                <w:sz w:val="7"/>
              </w:rPr>
              <w:t>espera</w:t>
            </w:r>
            <w:r>
              <w:rPr>
                <w:rFonts w:ascii="Calibri" w:hAnsi="Calibri"/>
                <w:spacing w:val="-4"/>
                <w:w w:val="115"/>
                <w:sz w:val="7"/>
              </w:rPr>
              <w:t> </w:t>
            </w:r>
            <w:r>
              <w:rPr>
                <w:rFonts w:ascii="Calibri" w:hAnsi="Calibri"/>
                <w:w w:val="115"/>
                <w:sz w:val="7"/>
              </w:rPr>
              <w:t>de</w:t>
            </w:r>
            <w:r>
              <w:rPr>
                <w:rFonts w:ascii="Calibri" w:hAnsi="Calibri"/>
                <w:spacing w:val="-3"/>
                <w:w w:val="115"/>
                <w:sz w:val="7"/>
              </w:rPr>
              <w:t> </w:t>
            </w:r>
            <w:r>
              <w:rPr>
                <w:rFonts w:ascii="Calibri" w:hAnsi="Calibri"/>
                <w:w w:val="115"/>
                <w:sz w:val="7"/>
              </w:rPr>
              <w:t>que</w:t>
            </w:r>
            <w:r>
              <w:rPr>
                <w:rFonts w:ascii="Calibri" w:hAnsi="Calibri"/>
                <w:spacing w:val="-4"/>
                <w:w w:val="115"/>
                <w:sz w:val="7"/>
              </w:rPr>
              <w:t> </w:t>
            </w:r>
            <w:r>
              <w:rPr>
                <w:rFonts w:ascii="Calibri" w:hAnsi="Calibri"/>
                <w:w w:val="115"/>
                <w:sz w:val="7"/>
              </w:rPr>
              <w:t>la</w:t>
            </w:r>
            <w:r>
              <w:rPr>
                <w:rFonts w:ascii="Calibri" w:hAnsi="Calibri"/>
                <w:spacing w:val="-4"/>
                <w:w w:val="115"/>
                <w:sz w:val="7"/>
              </w:rPr>
              <w:t> </w:t>
            </w:r>
            <w:r>
              <w:rPr>
                <w:rFonts w:ascii="Calibri" w:hAnsi="Calibri"/>
                <w:w w:val="115"/>
                <w:sz w:val="7"/>
              </w:rPr>
              <w:t>totalidad</w:t>
            </w:r>
            <w:r>
              <w:rPr>
                <w:rFonts w:ascii="Calibri" w:hAnsi="Calibri"/>
                <w:spacing w:val="-3"/>
                <w:w w:val="115"/>
                <w:sz w:val="7"/>
              </w:rPr>
              <w:t> </w:t>
            </w:r>
            <w:r>
              <w:rPr>
                <w:rFonts w:ascii="Calibri" w:hAnsi="Calibri"/>
                <w:w w:val="115"/>
                <w:sz w:val="7"/>
              </w:rPr>
              <w:t>del</w:t>
            </w:r>
            <w:r>
              <w:rPr>
                <w:rFonts w:ascii="Calibri" w:hAnsi="Calibri"/>
                <w:spacing w:val="-1"/>
                <w:w w:val="115"/>
                <w:sz w:val="7"/>
              </w:rPr>
              <w:t> </w:t>
            </w:r>
            <w:r>
              <w:rPr>
                <w:rFonts w:ascii="Calibri" w:hAnsi="Calibri"/>
                <w:w w:val="115"/>
                <w:sz w:val="7"/>
              </w:rPr>
              <w:t>sumario</w:t>
            </w:r>
            <w:r>
              <w:rPr>
                <w:rFonts w:ascii="Calibri" w:hAnsi="Calibri"/>
                <w:spacing w:val="-1"/>
                <w:w w:val="115"/>
                <w:sz w:val="7"/>
              </w:rPr>
              <w:t> </w:t>
            </w:r>
            <w:r>
              <w:rPr>
                <w:rFonts w:ascii="Calibri" w:hAnsi="Calibri"/>
                <w:w w:val="115"/>
                <w:sz w:val="7"/>
              </w:rPr>
              <w:t>adquiera</w:t>
            </w:r>
            <w:r>
              <w:rPr>
                <w:rFonts w:ascii="Calibri" w:hAnsi="Calibri"/>
                <w:spacing w:val="40"/>
                <w:w w:val="115"/>
                <w:sz w:val="7"/>
              </w:rPr>
              <w:t> </w:t>
            </w:r>
            <w:r>
              <w:rPr>
                <w:rFonts w:ascii="Calibri" w:hAnsi="Calibri"/>
                <w:w w:val="115"/>
                <w:sz w:val="7"/>
              </w:rPr>
              <w:t>firmeza,</w:t>
            </w:r>
            <w:r>
              <w:rPr>
                <w:rFonts w:ascii="Calibri" w:hAnsi="Calibri"/>
                <w:spacing w:val="-2"/>
                <w:w w:val="115"/>
                <w:sz w:val="7"/>
              </w:rPr>
              <w:t> </w:t>
            </w:r>
            <w:r>
              <w:rPr>
                <w:rFonts w:ascii="Calibri" w:hAnsi="Calibri"/>
                <w:w w:val="115"/>
                <w:sz w:val="7"/>
              </w:rPr>
              <w:t>y</w:t>
            </w:r>
            <w:r>
              <w:rPr>
                <w:rFonts w:ascii="Calibri" w:hAnsi="Calibri"/>
                <w:spacing w:val="-3"/>
                <w:w w:val="115"/>
                <w:sz w:val="7"/>
              </w:rPr>
              <w:t> </w:t>
            </w:r>
            <w:r>
              <w:rPr>
                <w:rFonts w:ascii="Calibri" w:hAnsi="Calibri"/>
                <w:w w:val="115"/>
                <w:sz w:val="7"/>
              </w:rPr>
              <w:t>la</w:t>
            </w:r>
            <w:r>
              <w:rPr>
                <w:rFonts w:ascii="Calibri" w:hAnsi="Calibri"/>
                <w:spacing w:val="-3"/>
                <w:w w:val="115"/>
                <w:sz w:val="7"/>
              </w:rPr>
              <w:t> </w:t>
            </w:r>
            <w:r>
              <w:rPr>
                <w:rFonts w:ascii="Calibri" w:hAnsi="Calibri"/>
                <w:w w:val="115"/>
                <w:sz w:val="7"/>
              </w:rPr>
              <w:t>parte</w:t>
            </w:r>
            <w:r>
              <w:rPr>
                <w:rFonts w:ascii="Calibri" w:hAnsi="Calibri"/>
                <w:spacing w:val="-3"/>
                <w:w w:val="115"/>
                <w:sz w:val="7"/>
              </w:rPr>
              <w:t> </w:t>
            </w:r>
            <w:r>
              <w:rPr>
                <w:rFonts w:ascii="Calibri" w:hAnsi="Calibri"/>
                <w:w w:val="115"/>
                <w:sz w:val="7"/>
              </w:rPr>
              <w:t>intesada</w:t>
            </w:r>
            <w:r>
              <w:rPr>
                <w:rFonts w:ascii="Calibri" w:hAnsi="Calibri"/>
                <w:spacing w:val="-3"/>
                <w:w w:val="115"/>
                <w:sz w:val="7"/>
              </w:rPr>
              <w:t> </w:t>
            </w:r>
            <w:r>
              <w:rPr>
                <w:rFonts w:ascii="Calibri" w:hAnsi="Calibri"/>
                <w:w w:val="115"/>
                <w:sz w:val="7"/>
              </w:rPr>
              <w:t>liquide</w:t>
            </w:r>
            <w:r>
              <w:rPr>
                <w:rFonts w:ascii="Calibri" w:hAnsi="Calibri"/>
                <w:spacing w:val="-2"/>
                <w:w w:val="115"/>
                <w:sz w:val="7"/>
              </w:rPr>
              <w:t> </w:t>
            </w:r>
            <w:r>
              <w:rPr>
                <w:rFonts w:ascii="Calibri" w:hAnsi="Calibri"/>
                <w:w w:val="115"/>
                <w:sz w:val="7"/>
              </w:rPr>
              <w:t>el</w:t>
            </w:r>
            <w:r>
              <w:rPr>
                <w:rFonts w:ascii="Calibri" w:hAnsi="Calibri"/>
                <w:spacing w:val="-1"/>
                <w:w w:val="115"/>
                <w:sz w:val="7"/>
              </w:rPr>
              <w:t> </w:t>
            </w:r>
            <w:r>
              <w:rPr>
                <w:rFonts w:ascii="Calibri" w:hAnsi="Calibri"/>
                <w:w w:val="115"/>
                <w:sz w:val="7"/>
              </w:rPr>
              <w:t>pago</w:t>
            </w:r>
            <w:r>
              <w:rPr>
                <w:rFonts w:ascii="Calibri" w:hAnsi="Calibri"/>
                <w:spacing w:val="-1"/>
                <w:w w:val="115"/>
                <w:sz w:val="7"/>
              </w:rPr>
              <w:t> </w:t>
            </w:r>
            <w:r>
              <w:rPr>
                <w:rFonts w:ascii="Calibri" w:hAnsi="Calibri"/>
                <w:w w:val="115"/>
                <w:sz w:val="7"/>
              </w:rPr>
              <w:t>de</w:t>
            </w:r>
            <w:r>
              <w:rPr>
                <w:rFonts w:ascii="Calibri" w:hAnsi="Calibri"/>
                <w:spacing w:val="-2"/>
                <w:w w:val="115"/>
                <w:sz w:val="7"/>
              </w:rPr>
              <w:t> </w:t>
            </w:r>
            <w:r>
              <w:rPr>
                <w:rFonts w:ascii="Calibri" w:hAnsi="Calibri"/>
                <w:w w:val="115"/>
                <w:sz w:val="7"/>
              </w:rPr>
              <w:t>las</w:t>
            </w:r>
            <w:r>
              <w:rPr>
                <w:rFonts w:ascii="Calibri" w:hAnsi="Calibri"/>
                <w:spacing w:val="40"/>
                <w:w w:val="115"/>
                <w:sz w:val="7"/>
              </w:rPr>
              <w:t> </w:t>
            </w:r>
            <w:r>
              <w:rPr>
                <w:rFonts w:ascii="Calibri" w:hAnsi="Calibri"/>
                <w:spacing w:val="-2"/>
                <w:w w:val="115"/>
                <w:sz w:val="7"/>
              </w:rPr>
              <w:t>indemnizaciones ordenadas. La sentencia fue apelada.</w:t>
            </w:r>
            <w:r>
              <w:rPr>
                <w:rFonts w:ascii="Calibri" w:hAnsi="Calibri"/>
                <w:spacing w:val="40"/>
                <w:w w:val="115"/>
                <w:sz w:val="7"/>
              </w:rPr>
              <w:t> </w:t>
            </w:r>
            <w:r>
              <w:rPr>
                <w:rFonts w:ascii="Calibri" w:hAnsi="Calibri"/>
                <w:w w:val="115"/>
                <w:sz w:val="7"/>
              </w:rPr>
              <w:t>Expediente</w:t>
            </w:r>
            <w:r>
              <w:rPr>
                <w:rFonts w:ascii="Calibri" w:hAnsi="Calibri"/>
                <w:spacing w:val="-5"/>
                <w:w w:val="115"/>
                <w:sz w:val="7"/>
              </w:rPr>
              <w:t> </w:t>
            </w:r>
            <w:r>
              <w:rPr>
                <w:rFonts w:ascii="Calibri" w:hAnsi="Calibri"/>
                <w:w w:val="115"/>
                <w:sz w:val="7"/>
              </w:rPr>
              <w:t>será</w:t>
            </w:r>
            <w:r>
              <w:rPr>
                <w:rFonts w:ascii="Calibri" w:hAnsi="Calibri"/>
                <w:spacing w:val="-5"/>
                <w:w w:val="115"/>
                <w:sz w:val="7"/>
              </w:rPr>
              <w:t> </w:t>
            </w:r>
            <w:r>
              <w:rPr>
                <w:rFonts w:ascii="Calibri" w:hAnsi="Calibri"/>
                <w:w w:val="115"/>
                <w:sz w:val="7"/>
              </w:rPr>
              <w:t>enviado</w:t>
            </w:r>
            <w:r>
              <w:rPr>
                <w:rFonts w:ascii="Calibri" w:hAnsi="Calibri"/>
                <w:spacing w:val="-3"/>
                <w:w w:val="115"/>
                <w:sz w:val="7"/>
              </w:rPr>
              <w:t> </w:t>
            </w:r>
            <w:r>
              <w:rPr>
                <w:rFonts w:ascii="Calibri" w:hAnsi="Calibri"/>
                <w:w w:val="115"/>
                <w:sz w:val="7"/>
              </w:rPr>
              <w:t>al</w:t>
            </w:r>
            <w:r>
              <w:rPr>
                <w:rFonts w:ascii="Calibri" w:hAnsi="Calibri"/>
                <w:spacing w:val="-3"/>
                <w:w w:val="115"/>
                <w:sz w:val="7"/>
              </w:rPr>
              <w:t> </w:t>
            </w:r>
            <w:r>
              <w:rPr>
                <w:rFonts w:ascii="Calibri" w:hAnsi="Calibri"/>
                <w:w w:val="115"/>
                <w:sz w:val="7"/>
              </w:rPr>
              <w:t>Tribunal</w:t>
            </w:r>
            <w:r>
              <w:rPr>
                <w:rFonts w:ascii="Calibri" w:hAnsi="Calibri"/>
                <w:spacing w:val="-3"/>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Apelación</w:t>
            </w:r>
            <w:r>
              <w:rPr>
                <w:rFonts w:ascii="Calibri" w:hAnsi="Calibri"/>
                <w:spacing w:val="-3"/>
                <w:w w:val="115"/>
                <w:sz w:val="7"/>
              </w:rPr>
              <w:t> </w:t>
            </w:r>
            <w:r>
              <w:rPr>
                <w:rFonts w:ascii="Calibri" w:hAnsi="Calibri"/>
                <w:w w:val="115"/>
                <w:sz w:val="7"/>
              </w:rPr>
              <w:t>de</w:t>
            </w:r>
            <w:r>
              <w:rPr>
                <w:rFonts w:ascii="Calibri" w:hAnsi="Calibri"/>
                <w:spacing w:val="40"/>
                <w:w w:val="115"/>
                <w:sz w:val="7"/>
              </w:rPr>
              <w:t> </w:t>
            </w:r>
            <w:r>
              <w:rPr>
                <w:rFonts w:ascii="Calibri" w:hAnsi="Calibri"/>
                <w:w w:val="115"/>
                <w:sz w:val="7"/>
              </w:rPr>
              <w:t>Sentencia Penal de Cartago. Apelación declarada</w:t>
            </w:r>
            <w:r>
              <w:rPr>
                <w:rFonts w:ascii="Calibri" w:hAnsi="Calibri"/>
                <w:spacing w:val="40"/>
                <w:w w:val="115"/>
                <w:sz w:val="7"/>
              </w:rPr>
              <w:t> </w:t>
            </w:r>
            <w:r>
              <w:rPr>
                <w:rFonts w:ascii="Calibri" w:hAnsi="Calibri"/>
                <w:w w:val="115"/>
                <w:sz w:val="7"/>
              </w:rPr>
              <w:t>inadmisible</w:t>
            </w:r>
            <w:r>
              <w:rPr>
                <w:rFonts w:ascii="Calibri" w:hAnsi="Calibri"/>
                <w:spacing w:val="-1"/>
                <w:w w:val="115"/>
                <w:sz w:val="7"/>
              </w:rPr>
              <w:t> </w:t>
            </w:r>
            <w:r>
              <w:rPr>
                <w:rFonts w:ascii="Calibri" w:hAnsi="Calibri"/>
                <w:w w:val="115"/>
                <w:sz w:val="7"/>
              </w:rPr>
              <w:t>mediante</w:t>
            </w:r>
            <w:r>
              <w:rPr>
                <w:rFonts w:ascii="Calibri" w:hAnsi="Calibri"/>
                <w:spacing w:val="-1"/>
                <w:w w:val="115"/>
                <w:sz w:val="7"/>
              </w:rPr>
              <w:t> </w:t>
            </w:r>
            <w:r>
              <w:rPr>
                <w:rFonts w:ascii="Calibri" w:hAnsi="Calibri"/>
                <w:w w:val="115"/>
                <w:sz w:val="7"/>
              </w:rPr>
              <w:t>Voto 2024-482, del 18 de</w:t>
            </w:r>
          </w:p>
          <w:p>
            <w:pPr>
              <w:pStyle w:val="TableParagraph"/>
              <w:spacing w:line="62" w:lineRule="exact"/>
              <w:ind w:left="17"/>
              <w:rPr>
                <w:rFonts w:ascii="Calibri"/>
                <w:sz w:val="7"/>
              </w:rPr>
            </w:pPr>
            <w:r>
              <w:rPr>
                <w:rFonts w:ascii="Calibri"/>
                <w:spacing w:val="-2"/>
                <w:w w:val="110"/>
                <w:sz w:val="7"/>
              </w:rPr>
              <w:t>noviembre</w:t>
            </w:r>
            <w:r>
              <w:rPr>
                <w:rFonts w:ascii="Calibri"/>
                <w:spacing w:val="3"/>
                <w:w w:val="110"/>
                <w:sz w:val="7"/>
              </w:rPr>
              <w:t> </w:t>
            </w:r>
            <w:r>
              <w:rPr>
                <w:rFonts w:ascii="Calibri"/>
                <w:spacing w:val="-2"/>
                <w:w w:val="110"/>
                <w:sz w:val="7"/>
              </w:rPr>
              <w:t>de</w:t>
            </w:r>
            <w:r>
              <w:rPr>
                <w:rFonts w:ascii="Calibri"/>
                <w:spacing w:val="6"/>
                <w:w w:val="110"/>
                <w:sz w:val="7"/>
              </w:rPr>
              <w:t> </w:t>
            </w:r>
            <w:r>
              <w:rPr>
                <w:rFonts w:ascii="Calibri"/>
                <w:spacing w:val="-2"/>
                <w:w w:val="110"/>
                <w:sz w:val="7"/>
              </w:rPr>
              <w:t>2024.</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218" w:right="2" w:hanging="152"/>
              <w:rPr>
                <w:rFonts w:ascii="Calibri"/>
                <w:sz w:val="7"/>
              </w:rPr>
            </w:pPr>
            <w:r>
              <w:rPr>
                <w:rFonts w:ascii="Calibri"/>
                <w:spacing w:val="-2"/>
                <w:w w:val="115"/>
                <w:sz w:val="7"/>
              </w:rPr>
              <w:t>Provisionado</w:t>
            </w:r>
            <w:r>
              <w:rPr>
                <w:rFonts w:ascii="Calibri"/>
                <w:spacing w:val="-3"/>
                <w:w w:val="115"/>
                <w:sz w:val="7"/>
              </w:rPr>
              <w:t> </w:t>
            </w:r>
            <w:r>
              <w:rPr>
                <w:rFonts w:ascii="Calibri"/>
                <w:spacing w:val="-2"/>
                <w:w w:val="115"/>
                <w:sz w:val="7"/>
              </w:rPr>
              <w:t>el</w:t>
            </w:r>
            <w:r>
              <w:rPr>
                <w:rFonts w:ascii="Calibri"/>
                <w:spacing w:val="40"/>
                <w:w w:val="115"/>
                <w:sz w:val="7"/>
              </w:rPr>
              <w:t> </w:t>
            </w:r>
            <w:r>
              <w:rPr>
                <w:rFonts w:ascii="Calibri"/>
                <w:spacing w:val="-4"/>
                <w:w w:val="115"/>
                <w:sz w:val="7"/>
              </w:rPr>
              <w:t>100%</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6"/>
              <w:rPr>
                <w:sz w:val="7"/>
              </w:rPr>
            </w:pPr>
          </w:p>
          <w:p>
            <w:pPr>
              <w:pStyle w:val="TableParagraph"/>
              <w:ind w:left="10"/>
              <w:jc w:val="center"/>
              <w:rPr>
                <w:rFonts w:ascii="Calibri"/>
                <w:sz w:val="7"/>
              </w:rPr>
            </w:pPr>
            <w:r>
              <w:rPr>
                <w:rFonts w:ascii="Calibri"/>
                <w:spacing w:val="-2"/>
                <w:w w:val="115"/>
                <w:sz w:val="7"/>
              </w:rPr>
              <w:t>Pagado</w:t>
            </w:r>
          </w:p>
        </w:tc>
        <w:tc>
          <w:tcPr>
            <w:tcW w:w="83" w:type="dxa"/>
            <w:vMerge/>
            <w:tcBorders>
              <w:top w:val="nil"/>
              <w:left w:val="nil"/>
            </w:tcBorders>
          </w:tcPr>
          <w:p>
            <w:pPr>
              <w:rPr>
                <w:sz w:val="2"/>
                <w:szCs w:val="2"/>
              </w:rPr>
            </w:pPr>
          </w:p>
        </w:tc>
      </w:tr>
      <w:tr>
        <w:trPr>
          <w:trHeight w:val="2407"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122" w:right="51" w:hanging="57"/>
              <w:rPr>
                <w:rFonts w:ascii="Calibri"/>
                <w:b/>
                <w:sz w:val="7"/>
              </w:rPr>
            </w:pPr>
            <w:r>
              <w:rPr>
                <w:rFonts w:ascii="Calibri"/>
                <w:b/>
                <w:spacing w:val="-2"/>
                <w:w w:val="120"/>
                <w:sz w:val="7"/>
              </w:rPr>
              <w:t>EJECUCION</w:t>
            </w:r>
            <w:r>
              <w:rPr>
                <w:rFonts w:ascii="Calibri"/>
                <w:b/>
                <w:spacing w:val="-7"/>
                <w:w w:val="120"/>
                <w:sz w:val="7"/>
              </w:rPr>
              <w:t> </w:t>
            </w:r>
            <w:r>
              <w:rPr>
                <w:rFonts w:ascii="Calibri"/>
                <w:b/>
                <w:spacing w:val="-2"/>
                <w:w w:val="120"/>
                <w:sz w:val="7"/>
              </w:rPr>
              <w:t>DE</w:t>
            </w:r>
            <w:r>
              <w:rPr>
                <w:rFonts w:ascii="Calibri"/>
                <w:b/>
                <w:spacing w:val="40"/>
                <w:w w:val="120"/>
                <w:sz w:val="7"/>
              </w:rPr>
              <w:t> </w:t>
            </w:r>
            <w:r>
              <w:rPr>
                <w:rFonts w:ascii="Calibri"/>
                <w:b/>
                <w:spacing w:val="-2"/>
                <w:w w:val="120"/>
                <w:sz w:val="7"/>
              </w:rPr>
              <w:t>SENTENCIA</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3"/>
              <w:jc w:val="center"/>
              <w:rPr>
                <w:rFonts w:ascii="Calibri"/>
                <w:sz w:val="7"/>
              </w:rPr>
            </w:pPr>
            <w:r>
              <w:rPr>
                <w:rFonts w:ascii="Calibri"/>
                <w:w w:val="110"/>
                <w:sz w:val="7"/>
              </w:rPr>
              <w:t>11-004740-1027-</w:t>
            </w:r>
            <w:r>
              <w:rPr>
                <w:rFonts w:ascii="Calibri"/>
                <w:spacing w:val="-5"/>
                <w:w w:val="110"/>
                <w:sz w:val="7"/>
              </w:rPr>
              <w:t>CA</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9"/>
              <w:rPr>
                <w:sz w:val="7"/>
              </w:rPr>
            </w:pPr>
          </w:p>
          <w:p>
            <w:pPr>
              <w:pStyle w:val="TableParagraph"/>
              <w:spacing w:line="276" w:lineRule="auto"/>
              <w:ind w:left="17"/>
              <w:rPr>
                <w:rFonts w:ascii="Calibri" w:hAnsi="Calibri"/>
                <w:sz w:val="7"/>
              </w:rPr>
            </w:pPr>
            <w:r>
              <w:rPr>
                <w:rFonts w:ascii="Calibri" w:hAnsi="Calibri"/>
                <w:w w:val="110"/>
                <w:sz w:val="7"/>
              </w:rPr>
              <w:t>Ana Cecilia Badilla Rojas, Eligio</w:t>
            </w:r>
            <w:r>
              <w:rPr>
                <w:rFonts w:ascii="Calibri" w:hAnsi="Calibri"/>
                <w:spacing w:val="40"/>
                <w:w w:val="110"/>
                <w:sz w:val="7"/>
              </w:rPr>
              <w:t> </w:t>
            </w:r>
            <w:r>
              <w:rPr>
                <w:rFonts w:ascii="Calibri" w:hAnsi="Calibri"/>
                <w:w w:val="110"/>
                <w:sz w:val="7"/>
              </w:rPr>
              <w:t>Vargas</w:t>
            </w:r>
            <w:r>
              <w:rPr>
                <w:rFonts w:ascii="Calibri" w:hAnsi="Calibri"/>
                <w:spacing w:val="-2"/>
                <w:w w:val="110"/>
                <w:sz w:val="7"/>
              </w:rPr>
              <w:t> </w:t>
            </w:r>
            <w:r>
              <w:rPr>
                <w:rFonts w:ascii="Calibri" w:hAnsi="Calibri"/>
                <w:w w:val="110"/>
                <w:sz w:val="7"/>
              </w:rPr>
              <w:t>Gómez,</w:t>
            </w:r>
            <w:r>
              <w:rPr>
                <w:rFonts w:ascii="Calibri" w:hAnsi="Calibri"/>
                <w:spacing w:val="-2"/>
                <w:w w:val="110"/>
                <w:sz w:val="7"/>
              </w:rPr>
              <w:t> </w:t>
            </w:r>
            <w:r>
              <w:rPr>
                <w:rFonts w:ascii="Calibri" w:hAnsi="Calibri"/>
                <w:w w:val="110"/>
                <w:sz w:val="7"/>
              </w:rPr>
              <w:t>María</w:t>
            </w:r>
            <w:r>
              <w:rPr>
                <w:rFonts w:ascii="Calibri" w:hAnsi="Calibri"/>
                <w:spacing w:val="-3"/>
                <w:w w:val="110"/>
                <w:sz w:val="7"/>
              </w:rPr>
              <w:t> </w:t>
            </w:r>
            <w:r>
              <w:rPr>
                <w:rFonts w:ascii="Calibri" w:hAnsi="Calibri"/>
                <w:w w:val="110"/>
                <w:sz w:val="7"/>
              </w:rPr>
              <w:t>Cristina</w:t>
            </w:r>
            <w:r>
              <w:rPr>
                <w:rFonts w:ascii="Calibri" w:hAnsi="Calibri"/>
                <w:spacing w:val="40"/>
                <w:w w:val="110"/>
                <w:sz w:val="7"/>
              </w:rPr>
              <w:t> </w:t>
            </w:r>
            <w:r>
              <w:rPr>
                <w:rFonts w:ascii="Calibri" w:hAnsi="Calibri"/>
                <w:w w:val="110"/>
                <w:sz w:val="7"/>
              </w:rPr>
              <w:t>Vargas</w:t>
            </w:r>
            <w:r>
              <w:rPr>
                <w:rFonts w:ascii="Calibri" w:hAnsi="Calibri"/>
                <w:spacing w:val="-2"/>
                <w:w w:val="110"/>
                <w:sz w:val="7"/>
              </w:rPr>
              <w:t> </w:t>
            </w:r>
            <w:r>
              <w:rPr>
                <w:rFonts w:ascii="Calibri" w:hAnsi="Calibri"/>
                <w:w w:val="110"/>
                <w:sz w:val="7"/>
              </w:rPr>
              <w:t>Díaz,</w:t>
            </w:r>
            <w:r>
              <w:rPr>
                <w:rFonts w:ascii="Calibri" w:hAnsi="Calibri"/>
                <w:spacing w:val="-2"/>
                <w:w w:val="110"/>
                <w:sz w:val="7"/>
              </w:rPr>
              <w:t> </w:t>
            </w:r>
            <w:r>
              <w:rPr>
                <w:rFonts w:ascii="Calibri" w:hAnsi="Calibri"/>
                <w:w w:val="110"/>
                <w:sz w:val="7"/>
              </w:rPr>
              <w:t>Netilma</w:t>
            </w:r>
            <w:r>
              <w:rPr>
                <w:rFonts w:ascii="Calibri" w:hAnsi="Calibri"/>
                <w:spacing w:val="-3"/>
                <w:w w:val="110"/>
                <w:sz w:val="7"/>
              </w:rPr>
              <w:t> </w:t>
            </w:r>
            <w:r>
              <w:rPr>
                <w:rFonts w:ascii="Calibri" w:hAnsi="Calibri"/>
                <w:w w:val="110"/>
                <w:sz w:val="7"/>
              </w:rPr>
              <w:t>Soto</w:t>
            </w:r>
            <w:r>
              <w:rPr>
                <w:rFonts w:ascii="Calibri" w:hAnsi="Calibri"/>
                <w:spacing w:val="40"/>
                <w:w w:val="110"/>
                <w:sz w:val="7"/>
              </w:rPr>
              <w:t> </w:t>
            </w:r>
            <w:r>
              <w:rPr>
                <w:rFonts w:ascii="Calibri" w:hAnsi="Calibri"/>
                <w:w w:val="110"/>
                <w:sz w:val="7"/>
              </w:rPr>
              <w:t>Miranda</w:t>
            </w:r>
            <w:r>
              <w:rPr>
                <w:rFonts w:ascii="Calibri" w:hAnsi="Calibri"/>
                <w:spacing w:val="-1"/>
                <w:w w:val="110"/>
                <w:sz w:val="7"/>
              </w:rPr>
              <w:t> </w:t>
            </w:r>
            <w:r>
              <w:rPr>
                <w:rFonts w:ascii="Calibri" w:hAnsi="Calibri"/>
                <w:w w:val="110"/>
                <w:sz w:val="7"/>
              </w:rPr>
              <w:t>y</w:t>
            </w:r>
            <w:r>
              <w:rPr>
                <w:rFonts w:ascii="Calibri" w:hAnsi="Calibri"/>
                <w:spacing w:val="-1"/>
                <w:w w:val="110"/>
                <w:sz w:val="7"/>
              </w:rPr>
              <w:t> </w:t>
            </w:r>
            <w:r>
              <w:rPr>
                <w:rFonts w:ascii="Calibri" w:hAnsi="Calibri"/>
                <w:w w:val="110"/>
                <w:sz w:val="7"/>
              </w:rPr>
              <w:t>Nuria</w:t>
            </w:r>
            <w:r>
              <w:rPr>
                <w:rFonts w:ascii="Calibri" w:hAnsi="Calibri"/>
                <w:spacing w:val="-1"/>
                <w:w w:val="110"/>
                <w:sz w:val="7"/>
              </w:rPr>
              <w:t> </w:t>
            </w:r>
            <w:r>
              <w:rPr>
                <w:rFonts w:ascii="Calibri" w:hAnsi="Calibri"/>
                <w:w w:val="110"/>
                <w:sz w:val="7"/>
              </w:rPr>
              <w:t>María</w:t>
            </w:r>
            <w:r>
              <w:rPr>
                <w:rFonts w:ascii="Calibri" w:hAnsi="Calibri"/>
                <w:spacing w:val="-1"/>
                <w:w w:val="110"/>
                <w:sz w:val="7"/>
              </w:rPr>
              <w:t> </w:t>
            </w:r>
            <w:r>
              <w:rPr>
                <w:rFonts w:ascii="Calibri" w:hAnsi="Calibri"/>
                <w:w w:val="110"/>
                <w:sz w:val="7"/>
              </w:rPr>
              <w:t>Zamora</w:t>
            </w:r>
            <w:r>
              <w:rPr>
                <w:rFonts w:ascii="Calibri" w:hAnsi="Calibri"/>
                <w:spacing w:val="40"/>
                <w:w w:val="110"/>
                <w:sz w:val="7"/>
              </w:rPr>
              <w:t> </w:t>
            </w:r>
            <w:r>
              <w:rPr>
                <w:rFonts w:ascii="Calibri" w:hAnsi="Calibri"/>
                <w:spacing w:val="-2"/>
                <w:w w:val="110"/>
                <w:sz w:val="7"/>
              </w:rPr>
              <w:t>Chacón</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1"/>
              <w:jc w:val="center"/>
              <w:rPr>
                <w:rFonts w:ascii="Calibri"/>
                <w:sz w:val="7"/>
              </w:rPr>
            </w:pPr>
            <w:r>
              <w:rPr>
                <w:rFonts w:ascii="Calibri"/>
                <w:w w:val="110"/>
                <w:sz w:val="7"/>
              </w:rPr>
              <w:t>1-0599-</w:t>
            </w:r>
            <w:r>
              <w:rPr>
                <w:rFonts w:ascii="Calibri"/>
                <w:spacing w:val="-4"/>
                <w:w w:val="110"/>
                <w:sz w:val="7"/>
              </w:rPr>
              <w:t>0910</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9"/>
              <w:rPr>
                <w:sz w:val="7"/>
              </w:rPr>
            </w:pPr>
          </w:p>
          <w:p>
            <w:pPr>
              <w:pStyle w:val="TableParagraph"/>
              <w:spacing w:line="276" w:lineRule="auto"/>
              <w:ind w:left="75" w:right="62" w:firstLine="3"/>
              <w:jc w:val="center"/>
              <w:rPr>
                <w:rFonts w:ascii="Calibri" w:hAnsi="Calibri"/>
                <w:sz w:val="7"/>
              </w:rPr>
            </w:pPr>
            <w:r>
              <w:rPr>
                <w:rFonts w:ascii="Calibri" w:hAnsi="Calibri"/>
                <w:w w:val="110"/>
                <w:sz w:val="7"/>
              </w:rPr>
              <w:t>Ejecución</w:t>
            </w:r>
            <w:r>
              <w:rPr>
                <w:rFonts w:ascii="Calibri" w:hAnsi="Calibri"/>
                <w:spacing w:val="-5"/>
                <w:w w:val="110"/>
                <w:sz w:val="7"/>
              </w:rPr>
              <w:t> </w:t>
            </w:r>
            <w:r>
              <w:rPr>
                <w:rFonts w:ascii="Calibri" w:hAnsi="Calibri"/>
                <w:w w:val="110"/>
                <w:sz w:val="7"/>
              </w:rPr>
              <w:t>de</w:t>
            </w:r>
            <w:r>
              <w:rPr>
                <w:rFonts w:ascii="Calibri" w:hAnsi="Calibri"/>
                <w:spacing w:val="40"/>
                <w:w w:val="110"/>
                <w:sz w:val="7"/>
              </w:rPr>
              <w:t> </w:t>
            </w:r>
            <w:r>
              <w:rPr>
                <w:rFonts w:ascii="Calibri" w:hAnsi="Calibri"/>
                <w:w w:val="110"/>
                <w:sz w:val="7"/>
              </w:rPr>
              <w:t>sentencia</w:t>
            </w:r>
            <w:r>
              <w:rPr>
                <w:rFonts w:ascii="Calibri" w:hAnsi="Calibri"/>
                <w:spacing w:val="-5"/>
                <w:w w:val="110"/>
                <w:sz w:val="7"/>
              </w:rPr>
              <w:t> </w:t>
            </w:r>
            <w:r>
              <w:rPr>
                <w:rFonts w:ascii="Calibri" w:hAnsi="Calibri"/>
                <w:w w:val="110"/>
                <w:sz w:val="7"/>
              </w:rPr>
              <w:t>daño</w:t>
            </w:r>
            <w:r>
              <w:rPr>
                <w:rFonts w:ascii="Calibri" w:hAnsi="Calibri"/>
                <w:spacing w:val="40"/>
                <w:w w:val="110"/>
                <w:sz w:val="7"/>
              </w:rPr>
              <w:t> </w:t>
            </w:r>
            <w:r>
              <w:rPr>
                <w:rFonts w:ascii="Calibri" w:hAnsi="Calibri"/>
                <w:w w:val="110"/>
                <w:sz w:val="7"/>
              </w:rPr>
              <w:t>patrimonial</w:t>
            </w:r>
            <w:r>
              <w:rPr>
                <w:rFonts w:ascii="Calibri" w:hAnsi="Calibri"/>
                <w:spacing w:val="-5"/>
                <w:w w:val="110"/>
                <w:sz w:val="7"/>
              </w:rPr>
              <w:t> </w:t>
            </w:r>
            <w:r>
              <w:rPr>
                <w:rFonts w:ascii="Calibri" w:hAnsi="Calibri"/>
                <w:w w:val="110"/>
                <w:sz w:val="7"/>
              </w:rPr>
              <w:t>y</w:t>
            </w:r>
            <w:r>
              <w:rPr>
                <w:rFonts w:ascii="Calibri" w:hAnsi="Calibri"/>
                <w:spacing w:val="40"/>
                <w:w w:val="110"/>
                <w:sz w:val="7"/>
              </w:rPr>
              <w:t> </w:t>
            </w:r>
            <w:r>
              <w:rPr>
                <w:rFonts w:ascii="Calibri" w:hAnsi="Calibri"/>
                <w:spacing w:val="-2"/>
                <w:w w:val="110"/>
                <w:sz w:val="7"/>
              </w:rPr>
              <w:t>costas</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34"/>
              <w:rPr>
                <w:sz w:val="7"/>
              </w:rPr>
            </w:pPr>
          </w:p>
          <w:p>
            <w:pPr>
              <w:pStyle w:val="TableParagraph"/>
              <w:spacing w:line="276" w:lineRule="auto"/>
              <w:ind w:left="21" w:right="8" w:hanging="1"/>
              <w:jc w:val="center"/>
              <w:rPr>
                <w:rFonts w:ascii="Calibri" w:hAnsi="Calibri"/>
                <w:sz w:val="7"/>
              </w:rPr>
            </w:pPr>
            <w:r>
              <w:rPr>
                <w:rFonts w:ascii="Calibri" w:hAnsi="Calibri"/>
                <w:w w:val="115"/>
                <w:sz w:val="7"/>
              </w:rPr>
              <w:t>Ejecución</w:t>
            </w:r>
            <w:r>
              <w:rPr>
                <w:rFonts w:ascii="Calibri" w:hAnsi="Calibri"/>
                <w:spacing w:val="-5"/>
                <w:w w:val="115"/>
                <w:sz w:val="7"/>
              </w:rPr>
              <w:t> </w:t>
            </w:r>
            <w:r>
              <w:rPr>
                <w:rFonts w:ascii="Calibri" w:hAnsi="Calibri"/>
                <w:w w:val="115"/>
                <w:sz w:val="7"/>
              </w:rPr>
              <w:t>sentencia</w:t>
            </w:r>
            <w:r>
              <w:rPr>
                <w:rFonts w:ascii="Calibri" w:hAnsi="Calibri"/>
                <w:spacing w:val="-5"/>
                <w:w w:val="115"/>
                <w:sz w:val="7"/>
              </w:rPr>
              <w:t> </w:t>
            </w:r>
            <w:r>
              <w:rPr>
                <w:rFonts w:ascii="Calibri" w:hAnsi="Calibri"/>
                <w:w w:val="115"/>
                <w:sz w:val="7"/>
              </w:rPr>
              <w:t>con</w:t>
            </w:r>
            <w:r>
              <w:rPr>
                <w:rFonts w:ascii="Calibri" w:hAnsi="Calibri"/>
                <w:spacing w:val="40"/>
                <w:w w:val="115"/>
                <w:sz w:val="7"/>
              </w:rPr>
              <w:t> </w:t>
            </w:r>
            <w:r>
              <w:rPr>
                <w:rFonts w:ascii="Calibri" w:hAnsi="Calibri"/>
                <w:spacing w:val="-2"/>
                <w:w w:val="115"/>
                <w:sz w:val="7"/>
              </w:rPr>
              <w:t>lugar.</w:t>
            </w:r>
            <w:r>
              <w:rPr>
                <w:rFonts w:ascii="Calibri" w:hAnsi="Calibri"/>
                <w:spacing w:val="3"/>
                <w:w w:val="115"/>
                <w:sz w:val="7"/>
              </w:rPr>
              <w:t> </w:t>
            </w:r>
            <w:r>
              <w:rPr>
                <w:rFonts w:ascii="Calibri" w:hAnsi="Calibri"/>
                <w:spacing w:val="-2"/>
                <w:w w:val="115"/>
                <w:sz w:val="7"/>
              </w:rPr>
              <w:t>/En</w:t>
            </w:r>
            <w:r>
              <w:rPr>
                <w:rFonts w:ascii="Calibri" w:hAnsi="Calibri"/>
                <w:spacing w:val="-3"/>
                <w:w w:val="115"/>
                <w:sz w:val="7"/>
              </w:rPr>
              <w:t> </w:t>
            </w:r>
            <w:r>
              <w:rPr>
                <w:rFonts w:ascii="Calibri" w:hAnsi="Calibri"/>
                <w:spacing w:val="-2"/>
                <w:w w:val="115"/>
                <w:sz w:val="7"/>
              </w:rPr>
              <w:t>lo que</w:t>
            </w:r>
            <w:r>
              <w:rPr>
                <w:rFonts w:ascii="Calibri" w:hAnsi="Calibri"/>
                <w:spacing w:val="-5"/>
                <w:w w:val="115"/>
                <w:sz w:val="7"/>
              </w:rPr>
              <w:t> </w:t>
            </w:r>
            <w:r>
              <w:rPr>
                <w:rFonts w:ascii="Calibri" w:hAnsi="Calibri"/>
                <w:spacing w:val="-2"/>
                <w:w w:val="115"/>
                <w:sz w:val="7"/>
              </w:rPr>
              <w:t>respecta</w:t>
            </w:r>
            <w:r>
              <w:rPr>
                <w:rFonts w:ascii="Calibri" w:hAnsi="Calibri"/>
                <w:spacing w:val="40"/>
                <w:w w:val="115"/>
                <w:sz w:val="7"/>
              </w:rPr>
              <w:t> </w:t>
            </w:r>
            <w:r>
              <w:rPr>
                <w:rFonts w:ascii="Calibri" w:hAnsi="Calibri"/>
                <w:w w:val="115"/>
                <w:sz w:val="7"/>
              </w:rPr>
              <w:t>a</w:t>
            </w:r>
            <w:r>
              <w:rPr>
                <w:rFonts w:ascii="Calibri" w:hAnsi="Calibri"/>
                <w:spacing w:val="-1"/>
                <w:w w:val="115"/>
                <w:sz w:val="7"/>
              </w:rPr>
              <w:t> </w:t>
            </w:r>
            <w:r>
              <w:rPr>
                <w:rFonts w:ascii="Calibri" w:hAnsi="Calibri"/>
                <w:w w:val="115"/>
                <w:sz w:val="7"/>
              </w:rPr>
              <w:t>Netilda</w:t>
            </w:r>
            <w:r>
              <w:rPr>
                <w:rFonts w:ascii="Calibri" w:hAnsi="Calibri"/>
                <w:spacing w:val="-1"/>
                <w:w w:val="115"/>
                <w:sz w:val="7"/>
              </w:rPr>
              <w:t> </w:t>
            </w:r>
            <w:r>
              <w:rPr>
                <w:rFonts w:ascii="Calibri" w:hAnsi="Calibri"/>
                <w:w w:val="115"/>
                <w:sz w:val="7"/>
              </w:rPr>
              <w:t>en espera</w:t>
            </w:r>
            <w:r>
              <w:rPr>
                <w:rFonts w:ascii="Calibri" w:hAnsi="Calibri"/>
                <w:spacing w:val="-1"/>
                <w:w w:val="115"/>
                <w:sz w:val="7"/>
              </w:rPr>
              <w:t> </w:t>
            </w:r>
            <w:r>
              <w:rPr>
                <w:rFonts w:ascii="Calibri" w:hAnsi="Calibri"/>
                <w:w w:val="115"/>
                <w:sz w:val="7"/>
              </w:rPr>
              <w:t>de</w:t>
            </w:r>
            <w:r>
              <w:rPr>
                <w:rFonts w:ascii="Calibri" w:hAnsi="Calibri"/>
                <w:spacing w:val="40"/>
                <w:w w:val="115"/>
                <w:sz w:val="7"/>
              </w:rPr>
              <w:t> </w:t>
            </w:r>
            <w:r>
              <w:rPr>
                <w:rFonts w:ascii="Calibri" w:hAnsi="Calibri"/>
                <w:w w:val="115"/>
                <w:sz w:val="7"/>
              </w:rPr>
              <w:t>fallo</w:t>
            </w:r>
            <w:r>
              <w:rPr>
                <w:rFonts w:ascii="Calibri" w:hAnsi="Calibri"/>
                <w:spacing w:val="-5"/>
                <w:w w:val="115"/>
                <w:sz w:val="7"/>
              </w:rPr>
              <w:t> </w:t>
            </w:r>
            <w:r>
              <w:rPr>
                <w:rFonts w:ascii="Calibri" w:hAnsi="Calibri"/>
                <w:w w:val="115"/>
                <w:sz w:val="7"/>
              </w:rPr>
              <w:t>de</w:t>
            </w:r>
            <w:r>
              <w:rPr>
                <w:rFonts w:ascii="Calibri" w:hAnsi="Calibri"/>
                <w:spacing w:val="-5"/>
                <w:w w:val="115"/>
                <w:sz w:val="7"/>
              </w:rPr>
              <w:t> </w:t>
            </w:r>
            <w:r>
              <w:rPr>
                <w:rFonts w:ascii="Calibri" w:hAnsi="Calibri"/>
                <w:w w:val="115"/>
                <w:sz w:val="7"/>
              </w:rPr>
              <w:t>ejecución.</w:t>
            </w:r>
          </w:p>
          <w:p>
            <w:pPr>
              <w:pStyle w:val="TableParagraph"/>
              <w:spacing w:before="18"/>
              <w:rPr>
                <w:sz w:val="7"/>
              </w:rPr>
            </w:pPr>
          </w:p>
          <w:p>
            <w:pPr>
              <w:pStyle w:val="TableParagraph"/>
              <w:ind w:left="12"/>
              <w:jc w:val="center"/>
              <w:rPr>
                <w:rFonts w:ascii="Calibri"/>
                <w:sz w:val="7"/>
              </w:rPr>
            </w:pPr>
            <w:r>
              <w:rPr>
                <w:rFonts w:ascii="Calibri"/>
                <w:w w:val="115"/>
                <w:sz w:val="7"/>
              </w:rPr>
              <w:t>Res.</w:t>
            </w:r>
            <w:r>
              <w:rPr>
                <w:rFonts w:ascii="Calibri"/>
                <w:spacing w:val="-5"/>
                <w:w w:val="115"/>
                <w:sz w:val="7"/>
              </w:rPr>
              <w:t> </w:t>
            </w:r>
            <w:r>
              <w:rPr>
                <w:rFonts w:ascii="Calibri"/>
                <w:w w:val="115"/>
                <w:sz w:val="7"/>
              </w:rPr>
              <w:t>000324-S1-2025</w:t>
            </w:r>
            <w:r>
              <w:rPr>
                <w:rFonts w:ascii="Calibri"/>
                <w:spacing w:val="-4"/>
                <w:w w:val="115"/>
                <w:sz w:val="7"/>
              </w:rPr>
              <w:t> </w:t>
            </w:r>
            <w:r>
              <w:rPr>
                <w:rFonts w:ascii="Calibri"/>
                <w:spacing w:val="-5"/>
                <w:w w:val="115"/>
                <w:sz w:val="7"/>
              </w:rPr>
              <w:t>del</w:t>
            </w:r>
          </w:p>
          <w:p>
            <w:pPr>
              <w:pStyle w:val="TableParagraph"/>
              <w:spacing w:line="276" w:lineRule="auto" w:before="12"/>
              <w:ind w:left="30" w:right="14" w:hanging="3"/>
              <w:jc w:val="center"/>
              <w:rPr>
                <w:rFonts w:ascii="Calibri"/>
                <w:sz w:val="7"/>
              </w:rPr>
            </w:pPr>
            <w:r>
              <w:rPr>
                <w:rFonts w:ascii="Calibri"/>
                <w:w w:val="115"/>
                <w:sz w:val="7"/>
              </w:rPr>
              <w:t>07/03/2025</w:t>
            </w:r>
            <w:r>
              <w:rPr>
                <w:rFonts w:ascii="Calibri"/>
                <w:spacing w:val="-5"/>
                <w:w w:val="115"/>
                <w:sz w:val="7"/>
              </w:rPr>
              <w:t> </w:t>
            </w:r>
            <w:r>
              <w:rPr>
                <w:rFonts w:ascii="Calibri"/>
                <w:w w:val="115"/>
                <w:sz w:val="7"/>
              </w:rPr>
              <w:t>se</w:t>
            </w:r>
            <w:r>
              <w:rPr>
                <w:rFonts w:ascii="Calibri"/>
                <w:spacing w:val="-5"/>
                <w:w w:val="115"/>
                <w:sz w:val="7"/>
              </w:rPr>
              <w:t> </w:t>
            </w:r>
            <w:r>
              <w:rPr>
                <w:rFonts w:ascii="Calibri"/>
                <w:w w:val="115"/>
                <w:sz w:val="7"/>
              </w:rPr>
              <w:t>declara</w:t>
            </w:r>
            <w:r>
              <w:rPr>
                <w:rFonts w:ascii="Calibri"/>
                <w:spacing w:val="40"/>
                <w:w w:val="115"/>
                <w:sz w:val="7"/>
              </w:rPr>
              <w:t> </w:t>
            </w:r>
            <w:r>
              <w:rPr>
                <w:rFonts w:ascii="Calibri"/>
                <w:w w:val="115"/>
                <w:sz w:val="7"/>
              </w:rPr>
              <w:t>con</w:t>
            </w:r>
            <w:r>
              <w:rPr>
                <w:rFonts w:ascii="Calibri"/>
                <w:spacing w:val="-1"/>
                <w:w w:val="115"/>
                <w:sz w:val="7"/>
              </w:rPr>
              <w:t> </w:t>
            </w:r>
            <w:r>
              <w:rPr>
                <w:rFonts w:ascii="Calibri"/>
                <w:w w:val="115"/>
                <w:sz w:val="7"/>
              </w:rPr>
              <w:t>lugar</w:t>
            </w:r>
            <w:r>
              <w:rPr>
                <w:rFonts w:ascii="Calibri"/>
                <w:spacing w:val="-3"/>
                <w:w w:val="115"/>
                <w:sz w:val="7"/>
              </w:rPr>
              <w:t> </w:t>
            </w:r>
            <w:r>
              <w:rPr>
                <w:rFonts w:ascii="Calibri"/>
                <w:w w:val="115"/>
                <w:sz w:val="7"/>
              </w:rPr>
              <w:t>el</w:t>
            </w:r>
            <w:r>
              <w:rPr>
                <w:rFonts w:ascii="Calibri"/>
                <w:spacing w:val="-1"/>
                <w:w w:val="115"/>
                <w:sz w:val="7"/>
              </w:rPr>
              <w:t> </w:t>
            </w:r>
            <w:r>
              <w:rPr>
                <w:rFonts w:ascii="Calibri"/>
                <w:w w:val="115"/>
                <w:sz w:val="7"/>
              </w:rPr>
              <w:t>recurso</w:t>
            </w:r>
            <w:r>
              <w:rPr>
                <w:rFonts w:ascii="Calibri"/>
                <w:spacing w:val="40"/>
                <w:w w:val="115"/>
                <w:sz w:val="7"/>
              </w:rPr>
              <w:t> </w:t>
            </w:r>
            <w:r>
              <w:rPr>
                <w:rFonts w:ascii="Calibri"/>
                <w:w w:val="115"/>
                <w:sz w:val="7"/>
              </w:rPr>
              <w:t>promovido</w:t>
            </w:r>
            <w:r>
              <w:rPr>
                <w:rFonts w:ascii="Calibri"/>
                <w:spacing w:val="-5"/>
                <w:w w:val="115"/>
                <w:sz w:val="7"/>
              </w:rPr>
              <w:t> </w:t>
            </w:r>
            <w:r>
              <w:rPr>
                <w:rFonts w:ascii="Calibri"/>
                <w:w w:val="115"/>
                <w:sz w:val="7"/>
              </w:rPr>
              <w:t>por</w:t>
            </w:r>
            <w:r>
              <w:rPr>
                <w:rFonts w:ascii="Calibri"/>
                <w:spacing w:val="-5"/>
                <w:w w:val="115"/>
                <w:sz w:val="7"/>
              </w:rPr>
              <w:t> </w:t>
            </w:r>
            <w:r>
              <w:rPr>
                <w:rFonts w:ascii="Calibri"/>
                <w:w w:val="115"/>
                <w:sz w:val="7"/>
              </w:rPr>
              <w:t>los</w:t>
            </w:r>
            <w:r>
              <w:rPr>
                <w:rFonts w:ascii="Calibri"/>
                <w:spacing w:val="40"/>
                <w:w w:val="115"/>
                <w:sz w:val="7"/>
              </w:rPr>
              <w:t> </w:t>
            </w:r>
            <w:r>
              <w:rPr>
                <w:rFonts w:ascii="Calibri"/>
                <w:w w:val="115"/>
                <w:sz w:val="7"/>
              </w:rPr>
              <w:t>ejecutantes</w:t>
            </w:r>
            <w:r>
              <w:rPr>
                <w:rFonts w:ascii="Calibri"/>
                <w:spacing w:val="-5"/>
                <w:w w:val="115"/>
                <w:sz w:val="7"/>
              </w:rPr>
              <w:t> </w:t>
            </w:r>
            <w:r>
              <w:rPr>
                <w:rFonts w:ascii="Calibri"/>
                <w:w w:val="115"/>
                <w:sz w:val="7"/>
              </w:rPr>
              <w:t>y</w:t>
            </w:r>
            <w:r>
              <w:rPr>
                <w:rFonts w:ascii="Calibri"/>
                <w:spacing w:val="-5"/>
                <w:w w:val="115"/>
                <w:sz w:val="7"/>
              </w:rPr>
              <w:t> </w:t>
            </w:r>
            <w:r>
              <w:rPr>
                <w:rFonts w:ascii="Calibri"/>
                <w:w w:val="115"/>
                <w:sz w:val="7"/>
              </w:rPr>
              <w:t>se</w:t>
            </w:r>
            <w:r>
              <w:rPr>
                <w:rFonts w:ascii="Calibri"/>
                <w:spacing w:val="-4"/>
                <w:w w:val="115"/>
                <w:sz w:val="7"/>
              </w:rPr>
              <w:t> </w:t>
            </w:r>
            <w:r>
              <w:rPr>
                <w:rFonts w:ascii="Calibri"/>
                <w:w w:val="115"/>
                <w:sz w:val="7"/>
              </w:rPr>
              <w:t>anula</w:t>
            </w:r>
            <w:r>
              <w:rPr>
                <w:rFonts w:ascii="Calibri"/>
                <w:spacing w:val="-5"/>
                <w:w w:val="115"/>
                <w:sz w:val="7"/>
              </w:rPr>
              <w:t> </w:t>
            </w:r>
            <w:r>
              <w:rPr>
                <w:rFonts w:ascii="Calibri"/>
                <w:w w:val="115"/>
                <w:sz w:val="7"/>
              </w:rPr>
              <w:t>el</w:t>
            </w:r>
            <w:r>
              <w:rPr>
                <w:rFonts w:ascii="Calibri"/>
                <w:spacing w:val="40"/>
                <w:w w:val="115"/>
                <w:sz w:val="7"/>
              </w:rPr>
              <w:t> </w:t>
            </w:r>
            <w:r>
              <w:rPr>
                <w:rFonts w:ascii="Calibri"/>
                <w:w w:val="110"/>
                <w:sz w:val="7"/>
              </w:rPr>
              <w:t>fallo</w:t>
            </w:r>
            <w:r>
              <w:rPr>
                <w:rFonts w:ascii="Calibri"/>
                <w:spacing w:val="-2"/>
                <w:w w:val="110"/>
                <w:sz w:val="7"/>
              </w:rPr>
              <w:t> </w:t>
            </w:r>
            <w:r>
              <w:rPr>
                <w:rFonts w:ascii="Calibri"/>
                <w:w w:val="110"/>
                <w:sz w:val="7"/>
              </w:rPr>
              <w:t>de</w:t>
            </w:r>
            <w:r>
              <w:rPr>
                <w:rFonts w:ascii="Calibri"/>
                <w:spacing w:val="-3"/>
                <w:w w:val="110"/>
                <w:sz w:val="7"/>
              </w:rPr>
              <w:t> </w:t>
            </w:r>
            <w:r>
              <w:rPr>
                <w:rFonts w:ascii="Calibri"/>
                <w:w w:val="110"/>
                <w:sz w:val="7"/>
              </w:rPr>
              <w:t>primera</w:t>
            </w:r>
            <w:r>
              <w:rPr>
                <w:rFonts w:ascii="Calibri"/>
                <w:spacing w:val="-4"/>
                <w:w w:val="110"/>
                <w:sz w:val="7"/>
              </w:rPr>
              <w:t> </w:t>
            </w:r>
            <w:r>
              <w:rPr>
                <w:rFonts w:ascii="Calibri"/>
                <w:spacing w:val="-2"/>
                <w:w w:val="110"/>
                <w:sz w:val="7"/>
              </w:rPr>
              <w:t>instancia</w:t>
            </w:r>
          </w:p>
        </w:tc>
        <w:tc>
          <w:tcPr>
            <w:tcW w:w="1064" w:type="dxa"/>
            <w:tcBorders>
              <w:top w:val="single" w:sz="2" w:space="0" w:color="000000"/>
              <w:left w:val="single" w:sz="2" w:space="0" w:color="000000"/>
              <w:bottom w:val="single" w:sz="2" w:space="0" w:color="000000"/>
            </w:tcBorders>
            <w:shd w:val="clear" w:color="auto" w:fill="FFFFFF"/>
          </w:tcPr>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rPr>
                <w:sz w:val="9"/>
              </w:rPr>
            </w:pPr>
          </w:p>
          <w:p>
            <w:pPr>
              <w:pStyle w:val="TableParagraph"/>
              <w:spacing w:before="27"/>
              <w:rPr>
                <w:sz w:val="9"/>
              </w:rPr>
            </w:pPr>
          </w:p>
          <w:p>
            <w:pPr>
              <w:pStyle w:val="TableParagraph"/>
              <w:ind w:left="692"/>
              <w:rPr>
                <w:sz w:val="9"/>
              </w:rPr>
            </w:pPr>
            <w:r>
              <w:rPr>
                <w:w w:val="110"/>
                <w:sz w:val="9"/>
              </w:rPr>
              <w:t>1</w:t>
            </w:r>
            <w:r>
              <w:rPr>
                <w:spacing w:val="-4"/>
                <w:w w:val="110"/>
                <w:sz w:val="9"/>
              </w:rPr>
              <w:t> </w:t>
            </w:r>
            <w:r>
              <w:rPr>
                <w:spacing w:val="-2"/>
                <w:w w:val="110"/>
                <w:sz w:val="9"/>
              </w:rPr>
              <w:t>637,22</w:t>
            </w:r>
          </w:p>
        </w:tc>
        <w:tc>
          <w:tcPr>
            <w:tcW w:w="1845" w:type="dxa"/>
            <w:tcBorders>
              <w:top w:val="single" w:sz="2" w:space="0" w:color="000000"/>
              <w:bottom w:val="single" w:sz="2" w:space="0" w:color="000000"/>
              <w:right w:val="single" w:sz="2" w:space="0" w:color="000000"/>
            </w:tcBorders>
            <w:shd w:val="clear" w:color="auto" w:fill="FFFFFF"/>
          </w:tcPr>
          <w:p>
            <w:pPr>
              <w:pStyle w:val="TableParagraph"/>
              <w:spacing w:line="74" w:lineRule="exact"/>
              <w:ind w:left="14"/>
              <w:rPr>
                <w:rFonts w:ascii="Calibri"/>
                <w:sz w:val="7"/>
              </w:rPr>
            </w:pPr>
            <w:r>
              <w:rPr>
                <w:rFonts w:ascii="Calibri"/>
                <w:spacing w:val="-2"/>
                <w:w w:val="115"/>
                <w:sz w:val="7"/>
              </w:rPr>
              <w:t>La</w:t>
            </w:r>
            <w:r>
              <w:rPr>
                <w:rFonts w:ascii="Calibri"/>
                <w:spacing w:val="2"/>
                <w:w w:val="115"/>
                <w:sz w:val="7"/>
              </w:rPr>
              <w:t> </w:t>
            </w:r>
            <w:r>
              <w:rPr>
                <w:rFonts w:ascii="Calibri"/>
                <w:spacing w:val="-2"/>
                <w:w w:val="115"/>
                <w:sz w:val="7"/>
              </w:rPr>
              <w:t>Sala</w:t>
            </w:r>
            <w:r>
              <w:rPr>
                <w:rFonts w:ascii="Calibri"/>
                <w:spacing w:val="3"/>
                <w:w w:val="115"/>
                <w:sz w:val="7"/>
              </w:rPr>
              <w:t> </w:t>
            </w:r>
            <w:r>
              <w:rPr>
                <w:rFonts w:ascii="Calibri"/>
                <w:spacing w:val="-2"/>
                <w:w w:val="115"/>
                <w:sz w:val="7"/>
              </w:rPr>
              <w:t>Primera</w:t>
            </w:r>
            <w:r>
              <w:rPr>
                <w:rFonts w:ascii="Calibri"/>
                <w:spacing w:val="3"/>
                <w:w w:val="115"/>
                <w:sz w:val="7"/>
              </w:rPr>
              <w:t> </w:t>
            </w:r>
            <w:r>
              <w:rPr>
                <w:rFonts w:ascii="Calibri"/>
                <w:spacing w:val="-2"/>
                <w:w w:val="115"/>
                <w:sz w:val="7"/>
              </w:rPr>
              <w:t>en</w:t>
            </w:r>
            <w:r>
              <w:rPr>
                <w:rFonts w:ascii="Calibri"/>
                <w:spacing w:val="6"/>
                <w:w w:val="115"/>
                <w:sz w:val="7"/>
              </w:rPr>
              <w:t> </w:t>
            </w:r>
            <w:r>
              <w:rPr>
                <w:rFonts w:ascii="Calibri"/>
                <w:spacing w:val="-2"/>
                <w:w w:val="115"/>
                <w:sz w:val="7"/>
              </w:rPr>
              <w:t>Res.</w:t>
            </w:r>
            <w:r>
              <w:rPr>
                <w:rFonts w:ascii="Calibri"/>
                <w:spacing w:val="4"/>
                <w:w w:val="115"/>
                <w:sz w:val="7"/>
              </w:rPr>
              <w:t> </w:t>
            </w:r>
            <w:r>
              <w:rPr>
                <w:rFonts w:ascii="Calibri"/>
                <w:spacing w:val="-2"/>
                <w:w w:val="115"/>
                <w:sz w:val="7"/>
              </w:rPr>
              <w:t>000324-S1-2025</w:t>
            </w:r>
            <w:r>
              <w:rPr>
                <w:rFonts w:ascii="Calibri"/>
                <w:spacing w:val="6"/>
                <w:w w:val="115"/>
                <w:sz w:val="7"/>
              </w:rPr>
              <w:t> </w:t>
            </w:r>
            <w:r>
              <w:rPr>
                <w:rFonts w:ascii="Calibri"/>
                <w:spacing w:val="-2"/>
                <w:w w:val="115"/>
                <w:sz w:val="7"/>
              </w:rPr>
              <w:t>del</w:t>
            </w:r>
            <w:r>
              <w:rPr>
                <w:rFonts w:ascii="Calibri"/>
                <w:spacing w:val="6"/>
                <w:w w:val="115"/>
                <w:sz w:val="7"/>
              </w:rPr>
              <w:t> </w:t>
            </w:r>
            <w:r>
              <w:rPr>
                <w:rFonts w:ascii="Calibri"/>
                <w:spacing w:val="-2"/>
                <w:w w:val="115"/>
                <w:sz w:val="7"/>
              </w:rPr>
              <w:t>07/03/2025</w:t>
            </w:r>
          </w:p>
          <w:p>
            <w:pPr>
              <w:pStyle w:val="TableParagraph"/>
              <w:spacing w:line="276" w:lineRule="auto" w:before="12"/>
              <w:ind w:left="14" w:right="49"/>
              <w:rPr>
                <w:rFonts w:ascii="Calibri" w:hAnsi="Calibri"/>
                <w:sz w:val="7"/>
              </w:rPr>
            </w:pPr>
            <w:r>
              <w:rPr>
                <w:rFonts w:ascii="Calibri" w:hAnsi="Calibri"/>
                <w:w w:val="115"/>
                <w:sz w:val="7"/>
              </w:rPr>
              <w:t>declara</w:t>
            </w:r>
            <w:r>
              <w:rPr>
                <w:rFonts w:ascii="Calibri" w:hAnsi="Calibri"/>
                <w:spacing w:val="-2"/>
                <w:w w:val="115"/>
                <w:sz w:val="7"/>
              </w:rPr>
              <w:t> </w:t>
            </w:r>
            <w:r>
              <w:rPr>
                <w:rFonts w:ascii="Calibri" w:hAnsi="Calibri"/>
                <w:w w:val="115"/>
                <w:sz w:val="7"/>
              </w:rPr>
              <w:t>con lugar</w:t>
            </w:r>
            <w:r>
              <w:rPr>
                <w:rFonts w:ascii="Calibri" w:hAnsi="Calibri"/>
                <w:spacing w:val="-2"/>
                <w:w w:val="115"/>
                <w:sz w:val="7"/>
              </w:rPr>
              <w:t> </w:t>
            </w:r>
            <w:r>
              <w:rPr>
                <w:rFonts w:ascii="Calibri" w:hAnsi="Calibri"/>
                <w:w w:val="115"/>
                <w:sz w:val="7"/>
              </w:rPr>
              <w:t>el recurso promovido por</w:t>
            </w:r>
            <w:r>
              <w:rPr>
                <w:rFonts w:ascii="Calibri" w:hAnsi="Calibri"/>
                <w:spacing w:val="-2"/>
                <w:w w:val="115"/>
                <w:sz w:val="7"/>
              </w:rPr>
              <w:t> </w:t>
            </w:r>
            <w:r>
              <w:rPr>
                <w:rFonts w:ascii="Calibri" w:hAnsi="Calibri"/>
                <w:w w:val="115"/>
                <w:sz w:val="7"/>
              </w:rPr>
              <w:t>los</w:t>
            </w:r>
            <w:r>
              <w:rPr>
                <w:rFonts w:ascii="Calibri" w:hAnsi="Calibri"/>
                <w:spacing w:val="40"/>
                <w:w w:val="115"/>
                <w:sz w:val="7"/>
              </w:rPr>
              <w:t> </w:t>
            </w:r>
            <w:r>
              <w:rPr>
                <w:rFonts w:ascii="Calibri" w:hAnsi="Calibri"/>
                <w:w w:val="115"/>
                <w:sz w:val="7"/>
              </w:rPr>
              <w:t>ejecutantes:</w:t>
            </w:r>
            <w:r>
              <w:rPr>
                <w:rFonts w:ascii="Calibri" w:hAnsi="Calibri"/>
                <w:spacing w:val="-5"/>
                <w:w w:val="115"/>
                <w:sz w:val="7"/>
              </w:rPr>
              <w:t> </w:t>
            </w:r>
            <w:r>
              <w:rPr>
                <w:rFonts w:ascii="Calibri" w:hAnsi="Calibri"/>
                <w:w w:val="115"/>
                <w:sz w:val="7"/>
              </w:rPr>
              <w:t>Se</w:t>
            </w:r>
            <w:r>
              <w:rPr>
                <w:rFonts w:ascii="Calibri" w:hAnsi="Calibri"/>
                <w:spacing w:val="-5"/>
                <w:w w:val="115"/>
                <w:sz w:val="7"/>
              </w:rPr>
              <w:t> </w:t>
            </w:r>
            <w:r>
              <w:rPr>
                <w:rFonts w:ascii="Calibri" w:hAnsi="Calibri"/>
                <w:w w:val="115"/>
                <w:sz w:val="7"/>
              </w:rPr>
              <w:t>fija</w:t>
            </w:r>
            <w:r>
              <w:rPr>
                <w:rFonts w:ascii="Calibri" w:hAnsi="Calibri"/>
                <w:spacing w:val="-4"/>
                <w:w w:val="115"/>
                <w:sz w:val="7"/>
              </w:rPr>
              <w:t> </w:t>
            </w:r>
            <w:r>
              <w:rPr>
                <w:rFonts w:ascii="Calibri" w:hAnsi="Calibri"/>
                <w:w w:val="115"/>
                <w:sz w:val="7"/>
              </w:rPr>
              <w:t>el</w:t>
            </w:r>
            <w:r>
              <w:rPr>
                <w:rFonts w:ascii="Calibri" w:hAnsi="Calibri"/>
                <w:spacing w:val="-5"/>
                <w:w w:val="115"/>
                <w:sz w:val="7"/>
              </w:rPr>
              <w:t> </w:t>
            </w:r>
            <w:r>
              <w:rPr>
                <w:rFonts w:ascii="Calibri" w:hAnsi="Calibri"/>
                <w:w w:val="115"/>
                <w:sz w:val="7"/>
              </w:rPr>
              <w:t>daño</w:t>
            </w:r>
            <w:r>
              <w:rPr>
                <w:rFonts w:ascii="Calibri" w:hAnsi="Calibri"/>
                <w:spacing w:val="-4"/>
                <w:w w:val="115"/>
                <w:sz w:val="7"/>
              </w:rPr>
              <w:t> </w:t>
            </w:r>
            <w:r>
              <w:rPr>
                <w:rFonts w:ascii="Calibri" w:hAnsi="Calibri"/>
                <w:w w:val="115"/>
                <w:sz w:val="7"/>
              </w:rPr>
              <w:t>material</w:t>
            </w:r>
            <w:r>
              <w:rPr>
                <w:rFonts w:ascii="Calibri" w:hAnsi="Calibri"/>
                <w:spacing w:val="-4"/>
                <w:w w:val="115"/>
                <w:sz w:val="7"/>
              </w:rPr>
              <w:t> </w:t>
            </w:r>
            <w:r>
              <w:rPr>
                <w:rFonts w:ascii="Calibri" w:hAnsi="Calibri"/>
                <w:w w:val="115"/>
                <w:sz w:val="7"/>
              </w:rPr>
              <w:t>para</w:t>
            </w:r>
            <w:r>
              <w:rPr>
                <w:rFonts w:ascii="Calibri" w:hAnsi="Calibri"/>
                <w:spacing w:val="-4"/>
                <w:w w:val="115"/>
                <w:sz w:val="7"/>
              </w:rPr>
              <w:t> </w:t>
            </w:r>
            <w:r>
              <w:rPr>
                <w:rFonts w:ascii="Calibri" w:hAnsi="Calibri"/>
                <w:w w:val="115"/>
                <w:sz w:val="7"/>
              </w:rPr>
              <w:t>Eligio</w:t>
            </w:r>
            <w:r>
              <w:rPr>
                <w:rFonts w:ascii="Calibri" w:hAnsi="Calibri"/>
                <w:spacing w:val="-4"/>
                <w:w w:val="115"/>
                <w:sz w:val="7"/>
              </w:rPr>
              <w:t> </w:t>
            </w:r>
            <w:r>
              <w:rPr>
                <w:rFonts w:ascii="Calibri" w:hAnsi="Calibri"/>
                <w:w w:val="115"/>
                <w:sz w:val="7"/>
              </w:rPr>
              <w:t>Vargas</w:t>
            </w:r>
            <w:r>
              <w:rPr>
                <w:rFonts w:ascii="Calibri" w:hAnsi="Calibri"/>
                <w:spacing w:val="40"/>
                <w:w w:val="115"/>
                <w:sz w:val="7"/>
              </w:rPr>
              <w:t> </w:t>
            </w:r>
            <w:r>
              <w:rPr>
                <w:rFonts w:ascii="Calibri" w:hAnsi="Calibri"/>
                <w:w w:val="115"/>
                <w:sz w:val="7"/>
              </w:rPr>
              <w:t>Gómez</w:t>
            </w:r>
            <w:r>
              <w:rPr>
                <w:rFonts w:ascii="Calibri" w:hAnsi="Calibri"/>
                <w:spacing w:val="-5"/>
                <w:w w:val="115"/>
                <w:sz w:val="7"/>
              </w:rPr>
              <w:t> </w:t>
            </w:r>
            <w:r>
              <w:rPr>
                <w:rFonts w:ascii="Calibri" w:hAnsi="Calibri"/>
                <w:w w:val="115"/>
                <w:sz w:val="7"/>
              </w:rPr>
              <w:t>en</w:t>
            </w:r>
            <w:r>
              <w:rPr>
                <w:rFonts w:ascii="Calibri" w:hAnsi="Calibri"/>
                <w:spacing w:val="-5"/>
                <w:w w:val="115"/>
                <w:sz w:val="7"/>
              </w:rPr>
              <w:t> </w:t>
            </w:r>
            <w:r>
              <w:rPr>
                <w:rFonts w:ascii="Calibri" w:hAnsi="Calibri"/>
                <w:w w:val="115"/>
                <w:sz w:val="7"/>
              </w:rPr>
              <w:t>₡24.180.000,00,</w:t>
            </w:r>
            <w:r>
              <w:rPr>
                <w:rFonts w:ascii="Calibri" w:hAnsi="Calibri"/>
                <w:spacing w:val="-4"/>
                <w:w w:val="115"/>
                <w:sz w:val="7"/>
              </w:rPr>
              <w:t> </w:t>
            </w:r>
            <w:r>
              <w:rPr>
                <w:rFonts w:ascii="Calibri" w:hAnsi="Calibri"/>
                <w:w w:val="115"/>
                <w:sz w:val="7"/>
              </w:rPr>
              <w:t>Ana</w:t>
            </w:r>
            <w:r>
              <w:rPr>
                <w:rFonts w:ascii="Calibri" w:hAnsi="Calibri"/>
                <w:spacing w:val="-5"/>
                <w:w w:val="115"/>
                <w:sz w:val="7"/>
              </w:rPr>
              <w:t> </w:t>
            </w:r>
            <w:r>
              <w:rPr>
                <w:rFonts w:ascii="Calibri" w:hAnsi="Calibri"/>
                <w:w w:val="115"/>
                <w:sz w:val="7"/>
              </w:rPr>
              <w:t>Cecilia</w:t>
            </w:r>
            <w:r>
              <w:rPr>
                <w:rFonts w:ascii="Calibri" w:hAnsi="Calibri"/>
                <w:spacing w:val="-4"/>
                <w:w w:val="115"/>
                <w:sz w:val="7"/>
              </w:rPr>
              <w:t> </w:t>
            </w:r>
            <w:r>
              <w:rPr>
                <w:rFonts w:ascii="Calibri" w:hAnsi="Calibri"/>
                <w:w w:val="115"/>
                <w:sz w:val="7"/>
              </w:rPr>
              <w:t>Badilla</w:t>
            </w:r>
            <w:r>
              <w:rPr>
                <w:rFonts w:ascii="Calibri" w:hAnsi="Calibri"/>
                <w:spacing w:val="-5"/>
                <w:w w:val="115"/>
                <w:sz w:val="7"/>
              </w:rPr>
              <w:t> </w:t>
            </w:r>
            <w:r>
              <w:rPr>
                <w:rFonts w:ascii="Calibri" w:hAnsi="Calibri"/>
                <w:w w:val="115"/>
                <w:sz w:val="7"/>
              </w:rPr>
              <w:t>Rojas</w:t>
            </w:r>
            <w:r>
              <w:rPr>
                <w:rFonts w:ascii="Calibri" w:hAnsi="Calibri"/>
                <w:spacing w:val="-4"/>
                <w:w w:val="115"/>
                <w:sz w:val="7"/>
              </w:rPr>
              <w:t> </w:t>
            </w:r>
            <w:r>
              <w:rPr>
                <w:rFonts w:ascii="Calibri" w:hAnsi="Calibri"/>
                <w:w w:val="115"/>
                <w:sz w:val="7"/>
              </w:rPr>
              <w:t>en</w:t>
            </w:r>
          </w:p>
          <w:p>
            <w:pPr>
              <w:pStyle w:val="TableParagraph"/>
              <w:spacing w:line="276" w:lineRule="auto"/>
              <w:ind w:left="14" w:right="24"/>
              <w:rPr>
                <w:rFonts w:ascii="Calibri" w:hAnsi="Calibri"/>
                <w:sz w:val="7"/>
              </w:rPr>
            </w:pPr>
            <w:r>
              <w:rPr>
                <w:rFonts w:ascii="Calibri" w:hAnsi="Calibri"/>
                <w:w w:val="115"/>
                <w:sz w:val="7"/>
              </w:rPr>
              <w:t>₡26.008.000,00, la</w:t>
            </w:r>
            <w:r>
              <w:rPr>
                <w:rFonts w:ascii="Calibri" w:hAnsi="Calibri"/>
                <w:spacing w:val="-1"/>
                <w:w w:val="115"/>
                <w:sz w:val="7"/>
              </w:rPr>
              <w:t> </w:t>
            </w:r>
            <w:r>
              <w:rPr>
                <w:rFonts w:ascii="Calibri" w:hAnsi="Calibri"/>
                <w:w w:val="115"/>
                <w:sz w:val="7"/>
              </w:rPr>
              <w:t>sucesión de Nuria</w:t>
            </w:r>
            <w:r>
              <w:rPr>
                <w:rFonts w:ascii="Calibri" w:hAnsi="Calibri"/>
                <w:spacing w:val="-1"/>
                <w:w w:val="115"/>
                <w:sz w:val="7"/>
              </w:rPr>
              <w:t> </w:t>
            </w:r>
            <w:r>
              <w:rPr>
                <w:rFonts w:ascii="Calibri" w:hAnsi="Calibri"/>
                <w:w w:val="115"/>
                <w:sz w:val="7"/>
              </w:rPr>
              <w:t>María</w:t>
            </w:r>
            <w:r>
              <w:rPr>
                <w:rFonts w:ascii="Calibri" w:hAnsi="Calibri"/>
                <w:spacing w:val="16"/>
                <w:w w:val="115"/>
                <w:sz w:val="7"/>
              </w:rPr>
              <w:t> </w:t>
            </w:r>
            <w:r>
              <w:rPr>
                <w:rFonts w:ascii="Calibri" w:hAnsi="Calibri"/>
                <w:w w:val="115"/>
                <w:sz w:val="7"/>
              </w:rPr>
              <w:t>amora</w:t>
            </w:r>
            <w:r>
              <w:rPr>
                <w:rFonts w:ascii="Calibri" w:hAnsi="Calibri"/>
                <w:spacing w:val="40"/>
                <w:w w:val="115"/>
                <w:sz w:val="7"/>
              </w:rPr>
              <w:t> </w:t>
            </w:r>
            <w:r>
              <w:rPr>
                <w:rFonts w:ascii="Calibri" w:hAnsi="Calibri"/>
                <w:w w:val="115"/>
                <w:sz w:val="7"/>
              </w:rPr>
              <w:t>Chacón en ₡37.713.000,00 y</w:t>
            </w:r>
            <w:r>
              <w:rPr>
                <w:rFonts w:ascii="Calibri" w:hAnsi="Calibri"/>
                <w:spacing w:val="-2"/>
                <w:w w:val="115"/>
                <w:sz w:val="7"/>
              </w:rPr>
              <w:t> </w:t>
            </w:r>
            <w:r>
              <w:rPr>
                <w:rFonts w:ascii="Calibri" w:hAnsi="Calibri"/>
                <w:w w:val="115"/>
                <w:sz w:val="7"/>
              </w:rPr>
              <w:t>de María</w:t>
            </w:r>
            <w:r>
              <w:rPr>
                <w:rFonts w:ascii="Calibri" w:hAnsi="Calibri"/>
                <w:spacing w:val="-2"/>
                <w:w w:val="115"/>
                <w:sz w:val="7"/>
              </w:rPr>
              <w:t> </w:t>
            </w:r>
            <w:r>
              <w:rPr>
                <w:rFonts w:ascii="Calibri" w:hAnsi="Calibri"/>
                <w:w w:val="115"/>
                <w:sz w:val="7"/>
              </w:rPr>
              <w:t>Cristina</w:t>
            </w:r>
            <w:r>
              <w:rPr>
                <w:rFonts w:ascii="Calibri" w:hAnsi="Calibri"/>
                <w:spacing w:val="-2"/>
                <w:w w:val="115"/>
                <w:sz w:val="7"/>
              </w:rPr>
              <w:t> </w:t>
            </w:r>
            <w:r>
              <w:rPr>
                <w:rFonts w:ascii="Calibri" w:hAnsi="Calibri"/>
                <w:w w:val="115"/>
                <w:sz w:val="7"/>
              </w:rPr>
              <w:t>Vargas</w:t>
            </w:r>
            <w:r>
              <w:rPr>
                <w:rFonts w:ascii="Calibri" w:hAnsi="Calibri"/>
                <w:spacing w:val="40"/>
                <w:w w:val="115"/>
                <w:sz w:val="7"/>
              </w:rPr>
              <w:t> </w:t>
            </w:r>
            <w:r>
              <w:rPr>
                <w:rFonts w:ascii="Calibri" w:hAnsi="Calibri"/>
                <w:w w:val="115"/>
                <w:sz w:val="7"/>
              </w:rPr>
              <w:t>Díaz</w:t>
            </w:r>
            <w:r>
              <w:rPr>
                <w:rFonts w:ascii="Calibri" w:hAnsi="Calibri"/>
                <w:spacing w:val="-2"/>
                <w:w w:val="115"/>
                <w:sz w:val="7"/>
              </w:rPr>
              <w:t> </w:t>
            </w:r>
            <w:r>
              <w:rPr>
                <w:rFonts w:ascii="Calibri" w:hAnsi="Calibri"/>
                <w:w w:val="115"/>
                <w:sz w:val="7"/>
              </w:rPr>
              <w:t>en</w:t>
            </w:r>
            <w:r>
              <w:rPr>
                <w:rFonts w:ascii="Calibri" w:hAnsi="Calibri"/>
                <w:spacing w:val="-1"/>
                <w:w w:val="115"/>
                <w:sz w:val="7"/>
              </w:rPr>
              <w:t> </w:t>
            </w:r>
            <w:r>
              <w:rPr>
                <w:rFonts w:ascii="Calibri" w:hAnsi="Calibri"/>
                <w:w w:val="115"/>
                <w:sz w:val="7"/>
              </w:rPr>
              <w:t>₡20.140.000,00,</w:t>
            </w:r>
            <w:r>
              <w:rPr>
                <w:rFonts w:ascii="Calibri" w:hAnsi="Calibri"/>
                <w:spacing w:val="-2"/>
                <w:w w:val="115"/>
                <w:sz w:val="7"/>
              </w:rPr>
              <w:t> </w:t>
            </w:r>
            <w:r>
              <w:rPr>
                <w:rFonts w:ascii="Calibri" w:hAnsi="Calibri"/>
                <w:w w:val="115"/>
                <w:sz w:val="7"/>
              </w:rPr>
              <w:t>para</w:t>
            </w:r>
            <w:r>
              <w:rPr>
                <w:rFonts w:ascii="Calibri" w:hAnsi="Calibri"/>
                <w:spacing w:val="-3"/>
                <w:w w:val="115"/>
                <w:sz w:val="7"/>
              </w:rPr>
              <w:t> </w:t>
            </w:r>
            <w:r>
              <w:rPr>
                <w:rFonts w:ascii="Calibri" w:hAnsi="Calibri"/>
                <w:w w:val="115"/>
                <w:sz w:val="7"/>
              </w:rPr>
              <w:t>un</w:t>
            </w:r>
            <w:r>
              <w:rPr>
                <w:rFonts w:ascii="Calibri" w:hAnsi="Calibri"/>
                <w:spacing w:val="-1"/>
                <w:w w:val="115"/>
                <w:sz w:val="7"/>
              </w:rPr>
              <w:t> </w:t>
            </w:r>
            <w:r>
              <w:rPr>
                <w:rFonts w:ascii="Calibri" w:hAnsi="Calibri"/>
                <w:w w:val="115"/>
                <w:sz w:val="7"/>
              </w:rPr>
              <w:t>monto</w:t>
            </w:r>
            <w:r>
              <w:rPr>
                <w:rFonts w:ascii="Calibri" w:hAnsi="Calibri"/>
                <w:spacing w:val="-1"/>
                <w:w w:val="115"/>
                <w:sz w:val="7"/>
              </w:rPr>
              <w:t> </w:t>
            </w:r>
            <w:r>
              <w:rPr>
                <w:rFonts w:ascii="Calibri" w:hAnsi="Calibri"/>
                <w:w w:val="115"/>
                <w:sz w:val="7"/>
              </w:rPr>
              <w:t>total</w:t>
            </w:r>
            <w:r>
              <w:rPr>
                <w:rFonts w:ascii="Calibri" w:hAnsi="Calibri"/>
                <w:spacing w:val="-1"/>
                <w:w w:val="115"/>
                <w:sz w:val="7"/>
              </w:rPr>
              <w:t> </w:t>
            </w:r>
            <w:r>
              <w:rPr>
                <w:rFonts w:ascii="Calibri" w:hAnsi="Calibri"/>
                <w:w w:val="115"/>
                <w:sz w:val="7"/>
              </w:rPr>
              <w:t>de</w:t>
            </w:r>
            <w:r>
              <w:rPr>
                <w:rFonts w:ascii="Calibri" w:hAnsi="Calibri"/>
                <w:spacing w:val="40"/>
                <w:w w:val="115"/>
                <w:sz w:val="7"/>
              </w:rPr>
              <w:t> </w:t>
            </w:r>
            <w:r>
              <w:rPr>
                <w:rFonts w:ascii="Calibri" w:hAnsi="Calibri"/>
                <w:spacing w:val="-2"/>
                <w:w w:val="115"/>
                <w:sz w:val="7"/>
              </w:rPr>
              <w:t>108,041,000,00 que se dividen entre las 3 instituciones,</w:t>
            </w:r>
            <w:r>
              <w:rPr>
                <w:rFonts w:ascii="Calibri" w:hAnsi="Calibri"/>
                <w:spacing w:val="40"/>
                <w:w w:val="115"/>
                <w:sz w:val="7"/>
              </w:rPr>
              <w:t> </w:t>
            </w:r>
            <w:r>
              <w:rPr>
                <w:rFonts w:ascii="Calibri" w:hAnsi="Calibri"/>
                <w:b/>
                <w:w w:val="115"/>
                <w:sz w:val="7"/>
              </w:rPr>
              <w:t>por lo que cada</w:t>
            </w:r>
            <w:r>
              <w:rPr>
                <w:rFonts w:ascii="Calibri" w:hAnsi="Calibri"/>
                <w:b/>
                <w:spacing w:val="-1"/>
                <w:w w:val="115"/>
                <w:sz w:val="7"/>
              </w:rPr>
              <w:t> </w:t>
            </w:r>
            <w:r>
              <w:rPr>
                <w:rFonts w:ascii="Calibri" w:hAnsi="Calibri"/>
                <w:b/>
                <w:w w:val="115"/>
                <w:sz w:val="7"/>
              </w:rPr>
              <w:t>una</w:t>
            </w:r>
            <w:r>
              <w:rPr>
                <w:rFonts w:ascii="Calibri" w:hAnsi="Calibri"/>
                <w:b/>
                <w:spacing w:val="-1"/>
                <w:w w:val="115"/>
                <w:sz w:val="7"/>
              </w:rPr>
              <w:t> </w:t>
            </w:r>
            <w:r>
              <w:rPr>
                <w:rFonts w:ascii="Calibri" w:hAnsi="Calibri"/>
                <w:b/>
                <w:w w:val="115"/>
                <w:sz w:val="7"/>
              </w:rPr>
              <w:t>paga</w:t>
            </w:r>
            <w:r>
              <w:rPr>
                <w:rFonts w:ascii="Calibri" w:hAnsi="Calibri"/>
                <w:b/>
                <w:spacing w:val="-1"/>
                <w:w w:val="115"/>
                <w:sz w:val="7"/>
              </w:rPr>
              <w:t> </w:t>
            </w:r>
            <w:r>
              <w:rPr>
                <w:rFonts w:ascii="Calibri" w:hAnsi="Calibri"/>
                <w:b/>
                <w:w w:val="115"/>
                <w:sz w:val="7"/>
              </w:rPr>
              <w:t>la</w:t>
            </w:r>
            <w:r>
              <w:rPr>
                <w:rFonts w:ascii="Calibri" w:hAnsi="Calibri"/>
                <w:b/>
                <w:spacing w:val="-1"/>
                <w:w w:val="115"/>
                <w:sz w:val="7"/>
              </w:rPr>
              <w:t> </w:t>
            </w:r>
            <w:r>
              <w:rPr>
                <w:rFonts w:ascii="Calibri" w:hAnsi="Calibri"/>
                <w:b/>
                <w:w w:val="115"/>
                <w:sz w:val="7"/>
              </w:rPr>
              <w:t>suma</w:t>
            </w:r>
            <w:r>
              <w:rPr>
                <w:rFonts w:ascii="Calibri" w:hAnsi="Calibri"/>
                <w:b/>
                <w:spacing w:val="-1"/>
                <w:w w:val="115"/>
                <w:sz w:val="7"/>
              </w:rPr>
              <w:t> </w:t>
            </w:r>
            <w:r>
              <w:rPr>
                <w:rFonts w:ascii="Calibri" w:hAnsi="Calibri"/>
                <w:b/>
                <w:w w:val="115"/>
                <w:sz w:val="7"/>
              </w:rPr>
              <w:t>de</w:t>
            </w:r>
            <w:r>
              <w:rPr>
                <w:rFonts w:ascii="Calibri" w:hAnsi="Calibri"/>
                <w:b/>
                <w:spacing w:val="40"/>
                <w:w w:val="115"/>
                <w:sz w:val="7"/>
              </w:rPr>
              <w:t> </w:t>
            </w:r>
            <w:r>
              <w:rPr>
                <w:rFonts w:ascii="Calibri" w:hAnsi="Calibri"/>
                <w:b/>
                <w:w w:val="115"/>
                <w:sz w:val="7"/>
              </w:rPr>
              <w:t>36,013,666</w:t>
            </w:r>
            <w:r>
              <w:rPr>
                <w:rFonts w:ascii="Calibri" w:hAnsi="Calibri"/>
                <w:w w:val="115"/>
                <w:sz w:val="7"/>
              </w:rPr>
              <w:t>,montos</w:t>
            </w:r>
            <w:r>
              <w:rPr>
                <w:rFonts w:ascii="Calibri" w:hAnsi="Calibri"/>
                <w:spacing w:val="-5"/>
                <w:w w:val="115"/>
                <w:sz w:val="7"/>
              </w:rPr>
              <w:t> </w:t>
            </w:r>
            <w:r>
              <w:rPr>
                <w:rFonts w:ascii="Calibri" w:hAnsi="Calibri"/>
                <w:w w:val="115"/>
                <w:sz w:val="7"/>
              </w:rPr>
              <w:t>que</w:t>
            </w:r>
            <w:r>
              <w:rPr>
                <w:rFonts w:ascii="Calibri" w:hAnsi="Calibri"/>
                <w:spacing w:val="-5"/>
                <w:w w:val="115"/>
                <w:sz w:val="7"/>
              </w:rPr>
              <w:t> </w:t>
            </w:r>
            <w:r>
              <w:rPr>
                <w:rFonts w:ascii="Calibri" w:hAnsi="Calibri"/>
                <w:w w:val="115"/>
                <w:sz w:val="7"/>
              </w:rPr>
              <w:t>devengarán</w:t>
            </w:r>
            <w:r>
              <w:rPr>
                <w:rFonts w:ascii="Calibri" w:hAnsi="Calibri"/>
                <w:spacing w:val="-4"/>
                <w:w w:val="115"/>
                <w:sz w:val="7"/>
              </w:rPr>
              <w:t> </w:t>
            </w:r>
            <w:r>
              <w:rPr>
                <w:rFonts w:ascii="Calibri" w:hAnsi="Calibri"/>
                <w:w w:val="115"/>
                <w:sz w:val="7"/>
              </w:rPr>
              <w:t>intereses</w:t>
            </w:r>
            <w:r>
              <w:rPr>
                <w:rFonts w:ascii="Calibri" w:hAnsi="Calibri"/>
                <w:spacing w:val="-5"/>
                <w:w w:val="115"/>
                <w:sz w:val="7"/>
              </w:rPr>
              <w:t> </w:t>
            </w:r>
            <w:r>
              <w:rPr>
                <w:rFonts w:ascii="Calibri" w:hAnsi="Calibri"/>
                <w:w w:val="115"/>
                <w:sz w:val="7"/>
              </w:rPr>
              <w:t>desde</w:t>
            </w:r>
            <w:r>
              <w:rPr>
                <w:rFonts w:ascii="Calibri" w:hAnsi="Calibri"/>
                <w:spacing w:val="-4"/>
                <w:w w:val="115"/>
                <w:sz w:val="7"/>
              </w:rPr>
              <w:t> </w:t>
            </w:r>
            <w:r>
              <w:rPr>
                <w:rFonts w:ascii="Calibri" w:hAnsi="Calibri"/>
                <w:w w:val="115"/>
                <w:sz w:val="7"/>
              </w:rPr>
              <w:t>la</w:t>
            </w:r>
            <w:r>
              <w:rPr>
                <w:rFonts w:ascii="Calibri" w:hAnsi="Calibri"/>
                <w:spacing w:val="40"/>
                <w:w w:val="115"/>
                <w:sz w:val="7"/>
              </w:rPr>
              <w:t> </w:t>
            </w:r>
            <w:r>
              <w:rPr>
                <w:rFonts w:ascii="Calibri" w:hAnsi="Calibri"/>
                <w:w w:val="115"/>
                <w:sz w:val="7"/>
              </w:rPr>
              <w:t>firmeza</w:t>
            </w:r>
            <w:r>
              <w:rPr>
                <w:rFonts w:ascii="Calibri" w:hAnsi="Calibri"/>
                <w:spacing w:val="-4"/>
                <w:w w:val="115"/>
                <w:sz w:val="7"/>
              </w:rPr>
              <w:t> </w:t>
            </w:r>
            <w:r>
              <w:rPr>
                <w:rFonts w:ascii="Calibri" w:hAnsi="Calibri"/>
                <w:w w:val="115"/>
                <w:sz w:val="7"/>
              </w:rPr>
              <w:t>de</w:t>
            </w:r>
            <w:r>
              <w:rPr>
                <w:rFonts w:ascii="Calibri" w:hAnsi="Calibri"/>
                <w:spacing w:val="-3"/>
                <w:w w:val="115"/>
                <w:sz w:val="7"/>
              </w:rPr>
              <w:t> </w:t>
            </w:r>
            <w:r>
              <w:rPr>
                <w:rFonts w:ascii="Calibri" w:hAnsi="Calibri"/>
                <w:w w:val="115"/>
                <w:sz w:val="7"/>
              </w:rPr>
              <w:t>esta</w:t>
            </w:r>
            <w:r>
              <w:rPr>
                <w:rFonts w:ascii="Calibri" w:hAnsi="Calibri"/>
                <w:spacing w:val="-4"/>
                <w:w w:val="115"/>
                <w:sz w:val="7"/>
              </w:rPr>
              <w:t> </w:t>
            </w:r>
            <w:r>
              <w:rPr>
                <w:rFonts w:ascii="Calibri" w:hAnsi="Calibri"/>
                <w:w w:val="115"/>
                <w:sz w:val="7"/>
              </w:rPr>
              <w:t>sentencia</w:t>
            </w:r>
            <w:r>
              <w:rPr>
                <w:rFonts w:ascii="Calibri" w:hAnsi="Calibri"/>
                <w:spacing w:val="-4"/>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hasta</w:t>
            </w:r>
            <w:r>
              <w:rPr>
                <w:rFonts w:ascii="Calibri" w:hAnsi="Calibri"/>
                <w:spacing w:val="-4"/>
                <w:w w:val="115"/>
                <w:sz w:val="7"/>
              </w:rPr>
              <w:t> </w:t>
            </w:r>
            <w:r>
              <w:rPr>
                <w:rFonts w:ascii="Calibri" w:hAnsi="Calibri"/>
                <w:w w:val="115"/>
                <w:sz w:val="7"/>
              </w:rPr>
              <w:t>su</w:t>
            </w:r>
            <w:r>
              <w:rPr>
                <w:rFonts w:ascii="Calibri" w:hAnsi="Calibri"/>
                <w:spacing w:val="-3"/>
                <w:w w:val="115"/>
                <w:sz w:val="7"/>
              </w:rPr>
              <w:t> </w:t>
            </w:r>
            <w:r>
              <w:rPr>
                <w:rFonts w:ascii="Calibri" w:hAnsi="Calibri"/>
                <w:w w:val="115"/>
                <w:sz w:val="7"/>
              </w:rPr>
              <w:t>efectivo</w:t>
            </w:r>
            <w:r>
              <w:rPr>
                <w:rFonts w:ascii="Calibri" w:hAnsi="Calibri"/>
                <w:spacing w:val="-2"/>
                <w:w w:val="115"/>
                <w:sz w:val="7"/>
              </w:rPr>
              <w:t> </w:t>
            </w:r>
            <w:r>
              <w:rPr>
                <w:rFonts w:ascii="Calibri" w:hAnsi="Calibri"/>
                <w:w w:val="115"/>
                <w:sz w:val="7"/>
              </w:rPr>
              <w:t>pago.</w:t>
            </w:r>
            <w:r>
              <w:rPr>
                <w:rFonts w:ascii="Calibri" w:hAnsi="Calibri"/>
                <w:spacing w:val="-3"/>
                <w:w w:val="115"/>
                <w:sz w:val="7"/>
              </w:rPr>
              <w:t> </w:t>
            </w:r>
            <w:r>
              <w:rPr>
                <w:rFonts w:ascii="Calibri" w:hAnsi="Calibri"/>
                <w:w w:val="115"/>
                <w:sz w:val="7"/>
              </w:rPr>
              <w:t>Las</w:t>
            </w:r>
            <w:r>
              <w:rPr>
                <w:rFonts w:ascii="Calibri" w:hAnsi="Calibri"/>
                <w:spacing w:val="40"/>
                <w:w w:val="115"/>
                <w:sz w:val="7"/>
              </w:rPr>
              <w:t> </w:t>
            </w:r>
            <w:r>
              <w:rPr>
                <w:rFonts w:ascii="Calibri" w:hAnsi="Calibri"/>
                <w:w w:val="115"/>
                <w:sz w:val="7"/>
              </w:rPr>
              <w:t>costas derivadas de</w:t>
            </w:r>
            <w:r>
              <w:rPr>
                <w:rFonts w:ascii="Calibri" w:hAnsi="Calibri"/>
                <w:spacing w:val="-1"/>
                <w:w w:val="115"/>
                <w:sz w:val="7"/>
              </w:rPr>
              <w:t> </w:t>
            </w:r>
            <w:r>
              <w:rPr>
                <w:rFonts w:ascii="Calibri" w:hAnsi="Calibri"/>
                <w:w w:val="115"/>
                <w:sz w:val="7"/>
              </w:rPr>
              <w:t>esta</w:t>
            </w:r>
            <w:r>
              <w:rPr>
                <w:rFonts w:ascii="Calibri" w:hAnsi="Calibri"/>
                <w:spacing w:val="-1"/>
                <w:w w:val="115"/>
                <w:sz w:val="7"/>
              </w:rPr>
              <w:t> </w:t>
            </w:r>
            <w:r>
              <w:rPr>
                <w:rFonts w:ascii="Calibri" w:hAnsi="Calibri"/>
                <w:w w:val="115"/>
                <w:sz w:val="7"/>
              </w:rPr>
              <w:t>condena</w:t>
            </w:r>
            <w:r>
              <w:rPr>
                <w:rFonts w:ascii="Calibri" w:hAnsi="Calibri"/>
                <w:spacing w:val="-1"/>
                <w:w w:val="115"/>
                <w:sz w:val="7"/>
              </w:rPr>
              <w:t> </w:t>
            </w:r>
            <w:r>
              <w:rPr>
                <w:rFonts w:ascii="Calibri" w:hAnsi="Calibri"/>
                <w:w w:val="115"/>
                <w:sz w:val="7"/>
              </w:rPr>
              <w:t>se</w:t>
            </w:r>
            <w:r>
              <w:rPr>
                <w:rFonts w:ascii="Calibri" w:hAnsi="Calibri"/>
                <w:spacing w:val="-1"/>
                <w:w w:val="115"/>
                <w:sz w:val="7"/>
              </w:rPr>
              <w:t> </w:t>
            </w:r>
            <w:r>
              <w:rPr>
                <w:rFonts w:ascii="Calibri" w:hAnsi="Calibri"/>
                <w:w w:val="115"/>
                <w:sz w:val="7"/>
              </w:rPr>
              <w:t>fijarán en la</w:t>
            </w:r>
            <w:r>
              <w:rPr>
                <w:rFonts w:ascii="Calibri" w:hAnsi="Calibri"/>
                <w:spacing w:val="40"/>
                <w:w w:val="115"/>
                <w:sz w:val="7"/>
              </w:rPr>
              <w:t> </w:t>
            </w:r>
            <w:r>
              <w:rPr>
                <w:rFonts w:ascii="Calibri" w:hAnsi="Calibri"/>
                <w:w w:val="115"/>
                <w:sz w:val="7"/>
              </w:rPr>
              <w:t>instancia</w:t>
            </w:r>
            <w:r>
              <w:rPr>
                <w:rFonts w:ascii="Calibri" w:hAnsi="Calibri"/>
                <w:spacing w:val="-5"/>
                <w:w w:val="115"/>
                <w:sz w:val="7"/>
              </w:rPr>
              <w:t> </w:t>
            </w:r>
            <w:r>
              <w:rPr>
                <w:rFonts w:ascii="Calibri" w:hAnsi="Calibri"/>
                <w:w w:val="115"/>
                <w:sz w:val="7"/>
              </w:rPr>
              <w:t>precedente,</w:t>
            </w:r>
            <w:r>
              <w:rPr>
                <w:rFonts w:ascii="Calibri" w:hAnsi="Calibri"/>
                <w:spacing w:val="-3"/>
                <w:w w:val="115"/>
                <w:sz w:val="7"/>
              </w:rPr>
              <w:t> </w:t>
            </w:r>
            <w:r>
              <w:rPr>
                <w:rFonts w:ascii="Calibri" w:hAnsi="Calibri"/>
                <w:w w:val="115"/>
                <w:sz w:val="7"/>
              </w:rPr>
              <w:t>a</w:t>
            </w:r>
            <w:r>
              <w:rPr>
                <w:rFonts w:ascii="Calibri" w:hAnsi="Calibri"/>
                <w:spacing w:val="-5"/>
                <w:w w:val="115"/>
                <w:sz w:val="7"/>
              </w:rPr>
              <w:t> </w:t>
            </w:r>
            <w:r>
              <w:rPr>
                <w:rFonts w:ascii="Calibri" w:hAnsi="Calibri"/>
                <w:w w:val="115"/>
                <w:sz w:val="7"/>
              </w:rPr>
              <w:t>fin</w:t>
            </w:r>
            <w:r>
              <w:rPr>
                <w:rFonts w:ascii="Calibri" w:hAnsi="Calibri"/>
                <w:spacing w:val="-3"/>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no</w:t>
            </w:r>
            <w:r>
              <w:rPr>
                <w:rFonts w:ascii="Calibri" w:hAnsi="Calibri"/>
                <w:spacing w:val="-3"/>
                <w:w w:val="115"/>
                <w:sz w:val="7"/>
              </w:rPr>
              <w:t> </w:t>
            </w:r>
            <w:r>
              <w:rPr>
                <w:rFonts w:ascii="Calibri" w:hAnsi="Calibri"/>
                <w:w w:val="115"/>
                <w:sz w:val="7"/>
              </w:rPr>
              <w:t>cercenar</w:t>
            </w:r>
            <w:r>
              <w:rPr>
                <w:rFonts w:ascii="Calibri" w:hAnsi="Calibri"/>
                <w:spacing w:val="-5"/>
                <w:w w:val="115"/>
                <w:sz w:val="7"/>
              </w:rPr>
              <w:t> </w:t>
            </w:r>
            <w:r>
              <w:rPr>
                <w:rFonts w:ascii="Calibri" w:hAnsi="Calibri"/>
                <w:w w:val="115"/>
                <w:sz w:val="7"/>
              </w:rPr>
              <w:t>un</w:t>
            </w:r>
            <w:r>
              <w:rPr>
                <w:rFonts w:ascii="Calibri" w:hAnsi="Calibri"/>
                <w:spacing w:val="-2"/>
                <w:w w:val="115"/>
                <w:sz w:val="7"/>
              </w:rPr>
              <w:t> </w:t>
            </w:r>
            <w:r>
              <w:rPr>
                <w:rFonts w:ascii="Calibri" w:hAnsi="Calibri"/>
                <w:w w:val="115"/>
                <w:sz w:val="7"/>
              </w:rPr>
              <w:t>eventual</w:t>
            </w:r>
            <w:r>
              <w:rPr>
                <w:rFonts w:ascii="Calibri" w:hAnsi="Calibri"/>
                <w:spacing w:val="40"/>
                <w:w w:val="115"/>
                <w:sz w:val="7"/>
              </w:rPr>
              <w:t> </w:t>
            </w:r>
            <w:r>
              <w:rPr>
                <w:rFonts w:ascii="Calibri" w:hAnsi="Calibri"/>
                <w:w w:val="115"/>
                <w:sz w:val="7"/>
              </w:rPr>
              <w:t>ejercicio revisor</w:t>
            </w:r>
            <w:r>
              <w:rPr>
                <w:rFonts w:ascii="Calibri" w:hAnsi="Calibri"/>
                <w:spacing w:val="-2"/>
                <w:w w:val="115"/>
                <w:sz w:val="7"/>
              </w:rPr>
              <w:t> </w:t>
            </w:r>
            <w:r>
              <w:rPr>
                <w:rFonts w:ascii="Calibri" w:hAnsi="Calibri"/>
                <w:w w:val="115"/>
                <w:sz w:val="7"/>
              </w:rPr>
              <w:t>del punto.</w:t>
            </w:r>
            <w:r>
              <w:rPr>
                <w:rFonts w:ascii="Calibri" w:hAnsi="Calibri"/>
                <w:spacing w:val="-1"/>
                <w:w w:val="115"/>
                <w:sz w:val="7"/>
              </w:rPr>
              <w:t> </w:t>
            </w:r>
            <w:r>
              <w:rPr>
                <w:rFonts w:ascii="Calibri" w:hAnsi="Calibri"/>
                <w:w w:val="115"/>
                <w:sz w:val="7"/>
              </w:rPr>
              <w:t>También se</w:t>
            </w:r>
            <w:r>
              <w:rPr>
                <w:rFonts w:ascii="Calibri" w:hAnsi="Calibri"/>
                <w:spacing w:val="-2"/>
                <w:w w:val="115"/>
                <w:sz w:val="7"/>
              </w:rPr>
              <w:t> </w:t>
            </w:r>
            <w:r>
              <w:rPr>
                <w:rFonts w:ascii="Calibri" w:hAnsi="Calibri"/>
                <w:w w:val="115"/>
                <w:sz w:val="7"/>
              </w:rPr>
              <w:t>anula</w:t>
            </w:r>
            <w:r>
              <w:rPr>
                <w:rFonts w:ascii="Calibri" w:hAnsi="Calibri"/>
                <w:spacing w:val="-3"/>
                <w:w w:val="115"/>
                <w:sz w:val="7"/>
              </w:rPr>
              <w:t> </w:t>
            </w:r>
            <w:r>
              <w:rPr>
                <w:rFonts w:ascii="Calibri" w:hAnsi="Calibri"/>
                <w:w w:val="115"/>
                <w:sz w:val="7"/>
              </w:rPr>
              <w:t>lo</w:t>
            </w:r>
            <w:r>
              <w:rPr>
                <w:rFonts w:ascii="Calibri" w:hAnsi="Calibri"/>
                <w:spacing w:val="40"/>
                <w:w w:val="115"/>
                <w:sz w:val="7"/>
              </w:rPr>
              <w:t> </w:t>
            </w:r>
            <w:r>
              <w:rPr>
                <w:rFonts w:ascii="Calibri" w:hAnsi="Calibri"/>
                <w:w w:val="115"/>
                <w:sz w:val="7"/>
              </w:rPr>
              <w:t>dispuesto</w:t>
            </w:r>
            <w:r>
              <w:rPr>
                <w:rFonts w:ascii="Calibri" w:hAnsi="Calibri"/>
                <w:spacing w:val="-2"/>
                <w:w w:val="115"/>
                <w:sz w:val="7"/>
              </w:rPr>
              <w:t> </w:t>
            </w:r>
            <w:r>
              <w:rPr>
                <w:rFonts w:ascii="Calibri" w:hAnsi="Calibri"/>
                <w:w w:val="115"/>
                <w:sz w:val="7"/>
              </w:rPr>
              <w:t>en</w:t>
            </w:r>
            <w:r>
              <w:rPr>
                <w:rFonts w:ascii="Calibri" w:hAnsi="Calibri"/>
                <w:spacing w:val="-2"/>
                <w:w w:val="115"/>
                <w:sz w:val="7"/>
              </w:rPr>
              <w:t> </w:t>
            </w:r>
            <w:r>
              <w:rPr>
                <w:rFonts w:ascii="Calibri" w:hAnsi="Calibri"/>
                <w:w w:val="115"/>
                <w:sz w:val="7"/>
              </w:rPr>
              <w:t>cuanto</w:t>
            </w:r>
            <w:r>
              <w:rPr>
                <w:rFonts w:ascii="Calibri" w:hAnsi="Calibri"/>
                <w:spacing w:val="-2"/>
                <w:w w:val="115"/>
                <w:sz w:val="7"/>
              </w:rPr>
              <w:t> </w:t>
            </w:r>
            <w:r>
              <w:rPr>
                <w:rFonts w:ascii="Calibri" w:hAnsi="Calibri"/>
                <w:w w:val="115"/>
                <w:sz w:val="7"/>
              </w:rPr>
              <w:t>a</w:t>
            </w:r>
            <w:r>
              <w:rPr>
                <w:rFonts w:ascii="Calibri" w:hAnsi="Calibri"/>
                <w:spacing w:val="-4"/>
                <w:w w:val="115"/>
                <w:sz w:val="7"/>
              </w:rPr>
              <w:t> </w:t>
            </w:r>
            <w:r>
              <w:rPr>
                <w:rFonts w:ascii="Calibri" w:hAnsi="Calibri"/>
                <w:w w:val="115"/>
                <w:sz w:val="7"/>
              </w:rPr>
              <w:t>las</w:t>
            </w:r>
            <w:r>
              <w:rPr>
                <w:rFonts w:ascii="Calibri" w:hAnsi="Calibri"/>
                <w:spacing w:val="-3"/>
                <w:w w:val="115"/>
                <w:sz w:val="7"/>
              </w:rPr>
              <w:t> </w:t>
            </w:r>
            <w:r>
              <w:rPr>
                <w:rFonts w:ascii="Calibri" w:hAnsi="Calibri"/>
                <w:w w:val="115"/>
                <w:sz w:val="7"/>
              </w:rPr>
              <w:t>costas</w:t>
            </w:r>
            <w:r>
              <w:rPr>
                <w:rFonts w:ascii="Calibri" w:hAnsi="Calibri"/>
                <w:spacing w:val="-3"/>
                <w:w w:val="115"/>
                <w:sz w:val="7"/>
              </w:rPr>
              <w:t> </w:t>
            </w:r>
            <w:r>
              <w:rPr>
                <w:rFonts w:ascii="Calibri" w:hAnsi="Calibri"/>
                <w:w w:val="115"/>
                <w:sz w:val="7"/>
              </w:rPr>
              <w:t>relativas</w:t>
            </w:r>
            <w:r>
              <w:rPr>
                <w:rFonts w:ascii="Calibri" w:hAnsi="Calibri"/>
                <w:spacing w:val="-3"/>
                <w:w w:val="115"/>
                <w:sz w:val="7"/>
              </w:rPr>
              <w:t> </w:t>
            </w:r>
            <w:r>
              <w:rPr>
                <w:rFonts w:ascii="Calibri" w:hAnsi="Calibri"/>
                <w:w w:val="115"/>
                <w:sz w:val="7"/>
              </w:rPr>
              <w:t>a</w:t>
            </w:r>
            <w:r>
              <w:rPr>
                <w:rFonts w:ascii="Calibri" w:hAnsi="Calibri"/>
                <w:spacing w:val="-4"/>
                <w:w w:val="115"/>
                <w:sz w:val="7"/>
              </w:rPr>
              <w:t> </w:t>
            </w:r>
            <w:r>
              <w:rPr>
                <w:rFonts w:ascii="Calibri" w:hAnsi="Calibri"/>
                <w:w w:val="115"/>
                <w:sz w:val="7"/>
              </w:rPr>
              <w:t>la</w:t>
            </w:r>
            <w:r>
              <w:rPr>
                <w:rFonts w:ascii="Calibri" w:hAnsi="Calibri"/>
                <w:spacing w:val="-4"/>
                <w:w w:val="115"/>
                <w:sz w:val="7"/>
              </w:rPr>
              <w:t> </w:t>
            </w:r>
            <w:r>
              <w:rPr>
                <w:rFonts w:ascii="Calibri" w:hAnsi="Calibri"/>
                <w:w w:val="115"/>
                <w:sz w:val="7"/>
              </w:rPr>
              <w:t>condena</w:t>
            </w:r>
            <w:r>
              <w:rPr>
                <w:rFonts w:ascii="Calibri" w:hAnsi="Calibri"/>
                <w:spacing w:val="40"/>
                <w:w w:val="115"/>
                <w:sz w:val="7"/>
              </w:rPr>
              <w:t> </w:t>
            </w:r>
            <w:r>
              <w:rPr>
                <w:rFonts w:ascii="Calibri" w:hAnsi="Calibri"/>
                <w:w w:val="115"/>
                <w:sz w:val="7"/>
              </w:rPr>
              <w:t>por</w:t>
            </w:r>
            <w:r>
              <w:rPr>
                <w:rFonts w:ascii="Calibri" w:hAnsi="Calibri"/>
                <w:spacing w:val="-2"/>
                <w:w w:val="115"/>
                <w:sz w:val="7"/>
              </w:rPr>
              <w:t> </w:t>
            </w:r>
            <w:r>
              <w:rPr>
                <w:rFonts w:ascii="Calibri" w:hAnsi="Calibri"/>
                <w:w w:val="115"/>
                <w:sz w:val="7"/>
              </w:rPr>
              <w:t>daño moral del proceso de</w:t>
            </w:r>
            <w:r>
              <w:rPr>
                <w:rFonts w:ascii="Calibri" w:hAnsi="Calibri"/>
                <w:spacing w:val="-1"/>
                <w:w w:val="115"/>
                <w:sz w:val="7"/>
              </w:rPr>
              <w:t> </w:t>
            </w:r>
            <w:r>
              <w:rPr>
                <w:rFonts w:ascii="Calibri" w:hAnsi="Calibri"/>
                <w:w w:val="115"/>
                <w:sz w:val="7"/>
              </w:rPr>
              <w:t>conocimiento.</w:t>
            </w:r>
            <w:r>
              <w:rPr>
                <w:rFonts w:ascii="Calibri" w:hAnsi="Calibri"/>
                <w:spacing w:val="-1"/>
                <w:w w:val="115"/>
                <w:sz w:val="7"/>
              </w:rPr>
              <w:t> </w:t>
            </w:r>
            <w:r>
              <w:rPr>
                <w:rFonts w:ascii="Calibri" w:hAnsi="Calibri"/>
                <w:w w:val="115"/>
                <w:sz w:val="7"/>
              </w:rPr>
              <w:t>Se</w:t>
            </w:r>
            <w:r>
              <w:rPr>
                <w:rFonts w:ascii="Calibri" w:hAnsi="Calibri"/>
                <w:spacing w:val="-2"/>
                <w:w w:val="115"/>
                <w:sz w:val="7"/>
              </w:rPr>
              <w:t> </w:t>
            </w:r>
            <w:r>
              <w:rPr>
                <w:rFonts w:ascii="Calibri" w:hAnsi="Calibri"/>
                <w:w w:val="115"/>
                <w:sz w:val="7"/>
              </w:rPr>
              <w:t>fijan</w:t>
            </w:r>
            <w:r>
              <w:rPr>
                <w:rFonts w:ascii="Calibri" w:hAnsi="Calibri"/>
                <w:spacing w:val="40"/>
                <w:w w:val="115"/>
                <w:sz w:val="7"/>
              </w:rPr>
              <w:t> </w:t>
            </w:r>
            <w:r>
              <w:rPr>
                <w:rFonts w:ascii="Calibri" w:hAnsi="Calibri"/>
                <w:w w:val="115"/>
                <w:sz w:val="7"/>
              </w:rPr>
              <w:t>esas costas del daño moral para</w:t>
            </w:r>
            <w:r>
              <w:rPr>
                <w:rFonts w:ascii="Calibri" w:hAnsi="Calibri"/>
                <w:spacing w:val="-1"/>
                <w:w w:val="115"/>
                <w:sz w:val="7"/>
              </w:rPr>
              <w:t> </w:t>
            </w:r>
            <w:r>
              <w:rPr>
                <w:rFonts w:ascii="Calibri" w:hAnsi="Calibri"/>
                <w:w w:val="115"/>
                <w:sz w:val="7"/>
              </w:rPr>
              <w:t>Eligio Vargas Gómez,</w:t>
            </w:r>
            <w:r>
              <w:rPr>
                <w:rFonts w:ascii="Calibri" w:hAnsi="Calibri"/>
                <w:spacing w:val="40"/>
                <w:w w:val="115"/>
                <w:sz w:val="7"/>
              </w:rPr>
              <w:t> </w:t>
            </w:r>
            <w:r>
              <w:rPr>
                <w:rFonts w:ascii="Calibri" w:hAnsi="Calibri"/>
                <w:w w:val="115"/>
                <w:sz w:val="7"/>
              </w:rPr>
              <w:t>Ana Cecilia Badilla Rojas, la sucesión de Nuria María</w:t>
            </w:r>
            <w:r>
              <w:rPr>
                <w:rFonts w:ascii="Calibri" w:hAnsi="Calibri"/>
                <w:spacing w:val="40"/>
                <w:w w:val="115"/>
                <w:sz w:val="7"/>
              </w:rPr>
              <w:t> </w:t>
            </w:r>
            <w:r>
              <w:rPr>
                <w:rFonts w:ascii="Calibri" w:hAnsi="Calibri"/>
                <w:w w:val="115"/>
                <w:sz w:val="7"/>
              </w:rPr>
              <w:t>Zamora</w:t>
            </w:r>
            <w:r>
              <w:rPr>
                <w:rFonts w:ascii="Calibri" w:hAnsi="Calibri"/>
                <w:spacing w:val="-2"/>
                <w:w w:val="115"/>
                <w:sz w:val="7"/>
              </w:rPr>
              <w:t> </w:t>
            </w:r>
            <w:r>
              <w:rPr>
                <w:rFonts w:ascii="Calibri" w:hAnsi="Calibri"/>
                <w:w w:val="115"/>
                <w:sz w:val="7"/>
              </w:rPr>
              <w:t>Chacón y</w:t>
            </w:r>
            <w:r>
              <w:rPr>
                <w:rFonts w:ascii="Calibri" w:hAnsi="Calibri"/>
                <w:spacing w:val="-2"/>
                <w:w w:val="115"/>
                <w:sz w:val="7"/>
              </w:rPr>
              <w:t> </w:t>
            </w:r>
            <w:r>
              <w:rPr>
                <w:rFonts w:ascii="Calibri" w:hAnsi="Calibri"/>
                <w:w w:val="115"/>
                <w:sz w:val="7"/>
              </w:rPr>
              <w:t>María</w:t>
            </w:r>
            <w:r>
              <w:rPr>
                <w:rFonts w:ascii="Calibri" w:hAnsi="Calibri"/>
                <w:spacing w:val="-2"/>
                <w:w w:val="115"/>
                <w:sz w:val="7"/>
              </w:rPr>
              <w:t> </w:t>
            </w:r>
            <w:r>
              <w:rPr>
                <w:rFonts w:ascii="Calibri" w:hAnsi="Calibri"/>
                <w:w w:val="115"/>
                <w:sz w:val="7"/>
              </w:rPr>
              <w:t>Cristina</w:t>
            </w:r>
            <w:r>
              <w:rPr>
                <w:rFonts w:ascii="Calibri" w:hAnsi="Calibri"/>
                <w:spacing w:val="-2"/>
                <w:w w:val="115"/>
                <w:sz w:val="7"/>
              </w:rPr>
              <w:t> </w:t>
            </w:r>
            <w:r>
              <w:rPr>
                <w:rFonts w:ascii="Calibri" w:hAnsi="Calibri"/>
                <w:w w:val="115"/>
                <w:sz w:val="7"/>
              </w:rPr>
              <w:t>Vargas</w:t>
            </w:r>
            <w:r>
              <w:rPr>
                <w:rFonts w:ascii="Calibri" w:hAnsi="Calibri"/>
                <w:spacing w:val="-1"/>
                <w:w w:val="115"/>
                <w:sz w:val="7"/>
              </w:rPr>
              <w:t> </w:t>
            </w:r>
            <w:r>
              <w:rPr>
                <w:rFonts w:ascii="Calibri" w:hAnsi="Calibri"/>
                <w:w w:val="115"/>
                <w:sz w:val="7"/>
              </w:rPr>
              <w:t>Díaz</w:t>
            </w:r>
            <w:r>
              <w:rPr>
                <w:rFonts w:ascii="Calibri" w:hAnsi="Calibri"/>
                <w:spacing w:val="-1"/>
                <w:w w:val="115"/>
                <w:sz w:val="7"/>
              </w:rPr>
              <w:t> </w:t>
            </w:r>
            <w:r>
              <w:rPr>
                <w:rFonts w:ascii="Calibri" w:hAnsi="Calibri"/>
                <w:w w:val="115"/>
                <w:sz w:val="7"/>
              </w:rPr>
              <w:t>en</w:t>
            </w:r>
          </w:p>
          <w:p>
            <w:pPr>
              <w:pStyle w:val="TableParagraph"/>
              <w:spacing w:line="276" w:lineRule="auto"/>
              <w:ind w:left="14" w:right="14"/>
              <w:rPr>
                <w:rFonts w:ascii="Calibri" w:hAnsi="Calibri"/>
                <w:b/>
                <w:sz w:val="7"/>
              </w:rPr>
            </w:pPr>
            <w:r>
              <w:rPr>
                <w:rFonts w:ascii="Calibri" w:hAnsi="Calibri"/>
                <w:w w:val="115"/>
                <w:sz w:val="7"/>
              </w:rPr>
              <w:t>₡1.227.914,63 para</w:t>
            </w:r>
            <w:r>
              <w:rPr>
                <w:rFonts w:ascii="Calibri" w:hAnsi="Calibri"/>
                <w:spacing w:val="-1"/>
                <w:w w:val="115"/>
                <w:sz w:val="7"/>
              </w:rPr>
              <w:t> </w:t>
            </w:r>
            <w:r>
              <w:rPr>
                <w:rFonts w:ascii="Calibri" w:hAnsi="Calibri"/>
                <w:w w:val="115"/>
                <w:sz w:val="7"/>
              </w:rPr>
              <w:t>cada</w:t>
            </w:r>
            <w:r>
              <w:rPr>
                <w:rFonts w:ascii="Calibri" w:hAnsi="Calibri"/>
                <w:spacing w:val="-1"/>
                <w:w w:val="115"/>
                <w:sz w:val="7"/>
              </w:rPr>
              <w:t> </w:t>
            </w:r>
            <w:r>
              <w:rPr>
                <w:rFonts w:ascii="Calibri" w:hAnsi="Calibri"/>
                <w:w w:val="115"/>
                <w:sz w:val="7"/>
              </w:rPr>
              <w:t>uno de ellos. Para</w:t>
            </w:r>
            <w:r>
              <w:rPr>
                <w:rFonts w:ascii="Calibri" w:hAnsi="Calibri"/>
                <w:spacing w:val="-1"/>
                <w:w w:val="115"/>
                <w:sz w:val="7"/>
              </w:rPr>
              <w:t> </w:t>
            </w:r>
            <w:r>
              <w:rPr>
                <w:rFonts w:ascii="Calibri" w:hAnsi="Calibri"/>
                <w:w w:val="115"/>
                <w:sz w:val="7"/>
              </w:rPr>
              <w:t>cubrir</w:t>
            </w:r>
            <w:r>
              <w:rPr>
                <w:rFonts w:ascii="Calibri" w:hAnsi="Calibri"/>
                <w:spacing w:val="-1"/>
                <w:w w:val="115"/>
                <w:sz w:val="7"/>
              </w:rPr>
              <w:t> </w:t>
            </w:r>
            <w:r>
              <w:rPr>
                <w:rFonts w:ascii="Calibri" w:hAnsi="Calibri"/>
                <w:w w:val="115"/>
                <w:sz w:val="7"/>
              </w:rPr>
              <w:t>ese</w:t>
            </w:r>
            <w:r>
              <w:rPr>
                <w:rFonts w:ascii="Calibri" w:hAnsi="Calibri"/>
                <w:spacing w:val="40"/>
                <w:w w:val="115"/>
                <w:sz w:val="7"/>
              </w:rPr>
              <w:t> </w:t>
            </w:r>
            <w:r>
              <w:rPr>
                <w:rFonts w:ascii="Calibri" w:hAnsi="Calibri"/>
                <w:spacing w:val="-2"/>
                <w:w w:val="115"/>
                <w:sz w:val="7"/>
              </w:rPr>
              <w:t>importe, </w:t>
            </w:r>
            <w:r>
              <w:rPr>
                <w:rFonts w:ascii="Calibri" w:hAnsi="Calibri"/>
                <w:b/>
                <w:spacing w:val="-2"/>
                <w:w w:val="115"/>
                <w:sz w:val="7"/>
              </w:rPr>
              <w:t>cada codemandada -Municipalidad de Montes</w:t>
            </w:r>
            <w:r>
              <w:rPr>
                <w:rFonts w:ascii="Calibri" w:hAnsi="Calibri"/>
                <w:b/>
                <w:spacing w:val="40"/>
                <w:w w:val="115"/>
                <w:sz w:val="7"/>
              </w:rPr>
              <w:t> </w:t>
            </w:r>
            <w:r>
              <w:rPr>
                <w:rFonts w:ascii="Calibri" w:hAnsi="Calibri"/>
                <w:b/>
                <w:w w:val="110"/>
                <w:sz w:val="7"/>
              </w:rPr>
              <w:t>de Oca, FUPROVI</w:t>
            </w:r>
            <w:r>
              <w:rPr>
                <w:rFonts w:ascii="Calibri" w:hAnsi="Calibri"/>
                <w:b/>
                <w:spacing w:val="-2"/>
                <w:w w:val="110"/>
                <w:sz w:val="7"/>
              </w:rPr>
              <w:t> </w:t>
            </w:r>
            <w:r>
              <w:rPr>
                <w:rFonts w:ascii="Calibri" w:hAnsi="Calibri"/>
                <w:b/>
                <w:w w:val="110"/>
                <w:sz w:val="7"/>
              </w:rPr>
              <w:t>e</w:t>
            </w:r>
            <w:r>
              <w:rPr>
                <w:rFonts w:ascii="Calibri" w:hAnsi="Calibri"/>
                <w:b/>
                <w:spacing w:val="1"/>
                <w:w w:val="110"/>
                <w:sz w:val="7"/>
              </w:rPr>
              <w:t> </w:t>
            </w:r>
            <w:r>
              <w:rPr>
                <w:rFonts w:ascii="Calibri" w:hAnsi="Calibri"/>
                <w:b/>
                <w:w w:val="110"/>
                <w:sz w:val="7"/>
              </w:rPr>
              <w:t>IMAS-</w:t>
            </w:r>
            <w:r>
              <w:rPr>
                <w:rFonts w:ascii="Calibri" w:hAnsi="Calibri"/>
                <w:b/>
                <w:spacing w:val="-1"/>
                <w:w w:val="110"/>
                <w:sz w:val="7"/>
              </w:rPr>
              <w:t> </w:t>
            </w:r>
            <w:r>
              <w:rPr>
                <w:rFonts w:ascii="Calibri" w:hAnsi="Calibri"/>
                <w:b/>
                <w:w w:val="110"/>
                <w:sz w:val="7"/>
              </w:rPr>
              <w:t>deberá</w:t>
            </w:r>
            <w:r>
              <w:rPr>
                <w:rFonts w:ascii="Calibri" w:hAnsi="Calibri"/>
                <w:b/>
                <w:spacing w:val="-2"/>
                <w:w w:val="110"/>
                <w:sz w:val="7"/>
              </w:rPr>
              <w:t> </w:t>
            </w:r>
            <w:r>
              <w:rPr>
                <w:rFonts w:ascii="Calibri" w:hAnsi="Calibri"/>
                <w:b/>
                <w:w w:val="110"/>
                <w:sz w:val="7"/>
              </w:rPr>
              <w:t>depositar el</w:t>
            </w:r>
            <w:r>
              <w:rPr>
                <w:rFonts w:ascii="Calibri" w:hAnsi="Calibri"/>
                <w:b/>
                <w:spacing w:val="-2"/>
                <w:w w:val="110"/>
                <w:sz w:val="7"/>
              </w:rPr>
              <w:t> </w:t>
            </w:r>
            <w:r>
              <w:rPr>
                <w:rFonts w:ascii="Calibri" w:hAnsi="Calibri"/>
                <w:b/>
                <w:w w:val="110"/>
                <w:sz w:val="7"/>
              </w:rPr>
              <w:t>monto</w:t>
            </w:r>
            <w:r>
              <w:rPr>
                <w:rFonts w:ascii="Calibri" w:hAnsi="Calibri"/>
                <w:b/>
                <w:spacing w:val="1"/>
                <w:w w:val="110"/>
                <w:sz w:val="7"/>
              </w:rPr>
              <w:t> </w:t>
            </w:r>
            <w:r>
              <w:rPr>
                <w:rFonts w:ascii="Calibri" w:hAnsi="Calibri"/>
                <w:b/>
                <w:spacing w:val="-5"/>
                <w:w w:val="110"/>
                <w:sz w:val="7"/>
              </w:rPr>
              <w:t>de</w:t>
            </w:r>
          </w:p>
          <w:p>
            <w:pPr>
              <w:pStyle w:val="TableParagraph"/>
              <w:spacing w:line="85" w:lineRule="exact"/>
              <w:ind w:left="14"/>
              <w:rPr>
                <w:rFonts w:ascii="Calibri" w:hAnsi="Calibri"/>
                <w:sz w:val="7"/>
              </w:rPr>
            </w:pPr>
            <w:r>
              <w:rPr>
                <w:rFonts w:ascii="Calibri" w:hAnsi="Calibri"/>
                <w:b/>
                <w:w w:val="110"/>
                <w:sz w:val="7"/>
              </w:rPr>
              <w:t>₡1.637.219.51</w:t>
            </w:r>
            <w:r>
              <w:rPr>
                <w:rFonts w:ascii="Calibri" w:hAnsi="Calibri"/>
                <w:b/>
                <w:spacing w:val="1"/>
                <w:w w:val="110"/>
                <w:sz w:val="7"/>
              </w:rPr>
              <w:t> </w:t>
            </w:r>
            <w:r>
              <w:rPr>
                <w:rFonts w:ascii="Calibri" w:hAnsi="Calibri"/>
                <w:w w:val="110"/>
                <w:sz w:val="7"/>
              </w:rPr>
              <w:t>para</w:t>
            </w:r>
            <w:r>
              <w:rPr>
                <w:rFonts w:ascii="Calibri" w:hAnsi="Calibri"/>
                <w:spacing w:val="-1"/>
                <w:w w:val="110"/>
                <w:sz w:val="7"/>
              </w:rPr>
              <w:t> </w:t>
            </w:r>
            <w:r>
              <w:rPr>
                <w:rFonts w:ascii="Calibri" w:hAnsi="Calibri"/>
                <w:w w:val="110"/>
                <w:sz w:val="7"/>
              </w:rPr>
              <w:t>completar</w:t>
            </w:r>
            <w:r>
              <w:rPr>
                <w:rFonts w:ascii="Calibri" w:hAnsi="Calibri"/>
                <w:spacing w:val="-1"/>
                <w:w w:val="110"/>
                <w:sz w:val="7"/>
              </w:rPr>
              <w:t> </w:t>
            </w:r>
            <w:r>
              <w:rPr>
                <w:rFonts w:ascii="Calibri" w:hAnsi="Calibri"/>
                <w:w w:val="110"/>
                <w:sz w:val="7"/>
              </w:rPr>
              <w:t>ese</w:t>
            </w:r>
            <w:r>
              <w:rPr>
                <w:rFonts w:ascii="Calibri" w:hAnsi="Calibri"/>
                <w:spacing w:val="-1"/>
                <w:w w:val="110"/>
                <w:sz w:val="7"/>
              </w:rPr>
              <w:t> </w:t>
            </w:r>
            <w:r>
              <w:rPr>
                <w:rFonts w:ascii="Calibri" w:hAnsi="Calibri"/>
                <w:w w:val="110"/>
                <w:sz w:val="7"/>
              </w:rPr>
              <w:t>monto, en</w:t>
            </w:r>
            <w:r>
              <w:rPr>
                <w:rFonts w:ascii="Calibri" w:hAnsi="Calibri"/>
                <w:spacing w:val="1"/>
                <w:w w:val="110"/>
                <w:sz w:val="7"/>
              </w:rPr>
              <w:t> </w:t>
            </w:r>
            <w:r>
              <w:rPr>
                <w:rFonts w:ascii="Calibri" w:hAnsi="Calibri"/>
                <w:spacing w:val="-5"/>
                <w:w w:val="110"/>
                <w:sz w:val="7"/>
              </w:rPr>
              <w:t>los</w:t>
            </w:r>
          </w:p>
          <w:p>
            <w:pPr>
              <w:pStyle w:val="TableParagraph"/>
              <w:spacing w:line="100" w:lineRule="atLeast"/>
              <w:ind w:left="14"/>
              <w:rPr>
                <w:rFonts w:ascii="Calibri" w:hAnsi="Calibri"/>
                <w:sz w:val="7"/>
              </w:rPr>
            </w:pPr>
            <w:r>
              <w:rPr>
                <w:rFonts w:ascii="Calibri" w:hAnsi="Calibri"/>
                <w:w w:val="115"/>
                <w:sz w:val="7"/>
              </w:rPr>
              <w:t>términos</w:t>
            </w:r>
            <w:r>
              <w:rPr>
                <w:rFonts w:ascii="Calibri" w:hAnsi="Calibri"/>
                <w:spacing w:val="-2"/>
                <w:w w:val="115"/>
                <w:sz w:val="7"/>
              </w:rPr>
              <w:t> </w:t>
            </w:r>
            <w:r>
              <w:rPr>
                <w:rFonts w:ascii="Calibri" w:hAnsi="Calibri"/>
                <w:w w:val="115"/>
                <w:sz w:val="7"/>
              </w:rPr>
              <w:t>fijados</w:t>
            </w:r>
            <w:r>
              <w:rPr>
                <w:rFonts w:ascii="Calibri" w:hAnsi="Calibri"/>
                <w:spacing w:val="-2"/>
                <w:w w:val="115"/>
                <w:sz w:val="7"/>
              </w:rPr>
              <w:t> </w:t>
            </w:r>
            <w:r>
              <w:rPr>
                <w:rFonts w:ascii="Calibri" w:hAnsi="Calibri"/>
                <w:w w:val="115"/>
                <w:sz w:val="7"/>
              </w:rPr>
              <w:t>por</w:t>
            </w:r>
            <w:r>
              <w:rPr>
                <w:rFonts w:ascii="Calibri" w:hAnsi="Calibri"/>
                <w:spacing w:val="-3"/>
                <w:w w:val="115"/>
                <w:sz w:val="7"/>
              </w:rPr>
              <w:t> </w:t>
            </w:r>
            <w:r>
              <w:rPr>
                <w:rFonts w:ascii="Calibri" w:hAnsi="Calibri"/>
                <w:w w:val="115"/>
                <w:sz w:val="7"/>
              </w:rPr>
              <w:t>el</w:t>
            </w:r>
            <w:r>
              <w:rPr>
                <w:rFonts w:ascii="Calibri" w:hAnsi="Calibri"/>
                <w:spacing w:val="-1"/>
                <w:w w:val="115"/>
                <w:sz w:val="7"/>
              </w:rPr>
              <w:t> </w:t>
            </w:r>
            <w:r>
              <w:rPr>
                <w:rFonts w:ascii="Calibri" w:hAnsi="Calibri"/>
                <w:w w:val="115"/>
                <w:sz w:val="7"/>
              </w:rPr>
              <w:t>Juzgado</w:t>
            </w:r>
            <w:r>
              <w:rPr>
                <w:rFonts w:ascii="Calibri" w:hAnsi="Calibri"/>
                <w:spacing w:val="-1"/>
                <w:w w:val="115"/>
                <w:sz w:val="7"/>
              </w:rPr>
              <w:t> </w:t>
            </w:r>
            <w:r>
              <w:rPr>
                <w:rFonts w:ascii="Calibri" w:hAnsi="Calibri"/>
                <w:w w:val="115"/>
                <w:sz w:val="7"/>
              </w:rPr>
              <w:t>respecto</w:t>
            </w:r>
            <w:r>
              <w:rPr>
                <w:rFonts w:ascii="Calibri" w:hAnsi="Calibri"/>
                <w:spacing w:val="-1"/>
                <w:w w:val="115"/>
                <w:sz w:val="7"/>
              </w:rPr>
              <w:t> </w:t>
            </w:r>
            <w:r>
              <w:rPr>
                <w:rFonts w:ascii="Calibri" w:hAnsi="Calibri"/>
                <w:w w:val="115"/>
                <w:sz w:val="7"/>
              </w:rPr>
              <w:t>a</w:t>
            </w:r>
            <w:r>
              <w:rPr>
                <w:rFonts w:ascii="Calibri" w:hAnsi="Calibri"/>
                <w:spacing w:val="-3"/>
                <w:w w:val="115"/>
                <w:sz w:val="7"/>
              </w:rPr>
              <w:t> </w:t>
            </w:r>
            <w:r>
              <w:rPr>
                <w:rFonts w:ascii="Calibri" w:hAnsi="Calibri"/>
                <w:w w:val="115"/>
                <w:sz w:val="7"/>
              </w:rPr>
              <w:t>la</w:t>
            </w:r>
            <w:r>
              <w:rPr>
                <w:rFonts w:ascii="Calibri" w:hAnsi="Calibri"/>
                <w:spacing w:val="-3"/>
                <w:w w:val="115"/>
                <w:sz w:val="7"/>
              </w:rPr>
              <w:t> </w:t>
            </w:r>
            <w:r>
              <w:rPr>
                <w:rFonts w:ascii="Calibri" w:hAnsi="Calibri"/>
                <w:w w:val="115"/>
                <w:sz w:val="7"/>
              </w:rPr>
              <w:t>cuenta</w:t>
            </w:r>
            <w:r>
              <w:rPr>
                <w:rFonts w:ascii="Calibri" w:hAnsi="Calibri"/>
                <w:spacing w:val="40"/>
                <w:w w:val="115"/>
                <w:sz w:val="7"/>
              </w:rPr>
              <w:t> </w:t>
            </w:r>
            <w:r>
              <w:rPr>
                <w:rFonts w:ascii="Calibri" w:hAnsi="Calibri"/>
                <w:spacing w:val="-2"/>
                <w:w w:val="115"/>
                <w:sz w:val="7"/>
              </w:rPr>
              <w:t>bancaria y periodo para hacerlo (Este monto de costas ya</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209" w:right="2" w:hanging="143"/>
              <w:rPr>
                <w:rFonts w:ascii="Calibri"/>
                <w:sz w:val="7"/>
              </w:rPr>
            </w:pPr>
            <w:r>
              <w:rPr>
                <w:rFonts w:ascii="Calibri"/>
                <w:spacing w:val="-2"/>
                <w:w w:val="115"/>
                <w:sz w:val="7"/>
              </w:rPr>
              <w:t>Provisionado</w:t>
            </w:r>
            <w:r>
              <w:rPr>
                <w:rFonts w:ascii="Calibri"/>
                <w:spacing w:val="-3"/>
                <w:w w:val="115"/>
                <w:sz w:val="7"/>
              </w:rPr>
              <w:t> </w:t>
            </w:r>
            <w:r>
              <w:rPr>
                <w:rFonts w:ascii="Calibri"/>
                <w:spacing w:val="-2"/>
                <w:w w:val="115"/>
                <w:sz w:val="7"/>
              </w:rPr>
              <w:t>el</w:t>
            </w:r>
            <w:r>
              <w:rPr>
                <w:rFonts w:ascii="Calibri"/>
                <w:spacing w:val="40"/>
                <w:w w:val="115"/>
                <w:sz w:val="7"/>
              </w:rPr>
              <w:t> </w:t>
            </w:r>
            <w:r>
              <w:rPr>
                <w:rFonts w:ascii="Calibri"/>
                <w:spacing w:val="-2"/>
                <w:w w:val="115"/>
                <w:sz w:val="7"/>
              </w:rPr>
              <w:t>100%,</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0"/>
              <w:jc w:val="center"/>
              <w:rPr>
                <w:rFonts w:ascii="Calibri"/>
                <w:sz w:val="7"/>
              </w:rPr>
            </w:pPr>
            <w:r>
              <w:rPr>
                <w:rFonts w:ascii="Calibri"/>
                <w:spacing w:val="-2"/>
                <w:w w:val="115"/>
                <w:sz w:val="7"/>
              </w:rPr>
              <w:t>Pagado</w:t>
            </w:r>
          </w:p>
        </w:tc>
        <w:tc>
          <w:tcPr>
            <w:tcW w:w="83" w:type="dxa"/>
            <w:vMerge/>
            <w:tcBorders>
              <w:top w:val="nil"/>
              <w:left w:val="nil"/>
            </w:tcBorders>
          </w:tcPr>
          <w:p>
            <w:pPr>
              <w:rPr>
                <w:sz w:val="2"/>
                <w:szCs w:val="2"/>
              </w:rPr>
            </w:pPr>
          </w:p>
        </w:tc>
      </w:tr>
      <w:tr>
        <w:trPr>
          <w:trHeight w:val="1735"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7"/>
              <w:rPr>
                <w:sz w:val="7"/>
              </w:rPr>
            </w:pPr>
          </w:p>
          <w:p>
            <w:pPr>
              <w:pStyle w:val="TableParagraph"/>
              <w:spacing w:line="276" w:lineRule="auto"/>
              <w:ind w:left="122" w:right="51" w:hanging="57"/>
              <w:rPr>
                <w:rFonts w:ascii="Calibri" w:hAnsi="Calibri"/>
                <w:b/>
                <w:sz w:val="7"/>
              </w:rPr>
            </w:pPr>
            <w:r>
              <w:rPr>
                <w:rFonts w:ascii="Calibri" w:hAnsi="Calibri"/>
                <w:b/>
                <w:spacing w:val="-2"/>
                <w:w w:val="120"/>
                <w:sz w:val="7"/>
              </w:rPr>
              <w:t>EJECUCIÓN</w:t>
            </w:r>
            <w:r>
              <w:rPr>
                <w:rFonts w:ascii="Calibri" w:hAnsi="Calibri"/>
                <w:b/>
                <w:spacing w:val="-7"/>
                <w:w w:val="120"/>
                <w:sz w:val="7"/>
              </w:rPr>
              <w:t> </w:t>
            </w:r>
            <w:r>
              <w:rPr>
                <w:rFonts w:ascii="Calibri" w:hAnsi="Calibri"/>
                <w:b/>
                <w:spacing w:val="-2"/>
                <w:w w:val="120"/>
                <w:sz w:val="7"/>
              </w:rPr>
              <w:t>DE</w:t>
            </w:r>
            <w:r>
              <w:rPr>
                <w:rFonts w:ascii="Calibri" w:hAnsi="Calibri"/>
                <w:b/>
                <w:spacing w:val="40"/>
                <w:w w:val="120"/>
                <w:sz w:val="7"/>
              </w:rPr>
              <w:t> </w:t>
            </w:r>
            <w:r>
              <w:rPr>
                <w:rFonts w:ascii="Calibri" w:hAnsi="Calibri"/>
                <w:b/>
                <w:spacing w:val="-2"/>
                <w:w w:val="120"/>
                <w:sz w:val="7"/>
              </w:rPr>
              <w:t>SENTENCIA</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5"/>
              <w:rPr>
                <w:sz w:val="7"/>
              </w:rPr>
            </w:pPr>
          </w:p>
          <w:p>
            <w:pPr>
              <w:pStyle w:val="TableParagraph"/>
              <w:ind w:left="13"/>
              <w:jc w:val="center"/>
              <w:rPr>
                <w:rFonts w:ascii="Calibri"/>
                <w:sz w:val="7"/>
              </w:rPr>
            </w:pPr>
            <w:r>
              <w:rPr>
                <w:rFonts w:ascii="Calibri"/>
                <w:w w:val="110"/>
                <w:sz w:val="7"/>
              </w:rPr>
              <w:t>17-012484-1027-</w:t>
            </w:r>
            <w:r>
              <w:rPr>
                <w:rFonts w:ascii="Calibri"/>
                <w:spacing w:val="-5"/>
                <w:w w:val="110"/>
                <w:sz w:val="7"/>
              </w:rPr>
              <w:t>CA</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7"/>
              <w:rPr>
                <w:sz w:val="7"/>
              </w:rPr>
            </w:pPr>
          </w:p>
          <w:p>
            <w:pPr>
              <w:pStyle w:val="TableParagraph"/>
              <w:spacing w:line="276" w:lineRule="auto"/>
              <w:ind w:left="17" w:right="22"/>
              <w:rPr>
                <w:rFonts w:ascii="Calibri"/>
                <w:sz w:val="7"/>
              </w:rPr>
            </w:pPr>
            <w:r>
              <w:rPr>
                <w:rFonts w:ascii="Calibri"/>
                <w:w w:val="110"/>
                <w:sz w:val="7"/>
              </w:rPr>
              <w:t>Sandra</w:t>
            </w:r>
            <w:r>
              <w:rPr>
                <w:rFonts w:ascii="Calibri"/>
                <w:spacing w:val="-5"/>
                <w:w w:val="110"/>
                <w:sz w:val="7"/>
              </w:rPr>
              <w:t> </w:t>
            </w:r>
            <w:r>
              <w:rPr>
                <w:rFonts w:ascii="Calibri"/>
                <w:w w:val="110"/>
                <w:sz w:val="7"/>
              </w:rPr>
              <w:t>Salazar</w:t>
            </w:r>
            <w:r>
              <w:rPr>
                <w:rFonts w:ascii="Calibri"/>
                <w:spacing w:val="-4"/>
                <w:w w:val="110"/>
                <w:sz w:val="7"/>
              </w:rPr>
              <w:t> </w:t>
            </w:r>
            <w:r>
              <w:rPr>
                <w:rFonts w:ascii="Calibri"/>
                <w:w w:val="110"/>
                <w:sz w:val="7"/>
              </w:rPr>
              <w:t>Barrientos</w:t>
            </w:r>
            <w:r>
              <w:rPr>
                <w:rFonts w:ascii="Calibri"/>
                <w:spacing w:val="40"/>
                <w:w w:val="110"/>
                <w:sz w:val="7"/>
              </w:rPr>
              <w:t> </w:t>
            </w:r>
            <w:r>
              <w:rPr>
                <w:rFonts w:ascii="Calibri"/>
                <w:w w:val="110"/>
                <w:sz w:val="7"/>
              </w:rPr>
              <w:t>(Centro</w:t>
            </w:r>
            <w:r>
              <w:rPr>
                <w:rFonts w:ascii="Calibri"/>
                <w:spacing w:val="-5"/>
                <w:w w:val="110"/>
                <w:sz w:val="7"/>
              </w:rPr>
              <w:t> </w:t>
            </w:r>
            <w:r>
              <w:rPr>
                <w:rFonts w:ascii="Calibri"/>
                <w:w w:val="110"/>
                <w:sz w:val="7"/>
              </w:rPr>
              <w:t>Infantil</w:t>
            </w:r>
            <w:r>
              <w:rPr>
                <w:rFonts w:ascii="Calibri"/>
                <w:spacing w:val="-4"/>
                <w:w w:val="110"/>
                <w:sz w:val="7"/>
              </w:rPr>
              <w:t> </w:t>
            </w:r>
            <w:r>
              <w:rPr>
                <w:rFonts w:ascii="Calibri"/>
                <w:w w:val="110"/>
                <w:sz w:val="7"/>
              </w:rPr>
              <w:t>Integral</w:t>
            </w:r>
            <w:r>
              <w:rPr>
                <w:rFonts w:ascii="Calibri"/>
                <w:spacing w:val="-5"/>
                <w:w w:val="110"/>
                <w:sz w:val="7"/>
              </w:rPr>
              <w:t> </w:t>
            </w:r>
            <w:r>
              <w:rPr>
                <w:rFonts w:ascii="Calibri"/>
                <w:w w:val="110"/>
                <w:sz w:val="7"/>
              </w:rPr>
              <w:t>Rayito</w:t>
            </w:r>
            <w:r>
              <w:rPr>
                <w:rFonts w:ascii="Calibri"/>
                <w:spacing w:val="40"/>
                <w:w w:val="110"/>
                <w:sz w:val="7"/>
              </w:rPr>
              <w:t> </w:t>
            </w:r>
            <w:r>
              <w:rPr>
                <w:rFonts w:ascii="Calibri"/>
                <w:w w:val="110"/>
                <w:sz w:val="7"/>
              </w:rPr>
              <w:t>de</w:t>
            </w:r>
            <w:r>
              <w:rPr>
                <w:rFonts w:ascii="Calibri"/>
                <w:spacing w:val="-5"/>
                <w:w w:val="110"/>
                <w:sz w:val="7"/>
              </w:rPr>
              <w:t> </w:t>
            </w:r>
            <w:r>
              <w:rPr>
                <w:rFonts w:ascii="Calibri"/>
                <w:w w:val="110"/>
                <w:sz w:val="7"/>
              </w:rPr>
              <w:t>Luz</w:t>
            </w:r>
            <w:r>
              <w:rPr>
                <w:rFonts w:ascii="Calibri"/>
                <w:spacing w:val="-4"/>
                <w:w w:val="110"/>
                <w:sz w:val="7"/>
              </w:rPr>
              <w:t> </w:t>
            </w:r>
            <w:r>
              <w:rPr>
                <w:rFonts w:ascii="Calibri"/>
                <w:w w:val="110"/>
                <w:sz w:val="7"/>
              </w:rPr>
              <w:t>)</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5"/>
              <w:rPr>
                <w:sz w:val="7"/>
              </w:rPr>
            </w:pPr>
          </w:p>
          <w:p>
            <w:pPr>
              <w:pStyle w:val="TableParagraph"/>
              <w:ind w:left="11"/>
              <w:jc w:val="center"/>
              <w:rPr>
                <w:rFonts w:ascii="Calibri"/>
                <w:sz w:val="7"/>
              </w:rPr>
            </w:pPr>
            <w:r>
              <w:rPr>
                <w:rFonts w:ascii="Calibri"/>
                <w:w w:val="110"/>
                <w:sz w:val="7"/>
              </w:rPr>
              <w:t>1-0612-</w:t>
            </w:r>
            <w:r>
              <w:rPr>
                <w:rFonts w:ascii="Calibri"/>
                <w:spacing w:val="-4"/>
                <w:w w:val="110"/>
                <w:sz w:val="7"/>
              </w:rPr>
              <w:t>0007</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8"/>
              <w:rPr>
                <w:sz w:val="7"/>
              </w:rPr>
            </w:pPr>
          </w:p>
          <w:p>
            <w:pPr>
              <w:pStyle w:val="TableParagraph"/>
              <w:spacing w:before="1"/>
              <w:ind w:left="10"/>
              <w:jc w:val="center"/>
              <w:rPr>
                <w:rFonts w:ascii="Calibri"/>
                <w:sz w:val="7"/>
              </w:rPr>
            </w:pPr>
            <w:r>
              <w:rPr>
                <w:rFonts w:ascii="Calibri"/>
                <w:spacing w:val="-2"/>
                <w:w w:val="115"/>
                <w:sz w:val="7"/>
              </w:rPr>
              <w:t>Conocimiento</w:t>
            </w:r>
          </w:p>
          <w:p>
            <w:pPr>
              <w:pStyle w:val="TableParagraph"/>
              <w:spacing w:line="276" w:lineRule="auto" w:before="12"/>
              <w:ind w:left="21" w:right="7" w:firstLine="2"/>
              <w:jc w:val="center"/>
              <w:rPr>
                <w:rFonts w:ascii="Calibri" w:hAnsi="Calibri"/>
                <w:sz w:val="7"/>
              </w:rPr>
            </w:pPr>
            <w:r>
              <w:rPr>
                <w:rFonts w:ascii="Calibri" w:hAnsi="Calibri"/>
                <w:w w:val="110"/>
                <w:sz w:val="7"/>
              </w:rPr>
              <w:t>/Nulidad</w:t>
            </w:r>
            <w:r>
              <w:rPr>
                <w:rFonts w:ascii="Calibri" w:hAnsi="Calibri"/>
                <w:spacing w:val="-5"/>
                <w:w w:val="110"/>
                <w:sz w:val="7"/>
              </w:rPr>
              <w:t> </w:t>
            </w:r>
            <w:r>
              <w:rPr>
                <w:rFonts w:ascii="Calibri" w:hAnsi="Calibri"/>
                <w:w w:val="110"/>
                <w:sz w:val="7"/>
              </w:rPr>
              <w:t>Actos</w:t>
            </w:r>
            <w:r>
              <w:rPr>
                <w:rFonts w:ascii="Calibri" w:hAnsi="Calibri"/>
                <w:spacing w:val="40"/>
                <w:w w:val="110"/>
                <w:sz w:val="7"/>
              </w:rPr>
              <w:t> </w:t>
            </w:r>
            <w:r>
              <w:rPr>
                <w:rFonts w:ascii="Calibri" w:hAnsi="Calibri"/>
                <w:spacing w:val="-2"/>
                <w:w w:val="110"/>
                <w:sz w:val="7"/>
              </w:rPr>
              <w:t>Administrativos/Pa</w:t>
            </w:r>
            <w:r>
              <w:rPr>
                <w:rFonts w:ascii="Calibri" w:hAnsi="Calibri"/>
                <w:spacing w:val="40"/>
                <w:w w:val="110"/>
                <w:sz w:val="7"/>
              </w:rPr>
              <w:t> </w:t>
            </w:r>
            <w:r>
              <w:rPr>
                <w:rFonts w:ascii="Calibri" w:hAnsi="Calibri"/>
                <w:w w:val="110"/>
                <w:sz w:val="7"/>
              </w:rPr>
              <w:t>go de</w:t>
            </w:r>
            <w:r>
              <w:rPr>
                <w:rFonts w:ascii="Calibri" w:hAnsi="Calibri"/>
                <w:spacing w:val="-1"/>
                <w:w w:val="110"/>
                <w:sz w:val="7"/>
              </w:rPr>
              <w:t> </w:t>
            </w:r>
            <w:r>
              <w:rPr>
                <w:rFonts w:ascii="Calibri" w:hAnsi="Calibri"/>
                <w:w w:val="110"/>
                <w:sz w:val="7"/>
              </w:rPr>
              <w:t>daños</w:t>
            </w:r>
            <w:r>
              <w:rPr>
                <w:rFonts w:ascii="Calibri" w:hAnsi="Calibri"/>
                <w:spacing w:val="-1"/>
                <w:w w:val="110"/>
                <w:sz w:val="7"/>
              </w:rPr>
              <w:t> </w:t>
            </w:r>
            <w:r>
              <w:rPr>
                <w:rFonts w:ascii="Calibri" w:hAnsi="Calibri"/>
                <w:w w:val="110"/>
                <w:sz w:val="7"/>
              </w:rPr>
              <w:t>y</w:t>
            </w:r>
            <w:r>
              <w:rPr>
                <w:rFonts w:ascii="Calibri" w:hAnsi="Calibri"/>
                <w:spacing w:val="40"/>
                <w:w w:val="110"/>
                <w:sz w:val="7"/>
              </w:rPr>
              <w:t> </w:t>
            </w:r>
            <w:r>
              <w:rPr>
                <w:rFonts w:ascii="Calibri" w:hAnsi="Calibri"/>
                <w:spacing w:val="-2"/>
                <w:w w:val="110"/>
                <w:sz w:val="7"/>
              </w:rPr>
              <w:t>perjuicios</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7"/>
              <w:rPr>
                <w:sz w:val="7"/>
              </w:rPr>
            </w:pPr>
          </w:p>
          <w:p>
            <w:pPr>
              <w:pStyle w:val="TableParagraph"/>
              <w:spacing w:line="276" w:lineRule="auto"/>
              <w:ind w:left="65" w:firstLine="35"/>
              <w:rPr>
                <w:rFonts w:ascii="Calibri" w:hAnsi="Calibri"/>
                <w:sz w:val="7"/>
              </w:rPr>
            </w:pPr>
            <w:r>
              <w:rPr>
                <w:rFonts w:ascii="Calibri" w:hAnsi="Calibri"/>
                <w:w w:val="115"/>
                <w:sz w:val="7"/>
              </w:rPr>
              <w:t>Espera</w:t>
            </w:r>
            <w:r>
              <w:rPr>
                <w:rFonts w:ascii="Calibri" w:hAnsi="Calibri"/>
                <w:spacing w:val="-5"/>
                <w:w w:val="115"/>
                <w:sz w:val="7"/>
              </w:rPr>
              <w:t> </w:t>
            </w:r>
            <w:r>
              <w:rPr>
                <w:rFonts w:ascii="Calibri" w:hAnsi="Calibri"/>
                <w:w w:val="115"/>
                <w:sz w:val="7"/>
              </w:rPr>
              <w:t>resolución</w:t>
            </w:r>
            <w:r>
              <w:rPr>
                <w:rFonts w:ascii="Calibri" w:hAnsi="Calibri"/>
                <w:spacing w:val="-5"/>
                <w:w w:val="115"/>
                <w:sz w:val="7"/>
              </w:rPr>
              <w:t> </w:t>
            </w:r>
            <w:r>
              <w:rPr>
                <w:rFonts w:ascii="Calibri" w:hAnsi="Calibri"/>
                <w:w w:val="115"/>
                <w:sz w:val="7"/>
              </w:rPr>
              <w:t>de</w:t>
            </w:r>
            <w:r>
              <w:rPr>
                <w:rFonts w:ascii="Calibri" w:hAnsi="Calibri"/>
                <w:spacing w:val="40"/>
                <w:w w:val="115"/>
                <w:sz w:val="7"/>
              </w:rPr>
              <w:t> </w:t>
            </w:r>
            <w:r>
              <w:rPr>
                <w:rFonts w:ascii="Calibri" w:hAnsi="Calibri"/>
                <w:w w:val="110"/>
                <w:sz w:val="7"/>
              </w:rPr>
              <w:t>ejecución</w:t>
            </w:r>
            <w:r>
              <w:rPr>
                <w:rFonts w:ascii="Calibri" w:hAnsi="Calibri"/>
                <w:spacing w:val="2"/>
                <w:w w:val="110"/>
                <w:sz w:val="7"/>
              </w:rPr>
              <w:t> </w:t>
            </w:r>
            <w:r>
              <w:rPr>
                <w:rFonts w:ascii="Calibri" w:hAnsi="Calibri"/>
                <w:w w:val="110"/>
                <w:sz w:val="7"/>
              </w:rPr>
              <w:t>de</w:t>
            </w:r>
            <w:r>
              <w:rPr>
                <w:rFonts w:ascii="Calibri" w:hAnsi="Calibri"/>
                <w:spacing w:val="1"/>
                <w:w w:val="110"/>
                <w:sz w:val="7"/>
              </w:rPr>
              <w:t> </w:t>
            </w:r>
            <w:r>
              <w:rPr>
                <w:rFonts w:ascii="Calibri" w:hAnsi="Calibri"/>
                <w:spacing w:val="-2"/>
                <w:w w:val="110"/>
                <w:sz w:val="7"/>
              </w:rPr>
              <w:t>sentencia</w:t>
            </w:r>
          </w:p>
        </w:tc>
        <w:tc>
          <w:tcPr>
            <w:tcW w:w="106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6"/>
              <w:rPr>
                <w:sz w:val="7"/>
              </w:rPr>
            </w:pPr>
          </w:p>
          <w:p>
            <w:pPr>
              <w:pStyle w:val="TableParagraph"/>
              <w:spacing w:before="1"/>
              <w:ind w:left="353"/>
              <w:rPr>
                <w:sz w:val="7"/>
              </w:rPr>
            </w:pPr>
            <w:r>
              <w:rPr>
                <w:rFonts w:ascii="Times New Roman" w:hAnsi="Times New Roman"/>
                <w:w w:val="115"/>
                <w:sz w:val="7"/>
              </w:rPr>
              <w:t>₡</w:t>
            </w:r>
            <w:r>
              <w:rPr>
                <w:w w:val="115"/>
                <w:sz w:val="7"/>
              </w:rPr>
              <w:t>33</w:t>
            </w:r>
            <w:r>
              <w:rPr>
                <w:spacing w:val="-4"/>
                <w:w w:val="115"/>
                <w:sz w:val="7"/>
              </w:rPr>
              <w:t> </w:t>
            </w:r>
            <w:r>
              <w:rPr>
                <w:spacing w:val="-2"/>
                <w:w w:val="115"/>
                <w:sz w:val="7"/>
              </w:rPr>
              <w:t>012,00</w:t>
            </w:r>
          </w:p>
        </w:tc>
        <w:tc>
          <w:tcPr>
            <w:tcW w:w="1845"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64" w:lineRule="exact"/>
              <w:ind w:left="17"/>
              <w:rPr>
                <w:rFonts w:ascii="Calibri"/>
                <w:sz w:val="7"/>
              </w:rPr>
            </w:pPr>
            <w:r>
              <w:rPr>
                <w:rFonts w:ascii="Calibri"/>
                <w:w w:val="110"/>
                <w:sz w:val="7"/>
              </w:rPr>
              <w:t>En</w:t>
            </w:r>
            <w:r>
              <w:rPr>
                <w:rFonts w:ascii="Calibri"/>
                <w:spacing w:val="-1"/>
                <w:w w:val="110"/>
                <w:sz w:val="7"/>
              </w:rPr>
              <w:t> </w:t>
            </w:r>
            <w:r>
              <w:rPr>
                <w:rFonts w:ascii="Calibri"/>
                <w:w w:val="110"/>
                <w:sz w:val="7"/>
              </w:rPr>
              <w:t>primera</w:t>
            </w:r>
            <w:r>
              <w:rPr>
                <w:rFonts w:ascii="Calibri"/>
                <w:spacing w:val="-2"/>
                <w:w w:val="110"/>
                <w:sz w:val="7"/>
              </w:rPr>
              <w:t> </w:t>
            </w:r>
            <w:r>
              <w:rPr>
                <w:rFonts w:ascii="Calibri"/>
                <w:w w:val="110"/>
                <w:sz w:val="7"/>
              </w:rPr>
              <w:t>instancia</w:t>
            </w:r>
            <w:r>
              <w:rPr>
                <w:rFonts w:ascii="Calibri"/>
                <w:spacing w:val="-2"/>
                <w:w w:val="110"/>
                <w:sz w:val="7"/>
              </w:rPr>
              <w:t> </w:t>
            </w:r>
            <w:r>
              <w:rPr>
                <w:rFonts w:ascii="Calibri"/>
                <w:w w:val="110"/>
                <w:sz w:val="7"/>
              </w:rPr>
              <w:t>se</w:t>
            </w:r>
            <w:r>
              <w:rPr>
                <w:rFonts w:ascii="Calibri"/>
                <w:spacing w:val="-3"/>
                <w:w w:val="110"/>
                <w:sz w:val="7"/>
              </w:rPr>
              <w:t> </w:t>
            </w:r>
            <w:r>
              <w:rPr>
                <w:rFonts w:ascii="Calibri"/>
                <w:w w:val="110"/>
                <w:sz w:val="7"/>
              </w:rPr>
              <w:t>condena</w:t>
            </w:r>
            <w:r>
              <w:rPr>
                <w:rFonts w:ascii="Calibri"/>
                <w:spacing w:val="-2"/>
                <w:w w:val="110"/>
                <w:sz w:val="7"/>
              </w:rPr>
              <w:t> </w:t>
            </w:r>
            <w:r>
              <w:rPr>
                <w:rFonts w:ascii="Calibri"/>
                <w:w w:val="110"/>
                <w:sz w:val="7"/>
              </w:rPr>
              <w:t>a</w:t>
            </w:r>
            <w:r>
              <w:rPr>
                <w:rFonts w:ascii="Calibri"/>
                <w:spacing w:val="-2"/>
                <w:w w:val="110"/>
                <w:sz w:val="7"/>
              </w:rPr>
              <w:t> </w:t>
            </w:r>
            <w:r>
              <w:rPr>
                <w:rFonts w:ascii="Calibri"/>
                <w:w w:val="110"/>
                <w:sz w:val="7"/>
              </w:rPr>
              <w:t>IMAS</w:t>
            </w:r>
            <w:r>
              <w:rPr>
                <w:rFonts w:ascii="Calibri"/>
                <w:spacing w:val="-2"/>
                <w:w w:val="110"/>
                <w:sz w:val="7"/>
              </w:rPr>
              <w:t> </w:t>
            </w:r>
            <w:r>
              <w:rPr>
                <w:rFonts w:ascii="Calibri"/>
                <w:w w:val="110"/>
                <w:sz w:val="7"/>
              </w:rPr>
              <w:t>pagar:</w:t>
            </w:r>
            <w:r>
              <w:rPr>
                <w:rFonts w:ascii="Calibri"/>
                <w:spacing w:val="-1"/>
                <w:w w:val="110"/>
                <w:sz w:val="7"/>
              </w:rPr>
              <w:t> </w:t>
            </w:r>
            <w:r>
              <w:rPr>
                <w:rFonts w:ascii="Calibri"/>
                <w:spacing w:val="-10"/>
                <w:w w:val="110"/>
                <w:sz w:val="7"/>
              </w:rPr>
              <w:t>5</w:t>
            </w:r>
          </w:p>
          <w:p>
            <w:pPr>
              <w:pStyle w:val="TableParagraph"/>
              <w:spacing w:line="276" w:lineRule="auto" w:before="12"/>
              <w:ind w:left="17" w:right="13"/>
              <w:rPr>
                <w:rFonts w:ascii="Calibri" w:hAnsi="Calibri"/>
                <w:sz w:val="7"/>
              </w:rPr>
            </w:pPr>
            <w:r>
              <w:rPr>
                <w:rFonts w:ascii="Calibri" w:hAnsi="Calibri"/>
                <w:w w:val="115"/>
                <w:sz w:val="7"/>
              </w:rPr>
              <w:t>millones</w:t>
            </w:r>
            <w:r>
              <w:rPr>
                <w:rFonts w:ascii="Calibri" w:hAnsi="Calibri"/>
                <w:spacing w:val="-5"/>
                <w:w w:val="115"/>
                <w:sz w:val="7"/>
              </w:rPr>
              <w:t> </w:t>
            </w:r>
            <w:r>
              <w:rPr>
                <w:rFonts w:ascii="Calibri" w:hAnsi="Calibri"/>
                <w:w w:val="115"/>
                <w:sz w:val="7"/>
              </w:rPr>
              <w:t>daño</w:t>
            </w:r>
            <w:r>
              <w:rPr>
                <w:rFonts w:ascii="Calibri" w:hAnsi="Calibri"/>
                <w:spacing w:val="-4"/>
                <w:w w:val="115"/>
                <w:sz w:val="7"/>
              </w:rPr>
              <w:t> </w:t>
            </w:r>
            <w:r>
              <w:rPr>
                <w:rFonts w:ascii="Calibri" w:hAnsi="Calibri"/>
                <w:w w:val="115"/>
                <w:sz w:val="7"/>
              </w:rPr>
              <w:t>moral,</w:t>
            </w:r>
            <w:r>
              <w:rPr>
                <w:rFonts w:ascii="Calibri" w:hAnsi="Calibri"/>
                <w:spacing w:val="-4"/>
                <w:w w:val="115"/>
                <w:sz w:val="7"/>
              </w:rPr>
              <w:t> </w:t>
            </w:r>
            <w:r>
              <w:rPr>
                <w:rFonts w:ascii="Calibri" w:hAnsi="Calibri"/>
                <w:w w:val="115"/>
                <w:sz w:val="7"/>
              </w:rPr>
              <w:t>mas</w:t>
            </w:r>
            <w:r>
              <w:rPr>
                <w:rFonts w:ascii="Calibri" w:hAnsi="Calibri"/>
                <w:spacing w:val="-4"/>
                <w:w w:val="115"/>
                <w:sz w:val="7"/>
              </w:rPr>
              <w:t> </w:t>
            </w:r>
            <w:r>
              <w:rPr>
                <w:rFonts w:ascii="Calibri" w:hAnsi="Calibri"/>
                <w:w w:val="115"/>
                <w:sz w:val="7"/>
              </w:rPr>
              <w:t>costas,</w:t>
            </w:r>
            <w:r>
              <w:rPr>
                <w:rFonts w:ascii="Calibri" w:hAnsi="Calibri"/>
                <w:spacing w:val="-5"/>
                <w:w w:val="115"/>
                <w:sz w:val="7"/>
              </w:rPr>
              <w:t> </w:t>
            </w:r>
            <w:r>
              <w:rPr>
                <w:rFonts w:ascii="Calibri" w:hAnsi="Calibri"/>
                <w:w w:val="115"/>
                <w:sz w:val="7"/>
              </w:rPr>
              <w:t>intereses,</w:t>
            </w:r>
            <w:r>
              <w:rPr>
                <w:rFonts w:ascii="Calibri" w:hAnsi="Calibri"/>
                <w:spacing w:val="-5"/>
                <w:w w:val="115"/>
                <w:sz w:val="7"/>
              </w:rPr>
              <w:t> </w:t>
            </w:r>
            <w:r>
              <w:rPr>
                <w:rFonts w:ascii="Calibri" w:hAnsi="Calibri"/>
                <w:w w:val="115"/>
                <w:sz w:val="7"/>
              </w:rPr>
              <w:t>indexación</w:t>
            </w:r>
            <w:r>
              <w:rPr>
                <w:rFonts w:ascii="Calibri" w:hAnsi="Calibri"/>
                <w:spacing w:val="40"/>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los</w:t>
            </w:r>
            <w:r>
              <w:rPr>
                <w:rFonts w:ascii="Calibri" w:hAnsi="Calibri"/>
                <w:spacing w:val="-5"/>
                <w:w w:val="115"/>
                <w:sz w:val="7"/>
              </w:rPr>
              <w:t> </w:t>
            </w:r>
            <w:r>
              <w:rPr>
                <w:rFonts w:ascii="Calibri" w:hAnsi="Calibri"/>
                <w:w w:val="115"/>
                <w:sz w:val="7"/>
              </w:rPr>
              <w:t>montos</w:t>
            </w:r>
            <w:r>
              <w:rPr>
                <w:rFonts w:ascii="Calibri" w:hAnsi="Calibri"/>
                <w:spacing w:val="-4"/>
                <w:w w:val="115"/>
                <w:sz w:val="7"/>
              </w:rPr>
              <w:t> </w:t>
            </w:r>
            <w:r>
              <w:rPr>
                <w:rFonts w:ascii="Calibri" w:hAnsi="Calibri"/>
                <w:w w:val="115"/>
                <w:sz w:val="7"/>
              </w:rPr>
              <w:t>dejados</w:t>
            </w:r>
            <w:r>
              <w:rPr>
                <w:rFonts w:ascii="Calibri" w:hAnsi="Calibri"/>
                <w:spacing w:val="-5"/>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percibir</w:t>
            </w:r>
            <w:r>
              <w:rPr>
                <w:rFonts w:ascii="Calibri" w:hAnsi="Calibri"/>
                <w:spacing w:val="-5"/>
                <w:w w:val="115"/>
                <w:sz w:val="7"/>
              </w:rPr>
              <w:t> </w:t>
            </w:r>
            <w:r>
              <w:rPr>
                <w:rFonts w:ascii="Calibri" w:hAnsi="Calibri"/>
                <w:w w:val="115"/>
                <w:sz w:val="7"/>
              </w:rPr>
              <w:t>a</w:t>
            </w:r>
            <w:r>
              <w:rPr>
                <w:rFonts w:ascii="Calibri" w:hAnsi="Calibri"/>
                <w:spacing w:val="-4"/>
                <w:w w:val="115"/>
                <w:sz w:val="7"/>
              </w:rPr>
              <w:t> </w:t>
            </w:r>
            <w:r>
              <w:rPr>
                <w:rFonts w:ascii="Calibri" w:hAnsi="Calibri"/>
                <w:w w:val="115"/>
                <w:sz w:val="7"/>
              </w:rPr>
              <w:t>partir</w:t>
            </w:r>
            <w:r>
              <w:rPr>
                <w:rFonts w:ascii="Calibri" w:hAnsi="Calibri"/>
                <w:spacing w:val="-5"/>
                <w:w w:val="115"/>
                <w:sz w:val="7"/>
              </w:rPr>
              <w:t> </w:t>
            </w:r>
            <w:r>
              <w:rPr>
                <w:rFonts w:ascii="Calibri" w:hAnsi="Calibri"/>
                <w:w w:val="115"/>
                <w:sz w:val="7"/>
              </w:rPr>
              <w:t>del</w:t>
            </w:r>
            <w:r>
              <w:rPr>
                <w:rFonts w:ascii="Calibri" w:hAnsi="Calibri"/>
                <w:spacing w:val="-4"/>
                <w:w w:val="115"/>
                <w:sz w:val="7"/>
              </w:rPr>
              <w:t> </w:t>
            </w:r>
            <w:r>
              <w:rPr>
                <w:rFonts w:ascii="Calibri" w:hAnsi="Calibri"/>
                <w:w w:val="115"/>
                <w:sz w:val="7"/>
              </w:rPr>
              <w:t>05</w:t>
            </w:r>
            <w:r>
              <w:rPr>
                <w:rFonts w:ascii="Calibri" w:hAnsi="Calibri"/>
                <w:spacing w:val="-5"/>
                <w:w w:val="115"/>
                <w:sz w:val="7"/>
              </w:rPr>
              <w:t> </w:t>
            </w:r>
            <w:r>
              <w:rPr>
                <w:rFonts w:ascii="Calibri" w:hAnsi="Calibri"/>
                <w:w w:val="115"/>
                <w:sz w:val="7"/>
              </w:rPr>
              <w:t>de</w:t>
            </w:r>
            <w:r>
              <w:rPr>
                <w:rFonts w:ascii="Calibri" w:hAnsi="Calibri"/>
                <w:spacing w:val="-5"/>
                <w:w w:val="115"/>
                <w:sz w:val="7"/>
              </w:rPr>
              <w:t> </w:t>
            </w:r>
            <w:r>
              <w:rPr>
                <w:rFonts w:ascii="Calibri" w:hAnsi="Calibri"/>
                <w:w w:val="115"/>
                <w:sz w:val="7"/>
              </w:rPr>
              <w:t>enero</w:t>
            </w:r>
            <w:r>
              <w:rPr>
                <w:rFonts w:ascii="Calibri" w:hAnsi="Calibri"/>
                <w:spacing w:val="40"/>
                <w:w w:val="115"/>
                <w:sz w:val="7"/>
              </w:rPr>
              <w:t> </w:t>
            </w:r>
            <w:r>
              <w:rPr>
                <w:rFonts w:ascii="Calibri" w:hAnsi="Calibri"/>
                <w:w w:val="115"/>
                <w:sz w:val="7"/>
              </w:rPr>
              <w:t>del</w:t>
            </w:r>
            <w:r>
              <w:rPr>
                <w:rFonts w:ascii="Calibri" w:hAnsi="Calibri"/>
                <w:spacing w:val="-1"/>
                <w:w w:val="115"/>
                <w:sz w:val="7"/>
              </w:rPr>
              <w:t> </w:t>
            </w:r>
            <w:r>
              <w:rPr>
                <w:rFonts w:ascii="Calibri" w:hAnsi="Calibri"/>
                <w:w w:val="115"/>
                <w:sz w:val="7"/>
              </w:rPr>
              <w:t>2017</w:t>
            </w:r>
            <w:r>
              <w:rPr>
                <w:rFonts w:ascii="Calibri" w:hAnsi="Calibri"/>
                <w:spacing w:val="-1"/>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hasta</w:t>
            </w:r>
            <w:r>
              <w:rPr>
                <w:rFonts w:ascii="Calibri" w:hAnsi="Calibri"/>
                <w:spacing w:val="-4"/>
                <w:w w:val="115"/>
                <w:sz w:val="7"/>
              </w:rPr>
              <w:t> </w:t>
            </w:r>
            <w:r>
              <w:rPr>
                <w:rFonts w:ascii="Calibri" w:hAnsi="Calibri"/>
                <w:w w:val="115"/>
                <w:sz w:val="7"/>
              </w:rPr>
              <w:t>el</w:t>
            </w:r>
            <w:r>
              <w:rPr>
                <w:rFonts w:ascii="Calibri" w:hAnsi="Calibri"/>
                <w:spacing w:val="-1"/>
                <w:w w:val="115"/>
                <w:sz w:val="7"/>
              </w:rPr>
              <w:t> </w:t>
            </w:r>
            <w:r>
              <w:rPr>
                <w:rFonts w:ascii="Calibri" w:hAnsi="Calibri"/>
                <w:w w:val="115"/>
                <w:sz w:val="7"/>
              </w:rPr>
              <w:t>04</w:t>
            </w:r>
            <w:r>
              <w:rPr>
                <w:rFonts w:ascii="Calibri" w:hAnsi="Calibri"/>
                <w:spacing w:val="-1"/>
                <w:w w:val="115"/>
                <w:sz w:val="7"/>
              </w:rPr>
              <w:t> </w:t>
            </w:r>
            <w:r>
              <w:rPr>
                <w:rFonts w:ascii="Calibri" w:hAnsi="Calibri"/>
                <w:w w:val="115"/>
                <w:sz w:val="7"/>
              </w:rPr>
              <w:t>de</w:t>
            </w:r>
            <w:r>
              <w:rPr>
                <w:rFonts w:ascii="Calibri" w:hAnsi="Calibri"/>
                <w:spacing w:val="-2"/>
                <w:w w:val="115"/>
                <w:sz w:val="7"/>
              </w:rPr>
              <w:t> </w:t>
            </w:r>
            <w:r>
              <w:rPr>
                <w:rFonts w:ascii="Calibri" w:hAnsi="Calibri"/>
                <w:w w:val="115"/>
                <w:sz w:val="7"/>
              </w:rPr>
              <w:t>septiembre</w:t>
            </w:r>
            <w:r>
              <w:rPr>
                <w:rFonts w:ascii="Calibri" w:hAnsi="Calibri"/>
                <w:spacing w:val="-4"/>
                <w:w w:val="115"/>
                <w:sz w:val="7"/>
              </w:rPr>
              <w:t> </w:t>
            </w:r>
            <w:r>
              <w:rPr>
                <w:rFonts w:ascii="Calibri" w:hAnsi="Calibri"/>
                <w:w w:val="115"/>
                <w:sz w:val="7"/>
              </w:rPr>
              <w:t>2017</w:t>
            </w:r>
            <w:r>
              <w:rPr>
                <w:rFonts w:ascii="Calibri" w:hAnsi="Calibri"/>
                <w:spacing w:val="-1"/>
                <w:w w:val="115"/>
                <w:sz w:val="7"/>
              </w:rPr>
              <w:t> </w:t>
            </w:r>
            <w:r>
              <w:rPr>
                <w:rFonts w:ascii="Calibri" w:hAnsi="Calibri"/>
                <w:w w:val="115"/>
                <w:sz w:val="7"/>
              </w:rPr>
              <w:t>por</w:t>
            </w:r>
            <w:r>
              <w:rPr>
                <w:rFonts w:ascii="Calibri" w:hAnsi="Calibri"/>
                <w:spacing w:val="-4"/>
                <w:w w:val="115"/>
                <w:sz w:val="7"/>
              </w:rPr>
              <w:t> </w:t>
            </w:r>
            <w:r>
              <w:rPr>
                <w:rFonts w:ascii="Calibri" w:hAnsi="Calibri"/>
                <w:w w:val="115"/>
                <w:sz w:val="7"/>
              </w:rPr>
              <w:t>el</w:t>
            </w:r>
            <w:r>
              <w:rPr>
                <w:rFonts w:ascii="Calibri" w:hAnsi="Calibri"/>
                <w:spacing w:val="-1"/>
                <w:w w:val="115"/>
                <w:sz w:val="7"/>
              </w:rPr>
              <w:t> </w:t>
            </w:r>
            <w:r>
              <w:rPr>
                <w:rFonts w:ascii="Calibri" w:hAnsi="Calibri"/>
                <w:w w:val="115"/>
                <w:sz w:val="7"/>
              </w:rPr>
              <w:t>cuido</w:t>
            </w:r>
            <w:r>
              <w:rPr>
                <w:rFonts w:ascii="Calibri" w:hAnsi="Calibri"/>
                <w:spacing w:val="40"/>
                <w:w w:val="115"/>
                <w:sz w:val="7"/>
              </w:rPr>
              <w:t> </w:t>
            </w:r>
            <w:r>
              <w:rPr>
                <w:rFonts w:ascii="Calibri" w:hAnsi="Calibri"/>
                <w:w w:val="115"/>
                <w:sz w:val="7"/>
              </w:rPr>
              <w:t>de</w:t>
            </w:r>
            <w:r>
              <w:rPr>
                <w:rFonts w:ascii="Calibri" w:hAnsi="Calibri"/>
                <w:spacing w:val="-3"/>
                <w:w w:val="115"/>
                <w:sz w:val="7"/>
              </w:rPr>
              <w:t> </w:t>
            </w:r>
            <w:r>
              <w:rPr>
                <w:rFonts w:ascii="Calibri" w:hAnsi="Calibri"/>
                <w:w w:val="115"/>
                <w:sz w:val="7"/>
              </w:rPr>
              <w:t>28</w:t>
            </w:r>
            <w:r>
              <w:rPr>
                <w:rFonts w:ascii="Calibri" w:hAnsi="Calibri"/>
                <w:spacing w:val="-1"/>
                <w:w w:val="115"/>
                <w:sz w:val="7"/>
              </w:rPr>
              <w:t> </w:t>
            </w:r>
            <w:r>
              <w:rPr>
                <w:rFonts w:ascii="Calibri" w:hAnsi="Calibri"/>
                <w:w w:val="115"/>
                <w:sz w:val="7"/>
              </w:rPr>
              <w:t>niños.</w:t>
            </w:r>
            <w:r>
              <w:rPr>
                <w:rFonts w:ascii="Calibri" w:hAnsi="Calibri"/>
                <w:spacing w:val="-2"/>
                <w:w w:val="115"/>
                <w:sz w:val="7"/>
              </w:rPr>
              <w:t> </w:t>
            </w:r>
            <w:r>
              <w:rPr>
                <w:rFonts w:ascii="Calibri" w:hAnsi="Calibri"/>
                <w:w w:val="115"/>
                <w:sz w:val="7"/>
              </w:rPr>
              <w:t>Todo</w:t>
            </w:r>
            <w:r>
              <w:rPr>
                <w:rFonts w:ascii="Calibri" w:hAnsi="Calibri"/>
                <w:spacing w:val="-1"/>
                <w:w w:val="115"/>
                <w:sz w:val="7"/>
              </w:rPr>
              <w:t> </w:t>
            </w:r>
            <w:r>
              <w:rPr>
                <w:rFonts w:ascii="Calibri" w:hAnsi="Calibri"/>
                <w:w w:val="115"/>
                <w:sz w:val="7"/>
              </w:rPr>
              <w:t>se</w:t>
            </w:r>
            <w:r>
              <w:rPr>
                <w:rFonts w:ascii="Calibri" w:hAnsi="Calibri"/>
                <w:spacing w:val="-3"/>
                <w:w w:val="115"/>
                <w:sz w:val="7"/>
              </w:rPr>
              <w:t> </w:t>
            </w:r>
            <w:r>
              <w:rPr>
                <w:rFonts w:ascii="Calibri" w:hAnsi="Calibri"/>
                <w:w w:val="115"/>
                <w:sz w:val="7"/>
              </w:rPr>
              <w:t>verá</w:t>
            </w:r>
            <w:r>
              <w:rPr>
                <w:rFonts w:ascii="Calibri" w:hAnsi="Calibri"/>
                <w:spacing w:val="-3"/>
                <w:w w:val="115"/>
                <w:sz w:val="7"/>
              </w:rPr>
              <w:t> </w:t>
            </w:r>
            <w:r>
              <w:rPr>
                <w:rFonts w:ascii="Calibri" w:hAnsi="Calibri"/>
                <w:w w:val="115"/>
                <w:sz w:val="7"/>
              </w:rPr>
              <w:t>en</w:t>
            </w:r>
            <w:r>
              <w:rPr>
                <w:rFonts w:ascii="Calibri" w:hAnsi="Calibri"/>
                <w:spacing w:val="-1"/>
                <w:w w:val="115"/>
                <w:sz w:val="7"/>
              </w:rPr>
              <w:t> </w:t>
            </w:r>
            <w:r>
              <w:rPr>
                <w:rFonts w:ascii="Calibri" w:hAnsi="Calibri"/>
                <w:w w:val="115"/>
                <w:sz w:val="7"/>
              </w:rPr>
              <w:t>etapa</w:t>
            </w:r>
            <w:r>
              <w:rPr>
                <w:rFonts w:ascii="Calibri" w:hAnsi="Calibri"/>
                <w:spacing w:val="-3"/>
                <w:w w:val="115"/>
                <w:sz w:val="7"/>
              </w:rPr>
              <w:t> </w:t>
            </w:r>
            <w:r>
              <w:rPr>
                <w:rFonts w:ascii="Calibri" w:hAnsi="Calibri"/>
                <w:w w:val="115"/>
                <w:sz w:val="7"/>
              </w:rPr>
              <w:t>de</w:t>
            </w:r>
            <w:r>
              <w:rPr>
                <w:rFonts w:ascii="Calibri" w:hAnsi="Calibri"/>
                <w:spacing w:val="-2"/>
                <w:w w:val="115"/>
                <w:sz w:val="7"/>
              </w:rPr>
              <w:t> </w:t>
            </w:r>
            <w:r>
              <w:rPr>
                <w:rFonts w:ascii="Calibri" w:hAnsi="Calibri"/>
                <w:w w:val="115"/>
                <w:sz w:val="7"/>
              </w:rPr>
              <w:t>ejecución</w:t>
            </w:r>
            <w:r>
              <w:rPr>
                <w:rFonts w:ascii="Calibri" w:hAnsi="Calibri"/>
                <w:spacing w:val="-1"/>
                <w:w w:val="115"/>
                <w:sz w:val="7"/>
              </w:rPr>
              <w:t> </w:t>
            </w:r>
            <w:r>
              <w:rPr>
                <w:rFonts w:ascii="Calibri" w:hAnsi="Calibri"/>
                <w:w w:val="115"/>
                <w:sz w:val="7"/>
              </w:rPr>
              <w:t>de</w:t>
            </w:r>
            <w:r>
              <w:rPr>
                <w:rFonts w:ascii="Calibri" w:hAnsi="Calibri"/>
                <w:spacing w:val="40"/>
                <w:w w:val="115"/>
                <w:sz w:val="7"/>
              </w:rPr>
              <w:t> </w:t>
            </w:r>
            <w:r>
              <w:rPr>
                <w:rFonts w:ascii="Calibri" w:hAnsi="Calibri"/>
                <w:w w:val="115"/>
                <w:sz w:val="7"/>
              </w:rPr>
              <w:t>sentencia.</w:t>
            </w:r>
            <w:r>
              <w:rPr>
                <w:rFonts w:ascii="Calibri" w:hAnsi="Calibri"/>
                <w:spacing w:val="-5"/>
                <w:w w:val="115"/>
                <w:sz w:val="7"/>
              </w:rPr>
              <w:t> </w:t>
            </w:r>
            <w:r>
              <w:rPr>
                <w:rFonts w:ascii="Calibri" w:hAnsi="Calibri"/>
                <w:w w:val="115"/>
                <w:sz w:val="7"/>
              </w:rPr>
              <w:t>En</w:t>
            </w:r>
            <w:r>
              <w:rPr>
                <w:rFonts w:ascii="Calibri" w:hAnsi="Calibri"/>
                <w:spacing w:val="-5"/>
                <w:w w:val="115"/>
                <w:sz w:val="7"/>
              </w:rPr>
              <w:t> </w:t>
            </w:r>
            <w:r>
              <w:rPr>
                <w:rFonts w:ascii="Calibri" w:hAnsi="Calibri"/>
                <w:w w:val="115"/>
                <w:sz w:val="7"/>
              </w:rPr>
              <w:t>Res.</w:t>
            </w:r>
            <w:r>
              <w:rPr>
                <w:rFonts w:ascii="Calibri" w:hAnsi="Calibri"/>
                <w:spacing w:val="-4"/>
                <w:w w:val="115"/>
                <w:sz w:val="7"/>
              </w:rPr>
              <w:t> </w:t>
            </w:r>
            <w:r>
              <w:rPr>
                <w:rFonts w:ascii="Calibri" w:hAnsi="Calibri"/>
                <w:w w:val="115"/>
                <w:sz w:val="7"/>
              </w:rPr>
              <w:t>000860-F-S1-2024</w:t>
            </w:r>
            <w:r>
              <w:rPr>
                <w:rFonts w:ascii="Calibri" w:hAnsi="Calibri"/>
                <w:spacing w:val="-5"/>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la</w:t>
            </w:r>
            <w:r>
              <w:rPr>
                <w:rFonts w:ascii="Calibri" w:hAnsi="Calibri"/>
                <w:spacing w:val="-5"/>
                <w:w w:val="115"/>
                <w:sz w:val="7"/>
              </w:rPr>
              <w:t> </w:t>
            </w:r>
            <w:r>
              <w:rPr>
                <w:rFonts w:ascii="Calibri" w:hAnsi="Calibri"/>
                <w:w w:val="115"/>
                <w:sz w:val="7"/>
              </w:rPr>
              <w:t>Sala</w:t>
            </w:r>
            <w:r>
              <w:rPr>
                <w:rFonts w:ascii="Calibri" w:hAnsi="Calibri"/>
                <w:spacing w:val="-4"/>
                <w:w w:val="115"/>
                <w:sz w:val="7"/>
              </w:rPr>
              <w:t> </w:t>
            </w:r>
            <w:r>
              <w:rPr>
                <w:rFonts w:ascii="Calibri" w:hAnsi="Calibri"/>
                <w:w w:val="115"/>
                <w:sz w:val="7"/>
              </w:rPr>
              <w:t>Primera</w:t>
            </w:r>
            <w:r>
              <w:rPr>
                <w:rFonts w:ascii="Calibri" w:hAnsi="Calibri"/>
                <w:spacing w:val="40"/>
                <w:w w:val="115"/>
                <w:sz w:val="7"/>
              </w:rPr>
              <w:t> </w:t>
            </w:r>
            <w:r>
              <w:rPr>
                <w:rFonts w:ascii="Calibri" w:hAnsi="Calibri"/>
                <w:w w:val="115"/>
                <w:sz w:val="7"/>
              </w:rPr>
              <w:t>de</w:t>
            </w:r>
            <w:r>
              <w:rPr>
                <w:rFonts w:ascii="Calibri" w:hAnsi="Calibri"/>
                <w:spacing w:val="-5"/>
                <w:w w:val="115"/>
                <w:sz w:val="7"/>
              </w:rPr>
              <w:t> </w:t>
            </w:r>
            <w:r>
              <w:rPr>
                <w:rFonts w:ascii="Calibri" w:hAnsi="Calibri"/>
                <w:w w:val="115"/>
                <w:sz w:val="7"/>
              </w:rPr>
              <w:t>la</w:t>
            </w:r>
            <w:r>
              <w:rPr>
                <w:rFonts w:ascii="Calibri" w:hAnsi="Calibri"/>
                <w:spacing w:val="-5"/>
                <w:w w:val="115"/>
                <w:sz w:val="7"/>
              </w:rPr>
              <w:t> </w:t>
            </w:r>
            <w:r>
              <w:rPr>
                <w:rFonts w:ascii="Calibri" w:hAnsi="Calibri"/>
                <w:w w:val="115"/>
                <w:sz w:val="7"/>
              </w:rPr>
              <w:t>Corte</w:t>
            </w:r>
            <w:r>
              <w:rPr>
                <w:rFonts w:ascii="Calibri" w:hAnsi="Calibri"/>
                <w:spacing w:val="-4"/>
                <w:w w:val="115"/>
                <w:sz w:val="7"/>
              </w:rPr>
              <w:t> </w:t>
            </w:r>
            <w:r>
              <w:rPr>
                <w:rFonts w:ascii="Calibri" w:hAnsi="Calibri"/>
                <w:w w:val="115"/>
                <w:sz w:val="7"/>
              </w:rPr>
              <w:t>Suprema</w:t>
            </w:r>
            <w:r>
              <w:rPr>
                <w:rFonts w:ascii="Calibri" w:hAnsi="Calibri"/>
                <w:spacing w:val="-5"/>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Justicia:</w:t>
            </w:r>
            <w:r>
              <w:rPr>
                <w:rFonts w:ascii="Calibri" w:hAnsi="Calibri"/>
                <w:spacing w:val="-5"/>
                <w:w w:val="115"/>
                <w:sz w:val="7"/>
              </w:rPr>
              <w:t> </w:t>
            </w:r>
            <w:r>
              <w:rPr>
                <w:rFonts w:ascii="Calibri" w:hAnsi="Calibri"/>
                <w:w w:val="115"/>
                <w:sz w:val="7"/>
              </w:rPr>
              <w:t>Se</w:t>
            </w:r>
            <w:r>
              <w:rPr>
                <w:rFonts w:ascii="Calibri" w:hAnsi="Calibri"/>
                <w:spacing w:val="-4"/>
                <w:w w:val="115"/>
                <w:sz w:val="7"/>
              </w:rPr>
              <w:t> </w:t>
            </w:r>
            <w:r>
              <w:rPr>
                <w:rFonts w:ascii="Calibri" w:hAnsi="Calibri"/>
                <w:w w:val="115"/>
                <w:sz w:val="7"/>
              </w:rPr>
              <w:t>declaran</w:t>
            </w:r>
            <w:r>
              <w:rPr>
                <w:rFonts w:ascii="Calibri" w:hAnsi="Calibri"/>
                <w:spacing w:val="-5"/>
                <w:w w:val="115"/>
                <w:sz w:val="7"/>
              </w:rPr>
              <w:t> </w:t>
            </w:r>
            <w:r>
              <w:rPr>
                <w:rFonts w:ascii="Calibri" w:hAnsi="Calibri"/>
                <w:w w:val="115"/>
                <w:sz w:val="7"/>
              </w:rPr>
              <w:t>sin</w:t>
            </w:r>
            <w:r>
              <w:rPr>
                <w:rFonts w:ascii="Calibri" w:hAnsi="Calibri"/>
                <w:spacing w:val="-4"/>
                <w:w w:val="115"/>
                <w:sz w:val="7"/>
              </w:rPr>
              <w:t> </w:t>
            </w:r>
            <w:r>
              <w:rPr>
                <w:rFonts w:ascii="Calibri" w:hAnsi="Calibri"/>
                <w:w w:val="115"/>
                <w:sz w:val="7"/>
              </w:rPr>
              <w:t>lugar</w:t>
            </w:r>
            <w:r>
              <w:rPr>
                <w:rFonts w:ascii="Calibri" w:hAnsi="Calibri"/>
                <w:spacing w:val="-5"/>
                <w:w w:val="115"/>
                <w:sz w:val="7"/>
              </w:rPr>
              <w:t> </w:t>
            </w:r>
            <w:r>
              <w:rPr>
                <w:rFonts w:ascii="Calibri" w:hAnsi="Calibri"/>
                <w:w w:val="115"/>
                <w:sz w:val="7"/>
              </w:rPr>
              <w:t>los</w:t>
            </w:r>
            <w:r>
              <w:rPr>
                <w:rFonts w:ascii="Calibri" w:hAnsi="Calibri"/>
                <w:spacing w:val="40"/>
                <w:w w:val="115"/>
                <w:sz w:val="7"/>
              </w:rPr>
              <w:t> </w:t>
            </w:r>
            <w:r>
              <w:rPr>
                <w:rFonts w:ascii="Calibri" w:hAnsi="Calibri"/>
                <w:w w:val="115"/>
                <w:sz w:val="7"/>
              </w:rPr>
              <w:t>recursos</w:t>
            </w:r>
            <w:r>
              <w:rPr>
                <w:rFonts w:ascii="Calibri" w:hAnsi="Calibri"/>
                <w:spacing w:val="-2"/>
                <w:w w:val="115"/>
                <w:sz w:val="7"/>
              </w:rPr>
              <w:t> </w:t>
            </w:r>
            <w:r>
              <w:rPr>
                <w:rFonts w:ascii="Calibri" w:hAnsi="Calibri"/>
                <w:w w:val="115"/>
                <w:sz w:val="7"/>
              </w:rPr>
              <w:t>de</w:t>
            </w:r>
            <w:r>
              <w:rPr>
                <w:rFonts w:ascii="Calibri" w:hAnsi="Calibri"/>
                <w:spacing w:val="-3"/>
                <w:w w:val="115"/>
                <w:sz w:val="7"/>
              </w:rPr>
              <w:t> </w:t>
            </w:r>
            <w:r>
              <w:rPr>
                <w:rFonts w:ascii="Calibri" w:hAnsi="Calibri"/>
                <w:w w:val="115"/>
                <w:sz w:val="7"/>
              </w:rPr>
              <w:t>casación</w:t>
            </w:r>
            <w:r>
              <w:rPr>
                <w:rFonts w:ascii="Calibri" w:hAnsi="Calibri"/>
                <w:spacing w:val="-1"/>
                <w:w w:val="115"/>
                <w:sz w:val="7"/>
              </w:rPr>
              <w:t> </w:t>
            </w:r>
            <w:r>
              <w:rPr>
                <w:rFonts w:ascii="Calibri" w:hAnsi="Calibri"/>
                <w:w w:val="115"/>
                <w:sz w:val="7"/>
              </w:rPr>
              <w:t>planteados.</w:t>
            </w:r>
            <w:r>
              <w:rPr>
                <w:rFonts w:ascii="Calibri" w:hAnsi="Calibri"/>
                <w:spacing w:val="-2"/>
                <w:w w:val="115"/>
                <w:sz w:val="7"/>
              </w:rPr>
              <w:t> </w:t>
            </w:r>
            <w:r>
              <w:rPr>
                <w:rFonts w:ascii="Calibri" w:hAnsi="Calibri"/>
                <w:w w:val="115"/>
                <w:sz w:val="7"/>
              </w:rPr>
              <w:t>Comunicación</w:t>
            </w:r>
            <w:r>
              <w:rPr>
                <w:rFonts w:ascii="Calibri" w:hAnsi="Calibri"/>
                <w:spacing w:val="-1"/>
                <w:w w:val="115"/>
                <w:sz w:val="7"/>
              </w:rPr>
              <w:t> </w:t>
            </w:r>
            <w:r>
              <w:rPr>
                <w:rFonts w:ascii="Calibri" w:hAnsi="Calibri"/>
                <w:w w:val="115"/>
                <w:sz w:val="7"/>
              </w:rPr>
              <w:t>IMAS-PE-AJ-0017-2025.</w:t>
            </w:r>
            <w:r>
              <w:rPr>
                <w:rFonts w:ascii="Calibri" w:hAnsi="Calibri"/>
                <w:spacing w:val="-2"/>
                <w:w w:val="115"/>
                <w:sz w:val="7"/>
              </w:rPr>
              <w:t> </w:t>
            </w:r>
            <w:r>
              <w:rPr>
                <w:rFonts w:ascii="Calibri" w:hAnsi="Calibri"/>
                <w:w w:val="115"/>
                <w:sz w:val="7"/>
              </w:rPr>
              <w:t>Oficio</w:t>
            </w:r>
            <w:r>
              <w:rPr>
                <w:rFonts w:ascii="Calibri" w:hAnsi="Calibri"/>
                <w:spacing w:val="-2"/>
                <w:w w:val="115"/>
                <w:sz w:val="7"/>
              </w:rPr>
              <w:t> </w:t>
            </w:r>
            <w:r>
              <w:rPr>
                <w:rFonts w:ascii="Calibri" w:hAnsi="Calibri"/>
                <w:w w:val="115"/>
                <w:sz w:val="7"/>
              </w:rPr>
              <w:t>IMAS-GG-0115-2025</w:t>
            </w:r>
            <w:r>
              <w:rPr>
                <w:rFonts w:ascii="Calibri" w:hAnsi="Calibri"/>
                <w:spacing w:val="-1"/>
                <w:w w:val="115"/>
                <w:sz w:val="7"/>
              </w:rPr>
              <w:t> </w:t>
            </w:r>
            <w:r>
              <w:rPr>
                <w:rFonts w:ascii="Calibri" w:hAnsi="Calibri"/>
                <w:w w:val="115"/>
                <w:sz w:val="7"/>
              </w:rPr>
              <w:t>solicita</w:t>
            </w:r>
          </w:p>
          <w:p>
            <w:pPr>
              <w:pStyle w:val="TableParagraph"/>
              <w:spacing w:line="276" w:lineRule="auto"/>
              <w:ind w:left="17" w:right="81"/>
              <w:jc w:val="both"/>
              <w:rPr>
                <w:rFonts w:ascii="Calibri" w:hAnsi="Calibri"/>
                <w:sz w:val="7"/>
              </w:rPr>
            </w:pPr>
            <w:r>
              <w:rPr>
                <w:rFonts w:ascii="Calibri" w:hAnsi="Calibri"/>
                <w:w w:val="115"/>
                <w:sz w:val="7"/>
              </w:rPr>
              <w:t>cálculo</w:t>
            </w:r>
            <w:r>
              <w:rPr>
                <w:rFonts w:ascii="Calibri" w:hAnsi="Calibri"/>
                <w:spacing w:val="-5"/>
                <w:w w:val="115"/>
                <w:sz w:val="7"/>
              </w:rPr>
              <w:t> </w:t>
            </w:r>
            <w:r>
              <w:rPr>
                <w:rFonts w:ascii="Calibri" w:hAnsi="Calibri"/>
                <w:w w:val="115"/>
                <w:sz w:val="7"/>
              </w:rPr>
              <w:t>preliminar</w:t>
            </w:r>
            <w:r>
              <w:rPr>
                <w:rFonts w:ascii="Calibri" w:hAnsi="Calibri"/>
                <w:spacing w:val="-5"/>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los</w:t>
            </w:r>
            <w:r>
              <w:rPr>
                <w:rFonts w:ascii="Calibri" w:hAnsi="Calibri"/>
                <w:spacing w:val="-5"/>
                <w:w w:val="115"/>
                <w:sz w:val="7"/>
              </w:rPr>
              <w:t> </w:t>
            </w:r>
            <w:r>
              <w:rPr>
                <w:rFonts w:ascii="Calibri" w:hAnsi="Calibri"/>
                <w:w w:val="115"/>
                <w:sz w:val="7"/>
              </w:rPr>
              <w:t>rubros</w:t>
            </w:r>
            <w:r>
              <w:rPr>
                <w:rFonts w:ascii="Calibri" w:hAnsi="Calibri"/>
                <w:spacing w:val="-4"/>
                <w:w w:val="115"/>
                <w:sz w:val="7"/>
              </w:rPr>
              <w:t> </w:t>
            </w:r>
            <w:r>
              <w:rPr>
                <w:rFonts w:ascii="Calibri" w:hAnsi="Calibri"/>
                <w:w w:val="115"/>
                <w:sz w:val="7"/>
              </w:rPr>
              <w:t>concedidos.</w:t>
            </w:r>
            <w:r>
              <w:rPr>
                <w:rFonts w:ascii="Calibri" w:hAnsi="Calibri"/>
                <w:spacing w:val="-5"/>
                <w:w w:val="115"/>
                <w:sz w:val="7"/>
              </w:rPr>
              <w:t> </w:t>
            </w:r>
            <w:r>
              <w:rPr>
                <w:rFonts w:ascii="Calibri" w:hAnsi="Calibri"/>
                <w:w w:val="115"/>
                <w:sz w:val="7"/>
              </w:rPr>
              <w:t>En</w:t>
            </w:r>
            <w:r>
              <w:rPr>
                <w:rFonts w:ascii="Calibri" w:hAnsi="Calibri"/>
                <w:spacing w:val="-4"/>
                <w:w w:val="115"/>
                <w:sz w:val="7"/>
              </w:rPr>
              <w:t> </w:t>
            </w:r>
            <w:r>
              <w:rPr>
                <w:rFonts w:ascii="Calibri" w:hAnsi="Calibri"/>
                <w:w w:val="115"/>
                <w:sz w:val="7"/>
              </w:rPr>
              <w:t>oficio</w:t>
            </w:r>
            <w:r>
              <w:rPr>
                <w:rFonts w:ascii="Calibri" w:hAnsi="Calibri"/>
                <w:spacing w:val="40"/>
                <w:w w:val="115"/>
                <w:sz w:val="7"/>
              </w:rPr>
              <w:t> </w:t>
            </w:r>
            <w:r>
              <w:rPr>
                <w:rFonts w:ascii="Calibri" w:hAnsi="Calibri"/>
                <w:spacing w:val="-2"/>
                <w:w w:val="115"/>
                <w:sz w:val="7"/>
              </w:rPr>
              <w:t>IMAS-GG-0293-2025</w:t>
            </w:r>
            <w:r>
              <w:rPr>
                <w:rFonts w:ascii="Calibri" w:hAnsi="Calibri"/>
                <w:spacing w:val="5"/>
                <w:w w:val="115"/>
                <w:sz w:val="7"/>
              </w:rPr>
              <w:t> </w:t>
            </w:r>
            <w:r>
              <w:rPr>
                <w:rFonts w:ascii="Calibri" w:hAnsi="Calibri"/>
                <w:spacing w:val="-2"/>
                <w:w w:val="115"/>
                <w:sz w:val="7"/>
              </w:rPr>
              <w:t>se comunica el</w:t>
            </w:r>
            <w:r>
              <w:rPr>
                <w:rFonts w:ascii="Calibri" w:hAnsi="Calibri"/>
                <w:spacing w:val="5"/>
                <w:w w:val="115"/>
                <w:sz w:val="7"/>
              </w:rPr>
              <w:t> </w:t>
            </w:r>
            <w:r>
              <w:rPr>
                <w:rFonts w:ascii="Calibri" w:hAnsi="Calibri"/>
                <w:spacing w:val="-2"/>
                <w:w w:val="115"/>
                <w:sz w:val="7"/>
              </w:rPr>
              <w:t>monto</w:t>
            </w:r>
            <w:r>
              <w:rPr>
                <w:rFonts w:ascii="Calibri" w:hAnsi="Calibri"/>
                <w:spacing w:val="5"/>
                <w:w w:val="115"/>
                <w:sz w:val="7"/>
              </w:rPr>
              <w:t> </w:t>
            </w:r>
            <w:r>
              <w:rPr>
                <w:rFonts w:ascii="Calibri" w:hAnsi="Calibri"/>
                <w:spacing w:val="-2"/>
                <w:w w:val="115"/>
                <w:sz w:val="7"/>
              </w:rPr>
              <w:t>preliminar</w:t>
            </w:r>
            <w:r>
              <w:rPr>
                <w:rFonts w:ascii="Calibri" w:hAnsi="Calibri"/>
                <w:spacing w:val="40"/>
                <w:w w:val="115"/>
                <w:sz w:val="7"/>
              </w:rPr>
              <w:t> </w:t>
            </w:r>
            <w:r>
              <w:rPr>
                <w:rFonts w:ascii="Calibri" w:hAnsi="Calibri"/>
                <w:spacing w:val="-2"/>
                <w:w w:val="115"/>
                <w:sz w:val="7"/>
              </w:rPr>
              <w:t>de los montos dejados de percibir, según</w:t>
            </w:r>
            <w:r>
              <w:rPr>
                <w:rFonts w:ascii="Calibri" w:hAnsi="Calibri"/>
                <w:spacing w:val="2"/>
                <w:w w:val="115"/>
                <w:sz w:val="7"/>
              </w:rPr>
              <w:t> </w:t>
            </w:r>
            <w:r>
              <w:rPr>
                <w:rFonts w:ascii="Calibri" w:hAnsi="Calibri"/>
                <w:spacing w:val="-2"/>
                <w:w w:val="115"/>
                <w:sz w:val="7"/>
              </w:rPr>
              <w:t>oficios IMAS-</w:t>
            </w:r>
            <w:r>
              <w:rPr>
                <w:rFonts w:ascii="Calibri" w:hAnsi="Calibri"/>
                <w:w w:val="110"/>
                <w:sz w:val="7"/>
              </w:rPr>
              <w:t>DDS-0244-2025</w:t>
            </w:r>
            <w:r>
              <w:rPr>
                <w:rFonts w:ascii="Calibri" w:hAnsi="Calibri"/>
                <w:spacing w:val="9"/>
                <w:w w:val="110"/>
                <w:sz w:val="7"/>
              </w:rPr>
              <w:t> </w:t>
            </w:r>
            <w:r>
              <w:rPr>
                <w:rFonts w:ascii="Calibri" w:hAnsi="Calibri"/>
                <w:w w:val="110"/>
                <w:sz w:val="7"/>
              </w:rPr>
              <w:t>y</w:t>
            </w:r>
            <w:r>
              <w:rPr>
                <w:rFonts w:ascii="Calibri" w:hAnsi="Calibri"/>
                <w:spacing w:val="8"/>
                <w:w w:val="110"/>
                <w:sz w:val="7"/>
              </w:rPr>
              <w:t> </w:t>
            </w:r>
            <w:r>
              <w:rPr>
                <w:rFonts w:ascii="Calibri" w:hAnsi="Calibri"/>
                <w:w w:val="110"/>
                <w:sz w:val="7"/>
              </w:rPr>
              <w:t>IMAS-DDS-DBF-0071-2025,</w:t>
            </w:r>
            <w:r>
              <w:rPr>
                <w:rFonts w:ascii="Calibri" w:hAnsi="Calibri"/>
                <w:spacing w:val="10"/>
                <w:w w:val="110"/>
                <w:sz w:val="7"/>
              </w:rPr>
              <w:t> </w:t>
            </w:r>
            <w:r>
              <w:rPr>
                <w:rFonts w:ascii="Calibri" w:hAnsi="Calibri"/>
                <w:w w:val="110"/>
                <w:sz w:val="7"/>
              </w:rPr>
              <w:t>la</w:t>
            </w:r>
            <w:r>
              <w:rPr>
                <w:rFonts w:ascii="Calibri" w:hAnsi="Calibri"/>
                <w:spacing w:val="8"/>
                <w:w w:val="110"/>
                <w:sz w:val="7"/>
              </w:rPr>
              <w:t> </w:t>
            </w:r>
            <w:r>
              <w:rPr>
                <w:rFonts w:ascii="Calibri" w:hAnsi="Calibri"/>
                <w:spacing w:val="-4"/>
                <w:w w:val="110"/>
                <w:sz w:val="7"/>
              </w:rPr>
              <w:t>suma</w:t>
            </w:r>
          </w:p>
          <w:p>
            <w:pPr>
              <w:pStyle w:val="TableParagraph"/>
              <w:spacing w:line="276" w:lineRule="auto"/>
              <w:ind w:left="17" w:right="29"/>
              <w:rPr>
                <w:rFonts w:ascii="Calibri" w:hAnsi="Calibri"/>
                <w:sz w:val="7"/>
              </w:rPr>
            </w:pPr>
            <w:r>
              <w:rPr>
                <w:rFonts w:ascii="Calibri" w:hAnsi="Calibri"/>
                <w:spacing w:val="-2"/>
                <w:w w:val="115"/>
                <w:sz w:val="7"/>
              </w:rPr>
              <w:t>oscila en 33.012.000,00 (daño material) . La parte actora</w:t>
            </w:r>
            <w:r>
              <w:rPr>
                <w:rFonts w:ascii="Calibri" w:hAnsi="Calibri"/>
                <w:spacing w:val="40"/>
                <w:w w:val="115"/>
                <w:sz w:val="7"/>
              </w:rPr>
              <w:t> </w:t>
            </w:r>
            <w:r>
              <w:rPr>
                <w:rFonts w:ascii="Calibri" w:hAnsi="Calibri"/>
                <w:w w:val="115"/>
                <w:sz w:val="7"/>
              </w:rPr>
              <w:t>presentó ejecución de</w:t>
            </w:r>
            <w:r>
              <w:rPr>
                <w:rFonts w:ascii="Calibri" w:hAnsi="Calibri"/>
                <w:spacing w:val="-1"/>
                <w:w w:val="115"/>
                <w:sz w:val="7"/>
              </w:rPr>
              <w:t> </w:t>
            </w:r>
            <w:r>
              <w:rPr>
                <w:rFonts w:ascii="Calibri" w:hAnsi="Calibri"/>
                <w:w w:val="115"/>
                <w:sz w:val="7"/>
              </w:rPr>
              <w:t>sentencia</w:t>
            </w:r>
            <w:r>
              <w:rPr>
                <w:rFonts w:ascii="Calibri" w:hAnsi="Calibri"/>
                <w:spacing w:val="-3"/>
                <w:w w:val="115"/>
                <w:sz w:val="7"/>
              </w:rPr>
              <w:t> </w:t>
            </w:r>
            <w:r>
              <w:rPr>
                <w:rFonts w:ascii="Calibri" w:hAnsi="Calibri"/>
                <w:w w:val="115"/>
                <w:sz w:val="7"/>
              </w:rPr>
              <w:t>con la</w:t>
            </w:r>
            <w:r>
              <w:rPr>
                <w:rFonts w:ascii="Calibri" w:hAnsi="Calibri"/>
                <w:spacing w:val="-3"/>
                <w:w w:val="115"/>
                <w:sz w:val="7"/>
              </w:rPr>
              <w:t> </w:t>
            </w:r>
            <w:r>
              <w:rPr>
                <w:rFonts w:ascii="Calibri" w:hAnsi="Calibri"/>
                <w:w w:val="115"/>
                <w:sz w:val="7"/>
              </w:rPr>
              <w:t>pretensión de</w:t>
            </w:r>
            <w:r>
              <w:rPr>
                <w:rFonts w:ascii="Calibri" w:hAnsi="Calibri"/>
                <w:spacing w:val="40"/>
                <w:w w:val="115"/>
                <w:sz w:val="7"/>
              </w:rPr>
              <w:t> </w:t>
            </w:r>
            <w:r>
              <w:rPr>
                <w:rFonts w:ascii="Calibri" w:hAnsi="Calibri"/>
                <w:w w:val="115"/>
                <w:sz w:val="7"/>
              </w:rPr>
              <w:t>64,346,693,05 la cual contiene daño material, daño</w:t>
            </w:r>
            <w:r>
              <w:rPr>
                <w:rFonts w:ascii="Calibri" w:hAnsi="Calibri"/>
                <w:spacing w:val="40"/>
                <w:w w:val="115"/>
                <w:sz w:val="7"/>
              </w:rPr>
              <w:t> </w:t>
            </w:r>
            <w:r>
              <w:rPr>
                <w:rFonts w:ascii="Calibri" w:hAnsi="Calibri"/>
                <w:w w:val="115"/>
                <w:sz w:val="7"/>
              </w:rPr>
              <w:t>moral,</w:t>
            </w:r>
            <w:r>
              <w:rPr>
                <w:rFonts w:ascii="Calibri" w:hAnsi="Calibri"/>
                <w:spacing w:val="-3"/>
                <w:w w:val="115"/>
                <w:sz w:val="7"/>
              </w:rPr>
              <w:t> </w:t>
            </w:r>
            <w:r>
              <w:rPr>
                <w:rFonts w:ascii="Calibri" w:hAnsi="Calibri"/>
                <w:w w:val="115"/>
                <w:sz w:val="7"/>
              </w:rPr>
              <w:t>intereses,</w:t>
            </w:r>
            <w:r>
              <w:rPr>
                <w:rFonts w:ascii="Calibri" w:hAnsi="Calibri"/>
                <w:spacing w:val="-4"/>
                <w:w w:val="115"/>
                <w:sz w:val="7"/>
              </w:rPr>
              <w:t> </w:t>
            </w:r>
            <w:r>
              <w:rPr>
                <w:rFonts w:ascii="Calibri" w:hAnsi="Calibri"/>
                <w:w w:val="115"/>
                <w:sz w:val="7"/>
              </w:rPr>
              <w:t>indexación,</w:t>
            </w:r>
            <w:r>
              <w:rPr>
                <w:rFonts w:ascii="Calibri" w:hAnsi="Calibri"/>
                <w:spacing w:val="-3"/>
                <w:w w:val="115"/>
                <w:sz w:val="7"/>
              </w:rPr>
              <w:t> </w:t>
            </w:r>
            <w:r>
              <w:rPr>
                <w:rFonts w:ascii="Calibri" w:hAnsi="Calibri"/>
                <w:w w:val="115"/>
                <w:sz w:val="7"/>
              </w:rPr>
              <w:t>costas.</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29"/>
              <w:rPr>
                <w:sz w:val="7"/>
              </w:rPr>
            </w:pPr>
          </w:p>
          <w:p>
            <w:pPr>
              <w:pStyle w:val="TableParagraph"/>
              <w:spacing w:line="276" w:lineRule="auto"/>
              <w:ind w:left="28" w:right="17" w:hanging="2"/>
              <w:jc w:val="center"/>
              <w:rPr>
                <w:rFonts w:ascii="Calibri" w:hAnsi="Calibri"/>
                <w:sz w:val="7"/>
              </w:rPr>
            </w:pPr>
            <w:r>
              <w:rPr>
                <w:rFonts w:ascii="Calibri" w:hAnsi="Calibri"/>
                <w:w w:val="115"/>
                <w:sz w:val="7"/>
              </w:rPr>
              <w:t>Provisionado</w:t>
            </w:r>
            <w:r>
              <w:rPr>
                <w:rFonts w:ascii="Calibri" w:hAnsi="Calibri"/>
                <w:spacing w:val="-5"/>
                <w:w w:val="115"/>
                <w:sz w:val="7"/>
              </w:rPr>
              <w:t> </w:t>
            </w:r>
            <w:r>
              <w:rPr>
                <w:rFonts w:ascii="Calibri" w:hAnsi="Calibri"/>
                <w:w w:val="115"/>
                <w:sz w:val="7"/>
              </w:rPr>
              <w:t>el</w:t>
            </w:r>
            <w:r>
              <w:rPr>
                <w:rFonts w:ascii="Calibri" w:hAnsi="Calibri"/>
                <w:spacing w:val="40"/>
                <w:w w:val="115"/>
                <w:sz w:val="7"/>
              </w:rPr>
              <w:t> </w:t>
            </w:r>
            <w:r>
              <w:rPr>
                <w:rFonts w:ascii="Calibri" w:hAnsi="Calibri"/>
                <w:spacing w:val="-2"/>
                <w:w w:val="115"/>
                <w:sz w:val="7"/>
              </w:rPr>
              <w:t>100%</w:t>
            </w:r>
            <w:r>
              <w:rPr>
                <w:rFonts w:ascii="Calibri" w:hAnsi="Calibri"/>
                <w:spacing w:val="-3"/>
                <w:w w:val="115"/>
                <w:sz w:val="7"/>
              </w:rPr>
              <w:t> </w:t>
            </w:r>
            <w:r>
              <w:rPr>
                <w:rFonts w:ascii="Calibri" w:hAnsi="Calibri"/>
                <w:spacing w:val="-2"/>
                <w:w w:val="115"/>
                <w:sz w:val="7"/>
              </w:rPr>
              <w:t>conforme</w:t>
            </w:r>
            <w:r>
              <w:rPr>
                <w:rFonts w:ascii="Calibri" w:hAnsi="Calibri"/>
                <w:spacing w:val="-4"/>
                <w:w w:val="115"/>
                <w:sz w:val="7"/>
              </w:rPr>
              <w:t> </w:t>
            </w:r>
            <w:r>
              <w:rPr>
                <w:rFonts w:ascii="Calibri" w:hAnsi="Calibri"/>
                <w:spacing w:val="-2"/>
                <w:w w:val="115"/>
                <w:sz w:val="7"/>
              </w:rPr>
              <w:t>a</w:t>
            </w:r>
            <w:r>
              <w:rPr>
                <w:rFonts w:ascii="Calibri" w:hAnsi="Calibri"/>
                <w:spacing w:val="40"/>
                <w:w w:val="115"/>
                <w:sz w:val="7"/>
              </w:rPr>
              <w:t> </w:t>
            </w:r>
            <w:r>
              <w:rPr>
                <w:rFonts w:ascii="Calibri" w:hAnsi="Calibri"/>
                <w:w w:val="115"/>
                <w:sz w:val="7"/>
              </w:rPr>
              <w:t>la</w:t>
            </w:r>
            <w:r>
              <w:rPr>
                <w:rFonts w:ascii="Calibri" w:hAnsi="Calibri"/>
                <w:spacing w:val="-5"/>
                <w:w w:val="115"/>
                <w:sz w:val="7"/>
              </w:rPr>
              <w:t> </w:t>
            </w:r>
            <w:r>
              <w:rPr>
                <w:rFonts w:ascii="Calibri" w:hAnsi="Calibri"/>
                <w:w w:val="115"/>
                <w:sz w:val="7"/>
              </w:rPr>
              <w:t>estimación</w:t>
            </w:r>
            <w:r>
              <w:rPr>
                <w:rFonts w:ascii="Calibri" w:hAnsi="Calibri"/>
                <w:spacing w:val="40"/>
                <w:w w:val="115"/>
                <w:sz w:val="7"/>
              </w:rPr>
              <w:t> </w:t>
            </w:r>
            <w:r>
              <w:rPr>
                <w:rFonts w:ascii="Calibri" w:hAnsi="Calibri"/>
                <w:spacing w:val="-2"/>
                <w:w w:val="115"/>
                <w:sz w:val="7"/>
              </w:rPr>
              <w:t>administrativa</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83" w:type="dxa"/>
            <w:vMerge/>
            <w:tcBorders>
              <w:top w:val="nil"/>
              <w:left w:val="nil"/>
            </w:tcBorders>
          </w:tcPr>
          <w:p>
            <w:pPr>
              <w:rPr>
                <w:sz w:val="2"/>
                <w:szCs w:val="2"/>
              </w:rPr>
            </w:pPr>
          </w:p>
        </w:tc>
      </w:tr>
      <w:tr>
        <w:trPr>
          <w:trHeight w:val="2407"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1"/>
              <w:jc w:val="center"/>
              <w:rPr>
                <w:rFonts w:ascii="Calibri"/>
                <w:b/>
                <w:sz w:val="7"/>
              </w:rPr>
            </w:pPr>
            <w:r>
              <w:rPr>
                <w:rFonts w:ascii="Calibri"/>
                <w:b/>
                <w:spacing w:val="-2"/>
                <w:w w:val="115"/>
                <w:sz w:val="7"/>
              </w:rPr>
              <w:t>LABORAL</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3" w:right="3"/>
              <w:jc w:val="center"/>
              <w:rPr>
                <w:rFonts w:ascii="Calibri"/>
                <w:sz w:val="7"/>
              </w:rPr>
            </w:pPr>
            <w:r>
              <w:rPr>
                <w:rFonts w:ascii="Calibri"/>
                <w:w w:val="110"/>
                <w:sz w:val="7"/>
              </w:rPr>
              <w:t>21-000853-0173-</w:t>
            </w:r>
            <w:r>
              <w:rPr>
                <w:rFonts w:ascii="Calibri"/>
                <w:spacing w:val="-5"/>
                <w:w w:val="110"/>
                <w:sz w:val="7"/>
              </w:rPr>
              <w:t>LA</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17"/>
              <w:rPr>
                <w:rFonts w:ascii="Calibri" w:hAnsi="Calibri"/>
                <w:sz w:val="7"/>
              </w:rPr>
            </w:pPr>
            <w:r>
              <w:rPr>
                <w:rFonts w:ascii="Calibri" w:hAnsi="Calibri"/>
                <w:spacing w:val="-2"/>
                <w:w w:val="115"/>
                <w:sz w:val="7"/>
              </w:rPr>
              <w:t>Gerónimo</w:t>
            </w:r>
            <w:r>
              <w:rPr>
                <w:rFonts w:ascii="Calibri" w:hAnsi="Calibri"/>
                <w:spacing w:val="-3"/>
                <w:w w:val="115"/>
                <w:sz w:val="7"/>
              </w:rPr>
              <w:t> </w:t>
            </w:r>
            <w:r>
              <w:rPr>
                <w:rFonts w:ascii="Calibri" w:hAnsi="Calibri"/>
                <w:spacing w:val="-2"/>
                <w:w w:val="115"/>
                <w:sz w:val="7"/>
              </w:rPr>
              <w:t>Leonardo</w:t>
            </w:r>
            <w:r>
              <w:rPr>
                <w:rFonts w:ascii="Calibri" w:hAnsi="Calibri"/>
                <w:spacing w:val="-3"/>
                <w:w w:val="115"/>
                <w:sz w:val="7"/>
              </w:rPr>
              <w:t> </w:t>
            </w:r>
            <w:r>
              <w:rPr>
                <w:rFonts w:ascii="Calibri" w:hAnsi="Calibri"/>
                <w:spacing w:val="-2"/>
                <w:w w:val="115"/>
                <w:sz w:val="7"/>
              </w:rPr>
              <w:t>Cascante</w:t>
            </w:r>
            <w:r>
              <w:rPr>
                <w:rFonts w:ascii="Calibri" w:hAnsi="Calibri"/>
                <w:spacing w:val="40"/>
                <w:w w:val="115"/>
                <w:sz w:val="7"/>
              </w:rPr>
              <w:t> </w:t>
            </w:r>
            <w:r>
              <w:rPr>
                <w:rFonts w:ascii="Calibri" w:hAnsi="Calibri"/>
                <w:spacing w:val="-2"/>
                <w:w w:val="115"/>
                <w:sz w:val="7"/>
              </w:rPr>
              <w:t>Bonilla</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27"/>
              <w:rPr>
                <w:sz w:val="7"/>
              </w:rPr>
            </w:pPr>
          </w:p>
          <w:p>
            <w:pPr>
              <w:pStyle w:val="TableParagraph"/>
              <w:ind w:left="33"/>
              <w:rPr>
                <w:rFonts w:ascii="Calibri"/>
                <w:sz w:val="7"/>
              </w:rPr>
            </w:pPr>
            <w:r>
              <w:rPr>
                <w:rFonts w:ascii="Calibri"/>
                <w:w w:val="110"/>
                <w:sz w:val="7"/>
              </w:rPr>
              <w:t>5-0243-</w:t>
            </w:r>
            <w:r>
              <w:rPr>
                <w:rFonts w:ascii="Calibri"/>
                <w:spacing w:val="-2"/>
                <w:w w:val="110"/>
                <w:sz w:val="7"/>
              </w:rPr>
              <w:t>0646,</w:t>
            </w:r>
          </w:p>
          <w:p>
            <w:pPr>
              <w:pStyle w:val="TableParagraph"/>
              <w:spacing w:before="13"/>
              <w:ind w:left="18"/>
              <w:rPr>
                <w:rFonts w:ascii="Calibri"/>
                <w:sz w:val="7"/>
              </w:rPr>
            </w:pPr>
            <w:r>
              <w:rPr>
                <w:rFonts w:ascii="Calibri"/>
                <w:w w:val="110"/>
                <w:sz w:val="7"/>
              </w:rPr>
              <w:t>6-0143-0061</w:t>
            </w:r>
            <w:r>
              <w:rPr>
                <w:rFonts w:ascii="Calibri"/>
                <w:spacing w:val="10"/>
                <w:w w:val="110"/>
                <w:sz w:val="7"/>
              </w:rPr>
              <w:t> </w:t>
            </w:r>
            <w:r>
              <w:rPr>
                <w:rFonts w:ascii="Calibri"/>
                <w:spacing w:val="-10"/>
                <w:w w:val="110"/>
                <w:sz w:val="7"/>
              </w:rPr>
              <w:t>y</w:t>
            </w:r>
          </w:p>
          <w:p>
            <w:pPr>
              <w:pStyle w:val="TableParagraph"/>
              <w:spacing w:before="13"/>
              <w:ind w:left="63"/>
              <w:rPr>
                <w:rFonts w:ascii="Calibri"/>
                <w:sz w:val="7"/>
              </w:rPr>
            </w:pPr>
            <w:r>
              <w:rPr>
                <w:rFonts w:ascii="Calibri"/>
                <w:w w:val="110"/>
                <w:sz w:val="7"/>
              </w:rPr>
              <w:t>1-0419-</w:t>
            </w:r>
            <w:r>
              <w:rPr>
                <w:rFonts w:ascii="Calibri"/>
                <w:spacing w:val="-5"/>
                <w:w w:val="110"/>
                <w:sz w:val="7"/>
              </w:rPr>
              <w:t>102</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9"/>
              <w:rPr>
                <w:sz w:val="7"/>
              </w:rPr>
            </w:pPr>
          </w:p>
          <w:p>
            <w:pPr>
              <w:pStyle w:val="TableParagraph"/>
              <w:spacing w:line="276" w:lineRule="auto"/>
              <w:ind w:left="54" w:right="38" w:firstLine="1"/>
              <w:jc w:val="center"/>
              <w:rPr>
                <w:rFonts w:ascii="Calibri" w:hAnsi="Calibri"/>
                <w:sz w:val="7"/>
              </w:rPr>
            </w:pPr>
            <w:r>
              <w:rPr>
                <w:rFonts w:ascii="Calibri" w:hAnsi="Calibri"/>
                <w:w w:val="115"/>
                <w:sz w:val="7"/>
              </w:rPr>
              <w:t>Ajuste</w:t>
            </w:r>
            <w:r>
              <w:rPr>
                <w:rFonts w:ascii="Calibri" w:hAnsi="Calibri"/>
                <w:spacing w:val="-5"/>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pago</w:t>
            </w:r>
            <w:r>
              <w:rPr>
                <w:rFonts w:ascii="Calibri" w:hAnsi="Calibri"/>
                <w:spacing w:val="-4"/>
                <w:w w:val="115"/>
                <w:sz w:val="7"/>
              </w:rPr>
              <w:t> </w:t>
            </w:r>
            <w:r>
              <w:rPr>
                <w:rFonts w:ascii="Calibri" w:hAnsi="Calibri"/>
                <w:w w:val="115"/>
                <w:sz w:val="7"/>
              </w:rPr>
              <w:t>de</w:t>
            </w:r>
            <w:r>
              <w:rPr>
                <w:rFonts w:ascii="Calibri" w:hAnsi="Calibri"/>
                <w:spacing w:val="40"/>
                <w:w w:val="115"/>
                <w:sz w:val="7"/>
              </w:rPr>
              <w:t> </w:t>
            </w:r>
            <w:r>
              <w:rPr>
                <w:rFonts w:ascii="Calibri" w:hAnsi="Calibri"/>
                <w:spacing w:val="-2"/>
                <w:w w:val="115"/>
                <w:sz w:val="7"/>
              </w:rPr>
              <w:t>porcentajes</w:t>
            </w:r>
            <w:r>
              <w:rPr>
                <w:rFonts w:ascii="Calibri" w:hAnsi="Calibri"/>
                <w:spacing w:val="40"/>
                <w:w w:val="115"/>
                <w:sz w:val="7"/>
              </w:rPr>
              <w:t> </w:t>
            </w:r>
            <w:r>
              <w:rPr>
                <w:rFonts w:ascii="Calibri" w:hAnsi="Calibri"/>
                <w:spacing w:val="-2"/>
                <w:w w:val="115"/>
                <w:sz w:val="7"/>
              </w:rPr>
              <w:t>salariales,</w:t>
            </w:r>
            <w:r>
              <w:rPr>
                <w:rFonts w:ascii="Calibri" w:hAnsi="Calibri"/>
                <w:spacing w:val="-4"/>
                <w:w w:val="115"/>
                <w:sz w:val="7"/>
              </w:rPr>
              <w:t> </w:t>
            </w:r>
            <w:r>
              <w:rPr>
                <w:rFonts w:ascii="Calibri" w:hAnsi="Calibri"/>
                <w:spacing w:val="-2"/>
                <w:w w:val="115"/>
                <w:sz w:val="7"/>
              </w:rPr>
              <w:t>según</w:t>
            </w:r>
            <w:r>
              <w:rPr>
                <w:rFonts w:ascii="Calibri" w:hAnsi="Calibri"/>
                <w:spacing w:val="40"/>
                <w:w w:val="115"/>
                <w:sz w:val="7"/>
              </w:rPr>
              <w:t> </w:t>
            </w:r>
            <w:r>
              <w:rPr>
                <w:rFonts w:ascii="Calibri" w:hAnsi="Calibri"/>
                <w:w w:val="115"/>
                <w:sz w:val="7"/>
              </w:rPr>
              <w:t>Resolución</w:t>
            </w:r>
            <w:r>
              <w:rPr>
                <w:rFonts w:ascii="Calibri" w:hAnsi="Calibri"/>
                <w:spacing w:val="-5"/>
                <w:w w:val="115"/>
                <w:sz w:val="7"/>
              </w:rPr>
              <w:t> </w:t>
            </w:r>
            <w:r>
              <w:rPr>
                <w:rFonts w:ascii="Calibri" w:hAnsi="Calibri"/>
                <w:w w:val="115"/>
                <w:sz w:val="7"/>
              </w:rPr>
              <w:t>DG-</w:t>
            </w:r>
            <w:r>
              <w:rPr>
                <w:rFonts w:ascii="Calibri" w:hAnsi="Calibri"/>
                <w:spacing w:val="-2"/>
                <w:w w:val="115"/>
                <w:sz w:val="7"/>
              </w:rPr>
              <w:t>078-89</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78"/>
              <w:rPr>
                <w:sz w:val="7"/>
              </w:rPr>
            </w:pPr>
          </w:p>
          <w:p>
            <w:pPr>
              <w:pStyle w:val="TableParagraph"/>
              <w:spacing w:line="276" w:lineRule="auto"/>
              <w:ind w:left="288" w:right="43" w:hanging="229"/>
              <w:rPr>
                <w:rFonts w:ascii="Calibri"/>
                <w:sz w:val="7"/>
              </w:rPr>
            </w:pPr>
            <w:r>
              <w:rPr>
                <w:rFonts w:ascii="Calibri"/>
                <w:spacing w:val="-2"/>
                <w:w w:val="115"/>
                <w:sz w:val="7"/>
              </w:rPr>
              <w:t>Demanda</w:t>
            </w:r>
            <w:r>
              <w:rPr>
                <w:rFonts w:ascii="Calibri"/>
                <w:spacing w:val="-5"/>
                <w:w w:val="115"/>
                <w:sz w:val="7"/>
              </w:rPr>
              <w:t> </w:t>
            </w:r>
            <w:r>
              <w:rPr>
                <w:rFonts w:ascii="Calibri"/>
                <w:spacing w:val="-2"/>
                <w:w w:val="115"/>
                <w:sz w:val="7"/>
              </w:rPr>
              <w:t>parcialmente</w:t>
            </w:r>
            <w:r>
              <w:rPr>
                <w:rFonts w:ascii="Calibri"/>
                <w:spacing w:val="40"/>
                <w:w w:val="115"/>
                <w:sz w:val="7"/>
              </w:rPr>
              <w:t> </w:t>
            </w:r>
            <w:r>
              <w:rPr>
                <w:rFonts w:ascii="Calibri"/>
                <w:w w:val="115"/>
                <w:sz w:val="7"/>
              </w:rPr>
              <w:t>con</w:t>
            </w:r>
            <w:r>
              <w:rPr>
                <w:rFonts w:ascii="Calibri"/>
                <w:spacing w:val="-5"/>
                <w:w w:val="115"/>
                <w:sz w:val="7"/>
              </w:rPr>
              <w:t> </w:t>
            </w:r>
            <w:r>
              <w:rPr>
                <w:rFonts w:ascii="Calibri"/>
                <w:w w:val="115"/>
                <w:sz w:val="7"/>
              </w:rPr>
              <w:t>lugar</w:t>
            </w:r>
          </w:p>
        </w:tc>
        <w:tc>
          <w:tcPr>
            <w:tcW w:w="106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7"/>
              <w:rPr>
                <w:sz w:val="7"/>
              </w:rPr>
            </w:pPr>
          </w:p>
          <w:p>
            <w:pPr>
              <w:pStyle w:val="TableParagraph"/>
              <w:ind w:left="14"/>
              <w:jc w:val="center"/>
              <w:rPr>
                <w:sz w:val="7"/>
              </w:rPr>
            </w:pPr>
            <w:r>
              <w:rPr>
                <w:rFonts w:ascii="Times New Roman" w:hAnsi="Times New Roman"/>
                <w:spacing w:val="-2"/>
                <w:w w:val="115"/>
                <w:sz w:val="7"/>
              </w:rPr>
              <w:t>₡</w:t>
            </w:r>
            <w:r>
              <w:rPr>
                <w:spacing w:val="-2"/>
                <w:w w:val="115"/>
                <w:sz w:val="7"/>
              </w:rPr>
              <w:t>0,00</w:t>
            </w:r>
          </w:p>
        </w:tc>
        <w:tc>
          <w:tcPr>
            <w:tcW w:w="1845"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5"/>
              <w:ind w:left="17"/>
              <w:rPr>
                <w:rFonts w:ascii="Calibri" w:hAnsi="Calibri"/>
                <w:sz w:val="7"/>
              </w:rPr>
            </w:pPr>
            <w:r>
              <w:rPr>
                <w:rFonts w:ascii="Calibri" w:hAnsi="Calibri"/>
                <w:w w:val="110"/>
                <w:sz w:val="7"/>
              </w:rPr>
              <w:t>SENTENCIA</w:t>
            </w:r>
            <w:r>
              <w:rPr>
                <w:rFonts w:ascii="Calibri" w:hAnsi="Calibri"/>
                <w:spacing w:val="3"/>
                <w:w w:val="110"/>
                <w:sz w:val="7"/>
              </w:rPr>
              <w:t> </w:t>
            </w:r>
            <w:r>
              <w:rPr>
                <w:rFonts w:ascii="Calibri" w:hAnsi="Calibri"/>
                <w:w w:val="110"/>
                <w:sz w:val="7"/>
              </w:rPr>
              <w:t>DE</w:t>
            </w:r>
            <w:r>
              <w:rPr>
                <w:rFonts w:ascii="Calibri" w:hAnsi="Calibri"/>
                <w:spacing w:val="7"/>
                <w:w w:val="110"/>
                <w:sz w:val="7"/>
              </w:rPr>
              <w:t> </w:t>
            </w:r>
            <w:r>
              <w:rPr>
                <w:rFonts w:ascii="Calibri" w:hAnsi="Calibri"/>
                <w:w w:val="110"/>
                <w:sz w:val="7"/>
              </w:rPr>
              <w:t>PRIMERA</w:t>
            </w:r>
            <w:r>
              <w:rPr>
                <w:rFonts w:ascii="Calibri" w:hAnsi="Calibri"/>
                <w:spacing w:val="4"/>
                <w:w w:val="110"/>
                <w:sz w:val="7"/>
              </w:rPr>
              <w:t> </w:t>
            </w:r>
            <w:r>
              <w:rPr>
                <w:rFonts w:ascii="Calibri" w:hAnsi="Calibri"/>
                <w:w w:val="110"/>
                <w:sz w:val="7"/>
              </w:rPr>
              <w:t>INSTANCIA</w:t>
            </w:r>
            <w:r>
              <w:rPr>
                <w:rFonts w:ascii="Calibri" w:hAnsi="Calibri"/>
                <w:spacing w:val="4"/>
                <w:w w:val="110"/>
                <w:sz w:val="7"/>
              </w:rPr>
              <w:t> </w:t>
            </w:r>
            <w:r>
              <w:rPr>
                <w:rFonts w:ascii="Calibri" w:hAnsi="Calibri"/>
                <w:w w:val="110"/>
                <w:sz w:val="7"/>
              </w:rPr>
              <w:t>N°2023001692:</w:t>
            </w:r>
            <w:r>
              <w:rPr>
                <w:rFonts w:ascii="Calibri" w:hAnsi="Calibri"/>
                <w:spacing w:val="7"/>
                <w:w w:val="110"/>
                <w:sz w:val="7"/>
              </w:rPr>
              <w:t> </w:t>
            </w:r>
            <w:r>
              <w:rPr>
                <w:rFonts w:ascii="Calibri" w:hAnsi="Calibri"/>
                <w:spacing w:val="-5"/>
                <w:w w:val="110"/>
                <w:sz w:val="7"/>
              </w:rPr>
              <w:t>Se</w:t>
            </w:r>
          </w:p>
          <w:p>
            <w:pPr>
              <w:pStyle w:val="TableParagraph"/>
              <w:spacing w:line="276" w:lineRule="auto" w:before="13"/>
              <w:ind w:left="17" w:right="50"/>
              <w:rPr>
                <w:rFonts w:ascii="Calibri" w:hAnsi="Calibri"/>
                <w:sz w:val="7"/>
              </w:rPr>
            </w:pPr>
            <w:r>
              <w:rPr>
                <w:rFonts w:ascii="Calibri" w:hAnsi="Calibri"/>
                <w:w w:val="110"/>
                <w:sz w:val="7"/>
              </w:rPr>
              <w:t>ordena</w:t>
            </w:r>
            <w:r>
              <w:rPr>
                <w:rFonts w:ascii="Calibri" w:hAnsi="Calibri"/>
                <w:spacing w:val="-2"/>
                <w:w w:val="110"/>
                <w:sz w:val="7"/>
              </w:rPr>
              <w:t> </w:t>
            </w:r>
            <w:r>
              <w:rPr>
                <w:rFonts w:ascii="Calibri" w:hAnsi="Calibri"/>
                <w:w w:val="110"/>
                <w:sz w:val="7"/>
              </w:rPr>
              <w:t>el reconocimiento de</w:t>
            </w:r>
            <w:r>
              <w:rPr>
                <w:rFonts w:ascii="Calibri" w:hAnsi="Calibri"/>
                <w:spacing w:val="-1"/>
                <w:w w:val="110"/>
                <w:sz w:val="7"/>
              </w:rPr>
              <w:t> </w:t>
            </w:r>
            <w:r>
              <w:rPr>
                <w:rFonts w:ascii="Calibri" w:hAnsi="Calibri"/>
                <w:w w:val="110"/>
                <w:sz w:val="7"/>
              </w:rPr>
              <w:t>la</w:t>
            </w:r>
            <w:r>
              <w:rPr>
                <w:rFonts w:ascii="Calibri" w:hAnsi="Calibri"/>
                <w:spacing w:val="-2"/>
                <w:w w:val="110"/>
                <w:sz w:val="7"/>
              </w:rPr>
              <w:t> </w:t>
            </w:r>
            <w:r>
              <w:rPr>
                <w:rFonts w:ascii="Calibri" w:hAnsi="Calibri"/>
                <w:w w:val="110"/>
                <w:sz w:val="7"/>
              </w:rPr>
              <w:t>aplicación de</w:t>
            </w:r>
            <w:r>
              <w:rPr>
                <w:rFonts w:ascii="Calibri" w:hAnsi="Calibri"/>
                <w:spacing w:val="-1"/>
                <w:w w:val="110"/>
                <w:sz w:val="7"/>
              </w:rPr>
              <w:t> </w:t>
            </w:r>
            <w:r>
              <w:rPr>
                <w:rFonts w:ascii="Calibri" w:hAnsi="Calibri"/>
                <w:w w:val="110"/>
                <w:sz w:val="7"/>
              </w:rPr>
              <w:t>la</w:t>
            </w:r>
            <w:r>
              <w:rPr>
                <w:rFonts w:ascii="Calibri" w:hAnsi="Calibri"/>
                <w:spacing w:val="-2"/>
                <w:w w:val="110"/>
                <w:sz w:val="7"/>
              </w:rPr>
              <w:t> </w:t>
            </w:r>
            <w:r>
              <w:rPr>
                <w:rFonts w:ascii="Calibri" w:hAnsi="Calibri"/>
                <w:w w:val="110"/>
                <w:sz w:val="7"/>
              </w:rPr>
              <w:t>formula</w:t>
            </w:r>
            <w:r>
              <w:rPr>
                <w:rFonts w:ascii="Calibri" w:hAnsi="Calibri"/>
                <w:spacing w:val="40"/>
                <w:w w:val="110"/>
                <w:sz w:val="7"/>
              </w:rPr>
              <w:t> </w:t>
            </w:r>
            <w:r>
              <w:rPr>
                <w:rFonts w:ascii="Calibri" w:hAnsi="Calibri"/>
                <w:w w:val="110"/>
                <w:sz w:val="7"/>
              </w:rPr>
              <w:t>de ajuste automático, de acuerdo a la categoría de</w:t>
            </w:r>
            <w:r>
              <w:rPr>
                <w:rFonts w:ascii="Calibri" w:hAnsi="Calibri"/>
                <w:spacing w:val="40"/>
                <w:w w:val="110"/>
                <w:sz w:val="7"/>
              </w:rPr>
              <w:t> </w:t>
            </w:r>
            <w:r>
              <w:rPr>
                <w:rFonts w:ascii="Calibri" w:hAnsi="Calibri"/>
                <w:w w:val="110"/>
                <w:sz w:val="7"/>
              </w:rPr>
              <w:t>profesional, en el período comprendido entre el</w:t>
            </w:r>
            <w:r>
              <w:rPr>
                <w:rFonts w:ascii="Calibri" w:hAnsi="Calibri"/>
                <w:spacing w:val="40"/>
                <w:w w:val="110"/>
                <w:sz w:val="7"/>
              </w:rPr>
              <w:t> </w:t>
            </w:r>
            <w:r>
              <w:rPr>
                <w:rFonts w:ascii="Calibri" w:hAnsi="Calibri"/>
                <w:w w:val="110"/>
                <w:sz w:val="7"/>
              </w:rPr>
              <w:t>8/03/1993 al 3/05/1994. Se ordena realizar un estudio</w:t>
            </w:r>
            <w:r>
              <w:rPr>
                <w:rFonts w:ascii="Calibri" w:hAnsi="Calibri"/>
                <w:spacing w:val="40"/>
                <w:w w:val="110"/>
                <w:sz w:val="7"/>
              </w:rPr>
              <w:t> </w:t>
            </w:r>
            <w:r>
              <w:rPr>
                <w:rFonts w:ascii="Calibri" w:hAnsi="Calibri"/>
                <w:w w:val="110"/>
                <w:sz w:val="7"/>
              </w:rPr>
              <w:t>de las diferencias adeudadas y se pague el reintegro de</w:t>
            </w:r>
            <w:r>
              <w:rPr>
                <w:rFonts w:ascii="Calibri" w:hAnsi="Calibri"/>
                <w:spacing w:val="40"/>
                <w:w w:val="110"/>
                <w:sz w:val="7"/>
              </w:rPr>
              <w:t> </w:t>
            </w:r>
            <w:r>
              <w:rPr>
                <w:rFonts w:ascii="Calibri" w:hAnsi="Calibri"/>
                <w:w w:val="110"/>
                <w:sz w:val="7"/>
              </w:rPr>
              <w:t>todas las diferencias salariales, por la desaplicación</w:t>
            </w:r>
            <w:r>
              <w:rPr>
                <w:rFonts w:ascii="Calibri" w:hAnsi="Calibri"/>
                <w:spacing w:val="8"/>
                <w:w w:val="110"/>
                <w:sz w:val="7"/>
              </w:rPr>
              <w:t> </w:t>
            </w:r>
            <w:r>
              <w:rPr>
                <w:rFonts w:ascii="Calibri" w:hAnsi="Calibri"/>
                <w:w w:val="110"/>
                <w:sz w:val="7"/>
              </w:rPr>
              <w:t>de</w:t>
            </w:r>
            <w:r>
              <w:rPr>
                <w:rFonts w:ascii="Calibri" w:hAnsi="Calibri"/>
                <w:spacing w:val="80"/>
                <w:w w:val="110"/>
                <w:sz w:val="7"/>
              </w:rPr>
              <w:t> </w:t>
            </w:r>
            <w:r>
              <w:rPr>
                <w:rFonts w:ascii="Calibri" w:hAnsi="Calibri"/>
                <w:w w:val="110"/>
                <w:sz w:val="7"/>
              </w:rPr>
              <w:t>la fórmula. Además de intereses, indexación y costas.</w:t>
            </w:r>
            <w:r>
              <w:rPr>
                <w:rFonts w:ascii="Calibri" w:hAnsi="Calibri"/>
                <w:spacing w:val="40"/>
                <w:w w:val="110"/>
                <w:sz w:val="7"/>
              </w:rPr>
              <w:t> </w:t>
            </w:r>
            <w:r>
              <w:rPr>
                <w:rFonts w:ascii="Calibri" w:hAnsi="Calibri"/>
                <w:w w:val="110"/>
                <w:sz w:val="7"/>
              </w:rPr>
              <w:t>SENTENCIA</w:t>
            </w:r>
            <w:r>
              <w:rPr>
                <w:rFonts w:ascii="Calibri" w:hAnsi="Calibri"/>
                <w:spacing w:val="-2"/>
                <w:w w:val="110"/>
                <w:sz w:val="7"/>
              </w:rPr>
              <w:t> </w:t>
            </w:r>
            <w:r>
              <w:rPr>
                <w:rFonts w:ascii="Calibri" w:hAnsi="Calibri"/>
                <w:w w:val="110"/>
                <w:sz w:val="7"/>
              </w:rPr>
              <w:t>SEGUNDA INSTANCIA</w:t>
            </w:r>
            <w:r>
              <w:rPr>
                <w:rFonts w:ascii="Calibri" w:hAnsi="Calibri"/>
                <w:spacing w:val="-2"/>
                <w:w w:val="110"/>
                <w:sz w:val="7"/>
              </w:rPr>
              <w:t> </w:t>
            </w:r>
            <w:r>
              <w:rPr>
                <w:rFonts w:ascii="Calibri" w:hAnsi="Calibri"/>
                <w:w w:val="110"/>
                <w:sz w:val="7"/>
              </w:rPr>
              <w:t>N°2025-002583: Se</w:t>
            </w:r>
          </w:p>
          <w:p>
            <w:pPr>
              <w:pStyle w:val="TableParagraph"/>
              <w:spacing w:line="276" w:lineRule="auto"/>
              <w:ind w:left="17" w:right="5"/>
              <w:rPr>
                <w:rFonts w:ascii="Calibri" w:hAnsi="Calibri"/>
                <w:sz w:val="7"/>
              </w:rPr>
            </w:pPr>
            <w:r>
              <w:rPr>
                <w:rFonts w:ascii="Calibri" w:hAnsi="Calibri"/>
                <w:w w:val="115"/>
                <w:sz w:val="7"/>
              </w:rPr>
              <w:t>concede</w:t>
            </w:r>
            <w:r>
              <w:rPr>
                <w:rFonts w:ascii="Calibri" w:hAnsi="Calibri"/>
                <w:spacing w:val="-5"/>
                <w:w w:val="115"/>
                <w:sz w:val="7"/>
              </w:rPr>
              <w:t> </w:t>
            </w:r>
            <w:r>
              <w:rPr>
                <w:rFonts w:ascii="Calibri" w:hAnsi="Calibri"/>
                <w:w w:val="115"/>
                <w:sz w:val="7"/>
              </w:rPr>
              <w:t>el</w:t>
            </w:r>
            <w:r>
              <w:rPr>
                <w:rFonts w:ascii="Calibri" w:hAnsi="Calibri"/>
                <w:spacing w:val="-5"/>
                <w:w w:val="115"/>
                <w:sz w:val="7"/>
              </w:rPr>
              <w:t> </w:t>
            </w:r>
            <w:r>
              <w:rPr>
                <w:rFonts w:ascii="Calibri" w:hAnsi="Calibri"/>
                <w:w w:val="115"/>
                <w:sz w:val="7"/>
              </w:rPr>
              <w:t>reajuste</w:t>
            </w:r>
            <w:r>
              <w:rPr>
                <w:rFonts w:ascii="Calibri" w:hAnsi="Calibri"/>
                <w:spacing w:val="-4"/>
                <w:w w:val="115"/>
                <w:sz w:val="7"/>
              </w:rPr>
              <w:t> </w:t>
            </w:r>
            <w:r>
              <w:rPr>
                <w:rFonts w:ascii="Calibri" w:hAnsi="Calibri"/>
                <w:w w:val="115"/>
                <w:sz w:val="7"/>
              </w:rPr>
              <w:t>en</w:t>
            </w:r>
            <w:r>
              <w:rPr>
                <w:rFonts w:ascii="Calibri" w:hAnsi="Calibri"/>
                <w:spacing w:val="-5"/>
                <w:w w:val="115"/>
                <w:sz w:val="7"/>
              </w:rPr>
              <w:t> </w:t>
            </w:r>
            <w:r>
              <w:rPr>
                <w:rFonts w:ascii="Calibri" w:hAnsi="Calibri"/>
                <w:w w:val="115"/>
                <w:sz w:val="7"/>
              </w:rPr>
              <w:t>los</w:t>
            </w:r>
            <w:r>
              <w:rPr>
                <w:rFonts w:ascii="Calibri" w:hAnsi="Calibri"/>
                <w:spacing w:val="-4"/>
                <w:w w:val="115"/>
                <w:sz w:val="7"/>
              </w:rPr>
              <w:t> </w:t>
            </w:r>
            <w:r>
              <w:rPr>
                <w:rFonts w:ascii="Calibri" w:hAnsi="Calibri"/>
                <w:w w:val="115"/>
                <w:sz w:val="7"/>
              </w:rPr>
              <w:t>aguinaldos,</w:t>
            </w:r>
            <w:r>
              <w:rPr>
                <w:rFonts w:ascii="Calibri" w:hAnsi="Calibri"/>
                <w:spacing w:val="-5"/>
                <w:w w:val="115"/>
                <w:sz w:val="7"/>
              </w:rPr>
              <w:t> </w:t>
            </w:r>
            <w:r>
              <w:rPr>
                <w:rFonts w:ascii="Calibri" w:hAnsi="Calibri"/>
                <w:w w:val="115"/>
                <w:sz w:val="7"/>
              </w:rPr>
              <w:t>el</w:t>
            </w:r>
            <w:r>
              <w:rPr>
                <w:rFonts w:ascii="Calibri" w:hAnsi="Calibri"/>
                <w:spacing w:val="-4"/>
                <w:w w:val="115"/>
                <w:sz w:val="7"/>
              </w:rPr>
              <w:t> </w:t>
            </w:r>
            <w:r>
              <w:rPr>
                <w:rFonts w:ascii="Calibri" w:hAnsi="Calibri"/>
                <w:w w:val="115"/>
                <w:sz w:val="7"/>
              </w:rPr>
              <w:t>salario</w:t>
            </w:r>
            <w:r>
              <w:rPr>
                <w:rFonts w:ascii="Calibri" w:hAnsi="Calibri"/>
                <w:spacing w:val="-5"/>
                <w:w w:val="115"/>
                <w:sz w:val="7"/>
              </w:rPr>
              <w:t> </w:t>
            </w:r>
            <w:r>
              <w:rPr>
                <w:rFonts w:ascii="Calibri" w:hAnsi="Calibri"/>
                <w:w w:val="115"/>
                <w:sz w:val="7"/>
              </w:rPr>
              <w:t>escolar,</w:t>
            </w:r>
            <w:r>
              <w:rPr>
                <w:rFonts w:ascii="Calibri" w:hAnsi="Calibri"/>
                <w:spacing w:val="40"/>
                <w:w w:val="115"/>
                <w:sz w:val="7"/>
              </w:rPr>
              <w:t> </w:t>
            </w:r>
            <w:r>
              <w:rPr>
                <w:rFonts w:ascii="Calibri" w:hAnsi="Calibri"/>
                <w:w w:val="115"/>
                <w:sz w:val="7"/>
              </w:rPr>
              <w:t>las vacaciones que hayan sido pagadas, anualidades,</w:t>
            </w:r>
            <w:r>
              <w:rPr>
                <w:rFonts w:ascii="Calibri" w:hAnsi="Calibri"/>
                <w:spacing w:val="40"/>
                <w:w w:val="115"/>
                <w:sz w:val="7"/>
              </w:rPr>
              <w:t> </w:t>
            </w:r>
            <w:r>
              <w:rPr>
                <w:rFonts w:ascii="Calibri" w:hAnsi="Calibri"/>
                <w:w w:val="115"/>
                <w:sz w:val="7"/>
              </w:rPr>
              <w:t>ubicación</w:t>
            </w:r>
            <w:r>
              <w:rPr>
                <w:rFonts w:ascii="Calibri" w:hAnsi="Calibri"/>
                <w:spacing w:val="-3"/>
                <w:w w:val="115"/>
                <w:sz w:val="7"/>
              </w:rPr>
              <w:t> </w:t>
            </w:r>
            <w:r>
              <w:rPr>
                <w:rFonts w:ascii="Calibri" w:hAnsi="Calibri"/>
                <w:w w:val="115"/>
                <w:sz w:val="7"/>
              </w:rPr>
              <w:t>por</w:t>
            </w:r>
            <w:r>
              <w:rPr>
                <w:rFonts w:ascii="Calibri" w:hAnsi="Calibri"/>
                <w:spacing w:val="-5"/>
                <w:w w:val="115"/>
                <w:sz w:val="7"/>
              </w:rPr>
              <w:t> </w:t>
            </w:r>
            <w:r>
              <w:rPr>
                <w:rFonts w:ascii="Calibri" w:hAnsi="Calibri"/>
                <w:w w:val="115"/>
                <w:sz w:val="7"/>
              </w:rPr>
              <w:t>reestructuración,</w:t>
            </w:r>
            <w:r>
              <w:rPr>
                <w:rFonts w:ascii="Calibri" w:hAnsi="Calibri"/>
                <w:spacing w:val="-3"/>
                <w:w w:val="115"/>
                <w:sz w:val="7"/>
              </w:rPr>
              <w:t> </w:t>
            </w:r>
            <w:r>
              <w:rPr>
                <w:rFonts w:ascii="Calibri" w:hAnsi="Calibri"/>
                <w:w w:val="115"/>
                <w:sz w:val="7"/>
              </w:rPr>
              <w:t>Revaloración</w:t>
            </w:r>
            <w:r>
              <w:rPr>
                <w:rFonts w:ascii="Calibri" w:hAnsi="Calibri"/>
                <w:spacing w:val="-3"/>
                <w:w w:val="115"/>
                <w:sz w:val="7"/>
              </w:rPr>
              <w:t> </w:t>
            </w:r>
            <w:r>
              <w:rPr>
                <w:rFonts w:ascii="Calibri" w:hAnsi="Calibri"/>
                <w:w w:val="115"/>
                <w:sz w:val="7"/>
              </w:rPr>
              <w:t>por</w:t>
            </w:r>
            <w:r>
              <w:rPr>
                <w:rFonts w:ascii="Calibri" w:hAnsi="Calibri"/>
                <w:spacing w:val="-5"/>
                <w:w w:val="115"/>
                <w:sz w:val="7"/>
              </w:rPr>
              <w:t> </w:t>
            </w:r>
            <w:r>
              <w:rPr>
                <w:rFonts w:ascii="Calibri" w:hAnsi="Calibri"/>
                <w:w w:val="115"/>
                <w:sz w:val="7"/>
              </w:rPr>
              <w:t>costo</w:t>
            </w:r>
            <w:r>
              <w:rPr>
                <w:rFonts w:ascii="Calibri" w:hAnsi="Calibri"/>
                <w:spacing w:val="40"/>
                <w:w w:val="115"/>
                <w:sz w:val="7"/>
              </w:rPr>
              <w:t> </w:t>
            </w:r>
            <w:r>
              <w:rPr>
                <w:rFonts w:ascii="Calibri" w:hAnsi="Calibri"/>
                <w:w w:val="115"/>
                <w:sz w:val="7"/>
              </w:rPr>
              <w:t>de vida o ajustes técnicos, subsidios, disponibilidad,</w:t>
            </w:r>
            <w:r>
              <w:rPr>
                <w:rFonts w:ascii="Calibri" w:hAnsi="Calibri"/>
                <w:spacing w:val="40"/>
                <w:w w:val="115"/>
                <w:sz w:val="7"/>
              </w:rPr>
              <w:t> </w:t>
            </w:r>
            <w:r>
              <w:rPr>
                <w:rFonts w:ascii="Calibri" w:hAnsi="Calibri"/>
                <w:w w:val="110"/>
                <w:sz w:val="7"/>
              </w:rPr>
              <w:t>prohibición,</w:t>
            </w:r>
            <w:r>
              <w:rPr>
                <w:rFonts w:ascii="Calibri" w:hAnsi="Calibri"/>
                <w:spacing w:val="-3"/>
                <w:w w:val="110"/>
                <w:sz w:val="7"/>
              </w:rPr>
              <w:t> </w:t>
            </w:r>
            <w:r>
              <w:rPr>
                <w:rFonts w:ascii="Calibri" w:hAnsi="Calibri"/>
                <w:w w:val="110"/>
                <w:sz w:val="7"/>
              </w:rPr>
              <w:t>dedicación</w:t>
            </w:r>
            <w:r>
              <w:rPr>
                <w:rFonts w:ascii="Calibri" w:hAnsi="Calibri"/>
                <w:spacing w:val="-2"/>
                <w:w w:val="110"/>
                <w:sz w:val="7"/>
              </w:rPr>
              <w:t> </w:t>
            </w:r>
            <w:r>
              <w:rPr>
                <w:rFonts w:ascii="Calibri" w:hAnsi="Calibri"/>
                <w:w w:val="110"/>
                <w:sz w:val="7"/>
              </w:rPr>
              <w:t>exclusiva</w:t>
            </w:r>
            <w:r>
              <w:rPr>
                <w:rFonts w:ascii="Calibri" w:hAnsi="Calibri"/>
                <w:spacing w:val="-4"/>
                <w:w w:val="110"/>
                <w:sz w:val="7"/>
              </w:rPr>
              <w:t> </w:t>
            </w:r>
            <w:r>
              <w:rPr>
                <w:rFonts w:ascii="Calibri" w:hAnsi="Calibri"/>
                <w:w w:val="110"/>
                <w:sz w:val="7"/>
              </w:rPr>
              <w:t>y</w:t>
            </w:r>
            <w:r>
              <w:rPr>
                <w:rFonts w:ascii="Calibri" w:hAnsi="Calibri"/>
                <w:spacing w:val="-4"/>
                <w:w w:val="110"/>
                <w:sz w:val="7"/>
              </w:rPr>
              <w:t> </w:t>
            </w:r>
            <w:r>
              <w:rPr>
                <w:rFonts w:ascii="Calibri" w:hAnsi="Calibri"/>
                <w:w w:val="110"/>
                <w:sz w:val="7"/>
              </w:rPr>
              <w:t>tiempo</w:t>
            </w:r>
            <w:r>
              <w:rPr>
                <w:rFonts w:ascii="Calibri" w:hAnsi="Calibri"/>
                <w:spacing w:val="-2"/>
                <w:w w:val="110"/>
                <w:sz w:val="7"/>
              </w:rPr>
              <w:t> </w:t>
            </w:r>
            <w:r>
              <w:rPr>
                <w:rFonts w:ascii="Calibri" w:hAnsi="Calibri"/>
                <w:w w:val="110"/>
                <w:sz w:val="7"/>
              </w:rPr>
              <w:t>extraordinario</w:t>
            </w:r>
            <w:r>
              <w:rPr>
                <w:rFonts w:ascii="Calibri" w:hAnsi="Calibri"/>
                <w:spacing w:val="40"/>
                <w:w w:val="115"/>
                <w:sz w:val="7"/>
              </w:rPr>
              <w:t> </w:t>
            </w:r>
            <w:r>
              <w:rPr>
                <w:rFonts w:ascii="Calibri" w:hAnsi="Calibri"/>
                <w:w w:val="115"/>
                <w:sz w:val="7"/>
              </w:rPr>
              <w:t>(en</w:t>
            </w:r>
            <w:r>
              <w:rPr>
                <w:rFonts w:ascii="Calibri" w:hAnsi="Calibri"/>
                <w:spacing w:val="-1"/>
                <w:w w:val="115"/>
                <w:sz w:val="7"/>
              </w:rPr>
              <w:t> </w:t>
            </w:r>
            <w:r>
              <w:rPr>
                <w:rFonts w:ascii="Calibri" w:hAnsi="Calibri"/>
                <w:w w:val="115"/>
                <w:sz w:val="7"/>
              </w:rPr>
              <w:t>el</w:t>
            </w:r>
            <w:r>
              <w:rPr>
                <w:rFonts w:ascii="Calibri" w:hAnsi="Calibri"/>
                <w:spacing w:val="-2"/>
                <w:w w:val="115"/>
                <w:sz w:val="7"/>
              </w:rPr>
              <w:t> </w:t>
            </w:r>
            <w:r>
              <w:rPr>
                <w:rFonts w:ascii="Calibri" w:hAnsi="Calibri"/>
                <w:w w:val="115"/>
                <w:sz w:val="7"/>
              </w:rPr>
              <w:t>supuesto</w:t>
            </w:r>
            <w:r>
              <w:rPr>
                <w:rFonts w:ascii="Calibri" w:hAnsi="Calibri"/>
                <w:spacing w:val="-1"/>
                <w:w w:val="115"/>
                <w:sz w:val="7"/>
              </w:rPr>
              <w:t> </w:t>
            </w:r>
            <w:r>
              <w:rPr>
                <w:rFonts w:ascii="Calibri" w:hAnsi="Calibri"/>
                <w:w w:val="115"/>
                <w:sz w:val="7"/>
              </w:rPr>
              <w:t>de</w:t>
            </w:r>
            <w:r>
              <w:rPr>
                <w:rFonts w:ascii="Calibri" w:hAnsi="Calibri"/>
                <w:spacing w:val="-3"/>
                <w:w w:val="115"/>
                <w:sz w:val="7"/>
              </w:rPr>
              <w:t> </w:t>
            </w:r>
            <w:r>
              <w:rPr>
                <w:rFonts w:ascii="Calibri" w:hAnsi="Calibri"/>
                <w:w w:val="115"/>
                <w:sz w:val="7"/>
              </w:rPr>
              <w:t>que</w:t>
            </w:r>
            <w:r>
              <w:rPr>
                <w:rFonts w:ascii="Calibri" w:hAnsi="Calibri"/>
                <w:spacing w:val="-4"/>
                <w:w w:val="115"/>
                <w:sz w:val="7"/>
              </w:rPr>
              <w:t> </w:t>
            </w:r>
            <w:r>
              <w:rPr>
                <w:rFonts w:ascii="Calibri" w:hAnsi="Calibri"/>
                <w:w w:val="115"/>
                <w:sz w:val="7"/>
              </w:rPr>
              <w:t>el</w:t>
            </w:r>
            <w:r>
              <w:rPr>
                <w:rFonts w:ascii="Calibri" w:hAnsi="Calibri"/>
                <w:spacing w:val="-1"/>
                <w:w w:val="115"/>
                <w:sz w:val="7"/>
              </w:rPr>
              <w:t> </w:t>
            </w:r>
            <w:r>
              <w:rPr>
                <w:rFonts w:ascii="Calibri" w:hAnsi="Calibri"/>
                <w:w w:val="115"/>
                <w:sz w:val="7"/>
              </w:rPr>
              <w:t>demandado</w:t>
            </w:r>
            <w:r>
              <w:rPr>
                <w:rFonts w:ascii="Calibri" w:hAnsi="Calibri"/>
                <w:spacing w:val="-2"/>
                <w:w w:val="115"/>
                <w:sz w:val="7"/>
              </w:rPr>
              <w:t> </w:t>
            </w:r>
            <w:r>
              <w:rPr>
                <w:rFonts w:ascii="Calibri" w:hAnsi="Calibri"/>
                <w:w w:val="115"/>
                <w:sz w:val="7"/>
              </w:rPr>
              <w:t>haya</w:t>
            </w:r>
            <w:r>
              <w:rPr>
                <w:rFonts w:ascii="Calibri" w:hAnsi="Calibri"/>
                <w:spacing w:val="-4"/>
                <w:w w:val="115"/>
                <w:sz w:val="7"/>
              </w:rPr>
              <w:t> </w:t>
            </w:r>
            <w:r>
              <w:rPr>
                <w:rFonts w:ascii="Calibri" w:hAnsi="Calibri"/>
                <w:w w:val="115"/>
                <w:sz w:val="7"/>
              </w:rPr>
              <w:t>reconocido</w:t>
            </w:r>
            <w:r>
              <w:rPr>
                <w:rFonts w:ascii="Calibri" w:hAnsi="Calibri"/>
                <w:spacing w:val="40"/>
                <w:w w:val="115"/>
                <w:sz w:val="7"/>
              </w:rPr>
              <w:t> </w:t>
            </w:r>
            <w:r>
              <w:rPr>
                <w:rFonts w:ascii="Calibri" w:hAnsi="Calibri"/>
                <w:w w:val="115"/>
                <w:sz w:val="7"/>
              </w:rPr>
              <w:t>dichos extremos al accionante), desde la vigencia de</w:t>
            </w:r>
            <w:r>
              <w:rPr>
                <w:rFonts w:ascii="Calibri" w:hAnsi="Calibri"/>
                <w:spacing w:val="40"/>
                <w:w w:val="115"/>
                <w:sz w:val="7"/>
              </w:rPr>
              <w:t> </w:t>
            </w:r>
            <w:r>
              <w:rPr>
                <w:rFonts w:ascii="Calibri" w:hAnsi="Calibri"/>
                <w:w w:val="115"/>
                <w:sz w:val="7"/>
              </w:rPr>
              <w:t>cada</w:t>
            </w:r>
            <w:r>
              <w:rPr>
                <w:rFonts w:ascii="Calibri" w:hAnsi="Calibri"/>
                <w:spacing w:val="-3"/>
                <w:w w:val="115"/>
                <w:sz w:val="7"/>
              </w:rPr>
              <w:t> </w:t>
            </w:r>
            <w:r>
              <w:rPr>
                <w:rFonts w:ascii="Calibri" w:hAnsi="Calibri"/>
                <w:w w:val="115"/>
                <w:sz w:val="7"/>
              </w:rPr>
              <w:t>rubro,</w:t>
            </w:r>
            <w:r>
              <w:rPr>
                <w:rFonts w:ascii="Calibri" w:hAnsi="Calibri"/>
                <w:spacing w:val="-2"/>
                <w:w w:val="115"/>
                <w:sz w:val="7"/>
              </w:rPr>
              <w:t> </w:t>
            </w:r>
            <w:r>
              <w:rPr>
                <w:rFonts w:ascii="Calibri" w:hAnsi="Calibri"/>
                <w:w w:val="115"/>
                <w:sz w:val="7"/>
              </w:rPr>
              <w:t>junto con las</w:t>
            </w:r>
            <w:r>
              <w:rPr>
                <w:rFonts w:ascii="Calibri" w:hAnsi="Calibri"/>
                <w:spacing w:val="-2"/>
                <w:w w:val="115"/>
                <w:sz w:val="7"/>
              </w:rPr>
              <w:t> </w:t>
            </w:r>
            <w:r>
              <w:rPr>
                <w:rFonts w:ascii="Calibri" w:hAnsi="Calibri"/>
                <w:w w:val="115"/>
                <w:sz w:val="7"/>
              </w:rPr>
              <w:t>diferencias</w:t>
            </w:r>
            <w:r>
              <w:rPr>
                <w:rFonts w:ascii="Calibri" w:hAnsi="Calibri"/>
                <w:spacing w:val="-2"/>
                <w:w w:val="115"/>
                <w:sz w:val="7"/>
              </w:rPr>
              <w:t> </w:t>
            </w:r>
            <w:r>
              <w:rPr>
                <w:rFonts w:ascii="Calibri" w:hAnsi="Calibri"/>
                <w:w w:val="115"/>
                <w:sz w:val="7"/>
              </w:rPr>
              <w:t>que</w:t>
            </w:r>
            <w:r>
              <w:rPr>
                <w:rFonts w:ascii="Calibri" w:hAnsi="Calibri"/>
                <w:spacing w:val="-3"/>
                <w:w w:val="115"/>
                <w:sz w:val="7"/>
              </w:rPr>
              <w:t> </w:t>
            </w:r>
            <w:r>
              <w:rPr>
                <w:rFonts w:ascii="Calibri" w:hAnsi="Calibri"/>
                <w:w w:val="115"/>
                <w:sz w:val="7"/>
              </w:rPr>
              <w:t>procedan en</w:t>
            </w:r>
            <w:r>
              <w:rPr>
                <w:rFonts w:ascii="Calibri" w:hAnsi="Calibri"/>
                <w:spacing w:val="40"/>
                <w:w w:val="115"/>
                <w:sz w:val="7"/>
              </w:rPr>
              <w:t> </w:t>
            </w:r>
            <w:r>
              <w:rPr>
                <w:rFonts w:ascii="Calibri" w:hAnsi="Calibri"/>
                <w:w w:val="115"/>
                <w:sz w:val="7"/>
              </w:rPr>
              <w:t>las cuotas ante la Asociación Solidarista del IMAS.</w:t>
            </w:r>
            <w:r>
              <w:rPr>
                <w:rFonts w:ascii="Calibri" w:hAnsi="Calibri"/>
                <w:spacing w:val="40"/>
                <w:w w:val="115"/>
                <w:sz w:val="7"/>
              </w:rPr>
              <w:t> </w:t>
            </w:r>
            <w:r>
              <w:rPr>
                <w:rFonts w:ascii="Calibri" w:hAnsi="Calibri"/>
                <w:w w:val="115"/>
                <w:sz w:val="7"/>
              </w:rPr>
              <w:t>Además, se</w:t>
            </w:r>
            <w:r>
              <w:rPr>
                <w:rFonts w:ascii="Calibri" w:hAnsi="Calibri"/>
                <w:spacing w:val="-2"/>
                <w:w w:val="115"/>
                <w:sz w:val="7"/>
              </w:rPr>
              <w:t> </w:t>
            </w:r>
            <w:r>
              <w:rPr>
                <w:rFonts w:ascii="Calibri" w:hAnsi="Calibri"/>
                <w:w w:val="115"/>
                <w:sz w:val="7"/>
              </w:rPr>
              <w:t>modifica</w:t>
            </w:r>
            <w:r>
              <w:rPr>
                <w:rFonts w:ascii="Calibri" w:hAnsi="Calibri"/>
                <w:spacing w:val="-2"/>
                <w:w w:val="115"/>
                <w:sz w:val="7"/>
              </w:rPr>
              <w:t> </w:t>
            </w:r>
            <w:r>
              <w:rPr>
                <w:rFonts w:ascii="Calibri" w:hAnsi="Calibri"/>
                <w:w w:val="115"/>
                <w:sz w:val="7"/>
              </w:rPr>
              <w:t>el rige</w:t>
            </w:r>
            <w:r>
              <w:rPr>
                <w:rFonts w:ascii="Calibri" w:hAnsi="Calibri"/>
                <w:spacing w:val="-2"/>
                <w:w w:val="115"/>
                <w:sz w:val="7"/>
              </w:rPr>
              <w:t> </w:t>
            </w:r>
            <w:r>
              <w:rPr>
                <w:rFonts w:ascii="Calibri" w:hAnsi="Calibri"/>
                <w:w w:val="115"/>
                <w:sz w:val="7"/>
              </w:rPr>
              <w:t>de la</w:t>
            </w:r>
            <w:r>
              <w:rPr>
                <w:rFonts w:ascii="Calibri" w:hAnsi="Calibri"/>
                <w:spacing w:val="-2"/>
                <w:w w:val="115"/>
                <w:sz w:val="7"/>
              </w:rPr>
              <w:t> </w:t>
            </w:r>
            <w:r>
              <w:rPr>
                <w:rFonts w:ascii="Calibri" w:hAnsi="Calibri"/>
                <w:w w:val="115"/>
                <w:sz w:val="7"/>
              </w:rPr>
              <w:t>actualización de lo</w:t>
            </w:r>
            <w:r>
              <w:rPr>
                <w:rFonts w:ascii="Calibri" w:hAnsi="Calibri"/>
                <w:spacing w:val="40"/>
                <w:w w:val="115"/>
                <w:sz w:val="7"/>
              </w:rPr>
              <w:t> </w:t>
            </w:r>
            <w:r>
              <w:rPr>
                <w:rFonts w:ascii="Calibri" w:hAnsi="Calibri"/>
                <w:w w:val="115"/>
                <w:sz w:val="7"/>
              </w:rPr>
              <w:t>adeudado</w:t>
            </w:r>
            <w:r>
              <w:rPr>
                <w:rFonts w:ascii="Calibri" w:hAnsi="Calibri"/>
                <w:spacing w:val="-5"/>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se</w:t>
            </w:r>
            <w:r>
              <w:rPr>
                <w:rFonts w:ascii="Calibri" w:hAnsi="Calibri"/>
                <w:spacing w:val="-4"/>
                <w:w w:val="115"/>
                <w:sz w:val="7"/>
              </w:rPr>
              <w:t> </w:t>
            </w:r>
            <w:r>
              <w:rPr>
                <w:rFonts w:ascii="Calibri" w:hAnsi="Calibri"/>
                <w:w w:val="115"/>
                <w:sz w:val="7"/>
              </w:rPr>
              <w:t>ordena</w:t>
            </w:r>
            <w:r>
              <w:rPr>
                <w:rFonts w:ascii="Calibri" w:hAnsi="Calibri"/>
                <w:spacing w:val="-5"/>
                <w:w w:val="115"/>
                <w:sz w:val="7"/>
              </w:rPr>
              <w:t> </w:t>
            </w:r>
            <w:r>
              <w:rPr>
                <w:rFonts w:ascii="Calibri" w:hAnsi="Calibri"/>
                <w:w w:val="115"/>
                <w:sz w:val="7"/>
              </w:rPr>
              <w:t>el</w:t>
            </w:r>
            <w:r>
              <w:rPr>
                <w:rFonts w:ascii="Calibri" w:hAnsi="Calibri"/>
                <w:spacing w:val="-4"/>
                <w:w w:val="115"/>
                <w:sz w:val="7"/>
              </w:rPr>
              <w:t> </w:t>
            </w:r>
            <w:r>
              <w:rPr>
                <w:rFonts w:ascii="Calibri" w:hAnsi="Calibri"/>
                <w:w w:val="115"/>
                <w:sz w:val="7"/>
              </w:rPr>
              <w:t>pago</w:t>
            </w:r>
            <w:r>
              <w:rPr>
                <w:rFonts w:ascii="Calibri" w:hAnsi="Calibri"/>
                <w:spacing w:val="-3"/>
                <w:w w:val="115"/>
                <w:sz w:val="7"/>
              </w:rPr>
              <w:t> </w:t>
            </w:r>
            <w:r>
              <w:rPr>
                <w:rFonts w:ascii="Calibri" w:hAnsi="Calibri"/>
                <w:w w:val="115"/>
                <w:sz w:val="7"/>
              </w:rPr>
              <w:t>de</w:t>
            </w:r>
            <w:r>
              <w:rPr>
                <w:rFonts w:ascii="Calibri" w:hAnsi="Calibri"/>
                <w:spacing w:val="-5"/>
                <w:w w:val="115"/>
                <w:sz w:val="7"/>
              </w:rPr>
              <w:t> </w:t>
            </w:r>
            <w:r>
              <w:rPr>
                <w:rFonts w:ascii="Calibri" w:hAnsi="Calibri"/>
                <w:w w:val="115"/>
                <w:sz w:val="7"/>
              </w:rPr>
              <w:t>la</w:t>
            </w:r>
            <w:r>
              <w:rPr>
                <w:rFonts w:ascii="Calibri" w:hAnsi="Calibri"/>
                <w:spacing w:val="-4"/>
                <w:w w:val="115"/>
                <w:sz w:val="7"/>
              </w:rPr>
              <w:t> </w:t>
            </w:r>
            <w:r>
              <w:rPr>
                <w:rFonts w:ascii="Calibri" w:hAnsi="Calibri"/>
                <w:w w:val="115"/>
                <w:sz w:val="7"/>
              </w:rPr>
              <w:t>indexación</w:t>
            </w:r>
            <w:r>
              <w:rPr>
                <w:rFonts w:ascii="Calibri" w:hAnsi="Calibri"/>
                <w:spacing w:val="-4"/>
                <w:w w:val="115"/>
                <w:sz w:val="7"/>
              </w:rPr>
              <w:t> </w:t>
            </w:r>
            <w:r>
              <w:rPr>
                <w:rFonts w:ascii="Calibri" w:hAnsi="Calibri"/>
                <w:w w:val="115"/>
                <w:sz w:val="7"/>
              </w:rPr>
              <w:t>desde</w:t>
            </w:r>
            <w:r>
              <w:rPr>
                <w:rFonts w:ascii="Calibri" w:hAnsi="Calibri"/>
                <w:spacing w:val="-5"/>
                <w:w w:val="115"/>
                <w:sz w:val="7"/>
              </w:rPr>
              <w:t> </w:t>
            </w:r>
            <w:r>
              <w:rPr>
                <w:rFonts w:ascii="Calibri" w:hAnsi="Calibri"/>
                <w:w w:val="115"/>
                <w:sz w:val="7"/>
              </w:rPr>
              <w:t>el</w:t>
            </w:r>
            <w:r>
              <w:rPr>
                <w:rFonts w:ascii="Calibri" w:hAnsi="Calibri"/>
                <w:spacing w:val="40"/>
                <w:w w:val="115"/>
                <w:sz w:val="7"/>
              </w:rPr>
              <w:t> </w:t>
            </w:r>
            <w:r>
              <w:rPr>
                <w:rFonts w:ascii="Calibri" w:hAnsi="Calibri"/>
                <w:w w:val="115"/>
                <w:sz w:val="7"/>
              </w:rPr>
              <w:t>momento</w:t>
            </w:r>
            <w:r>
              <w:rPr>
                <w:rFonts w:ascii="Calibri" w:hAnsi="Calibri"/>
                <w:spacing w:val="-5"/>
                <w:w w:val="115"/>
                <w:sz w:val="7"/>
              </w:rPr>
              <w:t> </w:t>
            </w:r>
            <w:r>
              <w:rPr>
                <w:rFonts w:ascii="Calibri" w:hAnsi="Calibri"/>
                <w:w w:val="115"/>
                <w:sz w:val="7"/>
              </w:rPr>
              <w:t>en</w:t>
            </w:r>
            <w:r>
              <w:rPr>
                <w:rFonts w:ascii="Calibri" w:hAnsi="Calibri"/>
                <w:spacing w:val="-5"/>
                <w:w w:val="115"/>
                <w:sz w:val="7"/>
              </w:rPr>
              <w:t> </w:t>
            </w:r>
            <w:r>
              <w:rPr>
                <w:rFonts w:ascii="Calibri" w:hAnsi="Calibri"/>
                <w:w w:val="115"/>
                <w:sz w:val="7"/>
              </w:rPr>
              <w:t>que</w:t>
            </w:r>
            <w:r>
              <w:rPr>
                <w:rFonts w:ascii="Calibri" w:hAnsi="Calibri"/>
                <w:spacing w:val="-4"/>
                <w:w w:val="115"/>
                <w:sz w:val="7"/>
              </w:rPr>
              <w:t> </w:t>
            </w:r>
            <w:r>
              <w:rPr>
                <w:rFonts w:ascii="Calibri" w:hAnsi="Calibri"/>
                <w:w w:val="115"/>
                <w:sz w:val="7"/>
              </w:rPr>
              <w:t>cada</w:t>
            </w:r>
            <w:r>
              <w:rPr>
                <w:rFonts w:ascii="Calibri" w:hAnsi="Calibri"/>
                <w:spacing w:val="-5"/>
                <w:w w:val="115"/>
                <w:sz w:val="7"/>
              </w:rPr>
              <w:t> </w:t>
            </w:r>
            <w:r>
              <w:rPr>
                <w:rFonts w:ascii="Calibri" w:hAnsi="Calibri"/>
                <w:w w:val="115"/>
                <w:sz w:val="7"/>
              </w:rPr>
              <w:t>monto</w:t>
            </w:r>
            <w:r>
              <w:rPr>
                <w:rFonts w:ascii="Calibri" w:hAnsi="Calibri"/>
                <w:spacing w:val="-4"/>
                <w:w w:val="115"/>
                <w:sz w:val="7"/>
              </w:rPr>
              <w:t> </w:t>
            </w:r>
            <w:r>
              <w:rPr>
                <w:rFonts w:ascii="Calibri" w:hAnsi="Calibri"/>
                <w:w w:val="115"/>
                <w:sz w:val="7"/>
              </w:rPr>
              <w:t>resultó</w:t>
            </w:r>
            <w:r>
              <w:rPr>
                <w:rFonts w:ascii="Calibri" w:hAnsi="Calibri"/>
                <w:spacing w:val="-3"/>
                <w:w w:val="115"/>
                <w:sz w:val="7"/>
              </w:rPr>
              <w:t> </w:t>
            </w:r>
            <w:r>
              <w:rPr>
                <w:rFonts w:ascii="Calibri" w:hAnsi="Calibri"/>
                <w:w w:val="115"/>
                <w:sz w:val="7"/>
              </w:rPr>
              <w:t>exigible</w:t>
            </w:r>
            <w:r>
              <w:rPr>
                <w:rFonts w:ascii="Calibri" w:hAnsi="Calibri"/>
                <w:spacing w:val="-5"/>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hasta</w:t>
            </w:r>
            <w:r>
              <w:rPr>
                <w:rFonts w:ascii="Calibri" w:hAnsi="Calibri"/>
                <w:spacing w:val="-4"/>
                <w:w w:val="115"/>
                <w:sz w:val="7"/>
              </w:rPr>
              <w:t> </w:t>
            </w:r>
            <w:r>
              <w:rPr>
                <w:rFonts w:ascii="Calibri" w:hAnsi="Calibri"/>
                <w:w w:val="115"/>
                <w:sz w:val="7"/>
              </w:rPr>
              <w:t>la</w:t>
            </w:r>
            <w:r>
              <w:rPr>
                <w:rFonts w:ascii="Calibri" w:hAnsi="Calibri"/>
                <w:spacing w:val="40"/>
                <w:w w:val="115"/>
                <w:sz w:val="7"/>
              </w:rPr>
              <w:t> </w:t>
            </w:r>
            <w:r>
              <w:rPr>
                <w:rFonts w:ascii="Calibri" w:hAnsi="Calibri"/>
                <w:w w:val="115"/>
                <w:sz w:val="7"/>
              </w:rPr>
              <w:t>fecha de la efectiva cancelación. En lo demás, se</w:t>
            </w:r>
            <w:r>
              <w:rPr>
                <w:rFonts w:ascii="Calibri" w:hAnsi="Calibri"/>
                <w:spacing w:val="40"/>
                <w:w w:val="115"/>
                <w:sz w:val="7"/>
              </w:rPr>
              <w:t> </w:t>
            </w:r>
            <w:r>
              <w:rPr>
                <w:rFonts w:ascii="Calibri" w:hAnsi="Calibri"/>
                <w:w w:val="115"/>
                <w:sz w:val="7"/>
              </w:rPr>
              <w:t>mantiene</w:t>
            </w:r>
            <w:r>
              <w:rPr>
                <w:rFonts w:ascii="Calibri" w:hAnsi="Calibri"/>
                <w:spacing w:val="-4"/>
                <w:w w:val="115"/>
                <w:sz w:val="7"/>
              </w:rPr>
              <w:t> </w:t>
            </w:r>
            <w:r>
              <w:rPr>
                <w:rFonts w:ascii="Calibri" w:hAnsi="Calibri"/>
                <w:w w:val="115"/>
                <w:sz w:val="7"/>
              </w:rPr>
              <w:t>incólume.</w:t>
            </w:r>
            <w:r>
              <w:rPr>
                <w:rFonts w:ascii="Calibri" w:hAnsi="Calibri"/>
                <w:spacing w:val="-2"/>
                <w:w w:val="115"/>
                <w:sz w:val="7"/>
              </w:rPr>
              <w:t> </w:t>
            </w:r>
            <w:r>
              <w:rPr>
                <w:rFonts w:ascii="Calibri" w:hAnsi="Calibri"/>
                <w:w w:val="115"/>
                <w:sz w:val="7"/>
              </w:rPr>
              <w:t>Comunicación</w:t>
            </w:r>
            <w:r>
              <w:rPr>
                <w:rFonts w:ascii="Calibri" w:hAnsi="Calibri"/>
                <w:spacing w:val="-1"/>
                <w:w w:val="115"/>
                <w:sz w:val="7"/>
              </w:rPr>
              <w:t> </w:t>
            </w:r>
            <w:r>
              <w:rPr>
                <w:rFonts w:ascii="Calibri" w:hAnsi="Calibri"/>
                <w:w w:val="115"/>
                <w:sz w:val="7"/>
              </w:rPr>
              <w:t>IMAS-PE-AJ-1072-</w:t>
            </w:r>
            <w:r>
              <w:rPr>
                <w:rFonts w:ascii="Calibri" w:hAnsi="Calibri"/>
                <w:spacing w:val="-2"/>
                <w:w w:val="115"/>
                <w:sz w:val="7"/>
              </w:rPr>
              <w:t>2025.</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9"/>
              <w:rPr>
                <w:sz w:val="7"/>
              </w:rPr>
            </w:pPr>
          </w:p>
          <w:p>
            <w:pPr>
              <w:pStyle w:val="TableParagraph"/>
              <w:spacing w:line="276" w:lineRule="auto"/>
              <w:ind w:left="97" w:right="84" w:hanging="2"/>
              <w:jc w:val="center"/>
              <w:rPr>
                <w:rFonts w:ascii="Calibri"/>
                <w:sz w:val="7"/>
              </w:rPr>
            </w:pPr>
            <w:r>
              <w:rPr>
                <w:rFonts w:ascii="Calibri"/>
                <w:w w:val="115"/>
                <w:sz w:val="7"/>
              </w:rPr>
              <w:t>Pasivo</w:t>
            </w:r>
            <w:r>
              <w:rPr>
                <w:rFonts w:ascii="Calibri"/>
                <w:spacing w:val="-5"/>
                <w:w w:val="115"/>
                <w:sz w:val="7"/>
              </w:rPr>
              <w:t> </w:t>
            </w:r>
            <w:r>
              <w:rPr>
                <w:rFonts w:ascii="Calibri"/>
                <w:w w:val="115"/>
                <w:sz w:val="7"/>
              </w:rPr>
              <w:t>real,</w:t>
            </w:r>
            <w:r>
              <w:rPr>
                <w:rFonts w:ascii="Calibri"/>
                <w:spacing w:val="40"/>
                <w:w w:val="115"/>
                <w:sz w:val="7"/>
              </w:rPr>
              <w:t> </w:t>
            </w:r>
            <w:r>
              <w:rPr>
                <w:rFonts w:ascii="Calibri"/>
                <w:spacing w:val="-2"/>
                <w:w w:val="115"/>
                <w:sz w:val="7"/>
              </w:rPr>
              <w:t>cancelado</w:t>
            </w:r>
            <w:r>
              <w:rPr>
                <w:rFonts w:ascii="Calibri"/>
                <w:spacing w:val="-3"/>
                <w:w w:val="115"/>
                <w:sz w:val="7"/>
              </w:rPr>
              <w:t> </w:t>
            </w:r>
            <w:r>
              <w:rPr>
                <w:rFonts w:ascii="Calibri"/>
                <w:spacing w:val="-2"/>
                <w:w w:val="115"/>
                <w:sz w:val="7"/>
              </w:rPr>
              <w:t>en</w:t>
            </w:r>
            <w:r>
              <w:rPr>
                <w:rFonts w:ascii="Calibri"/>
                <w:spacing w:val="40"/>
                <w:w w:val="115"/>
                <w:sz w:val="7"/>
              </w:rPr>
              <w:t> </w:t>
            </w:r>
            <w:r>
              <w:rPr>
                <w:rFonts w:ascii="Calibri"/>
                <w:w w:val="115"/>
                <w:sz w:val="7"/>
              </w:rPr>
              <w:t>DIC2025</w:t>
            </w:r>
            <w:r>
              <w:rPr>
                <w:rFonts w:ascii="Calibri"/>
                <w:spacing w:val="2"/>
                <w:w w:val="115"/>
                <w:sz w:val="7"/>
              </w:rPr>
              <w:t> </w:t>
            </w:r>
            <w:r>
              <w:rPr>
                <w:rFonts w:ascii="Calibri"/>
                <w:spacing w:val="-5"/>
                <w:w w:val="115"/>
                <w:sz w:val="7"/>
              </w:rPr>
              <w:t>Se</w:t>
            </w:r>
          </w:p>
          <w:p>
            <w:pPr>
              <w:pStyle w:val="TableParagraph"/>
              <w:spacing w:line="276" w:lineRule="auto"/>
              <w:ind w:left="10" w:right="1"/>
              <w:jc w:val="center"/>
              <w:rPr>
                <w:rFonts w:ascii="Calibri" w:hAnsi="Calibri"/>
                <w:sz w:val="7"/>
              </w:rPr>
            </w:pPr>
            <w:r>
              <w:rPr>
                <w:rFonts w:ascii="Calibri" w:hAnsi="Calibri"/>
                <w:spacing w:val="-2"/>
                <w:w w:val="115"/>
                <w:sz w:val="7"/>
              </w:rPr>
              <w:t>mantiene</w:t>
            </w:r>
            <w:r>
              <w:rPr>
                <w:rFonts w:ascii="Calibri" w:hAnsi="Calibri"/>
                <w:spacing w:val="-5"/>
                <w:w w:val="115"/>
                <w:sz w:val="7"/>
              </w:rPr>
              <w:t> </w:t>
            </w:r>
            <w:r>
              <w:rPr>
                <w:rFonts w:ascii="Calibri" w:hAnsi="Calibri"/>
                <w:spacing w:val="-2"/>
                <w:w w:val="115"/>
                <w:sz w:val="7"/>
              </w:rPr>
              <w:t>saldo</w:t>
            </w:r>
            <w:r>
              <w:rPr>
                <w:rFonts w:ascii="Calibri" w:hAnsi="Calibri"/>
                <w:spacing w:val="40"/>
                <w:w w:val="115"/>
                <w:sz w:val="7"/>
              </w:rPr>
              <w:t> </w:t>
            </w:r>
            <w:r>
              <w:rPr>
                <w:rFonts w:ascii="Calibri" w:hAnsi="Calibri"/>
                <w:spacing w:val="-2"/>
                <w:w w:val="115"/>
                <w:sz w:val="7"/>
              </w:rPr>
              <w:t>provisión</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45"/>
              <w:rPr>
                <w:sz w:val="7"/>
              </w:rPr>
            </w:pPr>
          </w:p>
          <w:p>
            <w:pPr>
              <w:pStyle w:val="TableParagraph"/>
              <w:spacing w:before="1"/>
              <w:ind w:left="10" w:right="3"/>
              <w:jc w:val="center"/>
              <w:rPr>
                <w:rFonts w:ascii="Calibri"/>
                <w:sz w:val="7"/>
              </w:rPr>
            </w:pPr>
            <w:r>
              <w:rPr>
                <w:rFonts w:ascii="Calibri"/>
                <w:spacing w:val="-2"/>
                <w:w w:val="110"/>
                <w:sz w:val="7"/>
              </w:rPr>
              <w:t>Ajustado</w:t>
            </w:r>
          </w:p>
        </w:tc>
        <w:tc>
          <w:tcPr>
            <w:tcW w:w="83" w:type="dxa"/>
            <w:vMerge/>
            <w:tcBorders>
              <w:top w:val="nil"/>
              <w:left w:val="nil"/>
            </w:tcBorders>
          </w:tcPr>
          <w:p>
            <w:pPr>
              <w:rPr>
                <w:sz w:val="2"/>
                <w:szCs w:val="2"/>
              </w:rPr>
            </w:pPr>
          </w:p>
        </w:tc>
      </w:tr>
      <w:tr>
        <w:trPr>
          <w:trHeight w:val="845"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4"/>
              <w:rPr>
                <w:sz w:val="7"/>
              </w:rPr>
            </w:pPr>
          </w:p>
          <w:p>
            <w:pPr>
              <w:pStyle w:val="TableParagraph"/>
              <w:ind w:left="11"/>
              <w:jc w:val="center"/>
              <w:rPr>
                <w:rFonts w:ascii="Calibri"/>
                <w:b/>
                <w:sz w:val="7"/>
              </w:rPr>
            </w:pPr>
            <w:r>
              <w:rPr>
                <w:rFonts w:ascii="Calibri"/>
                <w:b/>
                <w:spacing w:val="-2"/>
                <w:w w:val="115"/>
                <w:sz w:val="7"/>
              </w:rPr>
              <w:t>LABORAL</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4"/>
              <w:rPr>
                <w:sz w:val="7"/>
              </w:rPr>
            </w:pPr>
          </w:p>
          <w:p>
            <w:pPr>
              <w:pStyle w:val="TableParagraph"/>
              <w:ind w:left="13" w:right="3"/>
              <w:jc w:val="center"/>
              <w:rPr>
                <w:rFonts w:ascii="Calibri"/>
                <w:sz w:val="7"/>
              </w:rPr>
            </w:pPr>
            <w:r>
              <w:rPr>
                <w:rFonts w:ascii="Calibri"/>
                <w:w w:val="110"/>
                <w:sz w:val="7"/>
              </w:rPr>
              <w:t>21-000862-1178-</w:t>
            </w:r>
            <w:r>
              <w:rPr>
                <w:rFonts w:ascii="Calibri"/>
                <w:spacing w:val="-5"/>
                <w:w w:val="110"/>
                <w:sz w:val="7"/>
              </w:rPr>
              <w:t>LA</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4"/>
              <w:rPr>
                <w:sz w:val="7"/>
              </w:rPr>
            </w:pPr>
          </w:p>
          <w:p>
            <w:pPr>
              <w:pStyle w:val="TableParagraph"/>
              <w:ind w:left="17"/>
              <w:rPr>
                <w:rFonts w:ascii="Calibri" w:hAnsi="Calibri"/>
                <w:sz w:val="7"/>
              </w:rPr>
            </w:pPr>
            <w:r>
              <w:rPr>
                <w:rFonts w:ascii="Calibri" w:hAnsi="Calibri"/>
                <w:spacing w:val="-2"/>
                <w:w w:val="110"/>
                <w:sz w:val="7"/>
              </w:rPr>
              <w:t>Gerardo</w:t>
            </w:r>
            <w:r>
              <w:rPr>
                <w:rFonts w:ascii="Calibri" w:hAnsi="Calibri"/>
                <w:spacing w:val="7"/>
                <w:w w:val="110"/>
                <w:sz w:val="7"/>
              </w:rPr>
              <w:t> </w:t>
            </w:r>
            <w:r>
              <w:rPr>
                <w:rFonts w:ascii="Calibri" w:hAnsi="Calibri"/>
                <w:spacing w:val="-2"/>
                <w:w w:val="110"/>
                <w:sz w:val="7"/>
              </w:rPr>
              <w:t>Alvarado</w:t>
            </w:r>
            <w:r>
              <w:rPr>
                <w:rFonts w:ascii="Calibri" w:hAnsi="Calibri"/>
                <w:spacing w:val="7"/>
                <w:w w:val="110"/>
                <w:sz w:val="7"/>
              </w:rPr>
              <w:t> </w:t>
            </w:r>
            <w:r>
              <w:rPr>
                <w:rFonts w:ascii="Calibri" w:hAnsi="Calibri"/>
                <w:spacing w:val="-2"/>
                <w:w w:val="110"/>
                <w:sz w:val="7"/>
              </w:rPr>
              <w:t>Fernández</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4"/>
              <w:rPr>
                <w:sz w:val="7"/>
              </w:rPr>
            </w:pPr>
          </w:p>
          <w:p>
            <w:pPr>
              <w:pStyle w:val="TableParagraph"/>
              <w:ind w:left="11"/>
              <w:jc w:val="center"/>
              <w:rPr>
                <w:rFonts w:ascii="Calibri"/>
                <w:sz w:val="7"/>
              </w:rPr>
            </w:pPr>
            <w:r>
              <w:rPr>
                <w:rFonts w:ascii="Calibri"/>
                <w:w w:val="110"/>
                <w:sz w:val="7"/>
              </w:rPr>
              <w:t>1-0419-</w:t>
            </w:r>
            <w:r>
              <w:rPr>
                <w:rFonts w:ascii="Calibri"/>
                <w:spacing w:val="-4"/>
                <w:w w:val="110"/>
                <w:sz w:val="7"/>
              </w:rPr>
              <w:t>0102</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spacing w:before="28"/>
              <w:rPr>
                <w:sz w:val="7"/>
              </w:rPr>
            </w:pPr>
          </w:p>
          <w:p>
            <w:pPr>
              <w:pStyle w:val="TableParagraph"/>
              <w:spacing w:line="276" w:lineRule="auto"/>
              <w:ind w:left="54" w:right="38" w:firstLine="1"/>
              <w:jc w:val="center"/>
              <w:rPr>
                <w:rFonts w:ascii="Calibri" w:hAnsi="Calibri"/>
                <w:sz w:val="7"/>
              </w:rPr>
            </w:pPr>
            <w:r>
              <w:rPr>
                <w:rFonts w:ascii="Calibri" w:hAnsi="Calibri"/>
                <w:w w:val="115"/>
                <w:sz w:val="7"/>
              </w:rPr>
              <w:t>Ajuste</w:t>
            </w:r>
            <w:r>
              <w:rPr>
                <w:rFonts w:ascii="Calibri" w:hAnsi="Calibri"/>
                <w:spacing w:val="-5"/>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pago</w:t>
            </w:r>
            <w:r>
              <w:rPr>
                <w:rFonts w:ascii="Calibri" w:hAnsi="Calibri"/>
                <w:spacing w:val="-4"/>
                <w:w w:val="115"/>
                <w:sz w:val="7"/>
              </w:rPr>
              <w:t> </w:t>
            </w:r>
            <w:r>
              <w:rPr>
                <w:rFonts w:ascii="Calibri" w:hAnsi="Calibri"/>
                <w:w w:val="115"/>
                <w:sz w:val="7"/>
              </w:rPr>
              <w:t>de</w:t>
            </w:r>
            <w:r>
              <w:rPr>
                <w:rFonts w:ascii="Calibri" w:hAnsi="Calibri"/>
                <w:spacing w:val="40"/>
                <w:w w:val="115"/>
                <w:sz w:val="7"/>
              </w:rPr>
              <w:t> </w:t>
            </w:r>
            <w:r>
              <w:rPr>
                <w:rFonts w:ascii="Calibri" w:hAnsi="Calibri"/>
                <w:spacing w:val="-2"/>
                <w:w w:val="115"/>
                <w:sz w:val="7"/>
              </w:rPr>
              <w:t>porcentajes</w:t>
            </w:r>
            <w:r>
              <w:rPr>
                <w:rFonts w:ascii="Calibri" w:hAnsi="Calibri"/>
                <w:spacing w:val="40"/>
                <w:w w:val="115"/>
                <w:sz w:val="7"/>
              </w:rPr>
              <w:t> </w:t>
            </w:r>
            <w:r>
              <w:rPr>
                <w:rFonts w:ascii="Calibri" w:hAnsi="Calibri"/>
                <w:spacing w:val="-2"/>
                <w:w w:val="115"/>
                <w:sz w:val="7"/>
              </w:rPr>
              <w:t>salariales,</w:t>
            </w:r>
            <w:r>
              <w:rPr>
                <w:rFonts w:ascii="Calibri" w:hAnsi="Calibri"/>
                <w:spacing w:val="-4"/>
                <w:w w:val="115"/>
                <w:sz w:val="7"/>
              </w:rPr>
              <w:t> </w:t>
            </w:r>
            <w:r>
              <w:rPr>
                <w:rFonts w:ascii="Calibri" w:hAnsi="Calibri"/>
                <w:spacing w:val="-2"/>
                <w:w w:val="115"/>
                <w:sz w:val="7"/>
              </w:rPr>
              <w:t>según</w:t>
            </w:r>
            <w:r>
              <w:rPr>
                <w:rFonts w:ascii="Calibri" w:hAnsi="Calibri"/>
                <w:spacing w:val="40"/>
                <w:w w:val="115"/>
                <w:sz w:val="7"/>
              </w:rPr>
              <w:t> </w:t>
            </w:r>
            <w:r>
              <w:rPr>
                <w:rFonts w:ascii="Calibri" w:hAnsi="Calibri"/>
                <w:w w:val="115"/>
                <w:sz w:val="7"/>
              </w:rPr>
              <w:t>Resolución</w:t>
            </w:r>
            <w:r>
              <w:rPr>
                <w:rFonts w:ascii="Calibri" w:hAnsi="Calibri"/>
                <w:spacing w:val="-5"/>
                <w:w w:val="115"/>
                <w:sz w:val="7"/>
              </w:rPr>
              <w:t> </w:t>
            </w:r>
            <w:r>
              <w:rPr>
                <w:rFonts w:ascii="Calibri" w:hAnsi="Calibri"/>
                <w:w w:val="115"/>
                <w:sz w:val="7"/>
              </w:rPr>
              <w:t>DG-</w:t>
            </w:r>
            <w:r>
              <w:rPr>
                <w:rFonts w:ascii="Calibri" w:hAnsi="Calibri"/>
                <w:spacing w:val="-2"/>
                <w:w w:val="115"/>
                <w:sz w:val="7"/>
              </w:rPr>
              <w:t>078-89</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9"/>
              <w:rPr>
                <w:sz w:val="7"/>
              </w:rPr>
            </w:pPr>
          </w:p>
          <w:p>
            <w:pPr>
              <w:pStyle w:val="TableParagraph"/>
              <w:spacing w:line="276" w:lineRule="auto"/>
              <w:ind w:left="35" w:right="19"/>
              <w:jc w:val="center"/>
              <w:rPr>
                <w:rFonts w:ascii="Calibri"/>
                <w:sz w:val="7"/>
              </w:rPr>
            </w:pPr>
            <w:r>
              <w:rPr>
                <w:rFonts w:ascii="Calibri"/>
                <w:spacing w:val="-2"/>
                <w:w w:val="115"/>
                <w:sz w:val="7"/>
              </w:rPr>
              <w:t>Demanda</w:t>
            </w:r>
            <w:r>
              <w:rPr>
                <w:rFonts w:ascii="Calibri"/>
                <w:spacing w:val="-5"/>
                <w:w w:val="115"/>
                <w:sz w:val="7"/>
              </w:rPr>
              <w:t> </w:t>
            </w:r>
            <w:r>
              <w:rPr>
                <w:rFonts w:ascii="Calibri"/>
                <w:spacing w:val="-2"/>
                <w:w w:val="115"/>
                <w:sz w:val="7"/>
              </w:rPr>
              <w:t>parcialmente</w:t>
            </w:r>
            <w:r>
              <w:rPr>
                <w:rFonts w:ascii="Calibri"/>
                <w:spacing w:val="40"/>
                <w:w w:val="115"/>
                <w:sz w:val="7"/>
              </w:rPr>
              <w:t> </w:t>
            </w:r>
            <w:r>
              <w:rPr>
                <w:rFonts w:ascii="Calibri"/>
                <w:w w:val="115"/>
                <w:sz w:val="7"/>
              </w:rPr>
              <w:t>con</w:t>
            </w:r>
            <w:r>
              <w:rPr>
                <w:rFonts w:ascii="Calibri"/>
                <w:spacing w:val="-1"/>
                <w:w w:val="115"/>
                <w:sz w:val="7"/>
              </w:rPr>
              <w:t> </w:t>
            </w:r>
            <w:r>
              <w:rPr>
                <w:rFonts w:ascii="Calibri"/>
                <w:w w:val="115"/>
                <w:sz w:val="7"/>
              </w:rPr>
              <w:t>lugar</w:t>
            </w:r>
            <w:r>
              <w:rPr>
                <w:rFonts w:ascii="Calibri"/>
                <w:spacing w:val="-3"/>
                <w:w w:val="115"/>
                <w:sz w:val="7"/>
              </w:rPr>
              <w:t> </w:t>
            </w:r>
            <w:r>
              <w:rPr>
                <w:rFonts w:ascii="Calibri"/>
                <w:w w:val="115"/>
                <w:sz w:val="7"/>
              </w:rPr>
              <w:t>en</w:t>
            </w:r>
            <w:r>
              <w:rPr>
                <w:rFonts w:ascii="Calibri"/>
                <w:spacing w:val="-1"/>
                <w:w w:val="115"/>
                <w:sz w:val="7"/>
              </w:rPr>
              <w:t> </w:t>
            </w:r>
            <w:r>
              <w:rPr>
                <w:rFonts w:ascii="Calibri"/>
                <w:w w:val="115"/>
                <w:sz w:val="7"/>
              </w:rPr>
              <w:t>segunda</w:t>
            </w:r>
            <w:r>
              <w:rPr>
                <w:rFonts w:ascii="Calibri"/>
                <w:spacing w:val="40"/>
                <w:w w:val="115"/>
                <w:sz w:val="7"/>
              </w:rPr>
              <w:t> </w:t>
            </w:r>
            <w:r>
              <w:rPr>
                <w:rFonts w:ascii="Calibri"/>
                <w:spacing w:val="-2"/>
                <w:w w:val="115"/>
                <w:sz w:val="7"/>
              </w:rPr>
              <w:t>instancia</w:t>
            </w:r>
          </w:p>
          <w:p>
            <w:pPr>
              <w:pStyle w:val="TableParagraph"/>
              <w:spacing w:before="18"/>
              <w:rPr>
                <w:sz w:val="7"/>
              </w:rPr>
            </w:pPr>
          </w:p>
          <w:p>
            <w:pPr>
              <w:pStyle w:val="TableParagraph"/>
              <w:spacing w:line="276" w:lineRule="auto" w:before="1"/>
              <w:ind w:left="36" w:right="24" w:firstLine="1"/>
              <w:jc w:val="center"/>
              <w:rPr>
                <w:rFonts w:ascii="Calibri"/>
                <w:sz w:val="7"/>
              </w:rPr>
            </w:pPr>
            <w:r>
              <w:rPr>
                <w:rFonts w:ascii="Calibri"/>
                <w:w w:val="115"/>
                <w:sz w:val="7"/>
              </w:rPr>
              <w:t>Sentencia</w:t>
            </w:r>
            <w:r>
              <w:rPr>
                <w:rFonts w:ascii="Calibri"/>
                <w:spacing w:val="-5"/>
                <w:w w:val="115"/>
                <w:sz w:val="7"/>
              </w:rPr>
              <w:t> </w:t>
            </w:r>
            <w:r>
              <w:rPr>
                <w:rFonts w:ascii="Calibri"/>
                <w:w w:val="115"/>
                <w:sz w:val="7"/>
              </w:rPr>
              <w:t>sala</w:t>
            </w:r>
            <w:r>
              <w:rPr>
                <w:rFonts w:ascii="Calibri"/>
                <w:spacing w:val="-5"/>
                <w:w w:val="115"/>
                <w:sz w:val="7"/>
              </w:rPr>
              <w:t> </w:t>
            </w:r>
            <w:r>
              <w:rPr>
                <w:rFonts w:ascii="Calibri"/>
                <w:w w:val="115"/>
                <w:sz w:val="7"/>
              </w:rPr>
              <w:t>segunda,</w:t>
            </w:r>
            <w:r>
              <w:rPr>
                <w:rFonts w:ascii="Calibri"/>
                <w:spacing w:val="40"/>
                <w:w w:val="115"/>
                <w:sz w:val="7"/>
              </w:rPr>
              <w:t> </w:t>
            </w:r>
            <w:r>
              <w:rPr>
                <w:rFonts w:ascii="Calibri"/>
                <w:spacing w:val="-2"/>
                <w:w w:val="115"/>
                <w:sz w:val="7"/>
              </w:rPr>
              <w:t>se</w:t>
            </w:r>
            <w:r>
              <w:rPr>
                <w:rFonts w:ascii="Calibri"/>
                <w:spacing w:val="-4"/>
                <w:w w:val="115"/>
                <w:sz w:val="7"/>
              </w:rPr>
              <w:t> </w:t>
            </w:r>
            <w:r>
              <w:rPr>
                <w:rFonts w:ascii="Calibri"/>
                <w:spacing w:val="-2"/>
                <w:w w:val="115"/>
                <w:sz w:val="7"/>
              </w:rPr>
              <w:t>acoge</w:t>
            </w:r>
            <w:r>
              <w:rPr>
                <w:rFonts w:ascii="Calibri"/>
                <w:spacing w:val="-4"/>
                <w:w w:val="115"/>
                <w:sz w:val="7"/>
              </w:rPr>
              <w:t> </w:t>
            </w:r>
            <w:r>
              <w:rPr>
                <w:rFonts w:ascii="Calibri"/>
                <w:spacing w:val="-2"/>
                <w:w w:val="115"/>
                <w:sz w:val="7"/>
              </w:rPr>
              <w:t>parcialmente</w:t>
            </w:r>
            <w:r>
              <w:rPr>
                <w:rFonts w:ascii="Calibri"/>
                <w:spacing w:val="-4"/>
                <w:w w:val="115"/>
                <w:sz w:val="7"/>
              </w:rPr>
              <w:t> </w:t>
            </w:r>
            <w:r>
              <w:rPr>
                <w:rFonts w:ascii="Calibri"/>
                <w:spacing w:val="-2"/>
                <w:w w:val="115"/>
                <w:sz w:val="7"/>
              </w:rPr>
              <w:t>el</w:t>
            </w:r>
            <w:r>
              <w:rPr>
                <w:rFonts w:ascii="Calibri"/>
                <w:spacing w:val="40"/>
                <w:w w:val="115"/>
                <w:sz w:val="7"/>
              </w:rPr>
              <w:t> </w:t>
            </w:r>
            <w:r>
              <w:rPr>
                <w:rFonts w:ascii="Calibri"/>
                <w:spacing w:val="-2"/>
                <w:w w:val="115"/>
                <w:sz w:val="7"/>
              </w:rPr>
              <w:t>recurso</w:t>
            </w:r>
          </w:p>
        </w:tc>
        <w:tc>
          <w:tcPr>
            <w:tcW w:w="106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5"/>
              <w:rPr>
                <w:sz w:val="7"/>
              </w:rPr>
            </w:pPr>
          </w:p>
          <w:p>
            <w:pPr>
              <w:pStyle w:val="TableParagraph"/>
              <w:spacing w:before="1"/>
              <w:ind w:left="14"/>
              <w:jc w:val="center"/>
              <w:rPr>
                <w:sz w:val="7"/>
              </w:rPr>
            </w:pPr>
            <w:r>
              <w:rPr>
                <w:rFonts w:ascii="Times New Roman" w:hAnsi="Times New Roman"/>
                <w:spacing w:val="-2"/>
                <w:w w:val="115"/>
                <w:sz w:val="7"/>
              </w:rPr>
              <w:t>₡</w:t>
            </w:r>
            <w:r>
              <w:rPr>
                <w:spacing w:val="-2"/>
                <w:w w:val="115"/>
                <w:sz w:val="7"/>
              </w:rPr>
              <w:t>0,00</w:t>
            </w:r>
          </w:p>
        </w:tc>
        <w:tc>
          <w:tcPr>
            <w:tcW w:w="1845"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77" w:lineRule="exact"/>
              <w:ind w:left="17"/>
              <w:rPr>
                <w:rFonts w:ascii="Calibri" w:hAnsi="Calibri"/>
                <w:sz w:val="7"/>
              </w:rPr>
            </w:pPr>
            <w:r>
              <w:rPr>
                <w:rFonts w:ascii="Calibri" w:hAnsi="Calibri"/>
                <w:w w:val="110"/>
                <w:sz w:val="7"/>
              </w:rPr>
              <w:t>Sentencia</w:t>
            </w:r>
            <w:r>
              <w:rPr>
                <w:rFonts w:ascii="Calibri" w:hAnsi="Calibri"/>
                <w:spacing w:val="2"/>
                <w:w w:val="110"/>
                <w:sz w:val="7"/>
              </w:rPr>
              <w:t> </w:t>
            </w:r>
            <w:r>
              <w:rPr>
                <w:rFonts w:ascii="Calibri" w:hAnsi="Calibri"/>
                <w:w w:val="110"/>
                <w:sz w:val="7"/>
              </w:rPr>
              <w:t>de</w:t>
            </w:r>
            <w:r>
              <w:rPr>
                <w:rFonts w:ascii="Calibri" w:hAnsi="Calibri"/>
                <w:spacing w:val="3"/>
                <w:w w:val="110"/>
                <w:sz w:val="7"/>
              </w:rPr>
              <w:t> </w:t>
            </w:r>
            <w:r>
              <w:rPr>
                <w:rFonts w:ascii="Calibri" w:hAnsi="Calibri"/>
                <w:w w:val="110"/>
                <w:sz w:val="7"/>
              </w:rPr>
              <w:t>segunda</w:t>
            </w:r>
            <w:r>
              <w:rPr>
                <w:rFonts w:ascii="Calibri" w:hAnsi="Calibri"/>
                <w:spacing w:val="3"/>
                <w:w w:val="110"/>
                <w:sz w:val="7"/>
              </w:rPr>
              <w:t> </w:t>
            </w:r>
            <w:r>
              <w:rPr>
                <w:rFonts w:ascii="Calibri" w:hAnsi="Calibri"/>
                <w:w w:val="110"/>
                <w:sz w:val="7"/>
              </w:rPr>
              <w:t>instancia</w:t>
            </w:r>
            <w:r>
              <w:rPr>
                <w:rFonts w:ascii="Calibri" w:hAnsi="Calibri"/>
                <w:spacing w:val="2"/>
                <w:w w:val="110"/>
                <w:sz w:val="7"/>
              </w:rPr>
              <w:t> </w:t>
            </w:r>
            <w:r>
              <w:rPr>
                <w:rFonts w:ascii="Calibri" w:hAnsi="Calibri"/>
                <w:w w:val="110"/>
                <w:sz w:val="7"/>
              </w:rPr>
              <w:t>N°</w:t>
            </w:r>
            <w:r>
              <w:rPr>
                <w:rFonts w:ascii="Calibri" w:hAnsi="Calibri"/>
                <w:spacing w:val="4"/>
                <w:w w:val="110"/>
                <w:sz w:val="7"/>
              </w:rPr>
              <w:t> </w:t>
            </w:r>
            <w:r>
              <w:rPr>
                <w:rFonts w:ascii="Calibri" w:hAnsi="Calibri"/>
                <w:w w:val="110"/>
                <w:sz w:val="7"/>
              </w:rPr>
              <w:t>2026-000502:</w:t>
            </w:r>
            <w:r>
              <w:rPr>
                <w:rFonts w:ascii="Calibri" w:hAnsi="Calibri"/>
                <w:spacing w:val="3"/>
                <w:w w:val="110"/>
                <w:sz w:val="7"/>
              </w:rPr>
              <w:t> </w:t>
            </w:r>
            <w:r>
              <w:rPr>
                <w:rFonts w:ascii="Calibri" w:hAnsi="Calibri"/>
                <w:spacing w:val="-5"/>
                <w:w w:val="110"/>
                <w:sz w:val="7"/>
              </w:rPr>
              <w:t>Se</w:t>
            </w:r>
          </w:p>
          <w:p>
            <w:pPr>
              <w:pStyle w:val="TableParagraph"/>
              <w:spacing w:line="100" w:lineRule="atLeast"/>
              <w:ind w:left="17" w:right="49"/>
              <w:rPr>
                <w:rFonts w:ascii="Calibri" w:hAnsi="Calibri"/>
                <w:sz w:val="7"/>
              </w:rPr>
            </w:pPr>
            <w:r>
              <w:rPr>
                <w:rFonts w:ascii="Calibri" w:hAnsi="Calibri"/>
                <w:w w:val="115"/>
                <w:sz w:val="7"/>
              </w:rPr>
              <w:t>declara</w:t>
            </w:r>
            <w:r>
              <w:rPr>
                <w:rFonts w:ascii="Calibri" w:hAnsi="Calibri"/>
                <w:spacing w:val="-5"/>
                <w:w w:val="115"/>
                <w:sz w:val="7"/>
              </w:rPr>
              <w:t> </w:t>
            </w:r>
            <w:r>
              <w:rPr>
                <w:rFonts w:ascii="Calibri" w:hAnsi="Calibri"/>
                <w:w w:val="115"/>
                <w:sz w:val="7"/>
              </w:rPr>
              <w:t>parcialmente</w:t>
            </w:r>
            <w:r>
              <w:rPr>
                <w:rFonts w:ascii="Calibri" w:hAnsi="Calibri"/>
                <w:spacing w:val="-5"/>
                <w:w w:val="115"/>
                <w:sz w:val="7"/>
              </w:rPr>
              <w:t> </w:t>
            </w:r>
            <w:r>
              <w:rPr>
                <w:rFonts w:ascii="Calibri" w:hAnsi="Calibri"/>
                <w:w w:val="115"/>
                <w:sz w:val="7"/>
              </w:rPr>
              <w:t>con</w:t>
            </w:r>
            <w:r>
              <w:rPr>
                <w:rFonts w:ascii="Calibri" w:hAnsi="Calibri"/>
                <w:spacing w:val="-4"/>
                <w:w w:val="115"/>
                <w:sz w:val="7"/>
              </w:rPr>
              <w:t> </w:t>
            </w:r>
            <w:r>
              <w:rPr>
                <w:rFonts w:ascii="Calibri" w:hAnsi="Calibri"/>
                <w:w w:val="115"/>
                <w:sz w:val="7"/>
              </w:rPr>
              <w:t>lugar</w:t>
            </w:r>
            <w:r>
              <w:rPr>
                <w:rFonts w:ascii="Calibri" w:hAnsi="Calibri"/>
                <w:spacing w:val="-5"/>
                <w:w w:val="115"/>
                <w:sz w:val="7"/>
              </w:rPr>
              <w:t> </w:t>
            </w:r>
            <w:r>
              <w:rPr>
                <w:rFonts w:ascii="Calibri" w:hAnsi="Calibri"/>
                <w:w w:val="115"/>
                <w:sz w:val="7"/>
              </w:rPr>
              <w:t>el</w:t>
            </w:r>
            <w:r>
              <w:rPr>
                <w:rFonts w:ascii="Calibri" w:hAnsi="Calibri"/>
                <w:spacing w:val="-4"/>
                <w:w w:val="115"/>
                <w:sz w:val="7"/>
              </w:rPr>
              <w:t> </w:t>
            </w:r>
            <w:r>
              <w:rPr>
                <w:rFonts w:ascii="Calibri" w:hAnsi="Calibri"/>
                <w:w w:val="115"/>
                <w:sz w:val="7"/>
              </w:rPr>
              <w:t>recurso</w:t>
            </w:r>
            <w:r>
              <w:rPr>
                <w:rFonts w:ascii="Calibri" w:hAnsi="Calibri"/>
                <w:spacing w:val="-5"/>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se</w:t>
            </w:r>
            <w:r>
              <w:rPr>
                <w:rFonts w:ascii="Calibri" w:hAnsi="Calibri"/>
                <w:spacing w:val="-5"/>
                <w:w w:val="115"/>
                <w:sz w:val="7"/>
              </w:rPr>
              <w:t> </w:t>
            </w:r>
            <w:r>
              <w:rPr>
                <w:rFonts w:ascii="Calibri" w:hAnsi="Calibri"/>
                <w:w w:val="115"/>
                <w:sz w:val="7"/>
              </w:rPr>
              <w:t>anula</w:t>
            </w:r>
            <w:r>
              <w:rPr>
                <w:rFonts w:ascii="Calibri" w:hAnsi="Calibri"/>
                <w:spacing w:val="-4"/>
                <w:w w:val="115"/>
                <w:sz w:val="7"/>
              </w:rPr>
              <w:t> </w:t>
            </w:r>
            <w:r>
              <w:rPr>
                <w:rFonts w:ascii="Calibri" w:hAnsi="Calibri"/>
                <w:w w:val="115"/>
                <w:sz w:val="7"/>
              </w:rPr>
              <w:t>el</w:t>
            </w:r>
            <w:r>
              <w:rPr>
                <w:rFonts w:ascii="Calibri" w:hAnsi="Calibri"/>
                <w:spacing w:val="40"/>
                <w:w w:val="115"/>
                <w:sz w:val="7"/>
              </w:rPr>
              <w:t> </w:t>
            </w:r>
            <w:r>
              <w:rPr>
                <w:rFonts w:ascii="Calibri" w:hAnsi="Calibri"/>
                <w:w w:val="115"/>
                <w:sz w:val="7"/>
              </w:rPr>
              <w:t>fallo</w:t>
            </w:r>
            <w:r>
              <w:rPr>
                <w:rFonts w:ascii="Calibri" w:hAnsi="Calibri"/>
                <w:spacing w:val="-4"/>
                <w:w w:val="115"/>
                <w:sz w:val="7"/>
              </w:rPr>
              <w:t> </w:t>
            </w:r>
            <w:r>
              <w:rPr>
                <w:rFonts w:ascii="Calibri" w:hAnsi="Calibri"/>
                <w:w w:val="115"/>
                <w:sz w:val="7"/>
              </w:rPr>
              <w:t>impugnado</w:t>
            </w:r>
            <w:r>
              <w:rPr>
                <w:rFonts w:ascii="Calibri" w:hAnsi="Calibri"/>
                <w:spacing w:val="-4"/>
                <w:w w:val="115"/>
                <w:sz w:val="7"/>
              </w:rPr>
              <w:t> </w:t>
            </w:r>
            <w:r>
              <w:rPr>
                <w:rFonts w:ascii="Calibri" w:hAnsi="Calibri"/>
                <w:w w:val="115"/>
                <w:sz w:val="7"/>
              </w:rPr>
              <w:t>en</w:t>
            </w:r>
            <w:r>
              <w:rPr>
                <w:rFonts w:ascii="Calibri" w:hAnsi="Calibri"/>
                <w:spacing w:val="-4"/>
                <w:w w:val="115"/>
                <w:sz w:val="7"/>
              </w:rPr>
              <w:t> </w:t>
            </w:r>
            <w:r>
              <w:rPr>
                <w:rFonts w:ascii="Calibri" w:hAnsi="Calibri"/>
                <w:w w:val="115"/>
                <w:sz w:val="7"/>
              </w:rPr>
              <w:t>cuanto</w:t>
            </w:r>
            <w:r>
              <w:rPr>
                <w:rFonts w:ascii="Calibri" w:hAnsi="Calibri"/>
                <w:spacing w:val="-4"/>
                <w:w w:val="115"/>
                <w:sz w:val="7"/>
              </w:rPr>
              <w:t> </w:t>
            </w:r>
            <w:r>
              <w:rPr>
                <w:rFonts w:ascii="Calibri" w:hAnsi="Calibri"/>
                <w:w w:val="115"/>
                <w:sz w:val="7"/>
              </w:rPr>
              <w:t>denegó</w:t>
            </w:r>
            <w:r>
              <w:rPr>
                <w:rFonts w:ascii="Calibri" w:hAnsi="Calibri"/>
                <w:spacing w:val="-4"/>
                <w:w w:val="115"/>
                <w:sz w:val="7"/>
              </w:rPr>
              <w:t> </w:t>
            </w:r>
            <w:r>
              <w:rPr>
                <w:rFonts w:ascii="Calibri" w:hAnsi="Calibri"/>
                <w:w w:val="115"/>
                <w:sz w:val="7"/>
              </w:rPr>
              <w:t>la</w:t>
            </w:r>
            <w:r>
              <w:rPr>
                <w:rFonts w:ascii="Calibri" w:hAnsi="Calibri"/>
                <w:spacing w:val="-5"/>
                <w:w w:val="115"/>
                <w:sz w:val="7"/>
              </w:rPr>
              <w:t> </w:t>
            </w:r>
            <w:r>
              <w:rPr>
                <w:rFonts w:ascii="Calibri" w:hAnsi="Calibri"/>
                <w:w w:val="115"/>
                <w:sz w:val="7"/>
              </w:rPr>
              <w:t>demanda.</w:t>
            </w:r>
            <w:r>
              <w:rPr>
                <w:rFonts w:ascii="Calibri" w:hAnsi="Calibri"/>
                <w:spacing w:val="-4"/>
                <w:w w:val="115"/>
                <w:sz w:val="7"/>
              </w:rPr>
              <w:t> </w:t>
            </w:r>
            <w:r>
              <w:rPr>
                <w:rFonts w:ascii="Calibri" w:hAnsi="Calibri"/>
                <w:w w:val="115"/>
                <w:sz w:val="7"/>
              </w:rPr>
              <w:t>En</w:t>
            </w:r>
            <w:r>
              <w:rPr>
                <w:rFonts w:ascii="Calibri" w:hAnsi="Calibri"/>
                <w:spacing w:val="-4"/>
                <w:w w:val="115"/>
                <w:sz w:val="7"/>
              </w:rPr>
              <w:t> </w:t>
            </w:r>
            <w:r>
              <w:rPr>
                <w:rFonts w:ascii="Calibri" w:hAnsi="Calibri"/>
                <w:w w:val="115"/>
                <w:sz w:val="7"/>
              </w:rPr>
              <w:t>su</w:t>
            </w:r>
            <w:r>
              <w:rPr>
                <w:rFonts w:ascii="Calibri" w:hAnsi="Calibri"/>
                <w:spacing w:val="40"/>
                <w:w w:val="115"/>
                <w:sz w:val="7"/>
              </w:rPr>
              <w:t> </w:t>
            </w:r>
            <w:r>
              <w:rPr>
                <w:rFonts w:ascii="Calibri" w:hAnsi="Calibri"/>
                <w:w w:val="115"/>
                <w:sz w:val="7"/>
              </w:rPr>
              <w:t>lugar,</w:t>
            </w:r>
            <w:r>
              <w:rPr>
                <w:rFonts w:ascii="Calibri" w:hAnsi="Calibri"/>
                <w:spacing w:val="-4"/>
                <w:w w:val="115"/>
                <w:sz w:val="7"/>
              </w:rPr>
              <w:t> </w:t>
            </w:r>
            <w:r>
              <w:rPr>
                <w:rFonts w:ascii="Calibri" w:hAnsi="Calibri"/>
                <w:w w:val="115"/>
                <w:sz w:val="7"/>
              </w:rPr>
              <w:t>se</w:t>
            </w:r>
            <w:r>
              <w:rPr>
                <w:rFonts w:ascii="Calibri" w:hAnsi="Calibri"/>
                <w:spacing w:val="-5"/>
                <w:w w:val="115"/>
                <w:sz w:val="7"/>
              </w:rPr>
              <w:t> </w:t>
            </w:r>
            <w:r>
              <w:rPr>
                <w:rFonts w:ascii="Calibri" w:hAnsi="Calibri"/>
                <w:w w:val="115"/>
                <w:sz w:val="7"/>
              </w:rPr>
              <w:t>acoge</w:t>
            </w:r>
            <w:r>
              <w:rPr>
                <w:rFonts w:ascii="Calibri" w:hAnsi="Calibri"/>
                <w:spacing w:val="-4"/>
                <w:w w:val="115"/>
                <w:sz w:val="7"/>
              </w:rPr>
              <w:t> </w:t>
            </w:r>
            <w:r>
              <w:rPr>
                <w:rFonts w:ascii="Calibri" w:hAnsi="Calibri"/>
                <w:w w:val="115"/>
                <w:sz w:val="7"/>
              </w:rPr>
              <w:t>parcialmente</w:t>
            </w:r>
            <w:r>
              <w:rPr>
                <w:rFonts w:ascii="Calibri" w:hAnsi="Calibri"/>
                <w:spacing w:val="-5"/>
                <w:w w:val="115"/>
                <w:sz w:val="7"/>
              </w:rPr>
              <w:t> </w:t>
            </w:r>
            <w:r>
              <w:rPr>
                <w:rFonts w:ascii="Calibri" w:hAnsi="Calibri"/>
                <w:w w:val="115"/>
                <w:sz w:val="7"/>
              </w:rPr>
              <w:t>la</w:t>
            </w:r>
            <w:r>
              <w:rPr>
                <w:rFonts w:ascii="Calibri" w:hAnsi="Calibri"/>
                <w:spacing w:val="-4"/>
                <w:w w:val="115"/>
                <w:sz w:val="7"/>
              </w:rPr>
              <w:t> </w:t>
            </w:r>
            <w:r>
              <w:rPr>
                <w:rFonts w:ascii="Calibri" w:hAnsi="Calibri"/>
                <w:w w:val="115"/>
                <w:sz w:val="7"/>
              </w:rPr>
              <w:t>acción</w:t>
            </w:r>
            <w:r>
              <w:rPr>
                <w:rFonts w:ascii="Calibri" w:hAnsi="Calibri"/>
                <w:spacing w:val="-3"/>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se</w:t>
            </w:r>
            <w:r>
              <w:rPr>
                <w:rFonts w:ascii="Calibri" w:hAnsi="Calibri"/>
                <w:spacing w:val="-4"/>
                <w:w w:val="115"/>
                <w:sz w:val="7"/>
              </w:rPr>
              <w:t> </w:t>
            </w:r>
            <w:r>
              <w:rPr>
                <w:rFonts w:ascii="Calibri" w:hAnsi="Calibri"/>
                <w:w w:val="115"/>
                <w:sz w:val="7"/>
              </w:rPr>
              <w:t>condena</w:t>
            </w:r>
            <w:r>
              <w:rPr>
                <w:rFonts w:ascii="Calibri" w:hAnsi="Calibri"/>
                <w:spacing w:val="-5"/>
                <w:w w:val="115"/>
                <w:sz w:val="7"/>
              </w:rPr>
              <w:t> </w:t>
            </w:r>
            <w:r>
              <w:rPr>
                <w:rFonts w:ascii="Calibri" w:hAnsi="Calibri"/>
                <w:w w:val="115"/>
                <w:sz w:val="7"/>
              </w:rPr>
              <w:t>al</w:t>
            </w:r>
            <w:r>
              <w:rPr>
                <w:rFonts w:ascii="Calibri" w:hAnsi="Calibri"/>
                <w:spacing w:val="40"/>
                <w:w w:val="115"/>
                <w:sz w:val="7"/>
              </w:rPr>
              <w:t> </w:t>
            </w:r>
            <w:r>
              <w:rPr>
                <w:rFonts w:ascii="Calibri" w:hAnsi="Calibri"/>
                <w:w w:val="115"/>
                <w:sz w:val="7"/>
              </w:rPr>
              <w:t>accionado</w:t>
            </w:r>
            <w:r>
              <w:rPr>
                <w:rFonts w:ascii="Calibri" w:hAnsi="Calibri"/>
                <w:spacing w:val="-5"/>
                <w:w w:val="115"/>
                <w:sz w:val="7"/>
              </w:rPr>
              <w:t> </w:t>
            </w:r>
            <w:r>
              <w:rPr>
                <w:rFonts w:ascii="Calibri" w:hAnsi="Calibri"/>
                <w:w w:val="115"/>
                <w:sz w:val="7"/>
              </w:rPr>
              <w:t>a</w:t>
            </w:r>
            <w:r>
              <w:rPr>
                <w:rFonts w:ascii="Calibri" w:hAnsi="Calibri"/>
                <w:spacing w:val="-5"/>
                <w:w w:val="115"/>
                <w:sz w:val="7"/>
              </w:rPr>
              <w:t> </w:t>
            </w:r>
            <w:r>
              <w:rPr>
                <w:rFonts w:ascii="Calibri" w:hAnsi="Calibri"/>
                <w:w w:val="115"/>
                <w:sz w:val="7"/>
              </w:rPr>
              <w:t>pagarle</w:t>
            </w:r>
            <w:r>
              <w:rPr>
                <w:rFonts w:ascii="Calibri" w:hAnsi="Calibri"/>
                <w:spacing w:val="-4"/>
                <w:w w:val="115"/>
                <w:sz w:val="7"/>
              </w:rPr>
              <w:t> </w:t>
            </w:r>
            <w:r>
              <w:rPr>
                <w:rFonts w:ascii="Calibri" w:hAnsi="Calibri"/>
                <w:w w:val="115"/>
                <w:sz w:val="7"/>
              </w:rPr>
              <w:t>al</w:t>
            </w:r>
            <w:r>
              <w:rPr>
                <w:rFonts w:ascii="Calibri" w:hAnsi="Calibri"/>
                <w:spacing w:val="-5"/>
                <w:w w:val="115"/>
                <w:sz w:val="7"/>
              </w:rPr>
              <w:t> </w:t>
            </w:r>
            <w:r>
              <w:rPr>
                <w:rFonts w:ascii="Calibri" w:hAnsi="Calibri"/>
                <w:w w:val="115"/>
                <w:sz w:val="7"/>
              </w:rPr>
              <w:t>actor,</w:t>
            </w:r>
            <w:r>
              <w:rPr>
                <w:rFonts w:ascii="Calibri" w:hAnsi="Calibri"/>
                <w:spacing w:val="-4"/>
                <w:w w:val="115"/>
                <w:sz w:val="7"/>
              </w:rPr>
              <w:t> </w:t>
            </w:r>
            <w:r>
              <w:rPr>
                <w:rFonts w:ascii="Calibri" w:hAnsi="Calibri"/>
                <w:w w:val="115"/>
                <w:sz w:val="7"/>
              </w:rPr>
              <w:t>las</w:t>
            </w:r>
            <w:r>
              <w:rPr>
                <w:rFonts w:ascii="Calibri" w:hAnsi="Calibri"/>
                <w:spacing w:val="-5"/>
                <w:w w:val="115"/>
                <w:sz w:val="7"/>
              </w:rPr>
              <w:t> </w:t>
            </w:r>
            <w:r>
              <w:rPr>
                <w:rFonts w:ascii="Calibri" w:hAnsi="Calibri"/>
                <w:w w:val="115"/>
                <w:sz w:val="7"/>
              </w:rPr>
              <w:t>diferencias</w:t>
            </w:r>
            <w:r>
              <w:rPr>
                <w:rFonts w:ascii="Calibri" w:hAnsi="Calibri"/>
                <w:spacing w:val="-4"/>
                <w:w w:val="115"/>
                <w:sz w:val="7"/>
              </w:rPr>
              <w:t> </w:t>
            </w:r>
            <w:r>
              <w:rPr>
                <w:rFonts w:ascii="Calibri" w:hAnsi="Calibri"/>
                <w:w w:val="115"/>
                <w:sz w:val="7"/>
              </w:rPr>
              <w:t>dejadas</w:t>
            </w:r>
            <w:r>
              <w:rPr>
                <w:rFonts w:ascii="Calibri" w:hAnsi="Calibri"/>
                <w:spacing w:val="-5"/>
                <w:w w:val="115"/>
                <w:sz w:val="7"/>
              </w:rPr>
              <w:t> </w:t>
            </w:r>
            <w:r>
              <w:rPr>
                <w:rFonts w:ascii="Calibri" w:hAnsi="Calibri"/>
                <w:w w:val="115"/>
                <w:sz w:val="7"/>
              </w:rPr>
              <w:t>de</w:t>
            </w:r>
            <w:r>
              <w:rPr>
                <w:rFonts w:ascii="Calibri" w:hAnsi="Calibri"/>
                <w:spacing w:val="40"/>
                <w:w w:val="115"/>
                <w:sz w:val="7"/>
              </w:rPr>
              <w:t> </w:t>
            </w:r>
            <w:r>
              <w:rPr>
                <w:rFonts w:ascii="Calibri" w:hAnsi="Calibri"/>
                <w:w w:val="115"/>
                <w:sz w:val="7"/>
              </w:rPr>
              <w:t>percibir, por</w:t>
            </w:r>
            <w:r>
              <w:rPr>
                <w:rFonts w:ascii="Calibri" w:hAnsi="Calibri"/>
                <w:spacing w:val="-1"/>
                <w:w w:val="115"/>
                <w:sz w:val="7"/>
              </w:rPr>
              <w:t> </w:t>
            </w:r>
            <w:r>
              <w:rPr>
                <w:rFonts w:ascii="Calibri" w:hAnsi="Calibri"/>
                <w:w w:val="115"/>
                <w:sz w:val="7"/>
              </w:rPr>
              <w:t>la</w:t>
            </w:r>
            <w:r>
              <w:rPr>
                <w:rFonts w:ascii="Calibri" w:hAnsi="Calibri"/>
                <w:spacing w:val="-1"/>
                <w:w w:val="115"/>
                <w:sz w:val="7"/>
              </w:rPr>
              <w:t> </w:t>
            </w:r>
            <w:r>
              <w:rPr>
                <w:rFonts w:ascii="Calibri" w:hAnsi="Calibri"/>
                <w:w w:val="115"/>
                <w:sz w:val="7"/>
              </w:rPr>
              <w:t>aplicación de la</w:t>
            </w:r>
            <w:r>
              <w:rPr>
                <w:rFonts w:ascii="Calibri" w:hAnsi="Calibri"/>
                <w:spacing w:val="-1"/>
                <w:w w:val="115"/>
                <w:sz w:val="7"/>
              </w:rPr>
              <w:t> </w:t>
            </w:r>
            <w:r>
              <w:rPr>
                <w:rFonts w:ascii="Calibri" w:hAnsi="Calibri"/>
                <w:w w:val="115"/>
                <w:sz w:val="7"/>
              </w:rPr>
              <w:t>fórmula</w:t>
            </w:r>
            <w:r>
              <w:rPr>
                <w:rFonts w:ascii="Calibri" w:hAnsi="Calibri"/>
                <w:spacing w:val="-1"/>
                <w:w w:val="115"/>
                <w:sz w:val="7"/>
              </w:rPr>
              <w:t> </w:t>
            </w:r>
            <w:r>
              <w:rPr>
                <w:rFonts w:ascii="Calibri" w:hAnsi="Calibri"/>
                <w:w w:val="115"/>
                <w:sz w:val="7"/>
              </w:rPr>
              <w:t>automática</w:t>
            </w:r>
            <w:r>
              <w:rPr>
                <w:rFonts w:ascii="Calibri" w:hAnsi="Calibri"/>
                <w:spacing w:val="40"/>
                <w:w w:val="115"/>
                <w:sz w:val="7"/>
              </w:rPr>
              <w:t> </w:t>
            </w:r>
            <w:r>
              <w:rPr>
                <w:rFonts w:ascii="Calibri" w:hAnsi="Calibri"/>
                <w:w w:val="115"/>
                <w:sz w:val="7"/>
              </w:rPr>
              <w:t>establecida en la indicada resolución DG</w:t>
            </w:r>
            <w:r>
              <w:rPr>
                <w:rFonts w:ascii="Calibri" w:hAnsi="Calibri"/>
                <w:spacing w:val="-1"/>
                <w:w w:val="115"/>
                <w:sz w:val="7"/>
              </w:rPr>
              <w:t> </w:t>
            </w:r>
            <w:r>
              <w:rPr>
                <w:rFonts w:ascii="Calibri" w:hAnsi="Calibri"/>
                <w:w w:val="115"/>
                <w:sz w:val="7"/>
              </w:rPr>
              <w:t>guion cero</w:t>
            </w:r>
            <w:r>
              <w:rPr>
                <w:rFonts w:ascii="Calibri" w:hAnsi="Calibri"/>
                <w:spacing w:val="40"/>
                <w:w w:val="115"/>
                <w:sz w:val="7"/>
              </w:rPr>
              <w:t> </w:t>
            </w:r>
            <w:r>
              <w:rPr>
                <w:rFonts w:ascii="Calibri" w:hAnsi="Calibri"/>
                <w:w w:val="115"/>
                <w:sz w:val="7"/>
              </w:rPr>
              <w:t>setenta</w:t>
            </w:r>
            <w:r>
              <w:rPr>
                <w:rFonts w:ascii="Calibri" w:hAnsi="Calibri"/>
                <w:spacing w:val="-4"/>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ocho</w:t>
            </w:r>
            <w:r>
              <w:rPr>
                <w:rFonts w:ascii="Calibri" w:hAnsi="Calibri"/>
                <w:spacing w:val="-2"/>
                <w:w w:val="115"/>
                <w:sz w:val="7"/>
              </w:rPr>
              <w:t> </w:t>
            </w:r>
            <w:r>
              <w:rPr>
                <w:rFonts w:ascii="Calibri" w:hAnsi="Calibri"/>
                <w:w w:val="115"/>
                <w:sz w:val="7"/>
              </w:rPr>
              <w:t>guion</w:t>
            </w:r>
            <w:r>
              <w:rPr>
                <w:rFonts w:ascii="Calibri" w:hAnsi="Calibri"/>
                <w:spacing w:val="-2"/>
                <w:w w:val="115"/>
                <w:sz w:val="7"/>
              </w:rPr>
              <w:t> </w:t>
            </w:r>
            <w:r>
              <w:rPr>
                <w:rFonts w:ascii="Calibri" w:hAnsi="Calibri"/>
                <w:w w:val="115"/>
                <w:sz w:val="7"/>
              </w:rPr>
              <w:t>ochenta</w:t>
            </w:r>
            <w:r>
              <w:rPr>
                <w:rFonts w:ascii="Calibri" w:hAnsi="Calibri"/>
                <w:spacing w:val="-4"/>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nueve,</w:t>
            </w:r>
            <w:r>
              <w:rPr>
                <w:rFonts w:ascii="Calibri" w:hAnsi="Calibri"/>
                <w:spacing w:val="-3"/>
                <w:w w:val="115"/>
                <w:sz w:val="7"/>
              </w:rPr>
              <w:t> </w:t>
            </w:r>
            <w:r>
              <w:rPr>
                <w:rFonts w:ascii="Calibri" w:hAnsi="Calibri"/>
                <w:w w:val="115"/>
                <w:sz w:val="7"/>
              </w:rPr>
              <w:t>desde</w:t>
            </w:r>
            <w:r>
              <w:rPr>
                <w:rFonts w:ascii="Calibri" w:hAnsi="Calibri"/>
                <w:spacing w:val="-4"/>
                <w:w w:val="115"/>
                <w:sz w:val="7"/>
              </w:rPr>
              <w:t> </w:t>
            </w:r>
            <w:r>
              <w:rPr>
                <w:rFonts w:ascii="Calibri" w:hAnsi="Calibri"/>
                <w:w w:val="115"/>
                <w:sz w:val="7"/>
              </w:rPr>
              <w:t>que</w:t>
            </w:r>
            <w:r>
              <w:rPr>
                <w:rFonts w:ascii="Calibri" w:hAnsi="Calibri"/>
                <w:spacing w:val="40"/>
                <w:w w:val="115"/>
                <w:sz w:val="7"/>
              </w:rPr>
              <w:t> </w:t>
            </w:r>
            <w:r>
              <w:rPr>
                <w:rFonts w:ascii="Calibri" w:hAnsi="Calibri"/>
                <w:spacing w:val="-2"/>
                <w:w w:val="115"/>
                <w:sz w:val="7"/>
              </w:rPr>
              <w:t>empezó a ocupar el puesto de Profesional uno, es decir</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14"/>
              <w:rPr>
                <w:sz w:val="7"/>
              </w:rPr>
            </w:pPr>
          </w:p>
          <w:p>
            <w:pPr>
              <w:pStyle w:val="TableParagraph"/>
              <w:spacing w:line="276" w:lineRule="auto"/>
              <w:ind w:left="183" w:right="2" w:hanging="167"/>
              <w:rPr>
                <w:rFonts w:ascii="Calibri"/>
                <w:sz w:val="7"/>
              </w:rPr>
            </w:pPr>
            <w:r>
              <w:rPr>
                <w:rFonts w:ascii="Calibri"/>
                <w:spacing w:val="-2"/>
                <w:w w:val="110"/>
                <w:sz w:val="7"/>
              </w:rPr>
              <w:t>Ajustar</w:t>
            </w:r>
            <w:r>
              <w:rPr>
                <w:rFonts w:ascii="Calibri"/>
                <w:spacing w:val="-4"/>
                <w:w w:val="110"/>
                <w:sz w:val="7"/>
              </w:rPr>
              <w:t> </w:t>
            </w:r>
            <w:r>
              <w:rPr>
                <w:rFonts w:ascii="Calibri"/>
                <w:spacing w:val="-2"/>
                <w:w w:val="110"/>
                <w:sz w:val="7"/>
              </w:rPr>
              <w:t>provisionar</w:t>
            </w:r>
            <w:r>
              <w:rPr>
                <w:rFonts w:ascii="Calibri"/>
                <w:spacing w:val="40"/>
                <w:w w:val="115"/>
                <w:sz w:val="7"/>
              </w:rPr>
              <w:t> </w:t>
            </w:r>
            <w:r>
              <w:rPr>
                <w:rFonts w:ascii="Calibri"/>
                <w:w w:val="115"/>
                <w:sz w:val="7"/>
              </w:rPr>
              <w:t>al</w:t>
            </w:r>
            <w:r>
              <w:rPr>
                <w:rFonts w:ascii="Calibri"/>
                <w:spacing w:val="-5"/>
                <w:w w:val="115"/>
                <w:sz w:val="7"/>
              </w:rPr>
              <w:t> </w:t>
            </w:r>
            <w:r>
              <w:rPr>
                <w:rFonts w:ascii="Calibri"/>
                <w:w w:val="115"/>
                <w:sz w:val="7"/>
              </w:rPr>
              <w:t>100%</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4"/>
              <w:rPr>
                <w:sz w:val="7"/>
              </w:rPr>
            </w:pPr>
          </w:p>
          <w:p>
            <w:pPr>
              <w:pStyle w:val="TableParagraph"/>
              <w:ind w:left="10"/>
              <w:jc w:val="center"/>
              <w:rPr>
                <w:rFonts w:ascii="Calibri"/>
                <w:sz w:val="7"/>
              </w:rPr>
            </w:pPr>
            <w:r>
              <w:rPr>
                <w:rFonts w:ascii="Calibri"/>
                <w:spacing w:val="-2"/>
                <w:w w:val="115"/>
                <w:sz w:val="7"/>
              </w:rPr>
              <w:t>ajustado</w:t>
            </w:r>
          </w:p>
        </w:tc>
        <w:tc>
          <w:tcPr>
            <w:tcW w:w="83" w:type="dxa"/>
            <w:vMerge/>
            <w:tcBorders>
              <w:top w:val="nil"/>
              <w:left w:val="nil"/>
            </w:tcBorders>
          </w:tcPr>
          <w:p>
            <w:pPr>
              <w:rPr>
                <w:sz w:val="2"/>
                <w:szCs w:val="2"/>
              </w:rPr>
            </w:pPr>
          </w:p>
        </w:tc>
      </w:tr>
      <w:tr>
        <w:trPr>
          <w:trHeight w:val="1678"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66"/>
              <w:rPr>
                <w:sz w:val="7"/>
              </w:rPr>
            </w:pPr>
          </w:p>
          <w:p>
            <w:pPr>
              <w:pStyle w:val="TableParagraph"/>
              <w:ind w:left="11"/>
              <w:jc w:val="center"/>
              <w:rPr>
                <w:rFonts w:ascii="Calibri"/>
                <w:b/>
                <w:sz w:val="7"/>
              </w:rPr>
            </w:pPr>
            <w:r>
              <w:rPr>
                <w:rFonts w:ascii="Calibri"/>
                <w:b/>
                <w:spacing w:val="-2"/>
                <w:w w:val="115"/>
                <w:sz w:val="7"/>
              </w:rPr>
              <w:t>LABORAL</w:t>
            </w:r>
          </w:p>
        </w:tc>
        <w:tc>
          <w:tcPr>
            <w:tcW w:w="700"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66"/>
              <w:rPr>
                <w:sz w:val="7"/>
              </w:rPr>
            </w:pPr>
          </w:p>
          <w:p>
            <w:pPr>
              <w:pStyle w:val="TableParagraph"/>
              <w:ind w:left="13" w:right="3"/>
              <w:jc w:val="center"/>
              <w:rPr>
                <w:rFonts w:ascii="Calibri"/>
                <w:sz w:val="7"/>
              </w:rPr>
            </w:pPr>
            <w:r>
              <w:rPr>
                <w:rFonts w:ascii="Calibri"/>
                <w:w w:val="110"/>
                <w:sz w:val="7"/>
              </w:rPr>
              <w:t>21-002948-1178-</w:t>
            </w:r>
            <w:r>
              <w:rPr>
                <w:rFonts w:ascii="Calibri"/>
                <w:spacing w:val="-5"/>
                <w:w w:val="110"/>
                <w:sz w:val="7"/>
              </w:rPr>
              <w:t>LA</w:t>
            </w:r>
          </w:p>
        </w:tc>
        <w:tc>
          <w:tcPr>
            <w:tcW w:w="103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5"/>
              <w:rPr>
                <w:sz w:val="7"/>
              </w:rPr>
            </w:pPr>
          </w:p>
          <w:p>
            <w:pPr>
              <w:pStyle w:val="TableParagraph"/>
              <w:spacing w:line="276" w:lineRule="auto"/>
              <w:ind w:left="17"/>
              <w:rPr>
                <w:rFonts w:ascii="Calibri"/>
                <w:sz w:val="7"/>
              </w:rPr>
            </w:pPr>
            <w:r>
              <w:rPr>
                <w:rFonts w:ascii="Calibri"/>
                <w:spacing w:val="-2"/>
                <w:w w:val="110"/>
                <w:sz w:val="7"/>
              </w:rPr>
              <w:t>Helen</w:t>
            </w:r>
            <w:r>
              <w:rPr>
                <w:rFonts w:ascii="Calibri"/>
                <w:sz w:val="7"/>
              </w:rPr>
              <w:t> </w:t>
            </w:r>
            <w:r>
              <w:rPr>
                <w:rFonts w:ascii="Calibri"/>
                <w:spacing w:val="-2"/>
                <w:w w:val="110"/>
                <w:sz w:val="7"/>
              </w:rPr>
              <w:t>Alvarado</w:t>
            </w:r>
            <w:r>
              <w:rPr>
                <w:rFonts w:ascii="Calibri"/>
                <w:sz w:val="7"/>
              </w:rPr>
              <w:t> </w:t>
            </w:r>
            <w:r>
              <w:rPr>
                <w:rFonts w:ascii="Calibri"/>
                <w:spacing w:val="-2"/>
                <w:w w:val="110"/>
                <w:sz w:val="7"/>
              </w:rPr>
              <w:t>Mora</w:t>
            </w:r>
            <w:r>
              <w:rPr>
                <w:rFonts w:ascii="Calibri"/>
                <w:spacing w:val="-3"/>
                <w:w w:val="110"/>
                <w:sz w:val="7"/>
              </w:rPr>
              <w:t> </w:t>
            </w:r>
            <w:r>
              <w:rPr>
                <w:rFonts w:ascii="Calibri"/>
                <w:spacing w:val="-2"/>
                <w:w w:val="110"/>
                <w:sz w:val="7"/>
              </w:rPr>
              <w:t>y</w:t>
            </w:r>
            <w:r>
              <w:rPr>
                <w:rFonts w:ascii="Calibri"/>
                <w:spacing w:val="-3"/>
                <w:w w:val="110"/>
                <w:sz w:val="7"/>
              </w:rPr>
              <w:t> </w:t>
            </w:r>
            <w:r>
              <w:rPr>
                <w:rFonts w:ascii="Calibri"/>
                <w:spacing w:val="-2"/>
                <w:w w:val="110"/>
                <w:sz w:val="7"/>
              </w:rPr>
              <w:t>Maritza</w:t>
            </w:r>
            <w:r>
              <w:rPr>
                <w:rFonts w:ascii="Calibri"/>
                <w:spacing w:val="40"/>
                <w:w w:val="110"/>
                <w:sz w:val="7"/>
              </w:rPr>
              <w:t> </w:t>
            </w:r>
            <w:r>
              <w:rPr>
                <w:rFonts w:ascii="Calibri"/>
                <w:w w:val="110"/>
                <w:sz w:val="7"/>
              </w:rPr>
              <w:t>Aragon</w:t>
            </w:r>
            <w:r>
              <w:rPr>
                <w:rFonts w:ascii="Calibri"/>
                <w:spacing w:val="-5"/>
                <w:w w:val="110"/>
                <w:sz w:val="7"/>
              </w:rPr>
              <w:t> </w:t>
            </w:r>
            <w:r>
              <w:rPr>
                <w:rFonts w:ascii="Calibri"/>
                <w:w w:val="110"/>
                <w:sz w:val="7"/>
              </w:rPr>
              <w:t>Domian</w:t>
            </w:r>
          </w:p>
        </w:tc>
        <w:tc>
          <w:tcPr>
            <w:tcW w:w="499"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5"/>
              <w:rPr>
                <w:sz w:val="7"/>
              </w:rPr>
            </w:pPr>
          </w:p>
          <w:p>
            <w:pPr>
              <w:pStyle w:val="TableParagraph"/>
              <w:ind w:left="42"/>
              <w:rPr>
                <w:rFonts w:ascii="Calibri"/>
                <w:sz w:val="7"/>
              </w:rPr>
            </w:pPr>
            <w:r>
              <w:rPr>
                <w:rFonts w:ascii="Calibri"/>
                <w:w w:val="110"/>
                <w:sz w:val="7"/>
              </w:rPr>
              <w:t>401350746</w:t>
            </w:r>
            <w:r>
              <w:rPr>
                <w:rFonts w:ascii="Calibri"/>
                <w:spacing w:val="10"/>
                <w:w w:val="110"/>
                <w:sz w:val="7"/>
              </w:rPr>
              <w:t> </w:t>
            </w:r>
            <w:r>
              <w:rPr>
                <w:rFonts w:ascii="Calibri"/>
                <w:spacing w:val="-10"/>
                <w:w w:val="110"/>
                <w:sz w:val="7"/>
              </w:rPr>
              <w:t>y</w:t>
            </w:r>
          </w:p>
          <w:p>
            <w:pPr>
              <w:pStyle w:val="TableParagraph"/>
              <w:spacing w:before="13"/>
              <w:ind w:left="45"/>
              <w:rPr>
                <w:rFonts w:ascii="Calibri"/>
                <w:sz w:val="7"/>
              </w:rPr>
            </w:pPr>
            <w:r>
              <w:rPr>
                <w:rFonts w:ascii="Calibri"/>
                <w:spacing w:val="-2"/>
                <w:w w:val="115"/>
                <w:sz w:val="7"/>
              </w:rPr>
              <w:t>0106900759</w:t>
            </w:r>
          </w:p>
        </w:tc>
        <w:tc>
          <w:tcPr>
            <w:tcW w:w="63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29"/>
              <w:rPr>
                <w:sz w:val="7"/>
              </w:rPr>
            </w:pPr>
          </w:p>
          <w:p>
            <w:pPr>
              <w:pStyle w:val="TableParagraph"/>
              <w:spacing w:line="276" w:lineRule="auto"/>
              <w:ind w:left="54" w:right="38" w:firstLine="1"/>
              <w:jc w:val="center"/>
              <w:rPr>
                <w:rFonts w:ascii="Calibri" w:hAnsi="Calibri"/>
                <w:sz w:val="7"/>
              </w:rPr>
            </w:pPr>
            <w:r>
              <w:rPr>
                <w:rFonts w:ascii="Calibri" w:hAnsi="Calibri"/>
                <w:w w:val="115"/>
                <w:sz w:val="7"/>
              </w:rPr>
              <w:t>Ajuste</w:t>
            </w:r>
            <w:r>
              <w:rPr>
                <w:rFonts w:ascii="Calibri" w:hAnsi="Calibri"/>
                <w:spacing w:val="-5"/>
                <w:w w:val="115"/>
                <w:sz w:val="7"/>
              </w:rPr>
              <w:t> </w:t>
            </w:r>
            <w:r>
              <w:rPr>
                <w:rFonts w:ascii="Calibri" w:hAnsi="Calibri"/>
                <w:w w:val="115"/>
                <w:sz w:val="7"/>
              </w:rPr>
              <w:t>y</w:t>
            </w:r>
            <w:r>
              <w:rPr>
                <w:rFonts w:ascii="Calibri" w:hAnsi="Calibri"/>
                <w:spacing w:val="-5"/>
                <w:w w:val="115"/>
                <w:sz w:val="7"/>
              </w:rPr>
              <w:t> </w:t>
            </w:r>
            <w:r>
              <w:rPr>
                <w:rFonts w:ascii="Calibri" w:hAnsi="Calibri"/>
                <w:w w:val="115"/>
                <w:sz w:val="7"/>
              </w:rPr>
              <w:t>pago</w:t>
            </w:r>
            <w:r>
              <w:rPr>
                <w:rFonts w:ascii="Calibri" w:hAnsi="Calibri"/>
                <w:spacing w:val="-4"/>
                <w:w w:val="115"/>
                <w:sz w:val="7"/>
              </w:rPr>
              <w:t> </w:t>
            </w:r>
            <w:r>
              <w:rPr>
                <w:rFonts w:ascii="Calibri" w:hAnsi="Calibri"/>
                <w:w w:val="115"/>
                <w:sz w:val="7"/>
              </w:rPr>
              <w:t>de</w:t>
            </w:r>
            <w:r>
              <w:rPr>
                <w:rFonts w:ascii="Calibri" w:hAnsi="Calibri"/>
                <w:spacing w:val="40"/>
                <w:w w:val="115"/>
                <w:sz w:val="7"/>
              </w:rPr>
              <w:t> </w:t>
            </w:r>
            <w:r>
              <w:rPr>
                <w:rFonts w:ascii="Calibri" w:hAnsi="Calibri"/>
                <w:spacing w:val="-2"/>
                <w:w w:val="115"/>
                <w:sz w:val="7"/>
              </w:rPr>
              <w:t>porcentajes</w:t>
            </w:r>
            <w:r>
              <w:rPr>
                <w:rFonts w:ascii="Calibri" w:hAnsi="Calibri"/>
                <w:spacing w:val="40"/>
                <w:w w:val="115"/>
                <w:sz w:val="7"/>
              </w:rPr>
              <w:t> </w:t>
            </w:r>
            <w:r>
              <w:rPr>
                <w:rFonts w:ascii="Calibri" w:hAnsi="Calibri"/>
                <w:spacing w:val="-2"/>
                <w:w w:val="115"/>
                <w:sz w:val="7"/>
              </w:rPr>
              <w:t>salariales,</w:t>
            </w:r>
            <w:r>
              <w:rPr>
                <w:rFonts w:ascii="Calibri" w:hAnsi="Calibri"/>
                <w:spacing w:val="-4"/>
                <w:w w:val="115"/>
                <w:sz w:val="7"/>
              </w:rPr>
              <w:t> </w:t>
            </w:r>
            <w:r>
              <w:rPr>
                <w:rFonts w:ascii="Calibri" w:hAnsi="Calibri"/>
                <w:spacing w:val="-2"/>
                <w:w w:val="115"/>
                <w:sz w:val="7"/>
              </w:rPr>
              <w:t>según</w:t>
            </w:r>
            <w:r>
              <w:rPr>
                <w:rFonts w:ascii="Calibri" w:hAnsi="Calibri"/>
                <w:spacing w:val="40"/>
                <w:w w:val="115"/>
                <w:sz w:val="7"/>
              </w:rPr>
              <w:t> </w:t>
            </w:r>
            <w:r>
              <w:rPr>
                <w:rFonts w:ascii="Calibri" w:hAnsi="Calibri"/>
                <w:w w:val="115"/>
                <w:sz w:val="7"/>
              </w:rPr>
              <w:t>Resolución</w:t>
            </w:r>
            <w:r>
              <w:rPr>
                <w:rFonts w:ascii="Calibri" w:hAnsi="Calibri"/>
                <w:spacing w:val="-5"/>
                <w:w w:val="115"/>
                <w:sz w:val="7"/>
              </w:rPr>
              <w:t> </w:t>
            </w:r>
            <w:r>
              <w:rPr>
                <w:rFonts w:ascii="Calibri" w:hAnsi="Calibri"/>
                <w:w w:val="115"/>
                <w:sz w:val="7"/>
              </w:rPr>
              <w:t>DG-</w:t>
            </w:r>
            <w:r>
              <w:rPr>
                <w:rFonts w:ascii="Calibri" w:hAnsi="Calibri"/>
                <w:spacing w:val="-2"/>
                <w:w w:val="115"/>
                <w:sz w:val="7"/>
              </w:rPr>
              <w:t>078-89</w:t>
            </w:r>
          </w:p>
        </w:tc>
        <w:tc>
          <w:tcPr>
            <w:tcW w:w="86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0"/>
              <w:rPr>
                <w:sz w:val="7"/>
              </w:rPr>
            </w:pPr>
          </w:p>
          <w:p>
            <w:pPr>
              <w:pStyle w:val="TableParagraph"/>
              <w:spacing w:line="276" w:lineRule="auto" w:before="1"/>
              <w:ind w:left="35" w:right="19"/>
              <w:jc w:val="center"/>
              <w:rPr>
                <w:rFonts w:ascii="Calibri"/>
                <w:sz w:val="7"/>
              </w:rPr>
            </w:pPr>
            <w:r>
              <w:rPr>
                <w:rFonts w:ascii="Calibri"/>
                <w:spacing w:val="-2"/>
                <w:w w:val="115"/>
                <w:sz w:val="7"/>
              </w:rPr>
              <w:t>Demanda</w:t>
            </w:r>
            <w:r>
              <w:rPr>
                <w:rFonts w:ascii="Calibri"/>
                <w:spacing w:val="-5"/>
                <w:w w:val="115"/>
                <w:sz w:val="7"/>
              </w:rPr>
              <w:t> </w:t>
            </w:r>
            <w:r>
              <w:rPr>
                <w:rFonts w:ascii="Calibri"/>
                <w:spacing w:val="-2"/>
                <w:w w:val="115"/>
                <w:sz w:val="7"/>
              </w:rPr>
              <w:t>parcialmente</w:t>
            </w:r>
            <w:r>
              <w:rPr>
                <w:rFonts w:ascii="Calibri"/>
                <w:spacing w:val="40"/>
                <w:w w:val="115"/>
                <w:sz w:val="7"/>
              </w:rPr>
              <w:t> </w:t>
            </w:r>
            <w:r>
              <w:rPr>
                <w:rFonts w:ascii="Calibri"/>
                <w:w w:val="115"/>
                <w:sz w:val="7"/>
              </w:rPr>
              <w:t>con</w:t>
            </w:r>
            <w:r>
              <w:rPr>
                <w:rFonts w:ascii="Calibri"/>
                <w:spacing w:val="-1"/>
                <w:w w:val="115"/>
                <w:sz w:val="7"/>
              </w:rPr>
              <w:t> </w:t>
            </w:r>
            <w:r>
              <w:rPr>
                <w:rFonts w:ascii="Calibri"/>
                <w:w w:val="115"/>
                <w:sz w:val="7"/>
              </w:rPr>
              <w:t>lugar</w:t>
            </w:r>
            <w:r>
              <w:rPr>
                <w:rFonts w:ascii="Calibri"/>
                <w:spacing w:val="-3"/>
                <w:w w:val="115"/>
                <w:sz w:val="7"/>
              </w:rPr>
              <w:t> </w:t>
            </w:r>
            <w:r>
              <w:rPr>
                <w:rFonts w:ascii="Calibri"/>
                <w:w w:val="115"/>
                <w:sz w:val="7"/>
              </w:rPr>
              <w:t>en</w:t>
            </w:r>
            <w:r>
              <w:rPr>
                <w:rFonts w:ascii="Calibri"/>
                <w:spacing w:val="-1"/>
                <w:w w:val="115"/>
                <w:sz w:val="7"/>
              </w:rPr>
              <w:t> </w:t>
            </w:r>
            <w:r>
              <w:rPr>
                <w:rFonts w:ascii="Calibri"/>
                <w:w w:val="115"/>
                <w:sz w:val="7"/>
              </w:rPr>
              <w:t>segunda</w:t>
            </w:r>
            <w:r>
              <w:rPr>
                <w:rFonts w:ascii="Calibri"/>
                <w:spacing w:val="40"/>
                <w:w w:val="115"/>
                <w:sz w:val="7"/>
              </w:rPr>
              <w:t> </w:t>
            </w:r>
            <w:r>
              <w:rPr>
                <w:rFonts w:ascii="Calibri"/>
                <w:spacing w:val="-2"/>
                <w:w w:val="115"/>
                <w:sz w:val="7"/>
              </w:rPr>
              <w:t>instancia</w:t>
            </w:r>
          </w:p>
          <w:p>
            <w:pPr>
              <w:pStyle w:val="TableParagraph"/>
              <w:spacing w:before="18"/>
              <w:rPr>
                <w:sz w:val="7"/>
              </w:rPr>
            </w:pPr>
          </w:p>
          <w:p>
            <w:pPr>
              <w:pStyle w:val="TableParagraph"/>
              <w:spacing w:line="276" w:lineRule="auto"/>
              <w:ind w:left="36" w:right="24" w:firstLine="1"/>
              <w:jc w:val="center"/>
              <w:rPr>
                <w:rFonts w:ascii="Calibri"/>
                <w:sz w:val="7"/>
              </w:rPr>
            </w:pPr>
            <w:r>
              <w:rPr>
                <w:rFonts w:ascii="Calibri"/>
                <w:w w:val="115"/>
                <w:sz w:val="7"/>
              </w:rPr>
              <w:t>Sentencia</w:t>
            </w:r>
            <w:r>
              <w:rPr>
                <w:rFonts w:ascii="Calibri"/>
                <w:spacing w:val="-5"/>
                <w:w w:val="115"/>
                <w:sz w:val="7"/>
              </w:rPr>
              <w:t> </w:t>
            </w:r>
            <w:r>
              <w:rPr>
                <w:rFonts w:ascii="Calibri"/>
                <w:w w:val="115"/>
                <w:sz w:val="7"/>
              </w:rPr>
              <w:t>sala</w:t>
            </w:r>
            <w:r>
              <w:rPr>
                <w:rFonts w:ascii="Calibri"/>
                <w:spacing w:val="-5"/>
                <w:w w:val="115"/>
                <w:sz w:val="7"/>
              </w:rPr>
              <w:t> </w:t>
            </w:r>
            <w:r>
              <w:rPr>
                <w:rFonts w:ascii="Calibri"/>
                <w:w w:val="115"/>
                <w:sz w:val="7"/>
              </w:rPr>
              <w:t>segunda,</w:t>
            </w:r>
            <w:r>
              <w:rPr>
                <w:rFonts w:ascii="Calibri"/>
                <w:spacing w:val="40"/>
                <w:w w:val="115"/>
                <w:sz w:val="7"/>
              </w:rPr>
              <w:t> </w:t>
            </w:r>
            <w:r>
              <w:rPr>
                <w:rFonts w:ascii="Calibri"/>
                <w:spacing w:val="-2"/>
                <w:w w:val="115"/>
                <w:sz w:val="7"/>
              </w:rPr>
              <w:t>se</w:t>
            </w:r>
            <w:r>
              <w:rPr>
                <w:rFonts w:ascii="Calibri"/>
                <w:spacing w:val="-4"/>
                <w:w w:val="115"/>
                <w:sz w:val="7"/>
              </w:rPr>
              <w:t> </w:t>
            </w:r>
            <w:r>
              <w:rPr>
                <w:rFonts w:ascii="Calibri"/>
                <w:spacing w:val="-2"/>
                <w:w w:val="115"/>
                <w:sz w:val="7"/>
              </w:rPr>
              <w:t>acoge</w:t>
            </w:r>
            <w:r>
              <w:rPr>
                <w:rFonts w:ascii="Calibri"/>
                <w:spacing w:val="-4"/>
                <w:w w:val="115"/>
                <w:sz w:val="7"/>
              </w:rPr>
              <w:t> </w:t>
            </w:r>
            <w:r>
              <w:rPr>
                <w:rFonts w:ascii="Calibri"/>
                <w:spacing w:val="-2"/>
                <w:w w:val="115"/>
                <w:sz w:val="7"/>
              </w:rPr>
              <w:t>parcialmente</w:t>
            </w:r>
            <w:r>
              <w:rPr>
                <w:rFonts w:ascii="Calibri"/>
                <w:spacing w:val="-4"/>
                <w:w w:val="115"/>
                <w:sz w:val="7"/>
              </w:rPr>
              <w:t> </w:t>
            </w:r>
            <w:r>
              <w:rPr>
                <w:rFonts w:ascii="Calibri"/>
                <w:spacing w:val="-2"/>
                <w:w w:val="115"/>
                <w:sz w:val="7"/>
              </w:rPr>
              <w:t>el</w:t>
            </w:r>
            <w:r>
              <w:rPr>
                <w:rFonts w:ascii="Calibri"/>
                <w:spacing w:val="40"/>
                <w:w w:val="115"/>
                <w:sz w:val="7"/>
              </w:rPr>
              <w:t> </w:t>
            </w:r>
            <w:r>
              <w:rPr>
                <w:rFonts w:ascii="Calibri"/>
                <w:spacing w:val="-2"/>
                <w:w w:val="115"/>
                <w:sz w:val="7"/>
              </w:rPr>
              <w:t>recurso</w:t>
            </w:r>
          </w:p>
        </w:tc>
        <w:tc>
          <w:tcPr>
            <w:tcW w:w="1064"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67"/>
              <w:rPr>
                <w:sz w:val="7"/>
              </w:rPr>
            </w:pPr>
          </w:p>
          <w:p>
            <w:pPr>
              <w:pStyle w:val="TableParagraph"/>
              <w:ind w:left="335"/>
              <w:rPr>
                <w:sz w:val="7"/>
              </w:rPr>
            </w:pPr>
            <w:r>
              <w:rPr>
                <w:rFonts w:ascii="Times New Roman" w:hAnsi="Times New Roman"/>
                <w:spacing w:val="-2"/>
                <w:w w:val="115"/>
                <w:sz w:val="7"/>
              </w:rPr>
              <w:t>₡</w:t>
            </w:r>
            <w:r>
              <w:rPr>
                <w:spacing w:val="-2"/>
                <w:w w:val="115"/>
                <w:sz w:val="7"/>
              </w:rPr>
              <w:t>100</w:t>
            </w:r>
            <w:r>
              <w:rPr>
                <w:spacing w:val="2"/>
                <w:w w:val="115"/>
                <w:sz w:val="7"/>
              </w:rPr>
              <w:t> </w:t>
            </w:r>
            <w:r>
              <w:rPr>
                <w:spacing w:val="-2"/>
                <w:w w:val="115"/>
                <w:sz w:val="7"/>
              </w:rPr>
              <w:t>000,00</w:t>
            </w:r>
          </w:p>
        </w:tc>
        <w:tc>
          <w:tcPr>
            <w:tcW w:w="1845"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37" w:lineRule="exact"/>
              <w:ind w:left="17"/>
              <w:rPr>
                <w:rFonts w:ascii="Calibri"/>
                <w:sz w:val="7"/>
              </w:rPr>
            </w:pPr>
            <w:r>
              <w:rPr>
                <w:rFonts w:ascii="Calibri"/>
                <w:spacing w:val="-2"/>
                <w:w w:val="115"/>
                <w:sz w:val="7"/>
              </w:rPr>
              <w:t>Sentencia</w:t>
            </w:r>
            <w:r>
              <w:rPr>
                <w:rFonts w:ascii="Calibri"/>
                <w:spacing w:val="6"/>
                <w:w w:val="115"/>
                <w:sz w:val="7"/>
              </w:rPr>
              <w:t> </w:t>
            </w:r>
            <w:r>
              <w:rPr>
                <w:rFonts w:ascii="Calibri"/>
                <w:spacing w:val="-2"/>
                <w:w w:val="115"/>
                <w:sz w:val="7"/>
              </w:rPr>
              <w:t>Sala</w:t>
            </w:r>
            <w:r>
              <w:rPr>
                <w:rFonts w:ascii="Calibri"/>
                <w:spacing w:val="6"/>
                <w:w w:val="115"/>
                <w:sz w:val="7"/>
              </w:rPr>
              <w:t> </w:t>
            </w:r>
            <w:r>
              <w:rPr>
                <w:rFonts w:ascii="Calibri"/>
                <w:spacing w:val="-2"/>
                <w:w w:val="115"/>
                <w:sz w:val="7"/>
              </w:rPr>
              <w:t>Segunda</w:t>
            </w:r>
            <w:r>
              <w:rPr>
                <w:rFonts w:ascii="Calibri"/>
                <w:spacing w:val="6"/>
                <w:w w:val="115"/>
                <w:sz w:val="7"/>
              </w:rPr>
              <w:t> </w:t>
            </w:r>
            <w:r>
              <w:rPr>
                <w:rFonts w:ascii="Calibri"/>
                <w:spacing w:val="-2"/>
                <w:w w:val="115"/>
                <w:sz w:val="7"/>
              </w:rPr>
              <w:t>Res:</w:t>
            </w:r>
            <w:r>
              <w:rPr>
                <w:rFonts w:ascii="Calibri"/>
                <w:spacing w:val="8"/>
                <w:w w:val="115"/>
                <w:sz w:val="7"/>
              </w:rPr>
              <w:t> </w:t>
            </w:r>
            <w:r>
              <w:rPr>
                <w:rFonts w:ascii="Calibri"/>
                <w:spacing w:val="-2"/>
                <w:w w:val="115"/>
                <w:sz w:val="7"/>
              </w:rPr>
              <w:t>2026-001052:</w:t>
            </w:r>
            <w:r>
              <w:rPr>
                <w:rFonts w:ascii="Calibri"/>
                <w:spacing w:val="7"/>
                <w:w w:val="115"/>
                <w:sz w:val="7"/>
              </w:rPr>
              <w:t> </w:t>
            </w:r>
            <w:r>
              <w:rPr>
                <w:rFonts w:ascii="Calibri"/>
                <w:spacing w:val="-2"/>
                <w:w w:val="115"/>
                <w:sz w:val="7"/>
              </w:rPr>
              <w:t>Se</w:t>
            </w:r>
            <w:r>
              <w:rPr>
                <w:rFonts w:ascii="Calibri"/>
                <w:spacing w:val="7"/>
                <w:w w:val="115"/>
                <w:sz w:val="7"/>
              </w:rPr>
              <w:t> </w:t>
            </w:r>
            <w:r>
              <w:rPr>
                <w:rFonts w:ascii="Calibri"/>
                <w:spacing w:val="-2"/>
                <w:w w:val="115"/>
                <w:sz w:val="7"/>
              </w:rPr>
              <w:t>declara</w:t>
            </w:r>
          </w:p>
          <w:p>
            <w:pPr>
              <w:pStyle w:val="TableParagraph"/>
              <w:spacing w:line="276" w:lineRule="auto" w:before="12"/>
              <w:ind w:left="17" w:right="15"/>
              <w:rPr>
                <w:rFonts w:ascii="Calibri" w:hAnsi="Calibri"/>
                <w:sz w:val="7"/>
              </w:rPr>
            </w:pPr>
            <w:r>
              <w:rPr>
                <w:rFonts w:ascii="Calibri" w:hAnsi="Calibri"/>
                <w:w w:val="110"/>
                <w:sz w:val="7"/>
              </w:rPr>
              <w:t>parcialmente con lugar el recurso y se anula el fallo</w:t>
            </w:r>
            <w:r>
              <w:rPr>
                <w:rFonts w:ascii="Calibri" w:hAnsi="Calibri"/>
                <w:spacing w:val="40"/>
                <w:w w:val="110"/>
                <w:sz w:val="7"/>
              </w:rPr>
              <w:t> </w:t>
            </w:r>
            <w:r>
              <w:rPr>
                <w:rFonts w:ascii="Calibri" w:hAnsi="Calibri"/>
                <w:w w:val="110"/>
                <w:sz w:val="7"/>
              </w:rPr>
              <w:t>impugnado. En su lugar, se acoge parcialmente la acción</w:t>
            </w:r>
            <w:r>
              <w:rPr>
                <w:rFonts w:ascii="Calibri" w:hAnsi="Calibri"/>
                <w:spacing w:val="40"/>
                <w:w w:val="110"/>
                <w:sz w:val="7"/>
              </w:rPr>
              <w:t> </w:t>
            </w:r>
            <w:r>
              <w:rPr>
                <w:rFonts w:ascii="Calibri" w:hAnsi="Calibri"/>
                <w:w w:val="110"/>
                <w:sz w:val="7"/>
              </w:rPr>
              <w:t>y se condena al accionado a pagarle a las actoras las</w:t>
            </w:r>
            <w:r>
              <w:rPr>
                <w:rFonts w:ascii="Calibri" w:hAnsi="Calibri"/>
                <w:spacing w:val="40"/>
                <w:w w:val="110"/>
                <w:sz w:val="7"/>
              </w:rPr>
              <w:t> </w:t>
            </w:r>
            <w:r>
              <w:rPr>
                <w:rFonts w:ascii="Calibri" w:hAnsi="Calibri"/>
                <w:w w:val="110"/>
                <w:sz w:val="7"/>
              </w:rPr>
              <w:t>diferencias salariales dejadas de percibir, por la</w:t>
            </w:r>
            <w:r>
              <w:rPr>
                <w:rFonts w:ascii="Calibri" w:hAnsi="Calibri"/>
                <w:spacing w:val="80"/>
                <w:w w:val="110"/>
                <w:sz w:val="7"/>
              </w:rPr>
              <w:t> </w:t>
            </w:r>
            <w:r>
              <w:rPr>
                <w:rFonts w:ascii="Calibri" w:hAnsi="Calibri"/>
                <w:w w:val="110"/>
                <w:sz w:val="7"/>
              </w:rPr>
              <w:t>aplicación de la fórmula</w:t>
            </w:r>
            <w:r>
              <w:rPr>
                <w:rFonts w:ascii="Calibri" w:hAnsi="Calibri"/>
                <w:spacing w:val="28"/>
                <w:w w:val="110"/>
                <w:sz w:val="7"/>
              </w:rPr>
              <w:t> </w:t>
            </w:r>
            <w:r>
              <w:rPr>
                <w:rFonts w:ascii="Calibri" w:hAnsi="Calibri"/>
                <w:w w:val="110"/>
                <w:sz w:val="7"/>
              </w:rPr>
              <w:t>automática establecida en la</w:t>
            </w:r>
            <w:r>
              <w:rPr>
                <w:rFonts w:ascii="Calibri" w:hAnsi="Calibri"/>
                <w:spacing w:val="40"/>
                <w:w w:val="110"/>
                <w:sz w:val="7"/>
              </w:rPr>
              <w:t> </w:t>
            </w:r>
            <w:r>
              <w:rPr>
                <w:rFonts w:ascii="Calibri" w:hAnsi="Calibri"/>
                <w:w w:val="110"/>
                <w:sz w:val="7"/>
              </w:rPr>
              <w:t>indicada resolución DG guión cero setenta y ocho guión</w:t>
            </w:r>
            <w:r>
              <w:rPr>
                <w:rFonts w:ascii="Calibri" w:hAnsi="Calibri"/>
                <w:spacing w:val="40"/>
                <w:w w:val="110"/>
                <w:sz w:val="7"/>
              </w:rPr>
              <w:t> </w:t>
            </w:r>
            <w:r>
              <w:rPr>
                <w:rFonts w:ascii="Calibri" w:hAnsi="Calibri"/>
                <w:w w:val="110"/>
                <w:sz w:val="7"/>
              </w:rPr>
              <w:t>ochenta y nueve. de la siguiente manera: en cuanto a la</w:t>
            </w:r>
            <w:r>
              <w:rPr>
                <w:rFonts w:ascii="Calibri" w:hAnsi="Calibri"/>
                <w:spacing w:val="40"/>
                <w:w w:val="110"/>
                <w:sz w:val="7"/>
              </w:rPr>
              <w:t> </w:t>
            </w:r>
            <w:r>
              <w:rPr>
                <w:rFonts w:ascii="Calibri" w:hAnsi="Calibri"/>
                <w:w w:val="110"/>
                <w:sz w:val="7"/>
              </w:rPr>
              <w:t>actora</w:t>
            </w:r>
            <w:r>
              <w:rPr>
                <w:rFonts w:ascii="Calibri" w:hAnsi="Calibri"/>
                <w:spacing w:val="-2"/>
                <w:w w:val="110"/>
                <w:sz w:val="7"/>
              </w:rPr>
              <w:t> </w:t>
            </w:r>
            <w:r>
              <w:rPr>
                <w:rFonts w:ascii="Calibri" w:hAnsi="Calibri"/>
                <w:w w:val="110"/>
                <w:sz w:val="7"/>
              </w:rPr>
              <w:t>Maritza</w:t>
            </w:r>
            <w:r>
              <w:rPr>
                <w:rFonts w:ascii="Calibri" w:hAnsi="Calibri"/>
                <w:spacing w:val="-2"/>
                <w:w w:val="110"/>
                <w:sz w:val="7"/>
              </w:rPr>
              <w:t> </w:t>
            </w:r>
            <w:r>
              <w:rPr>
                <w:rFonts w:ascii="Calibri" w:hAnsi="Calibri"/>
                <w:w w:val="110"/>
                <w:sz w:val="7"/>
              </w:rPr>
              <w:t>Aragón Domian desde</w:t>
            </w:r>
            <w:r>
              <w:rPr>
                <w:rFonts w:ascii="Calibri" w:hAnsi="Calibri"/>
                <w:spacing w:val="-2"/>
                <w:w w:val="110"/>
                <w:sz w:val="7"/>
              </w:rPr>
              <w:t> </w:t>
            </w:r>
            <w:r>
              <w:rPr>
                <w:rFonts w:ascii="Calibri" w:hAnsi="Calibri"/>
                <w:w w:val="110"/>
                <w:sz w:val="7"/>
              </w:rPr>
              <w:t>el quince</w:t>
            </w:r>
            <w:r>
              <w:rPr>
                <w:rFonts w:ascii="Calibri" w:hAnsi="Calibri"/>
                <w:spacing w:val="-2"/>
                <w:w w:val="110"/>
                <w:sz w:val="7"/>
              </w:rPr>
              <w:t> </w:t>
            </w:r>
            <w:r>
              <w:rPr>
                <w:rFonts w:ascii="Calibri" w:hAnsi="Calibri"/>
                <w:w w:val="110"/>
                <w:sz w:val="7"/>
              </w:rPr>
              <w:t>de</w:t>
            </w:r>
            <w:r>
              <w:rPr>
                <w:rFonts w:ascii="Calibri" w:hAnsi="Calibri"/>
                <w:spacing w:val="-2"/>
                <w:w w:val="110"/>
                <w:sz w:val="7"/>
              </w:rPr>
              <w:t> </w:t>
            </w:r>
            <w:r>
              <w:rPr>
                <w:rFonts w:ascii="Calibri" w:hAnsi="Calibri"/>
                <w:w w:val="110"/>
                <w:sz w:val="7"/>
              </w:rPr>
              <w:t>marzo</w:t>
            </w:r>
            <w:r>
              <w:rPr>
                <w:rFonts w:ascii="Calibri" w:hAnsi="Calibri"/>
                <w:spacing w:val="40"/>
                <w:w w:val="110"/>
                <w:sz w:val="7"/>
              </w:rPr>
              <w:t> </w:t>
            </w:r>
            <w:r>
              <w:rPr>
                <w:rFonts w:ascii="Calibri" w:hAnsi="Calibri"/>
                <w:w w:val="110"/>
                <w:sz w:val="7"/>
              </w:rPr>
              <w:t>de mil novecientos noventa y respecto a la accionante</w:t>
            </w:r>
            <w:r>
              <w:rPr>
                <w:rFonts w:ascii="Calibri" w:hAnsi="Calibri"/>
                <w:spacing w:val="40"/>
                <w:w w:val="110"/>
                <w:sz w:val="7"/>
              </w:rPr>
              <w:t> </w:t>
            </w:r>
            <w:r>
              <w:rPr>
                <w:rFonts w:ascii="Calibri" w:hAnsi="Calibri"/>
                <w:w w:val="110"/>
                <w:sz w:val="7"/>
              </w:rPr>
              <w:t>Helen Alvarado Mora desde el seis de abril de mil</w:t>
            </w:r>
            <w:r>
              <w:rPr>
                <w:rFonts w:ascii="Calibri" w:hAnsi="Calibri"/>
                <w:spacing w:val="40"/>
                <w:w w:val="110"/>
                <w:sz w:val="7"/>
              </w:rPr>
              <w:t> </w:t>
            </w:r>
            <w:r>
              <w:rPr>
                <w:rFonts w:ascii="Calibri" w:hAnsi="Calibri"/>
                <w:w w:val="110"/>
                <w:sz w:val="7"/>
              </w:rPr>
              <w:t>novecientos noventa, mientras hayan ocupado, o</w:t>
            </w:r>
            <w:r>
              <w:rPr>
                <w:rFonts w:ascii="Calibri" w:hAnsi="Calibri"/>
                <w:spacing w:val="40"/>
                <w:w w:val="110"/>
                <w:sz w:val="7"/>
              </w:rPr>
              <w:t> </w:t>
            </w:r>
            <w:r>
              <w:rPr>
                <w:rFonts w:ascii="Calibri" w:hAnsi="Calibri"/>
                <w:w w:val="110"/>
                <w:sz w:val="7"/>
              </w:rPr>
              <w:t>continúen ocupando ininterrumpidamente, puestos de</w:t>
            </w:r>
            <w:r>
              <w:rPr>
                <w:rFonts w:ascii="Calibri" w:hAnsi="Calibri"/>
                <w:spacing w:val="40"/>
                <w:w w:val="110"/>
                <w:sz w:val="7"/>
              </w:rPr>
              <w:t> </w:t>
            </w:r>
            <w:r>
              <w:rPr>
                <w:rFonts w:ascii="Calibri" w:hAnsi="Calibri"/>
                <w:w w:val="110"/>
                <w:sz w:val="7"/>
              </w:rPr>
              <w:t>profesional de los contemplados en dicha resolución.</w:t>
            </w:r>
          </w:p>
          <w:p>
            <w:pPr>
              <w:pStyle w:val="TableParagraph"/>
              <w:spacing w:line="276" w:lineRule="auto"/>
              <w:ind w:left="17" w:right="62"/>
              <w:rPr>
                <w:rFonts w:ascii="Calibri" w:hAnsi="Calibri"/>
                <w:sz w:val="7"/>
              </w:rPr>
            </w:pPr>
            <w:r>
              <w:rPr>
                <w:rFonts w:ascii="Calibri" w:hAnsi="Calibri"/>
                <w:w w:val="115"/>
                <w:sz w:val="7"/>
              </w:rPr>
              <w:t>Además,</w:t>
            </w:r>
            <w:r>
              <w:rPr>
                <w:rFonts w:ascii="Calibri" w:hAnsi="Calibri"/>
                <w:spacing w:val="-5"/>
                <w:w w:val="115"/>
                <w:sz w:val="7"/>
              </w:rPr>
              <w:t> </w:t>
            </w:r>
            <w:r>
              <w:rPr>
                <w:rFonts w:ascii="Calibri" w:hAnsi="Calibri"/>
                <w:w w:val="115"/>
                <w:sz w:val="7"/>
              </w:rPr>
              <w:t>se</w:t>
            </w:r>
            <w:r>
              <w:rPr>
                <w:rFonts w:ascii="Calibri" w:hAnsi="Calibri"/>
                <w:spacing w:val="-5"/>
                <w:w w:val="115"/>
                <w:sz w:val="7"/>
              </w:rPr>
              <w:t> </w:t>
            </w:r>
            <w:r>
              <w:rPr>
                <w:rFonts w:ascii="Calibri" w:hAnsi="Calibri"/>
                <w:w w:val="115"/>
                <w:sz w:val="7"/>
              </w:rPr>
              <w:t>dispone</w:t>
            </w:r>
            <w:r>
              <w:rPr>
                <w:rFonts w:ascii="Calibri" w:hAnsi="Calibri"/>
                <w:spacing w:val="-4"/>
                <w:w w:val="115"/>
                <w:sz w:val="7"/>
              </w:rPr>
              <w:t> </w:t>
            </w:r>
            <w:r>
              <w:rPr>
                <w:rFonts w:ascii="Calibri" w:hAnsi="Calibri"/>
                <w:w w:val="115"/>
                <w:sz w:val="7"/>
              </w:rPr>
              <w:t>cancelar</w:t>
            </w:r>
            <w:r>
              <w:rPr>
                <w:rFonts w:ascii="Calibri" w:hAnsi="Calibri"/>
                <w:spacing w:val="-5"/>
                <w:w w:val="115"/>
                <w:sz w:val="7"/>
              </w:rPr>
              <w:t> </w:t>
            </w:r>
            <w:r>
              <w:rPr>
                <w:rFonts w:ascii="Calibri" w:hAnsi="Calibri"/>
                <w:w w:val="115"/>
                <w:sz w:val="7"/>
              </w:rPr>
              <w:t>los</w:t>
            </w:r>
            <w:r>
              <w:rPr>
                <w:rFonts w:ascii="Calibri" w:hAnsi="Calibri"/>
                <w:spacing w:val="-4"/>
                <w:w w:val="115"/>
                <w:sz w:val="7"/>
              </w:rPr>
              <w:t> </w:t>
            </w:r>
            <w:r>
              <w:rPr>
                <w:rFonts w:ascii="Calibri" w:hAnsi="Calibri"/>
                <w:w w:val="115"/>
                <w:sz w:val="7"/>
              </w:rPr>
              <w:t>ajustes</w:t>
            </w:r>
            <w:r>
              <w:rPr>
                <w:rFonts w:ascii="Calibri" w:hAnsi="Calibri"/>
                <w:spacing w:val="-5"/>
                <w:w w:val="115"/>
                <w:sz w:val="7"/>
              </w:rPr>
              <w:t> </w:t>
            </w:r>
            <w:r>
              <w:rPr>
                <w:rFonts w:ascii="Calibri" w:hAnsi="Calibri"/>
                <w:w w:val="115"/>
                <w:sz w:val="7"/>
              </w:rPr>
              <w:t>que</w:t>
            </w:r>
            <w:r>
              <w:rPr>
                <w:rFonts w:ascii="Calibri" w:hAnsi="Calibri"/>
                <w:spacing w:val="-4"/>
                <w:w w:val="115"/>
                <w:sz w:val="7"/>
              </w:rPr>
              <w:t> </w:t>
            </w:r>
            <w:r>
              <w:rPr>
                <w:rFonts w:ascii="Calibri" w:hAnsi="Calibri"/>
                <w:w w:val="115"/>
                <w:sz w:val="7"/>
              </w:rPr>
              <w:t>procedan</w:t>
            </w:r>
            <w:r>
              <w:rPr>
                <w:rFonts w:ascii="Calibri" w:hAnsi="Calibri"/>
                <w:spacing w:val="40"/>
                <w:w w:val="115"/>
                <w:sz w:val="7"/>
              </w:rPr>
              <w:t> </w:t>
            </w:r>
            <w:r>
              <w:rPr>
                <w:rFonts w:ascii="Calibri" w:hAnsi="Calibri"/>
                <w:w w:val="115"/>
                <w:sz w:val="7"/>
              </w:rPr>
              <w:t>(vacaciones, aguinaldo, salario escolar, dedicación</w:t>
            </w:r>
            <w:r>
              <w:rPr>
                <w:rFonts w:ascii="Calibri" w:hAnsi="Calibri"/>
                <w:spacing w:val="40"/>
                <w:w w:val="115"/>
                <w:sz w:val="7"/>
              </w:rPr>
              <w:t> </w:t>
            </w:r>
            <w:r>
              <w:rPr>
                <w:rFonts w:ascii="Calibri" w:hAnsi="Calibri"/>
                <w:w w:val="115"/>
                <w:sz w:val="7"/>
              </w:rPr>
              <w:t>exclusiva,</w:t>
            </w:r>
            <w:r>
              <w:rPr>
                <w:rFonts w:ascii="Calibri" w:hAnsi="Calibri"/>
                <w:spacing w:val="-3"/>
                <w:w w:val="115"/>
                <w:sz w:val="7"/>
              </w:rPr>
              <w:t> </w:t>
            </w:r>
            <w:r>
              <w:rPr>
                <w:rFonts w:ascii="Calibri" w:hAnsi="Calibri"/>
                <w:w w:val="115"/>
                <w:sz w:val="7"/>
              </w:rPr>
              <w:t>entre</w:t>
            </w:r>
            <w:r>
              <w:rPr>
                <w:rFonts w:ascii="Calibri" w:hAnsi="Calibri"/>
                <w:spacing w:val="-4"/>
                <w:w w:val="115"/>
                <w:sz w:val="7"/>
              </w:rPr>
              <w:t> </w:t>
            </w:r>
            <w:r>
              <w:rPr>
                <w:rFonts w:ascii="Calibri" w:hAnsi="Calibri"/>
                <w:w w:val="115"/>
                <w:sz w:val="7"/>
              </w:rPr>
              <w:t>otros.</w:t>
            </w:r>
            <w:r>
              <w:rPr>
                <w:rFonts w:ascii="Calibri" w:hAnsi="Calibri"/>
                <w:spacing w:val="-3"/>
                <w:w w:val="115"/>
                <w:sz w:val="7"/>
              </w:rPr>
              <w:t> </w:t>
            </w:r>
            <w:r>
              <w:rPr>
                <w:rFonts w:ascii="Calibri" w:hAnsi="Calibri"/>
                <w:w w:val="115"/>
                <w:sz w:val="7"/>
              </w:rPr>
              <w:t>Intereses,</w:t>
            </w:r>
            <w:r>
              <w:rPr>
                <w:rFonts w:ascii="Calibri" w:hAnsi="Calibri"/>
                <w:spacing w:val="-4"/>
                <w:w w:val="115"/>
                <w:sz w:val="7"/>
              </w:rPr>
              <w:t> </w:t>
            </w:r>
            <w:r>
              <w:rPr>
                <w:rFonts w:ascii="Calibri" w:hAnsi="Calibri"/>
                <w:w w:val="115"/>
                <w:sz w:val="7"/>
              </w:rPr>
              <w:t>indexación</w:t>
            </w:r>
            <w:r>
              <w:rPr>
                <w:rFonts w:ascii="Calibri" w:hAnsi="Calibri"/>
                <w:spacing w:val="-2"/>
                <w:w w:val="115"/>
                <w:sz w:val="7"/>
              </w:rPr>
              <w:t> </w:t>
            </w:r>
            <w:r>
              <w:rPr>
                <w:rFonts w:ascii="Calibri" w:hAnsi="Calibri"/>
                <w:w w:val="115"/>
                <w:sz w:val="7"/>
              </w:rPr>
              <w:t>y</w:t>
            </w:r>
            <w:r>
              <w:rPr>
                <w:rFonts w:ascii="Calibri" w:hAnsi="Calibri"/>
                <w:spacing w:val="-4"/>
                <w:w w:val="115"/>
                <w:sz w:val="7"/>
              </w:rPr>
              <w:t> </w:t>
            </w:r>
            <w:r>
              <w:rPr>
                <w:rFonts w:ascii="Calibri" w:hAnsi="Calibri"/>
                <w:w w:val="115"/>
                <w:sz w:val="7"/>
              </w:rPr>
              <w:t>costas.</w:t>
            </w:r>
          </w:p>
          <w:p>
            <w:pPr>
              <w:pStyle w:val="TableParagraph"/>
              <w:spacing w:line="37" w:lineRule="exact"/>
              <w:ind w:left="17"/>
              <w:rPr>
                <w:rFonts w:ascii="Calibri" w:hAnsi="Calibri"/>
                <w:sz w:val="7"/>
              </w:rPr>
            </w:pPr>
            <w:r>
              <w:rPr>
                <w:rFonts w:ascii="Calibri" w:hAnsi="Calibri"/>
                <w:w w:val="110"/>
                <w:sz w:val="7"/>
              </w:rPr>
              <w:t>Comunicación</w:t>
            </w:r>
            <w:r>
              <w:rPr>
                <w:rFonts w:ascii="Calibri" w:hAnsi="Calibri"/>
                <w:spacing w:val="17"/>
                <w:w w:val="110"/>
                <w:sz w:val="7"/>
              </w:rPr>
              <w:t> </w:t>
            </w:r>
            <w:r>
              <w:rPr>
                <w:rFonts w:ascii="Calibri" w:hAnsi="Calibri"/>
                <w:w w:val="110"/>
                <w:sz w:val="7"/>
              </w:rPr>
              <w:t>IMAS-PE-AJ-0719-</w:t>
            </w:r>
            <w:r>
              <w:rPr>
                <w:rFonts w:ascii="Calibri" w:hAnsi="Calibri"/>
                <w:spacing w:val="-2"/>
                <w:w w:val="110"/>
                <w:sz w:val="7"/>
              </w:rPr>
              <w:t>2026.</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15"/>
              <w:rPr>
                <w:sz w:val="7"/>
              </w:rPr>
            </w:pPr>
          </w:p>
          <w:p>
            <w:pPr>
              <w:pStyle w:val="TableParagraph"/>
              <w:spacing w:line="276" w:lineRule="auto"/>
              <w:ind w:left="183" w:right="2" w:hanging="167"/>
              <w:rPr>
                <w:rFonts w:ascii="Calibri"/>
                <w:sz w:val="7"/>
              </w:rPr>
            </w:pPr>
            <w:r>
              <w:rPr>
                <w:rFonts w:ascii="Calibri"/>
                <w:spacing w:val="-2"/>
                <w:w w:val="110"/>
                <w:sz w:val="7"/>
              </w:rPr>
              <w:t>Ajustar</w:t>
            </w:r>
            <w:r>
              <w:rPr>
                <w:rFonts w:ascii="Calibri"/>
                <w:spacing w:val="-4"/>
                <w:w w:val="110"/>
                <w:sz w:val="7"/>
              </w:rPr>
              <w:t> </w:t>
            </w:r>
            <w:r>
              <w:rPr>
                <w:rFonts w:ascii="Calibri"/>
                <w:spacing w:val="-2"/>
                <w:w w:val="110"/>
                <w:sz w:val="7"/>
              </w:rPr>
              <w:t>provisionar</w:t>
            </w:r>
            <w:r>
              <w:rPr>
                <w:rFonts w:ascii="Calibri"/>
                <w:spacing w:val="40"/>
                <w:w w:val="115"/>
                <w:sz w:val="7"/>
              </w:rPr>
              <w:t> </w:t>
            </w:r>
            <w:r>
              <w:rPr>
                <w:rFonts w:ascii="Calibri"/>
                <w:w w:val="115"/>
                <w:sz w:val="7"/>
              </w:rPr>
              <w:t>al</w:t>
            </w:r>
            <w:r>
              <w:rPr>
                <w:rFonts w:ascii="Calibri"/>
                <w:spacing w:val="-5"/>
                <w:w w:val="115"/>
                <w:sz w:val="7"/>
              </w:rPr>
              <w:t> </w:t>
            </w:r>
            <w:r>
              <w:rPr>
                <w:rFonts w:ascii="Calibri"/>
                <w:w w:val="115"/>
                <w:sz w:val="7"/>
              </w:rPr>
              <w:t>100%</w:t>
            </w:r>
          </w:p>
        </w:tc>
        <w:tc>
          <w:tcPr>
            <w:tcW w:w="62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83" w:type="dxa"/>
            <w:vMerge/>
            <w:tcBorders>
              <w:top w:val="nil"/>
              <w:left w:val="nil"/>
            </w:tcBorders>
          </w:tcPr>
          <w:p>
            <w:pPr>
              <w:rPr>
                <w:sz w:val="2"/>
                <w:szCs w:val="2"/>
              </w:rPr>
            </w:pPr>
          </w:p>
        </w:tc>
      </w:tr>
      <w:tr>
        <w:trPr>
          <w:trHeight w:val="1137" w:hRule="atLeast"/>
        </w:trPr>
        <w:tc>
          <w:tcPr>
            <w:tcW w:w="790" w:type="dxa"/>
            <w:vMerge/>
            <w:tcBorders>
              <w:top w:val="nil"/>
              <w:right w:val="nil"/>
            </w:tcBorders>
          </w:tcPr>
          <w:p>
            <w:pPr>
              <w:rPr>
                <w:sz w:val="2"/>
                <w:szCs w:val="2"/>
              </w:rPr>
            </w:pPr>
          </w:p>
        </w:tc>
        <w:tc>
          <w:tcPr>
            <w:tcW w:w="620"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6"/>
              <w:rPr>
                <w:sz w:val="7"/>
              </w:rPr>
            </w:pPr>
          </w:p>
          <w:p>
            <w:pPr>
              <w:pStyle w:val="TableParagraph"/>
              <w:spacing w:line="276" w:lineRule="auto"/>
              <w:ind w:left="122" w:right="51" w:hanging="57"/>
              <w:rPr>
                <w:rFonts w:ascii="Calibri"/>
                <w:b/>
                <w:sz w:val="7"/>
              </w:rPr>
            </w:pPr>
            <w:r>
              <w:rPr>
                <w:rFonts w:ascii="Calibri"/>
                <w:b/>
                <w:spacing w:val="-2"/>
                <w:w w:val="120"/>
                <w:sz w:val="7"/>
              </w:rPr>
              <w:t>EJECUCION</w:t>
            </w:r>
            <w:r>
              <w:rPr>
                <w:rFonts w:ascii="Calibri"/>
                <w:b/>
                <w:spacing w:val="-7"/>
                <w:w w:val="120"/>
                <w:sz w:val="7"/>
              </w:rPr>
              <w:t> </w:t>
            </w:r>
            <w:r>
              <w:rPr>
                <w:rFonts w:ascii="Calibri"/>
                <w:b/>
                <w:spacing w:val="-2"/>
                <w:w w:val="120"/>
                <w:sz w:val="7"/>
              </w:rPr>
              <w:t>DE</w:t>
            </w:r>
            <w:r>
              <w:rPr>
                <w:rFonts w:ascii="Calibri"/>
                <w:b/>
                <w:spacing w:val="40"/>
                <w:w w:val="120"/>
                <w:sz w:val="7"/>
              </w:rPr>
              <w:t> </w:t>
            </w:r>
            <w:r>
              <w:rPr>
                <w:rFonts w:ascii="Calibri"/>
                <w:b/>
                <w:spacing w:val="-2"/>
                <w:w w:val="120"/>
                <w:sz w:val="7"/>
              </w:rPr>
              <w:t>SENTENCIA</w:t>
            </w:r>
          </w:p>
        </w:tc>
        <w:tc>
          <w:tcPr>
            <w:tcW w:w="700"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3"/>
              <w:rPr>
                <w:sz w:val="7"/>
              </w:rPr>
            </w:pPr>
          </w:p>
          <w:p>
            <w:pPr>
              <w:pStyle w:val="TableParagraph"/>
              <w:ind w:left="13"/>
              <w:jc w:val="center"/>
              <w:rPr>
                <w:rFonts w:ascii="Calibri"/>
                <w:sz w:val="7"/>
              </w:rPr>
            </w:pPr>
            <w:r>
              <w:rPr>
                <w:rFonts w:ascii="Calibri"/>
                <w:w w:val="110"/>
                <w:sz w:val="7"/>
              </w:rPr>
              <w:t>21-006505-1027-</w:t>
            </w:r>
            <w:r>
              <w:rPr>
                <w:rFonts w:ascii="Calibri"/>
                <w:spacing w:val="-5"/>
                <w:w w:val="110"/>
                <w:sz w:val="7"/>
              </w:rPr>
              <w:t>CA</w:t>
            </w:r>
          </w:p>
        </w:tc>
        <w:tc>
          <w:tcPr>
            <w:tcW w:w="1039"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3"/>
              <w:rPr>
                <w:sz w:val="7"/>
              </w:rPr>
            </w:pPr>
          </w:p>
          <w:p>
            <w:pPr>
              <w:pStyle w:val="TableParagraph"/>
              <w:ind w:left="17"/>
              <w:rPr>
                <w:rFonts w:ascii="Calibri" w:hAnsi="Calibri"/>
                <w:sz w:val="7"/>
              </w:rPr>
            </w:pPr>
            <w:r>
              <w:rPr>
                <w:rFonts w:ascii="Calibri" w:hAnsi="Calibri"/>
                <w:w w:val="115"/>
                <w:sz w:val="7"/>
              </w:rPr>
              <w:t>Juan</w:t>
            </w:r>
            <w:r>
              <w:rPr>
                <w:rFonts w:ascii="Calibri" w:hAnsi="Calibri"/>
                <w:spacing w:val="-5"/>
                <w:w w:val="115"/>
                <w:sz w:val="7"/>
              </w:rPr>
              <w:t> </w:t>
            </w:r>
            <w:r>
              <w:rPr>
                <w:rFonts w:ascii="Calibri" w:hAnsi="Calibri"/>
                <w:w w:val="115"/>
                <w:sz w:val="7"/>
              </w:rPr>
              <w:t>Carlos</w:t>
            </w:r>
            <w:r>
              <w:rPr>
                <w:rFonts w:ascii="Calibri" w:hAnsi="Calibri"/>
                <w:spacing w:val="-5"/>
                <w:w w:val="115"/>
                <w:sz w:val="7"/>
              </w:rPr>
              <w:t> </w:t>
            </w:r>
            <w:r>
              <w:rPr>
                <w:rFonts w:ascii="Calibri" w:hAnsi="Calibri"/>
                <w:w w:val="115"/>
                <w:sz w:val="7"/>
              </w:rPr>
              <w:t>León</w:t>
            </w:r>
            <w:r>
              <w:rPr>
                <w:rFonts w:ascii="Calibri" w:hAnsi="Calibri"/>
                <w:spacing w:val="-4"/>
                <w:w w:val="115"/>
                <w:sz w:val="7"/>
              </w:rPr>
              <w:t> Soto</w:t>
            </w:r>
          </w:p>
        </w:tc>
        <w:tc>
          <w:tcPr>
            <w:tcW w:w="499"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3"/>
              <w:rPr>
                <w:sz w:val="7"/>
              </w:rPr>
            </w:pPr>
          </w:p>
          <w:p>
            <w:pPr>
              <w:pStyle w:val="TableParagraph"/>
              <w:ind w:left="11"/>
              <w:jc w:val="center"/>
              <w:rPr>
                <w:rFonts w:ascii="Calibri"/>
                <w:sz w:val="7"/>
              </w:rPr>
            </w:pPr>
            <w:r>
              <w:rPr>
                <w:rFonts w:ascii="Calibri"/>
                <w:w w:val="110"/>
                <w:sz w:val="7"/>
              </w:rPr>
              <w:t>1-0910-</w:t>
            </w:r>
            <w:r>
              <w:rPr>
                <w:rFonts w:ascii="Calibri"/>
                <w:spacing w:val="-4"/>
                <w:w w:val="110"/>
                <w:sz w:val="7"/>
              </w:rPr>
              <w:t>0612</w:t>
            </w:r>
          </w:p>
        </w:tc>
        <w:tc>
          <w:tcPr>
            <w:tcW w:w="636"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spacing w:before="78"/>
              <w:rPr>
                <w:sz w:val="7"/>
              </w:rPr>
            </w:pPr>
          </w:p>
          <w:p>
            <w:pPr>
              <w:pStyle w:val="TableParagraph"/>
              <w:spacing w:line="276" w:lineRule="auto"/>
              <w:ind w:left="36" w:right="22"/>
              <w:jc w:val="center"/>
              <w:rPr>
                <w:rFonts w:ascii="Calibri"/>
                <w:sz w:val="7"/>
              </w:rPr>
            </w:pPr>
            <w:r>
              <w:rPr>
                <w:rFonts w:ascii="Calibri"/>
                <w:spacing w:val="-2"/>
                <w:w w:val="115"/>
                <w:sz w:val="7"/>
              </w:rPr>
              <w:t>Ejecuta</w:t>
            </w:r>
            <w:r>
              <w:rPr>
                <w:rFonts w:ascii="Calibri"/>
                <w:spacing w:val="-5"/>
                <w:w w:val="115"/>
                <w:sz w:val="7"/>
              </w:rPr>
              <w:t> </w:t>
            </w:r>
            <w:r>
              <w:rPr>
                <w:rFonts w:ascii="Calibri"/>
                <w:spacing w:val="-2"/>
                <w:w w:val="115"/>
                <w:sz w:val="7"/>
              </w:rPr>
              <w:t>sentencia</w:t>
            </w:r>
            <w:r>
              <w:rPr>
                <w:rFonts w:ascii="Calibri"/>
                <w:spacing w:val="40"/>
                <w:w w:val="115"/>
                <w:sz w:val="7"/>
              </w:rPr>
              <w:t> </w:t>
            </w:r>
            <w:r>
              <w:rPr>
                <w:rFonts w:ascii="Calibri"/>
                <w:w w:val="115"/>
                <w:sz w:val="7"/>
              </w:rPr>
              <w:t>por</w:t>
            </w:r>
            <w:r>
              <w:rPr>
                <w:rFonts w:ascii="Calibri"/>
                <w:spacing w:val="-5"/>
                <w:w w:val="115"/>
                <w:sz w:val="7"/>
              </w:rPr>
              <w:t> </w:t>
            </w:r>
            <w:r>
              <w:rPr>
                <w:rFonts w:ascii="Calibri"/>
                <w:w w:val="115"/>
                <w:sz w:val="7"/>
              </w:rPr>
              <w:t>concepto</w:t>
            </w:r>
            <w:r>
              <w:rPr>
                <w:rFonts w:ascii="Calibri"/>
                <w:spacing w:val="-5"/>
                <w:w w:val="115"/>
                <w:sz w:val="7"/>
              </w:rPr>
              <w:t> </w:t>
            </w:r>
            <w:r>
              <w:rPr>
                <w:rFonts w:ascii="Calibri"/>
                <w:w w:val="115"/>
                <w:sz w:val="7"/>
              </w:rPr>
              <w:t>de</w:t>
            </w:r>
            <w:r>
              <w:rPr>
                <w:rFonts w:ascii="Calibri"/>
                <w:spacing w:val="40"/>
                <w:w w:val="115"/>
                <w:sz w:val="7"/>
              </w:rPr>
              <w:t> </w:t>
            </w:r>
            <w:r>
              <w:rPr>
                <w:rFonts w:ascii="Calibri"/>
                <w:w w:val="115"/>
                <w:sz w:val="7"/>
              </w:rPr>
              <w:t>honorarios</w:t>
            </w:r>
            <w:r>
              <w:rPr>
                <w:rFonts w:ascii="Calibri"/>
                <w:spacing w:val="-5"/>
                <w:w w:val="115"/>
                <w:sz w:val="7"/>
              </w:rPr>
              <w:t> </w:t>
            </w:r>
            <w:r>
              <w:rPr>
                <w:rFonts w:ascii="Calibri"/>
                <w:w w:val="115"/>
                <w:sz w:val="7"/>
              </w:rPr>
              <w:t>de</w:t>
            </w:r>
            <w:r>
              <w:rPr>
                <w:rFonts w:ascii="Calibri"/>
                <w:spacing w:val="40"/>
                <w:w w:val="115"/>
                <w:sz w:val="7"/>
              </w:rPr>
              <w:t> </w:t>
            </w:r>
            <w:r>
              <w:rPr>
                <w:rFonts w:ascii="Calibri"/>
                <w:w w:val="115"/>
                <w:sz w:val="7"/>
              </w:rPr>
              <w:t>abogado</w:t>
            </w:r>
            <w:r>
              <w:rPr>
                <w:rFonts w:ascii="Calibri"/>
                <w:spacing w:val="-5"/>
                <w:w w:val="115"/>
                <w:sz w:val="7"/>
              </w:rPr>
              <w:t> </w:t>
            </w:r>
            <w:r>
              <w:rPr>
                <w:rFonts w:ascii="Calibri"/>
                <w:w w:val="115"/>
                <w:sz w:val="7"/>
              </w:rPr>
              <w:t>y</w:t>
            </w:r>
            <w:r>
              <w:rPr>
                <w:rFonts w:ascii="Calibri"/>
                <w:spacing w:val="-5"/>
                <w:w w:val="115"/>
                <w:sz w:val="7"/>
              </w:rPr>
              <w:t> </w:t>
            </w:r>
            <w:r>
              <w:rPr>
                <w:rFonts w:ascii="Calibri"/>
                <w:w w:val="115"/>
                <w:sz w:val="7"/>
              </w:rPr>
              <w:t>rubros</w:t>
            </w:r>
            <w:r>
              <w:rPr>
                <w:rFonts w:ascii="Calibri"/>
                <w:spacing w:val="40"/>
                <w:w w:val="115"/>
                <w:sz w:val="7"/>
              </w:rPr>
              <w:t> </w:t>
            </w:r>
            <w:r>
              <w:rPr>
                <w:rFonts w:ascii="Calibri"/>
                <w:spacing w:val="-6"/>
                <w:w w:val="115"/>
                <w:sz w:val="7"/>
              </w:rPr>
              <w:t>de</w:t>
            </w:r>
            <w:r>
              <w:rPr>
                <w:rFonts w:ascii="Calibri"/>
                <w:spacing w:val="40"/>
                <w:w w:val="115"/>
                <w:sz w:val="7"/>
              </w:rPr>
              <w:t> </w:t>
            </w:r>
            <w:r>
              <w:rPr>
                <w:rFonts w:ascii="Calibri"/>
                <w:spacing w:val="-2"/>
                <w:w w:val="115"/>
                <w:sz w:val="7"/>
              </w:rPr>
              <w:t>responsabilidad</w:t>
            </w:r>
            <w:r>
              <w:rPr>
                <w:rFonts w:ascii="Calibri"/>
                <w:spacing w:val="40"/>
                <w:w w:val="115"/>
                <w:sz w:val="7"/>
              </w:rPr>
              <w:t> </w:t>
            </w:r>
            <w:r>
              <w:rPr>
                <w:rFonts w:ascii="Calibri"/>
                <w:spacing w:val="-2"/>
                <w:w w:val="115"/>
                <w:sz w:val="7"/>
              </w:rPr>
              <w:t>patronal</w:t>
            </w:r>
          </w:p>
        </w:tc>
        <w:tc>
          <w:tcPr>
            <w:tcW w:w="862"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6"/>
              <w:rPr>
                <w:sz w:val="7"/>
              </w:rPr>
            </w:pPr>
          </w:p>
          <w:p>
            <w:pPr>
              <w:pStyle w:val="TableParagraph"/>
              <w:spacing w:line="276" w:lineRule="auto"/>
              <w:ind w:left="244" w:hanging="48"/>
              <w:rPr>
                <w:rFonts w:ascii="Calibri" w:hAnsi="Calibri"/>
                <w:sz w:val="7"/>
              </w:rPr>
            </w:pPr>
            <w:r>
              <w:rPr>
                <w:rFonts w:ascii="Calibri" w:hAnsi="Calibri"/>
                <w:spacing w:val="-2"/>
                <w:w w:val="115"/>
                <w:sz w:val="7"/>
              </w:rPr>
              <w:t>Espera</w:t>
            </w:r>
            <w:r>
              <w:rPr>
                <w:rFonts w:ascii="Calibri" w:hAnsi="Calibri"/>
                <w:spacing w:val="-5"/>
                <w:w w:val="115"/>
                <w:sz w:val="7"/>
              </w:rPr>
              <w:t> </w:t>
            </w:r>
            <w:r>
              <w:rPr>
                <w:rFonts w:ascii="Calibri" w:hAnsi="Calibri"/>
                <w:spacing w:val="-2"/>
                <w:w w:val="115"/>
                <w:sz w:val="7"/>
              </w:rPr>
              <w:t>fallo de</w:t>
            </w:r>
            <w:r>
              <w:rPr>
                <w:rFonts w:ascii="Calibri" w:hAnsi="Calibri"/>
                <w:spacing w:val="40"/>
                <w:w w:val="115"/>
                <w:sz w:val="7"/>
              </w:rPr>
              <w:t> </w:t>
            </w:r>
            <w:r>
              <w:rPr>
                <w:rFonts w:ascii="Calibri" w:hAnsi="Calibri"/>
                <w:spacing w:val="-2"/>
                <w:w w:val="115"/>
                <w:sz w:val="7"/>
              </w:rPr>
              <w:t>liquidación.</w:t>
            </w:r>
          </w:p>
        </w:tc>
        <w:tc>
          <w:tcPr>
            <w:tcW w:w="1064"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rPr>
                <w:sz w:val="7"/>
              </w:rPr>
            </w:pPr>
          </w:p>
          <w:p>
            <w:pPr>
              <w:pStyle w:val="TableParagraph"/>
              <w:spacing w:before="55"/>
              <w:rPr>
                <w:sz w:val="7"/>
              </w:rPr>
            </w:pPr>
          </w:p>
          <w:p>
            <w:pPr>
              <w:pStyle w:val="TableParagraph"/>
              <w:ind w:left="353"/>
              <w:rPr>
                <w:sz w:val="7"/>
              </w:rPr>
            </w:pPr>
            <w:r>
              <w:rPr>
                <w:rFonts w:ascii="Times New Roman" w:hAnsi="Times New Roman"/>
                <w:w w:val="115"/>
                <w:sz w:val="7"/>
              </w:rPr>
              <w:t>₡</w:t>
            </w:r>
            <w:r>
              <w:rPr>
                <w:w w:val="115"/>
                <w:sz w:val="7"/>
              </w:rPr>
              <w:t>15</w:t>
            </w:r>
            <w:r>
              <w:rPr>
                <w:spacing w:val="-4"/>
                <w:w w:val="115"/>
                <w:sz w:val="7"/>
              </w:rPr>
              <w:t> </w:t>
            </w:r>
            <w:r>
              <w:rPr>
                <w:spacing w:val="-2"/>
                <w:w w:val="115"/>
                <w:sz w:val="7"/>
              </w:rPr>
              <w:t>208,76</w:t>
            </w:r>
          </w:p>
        </w:tc>
        <w:tc>
          <w:tcPr>
            <w:tcW w:w="1845"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spacing w:before="60"/>
              <w:rPr>
                <w:sz w:val="7"/>
              </w:rPr>
            </w:pPr>
          </w:p>
          <w:p>
            <w:pPr>
              <w:pStyle w:val="TableParagraph"/>
              <w:spacing w:line="276" w:lineRule="auto"/>
              <w:ind w:left="17" w:right="13"/>
              <w:rPr>
                <w:rFonts w:ascii="Calibri" w:hAnsi="Calibri"/>
                <w:sz w:val="7"/>
              </w:rPr>
            </w:pPr>
            <w:r>
              <w:rPr>
                <w:rFonts w:ascii="Calibri" w:hAnsi="Calibri"/>
                <w:spacing w:val="-2"/>
                <w:w w:val="115"/>
                <w:sz w:val="7"/>
              </w:rPr>
              <w:t>La parte actora, presenta liquidación de sentencia, por la</w:t>
            </w:r>
            <w:r>
              <w:rPr>
                <w:rFonts w:ascii="Calibri" w:hAnsi="Calibri"/>
                <w:spacing w:val="40"/>
                <w:w w:val="115"/>
                <w:sz w:val="7"/>
              </w:rPr>
              <w:t> </w:t>
            </w:r>
            <w:r>
              <w:rPr>
                <w:rFonts w:ascii="Calibri" w:hAnsi="Calibri"/>
                <w:w w:val="115"/>
                <w:sz w:val="7"/>
              </w:rPr>
              <w:t>suma</w:t>
            </w:r>
            <w:r>
              <w:rPr>
                <w:rFonts w:ascii="Calibri" w:hAnsi="Calibri"/>
                <w:spacing w:val="-1"/>
                <w:w w:val="115"/>
                <w:sz w:val="7"/>
              </w:rPr>
              <w:t> </w:t>
            </w:r>
            <w:r>
              <w:rPr>
                <w:rFonts w:ascii="Calibri" w:hAnsi="Calibri"/>
                <w:w w:val="115"/>
                <w:sz w:val="7"/>
              </w:rPr>
              <w:t>de 48.616.160,70. Monto que</w:t>
            </w:r>
            <w:r>
              <w:rPr>
                <w:rFonts w:ascii="Calibri" w:hAnsi="Calibri"/>
                <w:spacing w:val="-1"/>
                <w:w w:val="115"/>
                <w:sz w:val="7"/>
              </w:rPr>
              <w:t> </w:t>
            </w:r>
            <w:r>
              <w:rPr>
                <w:rFonts w:ascii="Calibri" w:hAnsi="Calibri"/>
                <w:w w:val="115"/>
                <w:sz w:val="7"/>
              </w:rPr>
              <w:t>comprende</w:t>
            </w:r>
            <w:r>
              <w:rPr>
                <w:rFonts w:ascii="Calibri" w:hAnsi="Calibri"/>
                <w:spacing w:val="-1"/>
                <w:w w:val="115"/>
                <w:sz w:val="7"/>
              </w:rPr>
              <w:t> </w:t>
            </w:r>
            <w:r>
              <w:rPr>
                <w:rFonts w:ascii="Calibri" w:hAnsi="Calibri"/>
                <w:w w:val="115"/>
                <w:sz w:val="7"/>
              </w:rPr>
              <w:t>la</w:t>
            </w:r>
            <w:r>
              <w:rPr>
                <w:rFonts w:ascii="Calibri" w:hAnsi="Calibri"/>
                <w:spacing w:val="40"/>
                <w:w w:val="115"/>
                <w:sz w:val="7"/>
              </w:rPr>
              <w:t> </w:t>
            </w:r>
            <w:r>
              <w:rPr>
                <w:rFonts w:ascii="Calibri" w:hAnsi="Calibri"/>
                <w:w w:val="110"/>
                <w:sz w:val="7"/>
              </w:rPr>
              <w:t>responsabilidad</w:t>
            </w:r>
            <w:r>
              <w:rPr>
                <w:rFonts w:ascii="Calibri" w:hAnsi="Calibri"/>
                <w:spacing w:val="-1"/>
                <w:w w:val="110"/>
                <w:sz w:val="7"/>
              </w:rPr>
              <w:t> </w:t>
            </w:r>
            <w:r>
              <w:rPr>
                <w:rFonts w:ascii="Calibri" w:hAnsi="Calibri"/>
                <w:w w:val="110"/>
                <w:sz w:val="7"/>
              </w:rPr>
              <w:t>patronal y</w:t>
            </w:r>
            <w:r>
              <w:rPr>
                <w:rFonts w:ascii="Calibri" w:hAnsi="Calibri"/>
                <w:spacing w:val="-3"/>
                <w:w w:val="110"/>
                <w:sz w:val="7"/>
              </w:rPr>
              <w:t> </w:t>
            </w:r>
            <w:r>
              <w:rPr>
                <w:rFonts w:ascii="Calibri" w:hAnsi="Calibri"/>
                <w:w w:val="110"/>
                <w:sz w:val="7"/>
              </w:rPr>
              <w:t>honorarios</w:t>
            </w:r>
            <w:r>
              <w:rPr>
                <w:rFonts w:ascii="Calibri" w:hAnsi="Calibri"/>
                <w:spacing w:val="-1"/>
                <w:w w:val="110"/>
                <w:sz w:val="7"/>
              </w:rPr>
              <w:t> </w:t>
            </w:r>
            <w:r>
              <w:rPr>
                <w:rFonts w:ascii="Calibri" w:hAnsi="Calibri"/>
                <w:w w:val="110"/>
                <w:sz w:val="7"/>
              </w:rPr>
              <w:t>de</w:t>
            </w:r>
            <w:r>
              <w:rPr>
                <w:rFonts w:ascii="Calibri" w:hAnsi="Calibri"/>
                <w:spacing w:val="-3"/>
                <w:w w:val="110"/>
                <w:sz w:val="7"/>
              </w:rPr>
              <w:t> </w:t>
            </w:r>
            <w:r>
              <w:rPr>
                <w:rFonts w:ascii="Calibri" w:hAnsi="Calibri"/>
                <w:w w:val="110"/>
                <w:sz w:val="7"/>
              </w:rPr>
              <w:t>abogado.</w:t>
            </w:r>
            <w:r>
              <w:rPr>
                <w:rFonts w:ascii="Calibri" w:hAnsi="Calibri"/>
                <w:spacing w:val="-1"/>
                <w:w w:val="110"/>
                <w:sz w:val="7"/>
              </w:rPr>
              <w:t> </w:t>
            </w:r>
            <w:r>
              <w:rPr>
                <w:rFonts w:ascii="Calibri" w:hAnsi="Calibri"/>
                <w:w w:val="110"/>
                <w:sz w:val="7"/>
              </w:rPr>
              <w:t>IMAS</w:t>
            </w:r>
            <w:r>
              <w:rPr>
                <w:rFonts w:ascii="Calibri" w:hAnsi="Calibri"/>
                <w:spacing w:val="40"/>
                <w:w w:val="115"/>
                <w:sz w:val="7"/>
              </w:rPr>
              <w:t> </w:t>
            </w:r>
            <w:r>
              <w:rPr>
                <w:rFonts w:ascii="Calibri" w:hAnsi="Calibri"/>
                <w:w w:val="115"/>
                <w:sz w:val="7"/>
              </w:rPr>
              <w:t>se opone a dicha liquidación, por cuanto según datos</w:t>
            </w:r>
            <w:r>
              <w:rPr>
                <w:rFonts w:ascii="Calibri" w:hAnsi="Calibri"/>
                <w:spacing w:val="40"/>
                <w:w w:val="115"/>
                <w:sz w:val="7"/>
              </w:rPr>
              <w:t> </w:t>
            </w:r>
            <w:r>
              <w:rPr>
                <w:rFonts w:ascii="Calibri" w:hAnsi="Calibri"/>
                <w:w w:val="115"/>
                <w:sz w:val="7"/>
              </w:rPr>
              <w:t>suministrados por DH</w:t>
            </w:r>
            <w:r>
              <w:rPr>
                <w:rFonts w:ascii="Calibri" w:hAnsi="Calibri"/>
                <w:spacing w:val="-2"/>
                <w:w w:val="115"/>
                <w:sz w:val="7"/>
              </w:rPr>
              <w:t> </w:t>
            </w:r>
            <w:r>
              <w:rPr>
                <w:rFonts w:ascii="Calibri" w:hAnsi="Calibri"/>
                <w:w w:val="115"/>
                <w:sz w:val="7"/>
              </w:rPr>
              <w:t>la única suma pendiente de</w:t>
            </w:r>
            <w:r>
              <w:rPr>
                <w:rFonts w:ascii="Calibri" w:hAnsi="Calibri"/>
                <w:spacing w:val="40"/>
                <w:w w:val="115"/>
                <w:sz w:val="7"/>
              </w:rPr>
              <w:t> </w:t>
            </w:r>
            <w:r>
              <w:rPr>
                <w:rFonts w:ascii="Calibri" w:hAnsi="Calibri"/>
                <w:w w:val="115"/>
                <w:sz w:val="7"/>
              </w:rPr>
              <w:t>cancelar</w:t>
            </w:r>
            <w:r>
              <w:rPr>
                <w:rFonts w:ascii="Calibri" w:hAnsi="Calibri"/>
                <w:spacing w:val="5"/>
                <w:w w:val="115"/>
                <w:sz w:val="7"/>
              </w:rPr>
              <w:t> </w:t>
            </w:r>
            <w:r>
              <w:rPr>
                <w:rFonts w:ascii="Calibri" w:hAnsi="Calibri"/>
                <w:w w:val="115"/>
                <w:sz w:val="7"/>
              </w:rPr>
              <w:t>es</w:t>
            </w:r>
            <w:r>
              <w:rPr>
                <w:rFonts w:ascii="Calibri" w:hAnsi="Calibri"/>
                <w:spacing w:val="-4"/>
                <w:w w:val="115"/>
                <w:sz w:val="7"/>
              </w:rPr>
              <w:t> </w:t>
            </w:r>
            <w:r>
              <w:rPr>
                <w:rFonts w:ascii="Calibri" w:hAnsi="Calibri"/>
                <w:w w:val="115"/>
                <w:sz w:val="7"/>
              </w:rPr>
              <w:t>la</w:t>
            </w:r>
            <w:r>
              <w:rPr>
                <w:rFonts w:ascii="Calibri" w:hAnsi="Calibri"/>
                <w:spacing w:val="-5"/>
                <w:w w:val="115"/>
                <w:sz w:val="7"/>
              </w:rPr>
              <w:t> </w:t>
            </w:r>
            <w:r>
              <w:rPr>
                <w:rFonts w:ascii="Calibri" w:hAnsi="Calibri"/>
                <w:w w:val="115"/>
                <w:sz w:val="7"/>
              </w:rPr>
              <w:t>del</w:t>
            </w:r>
            <w:r>
              <w:rPr>
                <w:rFonts w:ascii="Calibri" w:hAnsi="Calibri"/>
                <w:spacing w:val="-3"/>
                <w:w w:val="115"/>
                <w:sz w:val="7"/>
              </w:rPr>
              <w:t> </w:t>
            </w:r>
            <w:r>
              <w:rPr>
                <w:rFonts w:ascii="Calibri" w:hAnsi="Calibri"/>
                <w:w w:val="115"/>
                <w:sz w:val="7"/>
              </w:rPr>
              <w:t>preaviso,</w:t>
            </w:r>
            <w:r>
              <w:rPr>
                <w:rFonts w:ascii="Calibri" w:hAnsi="Calibri"/>
                <w:spacing w:val="-5"/>
                <w:w w:val="115"/>
                <w:sz w:val="7"/>
              </w:rPr>
              <w:t> </w:t>
            </w:r>
            <w:r>
              <w:rPr>
                <w:rFonts w:ascii="Calibri" w:hAnsi="Calibri"/>
                <w:w w:val="115"/>
                <w:sz w:val="7"/>
              </w:rPr>
              <w:t>sea</w:t>
            </w:r>
            <w:r>
              <w:rPr>
                <w:rFonts w:ascii="Calibri" w:hAnsi="Calibri"/>
                <w:spacing w:val="-5"/>
                <w:w w:val="115"/>
                <w:sz w:val="7"/>
              </w:rPr>
              <w:t> </w:t>
            </w:r>
            <w:r>
              <w:rPr>
                <w:rFonts w:ascii="Calibri" w:hAnsi="Calibri"/>
                <w:w w:val="115"/>
                <w:sz w:val="7"/>
              </w:rPr>
              <w:t>la</w:t>
            </w:r>
            <w:r>
              <w:rPr>
                <w:rFonts w:ascii="Calibri" w:hAnsi="Calibri"/>
                <w:spacing w:val="-4"/>
                <w:w w:val="115"/>
                <w:sz w:val="7"/>
              </w:rPr>
              <w:t> </w:t>
            </w:r>
            <w:r>
              <w:rPr>
                <w:rFonts w:ascii="Calibri" w:hAnsi="Calibri"/>
                <w:w w:val="115"/>
                <w:sz w:val="7"/>
              </w:rPr>
              <w:t>suma</w:t>
            </w:r>
            <w:r>
              <w:rPr>
                <w:rFonts w:ascii="Calibri" w:hAnsi="Calibri"/>
                <w:spacing w:val="-5"/>
                <w:w w:val="115"/>
                <w:sz w:val="7"/>
              </w:rPr>
              <w:t> </w:t>
            </w:r>
            <w:r>
              <w:rPr>
                <w:rFonts w:ascii="Calibri" w:hAnsi="Calibri"/>
                <w:w w:val="115"/>
                <w:sz w:val="7"/>
              </w:rPr>
              <w:t>de</w:t>
            </w:r>
            <w:r>
              <w:rPr>
                <w:rFonts w:ascii="Calibri" w:hAnsi="Calibri"/>
                <w:spacing w:val="-4"/>
                <w:w w:val="115"/>
                <w:sz w:val="7"/>
              </w:rPr>
              <w:t> </w:t>
            </w:r>
            <w:r>
              <w:rPr>
                <w:rFonts w:ascii="Calibri" w:hAnsi="Calibri"/>
                <w:w w:val="115"/>
                <w:sz w:val="7"/>
              </w:rPr>
              <w:t>¢921,913.38</w:t>
            </w:r>
            <w:r>
              <w:rPr>
                <w:rFonts w:ascii="Calibri" w:hAnsi="Calibri"/>
                <w:spacing w:val="40"/>
                <w:w w:val="115"/>
                <w:sz w:val="7"/>
              </w:rPr>
              <w:t> </w:t>
            </w:r>
            <w:r>
              <w:rPr>
                <w:rFonts w:ascii="Calibri" w:hAnsi="Calibri"/>
                <w:spacing w:val="-2"/>
                <w:w w:val="115"/>
                <w:sz w:val="7"/>
              </w:rPr>
              <w:t>(novecientos veintiún mil novecientos trece colones con</w:t>
            </w:r>
            <w:r>
              <w:rPr>
                <w:rFonts w:ascii="Calibri" w:hAnsi="Calibri"/>
                <w:spacing w:val="40"/>
                <w:w w:val="115"/>
                <w:sz w:val="7"/>
              </w:rPr>
              <w:t> </w:t>
            </w:r>
            <w:r>
              <w:rPr>
                <w:rFonts w:ascii="Calibri" w:hAnsi="Calibri"/>
                <w:w w:val="115"/>
                <w:sz w:val="7"/>
              </w:rPr>
              <w:t>treinta</w:t>
            </w:r>
            <w:r>
              <w:rPr>
                <w:rFonts w:ascii="Calibri" w:hAnsi="Calibri"/>
                <w:spacing w:val="-1"/>
                <w:w w:val="115"/>
                <w:sz w:val="7"/>
              </w:rPr>
              <w:t> </w:t>
            </w:r>
            <w:r>
              <w:rPr>
                <w:rFonts w:ascii="Calibri" w:hAnsi="Calibri"/>
                <w:w w:val="115"/>
                <w:sz w:val="7"/>
              </w:rPr>
              <w:t>y</w:t>
            </w:r>
            <w:r>
              <w:rPr>
                <w:rFonts w:ascii="Calibri" w:hAnsi="Calibri"/>
                <w:spacing w:val="-1"/>
                <w:w w:val="115"/>
                <w:sz w:val="7"/>
              </w:rPr>
              <w:t> </w:t>
            </w:r>
            <w:r>
              <w:rPr>
                <w:rFonts w:ascii="Calibri" w:hAnsi="Calibri"/>
                <w:w w:val="115"/>
                <w:sz w:val="7"/>
              </w:rPr>
              <w:t>ocho céntimos). (Ver</w:t>
            </w:r>
            <w:r>
              <w:rPr>
                <w:rFonts w:ascii="Calibri" w:hAnsi="Calibri"/>
                <w:spacing w:val="-1"/>
                <w:w w:val="115"/>
                <w:sz w:val="7"/>
              </w:rPr>
              <w:t> </w:t>
            </w:r>
            <w:r>
              <w:rPr>
                <w:rFonts w:ascii="Calibri" w:hAnsi="Calibri"/>
                <w:w w:val="115"/>
                <w:sz w:val="7"/>
              </w:rPr>
              <w:t>CERT.-349-07-2024</w:t>
            </w:r>
            <w:r>
              <w:rPr>
                <w:rFonts w:ascii="Calibri" w:hAnsi="Calibri"/>
                <w:spacing w:val="40"/>
                <w:w w:val="115"/>
                <w:sz w:val="7"/>
              </w:rPr>
              <w:t> </w:t>
            </w:r>
            <w:r>
              <w:rPr>
                <w:rFonts w:ascii="Calibri" w:hAnsi="Calibri"/>
                <w:w w:val="115"/>
                <w:sz w:val="7"/>
              </w:rPr>
              <w:t>emitida</w:t>
            </w:r>
            <w:r>
              <w:rPr>
                <w:rFonts w:ascii="Calibri" w:hAnsi="Calibri"/>
                <w:spacing w:val="-4"/>
                <w:w w:val="115"/>
                <w:sz w:val="7"/>
              </w:rPr>
              <w:t> </w:t>
            </w:r>
            <w:r>
              <w:rPr>
                <w:rFonts w:ascii="Calibri" w:hAnsi="Calibri"/>
                <w:w w:val="115"/>
                <w:sz w:val="7"/>
              </w:rPr>
              <w:t>por</w:t>
            </w:r>
            <w:r>
              <w:rPr>
                <w:rFonts w:ascii="Calibri" w:hAnsi="Calibri"/>
                <w:spacing w:val="-4"/>
                <w:w w:val="115"/>
                <w:sz w:val="7"/>
              </w:rPr>
              <w:t> </w:t>
            </w:r>
            <w:r>
              <w:rPr>
                <w:rFonts w:ascii="Calibri" w:hAnsi="Calibri"/>
                <w:w w:val="115"/>
                <w:sz w:val="7"/>
              </w:rPr>
              <w:t>Desarrollo</w:t>
            </w:r>
            <w:r>
              <w:rPr>
                <w:rFonts w:ascii="Calibri" w:hAnsi="Calibri"/>
                <w:spacing w:val="-2"/>
                <w:w w:val="115"/>
                <w:sz w:val="7"/>
              </w:rPr>
              <w:t> </w:t>
            </w:r>
            <w:r>
              <w:rPr>
                <w:rFonts w:ascii="Calibri" w:hAnsi="Calibri"/>
                <w:w w:val="115"/>
                <w:sz w:val="7"/>
              </w:rPr>
              <w:t>Humano).</w:t>
            </w:r>
          </w:p>
        </w:tc>
        <w:tc>
          <w:tcPr>
            <w:tcW w:w="621"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sz w:val="7"/>
              </w:rPr>
            </w:pPr>
          </w:p>
          <w:p>
            <w:pPr>
              <w:pStyle w:val="TableParagraph"/>
              <w:rPr>
                <w:sz w:val="7"/>
              </w:rPr>
            </w:pPr>
          </w:p>
          <w:p>
            <w:pPr>
              <w:pStyle w:val="TableParagraph"/>
              <w:rPr>
                <w:sz w:val="7"/>
              </w:rPr>
            </w:pPr>
          </w:p>
          <w:p>
            <w:pPr>
              <w:pStyle w:val="TableParagraph"/>
              <w:spacing w:before="67"/>
              <w:rPr>
                <w:sz w:val="7"/>
              </w:rPr>
            </w:pPr>
          </w:p>
          <w:p>
            <w:pPr>
              <w:pStyle w:val="TableParagraph"/>
              <w:spacing w:line="276" w:lineRule="auto"/>
              <w:ind w:left="67" w:right="57" w:hanging="1"/>
              <w:jc w:val="center"/>
              <w:rPr>
                <w:rFonts w:ascii="Calibri" w:hAnsi="Calibri"/>
                <w:sz w:val="7"/>
              </w:rPr>
            </w:pPr>
            <w:r>
              <w:rPr>
                <w:rFonts w:ascii="Calibri" w:hAnsi="Calibri"/>
                <w:spacing w:val="-2"/>
                <w:w w:val="115"/>
                <w:sz w:val="7"/>
              </w:rPr>
              <w:t>Provisionado</w:t>
            </w:r>
            <w:r>
              <w:rPr>
                <w:rFonts w:ascii="Calibri" w:hAnsi="Calibri"/>
                <w:spacing w:val="-3"/>
                <w:w w:val="115"/>
                <w:sz w:val="7"/>
              </w:rPr>
              <w:t> </w:t>
            </w:r>
            <w:r>
              <w:rPr>
                <w:rFonts w:ascii="Calibri" w:hAnsi="Calibri"/>
                <w:spacing w:val="-2"/>
                <w:w w:val="115"/>
                <w:sz w:val="7"/>
              </w:rPr>
              <w:t>al</w:t>
            </w:r>
            <w:r>
              <w:rPr>
                <w:rFonts w:ascii="Calibri" w:hAnsi="Calibri"/>
                <w:spacing w:val="40"/>
                <w:w w:val="115"/>
                <w:sz w:val="7"/>
              </w:rPr>
              <w:t> </w:t>
            </w:r>
            <w:r>
              <w:rPr>
                <w:rFonts w:ascii="Calibri" w:hAnsi="Calibri"/>
                <w:spacing w:val="-2"/>
                <w:w w:val="115"/>
                <w:sz w:val="7"/>
              </w:rPr>
              <w:t>30%</w:t>
            </w:r>
            <w:r>
              <w:rPr>
                <w:rFonts w:ascii="Calibri" w:hAnsi="Calibri"/>
                <w:spacing w:val="-3"/>
                <w:w w:val="115"/>
                <w:sz w:val="7"/>
              </w:rPr>
              <w:t> </w:t>
            </w:r>
            <w:r>
              <w:rPr>
                <w:rFonts w:ascii="Calibri" w:hAnsi="Calibri"/>
                <w:spacing w:val="-2"/>
                <w:w w:val="115"/>
                <w:sz w:val="7"/>
              </w:rPr>
              <w:t>del</w:t>
            </w:r>
            <w:r>
              <w:rPr>
                <w:rFonts w:ascii="Calibri" w:hAnsi="Calibri"/>
                <w:spacing w:val="-3"/>
                <w:w w:val="115"/>
                <w:sz w:val="7"/>
              </w:rPr>
              <w:t> </w:t>
            </w:r>
            <w:r>
              <w:rPr>
                <w:rFonts w:ascii="Calibri" w:hAnsi="Calibri"/>
                <w:spacing w:val="-2"/>
                <w:w w:val="115"/>
                <w:sz w:val="7"/>
              </w:rPr>
              <w:t>monto</w:t>
            </w:r>
            <w:r>
              <w:rPr>
                <w:rFonts w:ascii="Calibri" w:hAnsi="Calibri"/>
                <w:spacing w:val="40"/>
                <w:w w:val="115"/>
                <w:sz w:val="7"/>
              </w:rPr>
              <w:t> </w:t>
            </w:r>
            <w:r>
              <w:rPr>
                <w:rFonts w:ascii="Calibri" w:hAnsi="Calibri"/>
                <w:w w:val="115"/>
                <w:sz w:val="7"/>
              </w:rPr>
              <w:t>estimado</w:t>
            </w:r>
            <w:r>
              <w:rPr>
                <w:rFonts w:ascii="Calibri" w:hAnsi="Calibri"/>
                <w:spacing w:val="-5"/>
                <w:w w:val="115"/>
                <w:sz w:val="7"/>
              </w:rPr>
              <w:t> </w:t>
            </w:r>
            <w:r>
              <w:rPr>
                <w:rFonts w:ascii="Calibri" w:hAnsi="Calibri"/>
                <w:w w:val="115"/>
                <w:sz w:val="7"/>
              </w:rPr>
              <w:t>en</w:t>
            </w:r>
            <w:r>
              <w:rPr>
                <w:rFonts w:ascii="Calibri" w:hAnsi="Calibri"/>
                <w:spacing w:val="-5"/>
                <w:w w:val="115"/>
                <w:sz w:val="7"/>
              </w:rPr>
              <w:t> </w:t>
            </w:r>
            <w:r>
              <w:rPr>
                <w:rFonts w:ascii="Calibri" w:hAnsi="Calibri"/>
                <w:w w:val="115"/>
                <w:sz w:val="7"/>
              </w:rPr>
              <w:t>la</w:t>
            </w:r>
            <w:r>
              <w:rPr>
                <w:rFonts w:ascii="Calibri" w:hAnsi="Calibri"/>
                <w:spacing w:val="40"/>
                <w:w w:val="115"/>
                <w:sz w:val="7"/>
              </w:rPr>
              <w:t> </w:t>
            </w:r>
            <w:r>
              <w:rPr>
                <w:rFonts w:ascii="Calibri" w:hAnsi="Calibri"/>
                <w:spacing w:val="-2"/>
                <w:w w:val="115"/>
                <w:sz w:val="7"/>
              </w:rPr>
              <w:t>liquidación</w:t>
            </w:r>
          </w:p>
        </w:tc>
        <w:tc>
          <w:tcPr>
            <w:tcW w:w="621" w:type="dxa"/>
            <w:tcBorders>
              <w:top w:val="single" w:sz="2" w:space="0" w:color="000000"/>
              <w:left w:val="single" w:sz="2" w:space="0" w:color="000000"/>
              <w:bottom w:val="thickThinMediumGap" w:sz="2" w:space="0" w:color="000000"/>
              <w:right w:val="single" w:sz="2" w:space="0" w:color="000000"/>
            </w:tcBorders>
            <w:shd w:val="clear" w:color="auto" w:fill="FFFFFF"/>
          </w:tcPr>
          <w:p>
            <w:pPr>
              <w:pStyle w:val="TableParagraph"/>
              <w:rPr>
                <w:rFonts w:ascii="Times New Roman"/>
                <w:sz w:val="8"/>
              </w:rPr>
            </w:pPr>
          </w:p>
        </w:tc>
        <w:tc>
          <w:tcPr>
            <w:tcW w:w="83" w:type="dxa"/>
            <w:vMerge/>
            <w:tcBorders>
              <w:top w:val="nil"/>
              <w:left w:val="nil"/>
            </w:tcBorders>
          </w:tcPr>
          <w:p>
            <w:pPr>
              <w:rPr>
                <w:sz w:val="2"/>
                <w:szCs w:val="2"/>
              </w:rPr>
            </w:pPr>
          </w:p>
        </w:tc>
      </w:tr>
    </w:tbl>
    <w:p>
      <w:pPr>
        <w:spacing w:after="0"/>
        <w:rPr>
          <w:sz w:val="2"/>
          <w:szCs w:val="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1808">
                <wp:simplePos x="0" y="0"/>
                <wp:positionH relativeFrom="page">
                  <wp:posOffset>9525</wp:posOffset>
                </wp:positionH>
                <wp:positionV relativeFrom="page">
                  <wp:posOffset>297208</wp:posOffset>
                </wp:positionV>
                <wp:extent cx="7762875" cy="9748520"/>
                <wp:effectExtent l="0" t="0" r="0" b="0"/>
                <wp:wrapNone/>
                <wp:docPr id="404" name="Group 404"/>
                <wp:cNvGraphicFramePr>
                  <a:graphicFrameLocks/>
                </wp:cNvGraphicFramePr>
                <a:graphic>
                  <a:graphicData uri="http://schemas.microsoft.com/office/word/2010/wordprocessingGroup">
                    <wpg:wgp>
                      <wpg:cNvPr id="404" name="Group 404"/>
                      <wpg:cNvGrpSpPr/>
                      <wpg:grpSpPr>
                        <a:xfrm>
                          <a:off x="0" y="0"/>
                          <a:ext cx="7762875" cy="9748520"/>
                          <a:chExt cx="7762875" cy="9748520"/>
                        </a:xfrm>
                      </wpg:grpSpPr>
                      <pic:pic>
                        <pic:nvPicPr>
                          <pic:cNvPr id="405" name="Image 405"/>
                          <pic:cNvPicPr/>
                        </pic:nvPicPr>
                        <pic:blipFill>
                          <a:blip r:embed="rId5" cstate="print"/>
                          <a:stretch>
                            <a:fillRect/>
                          </a:stretch>
                        </pic:blipFill>
                        <pic:spPr>
                          <a:xfrm>
                            <a:off x="0" y="0"/>
                            <a:ext cx="7762874" cy="9748489"/>
                          </a:xfrm>
                          <a:prstGeom prst="rect">
                            <a:avLst/>
                          </a:prstGeom>
                        </pic:spPr>
                      </pic:pic>
                      <wps:wsp>
                        <wps:cNvPr id="406" name="Graphic 40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4672" id="docshapegroup383" coordorigin="15,468" coordsize="12225,15352">
                <v:shape style="position:absolute;left:15;top:468;width:12225;height:15352" type="#_x0000_t75" id="docshape384" stroked="false">
                  <v:imagedata r:id="rId5" o:title=""/>
                </v:shape>
                <v:rect style="position:absolute;left:1673;top:2028;width:8897;height:15" id="docshape385"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796224">
                <wp:simplePos x="0" y="0"/>
                <wp:positionH relativeFrom="page">
                  <wp:posOffset>1266500</wp:posOffset>
                </wp:positionH>
                <wp:positionV relativeFrom="page">
                  <wp:posOffset>5398485</wp:posOffset>
                </wp:positionV>
                <wp:extent cx="5578475" cy="2682240"/>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5578475" cy="2682240"/>
                        </a:xfrm>
                        <a:prstGeom prst="rect">
                          <a:avLst/>
                        </a:prstGeom>
                      </wps:spPr>
                      <wps:txbx>
                        <w:txbxContent>
                          <w:tbl>
                            <w:tblPr>
                              <w:tblW w:w="0" w:type="auto"/>
                              <w:jc w:val="left"/>
                              <w:tblInd w:w="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32"/>
                              <w:gridCol w:w="714"/>
                              <w:gridCol w:w="1059"/>
                              <w:gridCol w:w="509"/>
                              <w:gridCol w:w="648"/>
                              <w:gridCol w:w="878"/>
                              <w:gridCol w:w="1084"/>
                              <w:gridCol w:w="1879"/>
                              <w:gridCol w:w="633"/>
                              <w:gridCol w:w="633"/>
                            </w:tblGrid>
                            <w:tr>
                              <w:trPr>
                                <w:trHeight w:val="337" w:hRule="atLeast"/>
                              </w:trPr>
                              <w:tc>
                                <w:tcPr>
                                  <w:tcW w:w="8669" w:type="dxa"/>
                                  <w:gridSpan w:val="10"/>
                                  <w:tcBorders>
                                    <w:top w:val="nil"/>
                                    <w:left w:val="nil"/>
                                    <w:right w:val="nil"/>
                                  </w:tcBorders>
                                  <w:shd w:val="clear" w:color="auto" w:fill="FFFFFF"/>
                                </w:tcPr>
                                <w:p>
                                  <w:pPr>
                                    <w:pStyle w:val="TableParagraph"/>
                                    <w:spacing w:before="8"/>
                                    <w:ind w:right="2"/>
                                    <w:jc w:val="center"/>
                                    <w:rPr>
                                      <w:rFonts w:ascii="Calibri"/>
                                      <w:b/>
                                      <w:sz w:val="14"/>
                                    </w:rPr>
                                  </w:pPr>
                                  <w:r>
                                    <w:rPr>
                                      <w:rFonts w:ascii="Calibri"/>
                                      <w:b/>
                                      <w:spacing w:val="-4"/>
                                      <w:sz w:val="14"/>
                                    </w:rPr>
                                    <w:t>INSTITUTO</w:t>
                                  </w:r>
                                  <w:r>
                                    <w:rPr>
                                      <w:rFonts w:ascii="Calibri"/>
                                      <w:b/>
                                      <w:spacing w:val="-1"/>
                                      <w:sz w:val="14"/>
                                    </w:rPr>
                                    <w:t> </w:t>
                                  </w:r>
                                  <w:r>
                                    <w:rPr>
                                      <w:rFonts w:ascii="Calibri"/>
                                      <w:b/>
                                      <w:spacing w:val="-4"/>
                                      <w:sz w:val="14"/>
                                    </w:rPr>
                                    <w:t>MIXTO</w:t>
                                  </w:r>
                                  <w:r>
                                    <w:rPr>
                                      <w:rFonts w:ascii="Calibri"/>
                                      <w:b/>
                                      <w:spacing w:val="-1"/>
                                      <w:sz w:val="14"/>
                                    </w:rPr>
                                    <w:t> </w:t>
                                  </w:r>
                                  <w:r>
                                    <w:rPr>
                                      <w:rFonts w:ascii="Calibri"/>
                                      <w:b/>
                                      <w:spacing w:val="-4"/>
                                      <w:sz w:val="14"/>
                                    </w:rPr>
                                    <w:t>DE</w:t>
                                  </w:r>
                                  <w:r>
                                    <w:rPr>
                                      <w:rFonts w:ascii="Calibri"/>
                                      <w:b/>
                                      <w:spacing w:val="-3"/>
                                      <w:sz w:val="14"/>
                                    </w:rPr>
                                    <w:t> </w:t>
                                  </w:r>
                                  <w:r>
                                    <w:rPr>
                                      <w:rFonts w:ascii="Calibri"/>
                                      <w:b/>
                                      <w:spacing w:val="-4"/>
                                      <w:sz w:val="14"/>
                                    </w:rPr>
                                    <w:t>AYUDA</w:t>
                                  </w:r>
                                  <w:r>
                                    <w:rPr>
                                      <w:rFonts w:ascii="Calibri"/>
                                      <w:b/>
                                      <w:spacing w:val="-1"/>
                                      <w:sz w:val="14"/>
                                    </w:rPr>
                                    <w:t> </w:t>
                                  </w:r>
                                  <w:r>
                                    <w:rPr>
                                      <w:rFonts w:ascii="Calibri"/>
                                      <w:b/>
                                      <w:spacing w:val="-4"/>
                                      <w:sz w:val="14"/>
                                    </w:rPr>
                                    <w:t>SOCIAL</w:t>
                                  </w:r>
                                </w:p>
                                <w:p>
                                  <w:pPr>
                                    <w:pStyle w:val="TableParagraph"/>
                                    <w:spacing w:line="127" w:lineRule="exact" w:before="12"/>
                                    <w:ind w:left="2" w:right="2"/>
                                    <w:jc w:val="center"/>
                                    <w:rPr>
                                      <w:rFonts w:ascii="Calibri"/>
                                      <w:b/>
                                      <w:sz w:val="12"/>
                                    </w:rPr>
                                  </w:pPr>
                                  <w:r>
                                    <w:rPr>
                                      <w:rFonts w:ascii="Calibri"/>
                                      <w:b/>
                                      <w:sz w:val="12"/>
                                    </w:rPr>
                                    <w:t>DETALLE DE PROCESOS JUDICALES AL</w:t>
                                  </w:r>
                                  <w:r>
                                    <w:rPr>
                                      <w:rFonts w:ascii="Calibri"/>
                                      <w:b/>
                                      <w:spacing w:val="-4"/>
                                      <w:sz w:val="12"/>
                                    </w:rPr>
                                    <w:t> </w:t>
                                  </w:r>
                                  <w:r>
                                    <w:rPr>
                                      <w:rFonts w:ascii="Calibri"/>
                                      <w:b/>
                                      <w:sz w:val="12"/>
                                    </w:rPr>
                                    <w:t>31</w:t>
                                  </w:r>
                                  <w:r>
                                    <w:rPr>
                                      <w:rFonts w:ascii="Calibri"/>
                                      <w:b/>
                                      <w:spacing w:val="24"/>
                                      <w:sz w:val="12"/>
                                    </w:rPr>
                                    <w:t> </w:t>
                                  </w:r>
                                  <w:r>
                                    <w:rPr>
                                      <w:rFonts w:ascii="Calibri"/>
                                      <w:b/>
                                      <w:sz w:val="12"/>
                                    </w:rPr>
                                    <w:t>DE JULIO</w:t>
                                  </w:r>
                                  <w:r>
                                    <w:rPr>
                                      <w:rFonts w:ascii="Calibri"/>
                                      <w:b/>
                                      <w:spacing w:val="-3"/>
                                      <w:sz w:val="12"/>
                                    </w:rPr>
                                    <w:t> </w:t>
                                  </w:r>
                                  <w:r>
                                    <w:rPr>
                                      <w:rFonts w:ascii="Calibri"/>
                                      <w:b/>
                                      <w:spacing w:val="-4"/>
                                      <w:sz w:val="12"/>
                                    </w:rPr>
                                    <w:t>2026</w:t>
                                  </w:r>
                                </w:p>
                              </w:tc>
                            </w:tr>
                            <w:tr>
                              <w:trPr>
                                <w:trHeight w:val="212" w:hRule="atLeast"/>
                              </w:trPr>
                              <w:tc>
                                <w:tcPr>
                                  <w:tcW w:w="632" w:type="dxa"/>
                                  <w:shd w:val="clear" w:color="auto" w:fill="E8E8E8"/>
                                </w:tcPr>
                                <w:p>
                                  <w:pPr>
                                    <w:pStyle w:val="TableParagraph"/>
                                    <w:spacing w:before="7"/>
                                    <w:ind w:left="131"/>
                                    <w:rPr>
                                      <w:rFonts w:ascii="Calibri"/>
                                      <w:b/>
                                      <w:sz w:val="8"/>
                                    </w:rPr>
                                  </w:pPr>
                                  <w:r>
                                    <w:rPr>
                                      <w:rFonts w:ascii="Calibri"/>
                                      <w:b/>
                                      <w:spacing w:val="-2"/>
                                      <w:w w:val="105"/>
                                      <w:sz w:val="8"/>
                                    </w:rPr>
                                    <w:t>EMPRESAS</w:t>
                                  </w:r>
                                </w:p>
                                <w:p>
                                  <w:pPr>
                                    <w:pStyle w:val="TableParagraph"/>
                                    <w:spacing w:line="79" w:lineRule="exact" w:before="9"/>
                                    <w:ind w:left="68"/>
                                    <w:rPr>
                                      <w:rFonts w:ascii="Calibri"/>
                                      <w:b/>
                                      <w:sz w:val="8"/>
                                    </w:rPr>
                                  </w:pPr>
                                  <w:r>
                                    <w:rPr>
                                      <w:rFonts w:ascii="Calibri"/>
                                      <w:b/>
                                      <w:spacing w:val="-2"/>
                                      <w:w w:val="105"/>
                                      <w:sz w:val="8"/>
                                    </w:rPr>
                                    <w:t>COMERCIALES</w:t>
                                  </w:r>
                                </w:p>
                              </w:tc>
                              <w:tc>
                                <w:tcPr>
                                  <w:tcW w:w="714" w:type="dxa"/>
                                  <w:shd w:val="clear" w:color="auto" w:fill="E8E8E8"/>
                                </w:tcPr>
                                <w:p>
                                  <w:pPr>
                                    <w:pStyle w:val="TableParagraph"/>
                                    <w:rPr>
                                      <w:rFonts w:ascii="Times New Roman"/>
                                      <w:sz w:val="8"/>
                                    </w:rPr>
                                  </w:pPr>
                                </w:p>
                              </w:tc>
                              <w:tc>
                                <w:tcPr>
                                  <w:tcW w:w="1059" w:type="dxa"/>
                                  <w:shd w:val="clear" w:color="auto" w:fill="E8E8E8"/>
                                </w:tcPr>
                                <w:p>
                                  <w:pPr>
                                    <w:pStyle w:val="TableParagraph"/>
                                    <w:rPr>
                                      <w:rFonts w:ascii="Times New Roman"/>
                                      <w:sz w:val="8"/>
                                    </w:rPr>
                                  </w:pPr>
                                </w:p>
                              </w:tc>
                              <w:tc>
                                <w:tcPr>
                                  <w:tcW w:w="509" w:type="dxa"/>
                                  <w:shd w:val="clear" w:color="auto" w:fill="E8E8E8"/>
                                </w:tcPr>
                                <w:p>
                                  <w:pPr>
                                    <w:pStyle w:val="TableParagraph"/>
                                    <w:rPr>
                                      <w:rFonts w:ascii="Times New Roman"/>
                                      <w:sz w:val="8"/>
                                    </w:rPr>
                                  </w:pPr>
                                </w:p>
                              </w:tc>
                              <w:tc>
                                <w:tcPr>
                                  <w:tcW w:w="648" w:type="dxa"/>
                                  <w:shd w:val="clear" w:color="auto" w:fill="E8E8E8"/>
                                </w:tcPr>
                                <w:p>
                                  <w:pPr>
                                    <w:pStyle w:val="TableParagraph"/>
                                    <w:rPr>
                                      <w:rFonts w:ascii="Times New Roman"/>
                                      <w:sz w:val="8"/>
                                    </w:rPr>
                                  </w:pPr>
                                </w:p>
                              </w:tc>
                              <w:tc>
                                <w:tcPr>
                                  <w:tcW w:w="878" w:type="dxa"/>
                                  <w:shd w:val="clear" w:color="auto" w:fill="E8E8E8"/>
                                </w:tcPr>
                                <w:p>
                                  <w:pPr>
                                    <w:pStyle w:val="TableParagraph"/>
                                    <w:rPr>
                                      <w:rFonts w:ascii="Times New Roman"/>
                                      <w:sz w:val="8"/>
                                    </w:rPr>
                                  </w:pPr>
                                </w:p>
                              </w:tc>
                              <w:tc>
                                <w:tcPr>
                                  <w:tcW w:w="1084" w:type="dxa"/>
                                  <w:shd w:val="clear" w:color="auto" w:fill="E8E8E8"/>
                                </w:tcPr>
                                <w:p>
                                  <w:pPr>
                                    <w:pStyle w:val="TableParagraph"/>
                                    <w:rPr>
                                      <w:rFonts w:ascii="Times New Roman"/>
                                      <w:sz w:val="8"/>
                                    </w:rPr>
                                  </w:pPr>
                                </w:p>
                              </w:tc>
                              <w:tc>
                                <w:tcPr>
                                  <w:tcW w:w="1879" w:type="dxa"/>
                                  <w:shd w:val="clear" w:color="auto" w:fill="E8E8E8"/>
                                </w:tcPr>
                                <w:p>
                                  <w:pPr>
                                    <w:pStyle w:val="TableParagraph"/>
                                    <w:rPr>
                                      <w:rFonts w:ascii="Times New Roman"/>
                                      <w:sz w:val="8"/>
                                    </w:rPr>
                                  </w:pPr>
                                </w:p>
                              </w:tc>
                              <w:tc>
                                <w:tcPr>
                                  <w:tcW w:w="633" w:type="dxa"/>
                                  <w:shd w:val="clear" w:color="auto" w:fill="FFFFFF"/>
                                </w:tcPr>
                                <w:p>
                                  <w:pPr>
                                    <w:pStyle w:val="TableParagraph"/>
                                    <w:rPr>
                                      <w:rFonts w:ascii="Times New Roman"/>
                                      <w:sz w:val="8"/>
                                    </w:rPr>
                                  </w:pPr>
                                </w:p>
                              </w:tc>
                              <w:tc>
                                <w:tcPr>
                                  <w:tcW w:w="633" w:type="dxa"/>
                                  <w:shd w:val="clear" w:color="auto" w:fill="FFFFFF"/>
                                </w:tcPr>
                                <w:p>
                                  <w:pPr>
                                    <w:pStyle w:val="TableParagraph"/>
                                    <w:rPr>
                                      <w:rFonts w:ascii="Times New Roman"/>
                                      <w:sz w:val="8"/>
                                    </w:rPr>
                                  </w:pPr>
                                </w:p>
                              </w:tc>
                            </w:tr>
                            <w:tr>
                              <w:trPr>
                                <w:trHeight w:val="841" w:hRule="atLeast"/>
                              </w:trPr>
                              <w:tc>
                                <w:tcPr>
                                  <w:tcW w:w="632"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101" w:right="36" w:hanging="52"/>
                                    <w:rPr>
                                      <w:rFonts w:ascii="Calibri"/>
                                      <w:b/>
                                      <w:sz w:val="8"/>
                                    </w:rPr>
                                  </w:pPr>
                                  <w:r>
                                    <w:rPr>
                                      <w:rFonts w:ascii="Calibri"/>
                                      <w:b/>
                                      <w:spacing w:val="-2"/>
                                      <w:w w:val="105"/>
                                      <w:sz w:val="8"/>
                                    </w:rPr>
                                    <w:t>IMAS-</w:t>
                                  </w:r>
                                  <w:r>
                                    <w:rPr>
                                      <w:rFonts w:ascii="Calibri"/>
                                      <w:b/>
                                      <w:spacing w:val="-2"/>
                                      <w:w w:val="105"/>
                                      <w:sz w:val="8"/>
                                    </w:rPr>
                                    <w:t>Empresas</w:t>
                                  </w:r>
                                  <w:r>
                                    <w:rPr>
                                      <w:rFonts w:ascii="Calibri"/>
                                      <w:b/>
                                      <w:spacing w:val="40"/>
                                      <w:w w:val="105"/>
                                      <w:sz w:val="8"/>
                                    </w:rPr>
                                    <w:t> </w:t>
                                  </w:r>
                                  <w:r>
                                    <w:rPr>
                                      <w:rFonts w:ascii="Calibri"/>
                                      <w:b/>
                                      <w:spacing w:val="-2"/>
                                      <w:w w:val="105"/>
                                      <w:sz w:val="8"/>
                                    </w:rPr>
                                    <w:t>Comerciales</w:t>
                                  </w:r>
                                </w:p>
                              </w:tc>
                              <w:tc>
                                <w:tcPr>
                                  <w:tcW w:w="71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201"/>
                                    <w:rPr>
                                      <w:rFonts w:ascii="Calibri"/>
                                      <w:b/>
                                      <w:sz w:val="8"/>
                                    </w:rPr>
                                  </w:pPr>
                                  <w:r>
                                    <w:rPr>
                                      <w:rFonts w:ascii="Calibri"/>
                                      <w:b/>
                                      <w:spacing w:val="-2"/>
                                      <w:sz w:val="8"/>
                                    </w:rPr>
                                    <w:t>LABORAL</w:t>
                                  </w:r>
                                </w:p>
                              </w:tc>
                              <w:tc>
                                <w:tcPr>
                                  <w:tcW w:w="105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8" w:right="7"/>
                                    <w:jc w:val="center"/>
                                    <w:rPr>
                                      <w:rFonts w:ascii="Calibri"/>
                                      <w:sz w:val="8"/>
                                    </w:rPr>
                                  </w:pPr>
                                  <w:r>
                                    <w:rPr>
                                      <w:rFonts w:ascii="Calibri"/>
                                      <w:sz w:val="8"/>
                                    </w:rPr>
                                    <w:t>17-003002-0173-</w:t>
                                  </w:r>
                                  <w:r>
                                    <w:rPr>
                                      <w:rFonts w:ascii="Calibri"/>
                                      <w:spacing w:val="-5"/>
                                      <w:sz w:val="8"/>
                                    </w:rPr>
                                    <w:t>LA</w:t>
                                  </w:r>
                                </w:p>
                              </w:tc>
                              <w:tc>
                                <w:tcPr>
                                  <w:tcW w:w="50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12" w:right="-29"/>
                                    <w:rPr>
                                      <w:rFonts w:ascii="Calibri"/>
                                      <w:sz w:val="8"/>
                                    </w:rPr>
                                  </w:pPr>
                                  <w:r>
                                    <w:rPr>
                                      <w:rFonts w:ascii="Calibri"/>
                                      <w:sz w:val="8"/>
                                    </w:rPr>
                                    <w:t>Esteban</w:t>
                                  </w:r>
                                  <w:r>
                                    <w:rPr>
                                      <w:rFonts w:ascii="Calibri"/>
                                      <w:spacing w:val="1"/>
                                      <w:sz w:val="8"/>
                                    </w:rPr>
                                    <w:t> </w:t>
                                  </w:r>
                                  <w:r>
                                    <w:rPr>
                                      <w:rFonts w:ascii="Calibri"/>
                                      <w:spacing w:val="-2"/>
                                      <w:sz w:val="8"/>
                                    </w:rPr>
                                    <w:t>Alonso</w:t>
                                  </w:r>
                                </w:p>
                              </w:tc>
                              <w:tc>
                                <w:tcPr>
                                  <w:tcW w:w="648" w:type="dxa"/>
                                  <w:shd w:val="clear" w:color="auto" w:fill="FFFFFF"/>
                                </w:tcPr>
                                <w:p>
                                  <w:pPr>
                                    <w:pStyle w:val="TableParagraph"/>
                                    <w:spacing w:before="19"/>
                                    <w:rPr>
                                      <w:sz w:val="8"/>
                                    </w:rPr>
                                  </w:pPr>
                                </w:p>
                                <w:p>
                                  <w:pPr>
                                    <w:pStyle w:val="TableParagraph"/>
                                    <w:ind w:left="99"/>
                                    <w:rPr>
                                      <w:rFonts w:ascii="Calibri"/>
                                      <w:sz w:val="8"/>
                                    </w:rPr>
                                  </w:pPr>
                                  <w:r>
                                    <w:rPr>
                                      <w:rFonts w:ascii="Calibri"/>
                                      <w:spacing w:val="-2"/>
                                      <w:sz w:val="8"/>
                                    </w:rPr>
                                    <w:t>0110090977,</w:t>
                                  </w:r>
                                </w:p>
                                <w:p>
                                  <w:pPr>
                                    <w:pStyle w:val="TableParagraph"/>
                                    <w:spacing w:before="8"/>
                                    <w:ind w:left="99"/>
                                    <w:rPr>
                                      <w:rFonts w:ascii="Calibri"/>
                                      <w:sz w:val="8"/>
                                    </w:rPr>
                                  </w:pPr>
                                  <w:r>
                                    <w:rPr>
                                      <w:rFonts w:ascii="Calibri"/>
                                      <w:spacing w:val="-2"/>
                                      <w:sz w:val="8"/>
                                    </w:rPr>
                                    <w:t>0205430570,</w:t>
                                  </w:r>
                                </w:p>
                                <w:p>
                                  <w:pPr>
                                    <w:pStyle w:val="TableParagraph"/>
                                    <w:spacing w:before="8"/>
                                    <w:ind w:left="99"/>
                                    <w:rPr>
                                      <w:rFonts w:ascii="Calibri"/>
                                      <w:sz w:val="8"/>
                                    </w:rPr>
                                  </w:pPr>
                                  <w:r>
                                    <w:rPr>
                                      <w:rFonts w:ascii="Calibri"/>
                                      <w:spacing w:val="-2"/>
                                      <w:sz w:val="8"/>
                                    </w:rPr>
                                    <w:t>0109980411,</w:t>
                                  </w:r>
                                </w:p>
                                <w:p>
                                  <w:pPr>
                                    <w:pStyle w:val="TableParagraph"/>
                                    <w:spacing w:before="8"/>
                                    <w:ind w:left="99"/>
                                    <w:rPr>
                                      <w:rFonts w:ascii="Calibri"/>
                                      <w:sz w:val="8"/>
                                    </w:rPr>
                                  </w:pPr>
                                  <w:r>
                                    <w:rPr>
                                      <w:rFonts w:ascii="Calibri"/>
                                      <w:spacing w:val="-2"/>
                                      <w:sz w:val="8"/>
                                    </w:rPr>
                                    <w:t>0206000340,</w:t>
                                  </w:r>
                                </w:p>
                                <w:p>
                                  <w:pPr>
                                    <w:pStyle w:val="TableParagraph"/>
                                    <w:spacing w:before="9"/>
                                    <w:ind w:left="84"/>
                                    <w:rPr>
                                      <w:rFonts w:ascii="Calibri"/>
                                      <w:sz w:val="8"/>
                                    </w:rPr>
                                  </w:pPr>
                                  <w:r>
                                    <w:rPr>
                                      <w:rFonts w:ascii="Calibri"/>
                                      <w:sz w:val="8"/>
                                    </w:rPr>
                                    <w:t>0109040930</w:t>
                                  </w:r>
                                  <w:r>
                                    <w:rPr>
                                      <w:rFonts w:ascii="Calibri"/>
                                      <w:spacing w:val="6"/>
                                      <w:sz w:val="8"/>
                                    </w:rPr>
                                    <w:t> </w:t>
                                  </w:r>
                                  <w:r>
                                    <w:rPr>
                                      <w:rFonts w:ascii="Calibri"/>
                                      <w:spacing w:val="-10"/>
                                      <w:sz w:val="8"/>
                                    </w:rPr>
                                    <w:t>y</w:t>
                                  </w:r>
                                </w:p>
                                <w:p>
                                  <w:pPr>
                                    <w:pStyle w:val="TableParagraph"/>
                                    <w:spacing w:before="8"/>
                                    <w:ind w:left="108"/>
                                    <w:rPr>
                                      <w:rFonts w:ascii="Calibri"/>
                                      <w:sz w:val="8"/>
                                    </w:rPr>
                                  </w:pPr>
                                  <w:r>
                                    <w:rPr>
                                      <w:rFonts w:ascii="Calibri"/>
                                      <w:spacing w:val="-2"/>
                                      <w:sz w:val="8"/>
                                    </w:rPr>
                                    <w:t>0110740735</w:t>
                                  </w:r>
                                </w:p>
                              </w:tc>
                              <w:tc>
                                <w:tcPr>
                                  <w:tcW w:w="878" w:type="dxa"/>
                                  <w:shd w:val="clear" w:color="auto" w:fill="FFFFFF"/>
                                </w:tcPr>
                                <w:p>
                                  <w:pPr>
                                    <w:pStyle w:val="TableParagraph"/>
                                    <w:rPr>
                                      <w:rFonts w:ascii="Times New Roman"/>
                                      <w:sz w:val="8"/>
                                    </w:rPr>
                                  </w:pPr>
                                </w:p>
                              </w:tc>
                              <w:tc>
                                <w:tcPr>
                                  <w:tcW w:w="108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10"/>
                                    <w:rPr>
                                      <w:sz w:val="8"/>
                                    </w:rPr>
                                  </w:pPr>
                                </w:p>
                                <w:p>
                                  <w:pPr>
                                    <w:pStyle w:val="TableParagraph"/>
                                    <w:ind w:right="12"/>
                                    <w:jc w:val="right"/>
                                    <w:rPr>
                                      <w:sz w:val="8"/>
                                    </w:rPr>
                                  </w:pPr>
                                  <w:r>
                                    <w:rPr>
                                      <w:rFonts w:ascii="Times New Roman" w:hAnsi="Times New Roman"/>
                                      <w:sz w:val="8"/>
                                    </w:rPr>
                                    <w:t>₡</w:t>
                                  </w:r>
                                  <w:r>
                                    <w:rPr>
                                      <w:sz w:val="8"/>
                                    </w:rPr>
                                    <w:t>356 </w:t>
                                  </w:r>
                                  <w:r>
                                    <w:rPr>
                                      <w:spacing w:val="-2"/>
                                      <w:sz w:val="8"/>
                                    </w:rPr>
                                    <w:t>585,03</w:t>
                                  </w:r>
                                </w:p>
                              </w:tc>
                              <w:tc>
                                <w:tcPr>
                                  <w:tcW w:w="1879"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19" w:right="27" w:firstLine="105"/>
                                    <w:rPr>
                                      <w:rFonts w:ascii="Calibri" w:hAnsi="Calibri"/>
                                      <w:sz w:val="8"/>
                                    </w:rPr>
                                  </w:pPr>
                                  <w:r>
                                    <w:rPr>
                                      <w:rFonts w:ascii="Calibri" w:hAnsi="Calibri"/>
                                      <w:sz w:val="8"/>
                                    </w:rPr>
                                    <w:t>En casación. Demanda parcialmente con lugar en</w:t>
                                  </w:r>
                                  <w:r>
                                    <w:rPr>
                                      <w:rFonts w:ascii="Calibri" w:hAnsi="Calibri"/>
                                      <w:spacing w:val="40"/>
                                      <w:sz w:val="8"/>
                                    </w:rPr>
                                    <w:t> </w:t>
                                  </w:r>
                                  <w:r>
                                    <w:rPr>
                                      <w:rFonts w:ascii="Calibri" w:hAnsi="Calibri"/>
                                      <w:sz w:val="8"/>
                                    </w:rPr>
                                    <w:t>primera</w:t>
                                  </w:r>
                                  <w:r>
                                    <w:rPr>
                                      <w:rFonts w:ascii="Calibri" w:hAnsi="Calibri"/>
                                      <w:spacing w:val="-5"/>
                                      <w:sz w:val="8"/>
                                    </w:rPr>
                                    <w:t> </w:t>
                                  </w:r>
                                  <w:r>
                                    <w:rPr>
                                      <w:rFonts w:ascii="Calibri" w:hAnsi="Calibri"/>
                                      <w:sz w:val="8"/>
                                    </w:rPr>
                                    <w:t>instancia.</w:t>
                                  </w:r>
                                  <w:r>
                                    <w:rPr>
                                      <w:rFonts w:ascii="Calibri" w:hAnsi="Calibri"/>
                                      <w:spacing w:val="-5"/>
                                      <w:sz w:val="8"/>
                                    </w:rPr>
                                    <w:t> </w:t>
                                  </w:r>
                                  <w:r>
                                    <w:rPr>
                                      <w:rFonts w:ascii="Calibri" w:hAnsi="Calibri"/>
                                      <w:sz w:val="8"/>
                                    </w:rPr>
                                    <w:t>(No</w:t>
                                  </w:r>
                                  <w:r>
                                    <w:rPr>
                                      <w:rFonts w:ascii="Calibri" w:hAnsi="Calibri"/>
                                      <w:spacing w:val="-4"/>
                                      <w:sz w:val="8"/>
                                    </w:rPr>
                                    <w:t> </w:t>
                                  </w:r>
                                  <w:r>
                                    <w:rPr>
                                      <w:rFonts w:ascii="Calibri" w:hAnsi="Calibri"/>
                                      <w:sz w:val="8"/>
                                    </w:rPr>
                                    <w:t>firme</w:t>
                                  </w:r>
                                  <w:r>
                                    <w:rPr>
                                      <w:rFonts w:ascii="Calibri" w:hAnsi="Calibri"/>
                                      <w:spacing w:val="-5"/>
                                      <w:sz w:val="8"/>
                                    </w:rPr>
                                    <w:t> </w:t>
                                  </w:r>
                                  <w:r>
                                    <w:rPr>
                                      <w:rFonts w:ascii="Calibri" w:hAnsi="Calibri"/>
                                      <w:sz w:val="8"/>
                                    </w:rPr>
                                    <w:t>IMAS</w:t>
                                  </w:r>
                                  <w:r>
                                    <w:rPr>
                                      <w:rFonts w:ascii="Calibri" w:hAnsi="Calibri"/>
                                      <w:spacing w:val="-4"/>
                                      <w:sz w:val="8"/>
                                    </w:rPr>
                                    <w:t> </w:t>
                                  </w:r>
                                  <w:r>
                                    <w:rPr>
                                      <w:rFonts w:ascii="Calibri" w:hAnsi="Calibri"/>
                                      <w:sz w:val="8"/>
                                    </w:rPr>
                                    <w:t>impugnó</w:t>
                                  </w:r>
                                  <w:r>
                                    <w:rPr>
                                      <w:rFonts w:ascii="Calibri" w:hAnsi="Calibri"/>
                                      <w:spacing w:val="-5"/>
                                      <w:sz w:val="8"/>
                                    </w:rPr>
                                    <w:t> </w:t>
                                  </w:r>
                                  <w:r>
                                    <w:rPr>
                                      <w:rFonts w:ascii="Calibri" w:hAnsi="Calibri"/>
                                      <w:sz w:val="8"/>
                                    </w:rPr>
                                    <w:t>la</w:t>
                                  </w:r>
                                  <w:r>
                                    <w:rPr>
                                      <w:rFonts w:ascii="Calibri" w:hAnsi="Calibri"/>
                                      <w:spacing w:val="-4"/>
                                      <w:sz w:val="8"/>
                                    </w:rPr>
                                    <w:t> </w:t>
                                  </w:r>
                                  <w:r>
                                    <w:rPr>
                                      <w:rFonts w:ascii="Calibri" w:hAnsi="Calibri"/>
                                      <w:sz w:val="8"/>
                                    </w:rPr>
                                    <w:t>sentencia)</w:t>
                                  </w:r>
                                </w:p>
                              </w:tc>
                              <w:tc>
                                <w:tcPr>
                                  <w:tcW w:w="633"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232" w:hanging="176"/>
                                    <w:rPr>
                                      <w:rFonts w:ascii="Calibri"/>
                                      <w:sz w:val="8"/>
                                    </w:rPr>
                                  </w:pPr>
                                  <w:r>
                                    <w:rPr>
                                      <w:rFonts w:ascii="Calibri"/>
                                      <w:spacing w:val="-2"/>
                                      <w:sz w:val="8"/>
                                    </w:rPr>
                                    <w:t>Provisionado</w:t>
                                  </w:r>
                                  <w:r>
                                    <w:rPr>
                                      <w:rFonts w:ascii="Calibri"/>
                                      <w:spacing w:val="-3"/>
                                      <w:sz w:val="8"/>
                                    </w:rPr>
                                    <w:t> </w:t>
                                  </w:r>
                                  <w:r>
                                    <w:rPr>
                                      <w:rFonts w:ascii="Calibri"/>
                                      <w:spacing w:val="-2"/>
                                      <w:sz w:val="8"/>
                                    </w:rPr>
                                    <w:t>el</w:t>
                                  </w:r>
                                  <w:r>
                                    <w:rPr>
                                      <w:rFonts w:ascii="Calibri"/>
                                      <w:spacing w:val="40"/>
                                      <w:sz w:val="8"/>
                                    </w:rPr>
                                    <w:t> </w:t>
                                  </w:r>
                                  <w:r>
                                    <w:rPr>
                                      <w:rFonts w:ascii="Calibri"/>
                                      <w:spacing w:val="-4"/>
                                      <w:sz w:val="8"/>
                                    </w:rPr>
                                    <w:t>70%</w:t>
                                  </w:r>
                                </w:p>
                              </w:tc>
                              <w:tc>
                                <w:tcPr>
                                  <w:tcW w:w="633" w:type="dxa"/>
                                  <w:shd w:val="clear" w:color="auto" w:fill="FFFFFF"/>
                                </w:tcPr>
                                <w:p>
                                  <w:pPr>
                                    <w:pStyle w:val="TableParagraph"/>
                                    <w:spacing w:before="70"/>
                                    <w:rPr>
                                      <w:sz w:val="8"/>
                                    </w:rPr>
                                  </w:pPr>
                                </w:p>
                                <w:p>
                                  <w:pPr>
                                    <w:pStyle w:val="TableParagraph"/>
                                    <w:spacing w:line="259" w:lineRule="auto"/>
                                    <w:ind w:right="11"/>
                                    <w:jc w:val="center"/>
                                    <w:rPr>
                                      <w:rFonts w:ascii="Calibri" w:hAnsi="Calibri"/>
                                      <w:sz w:val="8"/>
                                    </w:rPr>
                                  </w:pPr>
                                  <w:r>
                                    <w:rPr>
                                      <w:rFonts w:ascii="Calibri" w:hAnsi="Calibri"/>
                                      <w:sz w:val="8"/>
                                    </w:rPr>
                                    <w:t>Con</w:t>
                                  </w:r>
                                  <w:r>
                                    <w:rPr>
                                      <w:rFonts w:ascii="Calibri" w:hAnsi="Calibri"/>
                                      <w:spacing w:val="-5"/>
                                      <w:sz w:val="8"/>
                                    </w:rPr>
                                    <w:t> </w:t>
                                  </w:r>
                                  <w:r>
                                    <w:rPr>
                                      <w:rFonts w:ascii="Calibri" w:hAnsi="Calibri"/>
                                      <w:sz w:val="8"/>
                                    </w:rPr>
                                    <w:t>un</w:t>
                                  </w:r>
                                  <w:r>
                                    <w:rPr>
                                      <w:rFonts w:ascii="Calibri" w:hAnsi="Calibri"/>
                                      <w:spacing w:val="-5"/>
                                      <w:sz w:val="8"/>
                                    </w:rPr>
                                    <w:t> </w:t>
                                  </w:r>
                                  <w:r>
                                    <w:rPr>
                                      <w:rFonts w:ascii="Calibri" w:hAnsi="Calibri"/>
                                      <w:sz w:val="8"/>
                                    </w:rPr>
                                    <w:t>grado</w:t>
                                  </w:r>
                                  <w:r>
                                    <w:rPr>
                                      <w:rFonts w:ascii="Calibri" w:hAnsi="Calibri"/>
                                      <w:spacing w:val="-4"/>
                                      <w:sz w:val="8"/>
                                    </w:rPr>
                                    <w:t> </w:t>
                                  </w:r>
                                  <w:r>
                                    <w:rPr>
                                      <w:rFonts w:ascii="Calibri" w:hAnsi="Calibri"/>
                                      <w:sz w:val="8"/>
                                    </w:rPr>
                                    <w:t>de</w:t>
                                  </w:r>
                                  <w:r>
                                    <w:rPr>
                                      <w:rFonts w:ascii="Calibri" w:hAnsi="Calibri"/>
                                      <w:spacing w:val="40"/>
                                      <w:sz w:val="8"/>
                                    </w:rPr>
                                    <w:t> </w:t>
                                  </w:r>
                                  <w:r>
                                    <w:rPr>
                                      <w:rFonts w:ascii="Calibri" w:hAnsi="Calibri"/>
                                      <w:spacing w:val="-2"/>
                                      <w:sz w:val="8"/>
                                    </w:rPr>
                                    <w:t>probabilidad</w:t>
                                  </w:r>
                                  <w:r>
                                    <w:rPr>
                                      <w:rFonts w:ascii="Calibri" w:hAnsi="Calibri"/>
                                      <w:spacing w:val="40"/>
                                      <w:sz w:val="8"/>
                                    </w:rPr>
                                    <w:t> </w:t>
                                  </w:r>
                                  <w:r>
                                    <w:rPr>
                                      <w:rFonts w:ascii="Calibri" w:hAnsi="Calibri"/>
                                      <w:sz w:val="8"/>
                                    </w:rPr>
                                    <w:t>razonable</w:t>
                                  </w:r>
                                  <w:r>
                                    <w:rPr>
                                      <w:rFonts w:ascii="Calibri" w:hAnsi="Calibri"/>
                                      <w:spacing w:val="-5"/>
                                      <w:sz w:val="8"/>
                                    </w:rPr>
                                    <w:t> </w:t>
                                  </w:r>
                                  <w:r>
                                    <w:rPr>
                                      <w:rFonts w:ascii="Calibri" w:hAnsi="Calibri"/>
                                      <w:sz w:val="8"/>
                                    </w:rPr>
                                    <w:t>no</w:t>
                                  </w:r>
                                  <w:r>
                                    <w:rPr>
                                      <w:rFonts w:ascii="Calibri" w:hAnsi="Calibri"/>
                                      <w:spacing w:val="-5"/>
                                      <w:sz w:val="8"/>
                                    </w:rPr>
                                    <w:t> </w:t>
                                  </w:r>
                                  <w:r>
                                    <w:rPr>
                                      <w:rFonts w:ascii="Calibri" w:hAnsi="Calibri"/>
                                      <w:sz w:val="8"/>
                                    </w:rPr>
                                    <w:t>se</w:t>
                                  </w:r>
                                  <w:r>
                                    <w:rPr>
                                      <w:rFonts w:ascii="Calibri" w:hAnsi="Calibri"/>
                                      <w:spacing w:val="40"/>
                                      <w:sz w:val="8"/>
                                    </w:rPr>
                                    <w:t> </w:t>
                                  </w:r>
                                  <w:r>
                                    <w:rPr>
                                      <w:rFonts w:ascii="Calibri" w:hAnsi="Calibri"/>
                                      <w:sz w:val="8"/>
                                    </w:rPr>
                                    <w:t>realizará</w:t>
                                  </w:r>
                                  <w:r>
                                    <w:rPr>
                                      <w:rFonts w:ascii="Calibri" w:hAnsi="Calibri"/>
                                      <w:spacing w:val="-5"/>
                                      <w:sz w:val="8"/>
                                    </w:rPr>
                                    <w:t> </w:t>
                                  </w:r>
                                  <w:r>
                                    <w:rPr>
                                      <w:rFonts w:ascii="Calibri" w:hAnsi="Calibri"/>
                                      <w:sz w:val="8"/>
                                    </w:rPr>
                                    <w:t>arreglo</w:t>
                                  </w:r>
                                  <w:r>
                                    <w:rPr>
                                      <w:rFonts w:ascii="Calibri" w:hAnsi="Calibri"/>
                                      <w:spacing w:val="40"/>
                                      <w:sz w:val="8"/>
                                    </w:rPr>
                                    <w:t> </w:t>
                                  </w:r>
                                  <w:r>
                                    <w:rPr>
                                      <w:rFonts w:ascii="Calibri" w:hAnsi="Calibri"/>
                                      <w:spacing w:val="-2"/>
                                      <w:sz w:val="8"/>
                                    </w:rPr>
                                    <w:t>extrajudicial.</w:t>
                                  </w:r>
                                </w:p>
                              </w:tc>
                            </w:tr>
                            <w:tr>
                              <w:trPr>
                                <w:trHeight w:val="2372" w:hRule="atLeast"/>
                              </w:trPr>
                              <w:tc>
                                <w:tcPr>
                                  <w:tcW w:w="632"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83"/>
                                    <w:rPr>
                                      <w:sz w:val="8"/>
                                    </w:rPr>
                                  </w:pPr>
                                </w:p>
                                <w:p>
                                  <w:pPr>
                                    <w:pStyle w:val="TableParagraph"/>
                                    <w:spacing w:line="259" w:lineRule="auto"/>
                                    <w:ind w:left="101" w:right="36" w:hanging="52"/>
                                    <w:rPr>
                                      <w:rFonts w:ascii="Calibri"/>
                                      <w:b/>
                                      <w:sz w:val="8"/>
                                    </w:rPr>
                                  </w:pPr>
                                  <w:r>
                                    <w:rPr>
                                      <w:rFonts w:ascii="Calibri"/>
                                      <w:b/>
                                      <w:spacing w:val="-2"/>
                                      <w:w w:val="105"/>
                                      <w:sz w:val="8"/>
                                    </w:rPr>
                                    <w:t>IMAS-</w:t>
                                  </w:r>
                                  <w:r>
                                    <w:rPr>
                                      <w:rFonts w:ascii="Calibri"/>
                                      <w:b/>
                                      <w:spacing w:val="-2"/>
                                      <w:w w:val="105"/>
                                      <w:sz w:val="8"/>
                                    </w:rPr>
                                    <w:t>Empresas</w:t>
                                  </w:r>
                                  <w:r>
                                    <w:rPr>
                                      <w:rFonts w:ascii="Calibri"/>
                                      <w:b/>
                                      <w:spacing w:val="40"/>
                                      <w:w w:val="105"/>
                                      <w:sz w:val="8"/>
                                    </w:rPr>
                                    <w:t> </w:t>
                                  </w:r>
                                  <w:r>
                                    <w:rPr>
                                      <w:rFonts w:ascii="Calibri"/>
                                      <w:b/>
                                      <w:spacing w:val="-2"/>
                                      <w:w w:val="105"/>
                                      <w:sz w:val="8"/>
                                    </w:rPr>
                                    <w:t>Comerciales</w:t>
                                  </w:r>
                                </w:p>
                              </w:tc>
                              <w:tc>
                                <w:tcPr>
                                  <w:tcW w:w="71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29"/>
                                    <w:rPr>
                                      <w:sz w:val="8"/>
                                    </w:rPr>
                                  </w:pPr>
                                </w:p>
                                <w:p>
                                  <w:pPr>
                                    <w:pStyle w:val="TableParagraph"/>
                                    <w:spacing w:line="259" w:lineRule="auto"/>
                                    <w:ind w:left="34" w:right="31"/>
                                    <w:jc w:val="center"/>
                                    <w:rPr>
                                      <w:rFonts w:ascii="Calibri" w:hAnsi="Calibri"/>
                                      <w:b/>
                                      <w:sz w:val="8"/>
                                    </w:rPr>
                                  </w:pPr>
                                  <w:r>
                                    <w:rPr>
                                      <w:rFonts w:ascii="Calibri" w:hAnsi="Calibri"/>
                                      <w:b/>
                                      <w:spacing w:val="-2"/>
                                      <w:w w:val="105"/>
                                      <w:sz w:val="8"/>
                                    </w:rPr>
                                    <w:t>EJECUCIÓN</w:t>
                                  </w:r>
                                  <w:r>
                                    <w:rPr>
                                      <w:rFonts w:ascii="Calibri" w:hAnsi="Calibri"/>
                                      <w:b/>
                                      <w:spacing w:val="-6"/>
                                      <w:w w:val="105"/>
                                      <w:sz w:val="8"/>
                                    </w:rPr>
                                    <w:t> </w:t>
                                  </w:r>
                                  <w:r>
                                    <w:rPr>
                                      <w:rFonts w:ascii="Calibri" w:hAnsi="Calibri"/>
                                      <w:b/>
                                      <w:spacing w:val="-2"/>
                                      <w:w w:val="105"/>
                                      <w:sz w:val="8"/>
                                    </w:rPr>
                                    <w:t>DE</w:t>
                                  </w:r>
                                  <w:r>
                                    <w:rPr>
                                      <w:rFonts w:ascii="Calibri" w:hAnsi="Calibri"/>
                                      <w:b/>
                                      <w:spacing w:val="40"/>
                                      <w:w w:val="105"/>
                                      <w:sz w:val="8"/>
                                    </w:rPr>
                                    <w:t> </w:t>
                                  </w:r>
                                  <w:r>
                                    <w:rPr>
                                      <w:rFonts w:ascii="Calibri" w:hAnsi="Calibri"/>
                                      <w:b/>
                                      <w:spacing w:val="-2"/>
                                      <w:w w:val="105"/>
                                      <w:sz w:val="8"/>
                                    </w:rPr>
                                    <w:t>SENTENCIA</w:t>
                                  </w:r>
                                  <w:r>
                                    <w:rPr>
                                      <w:rFonts w:ascii="Calibri" w:hAnsi="Calibri"/>
                                      <w:b/>
                                      <w:spacing w:val="40"/>
                                      <w:w w:val="105"/>
                                      <w:sz w:val="8"/>
                                    </w:rPr>
                                    <w:t> </w:t>
                                  </w:r>
                                  <w:r>
                                    <w:rPr>
                                      <w:rFonts w:ascii="Calibri" w:hAnsi="Calibri"/>
                                      <w:b/>
                                      <w:spacing w:val="-2"/>
                                      <w:w w:val="105"/>
                                      <w:sz w:val="8"/>
                                    </w:rPr>
                                    <w:t>LABORAL</w:t>
                                  </w:r>
                                </w:p>
                              </w:tc>
                              <w:tc>
                                <w:tcPr>
                                  <w:tcW w:w="105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3"/>
                                    <w:rPr>
                                      <w:sz w:val="8"/>
                                    </w:rPr>
                                  </w:pPr>
                                </w:p>
                                <w:p>
                                  <w:pPr>
                                    <w:pStyle w:val="TableParagraph"/>
                                    <w:spacing w:before="1"/>
                                    <w:ind w:left="8" w:right="7"/>
                                    <w:jc w:val="center"/>
                                    <w:rPr>
                                      <w:rFonts w:ascii="Calibri"/>
                                      <w:sz w:val="8"/>
                                    </w:rPr>
                                  </w:pPr>
                                  <w:r>
                                    <w:rPr>
                                      <w:rFonts w:ascii="Calibri"/>
                                      <w:sz w:val="8"/>
                                    </w:rPr>
                                    <w:t>16-000070-0639-</w:t>
                                  </w:r>
                                  <w:r>
                                    <w:rPr>
                                      <w:rFonts w:ascii="Calibri"/>
                                      <w:spacing w:val="-5"/>
                                      <w:sz w:val="8"/>
                                    </w:rPr>
                                    <w:t>LA</w:t>
                                  </w:r>
                                </w:p>
                              </w:tc>
                              <w:tc>
                                <w:tcPr>
                                  <w:tcW w:w="509" w:type="dxa"/>
                                  <w:shd w:val="clear" w:color="auto" w:fill="FFFFFF"/>
                                </w:tcPr>
                                <w:p>
                                  <w:pPr>
                                    <w:pStyle w:val="TableParagraph"/>
                                    <w:spacing w:line="75" w:lineRule="exact"/>
                                    <w:ind w:left="12"/>
                                    <w:rPr>
                                      <w:rFonts w:ascii="Calibri" w:hAnsi="Calibri"/>
                                      <w:sz w:val="8"/>
                                    </w:rPr>
                                  </w:pPr>
                                  <w:r>
                                    <w:rPr>
                                      <w:rFonts w:ascii="Calibri" w:hAnsi="Calibri"/>
                                      <w:spacing w:val="-2"/>
                                      <w:sz w:val="8"/>
                                    </w:rPr>
                                    <w:t>ADRIÁN</w:t>
                                  </w:r>
                                </w:p>
                                <w:p>
                                  <w:pPr>
                                    <w:pStyle w:val="TableParagraph"/>
                                    <w:spacing w:line="259" w:lineRule="auto" w:before="8"/>
                                    <w:ind w:left="12" w:right="19"/>
                                    <w:rPr>
                                      <w:rFonts w:ascii="Calibri" w:hAnsi="Calibri"/>
                                      <w:sz w:val="8"/>
                                    </w:rPr>
                                  </w:pPr>
                                  <w:r>
                                    <w:rPr>
                                      <w:rFonts w:ascii="Calibri" w:hAnsi="Calibri"/>
                                      <w:spacing w:val="-2"/>
                                      <w:sz w:val="8"/>
                                    </w:rPr>
                                    <w:t>FRANCISCO</w:t>
                                  </w:r>
                                  <w:r>
                                    <w:rPr>
                                      <w:rFonts w:ascii="Calibri" w:hAnsi="Calibri"/>
                                      <w:spacing w:val="40"/>
                                      <w:sz w:val="8"/>
                                    </w:rPr>
                                    <w:t> </w:t>
                                  </w:r>
                                  <w:r>
                                    <w:rPr>
                                      <w:rFonts w:ascii="Calibri" w:hAnsi="Calibri"/>
                                      <w:spacing w:val="-2"/>
                                      <w:sz w:val="8"/>
                                    </w:rPr>
                                    <w:t>CASTRO</w:t>
                                  </w:r>
                                  <w:r>
                                    <w:rPr>
                                      <w:rFonts w:ascii="Calibri" w:hAnsi="Calibri"/>
                                      <w:spacing w:val="40"/>
                                      <w:sz w:val="8"/>
                                    </w:rPr>
                                    <w:t> </w:t>
                                  </w:r>
                                  <w:r>
                                    <w:rPr>
                                      <w:rFonts w:ascii="Calibri" w:hAnsi="Calibri"/>
                                      <w:spacing w:val="-2"/>
                                      <w:sz w:val="8"/>
                                    </w:rPr>
                                    <w:t>CORDERO,</w:t>
                                  </w:r>
                                  <w:r>
                                    <w:rPr>
                                      <w:rFonts w:ascii="Calibri" w:hAnsi="Calibri"/>
                                      <w:spacing w:val="40"/>
                                      <w:sz w:val="8"/>
                                    </w:rPr>
                                    <w:t> </w:t>
                                  </w:r>
                                  <w:r>
                                    <w:rPr>
                                      <w:rFonts w:ascii="Calibri" w:hAnsi="Calibri"/>
                                      <w:spacing w:val="-2"/>
                                      <w:sz w:val="8"/>
                                    </w:rPr>
                                    <w:t>ALBERTO</w:t>
                                  </w:r>
                                  <w:r>
                                    <w:rPr>
                                      <w:rFonts w:ascii="Calibri" w:hAnsi="Calibri"/>
                                      <w:spacing w:val="40"/>
                                      <w:sz w:val="8"/>
                                    </w:rPr>
                                    <w:t> </w:t>
                                  </w:r>
                                  <w:r>
                                    <w:rPr>
                                      <w:rFonts w:ascii="Calibri" w:hAnsi="Calibri"/>
                                      <w:spacing w:val="-2"/>
                                      <w:sz w:val="8"/>
                                    </w:rPr>
                                    <w:t>HERNÁNDEZ</w:t>
                                  </w:r>
                                  <w:r>
                                    <w:rPr>
                                      <w:rFonts w:ascii="Calibri" w:hAnsi="Calibri"/>
                                      <w:spacing w:val="40"/>
                                      <w:sz w:val="8"/>
                                    </w:rPr>
                                    <w:t> </w:t>
                                  </w:r>
                                  <w:r>
                                    <w:rPr>
                                      <w:rFonts w:ascii="Calibri" w:hAnsi="Calibri"/>
                                      <w:spacing w:val="-2"/>
                                      <w:sz w:val="8"/>
                                    </w:rPr>
                                    <w:t>MONGE,</w:t>
                                  </w:r>
                                  <w:r>
                                    <w:rPr>
                                      <w:rFonts w:ascii="Calibri" w:hAnsi="Calibri"/>
                                      <w:spacing w:val="40"/>
                                      <w:sz w:val="8"/>
                                    </w:rPr>
                                    <w:t> </w:t>
                                  </w:r>
                                  <w:r>
                                    <w:rPr>
                                      <w:rFonts w:ascii="Calibri" w:hAnsi="Calibri"/>
                                      <w:spacing w:val="-2"/>
                                      <w:sz w:val="8"/>
                                    </w:rPr>
                                    <w:t>ALEXANDER</w:t>
                                  </w:r>
                                  <w:r>
                                    <w:rPr>
                                      <w:rFonts w:ascii="Calibri" w:hAnsi="Calibri"/>
                                      <w:spacing w:val="40"/>
                                      <w:sz w:val="8"/>
                                    </w:rPr>
                                    <w:t> </w:t>
                                  </w:r>
                                  <w:r>
                                    <w:rPr>
                                      <w:rFonts w:ascii="Calibri" w:hAnsi="Calibri"/>
                                      <w:spacing w:val="-2"/>
                                      <w:sz w:val="8"/>
                                    </w:rPr>
                                    <w:t>HERRERA</w:t>
                                  </w:r>
                                  <w:r>
                                    <w:rPr>
                                      <w:rFonts w:ascii="Calibri" w:hAnsi="Calibri"/>
                                      <w:spacing w:val="40"/>
                                      <w:sz w:val="8"/>
                                    </w:rPr>
                                    <w:t> </w:t>
                                  </w:r>
                                  <w:r>
                                    <w:rPr>
                                      <w:rFonts w:ascii="Calibri" w:hAnsi="Calibri"/>
                                      <w:sz w:val="8"/>
                                    </w:rPr>
                                    <w:t>ARROYO, </w:t>
                                  </w:r>
                                  <w:r>
                                    <w:rPr>
                                      <w:rFonts w:ascii="Calibri" w:hAnsi="Calibri"/>
                                      <w:sz w:val="8"/>
                                    </w:rPr>
                                    <w:t>ANA</w:t>
                                  </w:r>
                                  <w:r>
                                    <w:rPr>
                                      <w:rFonts w:ascii="Calibri" w:hAnsi="Calibri"/>
                                      <w:spacing w:val="40"/>
                                      <w:sz w:val="8"/>
                                    </w:rPr>
                                    <w:t> </w:t>
                                  </w:r>
                                  <w:r>
                                    <w:rPr>
                                      <w:rFonts w:ascii="Calibri" w:hAnsi="Calibri"/>
                                      <w:spacing w:val="-2"/>
                                      <w:sz w:val="8"/>
                                    </w:rPr>
                                    <w:t>LUCÍA</w:t>
                                  </w:r>
                                  <w:r>
                                    <w:rPr>
                                      <w:rFonts w:ascii="Calibri" w:hAnsi="Calibri"/>
                                      <w:spacing w:val="80"/>
                                      <w:sz w:val="8"/>
                                    </w:rPr>
                                    <w:t> </w:t>
                                  </w:r>
                                  <w:r>
                                    <w:rPr>
                                      <w:rFonts w:ascii="Calibri" w:hAnsi="Calibri"/>
                                      <w:spacing w:val="-2"/>
                                      <w:sz w:val="8"/>
                                    </w:rPr>
                                    <w:t>VARGAS</w:t>
                                  </w:r>
                                  <w:r>
                                    <w:rPr>
                                      <w:rFonts w:ascii="Calibri" w:hAnsi="Calibri"/>
                                      <w:spacing w:val="40"/>
                                      <w:sz w:val="8"/>
                                    </w:rPr>
                                    <w:t> </w:t>
                                  </w:r>
                                  <w:r>
                                    <w:rPr>
                                      <w:rFonts w:ascii="Calibri" w:hAnsi="Calibri"/>
                                      <w:spacing w:val="-2"/>
                                      <w:sz w:val="8"/>
                                    </w:rPr>
                                    <w:t>DELGADO,</w:t>
                                  </w:r>
                                  <w:r>
                                    <w:rPr>
                                      <w:rFonts w:ascii="Calibri" w:hAnsi="Calibri"/>
                                      <w:spacing w:val="40"/>
                                      <w:sz w:val="8"/>
                                    </w:rPr>
                                    <w:t> </w:t>
                                  </w:r>
                                  <w:r>
                                    <w:rPr>
                                      <w:rFonts w:ascii="Calibri" w:hAnsi="Calibri"/>
                                      <w:spacing w:val="-2"/>
                                      <w:sz w:val="8"/>
                                    </w:rPr>
                                    <w:t>CARLOS</w:t>
                                  </w:r>
                                  <w:r>
                                    <w:rPr>
                                      <w:rFonts w:ascii="Calibri" w:hAnsi="Calibri"/>
                                      <w:spacing w:val="40"/>
                                      <w:sz w:val="8"/>
                                    </w:rPr>
                                    <w:t> </w:t>
                                  </w:r>
                                  <w:r>
                                    <w:rPr>
                                      <w:rFonts w:ascii="Calibri" w:hAnsi="Calibri"/>
                                      <w:spacing w:val="-2"/>
                                      <w:sz w:val="8"/>
                                    </w:rPr>
                                    <w:t>ALBERTO</w:t>
                                  </w:r>
                                  <w:r>
                                    <w:rPr>
                                      <w:rFonts w:ascii="Calibri" w:hAnsi="Calibri"/>
                                      <w:spacing w:val="40"/>
                                      <w:sz w:val="8"/>
                                    </w:rPr>
                                    <w:t> </w:t>
                                  </w:r>
                                  <w:r>
                                    <w:rPr>
                                      <w:rFonts w:ascii="Calibri" w:hAnsi="Calibri"/>
                                      <w:sz w:val="8"/>
                                    </w:rPr>
                                    <w:t>RETANA</w:t>
                                  </w:r>
                                  <w:r>
                                    <w:rPr>
                                      <w:rFonts w:ascii="Calibri" w:hAnsi="Calibri"/>
                                      <w:spacing w:val="-5"/>
                                      <w:sz w:val="8"/>
                                    </w:rPr>
                                    <w:t> </w:t>
                                  </w:r>
                                  <w:r>
                                    <w:rPr>
                                      <w:rFonts w:ascii="Calibri" w:hAnsi="Calibri"/>
                                      <w:sz w:val="8"/>
                                    </w:rPr>
                                    <w:t>GAP,</w:t>
                                  </w:r>
                                  <w:r>
                                    <w:rPr>
                                      <w:rFonts w:ascii="Calibri" w:hAnsi="Calibri"/>
                                      <w:spacing w:val="40"/>
                                      <w:sz w:val="8"/>
                                    </w:rPr>
                                    <w:t> </w:t>
                                  </w:r>
                                  <w:r>
                                    <w:rPr>
                                      <w:rFonts w:ascii="Calibri" w:hAnsi="Calibri"/>
                                      <w:spacing w:val="-2"/>
                                      <w:sz w:val="8"/>
                                    </w:rPr>
                                    <w:t>CARLOS</w:t>
                                  </w:r>
                                  <w:r>
                                    <w:rPr>
                                      <w:rFonts w:ascii="Calibri" w:hAnsi="Calibri"/>
                                      <w:spacing w:val="40"/>
                                      <w:sz w:val="8"/>
                                    </w:rPr>
                                    <w:t> </w:t>
                                  </w:r>
                                  <w:r>
                                    <w:rPr>
                                      <w:rFonts w:ascii="Calibri" w:hAnsi="Calibri"/>
                                      <w:spacing w:val="-2"/>
                                      <w:sz w:val="8"/>
                                    </w:rPr>
                                    <w:t>EDUARDO</w:t>
                                  </w:r>
                                  <w:r>
                                    <w:rPr>
                                      <w:rFonts w:ascii="Calibri" w:hAnsi="Calibri"/>
                                      <w:spacing w:val="40"/>
                                      <w:sz w:val="8"/>
                                    </w:rPr>
                                    <w:t> </w:t>
                                  </w:r>
                                  <w:r>
                                    <w:rPr>
                                      <w:rFonts w:ascii="Calibri" w:hAnsi="Calibri"/>
                                      <w:spacing w:val="-2"/>
                                      <w:sz w:val="8"/>
                                    </w:rPr>
                                    <w:t>QUESADA</w:t>
                                  </w:r>
                                  <w:r>
                                    <w:rPr>
                                      <w:rFonts w:ascii="Calibri" w:hAnsi="Calibri"/>
                                      <w:spacing w:val="40"/>
                                      <w:sz w:val="8"/>
                                    </w:rPr>
                                    <w:t> </w:t>
                                  </w:r>
                                  <w:r>
                                    <w:rPr>
                                      <w:rFonts w:ascii="Calibri" w:hAnsi="Calibri"/>
                                      <w:spacing w:val="-2"/>
                                      <w:sz w:val="8"/>
                                    </w:rPr>
                                    <w:t>ULLOA,</w:t>
                                  </w:r>
                                  <w:r>
                                    <w:rPr>
                                      <w:rFonts w:ascii="Calibri" w:hAnsi="Calibri"/>
                                      <w:spacing w:val="40"/>
                                      <w:sz w:val="8"/>
                                    </w:rPr>
                                    <w:t> </w:t>
                                  </w:r>
                                  <w:r>
                                    <w:rPr>
                                      <w:rFonts w:ascii="Calibri" w:hAnsi="Calibri"/>
                                      <w:spacing w:val="-2"/>
                                      <w:sz w:val="8"/>
                                    </w:rPr>
                                    <w:t>CARMEN</w:t>
                                  </w:r>
                                </w:p>
                                <w:p>
                                  <w:pPr>
                                    <w:pStyle w:val="TableParagraph"/>
                                    <w:spacing w:line="100" w:lineRule="atLeast"/>
                                    <w:ind w:left="12" w:right="208"/>
                                    <w:rPr>
                                      <w:rFonts w:ascii="Calibri" w:hAnsi="Calibri"/>
                                      <w:sz w:val="8"/>
                                    </w:rPr>
                                  </w:pPr>
                                  <w:r>
                                    <w:rPr>
                                      <w:rFonts w:ascii="Calibri" w:hAnsi="Calibri"/>
                                      <w:spacing w:val="-2"/>
                                      <w:sz w:val="8"/>
                                    </w:rPr>
                                    <w:t>VIRGINA</w:t>
                                  </w:r>
                                  <w:r>
                                    <w:rPr>
                                      <w:rFonts w:ascii="Calibri" w:hAnsi="Calibri"/>
                                      <w:spacing w:val="40"/>
                                      <w:sz w:val="8"/>
                                    </w:rPr>
                                    <w:t> </w:t>
                                  </w:r>
                                  <w:r>
                                    <w:rPr>
                                      <w:rFonts w:ascii="Calibri" w:hAnsi="Calibri"/>
                                      <w:spacing w:val="-2"/>
                                      <w:sz w:val="8"/>
                                    </w:rPr>
                                    <w:t>LORÍA</w:t>
                                  </w:r>
                                </w:p>
                              </w:tc>
                              <w:tc>
                                <w:tcPr>
                                  <w:tcW w:w="648" w:type="dxa"/>
                                  <w:shd w:val="clear" w:color="auto" w:fill="FFFFFF"/>
                                </w:tcPr>
                                <w:p>
                                  <w:pPr>
                                    <w:pStyle w:val="TableParagraph"/>
                                    <w:rPr>
                                      <w:sz w:val="8"/>
                                    </w:rPr>
                                  </w:pPr>
                                </w:p>
                                <w:p>
                                  <w:pPr>
                                    <w:pStyle w:val="TableParagraph"/>
                                    <w:spacing w:before="58"/>
                                    <w:rPr>
                                      <w:sz w:val="8"/>
                                    </w:rPr>
                                  </w:pPr>
                                </w:p>
                                <w:p>
                                  <w:pPr>
                                    <w:pStyle w:val="TableParagraph"/>
                                    <w:ind w:left="11" w:right="-15"/>
                                    <w:jc w:val="center"/>
                                    <w:rPr>
                                      <w:rFonts w:ascii="Calibri"/>
                                      <w:sz w:val="8"/>
                                    </w:rPr>
                                  </w:pPr>
                                  <w:r>
                                    <w:rPr>
                                      <w:rFonts w:ascii="Calibri"/>
                                      <w:sz w:val="8"/>
                                    </w:rPr>
                                    <w:t>1-1372-539,</w:t>
                                  </w:r>
                                  <w:r>
                                    <w:rPr>
                                      <w:rFonts w:ascii="Calibri"/>
                                      <w:spacing w:val="3"/>
                                      <w:sz w:val="8"/>
                                    </w:rPr>
                                    <w:t> </w:t>
                                  </w:r>
                                  <w:r>
                                    <w:rPr>
                                      <w:rFonts w:ascii="Calibri"/>
                                      <w:sz w:val="8"/>
                                    </w:rPr>
                                    <w:t>4-</w:t>
                                  </w:r>
                                  <w:r>
                                    <w:rPr>
                                      <w:rFonts w:ascii="Calibri"/>
                                      <w:spacing w:val="-4"/>
                                      <w:sz w:val="8"/>
                                    </w:rPr>
                                    <w:t>203-</w:t>
                                  </w:r>
                                </w:p>
                                <w:p>
                                  <w:pPr>
                                    <w:pStyle w:val="TableParagraph"/>
                                    <w:spacing w:before="8"/>
                                    <w:ind w:left="20" w:right="-15"/>
                                    <w:jc w:val="center"/>
                                    <w:rPr>
                                      <w:rFonts w:ascii="Calibri"/>
                                      <w:sz w:val="8"/>
                                    </w:rPr>
                                  </w:pPr>
                                  <w:r>
                                    <w:rPr>
                                      <w:rFonts w:ascii="Calibri"/>
                                      <w:sz w:val="8"/>
                                    </w:rPr>
                                    <w:t>778,</w:t>
                                  </w:r>
                                  <w:r>
                                    <w:rPr>
                                      <w:rFonts w:ascii="Calibri"/>
                                      <w:spacing w:val="18"/>
                                      <w:sz w:val="8"/>
                                    </w:rPr>
                                    <w:t> </w:t>
                                  </w:r>
                                  <w:r>
                                    <w:rPr>
                                      <w:rFonts w:ascii="Calibri"/>
                                      <w:sz w:val="8"/>
                                    </w:rPr>
                                    <w:t>2-592-582, </w:t>
                                  </w:r>
                                  <w:r>
                                    <w:rPr>
                                      <w:rFonts w:ascii="Calibri"/>
                                      <w:spacing w:val="-5"/>
                                      <w:sz w:val="8"/>
                                    </w:rPr>
                                    <w:t>4-</w:t>
                                  </w:r>
                                </w:p>
                                <w:p>
                                  <w:pPr>
                                    <w:pStyle w:val="TableParagraph"/>
                                    <w:spacing w:before="8"/>
                                    <w:jc w:val="center"/>
                                    <w:rPr>
                                      <w:rFonts w:ascii="Calibri"/>
                                      <w:sz w:val="8"/>
                                    </w:rPr>
                                  </w:pPr>
                                  <w:r>
                                    <w:rPr>
                                      <w:rFonts w:ascii="Calibri"/>
                                      <w:sz w:val="8"/>
                                    </w:rPr>
                                    <w:t>186-859,</w:t>
                                  </w:r>
                                  <w:r>
                                    <w:rPr>
                                      <w:rFonts w:ascii="Calibri"/>
                                      <w:spacing w:val="2"/>
                                      <w:sz w:val="8"/>
                                    </w:rPr>
                                    <w:t> </w:t>
                                  </w:r>
                                  <w:r>
                                    <w:rPr>
                                      <w:rFonts w:ascii="Calibri"/>
                                      <w:sz w:val="8"/>
                                    </w:rPr>
                                    <w:t>6-</w:t>
                                  </w:r>
                                  <w:r>
                                    <w:rPr>
                                      <w:rFonts w:ascii="Calibri"/>
                                      <w:spacing w:val="-4"/>
                                      <w:sz w:val="8"/>
                                    </w:rPr>
                                    <w:t>288-</w:t>
                                  </w:r>
                                </w:p>
                                <w:p>
                                  <w:pPr>
                                    <w:pStyle w:val="TableParagraph"/>
                                    <w:spacing w:before="8"/>
                                    <w:ind w:left="1" w:right="2"/>
                                    <w:jc w:val="center"/>
                                    <w:rPr>
                                      <w:rFonts w:ascii="Calibri"/>
                                      <w:sz w:val="8"/>
                                    </w:rPr>
                                  </w:pPr>
                                  <w:r>
                                    <w:rPr>
                                      <w:rFonts w:ascii="Calibri"/>
                                      <w:sz w:val="8"/>
                                    </w:rPr>
                                    <w:t>194,</w:t>
                                  </w:r>
                                  <w:r>
                                    <w:rPr>
                                      <w:rFonts w:ascii="Calibri"/>
                                      <w:spacing w:val="1"/>
                                      <w:sz w:val="8"/>
                                    </w:rPr>
                                    <w:t> </w:t>
                                  </w:r>
                                  <w:r>
                                    <w:rPr>
                                      <w:rFonts w:ascii="Calibri"/>
                                      <w:sz w:val="8"/>
                                    </w:rPr>
                                    <w:t>2-400-375,</w:t>
                                  </w:r>
                                  <w:r>
                                    <w:rPr>
                                      <w:rFonts w:ascii="Calibri"/>
                                      <w:spacing w:val="2"/>
                                      <w:sz w:val="8"/>
                                    </w:rPr>
                                    <w:t> </w:t>
                                  </w:r>
                                  <w:r>
                                    <w:rPr>
                                      <w:rFonts w:ascii="Calibri"/>
                                      <w:spacing w:val="-5"/>
                                      <w:sz w:val="8"/>
                                    </w:rPr>
                                    <w:t>1-</w:t>
                                  </w:r>
                                </w:p>
                                <w:p>
                                  <w:pPr>
                                    <w:pStyle w:val="TableParagraph"/>
                                    <w:spacing w:before="9"/>
                                    <w:ind w:right="1"/>
                                    <w:jc w:val="center"/>
                                    <w:rPr>
                                      <w:rFonts w:ascii="Calibri"/>
                                      <w:sz w:val="8"/>
                                    </w:rPr>
                                  </w:pPr>
                                  <w:r>
                                    <w:rPr>
                                      <w:rFonts w:ascii="Calibri"/>
                                      <w:sz w:val="8"/>
                                    </w:rPr>
                                    <w:t>1254-405,</w:t>
                                  </w:r>
                                  <w:r>
                                    <w:rPr>
                                      <w:rFonts w:ascii="Calibri"/>
                                      <w:spacing w:val="3"/>
                                      <w:sz w:val="8"/>
                                    </w:rPr>
                                    <w:t> </w:t>
                                  </w:r>
                                  <w:r>
                                    <w:rPr>
                                      <w:rFonts w:ascii="Calibri"/>
                                      <w:sz w:val="8"/>
                                    </w:rPr>
                                    <w:t>2-</w:t>
                                  </w:r>
                                  <w:r>
                                    <w:rPr>
                                      <w:rFonts w:ascii="Calibri"/>
                                      <w:spacing w:val="-4"/>
                                      <w:sz w:val="8"/>
                                    </w:rPr>
                                    <w:t>688-</w:t>
                                  </w:r>
                                </w:p>
                                <w:p>
                                  <w:pPr>
                                    <w:pStyle w:val="TableParagraph"/>
                                    <w:spacing w:before="8"/>
                                    <w:ind w:left="14" w:right="-15"/>
                                    <w:jc w:val="center"/>
                                    <w:rPr>
                                      <w:rFonts w:ascii="Calibri"/>
                                      <w:sz w:val="8"/>
                                    </w:rPr>
                                  </w:pPr>
                                  <w:r>
                                    <w:rPr>
                                      <w:rFonts w:ascii="Calibri"/>
                                      <w:sz w:val="8"/>
                                    </w:rPr>
                                    <w:t>289,</w:t>
                                  </w:r>
                                  <w:r>
                                    <w:rPr>
                                      <w:rFonts w:ascii="Calibri"/>
                                      <w:spacing w:val="3"/>
                                      <w:sz w:val="8"/>
                                    </w:rPr>
                                    <w:t> </w:t>
                                  </w:r>
                                  <w:r>
                                    <w:rPr>
                                      <w:rFonts w:ascii="Calibri"/>
                                      <w:sz w:val="8"/>
                                    </w:rPr>
                                    <w:t>1-1189-</w:t>
                                  </w:r>
                                  <w:r>
                                    <w:rPr>
                                      <w:rFonts w:ascii="Calibri"/>
                                      <w:spacing w:val="-2"/>
                                      <w:sz w:val="8"/>
                                    </w:rPr>
                                    <w:t>705,1-</w:t>
                                  </w:r>
                                </w:p>
                                <w:p>
                                  <w:pPr>
                                    <w:pStyle w:val="TableParagraph"/>
                                    <w:spacing w:before="8"/>
                                    <w:ind w:right="1"/>
                                    <w:jc w:val="center"/>
                                    <w:rPr>
                                      <w:rFonts w:ascii="Calibri"/>
                                      <w:sz w:val="8"/>
                                    </w:rPr>
                                  </w:pPr>
                                  <w:r>
                                    <w:rPr>
                                      <w:rFonts w:ascii="Calibri"/>
                                      <w:sz w:val="8"/>
                                    </w:rPr>
                                    <w:t>1307-042,</w:t>
                                  </w:r>
                                  <w:r>
                                    <w:rPr>
                                      <w:rFonts w:ascii="Calibri"/>
                                      <w:spacing w:val="3"/>
                                      <w:sz w:val="8"/>
                                    </w:rPr>
                                    <w:t> </w:t>
                                  </w:r>
                                  <w:r>
                                    <w:rPr>
                                      <w:rFonts w:ascii="Calibri"/>
                                      <w:sz w:val="8"/>
                                    </w:rPr>
                                    <w:t>2-</w:t>
                                  </w:r>
                                  <w:r>
                                    <w:rPr>
                                      <w:rFonts w:ascii="Calibri"/>
                                      <w:spacing w:val="-4"/>
                                      <w:sz w:val="8"/>
                                    </w:rPr>
                                    <w:t>533-</w:t>
                                  </w:r>
                                </w:p>
                                <w:p>
                                  <w:pPr>
                                    <w:pStyle w:val="TableParagraph"/>
                                    <w:spacing w:before="8"/>
                                    <w:ind w:left="14" w:right="-15"/>
                                    <w:jc w:val="center"/>
                                    <w:rPr>
                                      <w:rFonts w:ascii="Calibri"/>
                                      <w:sz w:val="8"/>
                                    </w:rPr>
                                  </w:pPr>
                                  <w:r>
                                    <w:rPr>
                                      <w:rFonts w:ascii="Calibri"/>
                                      <w:sz w:val="8"/>
                                    </w:rPr>
                                    <w:t>476,1-1148-990,</w:t>
                                  </w:r>
                                  <w:r>
                                    <w:rPr>
                                      <w:rFonts w:ascii="Calibri"/>
                                      <w:spacing w:val="7"/>
                                      <w:sz w:val="8"/>
                                    </w:rPr>
                                    <w:t> </w:t>
                                  </w:r>
                                  <w:r>
                                    <w:rPr>
                                      <w:rFonts w:ascii="Calibri"/>
                                      <w:spacing w:val="-5"/>
                                      <w:sz w:val="8"/>
                                    </w:rPr>
                                    <w:t>1-</w:t>
                                  </w:r>
                                </w:p>
                                <w:p>
                                  <w:pPr>
                                    <w:pStyle w:val="TableParagraph"/>
                                    <w:spacing w:before="8"/>
                                    <w:jc w:val="center"/>
                                    <w:rPr>
                                      <w:rFonts w:ascii="Calibri"/>
                                      <w:sz w:val="8"/>
                                    </w:rPr>
                                  </w:pPr>
                                  <w:r>
                                    <w:rPr>
                                      <w:rFonts w:ascii="Calibri"/>
                                      <w:sz w:val="8"/>
                                    </w:rPr>
                                    <w:t>1095-</w:t>
                                  </w:r>
                                  <w:r>
                                    <w:rPr>
                                      <w:rFonts w:ascii="Calibri"/>
                                      <w:spacing w:val="-4"/>
                                      <w:sz w:val="8"/>
                                    </w:rPr>
                                    <w:t>050,</w:t>
                                  </w:r>
                                </w:p>
                                <w:p>
                                  <w:pPr>
                                    <w:pStyle w:val="TableParagraph"/>
                                    <w:spacing w:before="9"/>
                                    <w:jc w:val="center"/>
                                    <w:rPr>
                                      <w:rFonts w:ascii="Calibri" w:hAnsi="Calibri"/>
                                      <w:sz w:val="8"/>
                                    </w:rPr>
                                  </w:pPr>
                                  <w:r>
                                    <w:rPr>
                                      <w:rFonts w:ascii="Calibri" w:hAnsi="Calibri"/>
                                      <w:spacing w:val="-2"/>
                                      <w:w w:val="105"/>
                                      <w:sz w:val="8"/>
                                    </w:rPr>
                                    <w:t>CHACÓN,</w:t>
                                  </w:r>
                                  <w:r>
                                    <w:rPr>
                                      <w:rFonts w:ascii="Calibri" w:hAnsi="Calibri"/>
                                      <w:spacing w:val="8"/>
                                      <w:w w:val="105"/>
                                      <w:sz w:val="8"/>
                                    </w:rPr>
                                    <w:t> </w:t>
                                  </w:r>
                                  <w:r>
                                    <w:rPr>
                                      <w:rFonts w:ascii="Calibri" w:hAnsi="Calibri"/>
                                      <w:spacing w:val="-2"/>
                                      <w:w w:val="105"/>
                                      <w:sz w:val="8"/>
                                    </w:rPr>
                                    <w:t>1-</w:t>
                                  </w:r>
                                  <w:r>
                                    <w:rPr>
                                      <w:rFonts w:ascii="Calibri" w:hAnsi="Calibri"/>
                                      <w:spacing w:val="-4"/>
                                      <w:w w:val="105"/>
                                      <w:sz w:val="8"/>
                                    </w:rPr>
                                    <w:t>961-</w:t>
                                  </w:r>
                                </w:p>
                                <w:p>
                                  <w:pPr>
                                    <w:pStyle w:val="TableParagraph"/>
                                    <w:spacing w:before="8"/>
                                    <w:ind w:left="1" w:right="2"/>
                                    <w:jc w:val="center"/>
                                    <w:rPr>
                                      <w:rFonts w:ascii="Calibri"/>
                                      <w:sz w:val="8"/>
                                    </w:rPr>
                                  </w:pPr>
                                  <w:r>
                                    <w:rPr>
                                      <w:rFonts w:ascii="Calibri"/>
                                      <w:sz w:val="8"/>
                                    </w:rPr>
                                    <w:t>398,</w:t>
                                  </w:r>
                                  <w:r>
                                    <w:rPr>
                                      <w:rFonts w:ascii="Calibri"/>
                                      <w:spacing w:val="1"/>
                                      <w:sz w:val="8"/>
                                    </w:rPr>
                                    <w:t> </w:t>
                                  </w:r>
                                  <w:r>
                                    <w:rPr>
                                      <w:rFonts w:ascii="Calibri"/>
                                      <w:sz w:val="8"/>
                                    </w:rPr>
                                    <w:t>2-337-899,</w:t>
                                  </w:r>
                                  <w:r>
                                    <w:rPr>
                                      <w:rFonts w:ascii="Calibri"/>
                                      <w:spacing w:val="2"/>
                                      <w:sz w:val="8"/>
                                    </w:rPr>
                                    <w:t> </w:t>
                                  </w:r>
                                  <w:r>
                                    <w:rPr>
                                      <w:rFonts w:ascii="Calibri"/>
                                      <w:spacing w:val="-5"/>
                                      <w:sz w:val="8"/>
                                    </w:rPr>
                                    <w:t>1-</w:t>
                                  </w:r>
                                </w:p>
                                <w:p>
                                  <w:pPr>
                                    <w:pStyle w:val="TableParagraph"/>
                                    <w:spacing w:before="8"/>
                                    <w:ind w:right="1"/>
                                    <w:jc w:val="center"/>
                                    <w:rPr>
                                      <w:rFonts w:ascii="Calibri"/>
                                      <w:sz w:val="8"/>
                                    </w:rPr>
                                  </w:pPr>
                                  <w:r>
                                    <w:rPr>
                                      <w:rFonts w:ascii="Calibri"/>
                                      <w:sz w:val="8"/>
                                    </w:rPr>
                                    <w:t>1415-165,</w:t>
                                  </w:r>
                                  <w:r>
                                    <w:rPr>
                                      <w:rFonts w:ascii="Calibri"/>
                                      <w:spacing w:val="3"/>
                                      <w:sz w:val="8"/>
                                    </w:rPr>
                                    <w:t> </w:t>
                                  </w:r>
                                  <w:r>
                                    <w:rPr>
                                      <w:rFonts w:ascii="Calibri"/>
                                      <w:sz w:val="8"/>
                                    </w:rPr>
                                    <w:t>1-</w:t>
                                  </w:r>
                                  <w:r>
                                    <w:rPr>
                                      <w:rFonts w:ascii="Calibri"/>
                                      <w:spacing w:val="-4"/>
                                      <w:sz w:val="8"/>
                                    </w:rPr>
                                    <w:t>934-</w:t>
                                  </w:r>
                                </w:p>
                                <w:p>
                                  <w:pPr>
                                    <w:pStyle w:val="TableParagraph"/>
                                    <w:spacing w:before="8"/>
                                    <w:ind w:left="1" w:right="2"/>
                                    <w:jc w:val="center"/>
                                    <w:rPr>
                                      <w:rFonts w:ascii="Calibri"/>
                                      <w:sz w:val="8"/>
                                    </w:rPr>
                                  </w:pPr>
                                  <w:r>
                                    <w:rPr>
                                      <w:rFonts w:ascii="Calibri"/>
                                      <w:sz w:val="8"/>
                                    </w:rPr>
                                    <w:t>936,</w:t>
                                  </w:r>
                                  <w:r>
                                    <w:rPr>
                                      <w:rFonts w:ascii="Calibri"/>
                                      <w:spacing w:val="1"/>
                                      <w:sz w:val="8"/>
                                    </w:rPr>
                                    <w:t> </w:t>
                                  </w:r>
                                  <w:r>
                                    <w:rPr>
                                      <w:rFonts w:ascii="Calibri"/>
                                      <w:sz w:val="8"/>
                                    </w:rPr>
                                    <w:t>1-143-851,</w:t>
                                  </w:r>
                                  <w:r>
                                    <w:rPr>
                                      <w:rFonts w:ascii="Calibri"/>
                                      <w:spacing w:val="2"/>
                                      <w:sz w:val="8"/>
                                    </w:rPr>
                                    <w:t> </w:t>
                                  </w:r>
                                  <w:r>
                                    <w:rPr>
                                      <w:rFonts w:ascii="Calibri"/>
                                      <w:spacing w:val="-5"/>
                                      <w:sz w:val="8"/>
                                    </w:rPr>
                                    <w:t>2-</w:t>
                                  </w:r>
                                </w:p>
                                <w:p>
                                  <w:pPr>
                                    <w:pStyle w:val="TableParagraph"/>
                                    <w:spacing w:before="9"/>
                                    <w:jc w:val="center"/>
                                    <w:rPr>
                                      <w:rFonts w:ascii="Calibri"/>
                                      <w:sz w:val="8"/>
                                    </w:rPr>
                                  </w:pPr>
                                  <w:r>
                                    <w:rPr>
                                      <w:rFonts w:ascii="Calibri"/>
                                      <w:sz w:val="8"/>
                                    </w:rPr>
                                    <w:t>553-257,1-</w:t>
                                  </w:r>
                                  <w:r>
                                    <w:rPr>
                                      <w:rFonts w:ascii="Calibri"/>
                                      <w:spacing w:val="-2"/>
                                      <w:sz w:val="8"/>
                                    </w:rPr>
                                    <w:t>1282-</w:t>
                                  </w:r>
                                </w:p>
                                <w:p>
                                  <w:pPr>
                                    <w:pStyle w:val="TableParagraph"/>
                                    <w:spacing w:before="8"/>
                                    <w:jc w:val="center"/>
                                    <w:rPr>
                                      <w:rFonts w:ascii="Calibri"/>
                                      <w:sz w:val="8"/>
                                    </w:rPr>
                                  </w:pPr>
                                  <w:r>
                                    <w:rPr>
                                      <w:rFonts w:ascii="Calibri"/>
                                      <w:sz w:val="8"/>
                                    </w:rPr>
                                    <w:t>687,</w:t>
                                  </w:r>
                                  <w:r>
                                    <w:rPr>
                                      <w:rFonts w:ascii="Calibri"/>
                                      <w:spacing w:val="3"/>
                                      <w:sz w:val="8"/>
                                    </w:rPr>
                                    <w:t> </w:t>
                                  </w:r>
                                  <w:r>
                                    <w:rPr>
                                      <w:rFonts w:ascii="Calibri"/>
                                      <w:sz w:val="8"/>
                                    </w:rPr>
                                    <w:t>1-1054-</w:t>
                                  </w:r>
                                  <w:r>
                                    <w:rPr>
                                      <w:rFonts w:ascii="Calibri"/>
                                      <w:spacing w:val="-4"/>
                                      <w:sz w:val="8"/>
                                    </w:rPr>
                                    <w:t>300,</w:t>
                                  </w:r>
                                </w:p>
                                <w:p>
                                  <w:pPr>
                                    <w:pStyle w:val="TableParagraph"/>
                                    <w:spacing w:before="8"/>
                                    <w:ind w:right="1"/>
                                    <w:jc w:val="center"/>
                                    <w:rPr>
                                      <w:rFonts w:ascii="Calibri"/>
                                      <w:sz w:val="8"/>
                                    </w:rPr>
                                  </w:pPr>
                                  <w:r>
                                    <w:rPr>
                                      <w:rFonts w:ascii="Calibri"/>
                                      <w:sz w:val="8"/>
                                    </w:rPr>
                                    <w:t>2-591-745,</w:t>
                                  </w:r>
                                  <w:r>
                                    <w:rPr>
                                      <w:rFonts w:ascii="Calibri"/>
                                      <w:spacing w:val="3"/>
                                      <w:sz w:val="8"/>
                                    </w:rPr>
                                    <w:t> </w:t>
                                  </w:r>
                                  <w:r>
                                    <w:rPr>
                                      <w:rFonts w:ascii="Calibri"/>
                                      <w:sz w:val="8"/>
                                    </w:rPr>
                                    <w:t>2-</w:t>
                                  </w:r>
                                  <w:r>
                                    <w:rPr>
                                      <w:rFonts w:ascii="Calibri"/>
                                      <w:spacing w:val="-4"/>
                                      <w:sz w:val="8"/>
                                    </w:rPr>
                                    <w:t>489-</w:t>
                                  </w:r>
                                </w:p>
                                <w:p>
                                  <w:pPr>
                                    <w:pStyle w:val="TableParagraph"/>
                                    <w:spacing w:before="8"/>
                                    <w:ind w:left="20" w:right="-15"/>
                                    <w:jc w:val="center"/>
                                    <w:rPr>
                                      <w:rFonts w:ascii="Calibri"/>
                                      <w:sz w:val="8"/>
                                    </w:rPr>
                                  </w:pPr>
                                  <w:r>
                                    <w:rPr>
                                      <w:rFonts w:ascii="Calibri"/>
                                      <w:sz w:val="8"/>
                                    </w:rPr>
                                    <w:t>441,1-1194-</w:t>
                                  </w:r>
                                  <w:r>
                                    <w:rPr>
                                      <w:rFonts w:ascii="Calibri"/>
                                      <w:spacing w:val="-2"/>
                                      <w:sz w:val="8"/>
                                    </w:rPr>
                                    <w:t>223,1-</w:t>
                                  </w:r>
                                </w:p>
                                <w:p>
                                  <w:pPr>
                                    <w:pStyle w:val="TableParagraph"/>
                                    <w:spacing w:before="8"/>
                                    <w:ind w:right="2"/>
                                    <w:jc w:val="center"/>
                                    <w:rPr>
                                      <w:rFonts w:ascii="Calibri"/>
                                      <w:sz w:val="8"/>
                                    </w:rPr>
                                  </w:pPr>
                                  <w:r>
                                    <w:rPr>
                                      <w:rFonts w:ascii="Calibri"/>
                                      <w:sz w:val="8"/>
                                    </w:rPr>
                                    <w:t>1055-</w:t>
                                  </w:r>
                                  <w:r>
                                    <w:rPr>
                                      <w:rFonts w:ascii="Calibri"/>
                                      <w:spacing w:val="-5"/>
                                      <w:sz w:val="8"/>
                                    </w:rPr>
                                    <w:t>926</w:t>
                                  </w:r>
                                </w:p>
                              </w:tc>
                              <w:tc>
                                <w:tcPr>
                                  <w:tcW w:w="878" w:type="dxa"/>
                                  <w:shd w:val="clear" w:color="auto" w:fill="FFFFFF"/>
                                </w:tcPr>
                                <w:p>
                                  <w:pPr>
                                    <w:pStyle w:val="TableParagraph"/>
                                    <w:rPr>
                                      <w:rFonts w:ascii="Times New Roman"/>
                                      <w:sz w:val="8"/>
                                    </w:rPr>
                                  </w:pPr>
                                </w:p>
                              </w:tc>
                              <w:tc>
                                <w:tcPr>
                                  <w:tcW w:w="108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5"/>
                                    <w:rPr>
                                      <w:sz w:val="8"/>
                                    </w:rPr>
                                  </w:pPr>
                                </w:p>
                                <w:p>
                                  <w:pPr>
                                    <w:pStyle w:val="TableParagraph"/>
                                    <w:ind w:right="12"/>
                                    <w:jc w:val="right"/>
                                    <w:rPr>
                                      <w:sz w:val="8"/>
                                    </w:rPr>
                                  </w:pPr>
                                  <w:r>
                                    <w:rPr>
                                      <w:rFonts w:ascii="Times New Roman" w:hAnsi="Times New Roman"/>
                                      <w:sz w:val="8"/>
                                    </w:rPr>
                                    <w:t>₡</w:t>
                                  </w:r>
                                  <w:r>
                                    <w:rPr>
                                      <w:sz w:val="8"/>
                                    </w:rPr>
                                    <w:t>383 </w:t>
                                  </w:r>
                                  <w:r>
                                    <w:rPr>
                                      <w:spacing w:val="-2"/>
                                      <w:sz w:val="8"/>
                                    </w:rPr>
                                    <w:t>602,25</w:t>
                                  </w:r>
                                </w:p>
                              </w:tc>
                              <w:tc>
                                <w:tcPr>
                                  <w:tcW w:w="187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3"/>
                                    <w:rPr>
                                      <w:sz w:val="8"/>
                                    </w:rPr>
                                  </w:pPr>
                                </w:p>
                                <w:p>
                                  <w:pPr>
                                    <w:pStyle w:val="TableParagraph"/>
                                    <w:spacing w:before="1"/>
                                    <w:ind w:left="14" w:right="22"/>
                                    <w:jc w:val="center"/>
                                    <w:rPr>
                                      <w:rFonts w:ascii="Calibri"/>
                                      <w:sz w:val="8"/>
                                    </w:rPr>
                                  </w:pPr>
                                  <w:r>
                                    <w:rPr>
                                      <w:rFonts w:ascii="Calibri"/>
                                      <w:sz w:val="8"/>
                                    </w:rPr>
                                    <w:t>Espera</w:t>
                                  </w:r>
                                  <w:r>
                                    <w:rPr>
                                      <w:rFonts w:ascii="Calibri"/>
                                      <w:spacing w:val="-4"/>
                                      <w:sz w:val="8"/>
                                    </w:rPr>
                                    <w:t> </w:t>
                                  </w:r>
                                  <w:r>
                                    <w:rPr>
                                      <w:rFonts w:ascii="Calibri"/>
                                      <w:spacing w:val="-2"/>
                                      <w:sz w:val="8"/>
                                    </w:rPr>
                                    <w:t>fallo</w:t>
                                  </w:r>
                                </w:p>
                              </w:tc>
                              <w:tc>
                                <w:tcPr>
                                  <w:tcW w:w="633"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54"/>
                                    <w:rPr>
                                      <w:sz w:val="8"/>
                                    </w:rPr>
                                  </w:pPr>
                                </w:p>
                                <w:p>
                                  <w:pPr>
                                    <w:pStyle w:val="TableParagraph"/>
                                    <w:spacing w:line="259" w:lineRule="auto"/>
                                    <w:ind w:left="24" w:right="36" w:hanging="2"/>
                                    <w:jc w:val="center"/>
                                    <w:rPr>
                                      <w:rFonts w:ascii="Calibri"/>
                                      <w:sz w:val="8"/>
                                    </w:rPr>
                                  </w:pPr>
                                  <w:r>
                                    <w:rPr>
                                      <w:rFonts w:ascii="Calibri"/>
                                      <w:sz w:val="8"/>
                                    </w:rPr>
                                    <w:t>Provisionado</w:t>
                                  </w:r>
                                  <w:r>
                                    <w:rPr>
                                      <w:rFonts w:ascii="Calibri"/>
                                      <w:spacing w:val="-5"/>
                                      <w:sz w:val="8"/>
                                    </w:rPr>
                                    <w:t> </w:t>
                                  </w:r>
                                  <w:r>
                                    <w:rPr>
                                      <w:rFonts w:ascii="Calibri"/>
                                      <w:sz w:val="8"/>
                                    </w:rPr>
                                    <w:t>el</w:t>
                                  </w:r>
                                  <w:r>
                                    <w:rPr>
                                      <w:rFonts w:ascii="Calibri"/>
                                      <w:spacing w:val="40"/>
                                      <w:sz w:val="8"/>
                                    </w:rPr>
                                    <w:t> </w:t>
                                  </w:r>
                                  <w:r>
                                    <w:rPr>
                                      <w:rFonts w:ascii="Calibri"/>
                                      <w:sz w:val="8"/>
                                    </w:rPr>
                                    <w:t>100%</w:t>
                                  </w:r>
                                  <w:r>
                                    <w:rPr>
                                      <w:rFonts w:ascii="Calibri"/>
                                      <w:spacing w:val="-5"/>
                                      <w:sz w:val="8"/>
                                    </w:rPr>
                                    <w:t> </w:t>
                                  </w:r>
                                  <w:r>
                                    <w:rPr>
                                      <w:rFonts w:ascii="Calibri"/>
                                      <w:sz w:val="8"/>
                                    </w:rPr>
                                    <w:t>conforme</w:t>
                                  </w:r>
                                  <w:r>
                                    <w:rPr>
                                      <w:rFonts w:ascii="Calibri"/>
                                      <w:spacing w:val="40"/>
                                      <w:sz w:val="8"/>
                                    </w:rPr>
                                    <w:t> </w:t>
                                  </w:r>
                                  <w:r>
                                    <w:rPr>
                                      <w:rFonts w:ascii="Calibri"/>
                                      <w:sz w:val="8"/>
                                    </w:rPr>
                                    <w:t>peritaje</w:t>
                                  </w:r>
                                  <w:r>
                                    <w:rPr>
                                      <w:rFonts w:ascii="Calibri"/>
                                      <w:spacing w:val="-5"/>
                                      <w:sz w:val="8"/>
                                    </w:rPr>
                                    <w:t> </w:t>
                                  </w:r>
                                  <w:r>
                                    <w:rPr>
                                      <w:rFonts w:ascii="Calibri"/>
                                      <w:sz w:val="8"/>
                                    </w:rPr>
                                    <w:t>inicial,</w:t>
                                  </w:r>
                                  <w:r>
                                    <w:rPr>
                                      <w:rFonts w:ascii="Calibri"/>
                                      <w:spacing w:val="40"/>
                                      <w:sz w:val="8"/>
                                    </w:rPr>
                                    <w:t> </w:t>
                                  </w:r>
                                  <w:r>
                                    <w:rPr>
                                      <w:rFonts w:ascii="Calibri"/>
                                      <w:spacing w:val="-2"/>
                                      <w:sz w:val="8"/>
                                    </w:rPr>
                                    <w:t>ajustar</w:t>
                                  </w:r>
                                  <w:r>
                                    <w:rPr>
                                      <w:rFonts w:ascii="Calibri"/>
                                      <w:spacing w:val="-6"/>
                                      <w:sz w:val="8"/>
                                    </w:rPr>
                                    <w:t> </w:t>
                                  </w:r>
                                  <w:r>
                                    <w:rPr>
                                      <w:rFonts w:ascii="Calibri"/>
                                      <w:spacing w:val="-2"/>
                                      <w:sz w:val="8"/>
                                    </w:rPr>
                                    <w:t>diferencia</w:t>
                                  </w:r>
                                  <w:r>
                                    <w:rPr>
                                      <w:rFonts w:ascii="Calibri"/>
                                      <w:spacing w:val="40"/>
                                      <w:sz w:val="8"/>
                                    </w:rPr>
                                    <w:t> </w:t>
                                  </w:r>
                                  <w:r>
                                    <w:rPr>
                                      <w:rFonts w:ascii="Calibri"/>
                                      <w:sz w:val="8"/>
                                    </w:rPr>
                                    <w:t>conforme</w:t>
                                  </w:r>
                                  <w:r>
                                    <w:rPr>
                                      <w:rFonts w:ascii="Calibri"/>
                                      <w:spacing w:val="-5"/>
                                      <w:sz w:val="8"/>
                                    </w:rPr>
                                    <w:t> </w:t>
                                  </w:r>
                                  <w:r>
                                    <w:rPr>
                                      <w:rFonts w:ascii="Calibri"/>
                                      <w:sz w:val="8"/>
                                    </w:rPr>
                                    <w:t>a</w:t>
                                  </w:r>
                                  <w:r>
                                    <w:rPr>
                                      <w:rFonts w:ascii="Calibri"/>
                                      <w:spacing w:val="-5"/>
                                      <w:sz w:val="8"/>
                                    </w:rPr>
                                    <w:t> </w:t>
                                  </w:r>
                                  <w:r>
                                    <w:rPr>
                                      <w:rFonts w:ascii="Calibri"/>
                                      <w:sz w:val="8"/>
                                    </w:rPr>
                                    <w:t>los</w:t>
                                  </w:r>
                                  <w:r>
                                    <w:rPr>
                                      <w:rFonts w:ascii="Calibri"/>
                                      <w:spacing w:val="40"/>
                                      <w:sz w:val="8"/>
                                    </w:rPr>
                                    <w:t> </w:t>
                                  </w:r>
                                  <w:r>
                                    <w:rPr>
                                      <w:rFonts w:ascii="Calibri"/>
                                      <w:sz w:val="8"/>
                                    </w:rPr>
                                    <w:t>oficios</w:t>
                                  </w:r>
                                  <w:r>
                                    <w:rPr>
                                      <w:rFonts w:ascii="Calibri"/>
                                      <w:spacing w:val="4"/>
                                      <w:sz w:val="8"/>
                                    </w:rPr>
                                    <w:t> </w:t>
                                  </w:r>
                                  <w:r>
                                    <w:rPr>
                                      <w:rFonts w:ascii="Calibri"/>
                                      <w:spacing w:val="-2"/>
                                      <w:sz w:val="8"/>
                                    </w:rPr>
                                    <w:t>indicados</w:t>
                                  </w:r>
                                </w:p>
                              </w:tc>
                              <w:tc>
                                <w:tcPr>
                                  <w:tcW w:w="633"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14"/>
                                    <w:rPr>
                                      <w:sz w:val="8"/>
                                    </w:rPr>
                                  </w:pPr>
                                </w:p>
                                <w:p>
                                  <w:pPr>
                                    <w:pStyle w:val="TableParagraph"/>
                                    <w:spacing w:line="259" w:lineRule="auto"/>
                                    <w:ind w:right="11"/>
                                    <w:jc w:val="center"/>
                                    <w:rPr>
                                      <w:rFonts w:ascii="Calibri" w:hAnsi="Calibri"/>
                                      <w:sz w:val="8"/>
                                    </w:rPr>
                                  </w:pPr>
                                  <w:r>
                                    <w:rPr>
                                      <w:rFonts w:ascii="Calibri" w:hAnsi="Calibri"/>
                                      <w:sz w:val="8"/>
                                    </w:rPr>
                                    <w:t>Con</w:t>
                                  </w:r>
                                  <w:r>
                                    <w:rPr>
                                      <w:rFonts w:ascii="Calibri" w:hAnsi="Calibri"/>
                                      <w:spacing w:val="-5"/>
                                      <w:sz w:val="8"/>
                                    </w:rPr>
                                    <w:t> </w:t>
                                  </w:r>
                                  <w:r>
                                    <w:rPr>
                                      <w:rFonts w:ascii="Calibri" w:hAnsi="Calibri"/>
                                      <w:sz w:val="8"/>
                                    </w:rPr>
                                    <w:t>un</w:t>
                                  </w:r>
                                  <w:r>
                                    <w:rPr>
                                      <w:rFonts w:ascii="Calibri" w:hAnsi="Calibri"/>
                                      <w:spacing w:val="-5"/>
                                      <w:sz w:val="8"/>
                                    </w:rPr>
                                    <w:t> </w:t>
                                  </w:r>
                                  <w:r>
                                    <w:rPr>
                                      <w:rFonts w:ascii="Calibri" w:hAnsi="Calibri"/>
                                      <w:sz w:val="8"/>
                                    </w:rPr>
                                    <w:t>grado</w:t>
                                  </w:r>
                                  <w:r>
                                    <w:rPr>
                                      <w:rFonts w:ascii="Calibri" w:hAnsi="Calibri"/>
                                      <w:spacing w:val="-4"/>
                                      <w:sz w:val="8"/>
                                    </w:rPr>
                                    <w:t> </w:t>
                                  </w:r>
                                  <w:r>
                                    <w:rPr>
                                      <w:rFonts w:ascii="Calibri" w:hAnsi="Calibri"/>
                                      <w:sz w:val="8"/>
                                    </w:rPr>
                                    <w:t>de</w:t>
                                  </w:r>
                                  <w:r>
                                    <w:rPr>
                                      <w:rFonts w:ascii="Calibri" w:hAnsi="Calibri"/>
                                      <w:spacing w:val="40"/>
                                      <w:sz w:val="8"/>
                                    </w:rPr>
                                    <w:t> </w:t>
                                  </w:r>
                                  <w:r>
                                    <w:rPr>
                                      <w:rFonts w:ascii="Calibri" w:hAnsi="Calibri"/>
                                      <w:spacing w:val="-2"/>
                                      <w:sz w:val="8"/>
                                    </w:rPr>
                                    <w:t>probabilidad</w:t>
                                  </w:r>
                                  <w:r>
                                    <w:rPr>
                                      <w:rFonts w:ascii="Calibri" w:hAnsi="Calibri"/>
                                      <w:spacing w:val="40"/>
                                      <w:sz w:val="8"/>
                                    </w:rPr>
                                    <w:t> </w:t>
                                  </w:r>
                                  <w:r>
                                    <w:rPr>
                                      <w:rFonts w:ascii="Calibri" w:hAnsi="Calibri"/>
                                      <w:sz w:val="8"/>
                                    </w:rPr>
                                    <w:t>razonable</w:t>
                                  </w:r>
                                  <w:r>
                                    <w:rPr>
                                      <w:rFonts w:ascii="Calibri" w:hAnsi="Calibri"/>
                                      <w:spacing w:val="-5"/>
                                      <w:sz w:val="8"/>
                                    </w:rPr>
                                    <w:t> </w:t>
                                  </w:r>
                                  <w:r>
                                    <w:rPr>
                                      <w:rFonts w:ascii="Calibri" w:hAnsi="Calibri"/>
                                      <w:sz w:val="8"/>
                                    </w:rPr>
                                    <w:t>no</w:t>
                                  </w:r>
                                  <w:r>
                                    <w:rPr>
                                      <w:rFonts w:ascii="Calibri" w:hAnsi="Calibri"/>
                                      <w:spacing w:val="-5"/>
                                      <w:sz w:val="8"/>
                                    </w:rPr>
                                    <w:t> </w:t>
                                  </w:r>
                                  <w:r>
                                    <w:rPr>
                                      <w:rFonts w:ascii="Calibri" w:hAnsi="Calibri"/>
                                      <w:sz w:val="8"/>
                                    </w:rPr>
                                    <w:t>se</w:t>
                                  </w:r>
                                  <w:r>
                                    <w:rPr>
                                      <w:rFonts w:ascii="Calibri" w:hAnsi="Calibri"/>
                                      <w:spacing w:val="40"/>
                                      <w:sz w:val="8"/>
                                    </w:rPr>
                                    <w:t> </w:t>
                                  </w:r>
                                  <w:r>
                                    <w:rPr>
                                      <w:rFonts w:ascii="Calibri" w:hAnsi="Calibri"/>
                                      <w:sz w:val="8"/>
                                    </w:rPr>
                                    <w:t>realizará</w:t>
                                  </w:r>
                                  <w:r>
                                    <w:rPr>
                                      <w:rFonts w:ascii="Calibri" w:hAnsi="Calibri"/>
                                      <w:spacing w:val="-5"/>
                                      <w:sz w:val="8"/>
                                    </w:rPr>
                                    <w:t> </w:t>
                                  </w:r>
                                  <w:r>
                                    <w:rPr>
                                      <w:rFonts w:ascii="Calibri" w:hAnsi="Calibri"/>
                                      <w:sz w:val="8"/>
                                    </w:rPr>
                                    <w:t>arreglo</w:t>
                                  </w:r>
                                  <w:r>
                                    <w:rPr>
                                      <w:rFonts w:ascii="Calibri" w:hAnsi="Calibri"/>
                                      <w:spacing w:val="40"/>
                                      <w:sz w:val="8"/>
                                    </w:rPr>
                                    <w:t> </w:t>
                                  </w:r>
                                  <w:r>
                                    <w:rPr>
                                      <w:rFonts w:ascii="Calibri" w:hAnsi="Calibri"/>
                                      <w:spacing w:val="-2"/>
                                      <w:sz w:val="8"/>
                                    </w:rPr>
                                    <w:t>extrajudicial.</w:t>
                                  </w:r>
                                </w:p>
                              </w:tc>
                            </w:tr>
                            <w:tr>
                              <w:trPr>
                                <w:trHeight w:val="119" w:hRule="atLeast"/>
                              </w:trPr>
                              <w:tc>
                                <w:tcPr>
                                  <w:tcW w:w="2405" w:type="dxa"/>
                                  <w:gridSpan w:val="3"/>
                                  <w:tcBorders>
                                    <w:left w:val="single" w:sz="4" w:space="0" w:color="000000"/>
                                    <w:bottom w:val="single" w:sz="4" w:space="0" w:color="000000"/>
                                    <w:right w:val="nil"/>
                                  </w:tcBorders>
                                  <w:shd w:val="clear" w:color="auto" w:fill="E8E8E8"/>
                                </w:tcPr>
                                <w:p>
                                  <w:pPr>
                                    <w:pStyle w:val="TableParagraph"/>
                                    <w:spacing w:line="100" w:lineRule="exact"/>
                                    <w:ind w:left="14"/>
                                    <w:rPr>
                                      <w:rFonts w:ascii="Calibri"/>
                                      <w:sz w:val="11"/>
                                    </w:rPr>
                                  </w:pPr>
                                  <w:r>
                                    <w:rPr>
                                      <w:rFonts w:ascii="Calibri"/>
                                      <w:sz w:val="11"/>
                                    </w:rPr>
                                    <w:t>TOTAL</w:t>
                                  </w:r>
                                  <w:r>
                                    <w:rPr>
                                      <w:rFonts w:ascii="Calibri"/>
                                      <w:spacing w:val="6"/>
                                      <w:sz w:val="11"/>
                                    </w:rPr>
                                    <w:t> </w:t>
                                  </w:r>
                                  <w:r>
                                    <w:rPr>
                                      <w:rFonts w:ascii="Calibri"/>
                                      <w:sz w:val="11"/>
                                    </w:rPr>
                                    <w:t>PROCESOS</w:t>
                                  </w:r>
                                  <w:r>
                                    <w:rPr>
                                      <w:rFonts w:ascii="Calibri"/>
                                      <w:spacing w:val="5"/>
                                      <w:sz w:val="11"/>
                                    </w:rPr>
                                    <w:t> </w:t>
                                  </w:r>
                                  <w:r>
                                    <w:rPr>
                                      <w:rFonts w:ascii="Calibri"/>
                                      <w:sz w:val="11"/>
                                    </w:rPr>
                                    <w:t>EMPRESAS</w:t>
                                  </w:r>
                                  <w:r>
                                    <w:rPr>
                                      <w:rFonts w:ascii="Calibri"/>
                                      <w:spacing w:val="6"/>
                                      <w:sz w:val="11"/>
                                    </w:rPr>
                                    <w:t> </w:t>
                                  </w:r>
                                  <w:r>
                                    <w:rPr>
                                      <w:rFonts w:ascii="Calibri"/>
                                      <w:spacing w:val="-2"/>
                                      <w:sz w:val="11"/>
                                    </w:rPr>
                                    <w:t>COMERCIALES</w:t>
                                  </w:r>
                                </w:p>
                              </w:tc>
                              <w:tc>
                                <w:tcPr>
                                  <w:tcW w:w="509" w:type="dxa"/>
                                  <w:tcBorders>
                                    <w:left w:val="nil"/>
                                    <w:bottom w:val="single" w:sz="4" w:space="0" w:color="000000"/>
                                    <w:right w:val="nil"/>
                                  </w:tcBorders>
                                  <w:shd w:val="clear" w:color="auto" w:fill="E8E8E8"/>
                                </w:tcPr>
                                <w:p>
                                  <w:pPr>
                                    <w:pStyle w:val="TableParagraph"/>
                                    <w:rPr>
                                      <w:rFonts w:ascii="Times New Roman"/>
                                      <w:sz w:val="6"/>
                                    </w:rPr>
                                  </w:pPr>
                                </w:p>
                              </w:tc>
                              <w:tc>
                                <w:tcPr>
                                  <w:tcW w:w="648" w:type="dxa"/>
                                  <w:tcBorders>
                                    <w:left w:val="nil"/>
                                    <w:bottom w:val="single" w:sz="4" w:space="0" w:color="000000"/>
                                    <w:right w:val="nil"/>
                                  </w:tcBorders>
                                  <w:shd w:val="clear" w:color="auto" w:fill="E8E8E8"/>
                                </w:tcPr>
                                <w:p>
                                  <w:pPr>
                                    <w:pStyle w:val="TableParagraph"/>
                                    <w:rPr>
                                      <w:rFonts w:ascii="Times New Roman"/>
                                      <w:sz w:val="6"/>
                                    </w:rPr>
                                  </w:pPr>
                                </w:p>
                              </w:tc>
                              <w:tc>
                                <w:tcPr>
                                  <w:tcW w:w="878" w:type="dxa"/>
                                  <w:tcBorders>
                                    <w:left w:val="nil"/>
                                    <w:bottom w:val="single" w:sz="4" w:space="0" w:color="000000"/>
                                    <w:right w:val="nil"/>
                                  </w:tcBorders>
                                  <w:shd w:val="clear" w:color="auto" w:fill="E8E8E8"/>
                                </w:tcPr>
                                <w:p>
                                  <w:pPr>
                                    <w:pStyle w:val="TableParagraph"/>
                                    <w:rPr>
                                      <w:rFonts w:ascii="Times New Roman"/>
                                      <w:sz w:val="6"/>
                                    </w:rPr>
                                  </w:pPr>
                                </w:p>
                              </w:tc>
                              <w:tc>
                                <w:tcPr>
                                  <w:tcW w:w="1084" w:type="dxa"/>
                                  <w:tcBorders>
                                    <w:left w:val="nil"/>
                                    <w:bottom w:val="single" w:sz="4" w:space="0" w:color="000000"/>
                                    <w:right w:val="nil"/>
                                  </w:tcBorders>
                                  <w:shd w:val="clear" w:color="auto" w:fill="E8E8E8"/>
                                </w:tcPr>
                                <w:p>
                                  <w:pPr>
                                    <w:pStyle w:val="TableParagraph"/>
                                    <w:spacing w:line="100" w:lineRule="exact"/>
                                    <w:ind w:right="18"/>
                                    <w:jc w:val="right"/>
                                    <w:rPr>
                                      <w:sz w:val="11"/>
                                    </w:rPr>
                                  </w:pPr>
                                  <w:r>
                                    <w:rPr>
                                      <w:rFonts w:ascii="Times New Roman" w:hAnsi="Times New Roman"/>
                                      <w:sz w:val="11"/>
                                    </w:rPr>
                                    <w:t>₡</w:t>
                                  </w:r>
                                  <w:r>
                                    <w:rPr>
                                      <w:sz w:val="11"/>
                                    </w:rPr>
                                    <w:t>740</w:t>
                                  </w:r>
                                  <w:r>
                                    <w:rPr>
                                      <w:spacing w:val="-1"/>
                                      <w:sz w:val="11"/>
                                    </w:rPr>
                                    <w:t> </w:t>
                                  </w:r>
                                  <w:r>
                                    <w:rPr>
                                      <w:spacing w:val="-2"/>
                                      <w:sz w:val="11"/>
                                    </w:rPr>
                                    <w:t>187,28</w:t>
                                  </w:r>
                                </w:p>
                              </w:tc>
                              <w:tc>
                                <w:tcPr>
                                  <w:tcW w:w="1879" w:type="dxa"/>
                                  <w:tcBorders>
                                    <w:left w:val="nil"/>
                                    <w:bottom w:val="single" w:sz="4" w:space="0" w:color="000000"/>
                                    <w:right w:val="nil"/>
                                  </w:tcBorders>
                                  <w:shd w:val="clear" w:color="auto" w:fill="E8E8E8"/>
                                </w:tcPr>
                                <w:p>
                                  <w:pPr>
                                    <w:pStyle w:val="TableParagraph"/>
                                    <w:rPr>
                                      <w:rFonts w:ascii="Times New Roman"/>
                                      <w:sz w:val="6"/>
                                    </w:rPr>
                                  </w:pPr>
                                </w:p>
                              </w:tc>
                              <w:tc>
                                <w:tcPr>
                                  <w:tcW w:w="633" w:type="dxa"/>
                                  <w:tcBorders>
                                    <w:left w:val="nil"/>
                                    <w:bottom w:val="single" w:sz="4" w:space="0" w:color="000000"/>
                                    <w:right w:val="nil"/>
                                  </w:tcBorders>
                                  <w:shd w:val="clear" w:color="auto" w:fill="E8E8E8"/>
                                </w:tcPr>
                                <w:p>
                                  <w:pPr>
                                    <w:pStyle w:val="TableParagraph"/>
                                    <w:rPr>
                                      <w:rFonts w:ascii="Times New Roman"/>
                                      <w:sz w:val="6"/>
                                    </w:rPr>
                                  </w:pPr>
                                </w:p>
                              </w:tc>
                              <w:tc>
                                <w:tcPr>
                                  <w:tcW w:w="633" w:type="dxa"/>
                                  <w:tcBorders>
                                    <w:left w:val="nil"/>
                                    <w:bottom w:val="single" w:sz="4" w:space="0" w:color="000000"/>
                                    <w:right w:val="single" w:sz="4" w:space="0" w:color="000000"/>
                                  </w:tcBorders>
                                  <w:shd w:val="clear" w:color="auto" w:fill="E8E8E8"/>
                                </w:tcPr>
                                <w:p>
                                  <w:pPr>
                                    <w:pStyle w:val="TableParagraph"/>
                                    <w:rPr>
                                      <w:rFonts w:ascii="Times New Roman"/>
                                      <w:sz w:val="6"/>
                                    </w:rPr>
                                  </w:pPr>
                                </w:p>
                              </w:tc>
                            </w:tr>
                            <w:tr>
                              <w:trPr>
                                <w:trHeight w:val="283" w:hRule="atLeast"/>
                              </w:trPr>
                              <w:tc>
                                <w:tcPr>
                                  <w:tcW w:w="2405" w:type="dxa"/>
                                  <w:gridSpan w:val="3"/>
                                  <w:tcBorders>
                                    <w:top w:val="single" w:sz="4" w:space="0" w:color="000000"/>
                                    <w:left w:val="single" w:sz="4" w:space="0" w:color="000000"/>
                                    <w:bottom w:val="single" w:sz="4" w:space="0" w:color="000000"/>
                                    <w:right w:val="nil"/>
                                  </w:tcBorders>
                                  <w:shd w:val="clear" w:color="auto" w:fill="E8E8E8"/>
                                </w:tcPr>
                                <w:p>
                                  <w:pPr>
                                    <w:pStyle w:val="TableParagraph"/>
                                    <w:spacing w:before="25"/>
                                    <w:rPr>
                                      <w:sz w:val="11"/>
                                    </w:rPr>
                                  </w:pPr>
                                </w:p>
                                <w:p>
                                  <w:pPr>
                                    <w:pStyle w:val="TableParagraph"/>
                                    <w:spacing w:line="113" w:lineRule="exact"/>
                                    <w:ind w:left="14"/>
                                    <w:rPr>
                                      <w:rFonts w:ascii="Calibri"/>
                                      <w:sz w:val="11"/>
                                    </w:rPr>
                                  </w:pPr>
                                  <w:r>
                                    <w:rPr>
                                      <w:rFonts w:ascii="Calibri"/>
                                      <w:spacing w:val="-4"/>
                                      <w:sz w:val="11"/>
                                    </w:rPr>
                                    <w:t>TOTAL</w:t>
                                  </w:r>
                                  <w:r>
                                    <w:rPr>
                                      <w:rFonts w:ascii="Calibri"/>
                                      <w:spacing w:val="4"/>
                                      <w:sz w:val="11"/>
                                    </w:rPr>
                                    <w:t> </w:t>
                                  </w:r>
                                  <w:r>
                                    <w:rPr>
                                      <w:rFonts w:ascii="Calibri"/>
                                      <w:spacing w:val="-2"/>
                                      <w:sz w:val="11"/>
                                    </w:rPr>
                                    <w:t>PROCESOS</w:t>
                                  </w:r>
                                </w:p>
                              </w:tc>
                              <w:tc>
                                <w:tcPr>
                                  <w:tcW w:w="509"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48"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878"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1084" w:type="dxa"/>
                                  <w:tcBorders>
                                    <w:top w:val="single" w:sz="4" w:space="0" w:color="000000"/>
                                    <w:left w:val="nil"/>
                                    <w:bottom w:val="single" w:sz="4" w:space="0" w:color="000000"/>
                                    <w:right w:val="nil"/>
                                  </w:tcBorders>
                                  <w:shd w:val="clear" w:color="auto" w:fill="E8E8E8"/>
                                </w:tcPr>
                                <w:p>
                                  <w:pPr>
                                    <w:pStyle w:val="TableParagraph"/>
                                    <w:spacing w:before="27"/>
                                    <w:rPr>
                                      <w:sz w:val="11"/>
                                    </w:rPr>
                                  </w:pPr>
                                </w:p>
                                <w:p>
                                  <w:pPr>
                                    <w:pStyle w:val="TableParagraph"/>
                                    <w:spacing w:line="111" w:lineRule="exact"/>
                                    <w:ind w:right="18"/>
                                    <w:jc w:val="right"/>
                                    <w:rPr>
                                      <w:sz w:val="11"/>
                                    </w:rPr>
                                  </w:pPr>
                                  <w:r>
                                    <w:rPr>
                                      <w:rFonts w:ascii="Times New Roman" w:hAnsi="Times New Roman"/>
                                      <w:sz w:val="11"/>
                                    </w:rPr>
                                    <w:t>₡</w:t>
                                  </w:r>
                                  <w:r>
                                    <w:rPr>
                                      <w:sz w:val="11"/>
                                    </w:rPr>
                                    <w:t>1</w:t>
                                  </w:r>
                                  <w:r>
                                    <w:rPr>
                                      <w:spacing w:val="-1"/>
                                      <w:sz w:val="11"/>
                                    </w:rPr>
                                    <w:t> </w:t>
                                  </w:r>
                                  <w:r>
                                    <w:rPr>
                                      <w:sz w:val="11"/>
                                    </w:rPr>
                                    <w:t>584 </w:t>
                                  </w:r>
                                  <w:r>
                                    <w:rPr>
                                      <w:spacing w:val="-2"/>
                                      <w:sz w:val="11"/>
                                    </w:rPr>
                                    <w:t>968,34</w:t>
                                  </w:r>
                                </w:p>
                              </w:tc>
                              <w:tc>
                                <w:tcPr>
                                  <w:tcW w:w="1879"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33"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33" w:type="dxa"/>
                                  <w:tcBorders>
                                    <w:top w:val="single" w:sz="4" w:space="0" w:color="000000"/>
                                    <w:left w:val="nil"/>
                                    <w:bottom w:val="single" w:sz="4" w:space="0" w:color="000000"/>
                                    <w:right w:val="single" w:sz="4" w:space="0" w:color="000000"/>
                                  </w:tcBorders>
                                  <w:shd w:val="clear" w:color="auto" w:fill="E8E8E8"/>
                                </w:tcPr>
                                <w:p>
                                  <w:pPr>
                                    <w:pStyle w:val="TableParagraph"/>
                                    <w:rPr>
                                      <w:rFonts w:ascii="Times New Roman"/>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99.724442pt;margin-top:425.077576pt;width:439.25pt;height:211.2pt;mso-position-horizontal-relative:page;mso-position-vertical-relative:page;z-index:15796224" type="#_x0000_t202" id="docshape386" filled="false" stroked="false">
                <v:textbox inset="0,0,0,0">
                  <w:txbxContent>
                    <w:tbl>
                      <w:tblPr>
                        <w:tblW w:w="0" w:type="auto"/>
                        <w:jc w:val="left"/>
                        <w:tblInd w:w="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32"/>
                        <w:gridCol w:w="714"/>
                        <w:gridCol w:w="1059"/>
                        <w:gridCol w:w="509"/>
                        <w:gridCol w:w="648"/>
                        <w:gridCol w:w="878"/>
                        <w:gridCol w:w="1084"/>
                        <w:gridCol w:w="1879"/>
                        <w:gridCol w:w="633"/>
                        <w:gridCol w:w="633"/>
                      </w:tblGrid>
                      <w:tr>
                        <w:trPr>
                          <w:trHeight w:val="337" w:hRule="atLeast"/>
                        </w:trPr>
                        <w:tc>
                          <w:tcPr>
                            <w:tcW w:w="8669" w:type="dxa"/>
                            <w:gridSpan w:val="10"/>
                            <w:tcBorders>
                              <w:top w:val="nil"/>
                              <w:left w:val="nil"/>
                              <w:right w:val="nil"/>
                            </w:tcBorders>
                            <w:shd w:val="clear" w:color="auto" w:fill="FFFFFF"/>
                          </w:tcPr>
                          <w:p>
                            <w:pPr>
                              <w:pStyle w:val="TableParagraph"/>
                              <w:spacing w:before="8"/>
                              <w:ind w:right="2"/>
                              <w:jc w:val="center"/>
                              <w:rPr>
                                <w:rFonts w:ascii="Calibri"/>
                                <w:b/>
                                <w:sz w:val="14"/>
                              </w:rPr>
                            </w:pPr>
                            <w:r>
                              <w:rPr>
                                <w:rFonts w:ascii="Calibri"/>
                                <w:b/>
                                <w:spacing w:val="-4"/>
                                <w:sz w:val="14"/>
                              </w:rPr>
                              <w:t>INSTITUTO</w:t>
                            </w:r>
                            <w:r>
                              <w:rPr>
                                <w:rFonts w:ascii="Calibri"/>
                                <w:b/>
                                <w:spacing w:val="-1"/>
                                <w:sz w:val="14"/>
                              </w:rPr>
                              <w:t> </w:t>
                            </w:r>
                            <w:r>
                              <w:rPr>
                                <w:rFonts w:ascii="Calibri"/>
                                <w:b/>
                                <w:spacing w:val="-4"/>
                                <w:sz w:val="14"/>
                              </w:rPr>
                              <w:t>MIXTO</w:t>
                            </w:r>
                            <w:r>
                              <w:rPr>
                                <w:rFonts w:ascii="Calibri"/>
                                <w:b/>
                                <w:spacing w:val="-1"/>
                                <w:sz w:val="14"/>
                              </w:rPr>
                              <w:t> </w:t>
                            </w:r>
                            <w:r>
                              <w:rPr>
                                <w:rFonts w:ascii="Calibri"/>
                                <w:b/>
                                <w:spacing w:val="-4"/>
                                <w:sz w:val="14"/>
                              </w:rPr>
                              <w:t>DE</w:t>
                            </w:r>
                            <w:r>
                              <w:rPr>
                                <w:rFonts w:ascii="Calibri"/>
                                <w:b/>
                                <w:spacing w:val="-3"/>
                                <w:sz w:val="14"/>
                              </w:rPr>
                              <w:t> </w:t>
                            </w:r>
                            <w:r>
                              <w:rPr>
                                <w:rFonts w:ascii="Calibri"/>
                                <w:b/>
                                <w:spacing w:val="-4"/>
                                <w:sz w:val="14"/>
                              </w:rPr>
                              <w:t>AYUDA</w:t>
                            </w:r>
                            <w:r>
                              <w:rPr>
                                <w:rFonts w:ascii="Calibri"/>
                                <w:b/>
                                <w:spacing w:val="-1"/>
                                <w:sz w:val="14"/>
                              </w:rPr>
                              <w:t> </w:t>
                            </w:r>
                            <w:r>
                              <w:rPr>
                                <w:rFonts w:ascii="Calibri"/>
                                <w:b/>
                                <w:spacing w:val="-4"/>
                                <w:sz w:val="14"/>
                              </w:rPr>
                              <w:t>SOCIAL</w:t>
                            </w:r>
                          </w:p>
                          <w:p>
                            <w:pPr>
                              <w:pStyle w:val="TableParagraph"/>
                              <w:spacing w:line="127" w:lineRule="exact" w:before="12"/>
                              <w:ind w:left="2" w:right="2"/>
                              <w:jc w:val="center"/>
                              <w:rPr>
                                <w:rFonts w:ascii="Calibri"/>
                                <w:b/>
                                <w:sz w:val="12"/>
                              </w:rPr>
                            </w:pPr>
                            <w:r>
                              <w:rPr>
                                <w:rFonts w:ascii="Calibri"/>
                                <w:b/>
                                <w:sz w:val="12"/>
                              </w:rPr>
                              <w:t>DETALLE DE PROCESOS JUDICALES AL</w:t>
                            </w:r>
                            <w:r>
                              <w:rPr>
                                <w:rFonts w:ascii="Calibri"/>
                                <w:b/>
                                <w:spacing w:val="-4"/>
                                <w:sz w:val="12"/>
                              </w:rPr>
                              <w:t> </w:t>
                            </w:r>
                            <w:r>
                              <w:rPr>
                                <w:rFonts w:ascii="Calibri"/>
                                <w:b/>
                                <w:sz w:val="12"/>
                              </w:rPr>
                              <w:t>31</w:t>
                            </w:r>
                            <w:r>
                              <w:rPr>
                                <w:rFonts w:ascii="Calibri"/>
                                <w:b/>
                                <w:spacing w:val="24"/>
                                <w:sz w:val="12"/>
                              </w:rPr>
                              <w:t> </w:t>
                            </w:r>
                            <w:r>
                              <w:rPr>
                                <w:rFonts w:ascii="Calibri"/>
                                <w:b/>
                                <w:sz w:val="12"/>
                              </w:rPr>
                              <w:t>DE JULIO</w:t>
                            </w:r>
                            <w:r>
                              <w:rPr>
                                <w:rFonts w:ascii="Calibri"/>
                                <w:b/>
                                <w:spacing w:val="-3"/>
                                <w:sz w:val="12"/>
                              </w:rPr>
                              <w:t> </w:t>
                            </w:r>
                            <w:r>
                              <w:rPr>
                                <w:rFonts w:ascii="Calibri"/>
                                <w:b/>
                                <w:spacing w:val="-4"/>
                                <w:sz w:val="12"/>
                              </w:rPr>
                              <w:t>2026</w:t>
                            </w:r>
                          </w:p>
                        </w:tc>
                      </w:tr>
                      <w:tr>
                        <w:trPr>
                          <w:trHeight w:val="212" w:hRule="atLeast"/>
                        </w:trPr>
                        <w:tc>
                          <w:tcPr>
                            <w:tcW w:w="632" w:type="dxa"/>
                            <w:shd w:val="clear" w:color="auto" w:fill="E8E8E8"/>
                          </w:tcPr>
                          <w:p>
                            <w:pPr>
                              <w:pStyle w:val="TableParagraph"/>
                              <w:spacing w:before="7"/>
                              <w:ind w:left="131"/>
                              <w:rPr>
                                <w:rFonts w:ascii="Calibri"/>
                                <w:b/>
                                <w:sz w:val="8"/>
                              </w:rPr>
                            </w:pPr>
                            <w:r>
                              <w:rPr>
                                <w:rFonts w:ascii="Calibri"/>
                                <w:b/>
                                <w:spacing w:val="-2"/>
                                <w:w w:val="105"/>
                                <w:sz w:val="8"/>
                              </w:rPr>
                              <w:t>EMPRESAS</w:t>
                            </w:r>
                          </w:p>
                          <w:p>
                            <w:pPr>
                              <w:pStyle w:val="TableParagraph"/>
                              <w:spacing w:line="79" w:lineRule="exact" w:before="9"/>
                              <w:ind w:left="68"/>
                              <w:rPr>
                                <w:rFonts w:ascii="Calibri"/>
                                <w:b/>
                                <w:sz w:val="8"/>
                              </w:rPr>
                            </w:pPr>
                            <w:r>
                              <w:rPr>
                                <w:rFonts w:ascii="Calibri"/>
                                <w:b/>
                                <w:spacing w:val="-2"/>
                                <w:w w:val="105"/>
                                <w:sz w:val="8"/>
                              </w:rPr>
                              <w:t>COMERCIALES</w:t>
                            </w:r>
                          </w:p>
                        </w:tc>
                        <w:tc>
                          <w:tcPr>
                            <w:tcW w:w="714" w:type="dxa"/>
                            <w:shd w:val="clear" w:color="auto" w:fill="E8E8E8"/>
                          </w:tcPr>
                          <w:p>
                            <w:pPr>
                              <w:pStyle w:val="TableParagraph"/>
                              <w:rPr>
                                <w:rFonts w:ascii="Times New Roman"/>
                                <w:sz w:val="8"/>
                              </w:rPr>
                            </w:pPr>
                          </w:p>
                        </w:tc>
                        <w:tc>
                          <w:tcPr>
                            <w:tcW w:w="1059" w:type="dxa"/>
                            <w:shd w:val="clear" w:color="auto" w:fill="E8E8E8"/>
                          </w:tcPr>
                          <w:p>
                            <w:pPr>
                              <w:pStyle w:val="TableParagraph"/>
                              <w:rPr>
                                <w:rFonts w:ascii="Times New Roman"/>
                                <w:sz w:val="8"/>
                              </w:rPr>
                            </w:pPr>
                          </w:p>
                        </w:tc>
                        <w:tc>
                          <w:tcPr>
                            <w:tcW w:w="509" w:type="dxa"/>
                            <w:shd w:val="clear" w:color="auto" w:fill="E8E8E8"/>
                          </w:tcPr>
                          <w:p>
                            <w:pPr>
                              <w:pStyle w:val="TableParagraph"/>
                              <w:rPr>
                                <w:rFonts w:ascii="Times New Roman"/>
                                <w:sz w:val="8"/>
                              </w:rPr>
                            </w:pPr>
                          </w:p>
                        </w:tc>
                        <w:tc>
                          <w:tcPr>
                            <w:tcW w:w="648" w:type="dxa"/>
                            <w:shd w:val="clear" w:color="auto" w:fill="E8E8E8"/>
                          </w:tcPr>
                          <w:p>
                            <w:pPr>
                              <w:pStyle w:val="TableParagraph"/>
                              <w:rPr>
                                <w:rFonts w:ascii="Times New Roman"/>
                                <w:sz w:val="8"/>
                              </w:rPr>
                            </w:pPr>
                          </w:p>
                        </w:tc>
                        <w:tc>
                          <w:tcPr>
                            <w:tcW w:w="878" w:type="dxa"/>
                            <w:shd w:val="clear" w:color="auto" w:fill="E8E8E8"/>
                          </w:tcPr>
                          <w:p>
                            <w:pPr>
                              <w:pStyle w:val="TableParagraph"/>
                              <w:rPr>
                                <w:rFonts w:ascii="Times New Roman"/>
                                <w:sz w:val="8"/>
                              </w:rPr>
                            </w:pPr>
                          </w:p>
                        </w:tc>
                        <w:tc>
                          <w:tcPr>
                            <w:tcW w:w="1084" w:type="dxa"/>
                            <w:shd w:val="clear" w:color="auto" w:fill="E8E8E8"/>
                          </w:tcPr>
                          <w:p>
                            <w:pPr>
                              <w:pStyle w:val="TableParagraph"/>
                              <w:rPr>
                                <w:rFonts w:ascii="Times New Roman"/>
                                <w:sz w:val="8"/>
                              </w:rPr>
                            </w:pPr>
                          </w:p>
                        </w:tc>
                        <w:tc>
                          <w:tcPr>
                            <w:tcW w:w="1879" w:type="dxa"/>
                            <w:shd w:val="clear" w:color="auto" w:fill="E8E8E8"/>
                          </w:tcPr>
                          <w:p>
                            <w:pPr>
                              <w:pStyle w:val="TableParagraph"/>
                              <w:rPr>
                                <w:rFonts w:ascii="Times New Roman"/>
                                <w:sz w:val="8"/>
                              </w:rPr>
                            </w:pPr>
                          </w:p>
                        </w:tc>
                        <w:tc>
                          <w:tcPr>
                            <w:tcW w:w="633" w:type="dxa"/>
                            <w:shd w:val="clear" w:color="auto" w:fill="FFFFFF"/>
                          </w:tcPr>
                          <w:p>
                            <w:pPr>
                              <w:pStyle w:val="TableParagraph"/>
                              <w:rPr>
                                <w:rFonts w:ascii="Times New Roman"/>
                                <w:sz w:val="8"/>
                              </w:rPr>
                            </w:pPr>
                          </w:p>
                        </w:tc>
                        <w:tc>
                          <w:tcPr>
                            <w:tcW w:w="633" w:type="dxa"/>
                            <w:shd w:val="clear" w:color="auto" w:fill="FFFFFF"/>
                          </w:tcPr>
                          <w:p>
                            <w:pPr>
                              <w:pStyle w:val="TableParagraph"/>
                              <w:rPr>
                                <w:rFonts w:ascii="Times New Roman"/>
                                <w:sz w:val="8"/>
                              </w:rPr>
                            </w:pPr>
                          </w:p>
                        </w:tc>
                      </w:tr>
                      <w:tr>
                        <w:trPr>
                          <w:trHeight w:val="841" w:hRule="atLeast"/>
                        </w:trPr>
                        <w:tc>
                          <w:tcPr>
                            <w:tcW w:w="632"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101" w:right="36" w:hanging="52"/>
                              <w:rPr>
                                <w:rFonts w:ascii="Calibri"/>
                                <w:b/>
                                <w:sz w:val="8"/>
                              </w:rPr>
                            </w:pPr>
                            <w:r>
                              <w:rPr>
                                <w:rFonts w:ascii="Calibri"/>
                                <w:b/>
                                <w:spacing w:val="-2"/>
                                <w:w w:val="105"/>
                                <w:sz w:val="8"/>
                              </w:rPr>
                              <w:t>IMAS-</w:t>
                            </w:r>
                            <w:r>
                              <w:rPr>
                                <w:rFonts w:ascii="Calibri"/>
                                <w:b/>
                                <w:spacing w:val="-2"/>
                                <w:w w:val="105"/>
                                <w:sz w:val="8"/>
                              </w:rPr>
                              <w:t>Empresas</w:t>
                            </w:r>
                            <w:r>
                              <w:rPr>
                                <w:rFonts w:ascii="Calibri"/>
                                <w:b/>
                                <w:spacing w:val="40"/>
                                <w:w w:val="105"/>
                                <w:sz w:val="8"/>
                              </w:rPr>
                              <w:t> </w:t>
                            </w:r>
                            <w:r>
                              <w:rPr>
                                <w:rFonts w:ascii="Calibri"/>
                                <w:b/>
                                <w:spacing w:val="-2"/>
                                <w:w w:val="105"/>
                                <w:sz w:val="8"/>
                              </w:rPr>
                              <w:t>Comerciales</w:t>
                            </w:r>
                          </w:p>
                        </w:tc>
                        <w:tc>
                          <w:tcPr>
                            <w:tcW w:w="71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201"/>
                              <w:rPr>
                                <w:rFonts w:ascii="Calibri"/>
                                <w:b/>
                                <w:sz w:val="8"/>
                              </w:rPr>
                            </w:pPr>
                            <w:r>
                              <w:rPr>
                                <w:rFonts w:ascii="Calibri"/>
                                <w:b/>
                                <w:spacing w:val="-2"/>
                                <w:sz w:val="8"/>
                              </w:rPr>
                              <w:t>LABORAL</w:t>
                            </w:r>
                          </w:p>
                        </w:tc>
                        <w:tc>
                          <w:tcPr>
                            <w:tcW w:w="105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8" w:right="7"/>
                              <w:jc w:val="center"/>
                              <w:rPr>
                                <w:rFonts w:ascii="Calibri"/>
                                <w:sz w:val="8"/>
                              </w:rPr>
                            </w:pPr>
                            <w:r>
                              <w:rPr>
                                <w:rFonts w:ascii="Calibri"/>
                                <w:sz w:val="8"/>
                              </w:rPr>
                              <w:t>17-003002-0173-</w:t>
                            </w:r>
                            <w:r>
                              <w:rPr>
                                <w:rFonts w:ascii="Calibri"/>
                                <w:spacing w:val="-5"/>
                                <w:sz w:val="8"/>
                              </w:rPr>
                              <w:t>LA</w:t>
                            </w:r>
                          </w:p>
                        </w:tc>
                        <w:tc>
                          <w:tcPr>
                            <w:tcW w:w="50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8"/>
                              <w:rPr>
                                <w:sz w:val="8"/>
                              </w:rPr>
                            </w:pPr>
                          </w:p>
                          <w:p>
                            <w:pPr>
                              <w:pStyle w:val="TableParagraph"/>
                              <w:ind w:left="12" w:right="-29"/>
                              <w:rPr>
                                <w:rFonts w:ascii="Calibri"/>
                                <w:sz w:val="8"/>
                              </w:rPr>
                            </w:pPr>
                            <w:r>
                              <w:rPr>
                                <w:rFonts w:ascii="Calibri"/>
                                <w:sz w:val="8"/>
                              </w:rPr>
                              <w:t>Esteban</w:t>
                            </w:r>
                            <w:r>
                              <w:rPr>
                                <w:rFonts w:ascii="Calibri"/>
                                <w:spacing w:val="1"/>
                                <w:sz w:val="8"/>
                              </w:rPr>
                              <w:t> </w:t>
                            </w:r>
                            <w:r>
                              <w:rPr>
                                <w:rFonts w:ascii="Calibri"/>
                                <w:spacing w:val="-2"/>
                                <w:sz w:val="8"/>
                              </w:rPr>
                              <w:t>Alonso</w:t>
                            </w:r>
                          </w:p>
                        </w:tc>
                        <w:tc>
                          <w:tcPr>
                            <w:tcW w:w="648" w:type="dxa"/>
                            <w:shd w:val="clear" w:color="auto" w:fill="FFFFFF"/>
                          </w:tcPr>
                          <w:p>
                            <w:pPr>
                              <w:pStyle w:val="TableParagraph"/>
                              <w:spacing w:before="19"/>
                              <w:rPr>
                                <w:sz w:val="8"/>
                              </w:rPr>
                            </w:pPr>
                          </w:p>
                          <w:p>
                            <w:pPr>
                              <w:pStyle w:val="TableParagraph"/>
                              <w:ind w:left="99"/>
                              <w:rPr>
                                <w:rFonts w:ascii="Calibri"/>
                                <w:sz w:val="8"/>
                              </w:rPr>
                            </w:pPr>
                            <w:r>
                              <w:rPr>
                                <w:rFonts w:ascii="Calibri"/>
                                <w:spacing w:val="-2"/>
                                <w:sz w:val="8"/>
                              </w:rPr>
                              <w:t>0110090977,</w:t>
                            </w:r>
                          </w:p>
                          <w:p>
                            <w:pPr>
                              <w:pStyle w:val="TableParagraph"/>
                              <w:spacing w:before="8"/>
                              <w:ind w:left="99"/>
                              <w:rPr>
                                <w:rFonts w:ascii="Calibri"/>
                                <w:sz w:val="8"/>
                              </w:rPr>
                            </w:pPr>
                            <w:r>
                              <w:rPr>
                                <w:rFonts w:ascii="Calibri"/>
                                <w:spacing w:val="-2"/>
                                <w:sz w:val="8"/>
                              </w:rPr>
                              <w:t>0205430570,</w:t>
                            </w:r>
                          </w:p>
                          <w:p>
                            <w:pPr>
                              <w:pStyle w:val="TableParagraph"/>
                              <w:spacing w:before="8"/>
                              <w:ind w:left="99"/>
                              <w:rPr>
                                <w:rFonts w:ascii="Calibri"/>
                                <w:sz w:val="8"/>
                              </w:rPr>
                            </w:pPr>
                            <w:r>
                              <w:rPr>
                                <w:rFonts w:ascii="Calibri"/>
                                <w:spacing w:val="-2"/>
                                <w:sz w:val="8"/>
                              </w:rPr>
                              <w:t>0109980411,</w:t>
                            </w:r>
                          </w:p>
                          <w:p>
                            <w:pPr>
                              <w:pStyle w:val="TableParagraph"/>
                              <w:spacing w:before="8"/>
                              <w:ind w:left="99"/>
                              <w:rPr>
                                <w:rFonts w:ascii="Calibri"/>
                                <w:sz w:val="8"/>
                              </w:rPr>
                            </w:pPr>
                            <w:r>
                              <w:rPr>
                                <w:rFonts w:ascii="Calibri"/>
                                <w:spacing w:val="-2"/>
                                <w:sz w:val="8"/>
                              </w:rPr>
                              <w:t>0206000340,</w:t>
                            </w:r>
                          </w:p>
                          <w:p>
                            <w:pPr>
                              <w:pStyle w:val="TableParagraph"/>
                              <w:spacing w:before="9"/>
                              <w:ind w:left="84"/>
                              <w:rPr>
                                <w:rFonts w:ascii="Calibri"/>
                                <w:sz w:val="8"/>
                              </w:rPr>
                            </w:pPr>
                            <w:r>
                              <w:rPr>
                                <w:rFonts w:ascii="Calibri"/>
                                <w:sz w:val="8"/>
                              </w:rPr>
                              <w:t>0109040930</w:t>
                            </w:r>
                            <w:r>
                              <w:rPr>
                                <w:rFonts w:ascii="Calibri"/>
                                <w:spacing w:val="6"/>
                                <w:sz w:val="8"/>
                              </w:rPr>
                              <w:t> </w:t>
                            </w:r>
                            <w:r>
                              <w:rPr>
                                <w:rFonts w:ascii="Calibri"/>
                                <w:spacing w:val="-10"/>
                                <w:sz w:val="8"/>
                              </w:rPr>
                              <w:t>y</w:t>
                            </w:r>
                          </w:p>
                          <w:p>
                            <w:pPr>
                              <w:pStyle w:val="TableParagraph"/>
                              <w:spacing w:before="8"/>
                              <w:ind w:left="108"/>
                              <w:rPr>
                                <w:rFonts w:ascii="Calibri"/>
                                <w:sz w:val="8"/>
                              </w:rPr>
                            </w:pPr>
                            <w:r>
                              <w:rPr>
                                <w:rFonts w:ascii="Calibri"/>
                                <w:spacing w:val="-2"/>
                                <w:sz w:val="8"/>
                              </w:rPr>
                              <w:t>0110740735</w:t>
                            </w:r>
                          </w:p>
                        </w:tc>
                        <w:tc>
                          <w:tcPr>
                            <w:tcW w:w="878" w:type="dxa"/>
                            <w:shd w:val="clear" w:color="auto" w:fill="FFFFFF"/>
                          </w:tcPr>
                          <w:p>
                            <w:pPr>
                              <w:pStyle w:val="TableParagraph"/>
                              <w:rPr>
                                <w:rFonts w:ascii="Times New Roman"/>
                                <w:sz w:val="8"/>
                              </w:rPr>
                            </w:pPr>
                          </w:p>
                        </w:tc>
                        <w:tc>
                          <w:tcPr>
                            <w:tcW w:w="108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10"/>
                              <w:rPr>
                                <w:sz w:val="8"/>
                              </w:rPr>
                            </w:pPr>
                          </w:p>
                          <w:p>
                            <w:pPr>
                              <w:pStyle w:val="TableParagraph"/>
                              <w:ind w:right="12"/>
                              <w:jc w:val="right"/>
                              <w:rPr>
                                <w:sz w:val="8"/>
                              </w:rPr>
                            </w:pPr>
                            <w:r>
                              <w:rPr>
                                <w:rFonts w:ascii="Times New Roman" w:hAnsi="Times New Roman"/>
                                <w:sz w:val="8"/>
                              </w:rPr>
                              <w:t>₡</w:t>
                            </w:r>
                            <w:r>
                              <w:rPr>
                                <w:sz w:val="8"/>
                              </w:rPr>
                              <w:t>356 </w:t>
                            </w:r>
                            <w:r>
                              <w:rPr>
                                <w:spacing w:val="-2"/>
                                <w:sz w:val="8"/>
                              </w:rPr>
                              <w:t>585,03</w:t>
                            </w:r>
                          </w:p>
                        </w:tc>
                        <w:tc>
                          <w:tcPr>
                            <w:tcW w:w="1879"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19" w:right="27" w:firstLine="105"/>
                              <w:rPr>
                                <w:rFonts w:ascii="Calibri" w:hAnsi="Calibri"/>
                                <w:sz w:val="8"/>
                              </w:rPr>
                            </w:pPr>
                            <w:r>
                              <w:rPr>
                                <w:rFonts w:ascii="Calibri" w:hAnsi="Calibri"/>
                                <w:sz w:val="8"/>
                              </w:rPr>
                              <w:t>En casación. Demanda parcialmente con lugar en</w:t>
                            </w:r>
                            <w:r>
                              <w:rPr>
                                <w:rFonts w:ascii="Calibri" w:hAnsi="Calibri"/>
                                <w:spacing w:val="40"/>
                                <w:sz w:val="8"/>
                              </w:rPr>
                              <w:t> </w:t>
                            </w:r>
                            <w:r>
                              <w:rPr>
                                <w:rFonts w:ascii="Calibri" w:hAnsi="Calibri"/>
                                <w:sz w:val="8"/>
                              </w:rPr>
                              <w:t>primera</w:t>
                            </w:r>
                            <w:r>
                              <w:rPr>
                                <w:rFonts w:ascii="Calibri" w:hAnsi="Calibri"/>
                                <w:spacing w:val="-5"/>
                                <w:sz w:val="8"/>
                              </w:rPr>
                              <w:t> </w:t>
                            </w:r>
                            <w:r>
                              <w:rPr>
                                <w:rFonts w:ascii="Calibri" w:hAnsi="Calibri"/>
                                <w:sz w:val="8"/>
                              </w:rPr>
                              <w:t>instancia.</w:t>
                            </w:r>
                            <w:r>
                              <w:rPr>
                                <w:rFonts w:ascii="Calibri" w:hAnsi="Calibri"/>
                                <w:spacing w:val="-5"/>
                                <w:sz w:val="8"/>
                              </w:rPr>
                              <w:t> </w:t>
                            </w:r>
                            <w:r>
                              <w:rPr>
                                <w:rFonts w:ascii="Calibri" w:hAnsi="Calibri"/>
                                <w:sz w:val="8"/>
                              </w:rPr>
                              <w:t>(No</w:t>
                            </w:r>
                            <w:r>
                              <w:rPr>
                                <w:rFonts w:ascii="Calibri" w:hAnsi="Calibri"/>
                                <w:spacing w:val="-4"/>
                                <w:sz w:val="8"/>
                              </w:rPr>
                              <w:t> </w:t>
                            </w:r>
                            <w:r>
                              <w:rPr>
                                <w:rFonts w:ascii="Calibri" w:hAnsi="Calibri"/>
                                <w:sz w:val="8"/>
                              </w:rPr>
                              <w:t>firme</w:t>
                            </w:r>
                            <w:r>
                              <w:rPr>
                                <w:rFonts w:ascii="Calibri" w:hAnsi="Calibri"/>
                                <w:spacing w:val="-5"/>
                                <w:sz w:val="8"/>
                              </w:rPr>
                              <w:t> </w:t>
                            </w:r>
                            <w:r>
                              <w:rPr>
                                <w:rFonts w:ascii="Calibri" w:hAnsi="Calibri"/>
                                <w:sz w:val="8"/>
                              </w:rPr>
                              <w:t>IMAS</w:t>
                            </w:r>
                            <w:r>
                              <w:rPr>
                                <w:rFonts w:ascii="Calibri" w:hAnsi="Calibri"/>
                                <w:spacing w:val="-4"/>
                                <w:sz w:val="8"/>
                              </w:rPr>
                              <w:t> </w:t>
                            </w:r>
                            <w:r>
                              <w:rPr>
                                <w:rFonts w:ascii="Calibri" w:hAnsi="Calibri"/>
                                <w:sz w:val="8"/>
                              </w:rPr>
                              <w:t>impugnó</w:t>
                            </w:r>
                            <w:r>
                              <w:rPr>
                                <w:rFonts w:ascii="Calibri" w:hAnsi="Calibri"/>
                                <w:spacing w:val="-5"/>
                                <w:sz w:val="8"/>
                              </w:rPr>
                              <w:t> </w:t>
                            </w:r>
                            <w:r>
                              <w:rPr>
                                <w:rFonts w:ascii="Calibri" w:hAnsi="Calibri"/>
                                <w:sz w:val="8"/>
                              </w:rPr>
                              <w:t>la</w:t>
                            </w:r>
                            <w:r>
                              <w:rPr>
                                <w:rFonts w:ascii="Calibri" w:hAnsi="Calibri"/>
                                <w:spacing w:val="-4"/>
                                <w:sz w:val="8"/>
                              </w:rPr>
                              <w:t> </w:t>
                            </w:r>
                            <w:r>
                              <w:rPr>
                                <w:rFonts w:ascii="Calibri" w:hAnsi="Calibri"/>
                                <w:sz w:val="8"/>
                              </w:rPr>
                              <w:t>sentencia)</w:t>
                            </w:r>
                          </w:p>
                        </w:tc>
                        <w:tc>
                          <w:tcPr>
                            <w:tcW w:w="633" w:type="dxa"/>
                            <w:shd w:val="clear" w:color="auto" w:fill="FFFFFF"/>
                          </w:tcPr>
                          <w:p>
                            <w:pPr>
                              <w:pStyle w:val="TableParagraph"/>
                              <w:rPr>
                                <w:sz w:val="8"/>
                              </w:rPr>
                            </w:pPr>
                          </w:p>
                          <w:p>
                            <w:pPr>
                              <w:pStyle w:val="TableParagraph"/>
                              <w:rPr>
                                <w:sz w:val="8"/>
                              </w:rPr>
                            </w:pPr>
                          </w:p>
                          <w:p>
                            <w:pPr>
                              <w:pStyle w:val="TableParagraph"/>
                              <w:spacing w:before="48"/>
                              <w:rPr>
                                <w:sz w:val="8"/>
                              </w:rPr>
                            </w:pPr>
                          </w:p>
                          <w:p>
                            <w:pPr>
                              <w:pStyle w:val="TableParagraph"/>
                              <w:spacing w:line="259" w:lineRule="auto"/>
                              <w:ind w:left="232" w:hanging="176"/>
                              <w:rPr>
                                <w:rFonts w:ascii="Calibri"/>
                                <w:sz w:val="8"/>
                              </w:rPr>
                            </w:pPr>
                            <w:r>
                              <w:rPr>
                                <w:rFonts w:ascii="Calibri"/>
                                <w:spacing w:val="-2"/>
                                <w:sz w:val="8"/>
                              </w:rPr>
                              <w:t>Provisionado</w:t>
                            </w:r>
                            <w:r>
                              <w:rPr>
                                <w:rFonts w:ascii="Calibri"/>
                                <w:spacing w:val="-3"/>
                                <w:sz w:val="8"/>
                              </w:rPr>
                              <w:t> </w:t>
                            </w:r>
                            <w:r>
                              <w:rPr>
                                <w:rFonts w:ascii="Calibri"/>
                                <w:spacing w:val="-2"/>
                                <w:sz w:val="8"/>
                              </w:rPr>
                              <w:t>el</w:t>
                            </w:r>
                            <w:r>
                              <w:rPr>
                                <w:rFonts w:ascii="Calibri"/>
                                <w:spacing w:val="40"/>
                                <w:sz w:val="8"/>
                              </w:rPr>
                              <w:t> </w:t>
                            </w:r>
                            <w:r>
                              <w:rPr>
                                <w:rFonts w:ascii="Calibri"/>
                                <w:spacing w:val="-4"/>
                                <w:sz w:val="8"/>
                              </w:rPr>
                              <w:t>70%</w:t>
                            </w:r>
                          </w:p>
                        </w:tc>
                        <w:tc>
                          <w:tcPr>
                            <w:tcW w:w="633" w:type="dxa"/>
                            <w:shd w:val="clear" w:color="auto" w:fill="FFFFFF"/>
                          </w:tcPr>
                          <w:p>
                            <w:pPr>
                              <w:pStyle w:val="TableParagraph"/>
                              <w:spacing w:before="70"/>
                              <w:rPr>
                                <w:sz w:val="8"/>
                              </w:rPr>
                            </w:pPr>
                          </w:p>
                          <w:p>
                            <w:pPr>
                              <w:pStyle w:val="TableParagraph"/>
                              <w:spacing w:line="259" w:lineRule="auto"/>
                              <w:ind w:right="11"/>
                              <w:jc w:val="center"/>
                              <w:rPr>
                                <w:rFonts w:ascii="Calibri" w:hAnsi="Calibri"/>
                                <w:sz w:val="8"/>
                              </w:rPr>
                            </w:pPr>
                            <w:r>
                              <w:rPr>
                                <w:rFonts w:ascii="Calibri" w:hAnsi="Calibri"/>
                                <w:sz w:val="8"/>
                              </w:rPr>
                              <w:t>Con</w:t>
                            </w:r>
                            <w:r>
                              <w:rPr>
                                <w:rFonts w:ascii="Calibri" w:hAnsi="Calibri"/>
                                <w:spacing w:val="-5"/>
                                <w:sz w:val="8"/>
                              </w:rPr>
                              <w:t> </w:t>
                            </w:r>
                            <w:r>
                              <w:rPr>
                                <w:rFonts w:ascii="Calibri" w:hAnsi="Calibri"/>
                                <w:sz w:val="8"/>
                              </w:rPr>
                              <w:t>un</w:t>
                            </w:r>
                            <w:r>
                              <w:rPr>
                                <w:rFonts w:ascii="Calibri" w:hAnsi="Calibri"/>
                                <w:spacing w:val="-5"/>
                                <w:sz w:val="8"/>
                              </w:rPr>
                              <w:t> </w:t>
                            </w:r>
                            <w:r>
                              <w:rPr>
                                <w:rFonts w:ascii="Calibri" w:hAnsi="Calibri"/>
                                <w:sz w:val="8"/>
                              </w:rPr>
                              <w:t>grado</w:t>
                            </w:r>
                            <w:r>
                              <w:rPr>
                                <w:rFonts w:ascii="Calibri" w:hAnsi="Calibri"/>
                                <w:spacing w:val="-4"/>
                                <w:sz w:val="8"/>
                              </w:rPr>
                              <w:t> </w:t>
                            </w:r>
                            <w:r>
                              <w:rPr>
                                <w:rFonts w:ascii="Calibri" w:hAnsi="Calibri"/>
                                <w:sz w:val="8"/>
                              </w:rPr>
                              <w:t>de</w:t>
                            </w:r>
                            <w:r>
                              <w:rPr>
                                <w:rFonts w:ascii="Calibri" w:hAnsi="Calibri"/>
                                <w:spacing w:val="40"/>
                                <w:sz w:val="8"/>
                              </w:rPr>
                              <w:t> </w:t>
                            </w:r>
                            <w:r>
                              <w:rPr>
                                <w:rFonts w:ascii="Calibri" w:hAnsi="Calibri"/>
                                <w:spacing w:val="-2"/>
                                <w:sz w:val="8"/>
                              </w:rPr>
                              <w:t>probabilidad</w:t>
                            </w:r>
                            <w:r>
                              <w:rPr>
                                <w:rFonts w:ascii="Calibri" w:hAnsi="Calibri"/>
                                <w:spacing w:val="40"/>
                                <w:sz w:val="8"/>
                              </w:rPr>
                              <w:t> </w:t>
                            </w:r>
                            <w:r>
                              <w:rPr>
                                <w:rFonts w:ascii="Calibri" w:hAnsi="Calibri"/>
                                <w:sz w:val="8"/>
                              </w:rPr>
                              <w:t>razonable</w:t>
                            </w:r>
                            <w:r>
                              <w:rPr>
                                <w:rFonts w:ascii="Calibri" w:hAnsi="Calibri"/>
                                <w:spacing w:val="-5"/>
                                <w:sz w:val="8"/>
                              </w:rPr>
                              <w:t> </w:t>
                            </w:r>
                            <w:r>
                              <w:rPr>
                                <w:rFonts w:ascii="Calibri" w:hAnsi="Calibri"/>
                                <w:sz w:val="8"/>
                              </w:rPr>
                              <w:t>no</w:t>
                            </w:r>
                            <w:r>
                              <w:rPr>
                                <w:rFonts w:ascii="Calibri" w:hAnsi="Calibri"/>
                                <w:spacing w:val="-5"/>
                                <w:sz w:val="8"/>
                              </w:rPr>
                              <w:t> </w:t>
                            </w:r>
                            <w:r>
                              <w:rPr>
                                <w:rFonts w:ascii="Calibri" w:hAnsi="Calibri"/>
                                <w:sz w:val="8"/>
                              </w:rPr>
                              <w:t>se</w:t>
                            </w:r>
                            <w:r>
                              <w:rPr>
                                <w:rFonts w:ascii="Calibri" w:hAnsi="Calibri"/>
                                <w:spacing w:val="40"/>
                                <w:sz w:val="8"/>
                              </w:rPr>
                              <w:t> </w:t>
                            </w:r>
                            <w:r>
                              <w:rPr>
                                <w:rFonts w:ascii="Calibri" w:hAnsi="Calibri"/>
                                <w:sz w:val="8"/>
                              </w:rPr>
                              <w:t>realizará</w:t>
                            </w:r>
                            <w:r>
                              <w:rPr>
                                <w:rFonts w:ascii="Calibri" w:hAnsi="Calibri"/>
                                <w:spacing w:val="-5"/>
                                <w:sz w:val="8"/>
                              </w:rPr>
                              <w:t> </w:t>
                            </w:r>
                            <w:r>
                              <w:rPr>
                                <w:rFonts w:ascii="Calibri" w:hAnsi="Calibri"/>
                                <w:sz w:val="8"/>
                              </w:rPr>
                              <w:t>arreglo</w:t>
                            </w:r>
                            <w:r>
                              <w:rPr>
                                <w:rFonts w:ascii="Calibri" w:hAnsi="Calibri"/>
                                <w:spacing w:val="40"/>
                                <w:sz w:val="8"/>
                              </w:rPr>
                              <w:t> </w:t>
                            </w:r>
                            <w:r>
                              <w:rPr>
                                <w:rFonts w:ascii="Calibri" w:hAnsi="Calibri"/>
                                <w:spacing w:val="-2"/>
                                <w:sz w:val="8"/>
                              </w:rPr>
                              <w:t>extrajudicial.</w:t>
                            </w:r>
                          </w:p>
                        </w:tc>
                      </w:tr>
                      <w:tr>
                        <w:trPr>
                          <w:trHeight w:val="2372" w:hRule="atLeast"/>
                        </w:trPr>
                        <w:tc>
                          <w:tcPr>
                            <w:tcW w:w="632"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83"/>
                              <w:rPr>
                                <w:sz w:val="8"/>
                              </w:rPr>
                            </w:pPr>
                          </w:p>
                          <w:p>
                            <w:pPr>
                              <w:pStyle w:val="TableParagraph"/>
                              <w:spacing w:line="259" w:lineRule="auto"/>
                              <w:ind w:left="101" w:right="36" w:hanging="52"/>
                              <w:rPr>
                                <w:rFonts w:ascii="Calibri"/>
                                <w:b/>
                                <w:sz w:val="8"/>
                              </w:rPr>
                            </w:pPr>
                            <w:r>
                              <w:rPr>
                                <w:rFonts w:ascii="Calibri"/>
                                <w:b/>
                                <w:spacing w:val="-2"/>
                                <w:w w:val="105"/>
                                <w:sz w:val="8"/>
                              </w:rPr>
                              <w:t>IMAS-</w:t>
                            </w:r>
                            <w:r>
                              <w:rPr>
                                <w:rFonts w:ascii="Calibri"/>
                                <w:b/>
                                <w:spacing w:val="-2"/>
                                <w:w w:val="105"/>
                                <w:sz w:val="8"/>
                              </w:rPr>
                              <w:t>Empresas</w:t>
                            </w:r>
                            <w:r>
                              <w:rPr>
                                <w:rFonts w:ascii="Calibri"/>
                                <w:b/>
                                <w:spacing w:val="40"/>
                                <w:w w:val="105"/>
                                <w:sz w:val="8"/>
                              </w:rPr>
                              <w:t> </w:t>
                            </w:r>
                            <w:r>
                              <w:rPr>
                                <w:rFonts w:ascii="Calibri"/>
                                <w:b/>
                                <w:spacing w:val="-2"/>
                                <w:w w:val="105"/>
                                <w:sz w:val="8"/>
                              </w:rPr>
                              <w:t>Comerciales</w:t>
                            </w:r>
                          </w:p>
                        </w:tc>
                        <w:tc>
                          <w:tcPr>
                            <w:tcW w:w="71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29"/>
                              <w:rPr>
                                <w:sz w:val="8"/>
                              </w:rPr>
                            </w:pPr>
                          </w:p>
                          <w:p>
                            <w:pPr>
                              <w:pStyle w:val="TableParagraph"/>
                              <w:spacing w:line="259" w:lineRule="auto"/>
                              <w:ind w:left="34" w:right="31"/>
                              <w:jc w:val="center"/>
                              <w:rPr>
                                <w:rFonts w:ascii="Calibri" w:hAnsi="Calibri"/>
                                <w:b/>
                                <w:sz w:val="8"/>
                              </w:rPr>
                            </w:pPr>
                            <w:r>
                              <w:rPr>
                                <w:rFonts w:ascii="Calibri" w:hAnsi="Calibri"/>
                                <w:b/>
                                <w:spacing w:val="-2"/>
                                <w:w w:val="105"/>
                                <w:sz w:val="8"/>
                              </w:rPr>
                              <w:t>EJECUCIÓN</w:t>
                            </w:r>
                            <w:r>
                              <w:rPr>
                                <w:rFonts w:ascii="Calibri" w:hAnsi="Calibri"/>
                                <w:b/>
                                <w:spacing w:val="-6"/>
                                <w:w w:val="105"/>
                                <w:sz w:val="8"/>
                              </w:rPr>
                              <w:t> </w:t>
                            </w:r>
                            <w:r>
                              <w:rPr>
                                <w:rFonts w:ascii="Calibri" w:hAnsi="Calibri"/>
                                <w:b/>
                                <w:spacing w:val="-2"/>
                                <w:w w:val="105"/>
                                <w:sz w:val="8"/>
                              </w:rPr>
                              <w:t>DE</w:t>
                            </w:r>
                            <w:r>
                              <w:rPr>
                                <w:rFonts w:ascii="Calibri" w:hAnsi="Calibri"/>
                                <w:b/>
                                <w:spacing w:val="40"/>
                                <w:w w:val="105"/>
                                <w:sz w:val="8"/>
                              </w:rPr>
                              <w:t> </w:t>
                            </w:r>
                            <w:r>
                              <w:rPr>
                                <w:rFonts w:ascii="Calibri" w:hAnsi="Calibri"/>
                                <w:b/>
                                <w:spacing w:val="-2"/>
                                <w:w w:val="105"/>
                                <w:sz w:val="8"/>
                              </w:rPr>
                              <w:t>SENTENCIA</w:t>
                            </w:r>
                            <w:r>
                              <w:rPr>
                                <w:rFonts w:ascii="Calibri" w:hAnsi="Calibri"/>
                                <w:b/>
                                <w:spacing w:val="40"/>
                                <w:w w:val="105"/>
                                <w:sz w:val="8"/>
                              </w:rPr>
                              <w:t> </w:t>
                            </w:r>
                            <w:r>
                              <w:rPr>
                                <w:rFonts w:ascii="Calibri" w:hAnsi="Calibri"/>
                                <w:b/>
                                <w:spacing w:val="-2"/>
                                <w:w w:val="105"/>
                                <w:sz w:val="8"/>
                              </w:rPr>
                              <w:t>LABORAL</w:t>
                            </w:r>
                          </w:p>
                        </w:tc>
                        <w:tc>
                          <w:tcPr>
                            <w:tcW w:w="105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3"/>
                              <w:rPr>
                                <w:sz w:val="8"/>
                              </w:rPr>
                            </w:pPr>
                          </w:p>
                          <w:p>
                            <w:pPr>
                              <w:pStyle w:val="TableParagraph"/>
                              <w:spacing w:before="1"/>
                              <w:ind w:left="8" w:right="7"/>
                              <w:jc w:val="center"/>
                              <w:rPr>
                                <w:rFonts w:ascii="Calibri"/>
                                <w:sz w:val="8"/>
                              </w:rPr>
                            </w:pPr>
                            <w:r>
                              <w:rPr>
                                <w:rFonts w:ascii="Calibri"/>
                                <w:sz w:val="8"/>
                              </w:rPr>
                              <w:t>16-000070-0639-</w:t>
                            </w:r>
                            <w:r>
                              <w:rPr>
                                <w:rFonts w:ascii="Calibri"/>
                                <w:spacing w:val="-5"/>
                                <w:sz w:val="8"/>
                              </w:rPr>
                              <w:t>LA</w:t>
                            </w:r>
                          </w:p>
                        </w:tc>
                        <w:tc>
                          <w:tcPr>
                            <w:tcW w:w="509" w:type="dxa"/>
                            <w:shd w:val="clear" w:color="auto" w:fill="FFFFFF"/>
                          </w:tcPr>
                          <w:p>
                            <w:pPr>
                              <w:pStyle w:val="TableParagraph"/>
                              <w:spacing w:line="75" w:lineRule="exact"/>
                              <w:ind w:left="12"/>
                              <w:rPr>
                                <w:rFonts w:ascii="Calibri" w:hAnsi="Calibri"/>
                                <w:sz w:val="8"/>
                              </w:rPr>
                            </w:pPr>
                            <w:r>
                              <w:rPr>
                                <w:rFonts w:ascii="Calibri" w:hAnsi="Calibri"/>
                                <w:spacing w:val="-2"/>
                                <w:sz w:val="8"/>
                              </w:rPr>
                              <w:t>ADRIÁN</w:t>
                            </w:r>
                          </w:p>
                          <w:p>
                            <w:pPr>
                              <w:pStyle w:val="TableParagraph"/>
                              <w:spacing w:line="259" w:lineRule="auto" w:before="8"/>
                              <w:ind w:left="12" w:right="19"/>
                              <w:rPr>
                                <w:rFonts w:ascii="Calibri" w:hAnsi="Calibri"/>
                                <w:sz w:val="8"/>
                              </w:rPr>
                            </w:pPr>
                            <w:r>
                              <w:rPr>
                                <w:rFonts w:ascii="Calibri" w:hAnsi="Calibri"/>
                                <w:spacing w:val="-2"/>
                                <w:sz w:val="8"/>
                              </w:rPr>
                              <w:t>FRANCISCO</w:t>
                            </w:r>
                            <w:r>
                              <w:rPr>
                                <w:rFonts w:ascii="Calibri" w:hAnsi="Calibri"/>
                                <w:spacing w:val="40"/>
                                <w:sz w:val="8"/>
                              </w:rPr>
                              <w:t> </w:t>
                            </w:r>
                            <w:r>
                              <w:rPr>
                                <w:rFonts w:ascii="Calibri" w:hAnsi="Calibri"/>
                                <w:spacing w:val="-2"/>
                                <w:sz w:val="8"/>
                              </w:rPr>
                              <w:t>CASTRO</w:t>
                            </w:r>
                            <w:r>
                              <w:rPr>
                                <w:rFonts w:ascii="Calibri" w:hAnsi="Calibri"/>
                                <w:spacing w:val="40"/>
                                <w:sz w:val="8"/>
                              </w:rPr>
                              <w:t> </w:t>
                            </w:r>
                            <w:r>
                              <w:rPr>
                                <w:rFonts w:ascii="Calibri" w:hAnsi="Calibri"/>
                                <w:spacing w:val="-2"/>
                                <w:sz w:val="8"/>
                              </w:rPr>
                              <w:t>CORDERO,</w:t>
                            </w:r>
                            <w:r>
                              <w:rPr>
                                <w:rFonts w:ascii="Calibri" w:hAnsi="Calibri"/>
                                <w:spacing w:val="40"/>
                                <w:sz w:val="8"/>
                              </w:rPr>
                              <w:t> </w:t>
                            </w:r>
                            <w:r>
                              <w:rPr>
                                <w:rFonts w:ascii="Calibri" w:hAnsi="Calibri"/>
                                <w:spacing w:val="-2"/>
                                <w:sz w:val="8"/>
                              </w:rPr>
                              <w:t>ALBERTO</w:t>
                            </w:r>
                            <w:r>
                              <w:rPr>
                                <w:rFonts w:ascii="Calibri" w:hAnsi="Calibri"/>
                                <w:spacing w:val="40"/>
                                <w:sz w:val="8"/>
                              </w:rPr>
                              <w:t> </w:t>
                            </w:r>
                            <w:r>
                              <w:rPr>
                                <w:rFonts w:ascii="Calibri" w:hAnsi="Calibri"/>
                                <w:spacing w:val="-2"/>
                                <w:sz w:val="8"/>
                              </w:rPr>
                              <w:t>HERNÁNDEZ</w:t>
                            </w:r>
                            <w:r>
                              <w:rPr>
                                <w:rFonts w:ascii="Calibri" w:hAnsi="Calibri"/>
                                <w:spacing w:val="40"/>
                                <w:sz w:val="8"/>
                              </w:rPr>
                              <w:t> </w:t>
                            </w:r>
                            <w:r>
                              <w:rPr>
                                <w:rFonts w:ascii="Calibri" w:hAnsi="Calibri"/>
                                <w:spacing w:val="-2"/>
                                <w:sz w:val="8"/>
                              </w:rPr>
                              <w:t>MONGE,</w:t>
                            </w:r>
                            <w:r>
                              <w:rPr>
                                <w:rFonts w:ascii="Calibri" w:hAnsi="Calibri"/>
                                <w:spacing w:val="40"/>
                                <w:sz w:val="8"/>
                              </w:rPr>
                              <w:t> </w:t>
                            </w:r>
                            <w:r>
                              <w:rPr>
                                <w:rFonts w:ascii="Calibri" w:hAnsi="Calibri"/>
                                <w:spacing w:val="-2"/>
                                <w:sz w:val="8"/>
                              </w:rPr>
                              <w:t>ALEXANDER</w:t>
                            </w:r>
                            <w:r>
                              <w:rPr>
                                <w:rFonts w:ascii="Calibri" w:hAnsi="Calibri"/>
                                <w:spacing w:val="40"/>
                                <w:sz w:val="8"/>
                              </w:rPr>
                              <w:t> </w:t>
                            </w:r>
                            <w:r>
                              <w:rPr>
                                <w:rFonts w:ascii="Calibri" w:hAnsi="Calibri"/>
                                <w:spacing w:val="-2"/>
                                <w:sz w:val="8"/>
                              </w:rPr>
                              <w:t>HERRERA</w:t>
                            </w:r>
                            <w:r>
                              <w:rPr>
                                <w:rFonts w:ascii="Calibri" w:hAnsi="Calibri"/>
                                <w:spacing w:val="40"/>
                                <w:sz w:val="8"/>
                              </w:rPr>
                              <w:t> </w:t>
                            </w:r>
                            <w:r>
                              <w:rPr>
                                <w:rFonts w:ascii="Calibri" w:hAnsi="Calibri"/>
                                <w:sz w:val="8"/>
                              </w:rPr>
                              <w:t>ARROYO, </w:t>
                            </w:r>
                            <w:r>
                              <w:rPr>
                                <w:rFonts w:ascii="Calibri" w:hAnsi="Calibri"/>
                                <w:sz w:val="8"/>
                              </w:rPr>
                              <w:t>ANA</w:t>
                            </w:r>
                            <w:r>
                              <w:rPr>
                                <w:rFonts w:ascii="Calibri" w:hAnsi="Calibri"/>
                                <w:spacing w:val="40"/>
                                <w:sz w:val="8"/>
                              </w:rPr>
                              <w:t> </w:t>
                            </w:r>
                            <w:r>
                              <w:rPr>
                                <w:rFonts w:ascii="Calibri" w:hAnsi="Calibri"/>
                                <w:spacing w:val="-2"/>
                                <w:sz w:val="8"/>
                              </w:rPr>
                              <w:t>LUCÍA</w:t>
                            </w:r>
                            <w:r>
                              <w:rPr>
                                <w:rFonts w:ascii="Calibri" w:hAnsi="Calibri"/>
                                <w:spacing w:val="80"/>
                                <w:sz w:val="8"/>
                              </w:rPr>
                              <w:t> </w:t>
                            </w:r>
                            <w:r>
                              <w:rPr>
                                <w:rFonts w:ascii="Calibri" w:hAnsi="Calibri"/>
                                <w:spacing w:val="-2"/>
                                <w:sz w:val="8"/>
                              </w:rPr>
                              <w:t>VARGAS</w:t>
                            </w:r>
                            <w:r>
                              <w:rPr>
                                <w:rFonts w:ascii="Calibri" w:hAnsi="Calibri"/>
                                <w:spacing w:val="40"/>
                                <w:sz w:val="8"/>
                              </w:rPr>
                              <w:t> </w:t>
                            </w:r>
                            <w:r>
                              <w:rPr>
                                <w:rFonts w:ascii="Calibri" w:hAnsi="Calibri"/>
                                <w:spacing w:val="-2"/>
                                <w:sz w:val="8"/>
                              </w:rPr>
                              <w:t>DELGADO,</w:t>
                            </w:r>
                            <w:r>
                              <w:rPr>
                                <w:rFonts w:ascii="Calibri" w:hAnsi="Calibri"/>
                                <w:spacing w:val="40"/>
                                <w:sz w:val="8"/>
                              </w:rPr>
                              <w:t> </w:t>
                            </w:r>
                            <w:r>
                              <w:rPr>
                                <w:rFonts w:ascii="Calibri" w:hAnsi="Calibri"/>
                                <w:spacing w:val="-2"/>
                                <w:sz w:val="8"/>
                              </w:rPr>
                              <w:t>CARLOS</w:t>
                            </w:r>
                            <w:r>
                              <w:rPr>
                                <w:rFonts w:ascii="Calibri" w:hAnsi="Calibri"/>
                                <w:spacing w:val="40"/>
                                <w:sz w:val="8"/>
                              </w:rPr>
                              <w:t> </w:t>
                            </w:r>
                            <w:r>
                              <w:rPr>
                                <w:rFonts w:ascii="Calibri" w:hAnsi="Calibri"/>
                                <w:spacing w:val="-2"/>
                                <w:sz w:val="8"/>
                              </w:rPr>
                              <w:t>ALBERTO</w:t>
                            </w:r>
                            <w:r>
                              <w:rPr>
                                <w:rFonts w:ascii="Calibri" w:hAnsi="Calibri"/>
                                <w:spacing w:val="40"/>
                                <w:sz w:val="8"/>
                              </w:rPr>
                              <w:t> </w:t>
                            </w:r>
                            <w:r>
                              <w:rPr>
                                <w:rFonts w:ascii="Calibri" w:hAnsi="Calibri"/>
                                <w:sz w:val="8"/>
                              </w:rPr>
                              <w:t>RETANA</w:t>
                            </w:r>
                            <w:r>
                              <w:rPr>
                                <w:rFonts w:ascii="Calibri" w:hAnsi="Calibri"/>
                                <w:spacing w:val="-5"/>
                                <w:sz w:val="8"/>
                              </w:rPr>
                              <w:t> </w:t>
                            </w:r>
                            <w:r>
                              <w:rPr>
                                <w:rFonts w:ascii="Calibri" w:hAnsi="Calibri"/>
                                <w:sz w:val="8"/>
                              </w:rPr>
                              <w:t>GAP,</w:t>
                            </w:r>
                            <w:r>
                              <w:rPr>
                                <w:rFonts w:ascii="Calibri" w:hAnsi="Calibri"/>
                                <w:spacing w:val="40"/>
                                <w:sz w:val="8"/>
                              </w:rPr>
                              <w:t> </w:t>
                            </w:r>
                            <w:r>
                              <w:rPr>
                                <w:rFonts w:ascii="Calibri" w:hAnsi="Calibri"/>
                                <w:spacing w:val="-2"/>
                                <w:sz w:val="8"/>
                              </w:rPr>
                              <w:t>CARLOS</w:t>
                            </w:r>
                            <w:r>
                              <w:rPr>
                                <w:rFonts w:ascii="Calibri" w:hAnsi="Calibri"/>
                                <w:spacing w:val="40"/>
                                <w:sz w:val="8"/>
                              </w:rPr>
                              <w:t> </w:t>
                            </w:r>
                            <w:r>
                              <w:rPr>
                                <w:rFonts w:ascii="Calibri" w:hAnsi="Calibri"/>
                                <w:spacing w:val="-2"/>
                                <w:sz w:val="8"/>
                              </w:rPr>
                              <w:t>EDUARDO</w:t>
                            </w:r>
                            <w:r>
                              <w:rPr>
                                <w:rFonts w:ascii="Calibri" w:hAnsi="Calibri"/>
                                <w:spacing w:val="40"/>
                                <w:sz w:val="8"/>
                              </w:rPr>
                              <w:t> </w:t>
                            </w:r>
                            <w:r>
                              <w:rPr>
                                <w:rFonts w:ascii="Calibri" w:hAnsi="Calibri"/>
                                <w:spacing w:val="-2"/>
                                <w:sz w:val="8"/>
                              </w:rPr>
                              <w:t>QUESADA</w:t>
                            </w:r>
                            <w:r>
                              <w:rPr>
                                <w:rFonts w:ascii="Calibri" w:hAnsi="Calibri"/>
                                <w:spacing w:val="40"/>
                                <w:sz w:val="8"/>
                              </w:rPr>
                              <w:t> </w:t>
                            </w:r>
                            <w:r>
                              <w:rPr>
                                <w:rFonts w:ascii="Calibri" w:hAnsi="Calibri"/>
                                <w:spacing w:val="-2"/>
                                <w:sz w:val="8"/>
                              </w:rPr>
                              <w:t>ULLOA,</w:t>
                            </w:r>
                            <w:r>
                              <w:rPr>
                                <w:rFonts w:ascii="Calibri" w:hAnsi="Calibri"/>
                                <w:spacing w:val="40"/>
                                <w:sz w:val="8"/>
                              </w:rPr>
                              <w:t> </w:t>
                            </w:r>
                            <w:r>
                              <w:rPr>
                                <w:rFonts w:ascii="Calibri" w:hAnsi="Calibri"/>
                                <w:spacing w:val="-2"/>
                                <w:sz w:val="8"/>
                              </w:rPr>
                              <w:t>CARMEN</w:t>
                            </w:r>
                          </w:p>
                          <w:p>
                            <w:pPr>
                              <w:pStyle w:val="TableParagraph"/>
                              <w:spacing w:line="100" w:lineRule="atLeast"/>
                              <w:ind w:left="12" w:right="208"/>
                              <w:rPr>
                                <w:rFonts w:ascii="Calibri" w:hAnsi="Calibri"/>
                                <w:sz w:val="8"/>
                              </w:rPr>
                            </w:pPr>
                            <w:r>
                              <w:rPr>
                                <w:rFonts w:ascii="Calibri" w:hAnsi="Calibri"/>
                                <w:spacing w:val="-2"/>
                                <w:sz w:val="8"/>
                              </w:rPr>
                              <w:t>VIRGINA</w:t>
                            </w:r>
                            <w:r>
                              <w:rPr>
                                <w:rFonts w:ascii="Calibri" w:hAnsi="Calibri"/>
                                <w:spacing w:val="40"/>
                                <w:sz w:val="8"/>
                              </w:rPr>
                              <w:t> </w:t>
                            </w:r>
                            <w:r>
                              <w:rPr>
                                <w:rFonts w:ascii="Calibri" w:hAnsi="Calibri"/>
                                <w:spacing w:val="-2"/>
                                <w:sz w:val="8"/>
                              </w:rPr>
                              <w:t>LORÍA</w:t>
                            </w:r>
                          </w:p>
                        </w:tc>
                        <w:tc>
                          <w:tcPr>
                            <w:tcW w:w="648" w:type="dxa"/>
                            <w:shd w:val="clear" w:color="auto" w:fill="FFFFFF"/>
                          </w:tcPr>
                          <w:p>
                            <w:pPr>
                              <w:pStyle w:val="TableParagraph"/>
                              <w:rPr>
                                <w:sz w:val="8"/>
                              </w:rPr>
                            </w:pPr>
                          </w:p>
                          <w:p>
                            <w:pPr>
                              <w:pStyle w:val="TableParagraph"/>
                              <w:spacing w:before="58"/>
                              <w:rPr>
                                <w:sz w:val="8"/>
                              </w:rPr>
                            </w:pPr>
                          </w:p>
                          <w:p>
                            <w:pPr>
                              <w:pStyle w:val="TableParagraph"/>
                              <w:ind w:left="11" w:right="-15"/>
                              <w:jc w:val="center"/>
                              <w:rPr>
                                <w:rFonts w:ascii="Calibri"/>
                                <w:sz w:val="8"/>
                              </w:rPr>
                            </w:pPr>
                            <w:r>
                              <w:rPr>
                                <w:rFonts w:ascii="Calibri"/>
                                <w:sz w:val="8"/>
                              </w:rPr>
                              <w:t>1-1372-539,</w:t>
                            </w:r>
                            <w:r>
                              <w:rPr>
                                <w:rFonts w:ascii="Calibri"/>
                                <w:spacing w:val="3"/>
                                <w:sz w:val="8"/>
                              </w:rPr>
                              <w:t> </w:t>
                            </w:r>
                            <w:r>
                              <w:rPr>
                                <w:rFonts w:ascii="Calibri"/>
                                <w:sz w:val="8"/>
                              </w:rPr>
                              <w:t>4-</w:t>
                            </w:r>
                            <w:r>
                              <w:rPr>
                                <w:rFonts w:ascii="Calibri"/>
                                <w:spacing w:val="-4"/>
                                <w:sz w:val="8"/>
                              </w:rPr>
                              <w:t>203-</w:t>
                            </w:r>
                          </w:p>
                          <w:p>
                            <w:pPr>
                              <w:pStyle w:val="TableParagraph"/>
                              <w:spacing w:before="8"/>
                              <w:ind w:left="20" w:right="-15"/>
                              <w:jc w:val="center"/>
                              <w:rPr>
                                <w:rFonts w:ascii="Calibri"/>
                                <w:sz w:val="8"/>
                              </w:rPr>
                            </w:pPr>
                            <w:r>
                              <w:rPr>
                                <w:rFonts w:ascii="Calibri"/>
                                <w:sz w:val="8"/>
                              </w:rPr>
                              <w:t>778,</w:t>
                            </w:r>
                            <w:r>
                              <w:rPr>
                                <w:rFonts w:ascii="Calibri"/>
                                <w:spacing w:val="18"/>
                                <w:sz w:val="8"/>
                              </w:rPr>
                              <w:t> </w:t>
                            </w:r>
                            <w:r>
                              <w:rPr>
                                <w:rFonts w:ascii="Calibri"/>
                                <w:sz w:val="8"/>
                              </w:rPr>
                              <w:t>2-592-582, </w:t>
                            </w:r>
                            <w:r>
                              <w:rPr>
                                <w:rFonts w:ascii="Calibri"/>
                                <w:spacing w:val="-5"/>
                                <w:sz w:val="8"/>
                              </w:rPr>
                              <w:t>4-</w:t>
                            </w:r>
                          </w:p>
                          <w:p>
                            <w:pPr>
                              <w:pStyle w:val="TableParagraph"/>
                              <w:spacing w:before="8"/>
                              <w:jc w:val="center"/>
                              <w:rPr>
                                <w:rFonts w:ascii="Calibri"/>
                                <w:sz w:val="8"/>
                              </w:rPr>
                            </w:pPr>
                            <w:r>
                              <w:rPr>
                                <w:rFonts w:ascii="Calibri"/>
                                <w:sz w:val="8"/>
                              </w:rPr>
                              <w:t>186-859,</w:t>
                            </w:r>
                            <w:r>
                              <w:rPr>
                                <w:rFonts w:ascii="Calibri"/>
                                <w:spacing w:val="2"/>
                                <w:sz w:val="8"/>
                              </w:rPr>
                              <w:t> </w:t>
                            </w:r>
                            <w:r>
                              <w:rPr>
                                <w:rFonts w:ascii="Calibri"/>
                                <w:sz w:val="8"/>
                              </w:rPr>
                              <w:t>6-</w:t>
                            </w:r>
                            <w:r>
                              <w:rPr>
                                <w:rFonts w:ascii="Calibri"/>
                                <w:spacing w:val="-4"/>
                                <w:sz w:val="8"/>
                              </w:rPr>
                              <w:t>288-</w:t>
                            </w:r>
                          </w:p>
                          <w:p>
                            <w:pPr>
                              <w:pStyle w:val="TableParagraph"/>
                              <w:spacing w:before="8"/>
                              <w:ind w:left="1" w:right="2"/>
                              <w:jc w:val="center"/>
                              <w:rPr>
                                <w:rFonts w:ascii="Calibri"/>
                                <w:sz w:val="8"/>
                              </w:rPr>
                            </w:pPr>
                            <w:r>
                              <w:rPr>
                                <w:rFonts w:ascii="Calibri"/>
                                <w:sz w:val="8"/>
                              </w:rPr>
                              <w:t>194,</w:t>
                            </w:r>
                            <w:r>
                              <w:rPr>
                                <w:rFonts w:ascii="Calibri"/>
                                <w:spacing w:val="1"/>
                                <w:sz w:val="8"/>
                              </w:rPr>
                              <w:t> </w:t>
                            </w:r>
                            <w:r>
                              <w:rPr>
                                <w:rFonts w:ascii="Calibri"/>
                                <w:sz w:val="8"/>
                              </w:rPr>
                              <w:t>2-400-375,</w:t>
                            </w:r>
                            <w:r>
                              <w:rPr>
                                <w:rFonts w:ascii="Calibri"/>
                                <w:spacing w:val="2"/>
                                <w:sz w:val="8"/>
                              </w:rPr>
                              <w:t> </w:t>
                            </w:r>
                            <w:r>
                              <w:rPr>
                                <w:rFonts w:ascii="Calibri"/>
                                <w:spacing w:val="-5"/>
                                <w:sz w:val="8"/>
                              </w:rPr>
                              <w:t>1-</w:t>
                            </w:r>
                          </w:p>
                          <w:p>
                            <w:pPr>
                              <w:pStyle w:val="TableParagraph"/>
                              <w:spacing w:before="9"/>
                              <w:ind w:right="1"/>
                              <w:jc w:val="center"/>
                              <w:rPr>
                                <w:rFonts w:ascii="Calibri"/>
                                <w:sz w:val="8"/>
                              </w:rPr>
                            </w:pPr>
                            <w:r>
                              <w:rPr>
                                <w:rFonts w:ascii="Calibri"/>
                                <w:sz w:val="8"/>
                              </w:rPr>
                              <w:t>1254-405,</w:t>
                            </w:r>
                            <w:r>
                              <w:rPr>
                                <w:rFonts w:ascii="Calibri"/>
                                <w:spacing w:val="3"/>
                                <w:sz w:val="8"/>
                              </w:rPr>
                              <w:t> </w:t>
                            </w:r>
                            <w:r>
                              <w:rPr>
                                <w:rFonts w:ascii="Calibri"/>
                                <w:sz w:val="8"/>
                              </w:rPr>
                              <w:t>2-</w:t>
                            </w:r>
                            <w:r>
                              <w:rPr>
                                <w:rFonts w:ascii="Calibri"/>
                                <w:spacing w:val="-4"/>
                                <w:sz w:val="8"/>
                              </w:rPr>
                              <w:t>688-</w:t>
                            </w:r>
                          </w:p>
                          <w:p>
                            <w:pPr>
                              <w:pStyle w:val="TableParagraph"/>
                              <w:spacing w:before="8"/>
                              <w:ind w:left="14" w:right="-15"/>
                              <w:jc w:val="center"/>
                              <w:rPr>
                                <w:rFonts w:ascii="Calibri"/>
                                <w:sz w:val="8"/>
                              </w:rPr>
                            </w:pPr>
                            <w:r>
                              <w:rPr>
                                <w:rFonts w:ascii="Calibri"/>
                                <w:sz w:val="8"/>
                              </w:rPr>
                              <w:t>289,</w:t>
                            </w:r>
                            <w:r>
                              <w:rPr>
                                <w:rFonts w:ascii="Calibri"/>
                                <w:spacing w:val="3"/>
                                <w:sz w:val="8"/>
                              </w:rPr>
                              <w:t> </w:t>
                            </w:r>
                            <w:r>
                              <w:rPr>
                                <w:rFonts w:ascii="Calibri"/>
                                <w:sz w:val="8"/>
                              </w:rPr>
                              <w:t>1-1189-</w:t>
                            </w:r>
                            <w:r>
                              <w:rPr>
                                <w:rFonts w:ascii="Calibri"/>
                                <w:spacing w:val="-2"/>
                                <w:sz w:val="8"/>
                              </w:rPr>
                              <w:t>705,1-</w:t>
                            </w:r>
                          </w:p>
                          <w:p>
                            <w:pPr>
                              <w:pStyle w:val="TableParagraph"/>
                              <w:spacing w:before="8"/>
                              <w:ind w:right="1"/>
                              <w:jc w:val="center"/>
                              <w:rPr>
                                <w:rFonts w:ascii="Calibri"/>
                                <w:sz w:val="8"/>
                              </w:rPr>
                            </w:pPr>
                            <w:r>
                              <w:rPr>
                                <w:rFonts w:ascii="Calibri"/>
                                <w:sz w:val="8"/>
                              </w:rPr>
                              <w:t>1307-042,</w:t>
                            </w:r>
                            <w:r>
                              <w:rPr>
                                <w:rFonts w:ascii="Calibri"/>
                                <w:spacing w:val="3"/>
                                <w:sz w:val="8"/>
                              </w:rPr>
                              <w:t> </w:t>
                            </w:r>
                            <w:r>
                              <w:rPr>
                                <w:rFonts w:ascii="Calibri"/>
                                <w:sz w:val="8"/>
                              </w:rPr>
                              <w:t>2-</w:t>
                            </w:r>
                            <w:r>
                              <w:rPr>
                                <w:rFonts w:ascii="Calibri"/>
                                <w:spacing w:val="-4"/>
                                <w:sz w:val="8"/>
                              </w:rPr>
                              <w:t>533-</w:t>
                            </w:r>
                          </w:p>
                          <w:p>
                            <w:pPr>
                              <w:pStyle w:val="TableParagraph"/>
                              <w:spacing w:before="8"/>
                              <w:ind w:left="14" w:right="-15"/>
                              <w:jc w:val="center"/>
                              <w:rPr>
                                <w:rFonts w:ascii="Calibri"/>
                                <w:sz w:val="8"/>
                              </w:rPr>
                            </w:pPr>
                            <w:r>
                              <w:rPr>
                                <w:rFonts w:ascii="Calibri"/>
                                <w:sz w:val="8"/>
                              </w:rPr>
                              <w:t>476,1-1148-990,</w:t>
                            </w:r>
                            <w:r>
                              <w:rPr>
                                <w:rFonts w:ascii="Calibri"/>
                                <w:spacing w:val="7"/>
                                <w:sz w:val="8"/>
                              </w:rPr>
                              <w:t> </w:t>
                            </w:r>
                            <w:r>
                              <w:rPr>
                                <w:rFonts w:ascii="Calibri"/>
                                <w:spacing w:val="-5"/>
                                <w:sz w:val="8"/>
                              </w:rPr>
                              <w:t>1-</w:t>
                            </w:r>
                          </w:p>
                          <w:p>
                            <w:pPr>
                              <w:pStyle w:val="TableParagraph"/>
                              <w:spacing w:before="8"/>
                              <w:jc w:val="center"/>
                              <w:rPr>
                                <w:rFonts w:ascii="Calibri"/>
                                <w:sz w:val="8"/>
                              </w:rPr>
                            </w:pPr>
                            <w:r>
                              <w:rPr>
                                <w:rFonts w:ascii="Calibri"/>
                                <w:sz w:val="8"/>
                              </w:rPr>
                              <w:t>1095-</w:t>
                            </w:r>
                            <w:r>
                              <w:rPr>
                                <w:rFonts w:ascii="Calibri"/>
                                <w:spacing w:val="-4"/>
                                <w:sz w:val="8"/>
                              </w:rPr>
                              <w:t>050,</w:t>
                            </w:r>
                          </w:p>
                          <w:p>
                            <w:pPr>
                              <w:pStyle w:val="TableParagraph"/>
                              <w:spacing w:before="9"/>
                              <w:jc w:val="center"/>
                              <w:rPr>
                                <w:rFonts w:ascii="Calibri" w:hAnsi="Calibri"/>
                                <w:sz w:val="8"/>
                              </w:rPr>
                            </w:pPr>
                            <w:r>
                              <w:rPr>
                                <w:rFonts w:ascii="Calibri" w:hAnsi="Calibri"/>
                                <w:spacing w:val="-2"/>
                                <w:w w:val="105"/>
                                <w:sz w:val="8"/>
                              </w:rPr>
                              <w:t>CHACÓN,</w:t>
                            </w:r>
                            <w:r>
                              <w:rPr>
                                <w:rFonts w:ascii="Calibri" w:hAnsi="Calibri"/>
                                <w:spacing w:val="8"/>
                                <w:w w:val="105"/>
                                <w:sz w:val="8"/>
                              </w:rPr>
                              <w:t> </w:t>
                            </w:r>
                            <w:r>
                              <w:rPr>
                                <w:rFonts w:ascii="Calibri" w:hAnsi="Calibri"/>
                                <w:spacing w:val="-2"/>
                                <w:w w:val="105"/>
                                <w:sz w:val="8"/>
                              </w:rPr>
                              <w:t>1-</w:t>
                            </w:r>
                            <w:r>
                              <w:rPr>
                                <w:rFonts w:ascii="Calibri" w:hAnsi="Calibri"/>
                                <w:spacing w:val="-4"/>
                                <w:w w:val="105"/>
                                <w:sz w:val="8"/>
                              </w:rPr>
                              <w:t>961-</w:t>
                            </w:r>
                          </w:p>
                          <w:p>
                            <w:pPr>
                              <w:pStyle w:val="TableParagraph"/>
                              <w:spacing w:before="8"/>
                              <w:ind w:left="1" w:right="2"/>
                              <w:jc w:val="center"/>
                              <w:rPr>
                                <w:rFonts w:ascii="Calibri"/>
                                <w:sz w:val="8"/>
                              </w:rPr>
                            </w:pPr>
                            <w:r>
                              <w:rPr>
                                <w:rFonts w:ascii="Calibri"/>
                                <w:sz w:val="8"/>
                              </w:rPr>
                              <w:t>398,</w:t>
                            </w:r>
                            <w:r>
                              <w:rPr>
                                <w:rFonts w:ascii="Calibri"/>
                                <w:spacing w:val="1"/>
                                <w:sz w:val="8"/>
                              </w:rPr>
                              <w:t> </w:t>
                            </w:r>
                            <w:r>
                              <w:rPr>
                                <w:rFonts w:ascii="Calibri"/>
                                <w:sz w:val="8"/>
                              </w:rPr>
                              <w:t>2-337-899,</w:t>
                            </w:r>
                            <w:r>
                              <w:rPr>
                                <w:rFonts w:ascii="Calibri"/>
                                <w:spacing w:val="2"/>
                                <w:sz w:val="8"/>
                              </w:rPr>
                              <w:t> </w:t>
                            </w:r>
                            <w:r>
                              <w:rPr>
                                <w:rFonts w:ascii="Calibri"/>
                                <w:spacing w:val="-5"/>
                                <w:sz w:val="8"/>
                              </w:rPr>
                              <w:t>1-</w:t>
                            </w:r>
                          </w:p>
                          <w:p>
                            <w:pPr>
                              <w:pStyle w:val="TableParagraph"/>
                              <w:spacing w:before="8"/>
                              <w:ind w:right="1"/>
                              <w:jc w:val="center"/>
                              <w:rPr>
                                <w:rFonts w:ascii="Calibri"/>
                                <w:sz w:val="8"/>
                              </w:rPr>
                            </w:pPr>
                            <w:r>
                              <w:rPr>
                                <w:rFonts w:ascii="Calibri"/>
                                <w:sz w:val="8"/>
                              </w:rPr>
                              <w:t>1415-165,</w:t>
                            </w:r>
                            <w:r>
                              <w:rPr>
                                <w:rFonts w:ascii="Calibri"/>
                                <w:spacing w:val="3"/>
                                <w:sz w:val="8"/>
                              </w:rPr>
                              <w:t> </w:t>
                            </w:r>
                            <w:r>
                              <w:rPr>
                                <w:rFonts w:ascii="Calibri"/>
                                <w:sz w:val="8"/>
                              </w:rPr>
                              <w:t>1-</w:t>
                            </w:r>
                            <w:r>
                              <w:rPr>
                                <w:rFonts w:ascii="Calibri"/>
                                <w:spacing w:val="-4"/>
                                <w:sz w:val="8"/>
                              </w:rPr>
                              <w:t>934-</w:t>
                            </w:r>
                          </w:p>
                          <w:p>
                            <w:pPr>
                              <w:pStyle w:val="TableParagraph"/>
                              <w:spacing w:before="8"/>
                              <w:ind w:left="1" w:right="2"/>
                              <w:jc w:val="center"/>
                              <w:rPr>
                                <w:rFonts w:ascii="Calibri"/>
                                <w:sz w:val="8"/>
                              </w:rPr>
                            </w:pPr>
                            <w:r>
                              <w:rPr>
                                <w:rFonts w:ascii="Calibri"/>
                                <w:sz w:val="8"/>
                              </w:rPr>
                              <w:t>936,</w:t>
                            </w:r>
                            <w:r>
                              <w:rPr>
                                <w:rFonts w:ascii="Calibri"/>
                                <w:spacing w:val="1"/>
                                <w:sz w:val="8"/>
                              </w:rPr>
                              <w:t> </w:t>
                            </w:r>
                            <w:r>
                              <w:rPr>
                                <w:rFonts w:ascii="Calibri"/>
                                <w:sz w:val="8"/>
                              </w:rPr>
                              <w:t>1-143-851,</w:t>
                            </w:r>
                            <w:r>
                              <w:rPr>
                                <w:rFonts w:ascii="Calibri"/>
                                <w:spacing w:val="2"/>
                                <w:sz w:val="8"/>
                              </w:rPr>
                              <w:t> </w:t>
                            </w:r>
                            <w:r>
                              <w:rPr>
                                <w:rFonts w:ascii="Calibri"/>
                                <w:spacing w:val="-5"/>
                                <w:sz w:val="8"/>
                              </w:rPr>
                              <w:t>2-</w:t>
                            </w:r>
                          </w:p>
                          <w:p>
                            <w:pPr>
                              <w:pStyle w:val="TableParagraph"/>
                              <w:spacing w:before="9"/>
                              <w:jc w:val="center"/>
                              <w:rPr>
                                <w:rFonts w:ascii="Calibri"/>
                                <w:sz w:val="8"/>
                              </w:rPr>
                            </w:pPr>
                            <w:r>
                              <w:rPr>
                                <w:rFonts w:ascii="Calibri"/>
                                <w:sz w:val="8"/>
                              </w:rPr>
                              <w:t>553-257,1-</w:t>
                            </w:r>
                            <w:r>
                              <w:rPr>
                                <w:rFonts w:ascii="Calibri"/>
                                <w:spacing w:val="-2"/>
                                <w:sz w:val="8"/>
                              </w:rPr>
                              <w:t>1282-</w:t>
                            </w:r>
                          </w:p>
                          <w:p>
                            <w:pPr>
                              <w:pStyle w:val="TableParagraph"/>
                              <w:spacing w:before="8"/>
                              <w:jc w:val="center"/>
                              <w:rPr>
                                <w:rFonts w:ascii="Calibri"/>
                                <w:sz w:val="8"/>
                              </w:rPr>
                            </w:pPr>
                            <w:r>
                              <w:rPr>
                                <w:rFonts w:ascii="Calibri"/>
                                <w:sz w:val="8"/>
                              </w:rPr>
                              <w:t>687,</w:t>
                            </w:r>
                            <w:r>
                              <w:rPr>
                                <w:rFonts w:ascii="Calibri"/>
                                <w:spacing w:val="3"/>
                                <w:sz w:val="8"/>
                              </w:rPr>
                              <w:t> </w:t>
                            </w:r>
                            <w:r>
                              <w:rPr>
                                <w:rFonts w:ascii="Calibri"/>
                                <w:sz w:val="8"/>
                              </w:rPr>
                              <w:t>1-1054-</w:t>
                            </w:r>
                            <w:r>
                              <w:rPr>
                                <w:rFonts w:ascii="Calibri"/>
                                <w:spacing w:val="-4"/>
                                <w:sz w:val="8"/>
                              </w:rPr>
                              <w:t>300,</w:t>
                            </w:r>
                          </w:p>
                          <w:p>
                            <w:pPr>
                              <w:pStyle w:val="TableParagraph"/>
                              <w:spacing w:before="8"/>
                              <w:ind w:right="1"/>
                              <w:jc w:val="center"/>
                              <w:rPr>
                                <w:rFonts w:ascii="Calibri"/>
                                <w:sz w:val="8"/>
                              </w:rPr>
                            </w:pPr>
                            <w:r>
                              <w:rPr>
                                <w:rFonts w:ascii="Calibri"/>
                                <w:sz w:val="8"/>
                              </w:rPr>
                              <w:t>2-591-745,</w:t>
                            </w:r>
                            <w:r>
                              <w:rPr>
                                <w:rFonts w:ascii="Calibri"/>
                                <w:spacing w:val="3"/>
                                <w:sz w:val="8"/>
                              </w:rPr>
                              <w:t> </w:t>
                            </w:r>
                            <w:r>
                              <w:rPr>
                                <w:rFonts w:ascii="Calibri"/>
                                <w:sz w:val="8"/>
                              </w:rPr>
                              <w:t>2-</w:t>
                            </w:r>
                            <w:r>
                              <w:rPr>
                                <w:rFonts w:ascii="Calibri"/>
                                <w:spacing w:val="-4"/>
                                <w:sz w:val="8"/>
                              </w:rPr>
                              <w:t>489-</w:t>
                            </w:r>
                          </w:p>
                          <w:p>
                            <w:pPr>
                              <w:pStyle w:val="TableParagraph"/>
                              <w:spacing w:before="8"/>
                              <w:ind w:left="20" w:right="-15"/>
                              <w:jc w:val="center"/>
                              <w:rPr>
                                <w:rFonts w:ascii="Calibri"/>
                                <w:sz w:val="8"/>
                              </w:rPr>
                            </w:pPr>
                            <w:r>
                              <w:rPr>
                                <w:rFonts w:ascii="Calibri"/>
                                <w:sz w:val="8"/>
                              </w:rPr>
                              <w:t>441,1-1194-</w:t>
                            </w:r>
                            <w:r>
                              <w:rPr>
                                <w:rFonts w:ascii="Calibri"/>
                                <w:spacing w:val="-2"/>
                                <w:sz w:val="8"/>
                              </w:rPr>
                              <w:t>223,1-</w:t>
                            </w:r>
                          </w:p>
                          <w:p>
                            <w:pPr>
                              <w:pStyle w:val="TableParagraph"/>
                              <w:spacing w:before="8"/>
                              <w:ind w:right="2"/>
                              <w:jc w:val="center"/>
                              <w:rPr>
                                <w:rFonts w:ascii="Calibri"/>
                                <w:sz w:val="8"/>
                              </w:rPr>
                            </w:pPr>
                            <w:r>
                              <w:rPr>
                                <w:rFonts w:ascii="Calibri"/>
                                <w:sz w:val="8"/>
                              </w:rPr>
                              <w:t>1055-</w:t>
                            </w:r>
                            <w:r>
                              <w:rPr>
                                <w:rFonts w:ascii="Calibri"/>
                                <w:spacing w:val="-5"/>
                                <w:sz w:val="8"/>
                              </w:rPr>
                              <w:t>926</w:t>
                            </w:r>
                          </w:p>
                        </w:tc>
                        <w:tc>
                          <w:tcPr>
                            <w:tcW w:w="878" w:type="dxa"/>
                            <w:shd w:val="clear" w:color="auto" w:fill="FFFFFF"/>
                          </w:tcPr>
                          <w:p>
                            <w:pPr>
                              <w:pStyle w:val="TableParagraph"/>
                              <w:rPr>
                                <w:rFonts w:ascii="Times New Roman"/>
                                <w:sz w:val="8"/>
                              </w:rPr>
                            </w:pPr>
                          </w:p>
                        </w:tc>
                        <w:tc>
                          <w:tcPr>
                            <w:tcW w:w="1084"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5"/>
                              <w:rPr>
                                <w:sz w:val="8"/>
                              </w:rPr>
                            </w:pPr>
                          </w:p>
                          <w:p>
                            <w:pPr>
                              <w:pStyle w:val="TableParagraph"/>
                              <w:ind w:right="12"/>
                              <w:jc w:val="right"/>
                              <w:rPr>
                                <w:sz w:val="8"/>
                              </w:rPr>
                            </w:pPr>
                            <w:r>
                              <w:rPr>
                                <w:rFonts w:ascii="Times New Roman" w:hAnsi="Times New Roman"/>
                                <w:sz w:val="8"/>
                              </w:rPr>
                              <w:t>₡</w:t>
                            </w:r>
                            <w:r>
                              <w:rPr>
                                <w:sz w:val="8"/>
                              </w:rPr>
                              <w:t>383 </w:t>
                            </w:r>
                            <w:r>
                              <w:rPr>
                                <w:spacing w:val="-2"/>
                                <w:sz w:val="8"/>
                              </w:rPr>
                              <w:t>602,25</w:t>
                            </w:r>
                          </w:p>
                        </w:tc>
                        <w:tc>
                          <w:tcPr>
                            <w:tcW w:w="1879"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3"/>
                              <w:rPr>
                                <w:sz w:val="8"/>
                              </w:rPr>
                            </w:pPr>
                          </w:p>
                          <w:p>
                            <w:pPr>
                              <w:pStyle w:val="TableParagraph"/>
                              <w:spacing w:before="1"/>
                              <w:ind w:left="14" w:right="22"/>
                              <w:jc w:val="center"/>
                              <w:rPr>
                                <w:rFonts w:ascii="Calibri"/>
                                <w:sz w:val="8"/>
                              </w:rPr>
                            </w:pPr>
                            <w:r>
                              <w:rPr>
                                <w:rFonts w:ascii="Calibri"/>
                                <w:sz w:val="8"/>
                              </w:rPr>
                              <w:t>Espera</w:t>
                            </w:r>
                            <w:r>
                              <w:rPr>
                                <w:rFonts w:ascii="Calibri"/>
                                <w:spacing w:val="-4"/>
                                <w:sz w:val="8"/>
                              </w:rPr>
                              <w:t> </w:t>
                            </w:r>
                            <w:r>
                              <w:rPr>
                                <w:rFonts w:ascii="Calibri"/>
                                <w:spacing w:val="-2"/>
                                <w:sz w:val="8"/>
                              </w:rPr>
                              <w:t>fallo</w:t>
                            </w:r>
                          </w:p>
                        </w:tc>
                        <w:tc>
                          <w:tcPr>
                            <w:tcW w:w="633"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54"/>
                              <w:rPr>
                                <w:sz w:val="8"/>
                              </w:rPr>
                            </w:pPr>
                          </w:p>
                          <w:p>
                            <w:pPr>
                              <w:pStyle w:val="TableParagraph"/>
                              <w:spacing w:line="259" w:lineRule="auto"/>
                              <w:ind w:left="24" w:right="36" w:hanging="2"/>
                              <w:jc w:val="center"/>
                              <w:rPr>
                                <w:rFonts w:ascii="Calibri"/>
                                <w:sz w:val="8"/>
                              </w:rPr>
                            </w:pPr>
                            <w:r>
                              <w:rPr>
                                <w:rFonts w:ascii="Calibri"/>
                                <w:sz w:val="8"/>
                              </w:rPr>
                              <w:t>Provisionado</w:t>
                            </w:r>
                            <w:r>
                              <w:rPr>
                                <w:rFonts w:ascii="Calibri"/>
                                <w:spacing w:val="-5"/>
                                <w:sz w:val="8"/>
                              </w:rPr>
                              <w:t> </w:t>
                            </w:r>
                            <w:r>
                              <w:rPr>
                                <w:rFonts w:ascii="Calibri"/>
                                <w:sz w:val="8"/>
                              </w:rPr>
                              <w:t>el</w:t>
                            </w:r>
                            <w:r>
                              <w:rPr>
                                <w:rFonts w:ascii="Calibri"/>
                                <w:spacing w:val="40"/>
                                <w:sz w:val="8"/>
                              </w:rPr>
                              <w:t> </w:t>
                            </w:r>
                            <w:r>
                              <w:rPr>
                                <w:rFonts w:ascii="Calibri"/>
                                <w:sz w:val="8"/>
                              </w:rPr>
                              <w:t>100%</w:t>
                            </w:r>
                            <w:r>
                              <w:rPr>
                                <w:rFonts w:ascii="Calibri"/>
                                <w:spacing w:val="-5"/>
                                <w:sz w:val="8"/>
                              </w:rPr>
                              <w:t> </w:t>
                            </w:r>
                            <w:r>
                              <w:rPr>
                                <w:rFonts w:ascii="Calibri"/>
                                <w:sz w:val="8"/>
                              </w:rPr>
                              <w:t>conforme</w:t>
                            </w:r>
                            <w:r>
                              <w:rPr>
                                <w:rFonts w:ascii="Calibri"/>
                                <w:spacing w:val="40"/>
                                <w:sz w:val="8"/>
                              </w:rPr>
                              <w:t> </w:t>
                            </w:r>
                            <w:r>
                              <w:rPr>
                                <w:rFonts w:ascii="Calibri"/>
                                <w:sz w:val="8"/>
                              </w:rPr>
                              <w:t>peritaje</w:t>
                            </w:r>
                            <w:r>
                              <w:rPr>
                                <w:rFonts w:ascii="Calibri"/>
                                <w:spacing w:val="-5"/>
                                <w:sz w:val="8"/>
                              </w:rPr>
                              <w:t> </w:t>
                            </w:r>
                            <w:r>
                              <w:rPr>
                                <w:rFonts w:ascii="Calibri"/>
                                <w:sz w:val="8"/>
                              </w:rPr>
                              <w:t>inicial,</w:t>
                            </w:r>
                            <w:r>
                              <w:rPr>
                                <w:rFonts w:ascii="Calibri"/>
                                <w:spacing w:val="40"/>
                                <w:sz w:val="8"/>
                              </w:rPr>
                              <w:t> </w:t>
                            </w:r>
                            <w:r>
                              <w:rPr>
                                <w:rFonts w:ascii="Calibri"/>
                                <w:spacing w:val="-2"/>
                                <w:sz w:val="8"/>
                              </w:rPr>
                              <w:t>ajustar</w:t>
                            </w:r>
                            <w:r>
                              <w:rPr>
                                <w:rFonts w:ascii="Calibri"/>
                                <w:spacing w:val="-6"/>
                                <w:sz w:val="8"/>
                              </w:rPr>
                              <w:t> </w:t>
                            </w:r>
                            <w:r>
                              <w:rPr>
                                <w:rFonts w:ascii="Calibri"/>
                                <w:spacing w:val="-2"/>
                                <w:sz w:val="8"/>
                              </w:rPr>
                              <w:t>diferencia</w:t>
                            </w:r>
                            <w:r>
                              <w:rPr>
                                <w:rFonts w:ascii="Calibri"/>
                                <w:spacing w:val="40"/>
                                <w:sz w:val="8"/>
                              </w:rPr>
                              <w:t> </w:t>
                            </w:r>
                            <w:r>
                              <w:rPr>
                                <w:rFonts w:ascii="Calibri"/>
                                <w:sz w:val="8"/>
                              </w:rPr>
                              <w:t>conforme</w:t>
                            </w:r>
                            <w:r>
                              <w:rPr>
                                <w:rFonts w:ascii="Calibri"/>
                                <w:spacing w:val="-5"/>
                                <w:sz w:val="8"/>
                              </w:rPr>
                              <w:t> </w:t>
                            </w:r>
                            <w:r>
                              <w:rPr>
                                <w:rFonts w:ascii="Calibri"/>
                                <w:sz w:val="8"/>
                              </w:rPr>
                              <w:t>a</w:t>
                            </w:r>
                            <w:r>
                              <w:rPr>
                                <w:rFonts w:ascii="Calibri"/>
                                <w:spacing w:val="-5"/>
                                <w:sz w:val="8"/>
                              </w:rPr>
                              <w:t> </w:t>
                            </w:r>
                            <w:r>
                              <w:rPr>
                                <w:rFonts w:ascii="Calibri"/>
                                <w:sz w:val="8"/>
                              </w:rPr>
                              <w:t>los</w:t>
                            </w:r>
                            <w:r>
                              <w:rPr>
                                <w:rFonts w:ascii="Calibri"/>
                                <w:spacing w:val="40"/>
                                <w:sz w:val="8"/>
                              </w:rPr>
                              <w:t> </w:t>
                            </w:r>
                            <w:r>
                              <w:rPr>
                                <w:rFonts w:ascii="Calibri"/>
                                <w:sz w:val="8"/>
                              </w:rPr>
                              <w:t>oficios</w:t>
                            </w:r>
                            <w:r>
                              <w:rPr>
                                <w:rFonts w:ascii="Calibri"/>
                                <w:spacing w:val="4"/>
                                <w:sz w:val="8"/>
                              </w:rPr>
                              <w:t> </w:t>
                            </w:r>
                            <w:r>
                              <w:rPr>
                                <w:rFonts w:ascii="Calibri"/>
                                <w:spacing w:val="-2"/>
                                <w:sz w:val="8"/>
                              </w:rPr>
                              <w:t>indicados</w:t>
                            </w:r>
                          </w:p>
                        </w:tc>
                        <w:tc>
                          <w:tcPr>
                            <w:tcW w:w="633" w:type="dxa"/>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14"/>
                              <w:rPr>
                                <w:sz w:val="8"/>
                              </w:rPr>
                            </w:pPr>
                          </w:p>
                          <w:p>
                            <w:pPr>
                              <w:pStyle w:val="TableParagraph"/>
                              <w:spacing w:line="259" w:lineRule="auto"/>
                              <w:ind w:right="11"/>
                              <w:jc w:val="center"/>
                              <w:rPr>
                                <w:rFonts w:ascii="Calibri" w:hAnsi="Calibri"/>
                                <w:sz w:val="8"/>
                              </w:rPr>
                            </w:pPr>
                            <w:r>
                              <w:rPr>
                                <w:rFonts w:ascii="Calibri" w:hAnsi="Calibri"/>
                                <w:sz w:val="8"/>
                              </w:rPr>
                              <w:t>Con</w:t>
                            </w:r>
                            <w:r>
                              <w:rPr>
                                <w:rFonts w:ascii="Calibri" w:hAnsi="Calibri"/>
                                <w:spacing w:val="-5"/>
                                <w:sz w:val="8"/>
                              </w:rPr>
                              <w:t> </w:t>
                            </w:r>
                            <w:r>
                              <w:rPr>
                                <w:rFonts w:ascii="Calibri" w:hAnsi="Calibri"/>
                                <w:sz w:val="8"/>
                              </w:rPr>
                              <w:t>un</w:t>
                            </w:r>
                            <w:r>
                              <w:rPr>
                                <w:rFonts w:ascii="Calibri" w:hAnsi="Calibri"/>
                                <w:spacing w:val="-5"/>
                                <w:sz w:val="8"/>
                              </w:rPr>
                              <w:t> </w:t>
                            </w:r>
                            <w:r>
                              <w:rPr>
                                <w:rFonts w:ascii="Calibri" w:hAnsi="Calibri"/>
                                <w:sz w:val="8"/>
                              </w:rPr>
                              <w:t>grado</w:t>
                            </w:r>
                            <w:r>
                              <w:rPr>
                                <w:rFonts w:ascii="Calibri" w:hAnsi="Calibri"/>
                                <w:spacing w:val="-4"/>
                                <w:sz w:val="8"/>
                              </w:rPr>
                              <w:t> </w:t>
                            </w:r>
                            <w:r>
                              <w:rPr>
                                <w:rFonts w:ascii="Calibri" w:hAnsi="Calibri"/>
                                <w:sz w:val="8"/>
                              </w:rPr>
                              <w:t>de</w:t>
                            </w:r>
                            <w:r>
                              <w:rPr>
                                <w:rFonts w:ascii="Calibri" w:hAnsi="Calibri"/>
                                <w:spacing w:val="40"/>
                                <w:sz w:val="8"/>
                              </w:rPr>
                              <w:t> </w:t>
                            </w:r>
                            <w:r>
                              <w:rPr>
                                <w:rFonts w:ascii="Calibri" w:hAnsi="Calibri"/>
                                <w:spacing w:val="-2"/>
                                <w:sz w:val="8"/>
                              </w:rPr>
                              <w:t>probabilidad</w:t>
                            </w:r>
                            <w:r>
                              <w:rPr>
                                <w:rFonts w:ascii="Calibri" w:hAnsi="Calibri"/>
                                <w:spacing w:val="40"/>
                                <w:sz w:val="8"/>
                              </w:rPr>
                              <w:t> </w:t>
                            </w:r>
                            <w:r>
                              <w:rPr>
                                <w:rFonts w:ascii="Calibri" w:hAnsi="Calibri"/>
                                <w:sz w:val="8"/>
                              </w:rPr>
                              <w:t>razonable</w:t>
                            </w:r>
                            <w:r>
                              <w:rPr>
                                <w:rFonts w:ascii="Calibri" w:hAnsi="Calibri"/>
                                <w:spacing w:val="-5"/>
                                <w:sz w:val="8"/>
                              </w:rPr>
                              <w:t> </w:t>
                            </w:r>
                            <w:r>
                              <w:rPr>
                                <w:rFonts w:ascii="Calibri" w:hAnsi="Calibri"/>
                                <w:sz w:val="8"/>
                              </w:rPr>
                              <w:t>no</w:t>
                            </w:r>
                            <w:r>
                              <w:rPr>
                                <w:rFonts w:ascii="Calibri" w:hAnsi="Calibri"/>
                                <w:spacing w:val="-5"/>
                                <w:sz w:val="8"/>
                              </w:rPr>
                              <w:t> </w:t>
                            </w:r>
                            <w:r>
                              <w:rPr>
                                <w:rFonts w:ascii="Calibri" w:hAnsi="Calibri"/>
                                <w:sz w:val="8"/>
                              </w:rPr>
                              <w:t>se</w:t>
                            </w:r>
                            <w:r>
                              <w:rPr>
                                <w:rFonts w:ascii="Calibri" w:hAnsi="Calibri"/>
                                <w:spacing w:val="40"/>
                                <w:sz w:val="8"/>
                              </w:rPr>
                              <w:t> </w:t>
                            </w:r>
                            <w:r>
                              <w:rPr>
                                <w:rFonts w:ascii="Calibri" w:hAnsi="Calibri"/>
                                <w:sz w:val="8"/>
                              </w:rPr>
                              <w:t>realizará</w:t>
                            </w:r>
                            <w:r>
                              <w:rPr>
                                <w:rFonts w:ascii="Calibri" w:hAnsi="Calibri"/>
                                <w:spacing w:val="-5"/>
                                <w:sz w:val="8"/>
                              </w:rPr>
                              <w:t> </w:t>
                            </w:r>
                            <w:r>
                              <w:rPr>
                                <w:rFonts w:ascii="Calibri" w:hAnsi="Calibri"/>
                                <w:sz w:val="8"/>
                              </w:rPr>
                              <w:t>arreglo</w:t>
                            </w:r>
                            <w:r>
                              <w:rPr>
                                <w:rFonts w:ascii="Calibri" w:hAnsi="Calibri"/>
                                <w:spacing w:val="40"/>
                                <w:sz w:val="8"/>
                              </w:rPr>
                              <w:t> </w:t>
                            </w:r>
                            <w:r>
                              <w:rPr>
                                <w:rFonts w:ascii="Calibri" w:hAnsi="Calibri"/>
                                <w:spacing w:val="-2"/>
                                <w:sz w:val="8"/>
                              </w:rPr>
                              <w:t>extrajudicial.</w:t>
                            </w:r>
                          </w:p>
                        </w:tc>
                      </w:tr>
                      <w:tr>
                        <w:trPr>
                          <w:trHeight w:val="119" w:hRule="atLeast"/>
                        </w:trPr>
                        <w:tc>
                          <w:tcPr>
                            <w:tcW w:w="2405" w:type="dxa"/>
                            <w:gridSpan w:val="3"/>
                            <w:tcBorders>
                              <w:left w:val="single" w:sz="4" w:space="0" w:color="000000"/>
                              <w:bottom w:val="single" w:sz="4" w:space="0" w:color="000000"/>
                              <w:right w:val="nil"/>
                            </w:tcBorders>
                            <w:shd w:val="clear" w:color="auto" w:fill="E8E8E8"/>
                          </w:tcPr>
                          <w:p>
                            <w:pPr>
                              <w:pStyle w:val="TableParagraph"/>
                              <w:spacing w:line="100" w:lineRule="exact"/>
                              <w:ind w:left="14"/>
                              <w:rPr>
                                <w:rFonts w:ascii="Calibri"/>
                                <w:sz w:val="11"/>
                              </w:rPr>
                            </w:pPr>
                            <w:r>
                              <w:rPr>
                                <w:rFonts w:ascii="Calibri"/>
                                <w:sz w:val="11"/>
                              </w:rPr>
                              <w:t>TOTAL</w:t>
                            </w:r>
                            <w:r>
                              <w:rPr>
                                <w:rFonts w:ascii="Calibri"/>
                                <w:spacing w:val="6"/>
                                <w:sz w:val="11"/>
                              </w:rPr>
                              <w:t> </w:t>
                            </w:r>
                            <w:r>
                              <w:rPr>
                                <w:rFonts w:ascii="Calibri"/>
                                <w:sz w:val="11"/>
                              </w:rPr>
                              <w:t>PROCESOS</w:t>
                            </w:r>
                            <w:r>
                              <w:rPr>
                                <w:rFonts w:ascii="Calibri"/>
                                <w:spacing w:val="5"/>
                                <w:sz w:val="11"/>
                              </w:rPr>
                              <w:t> </w:t>
                            </w:r>
                            <w:r>
                              <w:rPr>
                                <w:rFonts w:ascii="Calibri"/>
                                <w:sz w:val="11"/>
                              </w:rPr>
                              <w:t>EMPRESAS</w:t>
                            </w:r>
                            <w:r>
                              <w:rPr>
                                <w:rFonts w:ascii="Calibri"/>
                                <w:spacing w:val="6"/>
                                <w:sz w:val="11"/>
                              </w:rPr>
                              <w:t> </w:t>
                            </w:r>
                            <w:r>
                              <w:rPr>
                                <w:rFonts w:ascii="Calibri"/>
                                <w:spacing w:val="-2"/>
                                <w:sz w:val="11"/>
                              </w:rPr>
                              <w:t>COMERCIALES</w:t>
                            </w:r>
                          </w:p>
                        </w:tc>
                        <w:tc>
                          <w:tcPr>
                            <w:tcW w:w="509" w:type="dxa"/>
                            <w:tcBorders>
                              <w:left w:val="nil"/>
                              <w:bottom w:val="single" w:sz="4" w:space="0" w:color="000000"/>
                              <w:right w:val="nil"/>
                            </w:tcBorders>
                            <w:shd w:val="clear" w:color="auto" w:fill="E8E8E8"/>
                          </w:tcPr>
                          <w:p>
                            <w:pPr>
                              <w:pStyle w:val="TableParagraph"/>
                              <w:rPr>
                                <w:rFonts w:ascii="Times New Roman"/>
                                <w:sz w:val="6"/>
                              </w:rPr>
                            </w:pPr>
                          </w:p>
                        </w:tc>
                        <w:tc>
                          <w:tcPr>
                            <w:tcW w:w="648" w:type="dxa"/>
                            <w:tcBorders>
                              <w:left w:val="nil"/>
                              <w:bottom w:val="single" w:sz="4" w:space="0" w:color="000000"/>
                              <w:right w:val="nil"/>
                            </w:tcBorders>
                            <w:shd w:val="clear" w:color="auto" w:fill="E8E8E8"/>
                          </w:tcPr>
                          <w:p>
                            <w:pPr>
                              <w:pStyle w:val="TableParagraph"/>
                              <w:rPr>
                                <w:rFonts w:ascii="Times New Roman"/>
                                <w:sz w:val="6"/>
                              </w:rPr>
                            </w:pPr>
                          </w:p>
                        </w:tc>
                        <w:tc>
                          <w:tcPr>
                            <w:tcW w:w="878" w:type="dxa"/>
                            <w:tcBorders>
                              <w:left w:val="nil"/>
                              <w:bottom w:val="single" w:sz="4" w:space="0" w:color="000000"/>
                              <w:right w:val="nil"/>
                            </w:tcBorders>
                            <w:shd w:val="clear" w:color="auto" w:fill="E8E8E8"/>
                          </w:tcPr>
                          <w:p>
                            <w:pPr>
                              <w:pStyle w:val="TableParagraph"/>
                              <w:rPr>
                                <w:rFonts w:ascii="Times New Roman"/>
                                <w:sz w:val="6"/>
                              </w:rPr>
                            </w:pPr>
                          </w:p>
                        </w:tc>
                        <w:tc>
                          <w:tcPr>
                            <w:tcW w:w="1084" w:type="dxa"/>
                            <w:tcBorders>
                              <w:left w:val="nil"/>
                              <w:bottom w:val="single" w:sz="4" w:space="0" w:color="000000"/>
                              <w:right w:val="nil"/>
                            </w:tcBorders>
                            <w:shd w:val="clear" w:color="auto" w:fill="E8E8E8"/>
                          </w:tcPr>
                          <w:p>
                            <w:pPr>
                              <w:pStyle w:val="TableParagraph"/>
                              <w:spacing w:line="100" w:lineRule="exact"/>
                              <w:ind w:right="18"/>
                              <w:jc w:val="right"/>
                              <w:rPr>
                                <w:sz w:val="11"/>
                              </w:rPr>
                            </w:pPr>
                            <w:r>
                              <w:rPr>
                                <w:rFonts w:ascii="Times New Roman" w:hAnsi="Times New Roman"/>
                                <w:sz w:val="11"/>
                              </w:rPr>
                              <w:t>₡</w:t>
                            </w:r>
                            <w:r>
                              <w:rPr>
                                <w:sz w:val="11"/>
                              </w:rPr>
                              <w:t>740</w:t>
                            </w:r>
                            <w:r>
                              <w:rPr>
                                <w:spacing w:val="-1"/>
                                <w:sz w:val="11"/>
                              </w:rPr>
                              <w:t> </w:t>
                            </w:r>
                            <w:r>
                              <w:rPr>
                                <w:spacing w:val="-2"/>
                                <w:sz w:val="11"/>
                              </w:rPr>
                              <w:t>187,28</w:t>
                            </w:r>
                          </w:p>
                        </w:tc>
                        <w:tc>
                          <w:tcPr>
                            <w:tcW w:w="1879" w:type="dxa"/>
                            <w:tcBorders>
                              <w:left w:val="nil"/>
                              <w:bottom w:val="single" w:sz="4" w:space="0" w:color="000000"/>
                              <w:right w:val="nil"/>
                            </w:tcBorders>
                            <w:shd w:val="clear" w:color="auto" w:fill="E8E8E8"/>
                          </w:tcPr>
                          <w:p>
                            <w:pPr>
                              <w:pStyle w:val="TableParagraph"/>
                              <w:rPr>
                                <w:rFonts w:ascii="Times New Roman"/>
                                <w:sz w:val="6"/>
                              </w:rPr>
                            </w:pPr>
                          </w:p>
                        </w:tc>
                        <w:tc>
                          <w:tcPr>
                            <w:tcW w:w="633" w:type="dxa"/>
                            <w:tcBorders>
                              <w:left w:val="nil"/>
                              <w:bottom w:val="single" w:sz="4" w:space="0" w:color="000000"/>
                              <w:right w:val="nil"/>
                            </w:tcBorders>
                            <w:shd w:val="clear" w:color="auto" w:fill="E8E8E8"/>
                          </w:tcPr>
                          <w:p>
                            <w:pPr>
                              <w:pStyle w:val="TableParagraph"/>
                              <w:rPr>
                                <w:rFonts w:ascii="Times New Roman"/>
                                <w:sz w:val="6"/>
                              </w:rPr>
                            </w:pPr>
                          </w:p>
                        </w:tc>
                        <w:tc>
                          <w:tcPr>
                            <w:tcW w:w="633" w:type="dxa"/>
                            <w:tcBorders>
                              <w:left w:val="nil"/>
                              <w:bottom w:val="single" w:sz="4" w:space="0" w:color="000000"/>
                              <w:right w:val="single" w:sz="4" w:space="0" w:color="000000"/>
                            </w:tcBorders>
                            <w:shd w:val="clear" w:color="auto" w:fill="E8E8E8"/>
                          </w:tcPr>
                          <w:p>
                            <w:pPr>
                              <w:pStyle w:val="TableParagraph"/>
                              <w:rPr>
                                <w:rFonts w:ascii="Times New Roman"/>
                                <w:sz w:val="6"/>
                              </w:rPr>
                            </w:pPr>
                          </w:p>
                        </w:tc>
                      </w:tr>
                      <w:tr>
                        <w:trPr>
                          <w:trHeight w:val="283" w:hRule="atLeast"/>
                        </w:trPr>
                        <w:tc>
                          <w:tcPr>
                            <w:tcW w:w="2405" w:type="dxa"/>
                            <w:gridSpan w:val="3"/>
                            <w:tcBorders>
                              <w:top w:val="single" w:sz="4" w:space="0" w:color="000000"/>
                              <w:left w:val="single" w:sz="4" w:space="0" w:color="000000"/>
                              <w:bottom w:val="single" w:sz="4" w:space="0" w:color="000000"/>
                              <w:right w:val="nil"/>
                            </w:tcBorders>
                            <w:shd w:val="clear" w:color="auto" w:fill="E8E8E8"/>
                          </w:tcPr>
                          <w:p>
                            <w:pPr>
                              <w:pStyle w:val="TableParagraph"/>
                              <w:spacing w:before="25"/>
                              <w:rPr>
                                <w:sz w:val="11"/>
                              </w:rPr>
                            </w:pPr>
                          </w:p>
                          <w:p>
                            <w:pPr>
                              <w:pStyle w:val="TableParagraph"/>
                              <w:spacing w:line="113" w:lineRule="exact"/>
                              <w:ind w:left="14"/>
                              <w:rPr>
                                <w:rFonts w:ascii="Calibri"/>
                                <w:sz w:val="11"/>
                              </w:rPr>
                            </w:pPr>
                            <w:r>
                              <w:rPr>
                                <w:rFonts w:ascii="Calibri"/>
                                <w:spacing w:val="-4"/>
                                <w:sz w:val="11"/>
                              </w:rPr>
                              <w:t>TOTAL</w:t>
                            </w:r>
                            <w:r>
                              <w:rPr>
                                <w:rFonts w:ascii="Calibri"/>
                                <w:spacing w:val="4"/>
                                <w:sz w:val="11"/>
                              </w:rPr>
                              <w:t> </w:t>
                            </w:r>
                            <w:r>
                              <w:rPr>
                                <w:rFonts w:ascii="Calibri"/>
                                <w:spacing w:val="-2"/>
                                <w:sz w:val="11"/>
                              </w:rPr>
                              <w:t>PROCESOS</w:t>
                            </w:r>
                          </w:p>
                        </w:tc>
                        <w:tc>
                          <w:tcPr>
                            <w:tcW w:w="509"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48"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878"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1084" w:type="dxa"/>
                            <w:tcBorders>
                              <w:top w:val="single" w:sz="4" w:space="0" w:color="000000"/>
                              <w:left w:val="nil"/>
                              <w:bottom w:val="single" w:sz="4" w:space="0" w:color="000000"/>
                              <w:right w:val="nil"/>
                            </w:tcBorders>
                            <w:shd w:val="clear" w:color="auto" w:fill="E8E8E8"/>
                          </w:tcPr>
                          <w:p>
                            <w:pPr>
                              <w:pStyle w:val="TableParagraph"/>
                              <w:spacing w:before="27"/>
                              <w:rPr>
                                <w:sz w:val="11"/>
                              </w:rPr>
                            </w:pPr>
                          </w:p>
                          <w:p>
                            <w:pPr>
                              <w:pStyle w:val="TableParagraph"/>
                              <w:spacing w:line="111" w:lineRule="exact"/>
                              <w:ind w:right="18"/>
                              <w:jc w:val="right"/>
                              <w:rPr>
                                <w:sz w:val="11"/>
                              </w:rPr>
                            </w:pPr>
                            <w:r>
                              <w:rPr>
                                <w:rFonts w:ascii="Times New Roman" w:hAnsi="Times New Roman"/>
                                <w:sz w:val="11"/>
                              </w:rPr>
                              <w:t>₡</w:t>
                            </w:r>
                            <w:r>
                              <w:rPr>
                                <w:sz w:val="11"/>
                              </w:rPr>
                              <w:t>1</w:t>
                            </w:r>
                            <w:r>
                              <w:rPr>
                                <w:spacing w:val="-1"/>
                                <w:sz w:val="11"/>
                              </w:rPr>
                              <w:t> </w:t>
                            </w:r>
                            <w:r>
                              <w:rPr>
                                <w:sz w:val="11"/>
                              </w:rPr>
                              <w:t>584 </w:t>
                            </w:r>
                            <w:r>
                              <w:rPr>
                                <w:spacing w:val="-2"/>
                                <w:sz w:val="11"/>
                              </w:rPr>
                              <w:t>968,34</w:t>
                            </w:r>
                          </w:p>
                        </w:tc>
                        <w:tc>
                          <w:tcPr>
                            <w:tcW w:w="1879"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33" w:type="dxa"/>
                            <w:tcBorders>
                              <w:top w:val="single" w:sz="4" w:space="0" w:color="000000"/>
                              <w:left w:val="nil"/>
                              <w:bottom w:val="single" w:sz="4" w:space="0" w:color="000000"/>
                              <w:right w:val="nil"/>
                            </w:tcBorders>
                            <w:shd w:val="clear" w:color="auto" w:fill="E8E8E8"/>
                          </w:tcPr>
                          <w:p>
                            <w:pPr>
                              <w:pStyle w:val="TableParagraph"/>
                              <w:rPr>
                                <w:rFonts w:ascii="Times New Roman"/>
                                <w:sz w:val="8"/>
                              </w:rPr>
                            </w:pPr>
                          </w:p>
                        </w:tc>
                        <w:tc>
                          <w:tcPr>
                            <w:tcW w:w="633" w:type="dxa"/>
                            <w:tcBorders>
                              <w:top w:val="single" w:sz="4" w:space="0" w:color="000000"/>
                              <w:left w:val="nil"/>
                              <w:bottom w:val="single" w:sz="4" w:space="0" w:color="000000"/>
                              <w:right w:val="single" w:sz="4" w:space="0" w:color="000000"/>
                            </w:tcBorders>
                            <w:shd w:val="clear" w:color="auto" w:fill="E8E8E8"/>
                          </w:tcPr>
                          <w:p>
                            <w:pPr>
                              <w:pStyle w:val="TableParagraph"/>
                              <w:rPr>
                                <w:rFonts w:ascii="Times New Roman"/>
                                <w:sz w:val="8"/>
                              </w:rPr>
                            </w:pP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83</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
        <w:gridCol w:w="631"/>
        <w:gridCol w:w="713"/>
        <w:gridCol w:w="1058"/>
        <w:gridCol w:w="508"/>
        <w:gridCol w:w="647"/>
        <w:gridCol w:w="877"/>
        <w:gridCol w:w="1083"/>
        <w:gridCol w:w="1878"/>
        <w:gridCol w:w="632"/>
        <w:gridCol w:w="632"/>
        <w:gridCol w:w="367"/>
      </w:tblGrid>
      <w:tr>
        <w:trPr>
          <w:trHeight w:val="575" w:hRule="atLeast"/>
        </w:trPr>
        <w:tc>
          <w:tcPr>
            <w:tcW w:w="355" w:type="dxa"/>
            <w:vMerge w:val="restart"/>
            <w:tcBorders>
              <w:bottom w:val="nil"/>
              <w:right w:val="single" w:sz="2" w:space="0" w:color="000000"/>
            </w:tcBorders>
          </w:tcPr>
          <w:p>
            <w:pPr>
              <w:pStyle w:val="TableParagraph"/>
              <w:rPr>
                <w:rFonts w:ascii="Times New Roman"/>
                <w:sz w:val="8"/>
              </w:rPr>
            </w:pPr>
          </w:p>
        </w:tc>
        <w:tc>
          <w:tcPr>
            <w:tcW w:w="631"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6"/>
              <w:rPr>
                <w:sz w:val="8"/>
              </w:rPr>
            </w:pPr>
          </w:p>
          <w:p>
            <w:pPr>
              <w:pStyle w:val="TableParagraph"/>
              <w:spacing w:line="259" w:lineRule="auto"/>
              <w:ind w:left="149" w:firstLine="36"/>
              <w:rPr>
                <w:rFonts w:ascii="Calibri"/>
                <w:b/>
                <w:sz w:val="8"/>
              </w:rPr>
            </w:pPr>
            <w:r>
              <w:rPr>
                <w:rFonts w:ascii="Calibri"/>
                <w:b/>
                <w:w w:val="105"/>
                <w:sz w:val="8"/>
              </w:rPr>
              <w:t>TIPO</w:t>
            </w:r>
            <w:r>
              <w:rPr>
                <w:rFonts w:ascii="Calibri"/>
                <w:b/>
                <w:spacing w:val="-5"/>
                <w:w w:val="105"/>
                <w:sz w:val="8"/>
              </w:rPr>
              <w:t> </w:t>
            </w:r>
            <w:r>
              <w:rPr>
                <w:rFonts w:ascii="Calibri"/>
                <w:b/>
                <w:w w:val="105"/>
                <w:sz w:val="8"/>
              </w:rPr>
              <w:t>DE</w:t>
            </w:r>
            <w:r>
              <w:rPr>
                <w:rFonts w:ascii="Calibri"/>
                <w:b/>
                <w:spacing w:val="40"/>
                <w:w w:val="105"/>
                <w:sz w:val="8"/>
              </w:rPr>
              <w:t> </w:t>
            </w:r>
            <w:r>
              <w:rPr>
                <w:rFonts w:ascii="Calibri"/>
                <w:b/>
                <w:spacing w:val="-2"/>
                <w:w w:val="105"/>
                <w:sz w:val="8"/>
              </w:rPr>
              <w:t>PROCESO</w:t>
            </w:r>
          </w:p>
        </w:tc>
        <w:tc>
          <w:tcPr>
            <w:tcW w:w="713"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6"/>
              <w:rPr>
                <w:sz w:val="8"/>
              </w:rPr>
            </w:pPr>
          </w:p>
          <w:p>
            <w:pPr>
              <w:pStyle w:val="TableParagraph"/>
              <w:spacing w:line="259" w:lineRule="auto"/>
              <w:ind w:left="237" w:right="51" w:hanging="170"/>
              <w:rPr>
                <w:rFonts w:ascii="Calibri" w:hAnsi="Calibri"/>
                <w:b/>
                <w:sz w:val="8"/>
              </w:rPr>
            </w:pPr>
            <w:r>
              <w:rPr>
                <w:rFonts w:ascii="Calibri" w:hAnsi="Calibri"/>
                <w:b/>
                <w:sz w:val="8"/>
              </w:rPr>
              <w:t>Nº</w:t>
            </w:r>
            <w:r>
              <w:rPr>
                <w:rFonts w:ascii="Calibri" w:hAnsi="Calibri"/>
                <w:b/>
                <w:spacing w:val="-5"/>
                <w:sz w:val="8"/>
              </w:rPr>
              <w:t> </w:t>
            </w:r>
            <w:r>
              <w:rPr>
                <w:rFonts w:ascii="Calibri" w:hAnsi="Calibri"/>
                <w:b/>
                <w:sz w:val="8"/>
              </w:rPr>
              <w:t>de</w:t>
            </w:r>
            <w:r>
              <w:rPr>
                <w:rFonts w:ascii="Calibri" w:hAnsi="Calibri"/>
                <w:b/>
                <w:spacing w:val="-5"/>
                <w:sz w:val="8"/>
              </w:rPr>
              <w:t> </w:t>
            </w:r>
            <w:r>
              <w:rPr>
                <w:rFonts w:ascii="Calibri" w:hAnsi="Calibri"/>
                <w:b/>
                <w:sz w:val="8"/>
              </w:rPr>
              <w:t>Expediente</w:t>
            </w:r>
            <w:r>
              <w:rPr>
                <w:rFonts w:ascii="Calibri" w:hAnsi="Calibri"/>
                <w:b/>
                <w:spacing w:val="40"/>
                <w:sz w:val="8"/>
              </w:rPr>
              <w:t> </w:t>
            </w:r>
            <w:r>
              <w:rPr>
                <w:rFonts w:ascii="Calibri" w:hAnsi="Calibri"/>
                <w:b/>
                <w:spacing w:val="-2"/>
                <w:sz w:val="8"/>
                <w:u w:val="single"/>
              </w:rPr>
              <w:t>judicial</w:t>
            </w:r>
          </w:p>
        </w:tc>
        <w:tc>
          <w:tcPr>
            <w:tcW w:w="1058"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57"/>
              <w:rPr>
                <w:sz w:val="8"/>
              </w:rPr>
            </w:pPr>
          </w:p>
          <w:p>
            <w:pPr>
              <w:pStyle w:val="TableParagraph"/>
              <w:spacing w:before="1"/>
              <w:ind w:left="17"/>
              <w:rPr>
                <w:rFonts w:ascii="Calibri"/>
                <w:b/>
                <w:sz w:val="8"/>
              </w:rPr>
            </w:pPr>
            <w:r>
              <w:rPr>
                <w:rFonts w:ascii="Calibri"/>
                <w:b/>
                <w:spacing w:val="-2"/>
                <w:sz w:val="8"/>
              </w:rPr>
              <w:t>Nombre</w:t>
            </w:r>
            <w:r>
              <w:rPr>
                <w:rFonts w:ascii="Calibri"/>
                <w:b/>
                <w:spacing w:val="5"/>
                <w:sz w:val="8"/>
              </w:rPr>
              <w:t> </w:t>
            </w:r>
            <w:r>
              <w:rPr>
                <w:rFonts w:ascii="Calibri"/>
                <w:b/>
                <w:spacing w:val="-2"/>
                <w:sz w:val="8"/>
              </w:rPr>
              <w:t>del</w:t>
            </w:r>
            <w:r>
              <w:rPr>
                <w:rFonts w:ascii="Calibri"/>
                <w:b/>
                <w:spacing w:val="3"/>
                <w:sz w:val="8"/>
              </w:rPr>
              <w:t> </w:t>
            </w:r>
            <w:r>
              <w:rPr>
                <w:rFonts w:ascii="Calibri"/>
                <w:b/>
                <w:spacing w:val="-2"/>
                <w:sz w:val="8"/>
              </w:rPr>
              <w:t>actor</w:t>
            </w:r>
          </w:p>
        </w:tc>
        <w:tc>
          <w:tcPr>
            <w:tcW w:w="508"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spacing w:line="259" w:lineRule="auto" w:before="83"/>
              <w:ind w:left="102" w:right="87" w:firstLine="3"/>
              <w:jc w:val="center"/>
              <w:rPr>
                <w:rFonts w:ascii="Calibri" w:hAnsi="Calibri"/>
                <w:b/>
                <w:sz w:val="8"/>
              </w:rPr>
            </w:pPr>
            <w:r>
              <w:rPr>
                <w:rFonts w:ascii="Calibri" w:hAnsi="Calibri"/>
                <w:b/>
                <w:spacing w:val="-2"/>
                <w:w w:val="105"/>
                <w:sz w:val="8"/>
              </w:rPr>
              <w:t>Número</w:t>
            </w:r>
            <w:r>
              <w:rPr>
                <w:rFonts w:ascii="Calibri" w:hAnsi="Calibri"/>
                <w:b/>
                <w:spacing w:val="40"/>
                <w:w w:val="105"/>
                <w:sz w:val="8"/>
              </w:rPr>
              <w:t> </w:t>
            </w:r>
            <w:r>
              <w:rPr>
                <w:rFonts w:ascii="Calibri" w:hAnsi="Calibri"/>
                <w:b/>
                <w:spacing w:val="-2"/>
                <w:w w:val="105"/>
                <w:sz w:val="8"/>
              </w:rPr>
              <w:t>cédula</w:t>
            </w:r>
            <w:r>
              <w:rPr>
                <w:rFonts w:ascii="Calibri" w:hAnsi="Calibri"/>
                <w:b/>
                <w:spacing w:val="40"/>
                <w:w w:val="105"/>
                <w:sz w:val="8"/>
              </w:rPr>
              <w:t> </w:t>
            </w:r>
            <w:r>
              <w:rPr>
                <w:rFonts w:ascii="Calibri" w:hAnsi="Calibri"/>
                <w:b/>
                <w:spacing w:val="-2"/>
                <w:w w:val="105"/>
                <w:sz w:val="8"/>
              </w:rPr>
              <w:t>jurídica</w:t>
            </w:r>
            <w:r>
              <w:rPr>
                <w:rFonts w:ascii="Calibri" w:hAnsi="Calibri"/>
                <w:b/>
                <w:spacing w:val="-6"/>
                <w:w w:val="105"/>
                <w:sz w:val="8"/>
              </w:rPr>
              <w:t> </w:t>
            </w:r>
            <w:r>
              <w:rPr>
                <w:rFonts w:ascii="Calibri" w:hAnsi="Calibri"/>
                <w:b/>
                <w:spacing w:val="-2"/>
                <w:w w:val="105"/>
                <w:sz w:val="8"/>
              </w:rPr>
              <w:t>o</w:t>
            </w:r>
            <w:r>
              <w:rPr>
                <w:rFonts w:ascii="Calibri" w:hAnsi="Calibri"/>
                <w:b/>
                <w:spacing w:val="40"/>
                <w:w w:val="105"/>
                <w:sz w:val="8"/>
              </w:rPr>
              <w:t> </w:t>
            </w:r>
            <w:r>
              <w:rPr>
                <w:rFonts w:ascii="Calibri" w:hAnsi="Calibri"/>
                <w:b/>
                <w:spacing w:val="-2"/>
                <w:w w:val="105"/>
                <w:sz w:val="8"/>
              </w:rPr>
              <w:t>física</w:t>
            </w:r>
          </w:p>
        </w:tc>
        <w:tc>
          <w:tcPr>
            <w:tcW w:w="647"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6"/>
              <w:rPr>
                <w:sz w:val="8"/>
              </w:rPr>
            </w:pPr>
          </w:p>
          <w:p>
            <w:pPr>
              <w:pStyle w:val="TableParagraph"/>
              <w:spacing w:line="259" w:lineRule="auto"/>
              <w:ind w:left="168" w:right="108" w:hanging="46"/>
              <w:rPr>
                <w:rFonts w:ascii="Calibri"/>
                <w:b/>
                <w:sz w:val="8"/>
              </w:rPr>
            </w:pPr>
            <w:r>
              <w:rPr>
                <w:rFonts w:ascii="Calibri"/>
                <w:b/>
                <w:spacing w:val="-2"/>
                <w:sz w:val="8"/>
              </w:rPr>
              <w:t>Motivo</w:t>
            </w:r>
            <w:r>
              <w:rPr>
                <w:rFonts w:ascii="Calibri"/>
                <w:b/>
                <w:spacing w:val="-5"/>
                <w:sz w:val="8"/>
              </w:rPr>
              <w:t> </w:t>
            </w:r>
            <w:r>
              <w:rPr>
                <w:rFonts w:ascii="Calibri"/>
                <w:b/>
                <w:spacing w:val="-2"/>
                <w:sz w:val="8"/>
              </w:rPr>
              <w:t>de</w:t>
            </w:r>
            <w:r>
              <w:rPr>
                <w:rFonts w:ascii="Calibri"/>
                <w:b/>
                <w:spacing w:val="-3"/>
                <w:sz w:val="8"/>
              </w:rPr>
              <w:t> </w:t>
            </w:r>
            <w:r>
              <w:rPr>
                <w:rFonts w:ascii="Calibri"/>
                <w:b/>
                <w:spacing w:val="-2"/>
                <w:sz w:val="8"/>
              </w:rPr>
              <w:t>la</w:t>
            </w:r>
            <w:r>
              <w:rPr>
                <w:rFonts w:ascii="Calibri"/>
                <w:b/>
                <w:spacing w:val="40"/>
                <w:sz w:val="8"/>
              </w:rPr>
              <w:t> </w:t>
            </w:r>
            <w:r>
              <w:rPr>
                <w:rFonts w:ascii="Calibri"/>
                <w:b/>
                <w:spacing w:val="-2"/>
                <w:sz w:val="8"/>
              </w:rPr>
              <w:t>demanda</w:t>
            </w:r>
          </w:p>
        </w:tc>
        <w:tc>
          <w:tcPr>
            <w:tcW w:w="877"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57"/>
              <w:rPr>
                <w:sz w:val="8"/>
              </w:rPr>
            </w:pPr>
          </w:p>
          <w:p>
            <w:pPr>
              <w:pStyle w:val="TableParagraph"/>
              <w:spacing w:before="1"/>
              <w:ind w:left="211"/>
              <w:rPr>
                <w:rFonts w:ascii="Calibri"/>
                <w:b/>
                <w:sz w:val="8"/>
              </w:rPr>
            </w:pPr>
            <w:r>
              <w:rPr>
                <w:rFonts w:ascii="Calibri"/>
                <w:b/>
                <w:sz w:val="8"/>
              </w:rPr>
              <w:t>Estado</w:t>
            </w:r>
            <w:r>
              <w:rPr>
                <w:rFonts w:ascii="Calibri"/>
                <w:b/>
                <w:spacing w:val="-1"/>
                <w:sz w:val="8"/>
              </w:rPr>
              <w:t> </w:t>
            </w:r>
            <w:r>
              <w:rPr>
                <w:rFonts w:ascii="Calibri"/>
                <w:b/>
                <w:spacing w:val="-2"/>
                <w:sz w:val="8"/>
              </w:rPr>
              <w:t>Actual</w:t>
            </w:r>
          </w:p>
        </w:tc>
        <w:tc>
          <w:tcPr>
            <w:tcW w:w="1083"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12"/>
              <w:rPr>
                <w:sz w:val="8"/>
              </w:rPr>
            </w:pPr>
          </w:p>
          <w:p>
            <w:pPr>
              <w:pStyle w:val="TableParagraph"/>
              <w:spacing w:line="278" w:lineRule="auto"/>
              <w:ind w:left="443" w:right="84" w:hanging="348"/>
              <w:rPr>
                <w:sz w:val="8"/>
              </w:rPr>
            </w:pPr>
            <w:r>
              <w:rPr>
                <w:sz w:val="8"/>
              </w:rPr>
              <w:t>Monto</w:t>
            </w:r>
            <w:r>
              <w:rPr>
                <w:spacing w:val="-4"/>
                <w:sz w:val="8"/>
              </w:rPr>
              <w:t> </w:t>
            </w:r>
            <w:r>
              <w:rPr>
                <w:sz w:val="8"/>
              </w:rPr>
              <w:t>provisión</w:t>
            </w:r>
            <w:r>
              <w:rPr>
                <w:spacing w:val="-5"/>
                <w:sz w:val="8"/>
              </w:rPr>
              <w:t> </w:t>
            </w:r>
            <w:r>
              <w:rPr>
                <w:sz w:val="8"/>
              </w:rPr>
              <w:t>A</w:t>
            </w:r>
            <w:r>
              <w:rPr>
                <w:spacing w:val="-4"/>
                <w:sz w:val="8"/>
              </w:rPr>
              <w:t> </w:t>
            </w:r>
            <w:r>
              <w:rPr>
                <w:sz w:val="8"/>
              </w:rPr>
              <w:t>Marzo</w:t>
            </w:r>
            <w:r>
              <w:rPr>
                <w:spacing w:val="-4"/>
                <w:sz w:val="8"/>
              </w:rPr>
              <w:t> </w:t>
            </w:r>
            <w:r>
              <w:rPr>
                <w:sz w:val="8"/>
              </w:rPr>
              <w:t>-</w:t>
            </w:r>
            <w:r>
              <w:rPr>
                <w:spacing w:val="40"/>
                <w:sz w:val="8"/>
              </w:rPr>
              <w:t> </w:t>
            </w:r>
            <w:r>
              <w:rPr>
                <w:spacing w:val="-2"/>
                <w:sz w:val="8"/>
              </w:rPr>
              <w:t>Miles-</w:t>
            </w:r>
          </w:p>
        </w:tc>
        <w:tc>
          <w:tcPr>
            <w:tcW w:w="1878"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57"/>
              <w:rPr>
                <w:sz w:val="8"/>
              </w:rPr>
            </w:pPr>
          </w:p>
          <w:p>
            <w:pPr>
              <w:pStyle w:val="TableParagraph"/>
              <w:spacing w:before="1"/>
              <w:ind w:left="5"/>
              <w:jc w:val="center"/>
              <w:rPr>
                <w:rFonts w:ascii="Calibri"/>
                <w:b/>
                <w:sz w:val="8"/>
              </w:rPr>
            </w:pPr>
            <w:r>
              <w:rPr>
                <w:rFonts w:ascii="Calibri"/>
                <w:b/>
                <w:sz w:val="8"/>
              </w:rPr>
              <w:t>Observaciones</w:t>
            </w:r>
            <w:r>
              <w:rPr>
                <w:rFonts w:ascii="Calibri"/>
                <w:b/>
                <w:spacing w:val="2"/>
                <w:sz w:val="8"/>
              </w:rPr>
              <w:t> </w:t>
            </w:r>
            <w:r>
              <w:rPr>
                <w:rFonts w:ascii="Calibri"/>
                <w:b/>
                <w:spacing w:val="-10"/>
                <w:sz w:val="8"/>
              </w:rPr>
              <w:t>1</w:t>
            </w:r>
          </w:p>
        </w:tc>
        <w:tc>
          <w:tcPr>
            <w:tcW w:w="632"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57"/>
              <w:rPr>
                <w:sz w:val="8"/>
              </w:rPr>
            </w:pPr>
          </w:p>
          <w:p>
            <w:pPr>
              <w:pStyle w:val="TableParagraph"/>
              <w:spacing w:before="1"/>
              <w:ind w:left="37"/>
              <w:rPr>
                <w:rFonts w:ascii="Calibri"/>
                <w:b/>
                <w:sz w:val="8"/>
              </w:rPr>
            </w:pPr>
            <w:r>
              <w:rPr>
                <w:rFonts w:ascii="Calibri"/>
                <w:b/>
                <w:sz w:val="8"/>
              </w:rPr>
              <w:t>Observaciones</w:t>
            </w:r>
            <w:r>
              <w:rPr>
                <w:rFonts w:ascii="Calibri"/>
                <w:b/>
                <w:spacing w:val="2"/>
                <w:sz w:val="8"/>
              </w:rPr>
              <w:t> </w:t>
            </w:r>
            <w:r>
              <w:rPr>
                <w:rFonts w:ascii="Calibri"/>
                <w:b/>
                <w:spacing w:val="-10"/>
                <w:sz w:val="8"/>
              </w:rPr>
              <w:t>2</w:t>
            </w:r>
          </w:p>
        </w:tc>
        <w:tc>
          <w:tcPr>
            <w:tcW w:w="632" w:type="dxa"/>
            <w:tcBorders>
              <w:top w:val="single" w:sz="6" w:space="0" w:color="000000"/>
              <w:left w:val="single" w:sz="2" w:space="0" w:color="000000"/>
              <w:bottom w:val="single" w:sz="2" w:space="0" w:color="000000"/>
              <w:right w:val="single" w:sz="2" w:space="0" w:color="000000"/>
            </w:tcBorders>
            <w:shd w:val="clear" w:color="auto" w:fill="E8E8E8"/>
          </w:tcPr>
          <w:p>
            <w:pPr>
              <w:pStyle w:val="TableParagraph"/>
              <w:rPr>
                <w:sz w:val="8"/>
              </w:rPr>
            </w:pPr>
          </w:p>
          <w:p>
            <w:pPr>
              <w:pStyle w:val="TableParagraph"/>
              <w:spacing w:before="57"/>
              <w:rPr>
                <w:sz w:val="8"/>
              </w:rPr>
            </w:pPr>
          </w:p>
          <w:p>
            <w:pPr>
              <w:pStyle w:val="TableParagraph"/>
              <w:spacing w:before="1"/>
              <w:ind w:left="37"/>
              <w:rPr>
                <w:rFonts w:ascii="Calibri"/>
                <w:b/>
                <w:sz w:val="8"/>
              </w:rPr>
            </w:pPr>
            <w:r>
              <w:rPr>
                <w:rFonts w:ascii="Calibri"/>
                <w:b/>
                <w:sz w:val="8"/>
              </w:rPr>
              <w:t>Observaciones</w:t>
            </w:r>
            <w:r>
              <w:rPr>
                <w:rFonts w:ascii="Calibri"/>
                <w:b/>
                <w:spacing w:val="2"/>
                <w:sz w:val="8"/>
              </w:rPr>
              <w:t> </w:t>
            </w:r>
            <w:r>
              <w:rPr>
                <w:rFonts w:ascii="Calibri"/>
                <w:b/>
                <w:spacing w:val="-10"/>
                <w:sz w:val="8"/>
              </w:rPr>
              <w:t>3</w:t>
            </w:r>
          </w:p>
        </w:tc>
        <w:tc>
          <w:tcPr>
            <w:tcW w:w="367" w:type="dxa"/>
            <w:vMerge w:val="restart"/>
            <w:tcBorders>
              <w:left w:val="single" w:sz="2" w:space="0" w:color="000000"/>
              <w:bottom w:val="nil"/>
            </w:tcBorders>
          </w:tcPr>
          <w:p>
            <w:pPr>
              <w:pStyle w:val="TableParagraph"/>
              <w:rPr>
                <w:rFonts w:ascii="Times New Roman"/>
                <w:sz w:val="8"/>
              </w:rPr>
            </w:pPr>
          </w:p>
        </w:tc>
      </w:tr>
      <w:tr>
        <w:trPr>
          <w:trHeight w:val="100" w:hRule="atLeast"/>
        </w:trPr>
        <w:tc>
          <w:tcPr>
            <w:tcW w:w="355" w:type="dxa"/>
            <w:vMerge/>
            <w:tcBorders>
              <w:top w:val="nil"/>
              <w:bottom w:val="nil"/>
              <w:right w:val="single" w:sz="2" w:space="0" w:color="000000"/>
            </w:tcBorders>
          </w:tcPr>
          <w:p>
            <w:pPr>
              <w:rPr>
                <w:sz w:val="2"/>
                <w:szCs w:val="2"/>
              </w:rPr>
            </w:pPr>
          </w:p>
        </w:tc>
        <w:tc>
          <w:tcPr>
            <w:tcW w:w="631"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spacing w:line="76" w:lineRule="exact" w:before="4"/>
              <w:ind w:left="11" w:right="2"/>
              <w:jc w:val="center"/>
              <w:rPr>
                <w:rFonts w:ascii="Calibri"/>
                <w:b/>
                <w:sz w:val="8"/>
              </w:rPr>
            </w:pPr>
            <w:r>
              <w:rPr>
                <w:rFonts w:ascii="Calibri"/>
                <w:b/>
                <w:w w:val="105"/>
                <w:sz w:val="8"/>
              </w:rPr>
              <w:t>PROCESO</w:t>
            </w:r>
            <w:r>
              <w:rPr>
                <w:rFonts w:ascii="Calibri"/>
                <w:b/>
                <w:spacing w:val="-2"/>
                <w:w w:val="105"/>
                <w:sz w:val="8"/>
              </w:rPr>
              <w:t> </w:t>
            </w:r>
            <w:r>
              <w:rPr>
                <w:rFonts w:ascii="Calibri"/>
                <w:b/>
                <w:spacing w:val="-4"/>
                <w:w w:val="105"/>
                <w:sz w:val="8"/>
              </w:rPr>
              <w:t>IMAS</w:t>
            </w:r>
          </w:p>
        </w:tc>
        <w:tc>
          <w:tcPr>
            <w:tcW w:w="713"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05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50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47"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877"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083"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187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32"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632"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4"/>
              </w:rPr>
            </w:pPr>
          </w:p>
        </w:tc>
        <w:tc>
          <w:tcPr>
            <w:tcW w:w="367" w:type="dxa"/>
            <w:vMerge/>
            <w:tcBorders>
              <w:top w:val="nil"/>
              <w:left w:val="single" w:sz="2" w:space="0" w:color="000000"/>
              <w:bottom w:val="nil"/>
            </w:tcBorders>
          </w:tcPr>
          <w:p>
            <w:pPr>
              <w:rPr>
                <w:sz w:val="2"/>
                <w:szCs w:val="2"/>
              </w:rPr>
            </w:pPr>
          </w:p>
        </w:tc>
      </w:tr>
      <w:tr>
        <w:trPr>
          <w:trHeight w:val="1289" w:hRule="atLeast"/>
        </w:trPr>
        <w:tc>
          <w:tcPr>
            <w:tcW w:w="355" w:type="dxa"/>
            <w:vMerge/>
            <w:tcBorders>
              <w:top w:val="nil"/>
              <w:bottom w:val="nil"/>
              <w:right w:val="single" w:sz="2" w:space="0" w:color="000000"/>
            </w:tcBorders>
          </w:tcPr>
          <w:p>
            <w:pPr>
              <w:rPr>
                <w:sz w:val="2"/>
                <w:szCs w:val="2"/>
              </w:rPr>
            </w:pPr>
          </w:p>
        </w:tc>
        <w:tc>
          <w:tcPr>
            <w:tcW w:w="63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9"/>
              <w:rPr>
                <w:sz w:val="8"/>
              </w:rPr>
            </w:pPr>
          </w:p>
          <w:p>
            <w:pPr>
              <w:pStyle w:val="TableParagraph"/>
              <w:ind w:left="11"/>
              <w:jc w:val="center"/>
              <w:rPr>
                <w:rFonts w:ascii="Calibri"/>
                <w:b/>
                <w:sz w:val="8"/>
              </w:rPr>
            </w:pPr>
            <w:r>
              <w:rPr>
                <w:rFonts w:ascii="Calibri"/>
                <w:b/>
                <w:spacing w:val="-2"/>
                <w:sz w:val="8"/>
              </w:rPr>
              <w:t>LABORAL</w:t>
            </w:r>
          </w:p>
        </w:tc>
        <w:tc>
          <w:tcPr>
            <w:tcW w:w="71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89"/>
              <w:rPr>
                <w:sz w:val="8"/>
              </w:rPr>
            </w:pPr>
          </w:p>
          <w:p>
            <w:pPr>
              <w:pStyle w:val="TableParagraph"/>
              <w:ind w:left="13" w:right="4"/>
              <w:jc w:val="center"/>
              <w:rPr>
                <w:rFonts w:ascii="Calibri"/>
                <w:sz w:val="8"/>
              </w:rPr>
            </w:pPr>
            <w:r>
              <w:rPr>
                <w:rFonts w:ascii="Calibri"/>
                <w:sz w:val="8"/>
              </w:rPr>
              <w:t>18-001758-1178-</w:t>
            </w:r>
            <w:r>
              <w:rPr>
                <w:rFonts w:ascii="Calibri"/>
                <w:spacing w:val="-5"/>
                <w:sz w:val="8"/>
              </w:rPr>
              <w:t>LA-</w:t>
            </w:r>
          </w:p>
          <w:p>
            <w:pPr>
              <w:pStyle w:val="TableParagraph"/>
              <w:spacing w:before="8"/>
              <w:ind w:left="8"/>
              <w:jc w:val="center"/>
              <w:rPr>
                <w:rFonts w:ascii="Calibri"/>
                <w:sz w:val="8"/>
              </w:rPr>
            </w:pPr>
            <w:r>
              <w:rPr>
                <w:rFonts w:ascii="Calibri"/>
                <w:spacing w:val="-10"/>
                <w:sz w:val="8"/>
              </w:rPr>
              <w:t>5</w:t>
            </w:r>
          </w:p>
        </w:tc>
        <w:tc>
          <w:tcPr>
            <w:tcW w:w="105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59" w:lineRule="auto" w:before="29"/>
              <w:ind w:left="17" w:right="12"/>
              <w:rPr>
                <w:rFonts w:ascii="Calibri" w:hAnsi="Calibri"/>
                <w:sz w:val="8"/>
              </w:rPr>
            </w:pPr>
            <w:r>
              <w:rPr>
                <w:rFonts w:ascii="Calibri" w:hAnsi="Calibri"/>
                <w:sz w:val="8"/>
              </w:rPr>
              <w:t>Ana</w:t>
            </w:r>
            <w:r>
              <w:rPr>
                <w:rFonts w:ascii="Calibri" w:hAnsi="Calibri"/>
                <w:spacing w:val="-3"/>
                <w:sz w:val="8"/>
              </w:rPr>
              <w:t> </w:t>
            </w:r>
            <w:r>
              <w:rPr>
                <w:rFonts w:ascii="Calibri" w:hAnsi="Calibri"/>
                <w:sz w:val="8"/>
              </w:rPr>
              <w:t>Isabel Carballo Fonseca,</w:t>
            </w:r>
            <w:r>
              <w:rPr>
                <w:rFonts w:ascii="Calibri" w:hAnsi="Calibri"/>
                <w:spacing w:val="40"/>
                <w:sz w:val="8"/>
              </w:rPr>
              <w:t> </w:t>
            </w:r>
            <w:r>
              <w:rPr>
                <w:rFonts w:ascii="Calibri" w:hAnsi="Calibri"/>
                <w:sz w:val="8"/>
              </w:rPr>
              <w:t>Betzayda</w:t>
            </w:r>
            <w:r>
              <w:rPr>
                <w:rFonts w:ascii="Calibri" w:hAnsi="Calibri"/>
                <w:spacing w:val="-5"/>
                <w:sz w:val="8"/>
              </w:rPr>
              <w:t> </w:t>
            </w:r>
            <w:r>
              <w:rPr>
                <w:rFonts w:ascii="Calibri" w:hAnsi="Calibri"/>
                <w:sz w:val="8"/>
              </w:rPr>
              <w:t>Benavides</w:t>
            </w:r>
            <w:r>
              <w:rPr>
                <w:rFonts w:ascii="Calibri" w:hAnsi="Calibri"/>
                <w:spacing w:val="-5"/>
                <w:sz w:val="8"/>
              </w:rPr>
              <w:t> </w:t>
            </w:r>
            <w:r>
              <w:rPr>
                <w:rFonts w:ascii="Calibri" w:hAnsi="Calibri"/>
                <w:sz w:val="8"/>
              </w:rPr>
              <w:t>Rivas,</w:t>
            </w:r>
            <w:r>
              <w:rPr>
                <w:rFonts w:ascii="Calibri" w:hAnsi="Calibri"/>
                <w:spacing w:val="40"/>
                <w:sz w:val="8"/>
              </w:rPr>
              <w:t> </w:t>
            </w:r>
            <w:r>
              <w:rPr>
                <w:rFonts w:ascii="Calibri" w:hAnsi="Calibri"/>
                <w:spacing w:val="-2"/>
                <w:sz w:val="8"/>
              </w:rPr>
              <w:t>Eduardo Guerrero Guevara, Flor</w:t>
            </w:r>
            <w:r>
              <w:rPr>
                <w:rFonts w:ascii="Calibri" w:hAnsi="Calibri"/>
                <w:spacing w:val="40"/>
                <w:sz w:val="8"/>
              </w:rPr>
              <w:t> </w:t>
            </w:r>
            <w:r>
              <w:rPr>
                <w:rFonts w:ascii="Calibri" w:hAnsi="Calibri"/>
                <w:sz w:val="8"/>
              </w:rPr>
              <w:t>De</w:t>
            </w:r>
            <w:r>
              <w:rPr>
                <w:rFonts w:ascii="Calibri" w:hAnsi="Calibri"/>
                <w:spacing w:val="-2"/>
                <w:sz w:val="8"/>
              </w:rPr>
              <w:t> </w:t>
            </w:r>
            <w:r>
              <w:rPr>
                <w:rFonts w:ascii="Calibri" w:hAnsi="Calibri"/>
                <w:sz w:val="8"/>
              </w:rPr>
              <w:t>María</w:t>
            </w:r>
            <w:r>
              <w:rPr>
                <w:rFonts w:ascii="Calibri" w:hAnsi="Calibri"/>
                <w:spacing w:val="-3"/>
                <w:sz w:val="8"/>
              </w:rPr>
              <w:t> </w:t>
            </w:r>
            <w:r>
              <w:rPr>
                <w:rFonts w:ascii="Calibri" w:hAnsi="Calibri"/>
                <w:sz w:val="8"/>
              </w:rPr>
              <w:t>Castro</w:t>
            </w:r>
            <w:r>
              <w:rPr>
                <w:rFonts w:ascii="Calibri" w:hAnsi="Calibri"/>
                <w:spacing w:val="-1"/>
                <w:sz w:val="8"/>
              </w:rPr>
              <w:t> </w:t>
            </w:r>
            <w:r>
              <w:rPr>
                <w:rFonts w:ascii="Calibri" w:hAnsi="Calibri"/>
                <w:sz w:val="8"/>
              </w:rPr>
              <w:t>Bolaños,</w:t>
            </w:r>
            <w:r>
              <w:rPr>
                <w:rFonts w:ascii="Calibri" w:hAnsi="Calibri"/>
                <w:spacing w:val="40"/>
                <w:sz w:val="8"/>
              </w:rPr>
              <w:t> </w:t>
            </w:r>
            <w:r>
              <w:rPr>
                <w:rFonts w:ascii="Calibri" w:hAnsi="Calibri"/>
                <w:sz w:val="8"/>
              </w:rPr>
              <w:t>Margarita</w:t>
            </w:r>
            <w:r>
              <w:rPr>
                <w:rFonts w:ascii="Calibri" w:hAnsi="Calibri"/>
                <w:spacing w:val="-5"/>
                <w:sz w:val="8"/>
              </w:rPr>
              <w:t> </w:t>
            </w:r>
            <w:r>
              <w:rPr>
                <w:rFonts w:ascii="Calibri" w:hAnsi="Calibri"/>
                <w:sz w:val="8"/>
              </w:rPr>
              <w:t>Fonseca</w:t>
            </w:r>
            <w:r>
              <w:rPr>
                <w:rFonts w:ascii="Calibri" w:hAnsi="Calibri"/>
                <w:spacing w:val="-5"/>
                <w:sz w:val="8"/>
              </w:rPr>
              <w:t> </w:t>
            </w:r>
            <w:r>
              <w:rPr>
                <w:rFonts w:ascii="Calibri" w:hAnsi="Calibri"/>
                <w:sz w:val="8"/>
              </w:rPr>
              <w:t>Murillo,</w:t>
            </w:r>
            <w:r>
              <w:rPr>
                <w:rFonts w:ascii="Calibri" w:hAnsi="Calibri"/>
                <w:spacing w:val="40"/>
                <w:sz w:val="8"/>
              </w:rPr>
              <w:t> </w:t>
            </w:r>
            <w:r>
              <w:rPr>
                <w:rFonts w:ascii="Calibri" w:hAnsi="Calibri"/>
                <w:sz w:val="8"/>
              </w:rPr>
              <w:t>Flora</w:t>
            </w:r>
            <w:r>
              <w:rPr>
                <w:rFonts w:ascii="Calibri" w:hAnsi="Calibri"/>
                <w:spacing w:val="-3"/>
                <w:sz w:val="8"/>
              </w:rPr>
              <w:t> </w:t>
            </w:r>
            <w:r>
              <w:rPr>
                <w:rFonts w:ascii="Calibri" w:hAnsi="Calibri"/>
                <w:sz w:val="8"/>
              </w:rPr>
              <w:t>Berrocal</w:t>
            </w:r>
            <w:r>
              <w:rPr>
                <w:rFonts w:ascii="Calibri" w:hAnsi="Calibri"/>
                <w:spacing w:val="-1"/>
                <w:sz w:val="8"/>
              </w:rPr>
              <w:t> </w:t>
            </w:r>
            <w:r>
              <w:rPr>
                <w:rFonts w:ascii="Calibri" w:hAnsi="Calibri"/>
                <w:sz w:val="8"/>
              </w:rPr>
              <w:t>Carrillo,</w:t>
            </w:r>
            <w:r>
              <w:rPr>
                <w:rFonts w:ascii="Calibri" w:hAnsi="Calibri"/>
                <w:spacing w:val="-2"/>
                <w:sz w:val="8"/>
              </w:rPr>
              <w:t> </w:t>
            </w:r>
            <w:r>
              <w:rPr>
                <w:rFonts w:ascii="Calibri" w:hAnsi="Calibri"/>
                <w:sz w:val="8"/>
              </w:rPr>
              <w:t>María</w:t>
            </w:r>
            <w:r>
              <w:rPr>
                <w:rFonts w:ascii="Calibri" w:hAnsi="Calibri"/>
                <w:spacing w:val="40"/>
                <w:sz w:val="8"/>
              </w:rPr>
              <w:t> </w:t>
            </w:r>
            <w:r>
              <w:rPr>
                <w:rFonts w:ascii="Calibri" w:hAnsi="Calibri"/>
                <w:sz w:val="8"/>
              </w:rPr>
              <w:t>Cecilia</w:t>
            </w:r>
            <w:r>
              <w:rPr>
                <w:rFonts w:ascii="Calibri" w:hAnsi="Calibri"/>
                <w:spacing w:val="-3"/>
                <w:sz w:val="8"/>
              </w:rPr>
              <w:t> </w:t>
            </w:r>
            <w:r>
              <w:rPr>
                <w:rFonts w:ascii="Calibri" w:hAnsi="Calibri"/>
                <w:sz w:val="8"/>
              </w:rPr>
              <w:t>Carranza</w:t>
            </w:r>
            <w:r>
              <w:rPr>
                <w:rFonts w:ascii="Calibri" w:hAnsi="Calibri"/>
                <w:spacing w:val="-3"/>
                <w:sz w:val="8"/>
              </w:rPr>
              <w:t> </w:t>
            </w:r>
            <w:r>
              <w:rPr>
                <w:rFonts w:ascii="Calibri" w:hAnsi="Calibri"/>
                <w:sz w:val="8"/>
              </w:rPr>
              <w:t>Picado,</w:t>
            </w:r>
            <w:r>
              <w:rPr>
                <w:rFonts w:ascii="Calibri" w:hAnsi="Calibri"/>
                <w:spacing w:val="-2"/>
                <w:sz w:val="8"/>
              </w:rPr>
              <w:t> </w:t>
            </w:r>
            <w:r>
              <w:rPr>
                <w:rFonts w:ascii="Calibri" w:hAnsi="Calibri"/>
                <w:sz w:val="8"/>
              </w:rPr>
              <w:t>María</w:t>
            </w:r>
            <w:r>
              <w:rPr>
                <w:rFonts w:ascii="Calibri" w:hAnsi="Calibri"/>
                <w:spacing w:val="40"/>
                <w:sz w:val="8"/>
              </w:rPr>
              <w:t> </w:t>
            </w:r>
            <w:r>
              <w:rPr>
                <w:rFonts w:ascii="Calibri" w:hAnsi="Calibri"/>
                <w:sz w:val="8"/>
              </w:rPr>
              <w:t>Marlene</w:t>
            </w:r>
            <w:r>
              <w:rPr>
                <w:rFonts w:ascii="Calibri" w:hAnsi="Calibri"/>
                <w:spacing w:val="-3"/>
                <w:sz w:val="8"/>
              </w:rPr>
              <w:t> </w:t>
            </w:r>
            <w:r>
              <w:rPr>
                <w:rFonts w:ascii="Calibri" w:hAnsi="Calibri"/>
                <w:sz w:val="8"/>
              </w:rPr>
              <w:t>Oviedo</w:t>
            </w:r>
            <w:r>
              <w:rPr>
                <w:rFonts w:ascii="Calibri" w:hAnsi="Calibri"/>
                <w:spacing w:val="-1"/>
                <w:sz w:val="8"/>
              </w:rPr>
              <w:t> </w:t>
            </w:r>
            <w:r>
              <w:rPr>
                <w:rFonts w:ascii="Calibri" w:hAnsi="Calibri"/>
                <w:sz w:val="8"/>
              </w:rPr>
              <w:t>Alfaro,</w:t>
            </w:r>
            <w:r>
              <w:rPr>
                <w:rFonts w:ascii="Calibri" w:hAnsi="Calibri"/>
                <w:spacing w:val="-2"/>
                <w:sz w:val="8"/>
              </w:rPr>
              <w:t> </w:t>
            </w:r>
            <w:r>
              <w:rPr>
                <w:rFonts w:ascii="Calibri" w:hAnsi="Calibri"/>
                <w:sz w:val="8"/>
              </w:rPr>
              <w:t>Marta</w:t>
            </w:r>
            <w:r>
              <w:rPr>
                <w:rFonts w:ascii="Calibri" w:hAnsi="Calibri"/>
                <w:spacing w:val="40"/>
                <w:sz w:val="8"/>
              </w:rPr>
              <w:t> </w:t>
            </w:r>
            <w:r>
              <w:rPr>
                <w:rFonts w:ascii="Calibri" w:hAnsi="Calibri"/>
                <w:sz w:val="8"/>
              </w:rPr>
              <w:t>Isabel Brenes</w:t>
            </w:r>
            <w:r>
              <w:rPr>
                <w:rFonts w:ascii="Calibri" w:hAnsi="Calibri"/>
                <w:spacing w:val="-2"/>
                <w:sz w:val="8"/>
              </w:rPr>
              <w:t> </w:t>
            </w:r>
            <w:r>
              <w:rPr>
                <w:rFonts w:ascii="Calibri" w:hAnsi="Calibri"/>
                <w:sz w:val="8"/>
              </w:rPr>
              <w:t>Bonilla,</w:t>
            </w:r>
            <w:r>
              <w:rPr>
                <w:rFonts w:ascii="Calibri" w:hAnsi="Calibri"/>
                <w:spacing w:val="-2"/>
                <w:sz w:val="8"/>
              </w:rPr>
              <w:t> </w:t>
            </w:r>
            <w:r>
              <w:rPr>
                <w:rFonts w:ascii="Calibri" w:hAnsi="Calibri"/>
                <w:sz w:val="8"/>
              </w:rPr>
              <w:t>Milagro</w:t>
            </w:r>
            <w:r>
              <w:rPr>
                <w:rFonts w:ascii="Calibri" w:hAnsi="Calibri"/>
                <w:spacing w:val="40"/>
                <w:sz w:val="8"/>
              </w:rPr>
              <w:t> </w:t>
            </w:r>
            <w:r>
              <w:rPr>
                <w:rFonts w:ascii="Calibri" w:hAnsi="Calibri"/>
                <w:sz w:val="8"/>
              </w:rPr>
              <w:t>Leitón</w:t>
            </w:r>
            <w:r>
              <w:rPr>
                <w:rFonts w:ascii="Calibri" w:hAnsi="Calibri"/>
                <w:spacing w:val="-5"/>
                <w:sz w:val="8"/>
              </w:rPr>
              <w:t> </w:t>
            </w:r>
            <w:r>
              <w:rPr>
                <w:rFonts w:ascii="Calibri" w:hAnsi="Calibri"/>
                <w:sz w:val="8"/>
              </w:rPr>
              <w:t>Castro,</w:t>
            </w:r>
            <w:r>
              <w:rPr>
                <w:rFonts w:ascii="Calibri" w:hAnsi="Calibri"/>
                <w:spacing w:val="-5"/>
                <w:sz w:val="8"/>
              </w:rPr>
              <w:t> </w:t>
            </w:r>
            <w:r>
              <w:rPr>
                <w:rFonts w:ascii="Calibri" w:hAnsi="Calibri"/>
                <w:sz w:val="8"/>
              </w:rPr>
              <w:t>Patricia</w:t>
            </w:r>
            <w:r>
              <w:rPr>
                <w:rFonts w:ascii="Calibri" w:hAnsi="Calibri"/>
                <w:spacing w:val="40"/>
                <w:sz w:val="8"/>
              </w:rPr>
              <w:t> </w:t>
            </w:r>
            <w:r>
              <w:rPr>
                <w:rFonts w:ascii="Calibri" w:hAnsi="Calibri"/>
                <w:sz w:val="8"/>
              </w:rPr>
              <w:t>Margarita</w:t>
            </w:r>
            <w:r>
              <w:rPr>
                <w:rFonts w:ascii="Calibri" w:hAnsi="Calibri"/>
                <w:spacing w:val="-5"/>
                <w:sz w:val="8"/>
              </w:rPr>
              <w:t> </w:t>
            </w:r>
            <w:r>
              <w:rPr>
                <w:rFonts w:ascii="Calibri" w:hAnsi="Calibri"/>
                <w:sz w:val="8"/>
              </w:rPr>
              <w:t>Obando</w:t>
            </w:r>
            <w:r>
              <w:rPr>
                <w:rFonts w:ascii="Calibri" w:hAnsi="Calibri"/>
                <w:spacing w:val="-5"/>
                <w:sz w:val="8"/>
              </w:rPr>
              <w:t> </w:t>
            </w:r>
            <w:r>
              <w:rPr>
                <w:rFonts w:ascii="Calibri" w:hAnsi="Calibri"/>
                <w:sz w:val="8"/>
              </w:rPr>
              <w:t>Mora,</w:t>
            </w:r>
          </w:p>
          <w:p>
            <w:pPr>
              <w:pStyle w:val="TableParagraph"/>
              <w:spacing w:line="76" w:lineRule="exact" w:before="4"/>
              <w:ind w:left="17"/>
              <w:rPr>
                <w:rFonts w:ascii="Calibri"/>
                <w:sz w:val="8"/>
              </w:rPr>
            </w:pPr>
            <w:r>
              <w:rPr>
                <w:rFonts w:ascii="Calibri"/>
                <w:sz w:val="8"/>
              </w:rPr>
              <w:t>Rosibel</w:t>
            </w:r>
            <w:r>
              <w:rPr>
                <w:rFonts w:ascii="Calibri"/>
                <w:spacing w:val="-3"/>
                <w:sz w:val="8"/>
              </w:rPr>
              <w:t> </w:t>
            </w:r>
            <w:r>
              <w:rPr>
                <w:rFonts w:ascii="Calibri"/>
                <w:sz w:val="8"/>
              </w:rPr>
              <w:t>Guerrero</w:t>
            </w:r>
            <w:r>
              <w:rPr>
                <w:rFonts w:ascii="Calibri"/>
                <w:spacing w:val="-3"/>
                <w:sz w:val="8"/>
              </w:rPr>
              <w:t> </w:t>
            </w:r>
            <w:r>
              <w:rPr>
                <w:rFonts w:ascii="Calibri"/>
                <w:sz w:val="8"/>
              </w:rPr>
              <w:t>Castillo</w:t>
            </w:r>
            <w:r>
              <w:rPr>
                <w:rFonts w:ascii="Calibri"/>
                <w:spacing w:val="-2"/>
                <w:sz w:val="8"/>
              </w:rPr>
              <w:t> </w:t>
            </w:r>
            <w:r>
              <w:rPr>
                <w:rFonts w:ascii="Calibri"/>
                <w:spacing w:val="-10"/>
                <w:sz w:val="8"/>
              </w:rPr>
              <w:t>y</w:t>
            </w:r>
          </w:p>
        </w:tc>
        <w:tc>
          <w:tcPr>
            <w:tcW w:w="50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29"/>
              <w:ind w:left="35"/>
              <w:rPr>
                <w:rFonts w:ascii="Calibri"/>
                <w:sz w:val="8"/>
              </w:rPr>
            </w:pPr>
            <w:r>
              <w:rPr>
                <w:rFonts w:ascii="Calibri"/>
                <w:spacing w:val="-2"/>
                <w:sz w:val="8"/>
              </w:rPr>
              <w:t>0105520654,</w:t>
            </w:r>
          </w:p>
          <w:p>
            <w:pPr>
              <w:pStyle w:val="TableParagraph"/>
              <w:spacing w:before="8"/>
              <w:ind w:left="35"/>
              <w:rPr>
                <w:rFonts w:ascii="Calibri"/>
                <w:sz w:val="8"/>
              </w:rPr>
            </w:pPr>
            <w:r>
              <w:rPr>
                <w:rFonts w:ascii="Calibri"/>
                <w:spacing w:val="-2"/>
                <w:sz w:val="8"/>
              </w:rPr>
              <w:t>0601220700,</w:t>
            </w:r>
          </w:p>
          <w:p>
            <w:pPr>
              <w:pStyle w:val="TableParagraph"/>
              <w:spacing w:before="8"/>
              <w:ind w:left="35"/>
              <w:rPr>
                <w:rFonts w:ascii="Calibri"/>
                <w:sz w:val="8"/>
              </w:rPr>
            </w:pPr>
            <w:r>
              <w:rPr>
                <w:rFonts w:ascii="Calibri"/>
                <w:spacing w:val="-2"/>
                <w:sz w:val="8"/>
              </w:rPr>
              <w:t>0105610732,</w:t>
            </w:r>
          </w:p>
          <w:p>
            <w:pPr>
              <w:pStyle w:val="TableParagraph"/>
              <w:spacing w:before="8"/>
              <w:ind w:left="35"/>
              <w:rPr>
                <w:rFonts w:ascii="Calibri"/>
                <w:sz w:val="8"/>
              </w:rPr>
            </w:pPr>
            <w:r>
              <w:rPr>
                <w:rFonts w:ascii="Calibri"/>
                <w:spacing w:val="-2"/>
                <w:sz w:val="8"/>
              </w:rPr>
              <w:t>0203170986,</w:t>
            </w:r>
          </w:p>
          <w:p>
            <w:pPr>
              <w:pStyle w:val="TableParagraph"/>
              <w:spacing w:before="8"/>
              <w:ind w:left="35"/>
              <w:rPr>
                <w:rFonts w:ascii="Calibri"/>
                <w:sz w:val="8"/>
              </w:rPr>
            </w:pPr>
            <w:r>
              <w:rPr>
                <w:rFonts w:ascii="Calibri"/>
                <w:spacing w:val="-2"/>
                <w:sz w:val="8"/>
              </w:rPr>
              <w:t>0105690029,</w:t>
            </w:r>
          </w:p>
          <w:p>
            <w:pPr>
              <w:pStyle w:val="TableParagraph"/>
              <w:spacing w:before="8"/>
              <w:ind w:left="35"/>
              <w:rPr>
                <w:rFonts w:ascii="Calibri"/>
                <w:sz w:val="8"/>
              </w:rPr>
            </w:pPr>
            <w:r>
              <w:rPr>
                <w:rFonts w:ascii="Calibri"/>
                <w:spacing w:val="-2"/>
                <w:sz w:val="8"/>
              </w:rPr>
              <w:t>0203070827,</w:t>
            </w:r>
          </w:p>
          <w:p>
            <w:pPr>
              <w:pStyle w:val="TableParagraph"/>
              <w:spacing w:before="9"/>
              <w:ind w:left="35"/>
              <w:rPr>
                <w:rFonts w:ascii="Calibri"/>
                <w:sz w:val="8"/>
              </w:rPr>
            </w:pPr>
            <w:r>
              <w:rPr>
                <w:rFonts w:ascii="Calibri"/>
                <w:spacing w:val="-2"/>
                <w:sz w:val="8"/>
              </w:rPr>
              <w:t>0501970077,</w:t>
            </w:r>
          </w:p>
          <w:p>
            <w:pPr>
              <w:pStyle w:val="TableParagraph"/>
              <w:spacing w:before="8"/>
              <w:ind w:left="35"/>
              <w:rPr>
                <w:rFonts w:ascii="Calibri"/>
                <w:sz w:val="8"/>
              </w:rPr>
            </w:pPr>
            <w:r>
              <w:rPr>
                <w:rFonts w:ascii="Calibri"/>
                <w:spacing w:val="-2"/>
                <w:sz w:val="8"/>
              </w:rPr>
              <w:t>0203470888,</w:t>
            </w:r>
          </w:p>
          <w:p>
            <w:pPr>
              <w:pStyle w:val="TableParagraph"/>
              <w:spacing w:before="8"/>
              <w:ind w:left="35"/>
              <w:rPr>
                <w:rFonts w:ascii="Calibri"/>
                <w:sz w:val="8"/>
              </w:rPr>
            </w:pPr>
            <w:r>
              <w:rPr>
                <w:rFonts w:ascii="Calibri"/>
                <w:spacing w:val="-2"/>
                <w:sz w:val="8"/>
              </w:rPr>
              <w:t>0302740961,</w:t>
            </w:r>
          </w:p>
          <w:p>
            <w:pPr>
              <w:pStyle w:val="TableParagraph"/>
              <w:spacing w:before="8"/>
              <w:ind w:left="35"/>
              <w:rPr>
                <w:rFonts w:ascii="Calibri"/>
                <w:sz w:val="8"/>
              </w:rPr>
            </w:pPr>
            <w:r>
              <w:rPr>
                <w:rFonts w:ascii="Calibri"/>
                <w:spacing w:val="-2"/>
                <w:sz w:val="8"/>
              </w:rPr>
              <w:t>0203850076,</w:t>
            </w:r>
          </w:p>
          <w:p>
            <w:pPr>
              <w:pStyle w:val="TableParagraph"/>
              <w:spacing w:before="8"/>
              <w:ind w:left="35"/>
              <w:rPr>
                <w:rFonts w:ascii="Calibri"/>
                <w:sz w:val="8"/>
              </w:rPr>
            </w:pPr>
            <w:r>
              <w:rPr>
                <w:rFonts w:ascii="Calibri"/>
                <w:spacing w:val="-2"/>
                <w:sz w:val="8"/>
              </w:rPr>
              <w:t>0104970495,</w:t>
            </w:r>
          </w:p>
          <w:p>
            <w:pPr>
              <w:pStyle w:val="TableParagraph"/>
              <w:spacing w:line="76" w:lineRule="exact" w:before="8"/>
              <w:ind w:left="35"/>
              <w:rPr>
                <w:rFonts w:ascii="Calibri"/>
                <w:sz w:val="8"/>
              </w:rPr>
            </w:pPr>
            <w:r>
              <w:rPr>
                <w:rFonts w:ascii="Calibri"/>
                <w:spacing w:val="-2"/>
                <w:sz w:val="8"/>
              </w:rPr>
              <w:t>0203740920,</w:t>
            </w:r>
          </w:p>
        </w:tc>
        <w:tc>
          <w:tcPr>
            <w:tcW w:w="64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spacing w:before="20"/>
              <w:rPr>
                <w:sz w:val="8"/>
              </w:rPr>
            </w:pPr>
          </w:p>
          <w:p>
            <w:pPr>
              <w:pStyle w:val="TableParagraph"/>
              <w:spacing w:line="259" w:lineRule="auto"/>
              <w:ind w:left="17" w:right="-29" w:hanging="22"/>
              <w:jc w:val="center"/>
              <w:rPr>
                <w:rFonts w:ascii="Calibri" w:hAnsi="Calibri"/>
                <w:sz w:val="8"/>
              </w:rPr>
            </w:pPr>
            <w:r>
              <w:rPr>
                <w:rFonts w:ascii="Calibri" w:hAnsi="Calibri"/>
                <w:sz w:val="8"/>
              </w:rPr>
              <w:t>Ajuste</w:t>
            </w:r>
            <w:r>
              <w:rPr>
                <w:rFonts w:ascii="Calibri" w:hAnsi="Calibri"/>
                <w:spacing w:val="-3"/>
                <w:sz w:val="8"/>
              </w:rPr>
              <w:t> </w:t>
            </w:r>
            <w:r>
              <w:rPr>
                <w:rFonts w:ascii="Calibri" w:hAnsi="Calibri"/>
                <w:sz w:val="8"/>
              </w:rPr>
              <w:t>y</w:t>
            </w:r>
            <w:r>
              <w:rPr>
                <w:rFonts w:ascii="Calibri" w:hAnsi="Calibri"/>
                <w:spacing w:val="-3"/>
                <w:sz w:val="8"/>
              </w:rPr>
              <w:t> </w:t>
            </w:r>
            <w:r>
              <w:rPr>
                <w:rFonts w:ascii="Calibri" w:hAnsi="Calibri"/>
                <w:sz w:val="8"/>
              </w:rPr>
              <w:t>pago</w:t>
            </w:r>
            <w:r>
              <w:rPr>
                <w:rFonts w:ascii="Calibri" w:hAnsi="Calibri"/>
                <w:spacing w:val="-1"/>
                <w:sz w:val="8"/>
              </w:rPr>
              <w:t> </w:t>
            </w:r>
            <w:r>
              <w:rPr>
                <w:rFonts w:ascii="Calibri" w:hAnsi="Calibri"/>
                <w:sz w:val="8"/>
              </w:rPr>
              <w:t>de</w:t>
            </w:r>
            <w:r>
              <w:rPr>
                <w:rFonts w:ascii="Calibri" w:hAnsi="Calibri"/>
                <w:spacing w:val="40"/>
                <w:sz w:val="8"/>
              </w:rPr>
              <w:t> </w:t>
            </w:r>
            <w:r>
              <w:rPr>
                <w:rFonts w:ascii="Calibri" w:hAnsi="Calibri"/>
                <w:spacing w:val="-2"/>
                <w:sz w:val="8"/>
              </w:rPr>
              <w:t>porcentajes</w:t>
            </w:r>
            <w:r>
              <w:rPr>
                <w:rFonts w:ascii="Calibri" w:hAnsi="Calibri"/>
                <w:spacing w:val="40"/>
                <w:sz w:val="8"/>
              </w:rPr>
              <w:t> </w:t>
            </w:r>
            <w:r>
              <w:rPr>
                <w:rFonts w:ascii="Calibri" w:hAnsi="Calibri"/>
                <w:sz w:val="8"/>
              </w:rPr>
              <w:t>salariales,</w:t>
            </w:r>
            <w:r>
              <w:rPr>
                <w:rFonts w:ascii="Calibri" w:hAnsi="Calibri"/>
                <w:spacing w:val="-5"/>
                <w:sz w:val="8"/>
              </w:rPr>
              <w:t> </w:t>
            </w:r>
            <w:r>
              <w:rPr>
                <w:rFonts w:ascii="Calibri" w:hAnsi="Calibri"/>
                <w:sz w:val="8"/>
              </w:rPr>
              <w:t>según</w:t>
            </w:r>
            <w:r>
              <w:rPr>
                <w:rFonts w:ascii="Calibri" w:hAnsi="Calibri"/>
                <w:spacing w:val="40"/>
                <w:sz w:val="8"/>
              </w:rPr>
              <w:t> </w:t>
            </w:r>
            <w:r>
              <w:rPr>
                <w:rFonts w:ascii="Calibri" w:hAnsi="Calibri"/>
                <w:sz w:val="8"/>
              </w:rPr>
              <w:t>resolución</w:t>
            </w:r>
            <w:r>
              <w:rPr>
                <w:rFonts w:ascii="Calibri" w:hAnsi="Calibri"/>
                <w:spacing w:val="-5"/>
                <w:sz w:val="8"/>
              </w:rPr>
              <w:t> </w:t>
            </w:r>
            <w:r>
              <w:rPr>
                <w:rFonts w:ascii="Calibri" w:hAnsi="Calibri"/>
                <w:sz w:val="8"/>
              </w:rPr>
              <w:t>DG-078-</w:t>
            </w:r>
            <w:r>
              <w:rPr>
                <w:rFonts w:ascii="Calibri" w:hAnsi="Calibri"/>
                <w:spacing w:val="-6"/>
                <w:sz w:val="8"/>
              </w:rPr>
              <w:t>89</w:t>
            </w:r>
          </w:p>
        </w:tc>
        <w:tc>
          <w:tcPr>
            <w:tcW w:w="87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6"/>
              <w:rPr>
                <w:sz w:val="8"/>
              </w:rPr>
            </w:pPr>
          </w:p>
          <w:p>
            <w:pPr>
              <w:pStyle w:val="TableParagraph"/>
              <w:spacing w:line="259" w:lineRule="auto"/>
              <w:ind w:left="25" w:right="11"/>
              <w:jc w:val="center"/>
              <w:rPr>
                <w:rFonts w:ascii="Calibri"/>
                <w:sz w:val="8"/>
              </w:rPr>
            </w:pPr>
            <w:r>
              <w:rPr>
                <w:rFonts w:ascii="Calibri"/>
                <w:sz w:val="8"/>
              </w:rPr>
              <w:t>Demanda</w:t>
            </w:r>
            <w:r>
              <w:rPr>
                <w:rFonts w:ascii="Calibri"/>
                <w:spacing w:val="-5"/>
                <w:sz w:val="8"/>
              </w:rPr>
              <w:t> </w:t>
            </w:r>
            <w:r>
              <w:rPr>
                <w:rFonts w:ascii="Calibri"/>
                <w:sz w:val="8"/>
              </w:rPr>
              <w:t>parcialmente</w:t>
            </w:r>
            <w:r>
              <w:rPr>
                <w:rFonts w:ascii="Calibri"/>
                <w:spacing w:val="40"/>
                <w:sz w:val="8"/>
              </w:rPr>
              <w:t> </w:t>
            </w:r>
            <w:r>
              <w:rPr>
                <w:rFonts w:ascii="Calibri"/>
                <w:sz w:val="8"/>
              </w:rPr>
              <w:t>con</w:t>
            </w:r>
            <w:r>
              <w:rPr>
                <w:rFonts w:ascii="Calibri"/>
                <w:spacing w:val="-5"/>
                <w:sz w:val="8"/>
              </w:rPr>
              <w:t> </w:t>
            </w:r>
            <w:r>
              <w:rPr>
                <w:rFonts w:ascii="Calibri"/>
                <w:sz w:val="8"/>
              </w:rPr>
              <w:t>lugar</w:t>
            </w:r>
          </w:p>
          <w:p>
            <w:pPr>
              <w:pStyle w:val="TableParagraph"/>
              <w:spacing w:before="15"/>
              <w:rPr>
                <w:sz w:val="8"/>
              </w:rPr>
            </w:pPr>
          </w:p>
          <w:p>
            <w:pPr>
              <w:pStyle w:val="TableParagraph"/>
              <w:spacing w:line="259" w:lineRule="auto"/>
              <w:ind w:left="29" w:right="19" w:firstLine="4"/>
              <w:jc w:val="center"/>
              <w:rPr>
                <w:rFonts w:ascii="Calibri" w:hAnsi="Calibri"/>
                <w:sz w:val="8"/>
              </w:rPr>
            </w:pPr>
            <w:r>
              <w:rPr>
                <w:rFonts w:ascii="Calibri" w:hAnsi="Calibri"/>
                <w:sz w:val="8"/>
              </w:rPr>
              <w:t>Sala</w:t>
            </w:r>
            <w:r>
              <w:rPr>
                <w:rFonts w:ascii="Calibri" w:hAnsi="Calibri"/>
                <w:spacing w:val="-3"/>
                <w:sz w:val="8"/>
              </w:rPr>
              <w:t> </w:t>
            </w:r>
            <w:r>
              <w:rPr>
                <w:rFonts w:ascii="Calibri" w:hAnsi="Calibri"/>
                <w:sz w:val="8"/>
              </w:rPr>
              <w:t>Segunda</w:t>
            </w:r>
            <w:r>
              <w:rPr>
                <w:rFonts w:ascii="Calibri" w:hAnsi="Calibri"/>
                <w:spacing w:val="-3"/>
                <w:sz w:val="8"/>
              </w:rPr>
              <w:t> </w:t>
            </w:r>
            <w:r>
              <w:rPr>
                <w:rFonts w:ascii="Calibri" w:hAnsi="Calibri"/>
                <w:sz w:val="8"/>
              </w:rPr>
              <w:t>de</w:t>
            </w:r>
            <w:r>
              <w:rPr>
                <w:rFonts w:ascii="Calibri" w:hAnsi="Calibri"/>
                <w:spacing w:val="-2"/>
                <w:sz w:val="8"/>
              </w:rPr>
              <w:t> </w:t>
            </w:r>
            <w:r>
              <w:rPr>
                <w:rFonts w:ascii="Calibri" w:hAnsi="Calibri"/>
                <w:sz w:val="8"/>
              </w:rPr>
              <w:t>la</w:t>
            </w:r>
            <w:r>
              <w:rPr>
                <w:rFonts w:ascii="Calibri" w:hAnsi="Calibri"/>
                <w:spacing w:val="40"/>
                <w:sz w:val="8"/>
              </w:rPr>
              <w:t> </w:t>
            </w:r>
            <w:r>
              <w:rPr>
                <w:rFonts w:ascii="Calibri" w:hAnsi="Calibri"/>
                <w:sz w:val="8"/>
              </w:rPr>
              <w:t>CorteSuprema</w:t>
            </w:r>
            <w:r>
              <w:rPr>
                <w:rFonts w:ascii="Calibri" w:hAnsi="Calibri"/>
                <w:spacing w:val="-5"/>
                <w:sz w:val="8"/>
              </w:rPr>
              <w:t> </w:t>
            </w:r>
            <w:r>
              <w:rPr>
                <w:rFonts w:ascii="Calibri" w:hAnsi="Calibri"/>
                <w:sz w:val="8"/>
              </w:rPr>
              <w:t>Justicia:</w:t>
            </w:r>
            <w:r>
              <w:rPr>
                <w:rFonts w:ascii="Calibri" w:hAnsi="Calibri"/>
                <w:spacing w:val="40"/>
                <w:sz w:val="8"/>
              </w:rPr>
              <w:t> </w:t>
            </w:r>
            <w:r>
              <w:rPr>
                <w:rFonts w:ascii="Calibri" w:hAnsi="Calibri"/>
                <w:sz w:val="8"/>
              </w:rPr>
              <w:t>Res</w:t>
            </w:r>
            <w:r>
              <w:rPr>
                <w:rFonts w:ascii="Calibri" w:hAnsi="Calibri"/>
                <w:spacing w:val="-5"/>
                <w:sz w:val="8"/>
              </w:rPr>
              <w:t> </w:t>
            </w:r>
            <w:r>
              <w:rPr>
                <w:rFonts w:ascii="Calibri" w:hAnsi="Calibri"/>
                <w:sz w:val="8"/>
              </w:rPr>
              <w:t>Nº.</w:t>
            </w:r>
            <w:r>
              <w:rPr>
                <w:rFonts w:ascii="Calibri" w:hAnsi="Calibri"/>
                <w:spacing w:val="-5"/>
                <w:sz w:val="8"/>
              </w:rPr>
              <w:t> </w:t>
            </w:r>
            <w:r>
              <w:rPr>
                <w:rFonts w:ascii="Calibri" w:hAnsi="Calibri"/>
                <w:sz w:val="8"/>
              </w:rPr>
              <w:t>2025-002027</w:t>
            </w:r>
            <w:r>
              <w:rPr>
                <w:rFonts w:ascii="Calibri" w:hAnsi="Calibri"/>
                <w:spacing w:val="-4"/>
                <w:sz w:val="8"/>
              </w:rPr>
              <w:t> </w:t>
            </w:r>
            <w:r>
              <w:rPr>
                <w:rFonts w:ascii="Calibri" w:hAnsi="Calibri"/>
                <w:sz w:val="8"/>
              </w:rPr>
              <w:t>del</w:t>
            </w:r>
            <w:r>
              <w:rPr>
                <w:rFonts w:ascii="Calibri" w:hAnsi="Calibri"/>
                <w:spacing w:val="40"/>
                <w:sz w:val="8"/>
              </w:rPr>
              <w:t> </w:t>
            </w:r>
            <w:r>
              <w:rPr>
                <w:rFonts w:ascii="Calibri" w:hAnsi="Calibri"/>
                <w:spacing w:val="-2"/>
                <w:sz w:val="8"/>
              </w:rPr>
              <w:t>03/07/2025</w:t>
            </w:r>
          </w:p>
        </w:tc>
        <w:tc>
          <w:tcPr>
            <w:tcW w:w="108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51"/>
              <w:rPr>
                <w:sz w:val="8"/>
              </w:rPr>
            </w:pPr>
          </w:p>
          <w:p>
            <w:pPr>
              <w:pStyle w:val="TableParagraph"/>
              <w:ind w:left="340"/>
              <w:rPr>
                <w:sz w:val="8"/>
              </w:rPr>
            </w:pPr>
            <w:r>
              <w:rPr>
                <w:rFonts w:ascii="Times New Roman" w:hAnsi="Times New Roman"/>
                <w:sz w:val="8"/>
              </w:rPr>
              <w:t>₡</w:t>
            </w:r>
            <w:r>
              <w:rPr>
                <w:sz w:val="8"/>
              </w:rPr>
              <w:t>631</w:t>
            </w:r>
            <w:r>
              <w:rPr>
                <w:spacing w:val="-2"/>
                <w:sz w:val="8"/>
              </w:rPr>
              <w:t> 047,52</w:t>
            </w:r>
          </w:p>
        </w:tc>
        <w:tc>
          <w:tcPr>
            <w:tcW w:w="187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spacing w:before="33"/>
              <w:rPr>
                <w:sz w:val="8"/>
              </w:rPr>
            </w:pPr>
          </w:p>
          <w:p>
            <w:pPr>
              <w:pStyle w:val="TableParagraph"/>
              <w:spacing w:line="259" w:lineRule="auto"/>
              <w:ind w:left="16" w:right="12"/>
              <w:rPr>
                <w:rFonts w:ascii="Calibri" w:hAnsi="Calibri"/>
                <w:sz w:val="8"/>
              </w:rPr>
            </w:pPr>
            <w:r>
              <w:rPr>
                <w:rFonts w:ascii="Calibri" w:hAnsi="Calibri"/>
                <w:sz w:val="8"/>
              </w:rPr>
              <w:t>Se declara con lugar el recurso y se anula el fallo</w:t>
            </w:r>
            <w:r>
              <w:rPr>
                <w:rFonts w:ascii="Calibri" w:hAnsi="Calibri"/>
                <w:spacing w:val="40"/>
                <w:sz w:val="8"/>
              </w:rPr>
              <w:t> </w:t>
            </w:r>
            <w:r>
              <w:rPr>
                <w:rFonts w:ascii="Calibri" w:hAnsi="Calibri"/>
                <w:sz w:val="8"/>
              </w:rPr>
              <w:t>impugnado en cuanto denegó la demanda. En su lugar,</w:t>
            </w:r>
            <w:r>
              <w:rPr>
                <w:rFonts w:ascii="Calibri" w:hAnsi="Calibri"/>
                <w:spacing w:val="40"/>
                <w:sz w:val="8"/>
              </w:rPr>
              <w:t> </w:t>
            </w:r>
            <w:r>
              <w:rPr>
                <w:rFonts w:ascii="Calibri" w:hAnsi="Calibri"/>
                <w:sz w:val="8"/>
              </w:rPr>
              <w:t>se acoge parcialmente y se condena al accionado a</w:t>
            </w:r>
            <w:r>
              <w:rPr>
                <w:rFonts w:ascii="Calibri" w:hAnsi="Calibri"/>
                <w:spacing w:val="40"/>
                <w:sz w:val="8"/>
              </w:rPr>
              <w:t> </w:t>
            </w:r>
            <w:r>
              <w:rPr>
                <w:rFonts w:ascii="Calibri" w:hAnsi="Calibri"/>
                <w:sz w:val="8"/>
              </w:rPr>
              <w:t>pagarle</w:t>
            </w:r>
            <w:r>
              <w:rPr>
                <w:rFonts w:ascii="Calibri" w:hAnsi="Calibri"/>
                <w:spacing w:val="-4"/>
                <w:sz w:val="8"/>
              </w:rPr>
              <w:t> </w:t>
            </w:r>
            <w:r>
              <w:rPr>
                <w:rFonts w:ascii="Calibri" w:hAnsi="Calibri"/>
                <w:sz w:val="8"/>
              </w:rPr>
              <w:t>a</w:t>
            </w:r>
            <w:r>
              <w:rPr>
                <w:rFonts w:ascii="Calibri" w:hAnsi="Calibri"/>
                <w:spacing w:val="-4"/>
                <w:sz w:val="8"/>
              </w:rPr>
              <w:t> </w:t>
            </w:r>
            <w:r>
              <w:rPr>
                <w:rFonts w:ascii="Calibri" w:hAnsi="Calibri"/>
                <w:sz w:val="8"/>
              </w:rPr>
              <w:t>las</w:t>
            </w:r>
            <w:r>
              <w:rPr>
                <w:rFonts w:ascii="Calibri" w:hAnsi="Calibri"/>
                <w:spacing w:val="-3"/>
                <w:sz w:val="8"/>
              </w:rPr>
              <w:t> </w:t>
            </w:r>
            <w:r>
              <w:rPr>
                <w:rFonts w:ascii="Calibri" w:hAnsi="Calibri"/>
                <w:sz w:val="8"/>
              </w:rPr>
              <w:t>personas</w:t>
            </w:r>
            <w:r>
              <w:rPr>
                <w:rFonts w:ascii="Calibri" w:hAnsi="Calibri"/>
                <w:spacing w:val="-3"/>
                <w:sz w:val="8"/>
              </w:rPr>
              <w:t> </w:t>
            </w:r>
            <w:r>
              <w:rPr>
                <w:rFonts w:ascii="Calibri" w:hAnsi="Calibri"/>
                <w:sz w:val="8"/>
              </w:rPr>
              <w:t>actoras</w:t>
            </w:r>
            <w:r>
              <w:rPr>
                <w:rFonts w:ascii="Calibri" w:hAnsi="Calibri"/>
                <w:spacing w:val="-3"/>
                <w:sz w:val="8"/>
              </w:rPr>
              <w:t> </w:t>
            </w:r>
            <w:r>
              <w:rPr>
                <w:rFonts w:ascii="Calibri" w:hAnsi="Calibri"/>
                <w:sz w:val="8"/>
              </w:rPr>
              <w:t>las</w:t>
            </w:r>
            <w:r>
              <w:rPr>
                <w:rFonts w:ascii="Calibri" w:hAnsi="Calibri"/>
                <w:spacing w:val="-3"/>
                <w:sz w:val="8"/>
              </w:rPr>
              <w:t> </w:t>
            </w:r>
            <w:r>
              <w:rPr>
                <w:rFonts w:ascii="Calibri" w:hAnsi="Calibri"/>
                <w:sz w:val="8"/>
              </w:rPr>
              <w:t>diferencias</w:t>
            </w:r>
            <w:r>
              <w:rPr>
                <w:rFonts w:ascii="Calibri" w:hAnsi="Calibri"/>
                <w:spacing w:val="-3"/>
                <w:sz w:val="8"/>
              </w:rPr>
              <w:t> </w:t>
            </w:r>
            <w:r>
              <w:rPr>
                <w:rFonts w:ascii="Calibri" w:hAnsi="Calibri"/>
                <w:sz w:val="8"/>
              </w:rPr>
              <w:t>dejadas</w:t>
            </w:r>
            <w:r>
              <w:rPr>
                <w:rFonts w:ascii="Calibri" w:hAnsi="Calibri"/>
                <w:spacing w:val="-3"/>
                <w:sz w:val="8"/>
              </w:rPr>
              <w:t> </w:t>
            </w:r>
            <w:r>
              <w:rPr>
                <w:rFonts w:ascii="Calibri" w:hAnsi="Calibri"/>
                <w:sz w:val="8"/>
              </w:rPr>
              <w:t>de</w:t>
            </w:r>
            <w:r>
              <w:rPr>
                <w:rFonts w:ascii="Calibri" w:hAnsi="Calibri"/>
                <w:spacing w:val="40"/>
                <w:sz w:val="8"/>
              </w:rPr>
              <w:t> </w:t>
            </w:r>
            <w:r>
              <w:rPr>
                <w:rFonts w:ascii="Calibri" w:hAnsi="Calibri"/>
                <w:sz w:val="8"/>
              </w:rPr>
              <w:t>percibir, por la aplicación de la fórmula automática</w:t>
            </w:r>
            <w:r>
              <w:rPr>
                <w:rFonts w:ascii="Calibri" w:hAnsi="Calibri"/>
                <w:spacing w:val="40"/>
                <w:sz w:val="8"/>
              </w:rPr>
              <w:t> </w:t>
            </w:r>
            <w:r>
              <w:rPr>
                <w:rFonts w:ascii="Calibri" w:hAnsi="Calibri"/>
                <w:sz w:val="8"/>
              </w:rPr>
              <w:t>establecida en la indicada resolución DG guion cero</w:t>
            </w:r>
            <w:r>
              <w:rPr>
                <w:rFonts w:ascii="Calibri" w:hAnsi="Calibri"/>
                <w:spacing w:val="40"/>
                <w:sz w:val="8"/>
              </w:rPr>
              <w:t> </w:t>
            </w:r>
            <w:r>
              <w:rPr>
                <w:rFonts w:ascii="Calibri" w:hAnsi="Calibri"/>
                <w:sz w:val="8"/>
              </w:rPr>
              <w:t>setenta y ocho guion ochenta y nueve. Comunicación</w:t>
            </w:r>
            <w:r>
              <w:rPr>
                <w:rFonts w:ascii="Calibri" w:hAnsi="Calibri"/>
                <w:spacing w:val="40"/>
                <w:sz w:val="8"/>
              </w:rPr>
              <w:t> </w:t>
            </w:r>
            <w:r>
              <w:rPr>
                <w:rFonts w:ascii="Calibri" w:hAnsi="Calibri"/>
                <w:spacing w:val="-2"/>
                <w:sz w:val="8"/>
              </w:rPr>
              <w:t>IMAS-PE-AJ-1072-2025.</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spacing w:before="60"/>
              <w:rPr>
                <w:sz w:val="8"/>
              </w:rPr>
            </w:pPr>
          </w:p>
          <w:p>
            <w:pPr>
              <w:pStyle w:val="TableParagraph"/>
              <w:spacing w:line="259" w:lineRule="auto"/>
              <w:ind w:left="31" w:right="16" w:hanging="2"/>
              <w:jc w:val="center"/>
              <w:rPr>
                <w:rFonts w:ascii="Calibri"/>
                <w:sz w:val="8"/>
              </w:rPr>
            </w:pPr>
            <w:r>
              <w:rPr>
                <w:rFonts w:ascii="Calibri"/>
                <w:w w:val="105"/>
                <w:sz w:val="8"/>
              </w:rPr>
              <w:t>Provisionado</w:t>
            </w:r>
            <w:r>
              <w:rPr>
                <w:rFonts w:ascii="Calibri"/>
                <w:spacing w:val="-5"/>
                <w:w w:val="105"/>
                <w:sz w:val="8"/>
              </w:rPr>
              <w:t> </w:t>
            </w:r>
            <w:r>
              <w:rPr>
                <w:rFonts w:ascii="Calibri"/>
                <w:w w:val="105"/>
                <w:sz w:val="8"/>
              </w:rPr>
              <w:t>el</w:t>
            </w:r>
            <w:r>
              <w:rPr>
                <w:rFonts w:ascii="Calibri"/>
                <w:spacing w:val="40"/>
                <w:w w:val="105"/>
                <w:sz w:val="8"/>
              </w:rPr>
              <w:t> </w:t>
            </w:r>
            <w:r>
              <w:rPr>
                <w:rFonts w:ascii="Calibri"/>
                <w:sz w:val="8"/>
              </w:rPr>
              <w:t>100%,</w:t>
            </w:r>
            <w:r>
              <w:rPr>
                <w:rFonts w:ascii="Calibri"/>
                <w:spacing w:val="2"/>
                <w:sz w:val="8"/>
              </w:rPr>
              <w:t> </w:t>
            </w:r>
            <w:r>
              <w:rPr>
                <w:rFonts w:ascii="Calibri"/>
                <w:sz w:val="8"/>
              </w:rPr>
              <w:t>se</w:t>
            </w:r>
            <w:r>
              <w:rPr>
                <w:rFonts w:ascii="Calibri"/>
                <w:spacing w:val="2"/>
                <w:sz w:val="8"/>
              </w:rPr>
              <w:t> </w:t>
            </w:r>
            <w:r>
              <w:rPr>
                <w:rFonts w:ascii="Calibri"/>
                <w:spacing w:val="-2"/>
                <w:sz w:val="8"/>
              </w:rPr>
              <w:t>cancela</w:t>
            </w:r>
          </w:p>
          <w:p>
            <w:pPr>
              <w:pStyle w:val="TableParagraph"/>
              <w:spacing w:line="259" w:lineRule="auto" w:before="1"/>
              <w:ind w:left="16" w:right="4"/>
              <w:jc w:val="center"/>
              <w:rPr>
                <w:rFonts w:ascii="Calibri" w:hAnsi="Calibri"/>
                <w:sz w:val="8"/>
              </w:rPr>
            </w:pPr>
            <w:r>
              <w:rPr>
                <w:rFonts w:ascii="Calibri" w:hAnsi="Calibri"/>
                <w:sz w:val="8"/>
              </w:rPr>
              <w:t>2025,</w:t>
            </w:r>
            <w:r>
              <w:rPr>
                <w:rFonts w:ascii="Calibri" w:hAnsi="Calibri"/>
                <w:spacing w:val="-5"/>
                <w:sz w:val="8"/>
              </w:rPr>
              <w:t> </w:t>
            </w:r>
            <w:r>
              <w:rPr>
                <w:rFonts w:ascii="Calibri" w:hAnsi="Calibri"/>
                <w:sz w:val="8"/>
              </w:rPr>
              <w:t>se</w:t>
            </w:r>
            <w:r>
              <w:rPr>
                <w:rFonts w:ascii="Calibri" w:hAnsi="Calibri"/>
                <w:spacing w:val="-5"/>
                <w:sz w:val="8"/>
              </w:rPr>
              <w:t> </w:t>
            </w:r>
            <w:r>
              <w:rPr>
                <w:rFonts w:ascii="Calibri" w:hAnsi="Calibri"/>
                <w:sz w:val="8"/>
              </w:rPr>
              <w:t>mantiene</w:t>
            </w:r>
            <w:r>
              <w:rPr>
                <w:rFonts w:ascii="Calibri" w:hAnsi="Calibri"/>
                <w:spacing w:val="40"/>
                <w:sz w:val="8"/>
              </w:rPr>
              <w:t> </w:t>
            </w:r>
            <w:r>
              <w:rPr>
                <w:rFonts w:ascii="Calibri" w:hAnsi="Calibri"/>
                <w:sz w:val="8"/>
              </w:rPr>
              <w:t>en</w:t>
            </w:r>
            <w:r>
              <w:rPr>
                <w:rFonts w:ascii="Calibri" w:hAnsi="Calibri"/>
                <w:spacing w:val="-5"/>
                <w:sz w:val="8"/>
              </w:rPr>
              <w:t> </w:t>
            </w:r>
            <w:r>
              <w:rPr>
                <w:rFonts w:ascii="Calibri" w:hAnsi="Calibri"/>
                <w:sz w:val="8"/>
              </w:rPr>
              <w:t>espera</w:t>
            </w:r>
            <w:r>
              <w:rPr>
                <w:rFonts w:ascii="Calibri" w:hAnsi="Calibri"/>
                <w:spacing w:val="40"/>
                <w:sz w:val="8"/>
              </w:rPr>
              <w:t> </w:t>
            </w:r>
            <w:r>
              <w:rPr>
                <w:rFonts w:ascii="Calibri" w:hAnsi="Calibri"/>
                <w:spacing w:val="-2"/>
                <w:sz w:val="8"/>
              </w:rPr>
              <w:t>ejecución</w:t>
            </w:r>
            <w:r>
              <w:rPr>
                <w:rFonts w:ascii="Calibri" w:hAnsi="Calibri"/>
                <w:spacing w:val="80"/>
                <w:sz w:val="8"/>
              </w:rPr>
              <w:t> </w:t>
            </w:r>
            <w:r>
              <w:rPr>
                <w:rFonts w:ascii="Calibri" w:hAnsi="Calibri"/>
                <w:spacing w:val="-2"/>
                <w:sz w:val="8"/>
              </w:rPr>
              <w:t>sentencia</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367" w:type="dxa"/>
            <w:vMerge/>
            <w:tcBorders>
              <w:top w:val="nil"/>
              <w:left w:val="single" w:sz="2" w:space="0" w:color="000000"/>
              <w:bottom w:val="nil"/>
            </w:tcBorders>
          </w:tcPr>
          <w:p>
            <w:pPr>
              <w:rPr>
                <w:sz w:val="2"/>
                <w:szCs w:val="2"/>
              </w:rPr>
            </w:pPr>
          </w:p>
        </w:tc>
      </w:tr>
      <w:tr>
        <w:trPr>
          <w:trHeight w:val="3169" w:hRule="atLeast"/>
        </w:trPr>
        <w:tc>
          <w:tcPr>
            <w:tcW w:w="355" w:type="dxa"/>
            <w:vMerge/>
            <w:tcBorders>
              <w:top w:val="nil"/>
              <w:bottom w:val="nil"/>
              <w:right w:val="single" w:sz="2" w:space="0" w:color="000000"/>
            </w:tcBorders>
          </w:tcPr>
          <w:p>
            <w:pPr>
              <w:rPr>
                <w:sz w:val="2"/>
                <w:szCs w:val="2"/>
              </w:rPr>
            </w:pPr>
          </w:p>
        </w:tc>
        <w:tc>
          <w:tcPr>
            <w:tcW w:w="63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26"/>
              <w:rPr>
                <w:sz w:val="8"/>
              </w:rPr>
            </w:pPr>
          </w:p>
          <w:p>
            <w:pPr>
              <w:pStyle w:val="TableParagraph"/>
              <w:spacing w:line="259" w:lineRule="auto"/>
              <w:ind w:left="43" w:firstLine="81"/>
              <w:rPr>
                <w:rFonts w:ascii="Calibri"/>
                <w:b/>
                <w:sz w:val="8"/>
              </w:rPr>
            </w:pPr>
            <w:r>
              <w:rPr>
                <w:rFonts w:ascii="Calibri"/>
                <w:b/>
                <w:spacing w:val="-2"/>
                <w:sz w:val="8"/>
              </w:rPr>
              <w:t>ORDINARIO</w:t>
            </w:r>
            <w:r>
              <w:rPr>
                <w:rFonts w:ascii="Calibri"/>
                <w:b/>
                <w:spacing w:val="40"/>
                <w:sz w:val="8"/>
              </w:rPr>
              <w:t> </w:t>
            </w:r>
            <w:r>
              <w:rPr>
                <w:rFonts w:ascii="Calibri"/>
                <w:b/>
                <w:spacing w:val="-2"/>
                <w:sz w:val="8"/>
              </w:rPr>
              <w:t>CONOCIMIENTO</w:t>
            </w:r>
          </w:p>
        </w:tc>
        <w:tc>
          <w:tcPr>
            <w:tcW w:w="71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77"/>
              <w:rPr>
                <w:sz w:val="8"/>
              </w:rPr>
            </w:pPr>
          </w:p>
          <w:p>
            <w:pPr>
              <w:pStyle w:val="TableParagraph"/>
              <w:ind w:left="13"/>
              <w:jc w:val="center"/>
              <w:rPr>
                <w:rFonts w:ascii="Calibri"/>
                <w:sz w:val="8"/>
              </w:rPr>
            </w:pPr>
            <w:r>
              <w:rPr>
                <w:rFonts w:ascii="Calibri"/>
                <w:sz w:val="8"/>
              </w:rPr>
              <w:t>23-002044-1027-</w:t>
            </w:r>
            <w:r>
              <w:rPr>
                <w:rFonts w:ascii="Calibri"/>
                <w:spacing w:val="-5"/>
                <w:sz w:val="8"/>
              </w:rPr>
              <w:t>CA</w:t>
            </w:r>
          </w:p>
        </w:tc>
        <w:tc>
          <w:tcPr>
            <w:tcW w:w="105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26"/>
              <w:rPr>
                <w:sz w:val="8"/>
              </w:rPr>
            </w:pPr>
          </w:p>
          <w:p>
            <w:pPr>
              <w:pStyle w:val="TableParagraph"/>
              <w:spacing w:line="259" w:lineRule="auto"/>
              <w:ind w:left="335" w:hanging="318"/>
              <w:rPr>
                <w:rFonts w:ascii="Calibri" w:hAnsi="Calibri"/>
                <w:sz w:val="8"/>
              </w:rPr>
            </w:pPr>
            <w:r>
              <w:rPr>
                <w:rFonts w:ascii="Calibri" w:hAnsi="Calibri"/>
                <w:sz w:val="8"/>
              </w:rPr>
              <w:t>DESARROLLOS</w:t>
            </w:r>
            <w:r>
              <w:rPr>
                <w:rFonts w:ascii="Calibri" w:hAnsi="Calibri"/>
                <w:spacing w:val="-5"/>
                <w:sz w:val="8"/>
              </w:rPr>
              <w:t> </w:t>
            </w:r>
            <w:r>
              <w:rPr>
                <w:rFonts w:ascii="Calibri" w:hAnsi="Calibri"/>
                <w:sz w:val="8"/>
              </w:rPr>
              <w:t>INFORMÁTICOS</w:t>
            </w:r>
            <w:r>
              <w:rPr>
                <w:rFonts w:ascii="Calibri" w:hAnsi="Calibri"/>
                <w:spacing w:val="40"/>
                <w:w w:val="105"/>
                <w:sz w:val="8"/>
              </w:rPr>
              <w:t> </w:t>
            </w:r>
            <w:r>
              <w:rPr>
                <w:rFonts w:ascii="Calibri" w:hAnsi="Calibri"/>
                <w:w w:val="105"/>
                <w:sz w:val="8"/>
              </w:rPr>
              <w:t>DEINSA</w:t>
            </w:r>
            <w:r>
              <w:rPr>
                <w:rFonts w:ascii="Calibri" w:hAnsi="Calibri"/>
                <w:spacing w:val="-6"/>
                <w:w w:val="105"/>
                <w:sz w:val="8"/>
              </w:rPr>
              <w:t> </w:t>
            </w:r>
            <w:r>
              <w:rPr>
                <w:rFonts w:ascii="Calibri" w:hAnsi="Calibri"/>
                <w:w w:val="105"/>
                <w:sz w:val="8"/>
              </w:rPr>
              <w:t>S.A.</w:t>
            </w:r>
          </w:p>
        </w:tc>
        <w:tc>
          <w:tcPr>
            <w:tcW w:w="50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77"/>
              <w:rPr>
                <w:sz w:val="8"/>
              </w:rPr>
            </w:pPr>
          </w:p>
          <w:p>
            <w:pPr>
              <w:pStyle w:val="TableParagraph"/>
              <w:ind w:left="8"/>
              <w:jc w:val="center"/>
              <w:rPr>
                <w:rFonts w:ascii="Calibri"/>
                <w:sz w:val="8"/>
              </w:rPr>
            </w:pPr>
            <w:r>
              <w:rPr>
                <w:rFonts w:ascii="Calibri"/>
                <w:sz w:val="8"/>
              </w:rPr>
              <w:t>3-101-</w:t>
            </w:r>
            <w:r>
              <w:rPr>
                <w:rFonts w:ascii="Calibri"/>
                <w:spacing w:val="-2"/>
                <w:sz w:val="8"/>
              </w:rPr>
              <w:t>110689</w:t>
            </w:r>
          </w:p>
        </w:tc>
        <w:tc>
          <w:tcPr>
            <w:tcW w:w="64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59" w:lineRule="auto" w:before="4"/>
              <w:ind w:left="29" w:right="14" w:firstLine="2"/>
              <w:jc w:val="center"/>
              <w:rPr>
                <w:rFonts w:ascii="Calibri" w:hAnsi="Calibri"/>
                <w:sz w:val="8"/>
              </w:rPr>
            </w:pPr>
            <w:r>
              <w:rPr>
                <w:rFonts w:ascii="Calibri" w:hAnsi="Calibri"/>
                <w:sz w:val="8"/>
              </w:rPr>
              <w:t>Se</w:t>
            </w:r>
            <w:r>
              <w:rPr>
                <w:rFonts w:ascii="Calibri" w:hAnsi="Calibri"/>
                <w:spacing w:val="-5"/>
                <w:sz w:val="8"/>
              </w:rPr>
              <w:t> </w:t>
            </w:r>
            <w:r>
              <w:rPr>
                <w:rFonts w:ascii="Calibri" w:hAnsi="Calibri"/>
                <w:sz w:val="8"/>
              </w:rPr>
              <w:t>declare</w:t>
            </w:r>
            <w:r>
              <w:rPr>
                <w:rFonts w:ascii="Calibri" w:hAnsi="Calibri"/>
                <w:spacing w:val="-5"/>
                <w:sz w:val="8"/>
              </w:rPr>
              <w:t> </w:t>
            </w:r>
            <w:r>
              <w:rPr>
                <w:rFonts w:ascii="Calibri" w:hAnsi="Calibri"/>
                <w:sz w:val="8"/>
              </w:rPr>
              <w:t>la</w:t>
            </w:r>
            <w:r>
              <w:rPr>
                <w:rFonts w:ascii="Calibri" w:hAnsi="Calibri"/>
                <w:spacing w:val="40"/>
                <w:sz w:val="8"/>
              </w:rPr>
              <w:t> </w:t>
            </w:r>
            <w:r>
              <w:rPr>
                <w:rFonts w:ascii="Calibri" w:hAnsi="Calibri"/>
                <w:sz w:val="8"/>
              </w:rPr>
              <w:t>nulidad</w:t>
            </w:r>
            <w:r>
              <w:rPr>
                <w:rFonts w:ascii="Calibri" w:hAnsi="Calibri"/>
                <w:spacing w:val="-5"/>
                <w:sz w:val="8"/>
              </w:rPr>
              <w:t> </w:t>
            </w:r>
            <w:r>
              <w:rPr>
                <w:rFonts w:ascii="Calibri" w:hAnsi="Calibri"/>
                <w:sz w:val="8"/>
              </w:rPr>
              <w:t>absoluta</w:t>
            </w:r>
            <w:r>
              <w:rPr>
                <w:rFonts w:ascii="Calibri" w:hAnsi="Calibri"/>
                <w:spacing w:val="40"/>
                <w:sz w:val="8"/>
              </w:rPr>
              <w:t> </w:t>
            </w:r>
            <w:r>
              <w:rPr>
                <w:rFonts w:ascii="Calibri" w:hAnsi="Calibri"/>
                <w:sz w:val="8"/>
              </w:rPr>
              <w:t>del</w:t>
            </w:r>
            <w:r>
              <w:rPr>
                <w:rFonts w:ascii="Calibri" w:hAnsi="Calibri"/>
                <w:spacing w:val="-5"/>
                <w:sz w:val="8"/>
              </w:rPr>
              <w:t> </w:t>
            </w:r>
            <w:r>
              <w:rPr>
                <w:rFonts w:ascii="Calibri" w:hAnsi="Calibri"/>
                <w:sz w:val="8"/>
              </w:rPr>
              <w:t>acto</w:t>
            </w:r>
            <w:r>
              <w:rPr>
                <w:rFonts w:ascii="Calibri" w:hAnsi="Calibri"/>
                <w:spacing w:val="-5"/>
                <w:sz w:val="8"/>
              </w:rPr>
              <w:t> </w:t>
            </w:r>
            <w:r>
              <w:rPr>
                <w:rFonts w:ascii="Calibri" w:hAnsi="Calibri"/>
                <w:sz w:val="8"/>
              </w:rPr>
              <w:t>de</w:t>
            </w:r>
            <w:r>
              <w:rPr>
                <w:rFonts w:ascii="Calibri" w:hAnsi="Calibri"/>
                <w:spacing w:val="40"/>
                <w:sz w:val="8"/>
              </w:rPr>
              <w:t> </w:t>
            </w:r>
            <w:r>
              <w:rPr>
                <w:rFonts w:ascii="Calibri" w:hAnsi="Calibri"/>
                <w:sz w:val="8"/>
              </w:rPr>
              <w:t>adjudicación</w:t>
            </w:r>
            <w:r>
              <w:rPr>
                <w:rFonts w:ascii="Calibri" w:hAnsi="Calibri"/>
                <w:spacing w:val="-5"/>
                <w:sz w:val="8"/>
              </w:rPr>
              <w:t> </w:t>
            </w:r>
            <w:r>
              <w:rPr>
                <w:rFonts w:ascii="Calibri" w:hAnsi="Calibri"/>
                <w:sz w:val="8"/>
              </w:rPr>
              <w:t>en</w:t>
            </w:r>
            <w:r>
              <w:rPr>
                <w:rFonts w:ascii="Calibri" w:hAnsi="Calibri"/>
                <w:spacing w:val="40"/>
                <w:sz w:val="8"/>
              </w:rPr>
              <w:t> </w:t>
            </w:r>
            <w:r>
              <w:rPr>
                <w:rFonts w:ascii="Calibri" w:hAnsi="Calibri"/>
                <w:sz w:val="8"/>
              </w:rPr>
              <w:t>favor</w:t>
            </w:r>
            <w:r>
              <w:rPr>
                <w:rFonts w:ascii="Calibri" w:hAnsi="Calibri"/>
                <w:spacing w:val="-5"/>
                <w:sz w:val="8"/>
              </w:rPr>
              <w:t> </w:t>
            </w:r>
            <w:r>
              <w:rPr>
                <w:rFonts w:ascii="Calibri" w:hAnsi="Calibri"/>
                <w:sz w:val="8"/>
              </w:rPr>
              <w:t>de</w:t>
            </w:r>
            <w:r>
              <w:rPr>
                <w:rFonts w:ascii="Calibri" w:hAnsi="Calibri"/>
                <w:spacing w:val="-5"/>
                <w:sz w:val="8"/>
              </w:rPr>
              <w:t> </w:t>
            </w:r>
            <w:r>
              <w:rPr>
                <w:rFonts w:ascii="Calibri" w:hAnsi="Calibri"/>
                <w:sz w:val="8"/>
              </w:rPr>
              <w:t>la</w:t>
            </w:r>
            <w:r>
              <w:rPr>
                <w:rFonts w:ascii="Calibri" w:hAnsi="Calibri"/>
                <w:spacing w:val="40"/>
                <w:sz w:val="8"/>
              </w:rPr>
              <w:t> </w:t>
            </w:r>
            <w:r>
              <w:rPr>
                <w:rFonts w:ascii="Calibri" w:hAnsi="Calibri"/>
                <w:sz w:val="8"/>
              </w:rPr>
              <w:t>empresa</w:t>
            </w:r>
            <w:r>
              <w:rPr>
                <w:rFonts w:ascii="Calibri" w:hAnsi="Calibri"/>
                <w:spacing w:val="-5"/>
                <w:sz w:val="8"/>
              </w:rPr>
              <w:t> </w:t>
            </w:r>
            <w:r>
              <w:rPr>
                <w:rFonts w:ascii="Calibri" w:hAnsi="Calibri"/>
                <w:sz w:val="8"/>
              </w:rPr>
              <w:t>JPicado</w:t>
            </w:r>
            <w:r>
              <w:rPr>
                <w:rFonts w:ascii="Calibri" w:hAnsi="Calibri"/>
                <w:spacing w:val="-5"/>
                <w:sz w:val="8"/>
              </w:rPr>
              <w:t> </w:t>
            </w:r>
            <w:r>
              <w:rPr>
                <w:rFonts w:ascii="Calibri" w:hAnsi="Calibri"/>
                <w:sz w:val="8"/>
              </w:rPr>
              <w:t>y</w:t>
            </w:r>
            <w:r>
              <w:rPr>
                <w:rFonts w:ascii="Calibri" w:hAnsi="Calibri"/>
                <w:spacing w:val="40"/>
                <w:sz w:val="8"/>
              </w:rPr>
              <w:t> </w:t>
            </w:r>
            <w:r>
              <w:rPr>
                <w:rFonts w:ascii="Calibri" w:hAnsi="Calibri"/>
                <w:spacing w:val="-2"/>
                <w:sz w:val="8"/>
              </w:rPr>
              <w:t>Asociados</w:t>
            </w:r>
            <w:r>
              <w:rPr>
                <w:rFonts w:ascii="Calibri" w:hAnsi="Calibri"/>
                <w:spacing w:val="40"/>
                <w:sz w:val="8"/>
              </w:rPr>
              <w:t> </w:t>
            </w:r>
            <w:r>
              <w:rPr>
                <w:rFonts w:ascii="Calibri" w:hAnsi="Calibri"/>
                <w:sz w:val="8"/>
              </w:rPr>
              <w:t>Consultoría</w:t>
            </w:r>
            <w:r>
              <w:rPr>
                <w:rFonts w:ascii="Calibri" w:hAnsi="Calibri"/>
                <w:spacing w:val="-5"/>
                <w:sz w:val="8"/>
              </w:rPr>
              <w:t> </w:t>
            </w:r>
            <w:r>
              <w:rPr>
                <w:rFonts w:ascii="Calibri" w:hAnsi="Calibri"/>
                <w:sz w:val="8"/>
              </w:rPr>
              <w:t>S.A</w:t>
            </w:r>
            <w:r>
              <w:rPr>
                <w:rFonts w:ascii="Calibri" w:hAnsi="Calibri"/>
                <w:spacing w:val="40"/>
                <w:sz w:val="8"/>
              </w:rPr>
              <w:t> </w:t>
            </w:r>
            <w:r>
              <w:rPr>
                <w:rFonts w:ascii="Calibri" w:hAnsi="Calibri"/>
                <w:sz w:val="8"/>
              </w:rPr>
              <w:t>publicada</w:t>
            </w:r>
            <w:r>
              <w:rPr>
                <w:rFonts w:ascii="Calibri" w:hAnsi="Calibri"/>
                <w:spacing w:val="-5"/>
                <w:sz w:val="8"/>
              </w:rPr>
              <w:t> </w:t>
            </w:r>
            <w:r>
              <w:rPr>
                <w:rFonts w:ascii="Calibri" w:hAnsi="Calibri"/>
                <w:sz w:val="8"/>
              </w:rPr>
              <w:t>en</w:t>
            </w:r>
            <w:r>
              <w:rPr>
                <w:rFonts w:ascii="Calibri" w:hAnsi="Calibri"/>
                <w:spacing w:val="40"/>
                <w:sz w:val="8"/>
              </w:rPr>
              <w:t> </w:t>
            </w:r>
            <w:r>
              <w:rPr>
                <w:rFonts w:ascii="Calibri" w:hAnsi="Calibri"/>
                <w:sz w:val="8"/>
              </w:rPr>
              <w:t>SICOP</w:t>
            </w:r>
            <w:r>
              <w:rPr>
                <w:rFonts w:ascii="Calibri" w:hAnsi="Calibri"/>
                <w:spacing w:val="-3"/>
                <w:sz w:val="8"/>
              </w:rPr>
              <w:t> </w:t>
            </w:r>
            <w:r>
              <w:rPr>
                <w:rFonts w:ascii="Calibri" w:hAnsi="Calibri"/>
                <w:sz w:val="8"/>
              </w:rPr>
              <w:t>el 26 de</w:t>
            </w:r>
            <w:r>
              <w:rPr>
                <w:rFonts w:ascii="Calibri" w:hAnsi="Calibri"/>
                <w:spacing w:val="40"/>
                <w:sz w:val="8"/>
              </w:rPr>
              <w:t> </w:t>
            </w:r>
            <w:r>
              <w:rPr>
                <w:rFonts w:ascii="Calibri" w:hAnsi="Calibri"/>
                <w:sz w:val="8"/>
              </w:rPr>
              <w:t>octubre</w:t>
            </w:r>
            <w:r>
              <w:rPr>
                <w:rFonts w:ascii="Calibri" w:hAnsi="Calibri"/>
                <w:spacing w:val="-5"/>
                <w:sz w:val="8"/>
              </w:rPr>
              <w:t> </w:t>
            </w:r>
            <w:r>
              <w:rPr>
                <w:rFonts w:ascii="Calibri" w:hAnsi="Calibri"/>
                <w:sz w:val="8"/>
              </w:rPr>
              <w:t>del</w:t>
            </w:r>
            <w:r>
              <w:rPr>
                <w:rFonts w:ascii="Calibri" w:hAnsi="Calibri"/>
                <w:spacing w:val="-5"/>
                <w:sz w:val="8"/>
              </w:rPr>
              <w:t> </w:t>
            </w:r>
            <w:r>
              <w:rPr>
                <w:rFonts w:ascii="Calibri" w:hAnsi="Calibri"/>
                <w:sz w:val="8"/>
              </w:rPr>
              <w:t>2022</w:t>
            </w:r>
            <w:r>
              <w:rPr>
                <w:rFonts w:ascii="Calibri" w:hAnsi="Calibri"/>
                <w:spacing w:val="40"/>
                <w:sz w:val="8"/>
              </w:rPr>
              <w:t> </w:t>
            </w:r>
            <w:r>
              <w:rPr>
                <w:rFonts w:ascii="Calibri" w:hAnsi="Calibri"/>
                <w:sz w:val="8"/>
              </w:rPr>
              <w:t>respecto</w:t>
            </w:r>
            <w:r>
              <w:rPr>
                <w:rFonts w:ascii="Calibri" w:hAnsi="Calibri"/>
                <w:spacing w:val="-5"/>
                <w:sz w:val="8"/>
              </w:rPr>
              <w:t> </w:t>
            </w:r>
            <w:r>
              <w:rPr>
                <w:rFonts w:ascii="Calibri" w:hAnsi="Calibri"/>
                <w:sz w:val="8"/>
              </w:rPr>
              <w:t>a</w:t>
            </w:r>
            <w:r>
              <w:rPr>
                <w:rFonts w:ascii="Calibri" w:hAnsi="Calibri"/>
                <w:spacing w:val="40"/>
                <w:sz w:val="8"/>
              </w:rPr>
              <w:t> </w:t>
            </w:r>
            <w:r>
              <w:rPr>
                <w:rFonts w:ascii="Calibri" w:hAnsi="Calibri"/>
                <w:spacing w:val="-2"/>
                <w:sz w:val="8"/>
              </w:rPr>
              <w:t>lacontratación</w:t>
            </w:r>
            <w:r>
              <w:rPr>
                <w:rFonts w:ascii="Calibri" w:hAnsi="Calibri"/>
                <w:spacing w:val="40"/>
                <w:sz w:val="8"/>
              </w:rPr>
              <w:t> </w:t>
            </w:r>
            <w:r>
              <w:rPr>
                <w:rFonts w:ascii="Calibri" w:hAnsi="Calibri"/>
                <w:spacing w:val="-2"/>
                <w:sz w:val="8"/>
              </w:rPr>
              <w:t>2022LA-000016-</w:t>
            </w:r>
          </w:p>
          <w:p>
            <w:pPr>
              <w:pStyle w:val="TableParagraph"/>
              <w:spacing w:before="5"/>
              <w:ind w:left="15"/>
              <w:jc w:val="center"/>
              <w:rPr>
                <w:rFonts w:ascii="Calibri"/>
                <w:sz w:val="8"/>
              </w:rPr>
            </w:pPr>
            <w:r>
              <w:rPr>
                <w:rFonts w:ascii="Calibri"/>
                <w:spacing w:val="-2"/>
                <w:sz w:val="8"/>
              </w:rPr>
              <w:t>0005300001</w:t>
            </w:r>
          </w:p>
          <w:p>
            <w:pPr>
              <w:pStyle w:val="TableParagraph"/>
              <w:spacing w:line="259" w:lineRule="auto" w:before="8"/>
              <w:ind w:left="23" w:right="8" w:firstLine="4"/>
              <w:jc w:val="center"/>
              <w:rPr>
                <w:rFonts w:ascii="Calibri" w:hAnsi="Calibri"/>
                <w:sz w:val="8"/>
              </w:rPr>
            </w:pPr>
            <w:r>
              <w:rPr>
                <w:rFonts w:ascii="Calibri" w:hAnsi="Calibri"/>
                <w:spacing w:val="-2"/>
                <w:sz w:val="8"/>
              </w:rPr>
              <w:t>CONTRATACIÓN</w:t>
            </w:r>
            <w:r>
              <w:rPr>
                <w:rFonts w:ascii="Calibri" w:hAnsi="Calibri"/>
                <w:spacing w:val="40"/>
                <w:sz w:val="8"/>
              </w:rPr>
              <w:t> </w:t>
            </w:r>
            <w:r>
              <w:rPr>
                <w:rFonts w:ascii="Calibri" w:hAnsi="Calibri"/>
                <w:sz w:val="8"/>
              </w:rPr>
              <w:t>DE</w:t>
            </w:r>
            <w:r>
              <w:rPr>
                <w:rFonts w:ascii="Calibri" w:hAnsi="Calibri"/>
                <w:spacing w:val="-5"/>
                <w:sz w:val="8"/>
              </w:rPr>
              <w:t> </w:t>
            </w:r>
            <w:r>
              <w:rPr>
                <w:rFonts w:ascii="Calibri" w:hAnsi="Calibri"/>
                <w:sz w:val="8"/>
              </w:rPr>
              <w:t>SERVICIO</w:t>
            </w:r>
            <w:r>
              <w:rPr>
                <w:rFonts w:ascii="Calibri" w:hAnsi="Calibri"/>
                <w:spacing w:val="40"/>
                <w:sz w:val="8"/>
              </w:rPr>
              <w:t> </w:t>
            </w:r>
            <w:r>
              <w:rPr>
                <w:rFonts w:ascii="Calibri" w:hAnsi="Calibri"/>
                <w:spacing w:val="-2"/>
                <w:sz w:val="8"/>
              </w:rPr>
              <w:t>DESUSCRIPCIÓN</w:t>
            </w:r>
            <w:r>
              <w:rPr>
                <w:rFonts w:ascii="Calibri" w:hAnsi="Calibri"/>
                <w:spacing w:val="80"/>
                <w:sz w:val="8"/>
              </w:rPr>
              <w:t> </w:t>
            </w:r>
            <w:r>
              <w:rPr>
                <w:rFonts w:ascii="Calibri" w:hAnsi="Calibri"/>
                <w:sz w:val="8"/>
              </w:rPr>
              <w:t>DE</w:t>
            </w:r>
            <w:r>
              <w:rPr>
                <w:rFonts w:ascii="Calibri" w:hAnsi="Calibri"/>
                <w:spacing w:val="-5"/>
                <w:sz w:val="8"/>
              </w:rPr>
              <w:t> </w:t>
            </w:r>
            <w:r>
              <w:rPr>
                <w:rFonts w:ascii="Calibri" w:hAnsi="Calibri"/>
                <w:sz w:val="8"/>
              </w:rPr>
              <w:t>UN</w:t>
            </w:r>
            <w:r>
              <w:rPr>
                <w:rFonts w:ascii="Calibri" w:hAnsi="Calibri"/>
                <w:spacing w:val="-5"/>
                <w:sz w:val="8"/>
              </w:rPr>
              <w:t> </w:t>
            </w:r>
            <w:r>
              <w:rPr>
                <w:rFonts w:ascii="Calibri" w:hAnsi="Calibri"/>
                <w:sz w:val="8"/>
              </w:rPr>
              <w:t>SISTEMA</w:t>
            </w:r>
            <w:r>
              <w:rPr>
                <w:rFonts w:ascii="Calibri" w:hAnsi="Calibri"/>
                <w:spacing w:val="40"/>
                <w:sz w:val="8"/>
              </w:rPr>
              <w:t> </w:t>
            </w:r>
            <w:r>
              <w:rPr>
                <w:rFonts w:ascii="Calibri" w:hAnsi="Calibri"/>
                <w:spacing w:val="-2"/>
                <w:sz w:val="8"/>
              </w:rPr>
              <w:t>INFORMÁTICO</w:t>
            </w:r>
            <w:r>
              <w:rPr>
                <w:rFonts w:ascii="Calibri" w:hAnsi="Calibri"/>
                <w:spacing w:val="40"/>
                <w:sz w:val="8"/>
              </w:rPr>
              <w:t> </w:t>
            </w:r>
            <w:r>
              <w:rPr>
                <w:rFonts w:ascii="Calibri" w:hAnsi="Calibri"/>
                <w:sz w:val="8"/>
              </w:rPr>
              <w:t>PARA</w:t>
            </w:r>
            <w:r>
              <w:rPr>
                <w:rFonts w:ascii="Calibri" w:hAnsi="Calibri"/>
                <w:spacing w:val="-5"/>
                <w:sz w:val="8"/>
              </w:rPr>
              <w:t> </w:t>
            </w:r>
            <w:r>
              <w:rPr>
                <w:rFonts w:ascii="Calibri" w:hAnsi="Calibri"/>
                <w:sz w:val="8"/>
              </w:rPr>
              <w:t>LA</w:t>
            </w:r>
            <w:r>
              <w:rPr>
                <w:rFonts w:ascii="Calibri" w:hAnsi="Calibri"/>
                <w:spacing w:val="40"/>
                <w:sz w:val="8"/>
              </w:rPr>
              <w:t> </w:t>
            </w:r>
            <w:r>
              <w:rPr>
                <w:rFonts w:ascii="Calibri" w:hAnsi="Calibri"/>
                <w:sz w:val="8"/>
              </w:rPr>
              <w:t>EVALUACIÓN</w:t>
            </w:r>
            <w:r>
              <w:rPr>
                <w:rFonts w:ascii="Calibri" w:hAnsi="Calibri"/>
                <w:spacing w:val="-5"/>
                <w:sz w:val="8"/>
              </w:rPr>
              <w:t> </w:t>
            </w:r>
            <w:r>
              <w:rPr>
                <w:rFonts w:ascii="Calibri" w:hAnsi="Calibri"/>
                <w:sz w:val="8"/>
              </w:rPr>
              <w:t>DEL</w:t>
            </w:r>
            <w:r>
              <w:rPr>
                <w:rFonts w:ascii="Calibri" w:hAnsi="Calibri"/>
                <w:spacing w:val="40"/>
                <w:sz w:val="8"/>
              </w:rPr>
              <w:t> </w:t>
            </w:r>
            <w:r>
              <w:rPr>
                <w:rFonts w:ascii="Calibri" w:hAnsi="Calibri"/>
                <w:spacing w:val="-2"/>
                <w:sz w:val="8"/>
              </w:rPr>
              <w:t>DESEMPEÑO,</w:t>
            </w:r>
            <w:r>
              <w:rPr>
                <w:rFonts w:ascii="Calibri" w:hAnsi="Calibri"/>
                <w:spacing w:val="40"/>
                <w:sz w:val="8"/>
              </w:rPr>
              <w:t> </w:t>
            </w:r>
            <w:r>
              <w:rPr>
                <w:rFonts w:ascii="Calibri" w:hAnsi="Calibri"/>
                <w:sz w:val="8"/>
              </w:rPr>
              <w:t>CAPACITACIÓN</w:t>
            </w:r>
            <w:r>
              <w:rPr>
                <w:rFonts w:ascii="Calibri" w:hAnsi="Calibri"/>
                <w:spacing w:val="-5"/>
                <w:sz w:val="8"/>
              </w:rPr>
              <w:t> </w:t>
            </w:r>
            <w:r>
              <w:rPr>
                <w:rFonts w:ascii="Calibri" w:hAnsi="Calibri"/>
                <w:sz w:val="8"/>
              </w:rPr>
              <w:t>Y</w:t>
            </w:r>
            <w:r>
              <w:rPr>
                <w:rFonts w:ascii="Calibri" w:hAnsi="Calibri"/>
                <w:spacing w:val="40"/>
                <w:sz w:val="8"/>
              </w:rPr>
              <w:t> </w:t>
            </w:r>
            <w:r>
              <w:rPr>
                <w:rFonts w:ascii="Calibri" w:hAnsi="Calibri"/>
                <w:spacing w:val="-2"/>
                <w:sz w:val="8"/>
              </w:rPr>
              <w:t>MANTENIMIENTO-</w:t>
            </w:r>
            <w:r>
              <w:rPr>
                <w:rFonts w:ascii="Calibri" w:hAnsi="Calibri"/>
                <w:sz w:val="8"/>
              </w:rPr>
              <w:t>SOPORTE</w:t>
            </w:r>
            <w:r>
              <w:rPr>
                <w:rFonts w:ascii="Calibri" w:hAnsi="Calibri"/>
                <w:spacing w:val="-5"/>
                <w:sz w:val="8"/>
              </w:rPr>
              <w:t> </w:t>
            </w:r>
            <w:r>
              <w:rPr>
                <w:rFonts w:ascii="Calibri" w:hAnsi="Calibri"/>
                <w:sz w:val="8"/>
              </w:rPr>
              <w:t>del</w:t>
            </w:r>
            <w:r>
              <w:rPr>
                <w:rFonts w:ascii="Calibri" w:hAnsi="Calibri"/>
                <w:spacing w:val="40"/>
                <w:sz w:val="8"/>
              </w:rPr>
              <w:t> </w:t>
            </w:r>
            <w:r>
              <w:rPr>
                <w:rFonts w:ascii="Calibri" w:hAnsi="Calibri"/>
                <w:sz w:val="8"/>
              </w:rPr>
              <w:t>IMAS,</w:t>
            </w:r>
            <w:r>
              <w:rPr>
                <w:rFonts w:ascii="Calibri" w:hAnsi="Calibri"/>
                <w:spacing w:val="-5"/>
                <w:sz w:val="8"/>
              </w:rPr>
              <w:t> </w:t>
            </w:r>
            <w:r>
              <w:rPr>
                <w:rFonts w:ascii="Calibri" w:hAnsi="Calibri"/>
                <w:sz w:val="8"/>
              </w:rPr>
              <w:t>en</w:t>
            </w:r>
            <w:r>
              <w:rPr>
                <w:rFonts w:ascii="Calibri" w:hAnsi="Calibri"/>
                <w:spacing w:val="-5"/>
                <w:sz w:val="8"/>
              </w:rPr>
              <w:t> </w:t>
            </w:r>
            <w:r>
              <w:rPr>
                <w:rFonts w:ascii="Calibri" w:hAnsi="Calibri"/>
                <w:sz w:val="8"/>
              </w:rPr>
              <w:t>otras</w:t>
            </w:r>
            <w:r>
              <w:rPr>
                <w:rFonts w:ascii="Calibri" w:hAnsi="Calibri"/>
                <w:spacing w:val="40"/>
                <w:sz w:val="8"/>
              </w:rPr>
              <w:t> </w:t>
            </w:r>
            <w:r>
              <w:rPr>
                <w:rFonts w:ascii="Calibri" w:hAnsi="Calibri"/>
                <w:sz w:val="8"/>
              </w:rPr>
              <w:t>nulidades.</w:t>
            </w:r>
            <w:r>
              <w:rPr>
                <w:rFonts w:ascii="Calibri" w:hAnsi="Calibri"/>
                <w:spacing w:val="-5"/>
                <w:sz w:val="8"/>
              </w:rPr>
              <w:t> </w:t>
            </w:r>
            <w:r>
              <w:rPr>
                <w:rFonts w:ascii="Calibri" w:hAnsi="Calibri"/>
                <w:sz w:val="8"/>
              </w:rPr>
              <w:t>Solicita</w:t>
            </w:r>
            <w:r>
              <w:rPr>
                <w:rFonts w:ascii="Calibri" w:hAnsi="Calibri"/>
                <w:spacing w:val="40"/>
                <w:sz w:val="8"/>
              </w:rPr>
              <w:t> </w:t>
            </w:r>
            <w:r>
              <w:rPr>
                <w:rFonts w:ascii="Calibri" w:hAnsi="Calibri"/>
                <w:sz w:val="8"/>
              </w:rPr>
              <w:t>daños</w:t>
            </w:r>
            <w:r>
              <w:rPr>
                <w:rFonts w:ascii="Calibri" w:hAnsi="Calibri"/>
                <w:spacing w:val="-3"/>
                <w:sz w:val="8"/>
              </w:rPr>
              <w:t> </w:t>
            </w:r>
            <w:r>
              <w:rPr>
                <w:rFonts w:ascii="Calibri" w:hAnsi="Calibri"/>
                <w:sz w:val="8"/>
              </w:rPr>
              <w:t>y</w:t>
            </w:r>
            <w:r>
              <w:rPr>
                <w:rFonts w:ascii="Calibri" w:hAnsi="Calibri"/>
                <w:spacing w:val="-4"/>
                <w:sz w:val="8"/>
              </w:rPr>
              <w:t> </w:t>
            </w:r>
            <w:r>
              <w:rPr>
                <w:rFonts w:ascii="Calibri" w:hAnsi="Calibri"/>
                <w:spacing w:val="-2"/>
                <w:sz w:val="8"/>
              </w:rPr>
              <w:t>perjuicios,</w:t>
            </w:r>
          </w:p>
          <w:p>
            <w:pPr>
              <w:pStyle w:val="TableParagraph"/>
              <w:spacing w:line="76" w:lineRule="exact" w:before="5"/>
              <w:ind w:left="15" w:right="3"/>
              <w:jc w:val="center"/>
              <w:rPr>
                <w:rFonts w:ascii="Calibri"/>
                <w:sz w:val="8"/>
              </w:rPr>
            </w:pPr>
            <w:r>
              <w:rPr>
                <w:rFonts w:ascii="Calibri"/>
                <w:spacing w:val="-2"/>
                <w:w w:val="105"/>
                <w:sz w:val="8"/>
              </w:rPr>
              <w:t>costas.</w:t>
            </w:r>
          </w:p>
        </w:tc>
        <w:tc>
          <w:tcPr>
            <w:tcW w:w="87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11"/>
              <w:rPr>
                <w:sz w:val="8"/>
              </w:rPr>
            </w:pPr>
          </w:p>
          <w:p>
            <w:pPr>
              <w:pStyle w:val="TableParagraph"/>
              <w:spacing w:line="259" w:lineRule="auto"/>
              <w:ind w:left="25" w:right="14"/>
              <w:jc w:val="center"/>
              <w:rPr>
                <w:rFonts w:ascii="Calibri" w:hAnsi="Calibri"/>
                <w:sz w:val="8"/>
              </w:rPr>
            </w:pPr>
            <w:r>
              <w:rPr>
                <w:rFonts w:ascii="Calibri" w:hAnsi="Calibri"/>
                <w:sz w:val="8"/>
              </w:rPr>
              <w:t>En</w:t>
            </w:r>
            <w:r>
              <w:rPr>
                <w:rFonts w:ascii="Calibri" w:hAnsi="Calibri"/>
                <w:spacing w:val="-5"/>
                <w:sz w:val="8"/>
              </w:rPr>
              <w:t> </w:t>
            </w:r>
            <w:r>
              <w:rPr>
                <w:rFonts w:ascii="Calibri" w:hAnsi="Calibri"/>
                <w:sz w:val="8"/>
              </w:rPr>
              <w:t>casación.</w:t>
            </w:r>
            <w:r>
              <w:rPr>
                <w:rFonts w:ascii="Calibri" w:hAnsi="Calibri"/>
                <w:spacing w:val="-5"/>
                <w:sz w:val="8"/>
              </w:rPr>
              <w:t> </w:t>
            </w:r>
            <w:r>
              <w:rPr>
                <w:rFonts w:ascii="Calibri" w:hAnsi="Calibri"/>
                <w:sz w:val="8"/>
              </w:rPr>
              <w:t>Demanda</w:t>
            </w:r>
            <w:r>
              <w:rPr>
                <w:rFonts w:ascii="Calibri" w:hAnsi="Calibri"/>
                <w:spacing w:val="40"/>
                <w:sz w:val="8"/>
              </w:rPr>
              <w:t> </w:t>
            </w:r>
            <w:r>
              <w:rPr>
                <w:rFonts w:ascii="Calibri" w:hAnsi="Calibri"/>
                <w:sz w:val="8"/>
              </w:rPr>
              <w:t>declarada</w:t>
            </w:r>
            <w:r>
              <w:rPr>
                <w:rFonts w:ascii="Calibri" w:hAnsi="Calibri"/>
                <w:spacing w:val="-5"/>
                <w:sz w:val="8"/>
              </w:rPr>
              <w:t> </w:t>
            </w:r>
            <w:r>
              <w:rPr>
                <w:rFonts w:ascii="Calibri" w:hAnsi="Calibri"/>
                <w:sz w:val="8"/>
              </w:rPr>
              <w:t>parcialmente</w:t>
            </w:r>
            <w:r>
              <w:rPr>
                <w:rFonts w:ascii="Calibri" w:hAnsi="Calibri"/>
                <w:spacing w:val="40"/>
                <w:sz w:val="8"/>
              </w:rPr>
              <w:t> </w:t>
            </w:r>
            <w:r>
              <w:rPr>
                <w:rFonts w:ascii="Calibri" w:hAnsi="Calibri"/>
                <w:sz w:val="8"/>
              </w:rPr>
              <w:t>con lugar</w:t>
            </w:r>
            <w:r>
              <w:rPr>
                <w:rFonts w:ascii="Calibri" w:hAnsi="Calibri"/>
                <w:spacing w:val="-3"/>
                <w:sz w:val="8"/>
              </w:rPr>
              <w:t> </w:t>
            </w:r>
            <w:r>
              <w:rPr>
                <w:rFonts w:ascii="Calibri" w:hAnsi="Calibri"/>
                <w:sz w:val="8"/>
              </w:rPr>
              <w:t>en primera</w:t>
            </w:r>
            <w:r>
              <w:rPr>
                <w:rFonts w:ascii="Calibri" w:hAnsi="Calibri"/>
                <w:spacing w:val="40"/>
                <w:sz w:val="8"/>
              </w:rPr>
              <w:t> </w:t>
            </w:r>
            <w:r>
              <w:rPr>
                <w:rFonts w:ascii="Calibri" w:hAnsi="Calibri"/>
                <w:sz w:val="8"/>
              </w:rPr>
              <w:t>instancia</w:t>
            </w:r>
            <w:r>
              <w:rPr>
                <w:rFonts w:ascii="Calibri" w:hAnsi="Calibri"/>
                <w:spacing w:val="-5"/>
                <w:sz w:val="8"/>
              </w:rPr>
              <w:t> </w:t>
            </w:r>
            <w:r>
              <w:rPr>
                <w:rFonts w:ascii="Calibri" w:hAnsi="Calibri"/>
                <w:sz w:val="8"/>
              </w:rPr>
              <w:t>(No</w:t>
            </w:r>
            <w:r>
              <w:rPr>
                <w:rFonts w:ascii="Calibri" w:hAnsi="Calibri"/>
                <w:spacing w:val="-5"/>
                <w:sz w:val="8"/>
              </w:rPr>
              <w:t> </w:t>
            </w:r>
            <w:r>
              <w:rPr>
                <w:rFonts w:ascii="Calibri" w:hAnsi="Calibri"/>
                <w:sz w:val="8"/>
              </w:rPr>
              <w:t>firme)</w:t>
            </w:r>
          </w:p>
        </w:tc>
        <w:tc>
          <w:tcPr>
            <w:tcW w:w="108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78"/>
              <w:rPr>
                <w:sz w:val="8"/>
              </w:rPr>
            </w:pPr>
          </w:p>
          <w:p>
            <w:pPr>
              <w:pStyle w:val="TableParagraph"/>
              <w:spacing w:before="1"/>
              <w:ind w:right="3"/>
              <w:jc w:val="right"/>
              <w:rPr>
                <w:sz w:val="8"/>
              </w:rPr>
            </w:pPr>
            <w:r>
              <w:rPr>
                <w:rFonts w:ascii="Times New Roman" w:hAnsi="Times New Roman"/>
                <w:sz w:val="8"/>
              </w:rPr>
              <w:t>₡</w:t>
            </w:r>
            <w:r>
              <w:rPr>
                <w:sz w:val="8"/>
              </w:rPr>
              <w:t>25</w:t>
            </w:r>
            <w:r>
              <w:rPr>
                <w:spacing w:val="-1"/>
                <w:sz w:val="8"/>
              </w:rPr>
              <w:t> </w:t>
            </w:r>
            <w:r>
              <w:rPr>
                <w:spacing w:val="-2"/>
                <w:sz w:val="8"/>
              </w:rPr>
              <w:t>306,70</w:t>
            </w:r>
          </w:p>
        </w:tc>
        <w:tc>
          <w:tcPr>
            <w:tcW w:w="187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59" w:lineRule="auto" w:before="4"/>
              <w:ind w:left="16" w:right="33"/>
              <w:rPr>
                <w:rFonts w:ascii="Calibri" w:hAnsi="Calibri"/>
                <w:sz w:val="8"/>
              </w:rPr>
            </w:pPr>
            <w:r>
              <w:rPr>
                <w:rFonts w:ascii="Calibri" w:hAnsi="Calibri"/>
                <w:sz w:val="8"/>
              </w:rPr>
              <w:t>Sentencia primera instancia N° 2025006825: Se</w:t>
            </w:r>
            <w:r>
              <w:rPr>
                <w:rFonts w:ascii="Calibri" w:hAnsi="Calibri"/>
                <w:spacing w:val="40"/>
                <w:sz w:val="8"/>
              </w:rPr>
              <w:t> </w:t>
            </w:r>
            <w:r>
              <w:rPr>
                <w:rFonts w:ascii="Calibri" w:hAnsi="Calibri"/>
                <w:sz w:val="8"/>
              </w:rPr>
              <w:t>rechazan</w:t>
            </w:r>
            <w:r>
              <w:rPr>
                <w:rFonts w:ascii="Calibri" w:hAnsi="Calibri"/>
                <w:spacing w:val="-4"/>
                <w:sz w:val="8"/>
              </w:rPr>
              <w:t> </w:t>
            </w:r>
            <w:r>
              <w:rPr>
                <w:rFonts w:ascii="Calibri" w:hAnsi="Calibri"/>
                <w:sz w:val="8"/>
              </w:rPr>
              <w:t>las</w:t>
            </w:r>
            <w:r>
              <w:rPr>
                <w:rFonts w:ascii="Calibri" w:hAnsi="Calibri"/>
                <w:spacing w:val="-4"/>
                <w:sz w:val="8"/>
              </w:rPr>
              <w:t> </w:t>
            </w:r>
            <w:r>
              <w:rPr>
                <w:rFonts w:ascii="Calibri" w:hAnsi="Calibri"/>
                <w:sz w:val="8"/>
              </w:rPr>
              <w:t>excepciones</w:t>
            </w:r>
            <w:r>
              <w:rPr>
                <w:rFonts w:ascii="Calibri" w:hAnsi="Calibri"/>
                <w:spacing w:val="-4"/>
                <w:sz w:val="8"/>
              </w:rPr>
              <w:t> </w:t>
            </w:r>
            <w:r>
              <w:rPr>
                <w:rFonts w:ascii="Calibri" w:hAnsi="Calibri"/>
                <w:sz w:val="8"/>
              </w:rPr>
              <w:t>de</w:t>
            </w:r>
            <w:r>
              <w:rPr>
                <w:rFonts w:ascii="Calibri" w:hAnsi="Calibri"/>
                <w:spacing w:val="-5"/>
                <w:sz w:val="8"/>
              </w:rPr>
              <w:t> </w:t>
            </w:r>
            <w:r>
              <w:rPr>
                <w:rFonts w:ascii="Calibri" w:hAnsi="Calibri"/>
                <w:sz w:val="8"/>
              </w:rPr>
              <w:t>falta</w:t>
            </w:r>
            <w:r>
              <w:rPr>
                <w:rFonts w:ascii="Calibri" w:hAnsi="Calibri"/>
                <w:spacing w:val="-5"/>
                <w:sz w:val="8"/>
              </w:rPr>
              <w:t> </w:t>
            </w:r>
            <w:r>
              <w:rPr>
                <w:rFonts w:ascii="Calibri" w:hAnsi="Calibri"/>
                <w:sz w:val="8"/>
              </w:rPr>
              <w:t>de</w:t>
            </w:r>
            <w:r>
              <w:rPr>
                <w:rFonts w:ascii="Calibri" w:hAnsi="Calibri"/>
                <w:spacing w:val="-3"/>
                <w:sz w:val="8"/>
              </w:rPr>
              <w:t> </w:t>
            </w:r>
            <w:r>
              <w:rPr>
                <w:rFonts w:ascii="Calibri" w:hAnsi="Calibri"/>
                <w:sz w:val="8"/>
              </w:rPr>
              <w:t>legitimación</w:t>
            </w:r>
            <w:r>
              <w:rPr>
                <w:rFonts w:ascii="Calibri" w:hAnsi="Calibri"/>
                <w:spacing w:val="-3"/>
                <w:sz w:val="8"/>
              </w:rPr>
              <w:t> </w:t>
            </w:r>
            <w:r>
              <w:rPr>
                <w:rFonts w:ascii="Calibri" w:hAnsi="Calibri"/>
                <w:sz w:val="8"/>
              </w:rPr>
              <w:t>y</w:t>
            </w:r>
            <w:r>
              <w:rPr>
                <w:rFonts w:ascii="Calibri" w:hAnsi="Calibri"/>
                <w:spacing w:val="-5"/>
                <w:sz w:val="8"/>
              </w:rPr>
              <w:t> </w:t>
            </w:r>
            <w:r>
              <w:rPr>
                <w:rFonts w:ascii="Calibri" w:hAnsi="Calibri"/>
                <w:sz w:val="8"/>
              </w:rPr>
              <w:t>falta</w:t>
            </w:r>
            <w:r>
              <w:rPr>
                <w:rFonts w:ascii="Calibri" w:hAnsi="Calibri"/>
                <w:spacing w:val="40"/>
                <w:sz w:val="8"/>
              </w:rPr>
              <w:t> </w:t>
            </w:r>
            <w:r>
              <w:rPr>
                <w:rFonts w:ascii="Calibri" w:hAnsi="Calibri"/>
                <w:sz w:val="8"/>
              </w:rPr>
              <w:t>de</w:t>
            </w:r>
            <w:r>
              <w:rPr>
                <w:rFonts w:ascii="Calibri" w:hAnsi="Calibri"/>
                <w:spacing w:val="-3"/>
                <w:sz w:val="8"/>
              </w:rPr>
              <w:t> </w:t>
            </w:r>
            <w:r>
              <w:rPr>
                <w:rFonts w:ascii="Calibri" w:hAnsi="Calibri"/>
                <w:sz w:val="8"/>
              </w:rPr>
              <w:t>interés</w:t>
            </w:r>
            <w:r>
              <w:rPr>
                <w:rFonts w:ascii="Calibri" w:hAnsi="Calibri"/>
                <w:spacing w:val="-2"/>
                <w:sz w:val="8"/>
              </w:rPr>
              <w:t> </w:t>
            </w:r>
            <w:r>
              <w:rPr>
                <w:rFonts w:ascii="Calibri" w:hAnsi="Calibri"/>
                <w:sz w:val="8"/>
              </w:rPr>
              <w:t>actual.</w:t>
            </w:r>
            <w:r>
              <w:rPr>
                <w:rFonts w:ascii="Calibri" w:hAnsi="Calibri"/>
                <w:spacing w:val="-2"/>
                <w:sz w:val="8"/>
              </w:rPr>
              <w:t> </w:t>
            </w:r>
            <w:r>
              <w:rPr>
                <w:rFonts w:ascii="Calibri" w:hAnsi="Calibri"/>
                <w:sz w:val="8"/>
              </w:rPr>
              <w:t>Se</w:t>
            </w:r>
          </w:p>
          <w:p>
            <w:pPr>
              <w:pStyle w:val="TableParagraph"/>
              <w:spacing w:line="259" w:lineRule="auto" w:before="1"/>
              <w:ind w:left="16" w:right="41"/>
              <w:rPr>
                <w:rFonts w:ascii="Calibri" w:hAnsi="Calibri"/>
                <w:sz w:val="8"/>
              </w:rPr>
            </w:pPr>
            <w:r>
              <w:rPr>
                <w:rFonts w:ascii="Calibri" w:hAnsi="Calibri"/>
                <w:sz w:val="8"/>
              </w:rPr>
              <w:t>acoge parcialmente la falta de derecho. En</w:t>
            </w:r>
            <w:r>
              <w:rPr>
                <w:rFonts w:ascii="Calibri" w:hAnsi="Calibri"/>
                <w:spacing w:val="40"/>
                <w:sz w:val="8"/>
              </w:rPr>
              <w:t> </w:t>
            </w:r>
            <w:r>
              <w:rPr>
                <w:rFonts w:ascii="Calibri" w:hAnsi="Calibri"/>
                <w:sz w:val="8"/>
              </w:rPr>
              <w:t>consecuencia, se declara parcialmente lugar la</w:t>
            </w:r>
            <w:r>
              <w:rPr>
                <w:rFonts w:ascii="Calibri" w:hAnsi="Calibri"/>
                <w:spacing w:val="40"/>
                <w:sz w:val="8"/>
              </w:rPr>
              <w:t> </w:t>
            </w:r>
            <w:r>
              <w:rPr>
                <w:rFonts w:ascii="Calibri" w:hAnsi="Calibri"/>
                <w:sz w:val="8"/>
              </w:rPr>
              <w:t>demanda.</w:t>
            </w:r>
            <w:r>
              <w:rPr>
                <w:rFonts w:ascii="Calibri" w:hAnsi="Calibri"/>
                <w:spacing w:val="-5"/>
                <w:sz w:val="8"/>
              </w:rPr>
              <w:t> </w:t>
            </w:r>
            <w:r>
              <w:rPr>
                <w:rFonts w:ascii="Calibri" w:hAnsi="Calibri"/>
                <w:sz w:val="8"/>
              </w:rPr>
              <w:t>Se</w:t>
            </w:r>
            <w:r>
              <w:rPr>
                <w:rFonts w:ascii="Calibri" w:hAnsi="Calibri"/>
                <w:spacing w:val="-5"/>
                <w:sz w:val="8"/>
              </w:rPr>
              <w:t> </w:t>
            </w:r>
            <w:r>
              <w:rPr>
                <w:rFonts w:ascii="Calibri" w:hAnsi="Calibri"/>
                <w:sz w:val="8"/>
              </w:rPr>
              <w:t>condena</w:t>
            </w:r>
            <w:r>
              <w:rPr>
                <w:rFonts w:ascii="Calibri" w:hAnsi="Calibri"/>
                <w:spacing w:val="-4"/>
                <w:sz w:val="8"/>
              </w:rPr>
              <w:t> </w:t>
            </w:r>
            <w:r>
              <w:rPr>
                <w:rFonts w:ascii="Calibri" w:hAnsi="Calibri"/>
                <w:sz w:val="8"/>
              </w:rPr>
              <w:t>al</w:t>
            </w:r>
            <w:r>
              <w:rPr>
                <w:rFonts w:ascii="Calibri" w:hAnsi="Calibri"/>
                <w:spacing w:val="-5"/>
                <w:sz w:val="8"/>
              </w:rPr>
              <w:t> </w:t>
            </w:r>
            <w:r>
              <w:rPr>
                <w:rFonts w:ascii="Calibri" w:hAnsi="Calibri"/>
                <w:sz w:val="8"/>
              </w:rPr>
              <w:t>Instituto</w:t>
            </w:r>
            <w:r>
              <w:rPr>
                <w:rFonts w:ascii="Calibri" w:hAnsi="Calibri"/>
                <w:spacing w:val="-4"/>
                <w:sz w:val="8"/>
              </w:rPr>
              <w:t> </w:t>
            </w:r>
            <w:r>
              <w:rPr>
                <w:rFonts w:ascii="Calibri" w:hAnsi="Calibri"/>
                <w:sz w:val="8"/>
              </w:rPr>
              <w:t>Mixto</w:t>
            </w:r>
            <w:r>
              <w:rPr>
                <w:rFonts w:ascii="Calibri" w:hAnsi="Calibri"/>
                <w:spacing w:val="-5"/>
                <w:sz w:val="8"/>
              </w:rPr>
              <w:t> </w:t>
            </w:r>
            <w:r>
              <w:rPr>
                <w:rFonts w:ascii="Calibri" w:hAnsi="Calibri"/>
                <w:sz w:val="8"/>
              </w:rPr>
              <w:t>de</w:t>
            </w:r>
            <w:r>
              <w:rPr>
                <w:rFonts w:ascii="Calibri" w:hAnsi="Calibri"/>
                <w:spacing w:val="-4"/>
                <w:sz w:val="8"/>
              </w:rPr>
              <w:t> </w:t>
            </w:r>
            <w:r>
              <w:rPr>
                <w:rFonts w:ascii="Calibri" w:hAnsi="Calibri"/>
                <w:sz w:val="8"/>
              </w:rPr>
              <w:t>Ayuda</w:t>
            </w:r>
            <w:r>
              <w:rPr>
                <w:rFonts w:ascii="Calibri" w:hAnsi="Calibri"/>
                <w:spacing w:val="-5"/>
                <w:sz w:val="8"/>
              </w:rPr>
              <w:t> </w:t>
            </w:r>
            <w:r>
              <w:rPr>
                <w:rFonts w:ascii="Calibri" w:hAnsi="Calibri"/>
                <w:sz w:val="8"/>
              </w:rPr>
              <w:t>Social</w:t>
            </w:r>
            <w:r>
              <w:rPr>
                <w:rFonts w:ascii="Calibri" w:hAnsi="Calibri"/>
                <w:spacing w:val="40"/>
                <w:sz w:val="8"/>
              </w:rPr>
              <w:t> </w:t>
            </w:r>
            <w:r>
              <w:rPr>
                <w:rFonts w:ascii="Calibri" w:hAnsi="Calibri"/>
                <w:sz w:val="8"/>
              </w:rPr>
              <w:t>(IMAS)</w:t>
            </w:r>
            <w:r>
              <w:rPr>
                <w:rFonts w:ascii="Calibri" w:hAnsi="Calibri"/>
                <w:spacing w:val="-1"/>
                <w:sz w:val="8"/>
              </w:rPr>
              <w:t> </w:t>
            </w:r>
            <w:r>
              <w:rPr>
                <w:rFonts w:ascii="Calibri" w:hAnsi="Calibri"/>
                <w:sz w:val="8"/>
              </w:rPr>
              <w:t>al pago de la</w:t>
            </w:r>
            <w:r>
              <w:rPr>
                <w:rFonts w:ascii="Calibri" w:hAnsi="Calibri"/>
                <w:spacing w:val="-1"/>
                <w:sz w:val="8"/>
              </w:rPr>
              <w:t> </w:t>
            </w:r>
            <w:r>
              <w:rPr>
                <w:rFonts w:ascii="Calibri" w:hAnsi="Calibri"/>
                <w:sz w:val="8"/>
              </w:rPr>
              <w:t>utilidad frustrada</w:t>
            </w:r>
            <w:r>
              <w:rPr>
                <w:rFonts w:ascii="Calibri" w:hAnsi="Calibri"/>
                <w:spacing w:val="-1"/>
                <w:sz w:val="8"/>
              </w:rPr>
              <w:t> </w:t>
            </w:r>
            <w:r>
              <w:rPr>
                <w:rFonts w:ascii="Calibri" w:hAnsi="Calibri"/>
                <w:sz w:val="8"/>
              </w:rPr>
              <w:t>en favor</w:t>
            </w:r>
            <w:r>
              <w:rPr>
                <w:rFonts w:ascii="Calibri" w:hAnsi="Calibri"/>
                <w:spacing w:val="-1"/>
                <w:sz w:val="8"/>
              </w:rPr>
              <w:t> </w:t>
            </w:r>
            <w:r>
              <w:rPr>
                <w:rFonts w:ascii="Calibri" w:hAnsi="Calibri"/>
                <w:sz w:val="8"/>
              </w:rPr>
              <w:t>de la</w:t>
            </w:r>
            <w:r>
              <w:rPr>
                <w:rFonts w:ascii="Calibri" w:hAnsi="Calibri"/>
                <w:spacing w:val="40"/>
                <w:sz w:val="8"/>
              </w:rPr>
              <w:t> </w:t>
            </w:r>
            <w:r>
              <w:rPr>
                <w:rFonts w:ascii="Calibri" w:hAnsi="Calibri"/>
                <w:sz w:val="8"/>
              </w:rPr>
              <w:t>empresa actora Desarrollos Informáticos Deinsa</w:t>
            </w:r>
          </w:p>
          <w:p>
            <w:pPr>
              <w:pStyle w:val="TableParagraph"/>
              <w:spacing w:line="259" w:lineRule="auto" w:before="2"/>
              <w:ind w:left="16" w:right="45"/>
              <w:rPr>
                <w:rFonts w:ascii="Calibri" w:hAnsi="Calibri"/>
                <w:sz w:val="8"/>
              </w:rPr>
            </w:pPr>
            <w:r>
              <w:rPr>
                <w:rFonts w:ascii="Calibri" w:hAnsi="Calibri"/>
                <w:sz w:val="8"/>
              </w:rPr>
              <w:t>S.A.</w:t>
            </w:r>
            <w:r>
              <w:rPr>
                <w:rFonts w:ascii="Calibri" w:hAnsi="Calibri"/>
                <w:spacing w:val="-5"/>
                <w:sz w:val="8"/>
              </w:rPr>
              <w:t> </w:t>
            </w:r>
            <w:r>
              <w:rPr>
                <w:rFonts w:ascii="Calibri" w:hAnsi="Calibri"/>
                <w:sz w:val="8"/>
              </w:rPr>
              <w:t>fijada</w:t>
            </w:r>
            <w:r>
              <w:rPr>
                <w:rFonts w:ascii="Calibri" w:hAnsi="Calibri"/>
                <w:spacing w:val="-5"/>
                <w:sz w:val="8"/>
              </w:rPr>
              <w:t> </w:t>
            </w:r>
            <w:r>
              <w:rPr>
                <w:rFonts w:ascii="Calibri" w:hAnsi="Calibri"/>
                <w:sz w:val="8"/>
              </w:rPr>
              <w:t>en</w:t>
            </w:r>
            <w:r>
              <w:rPr>
                <w:rFonts w:ascii="Calibri" w:hAnsi="Calibri"/>
                <w:spacing w:val="-4"/>
                <w:sz w:val="8"/>
              </w:rPr>
              <w:t> </w:t>
            </w:r>
            <w:r>
              <w:rPr>
                <w:rFonts w:ascii="Calibri" w:hAnsi="Calibri"/>
                <w:sz w:val="8"/>
              </w:rPr>
              <w:t>el</w:t>
            </w:r>
            <w:r>
              <w:rPr>
                <w:rFonts w:ascii="Calibri" w:hAnsi="Calibri"/>
                <w:spacing w:val="-3"/>
                <w:sz w:val="8"/>
              </w:rPr>
              <w:t> </w:t>
            </w:r>
            <w:r>
              <w:rPr>
                <w:rFonts w:ascii="Calibri" w:hAnsi="Calibri"/>
                <w:sz w:val="8"/>
              </w:rPr>
              <w:t>cinco</w:t>
            </w:r>
            <w:r>
              <w:rPr>
                <w:rFonts w:ascii="Calibri" w:hAnsi="Calibri"/>
                <w:spacing w:val="-4"/>
                <w:sz w:val="8"/>
              </w:rPr>
              <w:t> </w:t>
            </w:r>
            <w:r>
              <w:rPr>
                <w:rFonts w:ascii="Calibri" w:hAnsi="Calibri"/>
                <w:sz w:val="8"/>
              </w:rPr>
              <w:t>por</w:t>
            </w:r>
            <w:r>
              <w:rPr>
                <w:rFonts w:ascii="Calibri" w:hAnsi="Calibri"/>
                <w:spacing w:val="-5"/>
                <w:sz w:val="8"/>
              </w:rPr>
              <w:t> </w:t>
            </w:r>
            <w:r>
              <w:rPr>
                <w:rFonts w:ascii="Calibri" w:hAnsi="Calibri"/>
                <w:sz w:val="8"/>
              </w:rPr>
              <w:t>ciento</w:t>
            </w:r>
            <w:r>
              <w:rPr>
                <w:rFonts w:ascii="Calibri" w:hAnsi="Calibri"/>
                <w:spacing w:val="-3"/>
                <w:sz w:val="8"/>
              </w:rPr>
              <w:t> </w:t>
            </w:r>
            <w:r>
              <w:rPr>
                <w:rFonts w:ascii="Calibri" w:hAnsi="Calibri"/>
                <w:sz w:val="8"/>
              </w:rPr>
              <w:t>(5%)</w:t>
            </w:r>
            <w:r>
              <w:rPr>
                <w:rFonts w:ascii="Calibri" w:hAnsi="Calibri"/>
                <w:spacing w:val="-5"/>
                <w:sz w:val="8"/>
              </w:rPr>
              <w:t> </w:t>
            </w:r>
            <w:r>
              <w:rPr>
                <w:rFonts w:ascii="Calibri" w:hAnsi="Calibri"/>
                <w:sz w:val="8"/>
              </w:rPr>
              <w:t>a</w:t>
            </w:r>
            <w:r>
              <w:rPr>
                <w:rFonts w:ascii="Calibri" w:hAnsi="Calibri"/>
                <w:spacing w:val="-4"/>
                <w:sz w:val="8"/>
              </w:rPr>
              <w:t> </w:t>
            </w:r>
            <w:r>
              <w:rPr>
                <w:rFonts w:ascii="Calibri" w:hAnsi="Calibri"/>
                <w:sz w:val="8"/>
              </w:rPr>
              <w:t>título</w:t>
            </w:r>
            <w:r>
              <w:rPr>
                <w:rFonts w:ascii="Calibri" w:hAnsi="Calibri"/>
                <w:spacing w:val="-4"/>
                <w:sz w:val="8"/>
              </w:rPr>
              <w:t> </w:t>
            </w:r>
            <w:r>
              <w:rPr>
                <w:rFonts w:ascii="Calibri" w:hAnsi="Calibri"/>
                <w:sz w:val="8"/>
              </w:rPr>
              <w:t>de</w:t>
            </w:r>
            <w:r>
              <w:rPr>
                <w:rFonts w:ascii="Calibri" w:hAnsi="Calibri"/>
                <w:spacing w:val="-4"/>
                <w:sz w:val="8"/>
              </w:rPr>
              <w:t> </w:t>
            </w:r>
            <w:r>
              <w:rPr>
                <w:rFonts w:ascii="Calibri" w:hAnsi="Calibri"/>
                <w:sz w:val="8"/>
              </w:rPr>
              <w:t>daños</w:t>
            </w:r>
            <w:r>
              <w:rPr>
                <w:rFonts w:ascii="Calibri" w:hAnsi="Calibri"/>
                <w:spacing w:val="-5"/>
                <w:sz w:val="8"/>
              </w:rPr>
              <w:t> </w:t>
            </w:r>
            <w:r>
              <w:rPr>
                <w:rFonts w:ascii="Calibri" w:hAnsi="Calibri"/>
                <w:sz w:val="8"/>
              </w:rPr>
              <w:t>y</w:t>
            </w:r>
            <w:r>
              <w:rPr>
                <w:rFonts w:ascii="Calibri" w:hAnsi="Calibri"/>
                <w:spacing w:val="40"/>
                <w:sz w:val="8"/>
              </w:rPr>
              <w:t> </w:t>
            </w:r>
            <w:r>
              <w:rPr>
                <w:rFonts w:ascii="Calibri" w:hAnsi="Calibri"/>
                <w:sz w:val="8"/>
              </w:rPr>
              <w:t>perjuicios. El monto de la indemnización deberá ser</w:t>
            </w:r>
            <w:r>
              <w:rPr>
                <w:rFonts w:ascii="Calibri" w:hAnsi="Calibri"/>
                <w:spacing w:val="40"/>
                <w:sz w:val="8"/>
              </w:rPr>
              <w:t> </w:t>
            </w:r>
            <w:r>
              <w:rPr>
                <w:rFonts w:ascii="Calibri" w:hAnsi="Calibri"/>
                <w:sz w:val="8"/>
              </w:rPr>
              <w:t>definido en la Fase de Ejecución de Sentencia con</w:t>
            </w:r>
            <w:r>
              <w:rPr>
                <w:rFonts w:ascii="Calibri" w:hAnsi="Calibri"/>
                <w:spacing w:val="40"/>
                <w:sz w:val="8"/>
              </w:rPr>
              <w:t> </w:t>
            </w:r>
            <w:r>
              <w:rPr>
                <w:rFonts w:ascii="Calibri" w:hAnsi="Calibri"/>
                <w:sz w:val="8"/>
              </w:rPr>
              <w:t>auxilio pericial y únicamente sobre el primer año de la</w:t>
            </w:r>
            <w:r>
              <w:rPr>
                <w:rFonts w:ascii="Calibri" w:hAnsi="Calibri"/>
                <w:spacing w:val="40"/>
                <w:sz w:val="8"/>
              </w:rPr>
              <w:t> </w:t>
            </w:r>
            <w:r>
              <w:rPr>
                <w:rFonts w:ascii="Calibri" w:hAnsi="Calibri"/>
                <w:sz w:val="8"/>
              </w:rPr>
              <w:t>contratación.</w:t>
            </w:r>
            <w:r>
              <w:rPr>
                <w:rFonts w:ascii="Calibri" w:hAnsi="Calibri"/>
                <w:spacing w:val="-2"/>
                <w:sz w:val="8"/>
              </w:rPr>
              <w:t> </w:t>
            </w:r>
            <w:r>
              <w:rPr>
                <w:rFonts w:ascii="Calibri" w:hAnsi="Calibri"/>
                <w:sz w:val="8"/>
              </w:rPr>
              <w:t>Se</w:t>
            </w:r>
            <w:r>
              <w:rPr>
                <w:rFonts w:ascii="Calibri" w:hAnsi="Calibri"/>
                <w:spacing w:val="-3"/>
                <w:sz w:val="8"/>
              </w:rPr>
              <w:t> </w:t>
            </w:r>
            <w:r>
              <w:rPr>
                <w:rFonts w:ascii="Calibri" w:hAnsi="Calibri"/>
                <w:sz w:val="8"/>
              </w:rPr>
              <w:t>reconocen</w:t>
            </w:r>
            <w:r>
              <w:rPr>
                <w:rFonts w:ascii="Calibri" w:hAnsi="Calibri"/>
                <w:spacing w:val="-2"/>
                <w:sz w:val="8"/>
              </w:rPr>
              <w:t> </w:t>
            </w:r>
            <w:r>
              <w:rPr>
                <w:rFonts w:ascii="Calibri" w:hAnsi="Calibri"/>
                <w:sz w:val="8"/>
              </w:rPr>
              <w:t>los</w:t>
            </w:r>
          </w:p>
          <w:p>
            <w:pPr>
              <w:pStyle w:val="TableParagraph"/>
              <w:spacing w:line="259" w:lineRule="auto" w:before="2"/>
              <w:ind w:left="16" w:right="12"/>
              <w:rPr>
                <w:rFonts w:ascii="Calibri" w:hAnsi="Calibri"/>
                <w:sz w:val="8"/>
              </w:rPr>
            </w:pPr>
            <w:r>
              <w:rPr>
                <w:rFonts w:ascii="Calibri" w:hAnsi="Calibri"/>
                <w:sz w:val="8"/>
              </w:rPr>
              <w:t>intereses</w:t>
            </w:r>
            <w:r>
              <w:rPr>
                <w:rFonts w:ascii="Calibri" w:hAnsi="Calibri"/>
                <w:spacing w:val="-5"/>
                <w:sz w:val="8"/>
              </w:rPr>
              <w:t> </w:t>
            </w:r>
            <w:r>
              <w:rPr>
                <w:rFonts w:ascii="Calibri" w:hAnsi="Calibri"/>
                <w:sz w:val="8"/>
              </w:rPr>
              <w:t>legales</w:t>
            </w:r>
            <w:r>
              <w:rPr>
                <w:rFonts w:ascii="Calibri" w:hAnsi="Calibri"/>
                <w:spacing w:val="-5"/>
                <w:sz w:val="8"/>
              </w:rPr>
              <w:t> </w:t>
            </w:r>
            <w:r>
              <w:rPr>
                <w:rFonts w:ascii="Calibri" w:hAnsi="Calibri"/>
                <w:sz w:val="8"/>
              </w:rPr>
              <w:t>desde</w:t>
            </w:r>
            <w:r>
              <w:rPr>
                <w:rFonts w:ascii="Calibri" w:hAnsi="Calibri"/>
                <w:spacing w:val="-4"/>
                <w:sz w:val="8"/>
              </w:rPr>
              <w:t> </w:t>
            </w:r>
            <w:r>
              <w:rPr>
                <w:rFonts w:ascii="Calibri" w:hAnsi="Calibri"/>
                <w:sz w:val="8"/>
              </w:rPr>
              <w:t>la</w:t>
            </w:r>
            <w:r>
              <w:rPr>
                <w:rFonts w:ascii="Calibri" w:hAnsi="Calibri"/>
                <w:spacing w:val="-5"/>
                <w:sz w:val="8"/>
              </w:rPr>
              <w:t> </w:t>
            </w:r>
            <w:r>
              <w:rPr>
                <w:rFonts w:ascii="Calibri" w:hAnsi="Calibri"/>
                <w:sz w:val="8"/>
              </w:rPr>
              <w:t>firmeza</w:t>
            </w:r>
            <w:r>
              <w:rPr>
                <w:rFonts w:ascii="Calibri" w:hAnsi="Calibri"/>
                <w:spacing w:val="-4"/>
                <w:sz w:val="8"/>
              </w:rPr>
              <w:t> </w:t>
            </w:r>
            <w:r>
              <w:rPr>
                <w:rFonts w:ascii="Calibri" w:hAnsi="Calibri"/>
                <w:sz w:val="8"/>
              </w:rPr>
              <w:t>del</w:t>
            </w:r>
            <w:r>
              <w:rPr>
                <w:rFonts w:ascii="Calibri" w:hAnsi="Calibri"/>
                <w:spacing w:val="-4"/>
                <w:sz w:val="8"/>
              </w:rPr>
              <w:t> </w:t>
            </w:r>
            <w:r>
              <w:rPr>
                <w:rFonts w:ascii="Calibri" w:hAnsi="Calibri"/>
                <w:sz w:val="8"/>
              </w:rPr>
              <w:t>fallo</w:t>
            </w:r>
            <w:r>
              <w:rPr>
                <w:rFonts w:ascii="Calibri" w:hAnsi="Calibri"/>
                <w:spacing w:val="-3"/>
                <w:sz w:val="8"/>
              </w:rPr>
              <w:t> </w:t>
            </w:r>
            <w:r>
              <w:rPr>
                <w:rFonts w:ascii="Calibri" w:hAnsi="Calibri"/>
                <w:sz w:val="8"/>
              </w:rPr>
              <w:t>que</w:t>
            </w:r>
            <w:r>
              <w:rPr>
                <w:rFonts w:ascii="Calibri" w:hAnsi="Calibri"/>
                <w:spacing w:val="-5"/>
                <w:sz w:val="8"/>
              </w:rPr>
              <w:t> </w:t>
            </w:r>
            <w:r>
              <w:rPr>
                <w:rFonts w:ascii="Calibri" w:hAnsi="Calibri"/>
                <w:sz w:val="8"/>
              </w:rPr>
              <w:t>defina</w:t>
            </w:r>
            <w:r>
              <w:rPr>
                <w:rFonts w:ascii="Calibri" w:hAnsi="Calibri"/>
                <w:spacing w:val="-4"/>
                <w:sz w:val="8"/>
              </w:rPr>
              <w:t> </w:t>
            </w:r>
            <w:r>
              <w:rPr>
                <w:rFonts w:ascii="Calibri" w:hAnsi="Calibri"/>
                <w:sz w:val="8"/>
              </w:rPr>
              <w:t>el</w:t>
            </w:r>
            <w:r>
              <w:rPr>
                <w:rFonts w:ascii="Calibri" w:hAnsi="Calibri"/>
                <w:spacing w:val="40"/>
                <w:sz w:val="8"/>
              </w:rPr>
              <w:t> </w:t>
            </w:r>
            <w:r>
              <w:rPr>
                <w:rFonts w:ascii="Calibri" w:hAnsi="Calibri"/>
                <w:sz w:val="8"/>
              </w:rPr>
              <w:t>monto y hasta su efectivo pago. Se condena a la parte</w:t>
            </w:r>
            <w:r>
              <w:rPr>
                <w:rFonts w:ascii="Calibri" w:hAnsi="Calibri"/>
                <w:spacing w:val="40"/>
                <w:sz w:val="8"/>
              </w:rPr>
              <w:t> </w:t>
            </w:r>
            <w:r>
              <w:rPr>
                <w:rFonts w:ascii="Calibri" w:hAnsi="Calibri"/>
                <w:sz w:val="8"/>
              </w:rPr>
              <w:t>demandada al pago de ambas costas en favor de la</w:t>
            </w:r>
            <w:r>
              <w:rPr>
                <w:rFonts w:ascii="Calibri" w:hAnsi="Calibri"/>
                <w:spacing w:val="40"/>
                <w:sz w:val="8"/>
              </w:rPr>
              <w:t> </w:t>
            </w:r>
            <w:r>
              <w:rPr>
                <w:rFonts w:ascii="Calibri" w:hAnsi="Calibri"/>
                <w:sz w:val="8"/>
              </w:rPr>
              <w:t>actora. (No firme IMAS presentará casación de la</w:t>
            </w:r>
            <w:r>
              <w:rPr>
                <w:rFonts w:ascii="Calibri" w:hAnsi="Calibri"/>
                <w:spacing w:val="40"/>
                <w:sz w:val="8"/>
              </w:rPr>
              <w:t> </w:t>
            </w:r>
            <w:r>
              <w:rPr>
                <w:rFonts w:ascii="Calibri" w:hAnsi="Calibri"/>
                <w:spacing w:val="-2"/>
                <w:sz w:val="8"/>
              </w:rPr>
              <w:t>sentencia)</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26"/>
              <w:rPr>
                <w:sz w:val="8"/>
              </w:rPr>
            </w:pPr>
          </w:p>
          <w:p>
            <w:pPr>
              <w:pStyle w:val="TableParagraph"/>
              <w:spacing w:line="259" w:lineRule="auto"/>
              <w:ind w:left="242" w:hanging="176"/>
              <w:rPr>
                <w:rFonts w:ascii="Calibri"/>
                <w:sz w:val="8"/>
              </w:rPr>
            </w:pPr>
            <w:r>
              <w:rPr>
                <w:rFonts w:ascii="Calibri"/>
                <w:spacing w:val="-4"/>
                <w:w w:val="105"/>
                <w:sz w:val="8"/>
              </w:rPr>
              <w:t>Provisionado</w:t>
            </w:r>
            <w:r>
              <w:rPr>
                <w:rFonts w:ascii="Calibri"/>
                <w:spacing w:val="-2"/>
                <w:sz w:val="8"/>
              </w:rPr>
              <w:t> </w:t>
            </w:r>
            <w:r>
              <w:rPr>
                <w:rFonts w:ascii="Calibri"/>
                <w:spacing w:val="-4"/>
                <w:w w:val="105"/>
                <w:sz w:val="8"/>
              </w:rPr>
              <w:t>al</w:t>
            </w:r>
            <w:r>
              <w:rPr>
                <w:rFonts w:ascii="Calibri"/>
                <w:spacing w:val="40"/>
                <w:w w:val="105"/>
                <w:sz w:val="8"/>
              </w:rPr>
              <w:t> </w:t>
            </w:r>
            <w:r>
              <w:rPr>
                <w:rFonts w:ascii="Calibri"/>
                <w:spacing w:val="-4"/>
                <w:w w:val="105"/>
                <w:sz w:val="8"/>
              </w:rPr>
              <w:t>30%</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367" w:type="dxa"/>
            <w:vMerge/>
            <w:tcBorders>
              <w:top w:val="nil"/>
              <w:left w:val="single" w:sz="2" w:space="0" w:color="000000"/>
              <w:bottom w:val="nil"/>
            </w:tcBorders>
          </w:tcPr>
          <w:p>
            <w:pPr>
              <w:rPr>
                <w:sz w:val="2"/>
                <w:szCs w:val="2"/>
              </w:rPr>
            </w:pPr>
          </w:p>
        </w:tc>
      </w:tr>
      <w:tr>
        <w:trPr>
          <w:trHeight w:val="524" w:hRule="atLeast"/>
        </w:trPr>
        <w:tc>
          <w:tcPr>
            <w:tcW w:w="355" w:type="dxa"/>
            <w:vMerge/>
            <w:tcBorders>
              <w:top w:val="nil"/>
              <w:bottom w:val="nil"/>
              <w:right w:val="single" w:sz="2" w:space="0" w:color="000000"/>
            </w:tcBorders>
          </w:tcPr>
          <w:p>
            <w:pPr>
              <w:rPr>
                <w:sz w:val="2"/>
                <w:szCs w:val="2"/>
              </w:rPr>
            </w:pPr>
          </w:p>
        </w:tc>
        <w:tc>
          <w:tcPr>
            <w:tcW w:w="631"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spacing w:before="33"/>
              <w:rPr>
                <w:sz w:val="8"/>
              </w:rPr>
            </w:pPr>
          </w:p>
          <w:p>
            <w:pPr>
              <w:pStyle w:val="TableParagraph"/>
              <w:ind w:left="11"/>
              <w:jc w:val="center"/>
              <w:rPr>
                <w:rFonts w:ascii="Calibri"/>
                <w:b/>
                <w:sz w:val="8"/>
              </w:rPr>
            </w:pPr>
            <w:r>
              <w:rPr>
                <w:rFonts w:ascii="Calibri"/>
                <w:b/>
                <w:spacing w:val="-2"/>
                <w:sz w:val="8"/>
              </w:rPr>
              <w:t>LABORAL</w:t>
            </w:r>
          </w:p>
        </w:tc>
        <w:tc>
          <w:tcPr>
            <w:tcW w:w="71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spacing w:before="33"/>
              <w:rPr>
                <w:sz w:val="8"/>
              </w:rPr>
            </w:pPr>
          </w:p>
          <w:p>
            <w:pPr>
              <w:pStyle w:val="TableParagraph"/>
              <w:ind w:left="13" w:right="3"/>
              <w:jc w:val="center"/>
              <w:rPr>
                <w:rFonts w:ascii="Calibri"/>
                <w:sz w:val="8"/>
              </w:rPr>
            </w:pPr>
            <w:r>
              <w:rPr>
                <w:rFonts w:ascii="Calibri"/>
                <w:sz w:val="8"/>
              </w:rPr>
              <w:t>24-000261-0166-</w:t>
            </w:r>
            <w:r>
              <w:rPr>
                <w:rFonts w:ascii="Calibri"/>
                <w:spacing w:val="-7"/>
                <w:sz w:val="8"/>
              </w:rPr>
              <w:t>LA</w:t>
            </w:r>
          </w:p>
        </w:tc>
        <w:tc>
          <w:tcPr>
            <w:tcW w:w="105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70"/>
              <w:rPr>
                <w:sz w:val="8"/>
              </w:rPr>
            </w:pPr>
          </w:p>
          <w:p>
            <w:pPr>
              <w:pStyle w:val="TableParagraph"/>
              <w:spacing w:line="259" w:lineRule="auto"/>
              <w:ind w:left="17"/>
              <w:rPr>
                <w:rFonts w:ascii="Calibri" w:hAnsi="Calibri"/>
                <w:sz w:val="8"/>
              </w:rPr>
            </w:pPr>
            <w:r>
              <w:rPr>
                <w:rFonts w:ascii="Calibri" w:hAnsi="Calibri"/>
                <w:spacing w:val="-2"/>
                <w:w w:val="105"/>
                <w:sz w:val="8"/>
              </w:rPr>
              <w:t>PABLO</w:t>
            </w:r>
            <w:r>
              <w:rPr>
                <w:rFonts w:ascii="Calibri" w:hAnsi="Calibri"/>
                <w:spacing w:val="-4"/>
                <w:w w:val="105"/>
                <w:sz w:val="8"/>
              </w:rPr>
              <w:t> </w:t>
            </w:r>
            <w:r>
              <w:rPr>
                <w:rFonts w:ascii="Calibri" w:hAnsi="Calibri"/>
                <w:spacing w:val="-2"/>
                <w:w w:val="105"/>
                <w:sz w:val="8"/>
              </w:rPr>
              <w:t>ENRICO</w:t>
            </w:r>
            <w:r>
              <w:rPr>
                <w:rFonts w:ascii="Calibri" w:hAnsi="Calibri"/>
                <w:spacing w:val="-4"/>
                <w:w w:val="105"/>
                <w:sz w:val="8"/>
              </w:rPr>
              <w:t> </w:t>
            </w:r>
            <w:r>
              <w:rPr>
                <w:rFonts w:ascii="Calibri" w:hAnsi="Calibri"/>
                <w:spacing w:val="-2"/>
                <w:w w:val="105"/>
                <w:sz w:val="8"/>
              </w:rPr>
              <w:t>DE</w:t>
            </w:r>
            <w:r>
              <w:rPr>
                <w:rFonts w:ascii="Calibri" w:hAnsi="Calibri"/>
                <w:spacing w:val="-4"/>
                <w:w w:val="105"/>
                <w:sz w:val="8"/>
              </w:rPr>
              <w:t> </w:t>
            </w:r>
            <w:r>
              <w:rPr>
                <w:rFonts w:ascii="Calibri" w:hAnsi="Calibri"/>
                <w:spacing w:val="-2"/>
                <w:w w:val="105"/>
                <w:sz w:val="8"/>
              </w:rPr>
              <w:t>JESÚS</w:t>
            </w:r>
            <w:r>
              <w:rPr>
                <w:rFonts w:ascii="Calibri" w:hAnsi="Calibri"/>
                <w:spacing w:val="40"/>
                <w:w w:val="105"/>
                <w:sz w:val="8"/>
              </w:rPr>
              <w:t> </w:t>
            </w:r>
            <w:r>
              <w:rPr>
                <w:rFonts w:ascii="Calibri" w:hAnsi="Calibri"/>
                <w:w w:val="105"/>
                <w:sz w:val="8"/>
              </w:rPr>
              <w:t>GONZÁLEZ</w:t>
            </w:r>
            <w:r>
              <w:rPr>
                <w:rFonts w:ascii="Calibri" w:hAnsi="Calibri"/>
                <w:spacing w:val="-5"/>
                <w:w w:val="105"/>
                <w:sz w:val="8"/>
              </w:rPr>
              <w:t> </w:t>
            </w:r>
            <w:r>
              <w:rPr>
                <w:rFonts w:ascii="Calibri" w:hAnsi="Calibri"/>
                <w:w w:val="105"/>
                <w:sz w:val="8"/>
              </w:rPr>
              <w:t>GONZÁLEZ</w:t>
            </w:r>
          </w:p>
        </w:tc>
        <w:tc>
          <w:tcPr>
            <w:tcW w:w="50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spacing w:before="33"/>
              <w:rPr>
                <w:sz w:val="8"/>
              </w:rPr>
            </w:pPr>
          </w:p>
          <w:p>
            <w:pPr>
              <w:pStyle w:val="TableParagraph"/>
              <w:ind w:left="8"/>
              <w:jc w:val="center"/>
              <w:rPr>
                <w:rFonts w:ascii="Calibri"/>
                <w:sz w:val="8"/>
              </w:rPr>
            </w:pPr>
            <w:r>
              <w:rPr>
                <w:rFonts w:ascii="Calibri"/>
                <w:sz w:val="8"/>
              </w:rPr>
              <w:t>1-0587-</w:t>
            </w:r>
            <w:r>
              <w:rPr>
                <w:rFonts w:ascii="Calibri"/>
                <w:spacing w:val="-4"/>
                <w:sz w:val="8"/>
              </w:rPr>
              <w:t>0506</w:t>
            </w:r>
          </w:p>
        </w:tc>
        <w:tc>
          <w:tcPr>
            <w:tcW w:w="64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59" w:lineRule="auto" w:before="4"/>
              <w:ind w:left="53" w:right="40" w:firstLine="1"/>
              <w:jc w:val="center"/>
              <w:rPr>
                <w:rFonts w:ascii="Calibri" w:hAnsi="Calibri"/>
                <w:sz w:val="8"/>
              </w:rPr>
            </w:pPr>
            <w:r>
              <w:rPr>
                <w:rFonts w:ascii="Calibri" w:hAnsi="Calibri"/>
                <w:sz w:val="8"/>
              </w:rPr>
              <w:t>Ajuste</w:t>
            </w:r>
            <w:r>
              <w:rPr>
                <w:rFonts w:ascii="Calibri" w:hAnsi="Calibri"/>
                <w:spacing w:val="-5"/>
                <w:sz w:val="8"/>
              </w:rPr>
              <w:t> </w:t>
            </w:r>
            <w:r>
              <w:rPr>
                <w:rFonts w:ascii="Calibri" w:hAnsi="Calibri"/>
                <w:sz w:val="8"/>
              </w:rPr>
              <w:t>y</w:t>
            </w:r>
            <w:r>
              <w:rPr>
                <w:rFonts w:ascii="Calibri" w:hAnsi="Calibri"/>
                <w:spacing w:val="-5"/>
                <w:sz w:val="8"/>
              </w:rPr>
              <w:t> </w:t>
            </w:r>
            <w:r>
              <w:rPr>
                <w:rFonts w:ascii="Calibri" w:hAnsi="Calibri"/>
                <w:sz w:val="8"/>
              </w:rPr>
              <w:t>pago</w:t>
            </w:r>
            <w:r>
              <w:rPr>
                <w:rFonts w:ascii="Calibri" w:hAnsi="Calibri"/>
                <w:spacing w:val="-4"/>
                <w:sz w:val="8"/>
              </w:rPr>
              <w:t> </w:t>
            </w:r>
            <w:r>
              <w:rPr>
                <w:rFonts w:ascii="Calibri" w:hAnsi="Calibri"/>
                <w:sz w:val="8"/>
              </w:rPr>
              <w:t>de</w:t>
            </w:r>
            <w:r>
              <w:rPr>
                <w:rFonts w:ascii="Calibri" w:hAnsi="Calibri"/>
                <w:spacing w:val="40"/>
                <w:sz w:val="8"/>
              </w:rPr>
              <w:t> </w:t>
            </w:r>
            <w:r>
              <w:rPr>
                <w:rFonts w:ascii="Calibri" w:hAnsi="Calibri"/>
                <w:spacing w:val="-2"/>
                <w:sz w:val="8"/>
              </w:rPr>
              <w:t>porcentajes</w:t>
            </w:r>
            <w:r>
              <w:rPr>
                <w:rFonts w:ascii="Calibri" w:hAnsi="Calibri"/>
                <w:spacing w:val="40"/>
                <w:sz w:val="8"/>
              </w:rPr>
              <w:t> </w:t>
            </w:r>
            <w:r>
              <w:rPr>
                <w:rFonts w:ascii="Calibri" w:hAnsi="Calibri"/>
                <w:sz w:val="8"/>
              </w:rPr>
              <w:t>salariales,</w:t>
            </w:r>
            <w:r>
              <w:rPr>
                <w:rFonts w:ascii="Calibri" w:hAnsi="Calibri"/>
                <w:spacing w:val="-5"/>
                <w:sz w:val="8"/>
              </w:rPr>
              <w:t> </w:t>
            </w:r>
            <w:r>
              <w:rPr>
                <w:rFonts w:ascii="Calibri" w:hAnsi="Calibri"/>
                <w:sz w:val="8"/>
              </w:rPr>
              <w:t>según</w:t>
            </w:r>
            <w:r>
              <w:rPr>
                <w:rFonts w:ascii="Calibri" w:hAnsi="Calibri"/>
                <w:spacing w:val="40"/>
                <w:sz w:val="8"/>
              </w:rPr>
              <w:t> </w:t>
            </w:r>
            <w:r>
              <w:rPr>
                <w:rFonts w:ascii="Calibri" w:hAnsi="Calibri"/>
                <w:sz w:val="8"/>
              </w:rPr>
              <w:t>Resolución</w:t>
            </w:r>
            <w:r>
              <w:rPr>
                <w:rFonts w:ascii="Calibri" w:hAnsi="Calibri"/>
                <w:spacing w:val="7"/>
                <w:sz w:val="8"/>
              </w:rPr>
              <w:t> </w:t>
            </w:r>
            <w:r>
              <w:rPr>
                <w:rFonts w:ascii="Calibri" w:hAnsi="Calibri"/>
                <w:spacing w:val="-5"/>
                <w:sz w:val="8"/>
              </w:rPr>
              <w:t>DG-</w:t>
            </w:r>
          </w:p>
          <w:p>
            <w:pPr>
              <w:pStyle w:val="TableParagraph"/>
              <w:spacing w:line="76" w:lineRule="exact" w:before="2"/>
              <w:ind w:left="15" w:right="1"/>
              <w:jc w:val="center"/>
              <w:rPr>
                <w:rFonts w:ascii="Calibri"/>
                <w:sz w:val="8"/>
              </w:rPr>
            </w:pPr>
            <w:r>
              <w:rPr>
                <w:rFonts w:ascii="Calibri"/>
                <w:sz w:val="8"/>
              </w:rPr>
              <w:t>078-</w:t>
            </w:r>
            <w:r>
              <w:rPr>
                <w:rFonts w:ascii="Calibri"/>
                <w:spacing w:val="-5"/>
                <w:sz w:val="8"/>
              </w:rPr>
              <w:t>89</w:t>
            </w:r>
          </w:p>
        </w:tc>
        <w:tc>
          <w:tcPr>
            <w:tcW w:w="877"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line="259" w:lineRule="auto" w:before="4"/>
              <w:ind w:left="44" w:right="29" w:firstLine="15"/>
              <w:jc w:val="both"/>
              <w:rPr>
                <w:rFonts w:ascii="Calibri" w:hAnsi="Calibri"/>
                <w:sz w:val="8"/>
              </w:rPr>
            </w:pPr>
            <w:r>
              <w:rPr>
                <w:rFonts w:ascii="Calibri" w:hAnsi="Calibri"/>
                <w:sz w:val="8"/>
              </w:rPr>
              <w:t>En</w:t>
            </w:r>
            <w:r>
              <w:rPr>
                <w:rFonts w:ascii="Calibri" w:hAnsi="Calibri"/>
                <w:spacing w:val="-5"/>
                <w:sz w:val="8"/>
              </w:rPr>
              <w:t> </w:t>
            </w:r>
            <w:r>
              <w:rPr>
                <w:rFonts w:ascii="Calibri" w:hAnsi="Calibri"/>
                <w:sz w:val="8"/>
              </w:rPr>
              <w:t>Casación.</w:t>
            </w:r>
            <w:r>
              <w:rPr>
                <w:rFonts w:ascii="Calibri" w:hAnsi="Calibri"/>
                <w:spacing w:val="-5"/>
                <w:sz w:val="8"/>
              </w:rPr>
              <w:t> </w:t>
            </w:r>
            <w:r>
              <w:rPr>
                <w:rFonts w:ascii="Calibri" w:hAnsi="Calibri"/>
                <w:sz w:val="8"/>
              </w:rPr>
              <w:t>Demanda</w:t>
            </w:r>
            <w:r>
              <w:rPr>
                <w:rFonts w:ascii="Calibri" w:hAnsi="Calibri"/>
                <w:spacing w:val="40"/>
                <w:sz w:val="8"/>
              </w:rPr>
              <w:t> </w:t>
            </w:r>
            <w:r>
              <w:rPr>
                <w:rFonts w:ascii="Calibri" w:hAnsi="Calibri"/>
                <w:sz w:val="8"/>
              </w:rPr>
              <w:t>con</w:t>
            </w:r>
            <w:r>
              <w:rPr>
                <w:rFonts w:ascii="Calibri" w:hAnsi="Calibri"/>
                <w:spacing w:val="-5"/>
                <w:sz w:val="8"/>
              </w:rPr>
              <w:t> </w:t>
            </w:r>
            <w:r>
              <w:rPr>
                <w:rFonts w:ascii="Calibri" w:hAnsi="Calibri"/>
                <w:sz w:val="8"/>
              </w:rPr>
              <w:t>lugar</w:t>
            </w:r>
            <w:r>
              <w:rPr>
                <w:rFonts w:ascii="Calibri" w:hAnsi="Calibri"/>
                <w:spacing w:val="-5"/>
                <w:sz w:val="8"/>
              </w:rPr>
              <w:t> </w:t>
            </w:r>
            <w:r>
              <w:rPr>
                <w:rFonts w:ascii="Calibri" w:hAnsi="Calibri"/>
                <w:sz w:val="8"/>
              </w:rPr>
              <w:t>en</w:t>
            </w:r>
            <w:r>
              <w:rPr>
                <w:rFonts w:ascii="Calibri" w:hAnsi="Calibri"/>
                <w:spacing w:val="-4"/>
                <w:sz w:val="8"/>
              </w:rPr>
              <w:t> </w:t>
            </w:r>
            <w:r>
              <w:rPr>
                <w:rFonts w:ascii="Calibri" w:hAnsi="Calibri"/>
                <w:sz w:val="8"/>
              </w:rPr>
              <w:t>SENTENCIA</w:t>
            </w:r>
            <w:r>
              <w:rPr>
                <w:rFonts w:ascii="Calibri" w:hAnsi="Calibri"/>
                <w:spacing w:val="40"/>
                <w:sz w:val="8"/>
              </w:rPr>
              <w:t> </w:t>
            </w:r>
            <w:r>
              <w:rPr>
                <w:rFonts w:ascii="Calibri" w:hAnsi="Calibri"/>
                <w:spacing w:val="-2"/>
                <w:sz w:val="8"/>
              </w:rPr>
              <w:t>DE</w:t>
            </w:r>
            <w:r>
              <w:rPr>
                <w:rFonts w:ascii="Calibri" w:hAnsi="Calibri"/>
                <w:spacing w:val="6"/>
                <w:sz w:val="8"/>
              </w:rPr>
              <w:t> </w:t>
            </w:r>
            <w:r>
              <w:rPr>
                <w:rFonts w:ascii="Calibri" w:hAnsi="Calibri"/>
                <w:spacing w:val="-2"/>
                <w:sz w:val="8"/>
              </w:rPr>
              <w:t>PRIMERA</w:t>
            </w:r>
            <w:r>
              <w:rPr>
                <w:rFonts w:ascii="Calibri" w:hAnsi="Calibri"/>
                <w:spacing w:val="2"/>
                <w:sz w:val="8"/>
              </w:rPr>
              <w:t> </w:t>
            </w:r>
            <w:r>
              <w:rPr>
                <w:rFonts w:ascii="Calibri" w:hAnsi="Calibri"/>
                <w:spacing w:val="-2"/>
                <w:sz w:val="8"/>
              </w:rPr>
              <w:t>INSTANCIA</w:t>
            </w:r>
          </w:p>
          <w:p>
            <w:pPr>
              <w:pStyle w:val="TableParagraph"/>
              <w:spacing w:before="1"/>
              <w:ind w:left="26"/>
              <w:jc w:val="both"/>
              <w:rPr>
                <w:rFonts w:ascii="Calibri" w:hAnsi="Calibri"/>
                <w:sz w:val="8"/>
              </w:rPr>
            </w:pPr>
            <w:r>
              <w:rPr>
                <w:rFonts w:ascii="Calibri" w:hAnsi="Calibri"/>
                <w:sz w:val="8"/>
              </w:rPr>
              <w:t>N°</w:t>
            </w:r>
            <w:r>
              <w:rPr>
                <w:rFonts w:ascii="Calibri" w:hAnsi="Calibri"/>
                <w:spacing w:val="-3"/>
                <w:sz w:val="8"/>
              </w:rPr>
              <w:t> </w:t>
            </w:r>
            <w:r>
              <w:rPr>
                <w:rFonts w:ascii="Calibri" w:hAnsi="Calibri"/>
                <w:sz w:val="8"/>
              </w:rPr>
              <w:t>2025002535</w:t>
            </w:r>
            <w:r>
              <w:rPr>
                <w:rFonts w:ascii="Calibri" w:hAnsi="Calibri"/>
                <w:spacing w:val="-1"/>
                <w:sz w:val="8"/>
              </w:rPr>
              <w:t> </w:t>
            </w:r>
            <w:r>
              <w:rPr>
                <w:rFonts w:ascii="Calibri" w:hAnsi="Calibri"/>
                <w:sz w:val="8"/>
              </w:rPr>
              <w:t>(no</w:t>
            </w:r>
            <w:r>
              <w:rPr>
                <w:rFonts w:ascii="Calibri" w:hAnsi="Calibri"/>
                <w:spacing w:val="-1"/>
                <w:sz w:val="8"/>
              </w:rPr>
              <w:t> </w:t>
            </w:r>
            <w:r>
              <w:rPr>
                <w:rFonts w:ascii="Calibri" w:hAnsi="Calibri"/>
                <w:spacing w:val="-2"/>
                <w:sz w:val="8"/>
              </w:rPr>
              <w:t>firme</w:t>
            </w:r>
          </w:p>
          <w:p>
            <w:pPr>
              <w:pStyle w:val="TableParagraph"/>
              <w:spacing w:line="76" w:lineRule="exact" w:before="8"/>
              <w:ind w:left="38"/>
              <w:jc w:val="both"/>
              <w:rPr>
                <w:rFonts w:ascii="Calibri" w:hAnsi="Calibri"/>
                <w:sz w:val="8"/>
              </w:rPr>
            </w:pPr>
            <w:r>
              <w:rPr>
                <w:rFonts w:ascii="Calibri" w:hAnsi="Calibri"/>
                <w:spacing w:val="-2"/>
                <w:sz w:val="8"/>
              </w:rPr>
              <w:t>IMAS</w:t>
            </w:r>
            <w:r>
              <w:rPr>
                <w:rFonts w:ascii="Calibri" w:hAnsi="Calibri"/>
                <w:spacing w:val="2"/>
                <w:sz w:val="8"/>
              </w:rPr>
              <w:t> </w:t>
            </w:r>
            <w:r>
              <w:rPr>
                <w:rFonts w:ascii="Calibri" w:hAnsi="Calibri"/>
                <w:spacing w:val="-2"/>
                <w:sz w:val="8"/>
              </w:rPr>
              <w:t>presentó</w:t>
            </w:r>
            <w:r>
              <w:rPr>
                <w:rFonts w:ascii="Calibri" w:hAnsi="Calibri"/>
                <w:spacing w:val="3"/>
                <w:sz w:val="8"/>
              </w:rPr>
              <w:t> </w:t>
            </w:r>
            <w:r>
              <w:rPr>
                <w:rFonts w:ascii="Calibri" w:hAnsi="Calibri"/>
                <w:spacing w:val="-2"/>
                <w:sz w:val="8"/>
              </w:rPr>
              <w:t>casación)</w:t>
            </w:r>
          </w:p>
        </w:tc>
        <w:tc>
          <w:tcPr>
            <w:tcW w:w="1083"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sz w:val="8"/>
              </w:rPr>
            </w:pPr>
          </w:p>
          <w:p>
            <w:pPr>
              <w:pStyle w:val="TableParagraph"/>
              <w:spacing w:before="35"/>
              <w:rPr>
                <w:sz w:val="8"/>
              </w:rPr>
            </w:pPr>
          </w:p>
          <w:p>
            <w:pPr>
              <w:pStyle w:val="TableParagraph"/>
              <w:ind w:right="3"/>
              <w:jc w:val="right"/>
              <w:rPr>
                <w:sz w:val="8"/>
              </w:rPr>
            </w:pPr>
            <w:r>
              <w:rPr>
                <w:rFonts w:ascii="Times New Roman" w:hAnsi="Times New Roman"/>
                <w:sz w:val="8"/>
              </w:rPr>
              <w:t>₡</w:t>
            </w:r>
            <w:r>
              <w:rPr>
                <w:sz w:val="8"/>
              </w:rPr>
              <w:t>38</w:t>
            </w:r>
            <w:r>
              <w:rPr>
                <w:spacing w:val="-1"/>
                <w:sz w:val="8"/>
              </w:rPr>
              <w:t> </w:t>
            </w:r>
            <w:r>
              <w:rPr>
                <w:spacing w:val="-2"/>
                <w:sz w:val="8"/>
              </w:rPr>
              <w:t>568,86</w:t>
            </w:r>
          </w:p>
        </w:tc>
        <w:tc>
          <w:tcPr>
            <w:tcW w:w="1878"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56"/>
              <w:ind w:left="16"/>
              <w:rPr>
                <w:rFonts w:ascii="Calibri" w:hAnsi="Calibri"/>
                <w:sz w:val="8"/>
              </w:rPr>
            </w:pPr>
            <w:r>
              <w:rPr>
                <w:rFonts w:ascii="Calibri" w:hAnsi="Calibri"/>
                <w:sz w:val="8"/>
              </w:rPr>
              <w:t>SENTENCIA</w:t>
            </w:r>
            <w:r>
              <w:rPr>
                <w:rFonts w:ascii="Calibri" w:hAnsi="Calibri"/>
                <w:spacing w:val="-4"/>
                <w:sz w:val="8"/>
              </w:rPr>
              <w:t> </w:t>
            </w:r>
            <w:r>
              <w:rPr>
                <w:rFonts w:ascii="Calibri" w:hAnsi="Calibri"/>
                <w:sz w:val="8"/>
              </w:rPr>
              <w:t>DE</w:t>
            </w:r>
            <w:r>
              <w:rPr>
                <w:rFonts w:ascii="Calibri" w:hAnsi="Calibri"/>
                <w:spacing w:val="-1"/>
                <w:sz w:val="8"/>
              </w:rPr>
              <w:t> </w:t>
            </w:r>
            <w:r>
              <w:rPr>
                <w:rFonts w:ascii="Calibri" w:hAnsi="Calibri"/>
                <w:sz w:val="8"/>
              </w:rPr>
              <w:t>PRIMERA</w:t>
            </w:r>
            <w:r>
              <w:rPr>
                <w:rFonts w:ascii="Calibri" w:hAnsi="Calibri"/>
                <w:spacing w:val="-3"/>
                <w:sz w:val="8"/>
              </w:rPr>
              <w:t> </w:t>
            </w:r>
            <w:r>
              <w:rPr>
                <w:rFonts w:ascii="Calibri" w:hAnsi="Calibri"/>
                <w:sz w:val="8"/>
              </w:rPr>
              <w:t>INSTANCIA</w:t>
            </w:r>
            <w:r>
              <w:rPr>
                <w:rFonts w:ascii="Calibri" w:hAnsi="Calibri"/>
                <w:spacing w:val="-4"/>
                <w:sz w:val="8"/>
              </w:rPr>
              <w:t> </w:t>
            </w:r>
            <w:r>
              <w:rPr>
                <w:rFonts w:ascii="Calibri" w:hAnsi="Calibri"/>
                <w:sz w:val="8"/>
              </w:rPr>
              <w:t>N°</w:t>
            </w:r>
            <w:r>
              <w:rPr>
                <w:rFonts w:ascii="Calibri" w:hAnsi="Calibri"/>
                <w:spacing w:val="-1"/>
                <w:sz w:val="8"/>
              </w:rPr>
              <w:t> </w:t>
            </w:r>
            <w:r>
              <w:rPr>
                <w:rFonts w:ascii="Calibri" w:hAnsi="Calibri"/>
                <w:sz w:val="8"/>
              </w:rPr>
              <w:t>2025002535 </w:t>
            </w:r>
            <w:r>
              <w:rPr>
                <w:rFonts w:ascii="Calibri" w:hAnsi="Calibri"/>
                <w:spacing w:val="-5"/>
                <w:sz w:val="8"/>
              </w:rPr>
              <w:t>del</w:t>
            </w:r>
          </w:p>
          <w:p>
            <w:pPr>
              <w:pStyle w:val="TableParagraph"/>
              <w:spacing w:line="259" w:lineRule="auto" w:before="8"/>
              <w:ind w:left="16" w:right="27"/>
              <w:rPr>
                <w:rFonts w:ascii="Calibri" w:hAnsi="Calibri"/>
                <w:sz w:val="8"/>
              </w:rPr>
            </w:pPr>
            <w:r>
              <w:rPr>
                <w:rFonts w:ascii="Calibri" w:hAnsi="Calibri"/>
                <w:sz w:val="8"/>
              </w:rPr>
              <w:t>05/11/2025:</w:t>
            </w:r>
            <w:r>
              <w:rPr>
                <w:rFonts w:ascii="Calibri" w:hAnsi="Calibri"/>
                <w:spacing w:val="-5"/>
                <w:sz w:val="8"/>
              </w:rPr>
              <w:t> </w:t>
            </w:r>
            <w:r>
              <w:rPr>
                <w:rFonts w:ascii="Calibri" w:hAnsi="Calibri"/>
                <w:sz w:val="8"/>
              </w:rPr>
              <w:t>declara</w:t>
            </w:r>
            <w:r>
              <w:rPr>
                <w:rFonts w:ascii="Calibri" w:hAnsi="Calibri"/>
                <w:spacing w:val="-5"/>
                <w:sz w:val="8"/>
              </w:rPr>
              <w:t> </w:t>
            </w:r>
            <w:r>
              <w:rPr>
                <w:rFonts w:ascii="Calibri" w:hAnsi="Calibri"/>
                <w:sz w:val="8"/>
              </w:rPr>
              <w:t>CON</w:t>
            </w:r>
            <w:r>
              <w:rPr>
                <w:rFonts w:ascii="Calibri" w:hAnsi="Calibri"/>
                <w:spacing w:val="-5"/>
                <w:sz w:val="8"/>
              </w:rPr>
              <w:t> </w:t>
            </w:r>
            <w:r>
              <w:rPr>
                <w:rFonts w:ascii="Calibri" w:hAnsi="Calibri"/>
                <w:sz w:val="8"/>
              </w:rPr>
              <w:t>LUGAR</w:t>
            </w:r>
            <w:r>
              <w:rPr>
                <w:rFonts w:ascii="Calibri" w:hAnsi="Calibri"/>
                <w:spacing w:val="-4"/>
                <w:sz w:val="8"/>
              </w:rPr>
              <w:t> </w:t>
            </w:r>
            <w:r>
              <w:rPr>
                <w:rFonts w:ascii="Calibri" w:hAnsi="Calibri"/>
                <w:sz w:val="8"/>
              </w:rPr>
              <w:t>en</w:t>
            </w:r>
            <w:r>
              <w:rPr>
                <w:rFonts w:ascii="Calibri" w:hAnsi="Calibri"/>
                <w:spacing w:val="-5"/>
                <w:sz w:val="8"/>
              </w:rPr>
              <w:t> </w:t>
            </w:r>
            <w:r>
              <w:rPr>
                <w:rFonts w:ascii="Calibri" w:hAnsi="Calibri"/>
                <w:sz w:val="8"/>
              </w:rPr>
              <w:t>todos</w:t>
            </w:r>
            <w:r>
              <w:rPr>
                <w:rFonts w:ascii="Calibri" w:hAnsi="Calibri"/>
                <w:spacing w:val="-4"/>
                <w:sz w:val="8"/>
              </w:rPr>
              <w:t> </w:t>
            </w:r>
            <w:r>
              <w:rPr>
                <w:rFonts w:ascii="Calibri" w:hAnsi="Calibri"/>
                <w:sz w:val="8"/>
              </w:rPr>
              <w:t>sus</w:t>
            </w:r>
            <w:r>
              <w:rPr>
                <w:rFonts w:ascii="Calibri" w:hAnsi="Calibri"/>
                <w:spacing w:val="-5"/>
                <w:sz w:val="8"/>
              </w:rPr>
              <w:t> </w:t>
            </w:r>
            <w:r>
              <w:rPr>
                <w:rFonts w:ascii="Calibri" w:hAnsi="Calibri"/>
                <w:sz w:val="8"/>
              </w:rPr>
              <w:t>extremos</w:t>
            </w:r>
            <w:r>
              <w:rPr>
                <w:rFonts w:ascii="Calibri" w:hAnsi="Calibri"/>
                <w:spacing w:val="40"/>
                <w:sz w:val="8"/>
              </w:rPr>
              <w:t> </w:t>
            </w:r>
            <w:r>
              <w:rPr>
                <w:rFonts w:ascii="Calibri" w:hAnsi="Calibri"/>
                <w:sz w:val="8"/>
              </w:rPr>
              <w:t>la demanda iniciada por PABLO GONZÁLEZ GONZÁLEZ</w:t>
            </w:r>
            <w:r>
              <w:rPr>
                <w:rFonts w:ascii="Calibri" w:hAnsi="Calibri"/>
                <w:spacing w:val="40"/>
                <w:sz w:val="8"/>
              </w:rPr>
              <w:t> </w:t>
            </w:r>
            <w:r>
              <w:rPr>
                <w:rFonts w:ascii="Calibri" w:hAnsi="Calibri"/>
                <w:sz w:val="8"/>
              </w:rPr>
              <w:t>(No firme IMAS presentó casación).</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spacing w:before="70"/>
              <w:rPr>
                <w:sz w:val="8"/>
              </w:rPr>
            </w:pPr>
          </w:p>
          <w:p>
            <w:pPr>
              <w:pStyle w:val="TableParagraph"/>
              <w:spacing w:line="259" w:lineRule="auto"/>
              <w:ind w:left="242" w:hanging="176"/>
              <w:rPr>
                <w:rFonts w:ascii="Calibri"/>
                <w:sz w:val="8"/>
              </w:rPr>
            </w:pPr>
            <w:r>
              <w:rPr>
                <w:rFonts w:ascii="Calibri"/>
                <w:spacing w:val="-4"/>
                <w:w w:val="105"/>
                <w:sz w:val="8"/>
              </w:rPr>
              <w:t>Provisionado</w:t>
            </w:r>
            <w:r>
              <w:rPr>
                <w:rFonts w:ascii="Calibri"/>
                <w:spacing w:val="-2"/>
                <w:sz w:val="8"/>
              </w:rPr>
              <w:t> </w:t>
            </w:r>
            <w:r>
              <w:rPr>
                <w:rFonts w:ascii="Calibri"/>
                <w:spacing w:val="-4"/>
                <w:w w:val="105"/>
                <w:sz w:val="8"/>
              </w:rPr>
              <w:t>al</w:t>
            </w:r>
            <w:r>
              <w:rPr>
                <w:rFonts w:ascii="Calibri"/>
                <w:spacing w:val="40"/>
                <w:w w:val="105"/>
                <w:sz w:val="8"/>
              </w:rPr>
              <w:t> </w:t>
            </w:r>
            <w:r>
              <w:rPr>
                <w:rFonts w:ascii="Calibri"/>
                <w:spacing w:val="-4"/>
                <w:w w:val="105"/>
                <w:sz w:val="8"/>
              </w:rPr>
              <w:t>70%</w:t>
            </w: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367" w:type="dxa"/>
            <w:vMerge/>
            <w:tcBorders>
              <w:top w:val="nil"/>
              <w:left w:val="single" w:sz="2" w:space="0" w:color="000000"/>
              <w:bottom w:val="nil"/>
            </w:tcBorders>
          </w:tcPr>
          <w:p>
            <w:pPr>
              <w:rPr>
                <w:sz w:val="2"/>
                <w:szCs w:val="2"/>
              </w:rPr>
            </w:pPr>
          </w:p>
        </w:tc>
      </w:tr>
      <w:tr>
        <w:trPr>
          <w:trHeight w:val="137" w:hRule="atLeast"/>
        </w:trPr>
        <w:tc>
          <w:tcPr>
            <w:tcW w:w="355" w:type="dxa"/>
            <w:vMerge/>
            <w:tcBorders>
              <w:top w:val="nil"/>
              <w:bottom w:val="nil"/>
              <w:right w:val="single" w:sz="2" w:space="0" w:color="000000"/>
            </w:tcBorders>
          </w:tcPr>
          <w:p>
            <w:pPr>
              <w:rPr>
                <w:sz w:val="2"/>
                <w:szCs w:val="2"/>
              </w:rPr>
            </w:pPr>
          </w:p>
        </w:tc>
        <w:tc>
          <w:tcPr>
            <w:tcW w:w="1344" w:type="dxa"/>
            <w:gridSpan w:val="2"/>
            <w:tcBorders>
              <w:top w:val="single" w:sz="2" w:space="0" w:color="000000"/>
              <w:left w:val="single" w:sz="2" w:space="0" w:color="000000"/>
              <w:right w:val="single" w:sz="2" w:space="0" w:color="000000"/>
            </w:tcBorders>
            <w:shd w:val="clear" w:color="auto" w:fill="E8E8E8"/>
          </w:tcPr>
          <w:p>
            <w:pPr>
              <w:pStyle w:val="TableParagraph"/>
              <w:spacing w:line="112" w:lineRule="exact" w:before="6"/>
              <w:ind w:left="19"/>
              <w:rPr>
                <w:rFonts w:ascii="Calibri"/>
                <w:sz w:val="11"/>
              </w:rPr>
            </w:pPr>
            <w:r>
              <w:rPr>
                <w:rFonts w:ascii="Calibri"/>
                <w:sz w:val="11"/>
              </w:rPr>
              <w:t>TOTAL</w:t>
            </w:r>
            <w:r>
              <w:rPr>
                <w:rFonts w:ascii="Calibri"/>
                <w:spacing w:val="8"/>
                <w:sz w:val="11"/>
              </w:rPr>
              <w:t> </w:t>
            </w:r>
            <w:r>
              <w:rPr>
                <w:rFonts w:ascii="Calibri"/>
                <w:sz w:val="11"/>
              </w:rPr>
              <w:t>PROCESOS</w:t>
            </w:r>
            <w:r>
              <w:rPr>
                <w:rFonts w:ascii="Calibri"/>
                <w:spacing w:val="6"/>
                <w:sz w:val="11"/>
              </w:rPr>
              <w:t> </w:t>
            </w:r>
            <w:r>
              <w:rPr>
                <w:rFonts w:ascii="Calibri"/>
                <w:spacing w:val="-4"/>
                <w:sz w:val="11"/>
              </w:rPr>
              <w:t>IMAS</w:t>
            </w:r>
          </w:p>
        </w:tc>
        <w:tc>
          <w:tcPr>
            <w:tcW w:w="105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8"/>
              </w:rPr>
            </w:pPr>
          </w:p>
        </w:tc>
        <w:tc>
          <w:tcPr>
            <w:tcW w:w="50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8"/>
              </w:rPr>
            </w:pPr>
          </w:p>
        </w:tc>
        <w:tc>
          <w:tcPr>
            <w:tcW w:w="647"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8"/>
              </w:rPr>
            </w:pPr>
          </w:p>
        </w:tc>
        <w:tc>
          <w:tcPr>
            <w:tcW w:w="877"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8"/>
              </w:rPr>
            </w:pPr>
          </w:p>
        </w:tc>
        <w:tc>
          <w:tcPr>
            <w:tcW w:w="1083"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spacing w:line="110" w:lineRule="exact" w:before="8"/>
              <w:ind w:right="6"/>
              <w:jc w:val="right"/>
              <w:rPr>
                <w:sz w:val="11"/>
              </w:rPr>
            </w:pPr>
            <w:r>
              <w:rPr>
                <w:rFonts w:ascii="Times New Roman" w:hAnsi="Times New Roman"/>
                <w:sz w:val="11"/>
              </w:rPr>
              <w:t>₡</w:t>
            </w:r>
            <w:r>
              <w:rPr>
                <w:sz w:val="11"/>
              </w:rPr>
              <w:t>844</w:t>
            </w:r>
            <w:r>
              <w:rPr>
                <w:spacing w:val="-1"/>
                <w:sz w:val="11"/>
              </w:rPr>
              <w:t> </w:t>
            </w:r>
            <w:r>
              <w:rPr>
                <w:spacing w:val="-2"/>
                <w:sz w:val="11"/>
              </w:rPr>
              <w:t>781,06</w:t>
            </w:r>
          </w:p>
        </w:tc>
        <w:tc>
          <w:tcPr>
            <w:tcW w:w="1878" w:type="dxa"/>
            <w:tcBorders>
              <w:top w:val="single" w:sz="2" w:space="0" w:color="000000"/>
              <w:left w:val="single" w:sz="2" w:space="0" w:color="000000"/>
              <w:bottom w:val="single" w:sz="2" w:space="0" w:color="000000"/>
              <w:right w:val="single" w:sz="2" w:space="0" w:color="000000"/>
            </w:tcBorders>
            <w:shd w:val="clear" w:color="auto" w:fill="E8E8E8"/>
          </w:tcPr>
          <w:p>
            <w:pPr>
              <w:pStyle w:val="TableParagraph"/>
              <w:rPr>
                <w:rFonts w:ascii="Times New Roman"/>
                <w:sz w:val="8"/>
              </w:rPr>
            </w:pP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632"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8"/>
              </w:rPr>
            </w:pPr>
          </w:p>
        </w:tc>
        <w:tc>
          <w:tcPr>
            <w:tcW w:w="367" w:type="dxa"/>
            <w:vMerge/>
            <w:tcBorders>
              <w:top w:val="nil"/>
              <w:left w:val="single" w:sz="2" w:space="0" w:color="000000"/>
              <w:bottom w:val="nil"/>
            </w:tcBorders>
          </w:tcPr>
          <w:p>
            <w:pPr>
              <w:rPr>
                <w:sz w:val="2"/>
                <w:szCs w:val="2"/>
              </w:rPr>
            </w:pPr>
          </w:p>
        </w:tc>
      </w:tr>
      <w:tr>
        <w:trPr>
          <w:trHeight w:val="6164" w:hRule="atLeast"/>
        </w:trPr>
        <w:tc>
          <w:tcPr>
            <w:tcW w:w="9381" w:type="dxa"/>
            <w:gridSpan w:val="12"/>
            <w:tcBorders>
              <w:top w:val="nil"/>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42"/>
              <w:rPr>
                <w:sz w:val="22"/>
              </w:rPr>
            </w:pPr>
          </w:p>
          <w:p>
            <w:pPr>
              <w:pStyle w:val="TableParagraph"/>
              <w:ind w:left="69" w:right="57"/>
              <w:jc w:val="both"/>
              <w:rPr>
                <w:sz w:val="22"/>
              </w:rPr>
            </w:pPr>
            <w:r>
              <w:rPr>
                <w:sz w:val="22"/>
              </w:rPr>
              <w:t>Mediante oficio IMAS-PE-AJ-0264-2025, la Asesoría Jurídica General, remite comunica que mediante resolución Res: 2025-00519 de las diecisiete horas diez minutos del veintiocho de febrero de dos mil veinticinco,</w:t>
            </w:r>
            <w:r>
              <w:rPr>
                <w:spacing w:val="-3"/>
                <w:sz w:val="22"/>
              </w:rPr>
              <w:t> </w:t>
            </w:r>
            <w:r>
              <w:rPr>
                <w:sz w:val="22"/>
              </w:rPr>
              <w:t>la</w:t>
            </w:r>
            <w:r>
              <w:rPr>
                <w:spacing w:val="-4"/>
                <w:sz w:val="22"/>
              </w:rPr>
              <w:t> </w:t>
            </w:r>
            <w:r>
              <w:rPr>
                <w:sz w:val="22"/>
              </w:rPr>
              <w:t>SALA</w:t>
            </w:r>
            <w:r>
              <w:rPr>
                <w:spacing w:val="-6"/>
                <w:sz w:val="22"/>
              </w:rPr>
              <w:t> </w:t>
            </w:r>
            <w:r>
              <w:rPr>
                <w:sz w:val="22"/>
              </w:rPr>
              <w:t>SEGUNDA</w:t>
            </w:r>
            <w:r>
              <w:rPr>
                <w:spacing w:val="-3"/>
                <w:sz w:val="22"/>
              </w:rPr>
              <w:t> </w:t>
            </w:r>
            <w:r>
              <w:rPr>
                <w:sz w:val="22"/>
              </w:rPr>
              <w:t>DE</w:t>
            </w:r>
            <w:r>
              <w:rPr>
                <w:spacing w:val="-3"/>
                <w:sz w:val="22"/>
              </w:rPr>
              <w:t> </w:t>
            </w:r>
            <w:r>
              <w:rPr>
                <w:sz w:val="22"/>
              </w:rPr>
              <w:t>LA</w:t>
            </w:r>
            <w:r>
              <w:rPr>
                <w:spacing w:val="-6"/>
                <w:sz w:val="22"/>
              </w:rPr>
              <w:t> </w:t>
            </w:r>
            <w:r>
              <w:rPr>
                <w:sz w:val="22"/>
              </w:rPr>
              <w:t>CORTE</w:t>
            </w:r>
            <w:r>
              <w:rPr>
                <w:spacing w:val="-5"/>
                <w:sz w:val="22"/>
              </w:rPr>
              <w:t> </w:t>
            </w:r>
            <w:r>
              <w:rPr>
                <w:sz w:val="22"/>
              </w:rPr>
              <w:t>SUPREMA</w:t>
            </w:r>
            <w:r>
              <w:rPr>
                <w:spacing w:val="-5"/>
                <w:sz w:val="22"/>
              </w:rPr>
              <w:t> </w:t>
            </w:r>
            <w:r>
              <w:rPr>
                <w:sz w:val="22"/>
              </w:rPr>
              <w:t>DE</w:t>
            </w:r>
            <w:r>
              <w:rPr>
                <w:spacing w:val="-4"/>
                <w:sz w:val="22"/>
              </w:rPr>
              <w:t> </w:t>
            </w:r>
            <w:r>
              <w:rPr>
                <w:sz w:val="22"/>
              </w:rPr>
              <w:t>JUSTICIA,</w:t>
            </w:r>
            <w:r>
              <w:rPr>
                <w:spacing w:val="-3"/>
                <w:sz w:val="22"/>
              </w:rPr>
              <w:t> </w:t>
            </w:r>
            <w:r>
              <w:rPr>
                <w:sz w:val="22"/>
              </w:rPr>
              <w:t>dentro</w:t>
            </w:r>
            <w:r>
              <w:rPr>
                <w:spacing w:val="-2"/>
                <w:sz w:val="22"/>
              </w:rPr>
              <w:t> </w:t>
            </w:r>
            <w:r>
              <w:rPr>
                <w:sz w:val="22"/>
              </w:rPr>
              <w:t>del</w:t>
            </w:r>
            <w:r>
              <w:rPr>
                <w:spacing w:val="-3"/>
                <w:sz w:val="22"/>
              </w:rPr>
              <w:t> </w:t>
            </w:r>
            <w:r>
              <w:rPr>
                <w:sz w:val="22"/>
              </w:rPr>
              <w:t>expediente</w:t>
            </w:r>
            <w:r>
              <w:rPr>
                <w:spacing w:val="-3"/>
                <w:sz w:val="22"/>
              </w:rPr>
              <w:t> </w:t>
            </w:r>
            <w:r>
              <w:rPr>
                <w:sz w:val="22"/>
              </w:rPr>
              <w:t>16-000070-0639-LA,</w:t>
            </w:r>
            <w:r>
              <w:rPr>
                <w:spacing w:val="3"/>
                <w:sz w:val="22"/>
              </w:rPr>
              <w:t> </w:t>
            </w:r>
            <w:r>
              <w:rPr>
                <w:sz w:val="22"/>
              </w:rPr>
              <w:t>promovido</w:t>
            </w:r>
            <w:r>
              <w:rPr>
                <w:spacing w:val="5"/>
                <w:sz w:val="22"/>
              </w:rPr>
              <w:t> </w:t>
            </w:r>
            <w:r>
              <w:rPr>
                <w:sz w:val="22"/>
              </w:rPr>
              <w:t>por</w:t>
            </w:r>
            <w:r>
              <w:rPr>
                <w:spacing w:val="4"/>
                <w:sz w:val="22"/>
              </w:rPr>
              <w:t> </w:t>
            </w:r>
            <w:r>
              <w:rPr>
                <w:sz w:val="22"/>
              </w:rPr>
              <w:t>varios</w:t>
            </w:r>
            <w:r>
              <w:rPr>
                <w:spacing w:val="4"/>
                <w:sz w:val="22"/>
              </w:rPr>
              <w:t> </w:t>
            </w:r>
            <w:r>
              <w:rPr>
                <w:sz w:val="22"/>
              </w:rPr>
              <w:t>funcionarios,</w:t>
            </w:r>
            <w:r>
              <w:rPr>
                <w:spacing w:val="5"/>
                <w:sz w:val="22"/>
              </w:rPr>
              <w:t> </w:t>
            </w:r>
            <w:r>
              <w:rPr>
                <w:sz w:val="22"/>
              </w:rPr>
              <w:t>de</w:t>
            </w:r>
            <w:r>
              <w:rPr>
                <w:spacing w:val="4"/>
                <w:sz w:val="22"/>
              </w:rPr>
              <w:t> </w:t>
            </w:r>
            <w:r>
              <w:rPr>
                <w:sz w:val="22"/>
              </w:rPr>
              <w:t>Empresas</w:t>
            </w:r>
            <w:r>
              <w:rPr>
                <w:spacing w:val="3"/>
                <w:sz w:val="22"/>
              </w:rPr>
              <w:t> </w:t>
            </w:r>
            <w:r>
              <w:rPr>
                <w:sz w:val="22"/>
              </w:rPr>
              <w:t>Comerciales,</w:t>
            </w:r>
            <w:r>
              <w:rPr>
                <w:spacing w:val="6"/>
                <w:sz w:val="22"/>
              </w:rPr>
              <w:t> </w:t>
            </w:r>
            <w:r>
              <w:rPr>
                <w:sz w:val="22"/>
              </w:rPr>
              <w:t>contra</w:t>
            </w:r>
            <w:r>
              <w:rPr>
                <w:spacing w:val="2"/>
                <w:sz w:val="22"/>
              </w:rPr>
              <w:t> </w:t>
            </w:r>
            <w:r>
              <w:rPr>
                <w:sz w:val="22"/>
              </w:rPr>
              <w:t>el</w:t>
            </w:r>
            <w:r>
              <w:rPr>
                <w:spacing w:val="5"/>
                <w:sz w:val="22"/>
              </w:rPr>
              <w:t> </w:t>
            </w:r>
            <w:r>
              <w:rPr>
                <w:spacing w:val="-2"/>
                <w:sz w:val="22"/>
              </w:rPr>
              <w:t>INSTITUTO</w:t>
            </w:r>
          </w:p>
          <w:p>
            <w:pPr>
              <w:pStyle w:val="TableParagraph"/>
              <w:spacing w:line="231" w:lineRule="exact"/>
              <w:ind w:left="69"/>
              <w:jc w:val="both"/>
              <w:rPr>
                <w:sz w:val="22"/>
              </w:rPr>
            </w:pPr>
            <w:r>
              <w:rPr>
                <w:sz w:val="22"/>
              </w:rPr>
              <w:t>MIXTO</w:t>
            </w:r>
            <w:r>
              <w:rPr>
                <w:spacing w:val="-16"/>
                <w:sz w:val="22"/>
              </w:rPr>
              <w:t> </w:t>
            </w:r>
            <w:r>
              <w:rPr>
                <w:sz w:val="22"/>
              </w:rPr>
              <w:t>DE</w:t>
            </w:r>
            <w:r>
              <w:rPr>
                <w:spacing w:val="-14"/>
                <w:sz w:val="22"/>
              </w:rPr>
              <w:t> </w:t>
            </w:r>
            <w:r>
              <w:rPr>
                <w:sz w:val="22"/>
              </w:rPr>
              <w:t>AYUDA</w:t>
            </w:r>
            <w:r>
              <w:rPr>
                <w:spacing w:val="-13"/>
                <w:sz w:val="22"/>
              </w:rPr>
              <w:t> </w:t>
            </w:r>
            <w:r>
              <w:rPr>
                <w:sz w:val="22"/>
              </w:rPr>
              <w:t>SOCIAL</w:t>
            </w:r>
            <w:r>
              <w:rPr>
                <w:spacing w:val="-13"/>
                <w:sz w:val="22"/>
              </w:rPr>
              <w:t> </w:t>
            </w:r>
            <w:r>
              <w:rPr>
                <w:sz w:val="22"/>
              </w:rPr>
              <w:t>(IMAS),</w:t>
            </w:r>
            <w:r>
              <w:rPr>
                <w:spacing w:val="-13"/>
                <w:sz w:val="22"/>
              </w:rPr>
              <w:t> </w:t>
            </w:r>
            <w:r>
              <w:rPr>
                <w:sz w:val="22"/>
              </w:rPr>
              <w:t>y</w:t>
            </w:r>
            <w:r>
              <w:rPr>
                <w:spacing w:val="-14"/>
                <w:sz w:val="22"/>
              </w:rPr>
              <w:t> </w:t>
            </w:r>
            <w:r>
              <w:rPr>
                <w:sz w:val="22"/>
              </w:rPr>
              <w:t>resuelven</w:t>
            </w:r>
            <w:r>
              <w:rPr>
                <w:spacing w:val="-14"/>
                <w:sz w:val="22"/>
              </w:rPr>
              <w:t> </w:t>
            </w:r>
            <w:r>
              <w:rPr>
                <w:sz w:val="22"/>
              </w:rPr>
              <w:t>declarar</w:t>
            </w:r>
            <w:r>
              <w:rPr>
                <w:spacing w:val="-13"/>
                <w:sz w:val="22"/>
              </w:rPr>
              <w:t> </w:t>
            </w:r>
            <w:r>
              <w:rPr>
                <w:sz w:val="22"/>
              </w:rPr>
              <w:t>parcialmente</w:t>
            </w:r>
            <w:r>
              <w:rPr>
                <w:spacing w:val="-14"/>
                <w:sz w:val="22"/>
              </w:rPr>
              <w:t> </w:t>
            </w:r>
            <w:r>
              <w:rPr>
                <w:sz w:val="22"/>
              </w:rPr>
              <w:t>con</w:t>
            </w:r>
            <w:r>
              <w:rPr>
                <w:spacing w:val="-12"/>
                <w:sz w:val="22"/>
              </w:rPr>
              <w:t> </w:t>
            </w:r>
            <w:r>
              <w:rPr>
                <w:sz w:val="22"/>
              </w:rPr>
              <w:t>lugar</w:t>
            </w:r>
            <w:r>
              <w:rPr>
                <w:spacing w:val="-14"/>
                <w:sz w:val="22"/>
              </w:rPr>
              <w:t> </w:t>
            </w:r>
            <w:r>
              <w:rPr>
                <w:sz w:val="22"/>
              </w:rPr>
              <w:t>el</w:t>
            </w:r>
            <w:r>
              <w:rPr>
                <w:spacing w:val="-13"/>
                <w:sz w:val="22"/>
              </w:rPr>
              <w:t> </w:t>
            </w:r>
            <w:r>
              <w:rPr>
                <w:sz w:val="22"/>
              </w:rPr>
              <w:t>recurso</w:t>
            </w:r>
            <w:r>
              <w:rPr>
                <w:spacing w:val="-12"/>
                <w:sz w:val="22"/>
              </w:rPr>
              <w:t> </w:t>
            </w:r>
            <w:r>
              <w:rPr>
                <w:spacing w:val="-2"/>
                <w:sz w:val="22"/>
              </w:rPr>
              <w:t>interpuesto</w:t>
            </w:r>
          </w:p>
        </w:tc>
      </w:tr>
    </w:tbl>
    <w:p>
      <w:pPr>
        <w:pStyle w:val="TableParagraph"/>
        <w:spacing w:after="0" w:line="231" w:lineRule="exact"/>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2832">
                <wp:simplePos x="0" y="0"/>
                <wp:positionH relativeFrom="page">
                  <wp:posOffset>9525</wp:posOffset>
                </wp:positionH>
                <wp:positionV relativeFrom="page">
                  <wp:posOffset>297208</wp:posOffset>
                </wp:positionV>
                <wp:extent cx="7762875" cy="9748520"/>
                <wp:effectExtent l="0" t="0" r="0" b="0"/>
                <wp:wrapNone/>
                <wp:docPr id="408" name="Group 408"/>
                <wp:cNvGraphicFramePr>
                  <a:graphicFrameLocks/>
                </wp:cNvGraphicFramePr>
                <a:graphic>
                  <a:graphicData uri="http://schemas.microsoft.com/office/word/2010/wordprocessingGroup">
                    <wpg:wgp>
                      <wpg:cNvPr id="408" name="Group 408"/>
                      <wpg:cNvGrpSpPr/>
                      <wpg:grpSpPr>
                        <a:xfrm>
                          <a:off x="0" y="0"/>
                          <a:ext cx="7762875" cy="9748520"/>
                          <a:chExt cx="7762875" cy="9748520"/>
                        </a:xfrm>
                      </wpg:grpSpPr>
                      <pic:pic>
                        <pic:nvPicPr>
                          <pic:cNvPr id="409" name="Image 409"/>
                          <pic:cNvPicPr/>
                        </pic:nvPicPr>
                        <pic:blipFill>
                          <a:blip r:embed="rId5" cstate="print"/>
                          <a:stretch>
                            <a:fillRect/>
                          </a:stretch>
                        </pic:blipFill>
                        <pic:spPr>
                          <a:xfrm>
                            <a:off x="0" y="0"/>
                            <a:ext cx="7762874" cy="9748489"/>
                          </a:xfrm>
                          <a:prstGeom prst="rect">
                            <a:avLst/>
                          </a:prstGeom>
                        </pic:spPr>
                      </pic:pic>
                      <wps:wsp>
                        <wps:cNvPr id="410" name="Graphic 410"/>
                        <wps:cNvSpPr/>
                        <wps:spPr>
                          <a:xfrm>
                            <a:off x="1053007" y="990837"/>
                            <a:ext cx="5978525" cy="7843520"/>
                          </a:xfrm>
                          <a:custGeom>
                            <a:avLst/>
                            <a:gdLst/>
                            <a:ahLst/>
                            <a:cxnLst/>
                            <a:rect l="l" t="t" r="r" b="b"/>
                            <a:pathLst>
                              <a:path w="5978525" h="7843520">
                                <a:moveTo>
                                  <a:pt x="21336" y="132651"/>
                                </a:moveTo>
                                <a:lnTo>
                                  <a:pt x="15240" y="132651"/>
                                </a:lnTo>
                                <a:lnTo>
                                  <a:pt x="15240" y="7837360"/>
                                </a:lnTo>
                                <a:lnTo>
                                  <a:pt x="21336" y="7837360"/>
                                </a:lnTo>
                                <a:lnTo>
                                  <a:pt x="21336" y="132651"/>
                                </a:lnTo>
                                <a:close/>
                              </a:path>
                              <a:path w="5978525" h="7843520">
                                <a:moveTo>
                                  <a:pt x="5649214" y="0"/>
                                </a:moveTo>
                                <a:lnTo>
                                  <a:pt x="0" y="0"/>
                                </a:lnTo>
                                <a:lnTo>
                                  <a:pt x="0" y="9131"/>
                                </a:lnTo>
                                <a:lnTo>
                                  <a:pt x="5649214" y="9131"/>
                                </a:lnTo>
                                <a:lnTo>
                                  <a:pt x="5649214" y="0"/>
                                </a:lnTo>
                                <a:close/>
                              </a:path>
                              <a:path w="5978525" h="7843520">
                                <a:moveTo>
                                  <a:pt x="5978347" y="7837373"/>
                                </a:moveTo>
                                <a:lnTo>
                                  <a:pt x="5972302" y="7837373"/>
                                </a:lnTo>
                                <a:lnTo>
                                  <a:pt x="21336" y="7837373"/>
                                </a:lnTo>
                                <a:lnTo>
                                  <a:pt x="15240" y="7837373"/>
                                </a:lnTo>
                                <a:lnTo>
                                  <a:pt x="15240" y="7843456"/>
                                </a:lnTo>
                                <a:lnTo>
                                  <a:pt x="21336" y="7843456"/>
                                </a:lnTo>
                                <a:lnTo>
                                  <a:pt x="5972251" y="7843456"/>
                                </a:lnTo>
                                <a:lnTo>
                                  <a:pt x="5978347" y="7843456"/>
                                </a:lnTo>
                                <a:lnTo>
                                  <a:pt x="5978347" y="7837373"/>
                                </a:lnTo>
                                <a:close/>
                              </a:path>
                              <a:path w="5978525" h="7843520">
                                <a:moveTo>
                                  <a:pt x="5978347" y="132651"/>
                                </a:moveTo>
                                <a:lnTo>
                                  <a:pt x="5972251" y="132651"/>
                                </a:lnTo>
                                <a:lnTo>
                                  <a:pt x="5972251" y="7837360"/>
                                </a:lnTo>
                                <a:lnTo>
                                  <a:pt x="5978347" y="7837360"/>
                                </a:lnTo>
                                <a:lnTo>
                                  <a:pt x="5978347" y="132651"/>
                                </a:lnTo>
                                <a:close/>
                              </a:path>
                              <a:path w="5978525" h="7843520">
                                <a:moveTo>
                                  <a:pt x="5978347" y="126479"/>
                                </a:moveTo>
                                <a:lnTo>
                                  <a:pt x="5972302" y="126479"/>
                                </a:lnTo>
                                <a:lnTo>
                                  <a:pt x="21336" y="126479"/>
                                </a:lnTo>
                                <a:lnTo>
                                  <a:pt x="15240" y="126479"/>
                                </a:lnTo>
                                <a:lnTo>
                                  <a:pt x="15240" y="132575"/>
                                </a:lnTo>
                                <a:lnTo>
                                  <a:pt x="21336" y="132575"/>
                                </a:lnTo>
                                <a:lnTo>
                                  <a:pt x="5972251" y="132575"/>
                                </a:lnTo>
                                <a:lnTo>
                                  <a:pt x="5978347" y="132575"/>
                                </a:lnTo>
                                <a:lnTo>
                                  <a:pt x="5978347"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3648" id="docshapegroup387" coordorigin="15,468" coordsize="12225,15352">
                <v:shape style="position:absolute;left:15;top:468;width:12225;height:15352" type="#_x0000_t75" id="docshape388" stroked="false">
                  <v:imagedata r:id="rId5" o:title=""/>
                </v:shape>
                <v:shape style="position:absolute;left:1673;top:2028;width:9415;height:12352" id="docshape389" coordorigin="1673,2028" coordsize="9415,12352" path="m1707,2237l1697,2237,1697,14371,1707,14371,1707,2237xm10570,2028l1673,2028,1673,2043,10570,2043,10570,2028xm11088,14371l11078,14371,11078,14371,1707,14371,1697,14371,1697,14380,1707,14380,11078,14380,11078,14380,11088,14380,11088,14371xm11088,2237l11078,2237,11078,14371,11088,14371,11088,2237xm11088,2228l11078,2228,11078,2228,1707,2228,1697,2228,1697,2237,1707,2237,11078,2237,11078,2237,11088,2237,11088,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84</w:t>
      </w:r>
    </w:p>
    <w:p>
      <w:pPr>
        <w:pStyle w:val="BodyText"/>
        <w:spacing w:before="227"/>
        <w:ind w:left="691" w:right="504"/>
        <w:jc w:val="both"/>
      </w:pPr>
      <w:r>
        <w:rPr/>
        <w:t>por las partes y como consecuencia se anula la sentencia de primera instancia dictada por el Juzgado de Trabajo del Primer Circuito Judicial de Alajuela que había declarado sin lugar la demanda y condenado a los</w:t>
      </w:r>
      <w:r>
        <w:rPr>
          <w:spacing w:val="-5"/>
        </w:rPr>
        <w:t> </w:t>
      </w:r>
      <w:r>
        <w:rPr/>
        <w:t>y</w:t>
      </w:r>
      <w:r>
        <w:rPr>
          <w:spacing w:val="-7"/>
        </w:rPr>
        <w:t> </w:t>
      </w:r>
      <w:r>
        <w:rPr/>
        <w:t>las</w:t>
      </w:r>
      <w:r>
        <w:rPr>
          <w:spacing w:val="-5"/>
        </w:rPr>
        <w:t> </w:t>
      </w:r>
      <w:r>
        <w:rPr/>
        <w:t>accionantes</w:t>
      </w:r>
      <w:r>
        <w:rPr>
          <w:spacing w:val="-5"/>
        </w:rPr>
        <w:t> </w:t>
      </w:r>
      <w:r>
        <w:rPr/>
        <w:t>al</w:t>
      </w:r>
      <w:r>
        <w:rPr>
          <w:spacing w:val="-7"/>
        </w:rPr>
        <w:t> </w:t>
      </w:r>
      <w:r>
        <w:rPr/>
        <w:t>pago</w:t>
      </w:r>
      <w:r>
        <w:rPr>
          <w:spacing w:val="-10"/>
        </w:rPr>
        <w:t> </w:t>
      </w:r>
      <w:r>
        <w:rPr/>
        <w:t>de</w:t>
      </w:r>
      <w:r>
        <w:rPr>
          <w:spacing w:val="-8"/>
        </w:rPr>
        <w:t> </w:t>
      </w:r>
      <w:r>
        <w:rPr/>
        <w:t>ambas</w:t>
      </w:r>
      <w:r>
        <w:rPr>
          <w:spacing w:val="-7"/>
        </w:rPr>
        <w:t> </w:t>
      </w:r>
      <w:r>
        <w:rPr/>
        <w:t>costas</w:t>
      </w:r>
      <w:r>
        <w:rPr>
          <w:spacing w:val="-8"/>
        </w:rPr>
        <w:t> </w:t>
      </w:r>
      <w:r>
        <w:rPr/>
        <w:t>y</w:t>
      </w:r>
      <w:r>
        <w:rPr>
          <w:spacing w:val="-7"/>
        </w:rPr>
        <w:t> </w:t>
      </w:r>
      <w:r>
        <w:rPr/>
        <w:t>se</w:t>
      </w:r>
      <w:r>
        <w:rPr>
          <w:spacing w:val="-7"/>
        </w:rPr>
        <w:t> </w:t>
      </w:r>
      <w:r>
        <w:rPr/>
        <w:t>acoge</w:t>
      </w:r>
      <w:r>
        <w:rPr>
          <w:spacing w:val="-7"/>
        </w:rPr>
        <w:t> </w:t>
      </w:r>
      <w:r>
        <w:rPr/>
        <w:t>la</w:t>
      </w:r>
      <w:r>
        <w:rPr>
          <w:spacing w:val="-7"/>
        </w:rPr>
        <w:t> </w:t>
      </w:r>
      <w:r>
        <w:rPr/>
        <w:t>demanda</w:t>
      </w:r>
      <w:r>
        <w:rPr>
          <w:spacing w:val="-7"/>
        </w:rPr>
        <w:t> </w:t>
      </w:r>
      <w:r>
        <w:rPr/>
        <w:t>y</w:t>
      </w:r>
      <w:r>
        <w:rPr>
          <w:spacing w:val="-10"/>
        </w:rPr>
        <w:t> </w:t>
      </w:r>
      <w:r>
        <w:rPr/>
        <w:t>se</w:t>
      </w:r>
      <w:r>
        <w:rPr>
          <w:spacing w:val="-7"/>
        </w:rPr>
        <w:t> </w:t>
      </w:r>
      <w:r>
        <w:rPr/>
        <w:t>condena</w:t>
      </w:r>
      <w:r>
        <w:rPr>
          <w:spacing w:val="-9"/>
        </w:rPr>
        <w:t> </w:t>
      </w:r>
      <w:r>
        <w:rPr/>
        <w:t>a</w:t>
      </w:r>
      <w:r>
        <w:rPr>
          <w:spacing w:val="-7"/>
        </w:rPr>
        <w:t> </w:t>
      </w:r>
      <w:r>
        <w:rPr/>
        <w:t>la</w:t>
      </w:r>
      <w:r>
        <w:rPr>
          <w:spacing w:val="-10"/>
        </w:rPr>
        <w:t> </w:t>
      </w:r>
      <w:r>
        <w:rPr/>
        <w:t>accionada</w:t>
      </w:r>
      <w:r>
        <w:rPr>
          <w:spacing w:val="-7"/>
        </w:rPr>
        <w:t> </w:t>
      </w:r>
      <w:r>
        <w:rPr/>
        <w:t>a</w:t>
      </w:r>
      <w:r>
        <w:rPr>
          <w:spacing w:val="-7"/>
        </w:rPr>
        <w:t> </w:t>
      </w:r>
      <w:r>
        <w:rPr/>
        <w:t>reconocer a</w:t>
      </w:r>
      <w:r>
        <w:rPr>
          <w:spacing w:val="-7"/>
        </w:rPr>
        <w:t> </w:t>
      </w:r>
      <w:r>
        <w:rPr/>
        <w:t>las</w:t>
      </w:r>
      <w:r>
        <w:rPr>
          <w:spacing w:val="-5"/>
        </w:rPr>
        <w:t> </w:t>
      </w:r>
      <w:r>
        <w:rPr/>
        <w:t>partes</w:t>
      </w:r>
      <w:r>
        <w:rPr>
          <w:spacing w:val="-5"/>
        </w:rPr>
        <w:t> </w:t>
      </w:r>
      <w:r>
        <w:rPr/>
        <w:t>accionantes</w:t>
      </w:r>
      <w:r>
        <w:rPr>
          <w:spacing w:val="-5"/>
        </w:rPr>
        <w:t> </w:t>
      </w:r>
      <w:r>
        <w:rPr/>
        <w:t>el</w:t>
      </w:r>
      <w:r>
        <w:rPr>
          <w:spacing w:val="-7"/>
        </w:rPr>
        <w:t> </w:t>
      </w:r>
      <w:r>
        <w:rPr/>
        <w:t>pago</w:t>
      </w:r>
      <w:r>
        <w:rPr>
          <w:spacing w:val="-5"/>
        </w:rPr>
        <w:t> </w:t>
      </w:r>
      <w:r>
        <w:rPr/>
        <w:t>de</w:t>
      </w:r>
      <w:r>
        <w:rPr>
          <w:spacing w:val="-8"/>
        </w:rPr>
        <w:t> </w:t>
      </w:r>
      <w:r>
        <w:rPr/>
        <w:t>comisiones</w:t>
      </w:r>
      <w:r>
        <w:rPr>
          <w:spacing w:val="-5"/>
        </w:rPr>
        <w:t> </w:t>
      </w:r>
      <w:r>
        <w:rPr/>
        <w:t>sobre</w:t>
      </w:r>
      <w:r>
        <w:rPr>
          <w:spacing w:val="-8"/>
        </w:rPr>
        <w:t> </w:t>
      </w:r>
      <w:r>
        <w:rPr/>
        <w:t>la</w:t>
      </w:r>
      <w:r>
        <w:rPr>
          <w:spacing w:val="-7"/>
        </w:rPr>
        <w:t> </w:t>
      </w:r>
      <w:r>
        <w:rPr/>
        <w:t>base</w:t>
      </w:r>
      <w:r>
        <w:rPr>
          <w:spacing w:val="-7"/>
        </w:rPr>
        <w:t> </w:t>
      </w:r>
      <w:r>
        <w:rPr/>
        <w:t>de</w:t>
      </w:r>
      <w:r>
        <w:rPr>
          <w:spacing w:val="-8"/>
        </w:rPr>
        <w:t> </w:t>
      </w:r>
      <w:r>
        <w:rPr/>
        <w:t>las</w:t>
      </w:r>
      <w:r>
        <w:rPr>
          <w:spacing w:val="-5"/>
        </w:rPr>
        <w:t> </w:t>
      </w:r>
      <w:r>
        <w:rPr/>
        <w:t>ventas</w:t>
      </w:r>
      <w:r>
        <w:rPr>
          <w:spacing w:val="-5"/>
        </w:rPr>
        <w:t> </w:t>
      </w:r>
      <w:r>
        <w:rPr/>
        <w:t>brutas,</w:t>
      </w:r>
      <w:r>
        <w:rPr>
          <w:spacing w:val="-6"/>
        </w:rPr>
        <w:t> </w:t>
      </w:r>
      <w:r>
        <w:rPr/>
        <w:t>cuando</w:t>
      </w:r>
      <w:r>
        <w:rPr>
          <w:spacing w:val="-6"/>
        </w:rPr>
        <w:t> </w:t>
      </w:r>
      <w:r>
        <w:rPr/>
        <w:t>se</w:t>
      </w:r>
      <w:r>
        <w:rPr>
          <w:spacing w:val="-7"/>
        </w:rPr>
        <w:t> </w:t>
      </w:r>
      <w:r>
        <w:rPr/>
        <w:t>haya</w:t>
      </w:r>
      <w:r>
        <w:rPr>
          <w:spacing w:val="-7"/>
        </w:rPr>
        <w:t> </w:t>
      </w:r>
      <w:r>
        <w:rPr/>
        <w:t>pactado</w:t>
      </w:r>
      <w:r>
        <w:rPr>
          <w:spacing w:val="-6"/>
        </w:rPr>
        <w:t> </w:t>
      </w:r>
      <w:r>
        <w:rPr/>
        <w:t>así en los contratos laborales.</w:t>
      </w:r>
    </w:p>
    <w:p>
      <w:pPr>
        <w:pStyle w:val="BodyText"/>
        <w:spacing w:before="250"/>
        <w:ind w:left="691" w:right="504" w:firstLine="55"/>
        <w:jc w:val="both"/>
      </w:pPr>
      <w:r>
        <w:rPr/>
        <w:t>Dicho proceso correspondiente a Empresas Comerciales, la parte actora promovió la ejecución de sentencia en contra del IMAS por la suma de </w:t>
      </w:r>
      <w:r>
        <w:rPr>
          <w:rFonts w:ascii="Times New Roman" w:hAnsi="Times New Roman"/>
        </w:rPr>
        <w:t>₡</w:t>
      </w:r>
      <w:r>
        <w:rPr/>
        <w:t>16.432.144.165,67. No obstante, esta Unidad Asesora presentó formal oposición a la liquidación presentada, en resguardo de los intereses institucionales, toda vez que, conforme el peritaje actuarial-matemático contratado por la Institución, los montos difieren sustancialmente de las cifras liquidadas por la parte actora.</w:t>
      </w:r>
    </w:p>
    <w:p>
      <w:pPr>
        <w:pStyle w:val="BodyText"/>
        <w:spacing w:before="2"/>
        <w:ind w:left="691" w:right="507"/>
        <w:jc w:val="both"/>
      </w:pPr>
      <w:r>
        <w:rPr/>
        <w:t>Actualmente, el proceso se encuentra a la espera de la correspondiente resolución judicial, por lo que, en la fecha que se informa se procedió a provisionar conforme el peritaje administrativo presentado.</w:t>
      </w:r>
    </w:p>
    <w:p>
      <w:pPr>
        <w:pStyle w:val="BodyText"/>
        <w:spacing w:before="1"/>
      </w:pPr>
    </w:p>
    <w:p>
      <w:pPr>
        <w:pStyle w:val="BodyText"/>
        <w:ind w:left="691" w:right="503"/>
        <w:jc w:val="both"/>
      </w:pPr>
      <w:r>
        <w:rPr/>
        <w:t>Los siguientes procesos judiciales fueron reportados por Asesoría Jurídica del IMAS, con 95% de probabilidad</w:t>
      </w:r>
      <w:r>
        <w:rPr>
          <w:spacing w:val="-8"/>
        </w:rPr>
        <w:t> </w:t>
      </w:r>
      <w:r>
        <w:rPr/>
        <w:t>de</w:t>
      </w:r>
      <w:r>
        <w:rPr>
          <w:spacing w:val="-9"/>
        </w:rPr>
        <w:t> </w:t>
      </w:r>
      <w:r>
        <w:rPr/>
        <w:t>fracaso,</w:t>
      </w:r>
      <w:r>
        <w:rPr>
          <w:spacing w:val="-7"/>
        </w:rPr>
        <w:t> </w:t>
      </w:r>
      <w:r>
        <w:rPr/>
        <w:t>dichas</w:t>
      </w:r>
      <w:r>
        <w:rPr>
          <w:spacing w:val="-6"/>
        </w:rPr>
        <w:t> </w:t>
      </w:r>
      <w:r>
        <w:rPr/>
        <w:t>demandas</w:t>
      </w:r>
      <w:r>
        <w:rPr>
          <w:spacing w:val="-6"/>
        </w:rPr>
        <w:t> </w:t>
      </w:r>
      <w:r>
        <w:rPr/>
        <w:t>fueron</w:t>
      </w:r>
      <w:r>
        <w:rPr>
          <w:spacing w:val="-7"/>
        </w:rPr>
        <w:t> </w:t>
      </w:r>
      <w:r>
        <w:rPr/>
        <w:t>contestadas</w:t>
      </w:r>
      <w:r>
        <w:rPr>
          <w:spacing w:val="-6"/>
        </w:rPr>
        <w:t> </w:t>
      </w:r>
      <w:r>
        <w:rPr/>
        <w:t>con</w:t>
      </w:r>
      <w:r>
        <w:rPr>
          <w:spacing w:val="-7"/>
        </w:rPr>
        <w:t> </w:t>
      </w:r>
      <w:r>
        <w:rPr/>
        <w:t>posibilidad</w:t>
      </w:r>
      <w:r>
        <w:rPr>
          <w:spacing w:val="-8"/>
        </w:rPr>
        <w:t> </w:t>
      </w:r>
      <w:r>
        <w:rPr/>
        <w:t>de</w:t>
      </w:r>
      <w:r>
        <w:rPr>
          <w:spacing w:val="-9"/>
        </w:rPr>
        <w:t> </w:t>
      </w:r>
      <w:r>
        <w:rPr/>
        <w:t>conciliación,</w:t>
      </w:r>
      <w:r>
        <w:rPr>
          <w:spacing w:val="-7"/>
        </w:rPr>
        <w:t> </w:t>
      </w:r>
      <w:r>
        <w:rPr/>
        <w:t>sin</w:t>
      </w:r>
      <w:r>
        <w:rPr>
          <w:spacing w:val="-7"/>
        </w:rPr>
        <w:t> </w:t>
      </w:r>
      <w:r>
        <w:rPr/>
        <w:t>embargo, en la fecha que se informa no se recibió la información pertinente que permita registrar y/o provisionar lo correspondiente a dicho proceso judicial:</w:t>
      </w:r>
    </w:p>
    <w:tbl>
      <w:tblPr>
        <w:tblW w:w="0" w:type="auto"/>
        <w:jc w:val="left"/>
        <w:tblInd w:w="13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09"/>
        <w:gridCol w:w="1471"/>
        <w:gridCol w:w="2086"/>
        <w:gridCol w:w="2946"/>
      </w:tblGrid>
      <w:tr>
        <w:trPr>
          <w:trHeight w:val="457" w:hRule="atLeast"/>
        </w:trPr>
        <w:tc>
          <w:tcPr>
            <w:tcW w:w="1409" w:type="dxa"/>
            <w:tcBorders>
              <w:right w:val="single" w:sz="4" w:space="0" w:color="000000"/>
            </w:tcBorders>
            <w:shd w:val="clear" w:color="auto" w:fill="E7E6E6"/>
          </w:tcPr>
          <w:p>
            <w:pPr>
              <w:pStyle w:val="TableParagraph"/>
              <w:spacing w:before="114"/>
              <w:ind w:left="311"/>
              <w:rPr>
                <w:b/>
                <w:sz w:val="20"/>
              </w:rPr>
            </w:pPr>
            <w:r>
              <w:rPr>
                <w:b/>
                <w:spacing w:val="-2"/>
                <w:sz w:val="20"/>
                <w:u w:val="single"/>
              </w:rPr>
              <w:t>Pertenece</w:t>
            </w:r>
          </w:p>
        </w:tc>
        <w:tc>
          <w:tcPr>
            <w:tcW w:w="1471" w:type="dxa"/>
            <w:tcBorders>
              <w:left w:val="single" w:sz="4" w:space="0" w:color="000000"/>
              <w:right w:val="single" w:sz="4" w:space="0" w:color="000000"/>
            </w:tcBorders>
            <w:shd w:val="clear" w:color="auto" w:fill="E7E6E6"/>
          </w:tcPr>
          <w:p>
            <w:pPr>
              <w:pStyle w:val="TableParagraph"/>
              <w:spacing w:line="220" w:lineRule="atLeast"/>
              <w:ind w:left="422" w:right="402" w:hanging="8"/>
              <w:rPr>
                <w:b/>
                <w:sz w:val="20"/>
              </w:rPr>
            </w:pPr>
            <w:r>
              <w:rPr>
                <w:b/>
                <w:sz w:val="20"/>
                <w:u w:val="single"/>
              </w:rPr>
              <w:t>Tipo</w:t>
            </w:r>
            <w:r>
              <w:rPr>
                <w:b/>
                <w:spacing w:val="-13"/>
                <w:sz w:val="20"/>
                <w:u w:val="single"/>
              </w:rPr>
              <w:t> </w:t>
            </w:r>
            <w:r>
              <w:rPr>
                <w:b/>
                <w:sz w:val="20"/>
                <w:u w:val="single"/>
              </w:rPr>
              <w:t>de</w:t>
            </w:r>
            <w:r>
              <w:rPr>
                <w:b/>
                <w:sz w:val="20"/>
                <w:u w:val="none"/>
              </w:rPr>
              <w:t> </w:t>
            </w:r>
            <w:r>
              <w:rPr>
                <w:b/>
                <w:spacing w:val="-2"/>
                <w:sz w:val="20"/>
                <w:u w:val="single"/>
              </w:rPr>
              <w:t>proceso</w:t>
            </w:r>
          </w:p>
        </w:tc>
        <w:tc>
          <w:tcPr>
            <w:tcW w:w="2086" w:type="dxa"/>
            <w:tcBorders>
              <w:left w:val="single" w:sz="4" w:space="0" w:color="000000"/>
              <w:right w:val="single" w:sz="4" w:space="0" w:color="000000"/>
            </w:tcBorders>
            <w:shd w:val="clear" w:color="auto" w:fill="E7E6E6"/>
          </w:tcPr>
          <w:p>
            <w:pPr>
              <w:pStyle w:val="TableParagraph"/>
              <w:spacing w:line="220" w:lineRule="atLeast"/>
              <w:ind w:left="763" w:hanging="428"/>
              <w:rPr>
                <w:b/>
                <w:sz w:val="20"/>
              </w:rPr>
            </w:pPr>
            <w:r>
              <w:rPr>
                <w:b/>
                <w:sz w:val="20"/>
                <w:u w:val="single"/>
              </w:rPr>
              <w:t>Nº</w:t>
            </w:r>
            <w:r>
              <w:rPr>
                <w:b/>
                <w:spacing w:val="-13"/>
                <w:sz w:val="20"/>
                <w:u w:val="single"/>
              </w:rPr>
              <w:t> </w:t>
            </w:r>
            <w:r>
              <w:rPr>
                <w:b/>
                <w:sz w:val="20"/>
                <w:u w:val="single"/>
              </w:rPr>
              <w:t>de</w:t>
            </w:r>
            <w:r>
              <w:rPr>
                <w:b/>
                <w:spacing w:val="-12"/>
                <w:sz w:val="20"/>
                <w:u w:val="single"/>
              </w:rPr>
              <w:t> </w:t>
            </w:r>
            <w:r>
              <w:rPr>
                <w:b/>
                <w:sz w:val="20"/>
                <w:u w:val="single"/>
              </w:rPr>
              <w:t>Expediente</w:t>
            </w:r>
            <w:r>
              <w:rPr>
                <w:b/>
                <w:sz w:val="20"/>
                <w:u w:val="none"/>
              </w:rPr>
              <w:t> </w:t>
            </w:r>
            <w:r>
              <w:rPr>
                <w:b/>
                <w:spacing w:val="-2"/>
                <w:sz w:val="20"/>
                <w:u w:val="single"/>
              </w:rPr>
              <w:t>judicial</w:t>
            </w:r>
          </w:p>
        </w:tc>
        <w:tc>
          <w:tcPr>
            <w:tcW w:w="2946" w:type="dxa"/>
            <w:tcBorders>
              <w:left w:val="single" w:sz="4" w:space="0" w:color="000000"/>
              <w:right w:val="single" w:sz="4" w:space="0" w:color="000000"/>
            </w:tcBorders>
            <w:shd w:val="clear" w:color="auto" w:fill="E7E6E6"/>
          </w:tcPr>
          <w:p>
            <w:pPr>
              <w:pStyle w:val="TableParagraph"/>
              <w:spacing w:before="114"/>
              <w:ind w:left="766"/>
              <w:rPr>
                <w:b/>
                <w:sz w:val="20"/>
              </w:rPr>
            </w:pPr>
            <w:r>
              <w:rPr>
                <w:b/>
                <w:sz w:val="20"/>
                <w:u w:val="single"/>
              </w:rPr>
              <w:t>Nombre</w:t>
            </w:r>
            <w:r>
              <w:rPr>
                <w:b/>
                <w:spacing w:val="-5"/>
                <w:sz w:val="20"/>
                <w:u w:val="single"/>
              </w:rPr>
              <w:t> </w:t>
            </w:r>
            <w:r>
              <w:rPr>
                <w:b/>
                <w:sz w:val="20"/>
                <w:u w:val="single"/>
              </w:rPr>
              <w:t>del</w:t>
            </w:r>
            <w:r>
              <w:rPr>
                <w:b/>
                <w:spacing w:val="-4"/>
                <w:sz w:val="20"/>
                <w:u w:val="single"/>
              </w:rPr>
              <w:t> </w:t>
            </w:r>
            <w:r>
              <w:rPr>
                <w:b/>
                <w:spacing w:val="-2"/>
                <w:sz w:val="20"/>
                <w:u w:val="single"/>
              </w:rPr>
              <w:t>actor</w:t>
            </w:r>
          </w:p>
        </w:tc>
      </w:tr>
      <w:tr>
        <w:trPr>
          <w:trHeight w:val="683" w:hRule="atLeast"/>
        </w:trPr>
        <w:tc>
          <w:tcPr>
            <w:tcW w:w="1409" w:type="dxa"/>
            <w:tcBorders>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20" w:lineRule="atLeast"/>
              <w:ind w:left="107"/>
              <w:rPr>
                <w:b/>
                <w:sz w:val="20"/>
              </w:rPr>
            </w:pPr>
            <w:r>
              <w:rPr>
                <w:b/>
                <w:spacing w:val="-2"/>
                <w:sz w:val="20"/>
              </w:rPr>
              <w:t>Empresas Comerciales</w:t>
            </w:r>
          </w:p>
        </w:tc>
        <w:tc>
          <w:tcPr>
            <w:tcW w:w="1471" w:type="dxa"/>
            <w:tcBorders>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25-000304-0775-</w:t>
            </w:r>
            <w:r>
              <w:rPr>
                <w:spacing w:val="-5"/>
                <w:sz w:val="20"/>
              </w:rPr>
              <w:t>LA</w:t>
            </w:r>
          </w:p>
        </w:tc>
        <w:tc>
          <w:tcPr>
            <w:tcW w:w="2946" w:type="dxa"/>
            <w:tcBorders>
              <w:left w:val="single" w:sz="4" w:space="0" w:color="000000"/>
              <w:bottom w:val="single" w:sz="4" w:space="0" w:color="000000"/>
              <w:right w:val="single" w:sz="4" w:space="0" w:color="000000"/>
            </w:tcBorders>
          </w:tcPr>
          <w:p>
            <w:pPr>
              <w:pStyle w:val="TableParagraph"/>
              <w:tabs>
                <w:tab w:pos="1842" w:val="left" w:leader="none"/>
              </w:tabs>
              <w:spacing w:before="111"/>
              <w:ind w:left="110" w:right="96"/>
              <w:rPr>
                <w:sz w:val="20"/>
              </w:rPr>
            </w:pPr>
            <w:r>
              <w:rPr>
                <w:spacing w:val="-2"/>
                <w:sz w:val="20"/>
              </w:rPr>
              <w:t>EDWARD</w:t>
            </w:r>
            <w:r>
              <w:rPr>
                <w:sz w:val="20"/>
              </w:rPr>
              <w:tab/>
            </w:r>
            <w:r>
              <w:rPr>
                <w:spacing w:val="-2"/>
                <w:sz w:val="20"/>
              </w:rPr>
              <w:t>ESQUIVEL MORALES</w:t>
            </w:r>
          </w:p>
        </w:tc>
      </w:tr>
      <w:tr>
        <w:trPr>
          <w:trHeight w:val="684" w:hRule="atLeast"/>
        </w:trPr>
        <w:tc>
          <w:tcPr>
            <w:tcW w:w="1409" w:type="dxa"/>
            <w:tcBorders>
              <w:top w:val="single" w:sz="4" w:space="0" w:color="000000"/>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3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7"/>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7"/>
              <w:ind w:left="110"/>
              <w:rPr>
                <w:sz w:val="20"/>
              </w:rPr>
            </w:pPr>
            <w:r>
              <w:rPr>
                <w:spacing w:val="-2"/>
                <w:sz w:val="20"/>
              </w:rPr>
              <w:t>25-000331-0775-</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tabs>
                <w:tab w:pos="1067" w:val="left" w:leader="none"/>
                <w:tab w:pos="1946" w:val="left" w:leader="none"/>
              </w:tabs>
              <w:spacing w:before="114"/>
              <w:ind w:left="110" w:right="98"/>
              <w:rPr>
                <w:sz w:val="20"/>
              </w:rPr>
            </w:pPr>
            <w:r>
              <w:rPr>
                <w:spacing w:val="-2"/>
                <w:sz w:val="20"/>
              </w:rPr>
              <w:t>DINNIA</w:t>
            </w:r>
            <w:r>
              <w:rPr>
                <w:sz w:val="20"/>
              </w:rPr>
              <w:tab/>
            </w:r>
            <w:r>
              <w:rPr>
                <w:spacing w:val="-2"/>
                <w:sz w:val="20"/>
              </w:rPr>
              <w:t>ELENA</w:t>
            </w:r>
            <w:r>
              <w:rPr>
                <w:sz w:val="20"/>
              </w:rPr>
              <w:tab/>
            </w:r>
            <w:r>
              <w:rPr>
                <w:spacing w:val="-2"/>
                <w:sz w:val="20"/>
              </w:rPr>
              <w:t>ARRIOLA SOMARRIBAS</w:t>
            </w:r>
          </w:p>
        </w:tc>
      </w:tr>
      <w:tr>
        <w:trPr>
          <w:trHeight w:val="682" w:hRule="atLeast"/>
        </w:trPr>
        <w:tc>
          <w:tcPr>
            <w:tcW w:w="1409" w:type="dxa"/>
            <w:tcBorders>
              <w:top w:val="single" w:sz="4" w:space="0" w:color="000000"/>
              <w:bottom w:val="single" w:sz="4" w:space="0" w:color="000000"/>
              <w:right w:val="single" w:sz="4" w:space="0" w:color="000000"/>
            </w:tcBorders>
          </w:tcPr>
          <w:p>
            <w:pPr>
              <w:pStyle w:val="TableParagraph"/>
              <w:spacing w:line="226" w:lineRule="exact"/>
              <w:ind w:left="107"/>
              <w:rPr>
                <w:b/>
                <w:sz w:val="20"/>
              </w:rPr>
            </w:pPr>
            <w:r>
              <w:rPr>
                <w:b/>
                <w:spacing w:val="-2"/>
                <w:sz w:val="20"/>
              </w:rPr>
              <w:t>IMAS-</w:t>
            </w:r>
          </w:p>
          <w:p>
            <w:pPr>
              <w:pStyle w:val="TableParagraph"/>
              <w:spacing w:line="22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25-000336-0942-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z w:val="20"/>
              </w:rPr>
              <w:t>GEANINA</w:t>
            </w:r>
            <w:r>
              <w:rPr>
                <w:spacing w:val="-12"/>
                <w:sz w:val="20"/>
              </w:rPr>
              <w:t> </w:t>
            </w:r>
            <w:r>
              <w:rPr>
                <w:sz w:val="20"/>
              </w:rPr>
              <w:t>MIRANDA</w:t>
            </w:r>
            <w:r>
              <w:rPr>
                <w:spacing w:val="-11"/>
                <w:sz w:val="20"/>
              </w:rPr>
              <w:t> </w:t>
            </w:r>
            <w:r>
              <w:rPr>
                <w:spacing w:val="-4"/>
                <w:sz w:val="20"/>
              </w:rPr>
              <w:t>RÍOS</w:t>
            </w:r>
          </w:p>
        </w:tc>
      </w:tr>
      <w:tr>
        <w:trPr>
          <w:trHeight w:val="683" w:hRule="atLeast"/>
        </w:trPr>
        <w:tc>
          <w:tcPr>
            <w:tcW w:w="1409" w:type="dxa"/>
            <w:tcBorders>
              <w:top w:val="single" w:sz="4" w:space="0" w:color="000000"/>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2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25-000337-0942-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tabs>
                <w:tab w:pos="1830" w:val="left" w:leader="none"/>
              </w:tabs>
              <w:spacing w:before="111"/>
              <w:ind w:left="110" w:right="97"/>
              <w:rPr>
                <w:sz w:val="20"/>
              </w:rPr>
            </w:pPr>
            <w:r>
              <w:rPr>
                <w:spacing w:val="-2"/>
                <w:sz w:val="20"/>
              </w:rPr>
              <w:t>ARELLYS</w:t>
            </w:r>
            <w:r>
              <w:rPr>
                <w:sz w:val="20"/>
              </w:rPr>
              <w:tab/>
            </w:r>
            <w:r>
              <w:rPr>
                <w:spacing w:val="-2"/>
                <w:sz w:val="20"/>
              </w:rPr>
              <w:t>GABRIELA </w:t>
            </w:r>
            <w:r>
              <w:rPr>
                <w:sz w:val="20"/>
              </w:rPr>
              <w:t>RODRÍGUEZ DELGADO</w:t>
            </w:r>
          </w:p>
        </w:tc>
      </w:tr>
      <w:tr>
        <w:trPr>
          <w:trHeight w:val="683" w:hRule="atLeast"/>
        </w:trPr>
        <w:tc>
          <w:tcPr>
            <w:tcW w:w="1409" w:type="dxa"/>
            <w:tcBorders>
              <w:top w:val="single" w:sz="4" w:space="0" w:color="000000"/>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2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25-000338-0942-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tabs>
                <w:tab w:pos="1914" w:val="left" w:leader="none"/>
              </w:tabs>
              <w:spacing w:before="114"/>
              <w:ind w:left="110" w:right="96"/>
              <w:rPr>
                <w:sz w:val="20"/>
              </w:rPr>
            </w:pPr>
            <w:r>
              <w:rPr>
                <w:spacing w:val="-2"/>
                <w:sz w:val="20"/>
              </w:rPr>
              <w:t>HUMBERTO</w:t>
            </w:r>
            <w:r>
              <w:rPr>
                <w:sz w:val="20"/>
              </w:rPr>
              <w:tab/>
            </w:r>
            <w:r>
              <w:rPr>
                <w:spacing w:val="-2"/>
                <w:sz w:val="20"/>
              </w:rPr>
              <w:t>FONSECA MÉNDEZ</w:t>
            </w:r>
          </w:p>
        </w:tc>
      </w:tr>
      <w:tr>
        <w:trPr>
          <w:trHeight w:val="686" w:hRule="atLeast"/>
        </w:trPr>
        <w:tc>
          <w:tcPr>
            <w:tcW w:w="1409" w:type="dxa"/>
            <w:tcBorders>
              <w:top w:val="single" w:sz="4" w:space="0" w:color="000000"/>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3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1"/>
              <w:rPr>
                <w:sz w:val="20"/>
              </w:rPr>
            </w:pPr>
          </w:p>
          <w:p>
            <w:pPr>
              <w:pStyle w:val="TableParagraph"/>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1"/>
              <w:rPr>
                <w:sz w:val="20"/>
              </w:rPr>
            </w:pPr>
          </w:p>
          <w:p>
            <w:pPr>
              <w:pStyle w:val="TableParagraph"/>
              <w:ind w:left="110"/>
              <w:rPr>
                <w:sz w:val="20"/>
              </w:rPr>
            </w:pPr>
            <w:r>
              <w:rPr>
                <w:spacing w:val="-2"/>
                <w:sz w:val="20"/>
              </w:rPr>
              <w:t>25-000346-0942-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spacing w:before="114"/>
              <w:ind w:left="110"/>
              <w:rPr>
                <w:sz w:val="20"/>
              </w:rPr>
            </w:pPr>
            <w:r>
              <w:rPr>
                <w:sz w:val="20"/>
              </w:rPr>
              <w:t>KAROL</w:t>
            </w:r>
            <w:r>
              <w:rPr>
                <w:spacing w:val="75"/>
                <w:sz w:val="20"/>
              </w:rPr>
              <w:t> </w:t>
            </w:r>
            <w:r>
              <w:rPr>
                <w:sz w:val="20"/>
              </w:rPr>
              <w:t>DANIELA</w:t>
            </w:r>
            <w:r>
              <w:rPr>
                <w:spacing w:val="75"/>
                <w:sz w:val="20"/>
              </w:rPr>
              <w:t> </w:t>
            </w:r>
            <w:r>
              <w:rPr>
                <w:sz w:val="20"/>
              </w:rPr>
              <w:t>UGALDE </w:t>
            </w:r>
            <w:r>
              <w:rPr>
                <w:spacing w:val="-2"/>
                <w:sz w:val="20"/>
              </w:rPr>
              <w:t>SALAMANCA</w:t>
            </w:r>
          </w:p>
        </w:tc>
      </w:tr>
      <w:tr>
        <w:trPr>
          <w:trHeight w:val="683" w:hRule="atLeast"/>
        </w:trPr>
        <w:tc>
          <w:tcPr>
            <w:tcW w:w="1409" w:type="dxa"/>
            <w:tcBorders>
              <w:top w:val="single" w:sz="4" w:space="0" w:color="000000"/>
              <w:bottom w:val="single" w:sz="4" w:space="0" w:color="000000"/>
              <w:right w:val="single" w:sz="4" w:space="0" w:color="000000"/>
            </w:tcBorders>
          </w:tcPr>
          <w:p>
            <w:pPr>
              <w:pStyle w:val="TableParagraph"/>
              <w:spacing w:line="226" w:lineRule="exact"/>
              <w:ind w:left="107"/>
              <w:rPr>
                <w:b/>
                <w:sz w:val="20"/>
              </w:rPr>
            </w:pPr>
            <w:r>
              <w:rPr>
                <w:b/>
                <w:spacing w:val="-2"/>
                <w:sz w:val="20"/>
              </w:rPr>
              <w:t>IMAS-</w:t>
            </w:r>
          </w:p>
          <w:p>
            <w:pPr>
              <w:pStyle w:val="TableParagraph"/>
              <w:spacing w:line="22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25-000344-0942-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z w:val="20"/>
              </w:rPr>
              <w:t>LUPITA</w:t>
            </w:r>
            <w:r>
              <w:rPr>
                <w:spacing w:val="-10"/>
                <w:sz w:val="20"/>
              </w:rPr>
              <w:t> </w:t>
            </w:r>
            <w:r>
              <w:rPr>
                <w:sz w:val="20"/>
              </w:rPr>
              <w:t>RIVAS</w:t>
            </w:r>
            <w:r>
              <w:rPr>
                <w:spacing w:val="-10"/>
                <w:sz w:val="20"/>
              </w:rPr>
              <w:t> </w:t>
            </w:r>
            <w:r>
              <w:rPr>
                <w:spacing w:val="-2"/>
                <w:sz w:val="20"/>
              </w:rPr>
              <w:t>CENTENO</w:t>
            </w:r>
          </w:p>
        </w:tc>
      </w:tr>
      <w:tr>
        <w:trPr>
          <w:trHeight w:val="683" w:hRule="atLeast"/>
        </w:trPr>
        <w:tc>
          <w:tcPr>
            <w:tcW w:w="1409" w:type="dxa"/>
            <w:tcBorders>
              <w:top w:val="single" w:sz="4" w:space="0" w:color="000000"/>
              <w:bottom w:val="single" w:sz="4" w:space="0" w:color="000000"/>
              <w:right w:val="single" w:sz="4" w:space="0" w:color="000000"/>
            </w:tcBorders>
          </w:tcPr>
          <w:p>
            <w:pPr>
              <w:pStyle w:val="TableParagraph"/>
              <w:spacing w:line="227" w:lineRule="exact"/>
              <w:ind w:left="107"/>
              <w:rPr>
                <w:b/>
                <w:sz w:val="20"/>
              </w:rPr>
            </w:pPr>
            <w:r>
              <w:rPr>
                <w:b/>
                <w:spacing w:val="-2"/>
                <w:sz w:val="20"/>
              </w:rPr>
              <w:t>IMAS-</w:t>
            </w:r>
          </w:p>
          <w:p>
            <w:pPr>
              <w:pStyle w:val="TableParagraph"/>
              <w:spacing w:line="230" w:lineRule="atLeast"/>
              <w:ind w:left="107"/>
              <w:rPr>
                <w:b/>
                <w:sz w:val="20"/>
              </w:rPr>
            </w:pPr>
            <w:r>
              <w:rPr>
                <w:b/>
                <w:spacing w:val="-2"/>
                <w:sz w:val="20"/>
              </w:rPr>
              <w:t>Empresas Comerciales</w:t>
            </w:r>
          </w:p>
        </w:tc>
        <w:tc>
          <w:tcPr>
            <w:tcW w:w="1471" w:type="dxa"/>
            <w:tcBorders>
              <w:top w:val="single" w:sz="4" w:space="0" w:color="000000"/>
              <w:left w:val="single" w:sz="4" w:space="0" w:color="000000"/>
              <w:bottom w:val="single" w:sz="4" w:space="0" w:color="000000"/>
              <w:right w:val="single" w:sz="4" w:space="0" w:color="000000"/>
            </w:tcBorders>
          </w:tcPr>
          <w:p>
            <w:pPr>
              <w:pStyle w:val="TableParagraph"/>
              <w:spacing w:before="226"/>
              <w:ind w:left="108"/>
              <w:rPr>
                <w:b/>
                <w:sz w:val="20"/>
              </w:rPr>
            </w:pPr>
            <w:r>
              <w:rPr>
                <w:b/>
                <w:spacing w:val="-2"/>
                <w:sz w:val="20"/>
              </w:rPr>
              <w:t>LABORAL</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pacing w:val="-2"/>
                <w:sz w:val="20"/>
              </w:rPr>
              <w:t>25-000358-0942-</w:t>
            </w:r>
            <w:r>
              <w:rPr>
                <w:spacing w:val="-5"/>
                <w:sz w:val="20"/>
              </w:rPr>
              <w:t>LA</w:t>
            </w:r>
          </w:p>
        </w:tc>
        <w:tc>
          <w:tcPr>
            <w:tcW w:w="2946" w:type="dxa"/>
            <w:tcBorders>
              <w:top w:val="single" w:sz="4" w:space="0" w:color="000000"/>
              <w:left w:val="single" w:sz="4" w:space="0" w:color="000000"/>
              <w:bottom w:val="single" w:sz="4" w:space="0" w:color="000000"/>
              <w:right w:val="single" w:sz="4" w:space="0" w:color="000000"/>
            </w:tcBorders>
          </w:tcPr>
          <w:p>
            <w:pPr>
              <w:pStyle w:val="TableParagraph"/>
              <w:spacing w:before="226"/>
              <w:ind w:left="110"/>
              <w:rPr>
                <w:sz w:val="20"/>
              </w:rPr>
            </w:pPr>
            <w:r>
              <w:rPr>
                <w:sz w:val="20"/>
              </w:rPr>
              <w:t>YADELY</w:t>
            </w:r>
            <w:r>
              <w:rPr>
                <w:spacing w:val="-7"/>
                <w:sz w:val="20"/>
              </w:rPr>
              <w:t> </w:t>
            </w:r>
            <w:r>
              <w:rPr>
                <w:sz w:val="20"/>
              </w:rPr>
              <w:t>CERGAS</w:t>
            </w:r>
            <w:r>
              <w:rPr>
                <w:spacing w:val="-7"/>
                <w:sz w:val="20"/>
              </w:rPr>
              <w:t> </w:t>
            </w:r>
            <w:r>
              <w:rPr>
                <w:spacing w:val="-2"/>
                <w:sz w:val="20"/>
              </w:rPr>
              <w:t>GÓMEZ</w:t>
            </w:r>
          </w:p>
        </w:tc>
      </w:tr>
      <w:tr>
        <w:trPr>
          <w:trHeight w:val="682" w:hRule="atLeast"/>
        </w:trPr>
        <w:tc>
          <w:tcPr>
            <w:tcW w:w="1409" w:type="dxa"/>
            <w:tcBorders>
              <w:top w:val="single" w:sz="4" w:space="0" w:color="000000"/>
              <w:right w:val="single" w:sz="4" w:space="0" w:color="000000"/>
            </w:tcBorders>
          </w:tcPr>
          <w:p>
            <w:pPr>
              <w:pStyle w:val="TableParagraph"/>
              <w:spacing w:line="224" w:lineRule="exact"/>
              <w:ind w:left="107"/>
              <w:rPr>
                <w:b/>
                <w:sz w:val="20"/>
              </w:rPr>
            </w:pPr>
            <w:r>
              <w:rPr>
                <w:b/>
                <w:spacing w:val="-2"/>
                <w:sz w:val="20"/>
              </w:rPr>
              <w:t>IMAS-</w:t>
            </w:r>
          </w:p>
          <w:p>
            <w:pPr>
              <w:pStyle w:val="TableParagraph"/>
              <w:ind w:left="107"/>
              <w:rPr>
                <w:b/>
                <w:sz w:val="20"/>
              </w:rPr>
            </w:pPr>
            <w:r>
              <w:rPr>
                <w:b/>
                <w:spacing w:val="-2"/>
                <w:sz w:val="20"/>
              </w:rPr>
              <w:t>Empresas</w:t>
            </w:r>
          </w:p>
          <w:p>
            <w:pPr>
              <w:pStyle w:val="TableParagraph"/>
              <w:spacing w:line="209" w:lineRule="exact" w:before="2"/>
              <w:ind w:left="107"/>
              <w:rPr>
                <w:b/>
                <w:sz w:val="20"/>
              </w:rPr>
            </w:pPr>
            <w:r>
              <w:rPr>
                <w:b/>
                <w:spacing w:val="-2"/>
                <w:sz w:val="20"/>
              </w:rPr>
              <w:t>Comerciales</w:t>
            </w:r>
          </w:p>
        </w:tc>
        <w:tc>
          <w:tcPr>
            <w:tcW w:w="1471" w:type="dxa"/>
            <w:tcBorders>
              <w:top w:val="single" w:sz="4" w:space="0" w:color="000000"/>
              <w:left w:val="single" w:sz="4" w:space="0" w:color="000000"/>
              <w:right w:val="single" w:sz="4" w:space="0" w:color="000000"/>
            </w:tcBorders>
          </w:tcPr>
          <w:p>
            <w:pPr>
              <w:pStyle w:val="TableParagraph"/>
              <w:spacing w:before="223"/>
              <w:ind w:left="108"/>
              <w:rPr>
                <w:b/>
                <w:sz w:val="20"/>
              </w:rPr>
            </w:pPr>
            <w:r>
              <w:rPr>
                <w:b/>
                <w:spacing w:val="-2"/>
                <w:sz w:val="20"/>
              </w:rPr>
              <w:t>LABORAL</w:t>
            </w:r>
          </w:p>
        </w:tc>
        <w:tc>
          <w:tcPr>
            <w:tcW w:w="2086" w:type="dxa"/>
            <w:tcBorders>
              <w:top w:val="single" w:sz="4" w:space="0" w:color="000000"/>
              <w:left w:val="single" w:sz="4" w:space="0" w:color="000000"/>
              <w:right w:val="single" w:sz="4" w:space="0" w:color="000000"/>
            </w:tcBorders>
          </w:tcPr>
          <w:p>
            <w:pPr>
              <w:pStyle w:val="TableParagraph"/>
              <w:spacing w:before="223"/>
              <w:ind w:left="110"/>
              <w:rPr>
                <w:sz w:val="20"/>
              </w:rPr>
            </w:pPr>
            <w:r>
              <w:rPr>
                <w:spacing w:val="-2"/>
                <w:sz w:val="20"/>
              </w:rPr>
              <w:t>25-000391-0942-</w:t>
            </w:r>
            <w:r>
              <w:rPr>
                <w:spacing w:val="-5"/>
                <w:sz w:val="20"/>
              </w:rPr>
              <w:t>LA</w:t>
            </w:r>
          </w:p>
        </w:tc>
        <w:tc>
          <w:tcPr>
            <w:tcW w:w="2946" w:type="dxa"/>
            <w:tcBorders>
              <w:top w:val="single" w:sz="4" w:space="0" w:color="000000"/>
              <w:left w:val="single" w:sz="4" w:space="0" w:color="000000"/>
              <w:right w:val="single" w:sz="4" w:space="0" w:color="000000"/>
            </w:tcBorders>
          </w:tcPr>
          <w:p>
            <w:pPr>
              <w:pStyle w:val="TableParagraph"/>
              <w:spacing w:before="110"/>
              <w:ind w:left="110"/>
              <w:rPr>
                <w:sz w:val="20"/>
              </w:rPr>
            </w:pPr>
            <w:r>
              <w:rPr>
                <w:sz w:val="20"/>
              </w:rPr>
              <w:t>DIBERT</w:t>
            </w:r>
            <w:r>
              <w:rPr>
                <w:spacing w:val="8"/>
                <w:sz w:val="20"/>
              </w:rPr>
              <w:t> </w:t>
            </w:r>
            <w:r>
              <w:rPr>
                <w:sz w:val="20"/>
              </w:rPr>
              <w:t>ADOLFO</w:t>
            </w:r>
            <w:r>
              <w:rPr>
                <w:spacing w:val="10"/>
                <w:sz w:val="20"/>
              </w:rPr>
              <w:t> </w:t>
            </w:r>
            <w:r>
              <w:rPr>
                <w:sz w:val="20"/>
              </w:rPr>
              <w:t>VILLEGAS </w:t>
            </w:r>
            <w:r>
              <w:rPr>
                <w:spacing w:val="-2"/>
                <w:sz w:val="20"/>
              </w:rPr>
              <w:t>BARAHONA</w:t>
            </w:r>
          </w:p>
        </w:tc>
      </w:tr>
    </w:tbl>
    <w:p>
      <w:pPr>
        <w:pStyle w:val="TableParagraph"/>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3344">
                <wp:simplePos x="0" y="0"/>
                <wp:positionH relativeFrom="page">
                  <wp:posOffset>9525</wp:posOffset>
                </wp:positionH>
                <wp:positionV relativeFrom="page">
                  <wp:posOffset>297208</wp:posOffset>
                </wp:positionV>
                <wp:extent cx="7762875" cy="9748520"/>
                <wp:effectExtent l="0" t="0" r="0" b="0"/>
                <wp:wrapNone/>
                <wp:docPr id="411" name="Group 411"/>
                <wp:cNvGraphicFramePr>
                  <a:graphicFrameLocks/>
                </wp:cNvGraphicFramePr>
                <a:graphic>
                  <a:graphicData uri="http://schemas.microsoft.com/office/word/2010/wordprocessingGroup">
                    <wpg:wgp>
                      <wpg:cNvPr id="411" name="Group 411"/>
                      <wpg:cNvGrpSpPr/>
                      <wpg:grpSpPr>
                        <a:xfrm>
                          <a:off x="0" y="0"/>
                          <a:ext cx="7762875" cy="9748520"/>
                          <a:chExt cx="7762875" cy="9748520"/>
                        </a:xfrm>
                      </wpg:grpSpPr>
                      <pic:pic>
                        <pic:nvPicPr>
                          <pic:cNvPr id="412" name="Image 412"/>
                          <pic:cNvPicPr/>
                        </pic:nvPicPr>
                        <pic:blipFill>
                          <a:blip r:embed="rId5" cstate="print"/>
                          <a:stretch>
                            <a:fillRect/>
                          </a:stretch>
                        </pic:blipFill>
                        <pic:spPr>
                          <a:xfrm>
                            <a:off x="0" y="0"/>
                            <a:ext cx="7762874" cy="9748489"/>
                          </a:xfrm>
                          <a:prstGeom prst="rect">
                            <a:avLst/>
                          </a:prstGeom>
                        </pic:spPr>
                      </pic:pic>
                      <wps:wsp>
                        <wps:cNvPr id="413" name="Graphic 413"/>
                        <wps:cNvSpPr/>
                        <wps:spPr>
                          <a:xfrm>
                            <a:off x="1053007" y="990837"/>
                            <a:ext cx="5978525" cy="6612255"/>
                          </a:xfrm>
                          <a:custGeom>
                            <a:avLst/>
                            <a:gdLst/>
                            <a:ahLst/>
                            <a:cxnLst/>
                            <a:rect l="l" t="t" r="r" b="b"/>
                            <a:pathLst>
                              <a:path w="5978525" h="6612255">
                                <a:moveTo>
                                  <a:pt x="5649214" y="0"/>
                                </a:moveTo>
                                <a:lnTo>
                                  <a:pt x="0" y="0"/>
                                </a:lnTo>
                                <a:lnTo>
                                  <a:pt x="0" y="9131"/>
                                </a:lnTo>
                                <a:lnTo>
                                  <a:pt x="5649214" y="9131"/>
                                </a:lnTo>
                                <a:lnTo>
                                  <a:pt x="5649214" y="0"/>
                                </a:lnTo>
                                <a:close/>
                              </a:path>
                              <a:path w="5978525" h="6612255">
                                <a:moveTo>
                                  <a:pt x="5978347" y="132702"/>
                                </a:moveTo>
                                <a:lnTo>
                                  <a:pt x="5972251" y="132702"/>
                                </a:lnTo>
                                <a:lnTo>
                                  <a:pt x="5972251" y="6606019"/>
                                </a:lnTo>
                                <a:lnTo>
                                  <a:pt x="21336" y="6606019"/>
                                </a:lnTo>
                                <a:lnTo>
                                  <a:pt x="21336" y="132702"/>
                                </a:lnTo>
                                <a:lnTo>
                                  <a:pt x="15240" y="132702"/>
                                </a:lnTo>
                                <a:lnTo>
                                  <a:pt x="15240" y="6606019"/>
                                </a:lnTo>
                                <a:lnTo>
                                  <a:pt x="15240" y="6612115"/>
                                </a:lnTo>
                                <a:lnTo>
                                  <a:pt x="21336" y="6612115"/>
                                </a:lnTo>
                                <a:lnTo>
                                  <a:pt x="5972251" y="6612115"/>
                                </a:lnTo>
                                <a:lnTo>
                                  <a:pt x="5978347" y="6612115"/>
                                </a:lnTo>
                                <a:lnTo>
                                  <a:pt x="5978347" y="6606019"/>
                                </a:lnTo>
                                <a:lnTo>
                                  <a:pt x="5978347" y="132702"/>
                                </a:lnTo>
                                <a:close/>
                              </a:path>
                              <a:path w="5978525" h="6612255">
                                <a:moveTo>
                                  <a:pt x="5978347" y="126479"/>
                                </a:moveTo>
                                <a:lnTo>
                                  <a:pt x="5972302" y="126479"/>
                                </a:lnTo>
                                <a:lnTo>
                                  <a:pt x="21336" y="126479"/>
                                </a:lnTo>
                                <a:lnTo>
                                  <a:pt x="15240" y="126479"/>
                                </a:lnTo>
                                <a:lnTo>
                                  <a:pt x="15240" y="132575"/>
                                </a:lnTo>
                                <a:lnTo>
                                  <a:pt x="21336" y="132575"/>
                                </a:lnTo>
                                <a:lnTo>
                                  <a:pt x="5972251" y="132575"/>
                                </a:lnTo>
                                <a:lnTo>
                                  <a:pt x="5978347" y="132575"/>
                                </a:lnTo>
                                <a:lnTo>
                                  <a:pt x="5978347" y="126479"/>
                                </a:lnTo>
                                <a:close/>
                              </a:path>
                            </a:pathLst>
                          </a:custGeom>
                          <a:solidFill>
                            <a:srgbClr val="000000"/>
                          </a:solidFill>
                        </wps:spPr>
                        <wps:bodyPr wrap="square" lIns="0" tIns="0" rIns="0" bIns="0" rtlCol="0">
                          <a:prstTxWarp prst="textNoShape">
                            <a:avLst/>
                          </a:prstTxWarp>
                          <a:noAutofit/>
                        </wps:bodyPr>
                      </wps:wsp>
                      <pic:pic>
                        <pic:nvPicPr>
                          <pic:cNvPr id="414" name="Image 414"/>
                          <pic:cNvPicPr/>
                        </pic:nvPicPr>
                        <pic:blipFill>
                          <a:blip r:embed="rId49" cstate="print"/>
                          <a:stretch>
                            <a:fillRect/>
                          </a:stretch>
                        </pic:blipFill>
                        <pic:spPr>
                          <a:xfrm>
                            <a:off x="1199514" y="2947895"/>
                            <a:ext cx="5698490" cy="452501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23136" id="docshapegroup390" coordorigin="15,468" coordsize="12225,15352">
                <v:shape style="position:absolute;left:15;top:468;width:12225;height:15352" type="#_x0000_t75" id="docshape391" stroked="false">
                  <v:imagedata r:id="rId5" o:title=""/>
                </v:shape>
                <v:shape style="position:absolute;left:1673;top:2028;width:9415;height:10413" id="docshape392" coordorigin="1673,2028" coordsize="9415,10413" path="m10570,2028l1673,2028,1673,2043,10570,2043,10570,2028xm11088,2237l11078,2237,11078,12432,1707,12432,1707,2237,1697,2237,1697,12432,1697,12441,1707,12441,11078,12441,11078,12441,11088,12441,11088,12432,11088,2237xm11088,2228l11078,2228,11078,2228,1707,2228,1697,2228,1697,2237,1707,2237,11078,2237,11078,2237,11088,2237,11088,2228xe" filled="true" fillcolor="#000000" stroked="false">
                  <v:path arrowok="t"/>
                  <v:fill type="solid"/>
                </v:shape>
                <v:shape style="position:absolute;left:1904;top:5110;width:8974;height:7126" type="#_x0000_t75" id="docshape393" stroked="false">
                  <v:imagedata r:id="rId49" o:title=""/>
                </v:shape>
                <w10:wrap type="none"/>
              </v:group>
            </w:pict>
          </mc:Fallback>
        </mc:AlternateContent>
      </w:r>
      <w:r>
        <w:rPr>
          <w:color w:val="172951"/>
          <w:sz w:val="20"/>
        </w:rPr>
        <w:t>Pág.</w:t>
      </w:r>
      <w:r>
        <w:rPr>
          <w:color w:val="172951"/>
          <w:spacing w:val="-7"/>
          <w:sz w:val="20"/>
        </w:rPr>
        <w:t> </w:t>
      </w:r>
      <w:r>
        <w:rPr>
          <w:color w:val="172951"/>
          <w:spacing w:val="-5"/>
          <w:sz w:val="20"/>
        </w:rPr>
        <w:t>85</w:t>
      </w:r>
    </w:p>
    <w:p>
      <w:pPr>
        <w:pStyle w:val="BodyText"/>
        <w:spacing w:before="227"/>
        <w:ind w:left="691"/>
      </w:pPr>
      <w:r>
        <w:rPr>
          <w:u w:val="single"/>
        </w:rPr>
        <w:t>Provisiones</w:t>
      </w:r>
      <w:r>
        <w:rPr>
          <w:spacing w:val="-3"/>
          <w:u w:val="single"/>
        </w:rPr>
        <w:t> </w:t>
      </w:r>
      <w:r>
        <w:rPr>
          <w:spacing w:val="-2"/>
          <w:u w:val="single"/>
        </w:rPr>
        <w:t>varias</w:t>
      </w:r>
    </w:p>
    <w:p>
      <w:pPr>
        <w:pStyle w:val="BodyText"/>
      </w:pPr>
    </w:p>
    <w:p>
      <w:pPr>
        <w:pStyle w:val="BodyText"/>
        <w:ind w:left="691"/>
      </w:pPr>
      <w:r>
        <w:rPr/>
        <w:t>Las</w:t>
      </w:r>
      <w:r>
        <w:rPr>
          <w:spacing w:val="-2"/>
        </w:rPr>
        <w:t> </w:t>
      </w:r>
      <w:r>
        <w:rPr/>
        <w:t>provisiones</w:t>
      </w:r>
      <w:r>
        <w:rPr>
          <w:spacing w:val="-2"/>
        </w:rPr>
        <w:t> </w:t>
      </w:r>
      <w:r>
        <w:rPr/>
        <w:t>varias,</w:t>
      </w:r>
      <w:r>
        <w:rPr>
          <w:spacing w:val="-5"/>
        </w:rPr>
        <w:t> </w:t>
      </w:r>
      <w:r>
        <w:rPr/>
        <w:t>se</w:t>
      </w:r>
      <w:r>
        <w:rPr>
          <w:spacing w:val="-4"/>
        </w:rPr>
        <w:t> </w:t>
      </w:r>
      <w:r>
        <w:rPr/>
        <w:t>incluye</w:t>
      </w:r>
      <w:r>
        <w:rPr>
          <w:spacing w:val="-4"/>
        </w:rPr>
        <w:t> </w:t>
      </w:r>
      <w:r>
        <w:rPr/>
        <w:t>la</w:t>
      </w:r>
      <w:r>
        <w:rPr>
          <w:spacing w:val="-4"/>
        </w:rPr>
        <w:t> </w:t>
      </w:r>
      <w:r>
        <w:rPr/>
        <w:t>provisión</w:t>
      </w:r>
      <w:r>
        <w:rPr>
          <w:spacing w:val="-3"/>
        </w:rPr>
        <w:t> </w:t>
      </w:r>
      <w:r>
        <w:rPr/>
        <w:t>de</w:t>
      </w:r>
      <w:r>
        <w:rPr>
          <w:spacing w:val="-4"/>
        </w:rPr>
        <w:t> </w:t>
      </w:r>
      <w:r>
        <w:rPr>
          <w:spacing w:val="-2"/>
        </w:rPr>
        <w:t>vacaciones:</w:t>
      </w:r>
    </w:p>
    <w:p>
      <w:pPr>
        <w:pStyle w:val="BodyText"/>
        <w:spacing w:before="16"/>
        <w:rPr>
          <w:sz w:val="20"/>
        </w:rPr>
      </w:pPr>
    </w:p>
    <w:tbl>
      <w:tblPr>
        <w:tblW w:w="0" w:type="auto"/>
        <w:jc w:val="left"/>
        <w:tblInd w:w="26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3557"/>
        <w:gridCol w:w="1669"/>
      </w:tblGrid>
      <w:tr>
        <w:trPr>
          <w:trHeight w:val="1429" w:hRule="atLeast"/>
        </w:trPr>
        <w:tc>
          <w:tcPr>
            <w:tcW w:w="5226" w:type="dxa"/>
            <w:gridSpan w:val="2"/>
            <w:tcBorders>
              <w:bottom w:val="nil"/>
            </w:tcBorders>
            <w:shd w:val="clear" w:color="auto" w:fill="FFFFFF"/>
          </w:tcPr>
          <w:p>
            <w:pPr>
              <w:pStyle w:val="TableParagraph"/>
              <w:spacing w:before="16"/>
              <w:ind w:left="1529"/>
              <w:rPr>
                <w:rFonts w:ascii="Calibri"/>
                <w:b/>
                <w:sz w:val="17"/>
              </w:rPr>
            </w:pPr>
            <w:r>
              <w:rPr>
                <w:rFonts w:ascii="Calibri"/>
                <w:b/>
                <w:spacing w:val="-2"/>
                <w:w w:val="105"/>
                <w:sz w:val="17"/>
              </w:rPr>
              <w:t>RESUMEN</w:t>
            </w:r>
            <w:r>
              <w:rPr>
                <w:rFonts w:ascii="Calibri"/>
                <w:b/>
                <w:spacing w:val="-5"/>
                <w:w w:val="105"/>
                <w:sz w:val="17"/>
              </w:rPr>
              <w:t> </w:t>
            </w:r>
            <w:r>
              <w:rPr>
                <w:rFonts w:ascii="Calibri"/>
                <w:b/>
                <w:spacing w:val="-2"/>
                <w:w w:val="105"/>
                <w:sz w:val="17"/>
              </w:rPr>
              <w:t>DE</w:t>
            </w:r>
            <w:r>
              <w:rPr>
                <w:rFonts w:ascii="Calibri"/>
                <w:b/>
                <w:spacing w:val="-3"/>
                <w:w w:val="105"/>
                <w:sz w:val="17"/>
              </w:rPr>
              <w:t> </w:t>
            </w:r>
            <w:r>
              <w:rPr>
                <w:rFonts w:ascii="Calibri"/>
                <w:b/>
                <w:spacing w:val="-2"/>
                <w:w w:val="105"/>
                <w:sz w:val="17"/>
              </w:rPr>
              <w:t>MOVIMIENTOS</w:t>
            </w:r>
          </w:p>
          <w:p>
            <w:pPr>
              <w:pStyle w:val="TableParagraph"/>
              <w:tabs>
                <w:tab w:pos="4695" w:val="left" w:leader="none"/>
              </w:tabs>
              <w:spacing w:before="28"/>
              <w:ind w:left="1515"/>
              <w:rPr>
                <w:rFonts w:ascii="Calibri"/>
                <w:b/>
                <w:sz w:val="17"/>
              </w:rPr>
            </w:pPr>
            <w:r>
              <w:rPr>
                <w:rFonts w:ascii="Calibri"/>
                <w:b/>
                <w:spacing w:val="-2"/>
                <w:w w:val="105"/>
                <w:sz w:val="17"/>
              </w:rPr>
              <w:t>Detalle</w:t>
            </w:r>
            <w:r>
              <w:rPr>
                <w:rFonts w:ascii="Calibri"/>
                <w:b/>
                <w:sz w:val="17"/>
              </w:rPr>
              <w:tab/>
            </w:r>
            <w:r>
              <w:rPr>
                <w:rFonts w:ascii="Calibri"/>
                <w:b/>
                <w:spacing w:val="-4"/>
                <w:w w:val="105"/>
                <w:sz w:val="17"/>
              </w:rPr>
              <w:t>Monto</w:t>
            </w:r>
          </w:p>
          <w:p>
            <w:pPr>
              <w:pStyle w:val="TableParagraph"/>
              <w:tabs>
                <w:tab w:pos="4555" w:val="left" w:leader="none"/>
              </w:tabs>
              <w:spacing w:before="36"/>
              <w:ind w:left="21"/>
              <w:rPr>
                <w:rFonts w:ascii="Arial Narrow"/>
                <w:sz w:val="14"/>
              </w:rPr>
            </w:pPr>
            <w:r>
              <w:rPr>
                <w:rFonts w:ascii="Arial Narrow"/>
                <w:sz w:val="16"/>
              </w:rPr>
              <w:t>Saldo</w:t>
            </w:r>
            <w:r>
              <w:rPr>
                <w:rFonts w:ascii="Arial Narrow"/>
                <w:spacing w:val="-5"/>
                <w:sz w:val="16"/>
              </w:rPr>
              <w:t> </w:t>
            </w:r>
            <w:r>
              <w:rPr>
                <w:rFonts w:ascii="Arial Narrow"/>
                <w:sz w:val="16"/>
              </w:rPr>
              <w:t>inicial</w:t>
            </w:r>
            <w:r>
              <w:rPr>
                <w:rFonts w:ascii="Arial Narrow"/>
                <w:spacing w:val="-4"/>
                <w:sz w:val="16"/>
              </w:rPr>
              <w:t> </w:t>
            </w:r>
            <w:r>
              <w:rPr>
                <w:rFonts w:ascii="Arial Narrow"/>
                <w:sz w:val="16"/>
              </w:rPr>
              <w:t>de</w:t>
            </w:r>
            <w:r>
              <w:rPr>
                <w:rFonts w:ascii="Arial Narrow"/>
                <w:spacing w:val="-5"/>
                <w:sz w:val="16"/>
              </w:rPr>
              <w:t> </w:t>
            </w:r>
            <w:r>
              <w:rPr>
                <w:rFonts w:ascii="Arial Narrow"/>
                <w:sz w:val="16"/>
              </w:rPr>
              <w:t>provisiones</w:t>
            </w:r>
            <w:r>
              <w:rPr>
                <w:rFonts w:ascii="Arial Narrow"/>
                <w:spacing w:val="-2"/>
                <w:sz w:val="16"/>
              </w:rPr>
              <w:t> </w:t>
            </w:r>
            <w:r>
              <w:rPr>
                <w:rFonts w:ascii="Arial Narrow"/>
                <w:sz w:val="16"/>
              </w:rPr>
              <w:t>varias</w:t>
            </w:r>
            <w:r>
              <w:rPr>
                <w:rFonts w:ascii="Arial Narrow"/>
                <w:spacing w:val="-3"/>
                <w:sz w:val="16"/>
              </w:rPr>
              <w:t> </w:t>
            </w:r>
            <w:r>
              <w:rPr>
                <w:rFonts w:ascii="Arial Narrow"/>
                <w:spacing w:val="-2"/>
                <w:sz w:val="16"/>
              </w:rPr>
              <w:t>(vacaciones)31.12.25</w:t>
            </w:r>
            <w:r>
              <w:rPr>
                <w:rFonts w:ascii="Arial Narrow"/>
                <w:sz w:val="16"/>
              </w:rPr>
              <w:tab/>
            </w:r>
            <w:r>
              <w:rPr>
                <w:rFonts w:ascii="Arial Narrow"/>
                <w:sz w:val="14"/>
              </w:rPr>
              <w:t>769</w:t>
            </w:r>
            <w:r>
              <w:rPr>
                <w:rFonts w:ascii="Arial Narrow"/>
                <w:spacing w:val="9"/>
                <w:sz w:val="14"/>
              </w:rPr>
              <w:t> </w:t>
            </w:r>
            <w:r>
              <w:rPr>
                <w:rFonts w:ascii="Arial Narrow"/>
                <w:spacing w:val="-2"/>
                <w:sz w:val="14"/>
              </w:rPr>
              <w:t>515,23</w:t>
            </w:r>
          </w:p>
          <w:p>
            <w:pPr>
              <w:pStyle w:val="TableParagraph"/>
              <w:tabs>
                <w:tab w:pos="4555" w:val="left" w:leader="none"/>
              </w:tabs>
              <w:spacing w:before="62"/>
              <w:ind w:left="21"/>
              <w:rPr>
                <w:rFonts w:ascii="Arial Narrow"/>
                <w:sz w:val="14"/>
              </w:rPr>
            </w:pPr>
            <w:r>
              <w:rPr>
                <w:rFonts w:ascii="Arial Narrow"/>
                <w:spacing w:val="-2"/>
                <w:sz w:val="16"/>
              </w:rPr>
              <w:t>Incrementos</w:t>
            </w:r>
            <w:r>
              <w:rPr>
                <w:rFonts w:ascii="Arial Narrow"/>
                <w:sz w:val="16"/>
              </w:rPr>
              <w:tab/>
            </w:r>
            <w:r>
              <w:rPr>
                <w:rFonts w:ascii="Arial Narrow"/>
                <w:sz w:val="14"/>
              </w:rPr>
              <w:t>270</w:t>
            </w:r>
            <w:r>
              <w:rPr>
                <w:rFonts w:ascii="Arial Narrow"/>
                <w:spacing w:val="9"/>
                <w:sz w:val="14"/>
              </w:rPr>
              <w:t> </w:t>
            </w:r>
            <w:r>
              <w:rPr>
                <w:rFonts w:ascii="Arial Narrow"/>
                <w:spacing w:val="-2"/>
                <w:sz w:val="14"/>
              </w:rPr>
              <w:t>979,58</w:t>
            </w:r>
          </w:p>
          <w:p>
            <w:pPr>
              <w:pStyle w:val="TableParagraph"/>
              <w:tabs>
                <w:tab w:pos="5059" w:val="left" w:leader="none"/>
              </w:tabs>
              <w:spacing w:before="61"/>
              <w:ind w:left="21"/>
              <w:rPr>
                <w:rFonts w:ascii="Arial Narrow"/>
                <w:sz w:val="14"/>
              </w:rPr>
            </w:pPr>
            <w:r>
              <w:rPr>
                <w:rFonts w:ascii="Arial Narrow"/>
                <w:sz w:val="16"/>
              </w:rPr>
              <w:t>Recuperaciones</w:t>
            </w:r>
            <w:r>
              <w:rPr>
                <w:rFonts w:ascii="Arial Narrow"/>
                <w:spacing w:val="-4"/>
                <w:sz w:val="16"/>
              </w:rPr>
              <w:t> </w:t>
            </w:r>
            <w:r>
              <w:rPr>
                <w:rFonts w:ascii="Arial Narrow"/>
                <w:sz w:val="16"/>
              </w:rPr>
              <w:t>/</w:t>
            </w:r>
            <w:r>
              <w:rPr>
                <w:rFonts w:ascii="Arial Narrow"/>
                <w:spacing w:val="-3"/>
                <w:sz w:val="16"/>
              </w:rPr>
              <w:t> </w:t>
            </w:r>
            <w:r>
              <w:rPr>
                <w:rFonts w:ascii="Arial Narrow"/>
                <w:spacing w:val="-2"/>
                <w:sz w:val="16"/>
              </w:rPr>
              <w:t>reversiones</w:t>
            </w:r>
            <w:r>
              <w:rPr>
                <w:rFonts w:ascii="Arial Narrow"/>
                <w:sz w:val="16"/>
              </w:rPr>
              <w:tab/>
            </w:r>
            <w:r>
              <w:rPr>
                <w:rFonts w:ascii="Arial Narrow"/>
                <w:spacing w:val="-10"/>
                <w:sz w:val="14"/>
              </w:rPr>
              <w:t>-</w:t>
            </w:r>
          </w:p>
          <w:p>
            <w:pPr>
              <w:pStyle w:val="TableParagraph"/>
              <w:tabs>
                <w:tab w:pos="4555" w:val="left" w:leader="none"/>
              </w:tabs>
              <w:spacing w:line="183" w:lineRule="exact" w:before="57"/>
              <w:ind w:left="21"/>
              <w:rPr>
                <w:rFonts w:ascii="Arial Narrow" w:hAnsi="Arial Narrow"/>
                <w:position w:val="1"/>
                <w:sz w:val="14"/>
              </w:rPr>
            </w:pPr>
            <w:r>
              <w:rPr>
                <w:rFonts w:ascii="Arial Narrow" w:hAnsi="Arial Narrow"/>
                <w:sz w:val="16"/>
              </w:rPr>
              <w:t>Disminuciones</w:t>
            </w:r>
            <w:r>
              <w:rPr>
                <w:rFonts w:ascii="Arial Narrow" w:hAnsi="Arial Narrow"/>
                <w:spacing w:val="-4"/>
                <w:sz w:val="16"/>
              </w:rPr>
              <w:t> </w:t>
            </w:r>
            <w:r>
              <w:rPr>
                <w:rFonts w:ascii="Arial Narrow" w:hAnsi="Arial Narrow"/>
                <w:sz w:val="16"/>
              </w:rPr>
              <w:t>por</w:t>
            </w:r>
            <w:r>
              <w:rPr>
                <w:rFonts w:ascii="Arial Narrow" w:hAnsi="Arial Narrow"/>
                <w:spacing w:val="-5"/>
                <w:sz w:val="16"/>
              </w:rPr>
              <w:t> </w:t>
            </w:r>
            <w:r>
              <w:rPr>
                <w:rFonts w:ascii="Arial Narrow" w:hAnsi="Arial Narrow"/>
                <w:spacing w:val="-2"/>
                <w:sz w:val="16"/>
              </w:rPr>
              <w:t>aplicación</w:t>
            </w:r>
            <w:r>
              <w:rPr>
                <w:rFonts w:ascii="Arial Narrow" w:hAnsi="Arial Narrow"/>
                <w:sz w:val="16"/>
              </w:rPr>
              <w:tab/>
            </w:r>
            <w:r>
              <w:rPr>
                <w:rFonts w:ascii="Arial Narrow" w:hAnsi="Arial Narrow"/>
                <w:position w:val="1"/>
                <w:sz w:val="14"/>
              </w:rPr>
              <w:t>262</w:t>
            </w:r>
            <w:r>
              <w:rPr>
                <w:rFonts w:ascii="Arial Narrow" w:hAnsi="Arial Narrow"/>
                <w:spacing w:val="9"/>
                <w:position w:val="1"/>
                <w:sz w:val="14"/>
              </w:rPr>
              <w:t> </w:t>
            </w:r>
            <w:r>
              <w:rPr>
                <w:rFonts w:ascii="Arial Narrow" w:hAnsi="Arial Narrow"/>
                <w:spacing w:val="-2"/>
                <w:position w:val="1"/>
                <w:sz w:val="14"/>
              </w:rPr>
              <w:t>893,62</w:t>
            </w:r>
          </w:p>
        </w:tc>
      </w:tr>
      <w:tr>
        <w:trPr>
          <w:trHeight w:val="230" w:hRule="atLeast"/>
        </w:trPr>
        <w:tc>
          <w:tcPr>
            <w:tcW w:w="3557" w:type="dxa"/>
            <w:tcBorders>
              <w:top w:val="nil"/>
              <w:bottom w:val="single" w:sz="8" w:space="0" w:color="000000"/>
              <w:right w:val="nil"/>
            </w:tcBorders>
            <w:shd w:val="clear" w:color="auto" w:fill="FFFFFF"/>
          </w:tcPr>
          <w:p>
            <w:pPr>
              <w:pStyle w:val="TableParagraph"/>
              <w:spacing w:line="178" w:lineRule="exact" w:before="32"/>
              <w:ind w:left="21"/>
              <w:rPr>
                <w:rFonts w:ascii="Arial Narrow"/>
                <w:b/>
                <w:sz w:val="16"/>
              </w:rPr>
            </w:pPr>
            <w:r>
              <w:rPr>
                <w:rFonts w:ascii="Arial Narrow"/>
                <w:b/>
                <w:sz w:val="16"/>
              </w:rPr>
              <w:t>Saldo</w:t>
            </w:r>
            <w:r>
              <w:rPr>
                <w:rFonts w:ascii="Arial Narrow"/>
                <w:b/>
                <w:spacing w:val="2"/>
                <w:sz w:val="16"/>
              </w:rPr>
              <w:t> </w:t>
            </w:r>
            <w:r>
              <w:rPr>
                <w:rFonts w:ascii="Arial Narrow"/>
                <w:b/>
                <w:sz w:val="16"/>
              </w:rPr>
              <w:t>final</w:t>
            </w:r>
            <w:r>
              <w:rPr>
                <w:rFonts w:ascii="Arial Narrow"/>
                <w:b/>
                <w:spacing w:val="2"/>
                <w:sz w:val="16"/>
              </w:rPr>
              <w:t> </w:t>
            </w:r>
            <w:r>
              <w:rPr>
                <w:rFonts w:ascii="Arial Narrow"/>
                <w:b/>
                <w:sz w:val="16"/>
              </w:rPr>
              <w:t>de provisiones</w:t>
            </w:r>
            <w:r>
              <w:rPr>
                <w:rFonts w:ascii="Arial Narrow"/>
                <w:b/>
                <w:spacing w:val="-1"/>
                <w:sz w:val="16"/>
              </w:rPr>
              <w:t> </w:t>
            </w:r>
            <w:r>
              <w:rPr>
                <w:rFonts w:ascii="Arial Narrow"/>
                <w:b/>
                <w:spacing w:val="-2"/>
                <w:sz w:val="16"/>
              </w:rPr>
              <w:t>31.07.2026</w:t>
            </w:r>
          </w:p>
          <w:p>
            <w:pPr>
              <w:pStyle w:val="TableParagraph"/>
              <w:spacing w:line="20" w:lineRule="exact"/>
              <w:ind w:left="2"/>
              <w:rPr>
                <w:sz w:val="2"/>
              </w:rPr>
            </w:pPr>
            <w:r>
              <w:rPr>
                <w:sz w:val="2"/>
              </w:rPr>
              <w:drawing>
                <wp:inline distT="0" distB="0" distL="0" distR="0">
                  <wp:extent cx="1951195" cy="13144"/>
                  <wp:effectExtent l="0" t="0" r="0" b="0"/>
                  <wp:docPr id="415" name="Image 415"/>
                  <wp:cNvGraphicFramePr>
                    <a:graphicFrameLocks/>
                  </wp:cNvGraphicFramePr>
                  <a:graphic>
                    <a:graphicData uri="http://schemas.openxmlformats.org/drawingml/2006/picture">
                      <pic:pic>
                        <pic:nvPicPr>
                          <pic:cNvPr id="415" name="Image 415"/>
                          <pic:cNvPicPr/>
                        </pic:nvPicPr>
                        <pic:blipFill>
                          <a:blip r:embed="rId50" cstate="print"/>
                          <a:stretch>
                            <a:fillRect/>
                          </a:stretch>
                        </pic:blipFill>
                        <pic:spPr>
                          <a:xfrm>
                            <a:off x="0" y="0"/>
                            <a:ext cx="1951195" cy="13144"/>
                          </a:xfrm>
                          <a:prstGeom prst="rect">
                            <a:avLst/>
                          </a:prstGeom>
                        </pic:spPr>
                      </pic:pic>
                    </a:graphicData>
                  </a:graphic>
                </wp:inline>
              </w:drawing>
            </w:r>
            <w:r>
              <w:rPr>
                <w:sz w:val="2"/>
              </w:rPr>
            </w:r>
          </w:p>
        </w:tc>
        <w:tc>
          <w:tcPr>
            <w:tcW w:w="1669" w:type="dxa"/>
            <w:tcBorders>
              <w:left w:val="nil"/>
            </w:tcBorders>
            <w:shd w:val="clear" w:color="auto" w:fill="FFFFFF"/>
          </w:tcPr>
          <w:p>
            <w:pPr>
              <w:pStyle w:val="TableParagraph"/>
              <w:spacing w:before="42"/>
              <w:ind w:left="1000"/>
              <w:rPr>
                <w:rFonts w:ascii="Arial Narrow"/>
                <w:b/>
                <w:sz w:val="14"/>
              </w:rPr>
            </w:pPr>
            <w:r>
              <w:rPr>
                <w:rFonts w:ascii="Arial Narrow"/>
                <w:b/>
                <w:w w:val="105"/>
                <w:sz w:val="14"/>
              </w:rPr>
              <w:t>777</w:t>
            </w:r>
            <w:r>
              <w:rPr>
                <w:rFonts w:ascii="Arial Narrow"/>
                <w:b/>
                <w:spacing w:val="-2"/>
                <w:w w:val="105"/>
                <w:sz w:val="14"/>
              </w:rPr>
              <w:t> 601,19</w:t>
            </w:r>
          </w:p>
        </w:tc>
      </w:tr>
    </w:tbl>
    <w:p>
      <w:pPr>
        <w:pStyle w:val="TableParagraph"/>
        <w:spacing w:after="0"/>
        <w:rPr>
          <w:rFonts w:ascii="Arial Narrow"/>
          <w:b/>
          <w:sz w:val="14"/>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4880">
                <wp:simplePos x="0" y="0"/>
                <wp:positionH relativeFrom="page">
                  <wp:posOffset>9525</wp:posOffset>
                </wp:positionH>
                <wp:positionV relativeFrom="page">
                  <wp:posOffset>297208</wp:posOffset>
                </wp:positionV>
                <wp:extent cx="7762875" cy="9748520"/>
                <wp:effectExtent l="0" t="0" r="0" b="0"/>
                <wp:wrapNone/>
                <wp:docPr id="416" name="Group 416"/>
                <wp:cNvGraphicFramePr>
                  <a:graphicFrameLocks/>
                </wp:cNvGraphicFramePr>
                <a:graphic>
                  <a:graphicData uri="http://schemas.microsoft.com/office/word/2010/wordprocessingGroup">
                    <wpg:wgp>
                      <wpg:cNvPr id="416" name="Group 416"/>
                      <wpg:cNvGrpSpPr/>
                      <wpg:grpSpPr>
                        <a:xfrm>
                          <a:off x="0" y="0"/>
                          <a:ext cx="7762875" cy="9748520"/>
                          <a:chExt cx="7762875" cy="9748520"/>
                        </a:xfrm>
                      </wpg:grpSpPr>
                      <pic:pic>
                        <pic:nvPicPr>
                          <pic:cNvPr id="417" name="Image 417"/>
                          <pic:cNvPicPr/>
                        </pic:nvPicPr>
                        <pic:blipFill>
                          <a:blip r:embed="rId5" cstate="print"/>
                          <a:stretch>
                            <a:fillRect/>
                          </a:stretch>
                        </pic:blipFill>
                        <pic:spPr>
                          <a:xfrm>
                            <a:off x="0" y="0"/>
                            <a:ext cx="7762874" cy="9748489"/>
                          </a:xfrm>
                          <a:prstGeom prst="rect">
                            <a:avLst/>
                          </a:prstGeom>
                        </pic:spPr>
                      </pic:pic>
                      <wps:wsp>
                        <wps:cNvPr id="418" name="Graphic 41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21600" id="docshapegroup394" coordorigin="15,468" coordsize="12225,15352">
                <v:shape style="position:absolute;left:15;top:468;width:12225;height:15352" type="#_x0000_t75" id="docshape395" stroked="false">
                  <v:imagedata r:id="rId5" o:title=""/>
                </v:shape>
                <v:rect style="position:absolute;left:1673;top:2028;width:8897;height:15" id="docshape39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86</w:t>
      </w:r>
    </w:p>
    <w:p>
      <w:pPr>
        <w:pStyle w:val="Heading5"/>
        <w:spacing w:before="218"/>
      </w:pPr>
      <w:bookmarkStart w:name="_bookmark51" w:id="52"/>
      <w:bookmarkEnd w:id="52"/>
      <w:r>
        <w:rPr>
          <w:b w:val="0"/>
        </w:rPr>
      </w:r>
      <w:r>
        <w:rPr/>
        <w:t>NOTA</w:t>
      </w:r>
      <w:r>
        <w:rPr>
          <w:spacing w:val="-1"/>
        </w:rPr>
        <w:t> </w:t>
      </w:r>
      <w:r>
        <w:rPr/>
        <w:t>N° </w:t>
      </w:r>
      <w:r>
        <w:rPr>
          <w:spacing w:val="-5"/>
        </w:rPr>
        <w:t>18</w:t>
      </w:r>
    </w:p>
    <w:p>
      <w:pPr>
        <w:pStyle w:val="BodyText"/>
        <w:spacing w:before="114"/>
        <w:rPr>
          <w:b/>
        </w:rPr>
      </w:pPr>
    </w:p>
    <w:p>
      <w:pPr>
        <w:pStyle w:val="BodyText"/>
        <w:spacing w:before="1"/>
        <w:ind w:left="622"/>
      </w:pPr>
      <w:r>
        <w:rPr/>
        <w:t>Otros</w:t>
      </w:r>
      <w:r>
        <w:rPr>
          <w:spacing w:val="-5"/>
        </w:rPr>
        <w:t> </w:t>
      </w:r>
      <w:r>
        <w:rPr/>
        <w:t>pasivos</w:t>
      </w:r>
      <w:r>
        <w:rPr>
          <w:spacing w:val="-3"/>
        </w:rPr>
        <w:t> </w:t>
      </w:r>
      <w:r>
        <w:rPr/>
        <w:t>a</w:t>
      </w:r>
      <w:r>
        <w:rPr>
          <w:spacing w:val="-4"/>
        </w:rPr>
        <w:t> </w:t>
      </w:r>
      <w:r>
        <w:rPr/>
        <w:t>corto</w:t>
      </w:r>
      <w:r>
        <w:rPr>
          <w:spacing w:val="-3"/>
        </w:rPr>
        <w:t> </w:t>
      </w:r>
      <w:r>
        <w:rPr>
          <w:spacing w:val="-4"/>
        </w:rPr>
        <w:t>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2256"/>
        <w:gridCol w:w="571"/>
        <w:gridCol w:w="2126"/>
        <w:gridCol w:w="1891"/>
        <w:gridCol w:w="1197"/>
      </w:tblGrid>
      <w:tr>
        <w:trPr>
          <w:trHeight w:val="323" w:hRule="atLeast"/>
        </w:trPr>
        <w:tc>
          <w:tcPr>
            <w:tcW w:w="991" w:type="dxa"/>
            <w:vMerge w:val="restart"/>
            <w:shd w:val="clear" w:color="auto" w:fill="365F92"/>
          </w:tcPr>
          <w:p>
            <w:pPr>
              <w:pStyle w:val="TableParagraph"/>
              <w:spacing w:before="117"/>
              <w:ind w:left="69"/>
              <w:rPr>
                <w:b/>
                <w:sz w:val="22"/>
              </w:rPr>
            </w:pPr>
            <w:r>
              <w:rPr>
                <w:b/>
                <w:color w:val="FFFFFF"/>
                <w:spacing w:val="-2"/>
                <w:sz w:val="22"/>
              </w:rPr>
              <w:t>Cuenta</w:t>
            </w:r>
          </w:p>
        </w:tc>
        <w:tc>
          <w:tcPr>
            <w:tcW w:w="2256" w:type="dxa"/>
            <w:vMerge w:val="restart"/>
            <w:shd w:val="clear" w:color="auto" w:fill="365F92"/>
          </w:tcPr>
          <w:p>
            <w:pPr>
              <w:pStyle w:val="TableParagraph"/>
              <w:spacing w:before="206"/>
              <w:ind w:left="597"/>
              <w:rPr>
                <w:b/>
                <w:sz w:val="22"/>
              </w:rPr>
            </w:pPr>
            <w:r>
              <w:rPr>
                <w:b/>
                <w:color w:val="FFFFFF"/>
                <w:spacing w:val="-2"/>
                <w:sz w:val="22"/>
              </w:rPr>
              <w:t>Descripción</w:t>
            </w:r>
          </w:p>
        </w:tc>
        <w:tc>
          <w:tcPr>
            <w:tcW w:w="571" w:type="dxa"/>
            <w:vMerge w:val="restart"/>
            <w:shd w:val="clear" w:color="auto" w:fill="365F92"/>
          </w:tcPr>
          <w:p>
            <w:pPr>
              <w:pStyle w:val="TableParagraph"/>
              <w:spacing w:before="206"/>
              <w:ind w:left="69"/>
              <w:rPr>
                <w:b/>
                <w:sz w:val="22"/>
              </w:rPr>
            </w:pPr>
            <w:r>
              <w:rPr>
                <w:b/>
                <w:color w:val="FFFFFF"/>
                <w:spacing w:val="-4"/>
                <w:sz w:val="22"/>
              </w:rPr>
              <w:t>Nota</w:t>
            </w:r>
          </w:p>
        </w:tc>
        <w:tc>
          <w:tcPr>
            <w:tcW w:w="2126" w:type="dxa"/>
            <w:vMerge w:val="restart"/>
            <w:shd w:val="clear" w:color="auto" w:fill="365F92"/>
          </w:tcPr>
          <w:p>
            <w:pPr>
              <w:pStyle w:val="TableParagraph"/>
              <w:spacing w:before="206"/>
              <w:ind w:left="432"/>
              <w:rPr>
                <w:b/>
                <w:sz w:val="22"/>
              </w:rPr>
            </w:pPr>
            <w:r>
              <w:rPr>
                <w:b/>
                <w:color w:val="FFFFFF"/>
                <w:sz w:val="22"/>
              </w:rPr>
              <w:t>Periodo</w:t>
            </w:r>
            <w:r>
              <w:rPr>
                <w:b/>
                <w:color w:val="FFFFFF"/>
                <w:spacing w:val="-4"/>
                <w:sz w:val="22"/>
              </w:rPr>
              <w:t> </w:t>
            </w:r>
            <w:r>
              <w:rPr>
                <w:b/>
                <w:color w:val="FFFFFF"/>
                <w:spacing w:val="-2"/>
                <w:sz w:val="22"/>
              </w:rPr>
              <w:t>Actual</w:t>
            </w:r>
          </w:p>
        </w:tc>
        <w:tc>
          <w:tcPr>
            <w:tcW w:w="1891" w:type="dxa"/>
            <w:vMerge w:val="restart"/>
            <w:shd w:val="clear" w:color="auto" w:fill="365F92"/>
          </w:tcPr>
          <w:p>
            <w:pPr>
              <w:pStyle w:val="TableParagraph"/>
              <w:spacing w:before="206"/>
              <w:ind w:left="222"/>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right="4"/>
              <w:jc w:val="center"/>
              <w:rPr>
                <w:b/>
                <w:sz w:val="22"/>
              </w:rPr>
            </w:pPr>
            <w:r>
              <w:rPr>
                <w:b/>
                <w:color w:val="FFFFFF"/>
                <w:spacing w:val="-2"/>
                <w:sz w:val="22"/>
              </w:rPr>
              <w:t>Diferencia</w:t>
            </w:r>
          </w:p>
        </w:tc>
      </w:tr>
      <w:tr>
        <w:trPr>
          <w:trHeight w:val="323" w:hRule="atLeast"/>
        </w:trPr>
        <w:tc>
          <w:tcPr>
            <w:tcW w:w="991" w:type="dxa"/>
            <w:vMerge/>
            <w:tcBorders>
              <w:top w:val="nil"/>
            </w:tcBorders>
            <w:shd w:val="clear" w:color="auto" w:fill="365F92"/>
          </w:tcPr>
          <w:p>
            <w:pPr>
              <w:rPr>
                <w:sz w:val="2"/>
                <w:szCs w:val="2"/>
              </w:rPr>
            </w:pPr>
          </w:p>
        </w:tc>
        <w:tc>
          <w:tcPr>
            <w:tcW w:w="2256"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2126" w:type="dxa"/>
            <w:vMerge/>
            <w:tcBorders>
              <w:top w:val="nil"/>
            </w:tcBorders>
            <w:shd w:val="clear" w:color="auto" w:fill="365F92"/>
          </w:tcPr>
          <w:p>
            <w:pPr>
              <w:rPr>
                <w:sz w:val="2"/>
                <w:szCs w:val="2"/>
              </w:rPr>
            </w:pPr>
          </w:p>
        </w:tc>
        <w:tc>
          <w:tcPr>
            <w:tcW w:w="1891"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5"/>
              <w:jc w:val="center"/>
              <w:rPr>
                <w:sz w:val="22"/>
              </w:rPr>
            </w:pPr>
            <w:r>
              <w:rPr>
                <w:color w:val="FFFFFF"/>
                <w:spacing w:val="-10"/>
                <w:sz w:val="22"/>
              </w:rPr>
              <w:t>%</w:t>
            </w:r>
          </w:p>
        </w:tc>
      </w:tr>
      <w:tr>
        <w:trPr>
          <w:trHeight w:val="325" w:hRule="atLeast"/>
        </w:trPr>
        <w:tc>
          <w:tcPr>
            <w:tcW w:w="991" w:type="dxa"/>
          </w:tcPr>
          <w:p>
            <w:pPr>
              <w:pStyle w:val="TableParagraph"/>
              <w:spacing w:before="49"/>
              <w:ind w:left="69"/>
              <w:rPr>
                <w:b/>
                <w:sz w:val="20"/>
              </w:rPr>
            </w:pPr>
            <w:r>
              <w:rPr>
                <w:b/>
                <w:spacing w:val="-2"/>
                <w:sz w:val="20"/>
              </w:rPr>
              <w:t>2.1.9.</w:t>
            </w:r>
          </w:p>
        </w:tc>
        <w:tc>
          <w:tcPr>
            <w:tcW w:w="2256" w:type="dxa"/>
          </w:tcPr>
          <w:p>
            <w:pPr>
              <w:pStyle w:val="TableParagraph"/>
              <w:spacing w:before="49"/>
              <w:ind w:left="69"/>
              <w:rPr>
                <w:b/>
                <w:sz w:val="20"/>
              </w:rPr>
            </w:pPr>
            <w:r>
              <w:rPr>
                <w:b/>
                <w:sz w:val="20"/>
              </w:rPr>
              <w:t>Otros</w:t>
            </w:r>
            <w:r>
              <w:rPr>
                <w:b/>
                <w:spacing w:val="-12"/>
                <w:sz w:val="20"/>
              </w:rPr>
              <w:t> </w:t>
            </w:r>
            <w:r>
              <w:rPr>
                <w:b/>
                <w:sz w:val="20"/>
              </w:rPr>
              <w:t>pasivos</w:t>
            </w:r>
            <w:r>
              <w:rPr>
                <w:b/>
                <w:spacing w:val="-11"/>
                <w:sz w:val="20"/>
              </w:rPr>
              <w:t> </w:t>
            </w:r>
            <w:r>
              <w:rPr>
                <w:b/>
                <w:sz w:val="20"/>
              </w:rPr>
              <w:t>a</w:t>
            </w:r>
            <w:r>
              <w:rPr>
                <w:b/>
                <w:spacing w:val="-11"/>
                <w:sz w:val="20"/>
              </w:rPr>
              <w:t> </w:t>
            </w:r>
            <w:r>
              <w:rPr>
                <w:b/>
                <w:sz w:val="20"/>
              </w:rPr>
              <w:t>corto</w:t>
            </w:r>
            <w:r>
              <w:rPr>
                <w:b/>
                <w:spacing w:val="-11"/>
                <w:sz w:val="20"/>
              </w:rPr>
              <w:t> </w:t>
            </w:r>
            <w:r>
              <w:rPr>
                <w:b/>
                <w:spacing w:val="-4"/>
                <w:sz w:val="20"/>
              </w:rPr>
              <w:t>plazo</w:t>
            </w:r>
          </w:p>
        </w:tc>
        <w:tc>
          <w:tcPr>
            <w:tcW w:w="571" w:type="dxa"/>
          </w:tcPr>
          <w:p>
            <w:pPr>
              <w:pStyle w:val="TableParagraph"/>
              <w:spacing w:before="49"/>
              <w:ind w:left="187"/>
              <w:rPr>
                <w:b/>
                <w:sz w:val="20"/>
              </w:rPr>
            </w:pPr>
            <w:r>
              <w:rPr>
                <w:b/>
                <w:spacing w:val="-5"/>
                <w:sz w:val="20"/>
              </w:rPr>
              <w:t>18</w:t>
            </w:r>
          </w:p>
        </w:tc>
        <w:tc>
          <w:tcPr>
            <w:tcW w:w="2126" w:type="dxa"/>
          </w:tcPr>
          <w:p>
            <w:pPr>
              <w:pStyle w:val="TableParagraph"/>
              <w:spacing w:before="49"/>
              <w:ind w:left="19"/>
              <w:jc w:val="center"/>
              <w:rPr>
                <w:b/>
                <w:sz w:val="20"/>
              </w:rPr>
            </w:pPr>
            <w:r>
              <w:rPr>
                <w:b/>
                <w:spacing w:val="-2"/>
                <w:sz w:val="20"/>
              </w:rPr>
              <w:t>230,24</w:t>
            </w:r>
          </w:p>
        </w:tc>
        <w:tc>
          <w:tcPr>
            <w:tcW w:w="1891" w:type="dxa"/>
          </w:tcPr>
          <w:p>
            <w:pPr>
              <w:pStyle w:val="TableParagraph"/>
              <w:spacing w:before="49"/>
              <w:ind w:left="73" w:right="52"/>
              <w:jc w:val="center"/>
              <w:rPr>
                <w:b/>
                <w:sz w:val="20"/>
              </w:rPr>
            </w:pPr>
            <w:r>
              <w:rPr>
                <w:b/>
                <w:spacing w:val="-2"/>
                <w:sz w:val="20"/>
              </w:rPr>
              <w:t>104,45</w:t>
            </w:r>
          </w:p>
        </w:tc>
        <w:tc>
          <w:tcPr>
            <w:tcW w:w="1197" w:type="dxa"/>
          </w:tcPr>
          <w:p>
            <w:pPr>
              <w:pStyle w:val="TableParagraph"/>
              <w:spacing w:before="49"/>
              <w:ind w:left="28" w:right="3"/>
              <w:jc w:val="center"/>
              <w:rPr>
                <w:b/>
                <w:sz w:val="20"/>
              </w:rPr>
            </w:pPr>
            <w:r>
              <w:rPr>
                <w:b/>
                <w:spacing w:val="-2"/>
                <w:sz w:val="20"/>
              </w:rPr>
              <w:t>120,43%</w:t>
            </w:r>
          </w:p>
        </w:tc>
      </w:tr>
    </w:tbl>
    <w:p>
      <w:pPr>
        <w:pStyle w:val="BodyText"/>
        <w:rPr>
          <w:sz w:val="20"/>
        </w:rPr>
      </w:pPr>
    </w:p>
    <w:p>
      <w:pPr>
        <w:pStyle w:val="BodyText"/>
        <w:spacing w:before="189"/>
        <w:rPr>
          <w:sz w:val="20"/>
        </w:rPr>
      </w:pPr>
      <w:r>
        <w:rPr>
          <w:sz w:val="20"/>
        </w:rPr>
        <mc:AlternateContent>
          <mc:Choice Requires="wps">
            <w:drawing>
              <wp:anchor distT="0" distB="0" distL="0" distR="0" allowOverlap="1" layoutInCell="1" locked="0" behindDoc="1" simplePos="0" relativeHeight="487656960">
                <wp:simplePos x="0" y="0"/>
                <wp:positionH relativeFrom="page">
                  <wp:posOffset>1080820</wp:posOffset>
                </wp:positionH>
                <wp:positionV relativeFrom="paragraph">
                  <wp:posOffset>283892</wp:posOffset>
                </wp:positionV>
                <wp:extent cx="5715000" cy="701040"/>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5715000" cy="701040"/>
                        </a:xfrm>
                        <a:prstGeom prst="rect">
                          <a:avLst/>
                        </a:prstGeom>
                        <a:ln w="6095">
                          <a:solidFill>
                            <a:srgbClr val="000000"/>
                          </a:solidFill>
                          <a:prstDash val="solid"/>
                        </a:ln>
                      </wps:spPr>
                      <wps:txbx>
                        <w:txbxContent>
                          <w:p>
                            <w:pPr>
                              <w:spacing w:before="3"/>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8"/>
                              <w:ind w:left="103"/>
                            </w:pPr>
                            <w:r>
                              <w:rPr/>
                              <w:t>Las</w:t>
                            </w:r>
                            <w:r>
                              <w:rPr>
                                <w:spacing w:val="-4"/>
                              </w:rPr>
                              <w:t> </w:t>
                            </w:r>
                            <w:r>
                              <w:rPr/>
                              <w:t>variaciones</w:t>
                            </w:r>
                            <w:r>
                              <w:rPr>
                                <w:spacing w:val="-4"/>
                              </w:rPr>
                              <w:t> </w:t>
                            </w:r>
                            <w:r>
                              <w:rPr/>
                              <w:t>de</w:t>
                            </w:r>
                            <w:r>
                              <w:rPr>
                                <w:spacing w:val="-6"/>
                              </w:rPr>
                              <w:t> </w:t>
                            </w:r>
                            <w:r>
                              <w:rPr/>
                              <w:t>la</w:t>
                            </w:r>
                            <w:r>
                              <w:rPr>
                                <w:spacing w:val="-6"/>
                              </w:rPr>
                              <w:t> </w:t>
                            </w:r>
                            <w:r>
                              <w:rPr/>
                              <w:t>cuenta</w:t>
                            </w:r>
                            <w:r>
                              <w:rPr>
                                <w:spacing w:val="-10"/>
                              </w:rPr>
                              <w:t> </w:t>
                            </w:r>
                            <w:r>
                              <w:rPr/>
                              <w:t>son</w:t>
                            </w:r>
                            <w:r>
                              <w:rPr>
                                <w:spacing w:val="-7"/>
                              </w:rPr>
                              <w:t> </w:t>
                            </w:r>
                            <w:r>
                              <w:rPr/>
                              <w:t>producto</w:t>
                            </w:r>
                            <w:r>
                              <w:rPr>
                                <w:spacing w:val="-6"/>
                              </w:rPr>
                              <w:t> </w:t>
                            </w:r>
                            <w:r>
                              <w:rPr/>
                              <w:t>de</w:t>
                            </w:r>
                            <w:r>
                              <w:rPr>
                                <w:spacing w:val="-6"/>
                              </w:rPr>
                              <w:t> </w:t>
                            </w:r>
                            <w:r>
                              <w:rPr/>
                              <w:t>Ingresos</w:t>
                            </w:r>
                            <w:r>
                              <w:rPr>
                                <w:spacing w:val="-6"/>
                              </w:rPr>
                              <w:t> </w:t>
                            </w:r>
                            <w:r>
                              <w:rPr/>
                              <w:t>Diferidos</w:t>
                            </w:r>
                            <w:r>
                              <w:rPr>
                                <w:spacing w:val="-4"/>
                              </w:rPr>
                              <w:t> </w:t>
                            </w:r>
                            <w:r>
                              <w:rPr/>
                              <w:t>de</w:t>
                            </w:r>
                            <w:r>
                              <w:rPr>
                                <w:spacing w:val="-6"/>
                              </w:rPr>
                              <w:t> </w:t>
                            </w:r>
                            <w:r>
                              <w:rPr/>
                              <w:t>la</w:t>
                            </w:r>
                            <w:r>
                              <w:rPr>
                                <w:spacing w:val="-8"/>
                              </w:rPr>
                              <w:t> </w:t>
                            </w:r>
                            <w:r>
                              <w:rPr/>
                              <w:t>Ley</w:t>
                            </w:r>
                            <w:r>
                              <w:rPr>
                                <w:spacing w:val="-6"/>
                              </w:rPr>
                              <w:t> </w:t>
                            </w:r>
                            <w:r>
                              <w:rPr/>
                              <w:t>8343</w:t>
                            </w:r>
                            <w:r>
                              <w:rPr>
                                <w:spacing w:val="-6"/>
                              </w:rPr>
                              <w:t> </w:t>
                            </w:r>
                            <w:r>
                              <w:rPr/>
                              <w:t>del</w:t>
                            </w:r>
                            <w:r>
                              <w:rPr>
                                <w:spacing w:val="-5"/>
                              </w:rPr>
                              <w:t> </w:t>
                            </w:r>
                            <w:r>
                              <w:rPr/>
                              <w:t>Instituto</w:t>
                            </w:r>
                            <w:r>
                              <w:rPr>
                                <w:spacing w:val="-6"/>
                              </w:rPr>
                              <w:t> </w:t>
                            </w:r>
                            <w:r>
                              <w:rPr/>
                              <w:t>Mixto</w:t>
                            </w:r>
                            <w:r>
                              <w:rPr>
                                <w:spacing w:val="-6"/>
                              </w:rPr>
                              <w:t> </w:t>
                            </w:r>
                            <w:r>
                              <w:rPr/>
                              <w:t>de Ayuda Social, correspondiente a terceros que cancelan los impuestos de forma anticipada.</w:t>
                            </w:r>
                          </w:p>
                        </w:txbxContent>
                      </wps:txbx>
                      <wps:bodyPr wrap="square" lIns="0" tIns="0" rIns="0" bIns="0" rtlCol="0">
                        <a:noAutofit/>
                      </wps:bodyPr>
                    </wps:wsp>
                  </a:graphicData>
                </a:graphic>
              </wp:anchor>
            </w:drawing>
          </mc:Choice>
          <mc:Fallback>
            <w:pict>
              <v:shape style="position:absolute;margin-left:85.103996pt;margin-top:22.35375pt;width:450pt;height:55.2pt;mso-position-horizontal-relative:page;mso-position-vertical-relative:paragraph;z-index:-15659520;mso-wrap-distance-left:0;mso-wrap-distance-right:0" type="#_x0000_t202" id="docshape397" filled="false" stroked="true" strokeweight=".47998pt" strokecolor="#000000">
                <v:textbox inset="0,0,0,0">
                  <w:txbxContent>
                    <w:p>
                      <w:pPr>
                        <w:spacing w:before="3"/>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8"/>
                        <w:ind w:left="103"/>
                      </w:pPr>
                      <w:r>
                        <w:rPr/>
                        <w:t>Las</w:t>
                      </w:r>
                      <w:r>
                        <w:rPr>
                          <w:spacing w:val="-4"/>
                        </w:rPr>
                        <w:t> </w:t>
                      </w:r>
                      <w:r>
                        <w:rPr/>
                        <w:t>variaciones</w:t>
                      </w:r>
                      <w:r>
                        <w:rPr>
                          <w:spacing w:val="-4"/>
                        </w:rPr>
                        <w:t> </w:t>
                      </w:r>
                      <w:r>
                        <w:rPr/>
                        <w:t>de</w:t>
                      </w:r>
                      <w:r>
                        <w:rPr>
                          <w:spacing w:val="-6"/>
                        </w:rPr>
                        <w:t> </w:t>
                      </w:r>
                      <w:r>
                        <w:rPr/>
                        <w:t>la</w:t>
                      </w:r>
                      <w:r>
                        <w:rPr>
                          <w:spacing w:val="-6"/>
                        </w:rPr>
                        <w:t> </w:t>
                      </w:r>
                      <w:r>
                        <w:rPr/>
                        <w:t>cuenta</w:t>
                      </w:r>
                      <w:r>
                        <w:rPr>
                          <w:spacing w:val="-10"/>
                        </w:rPr>
                        <w:t> </w:t>
                      </w:r>
                      <w:r>
                        <w:rPr/>
                        <w:t>son</w:t>
                      </w:r>
                      <w:r>
                        <w:rPr>
                          <w:spacing w:val="-7"/>
                        </w:rPr>
                        <w:t> </w:t>
                      </w:r>
                      <w:r>
                        <w:rPr/>
                        <w:t>producto</w:t>
                      </w:r>
                      <w:r>
                        <w:rPr>
                          <w:spacing w:val="-6"/>
                        </w:rPr>
                        <w:t> </w:t>
                      </w:r>
                      <w:r>
                        <w:rPr/>
                        <w:t>de</w:t>
                      </w:r>
                      <w:r>
                        <w:rPr>
                          <w:spacing w:val="-6"/>
                        </w:rPr>
                        <w:t> </w:t>
                      </w:r>
                      <w:r>
                        <w:rPr/>
                        <w:t>Ingresos</w:t>
                      </w:r>
                      <w:r>
                        <w:rPr>
                          <w:spacing w:val="-6"/>
                        </w:rPr>
                        <w:t> </w:t>
                      </w:r>
                      <w:r>
                        <w:rPr/>
                        <w:t>Diferidos</w:t>
                      </w:r>
                      <w:r>
                        <w:rPr>
                          <w:spacing w:val="-4"/>
                        </w:rPr>
                        <w:t> </w:t>
                      </w:r>
                      <w:r>
                        <w:rPr/>
                        <w:t>de</w:t>
                      </w:r>
                      <w:r>
                        <w:rPr>
                          <w:spacing w:val="-6"/>
                        </w:rPr>
                        <w:t> </w:t>
                      </w:r>
                      <w:r>
                        <w:rPr/>
                        <w:t>la</w:t>
                      </w:r>
                      <w:r>
                        <w:rPr>
                          <w:spacing w:val="-8"/>
                        </w:rPr>
                        <w:t> </w:t>
                      </w:r>
                      <w:r>
                        <w:rPr/>
                        <w:t>Ley</w:t>
                      </w:r>
                      <w:r>
                        <w:rPr>
                          <w:spacing w:val="-6"/>
                        </w:rPr>
                        <w:t> </w:t>
                      </w:r>
                      <w:r>
                        <w:rPr/>
                        <w:t>8343</w:t>
                      </w:r>
                      <w:r>
                        <w:rPr>
                          <w:spacing w:val="-6"/>
                        </w:rPr>
                        <w:t> </w:t>
                      </w:r>
                      <w:r>
                        <w:rPr/>
                        <w:t>del</w:t>
                      </w:r>
                      <w:r>
                        <w:rPr>
                          <w:spacing w:val="-5"/>
                        </w:rPr>
                        <w:t> </w:t>
                      </w:r>
                      <w:r>
                        <w:rPr/>
                        <w:t>Instituto</w:t>
                      </w:r>
                      <w:r>
                        <w:rPr>
                          <w:spacing w:val="-6"/>
                        </w:rPr>
                        <w:t> </w:t>
                      </w:r>
                      <w:r>
                        <w:rPr/>
                        <w:t>Mixto</w:t>
                      </w:r>
                      <w:r>
                        <w:rPr>
                          <w:spacing w:val="-6"/>
                        </w:rPr>
                        <w:t> </w:t>
                      </w:r>
                      <w:r>
                        <w:rPr/>
                        <w:t>de Ayuda Social, correspondiente a terceros que cancelan los impuestos de forma anticipada.</w:t>
                      </w:r>
                    </w:p>
                  </w:txbxContent>
                </v:textbox>
                <v:stroke dashstyle="solid"/>
                <w10:wrap type="topAndBottom"/>
              </v:shape>
            </w:pict>
          </mc:Fallback>
        </mc:AlternateContent>
      </w:r>
    </w:p>
    <w:p>
      <w:pPr>
        <w:pStyle w:val="BodyText"/>
        <w:spacing w:before="186"/>
      </w:pPr>
    </w:p>
    <w:p>
      <w:pPr>
        <w:pStyle w:val="Heading6"/>
        <w:ind w:left="622"/>
        <w:rPr>
          <w:b w:val="0"/>
        </w:rPr>
      </w:pPr>
      <w:r>
        <w:rPr>
          <w:spacing w:val="-2"/>
        </w:rPr>
        <w:t>Revelación</w:t>
      </w:r>
      <w:r>
        <w:rPr>
          <w:b w:val="0"/>
          <w:spacing w:val="-2"/>
        </w:rPr>
        <w:t>:</w:t>
      </w:r>
    </w:p>
    <w:p>
      <w:pPr>
        <w:pStyle w:val="BodyText"/>
        <w:spacing w:line="259" w:lineRule="auto" w:before="179"/>
        <w:ind w:left="622" w:right="974"/>
        <w:jc w:val="both"/>
      </w:pPr>
      <w:r>
        <w:rPr/>
        <w:t>La cuenta Otros pasivos a corto plazo, representa el 0,0003% del total del Pasivo, que comparado al periodo</w:t>
      </w:r>
      <w:r>
        <w:rPr>
          <w:spacing w:val="-5"/>
        </w:rPr>
        <w:t> </w:t>
      </w:r>
      <w:r>
        <w:rPr/>
        <w:t>anterior</w:t>
      </w:r>
      <w:r>
        <w:rPr>
          <w:spacing w:val="-6"/>
        </w:rPr>
        <w:t> </w:t>
      </w:r>
      <w:r>
        <w:rPr/>
        <w:t>genera</w:t>
      </w:r>
      <w:r>
        <w:rPr>
          <w:spacing w:val="-6"/>
        </w:rPr>
        <w:t> </w:t>
      </w:r>
      <w:r>
        <w:rPr/>
        <w:t>una</w:t>
      </w:r>
      <w:r>
        <w:rPr>
          <w:spacing w:val="-8"/>
        </w:rPr>
        <w:t> </w:t>
      </w:r>
      <w:r>
        <w:rPr/>
        <w:t>variación</w:t>
      </w:r>
      <w:r>
        <w:rPr>
          <w:spacing w:val="-5"/>
        </w:rPr>
        <w:t> </w:t>
      </w:r>
      <w:r>
        <w:rPr/>
        <w:t>absoluta</w:t>
      </w:r>
      <w:r>
        <w:rPr>
          <w:spacing w:val="-6"/>
        </w:rPr>
        <w:t> </w:t>
      </w:r>
      <w:r>
        <w:rPr/>
        <w:t>de125,79</w:t>
      </w:r>
      <w:r>
        <w:rPr>
          <w:spacing w:val="-6"/>
        </w:rPr>
        <w:t> </w:t>
      </w:r>
      <w:r>
        <w:rPr/>
        <w:t>que</w:t>
      </w:r>
      <w:r>
        <w:rPr>
          <w:spacing w:val="-7"/>
        </w:rPr>
        <w:t> </w:t>
      </w:r>
      <w:r>
        <w:rPr/>
        <w:t>corresponde</w:t>
      </w:r>
      <w:r>
        <w:rPr>
          <w:spacing w:val="-7"/>
        </w:rPr>
        <w:t> </w:t>
      </w:r>
      <w:r>
        <w:rPr/>
        <w:t>a</w:t>
      </w:r>
      <w:r>
        <w:rPr>
          <w:spacing w:val="-6"/>
        </w:rPr>
        <w:t> </w:t>
      </w:r>
      <w:r>
        <w:rPr/>
        <w:t>un</w:t>
      </w:r>
      <w:r>
        <w:rPr>
          <w:spacing w:val="-5"/>
        </w:rPr>
        <w:t> </w:t>
      </w:r>
      <w:r>
        <w:rPr/>
        <w:t>Aumento</w:t>
      </w:r>
      <w:r>
        <w:rPr>
          <w:spacing w:val="-7"/>
        </w:rPr>
        <w:t> </w:t>
      </w:r>
      <w:r>
        <w:rPr/>
        <w:t>del</w:t>
      </w:r>
      <w:r>
        <w:rPr>
          <w:spacing w:val="-6"/>
        </w:rPr>
        <w:t> </w:t>
      </w:r>
      <w:r>
        <w:rPr/>
        <w:t>120,43%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57472">
                <wp:simplePos x="0" y="0"/>
                <wp:positionH relativeFrom="page">
                  <wp:posOffset>1080820</wp:posOffset>
                </wp:positionH>
                <wp:positionV relativeFrom="paragraph">
                  <wp:posOffset>233402</wp:posOffset>
                </wp:positionV>
                <wp:extent cx="5715000" cy="859790"/>
                <wp:effectExtent l="0" t="0" r="0" b="0"/>
                <wp:wrapTopAndBottom/>
                <wp:docPr id="420" name="Textbox 420"/>
                <wp:cNvGraphicFramePr>
                  <a:graphicFrameLocks/>
                </wp:cNvGraphicFramePr>
                <a:graphic>
                  <a:graphicData uri="http://schemas.microsoft.com/office/word/2010/wordprocessingShape">
                    <wps:wsp>
                      <wps:cNvPr id="420" name="Textbox 420"/>
                      <wps:cNvSpPr txBox="1"/>
                      <wps:spPr>
                        <a:xfrm>
                          <a:off x="0" y="0"/>
                          <a:ext cx="5715000" cy="8597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360" w:lineRule="auto" w:before="179"/>
                              <w:ind w:left="103"/>
                            </w:pPr>
                            <w:r>
                              <w:rPr/>
                              <w:t>Al</w:t>
                            </w:r>
                            <w:r>
                              <w:rPr>
                                <w:spacing w:val="21"/>
                              </w:rPr>
                              <w:t> </w:t>
                            </w:r>
                            <w:r>
                              <w:rPr/>
                              <w:t>31</w:t>
                            </w:r>
                            <w:r>
                              <w:rPr>
                                <w:spacing w:val="20"/>
                              </w:rPr>
                              <w:t> </w:t>
                            </w:r>
                            <w:r>
                              <w:rPr/>
                              <w:t>de</w:t>
                            </w:r>
                            <w:r>
                              <w:rPr>
                                <w:spacing w:val="20"/>
                              </w:rPr>
                              <w:t> </w:t>
                            </w:r>
                            <w:r>
                              <w:rPr/>
                              <w:t>julio</w:t>
                            </w:r>
                            <w:r>
                              <w:rPr>
                                <w:spacing w:val="22"/>
                              </w:rPr>
                              <w:t> </w:t>
                            </w:r>
                            <w:r>
                              <w:rPr/>
                              <w:t>2026,</w:t>
                            </w:r>
                            <w:r>
                              <w:rPr>
                                <w:spacing w:val="23"/>
                              </w:rPr>
                              <w:t> </w:t>
                            </w:r>
                            <w:r>
                              <w:rPr/>
                              <w:t>la</w:t>
                            </w:r>
                            <w:r>
                              <w:rPr>
                                <w:spacing w:val="20"/>
                              </w:rPr>
                              <w:t> </w:t>
                            </w:r>
                            <w:r>
                              <w:rPr/>
                              <w:t>variación</w:t>
                            </w:r>
                            <w:r>
                              <w:rPr>
                                <w:spacing w:val="22"/>
                              </w:rPr>
                              <w:t> </w:t>
                            </w:r>
                            <w:r>
                              <w:rPr/>
                              <w:t>corresponde</w:t>
                            </w:r>
                            <w:r>
                              <w:rPr>
                                <w:spacing w:val="21"/>
                              </w:rPr>
                              <w:t> </w:t>
                            </w:r>
                            <w:r>
                              <w:rPr/>
                              <w:t>a</w:t>
                            </w:r>
                            <w:r>
                              <w:rPr>
                                <w:spacing w:val="21"/>
                              </w:rPr>
                              <w:t> </w:t>
                            </w:r>
                            <w:r>
                              <w:rPr/>
                              <w:t>pagos</w:t>
                            </w:r>
                            <w:r>
                              <w:rPr>
                                <w:spacing w:val="20"/>
                              </w:rPr>
                              <w:t> </w:t>
                            </w:r>
                            <w:r>
                              <w:rPr/>
                              <w:t>de</w:t>
                            </w:r>
                            <w:r>
                              <w:rPr>
                                <w:spacing w:val="20"/>
                              </w:rPr>
                              <w:t> </w:t>
                            </w:r>
                            <w:r>
                              <w:rPr/>
                              <w:t>impuestos</w:t>
                            </w:r>
                            <w:r>
                              <w:rPr>
                                <w:spacing w:val="23"/>
                              </w:rPr>
                              <w:t> </w:t>
                            </w:r>
                            <w:r>
                              <w:rPr/>
                              <w:t>a</w:t>
                            </w:r>
                            <w:r>
                              <w:rPr>
                                <w:spacing w:val="21"/>
                              </w:rPr>
                              <w:t> </w:t>
                            </w:r>
                            <w:r>
                              <w:rPr/>
                              <w:t>los</w:t>
                            </w:r>
                            <w:r>
                              <w:rPr>
                                <w:spacing w:val="20"/>
                              </w:rPr>
                              <w:t> </w:t>
                            </w:r>
                            <w:r>
                              <w:rPr/>
                              <w:t>moteles</w:t>
                            </w:r>
                            <w:r>
                              <w:rPr>
                                <w:spacing w:val="23"/>
                              </w:rPr>
                              <w:t> </w:t>
                            </w:r>
                            <w:r>
                              <w:rPr/>
                              <w:t>cancelados</w:t>
                            </w:r>
                            <w:r>
                              <w:rPr>
                                <w:spacing w:val="23"/>
                              </w:rPr>
                              <w:t> </w:t>
                            </w:r>
                            <w:r>
                              <w:rPr/>
                              <w:t>por adelantado por los deudores.</w:t>
                            </w:r>
                          </w:p>
                        </w:txbxContent>
                      </wps:txbx>
                      <wps:bodyPr wrap="square" lIns="0" tIns="0" rIns="0" bIns="0" rtlCol="0">
                        <a:noAutofit/>
                      </wps:bodyPr>
                    </wps:wsp>
                  </a:graphicData>
                </a:graphic>
              </wp:anchor>
            </w:drawing>
          </mc:Choice>
          <mc:Fallback>
            <w:pict>
              <v:shape style="position:absolute;margin-left:85.103996pt;margin-top:18.378124pt;width:450pt;height:67.7pt;mso-position-horizontal-relative:page;mso-position-vertical-relative:paragraph;z-index:-15659008;mso-wrap-distance-left:0;mso-wrap-distance-right:0" type="#_x0000_t202" id="docshape39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360" w:lineRule="auto" w:before="179"/>
                        <w:ind w:left="103"/>
                      </w:pPr>
                      <w:r>
                        <w:rPr/>
                        <w:t>Al</w:t>
                      </w:r>
                      <w:r>
                        <w:rPr>
                          <w:spacing w:val="21"/>
                        </w:rPr>
                        <w:t> </w:t>
                      </w:r>
                      <w:r>
                        <w:rPr/>
                        <w:t>31</w:t>
                      </w:r>
                      <w:r>
                        <w:rPr>
                          <w:spacing w:val="20"/>
                        </w:rPr>
                        <w:t> </w:t>
                      </w:r>
                      <w:r>
                        <w:rPr/>
                        <w:t>de</w:t>
                      </w:r>
                      <w:r>
                        <w:rPr>
                          <w:spacing w:val="20"/>
                        </w:rPr>
                        <w:t> </w:t>
                      </w:r>
                      <w:r>
                        <w:rPr/>
                        <w:t>julio</w:t>
                      </w:r>
                      <w:r>
                        <w:rPr>
                          <w:spacing w:val="22"/>
                        </w:rPr>
                        <w:t> </w:t>
                      </w:r>
                      <w:r>
                        <w:rPr/>
                        <w:t>2026,</w:t>
                      </w:r>
                      <w:r>
                        <w:rPr>
                          <w:spacing w:val="23"/>
                        </w:rPr>
                        <w:t> </w:t>
                      </w:r>
                      <w:r>
                        <w:rPr/>
                        <w:t>la</w:t>
                      </w:r>
                      <w:r>
                        <w:rPr>
                          <w:spacing w:val="20"/>
                        </w:rPr>
                        <w:t> </w:t>
                      </w:r>
                      <w:r>
                        <w:rPr/>
                        <w:t>variación</w:t>
                      </w:r>
                      <w:r>
                        <w:rPr>
                          <w:spacing w:val="22"/>
                        </w:rPr>
                        <w:t> </w:t>
                      </w:r>
                      <w:r>
                        <w:rPr/>
                        <w:t>corresponde</w:t>
                      </w:r>
                      <w:r>
                        <w:rPr>
                          <w:spacing w:val="21"/>
                        </w:rPr>
                        <w:t> </w:t>
                      </w:r>
                      <w:r>
                        <w:rPr/>
                        <w:t>a</w:t>
                      </w:r>
                      <w:r>
                        <w:rPr>
                          <w:spacing w:val="21"/>
                        </w:rPr>
                        <w:t> </w:t>
                      </w:r>
                      <w:r>
                        <w:rPr/>
                        <w:t>pagos</w:t>
                      </w:r>
                      <w:r>
                        <w:rPr>
                          <w:spacing w:val="20"/>
                        </w:rPr>
                        <w:t> </w:t>
                      </w:r>
                      <w:r>
                        <w:rPr/>
                        <w:t>de</w:t>
                      </w:r>
                      <w:r>
                        <w:rPr>
                          <w:spacing w:val="20"/>
                        </w:rPr>
                        <w:t> </w:t>
                      </w:r>
                      <w:r>
                        <w:rPr/>
                        <w:t>impuestos</w:t>
                      </w:r>
                      <w:r>
                        <w:rPr>
                          <w:spacing w:val="23"/>
                        </w:rPr>
                        <w:t> </w:t>
                      </w:r>
                      <w:r>
                        <w:rPr/>
                        <w:t>a</w:t>
                      </w:r>
                      <w:r>
                        <w:rPr>
                          <w:spacing w:val="21"/>
                        </w:rPr>
                        <w:t> </w:t>
                      </w:r>
                      <w:r>
                        <w:rPr/>
                        <w:t>los</w:t>
                      </w:r>
                      <w:r>
                        <w:rPr>
                          <w:spacing w:val="20"/>
                        </w:rPr>
                        <w:t> </w:t>
                      </w:r>
                      <w:r>
                        <w:rPr/>
                        <w:t>moteles</w:t>
                      </w:r>
                      <w:r>
                        <w:rPr>
                          <w:spacing w:val="23"/>
                        </w:rPr>
                        <w:t> </w:t>
                      </w:r>
                      <w:r>
                        <w:rPr/>
                        <w:t>cancelados</w:t>
                      </w:r>
                      <w:r>
                        <w:rPr>
                          <w:spacing w:val="23"/>
                        </w:rPr>
                        <w:t> </w:t>
                      </w:r>
                      <w:r>
                        <w:rPr/>
                        <w:t>por adelantado por los deudores.</w:t>
                      </w:r>
                    </w:p>
                  </w:txbxContent>
                </v:textbox>
                <v:stroke dashstyle="solid"/>
                <w10:wrap type="topAndBottom"/>
              </v:shape>
            </w:pict>
          </mc:Fallback>
        </mc:AlternateContent>
      </w:r>
    </w:p>
    <w:p>
      <w:pPr>
        <w:pStyle w:val="BodyText"/>
        <w:spacing w:before="183"/>
      </w:pPr>
    </w:p>
    <w:p>
      <w:pPr>
        <w:pStyle w:val="ListParagraph"/>
        <w:numPr>
          <w:ilvl w:val="1"/>
          <w:numId w:val="39"/>
        </w:numPr>
        <w:tabs>
          <w:tab w:pos="945" w:val="left" w:leader="none"/>
        </w:tabs>
        <w:spacing w:line="398" w:lineRule="auto" w:before="1" w:after="0"/>
        <w:ind w:left="622" w:right="6950" w:firstLine="0"/>
        <w:jc w:val="left"/>
        <w:rPr>
          <w:b/>
          <w:sz w:val="22"/>
        </w:rPr>
      </w:pPr>
      <w:bookmarkStart w:name="_bookmark52" w:id="53"/>
      <w:bookmarkEnd w:id="53"/>
      <w:r>
        <w:rPr/>
      </w:r>
      <w:r>
        <w:rPr>
          <w:b/>
          <w:color w:val="1F3762"/>
          <w:sz w:val="22"/>
        </w:rPr>
        <w:t>PASIVO</w:t>
      </w:r>
      <w:r>
        <w:rPr>
          <w:b/>
          <w:color w:val="1F3762"/>
          <w:spacing w:val="-14"/>
          <w:sz w:val="22"/>
        </w:rPr>
        <w:t> </w:t>
      </w:r>
      <w:r>
        <w:rPr>
          <w:b/>
          <w:color w:val="1F3762"/>
          <w:sz w:val="22"/>
        </w:rPr>
        <w:t>NO</w:t>
      </w:r>
      <w:r>
        <w:rPr>
          <w:b/>
          <w:color w:val="1F3762"/>
          <w:spacing w:val="-14"/>
          <w:sz w:val="22"/>
        </w:rPr>
        <w:t> </w:t>
      </w:r>
      <w:r>
        <w:rPr>
          <w:b/>
          <w:color w:val="1F3762"/>
          <w:sz w:val="22"/>
        </w:rPr>
        <w:t>CORRIENTE </w:t>
      </w:r>
      <w:bookmarkStart w:name="_bookmark53" w:id="54"/>
      <w:bookmarkEnd w:id="54"/>
      <w:r>
        <w:rPr>
          <w:b/>
          <w:color w:val="1F3762"/>
          <w:spacing w:val="-1"/>
          <w:sz w:val="22"/>
        </w:rPr>
      </w:r>
      <w:r>
        <w:rPr>
          <w:b/>
          <w:sz w:val="22"/>
        </w:rPr>
        <w:t>NOTA N° 19</w:t>
      </w:r>
    </w:p>
    <w:p>
      <w:pPr>
        <w:pStyle w:val="BodyText"/>
        <w:spacing w:before="201"/>
        <w:ind w:left="622"/>
      </w:pPr>
      <w:r>
        <w:rPr/>
        <w:t>Deudas</w:t>
      </w:r>
      <w:r>
        <w:rPr>
          <w:spacing w:val="-4"/>
        </w:rPr>
        <w:t> </w:t>
      </w:r>
      <w:r>
        <w:rPr/>
        <w:t>a</w:t>
      </w:r>
      <w:r>
        <w:rPr>
          <w:spacing w:val="-2"/>
        </w:rPr>
        <w:t> </w:t>
      </w:r>
      <w:r>
        <w:rPr/>
        <w:t>largo</w:t>
      </w:r>
      <w:r>
        <w:rPr>
          <w:spacing w:val="-1"/>
        </w:rPr>
        <w:t> </w:t>
      </w:r>
      <w:r>
        <w:rPr>
          <w:spacing w:val="-4"/>
        </w:rPr>
        <w:t>plazo</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2403"/>
        <w:gridCol w:w="567"/>
        <w:gridCol w:w="1985"/>
        <w:gridCol w:w="1892"/>
        <w:gridCol w:w="1198"/>
      </w:tblGrid>
      <w:tr>
        <w:trPr>
          <w:trHeight w:val="325" w:hRule="atLeast"/>
        </w:trPr>
        <w:tc>
          <w:tcPr>
            <w:tcW w:w="991" w:type="dxa"/>
            <w:vMerge w:val="restart"/>
            <w:shd w:val="clear" w:color="auto" w:fill="365F92"/>
          </w:tcPr>
          <w:p>
            <w:pPr>
              <w:pStyle w:val="TableParagraph"/>
              <w:spacing w:before="130"/>
              <w:ind w:left="69"/>
              <w:rPr>
                <w:b/>
                <w:sz w:val="20"/>
              </w:rPr>
            </w:pPr>
            <w:r>
              <w:rPr>
                <w:b/>
                <w:color w:val="FFFFFF"/>
                <w:spacing w:val="-2"/>
                <w:sz w:val="20"/>
              </w:rPr>
              <w:t>Cuenta</w:t>
            </w:r>
          </w:p>
        </w:tc>
        <w:tc>
          <w:tcPr>
            <w:tcW w:w="2403" w:type="dxa"/>
            <w:vMerge w:val="restart"/>
            <w:shd w:val="clear" w:color="auto" w:fill="365F92"/>
          </w:tcPr>
          <w:p>
            <w:pPr>
              <w:pStyle w:val="TableParagraph"/>
              <w:spacing w:before="219"/>
              <w:ind w:left="717"/>
              <w:rPr>
                <w:b/>
                <w:sz w:val="20"/>
              </w:rPr>
            </w:pPr>
            <w:r>
              <w:rPr>
                <w:b/>
                <w:color w:val="FFFFFF"/>
                <w:spacing w:val="-2"/>
                <w:sz w:val="20"/>
              </w:rPr>
              <w:t>Descripción</w:t>
            </w:r>
          </w:p>
        </w:tc>
        <w:tc>
          <w:tcPr>
            <w:tcW w:w="567" w:type="dxa"/>
            <w:vMerge w:val="restart"/>
            <w:shd w:val="clear" w:color="auto" w:fill="365F92"/>
          </w:tcPr>
          <w:p>
            <w:pPr>
              <w:pStyle w:val="TableParagraph"/>
              <w:spacing w:before="219"/>
              <w:ind w:left="83"/>
              <w:rPr>
                <w:b/>
                <w:sz w:val="20"/>
              </w:rPr>
            </w:pPr>
            <w:r>
              <w:rPr>
                <w:b/>
                <w:color w:val="FFFFFF"/>
                <w:spacing w:val="-4"/>
                <w:sz w:val="20"/>
              </w:rPr>
              <w:t>Nota</w:t>
            </w:r>
          </w:p>
        </w:tc>
        <w:tc>
          <w:tcPr>
            <w:tcW w:w="1985" w:type="dxa"/>
            <w:vMerge w:val="restart"/>
            <w:shd w:val="clear" w:color="auto" w:fill="365F92"/>
          </w:tcPr>
          <w:p>
            <w:pPr>
              <w:pStyle w:val="TableParagraph"/>
              <w:spacing w:before="219"/>
              <w:ind w:left="417"/>
              <w:rPr>
                <w:b/>
                <w:sz w:val="20"/>
              </w:rPr>
            </w:pPr>
            <w:r>
              <w:rPr>
                <w:b/>
                <w:color w:val="FFFFFF"/>
                <w:sz w:val="20"/>
              </w:rPr>
              <w:t>Periodo</w:t>
            </w:r>
            <w:r>
              <w:rPr>
                <w:b/>
                <w:color w:val="FFFFFF"/>
                <w:spacing w:val="-5"/>
                <w:sz w:val="20"/>
              </w:rPr>
              <w:t> </w:t>
            </w:r>
            <w:r>
              <w:rPr>
                <w:b/>
                <w:color w:val="FFFFFF"/>
                <w:spacing w:val="-2"/>
                <w:sz w:val="20"/>
              </w:rPr>
              <w:t>Actual</w:t>
            </w:r>
          </w:p>
        </w:tc>
        <w:tc>
          <w:tcPr>
            <w:tcW w:w="1892" w:type="dxa"/>
            <w:vMerge w:val="restart"/>
            <w:shd w:val="clear" w:color="auto" w:fill="365F92"/>
          </w:tcPr>
          <w:p>
            <w:pPr>
              <w:pStyle w:val="TableParagraph"/>
              <w:spacing w:before="219"/>
              <w:ind w:left="287"/>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36"/>
              <w:ind w:left="23" w:right="6"/>
              <w:jc w:val="center"/>
              <w:rPr>
                <w:b/>
                <w:sz w:val="22"/>
              </w:rPr>
            </w:pPr>
            <w:r>
              <w:rPr>
                <w:b/>
                <w:color w:val="FFFFFF"/>
                <w:spacing w:val="-2"/>
                <w:sz w:val="22"/>
              </w:rPr>
              <w:t>Diferencia</w:t>
            </w:r>
          </w:p>
        </w:tc>
      </w:tr>
      <w:tr>
        <w:trPr>
          <w:trHeight w:val="323" w:hRule="atLeast"/>
        </w:trPr>
        <w:tc>
          <w:tcPr>
            <w:tcW w:w="991" w:type="dxa"/>
            <w:vMerge/>
            <w:tcBorders>
              <w:top w:val="nil"/>
            </w:tcBorders>
            <w:shd w:val="clear" w:color="auto" w:fill="365F92"/>
          </w:tcPr>
          <w:p>
            <w:pPr>
              <w:rPr>
                <w:sz w:val="2"/>
                <w:szCs w:val="2"/>
              </w:rPr>
            </w:pPr>
          </w:p>
        </w:tc>
        <w:tc>
          <w:tcPr>
            <w:tcW w:w="2403" w:type="dxa"/>
            <w:vMerge/>
            <w:tcBorders>
              <w:top w:val="nil"/>
            </w:tcBorders>
            <w:shd w:val="clear" w:color="auto" w:fill="365F92"/>
          </w:tcPr>
          <w:p>
            <w:pPr>
              <w:rPr>
                <w:sz w:val="2"/>
                <w:szCs w:val="2"/>
              </w:rPr>
            </w:pPr>
          </w:p>
        </w:tc>
        <w:tc>
          <w:tcPr>
            <w:tcW w:w="567" w:type="dxa"/>
            <w:vMerge/>
            <w:tcBorders>
              <w:top w:val="nil"/>
            </w:tcBorders>
            <w:shd w:val="clear" w:color="auto" w:fill="365F92"/>
          </w:tcPr>
          <w:p>
            <w:pPr>
              <w:rPr>
                <w:sz w:val="2"/>
                <w:szCs w:val="2"/>
              </w:rPr>
            </w:pPr>
          </w:p>
        </w:tc>
        <w:tc>
          <w:tcPr>
            <w:tcW w:w="1985" w:type="dxa"/>
            <w:vMerge/>
            <w:tcBorders>
              <w:top w:val="nil"/>
            </w:tcBorders>
            <w:shd w:val="clear" w:color="auto" w:fill="365F92"/>
          </w:tcPr>
          <w:p>
            <w:pPr>
              <w:rPr>
                <w:sz w:val="2"/>
                <w:szCs w:val="2"/>
              </w:rPr>
            </w:pPr>
          </w:p>
        </w:tc>
        <w:tc>
          <w:tcPr>
            <w:tcW w:w="1892"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7"/>
              <w:jc w:val="center"/>
              <w:rPr>
                <w:sz w:val="22"/>
              </w:rPr>
            </w:pPr>
            <w:r>
              <w:rPr>
                <w:color w:val="FFFFFF"/>
                <w:spacing w:val="-10"/>
                <w:sz w:val="22"/>
              </w:rPr>
              <w:t>%</w:t>
            </w:r>
          </w:p>
        </w:tc>
      </w:tr>
      <w:tr>
        <w:trPr>
          <w:trHeight w:val="325" w:hRule="atLeast"/>
        </w:trPr>
        <w:tc>
          <w:tcPr>
            <w:tcW w:w="991" w:type="dxa"/>
          </w:tcPr>
          <w:p>
            <w:pPr>
              <w:pStyle w:val="TableParagraph"/>
              <w:spacing w:before="36"/>
              <w:ind w:left="69"/>
              <w:rPr>
                <w:b/>
                <w:sz w:val="22"/>
              </w:rPr>
            </w:pPr>
            <w:r>
              <w:rPr>
                <w:b/>
                <w:spacing w:val="-2"/>
                <w:sz w:val="22"/>
              </w:rPr>
              <w:t>2.2.1.</w:t>
            </w:r>
          </w:p>
        </w:tc>
        <w:tc>
          <w:tcPr>
            <w:tcW w:w="2403" w:type="dxa"/>
          </w:tcPr>
          <w:p>
            <w:pPr>
              <w:pStyle w:val="TableParagraph"/>
              <w:spacing w:before="36"/>
              <w:ind w:left="69"/>
              <w:rPr>
                <w:b/>
                <w:sz w:val="22"/>
              </w:rPr>
            </w:pPr>
            <w:r>
              <w:rPr>
                <w:b/>
                <w:sz w:val="22"/>
              </w:rPr>
              <w:t>Deudas</w:t>
            </w:r>
            <w:r>
              <w:rPr>
                <w:b/>
                <w:spacing w:val="-1"/>
                <w:sz w:val="22"/>
              </w:rPr>
              <w:t> </w:t>
            </w:r>
            <w:r>
              <w:rPr>
                <w:b/>
                <w:sz w:val="22"/>
              </w:rPr>
              <w:t>a</w:t>
            </w:r>
            <w:r>
              <w:rPr>
                <w:b/>
                <w:spacing w:val="-2"/>
                <w:sz w:val="22"/>
              </w:rPr>
              <w:t> </w:t>
            </w:r>
            <w:r>
              <w:rPr>
                <w:b/>
                <w:sz w:val="22"/>
              </w:rPr>
              <w:t>largo</w:t>
            </w:r>
            <w:r>
              <w:rPr>
                <w:b/>
                <w:spacing w:val="-3"/>
                <w:sz w:val="22"/>
              </w:rPr>
              <w:t> </w:t>
            </w:r>
            <w:r>
              <w:rPr>
                <w:b/>
                <w:spacing w:val="-4"/>
                <w:sz w:val="22"/>
              </w:rPr>
              <w:t>plazo</w:t>
            </w:r>
          </w:p>
        </w:tc>
        <w:tc>
          <w:tcPr>
            <w:tcW w:w="567" w:type="dxa"/>
          </w:tcPr>
          <w:p>
            <w:pPr>
              <w:pStyle w:val="TableParagraph"/>
              <w:spacing w:before="36"/>
              <w:ind w:left="172"/>
              <w:rPr>
                <w:b/>
                <w:sz w:val="22"/>
              </w:rPr>
            </w:pPr>
            <w:r>
              <w:rPr>
                <w:b/>
                <w:spacing w:val="-5"/>
                <w:sz w:val="22"/>
              </w:rPr>
              <w:t>19</w:t>
            </w:r>
          </w:p>
        </w:tc>
        <w:tc>
          <w:tcPr>
            <w:tcW w:w="1985" w:type="dxa"/>
          </w:tcPr>
          <w:p>
            <w:pPr>
              <w:pStyle w:val="TableParagraph"/>
              <w:spacing w:before="46"/>
              <w:ind w:left="18" w:right="1"/>
              <w:jc w:val="center"/>
              <w:rPr>
                <w:b/>
                <w:sz w:val="20"/>
              </w:rPr>
            </w:pPr>
            <w:r>
              <w:rPr>
                <w:b/>
                <w:spacing w:val="-4"/>
                <w:sz w:val="20"/>
              </w:rPr>
              <w:t>0,00</w:t>
            </w:r>
          </w:p>
        </w:tc>
        <w:tc>
          <w:tcPr>
            <w:tcW w:w="1892" w:type="dxa"/>
          </w:tcPr>
          <w:p>
            <w:pPr>
              <w:pStyle w:val="TableParagraph"/>
              <w:spacing w:before="46"/>
              <w:ind w:left="68"/>
              <w:jc w:val="center"/>
              <w:rPr>
                <w:b/>
                <w:sz w:val="20"/>
              </w:rPr>
            </w:pPr>
            <w:r>
              <w:rPr>
                <w:b/>
                <w:spacing w:val="-4"/>
                <w:sz w:val="20"/>
              </w:rPr>
              <w:t>0,00</w:t>
            </w:r>
          </w:p>
        </w:tc>
        <w:tc>
          <w:tcPr>
            <w:tcW w:w="1198" w:type="dxa"/>
          </w:tcPr>
          <w:p>
            <w:pPr>
              <w:pStyle w:val="TableParagraph"/>
              <w:spacing w:before="46"/>
              <w:ind w:left="23" w:right="5"/>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line="259" w:lineRule="auto" w:before="179"/>
        <w:ind w:left="622" w:right="983"/>
        <w:jc w:val="both"/>
      </w:pPr>
      <w:r>
        <w:rPr/>
        <w:t>La cuenta Deudas a largo plazo, representa el 0,00% del total del Pasivo, que comparado al periodo anterior genera una variación absoluta de 0 000,00 que corresponde a un Aumento del 0,00% de recursos disponibles.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6928">
                <wp:simplePos x="0" y="0"/>
                <wp:positionH relativeFrom="page">
                  <wp:posOffset>9525</wp:posOffset>
                </wp:positionH>
                <wp:positionV relativeFrom="page">
                  <wp:posOffset>297208</wp:posOffset>
                </wp:positionV>
                <wp:extent cx="7762875" cy="9748520"/>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7762875" cy="9748520"/>
                          <a:chExt cx="7762875" cy="9748520"/>
                        </a:xfrm>
                      </wpg:grpSpPr>
                      <pic:pic>
                        <pic:nvPicPr>
                          <pic:cNvPr id="422" name="Image 422"/>
                          <pic:cNvPicPr/>
                        </pic:nvPicPr>
                        <pic:blipFill>
                          <a:blip r:embed="rId5" cstate="print"/>
                          <a:stretch>
                            <a:fillRect/>
                          </a:stretch>
                        </pic:blipFill>
                        <pic:spPr>
                          <a:xfrm>
                            <a:off x="0" y="0"/>
                            <a:ext cx="7762874" cy="9748489"/>
                          </a:xfrm>
                          <a:prstGeom prst="rect">
                            <a:avLst/>
                          </a:prstGeom>
                        </pic:spPr>
                      </pic:pic>
                      <wps:wsp>
                        <wps:cNvPr id="423" name="Graphic 42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9552" id="docshapegroup399" coordorigin="15,468" coordsize="12225,15352">
                <v:shape style="position:absolute;left:15;top:468;width:12225;height:15352" type="#_x0000_t75" id="docshape400" stroked="false">
                  <v:imagedata r:id="rId5" o:title=""/>
                </v:shape>
                <v:rect style="position:absolute;left:1673;top:2028;width:8897;height:15" id="docshape40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87</w:t>
      </w:r>
    </w:p>
    <w:p>
      <w:pPr>
        <w:pStyle w:val="BodyText"/>
        <w:rPr>
          <w:sz w:val="20"/>
        </w:rPr>
      </w:pPr>
    </w:p>
    <w:p>
      <w:pPr>
        <w:pStyle w:val="BodyText"/>
        <w:spacing w:before="169"/>
        <w:rPr>
          <w:sz w:val="20"/>
        </w:rPr>
      </w:pPr>
      <w:r>
        <w:rPr>
          <w:sz w:val="20"/>
        </w:rPr>
        <mc:AlternateContent>
          <mc:Choice Requires="wps">
            <w:drawing>
              <wp:anchor distT="0" distB="0" distL="0" distR="0" allowOverlap="1" layoutInCell="1" locked="0" behindDoc="1" simplePos="0" relativeHeight="487658496">
                <wp:simplePos x="0" y="0"/>
                <wp:positionH relativeFrom="page">
                  <wp:posOffset>1080820</wp:posOffset>
                </wp:positionH>
                <wp:positionV relativeFrom="paragraph">
                  <wp:posOffset>270605</wp:posOffset>
                </wp:positionV>
                <wp:extent cx="5715000" cy="553720"/>
                <wp:effectExtent l="0" t="0" r="0" b="0"/>
                <wp:wrapTopAndBottom/>
                <wp:docPr id="424" name="Textbox 424"/>
                <wp:cNvGraphicFramePr>
                  <a:graphicFrameLocks/>
                </wp:cNvGraphicFramePr>
                <a:graphic>
                  <a:graphicData uri="http://schemas.microsoft.com/office/word/2010/wordprocessingShape">
                    <wps:wsp>
                      <wps:cNvPr id="424" name="Textbox 424"/>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1.307495pt;width:450pt;height:43.6pt;mso-position-horizontal-relative:page;mso-position-vertical-relative:paragraph;z-index:-15657984;mso-wrap-distance-left:0;mso-wrap-distance-right:0" type="#_x0000_t202" id="docshape40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54" w:id="55"/>
      <w:bookmarkEnd w:id="55"/>
      <w:r>
        <w:rPr/>
      </w:r>
      <w:r>
        <w:rPr>
          <w:b/>
          <w:sz w:val="22"/>
        </w:rPr>
        <w:t>NOTA</w:t>
      </w:r>
      <w:r>
        <w:rPr>
          <w:b/>
          <w:spacing w:val="-1"/>
          <w:sz w:val="22"/>
        </w:rPr>
        <w:t> </w:t>
      </w:r>
      <w:r>
        <w:rPr>
          <w:b/>
          <w:sz w:val="22"/>
        </w:rPr>
        <w:t>N° </w:t>
      </w:r>
      <w:r>
        <w:rPr>
          <w:b/>
          <w:spacing w:val="-5"/>
          <w:sz w:val="22"/>
        </w:rPr>
        <w:t>20</w:t>
      </w:r>
    </w:p>
    <w:p>
      <w:pPr>
        <w:pStyle w:val="BodyText"/>
        <w:spacing w:before="112"/>
        <w:rPr>
          <w:b/>
        </w:rPr>
      </w:pPr>
    </w:p>
    <w:p>
      <w:pPr>
        <w:pStyle w:val="BodyText"/>
        <w:spacing w:before="1"/>
        <w:ind w:left="622"/>
      </w:pPr>
      <w:r>
        <w:rPr/>
        <w:t>Endeudamiento</w:t>
      </w:r>
      <w:r>
        <w:rPr>
          <w:spacing w:val="-4"/>
        </w:rPr>
        <w:t> </w:t>
      </w:r>
      <w:r>
        <w:rPr/>
        <w:t>público</w:t>
      </w:r>
      <w:r>
        <w:rPr>
          <w:spacing w:val="-4"/>
        </w:rPr>
        <w:t> </w:t>
      </w:r>
      <w:r>
        <w:rPr/>
        <w:t>a</w:t>
      </w:r>
      <w:r>
        <w:rPr>
          <w:spacing w:val="-5"/>
        </w:rPr>
        <w:t> </w:t>
      </w:r>
      <w:r>
        <w:rPr/>
        <w:t>largo</w:t>
      </w:r>
      <w:r>
        <w:rPr>
          <w:spacing w:val="-3"/>
        </w:rPr>
        <w:t> </w:t>
      </w:r>
      <w:r>
        <w:rPr>
          <w:spacing w:val="-4"/>
        </w:rPr>
        <w:t>plazo</w:t>
      </w:r>
    </w:p>
    <w:p>
      <w:pPr>
        <w:pStyle w:val="BodyText"/>
        <w:spacing w:before="9"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37"/>
        <w:gridCol w:w="2941"/>
        <w:gridCol w:w="533"/>
        <w:gridCol w:w="1561"/>
        <w:gridCol w:w="1426"/>
        <w:gridCol w:w="1146"/>
      </w:tblGrid>
      <w:tr>
        <w:trPr>
          <w:trHeight w:val="356" w:hRule="atLeast"/>
        </w:trPr>
        <w:tc>
          <w:tcPr>
            <w:tcW w:w="1337" w:type="dxa"/>
            <w:vMerge w:val="restart"/>
            <w:shd w:val="clear" w:color="auto" w:fill="365F92"/>
          </w:tcPr>
          <w:p>
            <w:pPr>
              <w:pStyle w:val="TableParagraph"/>
              <w:spacing w:before="164"/>
              <w:ind w:left="69"/>
              <w:rPr>
                <w:b/>
                <w:sz w:val="20"/>
              </w:rPr>
            </w:pPr>
            <w:r>
              <w:rPr>
                <w:b/>
                <w:color w:val="FFFFFF"/>
                <w:spacing w:val="-2"/>
                <w:sz w:val="20"/>
              </w:rPr>
              <w:t>Cuenta</w:t>
            </w:r>
          </w:p>
        </w:tc>
        <w:tc>
          <w:tcPr>
            <w:tcW w:w="2941" w:type="dxa"/>
            <w:vMerge w:val="restart"/>
            <w:shd w:val="clear" w:color="auto" w:fill="365F92"/>
          </w:tcPr>
          <w:p>
            <w:pPr>
              <w:pStyle w:val="TableParagraph"/>
              <w:spacing w:before="24"/>
              <w:rPr>
                <w:sz w:val="20"/>
              </w:rPr>
            </w:pPr>
          </w:p>
          <w:p>
            <w:pPr>
              <w:pStyle w:val="TableParagraph"/>
              <w:spacing w:before="1"/>
              <w:ind w:left="988"/>
              <w:rPr>
                <w:b/>
                <w:sz w:val="20"/>
              </w:rPr>
            </w:pPr>
            <w:r>
              <w:rPr>
                <w:b/>
                <w:color w:val="FFFFFF"/>
                <w:spacing w:val="-2"/>
                <w:sz w:val="20"/>
              </w:rPr>
              <w:t>Descripción</w:t>
            </w:r>
          </w:p>
        </w:tc>
        <w:tc>
          <w:tcPr>
            <w:tcW w:w="533" w:type="dxa"/>
            <w:vMerge w:val="restart"/>
            <w:shd w:val="clear" w:color="auto" w:fill="365F92"/>
          </w:tcPr>
          <w:p>
            <w:pPr>
              <w:pStyle w:val="TableParagraph"/>
              <w:spacing w:before="24"/>
              <w:rPr>
                <w:sz w:val="20"/>
              </w:rPr>
            </w:pPr>
          </w:p>
          <w:p>
            <w:pPr>
              <w:pStyle w:val="TableParagraph"/>
              <w:spacing w:before="1"/>
              <w:ind w:left="68"/>
              <w:rPr>
                <w:b/>
                <w:sz w:val="20"/>
              </w:rPr>
            </w:pPr>
            <w:r>
              <w:rPr>
                <w:b/>
                <w:color w:val="FFFFFF"/>
                <w:spacing w:val="-4"/>
                <w:sz w:val="20"/>
              </w:rPr>
              <w:t>Nota</w:t>
            </w:r>
          </w:p>
        </w:tc>
        <w:tc>
          <w:tcPr>
            <w:tcW w:w="1561" w:type="dxa"/>
            <w:vMerge w:val="restart"/>
            <w:shd w:val="clear" w:color="auto" w:fill="365F92"/>
          </w:tcPr>
          <w:p>
            <w:pPr>
              <w:pStyle w:val="TableParagraph"/>
              <w:spacing w:before="24"/>
              <w:rPr>
                <w:sz w:val="20"/>
              </w:rPr>
            </w:pPr>
          </w:p>
          <w:p>
            <w:pPr>
              <w:pStyle w:val="TableParagraph"/>
              <w:spacing w:before="1"/>
              <w:ind w:left="203"/>
              <w:rPr>
                <w:b/>
                <w:sz w:val="20"/>
              </w:rPr>
            </w:pPr>
            <w:r>
              <w:rPr>
                <w:b/>
                <w:color w:val="FFFFFF"/>
                <w:sz w:val="20"/>
              </w:rPr>
              <w:t>Periodo</w:t>
            </w:r>
            <w:r>
              <w:rPr>
                <w:b/>
                <w:color w:val="FFFFFF"/>
                <w:spacing w:val="-5"/>
                <w:sz w:val="20"/>
              </w:rPr>
              <w:t> </w:t>
            </w:r>
            <w:r>
              <w:rPr>
                <w:b/>
                <w:color w:val="FFFFFF"/>
                <w:spacing w:val="-2"/>
                <w:sz w:val="20"/>
              </w:rPr>
              <w:t>Actual</w:t>
            </w:r>
          </w:p>
        </w:tc>
        <w:tc>
          <w:tcPr>
            <w:tcW w:w="1426" w:type="dxa"/>
            <w:vMerge w:val="restart"/>
            <w:shd w:val="clear" w:color="auto" w:fill="365F92"/>
          </w:tcPr>
          <w:p>
            <w:pPr>
              <w:pStyle w:val="TableParagraph"/>
              <w:spacing w:before="137"/>
              <w:ind w:left="373" w:right="346" w:firstLine="45"/>
              <w:rPr>
                <w:b/>
                <w:sz w:val="20"/>
              </w:rPr>
            </w:pPr>
            <w:r>
              <w:rPr>
                <w:b/>
                <w:color w:val="FFFFFF"/>
                <w:spacing w:val="-2"/>
                <w:sz w:val="20"/>
              </w:rPr>
              <w:t>Periodo Anterior</w:t>
            </w:r>
          </w:p>
        </w:tc>
        <w:tc>
          <w:tcPr>
            <w:tcW w:w="1146" w:type="dxa"/>
            <w:shd w:val="clear" w:color="auto" w:fill="365F92"/>
          </w:tcPr>
          <w:p>
            <w:pPr>
              <w:pStyle w:val="TableParagraph"/>
              <w:spacing w:before="63"/>
              <w:ind w:left="15" w:right="2"/>
              <w:jc w:val="center"/>
              <w:rPr>
                <w:b/>
                <w:sz w:val="20"/>
              </w:rPr>
            </w:pPr>
            <w:r>
              <w:rPr>
                <w:b/>
                <w:color w:val="FFFFFF"/>
                <w:spacing w:val="-2"/>
                <w:sz w:val="20"/>
              </w:rPr>
              <w:t>Diferencia</w:t>
            </w:r>
          </w:p>
        </w:tc>
      </w:tr>
      <w:tr>
        <w:trPr>
          <w:trHeight w:val="356" w:hRule="atLeast"/>
        </w:trPr>
        <w:tc>
          <w:tcPr>
            <w:tcW w:w="1337" w:type="dxa"/>
            <w:vMerge/>
            <w:tcBorders>
              <w:top w:val="nil"/>
            </w:tcBorders>
            <w:shd w:val="clear" w:color="auto" w:fill="365F92"/>
          </w:tcPr>
          <w:p>
            <w:pPr>
              <w:rPr>
                <w:sz w:val="2"/>
                <w:szCs w:val="2"/>
              </w:rPr>
            </w:pPr>
          </w:p>
        </w:tc>
        <w:tc>
          <w:tcPr>
            <w:tcW w:w="2941" w:type="dxa"/>
            <w:vMerge/>
            <w:tcBorders>
              <w:top w:val="nil"/>
            </w:tcBorders>
            <w:shd w:val="clear" w:color="auto" w:fill="365F92"/>
          </w:tcPr>
          <w:p>
            <w:pPr>
              <w:rPr>
                <w:sz w:val="2"/>
                <w:szCs w:val="2"/>
              </w:rPr>
            </w:pPr>
          </w:p>
        </w:tc>
        <w:tc>
          <w:tcPr>
            <w:tcW w:w="533"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426" w:type="dxa"/>
            <w:vMerge/>
            <w:tcBorders>
              <w:top w:val="nil"/>
            </w:tcBorders>
            <w:shd w:val="clear" w:color="auto" w:fill="365F92"/>
          </w:tcPr>
          <w:p>
            <w:pPr>
              <w:rPr>
                <w:sz w:val="2"/>
                <w:szCs w:val="2"/>
              </w:rPr>
            </w:pPr>
          </w:p>
        </w:tc>
        <w:tc>
          <w:tcPr>
            <w:tcW w:w="1146" w:type="dxa"/>
            <w:shd w:val="clear" w:color="auto" w:fill="365F92"/>
          </w:tcPr>
          <w:p>
            <w:pPr>
              <w:pStyle w:val="TableParagraph"/>
              <w:spacing w:before="63"/>
              <w:ind w:left="15" w:right="3"/>
              <w:jc w:val="center"/>
              <w:rPr>
                <w:sz w:val="20"/>
              </w:rPr>
            </w:pPr>
            <w:r>
              <w:rPr>
                <w:color w:val="FFFFFF"/>
                <w:spacing w:val="-10"/>
                <w:sz w:val="20"/>
              </w:rPr>
              <w:t>%</w:t>
            </w:r>
          </w:p>
        </w:tc>
      </w:tr>
      <w:tr>
        <w:trPr>
          <w:trHeight w:val="457" w:hRule="atLeast"/>
        </w:trPr>
        <w:tc>
          <w:tcPr>
            <w:tcW w:w="1337" w:type="dxa"/>
          </w:tcPr>
          <w:p>
            <w:pPr>
              <w:pStyle w:val="TableParagraph"/>
              <w:spacing w:before="113"/>
              <w:ind w:left="69"/>
              <w:rPr>
                <w:b/>
                <w:sz w:val="20"/>
              </w:rPr>
            </w:pPr>
            <w:r>
              <w:rPr>
                <w:b/>
                <w:spacing w:val="-2"/>
                <w:sz w:val="20"/>
              </w:rPr>
              <w:t>2.2.2.</w:t>
            </w:r>
          </w:p>
        </w:tc>
        <w:tc>
          <w:tcPr>
            <w:tcW w:w="2941" w:type="dxa"/>
          </w:tcPr>
          <w:p>
            <w:pPr>
              <w:pStyle w:val="TableParagraph"/>
              <w:spacing w:line="227" w:lineRule="exact"/>
              <w:ind w:left="68"/>
              <w:rPr>
                <w:b/>
                <w:sz w:val="20"/>
              </w:rPr>
            </w:pPr>
            <w:r>
              <w:rPr>
                <w:b/>
                <w:sz w:val="20"/>
              </w:rPr>
              <w:t>Endeudamiento</w:t>
            </w:r>
            <w:r>
              <w:rPr>
                <w:b/>
                <w:spacing w:val="-6"/>
                <w:sz w:val="20"/>
              </w:rPr>
              <w:t> </w:t>
            </w:r>
            <w:r>
              <w:rPr>
                <w:b/>
                <w:sz w:val="20"/>
              </w:rPr>
              <w:t>público</w:t>
            </w:r>
            <w:r>
              <w:rPr>
                <w:b/>
                <w:spacing w:val="-6"/>
                <w:sz w:val="20"/>
              </w:rPr>
              <w:t> </w:t>
            </w:r>
            <w:r>
              <w:rPr>
                <w:b/>
                <w:sz w:val="20"/>
              </w:rPr>
              <w:t>a</w:t>
            </w:r>
            <w:r>
              <w:rPr>
                <w:b/>
                <w:spacing w:val="-7"/>
                <w:sz w:val="20"/>
              </w:rPr>
              <w:t> </w:t>
            </w:r>
            <w:r>
              <w:rPr>
                <w:b/>
                <w:spacing w:val="-4"/>
                <w:sz w:val="20"/>
              </w:rPr>
              <w:t>largo</w:t>
            </w:r>
          </w:p>
          <w:p>
            <w:pPr>
              <w:pStyle w:val="TableParagraph"/>
              <w:spacing w:line="209" w:lineRule="exact" w:before="2"/>
              <w:ind w:left="68"/>
              <w:rPr>
                <w:b/>
                <w:sz w:val="20"/>
              </w:rPr>
            </w:pPr>
            <w:r>
              <w:rPr>
                <w:b/>
                <w:spacing w:val="-2"/>
                <w:sz w:val="20"/>
              </w:rPr>
              <w:t>plazo</w:t>
            </w:r>
          </w:p>
        </w:tc>
        <w:tc>
          <w:tcPr>
            <w:tcW w:w="533" w:type="dxa"/>
          </w:tcPr>
          <w:p>
            <w:pPr>
              <w:pStyle w:val="TableParagraph"/>
              <w:spacing w:before="113"/>
              <w:ind w:left="167"/>
              <w:rPr>
                <w:b/>
                <w:sz w:val="20"/>
              </w:rPr>
            </w:pPr>
            <w:r>
              <w:rPr>
                <w:b/>
                <w:spacing w:val="-5"/>
                <w:sz w:val="20"/>
              </w:rPr>
              <w:t>20</w:t>
            </w:r>
          </w:p>
        </w:tc>
        <w:tc>
          <w:tcPr>
            <w:tcW w:w="1561" w:type="dxa"/>
          </w:tcPr>
          <w:p>
            <w:pPr>
              <w:pStyle w:val="TableParagraph"/>
              <w:spacing w:before="113"/>
              <w:ind w:left="65" w:right="52"/>
              <w:jc w:val="center"/>
              <w:rPr>
                <w:b/>
                <w:sz w:val="20"/>
              </w:rPr>
            </w:pPr>
            <w:r>
              <w:rPr>
                <w:b/>
                <w:spacing w:val="-4"/>
                <w:sz w:val="20"/>
              </w:rPr>
              <w:t>0,00</w:t>
            </w:r>
          </w:p>
        </w:tc>
        <w:tc>
          <w:tcPr>
            <w:tcW w:w="1426" w:type="dxa"/>
          </w:tcPr>
          <w:p>
            <w:pPr>
              <w:pStyle w:val="TableParagraph"/>
              <w:spacing w:before="113"/>
              <w:ind w:left="66"/>
              <w:jc w:val="center"/>
              <w:rPr>
                <w:b/>
                <w:sz w:val="20"/>
              </w:rPr>
            </w:pPr>
            <w:r>
              <w:rPr>
                <w:b/>
                <w:spacing w:val="-4"/>
                <w:sz w:val="20"/>
              </w:rPr>
              <w:t>0,00</w:t>
            </w:r>
          </w:p>
        </w:tc>
        <w:tc>
          <w:tcPr>
            <w:tcW w:w="1146" w:type="dxa"/>
          </w:tcPr>
          <w:p>
            <w:pPr>
              <w:pStyle w:val="TableParagraph"/>
              <w:spacing w:before="113"/>
              <w:ind w:left="15"/>
              <w:jc w:val="center"/>
              <w:rPr>
                <w:b/>
                <w:sz w:val="20"/>
              </w:rPr>
            </w:pPr>
            <w:r>
              <w:rPr>
                <w:b/>
                <w:spacing w:val="-2"/>
                <w:sz w:val="20"/>
              </w:rPr>
              <w:t>0,00%</w:t>
            </w:r>
          </w:p>
        </w:tc>
      </w:tr>
    </w:tbl>
    <w:p>
      <w:pPr>
        <w:pStyle w:val="BodyText"/>
        <w:rPr>
          <w:sz w:val="20"/>
        </w:rPr>
      </w:pPr>
    </w:p>
    <w:p>
      <w:pPr>
        <w:pStyle w:val="BodyText"/>
        <w:spacing w:before="190"/>
        <w:rPr>
          <w:sz w:val="20"/>
        </w:rPr>
      </w:pPr>
      <w:r>
        <w:rPr>
          <w:sz w:val="20"/>
        </w:rPr>
        <mc:AlternateContent>
          <mc:Choice Requires="wps">
            <w:drawing>
              <wp:anchor distT="0" distB="0" distL="0" distR="0" allowOverlap="1" layoutInCell="1" locked="0" behindDoc="1" simplePos="0" relativeHeight="487659008">
                <wp:simplePos x="0" y="0"/>
                <wp:positionH relativeFrom="page">
                  <wp:posOffset>1080820</wp:posOffset>
                </wp:positionH>
                <wp:positionV relativeFrom="paragraph">
                  <wp:posOffset>284273</wp:posOffset>
                </wp:positionV>
                <wp:extent cx="5706110" cy="554990"/>
                <wp:effectExtent l="0" t="0" r="0" b="0"/>
                <wp:wrapTopAndBottom/>
                <wp:docPr id="425" name="Textbox 425"/>
                <wp:cNvGraphicFramePr>
                  <a:graphicFrameLocks/>
                </wp:cNvGraphicFramePr>
                <a:graphic>
                  <a:graphicData uri="http://schemas.microsoft.com/office/word/2010/wordprocessingShape">
                    <wps:wsp>
                      <wps:cNvPr id="425" name="Textbox 425"/>
                      <wps:cNvSpPr txBox="1"/>
                      <wps:spPr>
                        <a:xfrm>
                          <a:off x="0" y="0"/>
                          <a:ext cx="5706110" cy="55499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2.38377pt;width:449.3pt;height:43.7pt;mso-position-horizontal-relative:page;mso-position-vertical-relative:paragraph;z-index:-15657472;mso-wrap-distance-left:0;mso-wrap-distance-right:0" type="#_x0000_t202" id="docshape403"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4"/>
      </w:pPr>
    </w:p>
    <w:p>
      <w:pPr>
        <w:spacing w:before="0"/>
        <w:ind w:left="622" w:right="0" w:firstLine="0"/>
        <w:jc w:val="left"/>
        <w:rPr>
          <w:b/>
          <w:sz w:val="22"/>
        </w:rPr>
      </w:pPr>
      <w:bookmarkStart w:name="_bookmark55" w:id="56"/>
      <w:bookmarkEnd w:id="56"/>
      <w:r>
        <w:rPr/>
      </w:r>
      <w:r>
        <w:rPr>
          <w:b/>
          <w:sz w:val="22"/>
        </w:rPr>
        <w:t>NOTA</w:t>
      </w:r>
      <w:r>
        <w:rPr>
          <w:b/>
          <w:spacing w:val="-1"/>
          <w:sz w:val="22"/>
        </w:rPr>
        <w:t> </w:t>
      </w:r>
      <w:r>
        <w:rPr>
          <w:b/>
          <w:sz w:val="22"/>
        </w:rPr>
        <w:t>N° </w:t>
      </w:r>
      <w:r>
        <w:rPr>
          <w:b/>
          <w:spacing w:val="-5"/>
          <w:sz w:val="22"/>
        </w:rPr>
        <w:t>21</w:t>
      </w:r>
    </w:p>
    <w:p>
      <w:pPr>
        <w:pStyle w:val="BodyText"/>
        <w:spacing w:before="115"/>
        <w:rPr>
          <w:b/>
        </w:rPr>
      </w:pPr>
    </w:p>
    <w:p>
      <w:pPr>
        <w:pStyle w:val="BodyText"/>
        <w:ind w:left="622"/>
      </w:pPr>
      <w:r>
        <w:rPr/>
        <w:t>Fondos</w:t>
      </w:r>
      <w:r>
        <w:rPr>
          <w:spacing w:val="-2"/>
        </w:rPr>
        <w:t> </w:t>
      </w:r>
      <w:r>
        <w:rPr/>
        <w:t>de</w:t>
      </w:r>
      <w:r>
        <w:rPr>
          <w:spacing w:val="-2"/>
        </w:rPr>
        <w:t> </w:t>
      </w:r>
      <w:r>
        <w:rPr/>
        <w:t>terceros</w:t>
      </w:r>
      <w:r>
        <w:rPr>
          <w:spacing w:val="-2"/>
        </w:rPr>
        <w:t> </w:t>
      </w:r>
      <w:r>
        <w:rPr/>
        <w:t>y</w:t>
      </w:r>
      <w:r>
        <w:rPr>
          <w:spacing w:val="-4"/>
        </w:rPr>
        <w:t> </w:t>
      </w:r>
      <w:r>
        <w:rPr/>
        <w:t>en</w:t>
      </w:r>
      <w:r>
        <w:rPr>
          <w:spacing w:val="-2"/>
        </w:rPr>
        <w:t> garantía</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4"/>
        <w:gridCol w:w="2879"/>
        <w:gridCol w:w="567"/>
        <w:gridCol w:w="1463"/>
        <w:gridCol w:w="1585"/>
        <w:gridCol w:w="1182"/>
      </w:tblGrid>
      <w:tr>
        <w:trPr>
          <w:trHeight w:val="308" w:hRule="atLeast"/>
        </w:trPr>
        <w:tc>
          <w:tcPr>
            <w:tcW w:w="1224" w:type="dxa"/>
            <w:vMerge w:val="restart"/>
            <w:shd w:val="clear" w:color="auto" w:fill="365F92"/>
          </w:tcPr>
          <w:p>
            <w:pPr>
              <w:pStyle w:val="TableParagraph"/>
              <w:spacing w:before="116"/>
              <w:ind w:left="69"/>
              <w:rPr>
                <w:b/>
                <w:sz w:val="20"/>
              </w:rPr>
            </w:pPr>
            <w:r>
              <w:rPr>
                <w:b/>
                <w:color w:val="FFFFFF"/>
                <w:spacing w:val="-2"/>
                <w:sz w:val="20"/>
              </w:rPr>
              <w:t>Cuenta</w:t>
            </w:r>
          </w:p>
        </w:tc>
        <w:tc>
          <w:tcPr>
            <w:tcW w:w="2879" w:type="dxa"/>
            <w:vMerge w:val="restart"/>
            <w:shd w:val="clear" w:color="auto" w:fill="365F92"/>
          </w:tcPr>
          <w:p>
            <w:pPr>
              <w:pStyle w:val="TableParagraph"/>
              <w:spacing w:before="205"/>
              <w:ind w:left="955"/>
              <w:rPr>
                <w:b/>
                <w:sz w:val="20"/>
              </w:rPr>
            </w:pPr>
            <w:r>
              <w:rPr>
                <w:b/>
                <w:color w:val="FFFFFF"/>
                <w:spacing w:val="-2"/>
                <w:sz w:val="20"/>
              </w:rPr>
              <w:t>Descripción</w:t>
            </w:r>
          </w:p>
        </w:tc>
        <w:tc>
          <w:tcPr>
            <w:tcW w:w="567" w:type="dxa"/>
            <w:vMerge w:val="restart"/>
            <w:shd w:val="clear" w:color="auto" w:fill="365F92"/>
          </w:tcPr>
          <w:p>
            <w:pPr>
              <w:pStyle w:val="TableParagraph"/>
              <w:spacing w:before="205"/>
              <w:ind w:left="85"/>
              <w:rPr>
                <w:b/>
                <w:sz w:val="20"/>
              </w:rPr>
            </w:pPr>
            <w:r>
              <w:rPr>
                <w:b/>
                <w:color w:val="FFFFFF"/>
                <w:spacing w:val="-4"/>
                <w:sz w:val="20"/>
              </w:rPr>
              <w:t>Nota</w:t>
            </w:r>
          </w:p>
        </w:tc>
        <w:tc>
          <w:tcPr>
            <w:tcW w:w="1463" w:type="dxa"/>
            <w:vMerge w:val="restart"/>
            <w:shd w:val="clear" w:color="auto" w:fill="365F92"/>
          </w:tcPr>
          <w:p>
            <w:pPr>
              <w:pStyle w:val="TableParagraph"/>
              <w:spacing w:before="205"/>
              <w:ind w:left="154"/>
              <w:rPr>
                <w:b/>
                <w:sz w:val="20"/>
              </w:rPr>
            </w:pPr>
            <w:r>
              <w:rPr>
                <w:b/>
                <w:color w:val="FFFFFF"/>
                <w:sz w:val="20"/>
              </w:rPr>
              <w:t>Periodo</w:t>
            </w:r>
            <w:r>
              <w:rPr>
                <w:b/>
                <w:color w:val="FFFFFF"/>
                <w:spacing w:val="-5"/>
                <w:sz w:val="20"/>
              </w:rPr>
              <w:t> </w:t>
            </w:r>
            <w:r>
              <w:rPr>
                <w:b/>
                <w:color w:val="FFFFFF"/>
                <w:spacing w:val="-2"/>
                <w:sz w:val="20"/>
              </w:rPr>
              <w:t>Actual</w:t>
            </w:r>
          </w:p>
        </w:tc>
        <w:tc>
          <w:tcPr>
            <w:tcW w:w="1585" w:type="dxa"/>
            <w:vMerge w:val="restart"/>
            <w:shd w:val="clear" w:color="auto" w:fill="365F92"/>
          </w:tcPr>
          <w:p>
            <w:pPr>
              <w:pStyle w:val="TableParagraph"/>
              <w:spacing w:before="67"/>
              <w:ind w:left="415" w:right="396" w:firstLine="48"/>
              <w:rPr>
                <w:b/>
                <w:sz w:val="22"/>
              </w:rPr>
            </w:pPr>
            <w:r>
              <w:rPr>
                <w:b/>
                <w:color w:val="FFFFFF"/>
                <w:spacing w:val="-2"/>
                <w:sz w:val="22"/>
              </w:rPr>
              <w:t>Periodo Anterior</w:t>
            </w:r>
          </w:p>
        </w:tc>
        <w:tc>
          <w:tcPr>
            <w:tcW w:w="1182" w:type="dxa"/>
            <w:shd w:val="clear" w:color="auto" w:fill="365F92"/>
          </w:tcPr>
          <w:p>
            <w:pPr>
              <w:pStyle w:val="TableParagraph"/>
              <w:spacing w:before="29"/>
              <w:ind w:left="10" w:right="1"/>
              <w:jc w:val="center"/>
              <w:rPr>
                <w:b/>
                <w:sz w:val="22"/>
              </w:rPr>
            </w:pPr>
            <w:r>
              <w:rPr>
                <w:b/>
                <w:color w:val="FFFFFF"/>
                <w:spacing w:val="-2"/>
                <w:sz w:val="22"/>
              </w:rPr>
              <w:t>Diferencia</w:t>
            </w:r>
          </w:p>
        </w:tc>
      </w:tr>
      <w:tr>
        <w:trPr>
          <w:trHeight w:val="311" w:hRule="atLeast"/>
        </w:trPr>
        <w:tc>
          <w:tcPr>
            <w:tcW w:w="1224" w:type="dxa"/>
            <w:vMerge/>
            <w:tcBorders>
              <w:top w:val="nil"/>
            </w:tcBorders>
            <w:shd w:val="clear" w:color="auto" w:fill="365F92"/>
          </w:tcPr>
          <w:p>
            <w:pPr>
              <w:rPr>
                <w:sz w:val="2"/>
                <w:szCs w:val="2"/>
              </w:rPr>
            </w:pPr>
          </w:p>
        </w:tc>
        <w:tc>
          <w:tcPr>
            <w:tcW w:w="2879" w:type="dxa"/>
            <w:vMerge/>
            <w:tcBorders>
              <w:top w:val="nil"/>
            </w:tcBorders>
            <w:shd w:val="clear" w:color="auto" w:fill="365F92"/>
          </w:tcPr>
          <w:p>
            <w:pPr>
              <w:rPr>
                <w:sz w:val="2"/>
                <w:szCs w:val="2"/>
              </w:rPr>
            </w:pPr>
          </w:p>
        </w:tc>
        <w:tc>
          <w:tcPr>
            <w:tcW w:w="567" w:type="dxa"/>
            <w:vMerge/>
            <w:tcBorders>
              <w:top w:val="nil"/>
            </w:tcBorders>
            <w:shd w:val="clear" w:color="auto" w:fill="365F92"/>
          </w:tcPr>
          <w:p>
            <w:pPr>
              <w:rPr>
                <w:sz w:val="2"/>
                <w:szCs w:val="2"/>
              </w:rPr>
            </w:pPr>
          </w:p>
        </w:tc>
        <w:tc>
          <w:tcPr>
            <w:tcW w:w="1463" w:type="dxa"/>
            <w:vMerge/>
            <w:tcBorders>
              <w:top w:val="nil"/>
            </w:tcBorders>
            <w:shd w:val="clear" w:color="auto" w:fill="365F92"/>
          </w:tcPr>
          <w:p>
            <w:pPr>
              <w:rPr>
                <w:sz w:val="2"/>
                <w:szCs w:val="2"/>
              </w:rPr>
            </w:pPr>
          </w:p>
        </w:tc>
        <w:tc>
          <w:tcPr>
            <w:tcW w:w="1585" w:type="dxa"/>
            <w:vMerge/>
            <w:tcBorders>
              <w:top w:val="nil"/>
            </w:tcBorders>
            <w:shd w:val="clear" w:color="auto" w:fill="365F92"/>
          </w:tcPr>
          <w:p>
            <w:pPr>
              <w:rPr>
                <w:sz w:val="2"/>
                <w:szCs w:val="2"/>
              </w:rPr>
            </w:pPr>
          </w:p>
        </w:tc>
        <w:tc>
          <w:tcPr>
            <w:tcW w:w="1182" w:type="dxa"/>
            <w:shd w:val="clear" w:color="auto" w:fill="365F92"/>
          </w:tcPr>
          <w:p>
            <w:pPr>
              <w:pStyle w:val="TableParagraph"/>
              <w:spacing w:before="29"/>
              <w:ind w:left="10" w:right="3"/>
              <w:jc w:val="center"/>
              <w:rPr>
                <w:sz w:val="22"/>
              </w:rPr>
            </w:pPr>
            <w:r>
              <w:rPr>
                <w:color w:val="FFFFFF"/>
                <w:spacing w:val="-10"/>
                <w:sz w:val="22"/>
              </w:rPr>
              <w:t>%</w:t>
            </w:r>
          </w:p>
        </w:tc>
      </w:tr>
      <w:tr>
        <w:trPr>
          <w:trHeight w:val="308" w:hRule="atLeast"/>
        </w:trPr>
        <w:tc>
          <w:tcPr>
            <w:tcW w:w="1224" w:type="dxa"/>
          </w:tcPr>
          <w:p>
            <w:pPr>
              <w:pStyle w:val="TableParagraph"/>
              <w:spacing w:before="39"/>
              <w:ind w:left="69"/>
              <w:rPr>
                <w:b/>
                <w:sz w:val="20"/>
              </w:rPr>
            </w:pPr>
            <w:r>
              <w:rPr>
                <w:b/>
                <w:spacing w:val="-2"/>
                <w:sz w:val="20"/>
              </w:rPr>
              <w:t>2.2.3.</w:t>
            </w:r>
          </w:p>
        </w:tc>
        <w:tc>
          <w:tcPr>
            <w:tcW w:w="2879" w:type="dxa"/>
          </w:tcPr>
          <w:p>
            <w:pPr>
              <w:pStyle w:val="TableParagraph"/>
              <w:spacing w:before="39"/>
              <w:ind w:left="69"/>
              <w:rPr>
                <w:b/>
                <w:sz w:val="20"/>
              </w:rPr>
            </w:pPr>
            <w:r>
              <w:rPr>
                <w:b/>
                <w:sz w:val="20"/>
              </w:rPr>
              <w:t>Fondos</w:t>
            </w:r>
            <w:r>
              <w:rPr>
                <w:b/>
                <w:spacing w:val="-4"/>
                <w:sz w:val="20"/>
              </w:rPr>
              <w:t> </w:t>
            </w:r>
            <w:r>
              <w:rPr>
                <w:b/>
                <w:sz w:val="20"/>
              </w:rPr>
              <w:t>de</w:t>
            </w:r>
            <w:r>
              <w:rPr>
                <w:b/>
                <w:spacing w:val="-4"/>
                <w:sz w:val="20"/>
              </w:rPr>
              <w:t> </w:t>
            </w:r>
            <w:r>
              <w:rPr>
                <w:b/>
                <w:sz w:val="20"/>
              </w:rPr>
              <w:t>terceros</w:t>
            </w:r>
            <w:r>
              <w:rPr>
                <w:b/>
                <w:spacing w:val="-3"/>
                <w:sz w:val="20"/>
              </w:rPr>
              <w:t> </w:t>
            </w:r>
            <w:r>
              <w:rPr>
                <w:b/>
                <w:sz w:val="20"/>
              </w:rPr>
              <w:t>y</w:t>
            </w:r>
            <w:r>
              <w:rPr>
                <w:b/>
                <w:spacing w:val="-3"/>
                <w:sz w:val="20"/>
              </w:rPr>
              <w:t> </w:t>
            </w:r>
            <w:r>
              <w:rPr>
                <w:b/>
                <w:sz w:val="20"/>
              </w:rPr>
              <w:t>en </w:t>
            </w:r>
            <w:r>
              <w:rPr>
                <w:b/>
                <w:spacing w:val="-2"/>
                <w:sz w:val="20"/>
              </w:rPr>
              <w:t>garantía</w:t>
            </w:r>
          </w:p>
        </w:tc>
        <w:tc>
          <w:tcPr>
            <w:tcW w:w="567" w:type="dxa"/>
          </w:tcPr>
          <w:p>
            <w:pPr>
              <w:pStyle w:val="TableParagraph"/>
              <w:spacing w:before="39"/>
              <w:ind w:left="183"/>
              <w:rPr>
                <w:b/>
                <w:sz w:val="20"/>
              </w:rPr>
            </w:pPr>
            <w:r>
              <w:rPr>
                <w:b/>
                <w:spacing w:val="-5"/>
                <w:sz w:val="20"/>
              </w:rPr>
              <w:t>21</w:t>
            </w:r>
          </w:p>
        </w:tc>
        <w:tc>
          <w:tcPr>
            <w:tcW w:w="1463" w:type="dxa"/>
          </w:tcPr>
          <w:p>
            <w:pPr>
              <w:pStyle w:val="TableParagraph"/>
              <w:spacing w:before="39"/>
              <w:ind w:left="14"/>
              <w:jc w:val="center"/>
              <w:rPr>
                <w:b/>
                <w:sz w:val="20"/>
              </w:rPr>
            </w:pPr>
            <w:r>
              <w:rPr>
                <w:b/>
                <w:spacing w:val="-4"/>
                <w:sz w:val="20"/>
              </w:rPr>
              <w:t>0,00</w:t>
            </w:r>
          </w:p>
        </w:tc>
        <w:tc>
          <w:tcPr>
            <w:tcW w:w="1585" w:type="dxa"/>
          </w:tcPr>
          <w:p>
            <w:pPr>
              <w:pStyle w:val="TableParagraph"/>
              <w:spacing w:before="39"/>
              <w:ind w:left="58"/>
              <w:jc w:val="center"/>
              <w:rPr>
                <w:b/>
                <w:sz w:val="20"/>
              </w:rPr>
            </w:pPr>
            <w:r>
              <w:rPr>
                <w:b/>
                <w:spacing w:val="-4"/>
                <w:sz w:val="20"/>
              </w:rPr>
              <w:t>0,00</w:t>
            </w:r>
          </w:p>
        </w:tc>
        <w:tc>
          <w:tcPr>
            <w:tcW w:w="1182" w:type="dxa"/>
          </w:tcPr>
          <w:p>
            <w:pPr>
              <w:pStyle w:val="TableParagraph"/>
              <w:spacing w:before="39"/>
              <w:ind w:left="10"/>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before="9"/>
      </w:pPr>
    </w:p>
    <w:p>
      <w:pPr>
        <w:pStyle w:val="BodyText"/>
        <w:spacing w:line="259" w:lineRule="auto" w:before="1"/>
        <w:ind w:left="622" w:right="978"/>
        <w:jc w:val="both"/>
      </w:pPr>
      <w:r>
        <w:rPr/>
        <w:t>La</w:t>
      </w:r>
      <w:r>
        <w:rPr>
          <w:spacing w:val="-7"/>
        </w:rPr>
        <w:t> </w:t>
      </w:r>
      <w:r>
        <w:rPr/>
        <w:t>cuenta</w:t>
      </w:r>
      <w:r>
        <w:rPr>
          <w:spacing w:val="-6"/>
        </w:rPr>
        <w:t> </w:t>
      </w:r>
      <w:r>
        <w:rPr/>
        <w:t>Fondos</w:t>
      </w:r>
      <w:r>
        <w:rPr>
          <w:spacing w:val="-5"/>
        </w:rPr>
        <w:t> </w:t>
      </w:r>
      <w:r>
        <w:rPr/>
        <w:t>de</w:t>
      </w:r>
      <w:r>
        <w:rPr>
          <w:spacing w:val="-6"/>
        </w:rPr>
        <w:t> </w:t>
      </w:r>
      <w:r>
        <w:rPr/>
        <w:t>terceros</w:t>
      </w:r>
      <w:r>
        <w:rPr>
          <w:spacing w:val="-5"/>
        </w:rPr>
        <w:t> </w:t>
      </w:r>
      <w:r>
        <w:rPr/>
        <w:t>y</w:t>
      </w:r>
      <w:r>
        <w:rPr>
          <w:spacing w:val="-7"/>
        </w:rPr>
        <w:t> </w:t>
      </w:r>
      <w:r>
        <w:rPr/>
        <w:t>en</w:t>
      </w:r>
      <w:r>
        <w:rPr>
          <w:spacing w:val="-6"/>
        </w:rPr>
        <w:t> </w:t>
      </w:r>
      <w:r>
        <w:rPr/>
        <w:t>garantía,</w:t>
      </w:r>
      <w:r>
        <w:rPr>
          <w:spacing w:val="-6"/>
        </w:rPr>
        <w:t> </w:t>
      </w:r>
      <w:r>
        <w:rPr/>
        <w:t>representa</w:t>
      </w:r>
      <w:r>
        <w:rPr>
          <w:spacing w:val="-6"/>
        </w:rPr>
        <w:t> </w:t>
      </w:r>
      <w:r>
        <w:rPr/>
        <w:t>el</w:t>
      </w:r>
      <w:r>
        <w:rPr>
          <w:spacing w:val="-7"/>
        </w:rPr>
        <w:t> </w:t>
      </w:r>
      <w:r>
        <w:rPr/>
        <w:t>0,00%</w:t>
      </w:r>
      <w:r>
        <w:rPr>
          <w:spacing w:val="-7"/>
        </w:rPr>
        <w:t> </w:t>
      </w:r>
      <w:r>
        <w:rPr/>
        <w:t>del</w:t>
      </w:r>
      <w:r>
        <w:rPr>
          <w:spacing w:val="-7"/>
        </w:rPr>
        <w:t> </w:t>
      </w:r>
      <w:r>
        <w:rPr/>
        <w:t>total</w:t>
      </w:r>
      <w:r>
        <w:rPr>
          <w:spacing w:val="-7"/>
        </w:rPr>
        <w:t> </w:t>
      </w:r>
      <w:r>
        <w:rPr/>
        <w:t>del</w:t>
      </w:r>
      <w:r>
        <w:rPr>
          <w:spacing w:val="-7"/>
        </w:rPr>
        <w:t> </w:t>
      </w:r>
      <w:r>
        <w:rPr/>
        <w:t>Pasivo,</w:t>
      </w:r>
      <w:r>
        <w:rPr>
          <w:spacing w:val="-6"/>
        </w:rPr>
        <w:t> </w:t>
      </w:r>
      <w:r>
        <w:rPr/>
        <w:t>que</w:t>
      </w:r>
      <w:r>
        <w:rPr>
          <w:spacing w:val="-5"/>
        </w:rPr>
        <w:t> </w:t>
      </w:r>
      <w:r>
        <w:rPr/>
        <w:t>comparado</w:t>
      </w:r>
      <w:r>
        <w:rPr>
          <w:spacing w:val="-6"/>
        </w:rPr>
        <w:t> </w:t>
      </w:r>
      <w:r>
        <w:rPr/>
        <w:t>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4"/>
        </w:rPr>
        <w:t> </w:t>
      </w:r>
      <w:r>
        <w:rPr/>
        <w:t>0</w:t>
      </w:r>
      <w:r>
        <w:rPr>
          <w:spacing w:val="-5"/>
        </w:rPr>
        <w:t> </w:t>
      </w:r>
      <w:r>
        <w:rPr/>
        <w:t>000,00</w:t>
      </w:r>
      <w:r>
        <w:rPr>
          <w:spacing w:val="-6"/>
        </w:rPr>
        <w:t> </w:t>
      </w:r>
      <w:r>
        <w:rPr/>
        <w:t>que</w:t>
      </w:r>
      <w:r>
        <w:rPr>
          <w:spacing w:val="-4"/>
        </w:rPr>
        <w:t> </w:t>
      </w:r>
      <w:r>
        <w:rPr/>
        <w:t>corresponde</w:t>
      </w:r>
      <w:r>
        <w:rPr>
          <w:spacing w:val="-4"/>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rPr>
          <w:sz w:val="20"/>
        </w:rPr>
      </w:pPr>
    </w:p>
    <w:p>
      <w:pPr>
        <w:pStyle w:val="BodyText"/>
        <w:spacing w:before="189"/>
        <w:rPr>
          <w:sz w:val="20"/>
        </w:rPr>
      </w:pPr>
      <w:r>
        <w:rPr>
          <w:sz w:val="20"/>
        </w:rPr>
        <mc:AlternateContent>
          <mc:Choice Requires="wps">
            <w:drawing>
              <wp:anchor distT="0" distB="0" distL="0" distR="0" allowOverlap="1" layoutInCell="1" locked="0" behindDoc="1" simplePos="0" relativeHeight="487659520">
                <wp:simplePos x="0" y="0"/>
                <wp:positionH relativeFrom="page">
                  <wp:posOffset>1080820</wp:posOffset>
                </wp:positionH>
                <wp:positionV relativeFrom="paragraph">
                  <wp:posOffset>283289</wp:posOffset>
                </wp:positionV>
                <wp:extent cx="5715000" cy="554990"/>
                <wp:effectExtent l="0" t="0" r="0" b="0"/>
                <wp:wrapTopAndBottom/>
                <wp:docPr id="426" name="Textbox 426"/>
                <wp:cNvGraphicFramePr>
                  <a:graphicFrameLocks/>
                </wp:cNvGraphicFramePr>
                <a:graphic>
                  <a:graphicData uri="http://schemas.microsoft.com/office/word/2010/wordprocessingShape">
                    <wps:wsp>
                      <wps:cNvPr id="426" name="Textbox 426"/>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2.30625pt;width:450pt;height:43.7pt;mso-position-horizontal-relative:page;mso-position-vertical-relative:paragraph;z-index:-15656960;mso-wrap-distance-left:0;mso-wrap-distance-right:0" type="#_x0000_t202" id="docshape40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8464">
                <wp:simplePos x="0" y="0"/>
                <wp:positionH relativeFrom="page">
                  <wp:posOffset>9525</wp:posOffset>
                </wp:positionH>
                <wp:positionV relativeFrom="page">
                  <wp:posOffset>297208</wp:posOffset>
                </wp:positionV>
                <wp:extent cx="7762875" cy="9748520"/>
                <wp:effectExtent l="0" t="0" r="0" b="0"/>
                <wp:wrapNone/>
                <wp:docPr id="427" name="Group 427"/>
                <wp:cNvGraphicFramePr>
                  <a:graphicFrameLocks/>
                </wp:cNvGraphicFramePr>
                <a:graphic>
                  <a:graphicData uri="http://schemas.microsoft.com/office/word/2010/wordprocessingGroup">
                    <wpg:wgp>
                      <wpg:cNvPr id="427" name="Group 427"/>
                      <wpg:cNvGrpSpPr/>
                      <wpg:grpSpPr>
                        <a:xfrm>
                          <a:off x="0" y="0"/>
                          <a:ext cx="7762875" cy="9748520"/>
                          <a:chExt cx="7762875" cy="9748520"/>
                        </a:xfrm>
                      </wpg:grpSpPr>
                      <pic:pic>
                        <pic:nvPicPr>
                          <pic:cNvPr id="428" name="Image 428"/>
                          <pic:cNvPicPr/>
                        </pic:nvPicPr>
                        <pic:blipFill>
                          <a:blip r:embed="rId5" cstate="print"/>
                          <a:stretch>
                            <a:fillRect/>
                          </a:stretch>
                        </pic:blipFill>
                        <pic:spPr>
                          <a:xfrm>
                            <a:off x="0" y="0"/>
                            <a:ext cx="7762874" cy="9748489"/>
                          </a:xfrm>
                          <a:prstGeom prst="rect">
                            <a:avLst/>
                          </a:prstGeom>
                        </pic:spPr>
                      </pic:pic>
                      <wps:wsp>
                        <wps:cNvPr id="429" name="Graphic 42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8016" id="docshapegroup405" coordorigin="15,468" coordsize="12225,15352">
                <v:shape style="position:absolute;left:15;top:468;width:12225;height:15352" type="#_x0000_t75" id="docshape406" stroked="false">
                  <v:imagedata r:id="rId5" o:title=""/>
                </v:shape>
                <v:rect style="position:absolute;left:1673;top:2028;width:8897;height:15" id="docshape40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88</w:t>
      </w:r>
    </w:p>
    <w:p>
      <w:pPr>
        <w:spacing w:before="218"/>
        <w:ind w:left="622" w:right="0" w:firstLine="0"/>
        <w:jc w:val="left"/>
        <w:rPr>
          <w:b/>
          <w:sz w:val="22"/>
        </w:rPr>
      </w:pPr>
      <w:bookmarkStart w:name="_bookmark56" w:id="57"/>
      <w:bookmarkEnd w:id="57"/>
      <w:r>
        <w:rPr/>
      </w:r>
      <w:r>
        <w:rPr>
          <w:b/>
          <w:sz w:val="22"/>
        </w:rPr>
        <w:t>NOTA</w:t>
      </w:r>
      <w:r>
        <w:rPr>
          <w:b/>
          <w:spacing w:val="-1"/>
          <w:sz w:val="22"/>
        </w:rPr>
        <w:t> </w:t>
      </w:r>
      <w:r>
        <w:rPr>
          <w:b/>
          <w:sz w:val="22"/>
        </w:rPr>
        <w:t>N° </w:t>
      </w:r>
      <w:r>
        <w:rPr>
          <w:b/>
          <w:spacing w:val="-5"/>
          <w:sz w:val="22"/>
        </w:rPr>
        <w:t>22</w:t>
      </w:r>
    </w:p>
    <w:p>
      <w:pPr>
        <w:pStyle w:val="BodyText"/>
        <w:spacing w:before="114"/>
        <w:rPr>
          <w:b/>
        </w:rPr>
      </w:pPr>
    </w:p>
    <w:p>
      <w:pPr>
        <w:pStyle w:val="BodyText"/>
        <w:spacing w:before="1"/>
        <w:ind w:left="622"/>
      </w:pPr>
      <w:r>
        <w:rPr/>
        <w:t>Provisiones</w:t>
      </w:r>
      <w:r>
        <w:rPr>
          <w:spacing w:val="-3"/>
        </w:rPr>
        <w:t> </w:t>
      </w:r>
      <w:r>
        <w:rPr/>
        <w:t>y</w:t>
      </w:r>
      <w:r>
        <w:rPr>
          <w:spacing w:val="-4"/>
        </w:rPr>
        <w:t> </w:t>
      </w:r>
      <w:r>
        <w:rPr/>
        <w:t>reservas</w:t>
      </w:r>
      <w:r>
        <w:rPr>
          <w:spacing w:val="-3"/>
        </w:rPr>
        <w:t> </w:t>
      </w:r>
      <w:r>
        <w:rPr/>
        <w:t>técnicas</w:t>
      </w:r>
      <w:r>
        <w:rPr>
          <w:spacing w:val="-3"/>
        </w:rPr>
        <w:t> </w:t>
      </w:r>
      <w:r>
        <w:rPr/>
        <w:t>a</w:t>
      </w:r>
      <w:r>
        <w:rPr>
          <w:spacing w:val="-4"/>
        </w:rPr>
        <w:t> </w:t>
      </w:r>
      <w:r>
        <w:rPr/>
        <w:t>largo</w:t>
      </w:r>
      <w:r>
        <w:rPr>
          <w:spacing w:val="-2"/>
        </w:rPr>
        <w:t> </w:t>
      </w:r>
      <w:r>
        <w:rPr>
          <w:spacing w:val="-4"/>
        </w:rPr>
        <w:t>plazo</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2"/>
        <w:gridCol w:w="2778"/>
        <w:gridCol w:w="708"/>
        <w:gridCol w:w="1561"/>
        <w:gridCol w:w="1767"/>
        <w:gridCol w:w="1203"/>
      </w:tblGrid>
      <w:tr>
        <w:trPr>
          <w:trHeight w:val="272" w:hRule="atLeast"/>
        </w:trPr>
        <w:tc>
          <w:tcPr>
            <w:tcW w:w="1042" w:type="dxa"/>
            <w:vMerge w:val="restart"/>
            <w:shd w:val="clear" w:color="auto" w:fill="365F92"/>
          </w:tcPr>
          <w:p>
            <w:pPr>
              <w:pStyle w:val="TableParagraph"/>
              <w:spacing w:before="80"/>
              <w:ind w:left="69"/>
              <w:rPr>
                <w:b/>
                <w:sz w:val="20"/>
              </w:rPr>
            </w:pPr>
            <w:r>
              <w:rPr>
                <w:b/>
                <w:color w:val="FFFFFF"/>
                <w:spacing w:val="-2"/>
                <w:sz w:val="20"/>
              </w:rPr>
              <w:t>Cuenta</w:t>
            </w:r>
          </w:p>
        </w:tc>
        <w:tc>
          <w:tcPr>
            <w:tcW w:w="2778" w:type="dxa"/>
            <w:vMerge w:val="restart"/>
            <w:shd w:val="clear" w:color="auto" w:fill="365F92"/>
          </w:tcPr>
          <w:p>
            <w:pPr>
              <w:pStyle w:val="TableParagraph"/>
              <w:spacing w:before="169"/>
              <w:ind w:left="904"/>
              <w:rPr>
                <w:b/>
                <w:sz w:val="20"/>
              </w:rPr>
            </w:pPr>
            <w:r>
              <w:rPr>
                <w:b/>
                <w:color w:val="FFFFFF"/>
                <w:spacing w:val="-2"/>
                <w:sz w:val="20"/>
              </w:rPr>
              <w:t>Descripción</w:t>
            </w:r>
          </w:p>
        </w:tc>
        <w:tc>
          <w:tcPr>
            <w:tcW w:w="708" w:type="dxa"/>
            <w:vMerge w:val="restart"/>
            <w:shd w:val="clear" w:color="auto" w:fill="365F92"/>
          </w:tcPr>
          <w:p>
            <w:pPr>
              <w:pStyle w:val="TableParagraph"/>
              <w:spacing w:before="169"/>
              <w:ind w:left="157"/>
              <w:rPr>
                <w:b/>
                <w:sz w:val="20"/>
              </w:rPr>
            </w:pPr>
            <w:r>
              <w:rPr>
                <w:b/>
                <w:color w:val="FFFFFF"/>
                <w:spacing w:val="-4"/>
                <w:sz w:val="20"/>
              </w:rPr>
              <w:t>Nota</w:t>
            </w:r>
          </w:p>
        </w:tc>
        <w:tc>
          <w:tcPr>
            <w:tcW w:w="1561" w:type="dxa"/>
            <w:vMerge w:val="restart"/>
            <w:shd w:val="clear" w:color="auto" w:fill="365F92"/>
          </w:tcPr>
          <w:p>
            <w:pPr>
              <w:pStyle w:val="TableParagraph"/>
              <w:spacing w:before="169"/>
              <w:ind w:left="205"/>
              <w:rPr>
                <w:b/>
                <w:sz w:val="20"/>
              </w:rPr>
            </w:pPr>
            <w:r>
              <w:rPr>
                <w:b/>
                <w:color w:val="FFFFFF"/>
                <w:sz w:val="20"/>
              </w:rPr>
              <w:t>Periodo</w:t>
            </w:r>
            <w:r>
              <w:rPr>
                <w:b/>
                <w:color w:val="FFFFFF"/>
                <w:spacing w:val="-5"/>
                <w:sz w:val="20"/>
              </w:rPr>
              <w:t> </w:t>
            </w:r>
            <w:r>
              <w:rPr>
                <w:b/>
                <w:color w:val="FFFFFF"/>
                <w:spacing w:val="-2"/>
                <w:sz w:val="20"/>
              </w:rPr>
              <w:t>Actual</w:t>
            </w:r>
          </w:p>
        </w:tc>
        <w:tc>
          <w:tcPr>
            <w:tcW w:w="1767" w:type="dxa"/>
            <w:vMerge w:val="restart"/>
            <w:shd w:val="clear" w:color="auto" w:fill="365F92"/>
          </w:tcPr>
          <w:p>
            <w:pPr>
              <w:pStyle w:val="TableParagraph"/>
              <w:spacing w:before="169"/>
              <w:ind w:left="224"/>
              <w:rPr>
                <w:b/>
                <w:sz w:val="20"/>
              </w:rPr>
            </w:pPr>
            <w:r>
              <w:rPr>
                <w:b/>
                <w:color w:val="FFFFFF"/>
                <w:sz w:val="20"/>
              </w:rPr>
              <w:t>Periodo</w:t>
            </w:r>
            <w:r>
              <w:rPr>
                <w:b/>
                <w:color w:val="FFFFFF"/>
                <w:spacing w:val="-5"/>
                <w:sz w:val="20"/>
              </w:rPr>
              <w:t> </w:t>
            </w:r>
            <w:r>
              <w:rPr>
                <w:b/>
                <w:color w:val="FFFFFF"/>
                <w:spacing w:val="-2"/>
                <w:sz w:val="20"/>
              </w:rPr>
              <w:t>Anterior</w:t>
            </w:r>
          </w:p>
        </w:tc>
        <w:tc>
          <w:tcPr>
            <w:tcW w:w="1203" w:type="dxa"/>
            <w:shd w:val="clear" w:color="auto" w:fill="365F92"/>
          </w:tcPr>
          <w:p>
            <w:pPr>
              <w:pStyle w:val="TableParagraph"/>
              <w:spacing w:before="20"/>
              <w:ind w:left="15" w:right="2"/>
              <w:jc w:val="center"/>
              <w:rPr>
                <w:b/>
                <w:sz w:val="20"/>
              </w:rPr>
            </w:pPr>
            <w:r>
              <w:rPr>
                <w:b/>
                <w:color w:val="FFFFFF"/>
                <w:spacing w:val="-2"/>
                <w:sz w:val="20"/>
              </w:rPr>
              <w:t>Diferencia</w:t>
            </w:r>
          </w:p>
        </w:tc>
      </w:tr>
      <w:tr>
        <w:trPr>
          <w:trHeight w:val="275" w:hRule="atLeast"/>
        </w:trPr>
        <w:tc>
          <w:tcPr>
            <w:tcW w:w="1042" w:type="dxa"/>
            <w:vMerge/>
            <w:tcBorders>
              <w:top w:val="nil"/>
            </w:tcBorders>
            <w:shd w:val="clear" w:color="auto" w:fill="365F92"/>
          </w:tcPr>
          <w:p>
            <w:pPr>
              <w:rPr>
                <w:sz w:val="2"/>
                <w:szCs w:val="2"/>
              </w:rPr>
            </w:pPr>
          </w:p>
        </w:tc>
        <w:tc>
          <w:tcPr>
            <w:tcW w:w="2778"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767" w:type="dxa"/>
            <w:vMerge/>
            <w:tcBorders>
              <w:top w:val="nil"/>
            </w:tcBorders>
            <w:shd w:val="clear" w:color="auto" w:fill="365F92"/>
          </w:tcPr>
          <w:p>
            <w:pPr>
              <w:rPr>
                <w:sz w:val="2"/>
                <w:szCs w:val="2"/>
              </w:rPr>
            </w:pPr>
          </w:p>
        </w:tc>
        <w:tc>
          <w:tcPr>
            <w:tcW w:w="1203" w:type="dxa"/>
            <w:shd w:val="clear" w:color="auto" w:fill="365F92"/>
          </w:tcPr>
          <w:p>
            <w:pPr>
              <w:pStyle w:val="TableParagraph"/>
              <w:spacing w:before="22"/>
              <w:ind w:left="15" w:right="3"/>
              <w:jc w:val="center"/>
              <w:rPr>
                <w:sz w:val="20"/>
              </w:rPr>
            </w:pPr>
            <w:r>
              <w:rPr>
                <w:color w:val="FFFFFF"/>
                <w:spacing w:val="-10"/>
                <w:sz w:val="20"/>
              </w:rPr>
              <w:t>%</w:t>
            </w:r>
          </w:p>
        </w:tc>
      </w:tr>
      <w:tr>
        <w:trPr>
          <w:trHeight w:val="457" w:hRule="atLeast"/>
        </w:trPr>
        <w:tc>
          <w:tcPr>
            <w:tcW w:w="1042" w:type="dxa"/>
          </w:tcPr>
          <w:p>
            <w:pPr>
              <w:pStyle w:val="TableParagraph"/>
              <w:spacing w:before="113"/>
              <w:ind w:left="69"/>
              <w:rPr>
                <w:b/>
                <w:sz w:val="20"/>
              </w:rPr>
            </w:pPr>
            <w:r>
              <w:rPr>
                <w:b/>
                <w:spacing w:val="-2"/>
                <w:sz w:val="20"/>
              </w:rPr>
              <w:t>2.2.4.</w:t>
            </w:r>
          </w:p>
        </w:tc>
        <w:tc>
          <w:tcPr>
            <w:tcW w:w="2778" w:type="dxa"/>
          </w:tcPr>
          <w:p>
            <w:pPr>
              <w:pStyle w:val="TableParagraph"/>
              <w:spacing w:line="227" w:lineRule="exact"/>
              <w:ind w:left="66"/>
              <w:rPr>
                <w:b/>
                <w:sz w:val="20"/>
              </w:rPr>
            </w:pPr>
            <w:r>
              <w:rPr>
                <w:b/>
                <w:sz w:val="20"/>
              </w:rPr>
              <w:t>Provisiones</w:t>
            </w:r>
            <w:r>
              <w:rPr>
                <w:b/>
                <w:spacing w:val="-6"/>
                <w:sz w:val="20"/>
              </w:rPr>
              <w:t> </w:t>
            </w:r>
            <w:r>
              <w:rPr>
                <w:b/>
                <w:sz w:val="20"/>
              </w:rPr>
              <w:t>y</w:t>
            </w:r>
            <w:r>
              <w:rPr>
                <w:b/>
                <w:spacing w:val="-5"/>
                <w:sz w:val="20"/>
              </w:rPr>
              <w:t> </w:t>
            </w:r>
            <w:r>
              <w:rPr>
                <w:b/>
                <w:sz w:val="20"/>
              </w:rPr>
              <w:t>reservas</w:t>
            </w:r>
            <w:r>
              <w:rPr>
                <w:b/>
                <w:spacing w:val="-5"/>
                <w:sz w:val="20"/>
              </w:rPr>
              <w:t> </w:t>
            </w:r>
            <w:r>
              <w:rPr>
                <w:b/>
                <w:sz w:val="20"/>
              </w:rPr>
              <w:t>técnicas</w:t>
            </w:r>
            <w:r>
              <w:rPr>
                <w:b/>
                <w:spacing w:val="-6"/>
                <w:sz w:val="20"/>
              </w:rPr>
              <w:t> </w:t>
            </w:r>
            <w:r>
              <w:rPr>
                <w:b/>
                <w:spacing w:val="-10"/>
                <w:sz w:val="20"/>
              </w:rPr>
              <w:t>a</w:t>
            </w:r>
          </w:p>
          <w:p>
            <w:pPr>
              <w:pStyle w:val="TableParagraph"/>
              <w:spacing w:line="211" w:lineRule="exact"/>
              <w:ind w:left="66"/>
              <w:rPr>
                <w:b/>
                <w:sz w:val="20"/>
              </w:rPr>
            </w:pPr>
            <w:r>
              <w:rPr>
                <w:b/>
                <w:sz w:val="20"/>
              </w:rPr>
              <w:t>largo</w:t>
            </w:r>
            <w:r>
              <w:rPr>
                <w:b/>
                <w:spacing w:val="-5"/>
                <w:sz w:val="20"/>
              </w:rPr>
              <w:t> </w:t>
            </w:r>
            <w:r>
              <w:rPr>
                <w:b/>
                <w:spacing w:val="-2"/>
                <w:sz w:val="20"/>
              </w:rPr>
              <w:t>plazo</w:t>
            </w:r>
          </w:p>
        </w:tc>
        <w:tc>
          <w:tcPr>
            <w:tcW w:w="708" w:type="dxa"/>
          </w:tcPr>
          <w:p>
            <w:pPr>
              <w:pStyle w:val="TableParagraph"/>
              <w:spacing w:before="113"/>
              <w:ind w:left="18" w:right="3"/>
              <w:jc w:val="center"/>
              <w:rPr>
                <w:b/>
                <w:sz w:val="20"/>
              </w:rPr>
            </w:pPr>
            <w:r>
              <w:rPr>
                <w:b/>
                <w:spacing w:val="-5"/>
                <w:sz w:val="20"/>
              </w:rPr>
              <w:t>22</w:t>
            </w:r>
          </w:p>
        </w:tc>
        <w:tc>
          <w:tcPr>
            <w:tcW w:w="1561" w:type="dxa"/>
          </w:tcPr>
          <w:p>
            <w:pPr>
              <w:pStyle w:val="TableParagraph"/>
              <w:spacing w:before="113"/>
              <w:ind w:left="260"/>
              <w:rPr>
                <w:b/>
                <w:sz w:val="20"/>
              </w:rPr>
            </w:pPr>
            <w:r>
              <w:rPr>
                <w:b/>
                <w:sz w:val="20"/>
              </w:rPr>
              <w:t>1</w:t>
            </w:r>
            <w:r>
              <w:rPr>
                <w:b/>
                <w:spacing w:val="-2"/>
                <w:sz w:val="20"/>
              </w:rPr>
              <w:t> </w:t>
            </w:r>
            <w:r>
              <w:rPr>
                <w:b/>
                <w:sz w:val="20"/>
              </w:rPr>
              <w:t>961</w:t>
            </w:r>
            <w:r>
              <w:rPr>
                <w:b/>
                <w:spacing w:val="-2"/>
                <w:sz w:val="20"/>
              </w:rPr>
              <w:t> 164,54</w:t>
            </w:r>
          </w:p>
        </w:tc>
        <w:tc>
          <w:tcPr>
            <w:tcW w:w="1767" w:type="dxa"/>
          </w:tcPr>
          <w:p>
            <w:pPr>
              <w:pStyle w:val="TableParagraph"/>
              <w:spacing w:before="113"/>
              <w:ind w:left="363"/>
              <w:rPr>
                <w:b/>
                <w:sz w:val="20"/>
              </w:rPr>
            </w:pPr>
            <w:r>
              <w:rPr>
                <w:b/>
                <w:sz w:val="20"/>
              </w:rPr>
              <w:t>1</w:t>
            </w:r>
            <w:r>
              <w:rPr>
                <w:b/>
                <w:spacing w:val="-2"/>
                <w:sz w:val="20"/>
              </w:rPr>
              <w:t> </w:t>
            </w:r>
            <w:r>
              <w:rPr>
                <w:b/>
                <w:sz w:val="20"/>
              </w:rPr>
              <w:t>837</w:t>
            </w:r>
            <w:r>
              <w:rPr>
                <w:b/>
                <w:spacing w:val="-2"/>
                <w:sz w:val="20"/>
              </w:rPr>
              <w:t> 166,74</w:t>
            </w:r>
          </w:p>
        </w:tc>
        <w:tc>
          <w:tcPr>
            <w:tcW w:w="1203" w:type="dxa"/>
          </w:tcPr>
          <w:p>
            <w:pPr>
              <w:pStyle w:val="TableParagraph"/>
              <w:spacing w:before="113"/>
              <w:ind w:left="15"/>
              <w:jc w:val="center"/>
              <w:rPr>
                <w:b/>
                <w:sz w:val="20"/>
              </w:rPr>
            </w:pPr>
            <w:r>
              <w:rPr>
                <w:b/>
                <w:spacing w:val="-2"/>
                <w:sz w:val="20"/>
              </w:rPr>
              <w:t>6,75%</w:t>
            </w:r>
          </w:p>
        </w:tc>
      </w:tr>
    </w:tbl>
    <w:p>
      <w:pPr>
        <w:spacing w:before="239"/>
        <w:ind w:left="622" w:right="0" w:firstLine="0"/>
        <w:jc w:val="left"/>
        <w:rPr>
          <w:sz w:val="20"/>
        </w:rPr>
      </w:pPr>
      <w:r>
        <w:rPr>
          <w:sz w:val="20"/>
        </w:rPr>
        <w:t>Detalle</w:t>
      </w:r>
      <w:r>
        <w:rPr>
          <w:spacing w:val="-10"/>
          <w:sz w:val="20"/>
        </w:rPr>
        <w:t> </w:t>
      </w:r>
      <w:r>
        <w:rPr>
          <w:spacing w:val="-2"/>
          <w:sz w:val="20"/>
        </w:rPr>
        <w:t>cuenta:</w:t>
      </w:r>
    </w:p>
    <w:p>
      <w:pPr>
        <w:pStyle w:val="BodyText"/>
        <w:spacing w:before="8"/>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2653"/>
        <w:gridCol w:w="708"/>
        <w:gridCol w:w="1561"/>
        <w:gridCol w:w="2004"/>
        <w:gridCol w:w="972"/>
      </w:tblGrid>
      <w:tr>
        <w:trPr>
          <w:trHeight w:val="325" w:hRule="atLeast"/>
        </w:trPr>
        <w:tc>
          <w:tcPr>
            <w:tcW w:w="1166" w:type="dxa"/>
            <w:vMerge w:val="restart"/>
            <w:shd w:val="clear" w:color="auto" w:fill="365F92"/>
          </w:tcPr>
          <w:p>
            <w:pPr>
              <w:pStyle w:val="TableParagraph"/>
              <w:spacing w:before="130"/>
              <w:ind w:left="69"/>
              <w:rPr>
                <w:b/>
                <w:sz w:val="20"/>
              </w:rPr>
            </w:pPr>
            <w:r>
              <w:rPr>
                <w:b/>
                <w:color w:val="FFFFFF"/>
                <w:spacing w:val="-2"/>
                <w:sz w:val="20"/>
              </w:rPr>
              <w:t>Cuenta</w:t>
            </w:r>
          </w:p>
        </w:tc>
        <w:tc>
          <w:tcPr>
            <w:tcW w:w="2653" w:type="dxa"/>
            <w:vMerge w:val="restart"/>
            <w:shd w:val="clear" w:color="auto" w:fill="365F92"/>
          </w:tcPr>
          <w:p>
            <w:pPr>
              <w:pStyle w:val="TableParagraph"/>
              <w:spacing w:before="219"/>
              <w:ind w:left="845"/>
              <w:rPr>
                <w:b/>
                <w:sz w:val="20"/>
              </w:rPr>
            </w:pPr>
            <w:r>
              <w:rPr>
                <w:b/>
                <w:color w:val="FFFFFF"/>
                <w:spacing w:val="-2"/>
                <w:sz w:val="20"/>
              </w:rPr>
              <w:t>Descripción</w:t>
            </w:r>
          </w:p>
        </w:tc>
        <w:tc>
          <w:tcPr>
            <w:tcW w:w="708" w:type="dxa"/>
            <w:vMerge w:val="restart"/>
            <w:shd w:val="clear" w:color="auto" w:fill="365F92"/>
          </w:tcPr>
          <w:p>
            <w:pPr>
              <w:pStyle w:val="TableParagraph"/>
              <w:spacing w:before="219"/>
              <w:ind w:left="158"/>
              <w:rPr>
                <w:b/>
                <w:sz w:val="20"/>
              </w:rPr>
            </w:pPr>
            <w:r>
              <w:rPr>
                <w:b/>
                <w:color w:val="FFFFFF"/>
                <w:spacing w:val="-4"/>
                <w:sz w:val="20"/>
              </w:rPr>
              <w:t>Nota</w:t>
            </w:r>
          </w:p>
        </w:tc>
        <w:tc>
          <w:tcPr>
            <w:tcW w:w="1561" w:type="dxa"/>
            <w:vMerge w:val="restart"/>
            <w:shd w:val="clear" w:color="auto" w:fill="365F92"/>
          </w:tcPr>
          <w:p>
            <w:pPr>
              <w:pStyle w:val="TableParagraph"/>
              <w:spacing w:before="219"/>
              <w:ind w:left="206"/>
              <w:rPr>
                <w:b/>
                <w:sz w:val="20"/>
              </w:rPr>
            </w:pPr>
            <w:r>
              <w:rPr>
                <w:b/>
                <w:color w:val="FFFFFF"/>
                <w:sz w:val="20"/>
              </w:rPr>
              <w:t>Periodo</w:t>
            </w:r>
            <w:r>
              <w:rPr>
                <w:b/>
                <w:color w:val="FFFFFF"/>
                <w:spacing w:val="-5"/>
                <w:sz w:val="20"/>
              </w:rPr>
              <w:t> </w:t>
            </w:r>
            <w:r>
              <w:rPr>
                <w:b/>
                <w:color w:val="FFFFFF"/>
                <w:spacing w:val="-2"/>
                <w:sz w:val="20"/>
              </w:rPr>
              <w:t>Actual</w:t>
            </w:r>
          </w:p>
        </w:tc>
        <w:tc>
          <w:tcPr>
            <w:tcW w:w="2004" w:type="dxa"/>
            <w:vMerge w:val="restart"/>
            <w:shd w:val="clear" w:color="auto" w:fill="365F92"/>
          </w:tcPr>
          <w:p>
            <w:pPr>
              <w:pStyle w:val="TableParagraph"/>
              <w:spacing w:before="219"/>
              <w:ind w:left="345"/>
              <w:rPr>
                <w:b/>
                <w:sz w:val="20"/>
              </w:rPr>
            </w:pPr>
            <w:r>
              <w:rPr>
                <w:b/>
                <w:color w:val="FFFFFF"/>
                <w:sz w:val="20"/>
              </w:rPr>
              <w:t>Periodo</w:t>
            </w:r>
            <w:r>
              <w:rPr>
                <w:b/>
                <w:color w:val="FFFFFF"/>
                <w:spacing w:val="-5"/>
                <w:sz w:val="20"/>
              </w:rPr>
              <w:t> </w:t>
            </w:r>
            <w:r>
              <w:rPr>
                <w:b/>
                <w:color w:val="FFFFFF"/>
                <w:spacing w:val="-2"/>
                <w:sz w:val="20"/>
              </w:rPr>
              <w:t>Anterior</w:t>
            </w:r>
          </w:p>
        </w:tc>
        <w:tc>
          <w:tcPr>
            <w:tcW w:w="972" w:type="dxa"/>
            <w:shd w:val="clear" w:color="auto" w:fill="365F92"/>
          </w:tcPr>
          <w:p>
            <w:pPr>
              <w:pStyle w:val="TableParagraph"/>
              <w:spacing w:before="49"/>
              <w:ind w:left="16"/>
              <w:jc w:val="center"/>
              <w:rPr>
                <w:b/>
                <w:sz w:val="20"/>
              </w:rPr>
            </w:pPr>
            <w:r>
              <w:rPr>
                <w:b/>
                <w:color w:val="FFFFFF"/>
                <w:spacing w:val="-2"/>
                <w:sz w:val="20"/>
              </w:rPr>
              <w:t>Diferencia</w:t>
            </w:r>
          </w:p>
        </w:tc>
      </w:tr>
      <w:tr>
        <w:trPr>
          <w:trHeight w:val="323" w:hRule="atLeast"/>
        </w:trPr>
        <w:tc>
          <w:tcPr>
            <w:tcW w:w="1166" w:type="dxa"/>
            <w:vMerge/>
            <w:tcBorders>
              <w:top w:val="nil"/>
            </w:tcBorders>
            <w:shd w:val="clear" w:color="auto" w:fill="365F92"/>
          </w:tcPr>
          <w:p>
            <w:pPr>
              <w:rPr>
                <w:sz w:val="2"/>
                <w:szCs w:val="2"/>
              </w:rPr>
            </w:pPr>
          </w:p>
        </w:tc>
        <w:tc>
          <w:tcPr>
            <w:tcW w:w="2653"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2004" w:type="dxa"/>
            <w:vMerge/>
            <w:tcBorders>
              <w:top w:val="nil"/>
            </w:tcBorders>
            <w:shd w:val="clear" w:color="auto" w:fill="365F92"/>
          </w:tcPr>
          <w:p>
            <w:pPr>
              <w:rPr>
                <w:sz w:val="2"/>
                <w:szCs w:val="2"/>
              </w:rPr>
            </w:pPr>
          </w:p>
        </w:tc>
        <w:tc>
          <w:tcPr>
            <w:tcW w:w="972" w:type="dxa"/>
            <w:shd w:val="clear" w:color="auto" w:fill="365F92"/>
          </w:tcPr>
          <w:p>
            <w:pPr>
              <w:pStyle w:val="TableParagraph"/>
              <w:spacing w:before="46"/>
              <w:ind w:left="16" w:right="1"/>
              <w:jc w:val="center"/>
              <w:rPr>
                <w:sz w:val="20"/>
              </w:rPr>
            </w:pPr>
            <w:r>
              <w:rPr>
                <w:color w:val="FFFFFF"/>
                <w:spacing w:val="-10"/>
                <w:sz w:val="20"/>
              </w:rPr>
              <w:t>%</w:t>
            </w:r>
          </w:p>
        </w:tc>
      </w:tr>
      <w:tr>
        <w:trPr>
          <w:trHeight w:val="325" w:hRule="atLeast"/>
        </w:trPr>
        <w:tc>
          <w:tcPr>
            <w:tcW w:w="1166" w:type="dxa"/>
          </w:tcPr>
          <w:p>
            <w:pPr>
              <w:pStyle w:val="TableParagraph"/>
              <w:spacing w:before="46"/>
              <w:ind w:left="69"/>
              <w:rPr>
                <w:b/>
                <w:sz w:val="20"/>
              </w:rPr>
            </w:pPr>
            <w:r>
              <w:rPr>
                <w:b/>
                <w:spacing w:val="-2"/>
                <w:sz w:val="20"/>
              </w:rPr>
              <w:t>2.2.4.01.</w:t>
            </w:r>
          </w:p>
        </w:tc>
        <w:tc>
          <w:tcPr>
            <w:tcW w:w="2653" w:type="dxa"/>
          </w:tcPr>
          <w:p>
            <w:pPr>
              <w:pStyle w:val="TableParagraph"/>
              <w:spacing w:before="46"/>
              <w:ind w:left="69"/>
              <w:rPr>
                <w:b/>
                <w:sz w:val="20"/>
              </w:rPr>
            </w:pPr>
            <w:r>
              <w:rPr>
                <w:b/>
                <w:sz w:val="20"/>
              </w:rPr>
              <w:t>Provisiones</w:t>
            </w:r>
            <w:r>
              <w:rPr>
                <w:b/>
                <w:spacing w:val="-5"/>
                <w:sz w:val="20"/>
              </w:rPr>
              <w:t> </w:t>
            </w:r>
            <w:r>
              <w:rPr>
                <w:b/>
                <w:sz w:val="20"/>
              </w:rPr>
              <w:t>a</w:t>
            </w:r>
            <w:r>
              <w:rPr>
                <w:b/>
                <w:spacing w:val="-5"/>
                <w:sz w:val="20"/>
              </w:rPr>
              <w:t> </w:t>
            </w:r>
            <w:r>
              <w:rPr>
                <w:b/>
                <w:sz w:val="20"/>
              </w:rPr>
              <w:t>largo</w:t>
            </w:r>
            <w:r>
              <w:rPr>
                <w:b/>
                <w:spacing w:val="-4"/>
                <w:sz w:val="20"/>
              </w:rPr>
              <w:t> plazo</w:t>
            </w:r>
          </w:p>
        </w:tc>
        <w:tc>
          <w:tcPr>
            <w:tcW w:w="708" w:type="dxa"/>
          </w:tcPr>
          <w:p>
            <w:pPr>
              <w:pStyle w:val="TableParagraph"/>
              <w:spacing w:line="211" w:lineRule="exact" w:before="94"/>
              <w:ind w:left="18" w:right="1"/>
              <w:jc w:val="center"/>
              <w:rPr>
                <w:b/>
                <w:sz w:val="20"/>
              </w:rPr>
            </w:pPr>
            <w:r>
              <w:rPr>
                <w:b/>
                <w:spacing w:val="-5"/>
                <w:sz w:val="20"/>
              </w:rPr>
              <w:t>22</w:t>
            </w:r>
          </w:p>
        </w:tc>
        <w:tc>
          <w:tcPr>
            <w:tcW w:w="1561" w:type="dxa"/>
          </w:tcPr>
          <w:p>
            <w:pPr>
              <w:pStyle w:val="TableParagraph"/>
              <w:spacing w:before="46"/>
              <w:ind w:left="261"/>
              <w:rPr>
                <w:b/>
                <w:sz w:val="20"/>
              </w:rPr>
            </w:pPr>
            <w:r>
              <w:rPr>
                <w:b/>
                <w:sz w:val="20"/>
              </w:rPr>
              <w:t>1</w:t>
            </w:r>
            <w:r>
              <w:rPr>
                <w:b/>
                <w:spacing w:val="-2"/>
                <w:sz w:val="20"/>
              </w:rPr>
              <w:t> </w:t>
            </w:r>
            <w:r>
              <w:rPr>
                <w:b/>
                <w:sz w:val="20"/>
              </w:rPr>
              <w:t>961</w:t>
            </w:r>
            <w:r>
              <w:rPr>
                <w:b/>
                <w:spacing w:val="-2"/>
                <w:sz w:val="20"/>
              </w:rPr>
              <w:t> 164,54</w:t>
            </w:r>
          </w:p>
        </w:tc>
        <w:tc>
          <w:tcPr>
            <w:tcW w:w="2004" w:type="dxa"/>
          </w:tcPr>
          <w:p>
            <w:pPr>
              <w:pStyle w:val="TableParagraph"/>
              <w:spacing w:before="46"/>
              <w:ind w:left="484"/>
              <w:rPr>
                <w:b/>
                <w:sz w:val="20"/>
              </w:rPr>
            </w:pPr>
            <w:r>
              <w:rPr>
                <w:b/>
                <w:sz w:val="20"/>
              </w:rPr>
              <w:t>1</w:t>
            </w:r>
            <w:r>
              <w:rPr>
                <w:b/>
                <w:spacing w:val="-2"/>
                <w:sz w:val="20"/>
              </w:rPr>
              <w:t> </w:t>
            </w:r>
            <w:r>
              <w:rPr>
                <w:b/>
                <w:sz w:val="20"/>
              </w:rPr>
              <w:t>837</w:t>
            </w:r>
            <w:r>
              <w:rPr>
                <w:b/>
                <w:spacing w:val="-2"/>
                <w:sz w:val="20"/>
              </w:rPr>
              <w:t> 166,74</w:t>
            </w:r>
          </w:p>
        </w:tc>
        <w:tc>
          <w:tcPr>
            <w:tcW w:w="972" w:type="dxa"/>
          </w:tcPr>
          <w:p>
            <w:pPr>
              <w:pStyle w:val="TableParagraph"/>
              <w:spacing w:before="46"/>
              <w:ind w:left="16" w:right="1"/>
              <w:jc w:val="center"/>
              <w:rPr>
                <w:b/>
                <w:sz w:val="20"/>
              </w:rPr>
            </w:pPr>
            <w:r>
              <w:rPr>
                <w:b/>
                <w:spacing w:val="-2"/>
                <w:sz w:val="20"/>
              </w:rPr>
              <w:t>6,75%</w:t>
            </w:r>
          </w:p>
        </w:tc>
      </w:tr>
    </w:tbl>
    <w:p>
      <w:pPr>
        <w:pStyle w:val="BodyText"/>
        <w:rPr>
          <w:sz w:val="20"/>
        </w:rPr>
      </w:pPr>
    </w:p>
    <w:p>
      <w:pPr>
        <w:pStyle w:val="BodyText"/>
        <w:spacing w:before="189"/>
        <w:rPr>
          <w:sz w:val="20"/>
        </w:rPr>
      </w:pPr>
      <w:r>
        <w:rPr>
          <w:sz w:val="20"/>
        </w:rPr>
        <mc:AlternateContent>
          <mc:Choice Requires="wps">
            <w:drawing>
              <wp:anchor distT="0" distB="0" distL="0" distR="0" allowOverlap="1" layoutInCell="1" locked="0" behindDoc="1" simplePos="0" relativeHeight="487660544">
                <wp:simplePos x="0" y="0"/>
                <wp:positionH relativeFrom="page">
                  <wp:posOffset>1080820</wp:posOffset>
                </wp:positionH>
                <wp:positionV relativeFrom="paragraph">
                  <wp:posOffset>283765</wp:posOffset>
                </wp:positionV>
                <wp:extent cx="5715000" cy="859790"/>
                <wp:effectExtent l="0" t="0" r="0" b="0"/>
                <wp:wrapTopAndBottom/>
                <wp:docPr id="430" name="Textbox 430"/>
                <wp:cNvGraphicFramePr>
                  <a:graphicFrameLocks/>
                </wp:cNvGraphicFramePr>
                <a:graphic>
                  <a:graphicData uri="http://schemas.microsoft.com/office/word/2010/wordprocessingShape">
                    <wps:wsp>
                      <wps:cNvPr id="430" name="Textbox 430"/>
                      <wps:cNvSpPr txBox="1"/>
                      <wps:spPr>
                        <a:xfrm>
                          <a:off x="0" y="0"/>
                          <a:ext cx="5715000" cy="859790"/>
                        </a:xfrm>
                        <a:prstGeom prst="rect">
                          <a:avLst/>
                        </a:prstGeom>
                        <a:ln w="6095">
                          <a:solidFill>
                            <a:srgbClr val="000000"/>
                          </a:solidFill>
                          <a:prstDash val="solid"/>
                        </a:ln>
                      </wps:spPr>
                      <wps:txbx>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9"/>
                              <w:ind w:left="103" w:right="104"/>
                              <w:jc w:val="both"/>
                            </w:pPr>
                            <w:r>
                              <w:rPr/>
                              <w:t>Las variaciones de la cuenta son producto de la creación de la cuenta por pagar de cesantía de las personas funcionarias que no pertenecen a la asociación solidarista del Instituto Mixto de Ayuda Social, como resultado de la aplicación de las normas NICSP 39.</w:t>
                            </w:r>
                          </w:p>
                        </w:txbxContent>
                      </wps:txbx>
                      <wps:bodyPr wrap="square" lIns="0" tIns="0" rIns="0" bIns="0" rtlCol="0">
                        <a:noAutofit/>
                      </wps:bodyPr>
                    </wps:wsp>
                  </a:graphicData>
                </a:graphic>
              </wp:anchor>
            </w:drawing>
          </mc:Choice>
          <mc:Fallback>
            <w:pict>
              <v:shape style="position:absolute;margin-left:85.103996pt;margin-top:22.343769pt;width:450pt;height:67.7pt;mso-position-horizontal-relative:page;mso-position-vertical-relative:paragraph;z-index:-15655936;mso-wrap-distance-left:0;mso-wrap-distance-right:0" type="#_x0000_t202" id="docshape408" filled="false" stroked="true" strokeweight=".47998pt" strokecolor="#000000">
                <v:textbox inset="0,0,0,0">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before="179"/>
                        <w:ind w:left="103" w:right="104"/>
                        <w:jc w:val="both"/>
                      </w:pPr>
                      <w:r>
                        <w:rPr/>
                        <w:t>Las variaciones de la cuenta son producto de la creación de la cuenta por pagar de cesantía de las personas funcionarias que no pertenecen a la asociación solidarista del Instituto Mixto de Ayuda Social, como resultado de la aplicación de las normas NICSP 39.</w:t>
                      </w:r>
                    </w:p>
                  </w:txbxContent>
                </v:textbox>
                <v:stroke dashstyle="solid"/>
                <w10:wrap type="topAndBottom"/>
              </v:shape>
            </w:pict>
          </mc:Fallback>
        </mc:AlternateContent>
      </w:r>
    </w:p>
    <w:p>
      <w:pPr>
        <w:pStyle w:val="BodyText"/>
        <w:rPr>
          <w:sz w:val="20"/>
        </w:rPr>
      </w:pPr>
    </w:p>
    <w:p>
      <w:pPr>
        <w:pStyle w:val="BodyText"/>
        <w:spacing w:before="51"/>
        <w:rPr>
          <w:sz w:val="20"/>
        </w:rPr>
      </w:pPr>
    </w:p>
    <w:p>
      <w:pPr>
        <w:pStyle w:val="Heading6"/>
        <w:ind w:left="622"/>
        <w:rPr>
          <w:b w:val="0"/>
        </w:rPr>
      </w:pPr>
      <w:r>
        <w:rPr>
          <w:spacing w:val="-2"/>
        </w:rPr>
        <w:t>Revelación</w:t>
      </w:r>
      <w:r>
        <w:rPr>
          <w:b w:val="0"/>
          <w:spacing w:val="-2"/>
        </w:rPr>
        <w:t>:</w:t>
      </w:r>
    </w:p>
    <w:p>
      <w:pPr>
        <w:pStyle w:val="BodyText"/>
        <w:spacing w:before="1"/>
        <w:ind w:left="622" w:right="975"/>
        <w:jc w:val="both"/>
      </w:pPr>
      <w:r>
        <w:rPr/>
        <w:t>La cuenta Provisiones y reservas técnicas a largo plazo, representa el 23,51% del total del Pasivo, que comparado al periodo anterior genera una variación absoluta de ¢123.997,80 que corresponde un aumento del 6,75%.</w:t>
      </w:r>
    </w:p>
    <w:p>
      <w:pPr>
        <w:pStyle w:val="BodyText"/>
        <w:spacing w:before="177"/>
        <w:rPr>
          <w:sz w:val="20"/>
        </w:rPr>
      </w:pPr>
      <w:r>
        <w:rPr>
          <w:sz w:val="20"/>
        </w:rPr>
        <mc:AlternateContent>
          <mc:Choice Requires="wps">
            <w:drawing>
              <wp:anchor distT="0" distB="0" distL="0" distR="0" allowOverlap="1" layoutInCell="1" locked="0" behindDoc="1" simplePos="0" relativeHeight="487661056">
                <wp:simplePos x="0" y="0"/>
                <wp:positionH relativeFrom="page">
                  <wp:posOffset>1080820</wp:posOffset>
                </wp:positionH>
                <wp:positionV relativeFrom="paragraph">
                  <wp:posOffset>275669</wp:posOffset>
                </wp:positionV>
                <wp:extent cx="5715000" cy="1657350"/>
                <wp:effectExtent l="0" t="0" r="0" b="0"/>
                <wp:wrapTopAndBottom/>
                <wp:docPr id="431" name="Textbox 431"/>
                <wp:cNvGraphicFramePr>
                  <a:graphicFrameLocks/>
                </wp:cNvGraphicFramePr>
                <a:graphic>
                  <a:graphicData uri="http://schemas.microsoft.com/office/word/2010/wordprocessingShape">
                    <wps:wsp>
                      <wps:cNvPr id="431" name="Textbox 431"/>
                      <wps:cNvSpPr txBox="1"/>
                      <wps:spPr>
                        <a:xfrm>
                          <a:off x="0" y="0"/>
                          <a:ext cx="5715000" cy="1657350"/>
                        </a:xfrm>
                        <a:prstGeom prst="rect">
                          <a:avLst/>
                        </a:prstGeom>
                        <a:ln w="6095">
                          <a:solidFill>
                            <a:srgbClr val="000000"/>
                          </a:solidFill>
                          <a:prstDash val="solid"/>
                        </a:ln>
                      </wps:spPr>
                      <wps:txbx>
                        <w:txbxContent>
                          <w:p>
                            <w:pPr>
                              <w:pStyle w:val="BodyText"/>
                              <w:ind w:left="103"/>
                            </w:pPr>
                            <w:r>
                              <w:rPr>
                                <w:spacing w:val="-2"/>
                              </w:rPr>
                              <w:t>Revelación:</w:t>
                            </w:r>
                          </w:p>
                          <w:p>
                            <w:pPr>
                              <w:pStyle w:val="BodyText"/>
                              <w:spacing w:line="259" w:lineRule="auto" w:before="181"/>
                              <w:ind w:left="103" w:right="104"/>
                              <w:jc w:val="both"/>
                            </w:pPr>
                            <w:r>
                              <w:rPr/>
                              <w:t>Conforme</w:t>
                            </w:r>
                            <w:r>
                              <w:rPr>
                                <w:spacing w:val="-3"/>
                              </w:rPr>
                              <w:t> </w:t>
                            </w:r>
                            <w:r>
                              <w:rPr/>
                              <w:t>la</w:t>
                            </w:r>
                            <w:r>
                              <w:rPr>
                                <w:spacing w:val="-4"/>
                              </w:rPr>
                              <w:t> </w:t>
                            </w:r>
                            <w:r>
                              <w:rPr/>
                              <w:t>política</w:t>
                            </w:r>
                            <w:r>
                              <w:rPr>
                                <w:spacing w:val="-3"/>
                              </w:rPr>
                              <w:t> </w:t>
                            </w:r>
                            <w:r>
                              <w:rPr/>
                              <w:t>contable</w:t>
                            </w:r>
                            <w:r>
                              <w:rPr>
                                <w:spacing w:val="-4"/>
                              </w:rPr>
                              <w:t> </w:t>
                            </w:r>
                            <w:r>
                              <w:rPr/>
                              <w:t>2.41.1</w:t>
                            </w:r>
                            <w:r>
                              <w:rPr>
                                <w:spacing w:val="-2"/>
                              </w:rPr>
                              <w:t> </w:t>
                            </w:r>
                            <w:r>
                              <w:rPr/>
                              <w:t>La</w:t>
                            </w:r>
                            <w:r>
                              <w:rPr>
                                <w:spacing w:val="-3"/>
                              </w:rPr>
                              <w:t> </w:t>
                            </w:r>
                            <w:r>
                              <w:rPr/>
                              <w:t>ley</w:t>
                            </w:r>
                            <w:r>
                              <w:rPr>
                                <w:spacing w:val="-2"/>
                              </w:rPr>
                              <w:t> </w:t>
                            </w:r>
                            <w:r>
                              <w:rPr/>
                              <w:t>establece</w:t>
                            </w:r>
                            <w:r>
                              <w:rPr>
                                <w:spacing w:val="-4"/>
                              </w:rPr>
                              <w:t> </w:t>
                            </w:r>
                            <w:r>
                              <w:rPr/>
                              <w:t>que</w:t>
                            </w:r>
                            <w:r>
                              <w:rPr>
                                <w:spacing w:val="-3"/>
                              </w:rPr>
                              <w:t> </w:t>
                            </w:r>
                            <w:r>
                              <w:rPr/>
                              <w:t>el</w:t>
                            </w:r>
                            <w:r>
                              <w:rPr>
                                <w:spacing w:val="-2"/>
                              </w:rPr>
                              <w:t> </w:t>
                            </w:r>
                            <w:r>
                              <w:rPr/>
                              <w:t>máximo</w:t>
                            </w:r>
                            <w:r>
                              <w:rPr>
                                <w:spacing w:val="-2"/>
                              </w:rPr>
                              <w:t> </w:t>
                            </w:r>
                            <w:r>
                              <w:rPr/>
                              <w:t>de</w:t>
                            </w:r>
                            <w:r>
                              <w:rPr>
                                <w:spacing w:val="-4"/>
                              </w:rPr>
                              <w:t> </w:t>
                            </w:r>
                            <w:r>
                              <w:rPr/>
                              <w:t>tiempo</w:t>
                            </w:r>
                            <w:r>
                              <w:rPr>
                                <w:spacing w:val="-2"/>
                              </w:rPr>
                              <w:t> </w:t>
                            </w:r>
                            <w:r>
                              <w:rPr/>
                              <w:t>a</w:t>
                            </w:r>
                            <w:r>
                              <w:rPr>
                                <w:spacing w:val="-2"/>
                              </w:rPr>
                              <w:t> </w:t>
                            </w:r>
                            <w:r>
                              <w:rPr/>
                              <w:t>pagar</w:t>
                            </w:r>
                            <w:r>
                              <w:rPr>
                                <w:spacing w:val="-2"/>
                              </w:rPr>
                              <w:t> </w:t>
                            </w:r>
                            <w:r>
                              <w:rPr/>
                              <w:t>por</w:t>
                            </w:r>
                            <w:r>
                              <w:rPr>
                                <w:spacing w:val="-2"/>
                              </w:rPr>
                              <w:t> </w:t>
                            </w:r>
                            <w:r>
                              <w:rPr/>
                              <w:t>concepto de cesantía son 8 años.</w:t>
                            </w:r>
                          </w:p>
                          <w:p>
                            <w:pPr>
                              <w:pStyle w:val="BodyText"/>
                              <w:spacing w:before="1"/>
                              <w:ind w:left="103"/>
                              <w:jc w:val="both"/>
                            </w:pPr>
                            <w:r>
                              <w:rPr/>
                              <w:t>En</w:t>
                            </w:r>
                            <w:r>
                              <w:rPr>
                                <w:spacing w:val="-6"/>
                              </w:rPr>
                              <w:t> </w:t>
                            </w:r>
                            <w:r>
                              <w:rPr/>
                              <w:t>el</w:t>
                            </w:r>
                            <w:r>
                              <w:rPr>
                                <w:spacing w:val="-4"/>
                              </w:rPr>
                              <w:t> </w:t>
                            </w:r>
                            <w:r>
                              <w:rPr/>
                              <w:t>IMAS</w:t>
                            </w:r>
                            <w:r>
                              <w:rPr>
                                <w:spacing w:val="-4"/>
                              </w:rPr>
                              <w:t> </w:t>
                            </w:r>
                            <w:r>
                              <w:rPr/>
                              <w:t>se</w:t>
                            </w:r>
                            <w:r>
                              <w:rPr>
                                <w:spacing w:val="-5"/>
                              </w:rPr>
                              <w:t> </w:t>
                            </w:r>
                            <w:r>
                              <w:rPr/>
                              <w:t>estableció</w:t>
                            </w:r>
                            <w:r>
                              <w:rPr>
                                <w:spacing w:val="-3"/>
                              </w:rPr>
                              <w:t> </w:t>
                            </w:r>
                            <w:r>
                              <w:rPr/>
                              <w:t>una</w:t>
                            </w:r>
                            <w:r>
                              <w:rPr>
                                <w:spacing w:val="-4"/>
                              </w:rPr>
                              <w:t> </w:t>
                            </w:r>
                            <w:r>
                              <w:rPr/>
                              <w:t>política</w:t>
                            </w:r>
                            <w:r>
                              <w:rPr>
                                <w:spacing w:val="-4"/>
                              </w:rPr>
                              <w:t> </w:t>
                            </w:r>
                            <w:r>
                              <w:rPr>
                                <w:spacing w:val="-2"/>
                              </w:rPr>
                              <w:t>particular</w:t>
                            </w:r>
                          </w:p>
                          <w:p>
                            <w:pPr>
                              <w:spacing w:line="247" w:lineRule="auto" w:before="9"/>
                              <w:ind w:left="103" w:right="100" w:firstLine="0"/>
                              <w:jc w:val="both"/>
                              <w:rPr>
                                <w:i/>
                                <w:sz w:val="23"/>
                              </w:rPr>
                            </w:pPr>
                            <w:r>
                              <w:rPr>
                                <w:i/>
                                <w:spacing w:val="-4"/>
                                <w:sz w:val="23"/>
                              </w:rPr>
                              <w:t>BAE012:</w:t>
                            </w:r>
                            <w:r>
                              <w:rPr>
                                <w:i/>
                                <w:spacing w:val="-10"/>
                                <w:sz w:val="23"/>
                              </w:rPr>
                              <w:t> </w:t>
                            </w:r>
                            <w:r>
                              <w:rPr>
                                <w:i/>
                                <w:spacing w:val="-4"/>
                                <w:sz w:val="23"/>
                              </w:rPr>
                              <w:t>En</w:t>
                            </w:r>
                            <w:r>
                              <w:rPr>
                                <w:i/>
                                <w:spacing w:val="-8"/>
                                <w:sz w:val="23"/>
                              </w:rPr>
                              <w:t> </w:t>
                            </w:r>
                            <w:r>
                              <w:rPr>
                                <w:i/>
                                <w:spacing w:val="-4"/>
                                <w:sz w:val="23"/>
                              </w:rPr>
                              <w:t>ningún</w:t>
                            </w:r>
                            <w:r>
                              <w:rPr>
                                <w:i/>
                                <w:spacing w:val="-8"/>
                                <w:sz w:val="23"/>
                              </w:rPr>
                              <w:t> </w:t>
                            </w:r>
                            <w:r>
                              <w:rPr>
                                <w:i/>
                                <w:spacing w:val="-4"/>
                                <w:sz w:val="23"/>
                              </w:rPr>
                              <w:t>caso</w:t>
                            </w:r>
                            <w:r>
                              <w:rPr>
                                <w:i/>
                                <w:spacing w:val="-7"/>
                                <w:sz w:val="23"/>
                              </w:rPr>
                              <w:t> </w:t>
                            </w:r>
                            <w:r>
                              <w:rPr>
                                <w:i/>
                                <w:spacing w:val="-4"/>
                                <w:sz w:val="23"/>
                              </w:rPr>
                              <w:t>podrá</w:t>
                            </w:r>
                            <w:r>
                              <w:rPr>
                                <w:i/>
                                <w:spacing w:val="-9"/>
                                <w:sz w:val="23"/>
                              </w:rPr>
                              <w:t> </w:t>
                            </w:r>
                            <w:r>
                              <w:rPr>
                                <w:i/>
                                <w:spacing w:val="-4"/>
                                <w:sz w:val="23"/>
                              </w:rPr>
                              <w:t>indemnizarse</w:t>
                            </w:r>
                            <w:r>
                              <w:rPr>
                                <w:i/>
                                <w:spacing w:val="-9"/>
                                <w:sz w:val="23"/>
                              </w:rPr>
                              <w:t> </w:t>
                            </w:r>
                            <w:r>
                              <w:rPr>
                                <w:i/>
                                <w:spacing w:val="-4"/>
                                <w:sz w:val="23"/>
                              </w:rPr>
                              <w:t>más</w:t>
                            </w:r>
                            <w:r>
                              <w:rPr>
                                <w:i/>
                                <w:spacing w:val="-9"/>
                                <w:sz w:val="23"/>
                              </w:rPr>
                              <w:t> </w:t>
                            </w:r>
                            <w:r>
                              <w:rPr>
                                <w:i/>
                                <w:spacing w:val="-4"/>
                                <w:sz w:val="23"/>
                              </w:rPr>
                              <w:t>que</w:t>
                            </w:r>
                            <w:r>
                              <w:rPr>
                                <w:i/>
                                <w:spacing w:val="-9"/>
                                <w:sz w:val="23"/>
                              </w:rPr>
                              <w:t> </w:t>
                            </w:r>
                            <w:r>
                              <w:rPr>
                                <w:i/>
                                <w:spacing w:val="-4"/>
                                <w:sz w:val="23"/>
                              </w:rPr>
                              <w:t>los</w:t>
                            </w:r>
                            <w:r>
                              <w:rPr>
                                <w:i/>
                                <w:spacing w:val="-7"/>
                                <w:sz w:val="23"/>
                              </w:rPr>
                              <w:t> </w:t>
                            </w:r>
                            <w:r>
                              <w:rPr>
                                <w:i/>
                                <w:spacing w:val="-4"/>
                                <w:sz w:val="23"/>
                              </w:rPr>
                              <w:t>últimos</w:t>
                            </w:r>
                            <w:r>
                              <w:rPr>
                                <w:i/>
                                <w:spacing w:val="-7"/>
                                <w:sz w:val="23"/>
                              </w:rPr>
                              <w:t> </w:t>
                            </w:r>
                            <w:r>
                              <w:rPr>
                                <w:i/>
                                <w:spacing w:val="-4"/>
                                <w:sz w:val="23"/>
                              </w:rPr>
                              <w:t>ocho</w:t>
                            </w:r>
                            <w:r>
                              <w:rPr>
                                <w:i/>
                                <w:spacing w:val="-7"/>
                                <w:sz w:val="23"/>
                              </w:rPr>
                              <w:t> </w:t>
                            </w:r>
                            <w:r>
                              <w:rPr>
                                <w:i/>
                                <w:spacing w:val="-4"/>
                                <w:sz w:val="23"/>
                              </w:rPr>
                              <w:t>años</w:t>
                            </w:r>
                            <w:r>
                              <w:rPr>
                                <w:i/>
                                <w:spacing w:val="-7"/>
                                <w:sz w:val="23"/>
                              </w:rPr>
                              <w:t> </w:t>
                            </w:r>
                            <w:r>
                              <w:rPr>
                                <w:i/>
                                <w:spacing w:val="-4"/>
                                <w:sz w:val="23"/>
                              </w:rPr>
                              <w:t>de</w:t>
                            </w:r>
                            <w:r>
                              <w:rPr>
                                <w:i/>
                                <w:spacing w:val="-9"/>
                                <w:sz w:val="23"/>
                              </w:rPr>
                              <w:t> </w:t>
                            </w:r>
                            <w:r>
                              <w:rPr>
                                <w:i/>
                                <w:spacing w:val="-4"/>
                                <w:sz w:val="23"/>
                              </w:rPr>
                              <w:t>relación</w:t>
                            </w:r>
                            <w:r>
                              <w:rPr>
                                <w:i/>
                                <w:spacing w:val="-8"/>
                                <w:sz w:val="23"/>
                              </w:rPr>
                              <w:t> </w:t>
                            </w:r>
                            <w:r>
                              <w:rPr>
                                <w:i/>
                                <w:spacing w:val="-4"/>
                                <w:sz w:val="23"/>
                              </w:rPr>
                              <w:t>laboral.</w:t>
                            </w:r>
                            <w:r>
                              <w:rPr>
                                <w:i/>
                                <w:spacing w:val="-9"/>
                                <w:sz w:val="23"/>
                              </w:rPr>
                              <w:t> </w:t>
                            </w:r>
                            <w:r>
                              <w:rPr>
                                <w:i/>
                                <w:spacing w:val="-4"/>
                                <w:sz w:val="23"/>
                              </w:rPr>
                              <w:t>Sin </w:t>
                            </w:r>
                            <w:r>
                              <w:rPr>
                                <w:i/>
                                <w:sz w:val="23"/>
                              </w:rPr>
                              <w:t>embargo,</w:t>
                            </w:r>
                            <w:r>
                              <w:rPr>
                                <w:i/>
                                <w:spacing w:val="-7"/>
                                <w:sz w:val="23"/>
                              </w:rPr>
                              <w:t> </w:t>
                            </w:r>
                            <w:r>
                              <w:rPr>
                                <w:i/>
                                <w:sz w:val="23"/>
                              </w:rPr>
                              <w:t>si</w:t>
                            </w:r>
                            <w:r>
                              <w:rPr>
                                <w:i/>
                                <w:spacing w:val="-6"/>
                                <w:sz w:val="23"/>
                              </w:rPr>
                              <w:t> </w:t>
                            </w:r>
                            <w:r>
                              <w:rPr>
                                <w:i/>
                                <w:sz w:val="23"/>
                              </w:rPr>
                              <w:t>la</w:t>
                            </w:r>
                            <w:r>
                              <w:rPr>
                                <w:i/>
                                <w:spacing w:val="-7"/>
                                <w:sz w:val="23"/>
                              </w:rPr>
                              <w:t> </w:t>
                            </w:r>
                            <w:r>
                              <w:rPr>
                                <w:i/>
                                <w:sz w:val="23"/>
                              </w:rPr>
                              <w:t>persona</w:t>
                            </w:r>
                            <w:r>
                              <w:rPr>
                                <w:i/>
                                <w:spacing w:val="-6"/>
                                <w:sz w:val="23"/>
                              </w:rPr>
                              <w:t> </w:t>
                            </w:r>
                            <w:r>
                              <w:rPr>
                                <w:i/>
                                <w:sz w:val="23"/>
                              </w:rPr>
                              <w:t>trabajadora/funcionaria</w:t>
                            </w:r>
                            <w:r>
                              <w:rPr>
                                <w:i/>
                                <w:spacing w:val="-8"/>
                                <w:sz w:val="23"/>
                              </w:rPr>
                              <w:t> </w:t>
                            </w:r>
                            <w:r>
                              <w:rPr>
                                <w:i/>
                                <w:sz w:val="23"/>
                              </w:rPr>
                              <w:t>se</w:t>
                            </w:r>
                            <w:r>
                              <w:rPr>
                                <w:i/>
                                <w:spacing w:val="-7"/>
                                <w:sz w:val="23"/>
                              </w:rPr>
                              <w:t> </w:t>
                            </w:r>
                            <w:r>
                              <w:rPr>
                                <w:i/>
                                <w:sz w:val="23"/>
                              </w:rPr>
                              <w:t>encuentra</w:t>
                            </w:r>
                            <w:r>
                              <w:rPr>
                                <w:i/>
                                <w:spacing w:val="-6"/>
                                <w:sz w:val="23"/>
                              </w:rPr>
                              <w:t> </w:t>
                            </w:r>
                            <w:r>
                              <w:rPr>
                                <w:i/>
                                <w:sz w:val="23"/>
                              </w:rPr>
                              <w:t>afiliado</w:t>
                            </w:r>
                            <w:r>
                              <w:rPr>
                                <w:i/>
                                <w:spacing w:val="-5"/>
                                <w:sz w:val="23"/>
                              </w:rPr>
                              <w:t> </w:t>
                            </w:r>
                            <w:r>
                              <w:rPr>
                                <w:i/>
                                <w:sz w:val="23"/>
                              </w:rPr>
                              <w:t>a</w:t>
                            </w:r>
                            <w:r>
                              <w:rPr>
                                <w:i/>
                                <w:spacing w:val="-6"/>
                                <w:sz w:val="23"/>
                              </w:rPr>
                              <w:t> </w:t>
                            </w:r>
                            <w:r>
                              <w:rPr>
                                <w:i/>
                                <w:sz w:val="23"/>
                              </w:rPr>
                              <w:t>la</w:t>
                            </w:r>
                            <w:r>
                              <w:rPr>
                                <w:i/>
                                <w:spacing w:val="-7"/>
                                <w:sz w:val="23"/>
                              </w:rPr>
                              <w:t> </w:t>
                            </w:r>
                            <w:r>
                              <w:rPr>
                                <w:i/>
                                <w:sz w:val="23"/>
                              </w:rPr>
                              <w:t>asociación</w:t>
                            </w:r>
                            <w:r>
                              <w:rPr>
                                <w:i/>
                                <w:spacing w:val="-5"/>
                                <w:sz w:val="23"/>
                              </w:rPr>
                              <w:t> </w:t>
                            </w:r>
                            <w:r>
                              <w:rPr>
                                <w:i/>
                                <w:sz w:val="23"/>
                              </w:rPr>
                              <w:t>solidarista</w:t>
                            </w:r>
                            <w:r>
                              <w:rPr>
                                <w:i/>
                                <w:spacing w:val="-6"/>
                                <w:sz w:val="23"/>
                              </w:rPr>
                              <w:t> </w:t>
                            </w:r>
                            <w:r>
                              <w:rPr>
                                <w:i/>
                                <w:sz w:val="23"/>
                              </w:rPr>
                              <w:t>y</w:t>
                            </w:r>
                            <w:r>
                              <w:rPr>
                                <w:i/>
                                <w:spacing w:val="-7"/>
                                <w:sz w:val="23"/>
                              </w:rPr>
                              <w:t> </w:t>
                            </w:r>
                            <w:r>
                              <w:rPr>
                                <w:i/>
                                <w:sz w:val="23"/>
                              </w:rPr>
                              <w:t>el </w:t>
                            </w:r>
                            <w:r>
                              <w:rPr>
                                <w:i/>
                                <w:spacing w:val="-2"/>
                                <w:sz w:val="23"/>
                              </w:rPr>
                              <w:t>aporte</w:t>
                            </w:r>
                            <w:r>
                              <w:rPr>
                                <w:i/>
                                <w:spacing w:val="-12"/>
                                <w:sz w:val="23"/>
                              </w:rPr>
                              <w:t> </w:t>
                            </w:r>
                            <w:r>
                              <w:rPr>
                                <w:i/>
                                <w:spacing w:val="-2"/>
                                <w:sz w:val="23"/>
                              </w:rPr>
                              <w:t>patronal</w:t>
                            </w:r>
                            <w:r>
                              <w:rPr>
                                <w:i/>
                                <w:spacing w:val="-12"/>
                                <w:sz w:val="23"/>
                              </w:rPr>
                              <w:t> </w:t>
                            </w:r>
                            <w:r>
                              <w:rPr>
                                <w:i/>
                                <w:spacing w:val="-2"/>
                                <w:sz w:val="23"/>
                              </w:rPr>
                              <w:t>fuera</w:t>
                            </w:r>
                            <w:r>
                              <w:rPr>
                                <w:i/>
                                <w:spacing w:val="-12"/>
                                <w:sz w:val="23"/>
                              </w:rPr>
                              <w:t> </w:t>
                            </w:r>
                            <w:r>
                              <w:rPr>
                                <w:i/>
                                <w:spacing w:val="-2"/>
                                <w:sz w:val="23"/>
                              </w:rPr>
                              <w:t>superior</w:t>
                            </w:r>
                            <w:r>
                              <w:rPr>
                                <w:i/>
                                <w:spacing w:val="-11"/>
                                <w:sz w:val="23"/>
                              </w:rPr>
                              <w:t> </w:t>
                            </w:r>
                            <w:r>
                              <w:rPr>
                                <w:i/>
                                <w:spacing w:val="-2"/>
                                <w:sz w:val="23"/>
                              </w:rPr>
                              <w:t>a</w:t>
                            </w:r>
                            <w:r>
                              <w:rPr>
                                <w:i/>
                                <w:spacing w:val="-12"/>
                                <w:sz w:val="23"/>
                              </w:rPr>
                              <w:t> </w:t>
                            </w:r>
                            <w:r>
                              <w:rPr>
                                <w:i/>
                                <w:spacing w:val="-2"/>
                                <w:sz w:val="23"/>
                              </w:rPr>
                              <w:t>lo</w:t>
                            </w:r>
                            <w:r>
                              <w:rPr>
                                <w:i/>
                                <w:spacing w:val="-13"/>
                                <w:sz w:val="23"/>
                              </w:rPr>
                              <w:t> </w:t>
                            </w:r>
                            <w:r>
                              <w:rPr>
                                <w:i/>
                                <w:spacing w:val="-2"/>
                                <w:sz w:val="23"/>
                              </w:rPr>
                              <w:t>que</w:t>
                            </w:r>
                            <w:r>
                              <w:rPr>
                                <w:i/>
                                <w:spacing w:val="-11"/>
                                <w:sz w:val="23"/>
                              </w:rPr>
                              <w:t> </w:t>
                            </w:r>
                            <w:r>
                              <w:rPr>
                                <w:i/>
                                <w:spacing w:val="-2"/>
                                <w:sz w:val="23"/>
                              </w:rPr>
                              <w:t>le</w:t>
                            </w:r>
                            <w:r>
                              <w:rPr>
                                <w:i/>
                                <w:spacing w:val="-13"/>
                                <w:sz w:val="23"/>
                              </w:rPr>
                              <w:t> </w:t>
                            </w:r>
                            <w:r>
                              <w:rPr>
                                <w:i/>
                                <w:spacing w:val="-2"/>
                                <w:sz w:val="23"/>
                              </w:rPr>
                              <w:t>corresponde</w:t>
                            </w:r>
                            <w:r>
                              <w:rPr>
                                <w:i/>
                                <w:spacing w:val="-12"/>
                                <w:sz w:val="23"/>
                              </w:rPr>
                              <w:t> </w:t>
                            </w:r>
                            <w:r>
                              <w:rPr>
                                <w:i/>
                                <w:spacing w:val="-2"/>
                                <w:sz w:val="23"/>
                              </w:rPr>
                              <w:t>por</w:t>
                            </w:r>
                            <w:r>
                              <w:rPr>
                                <w:i/>
                                <w:spacing w:val="-11"/>
                                <w:sz w:val="23"/>
                              </w:rPr>
                              <w:t> </w:t>
                            </w:r>
                            <w:r>
                              <w:rPr>
                                <w:i/>
                                <w:spacing w:val="-2"/>
                                <w:sz w:val="23"/>
                              </w:rPr>
                              <w:t>derecho</w:t>
                            </w:r>
                            <w:r>
                              <w:rPr>
                                <w:i/>
                                <w:spacing w:val="-10"/>
                                <w:sz w:val="23"/>
                              </w:rPr>
                              <w:t> </w:t>
                            </w:r>
                            <w:r>
                              <w:rPr>
                                <w:i/>
                                <w:spacing w:val="-2"/>
                                <w:sz w:val="23"/>
                              </w:rPr>
                              <w:t>de</w:t>
                            </w:r>
                            <w:r>
                              <w:rPr>
                                <w:i/>
                                <w:spacing w:val="-13"/>
                                <w:sz w:val="23"/>
                              </w:rPr>
                              <w:t> </w:t>
                            </w:r>
                            <w:r>
                              <w:rPr>
                                <w:i/>
                                <w:spacing w:val="-2"/>
                                <w:sz w:val="23"/>
                              </w:rPr>
                              <w:t>auxilio</w:t>
                            </w:r>
                            <w:r>
                              <w:rPr>
                                <w:i/>
                                <w:spacing w:val="-10"/>
                                <w:sz w:val="23"/>
                              </w:rPr>
                              <w:t> </w:t>
                            </w:r>
                            <w:r>
                              <w:rPr>
                                <w:i/>
                                <w:spacing w:val="-2"/>
                                <w:sz w:val="23"/>
                              </w:rPr>
                              <w:t>de</w:t>
                            </w:r>
                            <w:r>
                              <w:rPr>
                                <w:i/>
                                <w:spacing w:val="-13"/>
                                <w:sz w:val="23"/>
                              </w:rPr>
                              <w:t> </w:t>
                            </w:r>
                            <w:r>
                              <w:rPr>
                                <w:i/>
                                <w:spacing w:val="-2"/>
                                <w:sz w:val="23"/>
                              </w:rPr>
                              <w:t>cesantía,</w:t>
                            </w:r>
                            <w:r>
                              <w:rPr>
                                <w:i/>
                                <w:spacing w:val="-10"/>
                                <w:sz w:val="23"/>
                              </w:rPr>
                              <w:t> </w:t>
                            </w:r>
                            <w:r>
                              <w:rPr>
                                <w:i/>
                                <w:spacing w:val="-2"/>
                                <w:sz w:val="23"/>
                              </w:rPr>
                              <w:t>lo</w:t>
                            </w:r>
                            <w:r>
                              <w:rPr>
                                <w:i/>
                                <w:spacing w:val="-11"/>
                                <w:sz w:val="23"/>
                              </w:rPr>
                              <w:t> </w:t>
                            </w:r>
                            <w:r>
                              <w:rPr>
                                <w:i/>
                                <w:spacing w:val="-2"/>
                                <w:sz w:val="23"/>
                              </w:rPr>
                              <w:t>retirará </w:t>
                            </w:r>
                            <w:r>
                              <w:rPr>
                                <w:i/>
                                <w:spacing w:val="-4"/>
                                <w:sz w:val="23"/>
                              </w:rPr>
                              <w:t>en</w:t>
                            </w:r>
                            <w:r>
                              <w:rPr>
                                <w:i/>
                                <w:spacing w:val="-7"/>
                                <w:sz w:val="23"/>
                              </w:rPr>
                              <w:t> </w:t>
                            </w:r>
                            <w:r>
                              <w:rPr>
                                <w:i/>
                                <w:spacing w:val="-4"/>
                                <w:sz w:val="23"/>
                              </w:rPr>
                              <w:t>su</w:t>
                            </w:r>
                            <w:r>
                              <w:rPr>
                                <w:i/>
                                <w:spacing w:val="-7"/>
                                <w:sz w:val="23"/>
                              </w:rPr>
                              <w:t> </w:t>
                            </w:r>
                            <w:r>
                              <w:rPr>
                                <w:i/>
                                <w:spacing w:val="-4"/>
                                <w:sz w:val="23"/>
                              </w:rPr>
                              <w:t>totalidad.</w:t>
                            </w:r>
                            <w:r>
                              <w:rPr>
                                <w:i/>
                                <w:spacing w:val="-9"/>
                                <w:sz w:val="23"/>
                              </w:rPr>
                              <w:t> </w:t>
                            </w:r>
                            <w:r>
                              <w:rPr>
                                <w:i/>
                                <w:spacing w:val="-4"/>
                                <w:sz w:val="23"/>
                              </w:rPr>
                              <w:t>Si,</w:t>
                            </w:r>
                            <w:r>
                              <w:rPr>
                                <w:i/>
                                <w:spacing w:val="-8"/>
                                <w:sz w:val="23"/>
                              </w:rPr>
                              <w:t> </w:t>
                            </w:r>
                            <w:r>
                              <w:rPr>
                                <w:i/>
                                <w:spacing w:val="-4"/>
                                <w:sz w:val="23"/>
                              </w:rPr>
                              <w:t>por</w:t>
                            </w:r>
                            <w:r>
                              <w:rPr>
                                <w:i/>
                                <w:spacing w:val="-7"/>
                                <w:sz w:val="23"/>
                              </w:rPr>
                              <w:t> </w:t>
                            </w:r>
                            <w:r>
                              <w:rPr>
                                <w:i/>
                                <w:spacing w:val="-4"/>
                                <w:sz w:val="23"/>
                              </w:rPr>
                              <w:t>el</w:t>
                            </w:r>
                            <w:r>
                              <w:rPr>
                                <w:i/>
                                <w:spacing w:val="-8"/>
                                <w:sz w:val="23"/>
                              </w:rPr>
                              <w:t> </w:t>
                            </w:r>
                            <w:r>
                              <w:rPr>
                                <w:i/>
                                <w:spacing w:val="-4"/>
                                <w:sz w:val="23"/>
                              </w:rPr>
                              <w:t>contrario,</w:t>
                            </w:r>
                            <w:r>
                              <w:rPr>
                                <w:i/>
                                <w:spacing w:val="-7"/>
                                <w:sz w:val="23"/>
                              </w:rPr>
                              <w:t> </w:t>
                            </w:r>
                            <w:r>
                              <w:rPr>
                                <w:i/>
                                <w:spacing w:val="-4"/>
                                <w:sz w:val="23"/>
                              </w:rPr>
                              <w:t>el</w:t>
                            </w:r>
                            <w:r>
                              <w:rPr>
                                <w:i/>
                                <w:spacing w:val="-8"/>
                                <w:sz w:val="23"/>
                              </w:rPr>
                              <w:t> </w:t>
                            </w:r>
                            <w:r>
                              <w:rPr>
                                <w:i/>
                                <w:spacing w:val="-4"/>
                                <w:sz w:val="23"/>
                              </w:rPr>
                              <w:t>aporte</w:t>
                            </w:r>
                            <w:r>
                              <w:rPr>
                                <w:i/>
                                <w:spacing w:val="-8"/>
                                <w:sz w:val="23"/>
                              </w:rPr>
                              <w:t> </w:t>
                            </w:r>
                            <w:r>
                              <w:rPr>
                                <w:i/>
                                <w:spacing w:val="-4"/>
                                <w:sz w:val="23"/>
                              </w:rPr>
                              <w:t>patronal</w:t>
                            </w:r>
                            <w:r>
                              <w:rPr>
                                <w:i/>
                                <w:spacing w:val="-8"/>
                                <w:sz w:val="23"/>
                              </w:rPr>
                              <w:t> </w:t>
                            </w:r>
                            <w:r>
                              <w:rPr>
                                <w:i/>
                                <w:spacing w:val="-4"/>
                                <w:sz w:val="23"/>
                              </w:rPr>
                              <w:t>fuera</w:t>
                            </w:r>
                            <w:r>
                              <w:rPr>
                                <w:i/>
                                <w:spacing w:val="-8"/>
                                <w:sz w:val="23"/>
                              </w:rPr>
                              <w:t> </w:t>
                            </w:r>
                            <w:r>
                              <w:rPr>
                                <w:i/>
                                <w:spacing w:val="-4"/>
                                <w:sz w:val="23"/>
                              </w:rPr>
                              <w:t>inferior</w:t>
                            </w:r>
                            <w:r>
                              <w:rPr>
                                <w:i/>
                                <w:spacing w:val="-7"/>
                                <w:sz w:val="23"/>
                              </w:rPr>
                              <w:t> </w:t>
                            </w:r>
                            <w:r>
                              <w:rPr>
                                <w:i/>
                                <w:spacing w:val="-4"/>
                                <w:sz w:val="23"/>
                              </w:rPr>
                              <w:t>a</w:t>
                            </w:r>
                            <w:r>
                              <w:rPr>
                                <w:i/>
                                <w:spacing w:val="-8"/>
                                <w:sz w:val="23"/>
                              </w:rPr>
                              <w:t> </w:t>
                            </w:r>
                            <w:r>
                              <w:rPr>
                                <w:i/>
                                <w:spacing w:val="-4"/>
                                <w:sz w:val="23"/>
                              </w:rPr>
                              <w:t>lo</w:t>
                            </w:r>
                            <w:r>
                              <w:rPr>
                                <w:i/>
                                <w:spacing w:val="-7"/>
                                <w:sz w:val="23"/>
                              </w:rPr>
                              <w:t> </w:t>
                            </w:r>
                            <w:r>
                              <w:rPr>
                                <w:i/>
                                <w:spacing w:val="-4"/>
                                <w:sz w:val="23"/>
                              </w:rPr>
                              <w:t>que</w:t>
                            </w:r>
                            <w:r>
                              <w:rPr>
                                <w:i/>
                                <w:spacing w:val="-8"/>
                                <w:sz w:val="23"/>
                              </w:rPr>
                              <w:t> </w:t>
                            </w:r>
                            <w:r>
                              <w:rPr>
                                <w:i/>
                                <w:spacing w:val="-4"/>
                                <w:sz w:val="23"/>
                              </w:rPr>
                              <w:t>le</w:t>
                            </w:r>
                            <w:r>
                              <w:rPr>
                                <w:i/>
                                <w:spacing w:val="-9"/>
                                <w:sz w:val="23"/>
                              </w:rPr>
                              <w:t> </w:t>
                            </w:r>
                            <w:r>
                              <w:rPr>
                                <w:i/>
                                <w:spacing w:val="-4"/>
                                <w:sz w:val="23"/>
                              </w:rPr>
                              <w:t>corresponde,</w:t>
                            </w:r>
                            <w:r>
                              <w:rPr>
                                <w:i/>
                                <w:spacing w:val="-7"/>
                                <w:sz w:val="23"/>
                              </w:rPr>
                              <w:t> </w:t>
                            </w:r>
                            <w:r>
                              <w:rPr>
                                <w:i/>
                                <w:spacing w:val="-4"/>
                                <w:sz w:val="23"/>
                              </w:rPr>
                              <w:t>el</w:t>
                            </w:r>
                            <w:r>
                              <w:rPr>
                                <w:i/>
                                <w:spacing w:val="-8"/>
                                <w:sz w:val="23"/>
                              </w:rPr>
                              <w:t> </w:t>
                            </w:r>
                            <w:r>
                              <w:rPr>
                                <w:i/>
                                <w:spacing w:val="-4"/>
                                <w:sz w:val="23"/>
                              </w:rPr>
                              <w:t>IMAS </w:t>
                            </w:r>
                            <w:r>
                              <w:rPr>
                                <w:i/>
                                <w:sz w:val="23"/>
                              </w:rPr>
                              <w:t>tendría</w:t>
                            </w:r>
                            <w:r>
                              <w:rPr>
                                <w:i/>
                                <w:spacing w:val="-6"/>
                                <w:sz w:val="23"/>
                              </w:rPr>
                              <w:t> </w:t>
                            </w:r>
                            <w:r>
                              <w:rPr>
                                <w:i/>
                                <w:sz w:val="23"/>
                              </w:rPr>
                              <w:t>la</w:t>
                            </w:r>
                            <w:r>
                              <w:rPr>
                                <w:i/>
                                <w:spacing w:val="-7"/>
                                <w:sz w:val="23"/>
                              </w:rPr>
                              <w:t> </w:t>
                            </w:r>
                            <w:r>
                              <w:rPr>
                                <w:i/>
                                <w:sz w:val="23"/>
                              </w:rPr>
                              <w:t>obligación</w:t>
                            </w:r>
                            <w:r>
                              <w:rPr>
                                <w:i/>
                                <w:spacing w:val="-6"/>
                                <w:sz w:val="23"/>
                              </w:rPr>
                              <w:t> </w:t>
                            </w:r>
                            <w:r>
                              <w:rPr>
                                <w:i/>
                                <w:sz w:val="23"/>
                              </w:rPr>
                              <w:t>de</w:t>
                            </w:r>
                            <w:r>
                              <w:rPr>
                                <w:i/>
                                <w:spacing w:val="-7"/>
                                <w:sz w:val="23"/>
                              </w:rPr>
                              <w:t> </w:t>
                            </w:r>
                            <w:r>
                              <w:rPr>
                                <w:i/>
                                <w:sz w:val="23"/>
                              </w:rPr>
                              <w:t>cubrir</w:t>
                            </w:r>
                            <w:r>
                              <w:rPr>
                                <w:i/>
                                <w:spacing w:val="-6"/>
                                <w:sz w:val="23"/>
                              </w:rPr>
                              <w:t> </w:t>
                            </w:r>
                            <w:r>
                              <w:rPr>
                                <w:i/>
                                <w:sz w:val="23"/>
                              </w:rPr>
                              <w:t>la</w:t>
                            </w:r>
                            <w:r>
                              <w:rPr>
                                <w:i/>
                                <w:spacing w:val="-6"/>
                                <w:sz w:val="23"/>
                              </w:rPr>
                              <w:t> </w:t>
                            </w:r>
                            <w:r>
                              <w:rPr>
                                <w:i/>
                                <w:sz w:val="23"/>
                              </w:rPr>
                              <w:t>diferencia.</w:t>
                            </w:r>
                          </w:p>
                        </w:txbxContent>
                      </wps:txbx>
                      <wps:bodyPr wrap="square" lIns="0" tIns="0" rIns="0" bIns="0" rtlCol="0">
                        <a:noAutofit/>
                      </wps:bodyPr>
                    </wps:wsp>
                  </a:graphicData>
                </a:graphic>
              </wp:anchor>
            </w:drawing>
          </mc:Choice>
          <mc:Fallback>
            <w:pict>
              <v:shape style="position:absolute;margin-left:85.103996pt;margin-top:21.706249pt;width:450pt;height:130.5pt;mso-position-horizontal-relative:page;mso-position-vertical-relative:paragraph;z-index:-15655424;mso-wrap-distance-left:0;mso-wrap-distance-right:0" type="#_x0000_t202" id="docshape409" filled="false" stroked="true" strokeweight=".47998pt" strokecolor="#000000">
                <v:textbox inset="0,0,0,0">
                  <w:txbxContent>
                    <w:p>
                      <w:pPr>
                        <w:pStyle w:val="BodyText"/>
                        <w:ind w:left="103"/>
                      </w:pPr>
                      <w:r>
                        <w:rPr>
                          <w:spacing w:val="-2"/>
                        </w:rPr>
                        <w:t>Revelación:</w:t>
                      </w:r>
                    </w:p>
                    <w:p>
                      <w:pPr>
                        <w:pStyle w:val="BodyText"/>
                        <w:spacing w:line="259" w:lineRule="auto" w:before="181"/>
                        <w:ind w:left="103" w:right="104"/>
                        <w:jc w:val="both"/>
                      </w:pPr>
                      <w:r>
                        <w:rPr/>
                        <w:t>Conforme</w:t>
                      </w:r>
                      <w:r>
                        <w:rPr>
                          <w:spacing w:val="-3"/>
                        </w:rPr>
                        <w:t> </w:t>
                      </w:r>
                      <w:r>
                        <w:rPr/>
                        <w:t>la</w:t>
                      </w:r>
                      <w:r>
                        <w:rPr>
                          <w:spacing w:val="-4"/>
                        </w:rPr>
                        <w:t> </w:t>
                      </w:r>
                      <w:r>
                        <w:rPr/>
                        <w:t>política</w:t>
                      </w:r>
                      <w:r>
                        <w:rPr>
                          <w:spacing w:val="-3"/>
                        </w:rPr>
                        <w:t> </w:t>
                      </w:r>
                      <w:r>
                        <w:rPr/>
                        <w:t>contable</w:t>
                      </w:r>
                      <w:r>
                        <w:rPr>
                          <w:spacing w:val="-4"/>
                        </w:rPr>
                        <w:t> </w:t>
                      </w:r>
                      <w:r>
                        <w:rPr/>
                        <w:t>2.41.1</w:t>
                      </w:r>
                      <w:r>
                        <w:rPr>
                          <w:spacing w:val="-2"/>
                        </w:rPr>
                        <w:t> </w:t>
                      </w:r>
                      <w:r>
                        <w:rPr/>
                        <w:t>La</w:t>
                      </w:r>
                      <w:r>
                        <w:rPr>
                          <w:spacing w:val="-3"/>
                        </w:rPr>
                        <w:t> </w:t>
                      </w:r>
                      <w:r>
                        <w:rPr/>
                        <w:t>ley</w:t>
                      </w:r>
                      <w:r>
                        <w:rPr>
                          <w:spacing w:val="-2"/>
                        </w:rPr>
                        <w:t> </w:t>
                      </w:r>
                      <w:r>
                        <w:rPr/>
                        <w:t>establece</w:t>
                      </w:r>
                      <w:r>
                        <w:rPr>
                          <w:spacing w:val="-4"/>
                        </w:rPr>
                        <w:t> </w:t>
                      </w:r>
                      <w:r>
                        <w:rPr/>
                        <w:t>que</w:t>
                      </w:r>
                      <w:r>
                        <w:rPr>
                          <w:spacing w:val="-3"/>
                        </w:rPr>
                        <w:t> </w:t>
                      </w:r>
                      <w:r>
                        <w:rPr/>
                        <w:t>el</w:t>
                      </w:r>
                      <w:r>
                        <w:rPr>
                          <w:spacing w:val="-2"/>
                        </w:rPr>
                        <w:t> </w:t>
                      </w:r>
                      <w:r>
                        <w:rPr/>
                        <w:t>máximo</w:t>
                      </w:r>
                      <w:r>
                        <w:rPr>
                          <w:spacing w:val="-2"/>
                        </w:rPr>
                        <w:t> </w:t>
                      </w:r>
                      <w:r>
                        <w:rPr/>
                        <w:t>de</w:t>
                      </w:r>
                      <w:r>
                        <w:rPr>
                          <w:spacing w:val="-4"/>
                        </w:rPr>
                        <w:t> </w:t>
                      </w:r>
                      <w:r>
                        <w:rPr/>
                        <w:t>tiempo</w:t>
                      </w:r>
                      <w:r>
                        <w:rPr>
                          <w:spacing w:val="-2"/>
                        </w:rPr>
                        <w:t> </w:t>
                      </w:r>
                      <w:r>
                        <w:rPr/>
                        <w:t>a</w:t>
                      </w:r>
                      <w:r>
                        <w:rPr>
                          <w:spacing w:val="-2"/>
                        </w:rPr>
                        <w:t> </w:t>
                      </w:r>
                      <w:r>
                        <w:rPr/>
                        <w:t>pagar</w:t>
                      </w:r>
                      <w:r>
                        <w:rPr>
                          <w:spacing w:val="-2"/>
                        </w:rPr>
                        <w:t> </w:t>
                      </w:r>
                      <w:r>
                        <w:rPr/>
                        <w:t>por</w:t>
                      </w:r>
                      <w:r>
                        <w:rPr>
                          <w:spacing w:val="-2"/>
                        </w:rPr>
                        <w:t> </w:t>
                      </w:r>
                      <w:r>
                        <w:rPr/>
                        <w:t>concepto de cesantía son 8 años.</w:t>
                      </w:r>
                    </w:p>
                    <w:p>
                      <w:pPr>
                        <w:pStyle w:val="BodyText"/>
                        <w:spacing w:before="1"/>
                        <w:ind w:left="103"/>
                        <w:jc w:val="both"/>
                      </w:pPr>
                      <w:r>
                        <w:rPr/>
                        <w:t>En</w:t>
                      </w:r>
                      <w:r>
                        <w:rPr>
                          <w:spacing w:val="-6"/>
                        </w:rPr>
                        <w:t> </w:t>
                      </w:r>
                      <w:r>
                        <w:rPr/>
                        <w:t>el</w:t>
                      </w:r>
                      <w:r>
                        <w:rPr>
                          <w:spacing w:val="-4"/>
                        </w:rPr>
                        <w:t> </w:t>
                      </w:r>
                      <w:r>
                        <w:rPr/>
                        <w:t>IMAS</w:t>
                      </w:r>
                      <w:r>
                        <w:rPr>
                          <w:spacing w:val="-4"/>
                        </w:rPr>
                        <w:t> </w:t>
                      </w:r>
                      <w:r>
                        <w:rPr/>
                        <w:t>se</w:t>
                      </w:r>
                      <w:r>
                        <w:rPr>
                          <w:spacing w:val="-5"/>
                        </w:rPr>
                        <w:t> </w:t>
                      </w:r>
                      <w:r>
                        <w:rPr/>
                        <w:t>estableció</w:t>
                      </w:r>
                      <w:r>
                        <w:rPr>
                          <w:spacing w:val="-3"/>
                        </w:rPr>
                        <w:t> </w:t>
                      </w:r>
                      <w:r>
                        <w:rPr/>
                        <w:t>una</w:t>
                      </w:r>
                      <w:r>
                        <w:rPr>
                          <w:spacing w:val="-4"/>
                        </w:rPr>
                        <w:t> </w:t>
                      </w:r>
                      <w:r>
                        <w:rPr/>
                        <w:t>política</w:t>
                      </w:r>
                      <w:r>
                        <w:rPr>
                          <w:spacing w:val="-4"/>
                        </w:rPr>
                        <w:t> </w:t>
                      </w:r>
                      <w:r>
                        <w:rPr>
                          <w:spacing w:val="-2"/>
                        </w:rPr>
                        <w:t>particular</w:t>
                      </w:r>
                    </w:p>
                    <w:p>
                      <w:pPr>
                        <w:spacing w:line="247" w:lineRule="auto" w:before="9"/>
                        <w:ind w:left="103" w:right="100" w:firstLine="0"/>
                        <w:jc w:val="both"/>
                        <w:rPr>
                          <w:i/>
                          <w:sz w:val="23"/>
                        </w:rPr>
                      </w:pPr>
                      <w:r>
                        <w:rPr>
                          <w:i/>
                          <w:spacing w:val="-4"/>
                          <w:sz w:val="23"/>
                        </w:rPr>
                        <w:t>BAE012:</w:t>
                      </w:r>
                      <w:r>
                        <w:rPr>
                          <w:i/>
                          <w:spacing w:val="-10"/>
                          <w:sz w:val="23"/>
                        </w:rPr>
                        <w:t> </w:t>
                      </w:r>
                      <w:r>
                        <w:rPr>
                          <w:i/>
                          <w:spacing w:val="-4"/>
                          <w:sz w:val="23"/>
                        </w:rPr>
                        <w:t>En</w:t>
                      </w:r>
                      <w:r>
                        <w:rPr>
                          <w:i/>
                          <w:spacing w:val="-8"/>
                          <w:sz w:val="23"/>
                        </w:rPr>
                        <w:t> </w:t>
                      </w:r>
                      <w:r>
                        <w:rPr>
                          <w:i/>
                          <w:spacing w:val="-4"/>
                          <w:sz w:val="23"/>
                        </w:rPr>
                        <w:t>ningún</w:t>
                      </w:r>
                      <w:r>
                        <w:rPr>
                          <w:i/>
                          <w:spacing w:val="-8"/>
                          <w:sz w:val="23"/>
                        </w:rPr>
                        <w:t> </w:t>
                      </w:r>
                      <w:r>
                        <w:rPr>
                          <w:i/>
                          <w:spacing w:val="-4"/>
                          <w:sz w:val="23"/>
                        </w:rPr>
                        <w:t>caso</w:t>
                      </w:r>
                      <w:r>
                        <w:rPr>
                          <w:i/>
                          <w:spacing w:val="-7"/>
                          <w:sz w:val="23"/>
                        </w:rPr>
                        <w:t> </w:t>
                      </w:r>
                      <w:r>
                        <w:rPr>
                          <w:i/>
                          <w:spacing w:val="-4"/>
                          <w:sz w:val="23"/>
                        </w:rPr>
                        <w:t>podrá</w:t>
                      </w:r>
                      <w:r>
                        <w:rPr>
                          <w:i/>
                          <w:spacing w:val="-9"/>
                          <w:sz w:val="23"/>
                        </w:rPr>
                        <w:t> </w:t>
                      </w:r>
                      <w:r>
                        <w:rPr>
                          <w:i/>
                          <w:spacing w:val="-4"/>
                          <w:sz w:val="23"/>
                        </w:rPr>
                        <w:t>indemnizarse</w:t>
                      </w:r>
                      <w:r>
                        <w:rPr>
                          <w:i/>
                          <w:spacing w:val="-9"/>
                          <w:sz w:val="23"/>
                        </w:rPr>
                        <w:t> </w:t>
                      </w:r>
                      <w:r>
                        <w:rPr>
                          <w:i/>
                          <w:spacing w:val="-4"/>
                          <w:sz w:val="23"/>
                        </w:rPr>
                        <w:t>más</w:t>
                      </w:r>
                      <w:r>
                        <w:rPr>
                          <w:i/>
                          <w:spacing w:val="-9"/>
                          <w:sz w:val="23"/>
                        </w:rPr>
                        <w:t> </w:t>
                      </w:r>
                      <w:r>
                        <w:rPr>
                          <w:i/>
                          <w:spacing w:val="-4"/>
                          <w:sz w:val="23"/>
                        </w:rPr>
                        <w:t>que</w:t>
                      </w:r>
                      <w:r>
                        <w:rPr>
                          <w:i/>
                          <w:spacing w:val="-9"/>
                          <w:sz w:val="23"/>
                        </w:rPr>
                        <w:t> </w:t>
                      </w:r>
                      <w:r>
                        <w:rPr>
                          <w:i/>
                          <w:spacing w:val="-4"/>
                          <w:sz w:val="23"/>
                        </w:rPr>
                        <w:t>los</w:t>
                      </w:r>
                      <w:r>
                        <w:rPr>
                          <w:i/>
                          <w:spacing w:val="-7"/>
                          <w:sz w:val="23"/>
                        </w:rPr>
                        <w:t> </w:t>
                      </w:r>
                      <w:r>
                        <w:rPr>
                          <w:i/>
                          <w:spacing w:val="-4"/>
                          <w:sz w:val="23"/>
                        </w:rPr>
                        <w:t>últimos</w:t>
                      </w:r>
                      <w:r>
                        <w:rPr>
                          <w:i/>
                          <w:spacing w:val="-7"/>
                          <w:sz w:val="23"/>
                        </w:rPr>
                        <w:t> </w:t>
                      </w:r>
                      <w:r>
                        <w:rPr>
                          <w:i/>
                          <w:spacing w:val="-4"/>
                          <w:sz w:val="23"/>
                        </w:rPr>
                        <w:t>ocho</w:t>
                      </w:r>
                      <w:r>
                        <w:rPr>
                          <w:i/>
                          <w:spacing w:val="-7"/>
                          <w:sz w:val="23"/>
                        </w:rPr>
                        <w:t> </w:t>
                      </w:r>
                      <w:r>
                        <w:rPr>
                          <w:i/>
                          <w:spacing w:val="-4"/>
                          <w:sz w:val="23"/>
                        </w:rPr>
                        <w:t>años</w:t>
                      </w:r>
                      <w:r>
                        <w:rPr>
                          <w:i/>
                          <w:spacing w:val="-7"/>
                          <w:sz w:val="23"/>
                        </w:rPr>
                        <w:t> </w:t>
                      </w:r>
                      <w:r>
                        <w:rPr>
                          <w:i/>
                          <w:spacing w:val="-4"/>
                          <w:sz w:val="23"/>
                        </w:rPr>
                        <w:t>de</w:t>
                      </w:r>
                      <w:r>
                        <w:rPr>
                          <w:i/>
                          <w:spacing w:val="-9"/>
                          <w:sz w:val="23"/>
                        </w:rPr>
                        <w:t> </w:t>
                      </w:r>
                      <w:r>
                        <w:rPr>
                          <w:i/>
                          <w:spacing w:val="-4"/>
                          <w:sz w:val="23"/>
                        </w:rPr>
                        <w:t>relación</w:t>
                      </w:r>
                      <w:r>
                        <w:rPr>
                          <w:i/>
                          <w:spacing w:val="-8"/>
                          <w:sz w:val="23"/>
                        </w:rPr>
                        <w:t> </w:t>
                      </w:r>
                      <w:r>
                        <w:rPr>
                          <w:i/>
                          <w:spacing w:val="-4"/>
                          <w:sz w:val="23"/>
                        </w:rPr>
                        <w:t>laboral.</w:t>
                      </w:r>
                      <w:r>
                        <w:rPr>
                          <w:i/>
                          <w:spacing w:val="-9"/>
                          <w:sz w:val="23"/>
                        </w:rPr>
                        <w:t> </w:t>
                      </w:r>
                      <w:r>
                        <w:rPr>
                          <w:i/>
                          <w:spacing w:val="-4"/>
                          <w:sz w:val="23"/>
                        </w:rPr>
                        <w:t>Sin </w:t>
                      </w:r>
                      <w:r>
                        <w:rPr>
                          <w:i/>
                          <w:sz w:val="23"/>
                        </w:rPr>
                        <w:t>embargo,</w:t>
                      </w:r>
                      <w:r>
                        <w:rPr>
                          <w:i/>
                          <w:spacing w:val="-7"/>
                          <w:sz w:val="23"/>
                        </w:rPr>
                        <w:t> </w:t>
                      </w:r>
                      <w:r>
                        <w:rPr>
                          <w:i/>
                          <w:sz w:val="23"/>
                        </w:rPr>
                        <w:t>si</w:t>
                      </w:r>
                      <w:r>
                        <w:rPr>
                          <w:i/>
                          <w:spacing w:val="-6"/>
                          <w:sz w:val="23"/>
                        </w:rPr>
                        <w:t> </w:t>
                      </w:r>
                      <w:r>
                        <w:rPr>
                          <w:i/>
                          <w:sz w:val="23"/>
                        </w:rPr>
                        <w:t>la</w:t>
                      </w:r>
                      <w:r>
                        <w:rPr>
                          <w:i/>
                          <w:spacing w:val="-7"/>
                          <w:sz w:val="23"/>
                        </w:rPr>
                        <w:t> </w:t>
                      </w:r>
                      <w:r>
                        <w:rPr>
                          <w:i/>
                          <w:sz w:val="23"/>
                        </w:rPr>
                        <w:t>persona</w:t>
                      </w:r>
                      <w:r>
                        <w:rPr>
                          <w:i/>
                          <w:spacing w:val="-6"/>
                          <w:sz w:val="23"/>
                        </w:rPr>
                        <w:t> </w:t>
                      </w:r>
                      <w:r>
                        <w:rPr>
                          <w:i/>
                          <w:sz w:val="23"/>
                        </w:rPr>
                        <w:t>trabajadora/funcionaria</w:t>
                      </w:r>
                      <w:r>
                        <w:rPr>
                          <w:i/>
                          <w:spacing w:val="-8"/>
                          <w:sz w:val="23"/>
                        </w:rPr>
                        <w:t> </w:t>
                      </w:r>
                      <w:r>
                        <w:rPr>
                          <w:i/>
                          <w:sz w:val="23"/>
                        </w:rPr>
                        <w:t>se</w:t>
                      </w:r>
                      <w:r>
                        <w:rPr>
                          <w:i/>
                          <w:spacing w:val="-7"/>
                          <w:sz w:val="23"/>
                        </w:rPr>
                        <w:t> </w:t>
                      </w:r>
                      <w:r>
                        <w:rPr>
                          <w:i/>
                          <w:sz w:val="23"/>
                        </w:rPr>
                        <w:t>encuentra</w:t>
                      </w:r>
                      <w:r>
                        <w:rPr>
                          <w:i/>
                          <w:spacing w:val="-6"/>
                          <w:sz w:val="23"/>
                        </w:rPr>
                        <w:t> </w:t>
                      </w:r>
                      <w:r>
                        <w:rPr>
                          <w:i/>
                          <w:sz w:val="23"/>
                        </w:rPr>
                        <w:t>afiliado</w:t>
                      </w:r>
                      <w:r>
                        <w:rPr>
                          <w:i/>
                          <w:spacing w:val="-5"/>
                          <w:sz w:val="23"/>
                        </w:rPr>
                        <w:t> </w:t>
                      </w:r>
                      <w:r>
                        <w:rPr>
                          <w:i/>
                          <w:sz w:val="23"/>
                        </w:rPr>
                        <w:t>a</w:t>
                      </w:r>
                      <w:r>
                        <w:rPr>
                          <w:i/>
                          <w:spacing w:val="-6"/>
                          <w:sz w:val="23"/>
                        </w:rPr>
                        <w:t> </w:t>
                      </w:r>
                      <w:r>
                        <w:rPr>
                          <w:i/>
                          <w:sz w:val="23"/>
                        </w:rPr>
                        <w:t>la</w:t>
                      </w:r>
                      <w:r>
                        <w:rPr>
                          <w:i/>
                          <w:spacing w:val="-7"/>
                          <w:sz w:val="23"/>
                        </w:rPr>
                        <w:t> </w:t>
                      </w:r>
                      <w:r>
                        <w:rPr>
                          <w:i/>
                          <w:sz w:val="23"/>
                        </w:rPr>
                        <w:t>asociación</w:t>
                      </w:r>
                      <w:r>
                        <w:rPr>
                          <w:i/>
                          <w:spacing w:val="-5"/>
                          <w:sz w:val="23"/>
                        </w:rPr>
                        <w:t> </w:t>
                      </w:r>
                      <w:r>
                        <w:rPr>
                          <w:i/>
                          <w:sz w:val="23"/>
                        </w:rPr>
                        <w:t>solidarista</w:t>
                      </w:r>
                      <w:r>
                        <w:rPr>
                          <w:i/>
                          <w:spacing w:val="-6"/>
                          <w:sz w:val="23"/>
                        </w:rPr>
                        <w:t> </w:t>
                      </w:r>
                      <w:r>
                        <w:rPr>
                          <w:i/>
                          <w:sz w:val="23"/>
                        </w:rPr>
                        <w:t>y</w:t>
                      </w:r>
                      <w:r>
                        <w:rPr>
                          <w:i/>
                          <w:spacing w:val="-7"/>
                          <w:sz w:val="23"/>
                        </w:rPr>
                        <w:t> </w:t>
                      </w:r>
                      <w:r>
                        <w:rPr>
                          <w:i/>
                          <w:sz w:val="23"/>
                        </w:rPr>
                        <w:t>el </w:t>
                      </w:r>
                      <w:r>
                        <w:rPr>
                          <w:i/>
                          <w:spacing w:val="-2"/>
                          <w:sz w:val="23"/>
                        </w:rPr>
                        <w:t>aporte</w:t>
                      </w:r>
                      <w:r>
                        <w:rPr>
                          <w:i/>
                          <w:spacing w:val="-12"/>
                          <w:sz w:val="23"/>
                        </w:rPr>
                        <w:t> </w:t>
                      </w:r>
                      <w:r>
                        <w:rPr>
                          <w:i/>
                          <w:spacing w:val="-2"/>
                          <w:sz w:val="23"/>
                        </w:rPr>
                        <w:t>patronal</w:t>
                      </w:r>
                      <w:r>
                        <w:rPr>
                          <w:i/>
                          <w:spacing w:val="-12"/>
                          <w:sz w:val="23"/>
                        </w:rPr>
                        <w:t> </w:t>
                      </w:r>
                      <w:r>
                        <w:rPr>
                          <w:i/>
                          <w:spacing w:val="-2"/>
                          <w:sz w:val="23"/>
                        </w:rPr>
                        <w:t>fuera</w:t>
                      </w:r>
                      <w:r>
                        <w:rPr>
                          <w:i/>
                          <w:spacing w:val="-12"/>
                          <w:sz w:val="23"/>
                        </w:rPr>
                        <w:t> </w:t>
                      </w:r>
                      <w:r>
                        <w:rPr>
                          <w:i/>
                          <w:spacing w:val="-2"/>
                          <w:sz w:val="23"/>
                        </w:rPr>
                        <w:t>superior</w:t>
                      </w:r>
                      <w:r>
                        <w:rPr>
                          <w:i/>
                          <w:spacing w:val="-11"/>
                          <w:sz w:val="23"/>
                        </w:rPr>
                        <w:t> </w:t>
                      </w:r>
                      <w:r>
                        <w:rPr>
                          <w:i/>
                          <w:spacing w:val="-2"/>
                          <w:sz w:val="23"/>
                        </w:rPr>
                        <w:t>a</w:t>
                      </w:r>
                      <w:r>
                        <w:rPr>
                          <w:i/>
                          <w:spacing w:val="-12"/>
                          <w:sz w:val="23"/>
                        </w:rPr>
                        <w:t> </w:t>
                      </w:r>
                      <w:r>
                        <w:rPr>
                          <w:i/>
                          <w:spacing w:val="-2"/>
                          <w:sz w:val="23"/>
                        </w:rPr>
                        <w:t>lo</w:t>
                      </w:r>
                      <w:r>
                        <w:rPr>
                          <w:i/>
                          <w:spacing w:val="-13"/>
                          <w:sz w:val="23"/>
                        </w:rPr>
                        <w:t> </w:t>
                      </w:r>
                      <w:r>
                        <w:rPr>
                          <w:i/>
                          <w:spacing w:val="-2"/>
                          <w:sz w:val="23"/>
                        </w:rPr>
                        <w:t>que</w:t>
                      </w:r>
                      <w:r>
                        <w:rPr>
                          <w:i/>
                          <w:spacing w:val="-11"/>
                          <w:sz w:val="23"/>
                        </w:rPr>
                        <w:t> </w:t>
                      </w:r>
                      <w:r>
                        <w:rPr>
                          <w:i/>
                          <w:spacing w:val="-2"/>
                          <w:sz w:val="23"/>
                        </w:rPr>
                        <w:t>le</w:t>
                      </w:r>
                      <w:r>
                        <w:rPr>
                          <w:i/>
                          <w:spacing w:val="-13"/>
                          <w:sz w:val="23"/>
                        </w:rPr>
                        <w:t> </w:t>
                      </w:r>
                      <w:r>
                        <w:rPr>
                          <w:i/>
                          <w:spacing w:val="-2"/>
                          <w:sz w:val="23"/>
                        </w:rPr>
                        <w:t>corresponde</w:t>
                      </w:r>
                      <w:r>
                        <w:rPr>
                          <w:i/>
                          <w:spacing w:val="-12"/>
                          <w:sz w:val="23"/>
                        </w:rPr>
                        <w:t> </w:t>
                      </w:r>
                      <w:r>
                        <w:rPr>
                          <w:i/>
                          <w:spacing w:val="-2"/>
                          <w:sz w:val="23"/>
                        </w:rPr>
                        <w:t>por</w:t>
                      </w:r>
                      <w:r>
                        <w:rPr>
                          <w:i/>
                          <w:spacing w:val="-11"/>
                          <w:sz w:val="23"/>
                        </w:rPr>
                        <w:t> </w:t>
                      </w:r>
                      <w:r>
                        <w:rPr>
                          <w:i/>
                          <w:spacing w:val="-2"/>
                          <w:sz w:val="23"/>
                        </w:rPr>
                        <w:t>derecho</w:t>
                      </w:r>
                      <w:r>
                        <w:rPr>
                          <w:i/>
                          <w:spacing w:val="-10"/>
                          <w:sz w:val="23"/>
                        </w:rPr>
                        <w:t> </w:t>
                      </w:r>
                      <w:r>
                        <w:rPr>
                          <w:i/>
                          <w:spacing w:val="-2"/>
                          <w:sz w:val="23"/>
                        </w:rPr>
                        <w:t>de</w:t>
                      </w:r>
                      <w:r>
                        <w:rPr>
                          <w:i/>
                          <w:spacing w:val="-13"/>
                          <w:sz w:val="23"/>
                        </w:rPr>
                        <w:t> </w:t>
                      </w:r>
                      <w:r>
                        <w:rPr>
                          <w:i/>
                          <w:spacing w:val="-2"/>
                          <w:sz w:val="23"/>
                        </w:rPr>
                        <w:t>auxilio</w:t>
                      </w:r>
                      <w:r>
                        <w:rPr>
                          <w:i/>
                          <w:spacing w:val="-10"/>
                          <w:sz w:val="23"/>
                        </w:rPr>
                        <w:t> </w:t>
                      </w:r>
                      <w:r>
                        <w:rPr>
                          <w:i/>
                          <w:spacing w:val="-2"/>
                          <w:sz w:val="23"/>
                        </w:rPr>
                        <w:t>de</w:t>
                      </w:r>
                      <w:r>
                        <w:rPr>
                          <w:i/>
                          <w:spacing w:val="-13"/>
                          <w:sz w:val="23"/>
                        </w:rPr>
                        <w:t> </w:t>
                      </w:r>
                      <w:r>
                        <w:rPr>
                          <w:i/>
                          <w:spacing w:val="-2"/>
                          <w:sz w:val="23"/>
                        </w:rPr>
                        <w:t>cesantía,</w:t>
                      </w:r>
                      <w:r>
                        <w:rPr>
                          <w:i/>
                          <w:spacing w:val="-10"/>
                          <w:sz w:val="23"/>
                        </w:rPr>
                        <w:t> </w:t>
                      </w:r>
                      <w:r>
                        <w:rPr>
                          <w:i/>
                          <w:spacing w:val="-2"/>
                          <w:sz w:val="23"/>
                        </w:rPr>
                        <w:t>lo</w:t>
                      </w:r>
                      <w:r>
                        <w:rPr>
                          <w:i/>
                          <w:spacing w:val="-11"/>
                          <w:sz w:val="23"/>
                        </w:rPr>
                        <w:t> </w:t>
                      </w:r>
                      <w:r>
                        <w:rPr>
                          <w:i/>
                          <w:spacing w:val="-2"/>
                          <w:sz w:val="23"/>
                        </w:rPr>
                        <w:t>retirará </w:t>
                      </w:r>
                      <w:r>
                        <w:rPr>
                          <w:i/>
                          <w:spacing w:val="-4"/>
                          <w:sz w:val="23"/>
                        </w:rPr>
                        <w:t>en</w:t>
                      </w:r>
                      <w:r>
                        <w:rPr>
                          <w:i/>
                          <w:spacing w:val="-7"/>
                          <w:sz w:val="23"/>
                        </w:rPr>
                        <w:t> </w:t>
                      </w:r>
                      <w:r>
                        <w:rPr>
                          <w:i/>
                          <w:spacing w:val="-4"/>
                          <w:sz w:val="23"/>
                        </w:rPr>
                        <w:t>su</w:t>
                      </w:r>
                      <w:r>
                        <w:rPr>
                          <w:i/>
                          <w:spacing w:val="-7"/>
                          <w:sz w:val="23"/>
                        </w:rPr>
                        <w:t> </w:t>
                      </w:r>
                      <w:r>
                        <w:rPr>
                          <w:i/>
                          <w:spacing w:val="-4"/>
                          <w:sz w:val="23"/>
                        </w:rPr>
                        <w:t>totalidad.</w:t>
                      </w:r>
                      <w:r>
                        <w:rPr>
                          <w:i/>
                          <w:spacing w:val="-9"/>
                          <w:sz w:val="23"/>
                        </w:rPr>
                        <w:t> </w:t>
                      </w:r>
                      <w:r>
                        <w:rPr>
                          <w:i/>
                          <w:spacing w:val="-4"/>
                          <w:sz w:val="23"/>
                        </w:rPr>
                        <w:t>Si,</w:t>
                      </w:r>
                      <w:r>
                        <w:rPr>
                          <w:i/>
                          <w:spacing w:val="-8"/>
                          <w:sz w:val="23"/>
                        </w:rPr>
                        <w:t> </w:t>
                      </w:r>
                      <w:r>
                        <w:rPr>
                          <w:i/>
                          <w:spacing w:val="-4"/>
                          <w:sz w:val="23"/>
                        </w:rPr>
                        <w:t>por</w:t>
                      </w:r>
                      <w:r>
                        <w:rPr>
                          <w:i/>
                          <w:spacing w:val="-7"/>
                          <w:sz w:val="23"/>
                        </w:rPr>
                        <w:t> </w:t>
                      </w:r>
                      <w:r>
                        <w:rPr>
                          <w:i/>
                          <w:spacing w:val="-4"/>
                          <w:sz w:val="23"/>
                        </w:rPr>
                        <w:t>el</w:t>
                      </w:r>
                      <w:r>
                        <w:rPr>
                          <w:i/>
                          <w:spacing w:val="-8"/>
                          <w:sz w:val="23"/>
                        </w:rPr>
                        <w:t> </w:t>
                      </w:r>
                      <w:r>
                        <w:rPr>
                          <w:i/>
                          <w:spacing w:val="-4"/>
                          <w:sz w:val="23"/>
                        </w:rPr>
                        <w:t>contrario,</w:t>
                      </w:r>
                      <w:r>
                        <w:rPr>
                          <w:i/>
                          <w:spacing w:val="-7"/>
                          <w:sz w:val="23"/>
                        </w:rPr>
                        <w:t> </w:t>
                      </w:r>
                      <w:r>
                        <w:rPr>
                          <w:i/>
                          <w:spacing w:val="-4"/>
                          <w:sz w:val="23"/>
                        </w:rPr>
                        <w:t>el</w:t>
                      </w:r>
                      <w:r>
                        <w:rPr>
                          <w:i/>
                          <w:spacing w:val="-8"/>
                          <w:sz w:val="23"/>
                        </w:rPr>
                        <w:t> </w:t>
                      </w:r>
                      <w:r>
                        <w:rPr>
                          <w:i/>
                          <w:spacing w:val="-4"/>
                          <w:sz w:val="23"/>
                        </w:rPr>
                        <w:t>aporte</w:t>
                      </w:r>
                      <w:r>
                        <w:rPr>
                          <w:i/>
                          <w:spacing w:val="-8"/>
                          <w:sz w:val="23"/>
                        </w:rPr>
                        <w:t> </w:t>
                      </w:r>
                      <w:r>
                        <w:rPr>
                          <w:i/>
                          <w:spacing w:val="-4"/>
                          <w:sz w:val="23"/>
                        </w:rPr>
                        <w:t>patronal</w:t>
                      </w:r>
                      <w:r>
                        <w:rPr>
                          <w:i/>
                          <w:spacing w:val="-8"/>
                          <w:sz w:val="23"/>
                        </w:rPr>
                        <w:t> </w:t>
                      </w:r>
                      <w:r>
                        <w:rPr>
                          <w:i/>
                          <w:spacing w:val="-4"/>
                          <w:sz w:val="23"/>
                        </w:rPr>
                        <w:t>fuera</w:t>
                      </w:r>
                      <w:r>
                        <w:rPr>
                          <w:i/>
                          <w:spacing w:val="-8"/>
                          <w:sz w:val="23"/>
                        </w:rPr>
                        <w:t> </w:t>
                      </w:r>
                      <w:r>
                        <w:rPr>
                          <w:i/>
                          <w:spacing w:val="-4"/>
                          <w:sz w:val="23"/>
                        </w:rPr>
                        <w:t>inferior</w:t>
                      </w:r>
                      <w:r>
                        <w:rPr>
                          <w:i/>
                          <w:spacing w:val="-7"/>
                          <w:sz w:val="23"/>
                        </w:rPr>
                        <w:t> </w:t>
                      </w:r>
                      <w:r>
                        <w:rPr>
                          <w:i/>
                          <w:spacing w:val="-4"/>
                          <w:sz w:val="23"/>
                        </w:rPr>
                        <w:t>a</w:t>
                      </w:r>
                      <w:r>
                        <w:rPr>
                          <w:i/>
                          <w:spacing w:val="-8"/>
                          <w:sz w:val="23"/>
                        </w:rPr>
                        <w:t> </w:t>
                      </w:r>
                      <w:r>
                        <w:rPr>
                          <w:i/>
                          <w:spacing w:val="-4"/>
                          <w:sz w:val="23"/>
                        </w:rPr>
                        <w:t>lo</w:t>
                      </w:r>
                      <w:r>
                        <w:rPr>
                          <w:i/>
                          <w:spacing w:val="-7"/>
                          <w:sz w:val="23"/>
                        </w:rPr>
                        <w:t> </w:t>
                      </w:r>
                      <w:r>
                        <w:rPr>
                          <w:i/>
                          <w:spacing w:val="-4"/>
                          <w:sz w:val="23"/>
                        </w:rPr>
                        <w:t>que</w:t>
                      </w:r>
                      <w:r>
                        <w:rPr>
                          <w:i/>
                          <w:spacing w:val="-8"/>
                          <w:sz w:val="23"/>
                        </w:rPr>
                        <w:t> </w:t>
                      </w:r>
                      <w:r>
                        <w:rPr>
                          <w:i/>
                          <w:spacing w:val="-4"/>
                          <w:sz w:val="23"/>
                        </w:rPr>
                        <w:t>le</w:t>
                      </w:r>
                      <w:r>
                        <w:rPr>
                          <w:i/>
                          <w:spacing w:val="-9"/>
                          <w:sz w:val="23"/>
                        </w:rPr>
                        <w:t> </w:t>
                      </w:r>
                      <w:r>
                        <w:rPr>
                          <w:i/>
                          <w:spacing w:val="-4"/>
                          <w:sz w:val="23"/>
                        </w:rPr>
                        <w:t>corresponde,</w:t>
                      </w:r>
                      <w:r>
                        <w:rPr>
                          <w:i/>
                          <w:spacing w:val="-7"/>
                          <w:sz w:val="23"/>
                        </w:rPr>
                        <w:t> </w:t>
                      </w:r>
                      <w:r>
                        <w:rPr>
                          <w:i/>
                          <w:spacing w:val="-4"/>
                          <w:sz w:val="23"/>
                        </w:rPr>
                        <w:t>el</w:t>
                      </w:r>
                      <w:r>
                        <w:rPr>
                          <w:i/>
                          <w:spacing w:val="-8"/>
                          <w:sz w:val="23"/>
                        </w:rPr>
                        <w:t> </w:t>
                      </w:r>
                      <w:r>
                        <w:rPr>
                          <w:i/>
                          <w:spacing w:val="-4"/>
                          <w:sz w:val="23"/>
                        </w:rPr>
                        <w:t>IMAS </w:t>
                      </w:r>
                      <w:r>
                        <w:rPr>
                          <w:i/>
                          <w:sz w:val="23"/>
                        </w:rPr>
                        <w:t>tendría</w:t>
                      </w:r>
                      <w:r>
                        <w:rPr>
                          <w:i/>
                          <w:spacing w:val="-6"/>
                          <w:sz w:val="23"/>
                        </w:rPr>
                        <w:t> </w:t>
                      </w:r>
                      <w:r>
                        <w:rPr>
                          <w:i/>
                          <w:sz w:val="23"/>
                        </w:rPr>
                        <w:t>la</w:t>
                      </w:r>
                      <w:r>
                        <w:rPr>
                          <w:i/>
                          <w:spacing w:val="-7"/>
                          <w:sz w:val="23"/>
                        </w:rPr>
                        <w:t> </w:t>
                      </w:r>
                      <w:r>
                        <w:rPr>
                          <w:i/>
                          <w:sz w:val="23"/>
                        </w:rPr>
                        <w:t>obligación</w:t>
                      </w:r>
                      <w:r>
                        <w:rPr>
                          <w:i/>
                          <w:spacing w:val="-6"/>
                          <w:sz w:val="23"/>
                        </w:rPr>
                        <w:t> </w:t>
                      </w:r>
                      <w:r>
                        <w:rPr>
                          <w:i/>
                          <w:sz w:val="23"/>
                        </w:rPr>
                        <w:t>de</w:t>
                      </w:r>
                      <w:r>
                        <w:rPr>
                          <w:i/>
                          <w:spacing w:val="-7"/>
                          <w:sz w:val="23"/>
                        </w:rPr>
                        <w:t> </w:t>
                      </w:r>
                      <w:r>
                        <w:rPr>
                          <w:i/>
                          <w:sz w:val="23"/>
                        </w:rPr>
                        <w:t>cubrir</w:t>
                      </w:r>
                      <w:r>
                        <w:rPr>
                          <w:i/>
                          <w:spacing w:val="-6"/>
                          <w:sz w:val="23"/>
                        </w:rPr>
                        <w:t> </w:t>
                      </w:r>
                      <w:r>
                        <w:rPr>
                          <w:i/>
                          <w:sz w:val="23"/>
                        </w:rPr>
                        <w:t>la</w:t>
                      </w:r>
                      <w:r>
                        <w:rPr>
                          <w:i/>
                          <w:spacing w:val="-6"/>
                          <w:sz w:val="23"/>
                        </w:rPr>
                        <w:t> </w:t>
                      </w:r>
                      <w:r>
                        <w:rPr>
                          <w:i/>
                          <w:sz w:val="23"/>
                        </w:rPr>
                        <w:t>diferencia.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599488">
                <wp:simplePos x="0" y="0"/>
                <wp:positionH relativeFrom="page">
                  <wp:posOffset>9525</wp:posOffset>
                </wp:positionH>
                <wp:positionV relativeFrom="page">
                  <wp:posOffset>297208</wp:posOffset>
                </wp:positionV>
                <wp:extent cx="7762875" cy="9748520"/>
                <wp:effectExtent l="0" t="0" r="0" b="0"/>
                <wp:wrapNone/>
                <wp:docPr id="432" name="Group 432"/>
                <wp:cNvGraphicFramePr>
                  <a:graphicFrameLocks/>
                </wp:cNvGraphicFramePr>
                <a:graphic>
                  <a:graphicData uri="http://schemas.microsoft.com/office/word/2010/wordprocessingGroup">
                    <wpg:wgp>
                      <wpg:cNvPr id="432" name="Group 432"/>
                      <wpg:cNvGrpSpPr/>
                      <wpg:grpSpPr>
                        <a:xfrm>
                          <a:off x="0" y="0"/>
                          <a:ext cx="7762875" cy="9748520"/>
                          <a:chExt cx="7762875" cy="9748520"/>
                        </a:xfrm>
                      </wpg:grpSpPr>
                      <pic:pic>
                        <pic:nvPicPr>
                          <pic:cNvPr id="433" name="Image 433"/>
                          <pic:cNvPicPr/>
                        </pic:nvPicPr>
                        <pic:blipFill>
                          <a:blip r:embed="rId5" cstate="print"/>
                          <a:stretch>
                            <a:fillRect/>
                          </a:stretch>
                        </pic:blipFill>
                        <pic:spPr>
                          <a:xfrm>
                            <a:off x="0" y="0"/>
                            <a:ext cx="7762874" cy="9748489"/>
                          </a:xfrm>
                          <a:prstGeom prst="rect">
                            <a:avLst/>
                          </a:prstGeom>
                        </pic:spPr>
                      </pic:pic>
                      <wps:wsp>
                        <wps:cNvPr id="434" name="Graphic 43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435" name="Image 435"/>
                          <pic:cNvPicPr/>
                        </pic:nvPicPr>
                        <pic:blipFill>
                          <a:blip r:embed="rId51" cstate="print"/>
                          <a:stretch>
                            <a:fillRect/>
                          </a:stretch>
                        </pic:blipFill>
                        <pic:spPr>
                          <a:xfrm>
                            <a:off x="2104389" y="2116426"/>
                            <a:ext cx="3645154" cy="206248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16992" id="docshapegroup410" coordorigin="15,468" coordsize="12225,15352">
                <v:shape style="position:absolute;left:15;top:468;width:12225;height:15352" type="#_x0000_t75" id="docshape411" stroked="false">
                  <v:imagedata r:id="rId5" o:title=""/>
                </v:shape>
                <v:rect style="position:absolute;left:1673;top:2028;width:8897;height:15" id="docshape412" filled="true" fillcolor="#000000" stroked="false">
                  <v:fill type="solid"/>
                </v:rect>
                <v:shape style="position:absolute;left:3329;top:3801;width:5741;height:3248" type="#_x0000_t75" id="docshape413" stroked="false">
                  <v:imagedata r:id="rId51" o:title=""/>
                </v:shape>
                <w10:wrap type="none"/>
              </v:group>
            </w:pict>
          </mc:Fallback>
        </mc:AlternateContent>
      </w:r>
      <w:r>
        <w:rPr>
          <w:color w:val="172951"/>
          <w:sz w:val="20"/>
        </w:rPr>
        <w:t>Pág.</w:t>
      </w:r>
      <w:r>
        <w:rPr>
          <w:color w:val="172951"/>
          <w:spacing w:val="-7"/>
          <w:sz w:val="20"/>
        </w:rPr>
        <w:t> </w:t>
      </w:r>
      <w:r>
        <w:rPr>
          <w:color w:val="172951"/>
          <w:spacing w:val="-5"/>
          <w:sz w:val="20"/>
        </w:rPr>
        <w:t>89</w:t>
      </w:r>
    </w:p>
    <w:p>
      <w:pPr>
        <w:pStyle w:val="BodyText"/>
        <w:spacing w:before="218"/>
        <w:ind w:left="622"/>
      </w:pPr>
      <w:r>
        <w:rPr/>
        <w:t>Información</w:t>
      </w:r>
      <w:r>
        <w:rPr>
          <w:spacing w:val="-5"/>
        </w:rPr>
        <w:t> </w:t>
      </w:r>
      <w:r>
        <w:rPr/>
        <w:t>por</w:t>
      </w:r>
      <w:r>
        <w:rPr>
          <w:spacing w:val="-5"/>
        </w:rPr>
        <w:t> </w:t>
      </w:r>
      <w:r>
        <w:rPr/>
        <w:t>revelar</w:t>
      </w:r>
      <w:r>
        <w:rPr>
          <w:spacing w:val="-4"/>
        </w:rPr>
        <w:t> </w:t>
      </w:r>
      <w:r>
        <w:rPr/>
        <w:t>-</w:t>
      </w:r>
      <w:r>
        <w:rPr>
          <w:spacing w:val="-6"/>
        </w:rPr>
        <w:t> </w:t>
      </w:r>
      <w:r>
        <w:rPr/>
        <w:t>Provisiones,</w:t>
      </w:r>
      <w:r>
        <w:rPr>
          <w:spacing w:val="-5"/>
        </w:rPr>
        <w:t> </w:t>
      </w:r>
      <w:r>
        <w:rPr/>
        <w:t>Pasivos</w:t>
      </w:r>
      <w:r>
        <w:rPr>
          <w:spacing w:val="-4"/>
        </w:rPr>
        <w:t> </w:t>
      </w:r>
      <w:r>
        <w:rPr/>
        <w:t>contingentes</w:t>
      </w:r>
      <w:r>
        <w:rPr>
          <w:spacing w:val="-5"/>
        </w:rPr>
        <w:t> </w:t>
      </w:r>
      <w:r>
        <w:rPr/>
        <w:t>y</w:t>
      </w:r>
      <w:r>
        <w:rPr>
          <w:spacing w:val="-5"/>
        </w:rPr>
        <w:t> </w:t>
      </w:r>
      <w:r>
        <w:rPr/>
        <w:t>Activos</w:t>
      </w:r>
      <w:r>
        <w:rPr>
          <w:spacing w:val="-7"/>
        </w:rPr>
        <w:t> </w:t>
      </w:r>
      <w:r>
        <w:rPr/>
        <w:t>Contingentes</w:t>
      </w:r>
      <w:r>
        <w:rPr>
          <w:spacing w:val="-7"/>
        </w:rPr>
        <w:t> </w:t>
      </w:r>
      <w:r>
        <w:rPr/>
        <w:t>NICSP</w:t>
      </w:r>
      <w:r>
        <w:rPr>
          <w:spacing w:val="-4"/>
        </w:rPr>
        <w:t> </w:t>
      </w:r>
      <w:r>
        <w:rPr>
          <w:spacing w:val="-5"/>
        </w:rPr>
        <w:t>19</w:t>
      </w:r>
    </w:p>
    <w:p>
      <w:pPr>
        <w:pStyle w:val="BodyText"/>
        <w:spacing w:before="8"/>
        <w:rPr>
          <w:sz w:val="13"/>
        </w:rPr>
      </w:pPr>
      <w:r>
        <w:rPr>
          <w:sz w:val="13"/>
        </w:rPr>
        <mc:AlternateContent>
          <mc:Choice Requires="wps">
            <w:drawing>
              <wp:anchor distT="0" distB="0" distL="0" distR="0" allowOverlap="1" layoutInCell="1" locked="0" behindDoc="1" simplePos="0" relativeHeight="487662080">
                <wp:simplePos x="0" y="0"/>
                <wp:positionH relativeFrom="page">
                  <wp:posOffset>1080820</wp:posOffset>
                </wp:positionH>
                <wp:positionV relativeFrom="paragraph">
                  <wp:posOffset>117689</wp:posOffset>
                </wp:positionV>
                <wp:extent cx="5715000" cy="2902585"/>
                <wp:effectExtent l="0" t="0" r="0" b="0"/>
                <wp:wrapTopAndBottom/>
                <wp:docPr id="436" name="Textbox 436"/>
                <wp:cNvGraphicFramePr>
                  <a:graphicFrameLocks/>
                </wp:cNvGraphicFramePr>
                <a:graphic>
                  <a:graphicData uri="http://schemas.microsoft.com/office/word/2010/wordprocessingShape">
                    <wps:wsp>
                      <wps:cNvPr id="436" name="Textbox 436"/>
                      <wps:cNvSpPr txBox="1"/>
                      <wps:spPr>
                        <a:xfrm>
                          <a:off x="0" y="0"/>
                          <a:ext cx="5715000" cy="2902585"/>
                        </a:xfrm>
                        <a:prstGeom prst="rect">
                          <a:avLst/>
                        </a:prstGeom>
                        <a:ln w="6095">
                          <a:solidFill>
                            <a:srgbClr val="000000"/>
                          </a:solidFill>
                          <a:prstDash val="solid"/>
                        </a:ln>
                      </wps:spPr>
                      <wps:txbx>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64"/>
                            </w:pPr>
                            <w:r>
                              <w:rPr/>
                              <w:t>El</w:t>
                            </w:r>
                            <w:r>
                              <w:rPr>
                                <w:spacing w:val="-2"/>
                              </w:rPr>
                              <w:t> </w:t>
                            </w:r>
                            <w:r>
                              <w:rPr/>
                              <w:t>IMAS</w:t>
                            </w:r>
                            <w:r>
                              <w:rPr>
                                <w:spacing w:val="-1"/>
                              </w:rPr>
                              <w:t> </w:t>
                            </w:r>
                            <w:r>
                              <w:rPr/>
                              <w:t>cuenta</w:t>
                            </w:r>
                            <w:r>
                              <w:rPr>
                                <w:spacing w:val="-2"/>
                              </w:rPr>
                              <w:t> </w:t>
                            </w:r>
                            <w:r>
                              <w:rPr/>
                              <w:t>con</w:t>
                            </w:r>
                            <w:r>
                              <w:rPr>
                                <w:spacing w:val="-2"/>
                              </w:rPr>
                              <w:t> </w:t>
                            </w:r>
                            <w:r>
                              <w:rPr/>
                              <w:t>una</w:t>
                            </w:r>
                            <w:r>
                              <w:rPr>
                                <w:spacing w:val="-2"/>
                              </w:rPr>
                              <w:t> </w:t>
                            </w:r>
                            <w:r>
                              <w:rPr/>
                              <w:t>provisión</w:t>
                            </w:r>
                            <w:r>
                              <w:rPr>
                                <w:spacing w:val="-2"/>
                              </w:rPr>
                              <w:t> </w:t>
                            </w:r>
                            <w:r>
                              <w:rPr/>
                              <w:t>de</w:t>
                            </w:r>
                            <w:r>
                              <w:rPr>
                                <w:spacing w:val="-4"/>
                              </w:rPr>
                              <w:t> </w:t>
                            </w:r>
                            <w:r>
                              <w:rPr/>
                              <w:t>cesantía</w:t>
                            </w:r>
                            <w:r>
                              <w:rPr>
                                <w:spacing w:val="-3"/>
                              </w:rPr>
                              <w:t> </w:t>
                            </w:r>
                            <w:r>
                              <w:rPr/>
                              <w:t>para</w:t>
                            </w:r>
                            <w:r>
                              <w:rPr>
                                <w:spacing w:val="-3"/>
                              </w:rPr>
                              <w:t> </w:t>
                            </w:r>
                            <w:r>
                              <w:rPr/>
                              <w:t>las</w:t>
                            </w:r>
                            <w:r>
                              <w:rPr>
                                <w:spacing w:val="-4"/>
                              </w:rPr>
                              <w:t> </w:t>
                            </w:r>
                            <w:r>
                              <w:rPr/>
                              <w:t>personas</w:t>
                            </w:r>
                            <w:r>
                              <w:rPr>
                                <w:spacing w:val="-1"/>
                              </w:rPr>
                              <w:t> </w:t>
                            </w:r>
                            <w:r>
                              <w:rPr/>
                              <w:t>funcionarias</w:t>
                            </w:r>
                            <w:r>
                              <w:rPr>
                                <w:spacing w:val="-4"/>
                              </w:rPr>
                              <w:t> </w:t>
                            </w:r>
                            <w:r>
                              <w:rPr/>
                              <w:t>que</w:t>
                            </w:r>
                            <w:r>
                              <w:rPr>
                                <w:spacing w:val="-4"/>
                              </w:rPr>
                              <w:t> </w:t>
                            </w:r>
                            <w:r>
                              <w:rPr/>
                              <w:t>no</w:t>
                            </w:r>
                            <w:r>
                              <w:rPr>
                                <w:spacing w:val="-2"/>
                              </w:rPr>
                              <w:t> </w:t>
                            </w:r>
                            <w:r>
                              <w:rPr/>
                              <w:t>son</w:t>
                            </w:r>
                            <w:r>
                              <w:rPr>
                                <w:spacing w:val="-2"/>
                              </w:rPr>
                              <w:t> </w:t>
                            </w:r>
                            <w:r>
                              <w:rPr/>
                              <w:t>parte</w:t>
                            </w:r>
                            <w:r>
                              <w:rPr>
                                <w:spacing w:val="-3"/>
                              </w:rPr>
                              <w:t> </w:t>
                            </w:r>
                            <w:r>
                              <w:rPr/>
                              <w:t>de</w:t>
                            </w:r>
                            <w:r>
                              <w:rPr>
                                <w:spacing w:val="-4"/>
                              </w:rPr>
                              <w:t> </w:t>
                            </w:r>
                            <w:r>
                              <w:rPr/>
                              <w:t>la asociación solidarista, conforme la NICSP 39.</w:t>
                            </w:r>
                          </w:p>
                        </w:txbxContent>
                      </wps:txbx>
                      <wps:bodyPr wrap="square" lIns="0" tIns="0" rIns="0" bIns="0" rtlCol="0">
                        <a:noAutofit/>
                      </wps:bodyPr>
                    </wps:wsp>
                  </a:graphicData>
                </a:graphic>
              </wp:anchor>
            </w:drawing>
          </mc:Choice>
          <mc:Fallback>
            <w:pict>
              <v:shape style="position:absolute;margin-left:85.103996pt;margin-top:9.266870pt;width:450pt;height:228.55pt;mso-position-horizontal-relative:page;mso-position-vertical-relative:paragraph;z-index:-15654400;mso-wrap-distance-left:0;mso-wrap-distance-right:0" type="#_x0000_t202" id="docshape414" filled="false" stroked="true" strokeweight=".47998pt" strokecolor="#000000">
                <v:textbox inset="0,0,0,0">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64"/>
                      </w:pPr>
                      <w:r>
                        <w:rPr/>
                        <w:t>El</w:t>
                      </w:r>
                      <w:r>
                        <w:rPr>
                          <w:spacing w:val="-2"/>
                        </w:rPr>
                        <w:t> </w:t>
                      </w:r>
                      <w:r>
                        <w:rPr/>
                        <w:t>IMAS</w:t>
                      </w:r>
                      <w:r>
                        <w:rPr>
                          <w:spacing w:val="-1"/>
                        </w:rPr>
                        <w:t> </w:t>
                      </w:r>
                      <w:r>
                        <w:rPr/>
                        <w:t>cuenta</w:t>
                      </w:r>
                      <w:r>
                        <w:rPr>
                          <w:spacing w:val="-2"/>
                        </w:rPr>
                        <w:t> </w:t>
                      </w:r>
                      <w:r>
                        <w:rPr/>
                        <w:t>con</w:t>
                      </w:r>
                      <w:r>
                        <w:rPr>
                          <w:spacing w:val="-2"/>
                        </w:rPr>
                        <w:t> </w:t>
                      </w:r>
                      <w:r>
                        <w:rPr/>
                        <w:t>una</w:t>
                      </w:r>
                      <w:r>
                        <w:rPr>
                          <w:spacing w:val="-2"/>
                        </w:rPr>
                        <w:t> </w:t>
                      </w:r>
                      <w:r>
                        <w:rPr/>
                        <w:t>provisión</w:t>
                      </w:r>
                      <w:r>
                        <w:rPr>
                          <w:spacing w:val="-2"/>
                        </w:rPr>
                        <w:t> </w:t>
                      </w:r>
                      <w:r>
                        <w:rPr/>
                        <w:t>de</w:t>
                      </w:r>
                      <w:r>
                        <w:rPr>
                          <w:spacing w:val="-4"/>
                        </w:rPr>
                        <w:t> </w:t>
                      </w:r>
                      <w:r>
                        <w:rPr/>
                        <w:t>cesantía</w:t>
                      </w:r>
                      <w:r>
                        <w:rPr>
                          <w:spacing w:val="-3"/>
                        </w:rPr>
                        <w:t> </w:t>
                      </w:r>
                      <w:r>
                        <w:rPr/>
                        <w:t>para</w:t>
                      </w:r>
                      <w:r>
                        <w:rPr>
                          <w:spacing w:val="-3"/>
                        </w:rPr>
                        <w:t> </w:t>
                      </w:r>
                      <w:r>
                        <w:rPr/>
                        <w:t>las</w:t>
                      </w:r>
                      <w:r>
                        <w:rPr>
                          <w:spacing w:val="-4"/>
                        </w:rPr>
                        <w:t> </w:t>
                      </w:r>
                      <w:r>
                        <w:rPr/>
                        <w:t>personas</w:t>
                      </w:r>
                      <w:r>
                        <w:rPr>
                          <w:spacing w:val="-1"/>
                        </w:rPr>
                        <w:t> </w:t>
                      </w:r>
                      <w:r>
                        <w:rPr/>
                        <w:t>funcionarias</w:t>
                      </w:r>
                      <w:r>
                        <w:rPr>
                          <w:spacing w:val="-4"/>
                        </w:rPr>
                        <w:t> </w:t>
                      </w:r>
                      <w:r>
                        <w:rPr/>
                        <w:t>que</w:t>
                      </w:r>
                      <w:r>
                        <w:rPr>
                          <w:spacing w:val="-4"/>
                        </w:rPr>
                        <w:t> </w:t>
                      </w:r>
                      <w:r>
                        <w:rPr/>
                        <w:t>no</w:t>
                      </w:r>
                      <w:r>
                        <w:rPr>
                          <w:spacing w:val="-2"/>
                        </w:rPr>
                        <w:t> </w:t>
                      </w:r>
                      <w:r>
                        <w:rPr/>
                        <w:t>son</w:t>
                      </w:r>
                      <w:r>
                        <w:rPr>
                          <w:spacing w:val="-2"/>
                        </w:rPr>
                        <w:t> </w:t>
                      </w:r>
                      <w:r>
                        <w:rPr/>
                        <w:t>parte</w:t>
                      </w:r>
                      <w:r>
                        <w:rPr>
                          <w:spacing w:val="-3"/>
                        </w:rPr>
                        <w:t> </w:t>
                      </w:r>
                      <w:r>
                        <w:rPr/>
                        <w:t>de</w:t>
                      </w:r>
                      <w:r>
                        <w:rPr>
                          <w:spacing w:val="-4"/>
                        </w:rPr>
                        <w:t> </w:t>
                      </w:r>
                      <w:r>
                        <w:rPr/>
                        <w:t>la asociación solidarista, conforme la NICSP 39.</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57" w:id="58"/>
      <w:bookmarkEnd w:id="58"/>
      <w:r>
        <w:rPr/>
      </w:r>
      <w:r>
        <w:rPr>
          <w:b/>
          <w:sz w:val="22"/>
        </w:rPr>
        <w:t>NOTA</w:t>
      </w:r>
      <w:r>
        <w:rPr>
          <w:b/>
          <w:spacing w:val="-1"/>
          <w:sz w:val="22"/>
        </w:rPr>
        <w:t> </w:t>
      </w:r>
      <w:r>
        <w:rPr>
          <w:b/>
          <w:sz w:val="22"/>
        </w:rPr>
        <w:t>N° </w:t>
      </w:r>
      <w:r>
        <w:rPr>
          <w:b/>
          <w:spacing w:val="-5"/>
          <w:sz w:val="22"/>
        </w:rPr>
        <w:t>23</w:t>
      </w:r>
    </w:p>
    <w:p>
      <w:pPr>
        <w:pStyle w:val="BodyText"/>
        <w:spacing w:before="115"/>
        <w:rPr>
          <w:b/>
        </w:rPr>
      </w:pPr>
    </w:p>
    <w:p>
      <w:pPr>
        <w:pStyle w:val="BodyText"/>
        <w:ind w:left="622"/>
      </w:pPr>
      <w:r>
        <w:rPr/>
        <w:t>Otros</w:t>
      </w:r>
      <w:r>
        <w:rPr>
          <w:spacing w:val="-4"/>
        </w:rPr>
        <w:t> </w:t>
      </w:r>
      <w:r>
        <w:rPr/>
        <w:t>pasivos</w:t>
      </w:r>
      <w:r>
        <w:rPr>
          <w:spacing w:val="-2"/>
        </w:rPr>
        <w:t> </w:t>
      </w:r>
      <w:r>
        <w:rPr/>
        <w:t>a</w:t>
      </w:r>
      <w:r>
        <w:rPr>
          <w:spacing w:val="-4"/>
        </w:rPr>
        <w:t> </w:t>
      </w:r>
      <w:r>
        <w:rPr/>
        <w:t>largo</w:t>
      </w:r>
      <w:r>
        <w:rPr>
          <w:spacing w:val="-1"/>
        </w:rPr>
        <w:t> </w:t>
      </w:r>
      <w:r>
        <w:rPr>
          <w:spacing w:val="-4"/>
        </w:rPr>
        <w:t>plazo</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91"/>
        <w:gridCol w:w="2544"/>
        <w:gridCol w:w="849"/>
        <w:gridCol w:w="1701"/>
        <w:gridCol w:w="1748"/>
        <w:gridCol w:w="1196"/>
      </w:tblGrid>
      <w:tr>
        <w:trPr>
          <w:trHeight w:val="323" w:hRule="atLeast"/>
        </w:trPr>
        <w:tc>
          <w:tcPr>
            <w:tcW w:w="991" w:type="dxa"/>
            <w:vMerge w:val="restart"/>
            <w:shd w:val="clear" w:color="auto" w:fill="365F92"/>
          </w:tcPr>
          <w:p>
            <w:pPr>
              <w:pStyle w:val="TableParagraph"/>
              <w:spacing w:before="195"/>
              <w:ind w:left="69"/>
              <w:rPr>
                <w:b/>
                <w:sz w:val="20"/>
              </w:rPr>
            </w:pPr>
            <w:r>
              <w:rPr>
                <w:b/>
                <w:color w:val="FFFFFF"/>
                <w:spacing w:val="-2"/>
                <w:sz w:val="20"/>
              </w:rPr>
              <w:t>Cuenta</w:t>
            </w:r>
          </w:p>
        </w:tc>
        <w:tc>
          <w:tcPr>
            <w:tcW w:w="2544" w:type="dxa"/>
            <w:vMerge w:val="restart"/>
            <w:shd w:val="clear" w:color="auto" w:fill="365F92"/>
          </w:tcPr>
          <w:p>
            <w:pPr>
              <w:pStyle w:val="TableParagraph"/>
              <w:spacing w:before="56"/>
              <w:rPr>
                <w:sz w:val="20"/>
              </w:rPr>
            </w:pPr>
          </w:p>
          <w:p>
            <w:pPr>
              <w:pStyle w:val="TableParagraph"/>
              <w:ind w:left="789"/>
              <w:rPr>
                <w:b/>
                <w:sz w:val="20"/>
              </w:rPr>
            </w:pPr>
            <w:r>
              <w:rPr>
                <w:b/>
                <w:color w:val="FFFFFF"/>
                <w:spacing w:val="-2"/>
                <w:sz w:val="20"/>
              </w:rPr>
              <w:t>Descripción</w:t>
            </w:r>
          </w:p>
        </w:tc>
        <w:tc>
          <w:tcPr>
            <w:tcW w:w="849" w:type="dxa"/>
            <w:vMerge w:val="restart"/>
            <w:shd w:val="clear" w:color="auto" w:fill="365F92"/>
          </w:tcPr>
          <w:p>
            <w:pPr>
              <w:pStyle w:val="TableParagraph"/>
              <w:spacing w:before="56"/>
              <w:rPr>
                <w:sz w:val="20"/>
              </w:rPr>
            </w:pPr>
          </w:p>
          <w:p>
            <w:pPr>
              <w:pStyle w:val="TableParagraph"/>
              <w:ind w:left="228"/>
              <w:rPr>
                <w:b/>
                <w:sz w:val="20"/>
              </w:rPr>
            </w:pPr>
            <w:r>
              <w:rPr>
                <w:b/>
                <w:color w:val="FFFFFF"/>
                <w:spacing w:val="-4"/>
                <w:sz w:val="20"/>
              </w:rPr>
              <w:t>Nota</w:t>
            </w:r>
          </w:p>
        </w:tc>
        <w:tc>
          <w:tcPr>
            <w:tcW w:w="1701" w:type="dxa"/>
            <w:vMerge w:val="restart"/>
            <w:shd w:val="clear" w:color="auto" w:fill="365F92"/>
          </w:tcPr>
          <w:p>
            <w:pPr>
              <w:pStyle w:val="TableParagraph"/>
              <w:spacing w:before="56"/>
              <w:rPr>
                <w:sz w:val="20"/>
              </w:rPr>
            </w:pPr>
          </w:p>
          <w:p>
            <w:pPr>
              <w:pStyle w:val="TableParagraph"/>
              <w:ind w:left="277"/>
              <w:rPr>
                <w:b/>
                <w:sz w:val="20"/>
              </w:rPr>
            </w:pPr>
            <w:r>
              <w:rPr>
                <w:b/>
                <w:color w:val="FFFFFF"/>
                <w:sz w:val="20"/>
              </w:rPr>
              <w:t>Periodo</w:t>
            </w:r>
            <w:r>
              <w:rPr>
                <w:b/>
                <w:color w:val="FFFFFF"/>
                <w:spacing w:val="-5"/>
                <w:sz w:val="20"/>
              </w:rPr>
              <w:t> </w:t>
            </w:r>
            <w:r>
              <w:rPr>
                <w:b/>
                <w:color w:val="FFFFFF"/>
                <w:spacing w:val="-2"/>
                <w:sz w:val="20"/>
              </w:rPr>
              <w:t>Actual</w:t>
            </w:r>
          </w:p>
        </w:tc>
        <w:tc>
          <w:tcPr>
            <w:tcW w:w="1748" w:type="dxa"/>
            <w:vMerge w:val="restart"/>
            <w:shd w:val="clear" w:color="auto" w:fill="365F92"/>
          </w:tcPr>
          <w:p>
            <w:pPr>
              <w:pStyle w:val="TableParagraph"/>
              <w:spacing w:before="56"/>
              <w:rPr>
                <w:sz w:val="20"/>
              </w:rPr>
            </w:pPr>
          </w:p>
          <w:p>
            <w:pPr>
              <w:pStyle w:val="TableParagraph"/>
              <w:ind w:left="218"/>
              <w:rPr>
                <w:b/>
                <w:sz w:val="20"/>
              </w:rPr>
            </w:pPr>
            <w:r>
              <w:rPr>
                <w:b/>
                <w:color w:val="FFFFFF"/>
                <w:sz w:val="20"/>
              </w:rPr>
              <w:t>Periodo</w:t>
            </w:r>
            <w:r>
              <w:rPr>
                <w:b/>
                <w:color w:val="FFFFFF"/>
                <w:spacing w:val="-5"/>
                <w:sz w:val="20"/>
              </w:rPr>
              <w:t> </w:t>
            </w:r>
            <w:r>
              <w:rPr>
                <w:b/>
                <w:color w:val="FFFFFF"/>
                <w:spacing w:val="-2"/>
                <w:sz w:val="20"/>
              </w:rPr>
              <w:t>Anterior</w:t>
            </w:r>
          </w:p>
        </w:tc>
        <w:tc>
          <w:tcPr>
            <w:tcW w:w="1196" w:type="dxa"/>
            <w:shd w:val="clear" w:color="auto" w:fill="365F92"/>
          </w:tcPr>
          <w:p>
            <w:pPr>
              <w:pStyle w:val="TableParagraph"/>
              <w:spacing w:before="46"/>
              <w:ind w:left="30" w:right="3"/>
              <w:jc w:val="center"/>
              <w:rPr>
                <w:b/>
                <w:sz w:val="20"/>
              </w:rPr>
            </w:pPr>
            <w:r>
              <w:rPr>
                <w:b/>
                <w:color w:val="FFFFFF"/>
                <w:spacing w:val="-2"/>
                <w:sz w:val="20"/>
              </w:rPr>
              <w:t>Diferencia</w:t>
            </w:r>
          </w:p>
        </w:tc>
      </w:tr>
      <w:tr>
        <w:trPr>
          <w:trHeight w:val="455" w:hRule="atLeast"/>
        </w:trPr>
        <w:tc>
          <w:tcPr>
            <w:tcW w:w="991" w:type="dxa"/>
            <w:vMerge/>
            <w:tcBorders>
              <w:top w:val="nil"/>
            </w:tcBorders>
            <w:shd w:val="clear" w:color="auto" w:fill="365F92"/>
          </w:tcPr>
          <w:p>
            <w:pPr>
              <w:rPr>
                <w:sz w:val="2"/>
                <w:szCs w:val="2"/>
              </w:rPr>
            </w:pPr>
          </w:p>
        </w:tc>
        <w:tc>
          <w:tcPr>
            <w:tcW w:w="2544" w:type="dxa"/>
            <w:vMerge/>
            <w:tcBorders>
              <w:top w:val="nil"/>
            </w:tcBorders>
            <w:shd w:val="clear" w:color="auto" w:fill="365F92"/>
          </w:tcPr>
          <w:p>
            <w:pPr>
              <w:rPr>
                <w:sz w:val="2"/>
                <w:szCs w:val="2"/>
              </w:rPr>
            </w:pPr>
          </w:p>
        </w:tc>
        <w:tc>
          <w:tcPr>
            <w:tcW w:w="849" w:type="dxa"/>
            <w:vMerge/>
            <w:tcBorders>
              <w:top w:val="nil"/>
            </w:tcBorders>
            <w:shd w:val="clear" w:color="auto" w:fill="365F92"/>
          </w:tcPr>
          <w:p>
            <w:pPr>
              <w:rPr>
                <w:sz w:val="2"/>
                <w:szCs w:val="2"/>
              </w:rPr>
            </w:pPr>
          </w:p>
        </w:tc>
        <w:tc>
          <w:tcPr>
            <w:tcW w:w="1701" w:type="dxa"/>
            <w:vMerge/>
            <w:tcBorders>
              <w:top w:val="nil"/>
            </w:tcBorders>
            <w:shd w:val="clear" w:color="auto" w:fill="365F92"/>
          </w:tcPr>
          <w:p>
            <w:pPr>
              <w:rPr>
                <w:sz w:val="2"/>
                <w:szCs w:val="2"/>
              </w:rPr>
            </w:pPr>
          </w:p>
        </w:tc>
        <w:tc>
          <w:tcPr>
            <w:tcW w:w="1748" w:type="dxa"/>
            <w:vMerge/>
            <w:tcBorders>
              <w:top w:val="nil"/>
            </w:tcBorders>
            <w:shd w:val="clear" w:color="auto" w:fill="365F92"/>
          </w:tcPr>
          <w:p>
            <w:pPr>
              <w:rPr>
                <w:sz w:val="2"/>
                <w:szCs w:val="2"/>
              </w:rPr>
            </w:pPr>
          </w:p>
        </w:tc>
        <w:tc>
          <w:tcPr>
            <w:tcW w:w="1196" w:type="dxa"/>
            <w:shd w:val="clear" w:color="auto" w:fill="365F92"/>
          </w:tcPr>
          <w:p>
            <w:pPr>
              <w:pStyle w:val="TableParagraph"/>
              <w:spacing w:before="113"/>
              <w:ind w:left="30" w:right="4"/>
              <w:jc w:val="center"/>
              <w:rPr>
                <w:sz w:val="20"/>
              </w:rPr>
            </w:pPr>
            <w:r>
              <w:rPr>
                <w:color w:val="FFFFFF"/>
                <w:spacing w:val="-10"/>
                <w:sz w:val="20"/>
              </w:rPr>
              <w:t>%</w:t>
            </w:r>
          </w:p>
        </w:tc>
      </w:tr>
      <w:tr>
        <w:trPr>
          <w:trHeight w:val="325" w:hRule="atLeast"/>
        </w:trPr>
        <w:tc>
          <w:tcPr>
            <w:tcW w:w="991" w:type="dxa"/>
          </w:tcPr>
          <w:p>
            <w:pPr>
              <w:pStyle w:val="TableParagraph"/>
              <w:spacing w:before="46"/>
              <w:ind w:left="69"/>
              <w:rPr>
                <w:b/>
                <w:sz w:val="20"/>
              </w:rPr>
            </w:pPr>
            <w:r>
              <w:rPr>
                <w:b/>
                <w:spacing w:val="-2"/>
                <w:sz w:val="20"/>
              </w:rPr>
              <w:t>2.2.9.</w:t>
            </w:r>
          </w:p>
        </w:tc>
        <w:tc>
          <w:tcPr>
            <w:tcW w:w="2544" w:type="dxa"/>
          </w:tcPr>
          <w:p>
            <w:pPr>
              <w:pStyle w:val="TableParagraph"/>
              <w:spacing w:before="46"/>
              <w:ind w:left="69"/>
              <w:rPr>
                <w:b/>
                <w:sz w:val="20"/>
              </w:rPr>
            </w:pPr>
            <w:r>
              <w:rPr>
                <w:b/>
                <w:sz w:val="20"/>
              </w:rPr>
              <w:t>Otros</w:t>
            </w:r>
            <w:r>
              <w:rPr>
                <w:b/>
                <w:spacing w:val="-5"/>
                <w:sz w:val="20"/>
              </w:rPr>
              <w:t> </w:t>
            </w:r>
            <w:r>
              <w:rPr>
                <w:b/>
                <w:sz w:val="20"/>
              </w:rPr>
              <w:t>pasivos</w:t>
            </w:r>
            <w:r>
              <w:rPr>
                <w:b/>
                <w:spacing w:val="-2"/>
                <w:sz w:val="20"/>
              </w:rPr>
              <w:t> </w:t>
            </w:r>
            <w:r>
              <w:rPr>
                <w:b/>
                <w:sz w:val="20"/>
              </w:rPr>
              <w:t>a</w:t>
            </w:r>
            <w:r>
              <w:rPr>
                <w:b/>
                <w:spacing w:val="-4"/>
                <w:sz w:val="20"/>
              </w:rPr>
              <w:t> </w:t>
            </w:r>
            <w:r>
              <w:rPr>
                <w:b/>
                <w:sz w:val="20"/>
              </w:rPr>
              <w:t>largo</w:t>
            </w:r>
            <w:r>
              <w:rPr>
                <w:b/>
                <w:spacing w:val="-4"/>
                <w:sz w:val="20"/>
              </w:rPr>
              <w:t> plazo</w:t>
            </w:r>
          </w:p>
        </w:tc>
        <w:tc>
          <w:tcPr>
            <w:tcW w:w="849" w:type="dxa"/>
          </w:tcPr>
          <w:p>
            <w:pPr>
              <w:pStyle w:val="TableParagraph"/>
              <w:spacing w:before="46"/>
              <w:ind w:left="22"/>
              <w:jc w:val="center"/>
              <w:rPr>
                <w:b/>
                <w:sz w:val="20"/>
              </w:rPr>
            </w:pPr>
            <w:r>
              <w:rPr>
                <w:b/>
                <w:spacing w:val="-5"/>
                <w:sz w:val="20"/>
              </w:rPr>
              <w:t>23</w:t>
            </w:r>
          </w:p>
        </w:tc>
        <w:tc>
          <w:tcPr>
            <w:tcW w:w="1701" w:type="dxa"/>
          </w:tcPr>
          <w:p>
            <w:pPr>
              <w:pStyle w:val="TableParagraph"/>
              <w:spacing w:before="46"/>
              <w:ind w:left="17"/>
              <w:jc w:val="center"/>
              <w:rPr>
                <w:b/>
                <w:sz w:val="20"/>
              </w:rPr>
            </w:pPr>
            <w:r>
              <w:rPr>
                <w:b/>
                <w:spacing w:val="-4"/>
                <w:sz w:val="20"/>
              </w:rPr>
              <w:t>0,00</w:t>
            </w:r>
          </w:p>
        </w:tc>
        <w:tc>
          <w:tcPr>
            <w:tcW w:w="1748" w:type="dxa"/>
          </w:tcPr>
          <w:p>
            <w:pPr>
              <w:pStyle w:val="TableParagraph"/>
              <w:spacing w:before="46"/>
              <w:ind w:left="73"/>
              <w:jc w:val="center"/>
              <w:rPr>
                <w:b/>
                <w:sz w:val="20"/>
              </w:rPr>
            </w:pPr>
            <w:r>
              <w:rPr>
                <w:b/>
                <w:spacing w:val="-4"/>
                <w:sz w:val="20"/>
              </w:rPr>
              <w:t>0,00</w:t>
            </w:r>
          </w:p>
        </w:tc>
        <w:tc>
          <w:tcPr>
            <w:tcW w:w="1196" w:type="dxa"/>
          </w:tcPr>
          <w:p>
            <w:pPr>
              <w:pStyle w:val="TableParagraph"/>
              <w:spacing w:before="46"/>
              <w:ind w:left="30"/>
              <w:jc w:val="center"/>
              <w:rPr>
                <w:b/>
                <w:sz w:val="20"/>
              </w:rPr>
            </w:pPr>
            <w:r>
              <w:rPr>
                <w:b/>
                <w:spacing w:val="-2"/>
                <w:sz w:val="20"/>
              </w:rPr>
              <w:t>0,00%</w:t>
            </w:r>
          </w:p>
        </w:tc>
      </w:tr>
    </w:tbl>
    <w:p>
      <w:pPr>
        <w:spacing w:before="239"/>
        <w:ind w:left="622" w:right="0" w:firstLine="0"/>
        <w:jc w:val="left"/>
        <w:rPr>
          <w:sz w:val="20"/>
        </w:rPr>
      </w:pPr>
      <w:r>
        <w:rPr>
          <w:sz w:val="20"/>
        </w:rPr>
        <w:t>Detalle</w:t>
      </w:r>
      <w:r>
        <w:rPr>
          <w:spacing w:val="-10"/>
          <w:sz w:val="20"/>
        </w:rPr>
        <w:t> </w:t>
      </w:r>
      <w:r>
        <w:rPr>
          <w:spacing w:val="-2"/>
          <w:sz w:val="20"/>
        </w:rPr>
        <w:t>cuenta:</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66"/>
        <w:gridCol w:w="2471"/>
        <w:gridCol w:w="851"/>
        <w:gridCol w:w="1703"/>
        <w:gridCol w:w="1856"/>
        <w:gridCol w:w="1096"/>
      </w:tblGrid>
      <w:tr>
        <w:trPr>
          <w:trHeight w:val="268" w:hRule="atLeast"/>
        </w:trPr>
        <w:tc>
          <w:tcPr>
            <w:tcW w:w="1066" w:type="dxa"/>
            <w:vMerge w:val="restart"/>
            <w:shd w:val="clear" w:color="auto" w:fill="365F92"/>
          </w:tcPr>
          <w:p>
            <w:pPr>
              <w:pStyle w:val="TableParagraph"/>
              <w:spacing w:before="75"/>
              <w:ind w:left="69"/>
              <w:rPr>
                <w:b/>
                <w:sz w:val="20"/>
              </w:rPr>
            </w:pPr>
            <w:r>
              <w:rPr>
                <w:b/>
                <w:color w:val="FFFFFF"/>
                <w:spacing w:val="-2"/>
                <w:sz w:val="20"/>
              </w:rPr>
              <w:t>Cuenta</w:t>
            </w:r>
          </w:p>
        </w:tc>
        <w:tc>
          <w:tcPr>
            <w:tcW w:w="2471" w:type="dxa"/>
            <w:vMerge w:val="restart"/>
            <w:shd w:val="clear" w:color="auto" w:fill="365F92"/>
          </w:tcPr>
          <w:p>
            <w:pPr>
              <w:pStyle w:val="TableParagraph"/>
              <w:spacing w:before="164"/>
              <w:ind w:left="750"/>
              <w:rPr>
                <w:b/>
                <w:sz w:val="20"/>
              </w:rPr>
            </w:pPr>
            <w:r>
              <w:rPr>
                <w:b/>
                <w:color w:val="FFFFFF"/>
                <w:spacing w:val="-2"/>
                <w:sz w:val="20"/>
              </w:rPr>
              <w:t>Descripción</w:t>
            </w:r>
          </w:p>
        </w:tc>
        <w:tc>
          <w:tcPr>
            <w:tcW w:w="851" w:type="dxa"/>
            <w:vMerge w:val="restart"/>
            <w:shd w:val="clear" w:color="auto" w:fill="365F92"/>
          </w:tcPr>
          <w:p>
            <w:pPr>
              <w:pStyle w:val="TableParagraph"/>
              <w:spacing w:before="164"/>
              <w:ind w:left="226"/>
              <w:rPr>
                <w:b/>
                <w:sz w:val="20"/>
              </w:rPr>
            </w:pPr>
            <w:r>
              <w:rPr>
                <w:b/>
                <w:color w:val="FFFFFF"/>
                <w:spacing w:val="-4"/>
                <w:sz w:val="20"/>
              </w:rPr>
              <w:t>Nota</w:t>
            </w:r>
          </w:p>
        </w:tc>
        <w:tc>
          <w:tcPr>
            <w:tcW w:w="1703" w:type="dxa"/>
            <w:vMerge w:val="restart"/>
            <w:shd w:val="clear" w:color="auto" w:fill="365F92"/>
          </w:tcPr>
          <w:p>
            <w:pPr>
              <w:pStyle w:val="TableParagraph"/>
              <w:spacing w:before="164"/>
              <w:ind w:left="273"/>
              <w:rPr>
                <w:b/>
                <w:sz w:val="20"/>
              </w:rPr>
            </w:pPr>
            <w:r>
              <w:rPr>
                <w:b/>
                <w:color w:val="FFFFFF"/>
                <w:sz w:val="20"/>
              </w:rPr>
              <w:t>Periodo</w:t>
            </w:r>
            <w:r>
              <w:rPr>
                <w:b/>
                <w:color w:val="FFFFFF"/>
                <w:spacing w:val="-5"/>
                <w:sz w:val="20"/>
              </w:rPr>
              <w:t> </w:t>
            </w:r>
            <w:r>
              <w:rPr>
                <w:b/>
                <w:color w:val="FFFFFF"/>
                <w:spacing w:val="-2"/>
                <w:sz w:val="20"/>
              </w:rPr>
              <w:t>Actual</w:t>
            </w:r>
          </w:p>
        </w:tc>
        <w:tc>
          <w:tcPr>
            <w:tcW w:w="1856" w:type="dxa"/>
            <w:vMerge w:val="restart"/>
            <w:shd w:val="clear" w:color="auto" w:fill="365F92"/>
          </w:tcPr>
          <w:p>
            <w:pPr>
              <w:pStyle w:val="TableParagraph"/>
              <w:spacing w:before="164"/>
              <w:ind w:left="265"/>
              <w:rPr>
                <w:b/>
                <w:sz w:val="20"/>
              </w:rPr>
            </w:pPr>
            <w:r>
              <w:rPr>
                <w:b/>
                <w:color w:val="FFFFFF"/>
                <w:sz w:val="20"/>
              </w:rPr>
              <w:t>Periodo</w:t>
            </w:r>
            <w:r>
              <w:rPr>
                <w:b/>
                <w:color w:val="FFFFFF"/>
                <w:spacing w:val="-5"/>
                <w:sz w:val="20"/>
              </w:rPr>
              <w:t> </w:t>
            </w:r>
            <w:r>
              <w:rPr>
                <w:b/>
                <w:color w:val="FFFFFF"/>
                <w:spacing w:val="-2"/>
                <w:sz w:val="20"/>
              </w:rPr>
              <w:t>Anterior</w:t>
            </w:r>
          </w:p>
        </w:tc>
        <w:tc>
          <w:tcPr>
            <w:tcW w:w="1096" w:type="dxa"/>
            <w:shd w:val="clear" w:color="auto" w:fill="365F92"/>
          </w:tcPr>
          <w:p>
            <w:pPr>
              <w:pStyle w:val="TableParagraph"/>
              <w:spacing w:line="228" w:lineRule="exact" w:before="20"/>
              <w:ind w:left="25" w:right="20"/>
              <w:jc w:val="center"/>
              <w:rPr>
                <w:b/>
                <w:sz w:val="20"/>
              </w:rPr>
            </w:pPr>
            <w:r>
              <w:rPr>
                <w:b/>
                <w:color w:val="FFFFFF"/>
                <w:spacing w:val="-2"/>
                <w:sz w:val="20"/>
              </w:rPr>
              <w:t>Diferencia</w:t>
            </w:r>
          </w:p>
        </w:tc>
      </w:tr>
      <w:tr>
        <w:trPr>
          <w:trHeight w:val="270" w:hRule="atLeast"/>
        </w:trPr>
        <w:tc>
          <w:tcPr>
            <w:tcW w:w="1066" w:type="dxa"/>
            <w:vMerge/>
            <w:tcBorders>
              <w:top w:val="nil"/>
            </w:tcBorders>
            <w:shd w:val="clear" w:color="auto" w:fill="365F92"/>
          </w:tcPr>
          <w:p>
            <w:pPr>
              <w:rPr>
                <w:sz w:val="2"/>
                <w:szCs w:val="2"/>
              </w:rPr>
            </w:pPr>
          </w:p>
        </w:tc>
        <w:tc>
          <w:tcPr>
            <w:tcW w:w="2471" w:type="dxa"/>
            <w:vMerge/>
            <w:tcBorders>
              <w:top w:val="nil"/>
            </w:tcBorders>
            <w:shd w:val="clear" w:color="auto" w:fill="365F92"/>
          </w:tcPr>
          <w:p>
            <w:pPr>
              <w:rPr>
                <w:sz w:val="2"/>
                <w:szCs w:val="2"/>
              </w:rPr>
            </w:pPr>
          </w:p>
        </w:tc>
        <w:tc>
          <w:tcPr>
            <w:tcW w:w="851" w:type="dxa"/>
            <w:vMerge/>
            <w:tcBorders>
              <w:top w:val="nil"/>
            </w:tcBorders>
            <w:shd w:val="clear" w:color="auto" w:fill="365F92"/>
          </w:tcPr>
          <w:p>
            <w:pPr>
              <w:rPr>
                <w:sz w:val="2"/>
                <w:szCs w:val="2"/>
              </w:rPr>
            </w:pPr>
          </w:p>
        </w:tc>
        <w:tc>
          <w:tcPr>
            <w:tcW w:w="1703" w:type="dxa"/>
            <w:vMerge/>
            <w:tcBorders>
              <w:top w:val="nil"/>
            </w:tcBorders>
            <w:shd w:val="clear" w:color="auto" w:fill="365F92"/>
          </w:tcPr>
          <w:p>
            <w:pPr>
              <w:rPr>
                <w:sz w:val="2"/>
                <w:szCs w:val="2"/>
              </w:rPr>
            </w:pPr>
          </w:p>
        </w:tc>
        <w:tc>
          <w:tcPr>
            <w:tcW w:w="1856" w:type="dxa"/>
            <w:vMerge/>
            <w:tcBorders>
              <w:top w:val="nil"/>
            </w:tcBorders>
            <w:shd w:val="clear" w:color="auto" w:fill="365F92"/>
          </w:tcPr>
          <w:p>
            <w:pPr>
              <w:rPr>
                <w:sz w:val="2"/>
                <w:szCs w:val="2"/>
              </w:rPr>
            </w:pPr>
          </w:p>
        </w:tc>
        <w:tc>
          <w:tcPr>
            <w:tcW w:w="1096" w:type="dxa"/>
            <w:shd w:val="clear" w:color="auto" w:fill="365F92"/>
          </w:tcPr>
          <w:p>
            <w:pPr>
              <w:pStyle w:val="TableParagraph"/>
              <w:spacing w:before="20"/>
              <w:ind w:left="25" w:right="21"/>
              <w:jc w:val="center"/>
              <w:rPr>
                <w:sz w:val="20"/>
              </w:rPr>
            </w:pPr>
            <w:r>
              <w:rPr>
                <w:color w:val="FFFFFF"/>
                <w:spacing w:val="-10"/>
                <w:sz w:val="20"/>
              </w:rPr>
              <w:t>%</w:t>
            </w:r>
          </w:p>
        </w:tc>
      </w:tr>
      <w:tr>
        <w:trPr>
          <w:trHeight w:val="455" w:hRule="atLeast"/>
        </w:trPr>
        <w:tc>
          <w:tcPr>
            <w:tcW w:w="1066" w:type="dxa"/>
          </w:tcPr>
          <w:p>
            <w:pPr>
              <w:pStyle w:val="TableParagraph"/>
              <w:spacing w:before="111"/>
              <w:ind w:left="69"/>
              <w:rPr>
                <w:b/>
                <w:sz w:val="20"/>
              </w:rPr>
            </w:pPr>
            <w:r>
              <w:rPr>
                <w:b/>
                <w:spacing w:val="-2"/>
                <w:sz w:val="20"/>
              </w:rPr>
              <w:t>2.2.9.01.</w:t>
            </w:r>
          </w:p>
        </w:tc>
        <w:tc>
          <w:tcPr>
            <w:tcW w:w="2471" w:type="dxa"/>
          </w:tcPr>
          <w:p>
            <w:pPr>
              <w:pStyle w:val="TableParagraph"/>
              <w:spacing w:line="227" w:lineRule="exact"/>
              <w:ind w:left="68"/>
              <w:rPr>
                <w:b/>
                <w:sz w:val="20"/>
              </w:rPr>
            </w:pPr>
            <w:r>
              <w:rPr>
                <w:b/>
                <w:sz w:val="20"/>
              </w:rPr>
              <w:t>Ingresos</w:t>
            </w:r>
            <w:r>
              <w:rPr>
                <w:b/>
                <w:spacing w:val="-4"/>
                <w:sz w:val="20"/>
              </w:rPr>
              <w:t> </w:t>
            </w:r>
            <w:r>
              <w:rPr>
                <w:b/>
                <w:sz w:val="20"/>
              </w:rPr>
              <w:t>a</w:t>
            </w:r>
            <w:r>
              <w:rPr>
                <w:b/>
                <w:spacing w:val="-3"/>
                <w:sz w:val="20"/>
              </w:rPr>
              <w:t> </w:t>
            </w:r>
            <w:r>
              <w:rPr>
                <w:b/>
                <w:sz w:val="20"/>
              </w:rPr>
              <w:t>devengar</w:t>
            </w:r>
            <w:r>
              <w:rPr>
                <w:b/>
                <w:spacing w:val="-3"/>
                <w:sz w:val="20"/>
              </w:rPr>
              <w:t> </w:t>
            </w:r>
            <w:r>
              <w:rPr>
                <w:b/>
                <w:sz w:val="20"/>
              </w:rPr>
              <w:t>a</w:t>
            </w:r>
            <w:r>
              <w:rPr>
                <w:b/>
                <w:spacing w:val="-3"/>
                <w:sz w:val="20"/>
              </w:rPr>
              <w:t> </w:t>
            </w:r>
            <w:r>
              <w:rPr>
                <w:b/>
                <w:spacing w:val="-4"/>
                <w:sz w:val="20"/>
              </w:rPr>
              <w:t>largo</w:t>
            </w:r>
          </w:p>
          <w:p>
            <w:pPr>
              <w:pStyle w:val="TableParagraph"/>
              <w:spacing w:line="209" w:lineRule="exact"/>
              <w:ind w:left="68"/>
              <w:rPr>
                <w:b/>
                <w:sz w:val="20"/>
              </w:rPr>
            </w:pPr>
            <w:r>
              <w:rPr>
                <w:b/>
                <w:spacing w:val="-2"/>
                <w:sz w:val="20"/>
              </w:rPr>
              <w:t>plazo</w:t>
            </w:r>
          </w:p>
        </w:tc>
        <w:tc>
          <w:tcPr>
            <w:tcW w:w="851" w:type="dxa"/>
          </w:tcPr>
          <w:p>
            <w:pPr>
              <w:pStyle w:val="TableParagraph"/>
              <w:spacing w:line="209" w:lineRule="exact" w:before="226"/>
              <w:ind w:left="16"/>
              <w:jc w:val="center"/>
              <w:rPr>
                <w:b/>
                <w:sz w:val="20"/>
              </w:rPr>
            </w:pPr>
            <w:r>
              <w:rPr>
                <w:b/>
                <w:spacing w:val="-5"/>
                <w:sz w:val="20"/>
              </w:rPr>
              <w:t>23</w:t>
            </w:r>
          </w:p>
        </w:tc>
        <w:tc>
          <w:tcPr>
            <w:tcW w:w="1703" w:type="dxa"/>
          </w:tcPr>
          <w:p>
            <w:pPr>
              <w:pStyle w:val="TableParagraph"/>
              <w:spacing w:before="111"/>
              <w:ind w:left="7"/>
              <w:jc w:val="center"/>
              <w:rPr>
                <w:b/>
                <w:sz w:val="20"/>
              </w:rPr>
            </w:pPr>
            <w:r>
              <w:rPr>
                <w:b/>
                <w:spacing w:val="-4"/>
                <w:sz w:val="20"/>
              </w:rPr>
              <w:t>0,00</w:t>
            </w:r>
          </w:p>
        </w:tc>
        <w:tc>
          <w:tcPr>
            <w:tcW w:w="1856" w:type="dxa"/>
          </w:tcPr>
          <w:p>
            <w:pPr>
              <w:pStyle w:val="TableParagraph"/>
              <w:spacing w:before="111"/>
              <w:ind w:left="59"/>
              <w:jc w:val="center"/>
              <w:rPr>
                <w:b/>
                <w:sz w:val="20"/>
              </w:rPr>
            </w:pPr>
            <w:r>
              <w:rPr>
                <w:b/>
                <w:spacing w:val="-4"/>
                <w:sz w:val="20"/>
              </w:rPr>
              <w:t>0,00</w:t>
            </w:r>
          </w:p>
        </w:tc>
        <w:tc>
          <w:tcPr>
            <w:tcW w:w="1096" w:type="dxa"/>
          </w:tcPr>
          <w:p>
            <w:pPr>
              <w:pStyle w:val="TableParagraph"/>
              <w:spacing w:before="111"/>
              <w:ind w:left="25" w:right="22"/>
              <w:jc w:val="center"/>
              <w:rPr>
                <w:b/>
                <w:sz w:val="20"/>
              </w:rPr>
            </w:pPr>
            <w:r>
              <w:rPr>
                <w:b/>
                <w:spacing w:val="-2"/>
                <w:sz w:val="20"/>
              </w:rPr>
              <w:t>0,00%</w:t>
            </w:r>
          </w:p>
        </w:tc>
      </w:tr>
    </w:tbl>
    <w:p>
      <w:pPr>
        <w:pStyle w:val="BodyText"/>
        <w:spacing w:before="12"/>
        <w:rPr>
          <w:sz w:val="20"/>
        </w:rPr>
      </w:pPr>
    </w:p>
    <w:p>
      <w:pPr>
        <w:pStyle w:val="Heading6"/>
        <w:ind w:left="622"/>
        <w:rPr>
          <w:b w:val="0"/>
        </w:rPr>
      </w:pPr>
      <w:r>
        <w:rPr>
          <w:spacing w:val="-2"/>
        </w:rPr>
        <w:t>Revelación</w:t>
      </w:r>
      <w:r>
        <w:rPr>
          <w:b w:val="0"/>
          <w:spacing w:val="-2"/>
        </w:rPr>
        <w:t>:</w:t>
      </w:r>
    </w:p>
    <w:p>
      <w:pPr>
        <w:pStyle w:val="BodyText"/>
        <w:spacing w:line="259" w:lineRule="auto" w:before="182"/>
        <w:ind w:left="622" w:right="977"/>
        <w:jc w:val="both"/>
      </w:pPr>
      <w:r>
        <w:rPr/>
        <w:t>La cuenta Otros pasivos a largo plazo, representa el 0,00% del total del Pasivo, que comparado 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6"/>
        </w:rPr>
        <w:t> </w:t>
      </w:r>
      <w:r>
        <w:rPr/>
        <w:t>0</w:t>
      </w:r>
      <w:r>
        <w:rPr>
          <w:spacing w:val="-5"/>
        </w:rPr>
        <w:t> </w:t>
      </w:r>
      <w:r>
        <w:rPr/>
        <w:t>000,00</w:t>
      </w:r>
      <w:r>
        <w:rPr>
          <w:spacing w:val="-5"/>
        </w:rPr>
        <w:t> </w:t>
      </w:r>
      <w:r>
        <w:rPr/>
        <w:t>que</w:t>
      </w:r>
      <w:r>
        <w:rPr>
          <w:spacing w:val="-6"/>
        </w:rPr>
        <w:t> </w:t>
      </w:r>
      <w:r>
        <w:rPr/>
        <w:t>corresponde</w:t>
      </w:r>
      <w:r>
        <w:rPr>
          <w:spacing w:val="-6"/>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spacing w:before="159"/>
        <w:ind w:left="677"/>
      </w:pPr>
      <w:r>
        <w:rPr/>
        <w:t>Al</w:t>
      </w:r>
      <w:r>
        <w:rPr>
          <w:spacing w:val="-3"/>
        </w:rPr>
        <w:t> </w:t>
      </w:r>
      <w:r>
        <w:rPr/>
        <w:t>31</w:t>
      </w:r>
      <w:r>
        <w:rPr>
          <w:spacing w:val="-3"/>
        </w:rPr>
        <w:t> </w:t>
      </w:r>
      <w:r>
        <w:rPr/>
        <w:t>de</w:t>
      </w:r>
      <w:r>
        <w:rPr>
          <w:spacing w:val="-3"/>
        </w:rPr>
        <w:t> </w:t>
      </w:r>
      <w:r>
        <w:rPr/>
        <w:t>julio</w:t>
      </w:r>
      <w:r>
        <w:rPr>
          <w:spacing w:val="-2"/>
        </w:rPr>
        <w:t> </w:t>
      </w:r>
      <w:r>
        <w:rPr/>
        <w:t>2026,</w:t>
      </w:r>
      <w:r>
        <w:rPr>
          <w:spacing w:val="-3"/>
        </w:rPr>
        <w:t> </w:t>
      </w:r>
      <w:r>
        <w:rPr/>
        <w:t>la</w:t>
      </w:r>
      <w:r>
        <w:rPr>
          <w:spacing w:val="-4"/>
        </w:rPr>
        <w:t> </w:t>
      </w:r>
      <w:r>
        <w:rPr/>
        <w:t>cuenta</w:t>
      </w:r>
      <w:r>
        <w:rPr>
          <w:spacing w:val="-3"/>
        </w:rPr>
        <w:t> </w:t>
      </w:r>
      <w:r>
        <w:rPr/>
        <w:t>no</w:t>
      </w:r>
      <w:r>
        <w:rPr>
          <w:spacing w:val="-2"/>
        </w:rPr>
        <w:t> </w:t>
      </w:r>
      <w:r>
        <w:rPr/>
        <w:t>presenta</w:t>
      </w:r>
      <w:r>
        <w:rPr>
          <w:spacing w:val="-3"/>
        </w:rPr>
        <w:t> </w:t>
      </w:r>
      <w:r>
        <w:rPr/>
        <w:t>ningún</w:t>
      </w:r>
      <w:r>
        <w:rPr>
          <w:spacing w:val="-2"/>
        </w:rPr>
        <w:t> movimiento.</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0000">
                <wp:simplePos x="0" y="0"/>
                <wp:positionH relativeFrom="page">
                  <wp:posOffset>9525</wp:posOffset>
                </wp:positionH>
                <wp:positionV relativeFrom="page">
                  <wp:posOffset>297208</wp:posOffset>
                </wp:positionV>
                <wp:extent cx="7762875" cy="9748520"/>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7762875" cy="9748520"/>
                          <a:chExt cx="7762875" cy="9748520"/>
                        </a:xfrm>
                      </wpg:grpSpPr>
                      <pic:pic>
                        <pic:nvPicPr>
                          <pic:cNvPr id="438" name="Image 438"/>
                          <pic:cNvPicPr/>
                        </pic:nvPicPr>
                        <pic:blipFill>
                          <a:blip r:embed="rId5" cstate="print"/>
                          <a:stretch>
                            <a:fillRect/>
                          </a:stretch>
                        </pic:blipFill>
                        <pic:spPr>
                          <a:xfrm>
                            <a:off x="0" y="0"/>
                            <a:ext cx="7762874" cy="9748489"/>
                          </a:xfrm>
                          <a:prstGeom prst="rect">
                            <a:avLst/>
                          </a:prstGeom>
                        </pic:spPr>
                      </pic:pic>
                      <wps:wsp>
                        <wps:cNvPr id="439" name="Graphic 43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6480" id="docshapegroup415" coordorigin="15,468" coordsize="12225,15352">
                <v:shape style="position:absolute;left:15;top:468;width:12225;height:15352" type="#_x0000_t75" id="docshape416" stroked="false">
                  <v:imagedata r:id="rId5" o:title=""/>
                </v:shape>
                <v:rect style="position:absolute;left:1673;top:2028;width:8897;height:15" id="docshape41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90</w:t>
      </w:r>
    </w:p>
    <w:p>
      <w:pPr>
        <w:pStyle w:val="ListParagraph"/>
        <w:numPr>
          <w:ilvl w:val="0"/>
          <w:numId w:val="39"/>
        </w:numPr>
        <w:tabs>
          <w:tab w:pos="838" w:val="left" w:leader="none"/>
        </w:tabs>
        <w:spacing w:line="240" w:lineRule="auto" w:before="218" w:after="0"/>
        <w:ind w:left="838" w:right="0" w:hanging="216"/>
        <w:jc w:val="left"/>
        <w:rPr>
          <w:b/>
          <w:sz w:val="22"/>
        </w:rPr>
      </w:pPr>
      <w:bookmarkStart w:name="_bookmark58" w:id="59"/>
      <w:bookmarkEnd w:id="59"/>
      <w:r>
        <w:rPr/>
      </w:r>
      <w:r>
        <w:rPr>
          <w:b/>
          <w:color w:val="1F3762"/>
          <w:spacing w:val="-2"/>
          <w:sz w:val="22"/>
        </w:rPr>
        <w:t>PATRIMONIO</w:t>
      </w:r>
    </w:p>
    <w:p>
      <w:pPr>
        <w:pStyle w:val="ListParagraph"/>
        <w:numPr>
          <w:ilvl w:val="1"/>
          <w:numId w:val="39"/>
        </w:numPr>
        <w:tabs>
          <w:tab w:pos="946" w:val="left" w:leader="none"/>
        </w:tabs>
        <w:spacing w:line="240" w:lineRule="auto" w:before="166" w:after="0"/>
        <w:ind w:left="946" w:right="0" w:hanging="324"/>
        <w:jc w:val="left"/>
        <w:rPr>
          <w:b/>
          <w:sz w:val="22"/>
        </w:rPr>
      </w:pPr>
      <w:bookmarkStart w:name="_bookmark59" w:id="60"/>
      <w:bookmarkEnd w:id="60"/>
      <w:r>
        <w:rPr/>
      </w:r>
      <w:r>
        <w:rPr>
          <w:b/>
          <w:color w:val="1F3762"/>
          <w:sz w:val="22"/>
        </w:rPr>
        <w:t>PATRIMONIO</w:t>
      </w:r>
      <w:r>
        <w:rPr>
          <w:b/>
          <w:color w:val="1F3762"/>
          <w:spacing w:val="-7"/>
          <w:sz w:val="22"/>
        </w:rPr>
        <w:t> </w:t>
      </w:r>
      <w:r>
        <w:rPr>
          <w:b/>
          <w:color w:val="1F3762"/>
          <w:spacing w:val="-2"/>
          <w:sz w:val="22"/>
        </w:rPr>
        <w:t>PUBLICO</w:t>
      </w:r>
    </w:p>
    <w:p>
      <w:pPr>
        <w:spacing w:before="167"/>
        <w:ind w:left="622" w:right="0" w:firstLine="0"/>
        <w:jc w:val="left"/>
        <w:rPr>
          <w:b/>
          <w:sz w:val="22"/>
        </w:rPr>
      </w:pPr>
      <w:bookmarkStart w:name="_bookmark60" w:id="61"/>
      <w:bookmarkEnd w:id="61"/>
      <w:r>
        <w:rPr/>
      </w:r>
      <w:r>
        <w:rPr>
          <w:b/>
          <w:sz w:val="22"/>
        </w:rPr>
        <w:t>NOTA</w:t>
      </w:r>
      <w:r>
        <w:rPr>
          <w:b/>
          <w:spacing w:val="-1"/>
          <w:sz w:val="22"/>
        </w:rPr>
        <w:t> </w:t>
      </w:r>
      <w:r>
        <w:rPr>
          <w:b/>
          <w:sz w:val="22"/>
        </w:rPr>
        <w:t>N° </w:t>
      </w:r>
      <w:r>
        <w:rPr>
          <w:b/>
          <w:spacing w:val="-5"/>
          <w:sz w:val="22"/>
        </w:rPr>
        <w:t>24</w:t>
      </w:r>
    </w:p>
    <w:p>
      <w:pPr>
        <w:pStyle w:val="BodyText"/>
        <w:spacing w:before="112"/>
        <w:rPr>
          <w:b/>
        </w:rPr>
      </w:pPr>
    </w:p>
    <w:p>
      <w:pPr>
        <w:pStyle w:val="BodyText"/>
        <w:spacing w:before="1"/>
        <w:ind w:left="622"/>
      </w:pPr>
      <w:r>
        <w:rPr>
          <w:spacing w:val="-2"/>
        </w:rPr>
        <w:t>Capital</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33"/>
        <w:gridCol w:w="1741"/>
        <w:gridCol w:w="644"/>
        <w:gridCol w:w="2161"/>
        <w:gridCol w:w="2161"/>
        <w:gridCol w:w="1198"/>
      </w:tblGrid>
      <w:tr>
        <w:trPr>
          <w:trHeight w:val="323" w:hRule="atLeast"/>
        </w:trPr>
        <w:tc>
          <w:tcPr>
            <w:tcW w:w="1133" w:type="dxa"/>
            <w:vMerge w:val="restart"/>
            <w:shd w:val="clear" w:color="auto" w:fill="365F92"/>
          </w:tcPr>
          <w:p>
            <w:pPr>
              <w:pStyle w:val="TableParagraph"/>
              <w:spacing w:before="117"/>
              <w:ind w:left="69"/>
              <w:rPr>
                <w:b/>
                <w:sz w:val="22"/>
              </w:rPr>
            </w:pPr>
            <w:r>
              <w:rPr>
                <w:b/>
                <w:color w:val="FFFFFF"/>
                <w:spacing w:val="-2"/>
                <w:sz w:val="22"/>
              </w:rPr>
              <w:t>Cuenta</w:t>
            </w:r>
          </w:p>
        </w:tc>
        <w:tc>
          <w:tcPr>
            <w:tcW w:w="1741" w:type="dxa"/>
            <w:vMerge w:val="restart"/>
            <w:shd w:val="clear" w:color="auto" w:fill="365F92"/>
          </w:tcPr>
          <w:p>
            <w:pPr>
              <w:pStyle w:val="TableParagraph"/>
              <w:spacing w:before="206"/>
              <w:ind w:left="337"/>
              <w:rPr>
                <w:b/>
                <w:sz w:val="22"/>
              </w:rPr>
            </w:pPr>
            <w:r>
              <w:rPr>
                <w:b/>
                <w:color w:val="FFFFFF"/>
                <w:spacing w:val="-2"/>
                <w:sz w:val="22"/>
              </w:rPr>
              <w:t>Descripción</w:t>
            </w:r>
          </w:p>
        </w:tc>
        <w:tc>
          <w:tcPr>
            <w:tcW w:w="644" w:type="dxa"/>
            <w:vMerge w:val="restart"/>
            <w:shd w:val="clear" w:color="auto" w:fill="365F92"/>
          </w:tcPr>
          <w:p>
            <w:pPr>
              <w:pStyle w:val="TableParagraph"/>
              <w:spacing w:before="206"/>
              <w:ind w:left="104"/>
              <w:rPr>
                <w:b/>
                <w:sz w:val="22"/>
              </w:rPr>
            </w:pPr>
            <w:r>
              <w:rPr>
                <w:b/>
                <w:color w:val="FFFFFF"/>
                <w:spacing w:val="-4"/>
                <w:sz w:val="22"/>
              </w:rPr>
              <w:t>Nota</w:t>
            </w:r>
          </w:p>
        </w:tc>
        <w:tc>
          <w:tcPr>
            <w:tcW w:w="2161" w:type="dxa"/>
            <w:vMerge w:val="restart"/>
            <w:shd w:val="clear" w:color="auto" w:fill="365F92"/>
          </w:tcPr>
          <w:p>
            <w:pPr>
              <w:pStyle w:val="TableParagraph"/>
              <w:spacing w:before="206"/>
              <w:ind w:left="447"/>
              <w:rPr>
                <w:b/>
                <w:sz w:val="22"/>
              </w:rPr>
            </w:pPr>
            <w:r>
              <w:rPr>
                <w:b/>
                <w:color w:val="FFFFFF"/>
                <w:sz w:val="22"/>
              </w:rPr>
              <w:t>Periodo</w:t>
            </w:r>
            <w:r>
              <w:rPr>
                <w:b/>
                <w:color w:val="FFFFFF"/>
                <w:spacing w:val="-4"/>
                <w:sz w:val="22"/>
              </w:rPr>
              <w:t> </w:t>
            </w:r>
            <w:r>
              <w:rPr>
                <w:b/>
                <w:color w:val="FFFFFF"/>
                <w:spacing w:val="-2"/>
                <w:sz w:val="22"/>
              </w:rPr>
              <w:t>Actual</w:t>
            </w:r>
          </w:p>
        </w:tc>
        <w:tc>
          <w:tcPr>
            <w:tcW w:w="2161" w:type="dxa"/>
            <w:vMerge w:val="restart"/>
            <w:shd w:val="clear" w:color="auto" w:fill="365F92"/>
          </w:tcPr>
          <w:p>
            <w:pPr>
              <w:pStyle w:val="TableParagraph"/>
              <w:spacing w:before="206"/>
              <w:ind w:left="353"/>
              <w:rPr>
                <w:b/>
                <w:sz w:val="22"/>
              </w:rPr>
            </w:pPr>
            <w:r>
              <w:rPr>
                <w:b/>
                <w:color w:val="FFFFFF"/>
                <w:sz w:val="22"/>
              </w:rPr>
              <w:t>Periodo</w:t>
            </w:r>
            <w:r>
              <w:rPr>
                <w:b/>
                <w:color w:val="FFFFFF"/>
                <w:spacing w:val="-4"/>
                <w:sz w:val="22"/>
              </w:rPr>
              <w:t> </w:t>
            </w:r>
            <w:r>
              <w:rPr>
                <w:b/>
                <w:color w:val="FFFFFF"/>
                <w:spacing w:val="-2"/>
                <w:sz w:val="22"/>
              </w:rPr>
              <w:t>Anterior</w:t>
            </w:r>
          </w:p>
        </w:tc>
        <w:tc>
          <w:tcPr>
            <w:tcW w:w="1198" w:type="dxa"/>
            <w:shd w:val="clear" w:color="auto" w:fill="365F92"/>
          </w:tcPr>
          <w:p>
            <w:pPr>
              <w:pStyle w:val="TableParagraph"/>
              <w:spacing w:before="36"/>
              <w:ind w:left="23" w:right="10"/>
              <w:jc w:val="center"/>
              <w:rPr>
                <w:b/>
                <w:sz w:val="22"/>
              </w:rPr>
            </w:pPr>
            <w:r>
              <w:rPr>
                <w:b/>
                <w:color w:val="FFFFFF"/>
                <w:spacing w:val="-2"/>
                <w:sz w:val="22"/>
              </w:rPr>
              <w:t>Diferencia</w:t>
            </w:r>
          </w:p>
        </w:tc>
      </w:tr>
      <w:tr>
        <w:trPr>
          <w:trHeight w:val="323" w:hRule="atLeast"/>
        </w:trPr>
        <w:tc>
          <w:tcPr>
            <w:tcW w:w="1133" w:type="dxa"/>
            <w:vMerge/>
            <w:tcBorders>
              <w:top w:val="nil"/>
            </w:tcBorders>
            <w:shd w:val="clear" w:color="auto" w:fill="365F92"/>
          </w:tcPr>
          <w:p>
            <w:pPr>
              <w:rPr>
                <w:sz w:val="2"/>
                <w:szCs w:val="2"/>
              </w:rPr>
            </w:pPr>
          </w:p>
        </w:tc>
        <w:tc>
          <w:tcPr>
            <w:tcW w:w="1741" w:type="dxa"/>
            <w:vMerge/>
            <w:tcBorders>
              <w:top w:val="nil"/>
            </w:tcBorders>
            <w:shd w:val="clear" w:color="auto" w:fill="365F92"/>
          </w:tcPr>
          <w:p>
            <w:pPr>
              <w:rPr>
                <w:sz w:val="2"/>
                <w:szCs w:val="2"/>
              </w:rPr>
            </w:pPr>
          </w:p>
        </w:tc>
        <w:tc>
          <w:tcPr>
            <w:tcW w:w="644"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11"/>
              <w:jc w:val="center"/>
              <w:rPr>
                <w:sz w:val="22"/>
              </w:rPr>
            </w:pPr>
            <w:r>
              <w:rPr>
                <w:color w:val="FFFFFF"/>
                <w:spacing w:val="-10"/>
                <w:sz w:val="22"/>
              </w:rPr>
              <w:t>%</w:t>
            </w:r>
          </w:p>
        </w:tc>
      </w:tr>
      <w:tr>
        <w:trPr>
          <w:trHeight w:val="326" w:hRule="atLeast"/>
        </w:trPr>
        <w:tc>
          <w:tcPr>
            <w:tcW w:w="1133" w:type="dxa"/>
          </w:tcPr>
          <w:p>
            <w:pPr>
              <w:pStyle w:val="TableParagraph"/>
              <w:spacing w:before="36"/>
              <w:ind w:left="69"/>
              <w:rPr>
                <w:b/>
                <w:sz w:val="22"/>
              </w:rPr>
            </w:pPr>
            <w:r>
              <w:rPr>
                <w:b/>
                <w:spacing w:val="-2"/>
                <w:sz w:val="22"/>
              </w:rPr>
              <w:t>3.1.1.</w:t>
            </w:r>
          </w:p>
        </w:tc>
        <w:tc>
          <w:tcPr>
            <w:tcW w:w="1741" w:type="dxa"/>
          </w:tcPr>
          <w:p>
            <w:pPr>
              <w:pStyle w:val="TableParagraph"/>
              <w:spacing w:before="36"/>
              <w:ind w:left="68"/>
              <w:rPr>
                <w:b/>
                <w:sz w:val="22"/>
              </w:rPr>
            </w:pPr>
            <w:r>
              <w:rPr>
                <w:b/>
                <w:spacing w:val="-2"/>
                <w:sz w:val="22"/>
              </w:rPr>
              <w:t>Capital</w:t>
            </w:r>
          </w:p>
        </w:tc>
        <w:tc>
          <w:tcPr>
            <w:tcW w:w="644" w:type="dxa"/>
          </w:tcPr>
          <w:p>
            <w:pPr>
              <w:pStyle w:val="TableParagraph"/>
              <w:spacing w:before="36"/>
              <w:ind w:left="212"/>
              <w:rPr>
                <w:b/>
                <w:sz w:val="22"/>
              </w:rPr>
            </w:pPr>
            <w:r>
              <w:rPr>
                <w:b/>
                <w:spacing w:val="-5"/>
                <w:sz w:val="22"/>
              </w:rPr>
              <w:t>24</w:t>
            </w:r>
          </w:p>
        </w:tc>
        <w:tc>
          <w:tcPr>
            <w:tcW w:w="2161" w:type="dxa"/>
          </w:tcPr>
          <w:p>
            <w:pPr>
              <w:pStyle w:val="TableParagraph"/>
              <w:spacing w:before="36"/>
              <w:ind w:left="509"/>
              <w:rPr>
                <w:b/>
                <w:sz w:val="22"/>
              </w:rPr>
            </w:pPr>
            <w:r>
              <w:rPr>
                <w:b/>
                <w:sz w:val="22"/>
              </w:rPr>
              <w:t>6</w:t>
            </w:r>
            <w:r>
              <w:rPr>
                <w:b/>
                <w:spacing w:val="-1"/>
                <w:sz w:val="22"/>
              </w:rPr>
              <w:t> </w:t>
            </w:r>
            <w:r>
              <w:rPr>
                <w:b/>
                <w:sz w:val="22"/>
              </w:rPr>
              <w:t>630 </w:t>
            </w:r>
            <w:r>
              <w:rPr>
                <w:b/>
                <w:spacing w:val="-2"/>
                <w:sz w:val="22"/>
              </w:rPr>
              <w:t>461,39</w:t>
            </w:r>
          </w:p>
        </w:tc>
        <w:tc>
          <w:tcPr>
            <w:tcW w:w="2161" w:type="dxa"/>
          </w:tcPr>
          <w:p>
            <w:pPr>
              <w:pStyle w:val="TableParagraph"/>
              <w:spacing w:before="36"/>
              <w:ind w:left="509"/>
              <w:rPr>
                <w:b/>
                <w:sz w:val="22"/>
              </w:rPr>
            </w:pPr>
            <w:r>
              <w:rPr>
                <w:b/>
                <w:sz w:val="22"/>
              </w:rPr>
              <w:t>6</w:t>
            </w:r>
            <w:r>
              <w:rPr>
                <w:b/>
                <w:spacing w:val="-1"/>
                <w:sz w:val="22"/>
              </w:rPr>
              <w:t> </w:t>
            </w:r>
            <w:r>
              <w:rPr>
                <w:b/>
                <w:sz w:val="22"/>
              </w:rPr>
              <w:t>630 </w:t>
            </w:r>
            <w:r>
              <w:rPr>
                <w:b/>
                <w:spacing w:val="-2"/>
                <w:sz w:val="22"/>
              </w:rPr>
              <w:t>461,39</w:t>
            </w:r>
          </w:p>
        </w:tc>
        <w:tc>
          <w:tcPr>
            <w:tcW w:w="1198" w:type="dxa"/>
          </w:tcPr>
          <w:p>
            <w:pPr>
              <w:pStyle w:val="TableParagraph"/>
              <w:spacing w:before="36"/>
              <w:ind w:left="23" w:right="9"/>
              <w:jc w:val="center"/>
              <w:rPr>
                <w:b/>
                <w:sz w:val="22"/>
              </w:rPr>
            </w:pPr>
            <w:r>
              <w:rPr>
                <w:b/>
                <w:spacing w:val="-2"/>
                <w:sz w:val="22"/>
              </w:rPr>
              <w:t>0,00%</w:t>
            </w:r>
          </w:p>
        </w:tc>
      </w:tr>
    </w:tbl>
    <w:p>
      <w:pPr>
        <w:pStyle w:val="Heading6"/>
        <w:ind w:left="677"/>
      </w:pPr>
      <w:r>
        <w:rPr>
          <w:spacing w:val="-2"/>
        </w:rPr>
        <w:t>Revelación:</w:t>
      </w:r>
    </w:p>
    <w:p>
      <w:pPr>
        <w:pStyle w:val="BodyText"/>
        <w:spacing w:before="159"/>
        <w:ind w:left="622" w:right="978"/>
        <w:jc w:val="both"/>
      </w:pPr>
      <w:r>
        <w:rPr/>
        <w:t>La cuenta Capital inicial, representa el 3,52 % del total de Patrimonio, que comparado al periodo anterior genera una variación absoluta de 0,00 que corresponde a un(a) Disminución o Aumento del 0 % de recursos disponibles, producto de que dicho capital no debe modificarse.</w:t>
      </w:r>
    </w:p>
    <w:p>
      <w:pPr>
        <w:spacing w:before="162"/>
        <w:ind w:left="622" w:right="0" w:firstLine="0"/>
        <w:jc w:val="left"/>
        <w:rPr>
          <w:b/>
          <w:sz w:val="22"/>
        </w:rPr>
      </w:pPr>
      <w:bookmarkStart w:name="_bookmark61" w:id="62"/>
      <w:bookmarkEnd w:id="62"/>
      <w:r>
        <w:rPr/>
      </w:r>
      <w:r>
        <w:rPr>
          <w:b/>
          <w:sz w:val="22"/>
        </w:rPr>
        <w:t>NOTA</w:t>
      </w:r>
      <w:r>
        <w:rPr>
          <w:b/>
          <w:spacing w:val="-1"/>
          <w:sz w:val="22"/>
        </w:rPr>
        <w:t> </w:t>
      </w:r>
      <w:r>
        <w:rPr>
          <w:b/>
          <w:sz w:val="22"/>
        </w:rPr>
        <w:t>N° </w:t>
      </w:r>
      <w:r>
        <w:rPr>
          <w:b/>
          <w:spacing w:val="-5"/>
          <w:sz w:val="22"/>
        </w:rPr>
        <w:t>25</w:t>
      </w:r>
    </w:p>
    <w:p>
      <w:pPr>
        <w:pStyle w:val="BodyText"/>
        <w:spacing w:before="112"/>
        <w:rPr>
          <w:b/>
        </w:rPr>
      </w:pPr>
    </w:p>
    <w:p>
      <w:pPr>
        <w:pStyle w:val="BodyText"/>
        <w:spacing w:before="1"/>
        <w:ind w:left="622"/>
        <w:jc w:val="both"/>
      </w:pPr>
      <w:r>
        <w:rPr/>
        <w:t>Transferencias</w:t>
      </w:r>
      <w:r>
        <w:rPr>
          <w:spacing w:val="-4"/>
        </w:rPr>
        <w:t> </w:t>
      </w:r>
      <w:r>
        <w:rPr/>
        <w:t>de</w:t>
      </w:r>
      <w:r>
        <w:rPr>
          <w:spacing w:val="-5"/>
        </w:rPr>
        <w:t> </w:t>
      </w:r>
      <w:r>
        <w:rPr>
          <w:spacing w:val="-2"/>
        </w:rPr>
        <w:t>capital</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2"/>
        <w:gridCol w:w="2497"/>
        <w:gridCol w:w="708"/>
        <w:gridCol w:w="1844"/>
        <w:gridCol w:w="1623"/>
        <w:gridCol w:w="1199"/>
      </w:tblGrid>
      <w:tr>
        <w:trPr>
          <w:trHeight w:val="323" w:hRule="atLeast"/>
        </w:trPr>
        <w:tc>
          <w:tcPr>
            <w:tcW w:w="1322" w:type="dxa"/>
            <w:vMerge w:val="restart"/>
            <w:shd w:val="clear" w:color="auto" w:fill="365F92"/>
          </w:tcPr>
          <w:p>
            <w:pPr>
              <w:pStyle w:val="TableParagraph"/>
              <w:spacing w:before="130"/>
              <w:ind w:left="69"/>
              <w:rPr>
                <w:b/>
                <w:sz w:val="20"/>
              </w:rPr>
            </w:pPr>
            <w:r>
              <w:rPr>
                <w:b/>
                <w:color w:val="FFFFFF"/>
                <w:spacing w:val="-2"/>
                <w:sz w:val="20"/>
              </w:rPr>
              <w:t>Cuenta</w:t>
            </w:r>
          </w:p>
        </w:tc>
        <w:tc>
          <w:tcPr>
            <w:tcW w:w="2497" w:type="dxa"/>
            <w:vMerge w:val="restart"/>
            <w:shd w:val="clear" w:color="auto" w:fill="365F92"/>
          </w:tcPr>
          <w:p>
            <w:pPr>
              <w:pStyle w:val="TableParagraph"/>
              <w:spacing w:before="219"/>
              <w:ind w:left="766"/>
              <w:rPr>
                <w:b/>
                <w:sz w:val="20"/>
              </w:rPr>
            </w:pPr>
            <w:r>
              <w:rPr>
                <w:b/>
                <w:color w:val="FFFFFF"/>
                <w:spacing w:val="-2"/>
                <w:sz w:val="20"/>
              </w:rPr>
              <w:t>Descripción</w:t>
            </w:r>
          </w:p>
        </w:tc>
        <w:tc>
          <w:tcPr>
            <w:tcW w:w="708" w:type="dxa"/>
            <w:vMerge w:val="restart"/>
            <w:shd w:val="clear" w:color="auto" w:fill="365F92"/>
          </w:tcPr>
          <w:p>
            <w:pPr>
              <w:pStyle w:val="TableParagraph"/>
              <w:spacing w:before="219"/>
              <w:ind w:left="158"/>
              <w:rPr>
                <w:b/>
                <w:sz w:val="20"/>
              </w:rPr>
            </w:pPr>
            <w:r>
              <w:rPr>
                <w:b/>
                <w:color w:val="FFFFFF"/>
                <w:spacing w:val="-4"/>
                <w:sz w:val="20"/>
              </w:rPr>
              <w:t>Nota</w:t>
            </w:r>
          </w:p>
        </w:tc>
        <w:tc>
          <w:tcPr>
            <w:tcW w:w="1844" w:type="dxa"/>
            <w:vMerge w:val="restart"/>
            <w:shd w:val="clear" w:color="auto" w:fill="365F92"/>
          </w:tcPr>
          <w:p>
            <w:pPr>
              <w:pStyle w:val="TableParagraph"/>
              <w:spacing w:before="219"/>
              <w:ind w:left="347"/>
              <w:rPr>
                <w:b/>
                <w:sz w:val="20"/>
              </w:rPr>
            </w:pPr>
            <w:r>
              <w:rPr>
                <w:b/>
                <w:color w:val="FFFFFF"/>
                <w:sz w:val="20"/>
              </w:rPr>
              <w:t>Periodo</w:t>
            </w:r>
            <w:r>
              <w:rPr>
                <w:b/>
                <w:color w:val="FFFFFF"/>
                <w:spacing w:val="-5"/>
                <w:sz w:val="20"/>
              </w:rPr>
              <w:t> </w:t>
            </w:r>
            <w:r>
              <w:rPr>
                <w:b/>
                <w:color w:val="FFFFFF"/>
                <w:spacing w:val="-2"/>
                <w:sz w:val="20"/>
              </w:rPr>
              <w:t>Actual</w:t>
            </w:r>
          </w:p>
        </w:tc>
        <w:tc>
          <w:tcPr>
            <w:tcW w:w="1623" w:type="dxa"/>
            <w:vMerge w:val="restart"/>
            <w:shd w:val="clear" w:color="auto" w:fill="365F92"/>
          </w:tcPr>
          <w:p>
            <w:pPr>
              <w:pStyle w:val="TableParagraph"/>
              <w:spacing w:before="219"/>
              <w:ind w:left="153"/>
              <w:rPr>
                <w:b/>
                <w:sz w:val="20"/>
              </w:rPr>
            </w:pPr>
            <w:r>
              <w:rPr>
                <w:b/>
                <w:color w:val="FFFFFF"/>
                <w:sz w:val="20"/>
              </w:rPr>
              <w:t>Periodo</w:t>
            </w:r>
            <w:r>
              <w:rPr>
                <w:b/>
                <w:color w:val="FFFFFF"/>
                <w:spacing w:val="-5"/>
                <w:sz w:val="20"/>
              </w:rPr>
              <w:t> </w:t>
            </w:r>
            <w:r>
              <w:rPr>
                <w:b/>
                <w:color w:val="FFFFFF"/>
                <w:spacing w:val="-2"/>
                <w:sz w:val="20"/>
              </w:rPr>
              <w:t>Anterior</w:t>
            </w:r>
          </w:p>
        </w:tc>
        <w:tc>
          <w:tcPr>
            <w:tcW w:w="1199" w:type="dxa"/>
            <w:shd w:val="clear" w:color="auto" w:fill="365F92"/>
          </w:tcPr>
          <w:p>
            <w:pPr>
              <w:pStyle w:val="TableParagraph"/>
              <w:spacing w:before="46"/>
              <w:ind w:left="29" w:right="15"/>
              <w:jc w:val="center"/>
              <w:rPr>
                <w:b/>
                <w:sz w:val="20"/>
              </w:rPr>
            </w:pPr>
            <w:r>
              <w:rPr>
                <w:b/>
                <w:color w:val="FFFFFF"/>
                <w:spacing w:val="-2"/>
                <w:sz w:val="20"/>
              </w:rPr>
              <w:t>Diferencia</w:t>
            </w:r>
          </w:p>
        </w:tc>
      </w:tr>
      <w:tr>
        <w:trPr>
          <w:trHeight w:val="325" w:hRule="atLeast"/>
        </w:trPr>
        <w:tc>
          <w:tcPr>
            <w:tcW w:w="1322" w:type="dxa"/>
            <w:vMerge/>
            <w:tcBorders>
              <w:top w:val="nil"/>
            </w:tcBorders>
            <w:shd w:val="clear" w:color="auto" w:fill="365F92"/>
          </w:tcPr>
          <w:p>
            <w:pPr>
              <w:rPr>
                <w:sz w:val="2"/>
                <w:szCs w:val="2"/>
              </w:rPr>
            </w:pPr>
          </w:p>
        </w:tc>
        <w:tc>
          <w:tcPr>
            <w:tcW w:w="2497"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623" w:type="dxa"/>
            <w:vMerge/>
            <w:tcBorders>
              <w:top w:val="nil"/>
            </w:tcBorders>
            <w:shd w:val="clear" w:color="auto" w:fill="365F92"/>
          </w:tcPr>
          <w:p>
            <w:pPr>
              <w:rPr>
                <w:sz w:val="2"/>
                <w:szCs w:val="2"/>
              </w:rPr>
            </w:pPr>
          </w:p>
        </w:tc>
        <w:tc>
          <w:tcPr>
            <w:tcW w:w="1199" w:type="dxa"/>
            <w:shd w:val="clear" w:color="auto" w:fill="365F92"/>
          </w:tcPr>
          <w:p>
            <w:pPr>
              <w:pStyle w:val="TableParagraph"/>
              <w:spacing w:before="46"/>
              <w:ind w:left="29" w:right="16"/>
              <w:jc w:val="center"/>
              <w:rPr>
                <w:sz w:val="20"/>
              </w:rPr>
            </w:pPr>
            <w:r>
              <w:rPr>
                <w:color w:val="FFFFFF"/>
                <w:spacing w:val="-10"/>
                <w:sz w:val="20"/>
              </w:rPr>
              <w:t>%</w:t>
            </w:r>
          </w:p>
        </w:tc>
      </w:tr>
      <w:tr>
        <w:trPr>
          <w:trHeight w:val="323" w:hRule="atLeast"/>
        </w:trPr>
        <w:tc>
          <w:tcPr>
            <w:tcW w:w="1322" w:type="dxa"/>
          </w:tcPr>
          <w:p>
            <w:pPr>
              <w:pStyle w:val="TableParagraph"/>
              <w:spacing w:before="47"/>
              <w:ind w:left="69"/>
              <w:rPr>
                <w:b/>
                <w:sz w:val="20"/>
              </w:rPr>
            </w:pPr>
            <w:r>
              <w:rPr>
                <w:b/>
                <w:spacing w:val="-2"/>
                <w:sz w:val="20"/>
              </w:rPr>
              <w:t>3.1.2.</w:t>
            </w:r>
          </w:p>
        </w:tc>
        <w:tc>
          <w:tcPr>
            <w:tcW w:w="2497" w:type="dxa"/>
          </w:tcPr>
          <w:p>
            <w:pPr>
              <w:pStyle w:val="TableParagraph"/>
              <w:spacing w:before="47"/>
              <w:ind w:left="69"/>
              <w:rPr>
                <w:b/>
                <w:sz w:val="20"/>
              </w:rPr>
            </w:pPr>
            <w:r>
              <w:rPr>
                <w:b/>
                <w:sz w:val="20"/>
              </w:rPr>
              <w:t>Transferencias</w:t>
            </w:r>
            <w:r>
              <w:rPr>
                <w:b/>
                <w:spacing w:val="-6"/>
                <w:sz w:val="20"/>
              </w:rPr>
              <w:t> </w:t>
            </w:r>
            <w:r>
              <w:rPr>
                <w:b/>
                <w:sz w:val="20"/>
              </w:rPr>
              <w:t>de</w:t>
            </w:r>
            <w:r>
              <w:rPr>
                <w:b/>
                <w:spacing w:val="-6"/>
                <w:sz w:val="20"/>
              </w:rPr>
              <w:t> </w:t>
            </w:r>
            <w:r>
              <w:rPr>
                <w:b/>
                <w:spacing w:val="-2"/>
                <w:sz w:val="20"/>
              </w:rPr>
              <w:t>capital</w:t>
            </w:r>
          </w:p>
        </w:tc>
        <w:tc>
          <w:tcPr>
            <w:tcW w:w="708" w:type="dxa"/>
          </w:tcPr>
          <w:p>
            <w:pPr>
              <w:pStyle w:val="TableParagraph"/>
              <w:spacing w:before="47"/>
              <w:ind w:left="18" w:right="1"/>
              <w:jc w:val="center"/>
              <w:rPr>
                <w:b/>
                <w:sz w:val="20"/>
              </w:rPr>
            </w:pPr>
            <w:r>
              <w:rPr>
                <w:b/>
                <w:spacing w:val="-5"/>
                <w:sz w:val="20"/>
              </w:rPr>
              <w:t>25</w:t>
            </w:r>
          </w:p>
        </w:tc>
        <w:tc>
          <w:tcPr>
            <w:tcW w:w="1844" w:type="dxa"/>
          </w:tcPr>
          <w:p>
            <w:pPr>
              <w:pStyle w:val="TableParagraph"/>
              <w:spacing w:before="47"/>
              <w:ind w:left="69" w:right="54"/>
              <w:jc w:val="center"/>
              <w:rPr>
                <w:b/>
                <w:sz w:val="20"/>
              </w:rPr>
            </w:pPr>
            <w:r>
              <w:rPr>
                <w:b/>
                <w:spacing w:val="-4"/>
                <w:sz w:val="20"/>
              </w:rPr>
              <w:t>0,00</w:t>
            </w:r>
          </w:p>
        </w:tc>
        <w:tc>
          <w:tcPr>
            <w:tcW w:w="1623" w:type="dxa"/>
          </w:tcPr>
          <w:p>
            <w:pPr>
              <w:pStyle w:val="TableParagraph"/>
              <w:spacing w:before="47"/>
              <w:ind w:left="68"/>
              <w:jc w:val="center"/>
              <w:rPr>
                <w:b/>
                <w:sz w:val="20"/>
              </w:rPr>
            </w:pPr>
            <w:r>
              <w:rPr>
                <w:b/>
                <w:spacing w:val="-4"/>
                <w:sz w:val="20"/>
              </w:rPr>
              <w:t>0,00</w:t>
            </w:r>
          </w:p>
        </w:tc>
        <w:tc>
          <w:tcPr>
            <w:tcW w:w="1199" w:type="dxa"/>
          </w:tcPr>
          <w:p>
            <w:pPr>
              <w:pStyle w:val="TableParagraph"/>
              <w:spacing w:before="47"/>
              <w:ind w:left="29" w:right="11"/>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before="9"/>
      </w:pPr>
    </w:p>
    <w:p>
      <w:pPr>
        <w:pStyle w:val="BodyText"/>
        <w:ind w:left="622"/>
        <w:jc w:val="both"/>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p>
      <w:pPr>
        <w:pStyle w:val="BodyText"/>
      </w:pPr>
    </w:p>
    <w:p>
      <w:pPr>
        <w:pStyle w:val="BodyText"/>
        <w:spacing w:before="109"/>
      </w:pPr>
    </w:p>
    <w:p>
      <w:pPr>
        <w:spacing w:before="0"/>
        <w:ind w:left="622" w:right="0" w:firstLine="0"/>
        <w:jc w:val="left"/>
        <w:rPr>
          <w:b/>
          <w:sz w:val="22"/>
        </w:rPr>
      </w:pPr>
      <w:bookmarkStart w:name="_bookmark62" w:id="63"/>
      <w:bookmarkEnd w:id="63"/>
      <w:r>
        <w:rPr/>
      </w:r>
      <w:r>
        <w:rPr>
          <w:b/>
          <w:sz w:val="22"/>
        </w:rPr>
        <w:t>NOTA</w:t>
      </w:r>
      <w:r>
        <w:rPr>
          <w:b/>
          <w:spacing w:val="-1"/>
          <w:sz w:val="22"/>
        </w:rPr>
        <w:t> </w:t>
      </w:r>
      <w:r>
        <w:rPr>
          <w:b/>
          <w:sz w:val="22"/>
        </w:rPr>
        <w:t>N° </w:t>
      </w:r>
      <w:r>
        <w:rPr>
          <w:b/>
          <w:spacing w:val="-5"/>
          <w:sz w:val="22"/>
        </w:rPr>
        <w:t>26</w:t>
      </w:r>
    </w:p>
    <w:p>
      <w:pPr>
        <w:pStyle w:val="BodyText"/>
        <w:spacing w:before="115"/>
        <w:rPr>
          <w:b/>
        </w:rPr>
      </w:pPr>
    </w:p>
    <w:p>
      <w:pPr>
        <w:pStyle w:val="BodyText"/>
        <w:ind w:left="622"/>
      </w:pPr>
      <w:r>
        <w:rPr>
          <w:spacing w:val="-2"/>
        </w:rPr>
        <w:t>Reservas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54"/>
        <w:gridCol w:w="1520"/>
        <w:gridCol w:w="643"/>
        <w:gridCol w:w="2854"/>
        <w:gridCol w:w="1466"/>
        <w:gridCol w:w="1198"/>
      </w:tblGrid>
      <w:tr>
        <w:trPr>
          <w:trHeight w:val="325" w:hRule="atLeast"/>
        </w:trPr>
        <w:tc>
          <w:tcPr>
            <w:tcW w:w="1354" w:type="dxa"/>
            <w:vMerge w:val="restart"/>
            <w:shd w:val="clear" w:color="auto" w:fill="365F92"/>
          </w:tcPr>
          <w:p>
            <w:pPr>
              <w:pStyle w:val="TableParagraph"/>
              <w:spacing w:before="130"/>
              <w:ind w:left="69"/>
              <w:rPr>
                <w:b/>
                <w:sz w:val="20"/>
              </w:rPr>
            </w:pPr>
            <w:r>
              <w:rPr>
                <w:b/>
                <w:color w:val="FFFFFF"/>
                <w:spacing w:val="-2"/>
                <w:sz w:val="20"/>
              </w:rPr>
              <w:t>Cuenta</w:t>
            </w:r>
          </w:p>
        </w:tc>
        <w:tc>
          <w:tcPr>
            <w:tcW w:w="1520" w:type="dxa"/>
            <w:vMerge w:val="restart"/>
            <w:shd w:val="clear" w:color="auto" w:fill="365F92"/>
          </w:tcPr>
          <w:p>
            <w:pPr>
              <w:pStyle w:val="TableParagraph"/>
              <w:spacing w:before="220"/>
              <w:ind w:left="275"/>
              <w:rPr>
                <w:b/>
                <w:sz w:val="20"/>
              </w:rPr>
            </w:pPr>
            <w:r>
              <w:rPr>
                <w:b/>
                <w:color w:val="FFFFFF"/>
                <w:spacing w:val="-2"/>
                <w:sz w:val="20"/>
              </w:rPr>
              <w:t>Descripción</w:t>
            </w:r>
          </w:p>
        </w:tc>
        <w:tc>
          <w:tcPr>
            <w:tcW w:w="643" w:type="dxa"/>
            <w:vMerge w:val="restart"/>
            <w:shd w:val="clear" w:color="auto" w:fill="365F92"/>
          </w:tcPr>
          <w:p>
            <w:pPr>
              <w:pStyle w:val="TableParagraph"/>
              <w:spacing w:before="220"/>
              <w:ind w:left="123"/>
              <w:rPr>
                <w:b/>
                <w:sz w:val="20"/>
              </w:rPr>
            </w:pPr>
            <w:r>
              <w:rPr>
                <w:b/>
                <w:color w:val="FFFFFF"/>
                <w:spacing w:val="-4"/>
                <w:sz w:val="20"/>
              </w:rPr>
              <w:t>Nota</w:t>
            </w:r>
          </w:p>
        </w:tc>
        <w:tc>
          <w:tcPr>
            <w:tcW w:w="2854" w:type="dxa"/>
            <w:vMerge w:val="restart"/>
            <w:shd w:val="clear" w:color="auto" w:fill="365F92"/>
          </w:tcPr>
          <w:p>
            <w:pPr>
              <w:pStyle w:val="TableParagraph"/>
              <w:spacing w:before="220"/>
              <w:ind w:left="851"/>
              <w:rPr>
                <w:b/>
                <w:sz w:val="20"/>
              </w:rPr>
            </w:pPr>
            <w:r>
              <w:rPr>
                <w:b/>
                <w:color w:val="FFFFFF"/>
                <w:sz w:val="20"/>
              </w:rPr>
              <w:t>Periodo</w:t>
            </w:r>
            <w:r>
              <w:rPr>
                <w:b/>
                <w:color w:val="FFFFFF"/>
                <w:spacing w:val="-5"/>
                <w:sz w:val="20"/>
              </w:rPr>
              <w:t> </w:t>
            </w:r>
            <w:r>
              <w:rPr>
                <w:b/>
                <w:color w:val="FFFFFF"/>
                <w:spacing w:val="-2"/>
                <w:sz w:val="20"/>
              </w:rPr>
              <w:t>Actual</w:t>
            </w:r>
          </w:p>
        </w:tc>
        <w:tc>
          <w:tcPr>
            <w:tcW w:w="1466" w:type="dxa"/>
            <w:vMerge w:val="restart"/>
            <w:shd w:val="clear" w:color="auto" w:fill="365F92"/>
          </w:tcPr>
          <w:p>
            <w:pPr>
              <w:pStyle w:val="TableParagraph"/>
              <w:spacing w:before="106"/>
              <w:ind w:left="393" w:right="366" w:firstLine="45"/>
              <w:rPr>
                <w:b/>
                <w:sz w:val="20"/>
              </w:rPr>
            </w:pPr>
            <w:r>
              <w:rPr>
                <w:b/>
                <w:color w:val="FFFFFF"/>
                <w:spacing w:val="-2"/>
                <w:sz w:val="20"/>
              </w:rPr>
              <w:t>Periodo Anterior</w:t>
            </w:r>
          </w:p>
        </w:tc>
        <w:tc>
          <w:tcPr>
            <w:tcW w:w="1198" w:type="dxa"/>
            <w:shd w:val="clear" w:color="auto" w:fill="365F92"/>
          </w:tcPr>
          <w:p>
            <w:pPr>
              <w:pStyle w:val="TableParagraph"/>
              <w:spacing w:before="49"/>
              <w:ind w:left="23" w:right="6"/>
              <w:jc w:val="center"/>
              <w:rPr>
                <w:b/>
                <w:sz w:val="20"/>
              </w:rPr>
            </w:pPr>
            <w:r>
              <w:rPr>
                <w:b/>
                <w:color w:val="FFFFFF"/>
                <w:spacing w:val="-2"/>
                <w:sz w:val="20"/>
              </w:rPr>
              <w:t>Diferencia</w:t>
            </w:r>
          </w:p>
        </w:tc>
      </w:tr>
      <w:tr>
        <w:trPr>
          <w:trHeight w:val="323" w:hRule="atLeast"/>
        </w:trPr>
        <w:tc>
          <w:tcPr>
            <w:tcW w:w="1354" w:type="dxa"/>
            <w:vMerge/>
            <w:tcBorders>
              <w:top w:val="nil"/>
            </w:tcBorders>
            <w:shd w:val="clear" w:color="auto" w:fill="365F92"/>
          </w:tcPr>
          <w:p>
            <w:pPr>
              <w:rPr>
                <w:sz w:val="2"/>
                <w:szCs w:val="2"/>
              </w:rPr>
            </w:pPr>
          </w:p>
        </w:tc>
        <w:tc>
          <w:tcPr>
            <w:tcW w:w="1520"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2854" w:type="dxa"/>
            <w:vMerge/>
            <w:tcBorders>
              <w:top w:val="nil"/>
            </w:tcBorders>
            <w:shd w:val="clear" w:color="auto" w:fill="365F92"/>
          </w:tcPr>
          <w:p>
            <w:pPr>
              <w:rPr>
                <w:sz w:val="2"/>
                <w:szCs w:val="2"/>
              </w:rPr>
            </w:pPr>
          </w:p>
        </w:tc>
        <w:tc>
          <w:tcPr>
            <w:tcW w:w="1466" w:type="dxa"/>
            <w:vMerge/>
            <w:tcBorders>
              <w:top w:val="nil"/>
            </w:tcBorders>
            <w:shd w:val="clear" w:color="auto" w:fill="365F92"/>
          </w:tcPr>
          <w:p>
            <w:pPr>
              <w:rPr>
                <w:sz w:val="2"/>
                <w:szCs w:val="2"/>
              </w:rPr>
            </w:pPr>
          </w:p>
        </w:tc>
        <w:tc>
          <w:tcPr>
            <w:tcW w:w="1198" w:type="dxa"/>
            <w:shd w:val="clear" w:color="auto" w:fill="365F92"/>
          </w:tcPr>
          <w:p>
            <w:pPr>
              <w:pStyle w:val="TableParagraph"/>
              <w:spacing w:before="47"/>
              <w:ind w:left="23" w:right="7"/>
              <w:jc w:val="center"/>
              <w:rPr>
                <w:sz w:val="20"/>
              </w:rPr>
            </w:pPr>
            <w:r>
              <w:rPr>
                <w:color w:val="FFFFFF"/>
                <w:spacing w:val="-10"/>
                <w:sz w:val="20"/>
              </w:rPr>
              <w:t>%</w:t>
            </w:r>
          </w:p>
        </w:tc>
      </w:tr>
      <w:tr>
        <w:trPr>
          <w:trHeight w:val="325" w:hRule="atLeast"/>
        </w:trPr>
        <w:tc>
          <w:tcPr>
            <w:tcW w:w="1354" w:type="dxa"/>
          </w:tcPr>
          <w:p>
            <w:pPr>
              <w:pStyle w:val="TableParagraph"/>
              <w:spacing w:before="46"/>
              <w:ind w:left="69"/>
              <w:rPr>
                <w:b/>
                <w:sz w:val="20"/>
              </w:rPr>
            </w:pPr>
            <w:r>
              <w:rPr>
                <w:b/>
                <w:spacing w:val="-2"/>
                <w:sz w:val="20"/>
              </w:rPr>
              <w:t>3.1.3.</w:t>
            </w:r>
          </w:p>
        </w:tc>
        <w:tc>
          <w:tcPr>
            <w:tcW w:w="1520" w:type="dxa"/>
          </w:tcPr>
          <w:p>
            <w:pPr>
              <w:pStyle w:val="TableParagraph"/>
              <w:spacing w:before="46"/>
              <w:ind w:left="66"/>
              <w:rPr>
                <w:b/>
                <w:sz w:val="20"/>
              </w:rPr>
            </w:pPr>
            <w:r>
              <w:rPr>
                <w:b/>
                <w:spacing w:val="-2"/>
                <w:sz w:val="20"/>
              </w:rPr>
              <w:t>Reservas</w:t>
            </w:r>
          </w:p>
        </w:tc>
        <w:tc>
          <w:tcPr>
            <w:tcW w:w="643" w:type="dxa"/>
          </w:tcPr>
          <w:p>
            <w:pPr>
              <w:pStyle w:val="TableParagraph"/>
              <w:spacing w:before="46"/>
              <w:ind w:left="222"/>
              <w:rPr>
                <w:b/>
                <w:sz w:val="20"/>
              </w:rPr>
            </w:pPr>
            <w:r>
              <w:rPr>
                <w:b/>
                <w:spacing w:val="-5"/>
                <w:sz w:val="20"/>
              </w:rPr>
              <w:t>26</w:t>
            </w:r>
          </w:p>
        </w:tc>
        <w:tc>
          <w:tcPr>
            <w:tcW w:w="2854" w:type="dxa"/>
          </w:tcPr>
          <w:p>
            <w:pPr>
              <w:pStyle w:val="TableParagraph"/>
              <w:spacing w:before="46"/>
              <w:ind w:left="17"/>
              <w:jc w:val="center"/>
              <w:rPr>
                <w:b/>
                <w:sz w:val="20"/>
              </w:rPr>
            </w:pPr>
            <w:r>
              <w:rPr>
                <w:b/>
                <w:spacing w:val="-4"/>
                <w:sz w:val="20"/>
              </w:rPr>
              <w:t>0,00</w:t>
            </w:r>
          </w:p>
        </w:tc>
        <w:tc>
          <w:tcPr>
            <w:tcW w:w="1466" w:type="dxa"/>
          </w:tcPr>
          <w:p>
            <w:pPr>
              <w:pStyle w:val="TableParagraph"/>
              <w:spacing w:before="46"/>
              <w:ind w:left="66"/>
              <w:jc w:val="center"/>
              <w:rPr>
                <w:b/>
                <w:sz w:val="20"/>
              </w:rPr>
            </w:pPr>
            <w:r>
              <w:rPr>
                <w:b/>
                <w:spacing w:val="-4"/>
                <w:sz w:val="20"/>
              </w:rPr>
              <w:t>0,00</w:t>
            </w:r>
          </w:p>
        </w:tc>
        <w:tc>
          <w:tcPr>
            <w:tcW w:w="1198" w:type="dxa"/>
          </w:tcPr>
          <w:p>
            <w:pPr>
              <w:pStyle w:val="TableParagraph"/>
              <w:spacing w:before="46"/>
              <w:ind w:left="23" w:right="3"/>
              <w:jc w:val="center"/>
              <w:rPr>
                <w:b/>
                <w:sz w:val="20"/>
              </w:rPr>
            </w:pPr>
            <w:r>
              <w:rPr>
                <w:b/>
                <w:spacing w:val="-2"/>
                <w:sz w:val="20"/>
              </w:rPr>
              <w:t>0,00%</w:t>
            </w:r>
          </w:p>
        </w:tc>
      </w:tr>
    </w:tbl>
    <w:p>
      <w:pPr>
        <w:pStyle w:val="BodyText"/>
      </w:pPr>
    </w:p>
    <w:p>
      <w:pPr>
        <w:pStyle w:val="BodyText"/>
        <w:spacing w:before="224"/>
      </w:pPr>
    </w:p>
    <w:p>
      <w:pPr>
        <w:pStyle w:val="Heading6"/>
        <w:ind w:left="622"/>
      </w:pPr>
      <w:r>
        <w:rPr>
          <w:spacing w:val="-2"/>
        </w:rPr>
        <w:t>Revelación:</w:t>
      </w:r>
    </w:p>
    <w:p>
      <w:pPr>
        <w:pStyle w:val="BodyText"/>
        <w:spacing w:before="9"/>
        <w:rPr>
          <w:b/>
        </w:rPr>
      </w:pPr>
    </w:p>
    <w:p>
      <w:pPr>
        <w:pStyle w:val="BodyText"/>
        <w:spacing w:before="1"/>
        <w:ind w:left="622"/>
        <w:jc w:val="both"/>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0512">
                <wp:simplePos x="0" y="0"/>
                <wp:positionH relativeFrom="page">
                  <wp:posOffset>9525</wp:posOffset>
                </wp:positionH>
                <wp:positionV relativeFrom="page">
                  <wp:posOffset>297208</wp:posOffset>
                </wp:positionV>
                <wp:extent cx="7762875" cy="9748520"/>
                <wp:effectExtent l="0" t="0" r="0" b="0"/>
                <wp:wrapNone/>
                <wp:docPr id="440" name="Group 440"/>
                <wp:cNvGraphicFramePr>
                  <a:graphicFrameLocks/>
                </wp:cNvGraphicFramePr>
                <a:graphic>
                  <a:graphicData uri="http://schemas.microsoft.com/office/word/2010/wordprocessingGroup">
                    <wpg:wgp>
                      <wpg:cNvPr id="440" name="Group 440"/>
                      <wpg:cNvGrpSpPr/>
                      <wpg:grpSpPr>
                        <a:xfrm>
                          <a:off x="0" y="0"/>
                          <a:ext cx="7762875" cy="9748520"/>
                          <a:chExt cx="7762875" cy="9748520"/>
                        </a:xfrm>
                      </wpg:grpSpPr>
                      <pic:pic>
                        <pic:nvPicPr>
                          <pic:cNvPr id="441" name="Image 441"/>
                          <pic:cNvPicPr/>
                        </pic:nvPicPr>
                        <pic:blipFill>
                          <a:blip r:embed="rId5" cstate="print"/>
                          <a:stretch>
                            <a:fillRect/>
                          </a:stretch>
                        </pic:blipFill>
                        <pic:spPr>
                          <a:xfrm>
                            <a:off x="0" y="0"/>
                            <a:ext cx="7762874" cy="9748489"/>
                          </a:xfrm>
                          <a:prstGeom prst="rect">
                            <a:avLst/>
                          </a:prstGeom>
                        </pic:spPr>
                      </pic:pic>
                      <wps:wsp>
                        <wps:cNvPr id="442" name="Graphic 44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5968" id="docshapegroup418" coordorigin="15,468" coordsize="12225,15352">
                <v:shape style="position:absolute;left:15;top:468;width:12225;height:15352" type="#_x0000_t75" id="docshape419" stroked="false">
                  <v:imagedata r:id="rId5" o:title=""/>
                </v:shape>
                <v:rect style="position:absolute;left:1673;top:2028;width:8897;height:15" id="docshape42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91</w:t>
      </w:r>
    </w:p>
    <w:p>
      <w:pPr>
        <w:spacing w:before="218"/>
        <w:ind w:left="622" w:right="0" w:firstLine="0"/>
        <w:jc w:val="left"/>
        <w:rPr>
          <w:b/>
          <w:sz w:val="22"/>
        </w:rPr>
      </w:pPr>
      <w:bookmarkStart w:name="_bookmark63" w:id="64"/>
      <w:bookmarkEnd w:id="64"/>
      <w:r>
        <w:rPr/>
      </w:r>
      <w:r>
        <w:rPr>
          <w:b/>
          <w:sz w:val="22"/>
        </w:rPr>
        <w:t>NOTA</w:t>
      </w:r>
      <w:r>
        <w:rPr>
          <w:b/>
          <w:spacing w:val="-1"/>
          <w:sz w:val="22"/>
        </w:rPr>
        <w:t> </w:t>
      </w:r>
      <w:r>
        <w:rPr>
          <w:b/>
          <w:sz w:val="22"/>
        </w:rPr>
        <w:t>N° </w:t>
      </w:r>
      <w:r>
        <w:rPr>
          <w:b/>
          <w:spacing w:val="-5"/>
          <w:sz w:val="22"/>
        </w:rPr>
        <w:t>27</w:t>
      </w:r>
    </w:p>
    <w:p>
      <w:pPr>
        <w:pStyle w:val="BodyText"/>
        <w:spacing w:before="114"/>
        <w:rPr>
          <w:b/>
        </w:rPr>
      </w:pPr>
    </w:p>
    <w:p>
      <w:pPr>
        <w:pStyle w:val="BodyText"/>
        <w:spacing w:before="1"/>
        <w:ind w:left="622"/>
      </w:pPr>
      <w:r>
        <w:rPr/>
        <w:t>Variaciones</w:t>
      </w:r>
      <w:r>
        <w:rPr>
          <w:spacing w:val="-4"/>
        </w:rPr>
        <w:t> </w:t>
      </w:r>
      <w:r>
        <w:rPr/>
        <w:t>no</w:t>
      </w:r>
      <w:r>
        <w:rPr>
          <w:spacing w:val="-5"/>
        </w:rPr>
        <w:t> </w:t>
      </w:r>
      <w:r>
        <w:rPr/>
        <w:t>asignables</w:t>
      </w:r>
      <w:r>
        <w:rPr>
          <w:spacing w:val="-3"/>
        </w:rPr>
        <w:t> </w:t>
      </w:r>
      <w:r>
        <w:rPr/>
        <w:t>a</w:t>
      </w:r>
      <w:r>
        <w:rPr>
          <w:spacing w:val="-7"/>
        </w:rPr>
        <w:t> </w:t>
      </w:r>
      <w:r>
        <w:rPr>
          <w:spacing w:val="-2"/>
        </w:rPr>
        <w:t>reservas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1978"/>
        <w:gridCol w:w="708"/>
        <w:gridCol w:w="1984"/>
        <w:gridCol w:w="1891"/>
        <w:gridCol w:w="1197"/>
      </w:tblGrid>
      <w:tr>
        <w:trPr>
          <w:trHeight w:val="323" w:hRule="atLeast"/>
        </w:trPr>
        <w:tc>
          <w:tcPr>
            <w:tcW w:w="1274" w:type="dxa"/>
            <w:vMerge w:val="restart"/>
            <w:shd w:val="clear" w:color="auto" w:fill="365F92"/>
          </w:tcPr>
          <w:p>
            <w:pPr>
              <w:pStyle w:val="TableParagraph"/>
              <w:spacing w:before="128"/>
              <w:ind w:left="69"/>
              <w:rPr>
                <w:b/>
                <w:sz w:val="20"/>
              </w:rPr>
            </w:pPr>
            <w:r>
              <w:rPr>
                <w:b/>
                <w:color w:val="FFFFFF"/>
                <w:spacing w:val="-2"/>
                <w:sz w:val="20"/>
              </w:rPr>
              <w:t>Cuenta</w:t>
            </w:r>
          </w:p>
        </w:tc>
        <w:tc>
          <w:tcPr>
            <w:tcW w:w="1978" w:type="dxa"/>
            <w:vMerge w:val="restart"/>
            <w:shd w:val="clear" w:color="auto" w:fill="365F92"/>
          </w:tcPr>
          <w:p>
            <w:pPr>
              <w:pStyle w:val="TableParagraph"/>
              <w:spacing w:before="219"/>
              <w:ind w:left="506"/>
              <w:rPr>
                <w:b/>
                <w:sz w:val="20"/>
              </w:rPr>
            </w:pPr>
            <w:r>
              <w:rPr>
                <w:b/>
                <w:color w:val="FFFFFF"/>
                <w:spacing w:val="-2"/>
                <w:sz w:val="20"/>
              </w:rPr>
              <w:t>Descripción</w:t>
            </w:r>
          </w:p>
        </w:tc>
        <w:tc>
          <w:tcPr>
            <w:tcW w:w="708" w:type="dxa"/>
            <w:vMerge w:val="restart"/>
            <w:shd w:val="clear" w:color="auto" w:fill="365F92"/>
          </w:tcPr>
          <w:p>
            <w:pPr>
              <w:pStyle w:val="TableParagraph"/>
              <w:spacing w:before="219"/>
              <w:ind w:left="158"/>
              <w:rPr>
                <w:b/>
                <w:sz w:val="20"/>
              </w:rPr>
            </w:pPr>
            <w:r>
              <w:rPr>
                <w:b/>
                <w:color w:val="FFFFFF"/>
                <w:spacing w:val="-4"/>
                <w:sz w:val="20"/>
              </w:rPr>
              <w:t>Nota</w:t>
            </w:r>
          </w:p>
        </w:tc>
        <w:tc>
          <w:tcPr>
            <w:tcW w:w="1984" w:type="dxa"/>
            <w:vMerge w:val="restart"/>
            <w:shd w:val="clear" w:color="auto" w:fill="365F92"/>
          </w:tcPr>
          <w:p>
            <w:pPr>
              <w:pStyle w:val="TableParagraph"/>
              <w:spacing w:before="219"/>
              <w:ind w:left="418"/>
              <w:rPr>
                <w:b/>
                <w:sz w:val="20"/>
              </w:rPr>
            </w:pPr>
            <w:r>
              <w:rPr>
                <w:b/>
                <w:color w:val="FFFFFF"/>
                <w:sz w:val="20"/>
              </w:rPr>
              <w:t>Periodo</w:t>
            </w:r>
            <w:r>
              <w:rPr>
                <w:b/>
                <w:color w:val="FFFFFF"/>
                <w:spacing w:val="-5"/>
                <w:sz w:val="20"/>
              </w:rPr>
              <w:t> </w:t>
            </w:r>
            <w:r>
              <w:rPr>
                <w:b/>
                <w:color w:val="FFFFFF"/>
                <w:spacing w:val="-2"/>
                <w:sz w:val="20"/>
              </w:rPr>
              <w:t>Actual</w:t>
            </w:r>
          </w:p>
        </w:tc>
        <w:tc>
          <w:tcPr>
            <w:tcW w:w="1891" w:type="dxa"/>
            <w:vMerge w:val="restart"/>
            <w:shd w:val="clear" w:color="auto" w:fill="365F92"/>
          </w:tcPr>
          <w:p>
            <w:pPr>
              <w:pStyle w:val="TableParagraph"/>
              <w:spacing w:before="219"/>
              <w:ind w:left="289"/>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6"/>
              <w:ind w:left="28" w:right="6"/>
              <w:jc w:val="center"/>
              <w:rPr>
                <w:b/>
                <w:sz w:val="20"/>
              </w:rPr>
            </w:pPr>
            <w:r>
              <w:rPr>
                <w:b/>
                <w:color w:val="FFFFFF"/>
                <w:spacing w:val="-2"/>
                <w:sz w:val="20"/>
              </w:rPr>
              <w:t>Diferencia</w:t>
            </w:r>
          </w:p>
        </w:tc>
      </w:tr>
      <w:tr>
        <w:trPr>
          <w:trHeight w:val="323" w:hRule="atLeast"/>
        </w:trPr>
        <w:tc>
          <w:tcPr>
            <w:tcW w:w="1274" w:type="dxa"/>
            <w:vMerge/>
            <w:tcBorders>
              <w:top w:val="nil"/>
            </w:tcBorders>
            <w:shd w:val="clear" w:color="auto" w:fill="365F92"/>
          </w:tcPr>
          <w:p>
            <w:pPr>
              <w:rPr>
                <w:sz w:val="2"/>
                <w:szCs w:val="2"/>
              </w:rPr>
            </w:pPr>
          </w:p>
        </w:tc>
        <w:tc>
          <w:tcPr>
            <w:tcW w:w="1978"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984" w:type="dxa"/>
            <w:vMerge/>
            <w:tcBorders>
              <w:top w:val="nil"/>
            </w:tcBorders>
            <w:shd w:val="clear" w:color="auto" w:fill="365F92"/>
          </w:tcPr>
          <w:p>
            <w:pPr>
              <w:rPr>
                <w:sz w:val="2"/>
                <w:szCs w:val="2"/>
              </w:rPr>
            </w:pPr>
          </w:p>
        </w:tc>
        <w:tc>
          <w:tcPr>
            <w:tcW w:w="1891"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7"/>
              <w:jc w:val="center"/>
              <w:rPr>
                <w:sz w:val="20"/>
              </w:rPr>
            </w:pPr>
            <w:r>
              <w:rPr>
                <w:color w:val="FFFFFF"/>
                <w:spacing w:val="-10"/>
                <w:sz w:val="20"/>
              </w:rPr>
              <w:t>%</w:t>
            </w:r>
          </w:p>
        </w:tc>
      </w:tr>
      <w:tr>
        <w:trPr>
          <w:trHeight w:val="457" w:hRule="atLeast"/>
        </w:trPr>
        <w:tc>
          <w:tcPr>
            <w:tcW w:w="1274" w:type="dxa"/>
          </w:tcPr>
          <w:p>
            <w:pPr>
              <w:pStyle w:val="TableParagraph"/>
              <w:spacing w:before="113"/>
              <w:ind w:left="69"/>
              <w:rPr>
                <w:b/>
                <w:sz w:val="20"/>
              </w:rPr>
            </w:pPr>
            <w:r>
              <w:rPr>
                <w:b/>
                <w:spacing w:val="-2"/>
                <w:sz w:val="20"/>
              </w:rPr>
              <w:t>3.1.4.</w:t>
            </w:r>
          </w:p>
        </w:tc>
        <w:tc>
          <w:tcPr>
            <w:tcW w:w="1978" w:type="dxa"/>
          </w:tcPr>
          <w:p>
            <w:pPr>
              <w:pStyle w:val="TableParagraph"/>
              <w:spacing w:line="230" w:lineRule="atLeast"/>
              <w:ind w:left="69"/>
              <w:rPr>
                <w:b/>
                <w:sz w:val="20"/>
              </w:rPr>
            </w:pPr>
            <w:r>
              <w:rPr>
                <w:b/>
                <w:sz w:val="20"/>
              </w:rPr>
              <w:t>Variaciones no asignables</w:t>
            </w:r>
            <w:r>
              <w:rPr>
                <w:b/>
                <w:spacing w:val="-13"/>
                <w:sz w:val="20"/>
              </w:rPr>
              <w:t> </w:t>
            </w:r>
            <w:r>
              <w:rPr>
                <w:b/>
                <w:sz w:val="20"/>
              </w:rPr>
              <w:t>a</w:t>
            </w:r>
            <w:r>
              <w:rPr>
                <w:b/>
                <w:spacing w:val="-12"/>
                <w:sz w:val="20"/>
              </w:rPr>
              <w:t> </w:t>
            </w:r>
            <w:r>
              <w:rPr>
                <w:b/>
                <w:sz w:val="20"/>
              </w:rPr>
              <w:t>reservas</w:t>
            </w:r>
          </w:p>
        </w:tc>
        <w:tc>
          <w:tcPr>
            <w:tcW w:w="708" w:type="dxa"/>
          </w:tcPr>
          <w:p>
            <w:pPr>
              <w:pStyle w:val="TableParagraph"/>
              <w:spacing w:before="113"/>
              <w:ind w:left="18" w:right="1"/>
              <w:jc w:val="center"/>
              <w:rPr>
                <w:b/>
                <w:sz w:val="20"/>
              </w:rPr>
            </w:pPr>
            <w:r>
              <w:rPr>
                <w:b/>
                <w:spacing w:val="-5"/>
                <w:sz w:val="20"/>
              </w:rPr>
              <w:t>27</w:t>
            </w:r>
          </w:p>
        </w:tc>
        <w:tc>
          <w:tcPr>
            <w:tcW w:w="1984" w:type="dxa"/>
          </w:tcPr>
          <w:p>
            <w:pPr>
              <w:pStyle w:val="TableParagraph"/>
              <w:spacing w:before="113"/>
              <w:ind w:left="20"/>
              <w:jc w:val="center"/>
              <w:rPr>
                <w:b/>
                <w:sz w:val="20"/>
              </w:rPr>
            </w:pPr>
            <w:r>
              <w:rPr>
                <w:b/>
                <w:spacing w:val="-4"/>
                <w:sz w:val="20"/>
              </w:rPr>
              <w:t>0,00</w:t>
            </w:r>
          </w:p>
        </w:tc>
        <w:tc>
          <w:tcPr>
            <w:tcW w:w="1891" w:type="dxa"/>
          </w:tcPr>
          <w:p>
            <w:pPr>
              <w:pStyle w:val="TableParagraph"/>
              <w:spacing w:before="113"/>
              <w:ind w:left="73"/>
              <w:jc w:val="center"/>
              <w:rPr>
                <w:b/>
                <w:sz w:val="20"/>
              </w:rPr>
            </w:pPr>
            <w:r>
              <w:rPr>
                <w:b/>
                <w:spacing w:val="-4"/>
                <w:sz w:val="20"/>
              </w:rPr>
              <w:t>0,00</w:t>
            </w:r>
          </w:p>
        </w:tc>
        <w:tc>
          <w:tcPr>
            <w:tcW w:w="1197" w:type="dxa"/>
          </w:tcPr>
          <w:p>
            <w:pPr>
              <w:pStyle w:val="TableParagraph"/>
              <w:spacing w:before="113"/>
              <w:ind w:left="28" w:right="3"/>
              <w:jc w:val="center"/>
              <w:rPr>
                <w:b/>
                <w:sz w:val="20"/>
              </w:rPr>
            </w:pPr>
            <w:r>
              <w:rPr>
                <w:b/>
                <w:spacing w:val="-2"/>
                <w:sz w:val="20"/>
              </w:rPr>
              <w:t>0,00%</w:t>
            </w:r>
          </w:p>
        </w:tc>
      </w:tr>
    </w:tbl>
    <w:p>
      <w:pPr>
        <w:pStyle w:val="Heading6"/>
        <w:spacing w:before="240"/>
        <w:ind w:left="622"/>
      </w:pPr>
      <w:r>
        <w:rPr>
          <w:spacing w:val="-2"/>
        </w:rPr>
        <w:t>Revelación:</w:t>
      </w:r>
    </w:p>
    <w:p>
      <w:pPr>
        <w:pStyle w:val="BodyText"/>
        <w:spacing w:before="10"/>
        <w:rPr>
          <w:b/>
        </w:rPr>
      </w:pPr>
    </w:p>
    <w:p>
      <w:pPr>
        <w:pStyle w:val="BodyText"/>
        <w:ind w:left="622"/>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p>
      <w:pPr>
        <w:pStyle w:val="BodyText"/>
      </w:pPr>
    </w:p>
    <w:p>
      <w:pPr>
        <w:pStyle w:val="BodyText"/>
        <w:spacing w:before="188"/>
      </w:pPr>
    </w:p>
    <w:p>
      <w:pPr>
        <w:spacing w:before="0"/>
        <w:ind w:left="622" w:right="0" w:firstLine="0"/>
        <w:jc w:val="left"/>
        <w:rPr>
          <w:b/>
          <w:sz w:val="22"/>
        </w:rPr>
      </w:pPr>
      <w:bookmarkStart w:name="_bookmark64" w:id="65"/>
      <w:bookmarkEnd w:id="65"/>
      <w:r>
        <w:rPr/>
      </w:r>
      <w:r>
        <w:rPr>
          <w:b/>
          <w:sz w:val="22"/>
        </w:rPr>
        <w:t>NOTA</w:t>
      </w:r>
      <w:r>
        <w:rPr>
          <w:b/>
          <w:spacing w:val="-1"/>
          <w:sz w:val="22"/>
        </w:rPr>
        <w:t> </w:t>
      </w:r>
      <w:r>
        <w:rPr>
          <w:b/>
          <w:sz w:val="22"/>
        </w:rPr>
        <w:t>N° </w:t>
      </w:r>
      <w:r>
        <w:rPr>
          <w:b/>
          <w:spacing w:val="-5"/>
          <w:sz w:val="22"/>
        </w:rPr>
        <w:t>28</w:t>
      </w:r>
    </w:p>
    <w:p>
      <w:pPr>
        <w:pStyle w:val="BodyText"/>
        <w:spacing w:before="115"/>
        <w:rPr>
          <w:b/>
        </w:rPr>
      </w:pPr>
    </w:p>
    <w:p>
      <w:pPr>
        <w:pStyle w:val="BodyText"/>
        <w:ind w:left="622"/>
      </w:pPr>
      <w:r>
        <w:rPr/>
        <w:t>Resultados</w:t>
      </w:r>
      <w:r>
        <w:rPr>
          <w:spacing w:val="-5"/>
        </w:rPr>
        <w:t> </w:t>
      </w:r>
      <w:r>
        <w:rPr>
          <w:spacing w:val="-2"/>
        </w:rPr>
        <w:t>acumulados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02"/>
        <w:gridCol w:w="2905"/>
        <w:gridCol w:w="574"/>
        <w:gridCol w:w="1530"/>
        <w:gridCol w:w="1717"/>
        <w:gridCol w:w="1177"/>
      </w:tblGrid>
      <w:tr>
        <w:trPr>
          <w:trHeight w:val="332" w:hRule="atLeast"/>
        </w:trPr>
        <w:tc>
          <w:tcPr>
            <w:tcW w:w="1102" w:type="dxa"/>
            <w:vMerge w:val="restart"/>
            <w:shd w:val="clear" w:color="auto" w:fill="365F92"/>
          </w:tcPr>
          <w:p>
            <w:pPr>
              <w:pStyle w:val="TableParagraph"/>
              <w:spacing w:before="129"/>
              <w:ind w:left="69"/>
              <w:rPr>
                <w:b/>
                <w:sz w:val="22"/>
              </w:rPr>
            </w:pPr>
            <w:r>
              <w:rPr>
                <w:b/>
                <w:color w:val="FFFFFF"/>
                <w:spacing w:val="-2"/>
                <w:sz w:val="22"/>
              </w:rPr>
              <w:t>Cuenta</w:t>
            </w:r>
          </w:p>
        </w:tc>
        <w:tc>
          <w:tcPr>
            <w:tcW w:w="2905" w:type="dxa"/>
            <w:vMerge w:val="restart"/>
            <w:shd w:val="clear" w:color="auto" w:fill="365F92"/>
          </w:tcPr>
          <w:p>
            <w:pPr>
              <w:pStyle w:val="TableParagraph"/>
              <w:spacing w:before="218"/>
              <w:ind w:left="921"/>
              <w:rPr>
                <w:b/>
                <w:sz w:val="22"/>
              </w:rPr>
            </w:pPr>
            <w:r>
              <w:rPr>
                <w:b/>
                <w:color w:val="FFFFFF"/>
                <w:spacing w:val="-2"/>
                <w:sz w:val="22"/>
              </w:rPr>
              <w:t>Descripción</w:t>
            </w:r>
          </w:p>
        </w:tc>
        <w:tc>
          <w:tcPr>
            <w:tcW w:w="574" w:type="dxa"/>
            <w:vMerge w:val="restart"/>
            <w:shd w:val="clear" w:color="auto" w:fill="365F92"/>
          </w:tcPr>
          <w:p>
            <w:pPr>
              <w:pStyle w:val="TableParagraph"/>
              <w:spacing w:before="218"/>
              <w:ind w:left="68"/>
              <w:rPr>
                <w:b/>
                <w:sz w:val="22"/>
              </w:rPr>
            </w:pPr>
            <w:r>
              <w:rPr>
                <w:b/>
                <w:color w:val="FFFFFF"/>
                <w:spacing w:val="-4"/>
                <w:sz w:val="22"/>
              </w:rPr>
              <w:t>Nota</w:t>
            </w:r>
          </w:p>
        </w:tc>
        <w:tc>
          <w:tcPr>
            <w:tcW w:w="1530" w:type="dxa"/>
            <w:vMerge w:val="restart"/>
            <w:shd w:val="clear" w:color="auto" w:fill="365F92"/>
          </w:tcPr>
          <w:p>
            <w:pPr>
              <w:pStyle w:val="TableParagraph"/>
              <w:spacing w:before="218"/>
              <w:ind w:left="130"/>
              <w:rPr>
                <w:b/>
                <w:sz w:val="22"/>
              </w:rPr>
            </w:pPr>
            <w:r>
              <w:rPr>
                <w:b/>
                <w:color w:val="FFFFFF"/>
                <w:sz w:val="22"/>
              </w:rPr>
              <w:t>Periodo</w:t>
            </w:r>
            <w:r>
              <w:rPr>
                <w:b/>
                <w:color w:val="FFFFFF"/>
                <w:spacing w:val="-4"/>
                <w:sz w:val="22"/>
              </w:rPr>
              <w:t> </w:t>
            </w:r>
            <w:r>
              <w:rPr>
                <w:b/>
                <w:color w:val="FFFFFF"/>
                <w:spacing w:val="-2"/>
                <w:sz w:val="22"/>
              </w:rPr>
              <w:t>Actual</w:t>
            </w:r>
          </w:p>
        </w:tc>
        <w:tc>
          <w:tcPr>
            <w:tcW w:w="1717" w:type="dxa"/>
            <w:vMerge w:val="restart"/>
            <w:shd w:val="clear" w:color="auto" w:fill="365F92"/>
          </w:tcPr>
          <w:p>
            <w:pPr>
              <w:pStyle w:val="TableParagraph"/>
              <w:spacing w:before="218"/>
              <w:ind w:left="132"/>
              <w:rPr>
                <w:b/>
                <w:sz w:val="22"/>
              </w:rPr>
            </w:pPr>
            <w:r>
              <w:rPr>
                <w:b/>
                <w:color w:val="FFFFFF"/>
                <w:sz w:val="22"/>
              </w:rPr>
              <w:t>Periodo</w:t>
            </w:r>
            <w:r>
              <w:rPr>
                <w:b/>
                <w:color w:val="FFFFFF"/>
                <w:spacing w:val="-4"/>
                <w:sz w:val="22"/>
              </w:rPr>
              <w:t> </w:t>
            </w:r>
            <w:r>
              <w:rPr>
                <w:b/>
                <w:color w:val="FFFFFF"/>
                <w:spacing w:val="-2"/>
                <w:sz w:val="22"/>
              </w:rPr>
              <w:t>Anterior</w:t>
            </w:r>
          </w:p>
        </w:tc>
        <w:tc>
          <w:tcPr>
            <w:tcW w:w="1177" w:type="dxa"/>
            <w:shd w:val="clear" w:color="auto" w:fill="365F92"/>
          </w:tcPr>
          <w:p>
            <w:pPr>
              <w:pStyle w:val="TableParagraph"/>
              <w:spacing w:before="41"/>
              <w:ind w:left="19" w:right="9"/>
              <w:jc w:val="center"/>
              <w:rPr>
                <w:b/>
                <w:sz w:val="22"/>
              </w:rPr>
            </w:pPr>
            <w:r>
              <w:rPr>
                <w:b/>
                <w:color w:val="FFFFFF"/>
                <w:spacing w:val="-2"/>
                <w:sz w:val="22"/>
              </w:rPr>
              <w:t>Diferencia</w:t>
            </w:r>
          </w:p>
        </w:tc>
      </w:tr>
      <w:tr>
        <w:trPr>
          <w:trHeight w:val="335" w:hRule="atLeast"/>
        </w:trPr>
        <w:tc>
          <w:tcPr>
            <w:tcW w:w="1102" w:type="dxa"/>
            <w:vMerge/>
            <w:tcBorders>
              <w:top w:val="nil"/>
            </w:tcBorders>
            <w:shd w:val="clear" w:color="auto" w:fill="365F92"/>
          </w:tcPr>
          <w:p>
            <w:pPr>
              <w:rPr>
                <w:sz w:val="2"/>
                <w:szCs w:val="2"/>
              </w:rPr>
            </w:pPr>
          </w:p>
        </w:tc>
        <w:tc>
          <w:tcPr>
            <w:tcW w:w="2905"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1530" w:type="dxa"/>
            <w:vMerge/>
            <w:tcBorders>
              <w:top w:val="nil"/>
            </w:tcBorders>
            <w:shd w:val="clear" w:color="auto" w:fill="365F92"/>
          </w:tcPr>
          <w:p>
            <w:pPr>
              <w:rPr>
                <w:sz w:val="2"/>
                <w:szCs w:val="2"/>
              </w:rPr>
            </w:pPr>
          </w:p>
        </w:tc>
        <w:tc>
          <w:tcPr>
            <w:tcW w:w="1717" w:type="dxa"/>
            <w:vMerge/>
            <w:tcBorders>
              <w:top w:val="nil"/>
            </w:tcBorders>
            <w:shd w:val="clear" w:color="auto" w:fill="365F92"/>
          </w:tcPr>
          <w:p>
            <w:pPr>
              <w:rPr>
                <w:sz w:val="2"/>
                <w:szCs w:val="2"/>
              </w:rPr>
            </w:pPr>
          </w:p>
        </w:tc>
        <w:tc>
          <w:tcPr>
            <w:tcW w:w="1177" w:type="dxa"/>
            <w:shd w:val="clear" w:color="auto" w:fill="365F92"/>
          </w:tcPr>
          <w:p>
            <w:pPr>
              <w:pStyle w:val="TableParagraph"/>
              <w:spacing w:before="43"/>
              <w:ind w:left="19" w:right="5"/>
              <w:jc w:val="center"/>
              <w:rPr>
                <w:sz w:val="22"/>
              </w:rPr>
            </w:pPr>
            <w:r>
              <w:rPr>
                <w:color w:val="FFFFFF"/>
                <w:spacing w:val="-10"/>
                <w:sz w:val="22"/>
              </w:rPr>
              <w:t>%</w:t>
            </w:r>
          </w:p>
        </w:tc>
      </w:tr>
      <w:tr>
        <w:trPr>
          <w:trHeight w:val="337" w:hRule="atLeast"/>
        </w:trPr>
        <w:tc>
          <w:tcPr>
            <w:tcW w:w="1102" w:type="dxa"/>
          </w:tcPr>
          <w:p>
            <w:pPr>
              <w:pStyle w:val="TableParagraph"/>
              <w:spacing w:before="43"/>
              <w:ind w:left="69"/>
              <w:rPr>
                <w:b/>
                <w:sz w:val="22"/>
              </w:rPr>
            </w:pPr>
            <w:r>
              <w:rPr>
                <w:b/>
                <w:spacing w:val="-2"/>
                <w:sz w:val="22"/>
              </w:rPr>
              <w:t>3.1.5.</w:t>
            </w:r>
          </w:p>
        </w:tc>
        <w:tc>
          <w:tcPr>
            <w:tcW w:w="2905" w:type="dxa"/>
          </w:tcPr>
          <w:p>
            <w:pPr>
              <w:pStyle w:val="TableParagraph"/>
              <w:spacing w:before="43"/>
              <w:ind w:left="68"/>
              <w:rPr>
                <w:b/>
                <w:sz w:val="22"/>
              </w:rPr>
            </w:pPr>
            <w:r>
              <w:rPr>
                <w:b/>
                <w:sz w:val="22"/>
              </w:rPr>
              <w:t>Resultados</w:t>
            </w:r>
            <w:r>
              <w:rPr>
                <w:b/>
                <w:spacing w:val="-5"/>
                <w:sz w:val="22"/>
              </w:rPr>
              <w:t> </w:t>
            </w:r>
            <w:r>
              <w:rPr>
                <w:b/>
                <w:spacing w:val="-2"/>
                <w:sz w:val="22"/>
              </w:rPr>
              <w:t>acumulados</w:t>
            </w:r>
          </w:p>
        </w:tc>
        <w:tc>
          <w:tcPr>
            <w:tcW w:w="574" w:type="dxa"/>
          </w:tcPr>
          <w:p>
            <w:pPr>
              <w:pStyle w:val="TableParagraph"/>
              <w:spacing w:before="43"/>
              <w:ind w:left="176"/>
              <w:rPr>
                <w:b/>
                <w:sz w:val="22"/>
              </w:rPr>
            </w:pPr>
            <w:r>
              <w:rPr>
                <w:b/>
                <w:spacing w:val="-5"/>
                <w:sz w:val="22"/>
              </w:rPr>
              <w:t>28</w:t>
            </w:r>
          </w:p>
        </w:tc>
        <w:tc>
          <w:tcPr>
            <w:tcW w:w="1530" w:type="dxa"/>
          </w:tcPr>
          <w:p>
            <w:pPr>
              <w:pStyle w:val="TableParagraph"/>
              <w:spacing w:before="53"/>
              <w:ind w:left="147"/>
              <w:rPr>
                <w:b/>
                <w:sz w:val="20"/>
              </w:rPr>
            </w:pPr>
            <w:r>
              <w:rPr>
                <w:b/>
                <w:sz w:val="20"/>
              </w:rPr>
              <w:t>184</w:t>
            </w:r>
            <w:r>
              <w:rPr>
                <w:b/>
                <w:spacing w:val="-3"/>
                <w:sz w:val="20"/>
              </w:rPr>
              <w:t> </w:t>
            </w:r>
            <w:r>
              <w:rPr>
                <w:b/>
                <w:sz w:val="20"/>
              </w:rPr>
              <w:t>626</w:t>
            </w:r>
            <w:r>
              <w:rPr>
                <w:b/>
                <w:spacing w:val="-3"/>
                <w:sz w:val="20"/>
              </w:rPr>
              <w:t> </w:t>
            </w:r>
            <w:r>
              <w:rPr>
                <w:b/>
                <w:spacing w:val="-2"/>
                <w:sz w:val="20"/>
              </w:rPr>
              <w:t>580,70</w:t>
            </w:r>
          </w:p>
        </w:tc>
        <w:tc>
          <w:tcPr>
            <w:tcW w:w="1717" w:type="dxa"/>
          </w:tcPr>
          <w:p>
            <w:pPr>
              <w:pStyle w:val="TableParagraph"/>
              <w:spacing w:before="53"/>
              <w:ind w:left="240"/>
              <w:rPr>
                <w:b/>
                <w:sz w:val="20"/>
              </w:rPr>
            </w:pPr>
            <w:r>
              <w:rPr>
                <w:b/>
                <w:sz w:val="20"/>
              </w:rPr>
              <w:t>191</w:t>
            </w:r>
            <w:r>
              <w:rPr>
                <w:b/>
                <w:spacing w:val="-3"/>
                <w:sz w:val="20"/>
              </w:rPr>
              <w:t> </w:t>
            </w:r>
            <w:r>
              <w:rPr>
                <w:b/>
                <w:sz w:val="20"/>
              </w:rPr>
              <w:t>121</w:t>
            </w:r>
            <w:r>
              <w:rPr>
                <w:b/>
                <w:spacing w:val="-3"/>
                <w:sz w:val="20"/>
              </w:rPr>
              <w:t> </w:t>
            </w:r>
            <w:r>
              <w:rPr>
                <w:b/>
                <w:spacing w:val="-2"/>
                <w:sz w:val="20"/>
              </w:rPr>
              <w:t>314,59</w:t>
            </w:r>
          </w:p>
        </w:tc>
        <w:tc>
          <w:tcPr>
            <w:tcW w:w="1177" w:type="dxa"/>
          </w:tcPr>
          <w:p>
            <w:pPr>
              <w:pStyle w:val="TableParagraph"/>
              <w:spacing w:before="53"/>
              <w:ind w:left="19" w:right="5"/>
              <w:jc w:val="center"/>
              <w:rPr>
                <w:b/>
                <w:sz w:val="20"/>
              </w:rPr>
            </w:pPr>
            <w:r>
              <w:rPr>
                <w:b/>
                <w:spacing w:val="-2"/>
                <w:sz w:val="20"/>
              </w:rPr>
              <w:t>-3,40%</w:t>
            </w:r>
          </w:p>
        </w:tc>
      </w:tr>
    </w:tbl>
    <w:p>
      <w:pPr>
        <w:pStyle w:val="BodyText"/>
        <w:spacing w:before="250"/>
      </w:pPr>
    </w:p>
    <w:p>
      <w:pPr>
        <w:pStyle w:val="BodyText"/>
        <w:ind w:left="622" w:right="976"/>
        <w:jc w:val="both"/>
      </w:pPr>
      <w:r>
        <w:rPr/>
        <w:t>La cuenta Resultados acumulados, representa el 96,53% del total de Patrimonio, que comparado al periodo</w:t>
      </w:r>
      <w:r>
        <w:rPr>
          <w:spacing w:val="-7"/>
        </w:rPr>
        <w:t> </w:t>
      </w:r>
      <w:r>
        <w:rPr/>
        <w:t>anterior</w:t>
      </w:r>
      <w:r>
        <w:rPr>
          <w:spacing w:val="-10"/>
        </w:rPr>
        <w:t> </w:t>
      </w:r>
      <w:r>
        <w:rPr/>
        <w:t>genera</w:t>
      </w:r>
      <w:r>
        <w:rPr>
          <w:spacing w:val="-8"/>
        </w:rPr>
        <w:t> </w:t>
      </w:r>
      <w:r>
        <w:rPr/>
        <w:t>una</w:t>
      </w:r>
      <w:r>
        <w:rPr>
          <w:spacing w:val="-8"/>
        </w:rPr>
        <w:t> </w:t>
      </w:r>
      <w:r>
        <w:rPr/>
        <w:t>variación</w:t>
      </w:r>
      <w:r>
        <w:rPr>
          <w:spacing w:val="-7"/>
        </w:rPr>
        <w:t> </w:t>
      </w:r>
      <w:r>
        <w:rPr/>
        <w:t>absoluta</w:t>
      </w:r>
      <w:r>
        <w:rPr>
          <w:spacing w:val="-7"/>
        </w:rPr>
        <w:t> </w:t>
      </w:r>
      <w:r>
        <w:rPr/>
        <w:t>de</w:t>
      </w:r>
      <w:r>
        <w:rPr>
          <w:spacing w:val="-9"/>
        </w:rPr>
        <w:t> </w:t>
      </w:r>
      <w:r>
        <w:rPr/>
        <w:t>¢</w:t>
      </w:r>
      <w:r>
        <w:rPr>
          <w:spacing w:val="-6"/>
        </w:rPr>
        <w:t> </w:t>
      </w:r>
      <w:r>
        <w:rPr/>
        <w:t>-6.494.733,89</w:t>
      </w:r>
      <w:r>
        <w:rPr>
          <w:spacing w:val="-7"/>
        </w:rPr>
        <w:t> </w:t>
      </w:r>
      <w:r>
        <w:rPr/>
        <w:t>que</w:t>
      </w:r>
      <w:r>
        <w:rPr>
          <w:spacing w:val="-8"/>
        </w:rPr>
        <w:t> </w:t>
      </w:r>
      <w:r>
        <w:rPr/>
        <w:t>corresponde</w:t>
      </w:r>
      <w:r>
        <w:rPr>
          <w:spacing w:val="-11"/>
        </w:rPr>
        <w:t> </w:t>
      </w:r>
      <w:r>
        <w:rPr/>
        <w:t>a</w:t>
      </w:r>
      <w:r>
        <w:rPr>
          <w:spacing w:val="-8"/>
        </w:rPr>
        <w:t> </w:t>
      </w:r>
      <w:r>
        <w:rPr/>
        <w:t>una</w:t>
      </w:r>
      <w:r>
        <w:rPr>
          <w:spacing w:val="-8"/>
        </w:rPr>
        <w:t> </w:t>
      </w:r>
      <w:r>
        <w:rPr/>
        <w:t>disminución del</w:t>
      </w:r>
      <w:r>
        <w:rPr>
          <w:spacing w:val="-3"/>
        </w:rPr>
        <w:t> </w:t>
      </w:r>
      <w:r>
        <w:rPr/>
        <w:t>-3,40%</w:t>
      </w:r>
      <w:r>
        <w:rPr>
          <w:spacing w:val="-2"/>
        </w:rPr>
        <w:t> </w:t>
      </w:r>
      <w:r>
        <w:rPr/>
        <w:t>de</w:t>
      </w:r>
      <w:r>
        <w:rPr>
          <w:spacing w:val="-1"/>
        </w:rPr>
        <w:t> </w:t>
      </w:r>
      <w:r>
        <w:rPr/>
        <w:t>recursos</w:t>
      </w:r>
      <w:r>
        <w:rPr>
          <w:spacing w:val="-1"/>
        </w:rPr>
        <w:t> </w:t>
      </w:r>
      <w:r>
        <w:rPr/>
        <w:t>disponibles,</w:t>
      </w:r>
      <w:r>
        <w:rPr>
          <w:spacing w:val="-2"/>
        </w:rPr>
        <w:t> </w:t>
      </w:r>
      <w:r>
        <w:rPr/>
        <w:t>la</w:t>
      </w:r>
      <w:r>
        <w:rPr>
          <w:spacing w:val="-3"/>
        </w:rPr>
        <w:t> </w:t>
      </w:r>
      <w:r>
        <w:rPr/>
        <w:t>variación</w:t>
      </w:r>
      <w:r>
        <w:rPr>
          <w:spacing w:val="-2"/>
        </w:rPr>
        <w:t> </w:t>
      </w:r>
      <w:r>
        <w:rPr/>
        <w:t>es</w:t>
      </w:r>
      <w:r>
        <w:rPr>
          <w:spacing w:val="-1"/>
        </w:rPr>
        <w:t> </w:t>
      </w:r>
      <w:r>
        <w:rPr/>
        <w:t>producto</w:t>
      </w:r>
      <w:r>
        <w:rPr>
          <w:spacing w:val="-1"/>
        </w:rPr>
        <w:t> </w:t>
      </w:r>
      <w:r>
        <w:rPr/>
        <w:t>del</w:t>
      </w:r>
      <w:r>
        <w:rPr>
          <w:spacing w:val="-2"/>
        </w:rPr>
        <w:t> </w:t>
      </w:r>
      <w:r>
        <w:rPr/>
        <w:t>resultado</w:t>
      </w:r>
      <w:r>
        <w:rPr>
          <w:spacing w:val="-2"/>
        </w:rPr>
        <w:t> </w:t>
      </w:r>
      <w:r>
        <w:rPr/>
        <w:t>del</w:t>
      </w:r>
      <w:r>
        <w:rPr>
          <w:spacing w:val="-2"/>
        </w:rPr>
        <w:t> </w:t>
      </w:r>
      <w:r>
        <w:rPr/>
        <w:t>ejercicio</w:t>
      </w:r>
      <w:r>
        <w:rPr>
          <w:spacing w:val="-2"/>
        </w:rPr>
        <w:t> </w:t>
      </w:r>
      <w:r>
        <w:rPr/>
        <w:t>con</w:t>
      </w:r>
      <w:r>
        <w:rPr>
          <w:spacing w:val="-2"/>
        </w:rPr>
        <w:t> </w:t>
      </w:r>
      <w:r>
        <w:rPr/>
        <w:t>respecto</w:t>
      </w:r>
      <w:r>
        <w:rPr>
          <w:spacing w:val="-2"/>
        </w:rPr>
        <w:t> </w:t>
      </w:r>
      <w:r>
        <w:rPr/>
        <w:t>al año anterior.</w:t>
      </w:r>
    </w:p>
    <w:p>
      <w:pPr>
        <w:pStyle w:val="BodyText"/>
        <w:spacing w:before="242"/>
        <w:ind w:left="622"/>
        <w:jc w:val="both"/>
      </w:pPr>
      <w:r>
        <w:rPr/>
        <w:t>Detalle</w:t>
      </w:r>
      <w:r>
        <w:rPr>
          <w:spacing w:val="-9"/>
        </w:rPr>
        <w:t> </w:t>
      </w:r>
      <w:r>
        <w:rPr>
          <w:spacing w:val="-2"/>
        </w:rPr>
        <w:t>cuenta:</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42"/>
        <w:gridCol w:w="3001"/>
        <w:gridCol w:w="557"/>
        <w:gridCol w:w="1669"/>
        <w:gridCol w:w="1688"/>
        <w:gridCol w:w="973"/>
      </w:tblGrid>
      <w:tr>
        <w:trPr>
          <w:trHeight w:val="296" w:hRule="atLeast"/>
        </w:trPr>
        <w:tc>
          <w:tcPr>
            <w:tcW w:w="1142" w:type="dxa"/>
            <w:vMerge w:val="restart"/>
            <w:shd w:val="clear" w:color="auto" w:fill="365F92"/>
          </w:tcPr>
          <w:p>
            <w:pPr>
              <w:pStyle w:val="TableParagraph"/>
              <w:spacing w:before="70"/>
              <w:ind w:left="69"/>
              <w:rPr>
                <w:b/>
                <w:sz w:val="20"/>
              </w:rPr>
            </w:pPr>
            <w:r>
              <w:rPr>
                <w:b/>
                <w:color w:val="FFFFFF"/>
                <w:spacing w:val="-2"/>
                <w:sz w:val="20"/>
              </w:rPr>
              <w:t>Cuenta</w:t>
            </w:r>
          </w:p>
        </w:tc>
        <w:tc>
          <w:tcPr>
            <w:tcW w:w="3001" w:type="dxa"/>
            <w:vMerge w:val="restart"/>
            <w:shd w:val="clear" w:color="auto" w:fill="365F92"/>
          </w:tcPr>
          <w:p>
            <w:pPr>
              <w:pStyle w:val="TableParagraph"/>
              <w:spacing w:before="159"/>
              <w:ind w:left="17"/>
              <w:jc w:val="center"/>
              <w:rPr>
                <w:b/>
                <w:sz w:val="20"/>
              </w:rPr>
            </w:pPr>
            <w:r>
              <w:rPr>
                <w:b/>
                <w:color w:val="FFFFFF"/>
                <w:spacing w:val="-2"/>
                <w:sz w:val="20"/>
              </w:rPr>
              <w:t>Descripción</w:t>
            </w:r>
          </w:p>
        </w:tc>
        <w:tc>
          <w:tcPr>
            <w:tcW w:w="557" w:type="dxa"/>
            <w:vMerge w:val="restart"/>
            <w:shd w:val="clear" w:color="auto" w:fill="365F92"/>
          </w:tcPr>
          <w:p>
            <w:pPr>
              <w:pStyle w:val="TableParagraph"/>
              <w:spacing w:before="159"/>
              <w:ind w:left="81"/>
              <w:rPr>
                <w:b/>
                <w:sz w:val="20"/>
              </w:rPr>
            </w:pPr>
            <w:r>
              <w:rPr>
                <w:b/>
                <w:color w:val="FFFFFF"/>
                <w:spacing w:val="-4"/>
                <w:sz w:val="20"/>
              </w:rPr>
              <w:t>Nota</w:t>
            </w:r>
          </w:p>
        </w:tc>
        <w:tc>
          <w:tcPr>
            <w:tcW w:w="1669" w:type="dxa"/>
            <w:vMerge w:val="restart"/>
            <w:shd w:val="clear" w:color="auto" w:fill="365F92"/>
          </w:tcPr>
          <w:p>
            <w:pPr>
              <w:pStyle w:val="TableParagraph"/>
              <w:spacing w:before="159"/>
              <w:ind w:left="258"/>
              <w:rPr>
                <w:b/>
                <w:sz w:val="20"/>
              </w:rPr>
            </w:pPr>
            <w:r>
              <w:rPr>
                <w:b/>
                <w:color w:val="FFFFFF"/>
                <w:sz w:val="20"/>
              </w:rPr>
              <w:t>Periodo</w:t>
            </w:r>
            <w:r>
              <w:rPr>
                <w:b/>
                <w:color w:val="FFFFFF"/>
                <w:spacing w:val="-5"/>
                <w:sz w:val="20"/>
              </w:rPr>
              <w:t> </w:t>
            </w:r>
            <w:r>
              <w:rPr>
                <w:b/>
                <w:color w:val="FFFFFF"/>
                <w:spacing w:val="-2"/>
                <w:sz w:val="20"/>
              </w:rPr>
              <w:t>Actual</w:t>
            </w:r>
          </w:p>
        </w:tc>
        <w:tc>
          <w:tcPr>
            <w:tcW w:w="1688" w:type="dxa"/>
            <w:vMerge w:val="restart"/>
            <w:shd w:val="clear" w:color="auto" w:fill="365F92"/>
          </w:tcPr>
          <w:p>
            <w:pPr>
              <w:pStyle w:val="TableParagraph"/>
              <w:spacing w:before="159"/>
              <w:ind w:left="186"/>
              <w:rPr>
                <w:b/>
                <w:sz w:val="20"/>
              </w:rPr>
            </w:pPr>
            <w:r>
              <w:rPr>
                <w:b/>
                <w:color w:val="FFFFFF"/>
                <w:sz w:val="20"/>
              </w:rPr>
              <w:t>Periodo</w:t>
            </w:r>
            <w:r>
              <w:rPr>
                <w:b/>
                <w:color w:val="FFFFFF"/>
                <w:spacing w:val="-5"/>
                <w:sz w:val="20"/>
              </w:rPr>
              <w:t> </w:t>
            </w:r>
            <w:r>
              <w:rPr>
                <w:b/>
                <w:color w:val="FFFFFF"/>
                <w:spacing w:val="-2"/>
                <w:sz w:val="20"/>
              </w:rPr>
              <w:t>Anterior</w:t>
            </w:r>
          </w:p>
        </w:tc>
        <w:tc>
          <w:tcPr>
            <w:tcW w:w="973" w:type="dxa"/>
            <w:shd w:val="clear" w:color="auto" w:fill="365F92"/>
          </w:tcPr>
          <w:p>
            <w:pPr>
              <w:pStyle w:val="TableParagraph"/>
              <w:spacing w:before="34"/>
              <w:ind w:left="13"/>
              <w:jc w:val="center"/>
              <w:rPr>
                <w:b/>
                <w:sz w:val="20"/>
              </w:rPr>
            </w:pPr>
            <w:r>
              <w:rPr>
                <w:b/>
                <w:color w:val="FFFFFF"/>
                <w:spacing w:val="-2"/>
                <w:sz w:val="20"/>
              </w:rPr>
              <w:t>Diferencia</w:t>
            </w:r>
          </w:p>
        </w:tc>
      </w:tr>
      <w:tr>
        <w:trPr>
          <w:trHeight w:val="229" w:hRule="atLeast"/>
        </w:trPr>
        <w:tc>
          <w:tcPr>
            <w:tcW w:w="1142" w:type="dxa"/>
            <w:vMerge/>
            <w:tcBorders>
              <w:top w:val="nil"/>
            </w:tcBorders>
            <w:shd w:val="clear" w:color="auto" w:fill="365F92"/>
          </w:tcPr>
          <w:p>
            <w:pPr>
              <w:rPr>
                <w:sz w:val="2"/>
                <w:szCs w:val="2"/>
              </w:rPr>
            </w:pPr>
          </w:p>
        </w:tc>
        <w:tc>
          <w:tcPr>
            <w:tcW w:w="3001" w:type="dxa"/>
            <w:vMerge/>
            <w:tcBorders>
              <w:top w:val="nil"/>
            </w:tcBorders>
            <w:shd w:val="clear" w:color="auto" w:fill="365F92"/>
          </w:tcPr>
          <w:p>
            <w:pPr>
              <w:rPr>
                <w:sz w:val="2"/>
                <w:szCs w:val="2"/>
              </w:rPr>
            </w:pPr>
          </w:p>
        </w:tc>
        <w:tc>
          <w:tcPr>
            <w:tcW w:w="557" w:type="dxa"/>
            <w:vMerge/>
            <w:tcBorders>
              <w:top w:val="nil"/>
            </w:tcBorders>
            <w:shd w:val="clear" w:color="auto" w:fill="365F92"/>
          </w:tcPr>
          <w:p>
            <w:pPr>
              <w:rPr>
                <w:sz w:val="2"/>
                <w:szCs w:val="2"/>
              </w:rPr>
            </w:pPr>
          </w:p>
        </w:tc>
        <w:tc>
          <w:tcPr>
            <w:tcW w:w="1669" w:type="dxa"/>
            <w:vMerge/>
            <w:tcBorders>
              <w:top w:val="nil"/>
            </w:tcBorders>
            <w:shd w:val="clear" w:color="auto" w:fill="365F92"/>
          </w:tcPr>
          <w:p>
            <w:pPr>
              <w:rPr>
                <w:sz w:val="2"/>
                <w:szCs w:val="2"/>
              </w:rPr>
            </w:pPr>
          </w:p>
        </w:tc>
        <w:tc>
          <w:tcPr>
            <w:tcW w:w="1688" w:type="dxa"/>
            <w:vMerge/>
            <w:tcBorders>
              <w:top w:val="nil"/>
            </w:tcBorders>
            <w:shd w:val="clear" w:color="auto" w:fill="365F92"/>
          </w:tcPr>
          <w:p>
            <w:pPr>
              <w:rPr>
                <w:sz w:val="2"/>
                <w:szCs w:val="2"/>
              </w:rPr>
            </w:pPr>
          </w:p>
        </w:tc>
        <w:tc>
          <w:tcPr>
            <w:tcW w:w="973" w:type="dxa"/>
            <w:shd w:val="clear" w:color="auto" w:fill="365F92"/>
          </w:tcPr>
          <w:p>
            <w:pPr>
              <w:pStyle w:val="TableParagraph"/>
              <w:spacing w:line="210" w:lineRule="exact"/>
              <w:ind w:left="13" w:right="1"/>
              <w:jc w:val="center"/>
              <w:rPr>
                <w:sz w:val="20"/>
              </w:rPr>
            </w:pPr>
            <w:r>
              <w:rPr>
                <w:color w:val="FFFFFF"/>
                <w:spacing w:val="-10"/>
                <w:sz w:val="20"/>
              </w:rPr>
              <w:t>%</w:t>
            </w:r>
          </w:p>
        </w:tc>
      </w:tr>
      <w:tr>
        <w:trPr>
          <w:trHeight w:val="493" w:hRule="atLeast"/>
        </w:trPr>
        <w:tc>
          <w:tcPr>
            <w:tcW w:w="1142" w:type="dxa"/>
          </w:tcPr>
          <w:p>
            <w:pPr>
              <w:pStyle w:val="TableParagraph"/>
              <w:spacing w:before="130"/>
              <w:ind w:left="69"/>
              <w:rPr>
                <w:b/>
                <w:sz w:val="20"/>
              </w:rPr>
            </w:pPr>
            <w:r>
              <w:rPr>
                <w:b/>
                <w:spacing w:val="-2"/>
                <w:sz w:val="20"/>
              </w:rPr>
              <w:t>3.1.5.01.</w:t>
            </w:r>
          </w:p>
        </w:tc>
        <w:tc>
          <w:tcPr>
            <w:tcW w:w="3001" w:type="dxa"/>
          </w:tcPr>
          <w:p>
            <w:pPr>
              <w:pStyle w:val="TableParagraph"/>
              <w:spacing w:line="220" w:lineRule="atLeast" w:before="17"/>
              <w:ind w:left="69" w:right="129"/>
              <w:rPr>
                <w:b/>
                <w:sz w:val="20"/>
              </w:rPr>
            </w:pPr>
            <w:r>
              <w:rPr>
                <w:b/>
                <w:sz w:val="20"/>
              </w:rPr>
              <w:t>Resultados</w:t>
            </w:r>
            <w:r>
              <w:rPr>
                <w:b/>
                <w:spacing w:val="-13"/>
                <w:sz w:val="20"/>
              </w:rPr>
              <w:t> </w:t>
            </w:r>
            <w:r>
              <w:rPr>
                <w:b/>
                <w:sz w:val="20"/>
              </w:rPr>
              <w:t>acumulados</w:t>
            </w:r>
            <w:r>
              <w:rPr>
                <w:b/>
                <w:spacing w:val="-12"/>
                <w:sz w:val="20"/>
              </w:rPr>
              <w:t> </w:t>
            </w:r>
            <w:r>
              <w:rPr>
                <w:b/>
                <w:sz w:val="20"/>
              </w:rPr>
              <w:t>de ejercicios anteriores</w:t>
            </w:r>
          </w:p>
        </w:tc>
        <w:tc>
          <w:tcPr>
            <w:tcW w:w="557" w:type="dxa"/>
          </w:tcPr>
          <w:p>
            <w:pPr>
              <w:pStyle w:val="TableParagraph"/>
              <w:spacing w:before="130"/>
              <w:ind w:left="177"/>
              <w:rPr>
                <w:b/>
                <w:sz w:val="20"/>
              </w:rPr>
            </w:pPr>
            <w:r>
              <w:rPr>
                <w:b/>
                <w:spacing w:val="-5"/>
                <w:sz w:val="20"/>
              </w:rPr>
              <w:t>28</w:t>
            </w:r>
          </w:p>
        </w:tc>
        <w:tc>
          <w:tcPr>
            <w:tcW w:w="1669" w:type="dxa"/>
          </w:tcPr>
          <w:p>
            <w:pPr>
              <w:pStyle w:val="TableParagraph"/>
              <w:spacing w:before="130"/>
              <w:ind w:left="218"/>
              <w:rPr>
                <w:b/>
                <w:sz w:val="20"/>
              </w:rPr>
            </w:pPr>
            <w:r>
              <w:rPr>
                <w:b/>
                <w:sz w:val="20"/>
              </w:rPr>
              <w:t>170</w:t>
            </w:r>
            <w:r>
              <w:rPr>
                <w:b/>
                <w:spacing w:val="-3"/>
                <w:sz w:val="20"/>
              </w:rPr>
              <w:t> </w:t>
            </w:r>
            <w:r>
              <w:rPr>
                <w:b/>
                <w:sz w:val="20"/>
              </w:rPr>
              <w:t>105</w:t>
            </w:r>
            <w:r>
              <w:rPr>
                <w:b/>
                <w:spacing w:val="-3"/>
                <w:sz w:val="20"/>
              </w:rPr>
              <w:t> </w:t>
            </w:r>
            <w:r>
              <w:rPr>
                <w:b/>
                <w:spacing w:val="-2"/>
                <w:sz w:val="20"/>
              </w:rPr>
              <w:t>473,54</w:t>
            </w:r>
          </w:p>
        </w:tc>
        <w:tc>
          <w:tcPr>
            <w:tcW w:w="1688" w:type="dxa"/>
          </w:tcPr>
          <w:p>
            <w:pPr>
              <w:pStyle w:val="TableParagraph"/>
              <w:spacing w:before="130"/>
              <w:ind w:left="227"/>
              <w:rPr>
                <w:b/>
                <w:sz w:val="20"/>
              </w:rPr>
            </w:pPr>
            <w:r>
              <w:rPr>
                <w:b/>
                <w:sz w:val="20"/>
              </w:rPr>
              <w:t>168</w:t>
            </w:r>
            <w:r>
              <w:rPr>
                <w:b/>
                <w:spacing w:val="-3"/>
                <w:sz w:val="20"/>
              </w:rPr>
              <w:t> </w:t>
            </w:r>
            <w:r>
              <w:rPr>
                <w:b/>
                <w:sz w:val="20"/>
              </w:rPr>
              <w:t>319</w:t>
            </w:r>
            <w:r>
              <w:rPr>
                <w:b/>
                <w:spacing w:val="-3"/>
                <w:sz w:val="20"/>
              </w:rPr>
              <w:t> </w:t>
            </w:r>
            <w:r>
              <w:rPr>
                <w:b/>
                <w:spacing w:val="-2"/>
                <w:sz w:val="20"/>
              </w:rPr>
              <w:t>682,80</w:t>
            </w:r>
          </w:p>
        </w:tc>
        <w:tc>
          <w:tcPr>
            <w:tcW w:w="973" w:type="dxa"/>
          </w:tcPr>
          <w:p>
            <w:pPr>
              <w:pStyle w:val="TableParagraph"/>
              <w:spacing w:before="130"/>
              <w:ind w:left="13" w:right="1"/>
              <w:jc w:val="center"/>
              <w:rPr>
                <w:b/>
                <w:sz w:val="20"/>
              </w:rPr>
            </w:pPr>
            <w:r>
              <w:rPr>
                <w:b/>
                <w:spacing w:val="-2"/>
                <w:sz w:val="20"/>
              </w:rPr>
              <w:t>1,06%</w:t>
            </w:r>
          </w:p>
        </w:tc>
      </w:tr>
    </w:tbl>
    <w:p>
      <w:pPr>
        <w:pStyle w:val="BodyText"/>
        <w:spacing w:before="161"/>
      </w:pPr>
    </w:p>
    <w:p>
      <w:pPr>
        <w:pStyle w:val="Heading6"/>
        <w:ind w:left="622"/>
        <w:rPr>
          <w:b w:val="0"/>
        </w:rPr>
      </w:pPr>
      <w:r>
        <w:rPr>
          <w:spacing w:val="-2"/>
        </w:rPr>
        <w:t>Revelación</w:t>
      </w:r>
      <w:r>
        <w:rPr>
          <w:b w:val="0"/>
          <w:spacing w:val="-2"/>
        </w:rPr>
        <w:t>:</w:t>
      </w:r>
    </w:p>
    <w:p>
      <w:pPr>
        <w:pStyle w:val="BodyText"/>
        <w:spacing w:before="160"/>
        <w:ind w:left="622" w:right="973"/>
        <w:jc w:val="both"/>
      </w:pPr>
      <w:r>
        <w:rPr/>
        <w:t>La cuenta Resultados acumulados de ejercicios anteriores, representa el 88,94% del total de Patrimonio, que comparado al periodo anterior genera una variación absoluta de ¢ 1.785.790,74 que corresponde a un incremento del 1,06% producto del movimiento normal de incremento de los resultados acumulados del periodo 2025.</w:t>
      </w:r>
    </w:p>
    <w:p>
      <w:pPr>
        <w:pStyle w:val="BodyText"/>
        <w:spacing w:before="250"/>
      </w:pPr>
    </w:p>
    <w:p>
      <w:pPr>
        <w:pStyle w:val="BodyText"/>
        <w:ind w:left="622"/>
        <w:jc w:val="both"/>
      </w:pPr>
      <w:r>
        <w:rPr/>
        <w:t>Detalle</w:t>
      </w:r>
      <w:r>
        <w:rPr>
          <w:spacing w:val="-4"/>
        </w:rPr>
        <w:t> </w:t>
      </w:r>
      <w:r>
        <w:rPr/>
        <w:t>de</w:t>
      </w:r>
      <w:r>
        <w:rPr>
          <w:spacing w:val="-4"/>
        </w:rPr>
        <w:t> </w:t>
      </w:r>
      <w:r>
        <w:rPr/>
        <w:t>la</w:t>
      </w:r>
      <w:r>
        <w:rPr>
          <w:spacing w:val="-3"/>
        </w:rPr>
        <w:t> </w:t>
      </w:r>
      <w:r>
        <w:rPr/>
        <w:t>cuenta</w:t>
      </w:r>
      <w:r>
        <w:rPr>
          <w:spacing w:val="-2"/>
        </w:rPr>
        <w:t> </w:t>
      </w:r>
      <w:r>
        <w:rPr/>
        <w:t>al</w:t>
      </w:r>
      <w:r>
        <w:rPr>
          <w:spacing w:val="-3"/>
        </w:rPr>
        <w:t> </w:t>
      </w:r>
      <w:r>
        <w:rPr/>
        <w:t>31</w:t>
      </w:r>
      <w:r>
        <w:rPr>
          <w:spacing w:val="-3"/>
        </w:rPr>
        <w:t> </w:t>
      </w:r>
      <w:r>
        <w:rPr/>
        <w:t>de</w:t>
      </w:r>
      <w:r>
        <w:rPr>
          <w:spacing w:val="-2"/>
        </w:rPr>
        <w:t> </w:t>
      </w:r>
      <w:r>
        <w:rPr/>
        <w:t>julio</w:t>
      </w:r>
      <w:r>
        <w:rPr>
          <w:spacing w:val="-2"/>
        </w:rPr>
        <w:t> </w:t>
      </w:r>
      <w:r>
        <w:rPr/>
        <w:t>es</w:t>
      </w:r>
      <w:r>
        <w:rPr>
          <w:spacing w:val="-1"/>
        </w:rPr>
        <w:t> </w:t>
      </w:r>
      <w:r>
        <w:rPr/>
        <w:t>el</w:t>
      </w:r>
      <w:r>
        <w:rPr>
          <w:spacing w:val="-1"/>
        </w:rPr>
        <w:t> </w:t>
      </w:r>
      <w:r>
        <w:rPr>
          <w:spacing w:val="-2"/>
        </w:rPr>
        <w:t>siguiente:</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1024">
                <wp:simplePos x="0" y="0"/>
                <wp:positionH relativeFrom="page">
                  <wp:posOffset>9525</wp:posOffset>
                </wp:positionH>
                <wp:positionV relativeFrom="page">
                  <wp:posOffset>297208</wp:posOffset>
                </wp:positionV>
                <wp:extent cx="7762875" cy="9748520"/>
                <wp:effectExtent l="0" t="0" r="0" b="0"/>
                <wp:wrapNone/>
                <wp:docPr id="443" name="Group 443"/>
                <wp:cNvGraphicFramePr>
                  <a:graphicFrameLocks/>
                </wp:cNvGraphicFramePr>
                <a:graphic>
                  <a:graphicData uri="http://schemas.microsoft.com/office/word/2010/wordprocessingGroup">
                    <wpg:wgp>
                      <wpg:cNvPr id="443" name="Group 443"/>
                      <wpg:cNvGrpSpPr/>
                      <wpg:grpSpPr>
                        <a:xfrm>
                          <a:off x="0" y="0"/>
                          <a:ext cx="7762875" cy="9748520"/>
                          <a:chExt cx="7762875" cy="9748520"/>
                        </a:xfrm>
                      </wpg:grpSpPr>
                      <pic:pic>
                        <pic:nvPicPr>
                          <pic:cNvPr id="444" name="Image 444"/>
                          <pic:cNvPicPr/>
                        </pic:nvPicPr>
                        <pic:blipFill>
                          <a:blip r:embed="rId5" cstate="print"/>
                          <a:stretch>
                            <a:fillRect/>
                          </a:stretch>
                        </pic:blipFill>
                        <pic:spPr>
                          <a:xfrm>
                            <a:off x="0" y="0"/>
                            <a:ext cx="7762874" cy="9748489"/>
                          </a:xfrm>
                          <a:prstGeom prst="rect">
                            <a:avLst/>
                          </a:prstGeom>
                        </pic:spPr>
                      </pic:pic>
                      <wps:wsp>
                        <wps:cNvPr id="445" name="Graphic 44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446" name="Image 446"/>
                          <pic:cNvPicPr/>
                        </pic:nvPicPr>
                        <pic:blipFill>
                          <a:blip r:embed="rId52" cstate="print"/>
                          <a:stretch>
                            <a:fillRect/>
                          </a:stretch>
                        </pic:blipFill>
                        <pic:spPr>
                          <a:xfrm>
                            <a:off x="2683509" y="7795612"/>
                            <a:ext cx="2843530" cy="1011427"/>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15456" id="docshapegroup421" coordorigin="15,468" coordsize="12225,15352">
                <v:shape style="position:absolute;left:15;top:468;width:12225;height:15352" type="#_x0000_t75" id="docshape422" stroked="false">
                  <v:imagedata r:id="rId5" o:title=""/>
                </v:shape>
                <v:rect style="position:absolute;left:1673;top:2028;width:8897;height:15" id="docshape423" filled="true" fillcolor="#000000" stroked="false">
                  <v:fill type="solid"/>
                </v:rect>
                <v:shape style="position:absolute;left:4241;top:12744;width:4478;height:1593" type="#_x0000_t75" id="docshape424" stroked="false">
                  <v:imagedata r:id="rId52" o:title=""/>
                </v:shape>
                <w10:wrap type="none"/>
              </v:group>
            </w:pict>
          </mc:Fallback>
        </mc:AlternateContent>
      </w:r>
      <w:r>
        <w:rPr>
          <w:color w:val="172951"/>
          <w:sz w:val="20"/>
        </w:rPr>
        <w:t>Pág.</w:t>
      </w:r>
      <w:r>
        <w:rPr>
          <w:color w:val="172951"/>
          <w:spacing w:val="-7"/>
          <w:sz w:val="20"/>
        </w:rPr>
        <w:t> </w:t>
      </w:r>
      <w:r>
        <w:rPr>
          <w:color w:val="172951"/>
          <w:spacing w:val="-5"/>
          <w:sz w:val="20"/>
        </w:rPr>
        <w:t>92</w:t>
      </w:r>
    </w:p>
    <w:p>
      <w:pPr>
        <w:pStyle w:val="BodyText"/>
        <w:spacing w:before="9" w:after="1"/>
        <w:rPr>
          <w:sz w:val="18"/>
        </w:rPr>
      </w:pPr>
    </w:p>
    <w:tbl>
      <w:tblPr>
        <w:tblW w:w="0" w:type="auto"/>
        <w:jc w:val="left"/>
        <w:tblInd w:w="1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71"/>
        <w:gridCol w:w="1680"/>
        <w:gridCol w:w="1393"/>
      </w:tblGrid>
      <w:tr>
        <w:trPr>
          <w:trHeight w:val="235" w:hRule="atLeast"/>
        </w:trPr>
        <w:tc>
          <w:tcPr>
            <w:tcW w:w="3671" w:type="dxa"/>
            <w:tcBorders>
              <w:top w:val="single" w:sz="2" w:space="0" w:color="000000"/>
              <w:left w:val="single" w:sz="2" w:space="0" w:color="000000"/>
            </w:tcBorders>
          </w:tcPr>
          <w:p>
            <w:pPr>
              <w:pStyle w:val="TableParagraph"/>
              <w:rPr>
                <w:rFonts w:ascii="Times New Roman"/>
                <w:sz w:val="16"/>
              </w:rPr>
            </w:pPr>
          </w:p>
        </w:tc>
        <w:tc>
          <w:tcPr>
            <w:tcW w:w="1680" w:type="dxa"/>
            <w:tcBorders>
              <w:top w:val="single" w:sz="2" w:space="0" w:color="000000"/>
            </w:tcBorders>
          </w:tcPr>
          <w:p>
            <w:pPr>
              <w:pStyle w:val="TableParagraph"/>
              <w:spacing w:line="192" w:lineRule="exact" w:before="23"/>
              <w:ind w:right="133"/>
              <w:jc w:val="center"/>
              <w:rPr>
                <w:rFonts w:ascii="Times New Roman"/>
                <w:b/>
                <w:sz w:val="17"/>
              </w:rPr>
            </w:pPr>
            <w:r>
              <w:rPr>
                <w:rFonts w:ascii="Times New Roman"/>
                <w:b/>
                <w:spacing w:val="-4"/>
                <w:w w:val="105"/>
                <w:sz w:val="17"/>
                <w:u w:val="single"/>
              </w:rPr>
              <w:t>2026</w:t>
            </w:r>
          </w:p>
        </w:tc>
        <w:tc>
          <w:tcPr>
            <w:tcW w:w="1393" w:type="dxa"/>
            <w:tcBorders>
              <w:top w:val="single" w:sz="2" w:space="0" w:color="000000"/>
              <w:right w:val="single" w:sz="4" w:space="0" w:color="000000"/>
            </w:tcBorders>
          </w:tcPr>
          <w:p>
            <w:pPr>
              <w:pStyle w:val="TableParagraph"/>
              <w:spacing w:line="192" w:lineRule="exact" w:before="23"/>
              <w:ind w:left="446"/>
              <w:rPr>
                <w:rFonts w:ascii="Times New Roman"/>
                <w:b/>
                <w:sz w:val="17"/>
              </w:rPr>
            </w:pPr>
            <w:r>
              <w:rPr>
                <w:rFonts w:ascii="Times New Roman"/>
                <w:b/>
                <w:spacing w:val="-4"/>
                <w:w w:val="105"/>
                <w:sz w:val="17"/>
                <w:u w:val="single"/>
              </w:rPr>
              <w:t>2025</w:t>
            </w:r>
          </w:p>
        </w:tc>
      </w:tr>
      <w:tr>
        <w:trPr>
          <w:trHeight w:val="241" w:hRule="atLeast"/>
        </w:trPr>
        <w:tc>
          <w:tcPr>
            <w:tcW w:w="3671" w:type="dxa"/>
            <w:tcBorders>
              <w:left w:val="single" w:sz="2" w:space="0" w:color="000000"/>
            </w:tcBorders>
          </w:tcPr>
          <w:p>
            <w:pPr>
              <w:pStyle w:val="TableParagraph"/>
              <w:spacing w:line="213" w:lineRule="exact" w:before="9"/>
              <w:ind w:left="143"/>
              <w:rPr>
                <w:rFonts w:ascii="Times New Roman"/>
                <w:b/>
                <w:sz w:val="19"/>
              </w:rPr>
            </w:pPr>
            <w:r>
              <w:rPr>
                <w:rFonts w:ascii="Times New Roman"/>
                <w:b/>
                <w:sz w:val="19"/>
              </w:rPr>
              <w:t>Resultado</w:t>
            </w:r>
            <w:r>
              <w:rPr>
                <w:rFonts w:ascii="Times New Roman"/>
                <w:b/>
                <w:spacing w:val="-7"/>
                <w:sz w:val="19"/>
              </w:rPr>
              <w:t> </w:t>
            </w:r>
            <w:r>
              <w:rPr>
                <w:rFonts w:ascii="Times New Roman"/>
                <w:b/>
                <w:sz w:val="19"/>
              </w:rPr>
              <w:t>ejercicios</w:t>
            </w:r>
            <w:r>
              <w:rPr>
                <w:rFonts w:ascii="Times New Roman"/>
                <w:b/>
                <w:spacing w:val="-1"/>
                <w:sz w:val="19"/>
              </w:rPr>
              <w:t> </w:t>
            </w:r>
            <w:r>
              <w:rPr>
                <w:rFonts w:ascii="Times New Roman"/>
                <w:b/>
                <w:spacing w:val="-2"/>
                <w:sz w:val="19"/>
              </w:rPr>
              <w:t>anteriores</w:t>
            </w:r>
          </w:p>
        </w:tc>
        <w:tc>
          <w:tcPr>
            <w:tcW w:w="1680" w:type="dxa"/>
          </w:tcPr>
          <w:p>
            <w:pPr>
              <w:pStyle w:val="TableParagraph"/>
              <w:rPr>
                <w:rFonts w:ascii="Times New Roman"/>
                <w:sz w:val="16"/>
              </w:rPr>
            </w:pPr>
          </w:p>
        </w:tc>
        <w:tc>
          <w:tcPr>
            <w:tcW w:w="1393" w:type="dxa"/>
            <w:tcBorders>
              <w:right w:val="single" w:sz="4" w:space="0" w:color="000000"/>
            </w:tcBorders>
          </w:tcPr>
          <w:p>
            <w:pPr>
              <w:pStyle w:val="TableParagraph"/>
              <w:rPr>
                <w:rFonts w:ascii="Times New Roman"/>
                <w:sz w:val="16"/>
              </w:rPr>
            </w:pPr>
          </w:p>
        </w:tc>
      </w:tr>
      <w:tr>
        <w:trPr>
          <w:trHeight w:val="242" w:hRule="atLeast"/>
        </w:trPr>
        <w:tc>
          <w:tcPr>
            <w:tcW w:w="3671" w:type="dxa"/>
            <w:tcBorders>
              <w:left w:val="single" w:sz="2" w:space="0" w:color="000000"/>
            </w:tcBorders>
          </w:tcPr>
          <w:p>
            <w:pPr>
              <w:pStyle w:val="TableParagraph"/>
              <w:spacing w:line="215" w:lineRule="exact" w:before="7"/>
              <w:ind w:left="143"/>
              <w:rPr>
                <w:rFonts w:ascii="Times New Roman"/>
                <w:sz w:val="19"/>
              </w:rPr>
            </w:pPr>
            <w:r>
              <w:rPr>
                <w:rFonts w:ascii="Times New Roman"/>
                <w:sz w:val="19"/>
              </w:rPr>
              <w:t>a)</w:t>
            </w:r>
            <w:r>
              <w:rPr>
                <w:rFonts w:ascii="Times New Roman"/>
                <w:spacing w:val="-7"/>
                <w:sz w:val="19"/>
              </w:rPr>
              <w:t> </w:t>
            </w:r>
            <w:r>
              <w:rPr>
                <w:rFonts w:ascii="Times New Roman"/>
                <w:sz w:val="19"/>
              </w:rPr>
              <w:t>Resultados</w:t>
            </w:r>
            <w:r>
              <w:rPr>
                <w:rFonts w:ascii="Times New Roman"/>
                <w:spacing w:val="-3"/>
                <w:sz w:val="19"/>
              </w:rPr>
              <w:t> </w:t>
            </w:r>
            <w:r>
              <w:rPr>
                <w:rFonts w:ascii="Times New Roman"/>
                <w:sz w:val="19"/>
              </w:rPr>
              <w:t>de</w:t>
            </w:r>
            <w:r>
              <w:rPr>
                <w:rFonts w:ascii="Times New Roman"/>
                <w:spacing w:val="-8"/>
                <w:sz w:val="19"/>
              </w:rPr>
              <w:t> </w:t>
            </w:r>
            <w:r>
              <w:rPr>
                <w:rFonts w:ascii="Times New Roman"/>
                <w:sz w:val="19"/>
              </w:rPr>
              <w:t>ejercicios</w:t>
            </w:r>
            <w:r>
              <w:rPr>
                <w:rFonts w:ascii="Times New Roman"/>
                <w:spacing w:val="-3"/>
                <w:sz w:val="19"/>
              </w:rPr>
              <w:t> </w:t>
            </w:r>
            <w:r>
              <w:rPr>
                <w:rFonts w:ascii="Times New Roman"/>
                <w:spacing w:val="-2"/>
                <w:sz w:val="19"/>
              </w:rPr>
              <w:t>anteriores</w:t>
            </w:r>
          </w:p>
        </w:tc>
        <w:tc>
          <w:tcPr>
            <w:tcW w:w="1680" w:type="dxa"/>
          </w:tcPr>
          <w:p>
            <w:pPr>
              <w:pStyle w:val="TableParagraph"/>
              <w:spacing w:line="215" w:lineRule="exact" w:before="7"/>
              <w:ind w:right="162"/>
              <w:jc w:val="right"/>
              <w:rPr>
                <w:rFonts w:ascii="Times New Roman"/>
                <w:sz w:val="19"/>
              </w:rPr>
            </w:pPr>
            <w:r>
              <w:rPr>
                <w:rFonts w:ascii="Times New Roman"/>
                <w:sz w:val="19"/>
              </w:rPr>
              <w:t>61 645</w:t>
            </w:r>
            <w:r>
              <w:rPr>
                <w:rFonts w:ascii="Times New Roman"/>
                <w:spacing w:val="1"/>
                <w:sz w:val="19"/>
              </w:rPr>
              <w:t> </w:t>
            </w:r>
            <w:r>
              <w:rPr>
                <w:rFonts w:ascii="Times New Roman"/>
                <w:spacing w:val="-2"/>
                <w:sz w:val="19"/>
              </w:rPr>
              <w:t>121,14</w:t>
            </w:r>
          </w:p>
        </w:tc>
        <w:tc>
          <w:tcPr>
            <w:tcW w:w="1393" w:type="dxa"/>
            <w:tcBorders>
              <w:right w:val="single" w:sz="4" w:space="0" w:color="000000"/>
            </w:tcBorders>
          </w:tcPr>
          <w:p>
            <w:pPr>
              <w:pStyle w:val="TableParagraph"/>
              <w:spacing w:line="215" w:lineRule="exact" w:before="7"/>
              <w:ind w:right="14"/>
              <w:jc w:val="right"/>
              <w:rPr>
                <w:rFonts w:ascii="Times New Roman"/>
                <w:sz w:val="19"/>
              </w:rPr>
            </w:pPr>
            <w:r>
              <w:rPr>
                <w:rFonts w:ascii="Times New Roman"/>
                <w:sz w:val="19"/>
              </w:rPr>
              <w:t>59 859</w:t>
            </w:r>
            <w:r>
              <w:rPr>
                <w:rFonts w:ascii="Times New Roman"/>
                <w:spacing w:val="1"/>
                <w:sz w:val="19"/>
              </w:rPr>
              <w:t> </w:t>
            </w:r>
            <w:r>
              <w:rPr>
                <w:rFonts w:ascii="Times New Roman"/>
                <w:spacing w:val="-2"/>
                <w:sz w:val="19"/>
              </w:rPr>
              <w:t>330,40</w:t>
            </w:r>
          </w:p>
        </w:tc>
      </w:tr>
      <w:tr>
        <w:trPr>
          <w:trHeight w:val="489" w:hRule="atLeast"/>
        </w:trPr>
        <w:tc>
          <w:tcPr>
            <w:tcW w:w="3671" w:type="dxa"/>
            <w:tcBorders>
              <w:left w:val="single" w:sz="2" w:space="0" w:color="000000"/>
            </w:tcBorders>
          </w:tcPr>
          <w:p>
            <w:pPr>
              <w:pStyle w:val="TableParagraph"/>
              <w:spacing w:before="9"/>
              <w:ind w:left="143"/>
              <w:rPr>
                <w:rFonts w:ascii="Times New Roman" w:hAnsi="Times New Roman"/>
                <w:sz w:val="19"/>
              </w:rPr>
            </w:pPr>
            <w:r>
              <w:rPr>
                <w:rFonts w:ascii="Times New Roman" w:hAnsi="Times New Roman"/>
                <w:sz w:val="19"/>
              </w:rPr>
              <w:t>b)</w:t>
            </w:r>
            <w:r>
              <w:rPr>
                <w:rFonts w:ascii="Times New Roman" w:hAnsi="Times New Roman"/>
                <w:spacing w:val="-5"/>
                <w:sz w:val="19"/>
              </w:rPr>
              <w:t> </w:t>
            </w:r>
            <w:r>
              <w:rPr>
                <w:rFonts w:ascii="Times New Roman" w:hAnsi="Times New Roman"/>
                <w:sz w:val="19"/>
              </w:rPr>
              <w:t>Ajustes</w:t>
            </w:r>
            <w:r>
              <w:rPr>
                <w:rFonts w:ascii="Times New Roman" w:hAnsi="Times New Roman"/>
                <w:spacing w:val="-2"/>
                <w:sz w:val="19"/>
              </w:rPr>
              <w:t> </w:t>
            </w:r>
            <w:r>
              <w:rPr>
                <w:rFonts w:ascii="Times New Roman" w:hAnsi="Times New Roman"/>
                <w:sz w:val="19"/>
              </w:rPr>
              <w:t>por</w:t>
            </w:r>
            <w:r>
              <w:rPr>
                <w:rFonts w:ascii="Times New Roman" w:hAnsi="Times New Roman"/>
                <w:spacing w:val="-4"/>
                <w:sz w:val="19"/>
              </w:rPr>
              <w:t> </w:t>
            </w:r>
            <w:r>
              <w:rPr>
                <w:rFonts w:ascii="Times New Roman" w:hAnsi="Times New Roman"/>
                <w:sz w:val="19"/>
              </w:rPr>
              <w:t>reexpresión</w:t>
            </w:r>
            <w:r>
              <w:rPr>
                <w:rFonts w:ascii="Times New Roman" w:hAnsi="Times New Roman"/>
                <w:spacing w:val="-3"/>
                <w:sz w:val="19"/>
              </w:rPr>
              <w:t> </w:t>
            </w:r>
            <w:r>
              <w:rPr>
                <w:rFonts w:ascii="Times New Roman" w:hAnsi="Times New Roman"/>
                <w:sz w:val="19"/>
              </w:rPr>
              <w:t>de</w:t>
            </w:r>
            <w:r>
              <w:rPr>
                <w:rFonts w:ascii="Times New Roman" w:hAnsi="Times New Roman"/>
                <w:spacing w:val="-7"/>
                <w:sz w:val="19"/>
              </w:rPr>
              <w:t> </w:t>
            </w:r>
            <w:r>
              <w:rPr>
                <w:rFonts w:ascii="Times New Roman" w:hAnsi="Times New Roman"/>
                <w:sz w:val="19"/>
              </w:rPr>
              <w:t>resultados</w:t>
            </w:r>
            <w:r>
              <w:rPr>
                <w:rFonts w:ascii="Times New Roman" w:hAnsi="Times New Roman"/>
                <w:spacing w:val="-1"/>
                <w:sz w:val="19"/>
              </w:rPr>
              <w:t> </w:t>
            </w:r>
            <w:r>
              <w:rPr>
                <w:rFonts w:ascii="Times New Roman" w:hAnsi="Times New Roman"/>
                <w:spacing w:val="-5"/>
                <w:sz w:val="19"/>
              </w:rPr>
              <w:t>de</w:t>
            </w:r>
          </w:p>
          <w:p>
            <w:pPr>
              <w:pStyle w:val="TableParagraph"/>
              <w:spacing w:line="215" w:lineRule="exact" w:before="27"/>
              <w:ind w:left="143"/>
              <w:rPr>
                <w:rFonts w:ascii="Times New Roman"/>
                <w:sz w:val="19"/>
              </w:rPr>
            </w:pPr>
            <w:r>
              <w:rPr>
                <w:rFonts w:ascii="Times New Roman"/>
                <w:spacing w:val="-2"/>
                <w:sz w:val="19"/>
              </w:rPr>
              <w:t>ejercicios</w:t>
            </w:r>
          </w:p>
        </w:tc>
        <w:tc>
          <w:tcPr>
            <w:tcW w:w="1680" w:type="dxa"/>
          </w:tcPr>
          <w:p>
            <w:pPr>
              <w:pStyle w:val="TableParagraph"/>
              <w:spacing w:before="130"/>
              <w:ind w:right="162"/>
              <w:jc w:val="right"/>
              <w:rPr>
                <w:rFonts w:ascii="Times New Roman"/>
                <w:sz w:val="19"/>
              </w:rPr>
            </w:pPr>
            <w:r>
              <w:rPr>
                <w:rFonts w:ascii="Times New Roman"/>
                <w:sz w:val="19"/>
              </w:rPr>
              <w:t>107 457</w:t>
            </w:r>
            <w:r>
              <w:rPr>
                <w:rFonts w:ascii="Times New Roman"/>
                <w:spacing w:val="1"/>
                <w:sz w:val="19"/>
              </w:rPr>
              <w:t> </w:t>
            </w:r>
            <w:r>
              <w:rPr>
                <w:rFonts w:ascii="Times New Roman"/>
                <w:spacing w:val="-2"/>
                <w:sz w:val="19"/>
              </w:rPr>
              <w:t>382,39</w:t>
            </w:r>
          </w:p>
        </w:tc>
        <w:tc>
          <w:tcPr>
            <w:tcW w:w="1393" w:type="dxa"/>
            <w:tcBorders>
              <w:right w:val="single" w:sz="4" w:space="0" w:color="000000"/>
            </w:tcBorders>
          </w:tcPr>
          <w:p>
            <w:pPr>
              <w:pStyle w:val="TableParagraph"/>
              <w:spacing w:before="130"/>
              <w:ind w:right="14"/>
              <w:jc w:val="right"/>
              <w:rPr>
                <w:rFonts w:ascii="Times New Roman"/>
                <w:sz w:val="19"/>
              </w:rPr>
            </w:pPr>
            <w:r>
              <w:rPr>
                <w:rFonts w:ascii="Times New Roman"/>
                <w:sz w:val="19"/>
              </w:rPr>
              <w:t>107 457</w:t>
            </w:r>
            <w:r>
              <w:rPr>
                <w:rFonts w:ascii="Times New Roman"/>
                <w:spacing w:val="1"/>
                <w:sz w:val="19"/>
              </w:rPr>
              <w:t> </w:t>
            </w:r>
            <w:r>
              <w:rPr>
                <w:rFonts w:ascii="Times New Roman"/>
                <w:spacing w:val="-2"/>
                <w:sz w:val="19"/>
              </w:rPr>
              <w:t>382,39</w:t>
            </w:r>
          </w:p>
        </w:tc>
      </w:tr>
      <w:tr>
        <w:trPr>
          <w:trHeight w:val="244" w:hRule="atLeast"/>
        </w:trPr>
        <w:tc>
          <w:tcPr>
            <w:tcW w:w="3671" w:type="dxa"/>
            <w:tcBorders>
              <w:left w:val="single" w:sz="2" w:space="0" w:color="000000"/>
            </w:tcBorders>
          </w:tcPr>
          <w:p>
            <w:pPr>
              <w:pStyle w:val="TableParagraph"/>
              <w:spacing w:line="215" w:lineRule="exact" w:before="10"/>
              <w:ind w:left="143"/>
              <w:rPr>
                <w:rFonts w:ascii="Times New Roman" w:hAnsi="Times New Roman"/>
                <w:sz w:val="19"/>
              </w:rPr>
            </w:pPr>
            <w:r>
              <w:rPr>
                <w:rFonts w:ascii="Times New Roman" w:hAnsi="Times New Roman"/>
                <w:sz w:val="19"/>
              </w:rPr>
              <w:t>c)Ajustes</w:t>
            </w:r>
            <w:r>
              <w:rPr>
                <w:rFonts w:ascii="Times New Roman" w:hAnsi="Times New Roman"/>
                <w:spacing w:val="-5"/>
                <w:sz w:val="19"/>
              </w:rPr>
              <w:t> </w:t>
            </w:r>
            <w:r>
              <w:rPr>
                <w:rFonts w:ascii="Times New Roman" w:hAnsi="Times New Roman"/>
                <w:sz w:val="19"/>
              </w:rPr>
              <w:t>por</w:t>
            </w:r>
            <w:r>
              <w:rPr>
                <w:rFonts w:ascii="Times New Roman" w:hAnsi="Times New Roman"/>
                <w:spacing w:val="-8"/>
                <w:sz w:val="19"/>
              </w:rPr>
              <w:t> </w:t>
            </w:r>
            <w:r>
              <w:rPr>
                <w:rFonts w:ascii="Times New Roman" w:hAnsi="Times New Roman"/>
                <w:sz w:val="19"/>
              </w:rPr>
              <w:t>corrección</w:t>
            </w:r>
            <w:r>
              <w:rPr>
                <w:rFonts w:ascii="Times New Roman" w:hAnsi="Times New Roman"/>
                <w:spacing w:val="-6"/>
                <w:sz w:val="19"/>
              </w:rPr>
              <w:t> </w:t>
            </w:r>
            <w:r>
              <w:rPr>
                <w:rFonts w:ascii="Times New Roman" w:hAnsi="Times New Roman"/>
                <w:sz w:val="19"/>
              </w:rPr>
              <w:t>de</w:t>
            </w:r>
            <w:r>
              <w:rPr>
                <w:rFonts w:ascii="Times New Roman" w:hAnsi="Times New Roman"/>
                <w:spacing w:val="-10"/>
                <w:sz w:val="19"/>
              </w:rPr>
              <w:t> </w:t>
            </w:r>
            <w:r>
              <w:rPr>
                <w:rFonts w:ascii="Times New Roman" w:hAnsi="Times New Roman"/>
                <w:spacing w:val="-2"/>
                <w:sz w:val="19"/>
              </w:rPr>
              <w:t>errores</w:t>
            </w:r>
          </w:p>
        </w:tc>
        <w:tc>
          <w:tcPr>
            <w:tcW w:w="1680" w:type="dxa"/>
          </w:tcPr>
          <w:p>
            <w:pPr>
              <w:pStyle w:val="TableParagraph"/>
              <w:spacing w:line="215" w:lineRule="exact" w:before="10"/>
              <w:ind w:right="162"/>
              <w:jc w:val="right"/>
              <w:rPr>
                <w:rFonts w:ascii="Times New Roman"/>
                <w:sz w:val="19"/>
              </w:rPr>
            </w:pPr>
            <w:r>
              <w:rPr>
                <w:rFonts w:ascii="Times New Roman"/>
                <w:sz w:val="19"/>
              </w:rPr>
              <w:t>999 </w:t>
            </w:r>
            <w:r>
              <w:rPr>
                <w:rFonts w:ascii="Times New Roman"/>
                <w:spacing w:val="-2"/>
                <w:sz w:val="19"/>
              </w:rPr>
              <w:t>699,95</w:t>
            </w:r>
          </w:p>
        </w:tc>
        <w:tc>
          <w:tcPr>
            <w:tcW w:w="1393" w:type="dxa"/>
            <w:tcBorders>
              <w:right w:val="single" w:sz="4" w:space="0" w:color="000000"/>
            </w:tcBorders>
          </w:tcPr>
          <w:p>
            <w:pPr>
              <w:pStyle w:val="TableParagraph"/>
              <w:spacing w:line="215" w:lineRule="exact" w:before="10"/>
              <w:ind w:right="13"/>
              <w:jc w:val="right"/>
              <w:rPr>
                <w:rFonts w:ascii="Times New Roman"/>
                <w:sz w:val="19"/>
              </w:rPr>
            </w:pPr>
            <w:r>
              <w:rPr>
                <w:rFonts w:ascii="Times New Roman"/>
                <w:sz w:val="19"/>
              </w:rPr>
              <w:t>999 </w:t>
            </w:r>
            <w:r>
              <w:rPr>
                <w:rFonts w:ascii="Times New Roman"/>
                <w:spacing w:val="-2"/>
                <w:sz w:val="19"/>
              </w:rPr>
              <w:t>699,95</w:t>
            </w:r>
          </w:p>
        </w:tc>
      </w:tr>
      <w:tr>
        <w:trPr>
          <w:trHeight w:val="479" w:hRule="atLeast"/>
        </w:trPr>
        <w:tc>
          <w:tcPr>
            <w:tcW w:w="3671" w:type="dxa"/>
            <w:tcBorders>
              <w:left w:val="single" w:sz="2" w:space="0" w:color="000000"/>
            </w:tcBorders>
          </w:tcPr>
          <w:p>
            <w:pPr>
              <w:pStyle w:val="TableParagraph"/>
              <w:spacing w:before="9"/>
              <w:ind w:left="143"/>
              <w:rPr>
                <w:rFonts w:ascii="Times New Roman" w:hAnsi="Times New Roman"/>
                <w:sz w:val="19"/>
              </w:rPr>
            </w:pPr>
            <w:r>
              <w:rPr>
                <w:rFonts w:ascii="Times New Roman" w:hAnsi="Times New Roman"/>
                <w:sz w:val="19"/>
              </w:rPr>
              <w:t>d)Ajuste</w:t>
            </w:r>
            <w:r>
              <w:rPr>
                <w:rFonts w:ascii="Times New Roman" w:hAnsi="Times New Roman"/>
                <w:spacing w:val="-7"/>
                <w:sz w:val="19"/>
              </w:rPr>
              <w:t> </w:t>
            </w:r>
            <w:r>
              <w:rPr>
                <w:rFonts w:ascii="Times New Roman" w:hAnsi="Times New Roman"/>
                <w:sz w:val="19"/>
              </w:rPr>
              <w:t>por</w:t>
            </w:r>
            <w:r>
              <w:rPr>
                <w:rFonts w:ascii="Times New Roman" w:hAnsi="Times New Roman"/>
                <w:spacing w:val="-4"/>
                <w:sz w:val="19"/>
              </w:rPr>
              <w:t> </w:t>
            </w:r>
            <w:r>
              <w:rPr>
                <w:rFonts w:ascii="Times New Roman" w:hAnsi="Times New Roman"/>
                <w:sz w:val="19"/>
              </w:rPr>
              <w:t>cambios</w:t>
            </w:r>
            <w:r>
              <w:rPr>
                <w:rFonts w:ascii="Times New Roman" w:hAnsi="Times New Roman"/>
                <w:spacing w:val="-1"/>
                <w:sz w:val="19"/>
              </w:rPr>
              <w:t> </w:t>
            </w:r>
            <w:r>
              <w:rPr>
                <w:rFonts w:ascii="Times New Roman" w:hAnsi="Times New Roman"/>
                <w:sz w:val="19"/>
              </w:rPr>
              <w:t>en</w:t>
            </w:r>
            <w:r>
              <w:rPr>
                <w:rFonts w:ascii="Times New Roman" w:hAnsi="Times New Roman"/>
                <w:spacing w:val="-2"/>
                <w:sz w:val="19"/>
              </w:rPr>
              <w:t> </w:t>
            </w:r>
            <w:r>
              <w:rPr>
                <w:rFonts w:ascii="Times New Roman" w:hAnsi="Times New Roman"/>
                <w:sz w:val="19"/>
              </w:rPr>
              <w:t>la</w:t>
            </w:r>
            <w:r>
              <w:rPr>
                <w:rFonts w:ascii="Times New Roman" w:hAnsi="Times New Roman"/>
                <w:spacing w:val="-2"/>
                <w:sz w:val="19"/>
              </w:rPr>
              <w:t> </w:t>
            </w:r>
            <w:r>
              <w:rPr>
                <w:rFonts w:ascii="Times New Roman" w:hAnsi="Times New Roman"/>
                <w:sz w:val="19"/>
              </w:rPr>
              <w:t>política</w:t>
            </w:r>
            <w:r>
              <w:rPr>
                <w:rFonts w:ascii="Times New Roman" w:hAnsi="Times New Roman"/>
                <w:spacing w:val="-1"/>
                <w:sz w:val="19"/>
              </w:rPr>
              <w:t> </w:t>
            </w:r>
            <w:r>
              <w:rPr>
                <w:rFonts w:ascii="Times New Roman" w:hAnsi="Times New Roman"/>
                <w:spacing w:val="-2"/>
                <w:sz w:val="19"/>
              </w:rPr>
              <w:t>contable</w:t>
            </w:r>
          </w:p>
        </w:tc>
        <w:tc>
          <w:tcPr>
            <w:tcW w:w="1680" w:type="dxa"/>
            <w:tcBorders>
              <w:bottom w:val="double" w:sz="2" w:space="0" w:color="000000"/>
            </w:tcBorders>
          </w:tcPr>
          <w:p>
            <w:pPr>
              <w:pStyle w:val="TableParagraph"/>
              <w:spacing w:before="9"/>
              <w:ind w:right="162"/>
              <w:jc w:val="right"/>
              <w:rPr>
                <w:rFonts w:ascii="Times New Roman"/>
                <w:sz w:val="19"/>
              </w:rPr>
            </w:pPr>
            <w:r>
              <w:rPr>
                <w:rFonts w:ascii="Times New Roman"/>
                <w:sz w:val="19"/>
              </w:rPr>
              <w:t>3 </w:t>
            </w:r>
            <w:r>
              <w:rPr>
                <w:rFonts w:ascii="Times New Roman"/>
                <w:spacing w:val="-2"/>
                <w:sz w:val="19"/>
              </w:rPr>
              <w:t>270,06</w:t>
            </w:r>
          </w:p>
        </w:tc>
        <w:tc>
          <w:tcPr>
            <w:tcW w:w="1393" w:type="dxa"/>
            <w:tcBorders>
              <w:bottom w:val="double" w:sz="2" w:space="0" w:color="000000"/>
              <w:right w:val="single" w:sz="4" w:space="0" w:color="000000"/>
            </w:tcBorders>
          </w:tcPr>
          <w:p>
            <w:pPr>
              <w:pStyle w:val="TableParagraph"/>
              <w:spacing w:before="9"/>
              <w:ind w:right="13"/>
              <w:jc w:val="right"/>
              <w:rPr>
                <w:rFonts w:ascii="Times New Roman"/>
                <w:sz w:val="19"/>
              </w:rPr>
            </w:pPr>
            <w:r>
              <w:rPr>
                <w:rFonts w:ascii="Times New Roman"/>
                <w:sz w:val="19"/>
              </w:rPr>
              <w:t>3 </w:t>
            </w:r>
            <w:r>
              <w:rPr>
                <w:rFonts w:ascii="Times New Roman"/>
                <w:spacing w:val="-2"/>
                <w:sz w:val="19"/>
              </w:rPr>
              <w:t>270,06</w:t>
            </w:r>
          </w:p>
        </w:tc>
      </w:tr>
      <w:tr>
        <w:trPr>
          <w:trHeight w:val="234" w:hRule="atLeast"/>
        </w:trPr>
        <w:tc>
          <w:tcPr>
            <w:tcW w:w="3671" w:type="dxa"/>
            <w:tcBorders>
              <w:left w:val="single" w:sz="2" w:space="0" w:color="000000"/>
              <w:bottom w:val="single" w:sz="4" w:space="0" w:color="000000"/>
            </w:tcBorders>
          </w:tcPr>
          <w:p>
            <w:pPr>
              <w:pStyle w:val="TableParagraph"/>
              <w:spacing w:line="186" w:lineRule="exact" w:before="28"/>
              <w:ind w:left="9"/>
              <w:jc w:val="center"/>
              <w:rPr>
                <w:rFonts w:ascii="Times New Roman"/>
                <w:b/>
                <w:sz w:val="17"/>
              </w:rPr>
            </w:pPr>
            <w:r>
              <w:rPr>
                <w:rFonts w:ascii="Times New Roman"/>
                <w:b/>
                <w:spacing w:val="-4"/>
                <w:w w:val="105"/>
                <w:sz w:val="17"/>
              </w:rPr>
              <w:t>Total</w:t>
            </w:r>
          </w:p>
        </w:tc>
        <w:tc>
          <w:tcPr>
            <w:tcW w:w="1680" w:type="dxa"/>
            <w:tcBorders>
              <w:top w:val="double" w:sz="2" w:space="0" w:color="000000"/>
              <w:bottom w:val="single" w:sz="4" w:space="0" w:color="000000"/>
            </w:tcBorders>
          </w:tcPr>
          <w:p>
            <w:pPr>
              <w:pStyle w:val="TableParagraph"/>
              <w:spacing w:line="200" w:lineRule="exact" w:before="14"/>
              <w:ind w:right="162"/>
              <w:jc w:val="right"/>
              <w:rPr>
                <w:rFonts w:ascii="Times New Roman"/>
                <w:b/>
                <w:sz w:val="19"/>
              </w:rPr>
            </w:pPr>
            <w:r>
              <w:rPr>
                <w:rFonts w:ascii="Times New Roman"/>
                <w:b/>
                <w:sz w:val="19"/>
                <w:u w:val="single"/>
              </w:rPr>
              <w:t>170 105</w:t>
            </w:r>
            <w:r>
              <w:rPr>
                <w:rFonts w:ascii="Times New Roman"/>
                <w:b/>
                <w:spacing w:val="1"/>
                <w:sz w:val="19"/>
                <w:u w:val="single"/>
              </w:rPr>
              <w:t> </w:t>
            </w:r>
            <w:r>
              <w:rPr>
                <w:rFonts w:ascii="Times New Roman"/>
                <w:b/>
                <w:spacing w:val="-2"/>
                <w:sz w:val="19"/>
                <w:u w:val="single"/>
              </w:rPr>
              <w:t>473,54</w:t>
            </w:r>
          </w:p>
        </w:tc>
        <w:tc>
          <w:tcPr>
            <w:tcW w:w="1393" w:type="dxa"/>
            <w:tcBorders>
              <w:top w:val="double" w:sz="2" w:space="0" w:color="000000"/>
              <w:bottom w:val="single" w:sz="4" w:space="0" w:color="000000"/>
              <w:right w:val="single" w:sz="4" w:space="0" w:color="000000"/>
            </w:tcBorders>
          </w:tcPr>
          <w:p>
            <w:pPr>
              <w:pStyle w:val="TableParagraph"/>
              <w:spacing w:line="200" w:lineRule="exact" w:before="14"/>
              <w:ind w:right="14"/>
              <w:jc w:val="right"/>
              <w:rPr>
                <w:rFonts w:ascii="Times New Roman"/>
                <w:b/>
                <w:sz w:val="19"/>
              </w:rPr>
            </w:pPr>
            <w:r>
              <w:rPr>
                <w:rFonts w:ascii="Times New Roman"/>
                <w:b/>
                <w:sz w:val="19"/>
                <w:u w:val="single"/>
              </w:rPr>
              <w:t>168 319</w:t>
            </w:r>
            <w:r>
              <w:rPr>
                <w:rFonts w:ascii="Times New Roman"/>
                <w:b/>
                <w:spacing w:val="1"/>
                <w:sz w:val="19"/>
                <w:u w:val="single"/>
              </w:rPr>
              <w:t> </w:t>
            </w:r>
            <w:r>
              <w:rPr>
                <w:rFonts w:ascii="Times New Roman"/>
                <w:b/>
                <w:spacing w:val="-2"/>
                <w:sz w:val="19"/>
                <w:u w:val="single"/>
              </w:rPr>
              <w:t>682,80</w:t>
            </w:r>
          </w:p>
        </w:tc>
      </w:tr>
    </w:tbl>
    <w:p>
      <w:pPr>
        <w:pStyle w:val="BodyText"/>
        <w:spacing w:before="74"/>
        <w:rPr>
          <w:sz w:val="20"/>
        </w:rPr>
      </w:pPr>
    </w:p>
    <w:p>
      <w:pPr>
        <w:pStyle w:val="ListParagraph"/>
        <w:numPr>
          <w:ilvl w:val="2"/>
          <w:numId w:val="39"/>
        </w:numPr>
        <w:tabs>
          <w:tab w:pos="1341" w:val="left" w:leader="none"/>
        </w:tabs>
        <w:spacing w:line="251" w:lineRule="exact" w:before="0" w:after="0"/>
        <w:ind w:left="1341" w:right="0" w:hanging="360"/>
        <w:jc w:val="left"/>
        <w:rPr>
          <w:sz w:val="22"/>
        </w:rPr>
      </w:pPr>
      <w:r>
        <w:rPr>
          <w:sz w:val="22"/>
        </w:rPr>
        <w:t>Resultados</w:t>
      </w:r>
      <w:r>
        <w:rPr>
          <w:spacing w:val="-4"/>
          <w:sz w:val="22"/>
        </w:rPr>
        <w:t> </w:t>
      </w:r>
      <w:r>
        <w:rPr>
          <w:sz w:val="22"/>
        </w:rPr>
        <w:t>acumulados</w:t>
      </w:r>
      <w:r>
        <w:rPr>
          <w:spacing w:val="-6"/>
          <w:sz w:val="22"/>
        </w:rPr>
        <w:t> </w:t>
      </w:r>
      <w:r>
        <w:rPr>
          <w:sz w:val="22"/>
        </w:rPr>
        <w:t>de</w:t>
      </w:r>
      <w:r>
        <w:rPr>
          <w:spacing w:val="-7"/>
          <w:sz w:val="22"/>
        </w:rPr>
        <w:t> </w:t>
      </w:r>
      <w:r>
        <w:rPr>
          <w:sz w:val="22"/>
        </w:rPr>
        <w:t>ejercicios</w:t>
      </w:r>
      <w:r>
        <w:rPr>
          <w:spacing w:val="-3"/>
          <w:sz w:val="22"/>
        </w:rPr>
        <w:t> </w:t>
      </w:r>
      <w:r>
        <w:rPr>
          <w:spacing w:val="-2"/>
          <w:sz w:val="22"/>
        </w:rPr>
        <w:t>anteriores</w:t>
      </w:r>
    </w:p>
    <w:p>
      <w:pPr>
        <w:pStyle w:val="BodyText"/>
        <w:ind w:left="1342" w:right="981"/>
        <w:jc w:val="both"/>
      </w:pPr>
      <w:r>
        <w:rPr/>
        <w:t>Durante el periodo 2025 se genera una utilidad del periodo de ¢2.596.569,66, lo cual refleja la variación correspondiente:</w:t>
      </w:r>
    </w:p>
    <w:p>
      <w:pPr>
        <w:pStyle w:val="BodyText"/>
        <w:spacing w:before="20"/>
        <w:rPr>
          <w:sz w:val="20"/>
        </w:rPr>
      </w:pPr>
    </w:p>
    <w:tbl>
      <w:tblPr>
        <w:tblW w:w="0" w:type="auto"/>
        <w:jc w:val="left"/>
        <w:tblInd w:w="2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70"/>
        <w:gridCol w:w="3072"/>
      </w:tblGrid>
      <w:tr>
        <w:trPr>
          <w:trHeight w:val="225" w:hRule="atLeast"/>
        </w:trPr>
        <w:tc>
          <w:tcPr>
            <w:tcW w:w="3670" w:type="dxa"/>
            <w:tcBorders>
              <w:top w:val="single" w:sz="2" w:space="0" w:color="000000"/>
              <w:left w:val="single" w:sz="2" w:space="0" w:color="000000"/>
            </w:tcBorders>
          </w:tcPr>
          <w:p>
            <w:pPr>
              <w:pStyle w:val="TableParagraph"/>
              <w:rPr>
                <w:rFonts w:ascii="Times New Roman"/>
                <w:sz w:val="16"/>
              </w:rPr>
            </w:pPr>
          </w:p>
        </w:tc>
        <w:tc>
          <w:tcPr>
            <w:tcW w:w="3072" w:type="dxa"/>
            <w:tcBorders>
              <w:top w:val="single" w:sz="2" w:space="0" w:color="000000"/>
              <w:bottom w:val="single" w:sz="6" w:space="0" w:color="000000"/>
              <w:right w:val="single" w:sz="4" w:space="0" w:color="000000"/>
            </w:tcBorders>
          </w:tcPr>
          <w:p>
            <w:pPr>
              <w:pStyle w:val="TableParagraph"/>
              <w:tabs>
                <w:tab w:pos="2126" w:val="left" w:leader="none"/>
              </w:tabs>
              <w:spacing w:line="182" w:lineRule="exact" w:before="23"/>
              <w:ind w:left="590"/>
              <w:rPr>
                <w:rFonts w:ascii="Times New Roman"/>
                <w:b/>
                <w:sz w:val="17"/>
              </w:rPr>
            </w:pPr>
            <w:r>
              <w:rPr>
                <w:rFonts w:ascii="Times New Roman"/>
                <w:b/>
                <w:spacing w:val="-4"/>
                <w:w w:val="105"/>
                <w:sz w:val="17"/>
                <w:u w:val="single"/>
              </w:rPr>
              <w:t>2026</w:t>
            </w:r>
            <w:r>
              <w:rPr>
                <w:rFonts w:ascii="Times New Roman"/>
                <w:b/>
                <w:sz w:val="17"/>
                <w:u w:val="none"/>
              </w:rPr>
              <w:tab/>
            </w:r>
            <w:r>
              <w:rPr>
                <w:rFonts w:ascii="Times New Roman"/>
                <w:b/>
                <w:spacing w:val="-4"/>
                <w:w w:val="105"/>
                <w:sz w:val="17"/>
                <w:u w:val="single"/>
              </w:rPr>
              <w:t>2025</w:t>
            </w:r>
          </w:p>
        </w:tc>
      </w:tr>
      <w:tr>
        <w:trPr>
          <w:trHeight w:val="244" w:hRule="atLeast"/>
        </w:trPr>
        <w:tc>
          <w:tcPr>
            <w:tcW w:w="3670" w:type="dxa"/>
            <w:tcBorders>
              <w:left w:val="single" w:sz="2" w:space="0" w:color="000000"/>
            </w:tcBorders>
          </w:tcPr>
          <w:p>
            <w:pPr>
              <w:pStyle w:val="TableParagraph"/>
              <w:spacing w:line="215" w:lineRule="exact" w:before="9"/>
              <w:ind w:left="143"/>
              <w:rPr>
                <w:rFonts w:ascii="Times New Roman"/>
                <w:b/>
                <w:sz w:val="19"/>
              </w:rPr>
            </w:pPr>
            <w:r>
              <w:rPr>
                <w:rFonts w:ascii="Times New Roman"/>
                <w:b/>
                <w:sz w:val="19"/>
              </w:rPr>
              <w:t>Resultados</w:t>
            </w:r>
            <w:r>
              <w:rPr>
                <w:rFonts w:ascii="Times New Roman"/>
                <w:b/>
                <w:spacing w:val="-6"/>
                <w:sz w:val="19"/>
              </w:rPr>
              <w:t> </w:t>
            </w:r>
            <w:r>
              <w:rPr>
                <w:rFonts w:ascii="Times New Roman"/>
                <w:b/>
                <w:spacing w:val="-2"/>
                <w:sz w:val="19"/>
              </w:rPr>
              <w:t>acumulados</w:t>
            </w:r>
          </w:p>
        </w:tc>
        <w:tc>
          <w:tcPr>
            <w:tcW w:w="3072" w:type="dxa"/>
            <w:tcBorders>
              <w:top w:val="single" w:sz="6" w:space="0" w:color="000000"/>
              <w:right w:val="single" w:sz="4" w:space="0" w:color="000000"/>
            </w:tcBorders>
          </w:tcPr>
          <w:p>
            <w:pPr>
              <w:pStyle w:val="TableParagraph"/>
              <w:rPr>
                <w:rFonts w:ascii="Times New Roman"/>
                <w:sz w:val="16"/>
              </w:rPr>
            </w:pPr>
          </w:p>
        </w:tc>
      </w:tr>
      <w:tr>
        <w:trPr>
          <w:trHeight w:val="244" w:hRule="atLeast"/>
        </w:trPr>
        <w:tc>
          <w:tcPr>
            <w:tcW w:w="3670" w:type="dxa"/>
            <w:tcBorders>
              <w:left w:val="single" w:sz="2" w:space="0" w:color="000000"/>
            </w:tcBorders>
          </w:tcPr>
          <w:p>
            <w:pPr>
              <w:pStyle w:val="TableParagraph"/>
              <w:spacing w:line="215" w:lineRule="exact" w:before="10"/>
              <w:ind w:left="143"/>
              <w:rPr>
                <w:rFonts w:ascii="Times New Roman"/>
                <w:sz w:val="19"/>
              </w:rPr>
            </w:pPr>
            <w:r>
              <w:rPr>
                <w:rFonts w:ascii="Times New Roman"/>
                <w:sz w:val="19"/>
              </w:rPr>
              <w:t>Saldo</w:t>
            </w:r>
            <w:r>
              <w:rPr>
                <w:rFonts w:ascii="Times New Roman"/>
                <w:spacing w:val="-6"/>
                <w:sz w:val="19"/>
              </w:rPr>
              <w:t> </w:t>
            </w:r>
            <w:r>
              <w:rPr>
                <w:rFonts w:ascii="Times New Roman"/>
                <w:sz w:val="19"/>
              </w:rPr>
              <w:t>inicial</w:t>
            </w:r>
            <w:r>
              <w:rPr>
                <w:rFonts w:ascii="Times New Roman"/>
                <w:spacing w:val="-1"/>
                <w:sz w:val="19"/>
              </w:rPr>
              <w:t> </w:t>
            </w:r>
            <w:r>
              <w:rPr>
                <w:rFonts w:ascii="Times New Roman"/>
                <w:sz w:val="19"/>
              </w:rPr>
              <w:t>al</w:t>
            </w:r>
            <w:r>
              <w:rPr>
                <w:rFonts w:ascii="Times New Roman"/>
                <w:spacing w:val="-1"/>
                <w:sz w:val="19"/>
              </w:rPr>
              <w:t> </w:t>
            </w:r>
            <w:r>
              <w:rPr>
                <w:rFonts w:ascii="Times New Roman"/>
                <w:sz w:val="19"/>
              </w:rPr>
              <w:t>31</w:t>
            </w:r>
            <w:r>
              <w:rPr>
                <w:rFonts w:ascii="Times New Roman"/>
                <w:spacing w:val="-1"/>
                <w:sz w:val="19"/>
              </w:rPr>
              <w:t> </w:t>
            </w:r>
            <w:r>
              <w:rPr>
                <w:rFonts w:ascii="Times New Roman"/>
                <w:sz w:val="19"/>
              </w:rPr>
              <w:t>diciembre</w:t>
            </w:r>
            <w:r>
              <w:rPr>
                <w:rFonts w:ascii="Times New Roman"/>
                <w:spacing w:val="-4"/>
                <w:sz w:val="19"/>
              </w:rPr>
              <w:t> </w:t>
            </w:r>
            <w:r>
              <w:rPr>
                <w:rFonts w:ascii="Times New Roman"/>
                <w:sz w:val="19"/>
              </w:rPr>
              <w:t>2025-</w:t>
            </w:r>
            <w:r>
              <w:rPr>
                <w:rFonts w:ascii="Times New Roman"/>
                <w:spacing w:val="-4"/>
                <w:sz w:val="19"/>
              </w:rPr>
              <w:t>2024</w:t>
            </w:r>
          </w:p>
        </w:tc>
        <w:tc>
          <w:tcPr>
            <w:tcW w:w="3072" w:type="dxa"/>
            <w:tcBorders>
              <w:right w:val="single" w:sz="4" w:space="0" w:color="000000"/>
            </w:tcBorders>
          </w:tcPr>
          <w:p>
            <w:pPr>
              <w:pStyle w:val="TableParagraph"/>
              <w:tabs>
                <w:tab w:pos="1535" w:val="left" w:leader="none"/>
              </w:tabs>
              <w:spacing w:line="215" w:lineRule="exact" w:before="10"/>
              <w:ind w:right="13"/>
              <w:jc w:val="right"/>
              <w:rPr>
                <w:rFonts w:ascii="Times New Roman"/>
                <w:sz w:val="19"/>
              </w:rPr>
            </w:pPr>
            <w:r>
              <w:rPr>
                <w:rFonts w:ascii="Times New Roman"/>
                <w:sz w:val="19"/>
              </w:rPr>
              <w:t>59 859</w:t>
            </w:r>
            <w:r>
              <w:rPr>
                <w:rFonts w:ascii="Times New Roman"/>
                <w:spacing w:val="1"/>
                <w:sz w:val="19"/>
              </w:rPr>
              <w:t> </w:t>
            </w:r>
            <w:r>
              <w:rPr>
                <w:rFonts w:ascii="Times New Roman"/>
                <w:spacing w:val="-2"/>
                <w:sz w:val="19"/>
              </w:rPr>
              <w:t>330,40</w:t>
            </w:r>
            <w:r>
              <w:rPr>
                <w:rFonts w:ascii="Times New Roman"/>
                <w:sz w:val="19"/>
              </w:rPr>
              <w:tab/>
              <w:t>60 607</w:t>
            </w:r>
            <w:r>
              <w:rPr>
                <w:rFonts w:ascii="Times New Roman"/>
                <w:spacing w:val="1"/>
                <w:sz w:val="19"/>
              </w:rPr>
              <w:t> </w:t>
            </w:r>
            <w:r>
              <w:rPr>
                <w:rFonts w:ascii="Times New Roman"/>
                <w:spacing w:val="-2"/>
                <w:sz w:val="19"/>
              </w:rPr>
              <w:t>718,30</w:t>
            </w:r>
          </w:p>
        </w:tc>
      </w:tr>
      <w:tr>
        <w:trPr>
          <w:trHeight w:val="244" w:hRule="atLeast"/>
        </w:trPr>
        <w:tc>
          <w:tcPr>
            <w:tcW w:w="3670" w:type="dxa"/>
            <w:tcBorders>
              <w:left w:val="single" w:sz="2" w:space="0" w:color="000000"/>
            </w:tcBorders>
          </w:tcPr>
          <w:p>
            <w:pPr>
              <w:pStyle w:val="TableParagraph"/>
              <w:spacing w:line="215" w:lineRule="exact" w:before="10"/>
              <w:ind w:left="143"/>
              <w:rPr>
                <w:rFonts w:ascii="Times New Roman"/>
                <w:sz w:val="19"/>
              </w:rPr>
            </w:pPr>
            <w:r>
              <w:rPr>
                <w:rFonts w:ascii="Times New Roman"/>
                <w:spacing w:val="-2"/>
                <w:sz w:val="19"/>
              </w:rPr>
              <w:t>Aumento</w:t>
            </w:r>
          </w:p>
        </w:tc>
        <w:tc>
          <w:tcPr>
            <w:tcW w:w="3072" w:type="dxa"/>
            <w:tcBorders>
              <w:right w:val="single" w:sz="4" w:space="0" w:color="000000"/>
            </w:tcBorders>
          </w:tcPr>
          <w:p>
            <w:pPr>
              <w:pStyle w:val="TableParagraph"/>
              <w:tabs>
                <w:tab w:pos="1536" w:val="left" w:leader="none"/>
              </w:tabs>
              <w:spacing w:line="215" w:lineRule="exact" w:before="10"/>
              <w:ind w:right="12"/>
              <w:jc w:val="right"/>
              <w:rPr>
                <w:rFonts w:ascii="Times New Roman"/>
                <w:sz w:val="19"/>
              </w:rPr>
            </w:pPr>
            <w:r>
              <w:rPr>
                <w:rFonts w:ascii="Times New Roman"/>
                <w:sz w:val="19"/>
              </w:rPr>
              <w:t>3 240</w:t>
            </w:r>
            <w:r>
              <w:rPr>
                <w:rFonts w:ascii="Times New Roman"/>
                <w:spacing w:val="1"/>
                <w:sz w:val="19"/>
              </w:rPr>
              <w:t> </w:t>
            </w:r>
            <w:r>
              <w:rPr>
                <w:rFonts w:ascii="Times New Roman"/>
                <w:spacing w:val="-2"/>
                <w:sz w:val="19"/>
              </w:rPr>
              <w:t>501,94</w:t>
            </w:r>
            <w:r>
              <w:rPr>
                <w:rFonts w:ascii="Times New Roman"/>
                <w:sz w:val="19"/>
              </w:rPr>
              <w:tab/>
              <w:t>3 077</w:t>
            </w:r>
            <w:r>
              <w:rPr>
                <w:rFonts w:ascii="Times New Roman"/>
                <w:spacing w:val="1"/>
                <w:sz w:val="19"/>
              </w:rPr>
              <w:t> </w:t>
            </w:r>
            <w:r>
              <w:rPr>
                <w:rFonts w:ascii="Times New Roman"/>
                <w:spacing w:val="-2"/>
                <w:sz w:val="19"/>
              </w:rPr>
              <w:t>802,53</w:t>
            </w:r>
          </w:p>
        </w:tc>
      </w:tr>
      <w:tr>
        <w:trPr>
          <w:trHeight w:val="244" w:hRule="atLeast"/>
        </w:trPr>
        <w:tc>
          <w:tcPr>
            <w:tcW w:w="3670" w:type="dxa"/>
            <w:tcBorders>
              <w:left w:val="single" w:sz="2" w:space="0" w:color="000000"/>
            </w:tcBorders>
          </w:tcPr>
          <w:p>
            <w:pPr>
              <w:pStyle w:val="TableParagraph"/>
              <w:spacing w:line="215" w:lineRule="exact" w:before="10"/>
              <w:ind w:left="143"/>
              <w:rPr>
                <w:rFonts w:ascii="Times New Roman"/>
                <w:sz w:val="19"/>
              </w:rPr>
            </w:pPr>
            <w:r>
              <w:rPr>
                <w:rFonts w:ascii="Times New Roman"/>
                <w:spacing w:val="-2"/>
                <w:sz w:val="19"/>
              </w:rPr>
              <w:t>Disminuciones</w:t>
            </w:r>
          </w:p>
        </w:tc>
        <w:tc>
          <w:tcPr>
            <w:tcW w:w="3072" w:type="dxa"/>
            <w:tcBorders>
              <w:right w:val="single" w:sz="4" w:space="0" w:color="000000"/>
            </w:tcBorders>
          </w:tcPr>
          <w:p>
            <w:pPr>
              <w:pStyle w:val="TableParagraph"/>
              <w:tabs>
                <w:tab w:pos="1536" w:val="left" w:leader="none"/>
              </w:tabs>
              <w:spacing w:line="215" w:lineRule="exact" w:before="10"/>
              <w:ind w:right="12"/>
              <w:jc w:val="right"/>
              <w:rPr>
                <w:rFonts w:ascii="Times New Roman"/>
                <w:sz w:val="19"/>
              </w:rPr>
            </w:pPr>
            <w:r>
              <w:rPr>
                <w:rFonts w:ascii="Times New Roman"/>
                <w:sz w:val="19"/>
              </w:rPr>
              <w:t>4 051</w:t>
            </w:r>
            <w:r>
              <w:rPr>
                <w:rFonts w:ascii="Times New Roman"/>
                <w:spacing w:val="1"/>
                <w:sz w:val="19"/>
              </w:rPr>
              <w:t> </w:t>
            </w:r>
            <w:r>
              <w:rPr>
                <w:rFonts w:ascii="Times New Roman"/>
                <w:spacing w:val="-2"/>
                <w:sz w:val="19"/>
              </w:rPr>
              <w:t>280,85</w:t>
            </w:r>
            <w:r>
              <w:rPr>
                <w:rFonts w:ascii="Times New Roman"/>
                <w:sz w:val="19"/>
              </w:rPr>
              <w:tab/>
              <w:t>3 826</w:t>
            </w:r>
            <w:r>
              <w:rPr>
                <w:rFonts w:ascii="Times New Roman"/>
                <w:spacing w:val="1"/>
                <w:sz w:val="19"/>
              </w:rPr>
              <w:t> </w:t>
            </w:r>
            <w:r>
              <w:rPr>
                <w:rFonts w:ascii="Times New Roman"/>
                <w:spacing w:val="-2"/>
                <w:sz w:val="19"/>
              </w:rPr>
              <w:t>190,43</w:t>
            </w:r>
          </w:p>
        </w:tc>
      </w:tr>
      <w:tr>
        <w:trPr>
          <w:trHeight w:val="244" w:hRule="atLeast"/>
        </w:trPr>
        <w:tc>
          <w:tcPr>
            <w:tcW w:w="3670" w:type="dxa"/>
            <w:tcBorders>
              <w:left w:val="single" w:sz="2" w:space="0" w:color="000000"/>
            </w:tcBorders>
          </w:tcPr>
          <w:p>
            <w:pPr>
              <w:pStyle w:val="TableParagraph"/>
              <w:spacing w:line="215" w:lineRule="exact" w:before="10"/>
              <w:ind w:left="143"/>
              <w:rPr>
                <w:rFonts w:ascii="Times New Roman"/>
                <w:sz w:val="19"/>
              </w:rPr>
            </w:pPr>
            <w:r>
              <w:rPr>
                <w:rFonts w:ascii="Times New Roman"/>
                <w:sz w:val="19"/>
              </w:rPr>
              <w:t>Ajuste</w:t>
            </w:r>
            <w:r>
              <w:rPr>
                <w:rFonts w:ascii="Times New Roman"/>
                <w:spacing w:val="43"/>
                <w:sz w:val="19"/>
              </w:rPr>
              <w:t> </w:t>
            </w:r>
            <w:r>
              <w:rPr>
                <w:rFonts w:ascii="Times New Roman"/>
                <w:sz w:val="19"/>
              </w:rPr>
              <w:t>Resultado</w:t>
            </w:r>
            <w:r>
              <w:rPr>
                <w:rFonts w:ascii="Times New Roman"/>
                <w:spacing w:val="-5"/>
                <w:sz w:val="19"/>
              </w:rPr>
              <w:t> </w:t>
            </w:r>
            <w:r>
              <w:rPr>
                <w:rFonts w:ascii="Times New Roman"/>
                <w:sz w:val="19"/>
              </w:rPr>
              <w:t>del</w:t>
            </w:r>
            <w:r>
              <w:rPr>
                <w:rFonts w:ascii="Times New Roman"/>
                <w:spacing w:val="-2"/>
                <w:sz w:val="19"/>
              </w:rPr>
              <w:t> </w:t>
            </w:r>
            <w:r>
              <w:rPr>
                <w:rFonts w:ascii="Times New Roman"/>
                <w:sz w:val="19"/>
              </w:rPr>
              <w:t>periodo</w:t>
            </w:r>
            <w:r>
              <w:rPr>
                <w:rFonts w:ascii="Times New Roman"/>
                <w:spacing w:val="-5"/>
                <w:sz w:val="19"/>
              </w:rPr>
              <w:t> </w:t>
            </w:r>
            <w:r>
              <w:rPr>
                <w:rFonts w:ascii="Times New Roman"/>
                <w:spacing w:val="-4"/>
                <w:sz w:val="19"/>
              </w:rPr>
              <w:t>2024</w:t>
            </w:r>
          </w:p>
        </w:tc>
        <w:tc>
          <w:tcPr>
            <w:tcW w:w="3072" w:type="dxa"/>
            <w:tcBorders>
              <w:right w:val="single" w:sz="4" w:space="0" w:color="000000"/>
            </w:tcBorders>
          </w:tcPr>
          <w:p>
            <w:pPr>
              <w:pStyle w:val="TableParagraph"/>
              <w:spacing w:line="215" w:lineRule="exact" w:before="10"/>
              <w:ind w:right="12"/>
              <w:jc w:val="right"/>
              <w:rPr>
                <w:rFonts w:ascii="Times New Roman"/>
                <w:sz w:val="19"/>
              </w:rPr>
            </w:pPr>
            <w:r>
              <w:rPr>
                <w:rFonts w:ascii="Times New Roman"/>
                <w:sz w:val="19"/>
              </w:rPr>
              <w:t>5 905</w:t>
            </w:r>
            <w:r>
              <w:rPr>
                <w:rFonts w:ascii="Times New Roman"/>
                <w:spacing w:val="1"/>
                <w:sz w:val="19"/>
              </w:rPr>
              <w:t> </w:t>
            </w:r>
            <w:r>
              <w:rPr>
                <w:rFonts w:ascii="Times New Roman"/>
                <w:spacing w:val="-2"/>
                <w:sz w:val="19"/>
              </w:rPr>
              <w:t>693,39</w:t>
            </w:r>
          </w:p>
        </w:tc>
      </w:tr>
      <w:tr>
        <w:trPr>
          <w:trHeight w:val="244" w:hRule="atLeast"/>
        </w:trPr>
        <w:tc>
          <w:tcPr>
            <w:tcW w:w="3670" w:type="dxa"/>
            <w:tcBorders>
              <w:left w:val="single" w:sz="2" w:space="0" w:color="000000"/>
            </w:tcBorders>
          </w:tcPr>
          <w:p>
            <w:pPr>
              <w:pStyle w:val="TableParagraph"/>
              <w:spacing w:line="215" w:lineRule="exact" w:before="10"/>
              <w:ind w:left="143"/>
              <w:rPr>
                <w:rFonts w:ascii="Times New Roman"/>
                <w:sz w:val="19"/>
              </w:rPr>
            </w:pPr>
            <w:r>
              <w:rPr>
                <w:rFonts w:ascii="Times New Roman"/>
                <w:sz w:val="19"/>
              </w:rPr>
              <w:t>Ajuste</w:t>
            </w:r>
            <w:r>
              <w:rPr>
                <w:rFonts w:ascii="Times New Roman"/>
                <w:spacing w:val="43"/>
                <w:sz w:val="19"/>
              </w:rPr>
              <w:t> </w:t>
            </w:r>
            <w:r>
              <w:rPr>
                <w:rFonts w:ascii="Times New Roman"/>
                <w:sz w:val="19"/>
              </w:rPr>
              <w:t>Resultado</w:t>
            </w:r>
            <w:r>
              <w:rPr>
                <w:rFonts w:ascii="Times New Roman"/>
                <w:spacing w:val="-5"/>
                <w:sz w:val="19"/>
              </w:rPr>
              <w:t> </w:t>
            </w:r>
            <w:r>
              <w:rPr>
                <w:rFonts w:ascii="Times New Roman"/>
                <w:sz w:val="19"/>
              </w:rPr>
              <w:t>del</w:t>
            </w:r>
            <w:r>
              <w:rPr>
                <w:rFonts w:ascii="Times New Roman"/>
                <w:spacing w:val="-2"/>
                <w:sz w:val="19"/>
              </w:rPr>
              <w:t> </w:t>
            </w:r>
            <w:r>
              <w:rPr>
                <w:rFonts w:ascii="Times New Roman"/>
                <w:sz w:val="19"/>
              </w:rPr>
              <w:t>periodo</w:t>
            </w:r>
            <w:r>
              <w:rPr>
                <w:rFonts w:ascii="Times New Roman"/>
                <w:spacing w:val="-5"/>
                <w:sz w:val="19"/>
              </w:rPr>
              <w:t> </w:t>
            </w:r>
            <w:r>
              <w:rPr>
                <w:rFonts w:ascii="Times New Roman"/>
                <w:spacing w:val="-4"/>
                <w:sz w:val="19"/>
              </w:rPr>
              <w:t>2025</w:t>
            </w:r>
          </w:p>
        </w:tc>
        <w:tc>
          <w:tcPr>
            <w:tcW w:w="3072" w:type="dxa"/>
            <w:tcBorders>
              <w:right w:val="single" w:sz="4" w:space="0" w:color="000000"/>
            </w:tcBorders>
          </w:tcPr>
          <w:p>
            <w:pPr>
              <w:pStyle w:val="TableParagraph"/>
              <w:tabs>
                <w:tab w:pos="503" w:val="left" w:leader="none"/>
                <w:tab w:pos="3067" w:val="left" w:leader="none"/>
              </w:tabs>
              <w:spacing w:line="215" w:lineRule="exact" w:before="10"/>
              <w:ind w:right="-15"/>
              <w:jc w:val="right"/>
              <w:rPr>
                <w:rFonts w:ascii="Times New Roman"/>
                <w:sz w:val="19"/>
              </w:rPr>
            </w:pPr>
            <w:r>
              <w:rPr>
                <w:rFonts w:ascii="Times New Roman"/>
                <w:sz w:val="19"/>
                <w:u w:val="single"/>
              </w:rPr>
              <w:tab/>
              <w:t>2 596</w:t>
            </w:r>
            <w:r>
              <w:rPr>
                <w:rFonts w:ascii="Times New Roman"/>
                <w:spacing w:val="1"/>
                <w:sz w:val="19"/>
                <w:u w:val="single"/>
              </w:rPr>
              <w:t> </w:t>
            </w:r>
            <w:r>
              <w:rPr>
                <w:rFonts w:ascii="Times New Roman"/>
                <w:spacing w:val="-2"/>
                <w:sz w:val="19"/>
                <w:u w:val="single"/>
              </w:rPr>
              <w:t>569,66</w:t>
            </w:r>
            <w:r>
              <w:rPr>
                <w:rFonts w:ascii="Times New Roman"/>
                <w:sz w:val="19"/>
                <w:u w:val="single"/>
              </w:rPr>
              <w:tab/>
            </w:r>
          </w:p>
        </w:tc>
      </w:tr>
      <w:tr>
        <w:trPr>
          <w:trHeight w:val="230" w:hRule="atLeast"/>
        </w:trPr>
        <w:tc>
          <w:tcPr>
            <w:tcW w:w="3670" w:type="dxa"/>
            <w:tcBorders>
              <w:left w:val="single" w:sz="2" w:space="0" w:color="000000"/>
              <w:bottom w:val="single" w:sz="4" w:space="0" w:color="000000"/>
            </w:tcBorders>
          </w:tcPr>
          <w:p>
            <w:pPr>
              <w:pStyle w:val="TableParagraph"/>
              <w:spacing w:line="186" w:lineRule="exact" w:before="24"/>
              <w:ind w:left="892"/>
              <w:rPr>
                <w:rFonts w:ascii="Times New Roman"/>
                <w:b/>
                <w:sz w:val="17"/>
              </w:rPr>
            </w:pPr>
            <w:r>
              <w:rPr>
                <w:rFonts w:ascii="Times New Roman"/>
                <w:b/>
                <w:w w:val="105"/>
                <w:sz w:val="17"/>
              </w:rPr>
              <w:t>Saldo</w:t>
            </w:r>
            <w:r>
              <w:rPr>
                <w:rFonts w:ascii="Times New Roman"/>
                <w:b/>
                <w:spacing w:val="-7"/>
                <w:w w:val="105"/>
                <w:sz w:val="17"/>
              </w:rPr>
              <w:t> </w:t>
            </w:r>
            <w:r>
              <w:rPr>
                <w:rFonts w:ascii="Times New Roman"/>
                <w:b/>
                <w:w w:val="105"/>
                <w:sz w:val="17"/>
              </w:rPr>
              <w:t>al</w:t>
            </w:r>
            <w:r>
              <w:rPr>
                <w:rFonts w:ascii="Times New Roman"/>
                <w:b/>
                <w:spacing w:val="-5"/>
                <w:w w:val="105"/>
                <w:sz w:val="17"/>
              </w:rPr>
              <w:t> </w:t>
            </w:r>
            <w:r>
              <w:rPr>
                <w:rFonts w:ascii="Times New Roman"/>
                <w:b/>
                <w:w w:val="105"/>
                <w:sz w:val="17"/>
              </w:rPr>
              <w:t>31</w:t>
            </w:r>
            <w:r>
              <w:rPr>
                <w:rFonts w:ascii="Times New Roman"/>
                <w:b/>
                <w:spacing w:val="-3"/>
                <w:w w:val="105"/>
                <w:sz w:val="17"/>
              </w:rPr>
              <w:t> </w:t>
            </w:r>
            <w:r>
              <w:rPr>
                <w:rFonts w:ascii="Times New Roman"/>
                <w:b/>
                <w:w w:val="105"/>
                <w:sz w:val="17"/>
              </w:rPr>
              <w:t>de</w:t>
            </w:r>
            <w:r>
              <w:rPr>
                <w:rFonts w:ascii="Times New Roman"/>
                <w:b/>
                <w:spacing w:val="-6"/>
                <w:w w:val="105"/>
                <w:sz w:val="17"/>
              </w:rPr>
              <w:t> </w:t>
            </w:r>
            <w:r>
              <w:rPr>
                <w:rFonts w:ascii="Times New Roman"/>
                <w:b/>
                <w:w w:val="105"/>
                <w:sz w:val="17"/>
              </w:rPr>
              <w:t>julio</w:t>
            </w:r>
            <w:r>
              <w:rPr>
                <w:rFonts w:ascii="Times New Roman"/>
                <w:b/>
                <w:spacing w:val="34"/>
                <w:w w:val="105"/>
                <w:sz w:val="17"/>
              </w:rPr>
              <w:t> </w:t>
            </w:r>
            <w:r>
              <w:rPr>
                <w:rFonts w:ascii="Times New Roman"/>
                <w:b/>
                <w:spacing w:val="-4"/>
                <w:w w:val="105"/>
                <w:sz w:val="17"/>
              </w:rPr>
              <w:t>2026</w:t>
            </w:r>
          </w:p>
        </w:tc>
        <w:tc>
          <w:tcPr>
            <w:tcW w:w="3072" w:type="dxa"/>
            <w:tcBorders>
              <w:bottom w:val="single" w:sz="4" w:space="0" w:color="000000"/>
              <w:right w:val="single" w:sz="4" w:space="0" w:color="000000"/>
            </w:tcBorders>
          </w:tcPr>
          <w:p>
            <w:pPr>
              <w:pStyle w:val="TableParagraph"/>
              <w:tabs>
                <w:tab w:pos="1535" w:val="left" w:leader="none"/>
              </w:tabs>
              <w:spacing w:line="200" w:lineRule="exact" w:before="10"/>
              <w:ind w:right="13"/>
              <w:jc w:val="right"/>
              <w:rPr>
                <w:rFonts w:ascii="Times New Roman"/>
                <w:b/>
                <w:sz w:val="19"/>
              </w:rPr>
            </w:pPr>
            <w:r>
              <w:rPr>
                <w:rFonts w:ascii="Times New Roman"/>
                <w:b/>
                <w:sz w:val="19"/>
                <w:u w:val="single"/>
              </w:rPr>
              <w:t>61 645</w:t>
            </w:r>
            <w:r>
              <w:rPr>
                <w:rFonts w:ascii="Times New Roman"/>
                <w:b/>
                <w:spacing w:val="1"/>
                <w:sz w:val="19"/>
                <w:u w:val="single"/>
              </w:rPr>
              <w:t> </w:t>
            </w:r>
            <w:r>
              <w:rPr>
                <w:rFonts w:ascii="Times New Roman"/>
                <w:b/>
                <w:spacing w:val="-2"/>
                <w:sz w:val="19"/>
                <w:u w:val="single"/>
              </w:rPr>
              <w:t>121,15</w:t>
            </w:r>
            <w:r>
              <w:rPr>
                <w:rFonts w:ascii="Times New Roman"/>
                <w:b/>
                <w:sz w:val="19"/>
                <w:u w:val="none"/>
              </w:rPr>
              <w:tab/>
            </w:r>
            <w:r>
              <w:rPr>
                <w:rFonts w:ascii="Times New Roman"/>
                <w:b/>
                <w:sz w:val="19"/>
                <w:u w:val="single"/>
              </w:rPr>
              <w:t>59 859</w:t>
            </w:r>
            <w:r>
              <w:rPr>
                <w:rFonts w:ascii="Times New Roman"/>
                <w:b/>
                <w:spacing w:val="1"/>
                <w:sz w:val="19"/>
                <w:u w:val="single"/>
              </w:rPr>
              <w:t> </w:t>
            </w:r>
            <w:r>
              <w:rPr>
                <w:rFonts w:ascii="Times New Roman"/>
                <w:b/>
                <w:spacing w:val="-2"/>
                <w:sz w:val="19"/>
                <w:u w:val="single"/>
              </w:rPr>
              <w:t>330,40</w:t>
            </w:r>
          </w:p>
        </w:tc>
      </w:tr>
    </w:tbl>
    <w:p>
      <w:pPr>
        <w:pStyle w:val="BodyText"/>
        <w:spacing w:before="9"/>
      </w:pPr>
    </w:p>
    <w:p>
      <w:pPr>
        <w:pStyle w:val="BodyText"/>
        <w:ind w:left="1342" w:right="975"/>
        <w:jc w:val="both"/>
      </w:pPr>
      <w:r>
        <w:rPr/>
        <w:t>Al 31 de julio de 2026, la cuenta Resultados de ejercicios anteriores pasó de </w:t>
      </w:r>
      <w:r>
        <w:rPr>
          <w:rFonts w:ascii="Times New Roman" w:hAnsi="Times New Roman"/>
        </w:rPr>
        <w:t>₡</w:t>
      </w:r>
      <w:r>
        <w:rPr/>
        <w:t>59.859.330,40 miles</w:t>
      </w:r>
      <w:r>
        <w:rPr>
          <w:spacing w:val="-12"/>
        </w:rPr>
        <w:t> </w:t>
      </w:r>
      <w:r>
        <w:rPr/>
        <w:t>en</w:t>
      </w:r>
      <w:r>
        <w:rPr>
          <w:spacing w:val="-10"/>
        </w:rPr>
        <w:t> </w:t>
      </w:r>
      <w:r>
        <w:rPr/>
        <w:t>2025</w:t>
      </w:r>
      <w:r>
        <w:rPr>
          <w:spacing w:val="-12"/>
        </w:rPr>
        <w:t> </w:t>
      </w:r>
      <w:r>
        <w:rPr/>
        <w:t>a</w:t>
      </w:r>
      <w:r>
        <w:rPr>
          <w:spacing w:val="-12"/>
        </w:rPr>
        <w:t> </w:t>
      </w:r>
      <w:r>
        <w:rPr>
          <w:rFonts w:ascii="Times New Roman" w:hAnsi="Times New Roman"/>
        </w:rPr>
        <w:t>₡</w:t>
      </w:r>
      <w:r>
        <w:rPr/>
        <w:t>61.645.121,15</w:t>
      </w:r>
      <w:r>
        <w:rPr>
          <w:spacing w:val="-11"/>
        </w:rPr>
        <w:t> </w:t>
      </w:r>
      <w:r>
        <w:rPr/>
        <w:t>miles</w:t>
      </w:r>
      <w:r>
        <w:rPr>
          <w:spacing w:val="-12"/>
        </w:rPr>
        <w:t> </w:t>
      </w:r>
      <w:r>
        <w:rPr/>
        <w:t>en</w:t>
      </w:r>
      <w:r>
        <w:rPr>
          <w:spacing w:val="-13"/>
        </w:rPr>
        <w:t> </w:t>
      </w:r>
      <w:r>
        <w:rPr/>
        <w:t>2026,</w:t>
      </w:r>
      <w:r>
        <w:rPr>
          <w:spacing w:val="-10"/>
        </w:rPr>
        <w:t> </w:t>
      </w:r>
      <w:r>
        <w:rPr/>
        <w:t>para</w:t>
      </w:r>
      <w:r>
        <w:rPr>
          <w:spacing w:val="-11"/>
        </w:rPr>
        <w:t> </w:t>
      </w:r>
      <w:r>
        <w:rPr/>
        <w:t>un</w:t>
      </w:r>
      <w:r>
        <w:rPr>
          <w:spacing w:val="-14"/>
        </w:rPr>
        <w:t> </w:t>
      </w:r>
      <w:r>
        <w:rPr/>
        <w:t>aumento</w:t>
      </w:r>
      <w:r>
        <w:rPr>
          <w:spacing w:val="-11"/>
        </w:rPr>
        <w:t> </w:t>
      </w:r>
      <w:r>
        <w:rPr/>
        <w:t>neto</w:t>
      </w:r>
      <w:r>
        <w:rPr>
          <w:spacing w:val="-10"/>
        </w:rPr>
        <w:t> </w:t>
      </w:r>
      <w:r>
        <w:rPr/>
        <w:t>de</w:t>
      </w:r>
      <w:r>
        <w:rPr>
          <w:spacing w:val="-7"/>
        </w:rPr>
        <w:t> </w:t>
      </w:r>
      <w:r>
        <w:rPr>
          <w:rFonts w:ascii="Times New Roman" w:hAnsi="Times New Roman"/>
        </w:rPr>
        <w:t>₡</w:t>
      </w:r>
      <w:r>
        <w:rPr/>
        <w:t>1.785.790,74</w:t>
      </w:r>
      <w:r>
        <w:rPr>
          <w:spacing w:val="-11"/>
        </w:rPr>
        <w:t> </w:t>
      </w:r>
      <w:r>
        <w:rPr/>
        <w:t>miles (2,98%).</w:t>
      </w:r>
      <w:r>
        <w:rPr>
          <w:spacing w:val="18"/>
        </w:rPr>
        <w:t> </w:t>
      </w:r>
      <w:r>
        <w:rPr/>
        <w:t>La</w:t>
      </w:r>
      <w:r>
        <w:rPr>
          <w:spacing w:val="15"/>
        </w:rPr>
        <w:t> </w:t>
      </w:r>
      <w:r>
        <w:rPr/>
        <w:t>variación</w:t>
      </w:r>
      <w:r>
        <w:rPr>
          <w:spacing w:val="17"/>
        </w:rPr>
        <w:t> </w:t>
      </w:r>
      <w:r>
        <w:rPr/>
        <w:t>se</w:t>
      </w:r>
      <w:r>
        <w:rPr>
          <w:spacing w:val="18"/>
        </w:rPr>
        <w:t> </w:t>
      </w:r>
      <w:r>
        <w:rPr/>
        <w:t>explica</w:t>
      </w:r>
      <w:r>
        <w:rPr>
          <w:spacing w:val="18"/>
        </w:rPr>
        <w:t> </w:t>
      </w:r>
      <w:r>
        <w:rPr/>
        <w:t>por</w:t>
      </w:r>
      <w:r>
        <w:rPr>
          <w:spacing w:val="19"/>
        </w:rPr>
        <w:t> </w:t>
      </w:r>
      <w:r>
        <w:rPr/>
        <w:t>aumentos</w:t>
      </w:r>
      <w:r>
        <w:rPr>
          <w:spacing w:val="21"/>
        </w:rPr>
        <w:t> </w:t>
      </w:r>
      <w:r>
        <w:rPr/>
        <w:t>de</w:t>
      </w:r>
      <w:r>
        <w:rPr>
          <w:spacing w:val="22"/>
        </w:rPr>
        <w:t> </w:t>
      </w:r>
      <w:r>
        <w:rPr>
          <w:rFonts w:ascii="Times New Roman" w:hAnsi="Times New Roman"/>
        </w:rPr>
        <w:t>₡</w:t>
      </w:r>
      <w:r>
        <w:rPr/>
        <w:t>3.240.501,94</w:t>
      </w:r>
      <w:r>
        <w:rPr>
          <w:spacing w:val="18"/>
        </w:rPr>
        <w:t> </w:t>
      </w:r>
      <w:r>
        <w:rPr/>
        <w:t>miles</w:t>
      </w:r>
      <w:r>
        <w:rPr>
          <w:spacing w:val="21"/>
        </w:rPr>
        <w:t> </w:t>
      </w:r>
      <w:r>
        <w:rPr/>
        <w:t>y</w:t>
      </w:r>
      <w:r>
        <w:rPr>
          <w:spacing w:val="18"/>
        </w:rPr>
        <w:t> </w:t>
      </w:r>
      <w:r>
        <w:rPr/>
        <w:t>disminuciones</w:t>
      </w:r>
      <w:r>
        <w:rPr>
          <w:spacing w:val="21"/>
        </w:rPr>
        <w:t> </w:t>
      </w:r>
      <w:r>
        <w:rPr>
          <w:spacing w:val="-5"/>
        </w:rPr>
        <w:t>de</w:t>
      </w:r>
    </w:p>
    <w:p>
      <w:pPr>
        <w:pStyle w:val="BodyText"/>
        <w:ind w:left="1342" w:right="974"/>
        <w:jc w:val="both"/>
      </w:pPr>
      <w:r>
        <w:rPr>
          <w:rFonts w:ascii="Times New Roman" w:hAnsi="Times New Roman"/>
        </w:rPr>
        <w:t>₡</w:t>
      </w:r>
      <w:r>
        <w:rPr/>
        <w:t>4.051.280,85</w:t>
      </w:r>
      <w:r>
        <w:rPr>
          <w:spacing w:val="-3"/>
        </w:rPr>
        <w:t> </w:t>
      </w:r>
      <w:r>
        <w:rPr/>
        <w:t>miles del resultado del periodo 2025. Entre las disminuciones de la</w:t>
      </w:r>
      <w:r>
        <w:rPr>
          <w:spacing w:val="-3"/>
        </w:rPr>
        <w:t> </w:t>
      </w:r>
      <w:r>
        <w:rPr/>
        <w:t>cuenta de Resultados</w:t>
      </w:r>
      <w:r>
        <w:rPr>
          <w:spacing w:val="-10"/>
        </w:rPr>
        <w:t> </w:t>
      </w:r>
      <w:r>
        <w:rPr/>
        <w:t>Acumulados</w:t>
      </w:r>
      <w:r>
        <w:rPr>
          <w:spacing w:val="-10"/>
        </w:rPr>
        <w:t> </w:t>
      </w:r>
      <w:r>
        <w:rPr/>
        <w:t>existen</w:t>
      </w:r>
      <w:r>
        <w:rPr>
          <w:spacing w:val="-8"/>
        </w:rPr>
        <w:t> </w:t>
      </w:r>
      <w:r>
        <w:rPr/>
        <w:t>ajustes</w:t>
      </w:r>
      <w:r>
        <w:rPr>
          <w:spacing w:val="-7"/>
        </w:rPr>
        <w:t> </w:t>
      </w:r>
      <w:r>
        <w:rPr/>
        <w:t>por</w:t>
      </w:r>
      <w:r>
        <w:rPr>
          <w:spacing w:val="-8"/>
        </w:rPr>
        <w:t> </w:t>
      </w:r>
      <w:r>
        <w:rPr/>
        <w:t>un</w:t>
      </w:r>
      <w:r>
        <w:rPr>
          <w:spacing w:val="-8"/>
        </w:rPr>
        <w:t> </w:t>
      </w:r>
      <w:r>
        <w:rPr/>
        <w:t>monto</w:t>
      </w:r>
      <w:r>
        <w:rPr>
          <w:spacing w:val="-7"/>
        </w:rPr>
        <w:t> </w:t>
      </w:r>
      <w:r>
        <w:rPr/>
        <w:t>de</w:t>
      </w:r>
      <w:r>
        <w:rPr>
          <w:spacing w:val="-7"/>
        </w:rPr>
        <w:t> </w:t>
      </w:r>
      <w:r>
        <w:rPr/>
        <w:t>¢810.200,44</w:t>
      </w:r>
      <w:r>
        <w:rPr>
          <w:spacing w:val="-10"/>
        </w:rPr>
        <w:t> </w:t>
      </w:r>
      <w:r>
        <w:rPr/>
        <w:t>miles,</w:t>
      </w:r>
      <w:r>
        <w:rPr>
          <w:spacing w:val="-8"/>
        </w:rPr>
        <w:t> </w:t>
      </w:r>
      <w:r>
        <w:rPr/>
        <w:t>correspondientes al</w:t>
      </w:r>
      <w:r>
        <w:rPr>
          <w:spacing w:val="-5"/>
        </w:rPr>
        <w:t> </w:t>
      </w:r>
      <w:r>
        <w:rPr/>
        <w:t>CETAC</w:t>
      </w:r>
      <w:r>
        <w:rPr>
          <w:spacing w:val="-4"/>
        </w:rPr>
        <w:t> </w:t>
      </w:r>
      <w:r>
        <w:rPr/>
        <w:t>producto</w:t>
      </w:r>
      <w:r>
        <w:rPr>
          <w:spacing w:val="-4"/>
        </w:rPr>
        <w:t> </w:t>
      </w:r>
      <w:r>
        <w:rPr/>
        <w:t>de</w:t>
      </w:r>
      <w:r>
        <w:rPr>
          <w:spacing w:val="-2"/>
        </w:rPr>
        <w:t> </w:t>
      </w:r>
      <w:r>
        <w:rPr/>
        <w:t>la</w:t>
      </w:r>
      <w:r>
        <w:rPr>
          <w:spacing w:val="-5"/>
        </w:rPr>
        <w:t> </w:t>
      </w:r>
      <w:r>
        <w:rPr/>
        <w:t>distribución</w:t>
      </w:r>
      <w:r>
        <w:rPr>
          <w:spacing w:val="-4"/>
        </w:rPr>
        <w:t> </w:t>
      </w:r>
      <w:r>
        <w:rPr/>
        <w:t>de</w:t>
      </w:r>
      <w:r>
        <w:rPr>
          <w:spacing w:val="-7"/>
        </w:rPr>
        <w:t> </w:t>
      </w:r>
      <w:r>
        <w:rPr/>
        <w:t>excedentes</w:t>
      </w:r>
      <w:r>
        <w:rPr>
          <w:spacing w:val="-4"/>
        </w:rPr>
        <w:t> </w:t>
      </w:r>
      <w:r>
        <w:rPr/>
        <w:t>de</w:t>
      </w:r>
      <w:r>
        <w:rPr>
          <w:spacing w:val="-4"/>
        </w:rPr>
        <w:t> </w:t>
      </w:r>
      <w:r>
        <w:rPr/>
        <w:t>las</w:t>
      </w:r>
      <w:r>
        <w:rPr>
          <w:spacing w:val="-4"/>
        </w:rPr>
        <w:t> </w:t>
      </w:r>
      <w:r>
        <w:rPr/>
        <w:t>Empresas</w:t>
      </w:r>
      <w:r>
        <w:rPr>
          <w:spacing w:val="-4"/>
        </w:rPr>
        <w:t> </w:t>
      </w:r>
      <w:r>
        <w:rPr/>
        <w:t>Comerciales</w:t>
      </w:r>
      <w:r>
        <w:rPr>
          <w:spacing w:val="-6"/>
        </w:rPr>
        <w:t> </w:t>
      </w:r>
      <w:r>
        <w:rPr/>
        <w:t>del</w:t>
      </w:r>
      <w:r>
        <w:rPr>
          <w:spacing w:val="-5"/>
        </w:rPr>
        <w:t> </w:t>
      </w:r>
      <w:r>
        <w:rPr/>
        <w:t>IMAS del</w:t>
      </w:r>
      <w:r>
        <w:rPr>
          <w:spacing w:val="-10"/>
        </w:rPr>
        <w:t> </w:t>
      </w:r>
      <w:r>
        <w:rPr/>
        <w:t>2025,</w:t>
      </w:r>
      <w:r>
        <w:rPr>
          <w:spacing w:val="-9"/>
        </w:rPr>
        <w:t> </w:t>
      </w:r>
      <w:r>
        <w:rPr/>
        <w:t>así</w:t>
      </w:r>
      <w:r>
        <w:rPr>
          <w:spacing w:val="-10"/>
        </w:rPr>
        <w:t> </w:t>
      </w:r>
      <w:r>
        <w:rPr/>
        <w:t>como</w:t>
      </w:r>
      <w:r>
        <w:rPr>
          <w:spacing w:val="-11"/>
        </w:rPr>
        <w:t> </w:t>
      </w:r>
      <w:r>
        <w:rPr/>
        <w:t>movimientos</w:t>
      </w:r>
      <w:r>
        <w:rPr>
          <w:spacing w:val="-8"/>
        </w:rPr>
        <w:t> </w:t>
      </w:r>
      <w:r>
        <w:rPr/>
        <w:t>inmateriales</w:t>
      </w:r>
      <w:r>
        <w:rPr>
          <w:spacing w:val="-5"/>
        </w:rPr>
        <w:t> </w:t>
      </w:r>
      <w:r>
        <w:rPr/>
        <w:t>por</w:t>
      </w:r>
      <w:r>
        <w:rPr>
          <w:spacing w:val="-9"/>
        </w:rPr>
        <w:t> </w:t>
      </w:r>
      <w:r>
        <w:rPr/>
        <w:t>¢465,3</w:t>
      </w:r>
      <w:r>
        <w:rPr>
          <w:spacing w:val="-9"/>
        </w:rPr>
        <w:t> </w:t>
      </w:r>
      <w:r>
        <w:rPr/>
        <w:t>correspondientes</w:t>
      </w:r>
      <w:r>
        <w:rPr>
          <w:spacing w:val="-10"/>
        </w:rPr>
        <w:t> </w:t>
      </w:r>
      <w:r>
        <w:rPr/>
        <w:t>a</w:t>
      </w:r>
      <w:r>
        <w:rPr>
          <w:spacing w:val="-10"/>
        </w:rPr>
        <w:t> </w:t>
      </w:r>
      <w:r>
        <w:rPr/>
        <w:t>ajustes</w:t>
      </w:r>
      <w:r>
        <w:rPr>
          <w:spacing w:val="-10"/>
        </w:rPr>
        <w:t> </w:t>
      </w:r>
      <w:r>
        <w:rPr/>
        <w:t>del</w:t>
      </w:r>
      <w:r>
        <w:rPr>
          <w:spacing w:val="-12"/>
        </w:rPr>
        <w:t> </w:t>
      </w:r>
      <w:r>
        <w:rPr/>
        <w:t>salario escolar 2025 cancelados en enero 2026 y ajustes de cuentas por cobrar por ¢52,40 miles.</w:t>
      </w:r>
    </w:p>
    <w:p>
      <w:pPr>
        <w:pStyle w:val="ListParagraph"/>
        <w:numPr>
          <w:ilvl w:val="2"/>
          <w:numId w:val="39"/>
        </w:numPr>
        <w:tabs>
          <w:tab w:pos="1340" w:val="left" w:leader="none"/>
          <w:tab w:pos="1342" w:val="left" w:leader="none"/>
        </w:tabs>
        <w:spacing w:line="240" w:lineRule="auto" w:before="250" w:after="0"/>
        <w:ind w:left="1342" w:right="976" w:hanging="360"/>
        <w:jc w:val="both"/>
        <w:rPr>
          <w:sz w:val="22"/>
        </w:rPr>
      </w:pPr>
      <w:r>
        <w:rPr>
          <w:sz w:val="22"/>
        </w:rPr>
        <w:t>El</w:t>
      </w:r>
      <w:r>
        <w:rPr>
          <w:spacing w:val="-14"/>
          <w:sz w:val="22"/>
        </w:rPr>
        <w:t> </w:t>
      </w:r>
      <w:r>
        <w:rPr>
          <w:sz w:val="22"/>
        </w:rPr>
        <w:t>monto</w:t>
      </w:r>
      <w:r>
        <w:rPr>
          <w:spacing w:val="-14"/>
          <w:sz w:val="22"/>
        </w:rPr>
        <w:t> </w:t>
      </w:r>
      <w:r>
        <w:rPr>
          <w:sz w:val="22"/>
        </w:rPr>
        <w:t>mostrado</w:t>
      </w:r>
      <w:r>
        <w:rPr>
          <w:spacing w:val="-14"/>
          <w:sz w:val="22"/>
        </w:rPr>
        <w:t> </w:t>
      </w:r>
      <w:r>
        <w:rPr>
          <w:sz w:val="22"/>
        </w:rPr>
        <w:t>es</w:t>
      </w:r>
      <w:r>
        <w:rPr>
          <w:spacing w:val="-12"/>
          <w:sz w:val="22"/>
        </w:rPr>
        <w:t> </w:t>
      </w:r>
      <w:r>
        <w:rPr>
          <w:sz w:val="22"/>
        </w:rPr>
        <w:t>producto</w:t>
      </w:r>
      <w:r>
        <w:rPr>
          <w:spacing w:val="-12"/>
          <w:sz w:val="22"/>
        </w:rPr>
        <w:t> </w:t>
      </w:r>
      <w:r>
        <w:rPr>
          <w:sz w:val="22"/>
        </w:rPr>
        <w:t>de</w:t>
      </w:r>
      <w:r>
        <w:rPr>
          <w:spacing w:val="-12"/>
          <w:sz w:val="22"/>
        </w:rPr>
        <w:t> </w:t>
      </w:r>
      <w:r>
        <w:rPr>
          <w:sz w:val="22"/>
        </w:rPr>
        <w:t>la</w:t>
      </w:r>
      <w:r>
        <w:rPr>
          <w:spacing w:val="-14"/>
          <w:sz w:val="22"/>
        </w:rPr>
        <w:t> </w:t>
      </w:r>
      <w:r>
        <w:rPr>
          <w:sz w:val="22"/>
        </w:rPr>
        <w:t>aplicación</w:t>
      </w:r>
      <w:r>
        <w:rPr>
          <w:spacing w:val="-13"/>
          <w:sz w:val="22"/>
        </w:rPr>
        <w:t> </w:t>
      </w:r>
      <w:r>
        <w:rPr>
          <w:sz w:val="22"/>
        </w:rPr>
        <w:t>de</w:t>
      </w:r>
      <w:r>
        <w:rPr>
          <w:spacing w:val="-12"/>
          <w:sz w:val="22"/>
        </w:rPr>
        <w:t> </w:t>
      </w:r>
      <w:r>
        <w:rPr>
          <w:sz w:val="22"/>
        </w:rPr>
        <w:t>la</w:t>
      </w:r>
      <w:r>
        <w:rPr>
          <w:spacing w:val="-14"/>
          <w:sz w:val="22"/>
        </w:rPr>
        <w:t> </w:t>
      </w:r>
      <w:r>
        <w:rPr>
          <w:sz w:val="22"/>
        </w:rPr>
        <w:t>Normas</w:t>
      </w:r>
      <w:r>
        <w:rPr>
          <w:spacing w:val="-12"/>
          <w:sz w:val="22"/>
        </w:rPr>
        <w:t> </w:t>
      </w:r>
      <w:r>
        <w:rPr>
          <w:sz w:val="22"/>
        </w:rPr>
        <w:t>Internacionales</w:t>
      </w:r>
      <w:r>
        <w:rPr>
          <w:spacing w:val="-12"/>
          <w:sz w:val="22"/>
        </w:rPr>
        <w:t> </w:t>
      </w:r>
      <w:r>
        <w:rPr>
          <w:sz w:val="22"/>
        </w:rPr>
        <w:t>de</w:t>
      </w:r>
      <w:r>
        <w:rPr>
          <w:spacing w:val="-14"/>
          <w:sz w:val="22"/>
        </w:rPr>
        <w:t> </w:t>
      </w:r>
      <w:r>
        <w:rPr>
          <w:sz w:val="22"/>
        </w:rPr>
        <w:t>Contabilidad de Sector Publico (NICSP), siendo que durante el periodo 2024 se</w:t>
      </w:r>
      <w:r>
        <w:rPr>
          <w:spacing w:val="80"/>
          <w:sz w:val="22"/>
        </w:rPr>
        <w:t> </w:t>
      </w:r>
      <w:r>
        <w:rPr>
          <w:sz w:val="22"/>
        </w:rPr>
        <w:t>incluye los registros de ajustes contables por la implementación de las NICSP</w:t>
      </w:r>
      <w:r>
        <w:rPr>
          <w:spacing w:val="40"/>
          <w:sz w:val="22"/>
        </w:rPr>
        <w:t> </w:t>
      </w:r>
      <w:r>
        <w:rPr>
          <w:sz w:val="22"/>
        </w:rPr>
        <w:t>17, el ajuste por Re-expresión como parte de</w:t>
      </w:r>
      <w:r>
        <w:rPr>
          <w:spacing w:val="80"/>
          <w:w w:val="150"/>
          <w:sz w:val="22"/>
        </w:rPr>
        <w:t> </w:t>
      </w:r>
      <w:r>
        <w:rPr>
          <w:sz w:val="22"/>
        </w:rPr>
        <w:t>cambio</w:t>
      </w:r>
      <w:r>
        <w:rPr>
          <w:spacing w:val="-2"/>
          <w:sz w:val="22"/>
        </w:rPr>
        <w:t> </w:t>
      </w:r>
      <w:r>
        <w:rPr>
          <w:sz w:val="22"/>
        </w:rPr>
        <w:t>de</w:t>
      </w:r>
      <w:r>
        <w:rPr>
          <w:spacing w:val="-2"/>
          <w:sz w:val="22"/>
        </w:rPr>
        <w:t> </w:t>
      </w:r>
      <w:r>
        <w:rPr>
          <w:sz w:val="22"/>
        </w:rPr>
        <w:t>valoración y</w:t>
      </w:r>
      <w:r>
        <w:rPr>
          <w:spacing w:val="-1"/>
          <w:sz w:val="22"/>
        </w:rPr>
        <w:t> </w:t>
      </w:r>
      <w:r>
        <w:rPr>
          <w:sz w:val="22"/>
        </w:rPr>
        <w:t>registro</w:t>
      </w:r>
      <w:r>
        <w:rPr>
          <w:spacing w:val="-1"/>
          <w:sz w:val="22"/>
        </w:rPr>
        <w:t> </w:t>
      </w:r>
      <w:r>
        <w:rPr>
          <w:sz w:val="22"/>
        </w:rPr>
        <w:t>de</w:t>
      </w:r>
      <w:r>
        <w:rPr>
          <w:spacing w:val="-2"/>
          <w:sz w:val="22"/>
        </w:rPr>
        <w:t> </w:t>
      </w:r>
      <w:r>
        <w:rPr>
          <w:sz w:val="22"/>
        </w:rPr>
        <w:t>los terrenos,</w:t>
      </w:r>
      <w:r>
        <w:rPr>
          <w:spacing w:val="-2"/>
          <w:sz w:val="22"/>
        </w:rPr>
        <w:t> </w:t>
      </w:r>
      <w:r>
        <w:rPr>
          <w:sz w:val="22"/>
        </w:rPr>
        <w:t>según</w:t>
      </w:r>
      <w:r>
        <w:rPr>
          <w:spacing w:val="-2"/>
          <w:sz w:val="22"/>
        </w:rPr>
        <w:t> </w:t>
      </w:r>
      <w:r>
        <w:rPr>
          <w:sz w:val="22"/>
        </w:rPr>
        <w:t>NICSP</w:t>
      </w:r>
      <w:r>
        <w:rPr>
          <w:spacing w:val="-1"/>
          <w:sz w:val="22"/>
        </w:rPr>
        <w:t> </w:t>
      </w:r>
      <w:r>
        <w:rPr>
          <w:sz w:val="22"/>
        </w:rPr>
        <w:t>actualizando al</w:t>
      </w:r>
      <w:r>
        <w:rPr>
          <w:spacing w:val="-1"/>
          <w:sz w:val="22"/>
        </w:rPr>
        <w:t> </w:t>
      </w:r>
      <w:r>
        <w:rPr>
          <w:sz w:val="22"/>
        </w:rPr>
        <w:t>valor razonable de los terrenos de programas sociales y terrenos de edificios.</w:t>
      </w:r>
    </w:p>
    <w:p>
      <w:pPr>
        <w:pStyle w:val="BodyText"/>
        <w:spacing w:before="2"/>
      </w:pPr>
    </w:p>
    <w:p>
      <w:pPr>
        <w:pStyle w:val="ListParagraph"/>
        <w:numPr>
          <w:ilvl w:val="2"/>
          <w:numId w:val="39"/>
        </w:numPr>
        <w:tabs>
          <w:tab w:pos="1342" w:val="left" w:leader="none"/>
        </w:tabs>
        <w:spacing w:line="240" w:lineRule="auto" w:before="1" w:after="0"/>
        <w:ind w:left="1342" w:right="976" w:hanging="360"/>
        <w:jc w:val="both"/>
        <w:rPr>
          <w:sz w:val="22"/>
        </w:rPr>
      </w:pPr>
      <w:r>
        <w:rPr>
          <w:sz w:val="22"/>
        </w:rPr>
        <w:t>Durante el periodo 2023</w:t>
      </w:r>
      <w:r>
        <w:rPr>
          <w:spacing w:val="-1"/>
          <w:sz w:val="22"/>
        </w:rPr>
        <w:t> </w:t>
      </w:r>
      <w:r>
        <w:rPr>
          <w:sz w:val="22"/>
        </w:rPr>
        <w:t>se realizó la corrección de errores de recálculo de la depreciación y amortización acumulada de activos planta y equipo, durante el periodo 2024-2025 no se han determinado errores.</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1536">
                <wp:simplePos x="0" y="0"/>
                <wp:positionH relativeFrom="page">
                  <wp:posOffset>9525</wp:posOffset>
                </wp:positionH>
                <wp:positionV relativeFrom="page">
                  <wp:posOffset>297208</wp:posOffset>
                </wp:positionV>
                <wp:extent cx="7762875" cy="9748520"/>
                <wp:effectExtent l="0" t="0" r="0" b="0"/>
                <wp:wrapNone/>
                <wp:docPr id="447" name="Group 447"/>
                <wp:cNvGraphicFramePr>
                  <a:graphicFrameLocks/>
                </wp:cNvGraphicFramePr>
                <a:graphic>
                  <a:graphicData uri="http://schemas.microsoft.com/office/word/2010/wordprocessingGroup">
                    <wpg:wgp>
                      <wpg:cNvPr id="447" name="Group 447"/>
                      <wpg:cNvGrpSpPr/>
                      <wpg:grpSpPr>
                        <a:xfrm>
                          <a:off x="0" y="0"/>
                          <a:ext cx="7762875" cy="9748520"/>
                          <a:chExt cx="7762875" cy="9748520"/>
                        </a:xfrm>
                      </wpg:grpSpPr>
                      <pic:pic>
                        <pic:nvPicPr>
                          <pic:cNvPr id="448" name="Image 448"/>
                          <pic:cNvPicPr/>
                        </pic:nvPicPr>
                        <pic:blipFill>
                          <a:blip r:embed="rId5" cstate="print"/>
                          <a:stretch>
                            <a:fillRect/>
                          </a:stretch>
                        </pic:blipFill>
                        <pic:spPr>
                          <a:xfrm>
                            <a:off x="0" y="0"/>
                            <a:ext cx="7762874" cy="9748489"/>
                          </a:xfrm>
                          <a:prstGeom prst="rect">
                            <a:avLst/>
                          </a:prstGeom>
                        </pic:spPr>
                      </pic:pic>
                      <wps:wsp>
                        <wps:cNvPr id="449" name="Graphic 44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4944" id="docshapegroup425" coordorigin="15,468" coordsize="12225,15352">
                <v:shape style="position:absolute;left:15;top:468;width:12225;height:15352" type="#_x0000_t75" id="docshape426" stroked="false">
                  <v:imagedata r:id="rId5" o:title=""/>
                </v:shape>
                <v:rect style="position:absolute;left:1673;top:2028;width:8897;height:15" id="docshape42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93</w:t>
      </w:r>
    </w:p>
    <w:p>
      <w:pPr>
        <w:pStyle w:val="BodyText"/>
        <w:spacing w:before="216"/>
      </w:pPr>
    </w:p>
    <w:p>
      <w:pPr>
        <w:pStyle w:val="ListParagraph"/>
        <w:numPr>
          <w:ilvl w:val="2"/>
          <w:numId w:val="39"/>
        </w:numPr>
        <w:tabs>
          <w:tab w:pos="1342" w:val="left" w:leader="none"/>
        </w:tabs>
        <w:spacing w:line="240" w:lineRule="auto" w:before="0" w:after="0"/>
        <w:ind w:left="1342" w:right="979" w:hanging="360"/>
        <w:jc w:val="left"/>
        <w:rPr>
          <w:sz w:val="22"/>
        </w:rPr>
      </w:pPr>
      <w:r>
        <w:rPr>
          <w:sz w:val="22"/>
        </w:rPr>
        <w:t>El monto mostrado corresponde a la aplicación de valor residual de ¢500 en los activos pro-piedad, planta y equipo, excluyendo los terrenos.</w:t>
      </w:r>
    </w:p>
    <w:p>
      <w:pPr>
        <w:pStyle w:val="BodyText"/>
        <w:rPr>
          <w:sz w:val="20"/>
        </w:rPr>
      </w:pPr>
    </w:p>
    <w:p>
      <w:pPr>
        <w:pStyle w:val="BodyText"/>
        <w:rPr>
          <w:sz w:val="20"/>
        </w:rPr>
      </w:pPr>
    </w:p>
    <w:p>
      <w:pPr>
        <w:pStyle w:val="BodyText"/>
        <w:spacing w:before="47"/>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99"/>
        <w:gridCol w:w="2067"/>
        <w:gridCol w:w="627"/>
        <w:gridCol w:w="2108"/>
        <w:gridCol w:w="2108"/>
        <w:gridCol w:w="973"/>
      </w:tblGrid>
      <w:tr>
        <w:trPr>
          <w:trHeight w:val="296" w:hRule="atLeast"/>
        </w:trPr>
        <w:tc>
          <w:tcPr>
            <w:tcW w:w="1099" w:type="dxa"/>
            <w:vMerge w:val="restart"/>
            <w:shd w:val="clear" w:color="auto" w:fill="365F92"/>
          </w:tcPr>
          <w:p>
            <w:pPr>
              <w:pStyle w:val="TableParagraph"/>
              <w:spacing w:before="104"/>
              <w:ind w:left="69"/>
              <w:rPr>
                <w:b/>
                <w:sz w:val="20"/>
              </w:rPr>
            </w:pPr>
            <w:r>
              <w:rPr>
                <w:b/>
                <w:color w:val="FFFFFF"/>
                <w:spacing w:val="-2"/>
                <w:sz w:val="20"/>
              </w:rPr>
              <w:t>Cuenta</w:t>
            </w:r>
          </w:p>
        </w:tc>
        <w:tc>
          <w:tcPr>
            <w:tcW w:w="2067" w:type="dxa"/>
            <w:vMerge w:val="restart"/>
            <w:shd w:val="clear" w:color="auto" w:fill="365F92"/>
          </w:tcPr>
          <w:p>
            <w:pPr>
              <w:pStyle w:val="TableParagraph"/>
              <w:spacing w:before="193"/>
              <w:ind w:left="552"/>
              <w:rPr>
                <w:b/>
                <w:sz w:val="20"/>
              </w:rPr>
            </w:pPr>
            <w:r>
              <w:rPr>
                <w:b/>
                <w:color w:val="FFFFFF"/>
                <w:spacing w:val="-2"/>
                <w:sz w:val="20"/>
              </w:rPr>
              <w:t>Descripción</w:t>
            </w:r>
          </w:p>
        </w:tc>
        <w:tc>
          <w:tcPr>
            <w:tcW w:w="627" w:type="dxa"/>
            <w:vMerge w:val="restart"/>
            <w:shd w:val="clear" w:color="auto" w:fill="365F92"/>
          </w:tcPr>
          <w:p>
            <w:pPr>
              <w:pStyle w:val="TableParagraph"/>
              <w:spacing w:before="193"/>
              <w:ind w:left="117"/>
              <w:rPr>
                <w:b/>
                <w:sz w:val="20"/>
              </w:rPr>
            </w:pPr>
            <w:r>
              <w:rPr>
                <w:b/>
                <w:color w:val="FFFFFF"/>
                <w:spacing w:val="-4"/>
                <w:sz w:val="20"/>
              </w:rPr>
              <w:t>Nota</w:t>
            </w:r>
          </w:p>
        </w:tc>
        <w:tc>
          <w:tcPr>
            <w:tcW w:w="2108" w:type="dxa"/>
            <w:vMerge w:val="restart"/>
            <w:shd w:val="clear" w:color="auto" w:fill="365F92"/>
          </w:tcPr>
          <w:p>
            <w:pPr>
              <w:pStyle w:val="TableParagraph"/>
              <w:spacing w:before="193"/>
              <w:ind w:left="479"/>
              <w:rPr>
                <w:b/>
                <w:sz w:val="20"/>
              </w:rPr>
            </w:pPr>
            <w:r>
              <w:rPr>
                <w:b/>
                <w:color w:val="FFFFFF"/>
                <w:sz w:val="20"/>
              </w:rPr>
              <w:t>Periodo</w:t>
            </w:r>
            <w:r>
              <w:rPr>
                <w:b/>
                <w:color w:val="FFFFFF"/>
                <w:spacing w:val="-5"/>
                <w:sz w:val="20"/>
              </w:rPr>
              <w:t> </w:t>
            </w:r>
            <w:r>
              <w:rPr>
                <w:b/>
                <w:color w:val="FFFFFF"/>
                <w:spacing w:val="-2"/>
                <w:sz w:val="20"/>
              </w:rPr>
              <w:t>Actual</w:t>
            </w:r>
          </w:p>
        </w:tc>
        <w:tc>
          <w:tcPr>
            <w:tcW w:w="2108" w:type="dxa"/>
            <w:vMerge w:val="restart"/>
            <w:shd w:val="clear" w:color="auto" w:fill="365F92"/>
          </w:tcPr>
          <w:p>
            <w:pPr>
              <w:pStyle w:val="TableParagraph"/>
              <w:spacing w:before="193"/>
              <w:ind w:left="395"/>
              <w:rPr>
                <w:b/>
                <w:sz w:val="20"/>
              </w:rPr>
            </w:pPr>
            <w:r>
              <w:rPr>
                <w:b/>
                <w:color w:val="FFFFFF"/>
                <w:sz w:val="20"/>
              </w:rPr>
              <w:t>Periodo</w:t>
            </w:r>
            <w:r>
              <w:rPr>
                <w:b/>
                <w:color w:val="FFFFFF"/>
                <w:spacing w:val="-5"/>
                <w:sz w:val="20"/>
              </w:rPr>
              <w:t> </w:t>
            </w:r>
            <w:r>
              <w:rPr>
                <w:b/>
                <w:color w:val="FFFFFF"/>
                <w:spacing w:val="-2"/>
                <w:sz w:val="20"/>
              </w:rPr>
              <w:t>Anterior</w:t>
            </w:r>
          </w:p>
        </w:tc>
        <w:tc>
          <w:tcPr>
            <w:tcW w:w="973" w:type="dxa"/>
            <w:shd w:val="clear" w:color="auto" w:fill="365F92"/>
          </w:tcPr>
          <w:p>
            <w:pPr>
              <w:pStyle w:val="TableParagraph"/>
              <w:spacing w:before="34"/>
              <w:ind w:left="13"/>
              <w:jc w:val="center"/>
              <w:rPr>
                <w:b/>
                <w:sz w:val="20"/>
              </w:rPr>
            </w:pPr>
            <w:r>
              <w:rPr>
                <w:b/>
                <w:color w:val="FFFFFF"/>
                <w:spacing w:val="-2"/>
                <w:sz w:val="20"/>
              </w:rPr>
              <w:t>Diferencia</w:t>
            </w:r>
          </w:p>
        </w:tc>
      </w:tr>
      <w:tr>
        <w:trPr>
          <w:trHeight w:val="296" w:hRule="atLeast"/>
        </w:trPr>
        <w:tc>
          <w:tcPr>
            <w:tcW w:w="1099" w:type="dxa"/>
            <w:vMerge/>
            <w:tcBorders>
              <w:top w:val="nil"/>
            </w:tcBorders>
            <w:shd w:val="clear" w:color="auto" w:fill="365F92"/>
          </w:tcPr>
          <w:p>
            <w:pPr>
              <w:rPr>
                <w:sz w:val="2"/>
                <w:szCs w:val="2"/>
              </w:rPr>
            </w:pPr>
          </w:p>
        </w:tc>
        <w:tc>
          <w:tcPr>
            <w:tcW w:w="2067" w:type="dxa"/>
            <w:vMerge/>
            <w:tcBorders>
              <w:top w:val="nil"/>
            </w:tcBorders>
            <w:shd w:val="clear" w:color="auto" w:fill="365F92"/>
          </w:tcPr>
          <w:p>
            <w:pPr>
              <w:rPr>
                <w:sz w:val="2"/>
                <w:szCs w:val="2"/>
              </w:rPr>
            </w:pPr>
          </w:p>
        </w:tc>
        <w:tc>
          <w:tcPr>
            <w:tcW w:w="627" w:type="dxa"/>
            <w:vMerge/>
            <w:tcBorders>
              <w:top w:val="nil"/>
            </w:tcBorders>
            <w:shd w:val="clear" w:color="auto" w:fill="365F92"/>
          </w:tcPr>
          <w:p>
            <w:pPr>
              <w:rPr>
                <w:sz w:val="2"/>
                <w:szCs w:val="2"/>
              </w:rPr>
            </w:pPr>
          </w:p>
        </w:tc>
        <w:tc>
          <w:tcPr>
            <w:tcW w:w="2108" w:type="dxa"/>
            <w:vMerge/>
            <w:tcBorders>
              <w:top w:val="nil"/>
            </w:tcBorders>
            <w:shd w:val="clear" w:color="auto" w:fill="365F92"/>
          </w:tcPr>
          <w:p>
            <w:pPr>
              <w:rPr>
                <w:sz w:val="2"/>
                <w:szCs w:val="2"/>
              </w:rPr>
            </w:pPr>
          </w:p>
        </w:tc>
        <w:tc>
          <w:tcPr>
            <w:tcW w:w="2108" w:type="dxa"/>
            <w:vMerge/>
            <w:tcBorders>
              <w:top w:val="nil"/>
            </w:tcBorders>
            <w:shd w:val="clear" w:color="auto" w:fill="365F92"/>
          </w:tcPr>
          <w:p>
            <w:pPr>
              <w:rPr>
                <w:sz w:val="2"/>
                <w:szCs w:val="2"/>
              </w:rPr>
            </w:pPr>
          </w:p>
        </w:tc>
        <w:tc>
          <w:tcPr>
            <w:tcW w:w="973" w:type="dxa"/>
            <w:shd w:val="clear" w:color="auto" w:fill="365F92"/>
          </w:tcPr>
          <w:p>
            <w:pPr>
              <w:pStyle w:val="TableParagraph"/>
              <w:spacing w:before="34"/>
              <w:ind w:left="13" w:right="1"/>
              <w:jc w:val="center"/>
              <w:rPr>
                <w:sz w:val="20"/>
              </w:rPr>
            </w:pPr>
            <w:r>
              <w:rPr>
                <w:color w:val="FFFFFF"/>
                <w:spacing w:val="-10"/>
                <w:sz w:val="20"/>
              </w:rPr>
              <w:t>%</w:t>
            </w:r>
          </w:p>
        </w:tc>
      </w:tr>
      <w:tr>
        <w:trPr>
          <w:trHeight w:val="299" w:hRule="atLeast"/>
        </w:trPr>
        <w:tc>
          <w:tcPr>
            <w:tcW w:w="1099" w:type="dxa"/>
          </w:tcPr>
          <w:p>
            <w:pPr>
              <w:pStyle w:val="TableParagraph"/>
              <w:spacing w:before="34"/>
              <w:ind w:left="69"/>
              <w:rPr>
                <w:b/>
                <w:sz w:val="20"/>
              </w:rPr>
            </w:pPr>
            <w:r>
              <w:rPr>
                <w:b/>
                <w:spacing w:val="-2"/>
                <w:sz w:val="20"/>
              </w:rPr>
              <w:t>3.1.5.02.</w:t>
            </w:r>
          </w:p>
        </w:tc>
        <w:tc>
          <w:tcPr>
            <w:tcW w:w="2067" w:type="dxa"/>
          </w:tcPr>
          <w:p>
            <w:pPr>
              <w:pStyle w:val="TableParagraph"/>
              <w:spacing w:before="34"/>
              <w:ind w:left="69"/>
              <w:rPr>
                <w:b/>
                <w:sz w:val="20"/>
              </w:rPr>
            </w:pPr>
            <w:r>
              <w:rPr>
                <w:b/>
                <w:sz w:val="20"/>
              </w:rPr>
              <w:t>Resultado</w:t>
            </w:r>
            <w:r>
              <w:rPr>
                <w:b/>
                <w:spacing w:val="-5"/>
                <w:sz w:val="20"/>
              </w:rPr>
              <w:t> </w:t>
            </w:r>
            <w:r>
              <w:rPr>
                <w:b/>
                <w:sz w:val="20"/>
              </w:rPr>
              <w:t>del</w:t>
            </w:r>
            <w:r>
              <w:rPr>
                <w:b/>
                <w:spacing w:val="-5"/>
                <w:sz w:val="20"/>
              </w:rPr>
              <w:t> </w:t>
            </w:r>
            <w:r>
              <w:rPr>
                <w:b/>
                <w:spacing w:val="-2"/>
                <w:sz w:val="20"/>
              </w:rPr>
              <w:t>ejercicio</w:t>
            </w:r>
          </w:p>
        </w:tc>
        <w:tc>
          <w:tcPr>
            <w:tcW w:w="627" w:type="dxa"/>
          </w:tcPr>
          <w:p>
            <w:pPr>
              <w:pStyle w:val="TableParagraph"/>
              <w:spacing w:before="34"/>
              <w:ind w:left="213"/>
              <w:rPr>
                <w:b/>
                <w:sz w:val="20"/>
              </w:rPr>
            </w:pPr>
            <w:r>
              <w:rPr>
                <w:b/>
                <w:spacing w:val="-5"/>
                <w:sz w:val="20"/>
              </w:rPr>
              <w:t>28</w:t>
            </w:r>
          </w:p>
        </w:tc>
        <w:tc>
          <w:tcPr>
            <w:tcW w:w="2108" w:type="dxa"/>
          </w:tcPr>
          <w:p>
            <w:pPr>
              <w:pStyle w:val="TableParagraph"/>
              <w:spacing w:before="34"/>
              <w:ind w:left="486"/>
              <w:rPr>
                <w:b/>
                <w:sz w:val="20"/>
              </w:rPr>
            </w:pPr>
            <w:r>
              <w:rPr>
                <w:b/>
                <w:sz w:val="20"/>
              </w:rPr>
              <w:t>14</w:t>
            </w:r>
            <w:r>
              <w:rPr>
                <w:b/>
                <w:spacing w:val="-3"/>
                <w:sz w:val="20"/>
              </w:rPr>
              <w:t> </w:t>
            </w:r>
            <w:r>
              <w:rPr>
                <w:b/>
                <w:sz w:val="20"/>
              </w:rPr>
              <w:t>521</w:t>
            </w:r>
            <w:r>
              <w:rPr>
                <w:b/>
                <w:spacing w:val="-2"/>
                <w:sz w:val="20"/>
              </w:rPr>
              <w:t> 107,15</w:t>
            </w:r>
          </w:p>
        </w:tc>
        <w:tc>
          <w:tcPr>
            <w:tcW w:w="2108" w:type="dxa"/>
          </w:tcPr>
          <w:p>
            <w:pPr>
              <w:pStyle w:val="TableParagraph"/>
              <w:spacing w:before="34"/>
              <w:ind w:left="486"/>
              <w:rPr>
                <w:b/>
                <w:sz w:val="20"/>
              </w:rPr>
            </w:pPr>
            <w:r>
              <w:rPr>
                <w:b/>
                <w:sz w:val="20"/>
              </w:rPr>
              <w:t>22</w:t>
            </w:r>
            <w:r>
              <w:rPr>
                <w:b/>
                <w:spacing w:val="-3"/>
                <w:sz w:val="20"/>
              </w:rPr>
              <w:t> </w:t>
            </w:r>
            <w:r>
              <w:rPr>
                <w:b/>
                <w:sz w:val="20"/>
              </w:rPr>
              <w:t>801</w:t>
            </w:r>
            <w:r>
              <w:rPr>
                <w:b/>
                <w:spacing w:val="-2"/>
                <w:sz w:val="20"/>
              </w:rPr>
              <w:t> 631,78</w:t>
            </w:r>
          </w:p>
        </w:tc>
        <w:tc>
          <w:tcPr>
            <w:tcW w:w="973" w:type="dxa"/>
          </w:tcPr>
          <w:p>
            <w:pPr>
              <w:pStyle w:val="TableParagraph"/>
              <w:spacing w:before="34"/>
              <w:ind w:left="13" w:right="1"/>
              <w:jc w:val="center"/>
              <w:rPr>
                <w:b/>
                <w:sz w:val="20"/>
              </w:rPr>
            </w:pPr>
            <w:r>
              <w:rPr>
                <w:b/>
                <w:spacing w:val="-2"/>
                <w:sz w:val="20"/>
              </w:rPr>
              <w:t>-36,32%</w:t>
            </w:r>
          </w:p>
        </w:tc>
      </w:tr>
    </w:tbl>
    <w:p>
      <w:pPr>
        <w:pStyle w:val="BodyText"/>
        <w:rPr>
          <w:sz w:val="20"/>
        </w:rPr>
      </w:pPr>
    </w:p>
    <w:p>
      <w:pPr>
        <w:spacing w:before="0"/>
        <w:ind w:left="672" w:right="0" w:firstLine="0"/>
        <w:jc w:val="left"/>
        <w:rPr>
          <w:sz w:val="20"/>
        </w:rPr>
      </w:pPr>
      <w:r>
        <w:rPr>
          <w:b/>
          <w:spacing w:val="-2"/>
          <w:sz w:val="20"/>
        </w:rPr>
        <w:t>Revelación</w:t>
      </w:r>
      <w:r>
        <w:rPr>
          <w:spacing w:val="-2"/>
          <w:sz w:val="20"/>
        </w:rPr>
        <w:t>:</w:t>
      </w:r>
    </w:p>
    <w:p>
      <w:pPr>
        <w:pStyle w:val="BodyText"/>
        <w:spacing w:before="23"/>
        <w:rPr>
          <w:sz w:val="20"/>
        </w:rPr>
      </w:pPr>
    </w:p>
    <w:p>
      <w:pPr>
        <w:pStyle w:val="BodyText"/>
        <w:ind w:left="622" w:right="974" w:firstLine="55"/>
        <w:jc w:val="both"/>
      </w:pPr>
      <w:r>
        <w:rPr/>
        <w:t>La cuenta Resultados acumulados, representa el 7,59% del total de Patrimonio, que comparado al periodo anterior genera una variación absoluta de ¢ -8.280.524,63 que corresponde a un decremento del -36,32%, producto que, los ingresos disminuyeron (-7,39%), y la disminución de los egresos del - 2,43%, generando entonces a una disminución significativa del resultado del ejercicio.</w:t>
      </w:r>
    </w:p>
    <w:p>
      <w:pPr>
        <w:pStyle w:val="BodyText"/>
        <w:spacing w:before="20"/>
        <w:rPr>
          <w:sz w:val="20"/>
        </w:rPr>
      </w:pPr>
    </w:p>
    <w:tbl>
      <w:tblPr>
        <w:tblW w:w="0" w:type="auto"/>
        <w:jc w:val="left"/>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35"/>
        <w:gridCol w:w="1843"/>
        <w:gridCol w:w="1554"/>
        <w:gridCol w:w="1504"/>
      </w:tblGrid>
      <w:tr>
        <w:trPr>
          <w:trHeight w:val="396" w:hRule="atLeast"/>
        </w:trPr>
        <w:tc>
          <w:tcPr>
            <w:tcW w:w="3135" w:type="dxa"/>
            <w:tcBorders>
              <w:top w:val="single" w:sz="2" w:space="0" w:color="000000"/>
              <w:left w:val="single" w:sz="2" w:space="0" w:color="000000"/>
            </w:tcBorders>
            <w:shd w:val="clear" w:color="auto" w:fill="FFFFFF"/>
          </w:tcPr>
          <w:p>
            <w:pPr>
              <w:pStyle w:val="TableParagraph"/>
              <w:rPr>
                <w:rFonts w:ascii="Times New Roman"/>
                <w:sz w:val="20"/>
              </w:rPr>
            </w:pPr>
          </w:p>
        </w:tc>
        <w:tc>
          <w:tcPr>
            <w:tcW w:w="1843" w:type="dxa"/>
            <w:tcBorders>
              <w:top w:val="single" w:sz="2" w:space="0" w:color="000000"/>
            </w:tcBorders>
            <w:shd w:val="clear" w:color="auto" w:fill="FFFFFF"/>
          </w:tcPr>
          <w:p>
            <w:pPr>
              <w:pStyle w:val="TableParagraph"/>
              <w:spacing w:before="121"/>
              <w:ind w:left="334"/>
              <w:jc w:val="center"/>
              <w:rPr>
                <w:rFonts w:ascii="Times New Roman"/>
                <w:b/>
                <w:sz w:val="18"/>
              </w:rPr>
            </w:pPr>
            <w:r>
              <w:rPr>
                <w:rFonts w:ascii="Times New Roman"/>
                <w:b/>
                <w:spacing w:val="-4"/>
                <w:sz w:val="18"/>
                <w:u w:val="single"/>
              </w:rPr>
              <w:t>2026</w:t>
            </w:r>
          </w:p>
        </w:tc>
        <w:tc>
          <w:tcPr>
            <w:tcW w:w="1554" w:type="dxa"/>
            <w:tcBorders>
              <w:top w:val="single" w:sz="2" w:space="0" w:color="000000"/>
            </w:tcBorders>
            <w:shd w:val="clear" w:color="auto" w:fill="FFFFFF"/>
          </w:tcPr>
          <w:p>
            <w:pPr>
              <w:pStyle w:val="TableParagraph"/>
              <w:spacing w:before="121"/>
              <w:ind w:left="10" w:right="14"/>
              <w:jc w:val="center"/>
              <w:rPr>
                <w:rFonts w:ascii="Times New Roman"/>
                <w:b/>
                <w:sz w:val="18"/>
              </w:rPr>
            </w:pPr>
            <w:r>
              <w:rPr>
                <w:rFonts w:ascii="Times New Roman"/>
                <w:b/>
                <w:spacing w:val="-4"/>
                <w:sz w:val="18"/>
                <w:u w:val="single"/>
              </w:rPr>
              <w:t>2025</w:t>
            </w:r>
          </w:p>
        </w:tc>
        <w:tc>
          <w:tcPr>
            <w:tcW w:w="1504" w:type="dxa"/>
            <w:tcBorders>
              <w:top w:val="single" w:sz="2" w:space="0" w:color="000000"/>
              <w:right w:val="single" w:sz="4" w:space="0" w:color="000000"/>
            </w:tcBorders>
            <w:shd w:val="clear" w:color="auto" w:fill="FFFFFF"/>
          </w:tcPr>
          <w:p>
            <w:pPr>
              <w:pStyle w:val="TableParagraph"/>
              <w:spacing w:before="121"/>
              <w:ind w:right="18"/>
              <w:jc w:val="center"/>
              <w:rPr>
                <w:rFonts w:ascii="Times New Roman" w:hAnsi="Times New Roman"/>
                <w:b/>
                <w:sz w:val="18"/>
              </w:rPr>
            </w:pPr>
            <w:r>
              <w:rPr>
                <w:rFonts w:ascii="Times New Roman" w:hAnsi="Times New Roman"/>
                <w:b/>
                <w:spacing w:val="-2"/>
                <w:sz w:val="18"/>
                <w:u w:val="single"/>
              </w:rPr>
              <w:t>Variación%</w:t>
            </w:r>
          </w:p>
        </w:tc>
      </w:tr>
      <w:tr>
        <w:trPr>
          <w:trHeight w:val="300" w:hRule="atLeast"/>
        </w:trPr>
        <w:tc>
          <w:tcPr>
            <w:tcW w:w="3135" w:type="dxa"/>
            <w:tcBorders>
              <w:left w:val="single" w:sz="2" w:space="0" w:color="000000"/>
            </w:tcBorders>
            <w:shd w:val="clear" w:color="auto" w:fill="FFFFFF"/>
          </w:tcPr>
          <w:p>
            <w:pPr>
              <w:pStyle w:val="TableParagraph"/>
              <w:spacing w:line="218" w:lineRule="exact" w:before="62"/>
              <w:ind w:left="144"/>
              <w:rPr>
                <w:rFonts w:ascii="Times New Roman"/>
                <w:b/>
                <w:sz w:val="19"/>
              </w:rPr>
            </w:pPr>
            <w:r>
              <w:rPr>
                <w:rFonts w:ascii="Times New Roman"/>
                <w:b/>
                <w:sz w:val="19"/>
              </w:rPr>
              <w:t>Resultado</w:t>
            </w:r>
            <w:r>
              <w:rPr>
                <w:rFonts w:ascii="Times New Roman"/>
                <w:b/>
                <w:spacing w:val="-7"/>
                <w:sz w:val="19"/>
              </w:rPr>
              <w:t> </w:t>
            </w:r>
            <w:r>
              <w:rPr>
                <w:rFonts w:ascii="Times New Roman"/>
                <w:b/>
                <w:sz w:val="19"/>
              </w:rPr>
              <w:t>del</w:t>
            </w:r>
            <w:r>
              <w:rPr>
                <w:rFonts w:ascii="Times New Roman"/>
                <w:b/>
                <w:spacing w:val="-1"/>
                <w:sz w:val="19"/>
              </w:rPr>
              <w:t> </w:t>
            </w:r>
            <w:r>
              <w:rPr>
                <w:rFonts w:ascii="Times New Roman"/>
                <w:b/>
                <w:spacing w:val="-2"/>
                <w:sz w:val="19"/>
              </w:rPr>
              <w:t>periodo</w:t>
            </w:r>
          </w:p>
        </w:tc>
        <w:tc>
          <w:tcPr>
            <w:tcW w:w="1843" w:type="dxa"/>
            <w:shd w:val="clear" w:color="auto" w:fill="FFFFFF"/>
          </w:tcPr>
          <w:p>
            <w:pPr>
              <w:pStyle w:val="TableParagraph"/>
              <w:rPr>
                <w:rFonts w:ascii="Times New Roman"/>
                <w:sz w:val="20"/>
              </w:rPr>
            </w:pPr>
          </w:p>
        </w:tc>
        <w:tc>
          <w:tcPr>
            <w:tcW w:w="1554" w:type="dxa"/>
            <w:shd w:val="clear" w:color="auto" w:fill="FFFFFF"/>
          </w:tcPr>
          <w:p>
            <w:pPr>
              <w:pStyle w:val="TableParagraph"/>
              <w:rPr>
                <w:rFonts w:ascii="Times New Roman"/>
                <w:sz w:val="20"/>
              </w:rPr>
            </w:pPr>
          </w:p>
        </w:tc>
        <w:tc>
          <w:tcPr>
            <w:tcW w:w="1504" w:type="dxa"/>
            <w:tcBorders>
              <w:right w:val="single" w:sz="4" w:space="0" w:color="000000"/>
            </w:tcBorders>
            <w:shd w:val="clear" w:color="auto" w:fill="FFFFFF"/>
          </w:tcPr>
          <w:p>
            <w:pPr>
              <w:pStyle w:val="TableParagraph"/>
              <w:rPr>
                <w:rFonts w:ascii="Times New Roman"/>
                <w:sz w:val="20"/>
              </w:rPr>
            </w:pPr>
          </w:p>
        </w:tc>
      </w:tr>
      <w:tr>
        <w:trPr>
          <w:trHeight w:val="338" w:hRule="atLeast"/>
        </w:trPr>
        <w:tc>
          <w:tcPr>
            <w:tcW w:w="3135" w:type="dxa"/>
            <w:tcBorders>
              <w:left w:val="single" w:sz="2" w:space="0" w:color="000000"/>
            </w:tcBorders>
            <w:shd w:val="clear" w:color="auto" w:fill="FFFFFF"/>
          </w:tcPr>
          <w:p>
            <w:pPr>
              <w:pStyle w:val="TableParagraph"/>
              <w:spacing w:before="11"/>
              <w:ind w:left="144"/>
              <w:rPr>
                <w:rFonts w:ascii="Times New Roman"/>
                <w:sz w:val="16"/>
              </w:rPr>
            </w:pPr>
            <w:r>
              <w:rPr>
                <w:rFonts w:ascii="Times New Roman"/>
                <w:sz w:val="16"/>
              </w:rPr>
              <w:t>Total</w:t>
            </w:r>
            <w:r>
              <w:rPr>
                <w:rFonts w:ascii="Times New Roman"/>
                <w:spacing w:val="-7"/>
                <w:sz w:val="16"/>
              </w:rPr>
              <w:t> </w:t>
            </w:r>
            <w:r>
              <w:rPr>
                <w:rFonts w:ascii="Times New Roman"/>
                <w:spacing w:val="-2"/>
                <w:sz w:val="16"/>
              </w:rPr>
              <w:t>ingresos</w:t>
            </w:r>
          </w:p>
        </w:tc>
        <w:tc>
          <w:tcPr>
            <w:tcW w:w="1843" w:type="dxa"/>
            <w:shd w:val="clear" w:color="auto" w:fill="FFFFFF"/>
          </w:tcPr>
          <w:p>
            <w:pPr>
              <w:pStyle w:val="TableParagraph"/>
              <w:spacing w:before="11"/>
              <w:ind w:left="334" w:right="9"/>
              <w:jc w:val="center"/>
              <w:rPr>
                <w:rFonts w:ascii="Times New Roman"/>
                <w:sz w:val="16"/>
              </w:rPr>
            </w:pPr>
            <w:r>
              <w:rPr>
                <w:rFonts w:ascii="Times New Roman"/>
                <w:sz w:val="16"/>
              </w:rPr>
              <w:t>144</w:t>
            </w:r>
            <w:r>
              <w:rPr>
                <w:rFonts w:ascii="Times New Roman"/>
                <w:spacing w:val="1"/>
                <w:sz w:val="16"/>
              </w:rPr>
              <w:t> </w:t>
            </w:r>
            <w:r>
              <w:rPr>
                <w:rFonts w:ascii="Times New Roman"/>
                <w:sz w:val="16"/>
              </w:rPr>
              <w:t>526</w:t>
            </w:r>
            <w:r>
              <w:rPr>
                <w:rFonts w:ascii="Times New Roman"/>
                <w:spacing w:val="2"/>
                <w:sz w:val="16"/>
              </w:rPr>
              <w:t> </w:t>
            </w:r>
            <w:r>
              <w:rPr>
                <w:rFonts w:ascii="Times New Roman"/>
                <w:spacing w:val="-2"/>
                <w:sz w:val="16"/>
              </w:rPr>
              <w:t>846,57</w:t>
            </w:r>
          </w:p>
        </w:tc>
        <w:tc>
          <w:tcPr>
            <w:tcW w:w="1554" w:type="dxa"/>
            <w:shd w:val="clear" w:color="auto" w:fill="FFFFFF"/>
          </w:tcPr>
          <w:p>
            <w:pPr>
              <w:pStyle w:val="TableParagraph"/>
              <w:spacing w:before="11"/>
              <w:ind w:right="14"/>
              <w:jc w:val="center"/>
              <w:rPr>
                <w:rFonts w:ascii="Times New Roman"/>
                <w:sz w:val="16"/>
              </w:rPr>
            </w:pPr>
            <w:r>
              <w:rPr>
                <w:rFonts w:ascii="Times New Roman"/>
                <w:sz w:val="16"/>
              </w:rPr>
              <w:t>156</w:t>
            </w:r>
            <w:r>
              <w:rPr>
                <w:rFonts w:ascii="Times New Roman"/>
                <w:spacing w:val="1"/>
                <w:sz w:val="16"/>
              </w:rPr>
              <w:t> </w:t>
            </w:r>
            <w:r>
              <w:rPr>
                <w:rFonts w:ascii="Times New Roman"/>
                <w:sz w:val="16"/>
              </w:rPr>
              <w:t>051</w:t>
            </w:r>
            <w:r>
              <w:rPr>
                <w:rFonts w:ascii="Times New Roman"/>
                <w:spacing w:val="2"/>
                <w:sz w:val="16"/>
              </w:rPr>
              <w:t> </w:t>
            </w:r>
            <w:r>
              <w:rPr>
                <w:rFonts w:ascii="Times New Roman"/>
                <w:spacing w:val="-2"/>
                <w:sz w:val="16"/>
              </w:rPr>
              <w:t>355,96</w:t>
            </w:r>
          </w:p>
        </w:tc>
        <w:tc>
          <w:tcPr>
            <w:tcW w:w="1504" w:type="dxa"/>
            <w:tcBorders>
              <w:right w:val="single" w:sz="4" w:space="0" w:color="000000"/>
            </w:tcBorders>
            <w:shd w:val="clear" w:color="auto" w:fill="FFFFFF"/>
          </w:tcPr>
          <w:p>
            <w:pPr>
              <w:pStyle w:val="TableParagraph"/>
              <w:spacing w:before="11"/>
              <w:ind w:left="18" w:right="18"/>
              <w:jc w:val="center"/>
              <w:rPr>
                <w:rFonts w:ascii="Times New Roman"/>
                <w:sz w:val="16"/>
              </w:rPr>
            </w:pPr>
            <w:r>
              <w:rPr>
                <w:rFonts w:ascii="Times New Roman"/>
                <w:spacing w:val="-7"/>
                <w:sz w:val="16"/>
              </w:rPr>
              <w:t>-</w:t>
            </w:r>
            <w:r>
              <w:rPr>
                <w:rFonts w:ascii="Times New Roman"/>
                <w:spacing w:val="-2"/>
                <w:sz w:val="16"/>
              </w:rPr>
              <w:t>7,39%</w:t>
            </w:r>
          </w:p>
        </w:tc>
      </w:tr>
      <w:tr>
        <w:trPr>
          <w:trHeight w:val="466" w:hRule="atLeast"/>
        </w:trPr>
        <w:tc>
          <w:tcPr>
            <w:tcW w:w="3135" w:type="dxa"/>
            <w:tcBorders>
              <w:left w:val="single" w:sz="2" w:space="0" w:color="000000"/>
            </w:tcBorders>
            <w:shd w:val="clear" w:color="auto" w:fill="FFFFFF"/>
          </w:tcPr>
          <w:p>
            <w:pPr>
              <w:pStyle w:val="TableParagraph"/>
              <w:spacing w:before="135"/>
              <w:ind w:left="144"/>
              <w:rPr>
                <w:rFonts w:ascii="Times New Roman"/>
                <w:sz w:val="16"/>
              </w:rPr>
            </w:pPr>
            <w:r>
              <w:rPr>
                <w:rFonts w:ascii="Times New Roman"/>
                <w:sz w:val="16"/>
              </w:rPr>
              <w:t>Total</w:t>
            </w:r>
            <w:r>
              <w:rPr>
                <w:rFonts w:ascii="Times New Roman"/>
                <w:spacing w:val="-7"/>
                <w:sz w:val="16"/>
              </w:rPr>
              <w:t> </w:t>
            </w:r>
            <w:r>
              <w:rPr>
                <w:rFonts w:ascii="Times New Roman"/>
                <w:spacing w:val="-2"/>
                <w:sz w:val="16"/>
              </w:rPr>
              <w:t>egresos</w:t>
            </w:r>
          </w:p>
        </w:tc>
        <w:tc>
          <w:tcPr>
            <w:tcW w:w="1843" w:type="dxa"/>
            <w:shd w:val="clear" w:color="auto" w:fill="FFFFFF"/>
          </w:tcPr>
          <w:p>
            <w:pPr>
              <w:pStyle w:val="TableParagraph"/>
              <w:spacing w:before="135"/>
              <w:ind w:left="334" w:right="9"/>
              <w:jc w:val="center"/>
              <w:rPr>
                <w:rFonts w:ascii="Times New Roman"/>
                <w:sz w:val="16"/>
              </w:rPr>
            </w:pPr>
            <w:r>
              <w:rPr>
                <w:rFonts w:ascii="Times New Roman"/>
                <w:sz w:val="16"/>
                <w:u w:val="single"/>
              </w:rPr>
              <w:t>130</w:t>
            </w:r>
            <w:r>
              <w:rPr>
                <w:rFonts w:ascii="Times New Roman"/>
                <w:spacing w:val="1"/>
                <w:sz w:val="16"/>
                <w:u w:val="single"/>
              </w:rPr>
              <w:t> </w:t>
            </w:r>
            <w:r>
              <w:rPr>
                <w:rFonts w:ascii="Times New Roman"/>
                <w:sz w:val="16"/>
                <w:u w:val="single"/>
              </w:rPr>
              <w:t>005</w:t>
            </w:r>
            <w:r>
              <w:rPr>
                <w:rFonts w:ascii="Times New Roman"/>
                <w:spacing w:val="2"/>
                <w:sz w:val="16"/>
                <w:u w:val="single"/>
              </w:rPr>
              <w:t> </w:t>
            </w:r>
            <w:r>
              <w:rPr>
                <w:rFonts w:ascii="Times New Roman"/>
                <w:spacing w:val="-2"/>
                <w:sz w:val="16"/>
                <w:u w:val="single"/>
              </w:rPr>
              <w:t>739,41</w:t>
            </w:r>
          </w:p>
        </w:tc>
        <w:tc>
          <w:tcPr>
            <w:tcW w:w="1554" w:type="dxa"/>
            <w:shd w:val="clear" w:color="auto" w:fill="FFFFFF"/>
          </w:tcPr>
          <w:p>
            <w:pPr>
              <w:pStyle w:val="TableParagraph"/>
              <w:spacing w:before="135"/>
              <w:ind w:right="14"/>
              <w:jc w:val="center"/>
              <w:rPr>
                <w:rFonts w:ascii="Times New Roman"/>
                <w:sz w:val="16"/>
              </w:rPr>
            </w:pPr>
            <w:r>
              <w:rPr>
                <w:rFonts w:ascii="Times New Roman"/>
                <w:sz w:val="16"/>
                <w:u w:val="single"/>
              </w:rPr>
              <w:t>133</w:t>
            </w:r>
            <w:r>
              <w:rPr>
                <w:rFonts w:ascii="Times New Roman"/>
                <w:spacing w:val="1"/>
                <w:sz w:val="16"/>
                <w:u w:val="single"/>
              </w:rPr>
              <w:t> </w:t>
            </w:r>
            <w:r>
              <w:rPr>
                <w:rFonts w:ascii="Times New Roman"/>
                <w:sz w:val="16"/>
                <w:u w:val="single"/>
              </w:rPr>
              <w:t>249</w:t>
            </w:r>
            <w:r>
              <w:rPr>
                <w:rFonts w:ascii="Times New Roman"/>
                <w:spacing w:val="2"/>
                <w:sz w:val="16"/>
                <w:u w:val="single"/>
              </w:rPr>
              <w:t> </w:t>
            </w:r>
            <w:r>
              <w:rPr>
                <w:rFonts w:ascii="Times New Roman"/>
                <w:spacing w:val="-2"/>
                <w:sz w:val="16"/>
                <w:u w:val="single"/>
              </w:rPr>
              <w:t>724,18</w:t>
            </w:r>
          </w:p>
        </w:tc>
        <w:tc>
          <w:tcPr>
            <w:tcW w:w="1504" w:type="dxa"/>
            <w:tcBorders>
              <w:right w:val="single" w:sz="4" w:space="0" w:color="000000"/>
            </w:tcBorders>
            <w:shd w:val="clear" w:color="auto" w:fill="FFFFFF"/>
          </w:tcPr>
          <w:p>
            <w:pPr>
              <w:pStyle w:val="TableParagraph"/>
              <w:spacing w:before="135"/>
              <w:ind w:left="18" w:right="18"/>
              <w:jc w:val="center"/>
              <w:rPr>
                <w:rFonts w:ascii="Times New Roman"/>
                <w:sz w:val="16"/>
              </w:rPr>
            </w:pPr>
            <w:r>
              <w:rPr>
                <w:rFonts w:ascii="Times New Roman"/>
                <w:spacing w:val="-7"/>
                <w:sz w:val="16"/>
              </w:rPr>
              <w:t>-</w:t>
            </w:r>
            <w:r>
              <w:rPr>
                <w:rFonts w:ascii="Times New Roman"/>
                <w:spacing w:val="-2"/>
                <w:sz w:val="16"/>
              </w:rPr>
              <w:t>2,43%</w:t>
            </w:r>
          </w:p>
        </w:tc>
      </w:tr>
      <w:tr>
        <w:trPr>
          <w:trHeight w:val="354" w:hRule="atLeast"/>
        </w:trPr>
        <w:tc>
          <w:tcPr>
            <w:tcW w:w="3135" w:type="dxa"/>
            <w:tcBorders>
              <w:left w:val="single" w:sz="2" w:space="0" w:color="000000"/>
            </w:tcBorders>
            <w:shd w:val="clear" w:color="auto" w:fill="FFFFFF"/>
          </w:tcPr>
          <w:p>
            <w:pPr>
              <w:pStyle w:val="TableParagraph"/>
              <w:spacing w:line="197" w:lineRule="exact" w:before="137"/>
              <w:ind w:left="876"/>
              <w:rPr>
                <w:rFonts w:ascii="Times New Roman"/>
                <w:b/>
                <w:sz w:val="18"/>
              </w:rPr>
            </w:pPr>
            <w:r>
              <w:rPr>
                <w:rFonts w:ascii="Times New Roman"/>
                <w:b/>
                <w:spacing w:val="-2"/>
                <w:sz w:val="18"/>
              </w:rPr>
              <w:t>Resultado</w:t>
            </w:r>
            <w:r>
              <w:rPr>
                <w:rFonts w:ascii="Times New Roman"/>
                <w:b/>
                <w:spacing w:val="-5"/>
                <w:sz w:val="18"/>
              </w:rPr>
              <w:t> </w:t>
            </w:r>
            <w:r>
              <w:rPr>
                <w:rFonts w:ascii="Times New Roman"/>
                <w:b/>
                <w:spacing w:val="-2"/>
                <w:sz w:val="18"/>
              </w:rPr>
              <w:t>del</w:t>
            </w:r>
            <w:r>
              <w:rPr>
                <w:rFonts w:ascii="Times New Roman"/>
                <w:b/>
                <w:spacing w:val="1"/>
                <w:sz w:val="18"/>
              </w:rPr>
              <w:t> </w:t>
            </w:r>
            <w:r>
              <w:rPr>
                <w:rFonts w:ascii="Times New Roman"/>
                <w:b/>
                <w:spacing w:val="-2"/>
                <w:sz w:val="18"/>
              </w:rPr>
              <w:t>ejercicio</w:t>
            </w:r>
          </w:p>
        </w:tc>
        <w:tc>
          <w:tcPr>
            <w:tcW w:w="1843" w:type="dxa"/>
            <w:shd w:val="clear" w:color="auto" w:fill="FFFFFF"/>
          </w:tcPr>
          <w:p>
            <w:pPr>
              <w:pStyle w:val="TableParagraph"/>
              <w:spacing w:line="197" w:lineRule="exact" w:before="137"/>
              <w:ind w:left="334" w:right="9"/>
              <w:jc w:val="center"/>
              <w:rPr>
                <w:rFonts w:ascii="Times New Roman"/>
                <w:b/>
                <w:sz w:val="18"/>
              </w:rPr>
            </w:pPr>
            <w:r>
              <w:rPr>
                <w:rFonts w:ascii="Times New Roman"/>
                <w:b/>
                <w:sz w:val="18"/>
                <w:u w:val="single"/>
              </w:rPr>
              <w:t>14</w:t>
            </w:r>
            <w:r>
              <w:rPr>
                <w:rFonts w:ascii="Times New Roman"/>
                <w:b/>
                <w:spacing w:val="-1"/>
                <w:sz w:val="18"/>
                <w:u w:val="single"/>
              </w:rPr>
              <w:t> </w:t>
            </w:r>
            <w:r>
              <w:rPr>
                <w:rFonts w:ascii="Times New Roman"/>
                <w:b/>
                <w:sz w:val="18"/>
                <w:u w:val="single"/>
              </w:rPr>
              <w:t>521</w:t>
            </w:r>
            <w:r>
              <w:rPr>
                <w:rFonts w:ascii="Times New Roman"/>
                <w:b/>
                <w:spacing w:val="-1"/>
                <w:sz w:val="18"/>
                <w:u w:val="single"/>
              </w:rPr>
              <w:t> </w:t>
            </w:r>
            <w:r>
              <w:rPr>
                <w:rFonts w:ascii="Times New Roman"/>
                <w:b/>
                <w:spacing w:val="-2"/>
                <w:sz w:val="18"/>
                <w:u w:val="single"/>
              </w:rPr>
              <w:t>107,15</w:t>
            </w:r>
          </w:p>
        </w:tc>
        <w:tc>
          <w:tcPr>
            <w:tcW w:w="1554" w:type="dxa"/>
            <w:shd w:val="clear" w:color="auto" w:fill="FFFFFF"/>
          </w:tcPr>
          <w:p>
            <w:pPr>
              <w:pStyle w:val="TableParagraph"/>
              <w:spacing w:line="197" w:lineRule="exact" w:before="137"/>
              <w:ind w:right="14"/>
              <w:jc w:val="center"/>
              <w:rPr>
                <w:rFonts w:ascii="Times New Roman"/>
                <w:b/>
                <w:sz w:val="18"/>
              </w:rPr>
            </w:pPr>
            <w:r>
              <w:rPr>
                <w:rFonts w:ascii="Times New Roman"/>
                <w:b/>
                <w:sz w:val="18"/>
                <w:u w:val="single"/>
              </w:rPr>
              <w:t>22</w:t>
            </w:r>
            <w:r>
              <w:rPr>
                <w:rFonts w:ascii="Times New Roman"/>
                <w:b/>
                <w:spacing w:val="-1"/>
                <w:sz w:val="18"/>
                <w:u w:val="single"/>
              </w:rPr>
              <w:t> </w:t>
            </w:r>
            <w:r>
              <w:rPr>
                <w:rFonts w:ascii="Times New Roman"/>
                <w:b/>
                <w:sz w:val="18"/>
                <w:u w:val="single"/>
              </w:rPr>
              <w:t>801</w:t>
            </w:r>
            <w:r>
              <w:rPr>
                <w:rFonts w:ascii="Times New Roman"/>
                <w:b/>
                <w:spacing w:val="-1"/>
                <w:sz w:val="18"/>
                <w:u w:val="single"/>
              </w:rPr>
              <w:t> </w:t>
            </w:r>
            <w:r>
              <w:rPr>
                <w:rFonts w:ascii="Times New Roman"/>
                <w:b/>
                <w:spacing w:val="-2"/>
                <w:sz w:val="18"/>
                <w:u w:val="single"/>
              </w:rPr>
              <w:t>631,78</w:t>
            </w:r>
          </w:p>
        </w:tc>
        <w:tc>
          <w:tcPr>
            <w:tcW w:w="1504" w:type="dxa"/>
            <w:tcBorders>
              <w:right w:val="single" w:sz="4" w:space="0" w:color="000000"/>
            </w:tcBorders>
            <w:shd w:val="clear" w:color="auto" w:fill="FFFFFF"/>
          </w:tcPr>
          <w:p>
            <w:pPr>
              <w:pStyle w:val="TableParagraph"/>
              <w:spacing w:line="197" w:lineRule="exact" w:before="137"/>
              <w:ind w:left="5" w:right="18"/>
              <w:jc w:val="center"/>
              <w:rPr>
                <w:rFonts w:ascii="Times New Roman"/>
                <w:b/>
                <w:sz w:val="18"/>
              </w:rPr>
            </w:pPr>
            <w:r>
              <w:rPr>
                <w:rFonts w:ascii="Times New Roman"/>
                <w:b/>
                <w:spacing w:val="-4"/>
                <w:sz w:val="18"/>
                <w:u w:val="single"/>
              </w:rPr>
              <w:t>-</w:t>
            </w:r>
            <w:r>
              <w:rPr>
                <w:rFonts w:ascii="Times New Roman"/>
                <w:b/>
                <w:spacing w:val="-2"/>
                <w:sz w:val="18"/>
                <w:u w:val="single"/>
              </w:rPr>
              <w:t>36,32%</w:t>
            </w:r>
          </w:p>
        </w:tc>
      </w:tr>
      <w:tr>
        <w:trPr>
          <w:trHeight w:val="226" w:hRule="atLeast"/>
        </w:trPr>
        <w:tc>
          <w:tcPr>
            <w:tcW w:w="8036" w:type="dxa"/>
            <w:gridSpan w:val="4"/>
            <w:tcBorders>
              <w:left w:val="single" w:sz="2" w:space="0" w:color="000000"/>
              <w:bottom w:val="single" w:sz="4" w:space="0" w:color="000000"/>
              <w:right w:val="single" w:sz="4" w:space="0" w:color="000000"/>
            </w:tcBorders>
          </w:tcPr>
          <w:p>
            <w:pPr>
              <w:pStyle w:val="TableParagraph"/>
              <w:rPr>
                <w:rFonts w:ascii="Times New Roman"/>
                <w:sz w:val="16"/>
              </w:rPr>
            </w:pPr>
          </w:p>
        </w:tc>
      </w:tr>
    </w:tbl>
    <w:p>
      <w:pPr>
        <w:pStyle w:val="BodyText"/>
        <w:spacing w:before="3"/>
      </w:pPr>
    </w:p>
    <w:p>
      <w:pPr>
        <w:pStyle w:val="BodyText"/>
        <w:ind w:left="622" w:right="974"/>
        <w:jc w:val="both"/>
      </w:pPr>
      <w:r>
        <w:rPr/>
        <w:t>El resultado del ejercicio al cierre de 2026 asciende a </w:t>
      </w:r>
      <w:r>
        <w:rPr>
          <w:rFonts w:ascii="Times New Roman" w:hAnsi="Times New Roman"/>
        </w:rPr>
        <w:t>₡</w:t>
      </w:r>
      <w:r>
        <w:rPr/>
        <w:t>14.521,11 millones, presentando una disminución</w:t>
      </w:r>
      <w:r>
        <w:rPr>
          <w:spacing w:val="-13"/>
        </w:rPr>
        <w:t> </w:t>
      </w:r>
      <w:r>
        <w:rPr/>
        <w:t>del</w:t>
      </w:r>
      <w:r>
        <w:rPr>
          <w:spacing w:val="-13"/>
        </w:rPr>
        <w:t> </w:t>
      </w:r>
      <w:r>
        <w:rPr/>
        <w:t>36,32%</w:t>
      </w:r>
      <w:r>
        <w:rPr>
          <w:spacing w:val="-13"/>
        </w:rPr>
        <w:t> </w:t>
      </w:r>
      <w:r>
        <w:rPr/>
        <w:t>respecto</w:t>
      </w:r>
      <w:r>
        <w:rPr>
          <w:spacing w:val="-12"/>
        </w:rPr>
        <w:t> </w:t>
      </w:r>
      <w:r>
        <w:rPr/>
        <w:t>a</w:t>
      </w:r>
      <w:r>
        <w:rPr>
          <w:spacing w:val="-13"/>
        </w:rPr>
        <w:t> </w:t>
      </w:r>
      <w:r>
        <w:rPr/>
        <w:t>los</w:t>
      </w:r>
      <w:r>
        <w:rPr>
          <w:spacing w:val="-11"/>
        </w:rPr>
        <w:t> </w:t>
      </w:r>
      <w:r>
        <w:rPr>
          <w:rFonts w:ascii="Times New Roman" w:hAnsi="Times New Roman"/>
        </w:rPr>
        <w:t>₡</w:t>
      </w:r>
      <w:r>
        <w:rPr/>
        <w:t>22.801,63</w:t>
      </w:r>
      <w:r>
        <w:rPr>
          <w:spacing w:val="-13"/>
        </w:rPr>
        <w:t> </w:t>
      </w:r>
      <w:r>
        <w:rPr/>
        <w:t>millones</w:t>
      </w:r>
      <w:r>
        <w:rPr>
          <w:spacing w:val="-14"/>
        </w:rPr>
        <w:t> </w:t>
      </w:r>
      <w:r>
        <w:rPr/>
        <w:t>obtenidos</w:t>
      </w:r>
      <w:r>
        <w:rPr>
          <w:spacing w:val="-12"/>
        </w:rPr>
        <w:t> </w:t>
      </w:r>
      <w:r>
        <w:rPr/>
        <w:t>en</w:t>
      </w:r>
      <w:r>
        <w:rPr>
          <w:spacing w:val="-13"/>
        </w:rPr>
        <w:t> </w:t>
      </w:r>
      <w:r>
        <w:rPr/>
        <w:t>2025.</w:t>
      </w:r>
      <w:r>
        <w:rPr>
          <w:spacing w:val="-14"/>
        </w:rPr>
        <w:t> </w:t>
      </w:r>
      <w:r>
        <w:rPr/>
        <w:t>Esta</w:t>
      </w:r>
      <w:r>
        <w:rPr>
          <w:spacing w:val="-13"/>
        </w:rPr>
        <w:t> </w:t>
      </w:r>
      <w:r>
        <w:rPr/>
        <w:t>variación</w:t>
      </w:r>
      <w:r>
        <w:rPr>
          <w:spacing w:val="-13"/>
        </w:rPr>
        <w:t> </w:t>
      </w:r>
      <w:r>
        <w:rPr/>
        <w:t>obedece principalmente</w:t>
      </w:r>
      <w:r>
        <w:rPr>
          <w:spacing w:val="-14"/>
        </w:rPr>
        <w:t> </w:t>
      </w:r>
      <w:r>
        <w:rPr/>
        <w:t>a</w:t>
      </w:r>
      <w:r>
        <w:rPr>
          <w:spacing w:val="-14"/>
        </w:rPr>
        <w:t> </w:t>
      </w:r>
      <w:r>
        <w:rPr/>
        <w:t>la</w:t>
      </w:r>
      <w:r>
        <w:rPr>
          <w:spacing w:val="-14"/>
        </w:rPr>
        <w:t> </w:t>
      </w:r>
      <w:r>
        <w:rPr/>
        <w:t>reducción</w:t>
      </w:r>
      <w:r>
        <w:rPr>
          <w:spacing w:val="-13"/>
        </w:rPr>
        <w:t> </w:t>
      </w:r>
      <w:r>
        <w:rPr/>
        <w:t>de</w:t>
      </w:r>
      <w:r>
        <w:rPr>
          <w:spacing w:val="-14"/>
        </w:rPr>
        <w:t> </w:t>
      </w:r>
      <w:r>
        <w:rPr/>
        <w:t>los</w:t>
      </w:r>
      <w:r>
        <w:rPr>
          <w:spacing w:val="-14"/>
        </w:rPr>
        <w:t> </w:t>
      </w:r>
      <w:r>
        <w:rPr/>
        <w:t>ingresos</w:t>
      </w:r>
      <w:r>
        <w:rPr>
          <w:spacing w:val="-14"/>
        </w:rPr>
        <w:t> </w:t>
      </w:r>
      <w:r>
        <w:rPr/>
        <w:t>en</w:t>
      </w:r>
      <w:r>
        <w:rPr>
          <w:spacing w:val="-13"/>
        </w:rPr>
        <w:t> </w:t>
      </w:r>
      <w:r>
        <w:rPr/>
        <w:t>un</w:t>
      </w:r>
      <w:r>
        <w:rPr>
          <w:spacing w:val="-14"/>
        </w:rPr>
        <w:t> </w:t>
      </w:r>
      <w:r>
        <w:rPr/>
        <w:t>7,39%,</w:t>
      </w:r>
      <w:r>
        <w:rPr>
          <w:spacing w:val="-14"/>
        </w:rPr>
        <w:t> </w:t>
      </w:r>
      <w:r>
        <w:rPr/>
        <w:t>equivalente</w:t>
      </w:r>
      <w:r>
        <w:rPr>
          <w:spacing w:val="-14"/>
        </w:rPr>
        <w:t> </w:t>
      </w:r>
      <w:r>
        <w:rPr/>
        <w:t>a</w:t>
      </w:r>
      <w:r>
        <w:rPr>
          <w:spacing w:val="-13"/>
        </w:rPr>
        <w:t> </w:t>
      </w:r>
      <w:r>
        <w:rPr>
          <w:rFonts w:ascii="Times New Roman" w:hAnsi="Times New Roman"/>
        </w:rPr>
        <w:t>₡</w:t>
      </w:r>
      <w:r>
        <w:rPr/>
        <w:t>11.524,51</w:t>
      </w:r>
      <w:r>
        <w:rPr>
          <w:spacing w:val="-14"/>
        </w:rPr>
        <w:t> </w:t>
      </w:r>
      <w:r>
        <w:rPr/>
        <w:t>millones,</w:t>
      </w:r>
      <w:r>
        <w:rPr>
          <w:spacing w:val="-14"/>
        </w:rPr>
        <w:t> </w:t>
      </w:r>
      <w:r>
        <w:rPr/>
        <w:t>mientras que los egresos disminuyeron un 2,43% (</w:t>
      </w:r>
      <w:r>
        <w:rPr>
          <w:rFonts w:ascii="Times New Roman" w:hAnsi="Times New Roman"/>
        </w:rPr>
        <w:t>₡</w:t>
      </w:r>
      <w:r>
        <w:rPr/>
        <w:t>3.243,98 millones). Si bien la disminución de los gastos contribuyó a compensar parcialmente la caída de los ingresos, este efecto no fue suficiente para mantener el nivel de superávit alcanzado en el período anterior.</w:t>
      </w:r>
    </w:p>
    <w:p>
      <w:pPr>
        <w:pStyle w:val="BodyText"/>
      </w:pPr>
    </w:p>
    <w:p>
      <w:pPr>
        <w:pStyle w:val="BodyText"/>
        <w:spacing w:before="43"/>
      </w:pPr>
    </w:p>
    <w:p>
      <w:pPr>
        <w:spacing w:before="0"/>
        <w:ind w:left="677" w:right="0" w:firstLine="0"/>
        <w:jc w:val="both"/>
        <w:rPr>
          <w:b/>
          <w:sz w:val="22"/>
        </w:rPr>
      </w:pPr>
      <w:bookmarkStart w:name="_bookmark65" w:id="66"/>
      <w:bookmarkEnd w:id="66"/>
      <w:r>
        <w:rPr/>
      </w:r>
      <w:r>
        <w:rPr>
          <w:b/>
          <w:sz w:val="22"/>
        </w:rPr>
        <w:t>NOTA</w:t>
      </w:r>
      <w:r>
        <w:rPr>
          <w:b/>
          <w:spacing w:val="-5"/>
          <w:sz w:val="22"/>
        </w:rPr>
        <w:t> </w:t>
      </w:r>
      <w:r>
        <w:rPr>
          <w:b/>
          <w:sz w:val="22"/>
        </w:rPr>
        <w:t>N° </w:t>
      </w:r>
      <w:r>
        <w:rPr>
          <w:b/>
          <w:spacing w:val="-5"/>
          <w:sz w:val="22"/>
        </w:rPr>
        <w:t>29</w:t>
      </w:r>
    </w:p>
    <w:p>
      <w:pPr>
        <w:pStyle w:val="BodyText"/>
        <w:spacing w:before="116"/>
        <w:rPr>
          <w:b/>
        </w:rPr>
      </w:pPr>
    </w:p>
    <w:p>
      <w:pPr>
        <w:pStyle w:val="BodyText"/>
        <w:ind w:left="622"/>
        <w:jc w:val="both"/>
      </w:pPr>
      <w:r>
        <w:rPr/>
        <w:t>Intereses</w:t>
      </w:r>
      <w:r>
        <w:rPr>
          <w:spacing w:val="-10"/>
        </w:rPr>
        <w:t> </w:t>
      </w:r>
      <w:r>
        <w:rPr/>
        <w:t>minoritarios</w:t>
      </w:r>
      <w:r>
        <w:rPr>
          <w:spacing w:val="-3"/>
        </w:rPr>
        <w:t> </w:t>
      </w:r>
      <w:r>
        <w:rPr/>
        <w:t>-</w:t>
      </w:r>
      <w:r>
        <w:rPr>
          <w:spacing w:val="-8"/>
        </w:rPr>
        <w:t> </w:t>
      </w:r>
      <w:r>
        <w:rPr/>
        <w:t>Participaciones</w:t>
      </w:r>
      <w:r>
        <w:rPr>
          <w:spacing w:val="-4"/>
        </w:rPr>
        <w:t> </w:t>
      </w:r>
      <w:r>
        <w:rPr/>
        <w:t>en</w:t>
      </w:r>
      <w:r>
        <w:rPr>
          <w:spacing w:val="-6"/>
        </w:rPr>
        <w:t> </w:t>
      </w:r>
      <w:r>
        <w:rPr/>
        <w:t>el</w:t>
      </w:r>
      <w:r>
        <w:rPr>
          <w:spacing w:val="-5"/>
        </w:rPr>
        <w:t> </w:t>
      </w:r>
      <w:r>
        <w:rPr/>
        <w:t>patrimonio</w:t>
      </w:r>
      <w:r>
        <w:rPr>
          <w:spacing w:val="-8"/>
        </w:rPr>
        <w:t> </w:t>
      </w:r>
      <w:r>
        <w:rPr/>
        <w:t>de</w:t>
      </w:r>
      <w:r>
        <w:rPr>
          <w:spacing w:val="-7"/>
        </w:rPr>
        <w:t> </w:t>
      </w:r>
      <w:r>
        <w:rPr/>
        <w:t>entidades</w:t>
      </w:r>
      <w:r>
        <w:rPr>
          <w:spacing w:val="-4"/>
        </w:rPr>
        <w:t> </w:t>
      </w:r>
      <w:r>
        <w:rPr>
          <w:spacing w:val="-2"/>
        </w:rPr>
        <w:t>controladas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3685"/>
        <w:gridCol w:w="852"/>
        <w:gridCol w:w="862"/>
        <w:gridCol w:w="1404"/>
        <w:gridCol w:w="1152"/>
      </w:tblGrid>
      <w:tr>
        <w:trPr>
          <w:trHeight w:val="287" w:hRule="atLeast"/>
        </w:trPr>
        <w:tc>
          <w:tcPr>
            <w:tcW w:w="1126" w:type="dxa"/>
            <w:vMerge w:val="restart"/>
            <w:shd w:val="clear" w:color="auto" w:fill="365F92"/>
          </w:tcPr>
          <w:p>
            <w:pPr>
              <w:pStyle w:val="TableParagraph"/>
              <w:spacing w:before="94"/>
              <w:ind w:left="69"/>
              <w:rPr>
                <w:b/>
                <w:sz w:val="20"/>
              </w:rPr>
            </w:pPr>
            <w:r>
              <w:rPr>
                <w:b/>
                <w:color w:val="FFFFFF"/>
                <w:spacing w:val="-2"/>
                <w:sz w:val="20"/>
              </w:rPr>
              <w:t>Cuenta</w:t>
            </w:r>
          </w:p>
        </w:tc>
        <w:tc>
          <w:tcPr>
            <w:tcW w:w="3685" w:type="dxa"/>
            <w:vMerge w:val="restart"/>
            <w:shd w:val="clear" w:color="auto" w:fill="365F92"/>
          </w:tcPr>
          <w:p>
            <w:pPr>
              <w:pStyle w:val="TableParagraph"/>
              <w:spacing w:before="183"/>
              <w:ind w:left="13"/>
              <w:jc w:val="center"/>
              <w:rPr>
                <w:b/>
                <w:sz w:val="20"/>
              </w:rPr>
            </w:pPr>
            <w:r>
              <w:rPr>
                <w:b/>
                <w:color w:val="FFFFFF"/>
                <w:spacing w:val="-2"/>
                <w:sz w:val="20"/>
              </w:rPr>
              <w:t>Descripción</w:t>
            </w:r>
          </w:p>
        </w:tc>
        <w:tc>
          <w:tcPr>
            <w:tcW w:w="852" w:type="dxa"/>
            <w:vMerge w:val="restart"/>
            <w:shd w:val="clear" w:color="auto" w:fill="365F92"/>
          </w:tcPr>
          <w:p>
            <w:pPr>
              <w:pStyle w:val="TableParagraph"/>
              <w:spacing w:before="183"/>
              <w:ind w:left="227"/>
              <w:rPr>
                <w:b/>
                <w:sz w:val="20"/>
              </w:rPr>
            </w:pPr>
            <w:r>
              <w:rPr>
                <w:b/>
                <w:color w:val="FFFFFF"/>
                <w:spacing w:val="-4"/>
                <w:sz w:val="20"/>
              </w:rPr>
              <w:t>Nota</w:t>
            </w:r>
          </w:p>
        </w:tc>
        <w:tc>
          <w:tcPr>
            <w:tcW w:w="862" w:type="dxa"/>
            <w:vMerge w:val="restart"/>
            <w:shd w:val="clear" w:color="auto" w:fill="365F92"/>
          </w:tcPr>
          <w:p>
            <w:pPr>
              <w:pStyle w:val="TableParagraph"/>
              <w:spacing w:before="70"/>
              <w:ind w:left="171" w:right="68" w:hanging="39"/>
              <w:rPr>
                <w:b/>
                <w:sz w:val="20"/>
              </w:rPr>
            </w:pPr>
            <w:r>
              <w:rPr>
                <w:b/>
                <w:color w:val="FFFFFF"/>
                <w:spacing w:val="-2"/>
                <w:sz w:val="20"/>
              </w:rPr>
              <w:t>Periodo Actual</w:t>
            </w:r>
          </w:p>
        </w:tc>
        <w:tc>
          <w:tcPr>
            <w:tcW w:w="1404" w:type="dxa"/>
            <w:vMerge w:val="restart"/>
            <w:shd w:val="clear" w:color="auto" w:fill="365F92"/>
          </w:tcPr>
          <w:p>
            <w:pPr>
              <w:pStyle w:val="TableParagraph"/>
              <w:spacing w:before="70"/>
              <w:ind w:left="361" w:right="339" w:firstLine="45"/>
              <w:rPr>
                <w:b/>
                <w:sz w:val="20"/>
              </w:rPr>
            </w:pPr>
            <w:r>
              <w:rPr>
                <w:b/>
                <w:color w:val="FFFFFF"/>
                <w:spacing w:val="-2"/>
                <w:sz w:val="20"/>
              </w:rPr>
              <w:t>Periodo Anterior</w:t>
            </w:r>
          </w:p>
        </w:tc>
        <w:tc>
          <w:tcPr>
            <w:tcW w:w="1152" w:type="dxa"/>
            <w:shd w:val="clear" w:color="auto" w:fill="365F92"/>
          </w:tcPr>
          <w:p>
            <w:pPr>
              <w:pStyle w:val="TableParagraph"/>
              <w:spacing w:before="29"/>
              <w:ind w:left="17" w:right="3"/>
              <w:jc w:val="center"/>
              <w:rPr>
                <w:b/>
                <w:sz w:val="20"/>
              </w:rPr>
            </w:pPr>
            <w:r>
              <w:rPr>
                <w:b/>
                <w:color w:val="FFFFFF"/>
                <w:spacing w:val="-2"/>
                <w:sz w:val="20"/>
              </w:rPr>
              <w:t>Diferencia</w:t>
            </w:r>
          </w:p>
        </w:tc>
      </w:tr>
      <w:tr>
        <w:trPr>
          <w:trHeight w:val="289" w:hRule="atLeast"/>
        </w:trPr>
        <w:tc>
          <w:tcPr>
            <w:tcW w:w="1126" w:type="dxa"/>
            <w:vMerge/>
            <w:tcBorders>
              <w:top w:val="nil"/>
            </w:tcBorders>
            <w:shd w:val="clear" w:color="auto" w:fill="365F92"/>
          </w:tcPr>
          <w:p>
            <w:pPr>
              <w:rPr>
                <w:sz w:val="2"/>
                <w:szCs w:val="2"/>
              </w:rPr>
            </w:pPr>
          </w:p>
        </w:tc>
        <w:tc>
          <w:tcPr>
            <w:tcW w:w="3685" w:type="dxa"/>
            <w:vMerge/>
            <w:tcBorders>
              <w:top w:val="nil"/>
            </w:tcBorders>
            <w:shd w:val="clear" w:color="auto" w:fill="365F92"/>
          </w:tcPr>
          <w:p>
            <w:pPr>
              <w:rPr>
                <w:sz w:val="2"/>
                <w:szCs w:val="2"/>
              </w:rPr>
            </w:pPr>
          </w:p>
        </w:tc>
        <w:tc>
          <w:tcPr>
            <w:tcW w:w="852" w:type="dxa"/>
            <w:vMerge/>
            <w:tcBorders>
              <w:top w:val="nil"/>
            </w:tcBorders>
            <w:shd w:val="clear" w:color="auto" w:fill="365F92"/>
          </w:tcPr>
          <w:p>
            <w:pPr>
              <w:rPr>
                <w:sz w:val="2"/>
                <w:szCs w:val="2"/>
              </w:rPr>
            </w:pPr>
          </w:p>
        </w:tc>
        <w:tc>
          <w:tcPr>
            <w:tcW w:w="862" w:type="dxa"/>
            <w:vMerge/>
            <w:tcBorders>
              <w:top w:val="nil"/>
            </w:tcBorders>
            <w:shd w:val="clear" w:color="auto" w:fill="365F92"/>
          </w:tcPr>
          <w:p>
            <w:pPr>
              <w:rPr>
                <w:sz w:val="2"/>
                <w:szCs w:val="2"/>
              </w:rPr>
            </w:pPr>
          </w:p>
        </w:tc>
        <w:tc>
          <w:tcPr>
            <w:tcW w:w="1404" w:type="dxa"/>
            <w:vMerge/>
            <w:tcBorders>
              <w:top w:val="nil"/>
            </w:tcBorders>
            <w:shd w:val="clear" w:color="auto" w:fill="365F92"/>
          </w:tcPr>
          <w:p>
            <w:pPr>
              <w:rPr>
                <w:sz w:val="2"/>
                <w:szCs w:val="2"/>
              </w:rPr>
            </w:pPr>
          </w:p>
        </w:tc>
        <w:tc>
          <w:tcPr>
            <w:tcW w:w="1152" w:type="dxa"/>
            <w:shd w:val="clear" w:color="auto" w:fill="365F92"/>
          </w:tcPr>
          <w:p>
            <w:pPr>
              <w:pStyle w:val="TableParagraph"/>
              <w:spacing w:before="29"/>
              <w:ind w:left="17" w:right="4"/>
              <w:jc w:val="center"/>
              <w:rPr>
                <w:sz w:val="20"/>
              </w:rPr>
            </w:pPr>
            <w:r>
              <w:rPr>
                <w:color w:val="FFFFFF"/>
                <w:spacing w:val="-10"/>
                <w:sz w:val="20"/>
              </w:rPr>
              <w:t>%</w:t>
            </w:r>
          </w:p>
        </w:tc>
      </w:tr>
      <w:tr>
        <w:trPr>
          <w:trHeight w:val="481" w:hRule="atLeast"/>
        </w:trPr>
        <w:tc>
          <w:tcPr>
            <w:tcW w:w="1126" w:type="dxa"/>
          </w:tcPr>
          <w:p>
            <w:pPr>
              <w:pStyle w:val="TableParagraph"/>
              <w:spacing w:before="125"/>
              <w:ind w:left="69"/>
              <w:rPr>
                <w:b/>
                <w:sz w:val="20"/>
              </w:rPr>
            </w:pPr>
            <w:r>
              <w:rPr>
                <w:b/>
                <w:spacing w:val="-2"/>
                <w:sz w:val="20"/>
              </w:rPr>
              <w:t>3.2.1.</w:t>
            </w:r>
          </w:p>
        </w:tc>
        <w:tc>
          <w:tcPr>
            <w:tcW w:w="3685" w:type="dxa"/>
          </w:tcPr>
          <w:p>
            <w:pPr>
              <w:pStyle w:val="TableParagraph"/>
              <w:spacing w:line="220" w:lineRule="atLeast" w:before="5"/>
              <w:ind w:left="66"/>
              <w:rPr>
                <w:b/>
                <w:sz w:val="20"/>
              </w:rPr>
            </w:pPr>
            <w:r>
              <w:rPr>
                <w:b/>
                <w:sz w:val="20"/>
              </w:rPr>
              <w:t>Intereses</w:t>
            </w:r>
            <w:r>
              <w:rPr>
                <w:b/>
                <w:spacing w:val="-8"/>
                <w:sz w:val="20"/>
              </w:rPr>
              <w:t> </w:t>
            </w:r>
            <w:r>
              <w:rPr>
                <w:b/>
                <w:sz w:val="20"/>
              </w:rPr>
              <w:t>minoritarios</w:t>
            </w:r>
            <w:r>
              <w:rPr>
                <w:b/>
                <w:spacing w:val="-6"/>
                <w:sz w:val="20"/>
              </w:rPr>
              <w:t> </w:t>
            </w:r>
            <w:r>
              <w:rPr>
                <w:b/>
                <w:sz w:val="20"/>
              </w:rPr>
              <w:t>-</w:t>
            </w:r>
            <w:r>
              <w:rPr>
                <w:b/>
                <w:spacing w:val="-7"/>
                <w:sz w:val="20"/>
              </w:rPr>
              <w:t> </w:t>
            </w:r>
            <w:r>
              <w:rPr>
                <w:b/>
                <w:sz w:val="20"/>
              </w:rPr>
              <w:t>Participaciones</w:t>
            </w:r>
            <w:r>
              <w:rPr>
                <w:b/>
                <w:spacing w:val="-8"/>
                <w:sz w:val="20"/>
              </w:rPr>
              <w:t> </w:t>
            </w:r>
            <w:r>
              <w:rPr>
                <w:b/>
                <w:sz w:val="20"/>
              </w:rPr>
              <w:t>en</w:t>
            </w:r>
            <w:r>
              <w:rPr>
                <w:b/>
                <w:spacing w:val="-8"/>
                <w:sz w:val="20"/>
              </w:rPr>
              <w:t> </w:t>
            </w:r>
            <w:r>
              <w:rPr>
                <w:b/>
                <w:sz w:val="20"/>
              </w:rPr>
              <w:t>el patrimonio de entidades controladas</w:t>
            </w:r>
          </w:p>
        </w:tc>
        <w:tc>
          <w:tcPr>
            <w:tcW w:w="852" w:type="dxa"/>
          </w:tcPr>
          <w:p>
            <w:pPr>
              <w:pStyle w:val="TableParagraph"/>
              <w:spacing w:before="125"/>
              <w:ind w:left="15"/>
              <w:jc w:val="center"/>
              <w:rPr>
                <w:b/>
                <w:sz w:val="20"/>
              </w:rPr>
            </w:pPr>
            <w:r>
              <w:rPr>
                <w:b/>
                <w:spacing w:val="-5"/>
                <w:sz w:val="20"/>
              </w:rPr>
              <w:t>29</w:t>
            </w:r>
          </w:p>
        </w:tc>
        <w:tc>
          <w:tcPr>
            <w:tcW w:w="862" w:type="dxa"/>
          </w:tcPr>
          <w:p>
            <w:pPr>
              <w:pStyle w:val="TableParagraph"/>
              <w:spacing w:before="125"/>
              <w:ind w:left="279"/>
              <w:rPr>
                <w:b/>
                <w:sz w:val="20"/>
              </w:rPr>
            </w:pPr>
            <w:r>
              <w:rPr>
                <w:b/>
                <w:spacing w:val="-4"/>
                <w:sz w:val="20"/>
              </w:rPr>
              <w:t>0,00</w:t>
            </w:r>
          </w:p>
        </w:tc>
        <w:tc>
          <w:tcPr>
            <w:tcW w:w="1404" w:type="dxa"/>
          </w:tcPr>
          <w:p>
            <w:pPr>
              <w:pStyle w:val="TableParagraph"/>
              <w:spacing w:before="125"/>
              <w:ind w:left="17"/>
              <w:jc w:val="center"/>
              <w:rPr>
                <w:b/>
                <w:sz w:val="20"/>
              </w:rPr>
            </w:pPr>
            <w:r>
              <w:rPr>
                <w:b/>
                <w:spacing w:val="-4"/>
                <w:sz w:val="20"/>
              </w:rPr>
              <w:t>0,00</w:t>
            </w:r>
          </w:p>
        </w:tc>
        <w:tc>
          <w:tcPr>
            <w:tcW w:w="1152" w:type="dxa"/>
          </w:tcPr>
          <w:p>
            <w:pPr>
              <w:pStyle w:val="TableParagraph"/>
              <w:spacing w:before="125"/>
              <w:ind w:left="17"/>
              <w:jc w:val="center"/>
              <w:rPr>
                <w:b/>
                <w:sz w:val="20"/>
              </w:rPr>
            </w:pPr>
            <w:r>
              <w:rPr>
                <w:b/>
                <w:spacing w:val="-2"/>
                <w:sz w:val="20"/>
              </w:rPr>
              <w:t>0,00%</w:t>
            </w:r>
          </w:p>
        </w:tc>
      </w:tr>
    </w:tbl>
    <w:p>
      <w:pPr>
        <w:pStyle w:val="Heading6"/>
        <w:spacing w:before="241"/>
        <w:ind w:left="622"/>
      </w:pPr>
      <w:r>
        <w:rPr>
          <w:spacing w:val="-2"/>
        </w:rPr>
        <w:t>Revelación:</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2048">
                <wp:simplePos x="0" y="0"/>
                <wp:positionH relativeFrom="page">
                  <wp:posOffset>9525</wp:posOffset>
                </wp:positionH>
                <wp:positionV relativeFrom="page">
                  <wp:posOffset>297208</wp:posOffset>
                </wp:positionV>
                <wp:extent cx="7762875" cy="9748520"/>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7762875" cy="9748520"/>
                          <a:chExt cx="7762875" cy="9748520"/>
                        </a:xfrm>
                      </wpg:grpSpPr>
                      <pic:pic>
                        <pic:nvPicPr>
                          <pic:cNvPr id="451" name="Image 451"/>
                          <pic:cNvPicPr/>
                        </pic:nvPicPr>
                        <pic:blipFill>
                          <a:blip r:embed="rId5" cstate="print"/>
                          <a:stretch>
                            <a:fillRect/>
                          </a:stretch>
                        </pic:blipFill>
                        <pic:spPr>
                          <a:xfrm>
                            <a:off x="0" y="0"/>
                            <a:ext cx="7762874" cy="9748489"/>
                          </a:xfrm>
                          <a:prstGeom prst="rect">
                            <a:avLst/>
                          </a:prstGeom>
                        </pic:spPr>
                      </pic:pic>
                      <wps:wsp>
                        <wps:cNvPr id="452" name="Graphic 45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4432" id="docshapegroup428" coordorigin="15,468" coordsize="12225,15352">
                <v:shape style="position:absolute;left:15;top:468;width:12225;height:15352" type="#_x0000_t75" id="docshape429" stroked="false">
                  <v:imagedata r:id="rId5" o:title=""/>
                </v:shape>
                <v:rect style="position:absolute;left:1673;top:2028;width:8897;height:15" id="docshape43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94</w:t>
      </w:r>
    </w:p>
    <w:p>
      <w:pPr>
        <w:pStyle w:val="BodyText"/>
        <w:spacing w:line="259" w:lineRule="auto" w:before="218"/>
        <w:ind w:left="622" w:right="977"/>
        <w:jc w:val="both"/>
      </w:pPr>
      <w:r>
        <w:rPr/>
        <w:t>Al</w:t>
      </w:r>
      <w:r>
        <w:rPr>
          <w:spacing w:val="-13"/>
        </w:rPr>
        <w:t> </w:t>
      </w:r>
      <w:r>
        <w:rPr/>
        <w:t>31</w:t>
      </w:r>
      <w:r>
        <w:rPr>
          <w:spacing w:val="-13"/>
        </w:rPr>
        <w:t> </w:t>
      </w:r>
      <w:r>
        <w:rPr/>
        <w:t>de</w:t>
      </w:r>
      <w:r>
        <w:rPr>
          <w:spacing w:val="-13"/>
        </w:rPr>
        <w:t> </w:t>
      </w:r>
      <w:r>
        <w:rPr/>
        <w:t>julio</w:t>
      </w:r>
      <w:r>
        <w:rPr>
          <w:spacing w:val="-12"/>
        </w:rPr>
        <w:t> </w:t>
      </w:r>
      <w:r>
        <w:rPr/>
        <w:t>2026,</w:t>
      </w:r>
      <w:r>
        <w:rPr>
          <w:spacing w:val="-11"/>
        </w:rPr>
        <w:t> </w:t>
      </w:r>
      <w:r>
        <w:rPr/>
        <w:t>la</w:t>
      </w:r>
      <w:r>
        <w:rPr>
          <w:spacing w:val="-13"/>
        </w:rPr>
        <w:t> </w:t>
      </w:r>
      <w:r>
        <w:rPr/>
        <w:t>cuenta</w:t>
      </w:r>
      <w:r>
        <w:rPr>
          <w:spacing w:val="-12"/>
        </w:rPr>
        <w:t> </w:t>
      </w:r>
      <w:r>
        <w:rPr/>
        <w:t>no</w:t>
      </w:r>
      <w:r>
        <w:rPr>
          <w:spacing w:val="-11"/>
        </w:rPr>
        <w:t> </w:t>
      </w:r>
      <w:r>
        <w:rPr/>
        <w:t>presenta</w:t>
      </w:r>
      <w:r>
        <w:rPr>
          <w:spacing w:val="-14"/>
        </w:rPr>
        <w:t> </w:t>
      </w:r>
      <w:r>
        <w:rPr/>
        <w:t>movimiento.</w:t>
      </w:r>
      <w:r>
        <w:rPr>
          <w:spacing w:val="-14"/>
        </w:rPr>
        <w:t> </w:t>
      </w:r>
      <w:r>
        <w:rPr/>
        <w:t>Esta</w:t>
      </w:r>
      <w:r>
        <w:rPr>
          <w:spacing w:val="-12"/>
        </w:rPr>
        <w:t> </w:t>
      </w:r>
      <w:r>
        <w:rPr/>
        <w:t>nota</w:t>
      </w:r>
      <w:r>
        <w:rPr>
          <w:spacing w:val="-12"/>
        </w:rPr>
        <w:t> </w:t>
      </w:r>
      <w:r>
        <w:rPr/>
        <w:t>explicativa</w:t>
      </w:r>
      <w:r>
        <w:rPr>
          <w:spacing w:val="-13"/>
        </w:rPr>
        <w:t> </w:t>
      </w:r>
      <w:r>
        <w:rPr/>
        <w:t>está</w:t>
      </w:r>
      <w:r>
        <w:rPr>
          <w:spacing w:val="-12"/>
        </w:rPr>
        <w:t> </w:t>
      </w:r>
      <w:r>
        <w:rPr/>
        <w:t>vinculada</w:t>
      </w:r>
      <w:r>
        <w:rPr>
          <w:spacing w:val="-13"/>
        </w:rPr>
        <w:t> </w:t>
      </w:r>
      <w:r>
        <w:rPr/>
        <w:t>con</w:t>
      </w:r>
      <w:r>
        <w:rPr>
          <w:spacing w:val="-11"/>
        </w:rPr>
        <w:t> </w:t>
      </w:r>
      <w:r>
        <w:rPr/>
        <w:t>las</w:t>
      </w:r>
      <w:r>
        <w:rPr>
          <w:spacing w:val="-13"/>
        </w:rPr>
        <w:t> </w:t>
      </w:r>
      <w:r>
        <w:rPr/>
        <w:t>notas del</w:t>
      </w:r>
      <w:r>
        <w:rPr>
          <w:spacing w:val="-1"/>
        </w:rPr>
        <w:t> </w:t>
      </w:r>
      <w:r>
        <w:rPr/>
        <w:t>Estado de</w:t>
      </w:r>
      <w:r>
        <w:rPr>
          <w:spacing w:val="-4"/>
        </w:rPr>
        <w:t> </w:t>
      </w:r>
      <w:r>
        <w:rPr/>
        <w:t>Cambios al</w:t>
      </w:r>
      <w:r>
        <w:rPr>
          <w:spacing w:val="-1"/>
        </w:rPr>
        <w:t> </w:t>
      </w:r>
      <w:r>
        <w:rPr/>
        <w:t>Patrimonio donde</w:t>
      </w:r>
      <w:r>
        <w:rPr>
          <w:spacing w:val="-4"/>
        </w:rPr>
        <w:t> </w:t>
      </w:r>
      <w:r>
        <w:rPr/>
        <w:t>se</w:t>
      </w:r>
      <w:r>
        <w:rPr>
          <w:spacing w:val="-1"/>
        </w:rPr>
        <w:t> </w:t>
      </w:r>
      <w:r>
        <w:rPr/>
        <w:t>debe</w:t>
      </w:r>
      <w:r>
        <w:rPr>
          <w:spacing w:val="-1"/>
        </w:rPr>
        <w:t> </w:t>
      </w:r>
      <w:r>
        <w:rPr/>
        <w:t>desarrollar con</w:t>
      </w:r>
      <w:r>
        <w:rPr>
          <w:spacing w:val="-2"/>
        </w:rPr>
        <w:t> </w:t>
      </w:r>
      <w:r>
        <w:rPr/>
        <w:t>mayor</w:t>
      </w:r>
      <w:r>
        <w:rPr>
          <w:spacing w:val="-2"/>
        </w:rPr>
        <w:t> </w:t>
      </w:r>
      <w:r>
        <w:rPr/>
        <w:t>detalle</w:t>
      </w:r>
      <w:r>
        <w:rPr>
          <w:spacing w:val="-2"/>
        </w:rPr>
        <w:t> </w:t>
      </w:r>
      <w:r>
        <w:rPr/>
        <w:t>la</w:t>
      </w:r>
      <w:r>
        <w:rPr>
          <w:spacing w:val="-1"/>
        </w:rPr>
        <w:t> </w:t>
      </w:r>
      <w:r>
        <w:rPr/>
        <w:t>composición de las cuentas, sus saldos y hechos relevantes.</w:t>
      </w:r>
    </w:p>
    <w:p>
      <w:pPr>
        <w:pStyle w:val="BodyText"/>
      </w:pPr>
    </w:p>
    <w:p>
      <w:pPr>
        <w:pStyle w:val="BodyText"/>
        <w:spacing w:before="89"/>
      </w:pPr>
    </w:p>
    <w:p>
      <w:pPr>
        <w:spacing w:before="0"/>
        <w:ind w:left="622" w:right="0" w:firstLine="0"/>
        <w:jc w:val="both"/>
        <w:rPr>
          <w:b/>
          <w:sz w:val="22"/>
        </w:rPr>
      </w:pPr>
      <w:bookmarkStart w:name="_bookmark66" w:id="67"/>
      <w:bookmarkEnd w:id="67"/>
      <w:r>
        <w:rPr/>
      </w:r>
      <w:r>
        <w:rPr>
          <w:b/>
          <w:sz w:val="22"/>
        </w:rPr>
        <w:t>NOTA</w:t>
      </w:r>
      <w:r>
        <w:rPr>
          <w:b/>
          <w:spacing w:val="-1"/>
          <w:sz w:val="22"/>
        </w:rPr>
        <w:t> </w:t>
      </w:r>
      <w:r>
        <w:rPr>
          <w:b/>
          <w:sz w:val="22"/>
        </w:rPr>
        <w:t>N° </w:t>
      </w:r>
      <w:r>
        <w:rPr>
          <w:b/>
          <w:spacing w:val="-5"/>
          <w:sz w:val="22"/>
        </w:rPr>
        <w:t>30</w:t>
      </w:r>
    </w:p>
    <w:p>
      <w:pPr>
        <w:pStyle w:val="BodyText"/>
        <w:spacing w:before="115"/>
        <w:rPr>
          <w:b/>
        </w:rPr>
      </w:pPr>
    </w:p>
    <w:p>
      <w:pPr>
        <w:pStyle w:val="BodyText"/>
        <w:ind w:left="622"/>
      </w:pPr>
      <w:r>
        <w:rPr/>
        <w:t>Intereses</w:t>
      </w:r>
      <w:r>
        <w:rPr>
          <w:spacing w:val="-8"/>
        </w:rPr>
        <w:t> </w:t>
      </w:r>
      <w:r>
        <w:rPr/>
        <w:t>minoritarios</w:t>
      </w:r>
      <w:r>
        <w:rPr>
          <w:spacing w:val="-2"/>
        </w:rPr>
        <w:t> </w:t>
      </w:r>
      <w:r>
        <w:rPr/>
        <w:t>–</w:t>
      </w:r>
      <w:r>
        <w:rPr>
          <w:spacing w:val="-6"/>
        </w:rPr>
        <w:t> </w:t>
      </w:r>
      <w:r>
        <w:rPr>
          <w:spacing w:val="-2"/>
        </w:rPr>
        <w:t>Evolución</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75"/>
        <w:gridCol w:w="3044"/>
        <w:gridCol w:w="535"/>
        <w:gridCol w:w="1558"/>
        <w:gridCol w:w="1325"/>
        <w:gridCol w:w="1198"/>
      </w:tblGrid>
      <w:tr>
        <w:trPr>
          <w:trHeight w:val="326" w:hRule="atLeast"/>
        </w:trPr>
        <w:tc>
          <w:tcPr>
            <w:tcW w:w="1375" w:type="dxa"/>
            <w:vMerge w:val="restart"/>
            <w:shd w:val="clear" w:color="auto" w:fill="365F92"/>
          </w:tcPr>
          <w:p>
            <w:pPr>
              <w:pStyle w:val="TableParagraph"/>
              <w:spacing w:before="131"/>
              <w:ind w:left="69"/>
              <w:rPr>
                <w:b/>
                <w:sz w:val="20"/>
              </w:rPr>
            </w:pPr>
            <w:r>
              <w:rPr>
                <w:b/>
                <w:color w:val="FFFFFF"/>
                <w:spacing w:val="-2"/>
                <w:sz w:val="20"/>
              </w:rPr>
              <w:t>Cuenta</w:t>
            </w:r>
          </w:p>
        </w:tc>
        <w:tc>
          <w:tcPr>
            <w:tcW w:w="3044" w:type="dxa"/>
            <w:vMerge w:val="restart"/>
            <w:shd w:val="clear" w:color="auto" w:fill="365F92"/>
          </w:tcPr>
          <w:p>
            <w:pPr>
              <w:pStyle w:val="TableParagraph"/>
              <w:spacing w:before="220"/>
              <w:ind w:left="16"/>
              <w:jc w:val="center"/>
              <w:rPr>
                <w:b/>
                <w:sz w:val="20"/>
              </w:rPr>
            </w:pPr>
            <w:r>
              <w:rPr>
                <w:b/>
                <w:color w:val="FFFFFF"/>
                <w:spacing w:val="-2"/>
                <w:sz w:val="20"/>
              </w:rPr>
              <w:t>Descripción</w:t>
            </w:r>
          </w:p>
        </w:tc>
        <w:tc>
          <w:tcPr>
            <w:tcW w:w="535" w:type="dxa"/>
            <w:vMerge w:val="restart"/>
            <w:shd w:val="clear" w:color="auto" w:fill="365F92"/>
          </w:tcPr>
          <w:p>
            <w:pPr>
              <w:pStyle w:val="TableParagraph"/>
              <w:spacing w:before="220"/>
              <w:ind w:left="69"/>
              <w:rPr>
                <w:b/>
                <w:sz w:val="20"/>
              </w:rPr>
            </w:pPr>
            <w:r>
              <w:rPr>
                <w:b/>
                <w:color w:val="FFFFFF"/>
                <w:spacing w:val="-4"/>
                <w:sz w:val="20"/>
              </w:rPr>
              <w:t>Nota</w:t>
            </w:r>
          </w:p>
        </w:tc>
        <w:tc>
          <w:tcPr>
            <w:tcW w:w="1558" w:type="dxa"/>
            <w:vMerge w:val="restart"/>
            <w:shd w:val="clear" w:color="auto" w:fill="365F92"/>
          </w:tcPr>
          <w:p>
            <w:pPr>
              <w:pStyle w:val="TableParagraph"/>
              <w:spacing w:before="220"/>
              <w:ind w:left="201"/>
              <w:rPr>
                <w:b/>
                <w:sz w:val="20"/>
              </w:rPr>
            </w:pPr>
            <w:r>
              <w:rPr>
                <w:b/>
                <w:color w:val="FFFFFF"/>
                <w:sz w:val="20"/>
              </w:rPr>
              <w:t>Periodo</w:t>
            </w:r>
            <w:r>
              <w:rPr>
                <w:b/>
                <w:color w:val="FFFFFF"/>
                <w:spacing w:val="-5"/>
                <w:sz w:val="20"/>
              </w:rPr>
              <w:t> </w:t>
            </w:r>
            <w:r>
              <w:rPr>
                <w:b/>
                <w:color w:val="FFFFFF"/>
                <w:spacing w:val="-2"/>
                <w:sz w:val="20"/>
              </w:rPr>
              <w:t>Actual</w:t>
            </w:r>
          </w:p>
        </w:tc>
        <w:tc>
          <w:tcPr>
            <w:tcW w:w="1325" w:type="dxa"/>
            <w:vMerge w:val="restart"/>
            <w:shd w:val="clear" w:color="auto" w:fill="365F92"/>
          </w:tcPr>
          <w:p>
            <w:pPr>
              <w:pStyle w:val="TableParagraph"/>
              <w:spacing w:before="107"/>
              <w:ind w:left="321" w:right="297" w:firstLine="45"/>
              <w:rPr>
                <w:b/>
                <w:sz w:val="20"/>
              </w:rPr>
            </w:pPr>
            <w:r>
              <w:rPr>
                <w:b/>
                <w:color w:val="FFFFFF"/>
                <w:spacing w:val="-2"/>
                <w:sz w:val="20"/>
              </w:rPr>
              <w:t>Periodo Anterior</w:t>
            </w:r>
          </w:p>
        </w:tc>
        <w:tc>
          <w:tcPr>
            <w:tcW w:w="1198" w:type="dxa"/>
            <w:shd w:val="clear" w:color="auto" w:fill="365F92"/>
          </w:tcPr>
          <w:p>
            <w:pPr>
              <w:pStyle w:val="TableParagraph"/>
              <w:spacing w:before="49"/>
              <w:ind w:left="23" w:right="6"/>
              <w:jc w:val="center"/>
              <w:rPr>
                <w:b/>
                <w:sz w:val="20"/>
              </w:rPr>
            </w:pPr>
            <w:r>
              <w:rPr>
                <w:b/>
                <w:color w:val="FFFFFF"/>
                <w:spacing w:val="-2"/>
                <w:sz w:val="20"/>
              </w:rPr>
              <w:t>Diferencia</w:t>
            </w:r>
          </w:p>
        </w:tc>
      </w:tr>
      <w:tr>
        <w:trPr>
          <w:trHeight w:val="323" w:hRule="atLeast"/>
        </w:trPr>
        <w:tc>
          <w:tcPr>
            <w:tcW w:w="1375" w:type="dxa"/>
            <w:vMerge/>
            <w:tcBorders>
              <w:top w:val="nil"/>
            </w:tcBorders>
            <w:shd w:val="clear" w:color="auto" w:fill="365F92"/>
          </w:tcPr>
          <w:p>
            <w:pPr>
              <w:rPr>
                <w:sz w:val="2"/>
                <w:szCs w:val="2"/>
              </w:rPr>
            </w:pPr>
          </w:p>
        </w:tc>
        <w:tc>
          <w:tcPr>
            <w:tcW w:w="3044" w:type="dxa"/>
            <w:vMerge/>
            <w:tcBorders>
              <w:top w:val="nil"/>
            </w:tcBorders>
            <w:shd w:val="clear" w:color="auto" w:fill="365F92"/>
          </w:tcPr>
          <w:p>
            <w:pPr>
              <w:rPr>
                <w:sz w:val="2"/>
                <w:szCs w:val="2"/>
              </w:rPr>
            </w:pPr>
          </w:p>
        </w:tc>
        <w:tc>
          <w:tcPr>
            <w:tcW w:w="535" w:type="dxa"/>
            <w:vMerge/>
            <w:tcBorders>
              <w:top w:val="nil"/>
            </w:tcBorders>
            <w:shd w:val="clear" w:color="auto" w:fill="365F92"/>
          </w:tcPr>
          <w:p>
            <w:pPr>
              <w:rPr>
                <w:sz w:val="2"/>
                <w:szCs w:val="2"/>
              </w:rPr>
            </w:pPr>
          </w:p>
        </w:tc>
        <w:tc>
          <w:tcPr>
            <w:tcW w:w="1558" w:type="dxa"/>
            <w:vMerge/>
            <w:tcBorders>
              <w:top w:val="nil"/>
            </w:tcBorders>
            <w:shd w:val="clear" w:color="auto" w:fill="365F92"/>
          </w:tcPr>
          <w:p>
            <w:pPr>
              <w:rPr>
                <w:sz w:val="2"/>
                <w:szCs w:val="2"/>
              </w:rPr>
            </w:pPr>
          </w:p>
        </w:tc>
        <w:tc>
          <w:tcPr>
            <w:tcW w:w="1325"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7"/>
              <w:jc w:val="center"/>
              <w:rPr>
                <w:sz w:val="20"/>
              </w:rPr>
            </w:pPr>
            <w:r>
              <w:rPr>
                <w:color w:val="FFFFFF"/>
                <w:spacing w:val="-10"/>
                <w:sz w:val="20"/>
              </w:rPr>
              <w:t>%</w:t>
            </w:r>
          </w:p>
        </w:tc>
      </w:tr>
      <w:tr>
        <w:trPr>
          <w:trHeight w:val="325" w:hRule="atLeast"/>
        </w:trPr>
        <w:tc>
          <w:tcPr>
            <w:tcW w:w="1375" w:type="dxa"/>
          </w:tcPr>
          <w:p>
            <w:pPr>
              <w:pStyle w:val="TableParagraph"/>
              <w:spacing w:before="46"/>
              <w:ind w:left="69"/>
              <w:rPr>
                <w:b/>
                <w:sz w:val="20"/>
              </w:rPr>
            </w:pPr>
            <w:r>
              <w:rPr>
                <w:b/>
                <w:spacing w:val="-2"/>
                <w:sz w:val="20"/>
              </w:rPr>
              <w:t>3.2.2.</w:t>
            </w:r>
          </w:p>
        </w:tc>
        <w:tc>
          <w:tcPr>
            <w:tcW w:w="3044" w:type="dxa"/>
          </w:tcPr>
          <w:p>
            <w:pPr>
              <w:pStyle w:val="TableParagraph"/>
              <w:spacing w:before="46"/>
              <w:ind w:left="69"/>
              <w:rPr>
                <w:b/>
                <w:sz w:val="20"/>
              </w:rPr>
            </w:pPr>
            <w:r>
              <w:rPr>
                <w:b/>
                <w:sz w:val="20"/>
              </w:rPr>
              <w:t>Intereses</w:t>
            </w:r>
            <w:r>
              <w:rPr>
                <w:b/>
                <w:spacing w:val="-6"/>
                <w:sz w:val="20"/>
              </w:rPr>
              <w:t> </w:t>
            </w:r>
            <w:r>
              <w:rPr>
                <w:b/>
                <w:sz w:val="20"/>
              </w:rPr>
              <w:t>minoritarios</w:t>
            </w:r>
            <w:r>
              <w:rPr>
                <w:b/>
                <w:spacing w:val="-4"/>
                <w:sz w:val="20"/>
              </w:rPr>
              <w:t> </w:t>
            </w:r>
            <w:r>
              <w:rPr>
                <w:b/>
                <w:sz w:val="20"/>
              </w:rPr>
              <w:t>-</w:t>
            </w:r>
            <w:r>
              <w:rPr>
                <w:b/>
                <w:spacing w:val="-5"/>
                <w:sz w:val="20"/>
              </w:rPr>
              <w:t> </w:t>
            </w:r>
            <w:r>
              <w:rPr>
                <w:b/>
                <w:spacing w:val="-2"/>
                <w:sz w:val="20"/>
              </w:rPr>
              <w:t>Evolución</w:t>
            </w:r>
          </w:p>
        </w:tc>
        <w:tc>
          <w:tcPr>
            <w:tcW w:w="535" w:type="dxa"/>
          </w:tcPr>
          <w:p>
            <w:pPr>
              <w:pStyle w:val="TableParagraph"/>
              <w:spacing w:before="46"/>
              <w:ind w:left="167"/>
              <w:rPr>
                <w:b/>
                <w:sz w:val="20"/>
              </w:rPr>
            </w:pPr>
            <w:r>
              <w:rPr>
                <w:b/>
                <w:spacing w:val="-5"/>
                <w:sz w:val="20"/>
              </w:rPr>
              <w:t>30</w:t>
            </w:r>
          </w:p>
        </w:tc>
        <w:tc>
          <w:tcPr>
            <w:tcW w:w="1558" w:type="dxa"/>
          </w:tcPr>
          <w:p>
            <w:pPr>
              <w:pStyle w:val="TableParagraph"/>
              <w:spacing w:before="46"/>
              <w:ind w:left="14"/>
              <w:jc w:val="center"/>
              <w:rPr>
                <w:b/>
                <w:sz w:val="20"/>
              </w:rPr>
            </w:pPr>
            <w:r>
              <w:rPr>
                <w:b/>
                <w:spacing w:val="-4"/>
                <w:sz w:val="20"/>
              </w:rPr>
              <w:t>0,00</w:t>
            </w:r>
          </w:p>
        </w:tc>
        <w:tc>
          <w:tcPr>
            <w:tcW w:w="1325" w:type="dxa"/>
          </w:tcPr>
          <w:p>
            <w:pPr>
              <w:pStyle w:val="TableParagraph"/>
              <w:spacing w:before="46"/>
              <w:ind w:left="17"/>
              <w:jc w:val="center"/>
              <w:rPr>
                <w:b/>
                <w:sz w:val="20"/>
              </w:rPr>
            </w:pPr>
            <w:r>
              <w:rPr>
                <w:b/>
                <w:spacing w:val="-4"/>
                <w:sz w:val="20"/>
              </w:rPr>
              <w:t>0,00</w:t>
            </w:r>
          </w:p>
        </w:tc>
        <w:tc>
          <w:tcPr>
            <w:tcW w:w="1198" w:type="dxa"/>
          </w:tcPr>
          <w:p>
            <w:pPr>
              <w:pStyle w:val="TableParagraph"/>
              <w:spacing w:before="46"/>
              <w:ind w:left="23" w:right="3"/>
              <w:jc w:val="center"/>
              <w:rPr>
                <w:b/>
                <w:sz w:val="20"/>
              </w:rPr>
            </w:pPr>
            <w:r>
              <w:rPr>
                <w:b/>
                <w:spacing w:val="-2"/>
                <w:sz w:val="20"/>
              </w:rPr>
              <w:t>0,00%</w:t>
            </w:r>
          </w:p>
        </w:tc>
      </w:tr>
    </w:tbl>
    <w:p>
      <w:pPr>
        <w:pStyle w:val="Heading6"/>
        <w:spacing w:before="240"/>
        <w:ind w:left="622"/>
        <w:rPr>
          <w:b w:val="0"/>
        </w:rPr>
      </w:pPr>
      <w:r>
        <w:rPr>
          <w:spacing w:val="-2"/>
        </w:rPr>
        <w:t>Revelación</w:t>
      </w:r>
      <w:r>
        <w:rPr>
          <w:b w:val="0"/>
          <w:spacing w:val="-2"/>
        </w:rPr>
        <w:t>:</w:t>
      </w:r>
    </w:p>
    <w:p>
      <w:pPr>
        <w:pStyle w:val="BodyText"/>
        <w:spacing w:line="259" w:lineRule="auto" w:before="179"/>
        <w:ind w:left="622" w:right="1001"/>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5"/>
        </w:rPr>
        <w:t> </w:t>
      </w:r>
      <w:r>
        <w:rPr/>
        <w:t>movimiento.</w:t>
      </w:r>
      <w:r>
        <w:rPr>
          <w:spacing w:val="-3"/>
        </w:rPr>
        <w:t> </w:t>
      </w:r>
      <w:r>
        <w:rPr/>
        <w:t>Esta</w:t>
      </w:r>
      <w:r>
        <w:rPr>
          <w:spacing w:val="-2"/>
        </w:rPr>
        <w:t> </w:t>
      </w:r>
      <w:r>
        <w:rPr/>
        <w:t>nota</w:t>
      </w:r>
      <w:r>
        <w:rPr>
          <w:spacing w:val="-2"/>
        </w:rPr>
        <w:t> </w:t>
      </w:r>
      <w:r>
        <w:rPr/>
        <w:t>explicativa</w:t>
      </w:r>
      <w:r>
        <w:rPr>
          <w:spacing w:val="-3"/>
        </w:rPr>
        <w:t> </w:t>
      </w:r>
      <w:r>
        <w:rPr/>
        <w:t>está</w:t>
      </w:r>
      <w:r>
        <w:rPr>
          <w:spacing w:val="-2"/>
        </w:rPr>
        <w:t> </w:t>
      </w:r>
      <w:r>
        <w:rPr/>
        <w:t>vinculada</w:t>
      </w:r>
      <w:r>
        <w:rPr>
          <w:spacing w:val="-3"/>
        </w:rPr>
        <w:t> </w:t>
      </w:r>
      <w:r>
        <w:rPr/>
        <w:t>con</w:t>
      </w:r>
      <w:r>
        <w:rPr>
          <w:spacing w:val="-2"/>
        </w:rPr>
        <w:t> </w:t>
      </w:r>
      <w:r>
        <w:rPr/>
        <w:t>las notas del Estado de Cambios al Patrimonio donde se debe desarrollar con mayor detalle la composición de las cuentas, sus saldos y hechos relevantes.</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3584">
                <wp:simplePos x="0" y="0"/>
                <wp:positionH relativeFrom="page">
                  <wp:posOffset>9525</wp:posOffset>
                </wp:positionH>
                <wp:positionV relativeFrom="page">
                  <wp:posOffset>297208</wp:posOffset>
                </wp:positionV>
                <wp:extent cx="7762875" cy="9748520"/>
                <wp:effectExtent l="0" t="0" r="0" b="0"/>
                <wp:wrapNone/>
                <wp:docPr id="453" name="Group 453"/>
                <wp:cNvGraphicFramePr>
                  <a:graphicFrameLocks/>
                </wp:cNvGraphicFramePr>
                <a:graphic>
                  <a:graphicData uri="http://schemas.microsoft.com/office/word/2010/wordprocessingGroup">
                    <wpg:wgp>
                      <wpg:cNvPr id="453" name="Group 453"/>
                      <wpg:cNvGrpSpPr/>
                      <wpg:grpSpPr>
                        <a:xfrm>
                          <a:off x="0" y="0"/>
                          <a:ext cx="7762875" cy="9748520"/>
                          <a:chExt cx="7762875" cy="9748520"/>
                        </a:xfrm>
                      </wpg:grpSpPr>
                      <pic:pic>
                        <pic:nvPicPr>
                          <pic:cNvPr id="454" name="Image 454"/>
                          <pic:cNvPicPr/>
                        </pic:nvPicPr>
                        <pic:blipFill>
                          <a:blip r:embed="rId5" cstate="print"/>
                          <a:stretch>
                            <a:fillRect/>
                          </a:stretch>
                        </pic:blipFill>
                        <pic:spPr>
                          <a:xfrm>
                            <a:off x="0" y="0"/>
                            <a:ext cx="7762874" cy="9748489"/>
                          </a:xfrm>
                          <a:prstGeom prst="rect">
                            <a:avLst/>
                          </a:prstGeom>
                        </pic:spPr>
                      </pic:pic>
                      <wps:wsp>
                        <wps:cNvPr id="455" name="Graphic 45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2896" id="docshapegroup431" coordorigin="15,468" coordsize="12225,15352">
                <v:shape style="position:absolute;left:15;top:468;width:12225;height:15352" type="#_x0000_t75" id="docshape432" stroked="false">
                  <v:imagedata r:id="rId5" o:title=""/>
                </v:shape>
                <v:rect style="position:absolute;left:1673;top:2028;width:8897;height:15" id="docshape43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95</w:t>
      </w:r>
    </w:p>
    <w:p>
      <w:pPr>
        <w:pStyle w:val="BodyText"/>
      </w:pPr>
    </w:p>
    <w:p>
      <w:pPr>
        <w:pStyle w:val="BodyText"/>
        <w:spacing w:before="148"/>
      </w:pPr>
    </w:p>
    <w:p>
      <w:pPr>
        <w:spacing w:before="0"/>
        <w:ind w:left="0" w:right="360" w:firstLine="0"/>
        <w:jc w:val="center"/>
        <w:rPr>
          <w:b/>
          <w:sz w:val="22"/>
        </w:rPr>
      </w:pPr>
      <w:bookmarkStart w:name="_bookmark67" w:id="68"/>
      <w:bookmarkEnd w:id="68"/>
      <w:r>
        <w:rPr/>
      </w:r>
      <w:r>
        <w:rPr>
          <w:b/>
          <w:color w:val="1F3863"/>
          <w:sz w:val="22"/>
        </w:rPr>
        <w:t>NOTAS</w:t>
      </w:r>
      <w:r>
        <w:rPr>
          <w:b/>
          <w:color w:val="1F3863"/>
          <w:spacing w:val="-6"/>
          <w:sz w:val="22"/>
        </w:rPr>
        <w:t> </w:t>
      </w:r>
      <w:r>
        <w:rPr>
          <w:b/>
          <w:color w:val="1F3863"/>
          <w:sz w:val="22"/>
        </w:rPr>
        <w:t>EXPLICATIVAS</w:t>
      </w:r>
      <w:r>
        <w:rPr>
          <w:b/>
          <w:color w:val="1F3863"/>
          <w:spacing w:val="-5"/>
          <w:sz w:val="22"/>
        </w:rPr>
        <w:t> </w:t>
      </w:r>
      <w:r>
        <w:rPr>
          <w:b/>
          <w:color w:val="1F3863"/>
          <w:sz w:val="22"/>
        </w:rPr>
        <w:t>AL</w:t>
      </w:r>
      <w:r>
        <w:rPr>
          <w:b/>
          <w:color w:val="1F3863"/>
          <w:spacing w:val="-4"/>
          <w:sz w:val="22"/>
        </w:rPr>
        <w:t> </w:t>
      </w:r>
      <w:r>
        <w:rPr>
          <w:b/>
          <w:color w:val="1F3863"/>
          <w:sz w:val="22"/>
        </w:rPr>
        <w:t>ESTADO</w:t>
      </w:r>
      <w:r>
        <w:rPr>
          <w:b/>
          <w:color w:val="1F3863"/>
          <w:spacing w:val="-4"/>
          <w:sz w:val="22"/>
        </w:rPr>
        <w:t> </w:t>
      </w:r>
      <w:r>
        <w:rPr>
          <w:b/>
          <w:color w:val="1F3863"/>
          <w:sz w:val="22"/>
        </w:rPr>
        <w:t>DE</w:t>
      </w:r>
      <w:r>
        <w:rPr>
          <w:b/>
          <w:color w:val="1F3863"/>
          <w:spacing w:val="-8"/>
          <w:sz w:val="22"/>
        </w:rPr>
        <w:t> </w:t>
      </w:r>
      <w:r>
        <w:rPr>
          <w:b/>
          <w:color w:val="1F3863"/>
          <w:sz w:val="22"/>
        </w:rPr>
        <w:t>RENDIMIENTO</w:t>
      </w:r>
      <w:r>
        <w:rPr>
          <w:b/>
          <w:color w:val="1F3863"/>
          <w:spacing w:val="-4"/>
          <w:sz w:val="22"/>
        </w:rPr>
        <w:t> </w:t>
      </w:r>
      <w:r>
        <w:rPr>
          <w:b/>
          <w:color w:val="1F3863"/>
          <w:spacing w:val="-2"/>
          <w:sz w:val="22"/>
        </w:rPr>
        <w:t>FINANCIERO</w:t>
      </w:r>
    </w:p>
    <w:p>
      <w:pPr>
        <w:pStyle w:val="BodyText"/>
        <w:rPr>
          <w:b/>
        </w:rPr>
      </w:pPr>
    </w:p>
    <w:p>
      <w:pPr>
        <w:pStyle w:val="BodyText"/>
        <w:spacing w:before="53"/>
        <w:rPr>
          <w:b/>
        </w:rPr>
      </w:pPr>
    </w:p>
    <w:p>
      <w:pPr>
        <w:pStyle w:val="ListParagraph"/>
        <w:numPr>
          <w:ilvl w:val="0"/>
          <w:numId w:val="39"/>
        </w:numPr>
        <w:tabs>
          <w:tab w:pos="838" w:val="left" w:leader="none"/>
        </w:tabs>
        <w:spacing w:line="240" w:lineRule="auto" w:before="0" w:after="0"/>
        <w:ind w:left="838" w:right="0" w:hanging="216"/>
        <w:jc w:val="left"/>
        <w:rPr>
          <w:b/>
          <w:sz w:val="22"/>
        </w:rPr>
      </w:pPr>
      <w:bookmarkStart w:name="_bookmark68" w:id="69"/>
      <w:bookmarkEnd w:id="69"/>
      <w:r>
        <w:rPr/>
      </w:r>
      <w:r>
        <w:rPr>
          <w:b/>
          <w:color w:val="1F3762"/>
          <w:spacing w:val="-2"/>
          <w:sz w:val="22"/>
        </w:rPr>
        <w:t>INGRESOS</w:t>
      </w:r>
    </w:p>
    <w:p>
      <w:pPr>
        <w:pStyle w:val="ListParagraph"/>
        <w:numPr>
          <w:ilvl w:val="1"/>
          <w:numId w:val="39"/>
        </w:numPr>
        <w:tabs>
          <w:tab w:pos="946" w:val="left" w:leader="none"/>
        </w:tabs>
        <w:spacing w:line="240" w:lineRule="auto" w:before="167" w:after="0"/>
        <w:ind w:left="946" w:right="0" w:hanging="324"/>
        <w:jc w:val="left"/>
        <w:rPr>
          <w:b/>
          <w:sz w:val="22"/>
        </w:rPr>
      </w:pPr>
      <w:bookmarkStart w:name="_bookmark69" w:id="70"/>
      <w:bookmarkEnd w:id="70"/>
      <w:r>
        <w:rPr/>
      </w:r>
      <w:r>
        <w:rPr>
          <w:b/>
          <w:color w:val="1F3762"/>
          <w:spacing w:val="-2"/>
          <w:sz w:val="22"/>
        </w:rPr>
        <w:t>IMPUESTOS</w:t>
      </w:r>
    </w:p>
    <w:p>
      <w:pPr>
        <w:spacing w:before="164"/>
        <w:ind w:left="622" w:right="0" w:firstLine="0"/>
        <w:jc w:val="left"/>
        <w:rPr>
          <w:b/>
          <w:sz w:val="22"/>
        </w:rPr>
      </w:pPr>
      <w:bookmarkStart w:name="_bookmark70" w:id="71"/>
      <w:bookmarkEnd w:id="71"/>
      <w:r>
        <w:rPr/>
      </w:r>
      <w:r>
        <w:rPr>
          <w:b/>
          <w:sz w:val="22"/>
        </w:rPr>
        <w:t>NOTA</w:t>
      </w:r>
      <w:r>
        <w:rPr>
          <w:b/>
          <w:spacing w:val="-1"/>
          <w:sz w:val="22"/>
        </w:rPr>
        <w:t> </w:t>
      </w:r>
      <w:r>
        <w:rPr>
          <w:b/>
          <w:sz w:val="22"/>
        </w:rPr>
        <w:t>N° </w:t>
      </w:r>
      <w:r>
        <w:rPr>
          <w:b/>
          <w:spacing w:val="-5"/>
          <w:sz w:val="22"/>
        </w:rPr>
        <w:t>31</w:t>
      </w:r>
    </w:p>
    <w:p>
      <w:pPr>
        <w:pStyle w:val="BodyText"/>
        <w:spacing w:before="116"/>
        <w:rPr>
          <w:b/>
        </w:rPr>
      </w:pPr>
    </w:p>
    <w:p>
      <w:pPr>
        <w:pStyle w:val="Heading6"/>
        <w:ind w:left="622"/>
      </w:pPr>
      <w:r>
        <w:rPr/>
        <w:t>Impuestos</w:t>
      </w:r>
      <w:r>
        <w:rPr>
          <w:spacing w:val="-8"/>
        </w:rPr>
        <w:t> </w:t>
      </w:r>
      <w:r>
        <w:rPr/>
        <w:t>sobre</w:t>
      </w:r>
      <w:r>
        <w:rPr>
          <w:spacing w:val="-2"/>
        </w:rPr>
        <w:t> </w:t>
      </w:r>
      <w:r>
        <w:rPr/>
        <w:t>los</w:t>
      </w:r>
      <w:r>
        <w:rPr>
          <w:spacing w:val="-3"/>
        </w:rPr>
        <w:t> </w:t>
      </w:r>
      <w:r>
        <w:rPr/>
        <w:t>ingresos,</w:t>
      </w:r>
      <w:r>
        <w:rPr>
          <w:spacing w:val="-3"/>
        </w:rPr>
        <w:t> </w:t>
      </w:r>
      <w:r>
        <w:rPr/>
        <w:t>las</w:t>
      </w:r>
      <w:r>
        <w:rPr>
          <w:spacing w:val="-2"/>
        </w:rPr>
        <w:t> </w:t>
      </w:r>
      <w:r>
        <w:rPr/>
        <w:t>utilidades</w:t>
      </w:r>
      <w:r>
        <w:rPr>
          <w:spacing w:val="-3"/>
        </w:rPr>
        <w:t> </w:t>
      </w:r>
      <w:r>
        <w:rPr/>
        <w:t>y</w:t>
      </w:r>
      <w:r>
        <w:rPr>
          <w:spacing w:val="-4"/>
        </w:rPr>
        <w:t> </w:t>
      </w:r>
      <w:r>
        <w:rPr/>
        <w:t>las</w:t>
      </w:r>
      <w:r>
        <w:rPr>
          <w:spacing w:val="-3"/>
        </w:rPr>
        <w:t> </w:t>
      </w:r>
      <w:r>
        <w:rPr/>
        <w:t>ganancias</w:t>
      </w:r>
      <w:r>
        <w:rPr>
          <w:spacing w:val="-2"/>
        </w:rPr>
        <w:t> </w:t>
      </w:r>
      <w:r>
        <w:rPr/>
        <w:t>de</w:t>
      </w:r>
      <w:r>
        <w:rPr>
          <w:spacing w:val="-3"/>
        </w:rPr>
        <w:t> </w:t>
      </w:r>
      <w:r>
        <w:rPr>
          <w:spacing w:val="-2"/>
        </w:rPr>
        <w:t>capital</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90"/>
        <w:gridCol w:w="3652"/>
        <w:gridCol w:w="632"/>
        <w:gridCol w:w="1353"/>
        <w:gridCol w:w="1343"/>
        <w:gridCol w:w="971"/>
      </w:tblGrid>
      <w:tr>
        <w:trPr>
          <w:trHeight w:val="325" w:hRule="atLeast"/>
        </w:trPr>
        <w:tc>
          <w:tcPr>
            <w:tcW w:w="1090" w:type="dxa"/>
            <w:vMerge w:val="restart"/>
            <w:shd w:val="clear" w:color="auto" w:fill="365F92"/>
          </w:tcPr>
          <w:p>
            <w:pPr>
              <w:pStyle w:val="TableParagraph"/>
              <w:spacing w:before="130"/>
              <w:ind w:left="69"/>
              <w:rPr>
                <w:b/>
                <w:sz w:val="20"/>
              </w:rPr>
            </w:pPr>
            <w:r>
              <w:rPr>
                <w:b/>
                <w:color w:val="FFFFFF"/>
                <w:spacing w:val="-2"/>
                <w:sz w:val="20"/>
              </w:rPr>
              <w:t>Cuenta</w:t>
            </w:r>
          </w:p>
        </w:tc>
        <w:tc>
          <w:tcPr>
            <w:tcW w:w="3652" w:type="dxa"/>
            <w:vMerge w:val="restart"/>
            <w:shd w:val="clear" w:color="auto" w:fill="365F92"/>
          </w:tcPr>
          <w:p>
            <w:pPr>
              <w:pStyle w:val="TableParagraph"/>
              <w:spacing w:before="219"/>
              <w:ind w:left="12"/>
              <w:jc w:val="center"/>
              <w:rPr>
                <w:b/>
                <w:sz w:val="20"/>
              </w:rPr>
            </w:pPr>
            <w:r>
              <w:rPr>
                <w:b/>
                <w:color w:val="FFFFFF"/>
                <w:spacing w:val="-2"/>
                <w:sz w:val="20"/>
              </w:rPr>
              <w:t>Descripción</w:t>
            </w:r>
          </w:p>
        </w:tc>
        <w:tc>
          <w:tcPr>
            <w:tcW w:w="632" w:type="dxa"/>
            <w:vMerge w:val="restart"/>
            <w:shd w:val="clear" w:color="auto" w:fill="365F92"/>
          </w:tcPr>
          <w:p>
            <w:pPr>
              <w:pStyle w:val="TableParagraph"/>
              <w:spacing w:before="219"/>
              <w:ind w:left="118"/>
              <w:rPr>
                <w:b/>
                <w:sz w:val="20"/>
              </w:rPr>
            </w:pPr>
            <w:r>
              <w:rPr>
                <w:b/>
                <w:color w:val="FFFFFF"/>
                <w:spacing w:val="-4"/>
                <w:sz w:val="20"/>
              </w:rPr>
              <w:t>Nota</w:t>
            </w:r>
          </w:p>
        </w:tc>
        <w:tc>
          <w:tcPr>
            <w:tcW w:w="1353" w:type="dxa"/>
            <w:vMerge w:val="restart"/>
            <w:shd w:val="clear" w:color="auto" w:fill="365F92"/>
          </w:tcPr>
          <w:p>
            <w:pPr>
              <w:pStyle w:val="TableParagraph"/>
              <w:spacing w:before="106"/>
              <w:ind w:left="417" w:right="313" w:hanging="39"/>
              <w:rPr>
                <w:b/>
                <w:sz w:val="20"/>
              </w:rPr>
            </w:pPr>
            <w:r>
              <w:rPr>
                <w:b/>
                <w:color w:val="FFFFFF"/>
                <w:spacing w:val="-2"/>
                <w:sz w:val="20"/>
              </w:rPr>
              <w:t>Periodo Actual</w:t>
            </w:r>
          </w:p>
        </w:tc>
        <w:tc>
          <w:tcPr>
            <w:tcW w:w="1343" w:type="dxa"/>
            <w:vMerge w:val="restart"/>
            <w:shd w:val="clear" w:color="auto" w:fill="365F92"/>
          </w:tcPr>
          <w:p>
            <w:pPr>
              <w:pStyle w:val="TableParagraph"/>
              <w:spacing w:before="106"/>
              <w:ind w:left="327" w:right="312" w:firstLine="45"/>
              <w:rPr>
                <w:b/>
                <w:sz w:val="20"/>
              </w:rPr>
            </w:pPr>
            <w:r>
              <w:rPr>
                <w:b/>
                <w:color w:val="FFFFFF"/>
                <w:spacing w:val="-2"/>
                <w:sz w:val="20"/>
              </w:rPr>
              <w:t>Periodo Anterior</w:t>
            </w:r>
          </w:p>
        </w:tc>
        <w:tc>
          <w:tcPr>
            <w:tcW w:w="971" w:type="dxa"/>
            <w:shd w:val="clear" w:color="auto" w:fill="365F92"/>
          </w:tcPr>
          <w:p>
            <w:pPr>
              <w:pStyle w:val="TableParagraph"/>
              <w:spacing w:before="49"/>
              <w:ind w:left="24" w:right="15"/>
              <w:jc w:val="center"/>
              <w:rPr>
                <w:b/>
                <w:sz w:val="20"/>
              </w:rPr>
            </w:pPr>
            <w:r>
              <w:rPr>
                <w:b/>
                <w:color w:val="FFFFFF"/>
                <w:spacing w:val="-2"/>
                <w:sz w:val="20"/>
              </w:rPr>
              <w:t>Diferencia</w:t>
            </w:r>
          </w:p>
        </w:tc>
      </w:tr>
      <w:tr>
        <w:trPr>
          <w:trHeight w:val="323" w:hRule="atLeast"/>
        </w:trPr>
        <w:tc>
          <w:tcPr>
            <w:tcW w:w="1090" w:type="dxa"/>
            <w:vMerge/>
            <w:tcBorders>
              <w:top w:val="nil"/>
            </w:tcBorders>
            <w:shd w:val="clear" w:color="auto" w:fill="365F92"/>
          </w:tcPr>
          <w:p>
            <w:pPr>
              <w:rPr>
                <w:sz w:val="2"/>
                <w:szCs w:val="2"/>
              </w:rPr>
            </w:pPr>
          </w:p>
        </w:tc>
        <w:tc>
          <w:tcPr>
            <w:tcW w:w="3652" w:type="dxa"/>
            <w:vMerge/>
            <w:tcBorders>
              <w:top w:val="nil"/>
            </w:tcBorders>
            <w:shd w:val="clear" w:color="auto" w:fill="365F92"/>
          </w:tcPr>
          <w:p>
            <w:pPr>
              <w:rPr>
                <w:sz w:val="2"/>
                <w:szCs w:val="2"/>
              </w:rPr>
            </w:pPr>
          </w:p>
        </w:tc>
        <w:tc>
          <w:tcPr>
            <w:tcW w:w="632" w:type="dxa"/>
            <w:vMerge/>
            <w:tcBorders>
              <w:top w:val="nil"/>
            </w:tcBorders>
            <w:shd w:val="clear" w:color="auto" w:fill="365F92"/>
          </w:tcPr>
          <w:p>
            <w:pPr>
              <w:rPr>
                <w:sz w:val="2"/>
                <w:szCs w:val="2"/>
              </w:rPr>
            </w:pPr>
          </w:p>
        </w:tc>
        <w:tc>
          <w:tcPr>
            <w:tcW w:w="1353" w:type="dxa"/>
            <w:vMerge/>
            <w:tcBorders>
              <w:top w:val="nil"/>
            </w:tcBorders>
            <w:shd w:val="clear" w:color="auto" w:fill="365F92"/>
          </w:tcPr>
          <w:p>
            <w:pPr>
              <w:rPr>
                <w:sz w:val="2"/>
                <w:szCs w:val="2"/>
              </w:rPr>
            </w:pPr>
          </w:p>
        </w:tc>
        <w:tc>
          <w:tcPr>
            <w:tcW w:w="1343" w:type="dxa"/>
            <w:vMerge/>
            <w:tcBorders>
              <w:top w:val="nil"/>
            </w:tcBorders>
            <w:shd w:val="clear" w:color="auto" w:fill="365F92"/>
          </w:tcPr>
          <w:p>
            <w:pPr>
              <w:rPr>
                <w:sz w:val="2"/>
                <w:szCs w:val="2"/>
              </w:rPr>
            </w:pPr>
          </w:p>
        </w:tc>
        <w:tc>
          <w:tcPr>
            <w:tcW w:w="971" w:type="dxa"/>
            <w:shd w:val="clear" w:color="auto" w:fill="365F92"/>
          </w:tcPr>
          <w:p>
            <w:pPr>
              <w:pStyle w:val="TableParagraph"/>
              <w:spacing w:before="46"/>
              <w:ind w:left="24" w:right="16"/>
              <w:jc w:val="center"/>
              <w:rPr>
                <w:sz w:val="20"/>
              </w:rPr>
            </w:pPr>
            <w:r>
              <w:rPr>
                <w:color w:val="FFFFFF"/>
                <w:spacing w:val="-10"/>
                <w:sz w:val="20"/>
              </w:rPr>
              <w:t>%</w:t>
            </w:r>
          </w:p>
        </w:tc>
      </w:tr>
      <w:tr>
        <w:trPr>
          <w:trHeight w:val="541" w:hRule="atLeast"/>
        </w:trPr>
        <w:tc>
          <w:tcPr>
            <w:tcW w:w="1090" w:type="dxa"/>
          </w:tcPr>
          <w:p>
            <w:pPr>
              <w:pStyle w:val="TableParagraph"/>
              <w:spacing w:before="154"/>
              <w:ind w:left="69"/>
              <w:rPr>
                <w:b/>
                <w:sz w:val="20"/>
              </w:rPr>
            </w:pPr>
            <w:r>
              <w:rPr>
                <w:b/>
                <w:spacing w:val="-2"/>
                <w:sz w:val="20"/>
              </w:rPr>
              <w:t>4.1.1.</w:t>
            </w:r>
          </w:p>
        </w:tc>
        <w:tc>
          <w:tcPr>
            <w:tcW w:w="3652" w:type="dxa"/>
          </w:tcPr>
          <w:p>
            <w:pPr>
              <w:pStyle w:val="TableParagraph"/>
              <w:spacing w:before="41"/>
              <w:ind w:left="68" w:right="155"/>
              <w:rPr>
                <w:b/>
                <w:sz w:val="20"/>
              </w:rPr>
            </w:pPr>
            <w:r>
              <w:rPr>
                <w:b/>
                <w:sz w:val="20"/>
              </w:rPr>
              <w:t>Impuestos</w:t>
            </w:r>
            <w:r>
              <w:rPr>
                <w:b/>
                <w:spacing w:val="-8"/>
                <w:sz w:val="20"/>
              </w:rPr>
              <w:t> </w:t>
            </w:r>
            <w:r>
              <w:rPr>
                <w:b/>
                <w:sz w:val="20"/>
              </w:rPr>
              <w:t>sobre</w:t>
            </w:r>
            <w:r>
              <w:rPr>
                <w:b/>
                <w:spacing w:val="-6"/>
                <w:sz w:val="20"/>
              </w:rPr>
              <w:t> </w:t>
            </w:r>
            <w:r>
              <w:rPr>
                <w:b/>
                <w:sz w:val="20"/>
              </w:rPr>
              <w:t>los</w:t>
            </w:r>
            <w:r>
              <w:rPr>
                <w:b/>
                <w:spacing w:val="-8"/>
                <w:sz w:val="20"/>
              </w:rPr>
              <w:t> </w:t>
            </w:r>
            <w:r>
              <w:rPr>
                <w:b/>
                <w:sz w:val="20"/>
              </w:rPr>
              <w:t>ingresos,</w:t>
            </w:r>
            <w:r>
              <w:rPr>
                <w:b/>
                <w:spacing w:val="-7"/>
                <w:sz w:val="20"/>
              </w:rPr>
              <w:t> </w:t>
            </w:r>
            <w:r>
              <w:rPr>
                <w:b/>
                <w:sz w:val="20"/>
              </w:rPr>
              <w:t>las</w:t>
            </w:r>
            <w:r>
              <w:rPr>
                <w:b/>
                <w:spacing w:val="-8"/>
                <w:sz w:val="20"/>
              </w:rPr>
              <w:t> </w:t>
            </w:r>
            <w:r>
              <w:rPr>
                <w:b/>
                <w:sz w:val="20"/>
              </w:rPr>
              <w:t>utilidades y las ganancias de capital</w:t>
            </w:r>
          </w:p>
        </w:tc>
        <w:tc>
          <w:tcPr>
            <w:tcW w:w="632" w:type="dxa"/>
          </w:tcPr>
          <w:p>
            <w:pPr>
              <w:pStyle w:val="TableParagraph"/>
              <w:spacing w:before="154"/>
              <w:ind w:left="214"/>
              <w:rPr>
                <w:b/>
                <w:sz w:val="20"/>
              </w:rPr>
            </w:pPr>
            <w:r>
              <w:rPr>
                <w:b/>
                <w:spacing w:val="-5"/>
                <w:sz w:val="20"/>
              </w:rPr>
              <w:t>31</w:t>
            </w:r>
          </w:p>
        </w:tc>
        <w:tc>
          <w:tcPr>
            <w:tcW w:w="1353" w:type="dxa"/>
          </w:tcPr>
          <w:p>
            <w:pPr>
              <w:pStyle w:val="TableParagraph"/>
              <w:spacing w:before="154"/>
              <w:ind w:left="61"/>
              <w:jc w:val="center"/>
              <w:rPr>
                <w:b/>
                <w:sz w:val="20"/>
              </w:rPr>
            </w:pPr>
            <w:r>
              <w:rPr>
                <w:b/>
                <w:spacing w:val="-4"/>
                <w:sz w:val="20"/>
              </w:rPr>
              <w:t>0,00</w:t>
            </w:r>
          </w:p>
        </w:tc>
        <w:tc>
          <w:tcPr>
            <w:tcW w:w="1343" w:type="dxa"/>
          </w:tcPr>
          <w:p>
            <w:pPr>
              <w:pStyle w:val="TableParagraph"/>
              <w:spacing w:before="154"/>
              <w:ind w:left="6"/>
              <w:jc w:val="center"/>
              <w:rPr>
                <w:b/>
                <w:sz w:val="20"/>
              </w:rPr>
            </w:pPr>
            <w:r>
              <w:rPr>
                <w:b/>
                <w:spacing w:val="-4"/>
                <w:sz w:val="20"/>
              </w:rPr>
              <w:t>0,00</w:t>
            </w:r>
          </w:p>
        </w:tc>
        <w:tc>
          <w:tcPr>
            <w:tcW w:w="971" w:type="dxa"/>
          </w:tcPr>
          <w:p>
            <w:pPr>
              <w:pStyle w:val="TableParagraph"/>
              <w:spacing w:before="154"/>
              <w:ind w:left="24" w:right="17"/>
              <w:jc w:val="center"/>
              <w:rPr>
                <w:b/>
                <w:sz w:val="20"/>
              </w:rPr>
            </w:pPr>
            <w:r>
              <w:rPr>
                <w:b/>
                <w:spacing w:val="-2"/>
                <w:sz w:val="20"/>
              </w:rPr>
              <w:t>0,00%</w:t>
            </w:r>
          </w:p>
        </w:tc>
      </w:tr>
    </w:tbl>
    <w:p>
      <w:pPr>
        <w:spacing w:before="1"/>
        <w:ind w:left="622" w:right="0" w:firstLine="0"/>
        <w:jc w:val="left"/>
        <w:rPr>
          <w:sz w:val="22"/>
        </w:rPr>
      </w:pPr>
      <w:r>
        <w:rPr>
          <w:b/>
          <w:spacing w:val="-2"/>
          <w:sz w:val="22"/>
        </w:rPr>
        <w:t>Revelación</w:t>
      </w:r>
      <w:r>
        <w:rPr>
          <w:spacing w:val="-2"/>
          <w:sz w:val="22"/>
        </w:rPr>
        <w:t>:</w:t>
      </w:r>
    </w:p>
    <w:p>
      <w:pPr>
        <w:pStyle w:val="BodyText"/>
        <w:spacing w:before="159"/>
        <w:ind w:left="622" w:right="979"/>
        <w:jc w:val="both"/>
      </w:pPr>
      <w:r>
        <w:rPr/>
        <w:t>La cuenta Impuestos sobre los ingresos, las utilidades y las ganancias de capital, representa el 0,00% del total del Ingresos, que comparado al periodo anterior genera una variación absoluta de 0 000,00 que corresponde a un Aumento del 0,00% de recursos disponibles. Las variaciones de la cuenta son producto de (Indicar la razón de las variaciones de un periodo a otro):</w:t>
      </w:r>
    </w:p>
    <w:p>
      <w:pPr>
        <w:pStyle w:val="BodyText"/>
        <w:spacing w:before="10"/>
        <w:rPr>
          <w:sz w:val="11"/>
        </w:rPr>
      </w:pPr>
      <w:r>
        <w:rPr>
          <w:sz w:val="11"/>
        </w:rPr>
        <mc:AlternateContent>
          <mc:Choice Requires="wps">
            <w:drawing>
              <wp:anchor distT="0" distB="0" distL="0" distR="0" allowOverlap="1" layoutInCell="1" locked="0" behindDoc="1" simplePos="0" relativeHeight="487665664">
                <wp:simplePos x="0" y="0"/>
                <wp:positionH relativeFrom="page">
                  <wp:posOffset>1080820</wp:posOffset>
                </wp:positionH>
                <wp:positionV relativeFrom="paragraph">
                  <wp:posOffset>104846</wp:posOffset>
                </wp:positionV>
                <wp:extent cx="5715000" cy="605790"/>
                <wp:effectExtent l="0" t="0" r="0" b="0"/>
                <wp:wrapTopAndBottom/>
                <wp:docPr id="456" name="Textbox 456"/>
                <wp:cNvGraphicFramePr>
                  <a:graphicFrameLocks/>
                </wp:cNvGraphicFramePr>
                <a:graphic>
                  <a:graphicData uri="http://schemas.microsoft.com/office/word/2010/wordprocessingShape">
                    <wps:wsp>
                      <wps:cNvPr id="456" name="Textbox 456"/>
                      <wps:cNvSpPr txBox="1"/>
                      <wps:spPr>
                        <a:xfrm>
                          <a:off x="0" y="0"/>
                          <a:ext cx="5715000" cy="605790"/>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9"/>
                            </w:pPr>
                          </w:p>
                          <w:p>
                            <w:pPr>
                              <w:pStyle w:val="BodyText"/>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8.25564pt;width:450pt;height:47.7pt;mso-position-horizontal-relative:page;mso-position-vertical-relative:paragraph;z-index:-15650816;mso-wrap-distance-left:0;mso-wrap-distance-right:0" type="#_x0000_t202" id="docshape434"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9"/>
                      </w:pPr>
                    </w:p>
                    <w:p>
                      <w:pPr>
                        <w:pStyle w:val="BodyText"/>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23</w:t>
      </w:r>
      <w:r>
        <w:rPr>
          <w:color w:val="FFFFFF"/>
          <w:spacing w:val="-3"/>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4"/>
          <w:shd w:fill="365F92" w:color="auto" w:val="clear"/>
        </w:rPr>
        <w:t> </w:t>
      </w:r>
      <w:r>
        <w:rPr>
          <w:color w:val="FFFFFF"/>
          <w:shd w:fill="365F92" w:color="auto" w:val="clear"/>
        </w:rPr>
        <w:t>que</w:t>
      </w:r>
      <w:r>
        <w:rPr>
          <w:color w:val="FFFFFF"/>
          <w:spacing w:val="-5"/>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666176">
                <wp:simplePos x="0" y="0"/>
                <wp:positionH relativeFrom="page">
                  <wp:posOffset>1080820</wp:posOffset>
                </wp:positionH>
                <wp:positionV relativeFrom="paragraph">
                  <wp:posOffset>117681</wp:posOffset>
                </wp:positionV>
                <wp:extent cx="5715000" cy="1068705"/>
                <wp:effectExtent l="0" t="0" r="0" b="0"/>
                <wp:wrapTopAndBottom/>
                <wp:docPr id="457" name="Textbox 457"/>
                <wp:cNvGraphicFramePr>
                  <a:graphicFrameLocks/>
                </wp:cNvGraphicFramePr>
                <a:graphic>
                  <a:graphicData uri="http://schemas.microsoft.com/office/word/2010/wordprocessingShape">
                    <wps:wsp>
                      <wps:cNvPr id="457" name="Textbox 457"/>
                      <wps:cNvSpPr txBox="1"/>
                      <wps:spPr>
                        <a:xfrm>
                          <a:off x="0" y="0"/>
                          <a:ext cx="5715000" cy="10687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99"/>
                              <w:jc w:val="both"/>
                            </w:pPr>
                            <w:r>
                              <w:rPr/>
                              <w:t>A la fecha de emisión de los presentes Estados Financieros, el IMAS no posee ni ha generado transacciones</w:t>
                            </w:r>
                            <w:r>
                              <w:rPr>
                                <w:spacing w:val="-4"/>
                              </w:rPr>
                              <w:t> </w:t>
                            </w:r>
                            <w:r>
                              <w:rPr/>
                              <w:t>o</w:t>
                            </w:r>
                            <w:r>
                              <w:rPr>
                                <w:spacing w:val="-6"/>
                              </w:rPr>
                              <w:t> </w:t>
                            </w:r>
                            <w:r>
                              <w:rPr/>
                              <w:t>registros</w:t>
                            </w:r>
                            <w:r>
                              <w:rPr>
                                <w:spacing w:val="-4"/>
                              </w:rPr>
                              <w:t> </w:t>
                            </w:r>
                            <w:r>
                              <w:rPr/>
                              <w:t>relacionados</w:t>
                            </w:r>
                            <w:r>
                              <w:rPr>
                                <w:spacing w:val="-6"/>
                              </w:rPr>
                              <w:t> </w:t>
                            </w:r>
                            <w:r>
                              <w:rPr/>
                              <w:t>con</w:t>
                            </w:r>
                            <w:r>
                              <w:rPr>
                                <w:spacing w:val="-7"/>
                              </w:rPr>
                              <w:t> </w:t>
                            </w:r>
                            <w:r>
                              <w:rPr/>
                              <w:t>ingresos</w:t>
                            </w:r>
                            <w:r>
                              <w:rPr>
                                <w:spacing w:val="-6"/>
                              </w:rPr>
                              <w:t> </w:t>
                            </w:r>
                            <w:r>
                              <w:rPr/>
                              <w:t>por</w:t>
                            </w:r>
                            <w:r>
                              <w:rPr>
                                <w:spacing w:val="-9"/>
                              </w:rPr>
                              <w:t> </w:t>
                            </w:r>
                            <w:r>
                              <w:rPr/>
                              <w:t>impuesto</w:t>
                            </w:r>
                            <w:r>
                              <w:rPr>
                                <w:spacing w:val="-4"/>
                              </w:rPr>
                              <w:t> </w:t>
                            </w:r>
                            <w:r>
                              <w:rPr/>
                              <w:t>a</w:t>
                            </w:r>
                            <w:r>
                              <w:rPr>
                                <w:spacing w:val="-5"/>
                              </w:rPr>
                              <w:t> </w:t>
                            </w:r>
                            <w:r>
                              <w:rPr/>
                              <w:t>las</w:t>
                            </w:r>
                            <w:r>
                              <w:rPr>
                                <w:spacing w:val="-6"/>
                              </w:rPr>
                              <w:t> </w:t>
                            </w:r>
                            <w:r>
                              <w:rPr/>
                              <w:t>ganancias.</w:t>
                            </w:r>
                            <w:r>
                              <w:rPr>
                                <w:spacing w:val="-6"/>
                              </w:rPr>
                              <w:t> </w:t>
                            </w:r>
                            <w:r>
                              <w:rPr/>
                              <w:t>En</w:t>
                            </w:r>
                            <w:r>
                              <w:rPr>
                                <w:spacing w:val="-4"/>
                              </w:rPr>
                              <w:t> </w:t>
                            </w:r>
                            <w:r>
                              <w:rPr/>
                              <w:t>consecuencia,</w:t>
                            </w:r>
                            <w:r>
                              <w:rPr>
                                <w:spacing w:val="-5"/>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wps:txbx>
                      <wps:bodyPr wrap="square" lIns="0" tIns="0" rIns="0" bIns="0" rtlCol="0">
                        <a:noAutofit/>
                      </wps:bodyPr>
                    </wps:wsp>
                  </a:graphicData>
                </a:graphic>
              </wp:anchor>
            </w:drawing>
          </mc:Choice>
          <mc:Fallback>
            <w:pict>
              <v:shape style="position:absolute;margin-left:85.103996pt;margin-top:9.26625pt;width:450pt;height:84.15pt;mso-position-horizontal-relative:page;mso-position-vertical-relative:paragraph;z-index:-15650304;mso-wrap-distance-left:0;mso-wrap-distance-right:0" type="#_x0000_t202" id="docshape43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99"/>
                        <w:jc w:val="both"/>
                      </w:pPr>
                      <w:r>
                        <w:rPr/>
                        <w:t>A la fecha de emisión de los presentes Estados Financieros, el IMAS no posee ni ha generado transacciones</w:t>
                      </w:r>
                      <w:r>
                        <w:rPr>
                          <w:spacing w:val="-4"/>
                        </w:rPr>
                        <w:t> </w:t>
                      </w:r>
                      <w:r>
                        <w:rPr/>
                        <w:t>o</w:t>
                      </w:r>
                      <w:r>
                        <w:rPr>
                          <w:spacing w:val="-6"/>
                        </w:rPr>
                        <w:t> </w:t>
                      </w:r>
                      <w:r>
                        <w:rPr/>
                        <w:t>registros</w:t>
                      </w:r>
                      <w:r>
                        <w:rPr>
                          <w:spacing w:val="-4"/>
                        </w:rPr>
                        <w:t> </w:t>
                      </w:r>
                      <w:r>
                        <w:rPr/>
                        <w:t>relacionados</w:t>
                      </w:r>
                      <w:r>
                        <w:rPr>
                          <w:spacing w:val="-6"/>
                        </w:rPr>
                        <w:t> </w:t>
                      </w:r>
                      <w:r>
                        <w:rPr/>
                        <w:t>con</w:t>
                      </w:r>
                      <w:r>
                        <w:rPr>
                          <w:spacing w:val="-7"/>
                        </w:rPr>
                        <w:t> </w:t>
                      </w:r>
                      <w:r>
                        <w:rPr/>
                        <w:t>ingresos</w:t>
                      </w:r>
                      <w:r>
                        <w:rPr>
                          <w:spacing w:val="-6"/>
                        </w:rPr>
                        <w:t> </w:t>
                      </w:r>
                      <w:r>
                        <w:rPr/>
                        <w:t>por</w:t>
                      </w:r>
                      <w:r>
                        <w:rPr>
                          <w:spacing w:val="-9"/>
                        </w:rPr>
                        <w:t> </w:t>
                      </w:r>
                      <w:r>
                        <w:rPr/>
                        <w:t>impuesto</w:t>
                      </w:r>
                      <w:r>
                        <w:rPr>
                          <w:spacing w:val="-4"/>
                        </w:rPr>
                        <w:t> </w:t>
                      </w:r>
                      <w:r>
                        <w:rPr/>
                        <w:t>a</w:t>
                      </w:r>
                      <w:r>
                        <w:rPr>
                          <w:spacing w:val="-5"/>
                        </w:rPr>
                        <w:t> </w:t>
                      </w:r>
                      <w:r>
                        <w:rPr/>
                        <w:t>las</w:t>
                      </w:r>
                      <w:r>
                        <w:rPr>
                          <w:spacing w:val="-6"/>
                        </w:rPr>
                        <w:t> </w:t>
                      </w:r>
                      <w:r>
                        <w:rPr/>
                        <w:t>ganancias.</w:t>
                      </w:r>
                      <w:r>
                        <w:rPr>
                          <w:spacing w:val="-6"/>
                        </w:rPr>
                        <w:t> </w:t>
                      </w:r>
                      <w:r>
                        <w:rPr/>
                        <w:t>En</w:t>
                      </w:r>
                      <w:r>
                        <w:rPr>
                          <w:spacing w:val="-4"/>
                        </w:rPr>
                        <w:t> </w:t>
                      </w:r>
                      <w:r>
                        <w:rPr/>
                        <w:t>consecuencia,</w:t>
                      </w:r>
                      <w:r>
                        <w:rPr>
                          <w:spacing w:val="-5"/>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v:textbox>
                <v:stroke dashstyle="solid"/>
                <w10:wrap type="topAndBottom"/>
              </v:shape>
            </w:pict>
          </mc:Fallback>
        </mc:AlternateContent>
      </w:r>
    </w:p>
    <w:p>
      <w:pPr>
        <w:pStyle w:val="BodyText"/>
        <w:spacing w:before="186"/>
        <w:rPr>
          <w:b/>
        </w:rPr>
      </w:pPr>
    </w:p>
    <w:p>
      <w:pPr>
        <w:spacing w:before="0"/>
        <w:ind w:left="622" w:right="0" w:firstLine="0"/>
        <w:jc w:val="left"/>
        <w:rPr>
          <w:b/>
          <w:sz w:val="22"/>
        </w:rPr>
      </w:pPr>
      <w:bookmarkStart w:name="_bookmark71" w:id="72"/>
      <w:bookmarkEnd w:id="72"/>
      <w:r>
        <w:rPr/>
      </w:r>
      <w:r>
        <w:rPr>
          <w:b/>
          <w:sz w:val="22"/>
        </w:rPr>
        <w:t>NOTA</w:t>
      </w:r>
      <w:r>
        <w:rPr>
          <w:b/>
          <w:spacing w:val="-1"/>
          <w:sz w:val="22"/>
        </w:rPr>
        <w:t> </w:t>
      </w:r>
      <w:r>
        <w:rPr>
          <w:b/>
          <w:sz w:val="22"/>
        </w:rPr>
        <w:t>N° </w:t>
      </w:r>
      <w:r>
        <w:rPr>
          <w:b/>
          <w:spacing w:val="-5"/>
          <w:sz w:val="22"/>
        </w:rPr>
        <w:t>32</w:t>
      </w:r>
    </w:p>
    <w:p>
      <w:pPr>
        <w:pStyle w:val="BodyText"/>
        <w:spacing w:before="115"/>
        <w:rPr>
          <w:b/>
        </w:rPr>
      </w:pPr>
    </w:p>
    <w:p>
      <w:pPr>
        <w:pStyle w:val="Heading6"/>
        <w:ind w:left="622"/>
      </w:pPr>
      <w:r>
        <w:rPr/>
        <w:t>Impuestos</w:t>
      </w:r>
      <w:r>
        <w:rPr>
          <w:spacing w:val="-4"/>
        </w:rPr>
        <w:t> </w:t>
      </w:r>
      <w:r>
        <w:rPr/>
        <w:t>sobre</w:t>
      </w:r>
      <w:r>
        <w:rPr>
          <w:spacing w:val="-2"/>
        </w:rPr>
        <w:t> </w:t>
      </w:r>
      <w:r>
        <w:rPr/>
        <w:t>la</w:t>
      </w:r>
      <w:r>
        <w:rPr>
          <w:spacing w:val="-3"/>
        </w:rPr>
        <w:t> </w:t>
      </w:r>
      <w:r>
        <w:rPr>
          <w:spacing w:val="-2"/>
        </w:rPr>
        <w:t>propiedad</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97"/>
        <w:gridCol w:w="2759"/>
        <w:gridCol w:w="708"/>
        <w:gridCol w:w="1637"/>
        <w:gridCol w:w="1480"/>
        <w:gridCol w:w="1053"/>
      </w:tblGrid>
      <w:tr>
        <w:trPr>
          <w:trHeight w:val="325" w:hRule="atLeast"/>
        </w:trPr>
        <w:tc>
          <w:tcPr>
            <w:tcW w:w="1397" w:type="dxa"/>
            <w:vMerge w:val="restart"/>
            <w:shd w:val="clear" w:color="auto" w:fill="365F92"/>
          </w:tcPr>
          <w:p>
            <w:pPr>
              <w:pStyle w:val="TableParagraph"/>
              <w:spacing w:before="120"/>
              <w:ind w:left="69"/>
              <w:rPr>
                <w:b/>
                <w:sz w:val="22"/>
              </w:rPr>
            </w:pPr>
            <w:r>
              <w:rPr>
                <w:b/>
                <w:color w:val="FFFFFF"/>
                <w:spacing w:val="-2"/>
                <w:sz w:val="22"/>
              </w:rPr>
              <w:t>Cuenta</w:t>
            </w:r>
          </w:p>
        </w:tc>
        <w:tc>
          <w:tcPr>
            <w:tcW w:w="2759" w:type="dxa"/>
            <w:vMerge w:val="restart"/>
            <w:shd w:val="clear" w:color="auto" w:fill="365F92"/>
          </w:tcPr>
          <w:p>
            <w:pPr>
              <w:pStyle w:val="TableParagraph"/>
              <w:spacing w:before="209"/>
              <w:ind w:left="847"/>
              <w:rPr>
                <w:b/>
                <w:sz w:val="22"/>
              </w:rPr>
            </w:pPr>
            <w:r>
              <w:rPr>
                <w:b/>
                <w:color w:val="FFFFFF"/>
                <w:spacing w:val="-2"/>
                <w:sz w:val="22"/>
              </w:rPr>
              <w:t>Descripción</w:t>
            </w:r>
          </w:p>
        </w:tc>
        <w:tc>
          <w:tcPr>
            <w:tcW w:w="708" w:type="dxa"/>
            <w:vMerge w:val="restart"/>
            <w:shd w:val="clear" w:color="auto" w:fill="365F92"/>
          </w:tcPr>
          <w:p>
            <w:pPr>
              <w:pStyle w:val="TableParagraph"/>
              <w:spacing w:before="209"/>
              <w:ind w:left="133"/>
              <w:rPr>
                <w:b/>
                <w:sz w:val="22"/>
              </w:rPr>
            </w:pPr>
            <w:r>
              <w:rPr>
                <w:b/>
                <w:color w:val="FFFFFF"/>
                <w:spacing w:val="-4"/>
                <w:sz w:val="22"/>
              </w:rPr>
              <w:t>Nota</w:t>
            </w:r>
          </w:p>
        </w:tc>
        <w:tc>
          <w:tcPr>
            <w:tcW w:w="1637" w:type="dxa"/>
            <w:vMerge w:val="restart"/>
            <w:shd w:val="clear" w:color="auto" w:fill="365F92"/>
          </w:tcPr>
          <w:p>
            <w:pPr>
              <w:pStyle w:val="TableParagraph"/>
              <w:spacing w:before="209"/>
              <w:ind w:left="186"/>
              <w:rPr>
                <w:b/>
                <w:sz w:val="22"/>
              </w:rPr>
            </w:pPr>
            <w:r>
              <w:rPr>
                <w:b/>
                <w:color w:val="FFFFFF"/>
                <w:sz w:val="22"/>
              </w:rPr>
              <w:t>Periodo</w:t>
            </w:r>
            <w:r>
              <w:rPr>
                <w:b/>
                <w:color w:val="FFFFFF"/>
                <w:spacing w:val="-4"/>
                <w:sz w:val="22"/>
              </w:rPr>
              <w:t> </w:t>
            </w:r>
            <w:r>
              <w:rPr>
                <w:b/>
                <w:color w:val="FFFFFF"/>
                <w:spacing w:val="-2"/>
                <w:sz w:val="22"/>
              </w:rPr>
              <w:t>Actual</w:t>
            </w:r>
          </w:p>
        </w:tc>
        <w:tc>
          <w:tcPr>
            <w:tcW w:w="1480" w:type="dxa"/>
            <w:vMerge w:val="restart"/>
            <w:shd w:val="clear" w:color="auto" w:fill="365F92"/>
          </w:tcPr>
          <w:p>
            <w:pPr>
              <w:pStyle w:val="TableParagraph"/>
              <w:spacing w:before="84"/>
              <w:ind w:left="366" w:firstLine="48"/>
              <w:rPr>
                <w:b/>
                <w:sz w:val="22"/>
              </w:rPr>
            </w:pPr>
            <w:r>
              <w:rPr>
                <w:b/>
                <w:color w:val="FFFFFF"/>
                <w:spacing w:val="-2"/>
                <w:sz w:val="22"/>
              </w:rPr>
              <w:t>Periodo Anterior</w:t>
            </w:r>
          </w:p>
        </w:tc>
        <w:tc>
          <w:tcPr>
            <w:tcW w:w="1053" w:type="dxa"/>
            <w:shd w:val="clear" w:color="auto" w:fill="365F92"/>
          </w:tcPr>
          <w:p>
            <w:pPr>
              <w:pStyle w:val="TableParagraph"/>
              <w:spacing w:before="36"/>
              <w:ind w:left="26" w:right="6"/>
              <w:jc w:val="center"/>
              <w:rPr>
                <w:b/>
                <w:sz w:val="22"/>
              </w:rPr>
            </w:pPr>
            <w:r>
              <w:rPr>
                <w:b/>
                <w:color w:val="FFFFFF"/>
                <w:spacing w:val="-2"/>
                <w:sz w:val="22"/>
              </w:rPr>
              <w:t>Diferencia</w:t>
            </w:r>
          </w:p>
        </w:tc>
      </w:tr>
      <w:tr>
        <w:trPr>
          <w:trHeight w:val="323" w:hRule="atLeast"/>
        </w:trPr>
        <w:tc>
          <w:tcPr>
            <w:tcW w:w="1397" w:type="dxa"/>
            <w:vMerge/>
            <w:tcBorders>
              <w:top w:val="nil"/>
            </w:tcBorders>
            <w:shd w:val="clear" w:color="auto" w:fill="365F92"/>
          </w:tcPr>
          <w:p>
            <w:pPr>
              <w:rPr>
                <w:sz w:val="2"/>
                <w:szCs w:val="2"/>
              </w:rPr>
            </w:pPr>
          </w:p>
        </w:tc>
        <w:tc>
          <w:tcPr>
            <w:tcW w:w="2759"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637" w:type="dxa"/>
            <w:vMerge/>
            <w:tcBorders>
              <w:top w:val="nil"/>
            </w:tcBorders>
            <w:shd w:val="clear" w:color="auto" w:fill="365F92"/>
          </w:tcPr>
          <w:p>
            <w:pPr>
              <w:rPr>
                <w:sz w:val="2"/>
                <w:szCs w:val="2"/>
              </w:rPr>
            </w:pPr>
          </w:p>
        </w:tc>
        <w:tc>
          <w:tcPr>
            <w:tcW w:w="1480" w:type="dxa"/>
            <w:vMerge/>
            <w:tcBorders>
              <w:top w:val="nil"/>
            </w:tcBorders>
            <w:shd w:val="clear" w:color="auto" w:fill="365F92"/>
          </w:tcPr>
          <w:p>
            <w:pPr>
              <w:rPr>
                <w:sz w:val="2"/>
                <w:szCs w:val="2"/>
              </w:rPr>
            </w:pPr>
          </w:p>
        </w:tc>
        <w:tc>
          <w:tcPr>
            <w:tcW w:w="1053" w:type="dxa"/>
            <w:shd w:val="clear" w:color="auto" w:fill="365F92"/>
          </w:tcPr>
          <w:p>
            <w:pPr>
              <w:pStyle w:val="TableParagraph"/>
              <w:spacing w:before="36"/>
              <w:ind w:left="26" w:right="7"/>
              <w:jc w:val="center"/>
              <w:rPr>
                <w:b/>
                <w:sz w:val="22"/>
              </w:rPr>
            </w:pPr>
            <w:r>
              <w:rPr>
                <w:b/>
                <w:color w:val="FFFFFF"/>
                <w:spacing w:val="-10"/>
                <w:sz w:val="22"/>
              </w:rPr>
              <w:t>%</w:t>
            </w:r>
          </w:p>
        </w:tc>
      </w:tr>
      <w:tr>
        <w:trPr>
          <w:trHeight w:val="325" w:hRule="atLeast"/>
        </w:trPr>
        <w:tc>
          <w:tcPr>
            <w:tcW w:w="1397" w:type="dxa"/>
          </w:tcPr>
          <w:p>
            <w:pPr>
              <w:pStyle w:val="TableParagraph"/>
              <w:spacing w:before="46"/>
              <w:ind w:left="69"/>
              <w:rPr>
                <w:b/>
                <w:sz w:val="20"/>
              </w:rPr>
            </w:pPr>
            <w:r>
              <w:rPr>
                <w:b/>
                <w:spacing w:val="-2"/>
                <w:sz w:val="20"/>
              </w:rPr>
              <w:t>4.1.2.</w:t>
            </w:r>
          </w:p>
        </w:tc>
        <w:tc>
          <w:tcPr>
            <w:tcW w:w="2759" w:type="dxa"/>
          </w:tcPr>
          <w:p>
            <w:pPr>
              <w:pStyle w:val="TableParagraph"/>
              <w:spacing w:before="46"/>
              <w:ind w:left="68"/>
              <w:rPr>
                <w:b/>
                <w:sz w:val="20"/>
              </w:rPr>
            </w:pPr>
            <w:r>
              <w:rPr>
                <w:b/>
                <w:sz w:val="20"/>
              </w:rPr>
              <w:t>Impuestos</w:t>
            </w:r>
            <w:r>
              <w:rPr>
                <w:b/>
                <w:spacing w:val="-6"/>
                <w:sz w:val="20"/>
              </w:rPr>
              <w:t> </w:t>
            </w:r>
            <w:r>
              <w:rPr>
                <w:b/>
                <w:sz w:val="20"/>
              </w:rPr>
              <w:t>sobre</w:t>
            </w:r>
            <w:r>
              <w:rPr>
                <w:b/>
                <w:spacing w:val="-3"/>
                <w:sz w:val="20"/>
              </w:rPr>
              <w:t> </w:t>
            </w:r>
            <w:r>
              <w:rPr>
                <w:b/>
                <w:sz w:val="20"/>
              </w:rPr>
              <w:t>la</w:t>
            </w:r>
            <w:r>
              <w:rPr>
                <w:b/>
                <w:spacing w:val="-6"/>
                <w:sz w:val="20"/>
              </w:rPr>
              <w:t> </w:t>
            </w:r>
            <w:r>
              <w:rPr>
                <w:b/>
                <w:spacing w:val="-2"/>
                <w:sz w:val="20"/>
              </w:rPr>
              <w:t>propiedad</w:t>
            </w:r>
          </w:p>
        </w:tc>
        <w:tc>
          <w:tcPr>
            <w:tcW w:w="708" w:type="dxa"/>
          </w:tcPr>
          <w:p>
            <w:pPr>
              <w:pStyle w:val="TableParagraph"/>
              <w:spacing w:before="46"/>
              <w:ind w:left="18" w:right="8"/>
              <w:jc w:val="center"/>
              <w:rPr>
                <w:b/>
                <w:sz w:val="20"/>
              </w:rPr>
            </w:pPr>
            <w:r>
              <w:rPr>
                <w:b/>
                <w:spacing w:val="-5"/>
                <w:sz w:val="20"/>
              </w:rPr>
              <w:t>32</w:t>
            </w:r>
          </w:p>
        </w:tc>
        <w:tc>
          <w:tcPr>
            <w:tcW w:w="1637" w:type="dxa"/>
          </w:tcPr>
          <w:p>
            <w:pPr>
              <w:pStyle w:val="TableParagraph"/>
              <w:spacing w:before="46"/>
              <w:ind w:left="67"/>
              <w:jc w:val="center"/>
              <w:rPr>
                <w:b/>
                <w:sz w:val="20"/>
              </w:rPr>
            </w:pPr>
            <w:r>
              <w:rPr>
                <w:b/>
                <w:spacing w:val="-4"/>
                <w:sz w:val="20"/>
              </w:rPr>
              <w:t>0,00</w:t>
            </w:r>
          </w:p>
        </w:tc>
        <w:tc>
          <w:tcPr>
            <w:tcW w:w="1480" w:type="dxa"/>
          </w:tcPr>
          <w:p>
            <w:pPr>
              <w:pStyle w:val="TableParagraph"/>
              <w:spacing w:before="46"/>
              <w:ind w:left="19"/>
              <w:jc w:val="center"/>
              <w:rPr>
                <w:b/>
                <w:sz w:val="20"/>
              </w:rPr>
            </w:pPr>
            <w:r>
              <w:rPr>
                <w:b/>
                <w:spacing w:val="-4"/>
                <w:sz w:val="20"/>
              </w:rPr>
              <w:t>0,00</w:t>
            </w:r>
          </w:p>
        </w:tc>
        <w:tc>
          <w:tcPr>
            <w:tcW w:w="1053" w:type="dxa"/>
          </w:tcPr>
          <w:p>
            <w:pPr>
              <w:pStyle w:val="TableParagraph"/>
              <w:spacing w:before="46"/>
              <w:ind w:left="26" w:right="4"/>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5632">
                <wp:simplePos x="0" y="0"/>
                <wp:positionH relativeFrom="page">
                  <wp:posOffset>9525</wp:posOffset>
                </wp:positionH>
                <wp:positionV relativeFrom="page">
                  <wp:posOffset>297208</wp:posOffset>
                </wp:positionV>
                <wp:extent cx="7762875" cy="9748520"/>
                <wp:effectExtent l="0" t="0" r="0" b="0"/>
                <wp:wrapNone/>
                <wp:docPr id="458" name="Group 458"/>
                <wp:cNvGraphicFramePr>
                  <a:graphicFrameLocks/>
                </wp:cNvGraphicFramePr>
                <a:graphic>
                  <a:graphicData uri="http://schemas.microsoft.com/office/word/2010/wordprocessingGroup">
                    <wpg:wgp>
                      <wpg:cNvPr id="458" name="Group 458"/>
                      <wpg:cNvGrpSpPr/>
                      <wpg:grpSpPr>
                        <a:xfrm>
                          <a:off x="0" y="0"/>
                          <a:ext cx="7762875" cy="9748520"/>
                          <a:chExt cx="7762875" cy="9748520"/>
                        </a:xfrm>
                      </wpg:grpSpPr>
                      <pic:pic>
                        <pic:nvPicPr>
                          <pic:cNvPr id="459" name="Image 459"/>
                          <pic:cNvPicPr/>
                        </pic:nvPicPr>
                        <pic:blipFill>
                          <a:blip r:embed="rId5" cstate="print"/>
                          <a:stretch>
                            <a:fillRect/>
                          </a:stretch>
                        </pic:blipFill>
                        <pic:spPr>
                          <a:xfrm>
                            <a:off x="0" y="0"/>
                            <a:ext cx="7762874" cy="9748489"/>
                          </a:xfrm>
                          <a:prstGeom prst="rect">
                            <a:avLst/>
                          </a:prstGeom>
                        </pic:spPr>
                      </pic:pic>
                      <wps:wsp>
                        <wps:cNvPr id="460" name="Graphic 46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10848" id="docshapegroup436" coordorigin="15,468" coordsize="12225,15352">
                <v:shape style="position:absolute;left:15;top:468;width:12225;height:15352" type="#_x0000_t75" id="docshape437" stroked="false">
                  <v:imagedata r:id="rId5" o:title=""/>
                </v:shape>
                <v:rect style="position:absolute;left:1673;top:2028;width:8897;height:15" id="docshape43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96</w:t>
      </w:r>
    </w:p>
    <w:p>
      <w:pPr>
        <w:pStyle w:val="BodyText"/>
      </w:pPr>
    </w:p>
    <w:p>
      <w:pPr>
        <w:pStyle w:val="BodyText"/>
        <w:spacing w:before="227"/>
      </w:pPr>
    </w:p>
    <w:p>
      <w:pPr>
        <w:pStyle w:val="Heading6"/>
        <w:ind w:left="622"/>
        <w:rPr>
          <w:b w:val="0"/>
        </w:rPr>
      </w:pPr>
      <w:r>
        <w:rPr>
          <w:spacing w:val="-2"/>
        </w:rPr>
        <w:t>Revelación</w:t>
      </w:r>
      <w:r>
        <w:rPr>
          <w:b w:val="0"/>
          <w:spacing w:val="-2"/>
        </w:rPr>
        <w:t>:</w:t>
      </w:r>
    </w:p>
    <w:p>
      <w:pPr>
        <w:pStyle w:val="BodyText"/>
        <w:spacing w:line="259" w:lineRule="auto" w:before="181"/>
        <w:ind w:left="622" w:right="979"/>
        <w:jc w:val="both"/>
      </w:pPr>
      <w:r>
        <w:rPr/>
        <w:t>La</w:t>
      </w:r>
      <w:r>
        <w:rPr>
          <w:spacing w:val="-6"/>
        </w:rPr>
        <w:t> </w:t>
      </w:r>
      <w:r>
        <w:rPr/>
        <w:t>cuenta</w:t>
      </w:r>
      <w:r>
        <w:rPr>
          <w:spacing w:val="-5"/>
        </w:rPr>
        <w:t> </w:t>
      </w:r>
      <w:r>
        <w:rPr/>
        <w:t>Impuestos</w:t>
      </w:r>
      <w:r>
        <w:rPr>
          <w:spacing w:val="-4"/>
        </w:rPr>
        <w:t> </w:t>
      </w:r>
      <w:r>
        <w:rPr/>
        <w:t>sobre</w:t>
      </w:r>
      <w:r>
        <w:rPr>
          <w:spacing w:val="-4"/>
        </w:rPr>
        <w:t> </w:t>
      </w:r>
      <w:r>
        <w:rPr/>
        <w:t>la</w:t>
      </w:r>
      <w:r>
        <w:rPr>
          <w:spacing w:val="-6"/>
        </w:rPr>
        <w:t> </w:t>
      </w:r>
      <w:r>
        <w:rPr/>
        <w:t>propiedad,</w:t>
      </w:r>
      <w:r>
        <w:rPr>
          <w:spacing w:val="-5"/>
        </w:rPr>
        <w:t> </w:t>
      </w:r>
      <w:r>
        <w:rPr/>
        <w:t>representa</w:t>
      </w:r>
      <w:r>
        <w:rPr>
          <w:spacing w:val="-5"/>
        </w:rPr>
        <w:t> </w:t>
      </w:r>
      <w:r>
        <w:rPr/>
        <w:t>el</w:t>
      </w:r>
      <w:r>
        <w:rPr>
          <w:spacing w:val="-5"/>
        </w:rPr>
        <w:t> </w:t>
      </w:r>
      <w:r>
        <w:rPr/>
        <w:t>0,00%</w:t>
      </w:r>
      <w:r>
        <w:rPr>
          <w:spacing w:val="-5"/>
        </w:rPr>
        <w:t> </w:t>
      </w:r>
      <w:r>
        <w:rPr/>
        <w:t>del</w:t>
      </w:r>
      <w:r>
        <w:rPr>
          <w:spacing w:val="-5"/>
        </w:rPr>
        <w:t> </w:t>
      </w:r>
      <w:r>
        <w:rPr/>
        <w:t>total</w:t>
      </w:r>
      <w:r>
        <w:rPr>
          <w:spacing w:val="-6"/>
        </w:rPr>
        <w:t> </w:t>
      </w:r>
      <w:r>
        <w:rPr/>
        <w:t>del</w:t>
      </w:r>
      <w:r>
        <w:rPr>
          <w:spacing w:val="-5"/>
        </w:rPr>
        <w:t> </w:t>
      </w:r>
      <w:r>
        <w:rPr/>
        <w:t>Ingresos,</w:t>
      </w:r>
      <w:r>
        <w:rPr>
          <w:spacing w:val="-7"/>
        </w:rPr>
        <w:t> </w:t>
      </w:r>
      <w:r>
        <w:rPr/>
        <w:t>que</w:t>
      </w:r>
      <w:r>
        <w:rPr>
          <w:spacing w:val="-4"/>
        </w:rPr>
        <w:t> </w:t>
      </w:r>
      <w:r>
        <w:rPr/>
        <w:t>comparado</w:t>
      </w:r>
      <w:r>
        <w:rPr>
          <w:spacing w:val="-4"/>
        </w:rPr>
        <w:t> </w:t>
      </w:r>
      <w:r>
        <w:rPr/>
        <w:t>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4"/>
        </w:rPr>
        <w:t> </w:t>
      </w:r>
      <w:r>
        <w:rPr/>
        <w:t>0</w:t>
      </w:r>
      <w:r>
        <w:rPr>
          <w:spacing w:val="-5"/>
        </w:rPr>
        <w:t> </w:t>
      </w:r>
      <w:r>
        <w:rPr/>
        <w:t>000,00</w:t>
      </w:r>
      <w:r>
        <w:rPr>
          <w:spacing w:val="-6"/>
        </w:rPr>
        <w:t> </w:t>
      </w:r>
      <w:r>
        <w:rPr/>
        <w:t>que</w:t>
      </w:r>
      <w:r>
        <w:rPr>
          <w:spacing w:val="-4"/>
        </w:rPr>
        <w:t> </w:t>
      </w:r>
      <w:r>
        <w:rPr/>
        <w:t>corresponde</w:t>
      </w:r>
      <w:r>
        <w:rPr>
          <w:spacing w:val="-4"/>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rPr>
          <w:sz w:val="20"/>
        </w:rPr>
      </w:pPr>
    </w:p>
    <w:p>
      <w:pPr>
        <w:pStyle w:val="BodyText"/>
        <w:spacing w:before="107"/>
        <w:rPr>
          <w:sz w:val="20"/>
        </w:rPr>
      </w:pPr>
      <w:r>
        <w:rPr>
          <w:sz w:val="20"/>
        </w:rPr>
        <mc:AlternateContent>
          <mc:Choice Requires="wps">
            <w:drawing>
              <wp:anchor distT="0" distB="0" distL="0" distR="0" allowOverlap="1" layoutInCell="1" locked="0" behindDoc="1" simplePos="0" relativeHeight="487667200">
                <wp:simplePos x="0" y="0"/>
                <wp:positionH relativeFrom="page">
                  <wp:posOffset>1080820</wp:posOffset>
                </wp:positionH>
                <wp:positionV relativeFrom="paragraph">
                  <wp:posOffset>231838</wp:posOffset>
                </wp:positionV>
                <wp:extent cx="5715000" cy="555625"/>
                <wp:effectExtent l="0" t="0" r="0" b="0"/>
                <wp:wrapTopAndBottom/>
                <wp:docPr id="461" name="Textbox 461"/>
                <wp:cNvGraphicFramePr>
                  <a:graphicFrameLocks/>
                </wp:cNvGraphicFramePr>
                <a:graphic>
                  <a:graphicData uri="http://schemas.microsoft.com/office/word/2010/wordprocessingShape">
                    <wps:wsp>
                      <wps:cNvPr id="461" name="Textbox 461"/>
                      <wps:cNvSpPr txBox="1"/>
                      <wps:spPr>
                        <a:xfrm>
                          <a:off x="0" y="0"/>
                          <a:ext cx="5715000" cy="55562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254999pt;width:450pt;height:43.75pt;mso-position-horizontal-relative:page;mso-position-vertical-relative:paragraph;z-index:-15649280;mso-wrap-distance-left:0;mso-wrap-distance-right:0" type="#_x0000_t202" id="docshape43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23</w:t>
      </w:r>
      <w:r>
        <w:rPr>
          <w:color w:val="FFFFFF"/>
          <w:spacing w:val="-3"/>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4"/>
          <w:shd w:fill="365F92" w:color="auto" w:val="clear"/>
        </w:rPr>
        <w:t> </w:t>
      </w:r>
      <w:r>
        <w:rPr>
          <w:color w:val="FFFFFF"/>
          <w:shd w:fill="365F92" w:color="auto" w:val="clear"/>
        </w:rPr>
        <w:t>que</w:t>
      </w:r>
      <w:r>
        <w:rPr>
          <w:color w:val="FFFFFF"/>
          <w:spacing w:val="-5"/>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rPr>
          <w:b/>
          <w:sz w:val="20"/>
        </w:rPr>
      </w:pPr>
    </w:p>
    <w:p>
      <w:pPr>
        <w:pStyle w:val="BodyText"/>
        <w:spacing w:before="129"/>
        <w:rPr>
          <w:b/>
          <w:sz w:val="20"/>
        </w:rPr>
      </w:pPr>
      <w:r>
        <w:rPr>
          <w:b/>
          <w:sz w:val="20"/>
        </w:rPr>
        <mc:AlternateContent>
          <mc:Choice Requires="wps">
            <w:drawing>
              <wp:anchor distT="0" distB="0" distL="0" distR="0" allowOverlap="1" layoutInCell="1" locked="0" behindDoc="1" simplePos="0" relativeHeight="487667712">
                <wp:simplePos x="0" y="0"/>
                <wp:positionH relativeFrom="page">
                  <wp:posOffset>1080820</wp:posOffset>
                </wp:positionH>
                <wp:positionV relativeFrom="paragraph">
                  <wp:posOffset>245618</wp:posOffset>
                </wp:positionV>
                <wp:extent cx="5715000" cy="1070610"/>
                <wp:effectExtent l="0" t="0" r="0" b="0"/>
                <wp:wrapTopAndBottom/>
                <wp:docPr id="462" name="Textbox 462"/>
                <wp:cNvGraphicFramePr>
                  <a:graphicFrameLocks/>
                </wp:cNvGraphicFramePr>
                <a:graphic>
                  <a:graphicData uri="http://schemas.microsoft.com/office/word/2010/wordprocessingShape">
                    <wps:wsp>
                      <wps:cNvPr id="462" name="Textbox 462"/>
                      <wps:cNvSpPr txBox="1"/>
                      <wps:spPr>
                        <a:xfrm>
                          <a:off x="0" y="0"/>
                          <a:ext cx="5715000" cy="10706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99"/>
                              <w:jc w:val="both"/>
                            </w:pPr>
                            <w:r>
                              <w:rPr/>
                              <w:t>A la fecha de emisión de los presentes Estados Financieros, el IMAS no posee ni ha generado transacciones</w:t>
                            </w:r>
                            <w:r>
                              <w:rPr>
                                <w:spacing w:val="-5"/>
                              </w:rPr>
                              <w:t> </w:t>
                            </w:r>
                            <w:r>
                              <w:rPr/>
                              <w:t>o</w:t>
                            </w:r>
                            <w:r>
                              <w:rPr>
                                <w:spacing w:val="-6"/>
                              </w:rPr>
                              <w:t> </w:t>
                            </w:r>
                            <w:r>
                              <w:rPr/>
                              <w:t>registros</w:t>
                            </w:r>
                            <w:r>
                              <w:rPr>
                                <w:spacing w:val="-6"/>
                              </w:rPr>
                              <w:t> </w:t>
                            </w:r>
                            <w:r>
                              <w:rPr/>
                              <w:t>relacionados</w:t>
                            </w:r>
                            <w:r>
                              <w:rPr>
                                <w:spacing w:val="-6"/>
                              </w:rPr>
                              <w:t> </w:t>
                            </w:r>
                            <w:r>
                              <w:rPr/>
                              <w:t>con</w:t>
                            </w:r>
                            <w:r>
                              <w:rPr>
                                <w:spacing w:val="-5"/>
                              </w:rPr>
                              <w:t> </w:t>
                            </w:r>
                            <w:r>
                              <w:rPr/>
                              <w:t>ingresos</w:t>
                            </w:r>
                            <w:r>
                              <w:rPr>
                                <w:spacing w:val="-5"/>
                              </w:rPr>
                              <w:t> </w:t>
                            </w:r>
                            <w:r>
                              <w:rPr/>
                              <w:t>por</w:t>
                            </w:r>
                            <w:r>
                              <w:rPr>
                                <w:spacing w:val="-7"/>
                              </w:rPr>
                              <w:t> </w:t>
                            </w:r>
                            <w:r>
                              <w:rPr/>
                              <w:t>impuesto</w:t>
                            </w:r>
                            <w:r>
                              <w:rPr>
                                <w:spacing w:val="-5"/>
                              </w:rPr>
                              <w:t> </w:t>
                            </w:r>
                            <w:r>
                              <w:rPr/>
                              <w:t>a</w:t>
                            </w:r>
                            <w:r>
                              <w:rPr>
                                <w:spacing w:val="-6"/>
                              </w:rPr>
                              <w:t> </w:t>
                            </w:r>
                            <w:r>
                              <w:rPr/>
                              <w:t>la</w:t>
                            </w:r>
                            <w:r>
                              <w:rPr>
                                <w:spacing w:val="-6"/>
                              </w:rPr>
                              <w:t> </w:t>
                            </w:r>
                            <w:r>
                              <w:rPr/>
                              <w:t>propiedad.</w:t>
                            </w:r>
                            <w:r>
                              <w:rPr>
                                <w:spacing w:val="-6"/>
                              </w:rPr>
                              <w:t> </w:t>
                            </w:r>
                            <w:r>
                              <w:rPr/>
                              <w:t>En</w:t>
                            </w:r>
                            <w:r>
                              <w:rPr>
                                <w:spacing w:val="-5"/>
                              </w:rPr>
                              <w:t> </w:t>
                            </w:r>
                            <w:r>
                              <w:rPr/>
                              <w:t>consecuencia,</w:t>
                            </w:r>
                            <w:r>
                              <w:rPr>
                                <w:spacing w:val="-6"/>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wps:txbx>
                      <wps:bodyPr wrap="square" lIns="0" tIns="0" rIns="0" bIns="0" rtlCol="0">
                        <a:noAutofit/>
                      </wps:bodyPr>
                    </wps:wsp>
                  </a:graphicData>
                </a:graphic>
              </wp:anchor>
            </w:drawing>
          </mc:Choice>
          <mc:Fallback>
            <w:pict>
              <v:shape style="position:absolute;margin-left:85.103996pt;margin-top:19.340015pt;width:450pt;height:84.3pt;mso-position-horizontal-relative:page;mso-position-vertical-relative:paragraph;z-index:-15648768;mso-wrap-distance-left:0;mso-wrap-distance-right:0" type="#_x0000_t202" id="docshape44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99"/>
                        <w:jc w:val="both"/>
                      </w:pPr>
                      <w:r>
                        <w:rPr/>
                        <w:t>A la fecha de emisión de los presentes Estados Financieros, el IMAS no posee ni ha generado transacciones</w:t>
                      </w:r>
                      <w:r>
                        <w:rPr>
                          <w:spacing w:val="-5"/>
                        </w:rPr>
                        <w:t> </w:t>
                      </w:r>
                      <w:r>
                        <w:rPr/>
                        <w:t>o</w:t>
                      </w:r>
                      <w:r>
                        <w:rPr>
                          <w:spacing w:val="-6"/>
                        </w:rPr>
                        <w:t> </w:t>
                      </w:r>
                      <w:r>
                        <w:rPr/>
                        <w:t>registros</w:t>
                      </w:r>
                      <w:r>
                        <w:rPr>
                          <w:spacing w:val="-6"/>
                        </w:rPr>
                        <w:t> </w:t>
                      </w:r>
                      <w:r>
                        <w:rPr/>
                        <w:t>relacionados</w:t>
                      </w:r>
                      <w:r>
                        <w:rPr>
                          <w:spacing w:val="-6"/>
                        </w:rPr>
                        <w:t> </w:t>
                      </w:r>
                      <w:r>
                        <w:rPr/>
                        <w:t>con</w:t>
                      </w:r>
                      <w:r>
                        <w:rPr>
                          <w:spacing w:val="-5"/>
                        </w:rPr>
                        <w:t> </w:t>
                      </w:r>
                      <w:r>
                        <w:rPr/>
                        <w:t>ingresos</w:t>
                      </w:r>
                      <w:r>
                        <w:rPr>
                          <w:spacing w:val="-5"/>
                        </w:rPr>
                        <w:t> </w:t>
                      </w:r>
                      <w:r>
                        <w:rPr/>
                        <w:t>por</w:t>
                      </w:r>
                      <w:r>
                        <w:rPr>
                          <w:spacing w:val="-7"/>
                        </w:rPr>
                        <w:t> </w:t>
                      </w:r>
                      <w:r>
                        <w:rPr/>
                        <w:t>impuesto</w:t>
                      </w:r>
                      <w:r>
                        <w:rPr>
                          <w:spacing w:val="-5"/>
                        </w:rPr>
                        <w:t> </w:t>
                      </w:r>
                      <w:r>
                        <w:rPr/>
                        <w:t>a</w:t>
                      </w:r>
                      <w:r>
                        <w:rPr>
                          <w:spacing w:val="-6"/>
                        </w:rPr>
                        <w:t> </w:t>
                      </w:r>
                      <w:r>
                        <w:rPr/>
                        <w:t>la</w:t>
                      </w:r>
                      <w:r>
                        <w:rPr>
                          <w:spacing w:val="-6"/>
                        </w:rPr>
                        <w:t> </w:t>
                      </w:r>
                      <w:r>
                        <w:rPr/>
                        <w:t>propiedad.</w:t>
                      </w:r>
                      <w:r>
                        <w:rPr>
                          <w:spacing w:val="-6"/>
                        </w:rPr>
                        <w:t> </w:t>
                      </w:r>
                      <w:r>
                        <w:rPr/>
                        <w:t>En</w:t>
                      </w:r>
                      <w:r>
                        <w:rPr>
                          <w:spacing w:val="-5"/>
                        </w:rPr>
                        <w:t> </w:t>
                      </w:r>
                      <w:r>
                        <w:rPr/>
                        <w:t>consecuencia,</w:t>
                      </w:r>
                      <w:r>
                        <w:rPr>
                          <w:spacing w:val="-6"/>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v:textbox>
                <v:stroke dashstyle="solid"/>
                <w10:wrap type="topAndBottom"/>
              </v:shape>
            </w:pict>
          </mc:Fallback>
        </mc:AlternateContent>
      </w:r>
    </w:p>
    <w:p>
      <w:pPr>
        <w:pStyle w:val="BodyText"/>
        <w:spacing w:before="183"/>
        <w:rPr>
          <w:b/>
        </w:rPr>
      </w:pPr>
    </w:p>
    <w:p>
      <w:pPr>
        <w:spacing w:before="1"/>
        <w:ind w:left="622" w:right="0" w:firstLine="0"/>
        <w:jc w:val="left"/>
        <w:rPr>
          <w:b/>
          <w:sz w:val="22"/>
        </w:rPr>
      </w:pPr>
      <w:bookmarkStart w:name="_bookmark72" w:id="73"/>
      <w:bookmarkEnd w:id="73"/>
      <w:r>
        <w:rPr/>
      </w:r>
      <w:r>
        <w:rPr>
          <w:b/>
          <w:sz w:val="22"/>
        </w:rPr>
        <w:t>NOTA</w:t>
      </w:r>
      <w:r>
        <w:rPr>
          <w:b/>
          <w:spacing w:val="-1"/>
          <w:sz w:val="22"/>
        </w:rPr>
        <w:t> </w:t>
      </w:r>
      <w:r>
        <w:rPr>
          <w:b/>
          <w:sz w:val="22"/>
        </w:rPr>
        <w:t>N° </w:t>
      </w:r>
      <w:r>
        <w:rPr>
          <w:b/>
          <w:spacing w:val="-5"/>
          <w:sz w:val="22"/>
        </w:rPr>
        <w:t>33</w:t>
      </w:r>
    </w:p>
    <w:p>
      <w:pPr>
        <w:pStyle w:val="BodyText"/>
        <w:spacing w:before="114"/>
        <w:rPr>
          <w:b/>
        </w:rPr>
      </w:pPr>
    </w:p>
    <w:p>
      <w:pPr>
        <w:pStyle w:val="Heading6"/>
        <w:spacing w:before="1"/>
        <w:ind w:left="622"/>
      </w:pPr>
      <w:r>
        <w:rPr/>
        <w:t>Impuestos</w:t>
      </w:r>
      <w:r>
        <w:rPr>
          <w:spacing w:val="-5"/>
        </w:rPr>
        <w:t> </w:t>
      </w:r>
      <w:r>
        <w:rPr/>
        <w:t>sobre</w:t>
      </w:r>
      <w:r>
        <w:rPr>
          <w:spacing w:val="-2"/>
        </w:rPr>
        <w:t> </w:t>
      </w:r>
      <w:r>
        <w:rPr/>
        <w:t>bienes</w:t>
      </w:r>
      <w:r>
        <w:rPr>
          <w:spacing w:val="-3"/>
        </w:rPr>
        <w:t> </w:t>
      </w:r>
      <w:r>
        <w:rPr/>
        <w:t>y</w:t>
      </w:r>
      <w:r>
        <w:rPr>
          <w:spacing w:val="-3"/>
        </w:rPr>
        <w:t> </w:t>
      </w:r>
      <w:r>
        <w:rPr>
          <w:spacing w:val="-2"/>
        </w:rPr>
        <w:t>servicios</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6"/>
        <w:gridCol w:w="2578"/>
        <w:gridCol w:w="573"/>
        <w:gridCol w:w="1841"/>
        <w:gridCol w:w="1701"/>
        <w:gridCol w:w="1053"/>
      </w:tblGrid>
      <w:tr>
        <w:trPr>
          <w:trHeight w:val="323" w:hRule="atLeast"/>
        </w:trPr>
        <w:tc>
          <w:tcPr>
            <w:tcW w:w="1286" w:type="dxa"/>
            <w:vMerge w:val="restart"/>
            <w:shd w:val="clear" w:color="auto" w:fill="365F92"/>
          </w:tcPr>
          <w:p>
            <w:pPr>
              <w:pStyle w:val="TableParagraph"/>
              <w:spacing w:before="120"/>
              <w:ind w:left="69"/>
              <w:rPr>
                <w:b/>
                <w:sz w:val="22"/>
              </w:rPr>
            </w:pPr>
            <w:r>
              <w:rPr>
                <w:b/>
                <w:color w:val="FFFFFF"/>
                <w:spacing w:val="-2"/>
                <w:sz w:val="22"/>
              </w:rPr>
              <w:t>Cuenta</w:t>
            </w:r>
          </w:p>
        </w:tc>
        <w:tc>
          <w:tcPr>
            <w:tcW w:w="2578" w:type="dxa"/>
            <w:vMerge w:val="restart"/>
            <w:shd w:val="clear" w:color="auto" w:fill="365F92"/>
          </w:tcPr>
          <w:p>
            <w:pPr>
              <w:pStyle w:val="TableParagraph"/>
              <w:spacing w:before="209"/>
              <w:ind w:left="758"/>
              <w:rPr>
                <w:b/>
                <w:sz w:val="22"/>
              </w:rPr>
            </w:pPr>
            <w:r>
              <w:rPr>
                <w:b/>
                <w:color w:val="FFFFFF"/>
                <w:spacing w:val="-2"/>
                <w:sz w:val="22"/>
              </w:rPr>
              <w:t>Descripción</w:t>
            </w:r>
          </w:p>
        </w:tc>
        <w:tc>
          <w:tcPr>
            <w:tcW w:w="573" w:type="dxa"/>
            <w:vMerge w:val="restart"/>
            <w:shd w:val="clear" w:color="auto" w:fill="365F92"/>
          </w:tcPr>
          <w:p>
            <w:pPr>
              <w:pStyle w:val="TableParagraph"/>
              <w:spacing w:before="209"/>
              <w:ind w:left="70"/>
              <w:rPr>
                <w:b/>
                <w:sz w:val="22"/>
              </w:rPr>
            </w:pPr>
            <w:r>
              <w:rPr>
                <w:b/>
                <w:color w:val="FFFFFF"/>
                <w:spacing w:val="-4"/>
                <w:sz w:val="22"/>
              </w:rPr>
              <w:t>Nota</w:t>
            </w:r>
          </w:p>
        </w:tc>
        <w:tc>
          <w:tcPr>
            <w:tcW w:w="1841" w:type="dxa"/>
            <w:vMerge w:val="restart"/>
            <w:shd w:val="clear" w:color="auto" w:fill="365F92"/>
          </w:tcPr>
          <w:p>
            <w:pPr>
              <w:pStyle w:val="TableParagraph"/>
              <w:spacing w:before="209"/>
              <w:ind w:left="289"/>
              <w:rPr>
                <w:b/>
                <w:sz w:val="22"/>
              </w:rPr>
            </w:pPr>
            <w:r>
              <w:rPr>
                <w:b/>
                <w:color w:val="FFFFFF"/>
                <w:sz w:val="22"/>
              </w:rPr>
              <w:t>Periodo</w:t>
            </w:r>
            <w:r>
              <w:rPr>
                <w:b/>
                <w:color w:val="FFFFFF"/>
                <w:spacing w:val="-4"/>
                <w:sz w:val="22"/>
              </w:rPr>
              <w:t> </w:t>
            </w:r>
            <w:r>
              <w:rPr>
                <w:b/>
                <w:color w:val="FFFFFF"/>
                <w:spacing w:val="-2"/>
                <w:sz w:val="22"/>
              </w:rPr>
              <w:t>Actual</w:t>
            </w:r>
          </w:p>
        </w:tc>
        <w:tc>
          <w:tcPr>
            <w:tcW w:w="1701" w:type="dxa"/>
            <w:vMerge w:val="restart"/>
            <w:shd w:val="clear" w:color="auto" w:fill="365F92"/>
          </w:tcPr>
          <w:p>
            <w:pPr>
              <w:pStyle w:val="TableParagraph"/>
              <w:spacing w:before="209"/>
              <w:ind w:left="126"/>
              <w:rPr>
                <w:b/>
                <w:sz w:val="22"/>
              </w:rPr>
            </w:pPr>
            <w:r>
              <w:rPr>
                <w:b/>
                <w:color w:val="FFFFFF"/>
                <w:sz w:val="22"/>
              </w:rPr>
              <w:t>Periodo</w:t>
            </w:r>
            <w:r>
              <w:rPr>
                <w:b/>
                <w:color w:val="FFFFFF"/>
                <w:spacing w:val="-4"/>
                <w:sz w:val="22"/>
              </w:rPr>
              <w:t> </w:t>
            </w:r>
            <w:r>
              <w:rPr>
                <w:b/>
                <w:color w:val="FFFFFF"/>
                <w:spacing w:val="-2"/>
                <w:sz w:val="22"/>
              </w:rPr>
              <w:t>Anterior</w:t>
            </w:r>
          </w:p>
        </w:tc>
        <w:tc>
          <w:tcPr>
            <w:tcW w:w="1053" w:type="dxa"/>
            <w:shd w:val="clear" w:color="auto" w:fill="365F92"/>
          </w:tcPr>
          <w:p>
            <w:pPr>
              <w:pStyle w:val="TableParagraph"/>
              <w:spacing w:before="36"/>
              <w:ind w:left="26" w:right="2"/>
              <w:jc w:val="center"/>
              <w:rPr>
                <w:b/>
                <w:sz w:val="22"/>
              </w:rPr>
            </w:pPr>
            <w:r>
              <w:rPr>
                <w:b/>
                <w:color w:val="FFFFFF"/>
                <w:spacing w:val="-2"/>
                <w:sz w:val="22"/>
              </w:rPr>
              <w:t>Diferencia</w:t>
            </w:r>
          </w:p>
        </w:tc>
      </w:tr>
      <w:tr>
        <w:trPr>
          <w:trHeight w:val="323" w:hRule="atLeast"/>
        </w:trPr>
        <w:tc>
          <w:tcPr>
            <w:tcW w:w="1286" w:type="dxa"/>
            <w:vMerge/>
            <w:tcBorders>
              <w:top w:val="nil"/>
            </w:tcBorders>
            <w:shd w:val="clear" w:color="auto" w:fill="365F92"/>
          </w:tcPr>
          <w:p>
            <w:pPr>
              <w:rPr>
                <w:sz w:val="2"/>
                <w:szCs w:val="2"/>
              </w:rPr>
            </w:pPr>
          </w:p>
        </w:tc>
        <w:tc>
          <w:tcPr>
            <w:tcW w:w="2578" w:type="dxa"/>
            <w:vMerge/>
            <w:tcBorders>
              <w:top w:val="nil"/>
            </w:tcBorders>
            <w:shd w:val="clear" w:color="auto" w:fill="365F92"/>
          </w:tcPr>
          <w:p>
            <w:pPr>
              <w:rPr>
                <w:sz w:val="2"/>
                <w:szCs w:val="2"/>
              </w:rPr>
            </w:pPr>
          </w:p>
        </w:tc>
        <w:tc>
          <w:tcPr>
            <w:tcW w:w="573" w:type="dxa"/>
            <w:vMerge/>
            <w:tcBorders>
              <w:top w:val="nil"/>
            </w:tcBorders>
            <w:shd w:val="clear" w:color="auto" w:fill="365F92"/>
          </w:tcPr>
          <w:p>
            <w:pPr>
              <w:rPr>
                <w:sz w:val="2"/>
                <w:szCs w:val="2"/>
              </w:rPr>
            </w:pPr>
          </w:p>
        </w:tc>
        <w:tc>
          <w:tcPr>
            <w:tcW w:w="1841" w:type="dxa"/>
            <w:vMerge/>
            <w:tcBorders>
              <w:top w:val="nil"/>
            </w:tcBorders>
            <w:shd w:val="clear" w:color="auto" w:fill="365F92"/>
          </w:tcPr>
          <w:p>
            <w:pPr>
              <w:rPr>
                <w:sz w:val="2"/>
                <w:szCs w:val="2"/>
              </w:rPr>
            </w:pPr>
          </w:p>
        </w:tc>
        <w:tc>
          <w:tcPr>
            <w:tcW w:w="1701" w:type="dxa"/>
            <w:vMerge/>
            <w:tcBorders>
              <w:top w:val="nil"/>
            </w:tcBorders>
            <w:shd w:val="clear" w:color="auto" w:fill="365F92"/>
          </w:tcPr>
          <w:p>
            <w:pPr>
              <w:rPr>
                <w:sz w:val="2"/>
                <w:szCs w:val="2"/>
              </w:rPr>
            </w:pPr>
          </w:p>
        </w:tc>
        <w:tc>
          <w:tcPr>
            <w:tcW w:w="1053" w:type="dxa"/>
            <w:shd w:val="clear" w:color="auto" w:fill="365F92"/>
          </w:tcPr>
          <w:p>
            <w:pPr>
              <w:pStyle w:val="TableParagraph"/>
              <w:spacing w:before="36"/>
              <w:ind w:left="26" w:right="3"/>
              <w:jc w:val="center"/>
              <w:rPr>
                <w:sz w:val="22"/>
              </w:rPr>
            </w:pPr>
            <w:r>
              <w:rPr>
                <w:color w:val="FFFFFF"/>
                <w:spacing w:val="-10"/>
                <w:sz w:val="22"/>
              </w:rPr>
              <w:t>%</w:t>
            </w:r>
          </w:p>
        </w:tc>
      </w:tr>
      <w:tr>
        <w:trPr>
          <w:trHeight w:val="503" w:hRule="atLeast"/>
        </w:trPr>
        <w:tc>
          <w:tcPr>
            <w:tcW w:w="1286" w:type="dxa"/>
          </w:tcPr>
          <w:p>
            <w:pPr>
              <w:pStyle w:val="TableParagraph"/>
              <w:spacing w:before="127"/>
              <w:ind w:left="69"/>
              <w:rPr>
                <w:b/>
                <w:sz w:val="22"/>
              </w:rPr>
            </w:pPr>
            <w:r>
              <w:rPr>
                <w:b/>
                <w:spacing w:val="-2"/>
                <w:sz w:val="22"/>
              </w:rPr>
              <w:t>4.1.3.</w:t>
            </w:r>
          </w:p>
        </w:tc>
        <w:tc>
          <w:tcPr>
            <w:tcW w:w="2578" w:type="dxa"/>
          </w:tcPr>
          <w:p>
            <w:pPr>
              <w:pStyle w:val="TableParagraph"/>
              <w:ind w:left="69"/>
              <w:rPr>
                <w:b/>
                <w:sz w:val="22"/>
              </w:rPr>
            </w:pPr>
            <w:r>
              <w:rPr>
                <w:b/>
                <w:sz w:val="22"/>
              </w:rPr>
              <w:t>Impuestos</w:t>
            </w:r>
            <w:r>
              <w:rPr>
                <w:b/>
                <w:spacing w:val="-6"/>
                <w:sz w:val="22"/>
              </w:rPr>
              <w:t> </w:t>
            </w:r>
            <w:r>
              <w:rPr>
                <w:b/>
                <w:sz w:val="22"/>
              </w:rPr>
              <w:t>sobre</w:t>
            </w:r>
            <w:r>
              <w:rPr>
                <w:b/>
                <w:spacing w:val="-3"/>
                <w:sz w:val="22"/>
              </w:rPr>
              <w:t> </w:t>
            </w:r>
            <w:r>
              <w:rPr>
                <w:b/>
                <w:sz w:val="22"/>
              </w:rPr>
              <w:t>bienes</w:t>
            </w:r>
            <w:r>
              <w:rPr>
                <w:b/>
                <w:spacing w:val="-3"/>
                <w:sz w:val="22"/>
              </w:rPr>
              <w:t> </w:t>
            </w:r>
            <w:r>
              <w:rPr>
                <w:b/>
                <w:spacing w:val="-10"/>
                <w:sz w:val="22"/>
              </w:rPr>
              <w:t>y</w:t>
            </w:r>
          </w:p>
          <w:p>
            <w:pPr>
              <w:pStyle w:val="TableParagraph"/>
              <w:spacing w:line="231" w:lineRule="exact" w:before="1"/>
              <w:ind w:left="69"/>
              <w:rPr>
                <w:b/>
                <w:sz w:val="22"/>
              </w:rPr>
            </w:pPr>
            <w:r>
              <w:rPr>
                <w:b/>
                <w:spacing w:val="-2"/>
                <w:sz w:val="22"/>
              </w:rPr>
              <w:t>servicios</w:t>
            </w:r>
          </w:p>
        </w:tc>
        <w:tc>
          <w:tcPr>
            <w:tcW w:w="573" w:type="dxa"/>
          </w:tcPr>
          <w:p>
            <w:pPr>
              <w:pStyle w:val="TableParagraph"/>
              <w:spacing w:before="127"/>
              <w:ind w:left="178"/>
              <w:rPr>
                <w:b/>
                <w:sz w:val="22"/>
              </w:rPr>
            </w:pPr>
            <w:r>
              <w:rPr>
                <w:b/>
                <w:spacing w:val="-5"/>
                <w:sz w:val="22"/>
              </w:rPr>
              <w:t>33</w:t>
            </w:r>
          </w:p>
        </w:tc>
        <w:tc>
          <w:tcPr>
            <w:tcW w:w="1841" w:type="dxa"/>
          </w:tcPr>
          <w:p>
            <w:pPr>
              <w:pStyle w:val="TableParagraph"/>
              <w:spacing w:before="137"/>
              <w:ind w:left="476"/>
              <w:rPr>
                <w:b/>
                <w:sz w:val="20"/>
              </w:rPr>
            </w:pPr>
            <w:r>
              <w:rPr>
                <w:b/>
                <w:sz w:val="20"/>
              </w:rPr>
              <w:t>694</w:t>
            </w:r>
            <w:r>
              <w:rPr>
                <w:b/>
                <w:spacing w:val="-3"/>
                <w:sz w:val="20"/>
              </w:rPr>
              <w:t> </w:t>
            </w:r>
            <w:r>
              <w:rPr>
                <w:b/>
                <w:spacing w:val="-2"/>
                <w:sz w:val="20"/>
              </w:rPr>
              <w:t>421,82</w:t>
            </w:r>
          </w:p>
        </w:tc>
        <w:tc>
          <w:tcPr>
            <w:tcW w:w="1701" w:type="dxa"/>
          </w:tcPr>
          <w:p>
            <w:pPr>
              <w:pStyle w:val="TableParagraph"/>
              <w:spacing w:before="137"/>
              <w:ind w:left="407"/>
              <w:rPr>
                <w:b/>
                <w:sz w:val="20"/>
              </w:rPr>
            </w:pPr>
            <w:r>
              <w:rPr>
                <w:b/>
                <w:sz w:val="20"/>
              </w:rPr>
              <w:t>672</w:t>
            </w:r>
            <w:r>
              <w:rPr>
                <w:b/>
                <w:spacing w:val="-3"/>
                <w:sz w:val="20"/>
              </w:rPr>
              <w:t> </w:t>
            </w:r>
            <w:r>
              <w:rPr>
                <w:b/>
                <w:spacing w:val="-2"/>
                <w:sz w:val="20"/>
              </w:rPr>
              <w:t>302,18</w:t>
            </w:r>
          </w:p>
        </w:tc>
        <w:tc>
          <w:tcPr>
            <w:tcW w:w="1053" w:type="dxa"/>
          </w:tcPr>
          <w:p>
            <w:pPr>
              <w:pStyle w:val="TableParagraph"/>
              <w:spacing w:before="137"/>
              <w:ind w:left="26"/>
              <w:jc w:val="center"/>
              <w:rPr>
                <w:b/>
                <w:sz w:val="20"/>
              </w:rPr>
            </w:pPr>
            <w:r>
              <w:rPr>
                <w:b/>
                <w:spacing w:val="-2"/>
                <w:sz w:val="20"/>
              </w:rPr>
              <w:t>3,29%</w:t>
            </w:r>
          </w:p>
        </w:tc>
      </w:tr>
    </w:tbl>
    <w:p>
      <w:pPr>
        <w:spacing w:before="240"/>
        <w:ind w:left="622" w:right="0" w:firstLine="0"/>
        <w:jc w:val="left"/>
        <w:rPr>
          <w:sz w:val="22"/>
        </w:rPr>
      </w:pPr>
      <w:r>
        <w:rPr>
          <w:b/>
          <w:spacing w:val="-2"/>
          <w:sz w:val="22"/>
        </w:rPr>
        <w:t>Revelación</w:t>
      </w:r>
      <w:r>
        <w:rPr>
          <w:spacing w:val="-2"/>
          <w:sz w:val="22"/>
        </w:rPr>
        <w:t>:</w:t>
      </w:r>
    </w:p>
    <w:p>
      <w:pPr>
        <w:pStyle w:val="BodyText"/>
        <w:spacing w:before="179"/>
        <w:ind w:left="622" w:right="976"/>
        <w:jc w:val="both"/>
      </w:pPr>
      <w:r>
        <w:rPr/>
        <w:t>La cuenta Impuestos sobre bienes y servicios, representa el 0,48% del total del Ingresos, que comparado al periodo anterior genera una variación absoluta de ¢22.119,64 que corresponde a un Aumento del 3,29% de recursos disponibles.</w:t>
      </w:r>
    </w:p>
    <w:p>
      <w:pPr>
        <w:pStyle w:val="BodyText"/>
        <w:spacing w:before="180"/>
        <w:rPr>
          <w:sz w:val="20"/>
        </w:rPr>
      </w:pPr>
      <w:r>
        <w:rPr>
          <w:sz w:val="20"/>
        </w:rPr>
        <mc:AlternateContent>
          <mc:Choice Requires="wps">
            <w:drawing>
              <wp:anchor distT="0" distB="0" distL="0" distR="0" allowOverlap="1" layoutInCell="1" locked="0" behindDoc="1" simplePos="0" relativeHeight="487668224">
                <wp:simplePos x="0" y="0"/>
                <wp:positionH relativeFrom="page">
                  <wp:posOffset>1080820</wp:posOffset>
                </wp:positionH>
                <wp:positionV relativeFrom="paragraph">
                  <wp:posOffset>277574</wp:posOffset>
                </wp:positionV>
                <wp:extent cx="5715000" cy="599440"/>
                <wp:effectExtent l="0" t="0" r="0" b="0"/>
                <wp:wrapTopAndBottom/>
                <wp:docPr id="463" name="Textbox 463"/>
                <wp:cNvGraphicFramePr>
                  <a:graphicFrameLocks/>
                </wp:cNvGraphicFramePr>
                <a:graphic>
                  <a:graphicData uri="http://schemas.microsoft.com/office/word/2010/wordprocessingShape">
                    <wps:wsp>
                      <wps:cNvPr id="463" name="Textbox 463"/>
                      <wps:cNvSpPr txBox="1"/>
                      <wps:spPr>
                        <a:xfrm>
                          <a:off x="0" y="0"/>
                          <a:ext cx="5715000" cy="59944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La cuenta ingresos por concepto de Impuestos sobre bienes y servicios para los periodos terminados Al</w:t>
                            </w:r>
                            <w:r>
                              <w:rPr>
                                <w:spacing w:val="4"/>
                              </w:rPr>
                              <w:t> </w:t>
                            </w:r>
                            <w:r>
                              <w:rPr/>
                              <w:t>31</w:t>
                            </w:r>
                            <w:r>
                              <w:rPr>
                                <w:spacing w:val="7"/>
                              </w:rPr>
                              <w:t> </w:t>
                            </w:r>
                            <w:r>
                              <w:rPr/>
                              <w:t>de</w:t>
                            </w:r>
                            <w:r>
                              <w:rPr>
                                <w:spacing w:val="4"/>
                              </w:rPr>
                              <w:t> </w:t>
                            </w:r>
                            <w:r>
                              <w:rPr/>
                              <w:t>julio</w:t>
                            </w:r>
                            <w:r>
                              <w:rPr>
                                <w:spacing w:val="7"/>
                              </w:rPr>
                              <w:t> </w:t>
                            </w:r>
                            <w:r>
                              <w:rPr/>
                              <w:t>2026</w:t>
                            </w:r>
                            <w:r>
                              <w:rPr>
                                <w:spacing w:val="7"/>
                              </w:rPr>
                              <w:t> </w:t>
                            </w:r>
                            <w:r>
                              <w:rPr/>
                              <w:t>y</w:t>
                            </w:r>
                            <w:r>
                              <w:rPr>
                                <w:spacing w:val="5"/>
                              </w:rPr>
                              <w:t> </w:t>
                            </w:r>
                            <w:r>
                              <w:rPr/>
                              <w:t>comparados</w:t>
                            </w:r>
                            <w:r>
                              <w:rPr>
                                <w:spacing w:val="8"/>
                              </w:rPr>
                              <w:t> </w:t>
                            </w:r>
                            <w:r>
                              <w:rPr/>
                              <w:t>con</w:t>
                            </w:r>
                            <w:r>
                              <w:rPr>
                                <w:spacing w:val="6"/>
                              </w:rPr>
                              <w:t> </w:t>
                            </w:r>
                            <w:r>
                              <w:rPr/>
                              <w:t>el</w:t>
                            </w:r>
                            <w:r>
                              <w:rPr>
                                <w:spacing w:val="7"/>
                              </w:rPr>
                              <w:t> </w:t>
                            </w:r>
                            <w:r>
                              <w:rPr/>
                              <w:t>2025,</w:t>
                            </w:r>
                            <w:r>
                              <w:rPr>
                                <w:spacing w:val="7"/>
                              </w:rPr>
                              <w:t> </w:t>
                            </w:r>
                            <w:r>
                              <w:rPr/>
                              <w:t>el</w:t>
                            </w:r>
                            <w:r>
                              <w:rPr>
                                <w:spacing w:val="6"/>
                              </w:rPr>
                              <w:t> </w:t>
                            </w:r>
                            <w:r>
                              <w:rPr/>
                              <w:t>monto</w:t>
                            </w:r>
                            <w:r>
                              <w:rPr>
                                <w:spacing w:val="8"/>
                              </w:rPr>
                              <w:t> </w:t>
                            </w:r>
                            <w:r>
                              <w:rPr/>
                              <w:t>asciende</w:t>
                            </w:r>
                            <w:r>
                              <w:rPr>
                                <w:spacing w:val="5"/>
                              </w:rPr>
                              <w:t> </w:t>
                            </w:r>
                            <w:r>
                              <w:rPr/>
                              <w:t>a</w:t>
                            </w:r>
                            <w:r>
                              <w:rPr>
                                <w:spacing w:val="6"/>
                              </w:rPr>
                              <w:t> </w:t>
                            </w:r>
                            <w:r>
                              <w:rPr/>
                              <w:t>¢</w:t>
                            </w:r>
                            <w:r>
                              <w:rPr>
                                <w:spacing w:val="10"/>
                              </w:rPr>
                              <w:t> </w:t>
                            </w:r>
                            <w:r>
                              <w:rPr/>
                              <w:t>694.421,82</w:t>
                            </w:r>
                            <w:r>
                              <w:rPr>
                                <w:spacing w:val="7"/>
                              </w:rPr>
                              <w:t> </w:t>
                            </w:r>
                            <w:r>
                              <w:rPr/>
                              <w:t>y</w:t>
                            </w:r>
                            <w:r>
                              <w:rPr>
                                <w:spacing w:val="6"/>
                              </w:rPr>
                              <w:t> </w:t>
                            </w:r>
                            <w:r>
                              <w:rPr/>
                              <w:t>para</w:t>
                            </w:r>
                            <w:r>
                              <w:rPr>
                                <w:spacing w:val="5"/>
                              </w:rPr>
                              <w:t> </w:t>
                            </w:r>
                            <w:r>
                              <w:rPr/>
                              <w:t>el</w:t>
                            </w:r>
                            <w:r>
                              <w:rPr>
                                <w:spacing w:val="7"/>
                              </w:rPr>
                              <w:t> </w:t>
                            </w:r>
                            <w:r>
                              <w:rPr/>
                              <w:t>2025</w:t>
                            </w:r>
                            <w:r>
                              <w:rPr>
                                <w:spacing w:val="6"/>
                              </w:rPr>
                              <w:t> </w:t>
                            </w:r>
                            <w:r>
                              <w:rPr>
                                <w:spacing w:val="-5"/>
                              </w:rPr>
                              <w:t>un</w:t>
                            </w:r>
                          </w:p>
                        </w:txbxContent>
                      </wps:txbx>
                      <wps:bodyPr wrap="square" lIns="0" tIns="0" rIns="0" bIns="0" rtlCol="0">
                        <a:noAutofit/>
                      </wps:bodyPr>
                    </wps:wsp>
                  </a:graphicData>
                </a:graphic>
              </wp:anchor>
            </w:drawing>
          </mc:Choice>
          <mc:Fallback>
            <w:pict>
              <v:shape style="position:absolute;margin-left:85.103996pt;margin-top:21.856251pt;width:450pt;height:47.2pt;mso-position-horizontal-relative:page;mso-position-vertical-relative:paragraph;z-index:-15648256;mso-wrap-distance-left:0;mso-wrap-distance-right:0" type="#_x0000_t202" id="docshape44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La cuenta ingresos por concepto de Impuestos sobre bienes y servicios para los periodos terminados Al</w:t>
                      </w:r>
                      <w:r>
                        <w:rPr>
                          <w:spacing w:val="4"/>
                        </w:rPr>
                        <w:t> </w:t>
                      </w:r>
                      <w:r>
                        <w:rPr/>
                        <w:t>31</w:t>
                      </w:r>
                      <w:r>
                        <w:rPr>
                          <w:spacing w:val="7"/>
                        </w:rPr>
                        <w:t> </w:t>
                      </w:r>
                      <w:r>
                        <w:rPr/>
                        <w:t>de</w:t>
                      </w:r>
                      <w:r>
                        <w:rPr>
                          <w:spacing w:val="4"/>
                        </w:rPr>
                        <w:t> </w:t>
                      </w:r>
                      <w:r>
                        <w:rPr/>
                        <w:t>julio</w:t>
                      </w:r>
                      <w:r>
                        <w:rPr>
                          <w:spacing w:val="7"/>
                        </w:rPr>
                        <w:t> </w:t>
                      </w:r>
                      <w:r>
                        <w:rPr/>
                        <w:t>2026</w:t>
                      </w:r>
                      <w:r>
                        <w:rPr>
                          <w:spacing w:val="7"/>
                        </w:rPr>
                        <w:t> </w:t>
                      </w:r>
                      <w:r>
                        <w:rPr/>
                        <w:t>y</w:t>
                      </w:r>
                      <w:r>
                        <w:rPr>
                          <w:spacing w:val="5"/>
                        </w:rPr>
                        <w:t> </w:t>
                      </w:r>
                      <w:r>
                        <w:rPr/>
                        <w:t>comparados</w:t>
                      </w:r>
                      <w:r>
                        <w:rPr>
                          <w:spacing w:val="8"/>
                        </w:rPr>
                        <w:t> </w:t>
                      </w:r>
                      <w:r>
                        <w:rPr/>
                        <w:t>con</w:t>
                      </w:r>
                      <w:r>
                        <w:rPr>
                          <w:spacing w:val="6"/>
                        </w:rPr>
                        <w:t> </w:t>
                      </w:r>
                      <w:r>
                        <w:rPr/>
                        <w:t>el</w:t>
                      </w:r>
                      <w:r>
                        <w:rPr>
                          <w:spacing w:val="7"/>
                        </w:rPr>
                        <w:t> </w:t>
                      </w:r>
                      <w:r>
                        <w:rPr/>
                        <w:t>2025,</w:t>
                      </w:r>
                      <w:r>
                        <w:rPr>
                          <w:spacing w:val="7"/>
                        </w:rPr>
                        <w:t> </w:t>
                      </w:r>
                      <w:r>
                        <w:rPr/>
                        <w:t>el</w:t>
                      </w:r>
                      <w:r>
                        <w:rPr>
                          <w:spacing w:val="6"/>
                        </w:rPr>
                        <w:t> </w:t>
                      </w:r>
                      <w:r>
                        <w:rPr/>
                        <w:t>monto</w:t>
                      </w:r>
                      <w:r>
                        <w:rPr>
                          <w:spacing w:val="8"/>
                        </w:rPr>
                        <w:t> </w:t>
                      </w:r>
                      <w:r>
                        <w:rPr/>
                        <w:t>asciende</w:t>
                      </w:r>
                      <w:r>
                        <w:rPr>
                          <w:spacing w:val="5"/>
                        </w:rPr>
                        <w:t> </w:t>
                      </w:r>
                      <w:r>
                        <w:rPr/>
                        <w:t>a</w:t>
                      </w:r>
                      <w:r>
                        <w:rPr>
                          <w:spacing w:val="6"/>
                        </w:rPr>
                        <w:t> </w:t>
                      </w:r>
                      <w:r>
                        <w:rPr/>
                        <w:t>¢</w:t>
                      </w:r>
                      <w:r>
                        <w:rPr>
                          <w:spacing w:val="10"/>
                        </w:rPr>
                        <w:t> </w:t>
                      </w:r>
                      <w:r>
                        <w:rPr/>
                        <w:t>694.421,82</w:t>
                      </w:r>
                      <w:r>
                        <w:rPr>
                          <w:spacing w:val="7"/>
                        </w:rPr>
                        <w:t> </w:t>
                      </w:r>
                      <w:r>
                        <w:rPr/>
                        <w:t>y</w:t>
                      </w:r>
                      <w:r>
                        <w:rPr>
                          <w:spacing w:val="6"/>
                        </w:rPr>
                        <w:t> </w:t>
                      </w:r>
                      <w:r>
                        <w:rPr/>
                        <w:t>para</w:t>
                      </w:r>
                      <w:r>
                        <w:rPr>
                          <w:spacing w:val="5"/>
                        </w:rPr>
                        <w:t> </w:t>
                      </w:r>
                      <w:r>
                        <w:rPr/>
                        <w:t>el</w:t>
                      </w:r>
                      <w:r>
                        <w:rPr>
                          <w:spacing w:val="7"/>
                        </w:rPr>
                        <w:t> </w:t>
                      </w:r>
                      <w:r>
                        <w:rPr/>
                        <w:t>2025</w:t>
                      </w:r>
                      <w:r>
                        <w:rPr>
                          <w:spacing w:val="6"/>
                        </w:rPr>
                        <w:t> </w:t>
                      </w:r>
                      <w:r>
                        <w:rPr>
                          <w:spacing w:val="-5"/>
                        </w:rPr>
                        <w:t>un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7168">
                <wp:simplePos x="0" y="0"/>
                <wp:positionH relativeFrom="page">
                  <wp:posOffset>9525</wp:posOffset>
                </wp:positionH>
                <wp:positionV relativeFrom="page">
                  <wp:posOffset>297208</wp:posOffset>
                </wp:positionV>
                <wp:extent cx="7762875" cy="9748520"/>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7762875" cy="9748520"/>
                          <a:chExt cx="7762875" cy="9748520"/>
                        </a:xfrm>
                      </wpg:grpSpPr>
                      <pic:pic>
                        <pic:nvPicPr>
                          <pic:cNvPr id="465" name="Image 465"/>
                          <pic:cNvPicPr/>
                        </pic:nvPicPr>
                        <pic:blipFill>
                          <a:blip r:embed="rId5" cstate="print"/>
                          <a:stretch>
                            <a:fillRect/>
                          </a:stretch>
                        </pic:blipFill>
                        <pic:spPr>
                          <a:xfrm>
                            <a:off x="0" y="0"/>
                            <a:ext cx="7762874" cy="9748489"/>
                          </a:xfrm>
                          <a:prstGeom prst="rect">
                            <a:avLst/>
                          </a:prstGeom>
                        </pic:spPr>
                      </pic:pic>
                      <wps:wsp>
                        <wps:cNvPr id="466" name="Graphic 46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467" name="Image 467"/>
                          <pic:cNvPicPr/>
                        </pic:nvPicPr>
                        <pic:blipFill>
                          <a:blip r:embed="rId53" cstate="print"/>
                          <a:stretch>
                            <a:fillRect/>
                          </a:stretch>
                        </pic:blipFill>
                        <pic:spPr>
                          <a:xfrm>
                            <a:off x="1885060" y="4984721"/>
                            <a:ext cx="4084954" cy="170688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09312" id="docshapegroup442" coordorigin="15,468" coordsize="12225,15352">
                <v:shape style="position:absolute;left:15;top:468;width:12225;height:15352" type="#_x0000_t75" id="docshape443" stroked="false">
                  <v:imagedata r:id="rId5" o:title=""/>
                </v:shape>
                <v:rect style="position:absolute;left:1673;top:2028;width:8897;height:15" id="docshape444" filled="true" fillcolor="#000000" stroked="false">
                  <v:fill type="solid"/>
                </v:rect>
                <v:shape style="position:absolute;left:2983;top:8318;width:6433;height:2688" type="#_x0000_t75" id="docshape445" stroked="false">
                  <v:imagedata r:id="rId53" o:title=""/>
                </v:shape>
                <w10:wrap type="none"/>
              </v:group>
            </w:pict>
          </mc:Fallback>
        </mc:AlternateContent>
      </w:r>
      <w:r>
        <w:rPr>
          <w:color w:val="172951"/>
          <w:sz w:val="20"/>
        </w:rPr>
        <w:t>Pág.</w:t>
      </w:r>
      <w:r>
        <w:rPr>
          <w:color w:val="172951"/>
          <w:spacing w:val="-7"/>
          <w:sz w:val="20"/>
        </w:rPr>
        <w:t> </w:t>
      </w:r>
      <w:r>
        <w:rPr>
          <w:color w:val="172951"/>
          <w:spacing w:val="-5"/>
          <w:sz w:val="20"/>
        </w:rPr>
        <w:t>97</w:t>
      </w:r>
    </w:p>
    <w:p>
      <w:pPr>
        <w:pStyle w:val="BodyText"/>
        <w:spacing w:before="10"/>
        <w:rPr>
          <w:sz w:val="16"/>
        </w:rPr>
      </w:pPr>
      <w:r>
        <w:rPr>
          <w:sz w:val="16"/>
        </w:rPr>
        <mc:AlternateContent>
          <mc:Choice Requires="wps">
            <w:drawing>
              <wp:anchor distT="0" distB="0" distL="0" distR="0" allowOverlap="1" layoutInCell="1" locked="0" behindDoc="1" simplePos="0" relativeHeight="487669248">
                <wp:simplePos x="0" y="0"/>
                <wp:positionH relativeFrom="page">
                  <wp:posOffset>1080820</wp:posOffset>
                </wp:positionH>
                <wp:positionV relativeFrom="paragraph">
                  <wp:posOffset>141144</wp:posOffset>
                </wp:positionV>
                <wp:extent cx="5715000" cy="2079625"/>
                <wp:effectExtent l="0" t="0" r="0" b="0"/>
                <wp:wrapTopAndBottom/>
                <wp:docPr id="468" name="Textbox 468"/>
                <wp:cNvGraphicFramePr>
                  <a:graphicFrameLocks/>
                </wp:cNvGraphicFramePr>
                <a:graphic>
                  <a:graphicData uri="http://schemas.microsoft.com/office/word/2010/wordprocessingShape">
                    <wps:wsp>
                      <wps:cNvPr id="468" name="Textbox 468"/>
                      <wps:cNvSpPr txBox="1"/>
                      <wps:spPr>
                        <a:xfrm>
                          <a:off x="0" y="0"/>
                          <a:ext cx="5715000" cy="2079625"/>
                        </a:xfrm>
                        <a:prstGeom prst="rect">
                          <a:avLst/>
                        </a:prstGeom>
                        <a:ln w="6095">
                          <a:solidFill>
                            <a:srgbClr val="000000"/>
                          </a:solidFill>
                          <a:prstDash val="solid"/>
                        </a:ln>
                      </wps:spPr>
                      <wps:txbx>
                        <w:txbxContent>
                          <w:p>
                            <w:pPr>
                              <w:pStyle w:val="BodyText"/>
                              <w:ind w:left="103" w:right="105"/>
                              <w:jc w:val="both"/>
                            </w:pPr>
                            <w:r>
                              <w:rPr/>
                              <w:t>monto de ¢ 672.302,18, los cuales corresponden al ingreso originado por la Ley No. 9326 ¨Ley de Impuesto a Moteles y Lugares Afines¨.</w:t>
                            </w:r>
                          </w:p>
                          <w:p>
                            <w:pPr>
                              <w:pStyle w:val="BodyText"/>
                              <w:spacing w:before="1"/>
                            </w:pPr>
                          </w:p>
                          <w:p>
                            <w:pPr>
                              <w:pStyle w:val="BodyText"/>
                              <w:ind w:left="103" w:right="99"/>
                              <w:jc w:val="both"/>
                            </w:pPr>
                            <w:r>
                              <w:rPr/>
                              <w:t>Corresponde a los ingresos percibidos por el impuesto a favor del Instituto Mixto de Ayuda Social (IMAS),</w:t>
                            </w:r>
                            <w:r>
                              <w:rPr>
                                <w:spacing w:val="-5"/>
                              </w:rPr>
                              <w:t> </w:t>
                            </w:r>
                            <w:r>
                              <w:rPr/>
                              <w:t>Ley</w:t>
                            </w:r>
                            <w:r>
                              <w:rPr>
                                <w:spacing w:val="-6"/>
                              </w:rPr>
                              <w:t> </w:t>
                            </w:r>
                            <w:r>
                              <w:rPr/>
                              <w:t>9326</w:t>
                            </w:r>
                            <w:r>
                              <w:rPr>
                                <w:spacing w:val="-7"/>
                              </w:rPr>
                              <w:t> </w:t>
                            </w:r>
                            <w:r>
                              <w:rPr/>
                              <w:t>pagado</w:t>
                            </w:r>
                            <w:r>
                              <w:rPr>
                                <w:spacing w:val="-5"/>
                              </w:rPr>
                              <w:t> </w:t>
                            </w:r>
                            <w:r>
                              <w:rPr/>
                              <w:t>por</w:t>
                            </w:r>
                            <w:r>
                              <w:rPr>
                                <w:spacing w:val="-6"/>
                              </w:rPr>
                              <w:t> </w:t>
                            </w:r>
                            <w:r>
                              <w:rPr/>
                              <w:t>los</w:t>
                            </w:r>
                            <w:r>
                              <w:rPr>
                                <w:spacing w:val="-6"/>
                              </w:rPr>
                              <w:t> </w:t>
                            </w:r>
                            <w:r>
                              <w:rPr/>
                              <w:t>negocios</w:t>
                            </w:r>
                            <w:r>
                              <w:rPr>
                                <w:spacing w:val="-7"/>
                              </w:rPr>
                              <w:t> </w:t>
                            </w:r>
                            <w:r>
                              <w:rPr/>
                              <w:t>calificados</w:t>
                            </w:r>
                            <w:r>
                              <w:rPr>
                                <w:spacing w:val="-5"/>
                              </w:rPr>
                              <w:t> </w:t>
                            </w:r>
                            <w:r>
                              <w:rPr/>
                              <w:t>y</w:t>
                            </w:r>
                            <w:r>
                              <w:rPr>
                                <w:spacing w:val="-8"/>
                              </w:rPr>
                              <w:t> </w:t>
                            </w:r>
                            <w:r>
                              <w:rPr/>
                              <w:t>autorizados</w:t>
                            </w:r>
                            <w:r>
                              <w:rPr>
                                <w:spacing w:val="-5"/>
                              </w:rPr>
                              <w:t> </w:t>
                            </w:r>
                            <w:r>
                              <w:rPr/>
                              <w:t>por</w:t>
                            </w:r>
                            <w:r>
                              <w:rPr>
                                <w:spacing w:val="-6"/>
                              </w:rPr>
                              <w:t> </w:t>
                            </w:r>
                            <w:r>
                              <w:rPr/>
                              <w:t>dicho</w:t>
                            </w:r>
                            <w:r>
                              <w:rPr>
                                <w:spacing w:val="-5"/>
                              </w:rPr>
                              <w:t> </w:t>
                            </w:r>
                            <w:r>
                              <w:rPr/>
                              <w:t>Instituto,</w:t>
                            </w:r>
                            <w:r>
                              <w:rPr>
                                <w:spacing w:val="-7"/>
                              </w:rPr>
                              <w:t> </w:t>
                            </w:r>
                            <w:r>
                              <w:rPr/>
                              <w:t>que</w:t>
                            </w:r>
                            <w:r>
                              <w:rPr>
                                <w:spacing w:val="-8"/>
                              </w:rPr>
                              <w:t> </w:t>
                            </w:r>
                            <w:r>
                              <w:rPr/>
                              <w:t>tengan</w:t>
                            </w:r>
                            <w:r>
                              <w:rPr>
                                <w:spacing w:val="-6"/>
                              </w:rPr>
                              <w:t> </w:t>
                            </w:r>
                            <w:r>
                              <w:rPr/>
                              <w:t>la propiedad</w:t>
                            </w:r>
                            <w:r>
                              <w:rPr>
                                <w:spacing w:val="-9"/>
                              </w:rPr>
                              <w:t> </w:t>
                            </w:r>
                            <w:r>
                              <w:rPr/>
                              <w:t>o</w:t>
                            </w:r>
                            <w:r>
                              <w:rPr>
                                <w:spacing w:val="-7"/>
                              </w:rPr>
                              <w:t> </w:t>
                            </w:r>
                            <w:r>
                              <w:rPr/>
                              <w:t>ejerzan</w:t>
                            </w:r>
                            <w:r>
                              <w:rPr>
                                <w:spacing w:val="-8"/>
                              </w:rPr>
                              <w:t> </w:t>
                            </w:r>
                            <w:r>
                              <w:rPr/>
                              <w:t>el</w:t>
                            </w:r>
                            <w:r>
                              <w:rPr>
                                <w:spacing w:val="-9"/>
                              </w:rPr>
                              <w:t> </w:t>
                            </w:r>
                            <w:r>
                              <w:rPr/>
                              <w:t>derecho</w:t>
                            </w:r>
                            <w:r>
                              <w:rPr>
                                <w:spacing w:val="-7"/>
                              </w:rPr>
                              <w:t> </w:t>
                            </w:r>
                            <w:r>
                              <w:rPr/>
                              <w:t>de</w:t>
                            </w:r>
                            <w:r>
                              <w:rPr>
                                <w:spacing w:val="-10"/>
                              </w:rPr>
                              <w:t> </w:t>
                            </w:r>
                            <w:r>
                              <w:rPr/>
                              <w:t>explotación</w:t>
                            </w:r>
                            <w:r>
                              <w:rPr>
                                <w:spacing w:val="-8"/>
                              </w:rPr>
                              <w:t> </w:t>
                            </w:r>
                            <w:r>
                              <w:rPr/>
                              <w:t>comercial,</w:t>
                            </w:r>
                            <w:r>
                              <w:rPr>
                                <w:spacing w:val="-7"/>
                              </w:rPr>
                              <w:t> </w:t>
                            </w:r>
                            <w:r>
                              <w:rPr/>
                              <w:t>uso</w:t>
                            </w:r>
                            <w:r>
                              <w:rPr>
                                <w:spacing w:val="-10"/>
                              </w:rPr>
                              <w:t> </w:t>
                            </w:r>
                            <w:r>
                              <w:rPr/>
                              <w:t>o</w:t>
                            </w:r>
                            <w:r>
                              <w:rPr>
                                <w:spacing w:val="-7"/>
                              </w:rPr>
                              <w:t> </w:t>
                            </w:r>
                            <w:r>
                              <w:rPr/>
                              <w:t>disfrute</w:t>
                            </w:r>
                            <w:r>
                              <w:rPr>
                                <w:spacing w:val="-9"/>
                              </w:rPr>
                              <w:t> </w:t>
                            </w:r>
                            <w:r>
                              <w:rPr/>
                              <w:t>de</w:t>
                            </w:r>
                            <w:r>
                              <w:rPr>
                                <w:spacing w:val="-11"/>
                              </w:rPr>
                              <w:t> </w:t>
                            </w:r>
                            <w:r>
                              <w:rPr/>
                              <w:t>un</w:t>
                            </w:r>
                            <w:r>
                              <w:rPr>
                                <w:spacing w:val="-8"/>
                              </w:rPr>
                              <w:t> </w:t>
                            </w:r>
                            <w:r>
                              <w:rPr/>
                              <w:t>bien</w:t>
                            </w:r>
                            <w:r>
                              <w:rPr>
                                <w:spacing w:val="-12"/>
                              </w:rPr>
                              <w:t> </w:t>
                            </w:r>
                            <w:r>
                              <w:rPr/>
                              <w:t>o</w:t>
                            </w:r>
                            <w:r>
                              <w:rPr>
                                <w:spacing w:val="-7"/>
                              </w:rPr>
                              <w:t> </w:t>
                            </w:r>
                            <w:r>
                              <w:rPr/>
                              <w:t>bienes</w:t>
                            </w:r>
                            <w:r>
                              <w:rPr>
                                <w:spacing w:val="-9"/>
                              </w:rPr>
                              <w:t> </w:t>
                            </w:r>
                            <w:r>
                              <w:rPr/>
                              <w:t>utilizados como moteles, hoteles sin registro, hoteles de paso, casas de alojamiento ocasional, salas de masaje, “night</w:t>
                            </w:r>
                            <w:r>
                              <w:rPr>
                                <w:spacing w:val="-14"/>
                              </w:rPr>
                              <w:t> </w:t>
                            </w:r>
                            <w:r>
                              <w:rPr/>
                              <w:t>clubs”</w:t>
                            </w:r>
                            <w:r>
                              <w:rPr>
                                <w:spacing w:val="-14"/>
                              </w:rPr>
                              <w:t> </w:t>
                            </w:r>
                            <w:r>
                              <w:rPr/>
                              <w:t>con</w:t>
                            </w:r>
                            <w:r>
                              <w:rPr>
                                <w:spacing w:val="-13"/>
                              </w:rPr>
                              <w:t> </w:t>
                            </w:r>
                            <w:r>
                              <w:rPr/>
                              <w:t>servicio</w:t>
                            </w:r>
                            <w:r>
                              <w:rPr>
                                <w:spacing w:val="-12"/>
                              </w:rPr>
                              <w:t> </w:t>
                            </w:r>
                            <w:r>
                              <w:rPr/>
                              <w:t>de</w:t>
                            </w:r>
                            <w:r>
                              <w:rPr>
                                <w:spacing w:val="-14"/>
                              </w:rPr>
                              <w:t> </w:t>
                            </w:r>
                            <w:r>
                              <w:rPr/>
                              <w:t>habitación</w:t>
                            </w:r>
                            <w:r>
                              <w:rPr>
                                <w:spacing w:val="-13"/>
                              </w:rPr>
                              <w:t> </w:t>
                            </w:r>
                            <w:r>
                              <w:rPr/>
                              <w:t>y</w:t>
                            </w:r>
                            <w:r>
                              <w:rPr>
                                <w:spacing w:val="-14"/>
                              </w:rPr>
                              <w:t> </w:t>
                            </w:r>
                            <w:r>
                              <w:rPr/>
                              <w:t>similares,</w:t>
                            </w:r>
                            <w:r>
                              <w:rPr>
                                <w:spacing w:val="-13"/>
                              </w:rPr>
                              <w:t> </w:t>
                            </w:r>
                            <w:r>
                              <w:rPr/>
                              <w:t>en</w:t>
                            </w:r>
                            <w:r>
                              <w:rPr>
                                <w:spacing w:val="-13"/>
                              </w:rPr>
                              <w:t> </w:t>
                            </w:r>
                            <w:r>
                              <w:rPr/>
                              <w:t>los</w:t>
                            </w:r>
                            <w:r>
                              <w:rPr>
                                <w:spacing w:val="-12"/>
                              </w:rPr>
                              <w:t> </w:t>
                            </w:r>
                            <w:r>
                              <w:rPr/>
                              <w:t>que</w:t>
                            </w:r>
                            <w:r>
                              <w:rPr>
                                <w:spacing w:val="-14"/>
                              </w:rPr>
                              <w:t> </w:t>
                            </w:r>
                            <w:r>
                              <w:rPr/>
                              <w:t>se</w:t>
                            </w:r>
                            <w:r>
                              <w:rPr>
                                <w:spacing w:val="-14"/>
                              </w:rPr>
                              <w:t> </w:t>
                            </w:r>
                            <w:r>
                              <w:rPr/>
                              <w:t>descanse</w:t>
                            </w:r>
                            <w:r>
                              <w:rPr>
                                <w:spacing w:val="-14"/>
                              </w:rPr>
                              <w:t> </w:t>
                            </w:r>
                            <w:r>
                              <w:rPr/>
                              <w:t>y</w:t>
                            </w:r>
                            <w:r>
                              <w:rPr>
                                <w:spacing w:val="-13"/>
                              </w:rPr>
                              <w:t> </w:t>
                            </w:r>
                            <w:r>
                              <w:rPr/>
                              <w:t>se</w:t>
                            </w:r>
                            <w:r>
                              <w:rPr>
                                <w:spacing w:val="-14"/>
                              </w:rPr>
                              <w:t> </w:t>
                            </w:r>
                            <w:r>
                              <w:rPr/>
                              <w:t>realice</w:t>
                            </w:r>
                            <w:r>
                              <w:rPr>
                                <w:spacing w:val="-13"/>
                              </w:rPr>
                              <w:t> </w:t>
                            </w:r>
                            <w:r>
                              <w:rPr/>
                              <w:t>la</w:t>
                            </w:r>
                            <w:r>
                              <w:rPr>
                                <w:spacing w:val="-14"/>
                              </w:rPr>
                              <w:t> </w:t>
                            </w:r>
                            <w:r>
                              <w:rPr/>
                              <w:t>reunión</w:t>
                            </w:r>
                            <w:r>
                              <w:rPr>
                                <w:spacing w:val="-13"/>
                              </w:rPr>
                              <w:t> </w:t>
                            </w:r>
                            <w:r>
                              <w:rPr/>
                              <w:t>íntima por un plazo determinado, mediante el pago de un precio establecido. El IMAS califica los establecimientos en tres categorías, según el número de habitaciones y la calidad de los servicios complementarios que ofrezcan; asimismo, incluye en esas categorías los establecimientos que, aun cuando</w:t>
                            </w:r>
                            <w:r>
                              <w:rPr>
                                <w:spacing w:val="-8"/>
                              </w:rPr>
                              <w:t> </w:t>
                            </w:r>
                            <w:r>
                              <w:rPr/>
                              <w:t>tengan</w:t>
                            </w:r>
                            <w:r>
                              <w:rPr>
                                <w:spacing w:val="-8"/>
                              </w:rPr>
                              <w:t> </w:t>
                            </w:r>
                            <w:r>
                              <w:rPr/>
                              <w:t>registro</w:t>
                            </w:r>
                            <w:r>
                              <w:rPr>
                                <w:spacing w:val="-9"/>
                              </w:rPr>
                              <w:t> </w:t>
                            </w:r>
                            <w:r>
                              <w:rPr/>
                              <w:t>de</w:t>
                            </w:r>
                            <w:r>
                              <w:rPr>
                                <w:spacing w:val="-10"/>
                              </w:rPr>
                              <w:t> </w:t>
                            </w:r>
                            <w:r>
                              <w:rPr/>
                              <w:t>hospedaje,</w:t>
                            </w:r>
                            <w:r>
                              <w:rPr>
                                <w:spacing w:val="-8"/>
                              </w:rPr>
                              <w:t> </w:t>
                            </w:r>
                            <w:r>
                              <w:rPr/>
                              <w:t>lleven</w:t>
                            </w:r>
                            <w:r>
                              <w:rPr>
                                <w:spacing w:val="-8"/>
                              </w:rPr>
                              <w:t> </w:t>
                            </w:r>
                            <w:r>
                              <w:rPr/>
                              <w:t>a</w:t>
                            </w:r>
                            <w:r>
                              <w:rPr>
                                <w:spacing w:val="-9"/>
                              </w:rPr>
                              <w:t> </w:t>
                            </w:r>
                            <w:r>
                              <w:rPr/>
                              <w:t>cabo</w:t>
                            </w:r>
                            <w:r>
                              <w:rPr>
                                <w:spacing w:val="-7"/>
                              </w:rPr>
                              <w:t> </w:t>
                            </w:r>
                            <w:r>
                              <w:rPr/>
                              <w:t>actividades</w:t>
                            </w:r>
                            <w:r>
                              <w:rPr>
                                <w:spacing w:val="-7"/>
                              </w:rPr>
                              <w:t> </w:t>
                            </w:r>
                            <w:r>
                              <w:rPr/>
                              <w:t>que</w:t>
                            </w:r>
                            <w:r>
                              <w:rPr>
                                <w:spacing w:val="-9"/>
                              </w:rPr>
                              <w:t> </w:t>
                            </w:r>
                            <w:r>
                              <w:rPr/>
                              <w:t>a</w:t>
                            </w:r>
                            <w:r>
                              <w:rPr>
                                <w:spacing w:val="-9"/>
                              </w:rPr>
                              <w:t> </w:t>
                            </w:r>
                            <w:r>
                              <w:rPr/>
                              <w:t>juicio</w:t>
                            </w:r>
                            <w:r>
                              <w:rPr>
                                <w:spacing w:val="-7"/>
                              </w:rPr>
                              <w:t> </w:t>
                            </w:r>
                            <w:r>
                              <w:rPr/>
                              <w:t>del</w:t>
                            </w:r>
                            <w:r>
                              <w:rPr>
                                <w:spacing w:val="-9"/>
                              </w:rPr>
                              <w:t> </w:t>
                            </w:r>
                            <w:r>
                              <w:rPr/>
                              <w:t>IMAS</w:t>
                            </w:r>
                            <w:r>
                              <w:rPr>
                                <w:spacing w:val="-7"/>
                              </w:rPr>
                              <w:t> </w:t>
                            </w:r>
                            <w:r>
                              <w:rPr/>
                              <w:t>puedan</w:t>
                            </w:r>
                            <w:r>
                              <w:rPr>
                                <w:spacing w:val="-8"/>
                              </w:rPr>
                              <w:t> </w:t>
                            </w:r>
                            <w:r>
                              <w:rPr/>
                              <w:t>incluirse en la calificación mencionada.</w:t>
                            </w:r>
                          </w:p>
                        </w:txbxContent>
                      </wps:txbx>
                      <wps:bodyPr wrap="square" lIns="0" tIns="0" rIns="0" bIns="0" rtlCol="0">
                        <a:noAutofit/>
                      </wps:bodyPr>
                    </wps:wsp>
                  </a:graphicData>
                </a:graphic>
              </wp:anchor>
            </w:drawing>
          </mc:Choice>
          <mc:Fallback>
            <w:pict>
              <v:shape style="position:absolute;margin-left:85.103996pt;margin-top:11.11375pt;width:450pt;height:163.75pt;mso-position-horizontal-relative:page;mso-position-vertical-relative:paragraph;z-index:-15647232;mso-wrap-distance-left:0;mso-wrap-distance-right:0" type="#_x0000_t202" id="docshape446" filled="false" stroked="true" strokeweight=".47998pt" strokecolor="#000000">
                <v:textbox inset="0,0,0,0">
                  <w:txbxContent>
                    <w:p>
                      <w:pPr>
                        <w:pStyle w:val="BodyText"/>
                        <w:ind w:left="103" w:right="105"/>
                        <w:jc w:val="both"/>
                      </w:pPr>
                      <w:r>
                        <w:rPr/>
                        <w:t>monto de ¢ 672.302,18, los cuales corresponden al ingreso originado por la Ley No. 9326 ¨Ley de Impuesto a Moteles y Lugares Afines¨.</w:t>
                      </w:r>
                    </w:p>
                    <w:p>
                      <w:pPr>
                        <w:pStyle w:val="BodyText"/>
                        <w:spacing w:before="1"/>
                      </w:pPr>
                    </w:p>
                    <w:p>
                      <w:pPr>
                        <w:pStyle w:val="BodyText"/>
                        <w:ind w:left="103" w:right="99"/>
                        <w:jc w:val="both"/>
                      </w:pPr>
                      <w:r>
                        <w:rPr/>
                        <w:t>Corresponde a los ingresos percibidos por el impuesto a favor del Instituto Mixto de Ayuda Social (IMAS),</w:t>
                      </w:r>
                      <w:r>
                        <w:rPr>
                          <w:spacing w:val="-5"/>
                        </w:rPr>
                        <w:t> </w:t>
                      </w:r>
                      <w:r>
                        <w:rPr/>
                        <w:t>Ley</w:t>
                      </w:r>
                      <w:r>
                        <w:rPr>
                          <w:spacing w:val="-6"/>
                        </w:rPr>
                        <w:t> </w:t>
                      </w:r>
                      <w:r>
                        <w:rPr/>
                        <w:t>9326</w:t>
                      </w:r>
                      <w:r>
                        <w:rPr>
                          <w:spacing w:val="-7"/>
                        </w:rPr>
                        <w:t> </w:t>
                      </w:r>
                      <w:r>
                        <w:rPr/>
                        <w:t>pagado</w:t>
                      </w:r>
                      <w:r>
                        <w:rPr>
                          <w:spacing w:val="-5"/>
                        </w:rPr>
                        <w:t> </w:t>
                      </w:r>
                      <w:r>
                        <w:rPr/>
                        <w:t>por</w:t>
                      </w:r>
                      <w:r>
                        <w:rPr>
                          <w:spacing w:val="-6"/>
                        </w:rPr>
                        <w:t> </w:t>
                      </w:r>
                      <w:r>
                        <w:rPr/>
                        <w:t>los</w:t>
                      </w:r>
                      <w:r>
                        <w:rPr>
                          <w:spacing w:val="-6"/>
                        </w:rPr>
                        <w:t> </w:t>
                      </w:r>
                      <w:r>
                        <w:rPr/>
                        <w:t>negocios</w:t>
                      </w:r>
                      <w:r>
                        <w:rPr>
                          <w:spacing w:val="-7"/>
                        </w:rPr>
                        <w:t> </w:t>
                      </w:r>
                      <w:r>
                        <w:rPr/>
                        <w:t>calificados</w:t>
                      </w:r>
                      <w:r>
                        <w:rPr>
                          <w:spacing w:val="-5"/>
                        </w:rPr>
                        <w:t> </w:t>
                      </w:r>
                      <w:r>
                        <w:rPr/>
                        <w:t>y</w:t>
                      </w:r>
                      <w:r>
                        <w:rPr>
                          <w:spacing w:val="-8"/>
                        </w:rPr>
                        <w:t> </w:t>
                      </w:r>
                      <w:r>
                        <w:rPr/>
                        <w:t>autorizados</w:t>
                      </w:r>
                      <w:r>
                        <w:rPr>
                          <w:spacing w:val="-5"/>
                        </w:rPr>
                        <w:t> </w:t>
                      </w:r>
                      <w:r>
                        <w:rPr/>
                        <w:t>por</w:t>
                      </w:r>
                      <w:r>
                        <w:rPr>
                          <w:spacing w:val="-6"/>
                        </w:rPr>
                        <w:t> </w:t>
                      </w:r>
                      <w:r>
                        <w:rPr/>
                        <w:t>dicho</w:t>
                      </w:r>
                      <w:r>
                        <w:rPr>
                          <w:spacing w:val="-5"/>
                        </w:rPr>
                        <w:t> </w:t>
                      </w:r>
                      <w:r>
                        <w:rPr/>
                        <w:t>Instituto,</w:t>
                      </w:r>
                      <w:r>
                        <w:rPr>
                          <w:spacing w:val="-7"/>
                        </w:rPr>
                        <w:t> </w:t>
                      </w:r>
                      <w:r>
                        <w:rPr/>
                        <w:t>que</w:t>
                      </w:r>
                      <w:r>
                        <w:rPr>
                          <w:spacing w:val="-8"/>
                        </w:rPr>
                        <w:t> </w:t>
                      </w:r>
                      <w:r>
                        <w:rPr/>
                        <w:t>tengan</w:t>
                      </w:r>
                      <w:r>
                        <w:rPr>
                          <w:spacing w:val="-6"/>
                        </w:rPr>
                        <w:t> </w:t>
                      </w:r>
                      <w:r>
                        <w:rPr/>
                        <w:t>la propiedad</w:t>
                      </w:r>
                      <w:r>
                        <w:rPr>
                          <w:spacing w:val="-9"/>
                        </w:rPr>
                        <w:t> </w:t>
                      </w:r>
                      <w:r>
                        <w:rPr/>
                        <w:t>o</w:t>
                      </w:r>
                      <w:r>
                        <w:rPr>
                          <w:spacing w:val="-7"/>
                        </w:rPr>
                        <w:t> </w:t>
                      </w:r>
                      <w:r>
                        <w:rPr/>
                        <w:t>ejerzan</w:t>
                      </w:r>
                      <w:r>
                        <w:rPr>
                          <w:spacing w:val="-8"/>
                        </w:rPr>
                        <w:t> </w:t>
                      </w:r>
                      <w:r>
                        <w:rPr/>
                        <w:t>el</w:t>
                      </w:r>
                      <w:r>
                        <w:rPr>
                          <w:spacing w:val="-9"/>
                        </w:rPr>
                        <w:t> </w:t>
                      </w:r>
                      <w:r>
                        <w:rPr/>
                        <w:t>derecho</w:t>
                      </w:r>
                      <w:r>
                        <w:rPr>
                          <w:spacing w:val="-7"/>
                        </w:rPr>
                        <w:t> </w:t>
                      </w:r>
                      <w:r>
                        <w:rPr/>
                        <w:t>de</w:t>
                      </w:r>
                      <w:r>
                        <w:rPr>
                          <w:spacing w:val="-10"/>
                        </w:rPr>
                        <w:t> </w:t>
                      </w:r>
                      <w:r>
                        <w:rPr/>
                        <w:t>explotación</w:t>
                      </w:r>
                      <w:r>
                        <w:rPr>
                          <w:spacing w:val="-8"/>
                        </w:rPr>
                        <w:t> </w:t>
                      </w:r>
                      <w:r>
                        <w:rPr/>
                        <w:t>comercial,</w:t>
                      </w:r>
                      <w:r>
                        <w:rPr>
                          <w:spacing w:val="-7"/>
                        </w:rPr>
                        <w:t> </w:t>
                      </w:r>
                      <w:r>
                        <w:rPr/>
                        <w:t>uso</w:t>
                      </w:r>
                      <w:r>
                        <w:rPr>
                          <w:spacing w:val="-10"/>
                        </w:rPr>
                        <w:t> </w:t>
                      </w:r>
                      <w:r>
                        <w:rPr/>
                        <w:t>o</w:t>
                      </w:r>
                      <w:r>
                        <w:rPr>
                          <w:spacing w:val="-7"/>
                        </w:rPr>
                        <w:t> </w:t>
                      </w:r>
                      <w:r>
                        <w:rPr/>
                        <w:t>disfrute</w:t>
                      </w:r>
                      <w:r>
                        <w:rPr>
                          <w:spacing w:val="-9"/>
                        </w:rPr>
                        <w:t> </w:t>
                      </w:r>
                      <w:r>
                        <w:rPr/>
                        <w:t>de</w:t>
                      </w:r>
                      <w:r>
                        <w:rPr>
                          <w:spacing w:val="-11"/>
                        </w:rPr>
                        <w:t> </w:t>
                      </w:r>
                      <w:r>
                        <w:rPr/>
                        <w:t>un</w:t>
                      </w:r>
                      <w:r>
                        <w:rPr>
                          <w:spacing w:val="-8"/>
                        </w:rPr>
                        <w:t> </w:t>
                      </w:r>
                      <w:r>
                        <w:rPr/>
                        <w:t>bien</w:t>
                      </w:r>
                      <w:r>
                        <w:rPr>
                          <w:spacing w:val="-12"/>
                        </w:rPr>
                        <w:t> </w:t>
                      </w:r>
                      <w:r>
                        <w:rPr/>
                        <w:t>o</w:t>
                      </w:r>
                      <w:r>
                        <w:rPr>
                          <w:spacing w:val="-7"/>
                        </w:rPr>
                        <w:t> </w:t>
                      </w:r>
                      <w:r>
                        <w:rPr/>
                        <w:t>bienes</w:t>
                      </w:r>
                      <w:r>
                        <w:rPr>
                          <w:spacing w:val="-9"/>
                        </w:rPr>
                        <w:t> </w:t>
                      </w:r>
                      <w:r>
                        <w:rPr/>
                        <w:t>utilizados como moteles, hoteles sin registro, hoteles de paso, casas de alojamiento ocasional, salas de masaje, “night</w:t>
                      </w:r>
                      <w:r>
                        <w:rPr>
                          <w:spacing w:val="-14"/>
                        </w:rPr>
                        <w:t> </w:t>
                      </w:r>
                      <w:r>
                        <w:rPr/>
                        <w:t>clubs”</w:t>
                      </w:r>
                      <w:r>
                        <w:rPr>
                          <w:spacing w:val="-14"/>
                        </w:rPr>
                        <w:t> </w:t>
                      </w:r>
                      <w:r>
                        <w:rPr/>
                        <w:t>con</w:t>
                      </w:r>
                      <w:r>
                        <w:rPr>
                          <w:spacing w:val="-13"/>
                        </w:rPr>
                        <w:t> </w:t>
                      </w:r>
                      <w:r>
                        <w:rPr/>
                        <w:t>servicio</w:t>
                      </w:r>
                      <w:r>
                        <w:rPr>
                          <w:spacing w:val="-12"/>
                        </w:rPr>
                        <w:t> </w:t>
                      </w:r>
                      <w:r>
                        <w:rPr/>
                        <w:t>de</w:t>
                      </w:r>
                      <w:r>
                        <w:rPr>
                          <w:spacing w:val="-14"/>
                        </w:rPr>
                        <w:t> </w:t>
                      </w:r>
                      <w:r>
                        <w:rPr/>
                        <w:t>habitación</w:t>
                      </w:r>
                      <w:r>
                        <w:rPr>
                          <w:spacing w:val="-13"/>
                        </w:rPr>
                        <w:t> </w:t>
                      </w:r>
                      <w:r>
                        <w:rPr/>
                        <w:t>y</w:t>
                      </w:r>
                      <w:r>
                        <w:rPr>
                          <w:spacing w:val="-14"/>
                        </w:rPr>
                        <w:t> </w:t>
                      </w:r>
                      <w:r>
                        <w:rPr/>
                        <w:t>similares,</w:t>
                      </w:r>
                      <w:r>
                        <w:rPr>
                          <w:spacing w:val="-13"/>
                        </w:rPr>
                        <w:t> </w:t>
                      </w:r>
                      <w:r>
                        <w:rPr/>
                        <w:t>en</w:t>
                      </w:r>
                      <w:r>
                        <w:rPr>
                          <w:spacing w:val="-13"/>
                        </w:rPr>
                        <w:t> </w:t>
                      </w:r>
                      <w:r>
                        <w:rPr/>
                        <w:t>los</w:t>
                      </w:r>
                      <w:r>
                        <w:rPr>
                          <w:spacing w:val="-12"/>
                        </w:rPr>
                        <w:t> </w:t>
                      </w:r>
                      <w:r>
                        <w:rPr/>
                        <w:t>que</w:t>
                      </w:r>
                      <w:r>
                        <w:rPr>
                          <w:spacing w:val="-14"/>
                        </w:rPr>
                        <w:t> </w:t>
                      </w:r>
                      <w:r>
                        <w:rPr/>
                        <w:t>se</w:t>
                      </w:r>
                      <w:r>
                        <w:rPr>
                          <w:spacing w:val="-14"/>
                        </w:rPr>
                        <w:t> </w:t>
                      </w:r>
                      <w:r>
                        <w:rPr/>
                        <w:t>descanse</w:t>
                      </w:r>
                      <w:r>
                        <w:rPr>
                          <w:spacing w:val="-14"/>
                        </w:rPr>
                        <w:t> </w:t>
                      </w:r>
                      <w:r>
                        <w:rPr/>
                        <w:t>y</w:t>
                      </w:r>
                      <w:r>
                        <w:rPr>
                          <w:spacing w:val="-13"/>
                        </w:rPr>
                        <w:t> </w:t>
                      </w:r>
                      <w:r>
                        <w:rPr/>
                        <w:t>se</w:t>
                      </w:r>
                      <w:r>
                        <w:rPr>
                          <w:spacing w:val="-14"/>
                        </w:rPr>
                        <w:t> </w:t>
                      </w:r>
                      <w:r>
                        <w:rPr/>
                        <w:t>realice</w:t>
                      </w:r>
                      <w:r>
                        <w:rPr>
                          <w:spacing w:val="-13"/>
                        </w:rPr>
                        <w:t> </w:t>
                      </w:r>
                      <w:r>
                        <w:rPr/>
                        <w:t>la</w:t>
                      </w:r>
                      <w:r>
                        <w:rPr>
                          <w:spacing w:val="-14"/>
                        </w:rPr>
                        <w:t> </w:t>
                      </w:r>
                      <w:r>
                        <w:rPr/>
                        <w:t>reunión</w:t>
                      </w:r>
                      <w:r>
                        <w:rPr>
                          <w:spacing w:val="-13"/>
                        </w:rPr>
                        <w:t> </w:t>
                      </w:r>
                      <w:r>
                        <w:rPr/>
                        <w:t>íntima por un plazo determinado, mediante el pago de un precio establecido. El IMAS califica los establecimientos en tres categorías, según el número de habitaciones y la calidad de los servicios complementarios que ofrezcan; asimismo, incluye en esas categorías los establecimientos que, aun cuando</w:t>
                      </w:r>
                      <w:r>
                        <w:rPr>
                          <w:spacing w:val="-8"/>
                        </w:rPr>
                        <w:t> </w:t>
                      </w:r>
                      <w:r>
                        <w:rPr/>
                        <w:t>tengan</w:t>
                      </w:r>
                      <w:r>
                        <w:rPr>
                          <w:spacing w:val="-8"/>
                        </w:rPr>
                        <w:t> </w:t>
                      </w:r>
                      <w:r>
                        <w:rPr/>
                        <w:t>registro</w:t>
                      </w:r>
                      <w:r>
                        <w:rPr>
                          <w:spacing w:val="-9"/>
                        </w:rPr>
                        <w:t> </w:t>
                      </w:r>
                      <w:r>
                        <w:rPr/>
                        <w:t>de</w:t>
                      </w:r>
                      <w:r>
                        <w:rPr>
                          <w:spacing w:val="-10"/>
                        </w:rPr>
                        <w:t> </w:t>
                      </w:r>
                      <w:r>
                        <w:rPr/>
                        <w:t>hospedaje,</w:t>
                      </w:r>
                      <w:r>
                        <w:rPr>
                          <w:spacing w:val="-8"/>
                        </w:rPr>
                        <w:t> </w:t>
                      </w:r>
                      <w:r>
                        <w:rPr/>
                        <w:t>lleven</w:t>
                      </w:r>
                      <w:r>
                        <w:rPr>
                          <w:spacing w:val="-8"/>
                        </w:rPr>
                        <w:t> </w:t>
                      </w:r>
                      <w:r>
                        <w:rPr/>
                        <w:t>a</w:t>
                      </w:r>
                      <w:r>
                        <w:rPr>
                          <w:spacing w:val="-9"/>
                        </w:rPr>
                        <w:t> </w:t>
                      </w:r>
                      <w:r>
                        <w:rPr/>
                        <w:t>cabo</w:t>
                      </w:r>
                      <w:r>
                        <w:rPr>
                          <w:spacing w:val="-7"/>
                        </w:rPr>
                        <w:t> </w:t>
                      </w:r>
                      <w:r>
                        <w:rPr/>
                        <w:t>actividades</w:t>
                      </w:r>
                      <w:r>
                        <w:rPr>
                          <w:spacing w:val="-7"/>
                        </w:rPr>
                        <w:t> </w:t>
                      </w:r>
                      <w:r>
                        <w:rPr/>
                        <w:t>que</w:t>
                      </w:r>
                      <w:r>
                        <w:rPr>
                          <w:spacing w:val="-9"/>
                        </w:rPr>
                        <w:t> </w:t>
                      </w:r>
                      <w:r>
                        <w:rPr/>
                        <w:t>a</w:t>
                      </w:r>
                      <w:r>
                        <w:rPr>
                          <w:spacing w:val="-9"/>
                        </w:rPr>
                        <w:t> </w:t>
                      </w:r>
                      <w:r>
                        <w:rPr/>
                        <w:t>juicio</w:t>
                      </w:r>
                      <w:r>
                        <w:rPr>
                          <w:spacing w:val="-7"/>
                        </w:rPr>
                        <w:t> </w:t>
                      </w:r>
                      <w:r>
                        <w:rPr/>
                        <w:t>del</w:t>
                      </w:r>
                      <w:r>
                        <w:rPr>
                          <w:spacing w:val="-9"/>
                        </w:rPr>
                        <w:t> </w:t>
                      </w:r>
                      <w:r>
                        <w:rPr/>
                        <w:t>IMAS</w:t>
                      </w:r>
                      <w:r>
                        <w:rPr>
                          <w:spacing w:val="-7"/>
                        </w:rPr>
                        <w:t> </w:t>
                      </w:r>
                      <w:r>
                        <w:rPr/>
                        <w:t>puedan</w:t>
                      </w:r>
                      <w:r>
                        <w:rPr>
                          <w:spacing w:val="-8"/>
                        </w:rPr>
                        <w:t> </w:t>
                      </w:r>
                      <w:r>
                        <w:rPr/>
                        <w:t>incluirse en la calificación mencionada.</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23</w:t>
      </w:r>
      <w:r>
        <w:rPr>
          <w:color w:val="FFFFFF"/>
          <w:spacing w:val="-3"/>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4"/>
          <w:shd w:fill="365F92" w:color="auto" w:val="clear"/>
        </w:rPr>
        <w:t> </w:t>
      </w:r>
      <w:r>
        <w:rPr>
          <w:color w:val="FFFFFF"/>
          <w:shd w:fill="365F92" w:color="auto" w:val="clear"/>
        </w:rPr>
        <w:t>que</w:t>
      </w:r>
      <w:r>
        <w:rPr>
          <w:color w:val="FFFFFF"/>
          <w:spacing w:val="-5"/>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669760">
                <wp:simplePos x="0" y="0"/>
                <wp:positionH relativeFrom="page">
                  <wp:posOffset>1080820</wp:posOffset>
                </wp:positionH>
                <wp:positionV relativeFrom="paragraph">
                  <wp:posOffset>117681</wp:posOffset>
                </wp:positionV>
                <wp:extent cx="5715000" cy="3065145"/>
                <wp:effectExtent l="0" t="0" r="0" b="0"/>
                <wp:wrapTopAndBottom/>
                <wp:docPr id="469" name="Textbox 469"/>
                <wp:cNvGraphicFramePr>
                  <a:graphicFrameLocks/>
                </wp:cNvGraphicFramePr>
                <a:graphic>
                  <a:graphicData uri="http://schemas.microsoft.com/office/word/2010/wordprocessingShape">
                    <wps:wsp>
                      <wps:cNvPr id="469" name="Textbox 469"/>
                      <wps:cNvSpPr txBox="1"/>
                      <wps:spPr>
                        <a:xfrm>
                          <a:off x="0" y="0"/>
                          <a:ext cx="5715000" cy="306514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8"/>
                              <w:jc w:val="both"/>
                            </w:pPr>
                            <w:r>
                              <w:rPr/>
                              <w:t>Los ingresos por impuestos representan 0,48% del total de ingresos, específicamente presentan un incremento</w:t>
                            </w:r>
                            <w:r>
                              <w:rPr>
                                <w:spacing w:val="-7"/>
                              </w:rPr>
                              <w:t> </w:t>
                            </w:r>
                            <w:r>
                              <w:rPr/>
                              <w:t>del</w:t>
                            </w:r>
                            <w:r>
                              <w:rPr>
                                <w:spacing w:val="-9"/>
                              </w:rPr>
                              <w:t> </w:t>
                            </w:r>
                            <w:r>
                              <w:rPr/>
                              <w:t>3,29%</w:t>
                            </w:r>
                            <w:r>
                              <w:rPr>
                                <w:spacing w:val="-9"/>
                              </w:rPr>
                              <w:t> </w:t>
                            </w:r>
                            <w:r>
                              <w:rPr/>
                              <w:t>respecto</w:t>
                            </w:r>
                            <w:r>
                              <w:rPr>
                                <w:spacing w:val="-8"/>
                              </w:rPr>
                              <w:t> </w:t>
                            </w:r>
                            <w:r>
                              <w:rPr/>
                              <w:t>al</w:t>
                            </w:r>
                            <w:r>
                              <w:rPr>
                                <w:spacing w:val="-9"/>
                              </w:rPr>
                              <w:t> </w:t>
                            </w:r>
                            <w:r>
                              <w:rPr/>
                              <w:t>año</w:t>
                            </w:r>
                            <w:r>
                              <w:rPr>
                                <w:spacing w:val="-8"/>
                              </w:rPr>
                              <w:t> </w:t>
                            </w:r>
                            <w:r>
                              <w:rPr/>
                              <w:t>anterior,</w:t>
                            </w:r>
                            <w:r>
                              <w:rPr>
                                <w:spacing w:val="-8"/>
                              </w:rPr>
                              <w:t> </w:t>
                            </w:r>
                            <w:r>
                              <w:rPr/>
                              <w:t>se</w:t>
                            </w:r>
                            <w:r>
                              <w:rPr>
                                <w:spacing w:val="-10"/>
                              </w:rPr>
                              <w:t> </w:t>
                            </w:r>
                            <w:r>
                              <w:rPr/>
                              <w:t>refleja</w:t>
                            </w:r>
                            <w:r>
                              <w:rPr>
                                <w:spacing w:val="-7"/>
                              </w:rPr>
                              <w:t> </w:t>
                            </w:r>
                            <w:r>
                              <w:rPr/>
                              <w:t>en</w:t>
                            </w:r>
                            <w:r>
                              <w:rPr>
                                <w:spacing w:val="-8"/>
                              </w:rPr>
                              <w:t> </w:t>
                            </w:r>
                            <w:r>
                              <w:rPr/>
                              <w:t>los</w:t>
                            </w:r>
                            <w:r>
                              <w:rPr>
                                <w:spacing w:val="-7"/>
                              </w:rPr>
                              <w:t> </w:t>
                            </w:r>
                            <w:r>
                              <w:rPr/>
                              <w:t>registros</w:t>
                            </w:r>
                            <w:r>
                              <w:rPr>
                                <w:spacing w:val="-8"/>
                              </w:rPr>
                              <w:t> </w:t>
                            </w:r>
                            <w:r>
                              <w:rPr/>
                              <w:t>por</w:t>
                            </w:r>
                            <w:r>
                              <w:rPr>
                                <w:spacing w:val="-8"/>
                              </w:rPr>
                              <w:t> </w:t>
                            </w:r>
                            <w:r>
                              <w:rPr/>
                              <w:t>devengo</w:t>
                            </w:r>
                            <w:r>
                              <w:rPr>
                                <w:spacing w:val="-10"/>
                              </w:rPr>
                              <w:t> </w:t>
                            </w:r>
                            <w:r>
                              <w:rPr/>
                              <w:t>de</w:t>
                            </w:r>
                            <w:r>
                              <w:rPr>
                                <w:spacing w:val="-10"/>
                              </w:rPr>
                              <w:t> </w:t>
                            </w:r>
                            <w:r>
                              <w:rPr/>
                              <w:t>los</w:t>
                            </w:r>
                            <w:r>
                              <w:rPr>
                                <w:spacing w:val="-7"/>
                              </w:rPr>
                              <w:t> </w:t>
                            </w:r>
                            <w:r>
                              <w:rPr/>
                              <w:t>impuestos específicos</w:t>
                            </w:r>
                            <w:r>
                              <w:rPr>
                                <w:spacing w:val="-14"/>
                              </w:rPr>
                              <w:t> </w:t>
                            </w:r>
                            <w:r>
                              <w:rPr/>
                              <w:t>devengados</w:t>
                            </w:r>
                            <w:r>
                              <w:rPr>
                                <w:spacing w:val="-14"/>
                              </w:rPr>
                              <w:t> </w:t>
                            </w:r>
                            <w:r>
                              <w:rPr/>
                              <w:t>a</w:t>
                            </w:r>
                            <w:r>
                              <w:rPr>
                                <w:spacing w:val="-14"/>
                              </w:rPr>
                              <w:t> </w:t>
                            </w:r>
                            <w:r>
                              <w:rPr/>
                              <w:t>los</w:t>
                            </w:r>
                            <w:r>
                              <w:rPr>
                                <w:spacing w:val="-13"/>
                              </w:rPr>
                              <w:t> </w:t>
                            </w:r>
                            <w:r>
                              <w:rPr/>
                              <w:t>servicios</w:t>
                            </w:r>
                            <w:r>
                              <w:rPr>
                                <w:spacing w:val="-14"/>
                              </w:rPr>
                              <w:t> </w:t>
                            </w:r>
                            <w:r>
                              <w:rPr/>
                              <w:t>de</w:t>
                            </w:r>
                            <w:r>
                              <w:rPr>
                                <w:spacing w:val="-14"/>
                              </w:rPr>
                              <w:t> </w:t>
                            </w:r>
                            <w:r>
                              <w:rPr/>
                              <w:t>hospedaje</w:t>
                            </w:r>
                            <w:r>
                              <w:rPr>
                                <w:spacing w:val="-14"/>
                              </w:rPr>
                              <w:t> </w:t>
                            </w:r>
                            <w:r>
                              <w:rPr/>
                              <w:t>presentan</w:t>
                            </w:r>
                            <w:r>
                              <w:rPr>
                                <w:spacing w:val="-13"/>
                              </w:rPr>
                              <w:t> </w:t>
                            </w:r>
                            <w:r>
                              <w:rPr/>
                              <w:t>un</w:t>
                            </w:r>
                            <w:r>
                              <w:rPr>
                                <w:spacing w:val="-14"/>
                              </w:rPr>
                              <w:t> </w:t>
                            </w:r>
                            <w:r>
                              <w:rPr/>
                              <w:t>incremento</w:t>
                            </w:r>
                            <w:r>
                              <w:rPr>
                                <w:spacing w:val="-14"/>
                              </w:rPr>
                              <w:t> </w:t>
                            </w:r>
                            <w:r>
                              <w:rPr/>
                              <w:t>del</w:t>
                            </w:r>
                            <w:r>
                              <w:rPr>
                                <w:spacing w:val="-14"/>
                              </w:rPr>
                              <w:t> </w:t>
                            </w:r>
                            <w:r>
                              <w:rPr/>
                              <w:t>6,57%,</w:t>
                            </w:r>
                            <w:r>
                              <w:rPr>
                                <w:spacing w:val="-13"/>
                              </w:rPr>
                              <w:t> </w:t>
                            </w:r>
                            <w:r>
                              <w:rPr/>
                              <w:t>por</w:t>
                            </w:r>
                            <w:r>
                              <w:rPr>
                                <w:spacing w:val="-14"/>
                              </w:rPr>
                              <w:t> </w:t>
                            </w:r>
                            <w:r>
                              <w:rPr/>
                              <w:t>otra</w:t>
                            </w:r>
                            <w:r>
                              <w:rPr>
                                <w:spacing w:val="-14"/>
                              </w:rPr>
                              <w:t> </w:t>
                            </w:r>
                            <w:r>
                              <w:rPr/>
                              <w:t>parte, los</w:t>
                            </w:r>
                            <w:r>
                              <w:rPr>
                                <w:spacing w:val="-4"/>
                              </w:rPr>
                              <w:t> </w:t>
                            </w:r>
                            <w:r>
                              <w:rPr/>
                              <w:t>recargos</w:t>
                            </w:r>
                            <w:r>
                              <w:rPr>
                                <w:spacing w:val="-4"/>
                              </w:rPr>
                              <w:t> </w:t>
                            </w:r>
                            <w:r>
                              <w:rPr/>
                              <w:t>moratorios</w:t>
                            </w:r>
                            <w:r>
                              <w:rPr>
                                <w:spacing w:val="-4"/>
                              </w:rPr>
                              <w:t> </w:t>
                            </w:r>
                            <w:r>
                              <w:rPr/>
                              <w:t>por</w:t>
                            </w:r>
                            <w:r>
                              <w:rPr>
                                <w:spacing w:val="-7"/>
                              </w:rPr>
                              <w:t> </w:t>
                            </w:r>
                            <w:r>
                              <w:rPr/>
                              <w:t>impuestos</w:t>
                            </w:r>
                            <w:r>
                              <w:rPr>
                                <w:spacing w:val="-4"/>
                              </w:rPr>
                              <w:t> </w:t>
                            </w:r>
                            <w:r>
                              <w:rPr/>
                              <w:t>moteles</w:t>
                            </w:r>
                            <w:r>
                              <w:rPr>
                                <w:spacing w:val="-1"/>
                              </w:rPr>
                              <w:t> </w:t>
                            </w:r>
                            <w:r>
                              <w:rPr/>
                              <w:t>devengados</w:t>
                            </w:r>
                            <w:r>
                              <w:rPr>
                                <w:spacing w:val="-3"/>
                              </w:rPr>
                              <w:t> </w:t>
                            </w:r>
                            <w:r>
                              <w:rPr/>
                              <w:t>disminuyo</w:t>
                            </w:r>
                            <w:r>
                              <w:rPr>
                                <w:spacing w:val="-4"/>
                              </w:rPr>
                              <w:t> </w:t>
                            </w:r>
                            <w:r>
                              <w:rPr/>
                              <w:t>de</w:t>
                            </w:r>
                            <w:r>
                              <w:rPr>
                                <w:spacing w:val="-4"/>
                              </w:rPr>
                              <w:t> </w:t>
                            </w:r>
                            <w:r>
                              <w:rPr/>
                              <w:t>un</w:t>
                            </w:r>
                            <w:r>
                              <w:rPr>
                                <w:spacing w:val="-2"/>
                              </w:rPr>
                              <w:t> </w:t>
                            </w:r>
                            <w:r>
                              <w:rPr/>
                              <w:t>-53,89%</w:t>
                            </w:r>
                            <w:r>
                              <w:rPr>
                                <w:spacing w:val="-2"/>
                              </w:rPr>
                              <w:t> </w:t>
                            </w:r>
                            <w:r>
                              <w:rPr/>
                              <w:t>y</w:t>
                            </w:r>
                            <w:r>
                              <w:rPr>
                                <w:spacing w:val="-4"/>
                              </w:rPr>
                              <w:t> </w:t>
                            </w:r>
                            <w:r>
                              <w:rPr/>
                              <w:t>por</w:t>
                            </w:r>
                            <w:r>
                              <w:rPr>
                                <w:spacing w:val="-5"/>
                              </w:rPr>
                              <w:t> </w:t>
                            </w:r>
                            <w:r>
                              <w:rPr/>
                              <w:t>otra</w:t>
                            </w:r>
                            <w:r>
                              <w:rPr>
                                <w:spacing w:val="-2"/>
                              </w:rPr>
                              <w:t> </w:t>
                            </w:r>
                            <w:r>
                              <w:rPr/>
                              <w:t>parte el cobro de multas no ha tenido movimiento para el 2026, según el siguiente detalle:</w:t>
                            </w:r>
                          </w:p>
                        </w:txbxContent>
                      </wps:txbx>
                      <wps:bodyPr wrap="square" lIns="0" tIns="0" rIns="0" bIns="0" rtlCol="0">
                        <a:noAutofit/>
                      </wps:bodyPr>
                    </wps:wsp>
                  </a:graphicData>
                </a:graphic>
              </wp:anchor>
            </w:drawing>
          </mc:Choice>
          <mc:Fallback>
            <w:pict>
              <v:shape style="position:absolute;margin-left:85.103996pt;margin-top:9.26625pt;width:450pt;height:241.35pt;mso-position-horizontal-relative:page;mso-position-vertical-relative:paragraph;z-index:-15646720;mso-wrap-distance-left:0;mso-wrap-distance-right:0" type="#_x0000_t202" id="docshape44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98"/>
                        <w:jc w:val="both"/>
                      </w:pPr>
                      <w:r>
                        <w:rPr/>
                        <w:t>Los ingresos por impuestos representan 0,48% del total de ingresos, específicamente presentan un incremento</w:t>
                      </w:r>
                      <w:r>
                        <w:rPr>
                          <w:spacing w:val="-7"/>
                        </w:rPr>
                        <w:t> </w:t>
                      </w:r>
                      <w:r>
                        <w:rPr/>
                        <w:t>del</w:t>
                      </w:r>
                      <w:r>
                        <w:rPr>
                          <w:spacing w:val="-9"/>
                        </w:rPr>
                        <w:t> </w:t>
                      </w:r>
                      <w:r>
                        <w:rPr/>
                        <w:t>3,29%</w:t>
                      </w:r>
                      <w:r>
                        <w:rPr>
                          <w:spacing w:val="-9"/>
                        </w:rPr>
                        <w:t> </w:t>
                      </w:r>
                      <w:r>
                        <w:rPr/>
                        <w:t>respecto</w:t>
                      </w:r>
                      <w:r>
                        <w:rPr>
                          <w:spacing w:val="-8"/>
                        </w:rPr>
                        <w:t> </w:t>
                      </w:r>
                      <w:r>
                        <w:rPr/>
                        <w:t>al</w:t>
                      </w:r>
                      <w:r>
                        <w:rPr>
                          <w:spacing w:val="-9"/>
                        </w:rPr>
                        <w:t> </w:t>
                      </w:r>
                      <w:r>
                        <w:rPr/>
                        <w:t>año</w:t>
                      </w:r>
                      <w:r>
                        <w:rPr>
                          <w:spacing w:val="-8"/>
                        </w:rPr>
                        <w:t> </w:t>
                      </w:r>
                      <w:r>
                        <w:rPr/>
                        <w:t>anterior,</w:t>
                      </w:r>
                      <w:r>
                        <w:rPr>
                          <w:spacing w:val="-8"/>
                        </w:rPr>
                        <w:t> </w:t>
                      </w:r>
                      <w:r>
                        <w:rPr/>
                        <w:t>se</w:t>
                      </w:r>
                      <w:r>
                        <w:rPr>
                          <w:spacing w:val="-10"/>
                        </w:rPr>
                        <w:t> </w:t>
                      </w:r>
                      <w:r>
                        <w:rPr/>
                        <w:t>refleja</w:t>
                      </w:r>
                      <w:r>
                        <w:rPr>
                          <w:spacing w:val="-7"/>
                        </w:rPr>
                        <w:t> </w:t>
                      </w:r>
                      <w:r>
                        <w:rPr/>
                        <w:t>en</w:t>
                      </w:r>
                      <w:r>
                        <w:rPr>
                          <w:spacing w:val="-8"/>
                        </w:rPr>
                        <w:t> </w:t>
                      </w:r>
                      <w:r>
                        <w:rPr/>
                        <w:t>los</w:t>
                      </w:r>
                      <w:r>
                        <w:rPr>
                          <w:spacing w:val="-7"/>
                        </w:rPr>
                        <w:t> </w:t>
                      </w:r>
                      <w:r>
                        <w:rPr/>
                        <w:t>registros</w:t>
                      </w:r>
                      <w:r>
                        <w:rPr>
                          <w:spacing w:val="-8"/>
                        </w:rPr>
                        <w:t> </w:t>
                      </w:r>
                      <w:r>
                        <w:rPr/>
                        <w:t>por</w:t>
                      </w:r>
                      <w:r>
                        <w:rPr>
                          <w:spacing w:val="-8"/>
                        </w:rPr>
                        <w:t> </w:t>
                      </w:r>
                      <w:r>
                        <w:rPr/>
                        <w:t>devengo</w:t>
                      </w:r>
                      <w:r>
                        <w:rPr>
                          <w:spacing w:val="-10"/>
                        </w:rPr>
                        <w:t> </w:t>
                      </w:r>
                      <w:r>
                        <w:rPr/>
                        <w:t>de</w:t>
                      </w:r>
                      <w:r>
                        <w:rPr>
                          <w:spacing w:val="-10"/>
                        </w:rPr>
                        <w:t> </w:t>
                      </w:r>
                      <w:r>
                        <w:rPr/>
                        <w:t>los</w:t>
                      </w:r>
                      <w:r>
                        <w:rPr>
                          <w:spacing w:val="-7"/>
                        </w:rPr>
                        <w:t> </w:t>
                      </w:r>
                      <w:r>
                        <w:rPr/>
                        <w:t>impuestos específicos</w:t>
                      </w:r>
                      <w:r>
                        <w:rPr>
                          <w:spacing w:val="-14"/>
                        </w:rPr>
                        <w:t> </w:t>
                      </w:r>
                      <w:r>
                        <w:rPr/>
                        <w:t>devengados</w:t>
                      </w:r>
                      <w:r>
                        <w:rPr>
                          <w:spacing w:val="-14"/>
                        </w:rPr>
                        <w:t> </w:t>
                      </w:r>
                      <w:r>
                        <w:rPr/>
                        <w:t>a</w:t>
                      </w:r>
                      <w:r>
                        <w:rPr>
                          <w:spacing w:val="-14"/>
                        </w:rPr>
                        <w:t> </w:t>
                      </w:r>
                      <w:r>
                        <w:rPr/>
                        <w:t>los</w:t>
                      </w:r>
                      <w:r>
                        <w:rPr>
                          <w:spacing w:val="-13"/>
                        </w:rPr>
                        <w:t> </w:t>
                      </w:r>
                      <w:r>
                        <w:rPr/>
                        <w:t>servicios</w:t>
                      </w:r>
                      <w:r>
                        <w:rPr>
                          <w:spacing w:val="-14"/>
                        </w:rPr>
                        <w:t> </w:t>
                      </w:r>
                      <w:r>
                        <w:rPr/>
                        <w:t>de</w:t>
                      </w:r>
                      <w:r>
                        <w:rPr>
                          <w:spacing w:val="-14"/>
                        </w:rPr>
                        <w:t> </w:t>
                      </w:r>
                      <w:r>
                        <w:rPr/>
                        <w:t>hospedaje</w:t>
                      </w:r>
                      <w:r>
                        <w:rPr>
                          <w:spacing w:val="-14"/>
                        </w:rPr>
                        <w:t> </w:t>
                      </w:r>
                      <w:r>
                        <w:rPr/>
                        <w:t>presentan</w:t>
                      </w:r>
                      <w:r>
                        <w:rPr>
                          <w:spacing w:val="-13"/>
                        </w:rPr>
                        <w:t> </w:t>
                      </w:r>
                      <w:r>
                        <w:rPr/>
                        <w:t>un</w:t>
                      </w:r>
                      <w:r>
                        <w:rPr>
                          <w:spacing w:val="-14"/>
                        </w:rPr>
                        <w:t> </w:t>
                      </w:r>
                      <w:r>
                        <w:rPr/>
                        <w:t>incremento</w:t>
                      </w:r>
                      <w:r>
                        <w:rPr>
                          <w:spacing w:val="-14"/>
                        </w:rPr>
                        <w:t> </w:t>
                      </w:r>
                      <w:r>
                        <w:rPr/>
                        <w:t>del</w:t>
                      </w:r>
                      <w:r>
                        <w:rPr>
                          <w:spacing w:val="-14"/>
                        </w:rPr>
                        <w:t> </w:t>
                      </w:r>
                      <w:r>
                        <w:rPr/>
                        <w:t>6,57%,</w:t>
                      </w:r>
                      <w:r>
                        <w:rPr>
                          <w:spacing w:val="-13"/>
                        </w:rPr>
                        <w:t> </w:t>
                      </w:r>
                      <w:r>
                        <w:rPr/>
                        <w:t>por</w:t>
                      </w:r>
                      <w:r>
                        <w:rPr>
                          <w:spacing w:val="-14"/>
                        </w:rPr>
                        <w:t> </w:t>
                      </w:r>
                      <w:r>
                        <w:rPr/>
                        <w:t>otra</w:t>
                      </w:r>
                      <w:r>
                        <w:rPr>
                          <w:spacing w:val="-14"/>
                        </w:rPr>
                        <w:t> </w:t>
                      </w:r>
                      <w:r>
                        <w:rPr/>
                        <w:t>parte, los</w:t>
                      </w:r>
                      <w:r>
                        <w:rPr>
                          <w:spacing w:val="-4"/>
                        </w:rPr>
                        <w:t> </w:t>
                      </w:r>
                      <w:r>
                        <w:rPr/>
                        <w:t>recargos</w:t>
                      </w:r>
                      <w:r>
                        <w:rPr>
                          <w:spacing w:val="-4"/>
                        </w:rPr>
                        <w:t> </w:t>
                      </w:r>
                      <w:r>
                        <w:rPr/>
                        <w:t>moratorios</w:t>
                      </w:r>
                      <w:r>
                        <w:rPr>
                          <w:spacing w:val="-4"/>
                        </w:rPr>
                        <w:t> </w:t>
                      </w:r>
                      <w:r>
                        <w:rPr/>
                        <w:t>por</w:t>
                      </w:r>
                      <w:r>
                        <w:rPr>
                          <w:spacing w:val="-7"/>
                        </w:rPr>
                        <w:t> </w:t>
                      </w:r>
                      <w:r>
                        <w:rPr/>
                        <w:t>impuestos</w:t>
                      </w:r>
                      <w:r>
                        <w:rPr>
                          <w:spacing w:val="-4"/>
                        </w:rPr>
                        <w:t> </w:t>
                      </w:r>
                      <w:r>
                        <w:rPr/>
                        <w:t>moteles</w:t>
                      </w:r>
                      <w:r>
                        <w:rPr>
                          <w:spacing w:val="-1"/>
                        </w:rPr>
                        <w:t> </w:t>
                      </w:r>
                      <w:r>
                        <w:rPr/>
                        <w:t>devengados</w:t>
                      </w:r>
                      <w:r>
                        <w:rPr>
                          <w:spacing w:val="-3"/>
                        </w:rPr>
                        <w:t> </w:t>
                      </w:r>
                      <w:r>
                        <w:rPr/>
                        <w:t>disminuyo</w:t>
                      </w:r>
                      <w:r>
                        <w:rPr>
                          <w:spacing w:val="-4"/>
                        </w:rPr>
                        <w:t> </w:t>
                      </w:r>
                      <w:r>
                        <w:rPr/>
                        <w:t>de</w:t>
                      </w:r>
                      <w:r>
                        <w:rPr>
                          <w:spacing w:val="-4"/>
                        </w:rPr>
                        <w:t> </w:t>
                      </w:r>
                      <w:r>
                        <w:rPr/>
                        <w:t>un</w:t>
                      </w:r>
                      <w:r>
                        <w:rPr>
                          <w:spacing w:val="-2"/>
                        </w:rPr>
                        <w:t> </w:t>
                      </w:r>
                      <w:r>
                        <w:rPr/>
                        <w:t>-53,89%</w:t>
                      </w:r>
                      <w:r>
                        <w:rPr>
                          <w:spacing w:val="-2"/>
                        </w:rPr>
                        <w:t> </w:t>
                      </w:r>
                      <w:r>
                        <w:rPr/>
                        <w:t>y</w:t>
                      </w:r>
                      <w:r>
                        <w:rPr>
                          <w:spacing w:val="-4"/>
                        </w:rPr>
                        <w:t> </w:t>
                      </w:r>
                      <w:r>
                        <w:rPr/>
                        <w:t>por</w:t>
                      </w:r>
                      <w:r>
                        <w:rPr>
                          <w:spacing w:val="-5"/>
                        </w:rPr>
                        <w:t> </w:t>
                      </w:r>
                      <w:r>
                        <w:rPr/>
                        <w:t>otra</w:t>
                      </w:r>
                      <w:r>
                        <w:rPr>
                          <w:spacing w:val="-2"/>
                        </w:rPr>
                        <w:t> </w:t>
                      </w:r>
                      <w:r>
                        <w:rPr/>
                        <w:t>parte el cobro de multas no ha tenido movimiento para el 2026, según el siguiente detalle:</w:t>
                      </w:r>
                    </w:p>
                  </w:txbxContent>
                </v:textbox>
                <v:stroke dashstyle="solid"/>
                <w10:wrap type="topAndBottom"/>
              </v:shape>
            </w:pict>
          </mc:Fallback>
        </mc:AlternateContent>
      </w:r>
    </w:p>
    <w:p>
      <w:pPr>
        <w:pStyle w:val="BodyText"/>
        <w:spacing w:before="184"/>
        <w:rPr>
          <w:b/>
        </w:rPr>
      </w:pPr>
    </w:p>
    <w:p>
      <w:pPr>
        <w:spacing w:before="0"/>
        <w:ind w:left="622" w:right="0" w:firstLine="0"/>
        <w:jc w:val="left"/>
        <w:rPr>
          <w:b/>
          <w:sz w:val="22"/>
        </w:rPr>
      </w:pPr>
      <w:bookmarkStart w:name="_bookmark73" w:id="74"/>
      <w:bookmarkEnd w:id="74"/>
      <w:r>
        <w:rPr/>
      </w:r>
      <w:r>
        <w:rPr>
          <w:b/>
          <w:sz w:val="22"/>
        </w:rPr>
        <w:t>NOTA</w:t>
      </w:r>
      <w:r>
        <w:rPr>
          <w:b/>
          <w:spacing w:val="-1"/>
          <w:sz w:val="22"/>
        </w:rPr>
        <w:t> </w:t>
      </w:r>
      <w:r>
        <w:rPr>
          <w:b/>
          <w:sz w:val="22"/>
        </w:rPr>
        <w:t>N° </w:t>
      </w:r>
      <w:r>
        <w:rPr>
          <w:b/>
          <w:spacing w:val="-5"/>
          <w:sz w:val="22"/>
        </w:rPr>
        <w:t>34</w:t>
      </w:r>
    </w:p>
    <w:p>
      <w:pPr>
        <w:pStyle w:val="BodyText"/>
        <w:spacing w:before="115"/>
        <w:rPr>
          <w:b/>
        </w:rPr>
      </w:pPr>
    </w:p>
    <w:p>
      <w:pPr>
        <w:pStyle w:val="Heading6"/>
        <w:ind w:left="622"/>
      </w:pPr>
      <w:r>
        <w:rPr/>
        <w:t>Impuestos</w:t>
      </w:r>
      <w:r>
        <w:rPr>
          <w:spacing w:val="-8"/>
        </w:rPr>
        <w:t> </w:t>
      </w:r>
      <w:r>
        <w:rPr/>
        <w:t>sobre</w:t>
      </w:r>
      <w:r>
        <w:rPr>
          <w:spacing w:val="-3"/>
        </w:rPr>
        <w:t> </w:t>
      </w:r>
      <w:r>
        <w:rPr/>
        <w:t>el</w:t>
      </w:r>
      <w:r>
        <w:rPr>
          <w:spacing w:val="-3"/>
        </w:rPr>
        <w:t> </w:t>
      </w:r>
      <w:r>
        <w:rPr/>
        <w:t>comercio</w:t>
      </w:r>
      <w:r>
        <w:rPr>
          <w:spacing w:val="-4"/>
        </w:rPr>
        <w:t> </w:t>
      </w:r>
      <w:r>
        <w:rPr/>
        <w:t>exterior</w:t>
      </w:r>
      <w:r>
        <w:rPr>
          <w:spacing w:val="-3"/>
        </w:rPr>
        <w:t> </w:t>
      </w:r>
      <w:r>
        <w:rPr/>
        <w:t>y</w:t>
      </w:r>
      <w:r>
        <w:rPr>
          <w:spacing w:val="-5"/>
        </w:rPr>
        <w:t> </w:t>
      </w:r>
      <w:r>
        <w:rPr/>
        <w:t>transacciones</w:t>
      </w:r>
      <w:r>
        <w:rPr>
          <w:spacing w:val="-2"/>
        </w:rPr>
        <w:t> internacionales</w:t>
      </w:r>
    </w:p>
    <w:p>
      <w:pPr>
        <w:pStyle w:val="BodyText"/>
        <w:spacing w:before="9"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402"/>
        <w:gridCol w:w="850"/>
        <w:gridCol w:w="1561"/>
        <w:gridCol w:w="1251"/>
        <w:gridCol w:w="1071"/>
      </w:tblGrid>
      <w:tr>
        <w:trPr>
          <w:trHeight w:val="318" w:hRule="atLeast"/>
        </w:trPr>
        <w:tc>
          <w:tcPr>
            <w:tcW w:w="984" w:type="dxa"/>
            <w:vMerge w:val="restart"/>
            <w:shd w:val="clear" w:color="auto" w:fill="365F92"/>
          </w:tcPr>
          <w:p>
            <w:pPr>
              <w:pStyle w:val="TableParagraph"/>
              <w:spacing w:before="113"/>
              <w:ind w:left="69"/>
              <w:rPr>
                <w:sz w:val="22"/>
              </w:rPr>
            </w:pPr>
            <w:r>
              <w:rPr>
                <w:spacing w:val="-2"/>
                <w:sz w:val="22"/>
              </w:rPr>
              <w:t>Cuenta</w:t>
            </w:r>
          </w:p>
        </w:tc>
        <w:tc>
          <w:tcPr>
            <w:tcW w:w="3402" w:type="dxa"/>
            <w:vMerge w:val="restart"/>
            <w:shd w:val="clear" w:color="auto" w:fill="365F92"/>
          </w:tcPr>
          <w:p>
            <w:pPr>
              <w:pStyle w:val="TableParagraph"/>
              <w:spacing w:before="201"/>
              <w:ind w:left="18"/>
              <w:jc w:val="center"/>
              <w:rPr>
                <w:sz w:val="22"/>
              </w:rPr>
            </w:pPr>
            <w:r>
              <w:rPr>
                <w:spacing w:val="-2"/>
                <w:sz w:val="22"/>
              </w:rPr>
              <w:t>Descripción</w:t>
            </w:r>
          </w:p>
        </w:tc>
        <w:tc>
          <w:tcPr>
            <w:tcW w:w="850" w:type="dxa"/>
            <w:vMerge w:val="restart"/>
            <w:shd w:val="clear" w:color="auto" w:fill="365F92"/>
          </w:tcPr>
          <w:p>
            <w:pPr>
              <w:pStyle w:val="TableParagraph"/>
              <w:spacing w:before="201"/>
              <w:ind w:left="208"/>
              <w:rPr>
                <w:sz w:val="22"/>
              </w:rPr>
            </w:pPr>
            <w:r>
              <w:rPr>
                <w:spacing w:val="-4"/>
                <w:sz w:val="22"/>
              </w:rPr>
              <w:t>Nota</w:t>
            </w:r>
          </w:p>
        </w:tc>
        <w:tc>
          <w:tcPr>
            <w:tcW w:w="1561" w:type="dxa"/>
            <w:vMerge w:val="restart"/>
            <w:shd w:val="clear" w:color="auto" w:fill="365F92"/>
          </w:tcPr>
          <w:p>
            <w:pPr>
              <w:pStyle w:val="TableParagraph"/>
              <w:spacing w:before="201"/>
              <w:ind w:left="145"/>
              <w:rPr>
                <w:sz w:val="22"/>
              </w:rPr>
            </w:pPr>
            <w:r>
              <w:rPr>
                <w:sz w:val="22"/>
              </w:rPr>
              <w:t>Periodo</w:t>
            </w:r>
            <w:r>
              <w:rPr>
                <w:spacing w:val="-5"/>
                <w:sz w:val="22"/>
              </w:rPr>
              <w:t> </w:t>
            </w:r>
            <w:r>
              <w:rPr>
                <w:spacing w:val="-2"/>
                <w:sz w:val="22"/>
              </w:rPr>
              <w:t>Actual</w:t>
            </w:r>
          </w:p>
        </w:tc>
        <w:tc>
          <w:tcPr>
            <w:tcW w:w="1251" w:type="dxa"/>
            <w:vMerge w:val="restart"/>
            <w:shd w:val="clear" w:color="auto" w:fill="365F92"/>
          </w:tcPr>
          <w:p>
            <w:pPr>
              <w:pStyle w:val="TableParagraph"/>
              <w:spacing w:before="77"/>
              <w:ind w:left="250" w:right="225" w:firstLine="50"/>
              <w:rPr>
                <w:sz w:val="22"/>
              </w:rPr>
            </w:pPr>
            <w:r>
              <w:rPr>
                <w:spacing w:val="-2"/>
                <w:sz w:val="22"/>
              </w:rPr>
              <w:t>Periodo Anterior</w:t>
            </w:r>
          </w:p>
        </w:tc>
        <w:tc>
          <w:tcPr>
            <w:tcW w:w="1071" w:type="dxa"/>
            <w:shd w:val="clear" w:color="auto" w:fill="365F92"/>
          </w:tcPr>
          <w:p>
            <w:pPr>
              <w:pStyle w:val="TableParagraph"/>
              <w:spacing w:before="33"/>
              <w:ind w:left="14" w:right="2"/>
              <w:jc w:val="center"/>
              <w:rPr>
                <w:sz w:val="22"/>
              </w:rPr>
            </w:pPr>
            <w:r>
              <w:rPr>
                <w:spacing w:val="-2"/>
                <w:sz w:val="22"/>
              </w:rPr>
              <w:t>Diferencia</w:t>
            </w:r>
          </w:p>
        </w:tc>
      </w:tr>
      <w:tr>
        <w:trPr>
          <w:trHeight w:val="315" w:hRule="atLeast"/>
        </w:trPr>
        <w:tc>
          <w:tcPr>
            <w:tcW w:w="984" w:type="dxa"/>
            <w:vMerge/>
            <w:tcBorders>
              <w:top w:val="nil"/>
            </w:tcBorders>
            <w:shd w:val="clear" w:color="auto" w:fill="365F92"/>
          </w:tcPr>
          <w:p>
            <w:pPr>
              <w:rPr>
                <w:sz w:val="2"/>
                <w:szCs w:val="2"/>
              </w:rPr>
            </w:pPr>
          </w:p>
        </w:tc>
        <w:tc>
          <w:tcPr>
            <w:tcW w:w="3402" w:type="dxa"/>
            <w:vMerge/>
            <w:tcBorders>
              <w:top w:val="nil"/>
            </w:tcBorders>
            <w:shd w:val="clear" w:color="auto" w:fill="365F92"/>
          </w:tcPr>
          <w:p>
            <w:pPr>
              <w:rPr>
                <w:sz w:val="2"/>
                <w:szCs w:val="2"/>
              </w:rPr>
            </w:pPr>
          </w:p>
        </w:tc>
        <w:tc>
          <w:tcPr>
            <w:tcW w:w="850"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251" w:type="dxa"/>
            <w:vMerge/>
            <w:tcBorders>
              <w:top w:val="nil"/>
            </w:tcBorders>
            <w:shd w:val="clear" w:color="auto" w:fill="365F92"/>
          </w:tcPr>
          <w:p>
            <w:pPr>
              <w:rPr>
                <w:sz w:val="2"/>
                <w:szCs w:val="2"/>
              </w:rPr>
            </w:pPr>
          </w:p>
        </w:tc>
        <w:tc>
          <w:tcPr>
            <w:tcW w:w="1071" w:type="dxa"/>
            <w:shd w:val="clear" w:color="auto" w:fill="365F92"/>
          </w:tcPr>
          <w:p>
            <w:pPr>
              <w:pStyle w:val="TableParagraph"/>
              <w:spacing w:before="33"/>
              <w:ind w:left="14" w:right="3"/>
              <w:jc w:val="center"/>
              <w:rPr>
                <w:sz w:val="22"/>
              </w:rPr>
            </w:pPr>
            <w:r>
              <w:rPr>
                <w:spacing w:val="-10"/>
                <w:sz w:val="22"/>
              </w:rPr>
              <w:t>%</w:t>
            </w:r>
          </w:p>
        </w:tc>
      </w:tr>
      <w:tr>
        <w:trPr>
          <w:trHeight w:val="644" w:hRule="atLeast"/>
        </w:trPr>
        <w:tc>
          <w:tcPr>
            <w:tcW w:w="984" w:type="dxa"/>
          </w:tcPr>
          <w:p>
            <w:pPr>
              <w:pStyle w:val="TableParagraph"/>
              <w:spacing w:before="207"/>
              <w:ind w:left="69"/>
              <w:rPr>
                <w:b/>
                <w:sz w:val="20"/>
              </w:rPr>
            </w:pPr>
            <w:r>
              <w:rPr>
                <w:b/>
                <w:spacing w:val="-2"/>
                <w:sz w:val="20"/>
              </w:rPr>
              <w:t>4.1.4.</w:t>
            </w:r>
          </w:p>
        </w:tc>
        <w:tc>
          <w:tcPr>
            <w:tcW w:w="3402" w:type="dxa"/>
          </w:tcPr>
          <w:p>
            <w:pPr>
              <w:pStyle w:val="TableParagraph"/>
              <w:spacing w:before="94"/>
              <w:ind w:left="69"/>
              <w:rPr>
                <w:b/>
                <w:sz w:val="20"/>
              </w:rPr>
            </w:pPr>
            <w:r>
              <w:rPr>
                <w:b/>
                <w:sz w:val="20"/>
              </w:rPr>
              <w:t>Impuestos</w:t>
            </w:r>
            <w:r>
              <w:rPr>
                <w:b/>
                <w:spacing w:val="-9"/>
                <w:sz w:val="20"/>
              </w:rPr>
              <w:t> </w:t>
            </w:r>
            <w:r>
              <w:rPr>
                <w:b/>
                <w:sz w:val="20"/>
              </w:rPr>
              <w:t>sobre</w:t>
            </w:r>
            <w:r>
              <w:rPr>
                <w:b/>
                <w:spacing w:val="-7"/>
                <w:sz w:val="20"/>
              </w:rPr>
              <w:t> </w:t>
            </w:r>
            <w:r>
              <w:rPr>
                <w:b/>
                <w:sz w:val="20"/>
              </w:rPr>
              <w:t>el</w:t>
            </w:r>
            <w:r>
              <w:rPr>
                <w:b/>
                <w:spacing w:val="-9"/>
                <w:sz w:val="20"/>
              </w:rPr>
              <w:t> </w:t>
            </w:r>
            <w:r>
              <w:rPr>
                <w:b/>
                <w:sz w:val="20"/>
              </w:rPr>
              <w:t>comercio</w:t>
            </w:r>
            <w:r>
              <w:rPr>
                <w:b/>
                <w:spacing w:val="-6"/>
                <w:sz w:val="20"/>
              </w:rPr>
              <w:t> </w:t>
            </w:r>
            <w:r>
              <w:rPr>
                <w:b/>
                <w:sz w:val="20"/>
              </w:rPr>
              <w:t>exterior</w:t>
            </w:r>
            <w:r>
              <w:rPr>
                <w:b/>
                <w:spacing w:val="-8"/>
                <w:sz w:val="20"/>
              </w:rPr>
              <w:t> </w:t>
            </w:r>
            <w:r>
              <w:rPr>
                <w:b/>
                <w:sz w:val="20"/>
              </w:rPr>
              <w:t>y transacciones internacionales</w:t>
            </w:r>
          </w:p>
        </w:tc>
        <w:tc>
          <w:tcPr>
            <w:tcW w:w="850" w:type="dxa"/>
          </w:tcPr>
          <w:p>
            <w:pPr>
              <w:pStyle w:val="TableParagraph"/>
              <w:spacing w:before="207"/>
              <w:ind w:left="19" w:right="1"/>
              <w:jc w:val="center"/>
              <w:rPr>
                <w:b/>
                <w:sz w:val="20"/>
              </w:rPr>
            </w:pPr>
            <w:r>
              <w:rPr>
                <w:b/>
                <w:spacing w:val="-5"/>
                <w:sz w:val="20"/>
              </w:rPr>
              <w:t>34</w:t>
            </w:r>
          </w:p>
        </w:tc>
        <w:tc>
          <w:tcPr>
            <w:tcW w:w="1561" w:type="dxa"/>
          </w:tcPr>
          <w:p>
            <w:pPr>
              <w:pStyle w:val="TableParagraph"/>
              <w:spacing w:before="207"/>
              <w:ind w:left="65" w:right="3"/>
              <w:jc w:val="center"/>
              <w:rPr>
                <w:b/>
                <w:sz w:val="20"/>
              </w:rPr>
            </w:pPr>
            <w:r>
              <w:rPr>
                <w:b/>
                <w:spacing w:val="-4"/>
                <w:sz w:val="20"/>
              </w:rPr>
              <w:t>0,00</w:t>
            </w:r>
          </w:p>
        </w:tc>
        <w:tc>
          <w:tcPr>
            <w:tcW w:w="1251" w:type="dxa"/>
          </w:tcPr>
          <w:p>
            <w:pPr>
              <w:pStyle w:val="TableParagraph"/>
              <w:spacing w:before="207"/>
              <w:ind w:left="16"/>
              <w:jc w:val="center"/>
              <w:rPr>
                <w:b/>
                <w:sz w:val="20"/>
              </w:rPr>
            </w:pPr>
            <w:r>
              <w:rPr>
                <w:b/>
                <w:spacing w:val="-4"/>
                <w:sz w:val="20"/>
              </w:rPr>
              <w:t>0,00</w:t>
            </w:r>
          </w:p>
        </w:tc>
        <w:tc>
          <w:tcPr>
            <w:tcW w:w="1071" w:type="dxa"/>
          </w:tcPr>
          <w:p>
            <w:pPr>
              <w:pStyle w:val="TableParagraph"/>
              <w:spacing w:before="207"/>
              <w:ind w:left="14"/>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08704">
                <wp:simplePos x="0" y="0"/>
                <wp:positionH relativeFrom="page">
                  <wp:posOffset>9525</wp:posOffset>
                </wp:positionH>
                <wp:positionV relativeFrom="page">
                  <wp:posOffset>297208</wp:posOffset>
                </wp:positionV>
                <wp:extent cx="7762875" cy="9748520"/>
                <wp:effectExtent l="0" t="0" r="0" b="0"/>
                <wp:wrapNone/>
                <wp:docPr id="470" name="Group 470"/>
                <wp:cNvGraphicFramePr>
                  <a:graphicFrameLocks/>
                </wp:cNvGraphicFramePr>
                <a:graphic>
                  <a:graphicData uri="http://schemas.microsoft.com/office/word/2010/wordprocessingGroup">
                    <wpg:wgp>
                      <wpg:cNvPr id="470" name="Group 470"/>
                      <wpg:cNvGrpSpPr/>
                      <wpg:grpSpPr>
                        <a:xfrm>
                          <a:off x="0" y="0"/>
                          <a:ext cx="7762875" cy="9748520"/>
                          <a:chExt cx="7762875" cy="9748520"/>
                        </a:xfrm>
                      </wpg:grpSpPr>
                      <pic:pic>
                        <pic:nvPicPr>
                          <pic:cNvPr id="471" name="Image 471"/>
                          <pic:cNvPicPr/>
                        </pic:nvPicPr>
                        <pic:blipFill>
                          <a:blip r:embed="rId5" cstate="print"/>
                          <a:stretch>
                            <a:fillRect/>
                          </a:stretch>
                        </pic:blipFill>
                        <pic:spPr>
                          <a:xfrm>
                            <a:off x="0" y="0"/>
                            <a:ext cx="7762874" cy="9748489"/>
                          </a:xfrm>
                          <a:prstGeom prst="rect">
                            <a:avLst/>
                          </a:prstGeom>
                        </pic:spPr>
                      </pic:pic>
                      <wps:wsp>
                        <wps:cNvPr id="472" name="Graphic 47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07776" id="docshapegroup448" coordorigin="15,468" coordsize="12225,15352">
                <v:shape style="position:absolute;left:15;top:468;width:12225;height:15352" type="#_x0000_t75" id="docshape449" stroked="false">
                  <v:imagedata r:id="rId5" o:title=""/>
                </v:shape>
                <v:rect style="position:absolute;left:1673;top:2028;width:8897;height:15" id="docshape45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98</w:t>
      </w:r>
    </w:p>
    <w:p>
      <w:pPr>
        <w:pStyle w:val="Heading6"/>
        <w:spacing w:before="218"/>
        <w:ind w:left="622"/>
        <w:rPr>
          <w:b w:val="0"/>
        </w:rPr>
      </w:pPr>
      <w:r>
        <w:rPr>
          <w:spacing w:val="-2"/>
        </w:rPr>
        <w:t>Revelación</w:t>
      </w:r>
      <w:r>
        <w:rPr>
          <w:b w:val="0"/>
          <w:spacing w:val="-2"/>
        </w:rPr>
        <w:t>:</w:t>
      </w:r>
    </w:p>
    <w:p>
      <w:pPr>
        <w:pStyle w:val="BodyText"/>
        <w:spacing w:line="259" w:lineRule="auto" w:before="181"/>
        <w:ind w:left="622" w:right="982"/>
        <w:jc w:val="both"/>
      </w:pPr>
      <w:r>
        <w:rPr/>
        <w:t>La cuenta Impuestos sobre el comercio exterior y transacciones internacionales, representa el 0,00% del total del Ingresos, que comparado al periodo anterior genera una variación absoluta de 0 000,00 que corresponde a un Aumento del 0,00% de recursos disponibles.</w:t>
      </w:r>
    </w:p>
    <w:p>
      <w:pPr>
        <w:pStyle w:val="BodyText"/>
        <w:rPr>
          <w:sz w:val="20"/>
        </w:rPr>
      </w:pPr>
    </w:p>
    <w:p>
      <w:pPr>
        <w:pStyle w:val="BodyText"/>
        <w:spacing w:before="107"/>
        <w:rPr>
          <w:sz w:val="20"/>
        </w:rPr>
      </w:pPr>
      <w:r>
        <w:rPr>
          <w:sz w:val="20"/>
        </w:rPr>
        <mc:AlternateContent>
          <mc:Choice Requires="wps">
            <w:drawing>
              <wp:anchor distT="0" distB="0" distL="0" distR="0" allowOverlap="1" layoutInCell="1" locked="0" behindDoc="1" simplePos="0" relativeHeight="487670784">
                <wp:simplePos x="0" y="0"/>
                <wp:positionH relativeFrom="page">
                  <wp:posOffset>1080820</wp:posOffset>
                </wp:positionH>
                <wp:positionV relativeFrom="paragraph">
                  <wp:posOffset>231632</wp:posOffset>
                </wp:positionV>
                <wp:extent cx="5715000" cy="555625"/>
                <wp:effectExtent l="0" t="0" r="0" b="0"/>
                <wp:wrapTopAndBottom/>
                <wp:docPr id="473" name="Textbox 473"/>
                <wp:cNvGraphicFramePr>
                  <a:graphicFrameLocks/>
                </wp:cNvGraphicFramePr>
                <a:graphic>
                  <a:graphicData uri="http://schemas.microsoft.com/office/word/2010/wordprocessingShape">
                    <wps:wsp>
                      <wps:cNvPr id="473" name="Textbox 473"/>
                      <wps:cNvSpPr txBox="1"/>
                      <wps:spPr>
                        <a:xfrm>
                          <a:off x="0" y="0"/>
                          <a:ext cx="5715000" cy="555625"/>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238745pt;width:450pt;height:43.75pt;mso-position-horizontal-relative:page;mso-position-vertical-relative:paragraph;z-index:-15645696;mso-wrap-distance-left:0;mso-wrap-distance-right:0" type="#_x0000_t202" id="docshape451"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74" w:id="75"/>
      <w:bookmarkEnd w:id="75"/>
      <w:r>
        <w:rPr/>
      </w:r>
      <w:r>
        <w:rPr>
          <w:b/>
          <w:sz w:val="22"/>
        </w:rPr>
        <w:t>NOTA</w:t>
      </w:r>
      <w:r>
        <w:rPr>
          <w:b/>
          <w:spacing w:val="-1"/>
          <w:sz w:val="22"/>
        </w:rPr>
        <w:t> </w:t>
      </w:r>
      <w:r>
        <w:rPr>
          <w:b/>
          <w:sz w:val="22"/>
        </w:rPr>
        <w:t>N° </w:t>
      </w:r>
      <w:r>
        <w:rPr>
          <w:b/>
          <w:spacing w:val="-5"/>
          <w:sz w:val="22"/>
        </w:rPr>
        <w:t>35</w:t>
      </w:r>
    </w:p>
    <w:p>
      <w:pPr>
        <w:pStyle w:val="BodyText"/>
        <w:spacing w:before="114"/>
        <w:rPr>
          <w:b/>
        </w:rPr>
      </w:pPr>
    </w:p>
    <w:p>
      <w:pPr>
        <w:pStyle w:val="Heading6"/>
        <w:spacing w:before="1"/>
        <w:ind w:left="622"/>
      </w:pPr>
      <w:r>
        <w:rPr/>
        <w:t>Otros</w:t>
      </w:r>
      <w:r>
        <w:rPr>
          <w:spacing w:val="-1"/>
        </w:rPr>
        <w:t> </w:t>
      </w:r>
      <w:r>
        <w:rPr>
          <w:spacing w:val="-2"/>
        </w:rPr>
        <w:t>impuestos</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8"/>
        <w:gridCol w:w="1455"/>
        <w:gridCol w:w="643"/>
        <w:gridCol w:w="2160"/>
        <w:gridCol w:w="2160"/>
        <w:gridCol w:w="1197"/>
      </w:tblGrid>
      <w:tr>
        <w:trPr>
          <w:trHeight w:val="323" w:hRule="atLeast"/>
        </w:trPr>
        <w:tc>
          <w:tcPr>
            <w:tcW w:w="1418" w:type="dxa"/>
            <w:vMerge w:val="restart"/>
            <w:shd w:val="clear" w:color="auto" w:fill="365F92"/>
          </w:tcPr>
          <w:p>
            <w:pPr>
              <w:pStyle w:val="TableParagraph"/>
              <w:spacing w:before="117"/>
              <w:ind w:left="69"/>
              <w:rPr>
                <w:b/>
                <w:sz w:val="22"/>
              </w:rPr>
            </w:pPr>
            <w:r>
              <w:rPr>
                <w:b/>
                <w:color w:val="FFFFFF"/>
                <w:spacing w:val="-2"/>
                <w:sz w:val="22"/>
              </w:rPr>
              <w:t>Cuenta</w:t>
            </w:r>
          </w:p>
        </w:tc>
        <w:tc>
          <w:tcPr>
            <w:tcW w:w="1455" w:type="dxa"/>
            <w:vMerge w:val="restart"/>
            <w:shd w:val="clear" w:color="auto" w:fill="365F92"/>
          </w:tcPr>
          <w:p>
            <w:pPr>
              <w:pStyle w:val="TableParagraph"/>
              <w:spacing w:before="206"/>
              <w:ind w:left="197"/>
              <w:rPr>
                <w:b/>
                <w:sz w:val="22"/>
              </w:rPr>
            </w:pPr>
            <w:r>
              <w:rPr>
                <w:b/>
                <w:color w:val="FFFFFF"/>
                <w:spacing w:val="-2"/>
                <w:sz w:val="22"/>
              </w:rPr>
              <w:t>Descripción</w:t>
            </w:r>
          </w:p>
        </w:tc>
        <w:tc>
          <w:tcPr>
            <w:tcW w:w="643" w:type="dxa"/>
            <w:vMerge w:val="restart"/>
            <w:shd w:val="clear" w:color="auto" w:fill="365F92"/>
          </w:tcPr>
          <w:p>
            <w:pPr>
              <w:pStyle w:val="TableParagraph"/>
              <w:spacing w:before="206"/>
              <w:ind w:left="105"/>
              <w:rPr>
                <w:b/>
                <w:sz w:val="22"/>
              </w:rPr>
            </w:pPr>
            <w:r>
              <w:rPr>
                <w:b/>
                <w:color w:val="FFFFFF"/>
                <w:spacing w:val="-4"/>
                <w:sz w:val="22"/>
              </w:rPr>
              <w:t>Nota</w:t>
            </w:r>
          </w:p>
        </w:tc>
        <w:tc>
          <w:tcPr>
            <w:tcW w:w="2160" w:type="dxa"/>
            <w:vMerge w:val="restart"/>
            <w:shd w:val="clear" w:color="auto" w:fill="365F92"/>
          </w:tcPr>
          <w:p>
            <w:pPr>
              <w:pStyle w:val="TableParagraph"/>
              <w:spacing w:before="206"/>
              <w:ind w:left="449"/>
              <w:rPr>
                <w:b/>
                <w:sz w:val="22"/>
              </w:rPr>
            </w:pPr>
            <w:r>
              <w:rPr>
                <w:b/>
                <w:color w:val="FFFFFF"/>
                <w:sz w:val="22"/>
              </w:rPr>
              <w:t>Periodo</w:t>
            </w:r>
            <w:r>
              <w:rPr>
                <w:b/>
                <w:color w:val="FFFFFF"/>
                <w:spacing w:val="-4"/>
                <w:sz w:val="22"/>
              </w:rPr>
              <w:t> </w:t>
            </w:r>
            <w:r>
              <w:rPr>
                <w:b/>
                <w:color w:val="FFFFFF"/>
                <w:spacing w:val="-2"/>
                <w:sz w:val="22"/>
              </w:rPr>
              <w:t>Actual</w:t>
            </w:r>
          </w:p>
        </w:tc>
        <w:tc>
          <w:tcPr>
            <w:tcW w:w="2160" w:type="dxa"/>
            <w:vMerge w:val="restart"/>
            <w:shd w:val="clear" w:color="auto" w:fill="365F92"/>
          </w:tcPr>
          <w:p>
            <w:pPr>
              <w:pStyle w:val="TableParagraph"/>
              <w:spacing w:before="206"/>
              <w:ind w:left="356"/>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right="6"/>
              <w:jc w:val="center"/>
              <w:rPr>
                <w:b/>
                <w:sz w:val="22"/>
              </w:rPr>
            </w:pPr>
            <w:r>
              <w:rPr>
                <w:b/>
                <w:color w:val="FFFFFF"/>
                <w:spacing w:val="-2"/>
                <w:sz w:val="22"/>
              </w:rPr>
              <w:t>Diferencia</w:t>
            </w:r>
          </w:p>
        </w:tc>
      </w:tr>
      <w:tr>
        <w:trPr>
          <w:trHeight w:val="323" w:hRule="atLeast"/>
        </w:trPr>
        <w:tc>
          <w:tcPr>
            <w:tcW w:w="1418" w:type="dxa"/>
            <w:vMerge/>
            <w:tcBorders>
              <w:top w:val="nil"/>
            </w:tcBorders>
            <w:shd w:val="clear" w:color="auto" w:fill="365F92"/>
          </w:tcPr>
          <w:p>
            <w:pPr>
              <w:rPr>
                <w:sz w:val="2"/>
                <w:szCs w:val="2"/>
              </w:rPr>
            </w:pPr>
          </w:p>
        </w:tc>
        <w:tc>
          <w:tcPr>
            <w:tcW w:w="1455"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7"/>
              <w:jc w:val="center"/>
              <w:rPr>
                <w:sz w:val="22"/>
              </w:rPr>
            </w:pPr>
            <w:r>
              <w:rPr>
                <w:color w:val="FFFFFF"/>
                <w:spacing w:val="-10"/>
                <w:sz w:val="22"/>
              </w:rPr>
              <w:t>%</w:t>
            </w:r>
          </w:p>
        </w:tc>
      </w:tr>
      <w:tr>
        <w:trPr>
          <w:trHeight w:val="325" w:hRule="atLeast"/>
        </w:trPr>
        <w:tc>
          <w:tcPr>
            <w:tcW w:w="1418" w:type="dxa"/>
          </w:tcPr>
          <w:p>
            <w:pPr>
              <w:pStyle w:val="TableParagraph"/>
              <w:spacing w:before="49"/>
              <w:ind w:left="69"/>
              <w:rPr>
                <w:b/>
                <w:sz w:val="20"/>
              </w:rPr>
            </w:pPr>
            <w:r>
              <w:rPr>
                <w:b/>
                <w:spacing w:val="-2"/>
                <w:sz w:val="20"/>
              </w:rPr>
              <w:t>4.1.9.</w:t>
            </w:r>
          </w:p>
        </w:tc>
        <w:tc>
          <w:tcPr>
            <w:tcW w:w="1455" w:type="dxa"/>
          </w:tcPr>
          <w:p>
            <w:pPr>
              <w:pStyle w:val="TableParagraph"/>
              <w:spacing w:before="49"/>
              <w:ind w:left="69"/>
              <w:rPr>
                <w:b/>
                <w:sz w:val="20"/>
              </w:rPr>
            </w:pPr>
            <w:r>
              <w:rPr>
                <w:b/>
                <w:sz w:val="20"/>
              </w:rPr>
              <w:t>Otros</w:t>
            </w:r>
            <w:r>
              <w:rPr>
                <w:b/>
                <w:spacing w:val="-5"/>
                <w:sz w:val="20"/>
              </w:rPr>
              <w:t> </w:t>
            </w:r>
            <w:r>
              <w:rPr>
                <w:b/>
                <w:spacing w:val="-2"/>
                <w:sz w:val="20"/>
              </w:rPr>
              <w:t>impuestos</w:t>
            </w:r>
          </w:p>
        </w:tc>
        <w:tc>
          <w:tcPr>
            <w:tcW w:w="643" w:type="dxa"/>
          </w:tcPr>
          <w:p>
            <w:pPr>
              <w:pStyle w:val="TableParagraph"/>
              <w:spacing w:before="49"/>
              <w:ind w:left="223"/>
              <w:rPr>
                <w:b/>
                <w:sz w:val="20"/>
              </w:rPr>
            </w:pPr>
            <w:r>
              <w:rPr>
                <w:b/>
                <w:spacing w:val="-5"/>
                <w:sz w:val="20"/>
              </w:rPr>
              <w:t>35</w:t>
            </w:r>
          </w:p>
        </w:tc>
        <w:tc>
          <w:tcPr>
            <w:tcW w:w="2160" w:type="dxa"/>
          </w:tcPr>
          <w:p>
            <w:pPr>
              <w:pStyle w:val="TableParagraph"/>
              <w:spacing w:before="49"/>
              <w:ind w:left="71"/>
              <w:jc w:val="center"/>
              <w:rPr>
                <w:b/>
                <w:sz w:val="20"/>
              </w:rPr>
            </w:pPr>
            <w:r>
              <w:rPr>
                <w:b/>
                <w:spacing w:val="-4"/>
                <w:sz w:val="20"/>
              </w:rPr>
              <w:t>0,00</w:t>
            </w:r>
          </w:p>
        </w:tc>
        <w:tc>
          <w:tcPr>
            <w:tcW w:w="2160" w:type="dxa"/>
          </w:tcPr>
          <w:p>
            <w:pPr>
              <w:pStyle w:val="TableParagraph"/>
              <w:spacing w:before="49"/>
              <w:ind w:left="71" w:right="52"/>
              <w:jc w:val="center"/>
              <w:rPr>
                <w:b/>
                <w:sz w:val="20"/>
              </w:rPr>
            </w:pPr>
            <w:r>
              <w:rPr>
                <w:b/>
                <w:spacing w:val="-4"/>
                <w:sz w:val="20"/>
              </w:rPr>
              <w:t>0,00</w:t>
            </w:r>
          </w:p>
        </w:tc>
        <w:tc>
          <w:tcPr>
            <w:tcW w:w="1197" w:type="dxa"/>
          </w:tcPr>
          <w:p>
            <w:pPr>
              <w:pStyle w:val="TableParagraph"/>
              <w:spacing w:before="49"/>
              <w:ind w:left="28" w:right="5"/>
              <w:jc w:val="center"/>
              <w:rPr>
                <w:b/>
                <w:sz w:val="20"/>
              </w:rPr>
            </w:pPr>
            <w:r>
              <w:rPr>
                <w:b/>
                <w:spacing w:val="-2"/>
                <w:sz w:val="20"/>
              </w:rPr>
              <w:t>0,00%</w:t>
            </w:r>
          </w:p>
        </w:tc>
      </w:tr>
    </w:tbl>
    <w:p>
      <w:pPr>
        <w:spacing w:before="240"/>
        <w:ind w:left="622" w:right="0" w:firstLine="0"/>
        <w:jc w:val="left"/>
        <w:rPr>
          <w:sz w:val="22"/>
        </w:rPr>
      </w:pPr>
      <w:r>
        <w:rPr>
          <w:b/>
          <w:spacing w:val="-2"/>
          <w:sz w:val="22"/>
        </w:rPr>
        <w:t>Revelación</w:t>
      </w:r>
      <w:r>
        <w:rPr>
          <w:spacing w:val="-2"/>
          <w:sz w:val="22"/>
        </w:rPr>
        <w:t>:</w:t>
      </w:r>
    </w:p>
    <w:p>
      <w:pPr>
        <w:pStyle w:val="BodyText"/>
        <w:spacing w:line="259" w:lineRule="auto" w:before="179"/>
        <w:ind w:left="622" w:right="1371"/>
        <w:jc w:val="both"/>
      </w:pPr>
      <w:r>
        <w:rPr/>
        <w:t>La</w:t>
      </w:r>
      <w:r>
        <w:rPr>
          <w:spacing w:val="-4"/>
        </w:rPr>
        <w:t> </w:t>
      </w:r>
      <w:r>
        <w:rPr/>
        <w:t>cuenta</w:t>
      </w:r>
      <w:r>
        <w:rPr>
          <w:spacing w:val="-6"/>
        </w:rPr>
        <w:t> </w:t>
      </w:r>
      <w:r>
        <w:rPr/>
        <w:t>Otros</w:t>
      </w:r>
      <w:r>
        <w:rPr>
          <w:spacing w:val="-2"/>
        </w:rPr>
        <w:t> </w:t>
      </w:r>
      <w:r>
        <w:rPr/>
        <w:t>impuestos,</w:t>
      </w:r>
      <w:r>
        <w:rPr>
          <w:spacing w:val="-6"/>
        </w:rPr>
        <w:t> </w:t>
      </w:r>
      <w:r>
        <w:rPr/>
        <w:t>representa</w:t>
      </w:r>
      <w:r>
        <w:rPr>
          <w:spacing w:val="-6"/>
        </w:rPr>
        <w:t> </w:t>
      </w:r>
      <w:r>
        <w:rPr/>
        <w:t>el</w:t>
      </w:r>
      <w:r>
        <w:rPr>
          <w:spacing w:val="-3"/>
        </w:rPr>
        <w:t> </w:t>
      </w:r>
      <w:r>
        <w:rPr/>
        <w:t>0,00%</w:t>
      </w:r>
      <w:r>
        <w:rPr>
          <w:spacing w:val="-3"/>
        </w:rPr>
        <w:t> </w:t>
      </w:r>
      <w:r>
        <w:rPr/>
        <w:t>del</w:t>
      </w:r>
      <w:r>
        <w:rPr>
          <w:spacing w:val="-3"/>
        </w:rPr>
        <w:t> </w:t>
      </w:r>
      <w:r>
        <w:rPr/>
        <w:t>total</w:t>
      </w:r>
      <w:r>
        <w:rPr>
          <w:spacing w:val="-3"/>
        </w:rPr>
        <w:t> </w:t>
      </w:r>
      <w:r>
        <w:rPr/>
        <w:t>del</w:t>
      </w:r>
      <w:r>
        <w:rPr>
          <w:spacing w:val="-3"/>
        </w:rPr>
        <w:t> </w:t>
      </w:r>
      <w:r>
        <w:rPr/>
        <w:t>Ingresos,</w:t>
      </w:r>
      <w:r>
        <w:rPr>
          <w:spacing w:val="-3"/>
        </w:rPr>
        <w:t> </w:t>
      </w:r>
      <w:r>
        <w:rPr/>
        <w:t>que</w:t>
      </w:r>
      <w:r>
        <w:rPr>
          <w:spacing w:val="-2"/>
        </w:rPr>
        <w:t> </w:t>
      </w:r>
      <w:r>
        <w:rPr/>
        <w:t>comparado</w:t>
      </w:r>
      <w:r>
        <w:rPr>
          <w:spacing w:val="-3"/>
        </w:rPr>
        <w:t> </w:t>
      </w:r>
      <w:r>
        <w:rPr/>
        <w:t>al</w:t>
      </w:r>
      <w:r>
        <w:rPr>
          <w:spacing w:val="-4"/>
        </w:rPr>
        <w:t> </w:t>
      </w:r>
      <w:r>
        <w:rPr/>
        <w:t>periodo anterior genera una variación absoluta de 0 000,00</w:t>
      </w:r>
      <w:r>
        <w:rPr>
          <w:spacing w:val="-3"/>
        </w:rPr>
        <w:t> </w:t>
      </w:r>
      <w:r>
        <w:rPr/>
        <w:t>que</w:t>
      </w:r>
      <w:r>
        <w:rPr>
          <w:spacing w:val="-1"/>
        </w:rPr>
        <w:t> </w:t>
      </w:r>
      <w:r>
        <w:rPr/>
        <w:t>corresponde a</w:t>
      </w:r>
      <w:r>
        <w:rPr>
          <w:spacing w:val="-2"/>
        </w:rPr>
        <w:t> </w:t>
      </w:r>
      <w:r>
        <w:rPr/>
        <w:t>un Aumento</w:t>
      </w:r>
      <w:r>
        <w:rPr>
          <w:spacing w:val="-1"/>
        </w:rPr>
        <w:t> </w:t>
      </w:r>
      <w:r>
        <w:rPr/>
        <w:t>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71296">
                <wp:simplePos x="0" y="0"/>
                <wp:positionH relativeFrom="page">
                  <wp:posOffset>1080820</wp:posOffset>
                </wp:positionH>
                <wp:positionV relativeFrom="paragraph">
                  <wp:posOffset>233616</wp:posOffset>
                </wp:positionV>
                <wp:extent cx="5715000" cy="553720"/>
                <wp:effectExtent l="0" t="0" r="0" b="0"/>
                <wp:wrapTopAndBottom/>
                <wp:docPr id="474" name="Textbox 474"/>
                <wp:cNvGraphicFramePr>
                  <a:graphicFrameLocks/>
                </wp:cNvGraphicFramePr>
                <a:graphic>
                  <a:graphicData uri="http://schemas.microsoft.com/office/word/2010/wordprocessingShape">
                    <wps:wsp>
                      <wps:cNvPr id="474" name="Textbox 474"/>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94985pt;width:450pt;height:43.6pt;mso-position-horizontal-relative:page;mso-position-vertical-relative:paragraph;z-index:-15645184;mso-wrap-distance-left:0;mso-wrap-distance-right:0" type="#_x0000_t202" id="docshape45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pPr>
    </w:p>
    <w:p>
      <w:pPr>
        <w:pStyle w:val="BodyText"/>
        <w:spacing w:before="175"/>
      </w:pPr>
    </w:p>
    <w:p>
      <w:pPr>
        <w:pStyle w:val="Heading5"/>
        <w:numPr>
          <w:ilvl w:val="1"/>
          <w:numId w:val="39"/>
        </w:numPr>
        <w:tabs>
          <w:tab w:pos="946" w:val="left" w:leader="none"/>
        </w:tabs>
        <w:spacing w:line="240" w:lineRule="auto" w:before="0" w:after="0"/>
        <w:ind w:left="946" w:right="0" w:hanging="324"/>
        <w:jc w:val="left"/>
      </w:pPr>
      <w:bookmarkStart w:name="_bookmark75" w:id="76"/>
      <w:bookmarkEnd w:id="76"/>
      <w:r>
        <w:rPr>
          <w:b w:val="0"/>
        </w:rPr>
      </w:r>
      <w:r>
        <w:rPr>
          <w:color w:val="1F3762"/>
        </w:rPr>
        <w:t>CONTRIBUCIONES</w:t>
      </w:r>
      <w:r>
        <w:rPr>
          <w:color w:val="1F3762"/>
          <w:spacing w:val="-13"/>
        </w:rPr>
        <w:t> </w:t>
      </w:r>
      <w:r>
        <w:rPr>
          <w:color w:val="1F3762"/>
          <w:spacing w:val="-2"/>
        </w:rPr>
        <w:t>SOCIALES</w:t>
      </w:r>
    </w:p>
    <w:p>
      <w:pPr>
        <w:spacing w:before="167"/>
        <w:ind w:left="622" w:right="0" w:firstLine="0"/>
        <w:jc w:val="left"/>
        <w:rPr>
          <w:b/>
          <w:sz w:val="22"/>
        </w:rPr>
      </w:pPr>
      <w:bookmarkStart w:name="_bookmark76" w:id="77"/>
      <w:bookmarkEnd w:id="77"/>
      <w:r>
        <w:rPr/>
      </w:r>
      <w:r>
        <w:rPr>
          <w:b/>
          <w:sz w:val="22"/>
        </w:rPr>
        <w:t>NOTA</w:t>
      </w:r>
      <w:r>
        <w:rPr>
          <w:b/>
          <w:spacing w:val="-1"/>
          <w:sz w:val="22"/>
        </w:rPr>
        <w:t> </w:t>
      </w:r>
      <w:r>
        <w:rPr>
          <w:b/>
          <w:sz w:val="22"/>
        </w:rPr>
        <w:t>N° </w:t>
      </w:r>
      <w:r>
        <w:rPr>
          <w:b/>
          <w:spacing w:val="-5"/>
          <w:sz w:val="22"/>
        </w:rPr>
        <w:t>36</w:t>
      </w:r>
    </w:p>
    <w:p>
      <w:pPr>
        <w:pStyle w:val="BodyText"/>
        <w:spacing w:before="113"/>
        <w:rPr>
          <w:b/>
        </w:rPr>
      </w:pPr>
    </w:p>
    <w:p>
      <w:pPr>
        <w:pStyle w:val="Heading6"/>
        <w:ind w:left="622"/>
      </w:pPr>
      <w:r>
        <w:rPr/>
        <w:t>Contribuciones</w:t>
      </w:r>
      <w:r>
        <w:rPr>
          <w:spacing w:val="-4"/>
        </w:rPr>
        <w:t> </w:t>
      </w:r>
      <w:r>
        <w:rPr/>
        <w:t>a</w:t>
      </w:r>
      <w:r>
        <w:rPr>
          <w:spacing w:val="-6"/>
        </w:rPr>
        <w:t> </w:t>
      </w:r>
      <w:r>
        <w:rPr/>
        <w:t>la</w:t>
      </w:r>
      <w:r>
        <w:rPr>
          <w:spacing w:val="-6"/>
        </w:rPr>
        <w:t> </w:t>
      </w:r>
      <w:r>
        <w:rPr/>
        <w:t>seguridad</w:t>
      </w:r>
      <w:r>
        <w:rPr>
          <w:spacing w:val="-4"/>
        </w:rPr>
        <w:t> </w:t>
      </w:r>
      <w:r>
        <w:rPr>
          <w:spacing w:val="-2"/>
        </w:rPr>
        <w:t>social</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34"/>
        <w:gridCol w:w="2763"/>
        <w:gridCol w:w="571"/>
        <w:gridCol w:w="1702"/>
        <w:gridCol w:w="1644"/>
        <w:gridCol w:w="1198"/>
      </w:tblGrid>
      <w:tr>
        <w:trPr>
          <w:trHeight w:val="323" w:hRule="atLeast"/>
        </w:trPr>
        <w:tc>
          <w:tcPr>
            <w:tcW w:w="1334" w:type="dxa"/>
            <w:vMerge w:val="restart"/>
            <w:shd w:val="clear" w:color="auto" w:fill="365F92"/>
          </w:tcPr>
          <w:p>
            <w:pPr>
              <w:pStyle w:val="TableParagraph"/>
              <w:spacing w:before="120"/>
              <w:ind w:left="69"/>
              <w:rPr>
                <w:b/>
                <w:sz w:val="22"/>
              </w:rPr>
            </w:pPr>
            <w:r>
              <w:rPr>
                <w:b/>
                <w:color w:val="FFFFFF"/>
                <w:spacing w:val="-2"/>
                <w:sz w:val="22"/>
              </w:rPr>
              <w:t>Cuenta</w:t>
            </w:r>
          </w:p>
        </w:tc>
        <w:tc>
          <w:tcPr>
            <w:tcW w:w="2763" w:type="dxa"/>
            <w:vMerge w:val="restart"/>
            <w:shd w:val="clear" w:color="auto" w:fill="365F92"/>
          </w:tcPr>
          <w:p>
            <w:pPr>
              <w:pStyle w:val="TableParagraph"/>
              <w:spacing w:before="209"/>
              <w:ind w:left="850"/>
              <w:rPr>
                <w:b/>
                <w:sz w:val="22"/>
              </w:rPr>
            </w:pPr>
            <w:r>
              <w:rPr>
                <w:b/>
                <w:color w:val="FFFFFF"/>
                <w:spacing w:val="-2"/>
                <w:sz w:val="22"/>
              </w:rPr>
              <w:t>Descripción</w:t>
            </w:r>
          </w:p>
        </w:tc>
        <w:tc>
          <w:tcPr>
            <w:tcW w:w="571" w:type="dxa"/>
            <w:vMerge w:val="restart"/>
            <w:shd w:val="clear" w:color="auto" w:fill="365F92"/>
          </w:tcPr>
          <w:p>
            <w:pPr>
              <w:pStyle w:val="TableParagraph"/>
              <w:spacing w:before="209"/>
              <w:ind w:left="69"/>
              <w:rPr>
                <w:b/>
                <w:sz w:val="22"/>
              </w:rPr>
            </w:pPr>
            <w:r>
              <w:rPr>
                <w:b/>
                <w:color w:val="FFFFFF"/>
                <w:spacing w:val="-4"/>
                <w:sz w:val="22"/>
              </w:rPr>
              <w:t>Nota</w:t>
            </w:r>
          </w:p>
        </w:tc>
        <w:tc>
          <w:tcPr>
            <w:tcW w:w="1702" w:type="dxa"/>
            <w:vMerge w:val="restart"/>
            <w:shd w:val="clear" w:color="auto" w:fill="365F92"/>
          </w:tcPr>
          <w:p>
            <w:pPr>
              <w:pStyle w:val="TableParagraph"/>
              <w:spacing w:before="209"/>
              <w:ind w:left="218"/>
              <w:rPr>
                <w:b/>
                <w:sz w:val="22"/>
              </w:rPr>
            </w:pPr>
            <w:r>
              <w:rPr>
                <w:b/>
                <w:color w:val="FFFFFF"/>
                <w:sz w:val="22"/>
              </w:rPr>
              <w:t>Periodo</w:t>
            </w:r>
            <w:r>
              <w:rPr>
                <w:b/>
                <w:color w:val="FFFFFF"/>
                <w:spacing w:val="-4"/>
                <w:sz w:val="22"/>
              </w:rPr>
              <w:t> </w:t>
            </w:r>
            <w:r>
              <w:rPr>
                <w:b/>
                <w:color w:val="FFFFFF"/>
                <w:spacing w:val="-2"/>
                <w:sz w:val="22"/>
              </w:rPr>
              <w:t>Actual</w:t>
            </w:r>
          </w:p>
        </w:tc>
        <w:tc>
          <w:tcPr>
            <w:tcW w:w="1644" w:type="dxa"/>
            <w:vMerge w:val="restart"/>
            <w:shd w:val="clear" w:color="auto" w:fill="365F92"/>
          </w:tcPr>
          <w:p>
            <w:pPr>
              <w:pStyle w:val="TableParagraph"/>
              <w:spacing w:before="81"/>
              <w:ind w:left="447" w:right="421" w:firstLine="50"/>
              <w:rPr>
                <w:b/>
                <w:sz w:val="22"/>
              </w:rPr>
            </w:pPr>
            <w:r>
              <w:rPr>
                <w:b/>
                <w:color w:val="FFFFFF"/>
                <w:spacing w:val="-2"/>
                <w:sz w:val="22"/>
              </w:rPr>
              <w:t>Periodo Anterior</w:t>
            </w:r>
          </w:p>
        </w:tc>
        <w:tc>
          <w:tcPr>
            <w:tcW w:w="1198" w:type="dxa"/>
            <w:shd w:val="clear" w:color="auto" w:fill="365F92"/>
          </w:tcPr>
          <w:p>
            <w:pPr>
              <w:pStyle w:val="TableParagraph"/>
              <w:spacing w:before="36"/>
              <w:ind w:left="23" w:right="7"/>
              <w:jc w:val="center"/>
              <w:rPr>
                <w:b/>
                <w:sz w:val="22"/>
              </w:rPr>
            </w:pPr>
            <w:r>
              <w:rPr>
                <w:b/>
                <w:color w:val="FFFFFF"/>
                <w:spacing w:val="-2"/>
                <w:sz w:val="22"/>
              </w:rPr>
              <w:t>Diferencia</w:t>
            </w:r>
          </w:p>
        </w:tc>
      </w:tr>
      <w:tr>
        <w:trPr>
          <w:trHeight w:val="323" w:hRule="atLeast"/>
        </w:trPr>
        <w:tc>
          <w:tcPr>
            <w:tcW w:w="1334" w:type="dxa"/>
            <w:vMerge/>
            <w:tcBorders>
              <w:top w:val="nil"/>
            </w:tcBorders>
            <w:shd w:val="clear" w:color="auto" w:fill="365F92"/>
          </w:tcPr>
          <w:p>
            <w:pPr>
              <w:rPr>
                <w:sz w:val="2"/>
                <w:szCs w:val="2"/>
              </w:rPr>
            </w:pPr>
          </w:p>
        </w:tc>
        <w:tc>
          <w:tcPr>
            <w:tcW w:w="2763"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644"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9"/>
              <w:jc w:val="center"/>
              <w:rPr>
                <w:sz w:val="22"/>
              </w:rPr>
            </w:pPr>
            <w:r>
              <w:rPr>
                <w:color w:val="FFFFFF"/>
                <w:spacing w:val="-10"/>
                <w:sz w:val="22"/>
              </w:rPr>
              <w:t>%</w:t>
            </w:r>
          </w:p>
        </w:tc>
      </w:tr>
      <w:tr>
        <w:trPr>
          <w:trHeight w:val="457" w:hRule="atLeast"/>
        </w:trPr>
        <w:tc>
          <w:tcPr>
            <w:tcW w:w="1334" w:type="dxa"/>
          </w:tcPr>
          <w:p>
            <w:pPr>
              <w:pStyle w:val="TableParagraph"/>
              <w:spacing w:before="113"/>
              <w:ind w:left="69"/>
              <w:rPr>
                <w:b/>
                <w:sz w:val="20"/>
              </w:rPr>
            </w:pPr>
            <w:r>
              <w:rPr>
                <w:b/>
                <w:spacing w:val="-2"/>
                <w:sz w:val="20"/>
              </w:rPr>
              <w:t>4.2.1.</w:t>
            </w:r>
          </w:p>
        </w:tc>
        <w:tc>
          <w:tcPr>
            <w:tcW w:w="2763" w:type="dxa"/>
          </w:tcPr>
          <w:p>
            <w:pPr>
              <w:pStyle w:val="TableParagraph"/>
              <w:spacing w:line="230" w:lineRule="atLeast"/>
              <w:ind w:left="67"/>
              <w:rPr>
                <w:b/>
                <w:sz w:val="20"/>
              </w:rPr>
            </w:pPr>
            <w:r>
              <w:rPr>
                <w:b/>
                <w:sz w:val="20"/>
              </w:rPr>
              <w:t>Contribuciones</w:t>
            </w:r>
            <w:r>
              <w:rPr>
                <w:b/>
                <w:spacing w:val="-13"/>
                <w:sz w:val="20"/>
              </w:rPr>
              <w:t> </w:t>
            </w:r>
            <w:r>
              <w:rPr>
                <w:b/>
                <w:sz w:val="20"/>
              </w:rPr>
              <w:t>a</w:t>
            </w:r>
            <w:r>
              <w:rPr>
                <w:b/>
                <w:spacing w:val="-12"/>
                <w:sz w:val="20"/>
              </w:rPr>
              <w:t> </w:t>
            </w:r>
            <w:r>
              <w:rPr>
                <w:b/>
                <w:sz w:val="20"/>
              </w:rPr>
              <w:t>la</w:t>
            </w:r>
            <w:r>
              <w:rPr>
                <w:b/>
                <w:spacing w:val="-13"/>
                <w:sz w:val="20"/>
              </w:rPr>
              <w:t> </w:t>
            </w:r>
            <w:r>
              <w:rPr>
                <w:b/>
                <w:sz w:val="20"/>
              </w:rPr>
              <w:t>seguridad </w:t>
            </w:r>
            <w:r>
              <w:rPr>
                <w:b/>
                <w:spacing w:val="-2"/>
                <w:sz w:val="20"/>
              </w:rPr>
              <w:t>social</w:t>
            </w:r>
          </w:p>
        </w:tc>
        <w:tc>
          <w:tcPr>
            <w:tcW w:w="571" w:type="dxa"/>
          </w:tcPr>
          <w:p>
            <w:pPr>
              <w:pStyle w:val="TableParagraph"/>
              <w:spacing w:before="113"/>
              <w:ind w:left="187"/>
              <w:rPr>
                <w:b/>
                <w:sz w:val="20"/>
              </w:rPr>
            </w:pPr>
            <w:r>
              <w:rPr>
                <w:b/>
                <w:spacing w:val="-5"/>
                <w:sz w:val="20"/>
              </w:rPr>
              <w:t>36</w:t>
            </w:r>
          </w:p>
        </w:tc>
        <w:tc>
          <w:tcPr>
            <w:tcW w:w="1702" w:type="dxa"/>
          </w:tcPr>
          <w:p>
            <w:pPr>
              <w:pStyle w:val="TableParagraph"/>
              <w:spacing w:before="113"/>
              <w:ind w:left="68"/>
              <w:jc w:val="center"/>
              <w:rPr>
                <w:b/>
                <w:sz w:val="20"/>
              </w:rPr>
            </w:pPr>
            <w:r>
              <w:rPr>
                <w:b/>
                <w:spacing w:val="-4"/>
                <w:sz w:val="20"/>
              </w:rPr>
              <w:t>0,00</w:t>
            </w:r>
          </w:p>
        </w:tc>
        <w:tc>
          <w:tcPr>
            <w:tcW w:w="1644" w:type="dxa"/>
          </w:tcPr>
          <w:p>
            <w:pPr>
              <w:pStyle w:val="TableParagraph"/>
              <w:spacing w:before="113"/>
              <w:ind w:left="16"/>
              <w:jc w:val="center"/>
              <w:rPr>
                <w:b/>
                <w:sz w:val="20"/>
              </w:rPr>
            </w:pPr>
            <w:r>
              <w:rPr>
                <w:b/>
                <w:spacing w:val="-4"/>
                <w:sz w:val="20"/>
              </w:rPr>
              <w:t>0,00</w:t>
            </w:r>
          </w:p>
        </w:tc>
        <w:tc>
          <w:tcPr>
            <w:tcW w:w="1198" w:type="dxa"/>
          </w:tcPr>
          <w:p>
            <w:pPr>
              <w:pStyle w:val="TableParagraph"/>
              <w:spacing w:before="113"/>
              <w:ind w:left="23" w:right="6"/>
              <w:jc w:val="center"/>
              <w:rPr>
                <w:b/>
                <w:sz w:val="20"/>
              </w:rPr>
            </w:pPr>
            <w:r>
              <w:rPr>
                <w:b/>
                <w:spacing w:val="-2"/>
                <w:sz w:val="20"/>
              </w:rPr>
              <w:t>0,00%</w:t>
            </w:r>
          </w:p>
        </w:tc>
      </w:tr>
    </w:tbl>
    <w:p>
      <w:pPr>
        <w:spacing w:before="240"/>
        <w:ind w:left="622" w:right="0" w:firstLine="0"/>
        <w:jc w:val="left"/>
        <w:rPr>
          <w:sz w:val="22"/>
        </w:rPr>
      </w:pPr>
      <w:r>
        <w:rPr>
          <w:b/>
          <w:spacing w:val="-2"/>
          <w:sz w:val="22"/>
        </w:rPr>
        <w:t>Revelación</w:t>
      </w:r>
      <w:r>
        <w:rPr>
          <w:spacing w:val="-2"/>
          <w:sz w:val="22"/>
        </w:rPr>
        <w:t>:</w:t>
      </w:r>
    </w:p>
    <w:p>
      <w:pPr>
        <w:spacing w:after="0"/>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10240">
                <wp:simplePos x="0" y="0"/>
                <wp:positionH relativeFrom="page">
                  <wp:posOffset>9525</wp:posOffset>
                </wp:positionH>
                <wp:positionV relativeFrom="page">
                  <wp:posOffset>297208</wp:posOffset>
                </wp:positionV>
                <wp:extent cx="7762875" cy="9748520"/>
                <wp:effectExtent l="0" t="0" r="0" b="0"/>
                <wp:wrapNone/>
                <wp:docPr id="475" name="Group 475"/>
                <wp:cNvGraphicFramePr>
                  <a:graphicFrameLocks/>
                </wp:cNvGraphicFramePr>
                <a:graphic>
                  <a:graphicData uri="http://schemas.microsoft.com/office/word/2010/wordprocessingGroup">
                    <wpg:wgp>
                      <wpg:cNvPr id="475" name="Group 475"/>
                      <wpg:cNvGrpSpPr/>
                      <wpg:grpSpPr>
                        <a:xfrm>
                          <a:off x="0" y="0"/>
                          <a:ext cx="7762875" cy="9748520"/>
                          <a:chExt cx="7762875" cy="9748520"/>
                        </a:xfrm>
                      </wpg:grpSpPr>
                      <pic:pic>
                        <pic:nvPicPr>
                          <pic:cNvPr id="476" name="Image 476"/>
                          <pic:cNvPicPr/>
                        </pic:nvPicPr>
                        <pic:blipFill>
                          <a:blip r:embed="rId5" cstate="print"/>
                          <a:stretch>
                            <a:fillRect/>
                          </a:stretch>
                        </pic:blipFill>
                        <pic:spPr>
                          <a:xfrm>
                            <a:off x="0" y="0"/>
                            <a:ext cx="7762874" cy="9748489"/>
                          </a:xfrm>
                          <a:prstGeom prst="rect">
                            <a:avLst/>
                          </a:prstGeom>
                        </pic:spPr>
                      </pic:pic>
                      <wps:wsp>
                        <wps:cNvPr id="477" name="Graphic 47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06240" id="docshapegroup453" coordorigin="15,468" coordsize="12225,15352">
                <v:shape style="position:absolute;left:15;top:468;width:12225;height:15352" type="#_x0000_t75" id="docshape454" stroked="false">
                  <v:imagedata r:id="rId5" o:title=""/>
                </v:shape>
                <v:rect style="position:absolute;left:1673;top:2028;width:8897;height:15" id="docshape45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99</w:t>
      </w:r>
    </w:p>
    <w:p>
      <w:pPr>
        <w:pStyle w:val="BodyText"/>
        <w:spacing w:line="259" w:lineRule="auto" w:before="218"/>
        <w:ind w:left="622" w:right="981"/>
        <w:jc w:val="both"/>
      </w:pPr>
      <w:r>
        <w:rPr/>
        <w:t>La cuenta Contribuciones a la seguridad social, representa el 0,00% del total del Ingresos, que comparado al periodo anterior genera una variación absoluta de 0 000,00 que corresponde a un Aumento del 0,00% de recursos disponibles.</w: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672320">
                <wp:simplePos x="0" y="0"/>
                <wp:positionH relativeFrom="page">
                  <wp:posOffset>1080820</wp:posOffset>
                </wp:positionH>
                <wp:positionV relativeFrom="paragraph">
                  <wp:posOffset>233116</wp:posOffset>
                </wp:positionV>
                <wp:extent cx="5715000" cy="553720"/>
                <wp:effectExtent l="0" t="0" r="0" b="0"/>
                <wp:wrapTopAndBottom/>
                <wp:docPr id="478" name="Textbox 478"/>
                <wp:cNvGraphicFramePr>
                  <a:graphicFrameLocks/>
                </wp:cNvGraphicFramePr>
                <a:graphic>
                  <a:graphicData uri="http://schemas.microsoft.com/office/word/2010/wordprocessingShape">
                    <wps:wsp>
                      <wps:cNvPr id="478" name="Textbox 478"/>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55625pt;width:450pt;height:43.6pt;mso-position-horizontal-relative:page;mso-position-vertical-relative:paragraph;z-index:-15644160;mso-wrap-distance-left:0;mso-wrap-distance-right:0" type="#_x0000_t202" id="docshape45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6"/>
      </w:pPr>
    </w:p>
    <w:p>
      <w:pPr>
        <w:spacing w:before="1"/>
        <w:ind w:left="622" w:right="0" w:firstLine="0"/>
        <w:jc w:val="left"/>
        <w:rPr>
          <w:b/>
          <w:sz w:val="22"/>
        </w:rPr>
      </w:pPr>
      <w:bookmarkStart w:name="_bookmark77" w:id="78"/>
      <w:bookmarkEnd w:id="78"/>
      <w:r>
        <w:rPr/>
      </w:r>
      <w:r>
        <w:rPr>
          <w:b/>
          <w:sz w:val="22"/>
        </w:rPr>
        <w:t>NOTA</w:t>
      </w:r>
      <w:r>
        <w:rPr>
          <w:b/>
          <w:spacing w:val="-1"/>
          <w:sz w:val="22"/>
        </w:rPr>
        <w:t> </w:t>
      </w:r>
      <w:r>
        <w:rPr>
          <w:b/>
          <w:sz w:val="22"/>
        </w:rPr>
        <w:t>N° </w:t>
      </w:r>
      <w:r>
        <w:rPr>
          <w:b/>
          <w:spacing w:val="-5"/>
          <w:sz w:val="22"/>
        </w:rPr>
        <w:t>37</w:t>
      </w:r>
    </w:p>
    <w:p>
      <w:pPr>
        <w:pStyle w:val="BodyText"/>
        <w:spacing w:before="114"/>
        <w:rPr>
          <w:b/>
        </w:rPr>
      </w:pPr>
    </w:p>
    <w:p>
      <w:pPr>
        <w:pStyle w:val="Heading6"/>
        <w:spacing w:before="1"/>
        <w:ind w:left="622"/>
      </w:pPr>
      <w:r>
        <w:rPr/>
        <w:t>Contribuciones</w:t>
      </w:r>
      <w:r>
        <w:rPr>
          <w:spacing w:val="-7"/>
        </w:rPr>
        <w:t> </w:t>
      </w:r>
      <w:r>
        <w:rPr/>
        <w:t>sociales</w:t>
      </w:r>
      <w:r>
        <w:rPr>
          <w:spacing w:val="-6"/>
        </w:rPr>
        <w:t> </w:t>
      </w:r>
      <w:r>
        <w:rPr>
          <w:spacing w:val="-2"/>
        </w:rPr>
        <w:t>diversas</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7"/>
        <w:gridCol w:w="2672"/>
        <w:gridCol w:w="572"/>
        <w:gridCol w:w="1832"/>
        <w:gridCol w:w="1915"/>
        <w:gridCol w:w="1193"/>
      </w:tblGrid>
      <w:tr>
        <w:trPr>
          <w:trHeight w:val="316" w:hRule="atLeast"/>
        </w:trPr>
        <w:tc>
          <w:tcPr>
            <w:tcW w:w="977" w:type="dxa"/>
            <w:vMerge w:val="restart"/>
            <w:shd w:val="clear" w:color="auto" w:fill="365F92"/>
          </w:tcPr>
          <w:p>
            <w:pPr>
              <w:pStyle w:val="TableParagraph"/>
              <w:spacing w:before="113"/>
              <w:ind w:left="69"/>
              <w:rPr>
                <w:sz w:val="22"/>
              </w:rPr>
            </w:pPr>
            <w:r>
              <w:rPr>
                <w:spacing w:val="-2"/>
                <w:sz w:val="22"/>
              </w:rPr>
              <w:t>Cuenta</w:t>
            </w:r>
          </w:p>
        </w:tc>
        <w:tc>
          <w:tcPr>
            <w:tcW w:w="2672" w:type="dxa"/>
            <w:vMerge w:val="restart"/>
            <w:shd w:val="clear" w:color="auto" w:fill="365F92"/>
          </w:tcPr>
          <w:p>
            <w:pPr>
              <w:pStyle w:val="TableParagraph"/>
              <w:spacing w:before="201"/>
              <w:ind w:left="806"/>
              <w:rPr>
                <w:sz w:val="22"/>
              </w:rPr>
            </w:pPr>
            <w:r>
              <w:rPr>
                <w:spacing w:val="-2"/>
                <w:sz w:val="22"/>
              </w:rPr>
              <w:t>Descripción</w:t>
            </w:r>
          </w:p>
        </w:tc>
        <w:tc>
          <w:tcPr>
            <w:tcW w:w="572" w:type="dxa"/>
            <w:vMerge w:val="restart"/>
            <w:shd w:val="clear" w:color="auto" w:fill="365F92"/>
          </w:tcPr>
          <w:p>
            <w:pPr>
              <w:pStyle w:val="TableParagraph"/>
              <w:spacing w:before="201"/>
              <w:ind w:left="68"/>
              <w:rPr>
                <w:sz w:val="22"/>
              </w:rPr>
            </w:pPr>
            <w:r>
              <w:rPr>
                <w:spacing w:val="-4"/>
                <w:sz w:val="22"/>
              </w:rPr>
              <w:t>Nota</w:t>
            </w:r>
          </w:p>
        </w:tc>
        <w:tc>
          <w:tcPr>
            <w:tcW w:w="1832" w:type="dxa"/>
            <w:vMerge w:val="restart"/>
            <w:shd w:val="clear" w:color="auto" w:fill="365F92"/>
          </w:tcPr>
          <w:p>
            <w:pPr>
              <w:pStyle w:val="TableParagraph"/>
              <w:spacing w:before="201"/>
              <w:ind w:left="281"/>
              <w:rPr>
                <w:sz w:val="22"/>
              </w:rPr>
            </w:pPr>
            <w:r>
              <w:rPr>
                <w:sz w:val="22"/>
              </w:rPr>
              <w:t>Periodo</w:t>
            </w:r>
            <w:r>
              <w:rPr>
                <w:spacing w:val="-5"/>
                <w:sz w:val="22"/>
              </w:rPr>
              <w:t> </w:t>
            </w:r>
            <w:r>
              <w:rPr>
                <w:spacing w:val="-2"/>
                <w:sz w:val="22"/>
              </w:rPr>
              <w:t>Actual</w:t>
            </w:r>
          </w:p>
        </w:tc>
        <w:tc>
          <w:tcPr>
            <w:tcW w:w="1915" w:type="dxa"/>
            <w:vMerge w:val="restart"/>
            <w:shd w:val="clear" w:color="auto" w:fill="365F92"/>
          </w:tcPr>
          <w:p>
            <w:pPr>
              <w:pStyle w:val="TableParagraph"/>
              <w:spacing w:before="201"/>
              <w:ind w:left="233"/>
              <w:rPr>
                <w:sz w:val="22"/>
              </w:rPr>
            </w:pPr>
            <w:r>
              <w:rPr>
                <w:sz w:val="22"/>
              </w:rPr>
              <w:t>Periodo</w:t>
            </w:r>
            <w:r>
              <w:rPr>
                <w:spacing w:val="-5"/>
                <w:sz w:val="22"/>
              </w:rPr>
              <w:t> </w:t>
            </w:r>
            <w:r>
              <w:rPr>
                <w:spacing w:val="-2"/>
                <w:sz w:val="22"/>
              </w:rPr>
              <w:t>Anterior</w:t>
            </w:r>
          </w:p>
        </w:tc>
        <w:tc>
          <w:tcPr>
            <w:tcW w:w="1193" w:type="dxa"/>
            <w:shd w:val="clear" w:color="auto" w:fill="365F92"/>
          </w:tcPr>
          <w:p>
            <w:pPr>
              <w:pStyle w:val="TableParagraph"/>
              <w:spacing w:before="33"/>
              <w:ind w:left="17" w:right="5"/>
              <w:jc w:val="center"/>
              <w:rPr>
                <w:sz w:val="22"/>
              </w:rPr>
            </w:pPr>
            <w:r>
              <w:rPr>
                <w:spacing w:val="-2"/>
                <w:sz w:val="22"/>
              </w:rPr>
              <w:t>Diferencia</w:t>
            </w:r>
          </w:p>
        </w:tc>
      </w:tr>
      <w:tr>
        <w:trPr>
          <w:trHeight w:val="315" w:hRule="atLeast"/>
        </w:trPr>
        <w:tc>
          <w:tcPr>
            <w:tcW w:w="977" w:type="dxa"/>
            <w:vMerge/>
            <w:tcBorders>
              <w:top w:val="nil"/>
            </w:tcBorders>
            <w:shd w:val="clear" w:color="auto" w:fill="365F92"/>
          </w:tcPr>
          <w:p>
            <w:pPr>
              <w:rPr>
                <w:sz w:val="2"/>
                <w:szCs w:val="2"/>
              </w:rPr>
            </w:pPr>
          </w:p>
        </w:tc>
        <w:tc>
          <w:tcPr>
            <w:tcW w:w="2672"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32" w:type="dxa"/>
            <w:vMerge/>
            <w:tcBorders>
              <w:top w:val="nil"/>
            </w:tcBorders>
            <w:shd w:val="clear" w:color="auto" w:fill="365F92"/>
          </w:tcPr>
          <w:p>
            <w:pPr>
              <w:rPr>
                <w:sz w:val="2"/>
                <w:szCs w:val="2"/>
              </w:rPr>
            </w:pPr>
          </w:p>
        </w:tc>
        <w:tc>
          <w:tcPr>
            <w:tcW w:w="1915" w:type="dxa"/>
            <w:vMerge/>
            <w:tcBorders>
              <w:top w:val="nil"/>
            </w:tcBorders>
            <w:shd w:val="clear" w:color="auto" w:fill="365F92"/>
          </w:tcPr>
          <w:p>
            <w:pPr>
              <w:rPr>
                <w:sz w:val="2"/>
                <w:szCs w:val="2"/>
              </w:rPr>
            </w:pPr>
          </w:p>
        </w:tc>
        <w:tc>
          <w:tcPr>
            <w:tcW w:w="1193" w:type="dxa"/>
            <w:shd w:val="clear" w:color="auto" w:fill="365F92"/>
          </w:tcPr>
          <w:p>
            <w:pPr>
              <w:pStyle w:val="TableParagraph"/>
              <w:spacing w:before="33"/>
              <w:ind w:left="17" w:right="2"/>
              <w:jc w:val="center"/>
              <w:rPr>
                <w:sz w:val="22"/>
              </w:rPr>
            </w:pPr>
            <w:r>
              <w:rPr>
                <w:spacing w:val="-10"/>
                <w:sz w:val="22"/>
              </w:rPr>
              <w:t>%</w:t>
            </w:r>
          </w:p>
        </w:tc>
      </w:tr>
      <w:tr>
        <w:trPr>
          <w:trHeight w:val="503" w:hRule="atLeast"/>
        </w:trPr>
        <w:tc>
          <w:tcPr>
            <w:tcW w:w="977" w:type="dxa"/>
          </w:tcPr>
          <w:p>
            <w:pPr>
              <w:pStyle w:val="TableParagraph"/>
              <w:spacing w:before="125"/>
              <w:ind w:left="69"/>
              <w:rPr>
                <w:b/>
                <w:sz w:val="22"/>
              </w:rPr>
            </w:pPr>
            <w:r>
              <w:rPr>
                <w:b/>
                <w:spacing w:val="-2"/>
                <w:sz w:val="22"/>
              </w:rPr>
              <w:t>4.2.9.</w:t>
            </w:r>
          </w:p>
        </w:tc>
        <w:tc>
          <w:tcPr>
            <w:tcW w:w="2672" w:type="dxa"/>
          </w:tcPr>
          <w:p>
            <w:pPr>
              <w:pStyle w:val="TableParagraph"/>
              <w:ind w:left="68"/>
              <w:rPr>
                <w:b/>
                <w:sz w:val="22"/>
              </w:rPr>
            </w:pPr>
            <w:r>
              <w:rPr>
                <w:b/>
                <w:sz w:val="22"/>
              </w:rPr>
              <w:t>Contribuciones</w:t>
            </w:r>
            <w:r>
              <w:rPr>
                <w:b/>
                <w:spacing w:val="-8"/>
                <w:sz w:val="22"/>
              </w:rPr>
              <w:t> </w:t>
            </w:r>
            <w:r>
              <w:rPr>
                <w:b/>
                <w:spacing w:val="-2"/>
                <w:sz w:val="22"/>
              </w:rPr>
              <w:t>sociales</w:t>
            </w:r>
          </w:p>
          <w:p>
            <w:pPr>
              <w:pStyle w:val="TableParagraph"/>
              <w:spacing w:line="231" w:lineRule="exact" w:before="1"/>
              <w:ind w:left="68"/>
              <w:rPr>
                <w:b/>
                <w:sz w:val="22"/>
              </w:rPr>
            </w:pPr>
            <w:r>
              <w:rPr>
                <w:b/>
                <w:spacing w:val="-2"/>
                <w:sz w:val="22"/>
              </w:rPr>
              <w:t>diversas</w:t>
            </w:r>
          </w:p>
        </w:tc>
        <w:tc>
          <w:tcPr>
            <w:tcW w:w="572" w:type="dxa"/>
          </w:tcPr>
          <w:p>
            <w:pPr>
              <w:pStyle w:val="TableParagraph"/>
              <w:spacing w:before="135"/>
              <w:ind w:left="186"/>
              <w:rPr>
                <w:b/>
                <w:sz w:val="20"/>
              </w:rPr>
            </w:pPr>
            <w:r>
              <w:rPr>
                <w:b/>
                <w:spacing w:val="-5"/>
                <w:sz w:val="20"/>
              </w:rPr>
              <w:t>37</w:t>
            </w:r>
          </w:p>
        </w:tc>
        <w:tc>
          <w:tcPr>
            <w:tcW w:w="1832" w:type="dxa"/>
          </w:tcPr>
          <w:p>
            <w:pPr>
              <w:pStyle w:val="TableParagraph"/>
              <w:spacing w:before="135"/>
              <w:ind w:left="346"/>
              <w:rPr>
                <w:b/>
                <w:sz w:val="20"/>
              </w:rPr>
            </w:pPr>
            <w:r>
              <w:rPr>
                <w:b/>
                <w:sz w:val="20"/>
              </w:rPr>
              <w:t>33</w:t>
            </w:r>
            <w:r>
              <w:rPr>
                <w:b/>
                <w:spacing w:val="-3"/>
                <w:sz w:val="20"/>
              </w:rPr>
              <w:t> </w:t>
            </w:r>
            <w:r>
              <w:rPr>
                <w:b/>
                <w:sz w:val="20"/>
              </w:rPr>
              <w:t>858</w:t>
            </w:r>
            <w:r>
              <w:rPr>
                <w:b/>
                <w:spacing w:val="-2"/>
                <w:sz w:val="20"/>
              </w:rPr>
              <w:t> 824,86</w:t>
            </w:r>
          </w:p>
        </w:tc>
        <w:tc>
          <w:tcPr>
            <w:tcW w:w="1915" w:type="dxa"/>
          </w:tcPr>
          <w:p>
            <w:pPr>
              <w:pStyle w:val="TableParagraph"/>
              <w:spacing w:before="135"/>
              <w:ind w:left="389"/>
              <w:rPr>
                <w:b/>
                <w:sz w:val="20"/>
              </w:rPr>
            </w:pPr>
            <w:r>
              <w:rPr>
                <w:b/>
                <w:sz w:val="20"/>
              </w:rPr>
              <w:t>32</w:t>
            </w:r>
            <w:r>
              <w:rPr>
                <w:b/>
                <w:spacing w:val="-3"/>
                <w:sz w:val="20"/>
              </w:rPr>
              <w:t> </w:t>
            </w:r>
            <w:r>
              <w:rPr>
                <w:b/>
                <w:sz w:val="20"/>
              </w:rPr>
              <w:t>354</w:t>
            </w:r>
            <w:r>
              <w:rPr>
                <w:b/>
                <w:spacing w:val="-2"/>
                <w:sz w:val="20"/>
              </w:rPr>
              <w:t> 794,22</w:t>
            </w:r>
          </w:p>
        </w:tc>
        <w:tc>
          <w:tcPr>
            <w:tcW w:w="1193" w:type="dxa"/>
          </w:tcPr>
          <w:p>
            <w:pPr>
              <w:pStyle w:val="TableParagraph"/>
              <w:spacing w:before="135"/>
              <w:ind w:left="17" w:right="4"/>
              <w:jc w:val="center"/>
              <w:rPr>
                <w:b/>
                <w:sz w:val="20"/>
              </w:rPr>
            </w:pPr>
            <w:r>
              <w:rPr>
                <w:b/>
                <w:spacing w:val="-2"/>
                <w:sz w:val="20"/>
              </w:rPr>
              <w:t>4,65%</w:t>
            </w:r>
          </w:p>
        </w:tc>
      </w:tr>
    </w:tbl>
    <w:p>
      <w:pPr>
        <w:spacing w:before="241"/>
        <w:ind w:left="622" w:right="0" w:firstLine="0"/>
        <w:jc w:val="left"/>
        <w:rPr>
          <w:sz w:val="22"/>
        </w:rPr>
      </w:pPr>
      <w:r>
        <w:rPr>
          <w:b/>
          <w:spacing w:val="-2"/>
          <w:sz w:val="22"/>
        </w:rPr>
        <w:t>Revelación</w:t>
      </w:r>
      <w:r>
        <w:rPr>
          <w:spacing w:val="-2"/>
          <w:sz w:val="22"/>
        </w:rPr>
        <w:t>:</w:t>
      </w:r>
    </w:p>
    <w:p>
      <w:pPr>
        <w:pStyle w:val="BodyText"/>
        <w:spacing w:before="178"/>
        <w:ind w:left="622" w:right="977"/>
        <w:jc w:val="both"/>
      </w:pPr>
      <w:r>
        <w:rPr/>
        <w:t>La</w:t>
      </w:r>
      <w:r>
        <w:rPr>
          <w:spacing w:val="-14"/>
        </w:rPr>
        <w:t> </w:t>
      </w:r>
      <w:r>
        <w:rPr/>
        <w:t>cuenta</w:t>
      </w:r>
      <w:r>
        <w:rPr>
          <w:spacing w:val="-14"/>
        </w:rPr>
        <w:t> </w:t>
      </w:r>
      <w:r>
        <w:rPr/>
        <w:t>Contribuciones</w:t>
      </w:r>
      <w:r>
        <w:rPr>
          <w:spacing w:val="-11"/>
        </w:rPr>
        <w:t> </w:t>
      </w:r>
      <w:r>
        <w:rPr/>
        <w:t>sociales</w:t>
      </w:r>
      <w:r>
        <w:rPr>
          <w:spacing w:val="-11"/>
        </w:rPr>
        <w:t> </w:t>
      </w:r>
      <w:r>
        <w:rPr/>
        <w:t>diversas,</w:t>
      </w:r>
      <w:r>
        <w:rPr>
          <w:spacing w:val="-13"/>
        </w:rPr>
        <w:t> </w:t>
      </w:r>
      <w:r>
        <w:rPr/>
        <w:t>representa</w:t>
      </w:r>
      <w:r>
        <w:rPr>
          <w:spacing w:val="-14"/>
        </w:rPr>
        <w:t> </w:t>
      </w:r>
      <w:r>
        <w:rPr/>
        <w:t>el</w:t>
      </w:r>
      <w:r>
        <w:rPr>
          <w:spacing w:val="-11"/>
        </w:rPr>
        <w:t> </w:t>
      </w:r>
      <w:r>
        <w:rPr/>
        <w:t>23,43%</w:t>
      </w:r>
      <w:r>
        <w:rPr>
          <w:spacing w:val="-13"/>
        </w:rPr>
        <w:t> </w:t>
      </w:r>
      <w:r>
        <w:rPr/>
        <w:t>del</w:t>
      </w:r>
      <w:r>
        <w:rPr>
          <w:spacing w:val="-13"/>
        </w:rPr>
        <w:t> </w:t>
      </w:r>
      <w:r>
        <w:rPr/>
        <w:t>total</w:t>
      </w:r>
      <w:r>
        <w:rPr>
          <w:spacing w:val="-14"/>
        </w:rPr>
        <w:t> </w:t>
      </w:r>
      <w:r>
        <w:rPr/>
        <w:t>del</w:t>
      </w:r>
      <w:r>
        <w:rPr>
          <w:spacing w:val="-12"/>
        </w:rPr>
        <w:t> </w:t>
      </w:r>
      <w:r>
        <w:rPr/>
        <w:t>Ingresos,</w:t>
      </w:r>
      <w:r>
        <w:rPr>
          <w:spacing w:val="-14"/>
        </w:rPr>
        <w:t> </w:t>
      </w:r>
      <w:r>
        <w:rPr/>
        <w:t>que</w:t>
      </w:r>
      <w:r>
        <w:rPr>
          <w:spacing w:val="-11"/>
        </w:rPr>
        <w:t> </w:t>
      </w:r>
      <w:r>
        <w:rPr/>
        <w:t>comparado al periodo anterior genera una variación absoluta de ¢ 1.504.030,64 que corresponde a un aumento del 4,65% de recursos disponibles.</w:t>
      </w:r>
    </w:p>
    <w:p>
      <w:pPr>
        <w:pStyle w:val="BodyText"/>
        <w:spacing w:before="180"/>
        <w:rPr>
          <w:sz w:val="20"/>
        </w:rPr>
      </w:pPr>
      <w:r>
        <w:rPr>
          <w:sz w:val="20"/>
        </w:rPr>
        <mc:AlternateContent>
          <mc:Choice Requires="wps">
            <w:drawing>
              <wp:anchor distT="0" distB="0" distL="0" distR="0" allowOverlap="1" layoutInCell="1" locked="0" behindDoc="1" simplePos="0" relativeHeight="487672832">
                <wp:simplePos x="0" y="0"/>
                <wp:positionH relativeFrom="page">
                  <wp:posOffset>1080820</wp:posOffset>
                </wp:positionH>
                <wp:positionV relativeFrom="paragraph">
                  <wp:posOffset>277574</wp:posOffset>
                </wp:positionV>
                <wp:extent cx="5715000" cy="2285365"/>
                <wp:effectExtent l="0" t="0" r="0" b="0"/>
                <wp:wrapTopAndBottom/>
                <wp:docPr id="479" name="Textbox 479"/>
                <wp:cNvGraphicFramePr>
                  <a:graphicFrameLocks/>
                </wp:cNvGraphicFramePr>
                <a:graphic>
                  <a:graphicData uri="http://schemas.microsoft.com/office/word/2010/wordprocessingShape">
                    <wps:wsp>
                      <wps:cNvPr id="479" name="Textbox 479"/>
                      <wps:cNvSpPr txBox="1"/>
                      <wps:spPr>
                        <a:xfrm>
                          <a:off x="0" y="0"/>
                          <a:ext cx="5715000" cy="2285365"/>
                        </a:xfrm>
                        <a:prstGeom prst="rect">
                          <a:avLst/>
                        </a:prstGeom>
                        <a:ln w="6095">
                          <a:solidFill>
                            <a:srgbClr val="000000"/>
                          </a:solidFill>
                          <a:prstDash val="solid"/>
                        </a:ln>
                      </wps:spPr>
                      <wps:txbx>
                        <w:txbxContent>
                          <w:p>
                            <w:pPr>
                              <w:spacing w:before="0"/>
                              <w:ind w:left="64" w:right="0" w:firstLine="0"/>
                              <w:jc w:val="left"/>
                              <w:rPr>
                                <w:b/>
                                <w:sz w:val="22"/>
                              </w:rPr>
                            </w:pPr>
                            <w:r>
                              <w:rPr>
                                <w:b/>
                                <w:spacing w:val="-2"/>
                                <w:sz w:val="22"/>
                                <w:u w:val="single"/>
                              </w:rPr>
                              <w:t>Revelación:</w:t>
                            </w:r>
                          </w:p>
                          <w:p>
                            <w:pPr>
                              <w:pStyle w:val="BodyText"/>
                              <w:spacing w:before="7"/>
                              <w:rPr>
                                <w:b/>
                              </w:rPr>
                            </w:pPr>
                          </w:p>
                          <w:p>
                            <w:pPr>
                              <w:pStyle w:val="BodyText"/>
                              <w:spacing w:line="259" w:lineRule="auto"/>
                              <w:ind w:left="64" w:right="64"/>
                              <w:jc w:val="both"/>
                            </w:pPr>
                            <w:r>
                              <w:rPr/>
                              <w:t>Las contribuciones sociales diversas comprenden ingresos sin contraprestación, que corresponde al registro del aporte de los patrones de la empresa privada en general</w:t>
                            </w:r>
                            <w:r>
                              <w:rPr>
                                <w:spacing w:val="80"/>
                              </w:rPr>
                              <w:t> </w:t>
                            </w:r>
                            <w:r>
                              <w:rPr/>
                              <w:t>correspondiente al medio por ciento mensual sobre las remuneraciones, sean salarios o sueldos, ordinarios o extraordinarios, que paguen</w:t>
                            </w:r>
                            <w:r>
                              <w:rPr>
                                <w:spacing w:val="-8"/>
                              </w:rPr>
                              <w:t> </w:t>
                            </w:r>
                            <w:r>
                              <w:rPr/>
                              <w:t>a</w:t>
                            </w:r>
                            <w:r>
                              <w:rPr>
                                <w:spacing w:val="-9"/>
                              </w:rPr>
                              <w:t> </w:t>
                            </w:r>
                            <w:r>
                              <w:rPr/>
                              <w:t>los</w:t>
                            </w:r>
                            <w:r>
                              <w:rPr>
                                <w:spacing w:val="-10"/>
                              </w:rPr>
                              <w:t> </w:t>
                            </w:r>
                            <w:r>
                              <w:rPr/>
                              <w:t>trabajadores</w:t>
                            </w:r>
                            <w:r>
                              <w:rPr>
                                <w:spacing w:val="-7"/>
                              </w:rPr>
                              <w:t> </w:t>
                            </w:r>
                            <w:r>
                              <w:rPr/>
                              <w:t>de</w:t>
                            </w:r>
                            <w:r>
                              <w:rPr>
                                <w:spacing w:val="-11"/>
                              </w:rPr>
                              <w:t> </w:t>
                            </w:r>
                            <w:r>
                              <w:rPr/>
                              <w:t>sus</w:t>
                            </w:r>
                            <w:r>
                              <w:rPr>
                                <w:spacing w:val="-7"/>
                              </w:rPr>
                              <w:t> </w:t>
                            </w:r>
                            <w:r>
                              <w:rPr/>
                              <w:t>respectivas</w:t>
                            </w:r>
                            <w:r>
                              <w:rPr>
                                <w:spacing w:val="-7"/>
                              </w:rPr>
                              <w:t> </w:t>
                            </w:r>
                            <w:r>
                              <w:rPr/>
                              <w:t>actividades</w:t>
                            </w:r>
                            <w:r>
                              <w:rPr>
                                <w:spacing w:val="-10"/>
                              </w:rPr>
                              <w:t> </w:t>
                            </w:r>
                            <w:r>
                              <w:rPr/>
                              <w:t>que</w:t>
                            </w:r>
                            <w:r>
                              <w:rPr>
                                <w:spacing w:val="-9"/>
                              </w:rPr>
                              <w:t> </w:t>
                            </w:r>
                            <w:r>
                              <w:rPr/>
                              <w:t>estén</w:t>
                            </w:r>
                            <w:r>
                              <w:rPr>
                                <w:spacing w:val="-8"/>
                              </w:rPr>
                              <w:t> </w:t>
                            </w:r>
                            <w:r>
                              <w:rPr/>
                              <w:t>empadronados</w:t>
                            </w:r>
                            <w:r>
                              <w:rPr>
                                <w:spacing w:val="-9"/>
                              </w:rPr>
                              <w:t> </w:t>
                            </w:r>
                            <w:r>
                              <w:rPr/>
                              <w:t>en</w:t>
                            </w:r>
                            <w:r>
                              <w:rPr>
                                <w:spacing w:val="-10"/>
                              </w:rPr>
                              <w:t> </w:t>
                            </w:r>
                            <w:r>
                              <w:rPr/>
                              <w:t>el</w:t>
                            </w:r>
                            <w:r>
                              <w:rPr>
                                <w:spacing w:val="-9"/>
                              </w:rPr>
                              <w:t> </w:t>
                            </w:r>
                            <w:r>
                              <w:rPr/>
                              <w:t>INA</w:t>
                            </w:r>
                            <w:r>
                              <w:rPr>
                                <w:spacing w:val="-8"/>
                              </w:rPr>
                              <w:t> </w:t>
                            </w:r>
                            <w:r>
                              <w:rPr/>
                              <w:t>y</w:t>
                            </w:r>
                            <w:r>
                              <w:rPr>
                                <w:spacing w:val="-9"/>
                              </w:rPr>
                              <w:t> </w:t>
                            </w:r>
                            <w:r>
                              <w:rPr/>
                              <w:t>el</w:t>
                            </w:r>
                            <w:r>
                              <w:rPr>
                                <w:spacing w:val="-9"/>
                              </w:rPr>
                              <w:t> </w:t>
                            </w:r>
                            <w:r>
                              <w:rPr/>
                              <w:t>Seguro Social o en el Banco Popular y de Desarrollo Comunal.</w:t>
                            </w:r>
                          </w:p>
                          <w:p>
                            <w:pPr>
                              <w:pStyle w:val="BodyText"/>
                              <w:spacing w:line="259" w:lineRule="auto" w:before="239"/>
                              <w:ind w:left="64" w:right="69"/>
                              <w:jc w:val="both"/>
                            </w:pPr>
                            <w:r>
                              <w:rPr/>
                              <w:t>También están obligados a pagar el aporte, las instituciones autónomas del país, cuyos recursos no provengan</w:t>
                            </w:r>
                            <w:r>
                              <w:rPr>
                                <w:spacing w:val="-5"/>
                              </w:rPr>
                              <w:t> </w:t>
                            </w:r>
                            <w:r>
                              <w:rPr/>
                              <w:t>del</w:t>
                            </w:r>
                            <w:r>
                              <w:rPr>
                                <w:spacing w:val="-5"/>
                              </w:rPr>
                              <w:t> </w:t>
                            </w:r>
                            <w:r>
                              <w:rPr/>
                              <w:t>presupuesto</w:t>
                            </w:r>
                            <w:r>
                              <w:rPr>
                                <w:spacing w:val="-8"/>
                              </w:rPr>
                              <w:t> </w:t>
                            </w:r>
                            <w:r>
                              <w:rPr/>
                              <w:t>general</w:t>
                            </w:r>
                            <w:r>
                              <w:rPr>
                                <w:spacing w:val="-5"/>
                              </w:rPr>
                              <w:t> </w:t>
                            </w:r>
                            <w:r>
                              <w:rPr/>
                              <w:t>ordinario</w:t>
                            </w:r>
                            <w:r>
                              <w:rPr>
                                <w:spacing w:val="-4"/>
                              </w:rPr>
                              <w:t> </w:t>
                            </w:r>
                            <w:r>
                              <w:rPr/>
                              <w:t>de</w:t>
                            </w:r>
                            <w:r>
                              <w:rPr>
                                <w:spacing w:val="-6"/>
                              </w:rPr>
                              <w:t> </w:t>
                            </w:r>
                            <w:r>
                              <w:rPr/>
                              <w:t>la</w:t>
                            </w:r>
                            <w:r>
                              <w:rPr>
                                <w:spacing w:val="-8"/>
                              </w:rPr>
                              <w:t> </w:t>
                            </w:r>
                            <w:r>
                              <w:rPr/>
                              <w:t>República,</w:t>
                            </w:r>
                            <w:r>
                              <w:rPr>
                                <w:spacing w:val="-5"/>
                              </w:rPr>
                              <w:t> </w:t>
                            </w:r>
                            <w:r>
                              <w:rPr/>
                              <w:t>pero</w:t>
                            </w:r>
                            <w:r>
                              <w:rPr>
                                <w:spacing w:val="-4"/>
                              </w:rPr>
                              <w:t> </w:t>
                            </w:r>
                            <w:r>
                              <w:rPr/>
                              <w:t>si</w:t>
                            </w:r>
                            <w:r>
                              <w:rPr>
                                <w:spacing w:val="-5"/>
                              </w:rPr>
                              <w:t> </w:t>
                            </w:r>
                            <w:r>
                              <w:rPr/>
                              <w:t>responde</w:t>
                            </w:r>
                            <w:r>
                              <w:rPr>
                                <w:spacing w:val="-6"/>
                              </w:rPr>
                              <w:t> </w:t>
                            </w:r>
                            <w:r>
                              <w:rPr/>
                              <w:t>a</w:t>
                            </w:r>
                            <w:r>
                              <w:rPr>
                                <w:spacing w:val="-5"/>
                              </w:rPr>
                              <w:t> </w:t>
                            </w:r>
                            <w:r>
                              <w:rPr/>
                              <w:t>la</w:t>
                            </w:r>
                            <w:r>
                              <w:rPr>
                                <w:spacing w:val="-8"/>
                              </w:rPr>
                              <w:t> </w:t>
                            </w:r>
                            <w:r>
                              <w:rPr/>
                              <w:t>Ley</w:t>
                            </w:r>
                            <w:r>
                              <w:rPr>
                                <w:spacing w:val="-6"/>
                              </w:rPr>
                              <w:t> </w:t>
                            </w:r>
                            <w:r>
                              <w:rPr/>
                              <w:t>4760</w:t>
                            </w:r>
                            <w:r>
                              <w:rPr>
                                <w:spacing w:val="-6"/>
                              </w:rPr>
                              <w:t> </w:t>
                            </w:r>
                            <w:r>
                              <w:rPr/>
                              <w:t>aplicable a la institución.</w:t>
                            </w:r>
                          </w:p>
                          <w:p>
                            <w:pPr>
                              <w:pStyle w:val="BodyText"/>
                              <w:spacing w:before="241"/>
                              <w:ind w:left="64"/>
                            </w:pPr>
                            <w:r>
                              <w:rPr/>
                              <w:t>A</w:t>
                            </w:r>
                            <w:r>
                              <w:rPr>
                                <w:spacing w:val="-3"/>
                              </w:rPr>
                              <w:t> </w:t>
                            </w:r>
                            <w:r>
                              <w:rPr/>
                              <w:t>continuación,</w:t>
                            </w:r>
                            <w:r>
                              <w:rPr>
                                <w:spacing w:val="-4"/>
                              </w:rPr>
                              <w:t> </w:t>
                            </w:r>
                            <w:r>
                              <w:rPr/>
                              <w:t>se</w:t>
                            </w:r>
                            <w:r>
                              <w:rPr>
                                <w:spacing w:val="-3"/>
                              </w:rPr>
                              <w:t> </w:t>
                            </w:r>
                            <w:r>
                              <w:rPr/>
                              <w:t>detalla</w:t>
                            </w:r>
                            <w:r>
                              <w:rPr>
                                <w:spacing w:val="-4"/>
                              </w:rPr>
                              <w:t> </w:t>
                            </w:r>
                            <w:r>
                              <w:rPr/>
                              <w:t>el</w:t>
                            </w:r>
                            <w:r>
                              <w:rPr>
                                <w:spacing w:val="-2"/>
                              </w:rPr>
                              <w:t> </w:t>
                            </w:r>
                            <w:r>
                              <w:rPr/>
                              <w:t>desglose</w:t>
                            </w:r>
                            <w:r>
                              <w:rPr>
                                <w:spacing w:val="-3"/>
                              </w:rPr>
                              <w:t> </w:t>
                            </w:r>
                            <w:r>
                              <w:rPr/>
                              <w:t>de</w:t>
                            </w:r>
                            <w:r>
                              <w:rPr>
                                <w:spacing w:val="-4"/>
                              </w:rPr>
                              <w:t> </w:t>
                            </w:r>
                            <w:r>
                              <w:rPr/>
                              <w:t>la</w:t>
                            </w:r>
                            <w:r>
                              <w:rPr>
                                <w:spacing w:val="-4"/>
                              </w:rPr>
                              <w:t> </w:t>
                            </w:r>
                            <w:r>
                              <w:rPr>
                                <w:spacing w:val="-2"/>
                              </w:rPr>
                              <w:t>cuenta:</w:t>
                            </w:r>
                          </w:p>
                        </w:txbxContent>
                      </wps:txbx>
                      <wps:bodyPr wrap="square" lIns="0" tIns="0" rIns="0" bIns="0" rtlCol="0">
                        <a:noAutofit/>
                      </wps:bodyPr>
                    </wps:wsp>
                  </a:graphicData>
                </a:graphic>
              </wp:anchor>
            </w:drawing>
          </mc:Choice>
          <mc:Fallback>
            <w:pict>
              <v:shape style="position:absolute;margin-left:85.103996pt;margin-top:21.856251pt;width:450pt;height:179.95pt;mso-position-horizontal-relative:page;mso-position-vertical-relative:paragraph;z-index:-15643648;mso-wrap-distance-left:0;mso-wrap-distance-right:0" type="#_x0000_t202" id="docshape457" filled="false" stroked="true" strokeweight=".47998pt" strokecolor="#000000">
                <v:textbox inset="0,0,0,0">
                  <w:txbxContent>
                    <w:p>
                      <w:pPr>
                        <w:spacing w:before="0"/>
                        <w:ind w:left="64" w:right="0" w:firstLine="0"/>
                        <w:jc w:val="left"/>
                        <w:rPr>
                          <w:b/>
                          <w:sz w:val="22"/>
                        </w:rPr>
                      </w:pPr>
                      <w:r>
                        <w:rPr>
                          <w:b/>
                          <w:spacing w:val="-2"/>
                          <w:sz w:val="22"/>
                          <w:u w:val="single"/>
                        </w:rPr>
                        <w:t>Revelación:</w:t>
                      </w:r>
                    </w:p>
                    <w:p>
                      <w:pPr>
                        <w:pStyle w:val="BodyText"/>
                        <w:spacing w:before="7"/>
                        <w:rPr>
                          <w:b/>
                        </w:rPr>
                      </w:pPr>
                    </w:p>
                    <w:p>
                      <w:pPr>
                        <w:pStyle w:val="BodyText"/>
                        <w:spacing w:line="259" w:lineRule="auto"/>
                        <w:ind w:left="64" w:right="64"/>
                        <w:jc w:val="both"/>
                      </w:pPr>
                      <w:r>
                        <w:rPr/>
                        <w:t>Las contribuciones sociales diversas comprenden ingresos sin contraprestación, que corresponde al registro del aporte de los patrones de la empresa privada en general</w:t>
                      </w:r>
                      <w:r>
                        <w:rPr>
                          <w:spacing w:val="80"/>
                        </w:rPr>
                        <w:t> </w:t>
                      </w:r>
                      <w:r>
                        <w:rPr/>
                        <w:t>correspondiente al medio por ciento mensual sobre las remuneraciones, sean salarios o sueldos, ordinarios o extraordinarios, que paguen</w:t>
                      </w:r>
                      <w:r>
                        <w:rPr>
                          <w:spacing w:val="-8"/>
                        </w:rPr>
                        <w:t> </w:t>
                      </w:r>
                      <w:r>
                        <w:rPr/>
                        <w:t>a</w:t>
                      </w:r>
                      <w:r>
                        <w:rPr>
                          <w:spacing w:val="-9"/>
                        </w:rPr>
                        <w:t> </w:t>
                      </w:r>
                      <w:r>
                        <w:rPr/>
                        <w:t>los</w:t>
                      </w:r>
                      <w:r>
                        <w:rPr>
                          <w:spacing w:val="-10"/>
                        </w:rPr>
                        <w:t> </w:t>
                      </w:r>
                      <w:r>
                        <w:rPr/>
                        <w:t>trabajadores</w:t>
                      </w:r>
                      <w:r>
                        <w:rPr>
                          <w:spacing w:val="-7"/>
                        </w:rPr>
                        <w:t> </w:t>
                      </w:r>
                      <w:r>
                        <w:rPr/>
                        <w:t>de</w:t>
                      </w:r>
                      <w:r>
                        <w:rPr>
                          <w:spacing w:val="-11"/>
                        </w:rPr>
                        <w:t> </w:t>
                      </w:r>
                      <w:r>
                        <w:rPr/>
                        <w:t>sus</w:t>
                      </w:r>
                      <w:r>
                        <w:rPr>
                          <w:spacing w:val="-7"/>
                        </w:rPr>
                        <w:t> </w:t>
                      </w:r>
                      <w:r>
                        <w:rPr/>
                        <w:t>respectivas</w:t>
                      </w:r>
                      <w:r>
                        <w:rPr>
                          <w:spacing w:val="-7"/>
                        </w:rPr>
                        <w:t> </w:t>
                      </w:r>
                      <w:r>
                        <w:rPr/>
                        <w:t>actividades</w:t>
                      </w:r>
                      <w:r>
                        <w:rPr>
                          <w:spacing w:val="-10"/>
                        </w:rPr>
                        <w:t> </w:t>
                      </w:r>
                      <w:r>
                        <w:rPr/>
                        <w:t>que</w:t>
                      </w:r>
                      <w:r>
                        <w:rPr>
                          <w:spacing w:val="-9"/>
                        </w:rPr>
                        <w:t> </w:t>
                      </w:r>
                      <w:r>
                        <w:rPr/>
                        <w:t>estén</w:t>
                      </w:r>
                      <w:r>
                        <w:rPr>
                          <w:spacing w:val="-8"/>
                        </w:rPr>
                        <w:t> </w:t>
                      </w:r>
                      <w:r>
                        <w:rPr/>
                        <w:t>empadronados</w:t>
                      </w:r>
                      <w:r>
                        <w:rPr>
                          <w:spacing w:val="-9"/>
                        </w:rPr>
                        <w:t> </w:t>
                      </w:r>
                      <w:r>
                        <w:rPr/>
                        <w:t>en</w:t>
                      </w:r>
                      <w:r>
                        <w:rPr>
                          <w:spacing w:val="-10"/>
                        </w:rPr>
                        <w:t> </w:t>
                      </w:r>
                      <w:r>
                        <w:rPr/>
                        <w:t>el</w:t>
                      </w:r>
                      <w:r>
                        <w:rPr>
                          <w:spacing w:val="-9"/>
                        </w:rPr>
                        <w:t> </w:t>
                      </w:r>
                      <w:r>
                        <w:rPr/>
                        <w:t>INA</w:t>
                      </w:r>
                      <w:r>
                        <w:rPr>
                          <w:spacing w:val="-8"/>
                        </w:rPr>
                        <w:t> </w:t>
                      </w:r>
                      <w:r>
                        <w:rPr/>
                        <w:t>y</w:t>
                      </w:r>
                      <w:r>
                        <w:rPr>
                          <w:spacing w:val="-9"/>
                        </w:rPr>
                        <w:t> </w:t>
                      </w:r>
                      <w:r>
                        <w:rPr/>
                        <w:t>el</w:t>
                      </w:r>
                      <w:r>
                        <w:rPr>
                          <w:spacing w:val="-9"/>
                        </w:rPr>
                        <w:t> </w:t>
                      </w:r>
                      <w:r>
                        <w:rPr/>
                        <w:t>Seguro Social o en el Banco Popular y de Desarrollo Comunal.</w:t>
                      </w:r>
                    </w:p>
                    <w:p>
                      <w:pPr>
                        <w:pStyle w:val="BodyText"/>
                        <w:spacing w:line="259" w:lineRule="auto" w:before="239"/>
                        <w:ind w:left="64" w:right="69"/>
                        <w:jc w:val="both"/>
                      </w:pPr>
                      <w:r>
                        <w:rPr/>
                        <w:t>También están obligados a pagar el aporte, las instituciones autónomas del país, cuyos recursos no provengan</w:t>
                      </w:r>
                      <w:r>
                        <w:rPr>
                          <w:spacing w:val="-5"/>
                        </w:rPr>
                        <w:t> </w:t>
                      </w:r>
                      <w:r>
                        <w:rPr/>
                        <w:t>del</w:t>
                      </w:r>
                      <w:r>
                        <w:rPr>
                          <w:spacing w:val="-5"/>
                        </w:rPr>
                        <w:t> </w:t>
                      </w:r>
                      <w:r>
                        <w:rPr/>
                        <w:t>presupuesto</w:t>
                      </w:r>
                      <w:r>
                        <w:rPr>
                          <w:spacing w:val="-8"/>
                        </w:rPr>
                        <w:t> </w:t>
                      </w:r>
                      <w:r>
                        <w:rPr/>
                        <w:t>general</w:t>
                      </w:r>
                      <w:r>
                        <w:rPr>
                          <w:spacing w:val="-5"/>
                        </w:rPr>
                        <w:t> </w:t>
                      </w:r>
                      <w:r>
                        <w:rPr/>
                        <w:t>ordinario</w:t>
                      </w:r>
                      <w:r>
                        <w:rPr>
                          <w:spacing w:val="-4"/>
                        </w:rPr>
                        <w:t> </w:t>
                      </w:r>
                      <w:r>
                        <w:rPr/>
                        <w:t>de</w:t>
                      </w:r>
                      <w:r>
                        <w:rPr>
                          <w:spacing w:val="-6"/>
                        </w:rPr>
                        <w:t> </w:t>
                      </w:r>
                      <w:r>
                        <w:rPr/>
                        <w:t>la</w:t>
                      </w:r>
                      <w:r>
                        <w:rPr>
                          <w:spacing w:val="-8"/>
                        </w:rPr>
                        <w:t> </w:t>
                      </w:r>
                      <w:r>
                        <w:rPr/>
                        <w:t>República,</w:t>
                      </w:r>
                      <w:r>
                        <w:rPr>
                          <w:spacing w:val="-5"/>
                        </w:rPr>
                        <w:t> </w:t>
                      </w:r>
                      <w:r>
                        <w:rPr/>
                        <w:t>pero</w:t>
                      </w:r>
                      <w:r>
                        <w:rPr>
                          <w:spacing w:val="-4"/>
                        </w:rPr>
                        <w:t> </w:t>
                      </w:r>
                      <w:r>
                        <w:rPr/>
                        <w:t>si</w:t>
                      </w:r>
                      <w:r>
                        <w:rPr>
                          <w:spacing w:val="-5"/>
                        </w:rPr>
                        <w:t> </w:t>
                      </w:r>
                      <w:r>
                        <w:rPr/>
                        <w:t>responde</w:t>
                      </w:r>
                      <w:r>
                        <w:rPr>
                          <w:spacing w:val="-6"/>
                        </w:rPr>
                        <w:t> </w:t>
                      </w:r>
                      <w:r>
                        <w:rPr/>
                        <w:t>a</w:t>
                      </w:r>
                      <w:r>
                        <w:rPr>
                          <w:spacing w:val="-5"/>
                        </w:rPr>
                        <w:t> </w:t>
                      </w:r>
                      <w:r>
                        <w:rPr/>
                        <w:t>la</w:t>
                      </w:r>
                      <w:r>
                        <w:rPr>
                          <w:spacing w:val="-8"/>
                        </w:rPr>
                        <w:t> </w:t>
                      </w:r>
                      <w:r>
                        <w:rPr/>
                        <w:t>Ley</w:t>
                      </w:r>
                      <w:r>
                        <w:rPr>
                          <w:spacing w:val="-6"/>
                        </w:rPr>
                        <w:t> </w:t>
                      </w:r>
                      <w:r>
                        <w:rPr/>
                        <w:t>4760</w:t>
                      </w:r>
                      <w:r>
                        <w:rPr>
                          <w:spacing w:val="-6"/>
                        </w:rPr>
                        <w:t> </w:t>
                      </w:r>
                      <w:r>
                        <w:rPr/>
                        <w:t>aplicable a la institución.</w:t>
                      </w:r>
                    </w:p>
                    <w:p>
                      <w:pPr>
                        <w:pStyle w:val="BodyText"/>
                        <w:spacing w:before="241"/>
                        <w:ind w:left="64"/>
                      </w:pPr>
                      <w:r>
                        <w:rPr/>
                        <w:t>A</w:t>
                      </w:r>
                      <w:r>
                        <w:rPr>
                          <w:spacing w:val="-3"/>
                        </w:rPr>
                        <w:t> </w:t>
                      </w:r>
                      <w:r>
                        <w:rPr/>
                        <w:t>continuación,</w:t>
                      </w:r>
                      <w:r>
                        <w:rPr>
                          <w:spacing w:val="-4"/>
                        </w:rPr>
                        <w:t> </w:t>
                      </w:r>
                      <w:r>
                        <w:rPr/>
                        <w:t>se</w:t>
                      </w:r>
                      <w:r>
                        <w:rPr>
                          <w:spacing w:val="-3"/>
                        </w:rPr>
                        <w:t> </w:t>
                      </w:r>
                      <w:r>
                        <w:rPr/>
                        <w:t>detalla</w:t>
                      </w:r>
                      <w:r>
                        <w:rPr>
                          <w:spacing w:val="-4"/>
                        </w:rPr>
                        <w:t> </w:t>
                      </w:r>
                      <w:r>
                        <w:rPr/>
                        <w:t>el</w:t>
                      </w:r>
                      <w:r>
                        <w:rPr>
                          <w:spacing w:val="-2"/>
                        </w:rPr>
                        <w:t> </w:t>
                      </w:r>
                      <w:r>
                        <w:rPr/>
                        <w:t>desglose</w:t>
                      </w:r>
                      <w:r>
                        <w:rPr>
                          <w:spacing w:val="-3"/>
                        </w:rPr>
                        <w:t> </w:t>
                      </w:r>
                      <w:r>
                        <w:rPr/>
                        <w:t>de</w:t>
                      </w:r>
                      <w:r>
                        <w:rPr>
                          <w:spacing w:val="-4"/>
                        </w:rPr>
                        <w:t> </w:t>
                      </w:r>
                      <w:r>
                        <w:rPr/>
                        <w:t>la</w:t>
                      </w:r>
                      <w:r>
                        <w:rPr>
                          <w:spacing w:val="-4"/>
                        </w:rPr>
                        <w:t> </w:t>
                      </w:r>
                      <w:r>
                        <w:rPr>
                          <w:spacing w:val="-2"/>
                        </w:rPr>
                        <w:t>cuenta: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color w:val="172951"/>
          <w:sz w:val="20"/>
        </w:rPr>
        <w:t>Pág.</w:t>
      </w:r>
      <w:r>
        <w:rPr>
          <w:color w:val="172951"/>
          <w:spacing w:val="-7"/>
          <w:sz w:val="20"/>
        </w:rPr>
        <w:t> </w:t>
      </w:r>
      <w:r>
        <w:rPr>
          <w:color w:val="172951"/>
          <w:spacing w:val="-5"/>
          <w:sz w:val="20"/>
        </w:rPr>
        <w:t>100</w:t>
      </w:r>
    </w:p>
    <w:p>
      <w:pPr>
        <w:pStyle w:val="BodyText"/>
        <w:rPr>
          <w:sz w:val="20"/>
        </w:rPr>
      </w:pPr>
    </w:p>
    <w:p>
      <w:pPr>
        <w:pStyle w:val="BodyText"/>
        <w:spacing w:before="111"/>
        <w:rPr>
          <w:sz w:val="20"/>
        </w:rPr>
      </w:pPr>
    </w:p>
    <w:p>
      <w:pPr>
        <w:pStyle w:val="BodyText"/>
        <w:spacing w:after="0"/>
        <w:rPr>
          <w:sz w:val="20"/>
        </w:rPr>
        <w:sectPr>
          <w:pgSz w:w="12240" w:h="15840"/>
          <w:pgMar w:top="1720" w:bottom="280" w:left="1080" w:right="720"/>
        </w:sectPr>
      </w:pPr>
    </w:p>
    <w:p>
      <w:pPr>
        <w:tabs>
          <w:tab w:pos="6206" w:val="left" w:leader="none"/>
          <w:tab w:pos="8081" w:val="right" w:leader="none"/>
        </w:tabs>
        <w:spacing w:before="157"/>
        <w:ind w:left="927" w:right="0" w:firstLine="0"/>
        <w:jc w:val="left"/>
        <w:rPr>
          <w:sz w:val="10"/>
        </w:rPr>
      </w:pPr>
      <w:r>
        <w:rPr>
          <w:spacing w:val="-2"/>
          <w:w w:val="145"/>
          <w:sz w:val="12"/>
        </w:rPr>
        <w:t>patronos)</w:t>
      </w:r>
      <w:r>
        <w:rPr>
          <w:sz w:val="12"/>
        </w:rPr>
        <w:tab/>
      </w:r>
      <w:r>
        <w:rPr>
          <w:spacing w:val="-2"/>
          <w:w w:val="145"/>
          <w:sz w:val="10"/>
        </w:rPr>
        <w:t>125.53</w:t>
      </w:r>
      <w:r>
        <w:rPr>
          <w:sz w:val="10"/>
        </w:rPr>
        <w:tab/>
      </w:r>
      <w:r>
        <w:rPr>
          <w:spacing w:val="-2"/>
          <w:w w:val="145"/>
          <w:sz w:val="10"/>
        </w:rPr>
        <w:t>193.31</w:t>
      </w:r>
    </w:p>
    <w:p>
      <w:pPr>
        <w:spacing w:before="91"/>
        <w:ind w:left="377" w:right="0" w:firstLine="0"/>
        <w:jc w:val="left"/>
        <w:rPr>
          <w:sz w:val="10"/>
        </w:rPr>
      </w:pPr>
      <w:r>
        <w:rPr/>
        <w:br w:type="column"/>
      </w:r>
      <w:r>
        <w:rPr>
          <w:spacing w:val="-2"/>
          <w:w w:val="145"/>
          <w:sz w:val="10"/>
        </w:rPr>
        <w:t>-35.06%</w:t>
      </w:r>
    </w:p>
    <w:p>
      <w:pPr>
        <w:spacing w:after="0"/>
        <w:jc w:val="left"/>
        <w:rPr>
          <w:sz w:val="10"/>
        </w:rPr>
        <w:sectPr>
          <w:type w:val="continuous"/>
          <w:pgSz w:w="12240" w:h="15840"/>
          <w:pgMar w:top="1820" w:bottom="280" w:left="1080" w:right="720"/>
          <w:cols w:num="2" w:equalWidth="0">
            <w:col w:w="8082" w:space="40"/>
            <w:col w:w="2318"/>
          </w:cols>
        </w:sectPr>
      </w:pPr>
    </w:p>
    <w:p>
      <w:pPr>
        <w:pStyle w:val="BodyText"/>
        <w:rPr>
          <w:sz w:val="10"/>
        </w:rPr>
      </w:pPr>
    </w:p>
    <w:p>
      <w:pPr>
        <w:pStyle w:val="BodyText"/>
        <w:rPr>
          <w:sz w:val="10"/>
        </w:rPr>
      </w:pPr>
    </w:p>
    <w:p>
      <w:pPr>
        <w:pStyle w:val="BodyText"/>
        <w:rPr>
          <w:sz w:val="10"/>
        </w:rPr>
      </w:pPr>
    </w:p>
    <w:p>
      <w:pPr>
        <w:pStyle w:val="BodyText"/>
        <w:spacing w:before="22"/>
        <w:rPr>
          <w:sz w:val="10"/>
        </w:rPr>
      </w:pPr>
    </w:p>
    <w:p>
      <w:pPr>
        <w:tabs>
          <w:tab w:pos="5191" w:val="left" w:leader="none"/>
          <w:tab w:pos="6197" w:val="left" w:leader="none"/>
          <w:tab w:pos="7679" w:val="left" w:leader="none"/>
          <w:tab w:pos="8484" w:val="left" w:leader="none"/>
        </w:tabs>
        <w:spacing w:before="0"/>
        <w:ind w:left="2726" w:right="0" w:firstLine="0"/>
        <w:jc w:val="left"/>
        <w:rPr>
          <w:b/>
          <w:position w:val="1"/>
          <w:sz w:val="10"/>
        </w:rPr>
      </w:pPr>
      <w:r>
        <w:rPr>
          <w:b/>
          <w:position w:val="1"/>
          <w:sz w:val="10"/>
        </w:rPr>
        <mc:AlternateContent>
          <mc:Choice Requires="wps">
            <w:drawing>
              <wp:anchor distT="0" distB="0" distL="0" distR="0" allowOverlap="1" layoutInCell="1" locked="0" behindDoc="0" simplePos="0" relativeHeight="15815168">
                <wp:simplePos x="0" y="0"/>
                <wp:positionH relativeFrom="page">
                  <wp:posOffset>1042720</wp:posOffset>
                </wp:positionH>
                <wp:positionV relativeFrom="paragraph">
                  <wp:posOffset>-709358</wp:posOffset>
                </wp:positionV>
                <wp:extent cx="5791200" cy="698499"/>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5791200" cy="69849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4553"/>
                              <w:gridCol w:w="1696"/>
                              <w:gridCol w:w="1034"/>
                              <w:gridCol w:w="1152"/>
                              <w:gridCol w:w="282"/>
                            </w:tblGrid>
                            <w:tr>
                              <w:trPr>
                                <w:trHeight w:val="166" w:hRule="atLeast"/>
                              </w:trPr>
                              <w:tc>
                                <w:tcPr>
                                  <w:tcW w:w="283" w:type="dxa"/>
                                  <w:tcBorders>
                                    <w:top w:val="single" w:sz="4" w:space="0" w:color="000000"/>
                                  </w:tcBorders>
                                </w:tcPr>
                                <w:p>
                                  <w:pPr>
                                    <w:pStyle w:val="TableParagraph"/>
                                    <w:rPr>
                                      <w:rFonts w:ascii="Times New Roman"/>
                                      <w:sz w:val="10"/>
                                    </w:rPr>
                                  </w:pPr>
                                </w:p>
                              </w:tc>
                              <w:tc>
                                <w:tcPr>
                                  <w:tcW w:w="4553" w:type="dxa"/>
                                  <w:tcBorders>
                                    <w:top w:val="single" w:sz="4" w:space="0" w:color="000000"/>
                                  </w:tcBorders>
                                  <w:shd w:val="clear" w:color="auto" w:fill="FFFFFF"/>
                                </w:tcPr>
                                <w:p>
                                  <w:pPr>
                                    <w:pStyle w:val="TableParagraph"/>
                                    <w:spacing w:line="130" w:lineRule="exact" w:before="17"/>
                                    <w:ind w:left="26"/>
                                    <w:rPr>
                                      <w:b/>
                                      <w:sz w:val="13"/>
                                    </w:rPr>
                                  </w:pPr>
                                  <w:r>
                                    <w:rPr>
                                      <w:b/>
                                      <w:w w:val="135"/>
                                      <w:sz w:val="13"/>
                                    </w:rPr>
                                    <w:t>INGRESOS</w:t>
                                  </w:r>
                                  <w:r>
                                    <w:rPr>
                                      <w:b/>
                                      <w:spacing w:val="60"/>
                                      <w:w w:val="135"/>
                                      <w:sz w:val="13"/>
                                    </w:rPr>
                                    <w:t> </w:t>
                                  </w:r>
                                  <w:r>
                                    <w:rPr>
                                      <w:b/>
                                      <w:w w:val="135"/>
                                      <w:sz w:val="13"/>
                                    </w:rPr>
                                    <w:t>CONTRIBUCIONES</w:t>
                                  </w:r>
                                  <w:r>
                                    <w:rPr>
                                      <w:b/>
                                      <w:spacing w:val="60"/>
                                      <w:w w:val="135"/>
                                      <w:sz w:val="13"/>
                                    </w:rPr>
                                    <w:t> </w:t>
                                  </w:r>
                                  <w:r>
                                    <w:rPr>
                                      <w:b/>
                                      <w:spacing w:val="-2"/>
                                      <w:w w:val="135"/>
                                      <w:sz w:val="13"/>
                                    </w:rPr>
                                    <w:t>SOCIALES</w:t>
                                  </w:r>
                                </w:p>
                              </w:tc>
                              <w:tc>
                                <w:tcPr>
                                  <w:tcW w:w="1696" w:type="dxa"/>
                                  <w:tcBorders>
                                    <w:top w:val="single" w:sz="4" w:space="0" w:color="000000"/>
                                  </w:tcBorders>
                                  <w:shd w:val="clear" w:color="auto" w:fill="FFFFFF"/>
                                </w:tcPr>
                                <w:p>
                                  <w:pPr>
                                    <w:pStyle w:val="TableParagraph"/>
                                    <w:spacing w:line="127" w:lineRule="exact" w:before="19"/>
                                    <w:ind w:right="532"/>
                                    <w:jc w:val="right"/>
                                    <w:rPr>
                                      <w:b/>
                                      <w:sz w:val="12"/>
                                    </w:rPr>
                                  </w:pPr>
                                  <w:r>
                                    <w:rPr>
                                      <w:b/>
                                      <w:spacing w:val="-4"/>
                                      <w:w w:val="135"/>
                                      <w:sz w:val="12"/>
                                      <w:u w:val="single"/>
                                    </w:rPr>
                                    <w:t>2026</w:t>
                                  </w:r>
                                </w:p>
                              </w:tc>
                              <w:tc>
                                <w:tcPr>
                                  <w:tcW w:w="1034" w:type="dxa"/>
                                  <w:tcBorders>
                                    <w:top w:val="single" w:sz="4" w:space="0" w:color="000000"/>
                                  </w:tcBorders>
                                  <w:shd w:val="clear" w:color="auto" w:fill="FFFFFF"/>
                                </w:tcPr>
                                <w:p>
                                  <w:pPr>
                                    <w:pStyle w:val="TableParagraph"/>
                                    <w:spacing w:line="127" w:lineRule="exact" w:before="19"/>
                                    <w:ind w:right="85"/>
                                    <w:jc w:val="right"/>
                                    <w:rPr>
                                      <w:b/>
                                      <w:sz w:val="12"/>
                                    </w:rPr>
                                  </w:pPr>
                                  <w:r>
                                    <w:rPr>
                                      <w:b/>
                                      <w:spacing w:val="-4"/>
                                      <w:w w:val="135"/>
                                      <w:sz w:val="12"/>
                                      <w:u w:val="single"/>
                                    </w:rPr>
                                    <w:t>2025</w:t>
                                  </w:r>
                                </w:p>
                              </w:tc>
                              <w:tc>
                                <w:tcPr>
                                  <w:tcW w:w="1152" w:type="dxa"/>
                                  <w:tcBorders>
                                    <w:top w:val="single" w:sz="4" w:space="0" w:color="000000"/>
                                  </w:tcBorders>
                                  <w:shd w:val="clear" w:color="auto" w:fill="FFFFFF"/>
                                </w:tcPr>
                                <w:p>
                                  <w:pPr>
                                    <w:pStyle w:val="TableParagraph"/>
                                    <w:spacing w:line="130" w:lineRule="exact" w:before="17"/>
                                    <w:ind w:left="86"/>
                                    <w:rPr>
                                      <w:b/>
                                      <w:sz w:val="13"/>
                                    </w:rPr>
                                  </w:pPr>
                                  <w:r>
                                    <w:rPr>
                                      <w:b/>
                                      <w:w w:val="135"/>
                                      <w:sz w:val="13"/>
                                      <w:u w:val="single"/>
                                    </w:rPr>
                                    <w:t>Variación</w:t>
                                  </w:r>
                                  <w:r>
                                    <w:rPr>
                                      <w:b/>
                                      <w:spacing w:val="51"/>
                                      <w:w w:val="135"/>
                                      <w:sz w:val="13"/>
                                      <w:u w:val="single"/>
                                    </w:rPr>
                                    <w:t> </w:t>
                                  </w:r>
                                  <w:r>
                                    <w:rPr>
                                      <w:b/>
                                      <w:spacing w:val="-10"/>
                                      <w:w w:val="135"/>
                                      <w:sz w:val="13"/>
                                      <w:u w:val="single"/>
                                    </w:rPr>
                                    <w:t>%</w:t>
                                  </w:r>
                                </w:p>
                              </w:tc>
                              <w:tc>
                                <w:tcPr>
                                  <w:tcW w:w="282" w:type="dxa"/>
                                  <w:vMerge w:val="restart"/>
                                  <w:tcBorders>
                                    <w:top w:val="single" w:sz="4" w:space="0" w:color="000000"/>
                                  </w:tcBorders>
                                </w:tcPr>
                                <w:p>
                                  <w:pPr>
                                    <w:pStyle w:val="TableParagraph"/>
                                    <w:rPr>
                                      <w:rFonts w:ascii="Times New Roman"/>
                                      <w:sz w:val="10"/>
                                    </w:rPr>
                                  </w:pPr>
                                </w:p>
                              </w:tc>
                            </w:tr>
                            <w:tr>
                              <w:trPr>
                                <w:trHeight w:val="401" w:hRule="atLeast"/>
                              </w:trPr>
                              <w:tc>
                                <w:tcPr>
                                  <w:tcW w:w="8718" w:type="dxa"/>
                                  <w:gridSpan w:val="5"/>
                                </w:tcPr>
                                <w:p>
                                  <w:pPr>
                                    <w:pStyle w:val="TableParagraph"/>
                                    <w:spacing w:before="13"/>
                                    <w:ind w:left="417"/>
                                    <w:rPr>
                                      <w:b/>
                                      <w:sz w:val="13"/>
                                    </w:rPr>
                                  </w:pPr>
                                  <w:r>
                                    <w:rPr>
                                      <w:b/>
                                      <w:w w:val="135"/>
                                      <w:sz w:val="13"/>
                                    </w:rPr>
                                    <w:t>Gobierno</w:t>
                                  </w:r>
                                  <w:r>
                                    <w:rPr>
                                      <w:b/>
                                      <w:spacing w:val="48"/>
                                      <w:w w:val="135"/>
                                      <w:sz w:val="13"/>
                                    </w:rPr>
                                    <w:t> </w:t>
                                  </w:r>
                                  <w:r>
                                    <w:rPr>
                                      <w:b/>
                                      <w:spacing w:val="-2"/>
                                      <w:w w:val="135"/>
                                      <w:sz w:val="13"/>
                                    </w:rPr>
                                    <w:t>Central</w:t>
                                  </w:r>
                                </w:p>
                                <w:p>
                                  <w:pPr>
                                    <w:pStyle w:val="TableParagraph"/>
                                    <w:spacing w:before="15"/>
                                    <w:ind w:left="305"/>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tc>
                              <w:tc>
                                <w:tcPr>
                                  <w:tcW w:w="282" w:type="dxa"/>
                                  <w:vMerge/>
                                  <w:tcBorders>
                                    <w:top w:val="nil"/>
                                  </w:tcBorders>
                                </w:tcPr>
                                <w:p>
                                  <w:pPr>
                                    <w:rPr>
                                      <w:sz w:val="2"/>
                                      <w:szCs w:val="2"/>
                                    </w:rPr>
                                  </w:pPr>
                                </w:p>
                              </w:tc>
                            </w:tr>
                            <w:tr>
                              <w:trPr>
                                <w:trHeight w:val="81" w:hRule="atLeast"/>
                              </w:trPr>
                              <w:tc>
                                <w:tcPr>
                                  <w:tcW w:w="4836" w:type="dxa"/>
                                  <w:gridSpan w:val="2"/>
                                </w:tcPr>
                                <w:p>
                                  <w:pPr>
                                    <w:pStyle w:val="TableParagraph"/>
                                    <w:rPr>
                                      <w:rFonts w:ascii="Times New Roman"/>
                                      <w:sz w:val="2"/>
                                    </w:rPr>
                                  </w:pPr>
                                </w:p>
                              </w:tc>
                              <w:tc>
                                <w:tcPr>
                                  <w:tcW w:w="1696" w:type="dxa"/>
                                </w:tcPr>
                                <w:p>
                                  <w:pPr>
                                    <w:pStyle w:val="TableParagraph"/>
                                    <w:rPr>
                                      <w:rFonts w:ascii="Times New Roman"/>
                                      <w:sz w:val="2"/>
                                    </w:rPr>
                                  </w:pPr>
                                </w:p>
                              </w:tc>
                              <w:tc>
                                <w:tcPr>
                                  <w:tcW w:w="1034" w:type="dxa"/>
                                </w:tcPr>
                                <w:p>
                                  <w:pPr>
                                    <w:pStyle w:val="TableParagraph"/>
                                    <w:rPr>
                                      <w:rFonts w:ascii="Times New Roman"/>
                                      <w:sz w:val="2"/>
                                    </w:rPr>
                                  </w:pPr>
                                </w:p>
                              </w:tc>
                              <w:tc>
                                <w:tcPr>
                                  <w:tcW w:w="1152" w:type="dxa"/>
                                  <w:tcBorders>
                                    <w:top w:val="single" w:sz="6" w:space="0" w:color="auto"/>
                                    <w:left w:val="single" w:sz="6" w:space="0" w:color="auto"/>
                                    <w:bottom w:val="single" w:sz="6" w:space="0" w:color="auto"/>
                                    <w:right w:val="single" w:sz="6" w:space="0" w:color="auto"/>
                                  </w:tcBorders>
                                </w:tcPr>
                                <w:p>
                                  <w:pPr/>
                                </w:p>
                              </w:tc>
                              <w:tc>
                                <w:tcPr>
                                  <w:tcW w:w="282" w:type="dxa"/>
                                  <w:vMerge/>
                                  <w:tcBorders>
                                    <w:top w:val="nil"/>
                                  </w:tcBorders>
                                </w:tcPr>
                                <w:p>
                                  <w:pPr>
                                    <w:rPr>
                                      <w:sz w:val="2"/>
                                      <w:szCs w:val="2"/>
                                    </w:rPr>
                                  </w:pPr>
                                </w:p>
                              </w:tc>
                            </w:tr>
                            <w:tr>
                              <w:trPr>
                                <w:trHeight w:val="153" w:hRule="atLeast"/>
                              </w:trPr>
                              <w:tc>
                                <w:tcPr>
                                  <w:tcW w:w="4836" w:type="dxa"/>
                                  <w:gridSpan w:val="2"/>
                                </w:tcPr>
                                <w:p>
                                  <w:pPr>
                                    <w:pStyle w:val="TableParagraph"/>
                                    <w:spacing w:line="133" w:lineRule="exact"/>
                                    <w:ind w:left="305"/>
                                    <w:rPr>
                                      <w:sz w:val="12"/>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p>
                              </w:tc>
                              <w:tc>
                                <w:tcPr>
                                  <w:tcW w:w="1696" w:type="dxa"/>
                                </w:tcPr>
                                <w:p>
                                  <w:pPr>
                                    <w:pStyle w:val="TableParagraph"/>
                                    <w:spacing w:before="15"/>
                                    <w:ind w:right="552"/>
                                    <w:jc w:val="right"/>
                                    <w:rPr>
                                      <w:sz w:val="10"/>
                                    </w:rPr>
                                  </w:pPr>
                                  <w:r>
                                    <w:rPr>
                                      <w:spacing w:val="-2"/>
                                      <w:w w:val="145"/>
                                      <w:sz w:val="10"/>
                                    </w:rPr>
                                    <w:t>20.24</w:t>
                                  </w:r>
                                </w:p>
                              </w:tc>
                              <w:tc>
                                <w:tcPr>
                                  <w:tcW w:w="1034" w:type="dxa"/>
                                </w:tcPr>
                                <w:p>
                                  <w:pPr>
                                    <w:pStyle w:val="TableParagraph"/>
                                    <w:spacing w:before="15"/>
                                    <w:ind w:right="104"/>
                                    <w:jc w:val="right"/>
                                    <w:rPr>
                                      <w:sz w:val="10"/>
                                    </w:rPr>
                                  </w:pPr>
                                  <w:r>
                                    <w:rPr>
                                      <w:spacing w:val="-2"/>
                                      <w:w w:val="145"/>
                                      <w:sz w:val="10"/>
                                    </w:rPr>
                                    <w:t>35.23</w:t>
                                  </w:r>
                                </w:p>
                              </w:tc>
                              <w:tc>
                                <w:tcPr>
                                  <w:tcW w:w="1434" w:type="dxa"/>
                                  <w:gridSpan w:val="2"/>
                                </w:tcPr>
                                <w:p>
                                  <w:pPr>
                                    <w:pStyle w:val="TableParagraph"/>
                                    <w:spacing w:before="12"/>
                                    <w:ind w:left="310"/>
                                    <w:rPr>
                                      <w:sz w:val="10"/>
                                    </w:rPr>
                                  </w:pPr>
                                  <w:r>
                                    <w:rPr>
                                      <w:spacing w:val="-2"/>
                                      <w:w w:val="145"/>
                                      <w:sz w:val="10"/>
                                    </w:rPr>
                                    <w:t>-42.54%</w:t>
                                  </w:r>
                                </w:p>
                              </w:tc>
                            </w:tr>
                            <w:tr>
                              <w:trPr>
                                <w:trHeight w:val="153" w:hRule="atLeast"/>
                              </w:trPr>
                              <w:tc>
                                <w:tcPr>
                                  <w:tcW w:w="4836" w:type="dxa"/>
                                  <w:gridSpan w:val="2"/>
                                </w:tcPr>
                                <w:p>
                                  <w:pPr>
                                    <w:pStyle w:val="TableParagraph"/>
                                    <w:spacing w:line="133" w:lineRule="exact"/>
                                    <w:ind w:left="305"/>
                                    <w:rPr>
                                      <w:sz w:val="12"/>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p>
                              </w:tc>
                              <w:tc>
                                <w:tcPr>
                                  <w:tcW w:w="1696" w:type="dxa"/>
                                </w:tcPr>
                                <w:p>
                                  <w:pPr>
                                    <w:pStyle w:val="TableParagraph"/>
                                    <w:spacing w:before="15"/>
                                    <w:ind w:right="552"/>
                                    <w:jc w:val="right"/>
                                    <w:rPr>
                                      <w:sz w:val="10"/>
                                    </w:rPr>
                                  </w:pPr>
                                  <w:r>
                                    <w:rPr>
                                      <w:spacing w:val="-4"/>
                                      <w:w w:val="145"/>
                                      <w:sz w:val="10"/>
                                    </w:rPr>
                                    <w:t>0.46</w:t>
                                  </w:r>
                                </w:p>
                              </w:tc>
                              <w:tc>
                                <w:tcPr>
                                  <w:tcW w:w="1034" w:type="dxa"/>
                                </w:tcPr>
                                <w:p>
                                  <w:pPr>
                                    <w:pStyle w:val="TableParagraph"/>
                                    <w:spacing w:before="15"/>
                                    <w:ind w:right="104"/>
                                    <w:jc w:val="right"/>
                                    <w:rPr>
                                      <w:sz w:val="10"/>
                                    </w:rPr>
                                  </w:pPr>
                                  <w:r>
                                    <w:rPr>
                                      <w:spacing w:val="-4"/>
                                      <w:w w:val="145"/>
                                      <w:sz w:val="10"/>
                                    </w:rPr>
                                    <w:t>1.28</w:t>
                                  </w:r>
                                </w:p>
                              </w:tc>
                              <w:tc>
                                <w:tcPr>
                                  <w:tcW w:w="1434" w:type="dxa"/>
                                  <w:gridSpan w:val="2"/>
                                </w:tcPr>
                                <w:p>
                                  <w:pPr>
                                    <w:pStyle w:val="TableParagraph"/>
                                    <w:spacing w:before="12"/>
                                    <w:ind w:left="310"/>
                                    <w:rPr>
                                      <w:sz w:val="10"/>
                                    </w:rPr>
                                  </w:pPr>
                                  <w:r>
                                    <w:rPr>
                                      <w:spacing w:val="-2"/>
                                      <w:w w:val="145"/>
                                      <w:sz w:val="10"/>
                                    </w:rPr>
                                    <w:t>-64.04%</w:t>
                                  </w:r>
                                </w:p>
                              </w:tc>
                            </w:tr>
                            <w:tr>
                              <w:trPr>
                                <w:trHeight w:val="136" w:hRule="atLeast"/>
                              </w:trPr>
                              <w:tc>
                                <w:tcPr>
                                  <w:tcW w:w="4836" w:type="dxa"/>
                                  <w:gridSpan w:val="2"/>
                                </w:tcPr>
                                <w:p>
                                  <w:pPr>
                                    <w:pStyle w:val="TableParagraph"/>
                                    <w:spacing w:line="115" w:lineRule="exact"/>
                                    <w:ind w:left="305"/>
                                    <w:rPr>
                                      <w:sz w:val="12"/>
                                    </w:rPr>
                                  </w:pPr>
                                  <w:r>
                                    <w:rPr>
                                      <w:w w:val="135"/>
                                      <w:sz w:val="12"/>
                                    </w:rPr>
                                    <w:t>Recargos</w:t>
                                  </w:r>
                                  <w:r>
                                    <w:rPr>
                                      <w:spacing w:val="46"/>
                                      <w:w w:val="135"/>
                                      <w:sz w:val="12"/>
                                    </w:rPr>
                                    <w:t> </w:t>
                                  </w:r>
                                  <w:r>
                                    <w:rPr>
                                      <w:w w:val="135"/>
                                      <w:sz w:val="12"/>
                                    </w:rPr>
                                    <w:t>moratorios</w:t>
                                  </w:r>
                                  <w:r>
                                    <w:rPr>
                                      <w:spacing w:val="46"/>
                                      <w:w w:val="135"/>
                                      <w:sz w:val="12"/>
                                    </w:rPr>
                                    <w:t> </w:t>
                                  </w:r>
                                  <w:r>
                                    <w:rPr>
                                      <w:spacing w:val="-2"/>
                                      <w:w w:val="135"/>
                                      <w:sz w:val="12"/>
                                    </w:rPr>
                                    <w:t>devengados</w:t>
                                  </w:r>
                                </w:p>
                              </w:tc>
                              <w:tc>
                                <w:tcPr>
                                  <w:tcW w:w="1696" w:type="dxa"/>
                                </w:tcPr>
                                <w:p>
                                  <w:pPr>
                                    <w:pStyle w:val="TableParagraph"/>
                                    <w:spacing w:line="101" w:lineRule="exact" w:before="15"/>
                                    <w:ind w:right="552"/>
                                    <w:jc w:val="right"/>
                                    <w:rPr>
                                      <w:sz w:val="10"/>
                                    </w:rPr>
                                  </w:pPr>
                                  <w:r>
                                    <w:rPr>
                                      <w:spacing w:val="-4"/>
                                      <w:w w:val="145"/>
                                      <w:sz w:val="10"/>
                                    </w:rPr>
                                    <w:t>0.07</w:t>
                                  </w:r>
                                </w:p>
                              </w:tc>
                              <w:tc>
                                <w:tcPr>
                                  <w:tcW w:w="1034" w:type="dxa"/>
                                </w:tcPr>
                                <w:p>
                                  <w:pPr>
                                    <w:pStyle w:val="TableParagraph"/>
                                    <w:spacing w:line="101" w:lineRule="exact" w:before="15"/>
                                    <w:ind w:right="104"/>
                                    <w:jc w:val="right"/>
                                    <w:rPr>
                                      <w:sz w:val="10"/>
                                    </w:rPr>
                                  </w:pPr>
                                  <w:r>
                                    <w:rPr>
                                      <w:spacing w:val="-4"/>
                                      <w:w w:val="145"/>
                                      <w:sz w:val="10"/>
                                    </w:rPr>
                                    <w:t>0.10</w:t>
                                  </w:r>
                                </w:p>
                              </w:tc>
                              <w:tc>
                                <w:tcPr>
                                  <w:tcW w:w="1434" w:type="dxa"/>
                                  <w:gridSpan w:val="2"/>
                                </w:tcPr>
                                <w:p>
                                  <w:pPr>
                                    <w:pStyle w:val="TableParagraph"/>
                                    <w:spacing w:line="104" w:lineRule="exact" w:before="12"/>
                                    <w:ind w:left="310"/>
                                    <w:rPr>
                                      <w:sz w:val="10"/>
                                    </w:rPr>
                                  </w:pPr>
                                  <w:r>
                                    <w:rPr>
                                      <w:spacing w:val="-2"/>
                                      <w:w w:val="145"/>
                                      <w:sz w:val="10"/>
                                    </w:rPr>
                                    <w:t>-30.00%</w:t>
                                  </w:r>
                                </w:p>
                              </w:tc>
                            </w:tr>
                          </w:tbl>
                          <w:p>
                            <w:pPr>
                              <w:pStyle w:val="BodyText"/>
                            </w:pPr>
                          </w:p>
                        </w:txbxContent>
                      </wps:txbx>
                      <wps:bodyPr wrap="square" lIns="0" tIns="0" rIns="0" bIns="0" rtlCol="0">
                        <a:noAutofit/>
                      </wps:bodyPr>
                    </wps:wsp>
                  </a:graphicData>
                </a:graphic>
              </wp:anchor>
            </w:drawing>
          </mc:Choice>
          <mc:Fallback>
            <w:pict>
              <v:shape style="position:absolute;margin-left:82.103996pt;margin-top:-55.855pt;width:456pt;height:55.0pt;mso-position-horizontal-relative:page;mso-position-vertical-relative:paragraph;z-index:15815168" type="#_x0000_t202" id="docshape45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4553"/>
                        <w:gridCol w:w="1696"/>
                        <w:gridCol w:w="1034"/>
                        <w:gridCol w:w="1152"/>
                        <w:gridCol w:w="282"/>
                      </w:tblGrid>
                      <w:tr>
                        <w:trPr>
                          <w:trHeight w:val="166" w:hRule="atLeast"/>
                        </w:trPr>
                        <w:tc>
                          <w:tcPr>
                            <w:tcW w:w="283" w:type="dxa"/>
                            <w:tcBorders>
                              <w:top w:val="single" w:sz="4" w:space="0" w:color="000000"/>
                            </w:tcBorders>
                          </w:tcPr>
                          <w:p>
                            <w:pPr>
                              <w:pStyle w:val="TableParagraph"/>
                              <w:rPr>
                                <w:rFonts w:ascii="Times New Roman"/>
                                <w:sz w:val="10"/>
                              </w:rPr>
                            </w:pPr>
                          </w:p>
                        </w:tc>
                        <w:tc>
                          <w:tcPr>
                            <w:tcW w:w="4553" w:type="dxa"/>
                            <w:tcBorders>
                              <w:top w:val="single" w:sz="4" w:space="0" w:color="000000"/>
                            </w:tcBorders>
                            <w:shd w:val="clear" w:color="auto" w:fill="FFFFFF"/>
                          </w:tcPr>
                          <w:p>
                            <w:pPr>
                              <w:pStyle w:val="TableParagraph"/>
                              <w:spacing w:line="130" w:lineRule="exact" w:before="17"/>
                              <w:ind w:left="26"/>
                              <w:rPr>
                                <w:b/>
                                <w:sz w:val="13"/>
                              </w:rPr>
                            </w:pPr>
                            <w:r>
                              <w:rPr>
                                <w:b/>
                                <w:w w:val="135"/>
                                <w:sz w:val="13"/>
                              </w:rPr>
                              <w:t>INGRESOS</w:t>
                            </w:r>
                            <w:r>
                              <w:rPr>
                                <w:b/>
                                <w:spacing w:val="60"/>
                                <w:w w:val="135"/>
                                <w:sz w:val="13"/>
                              </w:rPr>
                              <w:t> </w:t>
                            </w:r>
                            <w:r>
                              <w:rPr>
                                <w:b/>
                                <w:w w:val="135"/>
                                <w:sz w:val="13"/>
                              </w:rPr>
                              <w:t>CONTRIBUCIONES</w:t>
                            </w:r>
                            <w:r>
                              <w:rPr>
                                <w:b/>
                                <w:spacing w:val="60"/>
                                <w:w w:val="135"/>
                                <w:sz w:val="13"/>
                              </w:rPr>
                              <w:t> </w:t>
                            </w:r>
                            <w:r>
                              <w:rPr>
                                <w:b/>
                                <w:spacing w:val="-2"/>
                                <w:w w:val="135"/>
                                <w:sz w:val="13"/>
                              </w:rPr>
                              <w:t>SOCIALES</w:t>
                            </w:r>
                          </w:p>
                        </w:tc>
                        <w:tc>
                          <w:tcPr>
                            <w:tcW w:w="1696" w:type="dxa"/>
                            <w:tcBorders>
                              <w:top w:val="single" w:sz="4" w:space="0" w:color="000000"/>
                            </w:tcBorders>
                            <w:shd w:val="clear" w:color="auto" w:fill="FFFFFF"/>
                          </w:tcPr>
                          <w:p>
                            <w:pPr>
                              <w:pStyle w:val="TableParagraph"/>
                              <w:spacing w:line="127" w:lineRule="exact" w:before="19"/>
                              <w:ind w:right="532"/>
                              <w:jc w:val="right"/>
                              <w:rPr>
                                <w:b/>
                                <w:sz w:val="12"/>
                              </w:rPr>
                            </w:pPr>
                            <w:r>
                              <w:rPr>
                                <w:b/>
                                <w:spacing w:val="-4"/>
                                <w:w w:val="135"/>
                                <w:sz w:val="12"/>
                                <w:u w:val="single"/>
                              </w:rPr>
                              <w:t>2026</w:t>
                            </w:r>
                          </w:p>
                        </w:tc>
                        <w:tc>
                          <w:tcPr>
                            <w:tcW w:w="1034" w:type="dxa"/>
                            <w:tcBorders>
                              <w:top w:val="single" w:sz="4" w:space="0" w:color="000000"/>
                            </w:tcBorders>
                            <w:shd w:val="clear" w:color="auto" w:fill="FFFFFF"/>
                          </w:tcPr>
                          <w:p>
                            <w:pPr>
                              <w:pStyle w:val="TableParagraph"/>
                              <w:spacing w:line="127" w:lineRule="exact" w:before="19"/>
                              <w:ind w:right="85"/>
                              <w:jc w:val="right"/>
                              <w:rPr>
                                <w:b/>
                                <w:sz w:val="12"/>
                              </w:rPr>
                            </w:pPr>
                            <w:r>
                              <w:rPr>
                                <w:b/>
                                <w:spacing w:val="-4"/>
                                <w:w w:val="135"/>
                                <w:sz w:val="12"/>
                                <w:u w:val="single"/>
                              </w:rPr>
                              <w:t>2025</w:t>
                            </w:r>
                          </w:p>
                        </w:tc>
                        <w:tc>
                          <w:tcPr>
                            <w:tcW w:w="1152" w:type="dxa"/>
                            <w:tcBorders>
                              <w:top w:val="single" w:sz="4" w:space="0" w:color="000000"/>
                            </w:tcBorders>
                            <w:shd w:val="clear" w:color="auto" w:fill="FFFFFF"/>
                          </w:tcPr>
                          <w:p>
                            <w:pPr>
                              <w:pStyle w:val="TableParagraph"/>
                              <w:spacing w:line="130" w:lineRule="exact" w:before="17"/>
                              <w:ind w:left="86"/>
                              <w:rPr>
                                <w:b/>
                                <w:sz w:val="13"/>
                              </w:rPr>
                            </w:pPr>
                            <w:r>
                              <w:rPr>
                                <w:b/>
                                <w:w w:val="135"/>
                                <w:sz w:val="13"/>
                                <w:u w:val="single"/>
                              </w:rPr>
                              <w:t>Variación</w:t>
                            </w:r>
                            <w:r>
                              <w:rPr>
                                <w:b/>
                                <w:spacing w:val="51"/>
                                <w:w w:val="135"/>
                                <w:sz w:val="13"/>
                                <w:u w:val="single"/>
                              </w:rPr>
                              <w:t> </w:t>
                            </w:r>
                            <w:r>
                              <w:rPr>
                                <w:b/>
                                <w:spacing w:val="-10"/>
                                <w:w w:val="135"/>
                                <w:sz w:val="13"/>
                                <w:u w:val="single"/>
                              </w:rPr>
                              <w:t>%</w:t>
                            </w:r>
                          </w:p>
                        </w:tc>
                        <w:tc>
                          <w:tcPr>
                            <w:tcW w:w="282" w:type="dxa"/>
                            <w:vMerge w:val="restart"/>
                            <w:tcBorders>
                              <w:top w:val="single" w:sz="4" w:space="0" w:color="000000"/>
                            </w:tcBorders>
                          </w:tcPr>
                          <w:p>
                            <w:pPr>
                              <w:pStyle w:val="TableParagraph"/>
                              <w:rPr>
                                <w:rFonts w:ascii="Times New Roman"/>
                                <w:sz w:val="10"/>
                              </w:rPr>
                            </w:pPr>
                          </w:p>
                        </w:tc>
                      </w:tr>
                      <w:tr>
                        <w:trPr>
                          <w:trHeight w:val="401" w:hRule="atLeast"/>
                        </w:trPr>
                        <w:tc>
                          <w:tcPr>
                            <w:tcW w:w="8718" w:type="dxa"/>
                            <w:gridSpan w:val="5"/>
                          </w:tcPr>
                          <w:p>
                            <w:pPr>
                              <w:pStyle w:val="TableParagraph"/>
                              <w:spacing w:before="13"/>
                              <w:ind w:left="417"/>
                              <w:rPr>
                                <w:b/>
                                <w:sz w:val="13"/>
                              </w:rPr>
                            </w:pPr>
                            <w:r>
                              <w:rPr>
                                <w:b/>
                                <w:w w:val="135"/>
                                <w:sz w:val="13"/>
                              </w:rPr>
                              <w:t>Gobierno</w:t>
                            </w:r>
                            <w:r>
                              <w:rPr>
                                <w:b/>
                                <w:spacing w:val="48"/>
                                <w:w w:val="135"/>
                                <w:sz w:val="13"/>
                              </w:rPr>
                              <w:t> </w:t>
                            </w:r>
                            <w:r>
                              <w:rPr>
                                <w:b/>
                                <w:spacing w:val="-2"/>
                                <w:w w:val="135"/>
                                <w:sz w:val="13"/>
                              </w:rPr>
                              <w:t>Central</w:t>
                            </w:r>
                          </w:p>
                          <w:p>
                            <w:pPr>
                              <w:pStyle w:val="TableParagraph"/>
                              <w:spacing w:before="15"/>
                              <w:ind w:left="305"/>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tc>
                        <w:tc>
                          <w:tcPr>
                            <w:tcW w:w="282" w:type="dxa"/>
                            <w:vMerge/>
                            <w:tcBorders>
                              <w:top w:val="nil"/>
                            </w:tcBorders>
                          </w:tcPr>
                          <w:p>
                            <w:pPr>
                              <w:rPr>
                                <w:sz w:val="2"/>
                                <w:szCs w:val="2"/>
                              </w:rPr>
                            </w:pPr>
                          </w:p>
                        </w:tc>
                      </w:tr>
                      <w:tr>
                        <w:trPr>
                          <w:trHeight w:val="81" w:hRule="atLeast"/>
                        </w:trPr>
                        <w:tc>
                          <w:tcPr>
                            <w:tcW w:w="4836" w:type="dxa"/>
                            <w:gridSpan w:val="2"/>
                          </w:tcPr>
                          <w:p>
                            <w:pPr>
                              <w:pStyle w:val="TableParagraph"/>
                              <w:rPr>
                                <w:rFonts w:ascii="Times New Roman"/>
                                <w:sz w:val="2"/>
                              </w:rPr>
                            </w:pPr>
                          </w:p>
                        </w:tc>
                        <w:tc>
                          <w:tcPr>
                            <w:tcW w:w="1696" w:type="dxa"/>
                          </w:tcPr>
                          <w:p>
                            <w:pPr>
                              <w:pStyle w:val="TableParagraph"/>
                              <w:rPr>
                                <w:rFonts w:ascii="Times New Roman"/>
                                <w:sz w:val="2"/>
                              </w:rPr>
                            </w:pPr>
                          </w:p>
                        </w:tc>
                        <w:tc>
                          <w:tcPr>
                            <w:tcW w:w="1034" w:type="dxa"/>
                          </w:tcPr>
                          <w:p>
                            <w:pPr>
                              <w:pStyle w:val="TableParagraph"/>
                              <w:rPr>
                                <w:rFonts w:ascii="Times New Roman"/>
                                <w:sz w:val="2"/>
                              </w:rPr>
                            </w:pPr>
                          </w:p>
                        </w:tc>
                        <w:tc>
                          <w:tcPr>
                            <w:tcW w:w="1152" w:type="dxa"/>
                            <w:tcBorders>
                              <w:top w:val="single" w:sz="6" w:space="0" w:color="auto"/>
                              <w:left w:val="single" w:sz="6" w:space="0" w:color="auto"/>
                              <w:bottom w:val="single" w:sz="6" w:space="0" w:color="auto"/>
                              <w:right w:val="single" w:sz="6" w:space="0" w:color="auto"/>
                            </w:tcBorders>
                          </w:tcPr>
                          <w:p>
                            <w:pPr/>
                          </w:p>
                        </w:tc>
                        <w:tc>
                          <w:tcPr>
                            <w:tcW w:w="282" w:type="dxa"/>
                            <w:vMerge/>
                            <w:tcBorders>
                              <w:top w:val="nil"/>
                            </w:tcBorders>
                          </w:tcPr>
                          <w:p>
                            <w:pPr>
                              <w:rPr>
                                <w:sz w:val="2"/>
                                <w:szCs w:val="2"/>
                              </w:rPr>
                            </w:pPr>
                          </w:p>
                        </w:tc>
                      </w:tr>
                      <w:tr>
                        <w:trPr>
                          <w:trHeight w:val="153" w:hRule="atLeast"/>
                        </w:trPr>
                        <w:tc>
                          <w:tcPr>
                            <w:tcW w:w="4836" w:type="dxa"/>
                            <w:gridSpan w:val="2"/>
                          </w:tcPr>
                          <w:p>
                            <w:pPr>
                              <w:pStyle w:val="TableParagraph"/>
                              <w:spacing w:line="133" w:lineRule="exact"/>
                              <w:ind w:left="305"/>
                              <w:rPr>
                                <w:sz w:val="12"/>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p>
                        </w:tc>
                        <w:tc>
                          <w:tcPr>
                            <w:tcW w:w="1696" w:type="dxa"/>
                          </w:tcPr>
                          <w:p>
                            <w:pPr>
                              <w:pStyle w:val="TableParagraph"/>
                              <w:spacing w:before="15"/>
                              <w:ind w:right="552"/>
                              <w:jc w:val="right"/>
                              <w:rPr>
                                <w:sz w:val="10"/>
                              </w:rPr>
                            </w:pPr>
                            <w:r>
                              <w:rPr>
                                <w:spacing w:val="-2"/>
                                <w:w w:val="145"/>
                                <w:sz w:val="10"/>
                              </w:rPr>
                              <w:t>20.24</w:t>
                            </w:r>
                          </w:p>
                        </w:tc>
                        <w:tc>
                          <w:tcPr>
                            <w:tcW w:w="1034" w:type="dxa"/>
                          </w:tcPr>
                          <w:p>
                            <w:pPr>
                              <w:pStyle w:val="TableParagraph"/>
                              <w:spacing w:before="15"/>
                              <w:ind w:right="104"/>
                              <w:jc w:val="right"/>
                              <w:rPr>
                                <w:sz w:val="10"/>
                              </w:rPr>
                            </w:pPr>
                            <w:r>
                              <w:rPr>
                                <w:spacing w:val="-2"/>
                                <w:w w:val="145"/>
                                <w:sz w:val="10"/>
                              </w:rPr>
                              <w:t>35.23</w:t>
                            </w:r>
                          </w:p>
                        </w:tc>
                        <w:tc>
                          <w:tcPr>
                            <w:tcW w:w="1434" w:type="dxa"/>
                            <w:gridSpan w:val="2"/>
                          </w:tcPr>
                          <w:p>
                            <w:pPr>
                              <w:pStyle w:val="TableParagraph"/>
                              <w:spacing w:before="12"/>
                              <w:ind w:left="310"/>
                              <w:rPr>
                                <w:sz w:val="10"/>
                              </w:rPr>
                            </w:pPr>
                            <w:r>
                              <w:rPr>
                                <w:spacing w:val="-2"/>
                                <w:w w:val="145"/>
                                <w:sz w:val="10"/>
                              </w:rPr>
                              <w:t>-42.54%</w:t>
                            </w:r>
                          </w:p>
                        </w:tc>
                      </w:tr>
                      <w:tr>
                        <w:trPr>
                          <w:trHeight w:val="153" w:hRule="atLeast"/>
                        </w:trPr>
                        <w:tc>
                          <w:tcPr>
                            <w:tcW w:w="4836" w:type="dxa"/>
                            <w:gridSpan w:val="2"/>
                          </w:tcPr>
                          <w:p>
                            <w:pPr>
                              <w:pStyle w:val="TableParagraph"/>
                              <w:spacing w:line="133" w:lineRule="exact"/>
                              <w:ind w:left="305"/>
                              <w:rPr>
                                <w:sz w:val="12"/>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p>
                        </w:tc>
                        <w:tc>
                          <w:tcPr>
                            <w:tcW w:w="1696" w:type="dxa"/>
                          </w:tcPr>
                          <w:p>
                            <w:pPr>
                              <w:pStyle w:val="TableParagraph"/>
                              <w:spacing w:before="15"/>
                              <w:ind w:right="552"/>
                              <w:jc w:val="right"/>
                              <w:rPr>
                                <w:sz w:val="10"/>
                              </w:rPr>
                            </w:pPr>
                            <w:r>
                              <w:rPr>
                                <w:spacing w:val="-4"/>
                                <w:w w:val="145"/>
                                <w:sz w:val="10"/>
                              </w:rPr>
                              <w:t>0.46</w:t>
                            </w:r>
                          </w:p>
                        </w:tc>
                        <w:tc>
                          <w:tcPr>
                            <w:tcW w:w="1034" w:type="dxa"/>
                          </w:tcPr>
                          <w:p>
                            <w:pPr>
                              <w:pStyle w:val="TableParagraph"/>
                              <w:spacing w:before="15"/>
                              <w:ind w:right="104"/>
                              <w:jc w:val="right"/>
                              <w:rPr>
                                <w:sz w:val="10"/>
                              </w:rPr>
                            </w:pPr>
                            <w:r>
                              <w:rPr>
                                <w:spacing w:val="-4"/>
                                <w:w w:val="145"/>
                                <w:sz w:val="10"/>
                              </w:rPr>
                              <w:t>1.28</w:t>
                            </w:r>
                          </w:p>
                        </w:tc>
                        <w:tc>
                          <w:tcPr>
                            <w:tcW w:w="1434" w:type="dxa"/>
                            <w:gridSpan w:val="2"/>
                          </w:tcPr>
                          <w:p>
                            <w:pPr>
                              <w:pStyle w:val="TableParagraph"/>
                              <w:spacing w:before="12"/>
                              <w:ind w:left="310"/>
                              <w:rPr>
                                <w:sz w:val="10"/>
                              </w:rPr>
                            </w:pPr>
                            <w:r>
                              <w:rPr>
                                <w:spacing w:val="-2"/>
                                <w:w w:val="145"/>
                                <w:sz w:val="10"/>
                              </w:rPr>
                              <w:t>-64.04%</w:t>
                            </w:r>
                          </w:p>
                        </w:tc>
                      </w:tr>
                      <w:tr>
                        <w:trPr>
                          <w:trHeight w:val="136" w:hRule="atLeast"/>
                        </w:trPr>
                        <w:tc>
                          <w:tcPr>
                            <w:tcW w:w="4836" w:type="dxa"/>
                            <w:gridSpan w:val="2"/>
                          </w:tcPr>
                          <w:p>
                            <w:pPr>
                              <w:pStyle w:val="TableParagraph"/>
                              <w:spacing w:line="115" w:lineRule="exact"/>
                              <w:ind w:left="305"/>
                              <w:rPr>
                                <w:sz w:val="12"/>
                              </w:rPr>
                            </w:pPr>
                            <w:r>
                              <w:rPr>
                                <w:w w:val="135"/>
                                <w:sz w:val="12"/>
                              </w:rPr>
                              <w:t>Recargos</w:t>
                            </w:r>
                            <w:r>
                              <w:rPr>
                                <w:spacing w:val="46"/>
                                <w:w w:val="135"/>
                                <w:sz w:val="12"/>
                              </w:rPr>
                              <w:t> </w:t>
                            </w:r>
                            <w:r>
                              <w:rPr>
                                <w:w w:val="135"/>
                                <w:sz w:val="12"/>
                              </w:rPr>
                              <w:t>moratorios</w:t>
                            </w:r>
                            <w:r>
                              <w:rPr>
                                <w:spacing w:val="46"/>
                                <w:w w:val="135"/>
                                <w:sz w:val="12"/>
                              </w:rPr>
                              <w:t> </w:t>
                            </w:r>
                            <w:r>
                              <w:rPr>
                                <w:spacing w:val="-2"/>
                                <w:w w:val="135"/>
                                <w:sz w:val="12"/>
                              </w:rPr>
                              <w:t>devengados</w:t>
                            </w:r>
                          </w:p>
                        </w:tc>
                        <w:tc>
                          <w:tcPr>
                            <w:tcW w:w="1696" w:type="dxa"/>
                          </w:tcPr>
                          <w:p>
                            <w:pPr>
                              <w:pStyle w:val="TableParagraph"/>
                              <w:spacing w:line="101" w:lineRule="exact" w:before="15"/>
                              <w:ind w:right="552"/>
                              <w:jc w:val="right"/>
                              <w:rPr>
                                <w:sz w:val="10"/>
                              </w:rPr>
                            </w:pPr>
                            <w:r>
                              <w:rPr>
                                <w:spacing w:val="-4"/>
                                <w:w w:val="145"/>
                                <w:sz w:val="10"/>
                              </w:rPr>
                              <w:t>0.07</w:t>
                            </w:r>
                          </w:p>
                        </w:tc>
                        <w:tc>
                          <w:tcPr>
                            <w:tcW w:w="1034" w:type="dxa"/>
                          </w:tcPr>
                          <w:p>
                            <w:pPr>
                              <w:pStyle w:val="TableParagraph"/>
                              <w:spacing w:line="101" w:lineRule="exact" w:before="15"/>
                              <w:ind w:right="104"/>
                              <w:jc w:val="right"/>
                              <w:rPr>
                                <w:sz w:val="10"/>
                              </w:rPr>
                            </w:pPr>
                            <w:r>
                              <w:rPr>
                                <w:spacing w:val="-4"/>
                                <w:w w:val="145"/>
                                <w:sz w:val="10"/>
                              </w:rPr>
                              <w:t>0.10</w:t>
                            </w:r>
                          </w:p>
                        </w:tc>
                        <w:tc>
                          <w:tcPr>
                            <w:tcW w:w="1434" w:type="dxa"/>
                            <w:gridSpan w:val="2"/>
                          </w:tcPr>
                          <w:p>
                            <w:pPr>
                              <w:pStyle w:val="TableParagraph"/>
                              <w:spacing w:line="104" w:lineRule="exact" w:before="12"/>
                              <w:ind w:left="310"/>
                              <w:rPr>
                                <w:sz w:val="10"/>
                              </w:rPr>
                            </w:pPr>
                            <w:r>
                              <w:rPr>
                                <w:spacing w:val="-2"/>
                                <w:w w:val="145"/>
                                <w:sz w:val="10"/>
                              </w:rPr>
                              <w:t>-30.00%</w:t>
                            </w:r>
                          </w:p>
                        </w:tc>
                      </w:tr>
                    </w:tbl>
                    <w:p>
                      <w:pPr>
                        <w:pStyle w:val="BodyText"/>
                      </w:pPr>
                    </w:p>
                  </w:txbxContent>
                </v:textbox>
                <w10:wrap type="none"/>
              </v:shape>
            </w:pict>
          </mc:Fallback>
        </mc:AlternateContent>
      </w:r>
      <w:r>
        <w:rPr>
          <w:b/>
          <w:spacing w:val="-2"/>
          <w:w w:val="145"/>
          <w:sz w:val="12"/>
        </w:rPr>
        <w:t>Subtotal</w:t>
      </w:r>
      <w:r>
        <w:rPr>
          <w:b/>
          <w:sz w:val="12"/>
        </w:rPr>
        <w:tab/>
      </w:r>
      <w:r>
        <w:rPr>
          <w:b/>
          <w:position w:val="1"/>
          <w:sz w:val="10"/>
          <w:u w:val="single"/>
        </w:rPr>
        <w:tab/>
      </w:r>
      <w:r>
        <w:rPr>
          <w:b/>
          <w:w w:val="145"/>
          <w:position w:val="1"/>
          <w:sz w:val="10"/>
          <w:u w:val="single"/>
        </w:rPr>
        <w:t>146.30</w:t>
      </w:r>
      <w:r>
        <w:rPr>
          <w:b/>
          <w:w w:val="145"/>
          <w:position w:val="1"/>
          <w:sz w:val="10"/>
          <w:u w:val="single"/>
        </w:rPr>
        <w:t> </w:t>
      </w:r>
      <w:r>
        <w:rPr>
          <w:b/>
          <w:w w:val="145"/>
          <w:position w:val="1"/>
          <w:sz w:val="10"/>
          <w:u w:val="none"/>
        </w:rPr>
        <w:t> </w:t>
      </w:r>
      <w:r>
        <w:rPr>
          <w:b/>
          <w:position w:val="1"/>
          <w:sz w:val="10"/>
          <w:u w:val="single"/>
        </w:rPr>
        <w:tab/>
      </w:r>
      <w:r>
        <w:rPr>
          <w:b/>
          <w:w w:val="145"/>
          <w:position w:val="1"/>
          <w:sz w:val="10"/>
          <w:u w:val="single"/>
        </w:rPr>
        <w:t>229.91</w:t>
      </w:r>
      <w:r>
        <w:rPr>
          <w:b/>
          <w:w w:val="145"/>
          <w:position w:val="1"/>
          <w:sz w:val="10"/>
          <w:u w:val="single"/>
        </w:rPr>
        <w:t> </w:t>
      </w:r>
      <w:r>
        <w:rPr>
          <w:b/>
          <w:position w:val="1"/>
          <w:sz w:val="10"/>
          <w:u w:val="none"/>
        </w:rPr>
        <w:tab/>
      </w:r>
      <w:r>
        <w:rPr>
          <w:b/>
          <w:w w:val="145"/>
          <w:position w:val="1"/>
          <w:sz w:val="10"/>
          <w:u w:val="none"/>
        </w:rPr>
        <w:t>-</w:t>
      </w:r>
      <w:r>
        <w:rPr>
          <w:b/>
          <w:spacing w:val="-2"/>
          <w:w w:val="145"/>
          <w:position w:val="1"/>
          <w:sz w:val="10"/>
          <w:u w:val="none"/>
        </w:rPr>
        <w:t>36.37%</w:t>
      </w:r>
    </w:p>
    <w:p>
      <w:pPr>
        <w:spacing w:before="18"/>
        <w:ind w:left="1039" w:right="0" w:firstLine="0"/>
        <w:jc w:val="left"/>
        <w:rPr>
          <w:b/>
          <w:sz w:val="13"/>
        </w:rPr>
      </w:pPr>
      <w:r>
        <w:rPr>
          <w:b/>
          <w:w w:val="135"/>
          <w:sz w:val="13"/>
        </w:rPr>
        <w:t>Organos</w:t>
      </w:r>
      <w:r>
        <w:rPr>
          <w:b/>
          <w:spacing w:val="37"/>
          <w:w w:val="135"/>
          <w:sz w:val="13"/>
        </w:rPr>
        <w:t> </w:t>
      </w:r>
      <w:r>
        <w:rPr>
          <w:b/>
          <w:spacing w:val="-2"/>
          <w:w w:val="135"/>
          <w:sz w:val="13"/>
        </w:rPr>
        <w:t>desconcentrados</w:t>
      </w:r>
    </w:p>
    <w:p>
      <w:pPr>
        <w:spacing w:line="97" w:lineRule="exact" w:before="14"/>
        <w:ind w:left="927" w:right="0" w:firstLine="0"/>
        <w:jc w:val="left"/>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p>
      <w:pPr>
        <w:spacing w:after="0" w:line="97" w:lineRule="exact"/>
        <w:jc w:val="left"/>
        <w:rPr>
          <w:sz w:val="12"/>
        </w:rPr>
        <w:sectPr>
          <w:type w:val="continuous"/>
          <w:pgSz w:w="12240" w:h="15840"/>
          <w:pgMar w:top="1820" w:bottom="280" w:left="1080" w:right="720"/>
        </w:sectPr>
      </w:pPr>
    </w:p>
    <w:p>
      <w:pPr>
        <w:tabs>
          <w:tab w:pos="6121" w:val="left" w:leader="none"/>
          <w:tab w:pos="7603" w:val="left" w:leader="none"/>
        </w:tabs>
        <w:spacing w:before="57"/>
        <w:ind w:left="927" w:right="0" w:firstLine="0"/>
        <w:jc w:val="left"/>
        <w:rPr>
          <w:sz w:val="10"/>
        </w:rPr>
      </w:pPr>
      <w:r>
        <w:rPr>
          <w:spacing w:val="-2"/>
          <w:w w:val="145"/>
          <w:sz w:val="12"/>
        </w:rPr>
        <w:t>patronos)</w:t>
      </w:r>
      <w:r>
        <w:rPr>
          <w:sz w:val="12"/>
        </w:rPr>
        <w:tab/>
      </w:r>
      <w:r>
        <w:rPr>
          <w:spacing w:val="-2"/>
          <w:w w:val="145"/>
          <w:sz w:val="10"/>
        </w:rPr>
        <w:t>1,428.68</w:t>
      </w:r>
      <w:r>
        <w:rPr>
          <w:sz w:val="10"/>
        </w:rPr>
        <w:tab/>
      </w:r>
      <w:r>
        <w:rPr>
          <w:spacing w:val="-2"/>
          <w:w w:val="145"/>
          <w:sz w:val="10"/>
        </w:rPr>
        <w:t>1,308.34</w:t>
      </w:r>
    </w:p>
    <w:p>
      <w:pPr>
        <w:spacing w:line="106" w:lineRule="exact" w:before="0"/>
        <w:ind w:left="408" w:right="0" w:firstLine="0"/>
        <w:jc w:val="left"/>
        <w:rPr>
          <w:sz w:val="10"/>
        </w:rPr>
      </w:pPr>
      <w:r>
        <w:rPr/>
        <w:br w:type="column"/>
      </w:r>
      <w:r>
        <w:rPr>
          <w:spacing w:val="-2"/>
          <w:w w:val="145"/>
          <w:sz w:val="10"/>
        </w:rPr>
        <w:t>9.20%</w:t>
      </w:r>
    </w:p>
    <w:p>
      <w:pPr>
        <w:spacing w:after="0" w:line="106" w:lineRule="exact"/>
        <w:jc w:val="left"/>
        <w:rPr>
          <w:sz w:val="10"/>
        </w:rPr>
        <w:sectPr>
          <w:type w:val="continuous"/>
          <w:pgSz w:w="12240" w:h="15840"/>
          <w:pgMar w:top="1820" w:bottom="280" w:left="1080" w:right="720"/>
          <w:cols w:num="2" w:equalWidth="0">
            <w:col w:w="8104" w:space="40"/>
            <w:col w:w="2296"/>
          </w:cols>
        </w:sectPr>
      </w:pPr>
    </w:p>
    <w:p>
      <w:pPr>
        <w:tabs>
          <w:tab w:pos="5301" w:val="left" w:leader="none"/>
          <w:tab w:pos="6783" w:val="left" w:leader="none"/>
          <w:tab w:pos="7571" w:val="left" w:leader="none"/>
        </w:tabs>
        <w:spacing w:before="17"/>
        <w:ind w:left="0" w:right="1472" w:firstLine="0"/>
        <w:jc w:val="righ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sz w:val="10"/>
        </w:rPr>
        <w:t>239.94</w:t>
      </w:r>
      <w:r>
        <w:rPr>
          <w:sz w:val="10"/>
        </w:rPr>
        <w:tab/>
      </w:r>
      <w:r>
        <w:rPr>
          <w:spacing w:val="-2"/>
          <w:w w:val="140"/>
          <w:sz w:val="10"/>
        </w:rPr>
        <w:t>328.46</w:t>
      </w:r>
      <w:r>
        <w:rPr>
          <w:sz w:val="10"/>
        </w:rPr>
        <w:tab/>
      </w:r>
      <w:r>
        <w:rPr>
          <w:spacing w:val="-2"/>
          <w:w w:val="140"/>
          <w:position w:val="1"/>
          <w:sz w:val="10"/>
        </w:rPr>
        <w:t>-26.95%</w:t>
      </w:r>
    </w:p>
    <w:p>
      <w:pPr>
        <w:tabs>
          <w:tab w:pos="5444" w:val="left" w:leader="none"/>
          <w:tab w:pos="6926" w:val="left" w:leader="none"/>
          <w:tab w:pos="7589" w:val="left" w:leader="none"/>
        </w:tabs>
        <w:spacing w:before="17"/>
        <w:ind w:left="0" w:right="1490" w:firstLine="0"/>
        <w:jc w:val="righ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4"/>
          <w:w w:val="140"/>
          <w:sz w:val="10"/>
        </w:rPr>
        <w:t>9.57</w:t>
      </w:r>
      <w:r>
        <w:rPr>
          <w:sz w:val="10"/>
        </w:rPr>
        <w:tab/>
      </w:r>
      <w:r>
        <w:rPr>
          <w:spacing w:val="-4"/>
          <w:w w:val="140"/>
          <w:sz w:val="10"/>
        </w:rPr>
        <w:t>8.40</w:t>
      </w:r>
      <w:r>
        <w:rPr>
          <w:sz w:val="10"/>
        </w:rPr>
        <w:tab/>
      </w:r>
      <w:r>
        <w:rPr>
          <w:spacing w:val="-2"/>
          <w:w w:val="140"/>
          <w:position w:val="1"/>
          <w:sz w:val="10"/>
        </w:rPr>
        <w:t>13.99%</w:t>
      </w:r>
    </w:p>
    <w:p>
      <w:pPr>
        <w:tabs>
          <w:tab w:pos="5444" w:val="left" w:leader="none"/>
          <w:tab w:pos="6854" w:val="left" w:leader="none"/>
          <w:tab w:pos="7571" w:val="left" w:leader="none"/>
        </w:tabs>
        <w:spacing w:before="17"/>
        <w:ind w:left="0" w:right="1472" w:firstLine="0"/>
        <w:jc w:val="righ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4"/>
          <w:w w:val="140"/>
          <w:sz w:val="10"/>
        </w:rPr>
        <w:t>0.90</w:t>
      </w:r>
      <w:r>
        <w:rPr>
          <w:sz w:val="10"/>
        </w:rPr>
        <w:tab/>
      </w:r>
      <w:r>
        <w:rPr>
          <w:spacing w:val="-2"/>
          <w:w w:val="140"/>
          <w:sz w:val="10"/>
        </w:rPr>
        <w:t>11.69</w:t>
      </w:r>
      <w:r>
        <w:rPr>
          <w:sz w:val="10"/>
        </w:rPr>
        <w:tab/>
      </w:r>
      <w:r>
        <w:rPr>
          <w:spacing w:val="-2"/>
          <w:w w:val="140"/>
          <w:position w:val="1"/>
          <w:sz w:val="10"/>
        </w:rPr>
        <w:t>-92.26%</w:t>
      </w:r>
    </w:p>
    <w:p>
      <w:pPr>
        <w:tabs>
          <w:tab w:pos="2469" w:val="left" w:leader="none"/>
          <w:tab w:pos="3355" w:val="left" w:leader="none"/>
          <w:tab w:pos="4836" w:val="left" w:leader="none"/>
          <w:tab w:pos="5825" w:val="left" w:leader="none"/>
        </w:tabs>
        <w:spacing w:before="17"/>
        <w:ind w:left="0" w:right="1525" w:firstLine="0"/>
        <w:jc w:val="right"/>
        <w:rPr>
          <w:position w:val="1"/>
          <w:sz w:val="10"/>
        </w:rPr>
      </w:pPr>
      <w:r>
        <w:rPr>
          <w:b/>
          <w:spacing w:val="-2"/>
          <w:w w:val="145"/>
          <w:sz w:val="12"/>
        </w:rPr>
        <w:t>Subtotal</w:t>
      </w:r>
      <w:r>
        <w:rPr>
          <w:b/>
          <w:sz w:val="12"/>
        </w:rPr>
        <w:tab/>
      </w:r>
      <w:r>
        <w:rPr>
          <w:b/>
          <w:position w:val="1"/>
          <w:sz w:val="10"/>
          <w:u w:val="single"/>
        </w:rPr>
        <w:tab/>
      </w:r>
      <w:r>
        <w:rPr>
          <w:b/>
          <w:w w:val="145"/>
          <w:position w:val="1"/>
          <w:sz w:val="10"/>
          <w:u w:val="single"/>
        </w:rPr>
        <w:t>1,679.09</w:t>
      </w:r>
      <w:r>
        <w:rPr>
          <w:b/>
          <w:w w:val="145"/>
          <w:position w:val="1"/>
          <w:sz w:val="10"/>
          <w:u w:val="single"/>
        </w:rPr>
        <w:t> </w:t>
      </w:r>
      <w:r>
        <w:rPr>
          <w:b/>
          <w:spacing w:val="33"/>
          <w:w w:val="145"/>
          <w:position w:val="1"/>
          <w:sz w:val="10"/>
          <w:u w:val="none"/>
        </w:rPr>
        <w:t> </w:t>
      </w:r>
      <w:r>
        <w:rPr>
          <w:b/>
          <w:position w:val="1"/>
          <w:sz w:val="10"/>
          <w:u w:val="single"/>
        </w:rPr>
        <w:tab/>
      </w:r>
      <w:r>
        <w:rPr>
          <w:b/>
          <w:w w:val="145"/>
          <w:position w:val="1"/>
          <w:sz w:val="10"/>
          <w:u w:val="single"/>
        </w:rPr>
        <w:t>1,656.89</w:t>
      </w:r>
      <w:r>
        <w:rPr>
          <w:b/>
          <w:w w:val="145"/>
          <w:position w:val="1"/>
          <w:sz w:val="10"/>
          <w:u w:val="single"/>
        </w:rPr>
        <w:t> </w:t>
      </w:r>
      <w:r>
        <w:rPr>
          <w:b/>
          <w:position w:val="1"/>
          <w:sz w:val="10"/>
          <w:u w:val="none"/>
        </w:rPr>
        <w:tab/>
      </w:r>
      <w:r>
        <w:rPr>
          <w:spacing w:val="-2"/>
          <w:w w:val="145"/>
          <w:position w:val="1"/>
          <w:sz w:val="10"/>
          <w:u w:val="none"/>
        </w:rPr>
        <w:t>1.34%</w:t>
      </w:r>
    </w:p>
    <w:p>
      <w:pPr>
        <w:spacing w:before="18"/>
        <w:ind w:left="1039" w:right="0" w:firstLine="0"/>
        <w:jc w:val="left"/>
        <w:rPr>
          <w:b/>
          <w:sz w:val="13"/>
        </w:rPr>
      </w:pPr>
      <w:r>
        <w:rPr>
          <w:b/>
          <w:spacing w:val="2"/>
          <w:w w:val="135"/>
          <w:sz w:val="13"/>
        </w:rPr>
        <w:t>Instituciones</w:t>
      </w:r>
      <w:r>
        <w:rPr>
          <w:b/>
          <w:spacing w:val="39"/>
          <w:w w:val="135"/>
          <w:sz w:val="13"/>
        </w:rPr>
        <w:t> </w:t>
      </w:r>
      <w:r>
        <w:rPr>
          <w:b/>
          <w:spacing w:val="-2"/>
          <w:w w:val="135"/>
          <w:sz w:val="13"/>
        </w:rPr>
        <w:t>Descentralizadas</w:t>
      </w:r>
    </w:p>
    <w:p>
      <w:pPr>
        <w:spacing w:after="0"/>
        <w:jc w:val="left"/>
        <w:rPr>
          <w:b/>
          <w:sz w:val="13"/>
        </w:rPr>
        <w:sectPr>
          <w:type w:val="continuous"/>
          <w:pgSz w:w="12240" w:h="15840"/>
          <w:pgMar w:top="1820" w:bottom="280" w:left="1080" w:right="720"/>
        </w:sectPr>
      </w:pPr>
    </w:p>
    <w:p>
      <w:pPr>
        <w:spacing w:line="268" w:lineRule="auto" w:before="14"/>
        <w:ind w:left="927" w:right="0" w:firstLine="0"/>
        <w:jc w:val="left"/>
        <w:rPr>
          <w:sz w:val="12"/>
        </w:rPr>
      </w:pPr>
      <w:r>
        <w:rPr>
          <w:w w:val="135"/>
          <w:sz w:val="12"/>
        </w:rPr>
        <w:t>Otras contribuciones sociales sobre la nómina (Canceladas por </w:t>
      </w:r>
      <w:r>
        <w:rPr>
          <w:spacing w:val="-2"/>
          <w:w w:val="135"/>
          <w:sz w:val="12"/>
        </w:rPr>
        <w:t>patronos)</w:t>
      </w:r>
    </w:p>
    <w:p>
      <w:pPr>
        <w:tabs>
          <w:tab w:pos="2399" w:val="left" w:leader="none"/>
        </w:tabs>
        <w:spacing w:before="19"/>
        <w:ind w:left="917" w:right="0" w:firstLine="0"/>
        <w:jc w:val="left"/>
        <w:rPr>
          <w:sz w:val="10"/>
        </w:rPr>
      </w:pPr>
      <w:r>
        <w:rPr/>
        <w:br w:type="column"/>
      </w:r>
      <w:r>
        <w:rPr>
          <w:spacing w:val="-2"/>
          <w:w w:val="145"/>
          <w:sz w:val="10"/>
        </w:rPr>
        <w:t>443,540.89</w:t>
      </w:r>
      <w:r>
        <w:rPr>
          <w:sz w:val="10"/>
        </w:rPr>
        <w:tab/>
      </w:r>
      <w:r>
        <w:rPr>
          <w:spacing w:val="-2"/>
          <w:w w:val="145"/>
          <w:sz w:val="10"/>
        </w:rPr>
        <w:t>400,957.40</w:t>
      </w:r>
    </w:p>
    <w:p>
      <w:pPr>
        <w:spacing w:before="102"/>
        <w:ind w:left="373" w:right="0" w:firstLine="0"/>
        <w:jc w:val="left"/>
        <w:rPr>
          <w:sz w:val="10"/>
        </w:rPr>
      </w:pPr>
      <w:r>
        <w:rPr/>
        <w:br w:type="column"/>
      </w:r>
      <w:r>
        <w:rPr>
          <w:spacing w:val="-2"/>
          <w:w w:val="145"/>
          <w:sz w:val="10"/>
        </w:rPr>
        <w:t>10.62%</w:t>
      </w:r>
    </w:p>
    <w:p>
      <w:pPr>
        <w:spacing w:after="0"/>
        <w:jc w:val="left"/>
        <w:rPr>
          <w:sz w:val="10"/>
        </w:rPr>
        <w:sectPr>
          <w:type w:val="continuous"/>
          <w:pgSz w:w="12240" w:h="15840"/>
          <w:pgMar w:top="1820" w:bottom="280" w:left="1080" w:right="720"/>
          <w:cols w:num="3" w:equalWidth="0">
            <w:col w:w="5022" w:space="40"/>
            <w:col w:w="3043" w:space="39"/>
            <w:col w:w="2296"/>
          </w:cols>
        </w:sectPr>
      </w:pPr>
    </w:p>
    <w:p>
      <w:pPr>
        <w:tabs>
          <w:tab w:pos="6050" w:val="left" w:leader="none"/>
          <w:tab w:pos="7531" w:val="left" w:leader="none"/>
          <w:tab w:pos="8552" w:val="left" w:leader="none"/>
        </w:tabs>
        <w:spacing w:before="1"/>
        <w:ind w:left="927" w:right="0" w:firstLine="0"/>
        <w:jc w:val="lef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position w:val="1"/>
          <w:sz w:val="10"/>
        </w:rPr>
        <w:t>64,847.29</w:t>
      </w:r>
      <w:r>
        <w:rPr>
          <w:position w:val="1"/>
          <w:sz w:val="10"/>
        </w:rPr>
        <w:tab/>
      </w:r>
      <w:r>
        <w:rPr>
          <w:spacing w:val="-2"/>
          <w:w w:val="140"/>
          <w:position w:val="1"/>
          <w:sz w:val="10"/>
        </w:rPr>
        <w:t>61,972.43</w:t>
      </w:r>
      <w:r>
        <w:rPr>
          <w:position w:val="1"/>
          <w:sz w:val="10"/>
        </w:rPr>
        <w:tab/>
      </w:r>
      <w:r>
        <w:rPr>
          <w:spacing w:val="-2"/>
          <w:w w:val="140"/>
          <w:position w:val="1"/>
          <w:sz w:val="10"/>
        </w:rPr>
        <w:t>4.64%</w:t>
      </w:r>
    </w:p>
    <w:p>
      <w:pPr>
        <w:tabs>
          <w:tab w:pos="6121" w:val="left" w:leader="none"/>
          <w:tab w:pos="7710" w:val="left" w:leader="none"/>
          <w:tab w:pos="8444" w:val="left" w:leader="none"/>
        </w:tabs>
        <w:spacing w:before="17"/>
        <w:ind w:left="927" w:right="0" w:firstLine="0"/>
        <w:jc w:val="lef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2"/>
          <w:w w:val="140"/>
          <w:position w:val="1"/>
          <w:sz w:val="10"/>
        </w:rPr>
        <w:t>4,561.04</w:t>
      </w:r>
      <w:r>
        <w:rPr>
          <w:position w:val="1"/>
          <w:sz w:val="10"/>
        </w:rPr>
        <w:tab/>
      </w:r>
      <w:r>
        <w:rPr>
          <w:spacing w:val="-2"/>
          <w:w w:val="140"/>
          <w:position w:val="1"/>
          <w:sz w:val="10"/>
        </w:rPr>
        <w:t>355.91</w:t>
      </w:r>
      <w:r>
        <w:rPr>
          <w:position w:val="1"/>
          <w:sz w:val="10"/>
        </w:rPr>
        <w:tab/>
      </w:r>
      <w:r>
        <w:rPr>
          <w:spacing w:val="-2"/>
          <w:w w:val="140"/>
          <w:position w:val="1"/>
          <w:sz w:val="10"/>
        </w:rPr>
        <w:t>1181.52%</w:t>
      </w:r>
    </w:p>
    <w:p>
      <w:pPr>
        <w:tabs>
          <w:tab w:pos="6229" w:val="left" w:leader="none"/>
          <w:tab w:pos="7710" w:val="left" w:leader="none"/>
          <w:tab w:pos="8516" w:val="left" w:leader="none"/>
        </w:tabs>
        <w:spacing w:before="17"/>
        <w:ind w:left="927" w:right="0" w:firstLine="0"/>
        <w:jc w:val="lef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2"/>
          <w:w w:val="140"/>
          <w:position w:val="1"/>
          <w:sz w:val="10"/>
        </w:rPr>
        <w:t>547.62</w:t>
      </w:r>
      <w:r>
        <w:rPr>
          <w:position w:val="1"/>
          <w:sz w:val="10"/>
        </w:rPr>
        <w:tab/>
      </w:r>
      <w:r>
        <w:rPr>
          <w:spacing w:val="-2"/>
          <w:w w:val="140"/>
          <w:position w:val="1"/>
          <w:sz w:val="10"/>
        </w:rPr>
        <w:t>413.80</w:t>
      </w:r>
      <w:r>
        <w:rPr>
          <w:position w:val="1"/>
          <w:sz w:val="10"/>
        </w:rPr>
        <w:tab/>
      </w:r>
      <w:r>
        <w:rPr>
          <w:spacing w:val="-2"/>
          <w:w w:val="140"/>
          <w:position w:val="1"/>
          <w:sz w:val="10"/>
        </w:rPr>
        <w:t>32.34%</w:t>
      </w:r>
    </w:p>
    <w:p>
      <w:pPr>
        <w:tabs>
          <w:tab w:pos="5205" w:val="left" w:leader="none"/>
          <w:tab w:pos="5929" w:val="left" w:leader="none"/>
          <w:tab w:pos="7410" w:val="left" w:leader="none"/>
          <w:tab w:pos="8516" w:val="left" w:leader="none"/>
        </w:tabs>
        <w:spacing w:before="17"/>
        <w:ind w:left="2726" w:right="0" w:firstLine="0"/>
        <w:jc w:val="left"/>
        <w:rPr>
          <w:position w:val="1"/>
          <w:sz w:val="10"/>
        </w:rPr>
      </w:pPr>
      <w:r>
        <w:rPr>
          <w:b/>
          <w:spacing w:val="-2"/>
          <w:w w:val="145"/>
          <w:sz w:val="12"/>
        </w:rPr>
        <w:t>Subtotal</w:t>
      </w:r>
      <w:r>
        <w:rPr>
          <w:b/>
          <w:sz w:val="12"/>
        </w:rPr>
        <w:tab/>
      </w:r>
      <w:r>
        <w:rPr>
          <w:b/>
          <w:position w:val="1"/>
          <w:sz w:val="10"/>
          <w:u w:val="single"/>
        </w:rPr>
        <w:tab/>
      </w:r>
      <w:r>
        <w:rPr>
          <w:b/>
          <w:w w:val="145"/>
          <w:position w:val="1"/>
          <w:sz w:val="10"/>
          <w:u w:val="single"/>
        </w:rPr>
        <w:t>513,496.84</w:t>
      </w:r>
      <w:r>
        <w:rPr>
          <w:b/>
          <w:w w:val="145"/>
          <w:position w:val="1"/>
          <w:sz w:val="10"/>
          <w:u w:val="single"/>
        </w:rPr>
        <w:t> </w:t>
      </w:r>
      <w:r>
        <w:rPr>
          <w:b/>
          <w:spacing w:val="42"/>
          <w:w w:val="145"/>
          <w:position w:val="1"/>
          <w:sz w:val="10"/>
          <w:u w:val="none"/>
        </w:rPr>
        <w:t> </w:t>
      </w:r>
      <w:r>
        <w:rPr>
          <w:b/>
          <w:position w:val="1"/>
          <w:sz w:val="10"/>
          <w:u w:val="single"/>
        </w:rPr>
        <w:tab/>
      </w:r>
      <w:r>
        <w:rPr>
          <w:b/>
          <w:w w:val="145"/>
          <w:position w:val="1"/>
          <w:sz w:val="10"/>
          <w:u w:val="single"/>
        </w:rPr>
        <w:t>463,699.54</w:t>
      </w:r>
      <w:r>
        <w:rPr>
          <w:b/>
          <w:w w:val="145"/>
          <w:position w:val="1"/>
          <w:sz w:val="10"/>
          <w:u w:val="single"/>
        </w:rPr>
        <w:t> </w:t>
      </w:r>
      <w:r>
        <w:rPr>
          <w:b/>
          <w:position w:val="1"/>
          <w:sz w:val="10"/>
          <w:u w:val="none"/>
        </w:rPr>
        <w:tab/>
      </w:r>
      <w:r>
        <w:rPr>
          <w:spacing w:val="-2"/>
          <w:w w:val="145"/>
          <w:position w:val="1"/>
          <w:sz w:val="10"/>
          <w:u w:val="none"/>
        </w:rPr>
        <w:t>10.74%</w:t>
      </w:r>
    </w:p>
    <w:p>
      <w:pPr>
        <w:spacing w:after="0"/>
        <w:jc w:val="left"/>
        <w:rPr>
          <w:position w:val="1"/>
          <w:sz w:val="10"/>
        </w:rPr>
        <w:sectPr>
          <w:type w:val="continuous"/>
          <w:pgSz w:w="12240" w:h="15840"/>
          <w:pgMar w:top="1820" w:bottom="280" w:left="1080" w:right="720"/>
        </w:sectPr>
      </w:pPr>
    </w:p>
    <w:p>
      <w:pPr>
        <w:spacing w:before="18"/>
        <w:ind w:left="1039" w:right="0" w:firstLine="0"/>
        <w:jc w:val="left"/>
        <w:rPr>
          <w:b/>
          <w:sz w:val="13"/>
        </w:rPr>
      </w:pPr>
      <w:r>
        <w:rPr>
          <w:b/>
          <w:w w:val="135"/>
          <w:sz w:val="13"/>
        </w:rPr>
        <w:t>Gobiernos</w:t>
      </w:r>
      <w:r>
        <w:rPr>
          <w:b/>
          <w:spacing w:val="52"/>
          <w:w w:val="135"/>
          <w:sz w:val="13"/>
        </w:rPr>
        <w:t> </w:t>
      </w:r>
      <w:r>
        <w:rPr>
          <w:b/>
          <w:spacing w:val="-2"/>
          <w:w w:val="135"/>
          <w:sz w:val="13"/>
        </w:rPr>
        <w:t>Locales</w:t>
      </w:r>
    </w:p>
    <w:p>
      <w:pPr>
        <w:spacing w:line="268" w:lineRule="auto" w:before="14"/>
        <w:ind w:left="927" w:right="0" w:firstLine="0"/>
        <w:jc w:val="left"/>
        <w:rPr>
          <w:sz w:val="12"/>
        </w:rPr>
      </w:pPr>
      <w:r>
        <w:rPr>
          <w:w w:val="135"/>
          <w:sz w:val="12"/>
        </w:rPr>
        <w:t>Otras contribuciones sociales sobre la nómina (Canceladas por </w:t>
      </w:r>
      <w:r>
        <w:rPr>
          <w:spacing w:val="-2"/>
          <w:w w:val="135"/>
          <w:sz w:val="12"/>
        </w:rPr>
        <w:t>patronos)</w:t>
      </w:r>
    </w:p>
    <w:p>
      <w:pPr>
        <w:pStyle w:val="BodyText"/>
        <w:rPr>
          <w:sz w:val="10"/>
        </w:rPr>
      </w:pPr>
      <w:r>
        <w:rPr/>
        <w:br w:type="column"/>
      </w:r>
      <w:r>
        <w:rPr>
          <w:sz w:val="10"/>
        </w:rPr>
      </w:r>
    </w:p>
    <w:p>
      <w:pPr>
        <w:pStyle w:val="BodyText"/>
        <w:spacing w:before="40"/>
        <w:rPr>
          <w:sz w:val="10"/>
        </w:rPr>
      </w:pPr>
    </w:p>
    <w:p>
      <w:pPr>
        <w:tabs>
          <w:tab w:pos="2408" w:val="left" w:leader="none"/>
          <w:tab w:pos="3357" w:val="left" w:leader="none"/>
        </w:tabs>
        <w:spacing w:before="1"/>
        <w:ind w:left="927" w:right="0" w:firstLine="0"/>
        <w:jc w:val="left"/>
        <w:rPr>
          <w:sz w:val="10"/>
        </w:rPr>
      </w:pPr>
      <w:r>
        <w:rPr>
          <w:spacing w:val="-2"/>
          <w:w w:val="145"/>
          <w:sz w:val="10"/>
        </w:rPr>
        <w:t>2,749.29</w:t>
      </w:r>
      <w:r>
        <w:rPr>
          <w:sz w:val="10"/>
        </w:rPr>
        <w:tab/>
      </w:r>
      <w:r>
        <w:rPr>
          <w:spacing w:val="-2"/>
          <w:w w:val="145"/>
          <w:sz w:val="10"/>
        </w:rPr>
        <w:t>2,638.09</w:t>
      </w:r>
      <w:r>
        <w:rPr>
          <w:sz w:val="10"/>
        </w:rPr>
        <w:tab/>
      </w:r>
      <w:r>
        <w:rPr>
          <w:spacing w:val="-4"/>
          <w:w w:val="145"/>
          <w:sz w:val="10"/>
        </w:rPr>
        <w:t>4.22%</w:t>
      </w:r>
    </w:p>
    <w:p>
      <w:pPr>
        <w:spacing w:after="0"/>
        <w:jc w:val="left"/>
        <w:rPr>
          <w:sz w:val="10"/>
        </w:rPr>
        <w:sectPr>
          <w:type w:val="continuous"/>
          <w:pgSz w:w="12240" w:h="15840"/>
          <w:pgMar w:top="1820" w:bottom="280" w:left="1080" w:right="720"/>
          <w:cols w:num="2" w:equalWidth="0">
            <w:col w:w="5062" w:space="133"/>
            <w:col w:w="5245"/>
          </w:cols>
        </w:sectPr>
      </w:pPr>
    </w:p>
    <w:p>
      <w:pPr>
        <w:tabs>
          <w:tab w:pos="5301" w:val="left" w:leader="none"/>
          <w:tab w:pos="6783" w:val="left" w:leader="none"/>
          <w:tab w:pos="7571" w:val="left" w:leader="none"/>
        </w:tabs>
        <w:spacing w:before="1"/>
        <w:ind w:left="0" w:right="1472" w:firstLine="0"/>
        <w:jc w:val="righ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position w:val="1"/>
          <w:sz w:val="10"/>
        </w:rPr>
        <w:t>495.63</w:t>
      </w:r>
      <w:r>
        <w:rPr>
          <w:position w:val="1"/>
          <w:sz w:val="10"/>
        </w:rPr>
        <w:tab/>
      </w:r>
      <w:r>
        <w:rPr>
          <w:spacing w:val="-2"/>
          <w:w w:val="140"/>
          <w:position w:val="1"/>
          <w:sz w:val="10"/>
        </w:rPr>
        <w:t>630.86</w:t>
      </w:r>
      <w:r>
        <w:rPr>
          <w:position w:val="1"/>
          <w:sz w:val="10"/>
        </w:rPr>
        <w:tab/>
      </w:r>
      <w:r>
        <w:rPr>
          <w:spacing w:val="-2"/>
          <w:w w:val="140"/>
          <w:position w:val="1"/>
          <w:sz w:val="10"/>
        </w:rPr>
        <w:t>-21.43%</w:t>
      </w:r>
    </w:p>
    <w:p>
      <w:pPr>
        <w:tabs>
          <w:tab w:pos="5444" w:val="left" w:leader="none"/>
          <w:tab w:pos="6926" w:val="left" w:leader="none"/>
          <w:tab w:pos="7571" w:val="left" w:leader="none"/>
        </w:tabs>
        <w:spacing w:before="17"/>
        <w:ind w:left="0" w:right="1472" w:firstLine="0"/>
        <w:jc w:val="righ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4"/>
          <w:w w:val="140"/>
          <w:position w:val="1"/>
          <w:sz w:val="10"/>
        </w:rPr>
        <w:t>5.86</w:t>
      </w:r>
      <w:r>
        <w:rPr>
          <w:position w:val="1"/>
          <w:sz w:val="10"/>
        </w:rPr>
        <w:tab/>
      </w:r>
      <w:r>
        <w:rPr>
          <w:spacing w:val="-4"/>
          <w:w w:val="140"/>
          <w:position w:val="1"/>
          <w:sz w:val="10"/>
        </w:rPr>
        <w:t>7.67</w:t>
      </w:r>
      <w:r>
        <w:rPr>
          <w:position w:val="1"/>
          <w:sz w:val="10"/>
        </w:rPr>
        <w:tab/>
      </w:r>
      <w:r>
        <w:rPr>
          <w:spacing w:val="-2"/>
          <w:w w:val="140"/>
          <w:position w:val="1"/>
          <w:sz w:val="10"/>
        </w:rPr>
        <w:t>-23.51%</w:t>
      </w:r>
    </w:p>
    <w:p>
      <w:pPr>
        <w:tabs>
          <w:tab w:pos="5444" w:val="left" w:leader="none"/>
          <w:tab w:pos="6926" w:val="left" w:leader="none"/>
          <w:tab w:pos="7553" w:val="left" w:leader="none"/>
        </w:tabs>
        <w:spacing w:before="17"/>
        <w:ind w:left="0" w:right="1454" w:firstLine="0"/>
        <w:jc w:val="righ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4"/>
          <w:w w:val="140"/>
          <w:position w:val="1"/>
          <w:sz w:val="10"/>
        </w:rPr>
        <w:t>7.23</w:t>
      </w:r>
      <w:r>
        <w:rPr>
          <w:position w:val="1"/>
          <w:sz w:val="10"/>
        </w:rPr>
        <w:tab/>
      </w:r>
      <w:r>
        <w:rPr>
          <w:spacing w:val="-4"/>
          <w:w w:val="140"/>
          <w:position w:val="1"/>
          <w:sz w:val="10"/>
        </w:rPr>
        <w:t>0.85</w:t>
      </w:r>
      <w:r>
        <w:rPr>
          <w:position w:val="1"/>
          <w:sz w:val="10"/>
        </w:rPr>
        <w:tab/>
      </w:r>
      <w:r>
        <w:rPr>
          <w:spacing w:val="-2"/>
          <w:w w:val="140"/>
          <w:position w:val="1"/>
          <w:sz w:val="10"/>
        </w:rPr>
        <w:t>754.24%</w:t>
      </w:r>
    </w:p>
    <w:p>
      <w:pPr>
        <w:tabs>
          <w:tab w:pos="2469" w:val="left" w:leader="none"/>
          <w:tab w:pos="3355" w:val="left" w:leader="none"/>
          <w:tab w:pos="4836" w:val="left" w:leader="none"/>
          <w:tab w:pos="5794" w:val="left" w:leader="none"/>
        </w:tabs>
        <w:spacing w:before="17"/>
        <w:ind w:left="0" w:right="1500" w:firstLine="0"/>
        <w:jc w:val="right"/>
        <w:rPr>
          <w:b/>
          <w:position w:val="1"/>
          <w:sz w:val="10"/>
        </w:rPr>
      </w:pPr>
      <w:r>
        <w:rPr>
          <w:b/>
          <w:spacing w:val="-2"/>
          <w:w w:val="145"/>
          <w:sz w:val="12"/>
        </w:rPr>
        <w:t>Subtotal</w:t>
      </w:r>
      <w:r>
        <w:rPr>
          <w:b/>
          <w:sz w:val="12"/>
        </w:rPr>
        <w:tab/>
      </w:r>
      <w:r>
        <w:rPr>
          <w:b/>
          <w:position w:val="1"/>
          <w:sz w:val="10"/>
          <w:u w:val="single"/>
        </w:rPr>
        <w:tab/>
      </w:r>
      <w:r>
        <w:rPr>
          <w:b/>
          <w:w w:val="145"/>
          <w:position w:val="1"/>
          <w:sz w:val="10"/>
          <w:u w:val="single"/>
        </w:rPr>
        <w:t>3,258.01</w:t>
      </w:r>
      <w:r>
        <w:rPr>
          <w:b/>
          <w:w w:val="145"/>
          <w:position w:val="1"/>
          <w:sz w:val="10"/>
          <w:u w:val="single"/>
        </w:rPr>
        <w:t> </w:t>
      </w:r>
      <w:r>
        <w:rPr>
          <w:b/>
          <w:spacing w:val="33"/>
          <w:w w:val="145"/>
          <w:position w:val="1"/>
          <w:sz w:val="10"/>
          <w:u w:val="none"/>
        </w:rPr>
        <w:t> </w:t>
      </w:r>
      <w:r>
        <w:rPr>
          <w:b/>
          <w:position w:val="1"/>
          <w:sz w:val="10"/>
          <w:u w:val="single"/>
        </w:rPr>
        <w:tab/>
      </w:r>
      <w:r>
        <w:rPr>
          <w:b/>
          <w:w w:val="145"/>
          <w:position w:val="1"/>
          <w:sz w:val="10"/>
          <w:u w:val="single"/>
        </w:rPr>
        <w:t>3,277.45</w:t>
      </w:r>
      <w:r>
        <w:rPr>
          <w:b/>
          <w:w w:val="145"/>
          <w:position w:val="1"/>
          <w:sz w:val="10"/>
          <w:u w:val="single"/>
        </w:rPr>
        <w:t> </w:t>
      </w:r>
      <w:r>
        <w:rPr>
          <w:b/>
          <w:position w:val="1"/>
          <w:sz w:val="10"/>
          <w:u w:val="none"/>
        </w:rPr>
        <w:tab/>
      </w:r>
      <w:r>
        <w:rPr>
          <w:b/>
          <w:w w:val="145"/>
          <w:position w:val="1"/>
          <w:sz w:val="10"/>
          <w:u w:val="none"/>
        </w:rPr>
        <w:t>-</w:t>
      </w:r>
      <w:r>
        <w:rPr>
          <w:b/>
          <w:spacing w:val="-2"/>
          <w:w w:val="145"/>
          <w:position w:val="1"/>
          <w:sz w:val="10"/>
          <w:u w:val="none"/>
        </w:rPr>
        <w:t>0.59%</w:t>
      </w:r>
    </w:p>
    <w:p>
      <w:pPr>
        <w:spacing w:before="18"/>
        <w:ind w:left="1039" w:right="0" w:firstLine="0"/>
        <w:jc w:val="left"/>
        <w:rPr>
          <w:b/>
          <w:sz w:val="13"/>
        </w:rPr>
      </w:pPr>
      <w:r>
        <w:rPr>
          <w:b/>
          <w:w w:val="135"/>
          <w:sz w:val="13"/>
        </w:rPr>
        <w:t>Empresas</w:t>
      </w:r>
      <w:r>
        <w:rPr>
          <w:b/>
          <w:spacing w:val="33"/>
          <w:w w:val="135"/>
          <w:sz w:val="13"/>
        </w:rPr>
        <w:t> </w:t>
      </w:r>
      <w:r>
        <w:rPr>
          <w:b/>
          <w:w w:val="135"/>
          <w:sz w:val="13"/>
        </w:rPr>
        <w:t>Públicas</w:t>
      </w:r>
      <w:r>
        <w:rPr>
          <w:b/>
          <w:spacing w:val="33"/>
          <w:w w:val="135"/>
          <w:sz w:val="13"/>
        </w:rPr>
        <w:t> </w:t>
      </w:r>
      <w:r>
        <w:rPr>
          <w:b/>
          <w:w w:val="135"/>
          <w:sz w:val="13"/>
        </w:rPr>
        <w:t>no</w:t>
      </w:r>
      <w:r>
        <w:rPr>
          <w:b/>
          <w:spacing w:val="36"/>
          <w:w w:val="135"/>
          <w:sz w:val="13"/>
        </w:rPr>
        <w:t> </w:t>
      </w:r>
      <w:r>
        <w:rPr>
          <w:b/>
          <w:spacing w:val="-2"/>
          <w:w w:val="135"/>
          <w:sz w:val="13"/>
        </w:rPr>
        <w:t>Financiera</w:t>
      </w:r>
    </w:p>
    <w:p>
      <w:pPr>
        <w:spacing w:line="97" w:lineRule="exact" w:before="14"/>
        <w:ind w:left="927" w:right="0" w:firstLine="0"/>
        <w:jc w:val="left"/>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p>
      <w:pPr>
        <w:spacing w:after="0" w:line="97" w:lineRule="exact"/>
        <w:jc w:val="left"/>
        <w:rPr>
          <w:sz w:val="12"/>
        </w:rPr>
        <w:sectPr>
          <w:type w:val="continuous"/>
          <w:pgSz w:w="12240" w:h="15840"/>
          <w:pgMar w:top="1820" w:bottom="280" w:left="1080" w:right="720"/>
        </w:sectPr>
      </w:pPr>
    </w:p>
    <w:p>
      <w:pPr>
        <w:spacing w:before="57"/>
        <w:ind w:left="927" w:right="0" w:firstLine="0"/>
        <w:jc w:val="left"/>
        <w:rPr>
          <w:sz w:val="12"/>
        </w:rPr>
      </w:pPr>
      <w:r>
        <w:rPr>
          <w:spacing w:val="-2"/>
          <w:w w:val="135"/>
          <w:sz w:val="12"/>
        </w:rPr>
        <w:t>patronos)</w:t>
      </w:r>
    </w:p>
    <w:p>
      <w:pPr>
        <w:tabs>
          <w:tab w:pos="2408" w:val="left" w:leader="none"/>
          <w:tab w:pos="3608" w:val="left" w:leader="none"/>
        </w:tabs>
        <w:spacing w:line="106" w:lineRule="exact" w:before="0"/>
        <w:ind w:left="927" w:right="0" w:firstLine="0"/>
        <w:jc w:val="left"/>
        <w:rPr>
          <w:sz w:val="10"/>
        </w:rPr>
      </w:pPr>
      <w:r>
        <w:rPr/>
        <w:br w:type="column"/>
      </w:r>
      <w:r>
        <w:rPr>
          <w:spacing w:val="-2"/>
          <w:w w:val="145"/>
          <w:sz w:val="10"/>
        </w:rPr>
        <w:t>1,150,324.61</w:t>
      </w:r>
      <w:r>
        <w:rPr>
          <w:sz w:val="10"/>
        </w:rPr>
        <w:tab/>
      </w:r>
      <w:r>
        <w:rPr>
          <w:spacing w:val="-2"/>
          <w:w w:val="145"/>
          <w:sz w:val="10"/>
        </w:rPr>
        <w:t>1,050,403.92</w:t>
      </w:r>
      <w:r>
        <w:rPr>
          <w:sz w:val="10"/>
        </w:rPr>
        <w:tab/>
      </w:r>
      <w:r>
        <w:rPr>
          <w:spacing w:val="-4"/>
          <w:w w:val="145"/>
          <w:sz w:val="10"/>
        </w:rPr>
        <w:t>9.51%</w:t>
      </w:r>
    </w:p>
    <w:p>
      <w:pPr>
        <w:spacing w:after="0" w:line="106" w:lineRule="exact"/>
        <w:jc w:val="left"/>
        <w:rPr>
          <w:sz w:val="10"/>
        </w:rPr>
        <w:sectPr>
          <w:type w:val="continuous"/>
          <w:pgSz w:w="12240" w:h="15840"/>
          <w:pgMar w:top="1820" w:bottom="280" w:left="1080" w:right="720"/>
          <w:cols w:num="2" w:equalWidth="0">
            <w:col w:w="1589" w:space="3355"/>
            <w:col w:w="5496"/>
          </w:cols>
        </w:sectPr>
      </w:pPr>
    </w:p>
    <w:p>
      <w:pPr>
        <w:tabs>
          <w:tab w:pos="5978" w:val="left" w:leader="none"/>
          <w:tab w:pos="7460" w:val="left" w:leader="none"/>
          <w:tab w:pos="8552" w:val="left" w:leader="none"/>
        </w:tabs>
        <w:spacing w:before="17"/>
        <w:ind w:left="927" w:right="0" w:firstLine="0"/>
        <w:jc w:val="lef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position w:val="1"/>
          <w:sz w:val="10"/>
        </w:rPr>
        <w:t>162,179.49</w:t>
      </w:r>
      <w:r>
        <w:rPr>
          <w:position w:val="1"/>
          <w:sz w:val="10"/>
        </w:rPr>
        <w:tab/>
      </w:r>
      <w:r>
        <w:rPr>
          <w:spacing w:val="-2"/>
          <w:w w:val="140"/>
          <w:position w:val="1"/>
          <w:sz w:val="10"/>
        </w:rPr>
        <w:t>151,579.16</w:t>
      </w:r>
      <w:r>
        <w:rPr>
          <w:position w:val="1"/>
          <w:sz w:val="10"/>
        </w:rPr>
        <w:tab/>
      </w:r>
      <w:r>
        <w:rPr>
          <w:spacing w:val="-2"/>
          <w:w w:val="140"/>
          <w:position w:val="1"/>
          <w:sz w:val="10"/>
        </w:rPr>
        <w:t>6.99%</w:t>
      </w:r>
    </w:p>
    <w:p>
      <w:pPr>
        <w:tabs>
          <w:tab w:pos="6121" w:val="left" w:leader="none"/>
          <w:tab w:pos="7710" w:val="left" w:leader="none"/>
          <w:tab w:pos="8444" w:val="left" w:leader="none"/>
        </w:tabs>
        <w:spacing w:before="17"/>
        <w:ind w:left="927" w:right="0" w:firstLine="0"/>
        <w:jc w:val="lef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2"/>
          <w:w w:val="140"/>
          <w:position w:val="1"/>
          <w:sz w:val="10"/>
        </w:rPr>
        <w:t>8,755.48</w:t>
      </w:r>
      <w:r>
        <w:rPr>
          <w:position w:val="1"/>
          <w:sz w:val="10"/>
        </w:rPr>
        <w:tab/>
      </w:r>
      <w:r>
        <w:rPr>
          <w:spacing w:val="-2"/>
          <w:w w:val="140"/>
          <w:position w:val="1"/>
          <w:sz w:val="10"/>
        </w:rPr>
        <w:t>356.51</w:t>
      </w:r>
      <w:r>
        <w:rPr>
          <w:position w:val="1"/>
          <w:sz w:val="10"/>
        </w:rPr>
        <w:tab/>
      </w:r>
      <w:r>
        <w:rPr>
          <w:spacing w:val="-2"/>
          <w:w w:val="140"/>
          <w:position w:val="1"/>
          <w:sz w:val="10"/>
        </w:rPr>
        <w:t>2355.87%</w:t>
      </w:r>
    </w:p>
    <w:p>
      <w:pPr>
        <w:tabs>
          <w:tab w:pos="6229" w:val="left" w:leader="none"/>
          <w:tab w:pos="7782" w:val="left" w:leader="none"/>
          <w:tab w:pos="8444" w:val="left" w:leader="none"/>
        </w:tabs>
        <w:spacing w:before="17"/>
        <w:ind w:left="927" w:right="0" w:firstLine="0"/>
        <w:jc w:val="lef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2"/>
          <w:w w:val="140"/>
          <w:position w:val="1"/>
          <w:sz w:val="10"/>
        </w:rPr>
        <w:t>127.77</w:t>
      </w:r>
      <w:r>
        <w:rPr>
          <w:position w:val="1"/>
          <w:sz w:val="10"/>
        </w:rPr>
        <w:tab/>
      </w:r>
      <w:r>
        <w:rPr>
          <w:spacing w:val="-2"/>
          <w:w w:val="140"/>
          <w:position w:val="1"/>
          <w:sz w:val="10"/>
        </w:rPr>
        <w:t>11.06</w:t>
      </w:r>
      <w:r>
        <w:rPr>
          <w:position w:val="1"/>
          <w:sz w:val="10"/>
        </w:rPr>
        <w:tab/>
      </w:r>
      <w:r>
        <w:rPr>
          <w:spacing w:val="-2"/>
          <w:w w:val="140"/>
          <w:position w:val="1"/>
          <w:sz w:val="10"/>
        </w:rPr>
        <w:t>1055.66%</w:t>
      </w:r>
    </w:p>
    <w:p>
      <w:pPr>
        <w:tabs>
          <w:tab w:pos="5209" w:val="left" w:leader="none"/>
          <w:tab w:pos="5813" w:val="left" w:leader="none"/>
          <w:tab w:pos="7294" w:val="left" w:leader="none"/>
          <w:tab w:pos="8543" w:val="left" w:leader="none"/>
        </w:tabs>
        <w:spacing w:before="17"/>
        <w:ind w:left="2726" w:right="0" w:firstLine="0"/>
        <w:jc w:val="left"/>
        <w:rPr>
          <w:b/>
          <w:position w:val="1"/>
          <w:sz w:val="10"/>
        </w:rPr>
      </w:pPr>
      <w:r>
        <w:rPr>
          <w:b/>
          <w:spacing w:val="-2"/>
          <w:w w:val="145"/>
          <w:sz w:val="12"/>
        </w:rPr>
        <w:t>Subtotal</w:t>
      </w:r>
      <w:r>
        <w:rPr>
          <w:b/>
          <w:sz w:val="12"/>
        </w:rPr>
        <w:tab/>
      </w:r>
      <w:r>
        <w:rPr>
          <w:b/>
          <w:position w:val="1"/>
          <w:sz w:val="10"/>
          <w:u w:val="single"/>
        </w:rPr>
        <w:tab/>
      </w:r>
      <w:r>
        <w:rPr>
          <w:b/>
          <w:w w:val="145"/>
          <w:position w:val="1"/>
          <w:sz w:val="10"/>
          <w:u w:val="single"/>
        </w:rPr>
        <w:t>1,321,387.35</w:t>
      </w:r>
      <w:r>
        <w:rPr>
          <w:b/>
          <w:w w:val="145"/>
          <w:position w:val="1"/>
          <w:sz w:val="10"/>
          <w:u w:val="single"/>
        </w:rPr>
        <w:t> </w:t>
      </w:r>
      <w:r>
        <w:rPr>
          <w:b/>
          <w:spacing w:val="46"/>
          <w:w w:val="145"/>
          <w:position w:val="1"/>
          <w:sz w:val="10"/>
          <w:u w:val="none"/>
        </w:rPr>
        <w:t> </w:t>
      </w:r>
      <w:r>
        <w:rPr>
          <w:b/>
          <w:position w:val="1"/>
          <w:sz w:val="10"/>
          <w:u w:val="single"/>
        </w:rPr>
        <w:tab/>
      </w:r>
      <w:r>
        <w:rPr>
          <w:b/>
          <w:w w:val="145"/>
          <w:position w:val="1"/>
          <w:sz w:val="10"/>
          <w:u w:val="single"/>
        </w:rPr>
        <w:t>1,202,350.64</w:t>
      </w:r>
      <w:r>
        <w:rPr>
          <w:b/>
          <w:w w:val="145"/>
          <w:position w:val="1"/>
          <w:sz w:val="10"/>
          <w:u w:val="single"/>
        </w:rPr>
        <w:t> </w:t>
      </w:r>
      <w:r>
        <w:rPr>
          <w:b/>
          <w:position w:val="1"/>
          <w:sz w:val="10"/>
          <w:u w:val="none"/>
        </w:rPr>
        <w:tab/>
      </w:r>
      <w:r>
        <w:rPr>
          <w:b/>
          <w:spacing w:val="-2"/>
          <w:w w:val="145"/>
          <w:position w:val="1"/>
          <w:sz w:val="10"/>
          <w:u w:val="none"/>
        </w:rPr>
        <w:t>9.90%</w:t>
      </w:r>
    </w:p>
    <w:p>
      <w:pPr>
        <w:spacing w:before="18"/>
        <w:ind w:left="1039" w:right="0" w:firstLine="0"/>
        <w:jc w:val="left"/>
        <w:rPr>
          <w:b/>
          <w:sz w:val="13"/>
        </w:rPr>
      </w:pPr>
      <w:r>
        <w:rPr>
          <w:b/>
          <w:w w:val="135"/>
          <w:sz w:val="13"/>
        </w:rPr>
        <w:t>Instituciones</w:t>
      </w:r>
      <w:r>
        <w:rPr>
          <w:b/>
          <w:spacing w:val="53"/>
          <w:w w:val="135"/>
          <w:sz w:val="13"/>
        </w:rPr>
        <w:t> </w:t>
      </w:r>
      <w:r>
        <w:rPr>
          <w:b/>
          <w:w w:val="135"/>
          <w:sz w:val="13"/>
        </w:rPr>
        <w:t>Públicas</w:t>
      </w:r>
      <w:r>
        <w:rPr>
          <w:b/>
          <w:spacing w:val="53"/>
          <w:w w:val="135"/>
          <w:sz w:val="13"/>
        </w:rPr>
        <w:t> </w:t>
      </w:r>
      <w:r>
        <w:rPr>
          <w:b/>
          <w:spacing w:val="-2"/>
          <w:w w:val="135"/>
          <w:sz w:val="13"/>
        </w:rPr>
        <w:t>Financieras</w:t>
      </w:r>
    </w:p>
    <w:p>
      <w:pPr>
        <w:spacing w:line="97" w:lineRule="exact" w:before="14"/>
        <w:ind w:left="927" w:right="0" w:firstLine="0"/>
        <w:jc w:val="left"/>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p>
      <w:pPr>
        <w:spacing w:after="0" w:line="97" w:lineRule="exact"/>
        <w:jc w:val="left"/>
        <w:rPr>
          <w:sz w:val="12"/>
        </w:rPr>
        <w:sectPr>
          <w:type w:val="continuous"/>
          <w:pgSz w:w="12240" w:h="15840"/>
          <w:pgMar w:top="1820" w:bottom="280" w:left="1080" w:right="720"/>
        </w:sectPr>
      </w:pPr>
    </w:p>
    <w:p>
      <w:pPr>
        <w:spacing w:before="57"/>
        <w:ind w:left="927" w:right="0" w:firstLine="0"/>
        <w:jc w:val="left"/>
        <w:rPr>
          <w:sz w:val="12"/>
        </w:rPr>
      </w:pPr>
      <w:r>
        <w:rPr>
          <w:spacing w:val="-2"/>
          <w:w w:val="135"/>
          <w:sz w:val="12"/>
        </w:rPr>
        <w:t>patronos)</w:t>
      </w:r>
    </w:p>
    <w:p>
      <w:pPr>
        <w:tabs>
          <w:tab w:pos="2408" w:val="left" w:leader="none"/>
          <w:tab w:pos="3608" w:val="left" w:leader="none"/>
        </w:tabs>
        <w:spacing w:line="106" w:lineRule="exact" w:before="0"/>
        <w:ind w:left="927" w:right="0" w:firstLine="0"/>
        <w:jc w:val="left"/>
        <w:rPr>
          <w:sz w:val="10"/>
        </w:rPr>
      </w:pPr>
      <w:r>
        <w:rPr/>
        <w:br w:type="column"/>
      </w:r>
      <w:r>
        <w:rPr>
          <w:spacing w:val="-2"/>
          <w:w w:val="145"/>
          <w:sz w:val="10"/>
        </w:rPr>
        <w:t>1,061,220.45</w:t>
      </w:r>
      <w:r>
        <w:rPr>
          <w:sz w:val="10"/>
        </w:rPr>
        <w:tab/>
      </w:r>
      <w:r>
        <w:rPr>
          <w:spacing w:val="-2"/>
          <w:w w:val="145"/>
          <w:sz w:val="10"/>
        </w:rPr>
        <w:t>1,029,185.80</w:t>
      </w:r>
      <w:r>
        <w:rPr>
          <w:sz w:val="10"/>
        </w:rPr>
        <w:tab/>
      </w:r>
      <w:r>
        <w:rPr>
          <w:spacing w:val="-4"/>
          <w:w w:val="145"/>
          <w:sz w:val="10"/>
        </w:rPr>
        <w:t>3.11%</w:t>
      </w:r>
    </w:p>
    <w:p>
      <w:pPr>
        <w:spacing w:after="0" w:line="106" w:lineRule="exact"/>
        <w:jc w:val="left"/>
        <w:rPr>
          <w:sz w:val="10"/>
        </w:rPr>
        <w:sectPr>
          <w:type w:val="continuous"/>
          <w:pgSz w:w="12240" w:h="15840"/>
          <w:pgMar w:top="1820" w:bottom="280" w:left="1080" w:right="720"/>
          <w:cols w:num="2" w:equalWidth="0">
            <w:col w:w="1589" w:space="3355"/>
            <w:col w:w="5496"/>
          </w:cols>
        </w:sectPr>
      </w:pPr>
    </w:p>
    <w:p>
      <w:pPr>
        <w:tabs>
          <w:tab w:pos="5978" w:val="left" w:leader="none"/>
          <w:tab w:pos="7460" w:val="left" w:leader="none"/>
          <w:tab w:pos="8552" w:val="left" w:leader="none"/>
        </w:tabs>
        <w:spacing w:before="17"/>
        <w:ind w:left="927" w:right="0" w:firstLine="0"/>
        <w:jc w:val="lef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position w:val="1"/>
          <w:sz w:val="10"/>
        </w:rPr>
        <w:t>149,567.52</w:t>
      </w:r>
      <w:r>
        <w:rPr>
          <w:position w:val="1"/>
          <w:sz w:val="10"/>
        </w:rPr>
        <w:tab/>
      </w:r>
      <w:r>
        <w:rPr>
          <w:spacing w:val="-2"/>
          <w:w w:val="140"/>
          <w:position w:val="1"/>
          <w:sz w:val="10"/>
        </w:rPr>
        <w:t>147,064.67</w:t>
      </w:r>
      <w:r>
        <w:rPr>
          <w:position w:val="1"/>
          <w:sz w:val="10"/>
        </w:rPr>
        <w:tab/>
      </w:r>
      <w:r>
        <w:rPr>
          <w:spacing w:val="-2"/>
          <w:w w:val="140"/>
          <w:position w:val="1"/>
          <w:sz w:val="10"/>
        </w:rPr>
        <w:t>1.70%</w:t>
      </w:r>
    </w:p>
    <w:p>
      <w:pPr>
        <w:tabs>
          <w:tab w:pos="6229" w:val="left" w:leader="none"/>
          <w:tab w:pos="7710" w:val="left" w:leader="none"/>
          <w:tab w:pos="8516" w:val="left" w:leader="none"/>
        </w:tabs>
        <w:spacing w:before="17"/>
        <w:ind w:left="927" w:right="0" w:firstLine="0"/>
        <w:jc w:val="lef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2"/>
          <w:w w:val="140"/>
          <w:position w:val="1"/>
          <w:sz w:val="10"/>
        </w:rPr>
        <w:t>323.82</w:t>
      </w:r>
      <w:r>
        <w:rPr>
          <w:position w:val="1"/>
          <w:sz w:val="10"/>
        </w:rPr>
        <w:tab/>
      </w:r>
      <w:r>
        <w:rPr>
          <w:spacing w:val="-2"/>
          <w:w w:val="140"/>
          <w:position w:val="1"/>
          <w:sz w:val="10"/>
        </w:rPr>
        <w:t>258.47</w:t>
      </w:r>
      <w:r>
        <w:rPr>
          <w:position w:val="1"/>
          <w:sz w:val="10"/>
        </w:rPr>
        <w:tab/>
      </w:r>
      <w:r>
        <w:rPr>
          <w:spacing w:val="-2"/>
          <w:w w:val="140"/>
          <w:position w:val="1"/>
          <w:sz w:val="10"/>
        </w:rPr>
        <w:t>25.28%</w:t>
      </w:r>
    </w:p>
    <w:p>
      <w:pPr>
        <w:tabs>
          <w:tab w:pos="6300" w:val="left" w:leader="none"/>
          <w:tab w:pos="7853" w:val="left" w:leader="none"/>
          <w:tab w:pos="8409" w:val="left" w:leader="none"/>
        </w:tabs>
        <w:spacing w:before="17"/>
        <w:ind w:left="927" w:right="0" w:firstLine="0"/>
        <w:jc w:val="lef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2"/>
          <w:w w:val="140"/>
          <w:position w:val="1"/>
          <w:sz w:val="10"/>
        </w:rPr>
        <w:t>55.57</w:t>
      </w:r>
      <w:r>
        <w:rPr>
          <w:position w:val="1"/>
          <w:sz w:val="10"/>
        </w:rPr>
        <w:tab/>
      </w:r>
      <w:r>
        <w:rPr>
          <w:spacing w:val="-4"/>
          <w:w w:val="140"/>
          <w:position w:val="1"/>
          <w:sz w:val="10"/>
        </w:rPr>
        <w:t>0.31</w:t>
      </w:r>
      <w:r>
        <w:rPr>
          <w:position w:val="1"/>
          <w:sz w:val="10"/>
        </w:rPr>
        <w:tab/>
      </w:r>
      <w:r>
        <w:rPr>
          <w:spacing w:val="-2"/>
          <w:w w:val="140"/>
          <w:position w:val="1"/>
          <w:sz w:val="10"/>
        </w:rPr>
        <w:t>17943.51%</w:t>
      </w:r>
    </w:p>
    <w:p>
      <w:pPr>
        <w:tabs>
          <w:tab w:pos="5209" w:val="left" w:leader="none"/>
          <w:tab w:pos="5813" w:val="left" w:leader="none"/>
          <w:tab w:pos="7294" w:val="left" w:leader="none"/>
          <w:tab w:pos="8543" w:val="left" w:leader="none"/>
        </w:tabs>
        <w:spacing w:before="17"/>
        <w:ind w:left="2726" w:right="0" w:firstLine="0"/>
        <w:jc w:val="left"/>
        <w:rPr>
          <w:b/>
          <w:position w:val="1"/>
          <w:sz w:val="10"/>
        </w:rPr>
      </w:pPr>
      <w:r>
        <w:rPr>
          <w:b/>
          <w:spacing w:val="-2"/>
          <w:w w:val="145"/>
          <w:sz w:val="12"/>
        </w:rPr>
        <w:t>Subtotal</w:t>
      </w:r>
      <w:r>
        <w:rPr>
          <w:b/>
          <w:sz w:val="12"/>
        </w:rPr>
        <w:tab/>
      </w:r>
      <w:r>
        <w:rPr>
          <w:b/>
          <w:position w:val="1"/>
          <w:sz w:val="10"/>
          <w:u w:val="single"/>
        </w:rPr>
        <w:tab/>
      </w:r>
      <w:r>
        <w:rPr>
          <w:b/>
          <w:w w:val="145"/>
          <w:position w:val="1"/>
          <w:sz w:val="10"/>
          <w:u w:val="single"/>
        </w:rPr>
        <w:t>1,211,167.37</w:t>
      </w:r>
      <w:r>
        <w:rPr>
          <w:b/>
          <w:w w:val="145"/>
          <w:position w:val="1"/>
          <w:sz w:val="10"/>
          <w:u w:val="single"/>
        </w:rPr>
        <w:t> </w:t>
      </w:r>
      <w:r>
        <w:rPr>
          <w:b/>
          <w:spacing w:val="46"/>
          <w:w w:val="145"/>
          <w:position w:val="1"/>
          <w:sz w:val="10"/>
          <w:u w:val="none"/>
        </w:rPr>
        <w:t> </w:t>
      </w:r>
      <w:r>
        <w:rPr>
          <w:b/>
          <w:position w:val="1"/>
          <w:sz w:val="10"/>
          <w:u w:val="single"/>
        </w:rPr>
        <w:tab/>
      </w:r>
      <w:r>
        <w:rPr>
          <w:b/>
          <w:w w:val="145"/>
          <w:position w:val="1"/>
          <w:sz w:val="10"/>
          <w:u w:val="single"/>
        </w:rPr>
        <w:t>1,176,509.24</w:t>
      </w:r>
      <w:r>
        <w:rPr>
          <w:b/>
          <w:w w:val="145"/>
          <w:position w:val="1"/>
          <w:sz w:val="10"/>
          <w:u w:val="single"/>
        </w:rPr>
        <w:t> </w:t>
      </w:r>
      <w:r>
        <w:rPr>
          <w:b/>
          <w:position w:val="1"/>
          <w:sz w:val="10"/>
          <w:u w:val="none"/>
        </w:rPr>
        <w:tab/>
      </w:r>
      <w:r>
        <w:rPr>
          <w:b/>
          <w:spacing w:val="-2"/>
          <w:w w:val="145"/>
          <w:position w:val="1"/>
          <w:sz w:val="10"/>
          <w:u w:val="none"/>
        </w:rPr>
        <w:t>2.95%</w:t>
      </w:r>
    </w:p>
    <w:p>
      <w:pPr>
        <w:spacing w:after="0"/>
        <w:jc w:val="left"/>
        <w:rPr>
          <w:b/>
          <w:position w:val="1"/>
          <w:sz w:val="10"/>
        </w:rPr>
        <w:sectPr>
          <w:type w:val="continuous"/>
          <w:pgSz w:w="12240" w:h="15840"/>
          <w:pgMar w:top="1820" w:bottom="280" w:left="1080" w:right="720"/>
        </w:sectPr>
      </w:pPr>
    </w:p>
    <w:p>
      <w:pPr>
        <w:spacing w:before="18"/>
        <w:ind w:left="1039" w:right="0" w:firstLine="0"/>
        <w:jc w:val="left"/>
        <w:rPr>
          <w:b/>
          <w:sz w:val="13"/>
        </w:rPr>
      </w:pPr>
      <w:r>
        <w:rPr>
          <w:b/>
          <w:w w:val="135"/>
          <w:sz w:val="13"/>
        </w:rPr>
        <w:t>Sector</w:t>
      </w:r>
      <w:r>
        <w:rPr>
          <w:b/>
          <w:spacing w:val="36"/>
          <w:w w:val="135"/>
          <w:sz w:val="13"/>
        </w:rPr>
        <w:t> </w:t>
      </w:r>
      <w:r>
        <w:rPr>
          <w:b/>
          <w:spacing w:val="-2"/>
          <w:w w:val="135"/>
          <w:sz w:val="13"/>
        </w:rPr>
        <w:t>Privado</w:t>
      </w:r>
    </w:p>
    <w:p>
      <w:pPr>
        <w:spacing w:line="268" w:lineRule="auto" w:before="14"/>
        <w:ind w:left="927" w:right="0" w:firstLine="0"/>
        <w:jc w:val="left"/>
        <w:rPr>
          <w:sz w:val="12"/>
        </w:rPr>
      </w:pPr>
      <w:r>
        <w:rPr>
          <w:w w:val="135"/>
          <w:sz w:val="12"/>
        </w:rPr>
        <w:t>Otras contribuciones sociales sobre la nómina (Canceladas por </w:t>
      </w:r>
      <w:r>
        <w:rPr>
          <w:spacing w:val="-2"/>
          <w:w w:val="135"/>
          <w:sz w:val="12"/>
        </w:rPr>
        <w:t>patronos)</w:t>
      </w:r>
    </w:p>
    <w:p>
      <w:pPr>
        <w:pStyle w:val="BodyText"/>
        <w:rPr>
          <w:sz w:val="10"/>
        </w:rPr>
      </w:pPr>
      <w:r>
        <w:rPr/>
        <w:br w:type="column"/>
      </w:r>
      <w:r>
        <w:rPr>
          <w:sz w:val="10"/>
        </w:rPr>
      </w:r>
    </w:p>
    <w:p>
      <w:pPr>
        <w:pStyle w:val="BodyText"/>
        <w:spacing w:before="40"/>
        <w:rPr>
          <w:sz w:val="10"/>
        </w:rPr>
      </w:pPr>
    </w:p>
    <w:p>
      <w:pPr>
        <w:tabs>
          <w:tab w:pos="2220" w:val="left" w:leader="none"/>
          <w:tab w:pos="3491" w:val="left" w:leader="none"/>
        </w:tabs>
        <w:spacing w:before="1"/>
        <w:ind w:left="738" w:right="0" w:firstLine="0"/>
        <w:jc w:val="left"/>
        <w:rPr>
          <w:sz w:val="10"/>
        </w:rPr>
      </w:pPr>
      <w:r>
        <w:rPr>
          <w:spacing w:val="-2"/>
          <w:w w:val="145"/>
          <w:sz w:val="10"/>
        </w:rPr>
        <w:t>25,800,194.42</w:t>
      </w:r>
      <w:r>
        <w:rPr>
          <w:sz w:val="10"/>
        </w:rPr>
        <w:tab/>
      </w:r>
      <w:r>
        <w:rPr>
          <w:spacing w:val="-2"/>
          <w:w w:val="145"/>
          <w:sz w:val="10"/>
        </w:rPr>
        <w:t>24,713,859.57</w:t>
      </w:r>
      <w:r>
        <w:rPr>
          <w:sz w:val="10"/>
        </w:rPr>
        <w:tab/>
      </w:r>
      <w:r>
        <w:rPr>
          <w:spacing w:val="-4"/>
          <w:w w:val="145"/>
          <w:sz w:val="10"/>
        </w:rPr>
        <w:t>4.40%</w:t>
      </w:r>
    </w:p>
    <w:p>
      <w:pPr>
        <w:spacing w:after="0"/>
        <w:jc w:val="left"/>
        <w:rPr>
          <w:sz w:val="10"/>
        </w:rPr>
        <w:sectPr>
          <w:type w:val="continuous"/>
          <w:pgSz w:w="12240" w:h="15840"/>
          <w:pgMar w:top="1820" w:bottom="280" w:left="1080" w:right="720"/>
          <w:cols w:num="2" w:equalWidth="0">
            <w:col w:w="5022" w:space="40"/>
            <w:col w:w="5378"/>
          </w:cols>
        </w:sectPr>
      </w:pPr>
    </w:p>
    <w:p>
      <w:pPr>
        <w:tabs>
          <w:tab w:pos="4944" w:val="left" w:leader="none"/>
          <w:tab w:pos="6425" w:val="left" w:leader="none"/>
          <w:tab w:pos="7624" w:val="left" w:leader="none"/>
        </w:tabs>
        <w:spacing w:before="1"/>
        <w:ind w:left="0" w:right="1525" w:firstLine="0"/>
        <w:jc w:val="right"/>
        <w:rPr>
          <w:position w:val="1"/>
          <w:sz w:val="10"/>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r>
        <w:rPr>
          <w:sz w:val="12"/>
        </w:rPr>
        <w:tab/>
      </w:r>
      <w:r>
        <w:rPr>
          <w:spacing w:val="-2"/>
          <w:w w:val="140"/>
          <w:position w:val="1"/>
          <w:sz w:val="10"/>
        </w:rPr>
        <w:t>4,785,012.04</w:t>
      </w:r>
      <w:r>
        <w:rPr>
          <w:position w:val="1"/>
          <w:sz w:val="10"/>
        </w:rPr>
        <w:tab/>
      </w:r>
      <w:r>
        <w:rPr>
          <w:spacing w:val="-2"/>
          <w:w w:val="140"/>
          <w:position w:val="1"/>
          <w:sz w:val="10"/>
        </w:rPr>
        <w:t>4,570,013.30</w:t>
      </w:r>
      <w:r>
        <w:rPr>
          <w:position w:val="1"/>
          <w:sz w:val="10"/>
        </w:rPr>
        <w:tab/>
      </w:r>
      <w:r>
        <w:rPr>
          <w:spacing w:val="-2"/>
          <w:w w:val="140"/>
          <w:position w:val="1"/>
          <w:sz w:val="10"/>
        </w:rPr>
        <w:t>4.70%</w:t>
      </w:r>
    </w:p>
    <w:p>
      <w:pPr>
        <w:tabs>
          <w:tab w:pos="5122" w:val="left" w:leader="none"/>
          <w:tab w:pos="6604" w:val="left" w:leader="none"/>
          <w:tab w:pos="7607" w:val="left" w:leader="none"/>
        </w:tabs>
        <w:spacing w:before="17"/>
        <w:ind w:left="0" w:right="1508" w:firstLine="0"/>
        <w:jc w:val="right"/>
        <w:rPr>
          <w:position w:val="1"/>
          <w:sz w:val="10"/>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r>
        <w:rPr>
          <w:sz w:val="12"/>
        </w:rPr>
        <w:tab/>
      </w:r>
      <w:r>
        <w:rPr>
          <w:spacing w:val="-2"/>
          <w:w w:val="140"/>
          <w:position w:val="1"/>
          <w:sz w:val="10"/>
        </w:rPr>
        <w:t>89,951.30</w:t>
      </w:r>
      <w:r>
        <w:rPr>
          <w:position w:val="1"/>
          <w:sz w:val="10"/>
        </w:rPr>
        <w:tab/>
      </w:r>
      <w:r>
        <w:rPr>
          <w:spacing w:val="-2"/>
          <w:w w:val="140"/>
          <w:position w:val="1"/>
          <w:sz w:val="10"/>
        </w:rPr>
        <w:t>98,809.15</w:t>
      </w:r>
      <w:r>
        <w:rPr>
          <w:position w:val="1"/>
          <w:sz w:val="10"/>
        </w:rPr>
        <w:tab/>
      </w:r>
      <w:r>
        <w:rPr>
          <w:spacing w:val="-2"/>
          <w:w w:val="140"/>
          <w:position w:val="1"/>
          <w:sz w:val="10"/>
        </w:rPr>
        <w:t>-8.96%</w:t>
      </w:r>
    </w:p>
    <w:p>
      <w:pPr>
        <w:tabs>
          <w:tab w:pos="5051" w:val="left" w:leader="none"/>
          <w:tab w:pos="6532" w:val="left" w:leader="none"/>
          <w:tab w:pos="7624" w:val="left" w:leader="none"/>
        </w:tabs>
        <w:spacing w:before="17"/>
        <w:ind w:left="0" w:right="1525" w:firstLine="0"/>
        <w:jc w:val="right"/>
        <w:rPr>
          <w:position w:val="1"/>
          <w:sz w:val="10"/>
        </w:rPr>
      </w:pPr>
      <w:r>
        <w:rPr>
          <w:w w:val="140"/>
          <w:sz w:val="12"/>
        </w:rPr>
        <w:t>Recargos</w:t>
      </w:r>
      <w:r>
        <w:rPr>
          <w:spacing w:val="21"/>
          <w:w w:val="140"/>
          <w:sz w:val="12"/>
        </w:rPr>
        <w:t> </w:t>
      </w:r>
      <w:r>
        <w:rPr>
          <w:w w:val="140"/>
          <w:sz w:val="12"/>
        </w:rPr>
        <w:t>moratorios</w:t>
      </w:r>
      <w:r>
        <w:rPr>
          <w:spacing w:val="21"/>
          <w:w w:val="140"/>
          <w:sz w:val="12"/>
        </w:rPr>
        <w:t> </w:t>
      </w:r>
      <w:r>
        <w:rPr>
          <w:spacing w:val="-2"/>
          <w:w w:val="140"/>
          <w:sz w:val="12"/>
        </w:rPr>
        <w:t>devengados</w:t>
      </w:r>
      <w:r>
        <w:rPr>
          <w:sz w:val="12"/>
        </w:rPr>
        <w:tab/>
      </w:r>
      <w:r>
        <w:rPr>
          <w:spacing w:val="-2"/>
          <w:w w:val="140"/>
          <w:position w:val="1"/>
          <w:sz w:val="10"/>
        </w:rPr>
        <w:t>116,076.39</w:t>
      </w:r>
      <w:r>
        <w:rPr>
          <w:position w:val="1"/>
          <w:sz w:val="10"/>
        </w:rPr>
        <w:tab/>
      </w:r>
      <w:r>
        <w:rPr>
          <w:spacing w:val="-2"/>
          <w:w w:val="140"/>
          <w:position w:val="1"/>
          <w:sz w:val="10"/>
        </w:rPr>
        <w:t>105,682.65</w:t>
      </w:r>
      <w:r>
        <w:rPr>
          <w:position w:val="1"/>
          <w:sz w:val="10"/>
        </w:rPr>
        <w:tab/>
      </w:r>
      <w:r>
        <w:rPr>
          <w:spacing w:val="-2"/>
          <w:w w:val="140"/>
          <w:position w:val="1"/>
          <w:sz w:val="10"/>
        </w:rPr>
        <w:t>9.83%</w:t>
      </w:r>
    </w:p>
    <w:p>
      <w:pPr>
        <w:tabs>
          <w:tab w:pos="2487" w:val="left" w:leader="none"/>
          <w:tab w:pos="3010" w:val="left" w:leader="none"/>
          <w:tab w:pos="4492" w:val="left" w:leader="none"/>
          <w:tab w:pos="5816" w:val="left" w:leader="none"/>
        </w:tabs>
        <w:spacing w:before="17"/>
        <w:ind w:left="0" w:right="1517" w:firstLine="0"/>
        <w:jc w:val="right"/>
        <w:rPr>
          <w:b/>
          <w:position w:val="1"/>
          <w:sz w:val="10"/>
        </w:rPr>
      </w:pPr>
      <w:r>
        <w:rPr>
          <w:b/>
          <w:spacing w:val="-2"/>
          <w:w w:val="145"/>
          <w:sz w:val="12"/>
        </w:rPr>
        <w:t>Subtotal</w:t>
      </w:r>
      <w:r>
        <w:rPr>
          <w:b/>
          <w:sz w:val="12"/>
        </w:rPr>
        <w:tab/>
      </w:r>
      <w:r>
        <w:rPr>
          <w:b/>
          <w:position w:val="1"/>
          <w:sz w:val="10"/>
          <w:u w:val="single"/>
        </w:rPr>
        <w:tab/>
      </w:r>
      <w:r>
        <w:rPr>
          <w:b/>
          <w:w w:val="145"/>
          <w:position w:val="1"/>
          <w:sz w:val="10"/>
          <w:u w:val="single"/>
        </w:rPr>
        <w:t>30,791,234.15</w:t>
      </w:r>
      <w:r>
        <w:rPr>
          <w:b/>
          <w:w w:val="145"/>
          <w:position w:val="1"/>
          <w:sz w:val="10"/>
          <w:u w:val="single"/>
        </w:rPr>
        <w:t> </w:t>
      </w:r>
      <w:r>
        <w:rPr>
          <w:b/>
          <w:spacing w:val="40"/>
          <w:w w:val="145"/>
          <w:position w:val="1"/>
          <w:sz w:val="10"/>
          <w:u w:val="none"/>
        </w:rPr>
        <w:t> </w:t>
      </w:r>
      <w:r>
        <w:rPr>
          <w:b/>
          <w:position w:val="1"/>
          <w:sz w:val="10"/>
          <w:u w:val="single"/>
        </w:rPr>
        <w:tab/>
      </w:r>
      <w:r>
        <w:rPr>
          <w:b/>
          <w:w w:val="145"/>
          <w:position w:val="1"/>
          <w:sz w:val="10"/>
          <w:u w:val="single"/>
        </w:rPr>
        <w:t>29,488,364.67</w:t>
      </w:r>
      <w:r>
        <w:rPr>
          <w:b/>
          <w:w w:val="145"/>
          <w:position w:val="1"/>
          <w:sz w:val="10"/>
          <w:u w:val="single"/>
        </w:rPr>
        <w:t> </w:t>
      </w:r>
      <w:r>
        <w:rPr>
          <w:b/>
          <w:position w:val="1"/>
          <w:sz w:val="10"/>
          <w:u w:val="none"/>
        </w:rPr>
        <w:tab/>
      </w:r>
      <w:r>
        <w:rPr>
          <w:b/>
          <w:spacing w:val="-2"/>
          <w:w w:val="145"/>
          <w:position w:val="1"/>
          <w:sz w:val="10"/>
          <w:u w:val="none"/>
        </w:rPr>
        <w:t>4.42%</w:t>
      </w:r>
    </w:p>
    <w:p>
      <w:pPr>
        <w:spacing w:after="0"/>
        <w:jc w:val="right"/>
        <w:rPr>
          <w:b/>
          <w:position w:val="1"/>
          <w:sz w:val="10"/>
        </w:rPr>
        <w:sectPr>
          <w:type w:val="continuous"/>
          <w:pgSz w:w="12240" w:h="15840"/>
          <w:pgMar w:top="1820" w:bottom="280" w:left="1080" w:right="720"/>
        </w:sectPr>
      </w:pPr>
    </w:p>
    <w:p>
      <w:pPr>
        <w:spacing w:before="18"/>
        <w:ind w:left="1039" w:right="0" w:firstLine="0"/>
        <w:jc w:val="left"/>
        <w:rPr>
          <w:b/>
          <w:sz w:val="13"/>
        </w:rPr>
      </w:pPr>
      <w:r>
        <w:rPr>
          <w:b/>
          <w:w w:val="135"/>
          <w:sz w:val="13"/>
        </w:rPr>
        <w:t>Otras</w:t>
      </w:r>
      <w:r>
        <w:rPr>
          <w:b/>
          <w:spacing w:val="24"/>
          <w:w w:val="135"/>
          <w:sz w:val="13"/>
        </w:rPr>
        <w:t> </w:t>
      </w:r>
      <w:r>
        <w:rPr>
          <w:b/>
          <w:spacing w:val="-2"/>
          <w:w w:val="135"/>
          <w:sz w:val="13"/>
        </w:rPr>
        <w:t>Contribuciones</w:t>
      </w:r>
    </w:p>
    <w:p>
      <w:pPr>
        <w:spacing w:before="14"/>
        <w:ind w:left="927" w:right="0" w:firstLine="0"/>
        <w:jc w:val="left"/>
        <w:rPr>
          <w:sz w:val="12"/>
        </w:rPr>
      </w:pPr>
      <w:r>
        <w:rPr>
          <w:w w:val="135"/>
          <w:sz w:val="12"/>
        </w:rPr>
        <w:t>Otras</w:t>
      </w:r>
      <w:r>
        <w:rPr>
          <w:spacing w:val="3"/>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5"/>
          <w:w w:val="135"/>
          <w:sz w:val="12"/>
        </w:rPr>
        <w:t> </w:t>
      </w:r>
      <w:r>
        <w:rPr>
          <w:w w:val="135"/>
          <w:sz w:val="12"/>
        </w:rPr>
        <w:t>la</w:t>
      </w:r>
      <w:r>
        <w:rPr>
          <w:spacing w:val="6"/>
          <w:w w:val="135"/>
          <w:sz w:val="12"/>
        </w:rPr>
        <w:t> </w:t>
      </w:r>
      <w:r>
        <w:rPr>
          <w:w w:val="135"/>
          <w:sz w:val="12"/>
        </w:rPr>
        <w:t>nómina</w:t>
      </w:r>
      <w:r>
        <w:rPr>
          <w:spacing w:val="4"/>
          <w:w w:val="135"/>
          <w:sz w:val="12"/>
        </w:rPr>
        <w:t> </w:t>
      </w:r>
      <w:r>
        <w:rPr>
          <w:w w:val="135"/>
          <w:sz w:val="12"/>
        </w:rPr>
        <w:t>(Canceladas</w:t>
      </w:r>
      <w:r>
        <w:rPr>
          <w:spacing w:val="3"/>
          <w:w w:val="135"/>
          <w:sz w:val="12"/>
        </w:rPr>
        <w:t> </w:t>
      </w:r>
      <w:r>
        <w:rPr>
          <w:spacing w:val="-5"/>
          <w:w w:val="135"/>
          <w:sz w:val="12"/>
        </w:rPr>
        <w:t>por</w:t>
      </w:r>
    </w:p>
    <w:p>
      <w:pPr>
        <w:pStyle w:val="BodyText"/>
        <w:rPr>
          <w:sz w:val="10"/>
        </w:rPr>
      </w:pPr>
      <w:r>
        <w:rPr/>
        <w:br w:type="column"/>
      </w:r>
      <w:r>
        <w:rPr>
          <w:sz w:val="10"/>
        </w:rPr>
      </w:r>
    </w:p>
    <w:p>
      <w:pPr>
        <w:pStyle w:val="BodyText"/>
        <w:spacing w:before="40"/>
        <w:rPr>
          <w:sz w:val="10"/>
        </w:rPr>
      </w:pPr>
    </w:p>
    <w:p>
      <w:pPr>
        <w:spacing w:before="1"/>
        <w:ind w:left="927" w:right="0" w:firstLine="0"/>
        <w:jc w:val="left"/>
        <w:rPr>
          <w:sz w:val="10"/>
        </w:rPr>
      </w:pPr>
      <w:r>
        <w:rPr>
          <w:spacing w:val="-2"/>
          <w:w w:val="145"/>
          <w:sz w:val="10"/>
        </w:rPr>
        <w:t>-22.42%</w:t>
      </w:r>
    </w:p>
    <w:p>
      <w:pPr>
        <w:spacing w:after="0"/>
        <w:jc w:val="left"/>
        <w:rPr>
          <w:sz w:val="10"/>
        </w:rPr>
        <w:sectPr>
          <w:type w:val="continuous"/>
          <w:pgSz w:w="12240" w:h="15840"/>
          <w:pgMar w:top="1820" w:bottom="280" w:left="1080" w:right="720"/>
          <w:cols w:num="2" w:equalWidth="0">
            <w:col w:w="5062" w:space="2510"/>
            <w:col w:w="2868"/>
          </w:cols>
        </w:sectPr>
      </w:pPr>
    </w:p>
    <w:tbl>
      <w:tblPr>
        <w:tblW w:w="0" w:type="auto"/>
        <w:jc w:val="left"/>
        <w:tblInd w:w="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0"/>
        <w:gridCol w:w="1758"/>
        <w:gridCol w:w="1390"/>
        <w:gridCol w:w="735"/>
      </w:tblGrid>
      <w:tr>
        <w:trPr>
          <w:trHeight w:val="136" w:hRule="atLeast"/>
        </w:trPr>
        <w:tc>
          <w:tcPr>
            <w:tcW w:w="4330" w:type="dxa"/>
          </w:tcPr>
          <w:p>
            <w:pPr>
              <w:pStyle w:val="TableParagraph"/>
              <w:spacing w:line="88" w:lineRule="exact"/>
              <w:ind w:left="92"/>
              <w:rPr>
                <w:sz w:val="12"/>
              </w:rPr>
            </w:pPr>
            <w:r>
              <w:rPr>
                <w:spacing w:val="-2"/>
                <w:w w:val="135"/>
                <w:sz w:val="12"/>
              </w:rPr>
              <w:t>patronos)</w:t>
            </w:r>
          </w:p>
        </w:tc>
        <w:tc>
          <w:tcPr>
            <w:tcW w:w="1758" w:type="dxa"/>
          </w:tcPr>
          <w:p>
            <w:pPr>
              <w:pStyle w:val="TableParagraph"/>
              <w:spacing w:line="80" w:lineRule="exact"/>
              <w:ind w:right="321"/>
              <w:jc w:val="right"/>
              <w:rPr>
                <w:sz w:val="10"/>
              </w:rPr>
            </w:pPr>
            <w:r>
              <w:rPr>
                <w:spacing w:val="-2"/>
                <w:w w:val="145"/>
                <w:sz w:val="10"/>
              </w:rPr>
              <w:t>12,823.32</w:t>
            </w:r>
          </w:p>
        </w:tc>
        <w:tc>
          <w:tcPr>
            <w:tcW w:w="1390" w:type="dxa"/>
          </w:tcPr>
          <w:p>
            <w:pPr>
              <w:pStyle w:val="TableParagraph"/>
              <w:spacing w:line="80" w:lineRule="exact"/>
              <w:ind w:right="229"/>
              <w:jc w:val="right"/>
              <w:rPr>
                <w:sz w:val="10"/>
              </w:rPr>
            </w:pPr>
            <w:r>
              <w:rPr>
                <w:spacing w:val="-2"/>
                <w:w w:val="145"/>
                <w:sz w:val="10"/>
              </w:rPr>
              <w:t>16,528.68</w:t>
            </w:r>
          </w:p>
        </w:tc>
        <w:tc>
          <w:tcPr>
            <w:tcW w:w="735" w:type="dxa"/>
          </w:tcPr>
          <w:p>
            <w:pPr>
              <w:pStyle w:val="TableParagraph"/>
              <w:rPr>
                <w:rFonts w:ascii="Times New Roman"/>
                <w:sz w:val="8"/>
              </w:rPr>
            </w:pPr>
          </w:p>
        </w:tc>
      </w:tr>
      <w:tr>
        <w:trPr>
          <w:trHeight w:val="153" w:hRule="atLeast"/>
        </w:trPr>
        <w:tc>
          <w:tcPr>
            <w:tcW w:w="4330" w:type="dxa"/>
          </w:tcPr>
          <w:p>
            <w:pPr>
              <w:pStyle w:val="TableParagraph"/>
              <w:spacing w:line="106" w:lineRule="exact"/>
              <w:ind w:left="92"/>
              <w:rPr>
                <w:sz w:val="12"/>
              </w:rPr>
            </w:pPr>
            <w:r>
              <w:rPr>
                <w:w w:val="135"/>
                <w:sz w:val="12"/>
              </w:rPr>
              <w:t>Otras</w:t>
            </w:r>
            <w:r>
              <w:rPr>
                <w:spacing w:val="2"/>
                <w:w w:val="135"/>
                <w:sz w:val="12"/>
              </w:rPr>
              <w:t> </w:t>
            </w:r>
            <w:r>
              <w:rPr>
                <w:w w:val="135"/>
                <w:sz w:val="12"/>
              </w:rPr>
              <w:t>contribuciones</w:t>
            </w:r>
            <w:r>
              <w:rPr>
                <w:spacing w:val="3"/>
                <w:w w:val="135"/>
                <w:sz w:val="12"/>
              </w:rPr>
              <w:t> </w:t>
            </w:r>
            <w:r>
              <w:rPr>
                <w:w w:val="135"/>
                <w:sz w:val="12"/>
              </w:rPr>
              <w:t>sociales</w:t>
            </w:r>
            <w:r>
              <w:rPr>
                <w:spacing w:val="3"/>
                <w:w w:val="135"/>
                <w:sz w:val="12"/>
              </w:rPr>
              <w:t> </w:t>
            </w:r>
            <w:r>
              <w:rPr>
                <w:w w:val="135"/>
                <w:sz w:val="12"/>
              </w:rPr>
              <w:t>sobre</w:t>
            </w:r>
            <w:r>
              <w:rPr>
                <w:spacing w:val="4"/>
                <w:w w:val="135"/>
                <w:sz w:val="12"/>
              </w:rPr>
              <w:t> </w:t>
            </w:r>
            <w:r>
              <w:rPr>
                <w:w w:val="135"/>
                <w:sz w:val="12"/>
              </w:rPr>
              <w:t>la</w:t>
            </w:r>
            <w:r>
              <w:rPr>
                <w:spacing w:val="5"/>
                <w:w w:val="135"/>
                <w:sz w:val="12"/>
              </w:rPr>
              <w:t> </w:t>
            </w:r>
            <w:r>
              <w:rPr>
                <w:w w:val="135"/>
                <w:sz w:val="12"/>
              </w:rPr>
              <w:t>nómina</w:t>
            </w:r>
            <w:r>
              <w:rPr>
                <w:spacing w:val="4"/>
                <w:w w:val="135"/>
                <w:sz w:val="12"/>
              </w:rPr>
              <w:t> </w:t>
            </w:r>
            <w:r>
              <w:rPr>
                <w:spacing w:val="-2"/>
                <w:w w:val="135"/>
                <w:sz w:val="12"/>
              </w:rPr>
              <w:t>devengadas</w:t>
            </w:r>
          </w:p>
        </w:tc>
        <w:tc>
          <w:tcPr>
            <w:tcW w:w="1758" w:type="dxa"/>
          </w:tcPr>
          <w:p>
            <w:pPr>
              <w:pStyle w:val="TableParagraph"/>
              <w:spacing w:line="98" w:lineRule="exact"/>
              <w:ind w:right="321"/>
              <w:jc w:val="right"/>
              <w:rPr>
                <w:sz w:val="10"/>
              </w:rPr>
            </w:pPr>
            <w:r>
              <w:rPr>
                <w:spacing w:val="-2"/>
                <w:w w:val="145"/>
                <w:sz w:val="10"/>
              </w:rPr>
              <w:t>3,376.20</w:t>
            </w:r>
          </w:p>
        </w:tc>
        <w:tc>
          <w:tcPr>
            <w:tcW w:w="1390" w:type="dxa"/>
          </w:tcPr>
          <w:p>
            <w:pPr>
              <w:pStyle w:val="TableParagraph"/>
              <w:spacing w:line="98" w:lineRule="exact"/>
              <w:ind w:right="229"/>
              <w:jc w:val="right"/>
              <w:rPr>
                <w:sz w:val="10"/>
              </w:rPr>
            </w:pPr>
            <w:r>
              <w:rPr>
                <w:spacing w:val="-2"/>
                <w:w w:val="145"/>
                <w:sz w:val="10"/>
              </w:rPr>
              <w:t>1,922.67</w:t>
            </w:r>
          </w:p>
        </w:tc>
        <w:tc>
          <w:tcPr>
            <w:tcW w:w="735" w:type="dxa"/>
          </w:tcPr>
          <w:p>
            <w:pPr>
              <w:pStyle w:val="TableParagraph"/>
              <w:spacing w:line="94" w:lineRule="exact"/>
              <w:ind w:left="103"/>
              <w:jc w:val="center"/>
              <w:rPr>
                <w:sz w:val="10"/>
              </w:rPr>
            </w:pPr>
            <w:r>
              <w:rPr>
                <w:spacing w:val="-2"/>
                <w:w w:val="145"/>
                <w:sz w:val="10"/>
              </w:rPr>
              <w:t>75.60%</w:t>
            </w:r>
          </w:p>
        </w:tc>
      </w:tr>
      <w:tr>
        <w:trPr>
          <w:trHeight w:val="153" w:hRule="atLeast"/>
        </w:trPr>
        <w:tc>
          <w:tcPr>
            <w:tcW w:w="4330" w:type="dxa"/>
          </w:tcPr>
          <w:p>
            <w:pPr>
              <w:pStyle w:val="TableParagraph"/>
              <w:spacing w:line="106" w:lineRule="exact"/>
              <w:ind w:left="92"/>
              <w:rPr>
                <w:sz w:val="12"/>
              </w:rPr>
            </w:pPr>
            <w:r>
              <w:rPr>
                <w:w w:val="135"/>
                <w:sz w:val="12"/>
              </w:rPr>
              <w:t>Recargos</w:t>
            </w:r>
            <w:r>
              <w:rPr>
                <w:spacing w:val="5"/>
                <w:w w:val="135"/>
                <w:sz w:val="12"/>
              </w:rPr>
              <w:t> </w:t>
            </w:r>
            <w:r>
              <w:rPr>
                <w:w w:val="135"/>
                <w:sz w:val="12"/>
              </w:rPr>
              <w:t>moratorios</w:t>
            </w:r>
            <w:r>
              <w:rPr>
                <w:spacing w:val="5"/>
                <w:w w:val="135"/>
                <w:sz w:val="12"/>
              </w:rPr>
              <w:t> </w:t>
            </w:r>
            <w:r>
              <w:rPr>
                <w:spacing w:val="-2"/>
                <w:w w:val="135"/>
                <w:sz w:val="12"/>
              </w:rPr>
              <w:t>recibidos</w:t>
            </w:r>
          </w:p>
        </w:tc>
        <w:tc>
          <w:tcPr>
            <w:tcW w:w="1758" w:type="dxa"/>
          </w:tcPr>
          <w:p>
            <w:pPr>
              <w:pStyle w:val="TableParagraph"/>
              <w:spacing w:line="98" w:lineRule="exact"/>
              <w:ind w:right="320"/>
              <w:jc w:val="right"/>
              <w:rPr>
                <w:sz w:val="10"/>
              </w:rPr>
            </w:pPr>
            <w:r>
              <w:rPr>
                <w:spacing w:val="-2"/>
                <w:w w:val="145"/>
                <w:sz w:val="10"/>
              </w:rPr>
              <w:t>18.81</w:t>
            </w:r>
          </w:p>
        </w:tc>
        <w:tc>
          <w:tcPr>
            <w:tcW w:w="1390" w:type="dxa"/>
          </w:tcPr>
          <w:p>
            <w:pPr>
              <w:pStyle w:val="TableParagraph"/>
              <w:spacing w:line="98" w:lineRule="exact"/>
              <w:ind w:right="229"/>
              <w:jc w:val="right"/>
              <w:rPr>
                <w:sz w:val="10"/>
              </w:rPr>
            </w:pPr>
            <w:r>
              <w:rPr>
                <w:spacing w:val="-2"/>
                <w:w w:val="145"/>
                <w:sz w:val="10"/>
              </w:rPr>
              <w:t>61.26</w:t>
            </w:r>
          </w:p>
        </w:tc>
        <w:tc>
          <w:tcPr>
            <w:tcW w:w="735" w:type="dxa"/>
          </w:tcPr>
          <w:p>
            <w:pPr>
              <w:pStyle w:val="TableParagraph"/>
              <w:spacing w:line="95" w:lineRule="exact"/>
              <w:ind w:left="103"/>
              <w:jc w:val="center"/>
              <w:rPr>
                <w:sz w:val="10"/>
              </w:rPr>
            </w:pPr>
            <w:r>
              <w:rPr>
                <w:spacing w:val="-2"/>
                <w:w w:val="145"/>
                <w:sz w:val="10"/>
              </w:rPr>
              <w:t>-69.30%</w:t>
            </w:r>
          </w:p>
        </w:tc>
      </w:tr>
      <w:tr>
        <w:trPr>
          <w:trHeight w:val="136" w:hRule="atLeast"/>
        </w:trPr>
        <w:tc>
          <w:tcPr>
            <w:tcW w:w="4330" w:type="dxa"/>
          </w:tcPr>
          <w:p>
            <w:pPr>
              <w:pStyle w:val="TableParagraph"/>
              <w:spacing w:line="104" w:lineRule="exact"/>
              <w:ind w:left="92"/>
              <w:rPr>
                <w:sz w:val="12"/>
              </w:rPr>
            </w:pPr>
            <w:r>
              <w:rPr>
                <w:w w:val="135"/>
                <w:sz w:val="12"/>
              </w:rPr>
              <w:t>Recargos</w:t>
            </w:r>
            <w:r>
              <w:rPr>
                <w:spacing w:val="46"/>
                <w:w w:val="135"/>
                <w:sz w:val="12"/>
              </w:rPr>
              <w:t> </w:t>
            </w:r>
            <w:r>
              <w:rPr>
                <w:w w:val="135"/>
                <w:sz w:val="12"/>
              </w:rPr>
              <w:t>moratorios</w:t>
            </w:r>
            <w:r>
              <w:rPr>
                <w:spacing w:val="46"/>
                <w:w w:val="135"/>
                <w:sz w:val="12"/>
              </w:rPr>
              <w:t> </w:t>
            </w:r>
            <w:r>
              <w:rPr>
                <w:spacing w:val="-2"/>
                <w:w w:val="135"/>
                <w:sz w:val="12"/>
              </w:rPr>
              <w:t>devengados</w:t>
            </w:r>
          </w:p>
        </w:tc>
        <w:tc>
          <w:tcPr>
            <w:tcW w:w="1758" w:type="dxa"/>
          </w:tcPr>
          <w:p>
            <w:pPr>
              <w:pStyle w:val="TableParagraph"/>
              <w:spacing w:line="98" w:lineRule="exact"/>
              <w:ind w:right="321"/>
              <w:jc w:val="right"/>
              <w:rPr>
                <w:sz w:val="10"/>
              </w:rPr>
            </w:pPr>
            <w:r>
              <w:rPr>
                <w:spacing w:val="-2"/>
                <w:w w:val="145"/>
                <w:sz w:val="10"/>
              </w:rPr>
              <w:t>237.42</w:t>
            </w:r>
          </w:p>
        </w:tc>
        <w:tc>
          <w:tcPr>
            <w:tcW w:w="1390" w:type="dxa"/>
          </w:tcPr>
          <w:p>
            <w:pPr>
              <w:pStyle w:val="TableParagraph"/>
              <w:spacing w:line="98" w:lineRule="exact"/>
              <w:ind w:right="229"/>
              <w:jc w:val="right"/>
              <w:rPr>
                <w:sz w:val="10"/>
              </w:rPr>
            </w:pPr>
            <w:r>
              <w:rPr>
                <w:spacing w:val="-2"/>
                <w:w w:val="145"/>
                <w:sz w:val="10"/>
              </w:rPr>
              <w:t>193.27</w:t>
            </w:r>
          </w:p>
        </w:tc>
        <w:tc>
          <w:tcPr>
            <w:tcW w:w="735" w:type="dxa"/>
          </w:tcPr>
          <w:p>
            <w:pPr>
              <w:pStyle w:val="TableParagraph"/>
              <w:spacing w:line="94" w:lineRule="exact"/>
              <w:ind w:left="103"/>
              <w:jc w:val="center"/>
              <w:rPr>
                <w:sz w:val="10"/>
              </w:rPr>
            </w:pPr>
            <w:r>
              <w:rPr>
                <w:spacing w:val="-2"/>
                <w:w w:val="145"/>
                <w:sz w:val="10"/>
              </w:rPr>
              <w:t>22.84%</w:t>
            </w:r>
          </w:p>
        </w:tc>
      </w:tr>
      <w:tr>
        <w:trPr>
          <w:trHeight w:val="249" w:hRule="atLeast"/>
        </w:trPr>
        <w:tc>
          <w:tcPr>
            <w:tcW w:w="4330" w:type="dxa"/>
          </w:tcPr>
          <w:p>
            <w:pPr>
              <w:pStyle w:val="TableParagraph"/>
              <w:spacing w:line="124" w:lineRule="exact"/>
              <w:ind w:left="24"/>
              <w:jc w:val="center"/>
              <w:rPr>
                <w:b/>
                <w:sz w:val="12"/>
              </w:rPr>
            </w:pPr>
            <w:r>
              <w:rPr>
                <w:b/>
                <w:spacing w:val="-2"/>
                <w:w w:val="135"/>
                <w:sz w:val="12"/>
              </w:rPr>
              <w:t>Subtotal</w:t>
            </w:r>
          </w:p>
        </w:tc>
        <w:tc>
          <w:tcPr>
            <w:tcW w:w="3148" w:type="dxa"/>
            <w:gridSpan w:val="2"/>
          </w:tcPr>
          <w:p>
            <w:pPr>
              <w:pStyle w:val="TableParagraph"/>
              <w:tabs>
                <w:tab w:pos="840" w:val="left" w:leader="none"/>
                <w:tab w:pos="2321" w:val="left" w:leader="none"/>
              </w:tabs>
              <w:spacing w:line="112" w:lineRule="exact"/>
              <w:ind w:left="35"/>
              <w:rPr>
                <w:b/>
                <w:sz w:val="10"/>
              </w:rPr>
            </w:pPr>
            <w:r>
              <w:rPr>
                <w:b/>
                <w:sz w:val="10"/>
                <w:u w:val="single"/>
              </w:rPr>
              <w:tab/>
            </w:r>
            <w:r>
              <w:rPr>
                <w:b/>
                <w:w w:val="145"/>
                <w:sz w:val="10"/>
                <w:u w:val="single"/>
              </w:rPr>
              <w:t>16,455.74</w:t>
            </w:r>
            <w:r>
              <w:rPr>
                <w:b/>
                <w:w w:val="145"/>
                <w:sz w:val="10"/>
                <w:u w:val="single"/>
              </w:rPr>
              <w:t> </w:t>
            </w:r>
            <w:r>
              <w:rPr>
                <w:b/>
                <w:spacing w:val="37"/>
                <w:w w:val="145"/>
                <w:sz w:val="10"/>
                <w:u w:val="none"/>
              </w:rPr>
              <w:t> </w:t>
            </w:r>
            <w:r>
              <w:rPr>
                <w:b/>
                <w:sz w:val="10"/>
                <w:u w:val="single"/>
              </w:rPr>
              <w:tab/>
            </w:r>
            <w:r>
              <w:rPr>
                <w:b/>
                <w:spacing w:val="-2"/>
                <w:w w:val="145"/>
                <w:sz w:val="10"/>
                <w:u w:val="single"/>
              </w:rPr>
              <w:t>18,705.88</w:t>
            </w:r>
            <w:r>
              <w:rPr>
                <w:b/>
                <w:spacing w:val="40"/>
                <w:w w:val="145"/>
                <w:sz w:val="10"/>
                <w:u w:val="single"/>
              </w:rPr>
              <w:t> </w:t>
            </w:r>
          </w:p>
        </w:tc>
        <w:tc>
          <w:tcPr>
            <w:tcW w:w="735" w:type="dxa"/>
          </w:tcPr>
          <w:p>
            <w:pPr>
              <w:pStyle w:val="TableParagraph"/>
              <w:spacing w:line="112" w:lineRule="exact"/>
              <w:ind w:left="103" w:right="1"/>
              <w:jc w:val="center"/>
              <w:rPr>
                <w:b/>
                <w:sz w:val="10"/>
              </w:rPr>
            </w:pPr>
            <w:r>
              <w:rPr>
                <w:b/>
                <w:w w:val="145"/>
                <w:sz w:val="10"/>
              </w:rPr>
              <w:t>-</w:t>
            </w:r>
            <w:r>
              <w:rPr>
                <w:b/>
                <w:spacing w:val="-2"/>
                <w:w w:val="145"/>
                <w:sz w:val="10"/>
              </w:rPr>
              <w:t>12.03%</w:t>
            </w:r>
          </w:p>
        </w:tc>
      </w:tr>
      <w:tr>
        <w:trPr>
          <w:trHeight w:val="387" w:hRule="atLeast"/>
        </w:trPr>
        <w:tc>
          <w:tcPr>
            <w:tcW w:w="4330" w:type="dxa"/>
          </w:tcPr>
          <w:p>
            <w:pPr>
              <w:pStyle w:val="TableParagraph"/>
              <w:tabs>
                <w:tab w:pos="4294" w:val="left" w:leader="none"/>
              </w:tabs>
              <w:spacing w:before="45"/>
              <w:ind w:left="70"/>
              <w:rPr>
                <w:b/>
                <w:sz w:val="13"/>
              </w:rPr>
            </w:pPr>
            <w:r>
              <w:rPr>
                <w:b/>
                <w:color w:val="000000"/>
                <w:spacing w:val="-2"/>
                <w:w w:val="135"/>
                <w:sz w:val="13"/>
                <w:shd w:fill="FFFFFF" w:color="auto" w:val="clear"/>
              </w:rPr>
              <w:t> </w:t>
            </w:r>
            <w:r>
              <w:rPr>
                <w:b/>
                <w:color w:val="000000"/>
                <w:w w:val="135"/>
                <w:sz w:val="13"/>
                <w:shd w:fill="FFFFFF" w:color="auto" w:val="clear"/>
              </w:rPr>
              <w:t>TOTAL</w:t>
            </w:r>
            <w:r>
              <w:rPr>
                <w:b/>
                <w:color w:val="000000"/>
                <w:spacing w:val="37"/>
                <w:w w:val="135"/>
                <w:sz w:val="13"/>
                <w:shd w:fill="FFFFFF" w:color="auto" w:val="clear"/>
              </w:rPr>
              <w:t> </w:t>
            </w:r>
            <w:r>
              <w:rPr>
                <w:b/>
                <w:color w:val="000000"/>
                <w:w w:val="135"/>
                <w:sz w:val="13"/>
                <w:shd w:fill="FFFFFF" w:color="auto" w:val="clear"/>
              </w:rPr>
              <w:t>CONTIBUCIONES</w:t>
            </w:r>
            <w:r>
              <w:rPr>
                <w:b/>
                <w:color w:val="000000"/>
                <w:spacing w:val="42"/>
                <w:w w:val="135"/>
                <w:sz w:val="13"/>
                <w:shd w:fill="FFFFFF" w:color="auto" w:val="clear"/>
              </w:rPr>
              <w:t> </w:t>
            </w:r>
            <w:r>
              <w:rPr>
                <w:b/>
                <w:color w:val="000000"/>
                <w:spacing w:val="-2"/>
                <w:w w:val="135"/>
                <w:sz w:val="13"/>
                <w:shd w:fill="FFFFFF" w:color="auto" w:val="clear"/>
              </w:rPr>
              <w:t>SOCIALES</w:t>
            </w:r>
            <w:r>
              <w:rPr>
                <w:b/>
                <w:color w:val="000000"/>
                <w:sz w:val="13"/>
                <w:shd w:fill="FFFFFF" w:color="auto" w:val="clear"/>
              </w:rPr>
              <w:tab/>
            </w:r>
          </w:p>
        </w:tc>
        <w:tc>
          <w:tcPr>
            <w:tcW w:w="3148" w:type="dxa"/>
            <w:gridSpan w:val="2"/>
          </w:tcPr>
          <w:p>
            <w:pPr>
              <w:pStyle w:val="TableParagraph"/>
              <w:tabs>
                <w:tab w:pos="572" w:val="left" w:leader="none"/>
                <w:tab w:pos="2053" w:val="left" w:leader="none"/>
              </w:tabs>
              <w:spacing w:line="160" w:lineRule="atLeast" w:before="16"/>
              <w:ind w:left="599" w:right="170" w:hanging="551"/>
              <w:rPr>
                <w:sz w:val="10"/>
              </w:rPr>
            </w:pPr>
            <w:r>
              <w:rPr>
                <w:b/>
                <w:sz w:val="10"/>
                <w:u w:val="single"/>
              </w:rPr>
              <w:tab/>
            </w:r>
            <w:r>
              <w:rPr>
                <w:b/>
                <w:w w:val="145"/>
                <w:sz w:val="10"/>
                <w:u w:val="single"/>
              </w:rPr>
              <w:t>33,858,824.86</w:t>
            </w:r>
            <w:r>
              <w:rPr>
                <w:b/>
                <w:w w:val="145"/>
                <w:sz w:val="10"/>
                <w:u w:val="single"/>
              </w:rPr>
              <w:t> </w:t>
            </w:r>
            <w:r>
              <w:rPr>
                <w:b/>
                <w:spacing w:val="40"/>
                <w:w w:val="145"/>
                <w:sz w:val="10"/>
                <w:u w:val="none"/>
              </w:rPr>
              <w:t> </w:t>
            </w:r>
            <w:r>
              <w:rPr>
                <w:b/>
                <w:sz w:val="10"/>
                <w:u w:val="single"/>
              </w:rPr>
              <w:tab/>
            </w:r>
            <w:r>
              <w:rPr>
                <w:b/>
                <w:w w:val="145"/>
                <w:sz w:val="10"/>
                <w:u w:val="single"/>
              </w:rPr>
              <w:t>32,354,794.22</w:t>
            </w:r>
            <w:r>
              <w:rPr>
                <w:b/>
                <w:w w:val="145"/>
                <w:sz w:val="10"/>
                <w:u w:val="single"/>
              </w:rPr>
              <w:t> </w:t>
            </w:r>
            <w:r>
              <w:rPr>
                <w:b/>
                <w:spacing w:val="40"/>
                <w:w w:val="145"/>
                <w:sz w:val="10"/>
                <w:u w:val="none"/>
              </w:rPr>
              <w:t> </w:t>
            </w:r>
            <w:r>
              <w:rPr>
                <w:spacing w:val="-2"/>
                <w:w w:val="145"/>
                <w:sz w:val="10"/>
                <w:u w:val="none"/>
              </w:rPr>
              <w:t>33,858,824.86</w:t>
            </w:r>
            <w:r>
              <w:rPr>
                <w:sz w:val="10"/>
                <w:u w:val="none"/>
              </w:rPr>
              <w:tab/>
            </w:r>
            <w:r>
              <w:rPr>
                <w:spacing w:val="-7"/>
                <w:sz w:val="10"/>
                <w:u w:val="none"/>
              </w:rPr>
              <w:t> </w:t>
            </w:r>
            <w:r>
              <w:rPr>
                <w:w w:val="145"/>
                <w:sz w:val="10"/>
                <w:u w:val="none"/>
              </w:rPr>
              <w:t>32,354,794.22</w:t>
            </w:r>
          </w:p>
        </w:tc>
        <w:tc>
          <w:tcPr>
            <w:tcW w:w="735" w:type="dxa"/>
          </w:tcPr>
          <w:p>
            <w:pPr>
              <w:pStyle w:val="TableParagraph"/>
              <w:spacing w:before="62"/>
              <w:ind w:left="103" w:right="1"/>
              <w:jc w:val="center"/>
              <w:rPr>
                <w:b/>
                <w:sz w:val="10"/>
              </w:rPr>
            </w:pPr>
            <w:r>
              <w:rPr>
                <w:b/>
                <w:spacing w:val="-2"/>
                <w:w w:val="145"/>
                <w:sz w:val="10"/>
              </w:rPr>
              <w:t>4.65%</w:t>
            </w:r>
          </w:p>
        </w:tc>
      </w:tr>
    </w:tbl>
    <w:p>
      <w:pPr>
        <w:pStyle w:val="BodyText"/>
        <w:spacing w:before="185"/>
      </w:pPr>
      <w:r>
        <w:rPr/>
        <mc:AlternateContent>
          <mc:Choice Requires="wps">
            <w:drawing>
              <wp:anchor distT="0" distB="0" distL="0" distR="0" allowOverlap="1" layoutInCell="1" locked="0" behindDoc="1" simplePos="0" relativeHeight="473610752">
                <wp:simplePos x="0" y="0"/>
                <wp:positionH relativeFrom="page">
                  <wp:posOffset>9525</wp:posOffset>
                </wp:positionH>
                <wp:positionV relativeFrom="page">
                  <wp:posOffset>297208</wp:posOffset>
                </wp:positionV>
                <wp:extent cx="7762875" cy="9748520"/>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7762875" cy="9748520"/>
                          <a:chExt cx="7762875" cy="9748520"/>
                        </a:xfrm>
                      </wpg:grpSpPr>
                      <pic:pic>
                        <pic:nvPicPr>
                          <pic:cNvPr id="482" name="Image 482"/>
                          <pic:cNvPicPr/>
                        </pic:nvPicPr>
                        <pic:blipFill>
                          <a:blip r:embed="rId5" cstate="print"/>
                          <a:stretch>
                            <a:fillRect/>
                          </a:stretch>
                        </pic:blipFill>
                        <pic:spPr>
                          <a:xfrm>
                            <a:off x="0" y="0"/>
                            <a:ext cx="7762874" cy="9748489"/>
                          </a:xfrm>
                          <a:prstGeom prst="rect">
                            <a:avLst/>
                          </a:prstGeom>
                        </pic:spPr>
                      </pic:pic>
                      <wps:wsp>
                        <wps:cNvPr id="483" name="Graphic 483"/>
                        <wps:cNvSpPr/>
                        <wps:spPr>
                          <a:xfrm>
                            <a:off x="1053007" y="990837"/>
                            <a:ext cx="5736590" cy="6064885"/>
                          </a:xfrm>
                          <a:custGeom>
                            <a:avLst/>
                            <a:gdLst/>
                            <a:ahLst/>
                            <a:cxnLst/>
                            <a:rect l="l" t="t" r="r" b="b"/>
                            <a:pathLst>
                              <a:path w="5736590" h="6064885">
                                <a:moveTo>
                                  <a:pt x="5649214" y="0"/>
                                </a:moveTo>
                                <a:lnTo>
                                  <a:pt x="0" y="0"/>
                                </a:lnTo>
                                <a:lnTo>
                                  <a:pt x="0" y="9131"/>
                                </a:lnTo>
                                <a:lnTo>
                                  <a:pt x="5649214" y="9131"/>
                                </a:lnTo>
                                <a:lnTo>
                                  <a:pt x="5649214" y="0"/>
                                </a:lnTo>
                                <a:close/>
                              </a:path>
                              <a:path w="5736590" h="6064885">
                                <a:moveTo>
                                  <a:pt x="5736018" y="126479"/>
                                </a:moveTo>
                                <a:lnTo>
                                  <a:pt x="5729935" y="126479"/>
                                </a:lnTo>
                                <a:lnTo>
                                  <a:pt x="5729935" y="132575"/>
                                </a:lnTo>
                                <a:lnTo>
                                  <a:pt x="5729935" y="6058522"/>
                                </a:lnTo>
                                <a:lnTo>
                                  <a:pt x="21336" y="6058522"/>
                                </a:lnTo>
                                <a:lnTo>
                                  <a:pt x="21336" y="132575"/>
                                </a:lnTo>
                                <a:lnTo>
                                  <a:pt x="21336" y="126479"/>
                                </a:lnTo>
                                <a:lnTo>
                                  <a:pt x="15240" y="126479"/>
                                </a:lnTo>
                                <a:lnTo>
                                  <a:pt x="15240" y="132575"/>
                                </a:lnTo>
                                <a:lnTo>
                                  <a:pt x="15240" y="6058522"/>
                                </a:lnTo>
                                <a:lnTo>
                                  <a:pt x="15240" y="6064618"/>
                                </a:lnTo>
                                <a:lnTo>
                                  <a:pt x="21336" y="6064618"/>
                                </a:lnTo>
                                <a:lnTo>
                                  <a:pt x="5729935" y="6064618"/>
                                </a:lnTo>
                                <a:lnTo>
                                  <a:pt x="5736018" y="6064618"/>
                                </a:lnTo>
                                <a:lnTo>
                                  <a:pt x="5736018" y="6058522"/>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05728" id="docshapegroup459" coordorigin="15,468" coordsize="12225,15352">
                <v:shape style="position:absolute;left:15;top:468;width:12225;height:15352" type="#_x0000_t75" id="docshape460" stroked="false">
                  <v:imagedata r:id="rId5" o:title=""/>
                </v:shape>
                <v:shape style="position:absolute;left:1673;top:2028;width:9034;height:9551" id="docshape461" coordorigin="1673,2028" coordsize="9034,9551" path="m10570,2028l1673,2028,1673,2043,10570,2043,10570,2028xm10706,2228l10697,2228,10697,2237,10697,11569,1707,11569,1707,2237,1707,2228,1697,2228,1697,2237,1697,11569,1697,11579,1707,11579,10697,11579,10697,11579,10706,11579,10706,11569,10706,2237,10706,2228xe" filled="true" fillcolor="#000000" stroked="false">
                  <v:path arrowok="t"/>
                  <v:fill type="solid"/>
                </v:shape>
                <w10:wrap type="none"/>
              </v:group>
            </w:pict>
          </mc:Fallback>
        </mc:AlternateContent>
      </w:r>
    </w:p>
    <w:p>
      <w:pPr>
        <w:pStyle w:val="Heading5"/>
        <w:numPr>
          <w:ilvl w:val="1"/>
          <w:numId w:val="39"/>
        </w:numPr>
        <w:tabs>
          <w:tab w:pos="959" w:val="left" w:leader="none"/>
        </w:tabs>
        <w:spacing w:line="357" w:lineRule="auto" w:before="0" w:after="0"/>
        <w:ind w:left="622" w:right="983" w:firstLine="0"/>
        <w:jc w:val="left"/>
      </w:pPr>
      <w:bookmarkStart w:name="_bookmark78" w:id="79"/>
      <w:bookmarkEnd w:id="79"/>
      <w:r>
        <w:rPr>
          <w:b w:val="0"/>
        </w:rPr>
      </w:r>
      <w:r>
        <w:rPr>
          <w:color w:val="1F3762"/>
        </w:rPr>
        <w:t>MULTAS, SANCIONES, REMATES Y CONFISCACIONES DE ORIGEN NO TRIBUTA-</w:t>
      </w:r>
      <w:r>
        <w:rPr>
          <w:color w:val="1F3762"/>
          <w:spacing w:val="-4"/>
        </w:rPr>
        <w:t>RIO</w:t>
      </w:r>
    </w:p>
    <w:p>
      <w:pPr>
        <w:spacing w:before="44"/>
        <w:ind w:left="622" w:right="0" w:firstLine="0"/>
        <w:jc w:val="left"/>
        <w:rPr>
          <w:b/>
          <w:sz w:val="22"/>
        </w:rPr>
      </w:pPr>
      <w:bookmarkStart w:name="_bookmark79" w:id="80"/>
      <w:bookmarkEnd w:id="80"/>
      <w:r>
        <w:rPr/>
      </w:r>
      <w:r>
        <w:rPr>
          <w:b/>
          <w:sz w:val="22"/>
        </w:rPr>
        <w:t>NOTA</w:t>
      </w:r>
      <w:r>
        <w:rPr>
          <w:b/>
          <w:spacing w:val="-1"/>
          <w:sz w:val="22"/>
        </w:rPr>
        <w:t> </w:t>
      </w:r>
      <w:r>
        <w:rPr>
          <w:b/>
          <w:sz w:val="22"/>
        </w:rPr>
        <w:t>N° </w:t>
      </w:r>
      <w:r>
        <w:rPr>
          <w:b/>
          <w:spacing w:val="-5"/>
          <w:sz w:val="22"/>
        </w:rPr>
        <w:t>38</w:t>
      </w:r>
    </w:p>
    <w:p>
      <w:pPr>
        <w:pStyle w:val="BodyText"/>
        <w:spacing w:before="112"/>
        <w:rPr>
          <w:b/>
        </w:rPr>
      </w:pPr>
    </w:p>
    <w:p>
      <w:pPr>
        <w:pStyle w:val="Heading6"/>
        <w:ind w:left="622"/>
      </w:pPr>
      <w:r>
        <w:rPr/>
        <w:t>Multas</w:t>
      </w:r>
      <w:r>
        <w:rPr>
          <w:spacing w:val="-4"/>
        </w:rPr>
        <w:t> </w:t>
      </w:r>
      <w:r>
        <w:rPr/>
        <w:t>y</w:t>
      </w:r>
      <w:r>
        <w:rPr>
          <w:spacing w:val="-4"/>
        </w:rPr>
        <w:t> </w:t>
      </w:r>
      <w:r>
        <w:rPr/>
        <w:t>sanciones</w:t>
      </w:r>
      <w:r>
        <w:rPr>
          <w:spacing w:val="-2"/>
        </w:rPr>
        <w:t> administrativas</w:t>
      </w:r>
    </w:p>
    <w:p>
      <w:pPr>
        <w:pStyle w:val="Heading6"/>
        <w:spacing w:after="0"/>
        <w:sectPr>
          <w:type w:val="continuous"/>
          <w:pgSz w:w="12240" w:h="15840"/>
          <w:pgMar w:top="18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12800">
                <wp:simplePos x="0" y="0"/>
                <wp:positionH relativeFrom="page">
                  <wp:posOffset>9525</wp:posOffset>
                </wp:positionH>
                <wp:positionV relativeFrom="page">
                  <wp:posOffset>297208</wp:posOffset>
                </wp:positionV>
                <wp:extent cx="7762875" cy="9748520"/>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7762875" cy="9748520"/>
                          <a:chExt cx="7762875" cy="9748520"/>
                        </a:xfrm>
                      </wpg:grpSpPr>
                      <pic:pic>
                        <pic:nvPicPr>
                          <pic:cNvPr id="485" name="Image 485"/>
                          <pic:cNvPicPr/>
                        </pic:nvPicPr>
                        <pic:blipFill>
                          <a:blip r:embed="rId5" cstate="print"/>
                          <a:stretch>
                            <a:fillRect/>
                          </a:stretch>
                        </pic:blipFill>
                        <pic:spPr>
                          <a:xfrm>
                            <a:off x="0" y="0"/>
                            <a:ext cx="7762874" cy="9748489"/>
                          </a:xfrm>
                          <a:prstGeom prst="rect">
                            <a:avLst/>
                          </a:prstGeom>
                        </pic:spPr>
                      </pic:pic>
                      <wps:wsp>
                        <wps:cNvPr id="486" name="Graphic 48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487" name="Image 487"/>
                          <pic:cNvPicPr/>
                        </pic:nvPicPr>
                        <pic:blipFill>
                          <a:blip r:embed="rId54" cstate="print"/>
                          <a:stretch>
                            <a:fillRect/>
                          </a:stretch>
                        </pic:blipFill>
                        <pic:spPr>
                          <a:xfrm>
                            <a:off x="1342389" y="4567018"/>
                            <a:ext cx="5170170" cy="112839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703680" id="docshapegroup462" coordorigin="15,468" coordsize="12225,15352">
                <v:shape style="position:absolute;left:15;top:468;width:12225;height:15352" type="#_x0000_t75" id="docshape463" stroked="false">
                  <v:imagedata r:id="rId5" o:title=""/>
                </v:shape>
                <v:rect style="position:absolute;left:1673;top:2028;width:8897;height:15" id="docshape464" filled="true" fillcolor="#000000" stroked="false">
                  <v:fill type="solid"/>
                </v:rect>
                <v:shape style="position:absolute;left:2129;top:7660;width:8142;height:1777" type="#_x0000_t75" id="docshape465" stroked="false">
                  <v:imagedata r:id="rId54" o:title=""/>
                </v:shape>
                <w10:wrap type="none"/>
              </v:group>
            </w:pict>
          </mc:Fallback>
        </mc:AlternateContent>
      </w:r>
      <w:r>
        <w:rPr>
          <w:color w:val="172951"/>
          <w:sz w:val="20"/>
        </w:rPr>
        <w:t>Pág.</w:t>
      </w:r>
      <w:r>
        <w:rPr>
          <w:color w:val="172951"/>
          <w:spacing w:val="-7"/>
          <w:sz w:val="20"/>
        </w:rPr>
        <w:t> </w:t>
      </w:r>
      <w:r>
        <w:rPr>
          <w:color w:val="172951"/>
          <w:spacing w:val="-5"/>
          <w:sz w:val="20"/>
        </w:rPr>
        <w:t>101</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8"/>
        <w:gridCol w:w="3179"/>
        <w:gridCol w:w="572"/>
        <w:gridCol w:w="1845"/>
        <w:gridCol w:w="1532"/>
        <w:gridCol w:w="1110"/>
      </w:tblGrid>
      <w:tr>
        <w:trPr>
          <w:trHeight w:val="325" w:hRule="atLeast"/>
        </w:trPr>
        <w:tc>
          <w:tcPr>
            <w:tcW w:w="778" w:type="dxa"/>
            <w:vMerge w:val="restart"/>
            <w:shd w:val="clear" w:color="auto" w:fill="365F92"/>
          </w:tcPr>
          <w:p>
            <w:pPr>
              <w:pStyle w:val="TableParagraph"/>
              <w:spacing w:before="120"/>
              <w:ind w:left="69"/>
              <w:rPr>
                <w:b/>
                <w:sz w:val="22"/>
              </w:rPr>
            </w:pPr>
            <w:r>
              <w:rPr>
                <w:b/>
                <w:color w:val="FFFFFF"/>
                <w:spacing w:val="-2"/>
                <w:sz w:val="22"/>
              </w:rPr>
              <w:t>Cuenta</w:t>
            </w:r>
          </w:p>
        </w:tc>
        <w:tc>
          <w:tcPr>
            <w:tcW w:w="3179" w:type="dxa"/>
            <w:vMerge w:val="restart"/>
            <w:shd w:val="clear" w:color="auto" w:fill="365F92"/>
          </w:tcPr>
          <w:p>
            <w:pPr>
              <w:pStyle w:val="TableParagraph"/>
              <w:spacing w:before="209"/>
              <w:ind w:left="1058"/>
              <w:rPr>
                <w:b/>
                <w:sz w:val="22"/>
              </w:rPr>
            </w:pPr>
            <w:r>
              <w:rPr>
                <w:b/>
                <w:color w:val="FFFFFF"/>
                <w:spacing w:val="-2"/>
                <w:sz w:val="22"/>
              </w:rPr>
              <w:t>Descripción</w:t>
            </w:r>
          </w:p>
        </w:tc>
        <w:tc>
          <w:tcPr>
            <w:tcW w:w="572" w:type="dxa"/>
            <w:vMerge w:val="restart"/>
            <w:shd w:val="clear" w:color="auto" w:fill="365F92"/>
          </w:tcPr>
          <w:p>
            <w:pPr>
              <w:pStyle w:val="TableParagraph"/>
              <w:spacing w:before="209"/>
              <w:ind w:left="68"/>
              <w:rPr>
                <w:b/>
                <w:sz w:val="22"/>
              </w:rPr>
            </w:pPr>
            <w:r>
              <w:rPr>
                <w:b/>
                <w:color w:val="FFFFFF"/>
                <w:spacing w:val="-4"/>
                <w:sz w:val="22"/>
              </w:rPr>
              <w:t>Nota</w:t>
            </w:r>
          </w:p>
        </w:tc>
        <w:tc>
          <w:tcPr>
            <w:tcW w:w="1845" w:type="dxa"/>
            <w:vMerge w:val="restart"/>
            <w:shd w:val="clear" w:color="auto" w:fill="365F92"/>
          </w:tcPr>
          <w:p>
            <w:pPr>
              <w:pStyle w:val="TableParagraph"/>
              <w:spacing w:before="209"/>
              <w:ind w:left="288"/>
              <w:rPr>
                <w:b/>
                <w:sz w:val="22"/>
              </w:rPr>
            </w:pPr>
            <w:r>
              <w:rPr>
                <w:b/>
                <w:color w:val="FFFFFF"/>
                <w:sz w:val="22"/>
              </w:rPr>
              <w:t>Periodo</w:t>
            </w:r>
            <w:r>
              <w:rPr>
                <w:b/>
                <w:color w:val="FFFFFF"/>
                <w:spacing w:val="-4"/>
                <w:sz w:val="22"/>
              </w:rPr>
              <w:t> </w:t>
            </w:r>
            <w:r>
              <w:rPr>
                <w:b/>
                <w:color w:val="FFFFFF"/>
                <w:spacing w:val="-2"/>
                <w:sz w:val="22"/>
              </w:rPr>
              <w:t>Actual</w:t>
            </w:r>
          </w:p>
        </w:tc>
        <w:tc>
          <w:tcPr>
            <w:tcW w:w="1532" w:type="dxa"/>
            <w:vMerge w:val="restart"/>
            <w:shd w:val="clear" w:color="auto" w:fill="365F92"/>
          </w:tcPr>
          <w:p>
            <w:pPr>
              <w:pStyle w:val="TableParagraph"/>
              <w:spacing w:before="84"/>
              <w:ind w:left="387" w:right="369" w:firstLine="50"/>
              <w:rPr>
                <w:b/>
                <w:sz w:val="22"/>
              </w:rPr>
            </w:pPr>
            <w:r>
              <w:rPr>
                <w:b/>
                <w:color w:val="FFFFFF"/>
                <w:spacing w:val="-2"/>
                <w:sz w:val="22"/>
              </w:rPr>
              <w:t>Periodo Anterior</w:t>
            </w:r>
          </w:p>
        </w:tc>
        <w:tc>
          <w:tcPr>
            <w:tcW w:w="1110" w:type="dxa"/>
            <w:shd w:val="clear" w:color="auto" w:fill="365F92"/>
          </w:tcPr>
          <w:p>
            <w:pPr>
              <w:pStyle w:val="TableParagraph"/>
              <w:spacing w:before="36"/>
              <w:ind w:left="8"/>
              <w:jc w:val="center"/>
              <w:rPr>
                <w:b/>
                <w:sz w:val="22"/>
              </w:rPr>
            </w:pPr>
            <w:r>
              <w:rPr>
                <w:b/>
                <w:color w:val="FFFFFF"/>
                <w:spacing w:val="-2"/>
                <w:sz w:val="22"/>
              </w:rPr>
              <w:t>Diferencia</w:t>
            </w:r>
          </w:p>
        </w:tc>
      </w:tr>
      <w:tr>
        <w:trPr>
          <w:trHeight w:val="323" w:hRule="atLeast"/>
        </w:trPr>
        <w:tc>
          <w:tcPr>
            <w:tcW w:w="778" w:type="dxa"/>
            <w:vMerge/>
            <w:tcBorders>
              <w:top w:val="nil"/>
            </w:tcBorders>
            <w:shd w:val="clear" w:color="auto" w:fill="365F92"/>
          </w:tcPr>
          <w:p>
            <w:pPr>
              <w:rPr>
                <w:sz w:val="2"/>
                <w:szCs w:val="2"/>
              </w:rPr>
            </w:pPr>
          </w:p>
        </w:tc>
        <w:tc>
          <w:tcPr>
            <w:tcW w:w="3179"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45" w:type="dxa"/>
            <w:vMerge/>
            <w:tcBorders>
              <w:top w:val="nil"/>
            </w:tcBorders>
            <w:shd w:val="clear" w:color="auto" w:fill="365F92"/>
          </w:tcPr>
          <w:p>
            <w:pPr>
              <w:rPr>
                <w:sz w:val="2"/>
                <w:szCs w:val="2"/>
              </w:rPr>
            </w:pPr>
          </w:p>
        </w:tc>
        <w:tc>
          <w:tcPr>
            <w:tcW w:w="1532" w:type="dxa"/>
            <w:vMerge/>
            <w:tcBorders>
              <w:top w:val="nil"/>
            </w:tcBorders>
            <w:shd w:val="clear" w:color="auto" w:fill="365F92"/>
          </w:tcPr>
          <w:p>
            <w:pPr>
              <w:rPr>
                <w:sz w:val="2"/>
                <w:szCs w:val="2"/>
              </w:rPr>
            </w:pPr>
          </w:p>
        </w:tc>
        <w:tc>
          <w:tcPr>
            <w:tcW w:w="1110" w:type="dxa"/>
            <w:shd w:val="clear" w:color="auto" w:fill="365F92"/>
          </w:tcPr>
          <w:p>
            <w:pPr>
              <w:pStyle w:val="TableParagraph"/>
              <w:spacing w:before="36"/>
              <w:ind w:left="8" w:right="2"/>
              <w:jc w:val="center"/>
              <w:rPr>
                <w:sz w:val="22"/>
              </w:rPr>
            </w:pPr>
            <w:r>
              <w:rPr>
                <w:color w:val="FFFFFF"/>
                <w:spacing w:val="-10"/>
                <w:sz w:val="22"/>
              </w:rPr>
              <w:t>%</w:t>
            </w:r>
          </w:p>
        </w:tc>
      </w:tr>
      <w:tr>
        <w:trPr>
          <w:trHeight w:val="325" w:hRule="atLeast"/>
        </w:trPr>
        <w:tc>
          <w:tcPr>
            <w:tcW w:w="778" w:type="dxa"/>
          </w:tcPr>
          <w:p>
            <w:pPr>
              <w:pStyle w:val="TableParagraph"/>
              <w:spacing w:before="36"/>
              <w:ind w:left="69"/>
              <w:rPr>
                <w:b/>
                <w:sz w:val="22"/>
              </w:rPr>
            </w:pPr>
            <w:r>
              <w:rPr>
                <w:b/>
                <w:spacing w:val="-2"/>
                <w:sz w:val="22"/>
              </w:rPr>
              <w:t>4.3.1.</w:t>
            </w:r>
          </w:p>
        </w:tc>
        <w:tc>
          <w:tcPr>
            <w:tcW w:w="3179" w:type="dxa"/>
          </w:tcPr>
          <w:p>
            <w:pPr>
              <w:pStyle w:val="TableParagraph"/>
              <w:spacing w:before="36"/>
              <w:ind w:left="68"/>
              <w:rPr>
                <w:b/>
                <w:sz w:val="22"/>
              </w:rPr>
            </w:pPr>
            <w:r>
              <w:rPr>
                <w:b/>
                <w:sz w:val="22"/>
              </w:rPr>
              <w:t>Multas</w:t>
            </w:r>
            <w:r>
              <w:rPr>
                <w:b/>
                <w:spacing w:val="-4"/>
                <w:sz w:val="22"/>
              </w:rPr>
              <w:t> </w:t>
            </w:r>
            <w:r>
              <w:rPr>
                <w:b/>
                <w:sz w:val="22"/>
              </w:rPr>
              <w:t>y</w:t>
            </w:r>
            <w:r>
              <w:rPr>
                <w:b/>
                <w:spacing w:val="-4"/>
                <w:sz w:val="22"/>
              </w:rPr>
              <w:t> </w:t>
            </w:r>
            <w:r>
              <w:rPr>
                <w:b/>
                <w:sz w:val="22"/>
              </w:rPr>
              <w:t>sanciones</w:t>
            </w:r>
            <w:r>
              <w:rPr>
                <w:b/>
                <w:spacing w:val="-2"/>
                <w:sz w:val="22"/>
              </w:rPr>
              <w:t> administrativas</w:t>
            </w:r>
          </w:p>
        </w:tc>
        <w:tc>
          <w:tcPr>
            <w:tcW w:w="572" w:type="dxa"/>
          </w:tcPr>
          <w:p>
            <w:pPr>
              <w:pStyle w:val="TableParagraph"/>
              <w:spacing w:before="46"/>
              <w:ind w:left="185"/>
              <w:rPr>
                <w:b/>
                <w:sz w:val="20"/>
              </w:rPr>
            </w:pPr>
            <w:r>
              <w:rPr>
                <w:b/>
                <w:spacing w:val="-5"/>
                <w:sz w:val="20"/>
              </w:rPr>
              <w:t>38</w:t>
            </w:r>
          </w:p>
        </w:tc>
        <w:tc>
          <w:tcPr>
            <w:tcW w:w="1845" w:type="dxa"/>
          </w:tcPr>
          <w:p>
            <w:pPr>
              <w:pStyle w:val="TableParagraph"/>
              <w:spacing w:before="61"/>
              <w:ind w:left="609"/>
              <w:rPr>
                <w:b/>
                <w:sz w:val="18"/>
              </w:rPr>
            </w:pPr>
            <w:r>
              <w:rPr>
                <w:b/>
                <w:sz w:val="18"/>
              </w:rPr>
              <w:t>7</w:t>
            </w:r>
            <w:r>
              <w:rPr>
                <w:b/>
                <w:spacing w:val="-1"/>
                <w:sz w:val="18"/>
              </w:rPr>
              <w:t> </w:t>
            </w:r>
            <w:r>
              <w:rPr>
                <w:b/>
                <w:spacing w:val="-2"/>
                <w:sz w:val="18"/>
              </w:rPr>
              <w:t>356,63</w:t>
            </w:r>
          </w:p>
        </w:tc>
        <w:tc>
          <w:tcPr>
            <w:tcW w:w="1532" w:type="dxa"/>
          </w:tcPr>
          <w:p>
            <w:pPr>
              <w:pStyle w:val="TableParagraph"/>
              <w:spacing w:before="61"/>
              <w:ind w:left="452"/>
              <w:rPr>
                <w:b/>
                <w:sz w:val="18"/>
              </w:rPr>
            </w:pPr>
            <w:r>
              <w:rPr>
                <w:b/>
                <w:sz w:val="18"/>
              </w:rPr>
              <w:t>1</w:t>
            </w:r>
            <w:r>
              <w:rPr>
                <w:b/>
                <w:spacing w:val="-1"/>
                <w:sz w:val="18"/>
              </w:rPr>
              <w:t> </w:t>
            </w:r>
            <w:r>
              <w:rPr>
                <w:b/>
                <w:spacing w:val="-2"/>
                <w:sz w:val="18"/>
              </w:rPr>
              <w:t>133,07</w:t>
            </w:r>
          </w:p>
        </w:tc>
        <w:tc>
          <w:tcPr>
            <w:tcW w:w="1110" w:type="dxa"/>
          </w:tcPr>
          <w:p>
            <w:pPr>
              <w:pStyle w:val="TableParagraph"/>
              <w:spacing w:before="61"/>
              <w:ind w:left="8" w:right="1"/>
              <w:jc w:val="center"/>
              <w:rPr>
                <w:b/>
                <w:sz w:val="18"/>
              </w:rPr>
            </w:pPr>
            <w:r>
              <w:rPr>
                <w:b/>
                <w:spacing w:val="-2"/>
                <w:sz w:val="18"/>
              </w:rPr>
              <w:t>549,27%</w:t>
            </w:r>
          </w:p>
        </w:tc>
      </w:tr>
    </w:tbl>
    <w:p>
      <w:pPr>
        <w:pStyle w:val="BodyText"/>
        <w:spacing w:before="12"/>
        <w:rPr>
          <w:sz w:val="20"/>
        </w:rPr>
      </w:pPr>
    </w:p>
    <w:p>
      <w:pPr>
        <w:pStyle w:val="Heading6"/>
        <w:spacing w:before="1"/>
        <w:ind w:left="622"/>
        <w:rPr>
          <w:b w:val="0"/>
        </w:rPr>
      </w:pPr>
      <w:r>
        <w:rPr>
          <w:spacing w:val="-2"/>
        </w:rPr>
        <w:t>Revelación</w:t>
      </w:r>
      <w:r>
        <w:rPr>
          <w:b w:val="0"/>
          <w:spacing w:val="-2"/>
        </w:rPr>
        <w:t>:</w:t>
      </w:r>
    </w:p>
    <w:p>
      <w:pPr>
        <w:pStyle w:val="BodyText"/>
        <w:spacing w:before="5"/>
        <w:rPr>
          <w:sz w:val="13"/>
        </w:rPr>
      </w:pPr>
      <w:r>
        <w:rPr>
          <w:sz w:val="13"/>
        </w:rPr>
        <mc:AlternateContent>
          <mc:Choice Requires="wps">
            <w:drawing>
              <wp:anchor distT="0" distB="0" distL="0" distR="0" allowOverlap="1" layoutInCell="1" locked="0" behindDoc="1" simplePos="0" relativeHeight="487674880">
                <wp:simplePos x="0" y="0"/>
                <wp:positionH relativeFrom="page">
                  <wp:posOffset>1080820</wp:posOffset>
                </wp:positionH>
                <wp:positionV relativeFrom="paragraph">
                  <wp:posOffset>116165</wp:posOffset>
                </wp:positionV>
                <wp:extent cx="5715000" cy="1078230"/>
                <wp:effectExtent l="0" t="0" r="0" b="0"/>
                <wp:wrapTopAndBottom/>
                <wp:docPr id="488" name="Textbox 488"/>
                <wp:cNvGraphicFramePr>
                  <a:graphicFrameLocks/>
                </wp:cNvGraphicFramePr>
                <a:graphic>
                  <a:graphicData uri="http://schemas.microsoft.com/office/word/2010/wordprocessingShape">
                    <wps:wsp>
                      <wps:cNvPr id="488" name="Textbox 488"/>
                      <wps:cNvSpPr txBox="1"/>
                      <wps:spPr>
                        <a:xfrm>
                          <a:off x="0" y="0"/>
                          <a:ext cx="5715000" cy="107823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0"/>
                              <w:jc w:val="both"/>
                            </w:pPr>
                            <w:r>
                              <w:rPr/>
                              <w:t>Al 31 de julio 2026, la cuenta multas y sanciones administrativas, representa el 0,0051% del total de Ingresos, que comparado al periodo anterior genera una variación absoluta de ¢ 6.223,56 que corresponde a un incremento del 549,27% de recursos disponibles, producto del incremento en las multas</w:t>
                            </w:r>
                            <w:r>
                              <w:rPr>
                                <w:spacing w:val="-14"/>
                              </w:rPr>
                              <w:t> </w:t>
                            </w:r>
                            <w:r>
                              <w:rPr/>
                              <w:t>en</w:t>
                            </w:r>
                            <w:r>
                              <w:rPr>
                                <w:spacing w:val="-14"/>
                              </w:rPr>
                              <w:t> </w:t>
                            </w:r>
                            <w:r>
                              <w:rPr/>
                              <w:t>la</w:t>
                            </w:r>
                            <w:r>
                              <w:rPr>
                                <w:spacing w:val="-14"/>
                              </w:rPr>
                              <w:t> </w:t>
                            </w:r>
                            <w:r>
                              <w:rPr/>
                              <w:t>entrega</w:t>
                            </w:r>
                            <w:r>
                              <w:rPr>
                                <w:spacing w:val="-13"/>
                              </w:rPr>
                              <w:t> </w:t>
                            </w:r>
                            <w:r>
                              <w:rPr/>
                              <w:t>de</w:t>
                            </w:r>
                            <w:r>
                              <w:rPr>
                                <w:spacing w:val="-14"/>
                              </w:rPr>
                              <w:t> </w:t>
                            </w:r>
                            <w:r>
                              <w:rPr/>
                              <w:t>mercadería</w:t>
                            </w:r>
                            <w:r>
                              <w:rPr>
                                <w:spacing w:val="-14"/>
                              </w:rPr>
                              <w:t> </w:t>
                            </w:r>
                            <w:r>
                              <w:rPr/>
                              <w:t>para</w:t>
                            </w:r>
                            <w:r>
                              <w:rPr>
                                <w:spacing w:val="-14"/>
                              </w:rPr>
                              <w:t> </w:t>
                            </w:r>
                            <w:r>
                              <w:rPr/>
                              <w:t>la</w:t>
                            </w:r>
                            <w:r>
                              <w:rPr>
                                <w:spacing w:val="-13"/>
                              </w:rPr>
                              <w:t> </w:t>
                            </w:r>
                            <w:r>
                              <w:rPr/>
                              <w:t>venta</w:t>
                            </w:r>
                            <w:r>
                              <w:rPr>
                                <w:spacing w:val="-14"/>
                              </w:rPr>
                              <w:t> </w:t>
                            </w:r>
                            <w:r>
                              <w:rPr/>
                              <w:t>de</w:t>
                            </w:r>
                            <w:r>
                              <w:rPr>
                                <w:spacing w:val="-14"/>
                              </w:rPr>
                              <w:t> </w:t>
                            </w:r>
                            <w:r>
                              <w:rPr/>
                              <w:t>proveedores</w:t>
                            </w:r>
                            <w:r>
                              <w:rPr>
                                <w:spacing w:val="-14"/>
                              </w:rPr>
                              <w:t> </w:t>
                            </w:r>
                            <w:r>
                              <w:rPr/>
                              <w:t>de</w:t>
                            </w:r>
                            <w:r>
                              <w:rPr>
                                <w:spacing w:val="-13"/>
                              </w:rPr>
                              <w:t> </w:t>
                            </w:r>
                            <w:r>
                              <w:rPr/>
                              <w:t>empresas</w:t>
                            </w:r>
                            <w:r>
                              <w:rPr>
                                <w:spacing w:val="-14"/>
                              </w:rPr>
                              <w:t> </w:t>
                            </w:r>
                            <w:r>
                              <w:rPr/>
                              <w:t>comerciales</w:t>
                            </w:r>
                            <w:r>
                              <w:rPr>
                                <w:spacing w:val="-14"/>
                              </w:rPr>
                              <w:t> </w:t>
                            </w:r>
                            <w:r>
                              <w:rPr/>
                              <w:t>con</w:t>
                            </w:r>
                            <w:r>
                              <w:rPr>
                                <w:spacing w:val="-14"/>
                              </w:rPr>
                              <w:t> </w:t>
                            </w:r>
                            <w:r>
                              <w:rPr/>
                              <w:t>respecto al año anterior.</w:t>
                            </w:r>
                          </w:p>
                        </w:txbxContent>
                      </wps:txbx>
                      <wps:bodyPr wrap="square" lIns="0" tIns="0" rIns="0" bIns="0" rtlCol="0">
                        <a:noAutofit/>
                      </wps:bodyPr>
                    </wps:wsp>
                  </a:graphicData>
                </a:graphic>
              </wp:anchor>
            </w:drawing>
          </mc:Choice>
          <mc:Fallback>
            <w:pict>
              <v:shape style="position:absolute;margin-left:85.103996pt;margin-top:9.146875pt;width:450pt;height:84.9pt;mso-position-horizontal-relative:page;mso-position-vertical-relative:paragraph;z-index:-15641600;mso-wrap-distance-left:0;mso-wrap-distance-right:0" type="#_x0000_t202" id="docshape46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0"/>
                        <w:jc w:val="both"/>
                      </w:pPr>
                      <w:r>
                        <w:rPr/>
                        <w:t>Al 31 de julio 2026, la cuenta multas y sanciones administrativas, representa el 0,0051% del total de Ingresos, que comparado al periodo anterior genera una variación absoluta de ¢ 6.223,56 que corresponde a un incremento del 549,27% de recursos disponibles, producto del incremento en las multas</w:t>
                      </w:r>
                      <w:r>
                        <w:rPr>
                          <w:spacing w:val="-14"/>
                        </w:rPr>
                        <w:t> </w:t>
                      </w:r>
                      <w:r>
                        <w:rPr/>
                        <w:t>en</w:t>
                      </w:r>
                      <w:r>
                        <w:rPr>
                          <w:spacing w:val="-14"/>
                        </w:rPr>
                        <w:t> </w:t>
                      </w:r>
                      <w:r>
                        <w:rPr/>
                        <w:t>la</w:t>
                      </w:r>
                      <w:r>
                        <w:rPr>
                          <w:spacing w:val="-14"/>
                        </w:rPr>
                        <w:t> </w:t>
                      </w:r>
                      <w:r>
                        <w:rPr/>
                        <w:t>entrega</w:t>
                      </w:r>
                      <w:r>
                        <w:rPr>
                          <w:spacing w:val="-13"/>
                        </w:rPr>
                        <w:t> </w:t>
                      </w:r>
                      <w:r>
                        <w:rPr/>
                        <w:t>de</w:t>
                      </w:r>
                      <w:r>
                        <w:rPr>
                          <w:spacing w:val="-14"/>
                        </w:rPr>
                        <w:t> </w:t>
                      </w:r>
                      <w:r>
                        <w:rPr/>
                        <w:t>mercadería</w:t>
                      </w:r>
                      <w:r>
                        <w:rPr>
                          <w:spacing w:val="-14"/>
                        </w:rPr>
                        <w:t> </w:t>
                      </w:r>
                      <w:r>
                        <w:rPr/>
                        <w:t>para</w:t>
                      </w:r>
                      <w:r>
                        <w:rPr>
                          <w:spacing w:val="-14"/>
                        </w:rPr>
                        <w:t> </w:t>
                      </w:r>
                      <w:r>
                        <w:rPr/>
                        <w:t>la</w:t>
                      </w:r>
                      <w:r>
                        <w:rPr>
                          <w:spacing w:val="-13"/>
                        </w:rPr>
                        <w:t> </w:t>
                      </w:r>
                      <w:r>
                        <w:rPr/>
                        <w:t>venta</w:t>
                      </w:r>
                      <w:r>
                        <w:rPr>
                          <w:spacing w:val="-14"/>
                        </w:rPr>
                        <w:t> </w:t>
                      </w:r>
                      <w:r>
                        <w:rPr/>
                        <w:t>de</w:t>
                      </w:r>
                      <w:r>
                        <w:rPr>
                          <w:spacing w:val="-14"/>
                        </w:rPr>
                        <w:t> </w:t>
                      </w:r>
                      <w:r>
                        <w:rPr/>
                        <w:t>proveedores</w:t>
                      </w:r>
                      <w:r>
                        <w:rPr>
                          <w:spacing w:val="-14"/>
                        </w:rPr>
                        <w:t> </w:t>
                      </w:r>
                      <w:r>
                        <w:rPr/>
                        <w:t>de</w:t>
                      </w:r>
                      <w:r>
                        <w:rPr>
                          <w:spacing w:val="-13"/>
                        </w:rPr>
                        <w:t> </w:t>
                      </w:r>
                      <w:r>
                        <w:rPr/>
                        <w:t>empresas</w:t>
                      </w:r>
                      <w:r>
                        <w:rPr>
                          <w:spacing w:val="-14"/>
                        </w:rPr>
                        <w:t> </w:t>
                      </w:r>
                      <w:r>
                        <w:rPr/>
                        <w:t>comerciales</w:t>
                      </w:r>
                      <w:r>
                        <w:rPr>
                          <w:spacing w:val="-14"/>
                        </w:rPr>
                        <w:t> </w:t>
                      </w:r>
                      <w:r>
                        <w:rPr/>
                        <w:t>con</w:t>
                      </w:r>
                      <w:r>
                        <w:rPr>
                          <w:spacing w:val="-14"/>
                        </w:rPr>
                        <w:t> </w:t>
                      </w:r>
                      <w:r>
                        <w:rPr/>
                        <w:t>respecto al año anterior.</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23</w:t>
      </w:r>
      <w:r>
        <w:rPr>
          <w:color w:val="FFFFFF"/>
          <w:spacing w:val="-3"/>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4"/>
          <w:shd w:fill="365F92" w:color="auto" w:val="clear"/>
        </w:rPr>
        <w:t> </w:t>
      </w:r>
      <w:r>
        <w:rPr>
          <w:color w:val="FFFFFF"/>
          <w:shd w:fill="365F92" w:color="auto" w:val="clear"/>
        </w:rPr>
        <w:t>que</w:t>
      </w:r>
      <w:r>
        <w:rPr>
          <w:color w:val="FFFFFF"/>
          <w:spacing w:val="-5"/>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675392">
                <wp:simplePos x="0" y="0"/>
                <wp:positionH relativeFrom="page">
                  <wp:posOffset>1080820</wp:posOffset>
                </wp:positionH>
                <wp:positionV relativeFrom="paragraph">
                  <wp:posOffset>117681</wp:posOffset>
                </wp:positionV>
                <wp:extent cx="5715000" cy="1967864"/>
                <wp:effectExtent l="0" t="0" r="0" b="0"/>
                <wp:wrapTopAndBottom/>
                <wp:docPr id="489" name="Textbox 489"/>
                <wp:cNvGraphicFramePr>
                  <a:graphicFrameLocks/>
                </wp:cNvGraphicFramePr>
                <a:graphic>
                  <a:graphicData uri="http://schemas.microsoft.com/office/word/2010/wordprocessingShape">
                    <wps:wsp>
                      <wps:cNvPr id="489" name="Textbox 489"/>
                      <wps:cNvSpPr txBox="1"/>
                      <wps:spPr>
                        <a:xfrm>
                          <a:off x="0" y="0"/>
                          <a:ext cx="5715000" cy="1967864"/>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92"/>
                            </w:pPr>
                            <w:r>
                              <w:rPr/>
                              <w:t>Al</w:t>
                            </w:r>
                            <w:r>
                              <w:rPr>
                                <w:spacing w:val="-2"/>
                              </w:rPr>
                              <w:t> </w:t>
                            </w:r>
                            <w:r>
                              <w:rPr/>
                              <w:t>31</w:t>
                            </w:r>
                            <w:r>
                              <w:rPr>
                                <w:spacing w:val="-3"/>
                              </w:rPr>
                              <w:t> </w:t>
                            </w:r>
                            <w:r>
                              <w:rPr/>
                              <w:t>de</w:t>
                            </w:r>
                            <w:r>
                              <w:rPr>
                                <w:spacing w:val="-4"/>
                              </w:rPr>
                              <w:t> </w:t>
                            </w:r>
                            <w:r>
                              <w:rPr/>
                              <w:t>julio,</w:t>
                            </w:r>
                            <w:r>
                              <w:rPr>
                                <w:spacing w:val="-2"/>
                              </w:rPr>
                              <w:t> </w:t>
                            </w:r>
                            <w:r>
                              <w:rPr/>
                              <w:t>la</w:t>
                            </w:r>
                            <w:r>
                              <w:rPr>
                                <w:spacing w:val="-3"/>
                              </w:rPr>
                              <w:t> </w:t>
                            </w:r>
                            <w:r>
                              <w:rPr/>
                              <w:t>cuenta</w:t>
                            </w:r>
                            <w:r>
                              <w:rPr>
                                <w:spacing w:val="-2"/>
                              </w:rPr>
                              <w:t> </w:t>
                            </w:r>
                            <w:r>
                              <w:rPr/>
                              <w:t>multas</w:t>
                            </w:r>
                            <w:r>
                              <w:rPr>
                                <w:spacing w:val="-2"/>
                              </w:rPr>
                              <w:t> </w:t>
                            </w:r>
                            <w:r>
                              <w:rPr/>
                              <w:t>y</w:t>
                            </w:r>
                            <w:r>
                              <w:rPr>
                                <w:spacing w:val="-3"/>
                              </w:rPr>
                              <w:t> </w:t>
                            </w:r>
                            <w:r>
                              <w:rPr/>
                              <w:t>sanciones</w:t>
                            </w:r>
                            <w:r>
                              <w:rPr>
                                <w:spacing w:val="-1"/>
                              </w:rPr>
                              <w:t> </w:t>
                            </w:r>
                            <w:r>
                              <w:rPr/>
                              <w:t>administrativas,</w:t>
                            </w:r>
                            <w:r>
                              <w:rPr>
                                <w:spacing w:val="-2"/>
                              </w:rPr>
                              <w:t> </w:t>
                            </w:r>
                            <w:r>
                              <w:rPr/>
                              <w:t>se</w:t>
                            </w:r>
                            <w:r>
                              <w:rPr>
                                <w:spacing w:val="-3"/>
                              </w:rPr>
                              <w:t> </w:t>
                            </w:r>
                            <w:r>
                              <w:rPr/>
                              <w:t>compone</w:t>
                            </w:r>
                            <w:r>
                              <w:rPr>
                                <w:spacing w:val="-3"/>
                              </w:rPr>
                              <w:t> </w:t>
                            </w:r>
                            <w:r>
                              <w:rPr/>
                              <w:t>de</w:t>
                            </w:r>
                            <w:r>
                              <w:rPr>
                                <w:spacing w:val="-4"/>
                              </w:rPr>
                              <w:t> </w:t>
                            </w:r>
                            <w:r>
                              <w:rPr/>
                              <w:t>la</w:t>
                            </w:r>
                            <w:r>
                              <w:rPr>
                                <w:spacing w:val="-4"/>
                              </w:rPr>
                              <w:t> </w:t>
                            </w:r>
                            <w:r>
                              <w:rPr/>
                              <w:t>siguiente</w:t>
                            </w:r>
                            <w:r>
                              <w:rPr>
                                <w:spacing w:val="-2"/>
                              </w:rPr>
                              <w:t> </w:t>
                            </w:r>
                            <w:r>
                              <w:rPr/>
                              <w:t>manera</w:t>
                            </w:r>
                            <w:r>
                              <w:rPr>
                                <w:spacing w:val="-3"/>
                              </w:rPr>
                              <w:t> </w:t>
                            </w:r>
                            <w:r>
                              <w:rPr/>
                              <w:t>para los años 2026-2025:</w:t>
                            </w:r>
                          </w:p>
                        </w:txbxContent>
                      </wps:txbx>
                      <wps:bodyPr wrap="square" lIns="0" tIns="0" rIns="0" bIns="0" rtlCol="0">
                        <a:noAutofit/>
                      </wps:bodyPr>
                    </wps:wsp>
                  </a:graphicData>
                </a:graphic>
              </wp:anchor>
            </w:drawing>
          </mc:Choice>
          <mc:Fallback>
            <w:pict>
              <v:shape style="position:absolute;margin-left:85.103996pt;margin-top:9.266265pt;width:450pt;height:154.950pt;mso-position-horizontal-relative:page;mso-position-vertical-relative:paragraph;z-index:-15641088;mso-wrap-distance-left:0;mso-wrap-distance-right:0" type="#_x0000_t202" id="docshape46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92"/>
                      </w:pPr>
                      <w:r>
                        <w:rPr/>
                        <w:t>Al</w:t>
                      </w:r>
                      <w:r>
                        <w:rPr>
                          <w:spacing w:val="-2"/>
                        </w:rPr>
                        <w:t> </w:t>
                      </w:r>
                      <w:r>
                        <w:rPr/>
                        <w:t>31</w:t>
                      </w:r>
                      <w:r>
                        <w:rPr>
                          <w:spacing w:val="-3"/>
                        </w:rPr>
                        <w:t> </w:t>
                      </w:r>
                      <w:r>
                        <w:rPr/>
                        <w:t>de</w:t>
                      </w:r>
                      <w:r>
                        <w:rPr>
                          <w:spacing w:val="-4"/>
                        </w:rPr>
                        <w:t> </w:t>
                      </w:r>
                      <w:r>
                        <w:rPr/>
                        <w:t>julio,</w:t>
                      </w:r>
                      <w:r>
                        <w:rPr>
                          <w:spacing w:val="-2"/>
                        </w:rPr>
                        <w:t> </w:t>
                      </w:r>
                      <w:r>
                        <w:rPr/>
                        <w:t>la</w:t>
                      </w:r>
                      <w:r>
                        <w:rPr>
                          <w:spacing w:val="-3"/>
                        </w:rPr>
                        <w:t> </w:t>
                      </w:r>
                      <w:r>
                        <w:rPr/>
                        <w:t>cuenta</w:t>
                      </w:r>
                      <w:r>
                        <w:rPr>
                          <w:spacing w:val="-2"/>
                        </w:rPr>
                        <w:t> </w:t>
                      </w:r>
                      <w:r>
                        <w:rPr/>
                        <w:t>multas</w:t>
                      </w:r>
                      <w:r>
                        <w:rPr>
                          <w:spacing w:val="-2"/>
                        </w:rPr>
                        <w:t> </w:t>
                      </w:r>
                      <w:r>
                        <w:rPr/>
                        <w:t>y</w:t>
                      </w:r>
                      <w:r>
                        <w:rPr>
                          <w:spacing w:val="-3"/>
                        </w:rPr>
                        <w:t> </w:t>
                      </w:r>
                      <w:r>
                        <w:rPr/>
                        <w:t>sanciones</w:t>
                      </w:r>
                      <w:r>
                        <w:rPr>
                          <w:spacing w:val="-1"/>
                        </w:rPr>
                        <w:t> </w:t>
                      </w:r>
                      <w:r>
                        <w:rPr/>
                        <w:t>administrativas,</w:t>
                      </w:r>
                      <w:r>
                        <w:rPr>
                          <w:spacing w:val="-2"/>
                        </w:rPr>
                        <w:t> </w:t>
                      </w:r>
                      <w:r>
                        <w:rPr/>
                        <w:t>se</w:t>
                      </w:r>
                      <w:r>
                        <w:rPr>
                          <w:spacing w:val="-3"/>
                        </w:rPr>
                        <w:t> </w:t>
                      </w:r>
                      <w:r>
                        <w:rPr/>
                        <w:t>compone</w:t>
                      </w:r>
                      <w:r>
                        <w:rPr>
                          <w:spacing w:val="-3"/>
                        </w:rPr>
                        <w:t> </w:t>
                      </w:r>
                      <w:r>
                        <w:rPr/>
                        <w:t>de</w:t>
                      </w:r>
                      <w:r>
                        <w:rPr>
                          <w:spacing w:val="-4"/>
                        </w:rPr>
                        <w:t> </w:t>
                      </w:r>
                      <w:r>
                        <w:rPr/>
                        <w:t>la</w:t>
                      </w:r>
                      <w:r>
                        <w:rPr>
                          <w:spacing w:val="-4"/>
                        </w:rPr>
                        <w:t> </w:t>
                      </w:r>
                      <w:r>
                        <w:rPr/>
                        <w:t>siguiente</w:t>
                      </w:r>
                      <w:r>
                        <w:rPr>
                          <w:spacing w:val="-2"/>
                        </w:rPr>
                        <w:t> </w:t>
                      </w:r>
                      <w:r>
                        <w:rPr/>
                        <w:t>manera</w:t>
                      </w:r>
                      <w:r>
                        <w:rPr>
                          <w:spacing w:val="-3"/>
                        </w:rPr>
                        <w:t> </w:t>
                      </w:r>
                      <w:r>
                        <w:rPr/>
                        <w:t>para los años 2026-2025:</w:t>
                      </w:r>
                    </w:p>
                  </w:txbxContent>
                </v:textbox>
                <v:stroke dashstyle="solid"/>
                <w10:wrap type="topAndBottom"/>
              </v:shape>
            </w:pict>
          </mc:Fallback>
        </mc:AlternateContent>
      </w:r>
    </w:p>
    <w:p>
      <w:pPr>
        <w:pStyle w:val="BodyText"/>
        <w:spacing w:before="186"/>
        <w:rPr>
          <w:b/>
        </w:rPr>
      </w:pPr>
    </w:p>
    <w:p>
      <w:pPr>
        <w:spacing w:before="0"/>
        <w:ind w:left="622" w:right="0" w:firstLine="0"/>
        <w:jc w:val="left"/>
        <w:rPr>
          <w:b/>
          <w:sz w:val="22"/>
        </w:rPr>
      </w:pPr>
      <w:bookmarkStart w:name="_bookmark80" w:id="81"/>
      <w:bookmarkEnd w:id="81"/>
      <w:r>
        <w:rPr/>
      </w:r>
      <w:r>
        <w:rPr>
          <w:b/>
          <w:sz w:val="22"/>
        </w:rPr>
        <w:t>NOTA</w:t>
      </w:r>
      <w:r>
        <w:rPr>
          <w:b/>
          <w:spacing w:val="-1"/>
          <w:sz w:val="22"/>
        </w:rPr>
        <w:t> </w:t>
      </w:r>
      <w:r>
        <w:rPr>
          <w:b/>
          <w:sz w:val="22"/>
        </w:rPr>
        <w:t>N° </w:t>
      </w:r>
      <w:r>
        <w:rPr>
          <w:b/>
          <w:spacing w:val="-5"/>
          <w:sz w:val="22"/>
        </w:rPr>
        <w:t>39</w:t>
      </w:r>
    </w:p>
    <w:p>
      <w:pPr>
        <w:pStyle w:val="BodyText"/>
        <w:spacing w:before="115"/>
        <w:rPr>
          <w:b/>
        </w:rPr>
      </w:pPr>
    </w:p>
    <w:p>
      <w:pPr>
        <w:pStyle w:val="Heading6"/>
        <w:ind w:left="622"/>
      </w:pPr>
      <w:r>
        <w:rPr/>
        <w:t>Remates</w:t>
      </w:r>
      <w:r>
        <w:rPr>
          <w:spacing w:val="-3"/>
        </w:rPr>
        <w:t> </w:t>
      </w:r>
      <w:r>
        <w:rPr/>
        <w:t>y</w:t>
      </w:r>
      <w:r>
        <w:rPr>
          <w:spacing w:val="-5"/>
        </w:rPr>
        <w:t> </w:t>
      </w:r>
      <w:r>
        <w:rPr/>
        <w:t>confiscaciones</w:t>
      </w:r>
      <w:r>
        <w:rPr>
          <w:spacing w:val="-3"/>
        </w:rPr>
        <w:t> </w:t>
      </w:r>
      <w:r>
        <w:rPr/>
        <w:t>de</w:t>
      </w:r>
      <w:r>
        <w:rPr>
          <w:spacing w:val="-3"/>
        </w:rPr>
        <w:t> </w:t>
      </w:r>
      <w:r>
        <w:rPr/>
        <w:t>origen</w:t>
      </w:r>
      <w:r>
        <w:rPr>
          <w:spacing w:val="-4"/>
        </w:rPr>
        <w:t> </w:t>
      </w:r>
      <w:r>
        <w:rPr/>
        <w:t>no</w:t>
      </w:r>
      <w:r>
        <w:rPr>
          <w:spacing w:val="-3"/>
        </w:rPr>
        <w:t> </w:t>
      </w:r>
      <w:r>
        <w:rPr>
          <w:spacing w:val="-2"/>
        </w:rPr>
        <w:t>tributario</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977"/>
        <w:gridCol w:w="708"/>
        <w:gridCol w:w="1844"/>
        <w:gridCol w:w="1584"/>
        <w:gridCol w:w="1198"/>
      </w:tblGrid>
      <w:tr>
        <w:trPr>
          <w:trHeight w:val="323" w:hRule="atLeast"/>
        </w:trPr>
        <w:tc>
          <w:tcPr>
            <w:tcW w:w="842" w:type="dxa"/>
            <w:vMerge w:val="restart"/>
            <w:shd w:val="clear" w:color="auto" w:fill="365F92"/>
          </w:tcPr>
          <w:p>
            <w:pPr>
              <w:pStyle w:val="TableParagraph"/>
              <w:spacing w:before="120"/>
              <w:ind w:left="69"/>
              <w:rPr>
                <w:sz w:val="22"/>
              </w:rPr>
            </w:pPr>
            <w:r>
              <w:rPr>
                <w:spacing w:val="-2"/>
                <w:sz w:val="22"/>
              </w:rPr>
              <w:t>Cuenta</w:t>
            </w:r>
          </w:p>
        </w:tc>
        <w:tc>
          <w:tcPr>
            <w:tcW w:w="2977" w:type="dxa"/>
            <w:vMerge w:val="restart"/>
            <w:shd w:val="clear" w:color="auto" w:fill="365F92"/>
          </w:tcPr>
          <w:p>
            <w:pPr>
              <w:pStyle w:val="TableParagraph"/>
              <w:spacing w:before="209"/>
              <w:ind w:left="960"/>
              <w:rPr>
                <w:sz w:val="22"/>
              </w:rPr>
            </w:pPr>
            <w:r>
              <w:rPr>
                <w:spacing w:val="-2"/>
                <w:sz w:val="22"/>
              </w:rPr>
              <w:t>Descripción</w:t>
            </w:r>
          </w:p>
        </w:tc>
        <w:tc>
          <w:tcPr>
            <w:tcW w:w="708" w:type="dxa"/>
            <w:vMerge w:val="restart"/>
            <w:shd w:val="clear" w:color="auto" w:fill="365F92"/>
          </w:tcPr>
          <w:p>
            <w:pPr>
              <w:pStyle w:val="TableParagraph"/>
              <w:spacing w:before="209"/>
              <w:ind w:left="136"/>
              <w:rPr>
                <w:sz w:val="22"/>
              </w:rPr>
            </w:pPr>
            <w:r>
              <w:rPr>
                <w:spacing w:val="-4"/>
                <w:sz w:val="22"/>
              </w:rPr>
              <w:t>Nota</w:t>
            </w:r>
          </w:p>
        </w:tc>
        <w:tc>
          <w:tcPr>
            <w:tcW w:w="1844" w:type="dxa"/>
            <w:vMerge w:val="restart"/>
            <w:shd w:val="clear" w:color="auto" w:fill="365F92"/>
          </w:tcPr>
          <w:p>
            <w:pPr>
              <w:pStyle w:val="TableParagraph"/>
              <w:spacing w:before="209"/>
              <w:ind w:left="290"/>
              <w:rPr>
                <w:sz w:val="22"/>
              </w:rPr>
            </w:pPr>
            <w:r>
              <w:rPr>
                <w:sz w:val="22"/>
              </w:rPr>
              <w:t>Periodo</w:t>
            </w:r>
            <w:r>
              <w:rPr>
                <w:spacing w:val="-5"/>
                <w:sz w:val="22"/>
              </w:rPr>
              <w:t> </w:t>
            </w:r>
            <w:r>
              <w:rPr>
                <w:spacing w:val="-2"/>
                <w:sz w:val="22"/>
              </w:rPr>
              <w:t>Actual</w:t>
            </w:r>
          </w:p>
        </w:tc>
        <w:tc>
          <w:tcPr>
            <w:tcW w:w="1584" w:type="dxa"/>
            <w:vMerge w:val="restart"/>
            <w:shd w:val="clear" w:color="auto" w:fill="365F92"/>
          </w:tcPr>
          <w:p>
            <w:pPr>
              <w:pStyle w:val="TableParagraph"/>
              <w:spacing w:before="84"/>
              <w:ind w:left="417" w:right="394" w:firstLine="50"/>
              <w:rPr>
                <w:sz w:val="22"/>
              </w:rPr>
            </w:pPr>
            <w:r>
              <w:rPr>
                <w:spacing w:val="-2"/>
                <w:sz w:val="22"/>
              </w:rPr>
              <w:t>Periodo Anterior</w:t>
            </w:r>
          </w:p>
        </w:tc>
        <w:tc>
          <w:tcPr>
            <w:tcW w:w="1198" w:type="dxa"/>
            <w:shd w:val="clear" w:color="auto" w:fill="365F92"/>
          </w:tcPr>
          <w:p>
            <w:pPr>
              <w:pStyle w:val="TableParagraph"/>
              <w:spacing w:before="36"/>
              <w:ind w:left="23" w:right="9"/>
              <w:jc w:val="center"/>
              <w:rPr>
                <w:sz w:val="22"/>
              </w:rPr>
            </w:pPr>
            <w:r>
              <w:rPr>
                <w:spacing w:val="-2"/>
                <w:sz w:val="22"/>
              </w:rPr>
              <w:t>Diferencia</w:t>
            </w:r>
          </w:p>
        </w:tc>
      </w:tr>
      <w:tr>
        <w:trPr>
          <w:trHeight w:val="326" w:hRule="atLeast"/>
        </w:trPr>
        <w:tc>
          <w:tcPr>
            <w:tcW w:w="842" w:type="dxa"/>
            <w:vMerge/>
            <w:tcBorders>
              <w:top w:val="nil"/>
            </w:tcBorders>
            <w:shd w:val="clear" w:color="auto" w:fill="365F92"/>
          </w:tcPr>
          <w:p>
            <w:pPr>
              <w:rPr>
                <w:sz w:val="2"/>
                <w:szCs w:val="2"/>
              </w:rPr>
            </w:pPr>
          </w:p>
        </w:tc>
        <w:tc>
          <w:tcPr>
            <w:tcW w:w="2977"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584" w:type="dxa"/>
            <w:vMerge/>
            <w:tcBorders>
              <w:top w:val="nil"/>
            </w:tcBorders>
            <w:shd w:val="clear" w:color="auto" w:fill="365F92"/>
          </w:tcPr>
          <w:p>
            <w:pPr>
              <w:rPr>
                <w:sz w:val="2"/>
                <w:szCs w:val="2"/>
              </w:rPr>
            </w:pPr>
          </w:p>
        </w:tc>
        <w:tc>
          <w:tcPr>
            <w:tcW w:w="1198" w:type="dxa"/>
            <w:shd w:val="clear" w:color="auto" w:fill="365F92"/>
          </w:tcPr>
          <w:p>
            <w:pPr>
              <w:pStyle w:val="TableParagraph"/>
              <w:spacing w:before="39"/>
              <w:ind w:left="23" w:right="11"/>
              <w:jc w:val="center"/>
              <w:rPr>
                <w:sz w:val="22"/>
              </w:rPr>
            </w:pPr>
            <w:r>
              <w:rPr>
                <w:spacing w:val="-10"/>
                <w:sz w:val="22"/>
              </w:rPr>
              <w:t>%</w:t>
            </w:r>
          </w:p>
        </w:tc>
      </w:tr>
      <w:tr>
        <w:trPr>
          <w:trHeight w:val="539" w:hRule="atLeast"/>
        </w:trPr>
        <w:tc>
          <w:tcPr>
            <w:tcW w:w="842" w:type="dxa"/>
          </w:tcPr>
          <w:p>
            <w:pPr>
              <w:pStyle w:val="TableParagraph"/>
              <w:spacing w:before="154"/>
              <w:ind w:left="69"/>
              <w:rPr>
                <w:b/>
                <w:sz w:val="20"/>
              </w:rPr>
            </w:pPr>
            <w:r>
              <w:rPr>
                <w:b/>
                <w:spacing w:val="-2"/>
                <w:sz w:val="20"/>
              </w:rPr>
              <w:t>4.3.2.</w:t>
            </w:r>
          </w:p>
        </w:tc>
        <w:tc>
          <w:tcPr>
            <w:tcW w:w="2977" w:type="dxa"/>
          </w:tcPr>
          <w:p>
            <w:pPr>
              <w:pStyle w:val="TableParagraph"/>
              <w:spacing w:before="41"/>
              <w:ind w:left="69" w:right="22"/>
              <w:rPr>
                <w:b/>
                <w:sz w:val="20"/>
              </w:rPr>
            </w:pPr>
            <w:r>
              <w:rPr>
                <w:b/>
                <w:sz w:val="20"/>
              </w:rPr>
              <w:t>Remates</w:t>
            </w:r>
            <w:r>
              <w:rPr>
                <w:b/>
                <w:spacing w:val="-10"/>
                <w:sz w:val="20"/>
              </w:rPr>
              <w:t> </w:t>
            </w:r>
            <w:r>
              <w:rPr>
                <w:b/>
                <w:sz w:val="20"/>
              </w:rPr>
              <w:t>y</w:t>
            </w:r>
            <w:r>
              <w:rPr>
                <w:b/>
                <w:spacing w:val="-9"/>
                <w:sz w:val="20"/>
              </w:rPr>
              <w:t> </w:t>
            </w:r>
            <w:r>
              <w:rPr>
                <w:b/>
                <w:sz w:val="20"/>
              </w:rPr>
              <w:t>confiscaciones</w:t>
            </w:r>
            <w:r>
              <w:rPr>
                <w:b/>
                <w:spacing w:val="-10"/>
                <w:sz w:val="20"/>
              </w:rPr>
              <w:t> </w:t>
            </w:r>
            <w:r>
              <w:rPr>
                <w:b/>
                <w:sz w:val="20"/>
              </w:rPr>
              <w:t>de</w:t>
            </w:r>
            <w:r>
              <w:rPr>
                <w:b/>
                <w:spacing w:val="-10"/>
                <w:sz w:val="20"/>
              </w:rPr>
              <w:t> </w:t>
            </w:r>
            <w:r>
              <w:rPr>
                <w:b/>
                <w:sz w:val="20"/>
              </w:rPr>
              <w:t>origen no tributario</w:t>
            </w:r>
          </w:p>
        </w:tc>
        <w:tc>
          <w:tcPr>
            <w:tcW w:w="708" w:type="dxa"/>
          </w:tcPr>
          <w:p>
            <w:pPr>
              <w:pStyle w:val="TableParagraph"/>
              <w:spacing w:before="154"/>
              <w:ind w:left="18" w:right="1"/>
              <w:jc w:val="center"/>
              <w:rPr>
                <w:b/>
                <w:sz w:val="20"/>
              </w:rPr>
            </w:pPr>
            <w:r>
              <w:rPr>
                <w:b/>
                <w:spacing w:val="-5"/>
                <w:sz w:val="20"/>
              </w:rPr>
              <w:t>39</w:t>
            </w:r>
          </w:p>
        </w:tc>
        <w:tc>
          <w:tcPr>
            <w:tcW w:w="1844" w:type="dxa"/>
          </w:tcPr>
          <w:p>
            <w:pPr>
              <w:pStyle w:val="TableParagraph"/>
              <w:spacing w:before="154"/>
              <w:ind w:left="69"/>
              <w:jc w:val="center"/>
              <w:rPr>
                <w:b/>
                <w:sz w:val="20"/>
              </w:rPr>
            </w:pPr>
            <w:r>
              <w:rPr>
                <w:b/>
                <w:spacing w:val="-4"/>
                <w:sz w:val="20"/>
              </w:rPr>
              <w:t>0,00</w:t>
            </w:r>
          </w:p>
        </w:tc>
        <w:tc>
          <w:tcPr>
            <w:tcW w:w="1584" w:type="dxa"/>
          </w:tcPr>
          <w:p>
            <w:pPr>
              <w:pStyle w:val="TableParagraph"/>
              <w:spacing w:before="154"/>
              <w:ind w:left="16"/>
              <w:jc w:val="center"/>
              <w:rPr>
                <w:b/>
                <w:sz w:val="20"/>
              </w:rPr>
            </w:pPr>
            <w:r>
              <w:rPr>
                <w:b/>
                <w:spacing w:val="-4"/>
                <w:sz w:val="20"/>
              </w:rPr>
              <w:t>0,00</w:t>
            </w:r>
          </w:p>
        </w:tc>
        <w:tc>
          <w:tcPr>
            <w:tcW w:w="1198" w:type="dxa"/>
          </w:tcPr>
          <w:p>
            <w:pPr>
              <w:pStyle w:val="TableParagraph"/>
              <w:spacing w:before="154"/>
              <w:ind w:left="23" w:right="8"/>
              <w:jc w:val="center"/>
              <w:rPr>
                <w:b/>
                <w:sz w:val="20"/>
              </w:rPr>
            </w:pPr>
            <w:r>
              <w:rPr>
                <w:b/>
                <w:spacing w:val="-2"/>
                <w:sz w:val="20"/>
              </w:rPr>
              <w:t>0,00%</w:t>
            </w:r>
          </w:p>
        </w:tc>
      </w:tr>
    </w:tbl>
    <w:p>
      <w:pPr>
        <w:spacing w:before="240"/>
        <w:ind w:left="622" w:right="0" w:firstLine="0"/>
        <w:jc w:val="left"/>
        <w:rPr>
          <w:b/>
          <w:sz w:val="22"/>
        </w:rPr>
      </w:pPr>
      <w:r>
        <w:rPr>
          <w:b/>
          <w:spacing w:val="-2"/>
          <w:sz w:val="22"/>
        </w:rPr>
        <w:t>Revelación:</w:t>
      </w:r>
    </w:p>
    <w:p>
      <w:pPr>
        <w:pStyle w:val="BodyText"/>
        <w:spacing w:line="259" w:lineRule="auto" w:before="181"/>
        <w:ind w:left="622" w:right="978"/>
        <w:jc w:val="both"/>
      </w:pPr>
      <w:r>
        <w:rPr/>
        <w:t>La</w:t>
      </w:r>
      <w:r>
        <w:rPr>
          <w:spacing w:val="-4"/>
        </w:rPr>
        <w:t> </w:t>
      </w:r>
      <w:r>
        <w:rPr/>
        <w:t>cuenta</w:t>
      </w:r>
      <w:r>
        <w:rPr>
          <w:spacing w:val="-3"/>
        </w:rPr>
        <w:t> </w:t>
      </w:r>
      <w:r>
        <w:rPr/>
        <w:t>Remates</w:t>
      </w:r>
      <w:r>
        <w:rPr>
          <w:spacing w:val="-4"/>
        </w:rPr>
        <w:t> </w:t>
      </w:r>
      <w:r>
        <w:rPr/>
        <w:t>y</w:t>
      </w:r>
      <w:r>
        <w:rPr>
          <w:spacing w:val="-4"/>
        </w:rPr>
        <w:t> </w:t>
      </w:r>
      <w:r>
        <w:rPr/>
        <w:t>confiscaciones</w:t>
      </w:r>
      <w:r>
        <w:rPr>
          <w:spacing w:val="-2"/>
        </w:rPr>
        <w:t> </w:t>
      </w:r>
      <w:r>
        <w:rPr/>
        <w:t>de</w:t>
      </w:r>
      <w:r>
        <w:rPr>
          <w:spacing w:val="-4"/>
        </w:rPr>
        <w:t> </w:t>
      </w:r>
      <w:r>
        <w:rPr/>
        <w:t>origen</w:t>
      </w:r>
      <w:r>
        <w:rPr>
          <w:spacing w:val="-4"/>
        </w:rPr>
        <w:t> </w:t>
      </w:r>
      <w:r>
        <w:rPr/>
        <w:t>no</w:t>
      </w:r>
      <w:r>
        <w:rPr>
          <w:spacing w:val="-4"/>
        </w:rPr>
        <w:t> </w:t>
      </w:r>
      <w:r>
        <w:rPr/>
        <w:t>tributario,</w:t>
      </w:r>
      <w:r>
        <w:rPr>
          <w:spacing w:val="-3"/>
        </w:rPr>
        <w:t> </w:t>
      </w:r>
      <w:r>
        <w:rPr/>
        <w:t>representa</w:t>
      </w:r>
      <w:r>
        <w:rPr>
          <w:spacing w:val="-5"/>
        </w:rPr>
        <w:t> </w:t>
      </w:r>
      <w:r>
        <w:rPr/>
        <w:t>el</w:t>
      </w:r>
      <w:r>
        <w:rPr>
          <w:spacing w:val="-5"/>
        </w:rPr>
        <w:t> </w:t>
      </w:r>
      <w:r>
        <w:rPr/>
        <w:t>0,00%</w:t>
      </w:r>
      <w:r>
        <w:rPr>
          <w:spacing w:val="-4"/>
        </w:rPr>
        <w:t> </w:t>
      </w:r>
      <w:r>
        <w:rPr/>
        <w:t>del</w:t>
      </w:r>
      <w:r>
        <w:rPr>
          <w:spacing w:val="-5"/>
        </w:rPr>
        <w:t> </w:t>
      </w:r>
      <w:r>
        <w:rPr/>
        <w:t>total</w:t>
      </w:r>
      <w:r>
        <w:rPr>
          <w:spacing w:val="-4"/>
        </w:rPr>
        <w:t> </w:t>
      </w:r>
      <w:r>
        <w:rPr/>
        <w:t>del</w:t>
      </w:r>
      <w:r>
        <w:rPr>
          <w:spacing w:val="-3"/>
        </w:rPr>
        <w:t> </w:t>
      </w:r>
      <w:r>
        <w:rPr/>
        <w:t>Ingresos, que comparado al periodo anterior genera una variación absoluta de 0 000,00 que corresponde a un Aumento del 0,00% de recursos disponibles.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16384">
                <wp:simplePos x="0" y="0"/>
                <wp:positionH relativeFrom="page">
                  <wp:posOffset>9525</wp:posOffset>
                </wp:positionH>
                <wp:positionV relativeFrom="page">
                  <wp:posOffset>297208</wp:posOffset>
                </wp:positionV>
                <wp:extent cx="7762875" cy="9748520"/>
                <wp:effectExtent l="0" t="0" r="0" b="0"/>
                <wp:wrapNone/>
                <wp:docPr id="490" name="Group 490"/>
                <wp:cNvGraphicFramePr>
                  <a:graphicFrameLocks/>
                </wp:cNvGraphicFramePr>
                <a:graphic>
                  <a:graphicData uri="http://schemas.microsoft.com/office/word/2010/wordprocessingGroup">
                    <wpg:wgp>
                      <wpg:cNvPr id="490" name="Group 490"/>
                      <wpg:cNvGrpSpPr/>
                      <wpg:grpSpPr>
                        <a:xfrm>
                          <a:off x="0" y="0"/>
                          <a:ext cx="7762875" cy="9748520"/>
                          <a:chExt cx="7762875" cy="9748520"/>
                        </a:xfrm>
                      </wpg:grpSpPr>
                      <pic:pic>
                        <pic:nvPicPr>
                          <pic:cNvPr id="491" name="Image 491"/>
                          <pic:cNvPicPr/>
                        </pic:nvPicPr>
                        <pic:blipFill>
                          <a:blip r:embed="rId5" cstate="print"/>
                          <a:stretch>
                            <a:fillRect/>
                          </a:stretch>
                        </pic:blipFill>
                        <pic:spPr>
                          <a:xfrm>
                            <a:off x="0" y="0"/>
                            <a:ext cx="7762874" cy="9748489"/>
                          </a:xfrm>
                          <a:prstGeom prst="rect">
                            <a:avLst/>
                          </a:prstGeom>
                        </pic:spPr>
                      </pic:pic>
                      <wps:wsp>
                        <wps:cNvPr id="492" name="Graphic 49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700096" id="docshapegroup468" coordorigin="15,468" coordsize="12225,15352">
                <v:shape style="position:absolute;left:15;top:468;width:12225;height:15352" type="#_x0000_t75" id="docshape469" stroked="false">
                  <v:imagedata r:id="rId5" o:title=""/>
                </v:shape>
                <v:rect style="position:absolute;left:1673;top:2028;width:8897;height:15" id="docshape47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102</w:t>
      </w:r>
    </w:p>
    <w:p>
      <w:pPr>
        <w:pStyle w:val="BodyText"/>
        <w:spacing w:before="10"/>
        <w:rPr>
          <w:sz w:val="16"/>
        </w:rPr>
      </w:pPr>
      <w:r>
        <w:rPr>
          <w:sz w:val="16"/>
        </w:rPr>
        <mc:AlternateContent>
          <mc:Choice Requires="wps">
            <w:drawing>
              <wp:anchor distT="0" distB="0" distL="0" distR="0" allowOverlap="1" layoutInCell="1" locked="0" behindDoc="1" simplePos="0" relativeHeight="487676416">
                <wp:simplePos x="0" y="0"/>
                <wp:positionH relativeFrom="page">
                  <wp:posOffset>1080820</wp:posOffset>
                </wp:positionH>
                <wp:positionV relativeFrom="paragraph">
                  <wp:posOffset>141144</wp:posOffset>
                </wp:positionV>
                <wp:extent cx="5715000" cy="554990"/>
                <wp:effectExtent l="0" t="0" r="0" b="0"/>
                <wp:wrapTopAndBottom/>
                <wp:docPr id="493" name="Textbox 493"/>
                <wp:cNvGraphicFramePr>
                  <a:graphicFrameLocks/>
                </wp:cNvGraphicFramePr>
                <a:graphic>
                  <a:graphicData uri="http://schemas.microsoft.com/office/word/2010/wordprocessingShape">
                    <wps:wsp>
                      <wps:cNvPr id="493" name="Textbox 493"/>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640064;mso-wrap-distance-left:0;mso-wrap-distance-right:0" type="#_x0000_t202" id="docshape47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r>
        <w:rPr>
          <w:sz w:val="16"/>
        </w:rPr>
        <mc:AlternateContent>
          <mc:Choice Requires="wps">
            <w:drawing>
              <wp:anchor distT="0" distB="0" distL="0" distR="0" allowOverlap="1" layoutInCell="1" locked="0" behindDoc="1" simplePos="0" relativeHeight="487676928">
                <wp:simplePos x="0" y="0"/>
                <wp:positionH relativeFrom="page">
                  <wp:posOffset>1062532</wp:posOffset>
                </wp:positionH>
                <wp:positionV relativeFrom="paragraph">
                  <wp:posOffset>971724</wp:posOffset>
                </wp:positionV>
                <wp:extent cx="5649595" cy="342900"/>
                <wp:effectExtent l="0" t="0" r="0" b="0"/>
                <wp:wrapTopAndBottom/>
                <wp:docPr id="494" name="Textbox 494"/>
                <wp:cNvGraphicFramePr>
                  <a:graphicFrameLocks/>
                </wp:cNvGraphicFramePr>
                <a:graphic>
                  <a:graphicData uri="http://schemas.microsoft.com/office/word/2010/wordprocessingShape">
                    <wps:wsp>
                      <wps:cNvPr id="494" name="Textbox 494"/>
                      <wps:cNvSpPr txBox="1"/>
                      <wps:spPr>
                        <a:xfrm>
                          <a:off x="0" y="0"/>
                          <a:ext cx="5649595" cy="342900"/>
                        </a:xfrm>
                        <a:prstGeom prst="rect">
                          <a:avLst/>
                        </a:prstGeom>
                        <a:solidFill>
                          <a:srgbClr val="365F92"/>
                        </a:solidFill>
                      </wps:spPr>
                      <wps:txbx>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wps:txbx>
                      <wps:bodyPr wrap="square" lIns="0" tIns="0" rIns="0" bIns="0" rtlCol="0">
                        <a:noAutofit/>
                      </wps:bodyPr>
                    </wps:wsp>
                  </a:graphicData>
                </a:graphic>
              </wp:anchor>
            </w:drawing>
          </mc:Choice>
          <mc:Fallback>
            <w:pict>
              <v:shape style="position:absolute;margin-left:83.664001pt;margin-top:76.513748pt;width:444.85pt;height:27pt;mso-position-horizontal-relative:page;mso-position-vertical-relative:paragraph;z-index:-15639552;mso-wrap-distance-left:0;mso-wrap-distance-right:0" type="#_x0000_t202" id="docshape472" filled="true" fillcolor="#365f92" stroked="false">
                <v:textbox inset="0,0,0,0">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v:textbox>
                <v:fill type="solid"/>
                <w10:wrap type="topAndBottom"/>
              </v:shape>
            </w:pict>
          </mc:Fallback>
        </mc:AlternateContent>
      </w:r>
    </w:p>
    <w:p>
      <w:pPr>
        <w:pStyle w:val="BodyText"/>
        <w:spacing w:before="182"/>
        <w:rPr>
          <w:sz w:val="20"/>
        </w:rPr>
      </w:pPr>
    </w:p>
    <w:p>
      <w:pPr>
        <w:pStyle w:val="BodyText"/>
        <w:rPr>
          <w:sz w:val="20"/>
        </w:rPr>
      </w:pPr>
    </w:p>
    <w:p>
      <w:pPr>
        <w:pStyle w:val="BodyText"/>
        <w:spacing w:before="112"/>
        <w:rPr>
          <w:sz w:val="20"/>
        </w:rPr>
      </w:pPr>
      <w:r>
        <w:rPr>
          <w:sz w:val="20"/>
        </w:rPr>
        <mc:AlternateContent>
          <mc:Choice Requires="wps">
            <w:drawing>
              <wp:anchor distT="0" distB="0" distL="0" distR="0" allowOverlap="1" layoutInCell="1" locked="0" behindDoc="1" simplePos="0" relativeHeight="487677440">
                <wp:simplePos x="0" y="0"/>
                <wp:positionH relativeFrom="page">
                  <wp:posOffset>1080820</wp:posOffset>
                </wp:positionH>
                <wp:positionV relativeFrom="paragraph">
                  <wp:posOffset>234616</wp:posOffset>
                </wp:positionV>
                <wp:extent cx="5715000" cy="1070610"/>
                <wp:effectExtent l="0" t="0" r="0" b="0"/>
                <wp:wrapTopAndBottom/>
                <wp:docPr id="495" name="Textbox 495"/>
                <wp:cNvGraphicFramePr>
                  <a:graphicFrameLocks/>
                </wp:cNvGraphicFramePr>
                <a:graphic>
                  <a:graphicData uri="http://schemas.microsoft.com/office/word/2010/wordprocessingShape">
                    <wps:wsp>
                      <wps:cNvPr id="495" name="Textbox 495"/>
                      <wps:cNvSpPr txBox="1"/>
                      <wps:spPr>
                        <a:xfrm>
                          <a:off x="0" y="0"/>
                          <a:ext cx="5715000" cy="10706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2"/>
                              <w:ind w:left="103" w:right="99"/>
                              <w:jc w:val="both"/>
                            </w:pPr>
                            <w:r>
                              <w:rPr/>
                              <w:t>A la fecha de emisión de los presentes Estados Financieros, el IMAS no posee ni ha generado transacciones</w:t>
                            </w:r>
                            <w:r>
                              <w:rPr>
                                <w:spacing w:val="-12"/>
                              </w:rPr>
                              <w:t> </w:t>
                            </w:r>
                            <w:r>
                              <w:rPr/>
                              <w:t>o</w:t>
                            </w:r>
                            <w:r>
                              <w:rPr>
                                <w:spacing w:val="-10"/>
                              </w:rPr>
                              <w:t> </w:t>
                            </w:r>
                            <w:r>
                              <w:rPr/>
                              <w:t>registros</w:t>
                            </w:r>
                            <w:r>
                              <w:rPr>
                                <w:spacing w:val="-10"/>
                              </w:rPr>
                              <w:t> </w:t>
                            </w:r>
                            <w:r>
                              <w:rPr/>
                              <w:t>relacionados</w:t>
                            </w:r>
                            <w:r>
                              <w:rPr>
                                <w:spacing w:val="-12"/>
                              </w:rPr>
                              <w:t> </w:t>
                            </w:r>
                            <w:r>
                              <w:rPr/>
                              <w:t>con</w:t>
                            </w:r>
                            <w:r>
                              <w:rPr>
                                <w:spacing w:val="-10"/>
                              </w:rPr>
                              <w:t> </w:t>
                            </w:r>
                            <w:r>
                              <w:rPr/>
                              <w:t>ingresos</w:t>
                            </w:r>
                            <w:r>
                              <w:rPr>
                                <w:spacing w:val="-10"/>
                              </w:rPr>
                              <w:t> </w:t>
                            </w:r>
                            <w:r>
                              <w:rPr/>
                              <w:t>por</w:t>
                            </w:r>
                            <w:r>
                              <w:rPr>
                                <w:spacing w:val="-11"/>
                              </w:rPr>
                              <w:t> </w:t>
                            </w:r>
                            <w:r>
                              <w:rPr/>
                              <w:t>remares</w:t>
                            </w:r>
                            <w:r>
                              <w:rPr>
                                <w:spacing w:val="-12"/>
                              </w:rPr>
                              <w:t> </w:t>
                            </w:r>
                            <w:r>
                              <w:rPr/>
                              <w:t>o</w:t>
                            </w:r>
                            <w:r>
                              <w:rPr>
                                <w:spacing w:val="-10"/>
                              </w:rPr>
                              <w:t> </w:t>
                            </w:r>
                            <w:r>
                              <w:rPr/>
                              <w:t>confiscaciones.</w:t>
                            </w:r>
                            <w:r>
                              <w:rPr>
                                <w:spacing w:val="-12"/>
                              </w:rPr>
                              <w:t> </w:t>
                            </w:r>
                            <w:r>
                              <w:rPr/>
                              <w:t>En</w:t>
                            </w:r>
                            <w:r>
                              <w:rPr>
                                <w:spacing w:val="-13"/>
                              </w:rPr>
                              <w:t> </w:t>
                            </w:r>
                            <w:r>
                              <w:rPr/>
                              <w:t>consecuencia,</w:t>
                            </w:r>
                            <w:r>
                              <w:rPr>
                                <w:spacing w:val="-10"/>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wps:txbx>
                      <wps:bodyPr wrap="square" lIns="0" tIns="0" rIns="0" bIns="0" rtlCol="0">
                        <a:noAutofit/>
                      </wps:bodyPr>
                    </wps:wsp>
                  </a:graphicData>
                </a:graphic>
              </wp:anchor>
            </w:drawing>
          </mc:Choice>
          <mc:Fallback>
            <w:pict>
              <v:shape style="position:absolute;margin-left:85.103996pt;margin-top:18.473749pt;width:450pt;height:84.3pt;mso-position-horizontal-relative:page;mso-position-vertical-relative:paragraph;z-index:-15639040;mso-wrap-distance-left:0;mso-wrap-distance-right:0" type="#_x0000_t202" id="docshape47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2"/>
                        <w:ind w:left="103" w:right="99"/>
                        <w:jc w:val="both"/>
                      </w:pPr>
                      <w:r>
                        <w:rPr/>
                        <w:t>A la fecha de emisión de los presentes Estados Financieros, el IMAS no posee ni ha generado transacciones</w:t>
                      </w:r>
                      <w:r>
                        <w:rPr>
                          <w:spacing w:val="-12"/>
                        </w:rPr>
                        <w:t> </w:t>
                      </w:r>
                      <w:r>
                        <w:rPr/>
                        <w:t>o</w:t>
                      </w:r>
                      <w:r>
                        <w:rPr>
                          <w:spacing w:val="-10"/>
                        </w:rPr>
                        <w:t> </w:t>
                      </w:r>
                      <w:r>
                        <w:rPr/>
                        <w:t>registros</w:t>
                      </w:r>
                      <w:r>
                        <w:rPr>
                          <w:spacing w:val="-10"/>
                        </w:rPr>
                        <w:t> </w:t>
                      </w:r>
                      <w:r>
                        <w:rPr/>
                        <w:t>relacionados</w:t>
                      </w:r>
                      <w:r>
                        <w:rPr>
                          <w:spacing w:val="-12"/>
                        </w:rPr>
                        <w:t> </w:t>
                      </w:r>
                      <w:r>
                        <w:rPr/>
                        <w:t>con</w:t>
                      </w:r>
                      <w:r>
                        <w:rPr>
                          <w:spacing w:val="-10"/>
                        </w:rPr>
                        <w:t> </w:t>
                      </w:r>
                      <w:r>
                        <w:rPr/>
                        <w:t>ingresos</w:t>
                      </w:r>
                      <w:r>
                        <w:rPr>
                          <w:spacing w:val="-10"/>
                        </w:rPr>
                        <w:t> </w:t>
                      </w:r>
                      <w:r>
                        <w:rPr/>
                        <w:t>por</w:t>
                      </w:r>
                      <w:r>
                        <w:rPr>
                          <w:spacing w:val="-11"/>
                        </w:rPr>
                        <w:t> </w:t>
                      </w:r>
                      <w:r>
                        <w:rPr/>
                        <w:t>remares</w:t>
                      </w:r>
                      <w:r>
                        <w:rPr>
                          <w:spacing w:val="-12"/>
                        </w:rPr>
                        <w:t> </w:t>
                      </w:r>
                      <w:r>
                        <w:rPr/>
                        <w:t>o</w:t>
                      </w:r>
                      <w:r>
                        <w:rPr>
                          <w:spacing w:val="-10"/>
                        </w:rPr>
                        <w:t> </w:t>
                      </w:r>
                      <w:r>
                        <w:rPr/>
                        <w:t>confiscaciones.</w:t>
                      </w:r>
                      <w:r>
                        <w:rPr>
                          <w:spacing w:val="-12"/>
                        </w:rPr>
                        <w:t> </w:t>
                      </w:r>
                      <w:r>
                        <w:rPr/>
                        <w:t>En</w:t>
                      </w:r>
                      <w:r>
                        <w:rPr>
                          <w:spacing w:val="-13"/>
                        </w:rPr>
                        <w:t> </w:t>
                      </w:r>
                      <w:r>
                        <w:rPr/>
                        <w:t>consecuencia,</w:t>
                      </w:r>
                      <w:r>
                        <w:rPr>
                          <w:spacing w:val="-10"/>
                        </w:rPr>
                        <w:t> </w:t>
                      </w:r>
                      <w:r>
                        <w:rPr/>
                        <w:t>no se</w:t>
                      </w:r>
                      <w:r>
                        <w:rPr>
                          <w:spacing w:val="-7"/>
                        </w:rPr>
                        <w:t> </w:t>
                      </w:r>
                      <w:r>
                        <w:rPr/>
                        <w:t>aplican</w:t>
                      </w:r>
                      <w:r>
                        <w:rPr>
                          <w:spacing w:val="-5"/>
                        </w:rPr>
                        <w:t> </w:t>
                      </w:r>
                      <w:r>
                        <w:rPr/>
                        <w:t>las</w:t>
                      </w:r>
                      <w:r>
                        <w:rPr>
                          <w:spacing w:val="-5"/>
                        </w:rPr>
                        <w:t> </w:t>
                      </w:r>
                      <w:r>
                        <w:rPr/>
                        <w:t>disposiciones</w:t>
                      </w:r>
                      <w:r>
                        <w:rPr>
                          <w:spacing w:val="-9"/>
                        </w:rPr>
                        <w:t> </w:t>
                      </w:r>
                      <w:r>
                        <w:rPr/>
                        <w:t>regulatorias</w:t>
                      </w:r>
                      <w:r>
                        <w:rPr>
                          <w:spacing w:val="-7"/>
                        </w:rPr>
                        <w:t> </w:t>
                      </w:r>
                      <w:r>
                        <w:rPr/>
                        <w:t>ni</w:t>
                      </w:r>
                      <w:r>
                        <w:rPr>
                          <w:spacing w:val="-6"/>
                        </w:rPr>
                        <w:t> </w:t>
                      </w:r>
                      <w:r>
                        <w:rPr/>
                        <w:t>las</w:t>
                      </w:r>
                      <w:r>
                        <w:rPr>
                          <w:spacing w:val="-7"/>
                        </w:rPr>
                        <w:t> </w:t>
                      </w:r>
                      <w:r>
                        <w:rPr/>
                        <w:t>normativas</w:t>
                      </w:r>
                      <w:r>
                        <w:rPr>
                          <w:spacing w:val="-5"/>
                        </w:rPr>
                        <w:t> </w:t>
                      </w:r>
                      <w:r>
                        <w:rPr/>
                        <w:t>establecidas</w:t>
                      </w:r>
                      <w:r>
                        <w:rPr>
                          <w:spacing w:val="-5"/>
                        </w:rPr>
                        <w:t> </w:t>
                      </w:r>
                      <w:r>
                        <w:rPr/>
                        <w:t>para</w:t>
                      </w:r>
                      <w:r>
                        <w:rPr>
                          <w:spacing w:val="-6"/>
                        </w:rPr>
                        <w:t> </w:t>
                      </w:r>
                      <w:r>
                        <w:rPr/>
                        <w:t>las</w:t>
                      </w:r>
                      <w:r>
                        <w:rPr>
                          <w:spacing w:val="-7"/>
                        </w:rPr>
                        <w:t> </w:t>
                      </w:r>
                      <w:r>
                        <w:rPr/>
                        <w:t>partidas</w:t>
                      </w:r>
                      <w:r>
                        <w:rPr>
                          <w:spacing w:val="-5"/>
                        </w:rPr>
                        <w:t> </w:t>
                      </w:r>
                      <w:r>
                        <w:rPr/>
                        <w:t>asociadas</w:t>
                      </w:r>
                      <w:r>
                        <w:rPr>
                          <w:spacing w:val="-5"/>
                        </w:rPr>
                        <w:t> </w:t>
                      </w:r>
                      <w:r>
                        <w:rPr/>
                        <w:t>a</w:t>
                      </w:r>
                      <w:r>
                        <w:rPr>
                          <w:spacing w:val="-9"/>
                        </w:rPr>
                        <w:t> </w:t>
                      </w:r>
                      <w:r>
                        <w:rPr/>
                        <w:t>esta categoría, y no existe información adicional que deba ser revelada en relación con dicho concepto.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81" w:id="82"/>
      <w:bookmarkEnd w:id="82"/>
      <w:r>
        <w:rPr/>
      </w:r>
      <w:r>
        <w:rPr>
          <w:b/>
          <w:sz w:val="22"/>
        </w:rPr>
        <w:t>NOTA</w:t>
      </w:r>
      <w:r>
        <w:rPr>
          <w:b/>
          <w:spacing w:val="-1"/>
          <w:sz w:val="22"/>
        </w:rPr>
        <w:t> </w:t>
      </w:r>
      <w:r>
        <w:rPr>
          <w:b/>
          <w:sz w:val="22"/>
        </w:rPr>
        <w:t>N° </w:t>
      </w:r>
      <w:r>
        <w:rPr>
          <w:b/>
          <w:spacing w:val="-5"/>
          <w:sz w:val="22"/>
        </w:rPr>
        <w:t>40</w:t>
      </w:r>
    </w:p>
    <w:p>
      <w:pPr>
        <w:pStyle w:val="BodyText"/>
        <w:spacing w:before="114"/>
        <w:rPr>
          <w:b/>
        </w:rPr>
      </w:pPr>
    </w:p>
    <w:p>
      <w:pPr>
        <w:pStyle w:val="Heading6"/>
        <w:spacing w:before="1"/>
        <w:ind w:left="622"/>
      </w:pPr>
      <w:r>
        <w:rPr/>
        <w:t>Remates</w:t>
      </w:r>
      <w:r>
        <w:rPr>
          <w:spacing w:val="-3"/>
        </w:rPr>
        <w:t> </w:t>
      </w:r>
      <w:r>
        <w:rPr/>
        <w:t>y</w:t>
      </w:r>
      <w:r>
        <w:rPr>
          <w:spacing w:val="-5"/>
        </w:rPr>
        <w:t> </w:t>
      </w:r>
      <w:r>
        <w:rPr/>
        <w:t>confiscaciones</w:t>
      </w:r>
      <w:r>
        <w:rPr>
          <w:spacing w:val="-3"/>
        </w:rPr>
        <w:t> </w:t>
      </w:r>
      <w:r>
        <w:rPr/>
        <w:t>de</w:t>
      </w:r>
      <w:r>
        <w:rPr>
          <w:spacing w:val="-3"/>
        </w:rPr>
        <w:t> </w:t>
      </w:r>
      <w:r>
        <w:rPr/>
        <w:t>origen</w:t>
      </w:r>
      <w:r>
        <w:rPr>
          <w:spacing w:val="-4"/>
        </w:rPr>
        <w:t> </w:t>
      </w:r>
      <w:r>
        <w:rPr/>
        <w:t>no</w:t>
      </w:r>
      <w:r>
        <w:rPr>
          <w:spacing w:val="-3"/>
        </w:rPr>
        <w:t> </w:t>
      </w:r>
      <w:r>
        <w:rPr>
          <w:spacing w:val="-2"/>
        </w:rPr>
        <w:t>tributario</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13"/>
        <w:gridCol w:w="2082"/>
        <w:gridCol w:w="1134"/>
        <w:gridCol w:w="1561"/>
        <w:gridCol w:w="1750"/>
        <w:gridCol w:w="1198"/>
      </w:tblGrid>
      <w:tr>
        <w:trPr>
          <w:trHeight w:val="323" w:hRule="atLeast"/>
        </w:trPr>
        <w:tc>
          <w:tcPr>
            <w:tcW w:w="1313" w:type="dxa"/>
            <w:vMerge w:val="restart"/>
            <w:shd w:val="clear" w:color="auto" w:fill="365F92"/>
          </w:tcPr>
          <w:p>
            <w:pPr>
              <w:pStyle w:val="TableParagraph"/>
              <w:spacing w:before="130"/>
              <w:ind w:left="69"/>
              <w:rPr>
                <w:sz w:val="20"/>
              </w:rPr>
            </w:pPr>
            <w:r>
              <w:rPr>
                <w:spacing w:val="-2"/>
                <w:sz w:val="20"/>
              </w:rPr>
              <w:t>Cuenta</w:t>
            </w:r>
          </w:p>
        </w:tc>
        <w:tc>
          <w:tcPr>
            <w:tcW w:w="2082" w:type="dxa"/>
            <w:vMerge w:val="restart"/>
            <w:shd w:val="clear" w:color="auto" w:fill="365F92"/>
          </w:tcPr>
          <w:p>
            <w:pPr>
              <w:pStyle w:val="TableParagraph"/>
              <w:spacing w:before="219"/>
              <w:ind w:left="559"/>
              <w:rPr>
                <w:sz w:val="20"/>
              </w:rPr>
            </w:pPr>
            <w:r>
              <w:rPr>
                <w:spacing w:val="-2"/>
                <w:sz w:val="20"/>
              </w:rPr>
              <w:t>Descripción</w:t>
            </w:r>
          </w:p>
        </w:tc>
        <w:tc>
          <w:tcPr>
            <w:tcW w:w="1134" w:type="dxa"/>
            <w:vMerge w:val="restart"/>
            <w:shd w:val="clear" w:color="auto" w:fill="365F92"/>
          </w:tcPr>
          <w:p>
            <w:pPr>
              <w:pStyle w:val="TableParagraph"/>
              <w:spacing w:before="219"/>
              <w:ind w:left="365"/>
              <w:rPr>
                <w:sz w:val="20"/>
              </w:rPr>
            </w:pPr>
            <w:r>
              <w:rPr>
                <w:spacing w:val="-4"/>
                <w:sz w:val="20"/>
              </w:rPr>
              <w:t>Nota</w:t>
            </w:r>
          </w:p>
        </w:tc>
        <w:tc>
          <w:tcPr>
            <w:tcW w:w="1561" w:type="dxa"/>
            <w:vMerge w:val="restart"/>
            <w:shd w:val="clear" w:color="auto" w:fill="365F92"/>
          </w:tcPr>
          <w:p>
            <w:pPr>
              <w:pStyle w:val="TableParagraph"/>
              <w:spacing w:before="219"/>
              <w:ind w:left="206"/>
              <w:rPr>
                <w:sz w:val="20"/>
              </w:rPr>
            </w:pPr>
            <w:r>
              <w:rPr>
                <w:sz w:val="20"/>
              </w:rPr>
              <w:t>Periodo</w:t>
            </w:r>
            <w:r>
              <w:rPr>
                <w:spacing w:val="-8"/>
                <w:sz w:val="20"/>
              </w:rPr>
              <w:t> </w:t>
            </w:r>
            <w:r>
              <w:rPr>
                <w:spacing w:val="-2"/>
                <w:sz w:val="20"/>
              </w:rPr>
              <w:t>Actual</w:t>
            </w:r>
          </w:p>
        </w:tc>
        <w:tc>
          <w:tcPr>
            <w:tcW w:w="1750" w:type="dxa"/>
            <w:vMerge w:val="restart"/>
            <w:shd w:val="clear" w:color="auto" w:fill="365F92"/>
          </w:tcPr>
          <w:p>
            <w:pPr>
              <w:pStyle w:val="TableParagraph"/>
              <w:spacing w:before="219"/>
              <w:ind w:left="215"/>
              <w:rPr>
                <w:sz w:val="20"/>
              </w:rPr>
            </w:pPr>
            <w:r>
              <w:rPr>
                <w:sz w:val="20"/>
              </w:rPr>
              <w:t>Periodo</w:t>
            </w:r>
            <w:r>
              <w:rPr>
                <w:spacing w:val="-8"/>
                <w:sz w:val="20"/>
              </w:rPr>
              <w:t> </w:t>
            </w:r>
            <w:r>
              <w:rPr>
                <w:spacing w:val="-2"/>
                <w:sz w:val="20"/>
              </w:rPr>
              <w:t>Anterior</w:t>
            </w:r>
          </w:p>
        </w:tc>
        <w:tc>
          <w:tcPr>
            <w:tcW w:w="1198" w:type="dxa"/>
            <w:shd w:val="clear" w:color="auto" w:fill="365F92"/>
          </w:tcPr>
          <w:p>
            <w:pPr>
              <w:pStyle w:val="TableParagraph"/>
              <w:spacing w:before="46"/>
              <w:ind w:left="23" w:right="9"/>
              <w:jc w:val="center"/>
              <w:rPr>
                <w:sz w:val="20"/>
              </w:rPr>
            </w:pPr>
            <w:r>
              <w:rPr>
                <w:spacing w:val="-2"/>
                <w:sz w:val="20"/>
              </w:rPr>
              <w:t>Diferencia</w:t>
            </w:r>
          </w:p>
        </w:tc>
      </w:tr>
      <w:tr>
        <w:trPr>
          <w:trHeight w:val="323" w:hRule="atLeast"/>
        </w:trPr>
        <w:tc>
          <w:tcPr>
            <w:tcW w:w="1313" w:type="dxa"/>
            <w:vMerge/>
            <w:tcBorders>
              <w:top w:val="nil"/>
            </w:tcBorders>
            <w:shd w:val="clear" w:color="auto" w:fill="365F92"/>
          </w:tcPr>
          <w:p>
            <w:pPr>
              <w:rPr>
                <w:sz w:val="2"/>
                <w:szCs w:val="2"/>
              </w:rPr>
            </w:pPr>
          </w:p>
        </w:tc>
        <w:tc>
          <w:tcPr>
            <w:tcW w:w="2082" w:type="dxa"/>
            <w:vMerge/>
            <w:tcBorders>
              <w:top w:val="nil"/>
            </w:tcBorders>
            <w:shd w:val="clear" w:color="auto" w:fill="365F92"/>
          </w:tcPr>
          <w:p>
            <w:pPr>
              <w:rPr>
                <w:sz w:val="2"/>
                <w:szCs w:val="2"/>
              </w:rPr>
            </w:pPr>
          </w:p>
        </w:tc>
        <w:tc>
          <w:tcPr>
            <w:tcW w:w="1134"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750" w:type="dxa"/>
            <w:vMerge/>
            <w:tcBorders>
              <w:top w:val="nil"/>
            </w:tcBorders>
            <w:shd w:val="clear" w:color="auto" w:fill="365F92"/>
          </w:tcPr>
          <w:p>
            <w:pPr>
              <w:rPr>
                <w:sz w:val="2"/>
                <w:szCs w:val="2"/>
              </w:rPr>
            </w:pPr>
          </w:p>
        </w:tc>
        <w:tc>
          <w:tcPr>
            <w:tcW w:w="1198" w:type="dxa"/>
            <w:shd w:val="clear" w:color="auto" w:fill="365F92"/>
          </w:tcPr>
          <w:p>
            <w:pPr>
              <w:pStyle w:val="TableParagraph"/>
              <w:spacing w:before="47"/>
              <w:ind w:left="23" w:right="13"/>
              <w:jc w:val="center"/>
              <w:rPr>
                <w:sz w:val="20"/>
              </w:rPr>
            </w:pPr>
            <w:r>
              <w:rPr>
                <w:spacing w:val="-10"/>
                <w:sz w:val="20"/>
              </w:rPr>
              <w:t>%</w:t>
            </w:r>
          </w:p>
        </w:tc>
      </w:tr>
      <w:tr>
        <w:trPr>
          <w:trHeight w:val="325" w:hRule="atLeast"/>
        </w:trPr>
        <w:tc>
          <w:tcPr>
            <w:tcW w:w="1313" w:type="dxa"/>
          </w:tcPr>
          <w:p>
            <w:pPr>
              <w:pStyle w:val="TableParagraph"/>
              <w:spacing w:before="49"/>
              <w:ind w:left="69"/>
              <w:rPr>
                <w:b/>
                <w:sz w:val="20"/>
              </w:rPr>
            </w:pPr>
            <w:r>
              <w:rPr>
                <w:b/>
                <w:spacing w:val="-2"/>
                <w:sz w:val="20"/>
              </w:rPr>
              <w:t>4.3.3.</w:t>
            </w:r>
          </w:p>
        </w:tc>
        <w:tc>
          <w:tcPr>
            <w:tcW w:w="2082" w:type="dxa"/>
          </w:tcPr>
          <w:p>
            <w:pPr>
              <w:pStyle w:val="TableParagraph"/>
              <w:spacing w:before="49"/>
              <w:ind w:left="68"/>
              <w:rPr>
                <w:b/>
                <w:sz w:val="20"/>
              </w:rPr>
            </w:pPr>
            <w:r>
              <w:rPr>
                <w:b/>
                <w:sz w:val="20"/>
              </w:rPr>
              <w:t>Intereses</w:t>
            </w:r>
            <w:r>
              <w:rPr>
                <w:b/>
                <w:spacing w:val="-8"/>
                <w:sz w:val="20"/>
              </w:rPr>
              <w:t> </w:t>
            </w:r>
            <w:r>
              <w:rPr>
                <w:b/>
                <w:spacing w:val="-2"/>
                <w:sz w:val="20"/>
              </w:rPr>
              <w:t>Moratorios</w:t>
            </w:r>
          </w:p>
        </w:tc>
        <w:tc>
          <w:tcPr>
            <w:tcW w:w="1134" w:type="dxa"/>
          </w:tcPr>
          <w:p>
            <w:pPr>
              <w:pStyle w:val="TableParagraph"/>
              <w:spacing w:before="49"/>
              <w:ind w:left="12"/>
              <w:jc w:val="center"/>
              <w:rPr>
                <w:b/>
                <w:sz w:val="20"/>
              </w:rPr>
            </w:pPr>
            <w:r>
              <w:rPr>
                <w:b/>
                <w:spacing w:val="-5"/>
                <w:sz w:val="20"/>
              </w:rPr>
              <w:t>40</w:t>
            </w:r>
          </w:p>
        </w:tc>
        <w:tc>
          <w:tcPr>
            <w:tcW w:w="1561" w:type="dxa"/>
          </w:tcPr>
          <w:p>
            <w:pPr>
              <w:pStyle w:val="TableParagraph"/>
              <w:spacing w:before="49"/>
              <w:ind w:left="65"/>
              <w:jc w:val="center"/>
              <w:rPr>
                <w:b/>
                <w:sz w:val="20"/>
              </w:rPr>
            </w:pPr>
            <w:r>
              <w:rPr>
                <w:b/>
                <w:spacing w:val="-4"/>
                <w:sz w:val="20"/>
              </w:rPr>
              <w:t>0,00</w:t>
            </w:r>
          </w:p>
        </w:tc>
        <w:tc>
          <w:tcPr>
            <w:tcW w:w="1750" w:type="dxa"/>
          </w:tcPr>
          <w:p>
            <w:pPr>
              <w:pStyle w:val="TableParagraph"/>
              <w:spacing w:before="49"/>
              <w:ind w:left="114" w:right="105"/>
              <w:jc w:val="center"/>
              <w:rPr>
                <w:b/>
                <w:sz w:val="20"/>
              </w:rPr>
            </w:pPr>
            <w:r>
              <w:rPr>
                <w:b/>
                <w:spacing w:val="-4"/>
                <w:sz w:val="20"/>
              </w:rPr>
              <w:t>0,00</w:t>
            </w:r>
          </w:p>
        </w:tc>
        <w:tc>
          <w:tcPr>
            <w:tcW w:w="1198" w:type="dxa"/>
          </w:tcPr>
          <w:p>
            <w:pPr>
              <w:pStyle w:val="TableParagraph"/>
              <w:spacing w:before="49"/>
              <w:ind w:left="23" w:right="9"/>
              <w:jc w:val="center"/>
              <w:rPr>
                <w:b/>
                <w:sz w:val="20"/>
              </w:rPr>
            </w:pPr>
            <w:r>
              <w:rPr>
                <w:b/>
                <w:spacing w:val="-2"/>
                <w:sz w:val="20"/>
              </w:rPr>
              <w:t>0,00%</w:t>
            </w:r>
          </w:p>
        </w:tc>
      </w:tr>
    </w:tbl>
    <w:p>
      <w:pPr>
        <w:spacing w:before="241"/>
        <w:ind w:left="622" w:right="0" w:firstLine="0"/>
        <w:jc w:val="left"/>
        <w:rPr>
          <w:sz w:val="22"/>
        </w:rPr>
      </w:pPr>
      <w:r>
        <w:rPr>
          <w:b/>
          <w:spacing w:val="-2"/>
          <w:sz w:val="22"/>
        </w:rPr>
        <w:t>Revelación</w:t>
      </w:r>
      <w:r>
        <w:rPr>
          <w:spacing w:val="-2"/>
          <w:sz w:val="22"/>
        </w:rPr>
        <w:t>:</w:t>
      </w:r>
    </w:p>
    <w:p>
      <w:pPr>
        <w:pStyle w:val="BodyText"/>
        <w:spacing w:line="259" w:lineRule="auto" w:before="178"/>
        <w:ind w:left="622" w:right="979"/>
        <w:jc w:val="both"/>
      </w:pPr>
      <w:r>
        <w:rPr/>
        <w:t>La</w:t>
      </w:r>
      <w:r>
        <w:rPr>
          <w:spacing w:val="-2"/>
        </w:rPr>
        <w:t> </w:t>
      </w:r>
      <w:r>
        <w:rPr/>
        <w:t>cuenta</w:t>
      </w:r>
      <w:r>
        <w:rPr>
          <w:spacing w:val="-1"/>
        </w:rPr>
        <w:t> </w:t>
      </w:r>
      <w:r>
        <w:rPr/>
        <w:t>Intereses Moratorios,</w:t>
      </w:r>
      <w:r>
        <w:rPr>
          <w:spacing w:val="-3"/>
        </w:rPr>
        <w:t> </w:t>
      </w:r>
      <w:r>
        <w:rPr/>
        <w:t>representa</w:t>
      </w:r>
      <w:r>
        <w:rPr>
          <w:spacing w:val="-1"/>
        </w:rPr>
        <w:t> </w:t>
      </w:r>
      <w:r>
        <w:rPr/>
        <w:t>el</w:t>
      </w:r>
      <w:r>
        <w:rPr>
          <w:spacing w:val="-2"/>
        </w:rPr>
        <w:t> </w:t>
      </w:r>
      <w:r>
        <w:rPr/>
        <w:t>0,00%</w:t>
      </w:r>
      <w:r>
        <w:rPr>
          <w:spacing w:val="-2"/>
        </w:rPr>
        <w:t> </w:t>
      </w:r>
      <w:r>
        <w:rPr/>
        <w:t>del</w:t>
      </w:r>
      <w:r>
        <w:rPr>
          <w:spacing w:val="-2"/>
        </w:rPr>
        <w:t> </w:t>
      </w:r>
      <w:r>
        <w:rPr/>
        <w:t>total</w:t>
      </w:r>
      <w:r>
        <w:rPr>
          <w:spacing w:val="-2"/>
        </w:rPr>
        <w:t> </w:t>
      </w:r>
      <w:r>
        <w:rPr/>
        <w:t>del</w:t>
      </w:r>
      <w:r>
        <w:rPr>
          <w:spacing w:val="-2"/>
        </w:rPr>
        <w:t> </w:t>
      </w:r>
      <w:r>
        <w:rPr/>
        <w:t>Ingresos,</w:t>
      </w:r>
      <w:r>
        <w:rPr>
          <w:spacing w:val="-3"/>
        </w:rPr>
        <w:t> </w:t>
      </w:r>
      <w:r>
        <w:rPr/>
        <w:t>que</w:t>
      </w:r>
      <w:r>
        <w:rPr>
          <w:spacing w:val="-2"/>
        </w:rPr>
        <w:t> </w:t>
      </w:r>
      <w:r>
        <w:rPr/>
        <w:t>comparado</w:t>
      </w:r>
      <w:r>
        <w:rPr>
          <w:spacing w:val="-1"/>
        </w:rPr>
        <w:t> </w:t>
      </w:r>
      <w:r>
        <w:rPr/>
        <w:t>al</w:t>
      </w:r>
      <w:r>
        <w:rPr>
          <w:spacing w:val="-2"/>
        </w:rPr>
        <w:t> </w:t>
      </w:r>
      <w:r>
        <w:rPr/>
        <w:t>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77952">
                <wp:simplePos x="0" y="0"/>
                <wp:positionH relativeFrom="page">
                  <wp:posOffset>1080820</wp:posOffset>
                </wp:positionH>
                <wp:positionV relativeFrom="paragraph">
                  <wp:posOffset>233616</wp:posOffset>
                </wp:positionV>
                <wp:extent cx="5715000" cy="553720"/>
                <wp:effectExtent l="0" t="0" r="0" b="0"/>
                <wp:wrapTopAndBottom/>
                <wp:docPr id="496" name="Textbox 496"/>
                <wp:cNvGraphicFramePr>
                  <a:graphicFrameLocks/>
                </wp:cNvGraphicFramePr>
                <a:graphic>
                  <a:graphicData uri="http://schemas.microsoft.com/office/word/2010/wordprocessingShape">
                    <wps:wsp>
                      <wps:cNvPr id="496" name="Textbox 496"/>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94985pt;width:450pt;height:43.6pt;mso-position-horizontal-relative:page;mso-position-vertical-relative:paragraph;z-index:-15638528;mso-wrap-distance-left:0;mso-wrap-distance-right:0" type="#_x0000_t202" id="docshape47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78464">
                <wp:simplePos x="0" y="0"/>
                <wp:positionH relativeFrom="page">
                  <wp:posOffset>1062532</wp:posOffset>
                </wp:positionH>
                <wp:positionV relativeFrom="paragraph">
                  <wp:posOffset>1064577</wp:posOffset>
                </wp:positionV>
                <wp:extent cx="5649595" cy="342900"/>
                <wp:effectExtent l="0" t="0" r="0" b="0"/>
                <wp:wrapTopAndBottom/>
                <wp:docPr id="497" name="Textbox 497"/>
                <wp:cNvGraphicFramePr>
                  <a:graphicFrameLocks/>
                </wp:cNvGraphicFramePr>
                <a:graphic>
                  <a:graphicData uri="http://schemas.microsoft.com/office/word/2010/wordprocessingShape">
                    <wps:wsp>
                      <wps:cNvPr id="497" name="Textbox 497"/>
                      <wps:cNvSpPr txBox="1"/>
                      <wps:spPr>
                        <a:xfrm>
                          <a:off x="0" y="0"/>
                          <a:ext cx="5649595" cy="342900"/>
                        </a:xfrm>
                        <a:prstGeom prst="rect">
                          <a:avLst/>
                        </a:prstGeom>
                        <a:solidFill>
                          <a:srgbClr val="365F92"/>
                        </a:solidFill>
                      </wps:spPr>
                      <wps:txbx>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wps:txbx>
                      <wps:bodyPr wrap="square" lIns="0" tIns="0" rIns="0" bIns="0" rtlCol="0">
                        <a:noAutofit/>
                      </wps:bodyPr>
                    </wps:wsp>
                  </a:graphicData>
                </a:graphic>
              </wp:anchor>
            </w:drawing>
          </mc:Choice>
          <mc:Fallback>
            <w:pict>
              <v:shape style="position:absolute;margin-left:83.664001pt;margin-top:83.825005pt;width:444.85pt;height:27pt;mso-position-horizontal-relative:page;mso-position-vertical-relative:paragraph;z-index:-15638016;mso-wrap-distance-left:0;mso-wrap-distance-right:0" type="#_x0000_t202" id="docshape475" filled="true" fillcolor="#365f92" stroked="false">
                <v:textbox inset="0,0,0,0">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v:textbox>
                <v:fill type="solid"/>
                <w10:wrap type="topAndBottom"/>
              </v:shape>
            </w:pict>
          </mc:Fallback>
        </mc:AlternateContent>
      </w:r>
      <w:r>
        <w:rPr>
          <w:sz w:val="20"/>
        </w:rPr>
        <mc:AlternateContent>
          <mc:Choice Requires="wps">
            <w:drawing>
              <wp:anchor distT="0" distB="0" distL="0" distR="0" allowOverlap="1" layoutInCell="1" locked="0" behindDoc="1" simplePos="0" relativeHeight="487678976">
                <wp:simplePos x="0" y="0"/>
                <wp:positionH relativeFrom="page">
                  <wp:posOffset>1080820</wp:posOffset>
                </wp:positionH>
                <wp:positionV relativeFrom="paragraph">
                  <wp:posOffset>1512633</wp:posOffset>
                </wp:positionV>
                <wp:extent cx="5715000" cy="725805"/>
                <wp:effectExtent l="0" t="0" r="0" b="0"/>
                <wp:wrapTopAndBottom/>
                <wp:docPr id="498" name="Textbox 498"/>
                <wp:cNvGraphicFramePr>
                  <a:graphicFrameLocks/>
                </wp:cNvGraphicFramePr>
                <a:graphic>
                  <a:graphicData uri="http://schemas.microsoft.com/office/word/2010/wordprocessingShape">
                    <wps:wsp>
                      <wps:cNvPr id="498" name="Textbox 498"/>
                      <wps:cNvSpPr txBox="1"/>
                      <wps:spPr>
                        <a:xfrm>
                          <a:off x="0" y="0"/>
                          <a:ext cx="5715000" cy="7258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pPr>
                            <w:r>
                              <w:rPr/>
                              <w:t>A</w:t>
                            </w:r>
                            <w:r>
                              <w:rPr>
                                <w:spacing w:val="36"/>
                              </w:rPr>
                              <w:t> </w:t>
                            </w:r>
                            <w:r>
                              <w:rPr/>
                              <w:t>la</w:t>
                            </w:r>
                            <w:r>
                              <w:rPr>
                                <w:spacing w:val="35"/>
                              </w:rPr>
                              <w:t> </w:t>
                            </w:r>
                            <w:r>
                              <w:rPr/>
                              <w:t>fecha</w:t>
                            </w:r>
                            <w:r>
                              <w:rPr>
                                <w:spacing w:val="35"/>
                              </w:rPr>
                              <w:t> </w:t>
                            </w:r>
                            <w:r>
                              <w:rPr/>
                              <w:t>de</w:t>
                            </w:r>
                            <w:r>
                              <w:rPr>
                                <w:spacing w:val="34"/>
                              </w:rPr>
                              <w:t> </w:t>
                            </w:r>
                            <w:r>
                              <w:rPr/>
                              <w:t>emisión</w:t>
                            </w:r>
                            <w:r>
                              <w:rPr>
                                <w:spacing w:val="36"/>
                              </w:rPr>
                              <w:t> </w:t>
                            </w:r>
                            <w:r>
                              <w:rPr/>
                              <w:t>de</w:t>
                            </w:r>
                            <w:r>
                              <w:rPr>
                                <w:spacing w:val="34"/>
                              </w:rPr>
                              <w:t> </w:t>
                            </w:r>
                            <w:r>
                              <w:rPr/>
                              <w:t>los</w:t>
                            </w:r>
                            <w:r>
                              <w:rPr>
                                <w:spacing w:val="37"/>
                              </w:rPr>
                              <w:t> </w:t>
                            </w:r>
                            <w:r>
                              <w:rPr/>
                              <w:t>presentes</w:t>
                            </w:r>
                            <w:r>
                              <w:rPr>
                                <w:spacing w:val="37"/>
                              </w:rPr>
                              <w:t> </w:t>
                            </w:r>
                            <w:r>
                              <w:rPr/>
                              <w:t>Estados</w:t>
                            </w:r>
                            <w:r>
                              <w:rPr>
                                <w:spacing w:val="37"/>
                              </w:rPr>
                              <w:t> </w:t>
                            </w:r>
                            <w:r>
                              <w:rPr/>
                              <w:t>Financieros,</w:t>
                            </w:r>
                            <w:r>
                              <w:rPr>
                                <w:spacing w:val="36"/>
                              </w:rPr>
                              <w:t> </w:t>
                            </w:r>
                            <w:r>
                              <w:rPr/>
                              <w:t>el</w:t>
                            </w:r>
                            <w:r>
                              <w:rPr>
                                <w:spacing w:val="35"/>
                              </w:rPr>
                              <w:t> </w:t>
                            </w:r>
                            <w:r>
                              <w:rPr/>
                              <w:t>IMAS</w:t>
                            </w:r>
                            <w:r>
                              <w:rPr>
                                <w:spacing w:val="37"/>
                              </w:rPr>
                              <w:t> </w:t>
                            </w:r>
                            <w:r>
                              <w:rPr/>
                              <w:t>no</w:t>
                            </w:r>
                            <w:r>
                              <w:rPr>
                                <w:spacing w:val="37"/>
                              </w:rPr>
                              <w:t> </w:t>
                            </w:r>
                            <w:r>
                              <w:rPr/>
                              <w:t>posee</w:t>
                            </w:r>
                            <w:r>
                              <w:rPr>
                                <w:spacing w:val="35"/>
                              </w:rPr>
                              <w:t> </w:t>
                            </w:r>
                            <w:r>
                              <w:rPr/>
                              <w:t>ni</w:t>
                            </w:r>
                            <w:r>
                              <w:rPr>
                                <w:spacing w:val="35"/>
                              </w:rPr>
                              <w:t> </w:t>
                            </w:r>
                            <w:r>
                              <w:rPr/>
                              <w:t>ha</w:t>
                            </w:r>
                            <w:r>
                              <w:rPr>
                                <w:spacing w:val="35"/>
                              </w:rPr>
                              <w:t> </w:t>
                            </w:r>
                            <w:r>
                              <w:rPr/>
                              <w:t>generado transacciones o registros relacionados con ingresos por intereses moratorios.</w:t>
                            </w:r>
                          </w:p>
                        </w:txbxContent>
                      </wps:txbx>
                      <wps:bodyPr wrap="square" lIns="0" tIns="0" rIns="0" bIns="0" rtlCol="0">
                        <a:noAutofit/>
                      </wps:bodyPr>
                    </wps:wsp>
                  </a:graphicData>
                </a:graphic>
              </wp:anchor>
            </w:drawing>
          </mc:Choice>
          <mc:Fallback>
            <w:pict>
              <v:shape style="position:absolute;margin-left:85.103996pt;margin-top:119.105019pt;width:450pt;height:57.15pt;mso-position-horizontal-relative:page;mso-position-vertical-relative:paragraph;z-index:-15637504;mso-wrap-distance-left:0;mso-wrap-distance-right:0" type="#_x0000_t202" id="docshape47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pPr>
                      <w:r>
                        <w:rPr/>
                        <w:t>A</w:t>
                      </w:r>
                      <w:r>
                        <w:rPr>
                          <w:spacing w:val="36"/>
                        </w:rPr>
                        <w:t> </w:t>
                      </w:r>
                      <w:r>
                        <w:rPr/>
                        <w:t>la</w:t>
                      </w:r>
                      <w:r>
                        <w:rPr>
                          <w:spacing w:val="35"/>
                        </w:rPr>
                        <w:t> </w:t>
                      </w:r>
                      <w:r>
                        <w:rPr/>
                        <w:t>fecha</w:t>
                      </w:r>
                      <w:r>
                        <w:rPr>
                          <w:spacing w:val="35"/>
                        </w:rPr>
                        <w:t> </w:t>
                      </w:r>
                      <w:r>
                        <w:rPr/>
                        <w:t>de</w:t>
                      </w:r>
                      <w:r>
                        <w:rPr>
                          <w:spacing w:val="34"/>
                        </w:rPr>
                        <w:t> </w:t>
                      </w:r>
                      <w:r>
                        <w:rPr/>
                        <w:t>emisión</w:t>
                      </w:r>
                      <w:r>
                        <w:rPr>
                          <w:spacing w:val="36"/>
                        </w:rPr>
                        <w:t> </w:t>
                      </w:r>
                      <w:r>
                        <w:rPr/>
                        <w:t>de</w:t>
                      </w:r>
                      <w:r>
                        <w:rPr>
                          <w:spacing w:val="34"/>
                        </w:rPr>
                        <w:t> </w:t>
                      </w:r>
                      <w:r>
                        <w:rPr/>
                        <w:t>los</w:t>
                      </w:r>
                      <w:r>
                        <w:rPr>
                          <w:spacing w:val="37"/>
                        </w:rPr>
                        <w:t> </w:t>
                      </w:r>
                      <w:r>
                        <w:rPr/>
                        <w:t>presentes</w:t>
                      </w:r>
                      <w:r>
                        <w:rPr>
                          <w:spacing w:val="37"/>
                        </w:rPr>
                        <w:t> </w:t>
                      </w:r>
                      <w:r>
                        <w:rPr/>
                        <w:t>Estados</w:t>
                      </w:r>
                      <w:r>
                        <w:rPr>
                          <w:spacing w:val="37"/>
                        </w:rPr>
                        <w:t> </w:t>
                      </w:r>
                      <w:r>
                        <w:rPr/>
                        <w:t>Financieros,</w:t>
                      </w:r>
                      <w:r>
                        <w:rPr>
                          <w:spacing w:val="36"/>
                        </w:rPr>
                        <w:t> </w:t>
                      </w:r>
                      <w:r>
                        <w:rPr/>
                        <w:t>el</w:t>
                      </w:r>
                      <w:r>
                        <w:rPr>
                          <w:spacing w:val="35"/>
                        </w:rPr>
                        <w:t> </w:t>
                      </w:r>
                      <w:r>
                        <w:rPr/>
                        <w:t>IMAS</w:t>
                      </w:r>
                      <w:r>
                        <w:rPr>
                          <w:spacing w:val="37"/>
                        </w:rPr>
                        <w:t> </w:t>
                      </w:r>
                      <w:r>
                        <w:rPr/>
                        <w:t>no</w:t>
                      </w:r>
                      <w:r>
                        <w:rPr>
                          <w:spacing w:val="37"/>
                        </w:rPr>
                        <w:t> </w:t>
                      </w:r>
                      <w:r>
                        <w:rPr/>
                        <w:t>posee</w:t>
                      </w:r>
                      <w:r>
                        <w:rPr>
                          <w:spacing w:val="35"/>
                        </w:rPr>
                        <w:t> </w:t>
                      </w:r>
                      <w:r>
                        <w:rPr/>
                        <w:t>ni</w:t>
                      </w:r>
                      <w:r>
                        <w:rPr>
                          <w:spacing w:val="35"/>
                        </w:rPr>
                        <w:t> </w:t>
                      </w:r>
                      <w:r>
                        <w:rPr/>
                        <w:t>ha</w:t>
                      </w:r>
                      <w:r>
                        <w:rPr>
                          <w:spacing w:val="35"/>
                        </w:rPr>
                        <w:t> </w:t>
                      </w:r>
                      <w:r>
                        <w:rPr/>
                        <w:t>generado transacciones o registros relacionados con ingresos por intereses moratorios.</w:t>
                      </w:r>
                    </w:p>
                  </w:txbxContent>
                </v:textbox>
                <v:stroke dashstyle="solid"/>
                <w10:wrap type="topAndBottom"/>
              </v:shape>
            </w:pict>
          </mc:Fallback>
        </mc:AlternateContent>
      </w:r>
    </w:p>
    <w:p>
      <w:pPr>
        <w:pStyle w:val="BodyText"/>
        <w:spacing w:before="184"/>
        <w:rPr>
          <w:sz w:val="20"/>
        </w:rPr>
      </w:pPr>
    </w:p>
    <w:p>
      <w:pPr>
        <w:pStyle w:val="BodyText"/>
        <w:spacing w:before="11"/>
        <w:rPr>
          <w:sz w:val="11"/>
        </w:rPr>
      </w:pPr>
    </w:p>
    <w:p>
      <w:pPr>
        <w:pStyle w:val="BodyText"/>
        <w:spacing w:after="0"/>
        <w:rPr>
          <w:sz w:val="11"/>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17408">
                <wp:simplePos x="0" y="0"/>
                <wp:positionH relativeFrom="page">
                  <wp:posOffset>9525</wp:posOffset>
                </wp:positionH>
                <wp:positionV relativeFrom="page">
                  <wp:posOffset>297208</wp:posOffset>
                </wp:positionV>
                <wp:extent cx="7762875" cy="9748520"/>
                <wp:effectExtent l="0" t="0" r="0" b="0"/>
                <wp:wrapNone/>
                <wp:docPr id="499" name="Group 499"/>
                <wp:cNvGraphicFramePr>
                  <a:graphicFrameLocks/>
                </wp:cNvGraphicFramePr>
                <a:graphic>
                  <a:graphicData uri="http://schemas.microsoft.com/office/word/2010/wordprocessingGroup">
                    <wpg:wgp>
                      <wpg:cNvPr id="499" name="Group 499"/>
                      <wpg:cNvGrpSpPr/>
                      <wpg:grpSpPr>
                        <a:xfrm>
                          <a:off x="0" y="0"/>
                          <a:ext cx="7762875" cy="9748520"/>
                          <a:chExt cx="7762875" cy="9748520"/>
                        </a:xfrm>
                      </wpg:grpSpPr>
                      <pic:pic>
                        <pic:nvPicPr>
                          <pic:cNvPr id="500" name="Image 500"/>
                          <pic:cNvPicPr/>
                        </pic:nvPicPr>
                        <pic:blipFill>
                          <a:blip r:embed="rId5" cstate="print"/>
                          <a:stretch>
                            <a:fillRect/>
                          </a:stretch>
                        </pic:blipFill>
                        <pic:spPr>
                          <a:xfrm>
                            <a:off x="0" y="0"/>
                            <a:ext cx="7762874" cy="9748489"/>
                          </a:xfrm>
                          <a:prstGeom prst="rect">
                            <a:avLst/>
                          </a:prstGeom>
                        </pic:spPr>
                      </pic:pic>
                      <wps:wsp>
                        <wps:cNvPr id="501" name="Graphic 50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02" name="Image 502"/>
                          <pic:cNvPicPr/>
                        </pic:nvPicPr>
                        <pic:blipFill>
                          <a:blip r:embed="rId55" cstate="print"/>
                          <a:stretch>
                            <a:fillRect/>
                          </a:stretch>
                        </pic:blipFill>
                        <pic:spPr>
                          <a:xfrm>
                            <a:off x="1670049" y="5434555"/>
                            <a:ext cx="4510659" cy="67373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99072" id="docshapegroup477" coordorigin="15,468" coordsize="12225,15352">
                <v:shape style="position:absolute;left:15;top:468;width:12225;height:15352" type="#_x0000_t75" id="docshape478" stroked="false">
                  <v:imagedata r:id="rId5" o:title=""/>
                </v:shape>
                <v:rect style="position:absolute;left:1673;top:2028;width:8897;height:15" id="docshape479" filled="true" fillcolor="#000000" stroked="false">
                  <v:fill type="solid"/>
                </v:rect>
                <v:shape style="position:absolute;left:2645;top:9026;width:7104;height:1061" type="#_x0000_t75" id="docshape480" stroked="false">
                  <v:imagedata r:id="rId55" o:title=""/>
                </v:shape>
                <w10:wrap type="none"/>
              </v:group>
            </w:pict>
          </mc:Fallback>
        </mc:AlternateContent>
      </w:r>
      <w:r>
        <w:rPr>
          <w:color w:val="172951"/>
          <w:sz w:val="20"/>
        </w:rPr>
        <w:t>Pág.</w:t>
      </w:r>
      <w:r>
        <w:rPr>
          <w:color w:val="172951"/>
          <w:spacing w:val="-7"/>
          <w:sz w:val="20"/>
        </w:rPr>
        <w:t> </w:t>
      </w:r>
      <w:r>
        <w:rPr>
          <w:color w:val="172951"/>
          <w:spacing w:val="-5"/>
          <w:sz w:val="20"/>
        </w:rPr>
        <w:t>103</w:t>
      </w:r>
    </w:p>
    <w:p>
      <w:pPr>
        <w:pStyle w:val="ListParagraph"/>
        <w:numPr>
          <w:ilvl w:val="1"/>
          <w:numId w:val="39"/>
        </w:numPr>
        <w:tabs>
          <w:tab w:pos="945" w:val="left" w:leader="none"/>
        </w:tabs>
        <w:spacing w:line="398" w:lineRule="auto" w:before="218" w:after="0"/>
        <w:ind w:left="622" w:right="4022" w:firstLine="0"/>
        <w:jc w:val="left"/>
        <w:rPr>
          <w:b/>
          <w:sz w:val="22"/>
        </w:rPr>
      </w:pPr>
      <w:bookmarkStart w:name="_bookmark82" w:id="83"/>
      <w:bookmarkEnd w:id="83"/>
      <w:r>
        <w:rPr/>
      </w:r>
      <w:r>
        <w:rPr>
          <w:b/>
          <w:color w:val="1F3762"/>
          <w:sz w:val="22"/>
        </w:rPr>
        <w:t>INGRESOS</w:t>
      </w:r>
      <w:r>
        <w:rPr>
          <w:b/>
          <w:color w:val="1F3762"/>
          <w:spacing w:val="-5"/>
          <w:sz w:val="22"/>
        </w:rPr>
        <w:t> </w:t>
      </w:r>
      <w:r>
        <w:rPr>
          <w:b/>
          <w:color w:val="1F3762"/>
          <w:sz w:val="22"/>
        </w:rPr>
        <w:t>Y</w:t>
      </w:r>
      <w:r>
        <w:rPr>
          <w:b/>
          <w:color w:val="1F3762"/>
          <w:spacing w:val="-9"/>
          <w:sz w:val="22"/>
        </w:rPr>
        <w:t> </w:t>
      </w:r>
      <w:r>
        <w:rPr>
          <w:b/>
          <w:color w:val="1F3762"/>
          <w:sz w:val="22"/>
        </w:rPr>
        <w:t>RESULTADOS</w:t>
      </w:r>
      <w:r>
        <w:rPr>
          <w:b/>
          <w:color w:val="1F3762"/>
          <w:spacing w:val="-6"/>
          <w:sz w:val="22"/>
        </w:rPr>
        <w:t> </w:t>
      </w:r>
      <w:r>
        <w:rPr>
          <w:b/>
          <w:color w:val="1F3762"/>
          <w:sz w:val="22"/>
        </w:rPr>
        <w:t>POSITIVOS</w:t>
      </w:r>
      <w:r>
        <w:rPr>
          <w:b/>
          <w:color w:val="1F3762"/>
          <w:spacing w:val="-6"/>
          <w:sz w:val="22"/>
        </w:rPr>
        <w:t> </w:t>
      </w:r>
      <w:r>
        <w:rPr>
          <w:b/>
          <w:color w:val="1F3762"/>
          <w:sz w:val="22"/>
        </w:rPr>
        <w:t>POR</w:t>
      </w:r>
      <w:r>
        <w:rPr>
          <w:b/>
          <w:color w:val="1F3762"/>
          <w:spacing w:val="-6"/>
          <w:sz w:val="22"/>
        </w:rPr>
        <w:t> </w:t>
      </w:r>
      <w:r>
        <w:rPr>
          <w:b/>
          <w:color w:val="1F3762"/>
          <w:sz w:val="22"/>
        </w:rPr>
        <w:t>VENTAS </w:t>
      </w:r>
      <w:bookmarkStart w:name="_bookmark83" w:id="84"/>
      <w:bookmarkEnd w:id="84"/>
      <w:r>
        <w:rPr>
          <w:b/>
          <w:color w:val="1F3762"/>
          <w:sz w:val="22"/>
        </w:rPr>
      </w:r>
      <w:r>
        <w:rPr>
          <w:b/>
          <w:sz w:val="22"/>
        </w:rPr>
        <w:t>NOTA N° 41</w:t>
      </w:r>
    </w:p>
    <w:p>
      <w:pPr>
        <w:pStyle w:val="Heading6"/>
        <w:spacing w:before="201"/>
        <w:ind w:left="622"/>
      </w:pPr>
      <w:r>
        <w:rPr/>
        <w:t>Ventas</w:t>
      </w:r>
      <w:r>
        <w:rPr>
          <w:spacing w:val="-3"/>
        </w:rPr>
        <w:t> </w:t>
      </w:r>
      <w:r>
        <w:rPr/>
        <w:t>de</w:t>
      </w:r>
      <w:r>
        <w:rPr>
          <w:spacing w:val="-1"/>
        </w:rPr>
        <w:t> </w:t>
      </w:r>
      <w:r>
        <w:rPr/>
        <w:t>bienes</w:t>
      </w:r>
      <w:r>
        <w:rPr>
          <w:spacing w:val="-1"/>
        </w:rPr>
        <w:t> </w:t>
      </w:r>
      <w:r>
        <w:rPr/>
        <w:t>y</w:t>
      </w:r>
      <w:r>
        <w:rPr>
          <w:spacing w:val="-3"/>
        </w:rPr>
        <w:t> </w:t>
      </w:r>
      <w:r>
        <w:rPr>
          <w:spacing w:val="-2"/>
        </w:rPr>
        <w:t>servicios</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6"/>
        <w:gridCol w:w="2436"/>
        <w:gridCol w:w="573"/>
        <w:gridCol w:w="1982"/>
        <w:gridCol w:w="1701"/>
        <w:gridCol w:w="1053"/>
      </w:tblGrid>
      <w:tr>
        <w:trPr>
          <w:trHeight w:val="323" w:hRule="atLeast"/>
        </w:trPr>
        <w:tc>
          <w:tcPr>
            <w:tcW w:w="1286" w:type="dxa"/>
            <w:vMerge w:val="restart"/>
            <w:shd w:val="clear" w:color="auto" w:fill="365F92"/>
          </w:tcPr>
          <w:p>
            <w:pPr>
              <w:pStyle w:val="TableParagraph"/>
              <w:spacing w:before="130"/>
              <w:ind w:left="69"/>
              <w:rPr>
                <w:b/>
                <w:sz w:val="20"/>
              </w:rPr>
            </w:pPr>
            <w:r>
              <w:rPr>
                <w:b/>
                <w:color w:val="FFFFFF"/>
                <w:spacing w:val="-2"/>
                <w:sz w:val="20"/>
              </w:rPr>
              <w:t>Cuenta</w:t>
            </w:r>
          </w:p>
        </w:tc>
        <w:tc>
          <w:tcPr>
            <w:tcW w:w="2436" w:type="dxa"/>
            <w:vMerge w:val="restart"/>
            <w:shd w:val="clear" w:color="auto" w:fill="365F92"/>
          </w:tcPr>
          <w:p>
            <w:pPr>
              <w:pStyle w:val="TableParagraph"/>
              <w:spacing w:before="219"/>
              <w:ind w:left="737"/>
              <w:rPr>
                <w:b/>
                <w:sz w:val="20"/>
              </w:rPr>
            </w:pPr>
            <w:r>
              <w:rPr>
                <w:b/>
                <w:color w:val="FFFFFF"/>
                <w:spacing w:val="-2"/>
                <w:sz w:val="20"/>
              </w:rPr>
              <w:t>Descripción</w:t>
            </w:r>
          </w:p>
        </w:tc>
        <w:tc>
          <w:tcPr>
            <w:tcW w:w="573" w:type="dxa"/>
            <w:vMerge w:val="restart"/>
            <w:shd w:val="clear" w:color="auto" w:fill="365F92"/>
          </w:tcPr>
          <w:p>
            <w:pPr>
              <w:pStyle w:val="TableParagraph"/>
              <w:spacing w:before="219"/>
              <w:ind w:left="89"/>
              <w:rPr>
                <w:b/>
                <w:sz w:val="20"/>
              </w:rPr>
            </w:pPr>
            <w:r>
              <w:rPr>
                <w:b/>
                <w:color w:val="FFFFFF"/>
                <w:spacing w:val="-4"/>
                <w:sz w:val="20"/>
              </w:rPr>
              <w:t>Nota</w:t>
            </w:r>
          </w:p>
        </w:tc>
        <w:tc>
          <w:tcPr>
            <w:tcW w:w="1982" w:type="dxa"/>
            <w:vMerge w:val="restart"/>
            <w:shd w:val="clear" w:color="auto" w:fill="365F92"/>
          </w:tcPr>
          <w:p>
            <w:pPr>
              <w:pStyle w:val="TableParagraph"/>
              <w:spacing w:before="219"/>
              <w:ind w:left="419"/>
              <w:rPr>
                <w:b/>
                <w:sz w:val="20"/>
              </w:rPr>
            </w:pPr>
            <w:r>
              <w:rPr>
                <w:b/>
                <w:color w:val="FFFFFF"/>
                <w:sz w:val="20"/>
              </w:rPr>
              <w:t>Periodo</w:t>
            </w:r>
            <w:r>
              <w:rPr>
                <w:b/>
                <w:color w:val="FFFFFF"/>
                <w:spacing w:val="-5"/>
                <w:sz w:val="20"/>
              </w:rPr>
              <w:t> </w:t>
            </w:r>
            <w:r>
              <w:rPr>
                <w:b/>
                <w:color w:val="FFFFFF"/>
                <w:spacing w:val="-2"/>
                <w:sz w:val="20"/>
              </w:rPr>
              <w:t>Actual</w:t>
            </w:r>
          </w:p>
        </w:tc>
        <w:tc>
          <w:tcPr>
            <w:tcW w:w="1701" w:type="dxa"/>
            <w:vMerge w:val="restart"/>
            <w:shd w:val="clear" w:color="auto" w:fill="365F92"/>
          </w:tcPr>
          <w:p>
            <w:pPr>
              <w:pStyle w:val="TableParagraph"/>
              <w:spacing w:before="219"/>
              <w:ind w:left="194"/>
              <w:rPr>
                <w:b/>
                <w:sz w:val="20"/>
              </w:rPr>
            </w:pPr>
            <w:r>
              <w:rPr>
                <w:b/>
                <w:color w:val="FFFFFF"/>
                <w:sz w:val="20"/>
              </w:rPr>
              <w:t>Periodo</w:t>
            </w:r>
            <w:r>
              <w:rPr>
                <w:b/>
                <w:color w:val="FFFFFF"/>
                <w:spacing w:val="-5"/>
                <w:sz w:val="20"/>
              </w:rPr>
              <w:t> </w:t>
            </w:r>
            <w:r>
              <w:rPr>
                <w:b/>
                <w:color w:val="FFFFFF"/>
                <w:spacing w:val="-2"/>
                <w:sz w:val="20"/>
              </w:rPr>
              <w:t>Anterior</w:t>
            </w:r>
          </w:p>
        </w:tc>
        <w:tc>
          <w:tcPr>
            <w:tcW w:w="1053" w:type="dxa"/>
            <w:shd w:val="clear" w:color="auto" w:fill="365F92"/>
          </w:tcPr>
          <w:p>
            <w:pPr>
              <w:pStyle w:val="TableParagraph"/>
              <w:spacing w:before="46"/>
              <w:ind w:left="26" w:right="2"/>
              <w:jc w:val="center"/>
              <w:rPr>
                <w:b/>
                <w:sz w:val="20"/>
              </w:rPr>
            </w:pPr>
            <w:r>
              <w:rPr>
                <w:b/>
                <w:color w:val="FFFFFF"/>
                <w:spacing w:val="-2"/>
                <w:sz w:val="20"/>
              </w:rPr>
              <w:t>Diferencia</w:t>
            </w:r>
          </w:p>
        </w:tc>
      </w:tr>
      <w:tr>
        <w:trPr>
          <w:trHeight w:val="325" w:hRule="atLeast"/>
        </w:trPr>
        <w:tc>
          <w:tcPr>
            <w:tcW w:w="1286" w:type="dxa"/>
            <w:vMerge/>
            <w:tcBorders>
              <w:top w:val="nil"/>
            </w:tcBorders>
            <w:shd w:val="clear" w:color="auto" w:fill="365F92"/>
          </w:tcPr>
          <w:p>
            <w:pPr>
              <w:rPr>
                <w:sz w:val="2"/>
                <w:szCs w:val="2"/>
              </w:rPr>
            </w:pPr>
          </w:p>
        </w:tc>
        <w:tc>
          <w:tcPr>
            <w:tcW w:w="2436" w:type="dxa"/>
            <w:vMerge/>
            <w:tcBorders>
              <w:top w:val="nil"/>
            </w:tcBorders>
            <w:shd w:val="clear" w:color="auto" w:fill="365F92"/>
          </w:tcPr>
          <w:p>
            <w:pPr>
              <w:rPr>
                <w:sz w:val="2"/>
                <w:szCs w:val="2"/>
              </w:rPr>
            </w:pPr>
          </w:p>
        </w:tc>
        <w:tc>
          <w:tcPr>
            <w:tcW w:w="573" w:type="dxa"/>
            <w:vMerge/>
            <w:tcBorders>
              <w:top w:val="nil"/>
            </w:tcBorders>
            <w:shd w:val="clear" w:color="auto" w:fill="365F92"/>
          </w:tcPr>
          <w:p>
            <w:pPr>
              <w:rPr>
                <w:sz w:val="2"/>
                <w:szCs w:val="2"/>
              </w:rPr>
            </w:pPr>
          </w:p>
        </w:tc>
        <w:tc>
          <w:tcPr>
            <w:tcW w:w="1982" w:type="dxa"/>
            <w:vMerge/>
            <w:tcBorders>
              <w:top w:val="nil"/>
            </w:tcBorders>
            <w:shd w:val="clear" w:color="auto" w:fill="365F92"/>
          </w:tcPr>
          <w:p>
            <w:pPr>
              <w:rPr>
                <w:sz w:val="2"/>
                <w:szCs w:val="2"/>
              </w:rPr>
            </w:pPr>
          </w:p>
        </w:tc>
        <w:tc>
          <w:tcPr>
            <w:tcW w:w="1701" w:type="dxa"/>
            <w:vMerge/>
            <w:tcBorders>
              <w:top w:val="nil"/>
            </w:tcBorders>
            <w:shd w:val="clear" w:color="auto" w:fill="365F92"/>
          </w:tcPr>
          <w:p>
            <w:pPr>
              <w:rPr>
                <w:sz w:val="2"/>
                <w:szCs w:val="2"/>
              </w:rPr>
            </w:pPr>
          </w:p>
        </w:tc>
        <w:tc>
          <w:tcPr>
            <w:tcW w:w="1053" w:type="dxa"/>
            <w:shd w:val="clear" w:color="auto" w:fill="365F92"/>
          </w:tcPr>
          <w:p>
            <w:pPr>
              <w:pStyle w:val="TableParagraph"/>
              <w:spacing w:before="49"/>
              <w:ind w:left="26" w:right="3"/>
              <w:jc w:val="center"/>
              <w:rPr>
                <w:sz w:val="20"/>
              </w:rPr>
            </w:pPr>
            <w:r>
              <w:rPr>
                <w:color w:val="FFFFFF"/>
                <w:spacing w:val="-10"/>
                <w:sz w:val="20"/>
              </w:rPr>
              <w:t>%</w:t>
            </w:r>
          </w:p>
        </w:tc>
      </w:tr>
      <w:tr>
        <w:trPr>
          <w:trHeight w:val="323" w:hRule="atLeast"/>
        </w:trPr>
        <w:tc>
          <w:tcPr>
            <w:tcW w:w="1286" w:type="dxa"/>
          </w:tcPr>
          <w:p>
            <w:pPr>
              <w:pStyle w:val="TableParagraph"/>
              <w:spacing w:before="46"/>
              <w:ind w:left="69"/>
              <w:rPr>
                <w:b/>
                <w:sz w:val="20"/>
              </w:rPr>
            </w:pPr>
            <w:r>
              <w:rPr>
                <w:b/>
                <w:spacing w:val="-2"/>
                <w:sz w:val="20"/>
              </w:rPr>
              <w:t>4.4.1.</w:t>
            </w:r>
          </w:p>
        </w:tc>
        <w:tc>
          <w:tcPr>
            <w:tcW w:w="2436" w:type="dxa"/>
          </w:tcPr>
          <w:p>
            <w:pPr>
              <w:pStyle w:val="TableParagraph"/>
              <w:spacing w:before="46"/>
              <w:ind w:left="69"/>
              <w:rPr>
                <w:b/>
                <w:sz w:val="20"/>
              </w:rPr>
            </w:pPr>
            <w:r>
              <w:rPr>
                <w:b/>
                <w:sz w:val="20"/>
              </w:rPr>
              <w:t>Ventas</w:t>
            </w:r>
            <w:r>
              <w:rPr>
                <w:b/>
                <w:spacing w:val="-4"/>
                <w:sz w:val="20"/>
              </w:rPr>
              <w:t> </w:t>
            </w:r>
            <w:r>
              <w:rPr>
                <w:b/>
                <w:sz w:val="20"/>
              </w:rPr>
              <w:t>de</w:t>
            </w:r>
            <w:r>
              <w:rPr>
                <w:b/>
                <w:spacing w:val="-4"/>
                <w:sz w:val="20"/>
              </w:rPr>
              <w:t> </w:t>
            </w:r>
            <w:r>
              <w:rPr>
                <w:b/>
                <w:sz w:val="20"/>
              </w:rPr>
              <w:t>bienes</w:t>
            </w:r>
            <w:r>
              <w:rPr>
                <w:b/>
                <w:spacing w:val="-4"/>
                <w:sz w:val="20"/>
              </w:rPr>
              <w:t> </w:t>
            </w:r>
            <w:r>
              <w:rPr>
                <w:b/>
                <w:sz w:val="20"/>
              </w:rPr>
              <w:t>y</w:t>
            </w:r>
            <w:r>
              <w:rPr>
                <w:b/>
                <w:spacing w:val="-1"/>
                <w:sz w:val="20"/>
              </w:rPr>
              <w:t> </w:t>
            </w:r>
            <w:r>
              <w:rPr>
                <w:b/>
                <w:spacing w:val="-2"/>
                <w:sz w:val="20"/>
              </w:rPr>
              <w:t>servicios</w:t>
            </w:r>
          </w:p>
        </w:tc>
        <w:tc>
          <w:tcPr>
            <w:tcW w:w="573" w:type="dxa"/>
          </w:tcPr>
          <w:p>
            <w:pPr>
              <w:pStyle w:val="TableParagraph"/>
              <w:spacing w:before="36"/>
              <w:ind w:left="178"/>
              <w:rPr>
                <w:b/>
                <w:sz w:val="22"/>
              </w:rPr>
            </w:pPr>
            <w:r>
              <w:rPr>
                <w:b/>
                <w:spacing w:val="-5"/>
                <w:sz w:val="22"/>
              </w:rPr>
              <w:t>41</w:t>
            </w:r>
          </w:p>
        </w:tc>
        <w:tc>
          <w:tcPr>
            <w:tcW w:w="1982" w:type="dxa"/>
          </w:tcPr>
          <w:p>
            <w:pPr>
              <w:pStyle w:val="TableParagraph"/>
              <w:spacing w:before="46"/>
              <w:ind w:left="428"/>
              <w:rPr>
                <w:b/>
                <w:sz w:val="20"/>
              </w:rPr>
            </w:pPr>
            <w:r>
              <w:rPr>
                <w:b/>
                <w:spacing w:val="-2"/>
                <w:sz w:val="20"/>
              </w:rPr>
              <w:t>11,205,646.30</w:t>
            </w:r>
          </w:p>
        </w:tc>
        <w:tc>
          <w:tcPr>
            <w:tcW w:w="1701" w:type="dxa"/>
          </w:tcPr>
          <w:p>
            <w:pPr>
              <w:pStyle w:val="TableParagraph"/>
              <w:spacing w:before="46"/>
              <w:ind w:left="288"/>
              <w:rPr>
                <w:b/>
                <w:sz w:val="20"/>
              </w:rPr>
            </w:pPr>
            <w:r>
              <w:rPr>
                <w:b/>
                <w:spacing w:val="-2"/>
                <w:sz w:val="20"/>
              </w:rPr>
              <w:t>11,789,955.71</w:t>
            </w:r>
          </w:p>
        </w:tc>
        <w:tc>
          <w:tcPr>
            <w:tcW w:w="1053" w:type="dxa"/>
          </w:tcPr>
          <w:p>
            <w:pPr>
              <w:pStyle w:val="TableParagraph"/>
              <w:spacing w:before="46"/>
              <w:ind w:left="26" w:right="1"/>
              <w:jc w:val="center"/>
              <w:rPr>
                <w:b/>
                <w:sz w:val="20"/>
              </w:rPr>
            </w:pPr>
            <w:r>
              <w:rPr>
                <w:b/>
                <w:spacing w:val="-2"/>
                <w:sz w:val="20"/>
              </w:rPr>
              <w:t>-4.96%</w:t>
            </w:r>
          </w:p>
        </w:tc>
      </w:tr>
    </w:tbl>
    <w:p>
      <w:pPr>
        <w:spacing w:before="241"/>
        <w:ind w:left="622" w:right="0" w:firstLine="0"/>
        <w:jc w:val="left"/>
        <w:rPr>
          <w:sz w:val="22"/>
        </w:rPr>
      </w:pPr>
      <w:r>
        <w:rPr>
          <w:b/>
          <w:spacing w:val="-2"/>
          <w:sz w:val="22"/>
        </w:rPr>
        <w:t>Revelación</w:t>
      </w:r>
      <w:r>
        <w:rPr>
          <w:spacing w:val="-2"/>
          <w:sz w:val="22"/>
        </w:rPr>
        <w:t>:</w:t>
      </w:r>
    </w:p>
    <w:p>
      <w:pPr>
        <w:pStyle w:val="BodyText"/>
        <w:spacing w:before="181"/>
        <w:ind w:left="622" w:right="975"/>
        <w:jc w:val="both"/>
      </w:pPr>
      <w:r>
        <w:rPr/>
        <w:t>La cuenta Ventas de bienes y servicios, representa el 7,75% del total del Ingresos, que comparado al periodo anterior genera una variación absoluta de ¢-584.309,41 que corresponde a una disminución del -4,96% de recursos disponibles.</w:t>
      </w:r>
    </w:p>
    <w:p>
      <w:pPr>
        <w:pStyle w:val="BodyText"/>
        <w:spacing w:before="177"/>
        <w:rPr>
          <w:sz w:val="20"/>
        </w:rPr>
      </w:pPr>
      <w:r>
        <w:rPr>
          <w:sz w:val="20"/>
        </w:rPr>
        <mc:AlternateContent>
          <mc:Choice Requires="wps">
            <w:drawing>
              <wp:anchor distT="0" distB="0" distL="0" distR="0" allowOverlap="1" layoutInCell="1" locked="0" behindDoc="1" simplePos="0" relativeHeight="487680000">
                <wp:simplePos x="0" y="0"/>
                <wp:positionH relativeFrom="page">
                  <wp:posOffset>1080820</wp:posOffset>
                </wp:positionH>
                <wp:positionV relativeFrom="paragraph">
                  <wp:posOffset>275669</wp:posOffset>
                </wp:positionV>
                <wp:extent cx="5715000" cy="3490595"/>
                <wp:effectExtent l="0" t="0" r="0" b="0"/>
                <wp:wrapTopAndBottom/>
                <wp:docPr id="503" name="Textbox 503"/>
                <wp:cNvGraphicFramePr>
                  <a:graphicFrameLocks/>
                </wp:cNvGraphicFramePr>
                <a:graphic>
                  <a:graphicData uri="http://schemas.microsoft.com/office/word/2010/wordprocessingShape">
                    <wps:wsp>
                      <wps:cNvPr id="503" name="Textbox 503"/>
                      <wps:cNvSpPr txBox="1"/>
                      <wps:spPr>
                        <a:xfrm>
                          <a:off x="0" y="0"/>
                          <a:ext cx="5715000" cy="3490595"/>
                        </a:xfrm>
                        <a:prstGeom prst="rect">
                          <a:avLst/>
                        </a:prstGeom>
                        <a:ln w="6095">
                          <a:solidFill>
                            <a:srgbClr val="000000"/>
                          </a:solidFill>
                          <a:prstDash val="solid"/>
                        </a:ln>
                      </wps:spPr>
                      <wps:txbx>
                        <w:txbxContent>
                          <w:p>
                            <w:pPr>
                              <w:spacing w:line="250" w:lineRule="exact"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ind w:left="64" w:right="61"/>
                              <w:jc w:val="both"/>
                            </w:pPr>
                            <w:r>
                              <w:rPr/>
                              <w:t>La cuenta Ventas de bienes y servicios, representa el 7,75% del total del Ingresos, que comparado al periodo anterior genera una variación absoluta de ¢ -584.309,41 que corresponde a una disminución del -4,96% de recursos disponibles, producto de mayores ventas, manteniendo la tendencia en el alta en</w:t>
                            </w:r>
                            <w:r>
                              <w:rPr>
                                <w:spacing w:val="-14"/>
                              </w:rPr>
                              <w:t> </w:t>
                            </w:r>
                            <w:r>
                              <w:rPr/>
                              <w:t>de</w:t>
                            </w:r>
                            <w:r>
                              <w:rPr>
                                <w:spacing w:val="-14"/>
                              </w:rPr>
                              <w:t> </w:t>
                            </w:r>
                            <w:r>
                              <w:rPr/>
                              <w:t>las</w:t>
                            </w:r>
                            <w:r>
                              <w:rPr>
                                <w:spacing w:val="-14"/>
                              </w:rPr>
                              <w:t> </w:t>
                            </w:r>
                            <w:r>
                              <w:rPr/>
                              <w:t>mismas,</w:t>
                            </w:r>
                            <w:r>
                              <w:rPr>
                                <w:spacing w:val="-13"/>
                              </w:rPr>
                              <w:t> </w:t>
                            </w:r>
                            <w:r>
                              <w:rPr/>
                              <w:t>a</w:t>
                            </w:r>
                            <w:r>
                              <w:rPr>
                                <w:spacing w:val="-14"/>
                              </w:rPr>
                              <w:t> </w:t>
                            </w:r>
                            <w:r>
                              <w:rPr/>
                              <w:t>pesar</w:t>
                            </w:r>
                            <w:r>
                              <w:rPr>
                                <w:spacing w:val="-14"/>
                              </w:rPr>
                              <w:t> </w:t>
                            </w:r>
                            <w:r>
                              <w:rPr/>
                              <w:t>de</w:t>
                            </w:r>
                            <w:r>
                              <w:rPr>
                                <w:spacing w:val="-14"/>
                              </w:rPr>
                              <w:t> </w:t>
                            </w:r>
                            <w:r>
                              <w:rPr/>
                              <w:t>la</w:t>
                            </w:r>
                            <w:r>
                              <w:rPr>
                                <w:spacing w:val="-13"/>
                              </w:rPr>
                              <w:t> </w:t>
                            </w:r>
                            <w:r>
                              <w:rPr/>
                              <w:t>estabilidad</w:t>
                            </w:r>
                            <w:r>
                              <w:rPr>
                                <w:spacing w:val="-14"/>
                              </w:rPr>
                              <w:t> </w:t>
                            </w:r>
                            <w:r>
                              <w:rPr/>
                              <w:t>del</w:t>
                            </w:r>
                            <w:r>
                              <w:rPr>
                                <w:spacing w:val="-14"/>
                              </w:rPr>
                              <w:t> </w:t>
                            </w:r>
                            <w:r>
                              <w:rPr/>
                              <w:t>precio</w:t>
                            </w:r>
                            <w:r>
                              <w:rPr>
                                <w:spacing w:val="-14"/>
                              </w:rPr>
                              <w:t> </w:t>
                            </w:r>
                            <w:r>
                              <w:rPr/>
                              <w:t>del</w:t>
                            </w:r>
                            <w:r>
                              <w:rPr>
                                <w:spacing w:val="-13"/>
                              </w:rPr>
                              <w:t> </w:t>
                            </w:r>
                            <w:r>
                              <w:rPr/>
                              <w:t>dólar</w:t>
                            </w:r>
                            <w:r>
                              <w:rPr>
                                <w:spacing w:val="-14"/>
                              </w:rPr>
                              <w:t> </w:t>
                            </w:r>
                            <w:r>
                              <w:rPr/>
                              <w:t>que</w:t>
                            </w:r>
                            <w:r>
                              <w:rPr>
                                <w:spacing w:val="-14"/>
                              </w:rPr>
                              <w:t> </w:t>
                            </w:r>
                            <w:r>
                              <w:rPr/>
                              <w:t>relacionada</w:t>
                            </w:r>
                            <w:r>
                              <w:rPr>
                                <w:spacing w:val="-14"/>
                              </w:rPr>
                              <w:t> </w:t>
                            </w:r>
                            <w:r>
                              <w:rPr/>
                              <w:t>con</w:t>
                            </w:r>
                            <w:r>
                              <w:rPr>
                                <w:spacing w:val="-13"/>
                              </w:rPr>
                              <w:t> </w:t>
                            </w:r>
                            <w:r>
                              <w:rPr/>
                              <w:t>las</w:t>
                            </w:r>
                            <w:r>
                              <w:rPr>
                                <w:spacing w:val="-14"/>
                              </w:rPr>
                              <w:t> </w:t>
                            </w:r>
                            <w:r>
                              <w:rPr/>
                              <w:t>ventas</w:t>
                            </w:r>
                            <w:r>
                              <w:rPr>
                                <w:spacing w:val="-14"/>
                              </w:rPr>
                              <w:t> </w:t>
                            </w:r>
                            <w:r>
                              <w:rPr/>
                              <w:t>en</w:t>
                            </w:r>
                            <w:r>
                              <w:rPr>
                                <w:spacing w:val="-14"/>
                              </w:rPr>
                              <w:t> </w:t>
                            </w:r>
                            <w:r>
                              <w:rPr/>
                              <w:t>moneda </w:t>
                            </w:r>
                            <w:r>
                              <w:rPr>
                                <w:spacing w:val="-2"/>
                              </w:rPr>
                              <w:t>extranjera.</w:t>
                            </w:r>
                          </w:p>
                          <w:p>
                            <w:pPr>
                              <w:pStyle w:val="BodyText"/>
                            </w:pPr>
                          </w:p>
                          <w:p>
                            <w:pPr>
                              <w:pStyle w:val="BodyText"/>
                              <w:spacing w:before="2"/>
                            </w:pPr>
                          </w:p>
                          <w:p>
                            <w:pPr>
                              <w:spacing w:before="1"/>
                              <w:ind w:left="64" w:right="0" w:firstLine="0"/>
                              <w:jc w:val="both"/>
                              <w:rPr>
                                <w:b/>
                                <w:sz w:val="22"/>
                              </w:rPr>
                            </w:pPr>
                            <w:r>
                              <w:rPr>
                                <w:b/>
                                <w:sz w:val="22"/>
                              </w:rPr>
                              <w:t>Detalle</w:t>
                            </w:r>
                            <w:r>
                              <w:rPr>
                                <w:b/>
                                <w:spacing w:val="-3"/>
                                <w:sz w:val="22"/>
                              </w:rPr>
                              <w:t> </w:t>
                            </w:r>
                            <w:r>
                              <w:rPr>
                                <w:b/>
                                <w:sz w:val="22"/>
                              </w:rPr>
                              <w:t>de</w:t>
                            </w:r>
                            <w:r>
                              <w:rPr>
                                <w:b/>
                                <w:spacing w:val="-1"/>
                                <w:sz w:val="22"/>
                              </w:rPr>
                              <w:t> </w:t>
                            </w:r>
                            <w:r>
                              <w:rPr>
                                <w:b/>
                                <w:sz w:val="22"/>
                              </w:rPr>
                              <w:t>la</w:t>
                            </w:r>
                            <w:r>
                              <w:rPr>
                                <w:b/>
                                <w:spacing w:val="-3"/>
                                <w:sz w:val="22"/>
                              </w:rPr>
                              <w:t> </w:t>
                            </w:r>
                            <w:r>
                              <w:rPr>
                                <w:b/>
                                <w:spacing w:val="-2"/>
                                <w:sz w:val="22"/>
                              </w:rPr>
                              <w:t>cuenta:</w:t>
                            </w:r>
                          </w:p>
                          <w:p>
                            <w:pPr>
                              <w:pStyle w:val="BodyText"/>
                              <w:rPr>
                                <w:b/>
                              </w:rPr>
                            </w:pPr>
                          </w:p>
                          <w:p>
                            <w:pPr>
                              <w:pStyle w:val="BodyText"/>
                              <w:rPr>
                                <w:b/>
                              </w:rPr>
                            </w:pPr>
                          </w:p>
                          <w:p>
                            <w:pPr>
                              <w:pStyle w:val="BodyText"/>
                              <w:rPr>
                                <w:b/>
                              </w:rPr>
                            </w:pPr>
                          </w:p>
                          <w:p>
                            <w:pPr>
                              <w:pStyle w:val="BodyText"/>
                              <w:rPr>
                                <w:b/>
                              </w:rPr>
                            </w:pPr>
                          </w:p>
                          <w:p>
                            <w:pPr>
                              <w:pStyle w:val="BodyText"/>
                              <w:spacing w:before="145"/>
                              <w:rPr>
                                <w:b/>
                              </w:rPr>
                            </w:pPr>
                          </w:p>
                          <w:p>
                            <w:pPr>
                              <w:pStyle w:val="BodyText"/>
                              <w:ind w:left="64" w:right="63"/>
                              <w:jc w:val="both"/>
                            </w:pPr>
                            <w:r>
                              <w:rPr/>
                              <w:t>Para julio 2026, los ingresos por ventas</w:t>
                            </w:r>
                            <w:r>
                              <w:rPr>
                                <w:spacing w:val="-1"/>
                              </w:rPr>
                              <w:t> </w:t>
                            </w:r>
                            <w:r>
                              <w:rPr/>
                              <w:t>que</w:t>
                            </w:r>
                            <w:r>
                              <w:rPr>
                                <w:spacing w:val="-2"/>
                              </w:rPr>
                              <w:t> </w:t>
                            </w:r>
                            <w:r>
                              <w:rPr/>
                              <w:t>se disminuyen en -4,96% respecto al año anterior, a pesar del precio del dólar el valor de las ventas en moneda extranjera tiende a la baja.</w:t>
                            </w:r>
                          </w:p>
                          <w:p>
                            <w:pPr>
                              <w:pStyle w:val="BodyText"/>
                              <w:spacing w:before="158"/>
                              <w:ind w:left="64" w:right="61"/>
                              <w:jc w:val="both"/>
                            </w:pPr>
                            <w:r>
                              <w:rPr/>
                              <w:t>El margen bruto de utilidad al 31 de julio 2026 muestra que el margen de utilidad en términos porcentuales</w:t>
                            </w:r>
                            <w:r>
                              <w:rPr>
                                <w:spacing w:val="-7"/>
                              </w:rPr>
                              <w:t> </w:t>
                            </w:r>
                            <w:r>
                              <w:rPr/>
                              <w:t>corresponde</w:t>
                            </w:r>
                            <w:r>
                              <w:rPr>
                                <w:spacing w:val="-10"/>
                              </w:rPr>
                              <w:t> </w:t>
                            </w:r>
                            <w:r>
                              <w:rPr/>
                              <w:t>al</w:t>
                            </w:r>
                            <w:r>
                              <w:rPr>
                                <w:spacing w:val="-10"/>
                              </w:rPr>
                              <w:t> </w:t>
                            </w:r>
                            <w:r>
                              <w:rPr/>
                              <w:t>35,29%</w:t>
                            </w:r>
                            <w:r>
                              <w:rPr>
                                <w:spacing w:val="-8"/>
                              </w:rPr>
                              <w:t> </w:t>
                            </w:r>
                            <w:r>
                              <w:rPr/>
                              <w:t>de</w:t>
                            </w:r>
                            <w:r>
                              <w:rPr>
                                <w:spacing w:val="-10"/>
                              </w:rPr>
                              <w:t> </w:t>
                            </w:r>
                            <w:r>
                              <w:rPr/>
                              <w:t>las</w:t>
                            </w:r>
                            <w:r>
                              <w:rPr>
                                <w:spacing w:val="-7"/>
                              </w:rPr>
                              <w:t> </w:t>
                            </w:r>
                            <w:r>
                              <w:rPr/>
                              <w:t>ventas.</w:t>
                            </w:r>
                            <w:r>
                              <w:rPr>
                                <w:spacing w:val="-9"/>
                              </w:rPr>
                              <w:t> </w:t>
                            </w:r>
                            <w:r>
                              <w:rPr/>
                              <w:t>El</w:t>
                            </w:r>
                            <w:r>
                              <w:rPr>
                                <w:spacing w:val="-11"/>
                              </w:rPr>
                              <w:t> </w:t>
                            </w:r>
                            <w:r>
                              <w:rPr/>
                              <w:t>margen</w:t>
                            </w:r>
                            <w:r>
                              <w:rPr>
                                <w:spacing w:val="-8"/>
                              </w:rPr>
                              <w:t> </w:t>
                            </w:r>
                            <w:r>
                              <w:rPr/>
                              <w:t>bruto</w:t>
                            </w:r>
                            <w:r>
                              <w:rPr>
                                <w:spacing w:val="-7"/>
                              </w:rPr>
                              <w:t> </w:t>
                            </w:r>
                            <w:r>
                              <w:rPr/>
                              <w:t>de</w:t>
                            </w:r>
                            <w:r>
                              <w:rPr>
                                <w:spacing w:val="-12"/>
                              </w:rPr>
                              <w:t> </w:t>
                            </w:r>
                            <w:r>
                              <w:rPr/>
                              <w:t>utilidad</w:t>
                            </w:r>
                            <w:r>
                              <w:rPr>
                                <w:spacing w:val="-9"/>
                              </w:rPr>
                              <w:t> </w:t>
                            </w:r>
                            <w:r>
                              <w:rPr/>
                              <w:t>representa</w:t>
                            </w:r>
                            <w:r>
                              <w:rPr>
                                <w:spacing w:val="-8"/>
                              </w:rPr>
                              <w:t> </w:t>
                            </w:r>
                            <w:r>
                              <w:rPr/>
                              <w:t>el</w:t>
                            </w:r>
                            <w:r>
                              <w:rPr>
                                <w:spacing w:val="-9"/>
                              </w:rPr>
                              <w:t> </w:t>
                            </w:r>
                            <w:r>
                              <w:rPr/>
                              <w:t>porcentaje de ingresos que queda después de cubrir el costo de los bienes vendidos. Es un indicador clave de eficiencia operativa.</w:t>
                            </w:r>
                          </w:p>
                        </w:txbxContent>
                      </wps:txbx>
                      <wps:bodyPr wrap="square" lIns="0" tIns="0" rIns="0" bIns="0" rtlCol="0">
                        <a:noAutofit/>
                      </wps:bodyPr>
                    </wps:wsp>
                  </a:graphicData>
                </a:graphic>
              </wp:anchor>
            </w:drawing>
          </mc:Choice>
          <mc:Fallback>
            <w:pict>
              <v:shape style="position:absolute;margin-left:85.103996pt;margin-top:21.706249pt;width:450pt;height:274.850pt;mso-position-horizontal-relative:page;mso-position-vertical-relative:paragraph;z-index:-15636480;mso-wrap-distance-left:0;mso-wrap-distance-right:0" type="#_x0000_t202" id="docshape481" filled="false" stroked="true" strokeweight=".47998pt" strokecolor="#000000">
                <v:textbox inset="0,0,0,0">
                  <w:txbxContent>
                    <w:p>
                      <w:pPr>
                        <w:spacing w:line="250" w:lineRule="exact"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ind w:left="64" w:right="61"/>
                        <w:jc w:val="both"/>
                      </w:pPr>
                      <w:r>
                        <w:rPr/>
                        <w:t>La cuenta Ventas de bienes y servicios, representa el 7,75% del total del Ingresos, que comparado al periodo anterior genera una variación absoluta de ¢ -584.309,41 que corresponde a una disminución del -4,96% de recursos disponibles, producto de mayores ventas, manteniendo la tendencia en el alta en</w:t>
                      </w:r>
                      <w:r>
                        <w:rPr>
                          <w:spacing w:val="-14"/>
                        </w:rPr>
                        <w:t> </w:t>
                      </w:r>
                      <w:r>
                        <w:rPr/>
                        <w:t>de</w:t>
                      </w:r>
                      <w:r>
                        <w:rPr>
                          <w:spacing w:val="-14"/>
                        </w:rPr>
                        <w:t> </w:t>
                      </w:r>
                      <w:r>
                        <w:rPr/>
                        <w:t>las</w:t>
                      </w:r>
                      <w:r>
                        <w:rPr>
                          <w:spacing w:val="-14"/>
                        </w:rPr>
                        <w:t> </w:t>
                      </w:r>
                      <w:r>
                        <w:rPr/>
                        <w:t>mismas,</w:t>
                      </w:r>
                      <w:r>
                        <w:rPr>
                          <w:spacing w:val="-13"/>
                        </w:rPr>
                        <w:t> </w:t>
                      </w:r>
                      <w:r>
                        <w:rPr/>
                        <w:t>a</w:t>
                      </w:r>
                      <w:r>
                        <w:rPr>
                          <w:spacing w:val="-14"/>
                        </w:rPr>
                        <w:t> </w:t>
                      </w:r>
                      <w:r>
                        <w:rPr/>
                        <w:t>pesar</w:t>
                      </w:r>
                      <w:r>
                        <w:rPr>
                          <w:spacing w:val="-14"/>
                        </w:rPr>
                        <w:t> </w:t>
                      </w:r>
                      <w:r>
                        <w:rPr/>
                        <w:t>de</w:t>
                      </w:r>
                      <w:r>
                        <w:rPr>
                          <w:spacing w:val="-14"/>
                        </w:rPr>
                        <w:t> </w:t>
                      </w:r>
                      <w:r>
                        <w:rPr/>
                        <w:t>la</w:t>
                      </w:r>
                      <w:r>
                        <w:rPr>
                          <w:spacing w:val="-13"/>
                        </w:rPr>
                        <w:t> </w:t>
                      </w:r>
                      <w:r>
                        <w:rPr/>
                        <w:t>estabilidad</w:t>
                      </w:r>
                      <w:r>
                        <w:rPr>
                          <w:spacing w:val="-14"/>
                        </w:rPr>
                        <w:t> </w:t>
                      </w:r>
                      <w:r>
                        <w:rPr/>
                        <w:t>del</w:t>
                      </w:r>
                      <w:r>
                        <w:rPr>
                          <w:spacing w:val="-14"/>
                        </w:rPr>
                        <w:t> </w:t>
                      </w:r>
                      <w:r>
                        <w:rPr/>
                        <w:t>precio</w:t>
                      </w:r>
                      <w:r>
                        <w:rPr>
                          <w:spacing w:val="-14"/>
                        </w:rPr>
                        <w:t> </w:t>
                      </w:r>
                      <w:r>
                        <w:rPr/>
                        <w:t>del</w:t>
                      </w:r>
                      <w:r>
                        <w:rPr>
                          <w:spacing w:val="-13"/>
                        </w:rPr>
                        <w:t> </w:t>
                      </w:r>
                      <w:r>
                        <w:rPr/>
                        <w:t>dólar</w:t>
                      </w:r>
                      <w:r>
                        <w:rPr>
                          <w:spacing w:val="-14"/>
                        </w:rPr>
                        <w:t> </w:t>
                      </w:r>
                      <w:r>
                        <w:rPr/>
                        <w:t>que</w:t>
                      </w:r>
                      <w:r>
                        <w:rPr>
                          <w:spacing w:val="-14"/>
                        </w:rPr>
                        <w:t> </w:t>
                      </w:r>
                      <w:r>
                        <w:rPr/>
                        <w:t>relacionada</w:t>
                      </w:r>
                      <w:r>
                        <w:rPr>
                          <w:spacing w:val="-14"/>
                        </w:rPr>
                        <w:t> </w:t>
                      </w:r>
                      <w:r>
                        <w:rPr/>
                        <w:t>con</w:t>
                      </w:r>
                      <w:r>
                        <w:rPr>
                          <w:spacing w:val="-13"/>
                        </w:rPr>
                        <w:t> </w:t>
                      </w:r>
                      <w:r>
                        <w:rPr/>
                        <w:t>las</w:t>
                      </w:r>
                      <w:r>
                        <w:rPr>
                          <w:spacing w:val="-14"/>
                        </w:rPr>
                        <w:t> </w:t>
                      </w:r>
                      <w:r>
                        <w:rPr/>
                        <w:t>ventas</w:t>
                      </w:r>
                      <w:r>
                        <w:rPr>
                          <w:spacing w:val="-14"/>
                        </w:rPr>
                        <w:t> </w:t>
                      </w:r>
                      <w:r>
                        <w:rPr/>
                        <w:t>en</w:t>
                      </w:r>
                      <w:r>
                        <w:rPr>
                          <w:spacing w:val="-14"/>
                        </w:rPr>
                        <w:t> </w:t>
                      </w:r>
                      <w:r>
                        <w:rPr/>
                        <w:t>moneda </w:t>
                      </w:r>
                      <w:r>
                        <w:rPr>
                          <w:spacing w:val="-2"/>
                        </w:rPr>
                        <w:t>extranjera.</w:t>
                      </w:r>
                    </w:p>
                    <w:p>
                      <w:pPr>
                        <w:pStyle w:val="BodyText"/>
                      </w:pPr>
                    </w:p>
                    <w:p>
                      <w:pPr>
                        <w:pStyle w:val="BodyText"/>
                        <w:spacing w:before="2"/>
                      </w:pPr>
                    </w:p>
                    <w:p>
                      <w:pPr>
                        <w:spacing w:before="1"/>
                        <w:ind w:left="64" w:right="0" w:firstLine="0"/>
                        <w:jc w:val="both"/>
                        <w:rPr>
                          <w:b/>
                          <w:sz w:val="22"/>
                        </w:rPr>
                      </w:pPr>
                      <w:r>
                        <w:rPr>
                          <w:b/>
                          <w:sz w:val="22"/>
                        </w:rPr>
                        <w:t>Detalle</w:t>
                      </w:r>
                      <w:r>
                        <w:rPr>
                          <w:b/>
                          <w:spacing w:val="-3"/>
                          <w:sz w:val="22"/>
                        </w:rPr>
                        <w:t> </w:t>
                      </w:r>
                      <w:r>
                        <w:rPr>
                          <w:b/>
                          <w:sz w:val="22"/>
                        </w:rPr>
                        <w:t>de</w:t>
                      </w:r>
                      <w:r>
                        <w:rPr>
                          <w:b/>
                          <w:spacing w:val="-1"/>
                          <w:sz w:val="22"/>
                        </w:rPr>
                        <w:t> </w:t>
                      </w:r>
                      <w:r>
                        <w:rPr>
                          <w:b/>
                          <w:sz w:val="22"/>
                        </w:rPr>
                        <w:t>la</w:t>
                      </w:r>
                      <w:r>
                        <w:rPr>
                          <w:b/>
                          <w:spacing w:val="-3"/>
                          <w:sz w:val="22"/>
                        </w:rPr>
                        <w:t> </w:t>
                      </w:r>
                      <w:r>
                        <w:rPr>
                          <w:b/>
                          <w:spacing w:val="-2"/>
                          <w:sz w:val="22"/>
                        </w:rPr>
                        <w:t>cuenta:</w:t>
                      </w:r>
                    </w:p>
                    <w:p>
                      <w:pPr>
                        <w:pStyle w:val="BodyText"/>
                        <w:rPr>
                          <w:b/>
                        </w:rPr>
                      </w:pPr>
                    </w:p>
                    <w:p>
                      <w:pPr>
                        <w:pStyle w:val="BodyText"/>
                        <w:rPr>
                          <w:b/>
                        </w:rPr>
                      </w:pPr>
                    </w:p>
                    <w:p>
                      <w:pPr>
                        <w:pStyle w:val="BodyText"/>
                        <w:rPr>
                          <w:b/>
                        </w:rPr>
                      </w:pPr>
                    </w:p>
                    <w:p>
                      <w:pPr>
                        <w:pStyle w:val="BodyText"/>
                        <w:rPr>
                          <w:b/>
                        </w:rPr>
                      </w:pPr>
                    </w:p>
                    <w:p>
                      <w:pPr>
                        <w:pStyle w:val="BodyText"/>
                        <w:spacing w:before="145"/>
                        <w:rPr>
                          <w:b/>
                        </w:rPr>
                      </w:pPr>
                    </w:p>
                    <w:p>
                      <w:pPr>
                        <w:pStyle w:val="BodyText"/>
                        <w:ind w:left="64" w:right="63"/>
                        <w:jc w:val="both"/>
                      </w:pPr>
                      <w:r>
                        <w:rPr/>
                        <w:t>Para julio 2026, los ingresos por ventas</w:t>
                      </w:r>
                      <w:r>
                        <w:rPr>
                          <w:spacing w:val="-1"/>
                        </w:rPr>
                        <w:t> </w:t>
                      </w:r>
                      <w:r>
                        <w:rPr/>
                        <w:t>que</w:t>
                      </w:r>
                      <w:r>
                        <w:rPr>
                          <w:spacing w:val="-2"/>
                        </w:rPr>
                        <w:t> </w:t>
                      </w:r>
                      <w:r>
                        <w:rPr/>
                        <w:t>se disminuyen en -4,96% respecto al año anterior, a pesar del precio del dólar el valor de las ventas en moneda extranjera tiende a la baja.</w:t>
                      </w:r>
                    </w:p>
                    <w:p>
                      <w:pPr>
                        <w:pStyle w:val="BodyText"/>
                        <w:spacing w:before="158"/>
                        <w:ind w:left="64" w:right="61"/>
                        <w:jc w:val="both"/>
                      </w:pPr>
                      <w:r>
                        <w:rPr/>
                        <w:t>El margen bruto de utilidad al 31 de julio 2026 muestra que el margen de utilidad en términos porcentuales</w:t>
                      </w:r>
                      <w:r>
                        <w:rPr>
                          <w:spacing w:val="-7"/>
                        </w:rPr>
                        <w:t> </w:t>
                      </w:r>
                      <w:r>
                        <w:rPr/>
                        <w:t>corresponde</w:t>
                      </w:r>
                      <w:r>
                        <w:rPr>
                          <w:spacing w:val="-10"/>
                        </w:rPr>
                        <w:t> </w:t>
                      </w:r>
                      <w:r>
                        <w:rPr/>
                        <w:t>al</w:t>
                      </w:r>
                      <w:r>
                        <w:rPr>
                          <w:spacing w:val="-10"/>
                        </w:rPr>
                        <w:t> </w:t>
                      </w:r>
                      <w:r>
                        <w:rPr/>
                        <w:t>35,29%</w:t>
                      </w:r>
                      <w:r>
                        <w:rPr>
                          <w:spacing w:val="-8"/>
                        </w:rPr>
                        <w:t> </w:t>
                      </w:r>
                      <w:r>
                        <w:rPr/>
                        <w:t>de</w:t>
                      </w:r>
                      <w:r>
                        <w:rPr>
                          <w:spacing w:val="-10"/>
                        </w:rPr>
                        <w:t> </w:t>
                      </w:r>
                      <w:r>
                        <w:rPr/>
                        <w:t>las</w:t>
                      </w:r>
                      <w:r>
                        <w:rPr>
                          <w:spacing w:val="-7"/>
                        </w:rPr>
                        <w:t> </w:t>
                      </w:r>
                      <w:r>
                        <w:rPr/>
                        <w:t>ventas.</w:t>
                      </w:r>
                      <w:r>
                        <w:rPr>
                          <w:spacing w:val="-9"/>
                        </w:rPr>
                        <w:t> </w:t>
                      </w:r>
                      <w:r>
                        <w:rPr/>
                        <w:t>El</w:t>
                      </w:r>
                      <w:r>
                        <w:rPr>
                          <w:spacing w:val="-11"/>
                        </w:rPr>
                        <w:t> </w:t>
                      </w:r>
                      <w:r>
                        <w:rPr/>
                        <w:t>margen</w:t>
                      </w:r>
                      <w:r>
                        <w:rPr>
                          <w:spacing w:val="-8"/>
                        </w:rPr>
                        <w:t> </w:t>
                      </w:r>
                      <w:r>
                        <w:rPr/>
                        <w:t>bruto</w:t>
                      </w:r>
                      <w:r>
                        <w:rPr>
                          <w:spacing w:val="-7"/>
                        </w:rPr>
                        <w:t> </w:t>
                      </w:r>
                      <w:r>
                        <w:rPr/>
                        <w:t>de</w:t>
                      </w:r>
                      <w:r>
                        <w:rPr>
                          <w:spacing w:val="-12"/>
                        </w:rPr>
                        <w:t> </w:t>
                      </w:r>
                      <w:r>
                        <w:rPr/>
                        <w:t>utilidad</w:t>
                      </w:r>
                      <w:r>
                        <w:rPr>
                          <w:spacing w:val="-9"/>
                        </w:rPr>
                        <w:t> </w:t>
                      </w:r>
                      <w:r>
                        <w:rPr/>
                        <w:t>representa</w:t>
                      </w:r>
                      <w:r>
                        <w:rPr>
                          <w:spacing w:val="-8"/>
                        </w:rPr>
                        <w:t> </w:t>
                      </w:r>
                      <w:r>
                        <w:rPr/>
                        <w:t>el</w:t>
                      </w:r>
                      <w:r>
                        <w:rPr>
                          <w:spacing w:val="-9"/>
                        </w:rPr>
                        <w:t> </w:t>
                      </w:r>
                      <w:r>
                        <w:rPr/>
                        <w:t>porcentaje de ingresos que queda después de cubrir el costo de los bienes vendidos. Es un indicador clave de eficiencia operativa.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18944">
                <wp:simplePos x="0" y="0"/>
                <wp:positionH relativeFrom="page">
                  <wp:posOffset>9525</wp:posOffset>
                </wp:positionH>
                <wp:positionV relativeFrom="page">
                  <wp:posOffset>297208</wp:posOffset>
                </wp:positionV>
                <wp:extent cx="7762875" cy="9748520"/>
                <wp:effectExtent l="0" t="0" r="0" b="0"/>
                <wp:wrapNone/>
                <wp:docPr id="504" name="Group 504"/>
                <wp:cNvGraphicFramePr>
                  <a:graphicFrameLocks/>
                </wp:cNvGraphicFramePr>
                <a:graphic>
                  <a:graphicData uri="http://schemas.microsoft.com/office/word/2010/wordprocessingGroup">
                    <wpg:wgp>
                      <wpg:cNvPr id="504" name="Group 504"/>
                      <wpg:cNvGrpSpPr/>
                      <wpg:grpSpPr>
                        <a:xfrm>
                          <a:off x="0" y="0"/>
                          <a:ext cx="7762875" cy="9748520"/>
                          <a:chExt cx="7762875" cy="9748520"/>
                        </a:xfrm>
                      </wpg:grpSpPr>
                      <pic:pic>
                        <pic:nvPicPr>
                          <pic:cNvPr id="505" name="Image 505"/>
                          <pic:cNvPicPr/>
                        </pic:nvPicPr>
                        <pic:blipFill>
                          <a:blip r:embed="rId5" cstate="print"/>
                          <a:stretch>
                            <a:fillRect/>
                          </a:stretch>
                        </pic:blipFill>
                        <pic:spPr>
                          <a:xfrm>
                            <a:off x="0" y="0"/>
                            <a:ext cx="7762874" cy="9748489"/>
                          </a:xfrm>
                          <a:prstGeom prst="rect">
                            <a:avLst/>
                          </a:prstGeom>
                        </pic:spPr>
                      </pic:pic>
                      <wps:wsp>
                        <wps:cNvPr id="506" name="Graphic 50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07" name="Image 507"/>
                          <pic:cNvPicPr/>
                        </pic:nvPicPr>
                        <pic:blipFill>
                          <a:blip r:embed="rId56" cstate="print"/>
                          <a:stretch>
                            <a:fillRect/>
                          </a:stretch>
                        </pic:blipFill>
                        <pic:spPr>
                          <a:xfrm>
                            <a:off x="2037714" y="1123794"/>
                            <a:ext cx="3779520" cy="170624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97536" id="docshapegroup482" coordorigin="15,468" coordsize="12225,15352">
                <v:shape style="position:absolute;left:15;top:468;width:12225;height:15352" type="#_x0000_t75" id="docshape483" stroked="false">
                  <v:imagedata r:id="rId5" o:title=""/>
                </v:shape>
                <v:rect style="position:absolute;left:1673;top:2028;width:8897;height:15" id="docshape484" filled="true" fillcolor="#000000" stroked="false">
                  <v:fill type="solid"/>
                </v:rect>
                <v:shape style="position:absolute;left:3224;top:2237;width:5952;height:2687" type="#_x0000_t75" id="docshape485" stroked="false">
                  <v:imagedata r:id="rId56" o:title=""/>
                </v:shape>
                <w10:wrap type="none"/>
              </v:group>
            </w:pict>
          </mc:Fallback>
        </mc:AlternateContent>
      </w:r>
      <w:r>
        <w:rPr>
          <w:color w:val="172951"/>
          <w:sz w:val="20"/>
        </w:rPr>
        <w:t>Pág.</w:t>
      </w:r>
      <w:r>
        <w:rPr>
          <w:color w:val="172951"/>
          <w:spacing w:val="-7"/>
          <w:sz w:val="20"/>
        </w:rPr>
        <w:t> </w:t>
      </w:r>
      <w:r>
        <w:rPr>
          <w:color w:val="172951"/>
          <w:spacing w:val="-5"/>
          <w:sz w:val="20"/>
        </w:rPr>
        <w:t>104</w:t>
      </w:r>
    </w:p>
    <w:p>
      <w:pPr>
        <w:pStyle w:val="BodyText"/>
        <w:spacing w:before="10"/>
        <w:rPr>
          <w:sz w:val="16"/>
        </w:rPr>
      </w:pPr>
      <w:r>
        <w:rPr>
          <w:sz w:val="16"/>
        </w:rPr>
        <mc:AlternateContent>
          <mc:Choice Requires="wps">
            <w:drawing>
              <wp:anchor distT="0" distB="0" distL="0" distR="0" allowOverlap="1" layoutInCell="1" locked="0" behindDoc="1" simplePos="0" relativeHeight="487681024">
                <wp:simplePos x="0" y="0"/>
                <wp:positionH relativeFrom="page">
                  <wp:posOffset>1080820</wp:posOffset>
                </wp:positionH>
                <wp:positionV relativeFrom="paragraph">
                  <wp:posOffset>141144</wp:posOffset>
                </wp:positionV>
                <wp:extent cx="5715000" cy="2995295"/>
                <wp:effectExtent l="0" t="0" r="0" b="0"/>
                <wp:wrapTopAndBottom/>
                <wp:docPr id="508" name="Textbox 508"/>
                <wp:cNvGraphicFramePr>
                  <a:graphicFrameLocks/>
                </wp:cNvGraphicFramePr>
                <a:graphic>
                  <a:graphicData uri="http://schemas.microsoft.com/office/word/2010/wordprocessingShape">
                    <wps:wsp>
                      <wps:cNvPr id="508" name="Textbox 508"/>
                      <wps:cNvSpPr txBox="1"/>
                      <wps:spPr>
                        <a:xfrm>
                          <a:off x="0" y="0"/>
                          <a:ext cx="5715000" cy="299529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BodyText"/>
                              <w:ind w:left="64" w:right="64"/>
                              <w:jc w:val="both"/>
                            </w:pPr>
                            <w:r>
                              <w:rPr/>
                              <w:t>El margen bruto de utilidad disminuyó 3 puntos porcentuales respecto al año 2025. Esto sugiere una mejor gestión de costos o una mayor rentabilidad por unidad vendida, incluso si los ingresos totales </w:t>
                            </w:r>
                            <w:r>
                              <w:rPr>
                                <w:spacing w:val="-2"/>
                              </w:rPr>
                              <w:t>bajaron.</w:t>
                            </w:r>
                          </w:p>
                          <w:p>
                            <w:pPr>
                              <w:pStyle w:val="BodyText"/>
                              <w:spacing w:before="160"/>
                              <w:ind w:left="64" w:right="61"/>
                              <w:jc w:val="both"/>
                            </w:pPr>
                            <w:r>
                              <w:rPr/>
                              <w:t>Aunque</w:t>
                            </w:r>
                            <w:r>
                              <w:rPr>
                                <w:spacing w:val="-13"/>
                              </w:rPr>
                              <w:t> </w:t>
                            </w:r>
                            <w:r>
                              <w:rPr/>
                              <w:t>los</w:t>
                            </w:r>
                            <w:r>
                              <w:rPr>
                                <w:spacing w:val="-13"/>
                              </w:rPr>
                              <w:t> </w:t>
                            </w:r>
                            <w:r>
                              <w:rPr/>
                              <w:t>ingresos</w:t>
                            </w:r>
                            <w:r>
                              <w:rPr>
                                <w:spacing w:val="-11"/>
                              </w:rPr>
                              <w:t> </w:t>
                            </w:r>
                            <w:r>
                              <w:rPr/>
                              <w:t>por</w:t>
                            </w:r>
                            <w:r>
                              <w:rPr>
                                <w:spacing w:val="-14"/>
                              </w:rPr>
                              <w:t> </w:t>
                            </w:r>
                            <w:r>
                              <w:rPr/>
                              <w:t>ventas</w:t>
                            </w:r>
                            <w:r>
                              <w:rPr>
                                <w:spacing w:val="-11"/>
                              </w:rPr>
                              <w:t> </w:t>
                            </w:r>
                            <w:r>
                              <w:rPr/>
                              <w:t>disminuyeron</w:t>
                            </w:r>
                            <w:r>
                              <w:rPr>
                                <w:spacing w:val="-14"/>
                              </w:rPr>
                              <w:t> </w:t>
                            </w:r>
                            <w:r>
                              <w:rPr/>
                              <w:t>en</w:t>
                            </w:r>
                            <w:r>
                              <w:rPr>
                                <w:spacing w:val="-12"/>
                              </w:rPr>
                              <w:t> </w:t>
                            </w:r>
                            <w:r>
                              <w:rPr/>
                              <w:t>julio</w:t>
                            </w:r>
                            <w:r>
                              <w:rPr>
                                <w:spacing w:val="-11"/>
                              </w:rPr>
                              <w:t> </w:t>
                            </w:r>
                            <w:r>
                              <w:rPr/>
                              <w:t>2026</w:t>
                            </w:r>
                            <w:r>
                              <w:rPr>
                                <w:spacing w:val="-13"/>
                              </w:rPr>
                              <w:t> </w:t>
                            </w:r>
                            <w:r>
                              <w:rPr/>
                              <w:t>en</w:t>
                            </w:r>
                            <w:r>
                              <w:rPr>
                                <w:spacing w:val="-12"/>
                              </w:rPr>
                              <w:t> </w:t>
                            </w:r>
                            <w:r>
                              <w:rPr/>
                              <w:t>-4,96%,</w:t>
                            </w:r>
                            <w:r>
                              <w:rPr>
                                <w:spacing w:val="-12"/>
                              </w:rPr>
                              <w:t> </w:t>
                            </w:r>
                            <w:r>
                              <w:rPr/>
                              <w:t>y</w:t>
                            </w:r>
                            <w:r>
                              <w:rPr>
                                <w:spacing w:val="-13"/>
                              </w:rPr>
                              <w:t> </w:t>
                            </w:r>
                            <w:r>
                              <w:rPr/>
                              <w:t>el</w:t>
                            </w:r>
                            <w:r>
                              <w:rPr>
                                <w:spacing w:val="-12"/>
                              </w:rPr>
                              <w:t> </w:t>
                            </w:r>
                            <w:r>
                              <w:rPr/>
                              <w:t>costo</w:t>
                            </w:r>
                            <w:r>
                              <w:rPr>
                                <w:spacing w:val="-11"/>
                              </w:rPr>
                              <w:t> </w:t>
                            </w:r>
                            <w:r>
                              <w:rPr/>
                              <w:t>de</w:t>
                            </w:r>
                            <w:r>
                              <w:rPr>
                                <w:spacing w:val="-13"/>
                              </w:rPr>
                              <w:t> </w:t>
                            </w:r>
                            <w:r>
                              <w:rPr/>
                              <w:t>ventas</w:t>
                            </w:r>
                            <w:r>
                              <w:rPr>
                                <w:spacing w:val="-11"/>
                              </w:rPr>
                              <w:t> </w:t>
                            </w:r>
                            <w:r>
                              <w:rPr/>
                              <w:t>se</w:t>
                            </w:r>
                            <w:r>
                              <w:rPr>
                                <w:spacing w:val="-14"/>
                              </w:rPr>
                              <w:t> </w:t>
                            </w:r>
                            <w:r>
                              <w:rPr/>
                              <w:t>disminuye en un -0.34% proporcionalmente, lo que hace que la utilidad bruta tienda a la baja a pesar de que se muestra una muy buena rentabilidad.</w:t>
                            </w:r>
                          </w:p>
                        </w:txbxContent>
                      </wps:txbx>
                      <wps:bodyPr wrap="square" lIns="0" tIns="0" rIns="0" bIns="0" rtlCol="0">
                        <a:noAutofit/>
                      </wps:bodyPr>
                    </wps:wsp>
                  </a:graphicData>
                </a:graphic>
              </wp:anchor>
            </w:drawing>
          </mc:Choice>
          <mc:Fallback>
            <w:pict>
              <v:shape style="position:absolute;margin-left:85.103996pt;margin-top:11.11375pt;width:450pt;height:235.85pt;mso-position-horizontal-relative:page;mso-position-vertical-relative:paragraph;z-index:-15635456;mso-wrap-distance-left:0;mso-wrap-distance-right:0" type="#_x0000_t202" id="docshape486"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BodyText"/>
                        <w:ind w:left="64" w:right="64"/>
                        <w:jc w:val="both"/>
                      </w:pPr>
                      <w:r>
                        <w:rPr/>
                        <w:t>El margen bruto de utilidad disminuyó 3 puntos porcentuales respecto al año 2025. Esto sugiere una mejor gestión de costos o una mayor rentabilidad por unidad vendida, incluso si los ingresos totales </w:t>
                      </w:r>
                      <w:r>
                        <w:rPr>
                          <w:spacing w:val="-2"/>
                        </w:rPr>
                        <w:t>bajaron.</w:t>
                      </w:r>
                    </w:p>
                    <w:p>
                      <w:pPr>
                        <w:pStyle w:val="BodyText"/>
                        <w:spacing w:before="160"/>
                        <w:ind w:left="64" w:right="61"/>
                        <w:jc w:val="both"/>
                      </w:pPr>
                      <w:r>
                        <w:rPr/>
                        <w:t>Aunque</w:t>
                      </w:r>
                      <w:r>
                        <w:rPr>
                          <w:spacing w:val="-13"/>
                        </w:rPr>
                        <w:t> </w:t>
                      </w:r>
                      <w:r>
                        <w:rPr/>
                        <w:t>los</w:t>
                      </w:r>
                      <w:r>
                        <w:rPr>
                          <w:spacing w:val="-13"/>
                        </w:rPr>
                        <w:t> </w:t>
                      </w:r>
                      <w:r>
                        <w:rPr/>
                        <w:t>ingresos</w:t>
                      </w:r>
                      <w:r>
                        <w:rPr>
                          <w:spacing w:val="-11"/>
                        </w:rPr>
                        <w:t> </w:t>
                      </w:r>
                      <w:r>
                        <w:rPr/>
                        <w:t>por</w:t>
                      </w:r>
                      <w:r>
                        <w:rPr>
                          <w:spacing w:val="-14"/>
                        </w:rPr>
                        <w:t> </w:t>
                      </w:r>
                      <w:r>
                        <w:rPr/>
                        <w:t>ventas</w:t>
                      </w:r>
                      <w:r>
                        <w:rPr>
                          <w:spacing w:val="-11"/>
                        </w:rPr>
                        <w:t> </w:t>
                      </w:r>
                      <w:r>
                        <w:rPr/>
                        <w:t>disminuyeron</w:t>
                      </w:r>
                      <w:r>
                        <w:rPr>
                          <w:spacing w:val="-14"/>
                        </w:rPr>
                        <w:t> </w:t>
                      </w:r>
                      <w:r>
                        <w:rPr/>
                        <w:t>en</w:t>
                      </w:r>
                      <w:r>
                        <w:rPr>
                          <w:spacing w:val="-12"/>
                        </w:rPr>
                        <w:t> </w:t>
                      </w:r>
                      <w:r>
                        <w:rPr/>
                        <w:t>julio</w:t>
                      </w:r>
                      <w:r>
                        <w:rPr>
                          <w:spacing w:val="-11"/>
                        </w:rPr>
                        <w:t> </w:t>
                      </w:r>
                      <w:r>
                        <w:rPr/>
                        <w:t>2026</w:t>
                      </w:r>
                      <w:r>
                        <w:rPr>
                          <w:spacing w:val="-13"/>
                        </w:rPr>
                        <w:t> </w:t>
                      </w:r>
                      <w:r>
                        <w:rPr/>
                        <w:t>en</w:t>
                      </w:r>
                      <w:r>
                        <w:rPr>
                          <w:spacing w:val="-12"/>
                        </w:rPr>
                        <w:t> </w:t>
                      </w:r>
                      <w:r>
                        <w:rPr/>
                        <w:t>-4,96%,</w:t>
                      </w:r>
                      <w:r>
                        <w:rPr>
                          <w:spacing w:val="-12"/>
                        </w:rPr>
                        <w:t> </w:t>
                      </w:r>
                      <w:r>
                        <w:rPr/>
                        <w:t>y</w:t>
                      </w:r>
                      <w:r>
                        <w:rPr>
                          <w:spacing w:val="-13"/>
                        </w:rPr>
                        <w:t> </w:t>
                      </w:r>
                      <w:r>
                        <w:rPr/>
                        <w:t>el</w:t>
                      </w:r>
                      <w:r>
                        <w:rPr>
                          <w:spacing w:val="-12"/>
                        </w:rPr>
                        <w:t> </w:t>
                      </w:r>
                      <w:r>
                        <w:rPr/>
                        <w:t>costo</w:t>
                      </w:r>
                      <w:r>
                        <w:rPr>
                          <w:spacing w:val="-11"/>
                        </w:rPr>
                        <w:t> </w:t>
                      </w:r>
                      <w:r>
                        <w:rPr/>
                        <w:t>de</w:t>
                      </w:r>
                      <w:r>
                        <w:rPr>
                          <w:spacing w:val="-13"/>
                        </w:rPr>
                        <w:t> </w:t>
                      </w:r>
                      <w:r>
                        <w:rPr/>
                        <w:t>ventas</w:t>
                      </w:r>
                      <w:r>
                        <w:rPr>
                          <w:spacing w:val="-11"/>
                        </w:rPr>
                        <w:t> </w:t>
                      </w:r>
                      <w:r>
                        <w:rPr/>
                        <w:t>se</w:t>
                      </w:r>
                      <w:r>
                        <w:rPr>
                          <w:spacing w:val="-14"/>
                        </w:rPr>
                        <w:t> </w:t>
                      </w:r>
                      <w:r>
                        <w:rPr/>
                        <w:t>disminuye en un -0.34% proporcionalmente, lo que hace que la utilidad bruta tienda a la baja a pesar de que se muestra una muy buena rentabilidad.</w:t>
                      </w:r>
                    </w:p>
                  </w:txbxContent>
                </v:textbox>
                <v:stroke dashstyle="solid"/>
                <w10:wrap type="topAndBottom"/>
              </v:shape>
            </w:pict>
          </mc:Fallback>
        </mc:AlternateContent>
      </w:r>
    </w:p>
    <w:p>
      <w:pPr>
        <w:pStyle w:val="BodyText"/>
        <w:spacing w:before="166"/>
        <w:rPr>
          <w:sz w:val="23"/>
        </w:rPr>
      </w:pPr>
    </w:p>
    <w:p>
      <w:pPr>
        <w:spacing w:before="0"/>
        <w:ind w:left="622" w:right="0" w:firstLine="0"/>
        <w:jc w:val="left"/>
        <w:rPr>
          <w:b/>
          <w:i/>
          <w:sz w:val="23"/>
        </w:rPr>
      </w:pPr>
      <w:bookmarkStart w:name="_bookmark84" w:id="85"/>
      <w:bookmarkEnd w:id="85"/>
      <w:r>
        <w:rPr/>
      </w:r>
      <w:r>
        <w:rPr>
          <w:b/>
          <w:spacing w:val="-2"/>
          <w:sz w:val="22"/>
        </w:rPr>
        <w:t>Revelación</w:t>
      </w:r>
      <w:r>
        <w:rPr>
          <w:b/>
          <w:spacing w:val="-11"/>
          <w:sz w:val="22"/>
        </w:rPr>
        <w:t> </w:t>
      </w:r>
      <w:r>
        <w:rPr>
          <w:b/>
          <w:spacing w:val="-2"/>
          <w:sz w:val="22"/>
        </w:rPr>
        <w:t>NICSP</w:t>
      </w:r>
      <w:r>
        <w:rPr>
          <w:b/>
          <w:spacing w:val="-9"/>
          <w:sz w:val="22"/>
        </w:rPr>
        <w:t> </w:t>
      </w:r>
      <w:r>
        <w:rPr>
          <w:b/>
          <w:spacing w:val="-2"/>
          <w:sz w:val="22"/>
        </w:rPr>
        <w:t>9</w:t>
      </w:r>
      <w:r>
        <w:rPr>
          <w:b/>
          <w:spacing w:val="-9"/>
          <w:sz w:val="22"/>
        </w:rPr>
        <w:t> </w:t>
      </w:r>
      <w:r>
        <w:rPr>
          <w:b/>
          <w:i/>
          <w:spacing w:val="-2"/>
          <w:sz w:val="23"/>
        </w:rPr>
        <w:t>Ingresos</w:t>
      </w:r>
      <w:r>
        <w:rPr>
          <w:b/>
          <w:i/>
          <w:spacing w:val="-12"/>
          <w:sz w:val="23"/>
        </w:rPr>
        <w:t> </w:t>
      </w:r>
      <w:r>
        <w:rPr>
          <w:b/>
          <w:i/>
          <w:spacing w:val="-2"/>
          <w:sz w:val="23"/>
        </w:rPr>
        <w:t>de</w:t>
      </w:r>
      <w:r>
        <w:rPr>
          <w:b/>
          <w:i/>
          <w:spacing w:val="-11"/>
          <w:sz w:val="23"/>
        </w:rPr>
        <w:t> </w:t>
      </w:r>
      <w:r>
        <w:rPr>
          <w:b/>
          <w:i/>
          <w:spacing w:val="-2"/>
          <w:sz w:val="23"/>
        </w:rPr>
        <w:t>transacciones</w:t>
      </w:r>
      <w:r>
        <w:rPr>
          <w:b/>
          <w:i/>
          <w:spacing w:val="-11"/>
          <w:sz w:val="23"/>
        </w:rPr>
        <w:t> </w:t>
      </w:r>
      <w:r>
        <w:rPr>
          <w:b/>
          <w:i/>
          <w:spacing w:val="-2"/>
          <w:sz w:val="23"/>
        </w:rPr>
        <w:t>con</w:t>
      </w:r>
      <w:r>
        <w:rPr>
          <w:b/>
          <w:i/>
          <w:spacing w:val="-12"/>
          <w:sz w:val="23"/>
        </w:rPr>
        <w:t> </w:t>
      </w:r>
      <w:r>
        <w:rPr>
          <w:b/>
          <w:i/>
          <w:spacing w:val="-2"/>
          <w:sz w:val="23"/>
        </w:rPr>
        <w:t>contraprestación</w:t>
      </w:r>
    </w:p>
    <w:p>
      <w:pPr>
        <w:pStyle w:val="BodyText"/>
        <w:spacing w:before="7"/>
        <w:rPr>
          <w:b/>
          <w:i/>
          <w:sz w:val="8"/>
        </w:rPr>
      </w:pPr>
      <w:r>
        <w:rPr>
          <w:b/>
          <w:i/>
          <w:sz w:val="8"/>
        </w:rPr>
        <mc:AlternateContent>
          <mc:Choice Requires="wps">
            <w:drawing>
              <wp:anchor distT="0" distB="0" distL="0" distR="0" allowOverlap="1" layoutInCell="1" locked="0" behindDoc="1" simplePos="0" relativeHeight="487681536">
                <wp:simplePos x="0" y="0"/>
                <wp:positionH relativeFrom="page">
                  <wp:posOffset>1080820</wp:posOffset>
                </wp:positionH>
                <wp:positionV relativeFrom="paragraph">
                  <wp:posOffset>80803</wp:posOffset>
                </wp:positionV>
                <wp:extent cx="5715000" cy="3961765"/>
                <wp:effectExtent l="0" t="0" r="0" b="0"/>
                <wp:wrapTopAndBottom/>
                <wp:docPr id="509" name="Textbox 509"/>
                <wp:cNvGraphicFramePr>
                  <a:graphicFrameLocks/>
                </wp:cNvGraphicFramePr>
                <a:graphic>
                  <a:graphicData uri="http://schemas.microsoft.com/office/word/2010/wordprocessingShape">
                    <wps:wsp>
                      <wps:cNvPr id="509" name="Textbox 509"/>
                      <wps:cNvSpPr txBox="1"/>
                      <wps:spPr>
                        <a:xfrm>
                          <a:off x="0" y="0"/>
                          <a:ext cx="5715000" cy="396176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before="160"/>
                              <w:ind w:left="103"/>
                            </w:pPr>
                            <w:r>
                              <w:rPr/>
                              <w:t>Se</w:t>
                            </w:r>
                            <w:r>
                              <w:rPr>
                                <w:spacing w:val="-4"/>
                              </w:rPr>
                              <w:t> </w:t>
                            </w:r>
                            <w:r>
                              <w:rPr/>
                              <w:t>aplicará</w:t>
                            </w:r>
                            <w:r>
                              <w:rPr>
                                <w:spacing w:val="-4"/>
                              </w:rPr>
                              <w:t> </w:t>
                            </w:r>
                            <w:r>
                              <w:rPr/>
                              <w:t>la</w:t>
                            </w:r>
                            <w:r>
                              <w:rPr>
                                <w:spacing w:val="-5"/>
                              </w:rPr>
                              <w:t> </w:t>
                            </w:r>
                            <w:r>
                              <w:rPr/>
                              <w:t>definición</w:t>
                            </w:r>
                            <w:r>
                              <w:rPr>
                                <w:spacing w:val="-2"/>
                              </w:rPr>
                              <w:t> </w:t>
                            </w:r>
                            <w:r>
                              <w:rPr/>
                              <w:t>de</w:t>
                            </w:r>
                            <w:r>
                              <w:rPr>
                                <w:spacing w:val="-5"/>
                              </w:rPr>
                              <w:t> </w:t>
                            </w:r>
                            <w:r>
                              <w:rPr/>
                              <w:t>ingresos</w:t>
                            </w:r>
                            <w:r>
                              <w:rPr>
                                <w:spacing w:val="-5"/>
                              </w:rPr>
                              <w:t> </w:t>
                            </w:r>
                            <w:r>
                              <w:rPr/>
                              <w:t>ordinarios</w:t>
                            </w:r>
                            <w:r>
                              <w:rPr>
                                <w:spacing w:val="-1"/>
                              </w:rPr>
                              <w:t> </w:t>
                            </w:r>
                            <w:r>
                              <w:rPr/>
                              <w:t>de</w:t>
                            </w:r>
                            <w:r>
                              <w:rPr>
                                <w:spacing w:val="-5"/>
                              </w:rPr>
                              <w:t> </w:t>
                            </w:r>
                            <w:r>
                              <w:rPr/>
                              <w:t>la</w:t>
                            </w:r>
                            <w:r>
                              <w:rPr>
                                <w:spacing w:val="-5"/>
                              </w:rPr>
                              <w:t> </w:t>
                            </w:r>
                            <w:r>
                              <w:rPr/>
                              <w:t>NICSP</w:t>
                            </w:r>
                            <w:r>
                              <w:rPr>
                                <w:spacing w:val="-2"/>
                              </w:rPr>
                              <w:t> </w:t>
                            </w:r>
                            <w:r>
                              <w:rPr>
                                <w:spacing w:val="-5"/>
                              </w:rPr>
                              <w:t>9.</w:t>
                            </w:r>
                          </w:p>
                          <w:p>
                            <w:pPr>
                              <w:pStyle w:val="BodyText"/>
                              <w:spacing w:before="159"/>
                              <w:ind w:left="103" w:right="103"/>
                              <w:jc w:val="both"/>
                            </w:pPr>
                            <w:r>
                              <w:rPr/>
                              <w:t>Se reconoce un ingreso con contraprestación cuando haya surgido un incremento en los beneficios económicos futuros, relacionado con un incremento en los activos o una disminución en los pasivos que pueda medirse con fiabilidad de acuerdo con la NICSP 9.</w:t>
                            </w:r>
                          </w:p>
                          <w:p>
                            <w:pPr>
                              <w:pStyle w:val="BodyText"/>
                              <w:spacing w:before="162"/>
                              <w:ind w:left="103" w:right="108"/>
                              <w:jc w:val="both"/>
                            </w:pPr>
                            <w:r>
                              <w:rPr/>
                              <w:t>El ingreso recibido, pero no devengado al final del periodo contable se reconocerá como un pasivo (ingreso no devengado). El ingreso que se ha reconocido y que posteriormente se da de baja o se difiere se reconocerá como un gasto.</w:t>
                            </w:r>
                          </w:p>
                          <w:p>
                            <w:pPr>
                              <w:pStyle w:val="BodyText"/>
                              <w:spacing w:before="159"/>
                              <w:ind w:left="103" w:right="102"/>
                              <w:jc w:val="both"/>
                            </w:pPr>
                            <w:r>
                              <w:rPr/>
                              <w:t>El</w:t>
                            </w:r>
                            <w:r>
                              <w:rPr>
                                <w:spacing w:val="-4"/>
                              </w:rPr>
                              <w:t> </w:t>
                            </w:r>
                            <w:r>
                              <w:rPr/>
                              <w:t>ingreso</w:t>
                            </w:r>
                            <w:r>
                              <w:rPr>
                                <w:spacing w:val="-4"/>
                              </w:rPr>
                              <w:t> </w:t>
                            </w:r>
                            <w:r>
                              <w:rPr/>
                              <w:t>por</w:t>
                            </w:r>
                            <w:r>
                              <w:rPr>
                                <w:spacing w:val="-4"/>
                              </w:rPr>
                              <w:t> </w:t>
                            </w:r>
                            <w:r>
                              <w:rPr/>
                              <w:t>la</w:t>
                            </w:r>
                            <w:r>
                              <w:rPr>
                                <w:spacing w:val="-5"/>
                              </w:rPr>
                              <w:t> </w:t>
                            </w:r>
                            <w:r>
                              <w:rPr/>
                              <w:t>venta</w:t>
                            </w:r>
                            <w:r>
                              <w:rPr>
                                <w:spacing w:val="-4"/>
                              </w:rPr>
                              <w:t> </w:t>
                            </w:r>
                            <w:r>
                              <w:rPr/>
                              <w:t>de</w:t>
                            </w:r>
                            <w:r>
                              <w:rPr>
                                <w:spacing w:val="-5"/>
                              </w:rPr>
                              <w:t> </w:t>
                            </w:r>
                            <w:r>
                              <w:rPr/>
                              <w:t>bienes</w:t>
                            </w:r>
                            <w:r>
                              <w:rPr>
                                <w:spacing w:val="-4"/>
                              </w:rPr>
                              <w:t> </w:t>
                            </w:r>
                            <w:r>
                              <w:rPr/>
                              <w:t>y</w:t>
                            </w:r>
                            <w:r>
                              <w:rPr>
                                <w:spacing w:val="-5"/>
                              </w:rPr>
                              <w:t> </w:t>
                            </w:r>
                            <w:r>
                              <w:rPr/>
                              <w:t>servicios</w:t>
                            </w:r>
                            <w:r>
                              <w:rPr>
                                <w:spacing w:val="-4"/>
                              </w:rPr>
                              <w:t> </w:t>
                            </w:r>
                            <w:r>
                              <w:rPr/>
                              <w:t>y</w:t>
                            </w:r>
                            <w:r>
                              <w:rPr>
                                <w:spacing w:val="-5"/>
                              </w:rPr>
                              <w:t> </w:t>
                            </w:r>
                            <w:r>
                              <w:rPr/>
                              <w:t>por</w:t>
                            </w:r>
                            <w:r>
                              <w:rPr>
                                <w:spacing w:val="-4"/>
                              </w:rPr>
                              <w:t> </w:t>
                            </w:r>
                            <w:r>
                              <w:rPr/>
                              <w:t>la</w:t>
                            </w:r>
                            <w:r>
                              <w:rPr>
                                <w:spacing w:val="-5"/>
                              </w:rPr>
                              <w:t> </w:t>
                            </w:r>
                            <w:r>
                              <w:rPr/>
                              <w:t>prestación</w:t>
                            </w:r>
                            <w:r>
                              <w:rPr>
                                <w:spacing w:val="-4"/>
                              </w:rPr>
                              <w:t> </w:t>
                            </w:r>
                            <w:r>
                              <w:rPr/>
                              <w:t>de</w:t>
                            </w:r>
                            <w:r>
                              <w:rPr>
                                <w:spacing w:val="-5"/>
                              </w:rPr>
                              <w:t> </w:t>
                            </w:r>
                            <w:r>
                              <w:rPr/>
                              <w:t>servicios</w:t>
                            </w:r>
                            <w:r>
                              <w:rPr>
                                <w:spacing w:val="-5"/>
                              </w:rPr>
                              <w:t> </w:t>
                            </w:r>
                            <w:r>
                              <w:rPr/>
                              <w:t>se</w:t>
                            </w:r>
                            <w:r>
                              <w:rPr>
                                <w:spacing w:val="-5"/>
                              </w:rPr>
                              <w:t> </w:t>
                            </w:r>
                            <w:r>
                              <w:rPr/>
                              <w:t>reconocerá</w:t>
                            </w:r>
                            <w:r>
                              <w:rPr>
                                <w:spacing w:val="-4"/>
                              </w:rPr>
                              <w:t> </w:t>
                            </w:r>
                            <w:r>
                              <w:rPr/>
                              <w:t>en</w:t>
                            </w:r>
                            <w:r>
                              <w:rPr>
                                <w:spacing w:val="-4"/>
                              </w:rPr>
                              <w:t> </w:t>
                            </w:r>
                            <w:r>
                              <w:rPr/>
                              <w:t>el</w:t>
                            </w:r>
                            <w:r>
                              <w:rPr>
                                <w:spacing w:val="-4"/>
                              </w:rPr>
                              <w:t> </w:t>
                            </w:r>
                            <w:r>
                              <w:rPr/>
                              <w:t>estado del rendimiento financiero cuando sea devengado. La emisión de una factura pone de manifiesto el reconocimiento del ingreso.</w:t>
                            </w:r>
                          </w:p>
                          <w:p>
                            <w:pPr>
                              <w:pStyle w:val="BodyText"/>
                            </w:pPr>
                          </w:p>
                          <w:p>
                            <w:pPr>
                              <w:pStyle w:val="BodyText"/>
                              <w:spacing w:before="70"/>
                            </w:pPr>
                          </w:p>
                          <w:p>
                            <w:pPr>
                              <w:spacing w:before="1"/>
                              <w:ind w:left="103" w:right="0" w:firstLine="0"/>
                              <w:jc w:val="left"/>
                              <w:rPr>
                                <w:b/>
                                <w:sz w:val="22"/>
                              </w:rPr>
                            </w:pPr>
                            <w:r>
                              <w:rPr>
                                <w:b/>
                                <w:color w:val="FFFFFF"/>
                                <w:spacing w:val="-2"/>
                                <w:sz w:val="22"/>
                                <w:u w:val="single" w:color="FFFFFF"/>
                                <w:shd w:fill="00008A" w:color="auto" w:val="clear"/>
                              </w:rPr>
                              <w:t>Medición:</w:t>
                            </w:r>
                          </w:p>
                          <w:p>
                            <w:pPr>
                              <w:pStyle w:val="BodyText"/>
                              <w:spacing w:before="159"/>
                              <w:ind w:left="103" w:right="100"/>
                              <w:jc w:val="both"/>
                            </w:pPr>
                            <w:r>
                              <w:rPr/>
                              <w:t>Provenientes de la venta de bienes: Cuando los riesgos y recompensas importantes han sido transferidos al comprador, habiendo pérdida del control efectivo por parte del vendedor, la cantidad de los ingresos ordinarios puede ser medida confiablemente, es probable que los beneficios económicos o el potencial de servicio asociado con la transacción fluirá para la entidad, y los costos incurridos o a ser incurridos con relación a la transacción pueden ser medidos confiablemente.</w:t>
                            </w:r>
                          </w:p>
                        </w:txbxContent>
                      </wps:txbx>
                      <wps:bodyPr wrap="square" lIns="0" tIns="0" rIns="0" bIns="0" rtlCol="0">
                        <a:noAutofit/>
                      </wps:bodyPr>
                    </wps:wsp>
                  </a:graphicData>
                </a:graphic>
              </wp:anchor>
            </w:drawing>
          </mc:Choice>
          <mc:Fallback>
            <w:pict>
              <v:shape style="position:absolute;margin-left:85.103996pt;margin-top:6.3625pt;width:450pt;height:311.95pt;mso-position-horizontal-relative:page;mso-position-vertical-relative:paragraph;z-index:-15634944;mso-wrap-distance-left:0;mso-wrap-distance-right:0" type="#_x0000_t202" id="docshape48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before="160"/>
                        <w:ind w:left="103"/>
                      </w:pPr>
                      <w:r>
                        <w:rPr/>
                        <w:t>Se</w:t>
                      </w:r>
                      <w:r>
                        <w:rPr>
                          <w:spacing w:val="-4"/>
                        </w:rPr>
                        <w:t> </w:t>
                      </w:r>
                      <w:r>
                        <w:rPr/>
                        <w:t>aplicará</w:t>
                      </w:r>
                      <w:r>
                        <w:rPr>
                          <w:spacing w:val="-4"/>
                        </w:rPr>
                        <w:t> </w:t>
                      </w:r>
                      <w:r>
                        <w:rPr/>
                        <w:t>la</w:t>
                      </w:r>
                      <w:r>
                        <w:rPr>
                          <w:spacing w:val="-5"/>
                        </w:rPr>
                        <w:t> </w:t>
                      </w:r>
                      <w:r>
                        <w:rPr/>
                        <w:t>definición</w:t>
                      </w:r>
                      <w:r>
                        <w:rPr>
                          <w:spacing w:val="-2"/>
                        </w:rPr>
                        <w:t> </w:t>
                      </w:r>
                      <w:r>
                        <w:rPr/>
                        <w:t>de</w:t>
                      </w:r>
                      <w:r>
                        <w:rPr>
                          <w:spacing w:val="-5"/>
                        </w:rPr>
                        <w:t> </w:t>
                      </w:r>
                      <w:r>
                        <w:rPr/>
                        <w:t>ingresos</w:t>
                      </w:r>
                      <w:r>
                        <w:rPr>
                          <w:spacing w:val="-5"/>
                        </w:rPr>
                        <w:t> </w:t>
                      </w:r>
                      <w:r>
                        <w:rPr/>
                        <w:t>ordinarios</w:t>
                      </w:r>
                      <w:r>
                        <w:rPr>
                          <w:spacing w:val="-1"/>
                        </w:rPr>
                        <w:t> </w:t>
                      </w:r>
                      <w:r>
                        <w:rPr/>
                        <w:t>de</w:t>
                      </w:r>
                      <w:r>
                        <w:rPr>
                          <w:spacing w:val="-5"/>
                        </w:rPr>
                        <w:t> </w:t>
                      </w:r>
                      <w:r>
                        <w:rPr/>
                        <w:t>la</w:t>
                      </w:r>
                      <w:r>
                        <w:rPr>
                          <w:spacing w:val="-5"/>
                        </w:rPr>
                        <w:t> </w:t>
                      </w:r>
                      <w:r>
                        <w:rPr/>
                        <w:t>NICSP</w:t>
                      </w:r>
                      <w:r>
                        <w:rPr>
                          <w:spacing w:val="-2"/>
                        </w:rPr>
                        <w:t> </w:t>
                      </w:r>
                      <w:r>
                        <w:rPr>
                          <w:spacing w:val="-5"/>
                        </w:rPr>
                        <w:t>9.</w:t>
                      </w:r>
                    </w:p>
                    <w:p>
                      <w:pPr>
                        <w:pStyle w:val="BodyText"/>
                        <w:spacing w:before="159"/>
                        <w:ind w:left="103" w:right="103"/>
                        <w:jc w:val="both"/>
                      </w:pPr>
                      <w:r>
                        <w:rPr/>
                        <w:t>Se reconoce un ingreso con contraprestación cuando haya surgido un incremento en los beneficios económicos futuros, relacionado con un incremento en los activos o una disminución en los pasivos que pueda medirse con fiabilidad de acuerdo con la NICSP 9.</w:t>
                      </w:r>
                    </w:p>
                    <w:p>
                      <w:pPr>
                        <w:pStyle w:val="BodyText"/>
                        <w:spacing w:before="162"/>
                        <w:ind w:left="103" w:right="108"/>
                        <w:jc w:val="both"/>
                      </w:pPr>
                      <w:r>
                        <w:rPr/>
                        <w:t>El ingreso recibido, pero no devengado al final del periodo contable se reconocerá como un pasivo (ingreso no devengado). El ingreso que se ha reconocido y que posteriormente se da de baja o se difiere se reconocerá como un gasto.</w:t>
                      </w:r>
                    </w:p>
                    <w:p>
                      <w:pPr>
                        <w:pStyle w:val="BodyText"/>
                        <w:spacing w:before="159"/>
                        <w:ind w:left="103" w:right="102"/>
                        <w:jc w:val="both"/>
                      </w:pPr>
                      <w:r>
                        <w:rPr/>
                        <w:t>El</w:t>
                      </w:r>
                      <w:r>
                        <w:rPr>
                          <w:spacing w:val="-4"/>
                        </w:rPr>
                        <w:t> </w:t>
                      </w:r>
                      <w:r>
                        <w:rPr/>
                        <w:t>ingreso</w:t>
                      </w:r>
                      <w:r>
                        <w:rPr>
                          <w:spacing w:val="-4"/>
                        </w:rPr>
                        <w:t> </w:t>
                      </w:r>
                      <w:r>
                        <w:rPr/>
                        <w:t>por</w:t>
                      </w:r>
                      <w:r>
                        <w:rPr>
                          <w:spacing w:val="-4"/>
                        </w:rPr>
                        <w:t> </w:t>
                      </w:r>
                      <w:r>
                        <w:rPr/>
                        <w:t>la</w:t>
                      </w:r>
                      <w:r>
                        <w:rPr>
                          <w:spacing w:val="-5"/>
                        </w:rPr>
                        <w:t> </w:t>
                      </w:r>
                      <w:r>
                        <w:rPr/>
                        <w:t>venta</w:t>
                      </w:r>
                      <w:r>
                        <w:rPr>
                          <w:spacing w:val="-4"/>
                        </w:rPr>
                        <w:t> </w:t>
                      </w:r>
                      <w:r>
                        <w:rPr/>
                        <w:t>de</w:t>
                      </w:r>
                      <w:r>
                        <w:rPr>
                          <w:spacing w:val="-5"/>
                        </w:rPr>
                        <w:t> </w:t>
                      </w:r>
                      <w:r>
                        <w:rPr/>
                        <w:t>bienes</w:t>
                      </w:r>
                      <w:r>
                        <w:rPr>
                          <w:spacing w:val="-4"/>
                        </w:rPr>
                        <w:t> </w:t>
                      </w:r>
                      <w:r>
                        <w:rPr/>
                        <w:t>y</w:t>
                      </w:r>
                      <w:r>
                        <w:rPr>
                          <w:spacing w:val="-5"/>
                        </w:rPr>
                        <w:t> </w:t>
                      </w:r>
                      <w:r>
                        <w:rPr/>
                        <w:t>servicios</w:t>
                      </w:r>
                      <w:r>
                        <w:rPr>
                          <w:spacing w:val="-4"/>
                        </w:rPr>
                        <w:t> </w:t>
                      </w:r>
                      <w:r>
                        <w:rPr/>
                        <w:t>y</w:t>
                      </w:r>
                      <w:r>
                        <w:rPr>
                          <w:spacing w:val="-5"/>
                        </w:rPr>
                        <w:t> </w:t>
                      </w:r>
                      <w:r>
                        <w:rPr/>
                        <w:t>por</w:t>
                      </w:r>
                      <w:r>
                        <w:rPr>
                          <w:spacing w:val="-4"/>
                        </w:rPr>
                        <w:t> </w:t>
                      </w:r>
                      <w:r>
                        <w:rPr/>
                        <w:t>la</w:t>
                      </w:r>
                      <w:r>
                        <w:rPr>
                          <w:spacing w:val="-5"/>
                        </w:rPr>
                        <w:t> </w:t>
                      </w:r>
                      <w:r>
                        <w:rPr/>
                        <w:t>prestación</w:t>
                      </w:r>
                      <w:r>
                        <w:rPr>
                          <w:spacing w:val="-4"/>
                        </w:rPr>
                        <w:t> </w:t>
                      </w:r>
                      <w:r>
                        <w:rPr/>
                        <w:t>de</w:t>
                      </w:r>
                      <w:r>
                        <w:rPr>
                          <w:spacing w:val="-5"/>
                        </w:rPr>
                        <w:t> </w:t>
                      </w:r>
                      <w:r>
                        <w:rPr/>
                        <w:t>servicios</w:t>
                      </w:r>
                      <w:r>
                        <w:rPr>
                          <w:spacing w:val="-5"/>
                        </w:rPr>
                        <w:t> </w:t>
                      </w:r>
                      <w:r>
                        <w:rPr/>
                        <w:t>se</w:t>
                      </w:r>
                      <w:r>
                        <w:rPr>
                          <w:spacing w:val="-5"/>
                        </w:rPr>
                        <w:t> </w:t>
                      </w:r>
                      <w:r>
                        <w:rPr/>
                        <w:t>reconocerá</w:t>
                      </w:r>
                      <w:r>
                        <w:rPr>
                          <w:spacing w:val="-4"/>
                        </w:rPr>
                        <w:t> </w:t>
                      </w:r>
                      <w:r>
                        <w:rPr/>
                        <w:t>en</w:t>
                      </w:r>
                      <w:r>
                        <w:rPr>
                          <w:spacing w:val="-4"/>
                        </w:rPr>
                        <w:t> </w:t>
                      </w:r>
                      <w:r>
                        <w:rPr/>
                        <w:t>el</w:t>
                      </w:r>
                      <w:r>
                        <w:rPr>
                          <w:spacing w:val="-4"/>
                        </w:rPr>
                        <w:t> </w:t>
                      </w:r>
                      <w:r>
                        <w:rPr/>
                        <w:t>estado del rendimiento financiero cuando sea devengado. La emisión de una factura pone de manifiesto el reconocimiento del ingreso.</w:t>
                      </w:r>
                    </w:p>
                    <w:p>
                      <w:pPr>
                        <w:pStyle w:val="BodyText"/>
                      </w:pPr>
                    </w:p>
                    <w:p>
                      <w:pPr>
                        <w:pStyle w:val="BodyText"/>
                        <w:spacing w:before="70"/>
                      </w:pPr>
                    </w:p>
                    <w:p>
                      <w:pPr>
                        <w:spacing w:before="1"/>
                        <w:ind w:left="103" w:right="0" w:firstLine="0"/>
                        <w:jc w:val="left"/>
                        <w:rPr>
                          <w:b/>
                          <w:sz w:val="22"/>
                        </w:rPr>
                      </w:pPr>
                      <w:r>
                        <w:rPr>
                          <w:b/>
                          <w:color w:val="FFFFFF"/>
                          <w:spacing w:val="-2"/>
                          <w:sz w:val="22"/>
                          <w:u w:val="single" w:color="FFFFFF"/>
                          <w:shd w:fill="00008A" w:color="auto" w:val="clear"/>
                        </w:rPr>
                        <w:t>Medición:</w:t>
                      </w:r>
                    </w:p>
                    <w:p>
                      <w:pPr>
                        <w:pStyle w:val="BodyText"/>
                        <w:spacing w:before="159"/>
                        <w:ind w:left="103" w:right="100"/>
                        <w:jc w:val="both"/>
                      </w:pPr>
                      <w:r>
                        <w:rPr/>
                        <w:t>Provenientes de la venta de bienes: Cuando los riesgos y recompensas importantes han sido transferidos al comprador, habiendo pérdida del control efectivo por parte del vendedor, la cantidad de los ingresos ordinarios puede ser medida confiablemente, es probable que los beneficios económicos o el potencial de servicio asociado con la transacción fluirá para la entidad, y los costos incurridos o a ser incurridos con relación a la transacción pueden ser medidos confiablemente.</w:t>
                      </w:r>
                    </w:p>
                  </w:txbxContent>
                </v:textbox>
                <v:stroke dashstyle="solid"/>
                <w10:wrap type="topAndBottom"/>
              </v:shape>
            </w:pict>
          </mc:Fallback>
        </mc:AlternateContent>
      </w:r>
    </w:p>
    <w:p>
      <w:pPr>
        <w:pStyle w:val="BodyText"/>
        <w:spacing w:after="0"/>
        <w:rPr>
          <w:b/>
          <w:i/>
          <w:sz w:val="8"/>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20480">
                <wp:simplePos x="0" y="0"/>
                <wp:positionH relativeFrom="page">
                  <wp:posOffset>9525</wp:posOffset>
                </wp:positionH>
                <wp:positionV relativeFrom="page">
                  <wp:posOffset>297208</wp:posOffset>
                </wp:positionV>
                <wp:extent cx="7762875" cy="9748520"/>
                <wp:effectExtent l="0" t="0" r="0" b="0"/>
                <wp:wrapNone/>
                <wp:docPr id="510" name="Group 510"/>
                <wp:cNvGraphicFramePr>
                  <a:graphicFrameLocks/>
                </wp:cNvGraphicFramePr>
                <a:graphic>
                  <a:graphicData uri="http://schemas.microsoft.com/office/word/2010/wordprocessingGroup">
                    <wpg:wgp>
                      <wpg:cNvPr id="510" name="Group 510"/>
                      <wpg:cNvGrpSpPr/>
                      <wpg:grpSpPr>
                        <a:xfrm>
                          <a:off x="0" y="0"/>
                          <a:ext cx="7762875" cy="9748520"/>
                          <a:chExt cx="7762875" cy="9748520"/>
                        </a:xfrm>
                      </wpg:grpSpPr>
                      <pic:pic>
                        <pic:nvPicPr>
                          <pic:cNvPr id="511" name="Image 511"/>
                          <pic:cNvPicPr/>
                        </pic:nvPicPr>
                        <pic:blipFill>
                          <a:blip r:embed="rId5" cstate="print"/>
                          <a:stretch>
                            <a:fillRect/>
                          </a:stretch>
                        </pic:blipFill>
                        <pic:spPr>
                          <a:xfrm>
                            <a:off x="0" y="0"/>
                            <a:ext cx="7762874" cy="9748489"/>
                          </a:xfrm>
                          <a:prstGeom prst="rect">
                            <a:avLst/>
                          </a:prstGeom>
                        </pic:spPr>
                      </pic:pic>
                      <wps:wsp>
                        <wps:cNvPr id="512" name="Graphic 51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96000" id="docshapegroup488" coordorigin="15,468" coordsize="12225,15352">
                <v:shape style="position:absolute;left:15;top:468;width:12225;height:15352" type="#_x0000_t75" id="docshape489" stroked="false">
                  <v:imagedata r:id="rId5" o:title=""/>
                </v:shape>
                <v:rect style="position:absolute;left:1673;top:2028;width:8897;height:15" id="docshape49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105</w:t>
      </w:r>
    </w:p>
    <w:p>
      <w:pPr>
        <w:pStyle w:val="BodyText"/>
        <w:spacing w:before="10"/>
        <w:rPr>
          <w:sz w:val="16"/>
        </w:rPr>
      </w:pPr>
      <w:r>
        <w:rPr>
          <w:sz w:val="16"/>
        </w:rPr>
        <mc:AlternateContent>
          <mc:Choice Requires="wps">
            <w:drawing>
              <wp:anchor distT="0" distB="0" distL="0" distR="0" allowOverlap="1" layoutInCell="1" locked="0" behindDoc="1" simplePos="0" relativeHeight="487682560">
                <wp:simplePos x="0" y="0"/>
                <wp:positionH relativeFrom="page">
                  <wp:posOffset>1080820</wp:posOffset>
                </wp:positionH>
                <wp:positionV relativeFrom="paragraph">
                  <wp:posOffset>141144</wp:posOffset>
                </wp:positionV>
                <wp:extent cx="5715000" cy="3821429"/>
                <wp:effectExtent l="0" t="0" r="0" b="0"/>
                <wp:wrapTopAndBottom/>
                <wp:docPr id="513" name="Textbox 513"/>
                <wp:cNvGraphicFramePr>
                  <a:graphicFrameLocks/>
                </wp:cNvGraphicFramePr>
                <a:graphic>
                  <a:graphicData uri="http://schemas.microsoft.com/office/word/2010/wordprocessingShape">
                    <wps:wsp>
                      <wps:cNvPr id="513" name="Textbox 513"/>
                      <wps:cNvSpPr txBox="1"/>
                      <wps:spPr>
                        <a:xfrm>
                          <a:off x="0" y="0"/>
                          <a:ext cx="5715000" cy="3821429"/>
                        </a:xfrm>
                        <a:prstGeom prst="rect">
                          <a:avLst/>
                        </a:prstGeom>
                        <a:ln w="6095">
                          <a:solidFill>
                            <a:srgbClr val="000000"/>
                          </a:solidFill>
                          <a:prstDash val="solid"/>
                        </a:ln>
                      </wps:spPr>
                      <wps:txbx>
                        <w:txbxContent>
                          <w:p>
                            <w:pPr>
                              <w:pStyle w:val="BodyText"/>
                              <w:ind w:left="103"/>
                            </w:pPr>
                            <w:r>
                              <w:rPr/>
                              <w:t>Los</w:t>
                            </w:r>
                            <w:r>
                              <w:rPr>
                                <w:spacing w:val="-1"/>
                              </w:rPr>
                              <w:t> </w:t>
                            </w:r>
                            <w:r>
                              <w:rPr/>
                              <w:t>ingresos</w:t>
                            </w:r>
                            <w:r>
                              <w:rPr>
                                <w:spacing w:val="-4"/>
                              </w:rPr>
                              <w:t> </w:t>
                            </w:r>
                            <w:r>
                              <w:rPr/>
                              <w:t>ordinarios</w:t>
                            </w:r>
                            <w:r>
                              <w:rPr>
                                <w:spacing w:val="-4"/>
                              </w:rPr>
                              <w:t> </w:t>
                            </w:r>
                            <w:r>
                              <w:rPr/>
                              <w:t>son</w:t>
                            </w:r>
                            <w:r>
                              <w:rPr>
                                <w:spacing w:val="-7"/>
                              </w:rPr>
                              <w:t> </w:t>
                            </w:r>
                            <w:r>
                              <w:rPr/>
                              <w:t>medidos</w:t>
                            </w:r>
                            <w:r>
                              <w:rPr>
                                <w:spacing w:val="-1"/>
                              </w:rPr>
                              <w:t> </w:t>
                            </w:r>
                            <w:r>
                              <w:rPr/>
                              <w:t>al</w:t>
                            </w:r>
                            <w:r>
                              <w:rPr>
                                <w:spacing w:val="-2"/>
                              </w:rPr>
                              <w:t> </w:t>
                            </w:r>
                            <w:r>
                              <w:rPr/>
                              <w:t>valor</w:t>
                            </w:r>
                            <w:r>
                              <w:rPr>
                                <w:spacing w:val="-4"/>
                              </w:rPr>
                              <w:t> </w:t>
                            </w:r>
                            <w:r>
                              <w:rPr/>
                              <w:t>razonable</w:t>
                            </w:r>
                            <w:r>
                              <w:rPr>
                                <w:spacing w:val="-4"/>
                              </w:rPr>
                              <w:t> </w:t>
                            </w:r>
                            <w:r>
                              <w:rPr/>
                              <w:t>de</w:t>
                            </w:r>
                            <w:r>
                              <w:rPr>
                                <w:spacing w:val="-4"/>
                              </w:rPr>
                              <w:t> </w:t>
                            </w:r>
                            <w:r>
                              <w:rPr/>
                              <w:t>la</w:t>
                            </w:r>
                            <w:r>
                              <w:rPr>
                                <w:spacing w:val="-4"/>
                              </w:rPr>
                              <w:t> </w:t>
                            </w:r>
                            <w:r>
                              <w:rPr/>
                              <w:t>consideración</w:t>
                            </w:r>
                            <w:r>
                              <w:rPr>
                                <w:spacing w:val="-2"/>
                              </w:rPr>
                              <w:t> </w:t>
                            </w:r>
                            <w:r>
                              <w:rPr/>
                              <w:t>recibida</w:t>
                            </w:r>
                            <w:r>
                              <w:rPr>
                                <w:spacing w:val="-3"/>
                              </w:rPr>
                              <w:t> </w:t>
                            </w:r>
                            <w:r>
                              <w:rPr/>
                              <w:t>o</w:t>
                            </w:r>
                            <w:r>
                              <w:rPr>
                                <w:spacing w:val="-2"/>
                              </w:rPr>
                              <w:t> </w:t>
                            </w:r>
                            <w:r>
                              <w:rPr/>
                              <w:t>por</w:t>
                            </w:r>
                            <w:r>
                              <w:rPr>
                                <w:spacing w:val="-2"/>
                              </w:rPr>
                              <w:t> </w:t>
                            </w:r>
                            <w:r>
                              <w:rPr/>
                              <w:t>cobrar.</w:t>
                            </w:r>
                            <w:r>
                              <w:rPr>
                                <w:spacing w:val="-3"/>
                              </w:rPr>
                              <w:t> </w:t>
                            </w:r>
                            <w:r>
                              <w:rPr/>
                              <w:t>Se reconocen sólo cuando sea probable que la entidad obtenga los beneficios o potencial de servicio asociados con la transacción.</w:t>
                            </w:r>
                          </w:p>
                          <w:p>
                            <w:pPr>
                              <w:pStyle w:val="BodyText"/>
                              <w:spacing w:before="162"/>
                              <w:ind w:left="103"/>
                            </w:pPr>
                            <w:r>
                              <w:rPr/>
                              <w:t>Las</w:t>
                            </w:r>
                            <w:r>
                              <w:rPr>
                                <w:spacing w:val="-4"/>
                              </w:rPr>
                              <w:t> </w:t>
                            </w:r>
                            <w:r>
                              <w:rPr/>
                              <w:t>Políticas</w:t>
                            </w:r>
                            <w:r>
                              <w:rPr>
                                <w:spacing w:val="-7"/>
                              </w:rPr>
                              <w:t> </w:t>
                            </w:r>
                            <w:r>
                              <w:rPr/>
                              <w:t>Contables</w:t>
                            </w:r>
                            <w:r>
                              <w:rPr>
                                <w:spacing w:val="-3"/>
                              </w:rPr>
                              <w:t> </w:t>
                            </w:r>
                            <w:r>
                              <w:rPr/>
                              <w:t>aplicables</w:t>
                            </w:r>
                            <w:r>
                              <w:rPr>
                                <w:spacing w:val="-4"/>
                              </w:rPr>
                              <w:t> </w:t>
                            </w:r>
                            <w:r>
                              <w:rPr/>
                              <w:t>se</w:t>
                            </w:r>
                            <w:r>
                              <w:rPr>
                                <w:spacing w:val="-5"/>
                              </w:rPr>
                              <w:t> </w:t>
                            </w:r>
                            <w:r>
                              <w:rPr/>
                              <w:t>muestran</w:t>
                            </w:r>
                            <w:r>
                              <w:rPr>
                                <w:spacing w:val="-5"/>
                              </w:rPr>
                              <w:t> </w:t>
                            </w:r>
                            <w:r>
                              <w:rPr/>
                              <w:t>en</w:t>
                            </w:r>
                            <w:r>
                              <w:rPr>
                                <w:spacing w:val="-4"/>
                              </w:rPr>
                              <w:t> </w:t>
                            </w:r>
                            <w:r>
                              <w:rPr/>
                              <w:t>el</w:t>
                            </w:r>
                            <w:r>
                              <w:rPr>
                                <w:spacing w:val="-5"/>
                              </w:rPr>
                              <w:t> </w:t>
                            </w:r>
                            <w:r>
                              <w:rPr/>
                              <w:t>anexo</w:t>
                            </w:r>
                            <w:r>
                              <w:rPr>
                                <w:spacing w:val="-4"/>
                              </w:rPr>
                              <w:t> No.3</w:t>
                            </w:r>
                          </w:p>
                          <w:p>
                            <w:pPr>
                              <w:pStyle w:val="BodyText"/>
                              <w:spacing w:before="178"/>
                              <w:ind w:left="103"/>
                            </w:pPr>
                            <w:r>
                              <w:rPr/>
                              <w:t>La</w:t>
                            </w:r>
                            <w:r>
                              <w:rPr>
                                <w:spacing w:val="-3"/>
                              </w:rPr>
                              <w:t> </w:t>
                            </w:r>
                            <w:r>
                              <w:rPr/>
                              <w:t>NICSP</w:t>
                            </w:r>
                            <w:r>
                              <w:rPr>
                                <w:spacing w:val="-2"/>
                              </w:rPr>
                              <w:t> </w:t>
                            </w:r>
                            <w:r>
                              <w:rPr/>
                              <w:t>9</w:t>
                            </w:r>
                            <w:r>
                              <w:rPr>
                                <w:spacing w:val="-3"/>
                              </w:rPr>
                              <w:t> </w:t>
                            </w:r>
                            <w:r>
                              <w:rPr/>
                              <w:t>aplica</w:t>
                            </w:r>
                            <w:r>
                              <w:rPr>
                                <w:spacing w:val="-3"/>
                              </w:rPr>
                              <w:t> </w:t>
                            </w:r>
                            <w:r>
                              <w:rPr/>
                              <w:t>a</w:t>
                            </w:r>
                            <w:r>
                              <w:rPr>
                                <w:spacing w:val="-3"/>
                              </w:rPr>
                              <w:t> </w:t>
                            </w:r>
                            <w:r>
                              <w:rPr/>
                              <w:t>los</w:t>
                            </w:r>
                            <w:r>
                              <w:rPr>
                                <w:spacing w:val="-1"/>
                              </w:rPr>
                              <w:t> </w:t>
                            </w:r>
                            <w:r>
                              <w:rPr/>
                              <w:t>ingresos</w:t>
                            </w:r>
                            <w:r>
                              <w:rPr>
                                <w:spacing w:val="-1"/>
                              </w:rPr>
                              <w:t> </w:t>
                            </w:r>
                            <w:r>
                              <w:rPr/>
                              <w:t>ordinarios</w:t>
                            </w:r>
                            <w:r>
                              <w:rPr>
                                <w:spacing w:val="-4"/>
                              </w:rPr>
                              <w:t> </w:t>
                            </w:r>
                            <w:r>
                              <w:rPr/>
                              <w:t>que</w:t>
                            </w:r>
                            <w:r>
                              <w:rPr>
                                <w:spacing w:val="-4"/>
                              </w:rPr>
                              <w:t> </w:t>
                            </w:r>
                            <w:r>
                              <w:rPr/>
                              <w:t>surgen</w:t>
                            </w:r>
                            <w:r>
                              <w:rPr>
                                <w:spacing w:val="-4"/>
                              </w:rPr>
                              <w:t> </w:t>
                            </w:r>
                            <w:r>
                              <w:rPr/>
                              <w:t>de</w:t>
                            </w:r>
                            <w:r>
                              <w:rPr>
                                <w:spacing w:val="-4"/>
                              </w:rPr>
                              <w:t> </w:t>
                            </w:r>
                            <w:r>
                              <w:rPr/>
                              <w:t>los</w:t>
                            </w:r>
                            <w:r>
                              <w:rPr>
                                <w:spacing w:val="-1"/>
                              </w:rPr>
                              <w:t> </w:t>
                            </w:r>
                            <w:r>
                              <w:rPr/>
                              <w:t>siguientes</w:t>
                            </w:r>
                            <w:r>
                              <w:rPr>
                                <w:spacing w:val="-2"/>
                              </w:rPr>
                              <w:t> </w:t>
                            </w:r>
                            <w:r>
                              <w:rPr/>
                              <w:t>transacciones</w:t>
                            </w:r>
                            <w:r>
                              <w:rPr>
                                <w:spacing w:val="-1"/>
                              </w:rPr>
                              <w:t> </w:t>
                            </w:r>
                            <w:r>
                              <w:rPr/>
                              <w:t>y</w:t>
                            </w:r>
                            <w:r>
                              <w:rPr>
                                <w:spacing w:val="-3"/>
                              </w:rPr>
                              <w:t> </w:t>
                            </w:r>
                            <w:r>
                              <w:rPr/>
                              <w:t>eventos</w:t>
                            </w:r>
                            <w:r>
                              <w:rPr>
                                <w:spacing w:val="-1"/>
                              </w:rPr>
                              <w:t> </w:t>
                            </w:r>
                            <w:r>
                              <w:rPr/>
                              <w:t>de intercambio, en el IMAS los ingresos ordinarios surgen de:</w:t>
                            </w:r>
                          </w:p>
                          <w:p>
                            <w:pPr>
                              <w:pStyle w:val="BodyText"/>
                              <w:numPr>
                                <w:ilvl w:val="0"/>
                                <w:numId w:val="41"/>
                              </w:numPr>
                              <w:tabs>
                                <w:tab w:pos="823" w:val="left" w:leader="none"/>
                              </w:tabs>
                              <w:spacing w:line="255" w:lineRule="exact" w:before="160" w:after="0"/>
                              <w:ind w:left="823" w:right="0" w:hanging="360"/>
                              <w:jc w:val="left"/>
                            </w:pPr>
                            <w:r>
                              <w:rPr/>
                              <w:t>La</w:t>
                            </w:r>
                            <w:r>
                              <w:rPr>
                                <w:spacing w:val="-3"/>
                              </w:rPr>
                              <w:t> </w:t>
                            </w:r>
                            <w:r>
                              <w:rPr/>
                              <w:t>venta</w:t>
                            </w:r>
                            <w:r>
                              <w:rPr>
                                <w:spacing w:val="-1"/>
                              </w:rPr>
                              <w:t> </w:t>
                            </w:r>
                            <w:r>
                              <w:rPr/>
                              <w:t>de </w:t>
                            </w:r>
                            <w:r>
                              <w:rPr>
                                <w:spacing w:val="-2"/>
                              </w:rPr>
                              <w:t>bienes</w:t>
                            </w:r>
                          </w:p>
                          <w:p>
                            <w:pPr>
                              <w:pStyle w:val="BodyText"/>
                              <w:numPr>
                                <w:ilvl w:val="0"/>
                                <w:numId w:val="41"/>
                              </w:numPr>
                              <w:tabs>
                                <w:tab w:pos="823" w:val="left" w:leader="none"/>
                              </w:tabs>
                              <w:spacing w:line="255" w:lineRule="exact" w:before="0" w:after="0"/>
                              <w:ind w:left="823" w:right="0" w:hanging="360"/>
                              <w:jc w:val="left"/>
                            </w:pPr>
                            <w:r>
                              <w:rPr/>
                              <w:t>El</w:t>
                            </w:r>
                            <w:r>
                              <w:rPr>
                                <w:spacing w:val="-5"/>
                              </w:rPr>
                              <w:t> </w:t>
                            </w:r>
                            <w:r>
                              <w:rPr/>
                              <w:t>uso</w:t>
                            </w:r>
                            <w:r>
                              <w:rPr>
                                <w:spacing w:val="-4"/>
                              </w:rPr>
                              <w:t> </w:t>
                            </w:r>
                            <w:r>
                              <w:rPr/>
                              <w:t>que</w:t>
                            </w:r>
                            <w:r>
                              <w:rPr>
                                <w:spacing w:val="-5"/>
                              </w:rPr>
                              <w:t> </w:t>
                            </w:r>
                            <w:r>
                              <w:rPr/>
                              <w:t>otros</w:t>
                            </w:r>
                            <w:r>
                              <w:rPr>
                                <w:spacing w:val="-1"/>
                              </w:rPr>
                              <w:t> </w:t>
                            </w:r>
                            <w:r>
                              <w:rPr/>
                              <w:t>hacen</w:t>
                            </w:r>
                            <w:r>
                              <w:rPr>
                                <w:spacing w:val="-3"/>
                              </w:rPr>
                              <w:t> </w:t>
                            </w:r>
                            <w:r>
                              <w:rPr/>
                              <w:t>de</w:t>
                            </w:r>
                            <w:r>
                              <w:rPr>
                                <w:spacing w:val="-1"/>
                              </w:rPr>
                              <w:t> </w:t>
                            </w:r>
                            <w:r>
                              <w:rPr/>
                              <w:t>activos</w:t>
                            </w:r>
                            <w:r>
                              <w:rPr>
                                <w:spacing w:val="-2"/>
                              </w:rPr>
                              <w:t> </w:t>
                            </w:r>
                            <w:r>
                              <w:rPr/>
                              <w:t>de</w:t>
                            </w:r>
                            <w:r>
                              <w:rPr>
                                <w:spacing w:val="-2"/>
                              </w:rPr>
                              <w:t> </w:t>
                            </w:r>
                            <w:r>
                              <w:rPr/>
                              <w:t>la</w:t>
                            </w:r>
                            <w:r>
                              <w:rPr>
                                <w:spacing w:val="-4"/>
                              </w:rPr>
                              <w:t> </w:t>
                            </w:r>
                            <w:r>
                              <w:rPr/>
                              <w:t>entidad</w:t>
                            </w:r>
                            <w:r>
                              <w:rPr>
                                <w:spacing w:val="-2"/>
                              </w:rPr>
                              <w:t> </w:t>
                            </w:r>
                            <w:r>
                              <w:rPr/>
                              <w:t>que</w:t>
                            </w:r>
                            <w:r>
                              <w:rPr>
                                <w:spacing w:val="-2"/>
                              </w:rPr>
                              <w:t> </w:t>
                            </w:r>
                            <w:r>
                              <w:rPr/>
                              <w:t>rinden</w:t>
                            </w:r>
                            <w:r>
                              <w:rPr>
                                <w:spacing w:val="-2"/>
                              </w:rPr>
                              <w:t> intereses.</w:t>
                            </w:r>
                          </w:p>
                          <w:p>
                            <w:pPr>
                              <w:pStyle w:val="BodyText"/>
                              <w:spacing w:line="237" w:lineRule="auto" w:before="164"/>
                              <w:ind w:left="103" w:right="99"/>
                              <w:jc w:val="both"/>
                            </w:pPr>
                            <w:r>
                              <w:rPr/>
                              <w:t>El</w:t>
                            </w:r>
                            <w:r>
                              <w:rPr>
                                <w:spacing w:val="-2"/>
                              </w:rPr>
                              <w:t> </w:t>
                            </w:r>
                            <w:r>
                              <w:rPr/>
                              <w:t>IMAS</w:t>
                            </w:r>
                            <w:r>
                              <w:rPr>
                                <w:spacing w:val="-3"/>
                              </w:rPr>
                              <w:t> </w:t>
                            </w:r>
                            <w:r>
                              <w:rPr/>
                              <w:t>recibe</w:t>
                            </w:r>
                            <w:r>
                              <w:rPr>
                                <w:spacing w:val="-4"/>
                              </w:rPr>
                              <w:t> </w:t>
                            </w:r>
                            <w:r>
                              <w:rPr/>
                              <w:t>ingresos</w:t>
                            </w:r>
                            <w:r>
                              <w:rPr>
                                <w:spacing w:val="-1"/>
                              </w:rPr>
                              <w:t> </w:t>
                            </w:r>
                            <w:r>
                              <w:rPr/>
                              <w:t>de</w:t>
                            </w:r>
                            <w:r>
                              <w:rPr>
                                <w:spacing w:val="-6"/>
                              </w:rPr>
                              <w:t> </w:t>
                            </w:r>
                            <w:r>
                              <w:rPr/>
                              <w:t>transacciones</w:t>
                            </w:r>
                            <w:r>
                              <w:rPr>
                                <w:spacing w:val="-1"/>
                              </w:rPr>
                              <w:t> </w:t>
                            </w:r>
                            <w:r>
                              <w:rPr/>
                              <w:t>con</w:t>
                            </w:r>
                            <w:r>
                              <w:rPr>
                                <w:spacing w:val="-2"/>
                              </w:rPr>
                              <w:t> </w:t>
                            </w:r>
                            <w:r>
                              <w:rPr/>
                              <w:t>contraprestación</w:t>
                            </w:r>
                            <w:r>
                              <w:rPr>
                                <w:spacing w:val="-4"/>
                              </w:rPr>
                              <w:t> </w:t>
                            </w:r>
                            <w:r>
                              <w:rPr/>
                              <w:t>originados</w:t>
                            </w:r>
                            <w:r>
                              <w:rPr>
                                <w:spacing w:val="-4"/>
                              </w:rPr>
                              <w:t> </w:t>
                            </w:r>
                            <w:r>
                              <w:rPr/>
                              <w:t>de</w:t>
                            </w:r>
                            <w:r>
                              <w:rPr>
                                <w:spacing w:val="-4"/>
                              </w:rPr>
                              <w:t> </w:t>
                            </w:r>
                            <w:r>
                              <w:rPr/>
                              <w:t>la</w:t>
                            </w:r>
                            <w:r>
                              <w:rPr>
                                <w:spacing w:val="-4"/>
                              </w:rPr>
                              <w:t> </w:t>
                            </w:r>
                            <w:r>
                              <w:rPr/>
                              <w:t>venta</w:t>
                            </w:r>
                            <w:r>
                              <w:rPr>
                                <w:spacing w:val="-3"/>
                              </w:rPr>
                              <w:t> </w:t>
                            </w:r>
                            <w:r>
                              <w:rPr/>
                              <w:t>de</w:t>
                            </w:r>
                            <w:r>
                              <w:rPr>
                                <w:spacing w:val="-4"/>
                              </w:rPr>
                              <w:t> </w:t>
                            </w:r>
                            <w:r>
                              <w:rPr/>
                              <w:t>bienes.</w:t>
                            </w:r>
                            <w:r>
                              <w:rPr>
                                <w:spacing w:val="-3"/>
                              </w:rPr>
                              <w:t> </w:t>
                            </w:r>
                            <w:r>
                              <w:rPr/>
                              <w:t>Con el</w:t>
                            </w:r>
                            <w:r>
                              <w:rPr>
                                <w:spacing w:val="-5"/>
                              </w:rPr>
                              <w:t> </w:t>
                            </w:r>
                            <w:r>
                              <w:rPr/>
                              <w:t>propósito</w:t>
                            </w:r>
                            <w:r>
                              <w:rPr>
                                <w:spacing w:val="-4"/>
                              </w:rPr>
                              <w:t> </w:t>
                            </w:r>
                            <w:r>
                              <w:rPr/>
                              <w:t>de</w:t>
                            </w:r>
                            <w:r>
                              <w:rPr>
                                <w:spacing w:val="-6"/>
                              </w:rPr>
                              <w:t> </w:t>
                            </w:r>
                            <w:r>
                              <w:rPr/>
                              <w:t>generar</w:t>
                            </w:r>
                            <w:r>
                              <w:rPr>
                                <w:spacing w:val="-5"/>
                              </w:rPr>
                              <w:t> </w:t>
                            </w:r>
                            <w:r>
                              <w:rPr/>
                              <w:t>ingresos</w:t>
                            </w:r>
                            <w:r>
                              <w:rPr>
                                <w:spacing w:val="-6"/>
                              </w:rPr>
                              <w:t> </w:t>
                            </w:r>
                            <w:r>
                              <w:rPr/>
                              <w:t>financieros</w:t>
                            </w:r>
                            <w:r>
                              <w:rPr>
                                <w:spacing w:val="-4"/>
                              </w:rPr>
                              <w:t> </w:t>
                            </w:r>
                            <w:r>
                              <w:rPr/>
                              <w:t>al</w:t>
                            </w:r>
                            <w:r>
                              <w:rPr>
                                <w:spacing w:val="-5"/>
                              </w:rPr>
                              <w:t> </w:t>
                            </w:r>
                            <w:r>
                              <w:rPr/>
                              <w:t>Instituto</w:t>
                            </w:r>
                            <w:r>
                              <w:rPr>
                                <w:spacing w:val="-6"/>
                              </w:rPr>
                              <w:t> </w:t>
                            </w:r>
                            <w:r>
                              <w:rPr/>
                              <w:t>Mixto</w:t>
                            </w:r>
                            <w:r>
                              <w:rPr>
                                <w:spacing w:val="-4"/>
                              </w:rPr>
                              <w:t> </w:t>
                            </w:r>
                            <w:r>
                              <w:rPr/>
                              <w:t>de</w:t>
                            </w:r>
                            <w:r>
                              <w:rPr>
                                <w:spacing w:val="-6"/>
                              </w:rPr>
                              <w:t> </w:t>
                            </w:r>
                            <w:r>
                              <w:rPr/>
                              <w:t>Ayuda</w:t>
                            </w:r>
                            <w:r>
                              <w:rPr>
                                <w:spacing w:val="-8"/>
                              </w:rPr>
                              <w:t> </w:t>
                            </w:r>
                            <w:r>
                              <w:rPr/>
                              <w:t>Social</w:t>
                            </w:r>
                            <w:r>
                              <w:rPr>
                                <w:spacing w:val="-5"/>
                              </w:rPr>
                              <w:t> </w:t>
                            </w:r>
                            <w:r>
                              <w:rPr/>
                              <w:t>para</w:t>
                            </w:r>
                            <w:r>
                              <w:rPr>
                                <w:spacing w:val="-8"/>
                              </w:rPr>
                              <w:t> </w:t>
                            </w:r>
                            <w:r>
                              <w:rPr/>
                              <w:t>la</w:t>
                            </w:r>
                            <w:r>
                              <w:rPr>
                                <w:spacing w:val="-6"/>
                              </w:rPr>
                              <w:t> </w:t>
                            </w:r>
                            <w:r>
                              <w:rPr/>
                              <w:t>atención</w:t>
                            </w:r>
                            <w:r>
                              <w:rPr>
                                <w:spacing w:val="-4"/>
                              </w:rPr>
                              <w:t> </w:t>
                            </w:r>
                            <w:r>
                              <w:rPr/>
                              <w:t>de</w:t>
                            </w:r>
                            <w:r>
                              <w:rPr>
                                <w:spacing w:val="-6"/>
                              </w:rPr>
                              <w:t> </w:t>
                            </w:r>
                            <w:r>
                              <w:rPr/>
                              <w:t>sus programas sociales, mediante el Decreto Nº 2617-T del 20 de noviembre de 1972, se le otorgó la concesión</w:t>
                            </w:r>
                            <w:r>
                              <w:rPr>
                                <w:spacing w:val="-6"/>
                              </w:rPr>
                              <w:t> </w:t>
                            </w:r>
                            <w:r>
                              <w:rPr/>
                              <w:t>para</w:t>
                            </w:r>
                            <w:r>
                              <w:rPr>
                                <w:spacing w:val="-7"/>
                              </w:rPr>
                              <w:t> </w:t>
                            </w:r>
                            <w:r>
                              <w:rPr/>
                              <w:t>explotar</w:t>
                            </w:r>
                            <w:r>
                              <w:rPr>
                                <w:spacing w:val="-6"/>
                              </w:rPr>
                              <w:t> </w:t>
                            </w:r>
                            <w:r>
                              <w:rPr/>
                              <w:t>y</w:t>
                            </w:r>
                            <w:r>
                              <w:rPr>
                                <w:spacing w:val="-7"/>
                              </w:rPr>
                              <w:t> </w:t>
                            </w:r>
                            <w:r>
                              <w:rPr/>
                              <w:t>operar</w:t>
                            </w:r>
                            <w:r>
                              <w:rPr>
                                <w:spacing w:val="-6"/>
                              </w:rPr>
                              <w:t> </w:t>
                            </w:r>
                            <w:r>
                              <w:rPr/>
                              <w:t>el</w:t>
                            </w:r>
                            <w:r>
                              <w:rPr>
                                <w:spacing w:val="-5"/>
                              </w:rPr>
                              <w:t> </w:t>
                            </w:r>
                            <w:r>
                              <w:rPr/>
                              <w:t>puesto</w:t>
                            </w:r>
                            <w:r>
                              <w:rPr>
                                <w:spacing w:val="-5"/>
                              </w:rPr>
                              <w:t> </w:t>
                            </w:r>
                            <w:r>
                              <w:rPr/>
                              <w:t>de</w:t>
                            </w:r>
                            <w:r>
                              <w:rPr>
                                <w:spacing w:val="-8"/>
                              </w:rPr>
                              <w:t> </w:t>
                            </w:r>
                            <w:r>
                              <w:rPr/>
                              <w:t>ventas</w:t>
                            </w:r>
                            <w:r>
                              <w:rPr>
                                <w:spacing w:val="-5"/>
                              </w:rPr>
                              <w:t> </w:t>
                            </w:r>
                            <w:r>
                              <w:rPr/>
                              <w:t>libre</w:t>
                            </w:r>
                            <w:r>
                              <w:rPr>
                                <w:spacing w:val="-7"/>
                              </w:rPr>
                              <w:t> </w:t>
                            </w:r>
                            <w:r>
                              <w:rPr/>
                              <w:t>de</w:t>
                            </w:r>
                            <w:r>
                              <w:rPr>
                                <w:spacing w:val="-8"/>
                              </w:rPr>
                              <w:t> </w:t>
                            </w:r>
                            <w:r>
                              <w:rPr/>
                              <w:t>derechos</w:t>
                            </w:r>
                            <w:r>
                              <w:rPr>
                                <w:spacing w:val="-5"/>
                              </w:rPr>
                              <w:t> </w:t>
                            </w:r>
                            <w:r>
                              <w:rPr/>
                              <w:t>en</w:t>
                            </w:r>
                            <w:r>
                              <w:rPr>
                                <w:spacing w:val="-6"/>
                              </w:rPr>
                              <w:t> </w:t>
                            </w:r>
                            <w:r>
                              <w:rPr/>
                              <w:t>la</w:t>
                            </w:r>
                            <w:r>
                              <w:rPr>
                                <w:spacing w:val="-7"/>
                              </w:rPr>
                              <w:t> </w:t>
                            </w:r>
                            <w:r>
                              <w:rPr/>
                              <w:t>Terminal</w:t>
                            </w:r>
                            <w:r>
                              <w:rPr>
                                <w:spacing w:val="-7"/>
                              </w:rPr>
                              <w:t> </w:t>
                            </w:r>
                            <w:r>
                              <w:rPr/>
                              <w:t>del</w:t>
                            </w:r>
                            <w:r>
                              <w:rPr>
                                <w:spacing w:val="-7"/>
                              </w:rPr>
                              <w:t> </w:t>
                            </w:r>
                            <w:r>
                              <w:rPr/>
                              <w:t>Aeropuerto Juan</w:t>
                            </w:r>
                            <w:r>
                              <w:rPr>
                                <w:spacing w:val="-7"/>
                              </w:rPr>
                              <w:t> </w:t>
                            </w:r>
                            <w:r>
                              <w:rPr/>
                              <w:t>Santamaría.</w:t>
                            </w:r>
                            <w:r>
                              <w:rPr>
                                <w:spacing w:val="-6"/>
                              </w:rPr>
                              <w:t> </w:t>
                            </w:r>
                            <w:r>
                              <w:rPr/>
                              <w:t>Posteriormente,</w:t>
                            </w:r>
                            <w:r>
                              <w:rPr>
                                <w:spacing w:val="-5"/>
                              </w:rPr>
                              <w:t> </w:t>
                            </w:r>
                            <w:r>
                              <w:rPr/>
                              <w:t>con</w:t>
                            </w:r>
                            <w:r>
                              <w:rPr>
                                <w:spacing w:val="-7"/>
                              </w:rPr>
                              <w:t> </w:t>
                            </w:r>
                            <w:r>
                              <w:rPr/>
                              <w:t>el</w:t>
                            </w:r>
                            <w:r>
                              <w:rPr>
                                <w:spacing w:val="-5"/>
                              </w:rPr>
                              <w:t> </w:t>
                            </w:r>
                            <w:r>
                              <w:rPr/>
                              <w:t>fin</w:t>
                            </w:r>
                            <w:r>
                              <w:rPr>
                                <w:spacing w:val="-7"/>
                              </w:rPr>
                              <w:t> </w:t>
                            </w:r>
                            <w:r>
                              <w:rPr/>
                              <w:t>único</w:t>
                            </w:r>
                            <w:r>
                              <w:rPr>
                                <w:spacing w:val="-7"/>
                              </w:rPr>
                              <w:t> </w:t>
                            </w:r>
                            <w:r>
                              <w:rPr/>
                              <w:t>de</w:t>
                            </w:r>
                            <w:r>
                              <w:rPr>
                                <w:spacing w:val="-6"/>
                              </w:rPr>
                              <w:t> </w:t>
                            </w:r>
                            <w:r>
                              <w:rPr/>
                              <w:t>cumplir</w:t>
                            </w:r>
                            <w:r>
                              <w:rPr>
                                <w:spacing w:val="-5"/>
                              </w:rPr>
                              <w:t> </w:t>
                            </w:r>
                            <w:r>
                              <w:rPr/>
                              <w:t>la</w:t>
                            </w:r>
                            <w:r>
                              <w:rPr>
                                <w:spacing w:val="-8"/>
                              </w:rPr>
                              <w:t> </w:t>
                            </w:r>
                            <w:r>
                              <w:rPr/>
                              <w:t>misión</w:t>
                            </w:r>
                            <w:r>
                              <w:rPr>
                                <w:spacing w:val="-7"/>
                              </w:rPr>
                              <w:t> </w:t>
                            </w:r>
                            <w:r>
                              <w:rPr/>
                              <w:t>constitutiva,</w:t>
                            </w:r>
                            <w:r>
                              <w:rPr>
                                <w:spacing w:val="-5"/>
                              </w:rPr>
                              <w:t> </w:t>
                            </w:r>
                            <w:r>
                              <w:rPr/>
                              <w:t>la</w:t>
                            </w:r>
                            <w:r>
                              <w:rPr>
                                <w:spacing w:val="-6"/>
                              </w:rPr>
                              <w:t> </w:t>
                            </w:r>
                            <w:r>
                              <w:rPr/>
                              <w:t>Ley</w:t>
                            </w:r>
                            <w:r>
                              <w:rPr>
                                <w:spacing w:val="-6"/>
                              </w:rPr>
                              <w:t> </w:t>
                            </w:r>
                            <w:r>
                              <w:rPr/>
                              <w:t>6256</w:t>
                            </w:r>
                            <w:r>
                              <w:rPr>
                                <w:spacing w:val="-6"/>
                              </w:rPr>
                              <w:t> </w:t>
                            </w:r>
                            <w:r>
                              <w:rPr/>
                              <w:t>en</w:t>
                            </w:r>
                            <w:r>
                              <w:rPr>
                                <w:spacing w:val="-7"/>
                              </w:rPr>
                              <w:t> </w:t>
                            </w:r>
                            <w:r>
                              <w:rPr/>
                              <w:t>su </w:t>
                            </w:r>
                            <w:r>
                              <w:rPr>
                                <w:spacing w:val="-2"/>
                              </w:rPr>
                              <w:t>artículo</w:t>
                            </w:r>
                            <w:r>
                              <w:rPr>
                                <w:spacing w:val="-6"/>
                              </w:rPr>
                              <w:t> </w:t>
                            </w:r>
                            <w:r>
                              <w:rPr>
                                <w:spacing w:val="-2"/>
                              </w:rPr>
                              <w:t>9º,</w:t>
                            </w:r>
                            <w:r>
                              <w:rPr>
                                <w:spacing w:val="-8"/>
                              </w:rPr>
                              <w:t> </w:t>
                            </w:r>
                            <w:r>
                              <w:rPr>
                                <w:spacing w:val="-2"/>
                              </w:rPr>
                              <w:t>estableció:</w:t>
                            </w:r>
                            <w:r>
                              <w:rPr>
                                <w:spacing w:val="-7"/>
                              </w:rPr>
                              <w:t> </w:t>
                            </w:r>
                            <w:r>
                              <w:rPr>
                                <w:spacing w:val="-2"/>
                              </w:rPr>
                              <w:t>“</w:t>
                            </w:r>
                            <w:r>
                              <w:rPr>
                                <w:i/>
                                <w:spacing w:val="-2"/>
                                <w:sz w:val="23"/>
                              </w:rPr>
                              <w:t>Otórguese</w:t>
                            </w:r>
                            <w:r>
                              <w:rPr>
                                <w:i/>
                                <w:spacing w:val="-9"/>
                                <w:sz w:val="23"/>
                              </w:rPr>
                              <w:t> </w:t>
                            </w:r>
                            <w:r>
                              <w:rPr>
                                <w:i/>
                                <w:spacing w:val="-2"/>
                                <w:sz w:val="23"/>
                              </w:rPr>
                              <w:t>al</w:t>
                            </w:r>
                            <w:r>
                              <w:rPr>
                                <w:i/>
                                <w:spacing w:val="-9"/>
                                <w:sz w:val="23"/>
                              </w:rPr>
                              <w:t> </w:t>
                            </w:r>
                            <w:r>
                              <w:rPr>
                                <w:i/>
                                <w:spacing w:val="-2"/>
                                <w:sz w:val="23"/>
                              </w:rPr>
                              <w:t>IMAS</w:t>
                            </w:r>
                            <w:r>
                              <w:rPr>
                                <w:i/>
                                <w:spacing w:val="-8"/>
                                <w:sz w:val="23"/>
                              </w:rPr>
                              <w:t> </w:t>
                            </w:r>
                            <w:r>
                              <w:rPr>
                                <w:i/>
                                <w:spacing w:val="-2"/>
                                <w:sz w:val="23"/>
                              </w:rPr>
                              <w:t>la</w:t>
                            </w:r>
                            <w:r>
                              <w:rPr>
                                <w:i/>
                                <w:spacing w:val="-9"/>
                                <w:sz w:val="23"/>
                              </w:rPr>
                              <w:t> </w:t>
                            </w:r>
                            <w:r>
                              <w:rPr>
                                <w:i/>
                                <w:spacing w:val="-2"/>
                                <w:sz w:val="23"/>
                              </w:rPr>
                              <w:t>explotación</w:t>
                            </w:r>
                            <w:r>
                              <w:rPr>
                                <w:i/>
                                <w:spacing w:val="-8"/>
                                <w:sz w:val="23"/>
                              </w:rPr>
                              <w:t> </w:t>
                            </w:r>
                            <w:r>
                              <w:rPr>
                                <w:i/>
                                <w:spacing w:val="-2"/>
                                <w:sz w:val="23"/>
                              </w:rPr>
                              <w:t>exclusiva</w:t>
                            </w:r>
                            <w:r>
                              <w:rPr>
                                <w:i/>
                                <w:spacing w:val="-9"/>
                                <w:sz w:val="23"/>
                              </w:rPr>
                              <w:t> </w:t>
                            </w:r>
                            <w:r>
                              <w:rPr>
                                <w:i/>
                                <w:spacing w:val="-2"/>
                                <w:sz w:val="23"/>
                              </w:rPr>
                              <w:t>de</w:t>
                            </w:r>
                            <w:r>
                              <w:rPr>
                                <w:i/>
                                <w:spacing w:val="-10"/>
                                <w:sz w:val="23"/>
                              </w:rPr>
                              <w:t> </w:t>
                            </w:r>
                            <w:r>
                              <w:rPr>
                                <w:i/>
                                <w:spacing w:val="-2"/>
                                <w:sz w:val="23"/>
                              </w:rPr>
                              <w:t>puestos</w:t>
                            </w:r>
                            <w:r>
                              <w:rPr>
                                <w:i/>
                                <w:spacing w:val="-8"/>
                                <w:sz w:val="23"/>
                              </w:rPr>
                              <w:t> </w:t>
                            </w:r>
                            <w:r>
                              <w:rPr>
                                <w:i/>
                                <w:spacing w:val="-2"/>
                                <w:sz w:val="23"/>
                              </w:rPr>
                              <w:t>libres</w:t>
                            </w:r>
                            <w:r>
                              <w:rPr>
                                <w:i/>
                                <w:spacing w:val="-8"/>
                                <w:sz w:val="23"/>
                              </w:rPr>
                              <w:t> </w:t>
                            </w:r>
                            <w:r>
                              <w:rPr>
                                <w:i/>
                                <w:spacing w:val="-2"/>
                                <w:sz w:val="23"/>
                              </w:rPr>
                              <w:t>de</w:t>
                            </w:r>
                            <w:r>
                              <w:rPr>
                                <w:i/>
                                <w:spacing w:val="-10"/>
                                <w:sz w:val="23"/>
                              </w:rPr>
                              <w:t> </w:t>
                            </w:r>
                            <w:r>
                              <w:rPr>
                                <w:i/>
                                <w:spacing w:val="-2"/>
                                <w:sz w:val="23"/>
                              </w:rPr>
                              <w:t>derechos</w:t>
                            </w:r>
                            <w:r>
                              <w:rPr>
                                <w:i/>
                                <w:spacing w:val="-9"/>
                                <w:sz w:val="23"/>
                              </w:rPr>
                              <w:t> </w:t>
                            </w:r>
                            <w:r>
                              <w:rPr>
                                <w:i/>
                                <w:spacing w:val="-2"/>
                                <w:sz w:val="23"/>
                              </w:rPr>
                              <w:t>en </w:t>
                            </w:r>
                            <w:r>
                              <w:rPr>
                                <w:i/>
                                <w:sz w:val="23"/>
                              </w:rPr>
                              <w:t>los</w:t>
                            </w:r>
                            <w:r>
                              <w:rPr>
                                <w:i/>
                                <w:spacing w:val="-12"/>
                                <w:sz w:val="23"/>
                              </w:rPr>
                              <w:t> </w:t>
                            </w:r>
                            <w:r>
                              <w:rPr>
                                <w:i/>
                                <w:sz w:val="23"/>
                              </w:rPr>
                              <w:t>puertos,</w:t>
                            </w:r>
                            <w:r>
                              <w:rPr>
                                <w:i/>
                                <w:spacing w:val="-14"/>
                                <w:sz w:val="23"/>
                              </w:rPr>
                              <w:t> </w:t>
                            </w:r>
                            <w:r>
                              <w:rPr>
                                <w:i/>
                                <w:sz w:val="23"/>
                              </w:rPr>
                              <w:t>fronteras</w:t>
                            </w:r>
                            <w:r>
                              <w:rPr>
                                <w:i/>
                                <w:spacing w:val="-12"/>
                                <w:sz w:val="23"/>
                              </w:rPr>
                              <w:t> </w:t>
                            </w:r>
                            <w:r>
                              <w:rPr>
                                <w:i/>
                                <w:sz w:val="23"/>
                              </w:rPr>
                              <w:t>y</w:t>
                            </w:r>
                            <w:r>
                              <w:rPr>
                                <w:i/>
                                <w:spacing w:val="-13"/>
                                <w:sz w:val="23"/>
                              </w:rPr>
                              <w:t> </w:t>
                            </w:r>
                            <w:r>
                              <w:rPr>
                                <w:i/>
                                <w:sz w:val="23"/>
                              </w:rPr>
                              <w:t>aeropuertos</w:t>
                            </w:r>
                            <w:r>
                              <w:rPr>
                                <w:i/>
                                <w:spacing w:val="-12"/>
                                <w:sz w:val="23"/>
                              </w:rPr>
                              <w:t> </w:t>
                            </w:r>
                            <w:r>
                              <w:rPr>
                                <w:i/>
                                <w:sz w:val="23"/>
                              </w:rPr>
                              <w:t>internacionales...”,</w:t>
                            </w:r>
                            <w:r>
                              <w:rPr>
                                <w:i/>
                                <w:spacing w:val="-9"/>
                                <w:sz w:val="23"/>
                              </w:rPr>
                              <w:t> </w:t>
                            </w:r>
                            <w:r>
                              <w:rPr/>
                              <w:t>realizando</w:t>
                            </w:r>
                            <w:r>
                              <w:rPr>
                                <w:spacing w:val="-10"/>
                              </w:rPr>
                              <w:t> </w:t>
                            </w:r>
                            <w:r>
                              <w:rPr/>
                              <w:t>entonces</w:t>
                            </w:r>
                            <w:r>
                              <w:rPr>
                                <w:spacing w:val="-10"/>
                              </w:rPr>
                              <w:t> </w:t>
                            </w:r>
                            <w:r>
                              <w:rPr/>
                              <w:t>ventas</w:t>
                            </w:r>
                            <w:r>
                              <w:rPr>
                                <w:spacing w:val="-11"/>
                              </w:rPr>
                              <w:t> </w:t>
                            </w:r>
                            <w:r>
                              <w:rPr/>
                              <w:t>en</w:t>
                            </w:r>
                            <w:r>
                              <w:rPr>
                                <w:spacing w:val="-10"/>
                              </w:rPr>
                              <w:t> </w:t>
                            </w:r>
                            <w:r>
                              <w:rPr/>
                              <w:t>el</w:t>
                            </w:r>
                            <w:r>
                              <w:rPr>
                                <w:spacing w:val="-10"/>
                              </w:rPr>
                              <w:t> </w:t>
                            </w:r>
                            <w:r>
                              <w:rPr/>
                              <w:t>Aeropuerto de Liberia y Deposito Libre Comercial de Golfito (cerrado en agosto 2024)</w:t>
                            </w:r>
                          </w:p>
                          <w:p>
                            <w:pPr>
                              <w:pStyle w:val="BodyText"/>
                              <w:spacing w:before="155"/>
                              <w:ind w:left="103" w:right="98"/>
                              <w:jc w:val="both"/>
                            </w:pPr>
                            <w:r>
                              <w:rPr/>
                              <w:t>Los ingresos se registran en el momento en que se devengan, al 31 de julio 2026 y 2025 el ingreso proveniente de la venta de bienes en las tiendas libres suma el valor en miles de colones por ¢ 11.205.640,46</w:t>
                            </w:r>
                            <w:r>
                              <w:rPr>
                                <w:spacing w:val="-14"/>
                              </w:rPr>
                              <w:t> </w:t>
                            </w:r>
                            <w:r>
                              <w:rPr/>
                              <w:t>y</w:t>
                            </w:r>
                            <w:r>
                              <w:rPr>
                                <w:spacing w:val="-14"/>
                              </w:rPr>
                              <w:t> </w:t>
                            </w:r>
                            <w:r>
                              <w:rPr/>
                              <w:t>¢</w:t>
                            </w:r>
                            <w:r>
                              <w:rPr>
                                <w:spacing w:val="-14"/>
                              </w:rPr>
                              <w:t> </w:t>
                            </w:r>
                            <w:r>
                              <w:rPr/>
                              <w:t>11.789.949,84</w:t>
                            </w:r>
                            <w:r>
                              <w:rPr>
                                <w:spacing w:val="-13"/>
                              </w:rPr>
                              <w:t> </w:t>
                            </w:r>
                            <w:r>
                              <w:rPr/>
                              <w:t>respectivamente,</w:t>
                            </w:r>
                            <w:r>
                              <w:rPr>
                                <w:spacing w:val="-14"/>
                              </w:rPr>
                              <w:t> </w:t>
                            </w:r>
                            <w:r>
                              <w:rPr/>
                              <w:t>reflejando</w:t>
                            </w:r>
                            <w:r>
                              <w:rPr>
                                <w:spacing w:val="-14"/>
                              </w:rPr>
                              <w:t> </w:t>
                            </w:r>
                            <w:r>
                              <w:rPr/>
                              <w:t>una</w:t>
                            </w:r>
                            <w:r>
                              <w:rPr>
                                <w:spacing w:val="-14"/>
                              </w:rPr>
                              <w:t> </w:t>
                            </w:r>
                            <w:r>
                              <w:rPr/>
                              <w:t>disminución</w:t>
                            </w:r>
                            <w:r>
                              <w:rPr>
                                <w:spacing w:val="-13"/>
                              </w:rPr>
                              <w:t> </w:t>
                            </w:r>
                            <w:r>
                              <w:rPr/>
                              <w:t>del</w:t>
                            </w:r>
                            <w:r>
                              <w:rPr>
                                <w:spacing w:val="-14"/>
                              </w:rPr>
                              <w:t> </w:t>
                            </w:r>
                            <w:r>
                              <w:rPr/>
                              <w:t>-4,96%</w:t>
                            </w:r>
                            <w:r>
                              <w:rPr>
                                <w:spacing w:val="-14"/>
                              </w:rPr>
                              <w:t> </w:t>
                            </w:r>
                            <w:r>
                              <w:rPr/>
                              <w:t>con</w:t>
                            </w:r>
                            <w:r>
                              <w:rPr>
                                <w:spacing w:val="-14"/>
                              </w:rPr>
                              <w:t> </w:t>
                            </w:r>
                            <w:r>
                              <w:rPr/>
                              <w:t>respecto al año anterior.</w:t>
                            </w:r>
                          </w:p>
                        </w:txbxContent>
                      </wps:txbx>
                      <wps:bodyPr wrap="square" lIns="0" tIns="0" rIns="0" bIns="0" rtlCol="0">
                        <a:noAutofit/>
                      </wps:bodyPr>
                    </wps:wsp>
                  </a:graphicData>
                </a:graphic>
              </wp:anchor>
            </w:drawing>
          </mc:Choice>
          <mc:Fallback>
            <w:pict>
              <v:shape style="position:absolute;margin-left:85.103996pt;margin-top:11.11375pt;width:450pt;height:300.9pt;mso-position-horizontal-relative:page;mso-position-vertical-relative:paragraph;z-index:-15633920;mso-wrap-distance-left:0;mso-wrap-distance-right:0" type="#_x0000_t202" id="docshape491" filled="false" stroked="true" strokeweight=".47998pt" strokecolor="#000000">
                <v:textbox inset="0,0,0,0">
                  <w:txbxContent>
                    <w:p>
                      <w:pPr>
                        <w:pStyle w:val="BodyText"/>
                        <w:ind w:left="103"/>
                      </w:pPr>
                      <w:r>
                        <w:rPr/>
                        <w:t>Los</w:t>
                      </w:r>
                      <w:r>
                        <w:rPr>
                          <w:spacing w:val="-1"/>
                        </w:rPr>
                        <w:t> </w:t>
                      </w:r>
                      <w:r>
                        <w:rPr/>
                        <w:t>ingresos</w:t>
                      </w:r>
                      <w:r>
                        <w:rPr>
                          <w:spacing w:val="-4"/>
                        </w:rPr>
                        <w:t> </w:t>
                      </w:r>
                      <w:r>
                        <w:rPr/>
                        <w:t>ordinarios</w:t>
                      </w:r>
                      <w:r>
                        <w:rPr>
                          <w:spacing w:val="-4"/>
                        </w:rPr>
                        <w:t> </w:t>
                      </w:r>
                      <w:r>
                        <w:rPr/>
                        <w:t>son</w:t>
                      </w:r>
                      <w:r>
                        <w:rPr>
                          <w:spacing w:val="-7"/>
                        </w:rPr>
                        <w:t> </w:t>
                      </w:r>
                      <w:r>
                        <w:rPr/>
                        <w:t>medidos</w:t>
                      </w:r>
                      <w:r>
                        <w:rPr>
                          <w:spacing w:val="-1"/>
                        </w:rPr>
                        <w:t> </w:t>
                      </w:r>
                      <w:r>
                        <w:rPr/>
                        <w:t>al</w:t>
                      </w:r>
                      <w:r>
                        <w:rPr>
                          <w:spacing w:val="-2"/>
                        </w:rPr>
                        <w:t> </w:t>
                      </w:r>
                      <w:r>
                        <w:rPr/>
                        <w:t>valor</w:t>
                      </w:r>
                      <w:r>
                        <w:rPr>
                          <w:spacing w:val="-4"/>
                        </w:rPr>
                        <w:t> </w:t>
                      </w:r>
                      <w:r>
                        <w:rPr/>
                        <w:t>razonable</w:t>
                      </w:r>
                      <w:r>
                        <w:rPr>
                          <w:spacing w:val="-4"/>
                        </w:rPr>
                        <w:t> </w:t>
                      </w:r>
                      <w:r>
                        <w:rPr/>
                        <w:t>de</w:t>
                      </w:r>
                      <w:r>
                        <w:rPr>
                          <w:spacing w:val="-4"/>
                        </w:rPr>
                        <w:t> </w:t>
                      </w:r>
                      <w:r>
                        <w:rPr/>
                        <w:t>la</w:t>
                      </w:r>
                      <w:r>
                        <w:rPr>
                          <w:spacing w:val="-4"/>
                        </w:rPr>
                        <w:t> </w:t>
                      </w:r>
                      <w:r>
                        <w:rPr/>
                        <w:t>consideración</w:t>
                      </w:r>
                      <w:r>
                        <w:rPr>
                          <w:spacing w:val="-2"/>
                        </w:rPr>
                        <w:t> </w:t>
                      </w:r>
                      <w:r>
                        <w:rPr/>
                        <w:t>recibida</w:t>
                      </w:r>
                      <w:r>
                        <w:rPr>
                          <w:spacing w:val="-3"/>
                        </w:rPr>
                        <w:t> </w:t>
                      </w:r>
                      <w:r>
                        <w:rPr/>
                        <w:t>o</w:t>
                      </w:r>
                      <w:r>
                        <w:rPr>
                          <w:spacing w:val="-2"/>
                        </w:rPr>
                        <w:t> </w:t>
                      </w:r>
                      <w:r>
                        <w:rPr/>
                        <w:t>por</w:t>
                      </w:r>
                      <w:r>
                        <w:rPr>
                          <w:spacing w:val="-2"/>
                        </w:rPr>
                        <w:t> </w:t>
                      </w:r>
                      <w:r>
                        <w:rPr/>
                        <w:t>cobrar.</w:t>
                      </w:r>
                      <w:r>
                        <w:rPr>
                          <w:spacing w:val="-3"/>
                        </w:rPr>
                        <w:t> </w:t>
                      </w:r>
                      <w:r>
                        <w:rPr/>
                        <w:t>Se reconocen sólo cuando sea probable que la entidad obtenga los beneficios o potencial de servicio asociados con la transacción.</w:t>
                      </w:r>
                    </w:p>
                    <w:p>
                      <w:pPr>
                        <w:pStyle w:val="BodyText"/>
                        <w:spacing w:before="162"/>
                        <w:ind w:left="103"/>
                      </w:pPr>
                      <w:r>
                        <w:rPr/>
                        <w:t>Las</w:t>
                      </w:r>
                      <w:r>
                        <w:rPr>
                          <w:spacing w:val="-4"/>
                        </w:rPr>
                        <w:t> </w:t>
                      </w:r>
                      <w:r>
                        <w:rPr/>
                        <w:t>Políticas</w:t>
                      </w:r>
                      <w:r>
                        <w:rPr>
                          <w:spacing w:val="-7"/>
                        </w:rPr>
                        <w:t> </w:t>
                      </w:r>
                      <w:r>
                        <w:rPr/>
                        <w:t>Contables</w:t>
                      </w:r>
                      <w:r>
                        <w:rPr>
                          <w:spacing w:val="-3"/>
                        </w:rPr>
                        <w:t> </w:t>
                      </w:r>
                      <w:r>
                        <w:rPr/>
                        <w:t>aplicables</w:t>
                      </w:r>
                      <w:r>
                        <w:rPr>
                          <w:spacing w:val="-4"/>
                        </w:rPr>
                        <w:t> </w:t>
                      </w:r>
                      <w:r>
                        <w:rPr/>
                        <w:t>se</w:t>
                      </w:r>
                      <w:r>
                        <w:rPr>
                          <w:spacing w:val="-5"/>
                        </w:rPr>
                        <w:t> </w:t>
                      </w:r>
                      <w:r>
                        <w:rPr/>
                        <w:t>muestran</w:t>
                      </w:r>
                      <w:r>
                        <w:rPr>
                          <w:spacing w:val="-5"/>
                        </w:rPr>
                        <w:t> </w:t>
                      </w:r>
                      <w:r>
                        <w:rPr/>
                        <w:t>en</w:t>
                      </w:r>
                      <w:r>
                        <w:rPr>
                          <w:spacing w:val="-4"/>
                        </w:rPr>
                        <w:t> </w:t>
                      </w:r>
                      <w:r>
                        <w:rPr/>
                        <w:t>el</w:t>
                      </w:r>
                      <w:r>
                        <w:rPr>
                          <w:spacing w:val="-5"/>
                        </w:rPr>
                        <w:t> </w:t>
                      </w:r>
                      <w:r>
                        <w:rPr/>
                        <w:t>anexo</w:t>
                      </w:r>
                      <w:r>
                        <w:rPr>
                          <w:spacing w:val="-4"/>
                        </w:rPr>
                        <w:t> No.3</w:t>
                      </w:r>
                    </w:p>
                    <w:p>
                      <w:pPr>
                        <w:pStyle w:val="BodyText"/>
                        <w:spacing w:before="178"/>
                        <w:ind w:left="103"/>
                      </w:pPr>
                      <w:r>
                        <w:rPr/>
                        <w:t>La</w:t>
                      </w:r>
                      <w:r>
                        <w:rPr>
                          <w:spacing w:val="-3"/>
                        </w:rPr>
                        <w:t> </w:t>
                      </w:r>
                      <w:r>
                        <w:rPr/>
                        <w:t>NICSP</w:t>
                      </w:r>
                      <w:r>
                        <w:rPr>
                          <w:spacing w:val="-2"/>
                        </w:rPr>
                        <w:t> </w:t>
                      </w:r>
                      <w:r>
                        <w:rPr/>
                        <w:t>9</w:t>
                      </w:r>
                      <w:r>
                        <w:rPr>
                          <w:spacing w:val="-3"/>
                        </w:rPr>
                        <w:t> </w:t>
                      </w:r>
                      <w:r>
                        <w:rPr/>
                        <w:t>aplica</w:t>
                      </w:r>
                      <w:r>
                        <w:rPr>
                          <w:spacing w:val="-3"/>
                        </w:rPr>
                        <w:t> </w:t>
                      </w:r>
                      <w:r>
                        <w:rPr/>
                        <w:t>a</w:t>
                      </w:r>
                      <w:r>
                        <w:rPr>
                          <w:spacing w:val="-3"/>
                        </w:rPr>
                        <w:t> </w:t>
                      </w:r>
                      <w:r>
                        <w:rPr/>
                        <w:t>los</w:t>
                      </w:r>
                      <w:r>
                        <w:rPr>
                          <w:spacing w:val="-1"/>
                        </w:rPr>
                        <w:t> </w:t>
                      </w:r>
                      <w:r>
                        <w:rPr/>
                        <w:t>ingresos</w:t>
                      </w:r>
                      <w:r>
                        <w:rPr>
                          <w:spacing w:val="-1"/>
                        </w:rPr>
                        <w:t> </w:t>
                      </w:r>
                      <w:r>
                        <w:rPr/>
                        <w:t>ordinarios</w:t>
                      </w:r>
                      <w:r>
                        <w:rPr>
                          <w:spacing w:val="-4"/>
                        </w:rPr>
                        <w:t> </w:t>
                      </w:r>
                      <w:r>
                        <w:rPr/>
                        <w:t>que</w:t>
                      </w:r>
                      <w:r>
                        <w:rPr>
                          <w:spacing w:val="-4"/>
                        </w:rPr>
                        <w:t> </w:t>
                      </w:r>
                      <w:r>
                        <w:rPr/>
                        <w:t>surgen</w:t>
                      </w:r>
                      <w:r>
                        <w:rPr>
                          <w:spacing w:val="-4"/>
                        </w:rPr>
                        <w:t> </w:t>
                      </w:r>
                      <w:r>
                        <w:rPr/>
                        <w:t>de</w:t>
                      </w:r>
                      <w:r>
                        <w:rPr>
                          <w:spacing w:val="-4"/>
                        </w:rPr>
                        <w:t> </w:t>
                      </w:r>
                      <w:r>
                        <w:rPr/>
                        <w:t>los</w:t>
                      </w:r>
                      <w:r>
                        <w:rPr>
                          <w:spacing w:val="-1"/>
                        </w:rPr>
                        <w:t> </w:t>
                      </w:r>
                      <w:r>
                        <w:rPr/>
                        <w:t>siguientes</w:t>
                      </w:r>
                      <w:r>
                        <w:rPr>
                          <w:spacing w:val="-2"/>
                        </w:rPr>
                        <w:t> </w:t>
                      </w:r>
                      <w:r>
                        <w:rPr/>
                        <w:t>transacciones</w:t>
                      </w:r>
                      <w:r>
                        <w:rPr>
                          <w:spacing w:val="-1"/>
                        </w:rPr>
                        <w:t> </w:t>
                      </w:r>
                      <w:r>
                        <w:rPr/>
                        <w:t>y</w:t>
                      </w:r>
                      <w:r>
                        <w:rPr>
                          <w:spacing w:val="-3"/>
                        </w:rPr>
                        <w:t> </w:t>
                      </w:r>
                      <w:r>
                        <w:rPr/>
                        <w:t>eventos</w:t>
                      </w:r>
                      <w:r>
                        <w:rPr>
                          <w:spacing w:val="-1"/>
                        </w:rPr>
                        <w:t> </w:t>
                      </w:r>
                      <w:r>
                        <w:rPr/>
                        <w:t>de intercambio, en el IMAS los ingresos ordinarios surgen de:</w:t>
                      </w:r>
                    </w:p>
                    <w:p>
                      <w:pPr>
                        <w:pStyle w:val="BodyText"/>
                        <w:numPr>
                          <w:ilvl w:val="0"/>
                          <w:numId w:val="41"/>
                        </w:numPr>
                        <w:tabs>
                          <w:tab w:pos="823" w:val="left" w:leader="none"/>
                        </w:tabs>
                        <w:spacing w:line="255" w:lineRule="exact" w:before="160" w:after="0"/>
                        <w:ind w:left="823" w:right="0" w:hanging="360"/>
                        <w:jc w:val="left"/>
                      </w:pPr>
                      <w:r>
                        <w:rPr/>
                        <w:t>La</w:t>
                      </w:r>
                      <w:r>
                        <w:rPr>
                          <w:spacing w:val="-3"/>
                        </w:rPr>
                        <w:t> </w:t>
                      </w:r>
                      <w:r>
                        <w:rPr/>
                        <w:t>venta</w:t>
                      </w:r>
                      <w:r>
                        <w:rPr>
                          <w:spacing w:val="-1"/>
                        </w:rPr>
                        <w:t> </w:t>
                      </w:r>
                      <w:r>
                        <w:rPr/>
                        <w:t>de </w:t>
                      </w:r>
                      <w:r>
                        <w:rPr>
                          <w:spacing w:val="-2"/>
                        </w:rPr>
                        <w:t>bienes</w:t>
                      </w:r>
                    </w:p>
                    <w:p>
                      <w:pPr>
                        <w:pStyle w:val="BodyText"/>
                        <w:numPr>
                          <w:ilvl w:val="0"/>
                          <w:numId w:val="41"/>
                        </w:numPr>
                        <w:tabs>
                          <w:tab w:pos="823" w:val="left" w:leader="none"/>
                        </w:tabs>
                        <w:spacing w:line="255" w:lineRule="exact" w:before="0" w:after="0"/>
                        <w:ind w:left="823" w:right="0" w:hanging="360"/>
                        <w:jc w:val="left"/>
                      </w:pPr>
                      <w:r>
                        <w:rPr/>
                        <w:t>El</w:t>
                      </w:r>
                      <w:r>
                        <w:rPr>
                          <w:spacing w:val="-5"/>
                        </w:rPr>
                        <w:t> </w:t>
                      </w:r>
                      <w:r>
                        <w:rPr/>
                        <w:t>uso</w:t>
                      </w:r>
                      <w:r>
                        <w:rPr>
                          <w:spacing w:val="-4"/>
                        </w:rPr>
                        <w:t> </w:t>
                      </w:r>
                      <w:r>
                        <w:rPr/>
                        <w:t>que</w:t>
                      </w:r>
                      <w:r>
                        <w:rPr>
                          <w:spacing w:val="-5"/>
                        </w:rPr>
                        <w:t> </w:t>
                      </w:r>
                      <w:r>
                        <w:rPr/>
                        <w:t>otros</w:t>
                      </w:r>
                      <w:r>
                        <w:rPr>
                          <w:spacing w:val="-1"/>
                        </w:rPr>
                        <w:t> </w:t>
                      </w:r>
                      <w:r>
                        <w:rPr/>
                        <w:t>hacen</w:t>
                      </w:r>
                      <w:r>
                        <w:rPr>
                          <w:spacing w:val="-3"/>
                        </w:rPr>
                        <w:t> </w:t>
                      </w:r>
                      <w:r>
                        <w:rPr/>
                        <w:t>de</w:t>
                      </w:r>
                      <w:r>
                        <w:rPr>
                          <w:spacing w:val="-1"/>
                        </w:rPr>
                        <w:t> </w:t>
                      </w:r>
                      <w:r>
                        <w:rPr/>
                        <w:t>activos</w:t>
                      </w:r>
                      <w:r>
                        <w:rPr>
                          <w:spacing w:val="-2"/>
                        </w:rPr>
                        <w:t> </w:t>
                      </w:r>
                      <w:r>
                        <w:rPr/>
                        <w:t>de</w:t>
                      </w:r>
                      <w:r>
                        <w:rPr>
                          <w:spacing w:val="-2"/>
                        </w:rPr>
                        <w:t> </w:t>
                      </w:r>
                      <w:r>
                        <w:rPr/>
                        <w:t>la</w:t>
                      </w:r>
                      <w:r>
                        <w:rPr>
                          <w:spacing w:val="-4"/>
                        </w:rPr>
                        <w:t> </w:t>
                      </w:r>
                      <w:r>
                        <w:rPr/>
                        <w:t>entidad</w:t>
                      </w:r>
                      <w:r>
                        <w:rPr>
                          <w:spacing w:val="-2"/>
                        </w:rPr>
                        <w:t> </w:t>
                      </w:r>
                      <w:r>
                        <w:rPr/>
                        <w:t>que</w:t>
                      </w:r>
                      <w:r>
                        <w:rPr>
                          <w:spacing w:val="-2"/>
                        </w:rPr>
                        <w:t> </w:t>
                      </w:r>
                      <w:r>
                        <w:rPr/>
                        <w:t>rinden</w:t>
                      </w:r>
                      <w:r>
                        <w:rPr>
                          <w:spacing w:val="-2"/>
                        </w:rPr>
                        <w:t> intereses.</w:t>
                      </w:r>
                    </w:p>
                    <w:p>
                      <w:pPr>
                        <w:pStyle w:val="BodyText"/>
                        <w:spacing w:line="237" w:lineRule="auto" w:before="164"/>
                        <w:ind w:left="103" w:right="99"/>
                        <w:jc w:val="both"/>
                      </w:pPr>
                      <w:r>
                        <w:rPr/>
                        <w:t>El</w:t>
                      </w:r>
                      <w:r>
                        <w:rPr>
                          <w:spacing w:val="-2"/>
                        </w:rPr>
                        <w:t> </w:t>
                      </w:r>
                      <w:r>
                        <w:rPr/>
                        <w:t>IMAS</w:t>
                      </w:r>
                      <w:r>
                        <w:rPr>
                          <w:spacing w:val="-3"/>
                        </w:rPr>
                        <w:t> </w:t>
                      </w:r>
                      <w:r>
                        <w:rPr/>
                        <w:t>recibe</w:t>
                      </w:r>
                      <w:r>
                        <w:rPr>
                          <w:spacing w:val="-4"/>
                        </w:rPr>
                        <w:t> </w:t>
                      </w:r>
                      <w:r>
                        <w:rPr/>
                        <w:t>ingresos</w:t>
                      </w:r>
                      <w:r>
                        <w:rPr>
                          <w:spacing w:val="-1"/>
                        </w:rPr>
                        <w:t> </w:t>
                      </w:r>
                      <w:r>
                        <w:rPr/>
                        <w:t>de</w:t>
                      </w:r>
                      <w:r>
                        <w:rPr>
                          <w:spacing w:val="-6"/>
                        </w:rPr>
                        <w:t> </w:t>
                      </w:r>
                      <w:r>
                        <w:rPr/>
                        <w:t>transacciones</w:t>
                      </w:r>
                      <w:r>
                        <w:rPr>
                          <w:spacing w:val="-1"/>
                        </w:rPr>
                        <w:t> </w:t>
                      </w:r>
                      <w:r>
                        <w:rPr/>
                        <w:t>con</w:t>
                      </w:r>
                      <w:r>
                        <w:rPr>
                          <w:spacing w:val="-2"/>
                        </w:rPr>
                        <w:t> </w:t>
                      </w:r>
                      <w:r>
                        <w:rPr/>
                        <w:t>contraprestación</w:t>
                      </w:r>
                      <w:r>
                        <w:rPr>
                          <w:spacing w:val="-4"/>
                        </w:rPr>
                        <w:t> </w:t>
                      </w:r>
                      <w:r>
                        <w:rPr/>
                        <w:t>originados</w:t>
                      </w:r>
                      <w:r>
                        <w:rPr>
                          <w:spacing w:val="-4"/>
                        </w:rPr>
                        <w:t> </w:t>
                      </w:r>
                      <w:r>
                        <w:rPr/>
                        <w:t>de</w:t>
                      </w:r>
                      <w:r>
                        <w:rPr>
                          <w:spacing w:val="-4"/>
                        </w:rPr>
                        <w:t> </w:t>
                      </w:r>
                      <w:r>
                        <w:rPr/>
                        <w:t>la</w:t>
                      </w:r>
                      <w:r>
                        <w:rPr>
                          <w:spacing w:val="-4"/>
                        </w:rPr>
                        <w:t> </w:t>
                      </w:r>
                      <w:r>
                        <w:rPr/>
                        <w:t>venta</w:t>
                      </w:r>
                      <w:r>
                        <w:rPr>
                          <w:spacing w:val="-3"/>
                        </w:rPr>
                        <w:t> </w:t>
                      </w:r>
                      <w:r>
                        <w:rPr/>
                        <w:t>de</w:t>
                      </w:r>
                      <w:r>
                        <w:rPr>
                          <w:spacing w:val="-4"/>
                        </w:rPr>
                        <w:t> </w:t>
                      </w:r>
                      <w:r>
                        <w:rPr/>
                        <w:t>bienes.</w:t>
                      </w:r>
                      <w:r>
                        <w:rPr>
                          <w:spacing w:val="-3"/>
                        </w:rPr>
                        <w:t> </w:t>
                      </w:r>
                      <w:r>
                        <w:rPr/>
                        <w:t>Con el</w:t>
                      </w:r>
                      <w:r>
                        <w:rPr>
                          <w:spacing w:val="-5"/>
                        </w:rPr>
                        <w:t> </w:t>
                      </w:r>
                      <w:r>
                        <w:rPr/>
                        <w:t>propósito</w:t>
                      </w:r>
                      <w:r>
                        <w:rPr>
                          <w:spacing w:val="-4"/>
                        </w:rPr>
                        <w:t> </w:t>
                      </w:r>
                      <w:r>
                        <w:rPr/>
                        <w:t>de</w:t>
                      </w:r>
                      <w:r>
                        <w:rPr>
                          <w:spacing w:val="-6"/>
                        </w:rPr>
                        <w:t> </w:t>
                      </w:r>
                      <w:r>
                        <w:rPr/>
                        <w:t>generar</w:t>
                      </w:r>
                      <w:r>
                        <w:rPr>
                          <w:spacing w:val="-5"/>
                        </w:rPr>
                        <w:t> </w:t>
                      </w:r>
                      <w:r>
                        <w:rPr/>
                        <w:t>ingresos</w:t>
                      </w:r>
                      <w:r>
                        <w:rPr>
                          <w:spacing w:val="-6"/>
                        </w:rPr>
                        <w:t> </w:t>
                      </w:r>
                      <w:r>
                        <w:rPr/>
                        <w:t>financieros</w:t>
                      </w:r>
                      <w:r>
                        <w:rPr>
                          <w:spacing w:val="-4"/>
                        </w:rPr>
                        <w:t> </w:t>
                      </w:r>
                      <w:r>
                        <w:rPr/>
                        <w:t>al</w:t>
                      </w:r>
                      <w:r>
                        <w:rPr>
                          <w:spacing w:val="-5"/>
                        </w:rPr>
                        <w:t> </w:t>
                      </w:r>
                      <w:r>
                        <w:rPr/>
                        <w:t>Instituto</w:t>
                      </w:r>
                      <w:r>
                        <w:rPr>
                          <w:spacing w:val="-6"/>
                        </w:rPr>
                        <w:t> </w:t>
                      </w:r>
                      <w:r>
                        <w:rPr/>
                        <w:t>Mixto</w:t>
                      </w:r>
                      <w:r>
                        <w:rPr>
                          <w:spacing w:val="-4"/>
                        </w:rPr>
                        <w:t> </w:t>
                      </w:r>
                      <w:r>
                        <w:rPr/>
                        <w:t>de</w:t>
                      </w:r>
                      <w:r>
                        <w:rPr>
                          <w:spacing w:val="-6"/>
                        </w:rPr>
                        <w:t> </w:t>
                      </w:r>
                      <w:r>
                        <w:rPr/>
                        <w:t>Ayuda</w:t>
                      </w:r>
                      <w:r>
                        <w:rPr>
                          <w:spacing w:val="-8"/>
                        </w:rPr>
                        <w:t> </w:t>
                      </w:r>
                      <w:r>
                        <w:rPr/>
                        <w:t>Social</w:t>
                      </w:r>
                      <w:r>
                        <w:rPr>
                          <w:spacing w:val="-5"/>
                        </w:rPr>
                        <w:t> </w:t>
                      </w:r>
                      <w:r>
                        <w:rPr/>
                        <w:t>para</w:t>
                      </w:r>
                      <w:r>
                        <w:rPr>
                          <w:spacing w:val="-8"/>
                        </w:rPr>
                        <w:t> </w:t>
                      </w:r>
                      <w:r>
                        <w:rPr/>
                        <w:t>la</w:t>
                      </w:r>
                      <w:r>
                        <w:rPr>
                          <w:spacing w:val="-6"/>
                        </w:rPr>
                        <w:t> </w:t>
                      </w:r>
                      <w:r>
                        <w:rPr/>
                        <w:t>atención</w:t>
                      </w:r>
                      <w:r>
                        <w:rPr>
                          <w:spacing w:val="-4"/>
                        </w:rPr>
                        <w:t> </w:t>
                      </w:r>
                      <w:r>
                        <w:rPr/>
                        <w:t>de</w:t>
                      </w:r>
                      <w:r>
                        <w:rPr>
                          <w:spacing w:val="-6"/>
                        </w:rPr>
                        <w:t> </w:t>
                      </w:r>
                      <w:r>
                        <w:rPr/>
                        <w:t>sus programas sociales, mediante el Decreto Nº 2617-T del 20 de noviembre de 1972, se le otorgó la concesión</w:t>
                      </w:r>
                      <w:r>
                        <w:rPr>
                          <w:spacing w:val="-6"/>
                        </w:rPr>
                        <w:t> </w:t>
                      </w:r>
                      <w:r>
                        <w:rPr/>
                        <w:t>para</w:t>
                      </w:r>
                      <w:r>
                        <w:rPr>
                          <w:spacing w:val="-7"/>
                        </w:rPr>
                        <w:t> </w:t>
                      </w:r>
                      <w:r>
                        <w:rPr/>
                        <w:t>explotar</w:t>
                      </w:r>
                      <w:r>
                        <w:rPr>
                          <w:spacing w:val="-6"/>
                        </w:rPr>
                        <w:t> </w:t>
                      </w:r>
                      <w:r>
                        <w:rPr/>
                        <w:t>y</w:t>
                      </w:r>
                      <w:r>
                        <w:rPr>
                          <w:spacing w:val="-7"/>
                        </w:rPr>
                        <w:t> </w:t>
                      </w:r>
                      <w:r>
                        <w:rPr/>
                        <w:t>operar</w:t>
                      </w:r>
                      <w:r>
                        <w:rPr>
                          <w:spacing w:val="-6"/>
                        </w:rPr>
                        <w:t> </w:t>
                      </w:r>
                      <w:r>
                        <w:rPr/>
                        <w:t>el</w:t>
                      </w:r>
                      <w:r>
                        <w:rPr>
                          <w:spacing w:val="-5"/>
                        </w:rPr>
                        <w:t> </w:t>
                      </w:r>
                      <w:r>
                        <w:rPr/>
                        <w:t>puesto</w:t>
                      </w:r>
                      <w:r>
                        <w:rPr>
                          <w:spacing w:val="-5"/>
                        </w:rPr>
                        <w:t> </w:t>
                      </w:r>
                      <w:r>
                        <w:rPr/>
                        <w:t>de</w:t>
                      </w:r>
                      <w:r>
                        <w:rPr>
                          <w:spacing w:val="-8"/>
                        </w:rPr>
                        <w:t> </w:t>
                      </w:r>
                      <w:r>
                        <w:rPr/>
                        <w:t>ventas</w:t>
                      </w:r>
                      <w:r>
                        <w:rPr>
                          <w:spacing w:val="-5"/>
                        </w:rPr>
                        <w:t> </w:t>
                      </w:r>
                      <w:r>
                        <w:rPr/>
                        <w:t>libre</w:t>
                      </w:r>
                      <w:r>
                        <w:rPr>
                          <w:spacing w:val="-7"/>
                        </w:rPr>
                        <w:t> </w:t>
                      </w:r>
                      <w:r>
                        <w:rPr/>
                        <w:t>de</w:t>
                      </w:r>
                      <w:r>
                        <w:rPr>
                          <w:spacing w:val="-8"/>
                        </w:rPr>
                        <w:t> </w:t>
                      </w:r>
                      <w:r>
                        <w:rPr/>
                        <w:t>derechos</w:t>
                      </w:r>
                      <w:r>
                        <w:rPr>
                          <w:spacing w:val="-5"/>
                        </w:rPr>
                        <w:t> </w:t>
                      </w:r>
                      <w:r>
                        <w:rPr/>
                        <w:t>en</w:t>
                      </w:r>
                      <w:r>
                        <w:rPr>
                          <w:spacing w:val="-6"/>
                        </w:rPr>
                        <w:t> </w:t>
                      </w:r>
                      <w:r>
                        <w:rPr/>
                        <w:t>la</w:t>
                      </w:r>
                      <w:r>
                        <w:rPr>
                          <w:spacing w:val="-7"/>
                        </w:rPr>
                        <w:t> </w:t>
                      </w:r>
                      <w:r>
                        <w:rPr/>
                        <w:t>Terminal</w:t>
                      </w:r>
                      <w:r>
                        <w:rPr>
                          <w:spacing w:val="-7"/>
                        </w:rPr>
                        <w:t> </w:t>
                      </w:r>
                      <w:r>
                        <w:rPr/>
                        <w:t>del</w:t>
                      </w:r>
                      <w:r>
                        <w:rPr>
                          <w:spacing w:val="-7"/>
                        </w:rPr>
                        <w:t> </w:t>
                      </w:r>
                      <w:r>
                        <w:rPr/>
                        <w:t>Aeropuerto Juan</w:t>
                      </w:r>
                      <w:r>
                        <w:rPr>
                          <w:spacing w:val="-7"/>
                        </w:rPr>
                        <w:t> </w:t>
                      </w:r>
                      <w:r>
                        <w:rPr/>
                        <w:t>Santamaría.</w:t>
                      </w:r>
                      <w:r>
                        <w:rPr>
                          <w:spacing w:val="-6"/>
                        </w:rPr>
                        <w:t> </w:t>
                      </w:r>
                      <w:r>
                        <w:rPr/>
                        <w:t>Posteriormente,</w:t>
                      </w:r>
                      <w:r>
                        <w:rPr>
                          <w:spacing w:val="-5"/>
                        </w:rPr>
                        <w:t> </w:t>
                      </w:r>
                      <w:r>
                        <w:rPr/>
                        <w:t>con</w:t>
                      </w:r>
                      <w:r>
                        <w:rPr>
                          <w:spacing w:val="-7"/>
                        </w:rPr>
                        <w:t> </w:t>
                      </w:r>
                      <w:r>
                        <w:rPr/>
                        <w:t>el</w:t>
                      </w:r>
                      <w:r>
                        <w:rPr>
                          <w:spacing w:val="-5"/>
                        </w:rPr>
                        <w:t> </w:t>
                      </w:r>
                      <w:r>
                        <w:rPr/>
                        <w:t>fin</w:t>
                      </w:r>
                      <w:r>
                        <w:rPr>
                          <w:spacing w:val="-7"/>
                        </w:rPr>
                        <w:t> </w:t>
                      </w:r>
                      <w:r>
                        <w:rPr/>
                        <w:t>único</w:t>
                      </w:r>
                      <w:r>
                        <w:rPr>
                          <w:spacing w:val="-7"/>
                        </w:rPr>
                        <w:t> </w:t>
                      </w:r>
                      <w:r>
                        <w:rPr/>
                        <w:t>de</w:t>
                      </w:r>
                      <w:r>
                        <w:rPr>
                          <w:spacing w:val="-6"/>
                        </w:rPr>
                        <w:t> </w:t>
                      </w:r>
                      <w:r>
                        <w:rPr/>
                        <w:t>cumplir</w:t>
                      </w:r>
                      <w:r>
                        <w:rPr>
                          <w:spacing w:val="-5"/>
                        </w:rPr>
                        <w:t> </w:t>
                      </w:r>
                      <w:r>
                        <w:rPr/>
                        <w:t>la</w:t>
                      </w:r>
                      <w:r>
                        <w:rPr>
                          <w:spacing w:val="-8"/>
                        </w:rPr>
                        <w:t> </w:t>
                      </w:r>
                      <w:r>
                        <w:rPr/>
                        <w:t>misión</w:t>
                      </w:r>
                      <w:r>
                        <w:rPr>
                          <w:spacing w:val="-7"/>
                        </w:rPr>
                        <w:t> </w:t>
                      </w:r>
                      <w:r>
                        <w:rPr/>
                        <w:t>constitutiva,</w:t>
                      </w:r>
                      <w:r>
                        <w:rPr>
                          <w:spacing w:val="-5"/>
                        </w:rPr>
                        <w:t> </w:t>
                      </w:r>
                      <w:r>
                        <w:rPr/>
                        <w:t>la</w:t>
                      </w:r>
                      <w:r>
                        <w:rPr>
                          <w:spacing w:val="-6"/>
                        </w:rPr>
                        <w:t> </w:t>
                      </w:r>
                      <w:r>
                        <w:rPr/>
                        <w:t>Ley</w:t>
                      </w:r>
                      <w:r>
                        <w:rPr>
                          <w:spacing w:val="-6"/>
                        </w:rPr>
                        <w:t> </w:t>
                      </w:r>
                      <w:r>
                        <w:rPr/>
                        <w:t>6256</w:t>
                      </w:r>
                      <w:r>
                        <w:rPr>
                          <w:spacing w:val="-6"/>
                        </w:rPr>
                        <w:t> </w:t>
                      </w:r>
                      <w:r>
                        <w:rPr/>
                        <w:t>en</w:t>
                      </w:r>
                      <w:r>
                        <w:rPr>
                          <w:spacing w:val="-7"/>
                        </w:rPr>
                        <w:t> </w:t>
                      </w:r>
                      <w:r>
                        <w:rPr/>
                        <w:t>su </w:t>
                      </w:r>
                      <w:r>
                        <w:rPr>
                          <w:spacing w:val="-2"/>
                        </w:rPr>
                        <w:t>artículo</w:t>
                      </w:r>
                      <w:r>
                        <w:rPr>
                          <w:spacing w:val="-6"/>
                        </w:rPr>
                        <w:t> </w:t>
                      </w:r>
                      <w:r>
                        <w:rPr>
                          <w:spacing w:val="-2"/>
                        </w:rPr>
                        <w:t>9º,</w:t>
                      </w:r>
                      <w:r>
                        <w:rPr>
                          <w:spacing w:val="-8"/>
                        </w:rPr>
                        <w:t> </w:t>
                      </w:r>
                      <w:r>
                        <w:rPr>
                          <w:spacing w:val="-2"/>
                        </w:rPr>
                        <w:t>estableció:</w:t>
                      </w:r>
                      <w:r>
                        <w:rPr>
                          <w:spacing w:val="-7"/>
                        </w:rPr>
                        <w:t> </w:t>
                      </w:r>
                      <w:r>
                        <w:rPr>
                          <w:spacing w:val="-2"/>
                        </w:rPr>
                        <w:t>“</w:t>
                      </w:r>
                      <w:r>
                        <w:rPr>
                          <w:i/>
                          <w:spacing w:val="-2"/>
                          <w:sz w:val="23"/>
                        </w:rPr>
                        <w:t>Otórguese</w:t>
                      </w:r>
                      <w:r>
                        <w:rPr>
                          <w:i/>
                          <w:spacing w:val="-9"/>
                          <w:sz w:val="23"/>
                        </w:rPr>
                        <w:t> </w:t>
                      </w:r>
                      <w:r>
                        <w:rPr>
                          <w:i/>
                          <w:spacing w:val="-2"/>
                          <w:sz w:val="23"/>
                        </w:rPr>
                        <w:t>al</w:t>
                      </w:r>
                      <w:r>
                        <w:rPr>
                          <w:i/>
                          <w:spacing w:val="-9"/>
                          <w:sz w:val="23"/>
                        </w:rPr>
                        <w:t> </w:t>
                      </w:r>
                      <w:r>
                        <w:rPr>
                          <w:i/>
                          <w:spacing w:val="-2"/>
                          <w:sz w:val="23"/>
                        </w:rPr>
                        <w:t>IMAS</w:t>
                      </w:r>
                      <w:r>
                        <w:rPr>
                          <w:i/>
                          <w:spacing w:val="-8"/>
                          <w:sz w:val="23"/>
                        </w:rPr>
                        <w:t> </w:t>
                      </w:r>
                      <w:r>
                        <w:rPr>
                          <w:i/>
                          <w:spacing w:val="-2"/>
                          <w:sz w:val="23"/>
                        </w:rPr>
                        <w:t>la</w:t>
                      </w:r>
                      <w:r>
                        <w:rPr>
                          <w:i/>
                          <w:spacing w:val="-9"/>
                          <w:sz w:val="23"/>
                        </w:rPr>
                        <w:t> </w:t>
                      </w:r>
                      <w:r>
                        <w:rPr>
                          <w:i/>
                          <w:spacing w:val="-2"/>
                          <w:sz w:val="23"/>
                        </w:rPr>
                        <w:t>explotación</w:t>
                      </w:r>
                      <w:r>
                        <w:rPr>
                          <w:i/>
                          <w:spacing w:val="-8"/>
                          <w:sz w:val="23"/>
                        </w:rPr>
                        <w:t> </w:t>
                      </w:r>
                      <w:r>
                        <w:rPr>
                          <w:i/>
                          <w:spacing w:val="-2"/>
                          <w:sz w:val="23"/>
                        </w:rPr>
                        <w:t>exclusiva</w:t>
                      </w:r>
                      <w:r>
                        <w:rPr>
                          <w:i/>
                          <w:spacing w:val="-9"/>
                          <w:sz w:val="23"/>
                        </w:rPr>
                        <w:t> </w:t>
                      </w:r>
                      <w:r>
                        <w:rPr>
                          <w:i/>
                          <w:spacing w:val="-2"/>
                          <w:sz w:val="23"/>
                        </w:rPr>
                        <w:t>de</w:t>
                      </w:r>
                      <w:r>
                        <w:rPr>
                          <w:i/>
                          <w:spacing w:val="-10"/>
                          <w:sz w:val="23"/>
                        </w:rPr>
                        <w:t> </w:t>
                      </w:r>
                      <w:r>
                        <w:rPr>
                          <w:i/>
                          <w:spacing w:val="-2"/>
                          <w:sz w:val="23"/>
                        </w:rPr>
                        <w:t>puestos</w:t>
                      </w:r>
                      <w:r>
                        <w:rPr>
                          <w:i/>
                          <w:spacing w:val="-8"/>
                          <w:sz w:val="23"/>
                        </w:rPr>
                        <w:t> </w:t>
                      </w:r>
                      <w:r>
                        <w:rPr>
                          <w:i/>
                          <w:spacing w:val="-2"/>
                          <w:sz w:val="23"/>
                        </w:rPr>
                        <w:t>libres</w:t>
                      </w:r>
                      <w:r>
                        <w:rPr>
                          <w:i/>
                          <w:spacing w:val="-8"/>
                          <w:sz w:val="23"/>
                        </w:rPr>
                        <w:t> </w:t>
                      </w:r>
                      <w:r>
                        <w:rPr>
                          <w:i/>
                          <w:spacing w:val="-2"/>
                          <w:sz w:val="23"/>
                        </w:rPr>
                        <w:t>de</w:t>
                      </w:r>
                      <w:r>
                        <w:rPr>
                          <w:i/>
                          <w:spacing w:val="-10"/>
                          <w:sz w:val="23"/>
                        </w:rPr>
                        <w:t> </w:t>
                      </w:r>
                      <w:r>
                        <w:rPr>
                          <w:i/>
                          <w:spacing w:val="-2"/>
                          <w:sz w:val="23"/>
                        </w:rPr>
                        <w:t>derechos</w:t>
                      </w:r>
                      <w:r>
                        <w:rPr>
                          <w:i/>
                          <w:spacing w:val="-9"/>
                          <w:sz w:val="23"/>
                        </w:rPr>
                        <w:t> </w:t>
                      </w:r>
                      <w:r>
                        <w:rPr>
                          <w:i/>
                          <w:spacing w:val="-2"/>
                          <w:sz w:val="23"/>
                        </w:rPr>
                        <w:t>en </w:t>
                      </w:r>
                      <w:r>
                        <w:rPr>
                          <w:i/>
                          <w:sz w:val="23"/>
                        </w:rPr>
                        <w:t>los</w:t>
                      </w:r>
                      <w:r>
                        <w:rPr>
                          <w:i/>
                          <w:spacing w:val="-12"/>
                          <w:sz w:val="23"/>
                        </w:rPr>
                        <w:t> </w:t>
                      </w:r>
                      <w:r>
                        <w:rPr>
                          <w:i/>
                          <w:sz w:val="23"/>
                        </w:rPr>
                        <w:t>puertos,</w:t>
                      </w:r>
                      <w:r>
                        <w:rPr>
                          <w:i/>
                          <w:spacing w:val="-14"/>
                          <w:sz w:val="23"/>
                        </w:rPr>
                        <w:t> </w:t>
                      </w:r>
                      <w:r>
                        <w:rPr>
                          <w:i/>
                          <w:sz w:val="23"/>
                        </w:rPr>
                        <w:t>fronteras</w:t>
                      </w:r>
                      <w:r>
                        <w:rPr>
                          <w:i/>
                          <w:spacing w:val="-12"/>
                          <w:sz w:val="23"/>
                        </w:rPr>
                        <w:t> </w:t>
                      </w:r>
                      <w:r>
                        <w:rPr>
                          <w:i/>
                          <w:sz w:val="23"/>
                        </w:rPr>
                        <w:t>y</w:t>
                      </w:r>
                      <w:r>
                        <w:rPr>
                          <w:i/>
                          <w:spacing w:val="-13"/>
                          <w:sz w:val="23"/>
                        </w:rPr>
                        <w:t> </w:t>
                      </w:r>
                      <w:r>
                        <w:rPr>
                          <w:i/>
                          <w:sz w:val="23"/>
                        </w:rPr>
                        <w:t>aeropuertos</w:t>
                      </w:r>
                      <w:r>
                        <w:rPr>
                          <w:i/>
                          <w:spacing w:val="-12"/>
                          <w:sz w:val="23"/>
                        </w:rPr>
                        <w:t> </w:t>
                      </w:r>
                      <w:r>
                        <w:rPr>
                          <w:i/>
                          <w:sz w:val="23"/>
                        </w:rPr>
                        <w:t>internacionales...”,</w:t>
                      </w:r>
                      <w:r>
                        <w:rPr>
                          <w:i/>
                          <w:spacing w:val="-9"/>
                          <w:sz w:val="23"/>
                        </w:rPr>
                        <w:t> </w:t>
                      </w:r>
                      <w:r>
                        <w:rPr/>
                        <w:t>realizando</w:t>
                      </w:r>
                      <w:r>
                        <w:rPr>
                          <w:spacing w:val="-10"/>
                        </w:rPr>
                        <w:t> </w:t>
                      </w:r>
                      <w:r>
                        <w:rPr/>
                        <w:t>entonces</w:t>
                      </w:r>
                      <w:r>
                        <w:rPr>
                          <w:spacing w:val="-10"/>
                        </w:rPr>
                        <w:t> </w:t>
                      </w:r>
                      <w:r>
                        <w:rPr/>
                        <w:t>ventas</w:t>
                      </w:r>
                      <w:r>
                        <w:rPr>
                          <w:spacing w:val="-11"/>
                        </w:rPr>
                        <w:t> </w:t>
                      </w:r>
                      <w:r>
                        <w:rPr/>
                        <w:t>en</w:t>
                      </w:r>
                      <w:r>
                        <w:rPr>
                          <w:spacing w:val="-10"/>
                        </w:rPr>
                        <w:t> </w:t>
                      </w:r>
                      <w:r>
                        <w:rPr/>
                        <w:t>el</w:t>
                      </w:r>
                      <w:r>
                        <w:rPr>
                          <w:spacing w:val="-10"/>
                        </w:rPr>
                        <w:t> </w:t>
                      </w:r>
                      <w:r>
                        <w:rPr/>
                        <w:t>Aeropuerto de Liberia y Deposito Libre Comercial de Golfito (cerrado en agosto 2024)</w:t>
                      </w:r>
                    </w:p>
                    <w:p>
                      <w:pPr>
                        <w:pStyle w:val="BodyText"/>
                        <w:spacing w:before="155"/>
                        <w:ind w:left="103" w:right="98"/>
                        <w:jc w:val="both"/>
                      </w:pPr>
                      <w:r>
                        <w:rPr/>
                        <w:t>Los ingresos se registran en el momento en que se devengan, al 31 de julio 2026 y 2025 el ingreso proveniente de la venta de bienes en las tiendas libres suma el valor en miles de colones por ¢ 11.205.640,46</w:t>
                      </w:r>
                      <w:r>
                        <w:rPr>
                          <w:spacing w:val="-14"/>
                        </w:rPr>
                        <w:t> </w:t>
                      </w:r>
                      <w:r>
                        <w:rPr/>
                        <w:t>y</w:t>
                      </w:r>
                      <w:r>
                        <w:rPr>
                          <w:spacing w:val="-14"/>
                        </w:rPr>
                        <w:t> </w:t>
                      </w:r>
                      <w:r>
                        <w:rPr/>
                        <w:t>¢</w:t>
                      </w:r>
                      <w:r>
                        <w:rPr>
                          <w:spacing w:val="-14"/>
                        </w:rPr>
                        <w:t> </w:t>
                      </w:r>
                      <w:r>
                        <w:rPr/>
                        <w:t>11.789.949,84</w:t>
                      </w:r>
                      <w:r>
                        <w:rPr>
                          <w:spacing w:val="-13"/>
                        </w:rPr>
                        <w:t> </w:t>
                      </w:r>
                      <w:r>
                        <w:rPr/>
                        <w:t>respectivamente,</w:t>
                      </w:r>
                      <w:r>
                        <w:rPr>
                          <w:spacing w:val="-14"/>
                        </w:rPr>
                        <w:t> </w:t>
                      </w:r>
                      <w:r>
                        <w:rPr/>
                        <w:t>reflejando</w:t>
                      </w:r>
                      <w:r>
                        <w:rPr>
                          <w:spacing w:val="-14"/>
                        </w:rPr>
                        <w:t> </w:t>
                      </w:r>
                      <w:r>
                        <w:rPr/>
                        <w:t>una</w:t>
                      </w:r>
                      <w:r>
                        <w:rPr>
                          <w:spacing w:val="-14"/>
                        </w:rPr>
                        <w:t> </w:t>
                      </w:r>
                      <w:r>
                        <w:rPr/>
                        <w:t>disminución</w:t>
                      </w:r>
                      <w:r>
                        <w:rPr>
                          <w:spacing w:val="-13"/>
                        </w:rPr>
                        <w:t> </w:t>
                      </w:r>
                      <w:r>
                        <w:rPr/>
                        <w:t>del</w:t>
                      </w:r>
                      <w:r>
                        <w:rPr>
                          <w:spacing w:val="-14"/>
                        </w:rPr>
                        <w:t> </w:t>
                      </w:r>
                      <w:r>
                        <w:rPr/>
                        <w:t>-4,96%</w:t>
                      </w:r>
                      <w:r>
                        <w:rPr>
                          <w:spacing w:val="-14"/>
                        </w:rPr>
                        <w:t> </w:t>
                      </w:r>
                      <w:r>
                        <w:rPr/>
                        <w:t>con</w:t>
                      </w:r>
                      <w:r>
                        <w:rPr>
                          <w:spacing w:val="-14"/>
                        </w:rPr>
                        <w:t> </w:t>
                      </w:r>
                      <w:r>
                        <w:rPr/>
                        <w:t>respecto al año anterior.</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85" w:id="86"/>
      <w:bookmarkEnd w:id="86"/>
      <w:r>
        <w:rPr/>
      </w:r>
      <w:r>
        <w:rPr>
          <w:b/>
          <w:sz w:val="22"/>
        </w:rPr>
        <w:t>NOTA</w:t>
      </w:r>
      <w:r>
        <w:rPr>
          <w:b/>
          <w:spacing w:val="-1"/>
          <w:sz w:val="22"/>
        </w:rPr>
        <w:t> </w:t>
      </w:r>
      <w:r>
        <w:rPr>
          <w:b/>
          <w:sz w:val="22"/>
        </w:rPr>
        <w:t>N° </w:t>
      </w:r>
      <w:r>
        <w:rPr>
          <w:b/>
          <w:spacing w:val="-5"/>
          <w:sz w:val="22"/>
        </w:rPr>
        <w:t>42</w:t>
      </w:r>
    </w:p>
    <w:p>
      <w:pPr>
        <w:pStyle w:val="BodyText"/>
        <w:spacing w:before="115"/>
        <w:rPr>
          <w:b/>
        </w:rPr>
      </w:pPr>
    </w:p>
    <w:p>
      <w:pPr>
        <w:pStyle w:val="BodyText"/>
        <w:ind w:left="622"/>
      </w:pPr>
      <w:r>
        <w:rPr/>
        <w:t>Derechos</w:t>
      </w:r>
      <w:r>
        <w:rPr>
          <w:spacing w:val="-5"/>
        </w:rPr>
        <w:t> </w:t>
      </w:r>
      <w:r>
        <w:rPr>
          <w:spacing w:val="-2"/>
        </w:rPr>
        <w:t>administrativos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93"/>
        <w:gridCol w:w="2410"/>
        <w:gridCol w:w="708"/>
        <w:gridCol w:w="1419"/>
        <w:gridCol w:w="1654"/>
        <w:gridCol w:w="1107"/>
      </w:tblGrid>
      <w:tr>
        <w:trPr>
          <w:trHeight w:val="323" w:hRule="atLeast"/>
        </w:trPr>
        <w:tc>
          <w:tcPr>
            <w:tcW w:w="1693" w:type="dxa"/>
            <w:vMerge w:val="restart"/>
            <w:shd w:val="clear" w:color="auto" w:fill="365F92"/>
          </w:tcPr>
          <w:p>
            <w:pPr>
              <w:pStyle w:val="TableParagraph"/>
              <w:spacing w:before="130"/>
              <w:ind w:left="69"/>
              <w:rPr>
                <w:b/>
                <w:sz w:val="20"/>
              </w:rPr>
            </w:pPr>
            <w:r>
              <w:rPr>
                <w:b/>
                <w:color w:val="FFFFFF"/>
                <w:spacing w:val="-2"/>
                <w:sz w:val="20"/>
              </w:rPr>
              <w:t>Cuenta</w:t>
            </w:r>
          </w:p>
        </w:tc>
        <w:tc>
          <w:tcPr>
            <w:tcW w:w="2410" w:type="dxa"/>
            <w:vMerge w:val="restart"/>
            <w:shd w:val="clear" w:color="auto" w:fill="365F92"/>
          </w:tcPr>
          <w:p>
            <w:pPr>
              <w:pStyle w:val="TableParagraph"/>
              <w:spacing w:before="219"/>
              <w:ind w:left="721"/>
              <w:rPr>
                <w:b/>
                <w:sz w:val="20"/>
              </w:rPr>
            </w:pPr>
            <w:r>
              <w:rPr>
                <w:b/>
                <w:color w:val="FFFFFF"/>
                <w:spacing w:val="-2"/>
                <w:sz w:val="20"/>
              </w:rPr>
              <w:t>Descripción</w:t>
            </w:r>
          </w:p>
        </w:tc>
        <w:tc>
          <w:tcPr>
            <w:tcW w:w="708" w:type="dxa"/>
            <w:vMerge w:val="restart"/>
            <w:shd w:val="clear" w:color="auto" w:fill="365F92"/>
          </w:tcPr>
          <w:p>
            <w:pPr>
              <w:pStyle w:val="TableParagraph"/>
              <w:spacing w:before="219"/>
              <w:ind w:left="157"/>
              <w:rPr>
                <w:b/>
                <w:sz w:val="20"/>
              </w:rPr>
            </w:pPr>
            <w:r>
              <w:rPr>
                <w:b/>
                <w:color w:val="FFFFFF"/>
                <w:spacing w:val="-4"/>
                <w:sz w:val="20"/>
              </w:rPr>
              <w:t>Nota</w:t>
            </w:r>
          </w:p>
        </w:tc>
        <w:tc>
          <w:tcPr>
            <w:tcW w:w="1419" w:type="dxa"/>
            <w:vMerge w:val="restart"/>
            <w:shd w:val="clear" w:color="auto" w:fill="365F92"/>
          </w:tcPr>
          <w:p>
            <w:pPr>
              <w:pStyle w:val="TableParagraph"/>
              <w:spacing w:before="219"/>
              <w:ind w:left="133"/>
              <w:rPr>
                <w:b/>
                <w:sz w:val="20"/>
              </w:rPr>
            </w:pPr>
            <w:r>
              <w:rPr>
                <w:b/>
                <w:color w:val="FFFFFF"/>
                <w:sz w:val="20"/>
              </w:rPr>
              <w:t>Periodo</w:t>
            </w:r>
            <w:r>
              <w:rPr>
                <w:b/>
                <w:color w:val="FFFFFF"/>
                <w:spacing w:val="-5"/>
                <w:sz w:val="20"/>
              </w:rPr>
              <w:t> </w:t>
            </w:r>
            <w:r>
              <w:rPr>
                <w:b/>
                <w:color w:val="FFFFFF"/>
                <w:spacing w:val="-2"/>
                <w:sz w:val="20"/>
              </w:rPr>
              <w:t>Actual</w:t>
            </w:r>
          </w:p>
        </w:tc>
        <w:tc>
          <w:tcPr>
            <w:tcW w:w="1654" w:type="dxa"/>
            <w:vMerge w:val="restart"/>
            <w:shd w:val="clear" w:color="auto" w:fill="365F92"/>
          </w:tcPr>
          <w:p>
            <w:pPr>
              <w:pStyle w:val="TableParagraph"/>
              <w:spacing w:before="219"/>
              <w:ind w:left="169"/>
              <w:rPr>
                <w:b/>
                <w:sz w:val="20"/>
              </w:rPr>
            </w:pPr>
            <w:r>
              <w:rPr>
                <w:b/>
                <w:color w:val="FFFFFF"/>
                <w:sz w:val="20"/>
              </w:rPr>
              <w:t>Periodo</w:t>
            </w:r>
            <w:r>
              <w:rPr>
                <w:b/>
                <w:color w:val="FFFFFF"/>
                <w:spacing w:val="-5"/>
                <w:sz w:val="20"/>
              </w:rPr>
              <w:t> </w:t>
            </w:r>
            <w:r>
              <w:rPr>
                <w:b/>
                <w:color w:val="FFFFFF"/>
                <w:spacing w:val="-2"/>
                <w:sz w:val="20"/>
              </w:rPr>
              <w:t>Anterior</w:t>
            </w:r>
          </w:p>
        </w:tc>
        <w:tc>
          <w:tcPr>
            <w:tcW w:w="1107" w:type="dxa"/>
            <w:shd w:val="clear" w:color="auto" w:fill="365F92"/>
          </w:tcPr>
          <w:p>
            <w:pPr>
              <w:pStyle w:val="TableParagraph"/>
              <w:spacing w:before="46"/>
              <w:ind w:left="17" w:right="3"/>
              <w:jc w:val="center"/>
              <w:rPr>
                <w:b/>
                <w:sz w:val="20"/>
              </w:rPr>
            </w:pPr>
            <w:r>
              <w:rPr>
                <w:b/>
                <w:color w:val="FFFFFF"/>
                <w:spacing w:val="-2"/>
                <w:sz w:val="20"/>
              </w:rPr>
              <w:t>Diferencia</w:t>
            </w:r>
          </w:p>
        </w:tc>
      </w:tr>
      <w:tr>
        <w:trPr>
          <w:trHeight w:val="325" w:hRule="atLeast"/>
        </w:trPr>
        <w:tc>
          <w:tcPr>
            <w:tcW w:w="1693" w:type="dxa"/>
            <w:vMerge/>
            <w:tcBorders>
              <w:top w:val="nil"/>
            </w:tcBorders>
            <w:shd w:val="clear" w:color="auto" w:fill="365F92"/>
          </w:tcPr>
          <w:p>
            <w:pPr>
              <w:rPr>
                <w:sz w:val="2"/>
                <w:szCs w:val="2"/>
              </w:rPr>
            </w:pPr>
          </w:p>
        </w:tc>
        <w:tc>
          <w:tcPr>
            <w:tcW w:w="2410"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419" w:type="dxa"/>
            <w:vMerge/>
            <w:tcBorders>
              <w:top w:val="nil"/>
            </w:tcBorders>
            <w:shd w:val="clear" w:color="auto" w:fill="365F92"/>
          </w:tcPr>
          <w:p>
            <w:pPr>
              <w:rPr>
                <w:sz w:val="2"/>
                <w:szCs w:val="2"/>
              </w:rPr>
            </w:pPr>
          </w:p>
        </w:tc>
        <w:tc>
          <w:tcPr>
            <w:tcW w:w="1654" w:type="dxa"/>
            <w:vMerge/>
            <w:tcBorders>
              <w:top w:val="nil"/>
            </w:tcBorders>
            <w:shd w:val="clear" w:color="auto" w:fill="365F92"/>
          </w:tcPr>
          <w:p>
            <w:pPr>
              <w:rPr>
                <w:sz w:val="2"/>
                <w:szCs w:val="2"/>
              </w:rPr>
            </w:pPr>
          </w:p>
        </w:tc>
        <w:tc>
          <w:tcPr>
            <w:tcW w:w="1107" w:type="dxa"/>
            <w:shd w:val="clear" w:color="auto" w:fill="365F92"/>
          </w:tcPr>
          <w:p>
            <w:pPr>
              <w:pStyle w:val="TableParagraph"/>
              <w:spacing w:before="49"/>
              <w:ind w:left="17" w:right="4"/>
              <w:jc w:val="center"/>
              <w:rPr>
                <w:sz w:val="20"/>
              </w:rPr>
            </w:pPr>
            <w:r>
              <w:rPr>
                <w:color w:val="FFFFFF"/>
                <w:spacing w:val="-10"/>
                <w:sz w:val="20"/>
              </w:rPr>
              <w:t>%</w:t>
            </w:r>
          </w:p>
        </w:tc>
      </w:tr>
      <w:tr>
        <w:trPr>
          <w:trHeight w:val="323" w:hRule="atLeast"/>
        </w:trPr>
        <w:tc>
          <w:tcPr>
            <w:tcW w:w="1693" w:type="dxa"/>
          </w:tcPr>
          <w:p>
            <w:pPr>
              <w:pStyle w:val="TableParagraph"/>
              <w:spacing w:before="46"/>
              <w:ind w:left="69"/>
              <w:rPr>
                <w:b/>
                <w:sz w:val="20"/>
              </w:rPr>
            </w:pPr>
            <w:r>
              <w:rPr>
                <w:b/>
                <w:spacing w:val="-2"/>
                <w:sz w:val="20"/>
              </w:rPr>
              <w:t>4.4.2.</w:t>
            </w:r>
          </w:p>
        </w:tc>
        <w:tc>
          <w:tcPr>
            <w:tcW w:w="2410" w:type="dxa"/>
          </w:tcPr>
          <w:p>
            <w:pPr>
              <w:pStyle w:val="TableParagraph"/>
              <w:spacing w:before="46"/>
              <w:ind w:left="68"/>
              <w:rPr>
                <w:b/>
                <w:sz w:val="20"/>
              </w:rPr>
            </w:pPr>
            <w:r>
              <w:rPr>
                <w:b/>
                <w:sz w:val="20"/>
              </w:rPr>
              <w:t>Derechos</w:t>
            </w:r>
            <w:r>
              <w:rPr>
                <w:b/>
                <w:spacing w:val="-5"/>
                <w:sz w:val="20"/>
              </w:rPr>
              <w:t> </w:t>
            </w:r>
            <w:r>
              <w:rPr>
                <w:b/>
                <w:spacing w:val="-2"/>
                <w:sz w:val="20"/>
              </w:rPr>
              <w:t>administrativos</w:t>
            </w:r>
          </w:p>
        </w:tc>
        <w:tc>
          <w:tcPr>
            <w:tcW w:w="708" w:type="dxa"/>
          </w:tcPr>
          <w:p>
            <w:pPr>
              <w:pStyle w:val="TableParagraph"/>
              <w:spacing w:before="46"/>
              <w:ind w:left="18" w:right="3"/>
              <w:jc w:val="center"/>
              <w:rPr>
                <w:b/>
                <w:sz w:val="20"/>
              </w:rPr>
            </w:pPr>
            <w:r>
              <w:rPr>
                <w:b/>
                <w:spacing w:val="-5"/>
                <w:sz w:val="20"/>
              </w:rPr>
              <w:t>42</w:t>
            </w:r>
          </w:p>
        </w:tc>
        <w:tc>
          <w:tcPr>
            <w:tcW w:w="1419" w:type="dxa"/>
          </w:tcPr>
          <w:p>
            <w:pPr>
              <w:pStyle w:val="TableParagraph"/>
              <w:spacing w:before="46"/>
              <w:ind w:left="11"/>
              <w:jc w:val="center"/>
              <w:rPr>
                <w:b/>
                <w:sz w:val="20"/>
              </w:rPr>
            </w:pPr>
            <w:r>
              <w:rPr>
                <w:b/>
                <w:spacing w:val="-4"/>
                <w:sz w:val="20"/>
              </w:rPr>
              <w:t>0,00</w:t>
            </w:r>
          </w:p>
        </w:tc>
        <w:tc>
          <w:tcPr>
            <w:tcW w:w="1654" w:type="dxa"/>
          </w:tcPr>
          <w:p>
            <w:pPr>
              <w:pStyle w:val="TableParagraph"/>
              <w:spacing w:before="46"/>
              <w:ind w:left="118"/>
              <w:jc w:val="center"/>
              <w:rPr>
                <w:b/>
                <w:sz w:val="20"/>
              </w:rPr>
            </w:pPr>
            <w:r>
              <w:rPr>
                <w:b/>
                <w:spacing w:val="-4"/>
                <w:sz w:val="20"/>
              </w:rPr>
              <w:t>0,00</w:t>
            </w:r>
          </w:p>
        </w:tc>
        <w:tc>
          <w:tcPr>
            <w:tcW w:w="1107" w:type="dxa"/>
          </w:tcPr>
          <w:p>
            <w:pPr>
              <w:pStyle w:val="TableParagraph"/>
              <w:spacing w:before="46"/>
              <w:ind w:left="17"/>
              <w:jc w:val="center"/>
              <w:rPr>
                <w:b/>
                <w:sz w:val="20"/>
              </w:rPr>
            </w:pPr>
            <w:r>
              <w:rPr>
                <w:b/>
                <w:spacing w:val="-2"/>
                <w:sz w:val="20"/>
              </w:rPr>
              <w:t>0,00%</w:t>
            </w:r>
          </w:p>
        </w:tc>
      </w:tr>
    </w:tbl>
    <w:p>
      <w:pPr>
        <w:pStyle w:val="Heading6"/>
        <w:spacing w:before="240"/>
        <w:ind w:left="622"/>
        <w:rPr>
          <w:b w:val="0"/>
        </w:rPr>
      </w:pPr>
      <w:r>
        <w:rPr>
          <w:spacing w:val="-2"/>
        </w:rPr>
        <w:t>Revelación</w:t>
      </w:r>
      <w:r>
        <w:rPr>
          <w:b w:val="0"/>
          <w:spacing w:val="-2"/>
        </w:rPr>
        <w:t>:</w:t>
      </w:r>
    </w:p>
    <w:p>
      <w:pPr>
        <w:pStyle w:val="BodyText"/>
        <w:spacing w:line="259" w:lineRule="auto" w:before="182"/>
        <w:ind w:left="622" w:right="977"/>
        <w:jc w:val="both"/>
      </w:pPr>
      <w:r>
        <w:rPr/>
        <w:t>La cuenta Derechos administrativos, representa el 0,00% del total del Ingresos, que comparado 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6"/>
        </w:rPr>
        <w:t> </w:t>
      </w:r>
      <w:r>
        <w:rPr/>
        <w:t>0</w:t>
      </w:r>
      <w:r>
        <w:rPr>
          <w:spacing w:val="-5"/>
        </w:rPr>
        <w:t> </w:t>
      </w:r>
      <w:r>
        <w:rPr/>
        <w:t>000,00</w:t>
      </w:r>
      <w:r>
        <w:rPr>
          <w:spacing w:val="-5"/>
        </w:rPr>
        <w:t> </w:t>
      </w:r>
      <w:r>
        <w:rPr/>
        <w:t>que</w:t>
      </w:r>
      <w:r>
        <w:rPr>
          <w:spacing w:val="-6"/>
        </w:rPr>
        <w:t> </w:t>
      </w:r>
      <w:r>
        <w:rPr/>
        <w:t>corresponde</w:t>
      </w:r>
      <w:r>
        <w:rPr>
          <w:spacing w:val="-6"/>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83072">
                <wp:simplePos x="0" y="0"/>
                <wp:positionH relativeFrom="page">
                  <wp:posOffset>1080820</wp:posOffset>
                </wp:positionH>
                <wp:positionV relativeFrom="paragraph">
                  <wp:posOffset>233124</wp:posOffset>
                </wp:positionV>
                <wp:extent cx="5696585" cy="567055"/>
                <wp:effectExtent l="0" t="0" r="0" b="0"/>
                <wp:wrapTopAndBottom/>
                <wp:docPr id="514" name="Textbox 514"/>
                <wp:cNvGraphicFramePr>
                  <a:graphicFrameLocks/>
                </wp:cNvGraphicFramePr>
                <a:graphic>
                  <a:graphicData uri="http://schemas.microsoft.com/office/word/2010/wordprocessingShape">
                    <wps:wsp>
                      <wps:cNvPr id="514" name="Textbox 514"/>
                      <wps:cNvSpPr txBox="1"/>
                      <wps:spPr>
                        <a:xfrm>
                          <a:off x="0" y="0"/>
                          <a:ext cx="5696585" cy="56705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56251pt;width:448.55pt;height:44.65pt;mso-position-horizontal-relative:page;mso-position-vertical-relative:paragraph;z-index:-15633408;mso-wrap-distance-left:0;mso-wrap-distance-right:0" type="#_x0000_t202" id="docshape49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22528">
                <wp:simplePos x="0" y="0"/>
                <wp:positionH relativeFrom="page">
                  <wp:posOffset>9525</wp:posOffset>
                </wp:positionH>
                <wp:positionV relativeFrom="page">
                  <wp:posOffset>297208</wp:posOffset>
                </wp:positionV>
                <wp:extent cx="7762875" cy="9748520"/>
                <wp:effectExtent l="0" t="0" r="0" b="0"/>
                <wp:wrapNone/>
                <wp:docPr id="515" name="Group 515"/>
                <wp:cNvGraphicFramePr>
                  <a:graphicFrameLocks/>
                </wp:cNvGraphicFramePr>
                <a:graphic>
                  <a:graphicData uri="http://schemas.microsoft.com/office/word/2010/wordprocessingGroup">
                    <wpg:wgp>
                      <wpg:cNvPr id="515" name="Group 515"/>
                      <wpg:cNvGrpSpPr/>
                      <wpg:grpSpPr>
                        <a:xfrm>
                          <a:off x="0" y="0"/>
                          <a:ext cx="7762875" cy="9748520"/>
                          <a:chExt cx="7762875" cy="9748520"/>
                        </a:xfrm>
                      </wpg:grpSpPr>
                      <pic:pic>
                        <pic:nvPicPr>
                          <pic:cNvPr id="516" name="Image 516"/>
                          <pic:cNvPicPr/>
                        </pic:nvPicPr>
                        <pic:blipFill>
                          <a:blip r:embed="rId5" cstate="print"/>
                          <a:stretch>
                            <a:fillRect/>
                          </a:stretch>
                        </pic:blipFill>
                        <pic:spPr>
                          <a:xfrm>
                            <a:off x="0" y="0"/>
                            <a:ext cx="7762874" cy="9748489"/>
                          </a:xfrm>
                          <a:prstGeom prst="rect">
                            <a:avLst/>
                          </a:prstGeom>
                        </pic:spPr>
                      </pic:pic>
                      <wps:wsp>
                        <wps:cNvPr id="517" name="Graphic 51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93952" id="docshapegroup493" coordorigin="15,468" coordsize="12225,15352">
                <v:shape style="position:absolute;left:15;top:468;width:12225;height:15352" type="#_x0000_t75" id="docshape494" stroked="false">
                  <v:imagedata r:id="rId5" o:title=""/>
                </v:shape>
                <v:rect style="position:absolute;left:1673;top:2028;width:8897;height:15" id="docshape49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106</w:t>
      </w:r>
    </w:p>
    <w:p>
      <w:pPr>
        <w:pStyle w:val="BodyText"/>
        <w:spacing w:before="10"/>
        <w:rPr>
          <w:sz w:val="16"/>
        </w:rPr>
      </w:pPr>
      <w:r>
        <w:rPr>
          <w:sz w:val="16"/>
        </w:rPr>
        <mc:AlternateContent>
          <mc:Choice Requires="wps">
            <w:drawing>
              <wp:anchor distT="0" distB="0" distL="0" distR="0" allowOverlap="1" layoutInCell="1" locked="0" behindDoc="1" simplePos="0" relativeHeight="487684096">
                <wp:simplePos x="0" y="0"/>
                <wp:positionH relativeFrom="page">
                  <wp:posOffset>1062532</wp:posOffset>
                </wp:positionH>
                <wp:positionV relativeFrom="paragraph">
                  <wp:posOffset>138096</wp:posOffset>
                </wp:positionV>
                <wp:extent cx="5649595" cy="344805"/>
                <wp:effectExtent l="0" t="0" r="0" b="0"/>
                <wp:wrapTopAndBottom/>
                <wp:docPr id="518" name="Textbox 518"/>
                <wp:cNvGraphicFramePr>
                  <a:graphicFrameLocks/>
                </wp:cNvGraphicFramePr>
                <a:graphic>
                  <a:graphicData uri="http://schemas.microsoft.com/office/word/2010/wordprocessingShape">
                    <wps:wsp>
                      <wps:cNvPr id="518" name="Textbox 518"/>
                      <wps:cNvSpPr txBox="1"/>
                      <wps:spPr>
                        <a:xfrm>
                          <a:off x="0" y="0"/>
                          <a:ext cx="5649595" cy="344805"/>
                        </a:xfrm>
                        <a:prstGeom prst="rect">
                          <a:avLst/>
                        </a:prstGeom>
                        <a:solidFill>
                          <a:srgbClr val="365F92"/>
                        </a:solidFill>
                      </wps:spPr>
                      <wps:txbx>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wps:txbx>
                      <wps:bodyPr wrap="square" lIns="0" tIns="0" rIns="0" bIns="0" rtlCol="0">
                        <a:noAutofit/>
                      </wps:bodyPr>
                    </wps:wsp>
                  </a:graphicData>
                </a:graphic>
              </wp:anchor>
            </w:drawing>
          </mc:Choice>
          <mc:Fallback>
            <w:pict>
              <v:shape style="position:absolute;margin-left:83.664001pt;margin-top:10.87375pt;width:444.85pt;height:27.15pt;mso-position-horizontal-relative:page;mso-position-vertical-relative:paragraph;z-index:-15632384;mso-wrap-distance-left:0;mso-wrap-distance-right:0" type="#_x0000_t202" id="docshape496" filled="true" fillcolor="#365f92" stroked="false">
                <v:textbox inset="0,0,0,0">
                  <w:txbxContent>
                    <w:p>
                      <w:pPr>
                        <w:spacing w:line="259" w:lineRule="auto" w:before="0"/>
                        <w:ind w:left="28" w:right="0" w:firstLine="0"/>
                        <w:jc w:val="left"/>
                        <w:rPr>
                          <w:b/>
                          <w:color w:val="000000"/>
                          <w:sz w:val="22"/>
                        </w:rPr>
                      </w:pPr>
                      <w:r>
                        <w:rPr>
                          <w:b/>
                          <w:color w:val="FFFFFF"/>
                          <w:sz w:val="22"/>
                        </w:rPr>
                        <w:t>Revelar</w:t>
                      </w:r>
                      <w:r>
                        <w:rPr>
                          <w:b/>
                          <w:color w:val="FFFFFF"/>
                          <w:spacing w:val="-3"/>
                          <w:sz w:val="22"/>
                        </w:rPr>
                        <w:t> </w:t>
                      </w:r>
                      <w:r>
                        <w:rPr>
                          <w:b/>
                          <w:color w:val="FFFFFF"/>
                          <w:sz w:val="22"/>
                        </w:rPr>
                        <w:t>la</w:t>
                      </w:r>
                      <w:r>
                        <w:rPr>
                          <w:b/>
                          <w:color w:val="FFFFFF"/>
                          <w:spacing w:val="-4"/>
                          <w:sz w:val="22"/>
                        </w:rPr>
                        <w:t> </w:t>
                      </w:r>
                      <w:r>
                        <w:rPr>
                          <w:b/>
                          <w:color w:val="FFFFFF"/>
                          <w:sz w:val="22"/>
                        </w:rPr>
                        <w:t>información</w:t>
                      </w:r>
                      <w:r>
                        <w:rPr>
                          <w:b/>
                          <w:color w:val="FFFFFF"/>
                          <w:spacing w:val="-3"/>
                          <w:sz w:val="22"/>
                        </w:rPr>
                        <w:t> </w:t>
                      </w:r>
                      <w:r>
                        <w:rPr>
                          <w:b/>
                          <w:color w:val="FFFFFF"/>
                          <w:sz w:val="22"/>
                        </w:rPr>
                        <w:t>solicitada</w:t>
                      </w:r>
                      <w:r>
                        <w:rPr>
                          <w:b/>
                          <w:color w:val="FFFFFF"/>
                          <w:spacing w:val="-2"/>
                          <w:sz w:val="22"/>
                        </w:rPr>
                        <w:t> </w:t>
                      </w:r>
                      <w:r>
                        <w:rPr>
                          <w:b/>
                          <w:color w:val="FFFFFF"/>
                          <w:sz w:val="22"/>
                        </w:rPr>
                        <w:t>por</w:t>
                      </w:r>
                      <w:r>
                        <w:rPr>
                          <w:b/>
                          <w:color w:val="FFFFFF"/>
                          <w:spacing w:val="-3"/>
                          <w:sz w:val="22"/>
                        </w:rPr>
                        <w:t> </w:t>
                      </w:r>
                      <w:r>
                        <w:rPr>
                          <w:b/>
                          <w:color w:val="FFFFFF"/>
                          <w:sz w:val="22"/>
                        </w:rPr>
                        <w:t>la</w:t>
                      </w:r>
                      <w:r>
                        <w:rPr>
                          <w:b/>
                          <w:color w:val="FFFFFF"/>
                          <w:spacing w:val="-4"/>
                          <w:sz w:val="22"/>
                        </w:rPr>
                        <w:t> </w:t>
                      </w:r>
                      <w:r>
                        <w:rPr>
                          <w:b/>
                          <w:color w:val="FFFFFF"/>
                          <w:sz w:val="22"/>
                        </w:rPr>
                        <w:t>NICSP</w:t>
                      </w:r>
                      <w:r>
                        <w:rPr>
                          <w:b/>
                          <w:color w:val="FFFFFF"/>
                          <w:spacing w:val="-3"/>
                          <w:sz w:val="22"/>
                        </w:rPr>
                        <w:t> </w:t>
                      </w:r>
                      <w:r>
                        <w:rPr>
                          <w:b/>
                          <w:color w:val="FFFFFF"/>
                          <w:sz w:val="22"/>
                        </w:rPr>
                        <w:t>9</w:t>
                      </w:r>
                      <w:r>
                        <w:rPr>
                          <w:b/>
                          <w:color w:val="FFFFFF"/>
                          <w:spacing w:val="-4"/>
                          <w:sz w:val="22"/>
                        </w:rPr>
                        <w:t> </w:t>
                      </w:r>
                      <w:r>
                        <w:rPr>
                          <w:b/>
                          <w:color w:val="FFFFFF"/>
                          <w:sz w:val="22"/>
                        </w:rPr>
                        <w:t>Ingresos</w:t>
                      </w:r>
                      <w:r>
                        <w:rPr>
                          <w:b/>
                          <w:color w:val="FFFFFF"/>
                          <w:spacing w:val="-2"/>
                          <w:sz w:val="22"/>
                        </w:rPr>
                        <w:t> </w:t>
                      </w:r>
                      <w:r>
                        <w:rPr>
                          <w:b/>
                          <w:color w:val="FFFFFF"/>
                          <w:sz w:val="22"/>
                        </w:rPr>
                        <w:t>de</w:t>
                      </w:r>
                      <w:r>
                        <w:rPr>
                          <w:b/>
                          <w:color w:val="FFFFFF"/>
                          <w:spacing w:val="-2"/>
                          <w:sz w:val="22"/>
                        </w:rPr>
                        <w:t> </w:t>
                      </w:r>
                      <w:r>
                        <w:rPr>
                          <w:b/>
                          <w:color w:val="FFFFFF"/>
                          <w:sz w:val="22"/>
                        </w:rPr>
                        <w:t>transacciones</w:t>
                      </w:r>
                      <w:r>
                        <w:rPr>
                          <w:b/>
                          <w:color w:val="FFFFFF"/>
                          <w:spacing w:val="-2"/>
                          <w:sz w:val="22"/>
                        </w:rPr>
                        <w:t> </w:t>
                      </w:r>
                      <w:r>
                        <w:rPr>
                          <w:b/>
                          <w:color w:val="FFFFFF"/>
                          <w:sz w:val="22"/>
                        </w:rPr>
                        <w:t>con</w:t>
                      </w:r>
                      <w:r>
                        <w:rPr>
                          <w:b/>
                          <w:color w:val="FFFFFF"/>
                          <w:spacing w:val="-3"/>
                          <w:sz w:val="22"/>
                        </w:rPr>
                        <w:t> </w:t>
                      </w:r>
                      <w:r>
                        <w:rPr>
                          <w:b/>
                          <w:color w:val="FFFFFF"/>
                          <w:sz w:val="22"/>
                        </w:rPr>
                        <w:t>contraprestación (párrafo 39 cuantía de ingresos)</w:t>
                      </w:r>
                    </w:p>
                  </w:txbxContent>
                </v:textbox>
                <v:fill type="solid"/>
                <w10:wrap type="topAndBottom"/>
              </v:shape>
            </w:pict>
          </mc:Fallback>
        </mc:AlternateContent>
      </w:r>
      <w:r>
        <w:rPr>
          <w:sz w:val="16"/>
        </w:rPr>
        <mc:AlternateContent>
          <mc:Choice Requires="wps">
            <w:drawing>
              <wp:anchor distT="0" distB="0" distL="0" distR="0" allowOverlap="1" layoutInCell="1" locked="0" behindDoc="1" simplePos="0" relativeHeight="487684608">
                <wp:simplePos x="0" y="0"/>
                <wp:positionH relativeFrom="page">
                  <wp:posOffset>1080820</wp:posOffset>
                </wp:positionH>
                <wp:positionV relativeFrom="paragraph">
                  <wp:posOffset>587676</wp:posOffset>
                </wp:positionV>
                <wp:extent cx="5715000" cy="725805"/>
                <wp:effectExtent l="0" t="0" r="0" b="0"/>
                <wp:wrapTopAndBottom/>
                <wp:docPr id="519" name="Textbox 519"/>
                <wp:cNvGraphicFramePr>
                  <a:graphicFrameLocks/>
                </wp:cNvGraphicFramePr>
                <a:graphic>
                  <a:graphicData uri="http://schemas.microsoft.com/office/word/2010/wordprocessingShape">
                    <wps:wsp>
                      <wps:cNvPr id="519" name="Textbox 519"/>
                      <wps:cNvSpPr txBox="1"/>
                      <wps:spPr>
                        <a:xfrm>
                          <a:off x="0" y="0"/>
                          <a:ext cx="5715000" cy="7258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w:t>
                            </w:r>
                            <w:r>
                              <w:rPr>
                                <w:spacing w:val="36"/>
                              </w:rPr>
                              <w:t> </w:t>
                            </w:r>
                            <w:r>
                              <w:rPr/>
                              <w:t>la</w:t>
                            </w:r>
                            <w:r>
                              <w:rPr>
                                <w:spacing w:val="35"/>
                              </w:rPr>
                              <w:t> </w:t>
                            </w:r>
                            <w:r>
                              <w:rPr/>
                              <w:t>fecha</w:t>
                            </w:r>
                            <w:r>
                              <w:rPr>
                                <w:spacing w:val="35"/>
                              </w:rPr>
                              <w:t> </w:t>
                            </w:r>
                            <w:r>
                              <w:rPr/>
                              <w:t>de</w:t>
                            </w:r>
                            <w:r>
                              <w:rPr>
                                <w:spacing w:val="34"/>
                              </w:rPr>
                              <w:t> </w:t>
                            </w:r>
                            <w:r>
                              <w:rPr/>
                              <w:t>emisión</w:t>
                            </w:r>
                            <w:r>
                              <w:rPr>
                                <w:spacing w:val="36"/>
                              </w:rPr>
                              <w:t> </w:t>
                            </w:r>
                            <w:r>
                              <w:rPr/>
                              <w:t>de</w:t>
                            </w:r>
                            <w:r>
                              <w:rPr>
                                <w:spacing w:val="34"/>
                              </w:rPr>
                              <w:t> </w:t>
                            </w:r>
                            <w:r>
                              <w:rPr/>
                              <w:t>los</w:t>
                            </w:r>
                            <w:r>
                              <w:rPr>
                                <w:spacing w:val="37"/>
                              </w:rPr>
                              <w:t> </w:t>
                            </w:r>
                            <w:r>
                              <w:rPr/>
                              <w:t>presentes</w:t>
                            </w:r>
                            <w:r>
                              <w:rPr>
                                <w:spacing w:val="37"/>
                              </w:rPr>
                              <w:t> </w:t>
                            </w:r>
                            <w:r>
                              <w:rPr/>
                              <w:t>Estados</w:t>
                            </w:r>
                            <w:r>
                              <w:rPr>
                                <w:spacing w:val="37"/>
                              </w:rPr>
                              <w:t> </w:t>
                            </w:r>
                            <w:r>
                              <w:rPr/>
                              <w:t>Financieros,</w:t>
                            </w:r>
                            <w:r>
                              <w:rPr>
                                <w:spacing w:val="36"/>
                              </w:rPr>
                              <w:t> </w:t>
                            </w:r>
                            <w:r>
                              <w:rPr/>
                              <w:t>el</w:t>
                            </w:r>
                            <w:r>
                              <w:rPr>
                                <w:spacing w:val="35"/>
                              </w:rPr>
                              <w:t> </w:t>
                            </w:r>
                            <w:r>
                              <w:rPr/>
                              <w:t>IMAS</w:t>
                            </w:r>
                            <w:r>
                              <w:rPr>
                                <w:spacing w:val="37"/>
                              </w:rPr>
                              <w:t> </w:t>
                            </w:r>
                            <w:r>
                              <w:rPr/>
                              <w:t>no</w:t>
                            </w:r>
                            <w:r>
                              <w:rPr>
                                <w:spacing w:val="37"/>
                              </w:rPr>
                              <w:t> </w:t>
                            </w:r>
                            <w:r>
                              <w:rPr/>
                              <w:t>posee</w:t>
                            </w:r>
                            <w:r>
                              <w:rPr>
                                <w:spacing w:val="35"/>
                              </w:rPr>
                              <w:t> </w:t>
                            </w:r>
                            <w:r>
                              <w:rPr/>
                              <w:t>ni</w:t>
                            </w:r>
                            <w:r>
                              <w:rPr>
                                <w:spacing w:val="35"/>
                              </w:rPr>
                              <w:t> </w:t>
                            </w:r>
                            <w:r>
                              <w:rPr/>
                              <w:t>ha</w:t>
                            </w:r>
                            <w:r>
                              <w:rPr>
                                <w:spacing w:val="35"/>
                              </w:rPr>
                              <w:t> </w:t>
                            </w:r>
                            <w:r>
                              <w:rPr/>
                              <w:t>generado transacciones o registros relacionados con ingresos por derechos administrativos.</w:t>
                            </w:r>
                          </w:p>
                        </w:txbxContent>
                      </wps:txbx>
                      <wps:bodyPr wrap="square" lIns="0" tIns="0" rIns="0" bIns="0" rtlCol="0">
                        <a:noAutofit/>
                      </wps:bodyPr>
                    </wps:wsp>
                  </a:graphicData>
                </a:graphic>
              </wp:anchor>
            </w:drawing>
          </mc:Choice>
          <mc:Fallback>
            <w:pict>
              <v:shape style="position:absolute;margin-left:85.103996pt;margin-top:46.27375pt;width:450pt;height:57.15pt;mso-position-horizontal-relative:page;mso-position-vertical-relative:paragraph;z-index:-15631872;mso-wrap-distance-left:0;mso-wrap-distance-right:0" type="#_x0000_t202" id="docshape49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w:t>
                      </w:r>
                      <w:r>
                        <w:rPr>
                          <w:spacing w:val="36"/>
                        </w:rPr>
                        <w:t> </w:t>
                      </w:r>
                      <w:r>
                        <w:rPr/>
                        <w:t>la</w:t>
                      </w:r>
                      <w:r>
                        <w:rPr>
                          <w:spacing w:val="35"/>
                        </w:rPr>
                        <w:t> </w:t>
                      </w:r>
                      <w:r>
                        <w:rPr/>
                        <w:t>fecha</w:t>
                      </w:r>
                      <w:r>
                        <w:rPr>
                          <w:spacing w:val="35"/>
                        </w:rPr>
                        <w:t> </w:t>
                      </w:r>
                      <w:r>
                        <w:rPr/>
                        <w:t>de</w:t>
                      </w:r>
                      <w:r>
                        <w:rPr>
                          <w:spacing w:val="34"/>
                        </w:rPr>
                        <w:t> </w:t>
                      </w:r>
                      <w:r>
                        <w:rPr/>
                        <w:t>emisión</w:t>
                      </w:r>
                      <w:r>
                        <w:rPr>
                          <w:spacing w:val="36"/>
                        </w:rPr>
                        <w:t> </w:t>
                      </w:r>
                      <w:r>
                        <w:rPr/>
                        <w:t>de</w:t>
                      </w:r>
                      <w:r>
                        <w:rPr>
                          <w:spacing w:val="34"/>
                        </w:rPr>
                        <w:t> </w:t>
                      </w:r>
                      <w:r>
                        <w:rPr/>
                        <w:t>los</w:t>
                      </w:r>
                      <w:r>
                        <w:rPr>
                          <w:spacing w:val="37"/>
                        </w:rPr>
                        <w:t> </w:t>
                      </w:r>
                      <w:r>
                        <w:rPr/>
                        <w:t>presentes</w:t>
                      </w:r>
                      <w:r>
                        <w:rPr>
                          <w:spacing w:val="37"/>
                        </w:rPr>
                        <w:t> </w:t>
                      </w:r>
                      <w:r>
                        <w:rPr/>
                        <w:t>Estados</w:t>
                      </w:r>
                      <w:r>
                        <w:rPr>
                          <w:spacing w:val="37"/>
                        </w:rPr>
                        <w:t> </w:t>
                      </w:r>
                      <w:r>
                        <w:rPr/>
                        <w:t>Financieros,</w:t>
                      </w:r>
                      <w:r>
                        <w:rPr>
                          <w:spacing w:val="36"/>
                        </w:rPr>
                        <w:t> </w:t>
                      </w:r>
                      <w:r>
                        <w:rPr/>
                        <w:t>el</w:t>
                      </w:r>
                      <w:r>
                        <w:rPr>
                          <w:spacing w:val="35"/>
                        </w:rPr>
                        <w:t> </w:t>
                      </w:r>
                      <w:r>
                        <w:rPr/>
                        <w:t>IMAS</w:t>
                      </w:r>
                      <w:r>
                        <w:rPr>
                          <w:spacing w:val="37"/>
                        </w:rPr>
                        <w:t> </w:t>
                      </w:r>
                      <w:r>
                        <w:rPr/>
                        <w:t>no</w:t>
                      </w:r>
                      <w:r>
                        <w:rPr>
                          <w:spacing w:val="37"/>
                        </w:rPr>
                        <w:t> </w:t>
                      </w:r>
                      <w:r>
                        <w:rPr/>
                        <w:t>posee</w:t>
                      </w:r>
                      <w:r>
                        <w:rPr>
                          <w:spacing w:val="35"/>
                        </w:rPr>
                        <w:t> </w:t>
                      </w:r>
                      <w:r>
                        <w:rPr/>
                        <w:t>ni</w:t>
                      </w:r>
                      <w:r>
                        <w:rPr>
                          <w:spacing w:val="35"/>
                        </w:rPr>
                        <w:t> </w:t>
                      </w:r>
                      <w:r>
                        <w:rPr/>
                        <w:t>ha</w:t>
                      </w:r>
                      <w:r>
                        <w:rPr>
                          <w:spacing w:val="35"/>
                        </w:rPr>
                        <w:t> </w:t>
                      </w:r>
                      <w:r>
                        <w:rPr/>
                        <w:t>generado transacciones o registros relacionados con ingresos por derechos administrativos.</w:t>
                      </w:r>
                    </w:p>
                  </w:txbxContent>
                </v:textbox>
                <v:stroke dashstyle="solid"/>
                <w10:wrap type="topAndBottom"/>
              </v:shape>
            </w:pict>
          </mc:Fallback>
        </mc:AlternateContent>
      </w:r>
    </w:p>
    <w:p>
      <w:pPr>
        <w:pStyle w:val="BodyText"/>
        <w:spacing w:before="11"/>
        <w:rPr>
          <w:sz w:val="11"/>
        </w:rPr>
      </w:pPr>
    </w:p>
    <w:p>
      <w:pPr>
        <w:pStyle w:val="BodyText"/>
        <w:spacing w:before="183"/>
      </w:pPr>
    </w:p>
    <w:p>
      <w:pPr>
        <w:spacing w:before="1"/>
        <w:ind w:left="622" w:right="0" w:firstLine="0"/>
        <w:jc w:val="left"/>
        <w:rPr>
          <w:b/>
          <w:sz w:val="22"/>
        </w:rPr>
      </w:pPr>
      <w:bookmarkStart w:name="_bookmark86" w:id="87"/>
      <w:bookmarkEnd w:id="87"/>
      <w:r>
        <w:rPr/>
      </w:r>
      <w:r>
        <w:rPr>
          <w:b/>
          <w:sz w:val="22"/>
        </w:rPr>
        <w:t>NOTA</w:t>
      </w:r>
      <w:r>
        <w:rPr>
          <w:b/>
          <w:spacing w:val="-1"/>
          <w:sz w:val="22"/>
        </w:rPr>
        <w:t> </w:t>
      </w:r>
      <w:r>
        <w:rPr>
          <w:b/>
          <w:sz w:val="22"/>
        </w:rPr>
        <w:t>N° </w:t>
      </w:r>
      <w:r>
        <w:rPr>
          <w:b/>
          <w:spacing w:val="-5"/>
          <w:sz w:val="22"/>
        </w:rPr>
        <w:t>43</w:t>
      </w:r>
    </w:p>
    <w:p>
      <w:pPr>
        <w:pStyle w:val="BodyText"/>
        <w:spacing w:before="115"/>
        <w:rPr>
          <w:b/>
        </w:rPr>
      </w:pPr>
    </w:p>
    <w:p>
      <w:pPr>
        <w:pStyle w:val="Heading6"/>
        <w:ind w:left="622"/>
      </w:pPr>
      <w:r>
        <w:rPr/>
        <w:t>Comisiones</w:t>
      </w:r>
      <w:r>
        <w:rPr>
          <w:spacing w:val="-3"/>
        </w:rPr>
        <w:t> </w:t>
      </w:r>
      <w:r>
        <w:rPr/>
        <w:t>por</w:t>
      </w:r>
      <w:r>
        <w:rPr>
          <w:spacing w:val="-2"/>
        </w:rPr>
        <w:t> préstamos</w:t>
      </w:r>
    </w:p>
    <w:p>
      <w:pPr>
        <w:pStyle w:val="BodyText"/>
        <w:spacing w:before="9"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835"/>
        <w:gridCol w:w="567"/>
        <w:gridCol w:w="1844"/>
        <w:gridCol w:w="1750"/>
        <w:gridCol w:w="1198"/>
      </w:tblGrid>
      <w:tr>
        <w:trPr>
          <w:trHeight w:val="323" w:hRule="atLeast"/>
        </w:trPr>
        <w:tc>
          <w:tcPr>
            <w:tcW w:w="842" w:type="dxa"/>
            <w:vMerge w:val="restart"/>
            <w:shd w:val="clear" w:color="auto" w:fill="365F92"/>
          </w:tcPr>
          <w:p>
            <w:pPr>
              <w:pStyle w:val="TableParagraph"/>
              <w:spacing w:before="128"/>
              <w:ind w:left="69"/>
              <w:rPr>
                <w:b/>
                <w:sz w:val="20"/>
              </w:rPr>
            </w:pPr>
            <w:r>
              <w:rPr>
                <w:b/>
                <w:color w:val="FFFFFF"/>
                <w:spacing w:val="-2"/>
                <w:sz w:val="20"/>
              </w:rPr>
              <w:t>Cuenta</w:t>
            </w:r>
          </w:p>
        </w:tc>
        <w:tc>
          <w:tcPr>
            <w:tcW w:w="2835" w:type="dxa"/>
            <w:vMerge w:val="restart"/>
            <w:shd w:val="clear" w:color="auto" w:fill="365F92"/>
          </w:tcPr>
          <w:p>
            <w:pPr>
              <w:pStyle w:val="TableParagraph"/>
              <w:spacing w:before="219"/>
              <w:ind w:left="936"/>
              <w:rPr>
                <w:b/>
                <w:sz w:val="20"/>
              </w:rPr>
            </w:pPr>
            <w:r>
              <w:rPr>
                <w:b/>
                <w:color w:val="FFFFFF"/>
                <w:spacing w:val="-2"/>
                <w:sz w:val="20"/>
              </w:rPr>
              <w:t>Descripción</w:t>
            </w:r>
          </w:p>
        </w:tc>
        <w:tc>
          <w:tcPr>
            <w:tcW w:w="567" w:type="dxa"/>
            <w:vMerge w:val="restart"/>
            <w:shd w:val="clear" w:color="auto" w:fill="365F92"/>
          </w:tcPr>
          <w:p>
            <w:pPr>
              <w:pStyle w:val="TableParagraph"/>
              <w:spacing w:before="219"/>
              <w:ind w:left="86"/>
              <w:rPr>
                <w:b/>
                <w:sz w:val="20"/>
              </w:rPr>
            </w:pPr>
            <w:r>
              <w:rPr>
                <w:b/>
                <w:color w:val="FFFFFF"/>
                <w:spacing w:val="-4"/>
                <w:sz w:val="20"/>
              </w:rPr>
              <w:t>Nota</w:t>
            </w:r>
          </w:p>
        </w:tc>
        <w:tc>
          <w:tcPr>
            <w:tcW w:w="1844" w:type="dxa"/>
            <w:vMerge w:val="restart"/>
            <w:shd w:val="clear" w:color="auto" w:fill="365F92"/>
          </w:tcPr>
          <w:p>
            <w:pPr>
              <w:pStyle w:val="TableParagraph"/>
              <w:spacing w:before="219"/>
              <w:ind w:left="347"/>
              <w:rPr>
                <w:b/>
                <w:sz w:val="20"/>
              </w:rPr>
            </w:pPr>
            <w:r>
              <w:rPr>
                <w:b/>
                <w:color w:val="FFFFFF"/>
                <w:sz w:val="20"/>
              </w:rPr>
              <w:t>Periodo</w:t>
            </w:r>
            <w:r>
              <w:rPr>
                <w:b/>
                <w:color w:val="FFFFFF"/>
                <w:spacing w:val="-5"/>
                <w:sz w:val="20"/>
              </w:rPr>
              <w:t> </w:t>
            </w:r>
            <w:r>
              <w:rPr>
                <w:b/>
                <w:color w:val="FFFFFF"/>
                <w:spacing w:val="-2"/>
                <w:sz w:val="20"/>
              </w:rPr>
              <w:t>Actual</w:t>
            </w:r>
          </w:p>
        </w:tc>
        <w:tc>
          <w:tcPr>
            <w:tcW w:w="1750" w:type="dxa"/>
            <w:vMerge w:val="restart"/>
            <w:shd w:val="clear" w:color="auto" w:fill="365F92"/>
          </w:tcPr>
          <w:p>
            <w:pPr>
              <w:pStyle w:val="TableParagraph"/>
              <w:spacing w:before="219"/>
              <w:ind w:left="215"/>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46"/>
              <w:ind w:left="23" w:right="8"/>
              <w:jc w:val="center"/>
              <w:rPr>
                <w:b/>
                <w:sz w:val="20"/>
              </w:rPr>
            </w:pPr>
            <w:r>
              <w:rPr>
                <w:b/>
                <w:color w:val="FFFFFF"/>
                <w:spacing w:val="-2"/>
                <w:sz w:val="20"/>
              </w:rPr>
              <w:t>Diferencia</w:t>
            </w:r>
          </w:p>
        </w:tc>
      </w:tr>
      <w:tr>
        <w:trPr>
          <w:trHeight w:val="323" w:hRule="atLeast"/>
        </w:trPr>
        <w:tc>
          <w:tcPr>
            <w:tcW w:w="842"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567"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750"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9"/>
              <w:jc w:val="center"/>
              <w:rPr>
                <w:b/>
                <w:sz w:val="20"/>
              </w:rPr>
            </w:pPr>
            <w:r>
              <w:rPr>
                <w:b/>
                <w:color w:val="FFFFFF"/>
                <w:spacing w:val="-10"/>
                <w:sz w:val="20"/>
              </w:rPr>
              <w:t>%</w:t>
            </w:r>
          </w:p>
        </w:tc>
      </w:tr>
      <w:tr>
        <w:trPr>
          <w:trHeight w:val="325" w:hRule="atLeast"/>
        </w:trPr>
        <w:tc>
          <w:tcPr>
            <w:tcW w:w="842" w:type="dxa"/>
          </w:tcPr>
          <w:p>
            <w:pPr>
              <w:pStyle w:val="TableParagraph"/>
              <w:spacing w:before="49"/>
              <w:ind w:left="69"/>
              <w:rPr>
                <w:b/>
                <w:sz w:val="20"/>
              </w:rPr>
            </w:pPr>
            <w:r>
              <w:rPr>
                <w:b/>
                <w:spacing w:val="-2"/>
                <w:sz w:val="20"/>
              </w:rPr>
              <w:t>4.4.3.</w:t>
            </w:r>
          </w:p>
        </w:tc>
        <w:tc>
          <w:tcPr>
            <w:tcW w:w="2835" w:type="dxa"/>
          </w:tcPr>
          <w:p>
            <w:pPr>
              <w:pStyle w:val="TableParagraph"/>
              <w:spacing w:before="49"/>
              <w:ind w:left="69"/>
              <w:rPr>
                <w:b/>
                <w:sz w:val="20"/>
              </w:rPr>
            </w:pPr>
            <w:r>
              <w:rPr>
                <w:b/>
                <w:sz w:val="20"/>
              </w:rPr>
              <w:t>Comisiones</w:t>
            </w:r>
            <w:r>
              <w:rPr>
                <w:b/>
                <w:spacing w:val="-6"/>
                <w:sz w:val="20"/>
              </w:rPr>
              <w:t> </w:t>
            </w:r>
            <w:r>
              <w:rPr>
                <w:b/>
                <w:sz w:val="20"/>
              </w:rPr>
              <w:t>por</w:t>
            </w:r>
            <w:r>
              <w:rPr>
                <w:b/>
                <w:spacing w:val="-5"/>
                <w:sz w:val="20"/>
              </w:rPr>
              <w:t> </w:t>
            </w:r>
            <w:r>
              <w:rPr>
                <w:b/>
                <w:spacing w:val="-2"/>
                <w:sz w:val="20"/>
              </w:rPr>
              <w:t>préstamos</w:t>
            </w:r>
          </w:p>
        </w:tc>
        <w:tc>
          <w:tcPr>
            <w:tcW w:w="567" w:type="dxa"/>
          </w:tcPr>
          <w:p>
            <w:pPr>
              <w:pStyle w:val="TableParagraph"/>
              <w:spacing w:before="49"/>
              <w:ind w:left="185"/>
              <w:rPr>
                <w:b/>
                <w:sz w:val="20"/>
              </w:rPr>
            </w:pPr>
            <w:r>
              <w:rPr>
                <w:b/>
                <w:spacing w:val="-5"/>
                <w:sz w:val="20"/>
              </w:rPr>
              <w:t>43</w:t>
            </w:r>
          </w:p>
        </w:tc>
        <w:tc>
          <w:tcPr>
            <w:tcW w:w="1844" w:type="dxa"/>
          </w:tcPr>
          <w:p>
            <w:pPr>
              <w:pStyle w:val="TableParagraph"/>
              <w:spacing w:before="49"/>
              <w:ind w:left="69" w:right="54"/>
              <w:jc w:val="center"/>
              <w:rPr>
                <w:b/>
                <w:sz w:val="20"/>
              </w:rPr>
            </w:pPr>
            <w:r>
              <w:rPr>
                <w:b/>
                <w:spacing w:val="-4"/>
                <w:sz w:val="20"/>
              </w:rPr>
              <w:t>0,00</w:t>
            </w:r>
          </w:p>
        </w:tc>
        <w:tc>
          <w:tcPr>
            <w:tcW w:w="1750" w:type="dxa"/>
          </w:tcPr>
          <w:p>
            <w:pPr>
              <w:pStyle w:val="TableParagraph"/>
              <w:spacing w:before="49"/>
              <w:ind w:left="114"/>
              <w:jc w:val="center"/>
              <w:rPr>
                <w:b/>
                <w:sz w:val="20"/>
              </w:rPr>
            </w:pPr>
            <w:r>
              <w:rPr>
                <w:b/>
                <w:spacing w:val="-4"/>
                <w:sz w:val="20"/>
              </w:rPr>
              <w:t>0,00</w:t>
            </w:r>
          </w:p>
        </w:tc>
        <w:tc>
          <w:tcPr>
            <w:tcW w:w="1198" w:type="dxa"/>
          </w:tcPr>
          <w:p>
            <w:pPr>
              <w:pStyle w:val="TableParagraph"/>
              <w:spacing w:before="49"/>
              <w:ind w:left="23" w:right="5"/>
              <w:jc w:val="center"/>
              <w:rPr>
                <w:b/>
                <w:sz w:val="20"/>
              </w:rPr>
            </w:pPr>
            <w:r>
              <w:rPr>
                <w:b/>
                <w:spacing w:val="-2"/>
                <w:sz w:val="20"/>
              </w:rPr>
              <w:t>0,00%</w:t>
            </w:r>
          </w:p>
        </w:tc>
      </w:tr>
    </w:tbl>
    <w:p>
      <w:pPr>
        <w:spacing w:before="240"/>
        <w:ind w:left="622" w:right="0" w:firstLine="0"/>
        <w:jc w:val="left"/>
        <w:rPr>
          <w:sz w:val="22"/>
        </w:rPr>
      </w:pPr>
      <w:r>
        <w:rPr>
          <w:b/>
          <w:spacing w:val="-2"/>
          <w:sz w:val="22"/>
        </w:rPr>
        <w:t>Revelación</w:t>
      </w:r>
      <w:r>
        <w:rPr>
          <w:spacing w:val="-2"/>
          <w:sz w:val="22"/>
        </w:rPr>
        <w:t>:</w:t>
      </w:r>
    </w:p>
    <w:p>
      <w:pPr>
        <w:pStyle w:val="BodyText"/>
        <w:spacing w:line="259" w:lineRule="auto" w:before="179"/>
        <w:ind w:left="622" w:right="977"/>
        <w:jc w:val="both"/>
      </w:pPr>
      <w:r>
        <w:rPr/>
        <w:t>La cuenta Comisiones por préstamos, representa el 0,00% del total del Ingresos, que comparado al periodo</w:t>
      </w:r>
      <w:r>
        <w:rPr>
          <w:spacing w:val="-4"/>
        </w:rPr>
        <w:t> </w:t>
      </w:r>
      <w:r>
        <w:rPr/>
        <w:t>anterior</w:t>
      </w:r>
      <w:r>
        <w:rPr>
          <w:spacing w:val="-7"/>
        </w:rPr>
        <w:t> </w:t>
      </w:r>
      <w:r>
        <w:rPr/>
        <w:t>genera</w:t>
      </w:r>
      <w:r>
        <w:rPr>
          <w:spacing w:val="-5"/>
        </w:rPr>
        <w:t> </w:t>
      </w:r>
      <w:r>
        <w:rPr/>
        <w:t>una</w:t>
      </w:r>
      <w:r>
        <w:rPr>
          <w:spacing w:val="-8"/>
        </w:rPr>
        <w:t> </w:t>
      </w:r>
      <w:r>
        <w:rPr/>
        <w:t>variación</w:t>
      </w:r>
      <w:r>
        <w:rPr>
          <w:spacing w:val="-4"/>
        </w:rPr>
        <w:t> </w:t>
      </w:r>
      <w:r>
        <w:rPr/>
        <w:t>absoluta</w:t>
      </w:r>
      <w:r>
        <w:rPr>
          <w:spacing w:val="-5"/>
        </w:rPr>
        <w:t> </w:t>
      </w:r>
      <w:r>
        <w:rPr/>
        <w:t>de</w:t>
      </w:r>
      <w:r>
        <w:rPr>
          <w:spacing w:val="-6"/>
        </w:rPr>
        <w:t> </w:t>
      </w:r>
      <w:r>
        <w:rPr/>
        <w:t>0</w:t>
      </w:r>
      <w:r>
        <w:rPr>
          <w:spacing w:val="-5"/>
        </w:rPr>
        <w:t> </w:t>
      </w:r>
      <w:r>
        <w:rPr/>
        <w:t>000,00</w:t>
      </w:r>
      <w:r>
        <w:rPr>
          <w:spacing w:val="-5"/>
        </w:rPr>
        <w:t> </w:t>
      </w:r>
      <w:r>
        <w:rPr/>
        <w:t>que</w:t>
      </w:r>
      <w:r>
        <w:rPr>
          <w:spacing w:val="-6"/>
        </w:rPr>
        <w:t> </w:t>
      </w:r>
      <w:r>
        <w:rPr/>
        <w:t>corresponde</w:t>
      </w:r>
      <w:r>
        <w:rPr>
          <w:spacing w:val="-6"/>
        </w:rPr>
        <w:t> </w:t>
      </w:r>
      <w:r>
        <w:rPr/>
        <w:t>a</w:t>
      </w:r>
      <w:r>
        <w:rPr>
          <w:spacing w:val="-5"/>
        </w:rPr>
        <w:t> </w:t>
      </w:r>
      <w:r>
        <w:rPr/>
        <w:t>un</w:t>
      </w:r>
      <w:r>
        <w:rPr>
          <w:spacing w:val="-7"/>
        </w:rPr>
        <w:t> </w:t>
      </w:r>
      <w:r>
        <w:rPr/>
        <w:t>Aumento</w:t>
      </w:r>
      <w:r>
        <w:rPr>
          <w:spacing w:val="-4"/>
        </w:rPr>
        <w:t> </w:t>
      </w:r>
      <w:r>
        <w:rPr/>
        <w:t>del</w:t>
      </w:r>
      <w:r>
        <w:rPr>
          <w:spacing w:val="-5"/>
        </w:rPr>
        <w:t> </w:t>
      </w:r>
      <w:r>
        <w:rPr/>
        <w:t>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85120">
                <wp:simplePos x="0" y="0"/>
                <wp:positionH relativeFrom="page">
                  <wp:posOffset>1080820</wp:posOffset>
                </wp:positionH>
                <wp:positionV relativeFrom="paragraph">
                  <wp:posOffset>233616</wp:posOffset>
                </wp:positionV>
                <wp:extent cx="5715000" cy="553720"/>
                <wp:effectExtent l="0" t="0" r="0" b="0"/>
                <wp:wrapTopAndBottom/>
                <wp:docPr id="520" name="Textbox 520"/>
                <wp:cNvGraphicFramePr>
                  <a:graphicFrameLocks/>
                </wp:cNvGraphicFramePr>
                <a:graphic>
                  <a:graphicData uri="http://schemas.microsoft.com/office/word/2010/wordprocessingShape">
                    <wps:wsp>
                      <wps:cNvPr id="520" name="Textbox 520"/>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95pt;width:450pt;height:43.6pt;mso-position-horizontal-relative:page;mso-position-vertical-relative:paragraph;z-index:-15631360;mso-wrap-distance-left:0;mso-wrap-distance-right:0" type="#_x0000_t202" id="docshape49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87" w:id="88"/>
      <w:bookmarkEnd w:id="88"/>
      <w:r>
        <w:rPr/>
      </w:r>
      <w:r>
        <w:rPr>
          <w:b/>
          <w:sz w:val="22"/>
        </w:rPr>
        <w:t>NOTA</w:t>
      </w:r>
      <w:r>
        <w:rPr>
          <w:b/>
          <w:spacing w:val="-1"/>
          <w:sz w:val="22"/>
        </w:rPr>
        <w:t> </w:t>
      </w:r>
      <w:r>
        <w:rPr>
          <w:b/>
          <w:sz w:val="22"/>
        </w:rPr>
        <w:t>N° </w:t>
      </w:r>
      <w:r>
        <w:rPr>
          <w:b/>
          <w:spacing w:val="-5"/>
          <w:sz w:val="22"/>
        </w:rPr>
        <w:t>44</w:t>
      </w:r>
    </w:p>
    <w:p>
      <w:pPr>
        <w:pStyle w:val="BodyText"/>
        <w:spacing w:before="115"/>
        <w:rPr>
          <w:b/>
        </w:rPr>
      </w:pPr>
    </w:p>
    <w:p>
      <w:pPr>
        <w:pStyle w:val="BodyText"/>
        <w:ind w:left="622"/>
      </w:pPr>
      <w:r>
        <w:rPr/>
        <w:t>Resultados</w:t>
      </w:r>
      <w:r>
        <w:rPr>
          <w:spacing w:val="-4"/>
        </w:rPr>
        <w:t> </w:t>
      </w:r>
      <w:r>
        <w:rPr/>
        <w:t>positivos</w:t>
      </w:r>
      <w:r>
        <w:rPr>
          <w:spacing w:val="-3"/>
        </w:rPr>
        <w:t> </w:t>
      </w:r>
      <w:r>
        <w:rPr/>
        <w:t>por</w:t>
      </w:r>
      <w:r>
        <w:rPr>
          <w:spacing w:val="-4"/>
        </w:rPr>
        <w:t> </w:t>
      </w:r>
      <w:r>
        <w:rPr/>
        <w:t>ventas</w:t>
      </w:r>
      <w:r>
        <w:rPr>
          <w:spacing w:val="-4"/>
        </w:rPr>
        <w:t> </w:t>
      </w:r>
      <w:r>
        <w:rPr/>
        <w:t>de</w:t>
      </w:r>
      <w:r>
        <w:rPr>
          <w:spacing w:val="-6"/>
        </w:rPr>
        <w:t> </w:t>
      </w:r>
      <w:r>
        <w:rPr>
          <w:spacing w:val="-2"/>
        </w:rPr>
        <w:t>inversiones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3241"/>
        <w:gridCol w:w="581"/>
        <w:gridCol w:w="1537"/>
        <w:gridCol w:w="1332"/>
        <w:gridCol w:w="1193"/>
      </w:tblGrid>
      <w:tr>
        <w:trPr>
          <w:trHeight w:val="258" w:hRule="atLeast"/>
        </w:trPr>
        <w:tc>
          <w:tcPr>
            <w:tcW w:w="1126" w:type="dxa"/>
            <w:vMerge w:val="restart"/>
            <w:shd w:val="clear" w:color="auto" w:fill="365F92"/>
          </w:tcPr>
          <w:p>
            <w:pPr>
              <w:pStyle w:val="TableParagraph"/>
              <w:spacing w:before="63"/>
              <w:ind w:left="69"/>
              <w:rPr>
                <w:b/>
                <w:sz w:val="20"/>
              </w:rPr>
            </w:pPr>
            <w:r>
              <w:rPr>
                <w:b/>
                <w:color w:val="FFFFFF"/>
                <w:spacing w:val="-2"/>
                <w:sz w:val="20"/>
              </w:rPr>
              <w:t>Cuenta</w:t>
            </w:r>
          </w:p>
        </w:tc>
        <w:tc>
          <w:tcPr>
            <w:tcW w:w="3241" w:type="dxa"/>
            <w:vMerge w:val="restart"/>
            <w:shd w:val="clear" w:color="auto" w:fill="365F92"/>
          </w:tcPr>
          <w:p>
            <w:pPr>
              <w:pStyle w:val="TableParagraph"/>
              <w:spacing w:before="152"/>
              <w:ind w:left="10"/>
              <w:jc w:val="center"/>
              <w:rPr>
                <w:b/>
                <w:sz w:val="20"/>
              </w:rPr>
            </w:pPr>
            <w:r>
              <w:rPr>
                <w:b/>
                <w:color w:val="FFFFFF"/>
                <w:spacing w:val="-2"/>
                <w:sz w:val="20"/>
              </w:rPr>
              <w:t>Descripción</w:t>
            </w:r>
          </w:p>
        </w:tc>
        <w:tc>
          <w:tcPr>
            <w:tcW w:w="581" w:type="dxa"/>
            <w:vMerge w:val="restart"/>
            <w:shd w:val="clear" w:color="auto" w:fill="365F92"/>
          </w:tcPr>
          <w:p>
            <w:pPr>
              <w:pStyle w:val="TableParagraph"/>
              <w:spacing w:before="152"/>
              <w:ind w:left="92"/>
              <w:rPr>
                <w:b/>
                <w:sz w:val="20"/>
              </w:rPr>
            </w:pPr>
            <w:r>
              <w:rPr>
                <w:b/>
                <w:color w:val="FFFFFF"/>
                <w:spacing w:val="-4"/>
                <w:sz w:val="20"/>
              </w:rPr>
              <w:t>Nota</w:t>
            </w:r>
          </w:p>
        </w:tc>
        <w:tc>
          <w:tcPr>
            <w:tcW w:w="1537" w:type="dxa"/>
            <w:vMerge w:val="restart"/>
            <w:shd w:val="clear" w:color="auto" w:fill="365F92"/>
          </w:tcPr>
          <w:p>
            <w:pPr>
              <w:pStyle w:val="TableParagraph"/>
              <w:spacing w:before="152"/>
              <w:ind w:left="193"/>
              <w:rPr>
                <w:b/>
                <w:sz w:val="20"/>
              </w:rPr>
            </w:pPr>
            <w:r>
              <w:rPr>
                <w:b/>
                <w:color w:val="FFFFFF"/>
                <w:sz w:val="20"/>
              </w:rPr>
              <w:t>Periodo</w:t>
            </w:r>
            <w:r>
              <w:rPr>
                <w:b/>
                <w:color w:val="FFFFFF"/>
                <w:spacing w:val="-5"/>
                <w:sz w:val="20"/>
              </w:rPr>
              <w:t> </w:t>
            </w:r>
            <w:r>
              <w:rPr>
                <w:b/>
                <w:color w:val="FFFFFF"/>
                <w:spacing w:val="-2"/>
                <w:sz w:val="20"/>
              </w:rPr>
              <w:t>Actual</w:t>
            </w:r>
          </w:p>
        </w:tc>
        <w:tc>
          <w:tcPr>
            <w:tcW w:w="1332" w:type="dxa"/>
            <w:vMerge w:val="restart"/>
            <w:shd w:val="clear" w:color="auto" w:fill="365F92"/>
          </w:tcPr>
          <w:p>
            <w:pPr>
              <w:pStyle w:val="TableParagraph"/>
              <w:spacing w:before="39"/>
              <w:ind w:left="324" w:right="303" w:firstLine="45"/>
              <w:rPr>
                <w:b/>
                <w:sz w:val="20"/>
              </w:rPr>
            </w:pPr>
            <w:r>
              <w:rPr>
                <w:b/>
                <w:color w:val="FFFFFF"/>
                <w:spacing w:val="-2"/>
                <w:sz w:val="20"/>
              </w:rPr>
              <w:t>Periodo Anterior</w:t>
            </w:r>
          </w:p>
        </w:tc>
        <w:tc>
          <w:tcPr>
            <w:tcW w:w="1193" w:type="dxa"/>
            <w:shd w:val="clear" w:color="auto" w:fill="365F92"/>
          </w:tcPr>
          <w:p>
            <w:pPr>
              <w:pStyle w:val="TableParagraph"/>
              <w:spacing w:line="223" w:lineRule="exact" w:before="15"/>
              <w:ind w:left="17" w:right="3"/>
              <w:jc w:val="center"/>
              <w:rPr>
                <w:b/>
                <w:sz w:val="20"/>
              </w:rPr>
            </w:pPr>
            <w:r>
              <w:rPr>
                <w:b/>
                <w:color w:val="FFFFFF"/>
                <w:spacing w:val="-2"/>
                <w:sz w:val="20"/>
              </w:rPr>
              <w:t>Diferencia</w:t>
            </w:r>
          </w:p>
        </w:tc>
      </w:tr>
      <w:tr>
        <w:trPr>
          <w:trHeight w:val="256" w:hRule="atLeast"/>
        </w:trPr>
        <w:tc>
          <w:tcPr>
            <w:tcW w:w="1126" w:type="dxa"/>
            <w:vMerge/>
            <w:tcBorders>
              <w:top w:val="nil"/>
            </w:tcBorders>
            <w:shd w:val="clear" w:color="auto" w:fill="365F92"/>
          </w:tcPr>
          <w:p>
            <w:pPr>
              <w:rPr>
                <w:sz w:val="2"/>
                <w:szCs w:val="2"/>
              </w:rPr>
            </w:pPr>
          </w:p>
        </w:tc>
        <w:tc>
          <w:tcPr>
            <w:tcW w:w="3241" w:type="dxa"/>
            <w:vMerge/>
            <w:tcBorders>
              <w:top w:val="nil"/>
            </w:tcBorders>
            <w:shd w:val="clear" w:color="auto" w:fill="365F92"/>
          </w:tcPr>
          <w:p>
            <w:pPr>
              <w:rPr>
                <w:sz w:val="2"/>
                <w:szCs w:val="2"/>
              </w:rPr>
            </w:pPr>
          </w:p>
        </w:tc>
        <w:tc>
          <w:tcPr>
            <w:tcW w:w="581" w:type="dxa"/>
            <w:vMerge/>
            <w:tcBorders>
              <w:top w:val="nil"/>
            </w:tcBorders>
            <w:shd w:val="clear" w:color="auto" w:fill="365F92"/>
          </w:tcPr>
          <w:p>
            <w:pPr>
              <w:rPr>
                <w:sz w:val="2"/>
                <w:szCs w:val="2"/>
              </w:rPr>
            </w:pPr>
          </w:p>
        </w:tc>
        <w:tc>
          <w:tcPr>
            <w:tcW w:w="1537" w:type="dxa"/>
            <w:vMerge/>
            <w:tcBorders>
              <w:top w:val="nil"/>
            </w:tcBorders>
            <w:shd w:val="clear" w:color="auto" w:fill="365F92"/>
          </w:tcPr>
          <w:p>
            <w:pPr>
              <w:rPr>
                <w:sz w:val="2"/>
                <w:szCs w:val="2"/>
              </w:rPr>
            </w:pPr>
          </w:p>
        </w:tc>
        <w:tc>
          <w:tcPr>
            <w:tcW w:w="1332" w:type="dxa"/>
            <w:vMerge/>
            <w:tcBorders>
              <w:top w:val="nil"/>
            </w:tcBorders>
            <w:shd w:val="clear" w:color="auto" w:fill="365F92"/>
          </w:tcPr>
          <w:p>
            <w:pPr>
              <w:rPr>
                <w:sz w:val="2"/>
                <w:szCs w:val="2"/>
              </w:rPr>
            </w:pPr>
          </w:p>
        </w:tc>
        <w:tc>
          <w:tcPr>
            <w:tcW w:w="1193" w:type="dxa"/>
            <w:shd w:val="clear" w:color="auto" w:fill="365F92"/>
          </w:tcPr>
          <w:p>
            <w:pPr>
              <w:pStyle w:val="TableParagraph"/>
              <w:spacing w:line="223" w:lineRule="exact" w:before="13"/>
              <w:ind w:left="17" w:right="4"/>
              <w:jc w:val="center"/>
              <w:rPr>
                <w:sz w:val="20"/>
              </w:rPr>
            </w:pPr>
            <w:r>
              <w:rPr>
                <w:color w:val="FFFFFF"/>
                <w:spacing w:val="-10"/>
                <w:sz w:val="20"/>
              </w:rPr>
              <w:t>%</w:t>
            </w:r>
          </w:p>
        </w:tc>
      </w:tr>
      <w:tr>
        <w:trPr>
          <w:trHeight w:val="458" w:hRule="atLeast"/>
        </w:trPr>
        <w:tc>
          <w:tcPr>
            <w:tcW w:w="1126" w:type="dxa"/>
          </w:tcPr>
          <w:p>
            <w:pPr>
              <w:pStyle w:val="TableParagraph"/>
              <w:spacing w:before="114"/>
              <w:ind w:left="69"/>
              <w:rPr>
                <w:b/>
                <w:sz w:val="20"/>
              </w:rPr>
            </w:pPr>
            <w:r>
              <w:rPr>
                <w:b/>
                <w:spacing w:val="-2"/>
                <w:sz w:val="20"/>
              </w:rPr>
              <w:t>4.4.4.</w:t>
            </w:r>
          </w:p>
        </w:tc>
        <w:tc>
          <w:tcPr>
            <w:tcW w:w="3241" w:type="dxa"/>
          </w:tcPr>
          <w:p>
            <w:pPr>
              <w:pStyle w:val="TableParagraph"/>
              <w:spacing w:line="227" w:lineRule="exact"/>
              <w:ind w:left="66"/>
              <w:rPr>
                <w:b/>
                <w:sz w:val="20"/>
              </w:rPr>
            </w:pPr>
            <w:r>
              <w:rPr>
                <w:b/>
                <w:sz w:val="20"/>
              </w:rPr>
              <w:t>Resultados</w:t>
            </w:r>
            <w:r>
              <w:rPr>
                <w:b/>
                <w:spacing w:val="-7"/>
                <w:sz w:val="20"/>
              </w:rPr>
              <w:t> </w:t>
            </w:r>
            <w:r>
              <w:rPr>
                <w:b/>
                <w:sz w:val="20"/>
              </w:rPr>
              <w:t>positivos</w:t>
            </w:r>
            <w:r>
              <w:rPr>
                <w:b/>
                <w:spacing w:val="-6"/>
                <w:sz w:val="20"/>
              </w:rPr>
              <w:t> </w:t>
            </w:r>
            <w:r>
              <w:rPr>
                <w:b/>
                <w:sz w:val="20"/>
              </w:rPr>
              <w:t>por</w:t>
            </w:r>
            <w:r>
              <w:rPr>
                <w:b/>
                <w:spacing w:val="-5"/>
                <w:sz w:val="20"/>
              </w:rPr>
              <w:t> </w:t>
            </w:r>
            <w:r>
              <w:rPr>
                <w:b/>
                <w:sz w:val="20"/>
              </w:rPr>
              <w:t>ventas</w:t>
            </w:r>
            <w:r>
              <w:rPr>
                <w:b/>
                <w:spacing w:val="-7"/>
                <w:sz w:val="20"/>
              </w:rPr>
              <w:t> </w:t>
            </w:r>
            <w:r>
              <w:rPr>
                <w:b/>
                <w:spacing w:val="-5"/>
                <w:sz w:val="20"/>
              </w:rPr>
              <w:t>de</w:t>
            </w:r>
          </w:p>
          <w:p>
            <w:pPr>
              <w:pStyle w:val="TableParagraph"/>
              <w:spacing w:line="209" w:lineRule="exact" w:before="2"/>
              <w:ind w:left="66"/>
              <w:rPr>
                <w:b/>
                <w:sz w:val="20"/>
              </w:rPr>
            </w:pPr>
            <w:r>
              <w:rPr>
                <w:b/>
                <w:spacing w:val="-2"/>
                <w:sz w:val="20"/>
              </w:rPr>
              <w:t>inversiones</w:t>
            </w:r>
          </w:p>
        </w:tc>
        <w:tc>
          <w:tcPr>
            <w:tcW w:w="581" w:type="dxa"/>
          </w:tcPr>
          <w:p>
            <w:pPr>
              <w:pStyle w:val="TableParagraph"/>
              <w:spacing w:before="114"/>
              <w:ind w:left="188"/>
              <w:rPr>
                <w:b/>
                <w:sz w:val="20"/>
              </w:rPr>
            </w:pPr>
            <w:r>
              <w:rPr>
                <w:b/>
                <w:spacing w:val="-5"/>
                <w:sz w:val="20"/>
              </w:rPr>
              <w:t>44</w:t>
            </w:r>
          </w:p>
        </w:tc>
        <w:tc>
          <w:tcPr>
            <w:tcW w:w="1537" w:type="dxa"/>
          </w:tcPr>
          <w:p>
            <w:pPr>
              <w:pStyle w:val="TableParagraph"/>
              <w:spacing w:before="114"/>
              <w:ind w:left="13"/>
              <w:jc w:val="center"/>
              <w:rPr>
                <w:b/>
                <w:sz w:val="20"/>
              </w:rPr>
            </w:pPr>
            <w:r>
              <w:rPr>
                <w:b/>
                <w:spacing w:val="-4"/>
                <w:sz w:val="20"/>
              </w:rPr>
              <w:t>0,00</w:t>
            </w:r>
          </w:p>
        </w:tc>
        <w:tc>
          <w:tcPr>
            <w:tcW w:w="1332" w:type="dxa"/>
          </w:tcPr>
          <w:p>
            <w:pPr>
              <w:pStyle w:val="TableParagraph"/>
              <w:spacing w:before="114"/>
              <w:ind w:left="543"/>
              <w:rPr>
                <w:b/>
                <w:sz w:val="20"/>
              </w:rPr>
            </w:pPr>
            <w:r>
              <w:rPr>
                <w:b/>
                <w:spacing w:val="-4"/>
                <w:sz w:val="20"/>
              </w:rPr>
              <w:t>0,00</w:t>
            </w:r>
          </w:p>
        </w:tc>
        <w:tc>
          <w:tcPr>
            <w:tcW w:w="1193" w:type="dxa"/>
          </w:tcPr>
          <w:p>
            <w:pPr>
              <w:pStyle w:val="TableParagraph"/>
              <w:spacing w:before="114"/>
              <w:ind w:left="17"/>
              <w:jc w:val="center"/>
              <w:rPr>
                <w:b/>
                <w:sz w:val="20"/>
              </w:rPr>
            </w:pPr>
            <w:r>
              <w:rPr>
                <w:b/>
                <w:spacing w:val="-2"/>
                <w:sz w:val="20"/>
              </w:rPr>
              <w:t>0,00%</w:t>
            </w:r>
          </w:p>
        </w:tc>
      </w:tr>
    </w:tbl>
    <w:p>
      <w:pPr>
        <w:pStyle w:val="Heading6"/>
        <w:spacing w:before="240"/>
        <w:ind w:left="622"/>
        <w:rPr>
          <w:b w:val="0"/>
        </w:rPr>
      </w:pPr>
      <w:r>
        <w:rPr>
          <w:spacing w:val="-2"/>
        </w:rPr>
        <w:t>Revelación</w:t>
      </w:r>
      <w:r>
        <w:rPr>
          <w:b w:val="0"/>
          <w:spacing w:val="-2"/>
        </w:rPr>
        <w:t>:</w:t>
      </w:r>
    </w:p>
    <w:p>
      <w:pPr>
        <w:pStyle w:val="BodyText"/>
        <w:spacing w:line="259" w:lineRule="auto" w:before="179"/>
        <w:ind w:left="622" w:right="1001"/>
      </w:pPr>
      <w:r>
        <w:rPr/>
        <w:t>La cuenta Resultados positivos por ventas de inversiones, representa el 0,00% del total del Ingresos, que</w:t>
      </w:r>
      <w:r>
        <w:rPr>
          <w:spacing w:val="-4"/>
        </w:rPr>
        <w:t> </w:t>
      </w:r>
      <w:r>
        <w:rPr/>
        <w:t>comparado</w:t>
      </w:r>
      <w:r>
        <w:rPr>
          <w:spacing w:val="-2"/>
        </w:rPr>
        <w:t> </w:t>
      </w:r>
      <w:r>
        <w:rPr/>
        <w:t>al</w:t>
      </w:r>
      <w:r>
        <w:rPr>
          <w:spacing w:val="-3"/>
        </w:rPr>
        <w:t> </w:t>
      </w:r>
      <w:r>
        <w:rPr/>
        <w:t>periodo</w:t>
      </w:r>
      <w:r>
        <w:rPr>
          <w:spacing w:val="-7"/>
        </w:rPr>
        <w:t> </w:t>
      </w:r>
      <w:r>
        <w:rPr/>
        <w:t>anterior</w:t>
      </w:r>
      <w:r>
        <w:rPr>
          <w:spacing w:val="-2"/>
        </w:rPr>
        <w:t> </w:t>
      </w:r>
      <w:r>
        <w:rPr/>
        <w:t>genera</w:t>
      </w:r>
      <w:r>
        <w:rPr>
          <w:spacing w:val="-3"/>
        </w:rPr>
        <w:t> </w:t>
      </w:r>
      <w:r>
        <w:rPr/>
        <w:t>una</w:t>
      </w:r>
      <w:r>
        <w:rPr>
          <w:spacing w:val="-3"/>
        </w:rPr>
        <w:t> </w:t>
      </w:r>
      <w:r>
        <w:rPr/>
        <w:t>variación</w:t>
      </w:r>
      <w:r>
        <w:rPr>
          <w:spacing w:val="-2"/>
        </w:rPr>
        <w:t> </w:t>
      </w:r>
      <w:r>
        <w:rPr/>
        <w:t>absoluta</w:t>
      </w:r>
      <w:r>
        <w:rPr>
          <w:spacing w:val="-2"/>
        </w:rPr>
        <w:t> </w:t>
      </w:r>
      <w:r>
        <w:rPr/>
        <w:t>de</w:t>
      </w:r>
      <w:r>
        <w:rPr>
          <w:spacing w:val="-3"/>
        </w:rPr>
        <w:t> </w:t>
      </w:r>
      <w:r>
        <w:rPr/>
        <w:t>0</w:t>
      </w:r>
      <w:r>
        <w:rPr>
          <w:spacing w:val="-2"/>
        </w:rPr>
        <w:t> </w:t>
      </w:r>
      <w:r>
        <w:rPr/>
        <w:t>000,00</w:t>
      </w:r>
      <w:r>
        <w:rPr>
          <w:spacing w:val="-3"/>
        </w:rPr>
        <w:t> </w:t>
      </w:r>
      <w:r>
        <w:rPr/>
        <w:t>que</w:t>
      </w:r>
      <w:r>
        <w:rPr>
          <w:spacing w:val="-6"/>
        </w:rPr>
        <w:t> </w:t>
      </w:r>
      <w:r>
        <w:rPr/>
        <w:t>corresponde</w:t>
      </w:r>
      <w:r>
        <w:rPr>
          <w:spacing w:val="-4"/>
        </w:rPr>
        <w:t> </w:t>
      </w:r>
      <w:r>
        <w:rPr/>
        <w:t>a</w:t>
      </w:r>
      <w:r>
        <w:rPr>
          <w:spacing w:val="-3"/>
        </w:rPr>
        <w:t> </w:t>
      </w:r>
      <w:r>
        <w:rPr/>
        <w:t>un Aumento del 0,00% de recursos disponibles.</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24064">
                <wp:simplePos x="0" y="0"/>
                <wp:positionH relativeFrom="page">
                  <wp:posOffset>9525</wp:posOffset>
                </wp:positionH>
                <wp:positionV relativeFrom="page">
                  <wp:posOffset>297208</wp:posOffset>
                </wp:positionV>
                <wp:extent cx="7762875" cy="9748520"/>
                <wp:effectExtent l="0" t="0" r="0" b="0"/>
                <wp:wrapNone/>
                <wp:docPr id="521" name="Group 521"/>
                <wp:cNvGraphicFramePr>
                  <a:graphicFrameLocks/>
                </wp:cNvGraphicFramePr>
                <a:graphic>
                  <a:graphicData uri="http://schemas.microsoft.com/office/word/2010/wordprocessingGroup">
                    <wpg:wgp>
                      <wpg:cNvPr id="521" name="Group 521"/>
                      <wpg:cNvGrpSpPr/>
                      <wpg:grpSpPr>
                        <a:xfrm>
                          <a:off x="0" y="0"/>
                          <a:ext cx="7762875" cy="9748520"/>
                          <a:chExt cx="7762875" cy="9748520"/>
                        </a:xfrm>
                      </wpg:grpSpPr>
                      <pic:pic>
                        <pic:nvPicPr>
                          <pic:cNvPr id="522" name="Image 522"/>
                          <pic:cNvPicPr/>
                        </pic:nvPicPr>
                        <pic:blipFill>
                          <a:blip r:embed="rId5" cstate="print"/>
                          <a:stretch>
                            <a:fillRect/>
                          </a:stretch>
                        </pic:blipFill>
                        <pic:spPr>
                          <a:xfrm>
                            <a:off x="0" y="0"/>
                            <a:ext cx="7762874" cy="9748489"/>
                          </a:xfrm>
                          <a:prstGeom prst="rect">
                            <a:avLst/>
                          </a:prstGeom>
                        </pic:spPr>
                      </pic:pic>
                      <wps:wsp>
                        <wps:cNvPr id="523" name="Graphic 52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92416" id="docshapegroup499" coordorigin="15,468" coordsize="12225,15352">
                <v:shape style="position:absolute;left:15;top:468;width:12225;height:15352" type="#_x0000_t75" id="docshape500" stroked="false">
                  <v:imagedata r:id="rId5" o:title=""/>
                </v:shape>
                <v:rect style="position:absolute;left:1673;top:2028;width:8897;height:15" id="docshape50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107</w:t>
      </w:r>
    </w:p>
    <w:p>
      <w:pPr>
        <w:pStyle w:val="BodyText"/>
        <w:spacing w:before="10"/>
        <w:rPr>
          <w:sz w:val="16"/>
        </w:rPr>
      </w:pPr>
      <w:r>
        <w:rPr>
          <w:sz w:val="16"/>
        </w:rPr>
        <mc:AlternateContent>
          <mc:Choice Requires="wps">
            <w:drawing>
              <wp:anchor distT="0" distB="0" distL="0" distR="0" allowOverlap="1" layoutInCell="1" locked="0" behindDoc="1" simplePos="0" relativeHeight="487686144">
                <wp:simplePos x="0" y="0"/>
                <wp:positionH relativeFrom="page">
                  <wp:posOffset>1080820</wp:posOffset>
                </wp:positionH>
                <wp:positionV relativeFrom="paragraph">
                  <wp:posOffset>141144</wp:posOffset>
                </wp:positionV>
                <wp:extent cx="5715000" cy="554990"/>
                <wp:effectExtent l="0" t="0" r="0" b="0"/>
                <wp:wrapTopAndBottom/>
                <wp:docPr id="524" name="Textbox 524"/>
                <wp:cNvGraphicFramePr>
                  <a:graphicFrameLocks/>
                </wp:cNvGraphicFramePr>
                <a:graphic>
                  <a:graphicData uri="http://schemas.microsoft.com/office/word/2010/wordprocessingShape">
                    <wps:wsp>
                      <wps:cNvPr id="524" name="Textbox 524"/>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630336;mso-wrap-distance-left:0;mso-wrap-distance-right:0" type="#_x0000_t202" id="docshape50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88" w:id="89"/>
      <w:bookmarkEnd w:id="89"/>
      <w:r>
        <w:rPr/>
      </w:r>
      <w:r>
        <w:rPr>
          <w:b/>
          <w:sz w:val="22"/>
        </w:rPr>
        <w:t>NOTA</w:t>
      </w:r>
      <w:r>
        <w:rPr>
          <w:b/>
          <w:spacing w:val="-1"/>
          <w:sz w:val="22"/>
        </w:rPr>
        <w:t> </w:t>
      </w:r>
      <w:r>
        <w:rPr>
          <w:b/>
          <w:sz w:val="22"/>
        </w:rPr>
        <w:t>N° </w:t>
      </w:r>
      <w:r>
        <w:rPr>
          <w:b/>
          <w:spacing w:val="-5"/>
          <w:sz w:val="22"/>
        </w:rPr>
        <w:t>45</w:t>
      </w:r>
    </w:p>
    <w:p>
      <w:pPr>
        <w:pStyle w:val="BodyText"/>
        <w:spacing w:before="114"/>
        <w:rPr>
          <w:b/>
        </w:rPr>
      </w:pPr>
    </w:p>
    <w:p>
      <w:pPr>
        <w:pStyle w:val="BodyText"/>
        <w:spacing w:before="1"/>
        <w:ind w:left="622"/>
      </w:pPr>
      <w:r>
        <w:rPr/>
        <w:t>Resultados</w:t>
      </w:r>
      <w:r>
        <w:rPr>
          <w:spacing w:val="-4"/>
        </w:rPr>
        <w:t> </w:t>
      </w:r>
      <w:r>
        <w:rPr/>
        <w:t>positivos</w:t>
      </w:r>
      <w:r>
        <w:rPr>
          <w:spacing w:val="-3"/>
        </w:rPr>
        <w:t> </w:t>
      </w:r>
      <w:r>
        <w:rPr/>
        <w:t>por</w:t>
      </w:r>
      <w:r>
        <w:rPr>
          <w:spacing w:val="-5"/>
        </w:rPr>
        <w:t> </w:t>
      </w:r>
      <w:r>
        <w:rPr/>
        <w:t>ventas</w:t>
      </w:r>
      <w:r>
        <w:rPr>
          <w:spacing w:val="-4"/>
        </w:rPr>
        <w:t> </w:t>
      </w:r>
      <w:r>
        <w:rPr/>
        <w:t>e</w:t>
      </w:r>
      <w:r>
        <w:rPr>
          <w:spacing w:val="-5"/>
        </w:rPr>
        <w:t> </w:t>
      </w:r>
      <w:r>
        <w:rPr/>
        <w:t>intercambios</w:t>
      </w:r>
      <w:r>
        <w:rPr>
          <w:spacing w:val="-3"/>
        </w:rPr>
        <w:t> </w:t>
      </w:r>
      <w:r>
        <w:rPr/>
        <w:t>de</w:t>
      </w:r>
      <w:r>
        <w:rPr>
          <w:spacing w:val="-6"/>
        </w:rPr>
        <w:t> </w:t>
      </w:r>
      <w:r>
        <w:rPr>
          <w:spacing w:val="-2"/>
        </w:rPr>
        <w:t>bienes</w:t>
      </w:r>
    </w:p>
    <w:p>
      <w:pPr>
        <w:pStyle w:val="BodyText"/>
        <w:spacing w:before="6"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3069"/>
        <w:gridCol w:w="574"/>
        <w:gridCol w:w="1544"/>
        <w:gridCol w:w="1455"/>
        <w:gridCol w:w="1189"/>
      </w:tblGrid>
      <w:tr>
        <w:trPr>
          <w:trHeight w:val="306" w:hRule="atLeast"/>
        </w:trPr>
        <w:tc>
          <w:tcPr>
            <w:tcW w:w="1126" w:type="dxa"/>
            <w:vMerge w:val="restart"/>
            <w:shd w:val="clear" w:color="auto" w:fill="365F92"/>
          </w:tcPr>
          <w:p>
            <w:pPr>
              <w:pStyle w:val="TableParagraph"/>
              <w:spacing w:before="103"/>
              <w:ind w:left="69"/>
              <w:rPr>
                <w:b/>
                <w:sz w:val="22"/>
              </w:rPr>
            </w:pPr>
            <w:r>
              <w:rPr>
                <w:b/>
                <w:color w:val="FFFFFF"/>
                <w:spacing w:val="-2"/>
                <w:sz w:val="22"/>
              </w:rPr>
              <w:t>Cuenta</w:t>
            </w:r>
          </w:p>
        </w:tc>
        <w:tc>
          <w:tcPr>
            <w:tcW w:w="3069" w:type="dxa"/>
            <w:vMerge w:val="restart"/>
            <w:shd w:val="clear" w:color="auto" w:fill="365F92"/>
          </w:tcPr>
          <w:p>
            <w:pPr>
              <w:pStyle w:val="TableParagraph"/>
              <w:spacing w:before="192"/>
              <w:ind w:left="1002"/>
              <w:rPr>
                <w:b/>
                <w:sz w:val="22"/>
              </w:rPr>
            </w:pPr>
            <w:r>
              <w:rPr>
                <w:b/>
                <w:color w:val="FFFFFF"/>
                <w:spacing w:val="-2"/>
                <w:sz w:val="22"/>
              </w:rPr>
              <w:t>Descripción</w:t>
            </w:r>
          </w:p>
        </w:tc>
        <w:tc>
          <w:tcPr>
            <w:tcW w:w="574" w:type="dxa"/>
            <w:vMerge w:val="restart"/>
            <w:shd w:val="clear" w:color="auto" w:fill="365F92"/>
          </w:tcPr>
          <w:p>
            <w:pPr>
              <w:pStyle w:val="TableParagraph"/>
              <w:spacing w:before="192"/>
              <w:ind w:left="67"/>
              <w:rPr>
                <w:b/>
                <w:sz w:val="22"/>
              </w:rPr>
            </w:pPr>
            <w:r>
              <w:rPr>
                <w:b/>
                <w:color w:val="FFFFFF"/>
                <w:spacing w:val="-4"/>
                <w:sz w:val="22"/>
              </w:rPr>
              <w:t>Nota</w:t>
            </w:r>
          </w:p>
        </w:tc>
        <w:tc>
          <w:tcPr>
            <w:tcW w:w="1544" w:type="dxa"/>
            <w:vMerge w:val="restart"/>
            <w:shd w:val="clear" w:color="auto" w:fill="365F92"/>
          </w:tcPr>
          <w:p>
            <w:pPr>
              <w:pStyle w:val="TableParagraph"/>
              <w:spacing w:before="192"/>
              <w:ind w:left="137"/>
              <w:rPr>
                <w:b/>
                <w:sz w:val="22"/>
              </w:rPr>
            </w:pPr>
            <w:r>
              <w:rPr>
                <w:b/>
                <w:color w:val="FFFFFF"/>
                <w:sz w:val="22"/>
              </w:rPr>
              <w:t>Periodo</w:t>
            </w:r>
            <w:r>
              <w:rPr>
                <w:b/>
                <w:color w:val="FFFFFF"/>
                <w:spacing w:val="-4"/>
                <w:sz w:val="22"/>
              </w:rPr>
              <w:t> </w:t>
            </w:r>
            <w:r>
              <w:rPr>
                <w:b/>
                <w:color w:val="FFFFFF"/>
                <w:spacing w:val="-2"/>
                <w:sz w:val="22"/>
              </w:rPr>
              <w:t>Actual</w:t>
            </w:r>
          </w:p>
        </w:tc>
        <w:tc>
          <w:tcPr>
            <w:tcW w:w="1455" w:type="dxa"/>
            <w:vMerge w:val="restart"/>
            <w:shd w:val="clear" w:color="auto" w:fill="365F92"/>
          </w:tcPr>
          <w:p>
            <w:pPr>
              <w:pStyle w:val="TableParagraph"/>
              <w:spacing w:before="65"/>
              <w:ind w:left="350" w:firstLine="48"/>
              <w:rPr>
                <w:b/>
                <w:sz w:val="22"/>
              </w:rPr>
            </w:pPr>
            <w:r>
              <w:rPr>
                <w:b/>
                <w:color w:val="FFFFFF"/>
                <w:spacing w:val="-2"/>
                <w:sz w:val="22"/>
              </w:rPr>
              <w:t>Periodo Anterior</w:t>
            </w:r>
          </w:p>
        </w:tc>
        <w:tc>
          <w:tcPr>
            <w:tcW w:w="1189" w:type="dxa"/>
            <w:shd w:val="clear" w:color="auto" w:fill="365F92"/>
          </w:tcPr>
          <w:p>
            <w:pPr>
              <w:pStyle w:val="TableParagraph"/>
              <w:spacing w:before="29"/>
              <w:ind w:left="13"/>
              <w:jc w:val="center"/>
              <w:rPr>
                <w:b/>
                <w:sz w:val="22"/>
              </w:rPr>
            </w:pPr>
            <w:r>
              <w:rPr>
                <w:b/>
                <w:color w:val="FFFFFF"/>
                <w:spacing w:val="-2"/>
                <w:sz w:val="22"/>
              </w:rPr>
              <w:t>Diferencia</w:t>
            </w:r>
          </w:p>
        </w:tc>
      </w:tr>
      <w:tr>
        <w:trPr>
          <w:trHeight w:val="306" w:hRule="atLeast"/>
        </w:trPr>
        <w:tc>
          <w:tcPr>
            <w:tcW w:w="1126" w:type="dxa"/>
            <w:vMerge/>
            <w:tcBorders>
              <w:top w:val="nil"/>
            </w:tcBorders>
            <w:shd w:val="clear" w:color="auto" w:fill="365F92"/>
          </w:tcPr>
          <w:p>
            <w:pPr>
              <w:rPr>
                <w:sz w:val="2"/>
                <w:szCs w:val="2"/>
              </w:rPr>
            </w:pPr>
          </w:p>
        </w:tc>
        <w:tc>
          <w:tcPr>
            <w:tcW w:w="3069"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1544" w:type="dxa"/>
            <w:vMerge/>
            <w:tcBorders>
              <w:top w:val="nil"/>
            </w:tcBorders>
            <w:shd w:val="clear" w:color="auto" w:fill="365F92"/>
          </w:tcPr>
          <w:p>
            <w:pPr>
              <w:rPr>
                <w:sz w:val="2"/>
                <w:szCs w:val="2"/>
              </w:rPr>
            </w:pPr>
          </w:p>
        </w:tc>
        <w:tc>
          <w:tcPr>
            <w:tcW w:w="1455" w:type="dxa"/>
            <w:vMerge/>
            <w:tcBorders>
              <w:top w:val="nil"/>
            </w:tcBorders>
            <w:shd w:val="clear" w:color="auto" w:fill="365F92"/>
          </w:tcPr>
          <w:p>
            <w:pPr>
              <w:rPr>
                <w:sz w:val="2"/>
                <w:szCs w:val="2"/>
              </w:rPr>
            </w:pPr>
          </w:p>
        </w:tc>
        <w:tc>
          <w:tcPr>
            <w:tcW w:w="1189" w:type="dxa"/>
            <w:shd w:val="clear" w:color="auto" w:fill="365F92"/>
          </w:tcPr>
          <w:p>
            <w:pPr>
              <w:pStyle w:val="TableParagraph"/>
              <w:spacing w:before="29"/>
              <w:ind w:left="13" w:right="2"/>
              <w:jc w:val="center"/>
              <w:rPr>
                <w:sz w:val="22"/>
              </w:rPr>
            </w:pPr>
            <w:r>
              <w:rPr>
                <w:color w:val="FFFFFF"/>
                <w:spacing w:val="-10"/>
                <w:sz w:val="22"/>
              </w:rPr>
              <w:t>%</w:t>
            </w:r>
          </w:p>
        </w:tc>
      </w:tr>
      <w:tr>
        <w:trPr>
          <w:trHeight w:val="510" w:hRule="atLeast"/>
        </w:trPr>
        <w:tc>
          <w:tcPr>
            <w:tcW w:w="1126" w:type="dxa"/>
          </w:tcPr>
          <w:p>
            <w:pPr>
              <w:pStyle w:val="TableParagraph"/>
              <w:spacing w:before="129"/>
              <w:ind w:left="69"/>
              <w:rPr>
                <w:b/>
                <w:sz w:val="22"/>
              </w:rPr>
            </w:pPr>
            <w:r>
              <w:rPr>
                <w:b/>
                <w:spacing w:val="-2"/>
                <w:sz w:val="22"/>
              </w:rPr>
              <w:t>4.4.5.</w:t>
            </w:r>
          </w:p>
        </w:tc>
        <w:tc>
          <w:tcPr>
            <w:tcW w:w="3069" w:type="dxa"/>
          </w:tcPr>
          <w:p>
            <w:pPr>
              <w:pStyle w:val="TableParagraph"/>
              <w:spacing w:line="250" w:lineRule="exact" w:before="5"/>
              <w:ind w:left="68"/>
              <w:rPr>
                <w:b/>
                <w:sz w:val="22"/>
              </w:rPr>
            </w:pPr>
            <w:r>
              <w:rPr>
                <w:b/>
                <w:sz w:val="22"/>
              </w:rPr>
              <w:t>Resultados</w:t>
            </w:r>
            <w:r>
              <w:rPr>
                <w:b/>
                <w:spacing w:val="-4"/>
                <w:sz w:val="22"/>
              </w:rPr>
              <w:t> </w:t>
            </w:r>
            <w:r>
              <w:rPr>
                <w:b/>
                <w:sz w:val="22"/>
              </w:rPr>
              <w:t>positivos</w:t>
            </w:r>
            <w:r>
              <w:rPr>
                <w:b/>
                <w:spacing w:val="-4"/>
                <w:sz w:val="22"/>
              </w:rPr>
              <w:t> </w:t>
            </w:r>
            <w:r>
              <w:rPr>
                <w:b/>
                <w:sz w:val="22"/>
              </w:rPr>
              <w:t>por</w:t>
            </w:r>
            <w:r>
              <w:rPr>
                <w:b/>
                <w:spacing w:val="-4"/>
                <w:sz w:val="22"/>
              </w:rPr>
              <w:t> </w:t>
            </w:r>
            <w:r>
              <w:rPr>
                <w:b/>
                <w:sz w:val="22"/>
              </w:rPr>
              <w:t>ventas</w:t>
            </w:r>
            <w:r>
              <w:rPr>
                <w:b/>
                <w:spacing w:val="-4"/>
                <w:sz w:val="22"/>
              </w:rPr>
              <w:t> </w:t>
            </w:r>
            <w:r>
              <w:rPr>
                <w:b/>
                <w:spacing w:val="-10"/>
                <w:sz w:val="22"/>
              </w:rPr>
              <w:t>e</w:t>
            </w:r>
          </w:p>
          <w:p>
            <w:pPr>
              <w:pStyle w:val="TableParagraph"/>
              <w:spacing w:line="235" w:lineRule="exact"/>
              <w:ind w:left="68"/>
              <w:rPr>
                <w:b/>
                <w:sz w:val="22"/>
              </w:rPr>
            </w:pPr>
            <w:r>
              <w:rPr>
                <w:b/>
                <w:sz w:val="22"/>
              </w:rPr>
              <w:t>intercambio</w:t>
            </w:r>
            <w:r>
              <w:rPr>
                <w:b/>
                <w:spacing w:val="-4"/>
                <w:sz w:val="22"/>
              </w:rPr>
              <w:t> </w:t>
            </w:r>
            <w:r>
              <w:rPr>
                <w:b/>
                <w:sz w:val="22"/>
              </w:rPr>
              <w:t>de</w:t>
            </w:r>
            <w:r>
              <w:rPr>
                <w:b/>
                <w:spacing w:val="-2"/>
                <w:sz w:val="22"/>
              </w:rPr>
              <w:t> bienes</w:t>
            </w:r>
          </w:p>
        </w:tc>
        <w:tc>
          <w:tcPr>
            <w:tcW w:w="574" w:type="dxa"/>
          </w:tcPr>
          <w:p>
            <w:pPr>
              <w:pStyle w:val="TableParagraph"/>
              <w:spacing w:before="129"/>
              <w:ind w:left="175"/>
              <w:rPr>
                <w:b/>
                <w:sz w:val="22"/>
              </w:rPr>
            </w:pPr>
            <w:r>
              <w:rPr>
                <w:b/>
                <w:spacing w:val="-5"/>
                <w:sz w:val="22"/>
              </w:rPr>
              <w:t>45</w:t>
            </w:r>
          </w:p>
        </w:tc>
        <w:tc>
          <w:tcPr>
            <w:tcW w:w="1544" w:type="dxa"/>
          </w:tcPr>
          <w:p>
            <w:pPr>
              <w:pStyle w:val="TableParagraph"/>
              <w:spacing w:before="140"/>
              <w:ind w:left="14"/>
              <w:jc w:val="center"/>
              <w:rPr>
                <w:b/>
                <w:sz w:val="20"/>
              </w:rPr>
            </w:pPr>
            <w:r>
              <w:rPr>
                <w:b/>
                <w:spacing w:val="-4"/>
                <w:sz w:val="20"/>
              </w:rPr>
              <w:t>0,00</w:t>
            </w:r>
          </w:p>
        </w:tc>
        <w:tc>
          <w:tcPr>
            <w:tcW w:w="1455" w:type="dxa"/>
          </w:tcPr>
          <w:p>
            <w:pPr>
              <w:pStyle w:val="TableParagraph"/>
              <w:spacing w:before="140"/>
              <w:ind w:left="12"/>
              <w:jc w:val="center"/>
              <w:rPr>
                <w:b/>
                <w:sz w:val="20"/>
              </w:rPr>
            </w:pPr>
            <w:r>
              <w:rPr>
                <w:b/>
                <w:spacing w:val="-4"/>
                <w:sz w:val="20"/>
              </w:rPr>
              <w:t>0,00</w:t>
            </w:r>
          </w:p>
        </w:tc>
        <w:tc>
          <w:tcPr>
            <w:tcW w:w="1189" w:type="dxa"/>
          </w:tcPr>
          <w:p>
            <w:pPr>
              <w:pStyle w:val="TableParagraph"/>
              <w:spacing w:before="140"/>
              <w:ind w:left="13"/>
              <w:jc w:val="center"/>
              <w:rPr>
                <w:b/>
                <w:sz w:val="20"/>
              </w:rPr>
            </w:pPr>
            <w:r>
              <w:rPr>
                <w:b/>
                <w:spacing w:val="-2"/>
                <w:sz w:val="20"/>
              </w:rPr>
              <w:t>0,00%</w:t>
            </w:r>
          </w:p>
        </w:tc>
      </w:tr>
    </w:tbl>
    <w:p>
      <w:pPr>
        <w:pStyle w:val="BodyText"/>
        <w:spacing w:before="163"/>
      </w:pPr>
    </w:p>
    <w:p>
      <w:pPr>
        <w:pStyle w:val="Heading6"/>
        <w:ind w:left="622"/>
        <w:rPr>
          <w:b w:val="0"/>
        </w:rPr>
      </w:pPr>
      <w:r>
        <w:rPr>
          <w:spacing w:val="-2"/>
        </w:rPr>
        <w:t>Revelación</w:t>
      </w:r>
      <w:r>
        <w:rPr>
          <w:b w:val="0"/>
          <w:spacing w:val="-2"/>
        </w:rPr>
        <w:t>:</w:t>
      </w:r>
    </w:p>
    <w:p>
      <w:pPr>
        <w:pStyle w:val="BodyText"/>
        <w:spacing w:before="157"/>
        <w:ind w:left="622" w:right="977"/>
        <w:jc w:val="both"/>
      </w:pPr>
      <w:r>
        <w:rPr/>
        <w:t>La cuenta Resultados positivos por ventas e intercambio de bienes, representa el 0% del total de Ingresos,</w:t>
      </w:r>
      <w:r>
        <w:rPr>
          <w:spacing w:val="-8"/>
        </w:rPr>
        <w:t> </w:t>
      </w:r>
      <w:r>
        <w:rPr/>
        <w:t>que</w:t>
      </w:r>
      <w:r>
        <w:rPr>
          <w:spacing w:val="-7"/>
        </w:rPr>
        <w:t> </w:t>
      </w:r>
      <w:r>
        <w:rPr/>
        <w:t>comparado</w:t>
      </w:r>
      <w:r>
        <w:rPr>
          <w:spacing w:val="-6"/>
        </w:rPr>
        <w:t> </w:t>
      </w:r>
      <w:r>
        <w:rPr/>
        <w:t>al</w:t>
      </w:r>
      <w:r>
        <w:rPr>
          <w:spacing w:val="-7"/>
        </w:rPr>
        <w:t> </w:t>
      </w:r>
      <w:r>
        <w:rPr/>
        <w:t>periodo</w:t>
      </w:r>
      <w:r>
        <w:rPr>
          <w:spacing w:val="-6"/>
        </w:rPr>
        <w:t> </w:t>
      </w:r>
      <w:r>
        <w:rPr/>
        <w:t>anterior</w:t>
      </w:r>
      <w:r>
        <w:rPr>
          <w:spacing w:val="-6"/>
        </w:rPr>
        <w:t> </w:t>
      </w:r>
      <w:r>
        <w:rPr/>
        <w:t>genera</w:t>
      </w:r>
      <w:r>
        <w:rPr>
          <w:spacing w:val="-7"/>
        </w:rPr>
        <w:t> </w:t>
      </w:r>
      <w:r>
        <w:rPr/>
        <w:t>una</w:t>
      </w:r>
      <w:r>
        <w:rPr>
          <w:spacing w:val="-9"/>
        </w:rPr>
        <w:t> </w:t>
      </w:r>
      <w:r>
        <w:rPr/>
        <w:t>variación</w:t>
      </w:r>
      <w:r>
        <w:rPr>
          <w:spacing w:val="-6"/>
        </w:rPr>
        <w:t> </w:t>
      </w:r>
      <w:r>
        <w:rPr/>
        <w:t>absoluta</w:t>
      </w:r>
      <w:r>
        <w:rPr>
          <w:spacing w:val="-6"/>
        </w:rPr>
        <w:t> </w:t>
      </w:r>
      <w:r>
        <w:rPr/>
        <w:t>de</w:t>
      </w:r>
      <w:r>
        <w:rPr>
          <w:spacing w:val="-8"/>
        </w:rPr>
        <w:t> </w:t>
      </w:r>
      <w:r>
        <w:rPr/>
        <w:t>¢</w:t>
      </w:r>
      <w:r>
        <w:rPr>
          <w:spacing w:val="-7"/>
        </w:rPr>
        <w:t> </w:t>
      </w:r>
      <w:r>
        <w:rPr/>
        <w:t>0,00</w:t>
      </w:r>
      <w:r>
        <w:rPr>
          <w:spacing w:val="-5"/>
        </w:rPr>
        <w:t> </w:t>
      </w:r>
      <w:r>
        <w:rPr/>
        <w:t>que</w:t>
      </w:r>
      <w:r>
        <w:rPr>
          <w:spacing w:val="-7"/>
        </w:rPr>
        <w:t> </w:t>
      </w:r>
      <w:r>
        <w:rPr/>
        <w:t>corresponde a una disminución del 0,00% de recursos disponibles.</w:t>
      </w:r>
    </w:p>
    <w:p>
      <w:pPr>
        <w:pStyle w:val="BodyText"/>
        <w:rPr>
          <w:sz w:val="12"/>
        </w:rPr>
      </w:pPr>
      <w:r>
        <w:rPr>
          <w:sz w:val="12"/>
        </w:rPr>
        <mc:AlternateContent>
          <mc:Choice Requires="wps">
            <w:drawing>
              <wp:anchor distT="0" distB="0" distL="0" distR="0" allowOverlap="1" layoutInCell="1" locked="0" behindDoc="1" simplePos="0" relativeHeight="487686656">
                <wp:simplePos x="0" y="0"/>
                <wp:positionH relativeFrom="page">
                  <wp:posOffset>1080820</wp:posOffset>
                </wp:positionH>
                <wp:positionV relativeFrom="paragraph">
                  <wp:posOffset>105608</wp:posOffset>
                </wp:positionV>
                <wp:extent cx="5715000" cy="541655"/>
                <wp:effectExtent l="0" t="0" r="0" b="0"/>
                <wp:wrapTopAndBottom/>
                <wp:docPr id="525" name="Textbox 525"/>
                <wp:cNvGraphicFramePr>
                  <a:graphicFrameLocks/>
                </wp:cNvGraphicFramePr>
                <a:graphic>
                  <a:graphicData uri="http://schemas.microsoft.com/office/word/2010/wordprocessingShape">
                    <wps:wsp>
                      <wps:cNvPr id="525" name="Textbox 525"/>
                      <wps:cNvSpPr txBox="1"/>
                      <wps:spPr>
                        <a:xfrm>
                          <a:off x="0" y="0"/>
                          <a:ext cx="5715000" cy="54165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8.315625pt;width:450pt;height:42.65pt;mso-position-horizontal-relative:page;mso-position-vertical-relative:paragraph;z-index:-15629824;mso-wrap-distance-left:0;mso-wrap-distance-right:0" type="#_x0000_t202" id="docshape50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pPr>
    </w:p>
    <w:p>
      <w:pPr>
        <w:pStyle w:val="BodyText"/>
      </w:pPr>
    </w:p>
    <w:p>
      <w:pPr>
        <w:pStyle w:val="BodyText"/>
        <w:spacing w:before="114"/>
      </w:pPr>
    </w:p>
    <w:p>
      <w:pPr>
        <w:spacing w:before="0"/>
        <w:ind w:left="622" w:right="0" w:firstLine="0"/>
        <w:jc w:val="left"/>
        <w:rPr>
          <w:b/>
          <w:sz w:val="22"/>
        </w:rPr>
      </w:pPr>
      <w:bookmarkStart w:name="_bookmark89" w:id="90"/>
      <w:bookmarkEnd w:id="90"/>
      <w:r>
        <w:rPr/>
      </w:r>
      <w:r>
        <w:rPr>
          <w:b/>
          <w:sz w:val="22"/>
        </w:rPr>
        <w:t>NOTA</w:t>
      </w:r>
      <w:r>
        <w:rPr>
          <w:b/>
          <w:spacing w:val="-1"/>
          <w:sz w:val="22"/>
        </w:rPr>
        <w:t> </w:t>
      </w:r>
      <w:r>
        <w:rPr>
          <w:b/>
          <w:sz w:val="22"/>
        </w:rPr>
        <w:t>N° </w:t>
      </w:r>
      <w:r>
        <w:rPr>
          <w:b/>
          <w:spacing w:val="-5"/>
          <w:sz w:val="22"/>
        </w:rPr>
        <w:t>46</w:t>
      </w:r>
    </w:p>
    <w:p>
      <w:pPr>
        <w:pStyle w:val="BodyText"/>
        <w:spacing w:before="115"/>
        <w:rPr>
          <w:b/>
        </w:rPr>
      </w:pPr>
    </w:p>
    <w:p>
      <w:pPr>
        <w:pStyle w:val="BodyText"/>
        <w:ind w:left="622"/>
      </w:pPr>
      <w:r>
        <w:rPr/>
        <w:t>Resultados</w:t>
      </w:r>
      <w:r>
        <w:rPr>
          <w:spacing w:val="-6"/>
        </w:rPr>
        <w:t> </w:t>
      </w:r>
      <w:r>
        <w:rPr/>
        <w:t>positivos</w:t>
      </w:r>
      <w:r>
        <w:rPr>
          <w:spacing w:val="-4"/>
        </w:rPr>
        <w:t> </w:t>
      </w:r>
      <w:r>
        <w:rPr/>
        <w:t>por</w:t>
      </w:r>
      <w:r>
        <w:rPr>
          <w:spacing w:val="-4"/>
        </w:rPr>
        <w:t> </w:t>
      </w:r>
      <w:r>
        <w:rPr/>
        <w:t>la</w:t>
      </w:r>
      <w:r>
        <w:rPr>
          <w:spacing w:val="-6"/>
        </w:rPr>
        <w:t> </w:t>
      </w:r>
      <w:r>
        <w:rPr/>
        <w:t>recuperación</w:t>
      </w:r>
      <w:r>
        <w:rPr>
          <w:spacing w:val="-4"/>
        </w:rPr>
        <w:t> </w:t>
      </w:r>
      <w:r>
        <w:rPr/>
        <w:t>de</w:t>
      </w:r>
      <w:r>
        <w:rPr>
          <w:spacing w:val="-4"/>
        </w:rPr>
        <w:t> </w:t>
      </w:r>
      <w:r>
        <w:rPr/>
        <w:t>dinero</w:t>
      </w:r>
      <w:r>
        <w:rPr>
          <w:spacing w:val="-6"/>
        </w:rPr>
        <w:t> </w:t>
      </w:r>
      <w:r>
        <w:rPr/>
        <w:t>mal</w:t>
      </w:r>
      <w:r>
        <w:rPr>
          <w:spacing w:val="-8"/>
        </w:rPr>
        <w:t> </w:t>
      </w:r>
      <w:r>
        <w:rPr/>
        <w:t>acreditado</w:t>
      </w:r>
      <w:r>
        <w:rPr>
          <w:spacing w:val="-4"/>
        </w:rPr>
        <w:t> </w:t>
      </w:r>
      <w:r>
        <w:rPr/>
        <w:t>de</w:t>
      </w:r>
      <w:r>
        <w:rPr>
          <w:spacing w:val="-4"/>
        </w:rPr>
        <w:t> </w:t>
      </w:r>
      <w:r>
        <w:rPr/>
        <w:t>periodos</w:t>
      </w:r>
      <w:r>
        <w:rPr>
          <w:spacing w:val="-3"/>
        </w:rPr>
        <w:t> </w:t>
      </w:r>
      <w:r>
        <w:rPr>
          <w:spacing w:val="-2"/>
        </w:rPr>
        <w:t>anteriores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577"/>
        <w:gridCol w:w="533"/>
        <w:gridCol w:w="1278"/>
        <w:gridCol w:w="1330"/>
        <w:gridCol w:w="1174"/>
      </w:tblGrid>
      <w:tr>
        <w:trPr>
          <w:trHeight w:val="229" w:hRule="atLeast"/>
        </w:trPr>
        <w:tc>
          <w:tcPr>
            <w:tcW w:w="984" w:type="dxa"/>
            <w:vMerge w:val="restart"/>
            <w:shd w:val="clear" w:color="auto" w:fill="365F92"/>
          </w:tcPr>
          <w:p>
            <w:pPr>
              <w:pStyle w:val="TableParagraph"/>
              <w:spacing w:before="34"/>
              <w:ind w:left="69"/>
              <w:rPr>
                <w:b/>
                <w:sz w:val="20"/>
              </w:rPr>
            </w:pPr>
            <w:r>
              <w:rPr>
                <w:b/>
                <w:color w:val="FFFFFF"/>
                <w:spacing w:val="-2"/>
                <w:sz w:val="20"/>
              </w:rPr>
              <w:t>Cuenta</w:t>
            </w:r>
          </w:p>
        </w:tc>
        <w:tc>
          <w:tcPr>
            <w:tcW w:w="3577" w:type="dxa"/>
            <w:vMerge w:val="restart"/>
            <w:shd w:val="clear" w:color="auto" w:fill="365F92"/>
          </w:tcPr>
          <w:p>
            <w:pPr>
              <w:pStyle w:val="TableParagraph"/>
              <w:spacing w:before="123"/>
              <w:ind w:left="16"/>
              <w:jc w:val="center"/>
              <w:rPr>
                <w:b/>
                <w:sz w:val="20"/>
              </w:rPr>
            </w:pPr>
            <w:r>
              <w:rPr>
                <w:b/>
                <w:color w:val="FFFFFF"/>
                <w:spacing w:val="-2"/>
                <w:sz w:val="20"/>
              </w:rPr>
              <w:t>Descripción</w:t>
            </w:r>
          </w:p>
        </w:tc>
        <w:tc>
          <w:tcPr>
            <w:tcW w:w="533" w:type="dxa"/>
            <w:vMerge w:val="restart"/>
            <w:shd w:val="clear" w:color="auto" w:fill="365F92"/>
          </w:tcPr>
          <w:p>
            <w:pPr>
              <w:pStyle w:val="TableParagraph"/>
              <w:spacing w:before="123"/>
              <w:ind w:left="69"/>
              <w:rPr>
                <w:b/>
                <w:sz w:val="20"/>
              </w:rPr>
            </w:pPr>
            <w:r>
              <w:rPr>
                <w:b/>
                <w:color w:val="FFFFFF"/>
                <w:spacing w:val="-4"/>
                <w:sz w:val="20"/>
              </w:rPr>
              <w:t>Nota</w:t>
            </w:r>
          </w:p>
        </w:tc>
        <w:tc>
          <w:tcPr>
            <w:tcW w:w="1278" w:type="dxa"/>
            <w:vMerge w:val="restart"/>
            <w:shd w:val="clear" w:color="auto" w:fill="365F92"/>
          </w:tcPr>
          <w:p>
            <w:pPr>
              <w:pStyle w:val="TableParagraph"/>
              <w:spacing w:line="220" w:lineRule="atLeast"/>
              <w:ind w:left="380" w:right="275" w:hanging="39"/>
              <w:rPr>
                <w:b/>
                <w:sz w:val="20"/>
              </w:rPr>
            </w:pPr>
            <w:r>
              <w:rPr>
                <w:b/>
                <w:color w:val="FFFFFF"/>
                <w:spacing w:val="-2"/>
                <w:sz w:val="20"/>
              </w:rPr>
              <w:t>Periodo Actual</w:t>
            </w:r>
          </w:p>
        </w:tc>
        <w:tc>
          <w:tcPr>
            <w:tcW w:w="1330" w:type="dxa"/>
            <w:vMerge w:val="restart"/>
            <w:shd w:val="clear" w:color="auto" w:fill="365F92"/>
          </w:tcPr>
          <w:p>
            <w:pPr>
              <w:pStyle w:val="TableParagraph"/>
              <w:spacing w:line="220" w:lineRule="atLeast"/>
              <w:ind w:left="325" w:right="298" w:firstLine="45"/>
              <w:rPr>
                <w:b/>
                <w:sz w:val="20"/>
              </w:rPr>
            </w:pPr>
            <w:r>
              <w:rPr>
                <w:b/>
                <w:color w:val="FFFFFF"/>
                <w:spacing w:val="-2"/>
                <w:sz w:val="20"/>
              </w:rPr>
              <w:t>Periodo Anterior</w:t>
            </w:r>
          </w:p>
        </w:tc>
        <w:tc>
          <w:tcPr>
            <w:tcW w:w="1174" w:type="dxa"/>
            <w:shd w:val="clear" w:color="auto" w:fill="365F92"/>
          </w:tcPr>
          <w:p>
            <w:pPr>
              <w:pStyle w:val="TableParagraph"/>
              <w:spacing w:line="209" w:lineRule="exact" w:before="1"/>
              <w:ind w:left="15" w:right="1"/>
              <w:jc w:val="center"/>
              <w:rPr>
                <w:b/>
                <w:sz w:val="20"/>
              </w:rPr>
            </w:pPr>
            <w:r>
              <w:rPr>
                <w:b/>
                <w:color w:val="FFFFFF"/>
                <w:spacing w:val="-2"/>
                <w:sz w:val="20"/>
              </w:rPr>
              <w:t>Diferencia</w:t>
            </w:r>
          </w:p>
        </w:tc>
      </w:tr>
      <w:tr>
        <w:trPr>
          <w:trHeight w:val="227" w:hRule="atLeast"/>
        </w:trPr>
        <w:tc>
          <w:tcPr>
            <w:tcW w:w="984" w:type="dxa"/>
            <w:vMerge/>
            <w:tcBorders>
              <w:top w:val="nil"/>
            </w:tcBorders>
            <w:shd w:val="clear" w:color="auto" w:fill="365F92"/>
          </w:tcPr>
          <w:p>
            <w:pPr>
              <w:rPr>
                <w:sz w:val="2"/>
                <w:szCs w:val="2"/>
              </w:rPr>
            </w:pPr>
          </w:p>
        </w:tc>
        <w:tc>
          <w:tcPr>
            <w:tcW w:w="3577" w:type="dxa"/>
            <w:vMerge/>
            <w:tcBorders>
              <w:top w:val="nil"/>
            </w:tcBorders>
            <w:shd w:val="clear" w:color="auto" w:fill="365F92"/>
          </w:tcPr>
          <w:p>
            <w:pPr>
              <w:rPr>
                <w:sz w:val="2"/>
                <w:szCs w:val="2"/>
              </w:rPr>
            </w:pPr>
          </w:p>
        </w:tc>
        <w:tc>
          <w:tcPr>
            <w:tcW w:w="533" w:type="dxa"/>
            <w:vMerge/>
            <w:tcBorders>
              <w:top w:val="nil"/>
            </w:tcBorders>
            <w:shd w:val="clear" w:color="auto" w:fill="365F92"/>
          </w:tcPr>
          <w:p>
            <w:pPr>
              <w:rPr>
                <w:sz w:val="2"/>
                <w:szCs w:val="2"/>
              </w:rPr>
            </w:pPr>
          </w:p>
        </w:tc>
        <w:tc>
          <w:tcPr>
            <w:tcW w:w="1278" w:type="dxa"/>
            <w:vMerge/>
            <w:tcBorders>
              <w:top w:val="nil"/>
            </w:tcBorders>
            <w:shd w:val="clear" w:color="auto" w:fill="365F92"/>
          </w:tcPr>
          <w:p>
            <w:pPr>
              <w:rPr>
                <w:sz w:val="2"/>
                <w:szCs w:val="2"/>
              </w:rPr>
            </w:pPr>
          </w:p>
        </w:tc>
        <w:tc>
          <w:tcPr>
            <w:tcW w:w="1330" w:type="dxa"/>
            <w:vMerge/>
            <w:tcBorders>
              <w:top w:val="nil"/>
            </w:tcBorders>
            <w:shd w:val="clear" w:color="auto" w:fill="365F92"/>
          </w:tcPr>
          <w:p>
            <w:pPr>
              <w:rPr>
                <w:sz w:val="2"/>
                <w:szCs w:val="2"/>
              </w:rPr>
            </w:pPr>
          </w:p>
        </w:tc>
        <w:tc>
          <w:tcPr>
            <w:tcW w:w="1174" w:type="dxa"/>
            <w:shd w:val="clear" w:color="auto" w:fill="365F92"/>
          </w:tcPr>
          <w:p>
            <w:pPr>
              <w:pStyle w:val="TableParagraph"/>
              <w:spacing w:line="207" w:lineRule="exact"/>
              <w:ind w:left="15" w:right="3"/>
              <w:jc w:val="center"/>
              <w:rPr>
                <w:sz w:val="20"/>
              </w:rPr>
            </w:pPr>
            <w:r>
              <w:rPr>
                <w:color w:val="FFFFFF"/>
                <w:spacing w:val="-10"/>
                <w:sz w:val="20"/>
              </w:rPr>
              <w:t>%</w:t>
            </w:r>
          </w:p>
        </w:tc>
      </w:tr>
      <w:tr>
        <w:trPr>
          <w:trHeight w:val="685" w:hRule="atLeast"/>
        </w:trPr>
        <w:tc>
          <w:tcPr>
            <w:tcW w:w="984" w:type="dxa"/>
          </w:tcPr>
          <w:p>
            <w:pPr>
              <w:pStyle w:val="TableParagraph"/>
              <w:rPr>
                <w:sz w:val="20"/>
              </w:rPr>
            </w:pPr>
          </w:p>
          <w:p>
            <w:pPr>
              <w:pStyle w:val="TableParagraph"/>
              <w:spacing w:before="1"/>
              <w:ind w:left="69"/>
              <w:rPr>
                <w:b/>
                <w:sz w:val="20"/>
              </w:rPr>
            </w:pPr>
            <w:r>
              <w:rPr>
                <w:b/>
                <w:spacing w:val="-2"/>
                <w:sz w:val="20"/>
              </w:rPr>
              <w:t>4.4.6.</w:t>
            </w:r>
          </w:p>
        </w:tc>
        <w:tc>
          <w:tcPr>
            <w:tcW w:w="3577" w:type="dxa"/>
          </w:tcPr>
          <w:p>
            <w:pPr>
              <w:pStyle w:val="TableParagraph"/>
              <w:spacing w:line="220" w:lineRule="atLeast"/>
              <w:ind w:left="69" w:right="51"/>
              <w:jc w:val="both"/>
              <w:rPr>
                <w:b/>
                <w:sz w:val="20"/>
              </w:rPr>
            </w:pPr>
            <w:r>
              <w:rPr>
                <w:b/>
                <w:sz w:val="20"/>
              </w:rPr>
              <w:t>Resultados</w:t>
            </w:r>
            <w:r>
              <w:rPr>
                <w:b/>
                <w:spacing w:val="-8"/>
                <w:sz w:val="20"/>
              </w:rPr>
              <w:t> </w:t>
            </w:r>
            <w:r>
              <w:rPr>
                <w:b/>
                <w:sz w:val="20"/>
              </w:rPr>
              <w:t>positivos</w:t>
            </w:r>
            <w:r>
              <w:rPr>
                <w:b/>
                <w:spacing w:val="-8"/>
                <w:sz w:val="20"/>
              </w:rPr>
              <w:t> </w:t>
            </w:r>
            <w:r>
              <w:rPr>
                <w:b/>
                <w:sz w:val="20"/>
              </w:rPr>
              <w:t>por</w:t>
            </w:r>
            <w:r>
              <w:rPr>
                <w:b/>
                <w:spacing w:val="-7"/>
                <w:sz w:val="20"/>
              </w:rPr>
              <w:t> </w:t>
            </w:r>
            <w:r>
              <w:rPr>
                <w:b/>
                <w:sz w:val="20"/>
              </w:rPr>
              <w:t>la</w:t>
            </w:r>
            <w:r>
              <w:rPr>
                <w:b/>
                <w:spacing w:val="-8"/>
                <w:sz w:val="20"/>
              </w:rPr>
              <w:t> </w:t>
            </w:r>
            <w:r>
              <w:rPr>
                <w:b/>
                <w:sz w:val="20"/>
              </w:rPr>
              <w:t>recuperación</w:t>
            </w:r>
            <w:r>
              <w:rPr>
                <w:b/>
                <w:spacing w:val="-8"/>
                <w:sz w:val="20"/>
              </w:rPr>
              <w:t> </w:t>
            </w:r>
            <w:r>
              <w:rPr>
                <w:b/>
                <w:sz w:val="20"/>
              </w:rPr>
              <w:t>de dinero mal acreditado de periodos </w:t>
            </w:r>
            <w:r>
              <w:rPr>
                <w:b/>
                <w:spacing w:val="-2"/>
                <w:sz w:val="20"/>
              </w:rPr>
              <w:t>anteriores</w:t>
            </w:r>
          </w:p>
        </w:tc>
        <w:tc>
          <w:tcPr>
            <w:tcW w:w="533" w:type="dxa"/>
          </w:tcPr>
          <w:p>
            <w:pPr>
              <w:pStyle w:val="TableParagraph"/>
              <w:rPr>
                <w:sz w:val="20"/>
              </w:rPr>
            </w:pPr>
          </w:p>
          <w:p>
            <w:pPr>
              <w:pStyle w:val="TableParagraph"/>
              <w:spacing w:before="1"/>
              <w:ind w:left="167"/>
              <w:rPr>
                <w:b/>
                <w:sz w:val="20"/>
              </w:rPr>
            </w:pPr>
            <w:r>
              <w:rPr>
                <w:b/>
                <w:spacing w:val="-5"/>
                <w:sz w:val="20"/>
              </w:rPr>
              <w:t>46</w:t>
            </w:r>
          </w:p>
        </w:tc>
        <w:tc>
          <w:tcPr>
            <w:tcW w:w="1278" w:type="dxa"/>
          </w:tcPr>
          <w:p>
            <w:pPr>
              <w:pStyle w:val="TableParagraph"/>
              <w:rPr>
                <w:sz w:val="20"/>
              </w:rPr>
            </w:pPr>
          </w:p>
          <w:p>
            <w:pPr>
              <w:pStyle w:val="TableParagraph"/>
              <w:spacing w:before="1"/>
              <w:ind w:left="14"/>
              <w:jc w:val="center"/>
              <w:rPr>
                <w:b/>
                <w:sz w:val="20"/>
              </w:rPr>
            </w:pPr>
            <w:r>
              <w:rPr>
                <w:b/>
                <w:spacing w:val="-4"/>
                <w:sz w:val="20"/>
              </w:rPr>
              <w:t>0,00</w:t>
            </w:r>
          </w:p>
        </w:tc>
        <w:tc>
          <w:tcPr>
            <w:tcW w:w="1330" w:type="dxa"/>
          </w:tcPr>
          <w:p>
            <w:pPr>
              <w:pStyle w:val="TableParagraph"/>
              <w:rPr>
                <w:sz w:val="20"/>
              </w:rPr>
            </w:pPr>
          </w:p>
          <w:p>
            <w:pPr>
              <w:pStyle w:val="TableParagraph"/>
              <w:spacing w:before="1"/>
              <w:ind w:left="13"/>
              <w:jc w:val="center"/>
              <w:rPr>
                <w:b/>
                <w:sz w:val="20"/>
              </w:rPr>
            </w:pPr>
            <w:r>
              <w:rPr>
                <w:b/>
                <w:spacing w:val="-4"/>
                <w:sz w:val="20"/>
              </w:rPr>
              <w:t>0,00</w:t>
            </w:r>
          </w:p>
        </w:tc>
        <w:tc>
          <w:tcPr>
            <w:tcW w:w="1174" w:type="dxa"/>
          </w:tcPr>
          <w:p>
            <w:pPr>
              <w:pStyle w:val="TableParagraph"/>
              <w:rPr>
                <w:sz w:val="20"/>
              </w:rPr>
            </w:pPr>
          </w:p>
          <w:p>
            <w:pPr>
              <w:pStyle w:val="TableParagraph"/>
              <w:spacing w:before="1"/>
              <w:ind w:left="15" w:right="4"/>
              <w:jc w:val="center"/>
              <w:rPr>
                <w:b/>
                <w:sz w:val="20"/>
              </w:rPr>
            </w:pPr>
            <w:r>
              <w:rPr>
                <w:b/>
                <w:spacing w:val="-2"/>
                <w:sz w:val="20"/>
              </w:rPr>
              <w:t>0,00%</w:t>
            </w:r>
          </w:p>
        </w:tc>
      </w:tr>
    </w:tbl>
    <w:p>
      <w:pPr>
        <w:pStyle w:val="Heading6"/>
        <w:spacing w:before="241"/>
        <w:ind w:left="622"/>
      </w:pPr>
      <w:r>
        <w:rPr>
          <w:spacing w:val="-2"/>
          <w:u w:val="single"/>
        </w:rPr>
        <w:t>Revelación:</w:t>
      </w:r>
    </w:p>
    <w:p>
      <w:pPr>
        <w:pStyle w:val="BodyText"/>
        <w:spacing w:line="259" w:lineRule="auto" w:before="181"/>
        <w:ind w:left="622" w:right="981"/>
        <w:jc w:val="both"/>
      </w:pPr>
      <w:r>
        <w:rPr/>
        <w:t>La cuenta Resultados positivos por la recuperación de dinero mal acreditado de periodos anteriores, representa el 0,00% del total del Ingresos, que comparado al periodo anterior genera una variación absoluta de 0 000,00 que corresponde a un Aumento del 0,00% de recursos disponibles.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25600">
                <wp:simplePos x="0" y="0"/>
                <wp:positionH relativeFrom="page">
                  <wp:posOffset>9525</wp:posOffset>
                </wp:positionH>
                <wp:positionV relativeFrom="page">
                  <wp:posOffset>297208</wp:posOffset>
                </wp:positionV>
                <wp:extent cx="7762875" cy="9748520"/>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7762875" cy="9748520"/>
                          <a:chExt cx="7762875" cy="9748520"/>
                        </a:xfrm>
                      </wpg:grpSpPr>
                      <pic:pic>
                        <pic:nvPicPr>
                          <pic:cNvPr id="527" name="Image 527"/>
                          <pic:cNvPicPr/>
                        </pic:nvPicPr>
                        <pic:blipFill>
                          <a:blip r:embed="rId5" cstate="print"/>
                          <a:stretch>
                            <a:fillRect/>
                          </a:stretch>
                        </pic:blipFill>
                        <pic:spPr>
                          <a:xfrm>
                            <a:off x="0" y="0"/>
                            <a:ext cx="7762874" cy="9748489"/>
                          </a:xfrm>
                          <a:prstGeom prst="rect">
                            <a:avLst/>
                          </a:prstGeom>
                        </pic:spPr>
                      </pic:pic>
                      <wps:wsp>
                        <wps:cNvPr id="528" name="Graphic 52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29" name="Image 529"/>
                          <pic:cNvPicPr/>
                        </pic:nvPicPr>
                        <pic:blipFill>
                          <a:blip r:embed="rId57" cstate="print"/>
                          <a:stretch>
                            <a:fillRect/>
                          </a:stretch>
                        </pic:blipFill>
                        <pic:spPr>
                          <a:xfrm>
                            <a:off x="1802129" y="6556638"/>
                            <a:ext cx="4250690" cy="1247101"/>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90880" id="docshapegroup504" coordorigin="15,468" coordsize="12225,15352">
                <v:shape style="position:absolute;left:15;top:468;width:12225;height:15352" type="#_x0000_t75" id="docshape505" stroked="false">
                  <v:imagedata r:id="rId5" o:title=""/>
                </v:shape>
                <v:rect style="position:absolute;left:1673;top:2028;width:8897;height:15" id="docshape506" filled="true" fillcolor="#000000" stroked="false">
                  <v:fill type="solid"/>
                </v:rect>
                <v:shape style="position:absolute;left:2853;top:10793;width:6694;height:1964" type="#_x0000_t75" id="docshape507" stroked="false">
                  <v:imagedata r:id="rId57" o:title=""/>
                </v:shape>
                <w10:wrap type="none"/>
              </v:group>
            </w:pict>
          </mc:Fallback>
        </mc:AlternateContent>
      </w:r>
      <w:r>
        <w:rPr>
          <w:color w:val="172951"/>
          <w:sz w:val="20"/>
        </w:rPr>
        <w:t>Pág.</w:t>
      </w:r>
      <w:r>
        <w:rPr>
          <w:color w:val="172951"/>
          <w:spacing w:val="-7"/>
          <w:sz w:val="20"/>
        </w:rPr>
        <w:t> </w:t>
      </w:r>
      <w:r>
        <w:rPr>
          <w:color w:val="172951"/>
          <w:spacing w:val="-5"/>
          <w:sz w:val="20"/>
        </w:rPr>
        <w:t>108</w:t>
      </w:r>
    </w:p>
    <w:p>
      <w:pPr>
        <w:pStyle w:val="BodyText"/>
        <w:spacing w:before="10"/>
        <w:rPr>
          <w:sz w:val="16"/>
        </w:rPr>
      </w:pPr>
      <w:r>
        <w:rPr>
          <w:sz w:val="16"/>
        </w:rPr>
        <mc:AlternateContent>
          <mc:Choice Requires="wps">
            <w:drawing>
              <wp:anchor distT="0" distB="0" distL="0" distR="0" allowOverlap="1" layoutInCell="1" locked="0" behindDoc="1" simplePos="0" relativeHeight="487687680">
                <wp:simplePos x="0" y="0"/>
                <wp:positionH relativeFrom="page">
                  <wp:posOffset>1080820</wp:posOffset>
                </wp:positionH>
                <wp:positionV relativeFrom="paragraph">
                  <wp:posOffset>141144</wp:posOffset>
                </wp:positionV>
                <wp:extent cx="5620385" cy="577850"/>
                <wp:effectExtent l="0" t="0" r="0" b="0"/>
                <wp:wrapTopAndBottom/>
                <wp:docPr id="530" name="Textbox 530"/>
                <wp:cNvGraphicFramePr>
                  <a:graphicFrameLocks/>
                </wp:cNvGraphicFramePr>
                <a:graphic>
                  <a:graphicData uri="http://schemas.microsoft.com/office/word/2010/wordprocessingShape">
                    <wps:wsp>
                      <wps:cNvPr id="530" name="Textbox 530"/>
                      <wps:cNvSpPr txBox="1"/>
                      <wps:spPr>
                        <a:xfrm>
                          <a:off x="0" y="0"/>
                          <a:ext cx="5620385" cy="57785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42.55pt;height:45.5pt;mso-position-horizontal-relative:page;mso-position-vertical-relative:paragraph;z-index:-15628800;mso-wrap-distance-left:0;mso-wrap-distance-right:0" type="#_x0000_t202" id="docshape50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210"/>
      </w:pPr>
    </w:p>
    <w:p>
      <w:pPr>
        <w:pStyle w:val="ListParagraph"/>
        <w:numPr>
          <w:ilvl w:val="1"/>
          <w:numId w:val="39"/>
        </w:numPr>
        <w:tabs>
          <w:tab w:pos="946" w:val="left" w:leader="none"/>
        </w:tabs>
        <w:spacing w:line="398" w:lineRule="auto" w:before="0" w:after="0"/>
        <w:ind w:left="622" w:right="6347" w:firstLine="0"/>
        <w:jc w:val="left"/>
        <w:rPr>
          <w:b/>
          <w:sz w:val="22"/>
        </w:rPr>
      </w:pPr>
      <w:bookmarkStart w:name="_bookmark90" w:id="91"/>
      <w:bookmarkEnd w:id="91"/>
      <w:r>
        <w:rPr/>
      </w:r>
      <w:r>
        <w:rPr>
          <w:b/>
          <w:color w:val="1F3762"/>
          <w:sz w:val="22"/>
        </w:rPr>
        <w:t>INGRESOS</w:t>
      </w:r>
      <w:r>
        <w:rPr>
          <w:b/>
          <w:color w:val="1F3762"/>
          <w:spacing w:val="-11"/>
          <w:sz w:val="22"/>
        </w:rPr>
        <w:t> </w:t>
      </w:r>
      <w:r>
        <w:rPr>
          <w:b/>
          <w:color w:val="1F3762"/>
          <w:sz w:val="22"/>
        </w:rPr>
        <w:t>DE</w:t>
      </w:r>
      <w:r>
        <w:rPr>
          <w:b/>
          <w:color w:val="1F3762"/>
          <w:spacing w:val="-12"/>
          <w:sz w:val="22"/>
        </w:rPr>
        <w:t> </w:t>
      </w:r>
      <w:r>
        <w:rPr>
          <w:b/>
          <w:color w:val="1F3762"/>
          <w:sz w:val="22"/>
        </w:rPr>
        <w:t>LA</w:t>
      </w:r>
      <w:r>
        <w:rPr>
          <w:b/>
          <w:color w:val="1F3762"/>
          <w:spacing w:val="-11"/>
          <w:sz w:val="22"/>
        </w:rPr>
        <w:t> </w:t>
      </w:r>
      <w:r>
        <w:rPr>
          <w:b/>
          <w:color w:val="1F3762"/>
          <w:sz w:val="22"/>
        </w:rPr>
        <w:t>PROPIEDAD </w:t>
      </w:r>
      <w:bookmarkStart w:name="_bookmark91" w:id="92"/>
      <w:bookmarkEnd w:id="92"/>
      <w:r>
        <w:rPr>
          <w:b/>
          <w:color w:val="1F3762"/>
          <w:sz w:val="22"/>
        </w:rPr>
      </w:r>
      <w:r>
        <w:rPr>
          <w:b/>
          <w:sz w:val="22"/>
        </w:rPr>
        <w:t>NOTA N° 47</w:t>
      </w:r>
    </w:p>
    <w:p>
      <w:pPr>
        <w:pStyle w:val="Heading6"/>
        <w:spacing w:before="199"/>
        <w:ind w:left="622"/>
      </w:pPr>
      <w:r>
        <w:rPr/>
        <w:t>Rentas</w:t>
      </w:r>
      <w:r>
        <w:rPr>
          <w:spacing w:val="-4"/>
        </w:rPr>
        <w:t> </w:t>
      </w:r>
      <w:r>
        <w:rPr/>
        <w:t>de</w:t>
      </w:r>
      <w:r>
        <w:rPr>
          <w:spacing w:val="-2"/>
        </w:rPr>
        <w:t> </w:t>
      </w:r>
      <w:r>
        <w:rPr/>
        <w:t>inversiones</w:t>
      </w:r>
      <w:r>
        <w:rPr>
          <w:spacing w:val="-2"/>
        </w:rPr>
        <w:t> </w:t>
      </w:r>
      <w:r>
        <w:rPr/>
        <w:t>y</w:t>
      </w:r>
      <w:r>
        <w:rPr>
          <w:spacing w:val="-4"/>
        </w:rPr>
        <w:t> </w:t>
      </w:r>
      <w:r>
        <w:rPr/>
        <w:t>de</w:t>
      </w:r>
      <w:r>
        <w:rPr>
          <w:spacing w:val="-3"/>
        </w:rPr>
        <w:t> </w:t>
      </w:r>
      <w:r>
        <w:rPr/>
        <w:t>colocación</w:t>
      </w:r>
      <w:r>
        <w:rPr>
          <w:spacing w:val="-3"/>
        </w:rPr>
        <w:t> </w:t>
      </w:r>
      <w:r>
        <w:rPr/>
        <w:t>de</w:t>
      </w:r>
      <w:r>
        <w:rPr>
          <w:spacing w:val="-5"/>
        </w:rPr>
        <w:t> </w:t>
      </w:r>
      <w:r>
        <w:rPr>
          <w:spacing w:val="-2"/>
        </w:rPr>
        <w:t>efectivo</w:t>
      </w:r>
    </w:p>
    <w:p>
      <w:pPr>
        <w:pStyle w:val="BodyText"/>
        <w:spacing w:before="10"/>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114"/>
        <w:gridCol w:w="571"/>
        <w:gridCol w:w="1560"/>
        <w:gridCol w:w="1607"/>
        <w:gridCol w:w="1197"/>
      </w:tblGrid>
      <w:tr>
        <w:trPr>
          <w:trHeight w:val="323" w:hRule="atLeast"/>
        </w:trPr>
        <w:tc>
          <w:tcPr>
            <w:tcW w:w="984" w:type="dxa"/>
            <w:vMerge w:val="restart"/>
            <w:shd w:val="clear" w:color="auto" w:fill="365F92"/>
          </w:tcPr>
          <w:p>
            <w:pPr>
              <w:pStyle w:val="TableParagraph"/>
              <w:spacing w:before="120"/>
              <w:ind w:left="69"/>
              <w:rPr>
                <w:b/>
                <w:sz w:val="22"/>
              </w:rPr>
            </w:pPr>
            <w:r>
              <w:rPr>
                <w:b/>
                <w:color w:val="FFFFFF"/>
                <w:spacing w:val="-2"/>
                <w:sz w:val="22"/>
              </w:rPr>
              <w:t>Cuenta</w:t>
            </w:r>
          </w:p>
        </w:tc>
        <w:tc>
          <w:tcPr>
            <w:tcW w:w="3114" w:type="dxa"/>
            <w:vMerge w:val="restart"/>
            <w:shd w:val="clear" w:color="auto" w:fill="365F92"/>
          </w:tcPr>
          <w:p>
            <w:pPr>
              <w:pStyle w:val="TableParagraph"/>
              <w:spacing w:before="209"/>
              <w:ind w:left="1027"/>
              <w:rPr>
                <w:b/>
                <w:sz w:val="22"/>
              </w:rPr>
            </w:pPr>
            <w:r>
              <w:rPr>
                <w:b/>
                <w:color w:val="FFFFFF"/>
                <w:spacing w:val="-2"/>
                <w:sz w:val="22"/>
              </w:rPr>
              <w:t>Descripción</w:t>
            </w:r>
          </w:p>
        </w:tc>
        <w:tc>
          <w:tcPr>
            <w:tcW w:w="571" w:type="dxa"/>
            <w:vMerge w:val="restart"/>
            <w:shd w:val="clear" w:color="auto" w:fill="365F92"/>
          </w:tcPr>
          <w:p>
            <w:pPr>
              <w:pStyle w:val="TableParagraph"/>
              <w:spacing w:before="209"/>
              <w:ind w:left="68"/>
              <w:rPr>
                <w:b/>
                <w:sz w:val="22"/>
              </w:rPr>
            </w:pPr>
            <w:r>
              <w:rPr>
                <w:b/>
                <w:color w:val="FFFFFF"/>
                <w:spacing w:val="-4"/>
                <w:sz w:val="22"/>
              </w:rPr>
              <w:t>Nota</w:t>
            </w:r>
          </w:p>
        </w:tc>
        <w:tc>
          <w:tcPr>
            <w:tcW w:w="1560" w:type="dxa"/>
            <w:vMerge w:val="restart"/>
            <w:shd w:val="clear" w:color="auto" w:fill="365F92"/>
          </w:tcPr>
          <w:p>
            <w:pPr>
              <w:pStyle w:val="TableParagraph"/>
              <w:spacing w:before="209"/>
              <w:ind w:left="145"/>
              <w:rPr>
                <w:b/>
                <w:sz w:val="22"/>
              </w:rPr>
            </w:pPr>
            <w:r>
              <w:rPr>
                <w:b/>
                <w:color w:val="FFFFFF"/>
                <w:sz w:val="22"/>
              </w:rPr>
              <w:t>Periodo</w:t>
            </w:r>
            <w:r>
              <w:rPr>
                <w:b/>
                <w:color w:val="FFFFFF"/>
                <w:spacing w:val="-4"/>
                <w:sz w:val="22"/>
              </w:rPr>
              <w:t> </w:t>
            </w:r>
            <w:r>
              <w:rPr>
                <w:b/>
                <w:color w:val="FFFFFF"/>
                <w:spacing w:val="-2"/>
                <w:sz w:val="22"/>
              </w:rPr>
              <w:t>Actual</w:t>
            </w:r>
          </w:p>
        </w:tc>
        <w:tc>
          <w:tcPr>
            <w:tcW w:w="1607" w:type="dxa"/>
            <w:vMerge w:val="restart"/>
            <w:shd w:val="clear" w:color="auto" w:fill="365F92"/>
          </w:tcPr>
          <w:p>
            <w:pPr>
              <w:pStyle w:val="TableParagraph"/>
              <w:spacing w:before="81"/>
              <w:ind w:left="429" w:firstLine="50"/>
              <w:rPr>
                <w:b/>
                <w:sz w:val="22"/>
              </w:rPr>
            </w:pPr>
            <w:r>
              <w:rPr>
                <w:b/>
                <w:color w:val="FFFFFF"/>
                <w:spacing w:val="-2"/>
                <w:sz w:val="22"/>
              </w:rPr>
              <w:t>Periodo Anterior</w:t>
            </w:r>
          </w:p>
        </w:tc>
        <w:tc>
          <w:tcPr>
            <w:tcW w:w="1197" w:type="dxa"/>
            <w:shd w:val="clear" w:color="auto" w:fill="365F92"/>
          </w:tcPr>
          <w:p>
            <w:pPr>
              <w:pStyle w:val="TableParagraph"/>
              <w:spacing w:before="36"/>
              <w:ind w:left="28" w:right="6"/>
              <w:jc w:val="center"/>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3114"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607"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7"/>
              <w:jc w:val="center"/>
              <w:rPr>
                <w:sz w:val="22"/>
              </w:rPr>
            </w:pPr>
            <w:r>
              <w:rPr>
                <w:color w:val="FFFFFF"/>
                <w:spacing w:val="-10"/>
                <w:sz w:val="22"/>
              </w:rPr>
              <w:t>%</w:t>
            </w:r>
          </w:p>
        </w:tc>
      </w:tr>
      <w:tr>
        <w:trPr>
          <w:trHeight w:val="541" w:hRule="atLeast"/>
        </w:trPr>
        <w:tc>
          <w:tcPr>
            <w:tcW w:w="984" w:type="dxa"/>
          </w:tcPr>
          <w:p>
            <w:pPr>
              <w:pStyle w:val="TableParagraph"/>
              <w:spacing w:before="146"/>
              <w:ind w:left="69"/>
              <w:rPr>
                <w:b/>
                <w:sz w:val="22"/>
              </w:rPr>
            </w:pPr>
            <w:r>
              <w:rPr>
                <w:b/>
                <w:spacing w:val="-2"/>
                <w:sz w:val="22"/>
              </w:rPr>
              <w:t>4.5.1.</w:t>
            </w:r>
          </w:p>
        </w:tc>
        <w:tc>
          <w:tcPr>
            <w:tcW w:w="3114" w:type="dxa"/>
          </w:tcPr>
          <w:p>
            <w:pPr>
              <w:pStyle w:val="TableParagraph"/>
              <w:tabs>
                <w:tab w:pos="879" w:val="left" w:leader="none"/>
                <w:tab w:pos="1318" w:val="left" w:leader="none"/>
                <w:tab w:pos="2510" w:val="left" w:leader="none"/>
                <w:tab w:pos="2826" w:val="left" w:leader="none"/>
              </w:tabs>
              <w:spacing w:before="19"/>
              <w:ind w:left="69" w:right="49"/>
              <w:rPr>
                <w:b/>
                <w:sz w:val="22"/>
              </w:rPr>
            </w:pPr>
            <w:r>
              <w:rPr>
                <w:b/>
                <w:spacing w:val="-2"/>
                <w:sz w:val="22"/>
              </w:rPr>
              <w:t>Rentas</w:t>
            </w:r>
            <w:r>
              <w:rPr>
                <w:b/>
                <w:sz w:val="22"/>
              </w:rPr>
              <w:tab/>
            </w:r>
            <w:r>
              <w:rPr>
                <w:b/>
                <w:spacing w:val="-6"/>
                <w:sz w:val="22"/>
              </w:rPr>
              <w:t>de</w:t>
            </w:r>
            <w:r>
              <w:rPr>
                <w:b/>
                <w:sz w:val="22"/>
              </w:rPr>
              <w:tab/>
            </w:r>
            <w:r>
              <w:rPr>
                <w:b/>
                <w:spacing w:val="-2"/>
                <w:sz w:val="22"/>
              </w:rPr>
              <w:t>inversiones</w:t>
            </w:r>
            <w:r>
              <w:rPr>
                <w:b/>
                <w:sz w:val="22"/>
              </w:rPr>
              <w:tab/>
            </w:r>
            <w:r>
              <w:rPr>
                <w:b/>
                <w:spacing w:val="-10"/>
                <w:sz w:val="22"/>
              </w:rPr>
              <w:t>y</w:t>
            </w:r>
            <w:r>
              <w:rPr>
                <w:b/>
                <w:sz w:val="22"/>
              </w:rPr>
              <w:tab/>
            </w:r>
            <w:r>
              <w:rPr>
                <w:b/>
                <w:spacing w:val="-6"/>
                <w:sz w:val="22"/>
              </w:rPr>
              <w:t>de </w:t>
            </w:r>
            <w:r>
              <w:rPr>
                <w:b/>
                <w:sz w:val="22"/>
              </w:rPr>
              <w:t>colocación de efectivo</w:t>
            </w:r>
          </w:p>
        </w:tc>
        <w:tc>
          <w:tcPr>
            <w:tcW w:w="571" w:type="dxa"/>
          </w:tcPr>
          <w:p>
            <w:pPr>
              <w:pStyle w:val="TableParagraph"/>
              <w:spacing w:before="146"/>
              <w:ind w:left="176"/>
              <w:rPr>
                <w:b/>
                <w:sz w:val="22"/>
              </w:rPr>
            </w:pPr>
            <w:r>
              <w:rPr>
                <w:b/>
                <w:spacing w:val="-5"/>
                <w:sz w:val="22"/>
              </w:rPr>
              <w:t>47</w:t>
            </w:r>
          </w:p>
        </w:tc>
        <w:tc>
          <w:tcPr>
            <w:tcW w:w="1560" w:type="dxa"/>
          </w:tcPr>
          <w:p>
            <w:pPr>
              <w:pStyle w:val="TableParagraph"/>
              <w:spacing w:before="157"/>
              <w:ind w:left="335"/>
              <w:rPr>
                <w:b/>
                <w:sz w:val="20"/>
              </w:rPr>
            </w:pPr>
            <w:r>
              <w:rPr>
                <w:b/>
                <w:sz w:val="20"/>
              </w:rPr>
              <w:t>148</w:t>
            </w:r>
            <w:r>
              <w:rPr>
                <w:b/>
                <w:spacing w:val="-3"/>
                <w:sz w:val="20"/>
              </w:rPr>
              <w:t> </w:t>
            </w:r>
            <w:r>
              <w:rPr>
                <w:b/>
                <w:spacing w:val="-2"/>
                <w:sz w:val="20"/>
              </w:rPr>
              <w:t>353,63</w:t>
            </w:r>
          </w:p>
        </w:tc>
        <w:tc>
          <w:tcPr>
            <w:tcW w:w="1607" w:type="dxa"/>
          </w:tcPr>
          <w:p>
            <w:pPr>
              <w:pStyle w:val="TableParagraph"/>
              <w:spacing w:before="157"/>
              <w:ind w:left="360"/>
              <w:rPr>
                <w:b/>
                <w:sz w:val="20"/>
              </w:rPr>
            </w:pPr>
            <w:r>
              <w:rPr>
                <w:b/>
                <w:sz w:val="20"/>
              </w:rPr>
              <w:t>173</w:t>
            </w:r>
            <w:r>
              <w:rPr>
                <w:b/>
                <w:spacing w:val="-3"/>
                <w:sz w:val="20"/>
              </w:rPr>
              <w:t> </w:t>
            </w:r>
            <w:r>
              <w:rPr>
                <w:b/>
                <w:spacing w:val="-2"/>
                <w:sz w:val="20"/>
              </w:rPr>
              <w:t>908,30</w:t>
            </w:r>
          </w:p>
        </w:tc>
        <w:tc>
          <w:tcPr>
            <w:tcW w:w="1197" w:type="dxa"/>
          </w:tcPr>
          <w:p>
            <w:pPr>
              <w:pStyle w:val="TableParagraph"/>
              <w:spacing w:before="157"/>
              <w:ind w:left="28" w:right="5"/>
              <w:jc w:val="center"/>
              <w:rPr>
                <w:b/>
                <w:sz w:val="20"/>
              </w:rPr>
            </w:pPr>
            <w:r>
              <w:rPr>
                <w:b/>
                <w:spacing w:val="-2"/>
                <w:sz w:val="20"/>
              </w:rPr>
              <w:t>-14,69%</w:t>
            </w:r>
          </w:p>
        </w:tc>
      </w:tr>
    </w:tbl>
    <w:p>
      <w:pPr>
        <w:spacing w:before="240"/>
        <w:ind w:left="622" w:right="0" w:firstLine="0"/>
        <w:jc w:val="left"/>
        <w:rPr>
          <w:b/>
          <w:sz w:val="22"/>
        </w:rPr>
      </w:pPr>
      <w:r>
        <w:rPr>
          <w:b/>
          <w:spacing w:val="-2"/>
          <w:sz w:val="22"/>
          <w:u w:val="single"/>
        </w:rPr>
        <w:t>Revelación:</w:t>
      </w:r>
    </w:p>
    <w:p>
      <w:pPr>
        <w:pStyle w:val="BodyText"/>
        <w:spacing w:line="259" w:lineRule="auto" w:before="181"/>
        <w:ind w:left="622" w:right="975"/>
        <w:jc w:val="both"/>
      </w:pPr>
      <w:r>
        <w:rPr/>
        <w:t>La</w:t>
      </w:r>
      <w:r>
        <w:rPr>
          <w:spacing w:val="-8"/>
        </w:rPr>
        <w:t> </w:t>
      </w:r>
      <w:r>
        <w:rPr/>
        <w:t>cuenta</w:t>
      </w:r>
      <w:r>
        <w:rPr>
          <w:spacing w:val="-10"/>
        </w:rPr>
        <w:t> </w:t>
      </w:r>
      <w:r>
        <w:rPr/>
        <w:t>Rentas</w:t>
      </w:r>
      <w:r>
        <w:rPr>
          <w:spacing w:val="-6"/>
        </w:rPr>
        <w:t> </w:t>
      </w:r>
      <w:r>
        <w:rPr/>
        <w:t>de</w:t>
      </w:r>
      <w:r>
        <w:rPr>
          <w:spacing w:val="-6"/>
        </w:rPr>
        <w:t> </w:t>
      </w:r>
      <w:r>
        <w:rPr/>
        <w:t>inversiones</w:t>
      </w:r>
      <w:r>
        <w:rPr>
          <w:spacing w:val="-6"/>
        </w:rPr>
        <w:t> </w:t>
      </w:r>
      <w:r>
        <w:rPr/>
        <w:t>y</w:t>
      </w:r>
      <w:r>
        <w:rPr>
          <w:spacing w:val="-8"/>
        </w:rPr>
        <w:t> </w:t>
      </w:r>
      <w:r>
        <w:rPr/>
        <w:t>de</w:t>
      </w:r>
      <w:r>
        <w:rPr>
          <w:spacing w:val="-7"/>
        </w:rPr>
        <w:t> </w:t>
      </w:r>
      <w:r>
        <w:rPr/>
        <w:t>colocación</w:t>
      </w:r>
      <w:r>
        <w:rPr>
          <w:spacing w:val="-7"/>
        </w:rPr>
        <w:t> </w:t>
      </w:r>
      <w:r>
        <w:rPr/>
        <w:t>de</w:t>
      </w:r>
      <w:r>
        <w:rPr>
          <w:spacing w:val="-8"/>
        </w:rPr>
        <w:t> </w:t>
      </w:r>
      <w:r>
        <w:rPr/>
        <w:t>efectivo,</w:t>
      </w:r>
      <w:r>
        <w:rPr>
          <w:spacing w:val="-7"/>
        </w:rPr>
        <w:t> </w:t>
      </w:r>
      <w:r>
        <w:rPr/>
        <w:t>representa</w:t>
      </w:r>
      <w:r>
        <w:rPr>
          <w:spacing w:val="-10"/>
        </w:rPr>
        <w:t> </w:t>
      </w:r>
      <w:r>
        <w:rPr/>
        <w:t>el</w:t>
      </w:r>
      <w:r>
        <w:rPr>
          <w:spacing w:val="-8"/>
        </w:rPr>
        <w:t> </w:t>
      </w:r>
      <w:r>
        <w:rPr/>
        <w:t>0,10%</w:t>
      </w:r>
      <w:r>
        <w:rPr>
          <w:spacing w:val="-7"/>
        </w:rPr>
        <w:t> </w:t>
      </w:r>
      <w:r>
        <w:rPr/>
        <w:t>del</w:t>
      </w:r>
      <w:r>
        <w:rPr>
          <w:spacing w:val="-8"/>
        </w:rPr>
        <w:t> </w:t>
      </w:r>
      <w:r>
        <w:rPr/>
        <w:t>total</w:t>
      </w:r>
      <w:r>
        <w:rPr>
          <w:spacing w:val="-8"/>
        </w:rPr>
        <w:t> </w:t>
      </w:r>
      <w:r>
        <w:rPr/>
        <w:t>del</w:t>
      </w:r>
      <w:r>
        <w:rPr>
          <w:spacing w:val="-8"/>
        </w:rPr>
        <w:t> </w:t>
      </w:r>
      <w:r>
        <w:rPr/>
        <w:t>Ingresos, que comparado al periodo anterior genera una variación absoluta de ¢ -25.554,86 que corresponde a una disminución del -14,69% de recursos disponibles. Producto de la disminución del ingreso de intereses en las cuentas bancarias.</w:t>
      </w:r>
    </w:p>
    <w:p>
      <w:pPr>
        <w:pStyle w:val="BodyText"/>
        <w:rPr>
          <w:sz w:val="20"/>
        </w:rPr>
      </w:pPr>
    </w:p>
    <w:p>
      <w:pPr>
        <w:pStyle w:val="BodyText"/>
        <w:spacing w:before="108"/>
        <w:rPr>
          <w:sz w:val="20"/>
        </w:rPr>
      </w:pPr>
      <w:r>
        <w:rPr>
          <w:sz w:val="20"/>
        </w:rPr>
        <mc:AlternateContent>
          <mc:Choice Requires="wps">
            <w:drawing>
              <wp:anchor distT="0" distB="0" distL="0" distR="0" allowOverlap="1" layoutInCell="1" locked="0" behindDoc="1" simplePos="0" relativeHeight="487688192">
                <wp:simplePos x="0" y="0"/>
                <wp:positionH relativeFrom="page">
                  <wp:posOffset>1080820</wp:posOffset>
                </wp:positionH>
                <wp:positionV relativeFrom="paragraph">
                  <wp:posOffset>231854</wp:posOffset>
                </wp:positionV>
                <wp:extent cx="5715000" cy="2978785"/>
                <wp:effectExtent l="0" t="0" r="0" b="0"/>
                <wp:wrapTopAndBottom/>
                <wp:docPr id="531" name="Textbox 531"/>
                <wp:cNvGraphicFramePr>
                  <a:graphicFrameLocks/>
                </wp:cNvGraphicFramePr>
                <a:graphic>
                  <a:graphicData uri="http://schemas.microsoft.com/office/word/2010/wordprocessingShape">
                    <wps:wsp>
                      <wps:cNvPr id="531" name="Textbox 531"/>
                      <wps:cNvSpPr txBox="1"/>
                      <wps:spPr>
                        <a:xfrm>
                          <a:off x="0" y="0"/>
                          <a:ext cx="5715000" cy="2978785"/>
                        </a:xfrm>
                        <a:prstGeom prst="rect">
                          <a:avLst/>
                        </a:prstGeom>
                        <a:ln w="6095">
                          <a:solidFill>
                            <a:srgbClr val="000000"/>
                          </a:solidFill>
                          <a:prstDash val="solid"/>
                        </a:ln>
                      </wps:spPr>
                      <wps:txbx>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64" w:right="62"/>
                              <w:jc w:val="both"/>
                            </w:pPr>
                            <w:r>
                              <w:rPr/>
                              <w:t>Estos ingresos</w:t>
                            </w:r>
                            <w:r>
                              <w:rPr>
                                <w:spacing w:val="-3"/>
                              </w:rPr>
                              <w:t> </w:t>
                            </w:r>
                            <w:r>
                              <w:rPr/>
                              <w:t>son</w:t>
                            </w:r>
                            <w:r>
                              <w:rPr>
                                <w:spacing w:val="-1"/>
                              </w:rPr>
                              <w:t> </w:t>
                            </w:r>
                            <w:r>
                              <w:rPr/>
                              <w:t>producto</w:t>
                            </w:r>
                            <w:r>
                              <w:rPr>
                                <w:spacing w:val="-3"/>
                              </w:rPr>
                              <w:t> </w:t>
                            </w:r>
                            <w:r>
                              <w:rPr/>
                              <w:t>de</w:t>
                            </w:r>
                            <w:r>
                              <w:rPr>
                                <w:spacing w:val="-3"/>
                              </w:rPr>
                              <w:t> </w:t>
                            </w:r>
                            <w:r>
                              <w:rPr/>
                              <w:t>la gestión</w:t>
                            </w:r>
                            <w:r>
                              <w:rPr>
                                <w:spacing w:val="-1"/>
                              </w:rPr>
                              <w:t> </w:t>
                            </w:r>
                            <w:r>
                              <w:rPr/>
                              <w:t>de</w:t>
                            </w:r>
                            <w:r>
                              <w:rPr>
                                <w:spacing w:val="-3"/>
                              </w:rPr>
                              <w:t> </w:t>
                            </w:r>
                            <w:r>
                              <w:rPr/>
                              <w:t>los recursos de</w:t>
                            </w:r>
                            <w:r>
                              <w:rPr>
                                <w:spacing w:val="-3"/>
                              </w:rPr>
                              <w:t> </w:t>
                            </w:r>
                            <w:r>
                              <w:rPr/>
                              <w:t>efectivos o</w:t>
                            </w:r>
                            <w:r>
                              <w:rPr>
                                <w:spacing w:val="-1"/>
                              </w:rPr>
                              <w:t> </w:t>
                            </w:r>
                            <w:r>
                              <w:rPr/>
                              <w:t>equivalentes</w:t>
                            </w:r>
                            <w:r>
                              <w:rPr>
                                <w:spacing w:val="-3"/>
                              </w:rPr>
                              <w:t> </w:t>
                            </w:r>
                            <w:r>
                              <w:rPr/>
                              <w:t>de</w:t>
                            </w:r>
                            <w:r>
                              <w:rPr>
                                <w:spacing w:val="-3"/>
                              </w:rPr>
                              <w:t> </w:t>
                            </w:r>
                            <w:r>
                              <w:rPr/>
                              <w:t>efectivo</w:t>
                            </w:r>
                            <w:r>
                              <w:rPr>
                                <w:spacing w:val="-1"/>
                              </w:rPr>
                              <w:t> </w:t>
                            </w:r>
                            <w:r>
                              <w:rPr/>
                              <w:t>que</w:t>
                            </w:r>
                            <w:r>
                              <w:rPr>
                                <w:spacing w:val="-3"/>
                              </w:rPr>
                              <w:t> </w:t>
                            </w:r>
                            <w:r>
                              <w:rPr/>
                              <w:t>la institución mantiene en las cuentas corrientes en el sistema bancario estatal, lo que generaran flujos positivos</w:t>
                            </w:r>
                            <w:r>
                              <w:rPr>
                                <w:spacing w:val="-1"/>
                              </w:rPr>
                              <w:t> </w:t>
                            </w:r>
                            <w:r>
                              <w:rPr/>
                              <w:t>sin que</w:t>
                            </w:r>
                            <w:r>
                              <w:rPr>
                                <w:spacing w:val="-1"/>
                              </w:rPr>
                              <w:t> </w:t>
                            </w:r>
                            <w:r>
                              <w:rPr/>
                              <w:t>estos sean</w:t>
                            </w:r>
                            <w:r>
                              <w:rPr>
                                <w:spacing w:val="-2"/>
                              </w:rPr>
                              <w:t> </w:t>
                            </w:r>
                            <w:r>
                              <w:rPr/>
                              <w:t>instrumentos persigan fines</w:t>
                            </w:r>
                            <w:r>
                              <w:rPr>
                                <w:spacing w:val="-1"/>
                              </w:rPr>
                              <w:t> </w:t>
                            </w:r>
                            <w:r>
                              <w:rPr/>
                              <w:t>de</w:t>
                            </w:r>
                            <w:r>
                              <w:rPr>
                                <w:spacing w:val="-2"/>
                              </w:rPr>
                              <w:t> </w:t>
                            </w:r>
                            <w:r>
                              <w:rPr/>
                              <w:t>lucro directo, cumpliendo con el</w:t>
                            </w:r>
                            <w:r>
                              <w:rPr>
                                <w:spacing w:val="-1"/>
                              </w:rPr>
                              <w:t> </w:t>
                            </w:r>
                            <w:r>
                              <w:rPr/>
                              <w:t>marco de </w:t>
                            </w:r>
                            <w:r>
                              <w:rPr>
                                <w:spacing w:val="-2"/>
                              </w:rPr>
                              <w:t>legalidad.</w:t>
                            </w:r>
                          </w:p>
                          <w:p>
                            <w:pPr>
                              <w:spacing w:before="159"/>
                              <w:ind w:left="64" w:right="0" w:firstLine="0"/>
                              <w:jc w:val="left"/>
                              <w:rPr>
                                <w:b/>
                                <w:sz w:val="22"/>
                              </w:rPr>
                            </w:pPr>
                            <w:r>
                              <w:rPr>
                                <w:b/>
                                <w:sz w:val="22"/>
                              </w:rPr>
                              <w:t>Detalle</w:t>
                            </w:r>
                            <w:r>
                              <w:rPr>
                                <w:b/>
                                <w:spacing w:val="-3"/>
                                <w:sz w:val="22"/>
                              </w:rPr>
                              <w:t> </w:t>
                            </w:r>
                            <w:r>
                              <w:rPr>
                                <w:b/>
                                <w:sz w:val="22"/>
                              </w:rPr>
                              <w:t>de</w:t>
                            </w:r>
                            <w:r>
                              <w:rPr>
                                <w:b/>
                                <w:spacing w:val="-1"/>
                                <w:sz w:val="22"/>
                              </w:rPr>
                              <w:t> </w:t>
                            </w:r>
                            <w:r>
                              <w:rPr>
                                <w:b/>
                                <w:sz w:val="22"/>
                              </w:rPr>
                              <w:t>la</w:t>
                            </w:r>
                            <w:r>
                              <w:rPr>
                                <w:b/>
                                <w:spacing w:val="-3"/>
                                <w:sz w:val="22"/>
                              </w:rPr>
                              <w:t> </w:t>
                            </w:r>
                            <w:r>
                              <w:rPr>
                                <w:b/>
                                <w:spacing w:val="-2"/>
                                <w:sz w:val="22"/>
                              </w:rPr>
                              <w:t>cuenta:</w:t>
                            </w:r>
                          </w:p>
                        </w:txbxContent>
                      </wps:txbx>
                      <wps:bodyPr wrap="square" lIns="0" tIns="0" rIns="0" bIns="0" rtlCol="0">
                        <a:noAutofit/>
                      </wps:bodyPr>
                    </wps:wsp>
                  </a:graphicData>
                </a:graphic>
              </wp:anchor>
            </w:drawing>
          </mc:Choice>
          <mc:Fallback>
            <w:pict>
              <v:shape style="position:absolute;margin-left:85.103996pt;margin-top:18.256250pt;width:450pt;height:234.55pt;mso-position-horizontal-relative:page;mso-position-vertical-relative:paragraph;z-index:-15628288;mso-wrap-distance-left:0;mso-wrap-distance-right:0" type="#_x0000_t202" id="docshape509" filled="false" stroked="true" strokeweight=".47998pt" strokecolor="#000000">
                <v:textbox inset="0,0,0,0">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64" w:right="62"/>
                        <w:jc w:val="both"/>
                      </w:pPr>
                      <w:r>
                        <w:rPr/>
                        <w:t>Estos ingresos</w:t>
                      </w:r>
                      <w:r>
                        <w:rPr>
                          <w:spacing w:val="-3"/>
                        </w:rPr>
                        <w:t> </w:t>
                      </w:r>
                      <w:r>
                        <w:rPr/>
                        <w:t>son</w:t>
                      </w:r>
                      <w:r>
                        <w:rPr>
                          <w:spacing w:val="-1"/>
                        </w:rPr>
                        <w:t> </w:t>
                      </w:r>
                      <w:r>
                        <w:rPr/>
                        <w:t>producto</w:t>
                      </w:r>
                      <w:r>
                        <w:rPr>
                          <w:spacing w:val="-3"/>
                        </w:rPr>
                        <w:t> </w:t>
                      </w:r>
                      <w:r>
                        <w:rPr/>
                        <w:t>de</w:t>
                      </w:r>
                      <w:r>
                        <w:rPr>
                          <w:spacing w:val="-3"/>
                        </w:rPr>
                        <w:t> </w:t>
                      </w:r>
                      <w:r>
                        <w:rPr/>
                        <w:t>la gestión</w:t>
                      </w:r>
                      <w:r>
                        <w:rPr>
                          <w:spacing w:val="-1"/>
                        </w:rPr>
                        <w:t> </w:t>
                      </w:r>
                      <w:r>
                        <w:rPr/>
                        <w:t>de</w:t>
                      </w:r>
                      <w:r>
                        <w:rPr>
                          <w:spacing w:val="-3"/>
                        </w:rPr>
                        <w:t> </w:t>
                      </w:r>
                      <w:r>
                        <w:rPr/>
                        <w:t>los recursos de</w:t>
                      </w:r>
                      <w:r>
                        <w:rPr>
                          <w:spacing w:val="-3"/>
                        </w:rPr>
                        <w:t> </w:t>
                      </w:r>
                      <w:r>
                        <w:rPr/>
                        <w:t>efectivos o</w:t>
                      </w:r>
                      <w:r>
                        <w:rPr>
                          <w:spacing w:val="-1"/>
                        </w:rPr>
                        <w:t> </w:t>
                      </w:r>
                      <w:r>
                        <w:rPr/>
                        <w:t>equivalentes</w:t>
                      </w:r>
                      <w:r>
                        <w:rPr>
                          <w:spacing w:val="-3"/>
                        </w:rPr>
                        <w:t> </w:t>
                      </w:r>
                      <w:r>
                        <w:rPr/>
                        <w:t>de</w:t>
                      </w:r>
                      <w:r>
                        <w:rPr>
                          <w:spacing w:val="-3"/>
                        </w:rPr>
                        <w:t> </w:t>
                      </w:r>
                      <w:r>
                        <w:rPr/>
                        <w:t>efectivo</w:t>
                      </w:r>
                      <w:r>
                        <w:rPr>
                          <w:spacing w:val="-1"/>
                        </w:rPr>
                        <w:t> </w:t>
                      </w:r>
                      <w:r>
                        <w:rPr/>
                        <w:t>que</w:t>
                      </w:r>
                      <w:r>
                        <w:rPr>
                          <w:spacing w:val="-3"/>
                        </w:rPr>
                        <w:t> </w:t>
                      </w:r>
                      <w:r>
                        <w:rPr/>
                        <w:t>la institución mantiene en las cuentas corrientes en el sistema bancario estatal, lo que generaran flujos positivos</w:t>
                      </w:r>
                      <w:r>
                        <w:rPr>
                          <w:spacing w:val="-1"/>
                        </w:rPr>
                        <w:t> </w:t>
                      </w:r>
                      <w:r>
                        <w:rPr/>
                        <w:t>sin que</w:t>
                      </w:r>
                      <w:r>
                        <w:rPr>
                          <w:spacing w:val="-1"/>
                        </w:rPr>
                        <w:t> </w:t>
                      </w:r>
                      <w:r>
                        <w:rPr/>
                        <w:t>estos sean</w:t>
                      </w:r>
                      <w:r>
                        <w:rPr>
                          <w:spacing w:val="-2"/>
                        </w:rPr>
                        <w:t> </w:t>
                      </w:r>
                      <w:r>
                        <w:rPr/>
                        <w:t>instrumentos persigan fines</w:t>
                      </w:r>
                      <w:r>
                        <w:rPr>
                          <w:spacing w:val="-1"/>
                        </w:rPr>
                        <w:t> </w:t>
                      </w:r>
                      <w:r>
                        <w:rPr/>
                        <w:t>de</w:t>
                      </w:r>
                      <w:r>
                        <w:rPr>
                          <w:spacing w:val="-2"/>
                        </w:rPr>
                        <w:t> </w:t>
                      </w:r>
                      <w:r>
                        <w:rPr/>
                        <w:t>lucro directo, cumpliendo con el</w:t>
                      </w:r>
                      <w:r>
                        <w:rPr>
                          <w:spacing w:val="-1"/>
                        </w:rPr>
                        <w:t> </w:t>
                      </w:r>
                      <w:r>
                        <w:rPr/>
                        <w:t>marco de </w:t>
                      </w:r>
                      <w:r>
                        <w:rPr>
                          <w:spacing w:val="-2"/>
                        </w:rPr>
                        <w:t>legalidad.</w:t>
                      </w:r>
                    </w:p>
                    <w:p>
                      <w:pPr>
                        <w:spacing w:before="159"/>
                        <w:ind w:left="64" w:right="0" w:firstLine="0"/>
                        <w:jc w:val="left"/>
                        <w:rPr>
                          <w:b/>
                          <w:sz w:val="22"/>
                        </w:rPr>
                      </w:pPr>
                      <w:r>
                        <w:rPr>
                          <w:b/>
                          <w:sz w:val="22"/>
                        </w:rPr>
                        <w:t>Detalle</w:t>
                      </w:r>
                      <w:r>
                        <w:rPr>
                          <w:b/>
                          <w:spacing w:val="-3"/>
                          <w:sz w:val="22"/>
                        </w:rPr>
                        <w:t> </w:t>
                      </w:r>
                      <w:r>
                        <w:rPr>
                          <w:b/>
                          <w:sz w:val="22"/>
                        </w:rPr>
                        <w:t>de</w:t>
                      </w:r>
                      <w:r>
                        <w:rPr>
                          <w:b/>
                          <w:spacing w:val="-1"/>
                          <w:sz w:val="22"/>
                        </w:rPr>
                        <w:t> </w:t>
                      </w:r>
                      <w:r>
                        <w:rPr>
                          <w:b/>
                          <w:sz w:val="22"/>
                        </w:rPr>
                        <w:t>la</w:t>
                      </w:r>
                      <w:r>
                        <w:rPr>
                          <w:b/>
                          <w:spacing w:val="-3"/>
                          <w:sz w:val="22"/>
                        </w:rPr>
                        <w:t> </w:t>
                      </w:r>
                      <w:r>
                        <w:rPr>
                          <w:b/>
                          <w:spacing w:val="-2"/>
                          <w:sz w:val="22"/>
                        </w:rPr>
                        <w:t>cuenta: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27136">
                <wp:simplePos x="0" y="0"/>
                <wp:positionH relativeFrom="page">
                  <wp:posOffset>9525</wp:posOffset>
                </wp:positionH>
                <wp:positionV relativeFrom="page">
                  <wp:posOffset>297208</wp:posOffset>
                </wp:positionV>
                <wp:extent cx="7762875" cy="9748520"/>
                <wp:effectExtent l="0" t="0" r="0" b="0"/>
                <wp:wrapNone/>
                <wp:docPr id="532" name="Group 532"/>
                <wp:cNvGraphicFramePr>
                  <a:graphicFrameLocks/>
                </wp:cNvGraphicFramePr>
                <a:graphic>
                  <a:graphicData uri="http://schemas.microsoft.com/office/word/2010/wordprocessingGroup">
                    <wpg:wgp>
                      <wpg:cNvPr id="532" name="Group 532"/>
                      <wpg:cNvGrpSpPr/>
                      <wpg:grpSpPr>
                        <a:xfrm>
                          <a:off x="0" y="0"/>
                          <a:ext cx="7762875" cy="9748520"/>
                          <a:chExt cx="7762875" cy="9748520"/>
                        </a:xfrm>
                      </wpg:grpSpPr>
                      <pic:pic>
                        <pic:nvPicPr>
                          <pic:cNvPr id="533" name="Image 533"/>
                          <pic:cNvPicPr/>
                        </pic:nvPicPr>
                        <pic:blipFill>
                          <a:blip r:embed="rId5" cstate="print"/>
                          <a:stretch>
                            <a:fillRect/>
                          </a:stretch>
                        </pic:blipFill>
                        <pic:spPr>
                          <a:xfrm>
                            <a:off x="0" y="0"/>
                            <a:ext cx="7762874" cy="9748489"/>
                          </a:xfrm>
                          <a:prstGeom prst="rect">
                            <a:avLst/>
                          </a:prstGeom>
                        </pic:spPr>
                      </pic:pic>
                      <wps:wsp>
                        <wps:cNvPr id="534" name="Graphic 53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89344" id="docshapegroup510" coordorigin="15,468" coordsize="12225,15352">
                <v:shape style="position:absolute;left:15;top:468;width:12225;height:15352" type="#_x0000_t75" id="docshape511" stroked="false">
                  <v:imagedata r:id="rId5" o:title=""/>
                </v:shape>
                <v:rect style="position:absolute;left:1673;top:2028;width:8897;height:15" id="docshape51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109</w:t>
      </w:r>
    </w:p>
    <w:p>
      <w:pPr>
        <w:spacing w:before="218"/>
        <w:ind w:left="622" w:right="0" w:firstLine="0"/>
        <w:jc w:val="left"/>
        <w:rPr>
          <w:b/>
          <w:sz w:val="22"/>
        </w:rPr>
      </w:pPr>
      <w:bookmarkStart w:name="_bookmark92" w:id="93"/>
      <w:bookmarkEnd w:id="93"/>
      <w:r>
        <w:rPr/>
      </w:r>
      <w:r>
        <w:rPr>
          <w:b/>
          <w:sz w:val="22"/>
        </w:rPr>
        <w:t>NOTA</w:t>
      </w:r>
      <w:r>
        <w:rPr>
          <w:b/>
          <w:spacing w:val="-1"/>
          <w:sz w:val="22"/>
        </w:rPr>
        <w:t> </w:t>
      </w:r>
      <w:r>
        <w:rPr>
          <w:b/>
          <w:sz w:val="22"/>
        </w:rPr>
        <w:t>N° </w:t>
      </w:r>
      <w:r>
        <w:rPr>
          <w:b/>
          <w:spacing w:val="-5"/>
          <w:sz w:val="22"/>
        </w:rPr>
        <w:t>48</w:t>
      </w:r>
    </w:p>
    <w:p>
      <w:pPr>
        <w:pStyle w:val="BodyText"/>
        <w:spacing w:before="114"/>
        <w:rPr>
          <w:b/>
        </w:rPr>
      </w:pPr>
    </w:p>
    <w:p>
      <w:pPr>
        <w:pStyle w:val="Heading6"/>
        <w:spacing w:before="1"/>
        <w:ind w:left="622"/>
      </w:pPr>
      <w:r>
        <w:rPr/>
        <w:t>Alquileres</w:t>
      </w:r>
      <w:r>
        <w:rPr>
          <w:spacing w:val="-2"/>
        </w:rPr>
        <w:t> </w:t>
      </w:r>
      <w:r>
        <w:rPr/>
        <w:t>y</w:t>
      </w:r>
      <w:r>
        <w:rPr>
          <w:spacing w:val="-4"/>
        </w:rPr>
        <w:t> </w:t>
      </w:r>
      <w:r>
        <w:rPr/>
        <w:t>derechos</w:t>
      </w:r>
      <w:r>
        <w:rPr>
          <w:spacing w:val="-5"/>
        </w:rPr>
        <w:t> </w:t>
      </w:r>
      <w:r>
        <w:rPr/>
        <w:t>sobre</w:t>
      </w:r>
      <w:r>
        <w:rPr>
          <w:spacing w:val="-3"/>
        </w:rPr>
        <w:t> </w:t>
      </w:r>
      <w:r>
        <w:rPr>
          <w:spacing w:val="-2"/>
        </w:rPr>
        <w:t>bienes</w:t>
      </w:r>
    </w:p>
    <w:p>
      <w:pPr>
        <w:pStyle w:val="BodyText"/>
        <w:rPr>
          <w:b/>
          <w:sz w:val="20"/>
        </w:rPr>
      </w:pPr>
    </w:p>
    <w:p>
      <w:pPr>
        <w:pStyle w:val="BodyText"/>
        <w:rPr>
          <w:b/>
          <w:sz w:val="20"/>
        </w:rPr>
      </w:pPr>
    </w:p>
    <w:p>
      <w:pPr>
        <w:pStyle w:val="BodyText"/>
        <w:spacing w:before="4" w:after="1"/>
        <w:rPr>
          <w:b/>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02"/>
        <w:gridCol w:w="2435"/>
        <w:gridCol w:w="709"/>
        <w:gridCol w:w="1844"/>
        <w:gridCol w:w="1750"/>
        <w:gridCol w:w="1198"/>
      </w:tblGrid>
      <w:tr>
        <w:trPr>
          <w:trHeight w:val="325" w:hRule="atLeast"/>
        </w:trPr>
        <w:tc>
          <w:tcPr>
            <w:tcW w:w="1102" w:type="dxa"/>
            <w:vMerge w:val="restart"/>
            <w:shd w:val="clear" w:color="auto" w:fill="365F92"/>
          </w:tcPr>
          <w:p>
            <w:pPr>
              <w:pStyle w:val="TableParagraph"/>
              <w:spacing w:before="120"/>
              <w:ind w:left="69"/>
              <w:rPr>
                <w:b/>
                <w:sz w:val="22"/>
              </w:rPr>
            </w:pPr>
            <w:r>
              <w:rPr>
                <w:b/>
                <w:color w:val="FFFFFF"/>
                <w:spacing w:val="-2"/>
                <w:sz w:val="22"/>
              </w:rPr>
              <w:t>Cuenta</w:t>
            </w:r>
          </w:p>
        </w:tc>
        <w:tc>
          <w:tcPr>
            <w:tcW w:w="2435" w:type="dxa"/>
            <w:vMerge w:val="restart"/>
            <w:shd w:val="clear" w:color="auto" w:fill="365F92"/>
          </w:tcPr>
          <w:p>
            <w:pPr>
              <w:pStyle w:val="TableParagraph"/>
              <w:spacing w:before="209"/>
              <w:ind w:left="686"/>
              <w:rPr>
                <w:b/>
                <w:sz w:val="22"/>
              </w:rPr>
            </w:pPr>
            <w:r>
              <w:rPr>
                <w:b/>
                <w:color w:val="FFFFFF"/>
                <w:spacing w:val="-2"/>
                <w:sz w:val="22"/>
              </w:rPr>
              <w:t>Descripción</w:t>
            </w:r>
          </w:p>
        </w:tc>
        <w:tc>
          <w:tcPr>
            <w:tcW w:w="709" w:type="dxa"/>
            <w:vMerge w:val="restart"/>
            <w:shd w:val="clear" w:color="auto" w:fill="365F92"/>
          </w:tcPr>
          <w:p>
            <w:pPr>
              <w:pStyle w:val="TableParagraph"/>
              <w:spacing w:before="209"/>
              <w:ind w:left="135"/>
              <w:rPr>
                <w:b/>
                <w:sz w:val="22"/>
              </w:rPr>
            </w:pPr>
            <w:r>
              <w:rPr>
                <w:b/>
                <w:color w:val="FFFFFF"/>
                <w:spacing w:val="-4"/>
                <w:sz w:val="22"/>
              </w:rPr>
              <w:t>Nota</w:t>
            </w:r>
          </w:p>
        </w:tc>
        <w:tc>
          <w:tcPr>
            <w:tcW w:w="1844" w:type="dxa"/>
            <w:vMerge w:val="restart"/>
            <w:shd w:val="clear" w:color="auto" w:fill="365F92"/>
          </w:tcPr>
          <w:p>
            <w:pPr>
              <w:pStyle w:val="TableParagraph"/>
              <w:spacing w:before="209"/>
              <w:ind w:left="288"/>
              <w:rPr>
                <w:b/>
                <w:sz w:val="22"/>
              </w:rPr>
            </w:pPr>
            <w:r>
              <w:rPr>
                <w:b/>
                <w:color w:val="FFFFFF"/>
                <w:sz w:val="22"/>
              </w:rPr>
              <w:t>Periodo</w:t>
            </w:r>
            <w:r>
              <w:rPr>
                <w:b/>
                <w:color w:val="FFFFFF"/>
                <w:spacing w:val="-4"/>
                <w:sz w:val="22"/>
              </w:rPr>
              <w:t> </w:t>
            </w:r>
            <w:r>
              <w:rPr>
                <w:b/>
                <w:color w:val="FFFFFF"/>
                <w:spacing w:val="-2"/>
                <w:sz w:val="22"/>
              </w:rPr>
              <w:t>Actual</w:t>
            </w:r>
          </w:p>
        </w:tc>
        <w:tc>
          <w:tcPr>
            <w:tcW w:w="1750" w:type="dxa"/>
            <w:vMerge w:val="restart"/>
            <w:shd w:val="clear" w:color="auto" w:fill="365F92"/>
          </w:tcPr>
          <w:p>
            <w:pPr>
              <w:pStyle w:val="TableParagraph"/>
              <w:spacing w:before="209"/>
              <w:ind w:left="146"/>
              <w:rPr>
                <w:b/>
                <w:sz w:val="22"/>
              </w:rPr>
            </w:pPr>
            <w:r>
              <w:rPr>
                <w:b/>
                <w:color w:val="FFFFFF"/>
                <w:sz w:val="22"/>
              </w:rPr>
              <w:t>Periodo</w:t>
            </w:r>
            <w:r>
              <w:rPr>
                <w:b/>
                <w:color w:val="FFFFFF"/>
                <w:spacing w:val="-4"/>
                <w:sz w:val="22"/>
              </w:rPr>
              <w:t> </w:t>
            </w:r>
            <w:r>
              <w:rPr>
                <w:b/>
                <w:color w:val="FFFFFF"/>
                <w:spacing w:val="-2"/>
                <w:sz w:val="22"/>
              </w:rPr>
              <w:t>Anterior</w:t>
            </w:r>
          </w:p>
        </w:tc>
        <w:tc>
          <w:tcPr>
            <w:tcW w:w="1198" w:type="dxa"/>
            <w:shd w:val="clear" w:color="auto" w:fill="365F92"/>
          </w:tcPr>
          <w:p>
            <w:pPr>
              <w:pStyle w:val="TableParagraph"/>
              <w:spacing w:before="38"/>
              <w:ind w:left="23" w:right="10"/>
              <w:jc w:val="center"/>
              <w:rPr>
                <w:b/>
                <w:sz w:val="22"/>
              </w:rPr>
            </w:pPr>
            <w:r>
              <w:rPr>
                <w:b/>
                <w:color w:val="FFFFFF"/>
                <w:spacing w:val="-2"/>
                <w:sz w:val="22"/>
              </w:rPr>
              <w:t>Diferencia</w:t>
            </w:r>
          </w:p>
        </w:tc>
      </w:tr>
      <w:tr>
        <w:trPr>
          <w:trHeight w:val="323" w:hRule="atLeast"/>
        </w:trPr>
        <w:tc>
          <w:tcPr>
            <w:tcW w:w="1102" w:type="dxa"/>
            <w:vMerge/>
            <w:tcBorders>
              <w:top w:val="nil"/>
            </w:tcBorders>
            <w:shd w:val="clear" w:color="auto" w:fill="365F92"/>
          </w:tcPr>
          <w:p>
            <w:pPr>
              <w:rPr>
                <w:sz w:val="2"/>
                <w:szCs w:val="2"/>
              </w:rPr>
            </w:pPr>
          </w:p>
        </w:tc>
        <w:tc>
          <w:tcPr>
            <w:tcW w:w="2435" w:type="dxa"/>
            <w:vMerge/>
            <w:tcBorders>
              <w:top w:val="nil"/>
            </w:tcBorders>
            <w:shd w:val="clear" w:color="auto" w:fill="365F92"/>
          </w:tcPr>
          <w:p>
            <w:pPr>
              <w:rPr>
                <w:sz w:val="2"/>
                <w:szCs w:val="2"/>
              </w:rPr>
            </w:pPr>
          </w:p>
        </w:tc>
        <w:tc>
          <w:tcPr>
            <w:tcW w:w="709"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750"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11"/>
              <w:jc w:val="center"/>
              <w:rPr>
                <w:sz w:val="22"/>
              </w:rPr>
            </w:pPr>
            <w:r>
              <w:rPr>
                <w:color w:val="FFFFFF"/>
                <w:spacing w:val="-10"/>
                <w:sz w:val="22"/>
              </w:rPr>
              <w:t>%</w:t>
            </w:r>
          </w:p>
        </w:tc>
      </w:tr>
      <w:tr>
        <w:trPr>
          <w:trHeight w:val="503" w:hRule="atLeast"/>
        </w:trPr>
        <w:tc>
          <w:tcPr>
            <w:tcW w:w="1102" w:type="dxa"/>
          </w:tcPr>
          <w:p>
            <w:pPr>
              <w:pStyle w:val="TableParagraph"/>
              <w:spacing w:before="125"/>
              <w:ind w:left="69"/>
              <w:rPr>
                <w:b/>
                <w:sz w:val="22"/>
              </w:rPr>
            </w:pPr>
            <w:r>
              <w:rPr>
                <w:b/>
                <w:spacing w:val="-2"/>
                <w:sz w:val="22"/>
              </w:rPr>
              <w:t>4.5.2.</w:t>
            </w:r>
          </w:p>
        </w:tc>
        <w:tc>
          <w:tcPr>
            <w:tcW w:w="2435" w:type="dxa"/>
          </w:tcPr>
          <w:p>
            <w:pPr>
              <w:pStyle w:val="TableParagraph"/>
              <w:tabs>
                <w:tab w:pos="1222" w:val="left" w:leader="none"/>
                <w:tab w:pos="1575" w:val="left" w:leader="none"/>
              </w:tabs>
              <w:ind w:left="68"/>
              <w:rPr>
                <w:b/>
                <w:sz w:val="22"/>
              </w:rPr>
            </w:pPr>
            <w:r>
              <w:rPr>
                <w:b/>
                <w:spacing w:val="-2"/>
                <w:sz w:val="22"/>
              </w:rPr>
              <w:t>Alquileres</w:t>
            </w:r>
            <w:r>
              <w:rPr>
                <w:b/>
                <w:sz w:val="22"/>
              </w:rPr>
              <w:tab/>
            </w:r>
            <w:r>
              <w:rPr>
                <w:b/>
                <w:spacing w:val="-10"/>
                <w:sz w:val="22"/>
              </w:rPr>
              <w:t>y</w:t>
            </w:r>
            <w:r>
              <w:rPr>
                <w:b/>
                <w:sz w:val="22"/>
              </w:rPr>
              <w:tab/>
            </w:r>
            <w:r>
              <w:rPr>
                <w:b/>
                <w:spacing w:val="-2"/>
                <w:sz w:val="22"/>
              </w:rPr>
              <w:t>derechos</w:t>
            </w:r>
          </w:p>
          <w:p>
            <w:pPr>
              <w:pStyle w:val="TableParagraph"/>
              <w:spacing w:line="231" w:lineRule="exact" w:before="1"/>
              <w:ind w:left="68"/>
              <w:rPr>
                <w:b/>
                <w:sz w:val="22"/>
              </w:rPr>
            </w:pPr>
            <w:r>
              <w:rPr>
                <w:b/>
                <w:sz w:val="22"/>
              </w:rPr>
              <w:t>sobre</w:t>
            </w:r>
            <w:r>
              <w:rPr>
                <w:b/>
                <w:spacing w:val="-1"/>
                <w:sz w:val="22"/>
              </w:rPr>
              <w:t> </w:t>
            </w:r>
            <w:r>
              <w:rPr>
                <w:b/>
                <w:spacing w:val="-2"/>
                <w:sz w:val="22"/>
              </w:rPr>
              <w:t>bienes</w:t>
            </w:r>
          </w:p>
        </w:tc>
        <w:tc>
          <w:tcPr>
            <w:tcW w:w="709" w:type="dxa"/>
          </w:tcPr>
          <w:p>
            <w:pPr>
              <w:pStyle w:val="TableParagraph"/>
              <w:spacing w:before="125"/>
              <w:ind w:left="13"/>
              <w:jc w:val="center"/>
              <w:rPr>
                <w:b/>
                <w:sz w:val="22"/>
              </w:rPr>
            </w:pPr>
            <w:r>
              <w:rPr>
                <w:b/>
                <w:spacing w:val="-5"/>
                <w:sz w:val="22"/>
              </w:rPr>
              <w:t>48</w:t>
            </w:r>
          </w:p>
        </w:tc>
        <w:tc>
          <w:tcPr>
            <w:tcW w:w="1844" w:type="dxa"/>
          </w:tcPr>
          <w:p>
            <w:pPr>
              <w:pStyle w:val="TableParagraph"/>
              <w:spacing w:before="135"/>
              <w:ind w:left="69" w:right="57"/>
              <w:jc w:val="center"/>
              <w:rPr>
                <w:b/>
                <w:sz w:val="20"/>
              </w:rPr>
            </w:pPr>
            <w:r>
              <w:rPr>
                <w:b/>
                <w:spacing w:val="-4"/>
                <w:sz w:val="20"/>
              </w:rPr>
              <w:t>0,00</w:t>
            </w:r>
          </w:p>
        </w:tc>
        <w:tc>
          <w:tcPr>
            <w:tcW w:w="1750" w:type="dxa"/>
          </w:tcPr>
          <w:p>
            <w:pPr>
              <w:pStyle w:val="TableParagraph"/>
              <w:spacing w:before="135"/>
              <w:ind w:left="114" w:right="106"/>
              <w:jc w:val="center"/>
              <w:rPr>
                <w:b/>
                <w:sz w:val="20"/>
              </w:rPr>
            </w:pPr>
            <w:r>
              <w:rPr>
                <w:b/>
                <w:spacing w:val="-4"/>
                <w:sz w:val="20"/>
              </w:rPr>
              <w:t>0,00</w:t>
            </w:r>
          </w:p>
        </w:tc>
        <w:tc>
          <w:tcPr>
            <w:tcW w:w="1198" w:type="dxa"/>
          </w:tcPr>
          <w:p>
            <w:pPr>
              <w:pStyle w:val="TableParagraph"/>
              <w:spacing w:before="135"/>
              <w:ind w:left="23" w:right="9"/>
              <w:jc w:val="center"/>
              <w:rPr>
                <w:b/>
                <w:sz w:val="20"/>
              </w:rPr>
            </w:pPr>
            <w:r>
              <w:rPr>
                <w:b/>
                <w:spacing w:val="-2"/>
                <w:sz w:val="20"/>
              </w:rPr>
              <w:t>0,00%</w:t>
            </w:r>
          </w:p>
        </w:tc>
      </w:tr>
    </w:tbl>
    <w:p>
      <w:pPr>
        <w:spacing w:before="241"/>
        <w:ind w:left="622" w:right="0" w:firstLine="0"/>
        <w:jc w:val="left"/>
        <w:rPr>
          <w:b/>
          <w:sz w:val="22"/>
        </w:rPr>
      </w:pPr>
      <w:r>
        <w:rPr>
          <w:b/>
          <w:sz w:val="22"/>
        </w:rPr>
        <w:t>Detalle</w:t>
      </w:r>
      <w:r>
        <w:rPr>
          <w:b/>
          <w:spacing w:val="-3"/>
          <w:sz w:val="22"/>
        </w:rPr>
        <w:t> </w:t>
      </w:r>
      <w:r>
        <w:rPr>
          <w:b/>
          <w:spacing w:val="-2"/>
          <w:sz w:val="22"/>
        </w:rPr>
        <w:t>cuenta:</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78"/>
        <w:gridCol w:w="2459"/>
        <w:gridCol w:w="709"/>
        <w:gridCol w:w="1844"/>
        <w:gridCol w:w="1702"/>
        <w:gridCol w:w="1330"/>
      </w:tblGrid>
      <w:tr>
        <w:trPr>
          <w:trHeight w:val="303" w:hRule="atLeast"/>
        </w:trPr>
        <w:tc>
          <w:tcPr>
            <w:tcW w:w="1078" w:type="dxa"/>
            <w:vMerge w:val="restart"/>
            <w:shd w:val="clear" w:color="auto" w:fill="365F92"/>
          </w:tcPr>
          <w:p>
            <w:pPr>
              <w:pStyle w:val="TableParagraph"/>
              <w:spacing w:before="98"/>
              <w:ind w:left="69"/>
              <w:rPr>
                <w:b/>
                <w:sz w:val="22"/>
              </w:rPr>
            </w:pPr>
            <w:r>
              <w:rPr>
                <w:b/>
                <w:color w:val="FFFFFF"/>
                <w:spacing w:val="-2"/>
                <w:sz w:val="22"/>
              </w:rPr>
              <w:t>Cuenta</w:t>
            </w:r>
          </w:p>
        </w:tc>
        <w:tc>
          <w:tcPr>
            <w:tcW w:w="2459" w:type="dxa"/>
            <w:vMerge w:val="restart"/>
            <w:shd w:val="clear" w:color="auto" w:fill="365F92"/>
          </w:tcPr>
          <w:p>
            <w:pPr>
              <w:pStyle w:val="TableParagraph"/>
              <w:spacing w:before="187"/>
              <w:ind w:left="695"/>
              <w:rPr>
                <w:b/>
                <w:sz w:val="22"/>
              </w:rPr>
            </w:pPr>
            <w:r>
              <w:rPr>
                <w:b/>
                <w:color w:val="FFFFFF"/>
                <w:spacing w:val="-2"/>
                <w:sz w:val="22"/>
              </w:rPr>
              <w:t>Descripción</w:t>
            </w:r>
          </w:p>
        </w:tc>
        <w:tc>
          <w:tcPr>
            <w:tcW w:w="709" w:type="dxa"/>
            <w:vMerge w:val="restart"/>
            <w:shd w:val="clear" w:color="auto" w:fill="365F92"/>
          </w:tcPr>
          <w:p>
            <w:pPr>
              <w:pStyle w:val="TableParagraph"/>
              <w:spacing w:before="187"/>
              <w:ind w:left="135"/>
              <w:rPr>
                <w:b/>
                <w:sz w:val="22"/>
              </w:rPr>
            </w:pPr>
            <w:r>
              <w:rPr>
                <w:b/>
                <w:color w:val="FFFFFF"/>
                <w:spacing w:val="-4"/>
                <w:sz w:val="22"/>
              </w:rPr>
              <w:t>Nota</w:t>
            </w:r>
          </w:p>
        </w:tc>
        <w:tc>
          <w:tcPr>
            <w:tcW w:w="1844" w:type="dxa"/>
            <w:vMerge w:val="restart"/>
            <w:shd w:val="clear" w:color="auto" w:fill="365F92"/>
          </w:tcPr>
          <w:p>
            <w:pPr>
              <w:pStyle w:val="TableParagraph"/>
              <w:spacing w:before="187"/>
              <w:ind w:left="288"/>
              <w:rPr>
                <w:b/>
                <w:sz w:val="22"/>
              </w:rPr>
            </w:pPr>
            <w:r>
              <w:rPr>
                <w:b/>
                <w:color w:val="FFFFFF"/>
                <w:sz w:val="22"/>
              </w:rPr>
              <w:t>Periodo</w:t>
            </w:r>
            <w:r>
              <w:rPr>
                <w:b/>
                <w:color w:val="FFFFFF"/>
                <w:spacing w:val="-4"/>
                <w:sz w:val="22"/>
              </w:rPr>
              <w:t> </w:t>
            </w:r>
            <w:r>
              <w:rPr>
                <w:b/>
                <w:color w:val="FFFFFF"/>
                <w:spacing w:val="-2"/>
                <w:sz w:val="22"/>
              </w:rPr>
              <w:t>Actual</w:t>
            </w:r>
          </w:p>
        </w:tc>
        <w:tc>
          <w:tcPr>
            <w:tcW w:w="1702" w:type="dxa"/>
            <w:vMerge w:val="restart"/>
            <w:shd w:val="clear" w:color="auto" w:fill="365F92"/>
          </w:tcPr>
          <w:p>
            <w:pPr>
              <w:pStyle w:val="TableParagraph"/>
              <w:spacing w:before="187"/>
              <w:ind w:left="122"/>
              <w:rPr>
                <w:b/>
                <w:sz w:val="22"/>
              </w:rPr>
            </w:pPr>
            <w:r>
              <w:rPr>
                <w:b/>
                <w:color w:val="FFFFFF"/>
                <w:sz w:val="22"/>
              </w:rPr>
              <w:t>Periodo</w:t>
            </w:r>
            <w:r>
              <w:rPr>
                <w:b/>
                <w:color w:val="FFFFFF"/>
                <w:spacing w:val="-4"/>
                <w:sz w:val="22"/>
              </w:rPr>
              <w:t> </w:t>
            </w:r>
            <w:r>
              <w:rPr>
                <w:b/>
                <w:color w:val="FFFFFF"/>
                <w:spacing w:val="-2"/>
                <w:sz w:val="22"/>
              </w:rPr>
              <w:t>Anterior</w:t>
            </w:r>
          </w:p>
        </w:tc>
        <w:tc>
          <w:tcPr>
            <w:tcW w:w="1330" w:type="dxa"/>
            <w:shd w:val="clear" w:color="auto" w:fill="365F92"/>
          </w:tcPr>
          <w:p>
            <w:pPr>
              <w:pStyle w:val="TableParagraph"/>
              <w:spacing w:before="26"/>
              <w:ind w:left="13" w:right="2"/>
              <w:jc w:val="center"/>
              <w:rPr>
                <w:b/>
                <w:sz w:val="22"/>
              </w:rPr>
            </w:pPr>
            <w:r>
              <w:rPr>
                <w:b/>
                <w:color w:val="FFFFFF"/>
                <w:spacing w:val="-2"/>
                <w:sz w:val="22"/>
              </w:rPr>
              <w:t>Diferencia</w:t>
            </w:r>
          </w:p>
        </w:tc>
      </w:tr>
      <w:tr>
        <w:trPr>
          <w:trHeight w:val="301" w:hRule="atLeast"/>
        </w:trPr>
        <w:tc>
          <w:tcPr>
            <w:tcW w:w="1078" w:type="dxa"/>
            <w:vMerge/>
            <w:tcBorders>
              <w:top w:val="nil"/>
            </w:tcBorders>
            <w:shd w:val="clear" w:color="auto" w:fill="365F92"/>
          </w:tcPr>
          <w:p>
            <w:pPr>
              <w:rPr>
                <w:sz w:val="2"/>
                <w:szCs w:val="2"/>
              </w:rPr>
            </w:pPr>
          </w:p>
        </w:tc>
        <w:tc>
          <w:tcPr>
            <w:tcW w:w="2459" w:type="dxa"/>
            <w:vMerge/>
            <w:tcBorders>
              <w:top w:val="nil"/>
            </w:tcBorders>
            <w:shd w:val="clear" w:color="auto" w:fill="365F92"/>
          </w:tcPr>
          <w:p>
            <w:pPr>
              <w:rPr>
                <w:sz w:val="2"/>
                <w:szCs w:val="2"/>
              </w:rPr>
            </w:pPr>
          </w:p>
        </w:tc>
        <w:tc>
          <w:tcPr>
            <w:tcW w:w="709"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330" w:type="dxa"/>
            <w:shd w:val="clear" w:color="auto" w:fill="365F92"/>
          </w:tcPr>
          <w:p>
            <w:pPr>
              <w:pStyle w:val="TableParagraph"/>
              <w:spacing w:before="34"/>
              <w:ind w:left="13"/>
              <w:jc w:val="center"/>
              <w:rPr>
                <w:sz w:val="20"/>
              </w:rPr>
            </w:pPr>
            <w:r>
              <w:rPr>
                <w:color w:val="FFFFFF"/>
                <w:spacing w:val="-10"/>
                <w:sz w:val="20"/>
              </w:rPr>
              <w:t>%</w:t>
            </w:r>
          </w:p>
        </w:tc>
      </w:tr>
      <w:tr>
        <w:trPr>
          <w:trHeight w:val="301" w:hRule="atLeast"/>
        </w:trPr>
        <w:tc>
          <w:tcPr>
            <w:tcW w:w="1078" w:type="dxa"/>
          </w:tcPr>
          <w:p>
            <w:pPr>
              <w:pStyle w:val="TableParagraph"/>
              <w:spacing w:before="24"/>
              <w:ind w:left="69"/>
              <w:rPr>
                <w:b/>
                <w:sz w:val="22"/>
              </w:rPr>
            </w:pPr>
            <w:r>
              <w:rPr>
                <w:b/>
                <w:spacing w:val="-2"/>
                <w:sz w:val="22"/>
              </w:rPr>
              <w:t>4.5.2.01.</w:t>
            </w:r>
          </w:p>
        </w:tc>
        <w:tc>
          <w:tcPr>
            <w:tcW w:w="2459" w:type="dxa"/>
          </w:tcPr>
          <w:p>
            <w:pPr>
              <w:pStyle w:val="TableParagraph"/>
              <w:spacing w:before="24"/>
              <w:ind w:left="66"/>
              <w:rPr>
                <w:b/>
                <w:sz w:val="22"/>
              </w:rPr>
            </w:pPr>
            <w:r>
              <w:rPr>
                <w:b/>
                <w:spacing w:val="-2"/>
                <w:sz w:val="22"/>
              </w:rPr>
              <w:t>Alquileres</w:t>
            </w:r>
          </w:p>
        </w:tc>
        <w:tc>
          <w:tcPr>
            <w:tcW w:w="709" w:type="dxa"/>
          </w:tcPr>
          <w:p>
            <w:pPr>
              <w:pStyle w:val="TableParagraph"/>
              <w:spacing w:before="24"/>
              <w:ind w:left="13"/>
              <w:jc w:val="center"/>
              <w:rPr>
                <w:b/>
                <w:sz w:val="22"/>
              </w:rPr>
            </w:pPr>
            <w:r>
              <w:rPr>
                <w:b/>
                <w:spacing w:val="-5"/>
                <w:sz w:val="22"/>
              </w:rPr>
              <w:t>48</w:t>
            </w:r>
          </w:p>
        </w:tc>
        <w:tc>
          <w:tcPr>
            <w:tcW w:w="1844" w:type="dxa"/>
          </w:tcPr>
          <w:p>
            <w:pPr>
              <w:pStyle w:val="TableParagraph"/>
              <w:spacing w:before="34"/>
              <w:ind w:left="69" w:right="57"/>
              <w:jc w:val="center"/>
              <w:rPr>
                <w:b/>
                <w:sz w:val="20"/>
              </w:rPr>
            </w:pPr>
            <w:r>
              <w:rPr>
                <w:b/>
                <w:spacing w:val="-4"/>
                <w:sz w:val="20"/>
              </w:rPr>
              <w:t>0,00</w:t>
            </w:r>
          </w:p>
        </w:tc>
        <w:tc>
          <w:tcPr>
            <w:tcW w:w="1702" w:type="dxa"/>
          </w:tcPr>
          <w:p>
            <w:pPr>
              <w:pStyle w:val="TableParagraph"/>
              <w:spacing w:before="34"/>
              <w:ind w:left="68" w:right="60"/>
              <w:jc w:val="center"/>
              <w:rPr>
                <w:b/>
                <w:sz w:val="20"/>
              </w:rPr>
            </w:pPr>
            <w:r>
              <w:rPr>
                <w:b/>
                <w:spacing w:val="-4"/>
                <w:sz w:val="20"/>
              </w:rPr>
              <w:t>0,00</w:t>
            </w:r>
          </w:p>
        </w:tc>
        <w:tc>
          <w:tcPr>
            <w:tcW w:w="1330" w:type="dxa"/>
          </w:tcPr>
          <w:p>
            <w:pPr>
              <w:pStyle w:val="TableParagraph"/>
              <w:spacing w:before="34"/>
              <w:ind w:left="13" w:right="2"/>
              <w:jc w:val="center"/>
              <w:rPr>
                <w:b/>
                <w:sz w:val="20"/>
              </w:rPr>
            </w:pPr>
            <w:r>
              <w:rPr>
                <w:b/>
                <w:spacing w:val="-2"/>
                <w:sz w:val="20"/>
              </w:rPr>
              <w:t>0,00%</w:t>
            </w:r>
          </w:p>
        </w:tc>
      </w:tr>
    </w:tbl>
    <w:p>
      <w:pPr>
        <w:pStyle w:val="BodyText"/>
        <w:rPr>
          <w:b/>
          <w:sz w:val="20"/>
        </w:rPr>
      </w:pPr>
    </w:p>
    <w:p>
      <w:pPr>
        <w:pStyle w:val="BodyText"/>
        <w:spacing w:before="192"/>
        <w:rPr>
          <w:b/>
          <w:sz w:val="20"/>
        </w:rPr>
      </w:pPr>
      <w:r>
        <w:rPr>
          <w:b/>
          <w:sz w:val="20"/>
        </w:rPr>
        <mc:AlternateContent>
          <mc:Choice Requires="wps">
            <w:drawing>
              <wp:anchor distT="0" distB="0" distL="0" distR="0" allowOverlap="1" layoutInCell="1" locked="0" behindDoc="1" simplePos="0" relativeHeight="487689216">
                <wp:simplePos x="0" y="0"/>
                <wp:positionH relativeFrom="page">
                  <wp:posOffset>1080820</wp:posOffset>
                </wp:positionH>
                <wp:positionV relativeFrom="paragraph">
                  <wp:posOffset>285797</wp:posOffset>
                </wp:positionV>
                <wp:extent cx="5715000" cy="897890"/>
                <wp:effectExtent l="0" t="0" r="0" b="0"/>
                <wp:wrapTopAndBottom/>
                <wp:docPr id="535" name="Textbox 535"/>
                <wp:cNvGraphicFramePr>
                  <a:graphicFrameLocks/>
                </wp:cNvGraphicFramePr>
                <a:graphic>
                  <a:graphicData uri="http://schemas.microsoft.com/office/word/2010/wordprocessingShape">
                    <wps:wsp>
                      <wps:cNvPr id="535" name="Textbox 535"/>
                      <wps:cNvSpPr txBox="1"/>
                      <wps:spPr>
                        <a:xfrm>
                          <a:off x="0" y="0"/>
                          <a:ext cx="5715000" cy="897890"/>
                        </a:xfrm>
                        <a:prstGeom prst="rect">
                          <a:avLst/>
                        </a:prstGeom>
                        <a:ln w="6095">
                          <a:solidFill>
                            <a:srgbClr val="000000"/>
                          </a:solidFill>
                          <a:prstDash val="solid"/>
                        </a:ln>
                      </wps:spPr>
                      <wps:txbx>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line="259" w:lineRule="auto" w:before="179"/>
                              <w:ind w:left="103" w:right="101"/>
                              <w:jc w:val="both"/>
                            </w:pPr>
                            <w:r>
                              <w:rPr/>
                              <w:t>A la fecha de emisión de los presentes Estados Financieros, el IMAS no posee ni ha generado transacciones</w:t>
                            </w:r>
                            <w:r>
                              <w:rPr>
                                <w:spacing w:val="-5"/>
                              </w:rPr>
                              <w:t> </w:t>
                            </w:r>
                            <w:r>
                              <w:rPr/>
                              <w:t>o</w:t>
                            </w:r>
                            <w:r>
                              <w:rPr>
                                <w:spacing w:val="-6"/>
                              </w:rPr>
                              <w:t> </w:t>
                            </w:r>
                            <w:r>
                              <w:rPr/>
                              <w:t>registros</w:t>
                            </w:r>
                            <w:r>
                              <w:rPr>
                                <w:spacing w:val="-5"/>
                              </w:rPr>
                              <w:t> </w:t>
                            </w:r>
                            <w:r>
                              <w:rPr/>
                              <w:t>relacionados</w:t>
                            </w:r>
                            <w:r>
                              <w:rPr>
                                <w:spacing w:val="-6"/>
                              </w:rPr>
                              <w:t> </w:t>
                            </w:r>
                            <w:r>
                              <w:rPr/>
                              <w:t>con</w:t>
                            </w:r>
                            <w:r>
                              <w:rPr>
                                <w:spacing w:val="-7"/>
                              </w:rPr>
                              <w:t> </w:t>
                            </w:r>
                            <w:r>
                              <w:rPr/>
                              <w:t>ingresos</w:t>
                            </w:r>
                            <w:r>
                              <w:rPr>
                                <w:spacing w:val="-5"/>
                              </w:rPr>
                              <w:t> </w:t>
                            </w:r>
                            <w:r>
                              <w:rPr/>
                              <w:t>por</w:t>
                            </w:r>
                            <w:r>
                              <w:rPr>
                                <w:spacing w:val="-7"/>
                              </w:rPr>
                              <w:t> </w:t>
                            </w:r>
                            <w:r>
                              <w:rPr/>
                              <w:t>alquileres</w:t>
                            </w:r>
                            <w:r>
                              <w:rPr>
                                <w:spacing w:val="-5"/>
                              </w:rPr>
                              <w:t> </w:t>
                            </w:r>
                            <w:r>
                              <w:rPr/>
                              <w:t>y</w:t>
                            </w:r>
                            <w:r>
                              <w:rPr>
                                <w:spacing w:val="-6"/>
                              </w:rPr>
                              <w:t> </w:t>
                            </w:r>
                            <w:r>
                              <w:rPr/>
                              <w:t>derechos</w:t>
                            </w:r>
                            <w:r>
                              <w:rPr>
                                <w:spacing w:val="-6"/>
                              </w:rPr>
                              <w:t> </w:t>
                            </w:r>
                            <w:r>
                              <w:rPr/>
                              <w:t>sobre</w:t>
                            </w:r>
                            <w:r>
                              <w:rPr>
                                <w:spacing w:val="-9"/>
                              </w:rPr>
                              <w:t> </w:t>
                            </w:r>
                            <w:r>
                              <w:rPr/>
                              <w:t>bienes,</w:t>
                            </w:r>
                            <w:r>
                              <w:rPr>
                                <w:spacing w:val="-5"/>
                              </w:rPr>
                              <w:t> </w:t>
                            </w:r>
                            <w:r>
                              <w:rPr/>
                              <w:t>por</w:t>
                            </w:r>
                            <w:r>
                              <w:rPr>
                                <w:spacing w:val="-7"/>
                              </w:rPr>
                              <w:t> </w:t>
                            </w:r>
                            <w:r>
                              <w:rPr/>
                              <w:t>cuanto no es arrendador.</w:t>
                            </w:r>
                          </w:p>
                        </w:txbxContent>
                      </wps:txbx>
                      <wps:bodyPr wrap="square" lIns="0" tIns="0" rIns="0" bIns="0" rtlCol="0">
                        <a:noAutofit/>
                      </wps:bodyPr>
                    </wps:wsp>
                  </a:graphicData>
                </a:graphic>
              </wp:anchor>
            </w:drawing>
          </mc:Choice>
          <mc:Fallback>
            <w:pict>
              <v:shape style="position:absolute;margin-left:85.103996pt;margin-top:22.503765pt;width:450pt;height:70.7pt;mso-position-horizontal-relative:page;mso-position-vertical-relative:paragraph;z-index:-15627264;mso-wrap-distance-left:0;mso-wrap-distance-right:0" type="#_x0000_t202" id="docshape513" filled="false" stroked="true" strokeweight=".47998pt" strokecolor="#000000">
                <v:textbox inset="0,0,0,0">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line="259" w:lineRule="auto" w:before="179"/>
                        <w:ind w:left="103" w:right="101"/>
                        <w:jc w:val="both"/>
                      </w:pPr>
                      <w:r>
                        <w:rPr/>
                        <w:t>A la fecha de emisión de los presentes Estados Financieros, el IMAS no posee ni ha generado transacciones</w:t>
                      </w:r>
                      <w:r>
                        <w:rPr>
                          <w:spacing w:val="-5"/>
                        </w:rPr>
                        <w:t> </w:t>
                      </w:r>
                      <w:r>
                        <w:rPr/>
                        <w:t>o</w:t>
                      </w:r>
                      <w:r>
                        <w:rPr>
                          <w:spacing w:val="-6"/>
                        </w:rPr>
                        <w:t> </w:t>
                      </w:r>
                      <w:r>
                        <w:rPr/>
                        <w:t>registros</w:t>
                      </w:r>
                      <w:r>
                        <w:rPr>
                          <w:spacing w:val="-5"/>
                        </w:rPr>
                        <w:t> </w:t>
                      </w:r>
                      <w:r>
                        <w:rPr/>
                        <w:t>relacionados</w:t>
                      </w:r>
                      <w:r>
                        <w:rPr>
                          <w:spacing w:val="-6"/>
                        </w:rPr>
                        <w:t> </w:t>
                      </w:r>
                      <w:r>
                        <w:rPr/>
                        <w:t>con</w:t>
                      </w:r>
                      <w:r>
                        <w:rPr>
                          <w:spacing w:val="-7"/>
                        </w:rPr>
                        <w:t> </w:t>
                      </w:r>
                      <w:r>
                        <w:rPr/>
                        <w:t>ingresos</w:t>
                      </w:r>
                      <w:r>
                        <w:rPr>
                          <w:spacing w:val="-5"/>
                        </w:rPr>
                        <w:t> </w:t>
                      </w:r>
                      <w:r>
                        <w:rPr/>
                        <w:t>por</w:t>
                      </w:r>
                      <w:r>
                        <w:rPr>
                          <w:spacing w:val="-7"/>
                        </w:rPr>
                        <w:t> </w:t>
                      </w:r>
                      <w:r>
                        <w:rPr/>
                        <w:t>alquileres</w:t>
                      </w:r>
                      <w:r>
                        <w:rPr>
                          <w:spacing w:val="-5"/>
                        </w:rPr>
                        <w:t> </w:t>
                      </w:r>
                      <w:r>
                        <w:rPr/>
                        <w:t>y</w:t>
                      </w:r>
                      <w:r>
                        <w:rPr>
                          <w:spacing w:val="-6"/>
                        </w:rPr>
                        <w:t> </w:t>
                      </w:r>
                      <w:r>
                        <w:rPr/>
                        <w:t>derechos</w:t>
                      </w:r>
                      <w:r>
                        <w:rPr>
                          <w:spacing w:val="-6"/>
                        </w:rPr>
                        <w:t> </w:t>
                      </w:r>
                      <w:r>
                        <w:rPr/>
                        <w:t>sobre</w:t>
                      </w:r>
                      <w:r>
                        <w:rPr>
                          <w:spacing w:val="-9"/>
                        </w:rPr>
                        <w:t> </w:t>
                      </w:r>
                      <w:r>
                        <w:rPr/>
                        <w:t>bienes,</w:t>
                      </w:r>
                      <w:r>
                        <w:rPr>
                          <w:spacing w:val="-5"/>
                        </w:rPr>
                        <w:t> </w:t>
                      </w:r>
                      <w:r>
                        <w:rPr/>
                        <w:t>por</w:t>
                      </w:r>
                      <w:r>
                        <w:rPr>
                          <w:spacing w:val="-7"/>
                        </w:rPr>
                        <w:t> </w:t>
                      </w:r>
                      <w:r>
                        <w:rPr/>
                        <w:t>cuanto no es arrendador.</w:t>
                      </w:r>
                    </w:p>
                  </w:txbxContent>
                </v:textbox>
                <v:stroke dashstyle="solid"/>
                <w10:wrap type="topAndBottom"/>
              </v:shape>
            </w:pict>
          </mc:Fallback>
        </mc:AlternateContent>
      </w:r>
    </w:p>
    <w:p>
      <w:pPr>
        <w:pStyle w:val="BodyText"/>
        <w:rPr>
          <w:b/>
        </w:rPr>
      </w:pPr>
    </w:p>
    <w:p>
      <w:pPr>
        <w:pStyle w:val="BodyText"/>
        <w:rPr>
          <w:b/>
        </w:rPr>
      </w:pPr>
    </w:p>
    <w:p>
      <w:pPr>
        <w:pStyle w:val="BodyText"/>
        <w:spacing w:before="114"/>
        <w:rPr>
          <w:b/>
        </w:rPr>
      </w:pPr>
    </w:p>
    <w:p>
      <w:pPr>
        <w:pStyle w:val="Heading6"/>
        <w:ind w:left="622"/>
      </w:pPr>
      <w:r>
        <w:rPr>
          <w:spacing w:val="-2"/>
        </w:rPr>
        <w:t>Revelación:</w:t>
      </w:r>
    </w:p>
    <w:p>
      <w:pPr>
        <w:pStyle w:val="BodyText"/>
        <w:spacing w:line="259" w:lineRule="auto" w:before="178"/>
        <w:ind w:left="622" w:right="981"/>
        <w:jc w:val="both"/>
      </w:pPr>
      <w:r>
        <w:rPr/>
        <w:t>La cuenta Alquileres y derechos sobre bienes, representa el 0,00% del total del Ingresos, que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689728">
                <wp:simplePos x="0" y="0"/>
                <wp:positionH relativeFrom="page">
                  <wp:posOffset>1080820</wp:posOffset>
                </wp:positionH>
                <wp:positionV relativeFrom="paragraph">
                  <wp:posOffset>233124</wp:posOffset>
                </wp:positionV>
                <wp:extent cx="5715000" cy="1022985"/>
                <wp:effectExtent l="0" t="0" r="0" b="0"/>
                <wp:wrapTopAndBottom/>
                <wp:docPr id="536" name="Textbox 536"/>
                <wp:cNvGraphicFramePr>
                  <a:graphicFrameLocks/>
                </wp:cNvGraphicFramePr>
                <a:graphic>
                  <a:graphicData uri="http://schemas.microsoft.com/office/word/2010/wordprocessingShape">
                    <wps:wsp>
                      <wps:cNvPr id="536" name="Textbox 536"/>
                      <wps:cNvSpPr txBox="1"/>
                      <wps:spPr>
                        <a:xfrm>
                          <a:off x="0" y="0"/>
                          <a:ext cx="5715000" cy="1022985"/>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242"/>
                            </w:pPr>
                            <w:r>
                              <w:rPr/>
                              <w:t>La</w:t>
                            </w:r>
                            <w:r>
                              <w:rPr>
                                <w:spacing w:val="-3"/>
                              </w:rPr>
                              <w:t> </w:t>
                            </w:r>
                            <w:r>
                              <w:rPr/>
                              <w:t>cuenta</w:t>
                            </w:r>
                            <w:r>
                              <w:rPr>
                                <w:spacing w:val="-2"/>
                              </w:rPr>
                              <w:t> </w:t>
                            </w:r>
                            <w:r>
                              <w:rPr/>
                              <w:t>Alquileres</w:t>
                            </w:r>
                            <w:r>
                              <w:rPr>
                                <w:spacing w:val="-1"/>
                              </w:rPr>
                              <w:t> </w:t>
                            </w:r>
                            <w:r>
                              <w:rPr/>
                              <w:t>y</w:t>
                            </w:r>
                            <w:r>
                              <w:rPr>
                                <w:spacing w:val="-3"/>
                              </w:rPr>
                              <w:t> </w:t>
                            </w:r>
                            <w:r>
                              <w:rPr/>
                              <w:t>derechos</w:t>
                            </w:r>
                            <w:r>
                              <w:rPr>
                                <w:spacing w:val="-4"/>
                              </w:rPr>
                              <w:t> </w:t>
                            </w:r>
                            <w:r>
                              <w:rPr/>
                              <w:t>sobre</w:t>
                            </w:r>
                            <w:r>
                              <w:rPr>
                                <w:spacing w:val="-4"/>
                              </w:rPr>
                              <w:t> </w:t>
                            </w:r>
                            <w:r>
                              <w:rPr/>
                              <w:t>bienes</w:t>
                            </w:r>
                            <w:r>
                              <w:rPr>
                                <w:spacing w:val="-4"/>
                              </w:rPr>
                              <w:t> </w:t>
                            </w:r>
                            <w:r>
                              <w:rPr/>
                              <w:t>no</w:t>
                            </w:r>
                            <w:r>
                              <w:rPr>
                                <w:spacing w:val="-2"/>
                              </w:rPr>
                              <w:t> </w:t>
                            </w:r>
                            <w:r>
                              <w:rPr/>
                              <w:t>presenta</w:t>
                            </w:r>
                            <w:r>
                              <w:rPr>
                                <w:spacing w:val="-2"/>
                              </w:rPr>
                              <w:t> </w:t>
                            </w:r>
                            <w:r>
                              <w:rPr/>
                              <w:t>registros</w:t>
                            </w:r>
                            <w:r>
                              <w:rPr>
                                <w:spacing w:val="-4"/>
                              </w:rPr>
                              <w:t> </w:t>
                            </w:r>
                            <w:r>
                              <w:rPr/>
                              <w:t>en</w:t>
                            </w:r>
                            <w:r>
                              <w:rPr>
                                <w:spacing w:val="-2"/>
                              </w:rPr>
                              <w:t> </w:t>
                            </w:r>
                            <w:r>
                              <w:rPr/>
                              <w:t>el</w:t>
                            </w:r>
                            <w:r>
                              <w:rPr>
                                <w:spacing w:val="-2"/>
                              </w:rPr>
                              <w:t> </w:t>
                            </w:r>
                            <w:r>
                              <w:rPr/>
                              <w:t>período</w:t>
                            </w:r>
                            <w:r>
                              <w:rPr>
                                <w:spacing w:val="-2"/>
                              </w:rPr>
                              <w:t> </w:t>
                            </w:r>
                            <w:r>
                              <w:rPr/>
                              <w:t>informado</w:t>
                            </w:r>
                            <w:r>
                              <w:rPr>
                                <w:spacing w:val="-2"/>
                              </w:rPr>
                              <w:t> </w:t>
                            </w:r>
                            <w:r>
                              <w:rPr/>
                              <w:t>debido a que:</w:t>
                            </w:r>
                          </w:p>
                          <w:p>
                            <w:pPr>
                              <w:pStyle w:val="BodyText"/>
                              <w:numPr>
                                <w:ilvl w:val="0"/>
                                <w:numId w:val="42"/>
                              </w:numPr>
                              <w:tabs>
                                <w:tab w:pos="823" w:val="left" w:leader="none"/>
                              </w:tabs>
                              <w:spacing w:line="257" w:lineRule="exact" w:before="0" w:after="0"/>
                              <w:ind w:left="823" w:right="0" w:hanging="360"/>
                              <w:jc w:val="left"/>
                            </w:pPr>
                            <w:r>
                              <w:rPr/>
                              <w:t>El</w:t>
                            </w:r>
                            <w:r>
                              <w:rPr>
                                <w:spacing w:val="-5"/>
                              </w:rPr>
                              <w:t> </w:t>
                            </w:r>
                            <w:r>
                              <w:rPr/>
                              <w:t>IMAS</w:t>
                            </w:r>
                            <w:r>
                              <w:rPr>
                                <w:spacing w:val="-2"/>
                              </w:rPr>
                              <w:t> </w:t>
                            </w:r>
                            <w:r>
                              <w:rPr/>
                              <w:t>no</w:t>
                            </w:r>
                            <w:r>
                              <w:rPr>
                                <w:spacing w:val="-3"/>
                              </w:rPr>
                              <w:t> </w:t>
                            </w:r>
                            <w:r>
                              <w:rPr/>
                              <w:t>arrienda</w:t>
                            </w:r>
                            <w:r>
                              <w:rPr>
                                <w:spacing w:val="-4"/>
                              </w:rPr>
                              <w:t> </w:t>
                            </w:r>
                            <w:r>
                              <w:rPr/>
                              <w:t>bienes</w:t>
                            </w:r>
                            <w:r>
                              <w:rPr>
                                <w:spacing w:val="-2"/>
                              </w:rPr>
                              <w:t> </w:t>
                            </w:r>
                            <w:r>
                              <w:rPr/>
                              <w:t>ni</w:t>
                            </w:r>
                            <w:r>
                              <w:rPr>
                                <w:spacing w:val="-3"/>
                              </w:rPr>
                              <w:t> </w:t>
                            </w:r>
                            <w:r>
                              <w:rPr/>
                              <w:t>concede</w:t>
                            </w:r>
                            <w:r>
                              <w:rPr>
                                <w:spacing w:val="-5"/>
                              </w:rPr>
                              <w:t> </w:t>
                            </w:r>
                            <w:r>
                              <w:rPr/>
                              <w:t>derechos</w:t>
                            </w:r>
                            <w:r>
                              <w:rPr>
                                <w:spacing w:val="-2"/>
                              </w:rPr>
                              <w:t> </w:t>
                            </w:r>
                            <w:r>
                              <w:rPr/>
                              <w:t>de</w:t>
                            </w:r>
                            <w:r>
                              <w:rPr>
                                <w:spacing w:val="-5"/>
                              </w:rPr>
                              <w:t> </w:t>
                            </w:r>
                            <w:r>
                              <w:rPr/>
                              <w:t>uso</w:t>
                            </w:r>
                            <w:r>
                              <w:rPr>
                                <w:spacing w:val="-3"/>
                              </w:rPr>
                              <w:t> </w:t>
                            </w:r>
                            <w:r>
                              <w:rPr/>
                              <w:t>a</w:t>
                            </w:r>
                            <w:r>
                              <w:rPr>
                                <w:spacing w:val="-4"/>
                              </w:rPr>
                              <w:t> </w:t>
                            </w:r>
                            <w:r>
                              <w:rPr/>
                              <w:t>terceros</w:t>
                            </w:r>
                            <w:r>
                              <w:rPr>
                                <w:spacing w:val="-5"/>
                              </w:rPr>
                              <w:t> </w:t>
                            </w:r>
                            <w:r>
                              <w:rPr/>
                              <w:t>con</w:t>
                            </w:r>
                            <w:r>
                              <w:rPr>
                                <w:spacing w:val="-2"/>
                              </w:rPr>
                              <w:t> contraprestación.</w:t>
                            </w:r>
                          </w:p>
                          <w:p>
                            <w:pPr>
                              <w:pStyle w:val="BodyText"/>
                              <w:numPr>
                                <w:ilvl w:val="0"/>
                                <w:numId w:val="42"/>
                              </w:numPr>
                              <w:tabs>
                                <w:tab w:pos="823" w:val="left" w:leader="none"/>
                              </w:tabs>
                              <w:spacing w:line="240" w:lineRule="auto" w:before="37" w:after="0"/>
                              <w:ind w:left="823" w:right="0" w:hanging="360"/>
                              <w:jc w:val="left"/>
                            </w:pPr>
                            <w:r>
                              <w:rPr/>
                              <w:t>No</w:t>
                            </w:r>
                            <w:r>
                              <w:rPr>
                                <w:spacing w:val="-6"/>
                              </w:rPr>
                              <w:t> </w:t>
                            </w:r>
                            <w:r>
                              <w:rPr/>
                              <w:t>se</w:t>
                            </w:r>
                            <w:r>
                              <w:rPr>
                                <w:spacing w:val="-4"/>
                              </w:rPr>
                              <w:t> </w:t>
                            </w:r>
                            <w:r>
                              <w:rPr/>
                              <w:t>configuran</w:t>
                            </w:r>
                            <w:r>
                              <w:rPr>
                                <w:spacing w:val="-5"/>
                              </w:rPr>
                              <w:t> </w:t>
                            </w:r>
                            <w:r>
                              <w:rPr/>
                              <w:t>transacciones</w:t>
                            </w:r>
                            <w:r>
                              <w:rPr>
                                <w:spacing w:val="-2"/>
                              </w:rPr>
                              <w:t> </w:t>
                            </w:r>
                            <w:r>
                              <w:rPr/>
                              <w:t>con</w:t>
                            </w:r>
                            <w:r>
                              <w:rPr>
                                <w:spacing w:val="-3"/>
                              </w:rPr>
                              <w:t> </w:t>
                            </w:r>
                            <w:r>
                              <w:rPr/>
                              <w:t>contraprestación</w:t>
                            </w:r>
                            <w:r>
                              <w:rPr>
                                <w:spacing w:val="-3"/>
                              </w:rPr>
                              <w:t> </w:t>
                            </w:r>
                            <w:r>
                              <w:rPr/>
                              <w:t>conforme</w:t>
                            </w:r>
                            <w:r>
                              <w:rPr>
                                <w:spacing w:val="-4"/>
                              </w:rPr>
                              <w:t> </w:t>
                            </w:r>
                            <w:r>
                              <w:rPr/>
                              <w:t>a</w:t>
                            </w:r>
                            <w:r>
                              <w:rPr>
                                <w:spacing w:val="-4"/>
                              </w:rPr>
                              <w:t> </w:t>
                            </w:r>
                            <w:r>
                              <w:rPr/>
                              <w:t>la</w:t>
                            </w:r>
                            <w:r>
                              <w:rPr>
                                <w:spacing w:val="-6"/>
                              </w:rPr>
                              <w:t> </w:t>
                            </w:r>
                            <w:r>
                              <w:rPr/>
                              <w:t>NICSP</w:t>
                            </w:r>
                            <w:r>
                              <w:rPr>
                                <w:spacing w:val="-5"/>
                              </w:rPr>
                              <w:t> 9.</w:t>
                            </w:r>
                          </w:p>
                        </w:txbxContent>
                      </wps:txbx>
                      <wps:bodyPr wrap="square" lIns="0" tIns="0" rIns="0" bIns="0" rtlCol="0">
                        <a:noAutofit/>
                      </wps:bodyPr>
                    </wps:wsp>
                  </a:graphicData>
                </a:graphic>
              </wp:anchor>
            </w:drawing>
          </mc:Choice>
          <mc:Fallback>
            <w:pict>
              <v:shape style="position:absolute;margin-left:85.103996pt;margin-top:18.356251pt;width:450pt;height:80.55pt;mso-position-horizontal-relative:page;mso-position-vertical-relative:paragraph;z-index:-15626752;mso-wrap-distance-left:0;mso-wrap-distance-right:0" type="#_x0000_t202" id="docshape514"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242"/>
                      </w:pPr>
                      <w:r>
                        <w:rPr/>
                        <w:t>La</w:t>
                      </w:r>
                      <w:r>
                        <w:rPr>
                          <w:spacing w:val="-3"/>
                        </w:rPr>
                        <w:t> </w:t>
                      </w:r>
                      <w:r>
                        <w:rPr/>
                        <w:t>cuenta</w:t>
                      </w:r>
                      <w:r>
                        <w:rPr>
                          <w:spacing w:val="-2"/>
                        </w:rPr>
                        <w:t> </w:t>
                      </w:r>
                      <w:r>
                        <w:rPr/>
                        <w:t>Alquileres</w:t>
                      </w:r>
                      <w:r>
                        <w:rPr>
                          <w:spacing w:val="-1"/>
                        </w:rPr>
                        <w:t> </w:t>
                      </w:r>
                      <w:r>
                        <w:rPr/>
                        <w:t>y</w:t>
                      </w:r>
                      <w:r>
                        <w:rPr>
                          <w:spacing w:val="-3"/>
                        </w:rPr>
                        <w:t> </w:t>
                      </w:r>
                      <w:r>
                        <w:rPr/>
                        <w:t>derechos</w:t>
                      </w:r>
                      <w:r>
                        <w:rPr>
                          <w:spacing w:val="-4"/>
                        </w:rPr>
                        <w:t> </w:t>
                      </w:r>
                      <w:r>
                        <w:rPr/>
                        <w:t>sobre</w:t>
                      </w:r>
                      <w:r>
                        <w:rPr>
                          <w:spacing w:val="-4"/>
                        </w:rPr>
                        <w:t> </w:t>
                      </w:r>
                      <w:r>
                        <w:rPr/>
                        <w:t>bienes</w:t>
                      </w:r>
                      <w:r>
                        <w:rPr>
                          <w:spacing w:val="-4"/>
                        </w:rPr>
                        <w:t> </w:t>
                      </w:r>
                      <w:r>
                        <w:rPr/>
                        <w:t>no</w:t>
                      </w:r>
                      <w:r>
                        <w:rPr>
                          <w:spacing w:val="-2"/>
                        </w:rPr>
                        <w:t> </w:t>
                      </w:r>
                      <w:r>
                        <w:rPr/>
                        <w:t>presenta</w:t>
                      </w:r>
                      <w:r>
                        <w:rPr>
                          <w:spacing w:val="-2"/>
                        </w:rPr>
                        <w:t> </w:t>
                      </w:r>
                      <w:r>
                        <w:rPr/>
                        <w:t>registros</w:t>
                      </w:r>
                      <w:r>
                        <w:rPr>
                          <w:spacing w:val="-4"/>
                        </w:rPr>
                        <w:t> </w:t>
                      </w:r>
                      <w:r>
                        <w:rPr/>
                        <w:t>en</w:t>
                      </w:r>
                      <w:r>
                        <w:rPr>
                          <w:spacing w:val="-2"/>
                        </w:rPr>
                        <w:t> </w:t>
                      </w:r>
                      <w:r>
                        <w:rPr/>
                        <w:t>el</w:t>
                      </w:r>
                      <w:r>
                        <w:rPr>
                          <w:spacing w:val="-2"/>
                        </w:rPr>
                        <w:t> </w:t>
                      </w:r>
                      <w:r>
                        <w:rPr/>
                        <w:t>período</w:t>
                      </w:r>
                      <w:r>
                        <w:rPr>
                          <w:spacing w:val="-2"/>
                        </w:rPr>
                        <w:t> </w:t>
                      </w:r>
                      <w:r>
                        <w:rPr/>
                        <w:t>informado</w:t>
                      </w:r>
                      <w:r>
                        <w:rPr>
                          <w:spacing w:val="-2"/>
                        </w:rPr>
                        <w:t> </w:t>
                      </w:r>
                      <w:r>
                        <w:rPr/>
                        <w:t>debido a que:</w:t>
                      </w:r>
                    </w:p>
                    <w:p>
                      <w:pPr>
                        <w:pStyle w:val="BodyText"/>
                        <w:numPr>
                          <w:ilvl w:val="0"/>
                          <w:numId w:val="42"/>
                        </w:numPr>
                        <w:tabs>
                          <w:tab w:pos="823" w:val="left" w:leader="none"/>
                        </w:tabs>
                        <w:spacing w:line="257" w:lineRule="exact" w:before="0" w:after="0"/>
                        <w:ind w:left="823" w:right="0" w:hanging="360"/>
                        <w:jc w:val="left"/>
                      </w:pPr>
                      <w:r>
                        <w:rPr/>
                        <w:t>El</w:t>
                      </w:r>
                      <w:r>
                        <w:rPr>
                          <w:spacing w:val="-5"/>
                        </w:rPr>
                        <w:t> </w:t>
                      </w:r>
                      <w:r>
                        <w:rPr/>
                        <w:t>IMAS</w:t>
                      </w:r>
                      <w:r>
                        <w:rPr>
                          <w:spacing w:val="-2"/>
                        </w:rPr>
                        <w:t> </w:t>
                      </w:r>
                      <w:r>
                        <w:rPr/>
                        <w:t>no</w:t>
                      </w:r>
                      <w:r>
                        <w:rPr>
                          <w:spacing w:val="-3"/>
                        </w:rPr>
                        <w:t> </w:t>
                      </w:r>
                      <w:r>
                        <w:rPr/>
                        <w:t>arrienda</w:t>
                      </w:r>
                      <w:r>
                        <w:rPr>
                          <w:spacing w:val="-4"/>
                        </w:rPr>
                        <w:t> </w:t>
                      </w:r>
                      <w:r>
                        <w:rPr/>
                        <w:t>bienes</w:t>
                      </w:r>
                      <w:r>
                        <w:rPr>
                          <w:spacing w:val="-2"/>
                        </w:rPr>
                        <w:t> </w:t>
                      </w:r>
                      <w:r>
                        <w:rPr/>
                        <w:t>ni</w:t>
                      </w:r>
                      <w:r>
                        <w:rPr>
                          <w:spacing w:val="-3"/>
                        </w:rPr>
                        <w:t> </w:t>
                      </w:r>
                      <w:r>
                        <w:rPr/>
                        <w:t>concede</w:t>
                      </w:r>
                      <w:r>
                        <w:rPr>
                          <w:spacing w:val="-5"/>
                        </w:rPr>
                        <w:t> </w:t>
                      </w:r>
                      <w:r>
                        <w:rPr/>
                        <w:t>derechos</w:t>
                      </w:r>
                      <w:r>
                        <w:rPr>
                          <w:spacing w:val="-2"/>
                        </w:rPr>
                        <w:t> </w:t>
                      </w:r>
                      <w:r>
                        <w:rPr/>
                        <w:t>de</w:t>
                      </w:r>
                      <w:r>
                        <w:rPr>
                          <w:spacing w:val="-5"/>
                        </w:rPr>
                        <w:t> </w:t>
                      </w:r>
                      <w:r>
                        <w:rPr/>
                        <w:t>uso</w:t>
                      </w:r>
                      <w:r>
                        <w:rPr>
                          <w:spacing w:val="-3"/>
                        </w:rPr>
                        <w:t> </w:t>
                      </w:r>
                      <w:r>
                        <w:rPr/>
                        <w:t>a</w:t>
                      </w:r>
                      <w:r>
                        <w:rPr>
                          <w:spacing w:val="-4"/>
                        </w:rPr>
                        <w:t> </w:t>
                      </w:r>
                      <w:r>
                        <w:rPr/>
                        <w:t>terceros</w:t>
                      </w:r>
                      <w:r>
                        <w:rPr>
                          <w:spacing w:val="-5"/>
                        </w:rPr>
                        <w:t> </w:t>
                      </w:r>
                      <w:r>
                        <w:rPr/>
                        <w:t>con</w:t>
                      </w:r>
                      <w:r>
                        <w:rPr>
                          <w:spacing w:val="-2"/>
                        </w:rPr>
                        <w:t> contraprestación.</w:t>
                      </w:r>
                    </w:p>
                    <w:p>
                      <w:pPr>
                        <w:pStyle w:val="BodyText"/>
                        <w:numPr>
                          <w:ilvl w:val="0"/>
                          <w:numId w:val="42"/>
                        </w:numPr>
                        <w:tabs>
                          <w:tab w:pos="823" w:val="left" w:leader="none"/>
                        </w:tabs>
                        <w:spacing w:line="240" w:lineRule="auto" w:before="37" w:after="0"/>
                        <w:ind w:left="823" w:right="0" w:hanging="360"/>
                        <w:jc w:val="left"/>
                      </w:pPr>
                      <w:r>
                        <w:rPr/>
                        <w:t>No</w:t>
                      </w:r>
                      <w:r>
                        <w:rPr>
                          <w:spacing w:val="-6"/>
                        </w:rPr>
                        <w:t> </w:t>
                      </w:r>
                      <w:r>
                        <w:rPr/>
                        <w:t>se</w:t>
                      </w:r>
                      <w:r>
                        <w:rPr>
                          <w:spacing w:val="-4"/>
                        </w:rPr>
                        <w:t> </w:t>
                      </w:r>
                      <w:r>
                        <w:rPr/>
                        <w:t>configuran</w:t>
                      </w:r>
                      <w:r>
                        <w:rPr>
                          <w:spacing w:val="-5"/>
                        </w:rPr>
                        <w:t> </w:t>
                      </w:r>
                      <w:r>
                        <w:rPr/>
                        <w:t>transacciones</w:t>
                      </w:r>
                      <w:r>
                        <w:rPr>
                          <w:spacing w:val="-2"/>
                        </w:rPr>
                        <w:t> </w:t>
                      </w:r>
                      <w:r>
                        <w:rPr/>
                        <w:t>con</w:t>
                      </w:r>
                      <w:r>
                        <w:rPr>
                          <w:spacing w:val="-3"/>
                        </w:rPr>
                        <w:t> </w:t>
                      </w:r>
                      <w:r>
                        <w:rPr/>
                        <w:t>contraprestación</w:t>
                      </w:r>
                      <w:r>
                        <w:rPr>
                          <w:spacing w:val="-3"/>
                        </w:rPr>
                        <w:t> </w:t>
                      </w:r>
                      <w:r>
                        <w:rPr/>
                        <w:t>conforme</w:t>
                      </w:r>
                      <w:r>
                        <w:rPr>
                          <w:spacing w:val="-4"/>
                        </w:rPr>
                        <w:t> </w:t>
                      </w:r>
                      <w:r>
                        <w:rPr/>
                        <w:t>a</w:t>
                      </w:r>
                      <w:r>
                        <w:rPr>
                          <w:spacing w:val="-4"/>
                        </w:rPr>
                        <w:t> </w:t>
                      </w:r>
                      <w:r>
                        <w:rPr/>
                        <w:t>la</w:t>
                      </w:r>
                      <w:r>
                        <w:rPr>
                          <w:spacing w:val="-6"/>
                        </w:rPr>
                        <w:t> </w:t>
                      </w:r>
                      <w:r>
                        <w:rPr/>
                        <w:t>NICSP</w:t>
                      </w:r>
                      <w:r>
                        <w:rPr>
                          <w:spacing w:val="-5"/>
                        </w:rPr>
                        <w:t> 9.</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0720">
                <wp:simplePos x="0" y="0"/>
                <wp:positionH relativeFrom="page">
                  <wp:posOffset>9525</wp:posOffset>
                </wp:positionH>
                <wp:positionV relativeFrom="page">
                  <wp:posOffset>297208</wp:posOffset>
                </wp:positionV>
                <wp:extent cx="7762875" cy="9748520"/>
                <wp:effectExtent l="0" t="0" r="0" b="0"/>
                <wp:wrapNone/>
                <wp:docPr id="537" name="Group 537"/>
                <wp:cNvGraphicFramePr>
                  <a:graphicFrameLocks/>
                </wp:cNvGraphicFramePr>
                <a:graphic>
                  <a:graphicData uri="http://schemas.microsoft.com/office/word/2010/wordprocessingGroup">
                    <wpg:wgp>
                      <wpg:cNvPr id="537" name="Group 537"/>
                      <wpg:cNvGrpSpPr/>
                      <wpg:grpSpPr>
                        <a:xfrm>
                          <a:off x="0" y="0"/>
                          <a:ext cx="7762875" cy="9748520"/>
                          <a:chExt cx="7762875" cy="9748520"/>
                        </a:xfrm>
                      </wpg:grpSpPr>
                      <pic:pic>
                        <pic:nvPicPr>
                          <pic:cNvPr id="538" name="Image 538"/>
                          <pic:cNvPicPr/>
                        </pic:nvPicPr>
                        <pic:blipFill>
                          <a:blip r:embed="rId5" cstate="print"/>
                          <a:stretch>
                            <a:fillRect/>
                          </a:stretch>
                        </pic:blipFill>
                        <pic:spPr>
                          <a:xfrm>
                            <a:off x="0" y="0"/>
                            <a:ext cx="7762874" cy="9748489"/>
                          </a:xfrm>
                          <a:prstGeom prst="rect">
                            <a:avLst/>
                          </a:prstGeom>
                        </pic:spPr>
                      </pic:pic>
                      <wps:wsp>
                        <wps:cNvPr id="539" name="Graphic 53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85760" id="docshapegroup515" coordorigin="15,468" coordsize="12225,15352">
                <v:shape style="position:absolute;left:15;top:468;width:12225;height:15352" type="#_x0000_t75" id="docshape516" stroked="false">
                  <v:imagedata r:id="rId5" o:title=""/>
                </v:shape>
                <v:rect style="position:absolute;left:1673;top:2028;width:8897;height:15" id="docshape51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110</w:t>
      </w:r>
    </w:p>
    <w:p>
      <w:pPr>
        <w:pStyle w:val="Heading6"/>
        <w:tabs>
          <w:tab w:pos="9489" w:val="left" w:leader="none"/>
        </w:tabs>
        <w:spacing w:before="218"/>
        <w:ind w:left="622"/>
      </w:pPr>
      <w:r>
        <w:rPr>
          <w:color w:val="FFFFFF"/>
          <w:shd w:fill="365F92" w:color="auto" w:val="clear"/>
        </w:rPr>
        <w:t>Información</w:t>
      </w:r>
      <w:r>
        <w:rPr>
          <w:color w:val="FFFFFF"/>
          <w:spacing w:val="-4"/>
          <w:shd w:fill="365F92" w:color="auto" w:val="clear"/>
        </w:rPr>
        <w:t> </w:t>
      </w:r>
      <w:r>
        <w:rPr>
          <w:color w:val="FFFFFF"/>
          <w:shd w:fill="365F92" w:color="auto" w:val="clear"/>
        </w:rPr>
        <w:t>a</w:t>
      </w:r>
      <w:r>
        <w:rPr>
          <w:color w:val="FFFFFF"/>
          <w:spacing w:val="-4"/>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w:t>
      </w:r>
      <w:r>
        <w:rPr>
          <w:color w:val="FFFFFF"/>
          <w:spacing w:val="-5"/>
          <w:shd w:fill="365F92" w:color="auto" w:val="clear"/>
        </w:rPr>
        <w:t> </w:t>
      </w:r>
      <w:r>
        <w:rPr>
          <w:color w:val="FFFFFF"/>
          <w:shd w:fill="365F92" w:color="auto" w:val="clear"/>
        </w:rPr>
        <w:t>Arrendamientos</w:t>
      </w:r>
      <w:r>
        <w:rPr>
          <w:color w:val="FFFFFF"/>
          <w:spacing w:val="-2"/>
          <w:shd w:fill="365F92" w:color="auto" w:val="clear"/>
        </w:rPr>
        <w:t> </w:t>
      </w:r>
      <w:r>
        <w:rPr>
          <w:color w:val="FFFFFF"/>
          <w:shd w:fill="365F92" w:color="auto" w:val="clear"/>
        </w:rPr>
        <w:t>NICSP</w:t>
      </w:r>
      <w:r>
        <w:rPr>
          <w:color w:val="FFFFFF"/>
          <w:spacing w:val="-4"/>
          <w:shd w:fill="365F92" w:color="auto" w:val="clear"/>
        </w:rPr>
        <w:t> </w:t>
      </w:r>
      <w:r>
        <w:rPr>
          <w:color w:val="FFFFFF"/>
          <w:shd w:fill="365F92" w:color="auto" w:val="clear"/>
        </w:rPr>
        <w:t>13</w:t>
      </w:r>
      <w:r>
        <w:rPr>
          <w:color w:val="FFFFFF"/>
          <w:spacing w:val="-3"/>
          <w:shd w:fill="365F92" w:color="auto" w:val="clear"/>
        </w:rPr>
        <w:t> </w:t>
      </w:r>
      <w:r>
        <w:rPr>
          <w:color w:val="FFFFFF"/>
          <w:spacing w:val="-2"/>
          <w:shd w:fill="365F92" w:color="auto" w:val="clear"/>
        </w:rPr>
        <w:t>(Arrendatario)</w:t>
      </w:r>
      <w:r>
        <w:rPr>
          <w:color w:val="FFFFFF"/>
          <w:shd w:fill="365F92" w:color="auto" w:val="clear"/>
        </w:rPr>
        <w:tab/>
      </w:r>
    </w:p>
    <w:p>
      <w:pPr>
        <w:pStyle w:val="ListParagraph"/>
        <w:numPr>
          <w:ilvl w:val="2"/>
          <w:numId w:val="39"/>
        </w:numPr>
        <w:tabs>
          <w:tab w:pos="1341" w:val="left" w:leader="none"/>
        </w:tabs>
        <w:spacing w:line="240" w:lineRule="auto" w:before="181" w:after="0"/>
        <w:ind w:left="1341" w:right="0" w:hanging="360"/>
        <w:jc w:val="left"/>
        <w:rPr>
          <w:sz w:val="22"/>
        </w:rPr>
      </w:pPr>
      <w:r>
        <w:rPr>
          <w:sz w:val="22"/>
        </w:rPr>
        <w:t>Arrendamientos</w:t>
      </w:r>
      <w:r>
        <w:rPr>
          <w:spacing w:val="-11"/>
          <w:sz w:val="22"/>
        </w:rPr>
        <w:t> </w:t>
      </w:r>
      <w:r>
        <w:rPr>
          <w:spacing w:val="-2"/>
          <w:sz w:val="22"/>
        </w:rPr>
        <w:t>operativos</w:t>
      </w:r>
    </w:p>
    <w:p>
      <w:pPr>
        <w:pStyle w:val="ListParagraph"/>
        <w:numPr>
          <w:ilvl w:val="3"/>
          <w:numId w:val="39"/>
        </w:numPr>
        <w:tabs>
          <w:tab w:pos="2061" w:val="left" w:leader="none"/>
        </w:tabs>
        <w:spacing w:line="240" w:lineRule="auto" w:before="126" w:after="0"/>
        <w:ind w:left="2061" w:right="0" w:hanging="359"/>
        <w:jc w:val="left"/>
        <w:rPr>
          <w:sz w:val="22"/>
        </w:rPr>
      </w:pPr>
      <w:r>
        <w:rPr>
          <w:sz w:val="22"/>
          <w:u w:val="single"/>
        </w:rPr>
        <w:t>Comienzo</w:t>
      </w:r>
      <w:r>
        <w:rPr>
          <w:spacing w:val="-5"/>
          <w:sz w:val="22"/>
          <w:u w:val="single"/>
        </w:rPr>
        <w:t> </w:t>
      </w:r>
      <w:r>
        <w:rPr>
          <w:sz w:val="22"/>
          <w:u w:val="single"/>
        </w:rPr>
        <w:t>del</w:t>
      </w:r>
      <w:r>
        <w:rPr>
          <w:spacing w:val="-4"/>
          <w:sz w:val="22"/>
          <w:u w:val="single"/>
        </w:rPr>
        <w:t> </w:t>
      </w:r>
      <w:r>
        <w:rPr>
          <w:sz w:val="22"/>
          <w:u w:val="single"/>
        </w:rPr>
        <w:t>plazo</w:t>
      </w:r>
      <w:r>
        <w:rPr>
          <w:spacing w:val="-5"/>
          <w:sz w:val="22"/>
          <w:u w:val="single"/>
        </w:rPr>
        <w:t> </w:t>
      </w:r>
      <w:r>
        <w:rPr>
          <w:sz w:val="22"/>
          <w:u w:val="single"/>
        </w:rPr>
        <w:t>del</w:t>
      </w:r>
      <w:r>
        <w:rPr>
          <w:spacing w:val="-4"/>
          <w:sz w:val="22"/>
          <w:u w:val="single"/>
        </w:rPr>
        <w:t> </w:t>
      </w:r>
      <w:r>
        <w:rPr>
          <w:sz w:val="22"/>
          <w:u w:val="single"/>
        </w:rPr>
        <w:t>arrendamiento</w:t>
      </w:r>
      <w:r>
        <w:rPr>
          <w:spacing w:val="-5"/>
          <w:sz w:val="22"/>
          <w:u w:val="single"/>
        </w:rPr>
        <w:t> </w:t>
      </w:r>
      <w:r>
        <w:rPr>
          <w:sz w:val="22"/>
          <w:u w:val="single"/>
        </w:rPr>
        <w:t>(Párrafo</w:t>
      </w:r>
      <w:r>
        <w:rPr>
          <w:spacing w:val="-4"/>
          <w:sz w:val="22"/>
          <w:u w:val="single"/>
        </w:rPr>
        <w:t> </w:t>
      </w:r>
      <w:r>
        <w:rPr>
          <w:spacing w:val="-5"/>
          <w:sz w:val="22"/>
          <w:u w:val="single"/>
        </w:rPr>
        <w:t>8)</w:t>
      </w:r>
    </w:p>
    <w:p>
      <w:pPr>
        <w:pStyle w:val="BodyText"/>
        <w:rPr>
          <w:sz w:val="20"/>
        </w:rPr>
      </w:pPr>
    </w:p>
    <w:p>
      <w:pPr>
        <w:pStyle w:val="BodyText"/>
        <w:spacing w:before="19"/>
        <w:rPr>
          <w:sz w:val="20"/>
        </w:rPr>
      </w:pPr>
      <w:r>
        <w:rPr>
          <w:sz w:val="20"/>
        </w:rPr>
        <mc:AlternateContent>
          <mc:Choice Requires="wps">
            <w:drawing>
              <wp:anchor distT="0" distB="0" distL="0" distR="0" allowOverlap="1" layoutInCell="1" locked="0" behindDoc="1" simplePos="0" relativeHeight="487690752">
                <wp:simplePos x="0" y="0"/>
                <wp:positionH relativeFrom="page">
                  <wp:posOffset>1080820</wp:posOffset>
                </wp:positionH>
                <wp:positionV relativeFrom="paragraph">
                  <wp:posOffset>175474</wp:posOffset>
                </wp:positionV>
                <wp:extent cx="5609590" cy="831215"/>
                <wp:effectExtent l="0" t="0" r="0" b="0"/>
                <wp:wrapTopAndBottom/>
                <wp:docPr id="540" name="Textbox 540"/>
                <wp:cNvGraphicFramePr>
                  <a:graphicFrameLocks/>
                </wp:cNvGraphicFramePr>
                <a:graphic>
                  <a:graphicData uri="http://schemas.microsoft.com/office/word/2010/wordprocessingShape">
                    <wps:wsp>
                      <wps:cNvPr id="540" name="Textbox 540"/>
                      <wps:cNvSpPr txBox="1"/>
                      <wps:spPr>
                        <a:xfrm>
                          <a:off x="0" y="0"/>
                          <a:ext cx="5609590" cy="83121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5"/>
                              <w:jc w:val="both"/>
                            </w:pPr>
                            <w:hyperlink r:id="rId58">
                              <w:r>
                                <w:rPr/>
                                <w:t>El</w:t>
                              </w:r>
                              <w:r>
                                <w:rPr>
                                  <w:spacing w:val="-1"/>
                                </w:rPr>
                                <w:t> </w:t>
                              </w:r>
                              <w:r>
                                <w:rPr/>
                                <w:t>arrendatario es la</w:t>
                              </w:r>
                              <w:r>
                                <w:rPr>
                                  <w:spacing w:val="-1"/>
                                </w:rPr>
                                <w:t> </w:t>
                              </w:r>
                              <w:r>
                                <w:rPr/>
                                <w:t>persona</w:t>
                              </w:r>
                              <w:r>
                                <w:rPr>
                                  <w:spacing w:val="-1"/>
                                </w:rPr>
                                <w:t> </w:t>
                              </w:r>
                              <w:r>
                                <w:rPr/>
                                <w:t>que</w:t>
                              </w:r>
                              <w:r>
                                <w:rPr>
                                  <w:spacing w:val="-1"/>
                                </w:rPr>
                                <w:t> </w:t>
                              </w:r>
                              <w:r>
                                <w:rPr/>
                                <w:t>toma</w:t>
                              </w:r>
                              <w:r>
                                <w:rPr>
                                  <w:spacing w:val="-1"/>
                                </w:rPr>
                                <w:t> </w:t>
                              </w:r>
                              <w:r>
                                <w:rPr/>
                                <w:t>un bien</w:t>
                              </w:r>
                              <w:r>
                                <w:rPr>
                                  <w:spacing w:val="-2"/>
                                </w:rPr>
                                <w:t> </w:t>
                              </w:r>
                              <w:r>
                                <w:rPr/>
                                <w:t>o servicio en alquiler, comprometiéndose</w:t>
                              </w:r>
                              <w:r>
                                <w:rPr>
                                  <w:spacing w:val="-1"/>
                                </w:rPr>
                                <w:t> </w:t>
                              </w:r>
                              <w:r>
                                <w:rPr/>
                                <w:t>a</w:t>
                              </w:r>
                              <w:r>
                                <w:rPr>
                                  <w:spacing w:val="-1"/>
                                </w:rPr>
                                <w:t> </w:t>
                              </w:r>
                              <w:r>
                                <w:rPr/>
                                <w:t>pagar u</w:t>
                              </w:r>
                            </w:hyperlink>
                            <w:r>
                              <w:rPr/>
                              <w:t> </w:t>
                            </w:r>
                            <w:hyperlink r:id="rId58">
                              <w:r>
                                <w:rPr/>
                                <w:t>na</w:t>
                              </w:r>
                              <w:r>
                                <w:rPr>
                                  <w:spacing w:val="-3"/>
                                </w:rPr>
                                <w:t> </w:t>
                              </w:r>
                              <w:r>
                                <w:rPr/>
                                <w:t>tarifa</w:t>
                              </w:r>
                              <w:r>
                                <w:rPr>
                                  <w:spacing w:val="-2"/>
                                </w:rPr>
                                <w:t> </w:t>
                              </w:r>
                              <w:r>
                                <w:rPr/>
                                <w:t>acordada</w:t>
                              </w:r>
                              <w:r>
                                <w:rPr>
                                  <w:spacing w:val="-3"/>
                                </w:rPr>
                                <w:t> </w:t>
                              </w:r>
                              <w:r>
                                <w:rPr/>
                                <w:t>al</w:t>
                              </w:r>
                              <w:r>
                                <w:rPr>
                                  <w:spacing w:val="-3"/>
                                </w:rPr>
                                <w:t> </w:t>
                              </w:r>
                              <w:r>
                                <w:rPr/>
                                <w:t>arrendador,</w:t>
                              </w:r>
                              <w:r>
                                <w:rPr>
                                  <w:spacing w:val="-1"/>
                                </w:rPr>
                                <w:t> </w:t>
                              </w:r>
                              <w:r>
                                <w:rPr/>
                                <w:t>quien</w:t>
                              </w:r>
                              <w:r>
                                <w:rPr>
                                  <w:spacing w:val="-2"/>
                                </w:rPr>
                                <w:t> </w:t>
                              </w:r>
                              <w:r>
                                <w:rPr/>
                                <w:t>es</w:t>
                              </w:r>
                              <w:r>
                                <w:rPr>
                                  <w:spacing w:val="-1"/>
                                </w:rPr>
                                <w:t> </w:t>
                              </w:r>
                              <w:r>
                                <w:rPr/>
                                <w:t>el</w:t>
                              </w:r>
                              <w:r>
                                <w:rPr>
                                  <w:spacing w:val="-2"/>
                                </w:rPr>
                                <w:t> </w:t>
                              </w:r>
                              <w:r>
                                <w:rPr/>
                                <w:t>dueño</w:t>
                              </w:r>
                              <w:r>
                                <w:rPr>
                                  <w:spacing w:val="-1"/>
                                </w:rPr>
                                <w:t> </w:t>
                              </w:r>
                              <w:r>
                                <w:rPr/>
                                <w:t>de</w:t>
                              </w:r>
                              <w:r>
                                <w:rPr>
                                  <w:spacing w:val="-6"/>
                                </w:rPr>
                                <w:t> </w:t>
                              </w:r>
                              <w:r>
                                <w:rPr/>
                                <w:t>dicho</w:t>
                              </w:r>
                              <w:r>
                                <w:rPr>
                                  <w:spacing w:val="-2"/>
                                </w:rPr>
                                <w:t> </w:t>
                              </w:r>
                              <w:r>
                                <w:rPr/>
                                <w:t>bien.</w:t>
                              </w:r>
                            </w:hyperlink>
                            <w:r>
                              <w:rPr>
                                <w:spacing w:val="27"/>
                              </w:rPr>
                              <w:t> </w:t>
                            </w:r>
                            <w:r>
                              <w:rPr/>
                              <w:t>El</w:t>
                            </w:r>
                            <w:r>
                              <w:rPr>
                                <w:spacing w:val="27"/>
                              </w:rPr>
                              <w:t> </w:t>
                            </w:r>
                            <w:r>
                              <w:rPr/>
                              <w:t>IMAS</w:t>
                            </w:r>
                            <w:r>
                              <w:rPr>
                                <w:spacing w:val="28"/>
                              </w:rPr>
                              <w:t> </w:t>
                            </w:r>
                            <w:r>
                              <w:rPr/>
                              <w:t>no</w:t>
                            </w:r>
                            <w:r>
                              <w:rPr>
                                <w:spacing w:val="26"/>
                              </w:rPr>
                              <w:t> </w:t>
                            </w:r>
                            <w:r>
                              <w:rPr/>
                              <w:t>realiza</w:t>
                            </w:r>
                            <w:r>
                              <w:rPr>
                                <w:spacing w:val="27"/>
                              </w:rPr>
                              <w:t> </w:t>
                            </w:r>
                            <w:r>
                              <w:rPr/>
                              <w:t>actividades de arrendamiento, como arrendatario.</w:t>
                            </w:r>
                          </w:p>
                        </w:txbxContent>
                      </wps:txbx>
                      <wps:bodyPr wrap="square" lIns="0" tIns="0" rIns="0" bIns="0" rtlCol="0">
                        <a:noAutofit/>
                      </wps:bodyPr>
                    </wps:wsp>
                  </a:graphicData>
                </a:graphic>
              </wp:anchor>
            </w:drawing>
          </mc:Choice>
          <mc:Fallback>
            <w:pict>
              <v:shape style="position:absolute;margin-left:85.103996pt;margin-top:13.816875pt;width:441.7pt;height:65.45pt;mso-position-horizontal-relative:page;mso-position-vertical-relative:paragraph;z-index:-15625728;mso-wrap-distance-left:0;mso-wrap-distance-right:0" type="#_x0000_t202" id="docshape51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5"/>
                        <w:jc w:val="both"/>
                      </w:pPr>
                      <w:hyperlink r:id="rId58">
                        <w:r>
                          <w:rPr/>
                          <w:t>El</w:t>
                        </w:r>
                        <w:r>
                          <w:rPr>
                            <w:spacing w:val="-1"/>
                          </w:rPr>
                          <w:t> </w:t>
                        </w:r>
                        <w:r>
                          <w:rPr/>
                          <w:t>arrendatario es la</w:t>
                        </w:r>
                        <w:r>
                          <w:rPr>
                            <w:spacing w:val="-1"/>
                          </w:rPr>
                          <w:t> </w:t>
                        </w:r>
                        <w:r>
                          <w:rPr/>
                          <w:t>persona</w:t>
                        </w:r>
                        <w:r>
                          <w:rPr>
                            <w:spacing w:val="-1"/>
                          </w:rPr>
                          <w:t> </w:t>
                        </w:r>
                        <w:r>
                          <w:rPr/>
                          <w:t>que</w:t>
                        </w:r>
                        <w:r>
                          <w:rPr>
                            <w:spacing w:val="-1"/>
                          </w:rPr>
                          <w:t> </w:t>
                        </w:r>
                        <w:r>
                          <w:rPr/>
                          <w:t>toma</w:t>
                        </w:r>
                        <w:r>
                          <w:rPr>
                            <w:spacing w:val="-1"/>
                          </w:rPr>
                          <w:t> </w:t>
                        </w:r>
                        <w:r>
                          <w:rPr/>
                          <w:t>un bien</w:t>
                        </w:r>
                        <w:r>
                          <w:rPr>
                            <w:spacing w:val="-2"/>
                          </w:rPr>
                          <w:t> </w:t>
                        </w:r>
                        <w:r>
                          <w:rPr/>
                          <w:t>o servicio en alquiler, comprometiéndose</w:t>
                        </w:r>
                        <w:r>
                          <w:rPr>
                            <w:spacing w:val="-1"/>
                          </w:rPr>
                          <w:t> </w:t>
                        </w:r>
                        <w:r>
                          <w:rPr/>
                          <w:t>a</w:t>
                        </w:r>
                        <w:r>
                          <w:rPr>
                            <w:spacing w:val="-1"/>
                          </w:rPr>
                          <w:t> </w:t>
                        </w:r>
                        <w:r>
                          <w:rPr/>
                          <w:t>pagar u</w:t>
                        </w:r>
                      </w:hyperlink>
                      <w:r>
                        <w:rPr/>
                        <w:t> </w:t>
                      </w:r>
                      <w:hyperlink r:id="rId58">
                        <w:r>
                          <w:rPr/>
                          <w:t>na</w:t>
                        </w:r>
                        <w:r>
                          <w:rPr>
                            <w:spacing w:val="-3"/>
                          </w:rPr>
                          <w:t> </w:t>
                        </w:r>
                        <w:r>
                          <w:rPr/>
                          <w:t>tarifa</w:t>
                        </w:r>
                        <w:r>
                          <w:rPr>
                            <w:spacing w:val="-2"/>
                          </w:rPr>
                          <w:t> </w:t>
                        </w:r>
                        <w:r>
                          <w:rPr/>
                          <w:t>acordada</w:t>
                        </w:r>
                        <w:r>
                          <w:rPr>
                            <w:spacing w:val="-3"/>
                          </w:rPr>
                          <w:t> </w:t>
                        </w:r>
                        <w:r>
                          <w:rPr/>
                          <w:t>al</w:t>
                        </w:r>
                        <w:r>
                          <w:rPr>
                            <w:spacing w:val="-3"/>
                          </w:rPr>
                          <w:t> </w:t>
                        </w:r>
                        <w:r>
                          <w:rPr/>
                          <w:t>arrendador,</w:t>
                        </w:r>
                        <w:r>
                          <w:rPr>
                            <w:spacing w:val="-1"/>
                          </w:rPr>
                          <w:t> </w:t>
                        </w:r>
                        <w:r>
                          <w:rPr/>
                          <w:t>quien</w:t>
                        </w:r>
                        <w:r>
                          <w:rPr>
                            <w:spacing w:val="-2"/>
                          </w:rPr>
                          <w:t> </w:t>
                        </w:r>
                        <w:r>
                          <w:rPr/>
                          <w:t>es</w:t>
                        </w:r>
                        <w:r>
                          <w:rPr>
                            <w:spacing w:val="-1"/>
                          </w:rPr>
                          <w:t> </w:t>
                        </w:r>
                        <w:r>
                          <w:rPr/>
                          <w:t>el</w:t>
                        </w:r>
                        <w:r>
                          <w:rPr>
                            <w:spacing w:val="-2"/>
                          </w:rPr>
                          <w:t> </w:t>
                        </w:r>
                        <w:r>
                          <w:rPr/>
                          <w:t>dueño</w:t>
                        </w:r>
                        <w:r>
                          <w:rPr>
                            <w:spacing w:val="-1"/>
                          </w:rPr>
                          <w:t> </w:t>
                        </w:r>
                        <w:r>
                          <w:rPr/>
                          <w:t>de</w:t>
                        </w:r>
                        <w:r>
                          <w:rPr>
                            <w:spacing w:val="-6"/>
                          </w:rPr>
                          <w:t> </w:t>
                        </w:r>
                        <w:r>
                          <w:rPr/>
                          <w:t>dicho</w:t>
                        </w:r>
                        <w:r>
                          <w:rPr>
                            <w:spacing w:val="-2"/>
                          </w:rPr>
                          <w:t> </w:t>
                        </w:r>
                        <w:r>
                          <w:rPr/>
                          <w:t>bien.</w:t>
                        </w:r>
                      </w:hyperlink>
                      <w:r>
                        <w:rPr>
                          <w:spacing w:val="27"/>
                        </w:rPr>
                        <w:t> </w:t>
                      </w:r>
                      <w:r>
                        <w:rPr/>
                        <w:t>El</w:t>
                      </w:r>
                      <w:r>
                        <w:rPr>
                          <w:spacing w:val="27"/>
                        </w:rPr>
                        <w:t> </w:t>
                      </w:r>
                      <w:r>
                        <w:rPr/>
                        <w:t>IMAS</w:t>
                      </w:r>
                      <w:r>
                        <w:rPr>
                          <w:spacing w:val="28"/>
                        </w:rPr>
                        <w:t> </w:t>
                      </w:r>
                      <w:r>
                        <w:rPr/>
                        <w:t>no</w:t>
                      </w:r>
                      <w:r>
                        <w:rPr>
                          <w:spacing w:val="26"/>
                        </w:rPr>
                        <w:t> </w:t>
                      </w:r>
                      <w:r>
                        <w:rPr/>
                        <w:t>realiza</w:t>
                      </w:r>
                      <w:r>
                        <w:rPr>
                          <w:spacing w:val="27"/>
                        </w:rPr>
                        <w:t> </w:t>
                      </w:r>
                      <w:r>
                        <w:rPr/>
                        <w:t>actividades de arrendamiento, como arrendatario.</w:t>
                      </w:r>
                    </w:p>
                  </w:txbxContent>
                </v:textbox>
                <v:stroke dashstyle="solid"/>
                <w10:wrap type="topAndBottom"/>
              </v:shape>
            </w:pict>
          </mc:Fallback>
        </mc:AlternateContent>
      </w:r>
    </w:p>
    <w:p>
      <w:pPr>
        <w:pStyle w:val="BodyText"/>
        <w:spacing w:before="183"/>
      </w:pPr>
    </w:p>
    <w:p>
      <w:pPr>
        <w:pStyle w:val="ListParagraph"/>
        <w:numPr>
          <w:ilvl w:val="3"/>
          <w:numId w:val="39"/>
        </w:numPr>
        <w:tabs>
          <w:tab w:pos="2061" w:val="left" w:leader="none"/>
        </w:tabs>
        <w:spacing w:line="240" w:lineRule="auto" w:before="1" w:after="0"/>
        <w:ind w:left="2061" w:right="0" w:hanging="359"/>
        <w:jc w:val="left"/>
        <w:rPr>
          <w:sz w:val="22"/>
        </w:rPr>
      </w:pPr>
      <w:r>
        <w:rPr>
          <w:sz w:val="22"/>
          <w:u w:val="single"/>
        </w:rPr>
        <w:t>Ingresos</w:t>
      </w:r>
      <w:r>
        <w:rPr>
          <w:spacing w:val="-6"/>
          <w:sz w:val="22"/>
          <w:u w:val="single"/>
        </w:rPr>
        <w:t> </w:t>
      </w:r>
      <w:r>
        <w:rPr>
          <w:sz w:val="22"/>
          <w:u w:val="single"/>
        </w:rPr>
        <w:t>procedentes</w:t>
      </w:r>
      <w:r>
        <w:rPr>
          <w:spacing w:val="-6"/>
          <w:sz w:val="22"/>
          <w:u w:val="single"/>
        </w:rPr>
        <w:t> </w:t>
      </w:r>
      <w:r>
        <w:rPr>
          <w:sz w:val="22"/>
          <w:u w:val="single"/>
        </w:rPr>
        <w:t>de</w:t>
      </w:r>
      <w:r>
        <w:rPr>
          <w:spacing w:val="-6"/>
          <w:sz w:val="22"/>
          <w:u w:val="single"/>
        </w:rPr>
        <w:t> </w:t>
      </w:r>
      <w:r>
        <w:rPr>
          <w:sz w:val="22"/>
          <w:u w:val="single"/>
        </w:rPr>
        <w:t>arrendamientos</w:t>
      </w:r>
      <w:r>
        <w:rPr>
          <w:spacing w:val="-6"/>
          <w:sz w:val="22"/>
          <w:u w:val="single"/>
        </w:rPr>
        <w:t> </w:t>
      </w:r>
      <w:r>
        <w:rPr>
          <w:sz w:val="22"/>
          <w:u w:val="single"/>
        </w:rPr>
        <w:t>operativos</w:t>
      </w:r>
      <w:r>
        <w:rPr>
          <w:spacing w:val="-6"/>
          <w:sz w:val="22"/>
          <w:u w:val="single"/>
        </w:rPr>
        <w:t> </w:t>
      </w:r>
      <w:r>
        <w:rPr>
          <w:sz w:val="22"/>
          <w:u w:val="single"/>
        </w:rPr>
        <w:t>(Párrafo</w:t>
      </w:r>
      <w:r>
        <w:rPr>
          <w:spacing w:val="-6"/>
          <w:sz w:val="22"/>
          <w:u w:val="single"/>
        </w:rPr>
        <w:t> </w:t>
      </w:r>
      <w:r>
        <w:rPr>
          <w:spacing w:val="-5"/>
          <w:sz w:val="22"/>
          <w:u w:val="single"/>
        </w:rPr>
        <w:t>42)</w:t>
      </w:r>
    </w:p>
    <w:p>
      <w:pPr>
        <w:pStyle w:val="BodyText"/>
        <w:spacing w:before="33"/>
        <w:rPr>
          <w:sz w:val="20"/>
        </w:rPr>
      </w:pPr>
      <w:r>
        <w:rPr>
          <w:sz w:val="20"/>
        </w:rPr>
        <mc:AlternateContent>
          <mc:Choice Requires="wps">
            <w:drawing>
              <wp:anchor distT="0" distB="0" distL="0" distR="0" allowOverlap="1" layoutInCell="1" locked="0" behindDoc="1" simplePos="0" relativeHeight="487691264">
                <wp:simplePos x="0" y="0"/>
                <wp:positionH relativeFrom="page">
                  <wp:posOffset>1080820</wp:posOffset>
                </wp:positionH>
                <wp:positionV relativeFrom="paragraph">
                  <wp:posOffset>184737</wp:posOffset>
                </wp:positionV>
                <wp:extent cx="5715000" cy="553720"/>
                <wp:effectExtent l="0" t="0" r="0" b="0"/>
                <wp:wrapTopAndBottom/>
                <wp:docPr id="541" name="Textbox 541"/>
                <wp:cNvGraphicFramePr>
                  <a:graphicFrameLocks/>
                </wp:cNvGraphicFramePr>
                <a:graphic>
                  <a:graphicData uri="http://schemas.microsoft.com/office/word/2010/wordprocessingShape">
                    <wps:wsp>
                      <wps:cNvPr id="541" name="Textbox 541"/>
                      <wps:cNvSpPr txBox="1"/>
                      <wps:spPr>
                        <a:xfrm>
                          <a:off x="0" y="0"/>
                          <a:ext cx="5715000" cy="553720"/>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546265pt;width:450pt;height:43.6pt;mso-position-horizontal-relative:page;mso-position-vertical-relative:paragraph;z-index:-15625216;mso-wrap-distance-left:0;mso-wrap-distance-right:0" type="#_x0000_t202" id="docshape519"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186"/>
      </w:pPr>
    </w:p>
    <w:p>
      <w:pPr>
        <w:pStyle w:val="ListParagraph"/>
        <w:numPr>
          <w:ilvl w:val="3"/>
          <w:numId w:val="39"/>
        </w:numPr>
        <w:tabs>
          <w:tab w:pos="2061" w:val="left" w:leader="none"/>
        </w:tabs>
        <w:spacing w:line="240" w:lineRule="auto" w:before="0" w:after="0"/>
        <w:ind w:left="2061" w:right="0" w:hanging="359"/>
        <w:jc w:val="left"/>
        <w:rPr>
          <w:sz w:val="22"/>
        </w:rPr>
      </w:pPr>
      <w:r>
        <w:rPr>
          <w:sz w:val="22"/>
          <w:u w:val="single"/>
        </w:rPr>
        <w:t>Monto</w:t>
      </w:r>
      <w:r>
        <w:rPr>
          <w:spacing w:val="-6"/>
          <w:sz w:val="22"/>
          <w:u w:val="single"/>
        </w:rPr>
        <w:t> </w:t>
      </w:r>
      <w:r>
        <w:rPr>
          <w:sz w:val="22"/>
          <w:u w:val="single"/>
        </w:rPr>
        <w:t>de</w:t>
      </w:r>
      <w:r>
        <w:rPr>
          <w:spacing w:val="-4"/>
          <w:sz w:val="22"/>
          <w:u w:val="single"/>
        </w:rPr>
        <w:t> </w:t>
      </w:r>
      <w:r>
        <w:rPr>
          <w:sz w:val="22"/>
          <w:u w:val="single"/>
        </w:rPr>
        <w:t>ingreso</w:t>
      </w:r>
      <w:r>
        <w:rPr>
          <w:spacing w:val="-5"/>
          <w:sz w:val="22"/>
          <w:u w:val="single"/>
        </w:rPr>
        <w:t> </w:t>
      </w:r>
      <w:r>
        <w:rPr>
          <w:sz w:val="22"/>
          <w:u w:val="single"/>
        </w:rPr>
        <w:t>reconocido</w:t>
      </w:r>
      <w:r>
        <w:rPr>
          <w:spacing w:val="-6"/>
          <w:sz w:val="22"/>
          <w:u w:val="single"/>
        </w:rPr>
        <w:t> </w:t>
      </w:r>
      <w:r>
        <w:rPr>
          <w:sz w:val="22"/>
          <w:u w:val="single"/>
        </w:rPr>
        <w:t>por</w:t>
      </w:r>
      <w:r>
        <w:rPr>
          <w:spacing w:val="-5"/>
          <w:sz w:val="22"/>
          <w:u w:val="single"/>
        </w:rPr>
        <w:t> </w:t>
      </w:r>
      <w:r>
        <w:rPr>
          <w:sz w:val="22"/>
          <w:u w:val="single"/>
        </w:rPr>
        <w:t>arrendamientos</w:t>
      </w:r>
      <w:r>
        <w:rPr>
          <w:spacing w:val="-4"/>
          <w:sz w:val="22"/>
          <w:u w:val="single"/>
        </w:rPr>
        <w:t> </w:t>
      </w:r>
      <w:r>
        <w:rPr>
          <w:sz w:val="22"/>
          <w:u w:val="single"/>
        </w:rPr>
        <w:t>(Párrafo</w:t>
      </w:r>
      <w:r>
        <w:rPr>
          <w:spacing w:val="-4"/>
          <w:sz w:val="22"/>
          <w:u w:val="single"/>
        </w:rPr>
        <w:t> </w:t>
      </w:r>
      <w:r>
        <w:rPr>
          <w:spacing w:val="-5"/>
          <w:sz w:val="22"/>
          <w:u w:val="single"/>
        </w:rPr>
        <w:t>42)</w:t>
      </w:r>
    </w:p>
    <w:p>
      <w:pPr>
        <w:pStyle w:val="BodyText"/>
        <w:spacing w:before="31"/>
        <w:rPr>
          <w:sz w:val="20"/>
        </w:rPr>
      </w:pPr>
      <w:r>
        <w:rPr>
          <w:sz w:val="20"/>
        </w:rPr>
        <mc:AlternateContent>
          <mc:Choice Requires="wps">
            <w:drawing>
              <wp:anchor distT="0" distB="0" distL="0" distR="0" allowOverlap="1" layoutInCell="1" locked="0" behindDoc="1" simplePos="0" relativeHeight="487691776">
                <wp:simplePos x="0" y="0"/>
                <wp:positionH relativeFrom="page">
                  <wp:posOffset>1080820</wp:posOffset>
                </wp:positionH>
                <wp:positionV relativeFrom="paragraph">
                  <wp:posOffset>183467</wp:posOffset>
                </wp:positionV>
                <wp:extent cx="5715000" cy="554990"/>
                <wp:effectExtent l="0" t="0" r="0" b="0"/>
                <wp:wrapTopAndBottom/>
                <wp:docPr id="542" name="Textbox 542"/>
                <wp:cNvGraphicFramePr>
                  <a:graphicFrameLocks/>
                </wp:cNvGraphicFramePr>
                <a:graphic>
                  <a:graphicData uri="http://schemas.microsoft.com/office/word/2010/wordprocessingShape">
                    <wps:wsp>
                      <wps:cNvPr id="542" name="Textbox 542"/>
                      <wps:cNvSpPr txBox="1"/>
                      <wps:spPr>
                        <a:xfrm>
                          <a:off x="0" y="0"/>
                          <a:ext cx="5715000" cy="554990"/>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446235pt;width:450pt;height:43.7pt;mso-position-horizontal-relative:page;mso-position-vertical-relative:paragraph;z-index:-15624704;mso-wrap-distance-left:0;mso-wrap-distance-right:0" type="#_x0000_t202" id="docshape520"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183"/>
      </w:pPr>
    </w:p>
    <w:p>
      <w:pPr>
        <w:pStyle w:val="ListParagraph"/>
        <w:numPr>
          <w:ilvl w:val="3"/>
          <w:numId w:val="39"/>
        </w:numPr>
        <w:tabs>
          <w:tab w:pos="2060" w:val="left" w:leader="none"/>
        </w:tabs>
        <w:spacing w:line="240" w:lineRule="auto" w:before="1" w:after="0"/>
        <w:ind w:left="2060" w:right="0" w:hanging="358"/>
        <w:jc w:val="left"/>
        <w:rPr>
          <w:sz w:val="22"/>
        </w:rPr>
      </w:pPr>
      <w:r>
        <w:rPr>
          <w:sz w:val="22"/>
          <w:u w:val="single"/>
        </w:rPr>
        <w:t>Monto</w:t>
      </w:r>
      <w:r>
        <w:rPr>
          <w:spacing w:val="-4"/>
          <w:sz w:val="22"/>
          <w:u w:val="single"/>
        </w:rPr>
        <w:t> </w:t>
      </w:r>
      <w:r>
        <w:rPr>
          <w:sz w:val="22"/>
          <w:u w:val="single"/>
        </w:rPr>
        <w:t>de</w:t>
      </w:r>
      <w:r>
        <w:rPr>
          <w:spacing w:val="-4"/>
          <w:sz w:val="22"/>
          <w:u w:val="single"/>
        </w:rPr>
        <w:t> </w:t>
      </w:r>
      <w:r>
        <w:rPr>
          <w:sz w:val="22"/>
          <w:u w:val="single"/>
        </w:rPr>
        <w:t>Arrendamientos</w:t>
      </w:r>
      <w:r>
        <w:rPr>
          <w:spacing w:val="-5"/>
          <w:sz w:val="22"/>
          <w:u w:val="single"/>
        </w:rPr>
        <w:t> </w:t>
      </w:r>
      <w:r>
        <w:rPr>
          <w:sz w:val="22"/>
          <w:u w:val="single"/>
        </w:rPr>
        <w:t>por</w:t>
      </w:r>
      <w:r>
        <w:rPr>
          <w:spacing w:val="-4"/>
          <w:sz w:val="22"/>
          <w:u w:val="single"/>
        </w:rPr>
        <w:t> </w:t>
      </w:r>
      <w:r>
        <w:rPr>
          <w:sz w:val="22"/>
          <w:u w:val="single"/>
        </w:rPr>
        <w:t>Cobrar</w:t>
      </w:r>
      <w:r>
        <w:rPr>
          <w:spacing w:val="-4"/>
          <w:sz w:val="22"/>
          <w:u w:val="single"/>
        </w:rPr>
        <w:t> </w:t>
      </w:r>
      <w:r>
        <w:rPr>
          <w:sz w:val="22"/>
          <w:u w:val="single"/>
        </w:rPr>
        <w:t>(Párrafo</w:t>
      </w:r>
      <w:r>
        <w:rPr>
          <w:spacing w:val="-3"/>
          <w:sz w:val="22"/>
          <w:u w:val="single"/>
        </w:rPr>
        <w:t> </w:t>
      </w:r>
      <w:r>
        <w:rPr>
          <w:spacing w:val="-5"/>
          <w:sz w:val="22"/>
          <w:u w:val="single"/>
        </w:rPr>
        <w:t>44)</w:t>
      </w:r>
    </w:p>
    <w:p>
      <w:pPr>
        <w:pStyle w:val="BodyText"/>
        <w:spacing w:before="33"/>
        <w:rPr>
          <w:sz w:val="20"/>
        </w:rPr>
      </w:pPr>
      <w:r>
        <w:rPr>
          <w:sz w:val="20"/>
        </w:rPr>
        <mc:AlternateContent>
          <mc:Choice Requires="wps">
            <w:drawing>
              <wp:anchor distT="0" distB="0" distL="0" distR="0" allowOverlap="1" layoutInCell="1" locked="0" behindDoc="1" simplePos="0" relativeHeight="487692288">
                <wp:simplePos x="0" y="0"/>
                <wp:positionH relativeFrom="page">
                  <wp:posOffset>1080820</wp:posOffset>
                </wp:positionH>
                <wp:positionV relativeFrom="paragraph">
                  <wp:posOffset>184737</wp:posOffset>
                </wp:positionV>
                <wp:extent cx="5715000" cy="553720"/>
                <wp:effectExtent l="0" t="0" r="0" b="0"/>
                <wp:wrapTopAndBottom/>
                <wp:docPr id="543" name="Textbox 543"/>
                <wp:cNvGraphicFramePr>
                  <a:graphicFrameLocks/>
                </wp:cNvGraphicFramePr>
                <a:graphic>
                  <a:graphicData uri="http://schemas.microsoft.com/office/word/2010/wordprocessingShape">
                    <wps:wsp>
                      <wps:cNvPr id="543" name="Textbox 543"/>
                      <wps:cNvSpPr txBox="1"/>
                      <wps:spPr>
                        <a:xfrm>
                          <a:off x="0" y="0"/>
                          <a:ext cx="5715000" cy="553720"/>
                        </a:xfrm>
                        <a:prstGeom prst="rect">
                          <a:avLst/>
                        </a:prstGeom>
                        <a:ln w="6095">
                          <a:solidFill>
                            <a:srgbClr val="000000"/>
                          </a:solidFill>
                          <a:prstDash val="solid"/>
                        </a:ln>
                      </wps:spPr>
                      <wps:txbx>
                        <w:txbxContent>
                          <w:p>
                            <w:pPr>
                              <w:spacing w:line="410"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54625pt;width:450pt;height:43.6pt;mso-position-horizontal-relative:page;mso-position-vertical-relative:paragraph;z-index:-15624192;mso-wrap-distance-left:0;mso-wrap-distance-right:0" type="#_x0000_t202" id="docshape521" filled="false" stroked="true" strokeweight=".47998pt" strokecolor="#000000">
                <v:textbox inset="0,0,0,0">
                  <w:txbxContent>
                    <w:p>
                      <w:pPr>
                        <w:spacing w:line="410"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183"/>
      </w:pPr>
    </w:p>
    <w:p>
      <w:pPr>
        <w:pStyle w:val="ListParagraph"/>
        <w:numPr>
          <w:ilvl w:val="3"/>
          <w:numId w:val="39"/>
        </w:numPr>
        <w:tabs>
          <w:tab w:pos="2061" w:val="left" w:leader="none"/>
        </w:tabs>
        <w:spacing w:line="240" w:lineRule="auto" w:before="1" w:after="0"/>
        <w:ind w:left="2061" w:right="0" w:hanging="359"/>
        <w:jc w:val="left"/>
        <w:rPr>
          <w:sz w:val="22"/>
        </w:rPr>
      </w:pPr>
      <w:r>
        <w:rPr>
          <w:sz w:val="22"/>
          <w:u w:val="single"/>
        </w:rPr>
        <w:t>Descripción</w:t>
      </w:r>
      <w:r>
        <w:rPr>
          <w:spacing w:val="-5"/>
          <w:sz w:val="22"/>
          <w:u w:val="single"/>
        </w:rPr>
        <w:t> </w:t>
      </w:r>
      <w:r>
        <w:rPr>
          <w:sz w:val="22"/>
          <w:u w:val="single"/>
        </w:rPr>
        <w:t>general</w:t>
      </w:r>
      <w:r>
        <w:rPr>
          <w:spacing w:val="-4"/>
          <w:sz w:val="22"/>
          <w:u w:val="single"/>
        </w:rPr>
        <w:t> </w:t>
      </w:r>
      <w:r>
        <w:rPr>
          <w:sz w:val="22"/>
          <w:u w:val="single"/>
        </w:rPr>
        <w:t>de</w:t>
      </w:r>
      <w:r>
        <w:rPr>
          <w:spacing w:val="-4"/>
          <w:sz w:val="22"/>
          <w:u w:val="single"/>
        </w:rPr>
        <w:t> </w:t>
      </w:r>
      <w:r>
        <w:rPr>
          <w:sz w:val="22"/>
          <w:u w:val="single"/>
        </w:rPr>
        <w:t>los</w:t>
      </w:r>
      <w:r>
        <w:rPr>
          <w:spacing w:val="-6"/>
          <w:sz w:val="22"/>
          <w:u w:val="single"/>
        </w:rPr>
        <w:t> </w:t>
      </w:r>
      <w:r>
        <w:rPr>
          <w:sz w:val="22"/>
          <w:u w:val="single"/>
        </w:rPr>
        <w:t>acuerdos</w:t>
      </w:r>
      <w:r>
        <w:rPr>
          <w:spacing w:val="-4"/>
          <w:sz w:val="22"/>
          <w:u w:val="single"/>
        </w:rPr>
        <w:t> </w:t>
      </w:r>
      <w:r>
        <w:rPr>
          <w:sz w:val="22"/>
          <w:u w:val="single"/>
        </w:rPr>
        <w:t>de</w:t>
      </w:r>
      <w:r>
        <w:rPr>
          <w:spacing w:val="-6"/>
          <w:sz w:val="22"/>
          <w:u w:val="single"/>
        </w:rPr>
        <w:t> </w:t>
      </w:r>
      <w:r>
        <w:rPr>
          <w:sz w:val="22"/>
          <w:u w:val="single"/>
        </w:rPr>
        <w:t>arrendamiento</w:t>
      </w:r>
      <w:r>
        <w:rPr>
          <w:spacing w:val="-6"/>
          <w:sz w:val="22"/>
          <w:u w:val="single"/>
        </w:rPr>
        <w:t> </w:t>
      </w:r>
      <w:r>
        <w:rPr>
          <w:sz w:val="22"/>
          <w:u w:val="single"/>
        </w:rPr>
        <w:t>(Párrafo</w:t>
      </w:r>
      <w:r>
        <w:rPr>
          <w:spacing w:val="-3"/>
          <w:sz w:val="22"/>
          <w:u w:val="single"/>
        </w:rPr>
        <w:t> </w:t>
      </w:r>
      <w:r>
        <w:rPr>
          <w:spacing w:val="-5"/>
          <w:sz w:val="22"/>
          <w:u w:val="single"/>
        </w:rPr>
        <w:t>44)</w:t>
      </w:r>
    </w:p>
    <w:p>
      <w:pPr>
        <w:pStyle w:val="BodyText"/>
        <w:spacing w:before="33"/>
        <w:rPr>
          <w:sz w:val="20"/>
        </w:rPr>
      </w:pPr>
      <w:r>
        <w:rPr>
          <w:sz w:val="20"/>
        </w:rPr>
        <mc:AlternateContent>
          <mc:Choice Requires="wps">
            <w:drawing>
              <wp:anchor distT="0" distB="0" distL="0" distR="0" allowOverlap="1" layoutInCell="1" locked="0" behindDoc="1" simplePos="0" relativeHeight="487692800">
                <wp:simplePos x="0" y="0"/>
                <wp:positionH relativeFrom="page">
                  <wp:posOffset>1080820</wp:posOffset>
                </wp:positionH>
                <wp:positionV relativeFrom="paragraph">
                  <wp:posOffset>184737</wp:posOffset>
                </wp:positionV>
                <wp:extent cx="5715000" cy="553720"/>
                <wp:effectExtent l="0" t="0" r="0" b="0"/>
                <wp:wrapTopAndBottom/>
                <wp:docPr id="544" name="Textbox 544"/>
                <wp:cNvGraphicFramePr>
                  <a:graphicFrameLocks/>
                </wp:cNvGraphicFramePr>
                <a:graphic>
                  <a:graphicData uri="http://schemas.microsoft.com/office/word/2010/wordprocessingShape">
                    <wps:wsp>
                      <wps:cNvPr id="544" name="Textbox 544"/>
                      <wps:cNvSpPr txBox="1"/>
                      <wps:spPr>
                        <a:xfrm>
                          <a:off x="0" y="0"/>
                          <a:ext cx="5715000" cy="553720"/>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54628pt;width:450pt;height:43.6pt;mso-position-horizontal-relative:page;mso-position-vertical-relative:paragraph;z-index:-15623680;mso-wrap-distance-left:0;mso-wrap-distance-right:0" type="#_x0000_t202" id="docshape522"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186"/>
      </w:pPr>
    </w:p>
    <w:p>
      <w:pPr>
        <w:pStyle w:val="ListParagraph"/>
        <w:numPr>
          <w:ilvl w:val="3"/>
          <w:numId w:val="39"/>
        </w:numPr>
        <w:tabs>
          <w:tab w:pos="2061" w:val="left" w:leader="none"/>
        </w:tabs>
        <w:spacing w:line="240" w:lineRule="auto" w:before="0" w:after="0"/>
        <w:ind w:left="2061" w:right="0" w:hanging="359"/>
        <w:jc w:val="left"/>
        <w:rPr>
          <w:sz w:val="22"/>
        </w:rPr>
      </w:pPr>
      <w:r>
        <w:rPr>
          <w:sz w:val="22"/>
          <w:u w:val="single"/>
        </w:rPr>
        <w:t>Costos</w:t>
      </w:r>
      <w:r>
        <w:rPr>
          <w:spacing w:val="-4"/>
          <w:sz w:val="22"/>
          <w:u w:val="single"/>
        </w:rPr>
        <w:t> </w:t>
      </w:r>
      <w:r>
        <w:rPr>
          <w:sz w:val="22"/>
          <w:u w:val="single"/>
        </w:rPr>
        <w:t>incurridos</w:t>
      </w:r>
      <w:r>
        <w:rPr>
          <w:spacing w:val="-5"/>
          <w:sz w:val="22"/>
          <w:u w:val="single"/>
        </w:rPr>
        <w:t> </w:t>
      </w:r>
      <w:r>
        <w:rPr>
          <w:sz w:val="22"/>
          <w:u w:val="single"/>
        </w:rPr>
        <w:t>para</w:t>
      </w:r>
      <w:r>
        <w:rPr>
          <w:spacing w:val="-5"/>
          <w:sz w:val="22"/>
          <w:u w:val="single"/>
        </w:rPr>
        <w:t> </w:t>
      </w:r>
      <w:r>
        <w:rPr>
          <w:sz w:val="22"/>
          <w:u w:val="single"/>
        </w:rPr>
        <w:t>obtener</w:t>
      </w:r>
      <w:r>
        <w:rPr>
          <w:spacing w:val="-6"/>
          <w:sz w:val="22"/>
          <w:u w:val="single"/>
        </w:rPr>
        <w:t> </w:t>
      </w:r>
      <w:r>
        <w:rPr>
          <w:sz w:val="22"/>
          <w:u w:val="single"/>
        </w:rPr>
        <w:t>el</w:t>
      </w:r>
      <w:r>
        <w:rPr>
          <w:spacing w:val="-4"/>
          <w:sz w:val="22"/>
          <w:u w:val="single"/>
        </w:rPr>
        <w:t> </w:t>
      </w:r>
      <w:r>
        <w:rPr>
          <w:sz w:val="22"/>
          <w:u w:val="single"/>
        </w:rPr>
        <w:t>ingreso</w:t>
      </w:r>
      <w:r>
        <w:rPr>
          <w:spacing w:val="-4"/>
          <w:sz w:val="22"/>
          <w:u w:val="single"/>
        </w:rPr>
        <w:t> </w:t>
      </w:r>
      <w:r>
        <w:rPr>
          <w:sz w:val="22"/>
          <w:u w:val="single"/>
        </w:rPr>
        <w:t>(Párrafo</w:t>
      </w:r>
      <w:r>
        <w:rPr>
          <w:spacing w:val="-3"/>
          <w:sz w:val="22"/>
          <w:u w:val="single"/>
        </w:rPr>
        <w:t> </w:t>
      </w:r>
      <w:r>
        <w:rPr>
          <w:spacing w:val="-5"/>
          <w:sz w:val="22"/>
          <w:u w:val="single"/>
        </w:rPr>
        <w:t>64)</w:t>
      </w:r>
    </w:p>
    <w:p>
      <w:pPr>
        <w:pStyle w:val="BodyText"/>
        <w:spacing w:before="31"/>
        <w:rPr>
          <w:sz w:val="20"/>
        </w:rPr>
      </w:pPr>
      <w:r>
        <w:rPr>
          <w:sz w:val="20"/>
        </w:rPr>
        <mc:AlternateContent>
          <mc:Choice Requires="wps">
            <w:drawing>
              <wp:anchor distT="0" distB="0" distL="0" distR="0" allowOverlap="1" layoutInCell="1" locked="0" behindDoc="1" simplePos="0" relativeHeight="487693312">
                <wp:simplePos x="0" y="0"/>
                <wp:positionH relativeFrom="page">
                  <wp:posOffset>1080820</wp:posOffset>
                </wp:positionH>
                <wp:positionV relativeFrom="paragraph">
                  <wp:posOffset>182959</wp:posOffset>
                </wp:positionV>
                <wp:extent cx="5715000" cy="554990"/>
                <wp:effectExtent l="0" t="0" r="0" b="0"/>
                <wp:wrapTopAndBottom/>
                <wp:docPr id="545" name="Textbox 545"/>
                <wp:cNvGraphicFramePr>
                  <a:graphicFrameLocks/>
                </wp:cNvGraphicFramePr>
                <a:graphic>
                  <a:graphicData uri="http://schemas.microsoft.com/office/word/2010/wordprocessingShape">
                    <wps:wsp>
                      <wps:cNvPr id="545" name="Textbox 545"/>
                      <wps:cNvSpPr txBox="1"/>
                      <wps:spPr>
                        <a:xfrm>
                          <a:off x="0" y="0"/>
                          <a:ext cx="5715000" cy="554990"/>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40625pt;width:450pt;height:43.7pt;mso-position-horizontal-relative:page;mso-position-vertical-relative:paragraph;z-index:-15623168;mso-wrap-distance-left:0;mso-wrap-distance-right:0" type="#_x0000_t202" id="docshape523"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2768">
                <wp:simplePos x="0" y="0"/>
                <wp:positionH relativeFrom="page">
                  <wp:posOffset>9525</wp:posOffset>
                </wp:positionH>
                <wp:positionV relativeFrom="page">
                  <wp:posOffset>297208</wp:posOffset>
                </wp:positionV>
                <wp:extent cx="7762875" cy="974852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7762875" cy="9748520"/>
                          <a:chExt cx="7762875" cy="9748520"/>
                        </a:xfrm>
                      </wpg:grpSpPr>
                      <pic:pic>
                        <pic:nvPicPr>
                          <pic:cNvPr id="547" name="Image 547"/>
                          <pic:cNvPicPr/>
                        </pic:nvPicPr>
                        <pic:blipFill>
                          <a:blip r:embed="rId5" cstate="print"/>
                          <a:stretch>
                            <a:fillRect/>
                          </a:stretch>
                        </pic:blipFill>
                        <pic:spPr>
                          <a:xfrm>
                            <a:off x="0" y="0"/>
                            <a:ext cx="7762874" cy="9748489"/>
                          </a:xfrm>
                          <a:prstGeom prst="rect">
                            <a:avLst/>
                          </a:prstGeom>
                        </pic:spPr>
                      </pic:pic>
                      <wps:wsp>
                        <wps:cNvPr id="548" name="Graphic 54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83712" id="docshapegroup524" coordorigin="15,468" coordsize="12225,15352">
                <v:shape style="position:absolute;left:15;top:468;width:12225;height:15352" type="#_x0000_t75" id="docshape525" stroked="false">
                  <v:imagedata r:id="rId5" o:title=""/>
                </v:shape>
                <v:rect style="position:absolute;left:1673;top:2028;width:8897;height:15" id="docshape52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111</w:t>
      </w:r>
    </w:p>
    <w:p>
      <w:pPr>
        <w:pStyle w:val="ListParagraph"/>
        <w:numPr>
          <w:ilvl w:val="3"/>
          <w:numId w:val="39"/>
        </w:numPr>
        <w:tabs>
          <w:tab w:pos="2061" w:val="left" w:leader="none"/>
        </w:tabs>
        <w:spacing w:line="240" w:lineRule="auto" w:before="218" w:after="0"/>
        <w:ind w:left="2061" w:right="0" w:hanging="359"/>
        <w:jc w:val="left"/>
        <w:rPr>
          <w:sz w:val="22"/>
        </w:rPr>
      </w:pPr>
      <w:r>
        <w:rPr>
          <w:sz w:val="22"/>
          <w:u w:val="single"/>
        </w:rPr>
        <w:t>Otra</w:t>
      </w:r>
      <w:r>
        <w:rPr>
          <w:spacing w:val="-5"/>
          <w:sz w:val="22"/>
          <w:u w:val="single"/>
        </w:rPr>
        <w:t> </w:t>
      </w:r>
      <w:r>
        <w:rPr>
          <w:sz w:val="22"/>
          <w:u w:val="single"/>
        </w:rPr>
        <w:t>información</w:t>
      </w:r>
      <w:r>
        <w:rPr>
          <w:spacing w:val="-4"/>
          <w:sz w:val="22"/>
          <w:u w:val="single"/>
        </w:rPr>
        <w:t> </w:t>
      </w:r>
      <w:r>
        <w:rPr>
          <w:sz w:val="22"/>
          <w:u w:val="single"/>
        </w:rPr>
        <w:t>por</w:t>
      </w:r>
      <w:r>
        <w:rPr>
          <w:spacing w:val="-4"/>
          <w:sz w:val="22"/>
          <w:u w:val="single"/>
        </w:rPr>
        <w:t> </w:t>
      </w:r>
      <w:r>
        <w:rPr>
          <w:spacing w:val="-2"/>
          <w:sz w:val="22"/>
          <w:u w:val="single"/>
        </w:rPr>
        <w:t>revelar</w:t>
      </w:r>
    </w:p>
    <w:p>
      <w:pPr>
        <w:pStyle w:val="BodyText"/>
        <w:spacing w:before="33"/>
        <w:rPr>
          <w:sz w:val="20"/>
        </w:rPr>
      </w:pPr>
      <w:r>
        <w:rPr>
          <w:sz w:val="20"/>
        </w:rPr>
        <mc:AlternateContent>
          <mc:Choice Requires="wps">
            <w:drawing>
              <wp:anchor distT="0" distB="0" distL="0" distR="0" allowOverlap="1" layoutInCell="1" locked="0" behindDoc="1" simplePos="0" relativeHeight="487694336">
                <wp:simplePos x="0" y="0"/>
                <wp:positionH relativeFrom="page">
                  <wp:posOffset>1080820</wp:posOffset>
                </wp:positionH>
                <wp:positionV relativeFrom="paragraph">
                  <wp:posOffset>184745</wp:posOffset>
                </wp:positionV>
                <wp:extent cx="5715000" cy="553720"/>
                <wp:effectExtent l="0" t="0" r="0" b="0"/>
                <wp:wrapTopAndBottom/>
                <wp:docPr id="549" name="Textbox 549"/>
                <wp:cNvGraphicFramePr>
                  <a:graphicFrameLocks/>
                </wp:cNvGraphicFramePr>
                <a:graphic>
                  <a:graphicData uri="http://schemas.microsoft.com/office/word/2010/wordprocessingShape">
                    <wps:wsp>
                      <wps:cNvPr id="549" name="Textbox 549"/>
                      <wps:cNvSpPr txBox="1"/>
                      <wps:spPr>
                        <a:xfrm>
                          <a:off x="0" y="0"/>
                          <a:ext cx="5715000" cy="553720"/>
                        </a:xfrm>
                        <a:prstGeom prst="rect">
                          <a:avLst/>
                        </a:prstGeom>
                        <a:ln w="6095">
                          <a:solidFill>
                            <a:srgbClr val="000000"/>
                          </a:solidFill>
                          <a:prstDash val="solid"/>
                        </a:ln>
                      </wps:spPr>
                      <wps:txbx>
                        <w:txbxContent>
                          <w:p>
                            <w:pPr>
                              <w:spacing w:line="410"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546875pt;width:450pt;height:43.6pt;mso-position-horizontal-relative:page;mso-position-vertical-relative:paragraph;z-index:-15622144;mso-wrap-distance-left:0;mso-wrap-distance-right:0" type="#_x0000_t202" id="docshape527" filled="false" stroked="true" strokeweight=".47998pt" strokecolor="#000000">
                <v:textbox inset="0,0,0,0">
                  <w:txbxContent>
                    <w:p>
                      <w:pPr>
                        <w:spacing w:line="410"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6"/>
      </w:pPr>
    </w:p>
    <w:p>
      <w:pPr>
        <w:pStyle w:val="ListParagraph"/>
        <w:numPr>
          <w:ilvl w:val="3"/>
          <w:numId w:val="39"/>
        </w:numPr>
        <w:tabs>
          <w:tab w:pos="2060" w:val="left" w:leader="none"/>
        </w:tabs>
        <w:spacing w:line="240" w:lineRule="auto" w:before="0" w:after="0"/>
        <w:ind w:left="2060" w:right="0" w:hanging="358"/>
        <w:jc w:val="left"/>
        <w:rPr>
          <w:sz w:val="22"/>
        </w:rPr>
      </w:pPr>
      <w:r>
        <w:rPr>
          <w:sz w:val="22"/>
          <w:u w:val="single"/>
        </w:rPr>
        <w:t>Arrendamientos</w:t>
      </w:r>
      <w:r>
        <w:rPr>
          <w:spacing w:val="-8"/>
          <w:sz w:val="22"/>
          <w:u w:val="single"/>
        </w:rPr>
        <w:t> </w:t>
      </w:r>
      <w:r>
        <w:rPr>
          <w:sz w:val="22"/>
          <w:u w:val="single"/>
        </w:rPr>
        <w:t>financieros</w:t>
      </w:r>
      <w:r>
        <w:rPr>
          <w:spacing w:val="-8"/>
          <w:sz w:val="22"/>
          <w:u w:val="single"/>
        </w:rPr>
        <w:t> </w:t>
      </w:r>
      <w:r>
        <w:rPr>
          <w:sz w:val="22"/>
          <w:u w:val="single"/>
        </w:rPr>
        <w:t>(párrafo</w:t>
      </w:r>
      <w:r>
        <w:rPr>
          <w:spacing w:val="-5"/>
          <w:sz w:val="22"/>
          <w:u w:val="single"/>
        </w:rPr>
        <w:t> 40)</w:t>
      </w:r>
    </w:p>
    <w:p>
      <w:pPr>
        <w:pStyle w:val="BodyText"/>
        <w:spacing w:before="31"/>
        <w:rPr>
          <w:sz w:val="20"/>
        </w:rPr>
      </w:pPr>
      <w:r>
        <w:rPr>
          <w:sz w:val="20"/>
        </w:rPr>
        <mc:AlternateContent>
          <mc:Choice Requires="wps">
            <w:drawing>
              <wp:anchor distT="0" distB="0" distL="0" distR="0" allowOverlap="1" layoutInCell="1" locked="0" behindDoc="1" simplePos="0" relativeHeight="487694848">
                <wp:simplePos x="0" y="0"/>
                <wp:positionH relativeFrom="page">
                  <wp:posOffset>1080820</wp:posOffset>
                </wp:positionH>
                <wp:positionV relativeFrom="paragraph">
                  <wp:posOffset>183467</wp:posOffset>
                </wp:positionV>
                <wp:extent cx="5715000" cy="555625"/>
                <wp:effectExtent l="0" t="0" r="0" b="0"/>
                <wp:wrapTopAndBottom/>
                <wp:docPr id="550" name="Textbox 550"/>
                <wp:cNvGraphicFramePr>
                  <a:graphicFrameLocks/>
                </wp:cNvGraphicFramePr>
                <a:graphic>
                  <a:graphicData uri="http://schemas.microsoft.com/office/word/2010/wordprocessingShape">
                    <wps:wsp>
                      <wps:cNvPr id="550" name="Textbox 550"/>
                      <wps:cNvSpPr txBox="1"/>
                      <wps:spPr>
                        <a:xfrm>
                          <a:off x="0" y="0"/>
                          <a:ext cx="5715000" cy="555625"/>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4.44625pt;width:450pt;height:43.75pt;mso-position-horizontal-relative:page;mso-position-vertical-relative:paragraph;z-index:-15621632;mso-wrap-distance-left:0;mso-wrap-distance-right:0" type="#_x0000_t202" id="docshape528"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pStyle w:val="BodyText"/>
        <w:spacing w:before="3"/>
      </w:pPr>
    </w:p>
    <w:p>
      <w:pPr>
        <w:pStyle w:val="ListParagraph"/>
        <w:numPr>
          <w:ilvl w:val="0"/>
          <w:numId w:val="43"/>
        </w:numPr>
        <w:tabs>
          <w:tab w:pos="2061" w:val="left" w:leader="none"/>
        </w:tabs>
        <w:spacing w:line="240" w:lineRule="auto" w:before="1" w:after="0"/>
        <w:ind w:left="2061" w:right="0" w:hanging="359"/>
        <w:jc w:val="left"/>
        <w:rPr>
          <w:sz w:val="22"/>
        </w:rPr>
      </w:pPr>
      <w:r>
        <w:rPr>
          <w:sz w:val="22"/>
          <w:u w:val="single"/>
        </w:rPr>
        <w:t>P</w:t>
      </w:r>
      <w:r>
        <w:rPr>
          <w:sz w:val="22"/>
          <w:u w:val="none"/>
        </w:rPr>
        <w:t>ara</w:t>
      </w:r>
      <w:r>
        <w:rPr>
          <w:spacing w:val="-5"/>
          <w:sz w:val="22"/>
          <w:u w:val="none"/>
        </w:rPr>
        <w:t> </w:t>
      </w:r>
      <w:r>
        <w:rPr>
          <w:sz w:val="22"/>
          <w:u w:val="none"/>
        </w:rPr>
        <w:t>cada</w:t>
      </w:r>
      <w:r>
        <w:rPr>
          <w:spacing w:val="-3"/>
          <w:sz w:val="22"/>
          <w:u w:val="none"/>
        </w:rPr>
        <w:t> </w:t>
      </w:r>
      <w:r>
        <w:rPr>
          <w:sz w:val="22"/>
          <w:u w:val="none"/>
        </w:rPr>
        <w:t>clase</w:t>
      </w:r>
      <w:r>
        <w:rPr>
          <w:spacing w:val="-2"/>
          <w:sz w:val="22"/>
          <w:u w:val="none"/>
        </w:rPr>
        <w:t> </w:t>
      </w:r>
      <w:r>
        <w:rPr>
          <w:sz w:val="22"/>
          <w:u w:val="none"/>
        </w:rPr>
        <w:t>de</w:t>
      </w:r>
      <w:r>
        <w:rPr>
          <w:spacing w:val="-2"/>
          <w:sz w:val="22"/>
          <w:u w:val="none"/>
        </w:rPr>
        <w:t> </w:t>
      </w:r>
      <w:r>
        <w:rPr>
          <w:sz w:val="22"/>
          <w:u w:val="none"/>
        </w:rPr>
        <w:t>activos</w:t>
      </w:r>
      <w:r>
        <w:rPr>
          <w:spacing w:val="-4"/>
          <w:sz w:val="22"/>
          <w:u w:val="none"/>
        </w:rPr>
        <w:t> </w:t>
      </w:r>
      <w:r>
        <w:rPr>
          <w:sz w:val="22"/>
          <w:u w:val="none"/>
        </w:rPr>
        <w:t>el</w:t>
      </w:r>
      <w:r>
        <w:rPr>
          <w:spacing w:val="-5"/>
          <w:sz w:val="22"/>
          <w:u w:val="none"/>
        </w:rPr>
        <w:t> </w:t>
      </w:r>
      <w:r>
        <w:rPr>
          <w:sz w:val="22"/>
          <w:u w:val="none"/>
        </w:rPr>
        <w:t>importe</w:t>
      </w:r>
      <w:r>
        <w:rPr>
          <w:spacing w:val="-1"/>
          <w:sz w:val="22"/>
          <w:u w:val="none"/>
        </w:rPr>
        <w:t> </w:t>
      </w:r>
      <w:r>
        <w:rPr>
          <w:sz w:val="22"/>
          <w:u w:val="none"/>
        </w:rPr>
        <w:t>de</w:t>
      </w:r>
      <w:r>
        <w:rPr>
          <w:spacing w:val="-1"/>
          <w:sz w:val="22"/>
          <w:u w:val="none"/>
        </w:rPr>
        <w:t> </w:t>
      </w:r>
      <w:r>
        <w:rPr>
          <w:sz w:val="22"/>
          <w:u w:val="none"/>
        </w:rPr>
        <w:t>libro</w:t>
      </w:r>
      <w:r>
        <w:rPr>
          <w:spacing w:val="-4"/>
          <w:sz w:val="22"/>
          <w:u w:val="none"/>
        </w:rPr>
        <w:t> </w:t>
      </w:r>
      <w:r>
        <w:rPr>
          <w:sz w:val="22"/>
          <w:u w:val="none"/>
        </w:rPr>
        <w:t>neto</w:t>
      </w:r>
      <w:r>
        <w:rPr>
          <w:spacing w:val="-4"/>
          <w:sz w:val="22"/>
          <w:u w:val="none"/>
        </w:rPr>
        <w:t> </w:t>
      </w:r>
      <w:r>
        <w:rPr>
          <w:sz w:val="22"/>
          <w:u w:val="none"/>
        </w:rPr>
        <w:t>en</w:t>
      </w:r>
      <w:r>
        <w:rPr>
          <w:spacing w:val="-2"/>
          <w:sz w:val="22"/>
          <w:u w:val="none"/>
        </w:rPr>
        <w:t> </w:t>
      </w:r>
      <w:r>
        <w:rPr>
          <w:sz w:val="22"/>
          <w:u w:val="none"/>
        </w:rPr>
        <w:t>la</w:t>
      </w:r>
      <w:r>
        <w:rPr>
          <w:spacing w:val="-6"/>
          <w:sz w:val="22"/>
          <w:u w:val="none"/>
        </w:rPr>
        <w:t> </w:t>
      </w:r>
      <w:r>
        <w:rPr>
          <w:sz w:val="22"/>
          <w:u w:val="none"/>
        </w:rPr>
        <w:t>fecha</w:t>
      </w:r>
      <w:r>
        <w:rPr>
          <w:spacing w:val="-3"/>
          <w:sz w:val="22"/>
          <w:u w:val="none"/>
        </w:rPr>
        <w:t> </w:t>
      </w:r>
      <w:r>
        <w:rPr>
          <w:sz w:val="22"/>
          <w:u w:val="none"/>
        </w:rPr>
        <w:t>de</w:t>
      </w:r>
      <w:r>
        <w:rPr>
          <w:spacing w:val="-3"/>
          <w:sz w:val="22"/>
          <w:u w:val="none"/>
        </w:rPr>
        <w:t> </w:t>
      </w:r>
      <w:r>
        <w:rPr>
          <w:spacing w:val="-2"/>
          <w:sz w:val="22"/>
          <w:u w:val="none"/>
        </w:rPr>
        <w:t>presentación</w:t>
      </w:r>
    </w:p>
    <w:p>
      <w:pPr>
        <w:pStyle w:val="ListParagraph"/>
        <w:numPr>
          <w:ilvl w:val="0"/>
          <w:numId w:val="43"/>
        </w:numPr>
        <w:tabs>
          <w:tab w:pos="2060" w:val="left" w:leader="none"/>
        </w:tabs>
        <w:spacing w:line="240" w:lineRule="auto" w:before="126" w:after="0"/>
        <w:ind w:left="2060" w:right="0" w:hanging="358"/>
        <w:jc w:val="left"/>
        <w:rPr>
          <w:sz w:val="22"/>
        </w:rPr>
      </w:pPr>
      <w:r>
        <w:rPr>
          <w:sz w:val="22"/>
        </w:rPr>
        <w:t>Una</w:t>
      </w:r>
      <w:r>
        <w:rPr>
          <w:spacing w:val="-6"/>
          <w:sz w:val="22"/>
        </w:rPr>
        <w:t> </w:t>
      </w:r>
      <w:r>
        <w:rPr>
          <w:sz w:val="22"/>
        </w:rPr>
        <w:t>conciliación</w:t>
      </w:r>
      <w:r>
        <w:rPr>
          <w:spacing w:val="-4"/>
          <w:sz w:val="22"/>
        </w:rPr>
        <w:t> </w:t>
      </w:r>
      <w:r>
        <w:rPr>
          <w:sz w:val="22"/>
        </w:rPr>
        <w:t>entre</w:t>
      </w:r>
      <w:r>
        <w:rPr>
          <w:spacing w:val="-2"/>
          <w:sz w:val="22"/>
        </w:rPr>
        <w:t> </w:t>
      </w:r>
      <w:r>
        <w:rPr>
          <w:sz w:val="22"/>
        </w:rPr>
        <w:t>el</w:t>
      </w:r>
      <w:r>
        <w:rPr>
          <w:spacing w:val="-7"/>
          <w:sz w:val="22"/>
        </w:rPr>
        <w:t> </w:t>
      </w:r>
      <w:r>
        <w:rPr>
          <w:sz w:val="22"/>
        </w:rPr>
        <w:t>total</w:t>
      </w:r>
      <w:r>
        <w:rPr>
          <w:spacing w:val="-4"/>
          <w:sz w:val="22"/>
        </w:rPr>
        <w:t> </w:t>
      </w:r>
      <w:r>
        <w:rPr>
          <w:sz w:val="22"/>
        </w:rPr>
        <w:t>de</w:t>
      </w:r>
      <w:r>
        <w:rPr>
          <w:spacing w:val="-4"/>
          <w:sz w:val="22"/>
        </w:rPr>
        <w:t> </w:t>
      </w:r>
      <w:r>
        <w:rPr>
          <w:sz w:val="22"/>
        </w:rPr>
        <w:t>pagos</w:t>
      </w:r>
      <w:r>
        <w:rPr>
          <w:spacing w:val="-5"/>
          <w:sz w:val="22"/>
        </w:rPr>
        <w:t> </w:t>
      </w:r>
      <w:r>
        <w:rPr>
          <w:sz w:val="22"/>
        </w:rPr>
        <w:t>mínimos</w:t>
      </w:r>
      <w:r>
        <w:rPr>
          <w:spacing w:val="-6"/>
          <w:sz w:val="22"/>
        </w:rPr>
        <w:t> </w:t>
      </w:r>
      <w:r>
        <w:rPr>
          <w:sz w:val="22"/>
        </w:rPr>
        <w:t>de</w:t>
      </w:r>
      <w:r>
        <w:rPr>
          <w:spacing w:val="-3"/>
          <w:sz w:val="22"/>
        </w:rPr>
        <w:t> </w:t>
      </w:r>
      <w:r>
        <w:rPr>
          <w:sz w:val="22"/>
        </w:rPr>
        <w:t>arrendamiento</w:t>
      </w:r>
      <w:r>
        <w:rPr>
          <w:spacing w:val="-4"/>
          <w:sz w:val="22"/>
        </w:rPr>
        <w:t> </w:t>
      </w:r>
      <w:r>
        <w:rPr>
          <w:sz w:val="22"/>
        </w:rPr>
        <w:t>y</w:t>
      </w:r>
      <w:r>
        <w:rPr>
          <w:spacing w:val="-4"/>
          <w:sz w:val="22"/>
        </w:rPr>
        <w:t> </w:t>
      </w:r>
      <w:r>
        <w:rPr>
          <w:sz w:val="22"/>
        </w:rPr>
        <w:t>su</w:t>
      </w:r>
      <w:r>
        <w:rPr>
          <w:spacing w:val="-4"/>
          <w:sz w:val="22"/>
        </w:rPr>
        <w:t> </w:t>
      </w:r>
      <w:r>
        <w:rPr>
          <w:sz w:val="22"/>
        </w:rPr>
        <w:t>valor</w:t>
      </w:r>
      <w:r>
        <w:rPr>
          <w:spacing w:val="-3"/>
          <w:sz w:val="22"/>
        </w:rPr>
        <w:t> </w:t>
      </w:r>
      <w:r>
        <w:rPr>
          <w:spacing w:val="-2"/>
          <w:sz w:val="22"/>
        </w:rPr>
        <w:t>actual</w:t>
      </w:r>
    </w:p>
    <w:p>
      <w:pPr>
        <w:pStyle w:val="ListParagraph"/>
        <w:numPr>
          <w:ilvl w:val="0"/>
          <w:numId w:val="43"/>
        </w:numPr>
        <w:tabs>
          <w:tab w:pos="2061" w:val="left" w:leader="none"/>
        </w:tabs>
        <w:spacing w:line="240" w:lineRule="auto" w:before="125" w:after="0"/>
        <w:ind w:left="2061" w:right="0" w:hanging="359"/>
        <w:jc w:val="left"/>
        <w:rPr>
          <w:sz w:val="22"/>
        </w:rPr>
      </w:pPr>
      <w:r>
        <w:rPr>
          <w:sz w:val="22"/>
        </w:rPr>
        <w:t>El</w:t>
      </w:r>
      <w:r>
        <w:rPr>
          <w:spacing w:val="-6"/>
          <w:sz w:val="22"/>
        </w:rPr>
        <w:t> </w:t>
      </w:r>
      <w:r>
        <w:rPr>
          <w:sz w:val="22"/>
        </w:rPr>
        <w:t>valor</w:t>
      </w:r>
      <w:r>
        <w:rPr>
          <w:spacing w:val="-3"/>
          <w:sz w:val="22"/>
        </w:rPr>
        <w:t> </w:t>
      </w:r>
      <w:r>
        <w:rPr>
          <w:sz w:val="22"/>
        </w:rPr>
        <w:t>presente</w:t>
      </w:r>
      <w:r>
        <w:rPr>
          <w:spacing w:val="-3"/>
          <w:sz w:val="22"/>
        </w:rPr>
        <w:t> </w:t>
      </w:r>
      <w:r>
        <w:rPr>
          <w:sz w:val="22"/>
        </w:rPr>
        <w:t>de</w:t>
      </w:r>
      <w:r>
        <w:rPr>
          <w:spacing w:val="-2"/>
          <w:sz w:val="22"/>
        </w:rPr>
        <w:t> </w:t>
      </w:r>
      <w:r>
        <w:rPr>
          <w:sz w:val="22"/>
        </w:rPr>
        <w:t>los</w:t>
      </w:r>
      <w:r>
        <w:rPr>
          <w:spacing w:val="-2"/>
          <w:sz w:val="22"/>
        </w:rPr>
        <w:t> </w:t>
      </w:r>
      <w:r>
        <w:rPr>
          <w:sz w:val="22"/>
        </w:rPr>
        <w:t>pagos</w:t>
      </w:r>
      <w:r>
        <w:rPr>
          <w:spacing w:val="-5"/>
          <w:sz w:val="22"/>
        </w:rPr>
        <w:t> </w:t>
      </w:r>
      <w:r>
        <w:rPr>
          <w:sz w:val="22"/>
        </w:rPr>
        <w:t>futuros</w:t>
      </w:r>
      <w:r>
        <w:rPr>
          <w:spacing w:val="-2"/>
          <w:sz w:val="22"/>
        </w:rPr>
        <w:t> </w:t>
      </w:r>
      <w:r>
        <w:rPr>
          <w:sz w:val="22"/>
        </w:rPr>
        <w:t>para</w:t>
      </w:r>
      <w:r>
        <w:rPr>
          <w:spacing w:val="-4"/>
          <w:sz w:val="22"/>
        </w:rPr>
        <w:t> </w:t>
      </w:r>
      <w:r>
        <w:rPr>
          <w:sz w:val="22"/>
        </w:rPr>
        <w:t>cada</w:t>
      </w:r>
      <w:r>
        <w:rPr>
          <w:spacing w:val="-4"/>
          <w:sz w:val="22"/>
        </w:rPr>
        <w:t> </w:t>
      </w:r>
      <w:r>
        <w:rPr>
          <w:sz w:val="22"/>
        </w:rPr>
        <w:t>uno</w:t>
      </w:r>
      <w:r>
        <w:rPr>
          <w:spacing w:val="-3"/>
          <w:sz w:val="22"/>
        </w:rPr>
        <w:t> </w:t>
      </w:r>
      <w:r>
        <w:rPr>
          <w:sz w:val="22"/>
        </w:rPr>
        <w:t>de</w:t>
      </w:r>
      <w:r>
        <w:rPr>
          <w:spacing w:val="-4"/>
          <w:sz w:val="22"/>
        </w:rPr>
        <w:t> </w:t>
      </w:r>
      <w:r>
        <w:rPr>
          <w:sz w:val="22"/>
        </w:rPr>
        <w:t>los</w:t>
      </w:r>
      <w:r>
        <w:rPr>
          <w:spacing w:val="-5"/>
          <w:sz w:val="22"/>
        </w:rPr>
        <w:t> </w:t>
      </w:r>
      <w:r>
        <w:rPr>
          <w:sz w:val="22"/>
        </w:rPr>
        <w:t>siguientes</w:t>
      </w:r>
      <w:r>
        <w:rPr>
          <w:spacing w:val="-2"/>
          <w:sz w:val="22"/>
        </w:rPr>
        <w:t> plazos:</w:t>
      </w:r>
    </w:p>
    <w:p>
      <w:pPr>
        <w:pStyle w:val="ListParagraph"/>
        <w:numPr>
          <w:ilvl w:val="1"/>
          <w:numId w:val="43"/>
        </w:numPr>
        <w:tabs>
          <w:tab w:pos="2782" w:val="left" w:leader="none"/>
        </w:tabs>
        <w:spacing w:line="240" w:lineRule="auto" w:before="126" w:after="0"/>
        <w:ind w:left="2782" w:right="0" w:hanging="360"/>
        <w:jc w:val="left"/>
        <w:rPr>
          <w:sz w:val="22"/>
        </w:rPr>
      </w:pPr>
      <w:r>
        <w:rPr>
          <w:sz w:val="22"/>
        </w:rPr>
        <w:t>Hasta un</w:t>
      </w:r>
      <w:r>
        <w:rPr>
          <w:spacing w:val="-3"/>
          <w:sz w:val="22"/>
        </w:rPr>
        <w:t> </w:t>
      </w:r>
      <w:r>
        <w:rPr>
          <w:spacing w:val="-5"/>
          <w:sz w:val="22"/>
        </w:rPr>
        <w:t>año</w:t>
      </w:r>
    </w:p>
    <w:p>
      <w:pPr>
        <w:pStyle w:val="ListParagraph"/>
        <w:numPr>
          <w:ilvl w:val="1"/>
          <w:numId w:val="43"/>
        </w:numPr>
        <w:tabs>
          <w:tab w:pos="2781" w:val="left" w:leader="none"/>
        </w:tabs>
        <w:spacing w:line="240" w:lineRule="auto" w:before="124" w:after="0"/>
        <w:ind w:left="2781" w:right="0" w:hanging="359"/>
        <w:jc w:val="left"/>
        <w:rPr>
          <w:sz w:val="22"/>
        </w:rPr>
      </w:pPr>
      <w:r>
        <w:rPr>
          <w:sz w:val="22"/>
        </w:rPr>
        <w:t>Entre</w:t>
      </w:r>
      <w:r>
        <w:rPr>
          <w:spacing w:val="-4"/>
          <w:sz w:val="22"/>
        </w:rPr>
        <w:t> </w:t>
      </w:r>
      <w:r>
        <w:rPr>
          <w:sz w:val="22"/>
        </w:rPr>
        <w:t>uno</w:t>
      </w:r>
      <w:r>
        <w:rPr>
          <w:spacing w:val="-2"/>
          <w:sz w:val="22"/>
        </w:rPr>
        <w:t> </w:t>
      </w:r>
      <w:r>
        <w:rPr>
          <w:sz w:val="22"/>
        </w:rPr>
        <w:t>y</w:t>
      </w:r>
      <w:r>
        <w:rPr>
          <w:spacing w:val="-3"/>
          <w:sz w:val="22"/>
        </w:rPr>
        <w:t> </w:t>
      </w:r>
      <w:r>
        <w:rPr>
          <w:sz w:val="22"/>
        </w:rPr>
        <w:t>cinco</w:t>
      </w:r>
      <w:r>
        <w:rPr>
          <w:spacing w:val="-2"/>
          <w:sz w:val="22"/>
        </w:rPr>
        <w:t> </w:t>
      </w:r>
      <w:r>
        <w:rPr>
          <w:sz w:val="22"/>
        </w:rPr>
        <w:t>años,</w:t>
      </w:r>
      <w:r>
        <w:rPr>
          <w:spacing w:val="-2"/>
          <w:sz w:val="22"/>
        </w:rPr>
        <w:t> </w:t>
      </w:r>
      <w:r>
        <w:rPr>
          <w:spacing w:val="-10"/>
          <w:sz w:val="22"/>
        </w:rPr>
        <w:t>y</w:t>
      </w:r>
    </w:p>
    <w:p>
      <w:pPr>
        <w:pStyle w:val="ListParagraph"/>
        <w:numPr>
          <w:ilvl w:val="1"/>
          <w:numId w:val="43"/>
        </w:numPr>
        <w:tabs>
          <w:tab w:pos="2782" w:val="left" w:leader="none"/>
        </w:tabs>
        <w:spacing w:line="240" w:lineRule="auto" w:before="126" w:after="0"/>
        <w:ind w:left="2782" w:right="0" w:hanging="360"/>
        <w:jc w:val="left"/>
        <w:rPr>
          <w:sz w:val="22"/>
        </w:rPr>
      </w:pPr>
      <w:r>
        <w:rPr>
          <w:sz w:val="22"/>
        </w:rPr>
        <w:t>Más</w:t>
      </w:r>
      <w:r>
        <w:rPr>
          <w:spacing w:val="-3"/>
          <w:sz w:val="22"/>
        </w:rPr>
        <w:t> </w:t>
      </w:r>
      <w:r>
        <w:rPr>
          <w:sz w:val="22"/>
        </w:rPr>
        <w:t>de</w:t>
      </w:r>
      <w:r>
        <w:rPr>
          <w:spacing w:val="-3"/>
          <w:sz w:val="22"/>
        </w:rPr>
        <w:t> </w:t>
      </w:r>
      <w:r>
        <w:rPr>
          <w:sz w:val="22"/>
        </w:rPr>
        <w:t>cinco</w:t>
      </w:r>
      <w:r>
        <w:rPr>
          <w:spacing w:val="-1"/>
          <w:sz w:val="22"/>
        </w:rPr>
        <w:t> </w:t>
      </w:r>
      <w:r>
        <w:rPr>
          <w:spacing w:val="-4"/>
          <w:sz w:val="22"/>
        </w:rPr>
        <w:t>años.</w:t>
      </w:r>
    </w:p>
    <w:p>
      <w:pPr>
        <w:pStyle w:val="ListParagraph"/>
        <w:numPr>
          <w:ilvl w:val="0"/>
          <w:numId w:val="43"/>
        </w:numPr>
        <w:tabs>
          <w:tab w:pos="2061" w:val="left" w:leader="none"/>
        </w:tabs>
        <w:spacing w:line="240" w:lineRule="auto" w:before="125" w:after="0"/>
        <w:ind w:left="2061" w:right="0" w:hanging="359"/>
        <w:jc w:val="left"/>
        <w:rPr>
          <w:sz w:val="22"/>
        </w:rPr>
      </w:pPr>
      <w:r>
        <w:rPr>
          <w:sz w:val="22"/>
        </w:rPr>
        <w:t>Cuotas</w:t>
      </w:r>
      <w:r>
        <w:rPr>
          <w:spacing w:val="-6"/>
          <w:sz w:val="22"/>
        </w:rPr>
        <w:t> </w:t>
      </w:r>
      <w:r>
        <w:rPr>
          <w:sz w:val="22"/>
        </w:rPr>
        <w:t>contingentes</w:t>
      </w:r>
      <w:r>
        <w:rPr>
          <w:spacing w:val="-5"/>
          <w:sz w:val="22"/>
        </w:rPr>
        <w:t> </w:t>
      </w:r>
      <w:r>
        <w:rPr>
          <w:sz w:val="22"/>
        </w:rPr>
        <w:t>reconocidas</w:t>
      </w:r>
      <w:r>
        <w:rPr>
          <w:spacing w:val="-5"/>
          <w:sz w:val="22"/>
        </w:rPr>
        <w:t> </w:t>
      </w:r>
      <w:r>
        <w:rPr>
          <w:sz w:val="22"/>
        </w:rPr>
        <w:t>como</w:t>
      </w:r>
      <w:r>
        <w:rPr>
          <w:spacing w:val="-5"/>
          <w:sz w:val="22"/>
        </w:rPr>
        <w:t> </w:t>
      </w:r>
      <w:r>
        <w:rPr>
          <w:spacing w:val="-2"/>
          <w:sz w:val="22"/>
        </w:rPr>
        <w:t>gastos</w:t>
      </w:r>
    </w:p>
    <w:p>
      <w:pPr>
        <w:pStyle w:val="ListParagraph"/>
        <w:numPr>
          <w:ilvl w:val="0"/>
          <w:numId w:val="43"/>
        </w:numPr>
        <w:tabs>
          <w:tab w:pos="2062" w:val="left" w:leader="none"/>
        </w:tabs>
        <w:spacing w:line="360" w:lineRule="auto" w:before="127" w:after="0"/>
        <w:ind w:left="2062" w:right="980" w:hanging="360"/>
        <w:jc w:val="left"/>
        <w:rPr>
          <w:sz w:val="22"/>
        </w:rPr>
      </w:pPr>
      <w:r>
        <w:rPr>
          <w:sz w:val="22"/>
        </w:rPr>
        <w:t>Total, de pagos futuros mínimos por subarrendamiento que se esperan recibir, en la fecha de presentación por los subarrendamientos no cancelables.</w:t>
      </w:r>
    </w:p>
    <w:p>
      <w:pPr>
        <w:pStyle w:val="ListParagraph"/>
        <w:numPr>
          <w:ilvl w:val="0"/>
          <w:numId w:val="43"/>
        </w:numPr>
        <w:tabs>
          <w:tab w:pos="2062" w:val="left" w:leader="none"/>
        </w:tabs>
        <w:spacing w:line="357" w:lineRule="auto" w:before="0" w:after="0"/>
        <w:ind w:left="2062" w:right="978" w:hanging="360"/>
        <w:jc w:val="left"/>
        <w:rPr>
          <w:sz w:val="22"/>
        </w:rPr>
      </w:pPr>
      <w:r>
        <w:rPr>
          <w:sz w:val="22"/>
        </w:rPr>
        <w:t>Una</w:t>
      </w:r>
      <w:r>
        <w:rPr>
          <w:spacing w:val="-10"/>
          <w:sz w:val="22"/>
        </w:rPr>
        <w:t> </w:t>
      </w:r>
      <w:r>
        <w:rPr>
          <w:sz w:val="22"/>
        </w:rPr>
        <w:t>descripción</w:t>
      </w:r>
      <w:r>
        <w:rPr>
          <w:spacing w:val="-9"/>
          <w:sz w:val="22"/>
        </w:rPr>
        <w:t> </w:t>
      </w:r>
      <w:r>
        <w:rPr>
          <w:sz w:val="22"/>
        </w:rPr>
        <w:t>general</w:t>
      </w:r>
      <w:r>
        <w:rPr>
          <w:spacing w:val="-10"/>
          <w:sz w:val="22"/>
        </w:rPr>
        <w:t> </w:t>
      </w:r>
      <w:r>
        <w:rPr>
          <w:sz w:val="22"/>
        </w:rPr>
        <w:t>de</w:t>
      </w:r>
      <w:r>
        <w:rPr>
          <w:spacing w:val="-11"/>
          <w:sz w:val="22"/>
        </w:rPr>
        <w:t> </w:t>
      </w:r>
      <w:r>
        <w:rPr>
          <w:sz w:val="22"/>
        </w:rPr>
        <w:t>los</w:t>
      </w:r>
      <w:r>
        <w:rPr>
          <w:spacing w:val="-8"/>
          <w:sz w:val="22"/>
        </w:rPr>
        <w:t> </w:t>
      </w:r>
      <w:r>
        <w:rPr>
          <w:sz w:val="22"/>
        </w:rPr>
        <w:t>acuerdos</w:t>
      </w:r>
      <w:r>
        <w:rPr>
          <w:spacing w:val="-8"/>
          <w:sz w:val="22"/>
        </w:rPr>
        <w:t> </w:t>
      </w:r>
      <w:r>
        <w:rPr>
          <w:sz w:val="22"/>
        </w:rPr>
        <w:t>de</w:t>
      </w:r>
      <w:r>
        <w:rPr>
          <w:spacing w:val="-9"/>
          <w:sz w:val="22"/>
        </w:rPr>
        <w:t> </w:t>
      </w:r>
      <w:r>
        <w:rPr>
          <w:sz w:val="22"/>
        </w:rPr>
        <w:t>arrendamientos</w:t>
      </w:r>
      <w:r>
        <w:rPr>
          <w:spacing w:val="-8"/>
          <w:sz w:val="22"/>
        </w:rPr>
        <w:t> </w:t>
      </w:r>
      <w:r>
        <w:rPr>
          <w:sz w:val="22"/>
        </w:rPr>
        <w:t>significativos</w:t>
      </w:r>
      <w:r>
        <w:rPr>
          <w:spacing w:val="-8"/>
          <w:sz w:val="22"/>
        </w:rPr>
        <w:t> </w:t>
      </w:r>
      <w:r>
        <w:rPr>
          <w:sz w:val="22"/>
        </w:rPr>
        <w:t>del</w:t>
      </w:r>
      <w:r>
        <w:rPr>
          <w:spacing w:val="-10"/>
          <w:sz w:val="22"/>
        </w:rPr>
        <w:t> </w:t>
      </w:r>
      <w:r>
        <w:rPr>
          <w:sz w:val="22"/>
        </w:rPr>
        <w:t>arrenda-</w:t>
      </w:r>
      <w:r>
        <w:rPr>
          <w:spacing w:val="-2"/>
          <w:sz w:val="22"/>
        </w:rPr>
        <w:t>tario.</w:t>
      </w:r>
    </w:p>
    <w:p>
      <w:pPr>
        <w:pStyle w:val="ListParagraph"/>
        <w:numPr>
          <w:ilvl w:val="0"/>
          <w:numId w:val="43"/>
        </w:numPr>
        <w:tabs>
          <w:tab w:pos="2061" w:val="left" w:leader="none"/>
        </w:tabs>
        <w:spacing w:line="240" w:lineRule="auto" w:before="4" w:after="0"/>
        <w:ind w:left="2061" w:right="0" w:hanging="359"/>
        <w:jc w:val="left"/>
        <w:rPr>
          <w:sz w:val="22"/>
        </w:rPr>
      </w:pPr>
      <w:r>
        <w:rPr>
          <w:sz w:val="22"/>
        </w:rPr>
        <w:t>Otra</w:t>
      </w:r>
      <w:r>
        <w:rPr>
          <w:spacing w:val="-6"/>
          <w:sz w:val="22"/>
        </w:rPr>
        <w:t> </w:t>
      </w:r>
      <w:r>
        <w:rPr>
          <w:sz w:val="22"/>
        </w:rPr>
        <w:t>información</w:t>
      </w:r>
      <w:r>
        <w:rPr>
          <w:spacing w:val="-3"/>
          <w:sz w:val="22"/>
        </w:rPr>
        <w:t> </w:t>
      </w:r>
      <w:r>
        <w:rPr>
          <w:sz w:val="22"/>
        </w:rPr>
        <w:t>por</w:t>
      </w:r>
      <w:r>
        <w:rPr>
          <w:spacing w:val="-3"/>
          <w:sz w:val="22"/>
        </w:rPr>
        <w:t> </w:t>
      </w:r>
      <w:r>
        <w:rPr>
          <w:sz w:val="22"/>
        </w:rPr>
        <w:t>revelar</w:t>
      </w:r>
      <w:r>
        <w:rPr>
          <w:spacing w:val="-3"/>
          <w:sz w:val="22"/>
        </w:rPr>
        <w:t> </w:t>
      </w:r>
      <w:r>
        <w:rPr>
          <w:sz w:val="22"/>
        </w:rPr>
        <w:t>de</w:t>
      </w:r>
      <w:r>
        <w:rPr>
          <w:spacing w:val="-4"/>
          <w:sz w:val="22"/>
        </w:rPr>
        <w:t> </w:t>
      </w:r>
      <w:r>
        <w:rPr>
          <w:sz w:val="22"/>
        </w:rPr>
        <w:t>acuerdo</w:t>
      </w:r>
      <w:r>
        <w:rPr>
          <w:spacing w:val="-3"/>
          <w:sz w:val="22"/>
        </w:rPr>
        <w:t> </w:t>
      </w:r>
      <w:r>
        <w:rPr>
          <w:sz w:val="22"/>
        </w:rPr>
        <w:t>con</w:t>
      </w:r>
      <w:r>
        <w:rPr>
          <w:spacing w:val="-5"/>
          <w:sz w:val="22"/>
        </w:rPr>
        <w:t> </w:t>
      </w:r>
      <w:r>
        <w:rPr>
          <w:sz w:val="22"/>
        </w:rPr>
        <w:t>el</w:t>
      </w:r>
      <w:r>
        <w:rPr>
          <w:spacing w:val="-3"/>
          <w:sz w:val="22"/>
        </w:rPr>
        <w:t> </w:t>
      </w:r>
      <w:r>
        <w:rPr>
          <w:sz w:val="22"/>
        </w:rPr>
        <w:t>párrafo</w:t>
      </w:r>
      <w:r>
        <w:rPr>
          <w:spacing w:val="-5"/>
          <w:sz w:val="22"/>
        </w:rPr>
        <w:t> 41.</w:t>
      </w:r>
    </w:p>
    <w:p>
      <w:pPr>
        <w:pStyle w:val="BodyText"/>
        <w:rPr>
          <w:sz w:val="20"/>
        </w:rPr>
      </w:pPr>
    </w:p>
    <w:p>
      <w:pPr>
        <w:pStyle w:val="BodyText"/>
        <w:spacing w:before="21"/>
        <w:rPr>
          <w:sz w:val="20"/>
        </w:rPr>
      </w:pPr>
      <w:r>
        <w:rPr>
          <w:sz w:val="20"/>
        </w:rPr>
        <mc:AlternateContent>
          <mc:Choice Requires="wps">
            <w:drawing>
              <wp:anchor distT="0" distB="0" distL="0" distR="0" allowOverlap="1" layoutInCell="1" locked="0" behindDoc="1" simplePos="0" relativeHeight="487695360">
                <wp:simplePos x="0" y="0"/>
                <wp:positionH relativeFrom="page">
                  <wp:posOffset>1080820</wp:posOffset>
                </wp:positionH>
                <wp:positionV relativeFrom="paragraph">
                  <wp:posOffset>177184</wp:posOffset>
                </wp:positionV>
                <wp:extent cx="5715000" cy="828040"/>
                <wp:effectExtent l="0" t="0" r="0" b="0"/>
                <wp:wrapTopAndBottom/>
                <wp:docPr id="551" name="Textbox 551"/>
                <wp:cNvGraphicFramePr>
                  <a:graphicFrameLocks/>
                </wp:cNvGraphicFramePr>
                <a:graphic>
                  <a:graphicData uri="http://schemas.microsoft.com/office/word/2010/wordprocessingShape">
                    <wps:wsp>
                      <wps:cNvPr id="551" name="Textbox 551"/>
                      <wps:cNvSpPr txBox="1"/>
                      <wps:spPr>
                        <a:xfrm>
                          <a:off x="0" y="0"/>
                          <a:ext cx="5715000" cy="828040"/>
                        </a:xfrm>
                        <a:prstGeom prst="rect">
                          <a:avLst/>
                        </a:prstGeom>
                        <a:ln w="6095">
                          <a:solidFill>
                            <a:srgbClr val="000000"/>
                          </a:solidFill>
                          <a:prstDash val="solid"/>
                        </a:ln>
                      </wps:spPr>
                      <wps:txbx>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wps:txbx>
                      <wps:bodyPr wrap="square" lIns="0" tIns="0" rIns="0" bIns="0" rtlCol="0">
                        <a:noAutofit/>
                      </wps:bodyPr>
                    </wps:wsp>
                  </a:graphicData>
                </a:graphic>
              </wp:anchor>
            </w:drawing>
          </mc:Choice>
          <mc:Fallback>
            <w:pict>
              <v:shape style="position:absolute;margin-left:85.103996pt;margin-top:13.951532pt;width:450pt;height:65.2pt;mso-position-horizontal-relative:page;mso-position-vertical-relative:paragraph;z-index:-15621120;mso-wrap-distance-left:0;mso-wrap-distance-right:0" type="#_x0000_t202" id="docshape529" filled="false" stroked="true" strokeweight=".47998pt" strokecolor="#000000">
                <v:textbox inset="0,0,0,0">
                  <w:txbxContent>
                    <w:p>
                      <w:pPr>
                        <w:spacing w:line="412" w:lineRule="auto" w:before="0"/>
                        <w:ind w:left="103" w:right="7643" w:firstLine="0"/>
                        <w:jc w:val="left"/>
                        <w:rPr>
                          <w:sz w:val="22"/>
                        </w:rPr>
                      </w:pPr>
                      <w:r>
                        <w:rPr>
                          <w:b/>
                          <w:color w:val="1F4E79"/>
                          <w:spacing w:val="-2"/>
                          <w:sz w:val="22"/>
                          <w:u w:val="single" w:color="1F4E79"/>
                        </w:rPr>
                        <w:t>Revelación</w:t>
                      </w:r>
                      <w:r>
                        <w:rPr>
                          <w:spacing w:val="-2"/>
                          <w:sz w:val="22"/>
                          <w:u w:val="none"/>
                        </w:rPr>
                        <w:t>: </w:t>
                      </w:r>
                      <w:r>
                        <w:rPr>
                          <w:sz w:val="22"/>
                          <w:u w:val="none"/>
                        </w:rPr>
                        <w:t>No aplica.</w:t>
                      </w:r>
                    </w:p>
                  </w:txbxContent>
                </v:textbox>
                <v:stroke dashstyle="solid"/>
                <w10:wrap type="topAndBottom"/>
              </v:shape>
            </w:pict>
          </mc:Fallback>
        </mc:AlternateContent>
      </w:r>
    </w:p>
    <w:p>
      <w:pPr>
        <w:spacing w:before="46"/>
        <w:ind w:left="622" w:right="0" w:firstLine="0"/>
        <w:jc w:val="left"/>
        <w:rPr>
          <w:b/>
          <w:sz w:val="22"/>
        </w:rPr>
      </w:pPr>
      <w:bookmarkStart w:name="_bookmark93" w:id="94"/>
      <w:bookmarkEnd w:id="94"/>
      <w:r>
        <w:rPr/>
      </w:r>
      <w:r>
        <w:rPr>
          <w:b/>
          <w:sz w:val="22"/>
        </w:rPr>
        <w:t>NOTA</w:t>
      </w:r>
      <w:r>
        <w:rPr>
          <w:b/>
          <w:spacing w:val="-1"/>
          <w:sz w:val="22"/>
        </w:rPr>
        <w:t> </w:t>
      </w:r>
      <w:r>
        <w:rPr>
          <w:b/>
          <w:sz w:val="22"/>
        </w:rPr>
        <w:t>N° </w:t>
      </w:r>
      <w:r>
        <w:rPr>
          <w:b/>
          <w:spacing w:val="-5"/>
          <w:sz w:val="22"/>
        </w:rPr>
        <w:t>49</w:t>
      </w:r>
    </w:p>
    <w:p>
      <w:pPr>
        <w:pStyle w:val="BodyText"/>
        <w:spacing w:before="112"/>
        <w:rPr>
          <w:b/>
        </w:rPr>
      </w:pPr>
    </w:p>
    <w:p>
      <w:pPr>
        <w:pStyle w:val="Heading6"/>
        <w:ind w:left="622"/>
      </w:pPr>
      <w:r>
        <w:rPr/>
        <w:t>Otros</w:t>
      </w:r>
      <w:r>
        <w:rPr>
          <w:spacing w:val="-2"/>
        </w:rPr>
        <w:t> </w:t>
      </w:r>
      <w:r>
        <w:rPr/>
        <w:t>ingresos</w:t>
      </w:r>
      <w:r>
        <w:rPr>
          <w:spacing w:val="-1"/>
        </w:rPr>
        <w:t> </w:t>
      </w:r>
      <w:r>
        <w:rPr/>
        <w:t>de</w:t>
      </w:r>
      <w:r>
        <w:rPr>
          <w:spacing w:val="-2"/>
        </w:rPr>
        <w:t> </w:t>
      </w:r>
      <w:r>
        <w:rPr/>
        <w:t>la</w:t>
      </w:r>
      <w:r>
        <w:rPr>
          <w:spacing w:val="-3"/>
        </w:rPr>
        <w:t> </w:t>
      </w:r>
      <w:r>
        <w:rPr>
          <w:spacing w:val="-2"/>
        </w:rPr>
        <w:t>propiedad</w:t>
      </w:r>
    </w:p>
    <w:p>
      <w:pPr>
        <w:pStyle w:val="BodyText"/>
        <w:spacing w:before="10"/>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2103"/>
        <w:gridCol w:w="874"/>
        <w:gridCol w:w="1843"/>
        <w:gridCol w:w="1894"/>
        <w:gridCol w:w="1198"/>
      </w:tblGrid>
      <w:tr>
        <w:trPr>
          <w:trHeight w:val="323" w:hRule="atLeast"/>
        </w:trPr>
        <w:tc>
          <w:tcPr>
            <w:tcW w:w="1126" w:type="dxa"/>
            <w:vMerge w:val="restart"/>
            <w:shd w:val="clear" w:color="auto" w:fill="365F92"/>
          </w:tcPr>
          <w:p>
            <w:pPr>
              <w:pStyle w:val="TableParagraph"/>
              <w:spacing w:before="120"/>
              <w:ind w:left="69"/>
              <w:rPr>
                <w:b/>
                <w:sz w:val="22"/>
              </w:rPr>
            </w:pPr>
            <w:r>
              <w:rPr>
                <w:b/>
                <w:spacing w:val="-2"/>
                <w:sz w:val="22"/>
              </w:rPr>
              <w:t>Cuenta</w:t>
            </w:r>
          </w:p>
        </w:tc>
        <w:tc>
          <w:tcPr>
            <w:tcW w:w="2103" w:type="dxa"/>
            <w:vMerge w:val="restart"/>
            <w:shd w:val="clear" w:color="auto" w:fill="365F92"/>
          </w:tcPr>
          <w:p>
            <w:pPr>
              <w:pStyle w:val="TableParagraph"/>
              <w:spacing w:before="209"/>
              <w:ind w:left="518"/>
              <w:rPr>
                <w:b/>
                <w:sz w:val="22"/>
              </w:rPr>
            </w:pPr>
            <w:r>
              <w:rPr>
                <w:b/>
                <w:spacing w:val="-2"/>
                <w:sz w:val="22"/>
              </w:rPr>
              <w:t>Descripción</w:t>
            </w:r>
          </w:p>
        </w:tc>
        <w:tc>
          <w:tcPr>
            <w:tcW w:w="874" w:type="dxa"/>
            <w:vMerge w:val="restart"/>
            <w:shd w:val="clear" w:color="auto" w:fill="365F92"/>
          </w:tcPr>
          <w:p>
            <w:pPr>
              <w:pStyle w:val="TableParagraph"/>
              <w:spacing w:before="209"/>
              <w:ind w:left="219"/>
              <w:rPr>
                <w:b/>
                <w:sz w:val="22"/>
              </w:rPr>
            </w:pPr>
            <w:r>
              <w:rPr>
                <w:b/>
                <w:spacing w:val="-4"/>
                <w:sz w:val="22"/>
              </w:rPr>
              <w:t>Nota</w:t>
            </w:r>
          </w:p>
        </w:tc>
        <w:tc>
          <w:tcPr>
            <w:tcW w:w="1843" w:type="dxa"/>
            <w:vMerge w:val="restart"/>
            <w:shd w:val="clear" w:color="auto" w:fill="365F92"/>
          </w:tcPr>
          <w:p>
            <w:pPr>
              <w:pStyle w:val="TableParagraph"/>
              <w:spacing w:before="209"/>
              <w:ind w:left="289"/>
              <w:rPr>
                <w:b/>
                <w:sz w:val="22"/>
              </w:rPr>
            </w:pPr>
            <w:r>
              <w:rPr>
                <w:b/>
                <w:sz w:val="22"/>
              </w:rPr>
              <w:t>Periodo</w:t>
            </w:r>
            <w:r>
              <w:rPr>
                <w:b/>
                <w:spacing w:val="-4"/>
                <w:sz w:val="22"/>
              </w:rPr>
              <w:t> </w:t>
            </w:r>
            <w:r>
              <w:rPr>
                <w:b/>
                <w:spacing w:val="-2"/>
                <w:sz w:val="22"/>
              </w:rPr>
              <w:t>Actual</w:t>
            </w:r>
          </w:p>
        </w:tc>
        <w:tc>
          <w:tcPr>
            <w:tcW w:w="1894" w:type="dxa"/>
            <w:vMerge w:val="restart"/>
            <w:shd w:val="clear" w:color="auto" w:fill="365F92"/>
          </w:tcPr>
          <w:p>
            <w:pPr>
              <w:pStyle w:val="TableParagraph"/>
              <w:spacing w:before="209"/>
              <w:ind w:left="220"/>
              <w:rPr>
                <w:b/>
                <w:sz w:val="22"/>
              </w:rPr>
            </w:pPr>
            <w:r>
              <w:rPr>
                <w:b/>
                <w:sz w:val="22"/>
              </w:rPr>
              <w:t>Periodo</w:t>
            </w:r>
            <w:r>
              <w:rPr>
                <w:b/>
                <w:spacing w:val="-4"/>
                <w:sz w:val="22"/>
              </w:rPr>
              <w:t> </w:t>
            </w:r>
            <w:r>
              <w:rPr>
                <w:b/>
                <w:spacing w:val="-2"/>
                <w:sz w:val="22"/>
              </w:rPr>
              <w:t>Anterior</w:t>
            </w:r>
          </w:p>
        </w:tc>
        <w:tc>
          <w:tcPr>
            <w:tcW w:w="1198" w:type="dxa"/>
            <w:shd w:val="clear" w:color="auto" w:fill="365F92"/>
          </w:tcPr>
          <w:p>
            <w:pPr>
              <w:pStyle w:val="TableParagraph"/>
              <w:spacing w:before="36"/>
              <w:ind w:left="23" w:right="5"/>
              <w:jc w:val="center"/>
              <w:rPr>
                <w:b/>
                <w:sz w:val="22"/>
              </w:rPr>
            </w:pPr>
            <w:r>
              <w:rPr>
                <w:b/>
                <w:spacing w:val="-2"/>
                <w:sz w:val="22"/>
              </w:rPr>
              <w:t>Diferencia</w:t>
            </w:r>
          </w:p>
        </w:tc>
      </w:tr>
      <w:tr>
        <w:trPr>
          <w:trHeight w:val="323" w:hRule="atLeast"/>
        </w:trPr>
        <w:tc>
          <w:tcPr>
            <w:tcW w:w="1126" w:type="dxa"/>
            <w:vMerge/>
            <w:tcBorders>
              <w:top w:val="nil"/>
            </w:tcBorders>
            <w:shd w:val="clear" w:color="auto" w:fill="365F92"/>
          </w:tcPr>
          <w:p>
            <w:pPr>
              <w:rPr>
                <w:sz w:val="2"/>
                <w:szCs w:val="2"/>
              </w:rPr>
            </w:pPr>
          </w:p>
        </w:tc>
        <w:tc>
          <w:tcPr>
            <w:tcW w:w="2103" w:type="dxa"/>
            <w:vMerge/>
            <w:tcBorders>
              <w:top w:val="nil"/>
            </w:tcBorders>
            <w:shd w:val="clear" w:color="auto" w:fill="365F92"/>
          </w:tcPr>
          <w:p>
            <w:pPr>
              <w:rPr>
                <w:sz w:val="2"/>
                <w:szCs w:val="2"/>
              </w:rPr>
            </w:pPr>
          </w:p>
        </w:tc>
        <w:tc>
          <w:tcPr>
            <w:tcW w:w="874" w:type="dxa"/>
            <w:vMerge/>
            <w:tcBorders>
              <w:top w:val="nil"/>
            </w:tcBorders>
            <w:shd w:val="clear" w:color="auto" w:fill="365F92"/>
          </w:tcPr>
          <w:p>
            <w:pPr>
              <w:rPr>
                <w:sz w:val="2"/>
                <w:szCs w:val="2"/>
              </w:rPr>
            </w:pPr>
          </w:p>
        </w:tc>
        <w:tc>
          <w:tcPr>
            <w:tcW w:w="1843" w:type="dxa"/>
            <w:vMerge/>
            <w:tcBorders>
              <w:top w:val="nil"/>
            </w:tcBorders>
            <w:shd w:val="clear" w:color="auto" w:fill="365F92"/>
          </w:tcPr>
          <w:p>
            <w:pPr>
              <w:rPr>
                <w:sz w:val="2"/>
                <w:szCs w:val="2"/>
              </w:rPr>
            </w:pPr>
          </w:p>
        </w:tc>
        <w:tc>
          <w:tcPr>
            <w:tcW w:w="1894"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6"/>
              <w:jc w:val="center"/>
              <w:rPr>
                <w:b/>
                <w:sz w:val="22"/>
              </w:rPr>
            </w:pPr>
            <w:r>
              <w:rPr>
                <w:b/>
                <w:spacing w:val="-10"/>
                <w:sz w:val="22"/>
              </w:rPr>
              <w:t>%</w:t>
            </w:r>
          </w:p>
        </w:tc>
      </w:tr>
      <w:tr>
        <w:trPr>
          <w:trHeight w:val="457" w:hRule="atLeast"/>
        </w:trPr>
        <w:tc>
          <w:tcPr>
            <w:tcW w:w="1126" w:type="dxa"/>
          </w:tcPr>
          <w:p>
            <w:pPr>
              <w:pStyle w:val="TableParagraph"/>
              <w:spacing w:before="113"/>
              <w:ind w:left="69"/>
              <w:rPr>
                <w:b/>
                <w:sz w:val="20"/>
              </w:rPr>
            </w:pPr>
            <w:r>
              <w:rPr>
                <w:b/>
                <w:spacing w:val="-2"/>
                <w:sz w:val="20"/>
              </w:rPr>
              <w:t>4.5.9.</w:t>
            </w:r>
          </w:p>
        </w:tc>
        <w:tc>
          <w:tcPr>
            <w:tcW w:w="2103" w:type="dxa"/>
          </w:tcPr>
          <w:p>
            <w:pPr>
              <w:pStyle w:val="TableParagraph"/>
              <w:spacing w:line="228" w:lineRule="exact" w:before="1"/>
              <w:ind w:left="66"/>
              <w:rPr>
                <w:b/>
                <w:sz w:val="20"/>
              </w:rPr>
            </w:pPr>
            <w:r>
              <w:rPr>
                <w:b/>
                <w:sz w:val="20"/>
              </w:rPr>
              <w:t>Otros</w:t>
            </w:r>
            <w:r>
              <w:rPr>
                <w:b/>
                <w:spacing w:val="-4"/>
                <w:sz w:val="20"/>
              </w:rPr>
              <w:t> </w:t>
            </w:r>
            <w:r>
              <w:rPr>
                <w:b/>
                <w:sz w:val="20"/>
              </w:rPr>
              <w:t>ingresos</w:t>
            </w:r>
            <w:r>
              <w:rPr>
                <w:b/>
                <w:spacing w:val="-4"/>
                <w:sz w:val="20"/>
              </w:rPr>
              <w:t> </w:t>
            </w:r>
            <w:r>
              <w:rPr>
                <w:b/>
                <w:sz w:val="20"/>
              </w:rPr>
              <w:t>de</w:t>
            </w:r>
            <w:r>
              <w:rPr>
                <w:b/>
                <w:spacing w:val="-3"/>
                <w:sz w:val="20"/>
              </w:rPr>
              <w:t> </w:t>
            </w:r>
            <w:r>
              <w:rPr>
                <w:b/>
                <w:spacing w:val="-5"/>
                <w:sz w:val="20"/>
              </w:rPr>
              <w:t>la</w:t>
            </w:r>
          </w:p>
          <w:p>
            <w:pPr>
              <w:pStyle w:val="TableParagraph"/>
              <w:spacing w:line="209" w:lineRule="exact"/>
              <w:ind w:left="66"/>
              <w:rPr>
                <w:b/>
                <w:sz w:val="20"/>
              </w:rPr>
            </w:pPr>
            <w:r>
              <w:rPr>
                <w:b/>
                <w:spacing w:val="-2"/>
                <w:sz w:val="20"/>
              </w:rPr>
              <w:t>propiedad</w:t>
            </w:r>
          </w:p>
        </w:tc>
        <w:tc>
          <w:tcPr>
            <w:tcW w:w="874" w:type="dxa"/>
          </w:tcPr>
          <w:p>
            <w:pPr>
              <w:pStyle w:val="TableParagraph"/>
              <w:spacing w:before="113"/>
              <w:ind w:left="17"/>
              <w:jc w:val="center"/>
              <w:rPr>
                <w:b/>
                <w:sz w:val="20"/>
              </w:rPr>
            </w:pPr>
            <w:r>
              <w:rPr>
                <w:b/>
                <w:spacing w:val="-5"/>
                <w:sz w:val="20"/>
              </w:rPr>
              <w:t>49</w:t>
            </w:r>
          </w:p>
        </w:tc>
        <w:tc>
          <w:tcPr>
            <w:tcW w:w="1843" w:type="dxa"/>
          </w:tcPr>
          <w:p>
            <w:pPr>
              <w:pStyle w:val="TableParagraph"/>
              <w:spacing w:before="113"/>
              <w:ind w:left="575"/>
              <w:rPr>
                <w:b/>
                <w:sz w:val="20"/>
              </w:rPr>
            </w:pPr>
            <w:r>
              <w:rPr>
                <w:b/>
                <w:sz w:val="20"/>
              </w:rPr>
              <w:t>3</w:t>
            </w:r>
            <w:r>
              <w:rPr>
                <w:b/>
                <w:spacing w:val="-1"/>
                <w:sz w:val="20"/>
              </w:rPr>
              <w:t> </w:t>
            </w:r>
            <w:r>
              <w:rPr>
                <w:b/>
                <w:spacing w:val="-2"/>
                <w:sz w:val="20"/>
              </w:rPr>
              <w:t>736,96</w:t>
            </w:r>
          </w:p>
        </w:tc>
        <w:tc>
          <w:tcPr>
            <w:tcW w:w="1894" w:type="dxa"/>
          </w:tcPr>
          <w:p>
            <w:pPr>
              <w:pStyle w:val="TableParagraph"/>
              <w:spacing w:before="113"/>
              <w:ind w:left="22" w:right="8"/>
              <w:jc w:val="center"/>
              <w:rPr>
                <w:b/>
                <w:sz w:val="20"/>
              </w:rPr>
            </w:pPr>
            <w:r>
              <w:rPr>
                <w:b/>
                <w:spacing w:val="-2"/>
                <w:sz w:val="20"/>
              </w:rPr>
              <w:t>963,70</w:t>
            </w:r>
          </w:p>
        </w:tc>
        <w:tc>
          <w:tcPr>
            <w:tcW w:w="1198" w:type="dxa"/>
          </w:tcPr>
          <w:p>
            <w:pPr>
              <w:pStyle w:val="TableParagraph"/>
              <w:spacing w:before="113"/>
              <w:ind w:left="23" w:right="4"/>
              <w:jc w:val="center"/>
              <w:rPr>
                <w:b/>
                <w:sz w:val="20"/>
              </w:rPr>
            </w:pPr>
            <w:r>
              <w:rPr>
                <w:b/>
                <w:spacing w:val="-2"/>
                <w:sz w:val="20"/>
              </w:rPr>
              <w:t>287,77%</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3792">
                <wp:simplePos x="0" y="0"/>
                <wp:positionH relativeFrom="page">
                  <wp:posOffset>9525</wp:posOffset>
                </wp:positionH>
                <wp:positionV relativeFrom="page">
                  <wp:posOffset>297208</wp:posOffset>
                </wp:positionV>
                <wp:extent cx="7762875" cy="9748520"/>
                <wp:effectExtent l="0" t="0" r="0" b="0"/>
                <wp:wrapNone/>
                <wp:docPr id="552" name="Group 552"/>
                <wp:cNvGraphicFramePr>
                  <a:graphicFrameLocks/>
                </wp:cNvGraphicFramePr>
                <a:graphic>
                  <a:graphicData uri="http://schemas.microsoft.com/office/word/2010/wordprocessingGroup">
                    <wpg:wgp>
                      <wpg:cNvPr id="552" name="Group 552"/>
                      <wpg:cNvGrpSpPr/>
                      <wpg:grpSpPr>
                        <a:xfrm>
                          <a:off x="0" y="0"/>
                          <a:ext cx="7762875" cy="9748520"/>
                          <a:chExt cx="7762875" cy="9748520"/>
                        </a:xfrm>
                      </wpg:grpSpPr>
                      <pic:pic>
                        <pic:nvPicPr>
                          <pic:cNvPr id="553" name="Image 553"/>
                          <pic:cNvPicPr/>
                        </pic:nvPicPr>
                        <pic:blipFill>
                          <a:blip r:embed="rId5" cstate="print"/>
                          <a:stretch>
                            <a:fillRect/>
                          </a:stretch>
                        </pic:blipFill>
                        <pic:spPr>
                          <a:xfrm>
                            <a:off x="0" y="0"/>
                            <a:ext cx="7762874" cy="9748489"/>
                          </a:xfrm>
                          <a:prstGeom prst="rect">
                            <a:avLst/>
                          </a:prstGeom>
                        </pic:spPr>
                      </pic:pic>
                      <wps:wsp>
                        <wps:cNvPr id="554" name="Graphic 55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82688" id="docshapegroup530" coordorigin="15,468" coordsize="12225,15352">
                <v:shape style="position:absolute;left:15;top:468;width:12225;height:15352" type="#_x0000_t75" id="docshape531" stroked="false">
                  <v:imagedata r:id="rId5" o:title=""/>
                </v:shape>
                <v:rect style="position:absolute;left:1673;top:2028;width:8897;height:15" id="docshape53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112</w:t>
      </w:r>
    </w:p>
    <w:p>
      <w:pPr>
        <w:pStyle w:val="Heading6"/>
        <w:spacing w:before="218"/>
        <w:ind w:left="622"/>
      </w:pPr>
      <w:r>
        <w:rPr>
          <w:spacing w:val="-2"/>
        </w:rPr>
        <w:t>Revelación:</w:t>
      </w:r>
    </w:p>
    <w:p>
      <w:pPr>
        <w:pStyle w:val="BodyText"/>
        <w:spacing w:line="259" w:lineRule="auto" w:before="181"/>
        <w:ind w:left="622" w:right="976"/>
        <w:jc w:val="both"/>
      </w:pPr>
      <w:r>
        <w:rPr/>
        <w:t>La</w:t>
      </w:r>
      <w:r>
        <w:rPr>
          <w:spacing w:val="-10"/>
        </w:rPr>
        <w:t> </w:t>
      </w:r>
      <w:r>
        <w:rPr/>
        <w:t>cuenta</w:t>
      </w:r>
      <w:r>
        <w:rPr>
          <w:spacing w:val="-12"/>
        </w:rPr>
        <w:t> </w:t>
      </w:r>
      <w:r>
        <w:rPr/>
        <w:t>Otros</w:t>
      </w:r>
      <w:r>
        <w:rPr>
          <w:spacing w:val="-11"/>
        </w:rPr>
        <w:t> </w:t>
      </w:r>
      <w:r>
        <w:rPr/>
        <w:t>ingresos</w:t>
      </w:r>
      <w:r>
        <w:rPr>
          <w:spacing w:val="-9"/>
        </w:rPr>
        <w:t> </w:t>
      </w:r>
      <w:r>
        <w:rPr/>
        <w:t>de</w:t>
      </w:r>
      <w:r>
        <w:rPr>
          <w:spacing w:val="-11"/>
        </w:rPr>
        <w:t> </w:t>
      </w:r>
      <w:r>
        <w:rPr/>
        <w:t>la</w:t>
      </w:r>
      <w:r>
        <w:rPr>
          <w:spacing w:val="-11"/>
        </w:rPr>
        <w:t> </w:t>
      </w:r>
      <w:r>
        <w:rPr/>
        <w:t>propiedad,</w:t>
      </w:r>
      <w:r>
        <w:rPr>
          <w:spacing w:val="-12"/>
        </w:rPr>
        <w:t> </w:t>
      </w:r>
      <w:r>
        <w:rPr/>
        <w:t>representa</w:t>
      </w:r>
      <w:r>
        <w:rPr>
          <w:spacing w:val="-12"/>
        </w:rPr>
        <w:t> </w:t>
      </w:r>
      <w:r>
        <w:rPr/>
        <w:t>el</w:t>
      </w:r>
      <w:r>
        <w:rPr>
          <w:spacing w:val="-13"/>
        </w:rPr>
        <w:t> </w:t>
      </w:r>
      <w:r>
        <w:rPr/>
        <w:t>0,0026%</w:t>
      </w:r>
      <w:r>
        <w:rPr>
          <w:spacing w:val="-10"/>
        </w:rPr>
        <w:t> </w:t>
      </w:r>
      <w:r>
        <w:rPr/>
        <w:t>del</w:t>
      </w:r>
      <w:r>
        <w:rPr>
          <w:spacing w:val="-13"/>
        </w:rPr>
        <w:t> </w:t>
      </w:r>
      <w:r>
        <w:rPr/>
        <w:t>total</w:t>
      </w:r>
      <w:r>
        <w:rPr>
          <w:spacing w:val="-11"/>
        </w:rPr>
        <w:t> </w:t>
      </w:r>
      <w:r>
        <w:rPr/>
        <w:t>del</w:t>
      </w:r>
      <w:r>
        <w:rPr>
          <w:spacing w:val="-13"/>
        </w:rPr>
        <w:t> </w:t>
      </w:r>
      <w:r>
        <w:rPr/>
        <w:t>Ingresos,</w:t>
      </w:r>
      <w:r>
        <w:rPr>
          <w:spacing w:val="-12"/>
        </w:rPr>
        <w:t> </w:t>
      </w:r>
      <w:r>
        <w:rPr/>
        <w:t>que</w:t>
      </w:r>
      <w:r>
        <w:rPr>
          <w:spacing w:val="-8"/>
        </w:rPr>
        <w:t> </w:t>
      </w:r>
      <w:r>
        <w:rPr/>
        <w:t>comparado al periodo anterior genera una variación absoluta de ¢2.773,26 que corresponde a un aumento del 287,77% de recursos disponibles. Producto del registro contable por devengo de los intereses sobre documentos por cobrar por deudas de terceros con el IMAS.</w:t>
      </w:r>
    </w:p>
    <w:p>
      <w:pPr>
        <w:pStyle w:val="BodyText"/>
        <w:rPr>
          <w:sz w:val="20"/>
        </w:rPr>
      </w:pPr>
    </w:p>
    <w:p>
      <w:pPr>
        <w:pStyle w:val="BodyText"/>
        <w:spacing w:before="107"/>
        <w:rPr>
          <w:sz w:val="20"/>
        </w:rPr>
      </w:pPr>
      <w:r>
        <w:rPr>
          <w:sz w:val="20"/>
        </w:rPr>
        <mc:AlternateContent>
          <mc:Choice Requires="wps">
            <w:drawing>
              <wp:anchor distT="0" distB="0" distL="0" distR="0" allowOverlap="1" layoutInCell="1" locked="0" behindDoc="1" simplePos="0" relativeHeight="487696384">
                <wp:simplePos x="0" y="0"/>
                <wp:positionH relativeFrom="page">
                  <wp:posOffset>1080820</wp:posOffset>
                </wp:positionH>
                <wp:positionV relativeFrom="paragraph">
                  <wp:posOffset>231751</wp:posOffset>
                </wp:positionV>
                <wp:extent cx="5715000" cy="1070610"/>
                <wp:effectExtent l="0" t="0" r="0" b="0"/>
                <wp:wrapTopAndBottom/>
                <wp:docPr id="555" name="Textbox 555"/>
                <wp:cNvGraphicFramePr>
                  <a:graphicFrameLocks/>
                </wp:cNvGraphicFramePr>
                <a:graphic>
                  <a:graphicData uri="http://schemas.microsoft.com/office/word/2010/wordprocessingShape">
                    <wps:wsp>
                      <wps:cNvPr id="555" name="Textbox 555"/>
                      <wps:cNvSpPr txBox="1"/>
                      <wps:spPr>
                        <a:xfrm>
                          <a:off x="0" y="0"/>
                          <a:ext cx="5715000" cy="10706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2"/>
                              <w:ind w:left="103" w:right="98"/>
                              <w:jc w:val="both"/>
                            </w:pPr>
                            <w:r>
                              <w:rPr/>
                              <w:t>La</w:t>
                            </w:r>
                            <w:r>
                              <w:rPr>
                                <w:spacing w:val="-14"/>
                              </w:rPr>
                              <w:t> </w:t>
                            </w:r>
                            <w:r>
                              <w:rPr/>
                              <w:t>cuenta</w:t>
                            </w:r>
                            <w:r>
                              <w:rPr>
                                <w:spacing w:val="-14"/>
                              </w:rPr>
                              <w:t> </w:t>
                            </w:r>
                            <w:r>
                              <w:rPr/>
                              <w:t>Otros</w:t>
                            </w:r>
                            <w:r>
                              <w:rPr>
                                <w:spacing w:val="-14"/>
                              </w:rPr>
                              <w:t> </w:t>
                            </w:r>
                            <w:r>
                              <w:rPr/>
                              <w:t>ingresos</w:t>
                            </w:r>
                            <w:r>
                              <w:rPr>
                                <w:spacing w:val="-13"/>
                              </w:rPr>
                              <w:t> </w:t>
                            </w:r>
                            <w:r>
                              <w:rPr/>
                              <w:t>de</w:t>
                            </w:r>
                            <w:r>
                              <w:rPr>
                                <w:spacing w:val="-14"/>
                              </w:rPr>
                              <w:t> </w:t>
                            </w:r>
                            <w:r>
                              <w:rPr/>
                              <w:t>la</w:t>
                            </w:r>
                            <w:r>
                              <w:rPr>
                                <w:spacing w:val="-14"/>
                              </w:rPr>
                              <w:t> </w:t>
                            </w:r>
                            <w:r>
                              <w:rPr/>
                              <w:t>propiedad,</w:t>
                            </w:r>
                            <w:r>
                              <w:rPr>
                                <w:spacing w:val="-14"/>
                              </w:rPr>
                              <w:t> </w:t>
                            </w:r>
                            <w:r>
                              <w:rPr/>
                              <w:t>representa</w:t>
                            </w:r>
                            <w:r>
                              <w:rPr>
                                <w:spacing w:val="-13"/>
                              </w:rPr>
                              <w:t> </w:t>
                            </w:r>
                            <w:r>
                              <w:rPr/>
                              <w:t>el</w:t>
                            </w:r>
                            <w:r>
                              <w:rPr>
                                <w:spacing w:val="-14"/>
                              </w:rPr>
                              <w:t> </w:t>
                            </w:r>
                            <w:r>
                              <w:rPr/>
                              <w:t>0,0026%</w:t>
                            </w:r>
                            <w:r>
                              <w:rPr>
                                <w:spacing w:val="-14"/>
                              </w:rPr>
                              <w:t> </w:t>
                            </w:r>
                            <w:r>
                              <w:rPr/>
                              <w:t>del</w:t>
                            </w:r>
                            <w:r>
                              <w:rPr>
                                <w:spacing w:val="-14"/>
                              </w:rPr>
                              <w:t> </w:t>
                            </w:r>
                            <w:r>
                              <w:rPr/>
                              <w:t>total</w:t>
                            </w:r>
                            <w:r>
                              <w:rPr>
                                <w:spacing w:val="-13"/>
                              </w:rPr>
                              <w:t> </w:t>
                            </w:r>
                            <w:r>
                              <w:rPr/>
                              <w:t>del</w:t>
                            </w:r>
                            <w:r>
                              <w:rPr>
                                <w:spacing w:val="-14"/>
                              </w:rPr>
                              <w:t> </w:t>
                            </w:r>
                            <w:r>
                              <w:rPr/>
                              <w:t>Ingresos,</w:t>
                            </w:r>
                            <w:r>
                              <w:rPr>
                                <w:spacing w:val="-14"/>
                              </w:rPr>
                              <w:t> </w:t>
                            </w:r>
                            <w:r>
                              <w:rPr/>
                              <w:t>que</w:t>
                            </w:r>
                            <w:r>
                              <w:rPr>
                                <w:spacing w:val="-14"/>
                              </w:rPr>
                              <w:t> </w:t>
                            </w:r>
                            <w:r>
                              <w:rPr/>
                              <w:t>comparado al periodo anterior genera una variación absoluta de ¢2.773,26 que corresponde a un aumento del 287,77% de recursos disponibles, producto del registro de los intereses por documentos por cobrar de venta de bienes con garantía hipotecaria de años anteriores.</w:t>
                            </w:r>
                          </w:p>
                        </w:txbxContent>
                      </wps:txbx>
                      <wps:bodyPr wrap="square" lIns="0" tIns="0" rIns="0" bIns="0" rtlCol="0">
                        <a:noAutofit/>
                      </wps:bodyPr>
                    </wps:wsp>
                  </a:graphicData>
                </a:graphic>
              </wp:anchor>
            </w:drawing>
          </mc:Choice>
          <mc:Fallback>
            <w:pict>
              <v:shape style="position:absolute;margin-left:85.103996pt;margin-top:18.248125pt;width:450pt;height:84.3pt;mso-position-horizontal-relative:page;mso-position-vertical-relative:paragraph;z-index:-15620096;mso-wrap-distance-left:0;mso-wrap-distance-right:0" type="#_x0000_t202" id="docshape53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2"/>
                        <w:ind w:left="103" w:right="98"/>
                        <w:jc w:val="both"/>
                      </w:pPr>
                      <w:r>
                        <w:rPr/>
                        <w:t>La</w:t>
                      </w:r>
                      <w:r>
                        <w:rPr>
                          <w:spacing w:val="-14"/>
                        </w:rPr>
                        <w:t> </w:t>
                      </w:r>
                      <w:r>
                        <w:rPr/>
                        <w:t>cuenta</w:t>
                      </w:r>
                      <w:r>
                        <w:rPr>
                          <w:spacing w:val="-14"/>
                        </w:rPr>
                        <w:t> </w:t>
                      </w:r>
                      <w:r>
                        <w:rPr/>
                        <w:t>Otros</w:t>
                      </w:r>
                      <w:r>
                        <w:rPr>
                          <w:spacing w:val="-14"/>
                        </w:rPr>
                        <w:t> </w:t>
                      </w:r>
                      <w:r>
                        <w:rPr/>
                        <w:t>ingresos</w:t>
                      </w:r>
                      <w:r>
                        <w:rPr>
                          <w:spacing w:val="-13"/>
                        </w:rPr>
                        <w:t> </w:t>
                      </w:r>
                      <w:r>
                        <w:rPr/>
                        <w:t>de</w:t>
                      </w:r>
                      <w:r>
                        <w:rPr>
                          <w:spacing w:val="-14"/>
                        </w:rPr>
                        <w:t> </w:t>
                      </w:r>
                      <w:r>
                        <w:rPr/>
                        <w:t>la</w:t>
                      </w:r>
                      <w:r>
                        <w:rPr>
                          <w:spacing w:val="-14"/>
                        </w:rPr>
                        <w:t> </w:t>
                      </w:r>
                      <w:r>
                        <w:rPr/>
                        <w:t>propiedad,</w:t>
                      </w:r>
                      <w:r>
                        <w:rPr>
                          <w:spacing w:val="-14"/>
                        </w:rPr>
                        <w:t> </w:t>
                      </w:r>
                      <w:r>
                        <w:rPr/>
                        <w:t>representa</w:t>
                      </w:r>
                      <w:r>
                        <w:rPr>
                          <w:spacing w:val="-13"/>
                        </w:rPr>
                        <w:t> </w:t>
                      </w:r>
                      <w:r>
                        <w:rPr/>
                        <w:t>el</w:t>
                      </w:r>
                      <w:r>
                        <w:rPr>
                          <w:spacing w:val="-14"/>
                        </w:rPr>
                        <w:t> </w:t>
                      </w:r>
                      <w:r>
                        <w:rPr/>
                        <w:t>0,0026%</w:t>
                      </w:r>
                      <w:r>
                        <w:rPr>
                          <w:spacing w:val="-14"/>
                        </w:rPr>
                        <w:t> </w:t>
                      </w:r>
                      <w:r>
                        <w:rPr/>
                        <w:t>del</w:t>
                      </w:r>
                      <w:r>
                        <w:rPr>
                          <w:spacing w:val="-14"/>
                        </w:rPr>
                        <w:t> </w:t>
                      </w:r>
                      <w:r>
                        <w:rPr/>
                        <w:t>total</w:t>
                      </w:r>
                      <w:r>
                        <w:rPr>
                          <w:spacing w:val="-13"/>
                        </w:rPr>
                        <w:t> </w:t>
                      </w:r>
                      <w:r>
                        <w:rPr/>
                        <w:t>del</w:t>
                      </w:r>
                      <w:r>
                        <w:rPr>
                          <w:spacing w:val="-14"/>
                        </w:rPr>
                        <w:t> </w:t>
                      </w:r>
                      <w:r>
                        <w:rPr/>
                        <w:t>Ingresos,</w:t>
                      </w:r>
                      <w:r>
                        <w:rPr>
                          <w:spacing w:val="-14"/>
                        </w:rPr>
                        <w:t> </w:t>
                      </w:r>
                      <w:r>
                        <w:rPr/>
                        <w:t>que</w:t>
                      </w:r>
                      <w:r>
                        <w:rPr>
                          <w:spacing w:val="-14"/>
                        </w:rPr>
                        <w:t> </w:t>
                      </w:r>
                      <w:r>
                        <w:rPr/>
                        <w:t>comparado al periodo anterior genera una variación absoluta de ¢2.773,26 que corresponde a un aumento del 287,77% de recursos disponibles, producto del registro de los intereses por documentos por cobrar de venta de bienes con garantía hipotecaria de años anteriores.</w:t>
                      </w:r>
                    </w:p>
                  </w:txbxContent>
                </v:textbox>
                <v:stroke dashstyle="solid"/>
                <w10:wrap type="topAndBottom"/>
              </v:shape>
            </w:pict>
          </mc:Fallback>
        </mc:AlternateContent>
      </w:r>
    </w:p>
    <w:p>
      <w:pPr>
        <w:pStyle w:val="BodyText"/>
        <w:spacing w:before="186"/>
      </w:pPr>
    </w:p>
    <w:p>
      <w:pPr>
        <w:pStyle w:val="Heading5"/>
        <w:numPr>
          <w:ilvl w:val="1"/>
          <w:numId w:val="39"/>
        </w:numPr>
        <w:tabs>
          <w:tab w:pos="946" w:val="left" w:leader="none"/>
        </w:tabs>
        <w:spacing w:line="240" w:lineRule="auto" w:before="0" w:after="0"/>
        <w:ind w:left="946" w:right="0" w:hanging="324"/>
        <w:jc w:val="left"/>
      </w:pPr>
      <w:bookmarkStart w:name="_bookmark94" w:id="95"/>
      <w:bookmarkEnd w:id="95"/>
      <w:r>
        <w:rPr>
          <w:b w:val="0"/>
        </w:rPr>
      </w:r>
      <w:r>
        <w:rPr>
          <w:color w:val="1F3762"/>
          <w:spacing w:val="-2"/>
        </w:rPr>
        <w:t>TRANSFERENCIAS</w:t>
      </w:r>
    </w:p>
    <w:p>
      <w:pPr>
        <w:spacing w:before="164"/>
        <w:ind w:left="622" w:right="0" w:firstLine="0"/>
        <w:jc w:val="left"/>
        <w:rPr>
          <w:b/>
          <w:sz w:val="22"/>
        </w:rPr>
      </w:pPr>
      <w:bookmarkStart w:name="_bookmark95" w:id="96"/>
      <w:bookmarkEnd w:id="96"/>
      <w:r>
        <w:rPr/>
      </w:r>
      <w:r>
        <w:rPr>
          <w:b/>
          <w:sz w:val="22"/>
        </w:rPr>
        <w:t>NOTA</w:t>
      </w:r>
      <w:r>
        <w:rPr>
          <w:b/>
          <w:spacing w:val="-1"/>
          <w:sz w:val="22"/>
        </w:rPr>
        <w:t> </w:t>
      </w:r>
      <w:r>
        <w:rPr>
          <w:b/>
          <w:sz w:val="22"/>
        </w:rPr>
        <w:t>N° </w:t>
      </w:r>
      <w:r>
        <w:rPr>
          <w:b/>
          <w:spacing w:val="-5"/>
          <w:sz w:val="22"/>
        </w:rPr>
        <w:t>50</w:t>
      </w:r>
    </w:p>
    <w:p>
      <w:pPr>
        <w:pStyle w:val="BodyText"/>
        <w:spacing w:before="115"/>
        <w:rPr>
          <w:b/>
        </w:rPr>
      </w:pPr>
    </w:p>
    <w:p>
      <w:pPr>
        <w:pStyle w:val="Heading6"/>
        <w:ind w:left="622"/>
      </w:pPr>
      <w:r>
        <w:rPr/>
        <w:t>Transferencias</w:t>
      </w:r>
      <w:r>
        <w:rPr>
          <w:spacing w:val="-8"/>
        </w:rPr>
        <w:t> </w:t>
      </w:r>
      <w:r>
        <w:rPr>
          <w:spacing w:val="-2"/>
        </w:rPr>
        <w:t>corrientes</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85"/>
        <w:gridCol w:w="2572"/>
        <w:gridCol w:w="572"/>
        <w:gridCol w:w="1845"/>
        <w:gridCol w:w="1686"/>
        <w:gridCol w:w="1202"/>
      </w:tblGrid>
      <w:tr>
        <w:trPr>
          <w:trHeight w:val="325" w:hRule="atLeast"/>
        </w:trPr>
        <w:tc>
          <w:tcPr>
            <w:tcW w:w="1385" w:type="dxa"/>
            <w:vMerge w:val="restart"/>
            <w:shd w:val="clear" w:color="auto" w:fill="365F92"/>
          </w:tcPr>
          <w:p>
            <w:pPr>
              <w:pStyle w:val="TableParagraph"/>
              <w:spacing w:before="120"/>
              <w:ind w:left="69"/>
              <w:rPr>
                <w:b/>
                <w:sz w:val="22"/>
              </w:rPr>
            </w:pPr>
            <w:r>
              <w:rPr>
                <w:b/>
                <w:color w:val="FFFFFF"/>
                <w:spacing w:val="-2"/>
                <w:sz w:val="22"/>
              </w:rPr>
              <w:t>Cuenta</w:t>
            </w:r>
          </w:p>
        </w:tc>
        <w:tc>
          <w:tcPr>
            <w:tcW w:w="2572" w:type="dxa"/>
            <w:vMerge w:val="restart"/>
            <w:shd w:val="clear" w:color="auto" w:fill="365F92"/>
          </w:tcPr>
          <w:p>
            <w:pPr>
              <w:pStyle w:val="TableParagraph"/>
              <w:spacing w:before="209"/>
              <w:ind w:left="753"/>
              <w:rPr>
                <w:b/>
                <w:sz w:val="22"/>
              </w:rPr>
            </w:pPr>
            <w:r>
              <w:rPr>
                <w:b/>
                <w:color w:val="FFFFFF"/>
                <w:spacing w:val="-2"/>
                <w:sz w:val="22"/>
              </w:rPr>
              <w:t>Descripción</w:t>
            </w:r>
          </w:p>
        </w:tc>
        <w:tc>
          <w:tcPr>
            <w:tcW w:w="572" w:type="dxa"/>
            <w:vMerge w:val="restart"/>
            <w:shd w:val="clear" w:color="auto" w:fill="365F92"/>
          </w:tcPr>
          <w:p>
            <w:pPr>
              <w:pStyle w:val="TableParagraph"/>
              <w:spacing w:before="209"/>
              <w:ind w:left="68"/>
              <w:rPr>
                <w:b/>
                <w:sz w:val="22"/>
              </w:rPr>
            </w:pPr>
            <w:r>
              <w:rPr>
                <w:b/>
                <w:color w:val="FFFFFF"/>
                <w:spacing w:val="-4"/>
                <w:sz w:val="22"/>
              </w:rPr>
              <w:t>Nota</w:t>
            </w:r>
          </w:p>
        </w:tc>
        <w:tc>
          <w:tcPr>
            <w:tcW w:w="1845" w:type="dxa"/>
            <w:vMerge w:val="restart"/>
            <w:shd w:val="clear" w:color="auto" w:fill="365F92"/>
          </w:tcPr>
          <w:p>
            <w:pPr>
              <w:pStyle w:val="TableParagraph"/>
              <w:spacing w:before="209"/>
              <w:ind w:left="288"/>
              <w:rPr>
                <w:b/>
                <w:sz w:val="22"/>
              </w:rPr>
            </w:pPr>
            <w:r>
              <w:rPr>
                <w:b/>
                <w:color w:val="FFFFFF"/>
                <w:sz w:val="22"/>
              </w:rPr>
              <w:t>Periodo</w:t>
            </w:r>
            <w:r>
              <w:rPr>
                <w:b/>
                <w:color w:val="FFFFFF"/>
                <w:spacing w:val="-4"/>
                <w:sz w:val="22"/>
              </w:rPr>
              <w:t> </w:t>
            </w:r>
            <w:r>
              <w:rPr>
                <w:b/>
                <w:color w:val="FFFFFF"/>
                <w:spacing w:val="-2"/>
                <w:sz w:val="22"/>
              </w:rPr>
              <w:t>Actual</w:t>
            </w:r>
          </w:p>
        </w:tc>
        <w:tc>
          <w:tcPr>
            <w:tcW w:w="1686" w:type="dxa"/>
            <w:vMerge w:val="restart"/>
            <w:shd w:val="clear" w:color="auto" w:fill="365F92"/>
          </w:tcPr>
          <w:p>
            <w:pPr>
              <w:pStyle w:val="TableParagraph"/>
              <w:spacing w:before="84"/>
              <w:ind w:left="464" w:firstLine="50"/>
              <w:rPr>
                <w:b/>
                <w:sz w:val="22"/>
              </w:rPr>
            </w:pPr>
            <w:r>
              <w:rPr>
                <w:b/>
                <w:color w:val="FFFFFF"/>
                <w:spacing w:val="-2"/>
                <w:sz w:val="22"/>
              </w:rPr>
              <w:t>Periodo Anterior</w:t>
            </w:r>
          </w:p>
        </w:tc>
        <w:tc>
          <w:tcPr>
            <w:tcW w:w="1202" w:type="dxa"/>
            <w:shd w:val="clear" w:color="auto" w:fill="365F92"/>
          </w:tcPr>
          <w:p>
            <w:pPr>
              <w:pStyle w:val="TableParagraph"/>
              <w:spacing w:before="38"/>
              <w:ind w:left="8" w:right="2"/>
              <w:jc w:val="center"/>
              <w:rPr>
                <w:b/>
                <w:sz w:val="22"/>
              </w:rPr>
            </w:pPr>
            <w:r>
              <w:rPr>
                <w:b/>
                <w:color w:val="FFFFFF"/>
                <w:spacing w:val="-2"/>
                <w:sz w:val="22"/>
              </w:rPr>
              <w:t>Diferencia</w:t>
            </w:r>
          </w:p>
        </w:tc>
      </w:tr>
      <w:tr>
        <w:trPr>
          <w:trHeight w:val="323" w:hRule="atLeast"/>
        </w:trPr>
        <w:tc>
          <w:tcPr>
            <w:tcW w:w="1385" w:type="dxa"/>
            <w:vMerge/>
            <w:tcBorders>
              <w:top w:val="nil"/>
            </w:tcBorders>
            <w:shd w:val="clear" w:color="auto" w:fill="365F92"/>
          </w:tcPr>
          <w:p>
            <w:pPr>
              <w:rPr>
                <w:sz w:val="2"/>
                <w:szCs w:val="2"/>
              </w:rPr>
            </w:pPr>
          </w:p>
        </w:tc>
        <w:tc>
          <w:tcPr>
            <w:tcW w:w="2572"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45" w:type="dxa"/>
            <w:vMerge/>
            <w:tcBorders>
              <w:top w:val="nil"/>
            </w:tcBorders>
            <w:shd w:val="clear" w:color="auto" w:fill="365F92"/>
          </w:tcPr>
          <w:p>
            <w:pPr>
              <w:rPr>
                <w:sz w:val="2"/>
                <w:szCs w:val="2"/>
              </w:rPr>
            </w:pPr>
          </w:p>
        </w:tc>
        <w:tc>
          <w:tcPr>
            <w:tcW w:w="1686" w:type="dxa"/>
            <w:vMerge/>
            <w:tcBorders>
              <w:top w:val="nil"/>
            </w:tcBorders>
            <w:shd w:val="clear" w:color="auto" w:fill="365F92"/>
          </w:tcPr>
          <w:p>
            <w:pPr>
              <w:rPr>
                <w:sz w:val="2"/>
                <w:szCs w:val="2"/>
              </w:rPr>
            </w:pPr>
          </w:p>
        </w:tc>
        <w:tc>
          <w:tcPr>
            <w:tcW w:w="1202" w:type="dxa"/>
            <w:shd w:val="clear" w:color="auto" w:fill="365F92"/>
          </w:tcPr>
          <w:p>
            <w:pPr>
              <w:pStyle w:val="TableParagraph"/>
              <w:spacing w:before="36"/>
              <w:ind w:left="8" w:right="3"/>
              <w:jc w:val="center"/>
              <w:rPr>
                <w:sz w:val="22"/>
              </w:rPr>
            </w:pPr>
            <w:r>
              <w:rPr>
                <w:color w:val="FFFFFF"/>
                <w:spacing w:val="-10"/>
                <w:sz w:val="22"/>
              </w:rPr>
              <w:t>%</w:t>
            </w:r>
          </w:p>
        </w:tc>
      </w:tr>
      <w:tr>
        <w:trPr>
          <w:trHeight w:val="325" w:hRule="atLeast"/>
        </w:trPr>
        <w:tc>
          <w:tcPr>
            <w:tcW w:w="1385" w:type="dxa"/>
          </w:tcPr>
          <w:p>
            <w:pPr>
              <w:pStyle w:val="TableParagraph"/>
              <w:spacing w:before="46"/>
              <w:ind w:left="69"/>
              <w:rPr>
                <w:b/>
                <w:sz w:val="20"/>
              </w:rPr>
            </w:pPr>
            <w:r>
              <w:rPr>
                <w:b/>
                <w:spacing w:val="-2"/>
                <w:sz w:val="20"/>
              </w:rPr>
              <w:t>4.6.1.</w:t>
            </w:r>
          </w:p>
        </w:tc>
        <w:tc>
          <w:tcPr>
            <w:tcW w:w="2572" w:type="dxa"/>
          </w:tcPr>
          <w:p>
            <w:pPr>
              <w:pStyle w:val="TableParagraph"/>
              <w:spacing w:before="46"/>
              <w:ind w:left="68"/>
              <w:rPr>
                <w:b/>
                <w:sz w:val="20"/>
              </w:rPr>
            </w:pPr>
            <w:r>
              <w:rPr>
                <w:b/>
                <w:sz w:val="20"/>
              </w:rPr>
              <w:t>Transferencias</w:t>
            </w:r>
            <w:r>
              <w:rPr>
                <w:b/>
                <w:spacing w:val="-10"/>
                <w:sz w:val="20"/>
              </w:rPr>
              <w:t> </w:t>
            </w:r>
            <w:r>
              <w:rPr>
                <w:b/>
                <w:spacing w:val="-2"/>
                <w:sz w:val="20"/>
              </w:rPr>
              <w:t>corrientes</w:t>
            </w:r>
          </w:p>
        </w:tc>
        <w:tc>
          <w:tcPr>
            <w:tcW w:w="572" w:type="dxa"/>
          </w:tcPr>
          <w:p>
            <w:pPr>
              <w:pStyle w:val="TableParagraph"/>
              <w:spacing w:before="36"/>
              <w:ind w:left="176"/>
              <w:rPr>
                <w:b/>
                <w:sz w:val="22"/>
              </w:rPr>
            </w:pPr>
            <w:r>
              <w:rPr>
                <w:b/>
                <w:spacing w:val="-5"/>
                <w:sz w:val="22"/>
              </w:rPr>
              <w:t>50</w:t>
            </w:r>
          </w:p>
        </w:tc>
        <w:tc>
          <w:tcPr>
            <w:tcW w:w="1845" w:type="dxa"/>
          </w:tcPr>
          <w:p>
            <w:pPr>
              <w:pStyle w:val="TableParagraph"/>
              <w:spacing w:before="46"/>
              <w:ind w:left="353"/>
              <w:rPr>
                <w:b/>
                <w:sz w:val="20"/>
              </w:rPr>
            </w:pPr>
            <w:r>
              <w:rPr>
                <w:b/>
                <w:sz w:val="20"/>
              </w:rPr>
              <w:t>96</w:t>
            </w:r>
            <w:r>
              <w:rPr>
                <w:b/>
                <w:spacing w:val="-3"/>
                <w:sz w:val="20"/>
              </w:rPr>
              <w:t> </w:t>
            </w:r>
            <w:r>
              <w:rPr>
                <w:b/>
                <w:sz w:val="20"/>
              </w:rPr>
              <w:t>859</w:t>
            </w:r>
            <w:r>
              <w:rPr>
                <w:b/>
                <w:spacing w:val="-2"/>
                <w:sz w:val="20"/>
              </w:rPr>
              <w:t> 715,82</w:t>
            </w:r>
          </w:p>
        </w:tc>
        <w:tc>
          <w:tcPr>
            <w:tcW w:w="1686" w:type="dxa"/>
          </w:tcPr>
          <w:p>
            <w:pPr>
              <w:pStyle w:val="TableParagraph"/>
              <w:spacing w:before="46"/>
              <w:ind w:left="222"/>
              <w:rPr>
                <w:b/>
                <w:sz w:val="20"/>
              </w:rPr>
            </w:pPr>
            <w:r>
              <w:rPr>
                <w:b/>
                <w:sz w:val="20"/>
              </w:rPr>
              <w:t>109</w:t>
            </w:r>
            <w:r>
              <w:rPr>
                <w:b/>
                <w:spacing w:val="-3"/>
                <w:sz w:val="20"/>
              </w:rPr>
              <w:t> </w:t>
            </w:r>
            <w:r>
              <w:rPr>
                <w:b/>
                <w:sz w:val="20"/>
              </w:rPr>
              <w:t>362</w:t>
            </w:r>
            <w:r>
              <w:rPr>
                <w:b/>
                <w:spacing w:val="-3"/>
                <w:sz w:val="20"/>
              </w:rPr>
              <w:t> </w:t>
            </w:r>
            <w:r>
              <w:rPr>
                <w:b/>
                <w:spacing w:val="-2"/>
                <w:sz w:val="20"/>
              </w:rPr>
              <w:t>774,33</w:t>
            </w:r>
          </w:p>
        </w:tc>
        <w:tc>
          <w:tcPr>
            <w:tcW w:w="1202" w:type="dxa"/>
          </w:tcPr>
          <w:p>
            <w:pPr>
              <w:pStyle w:val="TableParagraph"/>
              <w:spacing w:before="46"/>
              <w:ind w:left="8"/>
              <w:jc w:val="center"/>
              <w:rPr>
                <w:b/>
                <w:sz w:val="20"/>
              </w:rPr>
            </w:pPr>
            <w:r>
              <w:rPr>
                <w:b/>
                <w:spacing w:val="-2"/>
                <w:sz w:val="20"/>
              </w:rPr>
              <w:t>-11,43%</w:t>
            </w:r>
          </w:p>
        </w:tc>
      </w:tr>
    </w:tbl>
    <w:p>
      <w:pPr>
        <w:pStyle w:val="BodyText"/>
        <w:spacing w:before="241"/>
        <w:ind w:left="677"/>
      </w:pPr>
      <w:r>
        <w:rPr>
          <w:spacing w:val="-2"/>
        </w:rPr>
        <w:t>Detalle:</w:t>
      </w:r>
    </w:p>
    <w:p>
      <w:pPr>
        <w:pStyle w:val="BodyText"/>
        <w:spacing w:before="7"/>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40"/>
      </w:tblGrid>
      <w:tr>
        <w:trPr>
          <w:trHeight w:val="290" w:hRule="atLeast"/>
        </w:trPr>
        <w:tc>
          <w:tcPr>
            <w:tcW w:w="1241" w:type="dxa"/>
            <w:tcBorders>
              <w:bottom w:val="nil"/>
            </w:tcBorders>
            <w:shd w:val="clear" w:color="auto" w:fill="365F92"/>
          </w:tcPr>
          <w:p>
            <w:pPr>
              <w:pStyle w:val="TableParagraph"/>
              <w:spacing w:before="29"/>
              <w:ind w:left="69"/>
              <w:rPr>
                <w:b/>
                <w:sz w:val="20"/>
              </w:rPr>
            </w:pPr>
            <w:r>
              <w:rPr>
                <w:b/>
                <w:color w:val="FFFFFF"/>
                <w:spacing w:val="-2"/>
                <w:sz w:val="20"/>
              </w:rPr>
              <w:t>Cuenta</w:t>
            </w:r>
          </w:p>
        </w:tc>
        <w:tc>
          <w:tcPr>
            <w:tcW w:w="3140" w:type="dxa"/>
            <w:tcBorders>
              <w:bottom w:val="nil"/>
            </w:tcBorders>
            <w:shd w:val="clear" w:color="auto" w:fill="365F92"/>
          </w:tcPr>
          <w:p>
            <w:pPr>
              <w:pStyle w:val="TableParagraph"/>
              <w:spacing w:before="29"/>
              <w:ind w:left="16"/>
              <w:jc w:val="center"/>
              <w:rPr>
                <w:b/>
                <w:sz w:val="20"/>
              </w:rPr>
            </w:pPr>
            <w:r>
              <w:rPr>
                <w:b/>
                <w:color w:val="FFFFFF"/>
                <w:spacing w:val="-2"/>
                <w:sz w:val="20"/>
              </w:rPr>
              <w:t>Descripción</w:t>
            </w:r>
          </w:p>
        </w:tc>
      </w:tr>
      <w:tr>
        <w:trPr>
          <w:trHeight w:val="539" w:hRule="atLeast"/>
        </w:trPr>
        <w:tc>
          <w:tcPr>
            <w:tcW w:w="1241" w:type="dxa"/>
            <w:tcBorders>
              <w:top w:val="nil"/>
            </w:tcBorders>
          </w:tcPr>
          <w:p>
            <w:pPr>
              <w:pStyle w:val="TableParagraph"/>
              <w:spacing w:before="155"/>
              <w:ind w:left="69"/>
              <w:rPr>
                <w:b/>
                <w:sz w:val="20"/>
              </w:rPr>
            </w:pPr>
            <w:r>
              <w:rPr>
                <w:b/>
                <w:spacing w:val="-2"/>
                <w:sz w:val="20"/>
              </w:rPr>
              <w:t>4.6.1.02.</w:t>
            </w:r>
          </w:p>
        </w:tc>
        <w:tc>
          <w:tcPr>
            <w:tcW w:w="3140" w:type="dxa"/>
            <w:tcBorders>
              <w:top w:val="nil"/>
            </w:tcBorders>
          </w:tcPr>
          <w:p>
            <w:pPr>
              <w:pStyle w:val="TableParagraph"/>
              <w:spacing w:before="39"/>
              <w:ind w:left="68"/>
              <w:rPr>
                <w:b/>
                <w:sz w:val="20"/>
              </w:rPr>
            </w:pPr>
            <w:r>
              <w:rPr>
                <w:b/>
                <w:sz w:val="20"/>
              </w:rPr>
              <w:t>Transferencias</w:t>
            </w:r>
            <w:r>
              <w:rPr>
                <w:b/>
                <w:spacing w:val="-13"/>
                <w:sz w:val="20"/>
              </w:rPr>
              <w:t> </w:t>
            </w:r>
            <w:r>
              <w:rPr>
                <w:b/>
                <w:sz w:val="20"/>
              </w:rPr>
              <w:t>corrientes</w:t>
            </w:r>
            <w:r>
              <w:rPr>
                <w:b/>
                <w:spacing w:val="-12"/>
                <w:sz w:val="20"/>
              </w:rPr>
              <w:t> </w:t>
            </w:r>
            <w:r>
              <w:rPr>
                <w:b/>
                <w:sz w:val="20"/>
              </w:rPr>
              <w:t>del</w:t>
            </w:r>
            <w:r>
              <w:rPr>
                <w:b/>
                <w:spacing w:val="-13"/>
                <w:sz w:val="20"/>
              </w:rPr>
              <w:t> </w:t>
            </w:r>
            <w:r>
              <w:rPr>
                <w:b/>
                <w:sz w:val="20"/>
              </w:rPr>
              <w:t>sector público interno</w:t>
            </w:r>
          </w:p>
        </w:tc>
      </w:tr>
    </w:tbl>
    <w:p>
      <w:pPr>
        <w:pStyle w:val="BodyText"/>
        <w:spacing w:before="42" w:after="1"/>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85"/>
        <w:gridCol w:w="2576"/>
        <w:gridCol w:w="708"/>
        <w:gridCol w:w="1702"/>
        <w:gridCol w:w="1685"/>
        <w:gridCol w:w="1201"/>
      </w:tblGrid>
      <w:tr>
        <w:trPr>
          <w:trHeight w:val="323" w:hRule="atLeast"/>
        </w:trPr>
        <w:tc>
          <w:tcPr>
            <w:tcW w:w="1385" w:type="dxa"/>
            <w:vMerge w:val="restart"/>
            <w:shd w:val="clear" w:color="auto" w:fill="365F92"/>
          </w:tcPr>
          <w:p>
            <w:pPr>
              <w:pStyle w:val="TableParagraph"/>
              <w:spacing w:before="120"/>
              <w:ind w:left="69"/>
              <w:rPr>
                <w:b/>
                <w:sz w:val="22"/>
              </w:rPr>
            </w:pPr>
            <w:r>
              <w:rPr>
                <w:b/>
                <w:color w:val="FFFFFF"/>
                <w:spacing w:val="-2"/>
                <w:sz w:val="22"/>
              </w:rPr>
              <w:t>Cuenta</w:t>
            </w:r>
          </w:p>
        </w:tc>
        <w:tc>
          <w:tcPr>
            <w:tcW w:w="2576" w:type="dxa"/>
            <w:vMerge w:val="restart"/>
            <w:shd w:val="clear" w:color="auto" w:fill="365F92"/>
          </w:tcPr>
          <w:p>
            <w:pPr>
              <w:pStyle w:val="TableParagraph"/>
              <w:spacing w:before="209"/>
              <w:ind w:left="755"/>
              <w:rPr>
                <w:b/>
                <w:sz w:val="22"/>
              </w:rPr>
            </w:pPr>
            <w:r>
              <w:rPr>
                <w:b/>
                <w:color w:val="FFFFFF"/>
                <w:spacing w:val="-2"/>
                <w:sz w:val="22"/>
              </w:rPr>
              <w:t>Descripción</w:t>
            </w:r>
          </w:p>
        </w:tc>
        <w:tc>
          <w:tcPr>
            <w:tcW w:w="708" w:type="dxa"/>
            <w:vMerge w:val="restart"/>
            <w:shd w:val="clear" w:color="auto" w:fill="365F92"/>
          </w:tcPr>
          <w:p>
            <w:pPr>
              <w:pStyle w:val="TableParagraph"/>
              <w:spacing w:before="209"/>
              <w:ind w:left="136"/>
              <w:rPr>
                <w:b/>
                <w:sz w:val="22"/>
              </w:rPr>
            </w:pPr>
            <w:r>
              <w:rPr>
                <w:b/>
                <w:color w:val="FFFFFF"/>
                <w:spacing w:val="-4"/>
                <w:sz w:val="22"/>
              </w:rPr>
              <w:t>Nota</w:t>
            </w:r>
          </w:p>
        </w:tc>
        <w:tc>
          <w:tcPr>
            <w:tcW w:w="1702" w:type="dxa"/>
            <w:vMerge w:val="restart"/>
            <w:shd w:val="clear" w:color="auto" w:fill="365F92"/>
          </w:tcPr>
          <w:p>
            <w:pPr>
              <w:pStyle w:val="TableParagraph"/>
              <w:spacing w:before="209"/>
              <w:ind w:left="217"/>
              <w:rPr>
                <w:b/>
                <w:sz w:val="22"/>
              </w:rPr>
            </w:pPr>
            <w:r>
              <w:rPr>
                <w:b/>
                <w:color w:val="FFFFFF"/>
                <w:sz w:val="22"/>
              </w:rPr>
              <w:t>Periodo</w:t>
            </w:r>
            <w:r>
              <w:rPr>
                <w:b/>
                <w:color w:val="FFFFFF"/>
                <w:spacing w:val="-4"/>
                <w:sz w:val="22"/>
              </w:rPr>
              <w:t> </w:t>
            </w:r>
            <w:r>
              <w:rPr>
                <w:b/>
                <w:color w:val="FFFFFF"/>
                <w:spacing w:val="-2"/>
                <w:sz w:val="22"/>
              </w:rPr>
              <w:t>Actual</w:t>
            </w:r>
          </w:p>
        </w:tc>
        <w:tc>
          <w:tcPr>
            <w:tcW w:w="1685" w:type="dxa"/>
            <w:vMerge w:val="restart"/>
            <w:shd w:val="clear" w:color="auto" w:fill="365F92"/>
          </w:tcPr>
          <w:p>
            <w:pPr>
              <w:pStyle w:val="TableParagraph"/>
              <w:spacing w:before="81"/>
              <w:ind w:left="467" w:firstLine="50"/>
              <w:rPr>
                <w:b/>
                <w:sz w:val="22"/>
              </w:rPr>
            </w:pPr>
            <w:r>
              <w:rPr>
                <w:b/>
                <w:color w:val="FFFFFF"/>
                <w:spacing w:val="-2"/>
                <w:sz w:val="22"/>
              </w:rPr>
              <w:t>Periodo Anterior</w:t>
            </w:r>
          </w:p>
        </w:tc>
        <w:tc>
          <w:tcPr>
            <w:tcW w:w="1201" w:type="dxa"/>
            <w:shd w:val="clear" w:color="auto" w:fill="365F92"/>
          </w:tcPr>
          <w:p>
            <w:pPr>
              <w:pStyle w:val="TableParagraph"/>
              <w:spacing w:before="36"/>
              <w:ind w:left="15"/>
              <w:jc w:val="center"/>
              <w:rPr>
                <w:b/>
                <w:sz w:val="22"/>
              </w:rPr>
            </w:pPr>
            <w:r>
              <w:rPr>
                <w:b/>
                <w:color w:val="FFFFFF"/>
                <w:spacing w:val="-2"/>
                <w:sz w:val="22"/>
              </w:rPr>
              <w:t>Diferencia</w:t>
            </w:r>
          </w:p>
        </w:tc>
      </w:tr>
      <w:tr>
        <w:trPr>
          <w:trHeight w:val="323" w:hRule="atLeast"/>
        </w:trPr>
        <w:tc>
          <w:tcPr>
            <w:tcW w:w="1385" w:type="dxa"/>
            <w:vMerge/>
            <w:tcBorders>
              <w:top w:val="nil"/>
            </w:tcBorders>
            <w:shd w:val="clear" w:color="auto" w:fill="365F92"/>
          </w:tcPr>
          <w:p>
            <w:pPr>
              <w:rPr>
                <w:sz w:val="2"/>
                <w:szCs w:val="2"/>
              </w:rPr>
            </w:pPr>
          </w:p>
        </w:tc>
        <w:tc>
          <w:tcPr>
            <w:tcW w:w="2576"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685" w:type="dxa"/>
            <w:vMerge/>
            <w:tcBorders>
              <w:top w:val="nil"/>
            </w:tcBorders>
            <w:shd w:val="clear" w:color="auto" w:fill="365F92"/>
          </w:tcPr>
          <w:p>
            <w:pPr>
              <w:rPr>
                <w:sz w:val="2"/>
                <w:szCs w:val="2"/>
              </w:rPr>
            </w:pPr>
          </w:p>
        </w:tc>
        <w:tc>
          <w:tcPr>
            <w:tcW w:w="1201" w:type="dxa"/>
            <w:shd w:val="clear" w:color="auto" w:fill="365F92"/>
          </w:tcPr>
          <w:p>
            <w:pPr>
              <w:pStyle w:val="TableParagraph"/>
              <w:spacing w:before="36"/>
              <w:ind w:left="15" w:right="1"/>
              <w:jc w:val="center"/>
              <w:rPr>
                <w:sz w:val="22"/>
              </w:rPr>
            </w:pPr>
            <w:r>
              <w:rPr>
                <w:color w:val="FFFFFF"/>
                <w:spacing w:val="-10"/>
                <w:sz w:val="22"/>
              </w:rPr>
              <w:t>%</w:t>
            </w:r>
          </w:p>
        </w:tc>
      </w:tr>
      <w:tr>
        <w:trPr>
          <w:trHeight w:val="458" w:hRule="atLeast"/>
        </w:trPr>
        <w:tc>
          <w:tcPr>
            <w:tcW w:w="1385" w:type="dxa"/>
          </w:tcPr>
          <w:p>
            <w:pPr>
              <w:pStyle w:val="TableParagraph"/>
              <w:spacing w:before="114"/>
              <w:ind w:left="69"/>
              <w:rPr>
                <w:b/>
                <w:sz w:val="20"/>
              </w:rPr>
            </w:pPr>
            <w:r>
              <w:rPr>
                <w:b/>
                <w:spacing w:val="-2"/>
                <w:sz w:val="20"/>
              </w:rPr>
              <w:t>4.6.1.02.</w:t>
            </w:r>
          </w:p>
        </w:tc>
        <w:tc>
          <w:tcPr>
            <w:tcW w:w="2576" w:type="dxa"/>
          </w:tcPr>
          <w:p>
            <w:pPr>
              <w:pStyle w:val="TableParagraph"/>
              <w:spacing w:line="230" w:lineRule="atLeast"/>
              <w:ind w:left="68"/>
              <w:rPr>
                <w:b/>
                <w:sz w:val="20"/>
              </w:rPr>
            </w:pPr>
            <w:r>
              <w:rPr>
                <w:b/>
                <w:sz w:val="20"/>
              </w:rPr>
              <w:t>Transferencias</w:t>
            </w:r>
            <w:r>
              <w:rPr>
                <w:b/>
                <w:spacing w:val="-13"/>
                <w:sz w:val="20"/>
              </w:rPr>
              <w:t> </w:t>
            </w:r>
            <w:r>
              <w:rPr>
                <w:b/>
                <w:sz w:val="20"/>
              </w:rPr>
              <w:t>corrientes</w:t>
            </w:r>
            <w:r>
              <w:rPr>
                <w:b/>
                <w:spacing w:val="-12"/>
                <w:sz w:val="20"/>
              </w:rPr>
              <w:t> </w:t>
            </w:r>
            <w:r>
              <w:rPr>
                <w:b/>
                <w:sz w:val="20"/>
              </w:rPr>
              <w:t>del sector público interno</w:t>
            </w:r>
          </w:p>
        </w:tc>
        <w:tc>
          <w:tcPr>
            <w:tcW w:w="708" w:type="dxa"/>
          </w:tcPr>
          <w:p>
            <w:pPr>
              <w:pStyle w:val="TableParagraph"/>
              <w:spacing w:before="104"/>
              <w:ind w:left="244"/>
              <w:rPr>
                <w:b/>
                <w:sz w:val="22"/>
              </w:rPr>
            </w:pPr>
            <w:r>
              <w:rPr>
                <w:b/>
                <w:spacing w:val="-5"/>
                <w:sz w:val="22"/>
              </w:rPr>
              <w:t>50</w:t>
            </w:r>
          </w:p>
        </w:tc>
        <w:tc>
          <w:tcPr>
            <w:tcW w:w="1702" w:type="dxa"/>
          </w:tcPr>
          <w:p>
            <w:pPr>
              <w:pStyle w:val="TableParagraph"/>
              <w:spacing w:before="114"/>
              <w:ind w:left="282"/>
              <w:rPr>
                <w:sz w:val="20"/>
              </w:rPr>
            </w:pPr>
            <w:r>
              <w:rPr>
                <w:sz w:val="20"/>
              </w:rPr>
              <w:t>96</w:t>
            </w:r>
            <w:r>
              <w:rPr>
                <w:spacing w:val="-3"/>
                <w:sz w:val="20"/>
              </w:rPr>
              <w:t> </w:t>
            </w:r>
            <w:r>
              <w:rPr>
                <w:sz w:val="20"/>
              </w:rPr>
              <w:t>652</w:t>
            </w:r>
            <w:r>
              <w:rPr>
                <w:spacing w:val="-2"/>
                <w:sz w:val="20"/>
              </w:rPr>
              <w:t> 165,46</w:t>
            </w:r>
          </w:p>
        </w:tc>
        <w:tc>
          <w:tcPr>
            <w:tcW w:w="1685" w:type="dxa"/>
          </w:tcPr>
          <w:p>
            <w:pPr>
              <w:pStyle w:val="TableParagraph"/>
              <w:spacing w:before="114"/>
              <w:ind w:left="227"/>
              <w:rPr>
                <w:sz w:val="20"/>
              </w:rPr>
            </w:pPr>
            <w:r>
              <w:rPr>
                <w:sz w:val="20"/>
              </w:rPr>
              <w:t>109</w:t>
            </w:r>
            <w:r>
              <w:rPr>
                <w:spacing w:val="-3"/>
                <w:sz w:val="20"/>
              </w:rPr>
              <w:t> </w:t>
            </w:r>
            <w:r>
              <w:rPr>
                <w:sz w:val="20"/>
              </w:rPr>
              <w:t>343</w:t>
            </w:r>
            <w:r>
              <w:rPr>
                <w:spacing w:val="-3"/>
                <w:sz w:val="20"/>
              </w:rPr>
              <w:t> </w:t>
            </w:r>
            <w:r>
              <w:rPr>
                <w:spacing w:val="-2"/>
                <w:sz w:val="20"/>
              </w:rPr>
              <w:t>361,04</w:t>
            </w:r>
          </w:p>
        </w:tc>
        <w:tc>
          <w:tcPr>
            <w:tcW w:w="1201" w:type="dxa"/>
          </w:tcPr>
          <w:p>
            <w:pPr>
              <w:pStyle w:val="TableParagraph"/>
              <w:spacing w:before="114"/>
              <w:ind w:left="15"/>
              <w:jc w:val="center"/>
              <w:rPr>
                <w:sz w:val="20"/>
              </w:rPr>
            </w:pPr>
            <w:r>
              <w:rPr>
                <w:spacing w:val="-2"/>
                <w:sz w:val="20"/>
              </w:rPr>
              <w:t>-11,61%</w:t>
            </w:r>
          </w:p>
        </w:tc>
      </w:tr>
    </w:tbl>
    <w:p>
      <w:pPr>
        <w:pStyle w:val="BodyText"/>
        <w:rPr>
          <w:sz w:val="20"/>
        </w:rPr>
      </w:pPr>
    </w:p>
    <w:p>
      <w:pPr>
        <w:pStyle w:val="BodyText"/>
        <w:spacing w:before="85" w:after="1"/>
        <w:rPr>
          <w:sz w:val="20"/>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99"/>
        <w:gridCol w:w="5307"/>
        <w:gridCol w:w="2081"/>
      </w:tblGrid>
      <w:tr>
        <w:trPr>
          <w:trHeight w:val="455" w:hRule="atLeast"/>
        </w:trPr>
        <w:tc>
          <w:tcPr>
            <w:tcW w:w="1899" w:type="dxa"/>
            <w:tcBorders>
              <w:bottom w:val="single" w:sz="4" w:space="0" w:color="000000"/>
            </w:tcBorders>
            <w:shd w:val="clear" w:color="auto" w:fill="365F91"/>
          </w:tcPr>
          <w:p>
            <w:pPr>
              <w:pStyle w:val="TableParagraph"/>
              <w:spacing w:line="227" w:lineRule="exact"/>
              <w:ind w:left="13"/>
              <w:jc w:val="center"/>
              <w:rPr>
                <w:sz w:val="20"/>
              </w:rPr>
            </w:pPr>
            <w:r>
              <w:rPr>
                <w:color w:val="FFFFFF"/>
                <w:spacing w:val="-2"/>
                <w:sz w:val="20"/>
              </w:rPr>
              <w:t>CODIGO</w:t>
            </w:r>
          </w:p>
          <w:p>
            <w:pPr>
              <w:pStyle w:val="TableParagraph"/>
              <w:spacing w:line="209" w:lineRule="exact"/>
              <w:ind w:left="13"/>
              <w:jc w:val="center"/>
              <w:rPr>
                <w:sz w:val="20"/>
              </w:rPr>
            </w:pPr>
            <w:r>
              <w:rPr>
                <w:color w:val="FFFFFF"/>
                <w:spacing w:val="-2"/>
                <w:sz w:val="20"/>
              </w:rPr>
              <w:t>INSTITUCIONAL</w:t>
            </w:r>
          </w:p>
        </w:tc>
        <w:tc>
          <w:tcPr>
            <w:tcW w:w="5307" w:type="dxa"/>
            <w:tcBorders>
              <w:bottom w:val="single" w:sz="4" w:space="0" w:color="000000"/>
            </w:tcBorders>
            <w:shd w:val="clear" w:color="auto" w:fill="365F91"/>
          </w:tcPr>
          <w:p>
            <w:pPr>
              <w:pStyle w:val="TableParagraph"/>
              <w:spacing w:before="113"/>
              <w:ind w:left="1720"/>
              <w:rPr>
                <w:sz w:val="20"/>
              </w:rPr>
            </w:pPr>
            <w:r>
              <w:rPr>
                <w:color w:val="FFFFFF"/>
                <w:sz w:val="20"/>
              </w:rPr>
              <w:t>NOMBRE</w:t>
            </w:r>
            <w:r>
              <w:rPr>
                <w:color w:val="FFFFFF"/>
                <w:spacing w:val="-12"/>
                <w:sz w:val="20"/>
              </w:rPr>
              <w:t> </w:t>
            </w:r>
            <w:r>
              <w:rPr>
                <w:color w:val="FFFFFF"/>
                <w:spacing w:val="-2"/>
                <w:sz w:val="20"/>
              </w:rPr>
              <w:t>ENTIDAD</w:t>
            </w:r>
          </w:p>
        </w:tc>
        <w:tc>
          <w:tcPr>
            <w:tcW w:w="2081" w:type="dxa"/>
            <w:tcBorders>
              <w:bottom w:val="single" w:sz="4" w:space="0" w:color="000000"/>
            </w:tcBorders>
            <w:shd w:val="clear" w:color="auto" w:fill="365F91"/>
          </w:tcPr>
          <w:p>
            <w:pPr>
              <w:pStyle w:val="TableParagraph"/>
              <w:spacing w:before="113"/>
              <w:ind w:left="643"/>
              <w:rPr>
                <w:sz w:val="20"/>
              </w:rPr>
            </w:pPr>
            <w:r>
              <w:rPr>
                <w:color w:val="FFFFFF"/>
                <w:spacing w:val="-2"/>
                <w:sz w:val="20"/>
              </w:rPr>
              <w:t>MONTO</w:t>
            </w:r>
          </w:p>
        </w:tc>
      </w:tr>
      <w:tr>
        <w:trPr>
          <w:trHeight w:val="230" w:hRule="atLeast"/>
        </w:trPr>
        <w:tc>
          <w:tcPr>
            <w:tcW w:w="1899"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before="1"/>
              <w:ind w:left="74"/>
              <w:rPr>
                <w:sz w:val="20"/>
              </w:rPr>
            </w:pPr>
            <w:r>
              <w:rPr>
                <w:spacing w:val="-2"/>
                <w:sz w:val="20"/>
              </w:rPr>
              <w:t>11206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before="1"/>
              <w:ind w:left="74"/>
              <w:rPr>
                <w:sz w:val="20"/>
              </w:rPr>
            </w:pPr>
            <w:r>
              <w:rPr>
                <w:sz w:val="20"/>
              </w:rPr>
              <w:t>Ministerio</w:t>
            </w:r>
            <w:r>
              <w:rPr>
                <w:spacing w:val="-8"/>
                <w:sz w:val="20"/>
              </w:rPr>
              <w:t> </w:t>
            </w:r>
            <w:r>
              <w:rPr>
                <w:sz w:val="20"/>
              </w:rPr>
              <w:t>de</w:t>
            </w:r>
            <w:r>
              <w:rPr>
                <w:spacing w:val="-8"/>
                <w:sz w:val="20"/>
              </w:rPr>
              <w:t> </w:t>
            </w:r>
            <w:r>
              <w:rPr>
                <w:sz w:val="20"/>
              </w:rPr>
              <w:t>Hacienda</w:t>
            </w:r>
            <w:r>
              <w:rPr>
                <w:spacing w:val="-7"/>
                <w:sz w:val="20"/>
              </w:rPr>
              <w:t> </w:t>
            </w:r>
            <w:r>
              <w:rPr>
                <w:sz w:val="20"/>
              </w:rPr>
              <w:t>(MHD)</w:t>
            </w:r>
            <w:r>
              <w:rPr>
                <w:spacing w:val="-6"/>
                <w:sz w:val="20"/>
              </w:rPr>
              <w:t> </w:t>
            </w:r>
            <w:r>
              <w:rPr>
                <w:sz w:val="20"/>
              </w:rPr>
              <w:t>-Transferencias</w:t>
            </w:r>
            <w:r>
              <w:rPr>
                <w:spacing w:val="-8"/>
                <w:sz w:val="20"/>
              </w:rPr>
              <w:t> </w:t>
            </w:r>
            <w:r>
              <w:rPr>
                <w:spacing w:val="-2"/>
                <w:sz w:val="20"/>
              </w:rPr>
              <w:t>Donaciones</w:t>
            </w:r>
          </w:p>
        </w:tc>
        <w:tc>
          <w:tcPr>
            <w:tcW w:w="2081" w:type="dxa"/>
            <w:tcBorders>
              <w:top w:val="single" w:sz="4" w:space="0" w:color="000000"/>
              <w:left w:val="single" w:sz="4" w:space="0" w:color="000000"/>
              <w:bottom w:val="single" w:sz="4" w:space="0" w:color="000000"/>
              <w:right w:val="single" w:sz="4" w:space="0" w:color="000000"/>
            </w:tcBorders>
          </w:tcPr>
          <w:p>
            <w:pPr>
              <w:pStyle w:val="TableParagraph"/>
              <w:tabs>
                <w:tab w:pos="300" w:val="left" w:leader="none"/>
              </w:tabs>
              <w:spacing w:line="209" w:lineRule="exact" w:before="1"/>
              <w:ind w:right="50"/>
              <w:jc w:val="right"/>
              <w:rPr>
                <w:sz w:val="20"/>
              </w:rPr>
            </w:pPr>
            <w:r>
              <w:rPr>
                <w:b/>
                <w:spacing w:val="-10"/>
                <w:sz w:val="20"/>
              </w:rPr>
              <w:t>¢</w:t>
            </w:r>
            <w:r>
              <w:rPr>
                <w:b/>
                <w:sz w:val="20"/>
              </w:rPr>
              <w:tab/>
            </w:r>
            <w:r>
              <w:rPr>
                <w:spacing w:val="-2"/>
                <w:sz w:val="20"/>
              </w:rPr>
              <w:t>164.380,38</w:t>
            </w:r>
          </w:p>
        </w:tc>
      </w:tr>
      <w:tr>
        <w:trPr>
          <w:trHeight w:val="455" w:hRule="atLeast"/>
        </w:trPr>
        <w:tc>
          <w:tcPr>
            <w:tcW w:w="1899" w:type="dxa"/>
            <w:tcBorders>
              <w:top w:val="single" w:sz="4" w:space="0" w:color="000000"/>
              <w:left w:val="single" w:sz="4" w:space="0" w:color="000000"/>
              <w:bottom w:val="single" w:sz="4" w:space="0" w:color="000000"/>
              <w:right w:val="single" w:sz="4" w:space="0" w:color="000000"/>
            </w:tcBorders>
          </w:tcPr>
          <w:p>
            <w:pPr>
              <w:pStyle w:val="TableParagraph"/>
              <w:spacing w:before="111"/>
              <w:ind w:left="74"/>
              <w:rPr>
                <w:sz w:val="20"/>
              </w:rPr>
            </w:pPr>
            <w:r>
              <w:rPr>
                <w:spacing w:val="-2"/>
                <w:sz w:val="20"/>
              </w:rPr>
              <w:t>11206</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spacing w:before="111"/>
              <w:ind w:left="74"/>
              <w:rPr>
                <w:sz w:val="20"/>
              </w:rPr>
            </w:pPr>
            <w:r>
              <w:rPr>
                <w:sz w:val="20"/>
              </w:rPr>
              <w:t>Ministerio</w:t>
            </w:r>
            <w:r>
              <w:rPr>
                <w:spacing w:val="-7"/>
                <w:sz w:val="20"/>
              </w:rPr>
              <w:t> </w:t>
            </w:r>
            <w:r>
              <w:rPr>
                <w:sz w:val="20"/>
              </w:rPr>
              <w:t>de</w:t>
            </w:r>
            <w:r>
              <w:rPr>
                <w:spacing w:val="-7"/>
                <w:sz w:val="20"/>
              </w:rPr>
              <w:t> </w:t>
            </w:r>
            <w:r>
              <w:rPr>
                <w:sz w:val="20"/>
              </w:rPr>
              <w:t>Hacienda</w:t>
            </w:r>
            <w:r>
              <w:rPr>
                <w:spacing w:val="-6"/>
                <w:sz w:val="20"/>
              </w:rPr>
              <w:t> </w:t>
            </w:r>
            <w:r>
              <w:rPr>
                <w:sz w:val="20"/>
              </w:rPr>
              <w:t>(MHD)</w:t>
            </w:r>
            <w:r>
              <w:rPr>
                <w:spacing w:val="-6"/>
                <w:sz w:val="20"/>
              </w:rPr>
              <w:t> </w:t>
            </w:r>
            <w:r>
              <w:rPr>
                <w:sz w:val="20"/>
              </w:rPr>
              <w:t>-</w:t>
            </w:r>
            <w:r>
              <w:rPr>
                <w:spacing w:val="-2"/>
                <w:sz w:val="20"/>
              </w:rPr>
              <w:t>Transferencias</w:t>
            </w:r>
          </w:p>
        </w:tc>
        <w:tc>
          <w:tcPr>
            <w:tcW w:w="2081" w:type="dxa"/>
            <w:tcBorders>
              <w:top w:val="single" w:sz="4" w:space="0" w:color="000000"/>
              <w:left w:val="single" w:sz="4" w:space="0" w:color="000000"/>
              <w:bottom w:val="single" w:sz="4" w:space="0" w:color="000000"/>
              <w:right w:val="single" w:sz="4" w:space="0" w:color="000000"/>
            </w:tcBorders>
          </w:tcPr>
          <w:p>
            <w:pPr>
              <w:pStyle w:val="TableParagraph"/>
              <w:tabs>
                <w:tab w:pos="299" w:val="left" w:leader="none"/>
              </w:tabs>
              <w:spacing w:line="209" w:lineRule="exact" w:before="226"/>
              <w:ind w:right="52"/>
              <w:jc w:val="right"/>
              <w:rPr>
                <w:sz w:val="20"/>
              </w:rPr>
            </w:pPr>
            <w:r>
              <w:rPr>
                <w:b/>
                <w:spacing w:val="-10"/>
                <w:sz w:val="20"/>
              </w:rPr>
              <w:t>¢</w:t>
            </w:r>
            <w:r>
              <w:rPr>
                <w:b/>
                <w:sz w:val="20"/>
              </w:rPr>
              <w:tab/>
            </w:r>
            <w:r>
              <w:rPr>
                <w:spacing w:val="-2"/>
                <w:sz w:val="20"/>
              </w:rPr>
              <w:t>50.184.233,64</w:t>
            </w:r>
          </w:p>
        </w:tc>
      </w:tr>
      <w:tr>
        <w:trPr>
          <w:trHeight w:val="455" w:hRule="atLeast"/>
        </w:trPr>
        <w:tc>
          <w:tcPr>
            <w:tcW w:w="1899" w:type="dxa"/>
            <w:tcBorders>
              <w:top w:val="single" w:sz="4" w:space="0" w:color="000000"/>
              <w:left w:val="single" w:sz="4" w:space="0" w:color="000000"/>
              <w:bottom w:val="single" w:sz="4" w:space="0" w:color="000000"/>
              <w:right w:val="single" w:sz="4" w:space="0" w:color="000000"/>
            </w:tcBorders>
          </w:tcPr>
          <w:p>
            <w:pPr>
              <w:pStyle w:val="TableParagraph"/>
              <w:spacing w:before="114"/>
              <w:ind w:left="74"/>
              <w:rPr>
                <w:sz w:val="20"/>
              </w:rPr>
            </w:pPr>
            <w:r>
              <w:rPr>
                <w:spacing w:val="-2"/>
                <w:sz w:val="20"/>
              </w:rPr>
              <w:t>12700</w:t>
            </w:r>
          </w:p>
        </w:tc>
        <w:tc>
          <w:tcPr>
            <w:tcW w:w="5307"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ind w:left="74"/>
              <w:rPr>
                <w:sz w:val="20"/>
              </w:rPr>
            </w:pPr>
            <w:r>
              <w:rPr>
                <w:sz w:val="20"/>
              </w:rPr>
              <w:t>Fondo</w:t>
            </w:r>
            <w:r>
              <w:rPr>
                <w:spacing w:val="-6"/>
                <w:sz w:val="20"/>
              </w:rPr>
              <w:t> </w:t>
            </w:r>
            <w:r>
              <w:rPr>
                <w:sz w:val="20"/>
              </w:rPr>
              <w:t>de</w:t>
            </w:r>
            <w:r>
              <w:rPr>
                <w:spacing w:val="-6"/>
                <w:sz w:val="20"/>
              </w:rPr>
              <w:t> </w:t>
            </w:r>
            <w:r>
              <w:rPr>
                <w:sz w:val="20"/>
              </w:rPr>
              <w:t>Desarrollo</w:t>
            </w:r>
            <w:r>
              <w:rPr>
                <w:spacing w:val="-5"/>
                <w:sz w:val="20"/>
              </w:rPr>
              <w:t> </w:t>
            </w:r>
            <w:r>
              <w:rPr>
                <w:sz w:val="20"/>
              </w:rPr>
              <w:t>Social</w:t>
            </w:r>
            <w:r>
              <w:rPr>
                <w:spacing w:val="-6"/>
                <w:sz w:val="20"/>
              </w:rPr>
              <w:t> </w:t>
            </w:r>
            <w:r>
              <w:rPr>
                <w:sz w:val="20"/>
              </w:rPr>
              <w:t>y</w:t>
            </w:r>
            <w:r>
              <w:rPr>
                <w:spacing w:val="-4"/>
                <w:sz w:val="20"/>
              </w:rPr>
              <w:t> </w:t>
            </w:r>
            <w:r>
              <w:rPr>
                <w:sz w:val="20"/>
              </w:rPr>
              <w:t>Asignaciones</w:t>
            </w:r>
            <w:r>
              <w:rPr>
                <w:spacing w:val="-6"/>
                <w:sz w:val="20"/>
              </w:rPr>
              <w:t> </w:t>
            </w:r>
            <w:r>
              <w:rPr>
                <w:spacing w:val="-2"/>
                <w:sz w:val="20"/>
              </w:rPr>
              <w:t>Familiares</w:t>
            </w:r>
          </w:p>
          <w:p>
            <w:pPr>
              <w:pStyle w:val="TableParagraph"/>
              <w:spacing w:line="209" w:lineRule="exact"/>
              <w:ind w:left="74"/>
              <w:rPr>
                <w:sz w:val="20"/>
              </w:rPr>
            </w:pPr>
            <w:r>
              <w:rPr>
                <w:spacing w:val="-2"/>
                <w:sz w:val="20"/>
              </w:rPr>
              <w:t>(FODESAF)</w:t>
            </w:r>
          </w:p>
        </w:tc>
        <w:tc>
          <w:tcPr>
            <w:tcW w:w="2081" w:type="dxa"/>
            <w:tcBorders>
              <w:top w:val="single" w:sz="4" w:space="0" w:color="000000"/>
              <w:left w:val="single" w:sz="4" w:space="0" w:color="000000"/>
              <w:bottom w:val="single" w:sz="4" w:space="0" w:color="000000"/>
              <w:right w:val="single" w:sz="4" w:space="0" w:color="000000"/>
            </w:tcBorders>
          </w:tcPr>
          <w:p>
            <w:pPr>
              <w:pStyle w:val="TableParagraph"/>
              <w:tabs>
                <w:tab w:pos="299" w:val="left" w:leader="none"/>
              </w:tabs>
              <w:spacing w:line="209" w:lineRule="exact" w:before="226"/>
              <w:ind w:right="53"/>
              <w:jc w:val="right"/>
              <w:rPr>
                <w:sz w:val="20"/>
              </w:rPr>
            </w:pPr>
            <w:r>
              <w:rPr>
                <w:b/>
                <w:spacing w:val="-10"/>
                <w:sz w:val="20"/>
              </w:rPr>
              <w:t>¢</w:t>
            </w:r>
            <w:r>
              <w:rPr>
                <w:b/>
                <w:sz w:val="20"/>
              </w:rPr>
              <w:tab/>
            </w:r>
            <w:r>
              <w:rPr>
                <w:spacing w:val="-2"/>
                <w:sz w:val="20"/>
              </w:rPr>
              <w:t>40.303.551,44</w:t>
            </w:r>
          </w:p>
        </w:tc>
      </w:tr>
    </w:tbl>
    <w:p>
      <w:pPr>
        <w:pStyle w:val="TableParagraph"/>
        <w:spacing w:after="0" w:line="209" w:lineRule="exact"/>
        <w:jc w:val="right"/>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4816">
                <wp:simplePos x="0" y="0"/>
                <wp:positionH relativeFrom="page">
                  <wp:posOffset>9525</wp:posOffset>
                </wp:positionH>
                <wp:positionV relativeFrom="page">
                  <wp:posOffset>297208</wp:posOffset>
                </wp:positionV>
                <wp:extent cx="7762875" cy="9748520"/>
                <wp:effectExtent l="0" t="0" r="0" b="0"/>
                <wp:wrapNone/>
                <wp:docPr id="556" name="Group 556"/>
                <wp:cNvGraphicFramePr>
                  <a:graphicFrameLocks/>
                </wp:cNvGraphicFramePr>
                <a:graphic>
                  <a:graphicData uri="http://schemas.microsoft.com/office/word/2010/wordprocessingGroup">
                    <wpg:wgp>
                      <wpg:cNvPr id="556" name="Group 556"/>
                      <wpg:cNvGrpSpPr/>
                      <wpg:grpSpPr>
                        <a:xfrm>
                          <a:off x="0" y="0"/>
                          <a:ext cx="7762875" cy="9748520"/>
                          <a:chExt cx="7762875" cy="9748520"/>
                        </a:xfrm>
                      </wpg:grpSpPr>
                      <pic:pic>
                        <pic:nvPicPr>
                          <pic:cNvPr id="557" name="Image 557"/>
                          <pic:cNvPicPr/>
                        </pic:nvPicPr>
                        <pic:blipFill>
                          <a:blip r:embed="rId5" cstate="print"/>
                          <a:stretch>
                            <a:fillRect/>
                          </a:stretch>
                        </pic:blipFill>
                        <pic:spPr>
                          <a:xfrm>
                            <a:off x="0" y="0"/>
                            <a:ext cx="7762874" cy="9748489"/>
                          </a:xfrm>
                          <a:prstGeom prst="rect">
                            <a:avLst/>
                          </a:prstGeom>
                        </pic:spPr>
                      </pic:pic>
                      <wps:wsp>
                        <wps:cNvPr id="558" name="Graphic 55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59" name="Image 559"/>
                          <pic:cNvPicPr/>
                        </pic:nvPicPr>
                        <pic:blipFill>
                          <a:blip r:embed="rId59" cstate="print"/>
                          <a:stretch>
                            <a:fillRect/>
                          </a:stretch>
                        </pic:blipFill>
                        <pic:spPr>
                          <a:xfrm>
                            <a:off x="1631949" y="4802501"/>
                            <a:ext cx="4588510" cy="119631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81664" id="docshapegroup534" coordorigin="15,468" coordsize="12225,15352">
                <v:shape style="position:absolute;left:15;top:468;width:12225;height:15352" type="#_x0000_t75" id="docshape535" stroked="false">
                  <v:imagedata r:id="rId5" o:title=""/>
                </v:shape>
                <v:rect style="position:absolute;left:1673;top:2028;width:8897;height:15" id="docshape536" filled="true" fillcolor="#000000" stroked="false">
                  <v:fill type="solid"/>
                </v:rect>
                <v:shape style="position:absolute;left:2585;top:8031;width:7226;height:1884" type="#_x0000_t75" id="docshape537" stroked="false">
                  <v:imagedata r:id="rId59" o:title=""/>
                </v:shape>
                <w10:wrap type="none"/>
              </v:group>
            </w:pict>
          </mc:Fallback>
        </mc:AlternateContent>
      </w:r>
      <w:r>
        <w:rPr>
          <w:color w:val="172951"/>
          <w:sz w:val="20"/>
        </w:rPr>
        <w:t>Pág.</w:t>
      </w:r>
      <w:r>
        <w:rPr>
          <w:color w:val="172951"/>
          <w:spacing w:val="-7"/>
          <w:sz w:val="20"/>
        </w:rPr>
        <w:t> </w:t>
      </w:r>
      <w:r>
        <w:rPr>
          <w:color w:val="172951"/>
          <w:spacing w:val="-5"/>
          <w:sz w:val="20"/>
        </w:rPr>
        <w:t>113</w:t>
      </w:r>
    </w:p>
    <w:p>
      <w:pPr>
        <w:pStyle w:val="BodyText"/>
      </w:pPr>
    </w:p>
    <w:p>
      <w:pPr>
        <w:pStyle w:val="BodyText"/>
        <w:spacing w:before="227"/>
      </w:pPr>
    </w:p>
    <w:p>
      <w:pPr>
        <w:pStyle w:val="Heading6"/>
        <w:ind w:left="622"/>
      </w:pPr>
      <w:r>
        <w:rPr>
          <w:spacing w:val="-2"/>
        </w:rPr>
        <w:t>Revelación:</w:t>
      </w:r>
    </w:p>
    <w:p>
      <w:pPr>
        <w:pStyle w:val="BodyText"/>
        <w:spacing w:before="179"/>
        <w:ind w:left="622" w:right="976"/>
        <w:jc w:val="both"/>
      </w:pPr>
      <w:r>
        <w:rPr/>
        <w:t>La cuenta Transferencias corrientes, representa el 67,02% del total del Ingresos, que comparado al periodo</w:t>
      </w:r>
      <w:r>
        <w:rPr>
          <w:spacing w:val="-14"/>
        </w:rPr>
        <w:t> </w:t>
      </w:r>
      <w:r>
        <w:rPr/>
        <w:t>anterior</w:t>
      </w:r>
      <w:r>
        <w:rPr>
          <w:spacing w:val="-14"/>
        </w:rPr>
        <w:t> </w:t>
      </w:r>
      <w:r>
        <w:rPr/>
        <w:t>genera</w:t>
      </w:r>
      <w:r>
        <w:rPr>
          <w:spacing w:val="-14"/>
        </w:rPr>
        <w:t> </w:t>
      </w:r>
      <w:r>
        <w:rPr/>
        <w:t>una</w:t>
      </w:r>
      <w:r>
        <w:rPr>
          <w:spacing w:val="-13"/>
        </w:rPr>
        <w:t> </w:t>
      </w:r>
      <w:r>
        <w:rPr/>
        <w:t>variación</w:t>
      </w:r>
      <w:r>
        <w:rPr>
          <w:spacing w:val="-14"/>
        </w:rPr>
        <w:t> </w:t>
      </w:r>
      <w:r>
        <w:rPr/>
        <w:t>absoluta</w:t>
      </w:r>
      <w:r>
        <w:rPr>
          <w:spacing w:val="-14"/>
        </w:rPr>
        <w:t> </w:t>
      </w:r>
      <w:r>
        <w:rPr/>
        <w:t>de</w:t>
      </w:r>
      <w:r>
        <w:rPr>
          <w:spacing w:val="-14"/>
        </w:rPr>
        <w:t> </w:t>
      </w:r>
      <w:r>
        <w:rPr/>
        <w:t>¢</w:t>
      </w:r>
      <w:r>
        <w:rPr>
          <w:spacing w:val="-13"/>
        </w:rPr>
        <w:t> </w:t>
      </w:r>
      <w:r>
        <w:rPr/>
        <w:t>-12.503.058,51</w:t>
      </w:r>
      <w:r>
        <w:rPr>
          <w:spacing w:val="-14"/>
        </w:rPr>
        <w:t> </w:t>
      </w:r>
      <w:r>
        <w:rPr/>
        <w:t>que</w:t>
      </w:r>
      <w:r>
        <w:rPr>
          <w:spacing w:val="-14"/>
        </w:rPr>
        <w:t> </w:t>
      </w:r>
      <w:r>
        <w:rPr/>
        <w:t>corresponde</w:t>
      </w:r>
      <w:r>
        <w:rPr>
          <w:spacing w:val="-14"/>
        </w:rPr>
        <w:t> </w:t>
      </w:r>
      <w:r>
        <w:rPr/>
        <w:t>a</w:t>
      </w:r>
      <w:r>
        <w:rPr>
          <w:spacing w:val="-13"/>
        </w:rPr>
        <w:t> </w:t>
      </w:r>
      <w:r>
        <w:rPr/>
        <w:t>una</w:t>
      </w:r>
      <w:r>
        <w:rPr>
          <w:spacing w:val="-14"/>
        </w:rPr>
        <w:t> </w:t>
      </w:r>
      <w:r>
        <w:rPr/>
        <w:t>disminución del -11,43% de recursos disponibles.</w:t>
      </w:r>
    </w:p>
    <w:p>
      <w:pPr>
        <w:pStyle w:val="BodyText"/>
        <w:spacing w:before="179"/>
        <w:rPr>
          <w:sz w:val="20"/>
        </w:rPr>
      </w:pPr>
      <w:r>
        <w:rPr>
          <w:sz w:val="20"/>
        </w:rPr>
        <mc:AlternateContent>
          <mc:Choice Requires="wps">
            <w:drawing>
              <wp:anchor distT="0" distB="0" distL="0" distR="0" allowOverlap="1" layoutInCell="1" locked="0" behindDoc="1" simplePos="0" relativeHeight="487697408">
                <wp:simplePos x="0" y="0"/>
                <wp:positionH relativeFrom="page">
                  <wp:posOffset>1080820</wp:posOffset>
                </wp:positionH>
                <wp:positionV relativeFrom="paragraph">
                  <wp:posOffset>277526</wp:posOffset>
                </wp:positionV>
                <wp:extent cx="5715000" cy="3650615"/>
                <wp:effectExtent l="0" t="0" r="0" b="0"/>
                <wp:wrapTopAndBottom/>
                <wp:docPr id="560" name="Textbox 560"/>
                <wp:cNvGraphicFramePr>
                  <a:graphicFrameLocks/>
                </wp:cNvGraphicFramePr>
                <a:graphic>
                  <a:graphicData uri="http://schemas.microsoft.com/office/word/2010/wordprocessingShape">
                    <wps:wsp>
                      <wps:cNvPr id="560" name="Textbox 560"/>
                      <wps:cNvSpPr txBox="1"/>
                      <wps:spPr>
                        <a:xfrm>
                          <a:off x="0" y="0"/>
                          <a:ext cx="5715000" cy="365061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1"/>
                              <w:jc w:val="both"/>
                            </w:pPr>
                            <w:r>
                              <w:rPr/>
                              <w:t>La</w:t>
                            </w:r>
                            <w:r>
                              <w:rPr>
                                <w:spacing w:val="-1"/>
                              </w:rPr>
                              <w:t> </w:t>
                            </w:r>
                            <w:r>
                              <w:rPr/>
                              <w:t>cuenta de</w:t>
                            </w:r>
                            <w:r>
                              <w:rPr>
                                <w:spacing w:val="-2"/>
                              </w:rPr>
                              <w:t> </w:t>
                            </w:r>
                            <w:r>
                              <w:rPr/>
                              <w:t>Transferencias corrientes registra los recursos recibidos provenientes</w:t>
                            </w:r>
                            <w:r>
                              <w:rPr>
                                <w:spacing w:val="-2"/>
                              </w:rPr>
                              <w:t> </w:t>
                            </w:r>
                            <w:r>
                              <w:rPr/>
                              <w:t>del</w:t>
                            </w:r>
                            <w:r>
                              <w:rPr>
                                <w:spacing w:val="-1"/>
                              </w:rPr>
                              <w:t> </w:t>
                            </w:r>
                            <w:r>
                              <w:rPr/>
                              <w:t>sector público interno, destinados específicamente</w:t>
                            </w:r>
                            <w:r>
                              <w:rPr>
                                <w:spacing w:val="-1"/>
                              </w:rPr>
                              <w:t> </w:t>
                            </w:r>
                            <w:r>
                              <w:rPr/>
                              <w:t>para</w:t>
                            </w:r>
                            <w:r>
                              <w:rPr>
                                <w:spacing w:val="-1"/>
                              </w:rPr>
                              <w:t> </w:t>
                            </w:r>
                            <w:r>
                              <w:rPr/>
                              <w:t>los programas</w:t>
                            </w:r>
                            <w:r>
                              <w:rPr>
                                <w:spacing w:val="-1"/>
                              </w:rPr>
                              <w:t> </w:t>
                            </w:r>
                            <w:r>
                              <w:rPr/>
                              <w:t>sociales de</w:t>
                            </w:r>
                            <w:r>
                              <w:rPr>
                                <w:spacing w:val="-2"/>
                              </w:rPr>
                              <w:t> </w:t>
                            </w:r>
                            <w:r>
                              <w:rPr/>
                              <w:t>la</w:t>
                            </w:r>
                            <w:r>
                              <w:rPr>
                                <w:spacing w:val="-1"/>
                              </w:rPr>
                              <w:t> </w:t>
                            </w:r>
                            <w:r>
                              <w:rPr/>
                              <w:t>institución en cumplimiento de metas y objetivos institucionales y gubernamentales. Los conceptos que componen la cuenta son: Donaciones capital del Gobierno Central, Otras transferencias corrientes de Órganos Desconcentrados, Otras transferencias corrientes de Instituciones y Donaciones de capital de empresas privadas.</w:t>
                            </w:r>
                          </w:p>
                          <w:p>
                            <w:pPr>
                              <w:pStyle w:val="BodyText"/>
                              <w:spacing w:before="39"/>
                            </w:pPr>
                          </w:p>
                          <w:p>
                            <w:pPr>
                              <w:pStyle w:val="BodyText"/>
                              <w:spacing w:line="276" w:lineRule="auto"/>
                              <w:ind w:left="103" w:right="103"/>
                              <w:jc w:val="both"/>
                            </w:pPr>
                            <w:r>
                              <w:rPr/>
                              <w:t>La ejecución de estos recursos se realiza conforme al marco legal institucional, bajo principios de legalidad, eficiencia, eficacia y transparencia.</w:t>
                            </w:r>
                          </w:p>
                          <w:p>
                            <w:pPr>
                              <w:pStyle w:val="BodyText"/>
                              <w:spacing w:before="38"/>
                            </w:pPr>
                          </w:p>
                          <w:p>
                            <w:pPr>
                              <w:pStyle w:val="BodyText"/>
                              <w:ind w:left="103"/>
                              <w:jc w:val="both"/>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wps:txbx>
                      <wps:bodyPr wrap="square" lIns="0" tIns="0" rIns="0" bIns="0" rtlCol="0">
                        <a:noAutofit/>
                      </wps:bodyPr>
                    </wps:wsp>
                  </a:graphicData>
                </a:graphic>
              </wp:anchor>
            </w:drawing>
          </mc:Choice>
          <mc:Fallback>
            <w:pict>
              <v:shape style="position:absolute;margin-left:85.103996pt;margin-top:21.852495pt;width:450pt;height:287.45pt;mso-position-horizontal-relative:page;mso-position-vertical-relative:paragraph;z-index:-15619072;mso-wrap-distance-left:0;mso-wrap-distance-right:0" type="#_x0000_t202" id="docshape53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1"/>
                        <w:jc w:val="both"/>
                      </w:pPr>
                      <w:r>
                        <w:rPr/>
                        <w:t>La</w:t>
                      </w:r>
                      <w:r>
                        <w:rPr>
                          <w:spacing w:val="-1"/>
                        </w:rPr>
                        <w:t> </w:t>
                      </w:r>
                      <w:r>
                        <w:rPr/>
                        <w:t>cuenta de</w:t>
                      </w:r>
                      <w:r>
                        <w:rPr>
                          <w:spacing w:val="-2"/>
                        </w:rPr>
                        <w:t> </w:t>
                      </w:r>
                      <w:r>
                        <w:rPr/>
                        <w:t>Transferencias corrientes registra los recursos recibidos provenientes</w:t>
                      </w:r>
                      <w:r>
                        <w:rPr>
                          <w:spacing w:val="-2"/>
                        </w:rPr>
                        <w:t> </w:t>
                      </w:r>
                      <w:r>
                        <w:rPr/>
                        <w:t>del</w:t>
                      </w:r>
                      <w:r>
                        <w:rPr>
                          <w:spacing w:val="-1"/>
                        </w:rPr>
                        <w:t> </w:t>
                      </w:r>
                      <w:r>
                        <w:rPr/>
                        <w:t>sector público interno, destinados específicamente</w:t>
                      </w:r>
                      <w:r>
                        <w:rPr>
                          <w:spacing w:val="-1"/>
                        </w:rPr>
                        <w:t> </w:t>
                      </w:r>
                      <w:r>
                        <w:rPr/>
                        <w:t>para</w:t>
                      </w:r>
                      <w:r>
                        <w:rPr>
                          <w:spacing w:val="-1"/>
                        </w:rPr>
                        <w:t> </w:t>
                      </w:r>
                      <w:r>
                        <w:rPr/>
                        <w:t>los programas</w:t>
                      </w:r>
                      <w:r>
                        <w:rPr>
                          <w:spacing w:val="-1"/>
                        </w:rPr>
                        <w:t> </w:t>
                      </w:r>
                      <w:r>
                        <w:rPr/>
                        <w:t>sociales de</w:t>
                      </w:r>
                      <w:r>
                        <w:rPr>
                          <w:spacing w:val="-2"/>
                        </w:rPr>
                        <w:t> </w:t>
                      </w:r>
                      <w:r>
                        <w:rPr/>
                        <w:t>la</w:t>
                      </w:r>
                      <w:r>
                        <w:rPr>
                          <w:spacing w:val="-1"/>
                        </w:rPr>
                        <w:t> </w:t>
                      </w:r>
                      <w:r>
                        <w:rPr/>
                        <w:t>institución en cumplimiento de metas y objetivos institucionales y gubernamentales. Los conceptos que componen la cuenta son: Donaciones capital del Gobierno Central, Otras transferencias corrientes de Órganos Desconcentrados, Otras transferencias corrientes de Instituciones y Donaciones de capital de empresas privadas.</w:t>
                      </w:r>
                    </w:p>
                    <w:p>
                      <w:pPr>
                        <w:pStyle w:val="BodyText"/>
                        <w:spacing w:before="39"/>
                      </w:pPr>
                    </w:p>
                    <w:p>
                      <w:pPr>
                        <w:pStyle w:val="BodyText"/>
                        <w:spacing w:line="276" w:lineRule="auto"/>
                        <w:ind w:left="103" w:right="103"/>
                        <w:jc w:val="both"/>
                      </w:pPr>
                      <w:r>
                        <w:rPr/>
                        <w:t>La ejecución de estos recursos se realiza conforme al marco legal institucional, bajo principios de legalidad, eficiencia, eficacia y transparencia.</w:t>
                      </w:r>
                    </w:p>
                    <w:p>
                      <w:pPr>
                        <w:pStyle w:val="BodyText"/>
                        <w:spacing w:before="38"/>
                      </w:pPr>
                    </w:p>
                    <w:p>
                      <w:pPr>
                        <w:pStyle w:val="BodyText"/>
                        <w:ind w:left="103"/>
                        <w:jc w:val="both"/>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96" w:id="97"/>
      <w:bookmarkEnd w:id="97"/>
      <w:r>
        <w:rPr/>
      </w:r>
      <w:r>
        <w:rPr>
          <w:b/>
          <w:sz w:val="22"/>
        </w:rPr>
        <w:t>NOTA</w:t>
      </w:r>
      <w:r>
        <w:rPr>
          <w:b/>
          <w:spacing w:val="-1"/>
          <w:sz w:val="22"/>
        </w:rPr>
        <w:t> </w:t>
      </w:r>
      <w:r>
        <w:rPr>
          <w:b/>
          <w:sz w:val="22"/>
        </w:rPr>
        <w:t>N° </w:t>
      </w:r>
      <w:r>
        <w:rPr>
          <w:b/>
          <w:spacing w:val="-5"/>
          <w:sz w:val="22"/>
        </w:rPr>
        <w:t>51</w:t>
      </w:r>
    </w:p>
    <w:p>
      <w:pPr>
        <w:pStyle w:val="BodyText"/>
        <w:spacing w:before="126"/>
        <w:ind w:left="622"/>
      </w:pPr>
      <w:r>
        <w:rPr/>
        <w:t>Transferencias</w:t>
      </w:r>
      <w:r>
        <w:rPr>
          <w:spacing w:val="-5"/>
        </w:rPr>
        <w:t> </w:t>
      </w:r>
      <w:r>
        <w:rPr/>
        <w:t>de</w:t>
      </w:r>
      <w:r>
        <w:rPr>
          <w:spacing w:val="-5"/>
        </w:rPr>
        <w:t> </w:t>
      </w:r>
      <w:r>
        <w:rPr>
          <w:spacing w:val="-2"/>
        </w:rPr>
        <w:t>capital</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98"/>
        <w:gridCol w:w="3042"/>
        <w:gridCol w:w="643"/>
        <w:gridCol w:w="1659"/>
        <w:gridCol w:w="1661"/>
        <w:gridCol w:w="1241"/>
      </w:tblGrid>
      <w:tr>
        <w:trPr>
          <w:trHeight w:val="323" w:hRule="atLeast"/>
        </w:trPr>
        <w:tc>
          <w:tcPr>
            <w:tcW w:w="898" w:type="dxa"/>
            <w:vMerge w:val="restart"/>
            <w:shd w:val="clear" w:color="auto" w:fill="365F92"/>
          </w:tcPr>
          <w:p>
            <w:pPr>
              <w:pStyle w:val="TableParagraph"/>
              <w:spacing w:before="207"/>
              <w:ind w:left="69"/>
              <w:rPr>
                <w:sz w:val="22"/>
              </w:rPr>
            </w:pPr>
            <w:r>
              <w:rPr>
                <w:spacing w:val="-2"/>
                <w:sz w:val="22"/>
              </w:rPr>
              <w:t>Cuenta</w:t>
            </w:r>
          </w:p>
        </w:tc>
        <w:tc>
          <w:tcPr>
            <w:tcW w:w="3042" w:type="dxa"/>
            <w:vMerge w:val="restart"/>
            <w:shd w:val="clear" w:color="auto" w:fill="365F92"/>
          </w:tcPr>
          <w:p>
            <w:pPr>
              <w:pStyle w:val="TableParagraph"/>
              <w:spacing w:before="207"/>
              <w:ind w:left="990"/>
              <w:rPr>
                <w:sz w:val="22"/>
              </w:rPr>
            </w:pPr>
            <w:r>
              <w:rPr>
                <w:spacing w:val="-2"/>
                <w:sz w:val="22"/>
              </w:rPr>
              <w:t>Descripción</w:t>
            </w:r>
          </w:p>
        </w:tc>
        <w:tc>
          <w:tcPr>
            <w:tcW w:w="643" w:type="dxa"/>
            <w:vMerge w:val="restart"/>
            <w:shd w:val="clear" w:color="auto" w:fill="365F92"/>
          </w:tcPr>
          <w:p>
            <w:pPr>
              <w:pStyle w:val="TableParagraph"/>
              <w:spacing w:before="207"/>
              <w:ind w:left="104"/>
              <w:rPr>
                <w:sz w:val="22"/>
              </w:rPr>
            </w:pPr>
            <w:r>
              <w:rPr>
                <w:spacing w:val="-4"/>
                <w:sz w:val="22"/>
              </w:rPr>
              <w:t>Nota</w:t>
            </w:r>
          </w:p>
        </w:tc>
        <w:tc>
          <w:tcPr>
            <w:tcW w:w="1659" w:type="dxa"/>
            <w:vMerge w:val="restart"/>
            <w:shd w:val="clear" w:color="auto" w:fill="365F92"/>
          </w:tcPr>
          <w:p>
            <w:pPr>
              <w:pStyle w:val="TableParagraph"/>
              <w:spacing w:before="207"/>
              <w:ind w:left="193"/>
              <w:rPr>
                <w:b/>
                <w:sz w:val="22"/>
              </w:rPr>
            </w:pPr>
            <w:r>
              <w:rPr>
                <w:sz w:val="22"/>
              </w:rPr>
              <w:t>Periodo</w:t>
            </w:r>
            <w:r>
              <w:rPr>
                <w:spacing w:val="-6"/>
                <w:sz w:val="22"/>
              </w:rPr>
              <w:t> </w:t>
            </w:r>
            <w:r>
              <w:rPr>
                <w:b/>
                <w:spacing w:val="-2"/>
                <w:sz w:val="22"/>
              </w:rPr>
              <w:t>Actual</w:t>
            </w:r>
          </w:p>
        </w:tc>
        <w:tc>
          <w:tcPr>
            <w:tcW w:w="1661" w:type="dxa"/>
            <w:vMerge w:val="restart"/>
            <w:shd w:val="clear" w:color="auto" w:fill="365F92"/>
          </w:tcPr>
          <w:p>
            <w:pPr>
              <w:pStyle w:val="TableParagraph"/>
              <w:spacing w:before="82"/>
              <w:ind w:left="455" w:right="430" w:firstLine="50"/>
              <w:rPr>
                <w:sz w:val="22"/>
              </w:rPr>
            </w:pPr>
            <w:r>
              <w:rPr>
                <w:spacing w:val="-2"/>
                <w:sz w:val="22"/>
              </w:rPr>
              <w:t>Periodo Anterior</w:t>
            </w:r>
          </w:p>
        </w:tc>
        <w:tc>
          <w:tcPr>
            <w:tcW w:w="1241" w:type="dxa"/>
            <w:shd w:val="clear" w:color="auto" w:fill="365F92"/>
          </w:tcPr>
          <w:p>
            <w:pPr>
              <w:pStyle w:val="TableParagraph"/>
              <w:spacing w:before="36"/>
              <w:ind w:left="16" w:right="4"/>
              <w:jc w:val="center"/>
              <w:rPr>
                <w:sz w:val="22"/>
              </w:rPr>
            </w:pPr>
            <w:r>
              <w:rPr>
                <w:spacing w:val="-2"/>
                <w:sz w:val="22"/>
              </w:rPr>
              <w:t>Diferencia</w:t>
            </w:r>
          </w:p>
        </w:tc>
      </w:tr>
      <w:tr>
        <w:trPr>
          <w:trHeight w:val="323" w:hRule="atLeast"/>
        </w:trPr>
        <w:tc>
          <w:tcPr>
            <w:tcW w:w="898" w:type="dxa"/>
            <w:vMerge/>
            <w:tcBorders>
              <w:top w:val="nil"/>
            </w:tcBorders>
            <w:shd w:val="clear" w:color="auto" w:fill="365F92"/>
          </w:tcPr>
          <w:p>
            <w:pPr>
              <w:rPr>
                <w:sz w:val="2"/>
                <w:szCs w:val="2"/>
              </w:rPr>
            </w:pPr>
          </w:p>
        </w:tc>
        <w:tc>
          <w:tcPr>
            <w:tcW w:w="3042"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1659" w:type="dxa"/>
            <w:vMerge/>
            <w:tcBorders>
              <w:top w:val="nil"/>
            </w:tcBorders>
            <w:shd w:val="clear" w:color="auto" w:fill="365F92"/>
          </w:tcPr>
          <w:p>
            <w:pPr>
              <w:rPr>
                <w:sz w:val="2"/>
                <w:szCs w:val="2"/>
              </w:rPr>
            </w:pPr>
          </w:p>
        </w:tc>
        <w:tc>
          <w:tcPr>
            <w:tcW w:w="1661" w:type="dxa"/>
            <w:vMerge/>
            <w:tcBorders>
              <w:top w:val="nil"/>
            </w:tcBorders>
            <w:shd w:val="clear" w:color="auto" w:fill="365F92"/>
          </w:tcPr>
          <w:p>
            <w:pPr>
              <w:rPr>
                <w:sz w:val="2"/>
                <w:szCs w:val="2"/>
              </w:rPr>
            </w:pPr>
          </w:p>
        </w:tc>
        <w:tc>
          <w:tcPr>
            <w:tcW w:w="1241" w:type="dxa"/>
            <w:shd w:val="clear" w:color="auto" w:fill="365F92"/>
          </w:tcPr>
          <w:p>
            <w:pPr>
              <w:pStyle w:val="TableParagraph"/>
              <w:spacing w:before="36"/>
              <w:ind w:left="16"/>
              <w:jc w:val="center"/>
              <w:rPr>
                <w:sz w:val="22"/>
              </w:rPr>
            </w:pPr>
            <w:r>
              <w:rPr>
                <w:spacing w:val="-10"/>
                <w:sz w:val="22"/>
              </w:rPr>
              <w:t>%</w:t>
            </w:r>
          </w:p>
        </w:tc>
      </w:tr>
      <w:tr>
        <w:trPr>
          <w:trHeight w:val="325" w:hRule="atLeast"/>
        </w:trPr>
        <w:tc>
          <w:tcPr>
            <w:tcW w:w="898" w:type="dxa"/>
          </w:tcPr>
          <w:p>
            <w:pPr>
              <w:pStyle w:val="TableParagraph"/>
              <w:spacing w:before="36"/>
              <w:ind w:left="69"/>
              <w:rPr>
                <w:b/>
                <w:sz w:val="22"/>
              </w:rPr>
            </w:pPr>
            <w:r>
              <w:rPr>
                <w:b/>
                <w:spacing w:val="-2"/>
                <w:sz w:val="22"/>
              </w:rPr>
              <w:t>4.6.2.</w:t>
            </w:r>
          </w:p>
        </w:tc>
        <w:tc>
          <w:tcPr>
            <w:tcW w:w="3042" w:type="dxa"/>
          </w:tcPr>
          <w:p>
            <w:pPr>
              <w:pStyle w:val="TableParagraph"/>
              <w:spacing w:before="36"/>
              <w:ind w:left="68"/>
              <w:rPr>
                <w:b/>
                <w:sz w:val="22"/>
              </w:rPr>
            </w:pPr>
            <w:r>
              <w:rPr>
                <w:b/>
                <w:sz w:val="22"/>
              </w:rPr>
              <w:t>Transferencias</w:t>
            </w:r>
            <w:r>
              <w:rPr>
                <w:b/>
                <w:spacing w:val="-4"/>
                <w:sz w:val="22"/>
              </w:rPr>
              <w:t> </w:t>
            </w:r>
            <w:r>
              <w:rPr>
                <w:b/>
                <w:sz w:val="22"/>
              </w:rPr>
              <w:t>de</w:t>
            </w:r>
            <w:r>
              <w:rPr>
                <w:b/>
                <w:spacing w:val="-4"/>
                <w:sz w:val="22"/>
              </w:rPr>
              <w:t> </w:t>
            </w:r>
            <w:r>
              <w:rPr>
                <w:b/>
                <w:spacing w:val="-2"/>
                <w:sz w:val="22"/>
              </w:rPr>
              <w:t>capital</w:t>
            </w:r>
          </w:p>
        </w:tc>
        <w:tc>
          <w:tcPr>
            <w:tcW w:w="643" w:type="dxa"/>
          </w:tcPr>
          <w:p>
            <w:pPr>
              <w:pStyle w:val="TableParagraph"/>
              <w:spacing w:before="36"/>
              <w:ind w:left="212"/>
              <w:rPr>
                <w:b/>
                <w:sz w:val="22"/>
              </w:rPr>
            </w:pPr>
            <w:r>
              <w:rPr>
                <w:b/>
                <w:spacing w:val="-5"/>
                <w:sz w:val="22"/>
              </w:rPr>
              <w:t>51</w:t>
            </w:r>
          </w:p>
        </w:tc>
        <w:tc>
          <w:tcPr>
            <w:tcW w:w="1659" w:type="dxa"/>
          </w:tcPr>
          <w:p>
            <w:pPr>
              <w:pStyle w:val="TableParagraph"/>
              <w:spacing w:before="49"/>
              <w:ind w:left="383"/>
              <w:rPr>
                <w:b/>
                <w:sz w:val="20"/>
              </w:rPr>
            </w:pPr>
            <w:r>
              <w:rPr>
                <w:b/>
                <w:sz w:val="20"/>
              </w:rPr>
              <w:t>446</w:t>
            </w:r>
            <w:r>
              <w:rPr>
                <w:b/>
                <w:spacing w:val="-3"/>
                <w:sz w:val="20"/>
              </w:rPr>
              <w:t> </w:t>
            </w:r>
            <w:r>
              <w:rPr>
                <w:b/>
                <w:spacing w:val="-2"/>
                <w:sz w:val="20"/>
              </w:rPr>
              <w:t>030.79</w:t>
            </w:r>
          </w:p>
        </w:tc>
        <w:tc>
          <w:tcPr>
            <w:tcW w:w="1661" w:type="dxa"/>
          </w:tcPr>
          <w:p>
            <w:pPr>
              <w:pStyle w:val="TableParagraph"/>
              <w:spacing w:before="49"/>
              <w:ind w:left="385"/>
              <w:rPr>
                <w:b/>
                <w:sz w:val="20"/>
              </w:rPr>
            </w:pPr>
            <w:r>
              <w:rPr>
                <w:b/>
                <w:sz w:val="20"/>
              </w:rPr>
              <w:t>982</w:t>
            </w:r>
            <w:r>
              <w:rPr>
                <w:b/>
                <w:spacing w:val="-3"/>
                <w:sz w:val="20"/>
              </w:rPr>
              <w:t> </w:t>
            </w:r>
            <w:r>
              <w:rPr>
                <w:b/>
                <w:spacing w:val="-2"/>
                <w:sz w:val="20"/>
              </w:rPr>
              <w:t>511,97</w:t>
            </w:r>
          </w:p>
        </w:tc>
        <w:tc>
          <w:tcPr>
            <w:tcW w:w="1241" w:type="dxa"/>
          </w:tcPr>
          <w:p>
            <w:pPr>
              <w:pStyle w:val="TableParagraph"/>
              <w:spacing w:before="49"/>
              <w:ind w:left="16" w:right="3"/>
              <w:jc w:val="center"/>
              <w:rPr>
                <w:b/>
                <w:sz w:val="20"/>
              </w:rPr>
            </w:pPr>
            <w:r>
              <w:rPr>
                <w:b/>
                <w:spacing w:val="-2"/>
                <w:sz w:val="20"/>
              </w:rPr>
              <w:t>-54,60%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5840">
                <wp:simplePos x="0" y="0"/>
                <wp:positionH relativeFrom="page">
                  <wp:posOffset>9525</wp:posOffset>
                </wp:positionH>
                <wp:positionV relativeFrom="page">
                  <wp:posOffset>297208</wp:posOffset>
                </wp:positionV>
                <wp:extent cx="7762875" cy="9748520"/>
                <wp:effectExtent l="0" t="0" r="0" b="0"/>
                <wp:wrapNone/>
                <wp:docPr id="561" name="Group 561"/>
                <wp:cNvGraphicFramePr>
                  <a:graphicFrameLocks/>
                </wp:cNvGraphicFramePr>
                <a:graphic>
                  <a:graphicData uri="http://schemas.microsoft.com/office/word/2010/wordprocessingGroup">
                    <wpg:wgp>
                      <wpg:cNvPr id="561" name="Group 561"/>
                      <wpg:cNvGrpSpPr/>
                      <wpg:grpSpPr>
                        <a:xfrm>
                          <a:off x="0" y="0"/>
                          <a:ext cx="7762875" cy="9748520"/>
                          <a:chExt cx="7762875" cy="9748520"/>
                        </a:xfrm>
                      </wpg:grpSpPr>
                      <pic:pic>
                        <pic:nvPicPr>
                          <pic:cNvPr id="562" name="Image 562"/>
                          <pic:cNvPicPr/>
                        </pic:nvPicPr>
                        <pic:blipFill>
                          <a:blip r:embed="rId5" cstate="print"/>
                          <a:stretch>
                            <a:fillRect/>
                          </a:stretch>
                        </pic:blipFill>
                        <pic:spPr>
                          <a:xfrm>
                            <a:off x="0" y="0"/>
                            <a:ext cx="7762874" cy="9748489"/>
                          </a:xfrm>
                          <a:prstGeom prst="rect">
                            <a:avLst/>
                          </a:prstGeom>
                        </pic:spPr>
                      </pic:pic>
                      <wps:wsp>
                        <wps:cNvPr id="563" name="Graphic 56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80640" id="docshapegroup539" coordorigin="15,468" coordsize="12225,15352">
                <v:shape style="position:absolute;left:15;top:468;width:12225;height:15352" type="#_x0000_t75" id="docshape540" stroked="false">
                  <v:imagedata r:id="rId5" o:title=""/>
                </v:shape>
                <v:rect style="position:absolute;left:1673;top:2028;width:8897;height:15" id="docshape54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114</w:t>
      </w:r>
    </w:p>
    <w:p>
      <w:pPr>
        <w:pStyle w:val="BodyText"/>
        <w:spacing w:before="218"/>
        <w:ind w:left="622"/>
      </w:pPr>
      <w:r>
        <w:rPr>
          <w:spacing w:val="-2"/>
        </w:rPr>
        <w:t>Detalle:</w:t>
      </w:r>
    </w:p>
    <w:p>
      <w:pPr>
        <w:pStyle w:val="BodyText"/>
        <w:spacing w:before="9"/>
        <w:rPr>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40"/>
      </w:tblGrid>
      <w:tr>
        <w:trPr>
          <w:trHeight w:val="287" w:hRule="atLeast"/>
        </w:trPr>
        <w:tc>
          <w:tcPr>
            <w:tcW w:w="1241" w:type="dxa"/>
            <w:tcBorders>
              <w:bottom w:val="nil"/>
            </w:tcBorders>
            <w:shd w:val="clear" w:color="auto" w:fill="365F92"/>
          </w:tcPr>
          <w:p>
            <w:pPr>
              <w:pStyle w:val="TableParagraph"/>
              <w:spacing w:line="251" w:lineRule="exact" w:before="17"/>
              <w:ind w:left="69"/>
              <w:rPr>
                <w:b/>
                <w:sz w:val="22"/>
              </w:rPr>
            </w:pPr>
            <w:r>
              <w:rPr>
                <w:b/>
                <w:color w:val="FFFFFF"/>
                <w:spacing w:val="-2"/>
                <w:sz w:val="22"/>
              </w:rPr>
              <w:t>Cuenta</w:t>
            </w:r>
          </w:p>
        </w:tc>
        <w:tc>
          <w:tcPr>
            <w:tcW w:w="3140" w:type="dxa"/>
            <w:tcBorders>
              <w:bottom w:val="nil"/>
            </w:tcBorders>
            <w:shd w:val="clear" w:color="auto" w:fill="365F92"/>
          </w:tcPr>
          <w:p>
            <w:pPr>
              <w:pStyle w:val="TableParagraph"/>
              <w:spacing w:line="251" w:lineRule="exact" w:before="17"/>
              <w:ind w:left="1039"/>
              <w:rPr>
                <w:b/>
                <w:sz w:val="22"/>
              </w:rPr>
            </w:pPr>
            <w:r>
              <w:rPr>
                <w:b/>
                <w:color w:val="FFFFFF"/>
                <w:spacing w:val="-2"/>
                <w:sz w:val="22"/>
              </w:rPr>
              <w:t>Descripción</w:t>
            </w:r>
          </w:p>
        </w:tc>
      </w:tr>
      <w:tr>
        <w:trPr>
          <w:trHeight w:val="539" w:hRule="atLeast"/>
        </w:trPr>
        <w:tc>
          <w:tcPr>
            <w:tcW w:w="1241" w:type="dxa"/>
            <w:tcBorders>
              <w:top w:val="nil"/>
            </w:tcBorders>
          </w:tcPr>
          <w:p>
            <w:pPr>
              <w:pStyle w:val="TableParagraph"/>
              <w:spacing w:before="144"/>
              <w:ind w:left="69"/>
              <w:rPr>
                <w:b/>
                <w:sz w:val="22"/>
              </w:rPr>
            </w:pPr>
            <w:r>
              <w:rPr>
                <w:b/>
                <w:spacing w:val="-2"/>
                <w:sz w:val="22"/>
              </w:rPr>
              <w:t>4.6.2.02.</w:t>
            </w:r>
          </w:p>
        </w:tc>
        <w:tc>
          <w:tcPr>
            <w:tcW w:w="3140" w:type="dxa"/>
            <w:tcBorders>
              <w:top w:val="nil"/>
            </w:tcBorders>
          </w:tcPr>
          <w:p>
            <w:pPr>
              <w:pStyle w:val="TableParagraph"/>
              <w:spacing w:line="237" w:lineRule="auto" w:before="21"/>
              <w:ind w:left="68" w:right="105"/>
              <w:rPr>
                <w:b/>
                <w:sz w:val="22"/>
              </w:rPr>
            </w:pPr>
            <w:r>
              <w:rPr>
                <w:b/>
                <w:sz w:val="22"/>
              </w:rPr>
              <w:t>Transferencias</w:t>
            </w:r>
            <w:r>
              <w:rPr>
                <w:b/>
                <w:spacing w:val="-11"/>
                <w:sz w:val="22"/>
              </w:rPr>
              <w:t> </w:t>
            </w:r>
            <w:r>
              <w:rPr>
                <w:b/>
                <w:sz w:val="22"/>
              </w:rPr>
              <w:t>de</w:t>
            </w:r>
            <w:r>
              <w:rPr>
                <w:b/>
                <w:spacing w:val="-12"/>
                <w:sz w:val="22"/>
              </w:rPr>
              <w:t> </w:t>
            </w:r>
            <w:r>
              <w:rPr>
                <w:b/>
                <w:sz w:val="22"/>
              </w:rPr>
              <w:t>capital</w:t>
            </w:r>
            <w:r>
              <w:rPr>
                <w:b/>
                <w:spacing w:val="-13"/>
                <w:sz w:val="22"/>
              </w:rPr>
              <w:t> </w:t>
            </w:r>
            <w:r>
              <w:rPr>
                <w:b/>
                <w:sz w:val="22"/>
              </w:rPr>
              <w:t>del sector público interno</w:t>
            </w:r>
          </w:p>
        </w:tc>
      </w:tr>
    </w:tbl>
    <w:p>
      <w:pPr>
        <w:pStyle w:val="BodyText"/>
        <w:spacing w:before="43"/>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85"/>
        <w:gridCol w:w="1662"/>
        <w:gridCol w:w="870"/>
        <w:gridCol w:w="567"/>
        <w:gridCol w:w="1703"/>
        <w:gridCol w:w="1827"/>
        <w:gridCol w:w="1055"/>
      </w:tblGrid>
      <w:tr>
        <w:trPr>
          <w:trHeight w:val="325" w:hRule="atLeast"/>
        </w:trPr>
        <w:tc>
          <w:tcPr>
            <w:tcW w:w="1385" w:type="dxa"/>
            <w:vMerge w:val="restart"/>
            <w:shd w:val="clear" w:color="auto" w:fill="365F92"/>
          </w:tcPr>
          <w:p>
            <w:pPr>
              <w:pStyle w:val="TableParagraph"/>
              <w:spacing w:before="120"/>
              <w:ind w:left="69"/>
              <w:rPr>
                <w:b/>
                <w:sz w:val="22"/>
              </w:rPr>
            </w:pPr>
            <w:r>
              <w:rPr>
                <w:b/>
                <w:color w:val="FFFFFF"/>
                <w:spacing w:val="-2"/>
                <w:sz w:val="22"/>
              </w:rPr>
              <w:t>Cuenta</w:t>
            </w:r>
          </w:p>
        </w:tc>
        <w:tc>
          <w:tcPr>
            <w:tcW w:w="1662" w:type="dxa"/>
            <w:vMerge w:val="restart"/>
            <w:shd w:val="clear" w:color="auto" w:fill="365F92"/>
          </w:tcPr>
          <w:p>
            <w:pPr>
              <w:pStyle w:val="TableParagraph"/>
              <w:spacing w:before="209"/>
              <w:ind w:left="299"/>
              <w:rPr>
                <w:b/>
                <w:sz w:val="22"/>
              </w:rPr>
            </w:pPr>
            <w:r>
              <w:rPr>
                <w:b/>
                <w:color w:val="FFFFFF"/>
                <w:spacing w:val="-2"/>
                <w:sz w:val="22"/>
              </w:rPr>
              <w:t>Descripción</w:t>
            </w:r>
          </w:p>
        </w:tc>
        <w:tc>
          <w:tcPr>
            <w:tcW w:w="1437" w:type="dxa"/>
            <w:gridSpan w:val="2"/>
            <w:vMerge w:val="restart"/>
            <w:shd w:val="clear" w:color="auto" w:fill="365F92"/>
          </w:tcPr>
          <w:p>
            <w:pPr>
              <w:pStyle w:val="TableParagraph"/>
              <w:spacing w:before="209"/>
              <w:ind w:left="18"/>
              <w:jc w:val="center"/>
              <w:rPr>
                <w:b/>
                <w:sz w:val="22"/>
              </w:rPr>
            </w:pPr>
            <w:r>
              <w:rPr>
                <w:b/>
                <w:color w:val="FFFFFF"/>
                <w:spacing w:val="-4"/>
                <w:sz w:val="22"/>
              </w:rPr>
              <w:t>Nota</w:t>
            </w:r>
          </w:p>
        </w:tc>
        <w:tc>
          <w:tcPr>
            <w:tcW w:w="1703" w:type="dxa"/>
            <w:vMerge w:val="restart"/>
            <w:shd w:val="clear" w:color="auto" w:fill="365F92"/>
          </w:tcPr>
          <w:p>
            <w:pPr>
              <w:pStyle w:val="TableParagraph"/>
              <w:spacing w:before="209"/>
              <w:ind w:left="215"/>
              <w:rPr>
                <w:b/>
                <w:sz w:val="22"/>
              </w:rPr>
            </w:pPr>
            <w:r>
              <w:rPr>
                <w:b/>
                <w:color w:val="FFFFFF"/>
                <w:sz w:val="22"/>
              </w:rPr>
              <w:t>Periodo</w:t>
            </w:r>
            <w:r>
              <w:rPr>
                <w:b/>
                <w:color w:val="FFFFFF"/>
                <w:spacing w:val="-4"/>
                <w:sz w:val="22"/>
              </w:rPr>
              <w:t> </w:t>
            </w:r>
            <w:r>
              <w:rPr>
                <w:b/>
                <w:color w:val="FFFFFF"/>
                <w:spacing w:val="-2"/>
                <w:sz w:val="22"/>
              </w:rPr>
              <w:t>Actual</w:t>
            </w:r>
          </w:p>
        </w:tc>
        <w:tc>
          <w:tcPr>
            <w:tcW w:w="1827" w:type="dxa"/>
            <w:vMerge w:val="restart"/>
            <w:shd w:val="clear" w:color="auto" w:fill="365F92"/>
          </w:tcPr>
          <w:p>
            <w:pPr>
              <w:pStyle w:val="TableParagraph"/>
              <w:spacing w:before="209"/>
              <w:ind w:left="186"/>
              <w:rPr>
                <w:b/>
                <w:sz w:val="22"/>
              </w:rPr>
            </w:pPr>
            <w:r>
              <w:rPr>
                <w:b/>
                <w:color w:val="FFFFFF"/>
                <w:sz w:val="22"/>
              </w:rPr>
              <w:t>Periodo</w:t>
            </w:r>
            <w:r>
              <w:rPr>
                <w:b/>
                <w:color w:val="FFFFFF"/>
                <w:spacing w:val="-4"/>
                <w:sz w:val="22"/>
              </w:rPr>
              <w:t> </w:t>
            </w:r>
            <w:r>
              <w:rPr>
                <w:b/>
                <w:color w:val="FFFFFF"/>
                <w:spacing w:val="-2"/>
                <w:sz w:val="22"/>
              </w:rPr>
              <w:t>Anterior</w:t>
            </w:r>
          </w:p>
        </w:tc>
        <w:tc>
          <w:tcPr>
            <w:tcW w:w="1055" w:type="dxa"/>
            <w:shd w:val="clear" w:color="auto" w:fill="365F92"/>
          </w:tcPr>
          <w:p>
            <w:pPr>
              <w:pStyle w:val="TableParagraph"/>
              <w:spacing w:before="36"/>
              <w:ind w:left="11" w:right="1"/>
              <w:jc w:val="center"/>
              <w:rPr>
                <w:b/>
                <w:sz w:val="22"/>
              </w:rPr>
            </w:pPr>
            <w:r>
              <w:rPr>
                <w:b/>
                <w:color w:val="FFFFFF"/>
                <w:spacing w:val="-2"/>
                <w:sz w:val="22"/>
              </w:rPr>
              <w:t>Diferencia</w:t>
            </w:r>
          </w:p>
        </w:tc>
      </w:tr>
      <w:tr>
        <w:trPr>
          <w:trHeight w:val="323" w:hRule="atLeast"/>
        </w:trPr>
        <w:tc>
          <w:tcPr>
            <w:tcW w:w="1385" w:type="dxa"/>
            <w:vMerge/>
            <w:tcBorders>
              <w:top w:val="nil"/>
            </w:tcBorders>
            <w:shd w:val="clear" w:color="auto" w:fill="365F92"/>
          </w:tcPr>
          <w:p>
            <w:pPr>
              <w:rPr>
                <w:sz w:val="2"/>
                <w:szCs w:val="2"/>
              </w:rPr>
            </w:pPr>
          </w:p>
        </w:tc>
        <w:tc>
          <w:tcPr>
            <w:tcW w:w="1662" w:type="dxa"/>
            <w:vMerge/>
            <w:tcBorders>
              <w:top w:val="nil"/>
            </w:tcBorders>
            <w:shd w:val="clear" w:color="auto" w:fill="365F92"/>
          </w:tcPr>
          <w:p>
            <w:pPr>
              <w:rPr>
                <w:sz w:val="2"/>
                <w:szCs w:val="2"/>
              </w:rPr>
            </w:pPr>
          </w:p>
        </w:tc>
        <w:tc>
          <w:tcPr>
            <w:tcW w:w="1437" w:type="dxa"/>
            <w:gridSpan w:val="2"/>
            <w:vMerge/>
            <w:tcBorders>
              <w:top w:val="nil"/>
            </w:tcBorders>
            <w:shd w:val="clear" w:color="auto" w:fill="365F92"/>
          </w:tcPr>
          <w:p>
            <w:pPr>
              <w:rPr>
                <w:sz w:val="2"/>
                <w:szCs w:val="2"/>
              </w:rPr>
            </w:pPr>
          </w:p>
        </w:tc>
        <w:tc>
          <w:tcPr>
            <w:tcW w:w="1703" w:type="dxa"/>
            <w:vMerge/>
            <w:tcBorders>
              <w:top w:val="nil"/>
            </w:tcBorders>
            <w:shd w:val="clear" w:color="auto" w:fill="365F92"/>
          </w:tcPr>
          <w:p>
            <w:pPr>
              <w:rPr>
                <w:sz w:val="2"/>
                <w:szCs w:val="2"/>
              </w:rPr>
            </w:pPr>
          </w:p>
        </w:tc>
        <w:tc>
          <w:tcPr>
            <w:tcW w:w="1827" w:type="dxa"/>
            <w:vMerge/>
            <w:tcBorders>
              <w:top w:val="nil"/>
            </w:tcBorders>
            <w:shd w:val="clear" w:color="auto" w:fill="365F92"/>
          </w:tcPr>
          <w:p>
            <w:pPr>
              <w:rPr>
                <w:sz w:val="2"/>
                <w:szCs w:val="2"/>
              </w:rPr>
            </w:pPr>
          </w:p>
        </w:tc>
        <w:tc>
          <w:tcPr>
            <w:tcW w:w="1055" w:type="dxa"/>
            <w:shd w:val="clear" w:color="auto" w:fill="365F92"/>
          </w:tcPr>
          <w:p>
            <w:pPr>
              <w:pStyle w:val="TableParagraph"/>
              <w:spacing w:before="36"/>
              <w:ind w:left="11" w:right="3"/>
              <w:jc w:val="center"/>
              <w:rPr>
                <w:sz w:val="22"/>
              </w:rPr>
            </w:pPr>
            <w:r>
              <w:rPr>
                <w:color w:val="FFFFFF"/>
                <w:spacing w:val="-10"/>
                <w:sz w:val="22"/>
              </w:rPr>
              <w:t>%</w:t>
            </w:r>
          </w:p>
        </w:tc>
      </w:tr>
      <w:tr>
        <w:trPr>
          <w:trHeight w:val="503" w:hRule="atLeast"/>
        </w:trPr>
        <w:tc>
          <w:tcPr>
            <w:tcW w:w="1385" w:type="dxa"/>
          </w:tcPr>
          <w:p>
            <w:pPr>
              <w:pStyle w:val="TableParagraph"/>
              <w:spacing w:before="125"/>
              <w:ind w:left="69"/>
              <w:rPr>
                <w:b/>
                <w:sz w:val="22"/>
              </w:rPr>
            </w:pPr>
            <w:r>
              <w:rPr>
                <w:b/>
                <w:spacing w:val="-2"/>
                <w:sz w:val="22"/>
              </w:rPr>
              <w:t>4.6.2.02.</w:t>
            </w:r>
          </w:p>
        </w:tc>
        <w:tc>
          <w:tcPr>
            <w:tcW w:w="2532" w:type="dxa"/>
            <w:gridSpan w:val="2"/>
          </w:tcPr>
          <w:p>
            <w:pPr>
              <w:pStyle w:val="TableParagraph"/>
              <w:spacing w:line="251" w:lineRule="exact"/>
              <w:ind w:left="68"/>
              <w:rPr>
                <w:b/>
                <w:sz w:val="22"/>
              </w:rPr>
            </w:pPr>
            <w:r>
              <w:rPr>
                <w:b/>
                <w:sz w:val="22"/>
              </w:rPr>
              <w:t>Transferencias</w:t>
            </w:r>
            <w:r>
              <w:rPr>
                <w:b/>
                <w:spacing w:val="-4"/>
                <w:sz w:val="22"/>
              </w:rPr>
              <w:t> </w:t>
            </w:r>
            <w:r>
              <w:rPr>
                <w:b/>
                <w:sz w:val="22"/>
              </w:rPr>
              <w:t>de</w:t>
            </w:r>
            <w:r>
              <w:rPr>
                <w:b/>
                <w:spacing w:val="-4"/>
                <w:sz w:val="22"/>
              </w:rPr>
              <w:t> </w:t>
            </w:r>
            <w:r>
              <w:rPr>
                <w:b/>
                <w:spacing w:val="-2"/>
                <w:sz w:val="22"/>
              </w:rPr>
              <w:t>capital</w:t>
            </w:r>
          </w:p>
          <w:p>
            <w:pPr>
              <w:pStyle w:val="TableParagraph"/>
              <w:spacing w:line="233" w:lineRule="exact"/>
              <w:ind w:left="68"/>
              <w:rPr>
                <w:b/>
                <w:sz w:val="22"/>
              </w:rPr>
            </w:pPr>
            <w:r>
              <w:rPr>
                <w:b/>
                <w:sz w:val="22"/>
              </w:rPr>
              <w:t>del</w:t>
            </w:r>
            <w:r>
              <w:rPr>
                <w:b/>
                <w:spacing w:val="-3"/>
                <w:sz w:val="22"/>
              </w:rPr>
              <w:t> </w:t>
            </w:r>
            <w:r>
              <w:rPr>
                <w:b/>
                <w:sz w:val="22"/>
              </w:rPr>
              <w:t>sector</w:t>
            </w:r>
            <w:r>
              <w:rPr>
                <w:b/>
                <w:spacing w:val="-3"/>
                <w:sz w:val="22"/>
              </w:rPr>
              <w:t> </w:t>
            </w:r>
            <w:r>
              <w:rPr>
                <w:b/>
                <w:sz w:val="22"/>
              </w:rPr>
              <w:t>público</w:t>
            </w:r>
            <w:r>
              <w:rPr>
                <w:b/>
                <w:spacing w:val="-2"/>
                <w:sz w:val="22"/>
              </w:rPr>
              <w:t> interno</w:t>
            </w:r>
          </w:p>
        </w:tc>
        <w:tc>
          <w:tcPr>
            <w:tcW w:w="567" w:type="dxa"/>
          </w:tcPr>
          <w:p>
            <w:pPr>
              <w:pStyle w:val="TableParagraph"/>
              <w:spacing w:before="125"/>
              <w:ind w:left="170"/>
              <w:rPr>
                <w:b/>
                <w:sz w:val="22"/>
              </w:rPr>
            </w:pPr>
            <w:r>
              <w:rPr>
                <w:b/>
                <w:spacing w:val="-5"/>
                <w:sz w:val="22"/>
              </w:rPr>
              <w:t>51</w:t>
            </w:r>
          </w:p>
        </w:tc>
        <w:tc>
          <w:tcPr>
            <w:tcW w:w="1703" w:type="dxa"/>
          </w:tcPr>
          <w:p>
            <w:pPr>
              <w:pStyle w:val="TableParagraph"/>
              <w:spacing w:before="135"/>
              <w:ind w:left="402"/>
              <w:rPr>
                <w:b/>
                <w:sz w:val="20"/>
              </w:rPr>
            </w:pPr>
            <w:r>
              <w:rPr>
                <w:b/>
                <w:sz w:val="20"/>
              </w:rPr>
              <w:t>300</w:t>
            </w:r>
            <w:r>
              <w:rPr>
                <w:b/>
                <w:spacing w:val="-3"/>
                <w:sz w:val="20"/>
              </w:rPr>
              <w:t> </w:t>
            </w:r>
            <w:r>
              <w:rPr>
                <w:b/>
                <w:spacing w:val="-2"/>
                <w:sz w:val="20"/>
              </w:rPr>
              <w:t>068,33</w:t>
            </w:r>
          </w:p>
        </w:tc>
        <w:tc>
          <w:tcPr>
            <w:tcW w:w="1827" w:type="dxa"/>
          </w:tcPr>
          <w:p>
            <w:pPr>
              <w:pStyle w:val="TableParagraph"/>
              <w:spacing w:before="135"/>
              <w:ind w:left="466"/>
              <w:rPr>
                <w:b/>
                <w:sz w:val="20"/>
              </w:rPr>
            </w:pPr>
            <w:r>
              <w:rPr>
                <w:b/>
                <w:sz w:val="20"/>
              </w:rPr>
              <w:t>354</w:t>
            </w:r>
            <w:r>
              <w:rPr>
                <w:b/>
                <w:spacing w:val="-3"/>
                <w:sz w:val="20"/>
              </w:rPr>
              <w:t> </w:t>
            </w:r>
            <w:r>
              <w:rPr>
                <w:b/>
                <w:spacing w:val="-2"/>
                <w:sz w:val="20"/>
              </w:rPr>
              <w:t>568,87</w:t>
            </w:r>
          </w:p>
        </w:tc>
        <w:tc>
          <w:tcPr>
            <w:tcW w:w="1055" w:type="dxa"/>
          </w:tcPr>
          <w:p>
            <w:pPr>
              <w:pStyle w:val="TableParagraph"/>
              <w:spacing w:before="135"/>
              <w:ind w:left="11"/>
              <w:jc w:val="center"/>
              <w:rPr>
                <w:b/>
                <w:sz w:val="20"/>
              </w:rPr>
            </w:pPr>
            <w:r>
              <w:rPr>
                <w:b/>
                <w:spacing w:val="-2"/>
                <w:sz w:val="20"/>
              </w:rPr>
              <w:t>-15,37%</w:t>
            </w:r>
          </w:p>
        </w:tc>
      </w:tr>
    </w:tbl>
    <w:p>
      <w:pPr>
        <w:pStyle w:val="BodyText"/>
        <w:rPr>
          <w:sz w:val="20"/>
        </w:rPr>
      </w:pPr>
    </w:p>
    <w:p>
      <w:pPr>
        <w:pStyle w:val="BodyText"/>
        <w:spacing w:before="84"/>
        <w:rPr>
          <w:sz w:val="20"/>
        </w:rPr>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1"/>
        <w:gridCol w:w="5180"/>
        <w:gridCol w:w="1486"/>
      </w:tblGrid>
      <w:tr>
        <w:trPr>
          <w:trHeight w:val="503" w:hRule="atLeast"/>
        </w:trPr>
        <w:tc>
          <w:tcPr>
            <w:tcW w:w="1961" w:type="dxa"/>
            <w:shd w:val="clear" w:color="auto" w:fill="365F91"/>
          </w:tcPr>
          <w:p>
            <w:pPr>
              <w:pStyle w:val="TableParagraph"/>
              <w:ind w:left="57" w:right="51"/>
              <w:jc w:val="center"/>
              <w:rPr>
                <w:sz w:val="22"/>
              </w:rPr>
            </w:pPr>
            <w:r>
              <w:rPr>
                <w:color w:val="FFFFFF"/>
                <w:spacing w:val="-2"/>
                <w:sz w:val="22"/>
              </w:rPr>
              <w:t>CODIGO</w:t>
            </w:r>
          </w:p>
          <w:p>
            <w:pPr>
              <w:pStyle w:val="TableParagraph"/>
              <w:spacing w:line="231" w:lineRule="exact" w:before="1"/>
              <w:ind w:left="57" w:right="47"/>
              <w:jc w:val="center"/>
              <w:rPr>
                <w:sz w:val="22"/>
              </w:rPr>
            </w:pPr>
            <w:r>
              <w:rPr>
                <w:color w:val="FFFFFF"/>
                <w:spacing w:val="-2"/>
                <w:sz w:val="22"/>
              </w:rPr>
              <w:t>INSTITUCIONAL</w:t>
            </w:r>
          </w:p>
        </w:tc>
        <w:tc>
          <w:tcPr>
            <w:tcW w:w="5180" w:type="dxa"/>
            <w:shd w:val="clear" w:color="auto" w:fill="365F91"/>
          </w:tcPr>
          <w:p>
            <w:pPr>
              <w:pStyle w:val="TableParagraph"/>
              <w:spacing w:before="125"/>
              <w:ind w:left="1564"/>
              <w:rPr>
                <w:sz w:val="22"/>
              </w:rPr>
            </w:pPr>
            <w:r>
              <w:rPr>
                <w:color w:val="FFFFFF"/>
                <w:sz w:val="22"/>
              </w:rPr>
              <w:t>NOMBRE</w:t>
            </w:r>
            <w:r>
              <w:rPr>
                <w:color w:val="FFFFFF"/>
                <w:spacing w:val="-6"/>
                <w:sz w:val="22"/>
              </w:rPr>
              <w:t> </w:t>
            </w:r>
            <w:r>
              <w:rPr>
                <w:color w:val="FFFFFF"/>
                <w:spacing w:val="-2"/>
                <w:sz w:val="22"/>
              </w:rPr>
              <w:t>ENTIDAD</w:t>
            </w:r>
          </w:p>
        </w:tc>
        <w:tc>
          <w:tcPr>
            <w:tcW w:w="1486" w:type="dxa"/>
            <w:shd w:val="clear" w:color="auto" w:fill="365F91"/>
          </w:tcPr>
          <w:p>
            <w:pPr>
              <w:pStyle w:val="TableParagraph"/>
              <w:spacing w:before="125"/>
              <w:ind w:left="307"/>
              <w:rPr>
                <w:sz w:val="22"/>
              </w:rPr>
            </w:pPr>
            <w:r>
              <w:rPr>
                <w:color w:val="FFFFFF"/>
                <w:spacing w:val="-2"/>
                <w:sz w:val="22"/>
              </w:rPr>
              <w:t>MONTO</w:t>
            </w:r>
          </w:p>
        </w:tc>
      </w:tr>
      <w:tr>
        <w:trPr>
          <w:trHeight w:val="501" w:hRule="atLeast"/>
        </w:trPr>
        <w:tc>
          <w:tcPr>
            <w:tcW w:w="1961" w:type="dxa"/>
          </w:tcPr>
          <w:p>
            <w:pPr>
              <w:pStyle w:val="TableParagraph"/>
              <w:spacing w:before="125"/>
              <w:ind w:left="69"/>
              <w:rPr>
                <w:b/>
                <w:sz w:val="22"/>
              </w:rPr>
            </w:pPr>
            <w:r>
              <w:rPr>
                <w:b/>
                <w:spacing w:val="-2"/>
                <w:sz w:val="22"/>
              </w:rPr>
              <w:t>11206</w:t>
            </w:r>
          </w:p>
        </w:tc>
        <w:tc>
          <w:tcPr>
            <w:tcW w:w="5180" w:type="dxa"/>
          </w:tcPr>
          <w:p>
            <w:pPr>
              <w:pStyle w:val="TableParagraph"/>
              <w:spacing w:line="249" w:lineRule="exact"/>
              <w:ind w:left="69"/>
              <w:rPr>
                <w:b/>
                <w:sz w:val="22"/>
              </w:rPr>
            </w:pPr>
            <w:r>
              <w:rPr>
                <w:b/>
                <w:sz w:val="22"/>
              </w:rPr>
              <w:t>Ministerio</w:t>
            </w:r>
            <w:r>
              <w:rPr>
                <w:b/>
                <w:spacing w:val="-5"/>
                <w:sz w:val="22"/>
              </w:rPr>
              <w:t> </w:t>
            </w:r>
            <w:r>
              <w:rPr>
                <w:b/>
                <w:sz w:val="22"/>
              </w:rPr>
              <w:t>de</w:t>
            </w:r>
            <w:r>
              <w:rPr>
                <w:b/>
                <w:spacing w:val="-7"/>
                <w:sz w:val="22"/>
              </w:rPr>
              <w:t> </w:t>
            </w:r>
            <w:r>
              <w:rPr>
                <w:b/>
                <w:sz w:val="22"/>
              </w:rPr>
              <w:t>Hacienda</w:t>
            </w:r>
            <w:r>
              <w:rPr>
                <w:b/>
                <w:spacing w:val="-5"/>
                <w:sz w:val="22"/>
              </w:rPr>
              <w:t> </w:t>
            </w:r>
            <w:r>
              <w:rPr>
                <w:b/>
                <w:sz w:val="22"/>
              </w:rPr>
              <w:t>(MHD)-</w:t>
            </w:r>
            <w:r>
              <w:rPr>
                <w:b/>
                <w:spacing w:val="-2"/>
                <w:sz w:val="22"/>
              </w:rPr>
              <w:t>Donaciones</w:t>
            </w:r>
          </w:p>
        </w:tc>
        <w:tc>
          <w:tcPr>
            <w:tcW w:w="1486" w:type="dxa"/>
          </w:tcPr>
          <w:p>
            <w:pPr>
              <w:pStyle w:val="TableParagraph"/>
              <w:spacing w:before="125"/>
              <w:ind w:right="56"/>
              <w:jc w:val="right"/>
              <w:rPr>
                <w:b/>
                <w:sz w:val="22"/>
              </w:rPr>
            </w:pPr>
            <w:r>
              <w:rPr>
                <w:b/>
                <w:sz w:val="22"/>
              </w:rPr>
              <w:t>¢</w:t>
            </w:r>
            <w:r>
              <w:rPr>
                <w:b/>
                <w:spacing w:val="-1"/>
                <w:sz w:val="22"/>
              </w:rPr>
              <w:t> </w:t>
            </w:r>
            <w:r>
              <w:rPr>
                <w:b/>
                <w:spacing w:val="-2"/>
                <w:sz w:val="22"/>
              </w:rPr>
              <w:t>11.686,06</w:t>
            </w:r>
          </w:p>
        </w:tc>
      </w:tr>
      <w:tr>
        <w:trPr>
          <w:trHeight w:val="501" w:hRule="atLeast"/>
        </w:trPr>
        <w:tc>
          <w:tcPr>
            <w:tcW w:w="1961" w:type="dxa"/>
          </w:tcPr>
          <w:p>
            <w:pPr>
              <w:pStyle w:val="TableParagraph"/>
              <w:spacing w:before="125"/>
              <w:ind w:left="69"/>
              <w:rPr>
                <w:b/>
                <w:sz w:val="22"/>
              </w:rPr>
            </w:pPr>
            <w:r>
              <w:rPr>
                <w:b/>
                <w:spacing w:val="-2"/>
                <w:sz w:val="22"/>
              </w:rPr>
              <w:t>12700</w:t>
            </w:r>
          </w:p>
        </w:tc>
        <w:tc>
          <w:tcPr>
            <w:tcW w:w="5180" w:type="dxa"/>
          </w:tcPr>
          <w:p>
            <w:pPr>
              <w:pStyle w:val="TableParagraph"/>
              <w:spacing w:line="250" w:lineRule="exact"/>
              <w:ind w:left="69"/>
              <w:rPr>
                <w:b/>
                <w:sz w:val="22"/>
              </w:rPr>
            </w:pPr>
            <w:r>
              <w:rPr>
                <w:b/>
                <w:sz w:val="22"/>
              </w:rPr>
              <w:t>Fondo</w:t>
            </w:r>
            <w:r>
              <w:rPr>
                <w:b/>
                <w:spacing w:val="-4"/>
                <w:sz w:val="22"/>
              </w:rPr>
              <w:t> </w:t>
            </w:r>
            <w:r>
              <w:rPr>
                <w:b/>
                <w:sz w:val="22"/>
              </w:rPr>
              <w:t>de</w:t>
            </w:r>
            <w:r>
              <w:rPr>
                <w:b/>
                <w:spacing w:val="-3"/>
                <w:sz w:val="22"/>
              </w:rPr>
              <w:t> </w:t>
            </w:r>
            <w:r>
              <w:rPr>
                <w:b/>
                <w:sz w:val="22"/>
              </w:rPr>
              <w:t>Desarrollo</w:t>
            </w:r>
            <w:r>
              <w:rPr>
                <w:b/>
                <w:spacing w:val="-4"/>
                <w:sz w:val="22"/>
              </w:rPr>
              <w:t> </w:t>
            </w:r>
            <w:r>
              <w:rPr>
                <w:b/>
                <w:sz w:val="22"/>
              </w:rPr>
              <w:t>Social</w:t>
            </w:r>
            <w:r>
              <w:rPr>
                <w:b/>
                <w:spacing w:val="-3"/>
                <w:sz w:val="22"/>
              </w:rPr>
              <w:t> </w:t>
            </w:r>
            <w:r>
              <w:rPr>
                <w:b/>
                <w:sz w:val="22"/>
              </w:rPr>
              <w:t>y</w:t>
            </w:r>
            <w:r>
              <w:rPr>
                <w:b/>
                <w:spacing w:val="-6"/>
                <w:sz w:val="22"/>
              </w:rPr>
              <w:t> </w:t>
            </w:r>
            <w:r>
              <w:rPr>
                <w:b/>
                <w:sz w:val="22"/>
              </w:rPr>
              <w:t>Asignaciones</w:t>
            </w:r>
            <w:r>
              <w:rPr>
                <w:b/>
                <w:spacing w:val="-2"/>
                <w:sz w:val="22"/>
              </w:rPr>
              <w:t> Familiares</w:t>
            </w:r>
          </w:p>
          <w:p>
            <w:pPr>
              <w:pStyle w:val="TableParagraph"/>
              <w:spacing w:line="231" w:lineRule="exact"/>
              <w:ind w:left="69"/>
              <w:rPr>
                <w:b/>
                <w:sz w:val="22"/>
              </w:rPr>
            </w:pPr>
            <w:r>
              <w:rPr>
                <w:b/>
                <w:spacing w:val="-2"/>
                <w:sz w:val="22"/>
              </w:rPr>
              <w:t>(FODESAF)</w:t>
            </w:r>
          </w:p>
        </w:tc>
        <w:tc>
          <w:tcPr>
            <w:tcW w:w="1486" w:type="dxa"/>
          </w:tcPr>
          <w:p>
            <w:pPr>
              <w:pStyle w:val="TableParagraph"/>
              <w:spacing w:before="125"/>
              <w:ind w:right="57"/>
              <w:jc w:val="right"/>
              <w:rPr>
                <w:b/>
                <w:sz w:val="22"/>
              </w:rPr>
            </w:pPr>
            <w:r>
              <w:rPr>
                <w:b/>
                <w:sz w:val="22"/>
              </w:rPr>
              <w:t>¢</w:t>
            </w:r>
            <w:r>
              <w:rPr>
                <w:b/>
                <w:spacing w:val="-1"/>
                <w:sz w:val="22"/>
              </w:rPr>
              <w:t> </w:t>
            </w:r>
            <w:r>
              <w:rPr>
                <w:b/>
                <w:spacing w:val="-2"/>
                <w:sz w:val="22"/>
              </w:rPr>
              <w:t>283.587,07</w:t>
            </w:r>
          </w:p>
        </w:tc>
      </w:tr>
      <w:tr>
        <w:trPr>
          <w:trHeight w:val="251" w:hRule="atLeast"/>
        </w:trPr>
        <w:tc>
          <w:tcPr>
            <w:tcW w:w="1961" w:type="dxa"/>
          </w:tcPr>
          <w:p>
            <w:pPr>
              <w:pStyle w:val="TableParagraph"/>
              <w:spacing w:line="231" w:lineRule="exact"/>
              <w:ind w:left="69"/>
              <w:rPr>
                <w:b/>
                <w:sz w:val="22"/>
              </w:rPr>
            </w:pPr>
            <w:r>
              <w:rPr>
                <w:b/>
                <w:spacing w:val="-2"/>
                <w:sz w:val="22"/>
              </w:rPr>
              <w:t>21101</w:t>
            </w:r>
          </w:p>
        </w:tc>
        <w:tc>
          <w:tcPr>
            <w:tcW w:w="5180" w:type="dxa"/>
          </w:tcPr>
          <w:p>
            <w:pPr>
              <w:pStyle w:val="TableParagraph"/>
              <w:spacing w:line="231" w:lineRule="exact"/>
              <w:ind w:left="69"/>
              <w:rPr>
                <w:b/>
                <w:sz w:val="22"/>
              </w:rPr>
            </w:pPr>
            <w:r>
              <w:rPr>
                <w:b/>
                <w:sz w:val="22"/>
              </w:rPr>
              <w:t>Banco</w:t>
            </w:r>
            <w:r>
              <w:rPr>
                <w:b/>
                <w:spacing w:val="-2"/>
                <w:sz w:val="22"/>
              </w:rPr>
              <w:t> </w:t>
            </w:r>
            <w:r>
              <w:rPr>
                <w:b/>
                <w:sz w:val="22"/>
              </w:rPr>
              <w:t>de</w:t>
            </w:r>
            <w:r>
              <w:rPr>
                <w:b/>
                <w:spacing w:val="-4"/>
                <w:sz w:val="22"/>
              </w:rPr>
              <w:t> </w:t>
            </w:r>
            <w:r>
              <w:rPr>
                <w:b/>
                <w:sz w:val="22"/>
              </w:rPr>
              <w:t>Costa</w:t>
            </w:r>
            <w:r>
              <w:rPr>
                <w:b/>
                <w:spacing w:val="-4"/>
                <w:sz w:val="22"/>
              </w:rPr>
              <w:t> </w:t>
            </w:r>
            <w:r>
              <w:rPr>
                <w:b/>
                <w:sz w:val="22"/>
              </w:rPr>
              <w:t>Rica-</w:t>
            </w:r>
            <w:r>
              <w:rPr>
                <w:b/>
                <w:spacing w:val="-2"/>
                <w:sz w:val="22"/>
              </w:rPr>
              <w:t>Donaciones</w:t>
            </w:r>
          </w:p>
        </w:tc>
        <w:tc>
          <w:tcPr>
            <w:tcW w:w="1486" w:type="dxa"/>
          </w:tcPr>
          <w:p>
            <w:pPr>
              <w:pStyle w:val="TableParagraph"/>
              <w:spacing w:line="231" w:lineRule="exact"/>
              <w:ind w:right="57"/>
              <w:jc w:val="right"/>
              <w:rPr>
                <w:b/>
                <w:sz w:val="22"/>
              </w:rPr>
            </w:pPr>
            <w:r>
              <w:rPr>
                <w:b/>
                <w:sz w:val="22"/>
              </w:rPr>
              <w:t>¢ </w:t>
            </w:r>
            <w:r>
              <w:rPr>
                <w:b/>
                <w:spacing w:val="-2"/>
                <w:sz w:val="22"/>
              </w:rPr>
              <w:t>4.795,20</w:t>
            </w:r>
          </w:p>
        </w:tc>
      </w:tr>
      <w:tr>
        <w:trPr>
          <w:trHeight w:val="251" w:hRule="atLeast"/>
        </w:trPr>
        <w:tc>
          <w:tcPr>
            <w:tcW w:w="1961" w:type="dxa"/>
          </w:tcPr>
          <w:p>
            <w:pPr>
              <w:pStyle w:val="TableParagraph"/>
              <w:rPr>
                <w:rFonts w:ascii="Times New Roman"/>
                <w:sz w:val="18"/>
              </w:rPr>
            </w:pPr>
          </w:p>
        </w:tc>
        <w:tc>
          <w:tcPr>
            <w:tcW w:w="5180" w:type="dxa"/>
          </w:tcPr>
          <w:p>
            <w:pPr>
              <w:pStyle w:val="TableParagraph"/>
              <w:rPr>
                <w:rFonts w:ascii="Times New Roman"/>
                <w:sz w:val="18"/>
              </w:rPr>
            </w:pPr>
          </w:p>
        </w:tc>
        <w:tc>
          <w:tcPr>
            <w:tcW w:w="1486" w:type="dxa"/>
          </w:tcPr>
          <w:p>
            <w:pPr>
              <w:pStyle w:val="TableParagraph"/>
              <w:rPr>
                <w:rFonts w:ascii="Times New Roman"/>
                <w:sz w:val="18"/>
              </w:rPr>
            </w:pPr>
          </w:p>
        </w:tc>
      </w:tr>
    </w:tbl>
    <w:p>
      <w:pPr>
        <w:pStyle w:val="Heading6"/>
        <w:spacing w:before="242"/>
        <w:ind w:left="677"/>
      </w:pPr>
      <w:r>
        <w:rPr>
          <w:spacing w:val="-2"/>
        </w:rPr>
        <w:t>Revelación:</w:t>
      </w:r>
    </w:p>
    <w:p>
      <w:pPr>
        <w:pStyle w:val="BodyText"/>
        <w:spacing w:before="179"/>
        <w:ind w:left="622" w:right="977"/>
        <w:jc w:val="both"/>
      </w:pPr>
      <w:r>
        <w:rPr/>
        <w:t>La cuenta Transferencias de capital, representa el 0,31% del total del Ingresos, que comparado al periodo anterior genera una variación absoluta de ¢-536.481,18 que corresponde a una disminución del -54,60% de recursos disponibles.</w:t>
      </w:r>
    </w:p>
    <w:p>
      <w:pPr>
        <w:pStyle w:val="BodyText"/>
        <w:spacing w:before="180"/>
        <w:rPr>
          <w:sz w:val="20"/>
        </w:rPr>
      </w:pPr>
      <w:r>
        <w:rPr>
          <w:sz w:val="20"/>
        </w:rPr>
        <mc:AlternateContent>
          <mc:Choice Requires="wps">
            <w:drawing>
              <wp:anchor distT="0" distB="0" distL="0" distR="0" allowOverlap="1" layoutInCell="1" locked="0" behindDoc="1" simplePos="0" relativeHeight="487698432">
                <wp:simplePos x="0" y="0"/>
                <wp:positionH relativeFrom="page">
                  <wp:posOffset>1080820</wp:posOffset>
                </wp:positionH>
                <wp:positionV relativeFrom="paragraph">
                  <wp:posOffset>277574</wp:posOffset>
                </wp:positionV>
                <wp:extent cx="5715000" cy="2335530"/>
                <wp:effectExtent l="0" t="0" r="0" b="0"/>
                <wp:wrapTopAndBottom/>
                <wp:docPr id="564" name="Textbox 564"/>
                <wp:cNvGraphicFramePr>
                  <a:graphicFrameLocks/>
                </wp:cNvGraphicFramePr>
                <a:graphic>
                  <a:graphicData uri="http://schemas.microsoft.com/office/word/2010/wordprocessingShape">
                    <wps:wsp>
                      <wps:cNvPr id="564" name="Textbox 564"/>
                      <wps:cNvSpPr txBox="1"/>
                      <wps:spPr>
                        <a:xfrm>
                          <a:off x="0" y="0"/>
                          <a:ext cx="5715000" cy="233553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3"/>
                              <w:jc w:val="both"/>
                            </w:pPr>
                            <w:r>
                              <w:rPr/>
                              <w:t>La cuenta de Transferencias de capital registra los recursos recibidos provenientes del sector público interno, destinados específicamente</w:t>
                            </w:r>
                            <w:r>
                              <w:rPr>
                                <w:spacing w:val="-1"/>
                              </w:rPr>
                              <w:t> </w:t>
                            </w:r>
                            <w:r>
                              <w:rPr/>
                              <w:t>para</w:t>
                            </w:r>
                            <w:r>
                              <w:rPr>
                                <w:spacing w:val="-1"/>
                              </w:rPr>
                              <w:t> </w:t>
                            </w:r>
                            <w:r>
                              <w:rPr/>
                              <w:t>los programas</w:t>
                            </w:r>
                            <w:r>
                              <w:rPr>
                                <w:spacing w:val="-1"/>
                              </w:rPr>
                              <w:t> </w:t>
                            </w:r>
                            <w:r>
                              <w:rPr/>
                              <w:t>sociales de</w:t>
                            </w:r>
                            <w:r>
                              <w:rPr>
                                <w:spacing w:val="-2"/>
                              </w:rPr>
                              <w:t> </w:t>
                            </w:r>
                            <w:r>
                              <w:rPr/>
                              <w:t>la</w:t>
                            </w:r>
                            <w:r>
                              <w:rPr>
                                <w:spacing w:val="-1"/>
                              </w:rPr>
                              <w:t> </w:t>
                            </w:r>
                            <w:r>
                              <w:rPr/>
                              <w:t>institución en cumplimiento de metas y objetivos institucionales y gubernamentales, los conceptos que componen la cuenta son: Donaciones capital del Gobierno Central, Otras transferencias corrientes de Órganos Desconcentrados, Otras transferencias corrientes de Instituciones y Donaciones de capital de empresas privadas.</w:t>
                            </w:r>
                          </w:p>
                          <w:p>
                            <w:pPr>
                              <w:pStyle w:val="BodyText"/>
                              <w:spacing w:before="39"/>
                            </w:pPr>
                          </w:p>
                          <w:p>
                            <w:pPr>
                              <w:pStyle w:val="BodyText"/>
                              <w:spacing w:line="276" w:lineRule="auto"/>
                              <w:ind w:left="103" w:right="101"/>
                              <w:jc w:val="both"/>
                            </w:pPr>
                            <w:r>
                              <w:rPr/>
                              <w:t>La</w:t>
                            </w:r>
                            <w:r>
                              <w:rPr>
                                <w:spacing w:val="-8"/>
                              </w:rPr>
                              <w:t> </w:t>
                            </w:r>
                            <w:r>
                              <w:rPr/>
                              <w:t>ejecución</w:t>
                            </w:r>
                            <w:r>
                              <w:rPr>
                                <w:spacing w:val="-7"/>
                              </w:rPr>
                              <w:t> </w:t>
                            </w:r>
                            <w:r>
                              <w:rPr/>
                              <w:t>de</w:t>
                            </w:r>
                            <w:r>
                              <w:rPr>
                                <w:spacing w:val="-9"/>
                              </w:rPr>
                              <w:t> </w:t>
                            </w:r>
                            <w:r>
                              <w:rPr/>
                              <w:t>estos</w:t>
                            </w:r>
                            <w:r>
                              <w:rPr>
                                <w:spacing w:val="-9"/>
                              </w:rPr>
                              <w:t> </w:t>
                            </w:r>
                            <w:r>
                              <w:rPr/>
                              <w:t>recursos</w:t>
                            </w:r>
                            <w:r>
                              <w:rPr>
                                <w:spacing w:val="-8"/>
                              </w:rPr>
                              <w:t> </w:t>
                            </w:r>
                            <w:r>
                              <w:rPr/>
                              <w:t>se</w:t>
                            </w:r>
                            <w:r>
                              <w:rPr>
                                <w:spacing w:val="-8"/>
                              </w:rPr>
                              <w:t> </w:t>
                            </w:r>
                            <w:r>
                              <w:rPr/>
                              <w:t>realiza</w:t>
                            </w:r>
                            <w:r>
                              <w:rPr>
                                <w:spacing w:val="-8"/>
                              </w:rPr>
                              <w:t> </w:t>
                            </w:r>
                            <w:r>
                              <w:rPr/>
                              <w:t>conforme</w:t>
                            </w:r>
                            <w:r>
                              <w:rPr>
                                <w:spacing w:val="-8"/>
                              </w:rPr>
                              <w:t> </w:t>
                            </w:r>
                            <w:r>
                              <w:rPr/>
                              <w:t>al</w:t>
                            </w:r>
                            <w:r>
                              <w:rPr>
                                <w:spacing w:val="-8"/>
                              </w:rPr>
                              <w:t> </w:t>
                            </w:r>
                            <w:r>
                              <w:rPr/>
                              <w:t>marco</w:t>
                            </w:r>
                            <w:r>
                              <w:rPr>
                                <w:spacing w:val="-7"/>
                              </w:rPr>
                              <w:t> </w:t>
                            </w:r>
                            <w:r>
                              <w:rPr/>
                              <w:t>legal</w:t>
                            </w:r>
                            <w:r>
                              <w:rPr>
                                <w:spacing w:val="-8"/>
                              </w:rPr>
                              <w:t> </w:t>
                            </w:r>
                            <w:r>
                              <w:rPr/>
                              <w:t>de</w:t>
                            </w:r>
                            <w:r>
                              <w:rPr>
                                <w:spacing w:val="-9"/>
                              </w:rPr>
                              <w:t> </w:t>
                            </w:r>
                            <w:r>
                              <w:rPr/>
                              <w:t>la</w:t>
                            </w:r>
                            <w:r>
                              <w:rPr>
                                <w:spacing w:val="-8"/>
                              </w:rPr>
                              <w:t> </w:t>
                            </w:r>
                            <w:r>
                              <w:rPr/>
                              <w:t>institucional,</w:t>
                            </w:r>
                            <w:r>
                              <w:rPr>
                                <w:spacing w:val="-9"/>
                              </w:rPr>
                              <w:t> </w:t>
                            </w:r>
                            <w:r>
                              <w:rPr/>
                              <w:t>bajo</w:t>
                            </w:r>
                            <w:r>
                              <w:rPr>
                                <w:spacing w:val="-7"/>
                              </w:rPr>
                              <w:t> </w:t>
                            </w:r>
                            <w:r>
                              <w:rPr/>
                              <w:t>principios</w:t>
                            </w:r>
                            <w:r>
                              <w:rPr>
                                <w:spacing w:val="-8"/>
                              </w:rPr>
                              <w:t> </w:t>
                            </w:r>
                            <w:r>
                              <w:rPr/>
                              <w:t>de legalidad, eficiencia, eficacia y transparencia.</w:t>
                            </w:r>
                          </w:p>
                          <w:p>
                            <w:pPr>
                              <w:pStyle w:val="BodyText"/>
                              <w:spacing w:before="38"/>
                            </w:pPr>
                          </w:p>
                          <w:p>
                            <w:pPr>
                              <w:pStyle w:val="BodyText"/>
                              <w:ind w:left="103"/>
                              <w:jc w:val="both"/>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wps:txbx>
                      <wps:bodyPr wrap="square" lIns="0" tIns="0" rIns="0" bIns="0" rtlCol="0">
                        <a:noAutofit/>
                      </wps:bodyPr>
                    </wps:wsp>
                  </a:graphicData>
                </a:graphic>
              </wp:anchor>
            </w:drawing>
          </mc:Choice>
          <mc:Fallback>
            <w:pict>
              <v:shape style="position:absolute;margin-left:85.103996pt;margin-top:21.856251pt;width:450pt;height:183.9pt;mso-position-horizontal-relative:page;mso-position-vertical-relative:paragraph;z-index:-15618048;mso-wrap-distance-left:0;mso-wrap-distance-right:0" type="#_x0000_t202" id="docshape54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3"/>
                        <w:jc w:val="both"/>
                      </w:pPr>
                      <w:r>
                        <w:rPr/>
                        <w:t>La cuenta de Transferencias de capital registra los recursos recibidos provenientes del sector público interno, destinados específicamente</w:t>
                      </w:r>
                      <w:r>
                        <w:rPr>
                          <w:spacing w:val="-1"/>
                        </w:rPr>
                        <w:t> </w:t>
                      </w:r>
                      <w:r>
                        <w:rPr/>
                        <w:t>para</w:t>
                      </w:r>
                      <w:r>
                        <w:rPr>
                          <w:spacing w:val="-1"/>
                        </w:rPr>
                        <w:t> </w:t>
                      </w:r>
                      <w:r>
                        <w:rPr/>
                        <w:t>los programas</w:t>
                      </w:r>
                      <w:r>
                        <w:rPr>
                          <w:spacing w:val="-1"/>
                        </w:rPr>
                        <w:t> </w:t>
                      </w:r>
                      <w:r>
                        <w:rPr/>
                        <w:t>sociales de</w:t>
                      </w:r>
                      <w:r>
                        <w:rPr>
                          <w:spacing w:val="-2"/>
                        </w:rPr>
                        <w:t> </w:t>
                      </w:r>
                      <w:r>
                        <w:rPr/>
                        <w:t>la</w:t>
                      </w:r>
                      <w:r>
                        <w:rPr>
                          <w:spacing w:val="-1"/>
                        </w:rPr>
                        <w:t> </w:t>
                      </w:r>
                      <w:r>
                        <w:rPr/>
                        <w:t>institución en cumplimiento de metas y objetivos institucionales y gubernamentales, los conceptos que componen la cuenta son: Donaciones capital del Gobierno Central, Otras transferencias corrientes de Órganos Desconcentrados, Otras transferencias corrientes de Instituciones y Donaciones de capital de empresas privadas.</w:t>
                      </w:r>
                    </w:p>
                    <w:p>
                      <w:pPr>
                        <w:pStyle w:val="BodyText"/>
                        <w:spacing w:before="39"/>
                      </w:pPr>
                    </w:p>
                    <w:p>
                      <w:pPr>
                        <w:pStyle w:val="BodyText"/>
                        <w:spacing w:line="276" w:lineRule="auto"/>
                        <w:ind w:left="103" w:right="101"/>
                        <w:jc w:val="both"/>
                      </w:pPr>
                      <w:r>
                        <w:rPr/>
                        <w:t>La</w:t>
                      </w:r>
                      <w:r>
                        <w:rPr>
                          <w:spacing w:val="-8"/>
                        </w:rPr>
                        <w:t> </w:t>
                      </w:r>
                      <w:r>
                        <w:rPr/>
                        <w:t>ejecución</w:t>
                      </w:r>
                      <w:r>
                        <w:rPr>
                          <w:spacing w:val="-7"/>
                        </w:rPr>
                        <w:t> </w:t>
                      </w:r>
                      <w:r>
                        <w:rPr/>
                        <w:t>de</w:t>
                      </w:r>
                      <w:r>
                        <w:rPr>
                          <w:spacing w:val="-9"/>
                        </w:rPr>
                        <w:t> </w:t>
                      </w:r>
                      <w:r>
                        <w:rPr/>
                        <w:t>estos</w:t>
                      </w:r>
                      <w:r>
                        <w:rPr>
                          <w:spacing w:val="-9"/>
                        </w:rPr>
                        <w:t> </w:t>
                      </w:r>
                      <w:r>
                        <w:rPr/>
                        <w:t>recursos</w:t>
                      </w:r>
                      <w:r>
                        <w:rPr>
                          <w:spacing w:val="-8"/>
                        </w:rPr>
                        <w:t> </w:t>
                      </w:r>
                      <w:r>
                        <w:rPr/>
                        <w:t>se</w:t>
                      </w:r>
                      <w:r>
                        <w:rPr>
                          <w:spacing w:val="-8"/>
                        </w:rPr>
                        <w:t> </w:t>
                      </w:r>
                      <w:r>
                        <w:rPr/>
                        <w:t>realiza</w:t>
                      </w:r>
                      <w:r>
                        <w:rPr>
                          <w:spacing w:val="-8"/>
                        </w:rPr>
                        <w:t> </w:t>
                      </w:r>
                      <w:r>
                        <w:rPr/>
                        <w:t>conforme</w:t>
                      </w:r>
                      <w:r>
                        <w:rPr>
                          <w:spacing w:val="-8"/>
                        </w:rPr>
                        <w:t> </w:t>
                      </w:r>
                      <w:r>
                        <w:rPr/>
                        <w:t>al</w:t>
                      </w:r>
                      <w:r>
                        <w:rPr>
                          <w:spacing w:val="-8"/>
                        </w:rPr>
                        <w:t> </w:t>
                      </w:r>
                      <w:r>
                        <w:rPr/>
                        <w:t>marco</w:t>
                      </w:r>
                      <w:r>
                        <w:rPr>
                          <w:spacing w:val="-7"/>
                        </w:rPr>
                        <w:t> </w:t>
                      </w:r>
                      <w:r>
                        <w:rPr/>
                        <w:t>legal</w:t>
                      </w:r>
                      <w:r>
                        <w:rPr>
                          <w:spacing w:val="-8"/>
                        </w:rPr>
                        <w:t> </w:t>
                      </w:r>
                      <w:r>
                        <w:rPr/>
                        <w:t>de</w:t>
                      </w:r>
                      <w:r>
                        <w:rPr>
                          <w:spacing w:val="-9"/>
                        </w:rPr>
                        <w:t> </w:t>
                      </w:r>
                      <w:r>
                        <w:rPr/>
                        <w:t>la</w:t>
                      </w:r>
                      <w:r>
                        <w:rPr>
                          <w:spacing w:val="-8"/>
                        </w:rPr>
                        <w:t> </w:t>
                      </w:r>
                      <w:r>
                        <w:rPr/>
                        <w:t>institucional,</w:t>
                      </w:r>
                      <w:r>
                        <w:rPr>
                          <w:spacing w:val="-9"/>
                        </w:rPr>
                        <w:t> </w:t>
                      </w:r>
                      <w:r>
                        <w:rPr/>
                        <w:t>bajo</w:t>
                      </w:r>
                      <w:r>
                        <w:rPr>
                          <w:spacing w:val="-7"/>
                        </w:rPr>
                        <w:t> </w:t>
                      </w:r>
                      <w:r>
                        <w:rPr/>
                        <w:t>principios</w:t>
                      </w:r>
                      <w:r>
                        <w:rPr>
                          <w:spacing w:val="-8"/>
                        </w:rPr>
                        <w:t> </w:t>
                      </w:r>
                      <w:r>
                        <w:rPr/>
                        <w:t>de legalidad, eficiencia, eficacia y transparencia.</w:t>
                      </w:r>
                    </w:p>
                    <w:p>
                      <w:pPr>
                        <w:pStyle w:val="BodyText"/>
                        <w:spacing w:before="38"/>
                      </w:pPr>
                    </w:p>
                    <w:p>
                      <w:pPr>
                        <w:pStyle w:val="BodyText"/>
                        <w:ind w:left="103"/>
                        <w:jc w:val="both"/>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6864">
                <wp:simplePos x="0" y="0"/>
                <wp:positionH relativeFrom="page">
                  <wp:posOffset>9525</wp:posOffset>
                </wp:positionH>
                <wp:positionV relativeFrom="page">
                  <wp:posOffset>297208</wp:posOffset>
                </wp:positionV>
                <wp:extent cx="7762875" cy="9748520"/>
                <wp:effectExtent l="0" t="0" r="0" b="0"/>
                <wp:wrapNone/>
                <wp:docPr id="565" name="Group 565"/>
                <wp:cNvGraphicFramePr>
                  <a:graphicFrameLocks/>
                </wp:cNvGraphicFramePr>
                <a:graphic>
                  <a:graphicData uri="http://schemas.microsoft.com/office/word/2010/wordprocessingGroup">
                    <wpg:wgp>
                      <wpg:cNvPr id="565" name="Group 565"/>
                      <wpg:cNvGrpSpPr/>
                      <wpg:grpSpPr>
                        <a:xfrm>
                          <a:off x="0" y="0"/>
                          <a:ext cx="7762875" cy="9748520"/>
                          <a:chExt cx="7762875" cy="9748520"/>
                        </a:xfrm>
                      </wpg:grpSpPr>
                      <pic:pic>
                        <pic:nvPicPr>
                          <pic:cNvPr id="566" name="Image 566"/>
                          <pic:cNvPicPr/>
                        </pic:nvPicPr>
                        <pic:blipFill>
                          <a:blip r:embed="rId5" cstate="print"/>
                          <a:stretch>
                            <a:fillRect/>
                          </a:stretch>
                        </pic:blipFill>
                        <pic:spPr>
                          <a:xfrm>
                            <a:off x="0" y="0"/>
                            <a:ext cx="7762874" cy="9748489"/>
                          </a:xfrm>
                          <a:prstGeom prst="rect">
                            <a:avLst/>
                          </a:prstGeom>
                        </pic:spPr>
                      </pic:pic>
                      <wps:wsp>
                        <wps:cNvPr id="567" name="Graphic 567"/>
                        <wps:cNvSpPr/>
                        <wps:spPr>
                          <a:xfrm>
                            <a:off x="1053007" y="990837"/>
                            <a:ext cx="5736590" cy="1420495"/>
                          </a:xfrm>
                          <a:custGeom>
                            <a:avLst/>
                            <a:gdLst/>
                            <a:ahLst/>
                            <a:cxnLst/>
                            <a:rect l="l" t="t" r="r" b="b"/>
                            <a:pathLst>
                              <a:path w="5736590" h="1420495">
                                <a:moveTo>
                                  <a:pt x="5649214" y="0"/>
                                </a:moveTo>
                                <a:lnTo>
                                  <a:pt x="0" y="0"/>
                                </a:lnTo>
                                <a:lnTo>
                                  <a:pt x="0" y="9131"/>
                                </a:lnTo>
                                <a:lnTo>
                                  <a:pt x="5649214" y="9131"/>
                                </a:lnTo>
                                <a:lnTo>
                                  <a:pt x="5649214" y="0"/>
                                </a:lnTo>
                                <a:close/>
                              </a:path>
                              <a:path w="5736590" h="1420495">
                                <a:moveTo>
                                  <a:pt x="5736018" y="126479"/>
                                </a:moveTo>
                                <a:lnTo>
                                  <a:pt x="5729986" y="126479"/>
                                </a:lnTo>
                                <a:lnTo>
                                  <a:pt x="5729935" y="132575"/>
                                </a:lnTo>
                                <a:lnTo>
                                  <a:pt x="5729935" y="1414259"/>
                                </a:lnTo>
                                <a:lnTo>
                                  <a:pt x="21336" y="1414259"/>
                                </a:lnTo>
                                <a:lnTo>
                                  <a:pt x="21336" y="132575"/>
                                </a:lnTo>
                                <a:lnTo>
                                  <a:pt x="5729935" y="132575"/>
                                </a:lnTo>
                                <a:lnTo>
                                  <a:pt x="5729935" y="126479"/>
                                </a:lnTo>
                                <a:lnTo>
                                  <a:pt x="21336" y="126479"/>
                                </a:lnTo>
                                <a:lnTo>
                                  <a:pt x="15240" y="126479"/>
                                </a:lnTo>
                                <a:lnTo>
                                  <a:pt x="15240" y="132575"/>
                                </a:lnTo>
                                <a:lnTo>
                                  <a:pt x="15240" y="1414259"/>
                                </a:lnTo>
                                <a:lnTo>
                                  <a:pt x="15240" y="1420355"/>
                                </a:lnTo>
                                <a:lnTo>
                                  <a:pt x="21336" y="1420355"/>
                                </a:lnTo>
                                <a:lnTo>
                                  <a:pt x="5729935" y="1420355"/>
                                </a:lnTo>
                                <a:lnTo>
                                  <a:pt x="5736018" y="1420355"/>
                                </a:lnTo>
                                <a:lnTo>
                                  <a:pt x="5736018" y="1414259"/>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568" name="Image 568"/>
                          <pic:cNvPicPr/>
                        </pic:nvPicPr>
                        <pic:blipFill>
                          <a:blip r:embed="rId60" cstate="print"/>
                          <a:stretch>
                            <a:fillRect/>
                          </a:stretch>
                        </pic:blipFill>
                        <pic:spPr>
                          <a:xfrm>
                            <a:off x="1727199" y="1123806"/>
                            <a:ext cx="4398010" cy="116572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9616" id="docshapegroup543" coordorigin="15,468" coordsize="12225,15352">
                <v:shape style="position:absolute;left:15;top:468;width:12225;height:15352" type="#_x0000_t75" id="docshape544" stroked="false">
                  <v:imagedata r:id="rId5" o:title=""/>
                </v:shape>
                <v:shape style="position:absolute;left:1673;top:2028;width:9034;height:2237" id="docshape545" coordorigin="1673,2028" coordsize="9034,2237" path="m10570,2028l1673,2028,1673,2043,10570,2043,10570,2028xm10706,2228l10697,2228,10697,2228,10697,2237,10697,4256,1707,4256,1707,2237,10697,2237,10697,2228,1707,2228,1697,2228,1697,2237,1697,4256,1697,4265,1707,4265,10697,4265,10697,4265,10706,4265,10706,4256,10706,2237,10706,2228xe" filled="true" fillcolor="#000000" stroked="false">
                  <v:path arrowok="t"/>
                  <v:fill type="solid"/>
                </v:shape>
                <v:shape style="position:absolute;left:2735;top:2237;width:6926;height:1836" type="#_x0000_t75" id="docshape546" stroked="false">
                  <v:imagedata r:id="rId60" o:title=""/>
                </v:shape>
                <w10:wrap type="none"/>
              </v:group>
            </w:pict>
          </mc:Fallback>
        </mc:AlternateContent>
      </w:r>
      <w:r>
        <w:rPr>
          <w:color w:val="172951"/>
          <w:sz w:val="20"/>
        </w:rPr>
        <w:t>Pág.</w:t>
      </w:r>
      <w:r>
        <w:rPr>
          <w:color w:val="172951"/>
          <w:spacing w:val="-7"/>
          <w:sz w:val="20"/>
        </w:rPr>
        <w:t> </w:t>
      </w:r>
      <w:r>
        <w:rPr>
          <w:color w:val="172951"/>
          <w:spacing w:val="-5"/>
          <w:sz w:val="20"/>
        </w:rPr>
        <w:t>115</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5"/>
      </w:pPr>
    </w:p>
    <w:p>
      <w:pPr>
        <w:pStyle w:val="Heading5"/>
        <w:spacing w:before="1"/>
      </w:pPr>
      <w:bookmarkStart w:name="_bookmark97" w:id="98"/>
      <w:bookmarkEnd w:id="98"/>
      <w:r>
        <w:rPr>
          <w:b w:val="0"/>
        </w:rPr>
      </w:r>
      <w:r>
        <w:rPr>
          <w:color w:val="1F3762"/>
        </w:rPr>
        <w:t>4.9</w:t>
      </w:r>
      <w:r>
        <w:rPr>
          <w:color w:val="1F3762"/>
          <w:spacing w:val="-4"/>
        </w:rPr>
        <w:t> </w:t>
      </w:r>
      <w:r>
        <w:rPr>
          <w:color w:val="1F3762"/>
        </w:rPr>
        <w:t>OTROS</w:t>
      </w:r>
      <w:r>
        <w:rPr>
          <w:color w:val="1F3762"/>
          <w:spacing w:val="-2"/>
        </w:rPr>
        <w:t> INGRESOS</w:t>
      </w:r>
    </w:p>
    <w:p>
      <w:pPr>
        <w:spacing w:before="167"/>
        <w:ind w:left="622" w:right="0" w:firstLine="0"/>
        <w:jc w:val="left"/>
        <w:rPr>
          <w:b/>
          <w:sz w:val="22"/>
        </w:rPr>
      </w:pPr>
      <w:bookmarkStart w:name="_bookmark98" w:id="99"/>
      <w:bookmarkEnd w:id="99"/>
      <w:r>
        <w:rPr/>
      </w:r>
      <w:r>
        <w:rPr>
          <w:b/>
          <w:sz w:val="22"/>
        </w:rPr>
        <w:t>NOTA</w:t>
      </w:r>
      <w:r>
        <w:rPr>
          <w:b/>
          <w:spacing w:val="-1"/>
          <w:sz w:val="22"/>
        </w:rPr>
        <w:t> </w:t>
      </w:r>
      <w:r>
        <w:rPr>
          <w:b/>
          <w:sz w:val="22"/>
        </w:rPr>
        <w:t>N° </w:t>
      </w:r>
      <w:r>
        <w:rPr>
          <w:b/>
          <w:spacing w:val="-5"/>
          <w:sz w:val="22"/>
        </w:rPr>
        <w:t>52</w:t>
      </w:r>
    </w:p>
    <w:p>
      <w:pPr>
        <w:pStyle w:val="BodyText"/>
        <w:spacing w:before="112"/>
        <w:rPr>
          <w:b/>
        </w:rPr>
      </w:pPr>
    </w:p>
    <w:p>
      <w:pPr>
        <w:pStyle w:val="BodyText"/>
        <w:ind w:left="622"/>
      </w:pPr>
      <w:r>
        <w:rPr/>
        <w:t>Resultados</w:t>
      </w:r>
      <w:r>
        <w:rPr>
          <w:spacing w:val="-5"/>
        </w:rPr>
        <w:t> </w:t>
      </w:r>
      <w:r>
        <w:rPr/>
        <w:t>positivos</w:t>
      </w:r>
      <w:r>
        <w:rPr>
          <w:spacing w:val="-2"/>
        </w:rPr>
        <w:t> </w:t>
      </w:r>
      <w:r>
        <w:rPr/>
        <w:t>por</w:t>
      </w:r>
      <w:r>
        <w:rPr>
          <w:spacing w:val="-3"/>
        </w:rPr>
        <w:t> </w:t>
      </w:r>
      <w:r>
        <w:rPr/>
        <w:t>tenencia</w:t>
      </w:r>
      <w:r>
        <w:rPr>
          <w:spacing w:val="-5"/>
        </w:rPr>
        <w:t> </w:t>
      </w:r>
      <w:r>
        <w:rPr/>
        <w:t>y</w:t>
      </w:r>
      <w:r>
        <w:rPr>
          <w:spacing w:val="-4"/>
        </w:rPr>
        <w:t> </w:t>
      </w:r>
      <w:r>
        <w:rPr/>
        <w:t>por</w:t>
      </w:r>
      <w:r>
        <w:rPr>
          <w:spacing w:val="-5"/>
        </w:rPr>
        <w:t> </w:t>
      </w:r>
      <w:r>
        <w:rPr/>
        <w:t>exposición</w:t>
      </w:r>
      <w:r>
        <w:rPr>
          <w:spacing w:val="-3"/>
        </w:rPr>
        <w:t> </w:t>
      </w:r>
      <w:r>
        <w:rPr/>
        <w:t>a</w:t>
      </w:r>
      <w:r>
        <w:rPr>
          <w:spacing w:val="-3"/>
        </w:rPr>
        <w:t> </w:t>
      </w:r>
      <w:r>
        <w:rPr/>
        <w:t>la</w:t>
      </w:r>
      <w:r>
        <w:rPr>
          <w:spacing w:val="-4"/>
        </w:rPr>
        <w:t> </w:t>
      </w:r>
      <w:r>
        <w:rPr>
          <w:spacing w:val="-2"/>
        </w:rPr>
        <w:t>inflación</w:t>
      </w:r>
    </w:p>
    <w:p>
      <w:pPr>
        <w:pStyle w:val="BodyText"/>
        <w:spacing w:before="10"/>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33"/>
        <w:gridCol w:w="4117"/>
        <w:gridCol w:w="571"/>
        <w:gridCol w:w="1275"/>
        <w:gridCol w:w="1092"/>
        <w:gridCol w:w="1068"/>
      </w:tblGrid>
      <w:tr>
        <w:trPr>
          <w:trHeight w:val="294" w:hRule="atLeast"/>
        </w:trPr>
        <w:tc>
          <w:tcPr>
            <w:tcW w:w="833" w:type="dxa"/>
            <w:vMerge w:val="restart"/>
            <w:shd w:val="clear" w:color="auto" w:fill="365F92"/>
          </w:tcPr>
          <w:p>
            <w:pPr>
              <w:pStyle w:val="TableParagraph"/>
              <w:spacing w:before="91"/>
              <w:ind w:left="69"/>
              <w:rPr>
                <w:sz w:val="22"/>
              </w:rPr>
            </w:pPr>
            <w:r>
              <w:rPr>
                <w:spacing w:val="-2"/>
                <w:sz w:val="22"/>
              </w:rPr>
              <w:t>Cuenta</w:t>
            </w:r>
          </w:p>
        </w:tc>
        <w:tc>
          <w:tcPr>
            <w:tcW w:w="4117" w:type="dxa"/>
            <w:vMerge w:val="restart"/>
            <w:shd w:val="clear" w:color="auto" w:fill="365F92"/>
          </w:tcPr>
          <w:p>
            <w:pPr>
              <w:pStyle w:val="TableParagraph"/>
              <w:spacing w:before="180"/>
              <w:ind w:left="18"/>
              <w:jc w:val="center"/>
              <w:rPr>
                <w:sz w:val="22"/>
              </w:rPr>
            </w:pPr>
            <w:r>
              <w:rPr>
                <w:spacing w:val="-2"/>
                <w:sz w:val="22"/>
              </w:rPr>
              <w:t>Descripción</w:t>
            </w:r>
          </w:p>
        </w:tc>
        <w:tc>
          <w:tcPr>
            <w:tcW w:w="571" w:type="dxa"/>
            <w:vMerge w:val="restart"/>
            <w:shd w:val="clear" w:color="auto" w:fill="365F92"/>
          </w:tcPr>
          <w:p>
            <w:pPr>
              <w:pStyle w:val="TableParagraph"/>
              <w:spacing w:before="180"/>
              <w:ind w:left="68"/>
              <w:rPr>
                <w:sz w:val="22"/>
              </w:rPr>
            </w:pPr>
            <w:r>
              <w:rPr>
                <w:spacing w:val="-4"/>
                <w:sz w:val="22"/>
              </w:rPr>
              <w:t>Nota</w:t>
            </w:r>
          </w:p>
        </w:tc>
        <w:tc>
          <w:tcPr>
            <w:tcW w:w="1275" w:type="dxa"/>
            <w:vMerge w:val="restart"/>
            <w:shd w:val="clear" w:color="auto" w:fill="365F92"/>
          </w:tcPr>
          <w:p>
            <w:pPr>
              <w:pStyle w:val="TableParagraph"/>
              <w:spacing w:before="53"/>
              <w:ind w:left="354" w:right="236" w:hanging="41"/>
              <w:rPr>
                <w:sz w:val="22"/>
              </w:rPr>
            </w:pPr>
            <w:r>
              <w:rPr>
                <w:spacing w:val="-2"/>
                <w:sz w:val="22"/>
              </w:rPr>
              <w:t>Periodo Actual</w:t>
            </w:r>
          </w:p>
        </w:tc>
        <w:tc>
          <w:tcPr>
            <w:tcW w:w="1092" w:type="dxa"/>
            <w:vMerge w:val="restart"/>
            <w:shd w:val="clear" w:color="auto" w:fill="365F92"/>
          </w:tcPr>
          <w:p>
            <w:pPr>
              <w:pStyle w:val="TableParagraph"/>
              <w:spacing w:before="53"/>
              <w:ind w:left="172" w:right="144" w:firstLine="50"/>
              <w:rPr>
                <w:sz w:val="22"/>
              </w:rPr>
            </w:pPr>
            <w:r>
              <w:rPr>
                <w:spacing w:val="-2"/>
                <w:sz w:val="22"/>
              </w:rPr>
              <w:t>Periodo Anterior</w:t>
            </w:r>
          </w:p>
        </w:tc>
        <w:tc>
          <w:tcPr>
            <w:tcW w:w="1068" w:type="dxa"/>
            <w:shd w:val="clear" w:color="auto" w:fill="365F92"/>
          </w:tcPr>
          <w:p>
            <w:pPr>
              <w:pStyle w:val="TableParagraph"/>
              <w:spacing w:before="21"/>
              <w:ind w:left="19"/>
              <w:jc w:val="center"/>
              <w:rPr>
                <w:sz w:val="22"/>
              </w:rPr>
            </w:pPr>
            <w:r>
              <w:rPr>
                <w:spacing w:val="-2"/>
                <w:sz w:val="22"/>
              </w:rPr>
              <w:t>Diferencia</w:t>
            </w:r>
          </w:p>
        </w:tc>
      </w:tr>
      <w:tr>
        <w:trPr>
          <w:trHeight w:val="294" w:hRule="atLeast"/>
        </w:trPr>
        <w:tc>
          <w:tcPr>
            <w:tcW w:w="833" w:type="dxa"/>
            <w:vMerge/>
            <w:tcBorders>
              <w:top w:val="nil"/>
            </w:tcBorders>
            <w:shd w:val="clear" w:color="auto" w:fill="365F92"/>
          </w:tcPr>
          <w:p>
            <w:pPr>
              <w:rPr>
                <w:sz w:val="2"/>
                <w:szCs w:val="2"/>
              </w:rPr>
            </w:pPr>
          </w:p>
        </w:tc>
        <w:tc>
          <w:tcPr>
            <w:tcW w:w="4117"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275" w:type="dxa"/>
            <w:vMerge/>
            <w:tcBorders>
              <w:top w:val="nil"/>
            </w:tcBorders>
            <w:shd w:val="clear" w:color="auto" w:fill="365F92"/>
          </w:tcPr>
          <w:p>
            <w:pPr>
              <w:rPr>
                <w:sz w:val="2"/>
                <w:szCs w:val="2"/>
              </w:rPr>
            </w:pPr>
          </w:p>
        </w:tc>
        <w:tc>
          <w:tcPr>
            <w:tcW w:w="1092" w:type="dxa"/>
            <w:vMerge/>
            <w:tcBorders>
              <w:top w:val="nil"/>
            </w:tcBorders>
            <w:shd w:val="clear" w:color="auto" w:fill="365F92"/>
          </w:tcPr>
          <w:p>
            <w:pPr>
              <w:rPr>
                <w:sz w:val="2"/>
                <w:szCs w:val="2"/>
              </w:rPr>
            </w:pPr>
          </w:p>
        </w:tc>
        <w:tc>
          <w:tcPr>
            <w:tcW w:w="1068" w:type="dxa"/>
            <w:shd w:val="clear" w:color="auto" w:fill="365F92"/>
          </w:tcPr>
          <w:p>
            <w:pPr>
              <w:pStyle w:val="TableParagraph"/>
              <w:spacing w:before="21"/>
              <w:ind w:left="19" w:right="2"/>
              <w:jc w:val="center"/>
              <w:rPr>
                <w:sz w:val="22"/>
              </w:rPr>
            </w:pPr>
            <w:r>
              <w:rPr>
                <w:spacing w:val="-10"/>
                <w:sz w:val="22"/>
              </w:rPr>
              <w:t>%</w:t>
            </w:r>
          </w:p>
        </w:tc>
      </w:tr>
      <w:tr>
        <w:trPr>
          <w:trHeight w:val="493" w:hRule="atLeast"/>
        </w:trPr>
        <w:tc>
          <w:tcPr>
            <w:tcW w:w="833" w:type="dxa"/>
          </w:tcPr>
          <w:p>
            <w:pPr>
              <w:pStyle w:val="TableParagraph"/>
              <w:spacing w:before="133"/>
              <w:ind w:left="69"/>
              <w:rPr>
                <w:b/>
                <w:sz w:val="20"/>
              </w:rPr>
            </w:pPr>
            <w:r>
              <w:rPr>
                <w:b/>
                <w:spacing w:val="-2"/>
                <w:sz w:val="20"/>
              </w:rPr>
              <w:t>4.9.1.</w:t>
            </w:r>
          </w:p>
        </w:tc>
        <w:tc>
          <w:tcPr>
            <w:tcW w:w="4117" w:type="dxa"/>
          </w:tcPr>
          <w:p>
            <w:pPr>
              <w:pStyle w:val="TableParagraph"/>
              <w:spacing w:line="220" w:lineRule="atLeast" w:before="17"/>
              <w:ind w:left="68" w:right="30"/>
              <w:rPr>
                <w:b/>
                <w:sz w:val="20"/>
              </w:rPr>
            </w:pPr>
            <w:r>
              <w:rPr>
                <w:b/>
                <w:sz w:val="20"/>
              </w:rPr>
              <w:t>Resultados</w:t>
            </w:r>
            <w:r>
              <w:rPr>
                <w:b/>
                <w:spacing w:val="-9"/>
                <w:sz w:val="20"/>
              </w:rPr>
              <w:t> </w:t>
            </w:r>
            <w:r>
              <w:rPr>
                <w:b/>
                <w:sz w:val="20"/>
              </w:rPr>
              <w:t>positivos</w:t>
            </w:r>
            <w:r>
              <w:rPr>
                <w:b/>
                <w:spacing w:val="-9"/>
                <w:sz w:val="20"/>
              </w:rPr>
              <w:t> </w:t>
            </w:r>
            <w:r>
              <w:rPr>
                <w:b/>
                <w:sz w:val="20"/>
              </w:rPr>
              <w:t>por</w:t>
            </w:r>
            <w:r>
              <w:rPr>
                <w:b/>
                <w:spacing w:val="-8"/>
                <w:sz w:val="20"/>
              </w:rPr>
              <w:t> </w:t>
            </w:r>
            <w:r>
              <w:rPr>
                <w:b/>
                <w:sz w:val="20"/>
              </w:rPr>
              <w:t>tenencia</w:t>
            </w:r>
            <w:r>
              <w:rPr>
                <w:b/>
                <w:spacing w:val="-10"/>
                <w:sz w:val="20"/>
              </w:rPr>
              <w:t> </w:t>
            </w:r>
            <w:r>
              <w:rPr>
                <w:b/>
                <w:sz w:val="20"/>
              </w:rPr>
              <w:t>y</w:t>
            </w:r>
            <w:r>
              <w:rPr>
                <w:b/>
                <w:spacing w:val="-8"/>
                <w:sz w:val="20"/>
              </w:rPr>
              <w:t> </w:t>
            </w:r>
            <w:r>
              <w:rPr>
                <w:b/>
                <w:sz w:val="20"/>
              </w:rPr>
              <w:t>por</w:t>
            </w:r>
            <w:r>
              <w:rPr>
                <w:b/>
                <w:spacing w:val="-8"/>
                <w:sz w:val="20"/>
              </w:rPr>
              <w:t> </w:t>
            </w:r>
            <w:r>
              <w:rPr>
                <w:b/>
                <w:sz w:val="20"/>
              </w:rPr>
              <w:t>exposición a la inflación</w:t>
            </w:r>
          </w:p>
        </w:tc>
        <w:tc>
          <w:tcPr>
            <w:tcW w:w="571" w:type="dxa"/>
          </w:tcPr>
          <w:p>
            <w:pPr>
              <w:pStyle w:val="TableParagraph"/>
              <w:spacing w:before="122"/>
              <w:ind w:left="68"/>
              <w:rPr>
                <w:b/>
                <w:sz w:val="22"/>
              </w:rPr>
            </w:pPr>
            <w:r>
              <w:rPr>
                <w:b/>
                <w:spacing w:val="-5"/>
                <w:sz w:val="22"/>
              </w:rPr>
              <w:t>52</w:t>
            </w:r>
          </w:p>
        </w:tc>
        <w:tc>
          <w:tcPr>
            <w:tcW w:w="1275" w:type="dxa"/>
          </w:tcPr>
          <w:p>
            <w:pPr>
              <w:pStyle w:val="TableParagraph"/>
              <w:spacing w:before="36"/>
              <w:rPr>
                <w:sz w:val="20"/>
              </w:rPr>
            </w:pPr>
          </w:p>
          <w:p>
            <w:pPr>
              <w:pStyle w:val="TableParagraph"/>
              <w:spacing w:line="209" w:lineRule="exact" w:before="1"/>
              <w:ind w:left="193"/>
              <w:rPr>
                <w:b/>
                <w:sz w:val="20"/>
              </w:rPr>
            </w:pPr>
            <w:r>
              <w:rPr>
                <w:b/>
                <w:sz w:val="20"/>
              </w:rPr>
              <w:t>565</w:t>
            </w:r>
            <w:r>
              <w:rPr>
                <w:b/>
                <w:spacing w:val="-2"/>
                <w:sz w:val="20"/>
              </w:rPr>
              <w:t> 176,06</w:t>
            </w:r>
          </w:p>
        </w:tc>
        <w:tc>
          <w:tcPr>
            <w:tcW w:w="1092" w:type="dxa"/>
          </w:tcPr>
          <w:p>
            <w:pPr>
              <w:pStyle w:val="TableParagraph"/>
              <w:spacing w:before="36"/>
              <w:rPr>
                <w:sz w:val="20"/>
              </w:rPr>
            </w:pPr>
          </w:p>
          <w:p>
            <w:pPr>
              <w:pStyle w:val="TableParagraph"/>
              <w:spacing w:line="209" w:lineRule="exact" w:before="1"/>
              <w:ind w:left="102"/>
              <w:rPr>
                <w:b/>
                <w:sz w:val="20"/>
              </w:rPr>
            </w:pPr>
            <w:r>
              <w:rPr>
                <w:b/>
                <w:sz w:val="20"/>
              </w:rPr>
              <w:t>316</w:t>
            </w:r>
            <w:r>
              <w:rPr>
                <w:b/>
                <w:spacing w:val="-3"/>
                <w:sz w:val="20"/>
              </w:rPr>
              <w:t> </w:t>
            </w:r>
            <w:r>
              <w:rPr>
                <w:b/>
                <w:spacing w:val="-2"/>
                <w:sz w:val="20"/>
              </w:rPr>
              <w:t>020,27</w:t>
            </w:r>
          </w:p>
        </w:tc>
        <w:tc>
          <w:tcPr>
            <w:tcW w:w="1068" w:type="dxa"/>
          </w:tcPr>
          <w:p>
            <w:pPr>
              <w:pStyle w:val="TableParagraph"/>
              <w:spacing w:before="36"/>
              <w:rPr>
                <w:sz w:val="20"/>
              </w:rPr>
            </w:pPr>
          </w:p>
          <w:p>
            <w:pPr>
              <w:pStyle w:val="TableParagraph"/>
              <w:spacing w:line="209" w:lineRule="exact" w:before="1"/>
              <w:ind w:left="19" w:right="2"/>
              <w:jc w:val="center"/>
              <w:rPr>
                <w:b/>
                <w:sz w:val="20"/>
              </w:rPr>
            </w:pPr>
            <w:r>
              <w:rPr>
                <w:b/>
                <w:spacing w:val="-2"/>
                <w:sz w:val="20"/>
              </w:rPr>
              <w:t>78,84%</w:t>
            </w:r>
          </w:p>
        </w:tc>
      </w:tr>
    </w:tbl>
    <w:p>
      <w:pPr>
        <w:pStyle w:val="Heading6"/>
        <w:spacing w:before="241"/>
        <w:ind w:left="622"/>
      </w:pPr>
      <w:r>
        <w:rPr>
          <w:spacing w:val="-2"/>
          <w:u w:val="single"/>
        </w:rPr>
        <w:t>Revelación:</w:t>
      </w:r>
    </w:p>
    <w:p>
      <w:pPr>
        <w:pStyle w:val="BodyText"/>
        <w:spacing w:before="181"/>
        <w:ind w:left="622" w:right="974"/>
        <w:jc w:val="both"/>
      </w:pPr>
      <w:r>
        <w:rPr/>
        <w:t>La cuenta Resultados positivos por tenencia y por exposición a la inflación, representa el 0,39% del total del Ingresos, que comparado al periodo anterior genera una variación absoluta de ¢ 249.155,79, que corresponde a un incremento del 78,84% de recursos disponibles.</w:t>
      </w:r>
    </w:p>
    <w:p>
      <w:pPr>
        <w:pStyle w:val="BodyText"/>
        <w:spacing w:before="178"/>
        <w:rPr>
          <w:sz w:val="20"/>
        </w:rPr>
      </w:pPr>
      <w:r>
        <w:rPr>
          <w:sz w:val="20"/>
        </w:rPr>
        <mc:AlternateContent>
          <mc:Choice Requires="wps">
            <w:drawing>
              <wp:anchor distT="0" distB="0" distL="0" distR="0" allowOverlap="1" layoutInCell="1" locked="0" behindDoc="1" simplePos="0" relativeHeight="487699456">
                <wp:simplePos x="0" y="0"/>
                <wp:positionH relativeFrom="page">
                  <wp:posOffset>1080820</wp:posOffset>
                </wp:positionH>
                <wp:positionV relativeFrom="paragraph">
                  <wp:posOffset>276383</wp:posOffset>
                </wp:positionV>
                <wp:extent cx="5715000" cy="3217545"/>
                <wp:effectExtent l="0" t="0" r="0" b="0"/>
                <wp:wrapTopAndBottom/>
                <wp:docPr id="569" name="Textbox 569"/>
                <wp:cNvGraphicFramePr>
                  <a:graphicFrameLocks/>
                </wp:cNvGraphicFramePr>
                <a:graphic>
                  <a:graphicData uri="http://schemas.microsoft.com/office/word/2010/wordprocessingShape">
                    <wps:wsp>
                      <wps:cNvPr id="569" name="Textbox 569"/>
                      <wps:cNvSpPr txBox="1"/>
                      <wps:spPr>
                        <a:xfrm>
                          <a:off x="0" y="0"/>
                          <a:ext cx="5715000" cy="3217545"/>
                        </a:xfrm>
                        <a:prstGeom prst="rect">
                          <a:avLst/>
                        </a:prstGeom>
                        <a:ln w="6095">
                          <a:solidFill>
                            <a:srgbClr val="000000"/>
                          </a:solidFill>
                          <a:prstDash val="solid"/>
                        </a:ln>
                      </wps:spPr>
                      <wps:txbx>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64" w:right="64"/>
                              <w:jc w:val="both"/>
                            </w:pPr>
                            <w:r>
                              <w:rPr/>
                              <w:t>La cuenta de Resultados positivos por tenencia y por exposición a la inflación registra los efectos favorables derivados de variaciones en los tipos de cambio y otros ajustes monetarios que impactan activos y pasivos monetarios, como consecuencia de la gestión de recursos en moneda extranjera y de la actualización de saldos expuestos a variaciones macroeconómicas.</w:t>
                            </w:r>
                          </w:p>
                          <w:p>
                            <w:pPr>
                              <w:pStyle w:val="BodyText"/>
                              <w:spacing w:line="276" w:lineRule="auto"/>
                              <w:ind w:left="64" w:right="68"/>
                              <w:jc w:val="both"/>
                            </w:pPr>
                            <w:r>
                              <w:rPr/>
                              <w:t>Estos resultados</w:t>
                            </w:r>
                            <w:r>
                              <w:rPr>
                                <w:spacing w:val="-2"/>
                              </w:rPr>
                              <w:t> </w:t>
                            </w:r>
                            <w:r>
                              <w:rPr/>
                              <w:t>no corresponden</w:t>
                            </w:r>
                            <w:r>
                              <w:rPr>
                                <w:spacing w:val="-1"/>
                              </w:rPr>
                              <w:t> </w:t>
                            </w:r>
                            <w:r>
                              <w:rPr/>
                              <w:t>a</w:t>
                            </w:r>
                            <w:r>
                              <w:rPr>
                                <w:spacing w:val="-2"/>
                              </w:rPr>
                              <w:t> </w:t>
                            </w:r>
                            <w:r>
                              <w:rPr/>
                              <w:t>ingresos operativos</w:t>
                            </w:r>
                            <w:r>
                              <w:rPr>
                                <w:spacing w:val="-2"/>
                              </w:rPr>
                              <w:t> </w:t>
                            </w:r>
                            <w:r>
                              <w:rPr/>
                              <w:t>ni</w:t>
                            </w:r>
                            <w:r>
                              <w:rPr>
                                <w:spacing w:val="-2"/>
                              </w:rPr>
                              <w:t> </w:t>
                            </w:r>
                            <w:r>
                              <w:rPr/>
                              <w:t>a</w:t>
                            </w:r>
                            <w:r>
                              <w:rPr>
                                <w:spacing w:val="-2"/>
                              </w:rPr>
                              <w:t> </w:t>
                            </w:r>
                            <w:r>
                              <w:rPr/>
                              <w:t>transferencias,</w:t>
                            </w:r>
                            <w:r>
                              <w:rPr>
                                <w:spacing w:val="-1"/>
                              </w:rPr>
                              <w:t> </w:t>
                            </w:r>
                            <w:r>
                              <w:rPr/>
                              <w:t>sino a</w:t>
                            </w:r>
                            <w:r>
                              <w:rPr>
                                <w:spacing w:val="-2"/>
                              </w:rPr>
                              <w:t> </w:t>
                            </w:r>
                            <w:r>
                              <w:rPr/>
                              <w:t>resultados contables originadas por la medición posterior de activos y pasivos monetarios, las cuales se reconocen como parte de los otros ingresos del período.</w:t>
                            </w:r>
                          </w:p>
                          <w:p>
                            <w:pPr>
                              <w:pStyle w:val="BodyText"/>
                              <w:spacing w:before="38"/>
                            </w:pPr>
                          </w:p>
                          <w:p>
                            <w:pPr>
                              <w:pStyle w:val="BodyText"/>
                              <w:spacing w:line="276" w:lineRule="auto" w:before="1"/>
                              <w:ind w:left="64" w:right="65"/>
                              <w:jc w:val="both"/>
                            </w:pPr>
                            <w:r>
                              <w:rPr/>
                              <w:t>El reconocimiento de los resultados positivos por tenencia y por exposición a la inflación se realiza conforme</w:t>
                            </w:r>
                            <w:r>
                              <w:rPr>
                                <w:spacing w:val="-6"/>
                              </w:rPr>
                              <w:t> </w:t>
                            </w:r>
                            <w:r>
                              <w:rPr/>
                              <w:t>a</w:t>
                            </w:r>
                            <w:r>
                              <w:rPr>
                                <w:spacing w:val="-5"/>
                              </w:rPr>
                              <w:t> </w:t>
                            </w:r>
                            <w:r>
                              <w:rPr/>
                              <w:t>las</w:t>
                            </w:r>
                            <w:r>
                              <w:rPr>
                                <w:spacing w:val="-4"/>
                              </w:rPr>
                              <w:t> </w:t>
                            </w:r>
                            <w:r>
                              <w:rPr/>
                              <w:t>NICSP</w:t>
                            </w:r>
                            <w:r>
                              <w:rPr>
                                <w:spacing w:val="-5"/>
                              </w:rPr>
                              <w:t> </w:t>
                            </w:r>
                            <w:r>
                              <w:rPr/>
                              <w:t>a</w:t>
                            </w:r>
                            <w:r>
                              <w:rPr>
                                <w:spacing w:val="-5"/>
                              </w:rPr>
                              <w:t> </w:t>
                            </w:r>
                            <w:r>
                              <w:rPr/>
                              <w:t>efectos</w:t>
                            </w:r>
                            <w:r>
                              <w:rPr>
                                <w:spacing w:val="-3"/>
                              </w:rPr>
                              <w:t> </w:t>
                            </w:r>
                            <w:r>
                              <w:rPr/>
                              <w:t>de</w:t>
                            </w:r>
                            <w:r>
                              <w:rPr>
                                <w:spacing w:val="-6"/>
                              </w:rPr>
                              <w:t> </w:t>
                            </w:r>
                            <w:r>
                              <w:rPr/>
                              <w:t>variación</w:t>
                            </w:r>
                            <w:r>
                              <w:rPr>
                                <w:spacing w:val="-4"/>
                              </w:rPr>
                              <w:t> </w:t>
                            </w:r>
                            <w:r>
                              <w:rPr/>
                              <w:t>cambiaria,</w:t>
                            </w:r>
                            <w:r>
                              <w:rPr>
                                <w:spacing w:val="-7"/>
                              </w:rPr>
                              <w:t> </w:t>
                            </w:r>
                            <w:r>
                              <w:rPr/>
                              <w:t>bajo</w:t>
                            </w:r>
                            <w:r>
                              <w:rPr>
                                <w:spacing w:val="-4"/>
                              </w:rPr>
                              <w:t> </w:t>
                            </w:r>
                            <w:r>
                              <w:rPr/>
                              <w:t>el</w:t>
                            </w:r>
                            <w:r>
                              <w:rPr>
                                <w:spacing w:val="-5"/>
                              </w:rPr>
                              <w:t> </w:t>
                            </w:r>
                            <w:r>
                              <w:rPr/>
                              <w:t>principio</w:t>
                            </w:r>
                            <w:r>
                              <w:rPr>
                                <w:spacing w:val="-4"/>
                              </w:rPr>
                              <w:t> </w:t>
                            </w:r>
                            <w:r>
                              <w:rPr/>
                              <w:t>del</w:t>
                            </w:r>
                            <w:r>
                              <w:rPr>
                                <w:spacing w:val="-5"/>
                              </w:rPr>
                              <w:t> </w:t>
                            </w:r>
                            <w:r>
                              <w:rPr/>
                              <w:t>devengo</w:t>
                            </w:r>
                            <w:r>
                              <w:rPr>
                                <w:spacing w:val="-4"/>
                              </w:rPr>
                              <w:t> </w:t>
                            </w:r>
                            <w:r>
                              <w:rPr/>
                              <w:t>establecido</w:t>
                            </w:r>
                            <w:r>
                              <w:rPr>
                                <w:spacing w:val="-4"/>
                              </w:rPr>
                              <w:t> </w:t>
                            </w:r>
                            <w:r>
                              <w:rPr/>
                              <w:t>en</w:t>
                            </w:r>
                            <w:r>
                              <w:rPr>
                                <w:spacing w:val="-4"/>
                              </w:rPr>
                              <w:t> </w:t>
                            </w:r>
                            <w:r>
                              <w:rPr/>
                              <w:t>la NICSP 1 – Presentación de Estados Financieros.</w:t>
                            </w:r>
                          </w:p>
                          <w:p>
                            <w:pPr>
                              <w:pStyle w:val="BodyText"/>
                              <w:spacing w:before="37"/>
                            </w:pPr>
                          </w:p>
                          <w:p>
                            <w:pPr>
                              <w:pStyle w:val="BodyText"/>
                              <w:ind w:left="64"/>
                            </w:pPr>
                            <w:r>
                              <w:rPr/>
                              <w:t>En</w:t>
                            </w:r>
                            <w:r>
                              <w:rPr>
                                <w:spacing w:val="-4"/>
                              </w:rPr>
                              <w:t> </w:t>
                            </w:r>
                            <w:r>
                              <w:rPr/>
                              <w:t>particular,</w:t>
                            </w:r>
                            <w:r>
                              <w:rPr>
                                <w:spacing w:val="-4"/>
                              </w:rPr>
                              <w:t> </w:t>
                            </w:r>
                            <w:r>
                              <w:rPr/>
                              <w:t>estos</w:t>
                            </w:r>
                            <w:r>
                              <w:rPr>
                                <w:spacing w:val="-3"/>
                              </w:rPr>
                              <w:t> </w:t>
                            </w:r>
                            <w:r>
                              <w:rPr/>
                              <w:t>resultados</w:t>
                            </w:r>
                            <w:r>
                              <w:rPr>
                                <w:spacing w:val="-5"/>
                              </w:rPr>
                              <w:t> </w:t>
                            </w:r>
                            <w:r>
                              <w:rPr/>
                              <w:t>se</w:t>
                            </w:r>
                            <w:r>
                              <w:rPr>
                                <w:spacing w:val="-5"/>
                              </w:rPr>
                              <w:t> </w:t>
                            </w:r>
                            <w:r>
                              <w:rPr/>
                              <w:t>reconocen</w:t>
                            </w:r>
                            <w:r>
                              <w:rPr>
                                <w:spacing w:val="-3"/>
                              </w:rPr>
                              <w:t> </w:t>
                            </w:r>
                            <w:r>
                              <w:rPr>
                                <w:spacing w:val="-2"/>
                              </w:rPr>
                              <w:t>cuando:</w:t>
                            </w:r>
                          </w:p>
                          <w:p>
                            <w:pPr>
                              <w:pStyle w:val="BodyText"/>
                              <w:spacing w:before="74"/>
                            </w:pPr>
                          </w:p>
                          <w:p>
                            <w:pPr>
                              <w:pStyle w:val="BodyText"/>
                              <w:numPr>
                                <w:ilvl w:val="0"/>
                                <w:numId w:val="44"/>
                              </w:numPr>
                              <w:tabs>
                                <w:tab w:pos="784" w:val="left" w:leader="none"/>
                              </w:tabs>
                              <w:spacing w:line="273" w:lineRule="auto" w:before="0" w:after="0"/>
                              <w:ind w:left="784" w:right="67" w:hanging="360"/>
                              <w:jc w:val="left"/>
                            </w:pPr>
                            <w:r>
                              <w:rPr/>
                              <w:t>Se produce una variación en el tipo de cambio aplicable a activos o pasivos monetarios deno-minados en moneda extranjera.</w:t>
                            </w:r>
                          </w:p>
                        </w:txbxContent>
                      </wps:txbx>
                      <wps:bodyPr wrap="square" lIns="0" tIns="0" rIns="0" bIns="0" rtlCol="0">
                        <a:noAutofit/>
                      </wps:bodyPr>
                    </wps:wsp>
                  </a:graphicData>
                </a:graphic>
              </wp:anchor>
            </w:drawing>
          </mc:Choice>
          <mc:Fallback>
            <w:pict>
              <v:shape style="position:absolute;margin-left:85.103996pt;margin-top:21.762486pt;width:450pt;height:253.35pt;mso-position-horizontal-relative:page;mso-position-vertical-relative:paragraph;z-index:-15617024;mso-wrap-distance-left:0;mso-wrap-distance-right:0" type="#_x0000_t202" id="docshape547" filled="false" stroked="true" strokeweight=".47998pt" strokecolor="#000000">
                <v:textbox inset="0,0,0,0">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64" w:right="64"/>
                        <w:jc w:val="both"/>
                      </w:pPr>
                      <w:r>
                        <w:rPr/>
                        <w:t>La cuenta de Resultados positivos por tenencia y por exposición a la inflación registra los efectos favorables derivados de variaciones en los tipos de cambio y otros ajustes monetarios que impactan activos y pasivos monetarios, como consecuencia de la gestión de recursos en moneda extranjera y de la actualización de saldos expuestos a variaciones macroeconómicas.</w:t>
                      </w:r>
                    </w:p>
                    <w:p>
                      <w:pPr>
                        <w:pStyle w:val="BodyText"/>
                        <w:spacing w:line="276" w:lineRule="auto"/>
                        <w:ind w:left="64" w:right="68"/>
                        <w:jc w:val="both"/>
                      </w:pPr>
                      <w:r>
                        <w:rPr/>
                        <w:t>Estos resultados</w:t>
                      </w:r>
                      <w:r>
                        <w:rPr>
                          <w:spacing w:val="-2"/>
                        </w:rPr>
                        <w:t> </w:t>
                      </w:r>
                      <w:r>
                        <w:rPr/>
                        <w:t>no corresponden</w:t>
                      </w:r>
                      <w:r>
                        <w:rPr>
                          <w:spacing w:val="-1"/>
                        </w:rPr>
                        <w:t> </w:t>
                      </w:r>
                      <w:r>
                        <w:rPr/>
                        <w:t>a</w:t>
                      </w:r>
                      <w:r>
                        <w:rPr>
                          <w:spacing w:val="-2"/>
                        </w:rPr>
                        <w:t> </w:t>
                      </w:r>
                      <w:r>
                        <w:rPr/>
                        <w:t>ingresos operativos</w:t>
                      </w:r>
                      <w:r>
                        <w:rPr>
                          <w:spacing w:val="-2"/>
                        </w:rPr>
                        <w:t> </w:t>
                      </w:r>
                      <w:r>
                        <w:rPr/>
                        <w:t>ni</w:t>
                      </w:r>
                      <w:r>
                        <w:rPr>
                          <w:spacing w:val="-2"/>
                        </w:rPr>
                        <w:t> </w:t>
                      </w:r>
                      <w:r>
                        <w:rPr/>
                        <w:t>a</w:t>
                      </w:r>
                      <w:r>
                        <w:rPr>
                          <w:spacing w:val="-2"/>
                        </w:rPr>
                        <w:t> </w:t>
                      </w:r>
                      <w:r>
                        <w:rPr/>
                        <w:t>transferencias,</w:t>
                      </w:r>
                      <w:r>
                        <w:rPr>
                          <w:spacing w:val="-1"/>
                        </w:rPr>
                        <w:t> </w:t>
                      </w:r>
                      <w:r>
                        <w:rPr/>
                        <w:t>sino a</w:t>
                      </w:r>
                      <w:r>
                        <w:rPr>
                          <w:spacing w:val="-2"/>
                        </w:rPr>
                        <w:t> </w:t>
                      </w:r>
                      <w:r>
                        <w:rPr/>
                        <w:t>resultados contables originadas por la medición posterior de activos y pasivos monetarios, las cuales se reconocen como parte de los otros ingresos del período.</w:t>
                      </w:r>
                    </w:p>
                    <w:p>
                      <w:pPr>
                        <w:pStyle w:val="BodyText"/>
                        <w:spacing w:before="38"/>
                      </w:pPr>
                    </w:p>
                    <w:p>
                      <w:pPr>
                        <w:pStyle w:val="BodyText"/>
                        <w:spacing w:line="276" w:lineRule="auto" w:before="1"/>
                        <w:ind w:left="64" w:right="65"/>
                        <w:jc w:val="both"/>
                      </w:pPr>
                      <w:r>
                        <w:rPr/>
                        <w:t>El reconocimiento de los resultados positivos por tenencia y por exposición a la inflación se realiza conforme</w:t>
                      </w:r>
                      <w:r>
                        <w:rPr>
                          <w:spacing w:val="-6"/>
                        </w:rPr>
                        <w:t> </w:t>
                      </w:r>
                      <w:r>
                        <w:rPr/>
                        <w:t>a</w:t>
                      </w:r>
                      <w:r>
                        <w:rPr>
                          <w:spacing w:val="-5"/>
                        </w:rPr>
                        <w:t> </w:t>
                      </w:r>
                      <w:r>
                        <w:rPr/>
                        <w:t>las</w:t>
                      </w:r>
                      <w:r>
                        <w:rPr>
                          <w:spacing w:val="-4"/>
                        </w:rPr>
                        <w:t> </w:t>
                      </w:r>
                      <w:r>
                        <w:rPr/>
                        <w:t>NICSP</w:t>
                      </w:r>
                      <w:r>
                        <w:rPr>
                          <w:spacing w:val="-5"/>
                        </w:rPr>
                        <w:t> </w:t>
                      </w:r>
                      <w:r>
                        <w:rPr/>
                        <w:t>a</w:t>
                      </w:r>
                      <w:r>
                        <w:rPr>
                          <w:spacing w:val="-5"/>
                        </w:rPr>
                        <w:t> </w:t>
                      </w:r>
                      <w:r>
                        <w:rPr/>
                        <w:t>efectos</w:t>
                      </w:r>
                      <w:r>
                        <w:rPr>
                          <w:spacing w:val="-3"/>
                        </w:rPr>
                        <w:t> </w:t>
                      </w:r>
                      <w:r>
                        <w:rPr/>
                        <w:t>de</w:t>
                      </w:r>
                      <w:r>
                        <w:rPr>
                          <w:spacing w:val="-6"/>
                        </w:rPr>
                        <w:t> </w:t>
                      </w:r>
                      <w:r>
                        <w:rPr/>
                        <w:t>variación</w:t>
                      </w:r>
                      <w:r>
                        <w:rPr>
                          <w:spacing w:val="-4"/>
                        </w:rPr>
                        <w:t> </w:t>
                      </w:r>
                      <w:r>
                        <w:rPr/>
                        <w:t>cambiaria,</w:t>
                      </w:r>
                      <w:r>
                        <w:rPr>
                          <w:spacing w:val="-7"/>
                        </w:rPr>
                        <w:t> </w:t>
                      </w:r>
                      <w:r>
                        <w:rPr/>
                        <w:t>bajo</w:t>
                      </w:r>
                      <w:r>
                        <w:rPr>
                          <w:spacing w:val="-4"/>
                        </w:rPr>
                        <w:t> </w:t>
                      </w:r>
                      <w:r>
                        <w:rPr/>
                        <w:t>el</w:t>
                      </w:r>
                      <w:r>
                        <w:rPr>
                          <w:spacing w:val="-5"/>
                        </w:rPr>
                        <w:t> </w:t>
                      </w:r>
                      <w:r>
                        <w:rPr/>
                        <w:t>principio</w:t>
                      </w:r>
                      <w:r>
                        <w:rPr>
                          <w:spacing w:val="-4"/>
                        </w:rPr>
                        <w:t> </w:t>
                      </w:r>
                      <w:r>
                        <w:rPr/>
                        <w:t>del</w:t>
                      </w:r>
                      <w:r>
                        <w:rPr>
                          <w:spacing w:val="-5"/>
                        </w:rPr>
                        <w:t> </w:t>
                      </w:r>
                      <w:r>
                        <w:rPr/>
                        <w:t>devengo</w:t>
                      </w:r>
                      <w:r>
                        <w:rPr>
                          <w:spacing w:val="-4"/>
                        </w:rPr>
                        <w:t> </w:t>
                      </w:r>
                      <w:r>
                        <w:rPr/>
                        <w:t>establecido</w:t>
                      </w:r>
                      <w:r>
                        <w:rPr>
                          <w:spacing w:val="-4"/>
                        </w:rPr>
                        <w:t> </w:t>
                      </w:r>
                      <w:r>
                        <w:rPr/>
                        <w:t>en</w:t>
                      </w:r>
                      <w:r>
                        <w:rPr>
                          <w:spacing w:val="-4"/>
                        </w:rPr>
                        <w:t> </w:t>
                      </w:r>
                      <w:r>
                        <w:rPr/>
                        <w:t>la NICSP 1 – Presentación de Estados Financieros.</w:t>
                      </w:r>
                    </w:p>
                    <w:p>
                      <w:pPr>
                        <w:pStyle w:val="BodyText"/>
                        <w:spacing w:before="37"/>
                      </w:pPr>
                    </w:p>
                    <w:p>
                      <w:pPr>
                        <w:pStyle w:val="BodyText"/>
                        <w:ind w:left="64"/>
                      </w:pPr>
                      <w:r>
                        <w:rPr/>
                        <w:t>En</w:t>
                      </w:r>
                      <w:r>
                        <w:rPr>
                          <w:spacing w:val="-4"/>
                        </w:rPr>
                        <w:t> </w:t>
                      </w:r>
                      <w:r>
                        <w:rPr/>
                        <w:t>particular,</w:t>
                      </w:r>
                      <w:r>
                        <w:rPr>
                          <w:spacing w:val="-4"/>
                        </w:rPr>
                        <w:t> </w:t>
                      </w:r>
                      <w:r>
                        <w:rPr/>
                        <w:t>estos</w:t>
                      </w:r>
                      <w:r>
                        <w:rPr>
                          <w:spacing w:val="-3"/>
                        </w:rPr>
                        <w:t> </w:t>
                      </w:r>
                      <w:r>
                        <w:rPr/>
                        <w:t>resultados</w:t>
                      </w:r>
                      <w:r>
                        <w:rPr>
                          <w:spacing w:val="-5"/>
                        </w:rPr>
                        <w:t> </w:t>
                      </w:r>
                      <w:r>
                        <w:rPr/>
                        <w:t>se</w:t>
                      </w:r>
                      <w:r>
                        <w:rPr>
                          <w:spacing w:val="-5"/>
                        </w:rPr>
                        <w:t> </w:t>
                      </w:r>
                      <w:r>
                        <w:rPr/>
                        <w:t>reconocen</w:t>
                      </w:r>
                      <w:r>
                        <w:rPr>
                          <w:spacing w:val="-3"/>
                        </w:rPr>
                        <w:t> </w:t>
                      </w:r>
                      <w:r>
                        <w:rPr>
                          <w:spacing w:val="-2"/>
                        </w:rPr>
                        <w:t>cuando:</w:t>
                      </w:r>
                    </w:p>
                    <w:p>
                      <w:pPr>
                        <w:pStyle w:val="BodyText"/>
                        <w:spacing w:before="74"/>
                      </w:pPr>
                    </w:p>
                    <w:p>
                      <w:pPr>
                        <w:pStyle w:val="BodyText"/>
                        <w:numPr>
                          <w:ilvl w:val="0"/>
                          <w:numId w:val="44"/>
                        </w:numPr>
                        <w:tabs>
                          <w:tab w:pos="784" w:val="left" w:leader="none"/>
                        </w:tabs>
                        <w:spacing w:line="273" w:lineRule="auto" w:before="0" w:after="0"/>
                        <w:ind w:left="784" w:right="67" w:hanging="360"/>
                        <w:jc w:val="left"/>
                      </w:pPr>
                      <w:r>
                        <w:rPr/>
                        <w:t>Se produce una variación en el tipo de cambio aplicable a activos o pasivos monetarios deno-minados en moneda extranjera.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8400">
                <wp:simplePos x="0" y="0"/>
                <wp:positionH relativeFrom="page">
                  <wp:posOffset>9525</wp:posOffset>
                </wp:positionH>
                <wp:positionV relativeFrom="page">
                  <wp:posOffset>297208</wp:posOffset>
                </wp:positionV>
                <wp:extent cx="7762875" cy="9748520"/>
                <wp:effectExtent l="0" t="0" r="0" b="0"/>
                <wp:wrapNone/>
                <wp:docPr id="570" name="Group 570"/>
                <wp:cNvGraphicFramePr>
                  <a:graphicFrameLocks/>
                </wp:cNvGraphicFramePr>
                <a:graphic>
                  <a:graphicData uri="http://schemas.microsoft.com/office/word/2010/wordprocessingGroup">
                    <wpg:wgp>
                      <wpg:cNvPr id="570" name="Group 570"/>
                      <wpg:cNvGrpSpPr/>
                      <wpg:grpSpPr>
                        <a:xfrm>
                          <a:off x="0" y="0"/>
                          <a:ext cx="7762875" cy="9748520"/>
                          <a:chExt cx="7762875" cy="9748520"/>
                        </a:xfrm>
                      </wpg:grpSpPr>
                      <pic:pic>
                        <pic:nvPicPr>
                          <pic:cNvPr id="571" name="Image 571"/>
                          <pic:cNvPicPr/>
                        </pic:nvPicPr>
                        <pic:blipFill>
                          <a:blip r:embed="rId5" cstate="print"/>
                          <a:stretch>
                            <a:fillRect/>
                          </a:stretch>
                        </pic:blipFill>
                        <pic:spPr>
                          <a:xfrm>
                            <a:off x="0" y="0"/>
                            <a:ext cx="7762874" cy="9748489"/>
                          </a:xfrm>
                          <a:prstGeom prst="rect">
                            <a:avLst/>
                          </a:prstGeom>
                        </pic:spPr>
                      </pic:pic>
                      <wps:wsp>
                        <wps:cNvPr id="572" name="Graphic 57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73" name="Image 573"/>
                          <pic:cNvPicPr/>
                        </pic:nvPicPr>
                        <pic:blipFill>
                          <a:blip r:embed="rId61" cstate="print"/>
                          <a:stretch>
                            <a:fillRect/>
                          </a:stretch>
                        </pic:blipFill>
                        <pic:spPr>
                          <a:xfrm>
                            <a:off x="1485264" y="3525745"/>
                            <a:ext cx="4884420" cy="84963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8080" id="docshapegroup548" coordorigin="15,468" coordsize="12225,15352">
                <v:shape style="position:absolute;left:15;top:468;width:12225;height:15352" type="#_x0000_t75" id="docshape549" stroked="false">
                  <v:imagedata r:id="rId5" o:title=""/>
                </v:shape>
                <v:rect style="position:absolute;left:1673;top:2028;width:8897;height:15" id="docshape550" filled="true" fillcolor="#000000" stroked="false">
                  <v:fill type="solid"/>
                </v:rect>
                <v:shape style="position:absolute;left:2354;top:6020;width:7692;height:1338" type="#_x0000_t75" id="docshape551" stroked="false">
                  <v:imagedata r:id="rId61" o:title=""/>
                </v:shape>
                <w10:wrap type="none"/>
              </v:group>
            </w:pict>
          </mc:Fallback>
        </mc:AlternateContent>
      </w:r>
      <w:r>
        <w:rPr>
          <w:color w:val="172951"/>
          <w:sz w:val="20"/>
        </w:rPr>
        <w:t>Pág.</w:t>
      </w:r>
      <w:r>
        <w:rPr>
          <w:color w:val="172951"/>
          <w:spacing w:val="-7"/>
          <w:sz w:val="20"/>
        </w:rPr>
        <w:t> </w:t>
      </w:r>
      <w:r>
        <w:rPr>
          <w:color w:val="172951"/>
          <w:spacing w:val="-5"/>
          <w:sz w:val="20"/>
        </w:rPr>
        <w:t>116</w:t>
      </w:r>
    </w:p>
    <w:p>
      <w:pPr>
        <w:pStyle w:val="BodyText"/>
        <w:spacing w:before="10"/>
        <w:rPr>
          <w:sz w:val="16"/>
        </w:rPr>
      </w:pPr>
      <w:r>
        <w:rPr>
          <w:sz w:val="16"/>
        </w:rPr>
        <mc:AlternateContent>
          <mc:Choice Requires="wps">
            <w:drawing>
              <wp:anchor distT="0" distB="0" distL="0" distR="0" allowOverlap="1" layoutInCell="1" locked="0" behindDoc="1" simplePos="0" relativeHeight="487700480">
                <wp:simplePos x="0" y="0"/>
                <wp:positionH relativeFrom="page">
                  <wp:posOffset>1080820</wp:posOffset>
                </wp:positionH>
                <wp:positionV relativeFrom="paragraph">
                  <wp:posOffset>141144</wp:posOffset>
                </wp:positionV>
                <wp:extent cx="5715000" cy="3551554"/>
                <wp:effectExtent l="0" t="0" r="0" b="0"/>
                <wp:wrapTopAndBottom/>
                <wp:docPr id="574" name="Textbox 574"/>
                <wp:cNvGraphicFramePr>
                  <a:graphicFrameLocks/>
                </wp:cNvGraphicFramePr>
                <a:graphic>
                  <a:graphicData uri="http://schemas.microsoft.com/office/word/2010/wordprocessingShape">
                    <wps:wsp>
                      <wps:cNvPr id="574" name="Textbox 574"/>
                      <wps:cNvSpPr txBox="1"/>
                      <wps:spPr>
                        <a:xfrm>
                          <a:off x="0" y="0"/>
                          <a:ext cx="5715000" cy="3551554"/>
                        </a:xfrm>
                        <a:prstGeom prst="rect">
                          <a:avLst/>
                        </a:prstGeom>
                        <a:ln w="6095">
                          <a:solidFill>
                            <a:srgbClr val="000000"/>
                          </a:solidFill>
                          <a:prstDash val="solid"/>
                        </a:ln>
                      </wps:spPr>
                      <wps:txbx>
                        <w:txbxContent>
                          <w:p>
                            <w:pPr>
                              <w:pStyle w:val="BodyText"/>
                              <w:numPr>
                                <w:ilvl w:val="0"/>
                                <w:numId w:val="45"/>
                              </w:numPr>
                              <w:tabs>
                                <w:tab w:pos="784" w:val="left" w:leader="none"/>
                              </w:tabs>
                              <w:spacing w:line="276" w:lineRule="auto" w:before="0" w:after="0"/>
                              <w:ind w:left="784" w:right="64" w:hanging="360"/>
                              <w:jc w:val="left"/>
                            </w:pPr>
                            <w:r>
                              <w:rPr/>
                              <w:t>Dicha</w:t>
                            </w:r>
                            <w:r>
                              <w:rPr>
                                <w:spacing w:val="-1"/>
                              </w:rPr>
                              <w:t> </w:t>
                            </w:r>
                            <w:r>
                              <w:rPr/>
                              <w:t>variación genera</w:t>
                            </w:r>
                            <w:r>
                              <w:rPr>
                                <w:spacing w:val="-1"/>
                              </w:rPr>
                              <w:t> </w:t>
                            </w:r>
                            <w:r>
                              <w:rPr/>
                              <w:t>una</w:t>
                            </w:r>
                            <w:r>
                              <w:rPr>
                                <w:spacing w:val="-3"/>
                              </w:rPr>
                              <w:t> </w:t>
                            </w:r>
                            <w:r>
                              <w:rPr/>
                              <w:t>ganancia</w:t>
                            </w:r>
                            <w:r>
                              <w:rPr>
                                <w:spacing w:val="-1"/>
                              </w:rPr>
                              <w:t> </w:t>
                            </w:r>
                            <w:r>
                              <w:rPr/>
                              <w:t>neta para</w:t>
                            </w:r>
                            <w:r>
                              <w:rPr>
                                <w:spacing w:val="-1"/>
                              </w:rPr>
                              <w:t> </w:t>
                            </w:r>
                            <w:r>
                              <w:rPr/>
                              <w:t>la</w:t>
                            </w:r>
                            <w:r>
                              <w:rPr>
                                <w:spacing w:val="-1"/>
                              </w:rPr>
                              <w:t> </w:t>
                            </w:r>
                            <w:r>
                              <w:rPr/>
                              <w:t>institución en el</w:t>
                            </w:r>
                            <w:r>
                              <w:rPr>
                                <w:spacing w:val="-1"/>
                              </w:rPr>
                              <w:t> </w:t>
                            </w:r>
                            <w:r>
                              <w:rPr/>
                              <w:t>proceso de</w:t>
                            </w:r>
                            <w:r>
                              <w:rPr>
                                <w:spacing w:val="-4"/>
                              </w:rPr>
                              <w:t> </w:t>
                            </w:r>
                            <w:r>
                              <w:rPr/>
                              <w:t>medición poste-rior de los saldos contables.</w:t>
                            </w:r>
                          </w:p>
                          <w:p>
                            <w:pPr>
                              <w:pStyle w:val="BodyText"/>
                              <w:spacing w:before="38"/>
                            </w:pPr>
                          </w:p>
                          <w:p>
                            <w:pPr>
                              <w:pStyle w:val="BodyText"/>
                              <w:spacing w:line="276" w:lineRule="auto" w:before="1"/>
                              <w:ind w:left="64" w:right="162"/>
                              <w:jc w:val="both"/>
                            </w:pPr>
                            <w:r>
                              <w:rPr/>
                              <w:t>La</w:t>
                            </w:r>
                            <w:r>
                              <w:rPr>
                                <w:spacing w:val="-3"/>
                              </w:rPr>
                              <w:t> </w:t>
                            </w:r>
                            <w:r>
                              <w:rPr/>
                              <w:t>medición</w:t>
                            </w:r>
                            <w:r>
                              <w:rPr>
                                <w:spacing w:val="-2"/>
                              </w:rPr>
                              <w:t> </w:t>
                            </w:r>
                            <w:r>
                              <w:rPr/>
                              <w:t>de</w:t>
                            </w:r>
                            <w:r>
                              <w:rPr>
                                <w:spacing w:val="-4"/>
                              </w:rPr>
                              <w:t> </w:t>
                            </w:r>
                            <w:r>
                              <w:rPr/>
                              <w:t>estos</w:t>
                            </w:r>
                            <w:r>
                              <w:rPr>
                                <w:spacing w:val="-1"/>
                              </w:rPr>
                              <w:t> </w:t>
                            </w:r>
                            <w:r>
                              <w:rPr/>
                              <w:t>resultados</w:t>
                            </w:r>
                            <w:r>
                              <w:rPr>
                                <w:spacing w:val="-4"/>
                              </w:rPr>
                              <w:t> </w:t>
                            </w:r>
                            <w:r>
                              <w:rPr/>
                              <w:t>se</w:t>
                            </w:r>
                            <w:r>
                              <w:rPr>
                                <w:spacing w:val="-3"/>
                              </w:rPr>
                              <w:t> </w:t>
                            </w:r>
                            <w:r>
                              <w:rPr/>
                              <w:t>realiza</w:t>
                            </w:r>
                            <w:r>
                              <w:rPr>
                                <w:spacing w:val="-2"/>
                              </w:rPr>
                              <w:t> </w:t>
                            </w:r>
                            <w:r>
                              <w:rPr/>
                              <w:t>conforme</w:t>
                            </w:r>
                            <w:r>
                              <w:rPr>
                                <w:spacing w:val="-3"/>
                              </w:rPr>
                              <w:t> </w:t>
                            </w:r>
                            <w:r>
                              <w:rPr/>
                              <w:t>a</w:t>
                            </w:r>
                            <w:r>
                              <w:rPr>
                                <w:spacing w:val="-3"/>
                              </w:rPr>
                              <w:t> </w:t>
                            </w:r>
                            <w:r>
                              <w:rPr/>
                              <w:t>los</w:t>
                            </w:r>
                            <w:r>
                              <w:rPr>
                                <w:spacing w:val="-1"/>
                              </w:rPr>
                              <w:t> </w:t>
                            </w:r>
                            <w:r>
                              <w:rPr/>
                              <w:t>criterios</w:t>
                            </w:r>
                            <w:r>
                              <w:rPr>
                                <w:spacing w:val="-1"/>
                              </w:rPr>
                              <w:t> </w:t>
                            </w:r>
                            <w:r>
                              <w:rPr/>
                              <w:t>de</w:t>
                            </w:r>
                            <w:r>
                              <w:rPr>
                                <w:spacing w:val="-4"/>
                              </w:rPr>
                              <w:t> </w:t>
                            </w:r>
                            <w:r>
                              <w:rPr/>
                              <w:t>medición</w:t>
                            </w:r>
                            <w:r>
                              <w:rPr>
                                <w:spacing w:val="-4"/>
                              </w:rPr>
                              <w:t> </w:t>
                            </w:r>
                            <w:r>
                              <w:rPr/>
                              <w:t>posterior</w:t>
                            </w:r>
                            <w:r>
                              <w:rPr>
                                <w:spacing w:val="-2"/>
                              </w:rPr>
                              <w:t> </w:t>
                            </w:r>
                            <w:r>
                              <w:rPr/>
                              <w:t>de</w:t>
                            </w:r>
                            <w:r>
                              <w:rPr>
                                <w:spacing w:val="-4"/>
                              </w:rPr>
                              <w:t> </w:t>
                            </w:r>
                            <w:r>
                              <w:rPr/>
                              <w:t>activos</w:t>
                            </w:r>
                            <w:r>
                              <w:rPr>
                                <w:spacing w:val="-1"/>
                              </w:rPr>
                              <w:t> </w:t>
                            </w:r>
                            <w:r>
                              <w:rPr/>
                              <w:t>y pasivos monetarios conforme a las NICSP, considerando:</w:t>
                            </w:r>
                          </w:p>
                          <w:p>
                            <w:pPr>
                              <w:pStyle w:val="BodyText"/>
                              <w:spacing w:before="38"/>
                            </w:pPr>
                          </w:p>
                          <w:p>
                            <w:pPr>
                              <w:pStyle w:val="BodyText"/>
                              <w:numPr>
                                <w:ilvl w:val="0"/>
                                <w:numId w:val="45"/>
                              </w:numPr>
                              <w:tabs>
                                <w:tab w:pos="784" w:val="left" w:leader="none"/>
                              </w:tabs>
                              <w:spacing w:line="240" w:lineRule="auto" w:before="0" w:after="0"/>
                              <w:ind w:left="784" w:right="0" w:hanging="360"/>
                              <w:jc w:val="left"/>
                            </w:pPr>
                            <w:r>
                              <w:rPr/>
                              <w:t>La</w:t>
                            </w:r>
                            <w:r>
                              <w:rPr>
                                <w:spacing w:val="-6"/>
                              </w:rPr>
                              <w:t> </w:t>
                            </w:r>
                            <w:r>
                              <w:rPr/>
                              <w:t>aplicación</w:t>
                            </w:r>
                            <w:r>
                              <w:rPr>
                                <w:spacing w:val="-2"/>
                              </w:rPr>
                              <w:t> </w:t>
                            </w:r>
                            <w:r>
                              <w:rPr/>
                              <w:t>del</w:t>
                            </w:r>
                            <w:r>
                              <w:rPr>
                                <w:spacing w:val="-2"/>
                              </w:rPr>
                              <w:t> </w:t>
                            </w:r>
                            <w:r>
                              <w:rPr/>
                              <w:t>tipo</w:t>
                            </w:r>
                            <w:r>
                              <w:rPr>
                                <w:spacing w:val="-2"/>
                              </w:rPr>
                              <w:t> </w:t>
                            </w:r>
                            <w:r>
                              <w:rPr/>
                              <w:t>de</w:t>
                            </w:r>
                            <w:r>
                              <w:rPr>
                                <w:spacing w:val="-4"/>
                              </w:rPr>
                              <w:t> </w:t>
                            </w:r>
                            <w:r>
                              <w:rPr/>
                              <w:t>cambio</w:t>
                            </w:r>
                            <w:r>
                              <w:rPr>
                                <w:spacing w:val="-3"/>
                              </w:rPr>
                              <w:t> </w:t>
                            </w:r>
                            <w:r>
                              <w:rPr/>
                              <w:t>vigente</w:t>
                            </w:r>
                            <w:r>
                              <w:rPr>
                                <w:spacing w:val="-2"/>
                              </w:rPr>
                              <w:t> </w:t>
                            </w:r>
                            <w:r>
                              <w:rPr/>
                              <w:t>a</w:t>
                            </w:r>
                            <w:r>
                              <w:rPr>
                                <w:spacing w:val="-4"/>
                              </w:rPr>
                              <w:t> </w:t>
                            </w:r>
                            <w:r>
                              <w:rPr/>
                              <w:t>la</w:t>
                            </w:r>
                            <w:r>
                              <w:rPr>
                                <w:spacing w:val="-4"/>
                              </w:rPr>
                              <w:t> </w:t>
                            </w:r>
                            <w:r>
                              <w:rPr/>
                              <w:t>fecha</w:t>
                            </w:r>
                            <w:r>
                              <w:rPr>
                                <w:spacing w:val="-3"/>
                              </w:rPr>
                              <w:t> </w:t>
                            </w:r>
                            <w:r>
                              <w:rPr/>
                              <w:t>de</w:t>
                            </w:r>
                            <w:r>
                              <w:rPr>
                                <w:spacing w:val="-4"/>
                              </w:rPr>
                              <w:t> </w:t>
                            </w:r>
                            <w:r>
                              <w:rPr/>
                              <w:t>cierre</w:t>
                            </w:r>
                            <w:r>
                              <w:rPr>
                                <w:spacing w:val="-4"/>
                              </w:rPr>
                              <w:t> </w:t>
                            </w:r>
                            <w:r>
                              <w:rPr/>
                              <w:t>del</w:t>
                            </w:r>
                            <w:r>
                              <w:rPr>
                                <w:spacing w:val="-2"/>
                              </w:rPr>
                              <w:t> período.</w:t>
                            </w:r>
                          </w:p>
                          <w:p>
                            <w:pPr>
                              <w:pStyle w:val="BodyText"/>
                              <w:numPr>
                                <w:ilvl w:val="0"/>
                                <w:numId w:val="45"/>
                              </w:numPr>
                              <w:tabs>
                                <w:tab w:pos="784" w:val="left" w:leader="none"/>
                              </w:tabs>
                              <w:spacing w:line="273" w:lineRule="auto" w:before="37" w:after="0"/>
                              <w:ind w:left="784" w:right="65" w:hanging="360"/>
                              <w:jc w:val="left"/>
                            </w:pPr>
                            <w:r>
                              <w:rPr/>
                              <w:t>El</w:t>
                            </w:r>
                            <w:r>
                              <w:rPr>
                                <w:spacing w:val="-10"/>
                              </w:rPr>
                              <w:t> </w:t>
                            </w:r>
                            <w:r>
                              <w:rPr/>
                              <w:t>reconocimiento</w:t>
                            </w:r>
                            <w:r>
                              <w:rPr>
                                <w:spacing w:val="-9"/>
                              </w:rPr>
                              <w:t> </w:t>
                            </w:r>
                            <w:r>
                              <w:rPr/>
                              <w:t>de</w:t>
                            </w:r>
                            <w:r>
                              <w:rPr>
                                <w:spacing w:val="-11"/>
                              </w:rPr>
                              <w:t> </w:t>
                            </w:r>
                            <w:r>
                              <w:rPr/>
                              <w:t>la</w:t>
                            </w:r>
                            <w:r>
                              <w:rPr>
                                <w:spacing w:val="-11"/>
                              </w:rPr>
                              <w:t> </w:t>
                            </w:r>
                            <w:r>
                              <w:rPr/>
                              <w:t>diferencia</w:t>
                            </w:r>
                            <w:r>
                              <w:rPr>
                                <w:spacing w:val="-10"/>
                              </w:rPr>
                              <w:t> </w:t>
                            </w:r>
                            <w:r>
                              <w:rPr/>
                              <w:t>entre</w:t>
                            </w:r>
                            <w:r>
                              <w:rPr>
                                <w:spacing w:val="-10"/>
                              </w:rPr>
                              <w:t> </w:t>
                            </w:r>
                            <w:r>
                              <w:rPr/>
                              <w:t>el</w:t>
                            </w:r>
                            <w:r>
                              <w:rPr>
                                <w:spacing w:val="-10"/>
                              </w:rPr>
                              <w:t> </w:t>
                            </w:r>
                            <w:r>
                              <w:rPr/>
                              <w:t>valor</w:t>
                            </w:r>
                            <w:r>
                              <w:rPr>
                                <w:spacing w:val="-9"/>
                              </w:rPr>
                              <w:t> </w:t>
                            </w:r>
                            <w:r>
                              <w:rPr/>
                              <w:t>contable</w:t>
                            </w:r>
                            <w:r>
                              <w:rPr>
                                <w:spacing w:val="-11"/>
                              </w:rPr>
                              <w:t> </w:t>
                            </w:r>
                            <w:r>
                              <w:rPr/>
                              <w:t>anterior</w:t>
                            </w:r>
                            <w:r>
                              <w:rPr>
                                <w:spacing w:val="-10"/>
                              </w:rPr>
                              <w:t> </w:t>
                            </w:r>
                            <w:r>
                              <w:rPr/>
                              <w:t>y</w:t>
                            </w:r>
                            <w:r>
                              <w:rPr>
                                <w:spacing w:val="-11"/>
                              </w:rPr>
                              <w:t> </w:t>
                            </w:r>
                            <w:r>
                              <w:rPr/>
                              <w:t>el</w:t>
                            </w:r>
                            <w:r>
                              <w:rPr>
                                <w:spacing w:val="-10"/>
                              </w:rPr>
                              <w:t> </w:t>
                            </w:r>
                            <w:r>
                              <w:rPr/>
                              <w:t>valor</w:t>
                            </w:r>
                            <w:r>
                              <w:rPr>
                                <w:spacing w:val="-9"/>
                              </w:rPr>
                              <w:t> </w:t>
                            </w:r>
                            <w:r>
                              <w:rPr/>
                              <w:t>actualizado,</w:t>
                            </w:r>
                            <w:r>
                              <w:rPr>
                                <w:spacing w:val="-9"/>
                              </w:rPr>
                              <w:t> </w:t>
                            </w:r>
                            <w:r>
                              <w:rPr/>
                              <w:t>la</w:t>
                            </w:r>
                            <w:r>
                              <w:rPr>
                                <w:spacing w:val="-11"/>
                              </w:rPr>
                              <w:t> </w:t>
                            </w:r>
                            <w:r>
                              <w:rPr/>
                              <w:t>cual se registra directamente en el resultado del período como ganancia o pérdida cambiaria.</w:t>
                            </w:r>
                          </w:p>
                          <w:p>
                            <w:pPr>
                              <w:pStyle w:val="BodyText"/>
                              <w:spacing w:before="5"/>
                            </w:pPr>
                          </w:p>
                          <w:p>
                            <w:pPr>
                              <w:pStyle w:val="BodyText"/>
                              <w:ind w:left="64" w:right="66"/>
                              <w:jc w:val="both"/>
                            </w:pPr>
                            <w:r>
                              <w:rPr/>
                              <w:t>Durante</w:t>
                            </w:r>
                            <w:r>
                              <w:rPr>
                                <w:spacing w:val="-1"/>
                              </w:rPr>
                              <w:t> </w:t>
                            </w:r>
                            <w:r>
                              <w:rPr/>
                              <w:t>el</w:t>
                            </w:r>
                            <w:r>
                              <w:rPr>
                                <w:spacing w:val="-1"/>
                              </w:rPr>
                              <w:t> </w:t>
                            </w:r>
                            <w:r>
                              <w:rPr/>
                              <w:t>último</w:t>
                            </w:r>
                            <w:r>
                              <w:rPr>
                                <w:spacing w:val="-1"/>
                              </w:rPr>
                              <w:t> </w:t>
                            </w:r>
                            <w:r>
                              <w:rPr/>
                              <w:t>año</w:t>
                            </w:r>
                            <w:r>
                              <w:rPr>
                                <w:spacing w:val="-1"/>
                              </w:rPr>
                              <w:t> </w:t>
                            </w:r>
                            <w:r>
                              <w:rPr/>
                              <w:t>el</w:t>
                            </w:r>
                            <w:r>
                              <w:rPr>
                                <w:spacing w:val="-1"/>
                              </w:rPr>
                              <w:t> </w:t>
                            </w:r>
                            <w:r>
                              <w:rPr/>
                              <w:t>tipo</w:t>
                            </w:r>
                            <w:r>
                              <w:rPr>
                                <w:spacing w:val="-1"/>
                              </w:rPr>
                              <w:t> </w:t>
                            </w:r>
                            <w:r>
                              <w:rPr/>
                              <w:t>de</w:t>
                            </w:r>
                            <w:r>
                              <w:rPr>
                                <w:spacing w:val="-3"/>
                              </w:rPr>
                              <w:t> </w:t>
                            </w:r>
                            <w:r>
                              <w:rPr/>
                              <w:t>cambio</w:t>
                            </w:r>
                            <w:r>
                              <w:rPr>
                                <w:spacing w:val="-1"/>
                              </w:rPr>
                              <w:t> </w:t>
                            </w:r>
                            <w:r>
                              <w:rPr/>
                              <w:t>la</w:t>
                            </w:r>
                            <w:r>
                              <w:rPr>
                                <w:spacing w:val="-3"/>
                              </w:rPr>
                              <w:t> </w:t>
                            </w:r>
                            <w:r>
                              <w:rPr/>
                              <w:t>tendencia</w:t>
                            </w:r>
                            <w:r>
                              <w:rPr>
                                <w:spacing w:val="-2"/>
                              </w:rPr>
                              <w:t> </w:t>
                            </w:r>
                            <w:r>
                              <w:rPr/>
                              <w:t>a</w:t>
                            </w:r>
                            <w:r>
                              <w:rPr>
                                <w:spacing w:val="-2"/>
                              </w:rPr>
                              <w:t> </w:t>
                            </w:r>
                            <w:r>
                              <w:rPr/>
                              <w:t>la</w:t>
                            </w:r>
                            <w:r>
                              <w:rPr>
                                <w:spacing w:val="-2"/>
                              </w:rPr>
                              <w:t> </w:t>
                            </w:r>
                            <w:r>
                              <w:rPr/>
                              <w:t>baja</w:t>
                            </w:r>
                            <w:r>
                              <w:rPr>
                                <w:spacing w:val="-2"/>
                              </w:rPr>
                              <w:t> </w:t>
                            </w:r>
                            <w:r>
                              <w:rPr/>
                              <w:t>del</w:t>
                            </w:r>
                            <w:r>
                              <w:rPr>
                                <w:spacing w:val="-1"/>
                              </w:rPr>
                              <w:t> </w:t>
                            </w:r>
                            <w:r>
                              <w:rPr/>
                              <w:t>dólar</w:t>
                            </w:r>
                            <w:r>
                              <w:rPr>
                                <w:spacing w:val="-1"/>
                              </w:rPr>
                              <w:t> </w:t>
                            </w:r>
                            <w:r>
                              <w:rPr/>
                              <w:t>ha</w:t>
                            </w:r>
                            <w:r>
                              <w:rPr>
                                <w:spacing w:val="-3"/>
                              </w:rPr>
                              <w:t> </w:t>
                            </w:r>
                            <w:r>
                              <w:rPr/>
                              <w:t>impactado</w:t>
                            </w:r>
                            <w:r>
                              <w:rPr>
                                <w:spacing w:val="-1"/>
                              </w:rPr>
                              <w:t> </w:t>
                            </w:r>
                            <w:r>
                              <w:rPr/>
                              <w:t>en</w:t>
                            </w:r>
                            <w:r>
                              <w:rPr>
                                <w:spacing w:val="-1"/>
                              </w:rPr>
                              <w:t> </w:t>
                            </w:r>
                            <w:r>
                              <w:rPr/>
                              <w:t>el</w:t>
                            </w:r>
                            <w:r>
                              <w:rPr>
                                <w:spacing w:val="-1"/>
                              </w:rPr>
                              <w:t> </w:t>
                            </w:r>
                            <w:r>
                              <w:rPr/>
                              <w:t>diferencial cambiario generado en</w:t>
                            </w:r>
                            <w:r>
                              <w:rPr>
                                <w:spacing w:val="-3"/>
                              </w:rPr>
                              <w:t> </w:t>
                            </w:r>
                            <w:r>
                              <w:rPr/>
                              <w:t>las</w:t>
                            </w:r>
                            <w:r>
                              <w:rPr>
                                <w:spacing w:val="-2"/>
                              </w:rPr>
                              <w:t> </w:t>
                            </w:r>
                            <w:r>
                              <w:rPr/>
                              <w:t>transacciones</w:t>
                            </w:r>
                            <w:r>
                              <w:rPr>
                                <w:spacing w:val="-2"/>
                              </w:rPr>
                              <w:t> </w:t>
                            </w:r>
                            <w:r>
                              <w:rPr/>
                              <w:t>de</w:t>
                            </w:r>
                            <w:r>
                              <w:rPr>
                                <w:spacing w:val="-5"/>
                              </w:rPr>
                              <w:t> </w:t>
                            </w:r>
                            <w:r>
                              <w:rPr/>
                              <w:t>moneda</w:t>
                            </w:r>
                            <w:r>
                              <w:rPr>
                                <w:spacing w:val="-2"/>
                              </w:rPr>
                              <w:t> </w:t>
                            </w:r>
                            <w:r>
                              <w:rPr/>
                              <w:t>extrajera.</w:t>
                            </w:r>
                            <w:r>
                              <w:rPr>
                                <w:spacing w:val="-2"/>
                              </w:rPr>
                              <w:t> </w:t>
                            </w:r>
                            <w:r>
                              <w:rPr/>
                              <w:t>Manteniendo</w:t>
                            </w:r>
                            <w:r>
                              <w:rPr>
                                <w:spacing w:val="-1"/>
                              </w:rPr>
                              <w:t> </w:t>
                            </w:r>
                            <w:r>
                              <w:rPr/>
                              <w:t>su</w:t>
                            </w:r>
                            <w:r>
                              <w:rPr>
                                <w:spacing w:val="-1"/>
                              </w:rPr>
                              <w:t> </w:t>
                            </w:r>
                            <w:r>
                              <w:rPr/>
                              <w:t>tendencia</w:t>
                            </w:r>
                            <w:r>
                              <w:rPr>
                                <w:spacing w:val="-2"/>
                              </w:rPr>
                              <w:t> </w:t>
                            </w:r>
                            <w:r>
                              <w:rPr/>
                              <w:t>a</w:t>
                            </w:r>
                            <w:r>
                              <w:rPr>
                                <w:spacing w:val="-2"/>
                              </w:rPr>
                              <w:t> </w:t>
                            </w:r>
                            <w:r>
                              <w:rPr/>
                              <w:t>la</w:t>
                            </w:r>
                            <w:r>
                              <w:rPr>
                                <w:spacing w:val="-2"/>
                              </w:rPr>
                              <w:t> </w:t>
                            </w:r>
                            <w:r>
                              <w:rPr/>
                              <w:t>baja</w:t>
                            </w:r>
                            <w:r>
                              <w:rPr>
                                <w:spacing w:val="-2"/>
                              </w:rPr>
                              <w:t> </w:t>
                            </w:r>
                            <w:r>
                              <w:rPr/>
                              <w:t>a</w:t>
                            </w:r>
                            <w:r>
                              <w:rPr>
                                <w:spacing w:val="-2"/>
                              </w:rPr>
                              <w:t> </w:t>
                            </w:r>
                            <w:r>
                              <w:rPr/>
                              <w:t>la </w:t>
                            </w:r>
                            <w:r>
                              <w:rPr>
                                <w:spacing w:val="-2"/>
                              </w:rPr>
                              <w:t>fecha.</w:t>
                            </w:r>
                          </w:p>
                        </w:txbxContent>
                      </wps:txbx>
                      <wps:bodyPr wrap="square" lIns="0" tIns="0" rIns="0" bIns="0" rtlCol="0">
                        <a:noAutofit/>
                      </wps:bodyPr>
                    </wps:wsp>
                  </a:graphicData>
                </a:graphic>
              </wp:anchor>
            </w:drawing>
          </mc:Choice>
          <mc:Fallback>
            <w:pict>
              <v:shape style="position:absolute;margin-left:85.103996pt;margin-top:11.11375pt;width:450pt;height:279.650pt;mso-position-horizontal-relative:page;mso-position-vertical-relative:paragraph;z-index:-15616000;mso-wrap-distance-left:0;mso-wrap-distance-right:0" type="#_x0000_t202" id="docshape552" filled="false" stroked="true" strokeweight=".47998pt" strokecolor="#000000">
                <v:textbox inset="0,0,0,0">
                  <w:txbxContent>
                    <w:p>
                      <w:pPr>
                        <w:pStyle w:val="BodyText"/>
                        <w:numPr>
                          <w:ilvl w:val="0"/>
                          <w:numId w:val="45"/>
                        </w:numPr>
                        <w:tabs>
                          <w:tab w:pos="784" w:val="left" w:leader="none"/>
                        </w:tabs>
                        <w:spacing w:line="276" w:lineRule="auto" w:before="0" w:after="0"/>
                        <w:ind w:left="784" w:right="64" w:hanging="360"/>
                        <w:jc w:val="left"/>
                      </w:pPr>
                      <w:r>
                        <w:rPr/>
                        <w:t>Dicha</w:t>
                      </w:r>
                      <w:r>
                        <w:rPr>
                          <w:spacing w:val="-1"/>
                        </w:rPr>
                        <w:t> </w:t>
                      </w:r>
                      <w:r>
                        <w:rPr/>
                        <w:t>variación genera</w:t>
                      </w:r>
                      <w:r>
                        <w:rPr>
                          <w:spacing w:val="-1"/>
                        </w:rPr>
                        <w:t> </w:t>
                      </w:r>
                      <w:r>
                        <w:rPr/>
                        <w:t>una</w:t>
                      </w:r>
                      <w:r>
                        <w:rPr>
                          <w:spacing w:val="-3"/>
                        </w:rPr>
                        <w:t> </w:t>
                      </w:r>
                      <w:r>
                        <w:rPr/>
                        <w:t>ganancia</w:t>
                      </w:r>
                      <w:r>
                        <w:rPr>
                          <w:spacing w:val="-1"/>
                        </w:rPr>
                        <w:t> </w:t>
                      </w:r>
                      <w:r>
                        <w:rPr/>
                        <w:t>neta para</w:t>
                      </w:r>
                      <w:r>
                        <w:rPr>
                          <w:spacing w:val="-1"/>
                        </w:rPr>
                        <w:t> </w:t>
                      </w:r>
                      <w:r>
                        <w:rPr/>
                        <w:t>la</w:t>
                      </w:r>
                      <w:r>
                        <w:rPr>
                          <w:spacing w:val="-1"/>
                        </w:rPr>
                        <w:t> </w:t>
                      </w:r>
                      <w:r>
                        <w:rPr/>
                        <w:t>institución en el</w:t>
                      </w:r>
                      <w:r>
                        <w:rPr>
                          <w:spacing w:val="-1"/>
                        </w:rPr>
                        <w:t> </w:t>
                      </w:r>
                      <w:r>
                        <w:rPr/>
                        <w:t>proceso de</w:t>
                      </w:r>
                      <w:r>
                        <w:rPr>
                          <w:spacing w:val="-4"/>
                        </w:rPr>
                        <w:t> </w:t>
                      </w:r>
                      <w:r>
                        <w:rPr/>
                        <w:t>medición poste-rior de los saldos contables.</w:t>
                      </w:r>
                    </w:p>
                    <w:p>
                      <w:pPr>
                        <w:pStyle w:val="BodyText"/>
                        <w:spacing w:before="38"/>
                      </w:pPr>
                    </w:p>
                    <w:p>
                      <w:pPr>
                        <w:pStyle w:val="BodyText"/>
                        <w:spacing w:line="276" w:lineRule="auto" w:before="1"/>
                        <w:ind w:left="64" w:right="162"/>
                        <w:jc w:val="both"/>
                      </w:pPr>
                      <w:r>
                        <w:rPr/>
                        <w:t>La</w:t>
                      </w:r>
                      <w:r>
                        <w:rPr>
                          <w:spacing w:val="-3"/>
                        </w:rPr>
                        <w:t> </w:t>
                      </w:r>
                      <w:r>
                        <w:rPr/>
                        <w:t>medición</w:t>
                      </w:r>
                      <w:r>
                        <w:rPr>
                          <w:spacing w:val="-2"/>
                        </w:rPr>
                        <w:t> </w:t>
                      </w:r>
                      <w:r>
                        <w:rPr/>
                        <w:t>de</w:t>
                      </w:r>
                      <w:r>
                        <w:rPr>
                          <w:spacing w:val="-4"/>
                        </w:rPr>
                        <w:t> </w:t>
                      </w:r>
                      <w:r>
                        <w:rPr/>
                        <w:t>estos</w:t>
                      </w:r>
                      <w:r>
                        <w:rPr>
                          <w:spacing w:val="-1"/>
                        </w:rPr>
                        <w:t> </w:t>
                      </w:r>
                      <w:r>
                        <w:rPr/>
                        <w:t>resultados</w:t>
                      </w:r>
                      <w:r>
                        <w:rPr>
                          <w:spacing w:val="-4"/>
                        </w:rPr>
                        <w:t> </w:t>
                      </w:r>
                      <w:r>
                        <w:rPr/>
                        <w:t>se</w:t>
                      </w:r>
                      <w:r>
                        <w:rPr>
                          <w:spacing w:val="-3"/>
                        </w:rPr>
                        <w:t> </w:t>
                      </w:r>
                      <w:r>
                        <w:rPr/>
                        <w:t>realiza</w:t>
                      </w:r>
                      <w:r>
                        <w:rPr>
                          <w:spacing w:val="-2"/>
                        </w:rPr>
                        <w:t> </w:t>
                      </w:r>
                      <w:r>
                        <w:rPr/>
                        <w:t>conforme</w:t>
                      </w:r>
                      <w:r>
                        <w:rPr>
                          <w:spacing w:val="-3"/>
                        </w:rPr>
                        <w:t> </w:t>
                      </w:r>
                      <w:r>
                        <w:rPr/>
                        <w:t>a</w:t>
                      </w:r>
                      <w:r>
                        <w:rPr>
                          <w:spacing w:val="-3"/>
                        </w:rPr>
                        <w:t> </w:t>
                      </w:r>
                      <w:r>
                        <w:rPr/>
                        <w:t>los</w:t>
                      </w:r>
                      <w:r>
                        <w:rPr>
                          <w:spacing w:val="-1"/>
                        </w:rPr>
                        <w:t> </w:t>
                      </w:r>
                      <w:r>
                        <w:rPr/>
                        <w:t>criterios</w:t>
                      </w:r>
                      <w:r>
                        <w:rPr>
                          <w:spacing w:val="-1"/>
                        </w:rPr>
                        <w:t> </w:t>
                      </w:r>
                      <w:r>
                        <w:rPr/>
                        <w:t>de</w:t>
                      </w:r>
                      <w:r>
                        <w:rPr>
                          <w:spacing w:val="-4"/>
                        </w:rPr>
                        <w:t> </w:t>
                      </w:r>
                      <w:r>
                        <w:rPr/>
                        <w:t>medición</w:t>
                      </w:r>
                      <w:r>
                        <w:rPr>
                          <w:spacing w:val="-4"/>
                        </w:rPr>
                        <w:t> </w:t>
                      </w:r>
                      <w:r>
                        <w:rPr/>
                        <w:t>posterior</w:t>
                      </w:r>
                      <w:r>
                        <w:rPr>
                          <w:spacing w:val="-2"/>
                        </w:rPr>
                        <w:t> </w:t>
                      </w:r>
                      <w:r>
                        <w:rPr/>
                        <w:t>de</w:t>
                      </w:r>
                      <w:r>
                        <w:rPr>
                          <w:spacing w:val="-4"/>
                        </w:rPr>
                        <w:t> </w:t>
                      </w:r>
                      <w:r>
                        <w:rPr/>
                        <w:t>activos</w:t>
                      </w:r>
                      <w:r>
                        <w:rPr>
                          <w:spacing w:val="-1"/>
                        </w:rPr>
                        <w:t> </w:t>
                      </w:r>
                      <w:r>
                        <w:rPr/>
                        <w:t>y pasivos monetarios conforme a las NICSP, considerando:</w:t>
                      </w:r>
                    </w:p>
                    <w:p>
                      <w:pPr>
                        <w:pStyle w:val="BodyText"/>
                        <w:spacing w:before="38"/>
                      </w:pPr>
                    </w:p>
                    <w:p>
                      <w:pPr>
                        <w:pStyle w:val="BodyText"/>
                        <w:numPr>
                          <w:ilvl w:val="0"/>
                          <w:numId w:val="45"/>
                        </w:numPr>
                        <w:tabs>
                          <w:tab w:pos="784" w:val="left" w:leader="none"/>
                        </w:tabs>
                        <w:spacing w:line="240" w:lineRule="auto" w:before="0" w:after="0"/>
                        <w:ind w:left="784" w:right="0" w:hanging="360"/>
                        <w:jc w:val="left"/>
                      </w:pPr>
                      <w:r>
                        <w:rPr/>
                        <w:t>La</w:t>
                      </w:r>
                      <w:r>
                        <w:rPr>
                          <w:spacing w:val="-6"/>
                        </w:rPr>
                        <w:t> </w:t>
                      </w:r>
                      <w:r>
                        <w:rPr/>
                        <w:t>aplicación</w:t>
                      </w:r>
                      <w:r>
                        <w:rPr>
                          <w:spacing w:val="-2"/>
                        </w:rPr>
                        <w:t> </w:t>
                      </w:r>
                      <w:r>
                        <w:rPr/>
                        <w:t>del</w:t>
                      </w:r>
                      <w:r>
                        <w:rPr>
                          <w:spacing w:val="-2"/>
                        </w:rPr>
                        <w:t> </w:t>
                      </w:r>
                      <w:r>
                        <w:rPr/>
                        <w:t>tipo</w:t>
                      </w:r>
                      <w:r>
                        <w:rPr>
                          <w:spacing w:val="-2"/>
                        </w:rPr>
                        <w:t> </w:t>
                      </w:r>
                      <w:r>
                        <w:rPr/>
                        <w:t>de</w:t>
                      </w:r>
                      <w:r>
                        <w:rPr>
                          <w:spacing w:val="-4"/>
                        </w:rPr>
                        <w:t> </w:t>
                      </w:r>
                      <w:r>
                        <w:rPr/>
                        <w:t>cambio</w:t>
                      </w:r>
                      <w:r>
                        <w:rPr>
                          <w:spacing w:val="-3"/>
                        </w:rPr>
                        <w:t> </w:t>
                      </w:r>
                      <w:r>
                        <w:rPr/>
                        <w:t>vigente</w:t>
                      </w:r>
                      <w:r>
                        <w:rPr>
                          <w:spacing w:val="-2"/>
                        </w:rPr>
                        <w:t> </w:t>
                      </w:r>
                      <w:r>
                        <w:rPr/>
                        <w:t>a</w:t>
                      </w:r>
                      <w:r>
                        <w:rPr>
                          <w:spacing w:val="-4"/>
                        </w:rPr>
                        <w:t> </w:t>
                      </w:r>
                      <w:r>
                        <w:rPr/>
                        <w:t>la</w:t>
                      </w:r>
                      <w:r>
                        <w:rPr>
                          <w:spacing w:val="-4"/>
                        </w:rPr>
                        <w:t> </w:t>
                      </w:r>
                      <w:r>
                        <w:rPr/>
                        <w:t>fecha</w:t>
                      </w:r>
                      <w:r>
                        <w:rPr>
                          <w:spacing w:val="-3"/>
                        </w:rPr>
                        <w:t> </w:t>
                      </w:r>
                      <w:r>
                        <w:rPr/>
                        <w:t>de</w:t>
                      </w:r>
                      <w:r>
                        <w:rPr>
                          <w:spacing w:val="-4"/>
                        </w:rPr>
                        <w:t> </w:t>
                      </w:r>
                      <w:r>
                        <w:rPr/>
                        <w:t>cierre</w:t>
                      </w:r>
                      <w:r>
                        <w:rPr>
                          <w:spacing w:val="-4"/>
                        </w:rPr>
                        <w:t> </w:t>
                      </w:r>
                      <w:r>
                        <w:rPr/>
                        <w:t>del</w:t>
                      </w:r>
                      <w:r>
                        <w:rPr>
                          <w:spacing w:val="-2"/>
                        </w:rPr>
                        <w:t> período.</w:t>
                      </w:r>
                    </w:p>
                    <w:p>
                      <w:pPr>
                        <w:pStyle w:val="BodyText"/>
                        <w:numPr>
                          <w:ilvl w:val="0"/>
                          <w:numId w:val="45"/>
                        </w:numPr>
                        <w:tabs>
                          <w:tab w:pos="784" w:val="left" w:leader="none"/>
                        </w:tabs>
                        <w:spacing w:line="273" w:lineRule="auto" w:before="37" w:after="0"/>
                        <w:ind w:left="784" w:right="65" w:hanging="360"/>
                        <w:jc w:val="left"/>
                      </w:pPr>
                      <w:r>
                        <w:rPr/>
                        <w:t>El</w:t>
                      </w:r>
                      <w:r>
                        <w:rPr>
                          <w:spacing w:val="-10"/>
                        </w:rPr>
                        <w:t> </w:t>
                      </w:r>
                      <w:r>
                        <w:rPr/>
                        <w:t>reconocimiento</w:t>
                      </w:r>
                      <w:r>
                        <w:rPr>
                          <w:spacing w:val="-9"/>
                        </w:rPr>
                        <w:t> </w:t>
                      </w:r>
                      <w:r>
                        <w:rPr/>
                        <w:t>de</w:t>
                      </w:r>
                      <w:r>
                        <w:rPr>
                          <w:spacing w:val="-11"/>
                        </w:rPr>
                        <w:t> </w:t>
                      </w:r>
                      <w:r>
                        <w:rPr/>
                        <w:t>la</w:t>
                      </w:r>
                      <w:r>
                        <w:rPr>
                          <w:spacing w:val="-11"/>
                        </w:rPr>
                        <w:t> </w:t>
                      </w:r>
                      <w:r>
                        <w:rPr/>
                        <w:t>diferencia</w:t>
                      </w:r>
                      <w:r>
                        <w:rPr>
                          <w:spacing w:val="-10"/>
                        </w:rPr>
                        <w:t> </w:t>
                      </w:r>
                      <w:r>
                        <w:rPr/>
                        <w:t>entre</w:t>
                      </w:r>
                      <w:r>
                        <w:rPr>
                          <w:spacing w:val="-10"/>
                        </w:rPr>
                        <w:t> </w:t>
                      </w:r>
                      <w:r>
                        <w:rPr/>
                        <w:t>el</w:t>
                      </w:r>
                      <w:r>
                        <w:rPr>
                          <w:spacing w:val="-10"/>
                        </w:rPr>
                        <w:t> </w:t>
                      </w:r>
                      <w:r>
                        <w:rPr/>
                        <w:t>valor</w:t>
                      </w:r>
                      <w:r>
                        <w:rPr>
                          <w:spacing w:val="-9"/>
                        </w:rPr>
                        <w:t> </w:t>
                      </w:r>
                      <w:r>
                        <w:rPr/>
                        <w:t>contable</w:t>
                      </w:r>
                      <w:r>
                        <w:rPr>
                          <w:spacing w:val="-11"/>
                        </w:rPr>
                        <w:t> </w:t>
                      </w:r>
                      <w:r>
                        <w:rPr/>
                        <w:t>anterior</w:t>
                      </w:r>
                      <w:r>
                        <w:rPr>
                          <w:spacing w:val="-10"/>
                        </w:rPr>
                        <w:t> </w:t>
                      </w:r>
                      <w:r>
                        <w:rPr/>
                        <w:t>y</w:t>
                      </w:r>
                      <w:r>
                        <w:rPr>
                          <w:spacing w:val="-11"/>
                        </w:rPr>
                        <w:t> </w:t>
                      </w:r>
                      <w:r>
                        <w:rPr/>
                        <w:t>el</w:t>
                      </w:r>
                      <w:r>
                        <w:rPr>
                          <w:spacing w:val="-10"/>
                        </w:rPr>
                        <w:t> </w:t>
                      </w:r>
                      <w:r>
                        <w:rPr/>
                        <w:t>valor</w:t>
                      </w:r>
                      <w:r>
                        <w:rPr>
                          <w:spacing w:val="-9"/>
                        </w:rPr>
                        <w:t> </w:t>
                      </w:r>
                      <w:r>
                        <w:rPr/>
                        <w:t>actualizado,</w:t>
                      </w:r>
                      <w:r>
                        <w:rPr>
                          <w:spacing w:val="-9"/>
                        </w:rPr>
                        <w:t> </w:t>
                      </w:r>
                      <w:r>
                        <w:rPr/>
                        <w:t>la</w:t>
                      </w:r>
                      <w:r>
                        <w:rPr>
                          <w:spacing w:val="-11"/>
                        </w:rPr>
                        <w:t> </w:t>
                      </w:r>
                      <w:r>
                        <w:rPr/>
                        <w:t>cual se registra directamente en el resultado del período como ganancia o pérdida cambiaria.</w:t>
                      </w:r>
                    </w:p>
                    <w:p>
                      <w:pPr>
                        <w:pStyle w:val="BodyText"/>
                        <w:spacing w:before="5"/>
                      </w:pPr>
                    </w:p>
                    <w:p>
                      <w:pPr>
                        <w:pStyle w:val="BodyText"/>
                        <w:ind w:left="64" w:right="66"/>
                        <w:jc w:val="both"/>
                      </w:pPr>
                      <w:r>
                        <w:rPr/>
                        <w:t>Durante</w:t>
                      </w:r>
                      <w:r>
                        <w:rPr>
                          <w:spacing w:val="-1"/>
                        </w:rPr>
                        <w:t> </w:t>
                      </w:r>
                      <w:r>
                        <w:rPr/>
                        <w:t>el</w:t>
                      </w:r>
                      <w:r>
                        <w:rPr>
                          <w:spacing w:val="-1"/>
                        </w:rPr>
                        <w:t> </w:t>
                      </w:r>
                      <w:r>
                        <w:rPr/>
                        <w:t>último</w:t>
                      </w:r>
                      <w:r>
                        <w:rPr>
                          <w:spacing w:val="-1"/>
                        </w:rPr>
                        <w:t> </w:t>
                      </w:r>
                      <w:r>
                        <w:rPr/>
                        <w:t>año</w:t>
                      </w:r>
                      <w:r>
                        <w:rPr>
                          <w:spacing w:val="-1"/>
                        </w:rPr>
                        <w:t> </w:t>
                      </w:r>
                      <w:r>
                        <w:rPr/>
                        <w:t>el</w:t>
                      </w:r>
                      <w:r>
                        <w:rPr>
                          <w:spacing w:val="-1"/>
                        </w:rPr>
                        <w:t> </w:t>
                      </w:r>
                      <w:r>
                        <w:rPr/>
                        <w:t>tipo</w:t>
                      </w:r>
                      <w:r>
                        <w:rPr>
                          <w:spacing w:val="-1"/>
                        </w:rPr>
                        <w:t> </w:t>
                      </w:r>
                      <w:r>
                        <w:rPr/>
                        <w:t>de</w:t>
                      </w:r>
                      <w:r>
                        <w:rPr>
                          <w:spacing w:val="-3"/>
                        </w:rPr>
                        <w:t> </w:t>
                      </w:r>
                      <w:r>
                        <w:rPr/>
                        <w:t>cambio</w:t>
                      </w:r>
                      <w:r>
                        <w:rPr>
                          <w:spacing w:val="-1"/>
                        </w:rPr>
                        <w:t> </w:t>
                      </w:r>
                      <w:r>
                        <w:rPr/>
                        <w:t>la</w:t>
                      </w:r>
                      <w:r>
                        <w:rPr>
                          <w:spacing w:val="-3"/>
                        </w:rPr>
                        <w:t> </w:t>
                      </w:r>
                      <w:r>
                        <w:rPr/>
                        <w:t>tendencia</w:t>
                      </w:r>
                      <w:r>
                        <w:rPr>
                          <w:spacing w:val="-2"/>
                        </w:rPr>
                        <w:t> </w:t>
                      </w:r>
                      <w:r>
                        <w:rPr/>
                        <w:t>a</w:t>
                      </w:r>
                      <w:r>
                        <w:rPr>
                          <w:spacing w:val="-2"/>
                        </w:rPr>
                        <w:t> </w:t>
                      </w:r>
                      <w:r>
                        <w:rPr/>
                        <w:t>la</w:t>
                      </w:r>
                      <w:r>
                        <w:rPr>
                          <w:spacing w:val="-2"/>
                        </w:rPr>
                        <w:t> </w:t>
                      </w:r>
                      <w:r>
                        <w:rPr/>
                        <w:t>baja</w:t>
                      </w:r>
                      <w:r>
                        <w:rPr>
                          <w:spacing w:val="-2"/>
                        </w:rPr>
                        <w:t> </w:t>
                      </w:r>
                      <w:r>
                        <w:rPr/>
                        <w:t>del</w:t>
                      </w:r>
                      <w:r>
                        <w:rPr>
                          <w:spacing w:val="-1"/>
                        </w:rPr>
                        <w:t> </w:t>
                      </w:r>
                      <w:r>
                        <w:rPr/>
                        <w:t>dólar</w:t>
                      </w:r>
                      <w:r>
                        <w:rPr>
                          <w:spacing w:val="-1"/>
                        </w:rPr>
                        <w:t> </w:t>
                      </w:r>
                      <w:r>
                        <w:rPr/>
                        <w:t>ha</w:t>
                      </w:r>
                      <w:r>
                        <w:rPr>
                          <w:spacing w:val="-3"/>
                        </w:rPr>
                        <w:t> </w:t>
                      </w:r>
                      <w:r>
                        <w:rPr/>
                        <w:t>impactado</w:t>
                      </w:r>
                      <w:r>
                        <w:rPr>
                          <w:spacing w:val="-1"/>
                        </w:rPr>
                        <w:t> </w:t>
                      </w:r>
                      <w:r>
                        <w:rPr/>
                        <w:t>en</w:t>
                      </w:r>
                      <w:r>
                        <w:rPr>
                          <w:spacing w:val="-1"/>
                        </w:rPr>
                        <w:t> </w:t>
                      </w:r>
                      <w:r>
                        <w:rPr/>
                        <w:t>el</w:t>
                      </w:r>
                      <w:r>
                        <w:rPr>
                          <w:spacing w:val="-1"/>
                        </w:rPr>
                        <w:t> </w:t>
                      </w:r>
                      <w:r>
                        <w:rPr/>
                        <w:t>diferencial cambiario generado en</w:t>
                      </w:r>
                      <w:r>
                        <w:rPr>
                          <w:spacing w:val="-3"/>
                        </w:rPr>
                        <w:t> </w:t>
                      </w:r>
                      <w:r>
                        <w:rPr/>
                        <w:t>las</w:t>
                      </w:r>
                      <w:r>
                        <w:rPr>
                          <w:spacing w:val="-2"/>
                        </w:rPr>
                        <w:t> </w:t>
                      </w:r>
                      <w:r>
                        <w:rPr/>
                        <w:t>transacciones</w:t>
                      </w:r>
                      <w:r>
                        <w:rPr>
                          <w:spacing w:val="-2"/>
                        </w:rPr>
                        <w:t> </w:t>
                      </w:r>
                      <w:r>
                        <w:rPr/>
                        <w:t>de</w:t>
                      </w:r>
                      <w:r>
                        <w:rPr>
                          <w:spacing w:val="-5"/>
                        </w:rPr>
                        <w:t> </w:t>
                      </w:r>
                      <w:r>
                        <w:rPr/>
                        <w:t>moneda</w:t>
                      </w:r>
                      <w:r>
                        <w:rPr>
                          <w:spacing w:val="-2"/>
                        </w:rPr>
                        <w:t> </w:t>
                      </w:r>
                      <w:r>
                        <w:rPr/>
                        <w:t>extrajera.</w:t>
                      </w:r>
                      <w:r>
                        <w:rPr>
                          <w:spacing w:val="-2"/>
                        </w:rPr>
                        <w:t> </w:t>
                      </w:r>
                      <w:r>
                        <w:rPr/>
                        <w:t>Manteniendo</w:t>
                      </w:r>
                      <w:r>
                        <w:rPr>
                          <w:spacing w:val="-1"/>
                        </w:rPr>
                        <w:t> </w:t>
                      </w:r>
                      <w:r>
                        <w:rPr/>
                        <w:t>su</w:t>
                      </w:r>
                      <w:r>
                        <w:rPr>
                          <w:spacing w:val="-1"/>
                        </w:rPr>
                        <w:t> </w:t>
                      </w:r>
                      <w:r>
                        <w:rPr/>
                        <w:t>tendencia</w:t>
                      </w:r>
                      <w:r>
                        <w:rPr>
                          <w:spacing w:val="-2"/>
                        </w:rPr>
                        <w:t> </w:t>
                      </w:r>
                      <w:r>
                        <w:rPr/>
                        <w:t>a</w:t>
                      </w:r>
                      <w:r>
                        <w:rPr>
                          <w:spacing w:val="-2"/>
                        </w:rPr>
                        <w:t> </w:t>
                      </w:r>
                      <w:r>
                        <w:rPr/>
                        <w:t>la</w:t>
                      </w:r>
                      <w:r>
                        <w:rPr>
                          <w:spacing w:val="-2"/>
                        </w:rPr>
                        <w:t> </w:t>
                      </w:r>
                      <w:r>
                        <w:rPr/>
                        <w:t>baja</w:t>
                      </w:r>
                      <w:r>
                        <w:rPr>
                          <w:spacing w:val="-2"/>
                        </w:rPr>
                        <w:t> </w:t>
                      </w:r>
                      <w:r>
                        <w:rPr/>
                        <w:t>a</w:t>
                      </w:r>
                      <w:r>
                        <w:rPr>
                          <w:spacing w:val="-2"/>
                        </w:rPr>
                        <w:t> </w:t>
                      </w:r>
                      <w:r>
                        <w:rPr/>
                        <w:t>la </w:t>
                      </w:r>
                      <w:r>
                        <w:rPr>
                          <w:spacing w:val="-2"/>
                        </w:rPr>
                        <w:t>fecha.</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99" w:id="100"/>
      <w:bookmarkEnd w:id="100"/>
      <w:r>
        <w:rPr/>
      </w:r>
      <w:r>
        <w:rPr>
          <w:b/>
          <w:sz w:val="22"/>
        </w:rPr>
        <w:t>NOTA</w:t>
      </w:r>
      <w:r>
        <w:rPr>
          <w:b/>
          <w:spacing w:val="-1"/>
          <w:sz w:val="22"/>
        </w:rPr>
        <w:t> </w:t>
      </w:r>
      <w:r>
        <w:rPr>
          <w:b/>
          <w:sz w:val="22"/>
        </w:rPr>
        <w:t>N° </w:t>
      </w:r>
      <w:r>
        <w:rPr>
          <w:b/>
          <w:spacing w:val="-5"/>
          <w:sz w:val="22"/>
        </w:rPr>
        <w:t>53</w:t>
      </w:r>
    </w:p>
    <w:p>
      <w:pPr>
        <w:pStyle w:val="BodyText"/>
        <w:spacing w:before="113"/>
        <w:rPr>
          <w:b/>
        </w:rPr>
      </w:pPr>
    </w:p>
    <w:p>
      <w:pPr>
        <w:pStyle w:val="Heading6"/>
        <w:ind w:left="622"/>
      </w:pPr>
      <w:r>
        <w:rPr/>
        <w:t>Reversión</w:t>
      </w:r>
      <w:r>
        <w:rPr>
          <w:spacing w:val="-3"/>
        </w:rPr>
        <w:t> </w:t>
      </w:r>
      <w:r>
        <w:rPr/>
        <w:t>de</w:t>
      </w:r>
      <w:r>
        <w:rPr>
          <w:spacing w:val="-2"/>
        </w:rPr>
        <w:t> </w:t>
      </w:r>
      <w:r>
        <w:rPr/>
        <w:t>consumo</w:t>
      </w:r>
      <w:r>
        <w:rPr>
          <w:spacing w:val="-3"/>
        </w:rPr>
        <w:t> </w:t>
      </w:r>
      <w:r>
        <w:rPr/>
        <w:t>de</w:t>
      </w:r>
      <w:r>
        <w:rPr>
          <w:spacing w:val="-2"/>
        </w:rPr>
        <w:t> bienes</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02"/>
        <w:gridCol w:w="2435"/>
        <w:gridCol w:w="851"/>
        <w:gridCol w:w="1845"/>
        <w:gridCol w:w="1609"/>
        <w:gridCol w:w="1199"/>
      </w:tblGrid>
      <w:tr>
        <w:trPr>
          <w:trHeight w:val="323" w:hRule="atLeast"/>
        </w:trPr>
        <w:tc>
          <w:tcPr>
            <w:tcW w:w="1102" w:type="dxa"/>
            <w:vMerge w:val="restart"/>
            <w:shd w:val="clear" w:color="auto" w:fill="365F92"/>
          </w:tcPr>
          <w:p>
            <w:pPr>
              <w:pStyle w:val="TableParagraph"/>
              <w:spacing w:before="120"/>
              <w:ind w:left="69"/>
              <w:rPr>
                <w:b/>
                <w:sz w:val="22"/>
              </w:rPr>
            </w:pPr>
            <w:r>
              <w:rPr>
                <w:b/>
                <w:color w:val="FFFFFF"/>
                <w:spacing w:val="-2"/>
                <w:sz w:val="22"/>
              </w:rPr>
              <w:t>Cuenta</w:t>
            </w:r>
          </w:p>
        </w:tc>
        <w:tc>
          <w:tcPr>
            <w:tcW w:w="2435" w:type="dxa"/>
            <w:vMerge w:val="restart"/>
            <w:shd w:val="clear" w:color="auto" w:fill="365F92"/>
          </w:tcPr>
          <w:p>
            <w:pPr>
              <w:pStyle w:val="TableParagraph"/>
              <w:spacing w:before="209"/>
              <w:ind w:left="686"/>
              <w:rPr>
                <w:b/>
                <w:sz w:val="22"/>
              </w:rPr>
            </w:pPr>
            <w:r>
              <w:rPr>
                <w:b/>
                <w:color w:val="FFFFFF"/>
                <w:spacing w:val="-2"/>
                <w:sz w:val="22"/>
              </w:rPr>
              <w:t>Descripción</w:t>
            </w:r>
          </w:p>
        </w:tc>
        <w:tc>
          <w:tcPr>
            <w:tcW w:w="851" w:type="dxa"/>
            <w:vMerge w:val="restart"/>
            <w:shd w:val="clear" w:color="auto" w:fill="365F92"/>
          </w:tcPr>
          <w:p>
            <w:pPr>
              <w:pStyle w:val="TableParagraph"/>
              <w:spacing w:before="209"/>
              <w:ind w:left="207"/>
              <w:rPr>
                <w:b/>
                <w:sz w:val="22"/>
              </w:rPr>
            </w:pPr>
            <w:r>
              <w:rPr>
                <w:b/>
                <w:color w:val="FFFFFF"/>
                <w:spacing w:val="-4"/>
                <w:sz w:val="22"/>
              </w:rPr>
              <w:t>Nota</w:t>
            </w:r>
          </w:p>
        </w:tc>
        <w:tc>
          <w:tcPr>
            <w:tcW w:w="1845" w:type="dxa"/>
            <w:vMerge w:val="restart"/>
            <w:shd w:val="clear" w:color="auto" w:fill="365F92"/>
          </w:tcPr>
          <w:p>
            <w:pPr>
              <w:pStyle w:val="TableParagraph"/>
              <w:spacing w:before="209"/>
              <w:ind w:left="285"/>
              <w:rPr>
                <w:b/>
                <w:sz w:val="22"/>
              </w:rPr>
            </w:pPr>
            <w:r>
              <w:rPr>
                <w:b/>
                <w:color w:val="FFFFFF"/>
                <w:sz w:val="22"/>
              </w:rPr>
              <w:t>Periodo</w:t>
            </w:r>
            <w:r>
              <w:rPr>
                <w:b/>
                <w:color w:val="FFFFFF"/>
                <w:spacing w:val="-4"/>
                <w:sz w:val="22"/>
              </w:rPr>
              <w:t> </w:t>
            </w:r>
            <w:r>
              <w:rPr>
                <w:b/>
                <w:color w:val="FFFFFF"/>
                <w:spacing w:val="-2"/>
                <w:sz w:val="22"/>
              </w:rPr>
              <w:t>Actual</w:t>
            </w:r>
          </w:p>
        </w:tc>
        <w:tc>
          <w:tcPr>
            <w:tcW w:w="1609" w:type="dxa"/>
            <w:vMerge w:val="restart"/>
            <w:shd w:val="clear" w:color="auto" w:fill="365F92"/>
          </w:tcPr>
          <w:p>
            <w:pPr>
              <w:pStyle w:val="TableParagraph"/>
              <w:spacing w:before="81"/>
              <w:ind w:left="425" w:firstLine="50"/>
              <w:rPr>
                <w:b/>
                <w:sz w:val="22"/>
              </w:rPr>
            </w:pPr>
            <w:r>
              <w:rPr>
                <w:b/>
                <w:color w:val="FFFFFF"/>
                <w:spacing w:val="-2"/>
                <w:sz w:val="22"/>
              </w:rPr>
              <w:t>Periodo Anterior</w:t>
            </w:r>
          </w:p>
        </w:tc>
        <w:tc>
          <w:tcPr>
            <w:tcW w:w="1199" w:type="dxa"/>
            <w:shd w:val="clear" w:color="auto" w:fill="365F92"/>
          </w:tcPr>
          <w:p>
            <w:pPr>
              <w:pStyle w:val="TableParagraph"/>
              <w:spacing w:before="36"/>
              <w:ind w:left="29" w:right="21"/>
              <w:jc w:val="center"/>
              <w:rPr>
                <w:b/>
                <w:sz w:val="22"/>
              </w:rPr>
            </w:pPr>
            <w:r>
              <w:rPr>
                <w:b/>
                <w:color w:val="FFFFFF"/>
                <w:spacing w:val="-2"/>
                <w:sz w:val="22"/>
              </w:rPr>
              <w:t>Diferencia</w:t>
            </w:r>
          </w:p>
        </w:tc>
      </w:tr>
      <w:tr>
        <w:trPr>
          <w:trHeight w:val="325" w:hRule="atLeast"/>
        </w:trPr>
        <w:tc>
          <w:tcPr>
            <w:tcW w:w="1102" w:type="dxa"/>
            <w:vMerge/>
            <w:tcBorders>
              <w:top w:val="nil"/>
            </w:tcBorders>
            <w:shd w:val="clear" w:color="auto" w:fill="365F92"/>
          </w:tcPr>
          <w:p>
            <w:pPr>
              <w:rPr>
                <w:sz w:val="2"/>
                <w:szCs w:val="2"/>
              </w:rPr>
            </w:pPr>
          </w:p>
        </w:tc>
        <w:tc>
          <w:tcPr>
            <w:tcW w:w="2435" w:type="dxa"/>
            <w:vMerge/>
            <w:tcBorders>
              <w:top w:val="nil"/>
            </w:tcBorders>
            <w:shd w:val="clear" w:color="auto" w:fill="365F92"/>
          </w:tcPr>
          <w:p>
            <w:pPr>
              <w:rPr>
                <w:sz w:val="2"/>
                <w:szCs w:val="2"/>
              </w:rPr>
            </w:pPr>
          </w:p>
        </w:tc>
        <w:tc>
          <w:tcPr>
            <w:tcW w:w="851" w:type="dxa"/>
            <w:vMerge/>
            <w:tcBorders>
              <w:top w:val="nil"/>
            </w:tcBorders>
            <w:shd w:val="clear" w:color="auto" w:fill="365F92"/>
          </w:tcPr>
          <w:p>
            <w:pPr>
              <w:rPr>
                <w:sz w:val="2"/>
                <w:szCs w:val="2"/>
              </w:rPr>
            </w:pPr>
          </w:p>
        </w:tc>
        <w:tc>
          <w:tcPr>
            <w:tcW w:w="1845" w:type="dxa"/>
            <w:vMerge/>
            <w:tcBorders>
              <w:top w:val="nil"/>
            </w:tcBorders>
            <w:shd w:val="clear" w:color="auto" w:fill="365F92"/>
          </w:tcPr>
          <w:p>
            <w:pPr>
              <w:rPr>
                <w:sz w:val="2"/>
                <w:szCs w:val="2"/>
              </w:rPr>
            </w:pPr>
          </w:p>
        </w:tc>
        <w:tc>
          <w:tcPr>
            <w:tcW w:w="1609" w:type="dxa"/>
            <w:vMerge/>
            <w:tcBorders>
              <w:top w:val="nil"/>
            </w:tcBorders>
            <w:shd w:val="clear" w:color="auto" w:fill="365F92"/>
          </w:tcPr>
          <w:p>
            <w:pPr>
              <w:rPr>
                <w:sz w:val="2"/>
                <w:szCs w:val="2"/>
              </w:rPr>
            </w:pPr>
          </w:p>
        </w:tc>
        <w:tc>
          <w:tcPr>
            <w:tcW w:w="1199" w:type="dxa"/>
            <w:shd w:val="clear" w:color="auto" w:fill="365F92"/>
          </w:tcPr>
          <w:p>
            <w:pPr>
              <w:pStyle w:val="TableParagraph"/>
              <w:spacing w:before="36"/>
              <w:ind w:left="29" w:right="22"/>
              <w:jc w:val="center"/>
              <w:rPr>
                <w:sz w:val="22"/>
              </w:rPr>
            </w:pPr>
            <w:r>
              <w:rPr>
                <w:color w:val="FFFFFF"/>
                <w:spacing w:val="-10"/>
                <w:sz w:val="22"/>
              </w:rPr>
              <w:t>%</w:t>
            </w:r>
          </w:p>
        </w:tc>
      </w:tr>
      <w:tr>
        <w:trPr>
          <w:trHeight w:val="455" w:hRule="atLeast"/>
        </w:trPr>
        <w:tc>
          <w:tcPr>
            <w:tcW w:w="1102" w:type="dxa"/>
          </w:tcPr>
          <w:p>
            <w:pPr>
              <w:pStyle w:val="TableParagraph"/>
              <w:spacing w:before="111"/>
              <w:ind w:left="69"/>
              <w:rPr>
                <w:b/>
                <w:sz w:val="20"/>
              </w:rPr>
            </w:pPr>
            <w:r>
              <w:rPr>
                <w:b/>
                <w:spacing w:val="-2"/>
                <w:sz w:val="20"/>
              </w:rPr>
              <w:t>4.9.2.</w:t>
            </w:r>
          </w:p>
        </w:tc>
        <w:tc>
          <w:tcPr>
            <w:tcW w:w="2435" w:type="dxa"/>
          </w:tcPr>
          <w:p>
            <w:pPr>
              <w:pStyle w:val="TableParagraph"/>
              <w:spacing w:line="227" w:lineRule="exact"/>
              <w:ind w:left="68"/>
              <w:rPr>
                <w:b/>
                <w:sz w:val="20"/>
              </w:rPr>
            </w:pPr>
            <w:r>
              <w:rPr>
                <w:b/>
                <w:sz w:val="20"/>
              </w:rPr>
              <w:t>Reversión</w:t>
            </w:r>
            <w:r>
              <w:rPr>
                <w:b/>
                <w:spacing w:val="-5"/>
                <w:sz w:val="20"/>
              </w:rPr>
              <w:t> </w:t>
            </w:r>
            <w:r>
              <w:rPr>
                <w:b/>
                <w:sz w:val="20"/>
              </w:rPr>
              <w:t>de</w:t>
            </w:r>
            <w:r>
              <w:rPr>
                <w:b/>
                <w:spacing w:val="-6"/>
                <w:sz w:val="20"/>
              </w:rPr>
              <w:t> </w:t>
            </w:r>
            <w:r>
              <w:rPr>
                <w:b/>
                <w:sz w:val="20"/>
              </w:rPr>
              <w:t>consumo</w:t>
            </w:r>
            <w:r>
              <w:rPr>
                <w:b/>
                <w:spacing w:val="-4"/>
                <w:sz w:val="20"/>
              </w:rPr>
              <w:t> </w:t>
            </w:r>
            <w:r>
              <w:rPr>
                <w:b/>
                <w:spacing w:val="-5"/>
                <w:sz w:val="20"/>
              </w:rPr>
              <w:t>de</w:t>
            </w:r>
          </w:p>
          <w:p>
            <w:pPr>
              <w:pStyle w:val="TableParagraph"/>
              <w:spacing w:line="209" w:lineRule="exact"/>
              <w:ind w:left="68"/>
              <w:rPr>
                <w:b/>
                <w:sz w:val="20"/>
              </w:rPr>
            </w:pPr>
            <w:r>
              <w:rPr>
                <w:b/>
                <w:spacing w:val="-2"/>
                <w:sz w:val="20"/>
              </w:rPr>
              <w:t>bienes</w:t>
            </w:r>
          </w:p>
        </w:tc>
        <w:tc>
          <w:tcPr>
            <w:tcW w:w="851" w:type="dxa"/>
          </w:tcPr>
          <w:p>
            <w:pPr>
              <w:pStyle w:val="TableParagraph"/>
              <w:spacing w:before="111"/>
              <w:ind w:left="16"/>
              <w:jc w:val="center"/>
              <w:rPr>
                <w:b/>
                <w:sz w:val="20"/>
              </w:rPr>
            </w:pPr>
            <w:r>
              <w:rPr>
                <w:b/>
                <w:spacing w:val="-5"/>
                <w:sz w:val="20"/>
              </w:rPr>
              <w:t>53</w:t>
            </w:r>
          </w:p>
        </w:tc>
        <w:tc>
          <w:tcPr>
            <w:tcW w:w="1845" w:type="dxa"/>
          </w:tcPr>
          <w:p>
            <w:pPr>
              <w:pStyle w:val="TableParagraph"/>
              <w:spacing w:before="111"/>
              <w:ind w:left="10"/>
              <w:jc w:val="center"/>
              <w:rPr>
                <w:b/>
                <w:sz w:val="20"/>
              </w:rPr>
            </w:pPr>
            <w:r>
              <w:rPr>
                <w:b/>
                <w:spacing w:val="-4"/>
                <w:sz w:val="20"/>
              </w:rPr>
              <w:t>0,00</w:t>
            </w:r>
          </w:p>
        </w:tc>
        <w:tc>
          <w:tcPr>
            <w:tcW w:w="1609" w:type="dxa"/>
          </w:tcPr>
          <w:p>
            <w:pPr>
              <w:pStyle w:val="TableParagraph"/>
              <w:spacing w:before="111"/>
              <w:ind w:left="8"/>
              <w:jc w:val="center"/>
              <w:rPr>
                <w:b/>
                <w:sz w:val="20"/>
              </w:rPr>
            </w:pPr>
            <w:r>
              <w:rPr>
                <w:b/>
                <w:spacing w:val="-4"/>
                <w:sz w:val="20"/>
              </w:rPr>
              <w:t>0,00</w:t>
            </w:r>
          </w:p>
        </w:tc>
        <w:tc>
          <w:tcPr>
            <w:tcW w:w="1199" w:type="dxa"/>
          </w:tcPr>
          <w:p>
            <w:pPr>
              <w:pStyle w:val="TableParagraph"/>
              <w:spacing w:before="111"/>
              <w:ind w:left="29" w:right="20"/>
              <w:jc w:val="center"/>
              <w:rPr>
                <w:b/>
                <w:sz w:val="20"/>
              </w:rPr>
            </w:pPr>
            <w:r>
              <w:rPr>
                <w:b/>
                <w:spacing w:val="-2"/>
                <w:sz w:val="20"/>
              </w:rPr>
              <w:t>0,00%</w:t>
            </w:r>
          </w:p>
        </w:tc>
      </w:tr>
    </w:tbl>
    <w:p>
      <w:pPr>
        <w:spacing w:before="240"/>
        <w:ind w:left="622" w:right="0" w:firstLine="0"/>
        <w:jc w:val="left"/>
        <w:rPr>
          <w:sz w:val="22"/>
        </w:rPr>
      </w:pPr>
      <w:r>
        <w:rPr>
          <w:b/>
          <w:spacing w:val="-2"/>
          <w:sz w:val="22"/>
        </w:rPr>
        <w:t>Revelación</w:t>
      </w:r>
      <w:r>
        <w:rPr>
          <w:spacing w:val="-2"/>
          <w:sz w:val="22"/>
        </w:rPr>
        <w:t>:</w:t>
      </w:r>
    </w:p>
    <w:p>
      <w:pPr>
        <w:pStyle w:val="BodyText"/>
        <w:spacing w:line="259" w:lineRule="auto" w:before="181"/>
        <w:ind w:left="622" w:right="980"/>
        <w:jc w:val="both"/>
      </w:pPr>
      <w:r>
        <w:rPr/>
        <w:t>La</w:t>
      </w:r>
      <w:r>
        <w:rPr>
          <w:spacing w:val="-10"/>
        </w:rPr>
        <w:t> </w:t>
      </w:r>
      <w:r>
        <w:rPr/>
        <w:t>cuenta</w:t>
      </w:r>
      <w:r>
        <w:rPr>
          <w:spacing w:val="-10"/>
        </w:rPr>
        <w:t> </w:t>
      </w:r>
      <w:r>
        <w:rPr/>
        <w:t>Reversión</w:t>
      </w:r>
      <w:r>
        <w:rPr>
          <w:spacing w:val="-9"/>
        </w:rPr>
        <w:t> </w:t>
      </w:r>
      <w:r>
        <w:rPr/>
        <w:t>de</w:t>
      </w:r>
      <w:r>
        <w:rPr>
          <w:spacing w:val="-9"/>
        </w:rPr>
        <w:t> </w:t>
      </w:r>
      <w:r>
        <w:rPr/>
        <w:t>consumo</w:t>
      </w:r>
      <w:r>
        <w:rPr>
          <w:spacing w:val="-9"/>
        </w:rPr>
        <w:t> </w:t>
      </w:r>
      <w:r>
        <w:rPr/>
        <w:t>de</w:t>
      </w:r>
      <w:r>
        <w:rPr>
          <w:spacing w:val="-9"/>
        </w:rPr>
        <w:t> </w:t>
      </w:r>
      <w:r>
        <w:rPr/>
        <w:t>bienes,</w:t>
      </w:r>
      <w:r>
        <w:rPr>
          <w:spacing w:val="-9"/>
        </w:rPr>
        <w:t> </w:t>
      </w:r>
      <w:r>
        <w:rPr/>
        <w:t>representa</w:t>
      </w:r>
      <w:r>
        <w:rPr>
          <w:spacing w:val="-12"/>
        </w:rPr>
        <w:t> </w:t>
      </w:r>
      <w:r>
        <w:rPr/>
        <w:t>el</w:t>
      </w:r>
      <w:r>
        <w:rPr>
          <w:spacing w:val="-10"/>
        </w:rPr>
        <w:t> </w:t>
      </w:r>
      <w:r>
        <w:rPr/>
        <w:t>0,00%</w:t>
      </w:r>
      <w:r>
        <w:rPr>
          <w:spacing w:val="-10"/>
        </w:rPr>
        <w:t> </w:t>
      </w:r>
      <w:r>
        <w:rPr/>
        <w:t>del</w:t>
      </w:r>
      <w:r>
        <w:rPr>
          <w:spacing w:val="-10"/>
        </w:rPr>
        <w:t> </w:t>
      </w:r>
      <w:r>
        <w:rPr/>
        <w:t>total</w:t>
      </w:r>
      <w:r>
        <w:rPr>
          <w:spacing w:val="-11"/>
        </w:rPr>
        <w:t> </w:t>
      </w:r>
      <w:r>
        <w:rPr/>
        <w:t>del</w:t>
      </w:r>
      <w:r>
        <w:rPr>
          <w:spacing w:val="-10"/>
        </w:rPr>
        <w:t> </w:t>
      </w:r>
      <w:r>
        <w:rPr/>
        <w:t>Ingresos,</w:t>
      </w:r>
      <w:r>
        <w:rPr>
          <w:spacing w:val="-12"/>
        </w:rPr>
        <w:t> </w:t>
      </w:r>
      <w:r>
        <w:rPr/>
        <w:t>que</w:t>
      </w:r>
      <w:r>
        <w:rPr>
          <w:spacing w:val="-9"/>
        </w:rPr>
        <w:t> </w:t>
      </w:r>
      <w:r>
        <w:rPr/>
        <w:t>comparado al periodo anterior genera una variación absoluta de 0 000,00 que corresponde a un Aumento del 0,00% de recursos disponibles.</w:t>
      </w: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700992">
                <wp:simplePos x="0" y="0"/>
                <wp:positionH relativeFrom="page">
                  <wp:posOffset>1080820</wp:posOffset>
                </wp:positionH>
                <wp:positionV relativeFrom="paragraph">
                  <wp:posOffset>233759</wp:posOffset>
                </wp:positionV>
                <wp:extent cx="5715000" cy="553720"/>
                <wp:effectExtent l="0" t="0" r="0" b="0"/>
                <wp:wrapTopAndBottom/>
                <wp:docPr id="575" name="Textbox 575"/>
                <wp:cNvGraphicFramePr>
                  <a:graphicFrameLocks/>
                </wp:cNvGraphicFramePr>
                <a:graphic>
                  <a:graphicData uri="http://schemas.microsoft.com/office/word/2010/wordprocessingShape">
                    <wps:wsp>
                      <wps:cNvPr id="575" name="Textbox 575"/>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40625pt;width:450pt;height:43.6pt;mso-position-horizontal-relative:page;mso-position-vertical-relative:paragraph;z-index:-15615488;mso-wrap-distance-left:0;mso-wrap-distance-right:0" type="#_x0000_t202" id="docshape55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39424">
                <wp:simplePos x="0" y="0"/>
                <wp:positionH relativeFrom="page">
                  <wp:posOffset>9525</wp:posOffset>
                </wp:positionH>
                <wp:positionV relativeFrom="page">
                  <wp:posOffset>297208</wp:posOffset>
                </wp:positionV>
                <wp:extent cx="7762875" cy="9748520"/>
                <wp:effectExtent l="0" t="0" r="0" b="0"/>
                <wp:wrapNone/>
                <wp:docPr id="576" name="Group 576"/>
                <wp:cNvGraphicFramePr>
                  <a:graphicFrameLocks/>
                </wp:cNvGraphicFramePr>
                <a:graphic>
                  <a:graphicData uri="http://schemas.microsoft.com/office/word/2010/wordprocessingGroup">
                    <wpg:wgp>
                      <wpg:cNvPr id="576" name="Group 576"/>
                      <wpg:cNvGrpSpPr/>
                      <wpg:grpSpPr>
                        <a:xfrm>
                          <a:off x="0" y="0"/>
                          <a:ext cx="7762875" cy="9748520"/>
                          <a:chExt cx="7762875" cy="9748520"/>
                        </a:xfrm>
                      </wpg:grpSpPr>
                      <pic:pic>
                        <pic:nvPicPr>
                          <pic:cNvPr id="577" name="Image 577"/>
                          <pic:cNvPicPr/>
                        </pic:nvPicPr>
                        <pic:blipFill>
                          <a:blip r:embed="rId5" cstate="print"/>
                          <a:stretch>
                            <a:fillRect/>
                          </a:stretch>
                        </pic:blipFill>
                        <pic:spPr>
                          <a:xfrm>
                            <a:off x="0" y="0"/>
                            <a:ext cx="7762874" cy="9748489"/>
                          </a:xfrm>
                          <a:prstGeom prst="rect">
                            <a:avLst/>
                          </a:prstGeom>
                        </pic:spPr>
                      </pic:pic>
                      <wps:wsp>
                        <wps:cNvPr id="578" name="Graphic 57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77056" id="docshapegroup554" coordorigin="15,468" coordsize="12225,15352">
                <v:shape style="position:absolute;left:15;top:468;width:12225;height:15352" type="#_x0000_t75" id="docshape555" stroked="false">
                  <v:imagedata r:id="rId5" o:title=""/>
                </v:shape>
                <v:rect style="position:absolute;left:1673;top:2028;width:8897;height:15" id="docshape55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117</w:t>
      </w:r>
    </w:p>
    <w:p>
      <w:pPr>
        <w:pStyle w:val="Heading6"/>
        <w:tabs>
          <w:tab w:pos="9489" w:val="left" w:leader="none"/>
        </w:tabs>
        <w:spacing w:before="218"/>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21</w:t>
      </w:r>
      <w:r>
        <w:rPr>
          <w:color w:val="FFFFFF"/>
          <w:spacing w:val="-2"/>
          <w:shd w:fill="365F92" w:color="auto" w:val="clear"/>
        </w:rPr>
        <w:t> </w:t>
      </w:r>
      <w:r>
        <w:rPr>
          <w:color w:val="FFFFFF"/>
          <w:shd w:fill="365F92" w:color="auto" w:val="clear"/>
        </w:rPr>
        <w:t>y</w:t>
      </w:r>
      <w:r>
        <w:rPr>
          <w:color w:val="FFFFFF"/>
          <w:spacing w:val="-3"/>
          <w:shd w:fill="365F92" w:color="auto" w:val="clear"/>
        </w:rPr>
        <w:t> </w:t>
      </w:r>
      <w:r>
        <w:rPr>
          <w:color w:val="FFFFFF"/>
          <w:shd w:fill="365F92" w:color="auto" w:val="clear"/>
        </w:rPr>
        <w:t>26</w:t>
      </w:r>
      <w:r>
        <w:rPr>
          <w:color w:val="FFFFFF"/>
          <w:spacing w:val="-5"/>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2"/>
          <w:shd w:fill="365F92" w:color="auto" w:val="clear"/>
        </w:rPr>
        <w:t> </w:t>
      </w:r>
      <w:r>
        <w:rPr>
          <w:color w:val="FFFFFF"/>
          <w:shd w:fill="365F92" w:color="auto" w:val="clear"/>
        </w:rPr>
        <w:t>que</w:t>
      </w:r>
      <w:r>
        <w:rPr>
          <w:color w:val="FFFFFF"/>
          <w:spacing w:val="-2"/>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702016">
                <wp:simplePos x="0" y="0"/>
                <wp:positionH relativeFrom="page">
                  <wp:posOffset>1080820</wp:posOffset>
                </wp:positionH>
                <wp:positionV relativeFrom="paragraph">
                  <wp:posOffset>117689</wp:posOffset>
                </wp:positionV>
                <wp:extent cx="5715000" cy="3958590"/>
                <wp:effectExtent l="0" t="0" r="0" b="0"/>
                <wp:wrapTopAndBottom/>
                <wp:docPr id="579" name="Textbox 579"/>
                <wp:cNvGraphicFramePr>
                  <a:graphicFrameLocks/>
                </wp:cNvGraphicFramePr>
                <a:graphic>
                  <a:graphicData uri="http://schemas.microsoft.com/office/word/2010/wordprocessingShape">
                    <wps:wsp>
                      <wps:cNvPr id="579" name="Textbox 579"/>
                      <wps:cNvSpPr txBox="1"/>
                      <wps:spPr>
                        <a:xfrm>
                          <a:off x="0" y="0"/>
                          <a:ext cx="5715000" cy="39585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2"/>
                              <w:jc w:val="both"/>
                            </w:pPr>
                            <w:r>
                              <w:rPr/>
                              <w:t>La</w:t>
                            </w:r>
                            <w:r>
                              <w:rPr>
                                <w:spacing w:val="-1"/>
                              </w:rPr>
                              <w:t> </w:t>
                            </w:r>
                            <w:r>
                              <w:rPr/>
                              <w:t>cuenta Reversión</w:t>
                            </w:r>
                            <w:r>
                              <w:rPr>
                                <w:spacing w:val="-2"/>
                              </w:rPr>
                              <w:t> </w:t>
                            </w:r>
                            <w:r>
                              <w:rPr/>
                              <w:t>de</w:t>
                            </w:r>
                            <w:r>
                              <w:rPr>
                                <w:spacing w:val="-2"/>
                              </w:rPr>
                              <w:t> </w:t>
                            </w:r>
                            <w:r>
                              <w:rPr/>
                              <w:t>consumo de</w:t>
                            </w:r>
                            <w:r>
                              <w:rPr>
                                <w:spacing w:val="-2"/>
                              </w:rPr>
                              <w:t> </w:t>
                            </w:r>
                            <w:r>
                              <w:rPr/>
                              <w:t>bienes</w:t>
                            </w:r>
                            <w:r>
                              <w:rPr>
                                <w:spacing w:val="-1"/>
                              </w:rPr>
                              <w:t> </w:t>
                            </w:r>
                            <w:r>
                              <w:rPr/>
                              <w:t>está</w:t>
                            </w:r>
                            <w:r>
                              <w:rPr>
                                <w:spacing w:val="-3"/>
                              </w:rPr>
                              <w:t> </w:t>
                            </w:r>
                            <w:r>
                              <w:rPr/>
                              <w:t>prevista</w:t>
                            </w:r>
                            <w:r>
                              <w:rPr>
                                <w:spacing w:val="-1"/>
                              </w:rPr>
                              <w:t> </w:t>
                            </w:r>
                            <w:r>
                              <w:rPr/>
                              <w:t>para</w:t>
                            </w:r>
                            <w:r>
                              <w:rPr>
                                <w:spacing w:val="-1"/>
                              </w:rPr>
                              <w:t> </w:t>
                            </w:r>
                            <w:r>
                              <w:rPr/>
                              <w:t>registrar</w:t>
                            </w:r>
                            <w:r>
                              <w:rPr>
                                <w:spacing w:val="-2"/>
                              </w:rPr>
                              <w:t> </w:t>
                            </w:r>
                            <w:r>
                              <w:rPr/>
                              <w:t>la</w:t>
                            </w:r>
                            <w:r>
                              <w:rPr>
                                <w:spacing w:val="-1"/>
                              </w:rPr>
                              <w:t> </w:t>
                            </w:r>
                            <w:r>
                              <w:rPr/>
                              <w:t>reversión</w:t>
                            </w:r>
                            <w:r>
                              <w:rPr>
                                <w:spacing w:val="-2"/>
                              </w:rPr>
                              <w:t> </w:t>
                            </w:r>
                            <w:r>
                              <w:rPr/>
                              <w:t>contable</w:t>
                            </w:r>
                            <w:r>
                              <w:rPr>
                                <w:spacing w:val="-1"/>
                              </w:rPr>
                              <w:t> </w:t>
                            </w:r>
                            <w:r>
                              <w:rPr/>
                              <w:t>de</w:t>
                            </w:r>
                            <w:r>
                              <w:rPr>
                                <w:spacing w:val="-2"/>
                              </w:rPr>
                              <w:t> </w:t>
                            </w:r>
                            <w:r>
                              <w:rPr/>
                              <w:t>gastos previamente reconocidos por consumo de bienes, cuando se presentan eventos posteriores que implican la recuperación, devolución, anulación o corrección de consumos registrados en períodos </w:t>
                            </w:r>
                            <w:r>
                              <w:rPr>
                                <w:spacing w:val="-2"/>
                              </w:rPr>
                              <w:t>anteriores.</w:t>
                            </w:r>
                          </w:p>
                          <w:p>
                            <w:pPr>
                              <w:pStyle w:val="BodyText"/>
                              <w:spacing w:before="39"/>
                            </w:pPr>
                          </w:p>
                          <w:p>
                            <w:pPr>
                              <w:pStyle w:val="BodyText"/>
                              <w:spacing w:line="276" w:lineRule="auto"/>
                              <w:ind w:left="103" w:right="102"/>
                              <w:jc w:val="both"/>
                            </w:pPr>
                            <w:r>
                              <w:rPr/>
                              <w:t>Este tipo de ingreso tiene un carácter no recurrente, y su reconocimiento se encuentra condicionado a</w:t>
                            </w:r>
                            <w:r>
                              <w:rPr>
                                <w:spacing w:val="-2"/>
                              </w:rPr>
                              <w:t> </w:t>
                            </w:r>
                            <w:r>
                              <w:rPr/>
                              <w:t>la</w:t>
                            </w:r>
                            <w:r>
                              <w:rPr>
                                <w:spacing w:val="-2"/>
                              </w:rPr>
                              <w:t> </w:t>
                            </w:r>
                            <w:r>
                              <w:rPr/>
                              <w:t>existencia</w:t>
                            </w:r>
                            <w:r>
                              <w:rPr>
                                <w:spacing w:val="-2"/>
                              </w:rPr>
                              <w:t> </w:t>
                            </w:r>
                            <w:r>
                              <w:rPr/>
                              <w:t>de</w:t>
                            </w:r>
                            <w:r>
                              <w:rPr>
                                <w:spacing w:val="-3"/>
                              </w:rPr>
                              <w:t> </w:t>
                            </w:r>
                            <w:r>
                              <w:rPr/>
                              <w:t>hechos verificables que</w:t>
                            </w:r>
                            <w:r>
                              <w:rPr>
                                <w:spacing w:val="-2"/>
                              </w:rPr>
                              <w:t> </w:t>
                            </w:r>
                            <w:r>
                              <w:rPr/>
                              <w:t>evidencien</w:t>
                            </w:r>
                            <w:r>
                              <w:rPr>
                                <w:spacing w:val="-1"/>
                              </w:rPr>
                              <w:t> </w:t>
                            </w:r>
                            <w:r>
                              <w:rPr/>
                              <w:t>que</w:t>
                            </w:r>
                            <w:r>
                              <w:rPr>
                                <w:spacing w:val="-4"/>
                              </w:rPr>
                              <w:t> </w:t>
                            </w:r>
                            <w:r>
                              <w:rPr/>
                              <w:t>el</w:t>
                            </w:r>
                            <w:r>
                              <w:rPr>
                                <w:spacing w:val="-2"/>
                              </w:rPr>
                              <w:t> </w:t>
                            </w:r>
                            <w:r>
                              <w:rPr/>
                              <w:t>consumo</w:t>
                            </w:r>
                            <w:r>
                              <w:rPr>
                                <w:spacing w:val="-3"/>
                              </w:rPr>
                              <w:t> </w:t>
                            </w:r>
                            <w:r>
                              <w:rPr/>
                              <w:t>originalmente</w:t>
                            </w:r>
                            <w:r>
                              <w:rPr>
                                <w:spacing w:val="-2"/>
                              </w:rPr>
                              <w:t> </w:t>
                            </w:r>
                            <w:r>
                              <w:rPr/>
                              <w:t>reconocido</w:t>
                            </w:r>
                            <w:r>
                              <w:rPr>
                                <w:spacing w:val="-3"/>
                              </w:rPr>
                              <w:t> </w:t>
                            </w:r>
                            <w:r>
                              <w:rPr/>
                              <w:t>ya</w:t>
                            </w:r>
                            <w:r>
                              <w:rPr>
                                <w:spacing w:val="-2"/>
                              </w:rPr>
                              <w:t> </w:t>
                            </w:r>
                            <w:r>
                              <w:rPr/>
                              <w:t>no cumple los criterios de gasto o debe ser revertido total o parcialmente.</w:t>
                            </w:r>
                          </w:p>
                          <w:p>
                            <w:pPr>
                              <w:pStyle w:val="BodyText"/>
                              <w:spacing w:before="39"/>
                            </w:pPr>
                          </w:p>
                          <w:p>
                            <w:pPr>
                              <w:pStyle w:val="BodyText"/>
                              <w:spacing w:line="276" w:lineRule="auto"/>
                              <w:ind w:left="103" w:right="101"/>
                              <w:jc w:val="both"/>
                            </w:pPr>
                            <w:r>
                              <w:rPr/>
                              <w:t>Durante</w:t>
                            </w:r>
                            <w:r>
                              <w:rPr>
                                <w:spacing w:val="-2"/>
                              </w:rPr>
                              <w:t> </w:t>
                            </w:r>
                            <w:r>
                              <w:rPr/>
                              <w:t>el</w:t>
                            </w:r>
                            <w:r>
                              <w:rPr>
                                <w:spacing w:val="-2"/>
                              </w:rPr>
                              <w:t> </w:t>
                            </w:r>
                            <w:r>
                              <w:rPr/>
                              <w:t>período</w:t>
                            </w:r>
                            <w:r>
                              <w:rPr>
                                <w:spacing w:val="-4"/>
                              </w:rPr>
                              <w:t> </w:t>
                            </w:r>
                            <w:r>
                              <w:rPr/>
                              <w:t>que</w:t>
                            </w:r>
                            <w:r>
                              <w:rPr>
                                <w:spacing w:val="-6"/>
                              </w:rPr>
                              <w:t> </w:t>
                            </w:r>
                            <w:r>
                              <w:rPr/>
                              <w:t>se</w:t>
                            </w:r>
                            <w:r>
                              <w:rPr>
                                <w:spacing w:val="-3"/>
                              </w:rPr>
                              <w:t> </w:t>
                            </w:r>
                            <w:r>
                              <w:rPr/>
                              <w:t>informa,</w:t>
                            </w:r>
                            <w:r>
                              <w:rPr>
                                <w:spacing w:val="-2"/>
                              </w:rPr>
                              <w:t> </w:t>
                            </w:r>
                            <w:r>
                              <w:rPr/>
                              <w:t>el</w:t>
                            </w:r>
                            <w:r>
                              <w:rPr>
                                <w:spacing w:val="-2"/>
                              </w:rPr>
                              <w:t> </w:t>
                            </w:r>
                            <w:r>
                              <w:rPr/>
                              <w:t>IMAS</w:t>
                            </w:r>
                            <w:r>
                              <w:rPr>
                                <w:spacing w:val="-1"/>
                              </w:rPr>
                              <w:t> </w:t>
                            </w:r>
                            <w:r>
                              <w:rPr/>
                              <w:t>no</w:t>
                            </w:r>
                            <w:r>
                              <w:rPr>
                                <w:spacing w:val="-2"/>
                              </w:rPr>
                              <w:t> </w:t>
                            </w:r>
                            <w:r>
                              <w:rPr/>
                              <w:t>registra</w:t>
                            </w:r>
                            <w:r>
                              <w:rPr>
                                <w:spacing w:val="-5"/>
                              </w:rPr>
                              <w:t> </w:t>
                            </w:r>
                            <w:r>
                              <w:rPr/>
                              <w:t>operaciones</w:t>
                            </w:r>
                            <w:r>
                              <w:rPr>
                                <w:spacing w:val="-4"/>
                              </w:rPr>
                              <w:t> </w:t>
                            </w:r>
                            <w:r>
                              <w:rPr/>
                              <w:t>que</w:t>
                            </w:r>
                            <w:r>
                              <w:rPr>
                                <w:spacing w:val="-4"/>
                              </w:rPr>
                              <w:t> </w:t>
                            </w:r>
                            <w:r>
                              <w:rPr/>
                              <w:t>den</w:t>
                            </w:r>
                            <w:r>
                              <w:rPr>
                                <w:spacing w:val="-4"/>
                              </w:rPr>
                              <w:t> </w:t>
                            </w:r>
                            <w:r>
                              <w:rPr/>
                              <w:t>origen</w:t>
                            </w:r>
                            <w:r>
                              <w:rPr>
                                <w:spacing w:val="-2"/>
                              </w:rPr>
                              <w:t> </w:t>
                            </w:r>
                            <w:r>
                              <w:rPr/>
                              <w:t>a</w:t>
                            </w:r>
                            <w:r>
                              <w:rPr>
                                <w:spacing w:val="-2"/>
                              </w:rPr>
                              <w:t> </w:t>
                            </w:r>
                            <w:r>
                              <w:rPr/>
                              <w:t>la</w:t>
                            </w:r>
                            <w:r>
                              <w:rPr>
                                <w:spacing w:val="-3"/>
                              </w:rPr>
                              <w:t> </w:t>
                            </w:r>
                            <w:r>
                              <w:rPr/>
                              <w:t>reversión</w:t>
                            </w:r>
                            <w:r>
                              <w:rPr>
                                <w:spacing w:val="-2"/>
                              </w:rPr>
                              <w:t> </w:t>
                            </w:r>
                            <w:r>
                              <w:rPr/>
                              <w:t>de consumo de bienes, razón por la cual esta cuenta no presenta movimientos ni saldos, representando el 0,00% del total de los ingresos.</w:t>
                            </w:r>
                          </w:p>
                          <w:p>
                            <w:pPr>
                              <w:pStyle w:val="BodyText"/>
                              <w:spacing w:before="37"/>
                            </w:pPr>
                          </w:p>
                          <w:p>
                            <w:pPr>
                              <w:pStyle w:val="BodyText"/>
                              <w:ind w:left="103"/>
                            </w:pPr>
                            <w:r>
                              <w:rPr/>
                              <w:t>La</w:t>
                            </w:r>
                            <w:r>
                              <w:rPr>
                                <w:spacing w:val="-4"/>
                              </w:rPr>
                              <w:t> </w:t>
                            </w:r>
                            <w:r>
                              <w:rPr/>
                              <w:t>ausencia</w:t>
                            </w:r>
                            <w:r>
                              <w:rPr>
                                <w:spacing w:val="-4"/>
                              </w:rPr>
                              <w:t> </w:t>
                            </w:r>
                            <w:r>
                              <w:rPr/>
                              <w:t>de</w:t>
                            </w:r>
                            <w:r>
                              <w:rPr>
                                <w:spacing w:val="-4"/>
                              </w:rPr>
                              <w:t> </w:t>
                            </w:r>
                            <w:r>
                              <w:rPr/>
                              <w:t>registros</w:t>
                            </w:r>
                            <w:r>
                              <w:rPr>
                                <w:spacing w:val="-2"/>
                              </w:rPr>
                              <w:t> </w:t>
                            </w:r>
                            <w:r>
                              <w:rPr/>
                              <w:t>en</w:t>
                            </w:r>
                            <w:r>
                              <w:rPr>
                                <w:spacing w:val="-5"/>
                              </w:rPr>
                              <w:t> </w:t>
                            </w:r>
                            <w:r>
                              <w:rPr/>
                              <w:t>esta</w:t>
                            </w:r>
                            <w:r>
                              <w:rPr>
                                <w:spacing w:val="-3"/>
                              </w:rPr>
                              <w:t> </w:t>
                            </w:r>
                            <w:r>
                              <w:rPr/>
                              <w:t>cuenta</w:t>
                            </w:r>
                            <w:r>
                              <w:rPr>
                                <w:spacing w:val="-2"/>
                              </w:rPr>
                              <w:t> </w:t>
                            </w:r>
                            <w:r>
                              <w:rPr/>
                              <w:t>obedece</w:t>
                            </w:r>
                            <w:r>
                              <w:rPr>
                                <w:spacing w:val="-5"/>
                              </w:rPr>
                              <w:t> </w:t>
                            </w:r>
                            <w:r>
                              <w:rPr/>
                              <w:t>a</w:t>
                            </w:r>
                            <w:r>
                              <w:rPr>
                                <w:spacing w:val="-3"/>
                              </w:rPr>
                              <w:t> </w:t>
                            </w:r>
                            <w:r>
                              <w:rPr>
                                <w:spacing w:val="-4"/>
                              </w:rPr>
                              <w:t>que:</w:t>
                            </w:r>
                          </w:p>
                          <w:p>
                            <w:pPr>
                              <w:pStyle w:val="BodyText"/>
                              <w:spacing w:before="74"/>
                            </w:pPr>
                          </w:p>
                          <w:p>
                            <w:pPr>
                              <w:pStyle w:val="BodyText"/>
                              <w:numPr>
                                <w:ilvl w:val="0"/>
                                <w:numId w:val="46"/>
                              </w:numPr>
                              <w:tabs>
                                <w:tab w:pos="823" w:val="left" w:leader="none"/>
                              </w:tabs>
                              <w:spacing w:line="240" w:lineRule="auto" w:before="1" w:after="0"/>
                              <w:ind w:left="823" w:right="0" w:hanging="360"/>
                              <w:jc w:val="left"/>
                            </w:pPr>
                            <w:r>
                              <w:rPr/>
                              <w:t>No</w:t>
                            </w:r>
                            <w:r>
                              <w:rPr>
                                <w:spacing w:val="-4"/>
                              </w:rPr>
                              <w:t> </w:t>
                            </w:r>
                            <w:r>
                              <w:rPr/>
                              <w:t>se</w:t>
                            </w:r>
                            <w:r>
                              <w:rPr>
                                <w:spacing w:val="-5"/>
                              </w:rPr>
                              <w:t> </w:t>
                            </w:r>
                            <w:r>
                              <w:rPr/>
                              <w:t>presentaron</w:t>
                            </w:r>
                            <w:r>
                              <w:rPr>
                                <w:spacing w:val="-3"/>
                              </w:rPr>
                              <w:t> </w:t>
                            </w:r>
                            <w:r>
                              <w:rPr/>
                              <w:t>devoluciones</w:t>
                            </w:r>
                            <w:r>
                              <w:rPr>
                                <w:spacing w:val="-3"/>
                              </w:rPr>
                              <w:t> </w:t>
                            </w:r>
                            <w:r>
                              <w:rPr/>
                              <w:t>de</w:t>
                            </w:r>
                            <w:r>
                              <w:rPr>
                                <w:spacing w:val="-6"/>
                              </w:rPr>
                              <w:t> </w:t>
                            </w:r>
                            <w:r>
                              <w:rPr/>
                              <w:t>bienes</w:t>
                            </w:r>
                            <w:r>
                              <w:rPr>
                                <w:spacing w:val="-2"/>
                              </w:rPr>
                              <w:t> consumidos.</w:t>
                            </w:r>
                          </w:p>
                          <w:p>
                            <w:pPr>
                              <w:pStyle w:val="BodyText"/>
                              <w:numPr>
                                <w:ilvl w:val="0"/>
                                <w:numId w:val="46"/>
                              </w:numPr>
                              <w:tabs>
                                <w:tab w:pos="823" w:val="left" w:leader="none"/>
                              </w:tabs>
                              <w:spacing w:line="276" w:lineRule="auto" w:before="37" w:after="0"/>
                              <w:ind w:left="823" w:right="100" w:hanging="360"/>
                              <w:jc w:val="left"/>
                            </w:pPr>
                            <w:r>
                              <w:rPr/>
                              <w:t>No</w:t>
                            </w:r>
                            <w:r>
                              <w:rPr>
                                <w:spacing w:val="-4"/>
                              </w:rPr>
                              <w:t> </w:t>
                            </w:r>
                            <w:r>
                              <w:rPr/>
                              <w:t>existieron</w:t>
                            </w:r>
                            <w:r>
                              <w:rPr>
                                <w:spacing w:val="-5"/>
                              </w:rPr>
                              <w:t> </w:t>
                            </w:r>
                            <w:r>
                              <w:rPr/>
                              <w:t>anulaciones,</w:t>
                            </w:r>
                            <w:r>
                              <w:rPr>
                                <w:spacing w:val="-6"/>
                              </w:rPr>
                              <w:t> </w:t>
                            </w:r>
                            <w:r>
                              <w:rPr/>
                              <w:t>ajustes</w:t>
                            </w:r>
                            <w:r>
                              <w:rPr>
                                <w:spacing w:val="-3"/>
                              </w:rPr>
                              <w:t> </w:t>
                            </w:r>
                            <w:r>
                              <w:rPr/>
                              <w:t>ni</w:t>
                            </w:r>
                            <w:r>
                              <w:rPr>
                                <w:spacing w:val="-4"/>
                              </w:rPr>
                              <w:t> </w:t>
                            </w:r>
                            <w:r>
                              <w:rPr/>
                              <w:t>reclasificaciones</w:t>
                            </w:r>
                            <w:r>
                              <w:rPr>
                                <w:spacing w:val="-3"/>
                              </w:rPr>
                              <w:t> </w:t>
                            </w:r>
                            <w:r>
                              <w:rPr/>
                              <w:t>posteriores</w:t>
                            </w:r>
                            <w:r>
                              <w:rPr>
                                <w:spacing w:val="-5"/>
                              </w:rPr>
                              <w:t> </w:t>
                            </w:r>
                            <w:r>
                              <w:rPr/>
                              <w:t>que</w:t>
                            </w:r>
                            <w:r>
                              <w:rPr>
                                <w:spacing w:val="-5"/>
                              </w:rPr>
                              <w:t> </w:t>
                            </w:r>
                            <w:r>
                              <w:rPr/>
                              <w:t>ameriten</w:t>
                            </w:r>
                            <w:r>
                              <w:rPr>
                                <w:spacing w:val="-4"/>
                              </w:rPr>
                              <w:t> </w:t>
                            </w:r>
                            <w:r>
                              <w:rPr/>
                              <w:t>revertir</w:t>
                            </w:r>
                            <w:r>
                              <w:rPr>
                                <w:spacing w:val="-4"/>
                              </w:rPr>
                              <w:t> </w:t>
                            </w:r>
                            <w:r>
                              <w:rPr/>
                              <w:t>gastos por consumo.</w:t>
                            </w:r>
                          </w:p>
                          <w:p>
                            <w:pPr>
                              <w:pStyle w:val="BodyText"/>
                              <w:numPr>
                                <w:ilvl w:val="0"/>
                                <w:numId w:val="46"/>
                              </w:numPr>
                              <w:tabs>
                                <w:tab w:pos="823" w:val="left" w:leader="none"/>
                              </w:tabs>
                              <w:spacing w:line="273" w:lineRule="auto" w:before="1" w:after="0"/>
                              <w:ind w:left="823" w:right="103" w:hanging="360"/>
                              <w:jc w:val="left"/>
                            </w:pPr>
                            <w:r>
                              <w:rPr/>
                              <w:t>Los procesos de control interno, recepción, registro y consumo de bienes se realizaron de</w:t>
                            </w:r>
                            <w:r>
                              <w:rPr>
                                <w:spacing w:val="40"/>
                              </w:rPr>
                              <w:t> </w:t>
                            </w:r>
                            <w:r>
                              <w:rPr/>
                              <w:t>forma adecuada y oportuna.</w:t>
                            </w:r>
                          </w:p>
                        </w:txbxContent>
                      </wps:txbx>
                      <wps:bodyPr wrap="square" lIns="0" tIns="0" rIns="0" bIns="0" rtlCol="0">
                        <a:noAutofit/>
                      </wps:bodyPr>
                    </wps:wsp>
                  </a:graphicData>
                </a:graphic>
              </wp:anchor>
            </w:drawing>
          </mc:Choice>
          <mc:Fallback>
            <w:pict>
              <v:shape style="position:absolute;margin-left:85.103996pt;margin-top:9.266870pt;width:450pt;height:311.7pt;mso-position-horizontal-relative:page;mso-position-vertical-relative:paragraph;z-index:-15614464;mso-wrap-distance-left:0;mso-wrap-distance-right:0" type="#_x0000_t202" id="docshape55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2"/>
                        <w:jc w:val="both"/>
                      </w:pPr>
                      <w:r>
                        <w:rPr/>
                        <w:t>La</w:t>
                      </w:r>
                      <w:r>
                        <w:rPr>
                          <w:spacing w:val="-1"/>
                        </w:rPr>
                        <w:t> </w:t>
                      </w:r>
                      <w:r>
                        <w:rPr/>
                        <w:t>cuenta Reversión</w:t>
                      </w:r>
                      <w:r>
                        <w:rPr>
                          <w:spacing w:val="-2"/>
                        </w:rPr>
                        <w:t> </w:t>
                      </w:r>
                      <w:r>
                        <w:rPr/>
                        <w:t>de</w:t>
                      </w:r>
                      <w:r>
                        <w:rPr>
                          <w:spacing w:val="-2"/>
                        </w:rPr>
                        <w:t> </w:t>
                      </w:r>
                      <w:r>
                        <w:rPr/>
                        <w:t>consumo de</w:t>
                      </w:r>
                      <w:r>
                        <w:rPr>
                          <w:spacing w:val="-2"/>
                        </w:rPr>
                        <w:t> </w:t>
                      </w:r>
                      <w:r>
                        <w:rPr/>
                        <w:t>bienes</w:t>
                      </w:r>
                      <w:r>
                        <w:rPr>
                          <w:spacing w:val="-1"/>
                        </w:rPr>
                        <w:t> </w:t>
                      </w:r>
                      <w:r>
                        <w:rPr/>
                        <w:t>está</w:t>
                      </w:r>
                      <w:r>
                        <w:rPr>
                          <w:spacing w:val="-3"/>
                        </w:rPr>
                        <w:t> </w:t>
                      </w:r>
                      <w:r>
                        <w:rPr/>
                        <w:t>prevista</w:t>
                      </w:r>
                      <w:r>
                        <w:rPr>
                          <w:spacing w:val="-1"/>
                        </w:rPr>
                        <w:t> </w:t>
                      </w:r>
                      <w:r>
                        <w:rPr/>
                        <w:t>para</w:t>
                      </w:r>
                      <w:r>
                        <w:rPr>
                          <w:spacing w:val="-1"/>
                        </w:rPr>
                        <w:t> </w:t>
                      </w:r>
                      <w:r>
                        <w:rPr/>
                        <w:t>registrar</w:t>
                      </w:r>
                      <w:r>
                        <w:rPr>
                          <w:spacing w:val="-2"/>
                        </w:rPr>
                        <w:t> </w:t>
                      </w:r>
                      <w:r>
                        <w:rPr/>
                        <w:t>la</w:t>
                      </w:r>
                      <w:r>
                        <w:rPr>
                          <w:spacing w:val="-1"/>
                        </w:rPr>
                        <w:t> </w:t>
                      </w:r>
                      <w:r>
                        <w:rPr/>
                        <w:t>reversión</w:t>
                      </w:r>
                      <w:r>
                        <w:rPr>
                          <w:spacing w:val="-2"/>
                        </w:rPr>
                        <w:t> </w:t>
                      </w:r>
                      <w:r>
                        <w:rPr/>
                        <w:t>contable</w:t>
                      </w:r>
                      <w:r>
                        <w:rPr>
                          <w:spacing w:val="-1"/>
                        </w:rPr>
                        <w:t> </w:t>
                      </w:r>
                      <w:r>
                        <w:rPr/>
                        <w:t>de</w:t>
                      </w:r>
                      <w:r>
                        <w:rPr>
                          <w:spacing w:val="-2"/>
                        </w:rPr>
                        <w:t> </w:t>
                      </w:r>
                      <w:r>
                        <w:rPr/>
                        <w:t>gastos previamente reconocidos por consumo de bienes, cuando se presentan eventos posteriores que implican la recuperación, devolución, anulación o corrección de consumos registrados en períodos </w:t>
                      </w:r>
                      <w:r>
                        <w:rPr>
                          <w:spacing w:val="-2"/>
                        </w:rPr>
                        <w:t>anteriores.</w:t>
                      </w:r>
                    </w:p>
                    <w:p>
                      <w:pPr>
                        <w:pStyle w:val="BodyText"/>
                        <w:spacing w:before="39"/>
                      </w:pPr>
                    </w:p>
                    <w:p>
                      <w:pPr>
                        <w:pStyle w:val="BodyText"/>
                        <w:spacing w:line="276" w:lineRule="auto"/>
                        <w:ind w:left="103" w:right="102"/>
                        <w:jc w:val="both"/>
                      </w:pPr>
                      <w:r>
                        <w:rPr/>
                        <w:t>Este tipo de ingreso tiene un carácter no recurrente, y su reconocimiento se encuentra condicionado a</w:t>
                      </w:r>
                      <w:r>
                        <w:rPr>
                          <w:spacing w:val="-2"/>
                        </w:rPr>
                        <w:t> </w:t>
                      </w:r>
                      <w:r>
                        <w:rPr/>
                        <w:t>la</w:t>
                      </w:r>
                      <w:r>
                        <w:rPr>
                          <w:spacing w:val="-2"/>
                        </w:rPr>
                        <w:t> </w:t>
                      </w:r>
                      <w:r>
                        <w:rPr/>
                        <w:t>existencia</w:t>
                      </w:r>
                      <w:r>
                        <w:rPr>
                          <w:spacing w:val="-2"/>
                        </w:rPr>
                        <w:t> </w:t>
                      </w:r>
                      <w:r>
                        <w:rPr/>
                        <w:t>de</w:t>
                      </w:r>
                      <w:r>
                        <w:rPr>
                          <w:spacing w:val="-3"/>
                        </w:rPr>
                        <w:t> </w:t>
                      </w:r>
                      <w:r>
                        <w:rPr/>
                        <w:t>hechos verificables que</w:t>
                      </w:r>
                      <w:r>
                        <w:rPr>
                          <w:spacing w:val="-2"/>
                        </w:rPr>
                        <w:t> </w:t>
                      </w:r>
                      <w:r>
                        <w:rPr/>
                        <w:t>evidencien</w:t>
                      </w:r>
                      <w:r>
                        <w:rPr>
                          <w:spacing w:val="-1"/>
                        </w:rPr>
                        <w:t> </w:t>
                      </w:r>
                      <w:r>
                        <w:rPr/>
                        <w:t>que</w:t>
                      </w:r>
                      <w:r>
                        <w:rPr>
                          <w:spacing w:val="-4"/>
                        </w:rPr>
                        <w:t> </w:t>
                      </w:r>
                      <w:r>
                        <w:rPr/>
                        <w:t>el</w:t>
                      </w:r>
                      <w:r>
                        <w:rPr>
                          <w:spacing w:val="-2"/>
                        </w:rPr>
                        <w:t> </w:t>
                      </w:r>
                      <w:r>
                        <w:rPr/>
                        <w:t>consumo</w:t>
                      </w:r>
                      <w:r>
                        <w:rPr>
                          <w:spacing w:val="-3"/>
                        </w:rPr>
                        <w:t> </w:t>
                      </w:r>
                      <w:r>
                        <w:rPr/>
                        <w:t>originalmente</w:t>
                      </w:r>
                      <w:r>
                        <w:rPr>
                          <w:spacing w:val="-2"/>
                        </w:rPr>
                        <w:t> </w:t>
                      </w:r>
                      <w:r>
                        <w:rPr/>
                        <w:t>reconocido</w:t>
                      </w:r>
                      <w:r>
                        <w:rPr>
                          <w:spacing w:val="-3"/>
                        </w:rPr>
                        <w:t> </w:t>
                      </w:r>
                      <w:r>
                        <w:rPr/>
                        <w:t>ya</w:t>
                      </w:r>
                      <w:r>
                        <w:rPr>
                          <w:spacing w:val="-2"/>
                        </w:rPr>
                        <w:t> </w:t>
                      </w:r>
                      <w:r>
                        <w:rPr/>
                        <w:t>no cumple los criterios de gasto o debe ser revertido total o parcialmente.</w:t>
                      </w:r>
                    </w:p>
                    <w:p>
                      <w:pPr>
                        <w:pStyle w:val="BodyText"/>
                        <w:spacing w:before="39"/>
                      </w:pPr>
                    </w:p>
                    <w:p>
                      <w:pPr>
                        <w:pStyle w:val="BodyText"/>
                        <w:spacing w:line="276" w:lineRule="auto"/>
                        <w:ind w:left="103" w:right="101"/>
                        <w:jc w:val="both"/>
                      </w:pPr>
                      <w:r>
                        <w:rPr/>
                        <w:t>Durante</w:t>
                      </w:r>
                      <w:r>
                        <w:rPr>
                          <w:spacing w:val="-2"/>
                        </w:rPr>
                        <w:t> </w:t>
                      </w:r>
                      <w:r>
                        <w:rPr/>
                        <w:t>el</w:t>
                      </w:r>
                      <w:r>
                        <w:rPr>
                          <w:spacing w:val="-2"/>
                        </w:rPr>
                        <w:t> </w:t>
                      </w:r>
                      <w:r>
                        <w:rPr/>
                        <w:t>período</w:t>
                      </w:r>
                      <w:r>
                        <w:rPr>
                          <w:spacing w:val="-4"/>
                        </w:rPr>
                        <w:t> </w:t>
                      </w:r>
                      <w:r>
                        <w:rPr/>
                        <w:t>que</w:t>
                      </w:r>
                      <w:r>
                        <w:rPr>
                          <w:spacing w:val="-6"/>
                        </w:rPr>
                        <w:t> </w:t>
                      </w:r>
                      <w:r>
                        <w:rPr/>
                        <w:t>se</w:t>
                      </w:r>
                      <w:r>
                        <w:rPr>
                          <w:spacing w:val="-3"/>
                        </w:rPr>
                        <w:t> </w:t>
                      </w:r>
                      <w:r>
                        <w:rPr/>
                        <w:t>informa,</w:t>
                      </w:r>
                      <w:r>
                        <w:rPr>
                          <w:spacing w:val="-2"/>
                        </w:rPr>
                        <w:t> </w:t>
                      </w:r>
                      <w:r>
                        <w:rPr/>
                        <w:t>el</w:t>
                      </w:r>
                      <w:r>
                        <w:rPr>
                          <w:spacing w:val="-2"/>
                        </w:rPr>
                        <w:t> </w:t>
                      </w:r>
                      <w:r>
                        <w:rPr/>
                        <w:t>IMAS</w:t>
                      </w:r>
                      <w:r>
                        <w:rPr>
                          <w:spacing w:val="-1"/>
                        </w:rPr>
                        <w:t> </w:t>
                      </w:r>
                      <w:r>
                        <w:rPr/>
                        <w:t>no</w:t>
                      </w:r>
                      <w:r>
                        <w:rPr>
                          <w:spacing w:val="-2"/>
                        </w:rPr>
                        <w:t> </w:t>
                      </w:r>
                      <w:r>
                        <w:rPr/>
                        <w:t>registra</w:t>
                      </w:r>
                      <w:r>
                        <w:rPr>
                          <w:spacing w:val="-5"/>
                        </w:rPr>
                        <w:t> </w:t>
                      </w:r>
                      <w:r>
                        <w:rPr/>
                        <w:t>operaciones</w:t>
                      </w:r>
                      <w:r>
                        <w:rPr>
                          <w:spacing w:val="-4"/>
                        </w:rPr>
                        <w:t> </w:t>
                      </w:r>
                      <w:r>
                        <w:rPr/>
                        <w:t>que</w:t>
                      </w:r>
                      <w:r>
                        <w:rPr>
                          <w:spacing w:val="-4"/>
                        </w:rPr>
                        <w:t> </w:t>
                      </w:r>
                      <w:r>
                        <w:rPr/>
                        <w:t>den</w:t>
                      </w:r>
                      <w:r>
                        <w:rPr>
                          <w:spacing w:val="-4"/>
                        </w:rPr>
                        <w:t> </w:t>
                      </w:r>
                      <w:r>
                        <w:rPr/>
                        <w:t>origen</w:t>
                      </w:r>
                      <w:r>
                        <w:rPr>
                          <w:spacing w:val="-2"/>
                        </w:rPr>
                        <w:t> </w:t>
                      </w:r>
                      <w:r>
                        <w:rPr/>
                        <w:t>a</w:t>
                      </w:r>
                      <w:r>
                        <w:rPr>
                          <w:spacing w:val="-2"/>
                        </w:rPr>
                        <w:t> </w:t>
                      </w:r>
                      <w:r>
                        <w:rPr/>
                        <w:t>la</w:t>
                      </w:r>
                      <w:r>
                        <w:rPr>
                          <w:spacing w:val="-3"/>
                        </w:rPr>
                        <w:t> </w:t>
                      </w:r>
                      <w:r>
                        <w:rPr/>
                        <w:t>reversión</w:t>
                      </w:r>
                      <w:r>
                        <w:rPr>
                          <w:spacing w:val="-2"/>
                        </w:rPr>
                        <w:t> </w:t>
                      </w:r>
                      <w:r>
                        <w:rPr/>
                        <w:t>de consumo de bienes, razón por la cual esta cuenta no presenta movimientos ni saldos, representando el 0,00% del total de los ingresos.</w:t>
                      </w:r>
                    </w:p>
                    <w:p>
                      <w:pPr>
                        <w:pStyle w:val="BodyText"/>
                        <w:spacing w:before="37"/>
                      </w:pPr>
                    </w:p>
                    <w:p>
                      <w:pPr>
                        <w:pStyle w:val="BodyText"/>
                        <w:ind w:left="103"/>
                      </w:pPr>
                      <w:r>
                        <w:rPr/>
                        <w:t>La</w:t>
                      </w:r>
                      <w:r>
                        <w:rPr>
                          <w:spacing w:val="-4"/>
                        </w:rPr>
                        <w:t> </w:t>
                      </w:r>
                      <w:r>
                        <w:rPr/>
                        <w:t>ausencia</w:t>
                      </w:r>
                      <w:r>
                        <w:rPr>
                          <w:spacing w:val="-4"/>
                        </w:rPr>
                        <w:t> </w:t>
                      </w:r>
                      <w:r>
                        <w:rPr/>
                        <w:t>de</w:t>
                      </w:r>
                      <w:r>
                        <w:rPr>
                          <w:spacing w:val="-4"/>
                        </w:rPr>
                        <w:t> </w:t>
                      </w:r>
                      <w:r>
                        <w:rPr/>
                        <w:t>registros</w:t>
                      </w:r>
                      <w:r>
                        <w:rPr>
                          <w:spacing w:val="-2"/>
                        </w:rPr>
                        <w:t> </w:t>
                      </w:r>
                      <w:r>
                        <w:rPr/>
                        <w:t>en</w:t>
                      </w:r>
                      <w:r>
                        <w:rPr>
                          <w:spacing w:val="-5"/>
                        </w:rPr>
                        <w:t> </w:t>
                      </w:r>
                      <w:r>
                        <w:rPr/>
                        <w:t>esta</w:t>
                      </w:r>
                      <w:r>
                        <w:rPr>
                          <w:spacing w:val="-3"/>
                        </w:rPr>
                        <w:t> </w:t>
                      </w:r>
                      <w:r>
                        <w:rPr/>
                        <w:t>cuenta</w:t>
                      </w:r>
                      <w:r>
                        <w:rPr>
                          <w:spacing w:val="-2"/>
                        </w:rPr>
                        <w:t> </w:t>
                      </w:r>
                      <w:r>
                        <w:rPr/>
                        <w:t>obedece</w:t>
                      </w:r>
                      <w:r>
                        <w:rPr>
                          <w:spacing w:val="-5"/>
                        </w:rPr>
                        <w:t> </w:t>
                      </w:r>
                      <w:r>
                        <w:rPr/>
                        <w:t>a</w:t>
                      </w:r>
                      <w:r>
                        <w:rPr>
                          <w:spacing w:val="-3"/>
                        </w:rPr>
                        <w:t> </w:t>
                      </w:r>
                      <w:r>
                        <w:rPr>
                          <w:spacing w:val="-4"/>
                        </w:rPr>
                        <w:t>que:</w:t>
                      </w:r>
                    </w:p>
                    <w:p>
                      <w:pPr>
                        <w:pStyle w:val="BodyText"/>
                        <w:spacing w:before="74"/>
                      </w:pPr>
                    </w:p>
                    <w:p>
                      <w:pPr>
                        <w:pStyle w:val="BodyText"/>
                        <w:numPr>
                          <w:ilvl w:val="0"/>
                          <w:numId w:val="46"/>
                        </w:numPr>
                        <w:tabs>
                          <w:tab w:pos="823" w:val="left" w:leader="none"/>
                        </w:tabs>
                        <w:spacing w:line="240" w:lineRule="auto" w:before="1" w:after="0"/>
                        <w:ind w:left="823" w:right="0" w:hanging="360"/>
                        <w:jc w:val="left"/>
                      </w:pPr>
                      <w:r>
                        <w:rPr/>
                        <w:t>No</w:t>
                      </w:r>
                      <w:r>
                        <w:rPr>
                          <w:spacing w:val="-4"/>
                        </w:rPr>
                        <w:t> </w:t>
                      </w:r>
                      <w:r>
                        <w:rPr/>
                        <w:t>se</w:t>
                      </w:r>
                      <w:r>
                        <w:rPr>
                          <w:spacing w:val="-5"/>
                        </w:rPr>
                        <w:t> </w:t>
                      </w:r>
                      <w:r>
                        <w:rPr/>
                        <w:t>presentaron</w:t>
                      </w:r>
                      <w:r>
                        <w:rPr>
                          <w:spacing w:val="-3"/>
                        </w:rPr>
                        <w:t> </w:t>
                      </w:r>
                      <w:r>
                        <w:rPr/>
                        <w:t>devoluciones</w:t>
                      </w:r>
                      <w:r>
                        <w:rPr>
                          <w:spacing w:val="-3"/>
                        </w:rPr>
                        <w:t> </w:t>
                      </w:r>
                      <w:r>
                        <w:rPr/>
                        <w:t>de</w:t>
                      </w:r>
                      <w:r>
                        <w:rPr>
                          <w:spacing w:val="-6"/>
                        </w:rPr>
                        <w:t> </w:t>
                      </w:r>
                      <w:r>
                        <w:rPr/>
                        <w:t>bienes</w:t>
                      </w:r>
                      <w:r>
                        <w:rPr>
                          <w:spacing w:val="-2"/>
                        </w:rPr>
                        <w:t> consumidos.</w:t>
                      </w:r>
                    </w:p>
                    <w:p>
                      <w:pPr>
                        <w:pStyle w:val="BodyText"/>
                        <w:numPr>
                          <w:ilvl w:val="0"/>
                          <w:numId w:val="46"/>
                        </w:numPr>
                        <w:tabs>
                          <w:tab w:pos="823" w:val="left" w:leader="none"/>
                        </w:tabs>
                        <w:spacing w:line="276" w:lineRule="auto" w:before="37" w:after="0"/>
                        <w:ind w:left="823" w:right="100" w:hanging="360"/>
                        <w:jc w:val="left"/>
                      </w:pPr>
                      <w:r>
                        <w:rPr/>
                        <w:t>No</w:t>
                      </w:r>
                      <w:r>
                        <w:rPr>
                          <w:spacing w:val="-4"/>
                        </w:rPr>
                        <w:t> </w:t>
                      </w:r>
                      <w:r>
                        <w:rPr/>
                        <w:t>existieron</w:t>
                      </w:r>
                      <w:r>
                        <w:rPr>
                          <w:spacing w:val="-5"/>
                        </w:rPr>
                        <w:t> </w:t>
                      </w:r>
                      <w:r>
                        <w:rPr/>
                        <w:t>anulaciones,</w:t>
                      </w:r>
                      <w:r>
                        <w:rPr>
                          <w:spacing w:val="-6"/>
                        </w:rPr>
                        <w:t> </w:t>
                      </w:r>
                      <w:r>
                        <w:rPr/>
                        <w:t>ajustes</w:t>
                      </w:r>
                      <w:r>
                        <w:rPr>
                          <w:spacing w:val="-3"/>
                        </w:rPr>
                        <w:t> </w:t>
                      </w:r>
                      <w:r>
                        <w:rPr/>
                        <w:t>ni</w:t>
                      </w:r>
                      <w:r>
                        <w:rPr>
                          <w:spacing w:val="-4"/>
                        </w:rPr>
                        <w:t> </w:t>
                      </w:r>
                      <w:r>
                        <w:rPr/>
                        <w:t>reclasificaciones</w:t>
                      </w:r>
                      <w:r>
                        <w:rPr>
                          <w:spacing w:val="-3"/>
                        </w:rPr>
                        <w:t> </w:t>
                      </w:r>
                      <w:r>
                        <w:rPr/>
                        <w:t>posteriores</w:t>
                      </w:r>
                      <w:r>
                        <w:rPr>
                          <w:spacing w:val="-5"/>
                        </w:rPr>
                        <w:t> </w:t>
                      </w:r>
                      <w:r>
                        <w:rPr/>
                        <w:t>que</w:t>
                      </w:r>
                      <w:r>
                        <w:rPr>
                          <w:spacing w:val="-5"/>
                        </w:rPr>
                        <w:t> </w:t>
                      </w:r>
                      <w:r>
                        <w:rPr/>
                        <w:t>ameriten</w:t>
                      </w:r>
                      <w:r>
                        <w:rPr>
                          <w:spacing w:val="-4"/>
                        </w:rPr>
                        <w:t> </w:t>
                      </w:r>
                      <w:r>
                        <w:rPr/>
                        <w:t>revertir</w:t>
                      </w:r>
                      <w:r>
                        <w:rPr>
                          <w:spacing w:val="-4"/>
                        </w:rPr>
                        <w:t> </w:t>
                      </w:r>
                      <w:r>
                        <w:rPr/>
                        <w:t>gastos por consumo.</w:t>
                      </w:r>
                    </w:p>
                    <w:p>
                      <w:pPr>
                        <w:pStyle w:val="BodyText"/>
                        <w:numPr>
                          <w:ilvl w:val="0"/>
                          <w:numId w:val="46"/>
                        </w:numPr>
                        <w:tabs>
                          <w:tab w:pos="823" w:val="left" w:leader="none"/>
                        </w:tabs>
                        <w:spacing w:line="273" w:lineRule="auto" w:before="1" w:after="0"/>
                        <w:ind w:left="823" w:right="103" w:hanging="360"/>
                        <w:jc w:val="left"/>
                      </w:pPr>
                      <w:r>
                        <w:rPr/>
                        <w:t>Los procesos de control interno, recepción, registro y consumo de bienes se realizaron de</w:t>
                      </w:r>
                      <w:r>
                        <w:rPr>
                          <w:spacing w:val="40"/>
                        </w:rPr>
                        <w:t> </w:t>
                      </w:r>
                      <w:r>
                        <w:rPr/>
                        <w:t>forma adecuada y oportuna.</w:t>
                      </w:r>
                    </w:p>
                  </w:txbxContent>
                </v:textbox>
                <v:stroke dashstyle="solid"/>
                <w10:wrap type="topAndBottom"/>
              </v:shape>
            </w:pict>
          </mc:Fallback>
        </mc:AlternateContent>
      </w:r>
    </w:p>
    <w:p>
      <w:pPr>
        <w:pStyle w:val="BodyText"/>
        <w:spacing w:before="186"/>
        <w:rPr>
          <w:b/>
        </w:rPr>
      </w:pPr>
    </w:p>
    <w:p>
      <w:pPr>
        <w:spacing w:before="0"/>
        <w:ind w:left="622" w:right="0" w:firstLine="0"/>
        <w:jc w:val="left"/>
        <w:rPr>
          <w:b/>
          <w:sz w:val="22"/>
        </w:rPr>
      </w:pPr>
      <w:bookmarkStart w:name="_bookmark100" w:id="101"/>
      <w:bookmarkEnd w:id="101"/>
      <w:r>
        <w:rPr/>
      </w:r>
      <w:r>
        <w:rPr>
          <w:b/>
          <w:sz w:val="22"/>
        </w:rPr>
        <w:t>NOTA</w:t>
      </w:r>
      <w:r>
        <w:rPr>
          <w:b/>
          <w:spacing w:val="-1"/>
          <w:sz w:val="22"/>
        </w:rPr>
        <w:t> </w:t>
      </w:r>
      <w:r>
        <w:rPr>
          <w:b/>
          <w:sz w:val="22"/>
        </w:rPr>
        <w:t>N° </w:t>
      </w:r>
      <w:r>
        <w:rPr>
          <w:b/>
          <w:spacing w:val="-5"/>
          <w:sz w:val="22"/>
        </w:rPr>
        <w:t>54</w:t>
      </w:r>
    </w:p>
    <w:p>
      <w:pPr>
        <w:pStyle w:val="BodyText"/>
        <w:spacing w:before="115"/>
        <w:rPr>
          <w:b/>
        </w:rPr>
      </w:pPr>
    </w:p>
    <w:p>
      <w:pPr>
        <w:pStyle w:val="BodyText"/>
        <w:ind w:left="622"/>
      </w:pPr>
      <w:r>
        <w:rPr/>
        <w:t>Reversión</w:t>
      </w:r>
      <w:r>
        <w:rPr>
          <w:spacing w:val="-7"/>
        </w:rPr>
        <w:t> </w:t>
      </w:r>
      <w:r>
        <w:rPr/>
        <w:t>de</w:t>
      </w:r>
      <w:r>
        <w:rPr>
          <w:spacing w:val="-3"/>
        </w:rPr>
        <w:t> </w:t>
      </w:r>
      <w:r>
        <w:rPr/>
        <w:t>pérdidas</w:t>
      </w:r>
      <w:r>
        <w:rPr>
          <w:spacing w:val="-3"/>
        </w:rPr>
        <w:t> </w:t>
      </w:r>
      <w:r>
        <w:rPr/>
        <w:t>por</w:t>
      </w:r>
      <w:r>
        <w:rPr>
          <w:spacing w:val="-7"/>
        </w:rPr>
        <w:t> </w:t>
      </w:r>
      <w:r>
        <w:rPr/>
        <w:t>deterioro</w:t>
      </w:r>
      <w:r>
        <w:rPr>
          <w:spacing w:val="-4"/>
        </w:rPr>
        <w:t> </w:t>
      </w:r>
      <w:r>
        <w:rPr/>
        <w:t>y</w:t>
      </w:r>
      <w:r>
        <w:rPr>
          <w:spacing w:val="-5"/>
        </w:rPr>
        <w:t> </w:t>
      </w:r>
      <w:r>
        <w:rPr/>
        <w:t>desvalorización</w:t>
      </w:r>
      <w:r>
        <w:rPr>
          <w:spacing w:val="-5"/>
        </w:rPr>
        <w:t> </w:t>
      </w:r>
      <w:r>
        <w:rPr/>
        <w:t>de</w:t>
      </w:r>
      <w:r>
        <w:rPr>
          <w:spacing w:val="-4"/>
        </w:rPr>
        <w:t> </w:t>
      </w:r>
      <w:r>
        <w:rPr>
          <w:spacing w:val="-2"/>
        </w:rPr>
        <w:t>bienes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3397"/>
        <w:gridCol w:w="571"/>
        <w:gridCol w:w="1844"/>
        <w:gridCol w:w="1464"/>
        <w:gridCol w:w="1200"/>
      </w:tblGrid>
      <w:tr>
        <w:trPr>
          <w:trHeight w:val="251" w:hRule="atLeast"/>
        </w:trPr>
        <w:tc>
          <w:tcPr>
            <w:tcW w:w="842" w:type="dxa"/>
            <w:vMerge w:val="restart"/>
            <w:shd w:val="clear" w:color="auto" w:fill="365F92"/>
          </w:tcPr>
          <w:p>
            <w:pPr>
              <w:pStyle w:val="TableParagraph"/>
              <w:spacing w:before="74"/>
              <w:ind w:left="69"/>
              <w:rPr>
                <w:b/>
                <w:sz w:val="22"/>
              </w:rPr>
            </w:pPr>
            <w:r>
              <w:rPr>
                <w:b/>
                <w:color w:val="FFFFFF"/>
                <w:spacing w:val="-2"/>
                <w:sz w:val="22"/>
              </w:rPr>
              <w:t>Cuenta</w:t>
            </w:r>
          </w:p>
        </w:tc>
        <w:tc>
          <w:tcPr>
            <w:tcW w:w="3397" w:type="dxa"/>
            <w:vMerge w:val="restart"/>
            <w:shd w:val="clear" w:color="auto" w:fill="365F92"/>
          </w:tcPr>
          <w:p>
            <w:pPr>
              <w:pStyle w:val="TableParagraph"/>
              <w:spacing w:before="163"/>
              <w:ind w:left="21"/>
              <w:jc w:val="center"/>
              <w:rPr>
                <w:b/>
                <w:sz w:val="22"/>
              </w:rPr>
            </w:pPr>
            <w:r>
              <w:rPr>
                <w:b/>
                <w:color w:val="FFFFFF"/>
                <w:spacing w:val="-2"/>
                <w:sz w:val="22"/>
              </w:rPr>
              <w:t>Descripción</w:t>
            </w:r>
          </w:p>
        </w:tc>
        <w:tc>
          <w:tcPr>
            <w:tcW w:w="571" w:type="dxa"/>
            <w:vMerge w:val="restart"/>
            <w:shd w:val="clear" w:color="auto" w:fill="365F92"/>
          </w:tcPr>
          <w:p>
            <w:pPr>
              <w:pStyle w:val="TableParagraph"/>
              <w:spacing w:before="163"/>
              <w:ind w:left="69"/>
              <w:rPr>
                <w:b/>
                <w:sz w:val="22"/>
              </w:rPr>
            </w:pPr>
            <w:r>
              <w:rPr>
                <w:b/>
                <w:color w:val="FFFFFF"/>
                <w:spacing w:val="-4"/>
                <w:sz w:val="22"/>
              </w:rPr>
              <w:t>Nota</w:t>
            </w:r>
          </w:p>
        </w:tc>
        <w:tc>
          <w:tcPr>
            <w:tcW w:w="1844" w:type="dxa"/>
            <w:vMerge w:val="restart"/>
            <w:shd w:val="clear" w:color="auto" w:fill="365F92"/>
          </w:tcPr>
          <w:p>
            <w:pPr>
              <w:pStyle w:val="TableParagraph"/>
              <w:spacing w:before="163"/>
              <w:ind w:left="290"/>
              <w:rPr>
                <w:b/>
                <w:sz w:val="22"/>
              </w:rPr>
            </w:pPr>
            <w:r>
              <w:rPr>
                <w:b/>
                <w:color w:val="FFFFFF"/>
                <w:sz w:val="22"/>
              </w:rPr>
              <w:t>Periodo</w:t>
            </w:r>
            <w:r>
              <w:rPr>
                <w:b/>
                <w:color w:val="FFFFFF"/>
                <w:spacing w:val="-4"/>
                <w:sz w:val="22"/>
              </w:rPr>
              <w:t> </w:t>
            </w:r>
            <w:r>
              <w:rPr>
                <w:b/>
                <w:color w:val="FFFFFF"/>
                <w:spacing w:val="-2"/>
                <w:sz w:val="22"/>
              </w:rPr>
              <w:t>Actual</w:t>
            </w:r>
          </w:p>
        </w:tc>
        <w:tc>
          <w:tcPr>
            <w:tcW w:w="1464" w:type="dxa"/>
            <w:vMerge w:val="restart"/>
            <w:shd w:val="clear" w:color="auto" w:fill="365F92"/>
          </w:tcPr>
          <w:p>
            <w:pPr>
              <w:pStyle w:val="TableParagraph"/>
              <w:spacing w:before="38"/>
              <w:ind w:left="357" w:right="331" w:firstLine="50"/>
              <w:rPr>
                <w:b/>
                <w:sz w:val="22"/>
              </w:rPr>
            </w:pPr>
            <w:r>
              <w:rPr>
                <w:b/>
                <w:color w:val="FFFFFF"/>
                <w:spacing w:val="-2"/>
                <w:sz w:val="22"/>
              </w:rPr>
              <w:t>Periodo Anterior</w:t>
            </w:r>
          </w:p>
        </w:tc>
        <w:tc>
          <w:tcPr>
            <w:tcW w:w="1200" w:type="dxa"/>
            <w:shd w:val="clear" w:color="auto" w:fill="365F92"/>
          </w:tcPr>
          <w:p>
            <w:pPr>
              <w:pStyle w:val="TableParagraph"/>
              <w:spacing w:line="231" w:lineRule="exact"/>
              <w:ind w:left="21" w:right="3"/>
              <w:jc w:val="center"/>
              <w:rPr>
                <w:b/>
                <w:sz w:val="22"/>
              </w:rPr>
            </w:pPr>
            <w:r>
              <w:rPr>
                <w:b/>
                <w:color w:val="FFFFFF"/>
                <w:spacing w:val="-2"/>
                <w:sz w:val="22"/>
              </w:rPr>
              <w:t>Diferencia</w:t>
            </w:r>
          </w:p>
        </w:tc>
      </w:tr>
      <w:tr>
        <w:trPr>
          <w:trHeight w:val="306" w:hRule="atLeast"/>
        </w:trPr>
        <w:tc>
          <w:tcPr>
            <w:tcW w:w="842" w:type="dxa"/>
            <w:vMerge/>
            <w:tcBorders>
              <w:top w:val="nil"/>
            </w:tcBorders>
            <w:shd w:val="clear" w:color="auto" w:fill="365F92"/>
          </w:tcPr>
          <w:p>
            <w:pPr>
              <w:rPr>
                <w:sz w:val="2"/>
                <w:szCs w:val="2"/>
              </w:rPr>
            </w:pPr>
          </w:p>
        </w:tc>
        <w:tc>
          <w:tcPr>
            <w:tcW w:w="3397"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464" w:type="dxa"/>
            <w:vMerge/>
            <w:tcBorders>
              <w:top w:val="nil"/>
            </w:tcBorders>
            <w:shd w:val="clear" w:color="auto" w:fill="365F92"/>
          </w:tcPr>
          <w:p>
            <w:pPr>
              <w:rPr>
                <w:sz w:val="2"/>
                <w:szCs w:val="2"/>
              </w:rPr>
            </w:pPr>
          </w:p>
        </w:tc>
        <w:tc>
          <w:tcPr>
            <w:tcW w:w="1200" w:type="dxa"/>
            <w:shd w:val="clear" w:color="auto" w:fill="365F92"/>
          </w:tcPr>
          <w:p>
            <w:pPr>
              <w:pStyle w:val="TableParagraph"/>
              <w:spacing w:before="26"/>
              <w:ind w:left="21" w:right="1"/>
              <w:jc w:val="center"/>
              <w:rPr>
                <w:sz w:val="22"/>
              </w:rPr>
            </w:pPr>
            <w:r>
              <w:rPr>
                <w:color w:val="FFFFFF"/>
                <w:spacing w:val="-10"/>
                <w:sz w:val="22"/>
              </w:rPr>
              <w:t>%</w:t>
            </w:r>
          </w:p>
        </w:tc>
      </w:tr>
      <w:tr>
        <w:trPr>
          <w:trHeight w:val="457" w:hRule="atLeast"/>
        </w:trPr>
        <w:tc>
          <w:tcPr>
            <w:tcW w:w="842" w:type="dxa"/>
          </w:tcPr>
          <w:p>
            <w:pPr>
              <w:pStyle w:val="TableParagraph"/>
              <w:spacing w:before="113"/>
              <w:ind w:left="69"/>
              <w:rPr>
                <w:b/>
                <w:sz w:val="20"/>
              </w:rPr>
            </w:pPr>
            <w:r>
              <w:rPr>
                <w:b/>
                <w:spacing w:val="-2"/>
                <w:sz w:val="20"/>
              </w:rPr>
              <w:t>4.9.3.</w:t>
            </w:r>
          </w:p>
        </w:tc>
        <w:tc>
          <w:tcPr>
            <w:tcW w:w="3397" w:type="dxa"/>
          </w:tcPr>
          <w:p>
            <w:pPr>
              <w:pStyle w:val="TableParagraph"/>
              <w:spacing w:line="227" w:lineRule="exact"/>
              <w:ind w:left="69"/>
              <w:rPr>
                <w:b/>
                <w:sz w:val="20"/>
              </w:rPr>
            </w:pPr>
            <w:r>
              <w:rPr>
                <w:b/>
                <w:sz w:val="20"/>
              </w:rPr>
              <w:t>Reversión</w:t>
            </w:r>
            <w:r>
              <w:rPr>
                <w:b/>
                <w:spacing w:val="-5"/>
                <w:sz w:val="20"/>
              </w:rPr>
              <w:t> </w:t>
            </w:r>
            <w:r>
              <w:rPr>
                <w:b/>
                <w:sz w:val="20"/>
              </w:rPr>
              <w:t>de</w:t>
            </w:r>
            <w:r>
              <w:rPr>
                <w:b/>
                <w:spacing w:val="-5"/>
                <w:sz w:val="20"/>
              </w:rPr>
              <w:t> </w:t>
            </w:r>
            <w:r>
              <w:rPr>
                <w:b/>
                <w:sz w:val="20"/>
              </w:rPr>
              <w:t>pérdidas</w:t>
            </w:r>
            <w:r>
              <w:rPr>
                <w:b/>
                <w:spacing w:val="-5"/>
                <w:sz w:val="20"/>
              </w:rPr>
              <w:t> </w:t>
            </w:r>
            <w:r>
              <w:rPr>
                <w:b/>
                <w:sz w:val="20"/>
              </w:rPr>
              <w:t>por</w:t>
            </w:r>
            <w:r>
              <w:rPr>
                <w:b/>
                <w:spacing w:val="-4"/>
                <w:sz w:val="20"/>
              </w:rPr>
              <w:t> </w:t>
            </w:r>
            <w:r>
              <w:rPr>
                <w:b/>
                <w:sz w:val="20"/>
              </w:rPr>
              <w:t>deterioro</w:t>
            </w:r>
            <w:r>
              <w:rPr>
                <w:b/>
                <w:spacing w:val="-4"/>
                <w:sz w:val="20"/>
              </w:rPr>
              <w:t> </w:t>
            </w:r>
            <w:r>
              <w:rPr>
                <w:b/>
                <w:spacing w:val="-10"/>
                <w:sz w:val="20"/>
              </w:rPr>
              <w:t>y</w:t>
            </w:r>
          </w:p>
          <w:p>
            <w:pPr>
              <w:pStyle w:val="TableParagraph"/>
              <w:spacing w:line="211" w:lineRule="exact"/>
              <w:ind w:left="69"/>
              <w:rPr>
                <w:b/>
                <w:sz w:val="20"/>
              </w:rPr>
            </w:pPr>
            <w:r>
              <w:rPr>
                <w:b/>
                <w:sz w:val="20"/>
              </w:rPr>
              <w:t>desvalorización</w:t>
            </w:r>
            <w:r>
              <w:rPr>
                <w:b/>
                <w:spacing w:val="-7"/>
                <w:sz w:val="20"/>
              </w:rPr>
              <w:t> </w:t>
            </w:r>
            <w:r>
              <w:rPr>
                <w:b/>
                <w:sz w:val="20"/>
              </w:rPr>
              <w:t>de</w:t>
            </w:r>
            <w:r>
              <w:rPr>
                <w:b/>
                <w:spacing w:val="-6"/>
                <w:sz w:val="20"/>
              </w:rPr>
              <w:t> </w:t>
            </w:r>
            <w:r>
              <w:rPr>
                <w:b/>
                <w:spacing w:val="-2"/>
                <w:sz w:val="20"/>
              </w:rPr>
              <w:t>bienes</w:t>
            </w:r>
          </w:p>
        </w:tc>
        <w:tc>
          <w:tcPr>
            <w:tcW w:w="571" w:type="dxa"/>
          </w:tcPr>
          <w:p>
            <w:pPr>
              <w:pStyle w:val="TableParagraph"/>
              <w:spacing w:before="113"/>
              <w:ind w:left="187"/>
              <w:rPr>
                <w:b/>
                <w:sz w:val="20"/>
              </w:rPr>
            </w:pPr>
            <w:r>
              <w:rPr>
                <w:b/>
                <w:spacing w:val="-5"/>
                <w:sz w:val="20"/>
              </w:rPr>
              <w:t>54</w:t>
            </w:r>
          </w:p>
        </w:tc>
        <w:tc>
          <w:tcPr>
            <w:tcW w:w="1844" w:type="dxa"/>
          </w:tcPr>
          <w:p>
            <w:pPr>
              <w:pStyle w:val="TableParagraph"/>
              <w:spacing w:before="113"/>
              <w:ind w:left="69" w:right="53"/>
              <w:jc w:val="center"/>
              <w:rPr>
                <w:b/>
                <w:sz w:val="20"/>
              </w:rPr>
            </w:pPr>
            <w:r>
              <w:rPr>
                <w:b/>
                <w:spacing w:val="-4"/>
                <w:sz w:val="20"/>
              </w:rPr>
              <w:t>0,00</w:t>
            </w:r>
          </w:p>
        </w:tc>
        <w:tc>
          <w:tcPr>
            <w:tcW w:w="1464" w:type="dxa"/>
          </w:tcPr>
          <w:p>
            <w:pPr>
              <w:pStyle w:val="TableParagraph"/>
              <w:spacing w:before="113"/>
              <w:ind w:left="17"/>
              <w:jc w:val="center"/>
              <w:rPr>
                <w:b/>
                <w:sz w:val="20"/>
              </w:rPr>
            </w:pPr>
            <w:r>
              <w:rPr>
                <w:b/>
                <w:spacing w:val="-4"/>
                <w:sz w:val="20"/>
              </w:rPr>
              <w:t>0,00</w:t>
            </w:r>
          </w:p>
        </w:tc>
        <w:tc>
          <w:tcPr>
            <w:tcW w:w="1200" w:type="dxa"/>
          </w:tcPr>
          <w:p>
            <w:pPr>
              <w:pStyle w:val="TableParagraph"/>
              <w:spacing w:before="113"/>
              <w:ind w:left="21" w:right="3"/>
              <w:jc w:val="center"/>
              <w:rPr>
                <w:b/>
                <w:sz w:val="20"/>
              </w:rPr>
            </w:pPr>
            <w:r>
              <w:rPr>
                <w:b/>
                <w:spacing w:val="-2"/>
                <w:sz w:val="20"/>
              </w:rPr>
              <w:t>0,00%</w:t>
            </w:r>
          </w:p>
        </w:tc>
      </w:tr>
    </w:tbl>
    <w:p>
      <w:pPr>
        <w:pStyle w:val="Heading6"/>
        <w:spacing w:before="241"/>
        <w:ind w:left="622"/>
      </w:pPr>
      <w:r>
        <w:rPr>
          <w:spacing w:val="-2"/>
        </w:rPr>
        <w:t>Revelación:</w:t>
      </w:r>
    </w:p>
    <w:p>
      <w:pPr>
        <w:pStyle w:val="BodyText"/>
        <w:spacing w:line="259" w:lineRule="auto" w:before="179"/>
        <w:ind w:left="622" w:right="981"/>
        <w:jc w:val="both"/>
      </w:pPr>
      <w:r>
        <w:rPr/>
        <w:t>La cuenta Reversión de pérdidas por deterioro y desvalorización de bienes, representa el 0,00% del total del Ingresos, que comparado al periodo anterior genera una variación absoluta de 0 000,00 que corresponde a un Aumento del 0,00% de recursos disponibles.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0960">
                <wp:simplePos x="0" y="0"/>
                <wp:positionH relativeFrom="page">
                  <wp:posOffset>9525</wp:posOffset>
                </wp:positionH>
                <wp:positionV relativeFrom="page">
                  <wp:posOffset>297208</wp:posOffset>
                </wp:positionV>
                <wp:extent cx="7762875" cy="9748520"/>
                <wp:effectExtent l="0" t="0" r="0" b="0"/>
                <wp:wrapNone/>
                <wp:docPr id="580" name="Group 580"/>
                <wp:cNvGraphicFramePr>
                  <a:graphicFrameLocks/>
                </wp:cNvGraphicFramePr>
                <a:graphic>
                  <a:graphicData uri="http://schemas.microsoft.com/office/word/2010/wordprocessingGroup">
                    <wpg:wgp>
                      <wpg:cNvPr id="580" name="Group 580"/>
                      <wpg:cNvGrpSpPr/>
                      <wpg:grpSpPr>
                        <a:xfrm>
                          <a:off x="0" y="0"/>
                          <a:ext cx="7762875" cy="9748520"/>
                          <a:chExt cx="7762875" cy="9748520"/>
                        </a:xfrm>
                      </wpg:grpSpPr>
                      <pic:pic>
                        <pic:nvPicPr>
                          <pic:cNvPr id="581" name="Image 581"/>
                          <pic:cNvPicPr/>
                        </pic:nvPicPr>
                        <pic:blipFill>
                          <a:blip r:embed="rId5" cstate="print"/>
                          <a:stretch>
                            <a:fillRect/>
                          </a:stretch>
                        </pic:blipFill>
                        <pic:spPr>
                          <a:xfrm>
                            <a:off x="0" y="0"/>
                            <a:ext cx="7762874" cy="9748489"/>
                          </a:xfrm>
                          <a:prstGeom prst="rect">
                            <a:avLst/>
                          </a:prstGeom>
                        </pic:spPr>
                      </pic:pic>
                      <wps:wsp>
                        <wps:cNvPr id="582" name="Graphic 58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75520" id="docshapegroup558" coordorigin="15,468" coordsize="12225,15352">
                <v:shape style="position:absolute;left:15;top:468;width:12225;height:15352" type="#_x0000_t75" id="docshape559" stroked="false">
                  <v:imagedata r:id="rId5" o:title=""/>
                </v:shape>
                <v:rect style="position:absolute;left:1673;top:2028;width:8897;height:15" id="docshape56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118</w:t>
      </w:r>
    </w:p>
    <w:p>
      <w:pPr>
        <w:pStyle w:val="BodyText"/>
        <w:spacing w:before="10"/>
        <w:rPr>
          <w:sz w:val="16"/>
        </w:rPr>
      </w:pPr>
      <w:r>
        <w:rPr>
          <w:sz w:val="16"/>
        </w:rPr>
        <mc:AlternateContent>
          <mc:Choice Requires="wps">
            <w:drawing>
              <wp:anchor distT="0" distB="0" distL="0" distR="0" allowOverlap="1" layoutInCell="1" locked="0" behindDoc="1" simplePos="0" relativeHeight="487703040">
                <wp:simplePos x="0" y="0"/>
                <wp:positionH relativeFrom="page">
                  <wp:posOffset>1080820</wp:posOffset>
                </wp:positionH>
                <wp:positionV relativeFrom="paragraph">
                  <wp:posOffset>141144</wp:posOffset>
                </wp:positionV>
                <wp:extent cx="5715000" cy="554990"/>
                <wp:effectExtent l="0" t="0" r="0" b="0"/>
                <wp:wrapTopAndBottom/>
                <wp:docPr id="583" name="Textbox 583"/>
                <wp:cNvGraphicFramePr>
                  <a:graphicFrameLocks/>
                </wp:cNvGraphicFramePr>
                <a:graphic>
                  <a:graphicData uri="http://schemas.microsoft.com/office/word/2010/wordprocessingShape">
                    <wps:wsp>
                      <wps:cNvPr id="583" name="Textbox 583"/>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613440;mso-wrap-distance-left:0;mso-wrap-distance-right:0" type="#_x0000_t202" id="docshape56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21</w:t>
      </w:r>
      <w:r>
        <w:rPr>
          <w:color w:val="FFFFFF"/>
          <w:spacing w:val="-2"/>
          <w:shd w:fill="365F92" w:color="auto" w:val="clear"/>
        </w:rPr>
        <w:t> </w:t>
      </w:r>
      <w:r>
        <w:rPr>
          <w:color w:val="FFFFFF"/>
          <w:shd w:fill="365F92" w:color="auto" w:val="clear"/>
        </w:rPr>
        <w:t>y</w:t>
      </w:r>
      <w:r>
        <w:rPr>
          <w:color w:val="FFFFFF"/>
          <w:spacing w:val="-3"/>
          <w:shd w:fill="365F92" w:color="auto" w:val="clear"/>
        </w:rPr>
        <w:t> </w:t>
      </w:r>
      <w:r>
        <w:rPr>
          <w:color w:val="FFFFFF"/>
          <w:shd w:fill="365F92" w:color="auto" w:val="clear"/>
        </w:rPr>
        <w:t>26</w:t>
      </w:r>
      <w:r>
        <w:rPr>
          <w:color w:val="FFFFFF"/>
          <w:spacing w:val="-5"/>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2"/>
          <w:shd w:fill="365F92" w:color="auto" w:val="clear"/>
        </w:rPr>
        <w:t> </w:t>
      </w:r>
      <w:r>
        <w:rPr>
          <w:color w:val="FFFFFF"/>
          <w:shd w:fill="365F92" w:color="auto" w:val="clear"/>
        </w:rPr>
        <w:t>que</w:t>
      </w:r>
      <w:r>
        <w:rPr>
          <w:color w:val="FFFFFF"/>
          <w:spacing w:val="-2"/>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703552">
                <wp:simplePos x="0" y="0"/>
                <wp:positionH relativeFrom="page">
                  <wp:posOffset>1080820</wp:posOffset>
                </wp:positionH>
                <wp:positionV relativeFrom="paragraph">
                  <wp:posOffset>117681</wp:posOffset>
                </wp:positionV>
                <wp:extent cx="5715000" cy="3865879"/>
                <wp:effectExtent l="0" t="0" r="0" b="0"/>
                <wp:wrapTopAndBottom/>
                <wp:docPr id="584" name="Textbox 584"/>
                <wp:cNvGraphicFramePr>
                  <a:graphicFrameLocks/>
                </wp:cNvGraphicFramePr>
                <a:graphic>
                  <a:graphicData uri="http://schemas.microsoft.com/office/word/2010/wordprocessingShape">
                    <wps:wsp>
                      <wps:cNvPr id="584" name="Textbox 584"/>
                      <wps:cNvSpPr txBox="1"/>
                      <wps:spPr>
                        <a:xfrm>
                          <a:off x="0" y="0"/>
                          <a:ext cx="5715000" cy="3865879"/>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Esta</w:t>
                            </w:r>
                            <w:r>
                              <w:rPr>
                                <w:spacing w:val="-3"/>
                              </w:rPr>
                              <w:t> </w:t>
                            </w:r>
                            <w:r>
                              <w:rPr/>
                              <w:t>cuenta</w:t>
                            </w:r>
                            <w:r>
                              <w:rPr>
                                <w:spacing w:val="-3"/>
                              </w:rPr>
                              <w:t> </w:t>
                            </w:r>
                            <w:r>
                              <w:rPr/>
                              <w:t>está</w:t>
                            </w:r>
                            <w:r>
                              <w:rPr>
                                <w:spacing w:val="-3"/>
                              </w:rPr>
                              <w:t> </w:t>
                            </w:r>
                            <w:r>
                              <w:rPr/>
                              <w:t>destinada</w:t>
                            </w:r>
                            <w:r>
                              <w:rPr>
                                <w:spacing w:val="-4"/>
                              </w:rPr>
                              <w:t> </w:t>
                            </w:r>
                            <w:r>
                              <w:rPr/>
                              <w:t>a</w:t>
                            </w:r>
                            <w:r>
                              <w:rPr>
                                <w:spacing w:val="-4"/>
                              </w:rPr>
                              <w:t> </w:t>
                            </w:r>
                            <w:r>
                              <w:rPr/>
                              <w:t>registrar</w:t>
                            </w:r>
                            <w:r>
                              <w:rPr>
                                <w:spacing w:val="-3"/>
                              </w:rPr>
                              <w:t> </w:t>
                            </w:r>
                            <w:r>
                              <w:rPr/>
                              <w:t>la</w:t>
                            </w:r>
                            <w:r>
                              <w:rPr>
                                <w:spacing w:val="-4"/>
                              </w:rPr>
                              <w:t> </w:t>
                            </w:r>
                            <w:r>
                              <w:rPr/>
                              <w:t>reversión</w:t>
                            </w:r>
                            <w:r>
                              <w:rPr>
                                <w:spacing w:val="-5"/>
                              </w:rPr>
                              <w:t> </w:t>
                            </w:r>
                            <w:r>
                              <w:rPr/>
                              <w:t>de</w:t>
                            </w:r>
                            <w:r>
                              <w:rPr>
                                <w:spacing w:val="-5"/>
                              </w:rPr>
                              <w:t> </w:t>
                            </w:r>
                            <w:r>
                              <w:rPr/>
                              <w:t>pérdidas</w:t>
                            </w:r>
                            <w:r>
                              <w:rPr>
                                <w:spacing w:val="-2"/>
                              </w:rPr>
                              <w:t> </w:t>
                            </w:r>
                            <w:r>
                              <w:rPr/>
                              <w:t>por</w:t>
                            </w:r>
                            <w:r>
                              <w:rPr>
                                <w:spacing w:val="-3"/>
                              </w:rPr>
                              <w:t> </w:t>
                            </w:r>
                            <w:r>
                              <w:rPr/>
                              <w:t>deterioro</w:t>
                            </w:r>
                            <w:r>
                              <w:rPr>
                                <w:spacing w:val="-3"/>
                              </w:rPr>
                              <w:t> </w:t>
                            </w:r>
                            <w:r>
                              <w:rPr/>
                              <w:t>previamente</w:t>
                            </w:r>
                            <w:r>
                              <w:rPr>
                                <w:spacing w:val="-3"/>
                              </w:rPr>
                              <w:t> </w:t>
                            </w:r>
                            <w:r>
                              <w:rPr/>
                              <w:t>reconocidas, cuando existen evidencias objetivas de que el importe recuperable o el potencial de servicio de un activo ha aumentado respecto de períodos anteriores.</w:t>
                            </w:r>
                          </w:p>
                          <w:p>
                            <w:pPr>
                              <w:pStyle w:val="BodyText"/>
                              <w:spacing w:before="38"/>
                            </w:pPr>
                          </w:p>
                          <w:p>
                            <w:pPr>
                              <w:pStyle w:val="BodyText"/>
                              <w:spacing w:line="276" w:lineRule="auto"/>
                              <w:ind w:left="103" w:right="103"/>
                              <w:jc w:val="both"/>
                            </w:pPr>
                            <w:r>
                              <w:rPr/>
                              <w:t>Dicha reversión</w:t>
                            </w:r>
                            <w:r>
                              <w:rPr>
                                <w:spacing w:val="-1"/>
                              </w:rPr>
                              <w:t> </w:t>
                            </w:r>
                            <w:r>
                              <w:rPr/>
                              <w:t>solo</w:t>
                            </w:r>
                            <w:r>
                              <w:rPr>
                                <w:spacing w:val="-1"/>
                              </w:rPr>
                              <w:t> </w:t>
                            </w:r>
                            <w:r>
                              <w:rPr/>
                              <w:t>es procedente cuando, conforme</w:t>
                            </w:r>
                            <w:r>
                              <w:rPr>
                                <w:spacing w:val="-2"/>
                              </w:rPr>
                              <w:t> </w:t>
                            </w:r>
                            <w:r>
                              <w:rPr/>
                              <w:t>a las Normas Internacionales de</w:t>
                            </w:r>
                            <w:r>
                              <w:rPr>
                                <w:spacing w:val="-3"/>
                              </w:rPr>
                              <w:t> </w:t>
                            </w:r>
                            <w:r>
                              <w:rPr/>
                              <w:t>Contabilidad del Sector Público, se ha reconocido previamente una pérdida por deterioro y posteriormente se verifican condiciones que justifican su reversión.</w:t>
                            </w:r>
                          </w:p>
                          <w:p>
                            <w:pPr>
                              <w:pStyle w:val="BodyText"/>
                              <w:spacing w:before="38"/>
                            </w:pPr>
                          </w:p>
                          <w:p>
                            <w:pPr>
                              <w:pStyle w:val="BodyText"/>
                              <w:ind w:left="103"/>
                            </w:pPr>
                            <w:r>
                              <w:rPr/>
                              <w:t>Durante</w:t>
                            </w:r>
                            <w:r>
                              <w:rPr>
                                <w:spacing w:val="-6"/>
                              </w:rPr>
                              <w:t> </w:t>
                            </w:r>
                            <w:r>
                              <w:rPr/>
                              <w:t>el</w:t>
                            </w:r>
                            <w:r>
                              <w:rPr>
                                <w:spacing w:val="-4"/>
                              </w:rPr>
                              <w:t> </w:t>
                            </w:r>
                            <w:r>
                              <w:rPr/>
                              <w:t>período</w:t>
                            </w:r>
                            <w:r>
                              <w:rPr>
                                <w:spacing w:val="-4"/>
                              </w:rPr>
                              <w:t> </w:t>
                            </w:r>
                            <w:r>
                              <w:rPr/>
                              <w:t>2026,</w:t>
                            </w:r>
                            <w:r>
                              <w:rPr>
                                <w:spacing w:val="-3"/>
                              </w:rPr>
                              <w:t> </w:t>
                            </w:r>
                            <w:r>
                              <w:rPr/>
                              <w:t>el</w:t>
                            </w:r>
                            <w:r>
                              <w:rPr>
                                <w:spacing w:val="-4"/>
                              </w:rPr>
                              <w:t> </w:t>
                            </w:r>
                            <w:r>
                              <w:rPr/>
                              <w:t>IMAS</w:t>
                            </w:r>
                            <w:r>
                              <w:rPr>
                                <w:spacing w:val="-5"/>
                              </w:rPr>
                              <w:t> </w:t>
                            </w:r>
                            <w:r>
                              <w:rPr/>
                              <w:t>realizó</w:t>
                            </w:r>
                            <w:r>
                              <w:rPr>
                                <w:spacing w:val="-3"/>
                              </w:rPr>
                              <w:t> </w:t>
                            </w:r>
                            <w:r>
                              <w:rPr/>
                              <w:t>la</w:t>
                            </w:r>
                            <w:r>
                              <w:rPr>
                                <w:spacing w:val="-5"/>
                              </w:rPr>
                              <w:t> </w:t>
                            </w:r>
                            <w:r>
                              <w:rPr/>
                              <w:t>evaluación</w:t>
                            </w:r>
                            <w:r>
                              <w:rPr>
                                <w:spacing w:val="-4"/>
                              </w:rPr>
                              <w:t> </w:t>
                            </w:r>
                            <w:r>
                              <w:rPr/>
                              <w:t>periódica</w:t>
                            </w:r>
                            <w:r>
                              <w:rPr>
                                <w:spacing w:val="-6"/>
                              </w:rPr>
                              <w:t> </w:t>
                            </w:r>
                            <w:r>
                              <w:rPr/>
                              <w:t>de</w:t>
                            </w:r>
                            <w:r>
                              <w:rPr>
                                <w:spacing w:val="-5"/>
                              </w:rPr>
                              <w:t> </w:t>
                            </w:r>
                            <w:r>
                              <w:rPr/>
                              <w:t>sus</w:t>
                            </w:r>
                            <w:r>
                              <w:rPr>
                                <w:spacing w:val="-4"/>
                              </w:rPr>
                              <w:t> </w:t>
                            </w:r>
                            <w:r>
                              <w:rPr/>
                              <w:t>activos,</w:t>
                            </w:r>
                            <w:r>
                              <w:rPr>
                                <w:spacing w:val="-4"/>
                              </w:rPr>
                              <w:t> </w:t>
                            </w:r>
                            <w:r>
                              <w:rPr/>
                              <w:t>concluyendo</w:t>
                            </w:r>
                            <w:r>
                              <w:rPr>
                                <w:spacing w:val="-3"/>
                              </w:rPr>
                              <w:t> </w:t>
                            </w:r>
                            <w:r>
                              <w:rPr>
                                <w:spacing w:val="-4"/>
                              </w:rPr>
                              <w:t>que:</w:t>
                            </w:r>
                          </w:p>
                          <w:p>
                            <w:pPr>
                              <w:pStyle w:val="BodyText"/>
                              <w:spacing w:before="76"/>
                            </w:pPr>
                          </w:p>
                          <w:p>
                            <w:pPr>
                              <w:pStyle w:val="BodyText"/>
                              <w:numPr>
                                <w:ilvl w:val="0"/>
                                <w:numId w:val="47"/>
                              </w:numPr>
                              <w:tabs>
                                <w:tab w:pos="823" w:val="left" w:leader="none"/>
                              </w:tabs>
                              <w:spacing w:line="273" w:lineRule="auto" w:before="0" w:after="0"/>
                              <w:ind w:left="823" w:right="107" w:hanging="360"/>
                              <w:jc w:val="left"/>
                            </w:pPr>
                            <w:r>
                              <w:rPr/>
                              <w:t>No se registraron pérdidas por deterioro o desvalorización de bienes en períodos anteriores que requieran reversión.</w:t>
                            </w:r>
                          </w:p>
                          <w:p>
                            <w:pPr>
                              <w:pStyle w:val="BodyText"/>
                              <w:numPr>
                                <w:ilvl w:val="0"/>
                                <w:numId w:val="47"/>
                              </w:numPr>
                              <w:tabs>
                                <w:tab w:pos="823" w:val="left" w:leader="none"/>
                              </w:tabs>
                              <w:spacing w:line="276" w:lineRule="auto" w:before="4" w:after="0"/>
                              <w:ind w:left="823" w:right="102" w:hanging="360"/>
                              <w:jc w:val="left"/>
                            </w:pPr>
                            <w:r>
                              <w:rPr/>
                              <w:t>No se</w:t>
                            </w:r>
                            <w:r>
                              <w:rPr>
                                <w:spacing w:val="-4"/>
                              </w:rPr>
                              <w:t> </w:t>
                            </w:r>
                            <w:r>
                              <w:rPr/>
                              <w:t>identificaron</w:t>
                            </w:r>
                            <w:r>
                              <w:rPr>
                                <w:spacing w:val="-3"/>
                              </w:rPr>
                              <w:t> </w:t>
                            </w:r>
                            <w:r>
                              <w:rPr/>
                              <w:t>eventos</w:t>
                            </w:r>
                            <w:r>
                              <w:rPr>
                                <w:spacing w:val="-2"/>
                              </w:rPr>
                              <w:t> </w:t>
                            </w:r>
                            <w:r>
                              <w:rPr/>
                              <w:t>o cambios</w:t>
                            </w:r>
                            <w:r>
                              <w:rPr>
                                <w:spacing w:val="-2"/>
                              </w:rPr>
                              <w:t> </w:t>
                            </w:r>
                            <w:r>
                              <w:rPr/>
                              <w:t>en</w:t>
                            </w:r>
                            <w:r>
                              <w:rPr>
                                <w:spacing w:val="-1"/>
                              </w:rPr>
                              <w:t> </w:t>
                            </w:r>
                            <w:r>
                              <w:rPr/>
                              <w:t>las condiciones de</w:t>
                            </w:r>
                            <w:r>
                              <w:rPr>
                                <w:spacing w:val="-3"/>
                              </w:rPr>
                              <w:t> </w:t>
                            </w:r>
                            <w:r>
                              <w:rPr/>
                              <w:t>uso,</w:t>
                            </w:r>
                            <w:r>
                              <w:rPr>
                                <w:spacing w:val="-3"/>
                              </w:rPr>
                              <w:t> </w:t>
                            </w:r>
                            <w:r>
                              <w:rPr/>
                              <w:t>estado</w:t>
                            </w:r>
                            <w:r>
                              <w:rPr>
                                <w:spacing w:val="-3"/>
                              </w:rPr>
                              <w:t> </w:t>
                            </w:r>
                            <w:r>
                              <w:rPr/>
                              <w:t>físico</w:t>
                            </w:r>
                            <w:r>
                              <w:rPr>
                                <w:spacing w:val="-3"/>
                              </w:rPr>
                              <w:t> </w:t>
                            </w:r>
                            <w:r>
                              <w:rPr/>
                              <w:t>o</w:t>
                            </w:r>
                            <w:r>
                              <w:rPr>
                                <w:spacing w:val="-3"/>
                              </w:rPr>
                              <w:t> </w:t>
                            </w:r>
                            <w:r>
                              <w:rPr/>
                              <w:t>potencial</w:t>
                            </w:r>
                            <w:r>
                              <w:rPr>
                                <w:spacing w:val="-2"/>
                              </w:rPr>
                              <w:t> </w:t>
                            </w:r>
                            <w:r>
                              <w:rPr/>
                              <w:t>de servicio que impliquen una recuperación del valor de activos previamente deteriorados.</w:t>
                            </w:r>
                          </w:p>
                          <w:p>
                            <w:pPr>
                              <w:pStyle w:val="BodyText"/>
                              <w:numPr>
                                <w:ilvl w:val="0"/>
                                <w:numId w:val="47"/>
                              </w:numPr>
                              <w:tabs>
                                <w:tab w:pos="823" w:val="left" w:leader="none"/>
                              </w:tabs>
                              <w:spacing w:line="273" w:lineRule="auto" w:before="2" w:after="0"/>
                              <w:ind w:left="823" w:right="106" w:hanging="360"/>
                              <w:jc w:val="left"/>
                            </w:pPr>
                            <w:r>
                              <w:rPr/>
                              <w:t>Los activos institucionales mantienen su capacidad de prestación de servicios conforme a su finalidad pública, sin evidencia de deterioro ni de recuperación posterior.</w:t>
                            </w:r>
                          </w:p>
                          <w:p>
                            <w:pPr>
                              <w:pStyle w:val="BodyText"/>
                              <w:spacing w:before="41"/>
                            </w:pPr>
                          </w:p>
                          <w:p>
                            <w:pPr>
                              <w:pStyle w:val="BodyText"/>
                              <w:ind w:left="103"/>
                            </w:pPr>
                            <w:r>
                              <w:rPr/>
                              <w:t>En</w:t>
                            </w:r>
                            <w:r>
                              <w:rPr>
                                <w:spacing w:val="-6"/>
                              </w:rPr>
                              <w:t> </w:t>
                            </w:r>
                            <w:r>
                              <w:rPr/>
                              <w:t>consecuencia,</w:t>
                            </w:r>
                            <w:r>
                              <w:rPr>
                                <w:spacing w:val="-4"/>
                              </w:rPr>
                              <w:t> </w:t>
                            </w:r>
                            <w:r>
                              <w:rPr/>
                              <w:t>no</w:t>
                            </w:r>
                            <w:r>
                              <w:rPr>
                                <w:spacing w:val="-3"/>
                              </w:rPr>
                              <w:t> </w:t>
                            </w:r>
                            <w:r>
                              <w:rPr/>
                              <w:t>se</w:t>
                            </w:r>
                            <w:r>
                              <w:rPr>
                                <w:spacing w:val="-5"/>
                              </w:rPr>
                              <w:t> </w:t>
                            </w:r>
                            <w:r>
                              <w:rPr/>
                              <w:t>realizaron</w:t>
                            </w:r>
                            <w:r>
                              <w:rPr>
                                <w:spacing w:val="-4"/>
                              </w:rPr>
                              <w:t> </w:t>
                            </w:r>
                            <w:r>
                              <w:rPr/>
                              <w:t>registros</w:t>
                            </w:r>
                            <w:r>
                              <w:rPr>
                                <w:spacing w:val="-3"/>
                              </w:rPr>
                              <w:t> </w:t>
                            </w:r>
                            <w:r>
                              <w:rPr/>
                              <w:t>contables</w:t>
                            </w:r>
                            <w:r>
                              <w:rPr>
                                <w:spacing w:val="-2"/>
                              </w:rPr>
                              <w:t> </w:t>
                            </w:r>
                            <w:r>
                              <w:rPr/>
                              <w:t>en</w:t>
                            </w:r>
                            <w:r>
                              <w:rPr>
                                <w:spacing w:val="-6"/>
                              </w:rPr>
                              <w:t> </w:t>
                            </w:r>
                            <w:r>
                              <w:rPr/>
                              <w:t>esta</w:t>
                            </w:r>
                            <w:r>
                              <w:rPr>
                                <w:spacing w:val="-4"/>
                              </w:rPr>
                              <w:t> </w:t>
                            </w:r>
                            <w:r>
                              <w:rPr/>
                              <w:t>cuenta</w:t>
                            </w:r>
                            <w:r>
                              <w:rPr>
                                <w:spacing w:val="-4"/>
                              </w:rPr>
                              <w:t> </w:t>
                            </w:r>
                            <w:r>
                              <w:rPr/>
                              <w:t>durante</w:t>
                            </w:r>
                            <w:r>
                              <w:rPr>
                                <w:spacing w:val="-4"/>
                              </w:rPr>
                              <w:t> </w:t>
                            </w:r>
                            <w:r>
                              <w:rPr/>
                              <w:t>el</w:t>
                            </w:r>
                            <w:r>
                              <w:rPr>
                                <w:spacing w:val="-3"/>
                              </w:rPr>
                              <w:t> </w:t>
                            </w:r>
                            <w:r>
                              <w:rPr>
                                <w:spacing w:val="-2"/>
                              </w:rPr>
                              <w:t>período.</w:t>
                            </w:r>
                          </w:p>
                        </w:txbxContent>
                      </wps:txbx>
                      <wps:bodyPr wrap="square" lIns="0" tIns="0" rIns="0" bIns="0" rtlCol="0">
                        <a:noAutofit/>
                      </wps:bodyPr>
                    </wps:wsp>
                  </a:graphicData>
                </a:graphic>
              </wp:anchor>
            </w:drawing>
          </mc:Choice>
          <mc:Fallback>
            <w:pict>
              <v:shape style="position:absolute;margin-left:85.103996pt;margin-top:9.266255pt;width:450pt;height:304.4pt;mso-position-horizontal-relative:page;mso-position-vertical-relative:paragraph;z-index:-15612928;mso-wrap-distance-left:0;mso-wrap-distance-right:0" type="#_x0000_t202" id="docshape56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Esta</w:t>
                      </w:r>
                      <w:r>
                        <w:rPr>
                          <w:spacing w:val="-3"/>
                        </w:rPr>
                        <w:t> </w:t>
                      </w:r>
                      <w:r>
                        <w:rPr/>
                        <w:t>cuenta</w:t>
                      </w:r>
                      <w:r>
                        <w:rPr>
                          <w:spacing w:val="-3"/>
                        </w:rPr>
                        <w:t> </w:t>
                      </w:r>
                      <w:r>
                        <w:rPr/>
                        <w:t>está</w:t>
                      </w:r>
                      <w:r>
                        <w:rPr>
                          <w:spacing w:val="-3"/>
                        </w:rPr>
                        <w:t> </w:t>
                      </w:r>
                      <w:r>
                        <w:rPr/>
                        <w:t>destinada</w:t>
                      </w:r>
                      <w:r>
                        <w:rPr>
                          <w:spacing w:val="-4"/>
                        </w:rPr>
                        <w:t> </w:t>
                      </w:r>
                      <w:r>
                        <w:rPr/>
                        <w:t>a</w:t>
                      </w:r>
                      <w:r>
                        <w:rPr>
                          <w:spacing w:val="-4"/>
                        </w:rPr>
                        <w:t> </w:t>
                      </w:r>
                      <w:r>
                        <w:rPr/>
                        <w:t>registrar</w:t>
                      </w:r>
                      <w:r>
                        <w:rPr>
                          <w:spacing w:val="-3"/>
                        </w:rPr>
                        <w:t> </w:t>
                      </w:r>
                      <w:r>
                        <w:rPr/>
                        <w:t>la</w:t>
                      </w:r>
                      <w:r>
                        <w:rPr>
                          <w:spacing w:val="-4"/>
                        </w:rPr>
                        <w:t> </w:t>
                      </w:r>
                      <w:r>
                        <w:rPr/>
                        <w:t>reversión</w:t>
                      </w:r>
                      <w:r>
                        <w:rPr>
                          <w:spacing w:val="-5"/>
                        </w:rPr>
                        <w:t> </w:t>
                      </w:r>
                      <w:r>
                        <w:rPr/>
                        <w:t>de</w:t>
                      </w:r>
                      <w:r>
                        <w:rPr>
                          <w:spacing w:val="-5"/>
                        </w:rPr>
                        <w:t> </w:t>
                      </w:r>
                      <w:r>
                        <w:rPr/>
                        <w:t>pérdidas</w:t>
                      </w:r>
                      <w:r>
                        <w:rPr>
                          <w:spacing w:val="-2"/>
                        </w:rPr>
                        <w:t> </w:t>
                      </w:r>
                      <w:r>
                        <w:rPr/>
                        <w:t>por</w:t>
                      </w:r>
                      <w:r>
                        <w:rPr>
                          <w:spacing w:val="-3"/>
                        </w:rPr>
                        <w:t> </w:t>
                      </w:r>
                      <w:r>
                        <w:rPr/>
                        <w:t>deterioro</w:t>
                      </w:r>
                      <w:r>
                        <w:rPr>
                          <w:spacing w:val="-3"/>
                        </w:rPr>
                        <w:t> </w:t>
                      </w:r>
                      <w:r>
                        <w:rPr/>
                        <w:t>previamente</w:t>
                      </w:r>
                      <w:r>
                        <w:rPr>
                          <w:spacing w:val="-3"/>
                        </w:rPr>
                        <w:t> </w:t>
                      </w:r>
                      <w:r>
                        <w:rPr/>
                        <w:t>reconocidas, cuando existen evidencias objetivas de que el importe recuperable o el potencial de servicio de un activo ha aumentado respecto de períodos anteriores.</w:t>
                      </w:r>
                    </w:p>
                    <w:p>
                      <w:pPr>
                        <w:pStyle w:val="BodyText"/>
                        <w:spacing w:before="38"/>
                      </w:pPr>
                    </w:p>
                    <w:p>
                      <w:pPr>
                        <w:pStyle w:val="BodyText"/>
                        <w:spacing w:line="276" w:lineRule="auto"/>
                        <w:ind w:left="103" w:right="103"/>
                        <w:jc w:val="both"/>
                      </w:pPr>
                      <w:r>
                        <w:rPr/>
                        <w:t>Dicha reversión</w:t>
                      </w:r>
                      <w:r>
                        <w:rPr>
                          <w:spacing w:val="-1"/>
                        </w:rPr>
                        <w:t> </w:t>
                      </w:r>
                      <w:r>
                        <w:rPr/>
                        <w:t>solo</w:t>
                      </w:r>
                      <w:r>
                        <w:rPr>
                          <w:spacing w:val="-1"/>
                        </w:rPr>
                        <w:t> </w:t>
                      </w:r>
                      <w:r>
                        <w:rPr/>
                        <w:t>es procedente cuando, conforme</w:t>
                      </w:r>
                      <w:r>
                        <w:rPr>
                          <w:spacing w:val="-2"/>
                        </w:rPr>
                        <w:t> </w:t>
                      </w:r>
                      <w:r>
                        <w:rPr/>
                        <w:t>a las Normas Internacionales de</w:t>
                      </w:r>
                      <w:r>
                        <w:rPr>
                          <w:spacing w:val="-3"/>
                        </w:rPr>
                        <w:t> </w:t>
                      </w:r>
                      <w:r>
                        <w:rPr/>
                        <w:t>Contabilidad del Sector Público, se ha reconocido previamente una pérdida por deterioro y posteriormente se verifican condiciones que justifican su reversión.</w:t>
                      </w:r>
                    </w:p>
                    <w:p>
                      <w:pPr>
                        <w:pStyle w:val="BodyText"/>
                        <w:spacing w:before="38"/>
                      </w:pPr>
                    </w:p>
                    <w:p>
                      <w:pPr>
                        <w:pStyle w:val="BodyText"/>
                        <w:ind w:left="103"/>
                      </w:pPr>
                      <w:r>
                        <w:rPr/>
                        <w:t>Durante</w:t>
                      </w:r>
                      <w:r>
                        <w:rPr>
                          <w:spacing w:val="-6"/>
                        </w:rPr>
                        <w:t> </w:t>
                      </w:r>
                      <w:r>
                        <w:rPr/>
                        <w:t>el</w:t>
                      </w:r>
                      <w:r>
                        <w:rPr>
                          <w:spacing w:val="-4"/>
                        </w:rPr>
                        <w:t> </w:t>
                      </w:r>
                      <w:r>
                        <w:rPr/>
                        <w:t>período</w:t>
                      </w:r>
                      <w:r>
                        <w:rPr>
                          <w:spacing w:val="-4"/>
                        </w:rPr>
                        <w:t> </w:t>
                      </w:r>
                      <w:r>
                        <w:rPr/>
                        <w:t>2026,</w:t>
                      </w:r>
                      <w:r>
                        <w:rPr>
                          <w:spacing w:val="-3"/>
                        </w:rPr>
                        <w:t> </w:t>
                      </w:r>
                      <w:r>
                        <w:rPr/>
                        <w:t>el</w:t>
                      </w:r>
                      <w:r>
                        <w:rPr>
                          <w:spacing w:val="-4"/>
                        </w:rPr>
                        <w:t> </w:t>
                      </w:r>
                      <w:r>
                        <w:rPr/>
                        <w:t>IMAS</w:t>
                      </w:r>
                      <w:r>
                        <w:rPr>
                          <w:spacing w:val="-5"/>
                        </w:rPr>
                        <w:t> </w:t>
                      </w:r>
                      <w:r>
                        <w:rPr/>
                        <w:t>realizó</w:t>
                      </w:r>
                      <w:r>
                        <w:rPr>
                          <w:spacing w:val="-3"/>
                        </w:rPr>
                        <w:t> </w:t>
                      </w:r>
                      <w:r>
                        <w:rPr/>
                        <w:t>la</w:t>
                      </w:r>
                      <w:r>
                        <w:rPr>
                          <w:spacing w:val="-5"/>
                        </w:rPr>
                        <w:t> </w:t>
                      </w:r>
                      <w:r>
                        <w:rPr/>
                        <w:t>evaluación</w:t>
                      </w:r>
                      <w:r>
                        <w:rPr>
                          <w:spacing w:val="-4"/>
                        </w:rPr>
                        <w:t> </w:t>
                      </w:r>
                      <w:r>
                        <w:rPr/>
                        <w:t>periódica</w:t>
                      </w:r>
                      <w:r>
                        <w:rPr>
                          <w:spacing w:val="-6"/>
                        </w:rPr>
                        <w:t> </w:t>
                      </w:r>
                      <w:r>
                        <w:rPr/>
                        <w:t>de</w:t>
                      </w:r>
                      <w:r>
                        <w:rPr>
                          <w:spacing w:val="-5"/>
                        </w:rPr>
                        <w:t> </w:t>
                      </w:r>
                      <w:r>
                        <w:rPr/>
                        <w:t>sus</w:t>
                      </w:r>
                      <w:r>
                        <w:rPr>
                          <w:spacing w:val="-4"/>
                        </w:rPr>
                        <w:t> </w:t>
                      </w:r>
                      <w:r>
                        <w:rPr/>
                        <w:t>activos,</w:t>
                      </w:r>
                      <w:r>
                        <w:rPr>
                          <w:spacing w:val="-4"/>
                        </w:rPr>
                        <w:t> </w:t>
                      </w:r>
                      <w:r>
                        <w:rPr/>
                        <w:t>concluyendo</w:t>
                      </w:r>
                      <w:r>
                        <w:rPr>
                          <w:spacing w:val="-3"/>
                        </w:rPr>
                        <w:t> </w:t>
                      </w:r>
                      <w:r>
                        <w:rPr>
                          <w:spacing w:val="-4"/>
                        </w:rPr>
                        <w:t>que:</w:t>
                      </w:r>
                    </w:p>
                    <w:p>
                      <w:pPr>
                        <w:pStyle w:val="BodyText"/>
                        <w:spacing w:before="76"/>
                      </w:pPr>
                    </w:p>
                    <w:p>
                      <w:pPr>
                        <w:pStyle w:val="BodyText"/>
                        <w:numPr>
                          <w:ilvl w:val="0"/>
                          <w:numId w:val="47"/>
                        </w:numPr>
                        <w:tabs>
                          <w:tab w:pos="823" w:val="left" w:leader="none"/>
                        </w:tabs>
                        <w:spacing w:line="273" w:lineRule="auto" w:before="0" w:after="0"/>
                        <w:ind w:left="823" w:right="107" w:hanging="360"/>
                        <w:jc w:val="left"/>
                      </w:pPr>
                      <w:r>
                        <w:rPr/>
                        <w:t>No se registraron pérdidas por deterioro o desvalorización de bienes en períodos anteriores que requieran reversión.</w:t>
                      </w:r>
                    </w:p>
                    <w:p>
                      <w:pPr>
                        <w:pStyle w:val="BodyText"/>
                        <w:numPr>
                          <w:ilvl w:val="0"/>
                          <w:numId w:val="47"/>
                        </w:numPr>
                        <w:tabs>
                          <w:tab w:pos="823" w:val="left" w:leader="none"/>
                        </w:tabs>
                        <w:spacing w:line="276" w:lineRule="auto" w:before="4" w:after="0"/>
                        <w:ind w:left="823" w:right="102" w:hanging="360"/>
                        <w:jc w:val="left"/>
                      </w:pPr>
                      <w:r>
                        <w:rPr/>
                        <w:t>No se</w:t>
                      </w:r>
                      <w:r>
                        <w:rPr>
                          <w:spacing w:val="-4"/>
                        </w:rPr>
                        <w:t> </w:t>
                      </w:r>
                      <w:r>
                        <w:rPr/>
                        <w:t>identificaron</w:t>
                      </w:r>
                      <w:r>
                        <w:rPr>
                          <w:spacing w:val="-3"/>
                        </w:rPr>
                        <w:t> </w:t>
                      </w:r>
                      <w:r>
                        <w:rPr/>
                        <w:t>eventos</w:t>
                      </w:r>
                      <w:r>
                        <w:rPr>
                          <w:spacing w:val="-2"/>
                        </w:rPr>
                        <w:t> </w:t>
                      </w:r>
                      <w:r>
                        <w:rPr/>
                        <w:t>o cambios</w:t>
                      </w:r>
                      <w:r>
                        <w:rPr>
                          <w:spacing w:val="-2"/>
                        </w:rPr>
                        <w:t> </w:t>
                      </w:r>
                      <w:r>
                        <w:rPr/>
                        <w:t>en</w:t>
                      </w:r>
                      <w:r>
                        <w:rPr>
                          <w:spacing w:val="-1"/>
                        </w:rPr>
                        <w:t> </w:t>
                      </w:r>
                      <w:r>
                        <w:rPr/>
                        <w:t>las condiciones de</w:t>
                      </w:r>
                      <w:r>
                        <w:rPr>
                          <w:spacing w:val="-3"/>
                        </w:rPr>
                        <w:t> </w:t>
                      </w:r>
                      <w:r>
                        <w:rPr/>
                        <w:t>uso,</w:t>
                      </w:r>
                      <w:r>
                        <w:rPr>
                          <w:spacing w:val="-3"/>
                        </w:rPr>
                        <w:t> </w:t>
                      </w:r>
                      <w:r>
                        <w:rPr/>
                        <w:t>estado</w:t>
                      </w:r>
                      <w:r>
                        <w:rPr>
                          <w:spacing w:val="-3"/>
                        </w:rPr>
                        <w:t> </w:t>
                      </w:r>
                      <w:r>
                        <w:rPr/>
                        <w:t>físico</w:t>
                      </w:r>
                      <w:r>
                        <w:rPr>
                          <w:spacing w:val="-3"/>
                        </w:rPr>
                        <w:t> </w:t>
                      </w:r>
                      <w:r>
                        <w:rPr/>
                        <w:t>o</w:t>
                      </w:r>
                      <w:r>
                        <w:rPr>
                          <w:spacing w:val="-3"/>
                        </w:rPr>
                        <w:t> </w:t>
                      </w:r>
                      <w:r>
                        <w:rPr/>
                        <w:t>potencial</w:t>
                      </w:r>
                      <w:r>
                        <w:rPr>
                          <w:spacing w:val="-2"/>
                        </w:rPr>
                        <w:t> </w:t>
                      </w:r>
                      <w:r>
                        <w:rPr/>
                        <w:t>de servicio que impliquen una recuperación del valor de activos previamente deteriorados.</w:t>
                      </w:r>
                    </w:p>
                    <w:p>
                      <w:pPr>
                        <w:pStyle w:val="BodyText"/>
                        <w:numPr>
                          <w:ilvl w:val="0"/>
                          <w:numId w:val="47"/>
                        </w:numPr>
                        <w:tabs>
                          <w:tab w:pos="823" w:val="left" w:leader="none"/>
                        </w:tabs>
                        <w:spacing w:line="273" w:lineRule="auto" w:before="2" w:after="0"/>
                        <w:ind w:left="823" w:right="106" w:hanging="360"/>
                        <w:jc w:val="left"/>
                      </w:pPr>
                      <w:r>
                        <w:rPr/>
                        <w:t>Los activos institucionales mantienen su capacidad de prestación de servicios conforme a su finalidad pública, sin evidencia de deterioro ni de recuperación posterior.</w:t>
                      </w:r>
                    </w:p>
                    <w:p>
                      <w:pPr>
                        <w:pStyle w:val="BodyText"/>
                        <w:spacing w:before="41"/>
                      </w:pPr>
                    </w:p>
                    <w:p>
                      <w:pPr>
                        <w:pStyle w:val="BodyText"/>
                        <w:ind w:left="103"/>
                      </w:pPr>
                      <w:r>
                        <w:rPr/>
                        <w:t>En</w:t>
                      </w:r>
                      <w:r>
                        <w:rPr>
                          <w:spacing w:val="-6"/>
                        </w:rPr>
                        <w:t> </w:t>
                      </w:r>
                      <w:r>
                        <w:rPr/>
                        <w:t>consecuencia,</w:t>
                      </w:r>
                      <w:r>
                        <w:rPr>
                          <w:spacing w:val="-4"/>
                        </w:rPr>
                        <w:t> </w:t>
                      </w:r>
                      <w:r>
                        <w:rPr/>
                        <w:t>no</w:t>
                      </w:r>
                      <w:r>
                        <w:rPr>
                          <w:spacing w:val="-3"/>
                        </w:rPr>
                        <w:t> </w:t>
                      </w:r>
                      <w:r>
                        <w:rPr/>
                        <w:t>se</w:t>
                      </w:r>
                      <w:r>
                        <w:rPr>
                          <w:spacing w:val="-5"/>
                        </w:rPr>
                        <w:t> </w:t>
                      </w:r>
                      <w:r>
                        <w:rPr/>
                        <w:t>realizaron</w:t>
                      </w:r>
                      <w:r>
                        <w:rPr>
                          <w:spacing w:val="-4"/>
                        </w:rPr>
                        <w:t> </w:t>
                      </w:r>
                      <w:r>
                        <w:rPr/>
                        <w:t>registros</w:t>
                      </w:r>
                      <w:r>
                        <w:rPr>
                          <w:spacing w:val="-3"/>
                        </w:rPr>
                        <w:t> </w:t>
                      </w:r>
                      <w:r>
                        <w:rPr/>
                        <w:t>contables</w:t>
                      </w:r>
                      <w:r>
                        <w:rPr>
                          <w:spacing w:val="-2"/>
                        </w:rPr>
                        <w:t> </w:t>
                      </w:r>
                      <w:r>
                        <w:rPr/>
                        <w:t>en</w:t>
                      </w:r>
                      <w:r>
                        <w:rPr>
                          <w:spacing w:val="-6"/>
                        </w:rPr>
                        <w:t> </w:t>
                      </w:r>
                      <w:r>
                        <w:rPr/>
                        <w:t>esta</w:t>
                      </w:r>
                      <w:r>
                        <w:rPr>
                          <w:spacing w:val="-4"/>
                        </w:rPr>
                        <w:t> </w:t>
                      </w:r>
                      <w:r>
                        <w:rPr/>
                        <w:t>cuenta</w:t>
                      </w:r>
                      <w:r>
                        <w:rPr>
                          <w:spacing w:val="-4"/>
                        </w:rPr>
                        <w:t> </w:t>
                      </w:r>
                      <w:r>
                        <w:rPr/>
                        <w:t>durante</w:t>
                      </w:r>
                      <w:r>
                        <w:rPr>
                          <w:spacing w:val="-4"/>
                        </w:rPr>
                        <w:t> </w:t>
                      </w:r>
                      <w:r>
                        <w:rPr/>
                        <w:t>el</w:t>
                      </w:r>
                      <w:r>
                        <w:rPr>
                          <w:spacing w:val="-3"/>
                        </w:rPr>
                        <w:t> </w:t>
                      </w:r>
                      <w:r>
                        <w:rPr>
                          <w:spacing w:val="-2"/>
                        </w:rPr>
                        <w:t>período.</w:t>
                      </w:r>
                    </w:p>
                  </w:txbxContent>
                </v:textbox>
                <v:stroke dashstyle="solid"/>
                <w10:wrap type="topAndBottom"/>
              </v:shape>
            </w:pict>
          </mc:Fallback>
        </mc:AlternateContent>
      </w:r>
    </w:p>
    <w:p>
      <w:pPr>
        <w:pStyle w:val="BodyText"/>
        <w:spacing w:before="186"/>
        <w:rPr>
          <w:b/>
        </w:rPr>
      </w:pPr>
    </w:p>
    <w:p>
      <w:pPr>
        <w:spacing w:before="0"/>
        <w:ind w:left="622" w:right="0" w:firstLine="0"/>
        <w:jc w:val="left"/>
        <w:rPr>
          <w:b/>
          <w:sz w:val="22"/>
        </w:rPr>
      </w:pPr>
      <w:bookmarkStart w:name="_bookmark101" w:id="102"/>
      <w:bookmarkEnd w:id="102"/>
      <w:r>
        <w:rPr/>
      </w:r>
      <w:r>
        <w:rPr>
          <w:b/>
          <w:sz w:val="22"/>
        </w:rPr>
        <w:t>NOTA</w:t>
      </w:r>
      <w:r>
        <w:rPr>
          <w:b/>
          <w:spacing w:val="-1"/>
          <w:sz w:val="22"/>
        </w:rPr>
        <w:t> </w:t>
      </w:r>
      <w:r>
        <w:rPr>
          <w:b/>
          <w:sz w:val="22"/>
        </w:rPr>
        <w:t>N° </w:t>
      </w:r>
      <w:r>
        <w:rPr>
          <w:b/>
          <w:spacing w:val="-5"/>
          <w:sz w:val="22"/>
        </w:rPr>
        <w:t>55</w:t>
      </w:r>
    </w:p>
    <w:p>
      <w:pPr>
        <w:pStyle w:val="BodyText"/>
        <w:spacing w:before="115"/>
        <w:rPr>
          <w:b/>
        </w:rPr>
      </w:pPr>
    </w:p>
    <w:p>
      <w:pPr>
        <w:pStyle w:val="Heading6"/>
        <w:ind w:left="622"/>
      </w:pPr>
      <w:r>
        <w:rPr>
          <w:u w:val="single"/>
        </w:rPr>
        <w:t>Recuperación</w:t>
      </w:r>
      <w:r>
        <w:rPr>
          <w:spacing w:val="-4"/>
          <w:u w:val="single"/>
        </w:rPr>
        <w:t> </w:t>
      </w:r>
      <w:r>
        <w:rPr>
          <w:u w:val="single"/>
        </w:rPr>
        <w:t>de</w:t>
      </w:r>
      <w:r>
        <w:rPr>
          <w:spacing w:val="-4"/>
          <w:u w:val="single"/>
        </w:rPr>
        <w:t> </w:t>
      </w:r>
      <w:r>
        <w:rPr>
          <w:spacing w:val="-2"/>
          <w:u w:val="single"/>
        </w:rPr>
        <w:t>previsiones</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58"/>
        <w:gridCol w:w="2295"/>
        <w:gridCol w:w="708"/>
        <w:gridCol w:w="1802"/>
        <w:gridCol w:w="2105"/>
        <w:gridCol w:w="1169"/>
      </w:tblGrid>
      <w:tr>
        <w:trPr>
          <w:trHeight w:val="251" w:hRule="atLeast"/>
        </w:trPr>
        <w:tc>
          <w:tcPr>
            <w:tcW w:w="958" w:type="dxa"/>
            <w:vMerge w:val="restart"/>
            <w:shd w:val="clear" w:color="auto" w:fill="365F92"/>
          </w:tcPr>
          <w:p>
            <w:pPr>
              <w:pStyle w:val="TableParagraph"/>
              <w:spacing w:before="46"/>
              <w:ind w:left="69"/>
              <w:rPr>
                <w:sz w:val="22"/>
              </w:rPr>
            </w:pPr>
            <w:r>
              <w:rPr>
                <w:spacing w:val="-2"/>
                <w:sz w:val="22"/>
              </w:rPr>
              <w:t>Cuenta</w:t>
            </w:r>
          </w:p>
        </w:tc>
        <w:tc>
          <w:tcPr>
            <w:tcW w:w="2295" w:type="dxa"/>
            <w:vMerge w:val="restart"/>
            <w:shd w:val="clear" w:color="auto" w:fill="365F92"/>
          </w:tcPr>
          <w:p>
            <w:pPr>
              <w:pStyle w:val="TableParagraph"/>
              <w:spacing w:before="135"/>
              <w:ind w:left="616"/>
              <w:rPr>
                <w:sz w:val="22"/>
              </w:rPr>
            </w:pPr>
            <w:r>
              <w:rPr>
                <w:spacing w:val="-2"/>
                <w:sz w:val="22"/>
              </w:rPr>
              <w:t>Descripción</w:t>
            </w:r>
          </w:p>
        </w:tc>
        <w:tc>
          <w:tcPr>
            <w:tcW w:w="708" w:type="dxa"/>
            <w:vMerge w:val="restart"/>
            <w:shd w:val="clear" w:color="auto" w:fill="365F92"/>
          </w:tcPr>
          <w:p>
            <w:pPr>
              <w:pStyle w:val="TableParagraph"/>
              <w:spacing w:before="135"/>
              <w:ind w:left="135"/>
              <w:rPr>
                <w:sz w:val="22"/>
              </w:rPr>
            </w:pPr>
            <w:r>
              <w:rPr>
                <w:spacing w:val="-4"/>
                <w:sz w:val="22"/>
              </w:rPr>
              <w:t>Nota</w:t>
            </w:r>
          </w:p>
        </w:tc>
        <w:tc>
          <w:tcPr>
            <w:tcW w:w="1802" w:type="dxa"/>
            <w:vMerge w:val="restart"/>
            <w:shd w:val="clear" w:color="auto" w:fill="365F92"/>
          </w:tcPr>
          <w:p>
            <w:pPr>
              <w:pStyle w:val="TableParagraph"/>
              <w:spacing w:before="135"/>
              <w:ind w:left="268"/>
              <w:rPr>
                <w:sz w:val="22"/>
              </w:rPr>
            </w:pPr>
            <w:r>
              <w:rPr>
                <w:sz w:val="22"/>
              </w:rPr>
              <w:t>Periodo</w:t>
            </w:r>
            <w:r>
              <w:rPr>
                <w:spacing w:val="-5"/>
                <w:sz w:val="22"/>
              </w:rPr>
              <w:t> </w:t>
            </w:r>
            <w:r>
              <w:rPr>
                <w:spacing w:val="-2"/>
                <w:sz w:val="22"/>
              </w:rPr>
              <w:t>Actual</w:t>
            </w:r>
          </w:p>
        </w:tc>
        <w:tc>
          <w:tcPr>
            <w:tcW w:w="2105" w:type="dxa"/>
            <w:vMerge w:val="restart"/>
            <w:shd w:val="clear" w:color="auto" w:fill="365F92"/>
          </w:tcPr>
          <w:p>
            <w:pPr>
              <w:pStyle w:val="TableParagraph"/>
              <w:spacing w:before="135"/>
              <w:ind w:left="329"/>
              <w:rPr>
                <w:sz w:val="22"/>
              </w:rPr>
            </w:pPr>
            <w:r>
              <w:rPr>
                <w:sz w:val="22"/>
              </w:rPr>
              <w:t>Periodo</w:t>
            </w:r>
            <w:r>
              <w:rPr>
                <w:spacing w:val="-5"/>
                <w:sz w:val="22"/>
              </w:rPr>
              <w:t> </w:t>
            </w:r>
            <w:r>
              <w:rPr>
                <w:spacing w:val="-2"/>
                <w:sz w:val="22"/>
              </w:rPr>
              <w:t>Anterior</w:t>
            </w:r>
          </w:p>
        </w:tc>
        <w:tc>
          <w:tcPr>
            <w:tcW w:w="1169" w:type="dxa"/>
            <w:shd w:val="clear" w:color="auto" w:fill="365F92"/>
          </w:tcPr>
          <w:p>
            <w:pPr>
              <w:pStyle w:val="TableParagraph"/>
              <w:spacing w:line="231" w:lineRule="exact"/>
              <w:ind w:left="20"/>
              <w:jc w:val="center"/>
              <w:rPr>
                <w:sz w:val="22"/>
              </w:rPr>
            </w:pPr>
            <w:r>
              <w:rPr>
                <w:spacing w:val="-2"/>
                <w:sz w:val="22"/>
              </w:rPr>
              <w:t>Diferencia</w:t>
            </w:r>
          </w:p>
        </w:tc>
      </w:tr>
      <w:tr>
        <w:trPr>
          <w:trHeight w:val="251" w:hRule="atLeast"/>
        </w:trPr>
        <w:tc>
          <w:tcPr>
            <w:tcW w:w="958" w:type="dxa"/>
            <w:vMerge/>
            <w:tcBorders>
              <w:top w:val="nil"/>
            </w:tcBorders>
            <w:shd w:val="clear" w:color="auto" w:fill="365F92"/>
          </w:tcPr>
          <w:p>
            <w:pPr>
              <w:rPr>
                <w:sz w:val="2"/>
                <w:szCs w:val="2"/>
              </w:rPr>
            </w:pPr>
          </w:p>
        </w:tc>
        <w:tc>
          <w:tcPr>
            <w:tcW w:w="2295"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802" w:type="dxa"/>
            <w:vMerge/>
            <w:tcBorders>
              <w:top w:val="nil"/>
            </w:tcBorders>
            <w:shd w:val="clear" w:color="auto" w:fill="365F92"/>
          </w:tcPr>
          <w:p>
            <w:pPr>
              <w:rPr>
                <w:sz w:val="2"/>
                <w:szCs w:val="2"/>
              </w:rPr>
            </w:pPr>
          </w:p>
        </w:tc>
        <w:tc>
          <w:tcPr>
            <w:tcW w:w="2105" w:type="dxa"/>
            <w:vMerge/>
            <w:tcBorders>
              <w:top w:val="nil"/>
            </w:tcBorders>
            <w:shd w:val="clear" w:color="auto" w:fill="365F92"/>
          </w:tcPr>
          <w:p>
            <w:pPr>
              <w:rPr>
                <w:sz w:val="2"/>
                <w:szCs w:val="2"/>
              </w:rPr>
            </w:pPr>
          </w:p>
        </w:tc>
        <w:tc>
          <w:tcPr>
            <w:tcW w:w="1169" w:type="dxa"/>
            <w:shd w:val="clear" w:color="auto" w:fill="365F92"/>
          </w:tcPr>
          <w:p>
            <w:pPr>
              <w:pStyle w:val="TableParagraph"/>
              <w:spacing w:line="231" w:lineRule="exact"/>
              <w:ind w:left="20" w:right="2"/>
              <w:jc w:val="center"/>
              <w:rPr>
                <w:sz w:val="22"/>
              </w:rPr>
            </w:pPr>
            <w:r>
              <w:rPr>
                <w:spacing w:val="-10"/>
                <w:sz w:val="22"/>
              </w:rPr>
              <w:t>%</w:t>
            </w:r>
          </w:p>
        </w:tc>
      </w:tr>
      <w:tr>
        <w:trPr>
          <w:trHeight w:val="457" w:hRule="atLeast"/>
        </w:trPr>
        <w:tc>
          <w:tcPr>
            <w:tcW w:w="958" w:type="dxa"/>
          </w:tcPr>
          <w:p>
            <w:pPr>
              <w:pStyle w:val="TableParagraph"/>
              <w:spacing w:before="113"/>
              <w:ind w:left="69"/>
              <w:rPr>
                <w:b/>
                <w:sz w:val="20"/>
              </w:rPr>
            </w:pPr>
            <w:r>
              <w:rPr>
                <w:b/>
                <w:spacing w:val="-2"/>
                <w:sz w:val="20"/>
              </w:rPr>
              <w:t>4.9.4.</w:t>
            </w:r>
          </w:p>
        </w:tc>
        <w:tc>
          <w:tcPr>
            <w:tcW w:w="2295" w:type="dxa"/>
          </w:tcPr>
          <w:p>
            <w:pPr>
              <w:pStyle w:val="TableParagraph"/>
              <w:tabs>
                <w:tab w:pos="2026" w:val="left" w:leader="none"/>
              </w:tabs>
              <w:spacing w:line="227" w:lineRule="exact"/>
              <w:ind w:left="68"/>
              <w:rPr>
                <w:b/>
                <w:sz w:val="20"/>
              </w:rPr>
            </w:pPr>
            <w:r>
              <w:rPr>
                <w:b/>
                <w:spacing w:val="-2"/>
                <w:sz w:val="20"/>
              </w:rPr>
              <w:t>Recuperación</w:t>
            </w:r>
            <w:r>
              <w:rPr>
                <w:b/>
                <w:sz w:val="20"/>
              </w:rPr>
              <w:tab/>
            </w:r>
            <w:r>
              <w:rPr>
                <w:b/>
                <w:spacing w:val="-5"/>
                <w:sz w:val="20"/>
              </w:rPr>
              <w:t>de</w:t>
            </w:r>
          </w:p>
          <w:p>
            <w:pPr>
              <w:pStyle w:val="TableParagraph"/>
              <w:spacing w:line="211" w:lineRule="exact"/>
              <w:ind w:left="68"/>
              <w:rPr>
                <w:b/>
                <w:sz w:val="20"/>
              </w:rPr>
            </w:pPr>
            <w:r>
              <w:rPr>
                <w:b/>
                <w:spacing w:val="-2"/>
                <w:sz w:val="20"/>
              </w:rPr>
              <w:t>previsiones</w:t>
            </w:r>
          </w:p>
        </w:tc>
        <w:tc>
          <w:tcPr>
            <w:tcW w:w="708" w:type="dxa"/>
          </w:tcPr>
          <w:p>
            <w:pPr>
              <w:pStyle w:val="TableParagraph"/>
              <w:spacing w:before="103"/>
              <w:ind w:left="243"/>
              <w:rPr>
                <w:b/>
                <w:sz w:val="22"/>
              </w:rPr>
            </w:pPr>
            <w:r>
              <w:rPr>
                <w:b/>
                <w:spacing w:val="-5"/>
                <w:sz w:val="22"/>
              </w:rPr>
              <w:t>55</w:t>
            </w:r>
          </w:p>
        </w:tc>
        <w:tc>
          <w:tcPr>
            <w:tcW w:w="1802" w:type="dxa"/>
          </w:tcPr>
          <w:p>
            <w:pPr>
              <w:pStyle w:val="TableParagraph"/>
              <w:spacing w:before="113"/>
              <w:ind w:left="457"/>
              <w:rPr>
                <w:b/>
                <w:sz w:val="20"/>
              </w:rPr>
            </w:pPr>
            <w:r>
              <w:rPr>
                <w:b/>
                <w:sz w:val="20"/>
              </w:rPr>
              <w:t>257</w:t>
            </w:r>
            <w:r>
              <w:rPr>
                <w:b/>
                <w:spacing w:val="-3"/>
                <w:sz w:val="20"/>
              </w:rPr>
              <w:t> </w:t>
            </w:r>
            <w:r>
              <w:rPr>
                <w:b/>
                <w:spacing w:val="-2"/>
                <w:sz w:val="20"/>
              </w:rPr>
              <w:t>162,12</w:t>
            </w:r>
          </w:p>
        </w:tc>
        <w:tc>
          <w:tcPr>
            <w:tcW w:w="2105" w:type="dxa"/>
          </w:tcPr>
          <w:p>
            <w:pPr>
              <w:pStyle w:val="TableParagraph"/>
              <w:spacing w:before="113"/>
              <w:ind w:left="610"/>
              <w:rPr>
                <w:b/>
                <w:sz w:val="20"/>
              </w:rPr>
            </w:pPr>
            <w:r>
              <w:rPr>
                <w:b/>
                <w:sz w:val="20"/>
              </w:rPr>
              <w:t>179</w:t>
            </w:r>
            <w:r>
              <w:rPr>
                <w:b/>
                <w:spacing w:val="-3"/>
                <w:sz w:val="20"/>
              </w:rPr>
              <w:t> </w:t>
            </w:r>
            <w:r>
              <w:rPr>
                <w:b/>
                <w:spacing w:val="-2"/>
                <w:sz w:val="20"/>
              </w:rPr>
              <w:t>662,84</w:t>
            </w:r>
          </w:p>
        </w:tc>
        <w:tc>
          <w:tcPr>
            <w:tcW w:w="1169" w:type="dxa"/>
          </w:tcPr>
          <w:p>
            <w:pPr>
              <w:pStyle w:val="TableParagraph"/>
              <w:spacing w:before="113"/>
              <w:ind w:left="20" w:right="1"/>
              <w:jc w:val="center"/>
              <w:rPr>
                <w:b/>
                <w:sz w:val="20"/>
              </w:rPr>
            </w:pPr>
            <w:r>
              <w:rPr>
                <w:b/>
                <w:spacing w:val="-2"/>
                <w:sz w:val="20"/>
              </w:rPr>
              <w:t>43,14%</w:t>
            </w:r>
          </w:p>
        </w:tc>
      </w:tr>
    </w:tbl>
    <w:p>
      <w:pPr>
        <w:spacing w:before="241"/>
        <w:ind w:left="622" w:right="0" w:firstLine="0"/>
        <w:jc w:val="left"/>
        <w:rPr>
          <w:b/>
          <w:sz w:val="22"/>
        </w:rPr>
      </w:pPr>
      <w:r>
        <w:rPr>
          <w:b/>
          <w:spacing w:val="-2"/>
          <w:sz w:val="22"/>
        </w:rPr>
        <w:t>Revelación:</w:t>
      </w:r>
    </w:p>
    <w:p>
      <w:pPr>
        <w:pStyle w:val="BodyText"/>
        <w:spacing w:before="179"/>
        <w:ind w:left="622" w:right="977"/>
        <w:jc w:val="both"/>
      </w:pPr>
      <w:r>
        <w:rPr/>
        <w:t>La cuenta Recuperación de previsiones, representa el 0,18% del total del Ingresos, que comparado al periodo anterior genera una variación absoluta de ¢ 77.499,28 que corresponde a un incremento de 43,14% de recursos disponibles.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1984">
                <wp:simplePos x="0" y="0"/>
                <wp:positionH relativeFrom="page">
                  <wp:posOffset>9525</wp:posOffset>
                </wp:positionH>
                <wp:positionV relativeFrom="page">
                  <wp:posOffset>297208</wp:posOffset>
                </wp:positionV>
                <wp:extent cx="7762875" cy="9748520"/>
                <wp:effectExtent l="0" t="0" r="0" b="0"/>
                <wp:wrapNone/>
                <wp:docPr id="585" name="Group 585"/>
                <wp:cNvGraphicFramePr>
                  <a:graphicFrameLocks/>
                </wp:cNvGraphicFramePr>
                <a:graphic>
                  <a:graphicData uri="http://schemas.microsoft.com/office/word/2010/wordprocessingGroup">
                    <wpg:wgp>
                      <wpg:cNvPr id="585" name="Group 585"/>
                      <wpg:cNvGrpSpPr/>
                      <wpg:grpSpPr>
                        <a:xfrm>
                          <a:off x="0" y="0"/>
                          <a:ext cx="7762875" cy="9748520"/>
                          <a:chExt cx="7762875" cy="9748520"/>
                        </a:xfrm>
                      </wpg:grpSpPr>
                      <pic:pic>
                        <pic:nvPicPr>
                          <pic:cNvPr id="586" name="Image 586"/>
                          <pic:cNvPicPr/>
                        </pic:nvPicPr>
                        <pic:blipFill>
                          <a:blip r:embed="rId5" cstate="print"/>
                          <a:stretch>
                            <a:fillRect/>
                          </a:stretch>
                        </pic:blipFill>
                        <pic:spPr>
                          <a:xfrm>
                            <a:off x="0" y="0"/>
                            <a:ext cx="7762874" cy="9748489"/>
                          </a:xfrm>
                          <a:prstGeom prst="rect">
                            <a:avLst/>
                          </a:prstGeom>
                        </pic:spPr>
                      </pic:pic>
                      <wps:wsp>
                        <wps:cNvPr id="587" name="Graphic 58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588" name="Image 588"/>
                          <pic:cNvPicPr/>
                        </pic:nvPicPr>
                        <pic:blipFill>
                          <a:blip r:embed="rId62" cstate="print"/>
                          <a:stretch>
                            <a:fillRect/>
                          </a:stretch>
                        </pic:blipFill>
                        <pic:spPr>
                          <a:xfrm>
                            <a:off x="1879599" y="5751039"/>
                            <a:ext cx="4093210" cy="1321308"/>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4496" id="docshapegroup563" coordorigin="15,468" coordsize="12225,15352">
                <v:shape style="position:absolute;left:15;top:468;width:12225;height:15352" type="#_x0000_t75" id="docshape564" stroked="false">
                  <v:imagedata r:id="rId5" o:title=""/>
                </v:shape>
                <v:rect style="position:absolute;left:1673;top:2028;width:8897;height:15" id="docshape565" filled="true" fillcolor="#000000" stroked="false">
                  <v:fill type="solid"/>
                </v:rect>
                <v:shape style="position:absolute;left:2975;top:9524;width:6446;height:2081" type="#_x0000_t75" id="docshape566" stroked="false">
                  <v:imagedata r:id="rId62" o:title=""/>
                </v:shape>
                <w10:wrap type="none"/>
              </v:group>
            </w:pict>
          </mc:Fallback>
        </mc:AlternateContent>
      </w:r>
      <w:r>
        <w:rPr>
          <w:color w:val="172951"/>
          <w:sz w:val="20"/>
        </w:rPr>
        <w:t>Pág.</w:t>
      </w:r>
      <w:r>
        <w:rPr>
          <w:color w:val="172951"/>
          <w:spacing w:val="-7"/>
          <w:sz w:val="20"/>
        </w:rPr>
        <w:t> </w:t>
      </w:r>
      <w:r>
        <w:rPr>
          <w:color w:val="172951"/>
          <w:spacing w:val="-5"/>
          <w:sz w:val="20"/>
        </w:rPr>
        <w:t>119</w:t>
      </w:r>
    </w:p>
    <w:p>
      <w:pPr>
        <w:pStyle w:val="BodyText"/>
        <w:spacing w:before="10"/>
        <w:rPr>
          <w:sz w:val="16"/>
        </w:rPr>
      </w:pPr>
      <w:r>
        <w:rPr>
          <w:sz w:val="16"/>
        </w:rPr>
        <mc:AlternateContent>
          <mc:Choice Requires="wps">
            <w:drawing>
              <wp:anchor distT="0" distB="0" distL="0" distR="0" allowOverlap="1" layoutInCell="1" locked="0" behindDoc="1" simplePos="0" relativeHeight="487704576">
                <wp:simplePos x="0" y="0"/>
                <wp:positionH relativeFrom="page">
                  <wp:posOffset>1080820</wp:posOffset>
                </wp:positionH>
                <wp:positionV relativeFrom="paragraph">
                  <wp:posOffset>141144</wp:posOffset>
                </wp:positionV>
                <wp:extent cx="5715000" cy="5981700"/>
                <wp:effectExtent l="0" t="0" r="0" b="0"/>
                <wp:wrapTopAndBottom/>
                <wp:docPr id="589" name="Textbox 589"/>
                <wp:cNvGraphicFramePr>
                  <a:graphicFrameLocks/>
                </wp:cNvGraphicFramePr>
                <a:graphic>
                  <a:graphicData uri="http://schemas.microsoft.com/office/word/2010/wordprocessingShape">
                    <wps:wsp>
                      <wps:cNvPr id="589" name="Textbox 589"/>
                      <wps:cNvSpPr txBox="1"/>
                      <wps:spPr>
                        <a:xfrm>
                          <a:off x="0" y="0"/>
                          <a:ext cx="5715000" cy="598170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1"/>
                              <w:jc w:val="both"/>
                            </w:pPr>
                            <w:r>
                              <w:rPr/>
                              <w:t>La</w:t>
                            </w:r>
                            <w:r>
                              <w:rPr>
                                <w:spacing w:val="-1"/>
                              </w:rPr>
                              <w:t> </w:t>
                            </w:r>
                            <w:r>
                              <w:rPr/>
                              <w:t>cuenta</w:t>
                            </w:r>
                            <w:r>
                              <w:rPr>
                                <w:spacing w:val="-2"/>
                              </w:rPr>
                              <w:t> </w:t>
                            </w:r>
                            <w:r>
                              <w:rPr/>
                              <w:t>Recuperación</w:t>
                            </w:r>
                            <w:r>
                              <w:rPr>
                                <w:spacing w:val="-2"/>
                              </w:rPr>
                              <w:t> </w:t>
                            </w:r>
                            <w:r>
                              <w:rPr/>
                              <w:t>de</w:t>
                            </w:r>
                            <w:r>
                              <w:rPr>
                                <w:spacing w:val="-1"/>
                              </w:rPr>
                              <w:t> </w:t>
                            </w:r>
                            <w:r>
                              <w:rPr/>
                              <w:t>previsiones,</w:t>
                            </w:r>
                            <w:r>
                              <w:rPr>
                                <w:spacing w:val="-2"/>
                              </w:rPr>
                              <w:t> </w:t>
                            </w:r>
                            <w:r>
                              <w:rPr/>
                              <w:t>representa</w:t>
                            </w:r>
                            <w:r>
                              <w:rPr>
                                <w:spacing w:val="-2"/>
                              </w:rPr>
                              <w:t> </w:t>
                            </w:r>
                            <w:r>
                              <w:rPr/>
                              <w:t>el</w:t>
                            </w:r>
                            <w:r>
                              <w:rPr>
                                <w:spacing w:val="-3"/>
                              </w:rPr>
                              <w:t> </w:t>
                            </w:r>
                            <w:r>
                              <w:rPr/>
                              <w:t>0,18% del</w:t>
                            </w:r>
                            <w:r>
                              <w:rPr>
                                <w:spacing w:val="-2"/>
                              </w:rPr>
                              <w:t> </w:t>
                            </w:r>
                            <w:r>
                              <w:rPr/>
                              <w:t>total</w:t>
                            </w:r>
                            <w:r>
                              <w:rPr>
                                <w:spacing w:val="-3"/>
                              </w:rPr>
                              <w:t> </w:t>
                            </w:r>
                            <w:r>
                              <w:rPr/>
                              <w:t>del</w:t>
                            </w:r>
                            <w:r>
                              <w:rPr>
                                <w:spacing w:val="-3"/>
                              </w:rPr>
                              <w:t> </w:t>
                            </w:r>
                            <w:r>
                              <w:rPr/>
                              <w:t>Ingresos,</w:t>
                            </w:r>
                            <w:r>
                              <w:rPr>
                                <w:spacing w:val="-2"/>
                              </w:rPr>
                              <w:t> </w:t>
                            </w:r>
                            <w:r>
                              <w:rPr/>
                              <w:t>que</w:t>
                            </w:r>
                            <w:r>
                              <w:rPr>
                                <w:spacing w:val="-1"/>
                              </w:rPr>
                              <w:t> </w:t>
                            </w:r>
                            <w:r>
                              <w:rPr/>
                              <w:t>comparado</w:t>
                            </w:r>
                            <w:r>
                              <w:rPr>
                                <w:spacing w:val="-2"/>
                              </w:rPr>
                              <w:t> </w:t>
                            </w:r>
                            <w:r>
                              <w:rPr/>
                              <w:t>al periodo anterior genera una variación absoluta de ¢ 77.499,28 que corresponde a un incremento de 43,14% de recursos disponibles.</w:t>
                            </w:r>
                          </w:p>
                          <w:p>
                            <w:pPr>
                              <w:pStyle w:val="BodyText"/>
                              <w:spacing w:before="40"/>
                            </w:pPr>
                          </w:p>
                          <w:p>
                            <w:pPr>
                              <w:pStyle w:val="BodyText"/>
                              <w:spacing w:line="276" w:lineRule="auto"/>
                              <w:ind w:left="103" w:right="104"/>
                              <w:jc w:val="both"/>
                            </w:pPr>
                            <w:r>
                              <w:rPr/>
                              <w:t>La cuenta se utiliza para registrar la reversión de previsiones reconocidas en períodos anteriores, cuando desaparecen total o parcialmente las causas que originaron su reconocimiento inicial, tales </w:t>
                            </w:r>
                            <w:r>
                              <w:rPr>
                                <w:spacing w:val="-4"/>
                              </w:rPr>
                              <w:t>como:</w:t>
                            </w:r>
                          </w:p>
                          <w:p>
                            <w:pPr>
                              <w:pStyle w:val="BodyText"/>
                              <w:numPr>
                                <w:ilvl w:val="0"/>
                                <w:numId w:val="48"/>
                              </w:numPr>
                              <w:tabs>
                                <w:tab w:pos="823" w:val="left" w:leader="none"/>
                              </w:tabs>
                              <w:spacing w:line="240" w:lineRule="auto" w:before="1" w:after="0"/>
                              <w:ind w:left="823" w:right="0" w:hanging="360"/>
                              <w:jc w:val="left"/>
                            </w:pPr>
                            <w:r>
                              <w:rPr/>
                              <w:t>Previsiones</w:t>
                            </w:r>
                            <w:r>
                              <w:rPr>
                                <w:spacing w:val="-4"/>
                              </w:rPr>
                              <w:t> </w:t>
                            </w:r>
                            <w:r>
                              <w:rPr/>
                              <w:t>por</w:t>
                            </w:r>
                            <w:r>
                              <w:rPr>
                                <w:spacing w:val="-5"/>
                              </w:rPr>
                              <w:t> </w:t>
                            </w:r>
                            <w:r>
                              <w:rPr/>
                              <w:t>deterioro</w:t>
                            </w:r>
                            <w:r>
                              <w:rPr>
                                <w:spacing w:val="-4"/>
                              </w:rPr>
                              <w:t> </w:t>
                            </w:r>
                            <w:r>
                              <w:rPr/>
                              <w:t>de</w:t>
                            </w:r>
                            <w:r>
                              <w:rPr>
                                <w:spacing w:val="-5"/>
                              </w:rPr>
                              <w:t> </w:t>
                            </w:r>
                            <w:r>
                              <w:rPr>
                                <w:spacing w:val="-2"/>
                              </w:rPr>
                              <w:t>activos.</w:t>
                            </w:r>
                          </w:p>
                          <w:p>
                            <w:pPr>
                              <w:pStyle w:val="BodyText"/>
                              <w:numPr>
                                <w:ilvl w:val="0"/>
                                <w:numId w:val="48"/>
                              </w:numPr>
                              <w:tabs>
                                <w:tab w:pos="823" w:val="left" w:leader="none"/>
                              </w:tabs>
                              <w:spacing w:line="240" w:lineRule="auto" w:before="37" w:after="0"/>
                              <w:ind w:left="823" w:right="0" w:hanging="360"/>
                              <w:jc w:val="left"/>
                            </w:pPr>
                            <w:r>
                              <w:rPr/>
                              <w:t>Previsiones</w:t>
                            </w:r>
                            <w:r>
                              <w:rPr>
                                <w:spacing w:val="-3"/>
                              </w:rPr>
                              <w:t> </w:t>
                            </w:r>
                            <w:r>
                              <w:rPr/>
                              <w:t>por</w:t>
                            </w:r>
                            <w:r>
                              <w:rPr>
                                <w:spacing w:val="-3"/>
                              </w:rPr>
                              <w:t> </w:t>
                            </w:r>
                            <w:r>
                              <w:rPr>
                                <w:spacing w:val="-2"/>
                              </w:rPr>
                              <w:t>incobrabilidad.</w:t>
                            </w:r>
                          </w:p>
                          <w:p>
                            <w:pPr>
                              <w:pStyle w:val="BodyText"/>
                              <w:numPr>
                                <w:ilvl w:val="0"/>
                                <w:numId w:val="48"/>
                              </w:numPr>
                              <w:tabs>
                                <w:tab w:pos="823" w:val="left" w:leader="none"/>
                              </w:tabs>
                              <w:spacing w:line="240" w:lineRule="auto" w:before="38" w:after="0"/>
                              <w:ind w:left="823" w:right="0" w:hanging="360"/>
                              <w:jc w:val="left"/>
                            </w:pPr>
                            <w:r>
                              <w:rPr/>
                              <w:t>Otras</w:t>
                            </w:r>
                            <w:r>
                              <w:rPr>
                                <w:spacing w:val="-8"/>
                              </w:rPr>
                              <w:t> </w:t>
                            </w:r>
                            <w:r>
                              <w:rPr/>
                              <w:t>previsiones</w:t>
                            </w:r>
                            <w:r>
                              <w:rPr>
                                <w:spacing w:val="-4"/>
                              </w:rPr>
                              <w:t> </w:t>
                            </w:r>
                            <w:r>
                              <w:rPr/>
                              <w:t>relacionadas</w:t>
                            </w:r>
                            <w:r>
                              <w:rPr>
                                <w:spacing w:val="-5"/>
                              </w:rPr>
                              <w:t> </w:t>
                            </w:r>
                            <w:r>
                              <w:rPr/>
                              <w:t>con</w:t>
                            </w:r>
                            <w:r>
                              <w:rPr>
                                <w:spacing w:val="-5"/>
                              </w:rPr>
                              <w:t> </w:t>
                            </w:r>
                            <w:r>
                              <w:rPr/>
                              <w:t>pérdidas</w:t>
                            </w:r>
                            <w:r>
                              <w:rPr>
                                <w:spacing w:val="-4"/>
                              </w:rPr>
                              <w:t> </w:t>
                            </w:r>
                            <w:r>
                              <w:rPr>
                                <w:spacing w:val="-2"/>
                              </w:rPr>
                              <w:t>estimadas.</w:t>
                            </w:r>
                          </w:p>
                          <w:p>
                            <w:pPr>
                              <w:pStyle w:val="BodyText"/>
                              <w:spacing w:before="76"/>
                            </w:pPr>
                          </w:p>
                          <w:p>
                            <w:pPr>
                              <w:pStyle w:val="BodyText"/>
                              <w:spacing w:line="276" w:lineRule="auto"/>
                              <w:ind w:left="103" w:right="117"/>
                              <w:jc w:val="both"/>
                            </w:pPr>
                            <w:r>
                              <w:rPr/>
                              <w:t>La</w:t>
                            </w:r>
                            <w:r>
                              <w:rPr>
                                <w:spacing w:val="-3"/>
                              </w:rPr>
                              <w:t> </w:t>
                            </w:r>
                            <w:r>
                              <w:rPr/>
                              <w:t>recuperación</w:t>
                            </w:r>
                            <w:r>
                              <w:rPr>
                                <w:spacing w:val="-2"/>
                              </w:rPr>
                              <w:t> </w:t>
                            </w:r>
                            <w:r>
                              <w:rPr/>
                              <w:t>se</w:t>
                            </w:r>
                            <w:r>
                              <w:rPr>
                                <w:spacing w:val="-3"/>
                              </w:rPr>
                              <w:t> </w:t>
                            </w:r>
                            <w:r>
                              <w:rPr/>
                              <w:t>reconoce</w:t>
                            </w:r>
                            <w:r>
                              <w:rPr>
                                <w:spacing w:val="-3"/>
                              </w:rPr>
                              <w:t> </w:t>
                            </w:r>
                            <w:r>
                              <w:rPr/>
                              <w:t>únicamente</w:t>
                            </w:r>
                            <w:r>
                              <w:rPr>
                                <w:spacing w:val="-2"/>
                              </w:rPr>
                              <w:t> </w:t>
                            </w:r>
                            <w:r>
                              <w:rPr/>
                              <w:t>cuando</w:t>
                            </w:r>
                            <w:r>
                              <w:rPr>
                                <w:spacing w:val="-2"/>
                              </w:rPr>
                              <w:t> </w:t>
                            </w:r>
                            <w:r>
                              <w:rPr/>
                              <w:t>existe</w:t>
                            </w:r>
                            <w:r>
                              <w:rPr>
                                <w:spacing w:val="-5"/>
                              </w:rPr>
                              <w:t> </w:t>
                            </w:r>
                            <w:r>
                              <w:rPr/>
                              <w:t>evidencia</w:t>
                            </w:r>
                            <w:r>
                              <w:rPr>
                                <w:spacing w:val="-3"/>
                              </w:rPr>
                              <w:t> </w:t>
                            </w:r>
                            <w:r>
                              <w:rPr/>
                              <w:t>objetiva</w:t>
                            </w:r>
                            <w:r>
                              <w:rPr>
                                <w:spacing w:val="-3"/>
                              </w:rPr>
                              <w:t> </w:t>
                            </w:r>
                            <w:r>
                              <w:rPr/>
                              <w:t>de</w:t>
                            </w:r>
                            <w:r>
                              <w:rPr>
                                <w:spacing w:val="-4"/>
                              </w:rPr>
                              <w:t> </w:t>
                            </w:r>
                            <w:r>
                              <w:rPr/>
                              <w:t>que</w:t>
                            </w:r>
                            <w:r>
                              <w:rPr>
                                <w:spacing w:val="-4"/>
                              </w:rPr>
                              <w:t> </w:t>
                            </w:r>
                            <w:r>
                              <w:rPr/>
                              <w:t>el</w:t>
                            </w:r>
                            <w:r>
                              <w:rPr>
                                <w:spacing w:val="-1"/>
                              </w:rPr>
                              <w:t> </w:t>
                            </w:r>
                            <w:r>
                              <w:rPr/>
                              <w:t>riesgo,</w:t>
                            </w:r>
                            <w:r>
                              <w:rPr>
                                <w:spacing w:val="-2"/>
                              </w:rPr>
                              <w:t> </w:t>
                            </w:r>
                            <w:r>
                              <w:rPr/>
                              <w:t>pérdida</w:t>
                            </w:r>
                            <w:r>
                              <w:rPr>
                                <w:spacing w:val="-3"/>
                              </w:rPr>
                              <w:t> </w:t>
                            </w:r>
                            <w:r>
                              <w:rPr/>
                              <w:t>o disminución de valor previamente estimado ya no subsiste.</w:t>
                            </w:r>
                          </w:p>
                          <w:p>
                            <w:pPr>
                              <w:pStyle w:val="BodyText"/>
                              <w:spacing w:before="36"/>
                            </w:pPr>
                          </w:p>
                          <w:p>
                            <w:pPr>
                              <w:pStyle w:val="BodyText"/>
                              <w:ind w:left="103"/>
                            </w:pPr>
                            <w:r>
                              <w:rPr/>
                              <w:t>En</w:t>
                            </w:r>
                            <w:r>
                              <w:rPr>
                                <w:spacing w:val="-5"/>
                              </w:rPr>
                              <w:t> </w:t>
                            </w:r>
                            <w:r>
                              <w:rPr/>
                              <w:t>julio</w:t>
                            </w:r>
                            <w:r>
                              <w:rPr>
                                <w:spacing w:val="-4"/>
                              </w:rPr>
                              <w:t> </w:t>
                            </w:r>
                            <w:r>
                              <w:rPr/>
                              <w:t>2026,</w:t>
                            </w:r>
                            <w:r>
                              <w:rPr>
                                <w:spacing w:val="-4"/>
                              </w:rPr>
                              <w:t> </w:t>
                            </w:r>
                            <w:r>
                              <w:rPr/>
                              <w:t>se</w:t>
                            </w:r>
                            <w:r>
                              <w:rPr>
                                <w:spacing w:val="-5"/>
                              </w:rPr>
                              <w:t> </w:t>
                            </w:r>
                            <w:r>
                              <w:rPr/>
                              <w:t>realizó</w:t>
                            </w:r>
                            <w:r>
                              <w:rPr>
                                <w:spacing w:val="-3"/>
                              </w:rPr>
                              <w:t> </w:t>
                            </w:r>
                            <w:r>
                              <w:rPr/>
                              <w:t>la</w:t>
                            </w:r>
                            <w:r>
                              <w:rPr>
                                <w:spacing w:val="-6"/>
                              </w:rPr>
                              <w:t> </w:t>
                            </w:r>
                            <w:r>
                              <w:rPr/>
                              <w:t>evaluación</w:t>
                            </w:r>
                            <w:r>
                              <w:rPr>
                                <w:spacing w:val="-4"/>
                              </w:rPr>
                              <w:t> </w:t>
                            </w:r>
                            <w:r>
                              <w:rPr/>
                              <w:t>de</w:t>
                            </w:r>
                            <w:r>
                              <w:rPr>
                                <w:spacing w:val="-6"/>
                              </w:rPr>
                              <w:t> </w:t>
                            </w:r>
                            <w:r>
                              <w:rPr/>
                              <w:t>las</w:t>
                            </w:r>
                            <w:r>
                              <w:rPr>
                                <w:spacing w:val="-3"/>
                              </w:rPr>
                              <w:t> </w:t>
                            </w:r>
                            <w:r>
                              <w:rPr/>
                              <w:t>previsiones</w:t>
                            </w:r>
                            <w:r>
                              <w:rPr>
                                <w:spacing w:val="-7"/>
                              </w:rPr>
                              <w:t> </w:t>
                            </w:r>
                            <w:r>
                              <w:rPr/>
                              <w:t>existentes,</w:t>
                            </w:r>
                            <w:r>
                              <w:rPr>
                                <w:spacing w:val="-4"/>
                              </w:rPr>
                              <w:t> </w:t>
                            </w:r>
                            <w:r>
                              <w:rPr/>
                              <w:t>concluyendo</w:t>
                            </w:r>
                            <w:r>
                              <w:rPr>
                                <w:spacing w:val="-4"/>
                              </w:rPr>
                              <w:t> que:</w:t>
                            </w:r>
                          </w:p>
                          <w:p>
                            <w:pPr>
                              <w:pStyle w:val="BodyText"/>
                              <w:numPr>
                                <w:ilvl w:val="0"/>
                                <w:numId w:val="48"/>
                              </w:numPr>
                              <w:tabs>
                                <w:tab w:pos="823" w:val="left" w:leader="none"/>
                              </w:tabs>
                              <w:spacing w:line="276" w:lineRule="auto" w:before="37" w:after="0"/>
                              <w:ind w:left="823" w:right="102" w:hanging="360"/>
                              <w:jc w:val="left"/>
                            </w:pPr>
                            <w:r>
                              <w:rPr/>
                              <w:t>Se produjeron eventos que justificaran la reversión total o parcial de previsiones reconocidas en períodos anteriores.</w:t>
                            </w:r>
                          </w:p>
                          <w:p>
                            <w:pPr>
                              <w:pStyle w:val="BodyText"/>
                              <w:numPr>
                                <w:ilvl w:val="0"/>
                                <w:numId w:val="48"/>
                              </w:numPr>
                              <w:tabs>
                                <w:tab w:pos="823" w:val="left" w:leader="none"/>
                              </w:tabs>
                              <w:spacing w:line="273" w:lineRule="auto" w:before="1" w:after="0"/>
                              <w:ind w:left="823" w:right="103" w:hanging="360"/>
                              <w:jc w:val="left"/>
                            </w:pPr>
                            <w:r>
                              <w:rPr/>
                              <w:t>Las</w:t>
                            </w:r>
                            <w:r>
                              <w:rPr>
                                <w:spacing w:val="-6"/>
                              </w:rPr>
                              <w:t> </w:t>
                            </w:r>
                            <w:r>
                              <w:rPr/>
                              <w:t>previsiones</w:t>
                            </w:r>
                            <w:r>
                              <w:rPr>
                                <w:spacing w:val="-8"/>
                              </w:rPr>
                              <w:t> </w:t>
                            </w:r>
                            <w:r>
                              <w:rPr/>
                              <w:t>constituidas</w:t>
                            </w:r>
                            <w:r>
                              <w:rPr>
                                <w:spacing w:val="-10"/>
                              </w:rPr>
                              <w:t> </w:t>
                            </w:r>
                            <w:r>
                              <w:rPr/>
                              <w:t>se</w:t>
                            </w:r>
                            <w:r>
                              <w:rPr>
                                <w:spacing w:val="-8"/>
                              </w:rPr>
                              <w:t> </w:t>
                            </w:r>
                            <w:r>
                              <w:rPr/>
                              <w:t>mantienen</w:t>
                            </w:r>
                            <w:r>
                              <w:rPr>
                                <w:spacing w:val="-6"/>
                              </w:rPr>
                              <w:t> </w:t>
                            </w:r>
                            <w:r>
                              <w:rPr/>
                              <w:t>vigentes</w:t>
                            </w:r>
                            <w:r>
                              <w:rPr>
                                <w:spacing w:val="-6"/>
                              </w:rPr>
                              <w:t> </w:t>
                            </w:r>
                            <w:r>
                              <w:rPr/>
                              <w:t>y</w:t>
                            </w:r>
                            <w:r>
                              <w:rPr>
                                <w:spacing w:val="-8"/>
                              </w:rPr>
                              <w:t> </w:t>
                            </w:r>
                            <w:r>
                              <w:rPr/>
                              <w:t>continúan</w:t>
                            </w:r>
                            <w:r>
                              <w:rPr>
                                <w:spacing w:val="-6"/>
                              </w:rPr>
                              <w:t> </w:t>
                            </w:r>
                            <w:r>
                              <w:rPr/>
                              <w:t>reflejando</w:t>
                            </w:r>
                            <w:r>
                              <w:rPr>
                                <w:spacing w:val="-9"/>
                              </w:rPr>
                              <w:t> </w:t>
                            </w:r>
                            <w:r>
                              <w:rPr/>
                              <w:t>razonablemente</w:t>
                            </w:r>
                            <w:r>
                              <w:rPr>
                                <w:spacing w:val="-7"/>
                              </w:rPr>
                              <w:t> </w:t>
                            </w:r>
                            <w:r>
                              <w:rPr/>
                              <w:t>los riesgos asociados.</w:t>
                            </w:r>
                          </w:p>
                          <w:p>
                            <w:pPr>
                              <w:pStyle w:val="BodyText"/>
                              <w:numPr>
                                <w:ilvl w:val="0"/>
                                <w:numId w:val="48"/>
                              </w:numPr>
                              <w:tabs>
                                <w:tab w:pos="823" w:val="left" w:leader="none"/>
                              </w:tabs>
                              <w:spacing w:line="276" w:lineRule="auto" w:before="4" w:after="0"/>
                              <w:ind w:left="823" w:right="106" w:hanging="360"/>
                              <w:jc w:val="left"/>
                            </w:pPr>
                            <w:r>
                              <w:rPr/>
                              <w:t>Se materializaron cobros, recuperaciones ni mejoras en las condiciones que dieran lugar a</w:t>
                            </w:r>
                            <w:r>
                              <w:rPr>
                                <w:spacing w:val="40"/>
                              </w:rPr>
                              <w:t> </w:t>
                            </w:r>
                            <w:r>
                              <w:rPr/>
                              <w:t>reconocer ingresos por recuperación de previsiones.</w:t>
                            </w:r>
                          </w:p>
                          <w:p>
                            <w:pPr>
                              <w:pStyle w:val="BodyText"/>
                              <w:spacing w:before="39"/>
                            </w:pPr>
                          </w:p>
                          <w:p>
                            <w:pPr>
                              <w:pStyle w:val="BodyText"/>
                              <w:ind w:left="103"/>
                              <w:jc w:val="both"/>
                            </w:pPr>
                            <w:r>
                              <w:rPr/>
                              <w:t>En</w:t>
                            </w:r>
                            <w:r>
                              <w:rPr>
                                <w:spacing w:val="-4"/>
                              </w:rPr>
                              <w:t> </w:t>
                            </w:r>
                            <w:r>
                              <w:rPr/>
                              <w:t>consecuencia,</w:t>
                            </w:r>
                            <w:r>
                              <w:rPr>
                                <w:spacing w:val="-4"/>
                              </w:rPr>
                              <w:t> </w:t>
                            </w:r>
                            <w:r>
                              <w:rPr/>
                              <w:t>se</w:t>
                            </w:r>
                            <w:r>
                              <w:rPr>
                                <w:spacing w:val="-5"/>
                              </w:rPr>
                              <w:t> </w:t>
                            </w:r>
                            <w:r>
                              <w:rPr/>
                              <w:t>reflejan</w:t>
                            </w:r>
                            <w:r>
                              <w:rPr>
                                <w:spacing w:val="-3"/>
                              </w:rPr>
                              <w:t> </w:t>
                            </w:r>
                            <w:r>
                              <w:rPr/>
                              <w:t>recuperación</w:t>
                            </w:r>
                            <w:r>
                              <w:rPr>
                                <w:spacing w:val="-4"/>
                              </w:rPr>
                              <w:t> </w:t>
                            </w:r>
                            <w:r>
                              <w:rPr/>
                              <w:t>de</w:t>
                            </w:r>
                            <w:r>
                              <w:rPr>
                                <w:spacing w:val="-6"/>
                              </w:rPr>
                              <w:t> </w:t>
                            </w:r>
                            <w:r>
                              <w:rPr/>
                              <w:t>provisiones</w:t>
                            </w:r>
                            <w:r>
                              <w:rPr>
                                <w:spacing w:val="-2"/>
                              </w:rPr>
                              <w:t> </w:t>
                            </w:r>
                            <w:r>
                              <w:rPr/>
                              <w:t>con</w:t>
                            </w:r>
                            <w:r>
                              <w:rPr>
                                <w:spacing w:val="-4"/>
                              </w:rPr>
                              <w:t> </w:t>
                            </w:r>
                            <w:r>
                              <w:rPr/>
                              <w:t>el</w:t>
                            </w:r>
                            <w:r>
                              <w:rPr>
                                <w:spacing w:val="-7"/>
                              </w:rPr>
                              <w:t> </w:t>
                            </w:r>
                            <w:r>
                              <w:rPr/>
                              <w:t>siguiente</w:t>
                            </w:r>
                            <w:r>
                              <w:rPr>
                                <w:spacing w:val="-3"/>
                              </w:rPr>
                              <w:t> </w:t>
                            </w:r>
                            <w:r>
                              <w:rPr>
                                <w:spacing w:val="-2"/>
                              </w:rPr>
                              <w:t>detalle.</w:t>
                            </w:r>
                          </w:p>
                        </w:txbxContent>
                      </wps:txbx>
                      <wps:bodyPr wrap="square" lIns="0" tIns="0" rIns="0" bIns="0" rtlCol="0">
                        <a:noAutofit/>
                      </wps:bodyPr>
                    </wps:wsp>
                  </a:graphicData>
                </a:graphic>
              </wp:anchor>
            </w:drawing>
          </mc:Choice>
          <mc:Fallback>
            <w:pict>
              <v:shape style="position:absolute;margin-left:85.103996pt;margin-top:11.11375pt;width:450pt;height:471pt;mso-position-horizontal-relative:page;mso-position-vertical-relative:paragraph;z-index:-15611904;mso-wrap-distance-left:0;mso-wrap-distance-right:0" type="#_x0000_t202" id="docshape56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1"/>
                        <w:jc w:val="both"/>
                      </w:pPr>
                      <w:r>
                        <w:rPr/>
                        <w:t>La</w:t>
                      </w:r>
                      <w:r>
                        <w:rPr>
                          <w:spacing w:val="-1"/>
                        </w:rPr>
                        <w:t> </w:t>
                      </w:r>
                      <w:r>
                        <w:rPr/>
                        <w:t>cuenta</w:t>
                      </w:r>
                      <w:r>
                        <w:rPr>
                          <w:spacing w:val="-2"/>
                        </w:rPr>
                        <w:t> </w:t>
                      </w:r>
                      <w:r>
                        <w:rPr/>
                        <w:t>Recuperación</w:t>
                      </w:r>
                      <w:r>
                        <w:rPr>
                          <w:spacing w:val="-2"/>
                        </w:rPr>
                        <w:t> </w:t>
                      </w:r>
                      <w:r>
                        <w:rPr/>
                        <w:t>de</w:t>
                      </w:r>
                      <w:r>
                        <w:rPr>
                          <w:spacing w:val="-1"/>
                        </w:rPr>
                        <w:t> </w:t>
                      </w:r>
                      <w:r>
                        <w:rPr/>
                        <w:t>previsiones,</w:t>
                      </w:r>
                      <w:r>
                        <w:rPr>
                          <w:spacing w:val="-2"/>
                        </w:rPr>
                        <w:t> </w:t>
                      </w:r>
                      <w:r>
                        <w:rPr/>
                        <w:t>representa</w:t>
                      </w:r>
                      <w:r>
                        <w:rPr>
                          <w:spacing w:val="-2"/>
                        </w:rPr>
                        <w:t> </w:t>
                      </w:r>
                      <w:r>
                        <w:rPr/>
                        <w:t>el</w:t>
                      </w:r>
                      <w:r>
                        <w:rPr>
                          <w:spacing w:val="-3"/>
                        </w:rPr>
                        <w:t> </w:t>
                      </w:r>
                      <w:r>
                        <w:rPr/>
                        <w:t>0,18% del</w:t>
                      </w:r>
                      <w:r>
                        <w:rPr>
                          <w:spacing w:val="-2"/>
                        </w:rPr>
                        <w:t> </w:t>
                      </w:r>
                      <w:r>
                        <w:rPr/>
                        <w:t>total</w:t>
                      </w:r>
                      <w:r>
                        <w:rPr>
                          <w:spacing w:val="-3"/>
                        </w:rPr>
                        <w:t> </w:t>
                      </w:r>
                      <w:r>
                        <w:rPr/>
                        <w:t>del</w:t>
                      </w:r>
                      <w:r>
                        <w:rPr>
                          <w:spacing w:val="-3"/>
                        </w:rPr>
                        <w:t> </w:t>
                      </w:r>
                      <w:r>
                        <w:rPr/>
                        <w:t>Ingresos,</w:t>
                      </w:r>
                      <w:r>
                        <w:rPr>
                          <w:spacing w:val="-2"/>
                        </w:rPr>
                        <w:t> </w:t>
                      </w:r>
                      <w:r>
                        <w:rPr/>
                        <w:t>que</w:t>
                      </w:r>
                      <w:r>
                        <w:rPr>
                          <w:spacing w:val="-1"/>
                        </w:rPr>
                        <w:t> </w:t>
                      </w:r>
                      <w:r>
                        <w:rPr/>
                        <w:t>comparado</w:t>
                      </w:r>
                      <w:r>
                        <w:rPr>
                          <w:spacing w:val="-2"/>
                        </w:rPr>
                        <w:t> </w:t>
                      </w:r>
                      <w:r>
                        <w:rPr/>
                        <w:t>al periodo anterior genera una variación absoluta de ¢ 77.499,28 que corresponde a un incremento de 43,14% de recursos disponibles.</w:t>
                      </w:r>
                    </w:p>
                    <w:p>
                      <w:pPr>
                        <w:pStyle w:val="BodyText"/>
                        <w:spacing w:before="40"/>
                      </w:pPr>
                    </w:p>
                    <w:p>
                      <w:pPr>
                        <w:pStyle w:val="BodyText"/>
                        <w:spacing w:line="276" w:lineRule="auto"/>
                        <w:ind w:left="103" w:right="104"/>
                        <w:jc w:val="both"/>
                      </w:pPr>
                      <w:r>
                        <w:rPr/>
                        <w:t>La cuenta se utiliza para registrar la reversión de previsiones reconocidas en períodos anteriores, cuando desaparecen total o parcialmente las causas que originaron su reconocimiento inicial, tales </w:t>
                      </w:r>
                      <w:r>
                        <w:rPr>
                          <w:spacing w:val="-4"/>
                        </w:rPr>
                        <w:t>como:</w:t>
                      </w:r>
                    </w:p>
                    <w:p>
                      <w:pPr>
                        <w:pStyle w:val="BodyText"/>
                        <w:numPr>
                          <w:ilvl w:val="0"/>
                          <w:numId w:val="48"/>
                        </w:numPr>
                        <w:tabs>
                          <w:tab w:pos="823" w:val="left" w:leader="none"/>
                        </w:tabs>
                        <w:spacing w:line="240" w:lineRule="auto" w:before="1" w:after="0"/>
                        <w:ind w:left="823" w:right="0" w:hanging="360"/>
                        <w:jc w:val="left"/>
                      </w:pPr>
                      <w:r>
                        <w:rPr/>
                        <w:t>Previsiones</w:t>
                      </w:r>
                      <w:r>
                        <w:rPr>
                          <w:spacing w:val="-4"/>
                        </w:rPr>
                        <w:t> </w:t>
                      </w:r>
                      <w:r>
                        <w:rPr/>
                        <w:t>por</w:t>
                      </w:r>
                      <w:r>
                        <w:rPr>
                          <w:spacing w:val="-5"/>
                        </w:rPr>
                        <w:t> </w:t>
                      </w:r>
                      <w:r>
                        <w:rPr/>
                        <w:t>deterioro</w:t>
                      </w:r>
                      <w:r>
                        <w:rPr>
                          <w:spacing w:val="-4"/>
                        </w:rPr>
                        <w:t> </w:t>
                      </w:r>
                      <w:r>
                        <w:rPr/>
                        <w:t>de</w:t>
                      </w:r>
                      <w:r>
                        <w:rPr>
                          <w:spacing w:val="-5"/>
                        </w:rPr>
                        <w:t> </w:t>
                      </w:r>
                      <w:r>
                        <w:rPr>
                          <w:spacing w:val="-2"/>
                        </w:rPr>
                        <w:t>activos.</w:t>
                      </w:r>
                    </w:p>
                    <w:p>
                      <w:pPr>
                        <w:pStyle w:val="BodyText"/>
                        <w:numPr>
                          <w:ilvl w:val="0"/>
                          <w:numId w:val="48"/>
                        </w:numPr>
                        <w:tabs>
                          <w:tab w:pos="823" w:val="left" w:leader="none"/>
                        </w:tabs>
                        <w:spacing w:line="240" w:lineRule="auto" w:before="37" w:after="0"/>
                        <w:ind w:left="823" w:right="0" w:hanging="360"/>
                        <w:jc w:val="left"/>
                      </w:pPr>
                      <w:r>
                        <w:rPr/>
                        <w:t>Previsiones</w:t>
                      </w:r>
                      <w:r>
                        <w:rPr>
                          <w:spacing w:val="-3"/>
                        </w:rPr>
                        <w:t> </w:t>
                      </w:r>
                      <w:r>
                        <w:rPr/>
                        <w:t>por</w:t>
                      </w:r>
                      <w:r>
                        <w:rPr>
                          <w:spacing w:val="-3"/>
                        </w:rPr>
                        <w:t> </w:t>
                      </w:r>
                      <w:r>
                        <w:rPr>
                          <w:spacing w:val="-2"/>
                        </w:rPr>
                        <w:t>incobrabilidad.</w:t>
                      </w:r>
                    </w:p>
                    <w:p>
                      <w:pPr>
                        <w:pStyle w:val="BodyText"/>
                        <w:numPr>
                          <w:ilvl w:val="0"/>
                          <w:numId w:val="48"/>
                        </w:numPr>
                        <w:tabs>
                          <w:tab w:pos="823" w:val="left" w:leader="none"/>
                        </w:tabs>
                        <w:spacing w:line="240" w:lineRule="auto" w:before="38" w:after="0"/>
                        <w:ind w:left="823" w:right="0" w:hanging="360"/>
                        <w:jc w:val="left"/>
                      </w:pPr>
                      <w:r>
                        <w:rPr/>
                        <w:t>Otras</w:t>
                      </w:r>
                      <w:r>
                        <w:rPr>
                          <w:spacing w:val="-8"/>
                        </w:rPr>
                        <w:t> </w:t>
                      </w:r>
                      <w:r>
                        <w:rPr/>
                        <w:t>previsiones</w:t>
                      </w:r>
                      <w:r>
                        <w:rPr>
                          <w:spacing w:val="-4"/>
                        </w:rPr>
                        <w:t> </w:t>
                      </w:r>
                      <w:r>
                        <w:rPr/>
                        <w:t>relacionadas</w:t>
                      </w:r>
                      <w:r>
                        <w:rPr>
                          <w:spacing w:val="-5"/>
                        </w:rPr>
                        <w:t> </w:t>
                      </w:r>
                      <w:r>
                        <w:rPr/>
                        <w:t>con</w:t>
                      </w:r>
                      <w:r>
                        <w:rPr>
                          <w:spacing w:val="-5"/>
                        </w:rPr>
                        <w:t> </w:t>
                      </w:r>
                      <w:r>
                        <w:rPr/>
                        <w:t>pérdidas</w:t>
                      </w:r>
                      <w:r>
                        <w:rPr>
                          <w:spacing w:val="-4"/>
                        </w:rPr>
                        <w:t> </w:t>
                      </w:r>
                      <w:r>
                        <w:rPr>
                          <w:spacing w:val="-2"/>
                        </w:rPr>
                        <w:t>estimadas.</w:t>
                      </w:r>
                    </w:p>
                    <w:p>
                      <w:pPr>
                        <w:pStyle w:val="BodyText"/>
                        <w:spacing w:before="76"/>
                      </w:pPr>
                    </w:p>
                    <w:p>
                      <w:pPr>
                        <w:pStyle w:val="BodyText"/>
                        <w:spacing w:line="276" w:lineRule="auto"/>
                        <w:ind w:left="103" w:right="117"/>
                        <w:jc w:val="both"/>
                      </w:pPr>
                      <w:r>
                        <w:rPr/>
                        <w:t>La</w:t>
                      </w:r>
                      <w:r>
                        <w:rPr>
                          <w:spacing w:val="-3"/>
                        </w:rPr>
                        <w:t> </w:t>
                      </w:r>
                      <w:r>
                        <w:rPr/>
                        <w:t>recuperación</w:t>
                      </w:r>
                      <w:r>
                        <w:rPr>
                          <w:spacing w:val="-2"/>
                        </w:rPr>
                        <w:t> </w:t>
                      </w:r>
                      <w:r>
                        <w:rPr/>
                        <w:t>se</w:t>
                      </w:r>
                      <w:r>
                        <w:rPr>
                          <w:spacing w:val="-3"/>
                        </w:rPr>
                        <w:t> </w:t>
                      </w:r>
                      <w:r>
                        <w:rPr/>
                        <w:t>reconoce</w:t>
                      </w:r>
                      <w:r>
                        <w:rPr>
                          <w:spacing w:val="-3"/>
                        </w:rPr>
                        <w:t> </w:t>
                      </w:r>
                      <w:r>
                        <w:rPr/>
                        <w:t>únicamente</w:t>
                      </w:r>
                      <w:r>
                        <w:rPr>
                          <w:spacing w:val="-2"/>
                        </w:rPr>
                        <w:t> </w:t>
                      </w:r>
                      <w:r>
                        <w:rPr/>
                        <w:t>cuando</w:t>
                      </w:r>
                      <w:r>
                        <w:rPr>
                          <w:spacing w:val="-2"/>
                        </w:rPr>
                        <w:t> </w:t>
                      </w:r>
                      <w:r>
                        <w:rPr/>
                        <w:t>existe</w:t>
                      </w:r>
                      <w:r>
                        <w:rPr>
                          <w:spacing w:val="-5"/>
                        </w:rPr>
                        <w:t> </w:t>
                      </w:r>
                      <w:r>
                        <w:rPr/>
                        <w:t>evidencia</w:t>
                      </w:r>
                      <w:r>
                        <w:rPr>
                          <w:spacing w:val="-3"/>
                        </w:rPr>
                        <w:t> </w:t>
                      </w:r>
                      <w:r>
                        <w:rPr/>
                        <w:t>objetiva</w:t>
                      </w:r>
                      <w:r>
                        <w:rPr>
                          <w:spacing w:val="-3"/>
                        </w:rPr>
                        <w:t> </w:t>
                      </w:r>
                      <w:r>
                        <w:rPr/>
                        <w:t>de</w:t>
                      </w:r>
                      <w:r>
                        <w:rPr>
                          <w:spacing w:val="-4"/>
                        </w:rPr>
                        <w:t> </w:t>
                      </w:r>
                      <w:r>
                        <w:rPr/>
                        <w:t>que</w:t>
                      </w:r>
                      <w:r>
                        <w:rPr>
                          <w:spacing w:val="-4"/>
                        </w:rPr>
                        <w:t> </w:t>
                      </w:r>
                      <w:r>
                        <w:rPr/>
                        <w:t>el</w:t>
                      </w:r>
                      <w:r>
                        <w:rPr>
                          <w:spacing w:val="-1"/>
                        </w:rPr>
                        <w:t> </w:t>
                      </w:r>
                      <w:r>
                        <w:rPr/>
                        <w:t>riesgo,</w:t>
                      </w:r>
                      <w:r>
                        <w:rPr>
                          <w:spacing w:val="-2"/>
                        </w:rPr>
                        <w:t> </w:t>
                      </w:r>
                      <w:r>
                        <w:rPr/>
                        <w:t>pérdida</w:t>
                      </w:r>
                      <w:r>
                        <w:rPr>
                          <w:spacing w:val="-3"/>
                        </w:rPr>
                        <w:t> </w:t>
                      </w:r>
                      <w:r>
                        <w:rPr/>
                        <w:t>o disminución de valor previamente estimado ya no subsiste.</w:t>
                      </w:r>
                    </w:p>
                    <w:p>
                      <w:pPr>
                        <w:pStyle w:val="BodyText"/>
                        <w:spacing w:before="36"/>
                      </w:pPr>
                    </w:p>
                    <w:p>
                      <w:pPr>
                        <w:pStyle w:val="BodyText"/>
                        <w:ind w:left="103"/>
                      </w:pPr>
                      <w:r>
                        <w:rPr/>
                        <w:t>En</w:t>
                      </w:r>
                      <w:r>
                        <w:rPr>
                          <w:spacing w:val="-5"/>
                        </w:rPr>
                        <w:t> </w:t>
                      </w:r>
                      <w:r>
                        <w:rPr/>
                        <w:t>julio</w:t>
                      </w:r>
                      <w:r>
                        <w:rPr>
                          <w:spacing w:val="-4"/>
                        </w:rPr>
                        <w:t> </w:t>
                      </w:r>
                      <w:r>
                        <w:rPr/>
                        <w:t>2026,</w:t>
                      </w:r>
                      <w:r>
                        <w:rPr>
                          <w:spacing w:val="-4"/>
                        </w:rPr>
                        <w:t> </w:t>
                      </w:r>
                      <w:r>
                        <w:rPr/>
                        <w:t>se</w:t>
                      </w:r>
                      <w:r>
                        <w:rPr>
                          <w:spacing w:val="-5"/>
                        </w:rPr>
                        <w:t> </w:t>
                      </w:r>
                      <w:r>
                        <w:rPr/>
                        <w:t>realizó</w:t>
                      </w:r>
                      <w:r>
                        <w:rPr>
                          <w:spacing w:val="-3"/>
                        </w:rPr>
                        <w:t> </w:t>
                      </w:r>
                      <w:r>
                        <w:rPr/>
                        <w:t>la</w:t>
                      </w:r>
                      <w:r>
                        <w:rPr>
                          <w:spacing w:val="-6"/>
                        </w:rPr>
                        <w:t> </w:t>
                      </w:r>
                      <w:r>
                        <w:rPr/>
                        <w:t>evaluación</w:t>
                      </w:r>
                      <w:r>
                        <w:rPr>
                          <w:spacing w:val="-4"/>
                        </w:rPr>
                        <w:t> </w:t>
                      </w:r>
                      <w:r>
                        <w:rPr/>
                        <w:t>de</w:t>
                      </w:r>
                      <w:r>
                        <w:rPr>
                          <w:spacing w:val="-6"/>
                        </w:rPr>
                        <w:t> </w:t>
                      </w:r>
                      <w:r>
                        <w:rPr/>
                        <w:t>las</w:t>
                      </w:r>
                      <w:r>
                        <w:rPr>
                          <w:spacing w:val="-3"/>
                        </w:rPr>
                        <w:t> </w:t>
                      </w:r>
                      <w:r>
                        <w:rPr/>
                        <w:t>previsiones</w:t>
                      </w:r>
                      <w:r>
                        <w:rPr>
                          <w:spacing w:val="-7"/>
                        </w:rPr>
                        <w:t> </w:t>
                      </w:r>
                      <w:r>
                        <w:rPr/>
                        <w:t>existentes,</w:t>
                      </w:r>
                      <w:r>
                        <w:rPr>
                          <w:spacing w:val="-4"/>
                        </w:rPr>
                        <w:t> </w:t>
                      </w:r>
                      <w:r>
                        <w:rPr/>
                        <w:t>concluyendo</w:t>
                      </w:r>
                      <w:r>
                        <w:rPr>
                          <w:spacing w:val="-4"/>
                        </w:rPr>
                        <w:t> que:</w:t>
                      </w:r>
                    </w:p>
                    <w:p>
                      <w:pPr>
                        <w:pStyle w:val="BodyText"/>
                        <w:numPr>
                          <w:ilvl w:val="0"/>
                          <w:numId w:val="48"/>
                        </w:numPr>
                        <w:tabs>
                          <w:tab w:pos="823" w:val="left" w:leader="none"/>
                        </w:tabs>
                        <w:spacing w:line="276" w:lineRule="auto" w:before="37" w:after="0"/>
                        <w:ind w:left="823" w:right="102" w:hanging="360"/>
                        <w:jc w:val="left"/>
                      </w:pPr>
                      <w:r>
                        <w:rPr/>
                        <w:t>Se produjeron eventos que justificaran la reversión total o parcial de previsiones reconocidas en períodos anteriores.</w:t>
                      </w:r>
                    </w:p>
                    <w:p>
                      <w:pPr>
                        <w:pStyle w:val="BodyText"/>
                        <w:numPr>
                          <w:ilvl w:val="0"/>
                          <w:numId w:val="48"/>
                        </w:numPr>
                        <w:tabs>
                          <w:tab w:pos="823" w:val="left" w:leader="none"/>
                        </w:tabs>
                        <w:spacing w:line="273" w:lineRule="auto" w:before="1" w:after="0"/>
                        <w:ind w:left="823" w:right="103" w:hanging="360"/>
                        <w:jc w:val="left"/>
                      </w:pPr>
                      <w:r>
                        <w:rPr/>
                        <w:t>Las</w:t>
                      </w:r>
                      <w:r>
                        <w:rPr>
                          <w:spacing w:val="-6"/>
                        </w:rPr>
                        <w:t> </w:t>
                      </w:r>
                      <w:r>
                        <w:rPr/>
                        <w:t>previsiones</w:t>
                      </w:r>
                      <w:r>
                        <w:rPr>
                          <w:spacing w:val="-8"/>
                        </w:rPr>
                        <w:t> </w:t>
                      </w:r>
                      <w:r>
                        <w:rPr/>
                        <w:t>constituidas</w:t>
                      </w:r>
                      <w:r>
                        <w:rPr>
                          <w:spacing w:val="-10"/>
                        </w:rPr>
                        <w:t> </w:t>
                      </w:r>
                      <w:r>
                        <w:rPr/>
                        <w:t>se</w:t>
                      </w:r>
                      <w:r>
                        <w:rPr>
                          <w:spacing w:val="-8"/>
                        </w:rPr>
                        <w:t> </w:t>
                      </w:r>
                      <w:r>
                        <w:rPr/>
                        <w:t>mantienen</w:t>
                      </w:r>
                      <w:r>
                        <w:rPr>
                          <w:spacing w:val="-6"/>
                        </w:rPr>
                        <w:t> </w:t>
                      </w:r>
                      <w:r>
                        <w:rPr/>
                        <w:t>vigentes</w:t>
                      </w:r>
                      <w:r>
                        <w:rPr>
                          <w:spacing w:val="-6"/>
                        </w:rPr>
                        <w:t> </w:t>
                      </w:r>
                      <w:r>
                        <w:rPr/>
                        <w:t>y</w:t>
                      </w:r>
                      <w:r>
                        <w:rPr>
                          <w:spacing w:val="-8"/>
                        </w:rPr>
                        <w:t> </w:t>
                      </w:r>
                      <w:r>
                        <w:rPr/>
                        <w:t>continúan</w:t>
                      </w:r>
                      <w:r>
                        <w:rPr>
                          <w:spacing w:val="-6"/>
                        </w:rPr>
                        <w:t> </w:t>
                      </w:r>
                      <w:r>
                        <w:rPr/>
                        <w:t>reflejando</w:t>
                      </w:r>
                      <w:r>
                        <w:rPr>
                          <w:spacing w:val="-9"/>
                        </w:rPr>
                        <w:t> </w:t>
                      </w:r>
                      <w:r>
                        <w:rPr/>
                        <w:t>razonablemente</w:t>
                      </w:r>
                      <w:r>
                        <w:rPr>
                          <w:spacing w:val="-7"/>
                        </w:rPr>
                        <w:t> </w:t>
                      </w:r>
                      <w:r>
                        <w:rPr/>
                        <w:t>los riesgos asociados.</w:t>
                      </w:r>
                    </w:p>
                    <w:p>
                      <w:pPr>
                        <w:pStyle w:val="BodyText"/>
                        <w:numPr>
                          <w:ilvl w:val="0"/>
                          <w:numId w:val="48"/>
                        </w:numPr>
                        <w:tabs>
                          <w:tab w:pos="823" w:val="left" w:leader="none"/>
                        </w:tabs>
                        <w:spacing w:line="276" w:lineRule="auto" w:before="4" w:after="0"/>
                        <w:ind w:left="823" w:right="106" w:hanging="360"/>
                        <w:jc w:val="left"/>
                      </w:pPr>
                      <w:r>
                        <w:rPr/>
                        <w:t>Se materializaron cobros, recuperaciones ni mejoras en las condiciones que dieran lugar a</w:t>
                      </w:r>
                      <w:r>
                        <w:rPr>
                          <w:spacing w:val="40"/>
                        </w:rPr>
                        <w:t> </w:t>
                      </w:r>
                      <w:r>
                        <w:rPr/>
                        <w:t>reconocer ingresos por recuperación de previsiones.</w:t>
                      </w:r>
                    </w:p>
                    <w:p>
                      <w:pPr>
                        <w:pStyle w:val="BodyText"/>
                        <w:spacing w:before="39"/>
                      </w:pPr>
                    </w:p>
                    <w:p>
                      <w:pPr>
                        <w:pStyle w:val="BodyText"/>
                        <w:ind w:left="103"/>
                        <w:jc w:val="both"/>
                      </w:pPr>
                      <w:r>
                        <w:rPr/>
                        <w:t>En</w:t>
                      </w:r>
                      <w:r>
                        <w:rPr>
                          <w:spacing w:val="-4"/>
                        </w:rPr>
                        <w:t> </w:t>
                      </w:r>
                      <w:r>
                        <w:rPr/>
                        <w:t>consecuencia,</w:t>
                      </w:r>
                      <w:r>
                        <w:rPr>
                          <w:spacing w:val="-4"/>
                        </w:rPr>
                        <w:t> </w:t>
                      </w:r>
                      <w:r>
                        <w:rPr/>
                        <w:t>se</w:t>
                      </w:r>
                      <w:r>
                        <w:rPr>
                          <w:spacing w:val="-5"/>
                        </w:rPr>
                        <w:t> </w:t>
                      </w:r>
                      <w:r>
                        <w:rPr/>
                        <w:t>reflejan</w:t>
                      </w:r>
                      <w:r>
                        <w:rPr>
                          <w:spacing w:val="-3"/>
                        </w:rPr>
                        <w:t> </w:t>
                      </w:r>
                      <w:r>
                        <w:rPr/>
                        <w:t>recuperación</w:t>
                      </w:r>
                      <w:r>
                        <w:rPr>
                          <w:spacing w:val="-4"/>
                        </w:rPr>
                        <w:t> </w:t>
                      </w:r>
                      <w:r>
                        <w:rPr/>
                        <w:t>de</w:t>
                      </w:r>
                      <w:r>
                        <w:rPr>
                          <w:spacing w:val="-6"/>
                        </w:rPr>
                        <w:t> </w:t>
                      </w:r>
                      <w:r>
                        <w:rPr/>
                        <w:t>provisiones</w:t>
                      </w:r>
                      <w:r>
                        <w:rPr>
                          <w:spacing w:val="-2"/>
                        </w:rPr>
                        <w:t> </w:t>
                      </w:r>
                      <w:r>
                        <w:rPr/>
                        <w:t>con</w:t>
                      </w:r>
                      <w:r>
                        <w:rPr>
                          <w:spacing w:val="-4"/>
                        </w:rPr>
                        <w:t> </w:t>
                      </w:r>
                      <w:r>
                        <w:rPr/>
                        <w:t>el</w:t>
                      </w:r>
                      <w:r>
                        <w:rPr>
                          <w:spacing w:val="-7"/>
                        </w:rPr>
                        <w:t> </w:t>
                      </w:r>
                      <w:r>
                        <w:rPr/>
                        <w:t>siguiente</w:t>
                      </w:r>
                      <w:r>
                        <w:rPr>
                          <w:spacing w:val="-3"/>
                        </w:rPr>
                        <w:t> </w:t>
                      </w:r>
                      <w:r>
                        <w:rPr>
                          <w:spacing w:val="-2"/>
                        </w:rPr>
                        <w:t>detalle.</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02" w:id="103"/>
      <w:bookmarkEnd w:id="103"/>
      <w:r>
        <w:rPr/>
      </w:r>
      <w:r>
        <w:rPr>
          <w:b/>
          <w:sz w:val="22"/>
        </w:rPr>
        <w:t>NOTA</w:t>
      </w:r>
      <w:r>
        <w:rPr>
          <w:b/>
          <w:spacing w:val="-1"/>
          <w:sz w:val="22"/>
        </w:rPr>
        <w:t> </w:t>
      </w:r>
      <w:r>
        <w:rPr>
          <w:b/>
          <w:sz w:val="22"/>
        </w:rPr>
        <w:t>N° </w:t>
      </w:r>
      <w:r>
        <w:rPr>
          <w:b/>
          <w:spacing w:val="-5"/>
          <w:sz w:val="22"/>
        </w:rPr>
        <w:t>56</w:t>
      </w:r>
    </w:p>
    <w:p>
      <w:pPr>
        <w:pStyle w:val="BodyText"/>
        <w:spacing w:before="114"/>
        <w:rPr>
          <w:b/>
        </w:rPr>
      </w:pPr>
    </w:p>
    <w:p>
      <w:pPr>
        <w:pStyle w:val="Heading6"/>
        <w:spacing w:before="1"/>
        <w:ind w:left="622"/>
      </w:pPr>
      <w:r>
        <w:rPr/>
        <w:t>Recuperación</w:t>
      </w:r>
      <w:r>
        <w:rPr>
          <w:spacing w:val="-5"/>
        </w:rPr>
        <w:t> </w:t>
      </w:r>
      <w:r>
        <w:rPr/>
        <w:t>de</w:t>
      </w:r>
      <w:r>
        <w:rPr>
          <w:spacing w:val="-6"/>
        </w:rPr>
        <w:t> </w:t>
      </w:r>
      <w:r>
        <w:rPr/>
        <w:t>provisiones</w:t>
      </w:r>
      <w:r>
        <w:rPr>
          <w:spacing w:val="-3"/>
        </w:rPr>
        <w:t> </w:t>
      </w:r>
      <w:r>
        <w:rPr/>
        <w:t>y</w:t>
      </w:r>
      <w:r>
        <w:rPr>
          <w:spacing w:val="-5"/>
        </w:rPr>
        <w:t> </w:t>
      </w:r>
      <w:r>
        <w:rPr/>
        <w:t>reservas</w:t>
      </w:r>
      <w:r>
        <w:rPr>
          <w:spacing w:val="-3"/>
        </w:rPr>
        <w:t> </w:t>
      </w:r>
      <w:r>
        <w:rPr>
          <w:spacing w:val="-2"/>
        </w:rPr>
        <w:t>técnicas</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114"/>
        <w:gridCol w:w="571"/>
        <w:gridCol w:w="1560"/>
        <w:gridCol w:w="1751"/>
        <w:gridCol w:w="1053"/>
      </w:tblGrid>
      <w:tr>
        <w:trPr>
          <w:trHeight w:val="325" w:hRule="atLeast"/>
        </w:trPr>
        <w:tc>
          <w:tcPr>
            <w:tcW w:w="984" w:type="dxa"/>
            <w:vMerge w:val="restart"/>
            <w:shd w:val="clear" w:color="auto" w:fill="365F92"/>
          </w:tcPr>
          <w:p>
            <w:pPr>
              <w:pStyle w:val="TableParagraph"/>
              <w:spacing w:before="130"/>
              <w:ind w:left="69"/>
              <w:rPr>
                <w:b/>
                <w:sz w:val="20"/>
              </w:rPr>
            </w:pPr>
            <w:r>
              <w:rPr>
                <w:b/>
                <w:color w:val="FFFFFF"/>
                <w:spacing w:val="-2"/>
                <w:sz w:val="20"/>
              </w:rPr>
              <w:t>Cuenta</w:t>
            </w:r>
          </w:p>
        </w:tc>
        <w:tc>
          <w:tcPr>
            <w:tcW w:w="3114" w:type="dxa"/>
            <w:vMerge w:val="restart"/>
            <w:shd w:val="clear" w:color="auto" w:fill="365F92"/>
          </w:tcPr>
          <w:p>
            <w:pPr>
              <w:pStyle w:val="TableParagraph"/>
              <w:spacing w:before="219"/>
              <w:ind w:left="18"/>
              <w:jc w:val="center"/>
              <w:rPr>
                <w:b/>
                <w:sz w:val="20"/>
              </w:rPr>
            </w:pPr>
            <w:r>
              <w:rPr>
                <w:b/>
                <w:color w:val="FFFFFF"/>
                <w:spacing w:val="-2"/>
                <w:sz w:val="20"/>
              </w:rPr>
              <w:t>Descripción</w:t>
            </w:r>
          </w:p>
        </w:tc>
        <w:tc>
          <w:tcPr>
            <w:tcW w:w="571" w:type="dxa"/>
            <w:vMerge w:val="restart"/>
            <w:shd w:val="clear" w:color="auto" w:fill="365F92"/>
          </w:tcPr>
          <w:p>
            <w:pPr>
              <w:pStyle w:val="TableParagraph"/>
              <w:spacing w:before="209"/>
              <w:ind w:left="68"/>
              <w:rPr>
                <w:b/>
                <w:sz w:val="22"/>
              </w:rPr>
            </w:pPr>
            <w:r>
              <w:rPr>
                <w:b/>
                <w:spacing w:val="-4"/>
                <w:sz w:val="22"/>
              </w:rPr>
              <w:t>Nota</w:t>
            </w:r>
          </w:p>
        </w:tc>
        <w:tc>
          <w:tcPr>
            <w:tcW w:w="1560" w:type="dxa"/>
            <w:vMerge w:val="restart"/>
            <w:shd w:val="clear" w:color="auto" w:fill="365F92"/>
          </w:tcPr>
          <w:p>
            <w:pPr>
              <w:pStyle w:val="TableParagraph"/>
              <w:spacing w:before="209"/>
              <w:ind w:left="145"/>
              <w:rPr>
                <w:b/>
                <w:sz w:val="22"/>
              </w:rPr>
            </w:pPr>
            <w:r>
              <w:rPr>
                <w:b/>
                <w:sz w:val="22"/>
              </w:rPr>
              <w:t>Periodo</w:t>
            </w:r>
            <w:r>
              <w:rPr>
                <w:b/>
                <w:spacing w:val="-4"/>
                <w:sz w:val="22"/>
              </w:rPr>
              <w:t> </w:t>
            </w:r>
            <w:r>
              <w:rPr>
                <w:b/>
                <w:spacing w:val="-2"/>
                <w:sz w:val="22"/>
              </w:rPr>
              <w:t>Actual</w:t>
            </w:r>
          </w:p>
        </w:tc>
        <w:tc>
          <w:tcPr>
            <w:tcW w:w="1751" w:type="dxa"/>
            <w:vMerge w:val="restart"/>
            <w:shd w:val="clear" w:color="auto" w:fill="365F92"/>
          </w:tcPr>
          <w:p>
            <w:pPr>
              <w:pStyle w:val="TableParagraph"/>
              <w:spacing w:before="209"/>
              <w:ind w:left="151"/>
              <w:rPr>
                <w:b/>
                <w:sz w:val="22"/>
              </w:rPr>
            </w:pPr>
            <w:r>
              <w:rPr>
                <w:b/>
                <w:color w:val="FFFFFF"/>
                <w:sz w:val="22"/>
              </w:rPr>
              <w:t>Periodo</w:t>
            </w:r>
            <w:r>
              <w:rPr>
                <w:b/>
                <w:color w:val="FFFFFF"/>
                <w:spacing w:val="-4"/>
                <w:sz w:val="22"/>
              </w:rPr>
              <w:t> </w:t>
            </w:r>
            <w:r>
              <w:rPr>
                <w:b/>
                <w:color w:val="FFFFFF"/>
                <w:spacing w:val="-2"/>
                <w:sz w:val="22"/>
              </w:rPr>
              <w:t>Anterior</w:t>
            </w:r>
          </w:p>
        </w:tc>
        <w:tc>
          <w:tcPr>
            <w:tcW w:w="1053" w:type="dxa"/>
            <w:shd w:val="clear" w:color="auto" w:fill="365F92"/>
          </w:tcPr>
          <w:p>
            <w:pPr>
              <w:pStyle w:val="TableParagraph"/>
              <w:spacing w:before="38"/>
              <w:ind w:left="26" w:right="4"/>
              <w:jc w:val="center"/>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3114"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751" w:type="dxa"/>
            <w:vMerge/>
            <w:tcBorders>
              <w:top w:val="nil"/>
            </w:tcBorders>
            <w:shd w:val="clear" w:color="auto" w:fill="365F92"/>
          </w:tcPr>
          <w:p>
            <w:pPr>
              <w:rPr>
                <w:sz w:val="2"/>
                <w:szCs w:val="2"/>
              </w:rPr>
            </w:pPr>
          </w:p>
        </w:tc>
        <w:tc>
          <w:tcPr>
            <w:tcW w:w="1053" w:type="dxa"/>
            <w:shd w:val="clear" w:color="auto" w:fill="365F92"/>
          </w:tcPr>
          <w:p>
            <w:pPr>
              <w:pStyle w:val="TableParagraph"/>
              <w:spacing w:before="36"/>
              <w:ind w:left="26" w:right="5"/>
              <w:jc w:val="center"/>
              <w:rPr>
                <w:sz w:val="22"/>
              </w:rPr>
            </w:pPr>
            <w:r>
              <w:rPr>
                <w:color w:val="FFFFFF"/>
                <w:spacing w:val="-10"/>
                <w:sz w:val="22"/>
              </w:rPr>
              <w:t>%</w:t>
            </w:r>
          </w:p>
        </w:tc>
      </w:tr>
      <w:tr>
        <w:trPr>
          <w:trHeight w:val="541" w:hRule="atLeast"/>
        </w:trPr>
        <w:tc>
          <w:tcPr>
            <w:tcW w:w="984" w:type="dxa"/>
          </w:tcPr>
          <w:p>
            <w:pPr>
              <w:pStyle w:val="TableParagraph"/>
              <w:spacing w:before="154"/>
              <w:ind w:left="69"/>
              <w:rPr>
                <w:b/>
                <w:sz w:val="20"/>
              </w:rPr>
            </w:pPr>
            <w:r>
              <w:rPr>
                <w:b/>
                <w:spacing w:val="-2"/>
                <w:sz w:val="20"/>
              </w:rPr>
              <w:t>4.9.5.</w:t>
            </w:r>
          </w:p>
        </w:tc>
        <w:tc>
          <w:tcPr>
            <w:tcW w:w="3114" w:type="dxa"/>
          </w:tcPr>
          <w:p>
            <w:pPr>
              <w:pStyle w:val="TableParagraph"/>
              <w:tabs>
                <w:tab w:pos="1397" w:val="left" w:leader="none"/>
                <w:tab w:pos="1826" w:val="left" w:leader="none"/>
                <w:tab w:pos="2955" w:val="left" w:leader="none"/>
              </w:tabs>
              <w:spacing w:before="41"/>
              <w:ind w:left="69" w:right="52"/>
              <w:rPr>
                <w:b/>
                <w:sz w:val="20"/>
              </w:rPr>
            </w:pPr>
            <w:r>
              <w:rPr>
                <w:b/>
                <w:spacing w:val="-2"/>
                <w:sz w:val="20"/>
              </w:rPr>
              <w:t>Recuperación</w:t>
            </w:r>
            <w:r>
              <w:rPr>
                <w:b/>
                <w:sz w:val="20"/>
              </w:rPr>
              <w:tab/>
            </w:r>
            <w:r>
              <w:rPr>
                <w:b/>
                <w:spacing w:val="-6"/>
                <w:sz w:val="20"/>
              </w:rPr>
              <w:t>de</w:t>
            </w:r>
            <w:r>
              <w:rPr>
                <w:b/>
                <w:sz w:val="20"/>
              </w:rPr>
              <w:tab/>
            </w:r>
            <w:r>
              <w:rPr>
                <w:b/>
                <w:spacing w:val="-2"/>
                <w:sz w:val="20"/>
              </w:rPr>
              <w:t>provisiones</w:t>
            </w:r>
            <w:r>
              <w:rPr>
                <w:b/>
                <w:sz w:val="20"/>
              </w:rPr>
              <w:tab/>
            </w:r>
            <w:r>
              <w:rPr>
                <w:b/>
                <w:spacing w:val="-10"/>
                <w:sz w:val="20"/>
              </w:rPr>
              <w:t>y</w:t>
            </w:r>
            <w:r>
              <w:rPr>
                <w:b/>
                <w:sz w:val="20"/>
              </w:rPr>
              <w:t> reservas técnicas</w:t>
            </w:r>
          </w:p>
        </w:tc>
        <w:tc>
          <w:tcPr>
            <w:tcW w:w="571" w:type="dxa"/>
          </w:tcPr>
          <w:p>
            <w:pPr>
              <w:pStyle w:val="TableParagraph"/>
              <w:spacing w:before="144"/>
              <w:ind w:left="176"/>
              <w:rPr>
                <w:b/>
                <w:sz w:val="22"/>
              </w:rPr>
            </w:pPr>
            <w:r>
              <w:rPr>
                <w:b/>
                <w:spacing w:val="-5"/>
                <w:sz w:val="22"/>
              </w:rPr>
              <w:t>56</w:t>
            </w:r>
          </w:p>
        </w:tc>
        <w:tc>
          <w:tcPr>
            <w:tcW w:w="1560" w:type="dxa"/>
          </w:tcPr>
          <w:p>
            <w:pPr>
              <w:pStyle w:val="TableParagraph"/>
              <w:spacing w:before="154"/>
              <w:ind w:left="335"/>
              <w:rPr>
                <w:b/>
                <w:sz w:val="20"/>
              </w:rPr>
            </w:pPr>
            <w:r>
              <w:rPr>
                <w:b/>
                <w:sz w:val="20"/>
              </w:rPr>
              <w:t>160</w:t>
            </w:r>
            <w:r>
              <w:rPr>
                <w:b/>
                <w:spacing w:val="-3"/>
                <w:sz w:val="20"/>
              </w:rPr>
              <w:t> </w:t>
            </w:r>
            <w:r>
              <w:rPr>
                <w:b/>
                <w:spacing w:val="-2"/>
                <w:sz w:val="20"/>
              </w:rPr>
              <w:t>219,05</w:t>
            </w:r>
          </w:p>
        </w:tc>
        <w:tc>
          <w:tcPr>
            <w:tcW w:w="1751" w:type="dxa"/>
          </w:tcPr>
          <w:p>
            <w:pPr>
              <w:pStyle w:val="TableParagraph"/>
              <w:spacing w:before="154"/>
              <w:ind w:left="432"/>
              <w:rPr>
                <w:b/>
                <w:sz w:val="20"/>
              </w:rPr>
            </w:pPr>
            <w:r>
              <w:rPr>
                <w:b/>
                <w:sz w:val="20"/>
              </w:rPr>
              <w:t>112</w:t>
            </w:r>
            <w:r>
              <w:rPr>
                <w:b/>
                <w:spacing w:val="-3"/>
                <w:sz w:val="20"/>
              </w:rPr>
              <w:t> </w:t>
            </w:r>
            <w:r>
              <w:rPr>
                <w:b/>
                <w:spacing w:val="-2"/>
                <w:sz w:val="20"/>
              </w:rPr>
              <w:t>657,97</w:t>
            </w:r>
          </w:p>
        </w:tc>
        <w:tc>
          <w:tcPr>
            <w:tcW w:w="1053" w:type="dxa"/>
          </w:tcPr>
          <w:p>
            <w:pPr>
              <w:pStyle w:val="TableParagraph"/>
              <w:spacing w:before="154"/>
              <w:ind w:left="26" w:right="5"/>
              <w:jc w:val="center"/>
              <w:rPr>
                <w:b/>
                <w:sz w:val="20"/>
              </w:rPr>
            </w:pPr>
            <w:r>
              <w:rPr>
                <w:b/>
                <w:spacing w:val="-2"/>
                <w:sz w:val="20"/>
              </w:rPr>
              <w:t>42,22%</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2496">
                <wp:simplePos x="0" y="0"/>
                <wp:positionH relativeFrom="page">
                  <wp:posOffset>9525</wp:posOffset>
                </wp:positionH>
                <wp:positionV relativeFrom="page">
                  <wp:posOffset>297208</wp:posOffset>
                </wp:positionV>
                <wp:extent cx="7762875" cy="9748520"/>
                <wp:effectExtent l="0" t="0" r="0" b="0"/>
                <wp:wrapNone/>
                <wp:docPr id="590" name="Group 590"/>
                <wp:cNvGraphicFramePr>
                  <a:graphicFrameLocks/>
                </wp:cNvGraphicFramePr>
                <a:graphic>
                  <a:graphicData uri="http://schemas.microsoft.com/office/word/2010/wordprocessingGroup">
                    <wpg:wgp>
                      <wpg:cNvPr id="590" name="Group 590"/>
                      <wpg:cNvGrpSpPr/>
                      <wpg:grpSpPr>
                        <a:xfrm>
                          <a:off x="0" y="0"/>
                          <a:ext cx="7762875" cy="9748520"/>
                          <a:chExt cx="7762875" cy="9748520"/>
                        </a:xfrm>
                      </wpg:grpSpPr>
                      <pic:pic>
                        <pic:nvPicPr>
                          <pic:cNvPr id="591" name="Image 591"/>
                          <pic:cNvPicPr/>
                        </pic:nvPicPr>
                        <pic:blipFill>
                          <a:blip r:embed="rId5" cstate="print"/>
                          <a:stretch>
                            <a:fillRect/>
                          </a:stretch>
                        </pic:blipFill>
                        <pic:spPr>
                          <a:xfrm>
                            <a:off x="0" y="0"/>
                            <a:ext cx="7762874" cy="9748489"/>
                          </a:xfrm>
                          <a:prstGeom prst="rect">
                            <a:avLst/>
                          </a:prstGeom>
                        </pic:spPr>
                      </pic:pic>
                      <wps:wsp>
                        <wps:cNvPr id="592" name="Graphic 592"/>
                        <wps:cNvSpPr/>
                        <wps:spPr>
                          <a:xfrm>
                            <a:off x="1053007" y="990837"/>
                            <a:ext cx="5736590" cy="7403465"/>
                          </a:xfrm>
                          <a:custGeom>
                            <a:avLst/>
                            <a:gdLst/>
                            <a:ahLst/>
                            <a:cxnLst/>
                            <a:rect l="l" t="t" r="r" b="b"/>
                            <a:pathLst>
                              <a:path w="5736590" h="7403465">
                                <a:moveTo>
                                  <a:pt x="21336" y="1158354"/>
                                </a:moveTo>
                                <a:lnTo>
                                  <a:pt x="15240" y="1158354"/>
                                </a:lnTo>
                                <a:lnTo>
                                  <a:pt x="15240" y="7396975"/>
                                </a:lnTo>
                                <a:lnTo>
                                  <a:pt x="21336" y="7396975"/>
                                </a:lnTo>
                                <a:lnTo>
                                  <a:pt x="21336" y="1158354"/>
                                </a:lnTo>
                                <a:close/>
                              </a:path>
                              <a:path w="5736590" h="7403465">
                                <a:moveTo>
                                  <a:pt x="5649214" y="0"/>
                                </a:moveTo>
                                <a:lnTo>
                                  <a:pt x="0" y="0"/>
                                </a:lnTo>
                                <a:lnTo>
                                  <a:pt x="0" y="9131"/>
                                </a:lnTo>
                                <a:lnTo>
                                  <a:pt x="5649214" y="9131"/>
                                </a:lnTo>
                                <a:lnTo>
                                  <a:pt x="5649214" y="0"/>
                                </a:lnTo>
                                <a:close/>
                              </a:path>
                              <a:path w="5736590" h="7403465">
                                <a:moveTo>
                                  <a:pt x="5736018" y="7396988"/>
                                </a:moveTo>
                                <a:lnTo>
                                  <a:pt x="5729986" y="7396988"/>
                                </a:lnTo>
                                <a:lnTo>
                                  <a:pt x="21336" y="7396988"/>
                                </a:lnTo>
                                <a:lnTo>
                                  <a:pt x="15240" y="7396988"/>
                                </a:lnTo>
                                <a:lnTo>
                                  <a:pt x="15240" y="7403071"/>
                                </a:lnTo>
                                <a:lnTo>
                                  <a:pt x="21336" y="7403071"/>
                                </a:lnTo>
                                <a:lnTo>
                                  <a:pt x="5729935" y="7403071"/>
                                </a:lnTo>
                                <a:lnTo>
                                  <a:pt x="5736018" y="7403071"/>
                                </a:lnTo>
                                <a:lnTo>
                                  <a:pt x="5736018" y="7396988"/>
                                </a:lnTo>
                                <a:close/>
                              </a:path>
                              <a:path w="5736590" h="7403465">
                                <a:moveTo>
                                  <a:pt x="5736018" y="1158354"/>
                                </a:moveTo>
                                <a:lnTo>
                                  <a:pt x="5729935" y="1158354"/>
                                </a:lnTo>
                                <a:lnTo>
                                  <a:pt x="5729935" y="7396975"/>
                                </a:lnTo>
                                <a:lnTo>
                                  <a:pt x="5736018" y="7396975"/>
                                </a:lnTo>
                                <a:lnTo>
                                  <a:pt x="5736018" y="1158354"/>
                                </a:lnTo>
                                <a:close/>
                              </a:path>
                              <a:path w="5736590" h="7403465">
                                <a:moveTo>
                                  <a:pt x="5736018" y="1152131"/>
                                </a:moveTo>
                                <a:lnTo>
                                  <a:pt x="5729986" y="1152131"/>
                                </a:lnTo>
                                <a:lnTo>
                                  <a:pt x="21336" y="1152131"/>
                                </a:lnTo>
                                <a:lnTo>
                                  <a:pt x="15240" y="1152131"/>
                                </a:lnTo>
                                <a:lnTo>
                                  <a:pt x="15240" y="1158227"/>
                                </a:lnTo>
                                <a:lnTo>
                                  <a:pt x="21336" y="1158227"/>
                                </a:lnTo>
                                <a:lnTo>
                                  <a:pt x="5729935" y="1158227"/>
                                </a:lnTo>
                                <a:lnTo>
                                  <a:pt x="5736018" y="1158227"/>
                                </a:lnTo>
                                <a:lnTo>
                                  <a:pt x="5736018" y="1152131"/>
                                </a:lnTo>
                                <a:close/>
                              </a:path>
                            </a:pathLst>
                          </a:custGeom>
                          <a:solidFill>
                            <a:srgbClr val="000000"/>
                          </a:solidFill>
                        </wps:spPr>
                        <wps:bodyPr wrap="square" lIns="0" tIns="0" rIns="0" bIns="0" rtlCol="0">
                          <a:prstTxWarp prst="textNoShape">
                            <a:avLst/>
                          </a:prstTxWarp>
                          <a:noAutofit/>
                        </wps:bodyPr>
                      </wps:wsp>
                      <pic:pic>
                        <pic:nvPicPr>
                          <pic:cNvPr id="593" name="Image 593"/>
                          <pic:cNvPicPr/>
                        </pic:nvPicPr>
                        <pic:blipFill>
                          <a:blip r:embed="rId63" cstate="print"/>
                          <a:stretch>
                            <a:fillRect/>
                          </a:stretch>
                        </pic:blipFill>
                        <pic:spPr>
                          <a:xfrm>
                            <a:off x="1841499" y="7232875"/>
                            <a:ext cx="4164838" cy="112903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3984" id="docshapegroup568" coordorigin="15,468" coordsize="12225,15352">
                <v:shape style="position:absolute;left:15;top:468;width:12225;height:15352" type="#_x0000_t75" id="docshape569" stroked="false">
                  <v:imagedata r:id="rId5" o:title=""/>
                </v:shape>
                <v:shape style="position:absolute;left:1673;top:2028;width:9034;height:11659" id="docshape570" coordorigin="1673,2028" coordsize="9034,11659" path="m1707,3853l1697,3853,1697,13677,1707,13677,1707,3853xm10570,2028l1673,2028,1673,2043,10570,2043,10570,2028xm10706,13677l10697,13677,10697,13677,1707,13677,1697,13677,1697,13687,1707,13687,10697,13687,10697,13687,10706,13687,10706,13677xm10706,3853l10697,3853,10697,13677,10706,13677,10706,3853xm10706,3843l10697,3843,10697,3843,1707,3843,1697,3843,1697,3852,1707,3852,10697,3852,10697,3852,10706,3852,10706,3843xe" filled="true" fillcolor="#000000" stroked="false">
                  <v:path arrowok="t"/>
                  <v:fill type="solid"/>
                </v:shape>
                <v:shape style="position:absolute;left:2915;top:11858;width:6559;height:1778" type="#_x0000_t75" id="docshape571" stroked="false">
                  <v:imagedata r:id="rId63" o:title=""/>
                </v:shape>
                <w10:wrap type="none"/>
              </v:group>
            </w:pict>
          </mc:Fallback>
        </mc:AlternateContent>
      </w:r>
      <w:r>
        <w:rPr>
          <w:color w:val="172951"/>
          <w:sz w:val="20"/>
        </w:rPr>
        <w:t>Pág.</w:t>
      </w:r>
      <w:r>
        <w:rPr>
          <w:color w:val="172951"/>
          <w:spacing w:val="-7"/>
          <w:sz w:val="20"/>
        </w:rPr>
        <w:t> </w:t>
      </w:r>
      <w:r>
        <w:rPr>
          <w:color w:val="172951"/>
          <w:spacing w:val="-5"/>
          <w:sz w:val="20"/>
        </w:rPr>
        <w:t>120</w:t>
      </w:r>
    </w:p>
    <w:p>
      <w:pPr>
        <w:pStyle w:val="Heading6"/>
        <w:spacing w:before="218"/>
        <w:ind w:left="622"/>
      </w:pPr>
      <w:r>
        <w:rPr>
          <w:spacing w:val="-2"/>
        </w:rPr>
        <w:t>Revelación:</w:t>
      </w:r>
    </w:p>
    <w:p>
      <w:pPr>
        <w:pStyle w:val="BodyText"/>
        <w:spacing w:before="178"/>
        <w:ind w:left="622" w:right="975"/>
        <w:jc w:val="both"/>
      </w:pPr>
      <w:r>
        <w:rPr/>
        <w:t>La cuenta Recuperación de provisiones y reservas técnicas, representa el 0,11% del</w:t>
      </w:r>
      <w:r>
        <w:rPr>
          <w:spacing w:val="-1"/>
        </w:rPr>
        <w:t> </w:t>
      </w:r>
      <w:r>
        <w:rPr/>
        <w:t>total del</w:t>
      </w:r>
      <w:r>
        <w:rPr>
          <w:spacing w:val="-1"/>
        </w:rPr>
        <w:t> </w:t>
      </w:r>
      <w:r>
        <w:rPr/>
        <w:t>Ingresos, que comparado al periodo anterior genera una variación absoluta de ¢ 47.561,08 que corresponde a un incremento del 42,22% de recursos disponibles.</w:t>
      </w:r>
    </w:p>
    <w:p>
      <w:pPr>
        <w:pStyle w:val="BodyText"/>
        <w:spacing w:before="192"/>
      </w:pPr>
    </w:p>
    <w:p>
      <w:pPr>
        <w:pStyle w:val="Heading6"/>
        <w:ind w:left="730"/>
        <w:rPr>
          <w:b w:val="0"/>
        </w:rPr>
      </w:pPr>
      <w:r>
        <w:rPr>
          <w:color w:val="1F4E79"/>
          <w:spacing w:val="-2"/>
          <w:u w:val="single" w:color="1F4E79"/>
        </w:rPr>
        <w:t>Revelación</w:t>
      </w:r>
      <w:r>
        <w:rPr>
          <w:b w:val="0"/>
          <w:spacing w:val="-2"/>
          <w:u w:val="none"/>
        </w:rPr>
        <w:t>:</w:t>
      </w:r>
    </w:p>
    <w:p>
      <w:pPr>
        <w:pStyle w:val="BodyText"/>
      </w:pPr>
    </w:p>
    <w:p>
      <w:pPr>
        <w:pStyle w:val="BodyText"/>
        <w:spacing w:before="108"/>
      </w:pPr>
    </w:p>
    <w:p>
      <w:pPr>
        <w:pStyle w:val="BodyText"/>
        <w:spacing w:before="1"/>
        <w:ind w:left="730" w:right="923"/>
        <w:jc w:val="both"/>
      </w:pPr>
      <w:r>
        <w:rPr/>
        <w:t>La</w:t>
      </w:r>
      <w:r>
        <w:rPr>
          <w:spacing w:val="-3"/>
        </w:rPr>
        <w:t> </w:t>
      </w:r>
      <w:r>
        <w:rPr/>
        <w:t>cuenta</w:t>
      </w:r>
      <w:r>
        <w:rPr>
          <w:spacing w:val="-5"/>
        </w:rPr>
        <w:t> </w:t>
      </w:r>
      <w:r>
        <w:rPr/>
        <w:t>Recuperación</w:t>
      </w:r>
      <w:r>
        <w:rPr>
          <w:spacing w:val="-2"/>
        </w:rPr>
        <w:t> </w:t>
      </w:r>
      <w:r>
        <w:rPr/>
        <w:t>de</w:t>
      </w:r>
      <w:r>
        <w:rPr>
          <w:spacing w:val="-4"/>
        </w:rPr>
        <w:t> </w:t>
      </w:r>
      <w:r>
        <w:rPr/>
        <w:t>provisiones</w:t>
      </w:r>
      <w:r>
        <w:rPr>
          <w:spacing w:val="-1"/>
        </w:rPr>
        <w:t> </w:t>
      </w:r>
      <w:r>
        <w:rPr/>
        <w:t>y</w:t>
      </w:r>
      <w:r>
        <w:rPr>
          <w:spacing w:val="-3"/>
        </w:rPr>
        <w:t> </w:t>
      </w:r>
      <w:r>
        <w:rPr/>
        <w:t>reservas</w:t>
      </w:r>
      <w:r>
        <w:rPr>
          <w:spacing w:val="-4"/>
        </w:rPr>
        <w:t> </w:t>
      </w:r>
      <w:r>
        <w:rPr/>
        <w:t>técnicas,</w:t>
      </w:r>
      <w:r>
        <w:rPr>
          <w:spacing w:val="-2"/>
        </w:rPr>
        <w:t> </w:t>
      </w:r>
      <w:r>
        <w:rPr/>
        <w:t>representa</w:t>
      </w:r>
      <w:r>
        <w:rPr>
          <w:spacing w:val="-5"/>
        </w:rPr>
        <w:t> </w:t>
      </w:r>
      <w:r>
        <w:rPr/>
        <w:t>el</w:t>
      </w:r>
      <w:r>
        <w:rPr>
          <w:spacing w:val="-2"/>
        </w:rPr>
        <w:t> </w:t>
      </w:r>
      <w:r>
        <w:rPr/>
        <w:t>0,11%</w:t>
      </w:r>
      <w:r>
        <w:rPr>
          <w:spacing w:val="-2"/>
        </w:rPr>
        <w:t> </w:t>
      </w:r>
      <w:r>
        <w:rPr/>
        <w:t>del</w:t>
      </w:r>
      <w:r>
        <w:rPr>
          <w:spacing w:val="-2"/>
        </w:rPr>
        <w:t> </w:t>
      </w:r>
      <w:r>
        <w:rPr/>
        <w:t>total</w:t>
      </w:r>
      <w:r>
        <w:rPr>
          <w:spacing w:val="-3"/>
        </w:rPr>
        <w:t> </w:t>
      </w:r>
      <w:r>
        <w:rPr/>
        <w:t>del</w:t>
      </w:r>
      <w:r>
        <w:rPr>
          <w:spacing w:val="-2"/>
        </w:rPr>
        <w:t> </w:t>
      </w:r>
      <w:r>
        <w:rPr/>
        <w:t>Ingresos, que comparado al periodo</w:t>
      </w:r>
      <w:r>
        <w:rPr>
          <w:spacing w:val="-1"/>
        </w:rPr>
        <w:t> </w:t>
      </w:r>
      <w:r>
        <w:rPr/>
        <w:t>anterior genera una variación absoluta de ¢ 47.561,08 que corresponde a un incremento del 42,22% de recursos disponibles.</w:t>
      </w:r>
    </w:p>
    <w:p>
      <w:pPr>
        <w:pStyle w:val="BodyText"/>
        <w:spacing w:before="38"/>
      </w:pPr>
    </w:p>
    <w:p>
      <w:pPr>
        <w:pStyle w:val="BodyText"/>
        <w:spacing w:line="276" w:lineRule="auto"/>
        <w:ind w:left="730" w:right="1038"/>
        <w:jc w:val="both"/>
      </w:pPr>
      <w:r>
        <w:rPr/>
        <w:t>La</w:t>
      </w:r>
      <w:r>
        <w:rPr>
          <w:spacing w:val="-2"/>
        </w:rPr>
        <w:t> </w:t>
      </w:r>
      <w:r>
        <w:rPr/>
        <w:t>cuenta</w:t>
      </w:r>
      <w:r>
        <w:rPr>
          <w:spacing w:val="-1"/>
        </w:rPr>
        <w:t> </w:t>
      </w:r>
      <w:r>
        <w:rPr/>
        <w:t>se</w:t>
      </w:r>
      <w:r>
        <w:rPr>
          <w:spacing w:val="-2"/>
        </w:rPr>
        <w:t> </w:t>
      </w:r>
      <w:r>
        <w:rPr/>
        <w:t>utiliza</w:t>
      </w:r>
      <w:r>
        <w:rPr>
          <w:spacing w:val="-2"/>
        </w:rPr>
        <w:t> </w:t>
      </w:r>
      <w:r>
        <w:rPr/>
        <w:t>para</w:t>
      </w:r>
      <w:r>
        <w:rPr>
          <w:spacing w:val="-2"/>
        </w:rPr>
        <w:t> </w:t>
      </w:r>
      <w:r>
        <w:rPr/>
        <w:t>registrar</w:t>
      </w:r>
      <w:r>
        <w:rPr>
          <w:spacing w:val="-1"/>
        </w:rPr>
        <w:t> </w:t>
      </w:r>
      <w:r>
        <w:rPr/>
        <w:t>los ingresos derivados</w:t>
      </w:r>
      <w:r>
        <w:rPr>
          <w:spacing w:val="-5"/>
        </w:rPr>
        <w:t> </w:t>
      </w:r>
      <w:r>
        <w:rPr/>
        <w:t>de</w:t>
      </w:r>
      <w:r>
        <w:rPr>
          <w:spacing w:val="-3"/>
        </w:rPr>
        <w:t> </w:t>
      </w:r>
      <w:r>
        <w:rPr/>
        <w:t>la</w:t>
      </w:r>
      <w:r>
        <w:rPr>
          <w:spacing w:val="-3"/>
        </w:rPr>
        <w:t> </w:t>
      </w:r>
      <w:r>
        <w:rPr/>
        <w:t>reversión</w:t>
      </w:r>
      <w:r>
        <w:rPr>
          <w:spacing w:val="-1"/>
        </w:rPr>
        <w:t> </w:t>
      </w:r>
      <w:r>
        <w:rPr/>
        <w:t>total</w:t>
      </w:r>
      <w:r>
        <w:rPr>
          <w:spacing w:val="-5"/>
        </w:rPr>
        <w:t> </w:t>
      </w:r>
      <w:r>
        <w:rPr/>
        <w:t>o</w:t>
      </w:r>
      <w:r>
        <w:rPr>
          <w:spacing w:val="-1"/>
        </w:rPr>
        <w:t> </w:t>
      </w:r>
      <w:r>
        <w:rPr/>
        <w:t>parcial</w:t>
      </w:r>
      <w:r>
        <w:rPr>
          <w:spacing w:val="-1"/>
        </w:rPr>
        <w:t> </w:t>
      </w:r>
      <w:r>
        <w:rPr/>
        <w:t>de</w:t>
      </w:r>
      <w:r>
        <w:rPr>
          <w:spacing w:val="-2"/>
        </w:rPr>
        <w:t> </w:t>
      </w:r>
      <w:r>
        <w:rPr/>
        <w:t>provisiones y</w:t>
      </w:r>
      <w:r>
        <w:rPr>
          <w:spacing w:val="-4"/>
        </w:rPr>
        <w:t> </w:t>
      </w:r>
      <w:r>
        <w:rPr/>
        <w:t>reservas</w:t>
      </w:r>
      <w:r>
        <w:rPr>
          <w:spacing w:val="-2"/>
        </w:rPr>
        <w:t> </w:t>
      </w:r>
      <w:r>
        <w:rPr/>
        <w:t>técnicas,</w:t>
      </w:r>
      <w:r>
        <w:rPr>
          <w:spacing w:val="-3"/>
        </w:rPr>
        <w:t> </w:t>
      </w:r>
      <w:r>
        <w:rPr/>
        <w:t>cuando</w:t>
      </w:r>
      <w:r>
        <w:rPr>
          <w:spacing w:val="-4"/>
        </w:rPr>
        <w:t> </w:t>
      </w:r>
      <w:r>
        <w:rPr/>
        <w:t>dejan</w:t>
      </w:r>
      <w:r>
        <w:rPr>
          <w:spacing w:val="-3"/>
        </w:rPr>
        <w:t> </w:t>
      </w:r>
      <w:r>
        <w:rPr/>
        <w:t>de</w:t>
      </w:r>
      <w:r>
        <w:rPr>
          <w:spacing w:val="-4"/>
        </w:rPr>
        <w:t> </w:t>
      </w:r>
      <w:r>
        <w:rPr/>
        <w:t>existir,</w:t>
      </w:r>
      <w:r>
        <w:rPr>
          <w:spacing w:val="-3"/>
        </w:rPr>
        <w:t> </w:t>
      </w:r>
      <w:r>
        <w:rPr/>
        <w:t>total</w:t>
      </w:r>
      <w:r>
        <w:rPr>
          <w:spacing w:val="-4"/>
        </w:rPr>
        <w:t> </w:t>
      </w:r>
      <w:r>
        <w:rPr/>
        <w:t>o</w:t>
      </w:r>
      <w:r>
        <w:rPr>
          <w:spacing w:val="-3"/>
        </w:rPr>
        <w:t> </w:t>
      </w:r>
      <w:r>
        <w:rPr/>
        <w:t>parcialmente,</w:t>
      </w:r>
      <w:r>
        <w:rPr>
          <w:spacing w:val="-3"/>
        </w:rPr>
        <w:t> </w:t>
      </w:r>
      <w:r>
        <w:rPr/>
        <w:t>las</w:t>
      </w:r>
      <w:r>
        <w:rPr>
          <w:spacing w:val="-2"/>
        </w:rPr>
        <w:t> </w:t>
      </w:r>
      <w:r>
        <w:rPr/>
        <w:t>circunstancias</w:t>
      </w:r>
      <w:r>
        <w:rPr>
          <w:spacing w:val="-4"/>
        </w:rPr>
        <w:t> </w:t>
      </w:r>
      <w:r>
        <w:rPr/>
        <w:t>que</w:t>
      </w:r>
      <w:r>
        <w:rPr>
          <w:spacing w:val="-4"/>
        </w:rPr>
        <w:t> </w:t>
      </w:r>
      <w:r>
        <w:rPr/>
        <w:t>motivaron</w:t>
      </w:r>
      <w:r>
        <w:rPr>
          <w:spacing w:val="-4"/>
        </w:rPr>
        <w:t> </w:t>
      </w:r>
      <w:r>
        <w:rPr/>
        <w:t>su reconocimiento inicial, tales como:</w:t>
      </w:r>
    </w:p>
    <w:p>
      <w:pPr>
        <w:pStyle w:val="ListParagraph"/>
        <w:numPr>
          <w:ilvl w:val="0"/>
          <w:numId w:val="49"/>
        </w:numPr>
        <w:tabs>
          <w:tab w:pos="1449" w:val="left" w:leader="none"/>
        </w:tabs>
        <w:spacing w:line="240" w:lineRule="auto" w:before="1" w:after="0"/>
        <w:ind w:left="1449" w:right="0" w:hanging="359"/>
        <w:jc w:val="left"/>
        <w:rPr>
          <w:sz w:val="22"/>
        </w:rPr>
      </w:pPr>
      <w:r>
        <w:rPr>
          <w:sz w:val="22"/>
        </w:rPr>
        <w:t>Provisiones</w:t>
      </w:r>
      <w:r>
        <w:rPr>
          <w:spacing w:val="-2"/>
          <w:sz w:val="22"/>
        </w:rPr>
        <w:t> </w:t>
      </w:r>
      <w:r>
        <w:rPr>
          <w:sz w:val="22"/>
        </w:rPr>
        <w:t>por</w:t>
      </w:r>
      <w:r>
        <w:rPr>
          <w:spacing w:val="-2"/>
          <w:sz w:val="22"/>
        </w:rPr>
        <w:t> </w:t>
      </w:r>
      <w:r>
        <w:rPr>
          <w:sz w:val="22"/>
        </w:rPr>
        <w:t>beneficios</w:t>
      </w:r>
      <w:r>
        <w:rPr>
          <w:spacing w:val="-4"/>
          <w:sz w:val="22"/>
        </w:rPr>
        <w:t> </w:t>
      </w:r>
      <w:r>
        <w:rPr>
          <w:sz w:val="22"/>
        </w:rPr>
        <w:t>a</w:t>
      </w:r>
      <w:r>
        <w:rPr>
          <w:spacing w:val="-3"/>
          <w:sz w:val="22"/>
        </w:rPr>
        <w:t> </w:t>
      </w:r>
      <w:r>
        <w:rPr>
          <w:sz w:val="22"/>
        </w:rPr>
        <w:t>los</w:t>
      </w:r>
      <w:r>
        <w:rPr>
          <w:spacing w:val="-1"/>
          <w:sz w:val="22"/>
        </w:rPr>
        <w:t> </w:t>
      </w:r>
      <w:r>
        <w:rPr>
          <w:spacing w:val="-2"/>
          <w:sz w:val="22"/>
        </w:rPr>
        <w:t>empleados.</w:t>
      </w:r>
    </w:p>
    <w:p>
      <w:pPr>
        <w:pStyle w:val="ListParagraph"/>
        <w:numPr>
          <w:ilvl w:val="0"/>
          <w:numId w:val="49"/>
        </w:numPr>
        <w:tabs>
          <w:tab w:pos="1449" w:val="left" w:leader="none"/>
        </w:tabs>
        <w:spacing w:line="240" w:lineRule="auto" w:before="37" w:after="0"/>
        <w:ind w:left="1449" w:right="0" w:hanging="359"/>
        <w:jc w:val="left"/>
        <w:rPr>
          <w:sz w:val="22"/>
        </w:rPr>
      </w:pPr>
      <w:r>
        <w:rPr>
          <w:sz w:val="22"/>
        </w:rPr>
        <w:t>Provisiones</w:t>
      </w:r>
      <w:r>
        <w:rPr>
          <w:spacing w:val="-3"/>
          <w:sz w:val="22"/>
        </w:rPr>
        <w:t> </w:t>
      </w:r>
      <w:r>
        <w:rPr>
          <w:sz w:val="22"/>
        </w:rPr>
        <w:t>por</w:t>
      </w:r>
      <w:r>
        <w:rPr>
          <w:spacing w:val="-3"/>
          <w:sz w:val="22"/>
        </w:rPr>
        <w:t> </w:t>
      </w:r>
      <w:r>
        <w:rPr>
          <w:sz w:val="22"/>
        </w:rPr>
        <w:t>litigios</w:t>
      </w:r>
      <w:r>
        <w:rPr>
          <w:spacing w:val="-2"/>
          <w:sz w:val="22"/>
        </w:rPr>
        <w:t> </w:t>
      </w:r>
      <w:r>
        <w:rPr>
          <w:sz w:val="22"/>
        </w:rPr>
        <w:t>y</w:t>
      </w:r>
      <w:r>
        <w:rPr>
          <w:spacing w:val="-4"/>
          <w:sz w:val="22"/>
        </w:rPr>
        <w:t> </w:t>
      </w:r>
      <w:r>
        <w:rPr>
          <w:spacing w:val="-2"/>
          <w:sz w:val="22"/>
        </w:rPr>
        <w:t>demandas.</w:t>
      </w:r>
    </w:p>
    <w:p>
      <w:pPr>
        <w:pStyle w:val="ListParagraph"/>
        <w:numPr>
          <w:ilvl w:val="0"/>
          <w:numId w:val="49"/>
        </w:numPr>
        <w:tabs>
          <w:tab w:pos="1449" w:val="left" w:leader="none"/>
        </w:tabs>
        <w:spacing w:line="240" w:lineRule="auto" w:before="37" w:after="0"/>
        <w:ind w:left="1449" w:right="0" w:hanging="359"/>
        <w:jc w:val="left"/>
        <w:rPr>
          <w:sz w:val="22"/>
        </w:rPr>
      </w:pPr>
      <w:r>
        <w:rPr>
          <w:sz w:val="22"/>
        </w:rPr>
        <w:t>Otras</w:t>
      </w:r>
      <w:r>
        <w:rPr>
          <w:spacing w:val="-9"/>
          <w:sz w:val="22"/>
        </w:rPr>
        <w:t> </w:t>
      </w:r>
      <w:r>
        <w:rPr>
          <w:sz w:val="22"/>
        </w:rPr>
        <w:t>reservas</w:t>
      </w:r>
      <w:r>
        <w:rPr>
          <w:spacing w:val="-7"/>
          <w:sz w:val="22"/>
        </w:rPr>
        <w:t> </w:t>
      </w:r>
      <w:r>
        <w:rPr>
          <w:sz w:val="22"/>
        </w:rPr>
        <w:t>técnicas</w:t>
      </w:r>
      <w:r>
        <w:rPr>
          <w:spacing w:val="-4"/>
          <w:sz w:val="22"/>
        </w:rPr>
        <w:t> </w:t>
      </w:r>
      <w:r>
        <w:rPr>
          <w:sz w:val="22"/>
        </w:rPr>
        <w:t>constituidas</w:t>
      </w:r>
      <w:r>
        <w:rPr>
          <w:spacing w:val="-3"/>
          <w:sz w:val="22"/>
        </w:rPr>
        <w:t> </w:t>
      </w:r>
      <w:r>
        <w:rPr>
          <w:sz w:val="22"/>
        </w:rPr>
        <w:t>con</w:t>
      </w:r>
      <w:r>
        <w:rPr>
          <w:spacing w:val="-5"/>
          <w:sz w:val="22"/>
        </w:rPr>
        <w:t> </w:t>
      </w:r>
      <w:r>
        <w:rPr>
          <w:sz w:val="22"/>
        </w:rPr>
        <w:t>base</w:t>
      </w:r>
      <w:r>
        <w:rPr>
          <w:spacing w:val="-6"/>
          <w:sz w:val="22"/>
        </w:rPr>
        <w:t> </w:t>
      </w:r>
      <w:r>
        <w:rPr>
          <w:sz w:val="22"/>
        </w:rPr>
        <w:t>en</w:t>
      </w:r>
      <w:r>
        <w:rPr>
          <w:spacing w:val="-5"/>
          <w:sz w:val="22"/>
        </w:rPr>
        <w:t> </w:t>
      </w:r>
      <w:r>
        <w:rPr>
          <w:sz w:val="22"/>
        </w:rPr>
        <w:t>estimaciones</w:t>
      </w:r>
      <w:r>
        <w:rPr>
          <w:spacing w:val="-3"/>
          <w:sz w:val="22"/>
        </w:rPr>
        <w:t> </w:t>
      </w:r>
      <w:r>
        <w:rPr>
          <w:spacing w:val="-2"/>
          <w:sz w:val="22"/>
        </w:rPr>
        <w:t>prudenciales.</w:t>
      </w:r>
    </w:p>
    <w:p>
      <w:pPr>
        <w:pStyle w:val="BodyText"/>
        <w:spacing w:line="278" w:lineRule="auto" w:before="37"/>
        <w:ind w:left="730" w:right="1001"/>
      </w:pPr>
      <w:r>
        <w:rPr/>
        <w:t>La</w:t>
      </w:r>
      <w:r>
        <w:rPr>
          <w:spacing w:val="-3"/>
        </w:rPr>
        <w:t> </w:t>
      </w:r>
      <w:r>
        <w:rPr/>
        <w:t>recuperación</w:t>
      </w:r>
      <w:r>
        <w:rPr>
          <w:spacing w:val="-2"/>
        </w:rPr>
        <w:t> </w:t>
      </w:r>
      <w:r>
        <w:rPr/>
        <w:t>se</w:t>
      </w:r>
      <w:r>
        <w:rPr>
          <w:spacing w:val="-3"/>
        </w:rPr>
        <w:t> </w:t>
      </w:r>
      <w:r>
        <w:rPr/>
        <w:t>reconoce</w:t>
      </w:r>
      <w:r>
        <w:rPr>
          <w:spacing w:val="-3"/>
        </w:rPr>
        <w:t> </w:t>
      </w:r>
      <w:r>
        <w:rPr/>
        <w:t>únicamente</w:t>
      </w:r>
      <w:r>
        <w:rPr>
          <w:spacing w:val="-2"/>
        </w:rPr>
        <w:t> </w:t>
      </w:r>
      <w:r>
        <w:rPr/>
        <w:t>cuando</w:t>
      </w:r>
      <w:r>
        <w:rPr>
          <w:spacing w:val="-2"/>
        </w:rPr>
        <w:t> </w:t>
      </w:r>
      <w:r>
        <w:rPr/>
        <w:t>la</w:t>
      </w:r>
      <w:r>
        <w:rPr>
          <w:spacing w:val="-3"/>
        </w:rPr>
        <w:t> </w:t>
      </w:r>
      <w:r>
        <w:rPr/>
        <w:t>obligación</w:t>
      </w:r>
      <w:r>
        <w:rPr>
          <w:spacing w:val="-2"/>
        </w:rPr>
        <w:t> </w:t>
      </w:r>
      <w:r>
        <w:rPr/>
        <w:t>o</w:t>
      </w:r>
      <w:r>
        <w:rPr>
          <w:spacing w:val="-1"/>
        </w:rPr>
        <w:t> </w:t>
      </w:r>
      <w:r>
        <w:rPr/>
        <w:t>el</w:t>
      </w:r>
      <w:r>
        <w:rPr>
          <w:spacing w:val="-2"/>
        </w:rPr>
        <w:t> </w:t>
      </w:r>
      <w:r>
        <w:rPr/>
        <w:t>riesgo</w:t>
      </w:r>
      <w:r>
        <w:rPr>
          <w:spacing w:val="-2"/>
        </w:rPr>
        <w:t> </w:t>
      </w:r>
      <w:r>
        <w:rPr/>
        <w:t>estimado</w:t>
      </w:r>
      <w:r>
        <w:rPr>
          <w:spacing w:val="-4"/>
        </w:rPr>
        <w:t> </w:t>
      </w:r>
      <w:r>
        <w:rPr/>
        <w:t>disminuye</w:t>
      </w:r>
      <w:r>
        <w:rPr>
          <w:spacing w:val="-3"/>
        </w:rPr>
        <w:t> </w:t>
      </w:r>
      <w:r>
        <w:rPr/>
        <w:t>o</w:t>
      </w:r>
      <w:r>
        <w:rPr>
          <w:spacing w:val="-4"/>
        </w:rPr>
        <w:t> </w:t>
      </w:r>
      <w:r>
        <w:rPr/>
        <w:t>se extingue, y existe evidencia suficiente que respalde dicha situación.</w:t>
      </w:r>
    </w:p>
    <w:p>
      <w:pPr>
        <w:pStyle w:val="BodyText"/>
        <w:spacing w:before="33"/>
      </w:pPr>
    </w:p>
    <w:p>
      <w:pPr>
        <w:pStyle w:val="BodyText"/>
        <w:spacing w:line="276" w:lineRule="auto" w:before="1"/>
        <w:ind w:left="730" w:right="1001"/>
      </w:pPr>
      <w:r>
        <w:rPr/>
        <w:t>Al</w:t>
      </w:r>
      <w:r>
        <w:rPr>
          <w:spacing w:val="-3"/>
        </w:rPr>
        <w:t> </w:t>
      </w:r>
      <w:r>
        <w:rPr/>
        <w:t>31</w:t>
      </w:r>
      <w:r>
        <w:rPr>
          <w:spacing w:val="-3"/>
        </w:rPr>
        <w:t> </w:t>
      </w:r>
      <w:r>
        <w:rPr/>
        <w:t>de</w:t>
      </w:r>
      <w:r>
        <w:rPr>
          <w:spacing w:val="-4"/>
        </w:rPr>
        <w:t> </w:t>
      </w:r>
      <w:r>
        <w:rPr/>
        <w:t>julio</w:t>
      </w:r>
      <w:r>
        <w:rPr>
          <w:spacing w:val="-3"/>
        </w:rPr>
        <w:t> </w:t>
      </w:r>
      <w:r>
        <w:rPr/>
        <w:t>2026,</w:t>
      </w:r>
      <w:r>
        <w:rPr>
          <w:spacing w:val="-3"/>
        </w:rPr>
        <w:t> </w:t>
      </w:r>
      <w:r>
        <w:rPr/>
        <w:t>se</w:t>
      </w:r>
      <w:r>
        <w:rPr>
          <w:spacing w:val="-4"/>
        </w:rPr>
        <w:t> </w:t>
      </w:r>
      <w:r>
        <w:rPr/>
        <w:t>efectuó</w:t>
      </w:r>
      <w:r>
        <w:rPr>
          <w:spacing w:val="-3"/>
        </w:rPr>
        <w:t> </w:t>
      </w:r>
      <w:r>
        <w:rPr/>
        <w:t>revisiones</w:t>
      </w:r>
      <w:r>
        <w:rPr>
          <w:spacing w:val="-2"/>
        </w:rPr>
        <w:t> </w:t>
      </w:r>
      <w:r>
        <w:rPr/>
        <w:t>en</w:t>
      </w:r>
      <w:r>
        <w:rPr>
          <w:spacing w:val="-3"/>
        </w:rPr>
        <w:t> </w:t>
      </w:r>
      <w:r>
        <w:rPr/>
        <w:t>cumplimiento</w:t>
      </w:r>
      <w:r>
        <w:rPr>
          <w:spacing w:val="-2"/>
        </w:rPr>
        <w:t> </w:t>
      </w:r>
      <w:r>
        <w:rPr/>
        <w:t>con</w:t>
      </w:r>
      <w:r>
        <w:rPr>
          <w:spacing w:val="-3"/>
        </w:rPr>
        <w:t> </w:t>
      </w:r>
      <w:r>
        <w:rPr/>
        <w:t>los</w:t>
      </w:r>
      <w:r>
        <w:rPr>
          <w:spacing w:val="-2"/>
        </w:rPr>
        <w:t> </w:t>
      </w:r>
      <w:r>
        <w:rPr/>
        <w:t>lineamentos</w:t>
      </w:r>
      <w:r>
        <w:rPr>
          <w:spacing w:val="-2"/>
        </w:rPr>
        <w:t> </w:t>
      </w:r>
      <w:r>
        <w:rPr/>
        <w:t>internos</w:t>
      </w:r>
      <w:r>
        <w:rPr>
          <w:spacing w:val="-2"/>
        </w:rPr>
        <w:t> </w:t>
      </w:r>
      <w:r>
        <w:rPr/>
        <w:t>de</w:t>
      </w:r>
      <w:r>
        <w:rPr>
          <w:spacing w:val="-5"/>
        </w:rPr>
        <w:t> </w:t>
      </w:r>
      <w:r>
        <w:rPr/>
        <w:t>las provisiones y reservas técnicas reconocidas, concluyendo que:</w:t>
      </w:r>
    </w:p>
    <w:p>
      <w:pPr>
        <w:pStyle w:val="ListParagraph"/>
        <w:numPr>
          <w:ilvl w:val="0"/>
          <w:numId w:val="49"/>
        </w:numPr>
        <w:tabs>
          <w:tab w:pos="1449" w:val="left" w:leader="none"/>
        </w:tabs>
        <w:spacing w:line="240" w:lineRule="auto" w:before="1" w:after="0"/>
        <w:ind w:left="1449" w:right="0" w:hanging="359"/>
        <w:jc w:val="left"/>
        <w:rPr>
          <w:sz w:val="22"/>
        </w:rPr>
      </w:pPr>
      <w:r>
        <w:rPr>
          <w:sz w:val="22"/>
        </w:rPr>
        <w:t>Las</w:t>
      </w:r>
      <w:r>
        <w:rPr>
          <w:spacing w:val="-6"/>
          <w:sz w:val="22"/>
        </w:rPr>
        <w:t> </w:t>
      </w:r>
      <w:r>
        <w:rPr>
          <w:sz w:val="22"/>
        </w:rPr>
        <w:t>obligaciones</w:t>
      </w:r>
      <w:r>
        <w:rPr>
          <w:spacing w:val="-3"/>
          <w:sz w:val="22"/>
        </w:rPr>
        <w:t> </w:t>
      </w:r>
      <w:r>
        <w:rPr>
          <w:sz w:val="22"/>
        </w:rPr>
        <w:t>que</w:t>
      </w:r>
      <w:r>
        <w:rPr>
          <w:spacing w:val="-6"/>
          <w:sz w:val="22"/>
        </w:rPr>
        <w:t> </w:t>
      </w:r>
      <w:r>
        <w:rPr>
          <w:sz w:val="22"/>
        </w:rPr>
        <w:t>dieron</w:t>
      </w:r>
      <w:r>
        <w:rPr>
          <w:spacing w:val="-6"/>
          <w:sz w:val="22"/>
        </w:rPr>
        <w:t> </w:t>
      </w:r>
      <w:r>
        <w:rPr>
          <w:sz w:val="22"/>
        </w:rPr>
        <w:t>origen</w:t>
      </w:r>
      <w:r>
        <w:rPr>
          <w:spacing w:val="-4"/>
          <w:sz w:val="22"/>
        </w:rPr>
        <w:t> </w:t>
      </w:r>
      <w:r>
        <w:rPr>
          <w:sz w:val="22"/>
        </w:rPr>
        <w:t>a</w:t>
      </w:r>
      <w:r>
        <w:rPr>
          <w:spacing w:val="-4"/>
          <w:sz w:val="22"/>
        </w:rPr>
        <w:t> </w:t>
      </w:r>
      <w:r>
        <w:rPr>
          <w:sz w:val="22"/>
        </w:rPr>
        <w:t>dichas</w:t>
      </w:r>
      <w:r>
        <w:rPr>
          <w:spacing w:val="-3"/>
          <w:sz w:val="22"/>
        </w:rPr>
        <w:t> </w:t>
      </w:r>
      <w:r>
        <w:rPr>
          <w:sz w:val="22"/>
        </w:rPr>
        <w:t>provisiones</w:t>
      </w:r>
      <w:r>
        <w:rPr>
          <w:spacing w:val="-6"/>
          <w:sz w:val="22"/>
        </w:rPr>
        <w:t> </w:t>
      </w:r>
      <w:r>
        <w:rPr>
          <w:sz w:val="22"/>
        </w:rPr>
        <w:t>y</w:t>
      </w:r>
      <w:r>
        <w:rPr>
          <w:spacing w:val="-5"/>
          <w:sz w:val="22"/>
        </w:rPr>
        <w:t> </w:t>
      </w:r>
      <w:r>
        <w:rPr>
          <w:sz w:val="22"/>
        </w:rPr>
        <w:t>reservas</w:t>
      </w:r>
      <w:r>
        <w:rPr>
          <w:spacing w:val="-3"/>
          <w:sz w:val="22"/>
        </w:rPr>
        <w:t> </w:t>
      </w:r>
      <w:r>
        <w:rPr>
          <w:sz w:val="22"/>
        </w:rPr>
        <w:t>técnicas</w:t>
      </w:r>
      <w:r>
        <w:rPr>
          <w:spacing w:val="-3"/>
          <w:sz w:val="22"/>
        </w:rPr>
        <w:t> </w:t>
      </w:r>
      <w:r>
        <w:rPr>
          <w:sz w:val="22"/>
        </w:rPr>
        <w:t>son</w:t>
      </w:r>
      <w:r>
        <w:rPr>
          <w:spacing w:val="-4"/>
          <w:sz w:val="22"/>
        </w:rPr>
        <w:t> </w:t>
      </w:r>
      <w:r>
        <w:rPr>
          <w:sz w:val="22"/>
        </w:rPr>
        <w:t>los</w:t>
      </w:r>
      <w:r>
        <w:rPr>
          <w:spacing w:val="-3"/>
          <w:sz w:val="22"/>
        </w:rPr>
        <w:t> </w:t>
      </w:r>
      <w:r>
        <w:rPr>
          <w:spacing w:val="-2"/>
          <w:sz w:val="22"/>
        </w:rPr>
        <w:t>vigentes.</w:t>
      </w:r>
    </w:p>
    <w:p>
      <w:pPr>
        <w:pStyle w:val="ListParagraph"/>
        <w:numPr>
          <w:ilvl w:val="0"/>
          <w:numId w:val="49"/>
        </w:numPr>
        <w:tabs>
          <w:tab w:pos="1450" w:val="left" w:leader="none"/>
        </w:tabs>
        <w:spacing w:line="273" w:lineRule="auto" w:before="37" w:after="0"/>
        <w:ind w:left="1450" w:right="927" w:hanging="360"/>
        <w:jc w:val="left"/>
        <w:rPr>
          <w:sz w:val="22"/>
        </w:rPr>
      </w:pPr>
      <w:r>
        <w:rPr>
          <w:sz w:val="22"/>
        </w:rPr>
        <w:t>Se produjeron resoluciones administrativas, judiciales o eventos económicos que implicaran la disminución o eliminación de los riesgos estimados.</w:t>
      </w:r>
    </w:p>
    <w:p>
      <w:pPr>
        <w:pStyle w:val="ListParagraph"/>
        <w:numPr>
          <w:ilvl w:val="0"/>
          <w:numId w:val="49"/>
        </w:numPr>
        <w:tabs>
          <w:tab w:pos="1450" w:val="left" w:leader="none"/>
        </w:tabs>
        <w:spacing w:line="276" w:lineRule="auto" w:before="4" w:after="0"/>
        <w:ind w:left="1450" w:right="927" w:hanging="360"/>
        <w:jc w:val="left"/>
        <w:rPr>
          <w:sz w:val="22"/>
        </w:rPr>
      </w:pPr>
      <w:r>
        <w:rPr>
          <w:sz w:val="22"/>
        </w:rPr>
        <w:t>Las</w:t>
      </w:r>
      <w:r>
        <w:rPr>
          <w:spacing w:val="-14"/>
          <w:sz w:val="22"/>
        </w:rPr>
        <w:t> </w:t>
      </w:r>
      <w:r>
        <w:rPr>
          <w:sz w:val="22"/>
        </w:rPr>
        <w:t>provisiones</w:t>
      </w:r>
      <w:r>
        <w:rPr>
          <w:spacing w:val="-14"/>
          <w:sz w:val="22"/>
        </w:rPr>
        <w:t> </w:t>
      </w:r>
      <w:r>
        <w:rPr>
          <w:sz w:val="22"/>
        </w:rPr>
        <w:t>por</w:t>
      </w:r>
      <w:r>
        <w:rPr>
          <w:spacing w:val="-12"/>
          <w:sz w:val="22"/>
        </w:rPr>
        <w:t> </w:t>
      </w:r>
      <w:r>
        <w:rPr>
          <w:sz w:val="22"/>
        </w:rPr>
        <w:t>beneficios</w:t>
      </w:r>
      <w:r>
        <w:rPr>
          <w:spacing w:val="-14"/>
          <w:sz w:val="22"/>
        </w:rPr>
        <w:t> </w:t>
      </w:r>
      <w:r>
        <w:rPr>
          <w:sz w:val="22"/>
        </w:rPr>
        <w:t>a</w:t>
      </w:r>
      <w:r>
        <w:rPr>
          <w:spacing w:val="-13"/>
          <w:sz w:val="22"/>
        </w:rPr>
        <w:t> </w:t>
      </w:r>
      <w:r>
        <w:rPr>
          <w:sz w:val="22"/>
        </w:rPr>
        <w:t>los</w:t>
      </w:r>
      <w:r>
        <w:rPr>
          <w:spacing w:val="-12"/>
          <w:sz w:val="22"/>
        </w:rPr>
        <w:t> </w:t>
      </w:r>
      <w:r>
        <w:rPr>
          <w:sz w:val="22"/>
        </w:rPr>
        <w:t>empleados,</w:t>
      </w:r>
      <w:r>
        <w:rPr>
          <w:spacing w:val="-13"/>
          <w:sz w:val="22"/>
        </w:rPr>
        <w:t> </w:t>
      </w:r>
      <w:r>
        <w:rPr>
          <w:sz w:val="22"/>
        </w:rPr>
        <w:t>litigios</w:t>
      </w:r>
      <w:r>
        <w:rPr>
          <w:spacing w:val="-14"/>
          <w:sz w:val="22"/>
        </w:rPr>
        <w:t> </w:t>
      </w:r>
      <w:r>
        <w:rPr>
          <w:sz w:val="22"/>
        </w:rPr>
        <w:t>y</w:t>
      </w:r>
      <w:r>
        <w:rPr>
          <w:spacing w:val="-14"/>
          <w:sz w:val="22"/>
        </w:rPr>
        <w:t> </w:t>
      </w:r>
      <w:r>
        <w:rPr>
          <w:sz w:val="22"/>
        </w:rPr>
        <w:t>otras</w:t>
      </w:r>
      <w:r>
        <w:rPr>
          <w:spacing w:val="-14"/>
          <w:sz w:val="22"/>
        </w:rPr>
        <w:t> </w:t>
      </w:r>
      <w:r>
        <w:rPr>
          <w:sz w:val="22"/>
        </w:rPr>
        <w:t>obligaciones,</w:t>
      </w:r>
      <w:r>
        <w:rPr>
          <w:spacing w:val="-13"/>
          <w:sz w:val="22"/>
        </w:rPr>
        <w:t> </w:t>
      </w:r>
      <w:r>
        <w:rPr>
          <w:sz w:val="22"/>
        </w:rPr>
        <w:t>surgen</w:t>
      </w:r>
      <w:r>
        <w:rPr>
          <w:spacing w:val="-14"/>
          <w:sz w:val="22"/>
        </w:rPr>
        <w:t> </w:t>
      </w:r>
      <w:r>
        <w:rPr>
          <w:sz w:val="22"/>
        </w:rPr>
        <w:t>de</w:t>
      </w:r>
      <w:r>
        <w:rPr>
          <w:spacing w:val="-14"/>
          <w:sz w:val="22"/>
        </w:rPr>
        <w:t> </w:t>
      </w:r>
      <w:r>
        <w:rPr>
          <w:sz w:val="22"/>
        </w:rPr>
        <w:t>acuerdo con los procesos judiciales en cumplimiento con el marco jurídico.</w:t>
      </w:r>
    </w:p>
    <w:p>
      <w:pPr>
        <w:pStyle w:val="BodyText"/>
        <w:spacing w:before="38"/>
      </w:pPr>
    </w:p>
    <w:p>
      <w:pPr>
        <w:pStyle w:val="BodyText"/>
        <w:spacing w:line="276" w:lineRule="auto"/>
        <w:ind w:left="730" w:right="1001"/>
      </w:pPr>
      <w:r>
        <w:rPr/>
        <w:t>En</w:t>
      </w:r>
      <w:r>
        <w:rPr>
          <w:spacing w:val="-3"/>
        </w:rPr>
        <w:t> </w:t>
      </w:r>
      <w:r>
        <w:rPr/>
        <w:t>consecuencia,</w:t>
      </w:r>
      <w:r>
        <w:rPr>
          <w:spacing w:val="-3"/>
        </w:rPr>
        <w:t> </w:t>
      </w:r>
      <w:r>
        <w:rPr/>
        <w:t>se</w:t>
      </w:r>
      <w:r>
        <w:rPr>
          <w:spacing w:val="-4"/>
        </w:rPr>
        <w:t> </w:t>
      </w:r>
      <w:r>
        <w:rPr/>
        <w:t>reflejan</w:t>
      </w:r>
      <w:r>
        <w:rPr>
          <w:spacing w:val="-3"/>
        </w:rPr>
        <w:t> </w:t>
      </w:r>
      <w:r>
        <w:rPr/>
        <w:t>recuperación</w:t>
      </w:r>
      <w:r>
        <w:rPr>
          <w:spacing w:val="-3"/>
        </w:rPr>
        <w:t> </w:t>
      </w:r>
      <w:r>
        <w:rPr/>
        <w:t>de</w:t>
      </w:r>
      <w:r>
        <w:rPr>
          <w:spacing w:val="-5"/>
        </w:rPr>
        <w:t> </w:t>
      </w:r>
      <w:r>
        <w:rPr/>
        <w:t>provisiones</w:t>
      </w:r>
      <w:r>
        <w:rPr>
          <w:spacing w:val="-2"/>
        </w:rPr>
        <w:t> </w:t>
      </w:r>
      <w:r>
        <w:rPr/>
        <w:t>por</w:t>
      </w:r>
      <w:r>
        <w:rPr>
          <w:spacing w:val="-3"/>
        </w:rPr>
        <w:t> </w:t>
      </w:r>
      <w:r>
        <w:rPr/>
        <w:t>concepto</w:t>
      </w:r>
      <w:r>
        <w:rPr>
          <w:spacing w:val="-5"/>
        </w:rPr>
        <w:t> </w:t>
      </w:r>
      <w:r>
        <w:rPr/>
        <w:t>recuperación</w:t>
      </w:r>
      <w:r>
        <w:rPr>
          <w:spacing w:val="-3"/>
        </w:rPr>
        <w:t> </w:t>
      </w:r>
      <w:r>
        <w:rPr/>
        <w:t>de</w:t>
      </w:r>
      <w:r>
        <w:rPr>
          <w:spacing w:val="-5"/>
        </w:rPr>
        <w:t> </w:t>
      </w:r>
      <w:r>
        <w:rPr/>
        <w:t>provisiones beneficios a empleados (35,1%), al igual que los litigios-demandas, como se muestra en el siguiente </w:t>
      </w:r>
      <w:r>
        <w:rPr>
          <w:spacing w:val="-2"/>
        </w:rPr>
        <w:t>detalle:</w:t>
      </w:r>
    </w:p>
    <w:p>
      <w:pPr>
        <w:pStyle w:val="BodyText"/>
        <w:spacing w:after="0" w:line="27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4032">
                <wp:simplePos x="0" y="0"/>
                <wp:positionH relativeFrom="page">
                  <wp:posOffset>9525</wp:posOffset>
                </wp:positionH>
                <wp:positionV relativeFrom="page">
                  <wp:posOffset>297208</wp:posOffset>
                </wp:positionV>
                <wp:extent cx="7762875" cy="9748520"/>
                <wp:effectExtent l="0" t="0" r="0" b="0"/>
                <wp:wrapNone/>
                <wp:docPr id="594" name="Group 594"/>
                <wp:cNvGraphicFramePr>
                  <a:graphicFrameLocks/>
                </wp:cNvGraphicFramePr>
                <a:graphic>
                  <a:graphicData uri="http://schemas.microsoft.com/office/word/2010/wordprocessingGroup">
                    <wpg:wgp>
                      <wpg:cNvPr id="594" name="Group 594"/>
                      <wpg:cNvGrpSpPr/>
                      <wpg:grpSpPr>
                        <a:xfrm>
                          <a:off x="0" y="0"/>
                          <a:ext cx="7762875" cy="9748520"/>
                          <a:chExt cx="7762875" cy="9748520"/>
                        </a:xfrm>
                      </wpg:grpSpPr>
                      <pic:pic>
                        <pic:nvPicPr>
                          <pic:cNvPr id="595" name="Image 595"/>
                          <pic:cNvPicPr/>
                        </pic:nvPicPr>
                        <pic:blipFill>
                          <a:blip r:embed="rId5" cstate="print"/>
                          <a:stretch>
                            <a:fillRect/>
                          </a:stretch>
                        </pic:blipFill>
                        <pic:spPr>
                          <a:xfrm>
                            <a:off x="0" y="0"/>
                            <a:ext cx="7762874" cy="9748489"/>
                          </a:xfrm>
                          <a:prstGeom prst="rect">
                            <a:avLst/>
                          </a:prstGeom>
                        </pic:spPr>
                      </pic:pic>
                      <wps:wsp>
                        <wps:cNvPr id="596" name="Graphic 59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72448" id="docshapegroup572" coordorigin="15,468" coordsize="12225,15352">
                <v:shape style="position:absolute;left:15;top:468;width:12225;height:15352" type="#_x0000_t75" id="docshape573" stroked="false">
                  <v:imagedata r:id="rId5" o:title=""/>
                </v:shape>
                <v:rect style="position:absolute;left:1673;top:2028;width:8897;height:15" id="docshape57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121</w:t>
      </w:r>
    </w:p>
    <w:p>
      <w:pPr>
        <w:spacing w:before="218"/>
        <w:ind w:left="622" w:right="0" w:firstLine="0"/>
        <w:jc w:val="left"/>
        <w:rPr>
          <w:b/>
          <w:sz w:val="22"/>
        </w:rPr>
      </w:pPr>
      <w:bookmarkStart w:name="_bookmark103" w:id="104"/>
      <w:bookmarkEnd w:id="104"/>
      <w:r>
        <w:rPr/>
      </w:r>
      <w:r>
        <w:rPr>
          <w:b/>
          <w:sz w:val="22"/>
        </w:rPr>
        <w:t>NOTA</w:t>
      </w:r>
      <w:r>
        <w:rPr>
          <w:b/>
          <w:spacing w:val="-1"/>
          <w:sz w:val="22"/>
        </w:rPr>
        <w:t> </w:t>
      </w:r>
      <w:r>
        <w:rPr>
          <w:b/>
          <w:sz w:val="22"/>
        </w:rPr>
        <w:t>N° </w:t>
      </w:r>
      <w:r>
        <w:rPr>
          <w:b/>
          <w:spacing w:val="-5"/>
          <w:sz w:val="22"/>
        </w:rPr>
        <w:t>57</w:t>
      </w:r>
    </w:p>
    <w:p>
      <w:pPr>
        <w:pStyle w:val="BodyText"/>
        <w:spacing w:before="114"/>
        <w:rPr>
          <w:b/>
        </w:rPr>
      </w:pPr>
    </w:p>
    <w:p>
      <w:pPr>
        <w:pStyle w:val="BodyText"/>
        <w:spacing w:before="1"/>
        <w:ind w:left="622"/>
      </w:pPr>
      <w:r>
        <w:rPr/>
        <w:t>Resultados</w:t>
      </w:r>
      <w:r>
        <w:rPr>
          <w:spacing w:val="-6"/>
        </w:rPr>
        <w:t> </w:t>
      </w:r>
      <w:r>
        <w:rPr/>
        <w:t>positivos</w:t>
      </w:r>
      <w:r>
        <w:rPr>
          <w:spacing w:val="-5"/>
        </w:rPr>
        <w:t> </w:t>
      </w:r>
      <w:r>
        <w:rPr/>
        <w:t>de</w:t>
      </w:r>
      <w:r>
        <w:rPr>
          <w:spacing w:val="-6"/>
        </w:rPr>
        <w:t> </w:t>
      </w:r>
      <w:r>
        <w:rPr/>
        <w:t>inversiones</w:t>
      </w:r>
      <w:r>
        <w:rPr>
          <w:spacing w:val="-5"/>
        </w:rPr>
        <w:t> </w:t>
      </w:r>
      <w:r>
        <w:rPr/>
        <w:t>patrimoniales</w:t>
      </w:r>
      <w:r>
        <w:rPr>
          <w:spacing w:val="-6"/>
        </w:rPr>
        <w:t> </w:t>
      </w:r>
      <w:r>
        <w:rPr/>
        <w:t>y</w:t>
      </w:r>
      <w:r>
        <w:rPr>
          <w:spacing w:val="-7"/>
        </w:rPr>
        <w:t> </w:t>
      </w:r>
      <w:r>
        <w:rPr/>
        <w:t>participación</w:t>
      </w:r>
      <w:r>
        <w:rPr>
          <w:spacing w:val="-6"/>
        </w:rPr>
        <w:t> </w:t>
      </w:r>
      <w:r>
        <w:rPr/>
        <w:t>de</w:t>
      </w:r>
      <w:r>
        <w:rPr>
          <w:spacing w:val="-7"/>
        </w:rPr>
        <w:t> </w:t>
      </w:r>
      <w:r>
        <w:rPr/>
        <w:t>los</w:t>
      </w:r>
      <w:r>
        <w:rPr>
          <w:spacing w:val="-5"/>
        </w:rPr>
        <w:t> </w:t>
      </w:r>
      <w:r>
        <w:rPr/>
        <w:t>intereses</w:t>
      </w:r>
      <w:r>
        <w:rPr>
          <w:spacing w:val="-5"/>
        </w:rPr>
        <w:t> </w:t>
      </w:r>
      <w:r>
        <w:rPr>
          <w:spacing w:val="-2"/>
        </w:rPr>
        <w:t>minoritarios</w:t>
      </w:r>
    </w:p>
    <w:p>
      <w:pPr>
        <w:pStyle w:val="BodyText"/>
        <w:rPr>
          <w:sz w:val="20"/>
        </w:rPr>
      </w:pPr>
    </w:p>
    <w:p>
      <w:pPr>
        <w:pStyle w:val="BodyText"/>
        <w:rPr>
          <w:sz w:val="20"/>
        </w:rPr>
      </w:pPr>
    </w:p>
    <w:p>
      <w:pPr>
        <w:pStyle w:val="BodyText"/>
        <w:spacing w:before="4" w:after="1"/>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2"/>
        <w:gridCol w:w="4215"/>
        <w:gridCol w:w="532"/>
        <w:gridCol w:w="1207"/>
        <w:gridCol w:w="1259"/>
        <w:gridCol w:w="971"/>
      </w:tblGrid>
      <w:tr>
        <w:trPr>
          <w:trHeight w:val="229" w:hRule="atLeast"/>
        </w:trPr>
        <w:tc>
          <w:tcPr>
            <w:tcW w:w="972" w:type="dxa"/>
            <w:vMerge w:val="restart"/>
            <w:shd w:val="clear" w:color="auto" w:fill="365F92"/>
          </w:tcPr>
          <w:p>
            <w:pPr>
              <w:pStyle w:val="TableParagraph"/>
              <w:spacing w:before="34"/>
              <w:ind w:left="69"/>
              <w:rPr>
                <w:b/>
                <w:sz w:val="20"/>
              </w:rPr>
            </w:pPr>
            <w:r>
              <w:rPr>
                <w:b/>
                <w:color w:val="FFFFFF"/>
                <w:spacing w:val="-2"/>
                <w:sz w:val="20"/>
              </w:rPr>
              <w:t>Cuenta</w:t>
            </w:r>
          </w:p>
        </w:tc>
        <w:tc>
          <w:tcPr>
            <w:tcW w:w="4215" w:type="dxa"/>
            <w:vMerge w:val="restart"/>
            <w:shd w:val="clear" w:color="auto" w:fill="365F92"/>
          </w:tcPr>
          <w:p>
            <w:pPr>
              <w:pStyle w:val="TableParagraph"/>
              <w:spacing w:before="123"/>
              <w:ind w:left="16"/>
              <w:jc w:val="center"/>
              <w:rPr>
                <w:b/>
                <w:sz w:val="20"/>
              </w:rPr>
            </w:pPr>
            <w:r>
              <w:rPr>
                <w:b/>
                <w:color w:val="FFFFFF"/>
                <w:spacing w:val="-2"/>
                <w:sz w:val="20"/>
              </w:rPr>
              <w:t>Descripción</w:t>
            </w:r>
          </w:p>
        </w:tc>
        <w:tc>
          <w:tcPr>
            <w:tcW w:w="532" w:type="dxa"/>
            <w:vMerge w:val="restart"/>
            <w:shd w:val="clear" w:color="auto" w:fill="365F92"/>
          </w:tcPr>
          <w:p>
            <w:pPr>
              <w:pStyle w:val="TableParagraph"/>
              <w:spacing w:before="123"/>
              <w:ind w:left="69"/>
              <w:rPr>
                <w:b/>
                <w:sz w:val="20"/>
              </w:rPr>
            </w:pPr>
            <w:r>
              <w:rPr>
                <w:b/>
                <w:color w:val="FFFFFF"/>
                <w:spacing w:val="-4"/>
                <w:sz w:val="20"/>
              </w:rPr>
              <w:t>Nota</w:t>
            </w:r>
          </w:p>
        </w:tc>
        <w:tc>
          <w:tcPr>
            <w:tcW w:w="1207" w:type="dxa"/>
            <w:vMerge w:val="restart"/>
            <w:shd w:val="clear" w:color="auto" w:fill="365F92"/>
          </w:tcPr>
          <w:p>
            <w:pPr>
              <w:pStyle w:val="TableParagraph"/>
              <w:spacing w:line="220" w:lineRule="atLeast"/>
              <w:ind w:left="349" w:right="235" w:hanging="39"/>
              <w:rPr>
                <w:b/>
                <w:sz w:val="20"/>
              </w:rPr>
            </w:pPr>
            <w:r>
              <w:rPr>
                <w:b/>
                <w:color w:val="FFFFFF"/>
                <w:spacing w:val="-2"/>
                <w:sz w:val="20"/>
              </w:rPr>
              <w:t>Periodo Actual</w:t>
            </w:r>
          </w:p>
        </w:tc>
        <w:tc>
          <w:tcPr>
            <w:tcW w:w="1259" w:type="dxa"/>
            <w:vMerge w:val="restart"/>
            <w:shd w:val="clear" w:color="auto" w:fill="365F92"/>
          </w:tcPr>
          <w:p>
            <w:pPr>
              <w:pStyle w:val="TableParagraph"/>
              <w:spacing w:line="220" w:lineRule="atLeast"/>
              <w:ind w:left="291" w:right="263" w:firstLine="45"/>
              <w:rPr>
                <w:b/>
                <w:sz w:val="20"/>
              </w:rPr>
            </w:pPr>
            <w:r>
              <w:rPr>
                <w:b/>
                <w:color w:val="FFFFFF"/>
                <w:spacing w:val="-2"/>
                <w:sz w:val="20"/>
              </w:rPr>
              <w:t>Periodo Anterior</w:t>
            </w:r>
          </w:p>
        </w:tc>
        <w:tc>
          <w:tcPr>
            <w:tcW w:w="971" w:type="dxa"/>
            <w:shd w:val="clear" w:color="auto" w:fill="365F92"/>
          </w:tcPr>
          <w:p>
            <w:pPr>
              <w:pStyle w:val="TableParagraph"/>
              <w:spacing w:line="209" w:lineRule="exact" w:before="1"/>
              <w:ind w:left="24"/>
              <w:jc w:val="center"/>
              <w:rPr>
                <w:b/>
                <w:sz w:val="20"/>
              </w:rPr>
            </w:pPr>
            <w:r>
              <w:rPr>
                <w:b/>
                <w:color w:val="FFFFFF"/>
                <w:spacing w:val="-2"/>
                <w:sz w:val="20"/>
              </w:rPr>
              <w:t>Diferencia</w:t>
            </w:r>
          </w:p>
        </w:tc>
      </w:tr>
      <w:tr>
        <w:trPr>
          <w:trHeight w:val="227" w:hRule="atLeast"/>
        </w:trPr>
        <w:tc>
          <w:tcPr>
            <w:tcW w:w="972" w:type="dxa"/>
            <w:vMerge/>
            <w:tcBorders>
              <w:top w:val="nil"/>
            </w:tcBorders>
            <w:shd w:val="clear" w:color="auto" w:fill="365F92"/>
          </w:tcPr>
          <w:p>
            <w:pPr>
              <w:rPr>
                <w:sz w:val="2"/>
                <w:szCs w:val="2"/>
              </w:rPr>
            </w:pPr>
          </w:p>
        </w:tc>
        <w:tc>
          <w:tcPr>
            <w:tcW w:w="4215" w:type="dxa"/>
            <w:vMerge/>
            <w:tcBorders>
              <w:top w:val="nil"/>
            </w:tcBorders>
            <w:shd w:val="clear" w:color="auto" w:fill="365F92"/>
          </w:tcPr>
          <w:p>
            <w:pPr>
              <w:rPr>
                <w:sz w:val="2"/>
                <w:szCs w:val="2"/>
              </w:rPr>
            </w:pPr>
          </w:p>
        </w:tc>
        <w:tc>
          <w:tcPr>
            <w:tcW w:w="532" w:type="dxa"/>
            <w:vMerge/>
            <w:tcBorders>
              <w:top w:val="nil"/>
            </w:tcBorders>
            <w:shd w:val="clear" w:color="auto" w:fill="365F92"/>
          </w:tcPr>
          <w:p>
            <w:pPr>
              <w:rPr>
                <w:sz w:val="2"/>
                <w:szCs w:val="2"/>
              </w:rPr>
            </w:pPr>
          </w:p>
        </w:tc>
        <w:tc>
          <w:tcPr>
            <w:tcW w:w="1207" w:type="dxa"/>
            <w:vMerge/>
            <w:tcBorders>
              <w:top w:val="nil"/>
            </w:tcBorders>
            <w:shd w:val="clear" w:color="auto" w:fill="365F92"/>
          </w:tcPr>
          <w:p>
            <w:pPr>
              <w:rPr>
                <w:sz w:val="2"/>
                <w:szCs w:val="2"/>
              </w:rPr>
            </w:pPr>
          </w:p>
        </w:tc>
        <w:tc>
          <w:tcPr>
            <w:tcW w:w="1259" w:type="dxa"/>
            <w:vMerge/>
            <w:tcBorders>
              <w:top w:val="nil"/>
            </w:tcBorders>
            <w:shd w:val="clear" w:color="auto" w:fill="365F92"/>
          </w:tcPr>
          <w:p>
            <w:pPr>
              <w:rPr>
                <w:sz w:val="2"/>
                <w:szCs w:val="2"/>
              </w:rPr>
            </w:pPr>
          </w:p>
        </w:tc>
        <w:tc>
          <w:tcPr>
            <w:tcW w:w="971" w:type="dxa"/>
            <w:shd w:val="clear" w:color="auto" w:fill="365F92"/>
          </w:tcPr>
          <w:p>
            <w:pPr>
              <w:pStyle w:val="TableParagraph"/>
              <w:spacing w:line="207" w:lineRule="exact"/>
              <w:ind w:left="24" w:right="2"/>
              <w:jc w:val="center"/>
              <w:rPr>
                <w:sz w:val="20"/>
              </w:rPr>
            </w:pPr>
            <w:r>
              <w:rPr>
                <w:color w:val="FFFFFF"/>
                <w:spacing w:val="-10"/>
                <w:sz w:val="20"/>
              </w:rPr>
              <w:t>%</w:t>
            </w:r>
          </w:p>
        </w:tc>
      </w:tr>
      <w:tr>
        <w:trPr>
          <w:trHeight w:val="527" w:hRule="atLeast"/>
        </w:trPr>
        <w:tc>
          <w:tcPr>
            <w:tcW w:w="972" w:type="dxa"/>
          </w:tcPr>
          <w:p>
            <w:pPr>
              <w:pStyle w:val="TableParagraph"/>
              <w:spacing w:before="147"/>
              <w:ind w:left="69"/>
              <w:rPr>
                <w:b/>
                <w:sz w:val="20"/>
              </w:rPr>
            </w:pPr>
            <w:r>
              <w:rPr>
                <w:b/>
                <w:spacing w:val="-2"/>
                <w:sz w:val="20"/>
              </w:rPr>
              <w:t>4.9.6.</w:t>
            </w:r>
          </w:p>
        </w:tc>
        <w:tc>
          <w:tcPr>
            <w:tcW w:w="4215" w:type="dxa"/>
          </w:tcPr>
          <w:p>
            <w:pPr>
              <w:pStyle w:val="TableParagraph"/>
              <w:spacing w:before="34"/>
              <w:ind w:left="69"/>
              <w:rPr>
                <w:b/>
                <w:sz w:val="20"/>
              </w:rPr>
            </w:pPr>
            <w:r>
              <w:rPr>
                <w:b/>
                <w:sz w:val="20"/>
              </w:rPr>
              <w:t>Resultados</w:t>
            </w:r>
            <w:r>
              <w:rPr>
                <w:b/>
                <w:spacing w:val="-8"/>
                <w:sz w:val="20"/>
              </w:rPr>
              <w:t> </w:t>
            </w:r>
            <w:r>
              <w:rPr>
                <w:b/>
                <w:sz w:val="20"/>
              </w:rPr>
              <w:t>positivos</w:t>
            </w:r>
            <w:r>
              <w:rPr>
                <w:b/>
                <w:spacing w:val="-8"/>
                <w:sz w:val="20"/>
              </w:rPr>
              <w:t> </w:t>
            </w:r>
            <w:r>
              <w:rPr>
                <w:b/>
                <w:sz w:val="20"/>
              </w:rPr>
              <w:t>de</w:t>
            </w:r>
            <w:r>
              <w:rPr>
                <w:b/>
                <w:spacing w:val="-7"/>
                <w:sz w:val="20"/>
              </w:rPr>
              <w:t> </w:t>
            </w:r>
            <w:r>
              <w:rPr>
                <w:b/>
                <w:sz w:val="20"/>
              </w:rPr>
              <w:t>inversiones</w:t>
            </w:r>
            <w:r>
              <w:rPr>
                <w:b/>
                <w:spacing w:val="-8"/>
                <w:sz w:val="20"/>
              </w:rPr>
              <w:t> </w:t>
            </w:r>
            <w:r>
              <w:rPr>
                <w:b/>
                <w:sz w:val="20"/>
              </w:rPr>
              <w:t>patrimoniales</w:t>
            </w:r>
            <w:r>
              <w:rPr>
                <w:b/>
                <w:spacing w:val="-8"/>
                <w:sz w:val="20"/>
              </w:rPr>
              <w:t> </w:t>
            </w:r>
            <w:r>
              <w:rPr>
                <w:b/>
                <w:sz w:val="20"/>
              </w:rPr>
              <w:t>y participación de los intereses minoritarios</w:t>
            </w:r>
          </w:p>
        </w:tc>
        <w:tc>
          <w:tcPr>
            <w:tcW w:w="532" w:type="dxa"/>
          </w:tcPr>
          <w:p>
            <w:pPr>
              <w:pStyle w:val="TableParagraph"/>
              <w:spacing w:before="147"/>
              <w:ind w:left="167"/>
              <w:rPr>
                <w:b/>
                <w:sz w:val="20"/>
              </w:rPr>
            </w:pPr>
            <w:r>
              <w:rPr>
                <w:b/>
                <w:spacing w:val="-5"/>
                <w:sz w:val="20"/>
              </w:rPr>
              <w:t>57</w:t>
            </w:r>
          </w:p>
        </w:tc>
        <w:tc>
          <w:tcPr>
            <w:tcW w:w="1207" w:type="dxa"/>
          </w:tcPr>
          <w:p>
            <w:pPr>
              <w:pStyle w:val="TableParagraph"/>
              <w:spacing w:before="147"/>
              <w:ind w:left="24" w:right="2"/>
              <w:jc w:val="center"/>
              <w:rPr>
                <w:b/>
                <w:sz w:val="20"/>
              </w:rPr>
            </w:pPr>
            <w:r>
              <w:rPr>
                <w:b/>
                <w:spacing w:val="-4"/>
                <w:sz w:val="20"/>
              </w:rPr>
              <w:t>0,00</w:t>
            </w:r>
          </w:p>
        </w:tc>
        <w:tc>
          <w:tcPr>
            <w:tcW w:w="1259" w:type="dxa"/>
          </w:tcPr>
          <w:p>
            <w:pPr>
              <w:pStyle w:val="TableParagraph"/>
              <w:spacing w:before="147"/>
              <w:ind w:left="23"/>
              <w:jc w:val="center"/>
              <w:rPr>
                <w:b/>
                <w:sz w:val="20"/>
              </w:rPr>
            </w:pPr>
            <w:r>
              <w:rPr>
                <w:b/>
                <w:spacing w:val="-4"/>
                <w:sz w:val="20"/>
              </w:rPr>
              <w:t>0,00</w:t>
            </w:r>
          </w:p>
        </w:tc>
        <w:tc>
          <w:tcPr>
            <w:tcW w:w="971" w:type="dxa"/>
          </w:tcPr>
          <w:p>
            <w:pPr>
              <w:pStyle w:val="TableParagraph"/>
              <w:spacing w:before="147"/>
              <w:ind w:left="24" w:right="2"/>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line="259" w:lineRule="auto" w:before="179"/>
        <w:ind w:left="622" w:right="980"/>
        <w:jc w:val="both"/>
      </w:pPr>
      <w:r>
        <w:rPr/>
        <w:t>La cuenta Resultados positivos de inversiones patrimoniales y participación de los intereses minoritarios,</w:t>
      </w:r>
      <w:r>
        <w:rPr>
          <w:spacing w:val="-7"/>
        </w:rPr>
        <w:t> </w:t>
      </w:r>
      <w:r>
        <w:rPr/>
        <w:t>representa</w:t>
      </w:r>
      <w:r>
        <w:rPr>
          <w:spacing w:val="-10"/>
        </w:rPr>
        <w:t> </w:t>
      </w:r>
      <w:r>
        <w:rPr/>
        <w:t>el</w:t>
      </w:r>
      <w:r>
        <w:rPr>
          <w:spacing w:val="-8"/>
        </w:rPr>
        <w:t> </w:t>
      </w:r>
      <w:r>
        <w:rPr/>
        <w:t>0,00%</w:t>
      </w:r>
      <w:r>
        <w:rPr>
          <w:spacing w:val="-8"/>
        </w:rPr>
        <w:t> </w:t>
      </w:r>
      <w:r>
        <w:rPr/>
        <w:t>del</w:t>
      </w:r>
      <w:r>
        <w:rPr>
          <w:spacing w:val="-8"/>
        </w:rPr>
        <w:t> </w:t>
      </w:r>
      <w:r>
        <w:rPr/>
        <w:t>total</w:t>
      </w:r>
      <w:r>
        <w:rPr>
          <w:spacing w:val="-8"/>
        </w:rPr>
        <w:t> </w:t>
      </w:r>
      <w:r>
        <w:rPr/>
        <w:t>del</w:t>
      </w:r>
      <w:r>
        <w:rPr>
          <w:spacing w:val="-8"/>
        </w:rPr>
        <w:t> </w:t>
      </w:r>
      <w:r>
        <w:rPr/>
        <w:t>Ingresos,</w:t>
      </w:r>
      <w:r>
        <w:rPr>
          <w:spacing w:val="-9"/>
        </w:rPr>
        <w:t> </w:t>
      </w:r>
      <w:r>
        <w:rPr/>
        <w:t>que</w:t>
      </w:r>
      <w:r>
        <w:rPr>
          <w:spacing w:val="-6"/>
        </w:rPr>
        <w:t> </w:t>
      </w:r>
      <w:r>
        <w:rPr/>
        <w:t>comparado</w:t>
      </w:r>
      <w:r>
        <w:rPr>
          <w:spacing w:val="-6"/>
        </w:rPr>
        <w:t> </w:t>
      </w:r>
      <w:r>
        <w:rPr/>
        <w:t>al</w:t>
      </w:r>
      <w:r>
        <w:rPr>
          <w:spacing w:val="-8"/>
        </w:rPr>
        <w:t> </w:t>
      </w:r>
      <w:r>
        <w:rPr/>
        <w:t>periodo</w:t>
      </w:r>
      <w:r>
        <w:rPr>
          <w:spacing w:val="-7"/>
        </w:rPr>
        <w:t> </w:t>
      </w:r>
      <w:r>
        <w:rPr/>
        <w:t>anterior</w:t>
      </w:r>
      <w:r>
        <w:rPr>
          <w:spacing w:val="-7"/>
        </w:rPr>
        <w:t> </w:t>
      </w:r>
      <w:r>
        <w:rPr/>
        <w:t>genera</w:t>
      </w:r>
      <w:r>
        <w:rPr>
          <w:spacing w:val="-8"/>
        </w:rPr>
        <w:t> </w:t>
      </w:r>
      <w:r>
        <w:rPr/>
        <w:t>una variación absoluta de 0 000,00 que corresponde a un Aumento del 0,00% de recursos disponibles.</w: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706112">
                <wp:simplePos x="0" y="0"/>
                <wp:positionH relativeFrom="page">
                  <wp:posOffset>1080820</wp:posOffset>
                </wp:positionH>
                <wp:positionV relativeFrom="paragraph">
                  <wp:posOffset>233108</wp:posOffset>
                </wp:positionV>
                <wp:extent cx="5715000" cy="553720"/>
                <wp:effectExtent l="0" t="0" r="0" b="0"/>
                <wp:wrapTopAndBottom/>
                <wp:docPr id="597" name="Textbox 597"/>
                <wp:cNvGraphicFramePr>
                  <a:graphicFrameLocks/>
                </wp:cNvGraphicFramePr>
                <a:graphic>
                  <a:graphicData uri="http://schemas.microsoft.com/office/word/2010/wordprocessingShape">
                    <wps:wsp>
                      <wps:cNvPr id="597" name="Textbox 597"/>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54984pt;width:450pt;height:43.6pt;mso-position-horizontal-relative:page;mso-position-vertical-relative:paragraph;z-index:-15610368;mso-wrap-distance-left:0;mso-wrap-distance-right:0" type="#_x0000_t202" id="docshape57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2"/>
                        </w:rPr>
                        <w:t> </w:t>
                      </w:r>
                      <w:r>
                        <w:rPr/>
                        <w:t>31</w:t>
                      </w:r>
                      <w:r>
                        <w:rPr>
                          <w:spacing w:val="-2"/>
                        </w:rPr>
                        <w:t> </w:t>
                      </w:r>
                      <w:r>
                        <w:rPr/>
                        <w:t>de</w:t>
                      </w:r>
                      <w:r>
                        <w:rPr>
                          <w:spacing w:val="-3"/>
                        </w:rPr>
                        <w:t> </w:t>
                      </w:r>
                      <w:r>
                        <w:rPr/>
                        <w:t>julio</w:t>
                      </w:r>
                      <w:r>
                        <w:rPr>
                          <w:spacing w:val="-2"/>
                        </w:rPr>
                        <w:t> </w:t>
                      </w:r>
                      <w:r>
                        <w:rPr/>
                        <w:t>2026,</w:t>
                      </w:r>
                      <w:r>
                        <w:rPr>
                          <w:spacing w:val="-2"/>
                        </w:rPr>
                        <w:t> </w:t>
                      </w:r>
                      <w:r>
                        <w:rPr/>
                        <w:t>la</w:t>
                      </w:r>
                      <w:r>
                        <w:rPr>
                          <w:spacing w:val="-4"/>
                        </w:rPr>
                        <w:t> </w:t>
                      </w:r>
                      <w:r>
                        <w:rPr/>
                        <w:t>cuenta</w:t>
                      </w:r>
                      <w:r>
                        <w:rPr>
                          <w:spacing w:val="-2"/>
                        </w:rPr>
                        <w:t> </w:t>
                      </w:r>
                      <w:r>
                        <w:rPr/>
                        <w:t>no</w:t>
                      </w:r>
                      <w:r>
                        <w:rPr>
                          <w:spacing w:val="-2"/>
                        </w:rPr>
                        <w:t> </w:t>
                      </w:r>
                      <w:r>
                        <w:rPr/>
                        <w:t>presenta</w:t>
                      </w:r>
                      <w:r>
                        <w:rPr>
                          <w:spacing w:val="-4"/>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04" w:id="105"/>
      <w:bookmarkEnd w:id="105"/>
      <w:r>
        <w:rPr/>
      </w:r>
      <w:r>
        <w:rPr>
          <w:b/>
          <w:sz w:val="22"/>
        </w:rPr>
        <w:t>NOTA</w:t>
      </w:r>
      <w:r>
        <w:rPr>
          <w:b/>
          <w:spacing w:val="-1"/>
          <w:sz w:val="22"/>
        </w:rPr>
        <w:t> </w:t>
      </w:r>
      <w:r>
        <w:rPr>
          <w:b/>
          <w:sz w:val="22"/>
        </w:rPr>
        <w:t>N° </w:t>
      </w:r>
      <w:r>
        <w:rPr>
          <w:b/>
          <w:spacing w:val="-5"/>
          <w:sz w:val="22"/>
        </w:rPr>
        <w:t>58</w:t>
      </w:r>
    </w:p>
    <w:p>
      <w:pPr>
        <w:pStyle w:val="BodyText"/>
        <w:spacing w:before="113"/>
        <w:rPr>
          <w:b/>
        </w:rPr>
      </w:pPr>
    </w:p>
    <w:p>
      <w:pPr>
        <w:pStyle w:val="BodyText"/>
        <w:ind w:left="622"/>
      </w:pPr>
      <w:r>
        <w:rPr/>
        <w:t>Otros</w:t>
      </w:r>
      <w:r>
        <w:rPr>
          <w:spacing w:val="-3"/>
        </w:rPr>
        <w:t> </w:t>
      </w:r>
      <w:r>
        <w:rPr/>
        <w:t>ingresos</w:t>
      </w:r>
      <w:r>
        <w:rPr>
          <w:spacing w:val="-3"/>
        </w:rPr>
        <w:t> </w:t>
      </w:r>
      <w:r>
        <w:rPr/>
        <w:t>y</w:t>
      </w:r>
      <w:r>
        <w:rPr>
          <w:spacing w:val="-5"/>
        </w:rPr>
        <w:t> </w:t>
      </w:r>
      <w:r>
        <w:rPr/>
        <w:t>resultados</w:t>
      </w:r>
      <w:r>
        <w:rPr>
          <w:spacing w:val="-7"/>
        </w:rPr>
        <w:t> </w:t>
      </w:r>
      <w:r>
        <w:rPr>
          <w:spacing w:val="-2"/>
        </w:rPr>
        <w:t>positivos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830"/>
        <w:gridCol w:w="571"/>
        <w:gridCol w:w="1843"/>
        <w:gridCol w:w="1749"/>
        <w:gridCol w:w="1197"/>
      </w:tblGrid>
      <w:tr>
        <w:trPr>
          <w:trHeight w:val="323" w:hRule="atLeast"/>
        </w:trPr>
        <w:tc>
          <w:tcPr>
            <w:tcW w:w="842" w:type="dxa"/>
            <w:vMerge w:val="restart"/>
            <w:shd w:val="clear" w:color="auto" w:fill="365F92"/>
          </w:tcPr>
          <w:p>
            <w:pPr>
              <w:pStyle w:val="TableParagraph"/>
              <w:spacing w:before="120"/>
              <w:ind w:left="69"/>
              <w:rPr>
                <w:b/>
                <w:sz w:val="22"/>
              </w:rPr>
            </w:pPr>
            <w:r>
              <w:rPr>
                <w:b/>
                <w:color w:val="FFFFFF"/>
                <w:spacing w:val="-2"/>
                <w:sz w:val="22"/>
              </w:rPr>
              <w:t>Cuenta</w:t>
            </w:r>
          </w:p>
        </w:tc>
        <w:tc>
          <w:tcPr>
            <w:tcW w:w="2830" w:type="dxa"/>
            <w:vMerge w:val="restart"/>
            <w:shd w:val="clear" w:color="auto" w:fill="365F92"/>
          </w:tcPr>
          <w:p>
            <w:pPr>
              <w:pStyle w:val="TableParagraph"/>
              <w:spacing w:before="209"/>
              <w:ind w:left="886"/>
              <w:rPr>
                <w:b/>
                <w:sz w:val="22"/>
              </w:rPr>
            </w:pPr>
            <w:r>
              <w:rPr>
                <w:b/>
                <w:color w:val="FFFFFF"/>
                <w:spacing w:val="-2"/>
                <w:sz w:val="22"/>
              </w:rPr>
              <w:t>Descripción</w:t>
            </w:r>
          </w:p>
        </w:tc>
        <w:tc>
          <w:tcPr>
            <w:tcW w:w="571" w:type="dxa"/>
            <w:vMerge w:val="restart"/>
            <w:shd w:val="clear" w:color="auto" w:fill="365F92"/>
          </w:tcPr>
          <w:p>
            <w:pPr>
              <w:pStyle w:val="TableParagraph"/>
              <w:spacing w:before="209"/>
              <w:ind w:left="69"/>
              <w:rPr>
                <w:b/>
                <w:sz w:val="22"/>
              </w:rPr>
            </w:pPr>
            <w:r>
              <w:rPr>
                <w:b/>
                <w:color w:val="FFFFFF"/>
                <w:spacing w:val="-4"/>
                <w:sz w:val="22"/>
              </w:rPr>
              <w:t>Nota</w:t>
            </w:r>
          </w:p>
        </w:tc>
        <w:tc>
          <w:tcPr>
            <w:tcW w:w="1843" w:type="dxa"/>
            <w:vMerge w:val="restart"/>
            <w:shd w:val="clear" w:color="auto" w:fill="365F92"/>
          </w:tcPr>
          <w:p>
            <w:pPr>
              <w:pStyle w:val="TableParagraph"/>
              <w:spacing w:before="209"/>
              <w:ind w:left="291"/>
              <w:rPr>
                <w:b/>
                <w:sz w:val="22"/>
              </w:rPr>
            </w:pPr>
            <w:r>
              <w:rPr>
                <w:b/>
                <w:color w:val="FFFFFF"/>
                <w:sz w:val="22"/>
              </w:rPr>
              <w:t>Periodo</w:t>
            </w:r>
            <w:r>
              <w:rPr>
                <w:b/>
                <w:color w:val="FFFFFF"/>
                <w:spacing w:val="-4"/>
                <w:sz w:val="22"/>
              </w:rPr>
              <w:t> </w:t>
            </w:r>
            <w:r>
              <w:rPr>
                <w:b/>
                <w:color w:val="FFFFFF"/>
                <w:spacing w:val="-2"/>
                <w:sz w:val="22"/>
              </w:rPr>
              <w:t>Actual</w:t>
            </w:r>
          </w:p>
        </w:tc>
        <w:tc>
          <w:tcPr>
            <w:tcW w:w="1749" w:type="dxa"/>
            <w:vMerge w:val="restart"/>
            <w:shd w:val="clear" w:color="auto" w:fill="365F92"/>
          </w:tcPr>
          <w:p>
            <w:pPr>
              <w:pStyle w:val="TableParagraph"/>
              <w:spacing w:before="209"/>
              <w:ind w:left="150"/>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right="4"/>
              <w:jc w:val="center"/>
              <w:rPr>
                <w:b/>
                <w:sz w:val="22"/>
              </w:rPr>
            </w:pPr>
            <w:r>
              <w:rPr>
                <w:b/>
                <w:color w:val="FFFFFF"/>
                <w:spacing w:val="-2"/>
                <w:sz w:val="22"/>
              </w:rPr>
              <w:t>Diferencia</w:t>
            </w:r>
          </w:p>
        </w:tc>
      </w:tr>
      <w:tr>
        <w:trPr>
          <w:trHeight w:val="325" w:hRule="atLeast"/>
        </w:trPr>
        <w:tc>
          <w:tcPr>
            <w:tcW w:w="842" w:type="dxa"/>
            <w:vMerge/>
            <w:tcBorders>
              <w:top w:val="nil"/>
            </w:tcBorders>
            <w:shd w:val="clear" w:color="auto" w:fill="365F92"/>
          </w:tcPr>
          <w:p>
            <w:pPr>
              <w:rPr>
                <w:sz w:val="2"/>
                <w:szCs w:val="2"/>
              </w:rPr>
            </w:pPr>
          </w:p>
        </w:tc>
        <w:tc>
          <w:tcPr>
            <w:tcW w:w="2830"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843"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5"/>
              <w:jc w:val="center"/>
              <w:rPr>
                <w:sz w:val="22"/>
              </w:rPr>
            </w:pPr>
            <w:r>
              <w:rPr>
                <w:color w:val="FFFFFF"/>
                <w:spacing w:val="-10"/>
                <w:sz w:val="22"/>
              </w:rPr>
              <w:t>%</w:t>
            </w:r>
          </w:p>
        </w:tc>
      </w:tr>
      <w:tr>
        <w:trPr>
          <w:trHeight w:val="455" w:hRule="atLeast"/>
        </w:trPr>
        <w:tc>
          <w:tcPr>
            <w:tcW w:w="842" w:type="dxa"/>
          </w:tcPr>
          <w:p>
            <w:pPr>
              <w:pStyle w:val="TableParagraph"/>
              <w:spacing w:before="113"/>
              <w:ind w:left="69"/>
              <w:rPr>
                <w:b/>
                <w:sz w:val="20"/>
              </w:rPr>
            </w:pPr>
            <w:r>
              <w:rPr>
                <w:b/>
                <w:spacing w:val="-2"/>
                <w:sz w:val="20"/>
              </w:rPr>
              <w:t>4.9.9.</w:t>
            </w:r>
          </w:p>
        </w:tc>
        <w:tc>
          <w:tcPr>
            <w:tcW w:w="2830" w:type="dxa"/>
          </w:tcPr>
          <w:p>
            <w:pPr>
              <w:pStyle w:val="TableParagraph"/>
              <w:spacing w:line="227" w:lineRule="exact"/>
              <w:ind w:left="69"/>
              <w:rPr>
                <w:b/>
                <w:sz w:val="20"/>
              </w:rPr>
            </w:pPr>
            <w:r>
              <w:rPr>
                <w:b/>
                <w:sz w:val="20"/>
              </w:rPr>
              <w:t>Otros</w:t>
            </w:r>
            <w:r>
              <w:rPr>
                <w:b/>
                <w:spacing w:val="-4"/>
                <w:sz w:val="20"/>
              </w:rPr>
              <w:t> </w:t>
            </w:r>
            <w:r>
              <w:rPr>
                <w:b/>
                <w:sz w:val="20"/>
              </w:rPr>
              <w:t>ingresos</w:t>
            </w:r>
            <w:r>
              <w:rPr>
                <w:b/>
                <w:spacing w:val="-4"/>
                <w:sz w:val="20"/>
              </w:rPr>
              <w:t> </w:t>
            </w:r>
            <w:r>
              <w:rPr>
                <w:b/>
                <w:sz w:val="20"/>
              </w:rPr>
              <w:t>y</w:t>
            </w:r>
            <w:r>
              <w:rPr>
                <w:b/>
                <w:spacing w:val="-2"/>
                <w:sz w:val="20"/>
              </w:rPr>
              <w:t> resultados</w:t>
            </w:r>
          </w:p>
          <w:p>
            <w:pPr>
              <w:pStyle w:val="TableParagraph"/>
              <w:spacing w:line="209" w:lineRule="exact"/>
              <w:ind w:left="69"/>
              <w:rPr>
                <w:b/>
                <w:sz w:val="20"/>
              </w:rPr>
            </w:pPr>
            <w:r>
              <w:rPr>
                <w:b/>
                <w:spacing w:val="-2"/>
                <w:sz w:val="20"/>
              </w:rPr>
              <w:t>positivos</w:t>
            </w:r>
          </w:p>
        </w:tc>
        <w:tc>
          <w:tcPr>
            <w:tcW w:w="571" w:type="dxa"/>
          </w:tcPr>
          <w:p>
            <w:pPr>
              <w:pStyle w:val="TableParagraph"/>
              <w:spacing w:before="113"/>
              <w:ind w:left="187"/>
              <w:rPr>
                <w:b/>
                <w:sz w:val="20"/>
              </w:rPr>
            </w:pPr>
            <w:r>
              <w:rPr>
                <w:b/>
                <w:spacing w:val="-5"/>
                <w:sz w:val="20"/>
              </w:rPr>
              <w:t>58</w:t>
            </w:r>
          </w:p>
        </w:tc>
        <w:tc>
          <w:tcPr>
            <w:tcW w:w="1843" w:type="dxa"/>
          </w:tcPr>
          <w:p>
            <w:pPr>
              <w:pStyle w:val="TableParagraph"/>
              <w:spacing w:before="113"/>
              <w:ind w:left="478"/>
              <w:rPr>
                <w:b/>
                <w:sz w:val="20"/>
              </w:rPr>
            </w:pPr>
            <w:r>
              <w:rPr>
                <w:b/>
                <w:sz w:val="20"/>
              </w:rPr>
              <w:t>320</w:t>
            </w:r>
            <w:r>
              <w:rPr>
                <w:b/>
                <w:spacing w:val="-3"/>
                <w:sz w:val="20"/>
              </w:rPr>
              <w:t> </w:t>
            </w:r>
            <w:r>
              <w:rPr>
                <w:b/>
                <w:spacing w:val="-2"/>
                <w:sz w:val="20"/>
              </w:rPr>
              <w:t>202,54</w:t>
            </w:r>
          </w:p>
        </w:tc>
        <w:tc>
          <w:tcPr>
            <w:tcW w:w="1749" w:type="dxa"/>
          </w:tcPr>
          <w:p>
            <w:pPr>
              <w:pStyle w:val="TableParagraph"/>
              <w:spacing w:before="113"/>
              <w:ind w:left="431"/>
              <w:rPr>
                <w:b/>
                <w:sz w:val="20"/>
              </w:rPr>
            </w:pPr>
            <w:r>
              <w:rPr>
                <w:b/>
                <w:sz w:val="20"/>
              </w:rPr>
              <w:t>104</w:t>
            </w:r>
            <w:r>
              <w:rPr>
                <w:b/>
                <w:spacing w:val="-3"/>
                <w:sz w:val="20"/>
              </w:rPr>
              <w:t> </w:t>
            </w:r>
            <w:r>
              <w:rPr>
                <w:b/>
                <w:spacing w:val="-2"/>
                <w:sz w:val="20"/>
              </w:rPr>
              <w:t>671,40</w:t>
            </w:r>
          </w:p>
        </w:tc>
        <w:tc>
          <w:tcPr>
            <w:tcW w:w="1197" w:type="dxa"/>
          </w:tcPr>
          <w:p>
            <w:pPr>
              <w:pStyle w:val="TableParagraph"/>
              <w:spacing w:before="113"/>
              <w:ind w:left="28" w:right="3"/>
              <w:jc w:val="center"/>
              <w:rPr>
                <w:b/>
                <w:sz w:val="20"/>
              </w:rPr>
            </w:pPr>
            <w:r>
              <w:rPr>
                <w:b/>
                <w:spacing w:val="-2"/>
                <w:sz w:val="20"/>
              </w:rPr>
              <w:t>205,91%</w:t>
            </w:r>
          </w:p>
        </w:tc>
      </w:tr>
    </w:tbl>
    <w:p>
      <w:pPr>
        <w:pStyle w:val="Heading6"/>
        <w:spacing w:before="240"/>
        <w:ind w:left="622"/>
      </w:pPr>
      <w:r>
        <w:rPr>
          <w:spacing w:val="-2"/>
        </w:rPr>
        <w:t>Revelación:</w:t>
      </w:r>
    </w:p>
    <w:p>
      <w:pPr>
        <w:pStyle w:val="BodyText"/>
        <w:spacing w:before="179"/>
        <w:ind w:left="622" w:right="974"/>
        <w:jc w:val="both"/>
      </w:pPr>
      <w:r>
        <w:rPr/>
        <w:t>La cuenta Otros ingresos y resultados positivos, representa el 0,22% del total del Ingresos, que comparado al periodo anterior genera una variación absoluta de ¢ 215.531,14 que corresponde a un incremento del 205,91% de recursos disponibles.</w:t>
      </w:r>
    </w:p>
    <w:p>
      <w:pPr>
        <w:pStyle w:val="BodyText"/>
        <w:spacing w:before="180"/>
        <w:rPr>
          <w:sz w:val="20"/>
        </w:rPr>
      </w:pPr>
      <w:r>
        <w:rPr>
          <w:sz w:val="20"/>
        </w:rPr>
        <mc:AlternateContent>
          <mc:Choice Requires="wps">
            <w:drawing>
              <wp:anchor distT="0" distB="0" distL="0" distR="0" allowOverlap="1" layoutInCell="1" locked="0" behindDoc="1" simplePos="0" relativeHeight="487706624">
                <wp:simplePos x="0" y="0"/>
                <wp:positionH relativeFrom="page">
                  <wp:posOffset>1080820</wp:posOffset>
                </wp:positionH>
                <wp:positionV relativeFrom="paragraph">
                  <wp:posOffset>277574</wp:posOffset>
                </wp:positionV>
                <wp:extent cx="5715000" cy="1242060"/>
                <wp:effectExtent l="0" t="0" r="0" b="0"/>
                <wp:wrapTopAndBottom/>
                <wp:docPr id="598" name="Textbox 598"/>
                <wp:cNvGraphicFramePr>
                  <a:graphicFrameLocks/>
                </wp:cNvGraphicFramePr>
                <a:graphic>
                  <a:graphicData uri="http://schemas.microsoft.com/office/word/2010/wordprocessingShape">
                    <wps:wsp>
                      <wps:cNvPr id="598" name="Textbox 598"/>
                      <wps:cNvSpPr txBox="1"/>
                      <wps:spPr>
                        <a:xfrm>
                          <a:off x="0" y="0"/>
                          <a:ext cx="5715000" cy="1242060"/>
                        </a:xfrm>
                        <a:prstGeom prst="rect">
                          <a:avLst/>
                        </a:prstGeom>
                        <a:ln w="6095">
                          <a:solidFill>
                            <a:srgbClr val="000000"/>
                          </a:solidFill>
                          <a:prstDash val="solid"/>
                        </a:ln>
                      </wps:spPr>
                      <wps:txbx>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64" w:right="62"/>
                              <w:jc w:val="both"/>
                            </w:pPr>
                            <w:r>
                              <w:rPr/>
                              <w:t>La cuenta Otros ingresos y resultados positivos representa un leve incremento el 0,22% del total del Ingresos, produciendo un incremento de los ingresos percibidos por el financiamiento de deudas por permutas laborales a exempleados y adicionalmente los ingresos por recuperación de servicios de transporte y almacenaje de mercadería para la venta que son cobrados a los proveedores mediante créditos a la facturación.</w:t>
                            </w:r>
                          </w:p>
                        </w:txbxContent>
                      </wps:txbx>
                      <wps:bodyPr wrap="square" lIns="0" tIns="0" rIns="0" bIns="0" rtlCol="0">
                        <a:noAutofit/>
                      </wps:bodyPr>
                    </wps:wsp>
                  </a:graphicData>
                </a:graphic>
              </wp:anchor>
            </w:drawing>
          </mc:Choice>
          <mc:Fallback>
            <w:pict>
              <v:shape style="position:absolute;margin-left:85.103996pt;margin-top:21.856251pt;width:450pt;height:97.8pt;mso-position-horizontal-relative:page;mso-position-vertical-relative:paragraph;z-index:-15609856;mso-wrap-distance-left:0;mso-wrap-distance-right:0" type="#_x0000_t202" id="docshape576" filled="false" stroked="true" strokeweight=".47998pt" strokecolor="#000000">
                <v:textbox inset="0,0,0,0">
                  <w:txbxContent>
                    <w:p>
                      <w:pPr>
                        <w:spacing w:before="0"/>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64" w:right="62"/>
                        <w:jc w:val="both"/>
                      </w:pPr>
                      <w:r>
                        <w:rPr/>
                        <w:t>La cuenta Otros ingresos y resultados positivos representa un leve incremento el 0,22% del total del Ingresos, produciendo un incremento de los ingresos percibidos por el financiamiento de deudas por permutas laborales a exempleados y adicionalmente los ingresos por recuperación de servicios de transporte y almacenaje de mercadería para la venta que son cobrados a los proveedores mediante créditos a la facturación.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5056">
                <wp:simplePos x="0" y="0"/>
                <wp:positionH relativeFrom="page">
                  <wp:posOffset>9525</wp:posOffset>
                </wp:positionH>
                <wp:positionV relativeFrom="page">
                  <wp:posOffset>297208</wp:posOffset>
                </wp:positionV>
                <wp:extent cx="7762875" cy="9748520"/>
                <wp:effectExtent l="0" t="0" r="0" b="0"/>
                <wp:wrapNone/>
                <wp:docPr id="599" name="Group 599"/>
                <wp:cNvGraphicFramePr>
                  <a:graphicFrameLocks/>
                </wp:cNvGraphicFramePr>
                <a:graphic>
                  <a:graphicData uri="http://schemas.microsoft.com/office/word/2010/wordprocessingGroup">
                    <wpg:wgp>
                      <wpg:cNvPr id="599" name="Group 599"/>
                      <wpg:cNvGrpSpPr/>
                      <wpg:grpSpPr>
                        <a:xfrm>
                          <a:off x="0" y="0"/>
                          <a:ext cx="7762875" cy="9748520"/>
                          <a:chExt cx="7762875" cy="9748520"/>
                        </a:xfrm>
                      </wpg:grpSpPr>
                      <pic:pic>
                        <pic:nvPicPr>
                          <pic:cNvPr id="600" name="Image 600"/>
                          <pic:cNvPicPr/>
                        </pic:nvPicPr>
                        <pic:blipFill>
                          <a:blip r:embed="rId5" cstate="print"/>
                          <a:stretch>
                            <a:fillRect/>
                          </a:stretch>
                        </pic:blipFill>
                        <pic:spPr>
                          <a:xfrm>
                            <a:off x="0" y="0"/>
                            <a:ext cx="7762874" cy="9748489"/>
                          </a:xfrm>
                          <a:prstGeom prst="rect">
                            <a:avLst/>
                          </a:prstGeom>
                        </pic:spPr>
                      </pic:pic>
                      <wps:wsp>
                        <wps:cNvPr id="601" name="Graphic 60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02" name="Image 602"/>
                          <pic:cNvPicPr/>
                        </pic:nvPicPr>
                        <pic:blipFill>
                          <a:blip r:embed="rId64" cstate="print"/>
                          <a:stretch>
                            <a:fillRect/>
                          </a:stretch>
                        </pic:blipFill>
                        <pic:spPr>
                          <a:xfrm>
                            <a:off x="1606295" y="1123794"/>
                            <a:ext cx="4637659" cy="554354"/>
                          </a:xfrm>
                          <a:prstGeom prst="rect">
                            <a:avLst/>
                          </a:prstGeom>
                        </pic:spPr>
                      </pic:pic>
                      <pic:pic>
                        <pic:nvPicPr>
                          <pic:cNvPr id="603" name="Image 603"/>
                          <pic:cNvPicPr/>
                        </pic:nvPicPr>
                        <pic:blipFill>
                          <a:blip r:embed="rId65" cstate="print"/>
                          <a:stretch>
                            <a:fillRect/>
                          </a:stretch>
                        </pic:blipFill>
                        <pic:spPr>
                          <a:xfrm>
                            <a:off x="1927224" y="4192876"/>
                            <a:ext cx="3991483" cy="147891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1424" id="docshapegroup577" coordorigin="15,468" coordsize="12225,15352">
                <v:shape style="position:absolute;left:15;top:468;width:12225;height:15352" type="#_x0000_t75" id="docshape578" stroked="false">
                  <v:imagedata r:id="rId5" o:title=""/>
                </v:shape>
                <v:rect style="position:absolute;left:1673;top:2028;width:8897;height:15" id="docshape579" filled="true" fillcolor="#000000" stroked="false">
                  <v:fill type="solid"/>
                </v:rect>
                <v:shape style="position:absolute;left:2544;top:2237;width:7304;height:873" type="#_x0000_t75" id="docshape580" stroked="false">
                  <v:imagedata r:id="rId64" o:title=""/>
                </v:shape>
                <v:shape style="position:absolute;left:3050;top:7071;width:6286;height:2329" type="#_x0000_t75" id="docshape581" stroked="false">
                  <v:imagedata r:id="rId65" o:title=""/>
                </v:shape>
                <w10:wrap type="none"/>
              </v:group>
            </w:pict>
          </mc:Fallback>
        </mc:AlternateContent>
      </w:r>
      <w:r>
        <w:rPr>
          <w:color w:val="172951"/>
          <w:sz w:val="20"/>
        </w:rPr>
        <w:t>Pág.</w:t>
      </w:r>
      <w:r>
        <w:rPr>
          <w:color w:val="172951"/>
          <w:spacing w:val="-7"/>
          <w:sz w:val="20"/>
        </w:rPr>
        <w:t> </w:t>
      </w:r>
      <w:r>
        <w:rPr>
          <w:color w:val="172951"/>
          <w:spacing w:val="-5"/>
          <w:sz w:val="20"/>
        </w:rPr>
        <w:t>122</w:t>
      </w:r>
    </w:p>
    <w:p>
      <w:pPr>
        <w:pStyle w:val="BodyText"/>
        <w:spacing w:before="10"/>
        <w:rPr>
          <w:sz w:val="16"/>
        </w:rPr>
      </w:pPr>
      <w:r>
        <w:rPr>
          <w:sz w:val="16"/>
        </w:rPr>
        <mc:AlternateContent>
          <mc:Choice Requires="wps">
            <w:drawing>
              <wp:anchor distT="0" distB="0" distL="0" distR="0" allowOverlap="1" layoutInCell="1" locked="0" behindDoc="1" simplePos="0" relativeHeight="487707648">
                <wp:simplePos x="0" y="0"/>
                <wp:positionH relativeFrom="page">
                  <wp:posOffset>1080820</wp:posOffset>
                </wp:positionH>
                <wp:positionV relativeFrom="paragraph">
                  <wp:posOffset>141144</wp:posOffset>
                </wp:positionV>
                <wp:extent cx="5715000" cy="4769485"/>
                <wp:effectExtent l="0" t="0" r="0" b="0"/>
                <wp:wrapTopAndBottom/>
                <wp:docPr id="604" name="Textbox 604"/>
                <wp:cNvGraphicFramePr>
                  <a:graphicFrameLocks/>
                </wp:cNvGraphicFramePr>
                <a:graphic>
                  <a:graphicData uri="http://schemas.microsoft.com/office/word/2010/wordprocessingShape">
                    <wps:wsp>
                      <wps:cNvPr id="604" name="Textbox 604"/>
                      <wps:cNvSpPr txBox="1"/>
                      <wps:spPr>
                        <a:xfrm>
                          <a:off x="0" y="0"/>
                          <a:ext cx="5715000" cy="476948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spacing w:before="50"/>
                            </w:pPr>
                          </w:p>
                          <w:p>
                            <w:pPr>
                              <w:pStyle w:val="BodyText"/>
                              <w:spacing w:line="276" w:lineRule="auto"/>
                              <w:ind w:left="64"/>
                            </w:pPr>
                            <w:r>
                              <w:rPr/>
                              <w:t>La</w:t>
                            </w:r>
                            <w:r>
                              <w:rPr>
                                <w:spacing w:val="-3"/>
                              </w:rPr>
                              <w:t> </w:t>
                            </w:r>
                            <w:r>
                              <w:rPr/>
                              <w:t>naturaleza</w:t>
                            </w:r>
                            <w:r>
                              <w:rPr>
                                <w:spacing w:val="-2"/>
                              </w:rPr>
                              <w:t> </w:t>
                            </w:r>
                            <w:r>
                              <w:rPr/>
                              <w:t>del</w:t>
                            </w:r>
                            <w:r>
                              <w:rPr>
                                <w:spacing w:val="-2"/>
                              </w:rPr>
                              <w:t> </w:t>
                            </w:r>
                            <w:r>
                              <w:rPr/>
                              <w:t>ingreso</w:t>
                            </w:r>
                            <w:r>
                              <w:rPr>
                                <w:spacing w:val="-2"/>
                              </w:rPr>
                              <w:t> </w:t>
                            </w:r>
                            <w:r>
                              <w:rPr/>
                              <w:t>agrupa</w:t>
                            </w:r>
                            <w:r>
                              <w:rPr>
                                <w:spacing w:val="-3"/>
                              </w:rPr>
                              <w:t> </w:t>
                            </w:r>
                            <w:r>
                              <w:rPr/>
                              <w:t>ingresos</w:t>
                            </w:r>
                            <w:r>
                              <w:rPr>
                                <w:spacing w:val="-4"/>
                              </w:rPr>
                              <w:t> </w:t>
                            </w:r>
                            <w:r>
                              <w:rPr/>
                              <w:t>que</w:t>
                            </w:r>
                            <w:r>
                              <w:rPr>
                                <w:spacing w:val="-4"/>
                              </w:rPr>
                              <w:t> </w:t>
                            </w:r>
                            <w:r>
                              <w:rPr/>
                              <w:t>no</w:t>
                            </w:r>
                            <w:r>
                              <w:rPr>
                                <w:spacing w:val="-4"/>
                              </w:rPr>
                              <w:t> </w:t>
                            </w:r>
                            <w:r>
                              <w:rPr/>
                              <w:t>forman</w:t>
                            </w:r>
                            <w:r>
                              <w:rPr>
                                <w:spacing w:val="-2"/>
                              </w:rPr>
                              <w:t> </w:t>
                            </w:r>
                            <w:r>
                              <w:rPr/>
                              <w:t>parte</w:t>
                            </w:r>
                            <w:r>
                              <w:rPr>
                                <w:spacing w:val="-3"/>
                              </w:rPr>
                              <w:t> </w:t>
                            </w:r>
                            <w:r>
                              <w:rPr/>
                              <w:t>de</w:t>
                            </w:r>
                            <w:r>
                              <w:rPr>
                                <w:spacing w:val="-4"/>
                              </w:rPr>
                              <w:t> </w:t>
                            </w:r>
                            <w:r>
                              <w:rPr/>
                              <w:t>las</w:t>
                            </w:r>
                            <w:r>
                              <w:rPr>
                                <w:spacing w:val="-1"/>
                              </w:rPr>
                              <w:t> </w:t>
                            </w:r>
                            <w:r>
                              <w:rPr/>
                              <w:t>fuentes</w:t>
                            </w:r>
                            <w:r>
                              <w:rPr>
                                <w:spacing w:val="-4"/>
                              </w:rPr>
                              <w:t> </w:t>
                            </w:r>
                            <w:r>
                              <w:rPr/>
                              <w:t>ordinarias</w:t>
                            </w:r>
                            <w:r>
                              <w:rPr>
                                <w:spacing w:val="-1"/>
                              </w:rPr>
                              <w:t> </w:t>
                            </w:r>
                            <w:r>
                              <w:rPr/>
                              <w:t>de financiamiento del IMAS.</w:t>
                            </w:r>
                          </w:p>
                          <w:p>
                            <w:pPr>
                              <w:pStyle w:val="BodyText"/>
                              <w:spacing w:before="38"/>
                            </w:pPr>
                          </w:p>
                          <w:p>
                            <w:pPr>
                              <w:pStyle w:val="BodyText"/>
                              <w:ind w:left="64"/>
                            </w:pPr>
                            <w:r>
                              <w:rPr/>
                              <w:t>Los</w:t>
                            </w:r>
                            <w:r>
                              <w:rPr>
                                <w:spacing w:val="-7"/>
                              </w:rPr>
                              <w:t> </w:t>
                            </w:r>
                            <w:r>
                              <w:rPr/>
                              <w:t>ingresos</w:t>
                            </w:r>
                            <w:r>
                              <w:rPr>
                                <w:spacing w:val="-5"/>
                              </w:rPr>
                              <w:t> </w:t>
                            </w:r>
                            <w:r>
                              <w:rPr/>
                              <w:t>reconocidos</w:t>
                            </w:r>
                            <w:r>
                              <w:rPr>
                                <w:spacing w:val="-5"/>
                              </w:rPr>
                              <w:t> </w:t>
                            </w:r>
                            <w:r>
                              <w:rPr/>
                              <w:t>en</w:t>
                            </w:r>
                            <w:r>
                              <w:rPr>
                                <w:spacing w:val="-6"/>
                              </w:rPr>
                              <w:t> </w:t>
                            </w:r>
                            <w:r>
                              <w:rPr/>
                              <w:t>esta</w:t>
                            </w:r>
                            <w:r>
                              <w:rPr>
                                <w:spacing w:val="-5"/>
                              </w:rPr>
                              <w:t> </w:t>
                            </w:r>
                            <w:r>
                              <w:rPr/>
                              <w:t>cuenta</w:t>
                            </w:r>
                            <w:r>
                              <w:rPr>
                                <w:spacing w:val="-6"/>
                              </w:rPr>
                              <w:t> </w:t>
                            </w:r>
                            <w:r>
                              <w:rPr/>
                              <w:t>corresponden</w:t>
                            </w:r>
                            <w:r>
                              <w:rPr>
                                <w:spacing w:val="-8"/>
                              </w:rPr>
                              <w:t> </w:t>
                            </w:r>
                            <w:r>
                              <w:rPr/>
                              <w:t>principalmente</w:t>
                            </w:r>
                            <w:r>
                              <w:rPr>
                                <w:spacing w:val="-5"/>
                              </w:rPr>
                              <w:t> a:</w:t>
                            </w:r>
                          </w:p>
                          <w:p>
                            <w:pPr>
                              <w:pStyle w:val="BodyText"/>
                              <w:numPr>
                                <w:ilvl w:val="0"/>
                                <w:numId w:val="50"/>
                              </w:numPr>
                              <w:tabs>
                                <w:tab w:pos="784" w:val="left" w:leader="none"/>
                              </w:tabs>
                              <w:spacing w:line="240" w:lineRule="auto" w:before="37" w:after="0"/>
                              <w:ind w:left="784" w:right="0" w:hanging="360"/>
                              <w:jc w:val="left"/>
                            </w:pPr>
                            <w:r>
                              <w:rPr/>
                              <w:t>Reintegros</w:t>
                            </w:r>
                            <w:r>
                              <w:rPr>
                                <w:spacing w:val="-3"/>
                              </w:rPr>
                              <w:t> </w:t>
                            </w:r>
                            <w:r>
                              <w:rPr/>
                              <w:t>de</w:t>
                            </w:r>
                            <w:r>
                              <w:rPr>
                                <w:spacing w:val="-4"/>
                              </w:rPr>
                              <w:t> </w:t>
                            </w:r>
                            <w:r>
                              <w:rPr>
                                <w:spacing w:val="-2"/>
                              </w:rPr>
                              <w:t>recursos.</w:t>
                            </w:r>
                          </w:p>
                          <w:p>
                            <w:pPr>
                              <w:pStyle w:val="BodyText"/>
                              <w:numPr>
                                <w:ilvl w:val="0"/>
                                <w:numId w:val="50"/>
                              </w:numPr>
                              <w:tabs>
                                <w:tab w:pos="784" w:val="left" w:leader="none"/>
                              </w:tabs>
                              <w:spacing w:line="240" w:lineRule="auto" w:before="38" w:after="0"/>
                              <w:ind w:left="784" w:right="0" w:hanging="360"/>
                              <w:jc w:val="left"/>
                            </w:pPr>
                            <w:r>
                              <w:rPr/>
                              <w:t>Ingresos</w:t>
                            </w:r>
                            <w:r>
                              <w:rPr>
                                <w:spacing w:val="-5"/>
                              </w:rPr>
                              <w:t> </w:t>
                            </w:r>
                            <w:r>
                              <w:rPr/>
                              <w:t>varios</w:t>
                            </w:r>
                            <w:r>
                              <w:rPr>
                                <w:spacing w:val="-6"/>
                              </w:rPr>
                              <w:t> </w:t>
                            </w:r>
                            <w:r>
                              <w:rPr/>
                              <w:t>no</w:t>
                            </w:r>
                            <w:r>
                              <w:rPr>
                                <w:spacing w:val="-5"/>
                              </w:rPr>
                              <w:t> </w:t>
                            </w:r>
                            <w:r>
                              <w:rPr/>
                              <w:t>clasificados</w:t>
                            </w:r>
                            <w:r>
                              <w:rPr>
                                <w:spacing w:val="-4"/>
                              </w:rPr>
                              <w:t> </w:t>
                            </w:r>
                            <w:r>
                              <w:rPr/>
                              <w:t>en</w:t>
                            </w:r>
                            <w:r>
                              <w:rPr>
                                <w:spacing w:val="-7"/>
                              </w:rPr>
                              <w:t> </w:t>
                            </w:r>
                            <w:r>
                              <w:rPr/>
                              <w:t>otras</w:t>
                            </w:r>
                            <w:r>
                              <w:rPr>
                                <w:spacing w:val="-4"/>
                              </w:rPr>
                              <w:t> </w:t>
                            </w:r>
                            <w:r>
                              <w:rPr/>
                              <w:t>categorías</w:t>
                            </w:r>
                            <w:r>
                              <w:rPr>
                                <w:spacing w:val="-4"/>
                              </w:rPr>
                              <w:t> </w:t>
                            </w:r>
                            <w:r>
                              <w:rPr>
                                <w:spacing w:val="-2"/>
                              </w:rPr>
                              <w:t>específicas.</w:t>
                            </w:r>
                          </w:p>
                          <w:p>
                            <w:pPr>
                              <w:pStyle w:val="BodyText"/>
                              <w:numPr>
                                <w:ilvl w:val="0"/>
                                <w:numId w:val="50"/>
                              </w:numPr>
                              <w:tabs>
                                <w:tab w:pos="784" w:val="left" w:leader="none"/>
                              </w:tabs>
                              <w:spacing w:line="240" w:lineRule="auto" w:before="40" w:after="0"/>
                              <w:ind w:left="784" w:right="0" w:hanging="360"/>
                              <w:jc w:val="left"/>
                            </w:pPr>
                            <w:r>
                              <w:rPr/>
                              <w:t>Ajustes</w:t>
                            </w:r>
                            <w:r>
                              <w:rPr>
                                <w:spacing w:val="-8"/>
                              </w:rPr>
                              <w:t> </w:t>
                            </w:r>
                            <w:r>
                              <w:rPr/>
                              <w:t>financieros</w:t>
                            </w:r>
                            <w:r>
                              <w:rPr>
                                <w:spacing w:val="-5"/>
                              </w:rPr>
                              <w:t> </w:t>
                            </w:r>
                            <w:r>
                              <w:rPr/>
                              <w:t>menores</w:t>
                            </w:r>
                            <w:r>
                              <w:rPr>
                                <w:spacing w:val="-7"/>
                              </w:rPr>
                              <w:t> </w:t>
                            </w:r>
                            <w:r>
                              <w:rPr/>
                              <w:t>y</w:t>
                            </w:r>
                            <w:r>
                              <w:rPr>
                                <w:spacing w:val="-7"/>
                              </w:rPr>
                              <w:t> </w:t>
                            </w:r>
                            <w:r>
                              <w:rPr/>
                              <w:t>rendimientos</w:t>
                            </w:r>
                            <w:r>
                              <w:rPr>
                                <w:spacing w:val="-4"/>
                              </w:rPr>
                              <w:t> </w:t>
                            </w:r>
                            <w:r>
                              <w:rPr>
                                <w:spacing w:val="-2"/>
                              </w:rPr>
                              <w:t>marginales.</w:t>
                            </w:r>
                          </w:p>
                          <w:p>
                            <w:pPr>
                              <w:pStyle w:val="BodyText"/>
                              <w:numPr>
                                <w:ilvl w:val="0"/>
                                <w:numId w:val="50"/>
                              </w:numPr>
                              <w:tabs>
                                <w:tab w:pos="784" w:val="left" w:leader="none"/>
                              </w:tabs>
                              <w:spacing w:line="240" w:lineRule="auto" w:before="37" w:after="0"/>
                              <w:ind w:left="784" w:right="0" w:hanging="360"/>
                              <w:jc w:val="left"/>
                            </w:pPr>
                            <w:r>
                              <w:rPr/>
                              <w:t>Otros</w:t>
                            </w:r>
                            <w:r>
                              <w:rPr>
                                <w:spacing w:val="-4"/>
                              </w:rPr>
                              <w:t> </w:t>
                            </w:r>
                            <w:r>
                              <w:rPr/>
                              <w:t>resultados</w:t>
                            </w:r>
                            <w:r>
                              <w:rPr>
                                <w:spacing w:val="-4"/>
                              </w:rPr>
                              <w:t> </w:t>
                            </w:r>
                            <w:r>
                              <w:rPr/>
                              <w:t>positivos</w:t>
                            </w:r>
                            <w:r>
                              <w:rPr>
                                <w:spacing w:val="-3"/>
                              </w:rPr>
                              <w:t> </w:t>
                            </w:r>
                            <w:r>
                              <w:rPr/>
                              <w:t>de</w:t>
                            </w:r>
                            <w:r>
                              <w:rPr>
                                <w:spacing w:val="-6"/>
                              </w:rPr>
                              <w:t> </w:t>
                            </w:r>
                            <w:r>
                              <w:rPr/>
                              <w:t>naturaleza</w:t>
                            </w:r>
                            <w:r>
                              <w:rPr>
                                <w:spacing w:val="-4"/>
                              </w:rPr>
                              <w:t> </w:t>
                            </w:r>
                            <w:r>
                              <w:rPr>
                                <w:spacing w:val="-2"/>
                              </w:rPr>
                              <w:t>incidental.</w:t>
                            </w:r>
                          </w:p>
                          <w:p>
                            <w:pPr>
                              <w:pStyle w:val="BodyText"/>
                              <w:spacing w:before="74"/>
                            </w:pPr>
                          </w:p>
                          <w:p>
                            <w:pPr>
                              <w:pStyle w:val="BodyText"/>
                              <w:spacing w:line="278" w:lineRule="auto"/>
                              <w:ind w:left="64"/>
                            </w:pPr>
                            <w:r>
                              <w:rPr/>
                              <w:t>Se</w:t>
                            </w:r>
                            <w:r>
                              <w:rPr>
                                <w:spacing w:val="-3"/>
                              </w:rPr>
                              <w:t> </w:t>
                            </w:r>
                            <w:r>
                              <w:rPr/>
                              <w:t>mide</w:t>
                            </w:r>
                            <w:r>
                              <w:rPr>
                                <w:spacing w:val="-3"/>
                              </w:rPr>
                              <w:t> </w:t>
                            </w:r>
                            <w:r>
                              <w:rPr/>
                              <w:t>conforme</w:t>
                            </w:r>
                            <w:r>
                              <w:rPr>
                                <w:spacing w:val="-3"/>
                              </w:rPr>
                              <w:t> </w:t>
                            </w:r>
                            <w:r>
                              <w:rPr/>
                              <w:t>a</w:t>
                            </w:r>
                            <w:r>
                              <w:rPr>
                                <w:spacing w:val="-3"/>
                              </w:rPr>
                              <w:t> </w:t>
                            </w:r>
                            <w:r>
                              <w:rPr/>
                              <w:t>la</w:t>
                            </w:r>
                            <w:r>
                              <w:rPr>
                                <w:spacing w:val="-4"/>
                              </w:rPr>
                              <w:t> </w:t>
                            </w:r>
                            <w:r>
                              <w:rPr/>
                              <w:t>NICSP</w:t>
                            </w:r>
                            <w:r>
                              <w:rPr>
                                <w:spacing w:val="-2"/>
                              </w:rPr>
                              <w:t> </w:t>
                            </w:r>
                            <w:r>
                              <w:rPr/>
                              <w:t>23,</w:t>
                            </w:r>
                            <w:r>
                              <w:rPr>
                                <w:spacing w:val="-2"/>
                              </w:rPr>
                              <w:t> </w:t>
                            </w:r>
                            <w:r>
                              <w:rPr/>
                              <w:t>párrafo</w:t>
                            </w:r>
                            <w:r>
                              <w:rPr>
                                <w:spacing w:val="-2"/>
                              </w:rPr>
                              <w:t> </w:t>
                            </w:r>
                            <w:r>
                              <w:rPr/>
                              <w:t>36,</w:t>
                            </w:r>
                            <w:r>
                              <w:rPr>
                                <w:spacing w:val="-2"/>
                              </w:rPr>
                              <w:t> </w:t>
                            </w:r>
                            <w:r>
                              <w:rPr/>
                              <w:t>los</w:t>
                            </w:r>
                            <w:r>
                              <w:rPr>
                                <w:spacing w:val="-1"/>
                              </w:rPr>
                              <w:t> </w:t>
                            </w:r>
                            <w:r>
                              <w:rPr/>
                              <w:t>ingresos</w:t>
                            </w:r>
                            <w:r>
                              <w:rPr>
                                <w:spacing w:val="-1"/>
                              </w:rPr>
                              <w:t> </w:t>
                            </w:r>
                            <w:r>
                              <w:rPr/>
                              <w:t>de</w:t>
                            </w:r>
                            <w:r>
                              <w:rPr>
                                <w:spacing w:val="-4"/>
                              </w:rPr>
                              <w:t> </w:t>
                            </w:r>
                            <w:r>
                              <w:rPr/>
                              <w:t>transacciones</w:t>
                            </w:r>
                            <w:r>
                              <w:rPr>
                                <w:spacing w:val="-1"/>
                              </w:rPr>
                              <w:t> </w:t>
                            </w:r>
                            <w:r>
                              <w:rPr/>
                              <w:t>sin</w:t>
                            </w:r>
                            <w:r>
                              <w:rPr>
                                <w:spacing w:val="-2"/>
                              </w:rPr>
                              <w:t> </w:t>
                            </w:r>
                            <w:r>
                              <w:rPr/>
                              <w:t>contraprestación</w:t>
                            </w:r>
                            <w:r>
                              <w:rPr>
                                <w:spacing w:val="-4"/>
                              </w:rPr>
                              <w:t> </w:t>
                            </w:r>
                            <w:r>
                              <w:rPr/>
                              <w:t>se miden por el valor razonable del activo recibido.</w:t>
                            </w:r>
                          </w:p>
                          <w:p>
                            <w:pPr>
                              <w:pStyle w:val="BodyText"/>
                              <w:spacing w:before="33"/>
                            </w:pPr>
                          </w:p>
                          <w:p>
                            <w:pPr>
                              <w:pStyle w:val="BodyText"/>
                              <w:ind w:left="64"/>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wps:txbx>
                      <wps:bodyPr wrap="square" lIns="0" tIns="0" rIns="0" bIns="0" rtlCol="0">
                        <a:noAutofit/>
                      </wps:bodyPr>
                    </wps:wsp>
                  </a:graphicData>
                </a:graphic>
              </wp:anchor>
            </w:drawing>
          </mc:Choice>
          <mc:Fallback>
            <w:pict>
              <v:shape style="position:absolute;margin-left:85.103996pt;margin-top:11.11375pt;width:450pt;height:375.55pt;mso-position-horizontal-relative:page;mso-position-vertical-relative:paragraph;z-index:-15608832;mso-wrap-distance-left:0;mso-wrap-distance-right:0" type="#_x0000_t202" id="docshape582" filled="false" stroked="true" strokeweight=".47998pt" strokecolor="#000000">
                <v:textbox inset="0,0,0,0">
                  <w:txbxContent>
                    <w:p>
                      <w:pPr>
                        <w:pStyle w:val="BodyText"/>
                      </w:pPr>
                    </w:p>
                    <w:p>
                      <w:pPr>
                        <w:pStyle w:val="BodyText"/>
                      </w:pPr>
                    </w:p>
                    <w:p>
                      <w:pPr>
                        <w:pStyle w:val="BodyText"/>
                      </w:pPr>
                    </w:p>
                    <w:p>
                      <w:pPr>
                        <w:pStyle w:val="BodyText"/>
                        <w:spacing w:before="50"/>
                      </w:pPr>
                    </w:p>
                    <w:p>
                      <w:pPr>
                        <w:pStyle w:val="BodyText"/>
                        <w:spacing w:line="276" w:lineRule="auto"/>
                        <w:ind w:left="64"/>
                      </w:pPr>
                      <w:r>
                        <w:rPr/>
                        <w:t>La</w:t>
                      </w:r>
                      <w:r>
                        <w:rPr>
                          <w:spacing w:val="-3"/>
                        </w:rPr>
                        <w:t> </w:t>
                      </w:r>
                      <w:r>
                        <w:rPr/>
                        <w:t>naturaleza</w:t>
                      </w:r>
                      <w:r>
                        <w:rPr>
                          <w:spacing w:val="-2"/>
                        </w:rPr>
                        <w:t> </w:t>
                      </w:r>
                      <w:r>
                        <w:rPr/>
                        <w:t>del</w:t>
                      </w:r>
                      <w:r>
                        <w:rPr>
                          <w:spacing w:val="-2"/>
                        </w:rPr>
                        <w:t> </w:t>
                      </w:r>
                      <w:r>
                        <w:rPr/>
                        <w:t>ingreso</w:t>
                      </w:r>
                      <w:r>
                        <w:rPr>
                          <w:spacing w:val="-2"/>
                        </w:rPr>
                        <w:t> </w:t>
                      </w:r>
                      <w:r>
                        <w:rPr/>
                        <w:t>agrupa</w:t>
                      </w:r>
                      <w:r>
                        <w:rPr>
                          <w:spacing w:val="-3"/>
                        </w:rPr>
                        <w:t> </w:t>
                      </w:r>
                      <w:r>
                        <w:rPr/>
                        <w:t>ingresos</w:t>
                      </w:r>
                      <w:r>
                        <w:rPr>
                          <w:spacing w:val="-4"/>
                        </w:rPr>
                        <w:t> </w:t>
                      </w:r>
                      <w:r>
                        <w:rPr/>
                        <w:t>que</w:t>
                      </w:r>
                      <w:r>
                        <w:rPr>
                          <w:spacing w:val="-4"/>
                        </w:rPr>
                        <w:t> </w:t>
                      </w:r>
                      <w:r>
                        <w:rPr/>
                        <w:t>no</w:t>
                      </w:r>
                      <w:r>
                        <w:rPr>
                          <w:spacing w:val="-4"/>
                        </w:rPr>
                        <w:t> </w:t>
                      </w:r>
                      <w:r>
                        <w:rPr/>
                        <w:t>forman</w:t>
                      </w:r>
                      <w:r>
                        <w:rPr>
                          <w:spacing w:val="-2"/>
                        </w:rPr>
                        <w:t> </w:t>
                      </w:r>
                      <w:r>
                        <w:rPr/>
                        <w:t>parte</w:t>
                      </w:r>
                      <w:r>
                        <w:rPr>
                          <w:spacing w:val="-3"/>
                        </w:rPr>
                        <w:t> </w:t>
                      </w:r>
                      <w:r>
                        <w:rPr/>
                        <w:t>de</w:t>
                      </w:r>
                      <w:r>
                        <w:rPr>
                          <w:spacing w:val="-4"/>
                        </w:rPr>
                        <w:t> </w:t>
                      </w:r>
                      <w:r>
                        <w:rPr/>
                        <w:t>las</w:t>
                      </w:r>
                      <w:r>
                        <w:rPr>
                          <w:spacing w:val="-1"/>
                        </w:rPr>
                        <w:t> </w:t>
                      </w:r>
                      <w:r>
                        <w:rPr/>
                        <w:t>fuentes</w:t>
                      </w:r>
                      <w:r>
                        <w:rPr>
                          <w:spacing w:val="-4"/>
                        </w:rPr>
                        <w:t> </w:t>
                      </w:r>
                      <w:r>
                        <w:rPr/>
                        <w:t>ordinarias</w:t>
                      </w:r>
                      <w:r>
                        <w:rPr>
                          <w:spacing w:val="-1"/>
                        </w:rPr>
                        <w:t> </w:t>
                      </w:r>
                      <w:r>
                        <w:rPr/>
                        <w:t>de financiamiento del IMAS.</w:t>
                      </w:r>
                    </w:p>
                    <w:p>
                      <w:pPr>
                        <w:pStyle w:val="BodyText"/>
                        <w:spacing w:before="38"/>
                      </w:pPr>
                    </w:p>
                    <w:p>
                      <w:pPr>
                        <w:pStyle w:val="BodyText"/>
                        <w:ind w:left="64"/>
                      </w:pPr>
                      <w:r>
                        <w:rPr/>
                        <w:t>Los</w:t>
                      </w:r>
                      <w:r>
                        <w:rPr>
                          <w:spacing w:val="-7"/>
                        </w:rPr>
                        <w:t> </w:t>
                      </w:r>
                      <w:r>
                        <w:rPr/>
                        <w:t>ingresos</w:t>
                      </w:r>
                      <w:r>
                        <w:rPr>
                          <w:spacing w:val="-5"/>
                        </w:rPr>
                        <w:t> </w:t>
                      </w:r>
                      <w:r>
                        <w:rPr/>
                        <w:t>reconocidos</w:t>
                      </w:r>
                      <w:r>
                        <w:rPr>
                          <w:spacing w:val="-5"/>
                        </w:rPr>
                        <w:t> </w:t>
                      </w:r>
                      <w:r>
                        <w:rPr/>
                        <w:t>en</w:t>
                      </w:r>
                      <w:r>
                        <w:rPr>
                          <w:spacing w:val="-6"/>
                        </w:rPr>
                        <w:t> </w:t>
                      </w:r>
                      <w:r>
                        <w:rPr/>
                        <w:t>esta</w:t>
                      </w:r>
                      <w:r>
                        <w:rPr>
                          <w:spacing w:val="-5"/>
                        </w:rPr>
                        <w:t> </w:t>
                      </w:r>
                      <w:r>
                        <w:rPr/>
                        <w:t>cuenta</w:t>
                      </w:r>
                      <w:r>
                        <w:rPr>
                          <w:spacing w:val="-6"/>
                        </w:rPr>
                        <w:t> </w:t>
                      </w:r>
                      <w:r>
                        <w:rPr/>
                        <w:t>corresponden</w:t>
                      </w:r>
                      <w:r>
                        <w:rPr>
                          <w:spacing w:val="-8"/>
                        </w:rPr>
                        <w:t> </w:t>
                      </w:r>
                      <w:r>
                        <w:rPr/>
                        <w:t>principalmente</w:t>
                      </w:r>
                      <w:r>
                        <w:rPr>
                          <w:spacing w:val="-5"/>
                        </w:rPr>
                        <w:t> a:</w:t>
                      </w:r>
                    </w:p>
                    <w:p>
                      <w:pPr>
                        <w:pStyle w:val="BodyText"/>
                        <w:numPr>
                          <w:ilvl w:val="0"/>
                          <w:numId w:val="50"/>
                        </w:numPr>
                        <w:tabs>
                          <w:tab w:pos="784" w:val="left" w:leader="none"/>
                        </w:tabs>
                        <w:spacing w:line="240" w:lineRule="auto" w:before="37" w:after="0"/>
                        <w:ind w:left="784" w:right="0" w:hanging="360"/>
                        <w:jc w:val="left"/>
                      </w:pPr>
                      <w:r>
                        <w:rPr/>
                        <w:t>Reintegros</w:t>
                      </w:r>
                      <w:r>
                        <w:rPr>
                          <w:spacing w:val="-3"/>
                        </w:rPr>
                        <w:t> </w:t>
                      </w:r>
                      <w:r>
                        <w:rPr/>
                        <w:t>de</w:t>
                      </w:r>
                      <w:r>
                        <w:rPr>
                          <w:spacing w:val="-4"/>
                        </w:rPr>
                        <w:t> </w:t>
                      </w:r>
                      <w:r>
                        <w:rPr>
                          <w:spacing w:val="-2"/>
                        </w:rPr>
                        <w:t>recursos.</w:t>
                      </w:r>
                    </w:p>
                    <w:p>
                      <w:pPr>
                        <w:pStyle w:val="BodyText"/>
                        <w:numPr>
                          <w:ilvl w:val="0"/>
                          <w:numId w:val="50"/>
                        </w:numPr>
                        <w:tabs>
                          <w:tab w:pos="784" w:val="left" w:leader="none"/>
                        </w:tabs>
                        <w:spacing w:line="240" w:lineRule="auto" w:before="38" w:after="0"/>
                        <w:ind w:left="784" w:right="0" w:hanging="360"/>
                        <w:jc w:val="left"/>
                      </w:pPr>
                      <w:r>
                        <w:rPr/>
                        <w:t>Ingresos</w:t>
                      </w:r>
                      <w:r>
                        <w:rPr>
                          <w:spacing w:val="-5"/>
                        </w:rPr>
                        <w:t> </w:t>
                      </w:r>
                      <w:r>
                        <w:rPr/>
                        <w:t>varios</w:t>
                      </w:r>
                      <w:r>
                        <w:rPr>
                          <w:spacing w:val="-6"/>
                        </w:rPr>
                        <w:t> </w:t>
                      </w:r>
                      <w:r>
                        <w:rPr/>
                        <w:t>no</w:t>
                      </w:r>
                      <w:r>
                        <w:rPr>
                          <w:spacing w:val="-5"/>
                        </w:rPr>
                        <w:t> </w:t>
                      </w:r>
                      <w:r>
                        <w:rPr/>
                        <w:t>clasificados</w:t>
                      </w:r>
                      <w:r>
                        <w:rPr>
                          <w:spacing w:val="-4"/>
                        </w:rPr>
                        <w:t> </w:t>
                      </w:r>
                      <w:r>
                        <w:rPr/>
                        <w:t>en</w:t>
                      </w:r>
                      <w:r>
                        <w:rPr>
                          <w:spacing w:val="-7"/>
                        </w:rPr>
                        <w:t> </w:t>
                      </w:r>
                      <w:r>
                        <w:rPr/>
                        <w:t>otras</w:t>
                      </w:r>
                      <w:r>
                        <w:rPr>
                          <w:spacing w:val="-4"/>
                        </w:rPr>
                        <w:t> </w:t>
                      </w:r>
                      <w:r>
                        <w:rPr/>
                        <w:t>categorías</w:t>
                      </w:r>
                      <w:r>
                        <w:rPr>
                          <w:spacing w:val="-4"/>
                        </w:rPr>
                        <w:t> </w:t>
                      </w:r>
                      <w:r>
                        <w:rPr>
                          <w:spacing w:val="-2"/>
                        </w:rPr>
                        <w:t>específicas.</w:t>
                      </w:r>
                    </w:p>
                    <w:p>
                      <w:pPr>
                        <w:pStyle w:val="BodyText"/>
                        <w:numPr>
                          <w:ilvl w:val="0"/>
                          <w:numId w:val="50"/>
                        </w:numPr>
                        <w:tabs>
                          <w:tab w:pos="784" w:val="left" w:leader="none"/>
                        </w:tabs>
                        <w:spacing w:line="240" w:lineRule="auto" w:before="40" w:after="0"/>
                        <w:ind w:left="784" w:right="0" w:hanging="360"/>
                        <w:jc w:val="left"/>
                      </w:pPr>
                      <w:r>
                        <w:rPr/>
                        <w:t>Ajustes</w:t>
                      </w:r>
                      <w:r>
                        <w:rPr>
                          <w:spacing w:val="-8"/>
                        </w:rPr>
                        <w:t> </w:t>
                      </w:r>
                      <w:r>
                        <w:rPr/>
                        <w:t>financieros</w:t>
                      </w:r>
                      <w:r>
                        <w:rPr>
                          <w:spacing w:val="-5"/>
                        </w:rPr>
                        <w:t> </w:t>
                      </w:r>
                      <w:r>
                        <w:rPr/>
                        <w:t>menores</w:t>
                      </w:r>
                      <w:r>
                        <w:rPr>
                          <w:spacing w:val="-7"/>
                        </w:rPr>
                        <w:t> </w:t>
                      </w:r>
                      <w:r>
                        <w:rPr/>
                        <w:t>y</w:t>
                      </w:r>
                      <w:r>
                        <w:rPr>
                          <w:spacing w:val="-7"/>
                        </w:rPr>
                        <w:t> </w:t>
                      </w:r>
                      <w:r>
                        <w:rPr/>
                        <w:t>rendimientos</w:t>
                      </w:r>
                      <w:r>
                        <w:rPr>
                          <w:spacing w:val="-4"/>
                        </w:rPr>
                        <w:t> </w:t>
                      </w:r>
                      <w:r>
                        <w:rPr>
                          <w:spacing w:val="-2"/>
                        </w:rPr>
                        <w:t>marginales.</w:t>
                      </w:r>
                    </w:p>
                    <w:p>
                      <w:pPr>
                        <w:pStyle w:val="BodyText"/>
                        <w:numPr>
                          <w:ilvl w:val="0"/>
                          <w:numId w:val="50"/>
                        </w:numPr>
                        <w:tabs>
                          <w:tab w:pos="784" w:val="left" w:leader="none"/>
                        </w:tabs>
                        <w:spacing w:line="240" w:lineRule="auto" w:before="37" w:after="0"/>
                        <w:ind w:left="784" w:right="0" w:hanging="360"/>
                        <w:jc w:val="left"/>
                      </w:pPr>
                      <w:r>
                        <w:rPr/>
                        <w:t>Otros</w:t>
                      </w:r>
                      <w:r>
                        <w:rPr>
                          <w:spacing w:val="-4"/>
                        </w:rPr>
                        <w:t> </w:t>
                      </w:r>
                      <w:r>
                        <w:rPr/>
                        <w:t>resultados</w:t>
                      </w:r>
                      <w:r>
                        <w:rPr>
                          <w:spacing w:val="-4"/>
                        </w:rPr>
                        <w:t> </w:t>
                      </w:r>
                      <w:r>
                        <w:rPr/>
                        <w:t>positivos</w:t>
                      </w:r>
                      <w:r>
                        <w:rPr>
                          <w:spacing w:val="-3"/>
                        </w:rPr>
                        <w:t> </w:t>
                      </w:r>
                      <w:r>
                        <w:rPr/>
                        <w:t>de</w:t>
                      </w:r>
                      <w:r>
                        <w:rPr>
                          <w:spacing w:val="-6"/>
                        </w:rPr>
                        <w:t> </w:t>
                      </w:r>
                      <w:r>
                        <w:rPr/>
                        <w:t>naturaleza</w:t>
                      </w:r>
                      <w:r>
                        <w:rPr>
                          <w:spacing w:val="-4"/>
                        </w:rPr>
                        <w:t> </w:t>
                      </w:r>
                      <w:r>
                        <w:rPr>
                          <w:spacing w:val="-2"/>
                        </w:rPr>
                        <w:t>incidental.</w:t>
                      </w:r>
                    </w:p>
                    <w:p>
                      <w:pPr>
                        <w:pStyle w:val="BodyText"/>
                        <w:spacing w:before="74"/>
                      </w:pPr>
                    </w:p>
                    <w:p>
                      <w:pPr>
                        <w:pStyle w:val="BodyText"/>
                        <w:spacing w:line="278" w:lineRule="auto"/>
                        <w:ind w:left="64"/>
                      </w:pPr>
                      <w:r>
                        <w:rPr/>
                        <w:t>Se</w:t>
                      </w:r>
                      <w:r>
                        <w:rPr>
                          <w:spacing w:val="-3"/>
                        </w:rPr>
                        <w:t> </w:t>
                      </w:r>
                      <w:r>
                        <w:rPr/>
                        <w:t>mide</w:t>
                      </w:r>
                      <w:r>
                        <w:rPr>
                          <w:spacing w:val="-3"/>
                        </w:rPr>
                        <w:t> </w:t>
                      </w:r>
                      <w:r>
                        <w:rPr/>
                        <w:t>conforme</w:t>
                      </w:r>
                      <w:r>
                        <w:rPr>
                          <w:spacing w:val="-3"/>
                        </w:rPr>
                        <w:t> </w:t>
                      </w:r>
                      <w:r>
                        <w:rPr/>
                        <w:t>a</w:t>
                      </w:r>
                      <w:r>
                        <w:rPr>
                          <w:spacing w:val="-3"/>
                        </w:rPr>
                        <w:t> </w:t>
                      </w:r>
                      <w:r>
                        <w:rPr/>
                        <w:t>la</w:t>
                      </w:r>
                      <w:r>
                        <w:rPr>
                          <w:spacing w:val="-4"/>
                        </w:rPr>
                        <w:t> </w:t>
                      </w:r>
                      <w:r>
                        <w:rPr/>
                        <w:t>NICSP</w:t>
                      </w:r>
                      <w:r>
                        <w:rPr>
                          <w:spacing w:val="-2"/>
                        </w:rPr>
                        <w:t> </w:t>
                      </w:r>
                      <w:r>
                        <w:rPr/>
                        <w:t>23,</w:t>
                      </w:r>
                      <w:r>
                        <w:rPr>
                          <w:spacing w:val="-2"/>
                        </w:rPr>
                        <w:t> </w:t>
                      </w:r>
                      <w:r>
                        <w:rPr/>
                        <w:t>párrafo</w:t>
                      </w:r>
                      <w:r>
                        <w:rPr>
                          <w:spacing w:val="-2"/>
                        </w:rPr>
                        <w:t> </w:t>
                      </w:r>
                      <w:r>
                        <w:rPr/>
                        <w:t>36,</w:t>
                      </w:r>
                      <w:r>
                        <w:rPr>
                          <w:spacing w:val="-2"/>
                        </w:rPr>
                        <w:t> </w:t>
                      </w:r>
                      <w:r>
                        <w:rPr/>
                        <w:t>los</w:t>
                      </w:r>
                      <w:r>
                        <w:rPr>
                          <w:spacing w:val="-1"/>
                        </w:rPr>
                        <w:t> </w:t>
                      </w:r>
                      <w:r>
                        <w:rPr/>
                        <w:t>ingresos</w:t>
                      </w:r>
                      <w:r>
                        <w:rPr>
                          <w:spacing w:val="-1"/>
                        </w:rPr>
                        <w:t> </w:t>
                      </w:r>
                      <w:r>
                        <w:rPr/>
                        <w:t>de</w:t>
                      </w:r>
                      <w:r>
                        <w:rPr>
                          <w:spacing w:val="-4"/>
                        </w:rPr>
                        <w:t> </w:t>
                      </w:r>
                      <w:r>
                        <w:rPr/>
                        <w:t>transacciones</w:t>
                      </w:r>
                      <w:r>
                        <w:rPr>
                          <w:spacing w:val="-1"/>
                        </w:rPr>
                        <w:t> </w:t>
                      </w:r>
                      <w:r>
                        <w:rPr/>
                        <w:t>sin</w:t>
                      </w:r>
                      <w:r>
                        <w:rPr>
                          <w:spacing w:val="-2"/>
                        </w:rPr>
                        <w:t> </w:t>
                      </w:r>
                      <w:r>
                        <w:rPr/>
                        <w:t>contraprestación</w:t>
                      </w:r>
                      <w:r>
                        <w:rPr>
                          <w:spacing w:val="-4"/>
                        </w:rPr>
                        <w:t> </w:t>
                      </w:r>
                      <w:r>
                        <w:rPr/>
                        <w:t>se miden por el valor razonable del activo recibido.</w:t>
                      </w:r>
                    </w:p>
                    <w:p>
                      <w:pPr>
                        <w:pStyle w:val="BodyText"/>
                        <w:spacing w:before="33"/>
                      </w:pPr>
                    </w:p>
                    <w:p>
                      <w:pPr>
                        <w:pStyle w:val="BodyText"/>
                        <w:ind w:left="64"/>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txbxContent>
                </v:textbox>
                <v:stroke dashstyle="solid"/>
                <w10:wrap type="topAndBottom"/>
              </v:shape>
            </w:pict>
          </mc:Fallback>
        </mc:AlternateContent>
      </w:r>
    </w:p>
    <w:p>
      <w:pPr>
        <w:pStyle w:val="BodyText"/>
        <w:spacing w:before="186"/>
      </w:pPr>
    </w:p>
    <w:p>
      <w:pPr>
        <w:pStyle w:val="Heading5"/>
        <w:numPr>
          <w:ilvl w:val="0"/>
          <w:numId w:val="39"/>
        </w:numPr>
        <w:tabs>
          <w:tab w:pos="838" w:val="left" w:leader="none"/>
        </w:tabs>
        <w:spacing w:line="240" w:lineRule="auto" w:before="0" w:after="0"/>
        <w:ind w:left="838" w:right="0" w:hanging="216"/>
        <w:jc w:val="left"/>
      </w:pPr>
      <w:bookmarkStart w:name="_bookmark105" w:id="106"/>
      <w:bookmarkEnd w:id="106"/>
      <w:r>
        <w:rPr>
          <w:b w:val="0"/>
        </w:rPr>
      </w:r>
      <w:r>
        <w:rPr>
          <w:color w:val="1F3762"/>
          <w:spacing w:val="-2"/>
        </w:rPr>
        <w:t>GASTOS</w:t>
      </w:r>
    </w:p>
    <w:p>
      <w:pPr>
        <w:pStyle w:val="ListParagraph"/>
        <w:numPr>
          <w:ilvl w:val="1"/>
          <w:numId w:val="39"/>
        </w:numPr>
        <w:tabs>
          <w:tab w:pos="946" w:val="left" w:leader="none"/>
        </w:tabs>
        <w:spacing w:line="240" w:lineRule="auto" w:before="167" w:after="0"/>
        <w:ind w:left="946" w:right="0" w:hanging="324"/>
        <w:jc w:val="left"/>
        <w:rPr>
          <w:b/>
          <w:sz w:val="22"/>
        </w:rPr>
      </w:pPr>
      <w:bookmarkStart w:name="_bookmark106" w:id="107"/>
      <w:bookmarkEnd w:id="107"/>
      <w:r>
        <w:rPr/>
      </w:r>
      <w:r>
        <w:rPr>
          <w:b/>
          <w:color w:val="1F3762"/>
          <w:sz w:val="22"/>
        </w:rPr>
        <w:t>GASTOS</w:t>
      </w:r>
      <w:r>
        <w:rPr>
          <w:b/>
          <w:color w:val="1F3762"/>
          <w:spacing w:val="-4"/>
          <w:sz w:val="22"/>
        </w:rPr>
        <w:t> </w:t>
      </w:r>
      <w:r>
        <w:rPr>
          <w:b/>
          <w:color w:val="1F3762"/>
          <w:sz w:val="22"/>
        </w:rPr>
        <w:t>DE</w:t>
      </w:r>
      <w:r>
        <w:rPr>
          <w:b/>
          <w:color w:val="1F3762"/>
          <w:spacing w:val="-4"/>
          <w:sz w:val="22"/>
        </w:rPr>
        <w:t> </w:t>
      </w:r>
      <w:r>
        <w:rPr>
          <w:b/>
          <w:color w:val="1F3762"/>
          <w:spacing w:val="-2"/>
          <w:sz w:val="22"/>
        </w:rPr>
        <w:t>FUNCIONAMIENTO</w:t>
      </w:r>
    </w:p>
    <w:p>
      <w:pPr>
        <w:spacing w:before="164"/>
        <w:ind w:left="622" w:right="0" w:firstLine="0"/>
        <w:jc w:val="left"/>
        <w:rPr>
          <w:b/>
          <w:sz w:val="22"/>
        </w:rPr>
      </w:pPr>
      <w:bookmarkStart w:name="_bookmark107" w:id="108"/>
      <w:bookmarkEnd w:id="108"/>
      <w:r>
        <w:rPr/>
      </w:r>
      <w:r>
        <w:rPr>
          <w:b/>
          <w:sz w:val="22"/>
        </w:rPr>
        <w:t>NOTA</w:t>
      </w:r>
      <w:r>
        <w:rPr>
          <w:b/>
          <w:spacing w:val="-2"/>
          <w:sz w:val="22"/>
        </w:rPr>
        <w:t> </w:t>
      </w:r>
      <w:r>
        <w:rPr>
          <w:b/>
          <w:sz w:val="22"/>
        </w:rPr>
        <w:t>N°</w:t>
      </w:r>
      <w:r>
        <w:rPr>
          <w:b/>
          <w:spacing w:val="-1"/>
          <w:sz w:val="22"/>
        </w:rPr>
        <w:t> </w:t>
      </w:r>
      <w:r>
        <w:rPr>
          <w:b/>
          <w:sz w:val="22"/>
        </w:rPr>
        <w:t>59</w:t>
      </w:r>
      <w:r>
        <w:rPr>
          <w:b/>
          <w:spacing w:val="-2"/>
          <w:sz w:val="22"/>
        </w:rPr>
        <w:t> </w:t>
      </w:r>
      <w:r>
        <w:rPr>
          <w:b/>
          <w:sz w:val="22"/>
        </w:rPr>
        <w:t>Gastos</w:t>
      </w:r>
      <w:r>
        <w:rPr>
          <w:b/>
          <w:spacing w:val="-3"/>
          <w:sz w:val="22"/>
        </w:rPr>
        <w:t> </w:t>
      </w:r>
      <w:r>
        <w:rPr>
          <w:b/>
          <w:sz w:val="22"/>
        </w:rPr>
        <w:t>en</w:t>
      </w:r>
      <w:r>
        <w:rPr>
          <w:b/>
          <w:spacing w:val="-1"/>
          <w:sz w:val="22"/>
        </w:rPr>
        <w:t> </w:t>
      </w:r>
      <w:r>
        <w:rPr>
          <w:b/>
          <w:spacing w:val="-2"/>
          <w:sz w:val="22"/>
        </w:rPr>
        <w:t>personal</w:t>
      </w:r>
    </w:p>
    <w:p>
      <w:pPr>
        <w:pStyle w:val="BodyText"/>
        <w:spacing w:before="115"/>
        <w:rPr>
          <w:b/>
        </w:rPr>
      </w:pPr>
    </w:p>
    <w:p>
      <w:pPr>
        <w:pStyle w:val="Heading6"/>
        <w:spacing w:before="1"/>
        <w:ind w:left="622"/>
      </w:pPr>
      <w:r>
        <w:rPr/>
        <w:t>Gastos</w:t>
      </w:r>
      <w:r>
        <w:rPr>
          <w:spacing w:val="-2"/>
        </w:rPr>
        <w:t> </w:t>
      </w:r>
      <w:r>
        <w:rPr/>
        <w:t>en</w:t>
      </w:r>
      <w:r>
        <w:rPr>
          <w:spacing w:val="-1"/>
        </w:rPr>
        <w:t> </w:t>
      </w:r>
      <w:r>
        <w:rPr>
          <w:spacing w:val="-2"/>
        </w:rPr>
        <w:t>personal</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7"/>
        <w:gridCol w:w="2110"/>
        <w:gridCol w:w="574"/>
        <w:gridCol w:w="2127"/>
        <w:gridCol w:w="1750"/>
        <w:gridCol w:w="1198"/>
      </w:tblGrid>
      <w:tr>
        <w:trPr>
          <w:trHeight w:val="323" w:hRule="atLeast"/>
        </w:trPr>
        <w:tc>
          <w:tcPr>
            <w:tcW w:w="1277" w:type="dxa"/>
            <w:vMerge w:val="restart"/>
            <w:shd w:val="clear" w:color="auto" w:fill="365F92"/>
          </w:tcPr>
          <w:p>
            <w:pPr>
              <w:pStyle w:val="TableParagraph"/>
              <w:spacing w:before="120"/>
              <w:ind w:left="69"/>
              <w:rPr>
                <w:b/>
                <w:sz w:val="22"/>
              </w:rPr>
            </w:pPr>
            <w:r>
              <w:rPr>
                <w:b/>
                <w:color w:val="FFFFFF"/>
                <w:spacing w:val="-2"/>
                <w:sz w:val="22"/>
              </w:rPr>
              <w:t>Cuenta</w:t>
            </w:r>
          </w:p>
        </w:tc>
        <w:tc>
          <w:tcPr>
            <w:tcW w:w="2110" w:type="dxa"/>
            <w:vMerge w:val="restart"/>
            <w:shd w:val="clear" w:color="auto" w:fill="365F92"/>
          </w:tcPr>
          <w:p>
            <w:pPr>
              <w:pStyle w:val="TableParagraph"/>
              <w:spacing w:before="209"/>
              <w:ind w:left="525"/>
              <w:rPr>
                <w:b/>
                <w:sz w:val="22"/>
              </w:rPr>
            </w:pPr>
            <w:r>
              <w:rPr>
                <w:b/>
                <w:color w:val="FFFFFF"/>
                <w:spacing w:val="-2"/>
                <w:sz w:val="22"/>
              </w:rPr>
              <w:t>Descripción</w:t>
            </w:r>
          </w:p>
        </w:tc>
        <w:tc>
          <w:tcPr>
            <w:tcW w:w="574" w:type="dxa"/>
            <w:vMerge w:val="restart"/>
            <w:shd w:val="clear" w:color="auto" w:fill="365F92"/>
          </w:tcPr>
          <w:p>
            <w:pPr>
              <w:pStyle w:val="TableParagraph"/>
              <w:spacing w:before="209"/>
              <w:ind w:left="69"/>
              <w:rPr>
                <w:b/>
                <w:sz w:val="22"/>
              </w:rPr>
            </w:pPr>
            <w:r>
              <w:rPr>
                <w:b/>
                <w:color w:val="FFFFFF"/>
                <w:spacing w:val="-4"/>
                <w:sz w:val="22"/>
              </w:rPr>
              <w:t>Nota</w:t>
            </w:r>
          </w:p>
        </w:tc>
        <w:tc>
          <w:tcPr>
            <w:tcW w:w="2127" w:type="dxa"/>
            <w:vMerge w:val="restart"/>
            <w:shd w:val="clear" w:color="auto" w:fill="365F92"/>
          </w:tcPr>
          <w:p>
            <w:pPr>
              <w:pStyle w:val="TableParagraph"/>
              <w:spacing w:before="209"/>
              <w:ind w:left="431"/>
              <w:rPr>
                <w:b/>
                <w:sz w:val="22"/>
              </w:rPr>
            </w:pPr>
            <w:r>
              <w:rPr>
                <w:b/>
                <w:color w:val="FFFFFF"/>
                <w:sz w:val="22"/>
              </w:rPr>
              <w:t>Periodo</w:t>
            </w:r>
            <w:r>
              <w:rPr>
                <w:b/>
                <w:color w:val="FFFFFF"/>
                <w:spacing w:val="-4"/>
                <w:sz w:val="22"/>
              </w:rPr>
              <w:t> </w:t>
            </w:r>
            <w:r>
              <w:rPr>
                <w:b/>
                <w:color w:val="FFFFFF"/>
                <w:spacing w:val="-2"/>
                <w:sz w:val="22"/>
              </w:rPr>
              <w:t>Actual</w:t>
            </w:r>
          </w:p>
        </w:tc>
        <w:tc>
          <w:tcPr>
            <w:tcW w:w="1750" w:type="dxa"/>
            <w:vMerge w:val="restart"/>
            <w:shd w:val="clear" w:color="auto" w:fill="365F92"/>
          </w:tcPr>
          <w:p>
            <w:pPr>
              <w:pStyle w:val="TableParagraph"/>
              <w:spacing w:before="209"/>
              <w:ind w:left="148"/>
              <w:rPr>
                <w:b/>
                <w:sz w:val="22"/>
              </w:rPr>
            </w:pPr>
            <w:r>
              <w:rPr>
                <w:b/>
                <w:color w:val="FFFFFF"/>
                <w:sz w:val="22"/>
              </w:rPr>
              <w:t>Periodo</w:t>
            </w:r>
            <w:r>
              <w:rPr>
                <w:b/>
                <w:color w:val="FFFFFF"/>
                <w:spacing w:val="-4"/>
                <w:sz w:val="22"/>
              </w:rPr>
              <w:t> </w:t>
            </w:r>
            <w:r>
              <w:rPr>
                <w:b/>
                <w:color w:val="FFFFFF"/>
                <w:spacing w:val="-2"/>
                <w:sz w:val="22"/>
              </w:rPr>
              <w:t>Anterior</w:t>
            </w:r>
          </w:p>
        </w:tc>
        <w:tc>
          <w:tcPr>
            <w:tcW w:w="1198" w:type="dxa"/>
            <w:shd w:val="clear" w:color="auto" w:fill="365F92"/>
          </w:tcPr>
          <w:p>
            <w:pPr>
              <w:pStyle w:val="TableParagraph"/>
              <w:spacing w:before="36"/>
              <w:ind w:left="23" w:right="6"/>
              <w:jc w:val="center"/>
              <w:rPr>
                <w:b/>
                <w:sz w:val="22"/>
              </w:rPr>
            </w:pPr>
            <w:r>
              <w:rPr>
                <w:b/>
                <w:color w:val="FFFFFF"/>
                <w:spacing w:val="-2"/>
                <w:sz w:val="22"/>
              </w:rPr>
              <w:t>Diferencia</w:t>
            </w:r>
          </w:p>
        </w:tc>
      </w:tr>
      <w:tr>
        <w:trPr>
          <w:trHeight w:val="325" w:hRule="atLeast"/>
        </w:trPr>
        <w:tc>
          <w:tcPr>
            <w:tcW w:w="1277" w:type="dxa"/>
            <w:vMerge/>
            <w:tcBorders>
              <w:top w:val="nil"/>
            </w:tcBorders>
            <w:shd w:val="clear" w:color="auto" w:fill="365F92"/>
          </w:tcPr>
          <w:p>
            <w:pPr>
              <w:rPr>
                <w:sz w:val="2"/>
                <w:szCs w:val="2"/>
              </w:rPr>
            </w:pPr>
          </w:p>
        </w:tc>
        <w:tc>
          <w:tcPr>
            <w:tcW w:w="2110"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2127" w:type="dxa"/>
            <w:vMerge/>
            <w:tcBorders>
              <w:top w:val="nil"/>
            </w:tcBorders>
            <w:shd w:val="clear" w:color="auto" w:fill="365F92"/>
          </w:tcPr>
          <w:p>
            <w:pPr>
              <w:rPr>
                <w:sz w:val="2"/>
                <w:szCs w:val="2"/>
              </w:rPr>
            </w:pPr>
          </w:p>
        </w:tc>
        <w:tc>
          <w:tcPr>
            <w:tcW w:w="1750" w:type="dxa"/>
            <w:vMerge/>
            <w:tcBorders>
              <w:top w:val="nil"/>
            </w:tcBorders>
            <w:shd w:val="clear" w:color="auto" w:fill="365F92"/>
          </w:tcPr>
          <w:p>
            <w:pPr>
              <w:rPr>
                <w:sz w:val="2"/>
                <w:szCs w:val="2"/>
              </w:rPr>
            </w:pPr>
          </w:p>
        </w:tc>
        <w:tc>
          <w:tcPr>
            <w:tcW w:w="1198" w:type="dxa"/>
            <w:shd w:val="clear" w:color="auto" w:fill="365F92"/>
          </w:tcPr>
          <w:p>
            <w:pPr>
              <w:pStyle w:val="TableParagraph"/>
              <w:spacing w:before="38"/>
              <w:ind w:left="23" w:right="7"/>
              <w:jc w:val="center"/>
              <w:rPr>
                <w:sz w:val="22"/>
              </w:rPr>
            </w:pPr>
            <w:r>
              <w:rPr>
                <w:color w:val="FFFFFF"/>
                <w:spacing w:val="-10"/>
                <w:sz w:val="22"/>
              </w:rPr>
              <w:t>%</w:t>
            </w:r>
          </w:p>
        </w:tc>
      </w:tr>
      <w:tr>
        <w:trPr>
          <w:trHeight w:val="323" w:hRule="atLeast"/>
        </w:trPr>
        <w:tc>
          <w:tcPr>
            <w:tcW w:w="1277" w:type="dxa"/>
          </w:tcPr>
          <w:p>
            <w:pPr>
              <w:pStyle w:val="TableParagraph"/>
              <w:spacing w:before="46"/>
              <w:ind w:left="69"/>
              <w:rPr>
                <w:b/>
                <w:sz w:val="20"/>
              </w:rPr>
            </w:pPr>
            <w:r>
              <w:rPr>
                <w:b/>
                <w:spacing w:val="-2"/>
                <w:sz w:val="20"/>
              </w:rPr>
              <w:t>5.1.1.</w:t>
            </w:r>
          </w:p>
        </w:tc>
        <w:tc>
          <w:tcPr>
            <w:tcW w:w="2110" w:type="dxa"/>
          </w:tcPr>
          <w:p>
            <w:pPr>
              <w:pStyle w:val="TableParagraph"/>
              <w:spacing w:before="46"/>
              <w:ind w:left="68"/>
              <w:rPr>
                <w:b/>
                <w:sz w:val="20"/>
              </w:rPr>
            </w:pPr>
            <w:r>
              <w:rPr>
                <w:b/>
                <w:sz w:val="20"/>
              </w:rPr>
              <w:t>Gastos</w:t>
            </w:r>
            <w:r>
              <w:rPr>
                <w:b/>
                <w:spacing w:val="-3"/>
                <w:sz w:val="20"/>
              </w:rPr>
              <w:t> </w:t>
            </w:r>
            <w:r>
              <w:rPr>
                <w:b/>
                <w:sz w:val="20"/>
              </w:rPr>
              <w:t>en</w:t>
            </w:r>
            <w:r>
              <w:rPr>
                <w:b/>
                <w:spacing w:val="-5"/>
                <w:sz w:val="20"/>
              </w:rPr>
              <w:t> </w:t>
            </w:r>
            <w:r>
              <w:rPr>
                <w:b/>
                <w:spacing w:val="-2"/>
                <w:sz w:val="20"/>
              </w:rPr>
              <w:t>personal</w:t>
            </w:r>
          </w:p>
        </w:tc>
        <w:tc>
          <w:tcPr>
            <w:tcW w:w="574" w:type="dxa"/>
          </w:tcPr>
          <w:p>
            <w:pPr>
              <w:pStyle w:val="TableParagraph"/>
              <w:spacing w:before="46"/>
              <w:ind w:left="186"/>
              <w:rPr>
                <w:b/>
                <w:sz w:val="20"/>
              </w:rPr>
            </w:pPr>
            <w:r>
              <w:rPr>
                <w:b/>
                <w:spacing w:val="-5"/>
                <w:sz w:val="20"/>
              </w:rPr>
              <w:t>59</w:t>
            </w:r>
          </w:p>
        </w:tc>
        <w:tc>
          <w:tcPr>
            <w:tcW w:w="2127" w:type="dxa"/>
          </w:tcPr>
          <w:p>
            <w:pPr>
              <w:pStyle w:val="TableParagraph"/>
              <w:spacing w:before="46"/>
              <w:ind w:left="496"/>
              <w:rPr>
                <w:b/>
                <w:sz w:val="20"/>
              </w:rPr>
            </w:pPr>
            <w:r>
              <w:rPr>
                <w:b/>
                <w:sz w:val="20"/>
              </w:rPr>
              <w:t>13</w:t>
            </w:r>
            <w:r>
              <w:rPr>
                <w:b/>
                <w:spacing w:val="-3"/>
                <w:sz w:val="20"/>
              </w:rPr>
              <w:t> </w:t>
            </w:r>
            <w:r>
              <w:rPr>
                <w:b/>
                <w:sz w:val="20"/>
              </w:rPr>
              <w:t>496</w:t>
            </w:r>
            <w:r>
              <w:rPr>
                <w:b/>
                <w:spacing w:val="-2"/>
                <w:sz w:val="20"/>
              </w:rPr>
              <w:t> 001,10</w:t>
            </w:r>
          </w:p>
        </w:tc>
        <w:tc>
          <w:tcPr>
            <w:tcW w:w="1750" w:type="dxa"/>
          </w:tcPr>
          <w:p>
            <w:pPr>
              <w:pStyle w:val="TableParagraph"/>
              <w:spacing w:before="46"/>
              <w:ind w:left="309"/>
              <w:rPr>
                <w:b/>
                <w:sz w:val="20"/>
              </w:rPr>
            </w:pPr>
            <w:r>
              <w:rPr>
                <w:b/>
                <w:spacing w:val="-2"/>
                <w:sz w:val="20"/>
              </w:rPr>
              <w:t>13,223,949.37</w:t>
            </w:r>
          </w:p>
        </w:tc>
        <w:tc>
          <w:tcPr>
            <w:tcW w:w="1198" w:type="dxa"/>
          </w:tcPr>
          <w:p>
            <w:pPr>
              <w:pStyle w:val="TableParagraph"/>
              <w:spacing w:before="46"/>
              <w:ind w:left="23" w:right="5"/>
              <w:jc w:val="center"/>
              <w:rPr>
                <w:b/>
                <w:sz w:val="20"/>
              </w:rPr>
            </w:pPr>
            <w:r>
              <w:rPr>
                <w:b/>
                <w:spacing w:val="-2"/>
                <w:sz w:val="20"/>
              </w:rPr>
              <w:t>2.06%</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6080">
                <wp:simplePos x="0" y="0"/>
                <wp:positionH relativeFrom="page">
                  <wp:posOffset>9525</wp:posOffset>
                </wp:positionH>
                <wp:positionV relativeFrom="page">
                  <wp:posOffset>297208</wp:posOffset>
                </wp:positionV>
                <wp:extent cx="7762875" cy="9748520"/>
                <wp:effectExtent l="0" t="0" r="0" b="0"/>
                <wp:wrapNone/>
                <wp:docPr id="605" name="Group 605"/>
                <wp:cNvGraphicFramePr>
                  <a:graphicFrameLocks/>
                </wp:cNvGraphicFramePr>
                <a:graphic>
                  <a:graphicData uri="http://schemas.microsoft.com/office/word/2010/wordprocessingGroup">
                    <wpg:wgp>
                      <wpg:cNvPr id="605" name="Group 605"/>
                      <wpg:cNvGrpSpPr/>
                      <wpg:grpSpPr>
                        <a:xfrm>
                          <a:off x="0" y="0"/>
                          <a:ext cx="7762875" cy="9748520"/>
                          <a:chExt cx="7762875" cy="9748520"/>
                        </a:xfrm>
                      </wpg:grpSpPr>
                      <pic:pic>
                        <pic:nvPicPr>
                          <pic:cNvPr id="606" name="Image 606"/>
                          <pic:cNvPicPr/>
                        </pic:nvPicPr>
                        <pic:blipFill>
                          <a:blip r:embed="rId5" cstate="print"/>
                          <a:stretch>
                            <a:fillRect/>
                          </a:stretch>
                        </pic:blipFill>
                        <pic:spPr>
                          <a:xfrm>
                            <a:off x="0" y="0"/>
                            <a:ext cx="7762874" cy="9748489"/>
                          </a:xfrm>
                          <a:prstGeom prst="rect">
                            <a:avLst/>
                          </a:prstGeom>
                        </pic:spPr>
                      </pic:pic>
                      <wps:wsp>
                        <wps:cNvPr id="607" name="Graphic 60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08" name="Image 608"/>
                          <pic:cNvPicPr/>
                        </pic:nvPicPr>
                        <pic:blipFill>
                          <a:blip r:embed="rId66" cstate="print"/>
                          <a:stretch>
                            <a:fillRect/>
                          </a:stretch>
                        </pic:blipFill>
                        <pic:spPr>
                          <a:xfrm>
                            <a:off x="1736724" y="3492852"/>
                            <a:ext cx="4373753" cy="1565910"/>
                          </a:xfrm>
                          <a:prstGeom prst="rect">
                            <a:avLst/>
                          </a:prstGeom>
                        </pic:spPr>
                      </pic:pic>
                      <pic:pic>
                        <pic:nvPicPr>
                          <pic:cNvPr id="609" name="Image 609"/>
                          <pic:cNvPicPr/>
                        </pic:nvPicPr>
                        <pic:blipFill>
                          <a:blip r:embed="rId67" cstate="print"/>
                          <a:stretch>
                            <a:fillRect/>
                          </a:stretch>
                        </pic:blipFill>
                        <pic:spPr>
                          <a:xfrm>
                            <a:off x="1809114" y="5969733"/>
                            <a:ext cx="4236720" cy="131444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70400" id="docshapegroup583" coordorigin="15,468" coordsize="12225,15352">
                <v:shape style="position:absolute;left:15;top:468;width:12225;height:15352" type="#_x0000_t75" id="docshape584" stroked="false">
                  <v:imagedata r:id="rId5" o:title=""/>
                </v:shape>
                <v:rect style="position:absolute;left:1673;top:2028;width:8897;height:15" id="docshape585" filled="true" fillcolor="#000000" stroked="false">
                  <v:fill type="solid"/>
                </v:rect>
                <v:shape style="position:absolute;left:2750;top:5968;width:6888;height:2466" type="#_x0000_t75" id="docshape586" stroked="false">
                  <v:imagedata r:id="rId66" o:title=""/>
                </v:shape>
                <v:shape style="position:absolute;left:2864;top:9869;width:6672;height:2070" type="#_x0000_t75" id="docshape587" stroked="false">
                  <v:imagedata r:id="rId67" o:title=""/>
                </v:shape>
                <w10:wrap type="none"/>
              </v:group>
            </w:pict>
          </mc:Fallback>
        </mc:AlternateContent>
      </w:r>
      <w:r>
        <w:rPr>
          <w:color w:val="172951"/>
          <w:sz w:val="20"/>
        </w:rPr>
        <w:t>Pág.</w:t>
      </w:r>
      <w:r>
        <w:rPr>
          <w:color w:val="172951"/>
          <w:spacing w:val="-7"/>
          <w:sz w:val="20"/>
        </w:rPr>
        <w:t> </w:t>
      </w:r>
      <w:r>
        <w:rPr>
          <w:color w:val="172951"/>
          <w:spacing w:val="-5"/>
          <w:sz w:val="20"/>
        </w:rPr>
        <w:t>123</w:t>
      </w:r>
    </w:p>
    <w:p>
      <w:pPr>
        <w:pStyle w:val="Heading6"/>
        <w:spacing w:before="218"/>
        <w:ind w:left="622"/>
      </w:pPr>
      <w:r>
        <w:rPr>
          <w:spacing w:val="-2"/>
        </w:rPr>
        <w:t>Revelación:</w:t>
      </w:r>
    </w:p>
    <w:p>
      <w:pPr>
        <w:pStyle w:val="BodyText"/>
        <w:spacing w:before="178"/>
        <w:ind w:left="622" w:right="976"/>
        <w:jc w:val="both"/>
      </w:pPr>
      <w:r>
        <w:rPr/>
        <w:t>La cuenta Gastos en personal, representa el 10,38% del total del Gastos, que comparado al periodo anterior genera una variación absoluta de ¢ 272.051,73 que corresponde a un aumento del 2,06% de recursos disponibles.</w:t>
      </w:r>
    </w:p>
    <w:p>
      <w:pPr>
        <w:pStyle w:val="BodyText"/>
        <w:rPr>
          <w:sz w:val="20"/>
        </w:rPr>
      </w:pPr>
    </w:p>
    <w:p>
      <w:pPr>
        <w:pStyle w:val="BodyText"/>
        <w:rPr>
          <w:sz w:val="20"/>
        </w:rPr>
      </w:pPr>
    </w:p>
    <w:p>
      <w:pPr>
        <w:pStyle w:val="BodyText"/>
        <w:spacing w:before="153"/>
        <w:rPr>
          <w:sz w:val="20"/>
        </w:rPr>
      </w:pPr>
      <w:r>
        <w:rPr>
          <w:sz w:val="20"/>
        </w:rPr>
        <mc:AlternateContent>
          <mc:Choice Requires="wps">
            <w:drawing>
              <wp:anchor distT="0" distB="0" distL="0" distR="0" allowOverlap="1" layoutInCell="1" locked="0" behindDoc="1" simplePos="0" relativeHeight="487708672">
                <wp:simplePos x="0" y="0"/>
                <wp:positionH relativeFrom="page">
                  <wp:posOffset>1080820</wp:posOffset>
                </wp:positionH>
                <wp:positionV relativeFrom="paragraph">
                  <wp:posOffset>260429</wp:posOffset>
                </wp:positionV>
                <wp:extent cx="5715000" cy="5768340"/>
                <wp:effectExtent l="0" t="0" r="0" b="0"/>
                <wp:wrapTopAndBottom/>
                <wp:docPr id="610" name="Textbox 610"/>
                <wp:cNvGraphicFramePr>
                  <a:graphicFrameLocks/>
                </wp:cNvGraphicFramePr>
                <a:graphic>
                  <a:graphicData uri="http://schemas.microsoft.com/office/word/2010/wordprocessingShape">
                    <wps:wsp>
                      <wps:cNvPr id="610" name="Textbox 610"/>
                      <wps:cNvSpPr txBox="1"/>
                      <wps:spPr>
                        <a:xfrm>
                          <a:off x="0" y="0"/>
                          <a:ext cx="5715000" cy="5768340"/>
                        </a:xfrm>
                        <a:prstGeom prst="rect">
                          <a:avLst/>
                        </a:prstGeom>
                        <a:ln w="6095">
                          <a:solidFill>
                            <a:srgbClr val="000000"/>
                          </a:solidFill>
                          <a:prstDash val="solid"/>
                        </a:ln>
                      </wps:spPr>
                      <wps:txbx>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pPr>
                            <w:r>
                              <w:rPr/>
                              <w:t>Corresponde</w:t>
                            </w:r>
                            <w:r>
                              <w:rPr>
                                <w:spacing w:val="-2"/>
                              </w:rPr>
                              <w:t> </w:t>
                            </w:r>
                            <w:r>
                              <w:rPr/>
                              <w:t>al</w:t>
                            </w:r>
                            <w:r>
                              <w:rPr>
                                <w:spacing w:val="-1"/>
                              </w:rPr>
                              <w:t> </w:t>
                            </w:r>
                            <w:r>
                              <w:rPr/>
                              <w:t>pago</w:t>
                            </w:r>
                            <w:r>
                              <w:rPr>
                                <w:spacing w:val="-1"/>
                              </w:rPr>
                              <w:t> </w:t>
                            </w:r>
                            <w:r>
                              <w:rPr/>
                              <w:t>total</w:t>
                            </w:r>
                            <w:r>
                              <w:rPr>
                                <w:spacing w:val="-1"/>
                              </w:rPr>
                              <w:t> </w:t>
                            </w:r>
                            <w:r>
                              <w:rPr/>
                              <w:t>en efectivo a</w:t>
                            </w:r>
                            <w:r>
                              <w:rPr>
                                <w:spacing w:val="-1"/>
                              </w:rPr>
                              <w:t> </w:t>
                            </w:r>
                            <w:r>
                              <w:rPr/>
                              <w:t>las personas funcionarias y</w:t>
                            </w:r>
                            <w:r>
                              <w:rPr>
                                <w:spacing w:val="-1"/>
                              </w:rPr>
                              <w:t> </w:t>
                            </w:r>
                            <w:r>
                              <w:rPr/>
                              <w:t>trabajadoras del</w:t>
                            </w:r>
                            <w:r>
                              <w:rPr>
                                <w:spacing w:val="-2"/>
                              </w:rPr>
                              <w:t> </w:t>
                            </w:r>
                            <w:r>
                              <w:rPr/>
                              <w:t>IMAS</w:t>
                            </w:r>
                            <w:r>
                              <w:rPr>
                                <w:spacing w:val="-1"/>
                              </w:rPr>
                              <w:t> </w:t>
                            </w:r>
                            <w:r>
                              <w:rPr/>
                              <w:t>y</w:t>
                            </w:r>
                            <w:r>
                              <w:rPr>
                                <w:spacing w:val="-1"/>
                              </w:rPr>
                              <w:t> </w:t>
                            </w:r>
                            <w:r>
                              <w:rPr/>
                              <w:t>su</w:t>
                            </w:r>
                            <w:r>
                              <w:rPr>
                                <w:spacing w:val="-3"/>
                              </w:rPr>
                              <w:t> </w:t>
                            </w:r>
                            <w:r>
                              <w:rPr/>
                              <w:t>órgano adscrito a julio 2026.</w:t>
                            </w:r>
                          </w:p>
                          <w:p>
                            <w:pPr>
                              <w:pStyle w:val="BodyText"/>
                              <w:spacing w:before="250"/>
                              <w:ind w:left="64"/>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pStyle w:val="BodyText"/>
                              <w:ind w:left="64" w:right="60"/>
                              <w:jc w:val="both"/>
                            </w:pPr>
                            <w:r>
                              <w:rPr/>
                              <w:t>En el siguiente detalle la partida de remuneraciones básicas refleja un incrementó de un 3,57%. Se refleja que la partida con variación de mayor peso de un periodo a otro es el salario escolar con un incremento del 118,29%, y la partida de servicios especiales con un 104,44%, como se visualiza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2"/>
                            </w:pPr>
                          </w:p>
                          <w:p>
                            <w:pPr>
                              <w:pStyle w:val="BodyText"/>
                              <w:ind w:left="64" w:right="62"/>
                              <w:jc w:val="both"/>
                            </w:pPr>
                            <w:r>
                              <w:rPr/>
                              <w:t>Las partidas remuneraciones eventuales presenta una disminución del -24,71% con respecto al año anterior, donde la partida con mayor incremento es Recargo de Funciones con un 32,89% como se muestra en el desglose de la partida:</w:t>
                            </w:r>
                          </w:p>
                        </w:txbxContent>
                      </wps:txbx>
                      <wps:bodyPr wrap="square" lIns="0" tIns="0" rIns="0" bIns="0" rtlCol="0">
                        <a:noAutofit/>
                      </wps:bodyPr>
                    </wps:wsp>
                  </a:graphicData>
                </a:graphic>
              </wp:anchor>
            </w:drawing>
          </mc:Choice>
          <mc:Fallback>
            <w:pict>
              <v:shape style="position:absolute;margin-left:85.103996pt;margin-top:20.506250pt;width:450pt;height:454.2pt;mso-position-horizontal-relative:page;mso-position-vertical-relative:paragraph;z-index:-15607808;mso-wrap-distance-left:0;mso-wrap-distance-right:0" type="#_x0000_t202" id="docshape588" filled="false" stroked="true" strokeweight=".47998pt" strokecolor="#000000">
                <v:textbox inset="0,0,0,0">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pPr>
                      <w:r>
                        <w:rPr/>
                        <w:t>Corresponde</w:t>
                      </w:r>
                      <w:r>
                        <w:rPr>
                          <w:spacing w:val="-2"/>
                        </w:rPr>
                        <w:t> </w:t>
                      </w:r>
                      <w:r>
                        <w:rPr/>
                        <w:t>al</w:t>
                      </w:r>
                      <w:r>
                        <w:rPr>
                          <w:spacing w:val="-1"/>
                        </w:rPr>
                        <w:t> </w:t>
                      </w:r>
                      <w:r>
                        <w:rPr/>
                        <w:t>pago</w:t>
                      </w:r>
                      <w:r>
                        <w:rPr>
                          <w:spacing w:val="-1"/>
                        </w:rPr>
                        <w:t> </w:t>
                      </w:r>
                      <w:r>
                        <w:rPr/>
                        <w:t>total</w:t>
                      </w:r>
                      <w:r>
                        <w:rPr>
                          <w:spacing w:val="-1"/>
                        </w:rPr>
                        <w:t> </w:t>
                      </w:r>
                      <w:r>
                        <w:rPr/>
                        <w:t>en efectivo a</w:t>
                      </w:r>
                      <w:r>
                        <w:rPr>
                          <w:spacing w:val="-1"/>
                        </w:rPr>
                        <w:t> </w:t>
                      </w:r>
                      <w:r>
                        <w:rPr/>
                        <w:t>las personas funcionarias y</w:t>
                      </w:r>
                      <w:r>
                        <w:rPr>
                          <w:spacing w:val="-1"/>
                        </w:rPr>
                        <w:t> </w:t>
                      </w:r>
                      <w:r>
                        <w:rPr/>
                        <w:t>trabajadoras del</w:t>
                      </w:r>
                      <w:r>
                        <w:rPr>
                          <w:spacing w:val="-2"/>
                        </w:rPr>
                        <w:t> </w:t>
                      </w:r>
                      <w:r>
                        <w:rPr/>
                        <w:t>IMAS</w:t>
                      </w:r>
                      <w:r>
                        <w:rPr>
                          <w:spacing w:val="-1"/>
                        </w:rPr>
                        <w:t> </w:t>
                      </w:r>
                      <w:r>
                        <w:rPr/>
                        <w:t>y</w:t>
                      </w:r>
                      <w:r>
                        <w:rPr>
                          <w:spacing w:val="-1"/>
                        </w:rPr>
                        <w:t> </w:t>
                      </w:r>
                      <w:r>
                        <w:rPr/>
                        <w:t>su</w:t>
                      </w:r>
                      <w:r>
                        <w:rPr>
                          <w:spacing w:val="-3"/>
                        </w:rPr>
                        <w:t> </w:t>
                      </w:r>
                      <w:r>
                        <w:rPr/>
                        <w:t>órgano adscrito a julio 2026.</w:t>
                      </w:r>
                    </w:p>
                    <w:p>
                      <w:pPr>
                        <w:pStyle w:val="BodyText"/>
                        <w:spacing w:before="250"/>
                        <w:ind w:left="64"/>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pStyle w:val="BodyText"/>
                        <w:ind w:left="64" w:right="60"/>
                        <w:jc w:val="both"/>
                      </w:pPr>
                      <w:r>
                        <w:rPr/>
                        <w:t>En el siguiente detalle la partida de remuneraciones básicas refleja un incrementó de un 3,57%. Se refleja que la partida con variación de mayor peso de un periodo a otro es el salario escolar con un incremento del 118,29%, y la partida de servicios especiales con un 104,44%, como se visualiza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2"/>
                      </w:pPr>
                    </w:p>
                    <w:p>
                      <w:pPr>
                        <w:pStyle w:val="BodyText"/>
                        <w:ind w:left="64" w:right="62"/>
                        <w:jc w:val="both"/>
                      </w:pPr>
                      <w:r>
                        <w:rPr/>
                        <w:t>Las partidas remuneraciones eventuales presenta una disminución del -24,71% con respecto al año anterior, donde la partida con mayor incremento es Recargo de Funciones con un 32,89% como se muestra en el desglose de la partida: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7104">
                <wp:simplePos x="0" y="0"/>
                <wp:positionH relativeFrom="page">
                  <wp:posOffset>9525</wp:posOffset>
                </wp:positionH>
                <wp:positionV relativeFrom="page">
                  <wp:posOffset>297208</wp:posOffset>
                </wp:positionV>
                <wp:extent cx="7762875" cy="9748520"/>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7762875" cy="9748520"/>
                          <a:chExt cx="7762875" cy="9748520"/>
                        </a:xfrm>
                      </wpg:grpSpPr>
                      <pic:pic>
                        <pic:nvPicPr>
                          <pic:cNvPr id="612" name="Image 612"/>
                          <pic:cNvPicPr/>
                        </pic:nvPicPr>
                        <pic:blipFill>
                          <a:blip r:embed="rId5" cstate="print"/>
                          <a:stretch>
                            <a:fillRect/>
                          </a:stretch>
                        </pic:blipFill>
                        <pic:spPr>
                          <a:xfrm>
                            <a:off x="0" y="0"/>
                            <a:ext cx="7762874" cy="9748489"/>
                          </a:xfrm>
                          <a:prstGeom prst="rect">
                            <a:avLst/>
                          </a:prstGeom>
                        </pic:spPr>
                      </pic:pic>
                      <wps:wsp>
                        <wps:cNvPr id="613" name="Graphic 613"/>
                        <wps:cNvSpPr/>
                        <wps:spPr>
                          <a:xfrm>
                            <a:off x="1053007" y="990837"/>
                            <a:ext cx="5736590" cy="7453630"/>
                          </a:xfrm>
                          <a:custGeom>
                            <a:avLst/>
                            <a:gdLst/>
                            <a:ahLst/>
                            <a:cxnLst/>
                            <a:rect l="l" t="t" r="r" b="b"/>
                            <a:pathLst>
                              <a:path w="5736590" h="7453630">
                                <a:moveTo>
                                  <a:pt x="5649214" y="0"/>
                                </a:moveTo>
                                <a:lnTo>
                                  <a:pt x="0" y="0"/>
                                </a:lnTo>
                                <a:lnTo>
                                  <a:pt x="0" y="9131"/>
                                </a:lnTo>
                                <a:lnTo>
                                  <a:pt x="5649214" y="9131"/>
                                </a:lnTo>
                                <a:lnTo>
                                  <a:pt x="5649214" y="0"/>
                                </a:lnTo>
                                <a:close/>
                              </a:path>
                              <a:path w="5736590" h="7453630">
                                <a:moveTo>
                                  <a:pt x="5736018" y="132702"/>
                                </a:moveTo>
                                <a:lnTo>
                                  <a:pt x="5729935" y="132702"/>
                                </a:lnTo>
                                <a:lnTo>
                                  <a:pt x="5729935" y="7447267"/>
                                </a:lnTo>
                                <a:lnTo>
                                  <a:pt x="5707126" y="7447267"/>
                                </a:lnTo>
                                <a:lnTo>
                                  <a:pt x="5707126" y="7441184"/>
                                </a:lnTo>
                                <a:lnTo>
                                  <a:pt x="44196" y="7441184"/>
                                </a:lnTo>
                                <a:lnTo>
                                  <a:pt x="44196" y="7447267"/>
                                </a:lnTo>
                                <a:lnTo>
                                  <a:pt x="21336" y="7447267"/>
                                </a:lnTo>
                                <a:lnTo>
                                  <a:pt x="21336" y="132702"/>
                                </a:lnTo>
                                <a:lnTo>
                                  <a:pt x="15240" y="132702"/>
                                </a:lnTo>
                                <a:lnTo>
                                  <a:pt x="15240" y="7447267"/>
                                </a:lnTo>
                                <a:lnTo>
                                  <a:pt x="15240" y="7453363"/>
                                </a:lnTo>
                                <a:lnTo>
                                  <a:pt x="21336" y="7453363"/>
                                </a:lnTo>
                                <a:lnTo>
                                  <a:pt x="5729935" y="7453363"/>
                                </a:lnTo>
                                <a:lnTo>
                                  <a:pt x="5736018" y="7453363"/>
                                </a:lnTo>
                                <a:lnTo>
                                  <a:pt x="5736018" y="7447267"/>
                                </a:lnTo>
                                <a:lnTo>
                                  <a:pt x="5736018" y="132702"/>
                                </a:lnTo>
                                <a:close/>
                              </a:path>
                              <a:path w="5736590" h="745363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614" name="Image 614"/>
                          <pic:cNvPicPr/>
                        </pic:nvPicPr>
                        <pic:blipFill>
                          <a:blip r:embed="rId68" cstate="print"/>
                          <a:stretch>
                            <a:fillRect/>
                          </a:stretch>
                        </pic:blipFill>
                        <pic:spPr>
                          <a:xfrm>
                            <a:off x="2060574" y="1123857"/>
                            <a:ext cx="3726815" cy="1104836"/>
                          </a:xfrm>
                          <a:prstGeom prst="rect">
                            <a:avLst/>
                          </a:prstGeom>
                        </pic:spPr>
                      </pic:pic>
                      <pic:pic>
                        <pic:nvPicPr>
                          <pic:cNvPr id="615" name="Image 615"/>
                          <pic:cNvPicPr/>
                        </pic:nvPicPr>
                        <pic:blipFill>
                          <a:blip r:embed="rId69" cstate="print"/>
                          <a:stretch>
                            <a:fillRect/>
                          </a:stretch>
                        </pic:blipFill>
                        <pic:spPr>
                          <a:xfrm>
                            <a:off x="1851024" y="2788510"/>
                            <a:ext cx="4151629" cy="1322069"/>
                          </a:xfrm>
                          <a:prstGeom prst="rect">
                            <a:avLst/>
                          </a:prstGeom>
                        </pic:spPr>
                      </pic:pic>
                      <pic:pic>
                        <pic:nvPicPr>
                          <pic:cNvPr id="616" name="Image 616"/>
                          <pic:cNvPicPr/>
                        </pic:nvPicPr>
                        <pic:blipFill>
                          <a:blip r:embed="rId70" cstate="print"/>
                          <a:stretch>
                            <a:fillRect/>
                          </a:stretch>
                        </pic:blipFill>
                        <pic:spPr>
                          <a:xfrm>
                            <a:off x="1839975" y="4862166"/>
                            <a:ext cx="4175125" cy="1794383"/>
                          </a:xfrm>
                          <a:prstGeom prst="rect">
                            <a:avLst/>
                          </a:prstGeom>
                        </pic:spPr>
                      </pic:pic>
                      <pic:pic>
                        <pic:nvPicPr>
                          <pic:cNvPr id="617" name="Image 617"/>
                          <pic:cNvPicPr/>
                        </pic:nvPicPr>
                        <pic:blipFill>
                          <a:blip r:embed="rId71" cstate="print"/>
                          <a:stretch>
                            <a:fillRect/>
                          </a:stretch>
                        </pic:blipFill>
                        <pic:spPr>
                          <a:xfrm>
                            <a:off x="1908174" y="7293974"/>
                            <a:ext cx="4029710" cy="112381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69376" id="docshapegroup589" coordorigin="15,468" coordsize="12225,15352">
                <v:shape style="position:absolute;left:15;top:468;width:12225;height:15352" type="#_x0000_t75" id="docshape590" stroked="false">
                  <v:imagedata r:id="rId5" o:title=""/>
                </v:shape>
                <v:shape style="position:absolute;left:1673;top:2028;width:9034;height:11738" id="docshape591" coordorigin="1673,2028" coordsize="9034,11738" path="m10570,2028l1673,2028,1673,2043,10570,2043,10570,2028xm10706,2237l10697,2237,10697,13756,10661,13756,10661,13747,1743,13747,1743,13756,1707,13756,1707,2237,1697,2237,1697,13756,1697,13766,1707,13766,10697,13766,10697,13766,10706,13766,10706,13756,10706,2237xm10706,2228l10697,2228,10697,2228,1707,2228,1697,2228,1697,2237,1707,2237,10697,2237,10697,2237,10706,2237,10706,2228xe" filled="true" fillcolor="#000000" stroked="false">
                  <v:path arrowok="t"/>
                  <v:fill type="solid"/>
                </v:shape>
                <v:shape style="position:absolute;left:3260;top:2237;width:5869;height:1740" type="#_x0000_t75" id="docshape592" stroked="false">
                  <v:imagedata r:id="rId68" o:title=""/>
                </v:shape>
                <v:shape style="position:absolute;left:2930;top:4859;width:6538;height:2082" type="#_x0000_t75" id="docshape593" stroked="false">
                  <v:imagedata r:id="rId69" o:title=""/>
                </v:shape>
                <v:shape style="position:absolute;left:2912;top:8125;width:6575;height:2826" type="#_x0000_t75" id="docshape594" stroked="false">
                  <v:imagedata r:id="rId70" o:title=""/>
                </v:shape>
                <v:shape style="position:absolute;left:3020;top:11954;width:6346;height:1770" type="#_x0000_t75" id="docshape595" stroked="false">
                  <v:imagedata r:id="rId71" o:title=""/>
                </v:shape>
                <w10:wrap type="none"/>
              </v:group>
            </w:pict>
          </mc:Fallback>
        </mc:AlternateContent>
      </w:r>
      <w:r>
        <w:rPr>
          <w:color w:val="172951"/>
          <w:sz w:val="20"/>
        </w:rPr>
        <w:t>Pág.</w:t>
      </w:r>
      <w:r>
        <w:rPr>
          <w:color w:val="172951"/>
          <w:spacing w:val="-7"/>
          <w:sz w:val="20"/>
        </w:rPr>
        <w:t> </w:t>
      </w:r>
      <w:r>
        <w:rPr>
          <w:color w:val="172951"/>
          <w:spacing w:val="-5"/>
          <w:sz w:val="20"/>
        </w:rPr>
        <w:t>124</w:t>
      </w:r>
    </w:p>
    <w:p>
      <w:pPr>
        <w:pStyle w:val="BodyText"/>
        <w:spacing w:before="9"/>
        <w:rPr>
          <w:sz w:val="17"/>
        </w:rPr>
      </w:pPr>
      <w:r>
        <w:rPr>
          <w:sz w:val="17"/>
        </w:rPr>
        <mc:AlternateContent>
          <mc:Choice Requires="wps">
            <w:drawing>
              <wp:anchor distT="0" distB="0" distL="0" distR="0" allowOverlap="1" layoutInCell="1" locked="0" behindDoc="1" simplePos="0" relativeHeight="487709696">
                <wp:simplePos x="0" y="0"/>
                <wp:positionH relativeFrom="page">
                  <wp:posOffset>1083868</wp:posOffset>
                </wp:positionH>
                <wp:positionV relativeFrom="paragraph">
                  <wp:posOffset>144192</wp:posOffset>
                </wp:positionV>
                <wp:extent cx="5708650" cy="7308850"/>
                <wp:effectExtent l="0" t="0" r="0" b="0"/>
                <wp:wrapTopAndBottom/>
                <wp:docPr id="618" name="Textbox 618"/>
                <wp:cNvGraphicFramePr>
                  <a:graphicFrameLocks/>
                </wp:cNvGraphicFramePr>
                <a:graphic>
                  <a:graphicData uri="http://schemas.microsoft.com/office/word/2010/wordprocessingShape">
                    <wps:wsp>
                      <wps:cNvPr id="618" name="Textbox 618"/>
                      <wps:cNvSpPr txBox="1"/>
                      <wps:spPr>
                        <a:xfrm>
                          <a:off x="0" y="0"/>
                          <a:ext cx="5708650" cy="7308850"/>
                        </a:xfrm>
                        <a:prstGeom prst="rect">
                          <a:avLst/>
                        </a:prstGeom>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spacing w:before="163"/>
                            </w:pPr>
                          </w:p>
                          <w:p>
                            <w:pPr>
                              <w:pStyle w:val="BodyText"/>
                              <w:spacing w:line="259" w:lineRule="auto" w:before="1"/>
                              <w:ind w:left="64"/>
                            </w:pPr>
                            <w:r>
                              <w:rPr/>
                              <w:t>Los</w:t>
                            </w:r>
                            <w:r>
                              <w:rPr>
                                <w:spacing w:val="-2"/>
                              </w:rPr>
                              <w:t> </w:t>
                            </w:r>
                            <w:r>
                              <w:rPr/>
                              <w:t>incentivos</w:t>
                            </w:r>
                            <w:r>
                              <w:rPr>
                                <w:spacing w:val="-4"/>
                              </w:rPr>
                              <w:t> </w:t>
                            </w:r>
                            <w:r>
                              <w:rPr/>
                              <w:t>salariales</w:t>
                            </w:r>
                            <w:r>
                              <w:rPr>
                                <w:spacing w:val="-2"/>
                              </w:rPr>
                              <w:t> </w:t>
                            </w:r>
                            <w:r>
                              <w:rPr/>
                              <w:t>tuvieron</w:t>
                            </w:r>
                            <w:r>
                              <w:rPr>
                                <w:spacing w:val="-2"/>
                              </w:rPr>
                              <w:t> </w:t>
                            </w:r>
                            <w:r>
                              <w:rPr/>
                              <w:t>una</w:t>
                            </w:r>
                            <w:r>
                              <w:rPr>
                                <w:spacing w:val="-3"/>
                              </w:rPr>
                              <w:t> </w:t>
                            </w:r>
                            <w:r>
                              <w:rPr/>
                              <w:t>disminución</w:t>
                            </w:r>
                            <w:r>
                              <w:rPr>
                                <w:spacing w:val="-2"/>
                              </w:rPr>
                              <w:t> </w:t>
                            </w:r>
                            <w:r>
                              <w:rPr/>
                              <w:t>del-2,04%</w:t>
                            </w:r>
                            <w:r>
                              <w:rPr>
                                <w:spacing w:val="-2"/>
                              </w:rPr>
                              <w:t> </w:t>
                            </w:r>
                            <w:r>
                              <w:rPr/>
                              <w:t>a</w:t>
                            </w:r>
                            <w:r>
                              <w:rPr>
                                <w:spacing w:val="-3"/>
                              </w:rPr>
                              <w:t> </w:t>
                            </w:r>
                            <w:r>
                              <w:rPr/>
                              <w:t>pesar</w:t>
                            </w:r>
                            <w:r>
                              <w:rPr>
                                <w:spacing w:val="-2"/>
                              </w:rPr>
                              <w:t> </w:t>
                            </w:r>
                            <w:r>
                              <w:rPr/>
                              <w:t>de</w:t>
                            </w:r>
                            <w:r>
                              <w:rPr>
                                <w:spacing w:val="-4"/>
                              </w:rPr>
                              <w:t> </w:t>
                            </w:r>
                            <w:r>
                              <w:rPr/>
                              <w:t>que</w:t>
                            </w:r>
                            <w:r>
                              <w:rPr>
                                <w:spacing w:val="-3"/>
                              </w:rPr>
                              <w:t> </w:t>
                            </w:r>
                            <w:r>
                              <w:rPr/>
                              <w:t>la</w:t>
                            </w:r>
                            <w:r>
                              <w:rPr>
                                <w:spacing w:val="-4"/>
                              </w:rPr>
                              <w:t> </w:t>
                            </w:r>
                            <w:r>
                              <w:rPr/>
                              <w:t>partida</w:t>
                            </w:r>
                            <w:r>
                              <w:rPr>
                                <w:spacing w:val="-3"/>
                              </w:rPr>
                              <w:t> </w:t>
                            </w:r>
                            <w:r>
                              <w:rPr/>
                              <w:t>Decimotercer mes se incrementó en un 34,77%, según se muestra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4"/>
                            </w:pPr>
                          </w:p>
                          <w:p>
                            <w:pPr>
                              <w:pStyle w:val="BodyText"/>
                              <w:ind w:left="64" w:right="61"/>
                              <w:jc w:val="both"/>
                            </w:pPr>
                            <w:r>
                              <w:rPr/>
                              <w:t>Se muestra un incremento para las contribuciones patronales de un 1,73%, y para la partida de contribuciones patronales para fondos de pensión un incremento de 4,53%, como se muestra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7"/>
                            </w:pPr>
                          </w:p>
                          <w:p>
                            <w:pPr>
                              <w:pStyle w:val="BodyText"/>
                              <w:ind w:left="64"/>
                            </w:pPr>
                            <w:r>
                              <w:rPr/>
                              <w:t>En</w:t>
                            </w:r>
                            <w:r>
                              <w:rPr>
                                <w:spacing w:val="-2"/>
                              </w:rPr>
                              <w:t> </w:t>
                            </w:r>
                            <w:r>
                              <w:rPr/>
                              <w:t>la</w:t>
                            </w:r>
                            <w:r>
                              <w:rPr>
                                <w:spacing w:val="-4"/>
                              </w:rPr>
                              <w:t> </w:t>
                            </w:r>
                            <w:r>
                              <w:rPr/>
                              <w:t>partida</w:t>
                            </w:r>
                            <w:r>
                              <w:rPr>
                                <w:spacing w:val="-3"/>
                              </w:rPr>
                              <w:t> </w:t>
                            </w:r>
                            <w:r>
                              <w:rPr/>
                              <w:t>de</w:t>
                            </w:r>
                            <w:r>
                              <w:rPr>
                                <w:spacing w:val="-4"/>
                              </w:rPr>
                              <w:t> </w:t>
                            </w:r>
                            <w:r>
                              <w:rPr/>
                              <w:t>Asistencia</w:t>
                            </w:r>
                            <w:r>
                              <w:rPr>
                                <w:spacing w:val="-5"/>
                              </w:rPr>
                              <w:t> </w:t>
                            </w:r>
                            <w:r>
                              <w:rPr/>
                              <w:t>social</w:t>
                            </w:r>
                            <w:r>
                              <w:rPr>
                                <w:spacing w:val="-2"/>
                              </w:rPr>
                              <w:t> </w:t>
                            </w:r>
                            <w:r>
                              <w:rPr/>
                              <w:t>y</w:t>
                            </w:r>
                            <w:r>
                              <w:rPr>
                                <w:spacing w:val="-4"/>
                              </w:rPr>
                              <w:t> </w:t>
                            </w:r>
                            <w:r>
                              <w:rPr/>
                              <w:t>beneficios al</w:t>
                            </w:r>
                            <w:r>
                              <w:rPr>
                                <w:spacing w:val="-3"/>
                              </w:rPr>
                              <w:t> </w:t>
                            </w:r>
                            <w:r>
                              <w:rPr/>
                              <w:t>personal</w:t>
                            </w:r>
                            <w:r>
                              <w:rPr>
                                <w:spacing w:val="-3"/>
                              </w:rPr>
                              <w:t> </w:t>
                            </w:r>
                            <w:r>
                              <w:rPr/>
                              <w:t>(gastos</w:t>
                            </w:r>
                            <w:r>
                              <w:rPr>
                                <w:spacing w:val="-1"/>
                              </w:rPr>
                              <w:t> </w:t>
                            </w:r>
                            <w:r>
                              <w:rPr/>
                              <w:t>varios</w:t>
                            </w:r>
                            <w:r>
                              <w:rPr>
                                <w:spacing w:val="-1"/>
                              </w:rPr>
                              <w:t> </w:t>
                            </w:r>
                            <w:r>
                              <w:rPr/>
                              <w:t>en</w:t>
                            </w:r>
                            <w:r>
                              <w:rPr>
                                <w:spacing w:val="-2"/>
                              </w:rPr>
                              <w:t> </w:t>
                            </w:r>
                            <w:r>
                              <w:rPr/>
                              <w:t>personal)</w:t>
                            </w:r>
                            <w:r>
                              <w:rPr>
                                <w:spacing w:val="-3"/>
                              </w:rPr>
                              <w:t> </w:t>
                            </w:r>
                            <w:r>
                              <w:rPr/>
                              <w:t>reflejan</w:t>
                            </w:r>
                            <w:r>
                              <w:rPr>
                                <w:spacing w:val="-2"/>
                              </w:rPr>
                              <w:t> </w:t>
                            </w:r>
                            <w:r>
                              <w:rPr/>
                              <w:t>un incremento de un 6,26% con respecto al año anterior, como se</w:t>
                            </w:r>
                            <w:r>
                              <w:rPr>
                                <w:spacing w:val="-2"/>
                              </w:rPr>
                              <w:t> </w:t>
                            </w:r>
                            <w:r>
                              <w:rPr/>
                              <w:t>muestra en el siguiente detalle:</w:t>
                            </w:r>
                          </w:p>
                        </w:txbxContent>
                      </wps:txbx>
                      <wps:bodyPr wrap="square" lIns="0" tIns="0" rIns="0" bIns="0" rtlCol="0">
                        <a:noAutofit/>
                      </wps:bodyPr>
                    </wps:wsp>
                  </a:graphicData>
                </a:graphic>
              </wp:anchor>
            </w:drawing>
          </mc:Choice>
          <mc:Fallback>
            <w:pict>
              <v:shape style="position:absolute;margin-left:85.344002pt;margin-top:11.35375pt;width:449.5pt;height:575.5pt;mso-position-horizontal-relative:page;mso-position-vertical-relative:paragraph;z-index:-15606784;mso-wrap-distance-left:0;mso-wrap-distance-right:0" type="#_x0000_t202" id="docshape596" filled="false" stroked="false">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spacing w:before="163"/>
                      </w:pPr>
                    </w:p>
                    <w:p>
                      <w:pPr>
                        <w:pStyle w:val="BodyText"/>
                        <w:spacing w:line="259" w:lineRule="auto" w:before="1"/>
                        <w:ind w:left="64"/>
                      </w:pPr>
                      <w:r>
                        <w:rPr/>
                        <w:t>Los</w:t>
                      </w:r>
                      <w:r>
                        <w:rPr>
                          <w:spacing w:val="-2"/>
                        </w:rPr>
                        <w:t> </w:t>
                      </w:r>
                      <w:r>
                        <w:rPr/>
                        <w:t>incentivos</w:t>
                      </w:r>
                      <w:r>
                        <w:rPr>
                          <w:spacing w:val="-4"/>
                        </w:rPr>
                        <w:t> </w:t>
                      </w:r>
                      <w:r>
                        <w:rPr/>
                        <w:t>salariales</w:t>
                      </w:r>
                      <w:r>
                        <w:rPr>
                          <w:spacing w:val="-2"/>
                        </w:rPr>
                        <w:t> </w:t>
                      </w:r>
                      <w:r>
                        <w:rPr/>
                        <w:t>tuvieron</w:t>
                      </w:r>
                      <w:r>
                        <w:rPr>
                          <w:spacing w:val="-2"/>
                        </w:rPr>
                        <w:t> </w:t>
                      </w:r>
                      <w:r>
                        <w:rPr/>
                        <w:t>una</w:t>
                      </w:r>
                      <w:r>
                        <w:rPr>
                          <w:spacing w:val="-3"/>
                        </w:rPr>
                        <w:t> </w:t>
                      </w:r>
                      <w:r>
                        <w:rPr/>
                        <w:t>disminución</w:t>
                      </w:r>
                      <w:r>
                        <w:rPr>
                          <w:spacing w:val="-2"/>
                        </w:rPr>
                        <w:t> </w:t>
                      </w:r>
                      <w:r>
                        <w:rPr/>
                        <w:t>del-2,04%</w:t>
                      </w:r>
                      <w:r>
                        <w:rPr>
                          <w:spacing w:val="-2"/>
                        </w:rPr>
                        <w:t> </w:t>
                      </w:r>
                      <w:r>
                        <w:rPr/>
                        <w:t>a</w:t>
                      </w:r>
                      <w:r>
                        <w:rPr>
                          <w:spacing w:val="-3"/>
                        </w:rPr>
                        <w:t> </w:t>
                      </w:r>
                      <w:r>
                        <w:rPr/>
                        <w:t>pesar</w:t>
                      </w:r>
                      <w:r>
                        <w:rPr>
                          <w:spacing w:val="-2"/>
                        </w:rPr>
                        <w:t> </w:t>
                      </w:r>
                      <w:r>
                        <w:rPr/>
                        <w:t>de</w:t>
                      </w:r>
                      <w:r>
                        <w:rPr>
                          <w:spacing w:val="-4"/>
                        </w:rPr>
                        <w:t> </w:t>
                      </w:r>
                      <w:r>
                        <w:rPr/>
                        <w:t>que</w:t>
                      </w:r>
                      <w:r>
                        <w:rPr>
                          <w:spacing w:val="-3"/>
                        </w:rPr>
                        <w:t> </w:t>
                      </w:r>
                      <w:r>
                        <w:rPr/>
                        <w:t>la</w:t>
                      </w:r>
                      <w:r>
                        <w:rPr>
                          <w:spacing w:val="-4"/>
                        </w:rPr>
                        <w:t> </w:t>
                      </w:r>
                      <w:r>
                        <w:rPr/>
                        <w:t>partida</w:t>
                      </w:r>
                      <w:r>
                        <w:rPr>
                          <w:spacing w:val="-3"/>
                        </w:rPr>
                        <w:t> </w:t>
                      </w:r>
                      <w:r>
                        <w:rPr/>
                        <w:t>Decimotercer mes se incrementó en un 34,77%, según se muestra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4"/>
                      </w:pPr>
                    </w:p>
                    <w:p>
                      <w:pPr>
                        <w:pStyle w:val="BodyText"/>
                        <w:ind w:left="64" w:right="61"/>
                        <w:jc w:val="both"/>
                      </w:pPr>
                      <w:r>
                        <w:rPr/>
                        <w:t>Se muestra un incremento para las contribuciones patronales de un 1,73%, y para la partida de contribuciones patronales para fondos de pensión un incremento de 4,53%, como se muestra en el siguiente detalle: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7"/>
                      </w:pPr>
                    </w:p>
                    <w:p>
                      <w:pPr>
                        <w:pStyle w:val="BodyText"/>
                        <w:ind w:left="64"/>
                      </w:pPr>
                      <w:r>
                        <w:rPr/>
                        <w:t>En</w:t>
                      </w:r>
                      <w:r>
                        <w:rPr>
                          <w:spacing w:val="-2"/>
                        </w:rPr>
                        <w:t> </w:t>
                      </w:r>
                      <w:r>
                        <w:rPr/>
                        <w:t>la</w:t>
                      </w:r>
                      <w:r>
                        <w:rPr>
                          <w:spacing w:val="-4"/>
                        </w:rPr>
                        <w:t> </w:t>
                      </w:r>
                      <w:r>
                        <w:rPr/>
                        <w:t>partida</w:t>
                      </w:r>
                      <w:r>
                        <w:rPr>
                          <w:spacing w:val="-3"/>
                        </w:rPr>
                        <w:t> </w:t>
                      </w:r>
                      <w:r>
                        <w:rPr/>
                        <w:t>de</w:t>
                      </w:r>
                      <w:r>
                        <w:rPr>
                          <w:spacing w:val="-4"/>
                        </w:rPr>
                        <w:t> </w:t>
                      </w:r>
                      <w:r>
                        <w:rPr/>
                        <w:t>Asistencia</w:t>
                      </w:r>
                      <w:r>
                        <w:rPr>
                          <w:spacing w:val="-5"/>
                        </w:rPr>
                        <w:t> </w:t>
                      </w:r>
                      <w:r>
                        <w:rPr/>
                        <w:t>social</w:t>
                      </w:r>
                      <w:r>
                        <w:rPr>
                          <w:spacing w:val="-2"/>
                        </w:rPr>
                        <w:t> </w:t>
                      </w:r>
                      <w:r>
                        <w:rPr/>
                        <w:t>y</w:t>
                      </w:r>
                      <w:r>
                        <w:rPr>
                          <w:spacing w:val="-4"/>
                        </w:rPr>
                        <w:t> </w:t>
                      </w:r>
                      <w:r>
                        <w:rPr/>
                        <w:t>beneficios al</w:t>
                      </w:r>
                      <w:r>
                        <w:rPr>
                          <w:spacing w:val="-3"/>
                        </w:rPr>
                        <w:t> </w:t>
                      </w:r>
                      <w:r>
                        <w:rPr/>
                        <w:t>personal</w:t>
                      </w:r>
                      <w:r>
                        <w:rPr>
                          <w:spacing w:val="-3"/>
                        </w:rPr>
                        <w:t> </w:t>
                      </w:r>
                      <w:r>
                        <w:rPr/>
                        <w:t>(gastos</w:t>
                      </w:r>
                      <w:r>
                        <w:rPr>
                          <w:spacing w:val="-1"/>
                        </w:rPr>
                        <w:t> </w:t>
                      </w:r>
                      <w:r>
                        <w:rPr/>
                        <w:t>varios</w:t>
                      </w:r>
                      <w:r>
                        <w:rPr>
                          <w:spacing w:val="-1"/>
                        </w:rPr>
                        <w:t> </w:t>
                      </w:r>
                      <w:r>
                        <w:rPr/>
                        <w:t>en</w:t>
                      </w:r>
                      <w:r>
                        <w:rPr>
                          <w:spacing w:val="-2"/>
                        </w:rPr>
                        <w:t> </w:t>
                      </w:r>
                      <w:r>
                        <w:rPr/>
                        <w:t>personal)</w:t>
                      </w:r>
                      <w:r>
                        <w:rPr>
                          <w:spacing w:val="-3"/>
                        </w:rPr>
                        <w:t> </w:t>
                      </w:r>
                      <w:r>
                        <w:rPr/>
                        <w:t>reflejan</w:t>
                      </w:r>
                      <w:r>
                        <w:rPr>
                          <w:spacing w:val="-2"/>
                        </w:rPr>
                        <w:t> </w:t>
                      </w:r>
                      <w:r>
                        <w:rPr/>
                        <w:t>un incremento de un 6,26% con respecto al año anterior, como se</w:t>
                      </w:r>
                      <w:r>
                        <w:rPr>
                          <w:spacing w:val="-2"/>
                        </w:rPr>
                        <w:t> </w:t>
                      </w:r>
                      <w:r>
                        <w:rPr/>
                        <w:t>muestra en el siguiente detalle:</w:t>
                      </w:r>
                    </w:p>
                  </w:txbxContent>
                </v:textbox>
                <w10:wrap type="topAndBottom"/>
              </v:shape>
            </w:pict>
          </mc:Fallback>
        </mc:AlternateContent>
      </w:r>
    </w:p>
    <w:p>
      <w:pPr>
        <w:pStyle w:val="BodyText"/>
        <w:spacing w:after="0"/>
        <w:rPr>
          <w:sz w:val="17"/>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8128">
                <wp:simplePos x="0" y="0"/>
                <wp:positionH relativeFrom="page">
                  <wp:posOffset>9525</wp:posOffset>
                </wp:positionH>
                <wp:positionV relativeFrom="page">
                  <wp:posOffset>297208</wp:posOffset>
                </wp:positionV>
                <wp:extent cx="7762875" cy="9748520"/>
                <wp:effectExtent l="0" t="0" r="0" b="0"/>
                <wp:wrapNone/>
                <wp:docPr id="619" name="Group 619"/>
                <wp:cNvGraphicFramePr>
                  <a:graphicFrameLocks/>
                </wp:cNvGraphicFramePr>
                <a:graphic>
                  <a:graphicData uri="http://schemas.microsoft.com/office/word/2010/wordprocessingGroup">
                    <wpg:wgp>
                      <wpg:cNvPr id="619" name="Group 619"/>
                      <wpg:cNvGrpSpPr/>
                      <wpg:grpSpPr>
                        <a:xfrm>
                          <a:off x="0" y="0"/>
                          <a:ext cx="7762875" cy="9748520"/>
                          <a:chExt cx="7762875" cy="9748520"/>
                        </a:xfrm>
                      </wpg:grpSpPr>
                      <pic:pic>
                        <pic:nvPicPr>
                          <pic:cNvPr id="620" name="Image 620"/>
                          <pic:cNvPicPr/>
                        </pic:nvPicPr>
                        <pic:blipFill>
                          <a:blip r:embed="rId5" cstate="print"/>
                          <a:stretch>
                            <a:fillRect/>
                          </a:stretch>
                        </pic:blipFill>
                        <pic:spPr>
                          <a:xfrm>
                            <a:off x="0" y="0"/>
                            <a:ext cx="7762874" cy="9748489"/>
                          </a:xfrm>
                          <a:prstGeom prst="rect">
                            <a:avLst/>
                          </a:prstGeom>
                        </pic:spPr>
                      </pic:pic>
                      <wps:wsp>
                        <wps:cNvPr id="621" name="Graphic 62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68352" id="docshapegroup597" coordorigin="15,468" coordsize="12225,15352">
                <v:shape style="position:absolute;left:15;top:468;width:12225;height:15352" type="#_x0000_t75" id="docshape598" stroked="false">
                  <v:imagedata r:id="rId5" o:title=""/>
                </v:shape>
                <v:rect style="position:absolute;left:1673;top:2028;width:8897;height:15" id="docshape59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125</w:t>
      </w:r>
    </w:p>
    <w:p>
      <w:pPr>
        <w:spacing w:before="209"/>
        <w:ind w:left="622" w:right="0" w:firstLine="0"/>
        <w:jc w:val="left"/>
        <w:rPr>
          <w:b/>
          <w:i/>
          <w:sz w:val="23"/>
        </w:rPr>
      </w:pPr>
      <w:bookmarkStart w:name="_bookmark108" w:id="109"/>
      <w:bookmarkEnd w:id="109"/>
      <w:r>
        <w:rPr/>
      </w:r>
      <w:r>
        <w:rPr>
          <w:b/>
          <w:spacing w:val="-2"/>
          <w:sz w:val="22"/>
        </w:rPr>
        <w:t>Revelación</w:t>
      </w:r>
      <w:r>
        <w:rPr>
          <w:b/>
          <w:spacing w:val="-5"/>
          <w:sz w:val="22"/>
        </w:rPr>
        <w:t> </w:t>
      </w:r>
      <w:r>
        <w:rPr>
          <w:b/>
          <w:spacing w:val="-2"/>
          <w:sz w:val="22"/>
        </w:rPr>
        <w:t>NICSP</w:t>
      </w:r>
      <w:r>
        <w:rPr>
          <w:b/>
          <w:spacing w:val="-3"/>
          <w:sz w:val="22"/>
        </w:rPr>
        <w:t> </w:t>
      </w:r>
      <w:r>
        <w:rPr>
          <w:b/>
          <w:spacing w:val="-2"/>
          <w:sz w:val="22"/>
        </w:rPr>
        <w:t>39 </w:t>
      </w:r>
      <w:r>
        <w:rPr>
          <w:b/>
          <w:i/>
          <w:spacing w:val="-2"/>
          <w:sz w:val="23"/>
        </w:rPr>
        <w:t>Beneficios</w:t>
      </w:r>
      <w:r>
        <w:rPr>
          <w:b/>
          <w:i/>
          <w:spacing w:val="-5"/>
          <w:sz w:val="23"/>
        </w:rPr>
        <w:t> </w:t>
      </w:r>
      <w:r>
        <w:rPr>
          <w:b/>
          <w:i/>
          <w:spacing w:val="-2"/>
          <w:sz w:val="23"/>
        </w:rPr>
        <w:t>a</w:t>
      </w:r>
      <w:r>
        <w:rPr>
          <w:b/>
          <w:i/>
          <w:spacing w:val="-7"/>
          <w:sz w:val="23"/>
        </w:rPr>
        <w:t> </w:t>
      </w:r>
      <w:r>
        <w:rPr>
          <w:b/>
          <w:i/>
          <w:spacing w:val="-2"/>
          <w:sz w:val="23"/>
        </w:rPr>
        <w:t>los</w:t>
      </w:r>
      <w:r>
        <w:rPr>
          <w:b/>
          <w:i/>
          <w:spacing w:val="-7"/>
          <w:sz w:val="23"/>
        </w:rPr>
        <w:t> </w:t>
      </w:r>
      <w:r>
        <w:rPr>
          <w:b/>
          <w:i/>
          <w:spacing w:val="-2"/>
          <w:sz w:val="23"/>
        </w:rPr>
        <w:t>empleados</w:t>
      </w:r>
    </w:p>
    <w:p>
      <w:pPr>
        <w:pStyle w:val="BodyText"/>
        <w:spacing w:before="123"/>
        <w:ind w:left="622"/>
      </w:pPr>
      <w:r>
        <w:rPr/>
        <w:t>Beneficios</w:t>
      </w:r>
      <w:r>
        <w:rPr>
          <w:spacing w:val="-3"/>
        </w:rPr>
        <w:t> </w:t>
      </w:r>
      <w:r>
        <w:rPr/>
        <w:t>a</w:t>
      </w:r>
      <w:r>
        <w:rPr>
          <w:spacing w:val="-4"/>
        </w:rPr>
        <w:t> </w:t>
      </w:r>
      <w:r>
        <w:rPr/>
        <w:t>los</w:t>
      </w:r>
      <w:r>
        <w:rPr>
          <w:spacing w:val="-2"/>
        </w:rPr>
        <w:t> </w:t>
      </w:r>
      <w:r>
        <w:rPr/>
        <w:t>empleados</w:t>
      </w:r>
      <w:r>
        <w:rPr>
          <w:spacing w:val="-5"/>
        </w:rPr>
        <w:t> </w:t>
      </w:r>
      <w:r>
        <w:rPr/>
        <w:t>(párrafos</w:t>
      </w:r>
      <w:r>
        <w:rPr>
          <w:spacing w:val="-2"/>
        </w:rPr>
        <w:t> </w:t>
      </w:r>
      <w:r>
        <w:rPr/>
        <w:t>4</w:t>
      </w:r>
      <w:r>
        <w:rPr>
          <w:spacing w:val="-3"/>
        </w:rPr>
        <w:t> </w:t>
      </w:r>
      <w:r>
        <w:rPr/>
        <w:t>y</w:t>
      </w:r>
      <w:r>
        <w:rPr>
          <w:spacing w:val="-5"/>
        </w:rPr>
        <w:t> 8)</w:t>
      </w:r>
    </w:p>
    <w:p>
      <w:pPr>
        <w:pStyle w:val="BodyText"/>
        <w:spacing w:before="8"/>
        <w:rPr>
          <w:sz w:val="13"/>
        </w:rPr>
      </w:pPr>
      <w:r>
        <w:rPr>
          <w:sz w:val="13"/>
        </w:rPr>
        <mc:AlternateContent>
          <mc:Choice Requires="wps">
            <w:drawing>
              <wp:anchor distT="0" distB="0" distL="0" distR="0" allowOverlap="1" layoutInCell="1" locked="0" behindDoc="1" simplePos="0" relativeHeight="487710720">
                <wp:simplePos x="0" y="0"/>
                <wp:positionH relativeFrom="page">
                  <wp:posOffset>1080820</wp:posOffset>
                </wp:positionH>
                <wp:positionV relativeFrom="paragraph">
                  <wp:posOffset>117979</wp:posOffset>
                </wp:positionV>
                <wp:extent cx="5715000" cy="2232025"/>
                <wp:effectExtent l="0" t="0" r="0" b="0"/>
                <wp:wrapTopAndBottom/>
                <wp:docPr id="622" name="Textbox 622"/>
                <wp:cNvGraphicFramePr>
                  <a:graphicFrameLocks/>
                </wp:cNvGraphicFramePr>
                <a:graphic>
                  <a:graphicData uri="http://schemas.microsoft.com/office/word/2010/wordprocessingShape">
                    <wps:wsp>
                      <wps:cNvPr id="622" name="Textbox 622"/>
                      <wps:cNvSpPr txBox="1"/>
                      <wps:spPr>
                        <a:xfrm>
                          <a:off x="0" y="0"/>
                          <a:ext cx="5715000" cy="223202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Beneficios a los empleados son todas las formas de contraprestación concedidas por una entidad a cambio de los servicios prestados por los empleados o por la finalización del vínculo laboral.</w:t>
                            </w:r>
                          </w:p>
                          <w:p>
                            <w:pPr>
                              <w:pStyle w:val="BodyText"/>
                              <w:spacing w:before="161"/>
                              <w:ind w:left="103"/>
                              <w:jc w:val="both"/>
                            </w:pPr>
                            <w:r>
                              <w:rPr/>
                              <w:t>Los</w:t>
                            </w:r>
                            <w:r>
                              <w:rPr>
                                <w:spacing w:val="-4"/>
                              </w:rPr>
                              <w:t> </w:t>
                            </w:r>
                            <w:r>
                              <w:rPr/>
                              <w:t>beneficios</w:t>
                            </w:r>
                            <w:r>
                              <w:rPr>
                                <w:spacing w:val="-3"/>
                              </w:rPr>
                              <w:t> </w:t>
                            </w:r>
                            <w:r>
                              <w:rPr/>
                              <w:t>a</w:t>
                            </w:r>
                            <w:r>
                              <w:rPr>
                                <w:spacing w:val="-6"/>
                              </w:rPr>
                              <w:t> </w:t>
                            </w:r>
                            <w:r>
                              <w:rPr/>
                              <w:t>los</w:t>
                            </w:r>
                            <w:r>
                              <w:rPr>
                                <w:spacing w:val="-3"/>
                              </w:rPr>
                              <w:t> </w:t>
                            </w:r>
                            <w:r>
                              <w:rPr/>
                              <w:t>empleados</w:t>
                            </w:r>
                            <w:r>
                              <w:rPr>
                                <w:spacing w:val="-3"/>
                              </w:rPr>
                              <w:t> </w:t>
                            </w:r>
                            <w:r>
                              <w:rPr>
                                <w:spacing w:val="-2"/>
                              </w:rPr>
                              <w:t>comprenden:</w:t>
                            </w:r>
                          </w:p>
                          <w:p>
                            <w:pPr>
                              <w:pStyle w:val="BodyText"/>
                              <w:numPr>
                                <w:ilvl w:val="0"/>
                                <w:numId w:val="51"/>
                              </w:numPr>
                              <w:tabs>
                                <w:tab w:pos="823" w:val="left" w:leader="none"/>
                              </w:tabs>
                              <w:spacing w:line="240" w:lineRule="auto" w:before="16" w:after="0"/>
                              <w:ind w:left="823" w:right="105" w:hanging="360"/>
                              <w:jc w:val="both"/>
                            </w:pPr>
                            <w:r>
                              <w:rPr/>
                              <w:t>los beneficios a los empleados a corto plazo, tales como los siguientes, si se esperan liquidar totalmente</w:t>
                            </w:r>
                            <w:r>
                              <w:rPr>
                                <w:spacing w:val="-7"/>
                              </w:rPr>
                              <w:t> </w:t>
                            </w:r>
                            <w:r>
                              <w:rPr/>
                              <w:t>antes</w:t>
                            </w:r>
                            <w:r>
                              <w:rPr>
                                <w:spacing w:val="-6"/>
                              </w:rPr>
                              <w:t> </w:t>
                            </w:r>
                            <w:r>
                              <w:rPr/>
                              <w:t>de</w:t>
                            </w:r>
                            <w:r>
                              <w:rPr>
                                <w:spacing w:val="-8"/>
                              </w:rPr>
                              <w:t> </w:t>
                            </w:r>
                            <w:r>
                              <w:rPr/>
                              <w:t>los</w:t>
                            </w:r>
                            <w:r>
                              <w:rPr>
                                <w:spacing w:val="-5"/>
                              </w:rPr>
                              <w:t> </w:t>
                            </w:r>
                            <w:r>
                              <w:rPr/>
                              <w:t>doce</w:t>
                            </w:r>
                            <w:r>
                              <w:rPr>
                                <w:spacing w:val="-10"/>
                              </w:rPr>
                              <w:t> </w:t>
                            </w:r>
                            <w:r>
                              <w:rPr/>
                              <w:t>meses</w:t>
                            </w:r>
                            <w:r>
                              <w:rPr>
                                <w:spacing w:val="-5"/>
                              </w:rPr>
                              <w:t> </w:t>
                            </w:r>
                            <w:r>
                              <w:rPr/>
                              <w:t>posteriores</w:t>
                            </w:r>
                            <w:r>
                              <w:rPr>
                                <w:spacing w:val="-5"/>
                              </w:rPr>
                              <w:t> </w:t>
                            </w:r>
                            <w:r>
                              <w:rPr/>
                              <w:t>al</w:t>
                            </w:r>
                            <w:r>
                              <w:rPr>
                                <w:spacing w:val="-7"/>
                              </w:rPr>
                              <w:t> </w:t>
                            </w:r>
                            <w:r>
                              <w:rPr/>
                              <w:t>final</w:t>
                            </w:r>
                            <w:r>
                              <w:rPr>
                                <w:spacing w:val="-7"/>
                              </w:rPr>
                              <w:t> </w:t>
                            </w:r>
                            <w:r>
                              <w:rPr/>
                              <w:t>del</w:t>
                            </w:r>
                            <w:r>
                              <w:rPr>
                                <w:spacing w:val="-7"/>
                              </w:rPr>
                              <w:t> </w:t>
                            </w:r>
                            <w:r>
                              <w:rPr/>
                              <w:t>periodo</w:t>
                            </w:r>
                            <w:r>
                              <w:rPr>
                                <w:spacing w:val="-6"/>
                              </w:rPr>
                              <w:t> </w:t>
                            </w:r>
                            <w:r>
                              <w:rPr/>
                              <w:t>sobre</w:t>
                            </w:r>
                            <w:r>
                              <w:rPr>
                                <w:spacing w:val="-8"/>
                              </w:rPr>
                              <w:t> </w:t>
                            </w:r>
                            <w:r>
                              <w:rPr/>
                              <w:t>el</w:t>
                            </w:r>
                            <w:r>
                              <w:rPr>
                                <w:spacing w:val="-7"/>
                              </w:rPr>
                              <w:t> </w:t>
                            </w:r>
                            <w:r>
                              <w:rPr/>
                              <w:t>que</w:t>
                            </w:r>
                            <w:r>
                              <w:rPr>
                                <w:spacing w:val="-7"/>
                              </w:rPr>
                              <w:t> </w:t>
                            </w:r>
                            <w:r>
                              <w:rPr/>
                              <w:t>se</w:t>
                            </w:r>
                            <w:r>
                              <w:rPr>
                                <w:spacing w:val="-7"/>
                              </w:rPr>
                              <w:t> </w:t>
                            </w:r>
                            <w:r>
                              <w:rPr/>
                              <w:t>informa</w:t>
                            </w:r>
                            <w:r>
                              <w:rPr>
                                <w:spacing w:val="-7"/>
                              </w:rPr>
                              <w:t> </w:t>
                            </w:r>
                            <w:r>
                              <w:rPr/>
                              <w:t>en el que los empleados presten los servicios relacionados:</w:t>
                            </w:r>
                          </w:p>
                          <w:p>
                            <w:pPr>
                              <w:pStyle w:val="BodyText"/>
                              <w:spacing w:before="4"/>
                              <w:ind w:left="818"/>
                              <w:jc w:val="both"/>
                            </w:pPr>
                            <w:r>
                              <w:rPr/>
                              <w:t>sueldos,</w:t>
                            </w:r>
                            <w:r>
                              <w:rPr>
                                <w:spacing w:val="-7"/>
                              </w:rPr>
                              <w:t> </w:t>
                            </w:r>
                            <w:r>
                              <w:rPr/>
                              <w:t>salarios</w:t>
                            </w:r>
                            <w:r>
                              <w:rPr>
                                <w:spacing w:val="-3"/>
                              </w:rPr>
                              <w:t> </w:t>
                            </w:r>
                            <w:r>
                              <w:rPr/>
                              <w:t>y</w:t>
                            </w:r>
                            <w:r>
                              <w:rPr>
                                <w:spacing w:val="-5"/>
                              </w:rPr>
                              <w:t> </w:t>
                            </w:r>
                            <w:r>
                              <w:rPr/>
                              <w:t>contribuciones</w:t>
                            </w:r>
                            <w:r>
                              <w:rPr>
                                <w:spacing w:val="-3"/>
                              </w:rPr>
                              <w:t> </w:t>
                            </w:r>
                            <w:r>
                              <w:rPr/>
                              <w:t>a</w:t>
                            </w:r>
                            <w:r>
                              <w:rPr>
                                <w:spacing w:val="-5"/>
                              </w:rPr>
                              <w:t> </w:t>
                            </w:r>
                            <w:r>
                              <w:rPr/>
                              <w:t>la</w:t>
                            </w:r>
                            <w:r>
                              <w:rPr>
                                <w:spacing w:val="-6"/>
                              </w:rPr>
                              <w:t> </w:t>
                            </w:r>
                            <w:r>
                              <w:rPr/>
                              <w:t>seguridad</w:t>
                            </w:r>
                            <w:r>
                              <w:rPr>
                                <w:spacing w:val="-6"/>
                              </w:rPr>
                              <w:t> </w:t>
                            </w:r>
                            <w:r>
                              <w:rPr>
                                <w:spacing w:val="-2"/>
                              </w:rPr>
                              <w:t>social;</w:t>
                            </w:r>
                          </w:p>
                          <w:p>
                            <w:pPr>
                              <w:pStyle w:val="BodyText"/>
                              <w:spacing w:before="20"/>
                              <w:ind w:left="820"/>
                              <w:jc w:val="both"/>
                            </w:pPr>
                            <w:r>
                              <w:rPr/>
                              <w:t>ausencias</w:t>
                            </w:r>
                            <w:r>
                              <w:rPr>
                                <w:spacing w:val="-7"/>
                              </w:rPr>
                              <w:t> </w:t>
                            </w:r>
                            <w:r>
                              <w:rPr/>
                              <w:t>remuneradas</w:t>
                            </w:r>
                            <w:r>
                              <w:rPr>
                                <w:spacing w:val="-6"/>
                              </w:rPr>
                              <w:t> </w:t>
                            </w:r>
                            <w:r>
                              <w:rPr/>
                              <w:t>anuales,</w:t>
                            </w:r>
                            <w:r>
                              <w:rPr>
                                <w:spacing w:val="-7"/>
                              </w:rPr>
                              <w:t> </w:t>
                            </w:r>
                            <w:r>
                              <w:rPr/>
                              <w:t>ausencias</w:t>
                            </w:r>
                            <w:r>
                              <w:rPr>
                                <w:spacing w:val="-6"/>
                              </w:rPr>
                              <w:t> </w:t>
                            </w:r>
                            <w:r>
                              <w:rPr/>
                              <w:t>remuneradas</w:t>
                            </w:r>
                            <w:r>
                              <w:rPr>
                                <w:spacing w:val="-6"/>
                              </w:rPr>
                              <w:t> </w:t>
                            </w:r>
                            <w:r>
                              <w:rPr/>
                              <w:t>por</w:t>
                            </w:r>
                            <w:r>
                              <w:rPr>
                                <w:spacing w:val="-7"/>
                              </w:rPr>
                              <w:t> </w:t>
                            </w:r>
                            <w:r>
                              <w:rPr>
                                <w:spacing w:val="-2"/>
                              </w:rPr>
                              <w:t>enfermedad;</w:t>
                            </w:r>
                          </w:p>
                          <w:p>
                            <w:pPr>
                              <w:pStyle w:val="BodyText"/>
                              <w:numPr>
                                <w:ilvl w:val="0"/>
                                <w:numId w:val="51"/>
                              </w:numPr>
                              <w:tabs>
                                <w:tab w:pos="822" w:val="left" w:leader="none"/>
                              </w:tabs>
                              <w:spacing w:line="240" w:lineRule="auto" w:before="18" w:after="0"/>
                              <w:ind w:left="822" w:right="0" w:hanging="359"/>
                              <w:jc w:val="both"/>
                            </w:pPr>
                            <w:r>
                              <w:rPr/>
                              <w:t>beneficios</w:t>
                            </w:r>
                            <w:r>
                              <w:rPr>
                                <w:spacing w:val="-4"/>
                              </w:rPr>
                              <w:t> </w:t>
                            </w:r>
                            <w:r>
                              <w:rPr/>
                              <w:t>post-empleo</w:t>
                            </w:r>
                            <w:r>
                              <w:rPr>
                                <w:spacing w:val="-7"/>
                              </w:rPr>
                              <w:t> </w:t>
                            </w:r>
                            <w:r>
                              <w:rPr/>
                              <w:t>tales</w:t>
                            </w:r>
                            <w:r>
                              <w:rPr>
                                <w:spacing w:val="-7"/>
                              </w:rPr>
                              <w:t> </w:t>
                            </w:r>
                            <w:r>
                              <w:rPr/>
                              <w:t>como</w:t>
                            </w:r>
                            <w:r>
                              <w:rPr>
                                <w:spacing w:val="-5"/>
                              </w:rPr>
                              <w:t> </w:t>
                            </w:r>
                            <w:r>
                              <w:rPr/>
                              <w:t>los</w:t>
                            </w:r>
                            <w:r>
                              <w:rPr>
                                <w:spacing w:val="-3"/>
                              </w:rPr>
                              <w:t> </w:t>
                            </w:r>
                            <w:r>
                              <w:rPr>
                                <w:spacing w:val="-2"/>
                              </w:rPr>
                              <w:t>siguientes:</w:t>
                            </w:r>
                          </w:p>
                          <w:p>
                            <w:pPr>
                              <w:pStyle w:val="BodyText"/>
                              <w:spacing w:before="1"/>
                              <w:ind w:left="103"/>
                              <w:jc w:val="both"/>
                            </w:pPr>
                            <w:r>
                              <w:rPr/>
                              <w:t>beneficios</w:t>
                            </w:r>
                            <w:r>
                              <w:rPr>
                                <w:spacing w:val="-5"/>
                              </w:rPr>
                              <w:t> </w:t>
                            </w:r>
                            <w:r>
                              <w:rPr/>
                              <w:t>por</w:t>
                            </w:r>
                            <w:r>
                              <w:rPr>
                                <w:spacing w:val="-6"/>
                              </w:rPr>
                              <w:t> </w:t>
                            </w:r>
                            <w:r>
                              <w:rPr/>
                              <w:t>retiro</w:t>
                            </w:r>
                            <w:r>
                              <w:rPr>
                                <w:spacing w:val="-4"/>
                              </w:rPr>
                              <w:t> </w:t>
                            </w:r>
                            <w:r>
                              <w:rPr/>
                              <w:t>(por</w:t>
                            </w:r>
                            <w:r>
                              <w:rPr>
                                <w:spacing w:val="-4"/>
                              </w:rPr>
                              <w:t> </w:t>
                            </w:r>
                            <w:r>
                              <w:rPr/>
                              <w:t>ejemplo,</w:t>
                            </w:r>
                            <w:r>
                              <w:rPr>
                                <w:spacing w:val="-4"/>
                              </w:rPr>
                              <w:t> </w:t>
                            </w:r>
                            <w:r>
                              <w:rPr/>
                              <w:t>pensiones</w:t>
                            </w:r>
                            <w:r>
                              <w:rPr>
                                <w:spacing w:val="-3"/>
                              </w:rPr>
                              <w:t> </w:t>
                            </w:r>
                            <w:r>
                              <w:rPr/>
                              <w:t>y</w:t>
                            </w:r>
                            <w:r>
                              <w:rPr>
                                <w:spacing w:val="-5"/>
                              </w:rPr>
                              <w:t> </w:t>
                            </w:r>
                            <w:r>
                              <w:rPr/>
                              <w:t>pagos</w:t>
                            </w:r>
                            <w:r>
                              <w:rPr>
                                <w:spacing w:val="-6"/>
                              </w:rPr>
                              <w:t> </w:t>
                            </w:r>
                            <w:r>
                              <w:rPr/>
                              <w:t>únicos</w:t>
                            </w:r>
                            <w:r>
                              <w:rPr>
                                <w:spacing w:val="-3"/>
                              </w:rPr>
                              <w:t> </w:t>
                            </w:r>
                            <w:r>
                              <w:rPr/>
                              <w:t>por</w:t>
                            </w:r>
                            <w:r>
                              <w:rPr>
                                <w:spacing w:val="-4"/>
                              </w:rPr>
                              <w:t> </w:t>
                            </w:r>
                            <w:r>
                              <w:rPr/>
                              <w:t>retiro);</w:t>
                            </w:r>
                            <w:r>
                              <w:rPr>
                                <w:spacing w:val="-3"/>
                              </w:rPr>
                              <w:t> </w:t>
                            </w:r>
                            <w:r>
                              <w:rPr>
                                <w:spacing w:val="-10"/>
                              </w:rPr>
                              <w:t>y</w:t>
                            </w:r>
                          </w:p>
                          <w:p>
                            <w:pPr>
                              <w:pStyle w:val="BodyText"/>
                              <w:numPr>
                                <w:ilvl w:val="0"/>
                                <w:numId w:val="51"/>
                              </w:numPr>
                              <w:tabs>
                                <w:tab w:pos="822" w:val="left" w:leader="none"/>
                              </w:tabs>
                              <w:spacing w:line="240" w:lineRule="auto" w:before="19" w:after="0"/>
                              <w:ind w:left="822" w:right="0" w:hanging="359"/>
                              <w:jc w:val="both"/>
                            </w:pPr>
                            <w:r>
                              <w:rPr/>
                              <w:t>indemnizaciones</w:t>
                            </w:r>
                            <w:r>
                              <w:rPr>
                                <w:spacing w:val="-8"/>
                              </w:rPr>
                              <w:t> </w:t>
                            </w:r>
                            <w:r>
                              <w:rPr/>
                              <w:t>por</w:t>
                            </w:r>
                            <w:r>
                              <w:rPr>
                                <w:spacing w:val="-5"/>
                              </w:rPr>
                              <w:t> </w:t>
                            </w:r>
                            <w:r>
                              <w:rPr>
                                <w:spacing w:val="-4"/>
                              </w:rPr>
                              <w:t>cese.</w:t>
                            </w:r>
                          </w:p>
                        </w:txbxContent>
                      </wps:txbx>
                      <wps:bodyPr wrap="square" lIns="0" tIns="0" rIns="0" bIns="0" rtlCol="0">
                        <a:noAutofit/>
                      </wps:bodyPr>
                    </wps:wsp>
                  </a:graphicData>
                </a:graphic>
              </wp:anchor>
            </w:drawing>
          </mc:Choice>
          <mc:Fallback>
            <w:pict>
              <v:shape style="position:absolute;margin-left:85.103996pt;margin-top:9.289687pt;width:450pt;height:175.75pt;mso-position-horizontal-relative:page;mso-position-vertical-relative:paragraph;z-index:-15605760;mso-wrap-distance-left:0;mso-wrap-distance-right:0" type="#_x0000_t202" id="docshape60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Beneficios a los empleados son todas las formas de contraprestación concedidas por una entidad a cambio de los servicios prestados por los empleados o por la finalización del vínculo laboral.</w:t>
                      </w:r>
                    </w:p>
                    <w:p>
                      <w:pPr>
                        <w:pStyle w:val="BodyText"/>
                        <w:spacing w:before="161"/>
                        <w:ind w:left="103"/>
                        <w:jc w:val="both"/>
                      </w:pPr>
                      <w:r>
                        <w:rPr/>
                        <w:t>Los</w:t>
                      </w:r>
                      <w:r>
                        <w:rPr>
                          <w:spacing w:val="-4"/>
                        </w:rPr>
                        <w:t> </w:t>
                      </w:r>
                      <w:r>
                        <w:rPr/>
                        <w:t>beneficios</w:t>
                      </w:r>
                      <w:r>
                        <w:rPr>
                          <w:spacing w:val="-3"/>
                        </w:rPr>
                        <w:t> </w:t>
                      </w:r>
                      <w:r>
                        <w:rPr/>
                        <w:t>a</w:t>
                      </w:r>
                      <w:r>
                        <w:rPr>
                          <w:spacing w:val="-6"/>
                        </w:rPr>
                        <w:t> </w:t>
                      </w:r>
                      <w:r>
                        <w:rPr/>
                        <w:t>los</w:t>
                      </w:r>
                      <w:r>
                        <w:rPr>
                          <w:spacing w:val="-3"/>
                        </w:rPr>
                        <w:t> </w:t>
                      </w:r>
                      <w:r>
                        <w:rPr/>
                        <w:t>empleados</w:t>
                      </w:r>
                      <w:r>
                        <w:rPr>
                          <w:spacing w:val="-3"/>
                        </w:rPr>
                        <w:t> </w:t>
                      </w:r>
                      <w:r>
                        <w:rPr>
                          <w:spacing w:val="-2"/>
                        </w:rPr>
                        <w:t>comprenden:</w:t>
                      </w:r>
                    </w:p>
                    <w:p>
                      <w:pPr>
                        <w:pStyle w:val="BodyText"/>
                        <w:numPr>
                          <w:ilvl w:val="0"/>
                          <w:numId w:val="51"/>
                        </w:numPr>
                        <w:tabs>
                          <w:tab w:pos="823" w:val="left" w:leader="none"/>
                        </w:tabs>
                        <w:spacing w:line="240" w:lineRule="auto" w:before="16" w:after="0"/>
                        <w:ind w:left="823" w:right="105" w:hanging="360"/>
                        <w:jc w:val="both"/>
                      </w:pPr>
                      <w:r>
                        <w:rPr/>
                        <w:t>los beneficios a los empleados a corto plazo, tales como los siguientes, si se esperan liquidar totalmente</w:t>
                      </w:r>
                      <w:r>
                        <w:rPr>
                          <w:spacing w:val="-7"/>
                        </w:rPr>
                        <w:t> </w:t>
                      </w:r>
                      <w:r>
                        <w:rPr/>
                        <w:t>antes</w:t>
                      </w:r>
                      <w:r>
                        <w:rPr>
                          <w:spacing w:val="-6"/>
                        </w:rPr>
                        <w:t> </w:t>
                      </w:r>
                      <w:r>
                        <w:rPr/>
                        <w:t>de</w:t>
                      </w:r>
                      <w:r>
                        <w:rPr>
                          <w:spacing w:val="-8"/>
                        </w:rPr>
                        <w:t> </w:t>
                      </w:r>
                      <w:r>
                        <w:rPr/>
                        <w:t>los</w:t>
                      </w:r>
                      <w:r>
                        <w:rPr>
                          <w:spacing w:val="-5"/>
                        </w:rPr>
                        <w:t> </w:t>
                      </w:r>
                      <w:r>
                        <w:rPr/>
                        <w:t>doce</w:t>
                      </w:r>
                      <w:r>
                        <w:rPr>
                          <w:spacing w:val="-10"/>
                        </w:rPr>
                        <w:t> </w:t>
                      </w:r>
                      <w:r>
                        <w:rPr/>
                        <w:t>meses</w:t>
                      </w:r>
                      <w:r>
                        <w:rPr>
                          <w:spacing w:val="-5"/>
                        </w:rPr>
                        <w:t> </w:t>
                      </w:r>
                      <w:r>
                        <w:rPr/>
                        <w:t>posteriores</w:t>
                      </w:r>
                      <w:r>
                        <w:rPr>
                          <w:spacing w:val="-5"/>
                        </w:rPr>
                        <w:t> </w:t>
                      </w:r>
                      <w:r>
                        <w:rPr/>
                        <w:t>al</w:t>
                      </w:r>
                      <w:r>
                        <w:rPr>
                          <w:spacing w:val="-7"/>
                        </w:rPr>
                        <w:t> </w:t>
                      </w:r>
                      <w:r>
                        <w:rPr/>
                        <w:t>final</w:t>
                      </w:r>
                      <w:r>
                        <w:rPr>
                          <w:spacing w:val="-7"/>
                        </w:rPr>
                        <w:t> </w:t>
                      </w:r>
                      <w:r>
                        <w:rPr/>
                        <w:t>del</w:t>
                      </w:r>
                      <w:r>
                        <w:rPr>
                          <w:spacing w:val="-7"/>
                        </w:rPr>
                        <w:t> </w:t>
                      </w:r>
                      <w:r>
                        <w:rPr/>
                        <w:t>periodo</w:t>
                      </w:r>
                      <w:r>
                        <w:rPr>
                          <w:spacing w:val="-6"/>
                        </w:rPr>
                        <w:t> </w:t>
                      </w:r>
                      <w:r>
                        <w:rPr/>
                        <w:t>sobre</w:t>
                      </w:r>
                      <w:r>
                        <w:rPr>
                          <w:spacing w:val="-8"/>
                        </w:rPr>
                        <w:t> </w:t>
                      </w:r>
                      <w:r>
                        <w:rPr/>
                        <w:t>el</w:t>
                      </w:r>
                      <w:r>
                        <w:rPr>
                          <w:spacing w:val="-7"/>
                        </w:rPr>
                        <w:t> </w:t>
                      </w:r>
                      <w:r>
                        <w:rPr/>
                        <w:t>que</w:t>
                      </w:r>
                      <w:r>
                        <w:rPr>
                          <w:spacing w:val="-7"/>
                        </w:rPr>
                        <w:t> </w:t>
                      </w:r>
                      <w:r>
                        <w:rPr/>
                        <w:t>se</w:t>
                      </w:r>
                      <w:r>
                        <w:rPr>
                          <w:spacing w:val="-7"/>
                        </w:rPr>
                        <w:t> </w:t>
                      </w:r>
                      <w:r>
                        <w:rPr/>
                        <w:t>informa</w:t>
                      </w:r>
                      <w:r>
                        <w:rPr>
                          <w:spacing w:val="-7"/>
                        </w:rPr>
                        <w:t> </w:t>
                      </w:r>
                      <w:r>
                        <w:rPr/>
                        <w:t>en el que los empleados presten los servicios relacionados:</w:t>
                      </w:r>
                    </w:p>
                    <w:p>
                      <w:pPr>
                        <w:pStyle w:val="BodyText"/>
                        <w:spacing w:before="4"/>
                        <w:ind w:left="818"/>
                        <w:jc w:val="both"/>
                      </w:pPr>
                      <w:r>
                        <w:rPr/>
                        <w:t>sueldos,</w:t>
                      </w:r>
                      <w:r>
                        <w:rPr>
                          <w:spacing w:val="-7"/>
                        </w:rPr>
                        <w:t> </w:t>
                      </w:r>
                      <w:r>
                        <w:rPr/>
                        <w:t>salarios</w:t>
                      </w:r>
                      <w:r>
                        <w:rPr>
                          <w:spacing w:val="-3"/>
                        </w:rPr>
                        <w:t> </w:t>
                      </w:r>
                      <w:r>
                        <w:rPr/>
                        <w:t>y</w:t>
                      </w:r>
                      <w:r>
                        <w:rPr>
                          <w:spacing w:val="-5"/>
                        </w:rPr>
                        <w:t> </w:t>
                      </w:r>
                      <w:r>
                        <w:rPr/>
                        <w:t>contribuciones</w:t>
                      </w:r>
                      <w:r>
                        <w:rPr>
                          <w:spacing w:val="-3"/>
                        </w:rPr>
                        <w:t> </w:t>
                      </w:r>
                      <w:r>
                        <w:rPr/>
                        <w:t>a</w:t>
                      </w:r>
                      <w:r>
                        <w:rPr>
                          <w:spacing w:val="-5"/>
                        </w:rPr>
                        <w:t> </w:t>
                      </w:r>
                      <w:r>
                        <w:rPr/>
                        <w:t>la</w:t>
                      </w:r>
                      <w:r>
                        <w:rPr>
                          <w:spacing w:val="-6"/>
                        </w:rPr>
                        <w:t> </w:t>
                      </w:r>
                      <w:r>
                        <w:rPr/>
                        <w:t>seguridad</w:t>
                      </w:r>
                      <w:r>
                        <w:rPr>
                          <w:spacing w:val="-6"/>
                        </w:rPr>
                        <w:t> </w:t>
                      </w:r>
                      <w:r>
                        <w:rPr>
                          <w:spacing w:val="-2"/>
                        </w:rPr>
                        <w:t>social;</w:t>
                      </w:r>
                    </w:p>
                    <w:p>
                      <w:pPr>
                        <w:pStyle w:val="BodyText"/>
                        <w:spacing w:before="20"/>
                        <w:ind w:left="820"/>
                        <w:jc w:val="both"/>
                      </w:pPr>
                      <w:r>
                        <w:rPr/>
                        <w:t>ausencias</w:t>
                      </w:r>
                      <w:r>
                        <w:rPr>
                          <w:spacing w:val="-7"/>
                        </w:rPr>
                        <w:t> </w:t>
                      </w:r>
                      <w:r>
                        <w:rPr/>
                        <w:t>remuneradas</w:t>
                      </w:r>
                      <w:r>
                        <w:rPr>
                          <w:spacing w:val="-6"/>
                        </w:rPr>
                        <w:t> </w:t>
                      </w:r>
                      <w:r>
                        <w:rPr/>
                        <w:t>anuales,</w:t>
                      </w:r>
                      <w:r>
                        <w:rPr>
                          <w:spacing w:val="-7"/>
                        </w:rPr>
                        <w:t> </w:t>
                      </w:r>
                      <w:r>
                        <w:rPr/>
                        <w:t>ausencias</w:t>
                      </w:r>
                      <w:r>
                        <w:rPr>
                          <w:spacing w:val="-6"/>
                        </w:rPr>
                        <w:t> </w:t>
                      </w:r>
                      <w:r>
                        <w:rPr/>
                        <w:t>remuneradas</w:t>
                      </w:r>
                      <w:r>
                        <w:rPr>
                          <w:spacing w:val="-6"/>
                        </w:rPr>
                        <w:t> </w:t>
                      </w:r>
                      <w:r>
                        <w:rPr/>
                        <w:t>por</w:t>
                      </w:r>
                      <w:r>
                        <w:rPr>
                          <w:spacing w:val="-7"/>
                        </w:rPr>
                        <w:t> </w:t>
                      </w:r>
                      <w:r>
                        <w:rPr>
                          <w:spacing w:val="-2"/>
                        </w:rPr>
                        <w:t>enfermedad;</w:t>
                      </w:r>
                    </w:p>
                    <w:p>
                      <w:pPr>
                        <w:pStyle w:val="BodyText"/>
                        <w:numPr>
                          <w:ilvl w:val="0"/>
                          <w:numId w:val="51"/>
                        </w:numPr>
                        <w:tabs>
                          <w:tab w:pos="822" w:val="left" w:leader="none"/>
                        </w:tabs>
                        <w:spacing w:line="240" w:lineRule="auto" w:before="18" w:after="0"/>
                        <w:ind w:left="822" w:right="0" w:hanging="359"/>
                        <w:jc w:val="both"/>
                      </w:pPr>
                      <w:r>
                        <w:rPr/>
                        <w:t>beneficios</w:t>
                      </w:r>
                      <w:r>
                        <w:rPr>
                          <w:spacing w:val="-4"/>
                        </w:rPr>
                        <w:t> </w:t>
                      </w:r>
                      <w:r>
                        <w:rPr/>
                        <w:t>post-empleo</w:t>
                      </w:r>
                      <w:r>
                        <w:rPr>
                          <w:spacing w:val="-7"/>
                        </w:rPr>
                        <w:t> </w:t>
                      </w:r>
                      <w:r>
                        <w:rPr/>
                        <w:t>tales</w:t>
                      </w:r>
                      <w:r>
                        <w:rPr>
                          <w:spacing w:val="-7"/>
                        </w:rPr>
                        <w:t> </w:t>
                      </w:r>
                      <w:r>
                        <w:rPr/>
                        <w:t>como</w:t>
                      </w:r>
                      <w:r>
                        <w:rPr>
                          <w:spacing w:val="-5"/>
                        </w:rPr>
                        <w:t> </w:t>
                      </w:r>
                      <w:r>
                        <w:rPr/>
                        <w:t>los</w:t>
                      </w:r>
                      <w:r>
                        <w:rPr>
                          <w:spacing w:val="-3"/>
                        </w:rPr>
                        <w:t> </w:t>
                      </w:r>
                      <w:r>
                        <w:rPr>
                          <w:spacing w:val="-2"/>
                        </w:rPr>
                        <w:t>siguientes:</w:t>
                      </w:r>
                    </w:p>
                    <w:p>
                      <w:pPr>
                        <w:pStyle w:val="BodyText"/>
                        <w:spacing w:before="1"/>
                        <w:ind w:left="103"/>
                        <w:jc w:val="both"/>
                      </w:pPr>
                      <w:r>
                        <w:rPr/>
                        <w:t>beneficios</w:t>
                      </w:r>
                      <w:r>
                        <w:rPr>
                          <w:spacing w:val="-5"/>
                        </w:rPr>
                        <w:t> </w:t>
                      </w:r>
                      <w:r>
                        <w:rPr/>
                        <w:t>por</w:t>
                      </w:r>
                      <w:r>
                        <w:rPr>
                          <w:spacing w:val="-6"/>
                        </w:rPr>
                        <w:t> </w:t>
                      </w:r>
                      <w:r>
                        <w:rPr/>
                        <w:t>retiro</w:t>
                      </w:r>
                      <w:r>
                        <w:rPr>
                          <w:spacing w:val="-4"/>
                        </w:rPr>
                        <w:t> </w:t>
                      </w:r>
                      <w:r>
                        <w:rPr/>
                        <w:t>(por</w:t>
                      </w:r>
                      <w:r>
                        <w:rPr>
                          <w:spacing w:val="-4"/>
                        </w:rPr>
                        <w:t> </w:t>
                      </w:r>
                      <w:r>
                        <w:rPr/>
                        <w:t>ejemplo,</w:t>
                      </w:r>
                      <w:r>
                        <w:rPr>
                          <w:spacing w:val="-4"/>
                        </w:rPr>
                        <w:t> </w:t>
                      </w:r>
                      <w:r>
                        <w:rPr/>
                        <w:t>pensiones</w:t>
                      </w:r>
                      <w:r>
                        <w:rPr>
                          <w:spacing w:val="-3"/>
                        </w:rPr>
                        <w:t> </w:t>
                      </w:r>
                      <w:r>
                        <w:rPr/>
                        <w:t>y</w:t>
                      </w:r>
                      <w:r>
                        <w:rPr>
                          <w:spacing w:val="-5"/>
                        </w:rPr>
                        <w:t> </w:t>
                      </w:r>
                      <w:r>
                        <w:rPr/>
                        <w:t>pagos</w:t>
                      </w:r>
                      <w:r>
                        <w:rPr>
                          <w:spacing w:val="-6"/>
                        </w:rPr>
                        <w:t> </w:t>
                      </w:r>
                      <w:r>
                        <w:rPr/>
                        <w:t>únicos</w:t>
                      </w:r>
                      <w:r>
                        <w:rPr>
                          <w:spacing w:val="-3"/>
                        </w:rPr>
                        <w:t> </w:t>
                      </w:r>
                      <w:r>
                        <w:rPr/>
                        <w:t>por</w:t>
                      </w:r>
                      <w:r>
                        <w:rPr>
                          <w:spacing w:val="-4"/>
                        </w:rPr>
                        <w:t> </w:t>
                      </w:r>
                      <w:r>
                        <w:rPr/>
                        <w:t>retiro);</w:t>
                      </w:r>
                      <w:r>
                        <w:rPr>
                          <w:spacing w:val="-3"/>
                        </w:rPr>
                        <w:t> </w:t>
                      </w:r>
                      <w:r>
                        <w:rPr>
                          <w:spacing w:val="-10"/>
                        </w:rPr>
                        <w:t>y</w:t>
                      </w:r>
                    </w:p>
                    <w:p>
                      <w:pPr>
                        <w:pStyle w:val="BodyText"/>
                        <w:numPr>
                          <w:ilvl w:val="0"/>
                          <w:numId w:val="51"/>
                        </w:numPr>
                        <w:tabs>
                          <w:tab w:pos="822" w:val="left" w:leader="none"/>
                        </w:tabs>
                        <w:spacing w:line="240" w:lineRule="auto" w:before="19" w:after="0"/>
                        <w:ind w:left="822" w:right="0" w:hanging="359"/>
                        <w:jc w:val="both"/>
                      </w:pPr>
                      <w:r>
                        <w:rPr/>
                        <w:t>indemnizaciones</w:t>
                      </w:r>
                      <w:r>
                        <w:rPr>
                          <w:spacing w:val="-8"/>
                        </w:rPr>
                        <w:t> </w:t>
                      </w:r>
                      <w:r>
                        <w:rPr/>
                        <w:t>por</w:t>
                      </w:r>
                      <w:r>
                        <w:rPr>
                          <w:spacing w:val="-5"/>
                        </w:rPr>
                        <w:t> </w:t>
                      </w:r>
                      <w:r>
                        <w:rPr>
                          <w:spacing w:val="-4"/>
                        </w:rPr>
                        <w:t>cese.</w:t>
                      </w:r>
                    </w:p>
                  </w:txbxContent>
                </v:textbox>
                <v:stroke dashstyle="solid"/>
                <w10:wrap type="topAndBottom"/>
              </v:shape>
            </w:pict>
          </mc:Fallback>
        </mc:AlternateContent>
      </w:r>
    </w:p>
    <w:p>
      <w:pPr>
        <w:pStyle w:val="BodyText"/>
        <w:spacing w:before="186"/>
      </w:pPr>
    </w:p>
    <w:p>
      <w:pPr>
        <w:pStyle w:val="Heading6"/>
        <w:numPr>
          <w:ilvl w:val="2"/>
          <w:numId w:val="39"/>
        </w:numPr>
        <w:tabs>
          <w:tab w:pos="1341" w:val="left" w:leader="none"/>
        </w:tabs>
        <w:spacing w:line="240" w:lineRule="auto" w:before="0" w:after="0"/>
        <w:ind w:left="1341" w:right="0" w:hanging="360"/>
        <w:jc w:val="left"/>
      </w:pPr>
      <w:r>
        <w:rPr>
          <w:u w:val="single"/>
        </w:rPr>
        <w:t>Beneficios</w:t>
      </w:r>
      <w:r>
        <w:rPr>
          <w:spacing w:val="-3"/>
          <w:u w:val="single"/>
        </w:rPr>
        <w:t> </w:t>
      </w:r>
      <w:r>
        <w:rPr>
          <w:u w:val="single"/>
        </w:rPr>
        <w:t>a</w:t>
      </w:r>
      <w:r>
        <w:rPr>
          <w:spacing w:val="-3"/>
          <w:u w:val="single"/>
        </w:rPr>
        <w:t> </w:t>
      </w:r>
      <w:r>
        <w:rPr>
          <w:u w:val="single"/>
        </w:rPr>
        <w:t>los</w:t>
      </w:r>
      <w:r>
        <w:rPr>
          <w:spacing w:val="-4"/>
          <w:u w:val="single"/>
        </w:rPr>
        <w:t> </w:t>
      </w:r>
      <w:r>
        <w:rPr>
          <w:u w:val="single"/>
        </w:rPr>
        <w:t>empleados</w:t>
      </w:r>
      <w:r>
        <w:rPr>
          <w:spacing w:val="-3"/>
          <w:u w:val="single"/>
        </w:rPr>
        <w:t> </w:t>
      </w:r>
      <w:r>
        <w:rPr>
          <w:u w:val="single"/>
        </w:rPr>
        <w:t>a</w:t>
      </w:r>
      <w:r>
        <w:rPr>
          <w:spacing w:val="-3"/>
          <w:u w:val="single"/>
        </w:rPr>
        <w:t> </w:t>
      </w:r>
      <w:r>
        <w:rPr>
          <w:u w:val="single"/>
        </w:rPr>
        <w:t>corto</w:t>
      </w:r>
      <w:r>
        <w:rPr>
          <w:spacing w:val="-1"/>
          <w:u w:val="single"/>
        </w:rPr>
        <w:t> </w:t>
      </w:r>
      <w:r>
        <w:rPr>
          <w:u w:val="single"/>
        </w:rPr>
        <w:t>plazo (párrafos</w:t>
      </w:r>
      <w:r>
        <w:rPr>
          <w:spacing w:val="-1"/>
          <w:u w:val="single"/>
        </w:rPr>
        <w:t> </w:t>
      </w:r>
      <w:r>
        <w:rPr>
          <w:u w:val="single"/>
        </w:rPr>
        <w:t>11</w:t>
      </w:r>
      <w:r>
        <w:rPr>
          <w:spacing w:val="-4"/>
          <w:u w:val="single"/>
        </w:rPr>
        <w:t> </w:t>
      </w:r>
      <w:r>
        <w:rPr>
          <w:u w:val="single"/>
        </w:rPr>
        <w:t>a</w:t>
      </w:r>
      <w:r>
        <w:rPr>
          <w:spacing w:val="-4"/>
          <w:u w:val="single"/>
        </w:rPr>
        <w:t> </w:t>
      </w:r>
      <w:r>
        <w:rPr>
          <w:spacing w:val="-5"/>
          <w:u w:val="single"/>
        </w:rPr>
        <w:t>24)</w:t>
      </w:r>
    </w:p>
    <w:p>
      <w:pPr>
        <w:pStyle w:val="BodyText"/>
        <w:spacing w:before="56"/>
        <w:rPr>
          <w:b/>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0"/>
      </w:tblGrid>
      <w:tr>
        <w:trPr>
          <w:trHeight w:val="6000" w:hRule="atLeast"/>
        </w:trPr>
        <w:tc>
          <w:tcPr>
            <w:tcW w:w="9000" w:type="dxa"/>
          </w:tcPr>
          <w:p>
            <w:pPr>
              <w:pStyle w:val="TableParagraph"/>
              <w:ind w:left="107"/>
              <w:rPr>
                <w:sz w:val="22"/>
              </w:rPr>
            </w:pPr>
            <w:r>
              <w:rPr>
                <w:b/>
                <w:color w:val="1F4E79"/>
                <w:spacing w:val="-2"/>
                <w:sz w:val="22"/>
                <w:u w:val="single" w:color="1F4E79"/>
              </w:rPr>
              <w:t>Revelación</w:t>
            </w:r>
            <w:r>
              <w:rPr>
                <w:spacing w:val="-2"/>
                <w:sz w:val="22"/>
                <w:u w:val="none"/>
              </w:rPr>
              <w:t>:</w:t>
            </w:r>
          </w:p>
          <w:p>
            <w:pPr>
              <w:pStyle w:val="TableParagraph"/>
              <w:spacing w:line="259" w:lineRule="auto" w:before="181"/>
              <w:ind w:left="107" w:right="97"/>
              <w:jc w:val="both"/>
              <w:rPr>
                <w:sz w:val="22"/>
              </w:rPr>
            </w:pPr>
            <w:r>
              <w:rPr>
                <w:sz w:val="22"/>
              </w:rPr>
              <w:t>Beneficios a los empleados a corto plazo son beneficios a los empleados (diferentes de las indemnizaciones</w:t>
            </w:r>
            <w:r>
              <w:rPr>
                <w:spacing w:val="-9"/>
                <w:sz w:val="22"/>
              </w:rPr>
              <w:t> </w:t>
            </w:r>
            <w:r>
              <w:rPr>
                <w:sz w:val="22"/>
              </w:rPr>
              <w:t>por</w:t>
            </w:r>
            <w:r>
              <w:rPr>
                <w:spacing w:val="-10"/>
                <w:sz w:val="22"/>
              </w:rPr>
              <w:t> </w:t>
            </w:r>
            <w:r>
              <w:rPr>
                <w:sz w:val="22"/>
              </w:rPr>
              <w:t>cese)</w:t>
            </w:r>
            <w:r>
              <w:rPr>
                <w:spacing w:val="-9"/>
                <w:sz w:val="22"/>
              </w:rPr>
              <w:t> </w:t>
            </w:r>
            <w:r>
              <w:rPr>
                <w:sz w:val="22"/>
              </w:rPr>
              <w:t>que</w:t>
            </w:r>
            <w:r>
              <w:rPr>
                <w:spacing w:val="-11"/>
                <w:sz w:val="22"/>
              </w:rPr>
              <w:t> </w:t>
            </w:r>
            <w:r>
              <w:rPr>
                <w:sz w:val="22"/>
              </w:rPr>
              <w:t>se</w:t>
            </w:r>
            <w:r>
              <w:rPr>
                <w:spacing w:val="-11"/>
                <w:sz w:val="22"/>
              </w:rPr>
              <w:t> </w:t>
            </w:r>
            <w:r>
              <w:rPr>
                <w:sz w:val="22"/>
              </w:rPr>
              <w:t>espera</w:t>
            </w:r>
            <w:r>
              <w:rPr>
                <w:spacing w:val="-10"/>
                <w:sz w:val="22"/>
              </w:rPr>
              <w:t> </w:t>
            </w:r>
            <w:r>
              <w:rPr>
                <w:sz w:val="22"/>
              </w:rPr>
              <w:t>liquidar</w:t>
            </w:r>
            <w:r>
              <w:rPr>
                <w:spacing w:val="-10"/>
                <w:sz w:val="22"/>
              </w:rPr>
              <w:t> </w:t>
            </w:r>
            <w:r>
              <w:rPr>
                <w:sz w:val="22"/>
              </w:rPr>
              <w:t>totalmente</w:t>
            </w:r>
            <w:r>
              <w:rPr>
                <w:spacing w:val="-10"/>
                <w:sz w:val="22"/>
              </w:rPr>
              <w:t> </w:t>
            </w:r>
            <w:r>
              <w:rPr>
                <w:sz w:val="22"/>
              </w:rPr>
              <w:t>antes</w:t>
            </w:r>
            <w:r>
              <w:rPr>
                <w:spacing w:val="-9"/>
                <w:sz w:val="22"/>
              </w:rPr>
              <w:t> </w:t>
            </w:r>
            <w:r>
              <w:rPr>
                <w:sz w:val="22"/>
              </w:rPr>
              <w:t>de</w:t>
            </w:r>
            <w:r>
              <w:rPr>
                <w:spacing w:val="-11"/>
                <w:sz w:val="22"/>
              </w:rPr>
              <w:t> </w:t>
            </w:r>
            <w:r>
              <w:rPr>
                <w:sz w:val="22"/>
              </w:rPr>
              <w:t>los</w:t>
            </w:r>
            <w:r>
              <w:rPr>
                <w:spacing w:val="-8"/>
                <w:sz w:val="22"/>
              </w:rPr>
              <w:t> </w:t>
            </w:r>
            <w:r>
              <w:rPr>
                <w:sz w:val="22"/>
              </w:rPr>
              <w:t>doce</w:t>
            </w:r>
            <w:r>
              <w:rPr>
                <w:spacing w:val="-11"/>
                <w:sz w:val="22"/>
              </w:rPr>
              <w:t> </w:t>
            </w:r>
            <w:r>
              <w:rPr>
                <w:sz w:val="22"/>
              </w:rPr>
              <w:t>meses</w:t>
            </w:r>
            <w:r>
              <w:rPr>
                <w:spacing w:val="-9"/>
                <w:sz w:val="22"/>
              </w:rPr>
              <w:t> </w:t>
            </w:r>
            <w:r>
              <w:rPr>
                <w:sz w:val="22"/>
              </w:rPr>
              <w:t>siguientes</w:t>
            </w:r>
            <w:r>
              <w:rPr>
                <w:spacing w:val="-9"/>
                <w:sz w:val="22"/>
              </w:rPr>
              <w:t> </w:t>
            </w:r>
            <w:r>
              <w:rPr>
                <w:sz w:val="22"/>
              </w:rPr>
              <w:t>al</w:t>
            </w:r>
            <w:r>
              <w:rPr>
                <w:spacing w:val="-10"/>
                <w:sz w:val="22"/>
              </w:rPr>
              <w:t> </w:t>
            </w:r>
            <w:r>
              <w:rPr>
                <w:sz w:val="22"/>
              </w:rPr>
              <w:t>final del periodo anual sobre el que se informa en el que los empleados hayan prestado los servicios </w:t>
            </w:r>
            <w:r>
              <w:rPr>
                <w:spacing w:val="-2"/>
                <w:sz w:val="22"/>
              </w:rPr>
              <w:t>relacionados.</w:t>
            </w:r>
          </w:p>
          <w:p>
            <w:pPr>
              <w:pStyle w:val="TableParagraph"/>
              <w:spacing w:line="259" w:lineRule="auto" w:before="160"/>
              <w:ind w:left="107" w:right="100"/>
              <w:jc w:val="both"/>
              <w:rPr>
                <w:sz w:val="22"/>
              </w:rPr>
            </w:pPr>
            <w:r>
              <w:rPr>
                <w:sz w:val="22"/>
              </w:rPr>
              <w:t>El IMAS cuenta con el disfrute de los siguientes beneficios a corto plazo a los empleados, los cuales no son acumulativos:</w:t>
            </w:r>
          </w:p>
          <w:p>
            <w:pPr>
              <w:pStyle w:val="TableParagraph"/>
              <w:numPr>
                <w:ilvl w:val="0"/>
                <w:numId w:val="52"/>
              </w:numPr>
              <w:tabs>
                <w:tab w:pos="272" w:val="left" w:leader="none"/>
              </w:tabs>
              <w:spacing w:line="240" w:lineRule="auto" w:before="0" w:after="0"/>
              <w:ind w:left="272" w:right="0" w:hanging="165"/>
              <w:jc w:val="left"/>
              <w:rPr>
                <w:rFonts w:ascii="Segoe UI Symbol" w:hAnsi="Segoe UI Symbol"/>
                <w:sz w:val="20"/>
              </w:rPr>
            </w:pPr>
            <w:r>
              <w:rPr>
                <w:i/>
                <w:spacing w:val="-4"/>
                <w:sz w:val="23"/>
              </w:rPr>
              <w:t>Cinco</w:t>
            </w:r>
            <w:r>
              <w:rPr>
                <w:i/>
                <w:spacing w:val="-7"/>
                <w:sz w:val="23"/>
              </w:rPr>
              <w:t> </w:t>
            </w:r>
            <w:r>
              <w:rPr>
                <w:i/>
                <w:spacing w:val="-4"/>
                <w:sz w:val="23"/>
              </w:rPr>
              <w:t>días hábiles con</w:t>
            </w:r>
            <w:r>
              <w:rPr>
                <w:i/>
                <w:spacing w:val="-7"/>
                <w:sz w:val="23"/>
              </w:rPr>
              <w:t> </w:t>
            </w:r>
            <w:r>
              <w:rPr>
                <w:i/>
                <w:spacing w:val="-4"/>
                <w:sz w:val="23"/>
              </w:rPr>
              <w:t>goce</w:t>
            </w:r>
            <w:r>
              <w:rPr>
                <w:i/>
                <w:spacing w:val="-7"/>
                <w:sz w:val="23"/>
              </w:rPr>
              <w:t> </w:t>
            </w:r>
            <w:r>
              <w:rPr>
                <w:i/>
                <w:spacing w:val="-4"/>
                <w:sz w:val="23"/>
              </w:rPr>
              <w:t>sueldo en</w:t>
            </w:r>
            <w:r>
              <w:rPr>
                <w:i/>
                <w:spacing w:val="-5"/>
                <w:sz w:val="23"/>
              </w:rPr>
              <w:t> </w:t>
            </w:r>
            <w:r>
              <w:rPr>
                <w:i/>
                <w:spacing w:val="-4"/>
                <w:sz w:val="23"/>
              </w:rPr>
              <w:t>los casos</w:t>
            </w:r>
            <w:r>
              <w:rPr>
                <w:i/>
                <w:spacing w:val="-5"/>
                <w:sz w:val="23"/>
              </w:rPr>
              <w:t> </w:t>
            </w:r>
            <w:r>
              <w:rPr>
                <w:i/>
                <w:spacing w:val="-4"/>
                <w:sz w:val="23"/>
              </w:rPr>
              <w:t>de</w:t>
            </w:r>
            <w:r>
              <w:rPr>
                <w:i/>
                <w:spacing w:val="-6"/>
                <w:sz w:val="23"/>
              </w:rPr>
              <w:t> </w:t>
            </w:r>
            <w:r>
              <w:rPr>
                <w:i/>
                <w:spacing w:val="-4"/>
                <w:sz w:val="23"/>
              </w:rPr>
              <w:t>matrimonio</w:t>
            </w:r>
          </w:p>
          <w:p>
            <w:pPr>
              <w:pStyle w:val="TableParagraph"/>
              <w:numPr>
                <w:ilvl w:val="0"/>
                <w:numId w:val="52"/>
              </w:numPr>
              <w:tabs>
                <w:tab w:pos="272" w:val="left" w:leader="none"/>
              </w:tabs>
              <w:spacing w:line="249" w:lineRule="auto" w:before="9" w:after="0"/>
              <w:ind w:left="107" w:right="96" w:firstLine="0"/>
              <w:jc w:val="left"/>
              <w:rPr>
                <w:rFonts w:ascii="Segoe UI Symbol" w:hAnsi="Segoe UI Symbol"/>
                <w:i/>
                <w:sz w:val="21"/>
              </w:rPr>
            </w:pPr>
            <w:r>
              <w:rPr>
                <w:i/>
                <w:spacing w:val="-6"/>
                <w:sz w:val="23"/>
              </w:rPr>
              <w:t>Cinco</w:t>
            </w:r>
            <w:r>
              <w:rPr>
                <w:i/>
                <w:spacing w:val="-7"/>
                <w:sz w:val="23"/>
              </w:rPr>
              <w:t> </w:t>
            </w:r>
            <w:r>
              <w:rPr>
                <w:i/>
                <w:spacing w:val="-6"/>
                <w:sz w:val="23"/>
              </w:rPr>
              <w:t>días</w:t>
            </w:r>
            <w:r>
              <w:rPr>
                <w:i/>
                <w:spacing w:val="-7"/>
                <w:sz w:val="23"/>
              </w:rPr>
              <w:t> </w:t>
            </w:r>
            <w:r>
              <w:rPr>
                <w:i/>
                <w:spacing w:val="-6"/>
                <w:sz w:val="23"/>
              </w:rPr>
              <w:t>hábiles</w:t>
            </w:r>
            <w:r>
              <w:rPr>
                <w:i/>
                <w:spacing w:val="-7"/>
                <w:sz w:val="23"/>
              </w:rPr>
              <w:t> </w:t>
            </w:r>
            <w:r>
              <w:rPr>
                <w:i/>
                <w:spacing w:val="-6"/>
                <w:sz w:val="23"/>
              </w:rPr>
              <w:t>con</w:t>
            </w:r>
            <w:r>
              <w:rPr>
                <w:i/>
                <w:spacing w:val="-9"/>
                <w:sz w:val="23"/>
              </w:rPr>
              <w:t> </w:t>
            </w:r>
            <w:r>
              <w:rPr>
                <w:i/>
                <w:spacing w:val="-6"/>
                <w:sz w:val="23"/>
              </w:rPr>
              <w:t>goce</w:t>
            </w:r>
            <w:r>
              <w:rPr>
                <w:i/>
                <w:spacing w:val="-10"/>
                <w:sz w:val="23"/>
              </w:rPr>
              <w:t> </w:t>
            </w:r>
            <w:r>
              <w:rPr>
                <w:i/>
                <w:spacing w:val="-6"/>
                <w:sz w:val="23"/>
              </w:rPr>
              <w:t>sueldo</w:t>
            </w:r>
            <w:r>
              <w:rPr>
                <w:i/>
                <w:spacing w:val="-7"/>
                <w:sz w:val="23"/>
              </w:rPr>
              <w:t> </w:t>
            </w:r>
            <w:r>
              <w:rPr>
                <w:i/>
                <w:spacing w:val="-6"/>
                <w:sz w:val="23"/>
              </w:rPr>
              <w:t>en</w:t>
            </w:r>
            <w:r>
              <w:rPr>
                <w:i/>
                <w:spacing w:val="-9"/>
                <w:sz w:val="23"/>
              </w:rPr>
              <w:t> </w:t>
            </w:r>
            <w:r>
              <w:rPr>
                <w:i/>
                <w:spacing w:val="-6"/>
                <w:sz w:val="23"/>
              </w:rPr>
              <w:t>caso</w:t>
            </w:r>
            <w:r>
              <w:rPr>
                <w:i/>
                <w:spacing w:val="-7"/>
                <w:sz w:val="23"/>
              </w:rPr>
              <w:t> </w:t>
            </w:r>
            <w:r>
              <w:rPr>
                <w:i/>
                <w:spacing w:val="-6"/>
                <w:sz w:val="23"/>
              </w:rPr>
              <w:t>fallecimiento</w:t>
            </w:r>
            <w:r>
              <w:rPr>
                <w:i/>
                <w:spacing w:val="-7"/>
                <w:sz w:val="23"/>
              </w:rPr>
              <w:t> </w:t>
            </w:r>
            <w:r>
              <w:rPr>
                <w:i/>
                <w:spacing w:val="-6"/>
                <w:sz w:val="23"/>
              </w:rPr>
              <w:t>de</w:t>
            </w:r>
            <w:r>
              <w:rPr>
                <w:i/>
                <w:spacing w:val="-11"/>
                <w:sz w:val="23"/>
              </w:rPr>
              <w:t> </w:t>
            </w:r>
            <w:r>
              <w:rPr>
                <w:i/>
                <w:spacing w:val="-6"/>
                <w:sz w:val="23"/>
              </w:rPr>
              <w:t>cualquiera</w:t>
            </w:r>
            <w:r>
              <w:rPr>
                <w:i/>
                <w:spacing w:val="-10"/>
                <w:sz w:val="23"/>
              </w:rPr>
              <w:t> </w:t>
            </w:r>
            <w:r>
              <w:rPr>
                <w:i/>
                <w:spacing w:val="-6"/>
                <w:sz w:val="23"/>
              </w:rPr>
              <w:t>de</w:t>
            </w:r>
            <w:r>
              <w:rPr>
                <w:i/>
                <w:spacing w:val="-9"/>
                <w:sz w:val="23"/>
              </w:rPr>
              <w:t> </w:t>
            </w:r>
            <w:r>
              <w:rPr>
                <w:i/>
                <w:spacing w:val="-6"/>
                <w:sz w:val="23"/>
              </w:rPr>
              <w:t>los</w:t>
            </w:r>
            <w:r>
              <w:rPr>
                <w:i/>
                <w:spacing w:val="-7"/>
                <w:sz w:val="23"/>
              </w:rPr>
              <w:t> </w:t>
            </w:r>
            <w:r>
              <w:rPr>
                <w:i/>
                <w:spacing w:val="-6"/>
                <w:sz w:val="23"/>
              </w:rPr>
              <w:t>padres,</w:t>
            </w:r>
            <w:r>
              <w:rPr>
                <w:i/>
                <w:spacing w:val="-9"/>
                <w:sz w:val="23"/>
              </w:rPr>
              <w:t> </w:t>
            </w:r>
            <w:r>
              <w:rPr>
                <w:i/>
                <w:spacing w:val="-6"/>
                <w:sz w:val="23"/>
              </w:rPr>
              <w:t>hijos,</w:t>
            </w:r>
            <w:r>
              <w:rPr>
                <w:i/>
                <w:spacing w:val="-9"/>
                <w:sz w:val="23"/>
              </w:rPr>
              <w:t> </w:t>
            </w:r>
            <w:r>
              <w:rPr>
                <w:i/>
                <w:spacing w:val="-6"/>
                <w:sz w:val="23"/>
              </w:rPr>
              <w:t>hermanos </w:t>
            </w:r>
            <w:r>
              <w:rPr>
                <w:i/>
                <w:sz w:val="23"/>
              </w:rPr>
              <w:t>o cónyuge.</w:t>
            </w:r>
          </w:p>
          <w:p>
            <w:pPr>
              <w:pStyle w:val="TableParagraph"/>
              <w:numPr>
                <w:ilvl w:val="0"/>
                <w:numId w:val="52"/>
              </w:numPr>
              <w:tabs>
                <w:tab w:pos="272" w:val="left" w:leader="none"/>
              </w:tabs>
              <w:spacing w:line="303" w:lineRule="exact" w:before="0" w:after="0"/>
              <w:ind w:left="272" w:right="0" w:hanging="165"/>
              <w:jc w:val="left"/>
              <w:rPr>
                <w:rFonts w:ascii="Segoe UI Symbol" w:hAnsi="Segoe UI Symbol"/>
                <w:i/>
                <w:sz w:val="21"/>
              </w:rPr>
            </w:pPr>
            <w:r>
              <w:rPr>
                <w:i/>
                <w:spacing w:val="-4"/>
                <w:sz w:val="23"/>
              </w:rPr>
              <w:t>Tratándose</w:t>
            </w:r>
            <w:r>
              <w:rPr>
                <w:i/>
                <w:spacing w:val="-8"/>
                <w:sz w:val="23"/>
              </w:rPr>
              <w:t> </w:t>
            </w:r>
            <w:r>
              <w:rPr>
                <w:i/>
                <w:spacing w:val="-4"/>
                <w:sz w:val="23"/>
              </w:rPr>
              <w:t>de</w:t>
            </w:r>
            <w:r>
              <w:rPr>
                <w:i/>
                <w:spacing w:val="-7"/>
                <w:sz w:val="23"/>
              </w:rPr>
              <w:t> </w:t>
            </w:r>
            <w:r>
              <w:rPr>
                <w:i/>
                <w:spacing w:val="-4"/>
                <w:sz w:val="23"/>
              </w:rPr>
              <w:t>funcionarios</w:t>
            </w:r>
            <w:r>
              <w:rPr>
                <w:i/>
                <w:spacing w:val="-5"/>
                <w:sz w:val="23"/>
              </w:rPr>
              <w:t> </w:t>
            </w:r>
            <w:r>
              <w:rPr>
                <w:i/>
                <w:spacing w:val="-4"/>
                <w:sz w:val="23"/>
              </w:rPr>
              <w:t>varones</w:t>
            </w:r>
            <w:r>
              <w:rPr>
                <w:i/>
                <w:spacing w:val="-8"/>
                <w:sz w:val="23"/>
              </w:rPr>
              <w:t> </w:t>
            </w:r>
            <w:r>
              <w:rPr>
                <w:i/>
                <w:spacing w:val="-4"/>
                <w:sz w:val="23"/>
              </w:rPr>
              <w:t>tres</w:t>
            </w:r>
            <w:r>
              <w:rPr>
                <w:i/>
                <w:spacing w:val="-5"/>
                <w:sz w:val="23"/>
              </w:rPr>
              <w:t> </w:t>
            </w:r>
            <w:r>
              <w:rPr>
                <w:i/>
                <w:spacing w:val="-4"/>
                <w:sz w:val="23"/>
              </w:rPr>
              <w:t>días</w:t>
            </w:r>
            <w:r>
              <w:rPr>
                <w:i/>
                <w:spacing w:val="-7"/>
                <w:sz w:val="23"/>
              </w:rPr>
              <w:t> </w:t>
            </w:r>
            <w:r>
              <w:rPr>
                <w:i/>
                <w:spacing w:val="-4"/>
                <w:sz w:val="23"/>
              </w:rPr>
              <w:t>hábiles</w:t>
            </w:r>
            <w:r>
              <w:rPr>
                <w:i/>
                <w:spacing w:val="-6"/>
                <w:sz w:val="23"/>
              </w:rPr>
              <w:t> </w:t>
            </w:r>
            <w:r>
              <w:rPr>
                <w:i/>
                <w:spacing w:val="-4"/>
                <w:sz w:val="23"/>
              </w:rPr>
              <w:t>por</w:t>
            </w:r>
            <w:r>
              <w:rPr>
                <w:i/>
                <w:spacing w:val="-6"/>
                <w:sz w:val="23"/>
              </w:rPr>
              <w:t> </w:t>
            </w:r>
            <w:r>
              <w:rPr>
                <w:i/>
                <w:spacing w:val="-4"/>
                <w:sz w:val="23"/>
              </w:rPr>
              <w:t>nacimiento</w:t>
            </w:r>
            <w:r>
              <w:rPr>
                <w:i/>
                <w:spacing w:val="-5"/>
                <w:sz w:val="23"/>
              </w:rPr>
              <w:t> </w:t>
            </w:r>
            <w:r>
              <w:rPr>
                <w:i/>
                <w:spacing w:val="-4"/>
                <w:sz w:val="23"/>
              </w:rPr>
              <w:t>de</w:t>
            </w:r>
            <w:r>
              <w:rPr>
                <w:i/>
                <w:spacing w:val="-8"/>
                <w:sz w:val="23"/>
              </w:rPr>
              <w:t> </w:t>
            </w:r>
            <w:r>
              <w:rPr>
                <w:i/>
                <w:spacing w:val="-4"/>
                <w:sz w:val="23"/>
              </w:rPr>
              <w:t>hijos.</w:t>
            </w:r>
          </w:p>
          <w:p>
            <w:pPr>
              <w:pStyle w:val="TableParagraph"/>
              <w:numPr>
                <w:ilvl w:val="0"/>
                <w:numId w:val="52"/>
              </w:numPr>
              <w:tabs>
                <w:tab w:pos="272" w:val="left" w:leader="none"/>
              </w:tabs>
              <w:spacing w:line="240" w:lineRule="auto" w:before="9" w:after="0"/>
              <w:ind w:left="272" w:right="0" w:hanging="165"/>
              <w:jc w:val="left"/>
              <w:rPr>
                <w:rFonts w:ascii="Segoe UI Symbol" w:hAnsi="Segoe UI Symbol"/>
                <w:i/>
                <w:sz w:val="21"/>
              </w:rPr>
            </w:pPr>
            <w:r>
              <w:rPr>
                <w:i/>
                <w:spacing w:val="-4"/>
                <w:sz w:val="23"/>
              </w:rPr>
              <w:t>Cinco</w:t>
            </w:r>
            <w:r>
              <w:rPr>
                <w:i/>
                <w:spacing w:val="-7"/>
                <w:sz w:val="23"/>
              </w:rPr>
              <w:t> </w:t>
            </w:r>
            <w:r>
              <w:rPr>
                <w:i/>
                <w:spacing w:val="-4"/>
                <w:sz w:val="23"/>
              </w:rPr>
              <w:t>días</w:t>
            </w:r>
            <w:r>
              <w:rPr>
                <w:i/>
                <w:spacing w:val="-5"/>
                <w:sz w:val="23"/>
              </w:rPr>
              <w:t> </w:t>
            </w:r>
            <w:r>
              <w:rPr>
                <w:i/>
                <w:spacing w:val="-4"/>
                <w:sz w:val="23"/>
              </w:rPr>
              <w:t>hábiles</w:t>
            </w:r>
            <w:r>
              <w:rPr>
                <w:i/>
                <w:spacing w:val="-5"/>
                <w:sz w:val="23"/>
              </w:rPr>
              <w:t> </w:t>
            </w:r>
            <w:r>
              <w:rPr>
                <w:i/>
                <w:spacing w:val="-4"/>
                <w:sz w:val="23"/>
              </w:rPr>
              <w:t>en</w:t>
            </w:r>
            <w:r>
              <w:rPr>
                <w:i/>
                <w:spacing w:val="-6"/>
                <w:sz w:val="23"/>
              </w:rPr>
              <w:t> </w:t>
            </w:r>
            <w:r>
              <w:rPr>
                <w:i/>
                <w:spacing w:val="-4"/>
                <w:sz w:val="23"/>
              </w:rPr>
              <w:t>caso</w:t>
            </w:r>
            <w:r>
              <w:rPr>
                <w:i/>
                <w:spacing w:val="-7"/>
                <w:sz w:val="23"/>
              </w:rPr>
              <w:t> </w:t>
            </w:r>
            <w:r>
              <w:rPr>
                <w:i/>
                <w:spacing w:val="-4"/>
                <w:sz w:val="23"/>
              </w:rPr>
              <w:t>de</w:t>
            </w:r>
            <w:r>
              <w:rPr>
                <w:i/>
                <w:spacing w:val="-7"/>
                <w:sz w:val="23"/>
              </w:rPr>
              <w:t> </w:t>
            </w:r>
            <w:r>
              <w:rPr>
                <w:i/>
                <w:spacing w:val="-4"/>
                <w:sz w:val="23"/>
              </w:rPr>
              <w:t>enfermedad</w:t>
            </w:r>
            <w:r>
              <w:rPr>
                <w:i/>
                <w:spacing w:val="-6"/>
                <w:sz w:val="23"/>
              </w:rPr>
              <w:t> </w:t>
            </w:r>
            <w:r>
              <w:rPr>
                <w:i/>
                <w:spacing w:val="-4"/>
                <w:sz w:val="23"/>
              </w:rPr>
              <w:t>grave</w:t>
            </w:r>
            <w:r>
              <w:rPr>
                <w:i/>
                <w:spacing w:val="-7"/>
                <w:sz w:val="23"/>
              </w:rPr>
              <w:t> </w:t>
            </w:r>
            <w:r>
              <w:rPr>
                <w:i/>
                <w:spacing w:val="-4"/>
                <w:sz w:val="23"/>
              </w:rPr>
              <w:t>de</w:t>
            </w:r>
            <w:r>
              <w:rPr>
                <w:i/>
                <w:spacing w:val="-7"/>
                <w:sz w:val="23"/>
              </w:rPr>
              <w:t> </w:t>
            </w:r>
            <w:r>
              <w:rPr>
                <w:i/>
                <w:spacing w:val="-4"/>
                <w:sz w:val="23"/>
              </w:rPr>
              <w:t>los</w:t>
            </w:r>
            <w:r>
              <w:rPr>
                <w:i/>
                <w:spacing w:val="-7"/>
                <w:sz w:val="23"/>
              </w:rPr>
              <w:t> </w:t>
            </w:r>
            <w:r>
              <w:rPr>
                <w:i/>
                <w:spacing w:val="-4"/>
                <w:sz w:val="23"/>
              </w:rPr>
              <w:t>parientes</w:t>
            </w:r>
            <w:r>
              <w:rPr>
                <w:i/>
                <w:spacing w:val="-6"/>
                <w:sz w:val="23"/>
              </w:rPr>
              <w:t> </w:t>
            </w:r>
            <w:r>
              <w:rPr>
                <w:i/>
                <w:spacing w:val="-4"/>
                <w:sz w:val="23"/>
              </w:rPr>
              <w:t>citados en</w:t>
            </w:r>
            <w:r>
              <w:rPr>
                <w:i/>
                <w:spacing w:val="-6"/>
                <w:sz w:val="23"/>
              </w:rPr>
              <w:t> </w:t>
            </w:r>
            <w:r>
              <w:rPr>
                <w:i/>
                <w:spacing w:val="-4"/>
                <w:sz w:val="23"/>
              </w:rPr>
              <w:t>el</w:t>
            </w:r>
            <w:r>
              <w:rPr>
                <w:i/>
                <w:spacing w:val="-6"/>
                <w:sz w:val="23"/>
              </w:rPr>
              <w:t> </w:t>
            </w:r>
            <w:r>
              <w:rPr>
                <w:i/>
                <w:spacing w:val="-4"/>
                <w:sz w:val="23"/>
              </w:rPr>
              <w:t>punto</w:t>
            </w:r>
            <w:r>
              <w:rPr>
                <w:i/>
                <w:spacing w:val="-5"/>
                <w:sz w:val="23"/>
              </w:rPr>
              <w:t> </w:t>
            </w:r>
            <w:r>
              <w:rPr>
                <w:i/>
                <w:spacing w:val="-4"/>
                <w:sz w:val="23"/>
              </w:rPr>
              <w:t>dos.</w:t>
            </w:r>
          </w:p>
          <w:p>
            <w:pPr>
              <w:pStyle w:val="TableParagraph"/>
              <w:numPr>
                <w:ilvl w:val="0"/>
                <w:numId w:val="52"/>
              </w:numPr>
              <w:tabs>
                <w:tab w:pos="272" w:val="left" w:leader="none"/>
              </w:tabs>
              <w:spacing w:line="249" w:lineRule="auto" w:before="11" w:after="0"/>
              <w:ind w:left="107" w:right="99" w:firstLine="0"/>
              <w:jc w:val="left"/>
              <w:rPr>
                <w:rFonts w:ascii="Segoe UI Symbol" w:hAnsi="Segoe UI Symbol"/>
                <w:i/>
                <w:sz w:val="21"/>
              </w:rPr>
            </w:pPr>
            <w:r>
              <w:rPr>
                <w:i/>
                <w:spacing w:val="-2"/>
                <w:sz w:val="23"/>
              </w:rPr>
              <w:t>Medio</w:t>
            </w:r>
            <w:r>
              <w:rPr>
                <w:i/>
                <w:spacing w:val="-9"/>
                <w:sz w:val="23"/>
              </w:rPr>
              <w:t> </w:t>
            </w:r>
            <w:r>
              <w:rPr>
                <w:i/>
                <w:spacing w:val="-2"/>
                <w:sz w:val="23"/>
              </w:rPr>
              <w:t>día</w:t>
            </w:r>
            <w:r>
              <w:rPr>
                <w:i/>
                <w:spacing w:val="-11"/>
                <w:sz w:val="23"/>
              </w:rPr>
              <w:t> </w:t>
            </w:r>
            <w:r>
              <w:rPr>
                <w:i/>
                <w:spacing w:val="-2"/>
                <w:sz w:val="23"/>
              </w:rPr>
              <w:t>completo</w:t>
            </w:r>
            <w:r>
              <w:rPr>
                <w:i/>
                <w:spacing w:val="-9"/>
                <w:sz w:val="23"/>
              </w:rPr>
              <w:t> </w:t>
            </w:r>
            <w:r>
              <w:rPr>
                <w:i/>
                <w:spacing w:val="-2"/>
                <w:sz w:val="23"/>
              </w:rPr>
              <w:t>en</w:t>
            </w:r>
            <w:r>
              <w:rPr>
                <w:i/>
                <w:spacing w:val="-11"/>
                <w:sz w:val="23"/>
              </w:rPr>
              <w:t> </w:t>
            </w:r>
            <w:r>
              <w:rPr>
                <w:i/>
                <w:spacing w:val="-2"/>
                <w:sz w:val="23"/>
              </w:rPr>
              <w:t>cada</w:t>
            </w:r>
            <w:r>
              <w:rPr>
                <w:i/>
                <w:spacing w:val="-11"/>
                <w:sz w:val="23"/>
              </w:rPr>
              <w:t> </w:t>
            </w:r>
            <w:r>
              <w:rPr>
                <w:i/>
                <w:spacing w:val="-2"/>
                <w:sz w:val="23"/>
              </w:rPr>
              <w:t>ocasión,</w:t>
            </w:r>
            <w:r>
              <w:rPr>
                <w:i/>
                <w:spacing w:val="-10"/>
                <w:sz w:val="23"/>
              </w:rPr>
              <w:t> </w:t>
            </w:r>
            <w:r>
              <w:rPr>
                <w:i/>
                <w:spacing w:val="-2"/>
                <w:sz w:val="23"/>
              </w:rPr>
              <w:t>para</w:t>
            </w:r>
            <w:r>
              <w:rPr>
                <w:i/>
                <w:spacing w:val="-11"/>
                <w:sz w:val="23"/>
              </w:rPr>
              <w:t> </w:t>
            </w:r>
            <w:r>
              <w:rPr>
                <w:i/>
                <w:spacing w:val="-2"/>
                <w:sz w:val="23"/>
              </w:rPr>
              <w:t>efectuar</w:t>
            </w:r>
            <w:r>
              <w:rPr>
                <w:i/>
                <w:spacing w:val="-12"/>
                <w:sz w:val="23"/>
              </w:rPr>
              <w:t> </w:t>
            </w:r>
            <w:r>
              <w:rPr>
                <w:i/>
                <w:spacing w:val="-2"/>
                <w:sz w:val="23"/>
              </w:rPr>
              <w:t>diligencias</w:t>
            </w:r>
            <w:r>
              <w:rPr>
                <w:i/>
                <w:spacing w:val="-9"/>
                <w:sz w:val="23"/>
              </w:rPr>
              <w:t> </w:t>
            </w:r>
            <w:r>
              <w:rPr>
                <w:i/>
                <w:spacing w:val="-2"/>
                <w:sz w:val="23"/>
              </w:rPr>
              <w:t>personales</w:t>
            </w:r>
            <w:r>
              <w:rPr>
                <w:i/>
                <w:spacing w:val="-11"/>
                <w:sz w:val="23"/>
              </w:rPr>
              <w:t> </w:t>
            </w:r>
            <w:r>
              <w:rPr>
                <w:i/>
                <w:spacing w:val="-2"/>
                <w:sz w:val="23"/>
              </w:rPr>
              <w:t>debidamente</w:t>
            </w:r>
            <w:r>
              <w:rPr>
                <w:i/>
                <w:spacing w:val="-10"/>
                <w:sz w:val="23"/>
              </w:rPr>
              <w:t> </w:t>
            </w:r>
            <w:r>
              <w:rPr>
                <w:i/>
                <w:spacing w:val="-2"/>
                <w:sz w:val="23"/>
              </w:rPr>
              <w:t>justificas</w:t>
            </w:r>
            <w:r>
              <w:rPr>
                <w:i/>
                <w:spacing w:val="-9"/>
                <w:sz w:val="23"/>
              </w:rPr>
              <w:t> </w:t>
            </w:r>
            <w:r>
              <w:rPr>
                <w:i/>
                <w:spacing w:val="-2"/>
                <w:sz w:val="23"/>
              </w:rPr>
              <w:t>y </w:t>
            </w:r>
            <w:r>
              <w:rPr>
                <w:i/>
                <w:spacing w:val="-4"/>
                <w:sz w:val="23"/>
              </w:rPr>
              <w:t>ellos</w:t>
            </w:r>
            <w:r>
              <w:rPr>
                <w:i/>
                <w:spacing w:val="-11"/>
                <w:sz w:val="23"/>
              </w:rPr>
              <w:t> </w:t>
            </w:r>
            <w:r>
              <w:rPr>
                <w:i/>
                <w:spacing w:val="-4"/>
                <w:sz w:val="23"/>
              </w:rPr>
              <w:t>casos</w:t>
            </w:r>
            <w:r>
              <w:rPr>
                <w:i/>
                <w:spacing w:val="-10"/>
                <w:sz w:val="23"/>
              </w:rPr>
              <w:t> </w:t>
            </w:r>
            <w:r>
              <w:rPr>
                <w:i/>
                <w:spacing w:val="-4"/>
                <w:sz w:val="23"/>
              </w:rPr>
              <w:t>en</w:t>
            </w:r>
            <w:r>
              <w:rPr>
                <w:i/>
                <w:spacing w:val="-11"/>
                <w:sz w:val="23"/>
              </w:rPr>
              <w:t> </w:t>
            </w:r>
            <w:r>
              <w:rPr>
                <w:i/>
                <w:spacing w:val="-4"/>
                <w:sz w:val="23"/>
              </w:rPr>
              <w:t>que</w:t>
            </w:r>
            <w:r>
              <w:rPr>
                <w:i/>
                <w:spacing w:val="-10"/>
                <w:sz w:val="23"/>
              </w:rPr>
              <w:t> </w:t>
            </w:r>
            <w:r>
              <w:rPr>
                <w:i/>
                <w:spacing w:val="-4"/>
                <w:sz w:val="23"/>
              </w:rPr>
              <w:t>el</w:t>
            </w:r>
            <w:r>
              <w:rPr>
                <w:i/>
                <w:spacing w:val="-11"/>
                <w:sz w:val="23"/>
              </w:rPr>
              <w:t> </w:t>
            </w:r>
            <w:r>
              <w:rPr>
                <w:i/>
                <w:spacing w:val="-4"/>
                <w:sz w:val="23"/>
              </w:rPr>
              <w:t>servicio</w:t>
            </w:r>
            <w:r>
              <w:rPr>
                <w:i/>
                <w:spacing w:val="-10"/>
                <w:sz w:val="23"/>
              </w:rPr>
              <w:t> </w:t>
            </w:r>
            <w:r>
              <w:rPr>
                <w:i/>
                <w:spacing w:val="-4"/>
                <w:sz w:val="23"/>
              </w:rPr>
              <w:t>se</w:t>
            </w:r>
            <w:r>
              <w:rPr>
                <w:i/>
                <w:spacing w:val="-11"/>
                <w:sz w:val="23"/>
              </w:rPr>
              <w:t> </w:t>
            </w:r>
            <w:r>
              <w:rPr>
                <w:i/>
                <w:spacing w:val="-4"/>
                <w:sz w:val="23"/>
              </w:rPr>
              <w:t>necesita</w:t>
            </w:r>
            <w:r>
              <w:rPr>
                <w:i/>
                <w:spacing w:val="-10"/>
                <w:sz w:val="23"/>
              </w:rPr>
              <w:t> </w:t>
            </w:r>
            <w:r>
              <w:rPr>
                <w:i/>
                <w:spacing w:val="-4"/>
                <w:sz w:val="23"/>
              </w:rPr>
              <w:t>coincida</w:t>
            </w:r>
            <w:r>
              <w:rPr>
                <w:i/>
                <w:spacing w:val="-10"/>
                <w:sz w:val="23"/>
              </w:rPr>
              <w:t> </w:t>
            </w:r>
            <w:r>
              <w:rPr>
                <w:i/>
                <w:spacing w:val="-4"/>
                <w:sz w:val="23"/>
              </w:rPr>
              <w:t>solamente</w:t>
            </w:r>
            <w:r>
              <w:rPr>
                <w:i/>
                <w:spacing w:val="-11"/>
                <w:sz w:val="23"/>
              </w:rPr>
              <w:t> </w:t>
            </w:r>
            <w:r>
              <w:rPr>
                <w:i/>
                <w:spacing w:val="-4"/>
                <w:sz w:val="23"/>
              </w:rPr>
              <w:t>con</w:t>
            </w:r>
            <w:r>
              <w:rPr>
                <w:i/>
                <w:spacing w:val="-9"/>
                <w:sz w:val="23"/>
              </w:rPr>
              <w:t> </w:t>
            </w:r>
            <w:r>
              <w:rPr>
                <w:i/>
                <w:spacing w:val="-4"/>
                <w:sz w:val="23"/>
              </w:rPr>
              <w:t>el</w:t>
            </w:r>
            <w:r>
              <w:rPr>
                <w:i/>
                <w:spacing w:val="-10"/>
                <w:sz w:val="23"/>
              </w:rPr>
              <w:t> </w:t>
            </w:r>
            <w:r>
              <w:rPr>
                <w:i/>
                <w:spacing w:val="-4"/>
                <w:sz w:val="23"/>
              </w:rPr>
              <w:t>horario</w:t>
            </w:r>
            <w:r>
              <w:rPr>
                <w:i/>
                <w:spacing w:val="-10"/>
                <w:sz w:val="23"/>
              </w:rPr>
              <w:t> </w:t>
            </w:r>
            <w:r>
              <w:rPr>
                <w:i/>
                <w:spacing w:val="-4"/>
                <w:sz w:val="23"/>
              </w:rPr>
              <w:t>de</w:t>
            </w:r>
            <w:r>
              <w:rPr>
                <w:i/>
                <w:spacing w:val="-11"/>
                <w:sz w:val="23"/>
              </w:rPr>
              <w:t> </w:t>
            </w:r>
            <w:r>
              <w:rPr>
                <w:i/>
                <w:spacing w:val="-4"/>
                <w:sz w:val="23"/>
              </w:rPr>
              <w:t>trabajo</w:t>
            </w:r>
            <w:r>
              <w:rPr>
                <w:i/>
                <w:spacing w:val="-10"/>
                <w:sz w:val="23"/>
              </w:rPr>
              <w:t> </w:t>
            </w:r>
            <w:r>
              <w:rPr>
                <w:i/>
                <w:spacing w:val="-4"/>
                <w:sz w:val="23"/>
              </w:rPr>
              <w:t>de</w:t>
            </w:r>
            <w:r>
              <w:rPr>
                <w:i/>
                <w:spacing w:val="-11"/>
                <w:sz w:val="23"/>
              </w:rPr>
              <w:t> </w:t>
            </w:r>
            <w:r>
              <w:rPr>
                <w:i/>
                <w:spacing w:val="-4"/>
                <w:sz w:val="23"/>
              </w:rPr>
              <w:t>la</w:t>
            </w:r>
            <w:r>
              <w:rPr>
                <w:i/>
                <w:spacing w:val="-10"/>
                <w:sz w:val="23"/>
              </w:rPr>
              <w:t> </w:t>
            </w:r>
            <w:r>
              <w:rPr>
                <w:i/>
                <w:spacing w:val="-4"/>
                <w:sz w:val="23"/>
              </w:rPr>
              <w:t>Institución.</w:t>
            </w:r>
          </w:p>
          <w:p>
            <w:pPr>
              <w:pStyle w:val="TableParagraph"/>
              <w:numPr>
                <w:ilvl w:val="0"/>
                <w:numId w:val="52"/>
              </w:numPr>
              <w:tabs>
                <w:tab w:pos="272" w:val="left" w:leader="none"/>
              </w:tabs>
              <w:spacing w:line="304" w:lineRule="exact" w:before="0" w:after="0"/>
              <w:ind w:left="272" w:right="0" w:hanging="165"/>
              <w:jc w:val="left"/>
              <w:rPr>
                <w:rFonts w:ascii="Segoe UI Symbol" w:hAnsi="Segoe UI Symbol"/>
                <w:i/>
                <w:sz w:val="21"/>
              </w:rPr>
            </w:pPr>
            <w:r>
              <w:rPr>
                <w:i/>
                <w:spacing w:val="-4"/>
                <w:sz w:val="23"/>
              </w:rPr>
              <w:t>Licencia</w:t>
            </w:r>
            <w:r>
              <w:rPr>
                <w:i/>
                <w:spacing w:val="-6"/>
                <w:sz w:val="23"/>
              </w:rPr>
              <w:t> </w:t>
            </w:r>
            <w:r>
              <w:rPr>
                <w:i/>
                <w:spacing w:val="-4"/>
                <w:sz w:val="23"/>
              </w:rPr>
              <w:t>con</w:t>
            </w:r>
            <w:r>
              <w:rPr>
                <w:i/>
                <w:spacing w:val="-5"/>
                <w:sz w:val="23"/>
              </w:rPr>
              <w:t> </w:t>
            </w:r>
            <w:r>
              <w:rPr>
                <w:i/>
                <w:spacing w:val="-4"/>
                <w:sz w:val="23"/>
              </w:rPr>
              <w:t>goce</w:t>
            </w:r>
            <w:r>
              <w:rPr>
                <w:i/>
                <w:spacing w:val="-6"/>
                <w:sz w:val="23"/>
              </w:rPr>
              <w:t> </w:t>
            </w:r>
            <w:r>
              <w:rPr>
                <w:i/>
                <w:spacing w:val="-4"/>
                <w:sz w:val="23"/>
              </w:rPr>
              <w:t>de</w:t>
            </w:r>
            <w:r>
              <w:rPr>
                <w:i/>
                <w:spacing w:val="-6"/>
                <w:sz w:val="23"/>
              </w:rPr>
              <w:t> </w:t>
            </w:r>
            <w:r>
              <w:rPr>
                <w:i/>
                <w:spacing w:val="-4"/>
                <w:sz w:val="23"/>
              </w:rPr>
              <w:t>salario</w:t>
            </w:r>
            <w:r>
              <w:rPr>
                <w:i/>
                <w:spacing w:val="-5"/>
                <w:sz w:val="23"/>
              </w:rPr>
              <w:t> </w:t>
            </w:r>
            <w:r>
              <w:rPr>
                <w:i/>
                <w:spacing w:val="-4"/>
                <w:sz w:val="23"/>
              </w:rPr>
              <w:t>por</w:t>
            </w:r>
            <w:r>
              <w:rPr>
                <w:i/>
                <w:spacing w:val="-6"/>
                <w:sz w:val="23"/>
              </w:rPr>
              <w:t> </w:t>
            </w:r>
            <w:r>
              <w:rPr>
                <w:i/>
                <w:spacing w:val="-4"/>
                <w:sz w:val="23"/>
              </w:rPr>
              <w:t>tres</w:t>
            </w:r>
            <w:r>
              <w:rPr>
                <w:i/>
                <w:spacing w:val="-6"/>
                <w:sz w:val="23"/>
              </w:rPr>
              <w:t> </w:t>
            </w:r>
            <w:r>
              <w:rPr>
                <w:i/>
                <w:spacing w:val="-4"/>
                <w:sz w:val="23"/>
              </w:rPr>
              <w:t>meses a</w:t>
            </w:r>
            <w:r>
              <w:rPr>
                <w:i/>
                <w:spacing w:val="-5"/>
                <w:sz w:val="23"/>
              </w:rPr>
              <w:t> </w:t>
            </w:r>
            <w:r>
              <w:rPr>
                <w:i/>
                <w:spacing w:val="-4"/>
                <w:sz w:val="23"/>
              </w:rPr>
              <w:t>los</w:t>
            </w:r>
            <w:r>
              <w:rPr>
                <w:i/>
                <w:spacing w:val="-6"/>
                <w:sz w:val="23"/>
              </w:rPr>
              <w:t> </w:t>
            </w:r>
            <w:r>
              <w:rPr>
                <w:i/>
                <w:spacing w:val="-4"/>
                <w:sz w:val="23"/>
              </w:rPr>
              <w:t>servidores</w:t>
            </w:r>
            <w:r>
              <w:rPr>
                <w:i/>
                <w:spacing w:val="-7"/>
                <w:sz w:val="23"/>
              </w:rPr>
              <w:t> </w:t>
            </w:r>
            <w:r>
              <w:rPr>
                <w:i/>
                <w:spacing w:val="-4"/>
                <w:sz w:val="23"/>
              </w:rPr>
              <w:t>que</w:t>
            </w:r>
            <w:r>
              <w:rPr>
                <w:i/>
                <w:spacing w:val="-6"/>
                <w:sz w:val="23"/>
              </w:rPr>
              <w:t> </w:t>
            </w:r>
            <w:r>
              <w:rPr>
                <w:i/>
                <w:spacing w:val="-4"/>
                <w:sz w:val="23"/>
              </w:rPr>
              <w:t>adopte</w:t>
            </w:r>
            <w:r>
              <w:rPr>
                <w:i/>
                <w:spacing w:val="-6"/>
                <w:sz w:val="23"/>
              </w:rPr>
              <w:t> </w:t>
            </w:r>
            <w:r>
              <w:rPr>
                <w:i/>
                <w:spacing w:val="-4"/>
                <w:sz w:val="23"/>
              </w:rPr>
              <w:t>aún</w:t>
            </w:r>
            <w:r>
              <w:rPr>
                <w:i/>
                <w:spacing w:val="-7"/>
                <w:sz w:val="23"/>
              </w:rPr>
              <w:t> </w:t>
            </w:r>
            <w:r>
              <w:rPr>
                <w:i/>
                <w:spacing w:val="-4"/>
                <w:sz w:val="23"/>
              </w:rPr>
              <w:t>menor</w:t>
            </w:r>
            <w:r>
              <w:rPr>
                <w:i/>
                <w:spacing w:val="-5"/>
                <w:sz w:val="23"/>
              </w:rPr>
              <w:t> </w:t>
            </w:r>
            <w:r>
              <w:rPr>
                <w:i/>
                <w:spacing w:val="-4"/>
                <w:sz w:val="23"/>
              </w:rPr>
              <w:t>de</w:t>
            </w:r>
            <w:r>
              <w:rPr>
                <w:i/>
                <w:spacing w:val="-6"/>
                <w:sz w:val="23"/>
              </w:rPr>
              <w:t> </w:t>
            </w:r>
            <w:r>
              <w:rPr>
                <w:i/>
                <w:spacing w:val="-4"/>
                <w:sz w:val="23"/>
              </w:rPr>
              <w:t>edad.</w:t>
            </w:r>
          </w:p>
          <w:p>
            <w:pPr>
              <w:pStyle w:val="TableParagraph"/>
              <w:numPr>
                <w:ilvl w:val="0"/>
                <w:numId w:val="52"/>
              </w:numPr>
              <w:tabs>
                <w:tab w:pos="272" w:val="left" w:leader="none"/>
              </w:tabs>
              <w:spacing w:line="249" w:lineRule="auto" w:before="9" w:after="0"/>
              <w:ind w:left="107" w:right="102" w:firstLine="0"/>
              <w:jc w:val="left"/>
              <w:rPr>
                <w:rFonts w:ascii="Segoe UI Symbol" w:hAnsi="Segoe UI Symbol"/>
                <w:i/>
                <w:sz w:val="21"/>
              </w:rPr>
            </w:pPr>
            <w:r>
              <w:rPr>
                <w:i/>
                <w:spacing w:val="-2"/>
                <w:sz w:val="23"/>
              </w:rPr>
              <w:t>En</w:t>
            </w:r>
            <w:r>
              <w:rPr>
                <w:i/>
                <w:spacing w:val="-11"/>
                <w:sz w:val="23"/>
              </w:rPr>
              <w:t> </w:t>
            </w:r>
            <w:r>
              <w:rPr>
                <w:i/>
                <w:spacing w:val="-2"/>
                <w:sz w:val="23"/>
              </w:rPr>
              <w:t>caso</w:t>
            </w:r>
            <w:r>
              <w:rPr>
                <w:i/>
                <w:spacing w:val="-10"/>
                <w:sz w:val="23"/>
              </w:rPr>
              <w:t> </w:t>
            </w:r>
            <w:r>
              <w:rPr>
                <w:i/>
                <w:spacing w:val="-2"/>
                <w:sz w:val="23"/>
              </w:rPr>
              <w:t>de</w:t>
            </w:r>
            <w:r>
              <w:rPr>
                <w:i/>
                <w:spacing w:val="-11"/>
                <w:sz w:val="23"/>
              </w:rPr>
              <w:t> </w:t>
            </w:r>
            <w:r>
              <w:rPr>
                <w:i/>
                <w:spacing w:val="-2"/>
                <w:sz w:val="23"/>
              </w:rPr>
              <w:t>fenómenos</w:t>
            </w:r>
            <w:r>
              <w:rPr>
                <w:i/>
                <w:spacing w:val="-12"/>
                <w:sz w:val="23"/>
              </w:rPr>
              <w:t> </w:t>
            </w:r>
            <w:r>
              <w:rPr>
                <w:i/>
                <w:spacing w:val="-2"/>
                <w:sz w:val="23"/>
              </w:rPr>
              <w:t>naturales</w:t>
            </w:r>
            <w:r>
              <w:rPr>
                <w:i/>
                <w:spacing w:val="-10"/>
                <w:sz w:val="23"/>
              </w:rPr>
              <w:t> </w:t>
            </w:r>
            <w:r>
              <w:rPr>
                <w:i/>
                <w:spacing w:val="-2"/>
                <w:sz w:val="23"/>
              </w:rPr>
              <w:t>o</w:t>
            </w:r>
            <w:r>
              <w:rPr>
                <w:i/>
                <w:spacing w:val="-10"/>
                <w:sz w:val="23"/>
              </w:rPr>
              <w:t> </w:t>
            </w:r>
            <w:r>
              <w:rPr>
                <w:i/>
                <w:spacing w:val="-2"/>
                <w:sz w:val="23"/>
              </w:rPr>
              <w:t>incendio</w:t>
            </w:r>
            <w:r>
              <w:rPr>
                <w:i/>
                <w:spacing w:val="-11"/>
                <w:sz w:val="23"/>
              </w:rPr>
              <w:t> </w:t>
            </w:r>
            <w:r>
              <w:rPr>
                <w:i/>
                <w:spacing w:val="-2"/>
                <w:sz w:val="23"/>
              </w:rPr>
              <w:t>que</w:t>
            </w:r>
            <w:r>
              <w:rPr>
                <w:i/>
                <w:spacing w:val="-12"/>
                <w:sz w:val="23"/>
              </w:rPr>
              <w:t> </w:t>
            </w:r>
            <w:r>
              <w:rPr>
                <w:i/>
                <w:spacing w:val="-2"/>
                <w:sz w:val="23"/>
              </w:rPr>
              <w:t>cause</w:t>
            </w:r>
            <w:r>
              <w:rPr>
                <w:i/>
                <w:spacing w:val="-11"/>
                <w:sz w:val="23"/>
              </w:rPr>
              <w:t> </w:t>
            </w:r>
            <w:r>
              <w:rPr>
                <w:i/>
                <w:spacing w:val="-2"/>
                <w:sz w:val="23"/>
              </w:rPr>
              <w:t>daños</w:t>
            </w:r>
            <w:r>
              <w:rPr>
                <w:i/>
                <w:spacing w:val="-10"/>
                <w:sz w:val="23"/>
              </w:rPr>
              <w:t> </w:t>
            </w:r>
            <w:r>
              <w:rPr>
                <w:i/>
                <w:spacing w:val="-2"/>
                <w:sz w:val="23"/>
              </w:rPr>
              <w:t>serios</w:t>
            </w:r>
            <w:r>
              <w:rPr>
                <w:i/>
                <w:spacing w:val="-10"/>
                <w:sz w:val="23"/>
              </w:rPr>
              <w:t> </w:t>
            </w:r>
            <w:r>
              <w:rPr>
                <w:i/>
                <w:spacing w:val="-2"/>
                <w:sz w:val="23"/>
              </w:rPr>
              <w:t>a</w:t>
            </w:r>
            <w:r>
              <w:rPr>
                <w:i/>
                <w:spacing w:val="-11"/>
                <w:sz w:val="23"/>
              </w:rPr>
              <w:t> </w:t>
            </w:r>
            <w:r>
              <w:rPr>
                <w:i/>
                <w:spacing w:val="-2"/>
                <w:sz w:val="23"/>
              </w:rPr>
              <w:t>la</w:t>
            </w:r>
            <w:r>
              <w:rPr>
                <w:i/>
                <w:spacing w:val="-11"/>
                <w:sz w:val="23"/>
              </w:rPr>
              <w:t> </w:t>
            </w:r>
            <w:r>
              <w:rPr>
                <w:i/>
                <w:spacing w:val="-2"/>
                <w:sz w:val="23"/>
              </w:rPr>
              <w:t>propiedad</w:t>
            </w:r>
            <w:r>
              <w:rPr>
                <w:i/>
                <w:spacing w:val="-11"/>
                <w:sz w:val="23"/>
              </w:rPr>
              <w:t> </w:t>
            </w:r>
            <w:r>
              <w:rPr>
                <w:i/>
                <w:spacing w:val="-2"/>
                <w:sz w:val="23"/>
              </w:rPr>
              <w:t>del</w:t>
            </w:r>
            <w:r>
              <w:rPr>
                <w:i/>
                <w:spacing w:val="-11"/>
                <w:sz w:val="23"/>
              </w:rPr>
              <w:t> </w:t>
            </w:r>
            <w:r>
              <w:rPr>
                <w:i/>
                <w:spacing w:val="-2"/>
                <w:sz w:val="23"/>
              </w:rPr>
              <w:t>funcionario </w:t>
            </w:r>
            <w:r>
              <w:rPr>
                <w:i/>
                <w:sz w:val="23"/>
              </w:rPr>
              <w:t>tres días hábiles.</w:t>
            </w:r>
          </w:p>
          <w:p>
            <w:pPr>
              <w:pStyle w:val="TableParagraph"/>
              <w:numPr>
                <w:ilvl w:val="0"/>
                <w:numId w:val="52"/>
              </w:numPr>
              <w:tabs>
                <w:tab w:pos="272" w:val="left" w:leader="none"/>
              </w:tabs>
              <w:spacing w:line="303" w:lineRule="exact" w:before="0" w:after="0"/>
              <w:ind w:left="272" w:right="0" w:hanging="165"/>
              <w:jc w:val="left"/>
              <w:rPr>
                <w:rFonts w:ascii="Segoe UI Symbol" w:hAnsi="Segoe UI Symbol"/>
                <w:i/>
                <w:sz w:val="21"/>
              </w:rPr>
            </w:pPr>
            <w:r>
              <w:rPr>
                <w:i/>
                <w:spacing w:val="-4"/>
                <w:sz w:val="23"/>
              </w:rPr>
              <w:t>Un</w:t>
            </w:r>
            <w:r>
              <w:rPr>
                <w:i/>
                <w:spacing w:val="-6"/>
                <w:sz w:val="23"/>
              </w:rPr>
              <w:t> </w:t>
            </w:r>
            <w:r>
              <w:rPr>
                <w:i/>
                <w:spacing w:val="-4"/>
                <w:sz w:val="23"/>
              </w:rPr>
              <w:t>día</w:t>
            </w:r>
            <w:r>
              <w:rPr>
                <w:i/>
                <w:spacing w:val="-5"/>
                <w:sz w:val="23"/>
              </w:rPr>
              <w:t> </w:t>
            </w:r>
            <w:r>
              <w:rPr>
                <w:i/>
                <w:spacing w:val="-4"/>
                <w:sz w:val="23"/>
              </w:rPr>
              <w:t>con</w:t>
            </w:r>
            <w:r>
              <w:rPr>
                <w:i/>
                <w:spacing w:val="-5"/>
                <w:sz w:val="23"/>
              </w:rPr>
              <w:t> </w:t>
            </w:r>
            <w:r>
              <w:rPr>
                <w:i/>
                <w:spacing w:val="-4"/>
                <w:sz w:val="23"/>
              </w:rPr>
              <w:t>goce</w:t>
            </w:r>
            <w:r>
              <w:rPr>
                <w:i/>
                <w:spacing w:val="-7"/>
                <w:sz w:val="23"/>
              </w:rPr>
              <w:t> </w:t>
            </w:r>
            <w:r>
              <w:rPr>
                <w:i/>
                <w:spacing w:val="-4"/>
                <w:sz w:val="23"/>
              </w:rPr>
              <w:t>de</w:t>
            </w:r>
            <w:r>
              <w:rPr>
                <w:i/>
                <w:spacing w:val="-6"/>
                <w:sz w:val="23"/>
              </w:rPr>
              <w:t> </w:t>
            </w:r>
            <w:r>
              <w:rPr>
                <w:i/>
                <w:spacing w:val="-4"/>
                <w:sz w:val="23"/>
              </w:rPr>
              <w:t>salarios por</w:t>
            </w:r>
            <w:r>
              <w:rPr>
                <w:i/>
                <w:spacing w:val="-5"/>
                <w:sz w:val="23"/>
              </w:rPr>
              <w:t> </w:t>
            </w:r>
            <w:r>
              <w:rPr>
                <w:i/>
                <w:spacing w:val="-4"/>
                <w:sz w:val="23"/>
              </w:rPr>
              <w:t>concepto</w:t>
            </w:r>
            <w:r>
              <w:rPr>
                <w:i/>
                <w:spacing w:val="-5"/>
                <w:sz w:val="23"/>
              </w:rPr>
              <w:t> </w:t>
            </w:r>
            <w:r>
              <w:rPr>
                <w:i/>
                <w:spacing w:val="-4"/>
                <w:sz w:val="23"/>
              </w:rPr>
              <w:t>de</w:t>
            </w:r>
            <w:r>
              <w:rPr>
                <w:i/>
                <w:spacing w:val="-6"/>
                <w:sz w:val="23"/>
              </w:rPr>
              <w:t> </w:t>
            </w:r>
            <w:r>
              <w:rPr>
                <w:i/>
                <w:spacing w:val="-4"/>
                <w:sz w:val="23"/>
              </w:rPr>
              <w:t>cumpleaños.</w:t>
            </w:r>
          </w:p>
        </w:tc>
      </w:tr>
      <w:tr>
        <w:trPr>
          <w:trHeight w:val="431" w:hRule="atLeast"/>
        </w:trPr>
        <w:tc>
          <w:tcPr>
            <w:tcW w:w="9000" w:type="dxa"/>
          </w:tcPr>
          <w:p>
            <w:pPr>
              <w:pStyle w:val="TableParagraph"/>
              <w:rPr>
                <w:rFonts w:ascii="Times New Roman"/>
                <w:sz w:val="22"/>
              </w:rPr>
            </w:pPr>
          </w:p>
        </w:tc>
      </w:tr>
    </w:tbl>
    <w:p>
      <w:pPr>
        <w:pStyle w:val="TableParagraph"/>
        <w:spacing w:after="0"/>
        <w:rPr>
          <w:rFonts w:ascii="Times New Roman"/>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49152">
                <wp:simplePos x="0" y="0"/>
                <wp:positionH relativeFrom="page">
                  <wp:posOffset>9525</wp:posOffset>
                </wp:positionH>
                <wp:positionV relativeFrom="page">
                  <wp:posOffset>297208</wp:posOffset>
                </wp:positionV>
                <wp:extent cx="7762875" cy="9748520"/>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7762875" cy="9748520"/>
                          <a:chExt cx="7762875" cy="9748520"/>
                        </a:xfrm>
                      </wpg:grpSpPr>
                      <pic:pic>
                        <pic:nvPicPr>
                          <pic:cNvPr id="624" name="Image 624"/>
                          <pic:cNvPicPr/>
                        </pic:nvPicPr>
                        <pic:blipFill>
                          <a:blip r:embed="rId5" cstate="print"/>
                          <a:stretch>
                            <a:fillRect/>
                          </a:stretch>
                        </pic:blipFill>
                        <pic:spPr>
                          <a:xfrm>
                            <a:off x="0" y="0"/>
                            <a:ext cx="7762874" cy="9748489"/>
                          </a:xfrm>
                          <a:prstGeom prst="rect">
                            <a:avLst/>
                          </a:prstGeom>
                        </pic:spPr>
                      </pic:pic>
                      <wps:wsp>
                        <wps:cNvPr id="625" name="Graphic 625"/>
                        <wps:cNvSpPr/>
                        <wps:spPr>
                          <a:xfrm>
                            <a:off x="1053007" y="990837"/>
                            <a:ext cx="5736590" cy="5307330"/>
                          </a:xfrm>
                          <a:custGeom>
                            <a:avLst/>
                            <a:gdLst/>
                            <a:ahLst/>
                            <a:cxnLst/>
                            <a:rect l="l" t="t" r="r" b="b"/>
                            <a:pathLst>
                              <a:path w="5736590" h="5307330">
                                <a:moveTo>
                                  <a:pt x="5649214" y="0"/>
                                </a:moveTo>
                                <a:lnTo>
                                  <a:pt x="0" y="0"/>
                                </a:lnTo>
                                <a:lnTo>
                                  <a:pt x="0" y="9131"/>
                                </a:lnTo>
                                <a:lnTo>
                                  <a:pt x="5649214" y="9131"/>
                                </a:lnTo>
                                <a:lnTo>
                                  <a:pt x="5649214" y="0"/>
                                </a:lnTo>
                                <a:close/>
                              </a:path>
                              <a:path w="5736590" h="5307330">
                                <a:moveTo>
                                  <a:pt x="5736018" y="5301107"/>
                                </a:moveTo>
                                <a:lnTo>
                                  <a:pt x="5729986" y="5301107"/>
                                </a:lnTo>
                                <a:lnTo>
                                  <a:pt x="21336" y="5301107"/>
                                </a:lnTo>
                                <a:lnTo>
                                  <a:pt x="15240" y="5301107"/>
                                </a:lnTo>
                                <a:lnTo>
                                  <a:pt x="15240" y="5307190"/>
                                </a:lnTo>
                                <a:lnTo>
                                  <a:pt x="21336" y="5307190"/>
                                </a:lnTo>
                                <a:lnTo>
                                  <a:pt x="5729935" y="5307190"/>
                                </a:lnTo>
                                <a:lnTo>
                                  <a:pt x="5736018" y="5307190"/>
                                </a:lnTo>
                                <a:lnTo>
                                  <a:pt x="5736018" y="5301107"/>
                                </a:lnTo>
                                <a:close/>
                              </a:path>
                              <a:path w="5736590" h="5307330">
                                <a:moveTo>
                                  <a:pt x="5736018" y="467855"/>
                                </a:moveTo>
                                <a:lnTo>
                                  <a:pt x="5729986" y="467855"/>
                                </a:lnTo>
                                <a:lnTo>
                                  <a:pt x="21336" y="467855"/>
                                </a:lnTo>
                                <a:lnTo>
                                  <a:pt x="15240" y="467855"/>
                                </a:lnTo>
                                <a:lnTo>
                                  <a:pt x="15240" y="473951"/>
                                </a:lnTo>
                                <a:lnTo>
                                  <a:pt x="15240" y="5301094"/>
                                </a:lnTo>
                                <a:lnTo>
                                  <a:pt x="21336" y="5301094"/>
                                </a:lnTo>
                                <a:lnTo>
                                  <a:pt x="21336" y="473951"/>
                                </a:lnTo>
                                <a:lnTo>
                                  <a:pt x="5729935" y="473951"/>
                                </a:lnTo>
                                <a:lnTo>
                                  <a:pt x="5729935" y="5301094"/>
                                </a:lnTo>
                                <a:lnTo>
                                  <a:pt x="5736018" y="5301094"/>
                                </a:lnTo>
                                <a:lnTo>
                                  <a:pt x="5736018" y="473951"/>
                                </a:lnTo>
                                <a:lnTo>
                                  <a:pt x="5736018" y="4678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67328" id="docshapegroup601" coordorigin="15,468" coordsize="12225,15352">
                <v:shape style="position:absolute;left:15;top:468;width:12225;height:15352" type="#_x0000_t75" id="docshape602" stroked="false">
                  <v:imagedata r:id="rId5" o:title=""/>
                </v:shape>
                <v:shape style="position:absolute;left:1673;top:2028;width:9034;height:8358" id="docshape603" coordorigin="1673,2028" coordsize="9034,8358" path="m10570,2028l1673,2028,1673,2043,10570,2043,10570,2028xm10706,10377l10697,10377,10697,10377,1707,10377,1697,10377,1697,10386,1707,10386,10697,10386,10697,10386,10706,10386,10706,10377xm10706,2765l10697,2765,10697,2765,1707,2765,1697,2765,1697,2775,1697,10377,1707,10377,1707,2775,10697,2775,10697,10377,10706,10377,10706,2775,10706,2765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126</w:t>
      </w:r>
    </w:p>
    <w:p>
      <w:pPr>
        <w:pStyle w:val="Heading6"/>
        <w:numPr>
          <w:ilvl w:val="2"/>
          <w:numId w:val="39"/>
        </w:numPr>
        <w:tabs>
          <w:tab w:pos="1339" w:val="left" w:leader="none"/>
        </w:tabs>
        <w:spacing w:line="240" w:lineRule="auto" w:before="218" w:after="0"/>
        <w:ind w:left="1339" w:right="0" w:hanging="358"/>
        <w:jc w:val="left"/>
      </w:pPr>
      <w:r>
        <w:rPr>
          <w:u w:val="single"/>
        </w:rPr>
        <w:t>Beneficio</w:t>
      </w:r>
      <w:r>
        <w:rPr>
          <w:spacing w:val="-4"/>
          <w:u w:val="single"/>
        </w:rPr>
        <w:t> </w:t>
      </w:r>
      <w:r>
        <w:rPr>
          <w:u w:val="single"/>
        </w:rPr>
        <w:t>post-empleo</w:t>
      </w:r>
      <w:r>
        <w:rPr>
          <w:spacing w:val="-4"/>
          <w:u w:val="single"/>
        </w:rPr>
        <w:t> </w:t>
      </w:r>
      <w:r>
        <w:rPr>
          <w:u w:val="single"/>
        </w:rPr>
        <w:t>(párrafo</w:t>
      </w:r>
      <w:r>
        <w:rPr>
          <w:spacing w:val="-3"/>
          <w:u w:val="single"/>
        </w:rPr>
        <w:t> </w:t>
      </w:r>
      <w:r>
        <w:rPr>
          <w:u w:val="single"/>
        </w:rPr>
        <w:t>55,56,</w:t>
      </w:r>
      <w:r>
        <w:rPr>
          <w:spacing w:val="-3"/>
          <w:u w:val="single"/>
        </w:rPr>
        <w:t> </w:t>
      </w:r>
      <w:r>
        <w:rPr>
          <w:u w:val="single"/>
        </w:rPr>
        <w:t>137</w:t>
      </w:r>
      <w:r>
        <w:rPr>
          <w:spacing w:val="-4"/>
          <w:u w:val="single"/>
        </w:rPr>
        <w:t> </w:t>
      </w:r>
      <w:r>
        <w:rPr>
          <w:u w:val="single"/>
        </w:rPr>
        <w:t>al</w:t>
      </w:r>
      <w:r>
        <w:rPr>
          <w:spacing w:val="-3"/>
          <w:u w:val="single"/>
        </w:rPr>
        <w:t> </w:t>
      </w:r>
      <w:r>
        <w:rPr>
          <w:spacing w:val="-4"/>
          <w:u w:val="single"/>
        </w:rPr>
        <w:t>154)</w:t>
      </w:r>
    </w:p>
    <w:p>
      <w:pPr>
        <w:pStyle w:val="BodyText"/>
        <w:spacing w:before="45"/>
        <w:rPr>
          <w:b/>
        </w:rPr>
      </w:pPr>
    </w:p>
    <w:p>
      <w:pPr>
        <w:spacing w:before="0"/>
        <w:ind w:left="730"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730" w:right="924"/>
        <w:jc w:val="both"/>
      </w:pPr>
      <w:r>
        <w:rPr/>
        <w:t>Los beneficios post empleo corresponden a todos aquellos beneficios que obtiene derecho el funcionario</w:t>
      </w:r>
      <w:r>
        <w:rPr>
          <w:spacing w:val="-12"/>
        </w:rPr>
        <w:t> </w:t>
      </w:r>
      <w:r>
        <w:rPr/>
        <w:t>posteriormente</w:t>
      </w:r>
      <w:r>
        <w:rPr>
          <w:spacing w:val="-13"/>
        </w:rPr>
        <w:t> </w:t>
      </w:r>
      <w:r>
        <w:rPr/>
        <w:t>de</w:t>
      </w:r>
      <w:r>
        <w:rPr>
          <w:spacing w:val="-14"/>
        </w:rPr>
        <w:t> </w:t>
      </w:r>
      <w:r>
        <w:rPr/>
        <w:t>haber</w:t>
      </w:r>
      <w:r>
        <w:rPr>
          <w:spacing w:val="-13"/>
        </w:rPr>
        <w:t> </w:t>
      </w:r>
      <w:r>
        <w:rPr/>
        <w:t>dado</w:t>
      </w:r>
      <w:r>
        <w:rPr>
          <w:spacing w:val="-12"/>
        </w:rPr>
        <w:t> </w:t>
      </w:r>
      <w:r>
        <w:rPr/>
        <w:t>por</w:t>
      </w:r>
      <w:r>
        <w:rPr>
          <w:spacing w:val="-12"/>
        </w:rPr>
        <w:t> </w:t>
      </w:r>
      <w:r>
        <w:rPr/>
        <w:t>finalizado</w:t>
      </w:r>
      <w:r>
        <w:rPr>
          <w:spacing w:val="-12"/>
        </w:rPr>
        <w:t> </w:t>
      </w:r>
      <w:r>
        <w:rPr/>
        <w:t>su</w:t>
      </w:r>
      <w:r>
        <w:rPr>
          <w:spacing w:val="-13"/>
        </w:rPr>
        <w:t> </w:t>
      </w:r>
      <w:r>
        <w:rPr/>
        <w:t>contrato</w:t>
      </w:r>
      <w:r>
        <w:rPr>
          <w:spacing w:val="-12"/>
        </w:rPr>
        <w:t> </w:t>
      </w:r>
      <w:r>
        <w:rPr/>
        <w:t>laboral,</w:t>
      </w:r>
      <w:r>
        <w:rPr>
          <w:spacing w:val="-13"/>
        </w:rPr>
        <w:t> </w:t>
      </w:r>
      <w:r>
        <w:rPr/>
        <w:t>estos</w:t>
      </w:r>
      <w:r>
        <w:rPr>
          <w:spacing w:val="-12"/>
        </w:rPr>
        <w:t> </w:t>
      </w:r>
      <w:r>
        <w:rPr/>
        <w:t>incluyen</w:t>
      </w:r>
      <w:r>
        <w:rPr>
          <w:spacing w:val="-13"/>
        </w:rPr>
        <w:t> </w:t>
      </w:r>
      <w:r>
        <w:rPr/>
        <w:t>elementos tales</w:t>
      </w:r>
      <w:r>
        <w:rPr>
          <w:spacing w:val="-3"/>
        </w:rPr>
        <w:t> </w:t>
      </w:r>
      <w:r>
        <w:rPr/>
        <w:t>como</w:t>
      </w:r>
      <w:r>
        <w:rPr>
          <w:spacing w:val="-4"/>
        </w:rPr>
        <w:t> </w:t>
      </w:r>
      <w:r>
        <w:rPr/>
        <w:t>beneficios</w:t>
      </w:r>
      <w:r>
        <w:rPr>
          <w:spacing w:val="-3"/>
        </w:rPr>
        <w:t> </w:t>
      </w:r>
      <w:r>
        <w:rPr/>
        <w:t>por</w:t>
      </w:r>
      <w:r>
        <w:rPr>
          <w:spacing w:val="-4"/>
        </w:rPr>
        <w:t> </w:t>
      </w:r>
      <w:r>
        <w:rPr/>
        <w:t>retiro</w:t>
      </w:r>
      <w:r>
        <w:rPr>
          <w:spacing w:val="-4"/>
        </w:rPr>
        <w:t> </w:t>
      </w:r>
      <w:r>
        <w:rPr/>
        <w:t>establecidos</w:t>
      </w:r>
      <w:r>
        <w:rPr>
          <w:spacing w:val="-3"/>
        </w:rPr>
        <w:t> </w:t>
      </w:r>
      <w:r>
        <w:rPr/>
        <w:t>por</w:t>
      </w:r>
      <w:r>
        <w:rPr>
          <w:spacing w:val="-4"/>
        </w:rPr>
        <w:t> </w:t>
      </w:r>
      <w:r>
        <w:rPr/>
        <w:t>Ley</w:t>
      </w:r>
      <w:r>
        <w:rPr>
          <w:spacing w:val="-5"/>
        </w:rPr>
        <w:t> </w:t>
      </w:r>
      <w:r>
        <w:rPr/>
        <w:t>o</w:t>
      </w:r>
      <w:r>
        <w:rPr>
          <w:spacing w:val="-6"/>
        </w:rPr>
        <w:t> </w:t>
      </w:r>
      <w:r>
        <w:rPr/>
        <w:t>servicios</w:t>
      </w:r>
      <w:r>
        <w:rPr>
          <w:spacing w:val="-3"/>
        </w:rPr>
        <w:t> </w:t>
      </w:r>
      <w:r>
        <w:rPr/>
        <w:t>que</w:t>
      </w:r>
      <w:r>
        <w:rPr>
          <w:spacing w:val="-6"/>
        </w:rPr>
        <w:t> </w:t>
      </w:r>
      <w:r>
        <w:rPr/>
        <w:t>brindan</w:t>
      </w:r>
      <w:r>
        <w:rPr>
          <w:spacing w:val="-4"/>
        </w:rPr>
        <w:t> </w:t>
      </w:r>
      <w:r>
        <w:rPr/>
        <w:t>algunas</w:t>
      </w:r>
      <w:r>
        <w:rPr>
          <w:spacing w:val="-3"/>
        </w:rPr>
        <w:t> </w:t>
      </w:r>
      <w:r>
        <w:rPr/>
        <w:t>entidades</w:t>
      </w:r>
      <w:r>
        <w:rPr>
          <w:spacing w:val="-3"/>
        </w:rPr>
        <w:t> </w:t>
      </w:r>
      <w:r>
        <w:rPr/>
        <w:t>como seguros y atención médica posteriores a la finalización del contrato laboral.</w:t>
      </w:r>
    </w:p>
    <w:p>
      <w:pPr>
        <w:pStyle w:val="BodyText"/>
        <w:spacing w:line="276" w:lineRule="auto" w:before="120"/>
        <w:ind w:left="730" w:right="925"/>
        <w:jc w:val="both"/>
      </w:pPr>
      <w:r>
        <w:rPr/>
        <w:t>Se</w:t>
      </w:r>
      <w:r>
        <w:rPr>
          <w:spacing w:val="-3"/>
        </w:rPr>
        <w:t> </w:t>
      </w:r>
      <w:r>
        <w:rPr/>
        <w:t>considerará</w:t>
      </w:r>
      <w:r>
        <w:rPr>
          <w:spacing w:val="-3"/>
        </w:rPr>
        <w:t> </w:t>
      </w:r>
      <w:r>
        <w:rPr/>
        <w:t>planes</w:t>
      </w:r>
      <w:r>
        <w:rPr>
          <w:spacing w:val="-1"/>
        </w:rPr>
        <w:t> </w:t>
      </w:r>
      <w:r>
        <w:rPr/>
        <w:t>de</w:t>
      </w:r>
      <w:r>
        <w:rPr>
          <w:spacing w:val="-4"/>
        </w:rPr>
        <w:t> </w:t>
      </w:r>
      <w:r>
        <w:rPr/>
        <w:t>beneficios</w:t>
      </w:r>
      <w:r>
        <w:rPr>
          <w:spacing w:val="-1"/>
        </w:rPr>
        <w:t> </w:t>
      </w:r>
      <w:r>
        <w:rPr/>
        <w:t>post</w:t>
      </w:r>
      <w:r>
        <w:rPr>
          <w:spacing w:val="-2"/>
        </w:rPr>
        <w:t> </w:t>
      </w:r>
      <w:r>
        <w:rPr/>
        <w:t>empleo</w:t>
      </w:r>
      <w:r>
        <w:rPr>
          <w:spacing w:val="-2"/>
        </w:rPr>
        <w:t> </w:t>
      </w:r>
      <w:r>
        <w:rPr/>
        <w:t>cuando</w:t>
      </w:r>
      <w:r>
        <w:rPr>
          <w:spacing w:val="-2"/>
        </w:rPr>
        <w:t> </w:t>
      </w:r>
      <w:r>
        <w:rPr/>
        <w:t>la</w:t>
      </w:r>
      <w:r>
        <w:rPr>
          <w:spacing w:val="-4"/>
        </w:rPr>
        <w:t> </w:t>
      </w:r>
      <w:r>
        <w:rPr/>
        <w:t>entidad</w:t>
      </w:r>
      <w:r>
        <w:rPr>
          <w:spacing w:val="-2"/>
        </w:rPr>
        <w:t> </w:t>
      </w:r>
      <w:r>
        <w:rPr/>
        <w:t>realiza contribuciones</w:t>
      </w:r>
      <w:r>
        <w:rPr>
          <w:spacing w:val="-1"/>
        </w:rPr>
        <w:t> </w:t>
      </w:r>
      <w:r>
        <w:rPr/>
        <w:t>de</w:t>
      </w:r>
      <w:r>
        <w:rPr>
          <w:spacing w:val="-4"/>
        </w:rPr>
        <w:t> </w:t>
      </w:r>
      <w:r>
        <w:rPr/>
        <w:t>carácter predeterminado a una entidad separada (un fondo) y no tiene</w:t>
      </w:r>
      <w:r>
        <w:rPr>
          <w:spacing w:val="-1"/>
        </w:rPr>
        <w:t> </w:t>
      </w:r>
      <w:r>
        <w:rPr/>
        <w:t>obligación legal ni</w:t>
      </w:r>
      <w:r>
        <w:rPr>
          <w:spacing w:val="-1"/>
        </w:rPr>
        <w:t> </w:t>
      </w:r>
      <w:r>
        <w:rPr/>
        <w:t>implícita de realizar contribuciones adicionales en el caso de que el fondo no tenga activos suficientes para atender todos los beneficios a los empleados, tales como las contribuciones al régimen de pensiones o cesantías.</w:t>
      </w:r>
    </w:p>
    <w:p>
      <w:pPr>
        <w:pStyle w:val="BodyText"/>
        <w:spacing w:line="276" w:lineRule="auto" w:before="120"/>
        <w:ind w:left="730" w:right="921"/>
        <w:jc w:val="both"/>
      </w:pPr>
      <w:r>
        <w:rPr/>
        <w:t>La</w:t>
      </w:r>
      <w:r>
        <w:rPr>
          <w:spacing w:val="-3"/>
        </w:rPr>
        <w:t> </w:t>
      </w:r>
      <w:r>
        <w:rPr/>
        <w:t>entidad</w:t>
      </w:r>
      <w:r>
        <w:rPr>
          <w:spacing w:val="-2"/>
        </w:rPr>
        <w:t> </w:t>
      </w:r>
      <w:r>
        <w:rPr/>
        <w:t>reconocerá</w:t>
      </w:r>
      <w:r>
        <w:rPr>
          <w:spacing w:val="-3"/>
        </w:rPr>
        <w:t> </w:t>
      </w:r>
      <w:r>
        <w:rPr/>
        <w:t>la</w:t>
      </w:r>
      <w:r>
        <w:rPr>
          <w:spacing w:val="-4"/>
        </w:rPr>
        <w:t> </w:t>
      </w:r>
      <w:r>
        <w:rPr/>
        <w:t>cesantía</w:t>
      </w:r>
      <w:r>
        <w:rPr>
          <w:spacing w:val="-3"/>
        </w:rPr>
        <w:t> </w:t>
      </w:r>
      <w:r>
        <w:rPr/>
        <w:t>como</w:t>
      </w:r>
      <w:r>
        <w:rPr>
          <w:spacing w:val="-2"/>
        </w:rPr>
        <w:t> </w:t>
      </w:r>
      <w:r>
        <w:rPr/>
        <w:t>beneficio</w:t>
      </w:r>
      <w:r>
        <w:rPr>
          <w:spacing w:val="-4"/>
        </w:rPr>
        <w:t> </w:t>
      </w:r>
      <w:r>
        <w:rPr/>
        <w:t>post</w:t>
      </w:r>
      <w:r>
        <w:rPr>
          <w:spacing w:val="-7"/>
        </w:rPr>
        <w:t> </w:t>
      </w:r>
      <w:r>
        <w:rPr/>
        <w:t>empleo,</w:t>
      </w:r>
      <w:r>
        <w:rPr>
          <w:spacing w:val="-5"/>
        </w:rPr>
        <w:t> </w:t>
      </w:r>
      <w:r>
        <w:rPr/>
        <w:t>siendo</w:t>
      </w:r>
      <w:r>
        <w:rPr>
          <w:spacing w:val="-2"/>
        </w:rPr>
        <w:t> </w:t>
      </w:r>
      <w:r>
        <w:rPr/>
        <w:t>este</w:t>
      </w:r>
      <w:r>
        <w:rPr>
          <w:spacing w:val="-3"/>
        </w:rPr>
        <w:t> </w:t>
      </w:r>
      <w:r>
        <w:rPr/>
        <w:t>un</w:t>
      </w:r>
      <w:r>
        <w:rPr>
          <w:spacing w:val="-2"/>
        </w:rPr>
        <w:t> </w:t>
      </w:r>
      <w:r>
        <w:rPr/>
        <w:t>derecho</w:t>
      </w:r>
      <w:r>
        <w:rPr>
          <w:spacing w:val="-4"/>
        </w:rPr>
        <w:t> </w:t>
      </w:r>
      <w:r>
        <w:rPr/>
        <w:t>que</w:t>
      </w:r>
      <w:r>
        <w:rPr>
          <w:spacing w:val="-4"/>
        </w:rPr>
        <w:t> </w:t>
      </w:r>
      <w:r>
        <w:rPr/>
        <w:t>tienen</w:t>
      </w:r>
      <w:r>
        <w:rPr>
          <w:spacing w:val="-2"/>
        </w:rPr>
        <w:t> </w:t>
      </w:r>
      <w:r>
        <w:rPr/>
        <w:t>las personas trabajadoras a ser indemnizados en caso de terminación de la relación laboral únicamente en</w:t>
      </w:r>
      <w:r>
        <w:rPr>
          <w:spacing w:val="-2"/>
        </w:rPr>
        <w:t> </w:t>
      </w:r>
      <w:r>
        <w:rPr/>
        <w:t>el</w:t>
      </w:r>
      <w:r>
        <w:rPr>
          <w:spacing w:val="-2"/>
        </w:rPr>
        <w:t> </w:t>
      </w:r>
      <w:r>
        <w:rPr/>
        <w:t>caso</w:t>
      </w:r>
      <w:r>
        <w:rPr>
          <w:spacing w:val="-2"/>
        </w:rPr>
        <w:t> </w:t>
      </w:r>
      <w:r>
        <w:rPr/>
        <w:t>de</w:t>
      </w:r>
      <w:r>
        <w:rPr>
          <w:spacing w:val="-4"/>
        </w:rPr>
        <w:t> </w:t>
      </w:r>
      <w:r>
        <w:rPr/>
        <w:t>que</w:t>
      </w:r>
      <w:r>
        <w:rPr>
          <w:spacing w:val="-4"/>
        </w:rPr>
        <w:t> </w:t>
      </w:r>
      <w:r>
        <w:rPr/>
        <w:t>exista</w:t>
      </w:r>
      <w:r>
        <w:rPr>
          <w:spacing w:val="-2"/>
        </w:rPr>
        <w:t> </w:t>
      </w:r>
      <w:r>
        <w:rPr/>
        <w:t>responsabilidad</w:t>
      </w:r>
      <w:r>
        <w:rPr>
          <w:spacing w:val="-2"/>
        </w:rPr>
        <w:t> </w:t>
      </w:r>
      <w:r>
        <w:rPr/>
        <w:t>patronal,</w:t>
      </w:r>
      <w:r>
        <w:rPr>
          <w:spacing w:val="-2"/>
        </w:rPr>
        <w:t> </w:t>
      </w:r>
      <w:r>
        <w:rPr/>
        <w:t>su</w:t>
      </w:r>
      <w:r>
        <w:rPr>
          <w:spacing w:val="-5"/>
        </w:rPr>
        <w:t> </w:t>
      </w:r>
      <w:r>
        <w:rPr/>
        <w:t>objetivo</w:t>
      </w:r>
      <w:r>
        <w:rPr>
          <w:spacing w:val="-2"/>
        </w:rPr>
        <w:t> </w:t>
      </w:r>
      <w:r>
        <w:rPr/>
        <w:t>es</w:t>
      </w:r>
      <w:r>
        <w:rPr>
          <w:spacing w:val="-1"/>
        </w:rPr>
        <w:t> </w:t>
      </w:r>
      <w:r>
        <w:rPr/>
        <w:t>asegurar</w:t>
      </w:r>
      <w:r>
        <w:rPr>
          <w:spacing w:val="-2"/>
        </w:rPr>
        <w:t> </w:t>
      </w:r>
      <w:r>
        <w:rPr/>
        <w:t>a</w:t>
      </w:r>
      <w:r>
        <w:rPr>
          <w:spacing w:val="-3"/>
        </w:rPr>
        <w:t> </w:t>
      </w:r>
      <w:r>
        <w:rPr/>
        <w:t>la</w:t>
      </w:r>
      <w:r>
        <w:rPr>
          <w:spacing w:val="-4"/>
        </w:rPr>
        <w:t> </w:t>
      </w:r>
      <w:r>
        <w:rPr/>
        <w:t>persona</w:t>
      </w:r>
      <w:r>
        <w:rPr>
          <w:spacing w:val="-2"/>
        </w:rPr>
        <w:t> </w:t>
      </w:r>
      <w:r>
        <w:rPr/>
        <w:t>trabajadora</w:t>
      </w:r>
      <w:r>
        <w:rPr>
          <w:spacing w:val="-5"/>
        </w:rPr>
        <w:t> </w:t>
      </w:r>
      <w:r>
        <w:rPr/>
        <w:t>que es despedida con una cantidad mínima para mantenerse mientras encuentra otro trabajo</w:t>
      </w:r>
    </w:p>
    <w:p>
      <w:pPr>
        <w:pStyle w:val="BodyText"/>
        <w:spacing w:line="276" w:lineRule="auto" w:before="121"/>
        <w:ind w:left="730" w:right="925"/>
        <w:jc w:val="both"/>
      </w:pPr>
      <w:r>
        <w:rPr/>
        <w:t>En</w:t>
      </w:r>
      <w:r>
        <w:rPr>
          <w:spacing w:val="-10"/>
        </w:rPr>
        <w:t> </w:t>
      </w:r>
      <w:r>
        <w:rPr/>
        <w:t>otros</w:t>
      </w:r>
      <w:r>
        <w:rPr>
          <w:spacing w:val="-10"/>
        </w:rPr>
        <w:t> </w:t>
      </w:r>
      <w:r>
        <w:rPr/>
        <w:t>planes</w:t>
      </w:r>
      <w:r>
        <w:rPr>
          <w:spacing w:val="-12"/>
        </w:rPr>
        <w:t> </w:t>
      </w:r>
      <w:r>
        <w:rPr/>
        <w:t>de</w:t>
      </w:r>
      <w:r>
        <w:rPr>
          <w:spacing w:val="-12"/>
        </w:rPr>
        <w:t> </w:t>
      </w:r>
      <w:r>
        <w:rPr/>
        <w:t>contribuciones</w:t>
      </w:r>
      <w:r>
        <w:rPr>
          <w:spacing w:val="-10"/>
        </w:rPr>
        <w:t> </w:t>
      </w:r>
      <w:r>
        <w:rPr/>
        <w:t>definidas</w:t>
      </w:r>
      <w:r>
        <w:rPr>
          <w:spacing w:val="-12"/>
        </w:rPr>
        <w:t> </w:t>
      </w:r>
      <w:r>
        <w:rPr/>
        <w:t>se</w:t>
      </w:r>
      <w:r>
        <w:rPr>
          <w:spacing w:val="-14"/>
        </w:rPr>
        <w:t> </w:t>
      </w:r>
      <w:r>
        <w:rPr/>
        <w:t>encuentran</w:t>
      </w:r>
      <w:r>
        <w:rPr>
          <w:spacing w:val="-10"/>
        </w:rPr>
        <w:t> </w:t>
      </w:r>
      <w:r>
        <w:rPr/>
        <w:t>las</w:t>
      </w:r>
      <w:r>
        <w:rPr>
          <w:spacing w:val="-10"/>
        </w:rPr>
        <w:t> </w:t>
      </w:r>
      <w:r>
        <w:rPr/>
        <w:t>contribuciones</w:t>
      </w:r>
      <w:r>
        <w:rPr>
          <w:spacing w:val="-10"/>
        </w:rPr>
        <w:t> </w:t>
      </w:r>
      <w:r>
        <w:rPr/>
        <w:t>al</w:t>
      </w:r>
      <w:r>
        <w:rPr>
          <w:spacing w:val="-13"/>
        </w:rPr>
        <w:t> </w:t>
      </w:r>
      <w:r>
        <w:rPr/>
        <w:t>régimen</w:t>
      </w:r>
      <w:r>
        <w:rPr>
          <w:spacing w:val="-11"/>
        </w:rPr>
        <w:t> </w:t>
      </w:r>
      <w:r>
        <w:rPr/>
        <w:t>de</w:t>
      </w:r>
      <w:r>
        <w:rPr>
          <w:spacing w:val="-12"/>
        </w:rPr>
        <w:t> </w:t>
      </w:r>
      <w:r>
        <w:rPr/>
        <w:t>pensiones, estos corresponden a una obligación para la entidad determinada por los porcentajes de aportación establecidos</w:t>
      </w:r>
      <w:r>
        <w:rPr>
          <w:spacing w:val="-8"/>
        </w:rPr>
        <w:t> </w:t>
      </w:r>
      <w:r>
        <w:rPr/>
        <w:t>por</w:t>
      </w:r>
      <w:r>
        <w:rPr>
          <w:spacing w:val="-10"/>
        </w:rPr>
        <w:t> </w:t>
      </w:r>
      <w:r>
        <w:rPr/>
        <w:t>Ley,</w:t>
      </w:r>
      <w:r>
        <w:rPr>
          <w:spacing w:val="-9"/>
        </w:rPr>
        <w:t> </w:t>
      </w:r>
      <w:r>
        <w:rPr/>
        <w:t>los</w:t>
      </w:r>
      <w:r>
        <w:rPr>
          <w:spacing w:val="-11"/>
        </w:rPr>
        <w:t> </w:t>
      </w:r>
      <w:r>
        <w:rPr/>
        <w:t>cuales</w:t>
      </w:r>
      <w:r>
        <w:rPr>
          <w:spacing w:val="-9"/>
        </w:rPr>
        <w:t> </w:t>
      </w:r>
      <w:r>
        <w:rPr/>
        <w:t>suele</w:t>
      </w:r>
      <w:r>
        <w:rPr>
          <w:spacing w:val="-11"/>
        </w:rPr>
        <w:t> </w:t>
      </w:r>
      <w:r>
        <w:rPr/>
        <w:t>calcularse</w:t>
      </w:r>
      <w:r>
        <w:rPr>
          <w:spacing w:val="-11"/>
        </w:rPr>
        <w:t> </w:t>
      </w:r>
      <w:r>
        <w:rPr/>
        <w:t>sobre</w:t>
      </w:r>
      <w:r>
        <w:rPr>
          <w:spacing w:val="-10"/>
        </w:rPr>
        <w:t> </w:t>
      </w:r>
      <w:r>
        <w:rPr/>
        <w:t>la</w:t>
      </w:r>
      <w:r>
        <w:rPr>
          <w:spacing w:val="-13"/>
        </w:rPr>
        <w:t> </w:t>
      </w:r>
      <w:r>
        <w:rPr/>
        <w:t>base</w:t>
      </w:r>
      <w:r>
        <w:rPr>
          <w:spacing w:val="-11"/>
        </w:rPr>
        <w:t> </w:t>
      </w:r>
      <w:r>
        <w:rPr/>
        <w:t>de</w:t>
      </w:r>
      <w:r>
        <w:rPr>
          <w:spacing w:val="-11"/>
        </w:rPr>
        <w:t> </w:t>
      </w:r>
      <w:r>
        <w:rPr/>
        <w:t>las</w:t>
      </w:r>
      <w:r>
        <w:rPr>
          <w:spacing w:val="-9"/>
        </w:rPr>
        <w:t> </w:t>
      </w:r>
      <w:r>
        <w:rPr/>
        <w:t>remuneraciones,</w:t>
      </w:r>
      <w:r>
        <w:rPr>
          <w:spacing w:val="-9"/>
        </w:rPr>
        <w:t> </w:t>
      </w:r>
      <w:r>
        <w:rPr/>
        <w:t>sueldos</w:t>
      </w:r>
      <w:r>
        <w:rPr>
          <w:spacing w:val="-9"/>
        </w:rPr>
        <w:t> </w:t>
      </w:r>
      <w:r>
        <w:rPr/>
        <w:t>y</w:t>
      </w:r>
      <w:r>
        <w:rPr>
          <w:spacing w:val="-11"/>
        </w:rPr>
        <w:t> </w:t>
      </w:r>
      <w:r>
        <w:rPr/>
        <w:t>salarios devengados. En tal sentido, no se requieren presunciones actuariales para medir la obligación o el gasto y no existe posibilidad de ninguna pérdida o ganancia actuarial.</w:t>
      </w:r>
    </w:p>
    <w:p>
      <w:pPr>
        <w:pStyle w:val="BodyText"/>
        <w:spacing w:line="259" w:lineRule="auto" w:before="122"/>
        <w:ind w:left="730" w:right="922"/>
        <w:jc w:val="both"/>
      </w:pPr>
      <w:r>
        <w:rPr/>
        <w:t>Las</w:t>
      </w:r>
      <w:r>
        <w:rPr>
          <w:spacing w:val="-2"/>
        </w:rPr>
        <w:t> </w:t>
      </w:r>
      <w:r>
        <w:rPr/>
        <w:t>contribuciones</w:t>
      </w:r>
      <w:r>
        <w:rPr>
          <w:spacing w:val="-2"/>
        </w:rPr>
        <w:t> </w:t>
      </w:r>
      <w:r>
        <w:rPr/>
        <w:t>por</w:t>
      </w:r>
      <w:r>
        <w:rPr>
          <w:spacing w:val="-3"/>
        </w:rPr>
        <w:t> </w:t>
      </w:r>
      <w:r>
        <w:rPr/>
        <w:t>realizar</w:t>
      </w:r>
      <w:r>
        <w:rPr>
          <w:spacing w:val="-3"/>
        </w:rPr>
        <w:t> </w:t>
      </w:r>
      <w:r>
        <w:rPr/>
        <w:t>a</w:t>
      </w:r>
      <w:r>
        <w:rPr>
          <w:spacing w:val="-4"/>
        </w:rPr>
        <w:t> </w:t>
      </w:r>
      <w:r>
        <w:rPr/>
        <w:t>cambio</w:t>
      </w:r>
      <w:r>
        <w:rPr>
          <w:spacing w:val="-3"/>
        </w:rPr>
        <w:t> </w:t>
      </w:r>
      <w:r>
        <w:rPr/>
        <w:t>de</w:t>
      </w:r>
      <w:r>
        <w:rPr>
          <w:spacing w:val="-5"/>
        </w:rPr>
        <w:t> </w:t>
      </w:r>
      <w:r>
        <w:rPr/>
        <w:t>los</w:t>
      </w:r>
      <w:r>
        <w:rPr>
          <w:spacing w:val="-5"/>
        </w:rPr>
        <w:t> </w:t>
      </w:r>
      <w:r>
        <w:rPr/>
        <w:t>servicios</w:t>
      </w:r>
      <w:r>
        <w:rPr>
          <w:spacing w:val="-2"/>
        </w:rPr>
        <w:t> </w:t>
      </w:r>
      <w:r>
        <w:rPr/>
        <w:t>prestados</w:t>
      </w:r>
      <w:r>
        <w:rPr>
          <w:spacing w:val="-2"/>
        </w:rPr>
        <w:t> </w:t>
      </w:r>
      <w:r>
        <w:rPr/>
        <w:t>por</w:t>
      </w:r>
      <w:r>
        <w:rPr>
          <w:spacing w:val="-3"/>
        </w:rPr>
        <w:t> </w:t>
      </w:r>
      <w:r>
        <w:rPr/>
        <w:t>los</w:t>
      </w:r>
      <w:r>
        <w:rPr>
          <w:spacing w:val="-2"/>
        </w:rPr>
        <w:t> </w:t>
      </w:r>
      <w:r>
        <w:rPr/>
        <w:t>empleados</w:t>
      </w:r>
      <w:r>
        <w:rPr>
          <w:spacing w:val="-4"/>
        </w:rPr>
        <w:t> </w:t>
      </w:r>
      <w:r>
        <w:rPr/>
        <w:t>y</w:t>
      </w:r>
      <w:r>
        <w:rPr>
          <w:spacing w:val="-4"/>
        </w:rPr>
        <w:t> </w:t>
      </w:r>
      <w:r>
        <w:rPr/>
        <w:t>con</w:t>
      </w:r>
      <w:r>
        <w:rPr>
          <w:spacing w:val="-5"/>
        </w:rPr>
        <w:t> </w:t>
      </w:r>
      <w:r>
        <w:rPr/>
        <w:t>destino</w:t>
      </w:r>
      <w:r>
        <w:rPr>
          <w:spacing w:val="-5"/>
        </w:rPr>
        <w:t> </w:t>
      </w:r>
      <w:r>
        <w:rPr/>
        <w:t>a un plan de contribuciones definidas, se reconocerán como un pasivo (gastos acumulados o devengados),</w:t>
      </w:r>
      <w:r>
        <w:rPr>
          <w:spacing w:val="-7"/>
        </w:rPr>
        <w:t> </w:t>
      </w:r>
      <w:r>
        <w:rPr/>
        <w:t>después</w:t>
      </w:r>
      <w:r>
        <w:rPr>
          <w:spacing w:val="-6"/>
        </w:rPr>
        <w:t> </w:t>
      </w:r>
      <w:r>
        <w:rPr/>
        <w:t>de</w:t>
      </w:r>
      <w:r>
        <w:rPr>
          <w:spacing w:val="-6"/>
        </w:rPr>
        <w:t> </w:t>
      </w:r>
      <w:r>
        <w:rPr/>
        <w:t>deducir</w:t>
      </w:r>
      <w:r>
        <w:rPr>
          <w:spacing w:val="-5"/>
        </w:rPr>
        <w:t> </w:t>
      </w:r>
      <w:r>
        <w:rPr/>
        <w:t>cualquier</w:t>
      </w:r>
      <w:r>
        <w:rPr>
          <w:spacing w:val="-5"/>
        </w:rPr>
        <w:t> </w:t>
      </w:r>
      <w:r>
        <w:rPr/>
        <w:t>importe</w:t>
      </w:r>
      <w:r>
        <w:rPr>
          <w:spacing w:val="-6"/>
        </w:rPr>
        <w:t> </w:t>
      </w:r>
      <w:r>
        <w:rPr/>
        <w:t>ya</w:t>
      </w:r>
      <w:r>
        <w:rPr>
          <w:spacing w:val="-8"/>
        </w:rPr>
        <w:t> </w:t>
      </w:r>
      <w:r>
        <w:rPr/>
        <w:t>satisfecho,</w:t>
      </w:r>
      <w:r>
        <w:rPr>
          <w:spacing w:val="-4"/>
        </w:rPr>
        <w:t> </w:t>
      </w:r>
      <w:r>
        <w:rPr/>
        <w:t>y</w:t>
      </w:r>
      <w:r>
        <w:rPr>
          <w:spacing w:val="-7"/>
        </w:rPr>
        <w:t> </w:t>
      </w:r>
      <w:r>
        <w:rPr/>
        <w:t>como</w:t>
      </w:r>
      <w:r>
        <w:rPr>
          <w:spacing w:val="-6"/>
        </w:rPr>
        <w:t> </w:t>
      </w:r>
      <w:r>
        <w:rPr/>
        <w:t>un</w:t>
      </w:r>
      <w:r>
        <w:rPr>
          <w:spacing w:val="-7"/>
        </w:rPr>
        <w:t> </w:t>
      </w:r>
      <w:r>
        <w:rPr/>
        <w:t>gasto,</w:t>
      </w:r>
      <w:r>
        <w:rPr>
          <w:spacing w:val="-7"/>
        </w:rPr>
        <w:t> </w:t>
      </w:r>
      <w:r>
        <w:rPr/>
        <w:t>en</w:t>
      </w:r>
      <w:r>
        <w:rPr>
          <w:spacing w:val="-4"/>
        </w:rPr>
        <w:t> </w:t>
      </w:r>
      <w:r>
        <w:rPr/>
        <w:t>la</w:t>
      </w:r>
      <w:r>
        <w:rPr>
          <w:spacing w:val="-6"/>
        </w:rPr>
        <w:t> </w:t>
      </w:r>
      <w:r>
        <w:rPr/>
        <w:t>medida</w:t>
      </w:r>
      <w:r>
        <w:rPr>
          <w:spacing w:val="-6"/>
        </w:rPr>
        <w:t> </w:t>
      </w:r>
      <w:r>
        <w:rPr/>
        <w:t>de</w:t>
      </w:r>
      <w:r>
        <w:rPr>
          <w:spacing w:val="-6"/>
        </w:rPr>
        <w:t> </w:t>
      </w:r>
      <w:r>
        <w:rPr/>
        <w:t>la contribución</w:t>
      </w:r>
      <w:r>
        <w:rPr>
          <w:spacing w:val="-1"/>
        </w:rPr>
        <w:t> </w:t>
      </w:r>
      <w:r>
        <w:rPr/>
        <w:t>determinada</w:t>
      </w:r>
      <w:r>
        <w:rPr>
          <w:spacing w:val="-2"/>
        </w:rPr>
        <w:t> </w:t>
      </w:r>
      <w:r>
        <w:rPr/>
        <w:t>para</w:t>
      </w:r>
      <w:r>
        <w:rPr>
          <w:spacing w:val="-2"/>
        </w:rPr>
        <w:t> </w:t>
      </w:r>
      <w:r>
        <w:rPr/>
        <w:t>el</w:t>
      </w:r>
      <w:r>
        <w:rPr>
          <w:spacing w:val="-1"/>
        </w:rPr>
        <w:t> </w:t>
      </w:r>
      <w:r>
        <w:rPr/>
        <w:t>período</w:t>
      </w:r>
      <w:r>
        <w:rPr>
          <w:spacing w:val="-1"/>
        </w:rPr>
        <w:t> </w:t>
      </w:r>
      <w:r>
        <w:rPr/>
        <w:t>en</w:t>
      </w:r>
      <w:r>
        <w:rPr>
          <w:spacing w:val="-1"/>
        </w:rPr>
        <w:t> </w:t>
      </w:r>
      <w:r>
        <w:rPr/>
        <w:t>el</w:t>
      </w:r>
      <w:r>
        <w:rPr>
          <w:spacing w:val="-1"/>
        </w:rPr>
        <w:t> </w:t>
      </w:r>
      <w:r>
        <w:rPr/>
        <w:t>que</w:t>
      </w:r>
      <w:r>
        <w:rPr>
          <w:spacing w:val="-2"/>
        </w:rPr>
        <w:t> </w:t>
      </w:r>
      <w:r>
        <w:rPr/>
        <w:t>ocurran,</w:t>
      </w:r>
      <w:r>
        <w:rPr>
          <w:spacing w:val="40"/>
        </w:rPr>
        <w:t> </w:t>
      </w:r>
      <w:r>
        <w:rPr/>
        <w:t>al</w:t>
      </w:r>
      <w:r>
        <w:rPr>
          <w:spacing w:val="-2"/>
        </w:rPr>
        <w:t> </w:t>
      </w:r>
      <w:r>
        <w:rPr/>
        <w:t>31</w:t>
      </w:r>
      <w:r>
        <w:rPr>
          <w:spacing w:val="-2"/>
        </w:rPr>
        <w:t> </w:t>
      </w:r>
      <w:r>
        <w:rPr/>
        <w:t>de julio</w:t>
      </w:r>
      <w:r>
        <w:rPr>
          <w:spacing w:val="-1"/>
        </w:rPr>
        <w:t> </w:t>
      </w:r>
      <w:r>
        <w:rPr/>
        <w:t>2026-2025</w:t>
      </w:r>
      <w:r>
        <w:rPr>
          <w:spacing w:val="-3"/>
        </w:rPr>
        <w:t> </w:t>
      </w:r>
      <w:r>
        <w:rPr/>
        <w:t>el importe</w:t>
      </w:r>
      <w:r>
        <w:rPr>
          <w:spacing w:val="-2"/>
        </w:rPr>
        <w:t> </w:t>
      </w:r>
      <w:r>
        <w:rPr/>
        <w:t>del gasto</w:t>
      </w:r>
      <w:r>
        <w:rPr>
          <w:spacing w:val="-4"/>
        </w:rPr>
        <w:t> </w:t>
      </w:r>
      <w:r>
        <w:rPr/>
        <w:t>reconocido</w:t>
      </w:r>
      <w:r>
        <w:rPr>
          <w:spacing w:val="-4"/>
        </w:rPr>
        <w:t> </w:t>
      </w:r>
      <w:r>
        <w:rPr/>
        <w:t>en</w:t>
      </w:r>
      <w:r>
        <w:rPr>
          <w:spacing w:val="-4"/>
        </w:rPr>
        <w:t> </w:t>
      </w:r>
      <w:r>
        <w:rPr/>
        <w:t>las</w:t>
      </w:r>
      <w:r>
        <w:rPr>
          <w:spacing w:val="-4"/>
        </w:rPr>
        <w:t> </w:t>
      </w:r>
      <w:r>
        <w:rPr/>
        <w:t>Contribuciones</w:t>
      </w:r>
      <w:r>
        <w:rPr>
          <w:spacing w:val="-4"/>
        </w:rPr>
        <w:t> </w:t>
      </w:r>
      <w:r>
        <w:rPr/>
        <w:t>patronales</w:t>
      </w:r>
      <w:r>
        <w:rPr>
          <w:spacing w:val="-4"/>
        </w:rPr>
        <w:t> </w:t>
      </w:r>
      <w:r>
        <w:rPr/>
        <w:t>a</w:t>
      </w:r>
      <w:r>
        <w:rPr>
          <w:spacing w:val="-5"/>
        </w:rPr>
        <w:t> </w:t>
      </w:r>
      <w:r>
        <w:rPr/>
        <w:t>fondos</w:t>
      </w:r>
      <w:r>
        <w:rPr>
          <w:spacing w:val="-4"/>
        </w:rPr>
        <w:t> </w:t>
      </w:r>
      <w:r>
        <w:rPr/>
        <w:t>de</w:t>
      </w:r>
      <w:r>
        <w:rPr>
          <w:spacing w:val="-6"/>
        </w:rPr>
        <w:t> </w:t>
      </w:r>
      <w:r>
        <w:rPr/>
        <w:t>pensiones</w:t>
      </w:r>
      <w:r>
        <w:rPr>
          <w:spacing w:val="-4"/>
        </w:rPr>
        <w:t> </w:t>
      </w:r>
      <w:r>
        <w:rPr/>
        <w:t>asciende</w:t>
      </w:r>
      <w:r>
        <w:rPr>
          <w:spacing w:val="-6"/>
        </w:rPr>
        <w:t> </w:t>
      </w:r>
      <w:r>
        <w:rPr/>
        <w:t>a</w:t>
      </w:r>
      <w:r>
        <w:rPr>
          <w:spacing w:val="-3"/>
        </w:rPr>
        <w:t> </w:t>
      </w:r>
      <w:r>
        <w:rPr/>
        <w:t>¢</w:t>
      </w:r>
      <w:r>
        <w:rPr>
          <w:spacing w:val="-1"/>
        </w:rPr>
        <w:t> </w:t>
      </w:r>
      <w:r>
        <w:rPr/>
        <w:t>1.443.319,98</w:t>
      </w:r>
      <w:r>
        <w:rPr>
          <w:spacing w:val="-2"/>
        </w:rPr>
        <w:t> </w:t>
      </w:r>
      <w:r>
        <w:rPr/>
        <w:t>y</w:t>
      </w:r>
    </w:p>
    <w:p>
      <w:pPr>
        <w:pStyle w:val="BodyText"/>
        <w:spacing w:line="249" w:lineRule="exact"/>
        <w:ind w:left="730"/>
        <w:jc w:val="both"/>
      </w:pPr>
      <w:r>
        <w:rPr/>
        <w:t>¢</w:t>
      </w:r>
      <w:r>
        <w:rPr>
          <w:spacing w:val="-7"/>
        </w:rPr>
        <w:t> </w:t>
      </w:r>
      <w:r>
        <w:rPr/>
        <w:t>1.380.777,04</w:t>
      </w:r>
      <w:r>
        <w:rPr>
          <w:spacing w:val="-7"/>
        </w:rPr>
        <w:t> </w:t>
      </w:r>
      <w:r>
        <w:rPr>
          <w:spacing w:val="-2"/>
        </w:rPr>
        <w:t>respectivamente.</w:t>
      </w:r>
    </w:p>
    <w:p>
      <w:pPr>
        <w:pStyle w:val="BodyText"/>
      </w:pPr>
    </w:p>
    <w:p>
      <w:pPr>
        <w:pStyle w:val="BodyText"/>
      </w:pPr>
    </w:p>
    <w:p>
      <w:pPr>
        <w:pStyle w:val="BodyText"/>
      </w:pPr>
    </w:p>
    <w:p>
      <w:pPr>
        <w:pStyle w:val="BodyText"/>
      </w:pPr>
    </w:p>
    <w:p>
      <w:pPr>
        <w:pStyle w:val="BodyText"/>
        <w:spacing w:before="227"/>
      </w:pPr>
    </w:p>
    <w:p>
      <w:pPr>
        <w:pStyle w:val="Heading6"/>
        <w:numPr>
          <w:ilvl w:val="2"/>
          <w:numId w:val="39"/>
        </w:numPr>
        <w:tabs>
          <w:tab w:pos="1341" w:val="left" w:leader="none"/>
        </w:tabs>
        <w:spacing w:line="240" w:lineRule="auto" w:before="1" w:after="0"/>
        <w:ind w:left="1341" w:right="0" w:hanging="360"/>
        <w:jc w:val="left"/>
      </w:pPr>
      <w:r>
        <w:rPr>
          <w:u w:val="single"/>
        </w:rPr>
        <w:t>Otros</w:t>
      </w:r>
      <w:r>
        <w:rPr>
          <w:spacing w:val="-3"/>
          <w:u w:val="single"/>
        </w:rPr>
        <w:t> </w:t>
      </w:r>
      <w:r>
        <w:rPr>
          <w:u w:val="single"/>
        </w:rPr>
        <w:t>Beneficios</w:t>
      </w:r>
      <w:r>
        <w:rPr>
          <w:spacing w:val="-2"/>
          <w:u w:val="single"/>
        </w:rPr>
        <w:t> </w:t>
      </w:r>
      <w:r>
        <w:rPr>
          <w:u w:val="single"/>
        </w:rPr>
        <w:t>al</w:t>
      </w:r>
      <w:r>
        <w:rPr>
          <w:spacing w:val="-3"/>
          <w:u w:val="single"/>
        </w:rPr>
        <w:t> </w:t>
      </w:r>
      <w:r>
        <w:rPr>
          <w:u w:val="single"/>
        </w:rPr>
        <w:t>largo</w:t>
      </w:r>
      <w:r>
        <w:rPr>
          <w:spacing w:val="-4"/>
          <w:u w:val="single"/>
        </w:rPr>
        <w:t> </w:t>
      </w:r>
      <w:r>
        <w:rPr>
          <w:u w:val="single"/>
        </w:rPr>
        <w:t>plazo</w:t>
      </w:r>
      <w:r>
        <w:rPr>
          <w:spacing w:val="-2"/>
          <w:u w:val="single"/>
        </w:rPr>
        <w:t> </w:t>
      </w:r>
      <w:r>
        <w:rPr>
          <w:u w:val="single"/>
        </w:rPr>
        <w:t>(párrafo</w:t>
      </w:r>
      <w:r>
        <w:rPr>
          <w:spacing w:val="-2"/>
          <w:u w:val="single"/>
        </w:rPr>
        <w:t> </w:t>
      </w:r>
      <w:r>
        <w:rPr>
          <w:spacing w:val="-4"/>
          <w:u w:val="single"/>
        </w:rPr>
        <w:t>161)</w:t>
      </w:r>
    </w:p>
    <w:p>
      <w:pPr>
        <w:pStyle w:val="BodyText"/>
        <w:spacing w:before="31"/>
        <w:rPr>
          <w:b/>
          <w:sz w:val="20"/>
        </w:rPr>
      </w:pPr>
      <w:r>
        <w:rPr>
          <w:b/>
          <w:sz w:val="20"/>
        </w:rPr>
        <mc:AlternateContent>
          <mc:Choice Requires="wps">
            <w:drawing>
              <wp:anchor distT="0" distB="0" distL="0" distR="0" allowOverlap="1" layoutInCell="1" locked="0" behindDoc="1" simplePos="0" relativeHeight="487711744">
                <wp:simplePos x="0" y="0"/>
                <wp:positionH relativeFrom="page">
                  <wp:posOffset>1080820</wp:posOffset>
                </wp:positionH>
                <wp:positionV relativeFrom="paragraph">
                  <wp:posOffset>182959</wp:posOffset>
                </wp:positionV>
                <wp:extent cx="5715000" cy="1290955"/>
                <wp:effectExtent l="0" t="0" r="0" b="0"/>
                <wp:wrapTopAndBottom/>
                <wp:docPr id="626" name="Textbox 626"/>
                <wp:cNvGraphicFramePr>
                  <a:graphicFrameLocks/>
                </wp:cNvGraphicFramePr>
                <a:graphic>
                  <a:graphicData uri="http://schemas.microsoft.com/office/word/2010/wordprocessingShape">
                    <wps:wsp>
                      <wps:cNvPr id="626" name="Textbox 626"/>
                      <wps:cNvSpPr txBox="1"/>
                      <wps:spPr>
                        <a:xfrm>
                          <a:off x="0" y="0"/>
                          <a:ext cx="5715000" cy="1290955"/>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1"/>
                              <w:jc w:val="both"/>
                            </w:pPr>
                            <w:r>
                              <w:rPr/>
                              <w:t>Los</w:t>
                            </w:r>
                            <w:r>
                              <w:rPr>
                                <w:spacing w:val="-2"/>
                              </w:rPr>
                              <w:t> </w:t>
                            </w:r>
                            <w:r>
                              <w:rPr/>
                              <w:t>beneficios</w:t>
                            </w:r>
                            <w:r>
                              <w:rPr>
                                <w:spacing w:val="-2"/>
                              </w:rPr>
                              <w:t> </w:t>
                            </w:r>
                            <w:r>
                              <w:rPr/>
                              <w:t>a</w:t>
                            </w:r>
                            <w:r>
                              <w:rPr>
                                <w:spacing w:val="-4"/>
                              </w:rPr>
                              <w:t> </w:t>
                            </w:r>
                            <w:r>
                              <w:rPr/>
                              <w:t>los</w:t>
                            </w:r>
                            <w:r>
                              <w:rPr>
                                <w:spacing w:val="-5"/>
                              </w:rPr>
                              <w:t> </w:t>
                            </w:r>
                            <w:r>
                              <w:rPr/>
                              <w:t>empleados</w:t>
                            </w:r>
                            <w:r>
                              <w:rPr>
                                <w:spacing w:val="-2"/>
                              </w:rPr>
                              <w:t> </w:t>
                            </w:r>
                            <w:r>
                              <w:rPr/>
                              <w:t>a</w:t>
                            </w:r>
                            <w:r>
                              <w:rPr>
                                <w:spacing w:val="-4"/>
                              </w:rPr>
                              <w:t> </w:t>
                            </w:r>
                            <w:r>
                              <w:rPr/>
                              <w:t>largo</w:t>
                            </w:r>
                            <w:r>
                              <w:rPr>
                                <w:spacing w:val="-3"/>
                              </w:rPr>
                              <w:t> </w:t>
                            </w:r>
                            <w:r>
                              <w:rPr/>
                              <w:t>plazo</w:t>
                            </w:r>
                            <w:r>
                              <w:rPr>
                                <w:spacing w:val="-3"/>
                              </w:rPr>
                              <w:t> </w:t>
                            </w:r>
                            <w:r>
                              <w:rPr/>
                              <w:t>corresponden</w:t>
                            </w:r>
                            <w:r>
                              <w:rPr>
                                <w:spacing w:val="-3"/>
                              </w:rPr>
                              <w:t> </w:t>
                            </w:r>
                            <w:r>
                              <w:rPr/>
                              <w:t>a</w:t>
                            </w:r>
                            <w:r>
                              <w:rPr>
                                <w:spacing w:val="-3"/>
                              </w:rPr>
                              <w:t> </w:t>
                            </w:r>
                            <w:r>
                              <w:rPr/>
                              <w:t>todos</w:t>
                            </w:r>
                            <w:r>
                              <w:rPr>
                                <w:spacing w:val="-2"/>
                              </w:rPr>
                              <w:t> </w:t>
                            </w:r>
                            <w:r>
                              <w:rPr/>
                              <w:t>aquellos</w:t>
                            </w:r>
                            <w:r>
                              <w:rPr>
                                <w:spacing w:val="-5"/>
                              </w:rPr>
                              <w:t> </w:t>
                            </w:r>
                            <w:r>
                              <w:rPr/>
                              <w:t>beneficios</w:t>
                            </w:r>
                            <w:r>
                              <w:rPr>
                                <w:spacing w:val="-5"/>
                              </w:rPr>
                              <w:t> </w:t>
                            </w:r>
                            <w:r>
                              <w:rPr/>
                              <w:t>que</w:t>
                            </w:r>
                            <w:r>
                              <w:rPr>
                                <w:spacing w:val="-5"/>
                              </w:rPr>
                              <w:t> </w:t>
                            </w:r>
                            <w:r>
                              <w:rPr/>
                              <w:t>la</w:t>
                            </w:r>
                            <w:r>
                              <w:rPr>
                                <w:spacing w:val="-5"/>
                              </w:rPr>
                              <w:t> </w:t>
                            </w:r>
                            <w:r>
                              <w:rPr/>
                              <w:t>entidad espera liquidar (pagar) dentro de los doce meses posteriores al periodo contable sobre el que se informa. Entre algunos ejemplos del sector se incluyen:</w:t>
                            </w:r>
                          </w:p>
                          <w:p>
                            <w:pPr>
                              <w:pStyle w:val="BodyText"/>
                              <w:numPr>
                                <w:ilvl w:val="0"/>
                                <w:numId w:val="53"/>
                              </w:numPr>
                              <w:tabs>
                                <w:tab w:pos="823" w:val="left" w:leader="none"/>
                              </w:tabs>
                              <w:spacing w:line="271" w:lineRule="auto" w:before="120" w:after="0"/>
                              <w:ind w:left="823" w:right="105" w:hanging="360"/>
                              <w:jc w:val="both"/>
                            </w:pPr>
                            <w:r>
                              <w:rPr/>
                              <w:t>Las</w:t>
                            </w:r>
                            <w:r>
                              <w:rPr>
                                <w:spacing w:val="-16"/>
                              </w:rPr>
                              <w:t> </w:t>
                            </w:r>
                            <w:r>
                              <w:rPr/>
                              <w:t>ausencias</w:t>
                            </w:r>
                            <w:r>
                              <w:rPr>
                                <w:spacing w:val="-14"/>
                              </w:rPr>
                              <w:t> </w:t>
                            </w:r>
                            <w:r>
                              <w:rPr/>
                              <w:t>remuneradas</w:t>
                            </w:r>
                            <w:r>
                              <w:rPr>
                                <w:spacing w:val="-14"/>
                              </w:rPr>
                              <w:t> </w:t>
                            </w:r>
                            <w:r>
                              <w:rPr/>
                              <w:t>a</w:t>
                            </w:r>
                            <w:r>
                              <w:rPr>
                                <w:spacing w:val="-13"/>
                              </w:rPr>
                              <w:t> </w:t>
                            </w:r>
                            <w:r>
                              <w:rPr/>
                              <w:t>largo</w:t>
                            </w:r>
                            <w:r>
                              <w:rPr>
                                <w:spacing w:val="-14"/>
                              </w:rPr>
                              <w:t> </w:t>
                            </w:r>
                            <w:r>
                              <w:rPr/>
                              <w:t>plazo,</w:t>
                            </w:r>
                            <w:r>
                              <w:rPr>
                                <w:spacing w:val="-14"/>
                              </w:rPr>
                              <w:t> </w:t>
                            </w:r>
                            <w:r>
                              <w:rPr/>
                              <w:t>tales</w:t>
                            </w:r>
                            <w:r>
                              <w:rPr>
                                <w:spacing w:val="-14"/>
                              </w:rPr>
                              <w:t> </w:t>
                            </w:r>
                            <w:r>
                              <w:rPr/>
                              <w:t>como</w:t>
                            </w:r>
                            <w:r>
                              <w:rPr>
                                <w:spacing w:val="-13"/>
                              </w:rPr>
                              <w:t> </w:t>
                            </w:r>
                            <w:r>
                              <w:rPr/>
                              <w:t>vacaciones</w:t>
                            </w:r>
                            <w:r>
                              <w:rPr>
                                <w:spacing w:val="-14"/>
                              </w:rPr>
                              <w:t> </w:t>
                            </w:r>
                            <w:r>
                              <w:rPr/>
                              <w:t>especiales</w:t>
                            </w:r>
                            <w:r>
                              <w:rPr>
                                <w:spacing w:val="-14"/>
                              </w:rPr>
                              <w:t> </w:t>
                            </w:r>
                            <w:r>
                              <w:rPr/>
                              <w:t>tras</w:t>
                            </w:r>
                            <w:r>
                              <w:rPr>
                                <w:spacing w:val="-14"/>
                              </w:rPr>
                              <w:t> </w:t>
                            </w:r>
                            <w:r>
                              <w:rPr/>
                              <w:t>largos</w:t>
                            </w:r>
                            <w:r>
                              <w:rPr>
                                <w:spacing w:val="-13"/>
                              </w:rPr>
                              <w:t> </w:t>
                            </w:r>
                            <w:r>
                              <w:rPr/>
                              <w:t>períodos de vida activa o años sabáticos.</w:t>
                            </w:r>
                          </w:p>
                        </w:txbxContent>
                      </wps:txbx>
                      <wps:bodyPr wrap="square" lIns="0" tIns="0" rIns="0" bIns="0" rtlCol="0">
                        <a:noAutofit/>
                      </wps:bodyPr>
                    </wps:wsp>
                  </a:graphicData>
                </a:graphic>
              </wp:anchor>
            </w:drawing>
          </mc:Choice>
          <mc:Fallback>
            <w:pict>
              <v:shape style="position:absolute;margin-left:85.103996pt;margin-top:14.40625pt;width:450pt;height:101.65pt;mso-position-horizontal-relative:page;mso-position-vertical-relative:paragraph;z-index:-15604736;mso-wrap-distance-left:0;mso-wrap-distance-right:0" type="#_x0000_t202" id="docshape604"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1"/>
                        <w:jc w:val="both"/>
                      </w:pPr>
                      <w:r>
                        <w:rPr/>
                        <w:t>Los</w:t>
                      </w:r>
                      <w:r>
                        <w:rPr>
                          <w:spacing w:val="-2"/>
                        </w:rPr>
                        <w:t> </w:t>
                      </w:r>
                      <w:r>
                        <w:rPr/>
                        <w:t>beneficios</w:t>
                      </w:r>
                      <w:r>
                        <w:rPr>
                          <w:spacing w:val="-2"/>
                        </w:rPr>
                        <w:t> </w:t>
                      </w:r>
                      <w:r>
                        <w:rPr/>
                        <w:t>a</w:t>
                      </w:r>
                      <w:r>
                        <w:rPr>
                          <w:spacing w:val="-4"/>
                        </w:rPr>
                        <w:t> </w:t>
                      </w:r>
                      <w:r>
                        <w:rPr/>
                        <w:t>los</w:t>
                      </w:r>
                      <w:r>
                        <w:rPr>
                          <w:spacing w:val="-5"/>
                        </w:rPr>
                        <w:t> </w:t>
                      </w:r>
                      <w:r>
                        <w:rPr/>
                        <w:t>empleados</w:t>
                      </w:r>
                      <w:r>
                        <w:rPr>
                          <w:spacing w:val="-2"/>
                        </w:rPr>
                        <w:t> </w:t>
                      </w:r>
                      <w:r>
                        <w:rPr/>
                        <w:t>a</w:t>
                      </w:r>
                      <w:r>
                        <w:rPr>
                          <w:spacing w:val="-4"/>
                        </w:rPr>
                        <w:t> </w:t>
                      </w:r>
                      <w:r>
                        <w:rPr/>
                        <w:t>largo</w:t>
                      </w:r>
                      <w:r>
                        <w:rPr>
                          <w:spacing w:val="-3"/>
                        </w:rPr>
                        <w:t> </w:t>
                      </w:r>
                      <w:r>
                        <w:rPr/>
                        <w:t>plazo</w:t>
                      </w:r>
                      <w:r>
                        <w:rPr>
                          <w:spacing w:val="-3"/>
                        </w:rPr>
                        <w:t> </w:t>
                      </w:r>
                      <w:r>
                        <w:rPr/>
                        <w:t>corresponden</w:t>
                      </w:r>
                      <w:r>
                        <w:rPr>
                          <w:spacing w:val="-3"/>
                        </w:rPr>
                        <w:t> </w:t>
                      </w:r>
                      <w:r>
                        <w:rPr/>
                        <w:t>a</w:t>
                      </w:r>
                      <w:r>
                        <w:rPr>
                          <w:spacing w:val="-3"/>
                        </w:rPr>
                        <w:t> </w:t>
                      </w:r>
                      <w:r>
                        <w:rPr/>
                        <w:t>todos</w:t>
                      </w:r>
                      <w:r>
                        <w:rPr>
                          <w:spacing w:val="-2"/>
                        </w:rPr>
                        <w:t> </w:t>
                      </w:r>
                      <w:r>
                        <w:rPr/>
                        <w:t>aquellos</w:t>
                      </w:r>
                      <w:r>
                        <w:rPr>
                          <w:spacing w:val="-5"/>
                        </w:rPr>
                        <w:t> </w:t>
                      </w:r>
                      <w:r>
                        <w:rPr/>
                        <w:t>beneficios</w:t>
                      </w:r>
                      <w:r>
                        <w:rPr>
                          <w:spacing w:val="-5"/>
                        </w:rPr>
                        <w:t> </w:t>
                      </w:r>
                      <w:r>
                        <w:rPr/>
                        <w:t>que</w:t>
                      </w:r>
                      <w:r>
                        <w:rPr>
                          <w:spacing w:val="-5"/>
                        </w:rPr>
                        <w:t> </w:t>
                      </w:r>
                      <w:r>
                        <w:rPr/>
                        <w:t>la</w:t>
                      </w:r>
                      <w:r>
                        <w:rPr>
                          <w:spacing w:val="-5"/>
                        </w:rPr>
                        <w:t> </w:t>
                      </w:r>
                      <w:r>
                        <w:rPr/>
                        <w:t>entidad espera liquidar (pagar) dentro de los doce meses posteriores al periodo contable sobre el que se informa. Entre algunos ejemplos del sector se incluyen:</w:t>
                      </w:r>
                    </w:p>
                    <w:p>
                      <w:pPr>
                        <w:pStyle w:val="BodyText"/>
                        <w:numPr>
                          <w:ilvl w:val="0"/>
                          <w:numId w:val="53"/>
                        </w:numPr>
                        <w:tabs>
                          <w:tab w:pos="823" w:val="left" w:leader="none"/>
                        </w:tabs>
                        <w:spacing w:line="271" w:lineRule="auto" w:before="120" w:after="0"/>
                        <w:ind w:left="823" w:right="105" w:hanging="360"/>
                        <w:jc w:val="both"/>
                      </w:pPr>
                      <w:r>
                        <w:rPr/>
                        <w:t>Las</w:t>
                      </w:r>
                      <w:r>
                        <w:rPr>
                          <w:spacing w:val="-16"/>
                        </w:rPr>
                        <w:t> </w:t>
                      </w:r>
                      <w:r>
                        <w:rPr/>
                        <w:t>ausencias</w:t>
                      </w:r>
                      <w:r>
                        <w:rPr>
                          <w:spacing w:val="-14"/>
                        </w:rPr>
                        <w:t> </w:t>
                      </w:r>
                      <w:r>
                        <w:rPr/>
                        <w:t>remuneradas</w:t>
                      </w:r>
                      <w:r>
                        <w:rPr>
                          <w:spacing w:val="-14"/>
                        </w:rPr>
                        <w:t> </w:t>
                      </w:r>
                      <w:r>
                        <w:rPr/>
                        <w:t>a</w:t>
                      </w:r>
                      <w:r>
                        <w:rPr>
                          <w:spacing w:val="-13"/>
                        </w:rPr>
                        <w:t> </w:t>
                      </w:r>
                      <w:r>
                        <w:rPr/>
                        <w:t>largo</w:t>
                      </w:r>
                      <w:r>
                        <w:rPr>
                          <w:spacing w:val="-14"/>
                        </w:rPr>
                        <w:t> </w:t>
                      </w:r>
                      <w:r>
                        <w:rPr/>
                        <w:t>plazo,</w:t>
                      </w:r>
                      <w:r>
                        <w:rPr>
                          <w:spacing w:val="-14"/>
                        </w:rPr>
                        <w:t> </w:t>
                      </w:r>
                      <w:r>
                        <w:rPr/>
                        <w:t>tales</w:t>
                      </w:r>
                      <w:r>
                        <w:rPr>
                          <w:spacing w:val="-14"/>
                        </w:rPr>
                        <w:t> </w:t>
                      </w:r>
                      <w:r>
                        <w:rPr/>
                        <w:t>como</w:t>
                      </w:r>
                      <w:r>
                        <w:rPr>
                          <w:spacing w:val="-13"/>
                        </w:rPr>
                        <w:t> </w:t>
                      </w:r>
                      <w:r>
                        <w:rPr/>
                        <w:t>vacaciones</w:t>
                      </w:r>
                      <w:r>
                        <w:rPr>
                          <w:spacing w:val="-14"/>
                        </w:rPr>
                        <w:t> </w:t>
                      </w:r>
                      <w:r>
                        <w:rPr/>
                        <w:t>especiales</w:t>
                      </w:r>
                      <w:r>
                        <w:rPr>
                          <w:spacing w:val="-14"/>
                        </w:rPr>
                        <w:t> </w:t>
                      </w:r>
                      <w:r>
                        <w:rPr/>
                        <w:t>tras</w:t>
                      </w:r>
                      <w:r>
                        <w:rPr>
                          <w:spacing w:val="-14"/>
                        </w:rPr>
                        <w:t> </w:t>
                      </w:r>
                      <w:r>
                        <w:rPr/>
                        <w:t>largos</w:t>
                      </w:r>
                      <w:r>
                        <w:rPr>
                          <w:spacing w:val="-13"/>
                        </w:rPr>
                        <w:t> </w:t>
                      </w:r>
                      <w:r>
                        <w:rPr/>
                        <w:t>períodos de vida activa o años sabáticos.</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0176">
                <wp:simplePos x="0" y="0"/>
                <wp:positionH relativeFrom="page">
                  <wp:posOffset>9525</wp:posOffset>
                </wp:positionH>
                <wp:positionV relativeFrom="page">
                  <wp:posOffset>297208</wp:posOffset>
                </wp:positionV>
                <wp:extent cx="7762875" cy="9748520"/>
                <wp:effectExtent l="0" t="0" r="0" b="0"/>
                <wp:wrapNone/>
                <wp:docPr id="627" name="Group 627"/>
                <wp:cNvGraphicFramePr>
                  <a:graphicFrameLocks/>
                </wp:cNvGraphicFramePr>
                <a:graphic>
                  <a:graphicData uri="http://schemas.microsoft.com/office/word/2010/wordprocessingGroup">
                    <wpg:wgp>
                      <wpg:cNvPr id="627" name="Group 627"/>
                      <wpg:cNvGrpSpPr/>
                      <wpg:grpSpPr>
                        <a:xfrm>
                          <a:off x="0" y="0"/>
                          <a:ext cx="7762875" cy="9748520"/>
                          <a:chExt cx="7762875" cy="9748520"/>
                        </a:xfrm>
                      </wpg:grpSpPr>
                      <pic:pic>
                        <pic:nvPicPr>
                          <pic:cNvPr id="628" name="Image 628"/>
                          <pic:cNvPicPr/>
                        </pic:nvPicPr>
                        <pic:blipFill>
                          <a:blip r:embed="rId5" cstate="print"/>
                          <a:stretch>
                            <a:fillRect/>
                          </a:stretch>
                        </pic:blipFill>
                        <pic:spPr>
                          <a:xfrm>
                            <a:off x="0" y="0"/>
                            <a:ext cx="7762874" cy="9748489"/>
                          </a:xfrm>
                          <a:prstGeom prst="rect">
                            <a:avLst/>
                          </a:prstGeom>
                        </pic:spPr>
                      </pic:pic>
                      <wps:wsp>
                        <wps:cNvPr id="629" name="Graphic 629"/>
                        <wps:cNvSpPr/>
                        <wps:spPr>
                          <a:xfrm>
                            <a:off x="1053007" y="990837"/>
                            <a:ext cx="5736590" cy="7706359"/>
                          </a:xfrm>
                          <a:custGeom>
                            <a:avLst/>
                            <a:gdLst/>
                            <a:ahLst/>
                            <a:cxnLst/>
                            <a:rect l="l" t="t" r="r" b="b"/>
                            <a:pathLst>
                              <a:path w="5736590" h="7706359">
                                <a:moveTo>
                                  <a:pt x="5649214" y="0"/>
                                </a:moveTo>
                                <a:lnTo>
                                  <a:pt x="0" y="0"/>
                                </a:lnTo>
                                <a:lnTo>
                                  <a:pt x="0" y="9131"/>
                                </a:lnTo>
                                <a:lnTo>
                                  <a:pt x="5649214" y="9131"/>
                                </a:lnTo>
                                <a:lnTo>
                                  <a:pt x="5649214" y="0"/>
                                </a:lnTo>
                                <a:close/>
                              </a:path>
                              <a:path w="5736590" h="7706359">
                                <a:moveTo>
                                  <a:pt x="5736018" y="7700213"/>
                                </a:moveTo>
                                <a:lnTo>
                                  <a:pt x="5729986" y="7700213"/>
                                </a:lnTo>
                                <a:lnTo>
                                  <a:pt x="21336" y="7700213"/>
                                </a:lnTo>
                                <a:lnTo>
                                  <a:pt x="15240" y="7700213"/>
                                </a:lnTo>
                                <a:lnTo>
                                  <a:pt x="15240" y="7706296"/>
                                </a:lnTo>
                                <a:lnTo>
                                  <a:pt x="21336" y="7706296"/>
                                </a:lnTo>
                                <a:lnTo>
                                  <a:pt x="5729935" y="7706296"/>
                                </a:lnTo>
                                <a:lnTo>
                                  <a:pt x="5736018" y="7706296"/>
                                </a:lnTo>
                                <a:lnTo>
                                  <a:pt x="5736018" y="7700213"/>
                                </a:lnTo>
                                <a:close/>
                              </a:path>
                              <a:path w="5736590" h="7706359">
                                <a:moveTo>
                                  <a:pt x="5736018" y="2604897"/>
                                </a:moveTo>
                                <a:lnTo>
                                  <a:pt x="5729986" y="2604897"/>
                                </a:lnTo>
                                <a:lnTo>
                                  <a:pt x="21336" y="2604897"/>
                                </a:lnTo>
                                <a:lnTo>
                                  <a:pt x="15240" y="2604897"/>
                                </a:lnTo>
                                <a:lnTo>
                                  <a:pt x="15240" y="2610929"/>
                                </a:lnTo>
                                <a:lnTo>
                                  <a:pt x="15240" y="7700200"/>
                                </a:lnTo>
                                <a:lnTo>
                                  <a:pt x="21336" y="7700200"/>
                                </a:lnTo>
                                <a:lnTo>
                                  <a:pt x="21336" y="2610980"/>
                                </a:lnTo>
                                <a:lnTo>
                                  <a:pt x="5729935" y="2610980"/>
                                </a:lnTo>
                                <a:lnTo>
                                  <a:pt x="5729935" y="7700200"/>
                                </a:lnTo>
                                <a:lnTo>
                                  <a:pt x="5736018" y="7700200"/>
                                </a:lnTo>
                                <a:lnTo>
                                  <a:pt x="5736018" y="2610980"/>
                                </a:lnTo>
                                <a:lnTo>
                                  <a:pt x="5736018" y="260489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66304" id="docshapegroup605" coordorigin="15,468" coordsize="12225,15352">
                <v:shape style="position:absolute;left:15;top:468;width:12225;height:15352" type="#_x0000_t75" id="docshape606" stroked="false">
                  <v:imagedata r:id="rId5" o:title=""/>
                </v:shape>
                <v:shape style="position:absolute;left:1673;top:2028;width:9034;height:12136" id="docshape607" coordorigin="1673,2028" coordsize="9034,12136" path="m10570,2028l1673,2028,1673,2043,10570,2043,10570,2028xm10706,14155l10697,14155,10697,14155,1707,14155,1697,14155,1697,14164,1707,14164,10697,14164,10697,14164,10706,14164,10706,14155xm10706,6131l10697,6131,10697,6131,1707,6131,1697,6131,1697,6140,1697,6140,1697,14155,1707,14155,1707,6140,10697,6140,10697,14155,10706,14155,10706,6140,10706,6140,10706,6131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127</w:t>
      </w:r>
    </w:p>
    <w:p>
      <w:pPr>
        <w:pStyle w:val="BodyText"/>
        <w:spacing w:before="10"/>
        <w:rPr>
          <w:sz w:val="16"/>
        </w:rPr>
      </w:pPr>
      <w:r>
        <w:rPr>
          <w:sz w:val="16"/>
        </w:rPr>
        <mc:AlternateContent>
          <mc:Choice Requires="wps">
            <w:drawing>
              <wp:anchor distT="0" distB="0" distL="0" distR="0" allowOverlap="1" layoutInCell="1" locked="0" behindDoc="1" simplePos="0" relativeHeight="487712768">
                <wp:simplePos x="0" y="0"/>
                <wp:positionH relativeFrom="page">
                  <wp:posOffset>1080820</wp:posOffset>
                </wp:positionH>
                <wp:positionV relativeFrom="paragraph">
                  <wp:posOffset>141144</wp:posOffset>
                </wp:positionV>
                <wp:extent cx="5715000" cy="1858645"/>
                <wp:effectExtent l="0" t="0" r="0" b="0"/>
                <wp:wrapTopAndBottom/>
                <wp:docPr id="630" name="Textbox 630"/>
                <wp:cNvGraphicFramePr>
                  <a:graphicFrameLocks/>
                </wp:cNvGraphicFramePr>
                <a:graphic>
                  <a:graphicData uri="http://schemas.microsoft.com/office/word/2010/wordprocessingShape">
                    <wps:wsp>
                      <wps:cNvPr id="630" name="Textbox 630"/>
                      <wps:cNvSpPr txBox="1"/>
                      <wps:spPr>
                        <a:xfrm>
                          <a:off x="0" y="0"/>
                          <a:ext cx="5715000" cy="1858645"/>
                        </a:xfrm>
                        <a:prstGeom prst="rect">
                          <a:avLst/>
                        </a:prstGeom>
                        <a:ln w="6095">
                          <a:solidFill>
                            <a:srgbClr val="000000"/>
                          </a:solidFill>
                          <a:prstDash val="solid"/>
                        </a:ln>
                      </wps:spPr>
                      <wps:txbx>
                        <w:txbxContent>
                          <w:p>
                            <w:pPr>
                              <w:pStyle w:val="BodyText"/>
                              <w:numPr>
                                <w:ilvl w:val="0"/>
                                <w:numId w:val="54"/>
                              </w:numPr>
                              <w:tabs>
                                <w:tab w:pos="823" w:val="left" w:leader="none"/>
                              </w:tabs>
                              <w:spacing w:line="278" w:lineRule="exact" w:before="0" w:after="0"/>
                              <w:ind w:left="823" w:right="0" w:hanging="360"/>
                              <w:jc w:val="left"/>
                            </w:pPr>
                            <w:r>
                              <w:rPr/>
                              <w:t>Los</w:t>
                            </w:r>
                            <w:r>
                              <w:rPr>
                                <w:spacing w:val="-4"/>
                              </w:rPr>
                              <w:t> </w:t>
                            </w:r>
                            <w:r>
                              <w:rPr/>
                              <w:t>beneficios</w:t>
                            </w:r>
                            <w:r>
                              <w:rPr>
                                <w:spacing w:val="-3"/>
                              </w:rPr>
                              <w:t> </w:t>
                            </w:r>
                            <w:r>
                              <w:rPr/>
                              <w:t>por</w:t>
                            </w:r>
                            <w:r>
                              <w:rPr>
                                <w:spacing w:val="-4"/>
                              </w:rPr>
                              <w:t> </w:t>
                            </w:r>
                            <w:r>
                              <w:rPr/>
                              <w:t>antigüedad</w:t>
                            </w:r>
                            <w:r>
                              <w:rPr>
                                <w:spacing w:val="-4"/>
                              </w:rPr>
                              <w:t> </w:t>
                            </w:r>
                            <w:r>
                              <w:rPr/>
                              <w:t>u</w:t>
                            </w:r>
                            <w:r>
                              <w:rPr>
                                <w:spacing w:val="-4"/>
                              </w:rPr>
                              <w:t> </w:t>
                            </w:r>
                            <w:r>
                              <w:rPr/>
                              <w:t>otros</w:t>
                            </w:r>
                            <w:r>
                              <w:rPr>
                                <w:spacing w:val="-3"/>
                              </w:rPr>
                              <w:t> </w:t>
                            </w:r>
                            <w:r>
                              <w:rPr/>
                              <w:t>beneficios</w:t>
                            </w:r>
                            <w:r>
                              <w:rPr>
                                <w:spacing w:val="-3"/>
                              </w:rPr>
                              <w:t> </w:t>
                            </w:r>
                            <w:r>
                              <w:rPr/>
                              <w:t>por</w:t>
                            </w:r>
                            <w:r>
                              <w:rPr>
                                <w:spacing w:val="-4"/>
                              </w:rPr>
                              <w:t> </w:t>
                            </w:r>
                            <w:r>
                              <w:rPr/>
                              <w:t>largo</w:t>
                            </w:r>
                            <w:r>
                              <w:rPr>
                                <w:spacing w:val="-3"/>
                              </w:rPr>
                              <w:t> </w:t>
                            </w:r>
                            <w:r>
                              <w:rPr/>
                              <w:t>tiempo</w:t>
                            </w:r>
                            <w:r>
                              <w:rPr>
                                <w:spacing w:val="-4"/>
                              </w:rPr>
                              <w:t> </w:t>
                            </w:r>
                            <w:r>
                              <w:rPr/>
                              <w:t>de</w:t>
                            </w:r>
                            <w:r>
                              <w:rPr>
                                <w:spacing w:val="-3"/>
                              </w:rPr>
                              <w:t> </w:t>
                            </w:r>
                            <w:r>
                              <w:rPr>
                                <w:spacing w:val="-2"/>
                              </w:rPr>
                              <w:t>servicio.</w:t>
                            </w:r>
                          </w:p>
                          <w:p>
                            <w:pPr>
                              <w:pStyle w:val="BodyText"/>
                              <w:numPr>
                                <w:ilvl w:val="0"/>
                                <w:numId w:val="54"/>
                              </w:numPr>
                              <w:tabs>
                                <w:tab w:pos="823" w:val="left" w:leader="none"/>
                              </w:tabs>
                              <w:spacing w:line="240" w:lineRule="auto" w:before="38" w:after="0"/>
                              <w:ind w:left="823" w:right="0" w:hanging="360"/>
                              <w:jc w:val="left"/>
                            </w:pPr>
                            <w:r>
                              <w:rPr/>
                              <w:t>Los</w:t>
                            </w:r>
                            <w:r>
                              <w:rPr>
                                <w:spacing w:val="-3"/>
                              </w:rPr>
                              <w:t> </w:t>
                            </w:r>
                            <w:r>
                              <w:rPr/>
                              <w:t>beneficios</w:t>
                            </w:r>
                            <w:r>
                              <w:rPr>
                                <w:spacing w:val="-3"/>
                              </w:rPr>
                              <w:t> </w:t>
                            </w:r>
                            <w:r>
                              <w:rPr/>
                              <w:t>por</w:t>
                            </w:r>
                            <w:r>
                              <w:rPr>
                                <w:spacing w:val="-4"/>
                              </w:rPr>
                              <w:t> </w:t>
                            </w:r>
                            <w:r>
                              <w:rPr/>
                              <w:t>incapacidad</w:t>
                            </w:r>
                            <w:r>
                              <w:rPr>
                                <w:spacing w:val="-4"/>
                              </w:rPr>
                              <w:t> </w:t>
                            </w:r>
                            <w:r>
                              <w:rPr/>
                              <w:t>a</w:t>
                            </w:r>
                            <w:r>
                              <w:rPr>
                                <w:spacing w:val="-5"/>
                              </w:rPr>
                              <w:t> </w:t>
                            </w:r>
                            <w:r>
                              <w:rPr/>
                              <w:t>largo</w:t>
                            </w:r>
                            <w:r>
                              <w:rPr>
                                <w:spacing w:val="-2"/>
                              </w:rPr>
                              <w:t> plazo.</w:t>
                            </w:r>
                          </w:p>
                          <w:p>
                            <w:pPr>
                              <w:pStyle w:val="BodyText"/>
                              <w:numPr>
                                <w:ilvl w:val="0"/>
                                <w:numId w:val="54"/>
                              </w:numPr>
                              <w:tabs>
                                <w:tab w:pos="823" w:val="left" w:leader="none"/>
                              </w:tabs>
                              <w:spacing w:line="240" w:lineRule="auto" w:before="39" w:after="0"/>
                              <w:ind w:left="823" w:right="0" w:hanging="360"/>
                              <w:jc w:val="left"/>
                            </w:pPr>
                            <w:r>
                              <w:rPr/>
                              <w:t>La</w:t>
                            </w:r>
                            <w:r>
                              <w:rPr>
                                <w:spacing w:val="-5"/>
                              </w:rPr>
                              <w:t> </w:t>
                            </w:r>
                            <w:r>
                              <w:rPr/>
                              <w:t>participación</w:t>
                            </w:r>
                            <w:r>
                              <w:rPr>
                                <w:spacing w:val="-3"/>
                              </w:rPr>
                              <w:t> </w:t>
                            </w:r>
                            <w:r>
                              <w:rPr/>
                              <w:t>en</w:t>
                            </w:r>
                            <w:r>
                              <w:rPr>
                                <w:spacing w:val="-3"/>
                              </w:rPr>
                              <w:t> </w:t>
                            </w:r>
                            <w:r>
                              <w:rPr/>
                              <w:t>ganancias</w:t>
                            </w:r>
                            <w:r>
                              <w:rPr>
                                <w:spacing w:val="-3"/>
                              </w:rPr>
                              <w:t> </w:t>
                            </w:r>
                            <w:r>
                              <w:rPr/>
                              <w:t>e</w:t>
                            </w:r>
                            <w:r>
                              <w:rPr>
                                <w:spacing w:val="-2"/>
                              </w:rPr>
                              <w:t> </w:t>
                            </w:r>
                            <w:r>
                              <w:rPr/>
                              <w:t>incentivos</w:t>
                            </w:r>
                            <w:r>
                              <w:rPr>
                                <w:spacing w:val="-5"/>
                              </w:rPr>
                              <w:t> </w:t>
                            </w:r>
                            <w:r>
                              <w:rPr/>
                              <w:t>a</w:t>
                            </w:r>
                            <w:r>
                              <w:rPr>
                                <w:spacing w:val="-4"/>
                              </w:rPr>
                              <w:t> </w:t>
                            </w:r>
                            <w:r>
                              <w:rPr/>
                              <w:t>largo</w:t>
                            </w:r>
                            <w:r>
                              <w:rPr>
                                <w:spacing w:val="-2"/>
                              </w:rPr>
                              <w:t> plazo.</w:t>
                            </w:r>
                          </w:p>
                          <w:p>
                            <w:pPr>
                              <w:pStyle w:val="BodyText"/>
                              <w:numPr>
                                <w:ilvl w:val="0"/>
                                <w:numId w:val="54"/>
                              </w:numPr>
                              <w:tabs>
                                <w:tab w:pos="823" w:val="left" w:leader="none"/>
                              </w:tabs>
                              <w:spacing w:line="273" w:lineRule="auto" w:before="36" w:after="0"/>
                              <w:ind w:left="823" w:right="101" w:hanging="360"/>
                              <w:jc w:val="left"/>
                            </w:pPr>
                            <w:r>
                              <w:rPr/>
                              <w:t>Las</w:t>
                            </w:r>
                            <w:r>
                              <w:rPr>
                                <w:spacing w:val="-6"/>
                              </w:rPr>
                              <w:t> </w:t>
                            </w:r>
                            <w:r>
                              <w:rPr/>
                              <w:t>retribuciones</w:t>
                            </w:r>
                            <w:r>
                              <w:rPr>
                                <w:spacing w:val="-6"/>
                              </w:rPr>
                              <w:t> </w:t>
                            </w:r>
                            <w:r>
                              <w:rPr/>
                              <w:t>y</w:t>
                            </w:r>
                            <w:r>
                              <w:rPr>
                                <w:spacing w:val="-8"/>
                              </w:rPr>
                              <w:t> </w:t>
                            </w:r>
                            <w:r>
                              <w:rPr/>
                              <w:t>contraprestaciones</w:t>
                            </w:r>
                            <w:r>
                              <w:rPr>
                                <w:spacing w:val="-6"/>
                              </w:rPr>
                              <w:t> </w:t>
                            </w:r>
                            <w:r>
                              <w:rPr/>
                              <w:t>por</w:t>
                            </w:r>
                            <w:r>
                              <w:rPr>
                                <w:spacing w:val="-7"/>
                              </w:rPr>
                              <w:t> </w:t>
                            </w:r>
                            <w:r>
                              <w:rPr/>
                              <w:t>pagar</w:t>
                            </w:r>
                            <w:r>
                              <w:rPr>
                                <w:spacing w:val="-8"/>
                              </w:rPr>
                              <w:t> </w:t>
                            </w:r>
                            <w:r>
                              <w:rPr/>
                              <w:t>por</w:t>
                            </w:r>
                            <w:r>
                              <w:rPr>
                                <w:spacing w:val="-7"/>
                              </w:rPr>
                              <w:t> </w:t>
                            </w:r>
                            <w:r>
                              <w:rPr/>
                              <w:t>la</w:t>
                            </w:r>
                            <w:r>
                              <w:rPr>
                                <w:spacing w:val="-11"/>
                              </w:rPr>
                              <w:t> </w:t>
                            </w:r>
                            <w:r>
                              <w:rPr/>
                              <w:t>entidad</w:t>
                            </w:r>
                            <w:r>
                              <w:rPr>
                                <w:spacing w:val="-8"/>
                              </w:rPr>
                              <w:t> </w:t>
                            </w:r>
                            <w:r>
                              <w:rPr/>
                              <w:t>hasta</w:t>
                            </w:r>
                            <w:r>
                              <w:rPr>
                                <w:spacing w:val="-10"/>
                              </w:rPr>
                              <w:t> </w:t>
                            </w:r>
                            <w:r>
                              <w:rPr/>
                              <w:t>que</w:t>
                            </w:r>
                            <w:r>
                              <w:rPr>
                                <w:spacing w:val="-6"/>
                              </w:rPr>
                              <w:t> </w:t>
                            </w:r>
                            <w:r>
                              <w:rPr/>
                              <w:t>un</w:t>
                            </w:r>
                            <w:r>
                              <w:rPr>
                                <w:spacing w:val="-7"/>
                              </w:rPr>
                              <w:t> </w:t>
                            </w:r>
                            <w:r>
                              <w:rPr/>
                              <w:t>individuo</w:t>
                            </w:r>
                            <w:r>
                              <w:rPr>
                                <w:spacing w:val="-6"/>
                              </w:rPr>
                              <w:t> </w:t>
                            </w:r>
                            <w:r>
                              <w:rPr/>
                              <w:t>deje</w:t>
                            </w:r>
                            <w:r>
                              <w:rPr>
                                <w:spacing w:val="-8"/>
                              </w:rPr>
                              <w:t> </w:t>
                            </w:r>
                            <w:r>
                              <w:rPr/>
                              <w:t>el empleo e ingrese a un nuevo empleo.</w:t>
                            </w:r>
                          </w:p>
                          <w:p>
                            <w:pPr>
                              <w:pStyle w:val="BodyText"/>
                              <w:spacing w:line="259" w:lineRule="auto" w:before="124"/>
                              <w:ind w:left="103" w:right="102"/>
                              <w:jc w:val="both"/>
                            </w:pPr>
                            <w:r>
                              <w:rPr/>
                              <w:t>Esta categoría no es aplicable para el IMAS, debido a que no se dispone de ningún tipo de contraprestación a los empleados que ingresen dentro del concepto de beneficios a largo plazo ni se proyecta a poseer en el futuro, por este motivo, las políticas asociadas a estas no serán citadas dentro de los Estados Financieros, ni se dispone de información a revelar relacionada.</w:t>
                            </w:r>
                          </w:p>
                        </w:txbxContent>
                      </wps:txbx>
                      <wps:bodyPr wrap="square" lIns="0" tIns="0" rIns="0" bIns="0" rtlCol="0">
                        <a:noAutofit/>
                      </wps:bodyPr>
                    </wps:wsp>
                  </a:graphicData>
                </a:graphic>
              </wp:anchor>
            </w:drawing>
          </mc:Choice>
          <mc:Fallback>
            <w:pict>
              <v:shape style="position:absolute;margin-left:85.103996pt;margin-top:11.11375pt;width:450pt;height:146.35pt;mso-position-horizontal-relative:page;mso-position-vertical-relative:paragraph;z-index:-15603712;mso-wrap-distance-left:0;mso-wrap-distance-right:0" type="#_x0000_t202" id="docshape608" filled="false" stroked="true" strokeweight=".47998pt" strokecolor="#000000">
                <v:textbox inset="0,0,0,0">
                  <w:txbxContent>
                    <w:p>
                      <w:pPr>
                        <w:pStyle w:val="BodyText"/>
                        <w:numPr>
                          <w:ilvl w:val="0"/>
                          <w:numId w:val="54"/>
                        </w:numPr>
                        <w:tabs>
                          <w:tab w:pos="823" w:val="left" w:leader="none"/>
                        </w:tabs>
                        <w:spacing w:line="278" w:lineRule="exact" w:before="0" w:after="0"/>
                        <w:ind w:left="823" w:right="0" w:hanging="360"/>
                        <w:jc w:val="left"/>
                      </w:pPr>
                      <w:r>
                        <w:rPr/>
                        <w:t>Los</w:t>
                      </w:r>
                      <w:r>
                        <w:rPr>
                          <w:spacing w:val="-4"/>
                        </w:rPr>
                        <w:t> </w:t>
                      </w:r>
                      <w:r>
                        <w:rPr/>
                        <w:t>beneficios</w:t>
                      </w:r>
                      <w:r>
                        <w:rPr>
                          <w:spacing w:val="-3"/>
                        </w:rPr>
                        <w:t> </w:t>
                      </w:r>
                      <w:r>
                        <w:rPr/>
                        <w:t>por</w:t>
                      </w:r>
                      <w:r>
                        <w:rPr>
                          <w:spacing w:val="-4"/>
                        </w:rPr>
                        <w:t> </w:t>
                      </w:r>
                      <w:r>
                        <w:rPr/>
                        <w:t>antigüedad</w:t>
                      </w:r>
                      <w:r>
                        <w:rPr>
                          <w:spacing w:val="-4"/>
                        </w:rPr>
                        <w:t> </w:t>
                      </w:r>
                      <w:r>
                        <w:rPr/>
                        <w:t>u</w:t>
                      </w:r>
                      <w:r>
                        <w:rPr>
                          <w:spacing w:val="-4"/>
                        </w:rPr>
                        <w:t> </w:t>
                      </w:r>
                      <w:r>
                        <w:rPr/>
                        <w:t>otros</w:t>
                      </w:r>
                      <w:r>
                        <w:rPr>
                          <w:spacing w:val="-3"/>
                        </w:rPr>
                        <w:t> </w:t>
                      </w:r>
                      <w:r>
                        <w:rPr/>
                        <w:t>beneficios</w:t>
                      </w:r>
                      <w:r>
                        <w:rPr>
                          <w:spacing w:val="-3"/>
                        </w:rPr>
                        <w:t> </w:t>
                      </w:r>
                      <w:r>
                        <w:rPr/>
                        <w:t>por</w:t>
                      </w:r>
                      <w:r>
                        <w:rPr>
                          <w:spacing w:val="-4"/>
                        </w:rPr>
                        <w:t> </w:t>
                      </w:r>
                      <w:r>
                        <w:rPr/>
                        <w:t>largo</w:t>
                      </w:r>
                      <w:r>
                        <w:rPr>
                          <w:spacing w:val="-3"/>
                        </w:rPr>
                        <w:t> </w:t>
                      </w:r>
                      <w:r>
                        <w:rPr/>
                        <w:t>tiempo</w:t>
                      </w:r>
                      <w:r>
                        <w:rPr>
                          <w:spacing w:val="-4"/>
                        </w:rPr>
                        <w:t> </w:t>
                      </w:r>
                      <w:r>
                        <w:rPr/>
                        <w:t>de</w:t>
                      </w:r>
                      <w:r>
                        <w:rPr>
                          <w:spacing w:val="-3"/>
                        </w:rPr>
                        <w:t> </w:t>
                      </w:r>
                      <w:r>
                        <w:rPr>
                          <w:spacing w:val="-2"/>
                        </w:rPr>
                        <w:t>servicio.</w:t>
                      </w:r>
                    </w:p>
                    <w:p>
                      <w:pPr>
                        <w:pStyle w:val="BodyText"/>
                        <w:numPr>
                          <w:ilvl w:val="0"/>
                          <w:numId w:val="54"/>
                        </w:numPr>
                        <w:tabs>
                          <w:tab w:pos="823" w:val="left" w:leader="none"/>
                        </w:tabs>
                        <w:spacing w:line="240" w:lineRule="auto" w:before="38" w:after="0"/>
                        <w:ind w:left="823" w:right="0" w:hanging="360"/>
                        <w:jc w:val="left"/>
                      </w:pPr>
                      <w:r>
                        <w:rPr/>
                        <w:t>Los</w:t>
                      </w:r>
                      <w:r>
                        <w:rPr>
                          <w:spacing w:val="-3"/>
                        </w:rPr>
                        <w:t> </w:t>
                      </w:r>
                      <w:r>
                        <w:rPr/>
                        <w:t>beneficios</w:t>
                      </w:r>
                      <w:r>
                        <w:rPr>
                          <w:spacing w:val="-3"/>
                        </w:rPr>
                        <w:t> </w:t>
                      </w:r>
                      <w:r>
                        <w:rPr/>
                        <w:t>por</w:t>
                      </w:r>
                      <w:r>
                        <w:rPr>
                          <w:spacing w:val="-4"/>
                        </w:rPr>
                        <w:t> </w:t>
                      </w:r>
                      <w:r>
                        <w:rPr/>
                        <w:t>incapacidad</w:t>
                      </w:r>
                      <w:r>
                        <w:rPr>
                          <w:spacing w:val="-4"/>
                        </w:rPr>
                        <w:t> </w:t>
                      </w:r>
                      <w:r>
                        <w:rPr/>
                        <w:t>a</w:t>
                      </w:r>
                      <w:r>
                        <w:rPr>
                          <w:spacing w:val="-5"/>
                        </w:rPr>
                        <w:t> </w:t>
                      </w:r>
                      <w:r>
                        <w:rPr/>
                        <w:t>largo</w:t>
                      </w:r>
                      <w:r>
                        <w:rPr>
                          <w:spacing w:val="-2"/>
                        </w:rPr>
                        <w:t> plazo.</w:t>
                      </w:r>
                    </w:p>
                    <w:p>
                      <w:pPr>
                        <w:pStyle w:val="BodyText"/>
                        <w:numPr>
                          <w:ilvl w:val="0"/>
                          <w:numId w:val="54"/>
                        </w:numPr>
                        <w:tabs>
                          <w:tab w:pos="823" w:val="left" w:leader="none"/>
                        </w:tabs>
                        <w:spacing w:line="240" w:lineRule="auto" w:before="39" w:after="0"/>
                        <w:ind w:left="823" w:right="0" w:hanging="360"/>
                        <w:jc w:val="left"/>
                      </w:pPr>
                      <w:r>
                        <w:rPr/>
                        <w:t>La</w:t>
                      </w:r>
                      <w:r>
                        <w:rPr>
                          <w:spacing w:val="-5"/>
                        </w:rPr>
                        <w:t> </w:t>
                      </w:r>
                      <w:r>
                        <w:rPr/>
                        <w:t>participación</w:t>
                      </w:r>
                      <w:r>
                        <w:rPr>
                          <w:spacing w:val="-3"/>
                        </w:rPr>
                        <w:t> </w:t>
                      </w:r>
                      <w:r>
                        <w:rPr/>
                        <w:t>en</w:t>
                      </w:r>
                      <w:r>
                        <w:rPr>
                          <w:spacing w:val="-3"/>
                        </w:rPr>
                        <w:t> </w:t>
                      </w:r>
                      <w:r>
                        <w:rPr/>
                        <w:t>ganancias</w:t>
                      </w:r>
                      <w:r>
                        <w:rPr>
                          <w:spacing w:val="-3"/>
                        </w:rPr>
                        <w:t> </w:t>
                      </w:r>
                      <w:r>
                        <w:rPr/>
                        <w:t>e</w:t>
                      </w:r>
                      <w:r>
                        <w:rPr>
                          <w:spacing w:val="-2"/>
                        </w:rPr>
                        <w:t> </w:t>
                      </w:r>
                      <w:r>
                        <w:rPr/>
                        <w:t>incentivos</w:t>
                      </w:r>
                      <w:r>
                        <w:rPr>
                          <w:spacing w:val="-5"/>
                        </w:rPr>
                        <w:t> </w:t>
                      </w:r>
                      <w:r>
                        <w:rPr/>
                        <w:t>a</w:t>
                      </w:r>
                      <w:r>
                        <w:rPr>
                          <w:spacing w:val="-4"/>
                        </w:rPr>
                        <w:t> </w:t>
                      </w:r>
                      <w:r>
                        <w:rPr/>
                        <w:t>largo</w:t>
                      </w:r>
                      <w:r>
                        <w:rPr>
                          <w:spacing w:val="-2"/>
                        </w:rPr>
                        <w:t> plazo.</w:t>
                      </w:r>
                    </w:p>
                    <w:p>
                      <w:pPr>
                        <w:pStyle w:val="BodyText"/>
                        <w:numPr>
                          <w:ilvl w:val="0"/>
                          <w:numId w:val="54"/>
                        </w:numPr>
                        <w:tabs>
                          <w:tab w:pos="823" w:val="left" w:leader="none"/>
                        </w:tabs>
                        <w:spacing w:line="273" w:lineRule="auto" w:before="36" w:after="0"/>
                        <w:ind w:left="823" w:right="101" w:hanging="360"/>
                        <w:jc w:val="left"/>
                      </w:pPr>
                      <w:r>
                        <w:rPr/>
                        <w:t>Las</w:t>
                      </w:r>
                      <w:r>
                        <w:rPr>
                          <w:spacing w:val="-6"/>
                        </w:rPr>
                        <w:t> </w:t>
                      </w:r>
                      <w:r>
                        <w:rPr/>
                        <w:t>retribuciones</w:t>
                      </w:r>
                      <w:r>
                        <w:rPr>
                          <w:spacing w:val="-6"/>
                        </w:rPr>
                        <w:t> </w:t>
                      </w:r>
                      <w:r>
                        <w:rPr/>
                        <w:t>y</w:t>
                      </w:r>
                      <w:r>
                        <w:rPr>
                          <w:spacing w:val="-8"/>
                        </w:rPr>
                        <w:t> </w:t>
                      </w:r>
                      <w:r>
                        <w:rPr/>
                        <w:t>contraprestaciones</w:t>
                      </w:r>
                      <w:r>
                        <w:rPr>
                          <w:spacing w:val="-6"/>
                        </w:rPr>
                        <w:t> </w:t>
                      </w:r>
                      <w:r>
                        <w:rPr/>
                        <w:t>por</w:t>
                      </w:r>
                      <w:r>
                        <w:rPr>
                          <w:spacing w:val="-7"/>
                        </w:rPr>
                        <w:t> </w:t>
                      </w:r>
                      <w:r>
                        <w:rPr/>
                        <w:t>pagar</w:t>
                      </w:r>
                      <w:r>
                        <w:rPr>
                          <w:spacing w:val="-8"/>
                        </w:rPr>
                        <w:t> </w:t>
                      </w:r>
                      <w:r>
                        <w:rPr/>
                        <w:t>por</w:t>
                      </w:r>
                      <w:r>
                        <w:rPr>
                          <w:spacing w:val="-7"/>
                        </w:rPr>
                        <w:t> </w:t>
                      </w:r>
                      <w:r>
                        <w:rPr/>
                        <w:t>la</w:t>
                      </w:r>
                      <w:r>
                        <w:rPr>
                          <w:spacing w:val="-11"/>
                        </w:rPr>
                        <w:t> </w:t>
                      </w:r>
                      <w:r>
                        <w:rPr/>
                        <w:t>entidad</w:t>
                      </w:r>
                      <w:r>
                        <w:rPr>
                          <w:spacing w:val="-8"/>
                        </w:rPr>
                        <w:t> </w:t>
                      </w:r>
                      <w:r>
                        <w:rPr/>
                        <w:t>hasta</w:t>
                      </w:r>
                      <w:r>
                        <w:rPr>
                          <w:spacing w:val="-10"/>
                        </w:rPr>
                        <w:t> </w:t>
                      </w:r>
                      <w:r>
                        <w:rPr/>
                        <w:t>que</w:t>
                      </w:r>
                      <w:r>
                        <w:rPr>
                          <w:spacing w:val="-6"/>
                        </w:rPr>
                        <w:t> </w:t>
                      </w:r>
                      <w:r>
                        <w:rPr/>
                        <w:t>un</w:t>
                      </w:r>
                      <w:r>
                        <w:rPr>
                          <w:spacing w:val="-7"/>
                        </w:rPr>
                        <w:t> </w:t>
                      </w:r>
                      <w:r>
                        <w:rPr/>
                        <w:t>individuo</w:t>
                      </w:r>
                      <w:r>
                        <w:rPr>
                          <w:spacing w:val="-6"/>
                        </w:rPr>
                        <w:t> </w:t>
                      </w:r>
                      <w:r>
                        <w:rPr/>
                        <w:t>deje</w:t>
                      </w:r>
                      <w:r>
                        <w:rPr>
                          <w:spacing w:val="-8"/>
                        </w:rPr>
                        <w:t> </w:t>
                      </w:r>
                      <w:r>
                        <w:rPr/>
                        <w:t>el empleo e ingrese a un nuevo empleo.</w:t>
                      </w:r>
                    </w:p>
                    <w:p>
                      <w:pPr>
                        <w:pStyle w:val="BodyText"/>
                        <w:spacing w:line="259" w:lineRule="auto" w:before="124"/>
                        <w:ind w:left="103" w:right="102"/>
                        <w:jc w:val="both"/>
                      </w:pPr>
                      <w:r>
                        <w:rPr/>
                        <w:t>Esta categoría no es aplicable para el IMAS, debido a que no se dispone de ningún tipo de contraprestación a los empleados que ingresen dentro del concepto de beneficios a largo plazo ni se proyecta a poseer en el futuro, por este motivo, las políticas asociadas a estas no serán citadas dentro de los Estados Financieros, ni se dispone de información a revelar relacionada.</w:t>
                      </w:r>
                    </w:p>
                  </w:txbxContent>
                </v:textbox>
                <v:stroke dashstyle="solid"/>
                <w10:wrap type="topAndBottom"/>
              </v:shape>
            </w:pict>
          </mc:Fallback>
        </mc:AlternateContent>
      </w:r>
    </w:p>
    <w:p>
      <w:pPr>
        <w:pStyle w:val="BodyText"/>
        <w:spacing w:before="186"/>
      </w:pPr>
    </w:p>
    <w:p>
      <w:pPr>
        <w:pStyle w:val="Heading6"/>
        <w:numPr>
          <w:ilvl w:val="2"/>
          <w:numId w:val="39"/>
        </w:numPr>
        <w:tabs>
          <w:tab w:pos="1339" w:val="left" w:leader="none"/>
        </w:tabs>
        <w:spacing w:line="240" w:lineRule="auto" w:before="0" w:after="0"/>
        <w:ind w:left="1339" w:right="0" w:hanging="358"/>
        <w:jc w:val="left"/>
      </w:pPr>
      <w:r>
        <w:rPr>
          <w:u w:val="single"/>
        </w:rPr>
        <w:t>indemnización</w:t>
      </w:r>
      <w:r>
        <w:rPr>
          <w:spacing w:val="-6"/>
          <w:u w:val="single"/>
        </w:rPr>
        <w:t> </w:t>
      </w:r>
      <w:r>
        <w:rPr>
          <w:u w:val="single"/>
        </w:rPr>
        <w:t>por</w:t>
      </w:r>
      <w:r>
        <w:rPr>
          <w:spacing w:val="-3"/>
          <w:u w:val="single"/>
        </w:rPr>
        <w:t> </w:t>
      </w:r>
      <w:r>
        <w:rPr>
          <w:u w:val="single"/>
        </w:rPr>
        <w:t>cese</w:t>
      </w:r>
      <w:r>
        <w:rPr>
          <w:spacing w:val="-2"/>
          <w:u w:val="single"/>
        </w:rPr>
        <w:t> </w:t>
      </w:r>
      <w:r>
        <w:rPr>
          <w:u w:val="single"/>
        </w:rPr>
        <w:t>(párrafo</w:t>
      </w:r>
      <w:r>
        <w:rPr>
          <w:spacing w:val="-2"/>
          <w:u w:val="single"/>
        </w:rPr>
        <w:t> </w:t>
      </w:r>
      <w:r>
        <w:rPr>
          <w:spacing w:val="-4"/>
          <w:u w:val="single"/>
        </w:rPr>
        <w:t>164)</w:t>
      </w:r>
    </w:p>
    <w:p>
      <w:pPr>
        <w:pStyle w:val="BodyText"/>
        <w:spacing w:before="43"/>
        <w:rPr>
          <w:b/>
        </w:rPr>
      </w:pPr>
    </w:p>
    <w:p>
      <w:pPr>
        <w:spacing w:before="0"/>
        <w:ind w:left="730"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730" w:right="922"/>
        <w:jc w:val="both"/>
      </w:pPr>
      <w:r>
        <w:rPr/>
        <w:t>Las</w:t>
      </w:r>
      <w:r>
        <w:rPr>
          <w:spacing w:val="-9"/>
        </w:rPr>
        <w:t> </w:t>
      </w:r>
      <w:r>
        <w:rPr/>
        <w:t>indemnizaciones</w:t>
      </w:r>
      <w:r>
        <w:rPr>
          <w:spacing w:val="-9"/>
        </w:rPr>
        <w:t> </w:t>
      </w:r>
      <w:r>
        <w:rPr/>
        <w:t>por</w:t>
      </w:r>
      <w:r>
        <w:rPr>
          <w:spacing w:val="-10"/>
        </w:rPr>
        <w:t> </w:t>
      </w:r>
      <w:r>
        <w:rPr/>
        <w:t>cese</w:t>
      </w:r>
      <w:r>
        <w:rPr>
          <w:spacing w:val="-11"/>
        </w:rPr>
        <w:t> </w:t>
      </w:r>
      <w:r>
        <w:rPr/>
        <w:t>corresponden</w:t>
      </w:r>
      <w:r>
        <w:rPr>
          <w:spacing w:val="-9"/>
        </w:rPr>
        <w:t> </w:t>
      </w:r>
      <w:r>
        <w:rPr/>
        <w:t>a</w:t>
      </w:r>
      <w:r>
        <w:rPr>
          <w:spacing w:val="-10"/>
        </w:rPr>
        <w:t> </w:t>
      </w:r>
      <w:r>
        <w:rPr/>
        <w:t>todos</w:t>
      </w:r>
      <w:r>
        <w:rPr>
          <w:spacing w:val="-9"/>
        </w:rPr>
        <w:t> </w:t>
      </w:r>
      <w:r>
        <w:rPr/>
        <w:t>aquellos</w:t>
      </w:r>
      <w:r>
        <w:rPr>
          <w:spacing w:val="-9"/>
        </w:rPr>
        <w:t> </w:t>
      </w:r>
      <w:r>
        <w:rPr/>
        <w:t>beneficios</w:t>
      </w:r>
      <w:r>
        <w:rPr>
          <w:spacing w:val="-11"/>
        </w:rPr>
        <w:t> </w:t>
      </w:r>
      <w:r>
        <w:rPr/>
        <w:t>que</w:t>
      </w:r>
      <w:r>
        <w:rPr>
          <w:spacing w:val="-11"/>
        </w:rPr>
        <w:t> </w:t>
      </w:r>
      <w:r>
        <w:rPr/>
        <w:t>la</w:t>
      </w:r>
      <w:r>
        <w:rPr>
          <w:spacing w:val="-11"/>
        </w:rPr>
        <w:t> </w:t>
      </w:r>
      <w:r>
        <w:rPr/>
        <w:t>entidad</w:t>
      </w:r>
      <w:r>
        <w:rPr>
          <w:spacing w:val="-10"/>
        </w:rPr>
        <w:t> </w:t>
      </w:r>
      <w:r>
        <w:rPr/>
        <w:t>espera</w:t>
      </w:r>
      <w:r>
        <w:rPr>
          <w:spacing w:val="-10"/>
        </w:rPr>
        <w:t> </w:t>
      </w:r>
      <w:r>
        <w:rPr/>
        <w:t>liquidar (pagar) en el momento en el que el funcionario finalice su relación laboral, ya sea en condiciones de renuncia</w:t>
      </w:r>
      <w:r>
        <w:rPr>
          <w:spacing w:val="-14"/>
        </w:rPr>
        <w:t> </w:t>
      </w:r>
      <w:r>
        <w:rPr/>
        <w:t>voluntaria</w:t>
      </w:r>
      <w:r>
        <w:rPr>
          <w:spacing w:val="-14"/>
        </w:rPr>
        <w:t> </w:t>
      </w:r>
      <w:r>
        <w:rPr/>
        <w:t>o</w:t>
      </w:r>
      <w:r>
        <w:rPr>
          <w:spacing w:val="-14"/>
        </w:rPr>
        <w:t> </w:t>
      </w:r>
      <w:r>
        <w:rPr/>
        <w:t>despido</w:t>
      </w:r>
      <w:r>
        <w:rPr>
          <w:spacing w:val="-13"/>
        </w:rPr>
        <w:t> </w:t>
      </w:r>
      <w:r>
        <w:rPr/>
        <w:t>por</w:t>
      </w:r>
      <w:r>
        <w:rPr>
          <w:spacing w:val="-14"/>
        </w:rPr>
        <w:t> </w:t>
      </w:r>
      <w:r>
        <w:rPr/>
        <w:t>parte</w:t>
      </w:r>
      <w:r>
        <w:rPr>
          <w:spacing w:val="-14"/>
        </w:rPr>
        <w:t> </w:t>
      </w:r>
      <w:r>
        <w:rPr/>
        <w:t>de</w:t>
      </w:r>
      <w:r>
        <w:rPr>
          <w:spacing w:val="-14"/>
        </w:rPr>
        <w:t> </w:t>
      </w:r>
      <w:r>
        <w:rPr/>
        <w:t>la</w:t>
      </w:r>
      <w:r>
        <w:rPr>
          <w:spacing w:val="-13"/>
        </w:rPr>
        <w:t> </w:t>
      </w:r>
      <w:r>
        <w:rPr/>
        <w:t>entidad</w:t>
      </w:r>
      <w:r>
        <w:rPr>
          <w:spacing w:val="-14"/>
        </w:rPr>
        <w:t> </w:t>
      </w:r>
      <w:r>
        <w:rPr/>
        <w:t>(con</w:t>
      </w:r>
      <w:r>
        <w:rPr>
          <w:spacing w:val="-14"/>
        </w:rPr>
        <w:t> </w:t>
      </w:r>
      <w:r>
        <w:rPr/>
        <w:t>o</w:t>
      </w:r>
      <w:r>
        <w:rPr>
          <w:spacing w:val="-14"/>
        </w:rPr>
        <w:t> </w:t>
      </w:r>
      <w:r>
        <w:rPr/>
        <w:t>sin</w:t>
      </w:r>
      <w:r>
        <w:rPr>
          <w:spacing w:val="-13"/>
        </w:rPr>
        <w:t> </w:t>
      </w:r>
      <w:r>
        <w:rPr/>
        <w:t>responsabilidad</w:t>
      </w:r>
      <w:r>
        <w:rPr>
          <w:spacing w:val="-14"/>
        </w:rPr>
        <w:t> </w:t>
      </w:r>
      <w:r>
        <w:rPr/>
        <w:t>patronal).</w:t>
      </w:r>
      <w:r>
        <w:rPr>
          <w:spacing w:val="-14"/>
        </w:rPr>
        <w:t> </w:t>
      </w:r>
      <w:r>
        <w:rPr/>
        <w:t>Estos</w:t>
      </w:r>
      <w:r>
        <w:rPr>
          <w:spacing w:val="-14"/>
        </w:rPr>
        <w:t> </w:t>
      </w:r>
      <w:r>
        <w:rPr/>
        <w:t>surgen como consecuencia de:</w:t>
      </w:r>
    </w:p>
    <w:p>
      <w:pPr>
        <w:pStyle w:val="ListParagraph"/>
        <w:numPr>
          <w:ilvl w:val="0"/>
          <w:numId w:val="55"/>
        </w:numPr>
        <w:tabs>
          <w:tab w:pos="1450" w:val="left" w:leader="none"/>
        </w:tabs>
        <w:spacing w:line="273" w:lineRule="auto" w:before="119" w:after="0"/>
        <w:ind w:left="1450" w:right="931" w:hanging="360"/>
        <w:jc w:val="both"/>
        <w:rPr>
          <w:rFonts w:ascii="Symbol" w:hAnsi="Symbol"/>
          <w:sz w:val="22"/>
        </w:rPr>
      </w:pPr>
      <w:r>
        <w:rPr>
          <w:sz w:val="22"/>
        </w:rPr>
        <w:t>La decisión de la entidad de finalizar el contrato de un funcionario antes de la edad normal de retiro en condiciones de indemnización.</w:t>
      </w:r>
    </w:p>
    <w:p>
      <w:pPr>
        <w:pStyle w:val="ListParagraph"/>
        <w:numPr>
          <w:ilvl w:val="0"/>
          <w:numId w:val="55"/>
        </w:numPr>
        <w:tabs>
          <w:tab w:pos="1450" w:val="left" w:leader="none"/>
        </w:tabs>
        <w:spacing w:line="271" w:lineRule="auto" w:before="3" w:after="0"/>
        <w:ind w:left="1450" w:right="925" w:hanging="360"/>
        <w:jc w:val="both"/>
        <w:rPr>
          <w:rFonts w:ascii="Symbol" w:hAnsi="Symbol"/>
          <w:sz w:val="22"/>
        </w:rPr>
      </w:pPr>
      <w:r>
        <w:rPr>
          <w:sz w:val="22"/>
        </w:rPr>
        <w:t>La</w:t>
      </w:r>
      <w:r>
        <w:rPr>
          <w:spacing w:val="-14"/>
          <w:sz w:val="22"/>
        </w:rPr>
        <w:t> </w:t>
      </w:r>
      <w:r>
        <w:rPr>
          <w:sz w:val="22"/>
        </w:rPr>
        <w:t>decisión</w:t>
      </w:r>
      <w:r>
        <w:rPr>
          <w:spacing w:val="-11"/>
          <w:sz w:val="22"/>
        </w:rPr>
        <w:t> </w:t>
      </w:r>
      <w:r>
        <w:rPr>
          <w:sz w:val="22"/>
        </w:rPr>
        <w:t>de</w:t>
      </w:r>
      <w:r>
        <w:rPr>
          <w:spacing w:val="-12"/>
          <w:sz w:val="22"/>
        </w:rPr>
        <w:t> </w:t>
      </w:r>
      <w:r>
        <w:rPr>
          <w:sz w:val="22"/>
        </w:rPr>
        <w:t>un</w:t>
      </w:r>
      <w:r>
        <w:rPr>
          <w:spacing w:val="-13"/>
          <w:sz w:val="22"/>
        </w:rPr>
        <w:t> </w:t>
      </w:r>
      <w:r>
        <w:rPr>
          <w:sz w:val="22"/>
        </w:rPr>
        <w:t>funcionario</w:t>
      </w:r>
      <w:r>
        <w:rPr>
          <w:spacing w:val="-13"/>
          <w:sz w:val="22"/>
        </w:rPr>
        <w:t> </w:t>
      </w:r>
      <w:r>
        <w:rPr>
          <w:sz w:val="22"/>
        </w:rPr>
        <w:t>de</w:t>
      </w:r>
      <w:r>
        <w:rPr>
          <w:spacing w:val="-12"/>
          <w:sz w:val="22"/>
        </w:rPr>
        <w:t> </w:t>
      </w:r>
      <w:r>
        <w:rPr>
          <w:sz w:val="22"/>
        </w:rPr>
        <w:t>aceptar</w:t>
      </w:r>
      <w:r>
        <w:rPr>
          <w:spacing w:val="-13"/>
          <w:sz w:val="22"/>
        </w:rPr>
        <w:t> </w:t>
      </w:r>
      <w:r>
        <w:rPr>
          <w:sz w:val="22"/>
        </w:rPr>
        <w:t>voluntariamente</w:t>
      </w:r>
      <w:r>
        <w:rPr>
          <w:spacing w:val="-12"/>
          <w:sz w:val="22"/>
        </w:rPr>
        <w:t> </w:t>
      </w:r>
      <w:r>
        <w:rPr>
          <w:sz w:val="22"/>
        </w:rPr>
        <w:t>una</w:t>
      </w:r>
      <w:r>
        <w:rPr>
          <w:spacing w:val="-13"/>
          <w:sz w:val="22"/>
        </w:rPr>
        <w:t> </w:t>
      </w:r>
      <w:r>
        <w:rPr>
          <w:sz w:val="22"/>
        </w:rPr>
        <w:t>oferta</w:t>
      </w:r>
      <w:r>
        <w:rPr>
          <w:spacing w:val="-13"/>
          <w:sz w:val="22"/>
        </w:rPr>
        <w:t> </w:t>
      </w:r>
      <w:r>
        <w:rPr>
          <w:sz w:val="22"/>
        </w:rPr>
        <w:t>de</w:t>
      </w:r>
      <w:r>
        <w:rPr>
          <w:spacing w:val="-12"/>
          <w:sz w:val="22"/>
        </w:rPr>
        <w:t> </w:t>
      </w:r>
      <w:r>
        <w:rPr>
          <w:sz w:val="22"/>
        </w:rPr>
        <w:t>indemnización</w:t>
      </w:r>
      <w:r>
        <w:rPr>
          <w:spacing w:val="-13"/>
          <w:sz w:val="22"/>
        </w:rPr>
        <w:t> </w:t>
      </w:r>
      <w:r>
        <w:rPr>
          <w:sz w:val="22"/>
        </w:rPr>
        <w:t>a</w:t>
      </w:r>
      <w:r>
        <w:rPr>
          <w:spacing w:val="-13"/>
          <w:sz w:val="22"/>
        </w:rPr>
        <w:t> </w:t>
      </w:r>
      <w:r>
        <w:rPr>
          <w:sz w:val="22"/>
        </w:rPr>
        <w:t>cam-bio de la finalización del vínculo laboral en condiciones o no de retiro voluntario.</w:t>
      </w:r>
    </w:p>
    <w:p>
      <w:pPr>
        <w:pStyle w:val="BodyText"/>
        <w:spacing w:line="276" w:lineRule="auto" w:before="129"/>
        <w:ind w:left="730" w:right="925"/>
        <w:jc w:val="both"/>
      </w:pPr>
      <w:r>
        <w:rPr/>
        <w:t>Las</w:t>
      </w:r>
      <w:r>
        <w:rPr>
          <w:spacing w:val="-7"/>
        </w:rPr>
        <w:t> </w:t>
      </w:r>
      <w:r>
        <w:rPr/>
        <w:t>indemnizaciones</w:t>
      </w:r>
      <w:r>
        <w:rPr>
          <w:spacing w:val="-7"/>
        </w:rPr>
        <w:t> </w:t>
      </w:r>
      <w:r>
        <w:rPr/>
        <w:t>por</w:t>
      </w:r>
      <w:r>
        <w:rPr>
          <w:spacing w:val="-8"/>
        </w:rPr>
        <w:t> </w:t>
      </w:r>
      <w:r>
        <w:rPr/>
        <w:t>cese</w:t>
      </w:r>
      <w:r>
        <w:rPr>
          <w:spacing w:val="-9"/>
        </w:rPr>
        <w:t> </w:t>
      </w:r>
      <w:r>
        <w:rPr/>
        <w:t>corresponden</w:t>
      </w:r>
      <w:r>
        <w:rPr>
          <w:spacing w:val="-8"/>
        </w:rPr>
        <w:t> </w:t>
      </w:r>
      <w:r>
        <w:rPr/>
        <w:t>normalmente</w:t>
      </w:r>
      <w:r>
        <w:rPr>
          <w:spacing w:val="-9"/>
        </w:rPr>
        <w:t> </w:t>
      </w:r>
      <w:r>
        <w:rPr/>
        <w:t>a</w:t>
      </w:r>
      <w:r>
        <w:rPr>
          <w:spacing w:val="-9"/>
        </w:rPr>
        <w:t> </w:t>
      </w:r>
      <w:r>
        <w:rPr/>
        <w:t>pagos</w:t>
      </w:r>
      <w:r>
        <w:rPr>
          <w:spacing w:val="-7"/>
        </w:rPr>
        <w:t> </w:t>
      </w:r>
      <w:r>
        <w:rPr/>
        <w:t>únicos,</w:t>
      </w:r>
      <w:r>
        <w:rPr>
          <w:spacing w:val="-8"/>
        </w:rPr>
        <w:t> </w:t>
      </w:r>
      <w:r>
        <w:rPr/>
        <w:t>pero</w:t>
      </w:r>
      <w:r>
        <w:rPr>
          <w:spacing w:val="-10"/>
        </w:rPr>
        <w:t> </w:t>
      </w:r>
      <w:r>
        <w:rPr/>
        <w:t>en</w:t>
      </w:r>
      <w:r>
        <w:rPr>
          <w:spacing w:val="-10"/>
        </w:rPr>
        <w:t> </w:t>
      </w:r>
      <w:r>
        <w:rPr/>
        <w:t>ocasiones</w:t>
      </w:r>
      <w:r>
        <w:rPr>
          <w:spacing w:val="-7"/>
        </w:rPr>
        <w:t> </w:t>
      </w:r>
      <w:r>
        <w:rPr/>
        <w:t>también podrían incluir mejoras a las contribuciones de los beneficios post empleo o salarios hasta el final de un periodo específico de tiempo si el empleado no presta servicios posteriores que proporcionen beneficios económicos a la entidad.</w:t>
      </w:r>
    </w:p>
    <w:p>
      <w:pPr>
        <w:pStyle w:val="BodyText"/>
        <w:spacing w:line="276" w:lineRule="auto" w:before="120"/>
        <w:ind w:left="730" w:right="924"/>
        <w:jc w:val="both"/>
      </w:pPr>
      <w:r>
        <w:rPr/>
        <w:t>Las indemnizaciones por cese no incluyen beneficios a los empleados procedentes de la finalización del vínculo laboral a petición del empleado sin la oferta de una entidad, o como consecuencia de requerimientos de</w:t>
      </w:r>
      <w:r>
        <w:rPr>
          <w:spacing w:val="-3"/>
        </w:rPr>
        <w:t> </w:t>
      </w:r>
      <w:r>
        <w:rPr/>
        <w:t>retiro</w:t>
      </w:r>
      <w:r>
        <w:rPr>
          <w:spacing w:val="-3"/>
        </w:rPr>
        <w:t> </w:t>
      </w:r>
      <w:r>
        <w:rPr/>
        <w:t>obligatorios asignados por</w:t>
      </w:r>
      <w:r>
        <w:rPr>
          <w:spacing w:val="-1"/>
        </w:rPr>
        <w:t> </w:t>
      </w:r>
      <w:r>
        <w:rPr/>
        <w:t>Ley,</w:t>
      </w:r>
      <w:r>
        <w:rPr>
          <w:spacing w:val="-1"/>
        </w:rPr>
        <w:t> </w:t>
      </w:r>
      <w:r>
        <w:rPr/>
        <w:t>tales como la</w:t>
      </w:r>
      <w:r>
        <w:rPr>
          <w:spacing w:val="-2"/>
        </w:rPr>
        <w:t> </w:t>
      </w:r>
      <w:r>
        <w:rPr/>
        <w:t>cesantía</w:t>
      </w:r>
      <w:r>
        <w:rPr>
          <w:spacing w:val="-4"/>
        </w:rPr>
        <w:t> </w:t>
      </w:r>
      <w:r>
        <w:rPr/>
        <w:t>o prestaciones legales, porque esos beneficios son considerados post empleo.</w:t>
      </w:r>
    </w:p>
    <w:p>
      <w:pPr>
        <w:pStyle w:val="BodyText"/>
        <w:spacing w:line="276" w:lineRule="auto" w:before="121"/>
        <w:ind w:left="730" w:right="926"/>
        <w:jc w:val="both"/>
      </w:pPr>
      <w:r>
        <w:rPr/>
        <w:t>La entidad clasificará el preaviso como una indemnización por cese al trabajador, este corresponde a un derecho que la persona trabajadora dispone cuando la entidad recurre a un despido con responsabilidad patronal sin brindar los días de anticipación establecidos por Ley. Este derecho solamente se otorga en los contratos por tiempo indefinido, el cual, si no es brindado en tiempo laborado, la entidad adquiere la obligación de retribuirlo por medio de efectivo o equivalentes.</w:t>
      </w:r>
    </w:p>
    <w:p>
      <w:pPr>
        <w:pStyle w:val="BodyText"/>
        <w:spacing w:line="276" w:lineRule="auto" w:before="120"/>
        <w:ind w:left="730" w:right="924"/>
        <w:jc w:val="both"/>
      </w:pPr>
      <w:r>
        <w:rPr/>
        <w:t>El preaviso se aplicará bajo las condiciones de trabajo establecidas en el marco legal de la República de Costa Rica. En caso de que la relación laboral se rompa, puede ser otorgado mediante tiempo, cancelando</w:t>
      </w:r>
      <w:r>
        <w:rPr>
          <w:spacing w:val="-5"/>
        </w:rPr>
        <w:t> </w:t>
      </w:r>
      <w:r>
        <w:rPr/>
        <w:t>de</w:t>
      </w:r>
      <w:r>
        <w:rPr>
          <w:spacing w:val="-3"/>
        </w:rPr>
        <w:t> </w:t>
      </w:r>
      <w:r>
        <w:rPr/>
        <w:t>manera</w:t>
      </w:r>
      <w:r>
        <w:rPr>
          <w:spacing w:val="-3"/>
        </w:rPr>
        <w:t> </w:t>
      </w:r>
      <w:r>
        <w:rPr/>
        <w:t>monetaria,</w:t>
      </w:r>
      <w:r>
        <w:rPr>
          <w:spacing w:val="-2"/>
        </w:rPr>
        <w:t> </w:t>
      </w:r>
      <w:r>
        <w:rPr/>
        <w:t>o</w:t>
      </w:r>
      <w:r>
        <w:rPr>
          <w:spacing w:val="-1"/>
        </w:rPr>
        <w:t> </w:t>
      </w:r>
      <w:r>
        <w:rPr/>
        <w:t>cuando</w:t>
      </w:r>
      <w:r>
        <w:rPr>
          <w:spacing w:val="-2"/>
        </w:rPr>
        <w:t> </w:t>
      </w:r>
      <w:r>
        <w:rPr/>
        <w:t>se</w:t>
      </w:r>
      <w:r>
        <w:rPr>
          <w:spacing w:val="-4"/>
        </w:rPr>
        <w:t> </w:t>
      </w:r>
      <w:r>
        <w:rPr/>
        <w:t>presente</w:t>
      </w:r>
      <w:r>
        <w:rPr>
          <w:spacing w:val="-2"/>
        </w:rPr>
        <w:t> </w:t>
      </w:r>
      <w:r>
        <w:rPr/>
        <w:t>un</w:t>
      </w:r>
      <w:r>
        <w:rPr>
          <w:spacing w:val="-2"/>
        </w:rPr>
        <w:t> </w:t>
      </w:r>
      <w:r>
        <w:rPr/>
        <w:t>litigio</w:t>
      </w:r>
      <w:r>
        <w:rPr>
          <w:spacing w:val="-2"/>
        </w:rPr>
        <w:t> </w:t>
      </w:r>
      <w:r>
        <w:rPr/>
        <w:t>puede</w:t>
      </w:r>
      <w:r>
        <w:rPr>
          <w:spacing w:val="-4"/>
        </w:rPr>
        <w:t> </w:t>
      </w:r>
      <w:r>
        <w:rPr/>
        <w:t>ser</w:t>
      </w:r>
      <w:r>
        <w:rPr>
          <w:spacing w:val="-2"/>
        </w:rPr>
        <w:t> </w:t>
      </w:r>
      <w:r>
        <w:rPr/>
        <w:t>provisionado</w:t>
      </w:r>
      <w:r>
        <w:rPr>
          <w:spacing w:val="-2"/>
        </w:rPr>
        <w:t> </w:t>
      </w:r>
      <w:r>
        <w:rPr/>
        <w:t>de</w:t>
      </w:r>
      <w:r>
        <w:rPr>
          <w:spacing w:val="-4"/>
        </w:rPr>
        <w:t> </w:t>
      </w:r>
      <w:r>
        <w:rPr>
          <w:spacing w:val="-2"/>
        </w:rPr>
        <w:t>acuerdo</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1200">
                <wp:simplePos x="0" y="0"/>
                <wp:positionH relativeFrom="page">
                  <wp:posOffset>9525</wp:posOffset>
                </wp:positionH>
                <wp:positionV relativeFrom="page">
                  <wp:posOffset>297208</wp:posOffset>
                </wp:positionV>
                <wp:extent cx="7762875" cy="9748520"/>
                <wp:effectExtent l="0" t="0" r="0" b="0"/>
                <wp:wrapNone/>
                <wp:docPr id="631" name="Group 631"/>
                <wp:cNvGraphicFramePr>
                  <a:graphicFrameLocks/>
                </wp:cNvGraphicFramePr>
                <a:graphic>
                  <a:graphicData uri="http://schemas.microsoft.com/office/word/2010/wordprocessingGroup">
                    <wpg:wgp>
                      <wpg:cNvPr id="631" name="Group 631"/>
                      <wpg:cNvGrpSpPr/>
                      <wpg:grpSpPr>
                        <a:xfrm>
                          <a:off x="0" y="0"/>
                          <a:ext cx="7762875" cy="9748520"/>
                          <a:chExt cx="7762875" cy="9748520"/>
                        </a:xfrm>
                      </wpg:grpSpPr>
                      <pic:pic>
                        <pic:nvPicPr>
                          <pic:cNvPr id="632" name="Image 632"/>
                          <pic:cNvPicPr/>
                        </pic:nvPicPr>
                        <pic:blipFill>
                          <a:blip r:embed="rId5" cstate="print"/>
                          <a:stretch>
                            <a:fillRect/>
                          </a:stretch>
                        </pic:blipFill>
                        <pic:spPr>
                          <a:xfrm>
                            <a:off x="0" y="0"/>
                            <a:ext cx="7762874" cy="9748489"/>
                          </a:xfrm>
                          <a:prstGeom prst="rect">
                            <a:avLst/>
                          </a:prstGeom>
                        </pic:spPr>
                      </pic:pic>
                      <wps:wsp>
                        <wps:cNvPr id="633" name="Graphic 633"/>
                        <wps:cNvSpPr/>
                        <wps:spPr>
                          <a:xfrm>
                            <a:off x="1053007" y="990837"/>
                            <a:ext cx="5736590" cy="4298315"/>
                          </a:xfrm>
                          <a:custGeom>
                            <a:avLst/>
                            <a:gdLst/>
                            <a:ahLst/>
                            <a:cxnLst/>
                            <a:rect l="l" t="t" r="r" b="b"/>
                            <a:pathLst>
                              <a:path w="5736590" h="4298315">
                                <a:moveTo>
                                  <a:pt x="5649214" y="0"/>
                                </a:moveTo>
                                <a:lnTo>
                                  <a:pt x="0" y="0"/>
                                </a:lnTo>
                                <a:lnTo>
                                  <a:pt x="0" y="9131"/>
                                </a:lnTo>
                                <a:lnTo>
                                  <a:pt x="5649214" y="9131"/>
                                </a:lnTo>
                                <a:lnTo>
                                  <a:pt x="5649214" y="0"/>
                                </a:lnTo>
                                <a:close/>
                              </a:path>
                              <a:path w="5736590" h="4298315">
                                <a:moveTo>
                                  <a:pt x="5736018" y="126479"/>
                                </a:moveTo>
                                <a:lnTo>
                                  <a:pt x="5729986" y="126479"/>
                                </a:lnTo>
                                <a:lnTo>
                                  <a:pt x="5729935" y="132575"/>
                                </a:lnTo>
                                <a:lnTo>
                                  <a:pt x="5729935" y="4292206"/>
                                </a:lnTo>
                                <a:lnTo>
                                  <a:pt x="21336" y="4292206"/>
                                </a:lnTo>
                                <a:lnTo>
                                  <a:pt x="21336" y="132575"/>
                                </a:lnTo>
                                <a:lnTo>
                                  <a:pt x="5729935" y="132575"/>
                                </a:lnTo>
                                <a:lnTo>
                                  <a:pt x="5729935" y="126479"/>
                                </a:lnTo>
                                <a:lnTo>
                                  <a:pt x="21336" y="126479"/>
                                </a:lnTo>
                                <a:lnTo>
                                  <a:pt x="15240" y="126479"/>
                                </a:lnTo>
                                <a:lnTo>
                                  <a:pt x="15240" y="132575"/>
                                </a:lnTo>
                                <a:lnTo>
                                  <a:pt x="15240" y="4292206"/>
                                </a:lnTo>
                                <a:lnTo>
                                  <a:pt x="15240" y="4298302"/>
                                </a:lnTo>
                                <a:lnTo>
                                  <a:pt x="21336" y="4298302"/>
                                </a:lnTo>
                                <a:lnTo>
                                  <a:pt x="5729935" y="4298302"/>
                                </a:lnTo>
                                <a:lnTo>
                                  <a:pt x="5736018" y="4298302"/>
                                </a:lnTo>
                                <a:lnTo>
                                  <a:pt x="5736018" y="4292206"/>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65280" id="docshapegroup609" coordorigin="15,468" coordsize="12225,15352">
                <v:shape style="position:absolute;left:15;top:468;width:12225;height:15352" type="#_x0000_t75" id="docshape610" stroked="false">
                  <v:imagedata r:id="rId5" o:title=""/>
                </v:shape>
                <v:shape style="position:absolute;left:1673;top:2028;width:9034;height:6769" id="docshape611" coordorigin="1673,2028" coordsize="9034,6769" path="m10570,2028l1673,2028,1673,2043,10570,2043,10570,2028xm10706,2228l10697,2228,10697,2228,10697,2237,10697,8788,1707,8788,1707,2237,10697,2237,10697,2228,1707,2228,1697,2228,1697,2237,1697,8788,1697,8797,1707,8797,10697,8797,10697,8797,10706,8797,10706,8788,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128</w:t>
      </w:r>
    </w:p>
    <w:p>
      <w:pPr>
        <w:pStyle w:val="BodyText"/>
        <w:spacing w:line="278" w:lineRule="auto" w:before="227"/>
        <w:ind w:left="730" w:right="930"/>
        <w:jc w:val="both"/>
      </w:pPr>
      <w:r>
        <w:rPr/>
        <w:t>con la NICSP 19. Se reconocerá un pasivo y un gasto devengado únicamente cuando se espera reconocer por medio de una contraprestación monetaria.</w:t>
      </w:r>
    </w:p>
    <w:p>
      <w:pPr>
        <w:pStyle w:val="BodyText"/>
        <w:spacing w:line="259" w:lineRule="auto" w:before="117"/>
        <w:ind w:left="730" w:right="922"/>
        <w:jc w:val="both"/>
      </w:pPr>
      <w:r>
        <w:rPr/>
        <w:t>También se reconocerá una indemnización por cese cuando la entidad reconozca costos por reestructuración, demandas o litigios que quede dentro del alcance de la NICSP 19 e involucre obligaciones</w:t>
      </w:r>
      <w:r>
        <w:rPr>
          <w:spacing w:val="-14"/>
        </w:rPr>
        <w:t> </w:t>
      </w:r>
      <w:r>
        <w:rPr/>
        <w:t>con</w:t>
      </w:r>
      <w:r>
        <w:rPr>
          <w:spacing w:val="-14"/>
        </w:rPr>
        <w:t> </w:t>
      </w:r>
      <w:r>
        <w:rPr/>
        <w:t>retribuciones</w:t>
      </w:r>
      <w:r>
        <w:rPr>
          <w:spacing w:val="-14"/>
        </w:rPr>
        <w:t> </w:t>
      </w:r>
      <w:r>
        <w:rPr/>
        <w:t>económicas</w:t>
      </w:r>
      <w:r>
        <w:rPr>
          <w:spacing w:val="-13"/>
        </w:rPr>
        <w:t> </w:t>
      </w:r>
      <w:r>
        <w:rPr/>
        <w:t>para</w:t>
      </w:r>
      <w:r>
        <w:rPr>
          <w:spacing w:val="-14"/>
        </w:rPr>
        <w:t> </w:t>
      </w:r>
      <w:r>
        <w:rPr/>
        <w:t>el</w:t>
      </w:r>
      <w:r>
        <w:rPr>
          <w:spacing w:val="-14"/>
        </w:rPr>
        <w:t> </w:t>
      </w:r>
      <w:r>
        <w:rPr/>
        <w:t>funcionario</w:t>
      </w:r>
      <w:r>
        <w:rPr>
          <w:spacing w:val="-14"/>
        </w:rPr>
        <w:t> </w:t>
      </w:r>
      <w:r>
        <w:rPr/>
        <w:t>posterior</w:t>
      </w:r>
      <w:r>
        <w:rPr>
          <w:spacing w:val="-13"/>
        </w:rPr>
        <w:t> </w:t>
      </w:r>
      <w:r>
        <w:rPr/>
        <w:t>a</w:t>
      </w:r>
      <w:r>
        <w:rPr>
          <w:spacing w:val="-14"/>
        </w:rPr>
        <w:t> </w:t>
      </w:r>
      <w:r>
        <w:rPr/>
        <w:t>la</w:t>
      </w:r>
      <w:r>
        <w:rPr>
          <w:spacing w:val="-14"/>
        </w:rPr>
        <w:t> </w:t>
      </w:r>
      <w:r>
        <w:rPr/>
        <w:t>finalización</w:t>
      </w:r>
      <w:r>
        <w:rPr>
          <w:spacing w:val="-14"/>
        </w:rPr>
        <w:t> </w:t>
      </w:r>
      <w:r>
        <w:rPr/>
        <w:t>de</w:t>
      </w:r>
      <w:r>
        <w:rPr>
          <w:spacing w:val="-13"/>
        </w:rPr>
        <w:t> </w:t>
      </w:r>
      <w:r>
        <w:rPr/>
        <w:t>su</w:t>
      </w:r>
      <w:r>
        <w:rPr>
          <w:spacing w:val="-14"/>
        </w:rPr>
        <w:t> </w:t>
      </w:r>
      <w:r>
        <w:rPr/>
        <w:t>contrato laboral.</w:t>
      </w:r>
      <w:r>
        <w:rPr>
          <w:spacing w:val="-5"/>
        </w:rPr>
        <w:t> </w:t>
      </w:r>
      <w:r>
        <w:rPr/>
        <w:t>Para</w:t>
      </w:r>
      <w:r>
        <w:rPr>
          <w:spacing w:val="-4"/>
        </w:rPr>
        <w:t> </w:t>
      </w:r>
      <w:r>
        <w:rPr/>
        <w:t>estos</w:t>
      </w:r>
      <w:r>
        <w:rPr>
          <w:spacing w:val="-3"/>
        </w:rPr>
        <w:t> </w:t>
      </w:r>
      <w:r>
        <w:rPr/>
        <w:t>efectos,</w:t>
      </w:r>
      <w:r>
        <w:rPr>
          <w:spacing w:val="-4"/>
        </w:rPr>
        <w:t> </w:t>
      </w:r>
      <w:r>
        <w:rPr/>
        <w:t>se</w:t>
      </w:r>
      <w:r>
        <w:rPr>
          <w:spacing w:val="-5"/>
        </w:rPr>
        <w:t> </w:t>
      </w:r>
      <w:r>
        <w:rPr/>
        <w:t>reconocerá</w:t>
      </w:r>
      <w:r>
        <w:rPr>
          <w:spacing w:val="-4"/>
        </w:rPr>
        <w:t> </w:t>
      </w:r>
      <w:r>
        <w:rPr/>
        <w:t>un</w:t>
      </w:r>
      <w:r>
        <w:rPr>
          <w:spacing w:val="-4"/>
        </w:rPr>
        <w:t> </w:t>
      </w:r>
      <w:r>
        <w:rPr/>
        <w:t>pasivo</w:t>
      </w:r>
      <w:r>
        <w:rPr>
          <w:spacing w:val="-3"/>
        </w:rPr>
        <w:t> </w:t>
      </w:r>
      <w:r>
        <w:rPr/>
        <w:t>y</w:t>
      </w:r>
      <w:r>
        <w:rPr>
          <w:spacing w:val="-5"/>
        </w:rPr>
        <w:t> </w:t>
      </w:r>
      <w:r>
        <w:rPr/>
        <w:t>un</w:t>
      </w:r>
      <w:r>
        <w:rPr>
          <w:spacing w:val="-4"/>
        </w:rPr>
        <w:t> </w:t>
      </w:r>
      <w:r>
        <w:rPr/>
        <w:t>gasto</w:t>
      </w:r>
      <w:r>
        <w:rPr>
          <w:spacing w:val="-3"/>
        </w:rPr>
        <w:t> </w:t>
      </w:r>
      <w:r>
        <w:rPr/>
        <w:t>por</w:t>
      </w:r>
      <w:r>
        <w:rPr>
          <w:spacing w:val="-4"/>
        </w:rPr>
        <w:t> </w:t>
      </w:r>
      <w:r>
        <w:rPr/>
        <w:t>indemnización</w:t>
      </w:r>
      <w:r>
        <w:rPr>
          <w:spacing w:val="-3"/>
        </w:rPr>
        <w:t> </w:t>
      </w:r>
      <w:r>
        <w:rPr/>
        <w:t>por</w:t>
      </w:r>
      <w:r>
        <w:rPr>
          <w:spacing w:val="-3"/>
        </w:rPr>
        <w:t> </w:t>
      </w:r>
      <w:r>
        <w:rPr/>
        <w:t>cese</w:t>
      </w:r>
      <w:r>
        <w:rPr>
          <w:spacing w:val="-5"/>
        </w:rPr>
        <w:t> </w:t>
      </w:r>
      <w:r>
        <w:rPr/>
        <w:t>en</w:t>
      </w:r>
      <w:r>
        <w:rPr>
          <w:spacing w:val="-3"/>
        </w:rPr>
        <w:t> </w:t>
      </w:r>
      <w:r>
        <w:rPr/>
        <w:t>la</w:t>
      </w:r>
      <w:r>
        <w:rPr>
          <w:spacing w:val="-5"/>
        </w:rPr>
        <w:t> </w:t>
      </w:r>
      <w:r>
        <w:rPr/>
        <w:t>fecha en el que quede en firme la obligación.</w:t>
      </w:r>
    </w:p>
    <w:p>
      <w:pPr>
        <w:pStyle w:val="BodyText"/>
        <w:spacing w:before="159"/>
        <w:ind w:left="730"/>
        <w:jc w:val="both"/>
      </w:pPr>
      <w:r>
        <w:rPr/>
        <w:t>Para</w:t>
      </w:r>
      <w:r>
        <w:rPr>
          <w:spacing w:val="-7"/>
        </w:rPr>
        <w:t> </w:t>
      </w:r>
      <w:r>
        <w:rPr/>
        <w:t>julio</w:t>
      </w:r>
      <w:r>
        <w:rPr>
          <w:spacing w:val="-3"/>
        </w:rPr>
        <w:t> </w:t>
      </w:r>
      <w:r>
        <w:rPr/>
        <w:t>2026,</w:t>
      </w:r>
      <w:r>
        <w:rPr>
          <w:spacing w:val="-4"/>
        </w:rPr>
        <w:t> </w:t>
      </w:r>
      <w:r>
        <w:rPr/>
        <w:t>la</w:t>
      </w:r>
      <w:r>
        <w:rPr>
          <w:spacing w:val="-4"/>
        </w:rPr>
        <w:t> </w:t>
      </w:r>
      <w:r>
        <w:rPr/>
        <w:t>Institución</w:t>
      </w:r>
      <w:r>
        <w:rPr>
          <w:spacing w:val="-3"/>
        </w:rPr>
        <w:t> </w:t>
      </w:r>
      <w:r>
        <w:rPr/>
        <w:t>registra</w:t>
      </w:r>
      <w:r>
        <w:rPr>
          <w:spacing w:val="-5"/>
        </w:rPr>
        <w:t> </w:t>
      </w:r>
      <w:r>
        <w:rPr/>
        <w:t>una</w:t>
      </w:r>
      <w:r>
        <w:rPr>
          <w:spacing w:val="-3"/>
        </w:rPr>
        <w:t> </w:t>
      </w:r>
      <w:r>
        <w:rPr/>
        <w:t>disminución</w:t>
      </w:r>
      <w:r>
        <w:rPr>
          <w:spacing w:val="-4"/>
        </w:rPr>
        <w:t> </w:t>
      </w:r>
      <w:r>
        <w:rPr/>
        <w:t>en</w:t>
      </w:r>
      <w:r>
        <w:rPr>
          <w:spacing w:val="-3"/>
        </w:rPr>
        <w:t> </w:t>
      </w:r>
      <w:r>
        <w:rPr/>
        <w:t>el</w:t>
      </w:r>
      <w:r>
        <w:rPr>
          <w:spacing w:val="-3"/>
        </w:rPr>
        <w:t> </w:t>
      </w:r>
      <w:r>
        <w:rPr/>
        <w:t>rubro</w:t>
      </w:r>
      <w:r>
        <w:rPr>
          <w:spacing w:val="-4"/>
        </w:rPr>
        <w:t> </w:t>
      </w:r>
      <w:r>
        <w:rPr/>
        <w:t>de</w:t>
      </w:r>
      <w:r>
        <w:rPr>
          <w:spacing w:val="-5"/>
        </w:rPr>
        <w:t> </w:t>
      </w:r>
      <w:r>
        <w:rPr/>
        <w:t>retribución</w:t>
      </w:r>
      <w:r>
        <w:rPr>
          <w:spacing w:val="-4"/>
        </w:rPr>
        <w:t> </w:t>
      </w:r>
      <w:r>
        <w:rPr/>
        <w:t>por</w:t>
      </w:r>
      <w:r>
        <w:rPr>
          <w:spacing w:val="-3"/>
        </w:rPr>
        <w:t> </w:t>
      </w:r>
      <w:r>
        <w:rPr/>
        <w:t>años</w:t>
      </w:r>
      <w:r>
        <w:rPr>
          <w:spacing w:val="-2"/>
        </w:rPr>
        <w:t> servidos</w:t>
      </w:r>
    </w:p>
    <w:p>
      <w:pPr>
        <w:pStyle w:val="BodyText"/>
        <w:spacing w:line="276" w:lineRule="auto" w:before="38"/>
        <w:ind w:left="730" w:right="923"/>
        <w:jc w:val="both"/>
      </w:pPr>
      <w:r>
        <w:rPr/>
        <w:t>,</w:t>
      </w:r>
      <w:r>
        <w:rPr>
          <w:spacing w:val="-2"/>
        </w:rPr>
        <w:t> </w:t>
      </w:r>
      <w:r>
        <w:rPr/>
        <w:t>las</w:t>
      </w:r>
      <w:r>
        <w:rPr>
          <w:spacing w:val="-1"/>
        </w:rPr>
        <w:t> </w:t>
      </w:r>
      <w:r>
        <w:rPr/>
        <w:t>cuales</w:t>
      </w:r>
      <w:r>
        <w:rPr>
          <w:spacing w:val="-4"/>
        </w:rPr>
        <w:t> </w:t>
      </w:r>
      <w:r>
        <w:rPr/>
        <w:t>se</w:t>
      </w:r>
      <w:r>
        <w:rPr>
          <w:spacing w:val="-3"/>
        </w:rPr>
        <w:t> </w:t>
      </w:r>
      <w:r>
        <w:rPr/>
        <w:t>reconocen</w:t>
      </w:r>
      <w:r>
        <w:rPr>
          <w:spacing w:val="-2"/>
        </w:rPr>
        <w:t> </w:t>
      </w:r>
      <w:r>
        <w:rPr/>
        <w:t>dentro</w:t>
      </w:r>
      <w:r>
        <w:rPr>
          <w:spacing w:val="-1"/>
        </w:rPr>
        <w:t> </w:t>
      </w:r>
      <w:r>
        <w:rPr/>
        <w:t>de</w:t>
      </w:r>
      <w:r>
        <w:rPr>
          <w:spacing w:val="-4"/>
        </w:rPr>
        <w:t> </w:t>
      </w:r>
      <w:r>
        <w:rPr/>
        <w:t>la</w:t>
      </w:r>
      <w:r>
        <w:rPr>
          <w:spacing w:val="-4"/>
        </w:rPr>
        <w:t> </w:t>
      </w:r>
      <w:r>
        <w:rPr/>
        <w:t>cuenta</w:t>
      </w:r>
      <w:r>
        <w:rPr>
          <w:spacing w:val="-5"/>
        </w:rPr>
        <w:t> </w:t>
      </w:r>
      <w:r>
        <w:rPr/>
        <w:t>Asistencia</w:t>
      </w:r>
      <w:r>
        <w:rPr>
          <w:spacing w:val="-5"/>
        </w:rPr>
        <w:t> </w:t>
      </w:r>
      <w:r>
        <w:rPr/>
        <w:t>social</w:t>
      </w:r>
      <w:r>
        <w:rPr>
          <w:spacing w:val="-2"/>
        </w:rPr>
        <w:t> </w:t>
      </w:r>
      <w:r>
        <w:rPr/>
        <w:t>y</w:t>
      </w:r>
      <w:r>
        <w:rPr>
          <w:spacing w:val="-4"/>
        </w:rPr>
        <w:t> </w:t>
      </w:r>
      <w:r>
        <w:rPr/>
        <w:t>beneficios</w:t>
      </w:r>
      <w:r>
        <w:rPr>
          <w:spacing w:val="-3"/>
        </w:rPr>
        <w:t> </w:t>
      </w:r>
      <w:r>
        <w:rPr/>
        <w:t>al</w:t>
      </w:r>
      <w:r>
        <w:rPr>
          <w:spacing w:val="-2"/>
        </w:rPr>
        <w:t> </w:t>
      </w:r>
      <w:r>
        <w:rPr/>
        <w:t>personal,</w:t>
      </w:r>
      <w:r>
        <w:rPr>
          <w:spacing w:val="-2"/>
        </w:rPr>
        <w:t> </w:t>
      </w:r>
      <w:r>
        <w:rPr/>
        <w:t>generando</w:t>
      </w:r>
      <w:r>
        <w:rPr>
          <w:spacing w:val="-2"/>
        </w:rPr>
        <w:t> </w:t>
      </w:r>
      <w:r>
        <w:rPr/>
        <w:t>una variación absoluta de ¢ -33.645,31, equivalente a una disminución del -4,51% respecto al periodo </w:t>
      </w:r>
      <w:r>
        <w:rPr>
          <w:spacing w:val="-2"/>
        </w:rPr>
        <w:t>anterior.</w:t>
      </w:r>
    </w:p>
    <w:p>
      <w:pPr>
        <w:pStyle w:val="BodyText"/>
        <w:spacing w:line="276" w:lineRule="auto"/>
        <w:ind w:left="730" w:right="922"/>
        <w:jc w:val="both"/>
      </w:pPr>
      <w:r>
        <w:rPr/>
        <w:t>Esta</w:t>
      </w:r>
      <w:r>
        <w:rPr>
          <w:spacing w:val="-14"/>
        </w:rPr>
        <w:t> </w:t>
      </w:r>
      <w:r>
        <w:rPr/>
        <w:t>variación</w:t>
      </w:r>
      <w:r>
        <w:rPr>
          <w:spacing w:val="-14"/>
        </w:rPr>
        <w:t> </w:t>
      </w:r>
      <w:r>
        <w:rPr/>
        <w:t>responde</w:t>
      </w:r>
      <w:r>
        <w:rPr>
          <w:spacing w:val="-13"/>
        </w:rPr>
        <w:t> </w:t>
      </w:r>
      <w:r>
        <w:rPr/>
        <w:t>a</w:t>
      </w:r>
      <w:r>
        <w:rPr>
          <w:spacing w:val="-13"/>
        </w:rPr>
        <w:t> </w:t>
      </w:r>
      <w:r>
        <w:rPr/>
        <w:t>una</w:t>
      </w:r>
      <w:r>
        <w:rPr>
          <w:spacing w:val="-13"/>
        </w:rPr>
        <w:t> </w:t>
      </w:r>
      <w:r>
        <w:rPr/>
        <w:t>disminución</w:t>
      </w:r>
      <w:r>
        <w:rPr>
          <w:spacing w:val="-12"/>
        </w:rPr>
        <w:t> </w:t>
      </w:r>
      <w:r>
        <w:rPr/>
        <w:t>en</w:t>
      </w:r>
      <w:r>
        <w:rPr>
          <w:spacing w:val="-13"/>
        </w:rPr>
        <w:t> </w:t>
      </w:r>
      <w:r>
        <w:rPr/>
        <w:t>la</w:t>
      </w:r>
      <w:r>
        <w:rPr>
          <w:spacing w:val="-14"/>
        </w:rPr>
        <w:t> </w:t>
      </w:r>
      <w:r>
        <w:rPr/>
        <w:t>terminación</w:t>
      </w:r>
      <w:r>
        <w:rPr>
          <w:spacing w:val="-13"/>
        </w:rPr>
        <w:t> </w:t>
      </w:r>
      <w:r>
        <w:rPr/>
        <w:t>de</w:t>
      </w:r>
      <w:r>
        <w:rPr>
          <w:spacing w:val="-14"/>
        </w:rPr>
        <w:t> </w:t>
      </w:r>
      <w:r>
        <w:rPr/>
        <w:t>relaciones</w:t>
      </w:r>
      <w:r>
        <w:rPr>
          <w:spacing w:val="-12"/>
        </w:rPr>
        <w:t> </w:t>
      </w:r>
      <w:r>
        <w:rPr/>
        <w:t>laborales</w:t>
      </w:r>
      <w:r>
        <w:rPr>
          <w:spacing w:val="-12"/>
        </w:rPr>
        <w:t> </w:t>
      </w:r>
      <w:r>
        <w:rPr/>
        <w:t>ocurridas</w:t>
      </w:r>
      <w:r>
        <w:rPr>
          <w:spacing w:val="-12"/>
        </w:rPr>
        <w:t> </w:t>
      </w:r>
      <w:r>
        <w:rPr/>
        <w:t>durante el periodo, las cuales no se presentaron de forma relevante en el ejercicio anterior, y cuyo reconocimiento se realizó conforme a los criterios establecidos en la NICSP 39.</w:t>
      </w:r>
    </w:p>
    <w:p>
      <w:pPr>
        <w:pStyle w:val="BodyText"/>
        <w:spacing w:before="38"/>
      </w:pPr>
    </w:p>
    <w:p>
      <w:pPr>
        <w:pStyle w:val="BodyText"/>
        <w:ind w:left="730"/>
        <w:jc w:val="both"/>
      </w:pPr>
      <w:r>
        <w:rPr/>
        <w:t>Detalle</w:t>
      </w:r>
      <w:r>
        <w:rPr>
          <w:spacing w:val="-7"/>
        </w:rPr>
        <w:t> </w:t>
      </w:r>
      <w:r>
        <w:rPr/>
        <w:t>de</w:t>
      </w:r>
      <w:r>
        <w:rPr>
          <w:spacing w:val="-4"/>
        </w:rPr>
        <w:t> </w:t>
      </w:r>
      <w:r>
        <w:rPr/>
        <w:t>la</w:t>
      </w:r>
      <w:r>
        <w:rPr>
          <w:spacing w:val="-4"/>
        </w:rPr>
        <w:t> </w:t>
      </w:r>
      <w:r>
        <w:rPr/>
        <w:t>composición</w:t>
      </w:r>
      <w:r>
        <w:rPr>
          <w:spacing w:val="-2"/>
        </w:rPr>
        <w:t> </w:t>
      </w:r>
      <w:r>
        <w:rPr/>
        <w:t>del</w:t>
      </w:r>
      <w:r>
        <w:rPr>
          <w:spacing w:val="-2"/>
        </w:rPr>
        <w:t> saldo</w:t>
      </w:r>
    </w:p>
    <w:p>
      <w:pPr>
        <w:pStyle w:val="BodyText"/>
        <w:spacing w:before="74"/>
      </w:pPr>
    </w:p>
    <w:p>
      <w:pPr>
        <w:pStyle w:val="BodyText"/>
        <w:ind w:left="730"/>
        <w:jc w:val="both"/>
      </w:pPr>
      <w:r>
        <w:rPr/>
        <w:t>En</w:t>
      </w:r>
      <w:r>
        <w:rPr>
          <w:spacing w:val="-6"/>
        </w:rPr>
        <w:t> </w:t>
      </w:r>
      <w:r>
        <w:rPr/>
        <w:t>julio</w:t>
      </w:r>
      <w:r>
        <w:rPr>
          <w:spacing w:val="-4"/>
        </w:rPr>
        <w:t> </w:t>
      </w:r>
      <w:r>
        <w:rPr/>
        <w:t>2026,</w:t>
      </w:r>
      <w:r>
        <w:rPr>
          <w:spacing w:val="-4"/>
        </w:rPr>
        <w:t> </w:t>
      </w:r>
      <w:r>
        <w:rPr/>
        <w:t>la</w:t>
      </w:r>
      <w:r>
        <w:rPr>
          <w:spacing w:val="-5"/>
        </w:rPr>
        <w:t> </w:t>
      </w:r>
      <w:r>
        <w:rPr/>
        <w:t>Institución</w:t>
      </w:r>
      <w:r>
        <w:rPr>
          <w:spacing w:val="-6"/>
        </w:rPr>
        <w:t> </w:t>
      </w:r>
      <w:r>
        <w:rPr/>
        <w:t>registra</w:t>
      </w:r>
      <w:r>
        <w:rPr>
          <w:spacing w:val="-5"/>
        </w:rPr>
        <w:t> </w:t>
      </w:r>
      <w:r>
        <w:rPr/>
        <w:t>indemnizaciones</w:t>
      </w:r>
      <w:r>
        <w:rPr>
          <w:spacing w:val="-3"/>
        </w:rPr>
        <w:t> </w:t>
      </w:r>
      <w:r>
        <w:rPr/>
        <w:t>por</w:t>
      </w:r>
      <w:r>
        <w:rPr>
          <w:spacing w:val="-4"/>
        </w:rPr>
        <w:t> </w:t>
      </w:r>
      <w:r>
        <w:rPr/>
        <w:t>cese</w:t>
      </w:r>
      <w:r>
        <w:rPr>
          <w:spacing w:val="-5"/>
        </w:rPr>
        <w:t> </w:t>
      </w:r>
      <w:r>
        <w:rPr/>
        <w:t>no</w:t>
      </w:r>
      <w:r>
        <w:rPr>
          <w:spacing w:val="-4"/>
        </w:rPr>
        <w:t> </w:t>
      </w:r>
      <w:r>
        <w:rPr/>
        <w:t>presentó</w:t>
      </w:r>
      <w:r>
        <w:rPr>
          <w:spacing w:val="-3"/>
        </w:rPr>
        <w:t> </w:t>
      </w:r>
      <w:r>
        <w:rPr>
          <w:spacing w:val="-2"/>
        </w:rPr>
        <w:t>movimiento.</w:t>
      </w:r>
    </w:p>
    <w:p>
      <w:pPr>
        <w:pStyle w:val="BodyText"/>
        <w:spacing w:before="76"/>
      </w:pPr>
    </w:p>
    <w:p>
      <w:pPr>
        <w:pStyle w:val="ListParagraph"/>
        <w:numPr>
          <w:ilvl w:val="0"/>
          <w:numId w:val="55"/>
        </w:numPr>
        <w:tabs>
          <w:tab w:pos="1449" w:val="left" w:leader="none"/>
        </w:tabs>
        <w:spacing w:line="240" w:lineRule="auto" w:before="1" w:after="0"/>
        <w:ind w:left="1449" w:right="0" w:hanging="359"/>
        <w:jc w:val="left"/>
        <w:rPr>
          <w:rFonts w:ascii="Symbol" w:hAnsi="Symbol"/>
          <w:sz w:val="20"/>
        </w:rPr>
      </w:pPr>
      <w:r>
        <w:rPr>
          <w:sz w:val="22"/>
        </w:rPr>
        <w:t>5.1.1.06.</w:t>
      </w:r>
      <w:r>
        <w:rPr>
          <w:spacing w:val="-6"/>
          <w:sz w:val="22"/>
        </w:rPr>
        <w:t> </w:t>
      </w:r>
      <w:r>
        <w:rPr>
          <w:sz w:val="22"/>
        </w:rPr>
        <w:t>–</w:t>
      </w:r>
      <w:r>
        <w:rPr>
          <w:spacing w:val="-5"/>
          <w:sz w:val="22"/>
        </w:rPr>
        <w:t> </w:t>
      </w:r>
      <w:r>
        <w:rPr>
          <w:sz w:val="22"/>
        </w:rPr>
        <w:t>Indemnizaciones</w:t>
      </w:r>
      <w:r>
        <w:rPr>
          <w:spacing w:val="-4"/>
          <w:sz w:val="22"/>
        </w:rPr>
        <w:t> </w:t>
      </w:r>
      <w:r>
        <w:rPr>
          <w:sz w:val="22"/>
        </w:rPr>
        <w:t>al</w:t>
      </w:r>
      <w:r>
        <w:rPr>
          <w:spacing w:val="-4"/>
          <w:sz w:val="22"/>
        </w:rPr>
        <w:t> </w:t>
      </w:r>
      <w:r>
        <w:rPr>
          <w:spacing w:val="-2"/>
          <w:sz w:val="22"/>
        </w:rPr>
        <w:t>personal</w:t>
      </w:r>
    </w:p>
    <w:p>
      <w:pPr>
        <w:pStyle w:val="BodyText"/>
        <w:spacing w:line="276" w:lineRule="auto" w:before="37"/>
        <w:ind w:left="730" w:right="928"/>
        <w:jc w:val="both"/>
      </w:pPr>
      <w:r>
        <w:rPr/>
        <w:t>Dicho saldo corresponde a pagos y obligaciones reconocidas por concepto de indemnización derivadas de la finalización de la relación laboral con personas funcionarias durante el periodo.</w:t>
      </w:r>
    </w:p>
    <w:p>
      <w:pPr>
        <w:pStyle w:val="BodyText"/>
        <w:spacing w:before="189"/>
      </w:pPr>
    </w:p>
    <w:p>
      <w:pPr>
        <w:pStyle w:val="Heading6"/>
        <w:numPr>
          <w:ilvl w:val="2"/>
          <w:numId w:val="39"/>
        </w:numPr>
        <w:tabs>
          <w:tab w:pos="1340" w:val="left" w:leader="none"/>
        </w:tabs>
        <w:spacing w:line="240" w:lineRule="auto" w:before="1" w:after="0"/>
        <w:ind w:left="1340" w:right="0" w:hanging="359"/>
        <w:jc w:val="left"/>
      </w:pPr>
      <w:r>
        <w:rPr>
          <w:u w:val="single"/>
        </w:rPr>
        <w:t>Cuentas</w:t>
      </w:r>
      <w:r>
        <w:rPr>
          <w:spacing w:val="-3"/>
          <w:u w:val="single"/>
        </w:rPr>
        <w:t> </w:t>
      </w:r>
      <w:r>
        <w:rPr>
          <w:u w:val="single"/>
        </w:rPr>
        <w:t>por</w:t>
      </w:r>
      <w:r>
        <w:rPr>
          <w:spacing w:val="-3"/>
          <w:u w:val="single"/>
        </w:rPr>
        <w:t> </w:t>
      </w:r>
      <w:r>
        <w:rPr>
          <w:u w:val="single"/>
        </w:rPr>
        <w:t>Pagar</w:t>
      </w:r>
      <w:r>
        <w:rPr>
          <w:spacing w:val="-3"/>
          <w:u w:val="single"/>
        </w:rPr>
        <w:t> </w:t>
      </w:r>
      <w:r>
        <w:rPr>
          <w:u w:val="single"/>
        </w:rPr>
        <w:t>por</w:t>
      </w:r>
      <w:r>
        <w:rPr>
          <w:spacing w:val="-3"/>
          <w:u w:val="single"/>
        </w:rPr>
        <w:t> </w:t>
      </w:r>
      <w:r>
        <w:rPr>
          <w:u w:val="single"/>
        </w:rPr>
        <w:t>concepto</w:t>
      </w:r>
      <w:r>
        <w:rPr>
          <w:spacing w:val="-3"/>
          <w:u w:val="single"/>
        </w:rPr>
        <w:t> </w:t>
      </w:r>
      <w:r>
        <w:rPr>
          <w:u w:val="single"/>
        </w:rPr>
        <w:t>de</w:t>
      </w:r>
      <w:r>
        <w:rPr>
          <w:spacing w:val="-2"/>
          <w:u w:val="single"/>
        </w:rPr>
        <w:t> </w:t>
      </w:r>
      <w:r>
        <w:rPr>
          <w:u w:val="single"/>
        </w:rPr>
        <w:t>aguinaldo</w:t>
      </w:r>
      <w:r>
        <w:rPr>
          <w:spacing w:val="-3"/>
          <w:u w:val="single"/>
        </w:rPr>
        <w:t> </w:t>
      </w:r>
      <w:r>
        <w:rPr>
          <w:u w:val="single"/>
        </w:rPr>
        <w:t>(párrafos</w:t>
      </w:r>
      <w:r>
        <w:rPr>
          <w:spacing w:val="-5"/>
          <w:u w:val="single"/>
        </w:rPr>
        <w:t> </w:t>
      </w:r>
      <w:r>
        <w:rPr>
          <w:u w:val="single"/>
        </w:rPr>
        <w:t>1,4,5,6</w:t>
      </w:r>
      <w:r>
        <w:rPr>
          <w:spacing w:val="-4"/>
          <w:u w:val="single"/>
        </w:rPr>
        <w:t> </w:t>
      </w:r>
      <w:r>
        <w:rPr>
          <w:u w:val="single"/>
        </w:rPr>
        <w:t>y</w:t>
      </w:r>
      <w:r>
        <w:rPr>
          <w:spacing w:val="-1"/>
          <w:u w:val="single"/>
        </w:rPr>
        <w:t> </w:t>
      </w:r>
      <w:r>
        <w:rPr>
          <w:spacing w:val="-5"/>
          <w:u w:val="single"/>
        </w:rPr>
        <w:t>9)</w:t>
      </w:r>
    </w:p>
    <w:p>
      <w:pPr>
        <w:pStyle w:val="BodyText"/>
        <w:spacing w:before="33"/>
        <w:rPr>
          <w:b/>
          <w:sz w:val="20"/>
        </w:rPr>
      </w:pPr>
      <w:r>
        <w:rPr>
          <w:b/>
          <w:sz w:val="20"/>
        </w:rPr>
        <mc:AlternateContent>
          <mc:Choice Requires="wps">
            <w:drawing>
              <wp:anchor distT="0" distB="0" distL="0" distR="0" allowOverlap="1" layoutInCell="1" locked="0" behindDoc="1" simplePos="0" relativeHeight="487713792">
                <wp:simplePos x="0" y="0"/>
                <wp:positionH relativeFrom="page">
                  <wp:posOffset>1080820</wp:posOffset>
                </wp:positionH>
                <wp:positionV relativeFrom="paragraph">
                  <wp:posOffset>184229</wp:posOffset>
                </wp:positionV>
                <wp:extent cx="5715000" cy="2815590"/>
                <wp:effectExtent l="0" t="0" r="0" b="0"/>
                <wp:wrapTopAndBottom/>
                <wp:docPr id="634" name="Textbox 634"/>
                <wp:cNvGraphicFramePr>
                  <a:graphicFrameLocks/>
                </wp:cNvGraphicFramePr>
                <a:graphic>
                  <a:graphicData uri="http://schemas.microsoft.com/office/word/2010/wordprocessingShape">
                    <wps:wsp>
                      <wps:cNvPr id="634" name="Textbox 634"/>
                      <wps:cNvSpPr txBox="1"/>
                      <wps:spPr>
                        <a:xfrm>
                          <a:off x="0" y="0"/>
                          <a:ext cx="5715000" cy="28155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1"/>
                              <w:jc w:val="both"/>
                            </w:pPr>
                            <w:r>
                              <w:rPr/>
                              <w:t>El aguinaldo (también conocido como decimotercer mes) corresponde a un acumulado del 13,76% del</w:t>
                            </w:r>
                            <w:r>
                              <w:rPr>
                                <w:spacing w:val="-1"/>
                              </w:rPr>
                              <w:t> </w:t>
                            </w:r>
                            <w:r>
                              <w:rPr/>
                              <w:t>salario total</w:t>
                            </w:r>
                            <w:r>
                              <w:rPr>
                                <w:spacing w:val="-1"/>
                              </w:rPr>
                              <w:t> </w:t>
                            </w:r>
                            <w:r>
                              <w:rPr/>
                              <w:t>bruto mensual</w:t>
                            </w:r>
                            <w:r>
                              <w:rPr>
                                <w:spacing w:val="-1"/>
                              </w:rPr>
                              <w:t> </w:t>
                            </w:r>
                            <w:r>
                              <w:rPr/>
                              <w:t>percibido por el</w:t>
                            </w:r>
                            <w:r>
                              <w:rPr>
                                <w:spacing w:val="-1"/>
                              </w:rPr>
                              <w:t> </w:t>
                            </w:r>
                            <w:r>
                              <w:rPr/>
                              <w:t>funcionario, dispuesto como el</w:t>
                            </w:r>
                            <w:r>
                              <w:rPr>
                                <w:spacing w:val="-1"/>
                              </w:rPr>
                              <w:t> </w:t>
                            </w:r>
                            <w:r>
                              <w:rPr/>
                              <w:t>“derecho a</w:t>
                            </w:r>
                            <w:r>
                              <w:rPr>
                                <w:spacing w:val="-1"/>
                              </w:rPr>
                              <w:t> </w:t>
                            </w:r>
                            <w:r>
                              <w:rPr/>
                              <w:t>un sueldo adicional en el mes de diciembre de cada año”, para los servidores, exservidores y pensionados del sector</w:t>
                            </w:r>
                            <w:r>
                              <w:rPr>
                                <w:spacing w:val="-10"/>
                              </w:rPr>
                              <w:t> </w:t>
                            </w:r>
                            <w:r>
                              <w:rPr/>
                              <w:t>público</w:t>
                            </w:r>
                            <w:r>
                              <w:rPr>
                                <w:spacing w:val="-10"/>
                              </w:rPr>
                              <w:t> </w:t>
                            </w:r>
                            <w:r>
                              <w:rPr/>
                              <w:t>descritos</w:t>
                            </w:r>
                            <w:r>
                              <w:rPr>
                                <w:spacing w:val="-10"/>
                              </w:rPr>
                              <w:t> </w:t>
                            </w:r>
                            <w:r>
                              <w:rPr/>
                              <w:t>en</w:t>
                            </w:r>
                            <w:r>
                              <w:rPr>
                                <w:spacing w:val="-11"/>
                              </w:rPr>
                              <w:t> </w:t>
                            </w:r>
                            <w:r>
                              <w:rPr/>
                              <w:t>la</w:t>
                            </w:r>
                            <w:r>
                              <w:rPr>
                                <w:spacing w:val="-12"/>
                              </w:rPr>
                              <w:t> </w:t>
                            </w:r>
                            <w:r>
                              <w:rPr/>
                              <w:t>Ley</w:t>
                            </w:r>
                            <w:r>
                              <w:rPr>
                                <w:spacing w:val="-10"/>
                              </w:rPr>
                              <w:t> </w:t>
                            </w:r>
                            <w:r>
                              <w:rPr/>
                              <w:t>N°1981</w:t>
                            </w:r>
                            <w:r>
                              <w:rPr>
                                <w:spacing w:val="-11"/>
                              </w:rPr>
                              <w:t> </w:t>
                            </w:r>
                            <w:r>
                              <w:rPr/>
                              <w:t>del</w:t>
                            </w:r>
                            <w:r>
                              <w:rPr>
                                <w:spacing w:val="-11"/>
                              </w:rPr>
                              <w:t> </w:t>
                            </w:r>
                            <w:r>
                              <w:rPr/>
                              <w:t>9</w:t>
                            </w:r>
                            <w:r>
                              <w:rPr>
                                <w:spacing w:val="-9"/>
                              </w:rPr>
                              <w:t> </w:t>
                            </w:r>
                            <w:r>
                              <w:rPr/>
                              <w:t>de</w:t>
                            </w:r>
                            <w:r>
                              <w:rPr>
                                <w:spacing w:val="-12"/>
                              </w:rPr>
                              <w:t> </w:t>
                            </w:r>
                            <w:r>
                              <w:rPr/>
                              <w:t>noviembre</w:t>
                            </w:r>
                            <w:r>
                              <w:rPr>
                                <w:spacing w:val="-12"/>
                              </w:rPr>
                              <w:t> </w:t>
                            </w:r>
                            <w:r>
                              <w:rPr/>
                              <w:t>de</w:t>
                            </w:r>
                            <w:r>
                              <w:rPr>
                                <w:spacing w:val="-12"/>
                              </w:rPr>
                              <w:t> </w:t>
                            </w:r>
                            <w:r>
                              <w:rPr/>
                              <w:t>1955</w:t>
                            </w:r>
                            <w:r>
                              <w:rPr>
                                <w:spacing w:val="-12"/>
                              </w:rPr>
                              <w:t> </w:t>
                            </w:r>
                            <w:r>
                              <w:rPr/>
                              <w:t>y</w:t>
                            </w:r>
                            <w:r>
                              <w:rPr>
                                <w:spacing w:val="-10"/>
                              </w:rPr>
                              <w:t> </w:t>
                            </w:r>
                            <w:r>
                              <w:rPr/>
                              <w:t>en</w:t>
                            </w:r>
                            <w:r>
                              <w:rPr>
                                <w:spacing w:val="-11"/>
                              </w:rPr>
                              <w:t> </w:t>
                            </w:r>
                            <w:r>
                              <w:rPr/>
                              <w:t>la</w:t>
                            </w:r>
                            <w:r>
                              <w:rPr>
                                <w:spacing w:val="-11"/>
                              </w:rPr>
                              <w:t> </w:t>
                            </w:r>
                            <w:r>
                              <w:rPr/>
                              <w:t>Ley</w:t>
                            </w:r>
                            <w:r>
                              <w:rPr>
                                <w:spacing w:val="-10"/>
                              </w:rPr>
                              <w:t> </w:t>
                            </w:r>
                            <w:r>
                              <w:rPr/>
                              <w:t>N°2</w:t>
                            </w:r>
                            <w:r>
                              <w:rPr>
                                <w:spacing w:val="-11"/>
                              </w:rPr>
                              <w:t> </w:t>
                            </w:r>
                            <w:r>
                              <w:rPr/>
                              <w:t>del</w:t>
                            </w:r>
                            <w:r>
                              <w:rPr>
                                <w:spacing w:val="-11"/>
                              </w:rPr>
                              <w:t> </w:t>
                            </w:r>
                            <w:r>
                              <w:rPr/>
                              <w:t>29</w:t>
                            </w:r>
                            <w:r>
                              <w:rPr>
                                <w:spacing w:val="-10"/>
                              </w:rPr>
                              <w:t> </w:t>
                            </w:r>
                            <w:r>
                              <w:rPr/>
                              <w:t>de</w:t>
                            </w:r>
                            <w:r>
                              <w:rPr>
                                <w:spacing w:val="-10"/>
                              </w:rPr>
                              <w:t> </w:t>
                            </w:r>
                            <w:r>
                              <w:rPr/>
                              <w:t>agosto de 1943 y sus reformas.</w:t>
                            </w:r>
                            <w:r>
                              <w:rPr>
                                <w:spacing w:val="40"/>
                              </w:rPr>
                              <w:t> </w:t>
                            </w:r>
                            <w:r>
                              <w:rPr/>
                              <w:t>El pasivo correspondiente se revela en la Nota No.14</w:t>
                            </w:r>
                          </w:p>
                          <w:p>
                            <w:pPr>
                              <w:pStyle w:val="BodyText"/>
                              <w:spacing w:line="276" w:lineRule="auto" w:before="120"/>
                              <w:ind w:left="103" w:right="101"/>
                              <w:jc w:val="both"/>
                            </w:pPr>
                            <w:r>
                              <w:rPr/>
                              <w:t>El aguinaldo se calcula acumulando el valor devengado durante el</w:t>
                            </w:r>
                            <w:r>
                              <w:rPr>
                                <w:spacing w:val="-1"/>
                              </w:rPr>
                              <w:t> </w:t>
                            </w:r>
                            <w:r>
                              <w:rPr/>
                              <w:t>mes de</w:t>
                            </w:r>
                            <w:r>
                              <w:rPr>
                                <w:spacing w:val="-2"/>
                              </w:rPr>
                              <w:t> </w:t>
                            </w:r>
                            <w:r>
                              <w:rPr/>
                              <w:t>noviembre del primer año hasta el mes de octubre del año siguiente y, será posteriormente cancelado en el mes de diciembre. Este rubro no posee deducciones por contribuciones sociales, sin embargo, si se debe aplicar deducciones a favor de terceros por concepto de pensiones de las cuales la entidad participa en condición de retenedor.</w:t>
                            </w:r>
                          </w:p>
                          <w:p>
                            <w:pPr>
                              <w:pStyle w:val="BodyText"/>
                              <w:spacing w:line="276" w:lineRule="auto" w:before="122"/>
                              <w:ind w:left="103" w:right="101"/>
                              <w:jc w:val="both"/>
                            </w:pPr>
                            <w:r>
                              <w:rPr/>
                              <w:t>Cuando el trabajador hubiera disfrutado de licencia para no asistir a su trabajo, sin goce de salario, o hubiera sido suspendido, el aguinaldo se calculará con base en el promedio de sueldos que resulte durante</w:t>
                            </w:r>
                            <w:r>
                              <w:rPr>
                                <w:spacing w:val="63"/>
                              </w:rPr>
                              <w:t> </w:t>
                            </w:r>
                            <w:r>
                              <w:rPr/>
                              <w:t>el</w:t>
                            </w:r>
                            <w:r>
                              <w:rPr>
                                <w:spacing w:val="64"/>
                              </w:rPr>
                              <w:t> </w:t>
                            </w:r>
                            <w:r>
                              <w:rPr/>
                              <w:t>respectivo</w:t>
                            </w:r>
                            <w:r>
                              <w:rPr>
                                <w:spacing w:val="65"/>
                              </w:rPr>
                              <w:t> </w:t>
                            </w:r>
                            <w:r>
                              <w:rPr/>
                              <w:t>año.</w:t>
                            </w:r>
                            <w:r>
                              <w:rPr>
                                <w:spacing w:val="63"/>
                              </w:rPr>
                              <w:t> </w:t>
                            </w:r>
                            <w:r>
                              <w:rPr/>
                              <w:t>En</w:t>
                            </w:r>
                            <w:r>
                              <w:rPr>
                                <w:spacing w:val="65"/>
                              </w:rPr>
                              <w:t> </w:t>
                            </w:r>
                            <w:r>
                              <w:rPr/>
                              <w:t>los</w:t>
                            </w:r>
                            <w:r>
                              <w:rPr>
                                <w:spacing w:val="66"/>
                              </w:rPr>
                              <w:t> </w:t>
                            </w:r>
                            <w:r>
                              <w:rPr/>
                              <w:t>demás</w:t>
                            </w:r>
                            <w:r>
                              <w:rPr>
                                <w:spacing w:val="66"/>
                              </w:rPr>
                              <w:t> </w:t>
                            </w:r>
                            <w:r>
                              <w:rPr/>
                              <w:t>casos</w:t>
                            </w:r>
                            <w:r>
                              <w:rPr>
                                <w:spacing w:val="66"/>
                              </w:rPr>
                              <w:t> </w:t>
                            </w:r>
                            <w:r>
                              <w:rPr/>
                              <w:t>de</w:t>
                            </w:r>
                            <w:r>
                              <w:rPr>
                                <w:spacing w:val="61"/>
                              </w:rPr>
                              <w:t> </w:t>
                            </w:r>
                            <w:r>
                              <w:rPr/>
                              <w:t>suspensión</w:t>
                            </w:r>
                            <w:r>
                              <w:rPr>
                                <w:spacing w:val="65"/>
                              </w:rPr>
                              <w:t> </w:t>
                            </w:r>
                            <w:r>
                              <w:rPr/>
                              <w:t>de</w:t>
                            </w:r>
                            <w:r>
                              <w:rPr>
                                <w:spacing w:val="63"/>
                              </w:rPr>
                              <w:t> </w:t>
                            </w:r>
                            <w:r>
                              <w:rPr/>
                              <w:t>la</w:t>
                            </w:r>
                            <w:r>
                              <w:rPr>
                                <w:spacing w:val="63"/>
                              </w:rPr>
                              <w:t> </w:t>
                            </w:r>
                            <w:r>
                              <w:rPr/>
                              <w:t>relación</w:t>
                            </w:r>
                            <w:r>
                              <w:rPr>
                                <w:spacing w:val="65"/>
                              </w:rPr>
                              <w:t> </w:t>
                            </w:r>
                            <w:r>
                              <w:rPr/>
                              <w:t>de</w:t>
                            </w:r>
                            <w:r>
                              <w:rPr>
                                <w:spacing w:val="63"/>
                              </w:rPr>
                              <w:t> </w:t>
                            </w:r>
                            <w:r>
                              <w:rPr/>
                              <w:t>trabajo</w:t>
                            </w:r>
                            <w:r>
                              <w:rPr>
                                <w:spacing w:val="65"/>
                              </w:rPr>
                              <w:t> </w:t>
                            </w:r>
                            <w:r>
                              <w:rPr>
                                <w:spacing w:val="-5"/>
                              </w:rPr>
                              <w:t>con</w:t>
                            </w:r>
                          </w:p>
                        </w:txbxContent>
                      </wps:txbx>
                      <wps:bodyPr wrap="square" lIns="0" tIns="0" rIns="0" bIns="0" rtlCol="0">
                        <a:noAutofit/>
                      </wps:bodyPr>
                    </wps:wsp>
                  </a:graphicData>
                </a:graphic>
              </wp:anchor>
            </w:drawing>
          </mc:Choice>
          <mc:Fallback>
            <w:pict>
              <v:shape style="position:absolute;margin-left:85.103996pt;margin-top:14.50625pt;width:450pt;height:221.7pt;mso-position-horizontal-relative:page;mso-position-vertical-relative:paragraph;z-index:-15602688;mso-wrap-distance-left:0;mso-wrap-distance-right:0" type="#_x0000_t202" id="docshape61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1"/>
                        <w:jc w:val="both"/>
                      </w:pPr>
                      <w:r>
                        <w:rPr/>
                        <w:t>El aguinaldo (también conocido como decimotercer mes) corresponde a un acumulado del 13,76% del</w:t>
                      </w:r>
                      <w:r>
                        <w:rPr>
                          <w:spacing w:val="-1"/>
                        </w:rPr>
                        <w:t> </w:t>
                      </w:r>
                      <w:r>
                        <w:rPr/>
                        <w:t>salario total</w:t>
                      </w:r>
                      <w:r>
                        <w:rPr>
                          <w:spacing w:val="-1"/>
                        </w:rPr>
                        <w:t> </w:t>
                      </w:r>
                      <w:r>
                        <w:rPr/>
                        <w:t>bruto mensual</w:t>
                      </w:r>
                      <w:r>
                        <w:rPr>
                          <w:spacing w:val="-1"/>
                        </w:rPr>
                        <w:t> </w:t>
                      </w:r>
                      <w:r>
                        <w:rPr/>
                        <w:t>percibido por el</w:t>
                      </w:r>
                      <w:r>
                        <w:rPr>
                          <w:spacing w:val="-1"/>
                        </w:rPr>
                        <w:t> </w:t>
                      </w:r>
                      <w:r>
                        <w:rPr/>
                        <w:t>funcionario, dispuesto como el</w:t>
                      </w:r>
                      <w:r>
                        <w:rPr>
                          <w:spacing w:val="-1"/>
                        </w:rPr>
                        <w:t> </w:t>
                      </w:r>
                      <w:r>
                        <w:rPr/>
                        <w:t>“derecho a</w:t>
                      </w:r>
                      <w:r>
                        <w:rPr>
                          <w:spacing w:val="-1"/>
                        </w:rPr>
                        <w:t> </w:t>
                      </w:r>
                      <w:r>
                        <w:rPr/>
                        <w:t>un sueldo adicional en el mes de diciembre de cada año”, para los servidores, exservidores y pensionados del sector</w:t>
                      </w:r>
                      <w:r>
                        <w:rPr>
                          <w:spacing w:val="-10"/>
                        </w:rPr>
                        <w:t> </w:t>
                      </w:r>
                      <w:r>
                        <w:rPr/>
                        <w:t>público</w:t>
                      </w:r>
                      <w:r>
                        <w:rPr>
                          <w:spacing w:val="-10"/>
                        </w:rPr>
                        <w:t> </w:t>
                      </w:r>
                      <w:r>
                        <w:rPr/>
                        <w:t>descritos</w:t>
                      </w:r>
                      <w:r>
                        <w:rPr>
                          <w:spacing w:val="-10"/>
                        </w:rPr>
                        <w:t> </w:t>
                      </w:r>
                      <w:r>
                        <w:rPr/>
                        <w:t>en</w:t>
                      </w:r>
                      <w:r>
                        <w:rPr>
                          <w:spacing w:val="-11"/>
                        </w:rPr>
                        <w:t> </w:t>
                      </w:r>
                      <w:r>
                        <w:rPr/>
                        <w:t>la</w:t>
                      </w:r>
                      <w:r>
                        <w:rPr>
                          <w:spacing w:val="-12"/>
                        </w:rPr>
                        <w:t> </w:t>
                      </w:r>
                      <w:r>
                        <w:rPr/>
                        <w:t>Ley</w:t>
                      </w:r>
                      <w:r>
                        <w:rPr>
                          <w:spacing w:val="-10"/>
                        </w:rPr>
                        <w:t> </w:t>
                      </w:r>
                      <w:r>
                        <w:rPr/>
                        <w:t>N°1981</w:t>
                      </w:r>
                      <w:r>
                        <w:rPr>
                          <w:spacing w:val="-11"/>
                        </w:rPr>
                        <w:t> </w:t>
                      </w:r>
                      <w:r>
                        <w:rPr/>
                        <w:t>del</w:t>
                      </w:r>
                      <w:r>
                        <w:rPr>
                          <w:spacing w:val="-11"/>
                        </w:rPr>
                        <w:t> </w:t>
                      </w:r>
                      <w:r>
                        <w:rPr/>
                        <w:t>9</w:t>
                      </w:r>
                      <w:r>
                        <w:rPr>
                          <w:spacing w:val="-9"/>
                        </w:rPr>
                        <w:t> </w:t>
                      </w:r>
                      <w:r>
                        <w:rPr/>
                        <w:t>de</w:t>
                      </w:r>
                      <w:r>
                        <w:rPr>
                          <w:spacing w:val="-12"/>
                        </w:rPr>
                        <w:t> </w:t>
                      </w:r>
                      <w:r>
                        <w:rPr/>
                        <w:t>noviembre</w:t>
                      </w:r>
                      <w:r>
                        <w:rPr>
                          <w:spacing w:val="-12"/>
                        </w:rPr>
                        <w:t> </w:t>
                      </w:r>
                      <w:r>
                        <w:rPr/>
                        <w:t>de</w:t>
                      </w:r>
                      <w:r>
                        <w:rPr>
                          <w:spacing w:val="-12"/>
                        </w:rPr>
                        <w:t> </w:t>
                      </w:r>
                      <w:r>
                        <w:rPr/>
                        <w:t>1955</w:t>
                      </w:r>
                      <w:r>
                        <w:rPr>
                          <w:spacing w:val="-12"/>
                        </w:rPr>
                        <w:t> </w:t>
                      </w:r>
                      <w:r>
                        <w:rPr/>
                        <w:t>y</w:t>
                      </w:r>
                      <w:r>
                        <w:rPr>
                          <w:spacing w:val="-10"/>
                        </w:rPr>
                        <w:t> </w:t>
                      </w:r>
                      <w:r>
                        <w:rPr/>
                        <w:t>en</w:t>
                      </w:r>
                      <w:r>
                        <w:rPr>
                          <w:spacing w:val="-11"/>
                        </w:rPr>
                        <w:t> </w:t>
                      </w:r>
                      <w:r>
                        <w:rPr/>
                        <w:t>la</w:t>
                      </w:r>
                      <w:r>
                        <w:rPr>
                          <w:spacing w:val="-11"/>
                        </w:rPr>
                        <w:t> </w:t>
                      </w:r>
                      <w:r>
                        <w:rPr/>
                        <w:t>Ley</w:t>
                      </w:r>
                      <w:r>
                        <w:rPr>
                          <w:spacing w:val="-10"/>
                        </w:rPr>
                        <w:t> </w:t>
                      </w:r>
                      <w:r>
                        <w:rPr/>
                        <w:t>N°2</w:t>
                      </w:r>
                      <w:r>
                        <w:rPr>
                          <w:spacing w:val="-11"/>
                        </w:rPr>
                        <w:t> </w:t>
                      </w:r>
                      <w:r>
                        <w:rPr/>
                        <w:t>del</w:t>
                      </w:r>
                      <w:r>
                        <w:rPr>
                          <w:spacing w:val="-11"/>
                        </w:rPr>
                        <w:t> </w:t>
                      </w:r>
                      <w:r>
                        <w:rPr/>
                        <w:t>29</w:t>
                      </w:r>
                      <w:r>
                        <w:rPr>
                          <w:spacing w:val="-10"/>
                        </w:rPr>
                        <w:t> </w:t>
                      </w:r>
                      <w:r>
                        <w:rPr/>
                        <w:t>de</w:t>
                      </w:r>
                      <w:r>
                        <w:rPr>
                          <w:spacing w:val="-10"/>
                        </w:rPr>
                        <w:t> </w:t>
                      </w:r>
                      <w:r>
                        <w:rPr/>
                        <w:t>agosto de 1943 y sus reformas.</w:t>
                      </w:r>
                      <w:r>
                        <w:rPr>
                          <w:spacing w:val="40"/>
                        </w:rPr>
                        <w:t> </w:t>
                      </w:r>
                      <w:r>
                        <w:rPr/>
                        <w:t>El pasivo correspondiente se revela en la Nota No.14</w:t>
                      </w:r>
                    </w:p>
                    <w:p>
                      <w:pPr>
                        <w:pStyle w:val="BodyText"/>
                        <w:spacing w:line="276" w:lineRule="auto" w:before="120"/>
                        <w:ind w:left="103" w:right="101"/>
                        <w:jc w:val="both"/>
                      </w:pPr>
                      <w:r>
                        <w:rPr/>
                        <w:t>El aguinaldo se calcula acumulando el valor devengado durante el</w:t>
                      </w:r>
                      <w:r>
                        <w:rPr>
                          <w:spacing w:val="-1"/>
                        </w:rPr>
                        <w:t> </w:t>
                      </w:r>
                      <w:r>
                        <w:rPr/>
                        <w:t>mes de</w:t>
                      </w:r>
                      <w:r>
                        <w:rPr>
                          <w:spacing w:val="-2"/>
                        </w:rPr>
                        <w:t> </w:t>
                      </w:r>
                      <w:r>
                        <w:rPr/>
                        <w:t>noviembre del primer año hasta el mes de octubre del año siguiente y, será posteriormente cancelado en el mes de diciembre. Este rubro no posee deducciones por contribuciones sociales, sin embargo, si se debe aplicar deducciones a favor de terceros por concepto de pensiones de las cuales la entidad participa en condición de retenedor.</w:t>
                      </w:r>
                    </w:p>
                    <w:p>
                      <w:pPr>
                        <w:pStyle w:val="BodyText"/>
                        <w:spacing w:line="276" w:lineRule="auto" w:before="122"/>
                        <w:ind w:left="103" w:right="101"/>
                        <w:jc w:val="both"/>
                      </w:pPr>
                      <w:r>
                        <w:rPr/>
                        <w:t>Cuando el trabajador hubiera disfrutado de licencia para no asistir a su trabajo, sin goce de salario, o hubiera sido suspendido, el aguinaldo se calculará con base en el promedio de sueldos que resulte durante</w:t>
                      </w:r>
                      <w:r>
                        <w:rPr>
                          <w:spacing w:val="63"/>
                        </w:rPr>
                        <w:t> </w:t>
                      </w:r>
                      <w:r>
                        <w:rPr/>
                        <w:t>el</w:t>
                      </w:r>
                      <w:r>
                        <w:rPr>
                          <w:spacing w:val="64"/>
                        </w:rPr>
                        <w:t> </w:t>
                      </w:r>
                      <w:r>
                        <w:rPr/>
                        <w:t>respectivo</w:t>
                      </w:r>
                      <w:r>
                        <w:rPr>
                          <w:spacing w:val="65"/>
                        </w:rPr>
                        <w:t> </w:t>
                      </w:r>
                      <w:r>
                        <w:rPr/>
                        <w:t>año.</w:t>
                      </w:r>
                      <w:r>
                        <w:rPr>
                          <w:spacing w:val="63"/>
                        </w:rPr>
                        <w:t> </w:t>
                      </w:r>
                      <w:r>
                        <w:rPr/>
                        <w:t>En</w:t>
                      </w:r>
                      <w:r>
                        <w:rPr>
                          <w:spacing w:val="65"/>
                        </w:rPr>
                        <w:t> </w:t>
                      </w:r>
                      <w:r>
                        <w:rPr/>
                        <w:t>los</w:t>
                      </w:r>
                      <w:r>
                        <w:rPr>
                          <w:spacing w:val="66"/>
                        </w:rPr>
                        <w:t> </w:t>
                      </w:r>
                      <w:r>
                        <w:rPr/>
                        <w:t>demás</w:t>
                      </w:r>
                      <w:r>
                        <w:rPr>
                          <w:spacing w:val="66"/>
                        </w:rPr>
                        <w:t> </w:t>
                      </w:r>
                      <w:r>
                        <w:rPr/>
                        <w:t>casos</w:t>
                      </w:r>
                      <w:r>
                        <w:rPr>
                          <w:spacing w:val="66"/>
                        </w:rPr>
                        <w:t> </w:t>
                      </w:r>
                      <w:r>
                        <w:rPr/>
                        <w:t>de</w:t>
                      </w:r>
                      <w:r>
                        <w:rPr>
                          <w:spacing w:val="61"/>
                        </w:rPr>
                        <w:t> </w:t>
                      </w:r>
                      <w:r>
                        <w:rPr/>
                        <w:t>suspensión</w:t>
                      </w:r>
                      <w:r>
                        <w:rPr>
                          <w:spacing w:val="65"/>
                        </w:rPr>
                        <w:t> </w:t>
                      </w:r>
                      <w:r>
                        <w:rPr/>
                        <w:t>de</w:t>
                      </w:r>
                      <w:r>
                        <w:rPr>
                          <w:spacing w:val="63"/>
                        </w:rPr>
                        <w:t> </w:t>
                      </w:r>
                      <w:r>
                        <w:rPr/>
                        <w:t>la</w:t>
                      </w:r>
                      <w:r>
                        <w:rPr>
                          <w:spacing w:val="63"/>
                        </w:rPr>
                        <w:t> </w:t>
                      </w:r>
                      <w:r>
                        <w:rPr/>
                        <w:t>relación</w:t>
                      </w:r>
                      <w:r>
                        <w:rPr>
                          <w:spacing w:val="65"/>
                        </w:rPr>
                        <w:t> </w:t>
                      </w:r>
                      <w:r>
                        <w:rPr/>
                        <w:t>de</w:t>
                      </w:r>
                      <w:r>
                        <w:rPr>
                          <w:spacing w:val="63"/>
                        </w:rPr>
                        <w:t> </w:t>
                      </w:r>
                      <w:r>
                        <w:rPr/>
                        <w:t>trabajo</w:t>
                      </w:r>
                      <w:r>
                        <w:rPr>
                          <w:spacing w:val="65"/>
                        </w:rPr>
                        <w:t> </w:t>
                      </w:r>
                      <w:r>
                        <w:rPr>
                          <w:spacing w:val="-5"/>
                        </w:rPr>
                        <w:t>con</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2736">
                <wp:simplePos x="0" y="0"/>
                <wp:positionH relativeFrom="page">
                  <wp:posOffset>9525</wp:posOffset>
                </wp:positionH>
                <wp:positionV relativeFrom="page">
                  <wp:posOffset>297208</wp:posOffset>
                </wp:positionV>
                <wp:extent cx="7762875" cy="9748520"/>
                <wp:effectExtent l="0" t="0" r="0" b="0"/>
                <wp:wrapNone/>
                <wp:docPr id="635" name="Group 635"/>
                <wp:cNvGraphicFramePr>
                  <a:graphicFrameLocks/>
                </wp:cNvGraphicFramePr>
                <a:graphic>
                  <a:graphicData uri="http://schemas.microsoft.com/office/word/2010/wordprocessingGroup">
                    <wpg:wgp>
                      <wpg:cNvPr id="635" name="Group 635"/>
                      <wpg:cNvGrpSpPr/>
                      <wpg:grpSpPr>
                        <a:xfrm>
                          <a:off x="0" y="0"/>
                          <a:ext cx="7762875" cy="9748520"/>
                          <a:chExt cx="7762875" cy="9748520"/>
                        </a:xfrm>
                      </wpg:grpSpPr>
                      <pic:pic>
                        <pic:nvPicPr>
                          <pic:cNvPr id="636" name="Image 636"/>
                          <pic:cNvPicPr/>
                        </pic:nvPicPr>
                        <pic:blipFill>
                          <a:blip r:embed="rId5" cstate="print"/>
                          <a:stretch>
                            <a:fillRect/>
                          </a:stretch>
                        </pic:blipFill>
                        <pic:spPr>
                          <a:xfrm>
                            <a:off x="0" y="0"/>
                            <a:ext cx="7762874" cy="9748489"/>
                          </a:xfrm>
                          <a:prstGeom prst="rect">
                            <a:avLst/>
                          </a:prstGeom>
                        </pic:spPr>
                      </pic:pic>
                      <wps:wsp>
                        <wps:cNvPr id="637" name="Graphic 63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38" name="Image 638"/>
                          <pic:cNvPicPr/>
                        </pic:nvPicPr>
                        <pic:blipFill>
                          <a:blip r:embed="rId72" cstate="print"/>
                          <a:stretch>
                            <a:fillRect/>
                          </a:stretch>
                        </pic:blipFill>
                        <pic:spPr>
                          <a:xfrm>
                            <a:off x="1789810" y="2040099"/>
                            <a:ext cx="4275455" cy="147447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63744" id="docshapegroup613" coordorigin="15,468" coordsize="12225,15352">
                <v:shape style="position:absolute;left:15;top:468;width:12225;height:15352" type="#_x0000_t75" id="docshape614" stroked="false">
                  <v:imagedata r:id="rId5" o:title=""/>
                </v:shape>
                <v:rect style="position:absolute;left:1673;top:2028;width:8897;height:15" id="docshape615" filled="true" fillcolor="#000000" stroked="false">
                  <v:fill type="solid"/>
                </v:rect>
                <v:shape style="position:absolute;left:2833;top:3680;width:6733;height:2322" type="#_x0000_t75" id="docshape616" stroked="false">
                  <v:imagedata r:id="rId72" o:title=""/>
                </v:shape>
                <w10:wrap type="none"/>
              </v:group>
            </w:pict>
          </mc:Fallback>
        </mc:AlternateContent>
      </w:r>
      <w:r>
        <w:rPr>
          <w:color w:val="172951"/>
          <w:sz w:val="20"/>
        </w:rPr>
        <w:t>Pág.</w:t>
      </w:r>
      <w:r>
        <w:rPr>
          <w:color w:val="172951"/>
          <w:spacing w:val="-7"/>
          <w:sz w:val="20"/>
        </w:rPr>
        <w:t> </w:t>
      </w:r>
      <w:r>
        <w:rPr>
          <w:color w:val="172951"/>
          <w:spacing w:val="-5"/>
          <w:sz w:val="20"/>
        </w:rPr>
        <w:t>129</w:t>
      </w:r>
    </w:p>
    <w:p>
      <w:pPr>
        <w:pStyle w:val="BodyText"/>
        <w:spacing w:before="10"/>
        <w:rPr>
          <w:sz w:val="16"/>
        </w:rPr>
      </w:pPr>
      <w:r>
        <w:rPr>
          <w:sz w:val="16"/>
        </w:rPr>
        <mc:AlternateContent>
          <mc:Choice Requires="wps">
            <w:drawing>
              <wp:anchor distT="0" distB="0" distL="0" distR="0" allowOverlap="1" layoutInCell="1" locked="0" behindDoc="1" simplePos="0" relativeHeight="487714816">
                <wp:simplePos x="0" y="0"/>
                <wp:positionH relativeFrom="page">
                  <wp:posOffset>1080820</wp:posOffset>
                </wp:positionH>
                <wp:positionV relativeFrom="paragraph">
                  <wp:posOffset>141144</wp:posOffset>
                </wp:positionV>
                <wp:extent cx="5715000" cy="4528820"/>
                <wp:effectExtent l="0" t="0" r="0" b="0"/>
                <wp:wrapTopAndBottom/>
                <wp:docPr id="639" name="Textbox 639"/>
                <wp:cNvGraphicFramePr>
                  <a:graphicFrameLocks/>
                </wp:cNvGraphicFramePr>
                <a:graphic>
                  <a:graphicData uri="http://schemas.microsoft.com/office/word/2010/wordprocessingShape">
                    <wps:wsp>
                      <wps:cNvPr id="639" name="Textbox 639"/>
                      <wps:cNvSpPr txBox="1"/>
                      <wps:spPr>
                        <a:xfrm>
                          <a:off x="0" y="0"/>
                          <a:ext cx="5715000" cy="4528820"/>
                        </a:xfrm>
                        <a:prstGeom prst="rect">
                          <a:avLst/>
                        </a:prstGeom>
                        <a:ln w="6095">
                          <a:solidFill>
                            <a:srgbClr val="000000"/>
                          </a:solidFill>
                          <a:prstDash val="solid"/>
                        </a:ln>
                      </wps:spPr>
                      <wps:txbx>
                        <w:txbxContent>
                          <w:p>
                            <w:pPr>
                              <w:pStyle w:val="BodyText"/>
                              <w:spacing w:line="278" w:lineRule="auto"/>
                              <w:ind w:left="103" w:right="105"/>
                              <w:jc w:val="both"/>
                            </w:pPr>
                            <w:r>
                              <w:rPr/>
                              <w:t>responsabilidad para el Estado, tales como la enfermedad del servidor (incapacidad), permisos con goce de salario y otros, el aguinaldo se reconocerá completo.</w:t>
                            </w:r>
                          </w:p>
                          <w:p>
                            <w:pPr>
                              <w:pStyle w:val="BodyText"/>
                              <w:spacing w:before="33"/>
                            </w:pPr>
                          </w:p>
                          <w:p>
                            <w:pPr>
                              <w:pStyle w:val="BodyText"/>
                              <w:spacing w:line="276" w:lineRule="auto"/>
                              <w:ind w:left="103" w:right="99"/>
                              <w:jc w:val="both"/>
                            </w:pPr>
                            <w:r>
                              <w:rPr/>
                              <w:t>A julio 2026, la Institución registra gasto por aguinaldo por un monto total de ¢ 22.264,77 y con un monto devengado por ¢ 839.603,92 las cuales se encuentran incluidas en la cuenta 5.1.1.03.</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0"/>
                            </w:pPr>
                          </w:p>
                          <w:p>
                            <w:pPr>
                              <w:pStyle w:val="BodyText"/>
                              <w:spacing w:line="276" w:lineRule="auto"/>
                              <w:ind w:left="103" w:right="101"/>
                              <w:jc w:val="both"/>
                            </w:pPr>
                            <w:r>
                              <w:rPr/>
                              <w:t>De conformidad con lo dispuesto en la NICSP 39 – Beneficios a los Empleados,</w:t>
                            </w:r>
                            <w:r>
                              <w:rPr>
                                <w:spacing w:val="-1"/>
                              </w:rPr>
                              <w:t> </w:t>
                            </w:r>
                            <w:r>
                              <w:rPr/>
                              <w:t>específicamente en los</w:t>
                            </w:r>
                            <w:r>
                              <w:rPr>
                                <w:spacing w:val="-1"/>
                              </w:rPr>
                              <w:t> </w:t>
                            </w:r>
                            <w:r>
                              <w:rPr/>
                              <w:t>párrafos</w:t>
                            </w:r>
                            <w:r>
                              <w:rPr>
                                <w:spacing w:val="-4"/>
                              </w:rPr>
                              <w:t> </w:t>
                            </w:r>
                            <w:r>
                              <w:rPr/>
                              <w:t>1,</w:t>
                            </w:r>
                            <w:r>
                              <w:rPr>
                                <w:spacing w:val="-2"/>
                              </w:rPr>
                              <w:t> </w:t>
                            </w:r>
                            <w:r>
                              <w:rPr/>
                              <w:t>4,</w:t>
                            </w:r>
                            <w:r>
                              <w:rPr>
                                <w:spacing w:val="-2"/>
                              </w:rPr>
                              <w:t> </w:t>
                            </w:r>
                            <w:r>
                              <w:rPr/>
                              <w:t>5,</w:t>
                            </w:r>
                            <w:r>
                              <w:rPr>
                                <w:spacing w:val="-2"/>
                              </w:rPr>
                              <w:t> </w:t>
                            </w:r>
                            <w:r>
                              <w:rPr/>
                              <w:t>6</w:t>
                            </w:r>
                            <w:r>
                              <w:rPr>
                                <w:spacing w:val="-3"/>
                              </w:rPr>
                              <w:t> </w:t>
                            </w:r>
                            <w:r>
                              <w:rPr/>
                              <w:t>y</w:t>
                            </w:r>
                            <w:r>
                              <w:rPr>
                                <w:spacing w:val="-3"/>
                              </w:rPr>
                              <w:t> </w:t>
                            </w:r>
                            <w:r>
                              <w:rPr/>
                              <w:t>9,</w:t>
                            </w:r>
                            <w:r>
                              <w:rPr>
                                <w:spacing w:val="-2"/>
                              </w:rPr>
                              <w:t> </w:t>
                            </w:r>
                            <w:r>
                              <w:rPr/>
                              <w:t>el</w:t>
                            </w:r>
                            <w:r>
                              <w:rPr>
                                <w:spacing w:val="-2"/>
                              </w:rPr>
                              <w:t> </w:t>
                            </w:r>
                            <w:r>
                              <w:rPr/>
                              <w:t>aguinaldo</w:t>
                            </w:r>
                            <w:r>
                              <w:rPr>
                                <w:spacing w:val="-2"/>
                              </w:rPr>
                              <w:t> </w:t>
                            </w:r>
                            <w:r>
                              <w:rPr/>
                              <w:t>constituye</w:t>
                            </w:r>
                            <w:r>
                              <w:rPr>
                                <w:spacing w:val="-3"/>
                              </w:rPr>
                              <w:t> </w:t>
                            </w:r>
                            <w:r>
                              <w:rPr/>
                              <w:t>un</w:t>
                            </w:r>
                            <w:r>
                              <w:rPr>
                                <w:spacing w:val="-2"/>
                              </w:rPr>
                              <w:t> </w:t>
                            </w:r>
                            <w:r>
                              <w:rPr/>
                              <w:t>beneficio</w:t>
                            </w:r>
                            <w:r>
                              <w:rPr>
                                <w:spacing w:val="-2"/>
                              </w:rPr>
                              <w:t> </w:t>
                            </w:r>
                            <w:r>
                              <w:rPr/>
                              <w:t>a</w:t>
                            </w:r>
                            <w:r>
                              <w:rPr>
                                <w:spacing w:val="-2"/>
                              </w:rPr>
                              <w:t> </w:t>
                            </w:r>
                            <w:r>
                              <w:rPr/>
                              <w:t>los</w:t>
                            </w:r>
                            <w:r>
                              <w:rPr>
                                <w:spacing w:val="-1"/>
                              </w:rPr>
                              <w:t> </w:t>
                            </w:r>
                            <w:r>
                              <w:rPr/>
                              <w:t>empleados</w:t>
                            </w:r>
                            <w:r>
                              <w:rPr>
                                <w:spacing w:val="-1"/>
                              </w:rPr>
                              <w:t> </w:t>
                            </w:r>
                            <w:r>
                              <w:rPr/>
                              <w:t>a</w:t>
                            </w:r>
                            <w:r>
                              <w:rPr>
                                <w:spacing w:val="-3"/>
                              </w:rPr>
                              <w:t> </w:t>
                            </w:r>
                            <w:r>
                              <w:rPr/>
                              <w:t>corto</w:t>
                            </w:r>
                            <w:r>
                              <w:rPr>
                                <w:spacing w:val="-1"/>
                              </w:rPr>
                              <w:t> </w:t>
                            </w:r>
                            <w:r>
                              <w:rPr/>
                              <w:t>plazo,</w:t>
                            </w:r>
                            <w:r>
                              <w:rPr>
                                <w:spacing w:val="-2"/>
                              </w:rPr>
                              <w:t> </w:t>
                            </w:r>
                            <w:r>
                              <w:rPr/>
                              <w:t>en</w:t>
                            </w:r>
                            <w:r>
                              <w:rPr>
                                <w:spacing w:val="-4"/>
                              </w:rPr>
                              <w:t> </w:t>
                            </w:r>
                            <w:r>
                              <w:rPr/>
                              <w:t>tanto representa una contraprestación por los servicios prestados durante el periodo y se espera sea liquidado dentro de los doce meses posteriores al cierre del ejercicio sobre el que se informa.</w:t>
                            </w:r>
                          </w:p>
                          <w:p>
                            <w:pPr>
                              <w:pStyle w:val="BodyText"/>
                              <w:spacing w:before="37"/>
                            </w:pPr>
                          </w:p>
                          <w:p>
                            <w:pPr>
                              <w:pStyle w:val="BodyText"/>
                              <w:spacing w:line="276" w:lineRule="auto"/>
                              <w:ind w:left="103" w:right="101"/>
                              <w:jc w:val="both"/>
                            </w:pPr>
                            <w:r>
                              <w:rPr/>
                              <w:t>En atención al principio de devengo, la Institución reconoce el gasto por concepto de aguinaldo a medida que los empleados prestan los servicios que generan dicho derecho, y reconoce simultáneamente un pasivo por la obligación devengada y pendiente de pago al cierre del periodo, conforme a los criterios establecidos en los párrafos 5 y 6 de la NICSP 39.</w:t>
                            </w:r>
                          </w:p>
                        </w:txbxContent>
                      </wps:txbx>
                      <wps:bodyPr wrap="square" lIns="0" tIns="0" rIns="0" bIns="0" rtlCol="0">
                        <a:noAutofit/>
                      </wps:bodyPr>
                    </wps:wsp>
                  </a:graphicData>
                </a:graphic>
              </wp:anchor>
            </w:drawing>
          </mc:Choice>
          <mc:Fallback>
            <w:pict>
              <v:shape style="position:absolute;margin-left:85.103996pt;margin-top:11.11375pt;width:450pt;height:356.6pt;mso-position-horizontal-relative:page;mso-position-vertical-relative:paragraph;z-index:-15601664;mso-wrap-distance-left:0;mso-wrap-distance-right:0" type="#_x0000_t202" id="docshape617" filled="false" stroked="true" strokeweight=".47998pt" strokecolor="#000000">
                <v:textbox inset="0,0,0,0">
                  <w:txbxContent>
                    <w:p>
                      <w:pPr>
                        <w:pStyle w:val="BodyText"/>
                        <w:spacing w:line="278" w:lineRule="auto"/>
                        <w:ind w:left="103" w:right="105"/>
                        <w:jc w:val="both"/>
                      </w:pPr>
                      <w:r>
                        <w:rPr/>
                        <w:t>responsabilidad para el Estado, tales como la enfermedad del servidor (incapacidad), permisos con goce de salario y otros, el aguinaldo se reconocerá completo.</w:t>
                      </w:r>
                    </w:p>
                    <w:p>
                      <w:pPr>
                        <w:pStyle w:val="BodyText"/>
                        <w:spacing w:before="33"/>
                      </w:pPr>
                    </w:p>
                    <w:p>
                      <w:pPr>
                        <w:pStyle w:val="BodyText"/>
                        <w:spacing w:line="276" w:lineRule="auto"/>
                        <w:ind w:left="103" w:right="99"/>
                        <w:jc w:val="both"/>
                      </w:pPr>
                      <w:r>
                        <w:rPr/>
                        <w:t>A julio 2026, la Institución registra gasto por aguinaldo por un monto total de ¢ 22.264,77 y con un monto devengado por ¢ 839.603,92 las cuales se encuentran incluidas en la cuenta 5.1.1.03.</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0"/>
                      </w:pPr>
                    </w:p>
                    <w:p>
                      <w:pPr>
                        <w:pStyle w:val="BodyText"/>
                        <w:spacing w:line="276" w:lineRule="auto"/>
                        <w:ind w:left="103" w:right="101"/>
                        <w:jc w:val="both"/>
                      </w:pPr>
                      <w:r>
                        <w:rPr/>
                        <w:t>De conformidad con lo dispuesto en la NICSP 39 – Beneficios a los Empleados,</w:t>
                      </w:r>
                      <w:r>
                        <w:rPr>
                          <w:spacing w:val="-1"/>
                        </w:rPr>
                        <w:t> </w:t>
                      </w:r>
                      <w:r>
                        <w:rPr/>
                        <w:t>específicamente en los</w:t>
                      </w:r>
                      <w:r>
                        <w:rPr>
                          <w:spacing w:val="-1"/>
                        </w:rPr>
                        <w:t> </w:t>
                      </w:r>
                      <w:r>
                        <w:rPr/>
                        <w:t>párrafos</w:t>
                      </w:r>
                      <w:r>
                        <w:rPr>
                          <w:spacing w:val="-4"/>
                        </w:rPr>
                        <w:t> </w:t>
                      </w:r>
                      <w:r>
                        <w:rPr/>
                        <w:t>1,</w:t>
                      </w:r>
                      <w:r>
                        <w:rPr>
                          <w:spacing w:val="-2"/>
                        </w:rPr>
                        <w:t> </w:t>
                      </w:r>
                      <w:r>
                        <w:rPr/>
                        <w:t>4,</w:t>
                      </w:r>
                      <w:r>
                        <w:rPr>
                          <w:spacing w:val="-2"/>
                        </w:rPr>
                        <w:t> </w:t>
                      </w:r>
                      <w:r>
                        <w:rPr/>
                        <w:t>5,</w:t>
                      </w:r>
                      <w:r>
                        <w:rPr>
                          <w:spacing w:val="-2"/>
                        </w:rPr>
                        <w:t> </w:t>
                      </w:r>
                      <w:r>
                        <w:rPr/>
                        <w:t>6</w:t>
                      </w:r>
                      <w:r>
                        <w:rPr>
                          <w:spacing w:val="-3"/>
                        </w:rPr>
                        <w:t> </w:t>
                      </w:r>
                      <w:r>
                        <w:rPr/>
                        <w:t>y</w:t>
                      </w:r>
                      <w:r>
                        <w:rPr>
                          <w:spacing w:val="-3"/>
                        </w:rPr>
                        <w:t> </w:t>
                      </w:r>
                      <w:r>
                        <w:rPr/>
                        <w:t>9,</w:t>
                      </w:r>
                      <w:r>
                        <w:rPr>
                          <w:spacing w:val="-2"/>
                        </w:rPr>
                        <w:t> </w:t>
                      </w:r>
                      <w:r>
                        <w:rPr/>
                        <w:t>el</w:t>
                      </w:r>
                      <w:r>
                        <w:rPr>
                          <w:spacing w:val="-2"/>
                        </w:rPr>
                        <w:t> </w:t>
                      </w:r>
                      <w:r>
                        <w:rPr/>
                        <w:t>aguinaldo</w:t>
                      </w:r>
                      <w:r>
                        <w:rPr>
                          <w:spacing w:val="-2"/>
                        </w:rPr>
                        <w:t> </w:t>
                      </w:r>
                      <w:r>
                        <w:rPr/>
                        <w:t>constituye</w:t>
                      </w:r>
                      <w:r>
                        <w:rPr>
                          <w:spacing w:val="-3"/>
                        </w:rPr>
                        <w:t> </w:t>
                      </w:r>
                      <w:r>
                        <w:rPr/>
                        <w:t>un</w:t>
                      </w:r>
                      <w:r>
                        <w:rPr>
                          <w:spacing w:val="-2"/>
                        </w:rPr>
                        <w:t> </w:t>
                      </w:r>
                      <w:r>
                        <w:rPr/>
                        <w:t>beneficio</w:t>
                      </w:r>
                      <w:r>
                        <w:rPr>
                          <w:spacing w:val="-2"/>
                        </w:rPr>
                        <w:t> </w:t>
                      </w:r>
                      <w:r>
                        <w:rPr/>
                        <w:t>a</w:t>
                      </w:r>
                      <w:r>
                        <w:rPr>
                          <w:spacing w:val="-2"/>
                        </w:rPr>
                        <w:t> </w:t>
                      </w:r>
                      <w:r>
                        <w:rPr/>
                        <w:t>los</w:t>
                      </w:r>
                      <w:r>
                        <w:rPr>
                          <w:spacing w:val="-1"/>
                        </w:rPr>
                        <w:t> </w:t>
                      </w:r>
                      <w:r>
                        <w:rPr/>
                        <w:t>empleados</w:t>
                      </w:r>
                      <w:r>
                        <w:rPr>
                          <w:spacing w:val="-1"/>
                        </w:rPr>
                        <w:t> </w:t>
                      </w:r>
                      <w:r>
                        <w:rPr/>
                        <w:t>a</w:t>
                      </w:r>
                      <w:r>
                        <w:rPr>
                          <w:spacing w:val="-3"/>
                        </w:rPr>
                        <w:t> </w:t>
                      </w:r>
                      <w:r>
                        <w:rPr/>
                        <w:t>corto</w:t>
                      </w:r>
                      <w:r>
                        <w:rPr>
                          <w:spacing w:val="-1"/>
                        </w:rPr>
                        <w:t> </w:t>
                      </w:r>
                      <w:r>
                        <w:rPr/>
                        <w:t>plazo,</w:t>
                      </w:r>
                      <w:r>
                        <w:rPr>
                          <w:spacing w:val="-2"/>
                        </w:rPr>
                        <w:t> </w:t>
                      </w:r>
                      <w:r>
                        <w:rPr/>
                        <w:t>en</w:t>
                      </w:r>
                      <w:r>
                        <w:rPr>
                          <w:spacing w:val="-4"/>
                        </w:rPr>
                        <w:t> </w:t>
                      </w:r>
                      <w:r>
                        <w:rPr/>
                        <w:t>tanto representa una contraprestación por los servicios prestados durante el periodo y se espera sea liquidado dentro de los doce meses posteriores al cierre del ejercicio sobre el que se informa.</w:t>
                      </w:r>
                    </w:p>
                    <w:p>
                      <w:pPr>
                        <w:pStyle w:val="BodyText"/>
                        <w:spacing w:before="37"/>
                      </w:pPr>
                    </w:p>
                    <w:p>
                      <w:pPr>
                        <w:pStyle w:val="BodyText"/>
                        <w:spacing w:line="276" w:lineRule="auto"/>
                        <w:ind w:left="103" w:right="101"/>
                        <w:jc w:val="both"/>
                      </w:pPr>
                      <w:r>
                        <w:rPr/>
                        <w:t>En atención al principio de devengo, la Institución reconoce el gasto por concepto de aguinaldo a medida que los empleados prestan los servicios que generan dicho derecho, y reconoce simultáneamente un pasivo por la obligación devengada y pendiente de pago al cierre del periodo, conforme a los criterios establecidos en los párrafos 5 y 6 de la NICSP 39.</w:t>
                      </w:r>
                    </w:p>
                  </w:txbxContent>
                </v:textbox>
                <v:stroke dashstyle="solid"/>
                <w10:wrap type="topAndBottom"/>
              </v:shape>
            </w:pict>
          </mc:Fallback>
        </mc:AlternateContent>
      </w:r>
    </w:p>
    <w:p>
      <w:pPr>
        <w:pStyle w:val="BodyText"/>
        <w:spacing w:before="183"/>
      </w:pPr>
    </w:p>
    <w:p>
      <w:pPr>
        <w:pStyle w:val="Heading6"/>
        <w:numPr>
          <w:ilvl w:val="2"/>
          <w:numId w:val="39"/>
        </w:numPr>
        <w:tabs>
          <w:tab w:pos="1341" w:val="left" w:leader="none"/>
        </w:tabs>
        <w:spacing w:line="240" w:lineRule="auto" w:before="1" w:after="0"/>
        <w:ind w:left="1341" w:right="0" w:hanging="360"/>
        <w:jc w:val="left"/>
      </w:pPr>
      <w:r>
        <w:rPr>
          <w:u w:val="single"/>
        </w:rPr>
        <w:t>Cuenta</w:t>
      </w:r>
      <w:r>
        <w:rPr>
          <w:spacing w:val="-6"/>
          <w:u w:val="single"/>
        </w:rPr>
        <w:t> </w:t>
      </w:r>
      <w:r>
        <w:rPr>
          <w:u w:val="single"/>
        </w:rPr>
        <w:t>por</w:t>
      </w:r>
      <w:r>
        <w:rPr>
          <w:spacing w:val="-3"/>
          <w:u w:val="single"/>
        </w:rPr>
        <w:t> </w:t>
      </w:r>
      <w:r>
        <w:rPr>
          <w:u w:val="single"/>
        </w:rPr>
        <w:t>Pagar</w:t>
      </w:r>
      <w:r>
        <w:rPr>
          <w:spacing w:val="-3"/>
          <w:u w:val="single"/>
        </w:rPr>
        <w:t> </w:t>
      </w:r>
      <w:r>
        <w:rPr>
          <w:u w:val="single"/>
        </w:rPr>
        <w:t>por</w:t>
      </w:r>
      <w:r>
        <w:rPr>
          <w:spacing w:val="-3"/>
          <w:u w:val="single"/>
        </w:rPr>
        <w:t> </w:t>
      </w:r>
      <w:r>
        <w:rPr>
          <w:u w:val="single"/>
        </w:rPr>
        <w:t>concepto</w:t>
      </w:r>
      <w:r>
        <w:rPr>
          <w:spacing w:val="-3"/>
          <w:u w:val="single"/>
        </w:rPr>
        <w:t> </w:t>
      </w:r>
      <w:r>
        <w:rPr>
          <w:u w:val="single"/>
        </w:rPr>
        <w:t>de</w:t>
      </w:r>
      <w:r>
        <w:rPr>
          <w:spacing w:val="-3"/>
          <w:u w:val="single"/>
        </w:rPr>
        <w:t> </w:t>
      </w:r>
      <w:r>
        <w:rPr>
          <w:u w:val="single"/>
        </w:rPr>
        <w:t>vacaciones</w:t>
      </w:r>
      <w:r>
        <w:rPr>
          <w:spacing w:val="-2"/>
          <w:u w:val="single"/>
        </w:rPr>
        <w:t> </w:t>
      </w:r>
      <w:r>
        <w:rPr>
          <w:u w:val="single"/>
        </w:rPr>
        <w:t>(párrafos</w:t>
      </w:r>
      <w:r>
        <w:rPr>
          <w:spacing w:val="-5"/>
          <w:u w:val="single"/>
        </w:rPr>
        <w:t> </w:t>
      </w:r>
      <w:r>
        <w:rPr>
          <w:u w:val="single"/>
        </w:rPr>
        <w:t>11,13,15,16</w:t>
      </w:r>
      <w:r>
        <w:rPr>
          <w:spacing w:val="-3"/>
          <w:u w:val="single"/>
        </w:rPr>
        <w:t> </w:t>
      </w:r>
      <w:r>
        <w:rPr>
          <w:u w:val="single"/>
        </w:rPr>
        <w:t>y</w:t>
      </w:r>
      <w:r>
        <w:rPr>
          <w:spacing w:val="-5"/>
          <w:u w:val="single"/>
        </w:rPr>
        <w:t> 18)</w:t>
      </w:r>
    </w:p>
    <w:p>
      <w:pPr>
        <w:pStyle w:val="BodyText"/>
        <w:spacing w:before="33"/>
        <w:rPr>
          <w:b/>
          <w:sz w:val="20"/>
        </w:rPr>
      </w:pPr>
      <w:r>
        <w:rPr>
          <w:b/>
          <w:sz w:val="20"/>
        </w:rPr>
        <mc:AlternateContent>
          <mc:Choice Requires="wps">
            <w:drawing>
              <wp:anchor distT="0" distB="0" distL="0" distR="0" allowOverlap="1" layoutInCell="1" locked="0" behindDoc="1" simplePos="0" relativeHeight="487715328">
                <wp:simplePos x="0" y="0"/>
                <wp:positionH relativeFrom="page">
                  <wp:posOffset>1080820</wp:posOffset>
                </wp:positionH>
                <wp:positionV relativeFrom="paragraph">
                  <wp:posOffset>184229</wp:posOffset>
                </wp:positionV>
                <wp:extent cx="5715000" cy="2487930"/>
                <wp:effectExtent l="0" t="0" r="0" b="0"/>
                <wp:wrapTopAndBottom/>
                <wp:docPr id="640" name="Textbox 640"/>
                <wp:cNvGraphicFramePr>
                  <a:graphicFrameLocks/>
                </wp:cNvGraphicFramePr>
                <a:graphic>
                  <a:graphicData uri="http://schemas.microsoft.com/office/word/2010/wordprocessingShape">
                    <wps:wsp>
                      <wps:cNvPr id="640" name="Textbox 640"/>
                      <wps:cNvSpPr txBox="1"/>
                      <wps:spPr>
                        <a:xfrm>
                          <a:off x="0" y="0"/>
                          <a:ext cx="5715000" cy="248793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0"/>
                              <w:jc w:val="both"/>
                            </w:pPr>
                            <w:r>
                              <w:rPr/>
                              <w:t>Las ausencias retribuidas acumulativas (o vacaciones) corresponden a aquellos derechos de descanso que posee el funcionario cuyo disfrute se aplaza, de forma que pueden ser utilizadas en periodos futuros si en el periodo corriente no se ha hecho uso del derecho correspondiente. Estas se reconocerán de acuerdo con el carácter acumulativo o no que tengan las mismas.</w:t>
                            </w:r>
                          </w:p>
                          <w:p>
                            <w:pPr>
                              <w:pStyle w:val="BodyText"/>
                              <w:spacing w:line="259" w:lineRule="auto" w:before="121"/>
                              <w:ind w:left="103" w:right="99"/>
                              <w:jc w:val="both"/>
                            </w:pPr>
                            <w:r>
                              <w:rPr/>
                              <w:t>La institución con las ausencias retribuidas acumulativas o las vacaciones, el Área de Desarrollo Humano</w:t>
                            </w:r>
                            <w:r>
                              <w:rPr>
                                <w:spacing w:val="-6"/>
                              </w:rPr>
                              <w:t> </w:t>
                            </w:r>
                            <w:r>
                              <w:rPr/>
                              <w:t>brinda</w:t>
                            </w:r>
                            <w:r>
                              <w:rPr>
                                <w:spacing w:val="-8"/>
                              </w:rPr>
                              <w:t> </w:t>
                            </w:r>
                            <w:r>
                              <w:rPr/>
                              <w:t>la</w:t>
                            </w:r>
                            <w:r>
                              <w:rPr>
                                <w:spacing w:val="-8"/>
                              </w:rPr>
                              <w:t> </w:t>
                            </w:r>
                            <w:r>
                              <w:rPr/>
                              <w:t>información</w:t>
                            </w:r>
                            <w:r>
                              <w:rPr>
                                <w:spacing w:val="-7"/>
                              </w:rPr>
                              <w:t> </w:t>
                            </w:r>
                            <w:r>
                              <w:rPr/>
                              <w:t>de</w:t>
                            </w:r>
                            <w:r>
                              <w:rPr>
                                <w:spacing w:val="-9"/>
                              </w:rPr>
                              <w:t> </w:t>
                            </w:r>
                            <w:r>
                              <w:rPr/>
                              <w:t>las</w:t>
                            </w:r>
                            <w:r>
                              <w:rPr>
                                <w:spacing w:val="-6"/>
                              </w:rPr>
                              <w:t> </w:t>
                            </w:r>
                            <w:r>
                              <w:rPr/>
                              <w:t>vacaciones</w:t>
                            </w:r>
                            <w:r>
                              <w:rPr>
                                <w:spacing w:val="-6"/>
                              </w:rPr>
                              <w:t> </w:t>
                            </w:r>
                            <w:r>
                              <w:rPr/>
                              <w:t>acumuladas</w:t>
                            </w:r>
                            <w:r>
                              <w:rPr>
                                <w:spacing w:val="-7"/>
                              </w:rPr>
                              <w:t> </w:t>
                            </w:r>
                            <w:r>
                              <w:rPr/>
                              <w:t>y</w:t>
                            </w:r>
                            <w:r>
                              <w:rPr>
                                <w:spacing w:val="-8"/>
                              </w:rPr>
                              <w:t> </w:t>
                            </w:r>
                            <w:r>
                              <w:rPr/>
                              <w:t>vacaciones</w:t>
                            </w:r>
                            <w:r>
                              <w:rPr>
                                <w:spacing w:val="-6"/>
                              </w:rPr>
                              <w:t> </w:t>
                            </w:r>
                            <w:r>
                              <w:rPr/>
                              <w:t>disfrutadas</w:t>
                            </w:r>
                            <w:r>
                              <w:rPr>
                                <w:spacing w:val="-6"/>
                              </w:rPr>
                              <w:t> </w:t>
                            </w:r>
                            <w:r>
                              <w:rPr/>
                              <w:t>mensualmente, con</w:t>
                            </w:r>
                            <w:r>
                              <w:rPr>
                                <w:spacing w:val="-7"/>
                              </w:rPr>
                              <w:t> </w:t>
                            </w:r>
                            <w:r>
                              <w:rPr/>
                              <w:t>corte</w:t>
                            </w:r>
                            <w:r>
                              <w:rPr>
                                <w:spacing w:val="-8"/>
                              </w:rPr>
                              <w:t> </w:t>
                            </w:r>
                            <w:r>
                              <w:rPr/>
                              <w:t>al</w:t>
                            </w:r>
                            <w:r>
                              <w:rPr>
                                <w:spacing w:val="-8"/>
                              </w:rPr>
                              <w:t> </w:t>
                            </w:r>
                            <w:r>
                              <w:rPr/>
                              <w:t>día</w:t>
                            </w:r>
                            <w:r>
                              <w:rPr>
                                <w:spacing w:val="-10"/>
                              </w:rPr>
                              <w:t> </w:t>
                            </w:r>
                            <w:r>
                              <w:rPr/>
                              <w:t>último</w:t>
                            </w:r>
                            <w:r>
                              <w:rPr>
                                <w:spacing w:val="-6"/>
                              </w:rPr>
                              <w:t> </w:t>
                            </w:r>
                            <w:r>
                              <w:rPr/>
                              <w:t>de</w:t>
                            </w:r>
                            <w:r>
                              <w:rPr>
                                <w:spacing w:val="-9"/>
                              </w:rPr>
                              <w:t> </w:t>
                            </w:r>
                            <w:r>
                              <w:rPr/>
                              <w:t>cada</w:t>
                            </w:r>
                            <w:r>
                              <w:rPr>
                                <w:spacing w:val="-8"/>
                              </w:rPr>
                              <w:t> </w:t>
                            </w:r>
                            <w:r>
                              <w:rPr/>
                              <w:t>mes.</w:t>
                            </w:r>
                            <w:r>
                              <w:rPr>
                                <w:spacing w:val="39"/>
                              </w:rPr>
                              <w:t> </w:t>
                            </w:r>
                            <w:r>
                              <w:rPr/>
                              <w:t>Dentro</w:t>
                            </w:r>
                            <w:r>
                              <w:rPr>
                                <w:spacing w:val="-6"/>
                              </w:rPr>
                              <w:t> </w:t>
                            </w:r>
                            <w:r>
                              <w:rPr/>
                              <w:t>de</w:t>
                            </w:r>
                            <w:r>
                              <w:rPr>
                                <w:spacing w:val="-11"/>
                              </w:rPr>
                              <w:t> </w:t>
                            </w:r>
                            <w:r>
                              <w:rPr/>
                              <w:t>los</w:t>
                            </w:r>
                            <w:r>
                              <w:rPr>
                                <w:spacing w:val="-6"/>
                              </w:rPr>
                              <w:t> </w:t>
                            </w:r>
                            <w:r>
                              <w:rPr/>
                              <w:t>beneficios</w:t>
                            </w:r>
                            <w:r>
                              <w:rPr>
                                <w:spacing w:val="-6"/>
                              </w:rPr>
                              <w:t> </w:t>
                            </w:r>
                            <w:r>
                              <w:rPr/>
                              <w:t>por</w:t>
                            </w:r>
                            <w:r>
                              <w:rPr>
                                <w:spacing w:val="-10"/>
                              </w:rPr>
                              <w:t> </w:t>
                            </w:r>
                            <w:r>
                              <w:rPr/>
                              <w:t>terminación</w:t>
                            </w:r>
                            <w:r>
                              <w:rPr>
                                <w:spacing w:val="-9"/>
                              </w:rPr>
                              <w:t> </w:t>
                            </w:r>
                            <w:r>
                              <w:rPr/>
                              <w:t>se</w:t>
                            </w:r>
                            <w:r>
                              <w:rPr>
                                <w:spacing w:val="-8"/>
                              </w:rPr>
                              <w:t> </w:t>
                            </w:r>
                            <w:r>
                              <w:rPr/>
                              <w:t>cuenta</w:t>
                            </w:r>
                            <w:r>
                              <w:rPr>
                                <w:spacing w:val="-7"/>
                              </w:rPr>
                              <w:t> </w:t>
                            </w:r>
                            <w:r>
                              <w:rPr/>
                              <w:t>con</w:t>
                            </w:r>
                            <w:r>
                              <w:rPr>
                                <w:spacing w:val="-9"/>
                              </w:rPr>
                              <w:t> </w:t>
                            </w:r>
                            <w:r>
                              <w:rPr/>
                              <w:t>la</w:t>
                            </w:r>
                            <w:r>
                              <w:rPr>
                                <w:spacing w:val="-8"/>
                              </w:rPr>
                              <w:t> </w:t>
                            </w:r>
                            <w:r>
                              <w:rPr/>
                              <w:t>cuenta provisión de vacaciones, el saldo de la cuenta contable Otras Reservas técnica 2.1.4.02 refleja en el concepto de vacaciones, el saldo pendiente de vacaciones acumuladas.</w:t>
                            </w:r>
                          </w:p>
                          <w:p>
                            <w:pPr>
                              <w:pStyle w:val="BodyText"/>
                              <w:spacing w:before="17"/>
                            </w:pPr>
                          </w:p>
                          <w:p>
                            <w:pPr>
                              <w:pStyle w:val="BodyText"/>
                              <w:spacing w:line="276" w:lineRule="auto"/>
                              <w:ind w:left="103" w:right="101"/>
                              <w:jc w:val="both"/>
                            </w:pPr>
                            <w:r>
                              <w:rPr/>
                              <w:t>De</w:t>
                            </w:r>
                            <w:r>
                              <w:rPr>
                                <w:spacing w:val="-6"/>
                              </w:rPr>
                              <w:t> </w:t>
                            </w:r>
                            <w:r>
                              <w:rPr/>
                              <w:t>conformidad</w:t>
                            </w:r>
                            <w:r>
                              <w:rPr>
                                <w:spacing w:val="-5"/>
                              </w:rPr>
                              <w:t> </w:t>
                            </w:r>
                            <w:r>
                              <w:rPr/>
                              <w:t>con</w:t>
                            </w:r>
                            <w:r>
                              <w:rPr>
                                <w:spacing w:val="-4"/>
                              </w:rPr>
                              <w:t> </w:t>
                            </w:r>
                            <w:r>
                              <w:rPr/>
                              <w:t>la</w:t>
                            </w:r>
                            <w:r>
                              <w:rPr>
                                <w:spacing w:val="-6"/>
                              </w:rPr>
                              <w:t> </w:t>
                            </w:r>
                            <w:r>
                              <w:rPr/>
                              <w:t>NICSP</w:t>
                            </w:r>
                            <w:r>
                              <w:rPr>
                                <w:spacing w:val="-5"/>
                              </w:rPr>
                              <w:t> </w:t>
                            </w:r>
                            <w:r>
                              <w:rPr/>
                              <w:t>39</w:t>
                            </w:r>
                            <w:r>
                              <w:rPr>
                                <w:spacing w:val="-4"/>
                              </w:rPr>
                              <w:t> </w:t>
                            </w:r>
                            <w:r>
                              <w:rPr/>
                              <w:t>–</w:t>
                            </w:r>
                            <w:r>
                              <w:rPr>
                                <w:spacing w:val="-5"/>
                              </w:rPr>
                              <w:t> </w:t>
                            </w:r>
                            <w:r>
                              <w:rPr/>
                              <w:t>Beneficios</w:t>
                            </w:r>
                            <w:r>
                              <w:rPr>
                                <w:spacing w:val="-4"/>
                              </w:rPr>
                              <w:t> </w:t>
                            </w:r>
                            <w:r>
                              <w:rPr/>
                              <w:t>a</w:t>
                            </w:r>
                            <w:r>
                              <w:rPr>
                                <w:spacing w:val="-5"/>
                              </w:rPr>
                              <w:t> </w:t>
                            </w:r>
                            <w:r>
                              <w:rPr/>
                              <w:t>los</w:t>
                            </w:r>
                            <w:r>
                              <w:rPr>
                                <w:spacing w:val="-4"/>
                              </w:rPr>
                              <w:t> </w:t>
                            </w:r>
                            <w:r>
                              <w:rPr/>
                              <w:t>Empleados,</w:t>
                            </w:r>
                            <w:r>
                              <w:rPr>
                                <w:spacing w:val="-5"/>
                              </w:rPr>
                              <w:t> </w:t>
                            </w:r>
                            <w:r>
                              <w:rPr/>
                              <w:t>específicamente</w:t>
                            </w:r>
                            <w:r>
                              <w:rPr>
                                <w:spacing w:val="-5"/>
                              </w:rPr>
                              <w:t> </w:t>
                            </w:r>
                            <w:r>
                              <w:rPr/>
                              <w:t>los</w:t>
                            </w:r>
                            <w:r>
                              <w:rPr>
                                <w:spacing w:val="-4"/>
                              </w:rPr>
                              <w:t> </w:t>
                            </w:r>
                            <w:r>
                              <w:rPr/>
                              <w:t>párrafos</w:t>
                            </w:r>
                            <w:r>
                              <w:rPr>
                                <w:spacing w:val="-4"/>
                              </w:rPr>
                              <w:t> </w:t>
                            </w:r>
                            <w:r>
                              <w:rPr/>
                              <w:t>11,</w:t>
                            </w:r>
                            <w:r>
                              <w:rPr>
                                <w:spacing w:val="-5"/>
                              </w:rPr>
                              <w:t> </w:t>
                            </w:r>
                            <w:r>
                              <w:rPr/>
                              <w:t>13, 15, 16 y 18, las vacaciones constituyen un beneficio a los empleados a corto plazo bajo la modalidad</w:t>
                            </w:r>
                          </w:p>
                        </w:txbxContent>
                      </wps:txbx>
                      <wps:bodyPr wrap="square" lIns="0" tIns="0" rIns="0" bIns="0" rtlCol="0">
                        <a:noAutofit/>
                      </wps:bodyPr>
                    </wps:wsp>
                  </a:graphicData>
                </a:graphic>
              </wp:anchor>
            </w:drawing>
          </mc:Choice>
          <mc:Fallback>
            <w:pict>
              <v:shape style="position:absolute;margin-left:85.103996pt;margin-top:14.50625pt;width:450pt;height:195.9pt;mso-position-horizontal-relative:page;mso-position-vertical-relative:paragraph;z-index:-15601152;mso-wrap-distance-left:0;mso-wrap-distance-right:0" type="#_x0000_t202" id="docshape61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0"/>
                        <w:jc w:val="both"/>
                      </w:pPr>
                      <w:r>
                        <w:rPr/>
                        <w:t>Las ausencias retribuidas acumulativas (o vacaciones) corresponden a aquellos derechos de descanso que posee el funcionario cuyo disfrute se aplaza, de forma que pueden ser utilizadas en periodos futuros si en el periodo corriente no se ha hecho uso del derecho correspondiente. Estas se reconocerán de acuerdo con el carácter acumulativo o no que tengan las mismas.</w:t>
                      </w:r>
                    </w:p>
                    <w:p>
                      <w:pPr>
                        <w:pStyle w:val="BodyText"/>
                        <w:spacing w:line="259" w:lineRule="auto" w:before="121"/>
                        <w:ind w:left="103" w:right="99"/>
                        <w:jc w:val="both"/>
                      </w:pPr>
                      <w:r>
                        <w:rPr/>
                        <w:t>La institución con las ausencias retribuidas acumulativas o las vacaciones, el Área de Desarrollo Humano</w:t>
                      </w:r>
                      <w:r>
                        <w:rPr>
                          <w:spacing w:val="-6"/>
                        </w:rPr>
                        <w:t> </w:t>
                      </w:r>
                      <w:r>
                        <w:rPr/>
                        <w:t>brinda</w:t>
                      </w:r>
                      <w:r>
                        <w:rPr>
                          <w:spacing w:val="-8"/>
                        </w:rPr>
                        <w:t> </w:t>
                      </w:r>
                      <w:r>
                        <w:rPr/>
                        <w:t>la</w:t>
                      </w:r>
                      <w:r>
                        <w:rPr>
                          <w:spacing w:val="-8"/>
                        </w:rPr>
                        <w:t> </w:t>
                      </w:r>
                      <w:r>
                        <w:rPr/>
                        <w:t>información</w:t>
                      </w:r>
                      <w:r>
                        <w:rPr>
                          <w:spacing w:val="-7"/>
                        </w:rPr>
                        <w:t> </w:t>
                      </w:r>
                      <w:r>
                        <w:rPr/>
                        <w:t>de</w:t>
                      </w:r>
                      <w:r>
                        <w:rPr>
                          <w:spacing w:val="-9"/>
                        </w:rPr>
                        <w:t> </w:t>
                      </w:r>
                      <w:r>
                        <w:rPr/>
                        <w:t>las</w:t>
                      </w:r>
                      <w:r>
                        <w:rPr>
                          <w:spacing w:val="-6"/>
                        </w:rPr>
                        <w:t> </w:t>
                      </w:r>
                      <w:r>
                        <w:rPr/>
                        <w:t>vacaciones</w:t>
                      </w:r>
                      <w:r>
                        <w:rPr>
                          <w:spacing w:val="-6"/>
                        </w:rPr>
                        <w:t> </w:t>
                      </w:r>
                      <w:r>
                        <w:rPr/>
                        <w:t>acumuladas</w:t>
                      </w:r>
                      <w:r>
                        <w:rPr>
                          <w:spacing w:val="-7"/>
                        </w:rPr>
                        <w:t> </w:t>
                      </w:r>
                      <w:r>
                        <w:rPr/>
                        <w:t>y</w:t>
                      </w:r>
                      <w:r>
                        <w:rPr>
                          <w:spacing w:val="-8"/>
                        </w:rPr>
                        <w:t> </w:t>
                      </w:r>
                      <w:r>
                        <w:rPr/>
                        <w:t>vacaciones</w:t>
                      </w:r>
                      <w:r>
                        <w:rPr>
                          <w:spacing w:val="-6"/>
                        </w:rPr>
                        <w:t> </w:t>
                      </w:r>
                      <w:r>
                        <w:rPr/>
                        <w:t>disfrutadas</w:t>
                      </w:r>
                      <w:r>
                        <w:rPr>
                          <w:spacing w:val="-6"/>
                        </w:rPr>
                        <w:t> </w:t>
                      </w:r>
                      <w:r>
                        <w:rPr/>
                        <w:t>mensualmente, con</w:t>
                      </w:r>
                      <w:r>
                        <w:rPr>
                          <w:spacing w:val="-7"/>
                        </w:rPr>
                        <w:t> </w:t>
                      </w:r>
                      <w:r>
                        <w:rPr/>
                        <w:t>corte</w:t>
                      </w:r>
                      <w:r>
                        <w:rPr>
                          <w:spacing w:val="-8"/>
                        </w:rPr>
                        <w:t> </w:t>
                      </w:r>
                      <w:r>
                        <w:rPr/>
                        <w:t>al</w:t>
                      </w:r>
                      <w:r>
                        <w:rPr>
                          <w:spacing w:val="-8"/>
                        </w:rPr>
                        <w:t> </w:t>
                      </w:r>
                      <w:r>
                        <w:rPr/>
                        <w:t>día</w:t>
                      </w:r>
                      <w:r>
                        <w:rPr>
                          <w:spacing w:val="-10"/>
                        </w:rPr>
                        <w:t> </w:t>
                      </w:r>
                      <w:r>
                        <w:rPr/>
                        <w:t>último</w:t>
                      </w:r>
                      <w:r>
                        <w:rPr>
                          <w:spacing w:val="-6"/>
                        </w:rPr>
                        <w:t> </w:t>
                      </w:r>
                      <w:r>
                        <w:rPr/>
                        <w:t>de</w:t>
                      </w:r>
                      <w:r>
                        <w:rPr>
                          <w:spacing w:val="-9"/>
                        </w:rPr>
                        <w:t> </w:t>
                      </w:r>
                      <w:r>
                        <w:rPr/>
                        <w:t>cada</w:t>
                      </w:r>
                      <w:r>
                        <w:rPr>
                          <w:spacing w:val="-8"/>
                        </w:rPr>
                        <w:t> </w:t>
                      </w:r>
                      <w:r>
                        <w:rPr/>
                        <w:t>mes.</w:t>
                      </w:r>
                      <w:r>
                        <w:rPr>
                          <w:spacing w:val="39"/>
                        </w:rPr>
                        <w:t> </w:t>
                      </w:r>
                      <w:r>
                        <w:rPr/>
                        <w:t>Dentro</w:t>
                      </w:r>
                      <w:r>
                        <w:rPr>
                          <w:spacing w:val="-6"/>
                        </w:rPr>
                        <w:t> </w:t>
                      </w:r>
                      <w:r>
                        <w:rPr/>
                        <w:t>de</w:t>
                      </w:r>
                      <w:r>
                        <w:rPr>
                          <w:spacing w:val="-11"/>
                        </w:rPr>
                        <w:t> </w:t>
                      </w:r>
                      <w:r>
                        <w:rPr/>
                        <w:t>los</w:t>
                      </w:r>
                      <w:r>
                        <w:rPr>
                          <w:spacing w:val="-6"/>
                        </w:rPr>
                        <w:t> </w:t>
                      </w:r>
                      <w:r>
                        <w:rPr/>
                        <w:t>beneficios</w:t>
                      </w:r>
                      <w:r>
                        <w:rPr>
                          <w:spacing w:val="-6"/>
                        </w:rPr>
                        <w:t> </w:t>
                      </w:r>
                      <w:r>
                        <w:rPr/>
                        <w:t>por</w:t>
                      </w:r>
                      <w:r>
                        <w:rPr>
                          <w:spacing w:val="-10"/>
                        </w:rPr>
                        <w:t> </w:t>
                      </w:r>
                      <w:r>
                        <w:rPr/>
                        <w:t>terminación</w:t>
                      </w:r>
                      <w:r>
                        <w:rPr>
                          <w:spacing w:val="-9"/>
                        </w:rPr>
                        <w:t> </w:t>
                      </w:r>
                      <w:r>
                        <w:rPr/>
                        <w:t>se</w:t>
                      </w:r>
                      <w:r>
                        <w:rPr>
                          <w:spacing w:val="-8"/>
                        </w:rPr>
                        <w:t> </w:t>
                      </w:r>
                      <w:r>
                        <w:rPr/>
                        <w:t>cuenta</w:t>
                      </w:r>
                      <w:r>
                        <w:rPr>
                          <w:spacing w:val="-7"/>
                        </w:rPr>
                        <w:t> </w:t>
                      </w:r>
                      <w:r>
                        <w:rPr/>
                        <w:t>con</w:t>
                      </w:r>
                      <w:r>
                        <w:rPr>
                          <w:spacing w:val="-9"/>
                        </w:rPr>
                        <w:t> </w:t>
                      </w:r>
                      <w:r>
                        <w:rPr/>
                        <w:t>la</w:t>
                      </w:r>
                      <w:r>
                        <w:rPr>
                          <w:spacing w:val="-8"/>
                        </w:rPr>
                        <w:t> </w:t>
                      </w:r>
                      <w:r>
                        <w:rPr/>
                        <w:t>cuenta provisión de vacaciones, el saldo de la cuenta contable Otras Reservas técnica 2.1.4.02 refleja en el concepto de vacaciones, el saldo pendiente de vacaciones acumuladas.</w:t>
                      </w:r>
                    </w:p>
                    <w:p>
                      <w:pPr>
                        <w:pStyle w:val="BodyText"/>
                        <w:spacing w:before="17"/>
                      </w:pPr>
                    </w:p>
                    <w:p>
                      <w:pPr>
                        <w:pStyle w:val="BodyText"/>
                        <w:spacing w:line="276" w:lineRule="auto"/>
                        <w:ind w:left="103" w:right="101"/>
                        <w:jc w:val="both"/>
                      </w:pPr>
                      <w:r>
                        <w:rPr/>
                        <w:t>De</w:t>
                      </w:r>
                      <w:r>
                        <w:rPr>
                          <w:spacing w:val="-6"/>
                        </w:rPr>
                        <w:t> </w:t>
                      </w:r>
                      <w:r>
                        <w:rPr/>
                        <w:t>conformidad</w:t>
                      </w:r>
                      <w:r>
                        <w:rPr>
                          <w:spacing w:val="-5"/>
                        </w:rPr>
                        <w:t> </w:t>
                      </w:r>
                      <w:r>
                        <w:rPr/>
                        <w:t>con</w:t>
                      </w:r>
                      <w:r>
                        <w:rPr>
                          <w:spacing w:val="-4"/>
                        </w:rPr>
                        <w:t> </w:t>
                      </w:r>
                      <w:r>
                        <w:rPr/>
                        <w:t>la</w:t>
                      </w:r>
                      <w:r>
                        <w:rPr>
                          <w:spacing w:val="-6"/>
                        </w:rPr>
                        <w:t> </w:t>
                      </w:r>
                      <w:r>
                        <w:rPr/>
                        <w:t>NICSP</w:t>
                      </w:r>
                      <w:r>
                        <w:rPr>
                          <w:spacing w:val="-5"/>
                        </w:rPr>
                        <w:t> </w:t>
                      </w:r>
                      <w:r>
                        <w:rPr/>
                        <w:t>39</w:t>
                      </w:r>
                      <w:r>
                        <w:rPr>
                          <w:spacing w:val="-4"/>
                        </w:rPr>
                        <w:t> </w:t>
                      </w:r>
                      <w:r>
                        <w:rPr/>
                        <w:t>–</w:t>
                      </w:r>
                      <w:r>
                        <w:rPr>
                          <w:spacing w:val="-5"/>
                        </w:rPr>
                        <w:t> </w:t>
                      </w:r>
                      <w:r>
                        <w:rPr/>
                        <w:t>Beneficios</w:t>
                      </w:r>
                      <w:r>
                        <w:rPr>
                          <w:spacing w:val="-4"/>
                        </w:rPr>
                        <w:t> </w:t>
                      </w:r>
                      <w:r>
                        <w:rPr/>
                        <w:t>a</w:t>
                      </w:r>
                      <w:r>
                        <w:rPr>
                          <w:spacing w:val="-5"/>
                        </w:rPr>
                        <w:t> </w:t>
                      </w:r>
                      <w:r>
                        <w:rPr/>
                        <w:t>los</w:t>
                      </w:r>
                      <w:r>
                        <w:rPr>
                          <w:spacing w:val="-4"/>
                        </w:rPr>
                        <w:t> </w:t>
                      </w:r>
                      <w:r>
                        <w:rPr/>
                        <w:t>Empleados,</w:t>
                      </w:r>
                      <w:r>
                        <w:rPr>
                          <w:spacing w:val="-5"/>
                        </w:rPr>
                        <w:t> </w:t>
                      </w:r>
                      <w:r>
                        <w:rPr/>
                        <w:t>específicamente</w:t>
                      </w:r>
                      <w:r>
                        <w:rPr>
                          <w:spacing w:val="-5"/>
                        </w:rPr>
                        <w:t> </w:t>
                      </w:r>
                      <w:r>
                        <w:rPr/>
                        <w:t>los</w:t>
                      </w:r>
                      <w:r>
                        <w:rPr>
                          <w:spacing w:val="-4"/>
                        </w:rPr>
                        <w:t> </w:t>
                      </w:r>
                      <w:r>
                        <w:rPr/>
                        <w:t>párrafos</w:t>
                      </w:r>
                      <w:r>
                        <w:rPr>
                          <w:spacing w:val="-4"/>
                        </w:rPr>
                        <w:t> </w:t>
                      </w:r>
                      <w:r>
                        <w:rPr/>
                        <w:t>11,</w:t>
                      </w:r>
                      <w:r>
                        <w:rPr>
                          <w:spacing w:val="-5"/>
                        </w:rPr>
                        <w:t> </w:t>
                      </w:r>
                      <w:r>
                        <w:rPr/>
                        <w:t>13, 15, 16 y 18, las vacaciones constituyen un beneficio a los empleados a corto plazo bajo la modalidad</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4272">
                <wp:simplePos x="0" y="0"/>
                <wp:positionH relativeFrom="page">
                  <wp:posOffset>9525</wp:posOffset>
                </wp:positionH>
                <wp:positionV relativeFrom="page">
                  <wp:posOffset>297208</wp:posOffset>
                </wp:positionV>
                <wp:extent cx="7762875" cy="9748520"/>
                <wp:effectExtent l="0" t="0" r="0" b="0"/>
                <wp:wrapNone/>
                <wp:docPr id="641" name="Group 641"/>
                <wp:cNvGraphicFramePr>
                  <a:graphicFrameLocks/>
                </wp:cNvGraphicFramePr>
                <a:graphic>
                  <a:graphicData uri="http://schemas.microsoft.com/office/word/2010/wordprocessingGroup">
                    <wpg:wgp>
                      <wpg:cNvPr id="641" name="Group 641"/>
                      <wpg:cNvGrpSpPr/>
                      <wpg:grpSpPr>
                        <a:xfrm>
                          <a:off x="0" y="0"/>
                          <a:ext cx="7762875" cy="9748520"/>
                          <a:chExt cx="7762875" cy="9748520"/>
                        </a:xfrm>
                      </wpg:grpSpPr>
                      <pic:pic>
                        <pic:nvPicPr>
                          <pic:cNvPr id="642" name="Image 642"/>
                          <pic:cNvPicPr/>
                        </pic:nvPicPr>
                        <pic:blipFill>
                          <a:blip r:embed="rId5" cstate="print"/>
                          <a:stretch>
                            <a:fillRect/>
                          </a:stretch>
                        </pic:blipFill>
                        <pic:spPr>
                          <a:xfrm>
                            <a:off x="0" y="0"/>
                            <a:ext cx="7762874" cy="9748489"/>
                          </a:xfrm>
                          <a:prstGeom prst="rect">
                            <a:avLst/>
                          </a:prstGeom>
                        </pic:spPr>
                      </pic:pic>
                      <wps:wsp>
                        <wps:cNvPr id="643" name="Graphic 64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44" name="Image 644"/>
                          <pic:cNvPicPr/>
                        </pic:nvPicPr>
                        <pic:blipFill>
                          <a:blip r:embed="rId73" cstate="print"/>
                          <a:stretch>
                            <a:fillRect/>
                          </a:stretch>
                        </pic:blipFill>
                        <pic:spPr>
                          <a:xfrm>
                            <a:off x="1598929" y="4788760"/>
                            <a:ext cx="4657090" cy="196976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62208" id="docshapegroup619" coordorigin="15,468" coordsize="12225,15352">
                <v:shape style="position:absolute;left:15;top:468;width:12225;height:15352" type="#_x0000_t75" id="docshape620" stroked="false">
                  <v:imagedata r:id="rId5" o:title=""/>
                </v:shape>
                <v:rect style="position:absolute;left:1673;top:2028;width:8897;height:15" id="docshape621" filled="true" fillcolor="#000000" stroked="false">
                  <v:fill type="solid"/>
                </v:rect>
                <v:shape style="position:absolute;left:2533;top:8009;width:7334;height:3102" type="#_x0000_t75" id="docshape622" stroked="false">
                  <v:imagedata r:id="rId73" o:title=""/>
                </v:shape>
                <w10:wrap type="none"/>
              </v:group>
            </w:pict>
          </mc:Fallback>
        </mc:AlternateContent>
      </w:r>
      <w:r>
        <w:rPr>
          <w:color w:val="172951"/>
          <w:sz w:val="20"/>
        </w:rPr>
        <w:t>Pág.</w:t>
      </w:r>
      <w:r>
        <w:rPr>
          <w:color w:val="172951"/>
          <w:spacing w:val="-7"/>
          <w:sz w:val="20"/>
        </w:rPr>
        <w:t> </w:t>
      </w:r>
      <w:r>
        <w:rPr>
          <w:color w:val="172951"/>
          <w:spacing w:val="-5"/>
          <w:sz w:val="20"/>
        </w:rPr>
        <w:t>130</w:t>
      </w:r>
    </w:p>
    <w:p>
      <w:pPr>
        <w:pStyle w:val="BodyText"/>
        <w:spacing w:before="10"/>
        <w:rPr>
          <w:sz w:val="16"/>
        </w:rPr>
      </w:pPr>
      <w:r>
        <w:rPr>
          <w:sz w:val="16"/>
        </w:rPr>
        <mc:AlternateContent>
          <mc:Choice Requires="wps">
            <w:drawing>
              <wp:anchor distT="0" distB="0" distL="0" distR="0" allowOverlap="1" layoutInCell="1" locked="0" behindDoc="1" simplePos="0" relativeHeight="487716352">
                <wp:simplePos x="0" y="0"/>
                <wp:positionH relativeFrom="page">
                  <wp:posOffset>1080820</wp:posOffset>
                </wp:positionH>
                <wp:positionV relativeFrom="paragraph">
                  <wp:posOffset>141144</wp:posOffset>
                </wp:positionV>
                <wp:extent cx="5715000" cy="5756910"/>
                <wp:effectExtent l="0" t="0" r="0" b="0"/>
                <wp:wrapTopAndBottom/>
                <wp:docPr id="645" name="Textbox 645"/>
                <wp:cNvGraphicFramePr>
                  <a:graphicFrameLocks/>
                </wp:cNvGraphicFramePr>
                <a:graphic>
                  <a:graphicData uri="http://schemas.microsoft.com/office/word/2010/wordprocessingShape">
                    <wps:wsp>
                      <wps:cNvPr id="645" name="Textbox 645"/>
                      <wps:cNvSpPr txBox="1"/>
                      <wps:spPr>
                        <a:xfrm>
                          <a:off x="0" y="0"/>
                          <a:ext cx="5715000" cy="5756910"/>
                        </a:xfrm>
                        <a:prstGeom prst="rect">
                          <a:avLst/>
                        </a:prstGeom>
                        <a:ln w="6095">
                          <a:solidFill>
                            <a:srgbClr val="000000"/>
                          </a:solidFill>
                          <a:prstDash val="solid"/>
                        </a:ln>
                      </wps:spPr>
                      <wps:txbx>
                        <w:txbxContent>
                          <w:p>
                            <w:pPr>
                              <w:pStyle w:val="BodyText"/>
                              <w:spacing w:line="278" w:lineRule="auto"/>
                              <w:ind w:left="103" w:right="104"/>
                              <w:jc w:val="both"/>
                            </w:pPr>
                            <w:r>
                              <w:rPr/>
                              <w:t>de ausencias retribuidas acumulativas, en tanto el derecho se genera a medida que los empleados prestan los servicios y puede trasladarse a periodos futuros.</w:t>
                            </w:r>
                          </w:p>
                          <w:p>
                            <w:pPr>
                              <w:pStyle w:val="BodyText"/>
                              <w:spacing w:before="33"/>
                            </w:pPr>
                          </w:p>
                          <w:p>
                            <w:pPr>
                              <w:pStyle w:val="BodyText"/>
                              <w:spacing w:line="276" w:lineRule="auto"/>
                              <w:ind w:left="103" w:right="104"/>
                              <w:jc w:val="both"/>
                            </w:pPr>
                            <w:r>
                              <w:rPr/>
                              <w:t>En aplicación del principio de devengo, la Institución reconoce el gasto por vacaciones conforme los empleados prestan los servicios que incrementan su derecho a dichas ausencias, y reconoce simultáneamente un pasivo por la obligación acumulada y pendiente de disfrute o pago al cierre del periodo, de acuerdo con lo establecido en los párrafos 11 y 15 de la NICSP 39:</w:t>
                            </w:r>
                          </w:p>
                          <w:p>
                            <w:pPr>
                              <w:pStyle w:val="BodyText"/>
                              <w:spacing w:before="37"/>
                            </w:pPr>
                          </w:p>
                          <w:p>
                            <w:pPr>
                              <w:spacing w:before="1"/>
                              <w:ind w:left="103" w:right="0" w:firstLine="0"/>
                              <w:jc w:val="both"/>
                              <w:rPr>
                                <w:b/>
                                <w:sz w:val="22"/>
                              </w:rPr>
                            </w:pPr>
                            <w:r>
                              <w:rPr>
                                <w:b/>
                                <w:sz w:val="22"/>
                              </w:rPr>
                              <w:t>Reconocimiento</w:t>
                            </w:r>
                            <w:r>
                              <w:rPr>
                                <w:b/>
                                <w:spacing w:val="-11"/>
                                <w:sz w:val="22"/>
                              </w:rPr>
                              <w:t> </w:t>
                            </w:r>
                            <w:r>
                              <w:rPr>
                                <w:b/>
                                <w:spacing w:val="-2"/>
                                <w:sz w:val="22"/>
                              </w:rPr>
                              <w:t>contable</w:t>
                            </w:r>
                          </w:p>
                          <w:p>
                            <w:pPr>
                              <w:spacing w:before="31"/>
                              <w:ind w:left="103" w:right="0" w:firstLine="0"/>
                              <w:jc w:val="both"/>
                              <w:rPr>
                                <w:i/>
                                <w:sz w:val="23"/>
                              </w:rPr>
                            </w:pPr>
                            <w:r>
                              <w:rPr>
                                <w:i/>
                                <w:spacing w:val="-4"/>
                                <w:sz w:val="23"/>
                              </w:rPr>
                              <w:t>(NICSP</w:t>
                            </w:r>
                            <w:r>
                              <w:rPr>
                                <w:i/>
                                <w:spacing w:val="-7"/>
                                <w:sz w:val="23"/>
                              </w:rPr>
                              <w:t> </w:t>
                            </w:r>
                            <w:r>
                              <w:rPr>
                                <w:i/>
                                <w:spacing w:val="-4"/>
                                <w:sz w:val="23"/>
                              </w:rPr>
                              <w:t>39,</w:t>
                            </w:r>
                            <w:r>
                              <w:rPr>
                                <w:i/>
                                <w:spacing w:val="-6"/>
                                <w:sz w:val="23"/>
                              </w:rPr>
                              <w:t> </w:t>
                            </w:r>
                            <w:r>
                              <w:rPr>
                                <w:i/>
                                <w:spacing w:val="-4"/>
                                <w:sz w:val="23"/>
                              </w:rPr>
                              <w:t>párrafos</w:t>
                            </w:r>
                            <w:r>
                              <w:rPr>
                                <w:i/>
                                <w:spacing w:val="-5"/>
                                <w:sz w:val="23"/>
                              </w:rPr>
                              <w:t> </w:t>
                            </w:r>
                            <w:r>
                              <w:rPr>
                                <w:i/>
                                <w:spacing w:val="-4"/>
                                <w:sz w:val="23"/>
                              </w:rPr>
                              <w:t>11,</w:t>
                            </w:r>
                            <w:r>
                              <w:rPr>
                                <w:i/>
                                <w:spacing w:val="-6"/>
                                <w:sz w:val="23"/>
                              </w:rPr>
                              <w:t> </w:t>
                            </w:r>
                            <w:r>
                              <w:rPr>
                                <w:i/>
                                <w:spacing w:val="-4"/>
                                <w:sz w:val="23"/>
                              </w:rPr>
                              <w:t>15</w:t>
                            </w:r>
                            <w:r>
                              <w:rPr>
                                <w:i/>
                                <w:spacing w:val="-10"/>
                                <w:sz w:val="23"/>
                              </w:rPr>
                              <w:t> </w:t>
                            </w:r>
                            <w:r>
                              <w:rPr>
                                <w:i/>
                                <w:spacing w:val="-4"/>
                                <w:sz w:val="23"/>
                              </w:rPr>
                              <w:t>y</w:t>
                            </w:r>
                            <w:r>
                              <w:rPr>
                                <w:i/>
                                <w:spacing w:val="-7"/>
                                <w:sz w:val="23"/>
                              </w:rPr>
                              <w:t> </w:t>
                            </w:r>
                            <w:r>
                              <w:rPr>
                                <w:i/>
                                <w:spacing w:val="-5"/>
                                <w:sz w:val="23"/>
                              </w:rPr>
                              <w:t>16)</w:t>
                            </w:r>
                          </w:p>
                          <w:p>
                            <w:pPr>
                              <w:pStyle w:val="BodyText"/>
                              <w:spacing w:line="276" w:lineRule="auto" w:before="34"/>
                              <w:ind w:left="103" w:right="104"/>
                              <w:jc w:val="both"/>
                            </w:pPr>
                            <w:r>
                              <w:rPr/>
                              <w:t>Las vacaciones acumulativas se reconocen como gasto del periodo en que los empleados prestan los servicios</w:t>
                            </w:r>
                            <w:r>
                              <w:rPr>
                                <w:spacing w:val="-7"/>
                              </w:rPr>
                              <w:t> </w:t>
                            </w:r>
                            <w:r>
                              <w:rPr/>
                              <w:t>que</w:t>
                            </w:r>
                            <w:r>
                              <w:rPr>
                                <w:spacing w:val="-7"/>
                              </w:rPr>
                              <w:t> </w:t>
                            </w:r>
                            <w:r>
                              <w:rPr/>
                              <w:t>generan</w:t>
                            </w:r>
                            <w:r>
                              <w:rPr>
                                <w:spacing w:val="-5"/>
                              </w:rPr>
                              <w:t> </w:t>
                            </w:r>
                            <w:r>
                              <w:rPr/>
                              <w:t>el</w:t>
                            </w:r>
                            <w:r>
                              <w:rPr>
                                <w:spacing w:val="-6"/>
                              </w:rPr>
                              <w:t> </w:t>
                            </w:r>
                            <w:r>
                              <w:rPr/>
                              <w:t>derecho,</w:t>
                            </w:r>
                            <w:r>
                              <w:rPr>
                                <w:spacing w:val="-6"/>
                              </w:rPr>
                              <w:t> </w:t>
                            </w:r>
                            <w:r>
                              <w:rPr/>
                              <w:t>y</w:t>
                            </w:r>
                            <w:r>
                              <w:rPr>
                                <w:spacing w:val="-7"/>
                              </w:rPr>
                              <w:t> </w:t>
                            </w:r>
                            <w:r>
                              <w:rPr/>
                              <w:t>como</w:t>
                            </w:r>
                            <w:r>
                              <w:rPr>
                                <w:spacing w:val="-5"/>
                              </w:rPr>
                              <w:t> </w:t>
                            </w:r>
                            <w:r>
                              <w:rPr/>
                              <w:t>pasivo</w:t>
                            </w:r>
                            <w:r>
                              <w:rPr>
                                <w:spacing w:val="-5"/>
                              </w:rPr>
                              <w:t> </w:t>
                            </w:r>
                            <w:r>
                              <w:rPr/>
                              <w:t>cuando</w:t>
                            </w:r>
                            <w:r>
                              <w:rPr>
                                <w:spacing w:val="-5"/>
                              </w:rPr>
                              <w:t> </w:t>
                            </w:r>
                            <w:r>
                              <w:rPr/>
                              <w:t>dichos</w:t>
                            </w:r>
                            <w:r>
                              <w:rPr>
                                <w:spacing w:val="-5"/>
                              </w:rPr>
                              <w:t> </w:t>
                            </w:r>
                            <w:r>
                              <w:rPr/>
                              <w:t>derechos</w:t>
                            </w:r>
                            <w:r>
                              <w:rPr>
                                <w:spacing w:val="-5"/>
                              </w:rPr>
                              <w:t> </w:t>
                            </w:r>
                            <w:r>
                              <w:rPr/>
                              <w:t>se</w:t>
                            </w:r>
                            <w:r>
                              <w:rPr>
                                <w:spacing w:val="-7"/>
                              </w:rPr>
                              <w:t> </w:t>
                            </w:r>
                            <w:r>
                              <w:rPr/>
                              <w:t>encuentran</w:t>
                            </w:r>
                            <w:r>
                              <w:rPr>
                                <w:spacing w:val="-6"/>
                              </w:rPr>
                              <w:t> </w:t>
                            </w:r>
                            <w:r>
                              <w:rPr/>
                              <w:t>devengados</w:t>
                            </w:r>
                            <w:r>
                              <w:rPr>
                                <w:spacing w:val="-5"/>
                              </w:rPr>
                              <w:t> </w:t>
                            </w:r>
                            <w:r>
                              <w:rPr/>
                              <w:t>y no han sido disfrutados o liquidados a la fecha de cierre.</w:t>
                            </w:r>
                          </w:p>
                          <w:p>
                            <w:pPr>
                              <w:pStyle w:val="BodyText"/>
                              <w:spacing w:before="38"/>
                            </w:pPr>
                          </w:p>
                          <w:p>
                            <w:pPr>
                              <w:pStyle w:val="BodyText"/>
                              <w:spacing w:line="276" w:lineRule="auto"/>
                              <w:ind w:left="103" w:right="106"/>
                              <w:jc w:val="both"/>
                            </w:pPr>
                            <w:r>
                              <w:rPr/>
                              <w:t>Las vacaciones no acumulativas, en caso de existir, se reconocen como gasto en el momento en que ocurren, conforme a lo dispuesto en el párrafo 16 de la NICSP 39.</w:t>
                            </w:r>
                          </w:p>
                          <w:p>
                            <w:pPr>
                              <w:pStyle w:val="BodyText"/>
                              <w:spacing w:before="38"/>
                            </w:pPr>
                          </w:p>
                          <w:p>
                            <w:pPr>
                              <w:pStyle w:val="BodyText"/>
                              <w:ind w:left="103"/>
                              <w:jc w:val="both"/>
                            </w:pPr>
                            <w:r>
                              <w:rPr/>
                              <w:t>Al</w:t>
                            </w:r>
                            <w:r>
                              <w:rPr>
                                <w:spacing w:val="-4"/>
                              </w:rPr>
                              <w:t> </w:t>
                            </w:r>
                            <w:r>
                              <w:rPr/>
                              <w:t>mes</w:t>
                            </w:r>
                            <w:r>
                              <w:rPr>
                                <w:spacing w:val="1"/>
                              </w:rPr>
                              <w:t> </w:t>
                            </w:r>
                            <w:r>
                              <w:rPr/>
                              <w:t>julio</w:t>
                            </w:r>
                            <w:r>
                              <w:rPr>
                                <w:spacing w:val="-1"/>
                              </w:rPr>
                              <w:t> </w:t>
                            </w:r>
                            <w:r>
                              <w:rPr/>
                              <w:t>2026,</w:t>
                            </w:r>
                            <w:r>
                              <w:rPr>
                                <w:spacing w:val="-1"/>
                              </w:rPr>
                              <w:t> </w:t>
                            </w:r>
                            <w:r>
                              <w:rPr/>
                              <w:t>la</w:t>
                            </w:r>
                            <w:r>
                              <w:rPr>
                                <w:spacing w:val="-2"/>
                              </w:rPr>
                              <w:t> </w:t>
                            </w:r>
                            <w:r>
                              <w:rPr/>
                              <w:t>Institución</w:t>
                            </w:r>
                            <w:r>
                              <w:rPr>
                                <w:spacing w:val="-2"/>
                              </w:rPr>
                              <w:t> </w:t>
                            </w:r>
                            <w:r>
                              <w:rPr/>
                              <w:t>registra</w:t>
                            </w:r>
                            <w:r>
                              <w:rPr>
                                <w:spacing w:val="-2"/>
                              </w:rPr>
                              <w:t> </w:t>
                            </w:r>
                            <w:r>
                              <w:rPr/>
                              <w:t>un</w:t>
                            </w:r>
                            <w:r>
                              <w:rPr>
                                <w:spacing w:val="-1"/>
                              </w:rPr>
                              <w:t> </w:t>
                            </w:r>
                            <w:r>
                              <w:rPr/>
                              <w:t>pasivo,</w:t>
                            </w:r>
                            <w:r>
                              <w:rPr>
                                <w:spacing w:val="-2"/>
                              </w:rPr>
                              <w:t> </w:t>
                            </w:r>
                            <w:r>
                              <w:rPr/>
                              <w:t>provisiones por</w:t>
                            </w:r>
                            <w:r>
                              <w:rPr>
                                <w:spacing w:val="-2"/>
                              </w:rPr>
                              <w:t> </w:t>
                            </w:r>
                            <w:r>
                              <w:rPr/>
                              <w:t>vacaciones por</w:t>
                            </w:r>
                            <w:r>
                              <w:rPr>
                                <w:spacing w:val="-1"/>
                              </w:rPr>
                              <w:t> </w:t>
                            </w:r>
                            <w:r>
                              <w:rPr/>
                              <w:t>un</w:t>
                            </w:r>
                            <w:r>
                              <w:rPr>
                                <w:spacing w:val="-2"/>
                              </w:rPr>
                              <w:t> </w:t>
                            </w:r>
                            <w:r>
                              <w:rPr/>
                              <w:t>monto total</w:t>
                            </w:r>
                            <w:r>
                              <w:rPr>
                                <w:spacing w:val="-2"/>
                              </w:rPr>
                              <w:t> </w:t>
                            </w:r>
                            <w:r>
                              <w:rPr>
                                <w:spacing w:val="-5"/>
                              </w:rPr>
                              <w:t>de</w:t>
                            </w:r>
                          </w:p>
                          <w:p>
                            <w:pPr>
                              <w:pStyle w:val="BodyText"/>
                              <w:spacing w:before="37"/>
                              <w:ind w:left="103"/>
                              <w:jc w:val="both"/>
                            </w:pPr>
                            <w:r>
                              <w:rPr/>
                              <w:t>¢777.601.19,</w:t>
                            </w:r>
                            <w:r>
                              <w:rPr>
                                <w:spacing w:val="-6"/>
                              </w:rPr>
                              <w:t> </w:t>
                            </w:r>
                            <w:r>
                              <w:rPr/>
                              <w:t>las</w:t>
                            </w:r>
                            <w:r>
                              <w:rPr>
                                <w:spacing w:val="-3"/>
                              </w:rPr>
                              <w:t> </w:t>
                            </w:r>
                            <w:r>
                              <w:rPr/>
                              <w:t>cuales</w:t>
                            </w:r>
                            <w:r>
                              <w:rPr>
                                <w:spacing w:val="-3"/>
                              </w:rPr>
                              <w:t> </w:t>
                            </w:r>
                            <w:r>
                              <w:rPr/>
                              <w:t>se</w:t>
                            </w:r>
                            <w:r>
                              <w:rPr>
                                <w:spacing w:val="-5"/>
                              </w:rPr>
                              <w:t> </w:t>
                            </w:r>
                            <w:r>
                              <w:rPr/>
                              <w:t>encuentran</w:t>
                            </w:r>
                            <w:r>
                              <w:rPr>
                                <w:spacing w:val="-3"/>
                              </w:rPr>
                              <w:t> </w:t>
                            </w:r>
                            <w:r>
                              <w:rPr/>
                              <w:t>incluidas</w:t>
                            </w:r>
                            <w:r>
                              <w:rPr>
                                <w:spacing w:val="-3"/>
                              </w:rPr>
                              <w:t> </w:t>
                            </w:r>
                            <w:r>
                              <w:rPr/>
                              <w:t>en</w:t>
                            </w:r>
                            <w:r>
                              <w:rPr>
                                <w:spacing w:val="-4"/>
                              </w:rPr>
                              <w:t> </w:t>
                            </w:r>
                            <w:r>
                              <w:rPr/>
                              <w:t>la</w:t>
                            </w:r>
                            <w:r>
                              <w:rPr>
                                <w:spacing w:val="-5"/>
                              </w:rPr>
                              <w:t> </w:t>
                            </w:r>
                            <w:r>
                              <w:rPr/>
                              <w:t>cuenta</w:t>
                            </w:r>
                            <w:r>
                              <w:rPr>
                                <w:spacing w:val="-3"/>
                              </w:rPr>
                              <w:t> </w:t>
                            </w:r>
                            <w:r>
                              <w:rPr>
                                <w:spacing w:val="-2"/>
                              </w:rPr>
                              <w:t>2.1.4.01.</w:t>
                            </w:r>
                          </w:p>
                        </w:txbxContent>
                      </wps:txbx>
                      <wps:bodyPr wrap="square" lIns="0" tIns="0" rIns="0" bIns="0" rtlCol="0">
                        <a:noAutofit/>
                      </wps:bodyPr>
                    </wps:wsp>
                  </a:graphicData>
                </a:graphic>
              </wp:anchor>
            </w:drawing>
          </mc:Choice>
          <mc:Fallback>
            <w:pict>
              <v:shape style="position:absolute;margin-left:85.103996pt;margin-top:11.11375pt;width:450pt;height:453.3pt;mso-position-horizontal-relative:page;mso-position-vertical-relative:paragraph;z-index:-15600128;mso-wrap-distance-left:0;mso-wrap-distance-right:0" type="#_x0000_t202" id="docshape623" filled="false" stroked="true" strokeweight=".47998pt" strokecolor="#000000">
                <v:textbox inset="0,0,0,0">
                  <w:txbxContent>
                    <w:p>
                      <w:pPr>
                        <w:pStyle w:val="BodyText"/>
                        <w:spacing w:line="278" w:lineRule="auto"/>
                        <w:ind w:left="103" w:right="104"/>
                        <w:jc w:val="both"/>
                      </w:pPr>
                      <w:r>
                        <w:rPr/>
                        <w:t>de ausencias retribuidas acumulativas, en tanto el derecho se genera a medida que los empleados prestan los servicios y puede trasladarse a periodos futuros.</w:t>
                      </w:r>
                    </w:p>
                    <w:p>
                      <w:pPr>
                        <w:pStyle w:val="BodyText"/>
                        <w:spacing w:before="33"/>
                      </w:pPr>
                    </w:p>
                    <w:p>
                      <w:pPr>
                        <w:pStyle w:val="BodyText"/>
                        <w:spacing w:line="276" w:lineRule="auto"/>
                        <w:ind w:left="103" w:right="104"/>
                        <w:jc w:val="both"/>
                      </w:pPr>
                      <w:r>
                        <w:rPr/>
                        <w:t>En aplicación del principio de devengo, la Institución reconoce el gasto por vacaciones conforme los empleados prestan los servicios que incrementan su derecho a dichas ausencias, y reconoce simultáneamente un pasivo por la obligación acumulada y pendiente de disfrute o pago al cierre del periodo, de acuerdo con lo establecido en los párrafos 11 y 15 de la NICSP 39:</w:t>
                      </w:r>
                    </w:p>
                    <w:p>
                      <w:pPr>
                        <w:pStyle w:val="BodyText"/>
                        <w:spacing w:before="37"/>
                      </w:pPr>
                    </w:p>
                    <w:p>
                      <w:pPr>
                        <w:spacing w:before="1"/>
                        <w:ind w:left="103" w:right="0" w:firstLine="0"/>
                        <w:jc w:val="both"/>
                        <w:rPr>
                          <w:b/>
                          <w:sz w:val="22"/>
                        </w:rPr>
                      </w:pPr>
                      <w:r>
                        <w:rPr>
                          <w:b/>
                          <w:sz w:val="22"/>
                        </w:rPr>
                        <w:t>Reconocimiento</w:t>
                      </w:r>
                      <w:r>
                        <w:rPr>
                          <w:b/>
                          <w:spacing w:val="-11"/>
                          <w:sz w:val="22"/>
                        </w:rPr>
                        <w:t> </w:t>
                      </w:r>
                      <w:r>
                        <w:rPr>
                          <w:b/>
                          <w:spacing w:val="-2"/>
                          <w:sz w:val="22"/>
                        </w:rPr>
                        <w:t>contable</w:t>
                      </w:r>
                    </w:p>
                    <w:p>
                      <w:pPr>
                        <w:spacing w:before="31"/>
                        <w:ind w:left="103" w:right="0" w:firstLine="0"/>
                        <w:jc w:val="both"/>
                        <w:rPr>
                          <w:i/>
                          <w:sz w:val="23"/>
                        </w:rPr>
                      </w:pPr>
                      <w:r>
                        <w:rPr>
                          <w:i/>
                          <w:spacing w:val="-4"/>
                          <w:sz w:val="23"/>
                        </w:rPr>
                        <w:t>(NICSP</w:t>
                      </w:r>
                      <w:r>
                        <w:rPr>
                          <w:i/>
                          <w:spacing w:val="-7"/>
                          <w:sz w:val="23"/>
                        </w:rPr>
                        <w:t> </w:t>
                      </w:r>
                      <w:r>
                        <w:rPr>
                          <w:i/>
                          <w:spacing w:val="-4"/>
                          <w:sz w:val="23"/>
                        </w:rPr>
                        <w:t>39,</w:t>
                      </w:r>
                      <w:r>
                        <w:rPr>
                          <w:i/>
                          <w:spacing w:val="-6"/>
                          <w:sz w:val="23"/>
                        </w:rPr>
                        <w:t> </w:t>
                      </w:r>
                      <w:r>
                        <w:rPr>
                          <w:i/>
                          <w:spacing w:val="-4"/>
                          <w:sz w:val="23"/>
                        </w:rPr>
                        <w:t>párrafos</w:t>
                      </w:r>
                      <w:r>
                        <w:rPr>
                          <w:i/>
                          <w:spacing w:val="-5"/>
                          <w:sz w:val="23"/>
                        </w:rPr>
                        <w:t> </w:t>
                      </w:r>
                      <w:r>
                        <w:rPr>
                          <w:i/>
                          <w:spacing w:val="-4"/>
                          <w:sz w:val="23"/>
                        </w:rPr>
                        <w:t>11,</w:t>
                      </w:r>
                      <w:r>
                        <w:rPr>
                          <w:i/>
                          <w:spacing w:val="-6"/>
                          <w:sz w:val="23"/>
                        </w:rPr>
                        <w:t> </w:t>
                      </w:r>
                      <w:r>
                        <w:rPr>
                          <w:i/>
                          <w:spacing w:val="-4"/>
                          <w:sz w:val="23"/>
                        </w:rPr>
                        <w:t>15</w:t>
                      </w:r>
                      <w:r>
                        <w:rPr>
                          <w:i/>
                          <w:spacing w:val="-10"/>
                          <w:sz w:val="23"/>
                        </w:rPr>
                        <w:t> </w:t>
                      </w:r>
                      <w:r>
                        <w:rPr>
                          <w:i/>
                          <w:spacing w:val="-4"/>
                          <w:sz w:val="23"/>
                        </w:rPr>
                        <w:t>y</w:t>
                      </w:r>
                      <w:r>
                        <w:rPr>
                          <w:i/>
                          <w:spacing w:val="-7"/>
                          <w:sz w:val="23"/>
                        </w:rPr>
                        <w:t> </w:t>
                      </w:r>
                      <w:r>
                        <w:rPr>
                          <w:i/>
                          <w:spacing w:val="-5"/>
                          <w:sz w:val="23"/>
                        </w:rPr>
                        <w:t>16)</w:t>
                      </w:r>
                    </w:p>
                    <w:p>
                      <w:pPr>
                        <w:pStyle w:val="BodyText"/>
                        <w:spacing w:line="276" w:lineRule="auto" w:before="34"/>
                        <w:ind w:left="103" w:right="104"/>
                        <w:jc w:val="both"/>
                      </w:pPr>
                      <w:r>
                        <w:rPr/>
                        <w:t>Las vacaciones acumulativas se reconocen como gasto del periodo en que los empleados prestan los servicios</w:t>
                      </w:r>
                      <w:r>
                        <w:rPr>
                          <w:spacing w:val="-7"/>
                        </w:rPr>
                        <w:t> </w:t>
                      </w:r>
                      <w:r>
                        <w:rPr/>
                        <w:t>que</w:t>
                      </w:r>
                      <w:r>
                        <w:rPr>
                          <w:spacing w:val="-7"/>
                        </w:rPr>
                        <w:t> </w:t>
                      </w:r>
                      <w:r>
                        <w:rPr/>
                        <w:t>generan</w:t>
                      </w:r>
                      <w:r>
                        <w:rPr>
                          <w:spacing w:val="-5"/>
                        </w:rPr>
                        <w:t> </w:t>
                      </w:r>
                      <w:r>
                        <w:rPr/>
                        <w:t>el</w:t>
                      </w:r>
                      <w:r>
                        <w:rPr>
                          <w:spacing w:val="-6"/>
                        </w:rPr>
                        <w:t> </w:t>
                      </w:r>
                      <w:r>
                        <w:rPr/>
                        <w:t>derecho,</w:t>
                      </w:r>
                      <w:r>
                        <w:rPr>
                          <w:spacing w:val="-6"/>
                        </w:rPr>
                        <w:t> </w:t>
                      </w:r>
                      <w:r>
                        <w:rPr/>
                        <w:t>y</w:t>
                      </w:r>
                      <w:r>
                        <w:rPr>
                          <w:spacing w:val="-7"/>
                        </w:rPr>
                        <w:t> </w:t>
                      </w:r>
                      <w:r>
                        <w:rPr/>
                        <w:t>como</w:t>
                      </w:r>
                      <w:r>
                        <w:rPr>
                          <w:spacing w:val="-5"/>
                        </w:rPr>
                        <w:t> </w:t>
                      </w:r>
                      <w:r>
                        <w:rPr/>
                        <w:t>pasivo</w:t>
                      </w:r>
                      <w:r>
                        <w:rPr>
                          <w:spacing w:val="-5"/>
                        </w:rPr>
                        <w:t> </w:t>
                      </w:r>
                      <w:r>
                        <w:rPr/>
                        <w:t>cuando</w:t>
                      </w:r>
                      <w:r>
                        <w:rPr>
                          <w:spacing w:val="-5"/>
                        </w:rPr>
                        <w:t> </w:t>
                      </w:r>
                      <w:r>
                        <w:rPr/>
                        <w:t>dichos</w:t>
                      </w:r>
                      <w:r>
                        <w:rPr>
                          <w:spacing w:val="-5"/>
                        </w:rPr>
                        <w:t> </w:t>
                      </w:r>
                      <w:r>
                        <w:rPr/>
                        <w:t>derechos</w:t>
                      </w:r>
                      <w:r>
                        <w:rPr>
                          <w:spacing w:val="-5"/>
                        </w:rPr>
                        <w:t> </w:t>
                      </w:r>
                      <w:r>
                        <w:rPr/>
                        <w:t>se</w:t>
                      </w:r>
                      <w:r>
                        <w:rPr>
                          <w:spacing w:val="-7"/>
                        </w:rPr>
                        <w:t> </w:t>
                      </w:r>
                      <w:r>
                        <w:rPr/>
                        <w:t>encuentran</w:t>
                      </w:r>
                      <w:r>
                        <w:rPr>
                          <w:spacing w:val="-6"/>
                        </w:rPr>
                        <w:t> </w:t>
                      </w:r>
                      <w:r>
                        <w:rPr/>
                        <w:t>devengados</w:t>
                      </w:r>
                      <w:r>
                        <w:rPr>
                          <w:spacing w:val="-5"/>
                        </w:rPr>
                        <w:t> </w:t>
                      </w:r>
                      <w:r>
                        <w:rPr/>
                        <w:t>y no han sido disfrutados o liquidados a la fecha de cierre.</w:t>
                      </w:r>
                    </w:p>
                    <w:p>
                      <w:pPr>
                        <w:pStyle w:val="BodyText"/>
                        <w:spacing w:before="38"/>
                      </w:pPr>
                    </w:p>
                    <w:p>
                      <w:pPr>
                        <w:pStyle w:val="BodyText"/>
                        <w:spacing w:line="276" w:lineRule="auto"/>
                        <w:ind w:left="103" w:right="106"/>
                        <w:jc w:val="both"/>
                      </w:pPr>
                      <w:r>
                        <w:rPr/>
                        <w:t>Las vacaciones no acumulativas, en caso de existir, se reconocen como gasto en el momento en que ocurren, conforme a lo dispuesto en el párrafo 16 de la NICSP 39.</w:t>
                      </w:r>
                    </w:p>
                    <w:p>
                      <w:pPr>
                        <w:pStyle w:val="BodyText"/>
                        <w:spacing w:before="38"/>
                      </w:pPr>
                    </w:p>
                    <w:p>
                      <w:pPr>
                        <w:pStyle w:val="BodyText"/>
                        <w:ind w:left="103"/>
                        <w:jc w:val="both"/>
                      </w:pPr>
                      <w:r>
                        <w:rPr/>
                        <w:t>Al</w:t>
                      </w:r>
                      <w:r>
                        <w:rPr>
                          <w:spacing w:val="-4"/>
                        </w:rPr>
                        <w:t> </w:t>
                      </w:r>
                      <w:r>
                        <w:rPr/>
                        <w:t>mes</w:t>
                      </w:r>
                      <w:r>
                        <w:rPr>
                          <w:spacing w:val="1"/>
                        </w:rPr>
                        <w:t> </w:t>
                      </w:r>
                      <w:r>
                        <w:rPr/>
                        <w:t>julio</w:t>
                      </w:r>
                      <w:r>
                        <w:rPr>
                          <w:spacing w:val="-1"/>
                        </w:rPr>
                        <w:t> </w:t>
                      </w:r>
                      <w:r>
                        <w:rPr/>
                        <w:t>2026,</w:t>
                      </w:r>
                      <w:r>
                        <w:rPr>
                          <w:spacing w:val="-1"/>
                        </w:rPr>
                        <w:t> </w:t>
                      </w:r>
                      <w:r>
                        <w:rPr/>
                        <w:t>la</w:t>
                      </w:r>
                      <w:r>
                        <w:rPr>
                          <w:spacing w:val="-2"/>
                        </w:rPr>
                        <w:t> </w:t>
                      </w:r>
                      <w:r>
                        <w:rPr/>
                        <w:t>Institución</w:t>
                      </w:r>
                      <w:r>
                        <w:rPr>
                          <w:spacing w:val="-2"/>
                        </w:rPr>
                        <w:t> </w:t>
                      </w:r>
                      <w:r>
                        <w:rPr/>
                        <w:t>registra</w:t>
                      </w:r>
                      <w:r>
                        <w:rPr>
                          <w:spacing w:val="-2"/>
                        </w:rPr>
                        <w:t> </w:t>
                      </w:r>
                      <w:r>
                        <w:rPr/>
                        <w:t>un</w:t>
                      </w:r>
                      <w:r>
                        <w:rPr>
                          <w:spacing w:val="-1"/>
                        </w:rPr>
                        <w:t> </w:t>
                      </w:r>
                      <w:r>
                        <w:rPr/>
                        <w:t>pasivo,</w:t>
                      </w:r>
                      <w:r>
                        <w:rPr>
                          <w:spacing w:val="-2"/>
                        </w:rPr>
                        <w:t> </w:t>
                      </w:r>
                      <w:r>
                        <w:rPr/>
                        <w:t>provisiones por</w:t>
                      </w:r>
                      <w:r>
                        <w:rPr>
                          <w:spacing w:val="-2"/>
                        </w:rPr>
                        <w:t> </w:t>
                      </w:r>
                      <w:r>
                        <w:rPr/>
                        <w:t>vacaciones por</w:t>
                      </w:r>
                      <w:r>
                        <w:rPr>
                          <w:spacing w:val="-1"/>
                        </w:rPr>
                        <w:t> </w:t>
                      </w:r>
                      <w:r>
                        <w:rPr/>
                        <w:t>un</w:t>
                      </w:r>
                      <w:r>
                        <w:rPr>
                          <w:spacing w:val="-2"/>
                        </w:rPr>
                        <w:t> </w:t>
                      </w:r>
                      <w:r>
                        <w:rPr/>
                        <w:t>monto total</w:t>
                      </w:r>
                      <w:r>
                        <w:rPr>
                          <w:spacing w:val="-2"/>
                        </w:rPr>
                        <w:t> </w:t>
                      </w:r>
                      <w:r>
                        <w:rPr>
                          <w:spacing w:val="-5"/>
                        </w:rPr>
                        <w:t>de</w:t>
                      </w:r>
                    </w:p>
                    <w:p>
                      <w:pPr>
                        <w:pStyle w:val="BodyText"/>
                        <w:spacing w:before="37"/>
                        <w:ind w:left="103"/>
                        <w:jc w:val="both"/>
                      </w:pPr>
                      <w:r>
                        <w:rPr/>
                        <w:t>¢777.601.19,</w:t>
                      </w:r>
                      <w:r>
                        <w:rPr>
                          <w:spacing w:val="-6"/>
                        </w:rPr>
                        <w:t> </w:t>
                      </w:r>
                      <w:r>
                        <w:rPr/>
                        <w:t>las</w:t>
                      </w:r>
                      <w:r>
                        <w:rPr>
                          <w:spacing w:val="-3"/>
                        </w:rPr>
                        <w:t> </w:t>
                      </w:r>
                      <w:r>
                        <w:rPr/>
                        <w:t>cuales</w:t>
                      </w:r>
                      <w:r>
                        <w:rPr>
                          <w:spacing w:val="-3"/>
                        </w:rPr>
                        <w:t> </w:t>
                      </w:r>
                      <w:r>
                        <w:rPr/>
                        <w:t>se</w:t>
                      </w:r>
                      <w:r>
                        <w:rPr>
                          <w:spacing w:val="-5"/>
                        </w:rPr>
                        <w:t> </w:t>
                      </w:r>
                      <w:r>
                        <w:rPr/>
                        <w:t>encuentran</w:t>
                      </w:r>
                      <w:r>
                        <w:rPr>
                          <w:spacing w:val="-3"/>
                        </w:rPr>
                        <w:t> </w:t>
                      </w:r>
                      <w:r>
                        <w:rPr/>
                        <w:t>incluidas</w:t>
                      </w:r>
                      <w:r>
                        <w:rPr>
                          <w:spacing w:val="-3"/>
                        </w:rPr>
                        <w:t> </w:t>
                      </w:r>
                      <w:r>
                        <w:rPr/>
                        <w:t>en</w:t>
                      </w:r>
                      <w:r>
                        <w:rPr>
                          <w:spacing w:val="-4"/>
                        </w:rPr>
                        <w:t> </w:t>
                      </w:r>
                      <w:r>
                        <w:rPr/>
                        <w:t>la</w:t>
                      </w:r>
                      <w:r>
                        <w:rPr>
                          <w:spacing w:val="-5"/>
                        </w:rPr>
                        <w:t> </w:t>
                      </w:r>
                      <w:r>
                        <w:rPr/>
                        <w:t>cuenta</w:t>
                      </w:r>
                      <w:r>
                        <w:rPr>
                          <w:spacing w:val="-3"/>
                        </w:rPr>
                        <w:t> </w:t>
                      </w:r>
                      <w:r>
                        <w:rPr>
                          <w:spacing w:val="-2"/>
                        </w:rPr>
                        <w:t>2.1.4.01.</w:t>
                      </w:r>
                    </w:p>
                  </w:txbxContent>
                </v:textbox>
                <v:stroke dashstyle="solid"/>
                <w10:wrap type="topAndBottom"/>
              </v:shape>
            </w:pict>
          </mc:Fallback>
        </mc:AlternateContent>
      </w:r>
    </w:p>
    <w:p>
      <w:pPr>
        <w:pStyle w:val="BodyText"/>
      </w:pPr>
    </w:p>
    <w:p>
      <w:pPr>
        <w:pStyle w:val="BodyText"/>
      </w:pPr>
    </w:p>
    <w:p>
      <w:pPr>
        <w:pStyle w:val="BodyText"/>
        <w:spacing w:before="114"/>
      </w:pPr>
    </w:p>
    <w:p>
      <w:pPr>
        <w:pStyle w:val="Heading6"/>
        <w:numPr>
          <w:ilvl w:val="2"/>
          <w:numId w:val="39"/>
        </w:numPr>
        <w:tabs>
          <w:tab w:pos="1341" w:val="left" w:leader="none"/>
        </w:tabs>
        <w:spacing w:line="240" w:lineRule="auto" w:before="0" w:after="0"/>
        <w:ind w:left="1341" w:right="0" w:hanging="360"/>
        <w:jc w:val="left"/>
      </w:pPr>
      <w:r>
        <w:rPr>
          <w:u w:val="single"/>
        </w:rPr>
        <w:t>Cuenta</w:t>
      </w:r>
      <w:r>
        <w:rPr>
          <w:spacing w:val="-3"/>
          <w:u w:val="single"/>
        </w:rPr>
        <w:t> </w:t>
      </w:r>
      <w:r>
        <w:rPr>
          <w:u w:val="single"/>
        </w:rPr>
        <w:t>por</w:t>
      </w:r>
      <w:r>
        <w:rPr>
          <w:spacing w:val="-3"/>
          <w:u w:val="single"/>
        </w:rPr>
        <w:t> </w:t>
      </w:r>
      <w:r>
        <w:rPr>
          <w:u w:val="single"/>
        </w:rPr>
        <w:t>Pagar</w:t>
      </w:r>
      <w:r>
        <w:rPr>
          <w:spacing w:val="-2"/>
          <w:u w:val="single"/>
        </w:rPr>
        <w:t> </w:t>
      </w:r>
      <w:r>
        <w:rPr>
          <w:u w:val="single"/>
        </w:rPr>
        <w:t>por</w:t>
      </w:r>
      <w:r>
        <w:rPr>
          <w:spacing w:val="-3"/>
          <w:u w:val="single"/>
        </w:rPr>
        <w:t> </w:t>
      </w:r>
      <w:r>
        <w:rPr>
          <w:u w:val="single"/>
        </w:rPr>
        <w:t>concepto</w:t>
      </w:r>
      <w:r>
        <w:rPr>
          <w:spacing w:val="-3"/>
          <w:u w:val="single"/>
        </w:rPr>
        <w:t> </w:t>
      </w:r>
      <w:r>
        <w:rPr>
          <w:u w:val="single"/>
        </w:rPr>
        <w:t>de</w:t>
      </w:r>
      <w:r>
        <w:rPr>
          <w:spacing w:val="-2"/>
          <w:u w:val="single"/>
        </w:rPr>
        <w:t> </w:t>
      </w:r>
      <w:r>
        <w:rPr>
          <w:u w:val="single"/>
        </w:rPr>
        <w:t>cesantía</w:t>
      </w:r>
      <w:r>
        <w:rPr>
          <w:spacing w:val="-4"/>
          <w:u w:val="single"/>
        </w:rPr>
        <w:t> </w:t>
      </w:r>
      <w:r>
        <w:rPr>
          <w:u w:val="single"/>
        </w:rPr>
        <w:t>(párrafos</w:t>
      </w:r>
      <w:r>
        <w:rPr>
          <w:spacing w:val="-1"/>
          <w:u w:val="single"/>
        </w:rPr>
        <w:t> </w:t>
      </w:r>
      <w:r>
        <w:rPr>
          <w:spacing w:val="-4"/>
          <w:u w:val="single"/>
        </w:rPr>
        <w:t>8,26)</w:t>
      </w:r>
    </w:p>
    <w:p>
      <w:pPr>
        <w:pStyle w:val="BodyText"/>
        <w:spacing w:before="32"/>
        <w:rPr>
          <w:b/>
          <w:sz w:val="20"/>
        </w:rPr>
      </w:pPr>
      <w:r>
        <w:rPr>
          <w:b/>
          <w:sz w:val="20"/>
        </w:rPr>
        <mc:AlternateContent>
          <mc:Choice Requires="wps">
            <w:drawing>
              <wp:anchor distT="0" distB="0" distL="0" distR="0" allowOverlap="1" layoutInCell="1" locked="0" behindDoc="1" simplePos="0" relativeHeight="487716864">
                <wp:simplePos x="0" y="0"/>
                <wp:positionH relativeFrom="page">
                  <wp:posOffset>1080820</wp:posOffset>
                </wp:positionH>
                <wp:positionV relativeFrom="paragraph">
                  <wp:posOffset>183673</wp:posOffset>
                </wp:positionV>
                <wp:extent cx="5715000" cy="1013460"/>
                <wp:effectExtent l="0" t="0" r="0" b="0"/>
                <wp:wrapTopAndBottom/>
                <wp:docPr id="646" name="Textbox 646"/>
                <wp:cNvGraphicFramePr>
                  <a:graphicFrameLocks/>
                </wp:cNvGraphicFramePr>
                <a:graphic>
                  <a:graphicData uri="http://schemas.microsoft.com/office/word/2010/wordprocessingShape">
                    <wps:wsp>
                      <wps:cNvPr id="646" name="Textbox 646"/>
                      <wps:cNvSpPr txBox="1"/>
                      <wps:spPr>
                        <a:xfrm>
                          <a:off x="0" y="0"/>
                          <a:ext cx="5715000" cy="101346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2"/>
                              <w:jc w:val="both"/>
                            </w:pPr>
                            <w:r>
                              <w:rPr/>
                              <w:t>De conformidad con la NICSP 39 – Beneficios a los Empleados, específicamente con los párrafos 8 y 26, la cesantía corresponde a un beneficio a los empleados que surge como consecuencia de la terminación de la relación laboral y cuya naturaleza y clasificación dependen de las condiciones bajo las cuales se devenga y liquida.</w:t>
                            </w:r>
                          </w:p>
                        </w:txbxContent>
                      </wps:txbx>
                      <wps:bodyPr wrap="square" lIns="0" tIns="0" rIns="0" bIns="0" rtlCol="0">
                        <a:noAutofit/>
                      </wps:bodyPr>
                    </wps:wsp>
                  </a:graphicData>
                </a:graphic>
              </wp:anchor>
            </w:drawing>
          </mc:Choice>
          <mc:Fallback>
            <w:pict>
              <v:shape style="position:absolute;margin-left:85.103996pt;margin-top:14.46247pt;width:450pt;height:79.8pt;mso-position-horizontal-relative:page;mso-position-vertical-relative:paragraph;z-index:-15599616;mso-wrap-distance-left:0;mso-wrap-distance-right:0" type="#_x0000_t202" id="docshape624"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2"/>
                        <w:jc w:val="both"/>
                      </w:pPr>
                      <w:r>
                        <w:rPr/>
                        <w:t>De conformidad con la NICSP 39 – Beneficios a los Empleados, específicamente con los párrafos 8 y 26, la cesantía corresponde a un beneficio a los empleados que surge como consecuencia de la terminación de la relación laboral y cuya naturaleza y clasificación dependen de las condiciones bajo las cuales se devenga y liquida.</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5808">
                <wp:simplePos x="0" y="0"/>
                <wp:positionH relativeFrom="page">
                  <wp:posOffset>9525</wp:posOffset>
                </wp:positionH>
                <wp:positionV relativeFrom="page">
                  <wp:posOffset>297208</wp:posOffset>
                </wp:positionV>
                <wp:extent cx="7762875" cy="9748520"/>
                <wp:effectExtent l="0" t="0" r="0" b="0"/>
                <wp:wrapNone/>
                <wp:docPr id="647" name="Group 647"/>
                <wp:cNvGraphicFramePr>
                  <a:graphicFrameLocks/>
                </wp:cNvGraphicFramePr>
                <a:graphic>
                  <a:graphicData uri="http://schemas.microsoft.com/office/word/2010/wordprocessingGroup">
                    <wpg:wgp>
                      <wpg:cNvPr id="647" name="Group 647"/>
                      <wpg:cNvGrpSpPr/>
                      <wpg:grpSpPr>
                        <a:xfrm>
                          <a:off x="0" y="0"/>
                          <a:ext cx="7762875" cy="9748520"/>
                          <a:chExt cx="7762875" cy="9748520"/>
                        </a:xfrm>
                      </wpg:grpSpPr>
                      <pic:pic>
                        <pic:nvPicPr>
                          <pic:cNvPr id="648" name="Image 648"/>
                          <pic:cNvPicPr/>
                        </pic:nvPicPr>
                        <pic:blipFill>
                          <a:blip r:embed="rId5" cstate="print"/>
                          <a:stretch>
                            <a:fillRect/>
                          </a:stretch>
                        </pic:blipFill>
                        <pic:spPr>
                          <a:xfrm>
                            <a:off x="0" y="0"/>
                            <a:ext cx="7762874" cy="9748489"/>
                          </a:xfrm>
                          <a:prstGeom prst="rect">
                            <a:avLst/>
                          </a:prstGeom>
                        </pic:spPr>
                      </pic:pic>
                      <wps:wsp>
                        <wps:cNvPr id="649" name="Graphic 64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50" name="Image 650"/>
                          <pic:cNvPicPr/>
                        </pic:nvPicPr>
                        <pic:blipFill>
                          <a:blip r:embed="rId74" cstate="print"/>
                          <a:stretch>
                            <a:fillRect/>
                          </a:stretch>
                        </pic:blipFill>
                        <pic:spPr>
                          <a:xfrm>
                            <a:off x="1622424" y="3207229"/>
                            <a:ext cx="4603115" cy="201929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60672" id="docshapegroup625" coordorigin="15,468" coordsize="12225,15352">
                <v:shape style="position:absolute;left:15;top:468;width:12225;height:15352" type="#_x0000_t75" id="docshape626" stroked="false">
                  <v:imagedata r:id="rId5" o:title=""/>
                </v:shape>
                <v:rect style="position:absolute;left:1673;top:2028;width:8897;height:15" id="docshape627" filled="true" fillcolor="#000000" stroked="false">
                  <v:fill type="solid"/>
                </v:rect>
                <v:shape style="position:absolute;left:2570;top:5518;width:7249;height:3180" type="#_x0000_t75" id="docshape628" stroked="false">
                  <v:imagedata r:id="rId74" o:title=""/>
                </v:shape>
                <w10:wrap type="none"/>
              </v:group>
            </w:pict>
          </mc:Fallback>
        </mc:AlternateContent>
      </w:r>
      <w:r>
        <w:rPr>
          <w:color w:val="172951"/>
          <w:sz w:val="20"/>
        </w:rPr>
        <w:t>Pág.</w:t>
      </w:r>
      <w:r>
        <w:rPr>
          <w:color w:val="172951"/>
          <w:spacing w:val="-7"/>
          <w:sz w:val="20"/>
        </w:rPr>
        <w:t> </w:t>
      </w:r>
      <w:r>
        <w:rPr>
          <w:color w:val="172951"/>
          <w:spacing w:val="-5"/>
          <w:sz w:val="20"/>
        </w:rPr>
        <w:t>131</w:t>
      </w:r>
    </w:p>
    <w:p>
      <w:pPr>
        <w:pStyle w:val="BodyText"/>
        <w:spacing w:before="10"/>
        <w:rPr>
          <w:sz w:val="16"/>
        </w:rPr>
      </w:pPr>
      <w:r>
        <w:rPr>
          <w:sz w:val="16"/>
        </w:rPr>
        <mc:AlternateContent>
          <mc:Choice Requires="wps">
            <w:drawing>
              <wp:anchor distT="0" distB="0" distL="0" distR="0" allowOverlap="1" layoutInCell="1" locked="0" behindDoc="1" simplePos="0" relativeHeight="487717888">
                <wp:simplePos x="0" y="0"/>
                <wp:positionH relativeFrom="page">
                  <wp:posOffset>1080820</wp:posOffset>
                </wp:positionH>
                <wp:positionV relativeFrom="paragraph">
                  <wp:posOffset>141144</wp:posOffset>
                </wp:positionV>
                <wp:extent cx="5715000" cy="4225290"/>
                <wp:effectExtent l="0" t="0" r="0" b="0"/>
                <wp:wrapTopAndBottom/>
                <wp:docPr id="651" name="Textbox 651"/>
                <wp:cNvGraphicFramePr>
                  <a:graphicFrameLocks/>
                </wp:cNvGraphicFramePr>
                <a:graphic>
                  <a:graphicData uri="http://schemas.microsoft.com/office/word/2010/wordprocessingShape">
                    <wps:wsp>
                      <wps:cNvPr id="651" name="Textbox 651"/>
                      <wps:cNvSpPr txBox="1"/>
                      <wps:spPr>
                        <a:xfrm>
                          <a:off x="0" y="0"/>
                          <a:ext cx="5715000" cy="4225290"/>
                        </a:xfrm>
                        <a:prstGeom prst="rect">
                          <a:avLst/>
                        </a:prstGeom>
                        <a:ln w="6095">
                          <a:solidFill>
                            <a:srgbClr val="000000"/>
                          </a:solidFill>
                          <a:prstDash val="solid"/>
                        </a:ln>
                      </wps:spPr>
                      <wps:txbx>
                        <w:txbxContent>
                          <w:p>
                            <w:pPr>
                              <w:pStyle w:val="BodyText"/>
                              <w:spacing w:before="39"/>
                            </w:pPr>
                          </w:p>
                          <w:p>
                            <w:pPr>
                              <w:pStyle w:val="BodyText"/>
                              <w:spacing w:line="276" w:lineRule="auto" w:before="1"/>
                              <w:ind w:left="103" w:right="105"/>
                              <w:jc w:val="both"/>
                            </w:pPr>
                            <w:r>
                              <w:rPr/>
                              <w:t>En la Institución, la cesantía se reconoce conforme al principio de devengo, en la medida en que se configura</w:t>
                            </w:r>
                            <w:r>
                              <w:rPr>
                                <w:spacing w:val="-14"/>
                              </w:rPr>
                              <w:t> </w:t>
                            </w:r>
                            <w:r>
                              <w:rPr/>
                              <w:t>una</w:t>
                            </w:r>
                            <w:r>
                              <w:rPr>
                                <w:spacing w:val="-14"/>
                              </w:rPr>
                              <w:t> </w:t>
                            </w:r>
                            <w:r>
                              <w:rPr/>
                              <w:t>obligación</w:t>
                            </w:r>
                            <w:r>
                              <w:rPr>
                                <w:spacing w:val="-14"/>
                              </w:rPr>
                              <w:t> </w:t>
                            </w:r>
                            <w:r>
                              <w:rPr/>
                              <w:t>presente,</w:t>
                            </w:r>
                            <w:r>
                              <w:rPr>
                                <w:spacing w:val="-13"/>
                              </w:rPr>
                              <w:t> </w:t>
                            </w:r>
                            <w:r>
                              <w:rPr/>
                              <w:t>legal</w:t>
                            </w:r>
                            <w:r>
                              <w:rPr>
                                <w:spacing w:val="-14"/>
                              </w:rPr>
                              <w:t> </w:t>
                            </w:r>
                            <w:r>
                              <w:rPr/>
                              <w:t>o</w:t>
                            </w:r>
                            <w:r>
                              <w:rPr>
                                <w:spacing w:val="-14"/>
                              </w:rPr>
                              <w:t> </w:t>
                            </w:r>
                            <w:r>
                              <w:rPr/>
                              <w:t>implícita,</w:t>
                            </w:r>
                            <w:r>
                              <w:rPr>
                                <w:spacing w:val="-14"/>
                              </w:rPr>
                              <w:t> </w:t>
                            </w:r>
                            <w:r>
                              <w:rPr/>
                              <w:t>derivada</w:t>
                            </w:r>
                            <w:r>
                              <w:rPr>
                                <w:spacing w:val="-13"/>
                              </w:rPr>
                              <w:t> </w:t>
                            </w:r>
                            <w:r>
                              <w:rPr/>
                              <w:t>de</w:t>
                            </w:r>
                            <w:r>
                              <w:rPr>
                                <w:spacing w:val="-14"/>
                              </w:rPr>
                              <w:t> </w:t>
                            </w:r>
                            <w:r>
                              <w:rPr/>
                              <w:t>los</w:t>
                            </w:r>
                            <w:r>
                              <w:rPr>
                                <w:spacing w:val="-14"/>
                              </w:rPr>
                              <w:t> </w:t>
                            </w:r>
                            <w:r>
                              <w:rPr/>
                              <w:t>servicios</w:t>
                            </w:r>
                            <w:r>
                              <w:rPr>
                                <w:spacing w:val="-14"/>
                              </w:rPr>
                              <w:t> </w:t>
                            </w:r>
                            <w:r>
                              <w:rPr/>
                              <w:t>prestados</w:t>
                            </w:r>
                            <w:r>
                              <w:rPr>
                                <w:spacing w:val="-13"/>
                              </w:rPr>
                              <w:t> </w:t>
                            </w:r>
                            <w:r>
                              <w:rPr/>
                              <w:t>por</w:t>
                            </w:r>
                            <w:r>
                              <w:rPr>
                                <w:spacing w:val="-14"/>
                              </w:rPr>
                              <w:t> </w:t>
                            </w:r>
                            <w:r>
                              <w:rPr/>
                              <w:t>las</w:t>
                            </w:r>
                            <w:r>
                              <w:rPr>
                                <w:spacing w:val="-14"/>
                              </w:rPr>
                              <w:t> </w:t>
                            </w:r>
                            <w:r>
                              <w:rPr/>
                              <w:t>personas funcionarias, y se espera su liquidación conforme a la normativa laboral vigente.</w:t>
                            </w:r>
                          </w:p>
                          <w:p>
                            <w:pPr>
                              <w:pStyle w:val="BodyText"/>
                              <w:spacing w:before="37"/>
                            </w:pPr>
                          </w:p>
                          <w:p>
                            <w:pPr>
                              <w:pStyle w:val="BodyText"/>
                              <w:spacing w:line="276" w:lineRule="auto"/>
                              <w:ind w:left="103" w:right="100"/>
                              <w:jc w:val="both"/>
                            </w:pPr>
                            <w:r>
                              <w:rPr/>
                              <w:t>En</w:t>
                            </w:r>
                            <w:r>
                              <w:rPr>
                                <w:spacing w:val="-6"/>
                              </w:rPr>
                              <w:t> </w:t>
                            </w:r>
                            <w:r>
                              <w:rPr/>
                              <w:t>este</w:t>
                            </w:r>
                            <w:r>
                              <w:rPr>
                                <w:spacing w:val="-7"/>
                              </w:rPr>
                              <w:t> </w:t>
                            </w:r>
                            <w:r>
                              <w:rPr/>
                              <w:t>sentido,</w:t>
                            </w:r>
                            <w:r>
                              <w:rPr>
                                <w:spacing w:val="-6"/>
                              </w:rPr>
                              <w:t> </w:t>
                            </w:r>
                            <w:r>
                              <w:rPr/>
                              <w:t>la</w:t>
                            </w:r>
                            <w:r>
                              <w:rPr>
                                <w:spacing w:val="-7"/>
                              </w:rPr>
                              <w:t> </w:t>
                            </w:r>
                            <w:r>
                              <w:rPr/>
                              <w:t>cesantía</w:t>
                            </w:r>
                            <w:r>
                              <w:rPr>
                                <w:spacing w:val="-7"/>
                              </w:rPr>
                              <w:t> </w:t>
                            </w:r>
                            <w:r>
                              <w:rPr/>
                              <w:t>se</w:t>
                            </w:r>
                            <w:r>
                              <w:rPr>
                                <w:spacing w:val="-7"/>
                              </w:rPr>
                              <w:t> </w:t>
                            </w:r>
                            <w:r>
                              <w:rPr/>
                              <w:t>reconoce</w:t>
                            </w:r>
                            <w:r>
                              <w:rPr>
                                <w:spacing w:val="-8"/>
                              </w:rPr>
                              <w:t> </w:t>
                            </w:r>
                            <w:r>
                              <w:rPr/>
                              <w:t>cuando</w:t>
                            </w:r>
                            <w:r>
                              <w:rPr>
                                <w:spacing w:val="-6"/>
                              </w:rPr>
                              <w:t> </w:t>
                            </w:r>
                            <w:r>
                              <w:rPr/>
                              <w:t>existe</w:t>
                            </w:r>
                            <w:r>
                              <w:rPr>
                                <w:spacing w:val="-7"/>
                              </w:rPr>
                              <w:t> </w:t>
                            </w:r>
                            <w:r>
                              <w:rPr/>
                              <w:t>una</w:t>
                            </w:r>
                            <w:r>
                              <w:rPr>
                                <w:spacing w:val="-7"/>
                              </w:rPr>
                              <w:t> </w:t>
                            </w:r>
                            <w:r>
                              <w:rPr/>
                              <w:t>obligación</w:t>
                            </w:r>
                            <w:r>
                              <w:rPr>
                                <w:spacing w:val="-6"/>
                              </w:rPr>
                              <w:t> </w:t>
                            </w:r>
                            <w:r>
                              <w:rPr/>
                              <w:t>presente</w:t>
                            </w:r>
                            <w:r>
                              <w:rPr>
                                <w:spacing w:val="-7"/>
                              </w:rPr>
                              <w:t> </w:t>
                            </w:r>
                            <w:r>
                              <w:rPr/>
                              <w:t>y</w:t>
                            </w:r>
                            <w:r>
                              <w:rPr>
                                <w:spacing w:val="-7"/>
                              </w:rPr>
                              <w:t> </w:t>
                            </w:r>
                            <w:r>
                              <w:rPr/>
                              <w:t>la</w:t>
                            </w:r>
                            <w:r>
                              <w:rPr>
                                <w:spacing w:val="-7"/>
                              </w:rPr>
                              <w:t> </w:t>
                            </w:r>
                            <w:r>
                              <w:rPr/>
                              <w:t>Institución</w:t>
                            </w:r>
                            <w:r>
                              <w:rPr>
                                <w:spacing w:val="-6"/>
                              </w:rPr>
                              <w:t> </w:t>
                            </w:r>
                            <w:r>
                              <w:rPr/>
                              <w:t>no</w:t>
                            </w:r>
                            <w:r>
                              <w:rPr>
                                <w:spacing w:val="-5"/>
                              </w:rPr>
                              <w:t> </w:t>
                            </w:r>
                            <w:r>
                              <w:rPr/>
                              <w:t>tiene una</w:t>
                            </w:r>
                            <w:r>
                              <w:rPr>
                                <w:spacing w:val="-3"/>
                              </w:rPr>
                              <w:t> </w:t>
                            </w:r>
                            <w:r>
                              <w:rPr/>
                              <w:t>alternativa</w:t>
                            </w:r>
                            <w:r>
                              <w:rPr>
                                <w:spacing w:val="-3"/>
                              </w:rPr>
                              <w:t> </w:t>
                            </w:r>
                            <w:r>
                              <w:rPr/>
                              <w:t>realista</w:t>
                            </w:r>
                            <w:r>
                              <w:rPr>
                                <w:spacing w:val="-2"/>
                              </w:rPr>
                              <w:t> </w:t>
                            </w:r>
                            <w:r>
                              <w:rPr/>
                              <w:t>distinta</w:t>
                            </w:r>
                            <w:r>
                              <w:rPr>
                                <w:spacing w:val="-3"/>
                              </w:rPr>
                              <w:t> </w:t>
                            </w:r>
                            <w:r>
                              <w:rPr/>
                              <w:t>a</w:t>
                            </w:r>
                            <w:r>
                              <w:rPr>
                                <w:spacing w:val="-3"/>
                              </w:rPr>
                              <w:t> </w:t>
                            </w:r>
                            <w:r>
                              <w:rPr/>
                              <w:t>efectuar</w:t>
                            </w:r>
                            <w:r>
                              <w:rPr>
                                <w:spacing w:val="-2"/>
                              </w:rPr>
                              <w:t> </w:t>
                            </w:r>
                            <w:r>
                              <w:rPr/>
                              <w:t>el</w:t>
                            </w:r>
                            <w:r>
                              <w:rPr>
                                <w:spacing w:val="-1"/>
                              </w:rPr>
                              <w:t> </w:t>
                            </w:r>
                            <w:r>
                              <w:rPr/>
                              <w:t>pago</w:t>
                            </w:r>
                            <w:r>
                              <w:rPr>
                                <w:spacing w:val="-1"/>
                              </w:rPr>
                              <w:t> </w:t>
                            </w:r>
                            <w:r>
                              <w:rPr/>
                              <w:t>correspondiente,</w:t>
                            </w:r>
                            <w:r>
                              <w:rPr>
                                <w:spacing w:val="-2"/>
                              </w:rPr>
                              <w:t> </w:t>
                            </w:r>
                            <w:r>
                              <w:rPr/>
                              <w:t>reconociéndose</w:t>
                            </w:r>
                            <w:r>
                              <w:rPr>
                                <w:spacing w:val="-3"/>
                              </w:rPr>
                              <w:t> </w:t>
                            </w:r>
                            <w:r>
                              <w:rPr/>
                              <w:t>el</w:t>
                            </w:r>
                            <w:r>
                              <w:rPr>
                                <w:spacing w:val="-2"/>
                              </w:rPr>
                              <w:t> </w:t>
                            </w:r>
                            <w:r>
                              <w:rPr/>
                              <w:t>gasto</w:t>
                            </w:r>
                            <w:r>
                              <w:rPr>
                                <w:spacing w:val="-1"/>
                              </w:rPr>
                              <w:t> </w:t>
                            </w:r>
                            <w:r>
                              <w:rPr/>
                              <w:t>y</w:t>
                            </w:r>
                            <w:r>
                              <w:rPr>
                                <w:spacing w:val="-3"/>
                              </w:rPr>
                              <w:t> </w:t>
                            </w:r>
                            <w:r>
                              <w:rPr/>
                              <w:t>el</w:t>
                            </w:r>
                            <w:r>
                              <w:rPr>
                                <w:spacing w:val="-2"/>
                              </w:rPr>
                              <w:t> </w:t>
                            </w:r>
                            <w:r>
                              <w:rPr/>
                              <w:t>pasivo asociado conforme a la naturaleza del beneficio y al momento en que se configura la obligación.</w:t>
                            </w:r>
                          </w:p>
                          <w:p>
                            <w:pPr>
                              <w:pStyle w:val="BodyText"/>
                              <w:spacing w:line="259" w:lineRule="auto" w:before="159"/>
                              <w:ind w:left="103" w:right="100"/>
                              <w:jc w:val="both"/>
                            </w:pPr>
                            <w:r>
                              <w:rPr/>
                              <w:t>En cuanto a</w:t>
                            </w:r>
                            <w:r>
                              <w:rPr>
                                <w:spacing w:val="-1"/>
                              </w:rPr>
                              <w:t> </w:t>
                            </w:r>
                            <w:r>
                              <w:rPr/>
                              <w:t>la</w:t>
                            </w:r>
                            <w:r>
                              <w:rPr>
                                <w:spacing w:val="-1"/>
                              </w:rPr>
                              <w:t> </w:t>
                            </w:r>
                            <w:r>
                              <w:rPr/>
                              <w:t>cesantía,</w:t>
                            </w:r>
                            <w:r>
                              <w:rPr>
                                <w:spacing w:val="-2"/>
                              </w:rPr>
                              <w:t> </w:t>
                            </w:r>
                            <w:r>
                              <w:rPr/>
                              <w:t>se</w:t>
                            </w:r>
                            <w:r>
                              <w:rPr>
                                <w:spacing w:val="-1"/>
                              </w:rPr>
                              <w:t> </w:t>
                            </w:r>
                            <w:r>
                              <w:rPr/>
                              <w:t>reconocen provisiones para</w:t>
                            </w:r>
                            <w:r>
                              <w:rPr>
                                <w:spacing w:val="-2"/>
                              </w:rPr>
                              <w:t> </w:t>
                            </w:r>
                            <w:r>
                              <w:rPr/>
                              <w:t>el</w:t>
                            </w:r>
                            <w:r>
                              <w:rPr>
                                <w:spacing w:val="-1"/>
                              </w:rPr>
                              <w:t> </w:t>
                            </w:r>
                            <w:r>
                              <w:rPr/>
                              <w:t>personal</w:t>
                            </w:r>
                            <w:r>
                              <w:rPr>
                                <w:spacing w:val="-1"/>
                              </w:rPr>
                              <w:t> </w:t>
                            </w:r>
                            <w:r>
                              <w:rPr/>
                              <w:t>que</w:t>
                            </w:r>
                            <w:r>
                              <w:rPr>
                                <w:spacing w:val="-1"/>
                              </w:rPr>
                              <w:t> </w:t>
                            </w:r>
                            <w:r>
                              <w:rPr/>
                              <w:t>no se</w:t>
                            </w:r>
                            <w:r>
                              <w:rPr>
                                <w:spacing w:val="-1"/>
                              </w:rPr>
                              <w:t> </w:t>
                            </w:r>
                            <w:r>
                              <w:rPr/>
                              <w:t>encuentra afiliado a</w:t>
                            </w:r>
                            <w:r>
                              <w:rPr>
                                <w:spacing w:val="-1"/>
                              </w:rPr>
                              <w:t> </w:t>
                            </w:r>
                            <w:r>
                              <w:rPr/>
                              <w:t>una asociación</w:t>
                            </w:r>
                            <w:r>
                              <w:rPr>
                                <w:spacing w:val="-2"/>
                              </w:rPr>
                              <w:t> </w:t>
                            </w:r>
                            <w:r>
                              <w:rPr/>
                              <w:t>solidarista, ya</w:t>
                            </w:r>
                            <w:r>
                              <w:rPr>
                                <w:spacing w:val="-3"/>
                              </w:rPr>
                              <w:t> </w:t>
                            </w:r>
                            <w:r>
                              <w:rPr/>
                              <w:t>que</w:t>
                            </w:r>
                            <w:r>
                              <w:rPr>
                                <w:spacing w:val="-1"/>
                              </w:rPr>
                              <w:t> </w:t>
                            </w:r>
                            <w:r>
                              <w:rPr/>
                              <w:t>no</w:t>
                            </w:r>
                            <w:r>
                              <w:rPr>
                                <w:spacing w:val="-1"/>
                              </w:rPr>
                              <w:t> </w:t>
                            </w:r>
                            <w:r>
                              <w:rPr/>
                              <w:t>se</w:t>
                            </w:r>
                            <w:r>
                              <w:rPr>
                                <w:spacing w:val="-3"/>
                              </w:rPr>
                              <w:t> </w:t>
                            </w:r>
                            <w:r>
                              <w:rPr/>
                              <w:t>traslada</w:t>
                            </w:r>
                            <w:r>
                              <w:rPr>
                                <w:spacing w:val="-1"/>
                              </w:rPr>
                              <w:t> </w:t>
                            </w:r>
                            <w:r>
                              <w:rPr/>
                              <w:t>el</w:t>
                            </w:r>
                            <w:r>
                              <w:rPr>
                                <w:spacing w:val="-1"/>
                              </w:rPr>
                              <w:t> </w:t>
                            </w:r>
                            <w:r>
                              <w:rPr/>
                              <w:t>riesgo</w:t>
                            </w:r>
                            <w:r>
                              <w:rPr>
                                <w:spacing w:val="-1"/>
                              </w:rPr>
                              <w:t> </w:t>
                            </w:r>
                            <w:r>
                              <w:rPr/>
                              <w:t>y la</w:t>
                            </w:r>
                            <w:r>
                              <w:rPr>
                                <w:spacing w:val="-1"/>
                              </w:rPr>
                              <w:t> </w:t>
                            </w:r>
                            <w:r>
                              <w:rPr/>
                              <w:t>obligación</w:t>
                            </w:r>
                            <w:r>
                              <w:rPr>
                                <w:spacing w:val="-2"/>
                              </w:rPr>
                              <w:t> </w:t>
                            </w:r>
                            <w:r>
                              <w:rPr/>
                              <w:t>principal</w:t>
                            </w:r>
                            <w:r>
                              <w:rPr>
                                <w:spacing w:val="-1"/>
                              </w:rPr>
                              <w:t> </w:t>
                            </w:r>
                            <w:r>
                              <w:rPr/>
                              <w:t>del</w:t>
                            </w:r>
                            <w:r>
                              <w:rPr>
                                <w:spacing w:val="-1"/>
                              </w:rPr>
                              <w:t> </w:t>
                            </w:r>
                            <w:r>
                              <w:rPr/>
                              <w:t>ámbito</w:t>
                            </w:r>
                            <w:r>
                              <w:rPr>
                                <w:spacing w:val="-1"/>
                              </w:rPr>
                              <w:t> </w:t>
                            </w:r>
                            <w:r>
                              <w:rPr/>
                              <w:t>directo</w:t>
                            </w:r>
                            <w:r>
                              <w:rPr>
                                <w:spacing w:val="-2"/>
                              </w:rPr>
                              <w:t> </w:t>
                            </w:r>
                            <w:r>
                              <w:rPr/>
                              <w:t>es de la entidad, como se muestra seguidamente:</w:t>
                            </w:r>
                          </w:p>
                        </w:txbxContent>
                      </wps:txbx>
                      <wps:bodyPr wrap="square" lIns="0" tIns="0" rIns="0" bIns="0" rtlCol="0">
                        <a:noAutofit/>
                      </wps:bodyPr>
                    </wps:wsp>
                  </a:graphicData>
                </a:graphic>
              </wp:anchor>
            </w:drawing>
          </mc:Choice>
          <mc:Fallback>
            <w:pict>
              <v:shape style="position:absolute;margin-left:85.103996pt;margin-top:11.11375pt;width:450pt;height:332.7pt;mso-position-horizontal-relative:page;mso-position-vertical-relative:paragraph;z-index:-15598592;mso-wrap-distance-left:0;mso-wrap-distance-right:0" type="#_x0000_t202" id="docshape629" filled="false" stroked="true" strokeweight=".47998pt" strokecolor="#000000">
                <v:textbox inset="0,0,0,0">
                  <w:txbxContent>
                    <w:p>
                      <w:pPr>
                        <w:pStyle w:val="BodyText"/>
                        <w:spacing w:before="39"/>
                      </w:pPr>
                    </w:p>
                    <w:p>
                      <w:pPr>
                        <w:pStyle w:val="BodyText"/>
                        <w:spacing w:line="276" w:lineRule="auto" w:before="1"/>
                        <w:ind w:left="103" w:right="105"/>
                        <w:jc w:val="both"/>
                      </w:pPr>
                      <w:r>
                        <w:rPr/>
                        <w:t>En la Institución, la cesantía se reconoce conforme al principio de devengo, en la medida en que se configura</w:t>
                      </w:r>
                      <w:r>
                        <w:rPr>
                          <w:spacing w:val="-14"/>
                        </w:rPr>
                        <w:t> </w:t>
                      </w:r>
                      <w:r>
                        <w:rPr/>
                        <w:t>una</w:t>
                      </w:r>
                      <w:r>
                        <w:rPr>
                          <w:spacing w:val="-14"/>
                        </w:rPr>
                        <w:t> </w:t>
                      </w:r>
                      <w:r>
                        <w:rPr/>
                        <w:t>obligación</w:t>
                      </w:r>
                      <w:r>
                        <w:rPr>
                          <w:spacing w:val="-14"/>
                        </w:rPr>
                        <w:t> </w:t>
                      </w:r>
                      <w:r>
                        <w:rPr/>
                        <w:t>presente,</w:t>
                      </w:r>
                      <w:r>
                        <w:rPr>
                          <w:spacing w:val="-13"/>
                        </w:rPr>
                        <w:t> </w:t>
                      </w:r>
                      <w:r>
                        <w:rPr/>
                        <w:t>legal</w:t>
                      </w:r>
                      <w:r>
                        <w:rPr>
                          <w:spacing w:val="-14"/>
                        </w:rPr>
                        <w:t> </w:t>
                      </w:r>
                      <w:r>
                        <w:rPr/>
                        <w:t>o</w:t>
                      </w:r>
                      <w:r>
                        <w:rPr>
                          <w:spacing w:val="-14"/>
                        </w:rPr>
                        <w:t> </w:t>
                      </w:r>
                      <w:r>
                        <w:rPr/>
                        <w:t>implícita,</w:t>
                      </w:r>
                      <w:r>
                        <w:rPr>
                          <w:spacing w:val="-14"/>
                        </w:rPr>
                        <w:t> </w:t>
                      </w:r>
                      <w:r>
                        <w:rPr/>
                        <w:t>derivada</w:t>
                      </w:r>
                      <w:r>
                        <w:rPr>
                          <w:spacing w:val="-13"/>
                        </w:rPr>
                        <w:t> </w:t>
                      </w:r>
                      <w:r>
                        <w:rPr/>
                        <w:t>de</w:t>
                      </w:r>
                      <w:r>
                        <w:rPr>
                          <w:spacing w:val="-14"/>
                        </w:rPr>
                        <w:t> </w:t>
                      </w:r>
                      <w:r>
                        <w:rPr/>
                        <w:t>los</w:t>
                      </w:r>
                      <w:r>
                        <w:rPr>
                          <w:spacing w:val="-14"/>
                        </w:rPr>
                        <w:t> </w:t>
                      </w:r>
                      <w:r>
                        <w:rPr/>
                        <w:t>servicios</w:t>
                      </w:r>
                      <w:r>
                        <w:rPr>
                          <w:spacing w:val="-14"/>
                        </w:rPr>
                        <w:t> </w:t>
                      </w:r>
                      <w:r>
                        <w:rPr/>
                        <w:t>prestados</w:t>
                      </w:r>
                      <w:r>
                        <w:rPr>
                          <w:spacing w:val="-13"/>
                        </w:rPr>
                        <w:t> </w:t>
                      </w:r>
                      <w:r>
                        <w:rPr/>
                        <w:t>por</w:t>
                      </w:r>
                      <w:r>
                        <w:rPr>
                          <w:spacing w:val="-14"/>
                        </w:rPr>
                        <w:t> </w:t>
                      </w:r>
                      <w:r>
                        <w:rPr/>
                        <w:t>las</w:t>
                      </w:r>
                      <w:r>
                        <w:rPr>
                          <w:spacing w:val="-14"/>
                        </w:rPr>
                        <w:t> </w:t>
                      </w:r>
                      <w:r>
                        <w:rPr/>
                        <w:t>personas funcionarias, y se espera su liquidación conforme a la normativa laboral vigente.</w:t>
                      </w:r>
                    </w:p>
                    <w:p>
                      <w:pPr>
                        <w:pStyle w:val="BodyText"/>
                        <w:spacing w:before="37"/>
                      </w:pPr>
                    </w:p>
                    <w:p>
                      <w:pPr>
                        <w:pStyle w:val="BodyText"/>
                        <w:spacing w:line="276" w:lineRule="auto"/>
                        <w:ind w:left="103" w:right="100"/>
                        <w:jc w:val="both"/>
                      </w:pPr>
                      <w:r>
                        <w:rPr/>
                        <w:t>En</w:t>
                      </w:r>
                      <w:r>
                        <w:rPr>
                          <w:spacing w:val="-6"/>
                        </w:rPr>
                        <w:t> </w:t>
                      </w:r>
                      <w:r>
                        <w:rPr/>
                        <w:t>este</w:t>
                      </w:r>
                      <w:r>
                        <w:rPr>
                          <w:spacing w:val="-7"/>
                        </w:rPr>
                        <w:t> </w:t>
                      </w:r>
                      <w:r>
                        <w:rPr/>
                        <w:t>sentido,</w:t>
                      </w:r>
                      <w:r>
                        <w:rPr>
                          <w:spacing w:val="-6"/>
                        </w:rPr>
                        <w:t> </w:t>
                      </w:r>
                      <w:r>
                        <w:rPr/>
                        <w:t>la</w:t>
                      </w:r>
                      <w:r>
                        <w:rPr>
                          <w:spacing w:val="-7"/>
                        </w:rPr>
                        <w:t> </w:t>
                      </w:r>
                      <w:r>
                        <w:rPr/>
                        <w:t>cesantía</w:t>
                      </w:r>
                      <w:r>
                        <w:rPr>
                          <w:spacing w:val="-7"/>
                        </w:rPr>
                        <w:t> </w:t>
                      </w:r>
                      <w:r>
                        <w:rPr/>
                        <w:t>se</w:t>
                      </w:r>
                      <w:r>
                        <w:rPr>
                          <w:spacing w:val="-7"/>
                        </w:rPr>
                        <w:t> </w:t>
                      </w:r>
                      <w:r>
                        <w:rPr/>
                        <w:t>reconoce</w:t>
                      </w:r>
                      <w:r>
                        <w:rPr>
                          <w:spacing w:val="-8"/>
                        </w:rPr>
                        <w:t> </w:t>
                      </w:r>
                      <w:r>
                        <w:rPr/>
                        <w:t>cuando</w:t>
                      </w:r>
                      <w:r>
                        <w:rPr>
                          <w:spacing w:val="-6"/>
                        </w:rPr>
                        <w:t> </w:t>
                      </w:r>
                      <w:r>
                        <w:rPr/>
                        <w:t>existe</w:t>
                      </w:r>
                      <w:r>
                        <w:rPr>
                          <w:spacing w:val="-7"/>
                        </w:rPr>
                        <w:t> </w:t>
                      </w:r>
                      <w:r>
                        <w:rPr/>
                        <w:t>una</w:t>
                      </w:r>
                      <w:r>
                        <w:rPr>
                          <w:spacing w:val="-7"/>
                        </w:rPr>
                        <w:t> </w:t>
                      </w:r>
                      <w:r>
                        <w:rPr/>
                        <w:t>obligación</w:t>
                      </w:r>
                      <w:r>
                        <w:rPr>
                          <w:spacing w:val="-6"/>
                        </w:rPr>
                        <w:t> </w:t>
                      </w:r>
                      <w:r>
                        <w:rPr/>
                        <w:t>presente</w:t>
                      </w:r>
                      <w:r>
                        <w:rPr>
                          <w:spacing w:val="-7"/>
                        </w:rPr>
                        <w:t> </w:t>
                      </w:r>
                      <w:r>
                        <w:rPr/>
                        <w:t>y</w:t>
                      </w:r>
                      <w:r>
                        <w:rPr>
                          <w:spacing w:val="-7"/>
                        </w:rPr>
                        <w:t> </w:t>
                      </w:r>
                      <w:r>
                        <w:rPr/>
                        <w:t>la</w:t>
                      </w:r>
                      <w:r>
                        <w:rPr>
                          <w:spacing w:val="-7"/>
                        </w:rPr>
                        <w:t> </w:t>
                      </w:r>
                      <w:r>
                        <w:rPr/>
                        <w:t>Institución</w:t>
                      </w:r>
                      <w:r>
                        <w:rPr>
                          <w:spacing w:val="-6"/>
                        </w:rPr>
                        <w:t> </w:t>
                      </w:r>
                      <w:r>
                        <w:rPr/>
                        <w:t>no</w:t>
                      </w:r>
                      <w:r>
                        <w:rPr>
                          <w:spacing w:val="-5"/>
                        </w:rPr>
                        <w:t> </w:t>
                      </w:r>
                      <w:r>
                        <w:rPr/>
                        <w:t>tiene una</w:t>
                      </w:r>
                      <w:r>
                        <w:rPr>
                          <w:spacing w:val="-3"/>
                        </w:rPr>
                        <w:t> </w:t>
                      </w:r>
                      <w:r>
                        <w:rPr/>
                        <w:t>alternativa</w:t>
                      </w:r>
                      <w:r>
                        <w:rPr>
                          <w:spacing w:val="-3"/>
                        </w:rPr>
                        <w:t> </w:t>
                      </w:r>
                      <w:r>
                        <w:rPr/>
                        <w:t>realista</w:t>
                      </w:r>
                      <w:r>
                        <w:rPr>
                          <w:spacing w:val="-2"/>
                        </w:rPr>
                        <w:t> </w:t>
                      </w:r>
                      <w:r>
                        <w:rPr/>
                        <w:t>distinta</w:t>
                      </w:r>
                      <w:r>
                        <w:rPr>
                          <w:spacing w:val="-3"/>
                        </w:rPr>
                        <w:t> </w:t>
                      </w:r>
                      <w:r>
                        <w:rPr/>
                        <w:t>a</w:t>
                      </w:r>
                      <w:r>
                        <w:rPr>
                          <w:spacing w:val="-3"/>
                        </w:rPr>
                        <w:t> </w:t>
                      </w:r>
                      <w:r>
                        <w:rPr/>
                        <w:t>efectuar</w:t>
                      </w:r>
                      <w:r>
                        <w:rPr>
                          <w:spacing w:val="-2"/>
                        </w:rPr>
                        <w:t> </w:t>
                      </w:r>
                      <w:r>
                        <w:rPr/>
                        <w:t>el</w:t>
                      </w:r>
                      <w:r>
                        <w:rPr>
                          <w:spacing w:val="-1"/>
                        </w:rPr>
                        <w:t> </w:t>
                      </w:r>
                      <w:r>
                        <w:rPr/>
                        <w:t>pago</w:t>
                      </w:r>
                      <w:r>
                        <w:rPr>
                          <w:spacing w:val="-1"/>
                        </w:rPr>
                        <w:t> </w:t>
                      </w:r>
                      <w:r>
                        <w:rPr/>
                        <w:t>correspondiente,</w:t>
                      </w:r>
                      <w:r>
                        <w:rPr>
                          <w:spacing w:val="-2"/>
                        </w:rPr>
                        <w:t> </w:t>
                      </w:r>
                      <w:r>
                        <w:rPr/>
                        <w:t>reconociéndose</w:t>
                      </w:r>
                      <w:r>
                        <w:rPr>
                          <w:spacing w:val="-3"/>
                        </w:rPr>
                        <w:t> </w:t>
                      </w:r>
                      <w:r>
                        <w:rPr/>
                        <w:t>el</w:t>
                      </w:r>
                      <w:r>
                        <w:rPr>
                          <w:spacing w:val="-2"/>
                        </w:rPr>
                        <w:t> </w:t>
                      </w:r>
                      <w:r>
                        <w:rPr/>
                        <w:t>gasto</w:t>
                      </w:r>
                      <w:r>
                        <w:rPr>
                          <w:spacing w:val="-1"/>
                        </w:rPr>
                        <w:t> </w:t>
                      </w:r>
                      <w:r>
                        <w:rPr/>
                        <w:t>y</w:t>
                      </w:r>
                      <w:r>
                        <w:rPr>
                          <w:spacing w:val="-3"/>
                        </w:rPr>
                        <w:t> </w:t>
                      </w:r>
                      <w:r>
                        <w:rPr/>
                        <w:t>el</w:t>
                      </w:r>
                      <w:r>
                        <w:rPr>
                          <w:spacing w:val="-2"/>
                        </w:rPr>
                        <w:t> </w:t>
                      </w:r>
                      <w:r>
                        <w:rPr/>
                        <w:t>pasivo asociado conforme a la naturaleza del beneficio y al momento en que se configura la obligación.</w:t>
                      </w:r>
                    </w:p>
                    <w:p>
                      <w:pPr>
                        <w:pStyle w:val="BodyText"/>
                        <w:spacing w:line="259" w:lineRule="auto" w:before="159"/>
                        <w:ind w:left="103" w:right="100"/>
                        <w:jc w:val="both"/>
                      </w:pPr>
                      <w:r>
                        <w:rPr/>
                        <w:t>En cuanto a</w:t>
                      </w:r>
                      <w:r>
                        <w:rPr>
                          <w:spacing w:val="-1"/>
                        </w:rPr>
                        <w:t> </w:t>
                      </w:r>
                      <w:r>
                        <w:rPr/>
                        <w:t>la</w:t>
                      </w:r>
                      <w:r>
                        <w:rPr>
                          <w:spacing w:val="-1"/>
                        </w:rPr>
                        <w:t> </w:t>
                      </w:r>
                      <w:r>
                        <w:rPr/>
                        <w:t>cesantía,</w:t>
                      </w:r>
                      <w:r>
                        <w:rPr>
                          <w:spacing w:val="-2"/>
                        </w:rPr>
                        <w:t> </w:t>
                      </w:r>
                      <w:r>
                        <w:rPr/>
                        <w:t>se</w:t>
                      </w:r>
                      <w:r>
                        <w:rPr>
                          <w:spacing w:val="-1"/>
                        </w:rPr>
                        <w:t> </w:t>
                      </w:r>
                      <w:r>
                        <w:rPr/>
                        <w:t>reconocen provisiones para</w:t>
                      </w:r>
                      <w:r>
                        <w:rPr>
                          <w:spacing w:val="-2"/>
                        </w:rPr>
                        <w:t> </w:t>
                      </w:r>
                      <w:r>
                        <w:rPr/>
                        <w:t>el</w:t>
                      </w:r>
                      <w:r>
                        <w:rPr>
                          <w:spacing w:val="-1"/>
                        </w:rPr>
                        <w:t> </w:t>
                      </w:r>
                      <w:r>
                        <w:rPr/>
                        <w:t>personal</w:t>
                      </w:r>
                      <w:r>
                        <w:rPr>
                          <w:spacing w:val="-1"/>
                        </w:rPr>
                        <w:t> </w:t>
                      </w:r>
                      <w:r>
                        <w:rPr/>
                        <w:t>que</w:t>
                      </w:r>
                      <w:r>
                        <w:rPr>
                          <w:spacing w:val="-1"/>
                        </w:rPr>
                        <w:t> </w:t>
                      </w:r>
                      <w:r>
                        <w:rPr/>
                        <w:t>no se</w:t>
                      </w:r>
                      <w:r>
                        <w:rPr>
                          <w:spacing w:val="-1"/>
                        </w:rPr>
                        <w:t> </w:t>
                      </w:r>
                      <w:r>
                        <w:rPr/>
                        <w:t>encuentra afiliado a</w:t>
                      </w:r>
                      <w:r>
                        <w:rPr>
                          <w:spacing w:val="-1"/>
                        </w:rPr>
                        <w:t> </w:t>
                      </w:r>
                      <w:r>
                        <w:rPr/>
                        <w:t>una asociación</w:t>
                      </w:r>
                      <w:r>
                        <w:rPr>
                          <w:spacing w:val="-2"/>
                        </w:rPr>
                        <w:t> </w:t>
                      </w:r>
                      <w:r>
                        <w:rPr/>
                        <w:t>solidarista, ya</w:t>
                      </w:r>
                      <w:r>
                        <w:rPr>
                          <w:spacing w:val="-3"/>
                        </w:rPr>
                        <w:t> </w:t>
                      </w:r>
                      <w:r>
                        <w:rPr/>
                        <w:t>que</w:t>
                      </w:r>
                      <w:r>
                        <w:rPr>
                          <w:spacing w:val="-1"/>
                        </w:rPr>
                        <w:t> </w:t>
                      </w:r>
                      <w:r>
                        <w:rPr/>
                        <w:t>no</w:t>
                      </w:r>
                      <w:r>
                        <w:rPr>
                          <w:spacing w:val="-1"/>
                        </w:rPr>
                        <w:t> </w:t>
                      </w:r>
                      <w:r>
                        <w:rPr/>
                        <w:t>se</w:t>
                      </w:r>
                      <w:r>
                        <w:rPr>
                          <w:spacing w:val="-3"/>
                        </w:rPr>
                        <w:t> </w:t>
                      </w:r>
                      <w:r>
                        <w:rPr/>
                        <w:t>traslada</w:t>
                      </w:r>
                      <w:r>
                        <w:rPr>
                          <w:spacing w:val="-1"/>
                        </w:rPr>
                        <w:t> </w:t>
                      </w:r>
                      <w:r>
                        <w:rPr/>
                        <w:t>el</w:t>
                      </w:r>
                      <w:r>
                        <w:rPr>
                          <w:spacing w:val="-1"/>
                        </w:rPr>
                        <w:t> </w:t>
                      </w:r>
                      <w:r>
                        <w:rPr/>
                        <w:t>riesgo</w:t>
                      </w:r>
                      <w:r>
                        <w:rPr>
                          <w:spacing w:val="-1"/>
                        </w:rPr>
                        <w:t> </w:t>
                      </w:r>
                      <w:r>
                        <w:rPr/>
                        <w:t>y la</w:t>
                      </w:r>
                      <w:r>
                        <w:rPr>
                          <w:spacing w:val="-1"/>
                        </w:rPr>
                        <w:t> </w:t>
                      </w:r>
                      <w:r>
                        <w:rPr/>
                        <w:t>obligación</w:t>
                      </w:r>
                      <w:r>
                        <w:rPr>
                          <w:spacing w:val="-2"/>
                        </w:rPr>
                        <w:t> </w:t>
                      </w:r>
                      <w:r>
                        <w:rPr/>
                        <w:t>principal</w:t>
                      </w:r>
                      <w:r>
                        <w:rPr>
                          <w:spacing w:val="-1"/>
                        </w:rPr>
                        <w:t> </w:t>
                      </w:r>
                      <w:r>
                        <w:rPr/>
                        <w:t>del</w:t>
                      </w:r>
                      <w:r>
                        <w:rPr>
                          <w:spacing w:val="-1"/>
                        </w:rPr>
                        <w:t> </w:t>
                      </w:r>
                      <w:r>
                        <w:rPr/>
                        <w:t>ámbito</w:t>
                      </w:r>
                      <w:r>
                        <w:rPr>
                          <w:spacing w:val="-1"/>
                        </w:rPr>
                        <w:t> </w:t>
                      </w:r>
                      <w:r>
                        <w:rPr/>
                        <w:t>directo</w:t>
                      </w:r>
                      <w:r>
                        <w:rPr>
                          <w:spacing w:val="-2"/>
                        </w:rPr>
                        <w:t> </w:t>
                      </w:r>
                      <w:r>
                        <w:rPr/>
                        <w:t>es de la entidad, como se muestra seguidamente:</w:t>
                      </w:r>
                    </w:p>
                  </w:txbxContent>
                </v:textbox>
                <v:stroke dashstyle="solid"/>
                <w10:wrap type="topAndBottom"/>
              </v:shape>
            </w:pict>
          </mc:Fallback>
        </mc:AlternateContent>
      </w:r>
    </w:p>
    <w:p>
      <w:pPr>
        <w:pStyle w:val="BodyText"/>
        <w:spacing w:before="183"/>
      </w:pPr>
    </w:p>
    <w:p>
      <w:pPr>
        <w:pStyle w:val="Heading6"/>
        <w:numPr>
          <w:ilvl w:val="2"/>
          <w:numId w:val="39"/>
        </w:numPr>
        <w:tabs>
          <w:tab w:pos="1339" w:val="left" w:leader="none"/>
        </w:tabs>
        <w:spacing w:line="240" w:lineRule="auto" w:before="1" w:after="0"/>
        <w:ind w:left="1339" w:right="0" w:hanging="358"/>
        <w:jc w:val="left"/>
      </w:pPr>
      <w:r>
        <w:rPr>
          <w:u w:val="single"/>
        </w:rPr>
        <w:t>Otra</w:t>
      </w:r>
      <w:r>
        <w:rPr>
          <w:spacing w:val="-4"/>
          <w:u w:val="single"/>
        </w:rPr>
        <w:t> </w:t>
      </w:r>
      <w:r>
        <w:rPr>
          <w:u w:val="single"/>
        </w:rPr>
        <w:t>información</w:t>
      </w:r>
      <w:r>
        <w:rPr>
          <w:spacing w:val="-3"/>
          <w:u w:val="single"/>
        </w:rPr>
        <w:t> </w:t>
      </w:r>
      <w:r>
        <w:rPr>
          <w:u w:val="single"/>
        </w:rPr>
        <w:t>por</w:t>
      </w:r>
      <w:r>
        <w:rPr>
          <w:spacing w:val="-3"/>
          <w:u w:val="single"/>
        </w:rPr>
        <w:t> </w:t>
      </w:r>
      <w:r>
        <w:rPr>
          <w:spacing w:val="-2"/>
          <w:u w:val="single"/>
        </w:rPr>
        <w:t>revelar</w:t>
      </w:r>
    </w:p>
    <w:p>
      <w:pPr>
        <w:pStyle w:val="BodyText"/>
        <w:spacing w:before="33"/>
        <w:rPr>
          <w:b/>
          <w:sz w:val="20"/>
        </w:rPr>
      </w:pPr>
      <w:r>
        <w:rPr>
          <w:b/>
          <w:sz w:val="20"/>
        </w:rPr>
        <mc:AlternateContent>
          <mc:Choice Requires="wps">
            <w:drawing>
              <wp:anchor distT="0" distB="0" distL="0" distR="0" allowOverlap="1" layoutInCell="1" locked="0" behindDoc="1" simplePos="0" relativeHeight="487718400">
                <wp:simplePos x="0" y="0"/>
                <wp:positionH relativeFrom="page">
                  <wp:posOffset>1080820</wp:posOffset>
                </wp:positionH>
                <wp:positionV relativeFrom="paragraph">
                  <wp:posOffset>184229</wp:posOffset>
                </wp:positionV>
                <wp:extent cx="5715000" cy="2815590"/>
                <wp:effectExtent l="0" t="0" r="0" b="0"/>
                <wp:wrapTopAndBottom/>
                <wp:docPr id="652" name="Textbox 652"/>
                <wp:cNvGraphicFramePr>
                  <a:graphicFrameLocks/>
                </wp:cNvGraphicFramePr>
                <a:graphic>
                  <a:graphicData uri="http://schemas.microsoft.com/office/word/2010/wordprocessingShape">
                    <wps:wsp>
                      <wps:cNvPr id="652" name="Textbox 652"/>
                      <wps:cNvSpPr txBox="1"/>
                      <wps:spPr>
                        <a:xfrm>
                          <a:off x="0" y="0"/>
                          <a:ext cx="5715000" cy="2815590"/>
                        </a:xfrm>
                        <a:prstGeom prst="rect">
                          <a:avLst/>
                        </a:prstGeom>
                        <a:ln w="6095">
                          <a:solidFill>
                            <a:srgbClr val="000000"/>
                          </a:solidFill>
                          <a:prstDash val="solid"/>
                        </a:ln>
                      </wps:spPr>
                      <wps:txbx>
                        <w:txbxContent>
                          <w:p>
                            <w:pPr>
                              <w:spacing w:before="0"/>
                              <w:ind w:left="103" w:right="0" w:firstLine="0"/>
                              <w:jc w:val="left"/>
                              <w:rPr>
                                <w:b/>
                                <w:sz w:val="22"/>
                              </w:rPr>
                            </w:pPr>
                            <w:r>
                              <w:rPr>
                                <w:b/>
                                <w:spacing w:val="-2"/>
                                <w:sz w:val="22"/>
                                <w:u w:val="single"/>
                              </w:rPr>
                              <w:t>Revelación:</w:t>
                            </w:r>
                          </w:p>
                          <w:p>
                            <w:pPr>
                              <w:pStyle w:val="BodyText"/>
                              <w:spacing w:line="276" w:lineRule="auto" w:before="179"/>
                              <w:ind w:left="103" w:right="101"/>
                              <w:jc w:val="both"/>
                            </w:pPr>
                            <w:r>
                              <w:rPr/>
                              <w:t>En relación con los beneficios a los empleados, la entidad realiza de manera permanente juicios profesionales y estimaciones contables que inciden en el reconocimiento y medición de los pasivos y gastos</w:t>
                            </w:r>
                            <w:r>
                              <w:rPr>
                                <w:spacing w:val="-1"/>
                              </w:rPr>
                              <w:t> </w:t>
                            </w:r>
                            <w:r>
                              <w:rPr/>
                              <w:t>asociados,</w:t>
                            </w:r>
                            <w:r>
                              <w:rPr>
                                <w:spacing w:val="-2"/>
                              </w:rPr>
                              <w:t> </w:t>
                            </w:r>
                            <w:r>
                              <w:rPr/>
                              <w:t>particularmente</w:t>
                            </w:r>
                            <w:r>
                              <w:rPr>
                                <w:spacing w:val="-2"/>
                              </w:rPr>
                              <w:t> </w:t>
                            </w:r>
                            <w:r>
                              <w:rPr/>
                              <w:t>en</w:t>
                            </w:r>
                            <w:r>
                              <w:rPr>
                                <w:spacing w:val="-2"/>
                              </w:rPr>
                              <w:t> </w:t>
                            </w:r>
                            <w:r>
                              <w:rPr/>
                              <w:t>aquellos</w:t>
                            </w:r>
                            <w:r>
                              <w:rPr>
                                <w:spacing w:val="-1"/>
                              </w:rPr>
                              <w:t> </w:t>
                            </w:r>
                            <w:r>
                              <w:rPr/>
                              <w:t>rubros</w:t>
                            </w:r>
                            <w:r>
                              <w:rPr>
                                <w:spacing w:val="-1"/>
                              </w:rPr>
                              <w:t> </w:t>
                            </w:r>
                            <w:r>
                              <w:rPr/>
                              <w:t>cuyo</w:t>
                            </w:r>
                            <w:r>
                              <w:rPr>
                                <w:spacing w:val="-2"/>
                              </w:rPr>
                              <w:t> </w:t>
                            </w:r>
                            <w:r>
                              <w:rPr/>
                              <w:t>importe</w:t>
                            </w:r>
                            <w:r>
                              <w:rPr>
                                <w:spacing w:val="-3"/>
                              </w:rPr>
                              <w:t> </w:t>
                            </w:r>
                            <w:r>
                              <w:rPr/>
                              <w:t>final</w:t>
                            </w:r>
                            <w:r>
                              <w:rPr>
                                <w:spacing w:val="-3"/>
                              </w:rPr>
                              <w:t> </w:t>
                            </w:r>
                            <w:r>
                              <w:rPr/>
                              <w:t>depende</w:t>
                            </w:r>
                            <w:r>
                              <w:rPr>
                                <w:spacing w:val="-2"/>
                              </w:rPr>
                              <w:t> </w:t>
                            </w:r>
                            <w:r>
                              <w:rPr/>
                              <w:t>de</w:t>
                            </w:r>
                            <w:r>
                              <w:rPr>
                                <w:spacing w:val="-4"/>
                              </w:rPr>
                              <w:t> </w:t>
                            </w:r>
                            <w:r>
                              <w:rPr/>
                              <w:t>variables</w:t>
                            </w:r>
                            <w:r>
                              <w:rPr>
                                <w:spacing w:val="-1"/>
                              </w:rPr>
                              <w:t> </w:t>
                            </w:r>
                            <w:r>
                              <w:rPr/>
                              <w:t>futuras, tales como la rotación del personal, la evolución de las remuneraciones, cambios normativos y la continuidad de las relaciones laborales.</w:t>
                            </w:r>
                          </w:p>
                          <w:p>
                            <w:pPr>
                              <w:pStyle w:val="BodyText"/>
                              <w:spacing w:line="276" w:lineRule="auto" w:before="122"/>
                              <w:ind w:left="103" w:right="100"/>
                              <w:jc w:val="both"/>
                            </w:pPr>
                            <w:r>
                              <w:rPr/>
                              <w:t>La administración</w:t>
                            </w:r>
                            <w:r>
                              <w:rPr>
                                <w:spacing w:val="-1"/>
                              </w:rPr>
                              <w:t> </w:t>
                            </w:r>
                            <w:r>
                              <w:rPr/>
                              <w:t>monitorea de</w:t>
                            </w:r>
                            <w:r>
                              <w:rPr>
                                <w:spacing w:val="-1"/>
                              </w:rPr>
                              <w:t> </w:t>
                            </w:r>
                            <w:r>
                              <w:rPr/>
                              <w:t>forma continua los cambios en el marco legal y regulatorio aplicable al empleo público, incluyendo reformas en materia salarial, vacaciones, cesantía y contribuciones sociales, con el fin de evaluar oportunamente su impacto potencial sobre los beneficios otorgados a los</w:t>
                            </w:r>
                            <w:r>
                              <w:rPr>
                                <w:spacing w:val="-2"/>
                              </w:rPr>
                              <w:t> </w:t>
                            </w:r>
                            <w:r>
                              <w:rPr/>
                              <w:t>funcionarios y</w:t>
                            </w:r>
                            <w:r>
                              <w:rPr>
                                <w:spacing w:val="-3"/>
                              </w:rPr>
                              <w:t> </w:t>
                            </w:r>
                            <w:r>
                              <w:rPr/>
                              <w:t>sobre</w:t>
                            </w:r>
                            <w:r>
                              <w:rPr>
                                <w:spacing w:val="-2"/>
                              </w:rPr>
                              <w:t> </w:t>
                            </w:r>
                            <w:r>
                              <w:rPr/>
                              <w:t>la</w:t>
                            </w:r>
                            <w:r>
                              <w:rPr>
                                <w:spacing w:val="-2"/>
                              </w:rPr>
                              <w:t> </w:t>
                            </w:r>
                            <w:r>
                              <w:rPr/>
                              <w:t>situación</w:t>
                            </w:r>
                            <w:r>
                              <w:rPr>
                                <w:spacing w:val="-2"/>
                              </w:rPr>
                              <w:t> </w:t>
                            </w:r>
                            <w:r>
                              <w:rPr/>
                              <w:t>financiera</w:t>
                            </w:r>
                            <w:r>
                              <w:rPr>
                                <w:spacing w:val="-2"/>
                              </w:rPr>
                              <w:t> </w:t>
                            </w:r>
                            <w:r>
                              <w:rPr/>
                              <w:t>de</w:t>
                            </w:r>
                            <w:r>
                              <w:rPr>
                                <w:spacing w:val="-2"/>
                              </w:rPr>
                              <w:t> </w:t>
                            </w:r>
                            <w:r>
                              <w:rPr/>
                              <w:t>la</w:t>
                            </w:r>
                            <w:r>
                              <w:rPr>
                                <w:spacing w:val="-2"/>
                              </w:rPr>
                              <w:t> </w:t>
                            </w:r>
                            <w:r>
                              <w:rPr/>
                              <w:t>entidad.</w:t>
                            </w:r>
                            <w:r>
                              <w:rPr>
                                <w:spacing w:val="-2"/>
                              </w:rPr>
                              <w:t> </w:t>
                            </w:r>
                            <w:r>
                              <w:rPr/>
                              <w:t>Cualquier</w:t>
                            </w:r>
                            <w:r>
                              <w:rPr>
                                <w:spacing w:val="-2"/>
                              </w:rPr>
                              <w:t> </w:t>
                            </w:r>
                            <w:r>
                              <w:rPr/>
                              <w:t>modificación</w:t>
                            </w:r>
                            <w:r>
                              <w:rPr>
                                <w:spacing w:val="-1"/>
                              </w:rPr>
                              <w:t> </w:t>
                            </w:r>
                            <w:r>
                              <w:rPr/>
                              <w:t>significativa</w:t>
                            </w:r>
                            <w:r>
                              <w:rPr>
                                <w:spacing w:val="-2"/>
                              </w:rPr>
                              <w:t> </w:t>
                            </w:r>
                            <w:r>
                              <w:rPr/>
                              <w:t>será incorporada prospectivamente en las políticas contables y revelada en las notas a los Estados Financieros del periodo en que ocurra.</w:t>
                            </w:r>
                          </w:p>
                          <w:p>
                            <w:pPr>
                              <w:pStyle w:val="BodyText"/>
                              <w:spacing w:line="276" w:lineRule="auto" w:before="119"/>
                              <w:ind w:left="103" w:right="105"/>
                              <w:jc w:val="both"/>
                            </w:pPr>
                            <w:r>
                              <w:rPr/>
                              <w:t>Asimismo, a la fecha de cierre del periodo sobre el que se informa, la entidad no mantiene compromisos</w:t>
                            </w:r>
                            <w:r>
                              <w:rPr>
                                <w:spacing w:val="40"/>
                              </w:rPr>
                              <w:t> </w:t>
                            </w:r>
                            <w:r>
                              <w:rPr/>
                              <w:t>contractuales,</w:t>
                            </w:r>
                            <w:r>
                              <w:rPr>
                                <w:spacing w:val="40"/>
                              </w:rPr>
                              <w:t> </w:t>
                            </w:r>
                            <w:r>
                              <w:rPr/>
                              <w:t>beneficios</w:t>
                            </w:r>
                            <w:r>
                              <w:rPr>
                                <w:spacing w:val="40"/>
                              </w:rPr>
                              <w:t> </w:t>
                            </w:r>
                            <w:r>
                              <w:rPr/>
                              <w:t>extraordinarios,</w:t>
                            </w:r>
                            <w:r>
                              <w:rPr>
                                <w:spacing w:val="40"/>
                              </w:rPr>
                              <w:t> </w:t>
                            </w:r>
                            <w:r>
                              <w:rPr/>
                              <w:t>planes</w:t>
                            </w:r>
                            <w:r>
                              <w:rPr>
                                <w:spacing w:val="40"/>
                              </w:rPr>
                              <w:t> </w:t>
                            </w:r>
                            <w:r>
                              <w:rPr/>
                              <w:t>especiales</w:t>
                            </w:r>
                            <w:r>
                              <w:rPr>
                                <w:spacing w:val="40"/>
                              </w:rPr>
                              <w:t> </w:t>
                            </w:r>
                            <w:r>
                              <w:rPr/>
                              <w:t>de</w:t>
                            </w:r>
                            <w:r>
                              <w:rPr>
                                <w:spacing w:val="40"/>
                              </w:rPr>
                              <w:t> </w:t>
                            </w:r>
                            <w:r>
                              <w:rPr/>
                              <w:t>retiro,</w:t>
                            </w:r>
                            <w:r>
                              <w:rPr>
                                <w:spacing w:val="40"/>
                              </w:rPr>
                              <w:t> </w:t>
                            </w:r>
                            <w:r>
                              <w:rPr/>
                              <w:t>ni</w:t>
                            </w:r>
                            <w:r>
                              <w:rPr>
                                <w:spacing w:val="40"/>
                              </w:rPr>
                              <w:t> </w:t>
                            </w:r>
                            <w:r>
                              <w:rPr/>
                              <w:t>acuerdos</w:t>
                            </w:r>
                          </w:p>
                        </w:txbxContent>
                      </wps:txbx>
                      <wps:bodyPr wrap="square" lIns="0" tIns="0" rIns="0" bIns="0" rtlCol="0">
                        <a:noAutofit/>
                      </wps:bodyPr>
                    </wps:wsp>
                  </a:graphicData>
                </a:graphic>
              </wp:anchor>
            </w:drawing>
          </mc:Choice>
          <mc:Fallback>
            <w:pict>
              <v:shape style="position:absolute;margin-left:85.103996pt;margin-top:14.50625pt;width:450pt;height:221.7pt;mso-position-horizontal-relative:page;mso-position-vertical-relative:paragraph;z-index:-15598080;mso-wrap-distance-left:0;mso-wrap-distance-right:0" type="#_x0000_t202" id="docshape630" filled="false" stroked="true" strokeweight=".47998pt" strokecolor="#000000">
                <v:textbox inset="0,0,0,0">
                  <w:txbxContent>
                    <w:p>
                      <w:pPr>
                        <w:spacing w:before="0"/>
                        <w:ind w:left="103" w:right="0" w:firstLine="0"/>
                        <w:jc w:val="left"/>
                        <w:rPr>
                          <w:b/>
                          <w:sz w:val="22"/>
                        </w:rPr>
                      </w:pPr>
                      <w:r>
                        <w:rPr>
                          <w:b/>
                          <w:spacing w:val="-2"/>
                          <w:sz w:val="22"/>
                          <w:u w:val="single"/>
                        </w:rPr>
                        <w:t>Revelación:</w:t>
                      </w:r>
                    </w:p>
                    <w:p>
                      <w:pPr>
                        <w:pStyle w:val="BodyText"/>
                        <w:spacing w:line="276" w:lineRule="auto" w:before="179"/>
                        <w:ind w:left="103" w:right="101"/>
                        <w:jc w:val="both"/>
                      </w:pPr>
                      <w:r>
                        <w:rPr/>
                        <w:t>En relación con los beneficios a los empleados, la entidad realiza de manera permanente juicios profesionales y estimaciones contables que inciden en el reconocimiento y medición de los pasivos y gastos</w:t>
                      </w:r>
                      <w:r>
                        <w:rPr>
                          <w:spacing w:val="-1"/>
                        </w:rPr>
                        <w:t> </w:t>
                      </w:r>
                      <w:r>
                        <w:rPr/>
                        <w:t>asociados,</w:t>
                      </w:r>
                      <w:r>
                        <w:rPr>
                          <w:spacing w:val="-2"/>
                        </w:rPr>
                        <w:t> </w:t>
                      </w:r>
                      <w:r>
                        <w:rPr/>
                        <w:t>particularmente</w:t>
                      </w:r>
                      <w:r>
                        <w:rPr>
                          <w:spacing w:val="-2"/>
                        </w:rPr>
                        <w:t> </w:t>
                      </w:r>
                      <w:r>
                        <w:rPr/>
                        <w:t>en</w:t>
                      </w:r>
                      <w:r>
                        <w:rPr>
                          <w:spacing w:val="-2"/>
                        </w:rPr>
                        <w:t> </w:t>
                      </w:r>
                      <w:r>
                        <w:rPr/>
                        <w:t>aquellos</w:t>
                      </w:r>
                      <w:r>
                        <w:rPr>
                          <w:spacing w:val="-1"/>
                        </w:rPr>
                        <w:t> </w:t>
                      </w:r>
                      <w:r>
                        <w:rPr/>
                        <w:t>rubros</w:t>
                      </w:r>
                      <w:r>
                        <w:rPr>
                          <w:spacing w:val="-1"/>
                        </w:rPr>
                        <w:t> </w:t>
                      </w:r>
                      <w:r>
                        <w:rPr/>
                        <w:t>cuyo</w:t>
                      </w:r>
                      <w:r>
                        <w:rPr>
                          <w:spacing w:val="-2"/>
                        </w:rPr>
                        <w:t> </w:t>
                      </w:r>
                      <w:r>
                        <w:rPr/>
                        <w:t>importe</w:t>
                      </w:r>
                      <w:r>
                        <w:rPr>
                          <w:spacing w:val="-3"/>
                        </w:rPr>
                        <w:t> </w:t>
                      </w:r>
                      <w:r>
                        <w:rPr/>
                        <w:t>final</w:t>
                      </w:r>
                      <w:r>
                        <w:rPr>
                          <w:spacing w:val="-3"/>
                        </w:rPr>
                        <w:t> </w:t>
                      </w:r>
                      <w:r>
                        <w:rPr/>
                        <w:t>depende</w:t>
                      </w:r>
                      <w:r>
                        <w:rPr>
                          <w:spacing w:val="-2"/>
                        </w:rPr>
                        <w:t> </w:t>
                      </w:r>
                      <w:r>
                        <w:rPr/>
                        <w:t>de</w:t>
                      </w:r>
                      <w:r>
                        <w:rPr>
                          <w:spacing w:val="-4"/>
                        </w:rPr>
                        <w:t> </w:t>
                      </w:r>
                      <w:r>
                        <w:rPr/>
                        <w:t>variables</w:t>
                      </w:r>
                      <w:r>
                        <w:rPr>
                          <w:spacing w:val="-1"/>
                        </w:rPr>
                        <w:t> </w:t>
                      </w:r>
                      <w:r>
                        <w:rPr/>
                        <w:t>futuras, tales como la rotación del personal, la evolución de las remuneraciones, cambios normativos y la continuidad de las relaciones laborales.</w:t>
                      </w:r>
                    </w:p>
                    <w:p>
                      <w:pPr>
                        <w:pStyle w:val="BodyText"/>
                        <w:spacing w:line="276" w:lineRule="auto" w:before="122"/>
                        <w:ind w:left="103" w:right="100"/>
                        <w:jc w:val="both"/>
                      </w:pPr>
                      <w:r>
                        <w:rPr/>
                        <w:t>La administración</w:t>
                      </w:r>
                      <w:r>
                        <w:rPr>
                          <w:spacing w:val="-1"/>
                        </w:rPr>
                        <w:t> </w:t>
                      </w:r>
                      <w:r>
                        <w:rPr/>
                        <w:t>monitorea de</w:t>
                      </w:r>
                      <w:r>
                        <w:rPr>
                          <w:spacing w:val="-1"/>
                        </w:rPr>
                        <w:t> </w:t>
                      </w:r>
                      <w:r>
                        <w:rPr/>
                        <w:t>forma continua los cambios en el marco legal y regulatorio aplicable al empleo público, incluyendo reformas en materia salarial, vacaciones, cesantía y contribuciones sociales, con el fin de evaluar oportunamente su impacto potencial sobre los beneficios otorgados a los</w:t>
                      </w:r>
                      <w:r>
                        <w:rPr>
                          <w:spacing w:val="-2"/>
                        </w:rPr>
                        <w:t> </w:t>
                      </w:r>
                      <w:r>
                        <w:rPr/>
                        <w:t>funcionarios y</w:t>
                      </w:r>
                      <w:r>
                        <w:rPr>
                          <w:spacing w:val="-3"/>
                        </w:rPr>
                        <w:t> </w:t>
                      </w:r>
                      <w:r>
                        <w:rPr/>
                        <w:t>sobre</w:t>
                      </w:r>
                      <w:r>
                        <w:rPr>
                          <w:spacing w:val="-2"/>
                        </w:rPr>
                        <w:t> </w:t>
                      </w:r>
                      <w:r>
                        <w:rPr/>
                        <w:t>la</w:t>
                      </w:r>
                      <w:r>
                        <w:rPr>
                          <w:spacing w:val="-2"/>
                        </w:rPr>
                        <w:t> </w:t>
                      </w:r>
                      <w:r>
                        <w:rPr/>
                        <w:t>situación</w:t>
                      </w:r>
                      <w:r>
                        <w:rPr>
                          <w:spacing w:val="-2"/>
                        </w:rPr>
                        <w:t> </w:t>
                      </w:r>
                      <w:r>
                        <w:rPr/>
                        <w:t>financiera</w:t>
                      </w:r>
                      <w:r>
                        <w:rPr>
                          <w:spacing w:val="-2"/>
                        </w:rPr>
                        <w:t> </w:t>
                      </w:r>
                      <w:r>
                        <w:rPr/>
                        <w:t>de</w:t>
                      </w:r>
                      <w:r>
                        <w:rPr>
                          <w:spacing w:val="-2"/>
                        </w:rPr>
                        <w:t> </w:t>
                      </w:r>
                      <w:r>
                        <w:rPr/>
                        <w:t>la</w:t>
                      </w:r>
                      <w:r>
                        <w:rPr>
                          <w:spacing w:val="-2"/>
                        </w:rPr>
                        <w:t> </w:t>
                      </w:r>
                      <w:r>
                        <w:rPr/>
                        <w:t>entidad.</w:t>
                      </w:r>
                      <w:r>
                        <w:rPr>
                          <w:spacing w:val="-2"/>
                        </w:rPr>
                        <w:t> </w:t>
                      </w:r>
                      <w:r>
                        <w:rPr/>
                        <w:t>Cualquier</w:t>
                      </w:r>
                      <w:r>
                        <w:rPr>
                          <w:spacing w:val="-2"/>
                        </w:rPr>
                        <w:t> </w:t>
                      </w:r>
                      <w:r>
                        <w:rPr/>
                        <w:t>modificación</w:t>
                      </w:r>
                      <w:r>
                        <w:rPr>
                          <w:spacing w:val="-1"/>
                        </w:rPr>
                        <w:t> </w:t>
                      </w:r>
                      <w:r>
                        <w:rPr/>
                        <w:t>significativa</w:t>
                      </w:r>
                      <w:r>
                        <w:rPr>
                          <w:spacing w:val="-2"/>
                        </w:rPr>
                        <w:t> </w:t>
                      </w:r>
                      <w:r>
                        <w:rPr/>
                        <w:t>será incorporada prospectivamente en las políticas contables y revelada en las notas a los Estados Financieros del periodo en que ocurra.</w:t>
                      </w:r>
                    </w:p>
                    <w:p>
                      <w:pPr>
                        <w:pStyle w:val="BodyText"/>
                        <w:spacing w:line="276" w:lineRule="auto" w:before="119"/>
                        <w:ind w:left="103" w:right="105"/>
                        <w:jc w:val="both"/>
                      </w:pPr>
                      <w:r>
                        <w:rPr/>
                        <w:t>Asimismo, a la fecha de cierre del periodo sobre el que se informa, la entidad no mantiene compromisos</w:t>
                      </w:r>
                      <w:r>
                        <w:rPr>
                          <w:spacing w:val="40"/>
                        </w:rPr>
                        <w:t> </w:t>
                      </w:r>
                      <w:r>
                        <w:rPr/>
                        <w:t>contractuales,</w:t>
                      </w:r>
                      <w:r>
                        <w:rPr>
                          <w:spacing w:val="40"/>
                        </w:rPr>
                        <w:t> </w:t>
                      </w:r>
                      <w:r>
                        <w:rPr/>
                        <w:t>beneficios</w:t>
                      </w:r>
                      <w:r>
                        <w:rPr>
                          <w:spacing w:val="40"/>
                        </w:rPr>
                        <w:t> </w:t>
                      </w:r>
                      <w:r>
                        <w:rPr/>
                        <w:t>extraordinarios,</w:t>
                      </w:r>
                      <w:r>
                        <w:rPr>
                          <w:spacing w:val="40"/>
                        </w:rPr>
                        <w:t> </w:t>
                      </w:r>
                      <w:r>
                        <w:rPr/>
                        <w:t>planes</w:t>
                      </w:r>
                      <w:r>
                        <w:rPr>
                          <w:spacing w:val="40"/>
                        </w:rPr>
                        <w:t> </w:t>
                      </w:r>
                      <w:r>
                        <w:rPr/>
                        <w:t>especiales</w:t>
                      </w:r>
                      <w:r>
                        <w:rPr>
                          <w:spacing w:val="40"/>
                        </w:rPr>
                        <w:t> </w:t>
                      </w:r>
                      <w:r>
                        <w:rPr/>
                        <w:t>de</w:t>
                      </w:r>
                      <w:r>
                        <w:rPr>
                          <w:spacing w:val="40"/>
                        </w:rPr>
                        <w:t> </w:t>
                      </w:r>
                      <w:r>
                        <w:rPr/>
                        <w:t>retiro,</w:t>
                      </w:r>
                      <w:r>
                        <w:rPr>
                          <w:spacing w:val="40"/>
                        </w:rPr>
                        <w:t> </w:t>
                      </w:r>
                      <w:r>
                        <w:rPr/>
                        <w:t>ni</w:t>
                      </w:r>
                      <w:r>
                        <w:rPr>
                          <w:spacing w:val="40"/>
                        </w:rPr>
                        <w:t> </w:t>
                      </w:r>
                      <w:r>
                        <w:rPr/>
                        <w:t>acuerdos</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7344">
                <wp:simplePos x="0" y="0"/>
                <wp:positionH relativeFrom="page">
                  <wp:posOffset>9525</wp:posOffset>
                </wp:positionH>
                <wp:positionV relativeFrom="page">
                  <wp:posOffset>297208</wp:posOffset>
                </wp:positionV>
                <wp:extent cx="7762875" cy="9748520"/>
                <wp:effectExtent l="0" t="0" r="0" b="0"/>
                <wp:wrapNone/>
                <wp:docPr id="653" name="Group 653"/>
                <wp:cNvGraphicFramePr>
                  <a:graphicFrameLocks/>
                </wp:cNvGraphicFramePr>
                <a:graphic>
                  <a:graphicData uri="http://schemas.microsoft.com/office/word/2010/wordprocessingGroup">
                    <wpg:wgp>
                      <wpg:cNvPr id="653" name="Group 653"/>
                      <wpg:cNvGrpSpPr/>
                      <wpg:grpSpPr>
                        <a:xfrm>
                          <a:off x="0" y="0"/>
                          <a:ext cx="7762875" cy="9748520"/>
                          <a:chExt cx="7762875" cy="9748520"/>
                        </a:xfrm>
                      </wpg:grpSpPr>
                      <pic:pic>
                        <pic:nvPicPr>
                          <pic:cNvPr id="654" name="Image 654"/>
                          <pic:cNvPicPr/>
                        </pic:nvPicPr>
                        <pic:blipFill>
                          <a:blip r:embed="rId5" cstate="print"/>
                          <a:stretch>
                            <a:fillRect/>
                          </a:stretch>
                        </pic:blipFill>
                        <pic:spPr>
                          <a:xfrm>
                            <a:off x="0" y="0"/>
                            <a:ext cx="7762874" cy="9748489"/>
                          </a:xfrm>
                          <a:prstGeom prst="rect">
                            <a:avLst/>
                          </a:prstGeom>
                        </pic:spPr>
                      </pic:pic>
                      <wps:wsp>
                        <wps:cNvPr id="655" name="Graphic 65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59136" id="docshapegroup631" coordorigin="15,468" coordsize="12225,15352">
                <v:shape style="position:absolute;left:15;top:468;width:12225;height:15352" type="#_x0000_t75" id="docshape632" stroked="false">
                  <v:imagedata r:id="rId5" o:title=""/>
                </v:shape>
                <v:rect style="position:absolute;left:1673;top:2028;width:8897;height:15" id="docshape63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132</w:t>
      </w:r>
    </w:p>
    <w:p>
      <w:pPr>
        <w:pStyle w:val="BodyText"/>
        <w:spacing w:before="10"/>
        <w:rPr>
          <w:sz w:val="16"/>
        </w:rPr>
      </w:pPr>
      <w:r>
        <w:rPr>
          <w:sz w:val="16"/>
        </w:rPr>
        <mc:AlternateContent>
          <mc:Choice Requires="wps">
            <w:drawing>
              <wp:anchor distT="0" distB="0" distL="0" distR="0" allowOverlap="1" layoutInCell="1" locked="0" behindDoc="1" simplePos="0" relativeHeight="487719424">
                <wp:simplePos x="0" y="0"/>
                <wp:positionH relativeFrom="page">
                  <wp:posOffset>1080820</wp:posOffset>
                </wp:positionH>
                <wp:positionV relativeFrom="paragraph">
                  <wp:posOffset>141144</wp:posOffset>
                </wp:positionV>
                <wp:extent cx="5715000" cy="1239520"/>
                <wp:effectExtent l="0" t="0" r="0" b="0"/>
                <wp:wrapTopAndBottom/>
                <wp:docPr id="656" name="Textbox 656"/>
                <wp:cNvGraphicFramePr>
                  <a:graphicFrameLocks/>
                </wp:cNvGraphicFramePr>
                <a:graphic>
                  <a:graphicData uri="http://schemas.microsoft.com/office/word/2010/wordprocessingShape">
                    <wps:wsp>
                      <wps:cNvPr id="656" name="Textbox 656"/>
                      <wps:cNvSpPr txBox="1"/>
                      <wps:spPr>
                        <a:xfrm>
                          <a:off x="0" y="0"/>
                          <a:ext cx="5715000" cy="1239520"/>
                        </a:xfrm>
                        <a:prstGeom prst="rect">
                          <a:avLst/>
                        </a:prstGeom>
                        <a:ln w="6095">
                          <a:solidFill>
                            <a:srgbClr val="000000"/>
                          </a:solidFill>
                          <a:prstDash val="solid"/>
                        </a:ln>
                      </wps:spPr>
                      <wps:txbx>
                        <w:txbxContent>
                          <w:p>
                            <w:pPr>
                              <w:pStyle w:val="BodyText"/>
                              <w:spacing w:line="278" w:lineRule="auto"/>
                              <w:ind w:left="103" w:right="107"/>
                              <w:jc w:val="both"/>
                            </w:pPr>
                            <w:r>
                              <w:rPr/>
                              <w:t>informales adicionales con los empleados que no hayan sido revelados en la presente nota y que generen obligaciones materiales no reconocidas en los Estados Financieros.</w:t>
                            </w:r>
                          </w:p>
                          <w:p>
                            <w:pPr>
                              <w:pStyle w:val="BodyText"/>
                              <w:spacing w:line="259" w:lineRule="auto" w:before="116"/>
                              <w:ind w:left="103" w:right="99"/>
                              <w:jc w:val="both"/>
                            </w:pPr>
                            <w:r>
                              <w:rPr/>
                              <w:t>Finalmente, la entidad considera que los beneficios a los empleados se encuentran adecuadamente revelados y registrados de conformidad con la NICSP 39, y que no existen incertidumbres significativas,</w:t>
                            </w:r>
                            <w:r>
                              <w:rPr>
                                <w:spacing w:val="-14"/>
                              </w:rPr>
                              <w:t> </w:t>
                            </w:r>
                            <w:r>
                              <w:rPr/>
                              <w:t>contingencias</w:t>
                            </w:r>
                            <w:r>
                              <w:rPr>
                                <w:spacing w:val="-14"/>
                              </w:rPr>
                              <w:t> </w:t>
                            </w:r>
                            <w:r>
                              <w:rPr/>
                              <w:t>relevantes</w:t>
                            </w:r>
                            <w:r>
                              <w:rPr>
                                <w:spacing w:val="-14"/>
                              </w:rPr>
                              <w:t> </w:t>
                            </w:r>
                            <w:r>
                              <w:rPr/>
                              <w:t>ni</w:t>
                            </w:r>
                            <w:r>
                              <w:rPr>
                                <w:spacing w:val="-13"/>
                              </w:rPr>
                              <w:t> </w:t>
                            </w:r>
                            <w:r>
                              <w:rPr/>
                              <w:t>hechos</w:t>
                            </w:r>
                            <w:r>
                              <w:rPr>
                                <w:spacing w:val="-14"/>
                              </w:rPr>
                              <w:t> </w:t>
                            </w:r>
                            <w:r>
                              <w:rPr/>
                              <w:t>posteriores</w:t>
                            </w:r>
                            <w:r>
                              <w:rPr>
                                <w:spacing w:val="-13"/>
                              </w:rPr>
                              <w:t> </w:t>
                            </w:r>
                            <w:r>
                              <w:rPr/>
                              <w:t>que</w:t>
                            </w:r>
                            <w:r>
                              <w:rPr>
                                <w:spacing w:val="-14"/>
                              </w:rPr>
                              <w:t> </w:t>
                            </w:r>
                            <w:r>
                              <w:rPr/>
                              <w:t>requieran</w:t>
                            </w:r>
                            <w:r>
                              <w:rPr>
                                <w:spacing w:val="-13"/>
                              </w:rPr>
                              <w:t> </w:t>
                            </w:r>
                            <w:r>
                              <w:rPr/>
                              <w:t>revelación</w:t>
                            </w:r>
                            <w:r>
                              <w:rPr>
                                <w:spacing w:val="-14"/>
                              </w:rPr>
                              <w:t> </w:t>
                            </w:r>
                            <w:r>
                              <w:rPr/>
                              <w:t>adicional</w:t>
                            </w:r>
                            <w:r>
                              <w:rPr>
                                <w:spacing w:val="-13"/>
                              </w:rPr>
                              <w:t> </w:t>
                            </w:r>
                            <w:r>
                              <w:rPr/>
                              <w:t>distinta a la ya incluida en esta nota.</w:t>
                            </w:r>
                          </w:p>
                        </w:txbxContent>
                      </wps:txbx>
                      <wps:bodyPr wrap="square" lIns="0" tIns="0" rIns="0" bIns="0" rtlCol="0">
                        <a:noAutofit/>
                      </wps:bodyPr>
                    </wps:wsp>
                  </a:graphicData>
                </a:graphic>
              </wp:anchor>
            </w:drawing>
          </mc:Choice>
          <mc:Fallback>
            <w:pict>
              <v:shape style="position:absolute;margin-left:85.103996pt;margin-top:11.11375pt;width:450pt;height:97.6pt;mso-position-horizontal-relative:page;mso-position-vertical-relative:paragraph;z-index:-15597056;mso-wrap-distance-left:0;mso-wrap-distance-right:0" type="#_x0000_t202" id="docshape634" filled="false" stroked="true" strokeweight=".47998pt" strokecolor="#000000">
                <v:textbox inset="0,0,0,0">
                  <w:txbxContent>
                    <w:p>
                      <w:pPr>
                        <w:pStyle w:val="BodyText"/>
                        <w:spacing w:line="278" w:lineRule="auto"/>
                        <w:ind w:left="103" w:right="107"/>
                        <w:jc w:val="both"/>
                      </w:pPr>
                      <w:r>
                        <w:rPr/>
                        <w:t>informales adicionales con los empleados que no hayan sido revelados en la presente nota y que generen obligaciones materiales no reconocidas en los Estados Financieros.</w:t>
                      </w:r>
                    </w:p>
                    <w:p>
                      <w:pPr>
                        <w:pStyle w:val="BodyText"/>
                        <w:spacing w:line="259" w:lineRule="auto" w:before="116"/>
                        <w:ind w:left="103" w:right="99"/>
                        <w:jc w:val="both"/>
                      </w:pPr>
                      <w:r>
                        <w:rPr/>
                        <w:t>Finalmente, la entidad considera que los beneficios a los empleados se encuentran adecuadamente revelados y registrados de conformidad con la NICSP 39, y que no existen incertidumbres significativas,</w:t>
                      </w:r>
                      <w:r>
                        <w:rPr>
                          <w:spacing w:val="-14"/>
                        </w:rPr>
                        <w:t> </w:t>
                      </w:r>
                      <w:r>
                        <w:rPr/>
                        <w:t>contingencias</w:t>
                      </w:r>
                      <w:r>
                        <w:rPr>
                          <w:spacing w:val="-14"/>
                        </w:rPr>
                        <w:t> </w:t>
                      </w:r>
                      <w:r>
                        <w:rPr/>
                        <w:t>relevantes</w:t>
                      </w:r>
                      <w:r>
                        <w:rPr>
                          <w:spacing w:val="-14"/>
                        </w:rPr>
                        <w:t> </w:t>
                      </w:r>
                      <w:r>
                        <w:rPr/>
                        <w:t>ni</w:t>
                      </w:r>
                      <w:r>
                        <w:rPr>
                          <w:spacing w:val="-13"/>
                        </w:rPr>
                        <w:t> </w:t>
                      </w:r>
                      <w:r>
                        <w:rPr/>
                        <w:t>hechos</w:t>
                      </w:r>
                      <w:r>
                        <w:rPr>
                          <w:spacing w:val="-14"/>
                        </w:rPr>
                        <w:t> </w:t>
                      </w:r>
                      <w:r>
                        <w:rPr/>
                        <w:t>posteriores</w:t>
                      </w:r>
                      <w:r>
                        <w:rPr>
                          <w:spacing w:val="-13"/>
                        </w:rPr>
                        <w:t> </w:t>
                      </w:r>
                      <w:r>
                        <w:rPr/>
                        <w:t>que</w:t>
                      </w:r>
                      <w:r>
                        <w:rPr>
                          <w:spacing w:val="-14"/>
                        </w:rPr>
                        <w:t> </w:t>
                      </w:r>
                      <w:r>
                        <w:rPr/>
                        <w:t>requieran</w:t>
                      </w:r>
                      <w:r>
                        <w:rPr>
                          <w:spacing w:val="-13"/>
                        </w:rPr>
                        <w:t> </w:t>
                      </w:r>
                      <w:r>
                        <w:rPr/>
                        <w:t>revelación</w:t>
                      </w:r>
                      <w:r>
                        <w:rPr>
                          <w:spacing w:val="-14"/>
                        </w:rPr>
                        <w:t> </w:t>
                      </w:r>
                      <w:r>
                        <w:rPr/>
                        <w:t>adicional</w:t>
                      </w:r>
                      <w:r>
                        <w:rPr>
                          <w:spacing w:val="-13"/>
                        </w:rPr>
                        <w:t> </w:t>
                      </w:r>
                      <w:r>
                        <w:rPr/>
                        <w:t>distinta a la ya incluida en esta nota.</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09" w:id="110"/>
      <w:bookmarkEnd w:id="110"/>
      <w:r>
        <w:rPr/>
      </w:r>
      <w:r>
        <w:rPr>
          <w:b/>
          <w:sz w:val="22"/>
        </w:rPr>
        <w:t>NOTA</w:t>
      </w:r>
      <w:r>
        <w:rPr>
          <w:b/>
          <w:spacing w:val="-1"/>
          <w:sz w:val="22"/>
        </w:rPr>
        <w:t> </w:t>
      </w:r>
      <w:r>
        <w:rPr>
          <w:b/>
          <w:sz w:val="22"/>
        </w:rPr>
        <w:t>N° </w:t>
      </w:r>
      <w:r>
        <w:rPr>
          <w:b/>
          <w:spacing w:val="-5"/>
          <w:sz w:val="22"/>
        </w:rPr>
        <w:t>60</w:t>
      </w:r>
    </w:p>
    <w:p>
      <w:pPr>
        <w:pStyle w:val="BodyText"/>
        <w:spacing w:before="113"/>
        <w:rPr>
          <w:b/>
        </w:rPr>
      </w:pPr>
    </w:p>
    <w:p>
      <w:pPr>
        <w:pStyle w:val="Heading6"/>
        <w:ind w:left="622"/>
      </w:pPr>
      <w:r>
        <w:rPr>
          <w:spacing w:val="-2"/>
        </w:rPr>
        <w:t>Servicios</w:t>
      </w:r>
    </w:p>
    <w:p>
      <w:pPr>
        <w:pStyle w:val="BodyText"/>
        <w:spacing w:before="9"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0"/>
        <w:gridCol w:w="2074"/>
        <w:gridCol w:w="708"/>
        <w:gridCol w:w="2127"/>
        <w:gridCol w:w="1608"/>
        <w:gridCol w:w="1198"/>
      </w:tblGrid>
      <w:tr>
        <w:trPr>
          <w:trHeight w:val="323" w:hRule="atLeast"/>
        </w:trPr>
        <w:tc>
          <w:tcPr>
            <w:tcW w:w="1320" w:type="dxa"/>
            <w:vMerge w:val="restart"/>
            <w:shd w:val="clear" w:color="auto" w:fill="365F92"/>
          </w:tcPr>
          <w:p>
            <w:pPr>
              <w:pStyle w:val="TableParagraph"/>
              <w:spacing w:before="120"/>
              <w:ind w:left="69"/>
              <w:rPr>
                <w:b/>
                <w:sz w:val="22"/>
              </w:rPr>
            </w:pPr>
            <w:r>
              <w:rPr>
                <w:b/>
                <w:color w:val="FFFFFF"/>
                <w:spacing w:val="-2"/>
                <w:sz w:val="22"/>
              </w:rPr>
              <w:t>Cuenta</w:t>
            </w:r>
          </w:p>
        </w:tc>
        <w:tc>
          <w:tcPr>
            <w:tcW w:w="2074" w:type="dxa"/>
            <w:vMerge w:val="restart"/>
            <w:shd w:val="clear" w:color="auto" w:fill="365F92"/>
          </w:tcPr>
          <w:p>
            <w:pPr>
              <w:pStyle w:val="TableParagraph"/>
              <w:spacing w:before="209"/>
              <w:ind w:left="506"/>
              <w:rPr>
                <w:b/>
                <w:sz w:val="22"/>
              </w:rPr>
            </w:pPr>
            <w:r>
              <w:rPr>
                <w:b/>
                <w:color w:val="FFFFFF"/>
                <w:spacing w:val="-2"/>
                <w:sz w:val="22"/>
              </w:rPr>
              <w:t>Descripción</w:t>
            </w:r>
          </w:p>
        </w:tc>
        <w:tc>
          <w:tcPr>
            <w:tcW w:w="708" w:type="dxa"/>
            <w:vMerge w:val="restart"/>
            <w:shd w:val="clear" w:color="auto" w:fill="365F92"/>
          </w:tcPr>
          <w:p>
            <w:pPr>
              <w:pStyle w:val="TableParagraph"/>
              <w:spacing w:before="209"/>
              <w:ind w:left="134"/>
              <w:rPr>
                <w:b/>
                <w:sz w:val="22"/>
              </w:rPr>
            </w:pPr>
            <w:r>
              <w:rPr>
                <w:b/>
                <w:color w:val="FFFFFF"/>
                <w:spacing w:val="-4"/>
                <w:sz w:val="22"/>
              </w:rPr>
              <w:t>Nota</w:t>
            </w:r>
          </w:p>
        </w:tc>
        <w:tc>
          <w:tcPr>
            <w:tcW w:w="2127" w:type="dxa"/>
            <w:vMerge w:val="restart"/>
            <w:shd w:val="clear" w:color="auto" w:fill="365F92"/>
          </w:tcPr>
          <w:p>
            <w:pPr>
              <w:pStyle w:val="TableParagraph"/>
              <w:spacing w:before="209"/>
              <w:ind w:left="432"/>
              <w:rPr>
                <w:b/>
                <w:sz w:val="22"/>
              </w:rPr>
            </w:pPr>
            <w:r>
              <w:rPr>
                <w:b/>
                <w:color w:val="FFFFFF"/>
                <w:sz w:val="22"/>
              </w:rPr>
              <w:t>Periodo</w:t>
            </w:r>
            <w:r>
              <w:rPr>
                <w:b/>
                <w:color w:val="FFFFFF"/>
                <w:spacing w:val="-4"/>
                <w:sz w:val="22"/>
              </w:rPr>
              <w:t> </w:t>
            </w:r>
            <w:r>
              <w:rPr>
                <w:b/>
                <w:color w:val="FFFFFF"/>
                <w:spacing w:val="-2"/>
                <w:sz w:val="22"/>
              </w:rPr>
              <w:t>Actual</w:t>
            </w:r>
          </w:p>
        </w:tc>
        <w:tc>
          <w:tcPr>
            <w:tcW w:w="1608" w:type="dxa"/>
            <w:vMerge w:val="restart"/>
            <w:shd w:val="clear" w:color="auto" w:fill="365F92"/>
          </w:tcPr>
          <w:p>
            <w:pPr>
              <w:pStyle w:val="TableParagraph"/>
              <w:spacing w:before="81"/>
              <w:ind w:left="429" w:firstLine="50"/>
              <w:rPr>
                <w:b/>
                <w:sz w:val="22"/>
              </w:rPr>
            </w:pPr>
            <w:r>
              <w:rPr>
                <w:b/>
                <w:color w:val="FFFFFF"/>
                <w:spacing w:val="-2"/>
                <w:sz w:val="22"/>
              </w:rPr>
              <w:t>Periodo Anterior</w:t>
            </w:r>
          </w:p>
        </w:tc>
        <w:tc>
          <w:tcPr>
            <w:tcW w:w="1198" w:type="dxa"/>
            <w:shd w:val="clear" w:color="auto" w:fill="365F92"/>
          </w:tcPr>
          <w:p>
            <w:pPr>
              <w:pStyle w:val="TableParagraph"/>
              <w:spacing w:before="36"/>
              <w:ind w:left="23" w:right="4"/>
              <w:jc w:val="center"/>
              <w:rPr>
                <w:b/>
                <w:sz w:val="22"/>
              </w:rPr>
            </w:pPr>
            <w:r>
              <w:rPr>
                <w:b/>
                <w:color w:val="FFFFFF"/>
                <w:spacing w:val="-2"/>
                <w:sz w:val="22"/>
              </w:rPr>
              <w:t>Diferencia</w:t>
            </w:r>
          </w:p>
        </w:tc>
      </w:tr>
      <w:tr>
        <w:trPr>
          <w:trHeight w:val="325" w:hRule="atLeast"/>
        </w:trPr>
        <w:tc>
          <w:tcPr>
            <w:tcW w:w="1320" w:type="dxa"/>
            <w:vMerge/>
            <w:tcBorders>
              <w:top w:val="nil"/>
            </w:tcBorders>
            <w:shd w:val="clear" w:color="auto" w:fill="365F92"/>
          </w:tcPr>
          <w:p>
            <w:pPr>
              <w:rPr>
                <w:sz w:val="2"/>
                <w:szCs w:val="2"/>
              </w:rPr>
            </w:pPr>
          </w:p>
        </w:tc>
        <w:tc>
          <w:tcPr>
            <w:tcW w:w="2074"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2127" w:type="dxa"/>
            <w:vMerge/>
            <w:tcBorders>
              <w:top w:val="nil"/>
            </w:tcBorders>
            <w:shd w:val="clear" w:color="auto" w:fill="365F92"/>
          </w:tcPr>
          <w:p>
            <w:pPr>
              <w:rPr>
                <w:sz w:val="2"/>
                <w:szCs w:val="2"/>
              </w:rPr>
            </w:pPr>
          </w:p>
        </w:tc>
        <w:tc>
          <w:tcPr>
            <w:tcW w:w="1608"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5"/>
              <w:jc w:val="center"/>
              <w:rPr>
                <w:sz w:val="22"/>
              </w:rPr>
            </w:pPr>
            <w:r>
              <w:rPr>
                <w:color w:val="FFFFFF"/>
                <w:spacing w:val="-10"/>
                <w:sz w:val="22"/>
              </w:rPr>
              <w:t>%</w:t>
            </w:r>
          </w:p>
        </w:tc>
      </w:tr>
      <w:tr>
        <w:trPr>
          <w:trHeight w:val="323" w:hRule="atLeast"/>
        </w:trPr>
        <w:tc>
          <w:tcPr>
            <w:tcW w:w="1320" w:type="dxa"/>
          </w:tcPr>
          <w:p>
            <w:pPr>
              <w:pStyle w:val="TableParagraph"/>
              <w:spacing w:before="46"/>
              <w:ind w:left="69"/>
              <w:rPr>
                <w:b/>
                <w:sz w:val="20"/>
              </w:rPr>
            </w:pPr>
            <w:r>
              <w:rPr>
                <w:b/>
                <w:spacing w:val="-2"/>
                <w:sz w:val="20"/>
              </w:rPr>
              <w:t>5.1.2.</w:t>
            </w:r>
          </w:p>
        </w:tc>
        <w:tc>
          <w:tcPr>
            <w:tcW w:w="2074" w:type="dxa"/>
          </w:tcPr>
          <w:p>
            <w:pPr>
              <w:pStyle w:val="TableParagraph"/>
              <w:spacing w:before="46"/>
              <w:ind w:left="69"/>
              <w:rPr>
                <w:b/>
                <w:sz w:val="20"/>
              </w:rPr>
            </w:pPr>
            <w:r>
              <w:rPr>
                <w:b/>
                <w:spacing w:val="-2"/>
                <w:sz w:val="20"/>
              </w:rPr>
              <w:t>Servicios</w:t>
            </w:r>
          </w:p>
        </w:tc>
        <w:tc>
          <w:tcPr>
            <w:tcW w:w="708" w:type="dxa"/>
          </w:tcPr>
          <w:p>
            <w:pPr>
              <w:pStyle w:val="TableParagraph"/>
              <w:spacing w:before="46"/>
              <w:ind w:left="18" w:right="6"/>
              <w:jc w:val="center"/>
              <w:rPr>
                <w:b/>
                <w:sz w:val="20"/>
              </w:rPr>
            </w:pPr>
            <w:r>
              <w:rPr>
                <w:b/>
                <w:spacing w:val="-5"/>
                <w:sz w:val="20"/>
              </w:rPr>
              <w:t>60</w:t>
            </w:r>
          </w:p>
        </w:tc>
        <w:tc>
          <w:tcPr>
            <w:tcW w:w="2127" w:type="dxa"/>
          </w:tcPr>
          <w:p>
            <w:pPr>
              <w:pStyle w:val="TableParagraph"/>
              <w:spacing w:before="46"/>
              <w:ind w:left="544"/>
              <w:rPr>
                <w:b/>
                <w:sz w:val="20"/>
              </w:rPr>
            </w:pPr>
            <w:r>
              <w:rPr>
                <w:b/>
                <w:sz w:val="20"/>
              </w:rPr>
              <w:t>4</w:t>
            </w:r>
            <w:r>
              <w:rPr>
                <w:b/>
                <w:spacing w:val="-2"/>
                <w:sz w:val="20"/>
              </w:rPr>
              <w:t> </w:t>
            </w:r>
            <w:r>
              <w:rPr>
                <w:b/>
                <w:sz w:val="20"/>
              </w:rPr>
              <w:t>611</w:t>
            </w:r>
            <w:r>
              <w:rPr>
                <w:b/>
                <w:spacing w:val="-2"/>
                <w:sz w:val="20"/>
              </w:rPr>
              <w:t> 072,86</w:t>
            </w:r>
          </w:p>
        </w:tc>
        <w:tc>
          <w:tcPr>
            <w:tcW w:w="1608" w:type="dxa"/>
          </w:tcPr>
          <w:p>
            <w:pPr>
              <w:pStyle w:val="TableParagraph"/>
              <w:spacing w:before="46"/>
              <w:ind w:left="285"/>
              <w:rPr>
                <w:b/>
                <w:sz w:val="20"/>
              </w:rPr>
            </w:pPr>
            <w:r>
              <w:rPr>
                <w:b/>
                <w:sz w:val="20"/>
              </w:rPr>
              <w:t>4</w:t>
            </w:r>
            <w:r>
              <w:rPr>
                <w:b/>
                <w:spacing w:val="-2"/>
                <w:sz w:val="20"/>
              </w:rPr>
              <w:t> </w:t>
            </w:r>
            <w:r>
              <w:rPr>
                <w:b/>
                <w:sz w:val="20"/>
              </w:rPr>
              <w:t>470</w:t>
            </w:r>
            <w:r>
              <w:rPr>
                <w:b/>
                <w:spacing w:val="-2"/>
                <w:sz w:val="20"/>
              </w:rPr>
              <w:t> 468,36</w:t>
            </w:r>
          </w:p>
        </w:tc>
        <w:tc>
          <w:tcPr>
            <w:tcW w:w="1198" w:type="dxa"/>
          </w:tcPr>
          <w:p>
            <w:pPr>
              <w:pStyle w:val="TableParagraph"/>
              <w:spacing w:before="46"/>
              <w:ind w:left="23" w:right="2"/>
              <w:jc w:val="center"/>
              <w:rPr>
                <w:b/>
                <w:sz w:val="20"/>
              </w:rPr>
            </w:pPr>
            <w:r>
              <w:rPr>
                <w:b/>
                <w:spacing w:val="-2"/>
                <w:sz w:val="20"/>
              </w:rPr>
              <w:t>3,15%</w:t>
            </w:r>
          </w:p>
        </w:tc>
      </w:tr>
    </w:tbl>
    <w:p>
      <w:pPr>
        <w:pStyle w:val="BodyText"/>
        <w:rPr>
          <w:b/>
        </w:rPr>
      </w:pPr>
    </w:p>
    <w:p>
      <w:pPr>
        <w:pStyle w:val="BodyText"/>
        <w:spacing w:before="250"/>
        <w:rPr>
          <w:b/>
        </w:rPr>
      </w:pPr>
    </w:p>
    <w:p>
      <w:pPr>
        <w:spacing w:before="0"/>
        <w:ind w:left="622" w:right="0" w:firstLine="0"/>
        <w:jc w:val="left"/>
        <w:rPr>
          <w:b/>
          <w:sz w:val="22"/>
        </w:rPr>
      </w:pPr>
      <w:r>
        <w:rPr>
          <w:b/>
          <w:sz w:val="22"/>
        </w:rPr>
        <w:t>Detalle</w:t>
      </w:r>
      <w:r>
        <w:rPr>
          <w:b/>
          <w:spacing w:val="-3"/>
          <w:sz w:val="22"/>
        </w:rPr>
        <w:t> </w:t>
      </w:r>
      <w:r>
        <w:rPr>
          <w:b/>
          <w:spacing w:val="-2"/>
          <w:sz w:val="22"/>
        </w:rPr>
        <w:t>cuenta:</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76"/>
        <w:gridCol w:w="2197"/>
        <w:gridCol w:w="706"/>
        <w:gridCol w:w="2115"/>
        <w:gridCol w:w="1711"/>
        <w:gridCol w:w="1210"/>
      </w:tblGrid>
      <w:tr>
        <w:trPr>
          <w:trHeight w:val="248" w:hRule="atLeast"/>
        </w:trPr>
        <w:tc>
          <w:tcPr>
            <w:tcW w:w="1176" w:type="dxa"/>
            <w:vMerge w:val="restart"/>
            <w:shd w:val="clear" w:color="auto" w:fill="365F92"/>
          </w:tcPr>
          <w:p>
            <w:pPr>
              <w:pStyle w:val="TableParagraph"/>
              <w:spacing w:before="45"/>
              <w:ind w:left="69"/>
              <w:rPr>
                <w:b/>
                <w:sz w:val="22"/>
              </w:rPr>
            </w:pPr>
            <w:r>
              <w:rPr>
                <w:b/>
                <w:color w:val="FFFFFF"/>
                <w:spacing w:val="-2"/>
                <w:sz w:val="22"/>
              </w:rPr>
              <w:t>Cuenta</w:t>
            </w:r>
          </w:p>
        </w:tc>
        <w:tc>
          <w:tcPr>
            <w:tcW w:w="2197" w:type="dxa"/>
            <w:vMerge w:val="restart"/>
            <w:shd w:val="clear" w:color="auto" w:fill="365F92"/>
          </w:tcPr>
          <w:p>
            <w:pPr>
              <w:pStyle w:val="TableParagraph"/>
              <w:spacing w:before="134"/>
              <w:ind w:left="568"/>
              <w:rPr>
                <w:b/>
                <w:sz w:val="22"/>
              </w:rPr>
            </w:pPr>
            <w:r>
              <w:rPr>
                <w:b/>
                <w:color w:val="FFFFFF"/>
                <w:spacing w:val="-2"/>
                <w:sz w:val="22"/>
              </w:rPr>
              <w:t>Descripción</w:t>
            </w:r>
          </w:p>
        </w:tc>
        <w:tc>
          <w:tcPr>
            <w:tcW w:w="706" w:type="dxa"/>
            <w:vMerge w:val="restart"/>
            <w:shd w:val="clear" w:color="auto" w:fill="365F92"/>
          </w:tcPr>
          <w:p>
            <w:pPr>
              <w:pStyle w:val="TableParagraph"/>
              <w:spacing w:before="134"/>
              <w:ind w:left="133"/>
              <w:rPr>
                <w:b/>
                <w:sz w:val="22"/>
              </w:rPr>
            </w:pPr>
            <w:r>
              <w:rPr>
                <w:b/>
                <w:color w:val="FFFFFF"/>
                <w:spacing w:val="-4"/>
                <w:sz w:val="22"/>
              </w:rPr>
              <w:t>Nota</w:t>
            </w:r>
          </w:p>
        </w:tc>
        <w:tc>
          <w:tcPr>
            <w:tcW w:w="2115" w:type="dxa"/>
            <w:vMerge w:val="restart"/>
            <w:shd w:val="clear" w:color="auto" w:fill="365F92"/>
          </w:tcPr>
          <w:p>
            <w:pPr>
              <w:pStyle w:val="TableParagraph"/>
              <w:spacing w:before="134"/>
              <w:ind w:left="423"/>
              <w:rPr>
                <w:b/>
                <w:sz w:val="22"/>
              </w:rPr>
            </w:pPr>
            <w:r>
              <w:rPr>
                <w:b/>
                <w:color w:val="FFFFFF"/>
                <w:sz w:val="22"/>
              </w:rPr>
              <w:t>Periodo</w:t>
            </w:r>
            <w:r>
              <w:rPr>
                <w:b/>
                <w:color w:val="FFFFFF"/>
                <w:spacing w:val="-4"/>
                <w:sz w:val="22"/>
              </w:rPr>
              <w:t> </w:t>
            </w:r>
            <w:r>
              <w:rPr>
                <w:b/>
                <w:color w:val="FFFFFF"/>
                <w:spacing w:val="-2"/>
                <w:sz w:val="22"/>
              </w:rPr>
              <w:t>Actual</w:t>
            </w:r>
          </w:p>
        </w:tc>
        <w:tc>
          <w:tcPr>
            <w:tcW w:w="1711" w:type="dxa"/>
            <w:vMerge w:val="restart"/>
            <w:shd w:val="clear" w:color="auto" w:fill="365F92"/>
          </w:tcPr>
          <w:p>
            <w:pPr>
              <w:pStyle w:val="TableParagraph"/>
              <w:spacing w:before="134"/>
              <w:ind w:left="131"/>
              <w:rPr>
                <w:b/>
                <w:sz w:val="22"/>
              </w:rPr>
            </w:pPr>
            <w:r>
              <w:rPr>
                <w:b/>
                <w:color w:val="FFFFFF"/>
                <w:sz w:val="22"/>
              </w:rPr>
              <w:t>Periodo</w:t>
            </w:r>
            <w:r>
              <w:rPr>
                <w:b/>
                <w:color w:val="FFFFFF"/>
                <w:spacing w:val="-4"/>
                <w:sz w:val="22"/>
              </w:rPr>
              <w:t> </w:t>
            </w:r>
            <w:r>
              <w:rPr>
                <w:b/>
                <w:color w:val="FFFFFF"/>
                <w:spacing w:val="-2"/>
                <w:sz w:val="22"/>
              </w:rPr>
              <w:t>Anterior</w:t>
            </w:r>
          </w:p>
        </w:tc>
        <w:tc>
          <w:tcPr>
            <w:tcW w:w="1210" w:type="dxa"/>
            <w:shd w:val="clear" w:color="auto" w:fill="365F92"/>
          </w:tcPr>
          <w:p>
            <w:pPr>
              <w:pStyle w:val="TableParagraph"/>
              <w:spacing w:line="229" w:lineRule="exact"/>
              <w:ind w:left="17" w:right="2"/>
              <w:jc w:val="center"/>
              <w:rPr>
                <w:b/>
                <w:sz w:val="22"/>
              </w:rPr>
            </w:pPr>
            <w:r>
              <w:rPr>
                <w:b/>
                <w:color w:val="FFFFFF"/>
                <w:spacing w:val="-2"/>
                <w:sz w:val="22"/>
              </w:rPr>
              <w:t>Diferencia</w:t>
            </w:r>
          </w:p>
        </w:tc>
      </w:tr>
      <w:tr>
        <w:trPr>
          <w:trHeight w:val="251" w:hRule="atLeast"/>
        </w:trPr>
        <w:tc>
          <w:tcPr>
            <w:tcW w:w="1176" w:type="dxa"/>
            <w:vMerge/>
            <w:tcBorders>
              <w:top w:val="nil"/>
            </w:tcBorders>
            <w:shd w:val="clear" w:color="auto" w:fill="365F92"/>
          </w:tcPr>
          <w:p>
            <w:pPr>
              <w:rPr>
                <w:sz w:val="2"/>
                <w:szCs w:val="2"/>
              </w:rPr>
            </w:pPr>
          </w:p>
        </w:tc>
        <w:tc>
          <w:tcPr>
            <w:tcW w:w="2197" w:type="dxa"/>
            <w:vMerge/>
            <w:tcBorders>
              <w:top w:val="nil"/>
            </w:tcBorders>
            <w:shd w:val="clear" w:color="auto" w:fill="365F92"/>
          </w:tcPr>
          <w:p>
            <w:pPr>
              <w:rPr>
                <w:sz w:val="2"/>
                <w:szCs w:val="2"/>
              </w:rPr>
            </w:pPr>
          </w:p>
        </w:tc>
        <w:tc>
          <w:tcPr>
            <w:tcW w:w="706" w:type="dxa"/>
            <w:vMerge/>
            <w:tcBorders>
              <w:top w:val="nil"/>
            </w:tcBorders>
            <w:shd w:val="clear" w:color="auto" w:fill="365F92"/>
          </w:tcPr>
          <w:p>
            <w:pPr>
              <w:rPr>
                <w:sz w:val="2"/>
                <w:szCs w:val="2"/>
              </w:rPr>
            </w:pPr>
          </w:p>
        </w:tc>
        <w:tc>
          <w:tcPr>
            <w:tcW w:w="2115" w:type="dxa"/>
            <w:vMerge/>
            <w:tcBorders>
              <w:top w:val="nil"/>
            </w:tcBorders>
            <w:shd w:val="clear" w:color="auto" w:fill="365F92"/>
          </w:tcPr>
          <w:p>
            <w:pPr>
              <w:rPr>
                <w:sz w:val="2"/>
                <w:szCs w:val="2"/>
              </w:rPr>
            </w:pPr>
          </w:p>
        </w:tc>
        <w:tc>
          <w:tcPr>
            <w:tcW w:w="1711" w:type="dxa"/>
            <w:vMerge/>
            <w:tcBorders>
              <w:top w:val="nil"/>
            </w:tcBorders>
            <w:shd w:val="clear" w:color="auto" w:fill="365F92"/>
          </w:tcPr>
          <w:p>
            <w:pPr>
              <w:rPr>
                <w:sz w:val="2"/>
                <w:szCs w:val="2"/>
              </w:rPr>
            </w:pPr>
          </w:p>
        </w:tc>
        <w:tc>
          <w:tcPr>
            <w:tcW w:w="1210" w:type="dxa"/>
            <w:shd w:val="clear" w:color="auto" w:fill="365F92"/>
          </w:tcPr>
          <w:p>
            <w:pPr>
              <w:pStyle w:val="TableParagraph"/>
              <w:spacing w:line="231" w:lineRule="exact"/>
              <w:ind w:left="17" w:right="3"/>
              <w:jc w:val="center"/>
              <w:rPr>
                <w:sz w:val="22"/>
              </w:rPr>
            </w:pPr>
            <w:r>
              <w:rPr>
                <w:color w:val="FFFFFF"/>
                <w:spacing w:val="-10"/>
                <w:sz w:val="22"/>
              </w:rPr>
              <w:t>%</w:t>
            </w:r>
          </w:p>
        </w:tc>
      </w:tr>
      <w:tr>
        <w:trPr>
          <w:trHeight w:val="457" w:hRule="atLeast"/>
        </w:trPr>
        <w:tc>
          <w:tcPr>
            <w:tcW w:w="1176" w:type="dxa"/>
          </w:tcPr>
          <w:p>
            <w:pPr>
              <w:pStyle w:val="TableParagraph"/>
              <w:spacing w:before="113"/>
              <w:ind w:left="69"/>
              <w:rPr>
                <w:b/>
                <w:sz w:val="20"/>
              </w:rPr>
            </w:pPr>
            <w:r>
              <w:rPr>
                <w:b/>
                <w:spacing w:val="-2"/>
                <w:sz w:val="20"/>
              </w:rPr>
              <w:t>5.1.2.01.</w:t>
            </w:r>
          </w:p>
        </w:tc>
        <w:tc>
          <w:tcPr>
            <w:tcW w:w="2197" w:type="dxa"/>
          </w:tcPr>
          <w:p>
            <w:pPr>
              <w:pStyle w:val="TableParagraph"/>
              <w:tabs>
                <w:tab w:pos="1100" w:val="left" w:leader="none"/>
                <w:tab w:pos="1406" w:val="left" w:leader="none"/>
              </w:tabs>
              <w:spacing w:line="220" w:lineRule="atLeast"/>
              <w:ind w:left="69" w:right="50"/>
              <w:rPr>
                <w:b/>
                <w:sz w:val="20"/>
              </w:rPr>
            </w:pPr>
            <w:r>
              <w:rPr>
                <w:b/>
                <w:spacing w:val="-2"/>
                <w:sz w:val="20"/>
              </w:rPr>
              <w:t>Alquileres</w:t>
            </w:r>
            <w:r>
              <w:rPr>
                <w:b/>
                <w:sz w:val="20"/>
              </w:rPr>
              <w:tab/>
            </w:r>
            <w:r>
              <w:rPr>
                <w:b/>
                <w:spacing w:val="-10"/>
                <w:sz w:val="20"/>
              </w:rPr>
              <w:t>y</w:t>
            </w:r>
            <w:r>
              <w:rPr>
                <w:b/>
                <w:sz w:val="20"/>
              </w:rPr>
              <w:tab/>
            </w:r>
            <w:r>
              <w:rPr>
                <w:b/>
                <w:spacing w:val="-2"/>
                <w:sz w:val="20"/>
              </w:rPr>
              <w:t>derechos </w:t>
            </w:r>
            <w:r>
              <w:rPr>
                <w:b/>
                <w:sz w:val="20"/>
              </w:rPr>
              <w:t>sobre bienes</w:t>
            </w:r>
          </w:p>
        </w:tc>
        <w:tc>
          <w:tcPr>
            <w:tcW w:w="706" w:type="dxa"/>
          </w:tcPr>
          <w:p>
            <w:pPr>
              <w:pStyle w:val="TableParagraph"/>
              <w:spacing w:before="113"/>
              <w:ind w:left="13"/>
              <w:jc w:val="center"/>
              <w:rPr>
                <w:b/>
                <w:sz w:val="20"/>
              </w:rPr>
            </w:pPr>
            <w:r>
              <w:rPr>
                <w:b/>
                <w:spacing w:val="-5"/>
                <w:sz w:val="20"/>
              </w:rPr>
              <w:t>60</w:t>
            </w:r>
          </w:p>
        </w:tc>
        <w:tc>
          <w:tcPr>
            <w:tcW w:w="2115" w:type="dxa"/>
          </w:tcPr>
          <w:p>
            <w:pPr>
              <w:pStyle w:val="TableParagraph"/>
              <w:spacing w:before="113"/>
              <w:ind w:left="536"/>
              <w:rPr>
                <w:b/>
                <w:sz w:val="20"/>
              </w:rPr>
            </w:pPr>
            <w:r>
              <w:rPr>
                <w:b/>
                <w:sz w:val="20"/>
              </w:rPr>
              <w:t>1</w:t>
            </w:r>
            <w:r>
              <w:rPr>
                <w:b/>
                <w:spacing w:val="-2"/>
                <w:sz w:val="20"/>
              </w:rPr>
              <w:t> </w:t>
            </w:r>
            <w:r>
              <w:rPr>
                <w:b/>
                <w:sz w:val="20"/>
              </w:rPr>
              <w:t>100</w:t>
            </w:r>
            <w:r>
              <w:rPr>
                <w:b/>
                <w:spacing w:val="-2"/>
                <w:sz w:val="20"/>
              </w:rPr>
              <w:t> 045,54</w:t>
            </w:r>
          </w:p>
        </w:tc>
        <w:tc>
          <w:tcPr>
            <w:tcW w:w="1711" w:type="dxa"/>
          </w:tcPr>
          <w:p>
            <w:pPr>
              <w:pStyle w:val="TableParagraph"/>
              <w:spacing w:before="113"/>
              <w:ind w:left="337"/>
              <w:rPr>
                <w:b/>
                <w:sz w:val="20"/>
              </w:rPr>
            </w:pPr>
            <w:r>
              <w:rPr>
                <w:b/>
                <w:sz w:val="20"/>
              </w:rPr>
              <w:t>1</w:t>
            </w:r>
            <w:r>
              <w:rPr>
                <w:b/>
                <w:spacing w:val="-2"/>
                <w:sz w:val="20"/>
              </w:rPr>
              <w:t> </w:t>
            </w:r>
            <w:r>
              <w:rPr>
                <w:b/>
                <w:sz w:val="20"/>
              </w:rPr>
              <w:t>097</w:t>
            </w:r>
            <w:r>
              <w:rPr>
                <w:b/>
                <w:spacing w:val="-2"/>
                <w:sz w:val="20"/>
              </w:rPr>
              <w:t> 043,62</w:t>
            </w:r>
          </w:p>
        </w:tc>
        <w:tc>
          <w:tcPr>
            <w:tcW w:w="1210" w:type="dxa"/>
          </w:tcPr>
          <w:p>
            <w:pPr>
              <w:pStyle w:val="TableParagraph"/>
              <w:spacing w:before="113"/>
              <w:ind w:left="17"/>
              <w:jc w:val="center"/>
              <w:rPr>
                <w:b/>
                <w:sz w:val="20"/>
              </w:rPr>
            </w:pPr>
            <w:r>
              <w:rPr>
                <w:b/>
                <w:spacing w:val="-2"/>
                <w:sz w:val="20"/>
              </w:rPr>
              <w:t>0,27%</w:t>
            </w:r>
          </w:p>
        </w:tc>
      </w:tr>
    </w:tbl>
    <w:p>
      <w:pPr>
        <w:pStyle w:val="BodyText"/>
        <w:rPr>
          <w:b/>
          <w:sz w:val="20"/>
        </w:rPr>
      </w:pPr>
    </w:p>
    <w:p>
      <w:pPr>
        <w:pStyle w:val="BodyText"/>
        <w:spacing w:before="192"/>
        <w:rPr>
          <w:b/>
          <w:sz w:val="20"/>
        </w:rPr>
      </w:pPr>
      <w:r>
        <w:rPr>
          <w:b/>
          <w:sz w:val="20"/>
        </w:rPr>
        <mc:AlternateContent>
          <mc:Choice Requires="wps">
            <w:drawing>
              <wp:anchor distT="0" distB="0" distL="0" distR="0" allowOverlap="1" layoutInCell="1" locked="0" behindDoc="1" simplePos="0" relativeHeight="487719936">
                <wp:simplePos x="0" y="0"/>
                <wp:positionH relativeFrom="page">
                  <wp:posOffset>1080820</wp:posOffset>
                </wp:positionH>
                <wp:positionV relativeFrom="paragraph">
                  <wp:posOffset>285194</wp:posOffset>
                </wp:positionV>
                <wp:extent cx="5715000" cy="2295525"/>
                <wp:effectExtent l="0" t="0" r="0" b="0"/>
                <wp:wrapTopAndBottom/>
                <wp:docPr id="657" name="Textbox 657"/>
                <wp:cNvGraphicFramePr>
                  <a:graphicFrameLocks/>
                </wp:cNvGraphicFramePr>
                <a:graphic>
                  <a:graphicData uri="http://schemas.microsoft.com/office/word/2010/wordprocessingShape">
                    <wps:wsp>
                      <wps:cNvPr id="657" name="Textbox 657"/>
                      <wps:cNvSpPr txBox="1"/>
                      <wps:spPr>
                        <a:xfrm>
                          <a:off x="0" y="0"/>
                          <a:ext cx="5715000" cy="2295525"/>
                        </a:xfrm>
                        <a:prstGeom prst="rect">
                          <a:avLst/>
                        </a:prstGeom>
                        <a:ln w="6095">
                          <a:solidFill>
                            <a:srgbClr val="000000"/>
                          </a:solidFill>
                          <a:prstDash val="solid"/>
                        </a:ln>
                      </wps:spPr>
                      <wps:txbx>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line="276" w:lineRule="auto" w:before="179"/>
                              <w:ind w:left="103" w:right="100"/>
                              <w:jc w:val="both"/>
                            </w:pPr>
                            <w:r>
                              <w:rPr/>
                              <w:t>La cuenta de Alquileres operativos corresponde a los pagos efectuados por la Institución para el uso de</w:t>
                            </w:r>
                            <w:r>
                              <w:rPr>
                                <w:spacing w:val="-3"/>
                              </w:rPr>
                              <w:t> </w:t>
                            </w:r>
                            <w:r>
                              <w:rPr/>
                              <w:t>edificios y</w:t>
                            </w:r>
                            <w:r>
                              <w:rPr>
                                <w:spacing w:val="-2"/>
                              </w:rPr>
                              <w:t> </w:t>
                            </w:r>
                            <w:r>
                              <w:rPr/>
                              <w:t>oficinas destinadas a</w:t>
                            </w:r>
                            <w:r>
                              <w:rPr>
                                <w:spacing w:val="-2"/>
                              </w:rPr>
                              <w:t> </w:t>
                            </w:r>
                            <w:r>
                              <w:rPr/>
                              <w:t>la</w:t>
                            </w:r>
                            <w:r>
                              <w:rPr>
                                <w:spacing w:val="-3"/>
                              </w:rPr>
                              <w:t> </w:t>
                            </w:r>
                            <w:r>
                              <w:rPr/>
                              <w:t>atención</w:t>
                            </w:r>
                            <w:r>
                              <w:rPr>
                                <w:spacing w:val="-1"/>
                              </w:rPr>
                              <w:t> </w:t>
                            </w:r>
                            <w:r>
                              <w:rPr/>
                              <w:t>al</w:t>
                            </w:r>
                            <w:r>
                              <w:rPr>
                                <w:spacing w:val="-2"/>
                              </w:rPr>
                              <w:t> </w:t>
                            </w:r>
                            <w:r>
                              <w:rPr/>
                              <w:t>público</w:t>
                            </w:r>
                            <w:r>
                              <w:rPr>
                                <w:spacing w:val="-1"/>
                              </w:rPr>
                              <w:t> </w:t>
                            </w:r>
                            <w:r>
                              <w:rPr/>
                              <w:t>y</w:t>
                            </w:r>
                            <w:r>
                              <w:rPr>
                                <w:spacing w:val="-2"/>
                              </w:rPr>
                              <w:t> </w:t>
                            </w:r>
                            <w:r>
                              <w:rPr/>
                              <w:t>a</w:t>
                            </w:r>
                            <w:r>
                              <w:rPr>
                                <w:spacing w:val="-2"/>
                              </w:rPr>
                              <w:t> </w:t>
                            </w:r>
                            <w:r>
                              <w:rPr/>
                              <w:t>labores</w:t>
                            </w:r>
                            <w:r>
                              <w:rPr>
                                <w:spacing w:val="-1"/>
                              </w:rPr>
                              <w:t> </w:t>
                            </w:r>
                            <w:r>
                              <w:rPr/>
                              <w:t>administrativas,</w:t>
                            </w:r>
                            <w:r>
                              <w:rPr>
                                <w:spacing w:val="-4"/>
                              </w:rPr>
                              <w:t> </w:t>
                            </w:r>
                            <w:r>
                              <w:rPr/>
                              <w:t>bajo</w:t>
                            </w:r>
                            <w:r>
                              <w:rPr>
                                <w:spacing w:val="-1"/>
                              </w:rPr>
                              <w:t> </w:t>
                            </w:r>
                            <w:r>
                              <w:rPr/>
                              <w:t>contratos de arrendamiento que no transfieren sustancialmente los riesgos y beneficios inherentes a la propiedad del activo, por lo que se reconocen como gasto del periodo conforme al principio de devengo.</w:t>
                            </w:r>
                          </w:p>
                          <w:p>
                            <w:pPr>
                              <w:pStyle w:val="BodyText"/>
                              <w:spacing w:before="40"/>
                            </w:pPr>
                          </w:p>
                          <w:p>
                            <w:pPr>
                              <w:pStyle w:val="BodyText"/>
                              <w:spacing w:line="276" w:lineRule="auto"/>
                              <w:ind w:left="103" w:right="103"/>
                              <w:jc w:val="both"/>
                            </w:pPr>
                            <w:r>
                              <w:rPr/>
                              <w:t>En julio 2026, la Institución mantiene 39 contratos de alquiler operativo, todos ubicados dentro del territorio nacional, los cuales se detallan según la moneda pactada en los contratos, de la siguiente </w:t>
                            </w:r>
                            <w:r>
                              <w:rPr>
                                <w:spacing w:val="-2"/>
                              </w:rPr>
                              <w:t>forma:</w:t>
                            </w:r>
                          </w:p>
                          <w:p>
                            <w:pPr>
                              <w:pStyle w:val="BodyText"/>
                              <w:spacing w:before="35"/>
                            </w:pPr>
                          </w:p>
                          <w:p>
                            <w:pPr>
                              <w:spacing w:before="0"/>
                              <w:ind w:left="103" w:right="0" w:firstLine="0"/>
                              <w:jc w:val="both"/>
                              <w:rPr>
                                <w:b/>
                                <w:sz w:val="22"/>
                              </w:rPr>
                            </w:pPr>
                            <w:r>
                              <w:rPr>
                                <w:b/>
                                <w:sz w:val="22"/>
                              </w:rPr>
                              <w:t>Composición</w:t>
                            </w:r>
                            <w:r>
                              <w:rPr>
                                <w:b/>
                                <w:spacing w:val="-4"/>
                                <w:sz w:val="22"/>
                              </w:rPr>
                              <w:t> </w:t>
                            </w:r>
                            <w:r>
                              <w:rPr>
                                <w:b/>
                                <w:sz w:val="22"/>
                              </w:rPr>
                              <w:t>de</w:t>
                            </w:r>
                            <w:r>
                              <w:rPr>
                                <w:b/>
                                <w:spacing w:val="-1"/>
                                <w:sz w:val="22"/>
                              </w:rPr>
                              <w:t> </w:t>
                            </w:r>
                            <w:r>
                              <w:rPr>
                                <w:b/>
                                <w:sz w:val="22"/>
                              </w:rPr>
                              <w:t>la</w:t>
                            </w:r>
                            <w:r>
                              <w:rPr>
                                <w:b/>
                                <w:spacing w:val="-3"/>
                                <w:sz w:val="22"/>
                              </w:rPr>
                              <w:t> </w:t>
                            </w:r>
                            <w:r>
                              <w:rPr>
                                <w:b/>
                                <w:sz w:val="22"/>
                              </w:rPr>
                              <w:t>cuenta</w:t>
                            </w:r>
                            <w:r>
                              <w:rPr>
                                <w:b/>
                                <w:spacing w:val="-2"/>
                                <w:sz w:val="22"/>
                              </w:rPr>
                              <w:t> </w:t>
                            </w:r>
                            <w:r>
                              <w:rPr>
                                <w:b/>
                                <w:sz w:val="22"/>
                              </w:rPr>
                              <w:t>a</w:t>
                            </w:r>
                            <w:r>
                              <w:rPr>
                                <w:b/>
                                <w:spacing w:val="-4"/>
                                <w:sz w:val="22"/>
                              </w:rPr>
                              <w:t> </w:t>
                            </w:r>
                            <w:r>
                              <w:rPr>
                                <w:b/>
                                <w:sz w:val="22"/>
                              </w:rPr>
                              <w:t>julio</w:t>
                            </w:r>
                            <w:r>
                              <w:rPr>
                                <w:b/>
                                <w:spacing w:val="-1"/>
                                <w:sz w:val="22"/>
                              </w:rPr>
                              <w:t> </w:t>
                            </w:r>
                            <w:r>
                              <w:rPr>
                                <w:b/>
                                <w:spacing w:val="-2"/>
                                <w:sz w:val="22"/>
                              </w:rPr>
                              <w:t>2026:</w:t>
                            </w:r>
                          </w:p>
                        </w:txbxContent>
                      </wps:txbx>
                      <wps:bodyPr wrap="square" lIns="0" tIns="0" rIns="0" bIns="0" rtlCol="0">
                        <a:noAutofit/>
                      </wps:bodyPr>
                    </wps:wsp>
                  </a:graphicData>
                </a:graphic>
              </wp:anchor>
            </w:drawing>
          </mc:Choice>
          <mc:Fallback>
            <w:pict>
              <v:shape style="position:absolute;margin-left:85.103996pt;margin-top:22.456249pt;width:450pt;height:180.75pt;mso-position-horizontal-relative:page;mso-position-vertical-relative:paragraph;z-index:-15596544;mso-wrap-distance-left:0;mso-wrap-distance-right:0" type="#_x0000_t202" id="docshape635" filled="false" stroked="true" strokeweight=".47998pt" strokecolor="#000000">
                <v:textbox inset="0,0,0,0">
                  <w:txbxContent>
                    <w:p>
                      <w:pPr>
                        <w:spacing w:before="0"/>
                        <w:ind w:left="103" w:right="0" w:firstLine="0"/>
                        <w:jc w:val="both"/>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p>
                      <w:pPr>
                        <w:pStyle w:val="BodyText"/>
                        <w:spacing w:line="276" w:lineRule="auto" w:before="179"/>
                        <w:ind w:left="103" w:right="100"/>
                        <w:jc w:val="both"/>
                      </w:pPr>
                      <w:r>
                        <w:rPr/>
                        <w:t>La cuenta de Alquileres operativos corresponde a los pagos efectuados por la Institución para el uso de</w:t>
                      </w:r>
                      <w:r>
                        <w:rPr>
                          <w:spacing w:val="-3"/>
                        </w:rPr>
                        <w:t> </w:t>
                      </w:r>
                      <w:r>
                        <w:rPr/>
                        <w:t>edificios y</w:t>
                      </w:r>
                      <w:r>
                        <w:rPr>
                          <w:spacing w:val="-2"/>
                        </w:rPr>
                        <w:t> </w:t>
                      </w:r>
                      <w:r>
                        <w:rPr/>
                        <w:t>oficinas destinadas a</w:t>
                      </w:r>
                      <w:r>
                        <w:rPr>
                          <w:spacing w:val="-2"/>
                        </w:rPr>
                        <w:t> </w:t>
                      </w:r>
                      <w:r>
                        <w:rPr/>
                        <w:t>la</w:t>
                      </w:r>
                      <w:r>
                        <w:rPr>
                          <w:spacing w:val="-3"/>
                        </w:rPr>
                        <w:t> </w:t>
                      </w:r>
                      <w:r>
                        <w:rPr/>
                        <w:t>atención</w:t>
                      </w:r>
                      <w:r>
                        <w:rPr>
                          <w:spacing w:val="-1"/>
                        </w:rPr>
                        <w:t> </w:t>
                      </w:r>
                      <w:r>
                        <w:rPr/>
                        <w:t>al</w:t>
                      </w:r>
                      <w:r>
                        <w:rPr>
                          <w:spacing w:val="-2"/>
                        </w:rPr>
                        <w:t> </w:t>
                      </w:r>
                      <w:r>
                        <w:rPr/>
                        <w:t>público</w:t>
                      </w:r>
                      <w:r>
                        <w:rPr>
                          <w:spacing w:val="-1"/>
                        </w:rPr>
                        <w:t> </w:t>
                      </w:r>
                      <w:r>
                        <w:rPr/>
                        <w:t>y</w:t>
                      </w:r>
                      <w:r>
                        <w:rPr>
                          <w:spacing w:val="-2"/>
                        </w:rPr>
                        <w:t> </w:t>
                      </w:r>
                      <w:r>
                        <w:rPr/>
                        <w:t>a</w:t>
                      </w:r>
                      <w:r>
                        <w:rPr>
                          <w:spacing w:val="-2"/>
                        </w:rPr>
                        <w:t> </w:t>
                      </w:r>
                      <w:r>
                        <w:rPr/>
                        <w:t>labores</w:t>
                      </w:r>
                      <w:r>
                        <w:rPr>
                          <w:spacing w:val="-1"/>
                        </w:rPr>
                        <w:t> </w:t>
                      </w:r>
                      <w:r>
                        <w:rPr/>
                        <w:t>administrativas,</w:t>
                      </w:r>
                      <w:r>
                        <w:rPr>
                          <w:spacing w:val="-4"/>
                        </w:rPr>
                        <w:t> </w:t>
                      </w:r>
                      <w:r>
                        <w:rPr/>
                        <w:t>bajo</w:t>
                      </w:r>
                      <w:r>
                        <w:rPr>
                          <w:spacing w:val="-1"/>
                        </w:rPr>
                        <w:t> </w:t>
                      </w:r>
                      <w:r>
                        <w:rPr/>
                        <w:t>contratos de arrendamiento que no transfieren sustancialmente los riesgos y beneficios inherentes a la propiedad del activo, por lo que se reconocen como gasto del periodo conforme al principio de devengo.</w:t>
                      </w:r>
                    </w:p>
                    <w:p>
                      <w:pPr>
                        <w:pStyle w:val="BodyText"/>
                        <w:spacing w:before="40"/>
                      </w:pPr>
                    </w:p>
                    <w:p>
                      <w:pPr>
                        <w:pStyle w:val="BodyText"/>
                        <w:spacing w:line="276" w:lineRule="auto"/>
                        <w:ind w:left="103" w:right="103"/>
                        <w:jc w:val="both"/>
                      </w:pPr>
                      <w:r>
                        <w:rPr/>
                        <w:t>En julio 2026, la Institución mantiene 39 contratos de alquiler operativo, todos ubicados dentro del territorio nacional, los cuales se detallan según la moneda pactada en los contratos, de la siguiente </w:t>
                      </w:r>
                      <w:r>
                        <w:rPr>
                          <w:spacing w:val="-2"/>
                        </w:rPr>
                        <w:t>forma:</w:t>
                      </w:r>
                    </w:p>
                    <w:p>
                      <w:pPr>
                        <w:pStyle w:val="BodyText"/>
                        <w:spacing w:before="35"/>
                      </w:pPr>
                    </w:p>
                    <w:p>
                      <w:pPr>
                        <w:spacing w:before="0"/>
                        <w:ind w:left="103" w:right="0" w:firstLine="0"/>
                        <w:jc w:val="both"/>
                        <w:rPr>
                          <w:b/>
                          <w:sz w:val="22"/>
                        </w:rPr>
                      </w:pPr>
                      <w:r>
                        <w:rPr>
                          <w:b/>
                          <w:sz w:val="22"/>
                        </w:rPr>
                        <w:t>Composición</w:t>
                      </w:r>
                      <w:r>
                        <w:rPr>
                          <w:b/>
                          <w:spacing w:val="-4"/>
                          <w:sz w:val="22"/>
                        </w:rPr>
                        <w:t> </w:t>
                      </w:r>
                      <w:r>
                        <w:rPr>
                          <w:b/>
                          <w:sz w:val="22"/>
                        </w:rPr>
                        <w:t>de</w:t>
                      </w:r>
                      <w:r>
                        <w:rPr>
                          <w:b/>
                          <w:spacing w:val="-1"/>
                          <w:sz w:val="22"/>
                        </w:rPr>
                        <w:t> </w:t>
                      </w:r>
                      <w:r>
                        <w:rPr>
                          <w:b/>
                          <w:sz w:val="22"/>
                        </w:rPr>
                        <w:t>la</w:t>
                      </w:r>
                      <w:r>
                        <w:rPr>
                          <w:b/>
                          <w:spacing w:val="-3"/>
                          <w:sz w:val="22"/>
                        </w:rPr>
                        <w:t> </w:t>
                      </w:r>
                      <w:r>
                        <w:rPr>
                          <w:b/>
                          <w:sz w:val="22"/>
                        </w:rPr>
                        <w:t>cuenta</w:t>
                      </w:r>
                      <w:r>
                        <w:rPr>
                          <w:b/>
                          <w:spacing w:val="-2"/>
                          <w:sz w:val="22"/>
                        </w:rPr>
                        <w:t> </w:t>
                      </w:r>
                      <w:r>
                        <w:rPr>
                          <w:b/>
                          <w:sz w:val="22"/>
                        </w:rPr>
                        <w:t>a</w:t>
                      </w:r>
                      <w:r>
                        <w:rPr>
                          <w:b/>
                          <w:spacing w:val="-4"/>
                          <w:sz w:val="22"/>
                        </w:rPr>
                        <w:t> </w:t>
                      </w:r>
                      <w:r>
                        <w:rPr>
                          <w:b/>
                          <w:sz w:val="22"/>
                        </w:rPr>
                        <w:t>julio</w:t>
                      </w:r>
                      <w:r>
                        <w:rPr>
                          <w:b/>
                          <w:spacing w:val="-1"/>
                          <w:sz w:val="22"/>
                        </w:rPr>
                        <w:t> </w:t>
                      </w:r>
                      <w:r>
                        <w:rPr>
                          <w:b/>
                          <w:spacing w:val="-2"/>
                          <w:sz w:val="22"/>
                        </w:rPr>
                        <w:t>2026:</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8368">
                <wp:simplePos x="0" y="0"/>
                <wp:positionH relativeFrom="page">
                  <wp:posOffset>9525</wp:posOffset>
                </wp:positionH>
                <wp:positionV relativeFrom="page">
                  <wp:posOffset>297208</wp:posOffset>
                </wp:positionV>
                <wp:extent cx="7762875" cy="9748520"/>
                <wp:effectExtent l="0" t="0" r="0" b="0"/>
                <wp:wrapNone/>
                <wp:docPr id="658" name="Group 658"/>
                <wp:cNvGraphicFramePr>
                  <a:graphicFrameLocks/>
                </wp:cNvGraphicFramePr>
                <a:graphic>
                  <a:graphicData uri="http://schemas.microsoft.com/office/word/2010/wordprocessingGroup">
                    <wpg:wgp>
                      <wpg:cNvPr id="658" name="Group 658"/>
                      <wpg:cNvGrpSpPr/>
                      <wpg:grpSpPr>
                        <a:xfrm>
                          <a:off x="0" y="0"/>
                          <a:ext cx="7762875" cy="9748520"/>
                          <a:chExt cx="7762875" cy="9748520"/>
                        </a:xfrm>
                      </wpg:grpSpPr>
                      <pic:pic>
                        <pic:nvPicPr>
                          <pic:cNvPr id="659" name="Image 659"/>
                          <pic:cNvPicPr/>
                        </pic:nvPicPr>
                        <pic:blipFill>
                          <a:blip r:embed="rId5" cstate="print"/>
                          <a:stretch>
                            <a:fillRect/>
                          </a:stretch>
                        </pic:blipFill>
                        <pic:spPr>
                          <a:xfrm>
                            <a:off x="0" y="0"/>
                            <a:ext cx="7762874" cy="9748489"/>
                          </a:xfrm>
                          <a:prstGeom prst="rect">
                            <a:avLst/>
                          </a:prstGeom>
                        </pic:spPr>
                      </pic:pic>
                      <wps:wsp>
                        <wps:cNvPr id="660" name="Graphic 660"/>
                        <wps:cNvSpPr/>
                        <wps:spPr>
                          <a:xfrm>
                            <a:off x="1053007" y="990837"/>
                            <a:ext cx="5736590" cy="6257290"/>
                          </a:xfrm>
                          <a:custGeom>
                            <a:avLst/>
                            <a:gdLst/>
                            <a:ahLst/>
                            <a:cxnLst/>
                            <a:rect l="l" t="t" r="r" b="b"/>
                            <a:pathLst>
                              <a:path w="5736590" h="6257290">
                                <a:moveTo>
                                  <a:pt x="21336" y="132702"/>
                                </a:moveTo>
                                <a:lnTo>
                                  <a:pt x="15240" y="132702"/>
                                </a:lnTo>
                                <a:lnTo>
                                  <a:pt x="15240" y="6250927"/>
                                </a:lnTo>
                                <a:lnTo>
                                  <a:pt x="21336" y="6250927"/>
                                </a:lnTo>
                                <a:lnTo>
                                  <a:pt x="21336" y="132702"/>
                                </a:lnTo>
                                <a:close/>
                              </a:path>
                              <a:path w="5736590" h="6257290">
                                <a:moveTo>
                                  <a:pt x="5649214" y="0"/>
                                </a:moveTo>
                                <a:lnTo>
                                  <a:pt x="0" y="0"/>
                                </a:lnTo>
                                <a:lnTo>
                                  <a:pt x="0" y="9131"/>
                                </a:lnTo>
                                <a:lnTo>
                                  <a:pt x="5649214" y="9131"/>
                                </a:lnTo>
                                <a:lnTo>
                                  <a:pt x="5649214" y="0"/>
                                </a:lnTo>
                                <a:close/>
                              </a:path>
                              <a:path w="5736590" h="6257290">
                                <a:moveTo>
                                  <a:pt x="5736018" y="6250940"/>
                                </a:moveTo>
                                <a:lnTo>
                                  <a:pt x="5729986" y="6250940"/>
                                </a:lnTo>
                                <a:lnTo>
                                  <a:pt x="21336" y="6250940"/>
                                </a:lnTo>
                                <a:lnTo>
                                  <a:pt x="15240" y="6250940"/>
                                </a:lnTo>
                                <a:lnTo>
                                  <a:pt x="15240" y="6257023"/>
                                </a:lnTo>
                                <a:lnTo>
                                  <a:pt x="21336" y="6257023"/>
                                </a:lnTo>
                                <a:lnTo>
                                  <a:pt x="5729935" y="6257023"/>
                                </a:lnTo>
                                <a:lnTo>
                                  <a:pt x="5736018" y="6257023"/>
                                </a:lnTo>
                                <a:lnTo>
                                  <a:pt x="5736018" y="6250940"/>
                                </a:lnTo>
                                <a:close/>
                              </a:path>
                              <a:path w="5736590" h="6257290">
                                <a:moveTo>
                                  <a:pt x="5736018" y="132702"/>
                                </a:moveTo>
                                <a:lnTo>
                                  <a:pt x="5729935" y="132702"/>
                                </a:lnTo>
                                <a:lnTo>
                                  <a:pt x="5729935" y="6250927"/>
                                </a:lnTo>
                                <a:lnTo>
                                  <a:pt x="5736018" y="6250927"/>
                                </a:lnTo>
                                <a:lnTo>
                                  <a:pt x="5736018" y="132702"/>
                                </a:lnTo>
                                <a:close/>
                              </a:path>
                              <a:path w="5736590" h="625729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661" name="Image 661"/>
                          <pic:cNvPicPr/>
                        </pic:nvPicPr>
                        <pic:blipFill>
                          <a:blip r:embed="rId75" cstate="print"/>
                          <a:stretch>
                            <a:fillRect/>
                          </a:stretch>
                        </pic:blipFill>
                        <pic:spPr>
                          <a:xfrm>
                            <a:off x="2079624" y="1123794"/>
                            <a:ext cx="3689985" cy="85344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8112" id="docshapegroup636" coordorigin="15,468" coordsize="12225,15352">
                <v:shape style="position:absolute;left:15;top:468;width:12225;height:15352" type="#_x0000_t75" id="docshape637" stroked="false">
                  <v:imagedata r:id="rId5" o:title=""/>
                </v:shape>
                <v:shape style="position:absolute;left:1673;top:2028;width:9034;height:9854" id="docshape638" coordorigin="1673,2028" coordsize="9034,9854" path="m1707,2237l1697,2237,1697,11872,1707,11872,1707,2237xm10570,2028l1673,2028,1673,2043,10570,2043,10570,2028xm10706,11872l10697,11872,10697,11872,1707,11872,1697,11872,1697,11882,1707,11882,10697,11882,10697,11882,10706,11882,10706,11872xm10706,2237l10697,2237,10697,11872,10706,11872,10706,2237xm10706,2228l10697,2228,10697,2228,1707,2228,1697,2228,1697,2237,1707,2237,10697,2237,10697,2237,10706,2237,10706,2228xe" filled="true" fillcolor="#000000" stroked="false">
                  <v:path arrowok="t"/>
                  <v:fill type="solid"/>
                </v:shape>
                <v:shape style="position:absolute;left:3290;top:2237;width:5811;height:1344" type="#_x0000_t75" id="docshape639" stroked="false">
                  <v:imagedata r:id="rId75" o:title=""/>
                </v:shape>
                <w10:wrap type="none"/>
              </v:group>
            </w:pict>
          </mc:Fallback>
        </mc:AlternateContent>
      </w:r>
      <w:r>
        <w:rPr>
          <w:color w:val="172951"/>
          <w:sz w:val="20"/>
        </w:rPr>
        <w:t>Pág.</w:t>
      </w:r>
      <w:r>
        <w:rPr>
          <w:color w:val="172951"/>
          <w:spacing w:val="-7"/>
          <w:sz w:val="20"/>
        </w:rPr>
        <w:t> </w:t>
      </w:r>
      <w:r>
        <w:rPr>
          <w:color w:val="172951"/>
          <w:spacing w:val="-5"/>
          <w:sz w:val="20"/>
        </w:rPr>
        <w:t>133</w:t>
      </w:r>
    </w:p>
    <w:p>
      <w:pPr>
        <w:pStyle w:val="BodyText"/>
      </w:pPr>
    </w:p>
    <w:p>
      <w:pPr>
        <w:pStyle w:val="BodyText"/>
      </w:pPr>
    </w:p>
    <w:p>
      <w:pPr>
        <w:pStyle w:val="BodyText"/>
      </w:pPr>
    </w:p>
    <w:p>
      <w:pPr>
        <w:pStyle w:val="BodyText"/>
      </w:pPr>
    </w:p>
    <w:p>
      <w:pPr>
        <w:pStyle w:val="BodyText"/>
      </w:pPr>
    </w:p>
    <w:p>
      <w:pPr>
        <w:pStyle w:val="BodyText"/>
      </w:pPr>
    </w:p>
    <w:p>
      <w:pPr>
        <w:pStyle w:val="BodyText"/>
        <w:spacing w:before="148"/>
      </w:pPr>
    </w:p>
    <w:p>
      <w:pPr>
        <w:pStyle w:val="BodyText"/>
        <w:spacing w:line="276" w:lineRule="auto"/>
        <w:ind w:left="730" w:right="925"/>
        <w:jc w:val="both"/>
      </w:pPr>
      <w:r>
        <w:rPr/>
        <w:t>Los alquileres operativos en colones corresponden a 37 edificios y oficinas a nivel nacional para atención al público, cuyo gasto asciende a ¢ 969.720,40, mientras que los alquileres operativos relacionado con Empresas Comerciales corresponden a 2 oficinas monto dólares ($39.389.07), con un monto equivalente en colones a ¢ 130.325,14, todos ubicados dentro del territorio nacional.</w:t>
      </w:r>
    </w:p>
    <w:p>
      <w:pPr>
        <w:pStyle w:val="BodyText"/>
        <w:spacing w:before="38"/>
      </w:pPr>
    </w:p>
    <w:p>
      <w:pPr>
        <w:pStyle w:val="BodyText"/>
        <w:ind w:left="730"/>
      </w:pPr>
      <w:r>
        <w:rPr/>
        <w:t>El</w:t>
      </w:r>
      <w:r>
        <w:rPr>
          <w:spacing w:val="52"/>
        </w:rPr>
        <w:t> </w:t>
      </w:r>
      <w:r>
        <w:rPr/>
        <w:t>valor</w:t>
      </w:r>
      <w:r>
        <w:rPr>
          <w:spacing w:val="53"/>
        </w:rPr>
        <w:t> </w:t>
      </w:r>
      <w:r>
        <w:rPr/>
        <w:t>absoluto</w:t>
      </w:r>
      <w:r>
        <w:rPr>
          <w:spacing w:val="54"/>
        </w:rPr>
        <w:t> </w:t>
      </w:r>
      <w:r>
        <w:rPr/>
        <w:t>total</w:t>
      </w:r>
      <w:r>
        <w:rPr>
          <w:spacing w:val="52"/>
        </w:rPr>
        <w:t> </w:t>
      </w:r>
      <w:r>
        <w:rPr/>
        <w:t>de</w:t>
      </w:r>
      <w:r>
        <w:rPr>
          <w:spacing w:val="51"/>
        </w:rPr>
        <w:t> </w:t>
      </w:r>
      <w:r>
        <w:rPr/>
        <w:t>los</w:t>
      </w:r>
      <w:r>
        <w:rPr>
          <w:spacing w:val="54"/>
        </w:rPr>
        <w:t> </w:t>
      </w:r>
      <w:r>
        <w:rPr/>
        <w:t>alquileres</w:t>
      </w:r>
      <w:r>
        <w:rPr>
          <w:spacing w:val="52"/>
        </w:rPr>
        <w:t> </w:t>
      </w:r>
      <w:r>
        <w:rPr/>
        <w:t>operativos</w:t>
      </w:r>
      <w:r>
        <w:rPr>
          <w:spacing w:val="52"/>
        </w:rPr>
        <w:t> </w:t>
      </w:r>
      <w:r>
        <w:rPr/>
        <w:t>reconocidos</w:t>
      </w:r>
      <w:r>
        <w:rPr>
          <w:spacing w:val="54"/>
        </w:rPr>
        <w:t> </w:t>
      </w:r>
      <w:r>
        <w:rPr/>
        <w:t>durante</w:t>
      </w:r>
      <w:r>
        <w:rPr>
          <w:spacing w:val="53"/>
        </w:rPr>
        <w:t> </w:t>
      </w:r>
      <w:r>
        <w:rPr/>
        <w:t>el</w:t>
      </w:r>
      <w:r>
        <w:rPr>
          <w:spacing w:val="52"/>
        </w:rPr>
        <w:t> </w:t>
      </w:r>
      <w:r>
        <w:rPr/>
        <w:t>periodo</w:t>
      </w:r>
      <w:r>
        <w:rPr>
          <w:spacing w:val="53"/>
        </w:rPr>
        <w:t> </w:t>
      </w:r>
      <w:r>
        <w:rPr/>
        <w:t>asciende</w:t>
      </w:r>
      <w:r>
        <w:rPr>
          <w:spacing w:val="53"/>
        </w:rPr>
        <w:t> </w:t>
      </w:r>
      <w:r>
        <w:rPr>
          <w:spacing w:val="-10"/>
        </w:rPr>
        <w:t>a</w:t>
      </w:r>
    </w:p>
    <w:p>
      <w:pPr>
        <w:pStyle w:val="BodyText"/>
        <w:spacing w:line="278" w:lineRule="auto" w:before="37"/>
        <w:ind w:left="730" w:right="922"/>
        <w:jc w:val="both"/>
      </w:pPr>
      <w:r>
        <w:rPr/>
        <w:t>¢ 969.720,40, reflejándose como gasto dentro del rubro de Servicios – Alquileres y derechos sobre bienes del Estado de Rendimiento Financiero.</w:t>
      </w:r>
    </w:p>
    <w:p>
      <w:pPr>
        <w:pStyle w:val="BodyText"/>
        <w:spacing w:before="175"/>
      </w:pPr>
    </w:p>
    <w:p>
      <w:pPr>
        <w:pStyle w:val="Heading6"/>
        <w:ind w:left="730"/>
      </w:pPr>
      <w:r>
        <w:rPr/>
        <w:t>Naturaleza</w:t>
      </w:r>
      <w:r>
        <w:rPr>
          <w:spacing w:val="-6"/>
        </w:rPr>
        <w:t> </w:t>
      </w:r>
      <w:r>
        <w:rPr/>
        <w:t>del</w:t>
      </w:r>
      <w:r>
        <w:rPr>
          <w:spacing w:val="-4"/>
        </w:rPr>
        <w:t> gasto</w:t>
      </w:r>
    </w:p>
    <w:p>
      <w:pPr>
        <w:pStyle w:val="BodyText"/>
        <w:spacing w:before="76"/>
        <w:rPr>
          <w:b/>
        </w:rPr>
      </w:pPr>
    </w:p>
    <w:p>
      <w:pPr>
        <w:pStyle w:val="BodyText"/>
        <w:spacing w:line="276" w:lineRule="auto" w:before="1"/>
        <w:ind w:left="730" w:right="928"/>
        <w:jc w:val="both"/>
      </w:pPr>
      <w:r>
        <w:rPr/>
        <w:t>Los gastos por alquileres operativos corresponden a contratos de arrendamiento de corto y</w:t>
      </w:r>
      <w:r>
        <w:rPr>
          <w:spacing w:val="-1"/>
        </w:rPr>
        <w:t> </w:t>
      </w:r>
      <w:r>
        <w:rPr/>
        <w:t>mediano plazo, necesarios para</w:t>
      </w:r>
      <w:r>
        <w:rPr>
          <w:spacing w:val="-1"/>
        </w:rPr>
        <w:t> </w:t>
      </w:r>
      <w:r>
        <w:rPr/>
        <w:t>garantizar</w:t>
      </w:r>
      <w:r>
        <w:rPr>
          <w:spacing w:val="-1"/>
        </w:rPr>
        <w:t> </w:t>
      </w:r>
      <w:r>
        <w:rPr/>
        <w:t>la</w:t>
      </w:r>
      <w:r>
        <w:rPr>
          <w:spacing w:val="-1"/>
        </w:rPr>
        <w:t> </w:t>
      </w:r>
      <w:r>
        <w:rPr/>
        <w:t>continuidad</w:t>
      </w:r>
      <w:r>
        <w:rPr>
          <w:spacing w:val="-1"/>
        </w:rPr>
        <w:t> </w:t>
      </w:r>
      <w:r>
        <w:rPr/>
        <w:t>de</w:t>
      </w:r>
      <w:r>
        <w:rPr>
          <w:spacing w:val="-2"/>
        </w:rPr>
        <w:t> </w:t>
      </w:r>
      <w:r>
        <w:rPr/>
        <w:t>los servicios institucionales y</w:t>
      </w:r>
      <w:r>
        <w:rPr>
          <w:spacing w:val="-1"/>
        </w:rPr>
        <w:t> </w:t>
      </w:r>
      <w:r>
        <w:rPr/>
        <w:t>la</w:t>
      </w:r>
      <w:r>
        <w:rPr>
          <w:spacing w:val="-1"/>
        </w:rPr>
        <w:t> </w:t>
      </w:r>
      <w:r>
        <w:rPr/>
        <w:t>adecuada</w:t>
      </w:r>
      <w:r>
        <w:rPr>
          <w:spacing w:val="-1"/>
        </w:rPr>
        <w:t> </w:t>
      </w:r>
      <w:r>
        <w:rPr/>
        <w:t>atención de la población usuaria en las distintas regiones del país.</w:t>
      </w:r>
    </w:p>
    <w:p>
      <w:pPr>
        <w:pStyle w:val="BodyText"/>
        <w:spacing w:before="37"/>
      </w:pPr>
    </w:p>
    <w:p>
      <w:pPr>
        <w:pStyle w:val="Heading6"/>
        <w:spacing w:before="1"/>
        <w:ind w:left="730"/>
      </w:pPr>
      <w:r>
        <w:rPr/>
        <w:t>Detalles</w:t>
      </w:r>
      <w:r>
        <w:rPr>
          <w:spacing w:val="-1"/>
        </w:rPr>
        <w:t> </w:t>
      </w:r>
      <w:r>
        <w:rPr/>
        <w:t>de</w:t>
      </w:r>
      <w:r>
        <w:rPr>
          <w:spacing w:val="-2"/>
        </w:rPr>
        <w:t> </w:t>
      </w:r>
      <w:r>
        <w:rPr/>
        <w:t>la</w:t>
      </w:r>
      <w:r>
        <w:rPr>
          <w:spacing w:val="-3"/>
        </w:rPr>
        <w:t> </w:t>
      </w:r>
      <w:r>
        <w:rPr>
          <w:spacing w:val="-2"/>
        </w:rPr>
        <w:t>cuenta:</w:t>
      </w:r>
    </w:p>
    <w:p>
      <w:pPr>
        <w:pStyle w:val="BodyText"/>
        <w:spacing w:before="74"/>
        <w:rPr>
          <w:b/>
        </w:rPr>
      </w:pPr>
    </w:p>
    <w:p>
      <w:pPr>
        <w:pStyle w:val="ListParagraph"/>
        <w:numPr>
          <w:ilvl w:val="0"/>
          <w:numId w:val="56"/>
        </w:numPr>
        <w:tabs>
          <w:tab w:pos="1450" w:val="left" w:leader="none"/>
        </w:tabs>
        <w:spacing w:line="276" w:lineRule="auto" w:before="0" w:after="0"/>
        <w:ind w:left="1450" w:right="923" w:hanging="360"/>
        <w:jc w:val="both"/>
        <w:rPr>
          <w:sz w:val="22"/>
        </w:rPr>
      </w:pPr>
      <w:r>
        <w:rPr>
          <w:sz w:val="22"/>
        </w:rPr>
        <w:t>Estado</w:t>
      </w:r>
      <w:r>
        <w:rPr>
          <w:spacing w:val="-4"/>
          <w:sz w:val="22"/>
        </w:rPr>
        <w:t> </w:t>
      </w:r>
      <w:r>
        <w:rPr>
          <w:sz w:val="22"/>
        </w:rPr>
        <w:t>de</w:t>
      </w:r>
      <w:r>
        <w:rPr>
          <w:spacing w:val="-9"/>
          <w:sz w:val="22"/>
        </w:rPr>
        <w:t> </w:t>
      </w:r>
      <w:r>
        <w:rPr>
          <w:sz w:val="22"/>
        </w:rPr>
        <w:t>Rendimiento</w:t>
      </w:r>
      <w:r>
        <w:rPr>
          <w:spacing w:val="-4"/>
          <w:sz w:val="22"/>
        </w:rPr>
        <w:t> </w:t>
      </w:r>
      <w:r>
        <w:rPr>
          <w:sz w:val="22"/>
        </w:rPr>
        <w:t>Financiero</w:t>
      </w:r>
      <w:r>
        <w:rPr>
          <w:spacing w:val="-4"/>
          <w:sz w:val="22"/>
        </w:rPr>
        <w:t> </w:t>
      </w:r>
      <w:r>
        <w:rPr>
          <w:sz w:val="22"/>
        </w:rPr>
        <w:t>(NICSP</w:t>
      </w:r>
      <w:r>
        <w:rPr>
          <w:spacing w:val="-5"/>
          <w:sz w:val="22"/>
        </w:rPr>
        <w:t> </w:t>
      </w:r>
      <w:r>
        <w:rPr>
          <w:sz w:val="22"/>
        </w:rPr>
        <w:t>1):</w:t>
      </w:r>
      <w:r>
        <w:rPr>
          <w:spacing w:val="-6"/>
          <w:sz w:val="22"/>
        </w:rPr>
        <w:t> </w:t>
      </w:r>
      <w:r>
        <w:rPr>
          <w:sz w:val="22"/>
        </w:rPr>
        <w:t>El</w:t>
      </w:r>
      <w:r>
        <w:rPr>
          <w:spacing w:val="-5"/>
          <w:sz w:val="22"/>
        </w:rPr>
        <w:t> </w:t>
      </w:r>
      <w:r>
        <w:rPr>
          <w:sz w:val="22"/>
        </w:rPr>
        <w:t>gasto</w:t>
      </w:r>
      <w:r>
        <w:rPr>
          <w:spacing w:val="-6"/>
          <w:sz w:val="22"/>
        </w:rPr>
        <w:t> </w:t>
      </w:r>
      <w:r>
        <w:rPr>
          <w:sz w:val="22"/>
        </w:rPr>
        <w:t>por</w:t>
      </w:r>
      <w:r>
        <w:rPr>
          <w:spacing w:val="-4"/>
          <w:sz w:val="22"/>
        </w:rPr>
        <w:t> </w:t>
      </w:r>
      <w:r>
        <w:rPr>
          <w:sz w:val="22"/>
        </w:rPr>
        <w:t>alquileres</w:t>
      </w:r>
      <w:r>
        <w:rPr>
          <w:spacing w:val="-4"/>
          <w:sz w:val="22"/>
        </w:rPr>
        <w:t> </w:t>
      </w:r>
      <w:r>
        <w:rPr>
          <w:sz w:val="22"/>
        </w:rPr>
        <w:t>operativos</w:t>
      </w:r>
      <w:r>
        <w:rPr>
          <w:spacing w:val="-6"/>
          <w:sz w:val="22"/>
        </w:rPr>
        <w:t> </w:t>
      </w:r>
      <w:r>
        <w:rPr>
          <w:sz w:val="22"/>
        </w:rPr>
        <w:t>se</w:t>
      </w:r>
      <w:r>
        <w:rPr>
          <w:spacing w:val="-8"/>
          <w:sz w:val="22"/>
        </w:rPr>
        <w:t> </w:t>
      </w:r>
      <w:r>
        <w:rPr>
          <w:sz w:val="22"/>
        </w:rPr>
        <w:t>reconoce como gasto del periodo, afectando el resultado del ejercicio dentro del rubro de Servicios – Alquileres y derechos sobre bienes.</w:t>
      </w:r>
    </w:p>
    <w:p>
      <w:pPr>
        <w:pStyle w:val="ListParagraph"/>
        <w:numPr>
          <w:ilvl w:val="0"/>
          <w:numId w:val="56"/>
        </w:numPr>
        <w:tabs>
          <w:tab w:pos="1450" w:val="left" w:leader="none"/>
        </w:tabs>
        <w:spacing w:line="273" w:lineRule="auto" w:before="1" w:after="0"/>
        <w:ind w:left="1450" w:right="928" w:hanging="360"/>
        <w:jc w:val="both"/>
        <w:rPr>
          <w:sz w:val="22"/>
        </w:rPr>
      </w:pPr>
      <w:r>
        <w:rPr>
          <w:sz w:val="22"/>
        </w:rPr>
        <w:t>Estado de Situación Financiera (NICSP 1): No se reconocen activos ni pasivos asociados a estos contratos, dado su carácter operativo.</w:t>
      </w:r>
    </w:p>
    <w:p>
      <w:pPr>
        <w:pStyle w:val="ListParagraph"/>
        <w:numPr>
          <w:ilvl w:val="0"/>
          <w:numId w:val="56"/>
        </w:numPr>
        <w:tabs>
          <w:tab w:pos="1450" w:val="left" w:leader="none"/>
        </w:tabs>
        <w:spacing w:line="276" w:lineRule="auto" w:before="3" w:after="0"/>
        <w:ind w:left="1450" w:right="924" w:hanging="360"/>
        <w:jc w:val="both"/>
        <w:rPr>
          <w:sz w:val="22"/>
        </w:rPr>
      </w:pPr>
      <w:r>
        <w:rPr>
          <w:sz w:val="22"/>
        </w:rPr>
        <w:t>Estado</w:t>
      </w:r>
      <w:r>
        <w:rPr>
          <w:spacing w:val="-14"/>
          <w:sz w:val="22"/>
        </w:rPr>
        <w:t> </w:t>
      </w:r>
      <w:r>
        <w:rPr>
          <w:sz w:val="22"/>
        </w:rPr>
        <w:t>de</w:t>
      </w:r>
      <w:r>
        <w:rPr>
          <w:spacing w:val="-14"/>
          <w:sz w:val="22"/>
        </w:rPr>
        <w:t> </w:t>
      </w:r>
      <w:r>
        <w:rPr>
          <w:sz w:val="22"/>
        </w:rPr>
        <w:t>Flujo</w:t>
      </w:r>
      <w:r>
        <w:rPr>
          <w:spacing w:val="-14"/>
          <w:sz w:val="22"/>
        </w:rPr>
        <w:t> </w:t>
      </w:r>
      <w:r>
        <w:rPr>
          <w:sz w:val="22"/>
        </w:rPr>
        <w:t>de</w:t>
      </w:r>
      <w:r>
        <w:rPr>
          <w:spacing w:val="-13"/>
          <w:sz w:val="22"/>
        </w:rPr>
        <w:t> </w:t>
      </w:r>
      <w:r>
        <w:rPr>
          <w:sz w:val="22"/>
        </w:rPr>
        <w:t>Efectivo</w:t>
      </w:r>
      <w:r>
        <w:rPr>
          <w:spacing w:val="-14"/>
          <w:sz w:val="22"/>
        </w:rPr>
        <w:t> </w:t>
      </w:r>
      <w:r>
        <w:rPr>
          <w:sz w:val="22"/>
        </w:rPr>
        <w:t>(NICSP</w:t>
      </w:r>
      <w:r>
        <w:rPr>
          <w:spacing w:val="-14"/>
          <w:sz w:val="22"/>
        </w:rPr>
        <w:t> </w:t>
      </w:r>
      <w:r>
        <w:rPr>
          <w:sz w:val="22"/>
        </w:rPr>
        <w:t>2):</w:t>
      </w:r>
      <w:r>
        <w:rPr>
          <w:spacing w:val="-14"/>
          <w:sz w:val="22"/>
        </w:rPr>
        <w:t> </w:t>
      </w:r>
      <w:r>
        <w:rPr>
          <w:sz w:val="22"/>
        </w:rPr>
        <w:t>Los</w:t>
      </w:r>
      <w:r>
        <w:rPr>
          <w:spacing w:val="-13"/>
          <w:sz w:val="22"/>
        </w:rPr>
        <w:t> </w:t>
      </w:r>
      <w:r>
        <w:rPr>
          <w:sz w:val="22"/>
        </w:rPr>
        <w:t>pagos</w:t>
      </w:r>
      <w:r>
        <w:rPr>
          <w:spacing w:val="-14"/>
          <w:sz w:val="22"/>
        </w:rPr>
        <w:t> </w:t>
      </w:r>
      <w:r>
        <w:rPr>
          <w:sz w:val="22"/>
        </w:rPr>
        <w:t>por</w:t>
      </w:r>
      <w:r>
        <w:rPr>
          <w:spacing w:val="-14"/>
          <w:sz w:val="22"/>
        </w:rPr>
        <w:t> </w:t>
      </w:r>
      <w:r>
        <w:rPr>
          <w:sz w:val="22"/>
        </w:rPr>
        <w:t>alquileres</w:t>
      </w:r>
      <w:r>
        <w:rPr>
          <w:spacing w:val="-14"/>
          <w:sz w:val="22"/>
        </w:rPr>
        <w:t> </w:t>
      </w:r>
      <w:r>
        <w:rPr>
          <w:sz w:val="22"/>
        </w:rPr>
        <w:t>operativos</w:t>
      </w:r>
      <w:r>
        <w:rPr>
          <w:spacing w:val="-13"/>
          <w:sz w:val="22"/>
        </w:rPr>
        <w:t> </w:t>
      </w:r>
      <w:r>
        <w:rPr>
          <w:sz w:val="22"/>
        </w:rPr>
        <w:t>se</w:t>
      </w:r>
      <w:r>
        <w:rPr>
          <w:spacing w:val="-14"/>
          <w:sz w:val="22"/>
        </w:rPr>
        <w:t> </w:t>
      </w:r>
      <w:r>
        <w:rPr>
          <w:sz w:val="22"/>
        </w:rPr>
        <w:t>presentan</w:t>
      </w:r>
      <w:r>
        <w:rPr>
          <w:spacing w:val="-14"/>
          <w:sz w:val="22"/>
        </w:rPr>
        <w:t> </w:t>
      </w:r>
      <w:r>
        <w:rPr>
          <w:sz w:val="22"/>
        </w:rPr>
        <w:t>como salidas de efectivo por actividades operativas, en el periodo en que se realizan.</w:t>
      </w:r>
    </w:p>
    <w:p>
      <w:pPr>
        <w:pStyle w:val="BodyText"/>
        <w:spacing w:before="39"/>
      </w:pPr>
    </w:p>
    <w:p>
      <w:pPr>
        <w:pStyle w:val="BodyText"/>
        <w:spacing w:line="276" w:lineRule="auto"/>
        <w:ind w:left="730" w:right="928"/>
        <w:jc w:val="both"/>
      </w:pPr>
      <w:r>
        <w:rPr/>
        <w:t>Del análisis realizado se concluye que los alquileres operativos reconocidos durante el periodo 2026 se encuentran detallados conforme a su existencia.</w:t>
      </w:r>
    </w:p>
    <w:p>
      <w:pPr>
        <w:pStyle w:val="BodyText"/>
        <w:spacing w:before="188"/>
        <w:rPr>
          <w:sz w:val="20"/>
        </w:rPr>
      </w:pPr>
      <w:r>
        <w:rPr>
          <w:sz w:val="20"/>
        </w:rPr>
        <mc:AlternateContent>
          <mc:Choice Requires="wps">
            <w:drawing>
              <wp:anchor distT="0" distB="0" distL="0" distR="0" allowOverlap="1" layoutInCell="1" locked="0" behindDoc="1" simplePos="0" relativeHeight="487720960">
                <wp:simplePos x="0" y="0"/>
                <wp:positionH relativeFrom="page">
                  <wp:posOffset>1080820</wp:posOffset>
                </wp:positionH>
                <wp:positionV relativeFrom="paragraph">
                  <wp:posOffset>282654</wp:posOffset>
                </wp:positionV>
                <wp:extent cx="5759450" cy="1285240"/>
                <wp:effectExtent l="0" t="0" r="0" b="0"/>
                <wp:wrapTopAndBottom/>
                <wp:docPr id="662" name="Textbox 662"/>
                <wp:cNvGraphicFramePr>
                  <a:graphicFrameLocks/>
                </wp:cNvGraphicFramePr>
                <a:graphic>
                  <a:graphicData uri="http://schemas.microsoft.com/office/word/2010/wordprocessingShape">
                    <wps:wsp>
                      <wps:cNvPr id="662" name="Textbox 662"/>
                      <wps:cNvSpPr txBox="1"/>
                      <wps:spPr>
                        <a:xfrm>
                          <a:off x="0" y="0"/>
                          <a:ext cx="5759450" cy="1285240"/>
                        </a:xfrm>
                        <a:prstGeom prst="rect">
                          <a:avLst/>
                        </a:prstGeom>
                        <a:ln w="6095">
                          <a:solidFill>
                            <a:srgbClr val="000000"/>
                          </a:solidFill>
                          <a:prstDash val="solid"/>
                        </a:ln>
                      </wps:spPr>
                      <wps:txbx>
                        <w:txbxContent>
                          <w:p>
                            <w:pPr>
                              <w:spacing w:before="0"/>
                              <w:ind w:left="64" w:right="0" w:firstLine="0"/>
                              <w:jc w:val="left"/>
                              <w:rPr>
                                <w:b/>
                                <w:sz w:val="22"/>
                              </w:rPr>
                            </w:pPr>
                            <w:r>
                              <w:rPr>
                                <w:b/>
                                <w:spacing w:val="-2"/>
                                <w:sz w:val="22"/>
                              </w:rPr>
                              <w:t>Revelación:</w:t>
                            </w:r>
                          </w:p>
                          <w:p>
                            <w:pPr>
                              <w:pStyle w:val="BodyText"/>
                              <w:spacing w:before="181"/>
                              <w:ind w:left="64" w:right="64"/>
                              <w:jc w:val="both"/>
                            </w:pPr>
                            <w:r>
                              <w:rPr/>
                              <w:t>La</w:t>
                            </w:r>
                            <w:r>
                              <w:rPr>
                                <w:spacing w:val="-10"/>
                              </w:rPr>
                              <w:t> </w:t>
                            </w:r>
                            <w:r>
                              <w:rPr/>
                              <w:t>cuenta</w:t>
                            </w:r>
                            <w:r>
                              <w:rPr>
                                <w:spacing w:val="-10"/>
                              </w:rPr>
                              <w:t> </w:t>
                            </w:r>
                            <w:r>
                              <w:rPr/>
                              <w:t>Servicios</w:t>
                            </w:r>
                            <w:r>
                              <w:rPr>
                                <w:spacing w:val="-9"/>
                              </w:rPr>
                              <w:t> </w:t>
                            </w:r>
                            <w:r>
                              <w:rPr/>
                              <w:t>básicos,</w:t>
                            </w:r>
                            <w:r>
                              <w:rPr>
                                <w:spacing w:val="-12"/>
                              </w:rPr>
                              <w:t> </w:t>
                            </w:r>
                            <w:r>
                              <w:rPr/>
                              <w:t>representa</w:t>
                            </w:r>
                            <w:r>
                              <w:rPr>
                                <w:spacing w:val="-10"/>
                              </w:rPr>
                              <w:t> </w:t>
                            </w:r>
                            <w:r>
                              <w:rPr/>
                              <w:t>el</w:t>
                            </w:r>
                            <w:r>
                              <w:rPr>
                                <w:spacing w:val="-9"/>
                              </w:rPr>
                              <w:t> </w:t>
                            </w:r>
                            <w:r>
                              <w:rPr/>
                              <w:t>3,55%</w:t>
                            </w:r>
                            <w:r>
                              <w:rPr>
                                <w:spacing w:val="-10"/>
                              </w:rPr>
                              <w:t> </w:t>
                            </w:r>
                            <w:r>
                              <w:rPr/>
                              <w:t>del</w:t>
                            </w:r>
                            <w:r>
                              <w:rPr>
                                <w:spacing w:val="-10"/>
                              </w:rPr>
                              <w:t> </w:t>
                            </w:r>
                            <w:r>
                              <w:rPr/>
                              <w:t>total</w:t>
                            </w:r>
                            <w:r>
                              <w:rPr>
                                <w:spacing w:val="-13"/>
                              </w:rPr>
                              <w:t> </w:t>
                            </w:r>
                            <w:r>
                              <w:rPr/>
                              <w:t>del</w:t>
                            </w:r>
                            <w:r>
                              <w:rPr>
                                <w:spacing w:val="-10"/>
                              </w:rPr>
                              <w:t> </w:t>
                            </w:r>
                            <w:r>
                              <w:rPr/>
                              <w:t>Gastos,</w:t>
                            </w:r>
                            <w:r>
                              <w:rPr>
                                <w:spacing w:val="-14"/>
                              </w:rPr>
                              <w:t> </w:t>
                            </w:r>
                            <w:r>
                              <w:rPr/>
                              <w:t>que</w:t>
                            </w:r>
                            <w:r>
                              <w:rPr>
                                <w:spacing w:val="-11"/>
                              </w:rPr>
                              <w:t> </w:t>
                            </w:r>
                            <w:r>
                              <w:rPr/>
                              <w:t>comparado</w:t>
                            </w:r>
                            <w:r>
                              <w:rPr>
                                <w:spacing w:val="-14"/>
                              </w:rPr>
                              <w:t> </w:t>
                            </w:r>
                            <w:r>
                              <w:rPr/>
                              <w:t>al</w:t>
                            </w:r>
                            <w:r>
                              <w:rPr>
                                <w:spacing w:val="-10"/>
                              </w:rPr>
                              <w:t> </w:t>
                            </w:r>
                            <w:r>
                              <w:rPr/>
                              <w:t>periodo</w:t>
                            </w:r>
                            <w:r>
                              <w:rPr>
                                <w:spacing w:val="-9"/>
                              </w:rPr>
                              <w:t> </w:t>
                            </w:r>
                            <w:r>
                              <w:rPr/>
                              <w:t>anterior genera</w:t>
                            </w:r>
                            <w:r>
                              <w:rPr>
                                <w:spacing w:val="-7"/>
                              </w:rPr>
                              <w:t> </w:t>
                            </w:r>
                            <w:r>
                              <w:rPr/>
                              <w:t>una</w:t>
                            </w:r>
                            <w:r>
                              <w:rPr>
                                <w:spacing w:val="-7"/>
                              </w:rPr>
                              <w:t> </w:t>
                            </w:r>
                            <w:r>
                              <w:rPr/>
                              <w:t>variación</w:t>
                            </w:r>
                            <w:r>
                              <w:rPr>
                                <w:spacing w:val="-6"/>
                              </w:rPr>
                              <w:t> </w:t>
                            </w:r>
                            <w:r>
                              <w:rPr/>
                              <w:t>absoluta</w:t>
                            </w:r>
                            <w:r>
                              <w:rPr>
                                <w:spacing w:val="-7"/>
                              </w:rPr>
                              <w:t> </w:t>
                            </w:r>
                            <w:r>
                              <w:rPr/>
                              <w:t>de</w:t>
                            </w:r>
                            <w:r>
                              <w:rPr>
                                <w:spacing w:val="-8"/>
                              </w:rPr>
                              <w:t> </w:t>
                            </w:r>
                            <w:r>
                              <w:rPr/>
                              <w:t>¢</w:t>
                            </w:r>
                            <w:r>
                              <w:rPr>
                                <w:spacing w:val="-6"/>
                              </w:rPr>
                              <w:t> </w:t>
                            </w:r>
                            <w:r>
                              <w:rPr/>
                              <w:t>140.604,50</w:t>
                            </w:r>
                            <w:r>
                              <w:rPr>
                                <w:spacing w:val="-6"/>
                              </w:rPr>
                              <w:t> </w:t>
                            </w:r>
                            <w:r>
                              <w:rPr/>
                              <w:t>que</w:t>
                            </w:r>
                            <w:r>
                              <w:rPr>
                                <w:spacing w:val="-7"/>
                              </w:rPr>
                              <w:t> </w:t>
                            </w:r>
                            <w:r>
                              <w:rPr/>
                              <w:t>corresponde</w:t>
                            </w:r>
                            <w:r>
                              <w:rPr>
                                <w:spacing w:val="-7"/>
                              </w:rPr>
                              <w:t> </w:t>
                            </w:r>
                            <w:r>
                              <w:rPr/>
                              <w:t>a</w:t>
                            </w:r>
                            <w:r>
                              <w:rPr>
                                <w:spacing w:val="-7"/>
                              </w:rPr>
                              <w:t> </w:t>
                            </w:r>
                            <w:r>
                              <w:rPr/>
                              <w:t>un</w:t>
                            </w:r>
                            <w:r>
                              <w:rPr>
                                <w:spacing w:val="-6"/>
                              </w:rPr>
                              <w:t> </w:t>
                            </w:r>
                            <w:r>
                              <w:rPr/>
                              <w:t>incremento</w:t>
                            </w:r>
                            <w:r>
                              <w:rPr>
                                <w:spacing w:val="-6"/>
                              </w:rPr>
                              <w:t> </w:t>
                            </w:r>
                            <w:r>
                              <w:rPr/>
                              <w:t>del</w:t>
                            </w:r>
                            <w:r>
                              <w:rPr>
                                <w:spacing w:val="-7"/>
                              </w:rPr>
                              <w:t> </w:t>
                            </w:r>
                            <w:r>
                              <w:rPr/>
                              <w:t>3,15%</w:t>
                            </w:r>
                            <w:r>
                              <w:rPr>
                                <w:spacing w:val="-6"/>
                              </w:rPr>
                              <w:t> </w:t>
                            </w:r>
                            <w:r>
                              <w:rPr/>
                              <w:t>de</w:t>
                            </w:r>
                            <w:r>
                              <w:rPr>
                                <w:spacing w:val="-8"/>
                              </w:rPr>
                              <w:t> </w:t>
                            </w:r>
                            <w:r>
                              <w:rPr/>
                              <w:t>recursos </w:t>
                            </w:r>
                            <w:r>
                              <w:rPr>
                                <w:spacing w:val="-2"/>
                              </w:rPr>
                              <w:t>disponibles.</w:t>
                            </w:r>
                          </w:p>
                          <w:p>
                            <w:pPr>
                              <w:spacing w:before="251"/>
                              <w:ind w:left="64" w:right="0" w:firstLine="0"/>
                              <w:jc w:val="both"/>
                              <w:rPr>
                                <w:b/>
                                <w:sz w:val="22"/>
                              </w:rPr>
                            </w:pPr>
                            <w:r>
                              <w:rPr>
                                <w:b/>
                                <w:sz w:val="22"/>
                              </w:rPr>
                              <w:t>Análisis</w:t>
                            </w:r>
                            <w:r>
                              <w:rPr>
                                <w:b/>
                                <w:spacing w:val="-4"/>
                                <w:sz w:val="22"/>
                              </w:rPr>
                              <w:t> </w:t>
                            </w:r>
                            <w:r>
                              <w:rPr>
                                <w:b/>
                                <w:sz w:val="22"/>
                              </w:rPr>
                              <w:t>de</w:t>
                            </w:r>
                            <w:r>
                              <w:rPr>
                                <w:b/>
                                <w:spacing w:val="-2"/>
                                <w:sz w:val="22"/>
                              </w:rPr>
                              <w:t> </w:t>
                            </w:r>
                            <w:r>
                              <w:rPr>
                                <w:b/>
                                <w:sz w:val="22"/>
                              </w:rPr>
                              <w:t>la</w:t>
                            </w:r>
                            <w:r>
                              <w:rPr>
                                <w:b/>
                                <w:spacing w:val="-5"/>
                                <w:sz w:val="22"/>
                              </w:rPr>
                              <w:t> </w:t>
                            </w:r>
                            <w:r>
                              <w:rPr>
                                <w:b/>
                                <w:sz w:val="22"/>
                              </w:rPr>
                              <w:t>principal</w:t>
                            </w:r>
                            <w:r>
                              <w:rPr>
                                <w:b/>
                                <w:spacing w:val="-3"/>
                                <w:sz w:val="22"/>
                              </w:rPr>
                              <w:t> </w:t>
                            </w:r>
                            <w:r>
                              <w:rPr>
                                <w:b/>
                                <w:spacing w:val="-2"/>
                                <w:sz w:val="22"/>
                              </w:rPr>
                              <w:t>variación</w:t>
                            </w:r>
                          </w:p>
                        </w:txbxContent>
                      </wps:txbx>
                      <wps:bodyPr wrap="square" lIns="0" tIns="0" rIns="0" bIns="0" rtlCol="0">
                        <a:noAutofit/>
                      </wps:bodyPr>
                    </wps:wsp>
                  </a:graphicData>
                </a:graphic>
              </wp:anchor>
            </w:drawing>
          </mc:Choice>
          <mc:Fallback>
            <w:pict>
              <v:shape style="position:absolute;margin-left:85.103996pt;margin-top:22.25625pt;width:453.5pt;height:101.2pt;mso-position-horizontal-relative:page;mso-position-vertical-relative:paragraph;z-index:-15595520;mso-wrap-distance-left:0;mso-wrap-distance-right:0" type="#_x0000_t202" id="docshape640" filled="false" stroked="true" strokeweight=".47998pt" strokecolor="#000000">
                <v:textbox inset="0,0,0,0">
                  <w:txbxContent>
                    <w:p>
                      <w:pPr>
                        <w:spacing w:before="0"/>
                        <w:ind w:left="64" w:right="0" w:firstLine="0"/>
                        <w:jc w:val="left"/>
                        <w:rPr>
                          <w:b/>
                          <w:sz w:val="22"/>
                        </w:rPr>
                      </w:pPr>
                      <w:r>
                        <w:rPr>
                          <w:b/>
                          <w:spacing w:val="-2"/>
                          <w:sz w:val="22"/>
                        </w:rPr>
                        <w:t>Revelación:</w:t>
                      </w:r>
                    </w:p>
                    <w:p>
                      <w:pPr>
                        <w:pStyle w:val="BodyText"/>
                        <w:spacing w:before="181"/>
                        <w:ind w:left="64" w:right="64"/>
                        <w:jc w:val="both"/>
                      </w:pPr>
                      <w:r>
                        <w:rPr/>
                        <w:t>La</w:t>
                      </w:r>
                      <w:r>
                        <w:rPr>
                          <w:spacing w:val="-10"/>
                        </w:rPr>
                        <w:t> </w:t>
                      </w:r>
                      <w:r>
                        <w:rPr/>
                        <w:t>cuenta</w:t>
                      </w:r>
                      <w:r>
                        <w:rPr>
                          <w:spacing w:val="-10"/>
                        </w:rPr>
                        <w:t> </w:t>
                      </w:r>
                      <w:r>
                        <w:rPr/>
                        <w:t>Servicios</w:t>
                      </w:r>
                      <w:r>
                        <w:rPr>
                          <w:spacing w:val="-9"/>
                        </w:rPr>
                        <w:t> </w:t>
                      </w:r>
                      <w:r>
                        <w:rPr/>
                        <w:t>básicos,</w:t>
                      </w:r>
                      <w:r>
                        <w:rPr>
                          <w:spacing w:val="-12"/>
                        </w:rPr>
                        <w:t> </w:t>
                      </w:r>
                      <w:r>
                        <w:rPr/>
                        <w:t>representa</w:t>
                      </w:r>
                      <w:r>
                        <w:rPr>
                          <w:spacing w:val="-10"/>
                        </w:rPr>
                        <w:t> </w:t>
                      </w:r>
                      <w:r>
                        <w:rPr/>
                        <w:t>el</w:t>
                      </w:r>
                      <w:r>
                        <w:rPr>
                          <w:spacing w:val="-9"/>
                        </w:rPr>
                        <w:t> </w:t>
                      </w:r>
                      <w:r>
                        <w:rPr/>
                        <w:t>3,55%</w:t>
                      </w:r>
                      <w:r>
                        <w:rPr>
                          <w:spacing w:val="-10"/>
                        </w:rPr>
                        <w:t> </w:t>
                      </w:r>
                      <w:r>
                        <w:rPr/>
                        <w:t>del</w:t>
                      </w:r>
                      <w:r>
                        <w:rPr>
                          <w:spacing w:val="-10"/>
                        </w:rPr>
                        <w:t> </w:t>
                      </w:r>
                      <w:r>
                        <w:rPr/>
                        <w:t>total</w:t>
                      </w:r>
                      <w:r>
                        <w:rPr>
                          <w:spacing w:val="-13"/>
                        </w:rPr>
                        <w:t> </w:t>
                      </w:r>
                      <w:r>
                        <w:rPr/>
                        <w:t>del</w:t>
                      </w:r>
                      <w:r>
                        <w:rPr>
                          <w:spacing w:val="-10"/>
                        </w:rPr>
                        <w:t> </w:t>
                      </w:r>
                      <w:r>
                        <w:rPr/>
                        <w:t>Gastos,</w:t>
                      </w:r>
                      <w:r>
                        <w:rPr>
                          <w:spacing w:val="-14"/>
                        </w:rPr>
                        <w:t> </w:t>
                      </w:r>
                      <w:r>
                        <w:rPr/>
                        <w:t>que</w:t>
                      </w:r>
                      <w:r>
                        <w:rPr>
                          <w:spacing w:val="-11"/>
                        </w:rPr>
                        <w:t> </w:t>
                      </w:r>
                      <w:r>
                        <w:rPr/>
                        <w:t>comparado</w:t>
                      </w:r>
                      <w:r>
                        <w:rPr>
                          <w:spacing w:val="-14"/>
                        </w:rPr>
                        <w:t> </w:t>
                      </w:r>
                      <w:r>
                        <w:rPr/>
                        <w:t>al</w:t>
                      </w:r>
                      <w:r>
                        <w:rPr>
                          <w:spacing w:val="-10"/>
                        </w:rPr>
                        <w:t> </w:t>
                      </w:r>
                      <w:r>
                        <w:rPr/>
                        <w:t>periodo</w:t>
                      </w:r>
                      <w:r>
                        <w:rPr>
                          <w:spacing w:val="-9"/>
                        </w:rPr>
                        <w:t> </w:t>
                      </w:r>
                      <w:r>
                        <w:rPr/>
                        <w:t>anterior genera</w:t>
                      </w:r>
                      <w:r>
                        <w:rPr>
                          <w:spacing w:val="-7"/>
                        </w:rPr>
                        <w:t> </w:t>
                      </w:r>
                      <w:r>
                        <w:rPr/>
                        <w:t>una</w:t>
                      </w:r>
                      <w:r>
                        <w:rPr>
                          <w:spacing w:val="-7"/>
                        </w:rPr>
                        <w:t> </w:t>
                      </w:r>
                      <w:r>
                        <w:rPr/>
                        <w:t>variación</w:t>
                      </w:r>
                      <w:r>
                        <w:rPr>
                          <w:spacing w:val="-6"/>
                        </w:rPr>
                        <w:t> </w:t>
                      </w:r>
                      <w:r>
                        <w:rPr/>
                        <w:t>absoluta</w:t>
                      </w:r>
                      <w:r>
                        <w:rPr>
                          <w:spacing w:val="-7"/>
                        </w:rPr>
                        <w:t> </w:t>
                      </w:r>
                      <w:r>
                        <w:rPr/>
                        <w:t>de</w:t>
                      </w:r>
                      <w:r>
                        <w:rPr>
                          <w:spacing w:val="-8"/>
                        </w:rPr>
                        <w:t> </w:t>
                      </w:r>
                      <w:r>
                        <w:rPr/>
                        <w:t>¢</w:t>
                      </w:r>
                      <w:r>
                        <w:rPr>
                          <w:spacing w:val="-6"/>
                        </w:rPr>
                        <w:t> </w:t>
                      </w:r>
                      <w:r>
                        <w:rPr/>
                        <w:t>140.604,50</w:t>
                      </w:r>
                      <w:r>
                        <w:rPr>
                          <w:spacing w:val="-6"/>
                        </w:rPr>
                        <w:t> </w:t>
                      </w:r>
                      <w:r>
                        <w:rPr/>
                        <w:t>que</w:t>
                      </w:r>
                      <w:r>
                        <w:rPr>
                          <w:spacing w:val="-7"/>
                        </w:rPr>
                        <w:t> </w:t>
                      </w:r>
                      <w:r>
                        <w:rPr/>
                        <w:t>corresponde</w:t>
                      </w:r>
                      <w:r>
                        <w:rPr>
                          <w:spacing w:val="-7"/>
                        </w:rPr>
                        <w:t> </w:t>
                      </w:r>
                      <w:r>
                        <w:rPr/>
                        <w:t>a</w:t>
                      </w:r>
                      <w:r>
                        <w:rPr>
                          <w:spacing w:val="-7"/>
                        </w:rPr>
                        <w:t> </w:t>
                      </w:r>
                      <w:r>
                        <w:rPr/>
                        <w:t>un</w:t>
                      </w:r>
                      <w:r>
                        <w:rPr>
                          <w:spacing w:val="-6"/>
                        </w:rPr>
                        <w:t> </w:t>
                      </w:r>
                      <w:r>
                        <w:rPr/>
                        <w:t>incremento</w:t>
                      </w:r>
                      <w:r>
                        <w:rPr>
                          <w:spacing w:val="-6"/>
                        </w:rPr>
                        <w:t> </w:t>
                      </w:r>
                      <w:r>
                        <w:rPr/>
                        <w:t>del</w:t>
                      </w:r>
                      <w:r>
                        <w:rPr>
                          <w:spacing w:val="-7"/>
                        </w:rPr>
                        <w:t> </w:t>
                      </w:r>
                      <w:r>
                        <w:rPr/>
                        <w:t>3,15%</w:t>
                      </w:r>
                      <w:r>
                        <w:rPr>
                          <w:spacing w:val="-6"/>
                        </w:rPr>
                        <w:t> </w:t>
                      </w:r>
                      <w:r>
                        <w:rPr/>
                        <w:t>de</w:t>
                      </w:r>
                      <w:r>
                        <w:rPr>
                          <w:spacing w:val="-8"/>
                        </w:rPr>
                        <w:t> </w:t>
                      </w:r>
                      <w:r>
                        <w:rPr/>
                        <w:t>recursos </w:t>
                      </w:r>
                      <w:r>
                        <w:rPr>
                          <w:spacing w:val="-2"/>
                        </w:rPr>
                        <w:t>disponibles.</w:t>
                      </w:r>
                    </w:p>
                    <w:p>
                      <w:pPr>
                        <w:spacing w:before="251"/>
                        <w:ind w:left="64" w:right="0" w:firstLine="0"/>
                        <w:jc w:val="both"/>
                        <w:rPr>
                          <w:b/>
                          <w:sz w:val="22"/>
                        </w:rPr>
                      </w:pPr>
                      <w:r>
                        <w:rPr>
                          <w:b/>
                          <w:sz w:val="22"/>
                        </w:rPr>
                        <w:t>Análisis</w:t>
                      </w:r>
                      <w:r>
                        <w:rPr>
                          <w:b/>
                          <w:spacing w:val="-4"/>
                          <w:sz w:val="22"/>
                        </w:rPr>
                        <w:t> </w:t>
                      </w:r>
                      <w:r>
                        <w:rPr>
                          <w:b/>
                          <w:sz w:val="22"/>
                        </w:rPr>
                        <w:t>de</w:t>
                      </w:r>
                      <w:r>
                        <w:rPr>
                          <w:b/>
                          <w:spacing w:val="-2"/>
                          <w:sz w:val="22"/>
                        </w:rPr>
                        <w:t> </w:t>
                      </w:r>
                      <w:r>
                        <w:rPr>
                          <w:b/>
                          <w:sz w:val="22"/>
                        </w:rPr>
                        <w:t>la</w:t>
                      </w:r>
                      <w:r>
                        <w:rPr>
                          <w:b/>
                          <w:spacing w:val="-5"/>
                          <w:sz w:val="22"/>
                        </w:rPr>
                        <w:t> </w:t>
                      </w:r>
                      <w:r>
                        <w:rPr>
                          <w:b/>
                          <w:sz w:val="22"/>
                        </w:rPr>
                        <w:t>principal</w:t>
                      </w:r>
                      <w:r>
                        <w:rPr>
                          <w:b/>
                          <w:spacing w:val="-3"/>
                          <w:sz w:val="22"/>
                        </w:rPr>
                        <w:t> </w:t>
                      </w:r>
                      <w:r>
                        <w:rPr>
                          <w:b/>
                          <w:spacing w:val="-2"/>
                          <w:sz w:val="22"/>
                        </w:rPr>
                        <w:t>variación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58880">
                <wp:simplePos x="0" y="0"/>
                <wp:positionH relativeFrom="page">
                  <wp:posOffset>9525</wp:posOffset>
                </wp:positionH>
                <wp:positionV relativeFrom="page">
                  <wp:posOffset>297208</wp:posOffset>
                </wp:positionV>
                <wp:extent cx="7762875" cy="9748520"/>
                <wp:effectExtent l="0" t="0" r="0" b="0"/>
                <wp:wrapNone/>
                <wp:docPr id="663" name="Group 663"/>
                <wp:cNvGraphicFramePr>
                  <a:graphicFrameLocks/>
                </wp:cNvGraphicFramePr>
                <a:graphic>
                  <a:graphicData uri="http://schemas.microsoft.com/office/word/2010/wordprocessingGroup">
                    <wpg:wgp>
                      <wpg:cNvPr id="663" name="Group 663"/>
                      <wpg:cNvGrpSpPr/>
                      <wpg:grpSpPr>
                        <a:xfrm>
                          <a:off x="0" y="0"/>
                          <a:ext cx="7762875" cy="9748520"/>
                          <a:chExt cx="7762875" cy="9748520"/>
                        </a:xfrm>
                      </wpg:grpSpPr>
                      <pic:pic>
                        <pic:nvPicPr>
                          <pic:cNvPr id="664" name="Image 664"/>
                          <pic:cNvPicPr/>
                        </pic:nvPicPr>
                        <pic:blipFill>
                          <a:blip r:embed="rId5" cstate="print"/>
                          <a:stretch>
                            <a:fillRect/>
                          </a:stretch>
                        </pic:blipFill>
                        <pic:spPr>
                          <a:xfrm>
                            <a:off x="0" y="0"/>
                            <a:ext cx="7762874" cy="9748489"/>
                          </a:xfrm>
                          <a:prstGeom prst="rect">
                            <a:avLst/>
                          </a:prstGeom>
                        </pic:spPr>
                      </pic:pic>
                      <wps:wsp>
                        <wps:cNvPr id="665" name="Graphic 665"/>
                        <wps:cNvSpPr/>
                        <wps:spPr>
                          <a:xfrm>
                            <a:off x="1053007" y="990837"/>
                            <a:ext cx="5780405" cy="7807325"/>
                          </a:xfrm>
                          <a:custGeom>
                            <a:avLst/>
                            <a:gdLst/>
                            <a:ahLst/>
                            <a:cxnLst/>
                            <a:rect l="l" t="t" r="r" b="b"/>
                            <a:pathLst>
                              <a:path w="5780405" h="7807325">
                                <a:moveTo>
                                  <a:pt x="21336" y="132651"/>
                                </a:moveTo>
                                <a:lnTo>
                                  <a:pt x="15240" y="132651"/>
                                </a:lnTo>
                                <a:lnTo>
                                  <a:pt x="15240" y="7800784"/>
                                </a:lnTo>
                                <a:lnTo>
                                  <a:pt x="21336" y="7800784"/>
                                </a:lnTo>
                                <a:lnTo>
                                  <a:pt x="21336" y="132651"/>
                                </a:lnTo>
                                <a:close/>
                              </a:path>
                              <a:path w="5780405" h="7807325">
                                <a:moveTo>
                                  <a:pt x="5649214" y="0"/>
                                </a:moveTo>
                                <a:lnTo>
                                  <a:pt x="0" y="0"/>
                                </a:lnTo>
                                <a:lnTo>
                                  <a:pt x="0" y="9131"/>
                                </a:lnTo>
                                <a:lnTo>
                                  <a:pt x="5649214" y="9131"/>
                                </a:lnTo>
                                <a:lnTo>
                                  <a:pt x="5649214" y="0"/>
                                </a:lnTo>
                                <a:close/>
                              </a:path>
                              <a:path w="5780405" h="7807325">
                                <a:moveTo>
                                  <a:pt x="5780214" y="7800797"/>
                                </a:moveTo>
                                <a:lnTo>
                                  <a:pt x="5774182" y="7800797"/>
                                </a:lnTo>
                                <a:lnTo>
                                  <a:pt x="21336" y="7800797"/>
                                </a:lnTo>
                                <a:lnTo>
                                  <a:pt x="15240" y="7800797"/>
                                </a:lnTo>
                                <a:lnTo>
                                  <a:pt x="15240" y="7806880"/>
                                </a:lnTo>
                                <a:lnTo>
                                  <a:pt x="21336" y="7806880"/>
                                </a:lnTo>
                                <a:lnTo>
                                  <a:pt x="5774131" y="7806880"/>
                                </a:lnTo>
                                <a:lnTo>
                                  <a:pt x="5780214" y="7806880"/>
                                </a:lnTo>
                                <a:lnTo>
                                  <a:pt x="5780214" y="7800797"/>
                                </a:lnTo>
                                <a:close/>
                              </a:path>
                              <a:path w="5780405" h="7807325">
                                <a:moveTo>
                                  <a:pt x="5780214" y="132651"/>
                                </a:moveTo>
                                <a:lnTo>
                                  <a:pt x="5774131" y="132651"/>
                                </a:lnTo>
                                <a:lnTo>
                                  <a:pt x="5774131" y="7800784"/>
                                </a:lnTo>
                                <a:lnTo>
                                  <a:pt x="5780214" y="7800784"/>
                                </a:lnTo>
                                <a:lnTo>
                                  <a:pt x="5780214" y="132651"/>
                                </a:lnTo>
                                <a:close/>
                              </a:path>
                              <a:path w="5780405" h="7807325">
                                <a:moveTo>
                                  <a:pt x="5780214" y="126479"/>
                                </a:moveTo>
                                <a:lnTo>
                                  <a:pt x="5774182" y="126479"/>
                                </a:lnTo>
                                <a:lnTo>
                                  <a:pt x="21336" y="126479"/>
                                </a:lnTo>
                                <a:lnTo>
                                  <a:pt x="15240" y="126479"/>
                                </a:lnTo>
                                <a:lnTo>
                                  <a:pt x="15240" y="132575"/>
                                </a:lnTo>
                                <a:lnTo>
                                  <a:pt x="21336" y="132575"/>
                                </a:lnTo>
                                <a:lnTo>
                                  <a:pt x="5774131" y="132575"/>
                                </a:lnTo>
                                <a:lnTo>
                                  <a:pt x="5780214" y="132575"/>
                                </a:lnTo>
                                <a:lnTo>
                                  <a:pt x="5780214" y="126479"/>
                                </a:lnTo>
                                <a:close/>
                              </a:path>
                            </a:pathLst>
                          </a:custGeom>
                          <a:solidFill>
                            <a:srgbClr val="000000"/>
                          </a:solidFill>
                        </wps:spPr>
                        <wps:bodyPr wrap="square" lIns="0" tIns="0" rIns="0" bIns="0" rtlCol="0">
                          <a:prstTxWarp prst="textNoShape">
                            <a:avLst/>
                          </a:prstTxWarp>
                          <a:noAutofit/>
                        </wps:bodyPr>
                      </wps:wsp>
                      <pic:pic>
                        <pic:nvPicPr>
                          <pic:cNvPr id="666" name="Image 666"/>
                          <pic:cNvPicPr/>
                        </pic:nvPicPr>
                        <pic:blipFill>
                          <a:blip r:embed="rId76" cstate="print"/>
                          <a:stretch>
                            <a:fillRect/>
                          </a:stretch>
                        </pic:blipFill>
                        <pic:spPr>
                          <a:xfrm>
                            <a:off x="1586864" y="2518127"/>
                            <a:ext cx="4718050" cy="1763902"/>
                          </a:xfrm>
                          <a:prstGeom prst="rect">
                            <a:avLst/>
                          </a:prstGeom>
                        </pic:spPr>
                      </pic:pic>
                      <pic:pic>
                        <pic:nvPicPr>
                          <pic:cNvPr id="667" name="Image 667"/>
                          <pic:cNvPicPr/>
                        </pic:nvPicPr>
                        <pic:blipFill>
                          <a:blip r:embed="rId77" cstate="print"/>
                          <a:stretch>
                            <a:fillRect/>
                          </a:stretch>
                        </pic:blipFill>
                        <pic:spPr>
                          <a:xfrm>
                            <a:off x="1443989" y="4863436"/>
                            <a:ext cx="5010150" cy="334899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7600" id="docshapegroup641" coordorigin="15,468" coordsize="12225,15352">
                <v:shape style="position:absolute;left:15;top:468;width:12225;height:15352" type="#_x0000_t75" id="docshape642" stroked="false">
                  <v:imagedata r:id="rId5" o:title=""/>
                </v:shape>
                <v:shape style="position:absolute;left:1673;top:2028;width:9103;height:12295" id="docshape643" coordorigin="1673,2028" coordsize="9103,12295" path="m1707,2237l1697,2237,1697,14313,1707,14313,1707,2237xm10570,2028l1673,2028,1673,2043,10570,2043,10570,2028xm10776,14313l10766,14313,10766,14313,1707,14313,1697,14313,1697,14323,1707,14323,10766,14323,10766,14323,10776,14323,10776,14313xm10776,2237l10766,2237,10766,14313,10776,14313,10776,2237xm10776,2228l10766,2228,10766,2228,1707,2228,1697,2228,1697,2237,1707,2237,10766,2237,10766,2237,10776,2237,10776,2228xe" filled="true" fillcolor="#000000" stroked="false">
                  <v:path arrowok="t"/>
                  <v:fill type="solid"/>
                </v:shape>
                <v:shape style="position:absolute;left:2514;top:4433;width:7430;height:2778" type="#_x0000_t75" id="docshape644" stroked="false">
                  <v:imagedata r:id="rId76" o:title=""/>
                </v:shape>
                <v:shape style="position:absolute;left:2289;top:8127;width:7890;height:5274" type="#_x0000_t75" id="docshape645" stroked="false">
                  <v:imagedata r:id="rId77" o:title=""/>
                </v:shape>
                <w10:wrap type="none"/>
              </v:group>
            </w:pict>
          </mc:Fallback>
        </mc:AlternateContent>
      </w:r>
      <w:r>
        <w:rPr>
          <w:color w:val="172951"/>
          <w:sz w:val="20"/>
        </w:rPr>
        <w:t>Pág.</w:t>
      </w:r>
      <w:r>
        <w:rPr>
          <w:color w:val="172951"/>
          <w:spacing w:val="-7"/>
          <w:sz w:val="20"/>
        </w:rPr>
        <w:t> </w:t>
      </w:r>
      <w:r>
        <w:rPr>
          <w:color w:val="172951"/>
          <w:spacing w:val="-5"/>
          <w:sz w:val="20"/>
        </w:rPr>
        <w:t>134</w:t>
      </w:r>
    </w:p>
    <w:p>
      <w:pPr>
        <w:pStyle w:val="BodyText"/>
        <w:spacing w:before="227"/>
        <w:ind w:left="691" w:right="817"/>
        <w:jc w:val="both"/>
      </w:pPr>
      <w:r>
        <w:rPr/>
        <w:t>La cuenta de gestión y apoyo es la partida con mayor peso en esta categoría, representa el 1.24% del total</w:t>
      </w:r>
      <w:r>
        <w:rPr>
          <w:spacing w:val="-5"/>
        </w:rPr>
        <w:t> </w:t>
      </w:r>
      <w:r>
        <w:rPr/>
        <w:t>del</w:t>
      </w:r>
      <w:r>
        <w:rPr>
          <w:spacing w:val="-4"/>
        </w:rPr>
        <w:t> </w:t>
      </w:r>
      <w:r>
        <w:rPr/>
        <w:t>Gastos,</w:t>
      </w:r>
      <w:r>
        <w:rPr>
          <w:spacing w:val="-4"/>
        </w:rPr>
        <w:t> </w:t>
      </w:r>
      <w:r>
        <w:rPr/>
        <w:t>que</w:t>
      </w:r>
      <w:r>
        <w:rPr>
          <w:spacing w:val="-5"/>
        </w:rPr>
        <w:t> </w:t>
      </w:r>
      <w:r>
        <w:rPr/>
        <w:t>comparado</w:t>
      </w:r>
      <w:r>
        <w:rPr>
          <w:spacing w:val="-3"/>
        </w:rPr>
        <w:t> </w:t>
      </w:r>
      <w:r>
        <w:rPr/>
        <w:t>al</w:t>
      </w:r>
      <w:r>
        <w:rPr>
          <w:spacing w:val="-4"/>
        </w:rPr>
        <w:t> </w:t>
      </w:r>
      <w:r>
        <w:rPr/>
        <w:t>periodo</w:t>
      </w:r>
      <w:r>
        <w:rPr>
          <w:spacing w:val="-3"/>
        </w:rPr>
        <w:t> </w:t>
      </w:r>
      <w:r>
        <w:rPr/>
        <w:t>anterior</w:t>
      </w:r>
      <w:r>
        <w:rPr>
          <w:spacing w:val="-4"/>
        </w:rPr>
        <w:t> </w:t>
      </w:r>
      <w:r>
        <w:rPr/>
        <w:t>genera</w:t>
      </w:r>
      <w:r>
        <w:rPr>
          <w:spacing w:val="-4"/>
        </w:rPr>
        <w:t> </w:t>
      </w:r>
      <w:r>
        <w:rPr/>
        <w:t>una</w:t>
      </w:r>
      <w:r>
        <w:rPr>
          <w:spacing w:val="-4"/>
        </w:rPr>
        <w:t> </w:t>
      </w:r>
      <w:r>
        <w:rPr/>
        <w:t>variación</w:t>
      </w:r>
      <w:r>
        <w:rPr>
          <w:spacing w:val="-3"/>
        </w:rPr>
        <w:t> </w:t>
      </w:r>
      <w:r>
        <w:rPr/>
        <w:t>absoluta</w:t>
      </w:r>
      <w:r>
        <w:rPr>
          <w:spacing w:val="-4"/>
        </w:rPr>
        <w:t> </w:t>
      </w:r>
      <w:r>
        <w:rPr/>
        <w:t>de</w:t>
      </w:r>
      <w:r>
        <w:rPr>
          <w:spacing w:val="-5"/>
        </w:rPr>
        <w:t> </w:t>
      </w:r>
      <w:r>
        <w:rPr/>
        <w:t>¢</w:t>
      </w:r>
      <w:r>
        <w:rPr>
          <w:spacing w:val="-2"/>
        </w:rPr>
        <w:t> </w:t>
      </w:r>
      <w:r>
        <w:rPr/>
        <w:t>125.514,34</w:t>
      </w:r>
      <w:r>
        <w:rPr>
          <w:spacing w:val="-4"/>
        </w:rPr>
        <w:t> </w:t>
      </w:r>
      <w:r>
        <w:rPr/>
        <w:t>que corresponde a un incremento del 8,42 % de recursos disponibles.</w:t>
      </w:r>
    </w:p>
    <w:p>
      <w:pPr>
        <w:pStyle w:val="BodyText"/>
      </w:pPr>
    </w:p>
    <w:p>
      <w:pPr>
        <w:pStyle w:val="BodyText"/>
        <w:spacing w:before="77"/>
      </w:pPr>
    </w:p>
    <w:p>
      <w:pPr>
        <w:pStyle w:val="Heading6"/>
        <w:spacing w:before="1"/>
        <w:ind w:left="691"/>
        <w:jc w:val="both"/>
      </w:pPr>
      <w:r>
        <w:rPr/>
        <w:t>Detalle</w:t>
      </w:r>
      <w:r>
        <w:rPr>
          <w:spacing w:val="-5"/>
        </w:rPr>
        <w:t> </w:t>
      </w:r>
      <w:r>
        <w:rPr/>
        <w:t>de</w:t>
      </w:r>
      <w:r>
        <w:rPr>
          <w:spacing w:val="-1"/>
        </w:rPr>
        <w:t> </w:t>
      </w:r>
      <w:r>
        <w:rPr/>
        <w:t>la</w:t>
      </w:r>
      <w:r>
        <w:rPr>
          <w:spacing w:val="-5"/>
        </w:rPr>
        <w:t> </w:t>
      </w:r>
      <w:r>
        <w:rPr/>
        <w:t>composición</w:t>
      </w:r>
      <w:r>
        <w:rPr>
          <w:spacing w:val="-2"/>
        </w:rPr>
        <w:t> </w:t>
      </w:r>
      <w:r>
        <w:rPr/>
        <w:t>del</w:t>
      </w:r>
      <w:r>
        <w:rPr>
          <w:spacing w:val="-2"/>
        </w:rPr>
        <w:t> saldo</w:t>
      </w:r>
    </w:p>
    <w:p>
      <w:pPr>
        <w:pStyle w:val="BodyText"/>
        <w:spacing w:before="37"/>
        <w:ind w:left="691"/>
        <w:jc w:val="both"/>
      </w:pPr>
      <w:r>
        <w:rPr/>
        <w:t>La</w:t>
      </w:r>
      <w:r>
        <w:rPr>
          <w:spacing w:val="-4"/>
        </w:rPr>
        <w:t> </w:t>
      </w:r>
      <w:r>
        <w:rPr/>
        <w:t>composición</w:t>
      </w:r>
      <w:r>
        <w:rPr>
          <w:spacing w:val="-3"/>
        </w:rPr>
        <w:t> </w:t>
      </w:r>
      <w:r>
        <w:rPr/>
        <w:t>de</w:t>
      </w:r>
      <w:r>
        <w:rPr>
          <w:spacing w:val="-4"/>
        </w:rPr>
        <w:t> </w:t>
      </w:r>
      <w:r>
        <w:rPr/>
        <w:t>la</w:t>
      </w:r>
      <w:r>
        <w:rPr>
          <w:spacing w:val="-5"/>
        </w:rPr>
        <w:t> </w:t>
      </w:r>
      <w:r>
        <w:rPr/>
        <w:t>cuenta</w:t>
      </w:r>
      <w:r>
        <w:rPr>
          <w:spacing w:val="-2"/>
        </w:rPr>
        <w:t> </w:t>
      </w:r>
      <w:r>
        <w:rPr/>
        <w:t>Servicios</w:t>
      </w:r>
      <w:r>
        <w:rPr>
          <w:spacing w:val="-2"/>
        </w:rPr>
        <w:t> </w:t>
      </w:r>
      <w:r>
        <w:rPr/>
        <w:t>a</w:t>
      </w:r>
      <w:r>
        <w:rPr>
          <w:spacing w:val="-3"/>
        </w:rPr>
        <w:t> </w:t>
      </w:r>
      <w:r>
        <w:rPr/>
        <w:t>julio</w:t>
      </w:r>
      <w:r>
        <w:rPr>
          <w:spacing w:val="-1"/>
        </w:rPr>
        <w:t> </w:t>
      </w:r>
      <w:r>
        <w:rPr/>
        <w:t>2026</w:t>
      </w:r>
      <w:r>
        <w:rPr>
          <w:spacing w:val="-5"/>
        </w:rPr>
        <w:t> </w:t>
      </w:r>
      <w:r>
        <w:rPr/>
        <w:t>es</w:t>
      </w:r>
      <w:r>
        <w:rPr>
          <w:spacing w:val="-2"/>
        </w:rPr>
        <w:t> </w:t>
      </w:r>
      <w:r>
        <w:rPr/>
        <w:t>la</w:t>
      </w:r>
      <w:r>
        <w:rPr>
          <w:spacing w:val="-6"/>
        </w:rPr>
        <w:t> </w:t>
      </w:r>
      <w:r>
        <w:rPr/>
        <w:t>siguiente</w:t>
      </w:r>
      <w:r>
        <w:rPr>
          <w:spacing w:val="-3"/>
        </w:rPr>
        <w:t> </w:t>
      </w:r>
      <w:r>
        <w:rPr/>
        <w:t>(en</w:t>
      </w:r>
      <w:r>
        <w:rPr>
          <w:spacing w:val="-2"/>
        </w:rPr>
        <w:t> </w:t>
      </w:r>
      <w:r>
        <w:rPr/>
        <w:t>miles</w:t>
      </w:r>
      <w:r>
        <w:rPr>
          <w:spacing w:val="-2"/>
        </w:rPr>
        <w:t> </w:t>
      </w:r>
      <w:r>
        <w:rPr/>
        <w:t>de</w:t>
      </w:r>
      <w:r>
        <w:rPr>
          <w:spacing w:val="-4"/>
        </w:rPr>
        <w:t> </w:t>
      </w:r>
      <w:r>
        <w:rPr>
          <w:spacing w:val="-2"/>
        </w:rPr>
        <w:t>colones):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1"/>
      </w:pPr>
    </w:p>
    <w:p>
      <w:pPr>
        <w:pStyle w:val="Heading6"/>
        <w:ind w:left="691"/>
        <w:jc w:val="both"/>
      </w:pPr>
      <w:r>
        <w:rPr/>
        <w:t>Análisis</w:t>
      </w:r>
      <w:r>
        <w:rPr>
          <w:spacing w:val="-3"/>
        </w:rPr>
        <w:t> </w:t>
      </w:r>
      <w:r>
        <w:rPr/>
        <w:t>de</w:t>
      </w:r>
      <w:r>
        <w:rPr>
          <w:spacing w:val="-1"/>
        </w:rPr>
        <w:t> </w:t>
      </w:r>
      <w:r>
        <w:rPr/>
        <w:t>las</w:t>
      </w:r>
      <w:r>
        <w:rPr>
          <w:spacing w:val="-1"/>
        </w:rPr>
        <w:t> </w:t>
      </w:r>
      <w:r>
        <w:rPr>
          <w:spacing w:val="-2"/>
        </w:rPr>
        <w:t>variaciones</w:t>
      </w:r>
    </w:p>
    <w:p>
      <w:pPr>
        <w:pStyle w:val="Heading6"/>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0416">
                <wp:simplePos x="0" y="0"/>
                <wp:positionH relativeFrom="page">
                  <wp:posOffset>9525</wp:posOffset>
                </wp:positionH>
                <wp:positionV relativeFrom="page">
                  <wp:posOffset>297208</wp:posOffset>
                </wp:positionV>
                <wp:extent cx="7762875" cy="9748520"/>
                <wp:effectExtent l="0" t="0" r="0" b="0"/>
                <wp:wrapNone/>
                <wp:docPr id="668" name="Group 668"/>
                <wp:cNvGraphicFramePr>
                  <a:graphicFrameLocks/>
                </wp:cNvGraphicFramePr>
                <a:graphic>
                  <a:graphicData uri="http://schemas.microsoft.com/office/word/2010/wordprocessingGroup">
                    <wpg:wgp>
                      <wpg:cNvPr id="668" name="Group 668"/>
                      <wpg:cNvGrpSpPr/>
                      <wpg:grpSpPr>
                        <a:xfrm>
                          <a:off x="0" y="0"/>
                          <a:ext cx="7762875" cy="9748520"/>
                          <a:chExt cx="7762875" cy="9748520"/>
                        </a:xfrm>
                      </wpg:grpSpPr>
                      <pic:pic>
                        <pic:nvPicPr>
                          <pic:cNvPr id="669" name="Image 669"/>
                          <pic:cNvPicPr/>
                        </pic:nvPicPr>
                        <pic:blipFill>
                          <a:blip r:embed="rId5" cstate="print"/>
                          <a:stretch>
                            <a:fillRect/>
                          </a:stretch>
                        </pic:blipFill>
                        <pic:spPr>
                          <a:xfrm>
                            <a:off x="0" y="0"/>
                            <a:ext cx="7762874" cy="9748489"/>
                          </a:xfrm>
                          <a:prstGeom prst="rect">
                            <a:avLst/>
                          </a:prstGeom>
                        </pic:spPr>
                      </pic:pic>
                      <wps:wsp>
                        <wps:cNvPr id="670" name="Graphic 67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56064" id="docshapegroup646" coordorigin="15,468" coordsize="12225,15352">
                <v:shape style="position:absolute;left:15;top:468;width:12225;height:15352" type="#_x0000_t75" id="docshape647" stroked="false">
                  <v:imagedata r:id="rId5" o:title=""/>
                </v:shape>
                <v:rect style="position:absolute;left:1673;top:2028;width:8897;height:15" id="docshape64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135</w:t>
      </w:r>
    </w:p>
    <w:p>
      <w:pPr>
        <w:pStyle w:val="BodyText"/>
        <w:spacing w:before="10"/>
        <w:rPr>
          <w:sz w:val="16"/>
        </w:rPr>
      </w:pPr>
      <w:r>
        <w:rPr>
          <w:sz w:val="16"/>
        </w:rPr>
        <mc:AlternateContent>
          <mc:Choice Requires="wps">
            <w:drawing>
              <wp:anchor distT="0" distB="0" distL="0" distR="0" allowOverlap="1" layoutInCell="1" locked="0" behindDoc="1" simplePos="0" relativeHeight="487722496">
                <wp:simplePos x="0" y="0"/>
                <wp:positionH relativeFrom="page">
                  <wp:posOffset>1080820</wp:posOffset>
                </wp:positionH>
                <wp:positionV relativeFrom="paragraph">
                  <wp:posOffset>141144</wp:posOffset>
                </wp:positionV>
                <wp:extent cx="5759450" cy="1541145"/>
                <wp:effectExtent l="0" t="0" r="0" b="0"/>
                <wp:wrapTopAndBottom/>
                <wp:docPr id="671" name="Textbox 671"/>
                <wp:cNvGraphicFramePr>
                  <a:graphicFrameLocks/>
                </wp:cNvGraphicFramePr>
                <a:graphic>
                  <a:graphicData uri="http://schemas.microsoft.com/office/word/2010/wordprocessingShape">
                    <wps:wsp>
                      <wps:cNvPr id="671" name="Textbox 671"/>
                      <wps:cNvSpPr txBox="1"/>
                      <wps:spPr>
                        <a:xfrm>
                          <a:off x="0" y="0"/>
                          <a:ext cx="5759450" cy="1541145"/>
                        </a:xfrm>
                        <a:prstGeom prst="rect">
                          <a:avLst/>
                        </a:prstGeom>
                        <a:ln w="6095">
                          <a:solidFill>
                            <a:srgbClr val="000000"/>
                          </a:solidFill>
                          <a:prstDash val="solid"/>
                        </a:ln>
                      </wps:spPr>
                      <wps:txbx>
                        <w:txbxContent>
                          <w:p>
                            <w:pPr>
                              <w:pStyle w:val="BodyText"/>
                            </w:pPr>
                          </w:p>
                          <w:p>
                            <w:pPr>
                              <w:pStyle w:val="BodyText"/>
                            </w:pPr>
                          </w:p>
                          <w:p>
                            <w:pPr>
                              <w:pStyle w:val="BodyText"/>
                              <w:spacing w:before="114"/>
                            </w:pPr>
                          </w:p>
                          <w:p>
                            <w:pPr>
                              <w:spacing w:before="0"/>
                              <w:ind w:left="64" w:right="0" w:firstLine="0"/>
                              <w:jc w:val="both"/>
                              <w:rPr>
                                <w:b/>
                                <w:sz w:val="22"/>
                              </w:rPr>
                            </w:pPr>
                            <w:r>
                              <w:rPr>
                                <w:b/>
                                <w:sz w:val="22"/>
                              </w:rPr>
                              <w:t>Naturaleza</w:t>
                            </w:r>
                            <w:r>
                              <w:rPr>
                                <w:b/>
                                <w:spacing w:val="-6"/>
                                <w:sz w:val="22"/>
                              </w:rPr>
                              <w:t> </w:t>
                            </w:r>
                            <w:r>
                              <w:rPr>
                                <w:b/>
                                <w:sz w:val="22"/>
                              </w:rPr>
                              <w:t>del</w:t>
                            </w:r>
                            <w:r>
                              <w:rPr>
                                <w:b/>
                                <w:spacing w:val="-4"/>
                                <w:sz w:val="22"/>
                              </w:rPr>
                              <w:t> gasto</w:t>
                            </w:r>
                          </w:p>
                          <w:p>
                            <w:pPr>
                              <w:pStyle w:val="BodyText"/>
                              <w:spacing w:before="76"/>
                              <w:rPr>
                                <w:b/>
                              </w:rPr>
                            </w:pPr>
                          </w:p>
                          <w:p>
                            <w:pPr>
                              <w:pStyle w:val="BodyText"/>
                              <w:spacing w:line="259" w:lineRule="auto"/>
                              <w:ind w:left="64" w:right="70"/>
                              <w:jc w:val="both"/>
                            </w:pPr>
                            <w:r>
                              <w:rPr/>
                              <w:t>Los gastos por Servicios corresponden gastos para el funcionamiento ordinario de la Institución, tales como alquileres operativos de edificios y oficinas, servicios básicos, servicios profesionales y de apoyo, seguros, transporte, capacitación, mantenimiento y otros servicios complementarios</w:t>
                            </w:r>
                          </w:p>
                        </w:txbxContent>
                      </wps:txbx>
                      <wps:bodyPr wrap="square" lIns="0" tIns="0" rIns="0" bIns="0" rtlCol="0">
                        <a:noAutofit/>
                      </wps:bodyPr>
                    </wps:wsp>
                  </a:graphicData>
                </a:graphic>
              </wp:anchor>
            </w:drawing>
          </mc:Choice>
          <mc:Fallback>
            <w:pict>
              <v:shape style="position:absolute;margin-left:85.103996pt;margin-top:11.11375pt;width:453.5pt;height:121.35pt;mso-position-horizontal-relative:page;mso-position-vertical-relative:paragraph;z-index:-15593984;mso-wrap-distance-left:0;mso-wrap-distance-right:0" type="#_x0000_t202" id="docshape649" filled="false" stroked="true" strokeweight=".47998pt" strokecolor="#000000">
                <v:textbox inset="0,0,0,0">
                  <w:txbxContent>
                    <w:p>
                      <w:pPr>
                        <w:pStyle w:val="BodyText"/>
                      </w:pPr>
                    </w:p>
                    <w:p>
                      <w:pPr>
                        <w:pStyle w:val="BodyText"/>
                      </w:pPr>
                    </w:p>
                    <w:p>
                      <w:pPr>
                        <w:pStyle w:val="BodyText"/>
                        <w:spacing w:before="114"/>
                      </w:pPr>
                    </w:p>
                    <w:p>
                      <w:pPr>
                        <w:spacing w:before="0"/>
                        <w:ind w:left="64" w:right="0" w:firstLine="0"/>
                        <w:jc w:val="both"/>
                        <w:rPr>
                          <w:b/>
                          <w:sz w:val="22"/>
                        </w:rPr>
                      </w:pPr>
                      <w:r>
                        <w:rPr>
                          <w:b/>
                          <w:sz w:val="22"/>
                        </w:rPr>
                        <w:t>Naturaleza</w:t>
                      </w:r>
                      <w:r>
                        <w:rPr>
                          <w:b/>
                          <w:spacing w:val="-6"/>
                          <w:sz w:val="22"/>
                        </w:rPr>
                        <w:t> </w:t>
                      </w:r>
                      <w:r>
                        <w:rPr>
                          <w:b/>
                          <w:sz w:val="22"/>
                        </w:rPr>
                        <w:t>del</w:t>
                      </w:r>
                      <w:r>
                        <w:rPr>
                          <w:b/>
                          <w:spacing w:val="-4"/>
                          <w:sz w:val="22"/>
                        </w:rPr>
                        <w:t> gasto</w:t>
                      </w:r>
                    </w:p>
                    <w:p>
                      <w:pPr>
                        <w:pStyle w:val="BodyText"/>
                        <w:spacing w:before="76"/>
                        <w:rPr>
                          <w:b/>
                        </w:rPr>
                      </w:pPr>
                    </w:p>
                    <w:p>
                      <w:pPr>
                        <w:pStyle w:val="BodyText"/>
                        <w:spacing w:line="259" w:lineRule="auto"/>
                        <w:ind w:left="64" w:right="70"/>
                        <w:jc w:val="both"/>
                      </w:pPr>
                      <w:r>
                        <w:rPr/>
                        <w:t>Los gastos por Servicios corresponden gastos para el funcionamiento ordinario de la Institución, tales como alquileres operativos de edificios y oficinas, servicios básicos, servicios profesionales y de apoyo, seguros, transporte, capacitación, mantenimiento y otros servicios complementarios</w:t>
                      </w:r>
                    </w:p>
                  </w:txbxContent>
                </v:textbox>
                <v:stroke dashstyle="solid"/>
                <w10:wrap type="topAndBottom"/>
              </v:shape>
            </w:pict>
          </mc:Fallback>
        </mc:AlternateContent>
      </w:r>
    </w:p>
    <w:p>
      <w:pPr>
        <w:pStyle w:val="BodyText"/>
        <w:rPr>
          <w:sz w:val="23"/>
        </w:rPr>
      </w:pPr>
    </w:p>
    <w:p>
      <w:pPr>
        <w:pStyle w:val="BodyText"/>
        <w:rPr>
          <w:sz w:val="23"/>
        </w:rPr>
      </w:pPr>
    </w:p>
    <w:p>
      <w:pPr>
        <w:pStyle w:val="BodyText"/>
        <w:spacing w:before="71"/>
        <w:rPr>
          <w:sz w:val="23"/>
        </w:rPr>
      </w:pPr>
    </w:p>
    <w:p>
      <w:pPr>
        <w:spacing w:before="0"/>
        <w:ind w:left="622" w:right="0" w:firstLine="0"/>
        <w:jc w:val="left"/>
        <w:rPr>
          <w:b/>
          <w:i/>
          <w:sz w:val="23"/>
        </w:rPr>
      </w:pPr>
      <w:bookmarkStart w:name="_bookmark110" w:id="111"/>
      <w:bookmarkEnd w:id="111"/>
      <w:r>
        <w:rPr/>
      </w:r>
      <w:r>
        <w:rPr>
          <w:b/>
          <w:spacing w:val="-2"/>
          <w:sz w:val="22"/>
        </w:rPr>
        <w:t>Revelación</w:t>
      </w:r>
      <w:r>
        <w:rPr>
          <w:b/>
          <w:spacing w:val="-11"/>
          <w:sz w:val="22"/>
        </w:rPr>
        <w:t> </w:t>
      </w:r>
      <w:r>
        <w:rPr>
          <w:b/>
          <w:spacing w:val="-2"/>
          <w:sz w:val="22"/>
        </w:rPr>
        <w:t>NICSP</w:t>
      </w:r>
      <w:r>
        <w:rPr>
          <w:b/>
          <w:spacing w:val="-8"/>
          <w:sz w:val="22"/>
        </w:rPr>
        <w:t> </w:t>
      </w:r>
      <w:r>
        <w:rPr>
          <w:b/>
          <w:spacing w:val="-2"/>
          <w:sz w:val="22"/>
        </w:rPr>
        <w:t>13</w:t>
      </w:r>
      <w:r>
        <w:rPr>
          <w:b/>
          <w:spacing w:val="-7"/>
          <w:sz w:val="22"/>
        </w:rPr>
        <w:t> </w:t>
      </w:r>
      <w:r>
        <w:rPr>
          <w:b/>
          <w:i/>
          <w:spacing w:val="-2"/>
          <w:sz w:val="23"/>
        </w:rPr>
        <w:t>Arrendamientos</w:t>
      </w:r>
      <w:r>
        <w:rPr>
          <w:b/>
          <w:i/>
          <w:spacing w:val="-11"/>
          <w:sz w:val="23"/>
        </w:rPr>
        <w:t> </w:t>
      </w:r>
      <w:r>
        <w:rPr>
          <w:b/>
          <w:i/>
          <w:spacing w:val="-2"/>
          <w:sz w:val="23"/>
        </w:rPr>
        <w:t>(Arrendador)</w:t>
      </w:r>
    </w:p>
    <w:p>
      <w:pPr>
        <w:pStyle w:val="BodyText"/>
        <w:spacing w:before="101"/>
        <w:rPr>
          <w:b/>
          <w:i/>
          <w:sz w:val="23"/>
        </w:rPr>
      </w:pPr>
    </w:p>
    <w:p>
      <w:pPr>
        <w:pStyle w:val="Heading6"/>
        <w:numPr>
          <w:ilvl w:val="0"/>
          <w:numId w:val="57"/>
        </w:numPr>
        <w:tabs>
          <w:tab w:pos="1047" w:val="left" w:leader="none"/>
        </w:tabs>
        <w:spacing w:line="240" w:lineRule="auto" w:before="0" w:after="0"/>
        <w:ind w:left="1047" w:right="0" w:hanging="358"/>
        <w:jc w:val="left"/>
      </w:pPr>
      <w:r>
        <w:rPr/>
        <w:t>Arrendamientos</w:t>
      </w:r>
      <w:r>
        <w:rPr>
          <w:spacing w:val="-5"/>
        </w:rPr>
        <w:t> </w:t>
      </w:r>
      <w:r>
        <w:rPr/>
        <w:t>operativos</w:t>
      </w:r>
      <w:r>
        <w:rPr>
          <w:spacing w:val="-6"/>
        </w:rPr>
        <w:t> </w:t>
      </w:r>
      <w:r>
        <w:rPr/>
        <w:t>(párrafo</w:t>
      </w:r>
      <w:r>
        <w:rPr>
          <w:spacing w:val="-4"/>
        </w:rPr>
        <w:t> </w:t>
      </w:r>
      <w:r>
        <w:rPr>
          <w:spacing w:val="-5"/>
        </w:rPr>
        <w:t>62)</w:t>
      </w:r>
    </w:p>
    <w:p>
      <w:pPr>
        <w:pStyle w:val="ListParagraph"/>
        <w:numPr>
          <w:ilvl w:val="0"/>
          <w:numId w:val="58"/>
        </w:numPr>
        <w:tabs>
          <w:tab w:pos="1265" w:val="left" w:leader="none"/>
        </w:tabs>
        <w:spacing w:line="240" w:lineRule="auto" w:before="126" w:after="0"/>
        <w:ind w:left="1265" w:right="0" w:hanging="360"/>
        <w:jc w:val="left"/>
        <w:rPr>
          <w:sz w:val="22"/>
        </w:rPr>
      </w:pPr>
      <w:r>
        <w:rPr>
          <w:sz w:val="22"/>
        </w:rPr>
        <w:t>Deben</w:t>
      </w:r>
      <w:r>
        <w:rPr>
          <w:spacing w:val="-6"/>
          <w:sz w:val="22"/>
        </w:rPr>
        <w:t> </w:t>
      </w:r>
      <w:r>
        <w:rPr>
          <w:sz w:val="22"/>
        </w:rPr>
        <w:t>presentar</w:t>
      </w:r>
      <w:r>
        <w:rPr>
          <w:spacing w:val="-5"/>
          <w:sz w:val="22"/>
        </w:rPr>
        <w:t> </w:t>
      </w:r>
      <w:r>
        <w:rPr>
          <w:sz w:val="22"/>
        </w:rPr>
        <w:t>sus</w:t>
      </w:r>
      <w:r>
        <w:rPr>
          <w:spacing w:val="-4"/>
          <w:sz w:val="22"/>
        </w:rPr>
        <w:t> </w:t>
      </w:r>
      <w:r>
        <w:rPr>
          <w:sz w:val="22"/>
        </w:rPr>
        <w:t>Activos</w:t>
      </w:r>
      <w:r>
        <w:rPr>
          <w:spacing w:val="-4"/>
          <w:sz w:val="22"/>
        </w:rPr>
        <w:t> </w:t>
      </w:r>
      <w:r>
        <w:rPr>
          <w:sz w:val="22"/>
        </w:rPr>
        <w:t>arrendados</w:t>
      </w:r>
      <w:r>
        <w:rPr>
          <w:spacing w:val="-4"/>
          <w:sz w:val="22"/>
        </w:rPr>
        <w:t> </w:t>
      </w:r>
      <w:r>
        <w:rPr>
          <w:sz w:val="22"/>
        </w:rPr>
        <w:t>clasificados</w:t>
      </w:r>
      <w:r>
        <w:rPr>
          <w:spacing w:val="-5"/>
          <w:sz w:val="22"/>
        </w:rPr>
        <w:t> </w:t>
      </w:r>
      <w:r>
        <w:rPr>
          <w:sz w:val="22"/>
        </w:rPr>
        <w:t>como</w:t>
      </w:r>
      <w:r>
        <w:rPr>
          <w:spacing w:val="-6"/>
          <w:sz w:val="22"/>
        </w:rPr>
        <w:t> </w:t>
      </w:r>
      <w:r>
        <w:rPr>
          <w:spacing w:val="-4"/>
          <w:sz w:val="22"/>
        </w:rPr>
        <w:t>tal.</w:t>
      </w:r>
    </w:p>
    <w:p>
      <w:pPr>
        <w:pStyle w:val="ListParagraph"/>
        <w:numPr>
          <w:ilvl w:val="0"/>
          <w:numId w:val="58"/>
        </w:numPr>
        <w:tabs>
          <w:tab w:pos="1263" w:val="left" w:leader="none"/>
          <w:tab w:pos="1265" w:val="left" w:leader="none"/>
        </w:tabs>
        <w:spacing w:line="360" w:lineRule="auto" w:before="124" w:after="0"/>
        <w:ind w:left="1265" w:right="980" w:hanging="360"/>
        <w:jc w:val="left"/>
        <w:rPr>
          <w:sz w:val="22"/>
        </w:rPr>
      </w:pPr>
      <w:r>
        <w:rPr>
          <w:sz w:val="22"/>
        </w:rPr>
        <w:t>Los</w:t>
      </w:r>
      <w:r>
        <w:rPr>
          <w:spacing w:val="-1"/>
          <w:sz w:val="22"/>
        </w:rPr>
        <w:t> </w:t>
      </w:r>
      <w:r>
        <w:rPr>
          <w:sz w:val="22"/>
        </w:rPr>
        <w:t>ingresos</w:t>
      </w:r>
      <w:r>
        <w:rPr>
          <w:spacing w:val="-1"/>
          <w:sz w:val="22"/>
        </w:rPr>
        <w:t> </w:t>
      </w:r>
      <w:r>
        <w:rPr>
          <w:sz w:val="22"/>
        </w:rPr>
        <w:t>son</w:t>
      </w:r>
      <w:r>
        <w:rPr>
          <w:spacing w:val="-2"/>
          <w:sz w:val="22"/>
        </w:rPr>
        <w:t> </w:t>
      </w:r>
      <w:r>
        <w:rPr>
          <w:sz w:val="22"/>
        </w:rPr>
        <w:t>reconocidos</w:t>
      </w:r>
      <w:r>
        <w:rPr>
          <w:spacing w:val="-1"/>
          <w:sz w:val="22"/>
        </w:rPr>
        <w:t> </w:t>
      </w:r>
      <w:r>
        <w:rPr>
          <w:sz w:val="22"/>
        </w:rPr>
        <w:t>como</w:t>
      </w:r>
      <w:r>
        <w:rPr>
          <w:spacing w:val="-2"/>
          <w:sz w:val="22"/>
        </w:rPr>
        <w:t> </w:t>
      </w:r>
      <w:r>
        <w:rPr>
          <w:sz w:val="22"/>
        </w:rPr>
        <w:t>de</w:t>
      </w:r>
      <w:r>
        <w:rPr>
          <w:spacing w:val="-2"/>
          <w:sz w:val="22"/>
        </w:rPr>
        <w:t> </w:t>
      </w:r>
      <w:r>
        <w:rPr>
          <w:sz w:val="22"/>
        </w:rPr>
        <w:t>la</w:t>
      </w:r>
      <w:r>
        <w:rPr>
          <w:spacing w:val="-4"/>
          <w:sz w:val="22"/>
        </w:rPr>
        <w:t> </w:t>
      </w:r>
      <w:r>
        <w:rPr>
          <w:sz w:val="22"/>
        </w:rPr>
        <w:t>entidad</w:t>
      </w:r>
      <w:r>
        <w:rPr>
          <w:spacing w:val="-2"/>
          <w:sz w:val="22"/>
        </w:rPr>
        <w:t> </w:t>
      </w:r>
      <w:r>
        <w:rPr>
          <w:sz w:val="22"/>
        </w:rPr>
        <w:t>en</w:t>
      </w:r>
      <w:r>
        <w:rPr>
          <w:spacing w:val="-2"/>
          <w:sz w:val="22"/>
        </w:rPr>
        <w:t> </w:t>
      </w:r>
      <w:r>
        <w:rPr>
          <w:sz w:val="22"/>
        </w:rPr>
        <w:t>el</w:t>
      </w:r>
      <w:r>
        <w:rPr>
          <w:spacing w:val="-5"/>
          <w:sz w:val="22"/>
        </w:rPr>
        <w:t> </w:t>
      </w:r>
      <w:r>
        <w:rPr>
          <w:sz w:val="22"/>
        </w:rPr>
        <w:t>Estado</w:t>
      </w:r>
      <w:r>
        <w:rPr>
          <w:spacing w:val="-2"/>
          <w:sz w:val="22"/>
        </w:rPr>
        <w:t> </w:t>
      </w:r>
      <w:r>
        <w:rPr>
          <w:sz w:val="22"/>
        </w:rPr>
        <w:t>de</w:t>
      </w:r>
      <w:r>
        <w:rPr>
          <w:spacing w:val="-1"/>
          <w:sz w:val="22"/>
        </w:rPr>
        <w:t> </w:t>
      </w:r>
      <w:r>
        <w:rPr>
          <w:sz w:val="22"/>
        </w:rPr>
        <w:t>Rendimiento</w:t>
      </w:r>
      <w:r>
        <w:rPr>
          <w:spacing w:val="-2"/>
          <w:sz w:val="22"/>
        </w:rPr>
        <w:t> </w:t>
      </w:r>
      <w:r>
        <w:rPr>
          <w:sz w:val="22"/>
        </w:rPr>
        <w:t>Financiero,</w:t>
      </w:r>
      <w:r>
        <w:rPr>
          <w:spacing w:val="-2"/>
          <w:sz w:val="22"/>
        </w:rPr>
        <w:t> </w:t>
      </w:r>
      <w:r>
        <w:rPr>
          <w:sz w:val="22"/>
        </w:rPr>
        <w:t>de forma lineal a lo largo del período del arrendamiento.</w:t>
      </w:r>
    </w:p>
    <w:p>
      <w:pPr>
        <w:pStyle w:val="ListParagraph"/>
        <w:numPr>
          <w:ilvl w:val="0"/>
          <w:numId w:val="58"/>
        </w:numPr>
        <w:tabs>
          <w:tab w:pos="1265" w:val="left" w:leader="none"/>
        </w:tabs>
        <w:spacing w:line="360" w:lineRule="auto" w:before="0" w:after="0"/>
        <w:ind w:left="1265" w:right="981" w:hanging="360"/>
        <w:jc w:val="left"/>
        <w:rPr>
          <w:sz w:val="22"/>
        </w:rPr>
      </w:pPr>
      <w:r>
        <w:rPr>
          <w:sz w:val="22"/>
        </w:rPr>
        <w:t>Los costos relacionados con el arrendamiento, incluyendo las depreciaciones, son gastos del </w:t>
      </w:r>
      <w:r>
        <w:rPr>
          <w:spacing w:val="-2"/>
          <w:sz w:val="22"/>
        </w:rPr>
        <w:t>período.</w:t>
      </w:r>
    </w:p>
    <w:p>
      <w:pPr>
        <w:pStyle w:val="ListParagraph"/>
        <w:numPr>
          <w:ilvl w:val="0"/>
          <w:numId w:val="58"/>
        </w:numPr>
        <w:tabs>
          <w:tab w:pos="1264" w:val="left" w:leader="none"/>
        </w:tabs>
        <w:spacing w:line="240" w:lineRule="auto" w:before="2" w:after="0"/>
        <w:ind w:left="1264" w:right="0" w:hanging="359"/>
        <w:jc w:val="left"/>
        <w:rPr>
          <w:sz w:val="22"/>
        </w:rPr>
      </w:pPr>
      <w:r>
        <w:rPr>
          <w:sz w:val="22"/>
        </w:rPr>
        <w:t>Los</w:t>
      </w:r>
      <w:r>
        <w:rPr>
          <w:spacing w:val="-5"/>
          <w:sz w:val="22"/>
        </w:rPr>
        <w:t> </w:t>
      </w:r>
      <w:r>
        <w:rPr>
          <w:sz w:val="22"/>
        </w:rPr>
        <w:t>costos</w:t>
      </w:r>
      <w:r>
        <w:rPr>
          <w:spacing w:val="-4"/>
          <w:sz w:val="22"/>
        </w:rPr>
        <w:t> </w:t>
      </w:r>
      <w:r>
        <w:rPr>
          <w:sz w:val="22"/>
        </w:rPr>
        <w:t>iniciales</w:t>
      </w:r>
      <w:r>
        <w:rPr>
          <w:spacing w:val="-5"/>
          <w:sz w:val="22"/>
        </w:rPr>
        <w:t> </w:t>
      </w:r>
      <w:r>
        <w:rPr>
          <w:sz w:val="22"/>
        </w:rPr>
        <w:t>de</w:t>
      </w:r>
      <w:r>
        <w:rPr>
          <w:spacing w:val="-4"/>
          <w:sz w:val="22"/>
        </w:rPr>
        <w:t> </w:t>
      </w:r>
      <w:r>
        <w:rPr>
          <w:sz w:val="22"/>
        </w:rPr>
        <w:t>negociación</w:t>
      </w:r>
      <w:r>
        <w:rPr>
          <w:spacing w:val="-6"/>
          <w:sz w:val="22"/>
        </w:rPr>
        <w:t> </w:t>
      </w:r>
      <w:r>
        <w:rPr>
          <w:sz w:val="22"/>
        </w:rPr>
        <w:t>y</w:t>
      </w:r>
      <w:r>
        <w:rPr>
          <w:spacing w:val="-6"/>
          <w:sz w:val="22"/>
        </w:rPr>
        <w:t> </w:t>
      </w:r>
      <w:r>
        <w:rPr>
          <w:sz w:val="22"/>
        </w:rPr>
        <w:t>contratación</w:t>
      </w:r>
      <w:r>
        <w:rPr>
          <w:spacing w:val="-7"/>
          <w:sz w:val="22"/>
        </w:rPr>
        <w:t> </w:t>
      </w:r>
      <w:r>
        <w:rPr>
          <w:sz w:val="22"/>
        </w:rPr>
        <w:t>se</w:t>
      </w:r>
      <w:r>
        <w:rPr>
          <w:spacing w:val="-4"/>
          <w:sz w:val="22"/>
        </w:rPr>
        <w:t> </w:t>
      </w:r>
      <w:r>
        <w:rPr>
          <w:sz w:val="22"/>
        </w:rPr>
        <w:t>deberán</w:t>
      </w:r>
      <w:r>
        <w:rPr>
          <w:spacing w:val="-6"/>
          <w:sz w:val="22"/>
        </w:rPr>
        <w:t> </w:t>
      </w:r>
      <w:r>
        <w:rPr>
          <w:sz w:val="22"/>
        </w:rPr>
        <w:t>reconocer</w:t>
      </w:r>
      <w:r>
        <w:rPr>
          <w:spacing w:val="-5"/>
          <w:sz w:val="22"/>
        </w:rPr>
        <w:t> </w:t>
      </w:r>
      <w:r>
        <w:rPr>
          <w:sz w:val="22"/>
        </w:rPr>
        <w:t>como</w:t>
      </w:r>
      <w:r>
        <w:rPr>
          <w:spacing w:val="-5"/>
          <w:sz w:val="22"/>
        </w:rPr>
        <w:t> </w:t>
      </w:r>
      <w:r>
        <w:rPr>
          <w:spacing w:val="-2"/>
          <w:sz w:val="22"/>
        </w:rPr>
        <w:t>gasto.</w:t>
      </w:r>
    </w:p>
    <w:p>
      <w:pPr>
        <w:pStyle w:val="ListParagraph"/>
        <w:numPr>
          <w:ilvl w:val="0"/>
          <w:numId w:val="58"/>
        </w:numPr>
        <w:tabs>
          <w:tab w:pos="1264" w:val="left" w:leader="none"/>
        </w:tabs>
        <w:spacing w:line="240" w:lineRule="auto" w:before="125" w:after="0"/>
        <w:ind w:left="1264" w:right="0" w:hanging="359"/>
        <w:jc w:val="left"/>
        <w:rPr>
          <w:sz w:val="22"/>
        </w:rPr>
      </w:pPr>
      <w:r>
        <w:rPr>
          <w:sz w:val="22"/>
        </w:rPr>
        <w:t>La</w:t>
      </w:r>
      <w:r>
        <w:rPr>
          <w:spacing w:val="-4"/>
          <w:sz w:val="22"/>
        </w:rPr>
        <w:t> </w:t>
      </w:r>
      <w:r>
        <w:rPr>
          <w:sz w:val="22"/>
        </w:rPr>
        <w:t>depreciación</w:t>
      </w:r>
      <w:r>
        <w:rPr>
          <w:spacing w:val="-3"/>
          <w:sz w:val="22"/>
        </w:rPr>
        <w:t> </w:t>
      </w:r>
      <w:r>
        <w:rPr>
          <w:sz w:val="22"/>
        </w:rPr>
        <w:t>de</w:t>
      </w:r>
      <w:r>
        <w:rPr>
          <w:spacing w:val="-3"/>
          <w:sz w:val="22"/>
        </w:rPr>
        <w:t> </w:t>
      </w:r>
      <w:r>
        <w:rPr>
          <w:sz w:val="22"/>
        </w:rPr>
        <w:t>los</w:t>
      </w:r>
      <w:r>
        <w:rPr>
          <w:spacing w:val="-2"/>
          <w:sz w:val="22"/>
        </w:rPr>
        <w:t> </w:t>
      </w:r>
      <w:r>
        <w:rPr>
          <w:sz w:val="22"/>
        </w:rPr>
        <w:t>bienes</w:t>
      </w:r>
      <w:r>
        <w:rPr>
          <w:spacing w:val="-5"/>
          <w:sz w:val="22"/>
        </w:rPr>
        <w:t> </w:t>
      </w:r>
      <w:r>
        <w:rPr>
          <w:sz w:val="22"/>
        </w:rPr>
        <w:t>se</w:t>
      </w:r>
      <w:r>
        <w:rPr>
          <w:spacing w:val="-2"/>
          <w:sz w:val="22"/>
        </w:rPr>
        <w:t> </w:t>
      </w:r>
      <w:r>
        <w:rPr>
          <w:sz w:val="22"/>
        </w:rPr>
        <w:t>efectuará</w:t>
      </w:r>
      <w:r>
        <w:rPr>
          <w:spacing w:val="-4"/>
          <w:sz w:val="22"/>
        </w:rPr>
        <w:t> </w:t>
      </w:r>
      <w:r>
        <w:rPr>
          <w:sz w:val="22"/>
        </w:rPr>
        <w:t>de</w:t>
      </w:r>
      <w:r>
        <w:rPr>
          <w:spacing w:val="-3"/>
          <w:sz w:val="22"/>
        </w:rPr>
        <w:t> </w:t>
      </w:r>
      <w:r>
        <w:rPr>
          <w:sz w:val="22"/>
        </w:rPr>
        <w:t>acuerdo</w:t>
      </w:r>
      <w:r>
        <w:rPr>
          <w:spacing w:val="-5"/>
          <w:sz w:val="22"/>
        </w:rPr>
        <w:t> </w:t>
      </w:r>
      <w:r>
        <w:rPr>
          <w:sz w:val="22"/>
        </w:rPr>
        <w:t>con</w:t>
      </w:r>
      <w:r>
        <w:rPr>
          <w:spacing w:val="-3"/>
          <w:sz w:val="22"/>
        </w:rPr>
        <w:t> </w:t>
      </w:r>
      <w:r>
        <w:rPr>
          <w:sz w:val="22"/>
        </w:rPr>
        <w:t>la</w:t>
      </w:r>
      <w:r>
        <w:rPr>
          <w:spacing w:val="-4"/>
          <w:sz w:val="22"/>
        </w:rPr>
        <w:t> </w:t>
      </w:r>
      <w:r>
        <w:rPr>
          <w:sz w:val="22"/>
        </w:rPr>
        <w:t>NICSP</w:t>
      </w:r>
      <w:r>
        <w:rPr>
          <w:spacing w:val="-2"/>
          <w:sz w:val="22"/>
        </w:rPr>
        <w:t> </w:t>
      </w:r>
      <w:r>
        <w:rPr>
          <w:spacing w:val="-5"/>
          <w:sz w:val="22"/>
        </w:rPr>
        <w:t>17.</w:t>
      </w:r>
    </w:p>
    <w:p>
      <w:pPr>
        <w:pStyle w:val="ListParagraph"/>
        <w:numPr>
          <w:ilvl w:val="0"/>
          <w:numId w:val="58"/>
        </w:numPr>
        <w:tabs>
          <w:tab w:pos="1265" w:val="left" w:leader="none"/>
        </w:tabs>
        <w:spacing w:line="240" w:lineRule="auto" w:before="126" w:after="0"/>
        <w:ind w:left="1265" w:right="0" w:hanging="360"/>
        <w:jc w:val="left"/>
        <w:rPr>
          <w:sz w:val="22"/>
        </w:rPr>
      </w:pPr>
      <w:r>
        <w:rPr>
          <w:sz w:val="22"/>
        </w:rPr>
        <w:t>Deberá</w:t>
      </w:r>
      <w:r>
        <w:rPr>
          <w:spacing w:val="-4"/>
          <w:sz w:val="22"/>
        </w:rPr>
        <w:t> </w:t>
      </w:r>
      <w:r>
        <w:rPr>
          <w:sz w:val="22"/>
        </w:rPr>
        <w:t>aplicarse</w:t>
      </w:r>
      <w:r>
        <w:rPr>
          <w:spacing w:val="-2"/>
          <w:sz w:val="22"/>
        </w:rPr>
        <w:t> </w:t>
      </w:r>
      <w:r>
        <w:rPr>
          <w:sz w:val="22"/>
        </w:rPr>
        <w:t>la</w:t>
      </w:r>
      <w:r>
        <w:rPr>
          <w:spacing w:val="-5"/>
          <w:sz w:val="22"/>
        </w:rPr>
        <w:t> </w:t>
      </w:r>
      <w:r>
        <w:rPr>
          <w:sz w:val="22"/>
        </w:rPr>
        <w:t>prueba</w:t>
      </w:r>
      <w:r>
        <w:rPr>
          <w:spacing w:val="-6"/>
          <w:sz w:val="22"/>
        </w:rPr>
        <w:t> </w:t>
      </w:r>
      <w:r>
        <w:rPr>
          <w:sz w:val="22"/>
        </w:rPr>
        <w:t>de</w:t>
      </w:r>
      <w:r>
        <w:rPr>
          <w:spacing w:val="-3"/>
          <w:sz w:val="22"/>
        </w:rPr>
        <w:t> </w:t>
      </w:r>
      <w:r>
        <w:rPr>
          <w:sz w:val="22"/>
        </w:rPr>
        <w:t>deterioro</w:t>
      </w:r>
      <w:r>
        <w:rPr>
          <w:spacing w:val="-5"/>
          <w:sz w:val="22"/>
        </w:rPr>
        <w:t> </w:t>
      </w:r>
      <w:r>
        <w:rPr>
          <w:sz w:val="22"/>
        </w:rPr>
        <w:t>y</w:t>
      </w:r>
      <w:r>
        <w:rPr>
          <w:spacing w:val="-3"/>
          <w:sz w:val="22"/>
        </w:rPr>
        <w:t> </w:t>
      </w:r>
      <w:r>
        <w:rPr>
          <w:sz w:val="22"/>
        </w:rPr>
        <w:t>registrarlo</w:t>
      </w:r>
      <w:r>
        <w:rPr>
          <w:spacing w:val="-5"/>
          <w:sz w:val="22"/>
        </w:rPr>
        <w:t> </w:t>
      </w:r>
      <w:r>
        <w:rPr>
          <w:sz w:val="22"/>
        </w:rPr>
        <w:t>si</w:t>
      </w:r>
      <w:r>
        <w:rPr>
          <w:spacing w:val="-5"/>
          <w:sz w:val="22"/>
        </w:rPr>
        <w:t> </w:t>
      </w:r>
      <w:r>
        <w:rPr>
          <w:spacing w:val="-2"/>
          <w:sz w:val="22"/>
        </w:rPr>
        <w:t>existiera.</w:t>
      </w:r>
    </w:p>
    <w:p>
      <w:pPr>
        <w:pStyle w:val="ListParagraph"/>
        <w:numPr>
          <w:ilvl w:val="0"/>
          <w:numId w:val="58"/>
        </w:numPr>
        <w:tabs>
          <w:tab w:pos="1265" w:val="left" w:leader="none"/>
        </w:tabs>
        <w:spacing w:line="240" w:lineRule="auto" w:before="124" w:after="0"/>
        <w:ind w:left="1265" w:right="0" w:hanging="360"/>
        <w:jc w:val="left"/>
        <w:rPr>
          <w:sz w:val="22"/>
        </w:rPr>
      </w:pPr>
      <w:r>
        <w:rPr>
          <w:spacing w:val="-2"/>
          <w:sz w:val="22"/>
        </w:rPr>
        <w:t>El</w:t>
      </w:r>
      <w:r>
        <w:rPr>
          <w:spacing w:val="-5"/>
          <w:sz w:val="22"/>
        </w:rPr>
        <w:t> </w:t>
      </w:r>
      <w:r>
        <w:rPr>
          <w:spacing w:val="-2"/>
          <w:sz w:val="22"/>
        </w:rPr>
        <w:t>importe acumulado</w:t>
      </w:r>
      <w:r>
        <w:rPr>
          <w:spacing w:val="-5"/>
          <w:sz w:val="22"/>
        </w:rPr>
        <w:t> </w:t>
      </w:r>
      <w:r>
        <w:rPr>
          <w:spacing w:val="-2"/>
          <w:sz w:val="22"/>
        </w:rPr>
        <w:t>de</w:t>
      </w:r>
      <w:r>
        <w:rPr>
          <w:spacing w:val="-3"/>
          <w:sz w:val="22"/>
        </w:rPr>
        <w:t> </w:t>
      </w:r>
      <w:r>
        <w:rPr>
          <w:spacing w:val="-2"/>
          <w:sz w:val="22"/>
        </w:rPr>
        <w:t>los pagos</w:t>
      </w:r>
      <w:r>
        <w:rPr>
          <w:spacing w:val="-4"/>
          <w:sz w:val="22"/>
        </w:rPr>
        <w:t> </w:t>
      </w:r>
      <w:r>
        <w:rPr>
          <w:spacing w:val="-2"/>
          <w:sz w:val="22"/>
        </w:rPr>
        <w:t>mínimos</w:t>
      </w:r>
      <w:r>
        <w:rPr>
          <w:spacing w:val="-3"/>
          <w:sz w:val="22"/>
        </w:rPr>
        <w:t> </w:t>
      </w:r>
      <w:r>
        <w:rPr>
          <w:spacing w:val="-2"/>
          <w:sz w:val="22"/>
        </w:rPr>
        <w:t>futuros</w:t>
      </w:r>
      <w:r>
        <w:rPr>
          <w:spacing w:val="-4"/>
          <w:sz w:val="22"/>
        </w:rPr>
        <w:t> </w:t>
      </w:r>
      <w:r>
        <w:rPr>
          <w:spacing w:val="-2"/>
          <w:sz w:val="22"/>
        </w:rPr>
        <w:t>del</w:t>
      </w:r>
      <w:r>
        <w:rPr>
          <w:spacing w:val="-6"/>
          <w:sz w:val="22"/>
        </w:rPr>
        <w:t> </w:t>
      </w:r>
      <w:r>
        <w:rPr>
          <w:spacing w:val="-2"/>
          <w:sz w:val="22"/>
        </w:rPr>
        <w:t>arrendamiento</w:t>
      </w:r>
      <w:r>
        <w:rPr>
          <w:spacing w:val="-4"/>
          <w:sz w:val="22"/>
        </w:rPr>
        <w:t> </w:t>
      </w:r>
      <w:r>
        <w:rPr>
          <w:spacing w:val="-2"/>
          <w:sz w:val="22"/>
        </w:rPr>
        <w:t>en</w:t>
      </w:r>
      <w:r>
        <w:rPr>
          <w:spacing w:val="-5"/>
          <w:sz w:val="22"/>
        </w:rPr>
        <w:t> </w:t>
      </w:r>
      <w:r>
        <w:rPr>
          <w:spacing w:val="-2"/>
          <w:sz w:val="22"/>
        </w:rPr>
        <w:t>los</w:t>
      </w:r>
      <w:r>
        <w:rPr>
          <w:spacing w:val="-4"/>
          <w:sz w:val="22"/>
        </w:rPr>
        <w:t> </w:t>
      </w:r>
      <w:r>
        <w:rPr>
          <w:spacing w:val="-2"/>
          <w:sz w:val="22"/>
        </w:rPr>
        <w:t>siguientes</w:t>
      </w:r>
      <w:r>
        <w:rPr>
          <w:spacing w:val="-1"/>
          <w:sz w:val="22"/>
        </w:rPr>
        <w:t> </w:t>
      </w:r>
      <w:r>
        <w:rPr>
          <w:spacing w:val="-2"/>
          <w:sz w:val="22"/>
        </w:rPr>
        <w:t>plazos:</w:t>
      </w:r>
    </w:p>
    <w:p>
      <w:pPr>
        <w:pStyle w:val="ListParagraph"/>
        <w:numPr>
          <w:ilvl w:val="1"/>
          <w:numId w:val="58"/>
        </w:numPr>
        <w:tabs>
          <w:tab w:pos="2410" w:val="left" w:leader="none"/>
        </w:tabs>
        <w:spacing w:line="240" w:lineRule="auto" w:before="126" w:after="0"/>
        <w:ind w:left="2410" w:right="0" w:hanging="360"/>
        <w:jc w:val="left"/>
        <w:rPr>
          <w:sz w:val="22"/>
        </w:rPr>
      </w:pPr>
      <w:r>
        <w:rPr>
          <w:sz w:val="22"/>
        </w:rPr>
        <w:t>Hasta un</w:t>
      </w:r>
      <w:r>
        <w:rPr>
          <w:spacing w:val="-3"/>
          <w:sz w:val="22"/>
        </w:rPr>
        <w:t> </w:t>
      </w:r>
      <w:r>
        <w:rPr>
          <w:spacing w:val="-4"/>
          <w:sz w:val="22"/>
        </w:rPr>
        <w:t>año,</w:t>
      </w:r>
    </w:p>
    <w:p>
      <w:pPr>
        <w:pStyle w:val="ListParagraph"/>
        <w:numPr>
          <w:ilvl w:val="1"/>
          <w:numId w:val="58"/>
        </w:numPr>
        <w:tabs>
          <w:tab w:pos="2409" w:val="left" w:leader="none"/>
        </w:tabs>
        <w:spacing w:line="240" w:lineRule="auto" w:before="125" w:after="0"/>
        <w:ind w:left="2409" w:right="0" w:hanging="359"/>
        <w:jc w:val="left"/>
        <w:rPr>
          <w:sz w:val="22"/>
        </w:rPr>
      </w:pPr>
      <w:r>
        <w:rPr>
          <w:sz w:val="22"/>
        </w:rPr>
        <w:t>Entre</w:t>
      </w:r>
      <w:r>
        <w:rPr>
          <w:spacing w:val="-3"/>
          <w:sz w:val="22"/>
        </w:rPr>
        <w:t> </w:t>
      </w:r>
      <w:r>
        <w:rPr>
          <w:sz w:val="22"/>
        </w:rPr>
        <w:t>uno</w:t>
      </w:r>
      <w:r>
        <w:rPr>
          <w:spacing w:val="-2"/>
          <w:sz w:val="22"/>
        </w:rPr>
        <w:t> </w:t>
      </w:r>
      <w:r>
        <w:rPr>
          <w:sz w:val="22"/>
        </w:rPr>
        <w:t>y</w:t>
      </w:r>
      <w:r>
        <w:rPr>
          <w:spacing w:val="-3"/>
          <w:sz w:val="22"/>
        </w:rPr>
        <w:t> </w:t>
      </w:r>
      <w:r>
        <w:rPr>
          <w:sz w:val="22"/>
        </w:rPr>
        <w:t>cinco</w:t>
      </w:r>
      <w:r>
        <w:rPr>
          <w:spacing w:val="-1"/>
          <w:sz w:val="22"/>
        </w:rPr>
        <w:t> </w:t>
      </w:r>
      <w:r>
        <w:rPr>
          <w:spacing w:val="-4"/>
          <w:sz w:val="22"/>
        </w:rPr>
        <w:t>años,</w:t>
      </w:r>
    </w:p>
    <w:p>
      <w:pPr>
        <w:pStyle w:val="ListParagraph"/>
        <w:numPr>
          <w:ilvl w:val="1"/>
          <w:numId w:val="58"/>
        </w:numPr>
        <w:tabs>
          <w:tab w:pos="2410" w:val="left" w:leader="none"/>
        </w:tabs>
        <w:spacing w:line="240" w:lineRule="auto" w:before="126" w:after="0"/>
        <w:ind w:left="2410" w:right="0" w:hanging="360"/>
        <w:jc w:val="left"/>
        <w:rPr>
          <w:sz w:val="22"/>
        </w:rPr>
      </w:pPr>
      <w:r>
        <w:rPr>
          <w:sz w:val="22"/>
        </w:rPr>
        <w:t>Más</w:t>
      </w:r>
      <w:r>
        <w:rPr>
          <w:spacing w:val="-3"/>
          <w:sz w:val="22"/>
        </w:rPr>
        <w:t> </w:t>
      </w:r>
      <w:r>
        <w:rPr>
          <w:sz w:val="22"/>
        </w:rPr>
        <w:t>de</w:t>
      </w:r>
      <w:r>
        <w:rPr>
          <w:spacing w:val="-3"/>
          <w:sz w:val="22"/>
        </w:rPr>
        <w:t> </w:t>
      </w:r>
      <w:r>
        <w:rPr>
          <w:sz w:val="22"/>
        </w:rPr>
        <w:t>cinco</w:t>
      </w:r>
      <w:r>
        <w:rPr>
          <w:spacing w:val="-1"/>
          <w:sz w:val="22"/>
        </w:rPr>
        <w:t> </w:t>
      </w:r>
      <w:r>
        <w:rPr>
          <w:spacing w:val="-4"/>
          <w:sz w:val="22"/>
        </w:rPr>
        <w:t>años.</w:t>
      </w:r>
    </w:p>
    <w:p>
      <w:pPr>
        <w:pStyle w:val="ListParagraph"/>
        <w:numPr>
          <w:ilvl w:val="0"/>
          <w:numId w:val="58"/>
        </w:numPr>
        <w:tabs>
          <w:tab w:pos="1264" w:val="left" w:leader="none"/>
        </w:tabs>
        <w:spacing w:line="240" w:lineRule="auto" w:before="126" w:after="0"/>
        <w:ind w:left="1264" w:right="0" w:hanging="359"/>
        <w:jc w:val="left"/>
        <w:rPr>
          <w:sz w:val="22"/>
        </w:rPr>
      </w:pPr>
      <w:r>
        <w:rPr>
          <w:sz w:val="22"/>
        </w:rPr>
        <w:t>El</w:t>
      </w:r>
      <w:r>
        <w:rPr>
          <w:spacing w:val="-3"/>
          <w:sz w:val="22"/>
        </w:rPr>
        <w:t> </w:t>
      </w:r>
      <w:r>
        <w:rPr>
          <w:sz w:val="22"/>
        </w:rPr>
        <w:t>total</w:t>
      </w:r>
      <w:r>
        <w:rPr>
          <w:spacing w:val="-3"/>
          <w:sz w:val="22"/>
        </w:rPr>
        <w:t> </w:t>
      </w:r>
      <w:r>
        <w:rPr>
          <w:sz w:val="22"/>
        </w:rPr>
        <w:t>de</w:t>
      </w:r>
      <w:r>
        <w:rPr>
          <w:spacing w:val="-2"/>
          <w:sz w:val="22"/>
        </w:rPr>
        <w:t> </w:t>
      </w:r>
      <w:r>
        <w:rPr>
          <w:sz w:val="22"/>
        </w:rPr>
        <w:t>las</w:t>
      </w:r>
      <w:r>
        <w:rPr>
          <w:spacing w:val="-2"/>
          <w:sz w:val="22"/>
        </w:rPr>
        <w:t> </w:t>
      </w:r>
      <w:r>
        <w:rPr>
          <w:sz w:val="22"/>
        </w:rPr>
        <w:t>cuotas</w:t>
      </w:r>
      <w:r>
        <w:rPr>
          <w:spacing w:val="-1"/>
          <w:sz w:val="22"/>
        </w:rPr>
        <w:t> </w:t>
      </w:r>
      <w:r>
        <w:rPr>
          <w:spacing w:val="-2"/>
          <w:sz w:val="22"/>
        </w:rPr>
        <w:t>contingentes;</w:t>
      </w:r>
    </w:p>
    <w:p>
      <w:pPr>
        <w:pStyle w:val="ListParagraph"/>
        <w:numPr>
          <w:ilvl w:val="0"/>
          <w:numId w:val="58"/>
        </w:numPr>
        <w:tabs>
          <w:tab w:pos="1265" w:val="left" w:leader="none"/>
        </w:tabs>
        <w:spacing w:line="240" w:lineRule="auto" w:before="126" w:after="0"/>
        <w:ind w:left="1265" w:right="0" w:hanging="360"/>
        <w:jc w:val="left"/>
        <w:rPr>
          <w:sz w:val="22"/>
        </w:rPr>
      </w:pPr>
      <w:r>
        <w:rPr>
          <w:sz w:val="22"/>
        </w:rPr>
        <w:t>Una</w:t>
      </w:r>
      <w:r>
        <w:rPr>
          <w:spacing w:val="-6"/>
          <w:sz w:val="22"/>
        </w:rPr>
        <w:t> </w:t>
      </w:r>
      <w:r>
        <w:rPr>
          <w:sz w:val="22"/>
        </w:rPr>
        <w:t>descripción</w:t>
      </w:r>
      <w:r>
        <w:rPr>
          <w:spacing w:val="-3"/>
          <w:sz w:val="22"/>
        </w:rPr>
        <w:t> </w:t>
      </w:r>
      <w:r>
        <w:rPr>
          <w:sz w:val="22"/>
        </w:rPr>
        <w:t>de</w:t>
      </w:r>
      <w:r>
        <w:rPr>
          <w:spacing w:val="-5"/>
          <w:sz w:val="22"/>
        </w:rPr>
        <w:t> </w:t>
      </w:r>
      <w:r>
        <w:rPr>
          <w:sz w:val="22"/>
        </w:rPr>
        <w:t>los</w:t>
      </w:r>
      <w:r>
        <w:rPr>
          <w:spacing w:val="-5"/>
          <w:sz w:val="22"/>
        </w:rPr>
        <w:t> </w:t>
      </w:r>
      <w:r>
        <w:rPr>
          <w:sz w:val="22"/>
        </w:rPr>
        <w:t>aspectos</w:t>
      </w:r>
      <w:r>
        <w:rPr>
          <w:spacing w:val="-4"/>
          <w:sz w:val="22"/>
        </w:rPr>
        <w:t> </w:t>
      </w:r>
      <w:r>
        <w:rPr>
          <w:sz w:val="22"/>
        </w:rPr>
        <w:t>más</w:t>
      </w:r>
      <w:r>
        <w:rPr>
          <w:spacing w:val="-5"/>
          <w:sz w:val="22"/>
        </w:rPr>
        <w:t> </w:t>
      </w:r>
      <w:r>
        <w:rPr>
          <w:sz w:val="22"/>
        </w:rPr>
        <w:t>significativos</w:t>
      </w:r>
      <w:r>
        <w:rPr>
          <w:spacing w:val="-3"/>
          <w:sz w:val="22"/>
        </w:rPr>
        <w:t> </w:t>
      </w:r>
      <w:r>
        <w:rPr>
          <w:sz w:val="22"/>
        </w:rPr>
        <w:t>de</w:t>
      </w:r>
      <w:r>
        <w:rPr>
          <w:spacing w:val="-2"/>
          <w:sz w:val="22"/>
        </w:rPr>
        <w:t> </w:t>
      </w:r>
      <w:r>
        <w:rPr>
          <w:sz w:val="22"/>
        </w:rPr>
        <w:t>los</w:t>
      </w:r>
      <w:r>
        <w:rPr>
          <w:spacing w:val="-5"/>
          <w:sz w:val="22"/>
        </w:rPr>
        <w:t> </w:t>
      </w:r>
      <w:r>
        <w:rPr>
          <w:spacing w:val="-2"/>
          <w:sz w:val="22"/>
        </w:rPr>
        <w:t>contratos.</w:t>
      </w:r>
    </w:p>
    <w:p>
      <w:pPr>
        <w:pStyle w:val="BodyText"/>
        <w:spacing w:before="32"/>
        <w:rPr>
          <w:sz w:val="20"/>
        </w:rPr>
      </w:pPr>
      <w:r>
        <w:rPr>
          <w:sz w:val="20"/>
        </w:rPr>
        <mc:AlternateContent>
          <mc:Choice Requires="wps">
            <w:drawing>
              <wp:anchor distT="0" distB="0" distL="0" distR="0" allowOverlap="1" layoutInCell="1" locked="0" behindDoc="1" simplePos="0" relativeHeight="487723008">
                <wp:simplePos x="0" y="0"/>
                <wp:positionH relativeFrom="page">
                  <wp:posOffset>1080820</wp:posOffset>
                </wp:positionH>
                <wp:positionV relativeFrom="paragraph">
                  <wp:posOffset>183594</wp:posOffset>
                </wp:positionV>
                <wp:extent cx="5746750" cy="1518285"/>
                <wp:effectExtent l="0" t="0" r="0" b="0"/>
                <wp:wrapTopAndBottom/>
                <wp:docPr id="672" name="Textbox 672"/>
                <wp:cNvGraphicFramePr>
                  <a:graphicFrameLocks/>
                </wp:cNvGraphicFramePr>
                <a:graphic>
                  <a:graphicData uri="http://schemas.microsoft.com/office/word/2010/wordprocessingShape">
                    <wps:wsp>
                      <wps:cNvPr id="672" name="Textbox 672"/>
                      <wps:cNvSpPr txBox="1"/>
                      <wps:spPr>
                        <a:xfrm>
                          <a:off x="0" y="0"/>
                          <a:ext cx="5746750" cy="1518285"/>
                        </a:xfrm>
                        <a:prstGeom prst="rect">
                          <a:avLst/>
                        </a:prstGeom>
                        <a:ln w="6096">
                          <a:solidFill>
                            <a:srgbClr val="000000"/>
                          </a:solidFill>
                          <a:prstDash val="solid"/>
                        </a:ln>
                      </wps:spPr>
                      <wps:txbx>
                        <w:txbxContent>
                          <w:p>
                            <w:pPr>
                              <w:spacing w:before="0"/>
                              <w:ind w:left="64" w:right="0" w:firstLine="0"/>
                              <w:jc w:val="left"/>
                              <w:rPr>
                                <w:b/>
                                <w:sz w:val="22"/>
                              </w:rPr>
                            </w:pPr>
                            <w:r>
                              <w:rPr>
                                <w:b/>
                                <w:spacing w:val="-2"/>
                                <w:sz w:val="22"/>
                              </w:rPr>
                              <w:t>Revelación:</w:t>
                            </w:r>
                          </w:p>
                          <w:p>
                            <w:pPr>
                              <w:pStyle w:val="BodyText"/>
                              <w:spacing w:line="276" w:lineRule="auto" w:before="181"/>
                              <w:ind w:left="64" w:right="66"/>
                              <w:jc w:val="both"/>
                            </w:pPr>
                            <w:r>
                              <w:rPr/>
                              <w:t>En lo referente a los arrendamientos operativos, las políticas contables aplicables para su reconocimiento, medición y revelación se describen en el apartado de políticas contables, inciso j) del presente documento.</w:t>
                            </w:r>
                          </w:p>
                          <w:p>
                            <w:pPr>
                              <w:pStyle w:val="BodyText"/>
                              <w:spacing w:line="259" w:lineRule="auto"/>
                              <w:ind w:left="64" w:right="735"/>
                              <w:jc w:val="both"/>
                            </w:pPr>
                            <w:r>
                              <w:rPr/>
                              <w:t>A</w:t>
                            </w:r>
                            <w:r>
                              <w:rPr>
                                <w:spacing w:val="-3"/>
                              </w:rPr>
                              <w:t> </w:t>
                            </w:r>
                            <w:r>
                              <w:rPr/>
                              <w:t>continuación,</w:t>
                            </w:r>
                            <w:r>
                              <w:rPr>
                                <w:spacing w:val="-3"/>
                              </w:rPr>
                              <w:t> </w:t>
                            </w:r>
                            <w:r>
                              <w:rPr/>
                              <w:t>un</w:t>
                            </w:r>
                            <w:r>
                              <w:rPr>
                                <w:spacing w:val="-3"/>
                              </w:rPr>
                              <w:t> </w:t>
                            </w:r>
                            <w:r>
                              <w:rPr/>
                              <w:t>cuadro</w:t>
                            </w:r>
                            <w:r>
                              <w:rPr>
                                <w:spacing w:val="-5"/>
                              </w:rPr>
                              <w:t> </w:t>
                            </w:r>
                            <w:r>
                              <w:rPr/>
                              <w:t>resumen,</w:t>
                            </w:r>
                            <w:r>
                              <w:rPr>
                                <w:spacing w:val="-3"/>
                              </w:rPr>
                              <w:t> </w:t>
                            </w:r>
                            <w:r>
                              <w:rPr/>
                              <w:t>pero</w:t>
                            </w:r>
                            <w:r>
                              <w:rPr>
                                <w:spacing w:val="-3"/>
                              </w:rPr>
                              <w:t> </w:t>
                            </w:r>
                            <w:r>
                              <w:rPr/>
                              <w:t>el</w:t>
                            </w:r>
                            <w:r>
                              <w:rPr>
                                <w:spacing w:val="-3"/>
                              </w:rPr>
                              <w:t> </w:t>
                            </w:r>
                            <w:r>
                              <w:rPr/>
                              <w:t>detalle</w:t>
                            </w:r>
                            <w:r>
                              <w:rPr>
                                <w:spacing w:val="-5"/>
                              </w:rPr>
                              <w:t> </w:t>
                            </w:r>
                            <w:r>
                              <w:rPr/>
                              <w:t>de</w:t>
                            </w:r>
                            <w:r>
                              <w:rPr>
                                <w:spacing w:val="-3"/>
                              </w:rPr>
                              <w:t> </w:t>
                            </w:r>
                            <w:r>
                              <w:rPr/>
                              <w:t>los</w:t>
                            </w:r>
                            <w:r>
                              <w:rPr>
                                <w:spacing w:val="-2"/>
                              </w:rPr>
                              <w:t> </w:t>
                            </w:r>
                            <w:r>
                              <w:rPr/>
                              <w:t>contratos</w:t>
                            </w:r>
                            <w:r>
                              <w:rPr>
                                <w:spacing w:val="-2"/>
                              </w:rPr>
                              <w:t> </w:t>
                            </w:r>
                            <w:r>
                              <w:rPr/>
                              <w:t>debe</w:t>
                            </w:r>
                            <w:r>
                              <w:rPr>
                                <w:spacing w:val="-5"/>
                              </w:rPr>
                              <w:t> </w:t>
                            </w:r>
                            <w:r>
                              <w:rPr/>
                              <w:t>ser</w:t>
                            </w:r>
                            <w:r>
                              <w:rPr>
                                <w:spacing w:val="-3"/>
                              </w:rPr>
                              <w:t> </w:t>
                            </w:r>
                            <w:r>
                              <w:rPr/>
                              <w:t>adjuntados</w:t>
                            </w:r>
                            <w:r>
                              <w:rPr>
                                <w:spacing w:val="-2"/>
                              </w:rPr>
                              <w:t> </w:t>
                            </w:r>
                            <w:r>
                              <w:rPr/>
                              <w:t>como </w:t>
                            </w:r>
                            <w:r>
                              <w:rPr>
                                <w:spacing w:val="-2"/>
                              </w:rPr>
                              <w:t>anexos.</w:t>
                            </w:r>
                          </w:p>
                        </w:txbxContent>
                      </wps:txbx>
                      <wps:bodyPr wrap="square" lIns="0" tIns="0" rIns="0" bIns="0" rtlCol="0">
                        <a:noAutofit/>
                      </wps:bodyPr>
                    </wps:wsp>
                  </a:graphicData>
                </a:graphic>
              </wp:anchor>
            </w:drawing>
          </mc:Choice>
          <mc:Fallback>
            <w:pict>
              <v:shape style="position:absolute;margin-left:85.103996pt;margin-top:14.45625pt;width:452.5pt;height:119.55pt;mso-position-horizontal-relative:page;mso-position-vertical-relative:paragraph;z-index:-15593472;mso-wrap-distance-left:0;mso-wrap-distance-right:0" type="#_x0000_t202" id="docshape650" filled="false" stroked="true" strokeweight=".48004pt" strokecolor="#000000">
                <v:textbox inset="0,0,0,0">
                  <w:txbxContent>
                    <w:p>
                      <w:pPr>
                        <w:spacing w:before="0"/>
                        <w:ind w:left="64" w:right="0" w:firstLine="0"/>
                        <w:jc w:val="left"/>
                        <w:rPr>
                          <w:b/>
                          <w:sz w:val="22"/>
                        </w:rPr>
                      </w:pPr>
                      <w:r>
                        <w:rPr>
                          <w:b/>
                          <w:spacing w:val="-2"/>
                          <w:sz w:val="22"/>
                        </w:rPr>
                        <w:t>Revelación:</w:t>
                      </w:r>
                    </w:p>
                    <w:p>
                      <w:pPr>
                        <w:pStyle w:val="BodyText"/>
                        <w:spacing w:line="276" w:lineRule="auto" w:before="181"/>
                        <w:ind w:left="64" w:right="66"/>
                        <w:jc w:val="both"/>
                      </w:pPr>
                      <w:r>
                        <w:rPr/>
                        <w:t>En lo referente a los arrendamientos operativos, las políticas contables aplicables para su reconocimiento, medición y revelación se describen en el apartado de políticas contables, inciso j) del presente documento.</w:t>
                      </w:r>
                    </w:p>
                    <w:p>
                      <w:pPr>
                        <w:pStyle w:val="BodyText"/>
                        <w:spacing w:line="259" w:lineRule="auto"/>
                        <w:ind w:left="64" w:right="735"/>
                        <w:jc w:val="both"/>
                      </w:pPr>
                      <w:r>
                        <w:rPr/>
                        <w:t>A</w:t>
                      </w:r>
                      <w:r>
                        <w:rPr>
                          <w:spacing w:val="-3"/>
                        </w:rPr>
                        <w:t> </w:t>
                      </w:r>
                      <w:r>
                        <w:rPr/>
                        <w:t>continuación,</w:t>
                      </w:r>
                      <w:r>
                        <w:rPr>
                          <w:spacing w:val="-3"/>
                        </w:rPr>
                        <w:t> </w:t>
                      </w:r>
                      <w:r>
                        <w:rPr/>
                        <w:t>un</w:t>
                      </w:r>
                      <w:r>
                        <w:rPr>
                          <w:spacing w:val="-3"/>
                        </w:rPr>
                        <w:t> </w:t>
                      </w:r>
                      <w:r>
                        <w:rPr/>
                        <w:t>cuadro</w:t>
                      </w:r>
                      <w:r>
                        <w:rPr>
                          <w:spacing w:val="-5"/>
                        </w:rPr>
                        <w:t> </w:t>
                      </w:r>
                      <w:r>
                        <w:rPr/>
                        <w:t>resumen,</w:t>
                      </w:r>
                      <w:r>
                        <w:rPr>
                          <w:spacing w:val="-3"/>
                        </w:rPr>
                        <w:t> </w:t>
                      </w:r>
                      <w:r>
                        <w:rPr/>
                        <w:t>pero</w:t>
                      </w:r>
                      <w:r>
                        <w:rPr>
                          <w:spacing w:val="-3"/>
                        </w:rPr>
                        <w:t> </w:t>
                      </w:r>
                      <w:r>
                        <w:rPr/>
                        <w:t>el</w:t>
                      </w:r>
                      <w:r>
                        <w:rPr>
                          <w:spacing w:val="-3"/>
                        </w:rPr>
                        <w:t> </w:t>
                      </w:r>
                      <w:r>
                        <w:rPr/>
                        <w:t>detalle</w:t>
                      </w:r>
                      <w:r>
                        <w:rPr>
                          <w:spacing w:val="-5"/>
                        </w:rPr>
                        <w:t> </w:t>
                      </w:r>
                      <w:r>
                        <w:rPr/>
                        <w:t>de</w:t>
                      </w:r>
                      <w:r>
                        <w:rPr>
                          <w:spacing w:val="-3"/>
                        </w:rPr>
                        <w:t> </w:t>
                      </w:r>
                      <w:r>
                        <w:rPr/>
                        <w:t>los</w:t>
                      </w:r>
                      <w:r>
                        <w:rPr>
                          <w:spacing w:val="-2"/>
                        </w:rPr>
                        <w:t> </w:t>
                      </w:r>
                      <w:r>
                        <w:rPr/>
                        <w:t>contratos</w:t>
                      </w:r>
                      <w:r>
                        <w:rPr>
                          <w:spacing w:val="-2"/>
                        </w:rPr>
                        <w:t> </w:t>
                      </w:r>
                      <w:r>
                        <w:rPr/>
                        <w:t>debe</w:t>
                      </w:r>
                      <w:r>
                        <w:rPr>
                          <w:spacing w:val="-5"/>
                        </w:rPr>
                        <w:t> </w:t>
                      </w:r>
                      <w:r>
                        <w:rPr/>
                        <w:t>ser</w:t>
                      </w:r>
                      <w:r>
                        <w:rPr>
                          <w:spacing w:val="-3"/>
                        </w:rPr>
                        <w:t> </w:t>
                      </w:r>
                      <w:r>
                        <w:rPr/>
                        <w:t>adjuntados</w:t>
                      </w:r>
                      <w:r>
                        <w:rPr>
                          <w:spacing w:val="-2"/>
                        </w:rPr>
                        <w:t> </w:t>
                      </w:r>
                      <w:r>
                        <w:rPr/>
                        <w:t>como </w:t>
                      </w:r>
                      <w:r>
                        <w:rPr>
                          <w:spacing w:val="-2"/>
                        </w:rPr>
                        <w:t>anexos.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0928">
                <wp:simplePos x="0" y="0"/>
                <wp:positionH relativeFrom="page">
                  <wp:posOffset>9525</wp:posOffset>
                </wp:positionH>
                <wp:positionV relativeFrom="page">
                  <wp:posOffset>297208</wp:posOffset>
                </wp:positionV>
                <wp:extent cx="7762875" cy="9748520"/>
                <wp:effectExtent l="0" t="0" r="0" b="0"/>
                <wp:wrapNone/>
                <wp:docPr id="673" name="Group 673"/>
                <wp:cNvGraphicFramePr>
                  <a:graphicFrameLocks/>
                </wp:cNvGraphicFramePr>
                <a:graphic>
                  <a:graphicData uri="http://schemas.microsoft.com/office/word/2010/wordprocessingGroup">
                    <wpg:wgp>
                      <wpg:cNvPr id="673" name="Group 673"/>
                      <wpg:cNvGrpSpPr/>
                      <wpg:grpSpPr>
                        <a:xfrm>
                          <a:off x="0" y="0"/>
                          <a:ext cx="7762875" cy="9748520"/>
                          <a:chExt cx="7762875" cy="9748520"/>
                        </a:xfrm>
                      </wpg:grpSpPr>
                      <pic:pic>
                        <pic:nvPicPr>
                          <pic:cNvPr id="674" name="Image 674"/>
                          <pic:cNvPicPr/>
                        </pic:nvPicPr>
                        <pic:blipFill>
                          <a:blip r:embed="rId5" cstate="print"/>
                          <a:stretch>
                            <a:fillRect/>
                          </a:stretch>
                        </pic:blipFill>
                        <pic:spPr>
                          <a:xfrm>
                            <a:off x="0" y="0"/>
                            <a:ext cx="7762874" cy="9748489"/>
                          </a:xfrm>
                          <a:prstGeom prst="rect">
                            <a:avLst/>
                          </a:prstGeom>
                        </pic:spPr>
                      </pic:pic>
                      <wps:wsp>
                        <wps:cNvPr id="675" name="Graphic 675"/>
                        <wps:cNvSpPr/>
                        <wps:spPr>
                          <a:xfrm>
                            <a:off x="1053007" y="990837"/>
                            <a:ext cx="5768340" cy="4319905"/>
                          </a:xfrm>
                          <a:custGeom>
                            <a:avLst/>
                            <a:gdLst/>
                            <a:ahLst/>
                            <a:cxnLst/>
                            <a:rect l="l" t="t" r="r" b="b"/>
                            <a:pathLst>
                              <a:path w="5768340" h="4319905">
                                <a:moveTo>
                                  <a:pt x="5649214" y="0"/>
                                </a:moveTo>
                                <a:lnTo>
                                  <a:pt x="0" y="0"/>
                                </a:lnTo>
                                <a:lnTo>
                                  <a:pt x="0" y="9131"/>
                                </a:lnTo>
                                <a:lnTo>
                                  <a:pt x="5649214" y="9131"/>
                                </a:lnTo>
                                <a:lnTo>
                                  <a:pt x="5649214" y="0"/>
                                </a:lnTo>
                                <a:close/>
                              </a:path>
                              <a:path w="5768340" h="4319905">
                                <a:moveTo>
                                  <a:pt x="5768035" y="126479"/>
                                </a:moveTo>
                                <a:lnTo>
                                  <a:pt x="5761990" y="126479"/>
                                </a:lnTo>
                                <a:lnTo>
                                  <a:pt x="5761939" y="132575"/>
                                </a:lnTo>
                                <a:lnTo>
                                  <a:pt x="5761939" y="4313542"/>
                                </a:lnTo>
                                <a:lnTo>
                                  <a:pt x="21336" y="4313542"/>
                                </a:lnTo>
                                <a:lnTo>
                                  <a:pt x="21336" y="132575"/>
                                </a:lnTo>
                                <a:lnTo>
                                  <a:pt x="5761939" y="132575"/>
                                </a:lnTo>
                                <a:lnTo>
                                  <a:pt x="5761939" y="126479"/>
                                </a:lnTo>
                                <a:lnTo>
                                  <a:pt x="21336" y="126479"/>
                                </a:lnTo>
                                <a:lnTo>
                                  <a:pt x="15240" y="126479"/>
                                </a:lnTo>
                                <a:lnTo>
                                  <a:pt x="15240" y="132575"/>
                                </a:lnTo>
                                <a:lnTo>
                                  <a:pt x="15240" y="4313542"/>
                                </a:lnTo>
                                <a:lnTo>
                                  <a:pt x="15240" y="4319638"/>
                                </a:lnTo>
                                <a:lnTo>
                                  <a:pt x="21336" y="4319638"/>
                                </a:lnTo>
                                <a:lnTo>
                                  <a:pt x="5761939" y="4319638"/>
                                </a:lnTo>
                                <a:lnTo>
                                  <a:pt x="5768035" y="4319638"/>
                                </a:lnTo>
                                <a:lnTo>
                                  <a:pt x="5768035" y="4313542"/>
                                </a:lnTo>
                                <a:lnTo>
                                  <a:pt x="5768035" y="132575"/>
                                </a:lnTo>
                                <a:lnTo>
                                  <a:pt x="5768035"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55552" id="docshapegroup651" coordorigin="15,468" coordsize="12225,15352">
                <v:shape style="position:absolute;left:15;top:468;width:12225;height:15352" type="#_x0000_t75" id="docshape652" stroked="false">
                  <v:imagedata r:id="rId5" o:title=""/>
                </v:shape>
                <v:shape style="position:absolute;left:1673;top:2028;width:9084;height:6803" id="docshape653" coordorigin="1673,2028" coordsize="9084,6803" path="m10570,2028l1673,2028,1673,2043,10570,2043,10570,2028xm10757,2228l10747,2228,10747,2228,10747,2237,10747,8821,1707,8821,1707,2237,10747,2237,10747,2228,1707,2228,1697,2228,1697,2237,1697,8821,1697,8831,1707,8831,10747,8831,10747,8831,10757,8831,10757,8821,10757,2237,10757,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136</w:t>
      </w:r>
    </w:p>
    <w:p>
      <w:pPr>
        <w:pStyle w:val="BodyText"/>
        <w:spacing w:before="227" w:after="20"/>
        <w:ind w:left="746"/>
        <w:jc w:val="both"/>
      </w:pPr>
      <w:hyperlink w:history="true" w:anchor="_bookmark172">
        <w:r>
          <w:rPr>
            <w:color w:val="0462C1"/>
            <w:u w:val="single" w:color="0462C1"/>
          </w:rPr>
          <w:t>NICSP</w:t>
        </w:r>
        <w:r>
          <w:rPr>
            <w:color w:val="0462C1"/>
            <w:spacing w:val="-2"/>
            <w:u w:val="single" w:color="0462C1"/>
          </w:rPr>
          <w:t> </w:t>
        </w:r>
        <w:r>
          <w:rPr>
            <w:color w:val="0462C1"/>
            <w:u w:val="single" w:color="0462C1"/>
          </w:rPr>
          <w:t>13</w:t>
        </w:r>
        <w:r>
          <w:rPr>
            <w:color w:val="0462C1"/>
            <w:spacing w:val="-2"/>
            <w:u w:val="single" w:color="0462C1"/>
          </w:rPr>
          <w:t> </w:t>
        </w:r>
        <w:r>
          <w:rPr>
            <w:color w:val="0462C1"/>
            <w:u w:val="single" w:color="0462C1"/>
          </w:rPr>
          <w:t>-</w:t>
        </w:r>
        <w:r>
          <w:rPr>
            <w:color w:val="0462C1"/>
            <w:spacing w:val="-4"/>
            <w:u w:val="single" w:color="0462C1"/>
          </w:rPr>
          <w:t> </w:t>
        </w:r>
        <w:r>
          <w:rPr>
            <w:color w:val="0462C1"/>
            <w:spacing w:val="-2"/>
            <w:u w:val="single" w:color="0462C1"/>
          </w:rPr>
          <w:t>Arrendamientos</w:t>
        </w:r>
      </w:hyperlink>
    </w:p>
    <w:tbl>
      <w:tblPr>
        <w:tblW w:w="0" w:type="auto"/>
        <w:jc w:val="left"/>
        <w:tblInd w:w="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1"/>
        <w:gridCol w:w="1762"/>
        <w:gridCol w:w="1760"/>
      </w:tblGrid>
      <w:tr>
        <w:trPr>
          <w:trHeight w:val="407" w:hRule="atLeast"/>
        </w:trPr>
        <w:tc>
          <w:tcPr>
            <w:tcW w:w="2461" w:type="dxa"/>
            <w:shd w:val="clear" w:color="auto" w:fill="1F3863"/>
          </w:tcPr>
          <w:p>
            <w:pPr>
              <w:pStyle w:val="TableParagraph"/>
              <w:spacing w:before="1"/>
              <w:ind w:left="15"/>
              <w:jc w:val="center"/>
              <w:rPr>
                <w:sz w:val="20"/>
              </w:rPr>
            </w:pPr>
            <w:r>
              <w:rPr>
                <w:color w:val="FFFFFF"/>
                <w:spacing w:val="-2"/>
                <w:sz w:val="20"/>
              </w:rPr>
              <w:t>Resumen</w:t>
            </w:r>
          </w:p>
        </w:tc>
        <w:tc>
          <w:tcPr>
            <w:tcW w:w="1762" w:type="dxa"/>
            <w:shd w:val="clear" w:color="auto" w:fill="1F3863"/>
          </w:tcPr>
          <w:p>
            <w:pPr>
              <w:pStyle w:val="TableParagraph"/>
              <w:spacing w:before="89"/>
              <w:ind w:left="12"/>
              <w:jc w:val="center"/>
              <w:rPr>
                <w:sz w:val="20"/>
              </w:rPr>
            </w:pPr>
            <w:r>
              <w:rPr>
                <w:color w:val="FFFFFF"/>
                <w:spacing w:val="-2"/>
                <w:sz w:val="20"/>
              </w:rPr>
              <w:t>CANTIDAD</w:t>
            </w:r>
          </w:p>
        </w:tc>
        <w:tc>
          <w:tcPr>
            <w:tcW w:w="1760" w:type="dxa"/>
            <w:shd w:val="clear" w:color="auto" w:fill="1F3863"/>
          </w:tcPr>
          <w:p>
            <w:pPr>
              <w:pStyle w:val="TableParagraph"/>
              <w:spacing w:before="89"/>
              <w:ind w:right="92"/>
              <w:jc w:val="right"/>
              <w:rPr>
                <w:sz w:val="20"/>
              </w:rPr>
            </w:pPr>
            <w:r>
              <w:rPr>
                <w:color w:val="FFFFFF"/>
                <w:sz w:val="20"/>
              </w:rPr>
              <w:t>MONTO</w:t>
            </w:r>
            <w:r>
              <w:rPr>
                <w:color w:val="FFFFFF"/>
                <w:spacing w:val="-8"/>
                <w:sz w:val="20"/>
              </w:rPr>
              <w:t> </w:t>
            </w:r>
            <w:r>
              <w:rPr>
                <w:color w:val="FFFFFF"/>
                <w:spacing w:val="-2"/>
                <w:sz w:val="20"/>
              </w:rPr>
              <w:t>TOTAL</w:t>
            </w:r>
          </w:p>
        </w:tc>
      </w:tr>
      <w:tr>
        <w:trPr>
          <w:trHeight w:val="383" w:hRule="atLeast"/>
        </w:trPr>
        <w:tc>
          <w:tcPr>
            <w:tcW w:w="2461" w:type="dxa"/>
            <w:tcBorders>
              <w:right w:val="nil"/>
            </w:tcBorders>
            <w:shd w:val="clear" w:color="auto" w:fill="1F3863"/>
          </w:tcPr>
          <w:p>
            <w:pPr>
              <w:pStyle w:val="TableParagraph"/>
              <w:spacing w:before="77"/>
              <w:ind w:left="69"/>
              <w:rPr>
                <w:sz w:val="20"/>
              </w:rPr>
            </w:pPr>
            <w:r>
              <w:rPr>
                <w:color w:val="FFFFFF"/>
                <w:sz w:val="20"/>
              </w:rPr>
              <w:t>Arrendamiento</w:t>
            </w:r>
            <w:r>
              <w:rPr>
                <w:color w:val="FFFFFF"/>
                <w:spacing w:val="-13"/>
                <w:sz w:val="20"/>
              </w:rPr>
              <w:t> </w:t>
            </w:r>
            <w:r>
              <w:rPr>
                <w:color w:val="FFFFFF"/>
                <w:spacing w:val="-2"/>
                <w:sz w:val="20"/>
              </w:rPr>
              <w:t>Operativo</w:t>
            </w:r>
          </w:p>
        </w:tc>
        <w:tc>
          <w:tcPr>
            <w:tcW w:w="1762" w:type="dxa"/>
            <w:tcBorders>
              <w:left w:val="nil"/>
            </w:tcBorders>
          </w:tcPr>
          <w:p>
            <w:pPr>
              <w:pStyle w:val="TableParagraph"/>
              <w:spacing w:before="77"/>
              <w:ind w:left="23"/>
              <w:jc w:val="center"/>
              <w:rPr>
                <w:sz w:val="20"/>
              </w:rPr>
            </w:pPr>
            <w:r>
              <w:rPr>
                <w:spacing w:val="-5"/>
                <w:sz w:val="20"/>
              </w:rPr>
              <w:t>39</w:t>
            </w:r>
          </w:p>
        </w:tc>
        <w:tc>
          <w:tcPr>
            <w:tcW w:w="1760" w:type="dxa"/>
          </w:tcPr>
          <w:p>
            <w:pPr>
              <w:pStyle w:val="TableParagraph"/>
              <w:spacing w:before="65"/>
              <w:ind w:right="49"/>
              <w:jc w:val="right"/>
              <w:rPr>
                <w:sz w:val="22"/>
              </w:rPr>
            </w:pPr>
            <w:r>
              <w:rPr>
                <w:spacing w:val="-2"/>
                <w:sz w:val="22"/>
              </w:rPr>
              <w:t>¢1.100.045,54</w:t>
            </w:r>
          </w:p>
        </w:tc>
      </w:tr>
      <w:tr>
        <w:trPr>
          <w:trHeight w:val="385" w:hRule="atLeast"/>
        </w:trPr>
        <w:tc>
          <w:tcPr>
            <w:tcW w:w="2461" w:type="dxa"/>
            <w:tcBorders>
              <w:right w:val="nil"/>
            </w:tcBorders>
            <w:shd w:val="clear" w:color="auto" w:fill="1F3863"/>
          </w:tcPr>
          <w:p>
            <w:pPr>
              <w:pStyle w:val="TableParagraph"/>
              <w:spacing w:before="77"/>
              <w:ind w:left="69"/>
              <w:rPr>
                <w:sz w:val="20"/>
              </w:rPr>
            </w:pPr>
            <w:r>
              <w:rPr>
                <w:color w:val="FFFFFF"/>
                <w:sz w:val="20"/>
              </w:rPr>
              <w:t>Arrendamiento</w:t>
            </w:r>
            <w:r>
              <w:rPr>
                <w:color w:val="FFFFFF"/>
                <w:spacing w:val="-13"/>
                <w:sz w:val="20"/>
              </w:rPr>
              <w:t> </w:t>
            </w:r>
            <w:r>
              <w:rPr>
                <w:color w:val="FFFFFF"/>
                <w:spacing w:val="-2"/>
                <w:sz w:val="20"/>
              </w:rPr>
              <w:t>Financiero</w:t>
            </w:r>
          </w:p>
        </w:tc>
        <w:tc>
          <w:tcPr>
            <w:tcW w:w="1762" w:type="dxa"/>
            <w:tcBorders>
              <w:left w:val="nil"/>
            </w:tcBorders>
          </w:tcPr>
          <w:p>
            <w:pPr>
              <w:pStyle w:val="TableParagraph"/>
              <w:rPr>
                <w:rFonts w:ascii="Times New Roman"/>
                <w:sz w:val="20"/>
              </w:rPr>
            </w:pPr>
          </w:p>
        </w:tc>
        <w:tc>
          <w:tcPr>
            <w:tcW w:w="1760" w:type="dxa"/>
          </w:tcPr>
          <w:p>
            <w:pPr>
              <w:pStyle w:val="TableParagraph"/>
              <w:spacing w:before="74"/>
              <w:ind w:right="49"/>
              <w:jc w:val="right"/>
              <w:rPr>
                <w:sz w:val="20"/>
              </w:rPr>
            </w:pPr>
            <w:r>
              <w:rPr>
                <w:rFonts w:ascii="Times New Roman" w:hAnsi="Times New Roman"/>
                <w:spacing w:val="-2"/>
                <w:sz w:val="20"/>
              </w:rPr>
              <w:t>₡</w:t>
            </w:r>
            <w:r>
              <w:rPr>
                <w:spacing w:val="-2"/>
                <w:sz w:val="20"/>
              </w:rPr>
              <w:t>0,00</w:t>
            </w:r>
          </w:p>
        </w:tc>
      </w:tr>
    </w:tbl>
    <w:p>
      <w:pPr>
        <w:pStyle w:val="BodyText"/>
        <w:spacing w:before="37"/>
      </w:pPr>
    </w:p>
    <w:p>
      <w:pPr>
        <w:pStyle w:val="BodyText"/>
        <w:ind w:left="691" w:right="890"/>
        <w:jc w:val="both"/>
      </w:pPr>
      <w:r>
        <w:rPr/>
        <w:t>No se cuenta con arrendamientos operativos como arrendador. Todos los arrendamientos son como arrendatarios, clasificados como arrendamientos operativos.</w:t>
      </w:r>
    </w:p>
    <w:p>
      <w:pPr>
        <w:pStyle w:val="BodyText"/>
      </w:pPr>
    </w:p>
    <w:p>
      <w:pPr>
        <w:pStyle w:val="BodyText"/>
      </w:pPr>
    </w:p>
    <w:p>
      <w:pPr>
        <w:pStyle w:val="BodyText"/>
        <w:spacing w:before="1"/>
        <w:ind w:left="691" w:right="882"/>
        <w:jc w:val="both"/>
      </w:pPr>
      <w:r>
        <w:rPr/>
        <w:t>En el </w:t>
      </w:r>
      <w:r>
        <w:rPr>
          <w:b/>
        </w:rPr>
        <w:t>Anexo No.7 </w:t>
      </w:r>
      <w:r>
        <w:rPr/>
        <w:t>se muestra el detalle de los 39 alquileres operativos que Al 31 de julio 2026 compuestos por las oficinas administrativas de Regionales, ULDES. Adicionalmente, se incluye los alquileres de espacios en los Aeropuertos Internacionales Juan Santamaria y edificio Administrativo.</w:t>
      </w:r>
    </w:p>
    <w:p>
      <w:pPr>
        <w:pStyle w:val="BodyText"/>
        <w:spacing w:before="250"/>
        <w:ind w:left="691" w:right="887"/>
        <w:jc w:val="both"/>
      </w:pPr>
      <w:r>
        <w:rPr/>
        <w:t>Conforme al párrafo 44 de la Norma el IMAS como</w:t>
      </w:r>
      <w:r>
        <w:rPr>
          <w:spacing w:val="80"/>
        </w:rPr>
        <w:t> </w:t>
      </w:r>
      <w:r>
        <w:rPr/>
        <w:t>arrendatario de diversos contratos revela la siguiente información sobre arrendamientos operativos en el </w:t>
      </w:r>
      <w:r>
        <w:rPr>
          <w:b/>
        </w:rPr>
        <w:t>Anexo No.8</w:t>
      </w:r>
      <w:r>
        <w:rPr/>
        <w:t>, dicho anexo se muestra la matriz de arrendamiento con el total de pagos mínimos futuros del arrendamiento, derivados de contratos de arrendamiento operativo no cancelables, que se van a satisfacer en los siguientes plazos:</w:t>
      </w:r>
    </w:p>
    <w:p>
      <w:pPr>
        <w:pStyle w:val="BodyText"/>
      </w:pPr>
    </w:p>
    <w:p>
      <w:pPr>
        <w:pStyle w:val="Heading6"/>
        <w:ind w:left="691"/>
        <w:jc w:val="both"/>
      </w:pPr>
      <w:r>
        <w:rPr/>
        <w:t>Contratos</w:t>
      </w:r>
      <w:r>
        <w:rPr>
          <w:spacing w:val="-5"/>
        </w:rPr>
        <w:t> </w:t>
      </w:r>
      <w:r>
        <w:rPr/>
        <w:t>con</w:t>
      </w:r>
      <w:r>
        <w:rPr>
          <w:spacing w:val="-4"/>
        </w:rPr>
        <w:t> </w:t>
      </w:r>
      <w:r>
        <w:rPr/>
        <w:t>vencimiento</w:t>
      </w:r>
      <w:r>
        <w:rPr>
          <w:spacing w:val="-5"/>
        </w:rPr>
        <w:t> </w:t>
      </w:r>
      <w:r>
        <w:rPr/>
        <w:t>hasta</w:t>
      </w:r>
      <w:r>
        <w:rPr>
          <w:spacing w:val="-4"/>
        </w:rPr>
        <w:t> </w:t>
      </w:r>
      <w:r>
        <w:rPr/>
        <w:t>1</w:t>
      </w:r>
      <w:r>
        <w:rPr>
          <w:spacing w:val="-4"/>
        </w:rPr>
        <w:t> </w:t>
      </w:r>
      <w:r>
        <w:rPr>
          <w:spacing w:val="-5"/>
        </w:rPr>
        <w:t>año</w:t>
      </w:r>
    </w:p>
    <w:p>
      <w:pPr>
        <w:pStyle w:val="BodyText"/>
        <w:rPr>
          <w:b/>
        </w:rPr>
      </w:pPr>
    </w:p>
    <w:p>
      <w:pPr>
        <w:pStyle w:val="BodyText"/>
        <w:ind w:left="691" w:right="841"/>
        <w:jc w:val="both"/>
      </w:pPr>
      <w:r>
        <w:rPr/>
        <w:t>Como se puede observar en el cuadro siguiente el monto total de los contratos por arrendamientos operativos hasta un año en</w:t>
      </w:r>
      <w:r>
        <w:rPr>
          <w:spacing w:val="-1"/>
        </w:rPr>
        <w:t> </w:t>
      </w:r>
      <w:r>
        <w:rPr/>
        <w:t>colones es de</w:t>
      </w:r>
      <w:r>
        <w:rPr>
          <w:spacing w:val="-1"/>
        </w:rPr>
        <w:t> </w:t>
      </w:r>
      <w:r>
        <w:rPr/>
        <w:t>¢1.680.386,74 de</w:t>
      </w:r>
      <w:r>
        <w:rPr>
          <w:spacing w:val="-1"/>
        </w:rPr>
        <w:t> </w:t>
      </w:r>
      <w:r>
        <w:rPr/>
        <w:t>los cuales se han cancelado al 31 de</w:t>
      </w:r>
      <w:r>
        <w:rPr>
          <w:spacing w:val="-1"/>
        </w:rPr>
        <w:t> </w:t>
      </w:r>
      <w:r>
        <w:rPr/>
        <w:t>julio ¢</w:t>
      </w:r>
    </w:p>
    <w:p>
      <w:pPr>
        <w:pStyle w:val="BodyText"/>
        <w:ind w:left="691"/>
        <w:jc w:val="both"/>
      </w:pPr>
      <w:r>
        <w:rPr/>
        <w:t>¢1.100.045,54.</w:t>
      </w:r>
      <w:r>
        <w:rPr>
          <w:spacing w:val="71"/>
          <w:w w:val="150"/>
        </w:rPr>
        <w:t> </w:t>
      </w:r>
      <w:r>
        <w:rPr/>
        <w:t>No</w:t>
      </w:r>
      <w:r>
        <w:rPr>
          <w:spacing w:val="-3"/>
        </w:rPr>
        <w:t> </w:t>
      </w:r>
      <w:r>
        <w:rPr/>
        <w:t>hay</w:t>
      </w:r>
      <w:r>
        <w:rPr>
          <w:spacing w:val="-4"/>
        </w:rPr>
        <w:t> </w:t>
      </w:r>
      <w:r>
        <w:rPr/>
        <w:t>contratos</w:t>
      </w:r>
      <w:r>
        <w:rPr>
          <w:spacing w:val="-3"/>
        </w:rPr>
        <w:t> </w:t>
      </w:r>
      <w:r>
        <w:rPr/>
        <w:t>contingentes,</w:t>
      </w:r>
      <w:r>
        <w:rPr>
          <w:spacing w:val="-3"/>
        </w:rPr>
        <w:t> </w:t>
      </w:r>
      <w:r>
        <w:rPr/>
        <w:t>ni</w:t>
      </w:r>
      <w:r>
        <w:rPr>
          <w:spacing w:val="-6"/>
        </w:rPr>
        <w:t> </w:t>
      </w:r>
      <w:r>
        <w:rPr>
          <w:spacing w:val="-2"/>
        </w:rPr>
        <w:t>subarrendamientos.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1952">
                <wp:simplePos x="0" y="0"/>
                <wp:positionH relativeFrom="page">
                  <wp:posOffset>9525</wp:posOffset>
                </wp:positionH>
                <wp:positionV relativeFrom="page">
                  <wp:posOffset>297208</wp:posOffset>
                </wp:positionV>
                <wp:extent cx="7762875" cy="9748520"/>
                <wp:effectExtent l="0" t="0" r="0" b="0"/>
                <wp:wrapNone/>
                <wp:docPr id="676" name="Group 676"/>
                <wp:cNvGraphicFramePr>
                  <a:graphicFrameLocks/>
                </wp:cNvGraphicFramePr>
                <a:graphic>
                  <a:graphicData uri="http://schemas.microsoft.com/office/word/2010/wordprocessingGroup">
                    <wpg:wgp>
                      <wpg:cNvPr id="676" name="Group 676"/>
                      <wpg:cNvGrpSpPr/>
                      <wpg:grpSpPr>
                        <a:xfrm>
                          <a:off x="0" y="0"/>
                          <a:ext cx="7762875" cy="9748520"/>
                          <a:chExt cx="7762875" cy="9748520"/>
                        </a:xfrm>
                      </wpg:grpSpPr>
                      <pic:pic>
                        <pic:nvPicPr>
                          <pic:cNvPr id="677" name="Image 677"/>
                          <pic:cNvPicPr/>
                        </pic:nvPicPr>
                        <pic:blipFill>
                          <a:blip r:embed="rId5" cstate="print"/>
                          <a:stretch>
                            <a:fillRect/>
                          </a:stretch>
                        </pic:blipFill>
                        <pic:spPr>
                          <a:xfrm>
                            <a:off x="0" y="0"/>
                            <a:ext cx="7762874" cy="9748489"/>
                          </a:xfrm>
                          <a:prstGeom prst="rect">
                            <a:avLst/>
                          </a:prstGeom>
                        </pic:spPr>
                      </pic:pic>
                      <wps:wsp>
                        <wps:cNvPr id="678" name="Graphic 67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79" name="Image 679"/>
                          <pic:cNvPicPr/>
                        </pic:nvPicPr>
                        <pic:blipFill>
                          <a:blip r:embed="rId78" cstate="print"/>
                          <a:stretch>
                            <a:fillRect/>
                          </a:stretch>
                        </pic:blipFill>
                        <pic:spPr>
                          <a:xfrm>
                            <a:off x="1115059" y="1123794"/>
                            <a:ext cx="5612129" cy="482727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4528" id="docshapegroup654" coordorigin="15,468" coordsize="12225,15352">
                <v:shape style="position:absolute;left:15;top:468;width:12225;height:15352" type="#_x0000_t75" id="docshape655" stroked="false">
                  <v:imagedata r:id="rId5" o:title=""/>
                </v:shape>
                <v:rect style="position:absolute;left:1673;top:2028;width:8897;height:15" id="docshape656" filled="true" fillcolor="#000000" stroked="false">
                  <v:fill type="solid"/>
                </v:rect>
                <v:shape style="position:absolute;left:1771;top:2237;width:8838;height:7602" type="#_x0000_t75" id="docshape657" stroked="false">
                  <v:imagedata r:id="rId78" o:title=""/>
                </v:shape>
                <w10:wrap type="none"/>
              </v:group>
            </w:pict>
          </mc:Fallback>
        </mc:AlternateContent>
      </w:r>
      <w:r>
        <w:rPr>
          <w:color w:val="172951"/>
          <w:sz w:val="20"/>
        </w:rPr>
        <w:t>Pág.</w:t>
      </w:r>
      <w:r>
        <w:rPr>
          <w:color w:val="172951"/>
          <w:spacing w:val="-7"/>
          <w:sz w:val="20"/>
        </w:rPr>
        <w:t> </w:t>
      </w:r>
      <w:r>
        <w:rPr>
          <w:color w:val="172951"/>
          <w:spacing w:val="-5"/>
          <w:sz w:val="20"/>
        </w:rPr>
        <w:t>137</w:t>
      </w:r>
    </w:p>
    <w:p>
      <w:pPr>
        <w:pStyle w:val="BodyText"/>
        <w:spacing w:before="10"/>
        <w:rPr>
          <w:sz w:val="16"/>
        </w:rPr>
      </w:pPr>
      <w:r>
        <w:rPr>
          <w:sz w:val="16"/>
        </w:rPr>
        <mc:AlternateContent>
          <mc:Choice Requires="wps">
            <w:drawing>
              <wp:anchor distT="0" distB="0" distL="0" distR="0" allowOverlap="1" layoutInCell="1" locked="0" behindDoc="1" simplePos="0" relativeHeight="487724544">
                <wp:simplePos x="0" y="0"/>
                <wp:positionH relativeFrom="page">
                  <wp:posOffset>1080820</wp:posOffset>
                </wp:positionH>
                <wp:positionV relativeFrom="paragraph">
                  <wp:posOffset>140652</wp:posOffset>
                </wp:positionV>
                <wp:extent cx="5746750" cy="6862445"/>
                <wp:effectExtent l="0" t="0" r="0" b="0"/>
                <wp:wrapTopAndBottom/>
                <wp:docPr id="680" name="Textbox 680"/>
                <wp:cNvGraphicFramePr>
                  <a:graphicFrameLocks/>
                </wp:cNvGraphicFramePr>
                <a:graphic>
                  <a:graphicData uri="http://schemas.microsoft.com/office/word/2010/wordprocessingShape">
                    <wps:wsp>
                      <wps:cNvPr id="680" name="Textbox 680"/>
                      <wps:cNvSpPr txBox="1"/>
                      <wps:spPr>
                        <a:xfrm>
                          <a:off x="0" y="0"/>
                          <a:ext cx="5746750" cy="6862445"/>
                        </a:xfrm>
                        <a:prstGeom prst="rect">
                          <a:avLst/>
                        </a:prstGeom>
                        <a:ln w="6096">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pPr>
                          </w:p>
                          <w:p>
                            <w:pPr>
                              <w:spacing w:before="0"/>
                              <w:ind w:left="64" w:right="0" w:firstLine="0"/>
                              <w:jc w:val="left"/>
                              <w:rPr>
                                <w:b/>
                                <w:sz w:val="22"/>
                              </w:rPr>
                            </w:pPr>
                            <w:r>
                              <w:rPr>
                                <w:b/>
                                <w:sz w:val="22"/>
                                <w:u w:val="single"/>
                              </w:rPr>
                              <w:t>Contratos</w:t>
                            </w:r>
                            <w:r>
                              <w:rPr>
                                <w:b/>
                                <w:spacing w:val="-2"/>
                                <w:sz w:val="22"/>
                                <w:u w:val="single"/>
                              </w:rPr>
                              <w:t> </w:t>
                            </w:r>
                            <w:r>
                              <w:rPr>
                                <w:b/>
                                <w:sz w:val="22"/>
                                <w:u w:val="single"/>
                              </w:rPr>
                              <w:t>con</w:t>
                            </w:r>
                            <w:r>
                              <w:rPr>
                                <w:b/>
                                <w:spacing w:val="-3"/>
                                <w:sz w:val="22"/>
                                <w:u w:val="single"/>
                              </w:rPr>
                              <w:t> </w:t>
                            </w:r>
                            <w:r>
                              <w:rPr>
                                <w:b/>
                                <w:sz w:val="22"/>
                                <w:u w:val="single"/>
                              </w:rPr>
                              <w:t>vencimiento</w:t>
                            </w:r>
                            <w:r>
                              <w:rPr>
                                <w:b/>
                                <w:spacing w:val="-5"/>
                                <w:sz w:val="22"/>
                                <w:u w:val="single"/>
                              </w:rPr>
                              <w:t> </w:t>
                            </w:r>
                            <w:r>
                              <w:rPr>
                                <w:b/>
                                <w:sz w:val="22"/>
                                <w:u w:val="single"/>
                              </w:rPr>
                              <w:t>hasta</w:t>
                            </w:r>
                            <w:r>
                              <w:rPr>
                                <w:b/>
                                <w:spacing w:val="-3"/>
                                <w:sz w:val="22"/>
                                <w:u w:val="single"/>
                              </w:rPr>
                              <w:t> </w:t>
                            </w:r>
                            <w:r>
                              <w:rPr>
                                <w:b/>
                                <w:sz w:val="22"/>
                                <w:u w:val="single"/>
                              </w:rPr>
                              <w:t>entre</w:t>
                            </w:r>
                            <w:r>
                              <w:rPr>
                                <w:b/>
                                <w:spacing w:val="-2"/>
                                <w:sz w:val="22"/>
                                <w:u w:val="single"/>
                              </w:rPr>
                              <w:t> </w:t>
                            </w:r>
                            <w:r>
                              <w:rPr>
                                <w:b/>
                                <w:sz w:val="22"/>
                                <w:u w:val="single"/>
                              </w:rPr>
                              <w:t>1</w:t>
                            </w:r>
                            <w:r>
                              <w:rPr>
                                <w:b/>
                                <w:spacing w:val="-3"/>
                                <w:sz w:val="22"/>
                                <w:u w:val="single"/>
                              </w:rPr>
                              <w:t> </w:t>
                            </w:r>
                            <w:r>
                              <w:rPr>
                                <w:b/>
                                <w:sz w:val="22"/>
                                <w:u w:val="single"/>
                              </w:rPr>
                              <w:t>año</w:t>
                            </w:r>
                            <w:r>
                              <w:rPr>
                                <w:b/>
                                <w:spacing w:val="-3"/>
                                <w:sz w:val="22"/>
                                <w:u w:val="single"/>
                              </w:rPr>
                              <w:t> </w:t>
                            </w:r>
                            <w:r>
                              <w:rPr>
                                <w:b/>
                                <w:sz w:val="22"/>
                                <w:u w:val="single"/>
                              </w:rPr>
                              <w:t>a</w:t>
                            </w:r>
                            <w:r>
                              <w:rPr>
                                <w:b/>
                                <w:spacing w:val="-4"/>
                                <w:sz w:val="22"/>
                                <w:u w:val="single"/>
                              </w:rPr>
                              <w:t> </w:t>
                            </w:r>
                            <w:r>
                              <w:rPr>
                                <w:b/>
                                <w:sz w:val="22"/>
                                <w:u w:val="single"/>
                              </w:rPr>
                              <w:t>5</w:t>
                            </w:r>
                            <w:r>
                              <w:rPr>
                                <w:b/>
                                <w:spacing w:val="-2"/>
                                <w:sz w:val="22"/>
                                <w:u w:val="single"/>
                              </w:rPr>
                              <w:t> </w:t>
                            </w:r>
                            <w:r>
                              <w:rPr>
                                <w:b/>
                                <w:spacing w:val="-4"/>
                                <w:sz w:val="22"/>
                                <w:u w:val="single"/>
                              </w:rPr>
                              <w:t>años</w:t>
                            </w:r>
                          </w:p>
                          <w:p>
                            <w:pPr>
                              <w:pStyle w:val="BodyText"/>
                              <w:spacing w:before="250"/>
                              <w:ind w:left="64"/>
                            </w:pPr>
                            <w:r>
                              <w:rPr/>
                              <w:t>Como</w:t>
                            </w:r>
                            <w:r>
                              <w:rPr>
                                <w:spacing w:val="-8"/>
                              </w:rPr>
                              <w:t> </w:t>
                            </w:r>
                            <w:r>
                              <w:rPr/>
                              <w:t>se</w:t>
                            </w:r>
                            <w:r>
                              <w:rPr>
                                <w:spacing w:val="-7"/>
                              </w:rPr>
                              <w:t> </w:t>
                            </w:r>
                            <w:r>
                              <w:rPr/>
                              <w:t>puede</w:t>
                            </w:r>
                            <w:r>
                              <w:rPr>
                                <w:spacing w:val="-8"/>
                              </w:rPr>
                              <w:t> </w:t>
                            </w:r>
                            <w:r>
                              <w:rPr/>
                              <w:t>observar</w:t>
                            </w:r>
                            <w:r>
                              <w:rPr>
                                <w:spacing w:val="-6"/>
                              </w:rPr>
                              <w:t> </w:t>
                            </w:r>
                            <w:r>
                              <w:rPr/>
                              <w:t>en</w:t>
                            </w:r>
                            <w:r>
                              <w:rPr>
                                <w:spacing w:val="-8"/>
                              </w:rPr>
                              <w:t> </w:t>
                            </w:r>
                            <w:r>
                              <w:rPr/>
                              <w:t>el</w:t>
                            </w:r>
                            <w:r>
                              <w:rPr>
                                <w:spacing w:val="-7"/>
                              </w:rPr>
                              <w:t> </w:t>
                            </w:r>
                            <w:r>
                              <w:rPr/>
                              <w:t>cuadro</w:t>
                            </w:r>
                            <w:r>
                              <w:rPr>
                                <w:spacing w:val="-6"/>
                              </w:rPr>
                              <w:t> </w:t>
                            </w:r>
                            <w:r>
                              <w:rPr/>
                              <w:t>siguiente</w:t>
                            </w:r>
                            <w:r>
                              <w:rPr>
                                <w:spacing w:val="-7"/>
                              </w:rPr>
                              <w:t> </w:t>
                            </w:r>
                            <w:r>
                              <w:rPr/>
                              <w:t>el</w:t>
                            </w:r>
                            <w:r>
                              <w:rPr>
                                <w:spacing w:val="-7"/>
                              </w:rPr>
                              <w:t> </w:t>
                            </w:r>
                            <w:r>
                              <w:rPr/>
                              <w:t>monto</w:t>
                            </w:r>
                            <w:r>
                              <w:rPr>
                                <w:spacing w:val="-5"/>
                              </w:rPr>
                              <w:t> </w:t>
                            </w:r>
                            <w:r>
                              <w:rPr/>
                              <w:t>total</w:t>
                            </w:r>
                            <w:r>
                              <w:rPr>
                                <w:spacing w:val="-7"/>
                              </w:rPr>
                              <w:t> </w:t>
                            </w:r>
                            <w:r>
                              <w:rPr/>
                              <w:t>de</w:t>
                            </w:r>
                            <w:r>
                              <w:rPr>
                                <w:spacing w:val="-8"/>
                              </w:rPr>
                              <w:t> </w:t>
                            </w:r>
                            <w:r>
                              <w:rPr/>
                              <w:t>pagos</w:t>
                            </w:r>
                            <w:r>
                              <w:rPr>
                                <w:spacing w:val="-5"/>
                              </w:rPr>
                              <w:t> </w:t>
                            </w:r>
                            <w:r>
                              <w:rPr/>
                              <w:t>futuros</w:t>
                            </w:r>
                            <w:r>
                              <w:rPr>
                                <w:spacing w:val="-5"/>
                              </w:rPr>
                              <w:t> </w:t>
                            </w:r>
                            <w:r>
                              <w:rPr/>
                              <w:t>por</w:t>
                            </w:r>
                            <w:r>
                              <w:rPr>
                                <w:spacing w:val="-8"/>
                              </w:rPr>
                              <w:t> </w:t>
                            </w:r>
                            <w:r>
                              <w:rPr/>
                              <w:t>los</w:t>
                            </w:r>
                            <w:r>
                              <w:rPr>
                                <w:spacing w:val="-5"/>
                              </w:rPr>
                              <w:t> </w:t>
                            </w:r>
                            <w:r>
                              <w:rPr/>
                              <w:t>operativos</w:t>
                            </w:r>
                            <w:r>
                              <w:rPr>
                                <w:spacing w:val="-5"/>
                              </w:rPr>
                              <w:t> </w:t>
                            </w:r>
                            <w:r>
                              <w:rPr/>
                              <w:t>entre uno y 5 años conformidad de la posibilidad de prórroga.</w:t>
                            </w:r>
                          </w:p>
                          <w:p>
                            <w:pPr>
                              <w:pStyle w:val="BodyText"/>
                              <w:spacing w:before="2"/>
                            </w:pPr>
                          </w:p>
                          <w:p>
                            <w:pPr>
                              <w:pStyle w:val="BodyText"/>
                              <w:spacing w:line="480" w:lineRule="auto"/>
                              <w:ind w:left="64" w:right="3720"/>
                            </w:pPr>
                            <w:r>
                              <w:rPr/>
                              <w:t>No hay cuotas contingentes, ni subarrendamientos: </w:t>
                            </w:r>
                            <w:r>
                              <w:rPr>
                                <w:u w:val="single"/>
                              </w:rPr>
                              <w:t>Contratos</w:t>
                            </w:r>
                            <w:r>
                              <w:rPr>
                                <w:spacing w:val="-4"/>
                                <w:u w:val="single"/>
                              </w:rPr>
                              <w:t> </w:t>
                            </w:r>
                            <w:r>
                              <w:rPr>
                                <w:u w:val="single"/>
                              </w:rPr>
                              <w:t>con</w:t>
                            </w:r>
                            <w:r>
                              <w:rPr>
                                <w:spacing w:val="-5"/>
                                <w:u w:val="single"/>
                              </w:rPr>
                              <w:t> </w:t>
                            </w:r>
                            <w:r>
                              <w:rPr>
                                <w:u w:val="single"/>
                              </w:rPr>
                              <w:t>vencimiento</w:t>
                            </w:r>
                            <w:r>
                              <w:rPr>
                                <w:spacing w:val="-7"/>
                                <w:u w:val="single"/>
                              </w:rPr>
                              <w:t> </w:t>
                            </w:r>
                            <w:r>
                              <w:rPr>
                                <w:u w:val="single"/>
                              </w:rPr>
                              <w:t>hasta</w:t>
                            </w:r>
                            <w:r>
                              <w:rPr>
                                <w:spacing w:val="-5"/>
                                <w:u w:val="single"/>
                              </w:rPr>
                              <w:t> </w:t>
                            </w:r>
                            <w:r>
                              <w:rPr>
                                <w:u w:val="single"/>
                              </w:rPr>
                              <w:t>entre</w:t>
                            </w:r>
                            <w:r>
                              <w:rPr>
                                <w:spacing w:val="-5"/>
                                <w:u w:val="single"/>
                              </w:rPr>
                              <w:t> </w:t>
                            </w:r>
                            <w:r>
                              <w:rPr>
                                <w:u w:val="single"/>
                              </w:rPr>
                              <w:t>más</w:t>
                            </w:r>
                            <w:r>
                              <w:rPr>
                                <w:spacing w:val="-4"/>
                                <w:u w:val="single"/>
                              </w:rPr>
                              <w:t> </w:t>
                            </w:r>
                            <w:r>
                              <w:rPr>
                                <w:u w:val="single"/>
                              </w:rPr>
                              <w:t>de</w:t>
                            </w:r>
                            <w:r>
                              <w:rPr>
                                <w:spacing w:val="-7"/>
                                <w:u w:val="single"/>
                              </w:rPr>
                              <w:t> </w:t>
                            </w:r>
                            <w:r>
                              <w:rPr>
                                <w:u w:val="single"/>
                              </w:rPr>
                              <w:t>5</w:t>
                            </w:r>
                            <w:r>
                              <w:rPr>
                                <w:spacing w:val="-5"/>
                                <w:u w:val="single"/>
                              </w:rPr>
                              <w:t> </w:t>
                            </w:r>
                            <w:r>
                              <w:rPr>
                                <w:u w:val="single"/>
                              </w:rPr>
                              <w:t>años</w:t>
                            </w:r>
                          </w:p>
                        </w:txbxContent>
                      </wps:txbx>
                      <wps:bodyPr wrap="square" lIns="0" tIns="0" rIns="0" bIns="0" rtlCol="0">
                        <a:noAutofit/>
                      </wps:bodyPr>
                    </wps:wsp>
                  </a:graphicData>
                </a:graphic>
              </wp:anchor>
            </w:drawing>
          </mc:Choice>
          <mc:Fallback>
            <w:pict>
              <v:shape style="position:absolute;margin-left:85.103996pt;margin-top:11.075pt;width:452.5pt;height:540.35pt;mso-position-horizontal-relative:page;mso-position-vertical-relative:paragraph;z-index:-15591936;mso-wrap-distance-left:0;mso-wrap-distance-right:0" type="#_x0000_t202" id="docshape658" filled="false" stroked="true" strokeweight=".48004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pPr>
                    </w:p>
                    <w:p>
                      <w:pPr>
                        <w:spacing w:before="0"/>
                        <w:ind w:left="64" w:right="0" w:firstLine="0"/>
                        <w:jc w:val="left"/>
                        <w:rPr>
                          <w:b/>
                          <w:sz w:val="22"/>
                        </w:rPr>
                      </w:pPr>
                      <w:r>
                        <w:rPr>
                          <w:b/>
                          <w:sz w:val="22"/>
                          <w:u w:val="single"/>
                        </w:rPr>
                        <w:t>Contratos</w:t>
                      </w:r>
                      <w:r>
                        <w:rPr>
                          <w:b/>
                          <w:spacing w:val="-2"/>
                          <w:sz w:val="22"/>
                          <w:u w:val="single"/>
                        </w:rPr>
                        <w:t> </w:t>
                      </w:r>
                      <w:r>
                        <w:rPr>
                          <w:b/>
                          <w:sz w:val="22"/>
                          <w:u w:val="single"/>
                        </w:rPr>
                        <w:t>con</w:t>
                      </w:r>
                      <w:r>
                        <w:rPr>
                          <w:b/>
                          <w:spacing w:val="-3"/>
                          <w:sz w:val="22"/>
                          <w:u w:val="single"/>
                        </w:rPr>
                        <w:t> </w:t>
                      </w:r>
                      <w:r>
                        <w:rPr>
                          <w:b/>
                          <w:sz w:val="22"/>
                          <w:u w:val="single"/>
                        </w:rPr>
                        <w:t>vencimiento</w:t>
                      </w:r>
                      <w:r>
                        <w:rPr>
                          <w:b/>
                          <w:spacing w:val="-5"/>
                          <w:sz w:val="22"/>
                          <w:u w:val="single"/>
                        </w:rPr>
                        <w:t> </w:t>
                      </w:r>
                      <w:r>
                        <w:rPr>
                          <w:b/>
                          <w:sz w:val="22"/>
                          <w:u w:val="single"/>
                        </w:rPr>
                        <w:t>hasta</w:t>
                      </w:r>
                      <w:r>
                        <w:rPr>
                          <w:b/>
                          <w:spacing w:val="-3"/>
                          <w:sz w:val="22"/>
                          <w:u w:val="single"/>
                        </w:rPr>
                        <w:t> </w:t>
                      </w:r>
                      <w:r>
                        <w:rPr>
                          <w:b/>
                          <w:sz w:val="22"/>
                          <w:u w:val="single"/>
                        </w:rPr>
                        <w:t>entre</w:t>
                      </w:r>
                      <w:r>
                        <w:rPr>
                          <w:b/>
                          <w:spacing w:val="-2"/>
                          <w:sz w:val="22"/>
                          <w:u w:val="single"/>
                        </w:rPr>
                        <w:t> </w:t>
                      </w:r>
                      <w:r>
                        <w:rPr>
                          <w:b/>
                          <w:sz w:val="22"/>
                          <w:u w:val="single"/>
                        </w:rPr>
                        <w:t>1</w:t>
                      </w:r>
                      <w:r>
                        <w:rPr>
                          <w:b/>
                          <w:spacing w:val="-3"/>
                          <w:sz w:val="22"/>
                          <w:u w:val="single"/>
                        </w:rPr>
                        <w:t> </w:t>
                      </w:r>
                      <w:r>
                        <w:rPr>
                          <w:b/>
                          <w:sz w:val="22"/>
                          <w:u w:val="single"/>
                        </w:rPr>
                        <w:t>año</w:t>
                      </w:r>
                      <w:r>
                        <w:rPr>
                          <w:b/>
                          <w:spacing w:val="-3"/>
                          <w:sz w:val="22"/>
                          <w:u w:val="single"/>
                        </w:rPr>
                        <w:t> </w:t>
                      </w:r>
                      <w:r>
                        <w:rPr>
                          <w:b/>
                          <w:sz w:val="22"/>
                          <w:u w:val="single"/>
                        </w:rPr>
                        <w:t>a</w:t>
                      </w:r>
                      <w:r>
                        <w:rPr>
                          <w:b/>
                          <w:spacing w:val="-4"/>
                          <w:sz w:val="22"/>
                          <w:u w:val="single"/>
                        </w:rPr>
                        <w:t> </w:t>
                      </w:r>
                      <w:r>
                        <w:rPr>
                          <w:b/>
                          <w:sz w:val="22"/>
                          <w:u w:val="single"/>
                        </w:rPr>
                        <w:t>5</w:t>
                      </w:r>
                      <w:r>
                        <w:rPr>
                          <w:b/>
                          <w:spacing w:val="-2"/>
                          <w:sz w:val="22"/>
                          <w:u w:val="single"/>
                        </w:rPr>
                        <w:t> </w:t>
                      </w:r>
                      <w:r>
                        <w:rPr>
                          <w:b/>
                          <w:spacing w:val="-4"/>
                          <w:sz w:val="22"/>
                          <w:u w:val="single"/>
                        </w:rPr>
                        <w:t>años</w:t>
                      </w:r>
                    </w:p>
                    <w:p>
                      <w:pPr>
                        <w:pStyle w:val="BodyText"/>
                        <w:spacing w:before="250"/>
                        <w:ind w:left="64"/>
                      </w:pPr>
                      <w:r>
                        <w:rPr/>
                        <w:t>Como</w:t>
                      </w:r>
                      <w:r>
                        <w:rPr>
                          <w:spacing w:val="-8"/>
                        </w:rPr>
                        <w:t> </w:t>
                      </w:r>
                      <w:r>
                        <w:rPr/>
                        <w:t>se</w:t>
                      </w:r>
                      <w:r>
                        <w:rPr>
                          <w:spacing w:val="-7"/>
                        </w:rPr>
                        <w:t> </w:t>
                      </w:r>
                      <w:r>
                        <w:rPr/>
                        <w:t>puede</w:t>
                      </w:r>
                      <w:r>
                        <w:rPr>
                          <w:spacing w:val="-8"/>
                        </w:rPr>
                        <w:t> </w:t>
                      </w:r>
                      <w:r>
                        <w:rPr/>
                        <w:t>observar</w:t>
                      </w:r>
                      <w:r>
                        <w:rPr>
                          <w:spacing w:val="-6"/>
                        </w:rPr>
                        <w:t> </w:t>
                      </w:r>
                      <w:r>
                        <w:rPr/>
                        <w:t>en</w:t>
                      </w:r>
                      <w:r>
                        <w:rPr>
                          <w:spacing w:val="-8"/>
                        </w:rPr>
                        <w:t> </w:t>
                      </w:r>
                      <w:r>
                        <w:rPr/>
                        <w:t>el</w:t>
                      </w:r>
                      <w:r>
                        <w:rPr>
                          <w:spacing w:val="-7"/>
                        </w:rPr>
                        <w:t> </w:t>
                      </w:r>
                      <w:r>
                        <w:rPr/>
                        <w:t>cuadro</w:t>
                      </w:r>
                      <w:r>
                        <w:rPr>
                          <w:spacing w:val="-6"/>
                        </w:rPr>
                        <w:t> </w:t>
                      </w:r>
                      <w:r>
                        <w:rPr/>
                        <w:t>siguiente</w:t>
                      </w:r>
                      <w:r>
                        <w:rPr>
                          <w:spacing w:val="-7"/>
                        </w:rPr>
                        <w:t> </w:t>
                      </w:r>
                      <w:r>
                        <w:rPr/>
                        <w:t>el</w:t>
                      </w:r>
                      <w:r>
                        <w:rPr>
                          <w:spacing w:val="-7"/>
                        </w:rPr>
                        <w:t> </w:t>
                      </w:r>
                      <w:r>
                        <w:rPr/>
                        <w:t>monto</w:t>
                      </w:r>
                      <w:r>
                        <w:rPr>
                          <w:spacing w:val="-5"/>
                        </w:rPr>
                        <w:t> </w:t>
                      </w:r>
                      <w:r>
                        <w:rPr/>
                        <w:t>total</w:t>
                      </w:r>
                      <w:r>
                        <w:rPr>
                          <w:spacing w:val="-7"/>
                        </w:rPr>
                        <w:t> </w:t>
                      </w:r>
                      <w:r>
                        <w:rPr/>
                        <w:t>de</w:t>
                      </w:r>
                      <w:r>
                        <w:rPr>
                          <w:spacing w:val="-8"/>
                        </w:rPr>
                        <w:t> </w:t>
                      </w:r>
                      <w:r>
                        <w:rPr/>
                        <w:t>pagos</w:t>
                      </w:r>
                      <w:r>
                        <w:rPr>
                          <w:spacing w:val="-5"/>
                        </w:rPr>
                        <w:t> </w:t>
                      </w:r>
                      <w:r>
                        <w:rPr/>
                        <w:t>futuros</w:t>
                      </w:r>
                      <w:r>
                        <w:rPr>
                          <w:spacing w:val="-5"/>
                        </w:rPr>
                        <w:t> </w:t>
                      </w:r>
                      <w:r>
                        <w:rPr/>
                        <w:t>por</w:t>
                      </w:r>
                      <w:r>
                        <w:rPr>
                          <w:spacing w:val="-8"/>
                        </w:rPr>
                        <w:t> </w:t>
                      </w:r>
                      <w:r>
                        <w:rPr/>
                        <w:t>los</w:t>
                      </w:r>
                      <w:r>
                        <w:rPr>
                          <w:spacing w:val="-5"/>
                        </w:rPr>
                        <w:t> </w:t>
                      </w:r>
                      <w:r>
                        <w:rPr/>
                        <w:t>operativos</w:t>
                      </w:r>
                      <w:r>
                        <w:rPr>
                          <w:spacing w:val="-5"/>
                        </w:rPr>
                        <w:t> </w:t>
                      </w:r>
                      <w:r>
                        <w:rPr/>
                        <w:t>entre uno y 5 años conformidad de la posibilidad de prórroga.</w:t>
                      </w:r>
                    </w:p>
                    <w:p>
                      <w:pPr>
                        <w:pStyle w:val="BodyText"/>
                        <w:spacing w:before="2"/>
                      </w:pPr>
                    </w:p>
                    <w:p>
                      <w:pPr>
                        <w:pStyle w:val="BodyText"/>
                        <w:spacing w:line="480" w:lineRule="auto"/>
                        <w:ind w:left="64" w:right="3720"/>
                      </w:pPr>
                      <w:r>
                        <w:rPr/>
                        <w:t>No hay cuotas contingentes, ni subarrendamientos: </w:t>
                      </w:r>
                      <w:r>
                        <w:rPr>
                          <w:u w:val="single"/>
                        </w:rPr>
                        <w:t>Contratos</w:t>
                      </w:r>
                      <w:r>
                        <w:rPr>
                          <w:spacing w:val="-4"/>
                          <w:u w:val="single"/>
                        </w:rPr>
                        <w:t> </w:t>
                      </w:r>
                      <w:r>
                        <w:rPr>
                          <w:u w:val="single"/>
                        </w:rPr>
                        <w:t>con</w:t>
                      </w:r>
                      <w:r>
                        <w:rPr>
                          <w:spacing w:val="-5"/>
                          <w:u w:val="single"/>
                        </w:rPr>
                        <w:t> </w:t>
                      </w:r>
                      <w:r>
                        <w:rPr>
                          <w:u w:val="single"/>
                        </w:rPr>
                        <w:t>vencimiento</w:t>
                      </w:r>
                      <w:r>
                        <w:rPr>
                          <w:spacing w:val="-7"/>
                          <w:u w:val="single"/>
                        </w:rPr>
                        <w:t> </w:t>
                      </w:r>
                      <w:r>
                        <w:rPr>
                          <w:u w:val="single"/>
                        </w:rPr>
                        <w:t>hasta</w:t>
                      </w:r>
                      <w:r>
                        <w:rPr>
                          <w:spacing w:val="-5"/>
                          <w:u w:val="single"/>
                        </w:rPr>
                        <w:t> </w:t>
                      </w:r>
                      <w:r>
                        <w:rPr>
                          <w:u w:val="single"/>
                        </w:rPr>
                        <w:t>entre</w:t>
                      </w:r>
                      <w:r>
                        <w:rPr>
                          <w:spacing w:val="-5"/>
                          <w:u w:val="single"/>
                        </w:rPr>
                        <w:t> </w:t>
                      </w:r>
                      <w:r>
                        <w:rPr>
                          <w:u w:val="single"/>
                        </w:rPr>
                        <w:t>más</w:t>
                      </w:r>
                      <w:r>
                        <w:rPr>
                          <w:spacing w:val="-4"/>
                          <w:u w:val="single"/>
                        </w:rPr>
                        <w:t> </w:t>
                      </w:r>
                      <w:r>
                        <w:rPr>
                          <w:u w:val="single"/>
                        </w:rPr>
                        <w:t>de</w:t>
                      </w:r>
                      <w:r>
                        <w:rPr>
                          <w:spacing w:val="-7"/>
                          <w:u w:val="single"/>
                        </w:rPr>
                        <w:t> </w:t>
                      </w:r>
                      <w:r>
                        <w:rPr>
                          <w:u w:val="single"/>
                        </w:rPr>
                        <w:t>5</w:t>
                      </w:r>
                      <w:r>
                        <w:rPr>
                          <w:spacing w:val="-5"/>
                          <w:u w:val="single"/>
                        </w:rPr>
                        <w:t> </w:t>
                      </w:r>
                      <w:r>
                        <w:rPr>
                          <w:u w:val="single"/>
                        </w:rPr>
                        <w:t>años</w:t>
                      </w:r>
                    </w:p>
                  </w:txbxContent>
                </v:textbox>
                <v:stroke dashstyle="solid"/>
                <w10:wrap type="topAndBottom"/>
              </v:shape>
            </w:pict>
          </mc:Fallback>
        </mc:AlternateContent>
      </w:r>
    </w:p>
    <w:p>
      <w:pPr>
        <w:pStyle w:val="BodyText"/>
        <w:spacing w:after="0"/>
        <w:rPr>
          <w:sz w:val="16"/>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2464">
                <wp:simplePos x="0" y="0"/>
                <wp:positionH relativeFrom="page">
                  <wp:posOffset>9525</wp:posOffset>
                </wp:positionH>
                <wp:positionV relativeFrom="page">
                  <wp:posOffset>297208</wp:posOffset>
                </wp:positionV>
                <wp:extent cx="7762875" cy="9748520"/>
                <wp:effectExtent l="0" t="0" r="0" b="0"/>
                <wp:wrapNone/>
                <wp:docPr id="681" name="Group 681"/>
                <wp:cNvGraphicFramePr>
                  <a:graphicFrameLocks/>
                </wp:cNvGraphicFramePr>
                <a:graphic>
                  <a:graphicData uri="http://schemas.microsoft.com/office/word/2010/wordprocessingGroup">
                    <wpg:wgp>
                      <wpg:cNvPr id="681" name="Group 681"/>
                      <wpg:cNvGrpSpPr/>
                      <wpg:grpSpPr>
                        <a:xfrm>
                          <a:off x="0" y="0"/>
                          <a:ext cx="7762875" cy="9748520"/>
                          <a:chExt cx="7762875" cy="9748520"/>
                        </a:xfrm>
                      </wpg:grpSpPr>
                      <pic:pic>
                        <pic:nvPicPr>
                          <pic:cNvPr id="682" name="Image 682"/>
                          <pic:cNvPicPr/>
                        </pic:nvPicPr>
                        <pic:blipFill>
                          <a:blip r:embed="rId5" cstate="print"/>
                          <a:stretch>
                            <a:fillRect/>
                          </a:stretch>
                        </pic:blipFill>
                        <pic:spPr>
                          <a:xfrm>
                            <a:off x="0" y="0"/>
                            <a:ext cx="7762874" cy="9748489"/>
                          </a:xfrm>
                          <a:prstGeom prst="rect">
                            <a:avLst/>
                          </a:prstGeom>
                        </pic:spPr>
                      </pic:pic>
                      <wps:wsp>
                        <wps:cNvPr id="683" name="Graphic 683"/>
                        <wps:cNvSpPr/>
                        <wps:spPr>
                          <a:xfrm>
                            <a:off x="1053007" y="990837"/>
                            <a:ext cx="5768340" cy="7772400"/>
                          </a:xfrm>
                          <a:custGeom>
                            <a:avLst/>
                            <a:gdLst/>
                            <a:ahLst/>
                            <a:cxnLst/>
                            <a:rect l="l" t="t" r="r" b="b"/>
                            <a:pathLst>
                              <a:path w="5768340" h="7772400">
                                <a:moveTo>
                                  <a:pt x="21336" y="132651"/>
                                </a:moveTo>
                                <a:lnTo>
                                  <a:pt x="15240" y="132651"/>
                                </a:lnTo>
                                <a:lnTo>
                                  <a:pt x="15240" y="7765732"/>
                                </a:lnTo>
                                <a:lnTo>
                                  <a:pt x="21336" y="7765732"/>
                                </a:lnTo>
                                <a:lnTo>
                                  <a:pt x="21336" y="132651"/>
                                </a:lnTo>
                                <a:close/>
                              </a:path>
                              <a:path w="5768340" h="7772400">
                                <a:moveTo>
                                  <a:pt x="5649214" y="0"/>
                                </a:moveTo>
                                <a:lnTo>
                                  <a:pt x="0" y="0"/>
                                </a:lnTo>
                                <a:lnTo>
                                  <a:pt x="0" y="9131"/>
                                </a:lnTo>
                                <a:lnTo>
                                  <a:pt x="5649214" y="9131"/>
                                </a:lnTo>
                                <a:lnTo>
                                  <a:pt x="5649214" y="0"/>
                                </a:lnTo>
                                <a:close/>
                              </a:path>
                              <a:path w="5768340" h="7772400">
                                <a:moveTo>
                                  <a:pt x="5768035" y="7765745"/>
                                </a:moveTo>
                                <a:lnTo>
                                  <a:pt x="5761990" y="7765745"/>
                                </a:lnTo>
                                <a:lnTo>
                                  <a:pt x="21336" y="7765745"/>
                                </a:lnTo>
                                <a:lnTo>
                                  <a:pt x="15240" y="7765745"/>
                                </a:lnTo>
                                <a:lnTo>
                                  <a:pt x="15240" y="7771828"/>
                                </a:lnTo>
                                <a:lnTo>
                                  <a:pt x="21336" y="7771828"/>
                                </a:lnTo>
                                <a:lnTo>
                                  <a:pt x="5761939" y="7771828"/>
                                </a:lnTo>
                                <a:lnTo>
                                  <a:pt x="5768035" y="7771828"/>
                                </a:lnTo>
                                <a:lnTo>
                                  <a:pt x="5768035" y="7765745"/>
                                </a:lnTo>
                                <a:close/>
                              </a:path>
                              <a:path w="5768340" h="7772400">
                                <a:moveTo>
                                  <a:pt x="5768035" y="132651"/>
                                </a:moveTo>
                                <a:lnTo>
                                  <a:pt x="5761939" y="132651"/>
                                </a:lnTo>
                                <a:lnTo>
                                  <a:pt x="5761939" y="7765732"/>
                                </a:lnTo>
                                <a:lnTo>
                                  <a:pt x="5768035" y="7765732"/>
                                </a:lnTo>
                                <a:lnTo>
                                  <a:pt x="5768035" y="132651"/>
                                </a:lnTo>
                                <a:close/>
                              </a:path>
                              <a:path w="5768340" h="7772400">
                                <a:moveTo>
                                  <a:pt x="5768035" y="126479"/>
                                </a:moveTo>
                                <a:lnTo>
                                  <a:pt x="5761990" y="126479"/>
                                </a:lnTo>
                                <a:lnTo>
                                  <a:pt x="21336" y="126479"/>
                                </a:lnTo>
                                <a:lnTo>
                                  <a:pt x="15240" y="126479"/>
                                </a:lnTo>
                                <a:lnTo>
                                  <a:pt x="15240" y="132575"/>
                                </a:lnTo>
                                <a:lnTo>
                                  <a:pt x="21336" y="132575"/>
                                </a:lnTo>
                                <a:lnTo>
                                  <a:pt x="5761939" y="132575"/>
                                </a:lnTo>
                                <a:lnTo>
                                  <a:pt x="5768035" y="132575"/>
                                </a:lnTo>
                                <a:lnTo>
                                  <a:pt x="5768035" y="126479"/>
                                </a:lnTo>
                                <a:close/>
                              </a:path>
                            </a:pathLst>
                          </a:custGeom>
                          <a:solidFill>
                            <a:srgbClr val="000000"/>
                          </a:solidFill>
                        </wps:spPr>
                        <wps:bodyPr wrap="square" lIns="0" tIns="0" rIns="0" bIns="0" rtlCol="0">
                          <a:prstTxWarp prst="textNoShape">
                            <a:avLst/>
                          </a:prstTxWarp>
                          <a:noAutofit/>
                        </wps:bodyPr>
                      </wps:wsp>
                      <pic:pic>
                        <pic:nvPicPr>
                          <pic:cNvPr id="684" name="Image 684"/>
                          <pic:cNvPicPr/>
                        </pic:nvPicPr>
                        <pic:blipFill>
                          <a:blip r:embed="rId79" cstate="print"/>
                          <a:stretch>
                            <a:fillRect/>
                          </a:stretch>
                        </pic:blipFill>
                        <pic:spPr>
                          <a:xfrm>
                            <a:off x="1133792" y="1123794"/>
                            <a:ext cx="5612130" cy="463994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4016" id="docshapegroup659" coordorigin="15,468" coordsize="12225,15352">
                <v:shape style="position:absolute;left:15;top:468;width:12225;height:15352" type="#_x0000_t75" id="docshape660" stroked="false">
                  <v:imagedata r:id="rId5" o:title=""/>
                </v:shape>
                <v:shape style="position:absolute;left:1673;top:2028;width:9084;height:12240" id="docshape661" coordorigin="1673,2028" coordsize="9084,12240" path="m1707,2237l1697,2237,1697,14258,1707,14258,1707,2237xm10570,2028l1673,2028,1673,2043,10570,2043,10570,2028xm10757,14258l10747,14258,10747,14258,1707,14258,1697,14258,1697,14268,1707,14268,10747,14268,10747,14268,10757,14268,10757,14258xm10757,2237l10747,2237,10747,14258,10757,14258,10757,2237xm10757,2228l10747,2228,10747,2228,1707,2228,1697,2228,1697,2237,1707,2237,10747,2237,10747,2237,10757,2237,10757,2228xe" filled="true" fillcolor="#000000" stroked="false">
                  <v:path arrowok="t"/>
                  <v:fill type="solid"/>
                </v:shape>
                <v:shape style="position:absolute;left:1800;top:2237;width:8838;height:7307" type="#_x0000_t75" id="docshape662" stroked="false">
                  <v:imagedata r:id="rId79" o:title=""/>
                </v:shape>
                <w10:wrap type="none"/>
              </v:group>
            </w:pict>
          </mc:Fallback>
        </mc:AlternateContent>
      </w:r>
      <w:r>
        <w:rPr>
          <w:color w:val="172951"/>
          <w:sz w:val="20"/>
        </w:rPr>
        <w:t>Pág.</w:t>
      </w:r>
      <w:r>
        <w:rPr>
          <w:color w:val="172951"/>
          <w:spacing w:val="-7"/>
          <w:sz w:val="20"/>
        </w:rPr>
        <w:t> </w:t>
      </w:r>
      <w:r>
        <w:rPr>
          <w:color w:val="172951"/>
          <w:spacing w:val="-5"/>
          <w:sz w:val="20"/>
        </w:rPr>
        <w:t>138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pStyle w:val="BodyText"/>
        <w:ind w:left="1399" w:right="832"/>
        <w:jc w:val="both"/>
      </w:pPr>
      <w:r>
        <w:rPr/>
        <w:t>Como se puede observar en el cuadro anterior el monto total de los contratos por arredramientos</w:t>
      </w:r>
      <w:r>
        <w:rPr>
          <w:spacing w:val="-13"/>
        </w:rPr>
        <w:t> </w:t>
      </w:r>
      <w:r>
        <w:rPr/>
        <w:t>operativos</w:t>
      </w:r>
      <w:r>
        <w:rPr>
          <w:spacing w:val="-13"/>
        </w:rPr>
        <w:t> </w:t>
      </w:r>
      <w:r>
        <w:rPr/>
        <w:t>a</w:t>
      </w:r>
      <w:r>
        <w:rPr>
          <w:spacing w:val="-14"/>
        </w:rPr>
        <w:t> </w:t>
      </w:r>
      <w:r>
        <w:rPr/>
        <w:t>más</w:t>
      </w:r>
      <w:r>
        <w:rPr>
          <w:spacing w:val="-11"/>
        </w:rPr>
        <w:t> </w:t>
      </w:r>
      <w:r>
        <w:rPr/>
        <w:t>de</w:t>
      </w:r>
      <w:r>
        <w:rPr>
          <w:spacing w:val="-13"/>
        </w:rPr>
        <w:t> </w:t>
      </w:r>
      <w:r>
        <w:rPr/>
        <w:t>cinco</w:t>
      </w:r>
      <w:r>
        <w:rPr>
          <w:spacing w:val="-12"/>
        </w:rPr>
        <w:t> </w:t>
      </w:r>
      <w:r>
        <w:rPr/>
        <w:t>años</w:t>
      </w:r>
      <w:r>
        <w:rPr>
          <w:spacing w:val="-13"/>
        </w:rPr>
        <w:t> </w:t>
      </w:r>
      <w:r>
        <w:rPr/>
        <w:t>es</w:t>
      </w:r>
      <w:r>
        <w:rPr>
          <w:spacing w:val="-12"/>
        </w:rPr>
        <w:t> </w:t>
      </w:r>
      <w:r>
        <w:rPr/>
        <w:t>por</w:t>
      </w:r>
      <w:r>
        <w:rPr>
          <w:spacing w:val="-12"/>
        </w:rPr>
        <w:t> </w:t>
      </w:r>
      <w:r>
        <w:rPr/>
        <w:t>¢</w:t>
      </w:r>
      <w:r>
        <w:rPr>
          <w:spacing w:val="-13"/>
        </w:rPr>
        <w:t> </w:t>
      </w:r>
      <w:r>
        <w:rPr>
          <w:b/>
        </w:rPr>
        <w:t>400.290,48</w:t>
      </w:r>
      <w:r>
        <w:rPr>
          <w:b/>
          <w:spacing w:val="-12"/>
        </w:rPr>
        <w:t> </w:t>
      </w:r>
      <w:r>
        <w:rPr/>
        <w:t>millones</w:t>
      </w:r>
      <w:r>
        <w:rPr>
          <w:spacing w:val="-13"/>
        </w:rPr>
        <w:t> </w:t>
      </w:r>
      <w:r>
        <w:rPr/>
        <w:t>de</w:t>
      </w:r>
      <w:r>
        <w:rPr>
          <w:spacing w:val="-13"/>
        </w:rPr>
        <w:t> </w:t>
      </w:r>
      <w:r>
        <w:rPr/>
        <w:t>colones</w:t>
      </w:r>
      <w:r>
        <w:rPr>
          <w:spacing w:val="-12"/>
        </w:rPr>
        <w:t> </w:t>
      </w:r>
      <w:r>
        <w:rPr/>
        <w:t>montos estimados y</w:t>
      </w:r>
      <w:r>
        <w:rPr>
          <w:spacing w:val="-1"/>
        </w:rPr>
        <w:t> </w:t>
      </w:r>
      <w:r>
        <w:rPr/>
        <w:t>proyectados, ya</w:t>
      </w:r>
      <w:r>
        <w:rPr>
          <w:spacing w:val="-3"/>
        </w:rPr>
        <w:t> </w:t>
      </w:r>
      <w:r>
        <w:rPr/>
        <w:t>que</w:t>
      </w:r>
      <w:r>
        <w:rPr>
          <w:spacing w:val="-1"/>
        </w:rPr>
        <w:t> </w:t>
      </w:r>
      <w:r>
        <w:rPr/>
        <w:t>la</w:t>
      </w:r>
      <w:r>
        <w:rPr>
          <w:spacing w:val="-1"/>
        </w:rPr>
        <w:t> </w:t>
      </w:r>
      <w:r>
        <w:rPr/>
        <w:t>mayoría</w:t>
      </w:r>
      <w:r>
        <w:rPr>
          <w:spacing w:val="-1"/>
        </w:rPr>
        <w:t> </w:t>
      </w:r>
      <w:r>
        <w:rPr/>
        <w:t>de</w:t>
      </w:r>
      <w:r>
        <w:rPr>
          <w:spacing w:val="-2"/>
        </w:rPr>
        <w:t> </w:t>
      </w:r>
      <w:r>
        <w:rPr/>
        <w:t>los contratos</w:t>
      </w:r>
      <w:r>
        <w:rPr>
          <w:spacing w:val="-1"/>
        </w:rPr>
        <w:t> </w:t>
      </w:r>
      <w:r>
        <w:rPr/>
        <w:t>son continuos por lo no tienen un plazo de vencimiento</w:t>
      </w:r>
    </w:p>
    <w:p>
      <w:pPr>
        <w:pStyle w:val="BodyText"/>
      </w:pPr>
    </w:p>
    <w:p>
      <w:pPr>
        <w:pStyle w:val="ListParagraph"/>
        <w:numPr>
          <w:ilvl w:val="0"/>
          <w:numId w:val="59"/>
        </w:numPr>
        <w:tabs>
          <w:tab w:pos="1411" w:val="left" w:leader="none"/>
        </w:tabs>
        <w:spacing w:line="240" w:lineRule="auto" w:before="1" w:after="0"/>
        <w:ind w:left="1411" w:right="838" w:hanging="360"/>
        <w:jc w:val="both"/>
        <w:rPr>
          <w:b/>
          <w:sz w:val="22"/>
        </w:rPr>
      </w:pPr>
      <w:r>
        <w:rPr>
          <w:sz w:val="22"/>
        </w:rPr>
        <w:t>Las cuotas de arrendamientos y</w:t>
      </w:r>
      <w:r>
        <w:rPr>
          <w:spacing w:val="-1"/>
          <w:sz w:val="22"/>
        </w:rPr>
        <w:t> </w:t>
      </w:r>
      <w:r>
        <w:rPr>
          <w:sz w:val="22"/>
        </w:rPr>
        <w:t>subarriendos reconocidas como gastos del periodo se revelan por separado los importes de los pagos mínimos por arrendamiento, las cuotas contingentes y las cuotas de subarriendo en el Anexo </w:t>
      </w:r>
      <w:r>
        <w:rPr>
          <w:b/>
          <w:sz w:val="22"/>
        </w:rPr>
        <w:t>No.8</w:t>
      </w:r>
    </w:p>
    <w:p>
      <w:pPr>
        <w:pStyle w:val="BodyText"/>
        <w:rPr>
          <w:b/>
        </w:rPr>
      </w:pPr>
    </w:p>
    <w:p>
      <w:pPr>
        <w:pStyle w:val="BodyText"/>
        <w:spacing w:before="1"/>
        <w:rPr>
          <w:b/>
        </w:rPr>
      </w:pPr>
    </w:p>
    <w:p>
      <w:pPr>
        <w:pStyle w:val="ListParagraph"/>
        <w:numPr>
          <w:ilvl w:val="0"/>
          <w:numId w:val="59"/>
        </w:numPr>
        <w:tabs>
          <w:tab w:pos="1411" w:val="left" w:leader="none"/>
          <w:tab w:pos="1464" w:val="left" w:leader="none"/>
        </w:tabs>
        <w:spacing w:line="240" w:lineRule="auto" w:before="0" w:after="0"/>
        <w:ind w:left="1411" w:right="838" w:hanging="360"/>
        <w:jc w:val="both"/>
        <w:rPr>
          <w:sz w:val="22"/>
        </w:rPr>
      </w:pPr>
      <w:r>
        <w:rPr>
          <w:sz w:val="22"/>
        </w:rPr>
        <w:t>El</w:t>
      </w:r>
      <w:r>
        <w:rPr>
          <w:spacing w:val="40"/>
          <w:sz w:val="22"/>
        </w:rPr>
        <w:t> </w:t>
      </w:r>
      <w:r>
        <w:rPr>
          <w:sz w:val="22"/>
        </w:rPr>
        <w:t>IMAS posee 39</w:t>
      </w:r>
      <w:r>
        <w:rPr>
          <w:spacing w:val="-1"/>
          <w:sz w:val="22"/>
        </w:rPr>
        <w:t> </w:t>
      </w:r>
      <w:r>
        <w:rPr>
          <w:sz w:val="22"/>
        </w:rPr>
        <w:t>diferentes arrendamientos de</w:t>
      </w:r>
      <w:r>
        <w:rPr>
          <w:spacing w:val="-2"/>
          <w:sz w:val="22"/>
        </w:rPr>
        <w:t> </w:t>
      </w:r>
      <w:r>
        <w:rPr>
          <w:sz w:val="22"/>
        </w:rPr>
        <w:t>edificios, casas y</w:t>
      </w:r>
      <w:r>
        <w:rPr>
          <w:spacing w:val="-1"/>
          <w:sz w:val="22"/>
        </w:rPr>
        <w:t> </w:t>
      </w:r>
      <w:r>
        <w:rPr>
          <w:sz w:val="22"/>
        </w:rPr>
        <w:t>locales para</w:t>
      </w:r>
      <w:r>
        <w:rPr>
          <w:spacing w:val="-1"/>
          <w:sz w:val="22"/>
        </w:rPr>
        <w:t> </w:t>
      </w:r>
      <w:r>
        <w:rPr>
          <w:sz w:val="22"/>
        </w:rPr>
        <w:t>uso</w:t>
      </w:r>
      <w:r>
        <w:rPr>
          <w:spacing w:val="-2"/>
          <w:sz w:val="22"/>
        </w:rPr>
        <w:t> </w:t>
      </w:r>
      <w:r>
        <w:rPr>
          <w:sz w:val="22"/>
        </w:rPr>
        <w:t>de oficinas de</w:t>
      </w:r>
      <w:r>
        <w:rPr>
          <w:spacing w:val="-16"/>
          <w:sz w:val="22"/>
        </w:rPr>
        <w:t> </w:t>
      </w:r>
      <w:r>
        <w:rPr>
          <w:sz w:val="22"/>
        </w:rPr>
        <w:t>atención</w:t>
      </w:r>
      <w:r>
        <w:rPr>
          <w:spacing w:val="-14"/>
          <w:sz w:val="22"/>
        </w:rPr>
        <w:t> </w:t>
      </w:r>
      <w:r>
        <w:rPr>
          <w:sz w:val="22"/>
        </w:rPr>
        <w:t>regional</w:t>
      </w:r>
      <w:r>
        <w:rPr>
          <w:spacing w:val="-14"/>
          <w:sz w:val="22"/>
        </w:rPr>
        <w:t> </w:t>
      </w:r>
      <w:r>
        <w:rPr>
          <w:sz w:val="22"/>
        </w:rPr>
        <w:t>en</w:t>
      </w:r>
      <w:r>
        <w:rPr>
          <w:spacing w:val="-13"/>
          <w:sz w:val="22"/>
        </w:rPr>
        <w:t> </w:t>
      </w:r>
      <w:r>
        <w:rPr>
          <w:sz w:val="22"/>
        </w:rPr>
        <w:t>todo</w:t>
      </w:r>
      <w:r>
        <w:rPr>
          <w:spacing w:val="-14"/>
          <w:sz w:val="22"/>
        </w:rPr>
        <w:t> </w:t>
      </w:r>
      <w:r>
        <w:rPr>
          <w:sz w:val="22"/>
        </w:rPr>
        <w:t>el</w:t>
      </w:r>
      <w:r>
        <w:rPr>
          <w:spacing w:val="-14"/>
          <w:sz w:val="22"/>
        </w:rPr>
        <w:t> </w:t>
      </w:r>
      <w:r>
        <w:rPr>
          <w:sz w:val="22"/>
        </w:rPr>
        <w:t>país</w:t>
      </w:r>
      <w:r>
        <w:rPr>
          <w:spacing w:val="-14"/>
          <w:sz w:val="22"/>
        </w:rPr>
        <w:t> </w:t>
      </w:r>
      <w:r>
        <w:rPr>
          <w:sz w:val="22"/>
        </w:rPr>
        <w:t>mediante</w:t>
      </w:r>
      <w:r>
        <w:rPr>
          <w:spacing w:val="-13"/>
          <w:sz w:val="22"/>
        </w:rPr>
        <w:t> </w:t>
      </w:r>
      <w:r>
        <w:rPr>
          <w:sz w:val="22"/>
        </w:rPr>
        <w:t>acuerdos</w:t>
      </w:r>
      <w:r>
        <w:rPr>
          <w:spacing w:val="-14"/>
          <w:sz w:val="22"/>
        </w:rPr>
        <w:t> </w:t>
      </w:r>
      <w:r>
        <w:rPr>
          <w:sz w:val="22"/>
        </w:rPr>
        <w:t>significativos</w:t>
      </w:r>
      <w:r>
        <w:rPr>
          <w:spacing w:val="-14"/>
          <w:sz w:val="22"/>
        </w:rPr>
        <w:t> </w:t>
      </w:r>
      <w:r>
        <w:rPr>
          <w:sz w:val="22"/>
        </w:rPr>
        <w:t>del</w:t>
      </w:r>
      <w:r>
        <w:rPr>
          <w:spacing w:val="-14"/>
          <w:sz w:val="22"/>
        </w:rPr>
        <w:t> </w:t>
      </w:r>
      <w:r>
        <w:rPr>
          <w:sz w:val="22"/>
        </w:rPr>
        <w:t>arrendamiento</w:t>
      </w:r>
      <w:r>
        <w:rPr>
          <w:spacing w:val="-13"/>
          <w:sz w:val="22"/>
        </w:rPr>
        <w:t> </w:t>
      </w:r>
      <w:r>
        <w:rPr>
          <w:sz w:val="22"/>
        </w:rPr>
        <w:t>llevados a cabo por el arrendatario, donde se incluirán, sin limitarse a ellos, los siguientes datos:</w:t>
      </w:r>
    </w:p>
    <w:p>
      <w:pPr>
        <w:pStyle w:val="ListParagraph"/>
        <w:numPr>
          <w:ilvl w:val="1"/>
          <w:numId w:val="59"/>
        </w:numPr>
        <w:tabs>
          <w:tab w:pos="2343" w:val="left" w:leader="none"/>
        </w:tabs>
        <w:spacing w:line="240" w:lineRule="auto" w:before="0" w:after="0"/>
        <w:ind w:left="2107" w:right="905" w:firstLine="0"/>
        <w:jc w:val="left"/>
        <w:rPr>
          <w:sz w:val="22"/>
        </w:rPr>
      </w:pPr>
      <w:r>
        <w:rPr>
          <w:sz w:val="22"/>
        </w:rPr>
        <w:t>las</w:t>
      </w:r>
      <w:r>
        <w:rPr>
          <w:spacing w:val="-2"/>
          <w:sz w:val="22"/>
        </w:rPr>
        <w:t> </w:t>
      </w:r>
      <w:r>
        <w:rPr>
          <w:sz w:val="22"/>
        </w:rPr>
        <w:t>bases</w:t>
      </w:r>
      <w:r>
        <w:rPr>
          <w:spacing w:val="-2"/>
          <w:sz w:val="22"/>
        </w:rPr>
        <w:t> </w:t>
      </w:r>
      <w:r>
        <w:rPr>
          <w:sz w:val="22"/>
        </w:rPr>
        <w:t>para</w:t>
      </w:r>
      <w:r>
        <w:rPr>
          <w:spacing w:val="-4"/>
          <w:sz w:val="22"/>
        </w:rPr>
        <w:t> </w:t>
      </w:r>
      <w:r>
        <w:rPr>
          <w:sz w:val="22"/>
        </w:rPr>
        <w:t>la</w:t>
      </w:r>
      <w:r>
        <w:rPr>
          <w:spacing w:val="-5"/>
          <w:sz w:val="22"/>
        </w:rPr>
        <w:t> </w:t>
      </w:r>
      <w:r>
        <w:rPr>
          <w:sz w:val="22"/>
        </w:rPr>
        <w:t>determinación</w:t>
      </w:r>
      <w:r>
        <w:rPr>
          <w:spacing w:val="-3"/>
          <w:sz w:val="22"/>
        </w:rPr>
        <w:t> </w:t>
      </w:r>
      <w:r>
        <w:rPr>
          <w:sz w:val="22"/>
        </w:rPr>
        <w:t>de</w:t>
      </w:r>
      <w:r>
        <w:rPr>
          <w:spacing w:val="-5"/>
          <w:sz w:val="22"/>
        </w:rPr>
        <w:t> </w:t>
      </w:r>
      <w:r>
        <w:rPr>
          <w:sz w:val="22"/>
        </w:rPr>
        <w:t>cualquier</w:t>
      </w:r>
      <w:r>
        <w:rPr>
          <w:spacing w:val="-3"/>
          <w:sz w:val="22"/>
        </w:rPr>
        <w:t> </w:t>
      </w:r>
      <w:r>
        <w:rPr>
          <w:sz w:val="22"/>
        </w:rPr>
        <w:t>eventual</w:t>
      </w:r>
      <w:r>
        <w:rPr>
          <w:spacing w:val="-4"/>
          <w:sz w:val="22"/>
        </w:rPr>
        <w:t> </w:t>
      </w:r>
      <w:r>
        <w:rPr>
          <w:sz w:val="22"/>
        </w:rPr>
        <w:t>cuota</w:t>
      </w:r>
      <w:r>
        <w:rPr>
          <w:spacing w:val="-3"/>
          <w:sz w:val="22"/>
        </w:rPr>
        <w:t> </w:t>
      </w:r>
      <w:r>
        <w:rPr>
          <w:sz w:val="22"/>
        </w:rPr>
        <w:t>de</w:t>
      </w:r>
      <w:r>
        <w:rPr>
          <w:spacing w:val="-4"/>
          <w:sz w:val="22"/>
        </w:rPr>
        <w:t> </w:t>
      </w:r>
      <w:r>
        <w:rPr>
          <w:sz w:val="22"/>
        </w:rPr>
        <w:t>carácter</w:t>
      </w:r>
      <w:r>
        <w:rPr>
          <w:spacing w:val="-3"/>
          <w:sz w:val="22"/>
        </w:rPr>
        <w:t> </w:t>
      </w:r>
      <w:r>
        <w:rPr>
          <w:sz w:val="22"/>
        </w:rPr>
        <w:t>contingente que se haya pactado se incluyen en los contratos sujetos a lo indicado en la Ley de </w:t>
      </w:r>
      <w:r>
        <w:rPr>
          <w:spacing w:val="-2"/>
          <w:sz w:val="22"/>
        </w:rPr>
        <w:t>arrendamiento;</w:t>
      </w:r>
    </w:p>
    <w:p>
      <w:pPr>
        <w:pStyle w:val="ListParagraph"/>
        <w:numPr>
          <w:ilvl w:val="1"/>
          <w:numId w:val="59"/>
        </w:numPr>
        <w:tabs>
          <w:tab w:pos="2449" w:val="left" w:leader="none"/>
        </w:tabs>
        <w:spacing w:line="240" w:lineRule="auto" w:before="0" w:after="0"/>
        <w:ind w:left="2107" w:right="906" w:firstLine="0"/>
        <w:jc w:val="left"/>
        <w:rPr>
          <w:sz w:val="22"/>
        </w:rPr>
      </w:pPr>
      <w:r>
        <w:rPr>
          <w:sz w:val="22"/>
        </w:rPr>
        <w:t>en</w:t>
      </w:r>
      <w:r>
        <w:rPr>
          <w:spacing w:val="-2"/>
          <w:sz w:val="22"/>
        </w:rPr>
        <w:t> </w:t>
      </w:r>
      <w:r>
        <w:rPr>
          <w:sz w:val="22"/>
        </w:rPr>
        <w:t>el</w:t>
      </w:r>
      <w:r>
        <w:rPr>
          <w:spacing w:val="-2"/>
          <w:sz w:val="22"/>
        </w:rPr>
        <w:t> </w:t>
      </w:r>
      <w:r>
        <w:rPr>
          <w:b/>
          <w:sz w:val="22"/>
        </w:rPr>
        <w:t>Anexo</w:t>
      </w:r>
      <w:r>
        <w:rPr>
          <w:b/>
          <w:spacing w:val="-4"/>
          <w:sz w:val="22"/>
        </w:rPr>
        <w:t> </w:t>
      </w:r>
      <w:r>
        <w:rPr>
          <w:b/>
          <w:sz w:val="22"/>
        </w:rPr>
        <w:t>No.8</w:t>
      </w:r>
      <w:r>
        <w:rPr>
          <w:b/>
          <w:spacing w:val="-5"/>
          <w:sz w:val="22"/>
        </w:rPr>
        <w:t> </w:t>
      </w:r>
      <w:r>
        <w:rPr>
          <w:sz w:val="22"/>
        </w:rPr>
        <w:t>se</w:t>
      </w:r>
      <w:r>
        <w:rPr>
          <w:spacing w:val="-3"/>
          <w:sz w:val="22"/>
        </w:rPr>
        <w:t> </w:t>
      </w:r>
      <w:r>
        <w:rPr>
          <w:sz w:val="22"/>
        </w:rPr>
        <w:t>muestra,</w:t>
      </w:r>
      <w:r>
        <w:rPr>
          <w:spacing w:val="-2"/>
          <w:sz w:val="22"/>
        </w:rPr>
        <w:t> </w:t>
      </w:r>
      <w:r>
        <w:rPr>
          <w:sz w:val="22"/>
        </w:rPr>
        <w:t>los</w:t>
      </w:r>
      <w:r>
        <w:rPr>
          <w:spacing w:val="-1"/>
          <w:sz w:val="22"/>
        </w:rPr>
        <w:t> </w:t>
      </w:r>
      <w:r>
        <w:rPr>
          <w:sz w:val="22"/>
        </w:rPr>
        <w:t>plazos</w:t>
      </w:r>
      <w:r>
        <w:rPr>
          <w:spacing w:val="-1"/>
          <w:sz w:val="22"/>
        </w:rPr>
        <w:t> </w:t>
      </w:r>
      <w:r>
        <w:rPr>
          <w:sz w:val="22"/>
        </w:rPr>
        <w:t>de</w:t>
      </w:r>
      <w:r>
        <w:rPr>
          <w:spacing w:val="-4"/>
          <w:sz w:val="22"/>
        </w:rPr>
        <w:t> </w:t>
      </w:r>
      <w:r>
        <w:rPr>
          <w:sz w:val="22"/>
        </w:rPr>
        <w:t>renovación</w:t>
      </w:r>
      <w:r>
        <w:rPr>
          <w:spacing w:val="-2"/>
          <w:sz w:val="22"/>
        </w:rPr>
        <w:t> </w:t>
      </w:r>
      <w:r>
        <w:rPr>
          <w:sz w:val="22"/>
        </w:rPr>
        <w:t>y</w:t>
      </w:r>
      <w:r>
        <w:rPr>
          <w:spacing w:val="-3"/>
          <w:sz w:val="22"/>
        </w:rPr>
        <w:t> </w:t>
      </w:r>
      <w:r>
        <w:rPr>
          <w:sz w:val="22"/>
        </w:rPr>
        <w:t>ningún</w:t>
      </w:r>
      <w:r>
        <w:rPr>
          <w:spacing w:val="-2"/>
          <w:sz w:val="22"/>
        </w:rPr>
        <w:t> </w:t>
      </w:r>
      <w:r>
        <w:rPr>
          <w:sz w:val="22"/>
        </w:rPr>
        <w:t>incluye</w:t>
      </w:r>
      <w:r>
        <w:rPr>
          <w:spacing w:val="-3"/>
          <w:sz w:val="22"/>
        </w:rPr>
        <w:t> </w:t>
      </w:r>
      <w:r>
        <w:rPr>
          <w:sz w:val="22"/>
        </w:rPr>
        <w:t>opciones de compra.</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4000">
                <wp:simplePos x="0" y="0"/>
                <wp:positionH relativeFrom="page">
                  <wp:posOffset>9525</wp:posOffset>
                </wp:positionH>
                <wp:positionV relativeFrom="page">
                  <wp:posOffset>297208</wp:posOffset>
                </wp:positionV>
                <wp:extent cx="7762875" cy="9748520"/>
                <wp:effectExtent l="0" t="0" r="0" b="0"/>
                <wp:wrapNone/>
                <wp:docPr id="685" name="Group 685"/>
                <wp:cNvGraphicFramePr>
                  <a:graphicFrameLocks/>
                </wp:cNvGraphicFramePr>
                <a:graphic>
                  <a:graphicData uri="http://schemas.microsoft.com/office/word/2010/wordprocessingGroup">
                    <wpg:wgp>
                      <wpg:cNvPr id="685" name="Group 685"/>
                      <wpg:cNvGrpSpPr/>
                      <wpg:grpSpPr>
                        <a:xfrm>
                          <a:off x="0" y="0"/>
                          <a:ext cx="7762875" cy="9748520"/>
                          <a:chExt cx="7762875" cy="9748520"/>
                        </a:xfrm>
                      </wpg:grpSpPr>
                      <pic:pic>
                        <pic:nvPicPr>
                          <pic:cNvPr id="686" name="Image 686"/>
                          <pic:cNvPicPr/>
                        </pic:nvPicPr>
                        <pic:blipFill>
                          <a:blip r:embed="rId5" cstate="print"/>
                          <a:stretch>
                            <a:fillRect/>
                          </a:stretch>
                        </pic:blipFill>
                        <pic:spPr>
                          <a:xfrm>
                            <a:off x="0" y="0"/>
                            <a:ext cx="7762874" cy="9748489"/>
                          </a:xfrm>
                          <a:prstGeom prst="rect">
                            <a:avLst/>
                          </a:prstGeom>
                        </pic:spPr>
                      </pic:pic>
                      <wps:wsp>
                        <wps:cNvPr id="687" name="Graphic 687"/>
                        <wps:cNvSpPr/>
                        <wps:spPr>
                          <a:xfrm>
                            <a:off x="1053007" y="990837"/>
                            <a:ext cx="5649595" cy="3472179"/>
                          </a:xfrm>
                          <a:custGeom>
                            <a:avLst/>
                            <a:gdLst/>
                            <a:ahLst/>
                            <a:cxnLst/>
                            <a:rect l="l" t="t" r="r" b="b"/>
                            <a:pathLst>
                              <a:path w="5649595" h="3472179">
                                <a:moveTo>
                                  <a:pt x="4156900" y="3465944"/>
                                </a:moveTo>
                                <a:lnTo>
                                  <a:pt x="4123385" y="3465944"/>
                                </a:lnTo>
                                <a:lnTo>
                                  <a:pt x="4123385" y="3472040"/>
                                </a:lnTo>
                                <a:lnTo>
                                  <a:pt x="4156900" y="3472040"/>
                                </a:lnTo>
                                <a:lnTo>
                                  <a:pt x="4156900" y="3465944"/>
                                </a:lnTo>
                                <a:close/>
                              </a:path>
                              <a:path w="5649595" h="3472179">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52480" id="docshapegroup663" coordorigin="15,468" coordsize="12225,15352">
                <v:shape style="position:absolute;left:15;top:468;width:12225;height:15352" type="#_x0000_t75" id="docshape664" stroked="false">
                  <v:imagedata r:id="rId5" o:title=""/>
                </v:shape>
                <v:shape style="position:absolute;left:1673;top:2028;width:8897;height:5468" id="docshape665" coordorigin="1673,2028" coordsize="8897,5468" path="m8220,7487l8167,7487,8167,7496,8220,7496,8220,7487xm10570,2028l1673,2028,1673,2043,10570,2043,10570,20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139</w:t>
      </w:r>
    </w:p>
    <w:p>
      <w:pPr>
        <w:pStyle w:val="BodyText"/>
        <w:spacing w:before="10"/>
        <w:rPr>
          <w:sz w:val="16"/>
        </w:rPr>
      </w:pPr>
      <w:r>
        <w:rPr>
          <w:sz w:val="16"/>
        </w:rPr>
        <mc:AlternateContent>
          <mc:Choice Requires="wps">
            <w:drawing>
              <wp:anchor distT="0" distB="0" distL="0" distR="0" allowOverlap="1" layoutInCell="1" locked="0" behindDoc="1" simplePos="0" relativeHeight="487726080">
                <wp:simplePos x="0" y="0"/>
                <wp:positionH relativeFrom="page">
                  <wp:posOffset>1080820</wp:posOffset>
                </wp:positionH>
                <wp:positionV relativeFrom="paragraph">
                  <wp:posOffset>141144</wp:posOffset>
                </wp:positionV>
                <wp:extent cx="5746750" cy="645160"/>
                <wp:effectExtent l="0" t="0" r="0" b="0"/>
                <wp:wrapTopAndBottom/>
                <wp:docPr id="688" name="Textbox 688"/>
                <wp:cNvGraphicFramePr>
                  <a:graphicFrameLocks/>
                </wp:cNvGraphicFramePr>
                <a:graphic>
                  <a:graphicData uri="http://schemas.microsoft.com/office/word/2010/wordprocessingShape">
                    <wps:wsp>
                      <wps:cNvPr id="688" name="Textbox 688"/>
                      <wps:cNvSpPr txBox="1"/>
                      <wps:spPr>
                        <a:xfrm>
                          <a:off x="0" y="0"/>
                          <a:ext cx="5746750" cy="645160"/>
                        </a:xfrm>
                        <a:prstGeom prst="rect">
                          <a:avLst/>
                        </a:prstGeom>
                        <a:ln w="6096">
                          <a:solidFill>
                            <a:srgbClr val="000000"/>
                          </a:solidFill>
                          <a:prstDash val="solid"/>
                        </a:ln>
                      </wps:spPr>
                      <wps:txbx>
                        <w:txbxContent>
                          <w:p>
                            <w:pPr>
                              <w:pStyle w:val="BodyText"/>
                              <w:ind w:left="1480" w:right="74"/>
                            </w:pPr>
                            <w:r>
                              <w:rPr>
                                <w:i/>
                                <w:sz w:val="23"/>
                              </w:rPr>
                              <w:t>(iii) </w:t>
                            </w:r>
                            <w:r>
                              <w:rPr/>
                              <w:t>No se cuenta contratos de arrendamiento financiero, tales como las que se</w:t>
                            </w:r>
                            <w:r>
                              <w:rPr/>
                              <w:t> refieran</w:t>
                            </w:r>
                            <w:r>
                              <w:rPr>
                                <w:spacing w:val="-4"/>
                              </w:rPr>
                              <w:t> </w:t>
                            </w:r>
                            <w:r>
                              <w:rPr/>
                              <w:t>a</w:t>
                            </w:r>
                            <w:r>
                              <w:rPr>
                                <w:spacing w:val="-4"/>
                              </w:rPr>
                              <w:t> </w:t>
                            </w:r>
                            <w:r>
                              <w:rPr/>
                              <w:t>la</w:t>
                            </w:r>
                            <w:r>
                              <w:rPr>
                                <w:spacing w:val="-4"/>
                              </w:rPr>
                              <w:t> </w:t>
                            </w:r>
                            <w:r>
                              <w:rPr/>
                              <w:t>devolución</w:t>
                            </w:r>
                            <w:r>
                              <w:rPr>
                                <w:spacing w:val="-4"/>
                              </w:rPr>
                              <w:t> </w:t>
                            </w:r>
                            <w:r>
                              <w:rPr/>
                              <w:t>del</w:t>
                            </w:r>
                            <w:r>
                              <w:rPr>
                                <w:spacing w:val="-4"/>
                              </w:rPr>
                              <w:t> </w:t>
                            </w:r>
                            <w:r>
                              <w:rPr/>
                              <w:t>resultado</w:t>
                            </w:r>
                            <w:r>
                              <w:rPr>
                                <w:spacing w:val="-4"/>
                              </w:rPr>
                              <w:t> </w:t>
                            </w:r>
                            <w:r>
                              <w:rPr/>
                              <w:t>positivo</w:t>
                            </w:r>
                            <w:r>
                              <w:rPr>
                                <w:spacing w:val="-4"/>
                              </w:rPr>
                              <w:t> </w:t>
                            </w:r>
                            <w:r>
                              <w:rPr/>
                              <w:t>(ahorro),</w:t>
                            </w:r>
                            <w:r>
                              <w:rPr>
                                <w:spacing w:val="-5"/>
                              </w:rPr>
                              <w:t> </w:t>
                            </w:r>
                            <w:r>
                              <w:rPr/>
                              <w:t>devolución</w:t>
                            </w:r>
                            <w:r>
                              <w:rPr>
                                <w:spacing w:val="-4"/>
                              </w:rPr>
                              <w:t> </w:t>
                            </w:r>
                            <w:r>
                              <w:rPr/>
                              <w:t>de</w:t>
                            </w:r>
                            <w:r>
                              <w:rPr>
                                <w:spacing w:val="-5"/>
                              </w:rPr>
                              <w:t> </w:t>
                            </w:r>
                            <w:r>
                              <w:rPr/>
                              <w:t>las</w:t>
                            </w:r>
                            <w:r>
                              <w:rPr>
                                <w:spacing w:val="-3"/>
                              </w:rPr>
                              <w:t> </w:t>
                            </w:r>
                            <w:r>
                              <w:rPr/>
                              <w:t>aportaciones de capital, la distribución de dividendos o distribuciones similares, endeudamiento adicional o a nuevos contratos de arrendamiento</w:t>
                            </w:r>
                          </w:p>
                        </w:txbxContent>
                      </wps:txbx>
                      <wps:bodyPr wrap="square" lIns="0" tIns="0" rIns="0" bIns="0" rtlCol="0">
                        <a:noAutofit/>
                      </wps:bodyPr>
                    </wps:wsp>
                  </a:graphicData>
                </a:graphic>
              </wp:anchor>
            </w:drawing>
          </mc:Choice>
          <mc:Fallback>
            <w:pict>
              <v:shape style="position:absolute;margin-left:85.103996pt;margin-top:11.11375pt;width:452.5pt;height:50.8pt;mso-position-horizontal-relative:page;mso-position-vertical-relative:paragraph;z-index:-15590400;mso-wrap-distance-left:0;mso-wrap-distance-right:0" type="#_x0000_t202" id="docshape666" filled="false" stroked="true" strokeweight=".48004pt" strokecolor="#000000">
                <v:textbox inset="0,0,0,0">
                  <w:txbxContent>
                    <w:p>
                      <w:pPr>
                        <w:pStyle w:val="BodyText"/>
                        <w:ind w:left="1480" w:right="74"/>
                      </w:pPr>
                      <w:r>
                        <w:rPr>
                          <w:i/>
                          <w:sz w:val="23"/>
                        </w:rPr>
                        <w:t>(iii) </w:t>
                      </w:r>
                      <w:r>
                        <w:rPr/>
                        <w:t>No se cuenta contratos de arrendamiento financiero, tales como las que se</w:t>
                      </w:r>
                      <w:r>
                        <w:rPr/>
                        <w:t> refieran</w:t>
                      </w:r>
                      <w:r>
                        <w:rPr>
                          <w:spacing w:val="-4"/>
                        </w:rPr>
                        <w:t> </w:t>
                      </w:r>
                      <w:r>
                        <w:rPr/>
                        <w:t>a</w:t>
                      </w:r>
                      <w:r>
                        <w:rPr>
                          <w:spacing w:val="-4"/>
                        </w:rPr>
                        <w:t> </w:t>
                      </w:r>
                      <w:r>
                        <w:rPr/>
                        <w:t>la</w:t>
                      </w:r>
                      <w:r>
                        <w:rPr>
                          <w:spacing w:val="-4"/>
                        </w:rPr>
                        <w:t> </w:t>
                      </w:r>
                      <w:r>
                        <w:rPr/>
                        <w:t>devolución</w:t>
                      </w:r>
                      <w:r>
                        <w:rPr>
                          <w:spacing w:val="-4"/>
                        </w:rPr>
                        <w:t> </w:t>
                      </w:r>
                      <w:r>
                        <w:rPr/>
                        <w:t>del</w:t>
                      </w:r>
                      <w:r>
                        <w:rPr>
                          <w:spacing w:val="-4"/>
                        </w:rPr>
                        <w:t> </w:t>
                      </w:r>
                      <w:r>
                        <w:rPr/>
                        <w:t>resultado</w:t>
                      </w:r>
                      <w:r>
                        <w:rPr>
                          <w:spacing w:val="-4"/>
                        </w:rPr>
                        <w:t> </w:t>
                      </w:r>
                      <w:r>
                        <w:rPr/>
                        <w:t>positivo</w:t>
                      </w:r>
                      <w:r>
                        <w:rPr>
                          <w:spacing w:val="-4"/>
                        </w:rPr>
                        <w:t> </w:t>
                      </w:r>
                      <w:r>
                        <w:rPr/>
                        <w:t>(ahorro),</w:t>
                      </w:r>
                      <w:r>
                        <w:rPr>
                          <w:spacing w:val="-5"/>
                        </w:rPr>
                        <w:t> </w:t>
                      </w:r>
                      <w:r>
                        <w:rPr/>
                        <w:t>devolución</w:t>
                      </w:r>
                      <w:r>
                        <w:rPr>
                          <w:spacing w:val="-4"/>
                        </w:rPr>
                        <w:t> </w:t>
                      </w:r>
                      <w:r>
                        <w:rPr/>
                        <w:t>de</w:t>
                      </w:r>
                      <w:r>
                        <w:rPr>
                          <w:spacing w:val="-5"/>
                        </w:rPr>
                        <w:t> </w:t>
                      </w:r>
                      <w:r>
                        <w:rPr/>
                        <w:t>las</w:t>
                      </w:r>
                      <w:r>
                        <w:rPr>
                          <w:spacing w:val="-3"/>
                        </w:rPr>
                        <w:t> </w:t>
                      </w:r>
                      <w:r>
                        <w:rPr/>
                        <w:t>aportaciones de capital, la distribución de dividendos o distribuciones similares, endeudamiento adicional o a nuevos contratos de arrendamiento</w:t>
                      </w:r>
                    </w:p>
                  </w:txbxContent>
                </v:textbox>
                <v:stroke dashstyle="solid"/>
                <w10:wrap type="topAndBottom"/>
              </v:shape>
            </w:pict>
          </mc:Fallback>
        </mc:AlternateContent>
      </w:r>
    </w:p>
    <w:p>
      <w:pPr>
        <w:pStyle w:val="BodyText"/>
        <w:spacing w:before="3"/>
      </w:pPr>
    </w:p>
    <w:p>
      <w:pPr>
        <w:pStyle w:val="Heading6"/>
        <w:numPr>
          <w:ilvl w:val="0"/>
          <w:numId w:val="57"/>
        </w:numPr>
        <w:tabs>
          <w:tab w:pos="903" w:val="left" w:leader="none"/>
        </w:tabs>
        <w:spacing w:line="240" w:lineRule="auto" w:before="1" w:after="0"/>
        <w:ind w:left="903" w:right="0" w:hanging="358"/>
        <w:jc w:val="left"/>
      </w:pPr>
      <w:r>
        <w:rPr/>
        <w:t>Arrendamientos</w:t>
      </w:r>
      <w:r>
        <w:rPr>
          <w:spacing w:val="-4"/>
        </w:rPr>
        <w:t> </w:t>
      </w:r>
      <w:r>
        <w:rPr/>
        <w:t>financieros</w:t>
      </w:r>
      <w:r>
        <w:rPr>
          <w:spacing w:val="-7"/>
        </w:rPr>
        <w:t> </w:t>
      </w:r>
      <w:r>
        <w:rPr/>
        <w:t>(párrafo</w:t>
      </w:r>
      <w:r>
        <w:rPr>
          <w:spacing w:val="-3"/>
        </w:rPr>
        <w:t> </w:t>
      </w:r>
      <w:r>
        <w:rPr>
          <w:spacing w:val="-5"/>
        </w:rPr>
        <w:t>60)</w:t>
      </w:r>
    </w:p>
    <w:p>
      <w:pPr>
        <w:pStyle w:val="ListParagraph"/>
        <w:numPr>
          <w:ilvl w:val="0"/>
          <w:numId w:val="60"/>
        </w:numPr>
        <w:tabs>
          <w:tab w:pos="1341" w:val="left" w:leader="none"/>
        </w:tabs>
        <w:spacing w:line="240" w:lineRule="auto" w:before="126" w:after="0"/>
        <w:ind w:left="1341" w:right="0" w:hanging="360"/>
        <w:jc w:val="left"/>
        <w:rPr>
          <w:sz w:val="22"/>
        </w:rPr>
      </w:pPr>
      <w:r>
        <w:rPr>
          <w:sz w:val="22"/>
        </w:rPr>
        <w:t>Una</w:t>
      </w:r>
      <w:r>
        <w:rPr>
          <w:spacing w:val="-6"/>
          <w:sz w:val="22"/>
        </w:rPr>
        <w:t> </w:t>
      </w:r>
      <w:r>
        <w:rPr>
          <w:sz w:val="22"/>
        </w:rPr>
        <w:t>conciliación</w:t>
      </w:r>
      <w:r>
        <w:rPr>
          <w:spacing w:val="-4"/>
          <w:sz w:val="22"/>
        </w:rPr>
        <w:t> </w:t>
      </w:r>
      <w:r>
        <w:rPr>
          <w:sz w:val="22"/>
        </w:rPr>
        <w:t>entre</w:t>
      </w:r>
      <w:r>
        <w:rPr>
          <w:spacing w:val="-3"/>
          <w:sz w:val="22"/>
        </w:rPr>
        <w:t> </w:t>
      </w:r>
      <w:r>
        <w:rPr>
          <w:sz w:val="22"/>
        </w:rPr>
        <w:t>la</w:t>
      </w:r>
      <w:r>
        <w:rPr>
          <w:spacing w:val="-5"/>
          <w:sz w:val="22"/>
        </w:rPr>
        <w:t> </w:t>
      </w:r>
      <w:r>
        <w:rPr>
          <w:sz w:val="22"/>
        </w:rPr>
        <w:t>inversión</w:t>
      </w:r>
      <w:r>
        <w:rPr>
          <w:spacing w:val="-4"/>
          <w:sz w:val="22"/>
        </w:rPr>
        <w:t> </w:t>
      </w:r>
      <w:r>
        <w:rPr>
          <w:sz w:val="22"/>
        </w:rPr>
        <w:t>bruta</w:t>
      </w:r>
      <w:r>
        <w:rPr>
          <w:spacing w:val="-4"/>
          <w:sz w:val="22"/>
        </w:rPr>
        <w:t> </w:t>
      </w:r>
      <w:r>
        <w:rPr>
          <w:sz w:val="22"/>
        </w:rPr>
        <w:t>total</w:t>
      </w:r>
      <w:r>
        <w:rPr>
          <w:spacing w:val="-4"/>
          <w:sz w:val="22"/>
        </w:rPr>
        <w:t> </w:t>
      </w:r>
      <w:r>
        <w:rPr>
          <w:sz w:val="22"/>
        </w:rPr>
        <w:t>y</w:t>
      </w:r>
      <w:r>
        <w:rPr>
          <w:spacing w:val="-5"/>
          <w:sz w:val="22"/>
        </w:rPr>
        <w:t> </w:t>
      </w:r>
      <w:r>
        <w:rPr>
          <w:sz w:val="22"/>
        </w:rPr>
        <w:t>los</w:t>
      </w:r>
      <w:r>
        <w:rPr>
          <w:spacing w:val="-3"/>
          <w:sz w:val="22"/>
        </w:rPr>
        <w:t> </w:t>
      </w:r>
      <w:r>
        <w:rPr>
          <w:sz w:val="22"/>
        </w:rPr>
        <w:t>pagos</w:t>
      </w:r>
      <w:r>
        <w:rPr>
          <w:spacing w:val="-5"/>
          <w:sz w:val="22"/>
        </w:rPr>
        <w:t> </w:t>
      </w:r>
      <w:r>
        <w:rPr>
          <w:sz w:val="22"/>
        </w:rPr>
        <w:t>mínimos</w:t>
      </w:r>
      <w:r>
        <w:rPr>
          <w:spacing w:val="-3"/>
          <w:sz w:val="22"/>
        </w:rPr>
        <w:t> </w:t>
      </w:r>
      <w:r>
        <w:rPr>
          <w:sz w:val="22"/>
        </w:rPr>
        <w:t>a</w:t>
      </w:r>
      <w:r>
        <w:rPr>
          <w:spacing w:val="-4"/>
          <w:sz w:val="22"/>
        </w:rPr>
        <w:t> </w:t>
      </w:r>
      <w:r>
        <w:rPr>
          <w:spacing w:val="-2"/>
          <w:sz w:val="22"/>
        </w:rPr>
        <w:t>recibir;</w:t>
      </w:r>
    </w:p>
    <w:p>
      <w:pPr>
        <w:pStyle w:val="ListParagraph"/>
        <w:numPr>
          <w:ilvl w:val="0"/>
          <w:numId w:val="60"/>
        </w:numPr>
        <w:tabs>
          <w:tab w:pos="1339" w:val="left" w:leader="none"/>
        </w:tabs>
        <w:spacing w:line="240" w:lineRule="auto" w:before="125" w:after="0"/>
        <w:ind w:left="1339" w:right="0" w:hanging="358"/>
        <w:jc w:val="left"/>
        <w:rPr>
          <w:sz w:val="22"/>
        </w:rPr>
      </w:pPr>
      <w:r>
        <w:rPr>
          <w:sz w:val="22"/>
        </w:rPr>
        <w:t>La</w:t>
      </w:r>
      <w:r>
        <w:rPr>
          <w:spacing w:val="-6"/>
          <w:sz w:val="22"/>
        </w:rPr>
        <w:t> </w:t>
      </w:r>
      <w:r>
        <w:rPr>
          <w:sz w:val="22"/>
        </w:rPr>
        <w:t>inversión</w:t>
      </w:r>
      <w:r>
        <w:rPr>
          <w:spacing w:val="-3"/>
          <w:sz w:val="22"/>
        </w:rPr>
        <w:t> </w:t>
      </w:r>
      <w:r>
        <w:rPr>
          <w:sz w:val="22"/>
        </w:rPr>
        <w:t>bruta</w:t>
      </w:r>
      <w:r>
        <w:rPr>
          <w:spacing w:val="-3"/>
          <w:sz w:val="22"/>
        </w:rPr>
        <w:t> </w:t>
      </w:r>
      <w:r>
        <w:rPr>
          <w:sz w:val="22"/>
        </w:rPr>
        <w:t>total</w:t>
      </w:r>
      <w:r>
        <w:rPr>
          <w:spacing w:val="-4"/>
          <w:sz w:val="22"/>
        </w:rPr>
        <w:t> </w:t>
      </w:r>
      <w:r>
        <w:rPr>
          <w:sz w:val="22"/>
        </w:rPr>
        <w:t>y</w:t>
      </w:r>
      <w:r>
        <w:rPr>
          <w:spacing w:val="-4"/>
          <w:sz w:val="22"/>
        </w:rPr>
        <w:t> </w:t>
      </w:r>
      <w:r>
        <w:rPr>
          <w:sz w:val="22"/>
        </w:rPr>
        <w:t>los</w:t>
      </w:r>
      <w:r>
        <w:rPr>
          <w:spacing w:val="-2"/>
          <w:sz w:val="22"/>
        </w:rPr>
        <w:t> </w:t>
      </w:r>
      <w:r>
        <w:rPr>
          <w:sz w:val="22"/>
        </w:rPr>
        <w:t>pagos</w:t>
      </w:r>
      <w:r>
        <w:rPr>
          <w:spacing w:val="-3"/>
          <w:sz w:val="22"/>
        </w:rPr>
        <w:t> </w:t>
      </w:r>
      <w:r>
        <w:rPr>
          <w:sz w:val="22"/>
        </w:rPr>
        <w:t>para</w:t>
      </w:r>
      <w:r>
        <w:rPr>
          <w:spacing w:val="-4"/>
          <w:sz w:val="22"/>
        </w:rPr>
        <w:t> </w:t>
      </w:r>
      <w:r>
        <w:rPr>
          <w:sz w:val="22"/>
        </w:rPr>
        <w:t>recibir</w:t>
      </w:r>
      <w:r>
        <w:rPr>
          <w:spacing w:val="-3"/>
          <w:sz w:val="22"/>
        </w:rPr>
        <w:t> </w:t>
      </w:r>
      <w:r>
        <w:rPr>
          <w:sz w:val="22"/>
        </w:rPr>
        <w:t>en</w:t>
      </w:r>
      <w:r>
        <w:rPr>
          <w:spacing w:val="-4"/>
          <w:sz w:val="22"/>
        </w:rPr>
        <w:t> </w:t>
      </w:r>
      <w:r>
        <w:rPr>
          <w:sz w:val="22"/>
        </w:rPr>
        <w:t>los</w:t>
      </w:r>
      <w:r>
        <w:rPr>
          <w:spacing w:val="-4"/>
          <w:sz w:val="22"/>
        </w:rPr>
        <w:t> </w:t>
      </w:r>
      <w:r>
        <w:rPr>
          <w:sz w:val="22"/>
        </w:rPr>
        <w:t>siguientes</w:t>
      </w:r>
      <w:r>
        <w:rPr>
          <w:spacing w:val="-2"/>
          <w:sz w:val="22"/>
        </w:rPr>
        <w:t> plazos:</w:t>
      </w:r>
    </w:p>
    <w:p>
      <w:pPr>
        <w:pStyle w:val="ListParagraph"/>
        <w:numPr>
          <w:ilvl w:val="1"/>
          <w:numId w:val="60"/>
        </w:numPr>
        <w:tabs>
          <w:tab w:pos="2061" w:val="left" w:leader="none"/>
        </w:tabs>
        <w:spacing w:line="240" w:lineRule="auto" w:before="126" w:after="0"/>
        <w:ind w:left="2061" w:right="0" w:hanging="359"/>
        <w:jc w:val="left"/>
        <w:rPr>
          <w:sz w:val="22"/>
        </w:rPr>
      </w:pPr>
      <w:r>
        <w:rPr>
          <w:sz w:val="22"/>
        </w:rPr>
        <w:t>Hasta un</w:t>
      </w:r>
      <w:r>
        <w:rPr>
          <w:spacing w:val="-3"/>
          <w:sz w:val="22"/>
        </w:rPr>
        <w:t> </w:t>
      </w:r>
      <w:r>
        <w:rPr>
          <w:spacing w:val="-4"/>
          <w:sz w:val="22"/>
        </w:rPr>
        <w:t>año,</w:t>
      </w:r>
    </w:p>
    <w:p>
      <w:pPr>
        <w:pStyle w:val="ListParagraph"/>
        <w:numPr>
          <w:ilvl w:val="1"/>
          <w:numId w:val="60"/>
        </w:numPr>
        <w:tabs>
          <w:tab w:pos="2061" w:val="left" w:leader="none"/>
        </w:tabs>
        <w:spacing w:line="240" w:lineRule="auto" w:before="127" w:after="0"/>
        <w:ind w:left="2061" w:right="0" w:hanging="359"/>
        <w:jc w:val="left"/>
        <w:rPr>
          <w:sz w:val="22"/>
        </w:rPr>
      </w:pPr>
      <w:r>
        <w:rPr>
          <w:sz w:val="22"/>
        </w:rPr>
        <w:t>Entre</w:t>
      </w:r>
      <w:r>
        <w:rPr>
          <w:spacing w:val="-3"/>
          <w:sz w:val="22"/>
        </w:rPr>
        <w:t> </w:t>
      </w:r>
      <w:r>
        <w:rPr>
          <w:sz w:val="22"/>
        </w:rPr>
        <w:t>uno</w:t>
      </w:r>
      <w:r>
        <w:rPr>
          <w:spacing w:val="-2"/>
          <w:sz w:val="22"/>
        </w:rPr>
        <w:t> </w:t>
      </w:r>
      <w:r>
        <w:rPr>
          <w:sz w:val="22"/>
        </w:rPr>
        <w:t>y</w:t>
      </w:r>
      <w:r>
        <w:rPr>
          <w:spacing w:val="-3"/>
          <w:sz w:val="22"/>
        </w:rPr>
        <w:t> </w:t>
      </w:r>
      <w:r>
        <w:rPr>
          <w:sz w:val="22"/>
        </w:rPr>
        <w:t>cinco</w:t>
      </w:r>
      <w:r>
        <w:rPr>
          <w:spacing w:val="-1"/>
          <w:sz w:val="22"/>
        </w:rPr>
        <w:t> </w:t>
      </w:r>
      <w:r>
        <w:rPr>
          <w:spacing w:val="-4"/>
          <w:sz w:val="22"/>
        </w:rPr>
        <w:t>años,</w:t>
      </w:r>
    </w:p>
    <w:p>
      <w:pPr>
        <w:pStyle w:val="ListParagraph"/>
        <w:numPr>
          <w:ilvl w:val="1"/>
          <w:numId w:val="60"/>
        </w:numPr>
        <w:tabs>
          <w:tab w:pos="2061" w:val="left" w:leader="none"/>
        </w:tabs>
        <w:spacing w:line="240" w:lineRule="auto" w:before="126" w:after="0"/>
        <w:ind w:left="2061" w:right="0" w:hanging="359"/>
        <w:jc w:val="left"/>
        <w:rPr>
          <w:sz w:val="22"/>
        </w:rPr>
      </w:pPr>
      <w:r>
        <w:rPr>
          <w:sz w:val="22"/>
        </w:rPr>
        <w:t>Más</w:t>
      </w:r>
      <w:r>
        <w:rPr>
          <w:spacing w:val="-3"/>
          <w:sz w:val="22"/>
        </w:rPr>
        <w:t> </w:t>
      </w:r>
      <w:r>
        <w:rPr>
          <w:sz w:val="22"/>
        </w:rPr>
        <w:t>de</w:t>
      </w:r>
      <w:r>
        <w:rPr>
          <w:spacing w:val="-3"/>
          <w:sz w:val="22"/>
        </w:rPr>
        <w:t> </w:t>
      </w:r>
      <w:r>
        <w:rPr>
          <w:sz w:val="22"/>
        </w:rPr>
        <w:t>cinco</w:t>
      </w:r>
      <w:r>
        <w:rPr>
          <w:spacing w:val="-1"/>
          <w:sz w:val="22"/>
        </w:rPr>
        <w:t> </w:t>
      </w:r>
      <w:r>
        <w:rPr>
          <w:spacing w:val="-4"/>
          <w:sz w:val="22"/>
        </w:rPr>
        <w:t>años.</w:t>
      </w:r>
    </w:p>
    <w:p>
      <w:pPr>
        <w:pStyle w:val="ListParagraph"/>
        <w:numPr>
          <w:ilvl w:val="0"/>
          <w:numId w:val="60"/>
        </w:numPr>
        <w:tabs>
          <w:tab w:pos="1341" w:val="left" w:leader="none"/>
        </w:tabs>
        <w:spacing w:line="240" w:lineRule="auto" w:before="123" w:after="0"/>
        <w:ind w:left="1341" w:right="0" w:hanging="360"/>
        <w:jc w:val="left"/>
        <w:rPr>
          <w:sz w:val="22"/>
        </w:rPr>
      </w:pPr>
      <w:r>
        <w:rPr>
          <w:sz w:val="22"/>
        </w:rPr>
        <w:t>Los</w:t>
      </w:r>
      <w:r>
        <w:rPr>
          <w:spacing w:val="-2"/>
          <w:sz w:val="22"/>
        </w:rPr>
        <w:t> </w:t>
      </w:r>
      <w:r>
        <w:rPr>
          <w:sz w:val="22"/>
        </w:rPr>
        <w:t>ingresos</w:t>
      </w:r>
      <w:r>
        <w:rPr>
          <w:spacing w:val="-5"/>
          <w:sz w:val="22"/>
        </w:rPr>
        <w:t> </w:t>
      </w:r>
      <w:r>
        <w:rPr>
          <w:sz w:val="22"/>
        </w:rPr>
        <w:t>financieros</w:t>
      </w:r>
      <w:r>
        <w:rPr>
          <w:spacing w:val="-2"/>
          <w:sz w:val="22"/>
        </w:rPr>
        <w:t> </w:t>
      </w:r>
      <w:r>
        <w:rPr>
          <w:sz w:val="22"/>
        </w:rPr>
        <w:t>no</w:t>
      </w:r>
      <w:r>
        <w:rPr>
          <w:spacing w:val="-5"/>
          <w:sz w:val="22"/>
        </w:rPr>
        <w:t> </w:t>
      </w:r>
      <w:r>
        <w:rPr>
          <w:sz w:val="22"/>
        </w:rPr>
        <w:t>acumulados</w:t>
      </w:r>
      <w:r>
        <w:rPr>
          <w:spacing w:val="-5"/>
          <w:sz w:val="22"/>
        </w:rPr>
        <w:t> </w:t>
      </w:r>
      <w:r>
        <w:rPr>
          <w:sz w:val="22"/>
        </w:rPr>
        <w:t>(no</w:t>
      </w:r>
      <w:r>
        <w:rPr>
          <w:spacing w:val="-1"/>
          <w:sz w:val="22"/>
        </w:rPr>
        <w:t> </w:t>
      </w:r>
      <w:r>
        <w:rPr>
          <w:spacing w:val="-2"/>
          <w:sz w:val="22"/>
        </w:rPr>
        <w:t>devengados);</w:t>
      </w:r>
    </w:p>
    <w:p>
      <w:pPr>
        <w:pStyle w:val="ListParagraph"/>
        <w:numPr>
          <w:ilvl w:val="0"/>
          <w:numId w:val="60"/>
        </w:numPr>
        <w:tabs>
          <w:tab w:pos="1340" w:val="left" w:leader="none"/>
        </w:tabs>
        <w:spacing w:line="240" w:lineRule="auto" w:before="126" w:after="0"/>
        <w:ind w:left="1340" w:right="0" w:hanging="359"/>
        <w:jc w:val="left"/>
        <w:rPr>
          <w:sz w:val="22"/>
        </w:rPr>
      </w:pPr>
      <w:r>
        <w:rPr>
          <w:sz w:val="22"/>
        </w:rPr>
        <w:t>El</w:t>
      </w:r>
      <w:r>
        <w:rPr>
          <w:spacing w:val="-6"/>
          <w:sz w:val="22"/>
        </w:rPr>
        <w:t> </w:t>
      </w:r>
      <w:r>
        <w:rPr>
          <w:sz w:val="22"/>
        </w:rPr>
        <w:t>valor</w:t>
      </w:r>
      <w:r>
        <w:rPr>
          <w:spacing w:val="-3"/>
          <w:sz w:val="22"/>
        </w:rPr>
        <w:t> </w:t>
      </w:r>
      <w:r>
        <w:rPr>
          <w:sz w:val="22"/>
        </w:rPr>
        <w:t>residual</w:t>
      </w:r>
      <w:r>
        <w:rPr>
          <w:spacing w:val="-4"/>
          <w:sz w:val="22"/>
        </w:rPr>
        <w:t> </w:t>
      </w:r>
      <w:r>
        <w:rPr>
          <w:sz w:val="22"/>
        </w:rPr>
        <w:t>no</w:t>
      </w:r>
      <w:r>
        <w:rPr>
          <w:spacing w:val="-3"/>
          <w:sz w:val="22"/>
        </w:rPr>
        <w:t> </w:t>
      </w:r>
      <w:r>
        <w:rPr>
          <w:sz w:val="22"/>
        </w:rPr>
        <w:t>garantizado</w:t>
      </w:r>
      <w:r>
        <w:rPr>
          <w:spacing w:val="-3"/>
          <w:sz w:val="22"/>
        </w:rPr>
        <w:t> </w:t>
      </w:r>
      <w:r>
        <w:rPr>
          <w:sz w:val="22"/>
        </w:rPr>
        <w:t>reconocido</w:t>
      </w:r>
      <w:r>
        <w:rPr>
          <w:spacing w:val="-4"/>
          <w:sz w:val="22"/>
        </w:rPr>
        <w:t> </w:t>
      </w:r>
      <w:r>
        <w:rPr>
          <w:sz w:val="22"/>
        </w:rPr>
        <w:t>a</w:t>
      </w:r>
      <w:r>
        <w:rPr>
          <w:spacing w:val="-3"/>
          <w:sz w:val="22"/>
        </w:rPr>
        <w:t> </w:t>
      </w:r>
      <w:r>
        <w:rPr>
          <w:sz w:val="22"/>
        </w:rPr>
        <w:t>su</w:t>
      </w:r>
      <w:r>
        <w:rPr>
          <w:spacing w:val="-6"/>
          <w:sz w:val="22"/>
        </w:rPr>
        <w:t> </w:t>
      </w:r>
      <w:r>
        <w:rPr>
          <w:spacing w:val="-2"/>
          <w:sz w:val="22"/>
        </w:rPr>
        <w:t>favor;</w:t>
      </w:r>
    </w:p>
    <w:p>
      <w:pPr>
        <w:pStyle w:val="ListParagraph"/>
        <w:numPr>
          <w:ilvl w:val="0"/>
          <w:numId w:val="60"/>
        </w:numPr>
        <w:tabs>
          <w:tab w:pos="1340" w:val="left" w:leader="none"/>
        </w:tabs>
        <w:spacing w:line="240" w:lineRule="auto" w:before="126" w:after="0"/>
        <w:ind w:left="1340" w:right="0" w:hanging="359"/>
        <w:jc w:val="left"/>
        <w:rPr>
          <w:sz w:val="22"/>
        </w:rPr>
      </w:pPr>
      <w:r>
        <w:rPr>
          <w:sz w:val="22"/>
        </w:rPr>
        <w:t>La</w:t>
      </w:r>
      <w:r>
        <w:rPr>
          <w:spacing w:val="-5"/>
          <w:sz w:val="22"/>
        </w:rPr>
        <w:t> </w:t>
      </w:r>
      <w:r>
        <w:rPr>
          <w:sz w:val="22"/>
        </w:rPr>
        <w:t>reducción</w:t>
      </w:r>
      <w:r>
        <w:rPr>
          <w:spacing w:val="-3"/>
          <w:sz w:val="22"/>
        </w:rPr>
        <w:t> </w:t>
      </w:r>
      <w:r>
        <w:rPr>
          <w:sz w:val="22"/>
        </w:rPr>
        <w:t>del</w:t>
      </w:r>
      <w:r>
        <w:rPr>
          <w:spacing w:val="-3"/>
          <w:sz w:val="22"/>
        </w:rPr>
        <w:t> </w:t>
      </w:r>
      <w:r>
        <w:rPr>
          <w:sz w:val="22"/>
        </w:rPr>
        <w:t>valor</w:t>
      </w:r>
      <w:r>
        <w:rPr>
          <w:spacing w:val="-4"/>
          <w:sz w:val="22"/>
        </w:rPr>
        <w:t> </w:t>
      </w:r>
      <w:r>
        <w:rPr>
          <w:sz w:val="22"/>
        </w:rPr>
        <w:t>acumulado</w:t>
      </w:r>
      <w:r>
        <w:rPr>
          <w:spacing w:val="-3"/>
          <w:sz w:val="22"/>
        </w:rPr>
        <w:t> </w:t>
      </w:r>
      <w:r>
        <w:rPr>
          <w:sz w:val="22"/>
        </w:rPr>
        <w:t>por</w:t>
      </w:r>
      <w:r>
        <w:rPr>
          <w:spacing w:val="-3"/>
          <w:sz w:val="22"/>
        </w:rPr>
        <w:t> </w:t>
      </w:r>
      <w:r>
        <w:rPr>
          <w:sz w:val="22"/>
        </w:rPr>
        <w:t>futuras</w:t>
      </w:r>
      <w:r>
        <w:rPr>
          <w:spacing w:val="-2"/>
          <w:sz w:val="22"/>
        </w:rPr>
        <w:t> insolvencias;</w:t>
      </w:r>
    </w:p>
    <w:p>
      <w:pPr>
        <w:pStyle w:val="ListParagraph"/>
        <w:numPr>
          <w:ilvl w:val="0"/>
          <w:numId w:val="60"/>
        </w:numPr>
        <w:tabs>
          <w:tab w:pos="1341" w:val="left" w:leader="none"/>
        </w:tabs>
        <w:spacing w:line="240" w:lineRule="auto" w:before="126" w:after="0"/>
        <w:ind w:left="1341" w:right="0" w:hanging="360"/>
        <w:jc w:val="left"/>
        <w:rPr>
          <w:sz w:val="22"/>
        </w:rPr>
      </w:pPr>
      <w:r>
        <w:rPr>
          <w:sz w:val="22"/>
        </w:rPr>
        <w:t>La</w:t>
      </w:r>
      <w:r>
        <w:rPr>
          <w:spacing w:val="-7"/>
          <w:sz w:val="22"/>
        </w:rPr>
        <w:t> </w:t>
      </w:r>
      <w:r>
        <w:rPr>
          <w:sz w:val="22"/>
        </w:rPr>
        <w:t>cuota</w:t>
      </w:r>
      <w:r>
        <w:rPr>
          <w:spacing w:val="-3"/>
          <w:sz w:val="22"/>
        </w:rPr>
        <w:t> </w:t>
      </w:r>
      <w:r>
        <w:rPr>
          <w:sz w:val="22"/>
        </w:rPr>
        <w:t>de</w:t>
      </w:r>
      <w:r>
        <w:rPr>
          <w:spacing w:val="-2"/>
          <w:sz w:val="22"/>
        </w:rPr>
        <w:t> </w:t>
      </w:r>
      <w:r>
        <w:rPr>
          <w:sz w:val="22"/>
        </w:rPr>
        <w:t>contingencia</w:t>
      </w:r>
      <w:r>
        <w:rPr>
          <w:spacing w:val="-5"/>
          <w:sz w:val="22"/>
        </w:rPr>
        <w:t> </w:t>
      </w:r>
      <w:r>
        <w:rPr>
          <w:sz w:val="22"/>
        </w:rPr>
        <w:t>reconocida</w:t>
      </w:r>
      <w:r>
        <w:rPr>
          <w:spacing w:val="-7"/>
          <w:sz w:val="22"/>
        </w:rPr>
        <w:t> </w:t>
      </w:r>
      <w:r>
        <w:rPr>
          <w:sz w:val="22"/>
        </w:rPr>
        <w:t>en</w:t>
      </w:r>
      <w:r>
        <w:rPr>
          <w:spacing w:val="-3"/>
          <w:sz w:val="22"/>
        </w:rPr>
        <w:t> </w:t>
      </w:r>
      <w:r>
        <w:rPr>
          <w:sz w:val="22"/>
        </w:rPr>
        <w:t>los</w:t>
      </w:r>
      <w:r>
        <w:rPr>
          <w:spacing w:val="-2"/>
          <w:sz w:val="22"/>
        </w:rPr>
        <w:t> </w:t>
      </w:r>
      <w:r>
        <w:rPr>
          <w:sz w:val="22"/>
        </w:rPr>
        <w:t>Estados</w:t>
      </w:r>
      <w:r>
        <w:rPr>
          <w:spacing w:val="-2"/>
          <w:sz w:val="22"/>
        </w:rPr>
        <w:t> Financieros,</w:t>
      </w:r>
    </w:p>
    <w:p>
      <w:pPr>
        <w:pStyle w:val="ListParagraph"/>
        <w:numPr>
          <w:ilvl w:val="0"/>
          <w:numId w:val="60"/>
        </w:numPr>
        <w:tabs>
          <w:tab w:pos="1341" w:val="left" w:leader="none"/>
        </w:tabs>
        <w:spacing w:line="240" w:lineRule="auto" w:before="125" w:after="0"/>
        <w:ind w:left="1341" w:right="0" w:hanging="360"/>
        <w:jc w:val="left"/>
        <w:rPr>
          <w:sz w:val="22"/>
        </w:rPr>
      </w:pPr>
      <w:r>
        <w:rPr>
          <w:sz w:val="22"/>
        </w:rPr>
        <w:t>Una</w:t>
      </w:r>
      <w:r>
        <w:rPr>
          <w:spacing w:val="-6"/>
          <w:sz w:val="22"/>
        </w:rPr>
        <w:t> </w:t>
      </w:r>
      <w:r>
        <w:rPr>
          <w:sz w:val="22"/>
        </w:rPr>
        <w:t>descripción</w:t>
      </w:r>
      <w:r>
        <w:rPr>
          <w:spacing w:val="-3"/>
          <w:sz w:val="22"/>
        </w:rPr>
        <w:t> </w:t>
      </w:r>
      <w:r>
        <w:rPr>
          <w:sz w:val="22"/>
        </w:rPr>
        <w:t>de</w:t>
      </w:r>
      <w:r>
        <w:rPr>
          <w:spacing w:val="-5"/>
          <w:sz w:val="22"/>
        </w:rPr>
        <w:t> </w:t>
      </w:r>
      <w:r>
        <w:rPr>
          <w:sz w:val="22"/>
        </w:rPr>
        <w:t>los</w:t>
      </w:r>
      <w:r>
        <w:rPr>
          <w:spacing w:val="-5"/>
          <w:sz w:val="22"/>
        </w:rPr>
        <w:t> </w:t>
      </w:r>
      <w:r>
        <w:rPr>
          <w:sz w:val="22"/>
        </w:rPr>
        <w:t>aspectos</w:t>
      </w:r>
      <w:r>
        <w:rPr>
          <w:spacing w:val="-4"/>
          <w:sz w:val="22"/>
        </w:rPr>
        <w:t> </w:t>
      </w:r>
      <w:r>
        <w:rPr>
          <w:sz w:val="22"/>
        </w:rPr>
        <w:t>más</w:t>
      </w:r>
      <w:r>
        <w:rPr>
          <w:spacing w:val="-5"/>
          <w:sz w:val="22"/>
        </w:rPr>
        <w:t> </w:t>
      </w:r>
      <w:r>
        <w:rPr>
          <w:sz w:val="22"/>
        </w:rPr>
        <w:t>significativos</w:t>
      </w:r>
      <w:r>
        <w:rPr>
          <w:spacing w:val="-3"/>
          <w:sz w:val="22"/>
        </w:rPr>
        <w:t> </w:t>
      </w:r>
      <w:r>
        <w:rPr>
          <w:sz w:val="22"/>
        </w:rPr>
        <w:t>de</w:t>
      </w:r>
      <w:r>
        <w:rPr>
          <w:spacing w:val="-2"/>
          <w:sz w:val="22"/>
        </w:rPr>
        <w:t> </w:t>
      </w:r>
      <w:r>
        <w:rPr>
          <w:sz w:val="22"/>
        </w:rPr>
        <w:t>los</w:t>
      </w:r>
      <w:r>
        <w:rPr>
          <w:spacing w:val="-5"/>
          <w:sz w:val="22"/>
        </w:rPr>
        <w:t> </w:t>
      </w:r>
      <w:r>
        <w:rPr>
          <w:spacing w:val="-2"/>
          <w:sz w:val="22"/>
        </w:rPr>
        <w:t>contratos.</w:t>
      </w:r>
    </w:p>
    <w:p>
      <w:pPr>
        <w:pStyle w:val="BodyText"/>
        <w:spacing w:before="32"/>
        <w:rPr>
          <w:sz w:val="20"/>
        </w:rPr>
      </w:pPr>
      <w:r>
        <w:rPr>
          <w:sz w:val="20"/>
        </w:rPr>
        <mc:AlternateContent>
          <mc:Choice Requires="wps">
            <w:drawing>
              <wp:anchor distT="0" distB="0" distL="0" distR="0" allowOverlap="1" layoutInCell="1" locked="0" behindDoc="1" simplePos="0" relativeHeight="487726592">
                <wp:simplePos x="0" y="0"/>
                <wp:positionH relativeFrom="page">
                  <wp:posOffset>1080820</wp:posOffset>
                </wp:positionH>
                <wp:positionV relativeFrom="paragraph">
                  <wp:posOffset>183737</wp:posOffset>
                </wp:positionV>
                <wp:extent cx="5715000" cy="554990"/>
                <wp:effectExtent l="0" t="0" r="0" b="0"/>
                <wp:wrapTopAndBottom/>
                <wp:docPr id="689" name="Textbox 689"/>
                <wp:cNvGraphicFramePr>
                  <a:graphicFrameLocks/>
                </wp:cNvGraphicFramePr>
                <a:graphic>
                  <a:graphicData uri="http://schemas.microsoft.com/office/word/2010/wordprocessingShape">
                    <wps:wsp>
                      <wps:cNvPr id="689" name="Textbox 689"/>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5"/>
                              </w:rPr>
                              <w:t> </w:t>
                            </w:r>
                            <w:r>
                              <w:rPr/>
                              <w:t>mantiene</w:t>
                            </w:r>
                            <w:r>
                              <w:rPr>
                                <w:spacing w:val="-4"/>
                              </w:rPr>
                              <w:t> </w:t>
                            </w:r>
                            <w:r>
                              <w:rPr/>
                              <w:t>arrendamiento</w:t>
                            </w:r>
                            <w:r>
                              <w:rPr>
                                <w:spacing w:val="-3"/>
                              </w:rPr>
                              <w:t> </w:t>
                            </w:r>
                            <w:r>
                              <w:rPr/>
                              <w:t>financiero</w:t>
                            </w:r>
                            <w:r>
                              <w:rPr>
                                <w:spacing w:val="-4"/>
                              </w:rPr>
                              <w:t> </w:t>
                            </w:r>
                            <w:r>
                              <w:rPr/>
                              <w:t>al</w:t>
                            </w:r>
                            <w:r>
                              <w:rPr>
                                <w:spacing w:val="-3"/>
                              </w:rPr>
                              <w:t> </w:t>
                            </w:r>
                            <w:r>
                              <w:rPr/>
                              <w:t>cierre</w:t>
                            </w:r>
                            <w:r>
                              <w:rPr>
                                <w:spacing w:val="-6"/>
                              </w:rPr>
                              <w:t> </w:t>
                            </w:r>
                            <w:r>
                              <w:rPr/>
                              <w:t>del</w:t>
                            </w:r>
                            <w:r>
                              <w:rPr>
                                <w:spacing w:val="-3"/>
                              </w:rPr>
                              <w:t> </w:t>
                            </w:r>
                            <w:r>
                              <w:rPr>
                                <w:spacing w:val="-2"/>
                              </w:rPr>
                              <w:t>periodo.</w:t>
                            </w:r>
                          </w:p>
                        </w:txbxContent>
                      </wps:txbx>
                      <wps:bodyPr wrap="square" lIns="0" tIns="0" rIns="0" bIns="0" rtlCol="0">
                        <a:noAutofit/>
                      </wps:bodyPr>
                    </wps:wsp>
                  </a:graphicData>
                </a:graphic>
              </wp:anchor>
            </w:drawing>
          </mc:Choice>
          <mc:Fallback>
            <w:pict>
              <v:shape style="position:absolute;margin-left:85.103996pt;margin-top:14.4675pt;width:450pt;height:43.7pt;mso-position-horizontal-relative:page;mso-position-vertical-relative:paragraph;z-index:-15589888;mso-wrap-distance-left:0;mso-wrap-distance-right:0" type="#_x0000_t202" id="docshape66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5"/>
                        </w:rPr>
                        <w:t> </w:t>
                      </w:r>
                      <w:r>
                        <w:rPr/>
                        <w:t>mantiene</w:t>
                      </w:r>
                      <w:r>
                        <w:rPr>
                          <w:spacing w:val="-4"/>
                        </w:rPr>
                        <w:t> </w:t>
                      </w:r>
                      <w:r>
                        <w:rPr/>
                        <w:t>arrendamiento</w:t>
                      </w:r>
                      <w:r>
                        <w:rPr>
                          <w:spacing w:val="-3"/>
                        </w:rPr>
                        <w:t> </w:t>
                      </w:r>
                      <w:r>
                        <w:rPr/>
                        <w:t>financiero</w:t>
                      </w:r>
                      <w:r>
                        <w:rPr>
                          <w:spacing w:val="-4"/>
                        </w:rPr>
                        <w:t> </w:t>
                      </w:r>
                      <w:r>
                        <w:rPr/>
                        <w:t>al</w:t>
                      </w:r>
                      <w:r>
                        <w:rPr>
                          <w:spacing w:val="-3"/>
                        </w:rPr>
                        <w:t> </w:t>
                      </w:r>
                      <w:r>
                        <w:rPr/>
                        <w:t>cierre</w:t>
                      </w:r>
                      <w:r>
                        <w:rPr>
                          <w:spacing w:val="-6"/>
                        </w:rPr>
                        <w:t> </w:t>
                      </w:r>
                      <w:r>
                        <w:rPr/>
                        <w:t>del</w:t>
                      </w:r>
                      <w:r>
                        <w:rPr>
                          <w:spacing w:val="-3"/>
                        </w:rPr>
                        <w:t> </w:t>
                      </w:r>
                      <w:r>
                        <w:rPr>
                          <w:spacing w:val="-2"/>
                        </w:rPr>
                        <w:t>periodo.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11" w:id="112"/>
      <w:bookmarkEnd w:id="112"/>
      <w:r>
        <w:rPr/>
      </w:r>
      <w:r>
        <w:rPr>
          <w:b/>
          <w:sz w:val="22"/>
        </w:rPr>
        <w:t>NOTA</w:t>
      </w:r>
      <w:r>
        <w:rPr>
          <w:b/>
          <w:spacing w:val="-1"/>
          <w:sz w:val="22"/>
        </w:rPr>
        <w:t> </w:t>
      </w:r>
      <w:r>
        <w:rPr>
          <w:b/>
          <w:sz w:val="22"/>
        </w:rPr>
        <w:t>N° </w:t>
      </w:r>
      <w:r>
        <w:rPr>
          <w:b/>
          <w:spacing w:val="-5"/>
          <w:sz w:val="22"/>
        </w:rPr>
        <w:t>61</w:t>
      </w:r>
    </w:p>
    <w:p>
      <w:pPr>
        <w:pStyle w:val="BodyText"/>
        <w:spacing w:before="114"/>
        <w:rPr>
          <w:b/>
        </w:rPr>
      </w:pPr>
    </w:p>
    <w:p>
      <w:pPr>
        <w:pStyle w:val="Heading6"/>
        <w:spacing w:before="1"/>
        <w:ind w:left="622"/>
      </w:pPr>
      <w:r>
        <w:rPr/>
        <w:t>Materiales</w:t>
      </w:r>
      <w:r>
        <w:rPr>
          <w:spacing w:val="-4"/>
        </w:rPr>
        <w:t> </w:t>
      </w:r>
      <w:r>
        <w:rPr/>
        <w:t>y</w:t>
      </w:r>
      <w:r>
        <w:rPr>
          <w:spacing w:val="-4"/>
        </w:rPr>
        <w:t> </w:t>
      </w:r>
      <w:r>
        <w:rPr/>
        <w:t>suministros</w:t>
      </w:r>
      <w:r>
        <w:rPr>
          <w:spacing w:val="-2"/>
        </w:rPr>
        <w:t> consumidos</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403"/>
        <w:gridCol w:w="574"/>
        <w:gridCol w:w="2269"/>
        <w:gridCol w:w="1844"/>
        <w:gridCol w:w="1069"/>
      </w:tblGrid>
      <w:tr>
        <w:trPr>
          <w:trHeight w:val="325" w:hRule="atLeast"/>
        </w:trPr>
        <w:tc>
          <w:tcPr>
            <w:tcW w:w="984" w:type="dxa"/>
            <w:vMerge w:val="restart"/>
            <w:shd w:val="clear" w:color="auto" w:fill="365F92"/>
          </w:tcPr>
          <w:p>
            <w:pPr>
              <w:pStyle w:val="TableParagraph"/>
              <w:spacing w:before="120"/>
              <w:ind w:left="69"/>
              <w:rPr>
                <w:b/>
                <w:sz w:val="22"/>
              </w:rPr>
            </w:pPr>
            <w:r>
              <w:rPr>
                <w:b/>
                <w:color w:val="FFFFFF"/>
                <w:spacing w:val="-2"/>
                <w:sz w:val="22"/>
              </w:rPr>
              <w:t>Cuenta</w:t>
            </w:r>
          </w:p>
        </w:tc>
        <w:tc>
          <w:tcPr>
            <w:tcW w:w="2403" w:type="dxa"/>
            <w:vMerge w:val="restart"/>
            <w:shd w:val="clear" w:color="auto" w:fill="365F92"/>
          </w:tcPr>
          <w:p>
            <w:pPr>
              <w:pStyle w:val="TableParagraph"/>
              <w:spacing w:before="209"/>
              <w:ind w:left="672"/>
              <w:rPr>
                <w:b/>
                <w:sz w:val="22"/>
              </w:rPr>
            </w:pPr>
            <w:r>
              <w:rPr>
                <w:b/>
                <w:color w:val="FFFFFF"/>
                <w:spacing w:val="-2"/>
                <w:sz w:val="22"/>
              </w:rPr>
              <w:t>Descripción</w:t>
            </w:r>
          </w:p>
        </w:tc>
        <w:tc>
          <w:tcPr>
            <w:tcW w:w="574" w:type="dxa"/>
            <w:vMerge w:val="restart"/>
            <w:shd w:val="clear" w:color="auto" w:fill="365F92"/>
          </w:tcPr>
          <w:p>
            <w:pPr>
              <w:pStyle w:val="TableParagraph"/>
              <w:spacing w:before="209"/>
              <w:ind w:left="69"/>
              <w:rPr>
                <w:b/>
                <w:sz w:val="22"/>
              </w:rPr>
            </w:pPr>
            <w:r>
              <w:rPr>
                <w:b/>
                <w:color w:val="FFFFFF"/>
                <w:spacing w:val="-4"/>
                <w:sz w:val="22"/>
              </w:rPr>
              <w:t>Nota</w:t>
            </w:r>
          </w:p>
        </w:tc>
        <w:tc>
          <w:tcPr>
            <w:tcW w:w="2269" w:type="dxa"/>
            <w:vMerge w:val="restart"/>
            <w:shd w:val="clear" w:color="auto" w:fill="365F92"/>
          </w:tcPr>
          <w:p>
            <w:pPr>
              <w:pStyle w:val="TableParagraph"/>
              <w:spacing w:before="209"/>
              <w:ind w:left="501"/>
              <w:rPr>
                <w:b/>
                <w:sz w:val="22"/>
              </w:rPr>
            </w:pPr>
            <w:r>
              <w:rPr>
                <w:b/>
                <w:color w:val="FFFFFF"/>
                <w:sz w:val="22"/>
              </w:rPr>
              <w:t>Periodo</w:t>
            </w:r>
            <w:r>
              <w:rPr>
                <w:b/>
                <w:color w:val="FFFFFF"/>
                <w:spacing w:val="-4"/>
                <w:sz w:val="22"/>
              </w:rPr>
              <w:t> </w:t>
            </w:r>
            <w:r>
              <w:rPr>
                <w:b/>
                <w:color w:val="FFFFFF"/>
                <w:spacing w:val="-2"/>
                <w:sz w:val="22"/>
              </w:rPr>
              <w:t>Actual</w:t>
            </w:r>
          </w:p>
        </w:tc>
        <w:tc>
          <w:tcPr>
            <w:tcW w:w="1844" w:type="dxa"/>
            <w:vMerge w:val="restart"/>
            <w:shd w:val="clear" w:color="auto" w:fill="365F92"/>
          </w:tcPr>
          <w:p>
            <w:pPr>
              <w:pStyle w:val="TableParagraph"/>
              <w:spacing w:before="209"/>
              <w:ind w:left="195"/>
              <w:rPr>
                <w:b/>
                <w:sz w:val="22"/>
              </w:rPr>
            </w:pPr>
            <w:r>
              <w:rPr>
                <w:b/>
                <w:color w:val="FFFFFF"/>
                <w:sz w:val="22"/>
              </w:rPr>
              <w:t>Periodo</w:t>
            </w:r>
            <w:r>
              <w:rPr>
                <w:b/>
                <w:color w:val="FFFFFF"/>
                <w:spacing w:val="-4"/>
                <w:sz w:val="22"/>
              </w:rPr>
              <w:t> </w:t>
            </w:r>
            <w:r>
              <w:rPr>
                <w:b/>
                <w:color w:val="FFFFFF"/>
                <w:spacing w:val="-2"/>
                <w:sz w:val="22"/>
              </w:rPr>
              <w:t>Anterior</w:t>
            </w:r>
          </w:p>
        </w:tc>
        <w:tc>
          <w:tcPr>
            <w:tcW w:w="1069" w:type="dxa"/>
            <w:shd w:val="clear" w:color="auto" w:fill="365F92"/>
          </w:tcPr>
          <w:p>
            <w:pPr>
              <w:pStyle w:val="TableParagraph"/>
              <w:spacing w:before="38"/>
              <w:ind w:left="75"/>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2403"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2269"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069" w:type="dxa"/>
            <w:shd w:val="clear" w:color="auto" w:fill="365F92"/>
          </w:tcPr>
          <w:p>
            <w:pPr>
              <w:pStyle w:val="TableParagraph"/>
              <w:spacing w:before="36"/>
              <w:ind w:left="16" w:right="2"/>
              <w:jc w:val="center"/>
              <w:rPr>
                <w:sz w:val="22"/>
              </w:rPr>
            </w:pPr>
            <w:r>
              <w:rPr>
                <w:color w:val="FFFFFF"/>
                <w:spacing w:val="-10"/>
                <w:sz w:val="22"/>
              </w:rPr>
              <w:t>%</w:t>
            </w:r>
          </w:p>
        </w:tc>
      </w:tr>
      <w:tr>
        <w:trPr>
          <w:trHeight w:val="503" w:hRule="atLeast"/>
        </w:trPr>
        <w:tc>
          <w:tcPr>
            <w:tcW w:w="984" w:type="dxa"/>
          </w:tcPr>
          <w:p>
            <w:pPr>
              <w:pStyle w:val="TableParagraph"/>
              <w:spacing w:before="125"/>
              <w:ind w:left="69"/>
              <w:rPr>
                <w:b/>
                <w:sz w:val="22"/>
              </w:rPr>
            </w:pPr>
            <w:r>
              <w:rPr>
                <w:b/>
                <w:spacing w:val="-2"/>
                <w:sz w:val="22"/>
              </w:rPr>
              <w:t>5.1.3.</w:t>
            </w:r>
          </w:p>
        </w:tc>
        <w:tc>
          <w:tcPr>
            <w:tcW w:w="2403" w:type="dxa"/>
          </w:tcPr>
          <w:p>
            <w:pPr>
              <w:pStyle w:val="TableParagraph"/>
              <w:ind w:left="69"/>
              <w:rPr>
                <w:b/>
                <w:sz w:val="22"/>
              </w:rPr>
            </w:pPr>
            <w:r>
              <w:rPr>
                <w:b/>
                <w:sz w:val="22"/>
              </w:rPr>
              <w:t>Materiales</w:t>
            </w:r>
            <w:r>
              <w:rPr>
                <w:b/>
                <w:spacing w:val="-3"/>
                <w:sz w:val="22"/>
              </w:rPr>
              <w:t> </w:t>
            </w:r>
            <w:r>
              <w:rPr>
                <w:b/>
                <w:sz w:val="22"/>
              </w:rPr>
              <w:t>y</w:t>
            </w:r>
            <w:r>
              <w:rPr>
                <w:b/>
                <w:spacing w:val="-2"/>
                <w:sz w:val="22"/>
              </w:rPr>
              <w:t> suministros</w:t>
            </w:r>
          </w:p>
          <w:p>
            <w:pPr>
              <w:pStyle w:val="TableParagraph"/>
              <w:spacing w:line="231" w:lineRule="exact" w:before="1"/>
              <w:ind w:left="69"/>
              <w:rPr>
                <w:b/>
                <w:sz w:val="22"/>
              </w:rPr>
            </w:pPr>
            <w:r>
              <w:rPr>
                <w:b/>
                <w:spacing w:val="-2"/>
                <w:sz w:val="22"/>
              </w:rPr>
              <w:t>consumidos</w:t>
            </w:r>
          </w:p>
        </w:tc>
        <w:tc>
          <w:tcPr>
            <w:tcW w:w="574" w:type="dxa"/>
          </w:tcPr>
          <w:p>
            <w:pPr>
              <w:pStyle w:val="TableParagraph"/>
              <w:spacing w:before="125"/>
              <w:ind w:left="177"/>
              <w:rPr>
                <w:b/>
                <w:sz w:val="22"/>
              </w:rPr>
            </w:pPr>
            <w:r>
              <w:rPr>
                <w:b/>
                <w:spacing w:val="-5"/>
                <w:sz w:val="22"/>
              </w:rPr>
              <w:t>61</w:t>
            </w:r>
          </w:p>
        </w:tc>
        <w:tc>
          <w:tcPr>
            <w:tcW w:w="2269" w:type="dxa"/>
          </w:tcPr>
          <w:p>
            <w:pPr>
              <w:pStyle w:val="TableParagraph"/>
              <w:spacing w:before="135"/>
              <w:ind w:left="472"/>
              <w:rPr>
                <w:b/>
                <w:sz w:val="20"/>
              </w:rPr>
            </w:pPr>
            <w:r>
              <w:rPr>
                <w:b/>
                <w:sz w:val="20"/>
              </w:rPr>
              <w:t>191</w:t>
            </w:r>
            <w:r>
              <w:rPr>
                <w:b/>
                <w:spacing w:val="-3"/>
                <w:sz w:val="20"/>
              </w:rPr>
              <w:t> </w:t>
            </w:r>
            <w:r>
              <w:rPr>
                <w:b/>
                <w:spacing w:val="-2"/>
                <w:sz w:val="20"/>
              </w:rPr>
              <w:t>149,88</w:t>
            </w:r>
          </w:p>
        </w:tc>
        <w:tc>
          <w:tcPr>
            <w:tcW w:w="1844" w:type="dxa"/>
          </w:tcPr>
          <w:p>
            <w:pPr>
              <w:pStyle w:val="TableParagraph"/>
              <w:spacing w:before="135"/>
              <w:ind w:left="471"/>
              <w:rPr>
                <w:b/>
                <w:sz w:val="20"/>
              </w:rPr>
            </w:pPr>
            <w:r>
              <w:rPr>
                <w:b/>
                <w:sz w:val="20"/>
              </w:rPr>
              <w:t>212</w:t>
            </w:r>
            <w:r>
              <w:rPr>
                <w:b/>
                <w:spacing w:val="-3"/>
                <w:sz w:val="20"/>
              </w:rPr>
              <w:t> </w:t>
            </w:r>
            <w:r>
              <w:rPr>
                <w:b/>
                <w:spacing w:val="-2"/>
                <w:sz w:val="20"/>
              </w:rPr>
              <w:t>189,14</w:t>
            </w:r>
          </w:p>
        </w:tc>
        <w:tc>
          <w:tcPr>
            <w:tcW w:w="1069" w:type="dxa"/>
          </w:tcPr>
          <w:p>
            <w:pPr>
              <w:pStyle w:val="TableParagraph"/>
              <w:spacing w:before="135"/>
              <w:ind w:left="67"/>
              <w:rPr>
                <w:sz w:val="20"/>
              </w:rPr>
            </w:pPr>
            <w:r>
              <w:rPr>
                <w:spacing w:val="-2"/>
                <w:sz w:val="20"/>
              </w:rPr>
              <w:t>-9,92%</w:t>
            </w:r>
          </w:p>
        </w:tc>
      </w:tr>
    </w:tbl>
    <w:p>
      <w:pPr>
        <w:spacing w:before="241"/>
        <w:ind w:left="622" w:right="0" w:firstLine="0"/>
        <w:jc w:val="left"/>
        <w:rPr>
          <w:b/>
          <w:sz w:val="22"/>
        </w:rPr>
      </w:pPr>
      <w:r>
        <w:rPr>
          <w:b/>
          <w:spacing w:val="-2"/>
          <w:sz w:val="22"/>
        </w:rPr>
        <w:t>Revelación:</w:t>
      </w:r>
    </w:p>
    <w:p>
      <w:pPr>
        <w:pStyle w:val="BodyText"/>
        <w:spacing w:before="179"/>
        <w:ind w:left="622" w:right="975"/>
        <w:jc w:val="both"/>
      </w:pPr>
      <w:r>
        <w:rPr/>
        <w:t>La cuenta Materiales y suministros consumidos, representa el 0,15% del total del Gastos, que comparado al periodo anterior genera una variación absoluta de ¢ -21.039,26 que corresponde una leve disminución del -9,92% de recursos disponibles.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4512">
                <wp:simplePos x="0" y="0"/>
                <wp:positionH relativeFrom="page">
                  <wp:posOffset>9525</wp:posOffset>
                </wp:positionH>
                <wp:positionV relativeFrom="page">
                  <wp:posOffset>297208</wp:posOffset>
                </wp:positionV>
                <wp:extent cx="7762875" cy="9748520"/>
                <wp:effectExtent l="0" t="0" r="0" b="0"/>
                <wp:wrapNone/>
                <wp:docPr id="690" name="Group 690"/>
                <wp:cNvGraphicFramePr>
                  <a:graphicFrameLocks/>
                </wp:cNvGraphicFramePr>
                <a:graphic>
                  <a:graphicData uri="http://schemas.microsoft.com/office/word/2010/wordprocessingGroup">
                    <wpg:wgp>
                      <wpg:cNvPr id="690" name="Group 690"/>
                      <wpg:cNvGrpSpPr/>
                      <wpg:grpSpPr>
                        <a:xfrm>
                          <a:off x="0" y="0"/>
                          <a:ext cx="7762875" cy="9748520"/>
                          <a:chExt cx="7762875" cy="9748520"/>
                        </a:xfrm>
                      </wpg:grpSpPr>
                      <pic:pic>
                        <pic:nvPicPr>
                          <pic:cNvPr id="691" name="Image 691"/>
                          <pic:cNvPicPr/>
                        </pic:nvPicPr>
                        <pic:blipFill>
                          <a:blip r:embed="rId5" cstate="print"/>
                          <a:stretch>
                            <a:fillRect/>
                          </a:stretch>
                        </pic:blipFill>
                        <pic:spPr>
                          <a:xfrm>
                            <a:off x="0" y="0"/>
                            <a:ext cx="7762874" cy="9748489"/>
                          </a:xfrm>
                          <a:prstGeom prst="rect">
                            <a:avLst/>
                          </a:prstGeom>
                        </pic:spPr>
                      </pic:pic>
                      <wps:wsp>
                        <wps:cNvPr id="692" name="Graphic 692"/>
                        <wps:cNvSpPr/>
                        <wps:spPr>
                          <a:xfrm>
                            <a:off x="1053007" y="990837"/>
                            <a:ext cx="5736590" cy="7397115"/>
                          </a:xfrm>
                          <a:custGeom>
                            <a:avLst/>
                            <a:gdLst/>
                            <a:ahLst/>
                            <a:cxnLst/>
                            <a:rect l="l" t="t" r="r" b="b"/>
                            <a:pathLst>
                              <a:path w="5736590" h="7397115">
                                <a:moveTo>
                                  <a:pt x="5649214" y="0"/>
                                </a:moveTo>
                                <a:lnTo>
                                  <a:pt x="0" y="0"/>
                                </a:lnTo>
                                <a:lnTo>
                                  <a:pt x="0" y="9131"/>
                                </a:lnTo>
                                <a:lnTo>
                                  <a:pt x="5649214" y="9131"/>
                                </a:lnTo>
                                <a:lnTo>
                                  <a:pt x="5649214" y="0"/>
                                </a:lnTo>
                                <a:close/>
                              </a:path>
                              <a:path w="5736590" h="7397115">
                                <a:moveTo>
                                  <a:pt x="5736018" y="746874"/>
                                </a:moveTo>
                                <a:lnTo>
                                  <a:pt x="5729935" y="746874"/>
                                </a:lnTo>
                                <a:lnTo>
                                  <a:pt x="5729935" y="7390879"/>
                                </a:lnTo>
                                <a:lnTo>
                                  <a:pt x="21336" y="7390879"/>
                                </a:lnTo>
                                <a:lnTo>
                                  <a:pt x="21336" y="746874"/>
                                </a:lnTo>
                                <a:lnTo>
                                  <a:pt x="15240" y="746874"/>
                                </a:lnTo>
                                <a:lnTo>
                                  <a:pt x="15240" y="7390879"/>
                                </a:lnTo>
                                <a:lnTo>
                                  <a:pt x="15240" y="7396975"/>
                                </a:lnTo>
                                <a:lnTo>
                                  <a:pt x="21336" y="7396975"/>
                                </a:lnTo>
                                <a:lnTo>
                                  <a:pt x="5729935" y="7396975"/>
                                </a:lnTo>
                                <a:lnTo>
                                  <a:pt x="5736018" y="7396975"/>
                                </a:lnTo>
                                <a:lnTo>
                                  <a:pt x="5736018" y="7390879"/>
                                </a:lnTo>
                                <a:lnTo>
                                  <a:pt x="5736018" y="746874"/>
                                </a:lnTo>
                                <a:close/>
                              </a:path>
                              <a:path w="5736590" h="7397115">
                                <a:moveTo>
                                  <a:pt x="5736018" y="740651"/>
                                </a:moveTo>
                                <a:lnTo>
                                  <a:pt x="5729986" y="740651"/>
                                </a:lnTo>
                                <a:lnTo>
                                  <a:pt x="21336" y="740651"/>
                                </a:lnTo>
                                <a:lnTo>
                                  <a:pt x="15240" y="740651"/>
                                </a:lnTo>
                                <a:lnTo>
                                  <a:pt x="15240" y="746747"/>
                                </a:lnTo>
                                <a:lnTo>
                                  <a:pt x="21336" y="746747"/>
                                </a:lnTo>
                                <a:lnTo>
                                  <a:pt x="5729935" y="746747"/>
                                </a:lnTo>
                                <a:lnTo>
                                  <a:pt x="5736018" y="746747"/>
                                </a:lnTo>
                                <a:lnTo>
                                  <a:pt x="5736018" y="740651"/>
                                </a:lnTo>
                                <a:close/>
                              </a:path>
                            </a:pathLst>
                          </a:custGeom>
                          <a:solidFill>
                            <a:srgbClr val="000000"/>
                          </a:solidFill>
                        </wps:spPr>
                        <wps:bodyPr wrap="square" lIns="0" tIns="0" rIns="0" bIns="0" rtlCol="0">
                          <a:prstTxWarp prst="textNoShape">
                            <a:avLst/>
                          </a:prstTxWarp>
                          <a:noAutofit/>
                        </wps:bodyPr>
                      </wps:wsp>
                      <pic:pic>
                        <pic:nvPicPr>
                          <pic:cNvPr id="693" name="Image 693"/>
                          <pic:cNvPicPr/>
                        </pic:nvPicPr>
                        <pic:blipFill>
                          <a:blip r:embed="rId80" cstate="print"/>
                          <a:stretch>
                            <a:fillRect/>
                          </a:stretch>
                        </pic:blipFill>
                        <pic:spPr>
                          <a:xfrm>
                            <a:off x="1751329" y="5989799"/>
                            <a:ext cx="4352290" cy="1310513"/>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1968" id="docshapegroup668" coordorigin="15,468" coordsize="12225,15352">
                <v:shape style="position:absolute;left:15;top:468;width:12225;height:15352" type="#_x0000_t75" id="docshape669" stroked="false">
                  <v:imagedata r:id="rId5" o:title=""/>
                </v:shape>
                <v:shape style="position:absolute;left:1673;top:2028;width:9034;height:11649" id="docshape670" coordorigin="1673,2028" coordsize="9034,11649" path="m10570,2028l1673,2028,1673,2043,10570,2043,10570,2028xm10706,3205l10697,3205,10697,13668,1707,13668,1707,3205,1697,3205,1697,13668,1697,13677,1707,13677,10697,13677,10697,13677,10706,13677,10706,13668,10706,3205xm10706,3195l10697,3195,10697,3195,1707,3195,1697,3195,1697,3204,1707,3204,10697,3204,10697,3204,10706,3204,10706,3195xe" filled="true" fillcolor="#000000" stroked="false">
                  <v:path arrowok="t"/>
                  <v:fill type="solid"/>
                </v:shape>
                <v:shape style="position:absolute;left:2773;top:9900;width:6854;height:2064" type="#_x0000_t75" id="docshape671" stroked="false">
                  <v:imagedata r:id="rId80" o:title=""/>
                </v:shape>
                <w10:wrap type="none"/>
              </v:group>
            </w:pict>
          </mc:Fallback>
        </mc:AlternateContent>
      </w:r>
      <w:r>
        <w:rPr>
          <w:color w:val="172951"/>
          <w:sz w:val="20"/>
        </w:rPr>
        <w:t>Pág.</w:t>
      </w:r>
      <w:r>
        <w:rPr>
          <w:color w:val="172951"/>
          <w:spacing w:val="-7"/>
          <w:sz w:val="20"/>
        </w:rPr>
        <w:t> </w:t>
      </w:r>
      <w:r>
        <w:rPr>
          <w:color w:val="172951"/>
          <w:spacing w:val="-5"/>
          <w:sz w:val="20"/>
        </w:rPr>
        <w:t>140</w:t>
      </w:r>
    </w:p>
    <w:p>
      <w:pPr>
        <w:tabs>
          <w:tab w:pos="9489" w:val="left" w:leader="none"/>
        </w:tabs>
        <w:spacing w:before="218"/>
        <w:ind w:left="622" w:right="0" w:firstLine="0"/>
        <w:jc w:val="left"/>
        <w:rPr>
          <w:b/>
          <w:sz w:val="22"/>
        </w:rPr>
      </w:pPr>
      <w:r>
        <w:rPr>
          <w:b/>
          <w:color w:val="FFFFFF"/>
          <w:sz w:val="22"/>
          <w:shd w:fill="365F92" w:color="auto" w:val="clear"/>
        </w:rPr>
        <w:t>Información</w:t>
      </w:r>
      <w:r>
        <w:rPr>
          <w:b/>
          <w:color w:val="FFFFFF"/>
          <w:spacing w:val="-5"/>
          <w:sz w:val="22"/>
          <w:shd w:fill="365F92" w:color="auto" w:val="clear"/>
        </w:rPr>
        <w:t> </w:t>
      </w:r>
      <w:r>
        <w:rPr>
          <w:b/>
          <w:color w:val="FFFFFF"/>
          <w:sz w:val="22"/>
          <w:shd w:fill="365F92" w:color="auto" w:val="clear"/>
        </w:rPr>
        <w:t>a</w:t>
      </w:r>
      <w:r>
        <w:rPr>
          <w:b/>
          <w:color w:val="FFFFFF"/>
          <w:spacing w:val="-4"/>
          <w:sz w:val="22"/>
          <w:shd w:fill="365F92" w:color="auto" w:val="clear"/>
        </w:rPr>
        <w:t> </w:t>
      </w:r>
      <w:r>
        <w:rPr>
          <w:b/>
          <w:color w:val="FFFFFF"/>
          <w:sz w:val="22"/>
          <w:shd w:fill="365F92" w:color="auto" w:val="clear"/>
        </w:rPr>
        <w:t>revelar</w:t>
      </w:r>
      <w:r>
        <w:rPr>
          <w:b/>
          <w:color w:val="FFFFFF"/>
          <w:spacing w:val="-3"/>
          <w:sz w:val="22"/>
          <w:shd w:fill="365F92" w:color="auto" w:val="clear"/>
        </w:rPr>
        <w:t> </w:t>
      </w:r>
      <w:r>
        <w:rPr>
          <w:b/>
          <w:color w:val="FFFFFF"/>
          <w:sz w:val="22"/>
          <w:shd w:fill="365F92" w:color="auto" w:val="clear"/>
        </w:rPr>
        <w:t>-</w:t>
      </w:r>
      <w:r>
        <w:rPr>
          <w:b/>
          <w:color w:val="FFFFFF"/>
          <w:spacing w:val="-5"/>
          <w:sz w:val="22"/>
          <w:shd w:fill="365F92" w:color="auto" w:val="clear"/>
        </w:rPr>
        <w:t> </w:t>
      </w:r>
      <w:r>
        <w:rPr>
          <w:b/>
          <w:color w:val="FFFFFF"/>
          <w:sz w:val="22"/>
          <w:shd w:fill="365F92" w:color="auto" w:val="clear"/>
        </w:rPr>
        <w:t>Inventarios</w:t>
      </w:r>
      <w:r>
        <w:rPr>
          <w:b/>
          <w:color w:val="FFFFFF"/>
          <w:spacing w:val="-5"/>
          <w:sz w:val="22"/>
          <w:shd w:fill="365F92" w:color="auto" w:val="clear"/>
        </w:rPr>
        <w:t> </w:t>
      </w:r>
      <w:r>
        <w:rPr>
          <w:b/>
          <w:color w:val="FFFFFF"/>
          <w:sz w:val="22"/>
          <w:shd w:fill="365F92" w:color="auto" w:val="clear"/>
        </w:rPr>
        <w:t>NICSP</w:t>
      </w:r>
      <w:r>
        <w:rPr>
          <w:b/>
          <w:color w:val="FFFFFF"/>
          <w:spacing w:val="-4"/>
          <w:sz w:val="22"/>
          <w:shd w:fill="365F92" w:color="auto" w:val="clear"/>
        </w:rPr>
        <w:t> </w:t>
      </w:r>
      <w:r>
        <w:rPr>
          <w:b/>
          <w:color w:val="FFFFFF"/>
          <w:spacing w:val="-5"/>
          <w:sz w:val="22"/>
          <w:shd w:fill="365F92" w:color="auto" w:val="clear"/>
        </w:rPr>
        <w:t>12:</w:t>
      </w:r>
      <w:r>
        <w:rPr>
          <w:b/>
          <w:color w:val="FFFFFF"/>
          <w:sz w:val="22"/>
          <w:shd w:fill="365F92" w:color="auto" w:val="clear"/>
        </w:rPr>
        <w:tab/>
      </w:r>
    </w:p>
    <w:p>
      <w:pPr>
        <w:pStyle w:val="ListParagraph"/>
        <w:numPr>
          <w:ilvl w:val="0"/>
          <w:numId w:val="61"/>
        </w:numPr>
        <w:tabs>
          <w:tab w:pos="1689" w:val="left" w:leader="none"/>
        </w:tabs>
        <w:spacing w:line="240" w:lineRule="auto" w:before="181" w:after="0"/>
        <w:ind w:left="1689" w:right="0" w:hanging="708"/>
        <w:jc w:val="left"/>
        <w:rPr>
          <w:b/>
          <w:sz w:val="22"/>
        </w:rPr>
      </w:pPr>
      <w:r>
        <w:rPr>
          <w:b/>
          <w:sz w:val="22"/>
          <w:u w:val="single"/>
        </w:rPr>
        <w:t>Reconocimiento</w:t>
      </w:r>
      <w:r>
        <w:rPr>
          <w:b/>
          <w:spacing w:val="-8"/>
          <w:sz w:val="22"/>
          <w:u w:val="single"/>
        </w:rPr>
        <w:t> </w:t>
      </w:r>
      <w:r>
        <w:rPr>
          <w:b/>
          <w:sz w:val="22"/>
          <w:u w:val="single"/>
        </w:rPr>
        <w:t>del</w:t>
      </w:r>
      <w:r>
        <w:rPr>
          <w:b/>
          <w:spacing w:val="-5"/>
          <w:sz w:val="22"/>
          <w:u w:val="single"/>
        </w:rPr>
        <w:t> </w:t>
      </w:r>
      <w:r>
        <w:rPr>
          <w:b/>
          <w:sz w:val="22"/>
          <w:u w:val="single"/>
        </w:rPr>
        <w:t>Gasto</w:t>
      </w:r>
      <w:r>
        <w:rPr>
          <w:b/>
          <w:spacing w:val="-4"/>
          <w:sz w:val="22"/>
          <w:u w:val="single"/>
        </w:rPr>
        <w:t> </w:t>
      </w:r>
      <w:r>
        <w:rPr>
          <w:b/>
          <w:sz w:val="22"/>
          <w:u w:val="single"/>
        </w:rPr>
        <w:t>(Párrafo</w:t>
      </w:r>
      <w:r>
        <w:rPr>
          <w:b/>
          <w:spacing w:val="-4"/>
          <w:sz w:val="22"/>
          <w:u w:val="single"/>
        </w:rPr>
        <w:t> </w:t>
      </w:r>
      <w:r>
        <w:rPr>
          <w:b/>
          <w:spacing w:val="-5"/>
          <w:sz w:val="22"/>
          <w:u w:val="single"/>
        </w:rPr>
        <w:t>44)</w:t>
      </w:r>
    </w:p>
    <w:p>
      <w:pPr>
        <w:pStyle w:val="BodyText"/>
        <w:spacing w:before="42"/>
        <w:rPr>
          <w:b/>
        </w:rPr>
      </w:pPr>
    </w:p>
    <w:p>
      <w:pPr>
        <w:spacing w:before="1"/>
        <w:ind w:left="730"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730" w:right="925"/>
        <w:jc w:val="both"/>
      </w:pPr>
      <w:r>
        <w:rPr/>
        <w:t>Según</w:t>
      </w:r>
      <w:r>
        <w:rPr>
          <w:spacing w:val="-9"/>
        </w:rPr>
        <w:t> </w:t>
      </w:r>
      <w:r>
        <w:rPr/>
        <w:t>lo</w:t>
      </w:r>
      <w:r>
        <w:rPr>
          <w:spacing w:val="-9"/>
        </w:rPr>
        <w:t> </w:t>
      </w:r>
      <w:r>
        <w:rPr/>
        <w:t>dispuesto</w:t>
      </w:r>
      <w:r>
        <w:rPr>
          <w:spacing w:val="-9"/>
        </w:rPr>
        <w:t> </w:t>
      </w:r>
      <w:r>
        <w:rPr/>
        <w:t>en</w:t>
      </w:r>
      <w:r>
        <w:rPr>
          <w:spacing w:val="-9"/>
        </w:rPr>
        <w:t> </w:t>
      </w:r>
      <w:r>
        <w:rPr/>
        <w:t>el</w:t>
      </w:r>
      <w:r>
        <w:rPr>
          <w:spacing w:val="-10"/>
        </w:rPr>
        <w:t> </w:t>
      </w:r>
      <w:r>
        <w:rPr/>
        <w:t>párrafo</w:t>
      </w:r>
      <w:r>
        <w:rPr>
          <w:spacing w:val="-8"/>
        </w:rPr>
        <w:t> </w:t>
      </w:r>
      <w:r>
        <w:rPr/>
        <w:t>44</w:t>
      </w:r>
      <w:r>
        <w:rPr>
          <w:spacing w:val="-13"/>
        </w:rPr>
        <w:t> </w:t>
      </w:r>
      <w:r>
        <w:rPr/>
        <w:t>de</w:t>
      </w:r>
      <w:r>
        <w:rPr>
          <w:spacing w:val="-11"/>
        </w:rPr>
        <w:t> </w:t>
      </w:r>
      <w:r>
        <w:rPr/>
        <w:t>la</w:t>
      </w:r>
      <w:r>
        <w:rPr>
          <w:spacing w:val="-11"/>
        </w:rPr>
        <w:t> </w:t>
      </w:r>
      <w:r>
        <w:rPr/>
        <w:t>NICSP</w:t>
      </w:r>
      <w:r>
        <w:rPr>
          <w:spacing w:val="-10"/>
        </w:rPr>
        <w:t> </w:t>
      </w:r>
      <w:r>
        <w:rPr/>
        <w:t>12</w:t>
      </w:r>
      <w:r>
        <w:rPr>
          <w:spacing w:val="-11"/>
        </w:rPr>
        <w:t> </w:t>
      </w:r>
      <w:r>
        <w:rPr/>
        <w:t>–</w:t>
      </w:r>
      <w:r>
        <w:rPr>
          <w:spacing w:val="-10"/>
        </w:rPr>
        <w:t> </w:t>
      </w:r>
      <w:r>
        <w:rPr/>
        <w:t>Inventarios,</w:t>
      </w:r>
      <w:r>
        <w:rPr>
          <w:spacing w:val="-12"/>
        </w:rPr>
        <w:t> </w:t>
      </w:r>
      <w:r>
        <w:rPr/>
        <w:t>se</w:t>
      </w:r>
      <w:r>
        <w:rPr>
          <w:spacing w:val="-13"/>
        </w:rPr>
        <w:t> </w:t>
      </w:r>
      <w:r>
        <w:rPr/>
        <w:t>reconoce</w:t>
      </w:r>
      <w:r>
        <w:rPr>
          <w:spacing w:val="-11"/>
        </w:rPr>
        <w:t> </w:t>
      </w:r>
      <w:r>
        <w:rPr/>
        <w:t>como</w:t>
      </w:r>
      <w:r>
        <w:rPr>
          <w:spacing w:val="-11"/>
        </w:rPr>
        <w:t> </w:t>
      </w:r>
      <w:r>
        <w:rPr/>
        <w:t>gasto</w:t>
      </w:r>
      <w:r>
        <w:rPr>
          <w:spacing w:val="-9"/>
        </w:rPr>
        <w:t> </w:t>
      </w:r>
      <w:r>
        <w:rPr/>
        <w:t>del</w:t>
      </w:r>
      <w:r>
        <w:rPr>
          <w:spacing w:val="-10"/>
        </w:rPr>
        <w:t> </w:t>
      </w:r>
      <w:r>
        <w:rPr/>
        <w:t>periodo el importe en libros de los inventarios en el momento en que estos son consumidos o distribuidos, perdiéndose el control sobre los mismos y materializándose su potencial de servicio.</w:t>
      </w:r>
    </w:p>
    <w:p>
      <w:pPr>
        <w:pStyle w:val="BodyText"/>
        <w:spacing w:before="38"/>
      </w:pPr>
    </w:p>
    <w:p>
      <w:pPr>
        <w:pStyle w:val="BodyText"/>
        <w:spacing w:line="276" w:lineRule="auto"/>
        <w:ind w:left="730" w:right="923"/>
        <w:jc w:val="both"/>
      </w:pPr>
      <w:r>
        <w:rPr/>
        <w:t>En el periodo 2026, el consumo de inventarios se reconoce contablemente en la cuenta 5.1.3 Materiales y suministros consumidos, la cual refleja el uso efectivo de bienes tales como productos químicos y conexos, alimentos y productos agropecuarios, materiales para mantenimiento, herramientas, repuestos y diversos útiles institucionales, destinados al cumplimiento de los fines operativos, administrativos y de atención directa a la población usuaria.</w:t>
      </w:r>
    </w:p>
    <w:p>
      <w:pPr>
        <w:pStyle w:val="BodyText"/>
        <w:spacing w:before="36"/>
      </w:pPr>
    </w:p>
    <w:p>
      <w:pPr>
        <w:pStyle w:val="BodyText"/>
        <w:spacing w:before="1"/>
        <w:ind w:left="730"/>
      </w:pPr>
      <w:r>
        <w:rPr/>
        <w:t>El</w:t>
      </w:r>
      <w:r>
        <w:rPr>
          <w:spacing w:val="-5"/>
        </w:rPr>
        <w:t> </w:t>
      </w:r>
      <w:r>
        <w:rPr/>
        <w:t>IMAS</w:t>
      </w:r>
      <w:r>
        <w:rPr>
          <w:spacing w:val="-2"/>
        </w:rPr>
        <w:t> </w:t>
      </w:r>
      <w:r>
        <w:rPr/>
        <w:t>cuenta</w:t>
      </w:r>
      <w:r>
        <w:rPr>
          <w:spacing w:val="-3"/>
        </w:rPr>
        <w:t> </w:t>
      </w:r>
      <w:r>
        <w:rPr/>
        <w:t>con</w:t>
      </w:r>
      <w:r>
        <w:rPr>
          <w:spacing w:val="-2"/>
        </w:rPr>
        <w:t> </w:t>
      </w:r>
      <w:r>
        <w:rPr/>
        <w:t>tres</w:t>
      </w:r>
      <w:r>
        <w:rPr>
          <w:spacing w:val="-2"/>
        </w:rPr>
        <w:t> </w:t>
      </w:r>
      <w:r>
        <w:rPr/>
        <w:t>tipos</w:t>
      </w:r>
      <w:r>
        <w:rPr>
          <w:spacing w:val="-2"/>
        </w:rPr>
        <w:t> </w:t>
      </w:r>
      <w:r>
        <w:rPr/>
        <w:t>de</w:t>
      </w:r>
      <w:r>
        <w:rPr>
          <w:spacing w:val="-4"/>
        </w:rPr>
        <w:t> </w:t>
      </w:r>
      <w:r>
        <w:rPr>
          <w:spacing w:val="-2"/>
        </w:rPr>
        <w:t>inventarios:</w:t>
      </w:r>
    </w:p>
    <w:p>
      <w:pPr>
        <w:pStyle w:val="BodyText"/>
        <w:spacing w:before="40"/>
      </w:pPr>
    </w:p>
    <w:p>
      <w:pPr>
        <w:pStyle w:val="ListParagraph"/>
        <w:numPr>
          <w:ilvl w:val="1"/>
          <w:numId w:val="61"/>
        </w:numPr>
        <w:tabs>
          <w:tab w:pos="1450" w:val="left" w:leader="none"/>
        </w:tabs>
        <w:spacing w:line="240" w:lineRule="auto" w:before="0" w:after="0"/>
        <w:ind w:left="1450" w:right="926" w:hanging="360"/>
        <w:jc w:val="both"/>
        <w:rPr>
          <w:sz w:val="22"/>
        </w:rPr>
      </w:pPr>
      <w:r>
        <w:rPr>
          <w:sz w:val="22"/>
        </w:rPr>
        <w:t>los materiales y suministros en espera de ser utilizados para brindar un servicio con contra-prestación</w:t>
      </w:r>
      <w:r>
        <w:rPr>
          <w:spacing w:val="-8"/>
          <w:sz w:val="22"/>
        </w:rPr>
        <w:t> </w:t>
      </w:r>
      <w:r>
        <w:rPr>
          <w:sz w:val="22"/>
        </w:rPr>
        <w:t>o</w:t>
      </w:r>
      <w:r>
        <w:rPr>
          <w:spacing w:val="-7"/>
          <w:sz w:val="22"/>
        </w:rPr>
        <w:t> </w:t>
      </w:r>
      <w:r>
        <w:rPr>
          <w:sz w:val="22"/>
        </w:rPr>
        <w:t>sin</w:t>
      </w:r>
      <w:r>
        <w:rPr>
          <w:spacing w:val="-6"/>
          <w:sz w:val="22"/>
        </w:rPr>
        <w:t> </w:t>
      </w:r>
      <w:r>
        <w:rPr>
          <w:sz w:val="22"/>
        </w:rPr>
        <w:t>contraprestación,</w:t>
      </w:r>
      <w:r>
        <w:rPr>
          <w:spacing w:val="-5"/>
          <w:sz w:val="22"/>
        </w:rPr>
        <w:t> </w:t>
      </w:r>
      <w:r>
        <w:rPr>
          <w:sz w:val="22"/>
        </w:rPr>
        <w:t>y</w:t>
      </w:r>
      <w:r>
        <w:rPr>
          <w:spacing w:val="-7"/>
          <w:sz w:val="22"/>
        </w:rPr>
        <w:t> </w:t>
      </w:r>
      <w:r>
        <w:rPr>
          <w:sz w:val="22"/>
        </w:rPr>
        <w:t>que</w:t>
      </w:r>
      <w:r>
        <w:rPr>
          <w:spacing w:val="-7"/>
          <w:sz w:val="22"/>
        </w:rPr>
        <w:t> </w:t>
      </w:r>
      <w:r>
        <w:rPr>
          <w:sz w:val="22"/>
        </w:rPr>
        <w:t>estén</w:t>
      </w:r>
      <w:r>
        <w:rPr>
          <w:spacing w:val="-8"/>
          <w:sz w:val="22"/>
        </w:rPr>
        <w:t> </w:t>
      </w:r>
      <w:r>
        <w:rPr>
          <w:sz w:val="22"/>
        </w:rPr>
        <w:t>sujetos</w:t>
      </w:r>
      <w:r>
        <w:rPr>
          <w:spacing w:val="-5"/>
          <w:sz w:val="22"/>
        </w:rPr>
        <w:t> </w:t>
      </w:r>
      <w:r>
        <w:rPr>
          <w:sz w:val="22"/>
        </w:rPr>
        <w:t>al</w:t>
      </w:r>
      <w:r>
        <w:rPr>
          <w:spacing w:val="-9"/>
          <w:sz w:val="22"/>
        </w:rPr>
        <w:t> </w:t>
      </w:r>
      <w:r>
        <w:rPr>
          <w:sz w:val="22"/>
        </w:rPr>
        <w:t>concepto</w:t>
      </w:r>
      <w:r>
        <w:rPr>
          <w:spacing w:val="-5"/>
          <w:sz w:val="22"/>
        </w:rPr>
        <w:t> </w:t>
      </w:r>
      <w:r>
        <w:rPr>
          <w:sz w:val="22"/>
        </w:rPr>
        <w:t>de</w:t>
      </w:r>
      <w:r>
        <w:rPr>
          <w:spacing w:val="-7"/>
          <w:sz w:val="22"/>
        </w:rPr>
        <w:t> </w:t>
      </w:r>
      <w:r>
        <w:rPr>
          <w:sz w:val="22"/>
        </w:rPr>
        <w:t>materialidad</w:t>
      </w:r>
      <w:r>
        <w:rPr>
          <w:spacing w:val="-6"/>
          <w:sz w:val="22"/>
        </w:rPr>
        <w:t> </w:t>
      </w:r>
      <w:r>
        <w:rPr>
          <w:sz w:val="22"/>
        </w:rPr>
        <w:t>e</w:t>
      </w:r>
      <w:r>
        <w:rPr>
          <w:spacing w:val="-5"/>
          <w:sz w:val="22"/>
        </w:rPr>
        <w:t> </w:t>
      </w:r>
      <w:r>
        <w:rPr>
          <w:sz w:val="22"/>
        </w:rPr>
        <w:t>importan-cia relativa, caso contrario se reconocen en el resultado del periodo.</w:t>
      </w:r>
    </w:p>
    <w:p>
      <w:pPr>
        <w:pStyle w:val="ListParagraph"/>
        <w:numPr>
          <w:ilvl w:val="1"/>
          <w:numId w:val="61"/>
        </w:numPr>
        <w:tabs>
          <w:tab w:pos="1449" w:val="left" w:leader="none"/>
        </w:tabs>
        <w:spacing w:line="249" w:lineRule="exact" w:before="0" w:after="0"/>
        <w:ind w:left="1449" w:right="0" w:hanging="359"/>
        <w:jc w:val="both"/>
        <w:rPr>
          <w:sz w:val="22"/>
        </w:rPr>
      </w:pPr>
      <w:r>
        <w:rPr>
          <w:sz w:val="22"/>
        </w:rPr>
        <w:t>Los</w:t>
      </w:r>
      <w:r>
        <w:rPr>
          <w:spacing w:val="-3"/>
          <w:sz w:val="22"/>
        </w:rPr>
        <w:t> </w:t>
      </w:r>
      <w:r>
        <w:rPr>
          <w:sz w:val="22"/>
        </w:rPr>
        <w:t>bienes</w:t>
      </w:r>
      <w:r>
        <w:rPr>
          <w:spacing w:val="-2"/>
          <w:sz w:val="22"/>
        </w:rPr>
        <w:t> </w:t>
      </w:r>
      <w:r>
        <w:rPr>
          <w:sz w:val="22"/>
        </w:rPr>
        <w:t>comprados</w:t>
      </w:r>
      <w:r>
        <w:rPr>
          <w:spacing w:val="-2"/>
          <w:sz w:val="22"/>
        </w:rPr>
        <w:t> </w:t>
      </w:r>
      <w:r>
        <w:rPr>
          <w:sz w:val="22"/>
        </w:rPr>
        <w:t>para</w:t>
      </w:r>
      <w:r>
        <w:rPr>
          <w:spacing w:val="-7"/>
          <w:sz w:val="22"/>
        </w:rPr>
        <w:t> </w:t>
      </w:r>
      <w:r>
        <w:rPr>
          <w:sz w:val="22"/>
        </w:rPr>
        <w:t>ser</w:t>
      </w:r>
      <w:r>
        <w:rPr>
          <w:spacing w:val="-6"/>
          <w:sz w:val="22"/>
        </w:rPr>
        <w:t> </w:t>
      </w:r>
      <w:r>
        <w:rPr>
          <w:sz w:val="22"/>
        </w:rPr>
        <w:t>vendidos</w:t>
      </w:r>
      <w:r>
        <w:rPr>
          <w:spacing w:val="-5"/>
          <w:sz w:val="22"/>
        </w:rPr>
        <w:t> </w:t>
      </w:r>
      <w:r>
        <w:rPr>
          <w:sz w:val="22"/>
        </w:rPr>
        <w:t>en</w:t>
      </w:r>
      <w:r>
        <w:rPr>
          <w:spacing w:val="-5"/>
          <w:sz w:val="22"/>
        </w:rPr>
        <w:t> </w:t>
      </w:r>
      <w:r>
        <w:rPr>
          <w:sz w:val="22"/>
        </w:rPr>
        <w:t>las</w:t>
      </w:r>
      <w:r>
        <w:rPr>
          <w:spacing w:val="-2"/>
          <w:sz w:val="22"/>
        </w:rPr>
        <w:t> </w:t>
      </w:r>
      <w:r>
        <w:rPr>
          <w:sz w:val="22"/>
        </w:rPr>
        <w:t>Tiendas</w:t>
      </w:r>
      <w:r>
        <w:rPr>
          <w:spacing w:val="-5"/>
          <w:sz w:val="22"/>
        </w:rPr>
        <w:t> </w:t>
      </w:r>
      <w:r>
        <w:rPr>
          <w:sz w:val="22"/>
        </w:rPr>
        <w:t>Libres</w:t>
      </w:r>
      <w:r>
        <w:rPr>
          <w:spacing w:val="-3"/>
          <w:sz w:val="22"/>
        </w:rPr>
        <w:t> </w:t>
      </w:r>
      <w:r>
        <w:rPr>
          <w:sz w:val="22"/>
        </w:rPr>
        <w:t>de</w:t>
      </w:r>
      <w:r>
        <w:rPr>
          <w:spacing w:val="-2"/>
          <w:sz w:val="22"/>
        </w:rPr>
        <w:t> </w:t>
      </w:r>
      <w:r>
        <w:rPr>
          <w:sz w:val="22"/>
        </w:rPr>
        <w:t>puertos</w:t>
      </w:r>
      <w:r>
        <w:rPr>
          <w:spacing w:val="-2"/>
          <w:sz w:val="22"/>
        </w:rPr>
        <w:t> </w:t>
      </w:r>
      <w:r>
        <w:rPr>
          <w:sz w:val="22"/>
        </w:rPr>
        <w:t>y</w:t>
      </w:r>
      <w:r>
        <w:rPr>
          <w:spacing w:val="-4"/>
          <w:sz w:val="22"/>
        </w:rPr>
        <w:t> </w:t>
      </w:r>
      <w:r>
        <w:rPr>
          <w:spacing w:val="-2"/>
          <w:sz w:val="22"/>
        </w:rPr>
        <w:t>aeropuertos.</w:t>
      </w:r>
    </w:p>
    <w:p>
      <w:pPr>
        <w:pStyle w:val="ListParagraph"/>
        <w:numPr>
          <w:ilvl w:val="1"/>
          <w:numId w:val="61"/>
        </w:numPr>
        <w:tabs>
          <w:tab w:pos="1448" w:val="left" w:leader="none"/>
          <w:tab w:pos="1450" w:val="left" w:leader="none"/>
        </w:tabs>
        <w:spacing w:line="240" w:lineRule="auto" w:before="1" w:after="0"/>
        <w:ind w:left="1450" w:right="920" w:hanging="360"/>
        <w:jc w:val="both"/>
        <w:rPr>
          <w:sz w:val="22"/>
        </w:rPr>
      </w:pPr>
      <w:r>
        <w:rPr>
          <w:sz w:val="22"/>
        </w:rPr>
        <w:t>Los bienes muebles recibidos como donaciones provenientes de entes públicos, o privados sean personas físicas o jurídicas, así como los bienes muebles y suministros propiedad del IMAS declarados en desuso, para ser dispuestos para donaciones a</w:t>
      </w:r>
      <w:r>
        <w:rPr>
          <w:spacing w:val="-1"/>
          <w:sz w:val="22"/>
        </w:rPr>
        <w:t> </w:t>
      </w:r>
      <w:r>
        <w:rPr>
          <w:sz w:val="22"/>
        </w:rPr>
        <w:t>entes públicos, organiza-ciones sociales sin fines de lucro y organizaciones amparadas al régimen de Zona Franca.</w:t>
      </w:r>
    </w:p>
    <w:p>
      <w:pPr>
        <w:pStyle w:val="BodyText"/>
        <w:spacing w:before="39"/>
      </w:pPr>
    </w:p>
    <w:p>
      <w:pPr>
        <w:pStyle w:val="BodyText"/>
        <w:spacing w:line="259" w:lineRule="auto" w:before="1"/>
        <w:ind w:left="730" w:right="926"/>
        <w:jc w:val="both"/>
      </w:pPr>
      <w:r>
        <w:rPr/>
        <w:t>El</w:t>
      </w:r>
      <w:r>
        <w:rPr>
          <w:spacing w:val="-8"/>
        </w:rPr>
        <w:t> </w:t>
      </w:r>
      <w:r>
        <w:rPr/>
        <w:t>importe</w:t>
      </w:r>
      <w:r>
        <w:rPr>
          <w:spacing w:val="-8"/>
        </w:rPr>
        <w:t> </w:t>
      </w:r>
      <w:r>
        <w:rPr/>
        <w:t>total</w:t>
      </w:r>
      <w:r>
        <w:rPr>
          <w:spacing w:val="-8"/>
        </w:rPr>
        <w:t> </w:t>
      </w:r>
      <w:r>
        <w:rPr/>
        <w:t>en</w:t>
      </w:r>
      <w:r>
        <w:rPr>
          <w:spacing w:val="-7"/>
        </w:rPr>
        <w:t> </w:t>
      </w:r>
      <w:r>
        <w:rPr/>
        <w:t>libros</w:t>
      </w:r>
      <w:r>
        <w:rPr>
          <w:spacing w:val="-6"/>
        </w:rPr>
        <w:t> </w:t>
      </w:r>
      <w:r>
        <w:rPr/>
        <w:t>de</w:t>
      </w:r>
      <w:r>
        <w:rPr>
          <w:spacing w:val="-11"/>
        </w:rPr>
        <w:t> </w:t>
      </w:r>
      <w:r>
        <w:rPr/>
        <w:t>los</w:t>
      </w:r>
      <w:r>
        <w:rPr>
          <w:spacing w:val="-6"/>
        </w:rPr>
        <w:t> </w:t>
      </w:r>
      <w:r>
        <w:rPr/>
        <w:t>inventarios</w:t>
      </w:r>
      <w:r>
        <w:rPr>
          <w:spacing w:val="-6"/>
        </w:rPr>
        <w:t> </w:t>
      </w:r>
      <w:r>
        <w:rPr/>
        <w:t>y</w:t>
      </w:r>
      <w:r>
        <w:rPr>
          <w:spacing w:val="-8"/>
        </w:rPr>
        <w:t> </w:t>
      </w:r>
      <w:r>
        <w:rPr/>
        <w:t>los</w:t>
      </w:r>
      <w:r>
        <w:rPr>
          <w:spacing w:val="-6"/>
        </w:rPr>
        <w:t> </w:t>
      </w:r>
      <w:r>
        <w:rPr/>
        <w:t>importes</w:t>
      </w:r>
      <w:r>
        <w:rPr>
          <w:spacing w:val="-6"/>
        </w:rPr>
        <w:t> </w:t>
      </w:r>
      <w:r>
        <w:rPr/>
        <w:t>según</w:t>
      </w:r>
      <w:r>
        <w:rPr>
          <w:spacing w:val="-7"/>
        </w:rPr>
        <w:t> </w:t>
      </w:r>
      <w:r>
        <w:rPr/>
        <w:t>la</w:t>
      </w:r>
      <w:r>
        <w:rPr>
          <w:spacing w:val="-8"/>
        </w:rPr>
        <w:t> </w:t>
      </w:r>
      <w:r>
        <w:rPr/>
        <w:t>clasificación</w:t>
      </w:r>
      <w:r>
        <w:rPr>
          <w:spacing w:val="-7"/>
        </w:rPr>
        <w:t> </w:t>
      </w:r>
      <w:r>
        <w:rPr/>
        <w:t>utilizada</w:t>
      </w:r>
      <w:r>
        <w:rPr>
          <w:spacing w:val="-8"/>
        </w:rPr>
        <w:t> </w:t>
      </w:r>
      <w:r>
        <w:rPr/>
        <w:t>por</w:t>
      </w:r>
      <w:r>
        <w:rPr>
          <w:spacing w:val="-7"/>
        </w:rPr>
        <w:t> </w:t>
      </w:r>
      <w:r>
        <w:rPr/>
        <w:t>el</w:t>
      </w:r>
      <w:r>
        <w:rPr>
          <w:spacing w:val="-8"/>
        </w:rPr>
        <w:t> </w:t>
      </w:r>
      <w:r>
        <w:rPr/>
        <w:t>IMAS, al 31 de julio 2026 y 2025 respectivamente es la siguiente: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2"/>
      </w:pPr>
    </w:p>
    <w:p>
      <w:pPr>
        <w:pStyle w:val="BodyText"/>
        <w:spacing w:line="259" w:lineRule="auto"/>
        <w:ind w:left="730" w:right="924"/>
        <w:jc w:val="both"/>
      </w:pPr>
      <w:r>
        <w:rPr/>
        <w:t>Este reconocimiento se encuentra respaldado por los controles establecidos en el Reglamento y Manual para el resguardo, control y distribución de materiales y suministros de la institución, garantizando que el registro del gasto se realice únicamente cuando los inventarios han sido efectivamente</w:t>
      </w:r>
      <w:r>
        <w:rPr>
          <w:spacing w:val="-3"/>
        </w:rPr>
        <w:t> </w:t>
      </w:r>
      <w:r>
        <w:rPr/>
        <w:t>utilizados,</w:t>
      </w:r>
      <w:r>
        <w:rPr>
          <w:spacing w:val="-3"/>
        </w:rPr>
        <w:t> </w:t>
      </w:r>
      <w:r>
        <w:rPr/>
        <w:t>en</w:t>
      </w:r>
      <w:r>
        <w:rPr>
          <w:spacing w:val="-5"/>
        </w:rPr>
        <w:t> </w:t>
      </w:r>
      <w:r>
        <w:rPr/>
        <w:t>observancia</w:t>
      </w:r>
      <w:r>
        <w:rPr>
          <w:spacing w:val="-4"/>
        </w:rPr>
        <w:t> </w:t>
      </w:r>
      <w:r>
        <w:rPr/>
        <w:t>del</w:t>
      </w:r>
      <w:r>
        <w:rPr>
          <w:spacing w:val="-3"/>
        </w:rPr>
        <w:t> </w:t>
      </w:r>
      <w:r>
        <w:rPr/>
        <w:t>principio</w:t>
      </w:r>
      <w:r>
        <w:rPr>
          <w:spacing w:val="-5"/>
        </w:rPr>
        <w:t> </w:t>
      </w:r>
      <w:r>
        <w:rPr/>
        <w:t>del</w:t>
      </w:r>
      <w:r>
        <w:rPr>
          <w:spacing w:val="-3"/>
        </w:rPr>
        <w:t> </w:t>
      </w:r>
      <w:r>
        <w:rPr/>
        <w:t>devengo</w:t>
      </w:r>
      <w:r>
        <w:rPr>
          <w:spacing w:val="-2"/>
        </w:rPr>
        <w:t> </w:t>
      </w:r>
      <w:r>
        <w:rPr/>
        <w:t>y</w:t>
      </w:r>
      <w:r>
        <w:rPr>
          <w:spacing w:val="-4"/>
        </w:rPr>
        <w:t> </w:t>
      </w:r>
      <w:r>
        <w:rPr/>
        <w:t>de</w:t>
      </w:r>
      <w:r>
        <w:rPr>
          <w:spacing w:val="-5"/>
        </w:rPr>
        <w:t> </w:t>
      </w:r>
      <w:r>
        <w:rPr/>
        <w:t>las</w:t>
      </w:r>
      <w:r>
        <w:rPr>
          <w:spacing w:val="-2"/>
        </w:rPr>
        <w:t> </w:t>
      </w:r>
      <w:r>
        <w:rPr/>
        <w:t>disposiciones</w:t>
      </w:r>
      <w:r>
        <w:rPr>
          <w:spacing w:val="-2"/>
        </w:rPr>
        <w:t> </w:t>
      </w:r>
      <w:r>
        <w:rPr/>
        <w:t>de</w:t>
      </w:r>
      <w:r>
        <w:rPr>
          <w:spacing w:val="-5"/>
        </w:rPr>
        <w:t> </w:t>
      </w:r>
      <w:r>
        <w:rPr/>
        <w:t>la</w:t>
      </w:r>
      <w:r>
        <w:rPr>
          <w:spacing w:val="-5"/>
        </w:rPr>
        <w:t> </w:t>
      </w:r>
      <w:r>
        <w:rPr/>
        <w:t>NICSP </w:t>
      </w:r>
      <w:r>
        <w:rPr>
          <w:spacing w:val="-4"/>
        </w:rPr>
        <w:t>12.</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6048">
                <wp:simplePos x="0" y="0"/>
                <wp:positionH relativeFrom="page">
                  <wp:posOffset>9525</wp:posOffset>
                </wp:positionH>
                <wp:positionV relativeFrom="page">
                  <wp:posOffset>297208</wp:posOffset>
                </wp:positionV>
                <wp:extent cx="7762875" cy="9748520"/>
                <wp:effectExtent l="0" t="0" r="0" b="0"/>
                <wp:wrapNone/>
                <wp:docPr id="694" name="Group 694"/>
                <wp:cNvGraphicFramePr>
                  <a:graphicFrameLocks/>
                </wp:cNvGraphicFramePr>
                <a:graphic>
                  <a:graphicData uri="http://schemas.microsoft.com/office/word/2010/wordprocessingGroup">
                    <wpg:wgp>
                      <wpg:cNvPr id="694" name="Group 694"/>
                      <wpg:cNvGrpSpPr/>
                      <wpg:grpSpPr>
                        <a:xfrm>
                          <a:off x="0" y="0"/>
                          <a:ext cx="7762875" cy="9748520"/>
                          <a:chExt cx="7762875" cy="9748520"/>
                        </a:xfrm>
                      </wpg:grpSpPr>
                      <pic:pic>
                        <pic:nvPicPr>
                          <pic:cNvPr id="695" name="Image 695"/>
                          <pic:cNvPicPr/>
                        </pic:nvPicPr>
                        <pic:blipFill>
                          <a:blip r:embed="rId5" cstate="print"/>
                          <a:stretch>
                            <a:fillRect/>
                          </a:stretch>
                        </pic:blipFill>
                        <pic:spPr>
                          <a:xfrm>
                            <a:off x="0" y="0"/>
                            <a:ext cx="7762874" cy="9748489"/>
                          </a:xfrm>
                          <a:prstGeom prst="rect">
                            <a:avLst/>
                          </a:prstGeom>
                        </pic:spPr>
                      </pic:pic>
                      <wps:wsp>
                        <wps:cNvPr id="696" name="Graphic 69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697" name="Image 697"/>
                          <pic:cNvPicPr/>
                        </pic:nvPicPr>
                        <pic:blipFill>
                          <a:blip r:embed="rId81" cstate="print"/>
                          <a:stretch>
                            <a:fillRect/>
                          </a:stretch>
                        </pic:blipFill>
                        <pic:spPr>
                          <a:xfrm>
                            <a:off x="1603374" y="5087603"/>
                            <a:ext cx="4643755" cy="1157592"/>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50432" id="docshapegroup672" coordorigin="15,468" coordsize="12225,15352">
                <v:shape style="position:absolute;left:15;top:468;width:12225;height:15352" type="#_x0000_t75" id="docshape673" stroked="false">
                  <v:imagedata r:id="rId5" o:title=""/>
                </v:shape>
                <v:rect style="position:absolute;left:1673;top:2028;width:8897;height:15" id="docshape674" filled="true" fillcolor="#000000" stroked="false">
                  <v:fill type="solid"/>
                </v:rect>
                <v:shape style="position:absolute;left:2540;top:8480;width:7313;height:1823" type="#_x0000_t75" id="docshape675" stroked="false">
                  <v:imagedata r:id="rId81" o:title=""/>
                </v:shape>
                <w10:wrap type="none"/>
              </v:group>
            </w:pict>
          </mc:Fallback>
        </mc:AlternateContent>
      </w:r>
      <w:r>
        <w:rPr>
          <w:color w:val="172951"/>
          <w:sz w:val="20"/>
        </w:rPr>
        <w:t>Pág.</w:t>
      </w:r>
      <w:r>
        <w:rPr>
          <w:color w:val="172951"/>
          <w:spacing w:val="-7"/>
          <w:sz w:val="20"/>
        </w:rPr>
        <w:t> </w:t>
      </w:r>
      <w:r>
        <w:rPr>
          <w:color w:val="172951"/>
          <w:spacing w:val="-5"/>
          <w:sz w:val="20"/>
        </w:rPr>
        <w:t>141</w:t>
      </w:r>
    </w:p>
    <w:p>
      <w:pPr>
        <w:pStyle w:val="BodyText"/>
      </w:pPr>
    </w:p>
    <w:p>
      <w:pPr>
        <w:pStyle w:val="BodyText"/>
      </w:pPr>
    </w:p>
    <w:p>
      <w:pPr>
        <w:pStyle w:val="BodyText"/>
      </w:pPr>
    </w:p>
    <w:p>
      <w:pPr>
        <w:pStyle w:val="BodyText"/>
        <w:spacing w:before="217"/>
      </w:pPr>
    </w:p>
    <w:p>
      <w:pPr>
        <w:pStyle w:val="Heading6"/>
        <w:numPr>
          <w:ilvl w:val="0"/>
          <w:numId w:val="61"/>
        </w:numPr>
        <w:tabs>
          <w:tab w:pos="1689" w:val="left" w:leader="none"/>
        </w:tabs>
        <w:spacing w:line="240" w:lineRule="auto" w:before="0" w:after="0"/>
        <w:ind w:left="1689" w:right="0" w:hanging="708"/>
        <w:jc w:val="left"/>
      </w:pPr>
      <w:r>
        <w:rPr>
          <w:u w:val="single"/>
        </w:rPr>
        <w:t>Importe</w:t>
      </w:r>
      <w:r>
        <w:rPr>
          <w:spacing w:val="-7"/>
          <w:u w:val="single"/>
        </w:rPr>
        <w:t> </w:t>
      </w:r>
      <w:r>
        <w:rPr>
          <w:u w:val="single"/>
        </w:rPr>
        <w:t>de</w:t>
      </w:r>
      <w:r>
        <w:rPr>
          <w:spacing w:val="-4"/>
          <w:u w:val="single"/>
        </w:rPr>
        <w:t> </w:t>
      </w:r>
      <w:r>
        <w:rPr>
          <w:u w:val="single"/>
        </w:rPr>
        <w:t>inventario</w:t>
      </w:r>
      <w:r>
        <w:rPr>
          <w:spacing w:val="-5"/>
          <w:u w:val="single"/>
        </w:rPr>
        <w:t> </w:t>
      </w:r>
      <w:r>
        <w:rPr>
          <w:u w:val="single"/>
        </w:rPr>
        <w:t>reconocido</w:t>
      </w:r>
      <w:r>
        <w:rPr>
          <w:spacing w:val="-5"/>
          <w:u w:val="single"/>
        </w:rPr>
        <w:t> </w:t>
      </w:r>
      <w:r>
        <w:rPr>
          <w:u w:val="single"/>
        </w:rPr>
        <w:t>como</w:t>
      </w:r>
      <w:r>
        <w:rPr>
          <w:spacing w:val="-7"/>
          <w:u w:val="single"/>
        </w:rPr>
        <w:t> </w:t>
      </w:r>
      <w:r>
        <w:rPr>
          <w:u w:val="single"/>
        </w:rPr>
        <w:t>gasto</w:t>
      </w:r>
      <w:r>
        <w:rPr>
          <w:spacing w:val="-5"/>
          <w:u w:val="single"/>
        </w:rPr>
        <w:t> </w:t>
      </w:r>
      <w:r>
        <w:rPr>
          <w:u w:val="single"/>
        </w:rPr>
        <w:t>(Párrafo</w:t>
      </w:r>
      <w:r>
        <w:rPr>
          <w:spacing w:val="-5"/>
          <w:u w:val="single"/>
        </w:rPr>
        <w:t> 47)</w:t>
      </w:r>
    </w:p>
    <w:p>
      <w:pPr>
        <w:pStyle w:val="BodyText"/>
        <w:spacing w:before="34"/>
        <w:rPr>
          <w:b/>
          <w:sz w:val="20"/>
        </w:rPr>
      </w:pPr>
      <w:r>
        <w:rPr>
          <w:b/>
          <w:sz w:val="20"/>
        </w:rPr>
        <mc:AlternateContent>
          <mc:Choice Requires="wps">
            <w:drawing>
              <wp:anchor distT="0" distB="0" distL="0" distR="0" allowOverlap="1" layoutInCell="1" locked="0" behindDoc="1" simplePos="0" relativeHeight="487728128">
                <wp:simplePos x="0" y="0"/>
                <wp:positionH relativeFrom="page">
                  <wp:posOffset>1080820</wp:posOffset>
                </wp:positionH>
                <wp:positionV relativeFrom="paragraph">
                  <wp:posOffset>185031</wp:posOffset>
                </wp:positionV>
                <wp:extent cx="5715000" cy="4269740"/>
                <wp:effectExtent l="0" t="0" r="0" b="0"/>
                <wp:wrapTopAndBottom/>
                <wp:docPr id="698" name="Textbox 698"/>
                <wp:cNvGraphicFramePr>
                  <a:graphicFrameLocks/>
                </wp:cNvGraphicFramePr>
                <a:graphic>
                  <a:graphicData uri="http://schemas.microsoft.com/office/word/2010/wordprocessingShape">
                    <wps:wsp>
                      <wps:cNvPr id="698" name="Textbox 698"/>
                      <wps:cNvSpPr txBox="1"/>
                      <wps:spPr>
                        <a:xfrm>
                          <a:off x="0" y="0"/>
                          <a:ext cx="5715000" cy="4269740"/>
                        </a:xfrm>
                        <a:prstGeom prst="rect">
                          <a:avLst/>
                        </a:prstGeom>
                        <a:ln w="6095">
                          <a:solidFill>
                            <a:srgbClr val="000000"/>
                          </a:solidFill>
                          <a:prstDash val="solid"/>
                        </a:ln>
                      </wps:spPr>
                      <wps:txbx>
                        <w:txbxContent>
                          <w:p>
                            <w:pPr>
                              <w:spacing w:before="0"/>
                              <w:ind w:left="103" w:right="0" w:firstLine="0"/>
                              <w:jc w:val="left"/>
                              <w:rPr>
                                <w:b/>
                                <w:sz w:val="22"/>
                              </w:rPr>
                            </w:pPr>
                            <w:r>
                              <w:rPr>
                                <w:b/>
                                <w:color w:val="1F4E79"/>
                                <w:spacing w:val="-2"/>
                                <w:sz w:val="22"/>
                                <w:u w:val="single" w:color="1F4E79"/>
                              </w:rPr>
                              <w:t>Revelación:</w:t>
                            </w:r>
                          </w:p>
                          <w:p>
                            <w:pPr>
                              <w:pStyle w:val="BodyText"/>
                              <w:spacing w:before="181"/>
                              <w:ind w:left="103"/>
                            </w:pPr>
                            <w:r>
                              <w:rPr/>
                              <w:t>Conforme</w:t>
                            </w:r>
                            <w:r>
                              <w:rPr>
                                <w:spacing w:val="-3"/>
                              </w:rPr>
                              <w:t> </w:t>
                            </w:r>
                            <w:r>
                              <w:rPr/>
                              <w:t>al</w:t>
                            </w:r>
                            <w:r>
                              <w:rPr>
                                <w:spacing w:val="-2"/>
                              </w:rPr>
                              <w:t> </w:t>
                            </w:r>
                            <w:r>
                              <w:rPr/>
                              <w:t>párrafo</w:t>
                            </w:r>
                            <w:r>
                              <w:rPr>
                                <w:spacing w:val="-2"/>
                              </w:rPr>
                              <w:t> </w:t>
                            </w:r>
                            <w:r>
                              <w:rPr/>
                              <w:t>47</w:t>
                            </w:r>
                            <w:r>
                              <w:rPr>
                                <w:spacing w:val="-4"/>
                              </w:rPr>
                              <w:t> </w:t>
                            </w:r>
                            <w:r>
                              <w:rPr/>
                              <w:t>de</w:t>
                            </w:r>
                            <w:r>
                              <w:rPr>
                                <w:spacing w:val="-4"/>
                              </w:rPr>
                              <w:t> </w:t>
                            </w:r>
                            <w:r>
                              <w:rPr/>
                              <w:t>la</w:t>
                            </w:r>
                            <w:r>
                              <w:rPr>
                                <w:spacing w:val="-3"/>
                              </w:rPr>
                              <w:t> </w:t>
                            </w:r>
                            <w:r>
                              <w:rPr/>
                              <w:t>NICSP</w:t>
                            </w:r>
                            <w:r>
                              <w:rPr>
                                <w:spacing w:val="-2"/>
                              </w:rPr>
                              <w:t> </w:t>
                            </w:r>
                            <w:r>
                              <w:rPr/>
                              <w:t>12</w:t>
                            </w:r>
                            <w:r>
                              <w:rPr>
                                <w:spacing w:val="-5"/>
                              </w:rPr>
                              <w:t> </w:t>
                            </w:r>
                            <w:r>
                              <w:rPr/>
                              <w:t>se</w:t>
                            </w:r>
                            <w:r>
                              <w:rPr>
                                <w:spacing w:val="-3"/>
                              </w:rPr>
                              <w:t> </w:t>
                            </w:r>
                            <w:r>
                              <w:rPr/>
                              <w:t>revela</w:t>
                            </w:r>
                            <w:r>
                              <w:rPr>
                                <w:spacing w:val="-4"/>
                              </w:rPr>
                              <w:t> </w:t>
                            </w:r>
                            <w:r>
                              <w:rPr/>
                              <w:t>lo</w:t>
                            </w:r>
                            <w:r>
                              <w:rPr>
                                <w:spacing w:val="-1"/>
                              </w:rPr>
                              <w:t> </w:t>
                            </w:r>
                            <w:r>
                              <w:rPr>
                                <w:spacing w:val="-2"/>
                              </w:rPr>
                              <w:t>siguiente:</w:t>
                            </w:r>
                          </w:p>
                          <w:p>
                            <w:pPr>
                              <w:spacing w:before="21"/>
                              <w:ind w:left="103" w:right="0" w:firstLine="0"/>
                              <w:jc w:val="left"/>
                              <w:rPr>
                                <w:b/>
                                <w:sz w:val="22"/>
                              </w:rPr>
                            </w:pPr>
                            <w:r>
                              <w:rPr>
                                <w:b/>
                                <w:spacing w:val="-2"/>
                                <w:sz w:val="22"/>
                                <w:u w:val="single"/>
                              </w:rPr>
                              <w:t>Reconocimiento:</w:t>
                            </w:r>
                          </w:p>
                          <w:p>
                            <w:pPr>
                              <w:pStyle w:val="BodyText"/>
                              <w:spacing w:line="259" w:lineRule="auto" w:before="18"/>
                              <w:ind w:left="103"/>
                            </w:pPr>
                            <w:r>
                              <w:rPr/>
                              <w:t>Los inventarios se reconocen y clasifican de acuerdo con su naturaleza, en bienes y suministros de</w:t>
                            </w:r>
                            <w:r>
                              <w:rPr>
                                <w:spacing w:val="40"/>
                              </w:rPr>
                              <w:t> </w:t>
                            </w:r>
                            <w:r>
                              <w:rPr/>
                              <w:t>oficina, mercadería para la venta, y bienes para donación.</w:t>
                            </w:r>
                          </w:p>
                          <w:p>
                            <w:pPr>
                              <w:pStyle w:val="BodyText"/>
                              <w:spacing w:before="20"/>
                            </w:pPr>
                          </w:p>
                          <w:p>
                            <w:pPr>
                              <w:spacing w:before="1"/>
                              <w:ind w:left="103" w:right="0" w:firstLine="0"/>
                              <w:jc w:val="left"/>
                              <w:rPr>
                                <w:b/>
                                <w:sz w:val="22"/>
                              </w:rPr>
                            </w:pPr>
                            <w:r>
                              <w:rPr>
                                <w:b/>
                                <w:spacing w:val="-2"/>
                                <w:sz w:val="22"/>
                                <w:u w:val="single"/>
                              </w:rPr>
                              <w:t>Medición:</w:t>
                            </w:r>
                          </w:p>
                          <w:p>
                            <w:pPr>
                              <w:pStyle w:val="BodyText"/>
                              <w:spacing w:line="259" w:lineRule="auto" w:before="20"/>
                              <w:ind w:left="103" w:right="99"/>
                              <w:jc w:val="both"/>
                            </w:pPr>
                            <w:r>
                              <w:rPr/>
                              <w:t>Según la Política Contable General 1. 76 la medición general de los inventarios es, al costo o al valor realizable neto, el que sea menor excepto lo estipulado en las excepciones de la Norma. La fórmula del</w:t>
                            </w:r>
                            <w:r>
                              <w:rPr>
                                <w:spacing w:val="-5"/>
                              </w:rPr>
                              <w:t> </w:t>
                            </w:r>
                            <w:r>
                              <w:rPr/>
                              <w:t>costo</w:t>
                            </w:r>
                            <w:r>
                              <w:rPr>
                                <w:spacing w:val="-4"/>
                              </w:rPr>
                              <w:t> </w:t>
                            </w:r>
                            <w:r>
                              <w:rPr/>
                              <w:t>para</w:t>
                            </w:r>
                            <w:r>
                              <w:rPr>
                                <w:spacing w:val="-5"/>
                              </w:rPr>
                              <w:t> </w:t>
                            </w:r>
                            <w:r>
                              <w:rPr/>
                              <w:t>los</w:t>
                            </w:r>
                            <w:r>
                              <w:rPr>
                                <w:spacing w:val="-4"/>
                              </w:rPr>
                              <w:t> </w:t>
                            </w:r>
                            <w:r>
                              <w:rPr/>
                              <w:t>inventarios</w:t>
                            </w:r>
                            <w:r>
                              <w:rPr>
                                <w:spacing w:val="-4"/>
                              </w:rPr>
                              <w:t> </w:t>
                            </w:r>
                            <w:r>
                              <w:rPr/>
                              <w:t>de</w:t>
                            </w:r>
                            <w:r>
                              <w:rPr>
                                <w:spacing w:val="-6"/>
                              </w:rPr>
                              <w:t> </w:t>
                            </w:r>
                            <w:r>
                              <w:rPr/>
                              <w:t>la</w:t>
                            </w:r>
                            <w:r>
                              <w:rPr>
                                <w:spacing w:val="-6"/>
                              </w:rPr>
                              <w:t> </w:t>
                            </w:r>
                            <w:r>
                              <w:rPr/>
                              <w:t>misma</w:t>
                            </w:r>
                            <w:r>
                              <w:rPr>
                                <w:spacing w:val="-5"/>
                              </w:rPr>
                              <w:t> </w:t>
                            </w:r>
                            <w:r>
                              <w:rPr/>
                              <w:t>naturaleza,</w:t>
                            </w:r>
                            <w:r>
                              <w:rPr>
                                <w:spacing w:val="-5"/>
                              </w:rPr>
                              <w:t> </w:t>
                            </w:r>
                            <w:r>
                              <w:rPr/>
                              <w:t>el</w:t>
                            </w:r>
                            <w:r>
                              <w:rPr>
                                <w:spacing w:val="-5"/>
                              </w:rPr>
                              <w:t> </w:t>
                            </w:r>
                            <w:r>
                              <w:rPr/>
                              <w:t>costo</w:t>
                            </w:r>
                            <w:r>
                              <w:rPr>
                                <w:spacing w:val="-4"/>
                              </w:rPr>
                              <w:t> </w:t>
                            </w:r>
                            <w:r>
                              <w:rPr/>
                              <w:t>de</w:t>
                            </w:r>
                            <w:r>
                              <w:rPr>
                                <w:spacing w:val="-6"/>
                              </w:rPr>
                              <w:t> </w:t>
                            </w:r>
                            <w:r>
                              <w:rPr/>
                              <w:t>los</w:t>
                            </w:r>
                            <w:r>
                              <w:rPr>
                                <w:spacing w:val="-4"/>
                              </w:rPr>
                              <w:t> </w:t>
                            </w:r>
                            <w:r>
                              <w:rPr/>
                              <w:t>inventarios</w:t>
                            </w:r>
                            <w:r>
                              <w:rPr>
                                <w:spacing w:val="-4"/>
                              </w:rPr>
                              <w:t> </w:t>
                            </w:r>
                            <w:r>
                              <w:rPr/>
                              <w:t>se</w:t>
                            </w:r>
                            <w:r>
                              <w:rPr>
                                <w:spacing w:val="-6"/>
                              </w:rPr>
                              <w:t> </w:t>
                            </w:r>
                            <w:r>
                              <w:rPr/>
                              <w:t>asigna</w:t>
                            </w:r>
                            <w:r>
                              <w:rPr>
                                <w:spacing w:val="-6"/>
                              </w:rPr>
                              <w:t> </w:t>
                            </w:r>
                            <w:r>
                              <w:rPr/>
                              <w:t>utilizando</w:t>
                            </w:r>
                            <w:r>
                              <w:rPr>
                                <w:spacing w:val="-4"/>
                              </w:rPr>
                              <w:t> </w:t>
                            </w:r>
                            <w:r>
                              <w:rPr/>
                              <w:t>el método de costo promedio.</w:t>
                            </w:r>
                          </w:p>
                          <w:p>
                            <w:pPr>
                              <w:pStyle w:val="BodyText"/>
                              <w:spacing w:line="259" w:lineRule="auto"/>
                              <w:ind w:left="103" w:right="102"/>
                              <w:jc w:val="both"/>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p>
                            <w:pPr>
                              <w:pStyle w:val="BodyText"/>
                              <w:spacing w:line="261" w:lineRule="auto" w:before="236"/>
                              <w:ind w:left="103" w:right="103"/>
                              <w:jc w:val="both"/>
                            </w:pPr>
                            <w:r>
                              <w:rPr/>
                              <w:t>A continuación, se muestra el importe de inventario reconocido como gasto por concepto de requisiciones de los diferentes almacenes, para el consumo propio en la Institución:</w:t>
                            </w:r>
                          </w:p>
                        </w:txbxContent>
                      </wps:txbx>
                      <wps:bodyPr wrap="square" lIns="0" tIns="0" rIns="0" bIns="0" rtlCol="0">
                        <a:noAutofit/>
                      </wps:bodyPr>
                    </wps:wsp>
                  </a:graphicData>
                </a:graphic>
              </wp:anchor>
            </w:drawing>
          </mc:Choice>
          <mc:Fallback>
            <w:pict>
              <v:shape style="position:absolute;margin-left:85.103996pt;margin-top:14.56937pt;width:450pt;height:336.2pt;mso-position-horizontal-relative:page;mso-position-vertical-relative:paragraph;z-index:-15588352;mso-wrap-distance-left:0;mso-wrap-distance-right:0" type="#_x0000_t202" id="docshape676" filled="false" stroked="true" strokeweight=".47998pt" strokecolor="#000000">
                <v:textbox inset="0,0,0,0">
                  <w:txbxContent>
                    <w:p>
                      <w:pPr>
                        <w:spacing w:before="0"/>
                        <w:ind w:left="103" w:right="0" w:firstLine="0"/>
                        <w:jc w:val="left"/>
                        <w:rPr>
                          <w:b/>
                          <w:sz w:val="22"/>
                        </w:rPr>
                      </w:pPr>
                      <w:r>
                        <w:rPr>
                          <w:b/>
                          <w:color w:val="1F4E79"/>
                          <w:spacing w:val="-2"/>
                          <w:sz w:val="22"/>
                          <w:u w:val="single" w:color="1F4E79"/>
                        </w:rPr>
                        <w:t>Revelación:</w:t>
                      </w:r>
                    </w:p>
                    <w:p>
                      <w:pPr>
                        <w:pStyle w:val="BodyText"/>
                        <w:spacing w:before="181"/>
                        <w:ind w:left="103"/>
                      </w:pPr>
                      <w:r>
                        <w:rPr/>
                        <w:t>Conforme</w:t>
                      </w:r>
                      <w:r>
                        <w:rPr>
                          <w:spacing w:val="-3"/>
                        </w:rPr>
                        <w:t> </w:t>
                      </w:r>
                      <w:r>
                        <w:rPr/>
                        <w:t>al</w:t>
                      </w:r>
                      <w:r>
                        <w:rPr>
                          <w:spacing w:val="-2"/>
                        </w:rPr>
                        <w:t> </w:t>
                      </w:r>
                      <w:r>
                        <w:rPr/>
                        <w:t>párrafo</w:t>
                      </w:r>
                      <w:r>
                        <w:rPr>
                          <w:spacing w:val="-2"/>
                        </w:rPr>
                        <w:t> </w:t>
                      </w:r>
                      <w:r>
                        <w:rPr/>
                        <w:t>47</w:t>
                      </w:r>
                      <w:r>
                        <w:rPr>
                          <w:spacing w:val="-4"/>
                        </w:rPr>
                        <w:t> </w:t>
                      </w:r>
                      <w:r>
                        <w:rPr/>
                        <w:t>de</w:t>
                      </w:r>
                      <w:r>
                        <w:rPr>
                          <w:spacing w:val="-4"/>
                        </w:rPr>
                        <w:t> </w:t>
                      </w:r>
                      <w:r>
                        <w:rPr/>
                        <w:t>la</w:t>
                      </w:r>
                      <w:r>
                        <w:rPr>
                          <w:spacing w:val="-3"/>
                        </w:rPr>
                        <w:t> </w:t>
                      </w:r>
                      <w:r>
                        <w:rPr/>
                        <w:t>NICSP</w:t>
                      </w:r>
                      <w:r>
                        <w:rPr>
                          <w:spacing w:val="-2"/>
                        </w:rPr>
                        <w:t> </w:t>
                      </w:r>
                      <w:r>
                        <w:rPr/>
                        <w:t>12</w:t>
                      </w:r>
                      <w:r>
                        <w:rPr>
                          <w:spacing w:val="-5"/>
                        </w:rPr>
                        <w:t> </w:t>
                      </w:r>
                      <w:r>
                        <w:rPr/>
                        <w:t>se</w:t>
                      </w:r>
                      <w:r>
                        <w:rPr>
                          <w:spacing w:val="-3"/>
                        </w:rPr>
                        <w:t> </w:t>
                      </w:r>
                      <w:r>
                        <w:rPr/>
                        <w:t>revela</w:t>
                      </w:r>
                      <w:r>
                        <w:rPr>
                          <w:spacing w:val="-4"/>
                        </w:rPr>
                        <w:t> </w:t>
                      </w:r>
                      <w:r>
                        <w:rPr/>
                        <w:t>lo</w:t>
                      </w:r>
                      <w:r>
                        <w:rPr>
                          <w:spacing w:val="-1"/>
                        </w:rPr>
                        <w:t> </w:t>
                      </w:r>
                      <w:r>
                        <w:rPr>
                          <w:spacing w:val="-2"/>
                        </w:rPr>
                        <w:t>siguiente:</w:t>
                      </w:r>
                    </w:p>
                    <w:p>
                      <w:pPr>
                        <w:spacing w:before="21"/>
                        <w:ind w:left="103" w:right="0" w:firstLine="0"/>
                        <w:jc w:val="left"/>
                        <w:rPr>
                          <w:b/>
                          <w:sz w:val="22"/>
                        </w:rPr>
                      </w:pPr>
                      <w:r>
                        <w:rPr>
                          <w:b/>
                          <w:spacing w:val="-2"/>
                          <w:sz w:val="22"/>
                          <w:u w:val="single"/>
                        </w:rPr>
                        <w:t>Reconocimiento:</w:t>
                      </w:r>
                    </w:p>
                    <w:p>
                      <w:pPr>
                        <w:pStyle w:val="BodyText"/>
                        <w:spacing w:line="259" w:lineRule="auto" w:before="18"/>
                        <w:ind w:left="103"/>
                      </w:pPr>
                      <w:r>
                        <w:rPr/>
                        <w:t>Los inventarios se reconocen y clasifican de acuerdo con su naturaleza, en bienes y suministros de</w:t>
                      </w:r>
                      <w:r>
                        <w:rPr>
                          <w:spacing w:val="40"/>
                        </w:rPr>
                        <w:t> </w:t>
                      </w:r>
                      <w:r>
                        <w:rPr/>
                        <w:t>oficina, mercadería para la venta, y bienes para donación.</w:t>
                      </w:r>
                    </w:p>
                    <w:p>
                      <w:pPr>
                        <w:pStyle w:val="BodyText"/>
                        <w:spacing w:before="20"/>
                      </w:pPr>
                    </w:p>
                    <w:p>
                      <w:pPr>
                        <w:spacing w:before="1"/>
                        <w:ind w:left="103" w:right="0" w:firstLine="0"/>
                        <w:jc w:val="left"/>
                        <w:rPr>
                          <w:b/>
                          <w:sz w:val="22"/>
                        </w:rPr>
                      </w:pPr>
                      <w:r>
                        <w:rPr>
                          <w:b/>
                          <w:spacing w:val="-2"/>
                          <w:sz w:val="22"/>
                          <w:u w:val="single"/>
                        </w:rPr>
                        <w:t>Medición:</w:t>
                      </w:r>
                    </w:p>
                    <w:p>
                      <w:pPr>
                        <w:pStyle w:val="BodyText"/>
                        <w:spacing w:line="259" w:lineRule="auto" w:before="20"/>
                        <w:ind w:left="103" w:right="99"/>
                        <w:jc w:val="both"/>
                      </w:pPr>
                      <w:r>
                        <w:rPr/>
                        <w:t>Según la Política Contable General 1. 76 la medición general de los inventarios es, al costo o al valor realizable neto, el que sea menor excepto lo estipulado en las excepciones de la Norma. La fórmula del</w:t>
                      </w:r>
                      <w:r>
                        <w:rPr>
                          <w:spacing w:val="-5"/>
                        </w:rPr>
                        <w:t> </w:t>
                      </w:r>
                      <w:r>
                        <w:rPr/>
                        <w:t>costo</w:t>
                      </w:r>
                      <w:r>
                        <w:rPr>
                          <w:spacing w:val="-4"/>
                        </w:rPr>
                        <w:t> </w:t>
                      </w:r>
                      <w:r>
                        <w:rPr/>
                        <w:t>para</w:t>
                      </w:r>
                      <w:r>
                        <w:rPr>
                          <w:spacing w:val="-5"/>
                        </w:rPr>
                        <w:t> </w:t>
                      </w:r>
                      <w:r>
                        <w:rPr/>
                        <w:t>los</w:t>
                      </w:r>
                      <w:r>
                        <w:rPr>
                          <w:spacing w:val="-4"/>
                        </w:rPr>
                        <w:t> </w:t>
                      </w:r>
                      <w:r>
                        <w:rPr/>
                        <w:t>inventarios</w:t>
                      </w:r>
                      <w:r>
                        <w:rPr>
                          <w:spacing w:val="-4"/>
                        </w:rPr>
                        <w:t> </w:t>
                      </w:r>
                      <w:r>
                        <w:rPr/>
                        <w:t>de</w:t>
                      </w:r>
                      <w:r>
                        <w:rPr>
                          <w:spacing w:val="-6"/>
                        </w:rPr>
                        <w:t> </w:t>
                      </w:r>
                      <w:r>
                        <w:rPr/>
                        <w:t>la</w:t>
                      </w:r>
                      <w:r>
                        <w:rPr>
                          <w:spacing w:val="-6"/>
                        </w:rPr>
                        <w:t> </w:t>
                      </w:r>
                      <w:r>
                        <w:rPr/>
                        <w:t>misma</w:t>
                      </w:r>
                      <w:r>
                        <w:rPr>
                          <w:spacing w:val="-5"/>
                        </w:rPr>
                        <w:t> </w:t>
                      </w:r>
                      <w:r>
                        <w:rPr/>
                        <w:t>naturaleza,</w:t>
                      </w:r>
                      <w:r>
                        <w:rPr>
                          <w:spacing w:val="-5"/>
                        </w:rPr>
                        <w:t> </w:t>
                      </w:r>
                      <w:r>
                        <w:rPr/>
                        <w:t>el</w:t>
                      </w:r>
                      <w:r>
                        <w:rPr>
                          <w:spacing w:val="-5"/>
                        </w:rPr>
                        <w:t> </w:t>
                      </w:r>
                      <w:r>
                        <w:rPr/>
                        <w:t>costo</w:t>
                      </w:r>
                      <w:r>
                        <w:rPr>
                          <w:spacing w:val="-4"/>
                        </w:rPr>
                        <w:t> </w:t>
                      </w:r>
                      <w:r>
                        <w:rPr/>
                        <w:t>de</w:t>
                      </w:r>
                      <w:r>
                        <w:rPr>
                          <w:spacing w:val="-6"/>
                        </w:rPr>
                        <w:t> </w:t>
                      </w:r>
                      <w:r>
                        <w:rPr/>
                        <w:t>los</w:t>
                      </w:r>
                      <w:r>
                        <w:rPr>
                          <w:spacing w:val="-4"/>
                        </w:rPr>
                        <w:t> </w:t>
                      </w:r>
                      <w:r>
                        <w:rPr/>
                        <w:t>inventarios</w:t>
                      </w:r>
                      <w:r>
                        <w:rPr>
                          <w:spacing w:val="-4"/>
                        </w:rPr>
                        <w:t> </w:t>
                      </w:r>
                      <w:r>
                        <w:rPr/>
                        <w:t>se</w:t>
                      </w:r>
                      <w:r>
                        <w:rPr>
                          <w:spacing w:val="-6"/>
                        </w:rPr>
                        <w:t> </w:t>
                      </w:r>
                      <w:r>
                        <w:rPr/>
                        <w:t>asigna</w:t>
                      </w:r>
                      <w:r>
                        <w:rPr>
                          <w:spacing w:val="-6"/>
                        </w:rPr>
                        <w:t> </w:t>
                      </w:r>
                      <w:r>
                        <w:rPr/>
                        <w:t>utilizando</w:t>
                      </w:r>
                      <w:r>
                        <w:rPr>
                          <w:spacing w:val="-4"/>
                        </w:rPr>
                        <w:t> </w:t>
                      </w:r>
                      <w:r>
                        <w:rPr/>
                        <w:t>el método de costo promedio.</w:t>
                      </w:r>
                    </w:p>
                    <w:p>
                      <w:pPr>
                        <w:pStyle w:val="BodyText"/>
                        <w:spacing w:line="259" w:lineRule="auto"/>
                        <w:ind w:left="103" w:right="102"/>
                        <w:jc w:val="both"/>
                      </w:pPr>
                      <w:r>
                        <w:rPr/>
                        <w:t>Los inventarios adquiridos a través de</w:t>
                      </w:r>
                      <w:r>
                        <w:rPr>
                          <w:spacing w:val="-2"/>
                        </w:rPr>
                        <w:t> </w:t>
                      </w:r>
                      <w:r>
                        <w:rPr/>
                        <w:t>transacción sin contraprestación se</w:t>
                      </w:r>
                      <w:r>
                        <w:rPr>
                          <w:spacing w:val="-1"/>
                        </w:rPr>
                        <w:t> </w:t>
                      </w:r>
                      <w:r>
                        <w:rPr/>
                        <w:t>miden a</w:t>
                      </w:r>
                      <w:r>
                        <w:rPr>
                          <w:spacing w:val="-1"/>
                        </w:rPr>
                        <w:t> </w:t>
                      </w:r>
                      <w:r>
                        <w:rPr/>
                        <w:t>su valor razonable a la fecha de adquisición.</w:t>
                      </w:r>
                    </w:p>
                    <w:p>
                      <w:pPr>
                        <w:pStyle w:val="BodyText"/>
                        <w:spacing w:line="261" w:lineRule="auto" w:before="236"/>
                        <w:ind w:left="103" w:right="103"/>
                        <w:jc w:val="both"/>
                      </w:pPr>
                      <w:r>
                        <w:rPr/>
                        <w:t>A continuación, se muestra el importe de inventario reconocido como gasto por concepto de requisiciones de los diferentes almacenes, para el consumo propio en la Institución:</w:t>
                      </w:r>
                    </w:p>
                  </w:txbxContent>
                </v:textbox>
                <v:stroke dashstyle="solid"/>
                <w10:wrap type="topAndBottom"/>
              </v:shape>
            </w:pict>
          </mc:Fallback>
        </mc:AlternateContent>
      </w:r>
    </w:p>
    <w:p>
      <w:pPr>
        <w:pStyle w:val="BodyText"/>
        <w:spacing w:before="183"/>
        <w:rPr>
          <w:b/>
        </w:rPr>
      </w:pPr>
    </w:p>
    <w:p>
      <w:pPr>
        <w:pStyle w:val="Heading6"/>
        <w:numPr>
          <w:ilvl w:val="0"/>
          <w:numId w:val="61"/>
        </w:numPr>
        <w:tabs>
          <w:tab w:pos="1689" w:val="left" w:leader="none"/>
        </w:tabs>
        <w:spacing w:line="240" w:lineRule="auto" w:before="1" w:after="0"/>
        <w:ind w:left="1689" w:right="0" w:hanging="708"/>
        <w:jc w:val="left"/>
      </w:pPr>
      <w:r>
        <w:rPr>
          <w:u w:val="single"/>
        </w:rPr>
        <w:t>Otra</w:t>
      </w:r>
      <w:r>
        <w:rPr>
          <w:spacing w:val="-4"/>
          <w:u w:val="single"/>
        </w:rPr>
        <w:t> </w:t>
      </w:r>
      <w:r>
        <w:rPr>
          <w:u w:val="single"/>
        </w:rPr>
        <w:t>información</w:t>
      </w:r>
      <w:r>
        <w:rPr>
          <w:spacing w:val="-3"/>
          <w:u w:val="single"/>
        </w:rPr>
        <w:t> </w:t>
      </w:r>
      <w:r>
        <w:rPr>
          <w:u w:val="single"/>
        </w:rPr>
        <w:t>por</w:t>
      </w:r>
      <w:r>
        <w:rPr>
          <w:spacing w:val="-3"/>
          <w:u w:val="single"/>
        </w:rPr>
        <w:t> </w:t>
      </w:r>
      <w:r>
        <w:rPr>
          <w:spacing w:val="-2"/>
          <w:u w:val="single"/>
        </w:rPr>
        <w:t>revelar</w:t>
      </w:r>
    </w:p>
    <w:p>
      <w:pPr>
        <w:pStyle w:val="BodyText"/>
        <w:spacing w:before="33"/>
        <w:rPr>
          <w:b/>
          <w:sz w:val="20"/>
        </w:rPr>
      </w:pPr>
      <w:r>
        <w:rPr>
          <w:b/>
          <w:sz w:val="20"/>
        </w:rPr>
        <mc:AlternateContent>
          <mc:Choice Requires="wps">
            <w:drawing>
              <wp:anchor distT="0" distB="0" distL="0" distR="0" allowOverlap="1" layoutInCell="1" locked="0" behindDoc="1" simplePos="0" relativeHeight="487728640">
                <wp:simplePos x="0" y="0"/>
                <wp:positionH relativeFrom="page">
                  <wp:posOffset>1080820</wp:posOffset>
                </wp:positionH>
                <wp:positionV relativeFrom="paragraph">
                  <wp:posOffset>184229</wp:posOffset>
                </wp:positionV>
                <wp:extent cx="5715000" cy="1497330"/>
                <wp:effectExtent l="0" t="0" r="0" b="0"/>
                <wp:wrapTopAndBottom/>
                <wp:docPr id="699" name="Textbox 699"/>
                <wp:cNvGraphicFramePr>
                  <a:graphicFrameLocks/>
                </wp:cNvGraphicFramePr>
                <a:graphic>
                  <a:graphicData uri="http://schemas.microsoft.com/office/word/2010/wordprocessingShape">
                    <wps:wsp>
                      <wps:cNvPr id="699" name="Textbox 699"/>
                      <wps:cNvSpPr txBox="1"/>
                      <wps:spPr>
                        <a:xfrm>
                          <a:off x="0" y="0"/>
                          <a:ext cx="5715000" cy="1497330"/>
                        </a:xfrm>
                        <a:prstGeom prst="rect">
                          <a:avLst/>
                        </a:prstGeom>
                        <a:ln w="6095">
                          <a:solidFill>
                            <a:srgbClr val="000000"/>
                          </a:solidFill>
                          <a:prstDash val="solid"/>
                        </a:ln>
                      </wps:spPr>
                      <wps:txbx>
                        <w:txbxContent>
                          <w:p>
                            <w:pPr>
                              <w:spacing w:before="1"/>
                              <w:ind w:left="103" w:right="0" w:firstLine="0"/>
                              <w:jc w:val="left"/>
                              <w:rPr>
                                <w:b/>
                                <w:sz w:val="22"/>
                              </w:rPr>
                            </w:pPr>
                            <w:r>
                              <w:rPr>
                                <w:b/>
                                <w:color w:val="1F4E79"/>
                                <w:spacing w:val="-2"/>
                                <w:sz w:val="22"/>
                                <w:u w:val="single" w:color="1F4E79"/>
                              </w:rPr>
                              <w:t>Revelación:</w:t>
                            </w:r>
                          </w:p>
                          <w:p>
                            <w:pPr>
                              <w:spacing w:before="178"/>
                              <w:ind w:left="103" w:right="0" w:firstLine="0"/>
                              <w:jc w:val="left"/>
                              <w:rPr>
                                <w:b/>
                                <w:sz w:val="22"/>
                              </w:rPr>
                            </w:pPr>
                            <w:r>
                              <w:rPr>
                                <w:b/>
                                <w:sz w:val="22"/>
                              </w:rPr>
                              <w:t>Método</w:t>
                            </w:r>
                            <w:r>
                              <w:rPr>
                                <w:b/>
                                <w:spacing w:val="-3"/>
                                <w:sz w:val="22"/>
                              </w:rPr>
                              <w:t> </w:t>
                            </w:r>
                            <w:r>
                              <w:rPr>
                                <w:b/>
                                <w:sz w:val="22"/>
                              </w:rPr>
                              <w:t>de</w:t>
                            </w:r>
                            <w:r>
                              <w:rPr>
                                <w:b/>
                                <w:spacing w:val="-2"/>
                                <w:sz w:val="22"/>
                              </w:rPr>
                              <w:t> </w:t>
                            </w:r>
                            <w:r>
                              <w:rPr>
                                <w:b/>
                                <w:sz w:val="22"/>
                              </w:rPr>
                              <w:t>Valuación</w:t>
                            </w:r>
                            <w:r>
                              <w:rPr>
                                <w:b/>
                                <w:spacing w:val="-3"/>
                                <w:sz w:val="22"/>
                              </w:rPr>
                              <w:t> </w:t>
                            </w:r>
                            <w:r>
                              <w:rPr>
                                <w:b/>
                                <w:sz w:val="22"/>
                              </w:rPr>
                              <w:t>de</w:t>
                            </w:r>
                            <w:r>
                              <w:rPr>
                                <w:b/>
                                <w:spacing w:val="-2"/>
                                <w:sz w:val="22"/>
                              </w:rPr>
                              <w:t> Inventario</w:t>
                            </w:r>
                          </w:p>
                          <w:p>
                            <w:pPr>
                              <w:pStyle w:val="BodyText"/>
                              <w:rPr>
                                <w:b/>
                              </w:rPr>
                            </w:pPr>
                          </w:p>
                          <w:p>
                            <w:pPr>
                              <w:pStyle w:val="BodyText"/>
                              <w:ind w:left="103" w:right="96"/>
                              <w:jc w:val="both"/>
                            </w:pPr>
                            <w:r>
                              <w:rPr/>
                              <w:t>El</w:t>
                            </w:r>
                            <w:r>
                              <w:rPr>
                                <w:spacing w:val="-10"/>
                              </w:rPr>
                              <w:t> </w:t>
                            </w:r>
                            <w:r>
                              <w:rPr/>
                              <w:t>método</w:t>
                            </w:r>
                            <w:r>
                              <w:rPr>
                                <w:spacing w:val="-9"/>
                              </w:rPr>
                              <w:t> </w:t>
                            </w:r>
                            <w:r>
                              <w:rPr/>
                              <w:t>de</w:t>
                            </w:r>
                            <w:r>
                              <w:rPr>
                                <w:spacing w:val="-11"/>
                              </w:rPr>
                              <w:t> </w:t>
                            </w:r>
                            <w:r>
                              <w:rPr/>
                              <w:t>valuación</w:t>
                            </w:r>
                            <w:r>
                              <w:rPr>
                                <w:spacing w:val="-9"/>
                              </w:rPr>
                              <w:t> </w:t>
                            </w:r>
                            <w:r>
                              <w:rPr/>
                              <w:t>del</w:t>
                            </w:r>
                            <w:r>
                              <w:rPr>
                                <w:spacing w:val="-10"/>
                              </w:rPr>
                              <w:t> </w:t>
                            </w:r>
                            <w:r>
                              <w:rPr/>
                              <w:t>inventario</w:t>
                            </w:r>
                            <w:r>
                              <w:rPr>
                                <w:spacing w:val="-9"/>
                              </w:rPr>
                              <w:t> </w:t>
                            </w:r>
                            <w:r>
                              <w:rPr/>
                              <w:t>al</w:t>
                            </w:r>
                            <w:r>
                              <w:rPr>
                                <w:spacing w:val="-10"/>
                              </w:rPr>
                              <w:t> </w:t>
                            </w:r>
                            <w:r>
                              <w:rPr/>
                              <w:t>cierre</w:t>
                            </w:r>
                            <w:r>
                              <w:rPr>
                                <w:spacing w:val="-11"/>
                              </w:rPr>
                              <w:t> </w:t>
                            </w:r>
                            <w:r>
                              <w:rPr/>
                              <w:t>del</w:t>
                            </w:r>
                            <w:r>
                              <w:rPr>
                                <w:spacing w:val="-10"/>
                              </w:rPr>
                              <w:t> </w:t>
                            </w:r>
                            <w:r>
                              <w:rPr/>
                              <w:t>periodo</w:t>
                            </w:r>
                            <w:r>
                              <w:rPr>
                                <w:spacing w:val="-9"/>
                              </w:rPr>
                              <w:t> </w:t>
                            </w:r>
                            <w:r>
                              <w:rPr/>
                              <w:t>es</w:t>
                            </w:r>
                            <w:r>
                              <w:rPr>
                                <w:spacing w:val="-9"/>
                              </w:rPr>
                              <w:t> </w:t>
                            </w:r>
                            <w:r>
                              <w:rPr/>
                              <w:t>por</w:t>
                            </w:r>
                            <w:r>
                              <w:rPr>
                                <w:spacing w:val="-10"/>
                              </w:rPr>
                              <w:t> </w:t>
                            </w:r>
                            <w:r>
                              <w:rPr/>
                              <w:t>el</w:t>
                            </w:r>
                            <w:r>
                              <w:rPr>
                                <w:spacing w:val="-10"/>
                              </w:rPr>
                              <w:t> </w:t>
                            </w:r>
                            <w:r>
                              <w:rPr/>
                              <w:t>Método</w:t>
                            </w:r>
                            <w:r>
                              <w:rPr>
                                <w:spacing w:val="-9"/>
                              </w:rPr>
                              <w:t> </w:t>
                            </w:r>
                            <w:r>
                              <w:rPr/>
                              <w:t>de</w:t>
                            </w:r>
                            <w:r>
                              <w:rPr>
                                <w:spacing w:val="-11"/>
                              </w:rPr>
                              <w:t> </w:t>
                            </w:r>
                            <w:r>
                              <w:rPr/>
                              <w:t>Promedio</w:t>
                            </w:r>
                            <w:r>
                              <w:rPr>
                                <w:spacing w:val="-9"/>
                              </w:rPr>
                              <w:t> </w:t>
                            </w:r>
                            <w:r>
                              <w:rPr/>
                              <w:t>Ponderado (PP). Se cuenta con autorización de la Dirección General de Contabilidad oficio MH-DGCN-DIR-OF-0388-2023</w:t>
                            </w:r>
                            <w:r>
                              <w:rPr>
                                <w:spacing w:val="-7"/>
                              </w:rPr>
                              <w:t> </w:t>
                            </w:r>
                            <w:r>
                              <w:rPr/>
                              <w:t>del</w:t>
                            </w:r>
                            <w:r>
                              <w:rPr>
                                <w:spacing w:val="-7"/>
                              </w:rPr>
                              <w:t> </w:t>
                            </w:r>
                            <w:r>
                              <w:rPr/>
                              <w:t>25</w:t>
                            </w:r>
                            <w:r>
                              <w:rPr>
                                <w:spacing w:val="-5"/>
                              </w:rPr>
                              <w:t> </w:t>
                            </w:r>
                            <w:r>
                              <w:rPr/>
                              <w:t>de</w:t>
                            </w:r>
                            <w:r>
                              <w:rPr>
                                <w:spacing w:val="-6"/>
                              </w:rPr>
                              <w:t> </w:t>
                            </w:r>
                            <w:r>
                              <w:rPr/>
                              <w:t>mayo</w:t>
                            </w:r>
                            <w:r>
                              <w:rPr>
                                <w:spacing w:val="-5"/>
                              </w:rPr>
                              <w:t> </w:t>
                            </w:r>
                            <w:r>
                              <w:rPr/>
                              <w:t>del</w:t>
                            </w:r>
                            <w:r>
                              <w:rPr>
                                <w:spacing w:val="-7"/>
                              </w:rPr>
                              <w:t> </w:t>
                            </w:r>
                            <w:r>
                              <w:rPr/>
                              <w:t>2023</w:t>
                            </w:r>
                            <w:r>
                              <w:rPr>
                                <w:spacing w:val="-5"/>
                              </w:rPr>
                              <w:t> </w:t>
                            </w:r>
                            <w:r>
                              <w:rPr/>
                              <w:t>para</w:t>
                            </w:r>
                            <w:r>
                              <w:rPr>
                                <w:spacing w:val="-4"/>
                              </w:rPr>
                              <w:t> </w:t>
                            </w:r>
                            <w:r>
                              <w:rPr/>
                              <w:t>el</w:t>
                            </w:r>
                            <w:r>
                              <w:rPr>
                                <w:spacing w:val="-7"/>
                              </w:rPr>
                              <w:t> </w:t>
                            </w:r>
                            <w:r>
                              <w:rPr/>
                              <w:t>uso</w:t>
                            </w:r>
                            <w:r>
                              <w:rPr>
                                <w:spacing w:val="-5"/>
                              </w:rPr>
                              <w:t> </w:t>
                            </w:r>
                            <w:r>
                              <w:rPr/>
                              <w:t>del</w:t>
                            </w:r>
                            <w:r>
                              <w:rPr>
                                <w:spacing w:val="-2"/>
                              </w:rPr>
                              <w:t> </w:t>
                            </w:r>
                            <w:r>
                              <w:rPr/>
                              <w:t>Promedio</w:t>
                            </w:r>
                            <w:r>
                              <w:rPr>
                                <w:spacing w:val="-5"/>
                              </w:rPr>
                              <w:t> </w:t>
                            </w:r>
                            <w:r>
                              <w:rPr/>
                              <w:t>ponderado,</w:t>
                            </w:r>
                            <w:r>
                              <w:rPr>
                                <w:spacing w:val="-6"/>
                              </w:rPr>
                              <w:t> </w:t>
                            </w:r>
                            <w:r>
                              <w:rPr/>
                              <w:t>ya</w:t>
                            </w:r>
                            <w:r>
                              <w:rPr>
                                <w:spacing w:val="-7"/>
                              </w:rPr>
                              <w:t> </w:t>
                            </w:r>
                            <w:r>
                              <w:rPr/>
                              <w:t>se</w:t>
                            </w:r>
                            <w:r>
                              <w:rPr>
                                <w:spacing w:val="-7"/>
                              </w:rPr>
                              <w:t> </w:t>
                            </w:r>
                            <w:r>
                              <w:rPr/>
                              <w:t>cuenta</w:t>
                            </w:r>
                            <w:r>
                              <w:rPr>
                                <w:spacing w:val="-6"/>
                              </w:rPr>
                              <w:t> </w:t>
                            </w:r>
                            <w:r>
                              <w:rPr/>
                              <w:t>con</w:t>
                            </w:r>
                            <w:r>
                              <w:rPr>
                                <w:spacing w:val="-6"/>
                              </w:rPr>
                              <w:t> </w:t>
                            </w:r>
                            <w:r>
                              <w:rPr/>
                              <w:t>una</w:t>
                            </w:r>
                            <w:r>
                              <w:rPr>
                                <w:spacing w:val="-7"/>
                              </w:rPr>
                              <w:t> </w:t>
                            </w:r>
                            <w:r>
                              <w:rPr/>
                              <w:t>la política particular al respecto, incluidos en el Plan Contable para iniciar su ejecución, las políticas aprobadas son las siguientes:</w:t>
                            </w:r>
                          </w:p>
                        </w:txbxContent>
                      </wps:txbx>
                      <wps:bodyPr wrap="square" lIns="0" tIns="0" rIns="0" bIns="0" rtlCol="0">
                        <a:noAutofit/>
                      </wps:bodyPr>
                    </wps:wsp>
                  </a:graphicData>
                </a:graphic>
              </wp:anchor>
            </w:drawing>
          </mc:Choice>
          <mc:Fallback>
            <w:pict>
              <v:shape style="position:absolute;margin-left:85.103996pt;margin-top:14.50625pt;width:450pt;height:117.9pt;mso-position-horizontal-relative:page;mso-position-vertical-relative:paragraph;z-index:-15587840;mso-wrap-distance-left:0;mso-wrap-distance-right:0" type="#_x0000_t202" id="docshape677" filled="false" stroked="true" strokeweight=".47998pt" strokecolor="#000000">
                <v:textbox inset="0,0,0,0">
                  <w:txbxContent>
                    <w:p>
                      <w:pPr>
                        <w:spacing w:before="1"/>
                        <w:ind w:left="103" w:right="0" w:firstLine="0"/>
                        <w:jc w:val="left"/>
                        <w:rPr>
                          <w:b/>
                          <w:sz w:val="22"/>
                        </w:rPr>
                      </w:pPr>
                      <w:r>
                        <w:rPr>
                          <w:b/>
                          <w:color w:val="1F4E79"/>
                          <w:spacing w:val="-2"/>
                          <w:sz w:val="22"/>
                          <w:u w:val="single" w:color="1F4E79"/>
                        </w:rPr>
                        <w:t>Revelación:</w:t>
                      </w:r>
                    </w:p>
                    <w:p>
                      <w:pPr>
                        <w:spacing w:before="178"/>
                        <w:ind w:left="103" w:right="0" w:firstLine="0"/>
                        <w:jc w:val="left"/>
                        <w:rPr>
                          <w:b/>
                          <w:sz w:val="22"/>
                        </w:rPr>
                      </w:pPr>
                      <w:r>
                        <w:rPr>
                          <w:b/>
                          <w:sz w:val="22"/>
                        </w:rPr>
                        <w:t>Método</w:t>
                      </w:r>
                      <w:r>
                        <w:rPr>
                          <w:b/>
                          <w:spacing w:val="-3"/>
                          <w:sz w:val="22"/>
                        </w:rPr>
                        <w:t> </w:t>
                      </w:r>
                      <w:r>
                        <w:rPr>
                          <w:b/>
                          <w:sz w:val="22"/>
                        </w:rPr>
                        <w:t>de</w:t>
                      </w:r>
                      <w:r>
                        <w:rPr>
                          <w:b/>
                          <w:spacing w:val="-2"/>
                          <w:sz w:val="22"/>
                        </w:rPr>
                        <w:t> </w:t>
                      </w:r>
                      <w:r>
                        <w:rPr>
                          <w:b/>
                          <w:sz w:val="22"/>
                        </w:rPr>
                        <w:t>Valuación</w:t>
                      </w:r>
                      <w:r>
                        <w:rPr>
                          <w:b/>
                          <w:spacing w:val="-3"/>
                          <w:sz w:val="22"/>
                        </w:rPr>
                        <w:t> </w:t>
                      </w:r>
                      <w:r>
                        <w:rPr>
                          <w:b/>
                          <w:sz w:val="22"/>
                        </w:rPr>
                        <w:t>de</w:t>
                      </w:r>
                      <w:r>
                        <w:rPr>
                          <w:b/>
                          <w:spacing w:val="-2"/>
                          <w:sz w:val="22"/>
                        </w:rPr>
                        <w:t> Inventario</w:t>
                      </w:r>
                    </w:p>
                    <w:p>
                      <w:pPr>
                        <w:pStyle w:val="BodyText"/>
                        <w:rPr>
                          <w:b/>
                        </w:rPr>
                      </w:pPr>
                    </w:p>
                    <w:p>
                      <w:pPr>
                        <w:pStyle w:val="BodyText"/>
                        <w:ind w:left="103" w:right="96"/>
                        <w:jc w:val="both"/>
                      </w:pPr>
                      <w:r>
                        <w:rPr/>
                        <w:t>El</w:t>
                      </w:r>
                      <w:r>
                        <w:rPr>
                          <w:spacing w:val="-10"/>
                        </w:rPr>
                        <w:t> </w:t>
                      </w:r>
                      <w:r>
                        <w:rPr/>
                        <w:t>método</w:t>
                      </w:r>
                      <w:r>
                        <w:rPr>
                          <w:spacing w:val="-9"/>
                        </w:rPr>
                        <w:t> </w:t>
                      </w:r>
                      <w:r>
                        <w:rPr/>
                        <w:t>de</w:t>
                      </w:r>
                      <w:r>
                        <w:rPr>
                          <w:spacing w:val="-11"/>
                        </w:rPr>
                        <w:t> </w:t>
                      </w:r>
                      <w:r>
                        <w:rPr/>
                        <w:t>valuación</w:t>
                      </w:r>
                      <w:r>
                        <w:rPr>
                          <w:spacing w:val="-9"/>
                        </w:rPr>
                        <w:t> </w:t>
                      </w:r>
                      <w:r>
                        <w:rPr/>
                        <w:t>del</w:t>
                      </w:r>
                      <w:r>
                        <w:rPr>
                          <w:spacing w:val="-10"/>
                        </w:rPr>
                        <w:t> </w:t>
                      </w:r>
                      <w:r>
                        <w:rPr/>
                        <w:t>inventario</w:t>
                      </w:r>
                      <w:r>
                        <w:rPr>
                          <w:spacing w:val="-9"/>
                        </w:rPr>
                        <w:t> </w:t>
                      </w:r>
                      <w:r>
                        <w:rPr/>
                        <w:t>al</w:t>
                      </w:r>
                      <w:r>
                        <w:rPr>
                          <w:spacing w:val="-10"/>
                        </w:rPr>
                        <w:t> </w:t>
                      </w:r>
                      <w:r>
                        <w:rPr/>
                        <w:t>cierre</w:t>
                      </w:r>
                      <w:r>
                        <w:rPr>
                          <w:spacing w:val="-11"/>
                        </w:rPr>
                        <w:t> </w:t>
                      </w:r>
                      <w:r>
                        <w:rPr/>
                        <w:t>del</w:t>
                      </w:r>
                      <w:r>
                        <w:rPr>
                          <w:spacing w:val="-10"/>
                        </w:rPr>
                        <w:t> </w:t>
                      </w:r>
                      <w:r>
                        <w:rPr/>
                        <w:t>periodo</w:t>
                      </w:r>
                      <w:r>
                        <w:rPr>
                          <w:spacing w:val="-9"/>
                        </w:rPr>
                        <w:t> </w:t>
                      </w:r>
                      <w:r>
                        <w:rPr/>
                        <w:t>es</w:t>
                      </w:r>
                      <w:r>
                        <w:rPr>
                          <w:spacing w:val="-9"/>
                        </w:rPr>
                        <w:t> </w:t>
                      </w:r>
                      <w:r>
                        <w:rPr/>
                        <w:t>por</w:t>
                      </w:r>
                      <w:r>
                        <w:rPr>
                          <w:spacing w:val="-10"/>
                        </w:rPr>
                        <w:t> </w:t>
                      </w:r>
                      <w:r>
                        <w:rPr/>
                        <w:t>el</w:t>
                      </w:r>
                      <w:r>
                        <w:rPr>
                          <w:spacing w:val="-10"/>
                        </w:rPr>
                        <w:t> </w:t>
                      </w:r>
                      <w:r>
                        <w:rPr/>
                        <w:t>Método</w:t>
                      </w:r>
                      <w:r>
                        <w:rPr>
                          <w:spacing w:val="-9"/>
                        </w:rPr>
                        <w:t> </w:t>
                      </w:r>
                      <w:r>
                        <w:rPr/>
                        <w:t>de</w:t>
                      </w:r>
                      <w:r>
                        <w:rPr>
                          <w:spacing w:val="-11"/>
                        </w:rPr>
                        <w:t> </w:t>
                      </w:r>
                      <w:r>
                        <w:rPr/>
                        <w:t>Promedio</w:t>
                      </w:r>
                      <w:r>
                        <w:rPr>
                          <w:spacing w:val="-9"/>
                        </w:rPr>
                        <w:t> </w:t>
                      </w:r>
                      <w:r>
                        <w:rPr/>
                        <w:t>Ponderado (PP). Se cuenta con autorización de la Dirección General de Contabilidad oficio MH-DGCN-DIR-OF-0388-2023</w:t>
                      </w:r>
                      <w:r>
                        <w:rPr>
                          <w:spacing w:val="-7"/>
                        </w:rPr>
                        <w:t> </w:t>
                      </w:r>
                      <w:r>
                        <w:rPr/>
                        <w:t>del</w:t>
                      </w:r>
                      <w:r>
                        <w:rPr>
                          <w:spacing w:val="-7"/>
                        </w:rPr>
                        <w:t> </w:t>
                      </w:r>
                      <w:r>
                        <w:rPr/>
                        <w:t>25</w:t>
                      </w:r>
                      <w:r>
                        <w:rPr>
                          <w:spacing w:val="-5"/>
                        </w:rPr>
                        <w:t> </w:t>
                      </w:r>
                      <w:r>
                        <w:rPr/>
                        <w:t>de</w:t>
                      </w:r>
                      <w:r>
                        <w:rPr>
                          <w:spacing w:val="-6"/>
                        </w:rPr>
                        <w:t> </w:t>
                      </w:r>
                      <w:r>
                        <w:rPr/>
                        <w:t>mayo</w:t>
                      </w:r>
                      <w:r>
                        <w:rPr>
                          <w:spacing w:val="-5"/>
                        </w:rPr>
                        <w:t> </w:t>
                      </w:r>
                      <w:r>
                        <w:rPr/>
                        <w:t>del</w:t>
                      </w:r>
                      <w:r>
                        <w:rPr>
                          <w:spacing w:val="-7"/>
                        </w:rPr>
                        <w:t> </w:t>
                      </w:r>
                      <w:r>
                        <w:rPr/>
                        <w:t>2023</w:t>
                      </w:r>
                      <w:r>
                        <w:rPr>
                          <w:spacing w:val="-5"/>
                        </w:rPr>
                        <w:t> </w:t>
                      </w:r>
                      <w:r>
                        <w:rPr/>
                        <w:t>para</w:t>
                      </w:r>
                      <w:r>
                        <w:rPr>
                          <w:spacing w:val="-4"/>
                        </w:rPr>
                        <w:t> </w:t>
                      </w:r>
                      <w:r>
                        <w:rPr/>
                        <w:t>el</w:t>
                      </w:r>
                      <w:r>
                        <w:rPr>
                          <w:spacing w:val="-7"/>
                        </w:rPr>
                        <w:t> </w:t>
                      </w:r>
                      <w:r>
                        <w:rPr/>
                        <w:t>uso</w:t>
                      </w:r>
                      <w:r>
                        <w:rPr>
                          <w:spacing w:val="-5"/>
                        </w:rPr>
                        <w:t> </w:t>
                      </w:r>
                      <w:r>
                        <w:rPr/>
                        <w:t>del</w:t>
                      </w:r>
                      <w:r>
                        <w:rPr>
                          <w:spacing w:val="-2"/>
                        </w:rPr>
                        <w:t> </w:t>
                      </w:r>
                      <w:r>
                        <w:rPr/>
                        <w:t>Promedio</w:t>
                      </w:r>
                      <w:r>
                        <w:rPr>
                          <w:spacing w:val="-5"/>
                        </w:rPr>
                        <w:t> </w:t>
                      </w:r>
                      <w:r>
                        <w:rPr/>
                        <w:t>ponderado,</w:t>
                      </w:r>
                      <w:r>
                        <w:rPr>
                          <w:spacing w:val="-6"/>
                        </w:rPr>
                        <w:t> </w:t>
                      </w:r>
                      <w:r>
                        <w:rPr/>
                        <w:t>ya</w:t>
                      </w:r>
                      <w:r>
                        <w:rPr>
                          <w:spacing w:val="-7"/>
                        </w:rPr>
                        <w:t> </w:t>
                      </w:r>
                      <w:r>
                        <w:rPr/>
                        <w:t>se</w:t>
                      </w:r>
                      <w:r>
                        <w:rPr>
                          <w:spacing w:val="-7"/>
                        </w:rPr>
                        <w:t> </w:t>
                      </w:r>
                      <w:r>
                        <w:rPr/>
                        <w:t>cuenta</w:t>
                      </w:r>
                      <w:r>
                        <w:rPr>
                          <w:spacing w:val="-6"/>
                        </w:rPr>
                        <w:t> </w:t>
                      </w:r>
                      <w:r>
                        <w:rPr/>
                        <w:t>con</w:t>
                      </w:r>
                      <w:r>
                        <w:rPr>
                          <w:spacing w:val="-6"/>
                        </w:rPr>
                        <w:t> </w:t>
                      </w:r>
                      <w:r>
                        <w:rPr/>
                        <w:t>una</w:t>
                      </w:r>
                      <w:r>
                        <w:rPr>
                          <w:spacing w:val="-7"/>
                        </w:rPr>
                        <w:t> </w:t>
                      </w:r>
                      <w:r>
                        <w:rPr/>
                        <w:t>la política particular al respecto, incluidos en el Plan Contable para iniciar su ejecución, las políticas aprobadas son las siguientes:</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6560">
                <wp:simplePos x="0" y="0"/>
                <wp:positionH relativeFrom="page">
                  <wp:posOffset>9525</wp:posOffset>
                </wp:positionH>
                <wp:positionV relativeFrom="page">
                  <wp:posOffset>297208</wp:posOffset>
                </wp:positionV>
                <wp:extent cx="7762875" cy="9748520"/>
                <wp:effectExtent l="0" t="0" r="0" b="0"/>
                <wp:wrapNone/>
                <wp:docPr id="700" name="Group 700"/>
                <wp:cNvGraphicFramePr>
                  <a:graphicFrameLocks/>
                </wp:cNvGraphicFramePr>
                <a:graphic>
                  <a:graphicData uri="http://schemas.microsoft.com/office/word/2010/wordprocessingGroup">
                    <wpg:wgp>
                      <wpg:cNvPr id="700" name="Group 700"/>
                      <wpg:cNvGrpSpPr/>
                      <wpg:grpSpPr>
                        <a:xfrm>
                          <a:off x="0" y="0"/>
                          <a:ext cx="7762875" cy="9748520"/>
                          <a:chExt cx="7762875" cy="9748520"/>
                        </a:xfrm>
                      </wpg:grpSpPr>
                      <pic:pic>
                        <pic:nvPicPr>
                          <pic:cNvPr id="701" name="Image 701"/>
                          <pic:cNvPicPr/>
                        </pic:nvPicPr>
                        <pic:blipFill>
                          <a:blip r:embed="rId5" cstate="print"/>
                          <a:stretch>
                            <a:fillRect/>
                          </a:stretch>
                        </pic:blipFill>
                        <pic:spPr>
                          <a:xfrm>
                            <a:off x="0" y="0"/>
                            <a:ext cx="7762874" cy="9748489"/>
                          </a:xfrm>
                          <a:prstGeom prst="rect">
                            <a:avLst/>
                          </a:prstGeom>
                        </pic:spPr>
                      </pic:pic>
                      <wps:wsp>
                        <wps:cNvPr id="702" name="Graphic 702"/>
                        <wps:cNvSpPr/>
                        <wps:spPr>
                          <a:xfrm>
                            <a:off x="1053007" y="990837"/>
                            <a:ext cx="5736590" cy="7720330"/>
                          </a:xfrm>
                          <a:custGeom>
                            <a:avLst/>
                            <a:gdLst/>
                            <a:ahLst/>
                            <a:cxnLst/>
                            <a:rect l="l" t="t" r="r" b="b"/>
                            <a:pathLst>
                              <a:path w="5736590" h="7720330">
                                <a:moveTo>
                                  <a:pt x="5649214" y="0"/>
                                </a:moveTo>
                                <a:lnTo>
                                  <a:pt x="0" y="0"/>
                                </a:lnTo>
                                <a:lnTo>
                                  <a:pt x="0" y="9131"/>
                                </a:lnTo>
                                <a:lnTo>
                                  <a:pt x="5649214" y="9131"/>
                                </a:lnTo>
                                <a:lnTo>
                                  <a:pt x="5649214" y="0"/>
                                </a:lnTo>
                                <a:close/>
                              </a:path>
                              <a:path w="5736590" h="7720330">
                                <a:moveTo>
                                  <a:pt x="5736018" y="132651"/>
                                </a:moveTo>
                                <a:lnTo>
                                  <a:pt x="5729935" y="132651"/>
                                </a:lnTo>
                                <a:lnTo>
                                  <a:pt x="5729935" y="7713916"/>
                                </a:lnTo>
                                <a:lnTo>
                                  <a:pt x="21336" y="7713916"/>
                                </a:lnTo>
                                <a:lnTo>
                                  <a:pt x="21336" y="132651"/>
                                </a:lnTo>
                                <a:lnTo>
                                  <a:pt x="15240" y="132651"/>
                                </a:lnTo>
                                <a:lnTo>
                                  <a:pt x="15240" y="7713916"/>
                                </a:lnTo>
                                <a:lnTo>
                                  <a:pt x="15240" y="7720012"/>
                                </a:lnTo>
                                <a:lnTo>
                                  <a:pt x="21336" y="7720012"/>
                                </a:lnTo>
                                <a:lnTo>
                                  <a:pt x="5729935" y="7720012"/>
                                </a:lnTo>
                                <a:lnTo>
                                  <a:pt x="5736018" y="7720012"/>
                                </a:lnTo>
                                <a:lnTo>
                                  <a:pt x="5736018" y="7713916"/>
                                </a:lnTo>
                                <a:lnTo>
                                  <a:pt x="5736018" y="132651"/>
                                </a:lnTo>
                                <a:close/>
                              </a:path>
                              <a:path w="5736590" h="772033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703" name="Image 703" descr="Tabla  Descripción generada automáticamente"/>
                          <pic:cNvPicPr/>
                        </pic:nvPicPr>
                        <pic:blipFill>
                          <a:blip r:embed="rId82" cstate="print"/>
                          <a:stretch>
                            <a:fillRect/>
                          </a:stretch>
                        </pic:blipFill>
                        <pic:spPr>
                          <a:xfrm>
                            <a:off x="1981834" y="6003172"/>
                            <a:ext cx="3891279" cy="1011516"/>
                          </a:xfrm>
                          <a:prstGeom prst="rect">
                            <a:avLst/>
                          </a:prstGeom>
                        </pic:spPr>
                      </pic:pic>
                      <pic:pic>
                        <pic:nvPicPr>
                          <pic:cNvPr id="704" name="Image 704" descr="Tabla  Descripción generada automáticamente"/>
                          <pic:cNvPicPr/>
                        </pic:nvPicPr>
                        <pic:blipFill>
                          <a:blip r:embed="rId48" cstate="print"/>
                          <a:stretch>
                            <a:fillRect/>
                          </a:stretch>
                        </pic:blipFill>
                        <pic:spPr>
                          <a:xfrm>
                            <a:off x="1830704" y="7129040"/>
                            <a:ext cx="4193540" cy="1554988"/>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49920" id="docshapegroup678" coordorigin="15,468" coordsize="12225,15352">
                <v:shape style="position:absolute;left:15;top:468;width:12225;height:15352" type="#_x0000_t75" id="docshape679" stroked="false">
                  <v:imagedata r:id="rId5" o:title=""/>
                </v:shape>
                <v:shape style="position:absolute;left:1673;top:2028;width:9034;height:12158" id="docshape680" coordorigin="1673,2028" coordsize="9034,12158" path="m10570,2028l1673,2028,1673,2043,10570,2043,10570,2028xm10706,2237l10697,2237,10697,14176,1707,14176,1707,2237,1697,2237,1697,14176,1697,14186,1707,14186,10697,14186,10697,14186,10706,14186,10706,14176,10706,2237xm10706,2228l10697,2228,10697,2228,1707,2228,1697,2228,1697,2237,1707,2237,10697,2237,10697,2237,10706,2237,10706,2228xe" filled="true" fillcolor="#000000" stroked="false">
                  <v:path arrowok="t"/>
                  <v:fill type="solid"/>
                </v:shape>
                <v:shape style="position:absolute;left:3136;top:9921;width:6128;height:1593" type="#_x0000_t75" id="docshape681" alt="Tabla  Descripción generada automáticamente" stroked="false">
                  <v:imagedata r:id="rId82" o:title=""/>
                </v:shape>
                <v:shape style="position:absolute;left:2898;top:11694;width:6604;height:2449" type="#_x0000_t75" id="docshape682" alt="Tabla  Descripción generada automáticamente" stroked="false">
                  <v:imagedata r:id="rId48" o:title=""/>
                </v:shape>
                <w10:wrap type="none"/>
              </v:group>
            </w:pict>
          </mc:Fallback>
        </mc:AlternateContent>
      </w:r>
      <w:r>
        <w:rPr>
          <w:color w:val="172951"/>
          <w:sz w:val="20"/>
        </w:rPr>
        <w:t>Pág.</w:t>
      </w:r>
      <w:r>
        <w:rPr>
          <w:color w:val="172951"/>
          <w:spacing w:val="-7"/>
          <w:sz w:val="20"/>
        </w:rPr>
        <w:t> </w:t>
      </w:r>
      <w:r>
        <w:rPr>
          <w:color w:val="172951"/>
          <w:spacing w:val="-5"/>
          <w:sz w:val="20"/>
        </w:rPr>
        <w:t>142</w:t>
      </w:r>
    </w:p>
    <w:p>
      <w:pPr>
        <w:spacing w:line="230" w:lineRule="auto" w:before="227"/>
        <w:ind w:left="2146" w:right="926" w:firstLine="0"/>
        <w:jc w:val="both"/>
        <w:rPr>
          <w:i/>
          <w:sz w:val="23"/>
        </w:rPr>
      </w:pPr>
      <w:r>
        <w:rPr>
          <w:b/>
          <w:i/>
          <w:spacing w:val="-4"/>
          <w:sz w:val="23"/>
        </w:rPr>
        <w:t>INV06</w:t>
      </w:r>
      <w:r>
        <w:rPr>
          <w:i/>
          <w:spacing w:val="-4"/>
          <w:sz w:val="23"/>
        </w:rPr>
        <w:t>:</w:t>
      </w:r>
      <w:r>
        <w:rPr>
          <w:i/>
          <w:spacing w:val="30"/>
          <w:sz w:val="23"/>
        </w:rPr>
        <w:t> </w:t>
      </w:r>
      <w:r>
        <w:rPr>
          <w:i/>
          <w:spacing w:val="-4"/>
          <w:sz w:val="23"/>
        </w:rPr>
        <w:t>El</w:t>
      </w:r>
      <w:r>
        <w:rPr>
          <w:i/>
          <w:spacing w:val="-10"/>
          <w:sz w:val="23"/>
        </w:rPr>
        <w:t> </w:t>
      </w:r>
      <w:r>
        <w:rPr>
          <w:i/>
          <w:spacing w:val="-4"/>
          <w:sz w:val="23"/>
        </w:rPr>
        <w:t>costo</w:t>
      </w:r>
      <w:r>
        <w:rPr>
          <w:i/>
          <w:spacing w:val="-11"/>
          <w:sz w:val="23"/>
        </w:rPr>
        <w:t> </w:t>
      </w:r>
      <w:r>
        <w:rPr>
          <w:i/>
          <w:spacing w:val="-4"/>
          <w:sz w:val="23"/>
        </w:rPr>
        <w:t>de</w:t>
      </w:r>
      <w:r>
        <w:rPr>
          <w:i/>
          <w:spacing w:val="-10"/>
          <w:sz w:val="23"/>
        </w:rPr>
        <w:t> </w:t>
      </w:r>
      <w:r>
        <w:rPr>
          <w:i/>
          <w:spacing w:val="-4"/>
          <w:sz w:val="23"/>
        </w:rPr>
        <w:t>los</w:t>
      </w:r>
      <w:r>
        <w:rPr>
          <w:i/>
          <w:spacing w:val="-8"/>
          <w:sz w:val="23"/>
        </w:rPr>
        <w:t> </w:t>
      </w:r>
      <w:r>
        <w:rPr>
          <w:i/>
          <w:spacing w:val="-4"/>
          <w:sz w:val="23"/>
        </w:rPr>
        <w:t>inventarios</w:t>
      </w:r>
      <w:r>
        <w:rPr>
          <w:i/>
          <w:spacing w:val="-10"/>
          <w:sz w:val="23"/>
        </w:rPr>
        <w:t> </w:t>
      </w:r>
      <w:r>
        <w:rPr>
          <w:i/>
          <w:spacing w:val="-4"/>
          <w:sz w:val="23"/>
        </w:rPr>
        <w:t>del</w:t>
      </w:r>
      <w:r>
        <w:rPr>
          <w:i/>
          <w:spacing w:val="-10"/>
          <w:sz w:val="23"/>
        </w:rPr>
        <w:t> </w:t>
      </w:r>
      <w:r>
        <w:rPr>
          <w:i/>
          <w:spacing w:val="-4"/>
          <w:sz w:val="23"/>
        </w:rPr>
        <w:t>IMAS</w:t>
      </w:r>
      <w:r>
        <w:rPr>
          <w:i/>
          <w:spacing w:val="-10"/>
          <w:sz w:val="23"/>
        </w:rPr>
        <w:t> </w:t>
      </w:r>
      <w:r>
        <w:rPr>
          <w:i/>
          <w:spacing w:val="-4"/>
          <w:sz w:val="23"/>
        </w:rPr>
        <w:t>se</w:t>
      </w:r>
      <w:r>
        <w:rPr>
          <w:i/>
          <w:spacing w:val="-11"/>
          <w:sz w:val="23"/>
        </w:rPr>
        <w:t> </w:t>
      </w:r>
      <w:r>
        <w:rPr>
          <w:i/>
          <w:spacing w:val="-4"/>
          <w:sz w:val="23"/>
        </w:rPr>
        <w:t>asignarán</w:t>
      </w:r>
      <w:r>
        <w:rPr>
          <w:i/>
          <w:spacing w:val="-9"/>
          <w:sz w:val="23"/>
        </w:rPr>
        <w:t> </w:t>
      </w:r>
      <w:r>
        <w:rPr>
          <w:i/>
          <w:spacing w:val="-4"/>
          <w:sz w:val="23"/>
        </w:rPr>
        <w:t>utilizando</w:t>
      </w:r>
      <w:r>
        <w:rPr>
          <w:i/>
          <w:spacing w:val="-11"/>
          <w:sz w:val="23"/>
        </w:rPr>
        <w:t> </w:t>
      </w:r>
      <w:r>
        <w:rPr>
          <w:i/>
          <w:spacing w:val="-4"/>
          <w:sz w:val="23"/>
        </w:rPr>
        <w:t>el</w:t>
      </w:r>
      <w:r>
        <w:rPr>
          <w:i/>
          <w:spacing w:val="-10"/>
          <w:sz w:val="23"/>
        </w:rPr>
        <w:t> </w:t>
      </w:r>
      <w:r>
        <w:rPr>
          <w:i/>
          <w:spacing w:val="-4"/>
          <w:sz w:val="23"/>
        </w:rPr>
        <w:t>método</w:t>
      </w:r>
      <w:r>
        <w:rPr>
          <w:i/>
          <w:spacing w:val="-8"/>
          <w:sz w:val="23"/>
        </w:rPr>
        <w:t> </w:t>
      </w:r>
      <w:r>
        <w:rPr>
          <w:i/>
          <w:spacing w:val="-4"/>
          <w:sz w:val="23"/>
        </w:rPr>
        <w:t>costo </w:t>
      </w:r>
      <w:r>
        <w:rPr>
          <w:i/>
          <w:sz w:val="23"/>
        </w:rPr>
        <w:t>promedio ponderado.</w:t>
      </w:r>
    </w:p>
    <w:p>
      <w:pPr>
        <w:spacing w:line="230" w:lineRule="auto" w:before="158"/>
        <w:ind w:left="2146" w:right="927" w:firstLine="0"/>
        <w:jc w:val="both"/>
        <w:rPr>
          <w:i/>
          <w:sz w:val="23"/>
        </w:rPr>
      </w:pPr>
      <w:r>
        <w:rPr>
          <w:b/>
          <w:i/>
          <w:spacing w:val="-2"/>
          <w:sz w:val="23"/>
        </w:rPr>
        <w:t>INV07</w:t>
      </w:r>
      <w:r>
        <w:rPr>
          <w:i/>
          <w:spacing w:val="-2"/>
          <w:sz w:val="23"/>
        </w:rPr>
        <w:t>:</w:t>
      </w:r>
      <w:r>
        <w:rPr>
          <w:i/>
          <w:spacing w:val="-10"/>
          <w:sz w:val="23"/>
        </w:rPr>
        <w:t> </w:t>
      </w:r>
      <w:r>
        <w:rPr>
          <w:i/>
          <w:spacing w:val="-2"/>
          <w:sz w:val="23"/>
        </w:rPr>
        <w:t>Al</w:t>
      </w:r>
      <w:r>
        <w:rPr>
          <w:i/>
          <w:spacing w:val="-6"/>
          <w:sz w:val="23"/>
        </w:rPr>
        <w:t> </w:t>
      </w:r>
      <w:r>
        <w:rPr>
          <w:i/>
          <w:spacing w:val="-2"/>
          <w:sz w:val="23"/>
        </w:rPr>
        <w:t>utilizar</w:t>
      </w:r>
      <w:r>
        <w:rPr>
          <w:i/>
          <w:spacing w:val="-6"/>
          <w:sz w:val="23"/>
        </w:rPr>
        <w:t> </w:t>
      </w:r>
      <w:r>
        <w:rPr>
          <w:i/>
          <w:spacing w:val="-2"/>
          <w:sz w:val="23"/>
        </w:rPr>
        <w:t>el</w:t>
      </w:r>
      <w:r>
        <w:rPr>
          <w:i/>
          <w:spacing w:val="-9"/>
          <w:sz w:val="23"/>
        </w:rPr>
        <w:t> </w:t>
      </w:r>
      <w:r>
        <w:rPr>
          <w:i/>
          <w:spacing w:val="-2"/>
          <w:sz w:val="23"/>
        </w:rPr>
        <w:t>método</w:t>
      </w:r>
      <w:r>
        <w:rPr>
          <w:i/>
          <w:spacing w:val="-6"/>
          <w:sz w:val="23"/>
        </w:rPr>
        <w:t> </w:t>
      </w:r>
      <w:r>
        <w:rPr>
          <w:i/>
          <w:spacing w:val="-2"/>
          <w:sz w:val="23"/>
        </w:rPr>
        <w:t>o</w:t>
      </w:r>
      <w:r>
        <w:rPr>
          <w:i/>
          <w:spacing w:val="-8"/>
          <w:sz w:val="23"/>
        </w:rPr>
        <w:t> </w:t>
      </w:r>
      <w:r>
        <w:rPr>
          <w:i/>
          <w:spacing w:val="-2"/>
          <w:sz w:val="23"/>
        </w:rPr>
        <w:t>fórmula</w:t>
      </w:r>
      <w:r>
        <w:rPr>
          <w:i/>
          <w:spacing w:val="-7"/>
          <w:sz w:val="23"/>
        </w:rPr>
        <w:t> </w:t>
      </w:r>
      <w:r>
        <w:rPr>
          <w:i/>
          <w:spacing w:val="-2"/>
          <w:sz w:val="23"/>
        </w:rPr>
        <w:t>del</w:t>
      </w:r>
      <w:r>
        <w:rPr>
          <w:i/>
          <w:spacing w:val="-7"/>
          <w:sz w:val="23"/>
        </w:rPr>
        <w:t> </w:t>
      </w:r>
      <w:r>
        <w:rPr>
          <w:i/>
          <w:spacing w:val="-2"/>
          <w:sz w:val="23"/>
        </w:rPr>
        <w:t>costo</w:t>
      </w:r>
      <w:r>
        <w:rPr>
          <w:i/>
          <w:spacing w:val="-7"/>
          <w:sz w:val="23"/>
        </w:rPr>
        <w:t> </w:t>
      </w:r>
      <w:r>
        <w:rPr>
          <w:i/>
          <w:spacing w:val="-2"/>
          <w:sz w:val="23"/>
        </w:rPr>
        <w:t>promedio</w:t>
      </w:r>
      <w:r>
        <w:rPr>
          <w:i/>
          <w:spacing w:val="-6"/>
          <w:sz w:val="23"/>
        </w:rPr>
        <w:t> </w:t>
      </w:r>
      <w:r>
        <w:rPr>
          <w:i/>
          <w:spacing w:val="-2"/>
          <w:sz w:val="23"/>
        </w:rPr>
        <w:t>ponderado,</w:t>
      </w:r>
      <w:r>
        <w:rPr>
          <w:i/>
          <w:spacing w:val="-6"/>
          <w:sz w:val="23"/>
        </w:rPr>
        <w:t> </w:t>
      </w:r>
      <w:r>
        <w:rPr>
          <w:i/>
          <w:spacing w:val="-2"/>
          <w:sz w:val="23"/>
        </w:rPr>
        <w:t>el</w:t>
      </w:r>
      <w:r>
        <w:rPr>
          <w:i/>
          <w:spacing w:val="-7"/>
          <w:sz w:val="23"/>
        </w:rPr>
        <w:t> </w:t>
      </w:r>
      <w:r>
        <w:rPr>
          <w:i/>
          <w:spacing w:val="-2"/>
          <w:sz w:val="23"/>
        </w:rPr>
        <w:t>costo</w:t>
      </w:r>
      <w:r>
        <w:rPr>
          <w:i/>
          <w:spacing w:val="-6"/>
          <w:sz w:val="23"/>
        </w:rPr>
        <w:t> </w:t>
      </w:r>
      <w:r>
        <w:rPr>
          <w:i/>
          <w:spacing w:val="-2"/>
          <w:sz w:val="23"/>
        </w:rPr>
        <w:t>de </w:t>
      </w:r>
      <w:r>
        <w:rPr>
          <w:i/>
          <w:sz w:val="23"/>
        </w:rPr>
        <w:t>cada</w:t>
      </w:r>
      <w:r>
        <w:rPr>
          <w:i/>
          <w:spacing w:val="-15"/>
          <w:sz w:val="23"/>
        </w:rPr>
        <w:t> </w:t>
      </w:r>
      <w:r>
        <w:rPr>
          <w:i/>
          <w:sz w:val="23"/>
        </w:rPr>
        <w:t>partida</w:t>
      </w:r>
      <w:r>
        <w:rPr>
          <w:i/>
          <w:spacing w:val="-14"/>
          <w:sz w:val="23"/>
        </w:rPr>
        <w:t> </w:t>
      </w:r>
      <w:r>
        <w:rPr>
          <w:i/>
          <w:sz w:val="23"/>
        </w:rPr>
        <w:t>se</w:t>
      </w:r>
      <w:r>
        <w:rPr>
          <w:i/>
          <w:spacing w:val="-14"/>
          <w:sz w:val="23"/>
        </w:rPr>
        <w:t> </w:t>
      </w:r>
      <w:r>
        <w:rPr>
          <w:i/>
          <w:sz w:val="23"/>
        </w:rPr>
        <w:t>determinará</w:t>
      </w:r>
      <w:r>
        <w:rPr>
          <w:i/>
          <w:spacing w:val="-14"/>
          <w:sz w:val="23"/>
        </w:rPr>
        <w:t> </w:t>
      </w:r>
      <w:r>
        <w:rPr>
          <w:i/>
          <w:sz w:val="23"/>
        </w:rPr>
        <w:t>a</w:t>
      </w:r>
      <w:r>
        <w:rPr>
          <w:i/>
          <w:spacing w:val="-14"/>
          <w:sz w:val="23"/>
        </w:rPr>
        <w:t> </w:t>
      </w:r>
      <w:r>
        <w:rPr>
          <w:i/>
          <w:sz w:val="23"/>
        </w:rPr>
        <w:t>partir</w:t>
      </w:r>
      <w:r>
        <w:rPr>
          <w:i/>
          <w:spacing w:val="-14"/>
          <w:sz w:val="23"/>
        </w:rPr>
        <w:t> </w:t>
      </w:r>
      <w:r>
        <w:rPr>
          <w:i/>
          <w:sz w:val="23"/>
        </w:rPr>
        <w:t>del</w:t>
      </w:r>
      <w:r>
        <w:rPr>
          <w:i/>
          <w:spacing w:val="-14"/>
          <w:sz w:val="23"/>
        </w:rPr>
        <w:t> </w:t>
      </w:r>
      <w:r>
        <w:rPr>
          <w:i/>
          <w:sz w:val="23"/>
        </w:rPr>
        <w:t>promedio</w:t>
      </w:r>
      <w:r>
        <w:rPr>
          <w:i/>
          <w:spacing w:val="-13"/>
          <w:sz w:val="23"/>
        </w:rPr>
        <w:t> </w:t>
      </w:r>
      <w:r>
        <w:rPr>
          <w:i/>
          <w:sz w:val="23"/>
        </w:rPr>
        <w:t>ponderado</w:t>
      </w:r>
      <w:r>
        <w:rPr>
          <w:i/>
          <w:spacing w:val="-14"/>
          <w:sz w:val="23"/>
        </w:rPr>
        <w:t> </w:t>
      </w:r>
      <w:r>
        <w:rPr>
          <w:i/>
          <w:sz w:val="23"/>
        </w:rPr>
        <w:t>del</w:t>
      </w:r>
      <w:r>
        <w:rPr>
          <w:i/>
          <w:spacing w:val="-14"/>
          <w:sz w:val="23"/>
        </w:rPr>
        <w:t> </w:t>
      </w:r>
      <w:r>
        <w:rPr>
          <w:i/>
          <w:sz w:val="23"/>
        </w:rPr>
        <w:t>costo</w:t>
      </w:r>
      <w:r>
        <w:rPr>
          <w:i/>
          <w:spacing w:val="-13"/>
          <w:sz w:val="23"/>
        </w:rPr>
        <w:t> </w:t>
      </w:r>
      <w:r>
        <w:rPr>
          <w:i/>
          <w:sz w:val="23"/>
        </w:rPr>
        <w:t>de</w:t>
      </w:r>
      <w:r>
        <w:rPr>
          <w:i/>
          <w:spacing w:val="-15"/>
          <w:sz w:val="23"/>
        </w:rPr>
        <w:t> </w:t>
      </w:r>
      <w:r>
        <w:rPr>
          <w:i/>
          <w:sz w:val="23"/>
        </w:rPr>
        <w:t>partidas </w:t>
      </w:r>
      <w:r>
        <w:rPr>
          <w:i/>
          <w:spacing w:val="-6"/>
          <w:sz w:val="23"/>
        </w:rPr>
        <w:t>similares al principio del periodo, y del costo de partidas similares compradas durante el periodo. El promedio se calcula automáticamente en el sistema respectivo, después </w:t>
      </w:r>
      <w:r>
        <w:rPr>
          <w:i/>
          <w:sz w:val="23"/>
        </w:rPr>
        <w:t>de registrar cada adquisición.</w:t>
      </w:r>
    </w:p>
    <w:p>
      <w:pPr>
        <w:spacing w:line="230" w:lineRule="auto" w:before="155"/>
        <w:ind w:left="2146" w:right="926" w:firstLine="0"/>
        <w:jc w:val="both"/>
        <w:rPr>
          <w:i/>
          <w:sz w:val="23"/>
        </w:rPr>
      </w:pPr>
      <w:r>
        <w:rPr>
          <w:b/>
          <w:i/>
          <w:sz w:val="23"/>
        </w:rPr>
        <w:t>INV08</w:t>
      </w:r>
      <w:r>
        <w:rPr>
          <w:i/>
          <w:sz w:val="23"/>
        </w:rPr>
        <w:t>: El IMAS aplicará al costo de sus diferentes inventarios el método de promedio</w:t>
      </w:r>
      <w:r>
        <w:rPr>
          <w:i/>
          <w:spacing w:val="-15"/>
          <w:sz w:val="23"/>
        </w:rPr>
        <w:t> </w:t>
      </w:r>
      <w:r>
        <w:rPr>
          <w:i/>
          <w:sz w:val="23"/>
        </w:rPr>
        <w:t>ponderado</w:t>
      </w:r>
      <w:r>
        <w:rPr>
          <w:i/>
          <w:spacing w:val="-14"/>
          <w:sz w:val="23"/>
        </w:rPr>
        <w:t> </w:t>
      </w:r>
      <w:r>
        <w:rPr>
          <w:i/>
          <w:sz w:val="23"/>
        </w:rPr>
        <w:t>de</w:t>
      </w:r>
      <w:r>
        <w:rPr>
          <w:i/>
          <w:spacing w:val="-15"/>
          <w:sz w:val="23"/>
        </w:rPr>
        <w:t> </w:t>
      </w:r>
      <w:r>
        <w:rPr>
          <w:i/>
          <w:sz w:val="23"/>
        </w:rPr>
        <w:t>conformidad</w:t>
      </w:r>
      <w:r>
        <w:rPr>
          <w:i/>
          <w:spacing w:val="-14"/>
          <w:sz w:val="23"/>
        </w:rPr>
        <w:t> </w:t>
      </w:r>
      <w:r>
        <w:rPr>
          <w:i/>
          <w:sz w:val="23"/>
        </w:rPr>
        <w:t>de</w:t>
      </w:r>
      <w:r>
        <w:rPr>
          <w:i/>
          <w:spacing w:val="-14"/>
          <w:sz w:val="23"/>
        </w:rPr>
        <w:t> </w:t>
      </w:r>
      <w:r>
        <w:rPr>
          <w:i/>
          <w:sz w:val="23"/>
        </w:rPr>
        <w:t>la</w:t>
      </w:r>
      <w:r>
        <w:rPr>
          <w:i/>
          <w:spacing w:val="-15"/>
          <w:sz w:val="23"/>
        </w:rPr>
        <w:t> </w:t>
      </w:r>
      <w:r>
        <w:rPr>
          <w:i/>
          <w:sz w:val="23"/>
        </w:rPr>
        <w:t>autorización</w:t>
      </w:r>
      <w:r>
        <w:rPr>
          <w:i/>
          <w:spacing w:val="-14"/>
          <w:sz w:val="23"/>
        </w:rPr>
        <w:t> </w:t>
      </w:r>
      <w:r>
        <w:rPr>
          <w:i/>
          <w:sz w:val="23"/>
        </w:rPr>
        <w:t>previa</w:t>
      </w:r>
      <w:r>
        <w:rPr>
          <w:i/>
          <w:spacing w:val="-14"/>
          <w:sz w:val="23"/>
        </w:rPr>
        <w:t> </w:t>
      </w:r>
      <w:r>
        <w:rPr>
          <w:i/>
          <w:sz w:val="23"/>
        </w:rPr>
        <w:t>de</w:t>
      </w:r>
      <w:r>
        <w:rPr>
          <w:i/>
          <w:spacing w:val="-15"/>
          <w:sz w:val="23"/>
        </w:rPr>
        <w:t> </w:t>
      </w:r>
      <w:r>
        <w:rPr>
          <w:i/>
          <w:sz w:val="23"/>
        </w:rPr>
        <w:t>la</w:t>
      </w:r>
      <w:r>
        <w:rPr>
          <w:i/>
          <w:spacing w:val="-14"/>
          <w:sz w:val="23"/>
        </w:rPr>
        <w:t> </w:t>
      </w:r>
      <w:r>
        <w:rPr>
          <w:i/>
          <w:sz w:val="23"/>
        </w:rPr>
        <w:t>Contabilidad </w:t>
      </w:r>
      <w:r>
        <w:rPr>
          <w:i/>
          <w:spacing w:val="-4"/>
          <w:sz w:val="23"/>
        </w:rPr>
        <w:t>Nacional,</w:t>
      </w:r>
      <w:r>
        <w:rPr>
          <w:i/>
          <w:spacing w:val="-11"/>
          <w:sz w:val="23"/>
        </w:rPr>
        <w:t> </w:t>
      </w:r>
      <w:r>
        <w:rPr>
          <w:i/>
          <w:spacing w:val="-4"/>
          <w:sz w:val="23"/>
        </w:rPr>
        <w:t>otorgada</w:t>
      </w:r>
      <w:r>
        <w:rPr>
          <w:i/>
          <w:spacing w:val="-10"/>
          <w:sz w:val="23"/>
        </w:rPr>
        <w:t> </w:t>
      </w:r>
      <w:r>
        <w:rPr>
          <w:i/>
          <w:spacing w:val="-4"/>
          <w:sz w:val="23"/>
        </w:rPr>
        <w:t>mediante</w:t>
      </w:r>
      <w:r>
        <w:rPr>
          <w:i/>
          <w:spacing w:val="-11"/>
          <w:sz w:val="23"/>
        </w:rPr>
        <w:t> </w:t>
      </w:r>
      <w:r>
        <w:rPr>
          <w:i/>
          <w:spacing w:val="-4"/>
          <w:sz w:val="23"/>
        </w:rPr>
        <w:t>oficio</w:t>
      </w:r>
      <w:r>
        <w:rPr>
          <w:i/>
          <w:spacing w:val="-10"/>
          <w:sz w:val="23"/>
        </w:rPr>
        <w:t> </w:t>
      </w:r>
      <w:r>
        <w:rPr>
          <w:i/>
          <w:spacing w:val="-4"/>
          <w:sz w:val="23"/>
        </w:rPr>
        <w:t>MH-DGCN-DIR-OF-0388-2023</w:t>
      </w:r>
      <w:r>
        <w:rPr>
          <w:i/>
          <w:spacing w:val="-10"/>
          <w:sz w:val="23"/>
        </w:rPr>
        <w:t> </w:t>
      </w:r>
      <w:r>
        <w:rPr>
          <w:i/>
          <w:spacing w:val="-4"/>
          <w:sz w:val="23"/>
        </w:rPr>
        <w:t>del</w:t>
      </w:r>
      <w:r>
        <w:rPr>
          <w:i/>
          <w:spacing w:val="-11"/>
          <w:sz w:val="23"/>
        </w:rPr>
        <w:t> </w:t>
      </w:r>
      <w:r>
        <w:rPr>
          <w:i/>
          <w:spacing w:val="-4"/>
          <w:sz w:val="23"/>
        </w:rPr>
        <w:t>25</w:t>
      </w:r>
      <w:r>
        <w:rPr>
          <w:i/>
          <w:spacing w:val="-10"/>
          <w:sz w:val="23"/>
        </w:rPr>
        <w:t> </w:t>
      </w:r>
      <w:r>
        <w:rPr>
          <w:i/>
          <w:spacing w:val="-4"/>
          <w:sz w:val="23"/>
        </w:rPr>
        <w:t>de</w:t>
      </w:r>
      <w:r>
        <w:rPr>
          <w:i/>
          <w:spacing w:val="-10"/>
          <w:sz w:val="23"/>
        </w:rPr>
        <w:t> </w:t>
      </w:r>
      <w:r>
        <w:rPr>
          <w:i/>
          <w:spacing w:val="-4"/>
          <w:sz w:val="23"/>
        </w:rPr>
        <w:t>mayo </w:t>
      </w:r>
      <w:r>
        <w:rPr>
          <w:i/>
          <w:sz w:val="23"/>
        </w:rPr>
        <w:t>del 2023.</w:t>
      </w:r>
    </w:p>
    <w:p>
      <w:pPr>
        <w:pStyle w:val="BodyText"/>
        <w:spacing w:before="158"/>
        <w:ind w:left="730" w:right="1001"/>
      </w:pPr>
      <w:r>
        <w:rPr/>
        <w:t>Se</w:t>
      </w:r>
      <w:r>
        <w:rPr>
          <w:spacing w:val="-4"/>
        </w:rPr>
        <w:t> </w:t>
      </w:r>
      <w:r>
        <w:rPr/>
        <w:t>trata</w:t>
      </w:r>
      <w:r>
        <w:rPr>
          <w:spacing w:val="-3"/>
        </w:rPr>
        <w:t> </w:t>
      </w:r>
      <w:r>
        <w:rPr/>
        <w:t>contablemente</w:t>
      </w:r>
      <w:r>
        <w:rPr>
          <w:spacing w:val="-3"/>
        </w:rPr>
        <w:t> </w:t>
      </w:r>
      <w:r>
        <w:rPr/>
        <w:t>por</w:t>
      </w:r>
      <w:r>
        <w:rPr>
          <w:spacing w:val="-3"/>
        </w:rPr>
        <w:t> </w:t>
      </w:r>
      <w:r>
        <w:rPr/>
        <w:t>inventario</w:t>
      </w:r>
      <w:r>
        <w:rPr>
          <w:spacing w:val="-3"/>
        </w:rPr>
        <w:t> </w:t>
      </w:r>
      <w:r>
        <w:rPr/>
        <w:t>permanente</w:t>
      </w:r>
      <w:r>
        <w:rPr>
          <w:spacing w:val="-3"/>
        </w:rPr>
        <w:t> </w:t>
      </w:r>
      <w:r>
        <w:rPr/>
        <w:t>y</w:t>
      </w:r>
      <w:r>
        <w:rPr>
          <w:spacing w:val="-5"/>
        </w:rPr>
        <w:t> </w:t>
      </w:r>
      <w:r>
        <w:rPr/>
        <w:t>se</w:t>
      </w:r>
      <w:r>
        <w:rPr>
          <w:spacing w:val="-4"/>
        </w:rPr>
        <w:t> </w:t>
      </w:r>
      <w:r>
        <w:rPr/>
        <w:t>realiza</w:t>
      </w:r>
      <w:r>
        <w:rPr>
          <w:spacing w:val="-3"/>
        </w:rPr>
        <w:t> </w:t>
      </w:r>
      <w:r>
        <w:rPr/>
        <w:t>anualmente</w:t>
      </w:r>
      <w:r>
        <w:rPr>
          <w:spacing w:val="-3"/>
        </w:rPr>
        <w:t> </w:t>
      </w:r>
      <w:r>
        <w:rPr/>
        <w:t>un</w:t>
      </w:r>
      <w:r>
        <w:rPr>
          <w:spacing w:val="-3"/>
        </w:rPr>
        <w:t> </w:t>
      </w:r>
      <w:r>
        <w:rPr/>
        <w:t>recuento</w:t>
      </w:r>
      <w:r>
        <w:rPr>
          <w:spacing w:val="-2"/>
        </w:rPr>
        <w:t> </w:t>
      </w:r>
      <w:r>
        <w:rPr/>
        <w:t>físico ajustando las diferencias.</w:t>
      </w:r>
    </w:p>
    <w:p>
      <w:pPr>
        <w:pStyle w:val="BodyText"/>
        <w:spacing w:before="161"/>
      </w:pPr>
    </w:p>
    <w:p>
      <w:pPr>
        <w:pStyle w:val="Heading6"/>
        <w:ind w:left="730"/>
      </w:pPr>
      <w:r>
        <w:rPr/>
        <w:t>Cual</w:t>
      </w:r>
      <w:r>
        <w:rPr>
          <w:spacing w:val="-6"/>
        </w:rPr>
        <w:t> </w:t>
      </w:r>
      <w:r>
        <w:rPr/>
        <w:t>sistema</w:t>
      </w:r>
      <w:r>
        <w:rPr>
          <w:spacing w:val="-4"/>
        </w:rPr>
        <w:t> </w:t>
      </w:r>
      <w:r>
        <w:rPr/>
        <w:t>de</w:t>
      </w:r>
      <w:r>
        <w:rPr>
          <w:spacing w:val="-3"/>
        </w:rPr>
        <w:t> </w:t>
      </w:r>
      <w:r>
        <w:rPr/>
        <w:t>inventario</w:t>
      </w:r>
      <w:r>
        <w:rPr>
          <w:spacing w:val="-6"/>
        </w:rPr>
        <w:t> </w:t>
      </w:r>
      <w:r>
        <w:rPr/>
        <w:t>utiliza</w:t>
      </w:r>
      <w:r>
        <w:rPr>
          <w:spacing w:val="-4"/>
        </w:rPr>
        <w:t> </w:t>
      </w:r>
      <w:r>
        <w:rPr/>
        <w:t>su</w:t>
      </w:r>
      <w:r>
        <w:rPr>
          <w:spacing w:val="-3"/>
        </w:rPr>
        <w:t> </w:t>
      </w:r>
      <w:r>
        <w:rPr/>
        <w:t>institución</w:t>
      </w:r>
      <w:r>
        <w:rPr>
          <w:spacing w:val="-4"/>
        </w:rPr>
        <w:t> </w:t>
      </w:r>
      <w:r>
        <w:rPr/>
        <w:t>Periódico</w:t>
      </w:r>
      <w:r>
        <w:rPr>
          <w:spacing w:val="-3"/>
        </w:rPr>
        <w:t> </w:t>
      </w:r>
      <w:r>
        <w:rPr/>
        <w:t>o</w:t>
      </w:r>
      <w:r>
        <w:rPr>
          <w:spacing w:val="-2"/>
        </w:rPr>
        <w:t> Permanente:</w:t>
      </w:r>
    </w:p>
    <w:p>
      <w:pPr>
        <w:pStyle w:val="BodyText"/>
        <w:spacing w:before="160"/>
        <w:ind w:left="730" w:right="925"/>
        <w:jc w:val="both"/>
      </w:pPr>
      <w:r>
        <w:rPr/>
        <w:t>La</w:t>
      </w:r>
      <w:r>
        <w:rPr>
          <w:spacing w:val="-11"/>
        </w:rPr>
        <w:t> </w:t>
      </w:r>
      <w:r>
        <w:rPr/>
        <w:t>institución</w:t>
      </w:r>
      <w:r>
        <w:rPr>
          <w:spacing w:val="-10"/>
        </w:rPr>
        <w:t> </w:t>
      </w:r>
      <w:r>
        <w:rPr/>
        <w:t>utiliza</w:t>
      </w:r>
      <w:r>
        <w:rPr>
          <w:spacing w:val="-13"/>
        </w:rPr>
        <w:t> </w:t>
      </w:r>
      <w:r>
        <w:rPr/>
        <w:t>el</w:t>
      </w:r>
      <w:r>
        <w:rPr>
          <w:spacing w:val="-12"/>
        </w:rPr>
        <w:t> </w:t>
      </w:r>
      <w:r>
        <w:rPr/>
        <w:t>sistema</w:t>
      </w:r>
      <w:r>
        <w:rPr>
          <w:spacing w:val="-11"/>
        </w:rPr>
        <w:t> </w:t>
      </w:r>
      <w:r>
        <w:rPr/>
        <w:t>permanente.</w:t>
      </w:r>
      <w:r>
        <w:rPr>
          <w:spacing w:val="-12"/>
        </w:rPr>
        <w:t> </w:t>
      </w:r>
      <w:r>
        <w:rPr/>
        <w:t>Registro</w:t>
      </w:r>
      <w:r>
        <w:rPr>
          <w:spacing w:val="-12"/>
        </w:rPr>
        <w:t> </w:t>
      </w:r>
      <w:r>
        <w:rPr/>
        <w:t>utilizado</w:t>
      </w:r>
      <w:r>
        <w:rPr>
          <w:spacing w:val="-10"/>
        </w:rPr>
        <w:t> </w:t>
      </w:r>
      <w:r>
        <w:rPr/>
        <w:t>para</w:t>
      </w:r>
      <w:r>
        <w:rPr>
          <w:spacing w:val="-11"/>
        </w:rPr>
        <w:t> </w:t>
      </w:r>
      <w:r>
        <w:rPr/>
        <w:t>contabilizar</w:t>
      </w:r>
      <w:r>
        <w:rPr>
          <w:spacing w:val="-11"/>
        </w:rPr>
        <w:t> </w:t>
      </w:r>
      <w:r>
        <w:rPr/>
        <w:t>los</w:t>
      </w:r>
      <w:r>
        <w:rPr>
          <w:spacing w:val="-12"/>
        </w:rPr>
        <w:t> </w:t>
      </w:r>
      <w:r>
        <w:rPr/>
        <w:t>inventarios</w:t>
      </w:r>
      <w:r>
        <w:rPr>
          <w:spacing w:val="-12"/>
        </w:rPr>
        <w:t> </w:t>
      </w:r>
      <w:r>
        <w:rPr/>
        <w:t>de</w:t>
      </w:r>
      <w:r>
        <w:rPr>
          <w:spacing w:val="-12"/>
        </w:rPr>
        <w:t> </w:t>
      </w:r>
      <w:r>
        <w:rPr/>
        <w:t>mer-cadería</w:t>
      </w:r>
      <w:r>
        <w:rPr>
          <w:spacing w:val="-7"/>
        </w:rPr>
        <w:t> </w:t>
      </w:r>
      <w:r>
        <w:rPr/>
        <w:t>para</w:t>
      </w:r>
      <w:r>
        <w:rPr>
          <w:spacing w:val="-7"/>
        </w:rPr>
        <w:t> </w:t>
      </w:r>
      <w:r>
        <w:rPr/>
        <w:t>la</w:t>
      </w:r>
      <w:r>
        <w:rPr>
          <w:spacing w:val="-7"/>
        </w:rPr>
        <w:t> </w:t>
      </w:r>
      <w:r>
        <w:rPr/>
        <w:t>venta</w:t>
      </w:r>
      <w:r>
        <w:rPr>
          <w:spacing w:val="-6"/>
        </w:rPr>
        <w:t> </w:t>
      </w:r>
      <w:r>
        <w:rPr/>
        <w:t>en</w:t>
      </w:r>
      <w:r>
        <w:rPr>
          <w:spacing w:val="-6"/>
        </w:rPr>
        <w:t> </w:t>
      </w:r>
      <w:r>
        <w:rPr/>
        <w:t>forma</w:t>
      </w:r>
      <w:r>
        <w:rPr>
          <w:spacing w:val="-7"/>
        </w:rPr>
        <w:t> </w:t>
      </w:r>
      <w:r>
        <w:rPr/>
        <w:t>inmediata.</w:t>
      </w:r>
      <w:r>
        <w:rPr>
          <w:spacing w:val="-5"/>
        </w:rPr>
        <w:t> </w:t>
      </w:r>
      <w:r>
        <w:rPr/>
        <w:t>Conforme</w:t>
      </w:r>
      <w:r>
        <w:rPr>
          <w:spacing w:val="-5"/>
        </w:rPr>
        <w:t> </w:t>
      </w:r>
      <w:r>
        <w:rPr/>
        <w:t>se</w:t>
      </w:r>
      <w:r>
        <w:rPr>
          <w:spacing w:val="-7"/>
        </w:rPr>
        <w:t> </w:t>
      </w:r>
      <w:r>
        <w:rPr/>
        <w:t>compra</w:t>
      </w:r>
      <w:r>
        <w:rPr>
          <w:spacing w:val="-7"/>
        </w:rPr>
        <w:t> </w:t>
      </w:r>
      <w:r>
        <w:rPr/>
        <w:t>y</w:t>
      </w:r>
      <w:r>
        <w:rPr>
          <w:spacing w:val="-7"/>
        </w:rPr>
        <w:t> </w:t>
      </w:r>
      <w:r>
        <w:rPr/>
        <w:t>se</w:t>
      </w:r>
      <w:r>
        <w:rPr>
          <w:spacing w:val="-5"/>
        </w:rPr>
        <w:t> </w:t>
      </w:r>
      <w:r>
        <w:rPr/>
        <w:t>vende,</w:t>
      </w:r>
      <w:r>
        <w:rPr>
          <w:spacing w:val="-6"/>
        </w:rPr>
        <w:t> </w:t>
      </w:r>
      <w:r>
        <w:rPr/>
        <w:t>se</w:t>
      </w:r>
      <w:r>
        <w:rPr>
          <w:spacing w:val="-5"/>
        </w:rPr>
        <w:t> </w:t>
      </w:r>
      <w:r>
        <w:rPr/>
        <w:t>va</w:t>
      </w:r>
      <w:r>
        <w:rPr>
          <w:spacing w:val="-7"/>
        </w:rPr>
        <w:t> </w:t>
      </w:r>
      <w:r>
        <w:rPr/>
        <w:t>afectando</w:t>
      </w:r>
      <w:r>
        <w:rPr>
          <w:spacing w:val="-8"/>
        </w:rPr>
        <w:t> </w:t>
      </w:r>
      <w:r>
        <w:rPr/>
        <w:t>el</w:t>
      </w:r>
      <w:r>
        <w:rPr>
          <w:spacing w:val="-7"/>
        </w:rPr>
        <w:t> </w:t>
      </w:r>
      <w:r>
        <w:rPr/>
        <w:t>costo</w:t>
      </w:r>
      <w:r>
        <w:rPr>
          <w:spacing w:val="-5"/>
        </w:rPr>
        <w:t> </w:t>
      </w:r>
      <w:r>
        <w:rPr/>
        <w:t>de la mercadería vendida.</w:t>
      </w:r>
    </w:p>
    <w:p>
      <w:pPr>
        <w:pStyle w:val="Heading6"/>
        <w:spacing w:before="159"/>
        <w:ind w:left="730"/>
      </w:pPr>
      <w:r>
        <w:rPr>
          <w:spacing w:val="-2"/>
        </w:rPr>
        <w:t>Revelación:</w:t>
      </w:r>
    </w:p>
    <w:p>
      <w:pPr>
        <w:pStyle w:val="BodyText"/>
        <w:rPr>
          <w:b/>
        </w:rPr>
      </w:pPr>
    </w:p>
    <w:p>
      <w:pPr>
        <w:pStyle w:val="BodyText"/>
        <w:ind w:left="730" w:right="922"/>
        <w:jc w:val="both"/>
      </w:pPr>
      <w:r>
        <w:rPr/>
        <w:t>La cuenta Materiales y suministros consumidos, representa el 0,15% del total del Gastos, que comparado al periodo anterior genera una variación absoluta de ¢ -21.039,26 que corresponde a disminución del -9,92% de recursos disponibles.</w:t>
      </w:r>
    </w:p>
    <w:p>
      <w:pPr>
        <w:pStyle w:val="BodyText"/>
        <w:spacing w:before="2"/>
      </w:pPr>
    </w:p>
    <w:p>
      <w:pPr>
        <w:pStyle w:val="BodyText"/>
        <w:spacing w:line="259" w:lineRule="auto"/>
        <w:ind w:left="730" w:right="923"/>
        <w:jc w:val="both"/>
      </w:pPr>
      <w:r>
        <w:rPr/>
        <w:t>Las Políticas Contables aplicables se</w:t>
      </w:r>
      <w:r>
        <w:rPr>
          <w:spacing w:val="-2"/>
        </w:rPr>
        <w:t> </w:t>
      </w:r>
      <w:r>
        <w:rPr/>
        <w:t>muestran en el anexo No.3, las políticas relevantes a esta norma se muestran a continuación:</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7584">
                <wp:simplePos x="0" y="0"/>
                <wp:positionH relativeFrom="page">
                  <wp:posOffset>9525</wp:posOffset>
                </wp:positionH>
                <wp:positionV relativeFrom="page">
                  <wp:posOffset>297208</wp:posOffset>
                </wp:positionV>
                <wp:extent cx="7762875" cy="9748520"/>
                <wp:effectExtent l="0" t="0" r="0" b="0"/>
                <wp:wrapNone/>
                <wp:docPr id="705" name="Group 705"/>
                <wp:cNvGraphicFramePr>
                  <a:graphicFrameLocks/>
                </wp:cNvGraphicFramePr>
                <a:graphic>
                  <a:graphicData uri="http://schemas.microsoft.com/office/word/2010/wordprocessingGroup">
                    <wpg:wgp>
                      <wpg:cNvPr id="705" name="Group 705"/>
                      <wpg:cNvGrpSpPr/>
                      <wpg:grpSpPr>
                        <a:xfrm>
                          <a:off x="0" y="0"/>
                          <a:ext cx="7762875" cy="9748520"/>
                          <a:chExt cx="7762875" cy="9748520"/>
                        </a:xfrm>
                      </wpg:grpSpPr>
                      <pic:pic>
                        <pic:nvPicPr>
                          <pic:cNvPr id="706" name="Image 706"/>
                          <pic:cNvPicPr/>
                        </pic:nvPicPr>
                        <pic:blipFill>
                          <a:blip r:embed="rId5" cstate="print"/>
                          <a:stretch>
                            <a:fillRect/>
                          </a:stretch>
                        </pic:blipFill>
                        <pic:spPr>
                          <a:xfrm>
                            <a:off x="0" y="0"/>
                            <a:ext cx="7762874" cy="9748489"/>
                          </a:xfrm>
                          <a:prstGeom prst="rect">
                            <a:avLst/>
                          </a:prstGeom>
                        </pic:spPr>
                      </pic:pic>
                      <wps:wsp>
                        <wps:cNvPr id="707" name="Graphic 70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48896" id="docshapegroup683" coordorigin="15,468" coordsize="12225,15352">
                <v:shape style="position:absolute;left:15;top:468;width:12225;height:15352" type="#_x0000_t75" id="docshape684" stroked="false">
                  <v:imagedata r:id="rId5" o:title=""/>
                </v:shape>
                <v:rect style="position:absolute;left:1673;top:2028;width:8897;height:15" id="docshape68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143</w:t>
      </w:r>
    </w:p>
    <w:p>
      <w:pPr>
        <w:pStyle w:val="BodyText"/>
      </w:pPr>
    </w:p>
    <w:p>
      <w:pPr>
        <w:pStyle w:val="BodyText"/>
      </w:pPr>
    </w:p>
    <w:p>
      <w:pPr>
        <w:pStyle w:val="BodyText"/>
      </w:pPr>
    </w:p>
    <w:p>
      <w:pPr>
        <w:pStyle w:val="BodyText"/>
        <w:spacing w:before="75"/>
      </w:pPr>
    </w:p>
    <w:p>
      <w:pPr>
        <w:spacing w:before="1"/>
        <w:ind w:left="622" w:right="0" w:firstLine="0"/>
        <w:jc w:val="left"/>
        <w:rPr>
          <w:b/>
          <w:sz w:val="22"/>
        </w:rPr>
      </w:pPr>
      <w:bookmarkStart w:name="_bookmark112" w:id="113"/>
      <w:bookmarkEnd w:id="113"/>
      <w:r>
        <w:rPr/>
      </w:r>
      <w:r>
        <w:rPr>
          <w:b/>
          <w:sz w:val="22"/>
        </w:rPr>
        <w:t>NOTA</w:t>
      </w:r>
      <w:r>
        <w:rPr>
          <w:b/>
          <w:spacing w:val="-1"/>
          <w:sz w:val="22"/>
        </w:rPr>
        <w:t> </w:t>
      </w:r>
      <w:r>
        <w:rPr>
          <w:b/>
          <w:sz w:val="22"/>
        </w:rPr>
        <w:t>N° </w:t>
      </w:r>
      <w:r>
        <w:rPr>
          <w:b/>
          <w:spacing w:val="-5"/>
          <w:sz w:val="22"/>
        </w:rPr>
        <w:t>62</w:t>
      </w:r>
    </w:p>
    <w:p>
      <w:pPr>
        <w:pStyle w:val="BodyText"/>
        <w:spacing w:before="114"/>
        <w:rPr>
          <w:b/>
        </w:rPr>
      </w:pPr>
    </w:p>
    <w:p>
      <w:pPr>
        <w:pStyle w:val="BodyText"/>
        <w:ind w:left="622"/>
      </w:pPr>
      <w:r>
        <w:rPr/>
        <w:t>Consumo</w:t>
      </w:r>
      <w:r>
        <w:rPr>
          <w:spacing w:val="-6"/>
        </w:rPr>
        <w:t> </w:t>
      </w:r>
      <w:r>
        <w:rPr/>
        <w:t>de</w:t>
      </w:r>
      <w:r>
        <w:rPr>
          <w:spacing w:val="-4"/>
        </w:rPr>
        <w:t> </w:t>
      </w:r>
      <w:r>
        <w:rPr/>
        <w:t>bienes</w:t>
      </w:r>
      <w:r>
        <w:rPr>
          <w:spacing w:val="-4"/>
        </w:rPr>
        <w:t> </w:t>
      </w:r>
      <w:r>
        <w:rPr/>
        <w:t>distintos</w:t>
      </w:r>
      <w:r>
        <w:rPr>
          <w:spacing w:val="-4"/>
        </w:rPr>
        <w:t> </w:t>
      </w:r>
      <w:r>
        <w:rPr/>
        <w:t>de</w:t>
      </w:r>
      <w:r>
        <w:rPr>
          <w:spacing w:val="-5"/>
        </w:rPr>
        <w:t> </w:t>
      </w:r>
      <w:r>
        <w:rPr>
          <w:spacing w:val="-2"/>
        </w:rPr>
        <w:t>inventarios</w:t>
      </w:r>
    </w:p>
    <w:p>
      <w:pPr>
        <w:pStyle w:val="BodyText"/>
        <w:spacing w:before="10"/>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3011"/>
        <w:gridCol w:w="572"/>
        <w:gridCol w:w="1665"/>
        <w:gridCol w:w="1597"/>
        <w:gridCol w:w="1069"/>
      </w:tblGrid>
      <w:tr>
        <w:trPr>
          <w:trHeight w:val="323" w:hRule="atLeast"/>
        </w:trPr>
        <w:tc>
          <w:tcPr>
            <w:tcW w:w="1126" w:type="dxa"/>
            <w:vMerge w:val="restart"/>
            <w:shd w:val="clear" w:color="auto" w:fill="365F92"/>
          </w:tcPr>
          <w:p>
            <w:pPr>
              <w:pStyle w:val="TableParagraph"/>
              <w:spacing w:before="128"/>
              <w:ind w:left="69"/>
              <w:rPr>
                <w:sz w:val="20"/>
              </w:rPr>
            </w:pPr>
            <w:r>
              <w:rPr>
                <w:spacing w:val="-2"/>
                <w:sz w:val="20"/>
              </w:rPr>
              <w:t>Cuenta</w:t>
            </w:r>
          </w:p>
        </w:tc>
        <w:tc>
          <w:tcPr>
            <w:tcW w:w="3011" w:type="dxa"/>
            <w:vMerge w:val="restart"/>
            <w:shd w:val="clear" w:color="auto" w:fill="365F92"/>
          </w:tcPr>
          <w:p>
            <w:pPr>
              <w:pStyle w:val="TableParagraph"/>
              <w:spacing w:before="219"/>
              <w:ind w:left="11"/>
              <w:jc w:val="center"/>
              <w:rPr>
                <w:sz w:val="20"/>
              </w:rPr>
            </w:pPr>
            <w:r>
              <w:rPr>
                <w:spacing w:val="-2"/>
                <w:sz w:val="20"/>
              </w:rPr>
              <w:t>Descripción</w:t>
            </w:r>
          </w:p>
        </w:tc>
        <w:tc>
          <w:tcPr>
            <w:tcW w:w="572" w:type="dxa"/>
            <w:vMerge w:val="restart"/>
            <w:shd w:val="clear" w:color="auto" w:fill="365F92"/>
          </w:tcPr>
          <w:p>
            <w:pPr>
              <w:pStyle w:val="TableParagraph"/>
              <w:spacing w:before="219"/>
              <w:ind w:left="87"/>
              <w:rPr>
                <w:sz w:val="20"/>
              </w:rPr>
            </w:pPr>
            <w:r>
              <w:rPr>
                <w:spacing w:val="-4"/>
                <w:sz w:val="20"/>
              </w:rPr>
              <w:t>Nota</w:t>
            </w:r>
          </w:p>
        </w:tc>
        <w:tc>
          <w:tcPr>
            <w:tcW w:w="1665" w:type="dxa"/>
            <w:vMerge w:val="restart"/>
            <w:shd w:val="clear" w:color="auto" w:fill="365F92"/>
          </w:tcPr>
          <w:p>
            <w:pPr>
              <w:pStyle w:val="TableParagraph"/>
              <w:spacing w:before="219"/>
              <w:ind w:left="257"/>
              <w:rPr>
                <w:sz w:val="20"/>
              </w:rPr>
            </w:pPr>
            <w:r>
              <w:rPr>
                <w:sz w:val="20"/>
              </w:rPr>
              <w:t>Periodo</w:t>
            </w:r>
            <w:r>
              <w:rPr>
                <w:spacing w:val="-7"/>
                <w:sz w:val="20"/>
              </w:rPr>
              <w:t> </w:t>
            </w:r>
            <w:r>
              <w:rPr>
                <w:spacing w:val="-2"/>
                <w:sz w:val="20"/>
              </w:rPr>
              <w:t>Actual</w:t>
            </w:r>
          </w:p>
        </w:tc>
        <w:tc>
          <w:tcPr>
            <w:tcW w:w="1597" w:type="dxa"/>
            <w:vMerge w:val="restart"/>
            <w:shd w:val="clear" w:color="auto" w:fill="365F92"/>
          </w:tcPr>
          <w:p>
            <w:pPr>
              <w:pStyle w:val="TableParagraph"/>
              <w:spacing w:before="219"/>
              <w:ind w:left="140"/>
              <w:rPr>
                <w:sz w:val="20"/>
              </w:rPr>
            </w:pPr>
            <w:r>
              <w:rPr>
                <w:sz w:val="20"/>
              </w:rPr>
              <w:t>Periodo</w:t>
            </w:r>
            <w:r>
              <w:rPr>
                <w:spacing w:val="-7"/>
                <w:sz w:val="20"/>
              </w:rPr>
              <w:t> </w:t>
            </w:r>
            <w:r>
              <w:rPr>
                <w:spacing w:val="-2"/>
                <w:sz w:val="20"/>
              </w:rPr>
              <w:t>Anterior</w:t>
            </w:r>
          </w:p>
        </w:tc>
        <w:tc>
          <w:tcPr>
            <w:tcW w:w="1069" w:type="dxa"/>
            <w:shd w:val="clear" w:color="auto" w:fill="365F92"/>
          </w:tcPr>
          <w:p>
            <w:pPr>
              <w:pStyle w:val="TableParagraph"/>
              <w:spacing w:before="46"/>
              <w:ind w:left="16" w:right="5"/>
              <w:jc w:val="center"/>
              <w:rPr>
                <w:sz w:val="20"/>
              </w:rPr>
            </w:pPr>
            <w:r>
              <w:rPr>
                <w:spacing w:val="-2"/>
                <w:sz w:val="20"/>
              </w:rPr>
              <w:t>Diferencia</w:t>
            </w:r>
          </w:p>
        </w:tc>
      </w:tr>
      <w:tr>
        <w:trPr>
          <w:trHeight w:val="323" w:hRule="atLeast"/>
        </w:trPr>
        <w:tc>
          <w:tcPr>
            <w:tcW w:w="1126" w:type="dxa"/>
            <w:vMerge/>
            <w:tcBorders>
              <w:top w:val="nil"/>
            </w:tcBorders>
            <w:shd w:val="clear" w:color="auto" w:fill="365F92"/>
          </w:tcPr>
          <w:p>
            <w:pPr>
              <w:rPr>
                <w:sz w:val="2"/>
                <w:szCs w:val="2"/>
              </w:rPr>
            </w:pPr>
          </w:p>
        </w:tc>
        <w:tc>
          <w:tcPr>
            <w:tcW w:w="3011"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665" w:type="dxa"/>
            <w:vMerge/>
            <w:tcBorders>
              <w:top w:val="nil"/>
            </w:tcBorders>
            <w:shd w:val="clear" w:color="auto" w:fill="365F92"/>
          </w:tcPr>
          <w:p>
            <w:pPr>
              <w:rPr>
                <w:sz w:val="2"/>
                <w:szCs w:val="2"/>
              </w:rPr>
            </w:pPr>
          </w:p>
        </w:tc>
        <w:tc>
          <w:tcPr>
            <w:tcW w:w="1597" w:type="dxa"/>
            <w:vMerge/>
            <w:tcBorders>
              <w:top w:val="nil"/>
            </w:tcBorders>
            <w:shd w:val="clear" w:color="auto" w:fill="365F92"/>
          </w:tcPr>
          <w:p>
            <w:pPr>
              <w:rPr>
                <w:sz w:val="2"/>
                <w:szCs w:val="2"/>
              </w:rPr>
            </w:pPr>
          </w:p>
        </w:tc>
        <w:tc>
          <w:tcPr>
            <w:tcW w:w="1069" w:type="dxa"/>
            <w:shd w:val="clear" w:color="auto" w:fill="365F92"/>
          </w:tcPr>
          <w:p>
            <w:pPr>
              <w:pStyle w:val="TableParagraph"/>
              <w:spacing w:before="46"/>
              <w:ind w:left="16" w:right="9"/>
              <w:jc w:val="center"/>
              <w:rPr>
                <w:sz w:val="20"/>
              </w:rPr>
            </w:pPr>
            <w:r>
              <w:rPr>
                <w:spacing w:val="-10"/>
                <w:sz w:val="20"/>
              </w:rPr>
              <w:t>%</w:t>
            </w:r>
          </w:p>
        </w:tc>
      </w:tr>
      <w:tr>
        <w:trPr>
          <w:trHeight w:val="542" w:hRule="atLeast"/>
        </w:trPr>
        <w:tc>
          <w:tcPr>
            <w:tcW w:w="1126" w:type="dxa"/>
          </w:tcPr>
          <w:p>
            <w:pPr>
              <w:pStyle w:val="TableParagraph"/>
              <w:spacing w:before="157"/>
              <w:ind w:left="69"/>
              <w:rPr>
                <w:b/>
                <w:sz w:val="20"/>
              </w:rPr>
            </w:pPr>
            <w:r>
              <w:rPr>
                <w:b/>
                <w:spacing w:val="-2"/>
                <w:sz w:val="20"/>
              </w:rPr>
              <w:t>5.1.4.</w:t>
            </w:r>
          </w:p>
        </w:tc>
        <w:tc>
          <w:tcPr>
            <w:tcW w:w="3011" w:type="dxa"/>
          </w:tcPr>
          <w:p>
            <w:pPr>
              <w:pStyle w:val="TableParagraph"/>
              <w:spacing w:before="42"/>
              <w:ind w:left="66"/>
              <w:rPr>
                <w:b/>
                <w:sz w:val="20"/>
              </w:rPr>
            </w:pPr>
            <w:r>
              <w:rPr>
                <w:b/>
                <w:sz w:val="20"/>
              </w:rPr>
              <w:t>Consumo</w:t>
            </w:r>
            <w:r>
              <w:rPr>
                <w:b/>
                <w:spacing w:val="-9"/>
                <w:sz w:val="20"/>
              </w:rPr>
              <w:t> </w:t>
            </w:r>
            <w:r>
              <w:rPr>
                <w:b/>
                <w:sz w:val="20"/>
              </w:rPr>
              <w:t>de</w:t>
            </w:r>
            <w:r>
              <w:rPr>
                <w:b/>
                <w:spacing w:val="-10"/>
                <w:sz w:val="20"/>
              </w:rPr>
              <w:t> </w:t>
            </w:r>
            <w:r>
              <w:rPr>
                <w:b/>
                <w:sz w:val="20"/>
              </w:rPr>
              <w:t>bienes</w:t>
            </w:r>
            <w:r>
              <w:rPr>
                <w:b/>
                <w:spacing w:val="-10"/>
                <w:sz w:val="20"/>
              </w:rPr>
              <w:t> </w:t>
            </w:r>
            <w:r>
              <w:rPr>
                <w:b/>
                <w:sz w:val="20"/>
              </w:rPr>
              <w:t>distintos</w:t>
            </w:r>
            <w:r>
              <w:rPr>
                <w:b/>
                <w:spacing w:val="-10"/>
                <w:sz w:val="20"/>
              </w:rPr>
              <w:t> </w:t>
            </w:r>
            <w:r>
              <w:rPr>
                <w:b/>
                <w:sz w:val="20"/>
              </w:rPr>
              <w:t>de </w:t>
            </w:r>
            <w:r>
              <w:rPr>
                <w:b/>
                <w:spacing w:val="-2"/>
                <w:sz w:val="20"/>
              </w:rPr>
              <w:t>inventarios</w:t>
            </w:r>
          </w:p>
        </w:tc>
        <w:tc>
          <w:tcPr>
            <w:tcW w:w="572" w:type="dxa"/>
          </w:tcPr>
          <w:p>
            <w:pPr>
              <w:pStyle w:val="TableParagraph"/>
              <w:spacing w:before="157"/>
              <w:ind w:left="185"/>
              <w:rPr>
                <w:b/>
                <w:sz w:val="20"/>
              </w:rPr>
            </w:pPr>
            <w:r>
              <w:rPr>
                <w:b/>
                <w:spacing w:val="-5"/>
                <w:sz w:val="20"/>
              </w:rPr>
              <w:t>62</w:t>
            </w:r>
          </w:p>
        </w:tc>
        <w:tc>
          <w:tcPr>
            <w:tcW w:w="1665" w:type="dxa"/>
          </w:tcPr>
          <w:p>
            <w:pPr>
              <w:pStyle w:val="TableParagraph"/>
              <w:spacing w:before="157"/>
              <w:ind w:left="386"/>
              <w:rPr>
                <w:b/>
                <w:sz w:val="20"/>
              </w:rPr>
            </w:pPr>
            <w:r>
              <w:rPr>
                <w:b/>
                <w:sz w:val="20"/>
              </w:rPr>
              <w:t>552</w:t>
            </w:r>
            <w:r>
              <w:rPr>
                <w:b/>
                <w:spacing w:val="-3"/>
                <w:sz w:val="20"/>
              </w:rPr>
              <w:t> </w:t>
            </w:r>
            <w:r>
              <w:rPr>
                <w:b/>
                <w:spacing w:val="-2"/>
                <w:sz w:val="20"/>
              </w:rPr>
              <w:t>354,78</w:t>
            </w:r>
          </w:p>
        </w:tc>
        <w:tc>
          <w:tcPr>
            <w:tcW w:w="1597" w:type="dxa"/>
          </w:tcPr>
          <w:p>
            <w:pPr>
              <w:pStyle w:val="TableParagraph"/>
              <w:spacing w:before="157"/>
              <w:ind w:left="351"/>
              <w:rPr>
                <w:b/>
                <w:sz w:val="20"/>
              </w:rPr>
            </w:pPr>
            <w:r>
              <w:rPr>
                <w:b/>
                <w:sz w:val="20"/>
              </w:rPr>
              <w:t>559</w:t>
            </w:r>
            <w:r>
              <w:rPr>
                <w:b/>
                <w:spacing w:val="-3"/>
                <w:sz w:val="20"/>
              </w:rPr>
              <w:t> </w:t>
            </w:r>
            <w:r>
              <w:rPr>
                <w:b/>
                <w:spacing w:val="-2"/>
                <w:sz w:val="20"/>
              </w:rPr>
              <w:t>363,91</w:t>
            </w:r>
          </w:p>
        </w:tc>
        <w:tc>
          <w:tcPr>
            <w:tcW w:w="1069" w:type="dxa"/>
          </w:tcPr>
          <w:p>
            <w:pPr>
              <w:pStyle w:val="TableParagraph"/>
              <w:spacing w:before="157"/>
              <w:ind w:left="16" w:right="7"/>
              <w:jc w:val="center"/>
              <w:rPr>
                <w:b/>
                <w:sz w:val="20"/>
              </w:rPr>
            </w:pPr>
            <w:r>
              <w:rPr>
                <w:b/>
                <w:spacing w:val="-2"/>
                <w:sz w:val="20"/>
              </w:rPr>
              <w:t>-1,25%</w:t>
            </w:r>
          </w:p>
        </w:tc>
      </w:tr>
    </w:tbl>
    <w:p>
      <w:pPr>
        <w:pStyle w:val="Heading6"/>
        <w:spacing w:before="240"/>
        <w:ind w:left="622"/>
      </w:pPr>
      <w:r>
        <w:rPr>
          <w:spacing w:val="-2"/>
          <w:u w:val="single"/>
        </w:rPr>
        <w:t>Revelación:</w:t>
      </w:r>
    </w:p>
    <w:p>
      <w:pPr>
        <w:pStyle w:val="BodyText"/>
        <w:spacing w:before="179"/>
        <w:ind w:left="622" w:right="976"/>
        <w:jc w:val="both"/>
      </w:pPr>
      <w:r>
        <w:rPr/>
        <w:t>La cuenta Consumo de bienes distintos de inventarios, representa el 0,42% del total del Gastos, que comparado al periodo anterior genera una variación absoluta de ¢ -7.009,13 que corresponde a una disminución del -1,25% de recursos disponibles.</w:t>
      </w:r>
    </w:p>
    <w:p>
      <w:pPr>
        <w:pStyle w:val="BodyText"/>
        <w:spacing w:before="179"/>
        <w:rPr>
          <w:sz w:val="20"/>
        </w:rPr>
      </w:pPr>
      <w:r>
        <w:rPr>
          <w:sz w:val="20"/>
        </w:rPr>
        <mc:AlternateContent>
          <mc:Choice Requires="wps">
            <w:drawing>
              <wp:anchor distT="0" distB="0" distL="0" distR="0" allowOverlap="1" layoutInCell="1" locked="0" behindDoc="1" simplePos="0" relativeHeight="487730176">
                <wp:simplePos x="0" y="0"/>
                <wp:positionH relativeFrom="page">
                  <wp:posOffset>1080820</wp:posOffset>
                </wp:positionH>
                <wp:positionV relativeFrom="paragraph">
                  <wp:posOffset>276939</wp:posOffset>
                </wp:positionV>
                <wp:extent cx="5715000" cy="3210560"/>
                <wp:effectExtent l="0" t="0" r="0" b="0"/>
                <wp:wrapTopAndBottom/>
                <wp:docPr id="708" name="Textbox 708"/>
                <wp:cNvGraphicFramePr>
                  <a:graphicFrameLocks/>
                </wp:cNvGraphicFramePr>
                <a:graphic>
                  <a:graphicData uri="http://schemas.microsoft.com/office/word/2010/wordprocessingShape">
                    <wps:wsp>
                      <wps:cNvPr id="708" name="Textbox 708"/>
                      <wps:cNvSpPr txBox="1"/>
                      <wps:spPr>
                        <a:xfrm>
                          <a:off x="0" y="0"/>
                          <a:ext cx="5715000" cy="321056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La cuenta de gastos por consumo de bienes distintos de inventarios incluye depreciación y amortización, se refiere</w:t>
                            </w:r>
                            <w:r>
                              <w:rPr>
                                <w:spacing w:val="-1"/>
                              </w:rPr>
                              <w:t> </w:t>
                            </w:r>
                            <w:r>
                              <w:rPr/>
                              <w:t>al reconocimiento contable periódico del desgaste, o la pérdida</w:t>
                            </w:r>
                            <w:r>
                              <w:rPr>
                                <w:spacing w:val="-1"/>
                              </w:rPr>
                              <w:t> </w:t>
                            </w:r>
                            <w:r>
                              <w:rPr/>
                              <w:t>del potencial de servicio y de beneficios económicos futuros, de los activos de propiedad, planta, equipo e intangibles bajo control de la institución.</w:t>
                            </w:r>
                          </w:p>
                          <w:p>
                            <w:pPr>
                              <w:pStyle w:val="BodyText"/>
                              <w:spacing w:line="276" w:lineRule="auto" w:before="120"/>
                              <w:ind w:left="103" w:right="103"/>
                              <w:jc w:val="both"/>
                            </w:pPr>
                            <w:r>
                              <w:rPr/>
                              <w:t>La depreciación se aplica a los activos tangibles, como los bienes de propiedad, planta y equipo, mientras que la amortización se refiere a los activos intangibles como los sistemas informáticos, a lo largo del tiempo se refleja el deterioro del valor de los activos, de acuerdo con las políticas contables </w:t>
                            </w:r>
                            <w:r>
                              <w:rPr>
                                <w:spacing w:val="-2"/>
                              </w:rPr>
                              <w:t>establecidas.</w:t>
                            </w:r>
                          </w:p>
                          <w:p>
                            <w:pPr>
                              <w:pStyle w:val="BodyText"/>
                              <w:spacing w:line="276" w:lineRule="auto" w:before="120"/>
                              <w:ind w:left="103" w:right="101"/>
                              <w:jc w:val="both"/>
                            </w:pPr>
                            <w:r>
                              <w:rPr/>
                              <w:t>Los gastos por depreciación y amortización son registrados en los estados de resultados del período correspondiente, siguiendo el método de línea recta. Esto implica que el gasto de depreciación se distribuye</w:t>
                            </w:r>
                            <w:r>
                              <w:rPr>
                                <w:spacing w:val="-8"/>
                              </w:rPr>
                              <w:t> </w:t>
                            </w:r>
                            <w:r>
                              <w:rPr/>
                              <w:t>de</w:t>
                            </w:r>
                            <w:r>
                              <w:rPr>
                                <w:spacing w:val="-9"/>
                              </w:rPr>
                              <w:t> </w:t>
                            </w:r>
                            <w:r>
                              <w:rPr/>
                              <w:t>manera</w:t>
                            </w:r>
                            <w:r>
                              <w:rPr>
                                <w:spacing w:val="-8"/>
                              </w:rPr>
                              <w:t> </w:t>
                            </w:r>
                            <w:r>
                              <w:rPr/>
                              <w:t>uniforme</w:t>
                            </w:r>
                            <w:r>
                              <w:rPr>
                                <w:spacing w:val="-8"/>
                              </w:rPr>
                              <w:t> </w:t>
                            </w:r>
                            <w:r>
                              <w:rPr/>
                              <w:t>durante</w:t>
                            </w:r>
                            <w:r>
                              <w:rPr>
                                <w:spacing w:val="-8"/>
                              </w:rPr>
                              <w:t> </w:t>
                            </w:r>
                            <w:r>
                              <w:rPr/>
                              <w:t>la</w:t>
                            </w:r>
                            <w:r>
                              <w:rPr>
                                <w:spacing w:val="-8"/>
                              </w:rPr>
                              <w:t> </w:t>
                            </w:r>
                            <w:r>
                              <w:rPr/>
                              <w:t>vida</w:t>
                            </w:r>
                            <w:r>
                              <w:rPr>
                                <w:spacing w:val="-8"/>
                              </w:rPr>
                              <w:t> </w:t>
                            </w:r>
                            <w:r>
                              <w:rPr/>
                              <w:t>útil</w:t>
                            </w:r>
                            <w:r>
                              <w:rPr>
                                <w:spacing w:val="-8"/>
                              </w:rPr>
                              <w:t> </w:t>
                            </w:r>
                            <w:r>
                              <w:rPr/>
                              <w:t>estimada</w:t>
                            </w:r>
                            <w:r>
                              <w:rPr>
                                <w:spacing w:val="-8"/>
                              </w:rPr>
                              <w:t> </w:t>
                            </w:r>
                            <w:r>
                              <w:rPr/>
                              <w:t>de</w:t>
                            </w:r>
                            <w:r>
                              <w:rPr>
                                <w:spacing w:val="-9"/>
                              </w:rPr>
                              <w:t> </w:t>
                            </w:r>
                            <w:r>
                              <w:rPr/>
                              <w:t>los</w:t>
                            </w:r>
                            <w:r>
                              <w:rPr>
                                <w:spacing w:val="-6"/>
                              </w:rPr>
                              <w:t> </w:t>
                            </w:r>
                            <w:r>
                              <w:rPr/>
                              <w:t>activos.</w:t>
                            </w:r>
                            <w:r>
                              <w:rPr>
                                <w:spacing w:val="-8"/>
                              </w:rPr>
                              <w:t> </w:t>
                            </w:r>
                            <w:r>
                              <w:rPr/>
                              <w:t>El</w:t>
                            </w:r>
                            <w:r>
                              <w:rPr>
                                <w:spacing w:val="-8"/>
                              </w:rPr>
                              <w:t> </w:t>
                            </w:r>
                            <w:r>
                              <w:rPr/>
                              <w:t>reconocimiento</w:t>
                            </w:r>
                            <w:r>
                              <w:rPr>
                                <w:spacing w:val="-6"/>
                              </w:rPr>
                              <w:t> </w:t>
                            </w:r>
                            <w:r>
                              <w:rPr/>
                              <w:t>de</w:t>
                            </w:r>
                            <w:r>
                              <w:rPr>
                                <w:spacing w:val="-9"/>
                              </w:rPr>
                              <w:t> </w:t>
                            </w:r>
                            <w:r>
                              <w:rPr/>
                              <w:t>estos gastos ocurre al final de cada período contable, con ajustes mensuales según lo estipulado en las regulaciones internas.</w:t>
                            </w:r>
                          </w:p>
                          <w:p>
                            <w:pPr>
                              <w:pStyle w:val="BodyText"/>
                              <w:spacing w:before="121"/>
                              <w:ind w:left="103"/>
                              <w:jc w:val="both"/>
                            </w:pPr>
                            <w:r>
                              <w:rPr/>
                              <w:t>Las</w:t>
                            </w:r>
                            <w:r>
                              <w:rPr>
                                <w:spacing w:val="-3"/>
                              </w:rPr>
                              <w:t> </w:t>
                            </w:r>
                            <w:r>
                              <w:rPr/>
                              <w:t>partidas</w:t>
                            </w:r>
                            <w:r>
                              <w:rPr>
                                <w:spacing w:val="-4"/>
                              </w:rPr>
                              <w:t> </w:t>
                            </w:r>
                            <w:r>
                              <w:rPr/>
                              <w:t>que</w:t>
                            </w:r>
                            <w:r>
                              <w:rPr>
                                <w:spacing w:val="-3"/>
                              </w:rPr>
                              <w:t> </w:t>
                            </w:r>
                            <w:r>
                              <w:rPr/>
                              <w:t>lo</w:t>
                            </w:r>
                            <w:r>
                              <w:rPr>
                                <w:spacing w:val="-2"/>
                              </w:rPr>
                              <w:t> </w:t>
                            </w:r>
                            <w:r>
                              <w:rPr/>
                              <w:t>componen</w:t>
                            </w:r>
                            <w:r>
                              <w:rPr>
                                <w:spacing w:val="-2"/>
                              </w:rPr>
                              <w:t> </w:t>
                            </w:r>
                            <w:r>
                              <w:rPr/>
                              <w:t>y</w:t>
                            </w:r>
                            <w:r>
                              <w:rPr>
                                <w:spacing w:val="-2"/>
                              </w:rPr>
                              <w:t> </w:t>
                            </w:r>
                            <w:r>
                              <w:rPr/>
                              <w:t>sus</w:t>
                            </w:r>
                            <w:r>
                              <w:rPr>
                                <w:spacing w:val="-4"/>
                              </w:rPr>
                              <w:t> </w:t>
                            </w:r>
                            <w:r>
                              <w:rPr/>
                              <w:t>saldos</w:t>
                            </w:r>
                            <w:r>
                              <w:rPr>
                                <w:spacing w:val="-1"/>
                              </w:rPr>
                              <w:t> </w:t>
                            </w:r>
                            <w:r>
                              <w:rPr/>
                              <w:t>de</w:t>
                            </w:r>
                            <w:r>
                              <w:rPr>
                                <w:spacing w:val="-2"/>
                              </w:rPr>
                              <w:t> </w:t>
                            </w:r>
                            <w:r>
                              <w:rPr/>
                              <w:t>julio</w:t>
                            </w:r>
                            <w:r>
                              <w:rPr>
                                <w:spacing w:val="-2"/>
                              </w:rPr>
                              <w:t> </w:t>
                            </w:r>
                            <w:r>
                              <w:rPr/>
                              <w:t>2026</w:t>
                            </w:r>
                            <w:r>
                              <w:rPr>
                                <w:spacing w:val="-3"/>
                              </w:rPr>
                              <w:t> </w:t>
                            </w:r>
                            <w:r>
                              <w:rPr/>
                              <w:t>y</w:t>
                            </w:r>
                            <w:r>
                              <w:rPr>
                                <w:spacing w:val="-3"/>
                              </w:rPr>
                              <w:t> </w:t>
                            </w:r>
                            <w:r>
                              <w:rPr/>
                              <w:t>2025</w:t>
                            </w:r>
                            <w:r>
                              <w:rPr>
                                <w:spacing w:val="-4"/>
                              </w:rPr>
                              <w:t> </w:t>
                            </w:r>
                            <w:r>
                              <w:rPr/>
                              <w:t>se</w:t>
                            </w:r>
                            <w:r>
                              <w:rPr>
                                <w:spacing w:val="-2"/>
                              </w:rPr>
                              <w:t> </w:t>
                            </w:r>
                            <w:r>
                              <w:rPr/>
                              <w:t>muestran</w:t>
                            </w:r>
                            <w:r>
                              <w:rPr>
                                <w:spacing w:val="-5"/>
                              </w:rPr>
                              <w:t> </w:t>
                            </w:r>
                            <w:r>
                              <w:rPr/>
                              <w:t>a</w:t>
                            </w:r>
                            <w:r>
                              <w:rPr>
                                <w:spacing w:val="-2"/>
                              </w:rPr>
                              <w:t> continuación:</w:t>
                            </w:r>
                          </w:p>
                        </w:txbxContent>
                      </wps:txbx>
                      <wps:bodyPr wrap="square" lIns="0" tIns="0" rIns="0" bIns="0" rtlCol="0">
                        <a:noAutofit/>
                      </wps:bodyPr>
                    </wps:wsp>
                  </a:graphicData>
                </a:graphic>
              </wp:anchor>
            </w:drawing>
          </mc:Choice>
          <mc:Fallback>
            <w:pict>
              <v:shape style="position:absolute;margin-left:85.103996pt;margin-top:21.80625pt;width:450pt;height:252.8pt;mso-position-horizontal-relative:page;mso-position-vertical-relative:paragraph;z-index:-15586304;mso-wrap-distance-left:0;mso-wrap-distance-right:0" type="#_x0000_t202" id="docshape68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La cuenta de gastos por consumo de bienes distintos de inventarios incluye depreciación y amortización, se refiere</w:t>
                      </w:r>
                      <w:r>
                        <w:rPr>
                          <w:spacing w:val="-1"/>
                        </w:rPr>
                        <w:t> </w:t>
                      </w:r>
                      <w:r>
                        <w:rPr/>
                        <w:t>al reconocimiento contable periódico del desgaste, o la pérdida</w:t>
                      </w:r>
                      <w:r>
                        <w:rPr>
                          <w:spacing w:val="-1"/>
                        </w:rPr>
                        <w:t> </w:t>
                      </w:r>
                      <w:r>
                        <w:rPr/>
                        <w:t>del potencial de servicio y de beneficios económicos futuros, de los activos de propiedad, planta, equipo e intangibles bajo control de la institución.</w:t>
                      </w:r>
                    </w:p>
                    <w:p>
                      <w:pPr>
                        <w:pStyle w:val="BodyText"/>
                        <w:spacing w:line="276" w:lineRule="auto" w:before="120"/>
                        <w:ind w:left="103" w:right="103"/>
                        <w:jc w:val="both"/>
                      </w:pPr>
                      <w:r>
                        <w:rPr/>
                        <w:t>La depreciación se aplica a los activos tangibles, como los bienes de propiedad, planta y equipo, mientras que la amortización se refiere a los activos intangibles como los sistemas informáticos, a lo largo del tiempo se refleja el deterioro del valor de los activos, de acuerdo con las políticas contables </w:t>
                      </w:r>
                      <w:r>
                        <w:rPr>
                          <w:spacing w:val="-2"/>
                        </w:rPr>
                        <w:t>establecidas.</w:t>
                      </w:r>
                    </w:p>
                    <w:p>
                      <w:pPr>
                        <w:pStyle w:val="BodyText"/>
                        <w:spacing w:line="276" w:lineRule="auto" w:before="120"/>
                        <w:ind w:left="103" w:right="101"/>
                        <w:jc w:val="both"/>
                      </w:pPr>
                      <w:r>
                        <w:rPr/>
                        <w:t>Los gastos por depreciación y amortización son registrados en los estados de resultados del período correspondiente, siguiendo el método de línea recta. Esto implica que el gasto de depreciación se distribuye</w:t>
                      </w:r>
                      <w:r>
                        <w:rPr>
                          <w:spacing w:val="-8"/>
                        </w:rPr>
                        <w:t> </w:t>
                      </w:r>
                      <w:r>
                        <w:rPr/>
                        <w:t>de</w:t>
                      </w:r>
                      <w:r>
                        <w:rPr>
                          <w:spacing w:val="-9"/>
                        </w:rPr>
                        <w:t> </w:t>
                      </w:r>
                      <w:r>
                        <w:rPr/>
                        <w:t>manera</w:t>
                      </w:r>
                      <w:r>
                        <w:rPr>
                          <w:spacing w:val="-8"/>
                        </w:rPr>
                        <w:t> </w:t>
                      </w:r>
                      <w:r>
                        <w:rPr/>
                        <w:t>uniforme</w:t>
                      </w:r>
                      <w:r>
                        <w:rPr>
                          <w:spacing w:val="-8"/>
                        </w:rPr>
                        <w:t> </w:t>
                      </w:r>
                      <w:r>
                        <w:rPr/>
                        <w:t>durante</w:t>
                      </w:r>
                      <w:r>
                        <w:rPr>
                          <w:spacing w:val="-8"/>
                        </w:rPr>
                        <w:t> </w:t>
                      </w:r>
                      <w:r>
                        <w:rPr/>
                        <w:t>la</w:t>
                      </w:r>
                      <w:r>
                        <w:rPr>
                          <w:spacing w:val="-8"/>
                        </w:rPr>
                        <w:t> </w:t>
                      </w:r>
                      <w:r>
                        <w:rPr/>
                        <w:t>vida</w:t>
                      </w:r>
                      <w:r>
                        <w:rPr>
                          <w:spacing w:val="-8"/>
                        </w:rPr>
                        <w:t> </w:t>
                      </w:r>
                      <w:r>
                        <w:rPr/>
                        <w:t>útil</w:t>
                      </w:r>
                      <w:r>
                        <w:rPr>
                          <w:spacing w:val="-8"/>
                        </w:rPr>
                        <w:t> </w:t>
                      </w:r>
                      <w:r>
                        <w:rPr/>
                        <w:t>estimada</w:t>
                      </w:r>
                      <w:r>
                        <w:rPr>
                          <w:spacing w:val="-8"/>
                        </w:rPr>
                        <w:t> </w:t>
                      </w:r>
                      <w:r>
                        <w:rPr/>
                        <w:t>de</w:t>
                      </w:r>
                      <w:r>
                        <w:rPr>
                          <w:spacing w:val="-9"/>
                        </w:rPr>
                        <w:t> </w:t>
                      </w:r>
                      <w:r>
                        <w:rPr/>
                        <w:t>los</w:t>
                      </w:r>
                      <w:r>
                        <w:rPr>
                          <w:spacing w:val="-6"/>
                        </w:rPr>
                        <w:t> </w:t>
                      </w:r>
                      <w:r>
                        <w:rPr/>
                        <w:t>activos.</w:t>
                      </w:r>
                      <w:r>
                        <w:rPr>
                          <w:spacing w:val="-8"/>
                        </w:rPr>
                        <w:t> </w:t>
                      </w:r>
                      <w:r>
                        <w:rPr/>
                        <w:t>El</w:t>
                      </w:r>
                      <w:r>
                        <w:rPr>
                          <w:spacing w:val="-8"/>
                        </w:rPr>
                        <w:t> </w:t>
                      </w:r>
                      <w:r>
                        <w:rPr/>
                        <w:t>reconocimiento</w:t>
                      </w:r>
                      <w:r>
                        <w:rPr>
                          <w:spacing w:val="-6"/>
                        </w:rPr>
                        <w:t> </w:t>
                      </w:r>
                      <w:r>
                        <w:rPr/>
                        <w:t>de</w:t>
                      </w:r>
                      <w:r>
                        <w:rPr>
                          <w:spacing w:val="-9"/>
                        </w:rPr>
                        <w:t> </w:t>
                      </w:r>
                      <w:r>
                        <w:rPr/>
                        <w:t>estos gastos ocurre al final de cada período contable, con ajustes mensuales según lo estipulado en las regulaciones internas.</w:t>
                      </w:r>
                    </w:p>
                    <w:p>
                      <w:pPr>
                        <w:pStyle w:val="BodyText"/>
                        <w:spacing w:before="121"/>
                        <w:ind w:left="103"/>
                        <w:jc w:val="both"/>
                      </w:pPr>
                      <w:r>
                        <w:rPr/>
                        <w:t>Las</w:t>
                      </w:r>
                      <w:r>
                        <w:rPr>
                          <w:spacing w:val="-3"/>
                        </w:rPr>
                        <w:t> </w:t>
                      </w:r>
                      <w:r>
                        <w:rPr/>
                        <w:t>partidas</w:t>
                      </w:r>
                      <w:r>
                        <w:rPr>
                          <w:spacing w:val="-4"/>
                        </w:rPr>
                        <w:t> </w:t>
                      </w:r>
                      <w:r>
                        <w:rPr/>
                        <w:t>que</w:t>
                      </w:r>
                      <w:r>
                        <w:rPr>
                          <w:spacing w:val="-3"/>
                        </w:rPr>
                        <w:t> </w:t>
                      </w:r>
                      <w:r>
                        <w:rPr/>
                        <w:t>lo</w:t>
                      </w:r>
                      <w:r>
                        <w:rPr>
                          <w:spacing w:val="-2"/>
                        </w:rPr>
                        <w:t> </w:t>
                      </w:r>
                      <w:r>
                        <w:rPr/>
                        <w:t>componen</w:t>
                      </w:r>
                      <w:r>
                        <w:rPr>
                          <w:spacing w:val="-2"/>
                        </w:rPr>
                        <w:t> </w:t>
                      </w:r>
                      <w:r>
                        <w:rPr/>
                        <w:t>y</w:t>
                      </w:r>
                      <w:r>
                        <w:rPr>
                          <w:spacing w:val="-2"/>
                        </w:rPr>
                        <w:t> </w:t>
                      </w:r>
                      <w:r>
                        <w:rPr/>
                        <w:t>sus</w:t>
                      </w:r>
                      <w:r>
                        <w:rPr>
                          <w:spacing w:val="-4"/>
                        </w:rPr>
                        <w:t> </w:t>
                      </w:r>
                      <w:r>
                        <w:rPr/>
                        <w:t>saldos</w:t>
                      </w:r>
                      <w:r>
                        <w:rPr>
                          <w:spacing w:val="-1"/>
                        </w:rPr>
                        <w:t> </w:t>
                      </w:r>
                      <w:r>
                        <w:rPr/>
                        <w:t>de</w:t>
                      </w:r>
                      <w:r>
                        <w:rPr>
                          <w:spacing w:val="-2"/>
                        </w:rPr>
                        <w:t> </w:t>
                      </w:r>
                      <w:r>
                        <w:rPr/>
                        <w:t>julio</w:t>
                      </w:r>
                      <w:r>
                        <w:rPr>
                          <w:spacing w:val="-2"/>
                        </w:rPr>
                        <w:t> </w:t>
                      </w:r>
                      <w:r>
                        <w:rPr/>
                        <w:t>2026</w:t>
                      </w:r>
                      <w:r>
                        <w:rPr>
                          <w:spacing w:val="-3"/>
                        </w:rPr>
                        <w:t> </w:t>
                      </w:r>
                      <w:r>
                        <w:rPr/>
                        <w:t>y</w:t>
                      </w:r>
                      <w:r>
                        <w:rPr>
                          <w:spacing w:val="-3"/>
                        </w:rPr>
                        <w:t> </w:t>
                      </w:r>
                      <w:r>
                        <w:rPr/>
                        <w:t>2025</w:t>
                      </w:r>
                      <w:r>
                        <w:rPr>
                          <w:spacing w:val="-4"/>
                        </w:rPr>
                        <w:t> </w:t>
                      </w:r>
                      <w:r>
                        <w:rPr/>
                        <w:t>se</w:t>
                      </w:r>
                      <w:r>
                        <w:rPr>
                          <w:spacing w:val="-2"/>
                        </w:rPr>
                        <w:t> </w:t>
                      </w:r>
                      <w:r>
                        <w:rPr/>
                        <w:t>muestran</w:t>
                      </w:r>
                      <w:r>
                        <w:rPr>
                          <w:spacing w:val="-5"/>
                        </w:rPr>
                        <w:t> </w:t>
                      </w:r>
                      <w:r>
                        <w:rPr/>
                        <w:t>a</w:t>
                      </w:r>
                      <w:r>
                        <w:rPr>
                          <w:spacing w:val="-2"/>
                        </w:rPr>
                        <w:t> continuación: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68608">
                <wp:simplePos x="0" y="0"/>
                <wp:positionH relativeFrom="page">
                  <wp:posOffset>9525</wp:posOffset>
                </wp:positionH>
                <wp:positionV relativeFrom="page">
                  <wp:posOffset>297208</wp:posOffset>
                </wp:positionV>
                <wp:extent cx="7762875" cy="9748520"/>
                <wp:effectExtent l="0" t="0" r="0" b="0"/>
                <wp:wrapNone/>
                <wp:docPr id="709" name="Group 709"/>
                <wp:cNvGraphicFramePr>
                  <a:graphicFrameLocks/>
                </wp:cNvGraphicFramePr>
                <a:graphic>
                  <a:graphicData uri="http://schemas.microsoft.com/office/word/2010/wordprocessingGroup">
                    <wpg:wgp>
                      <wpg:cNvPr id="709" name="Group 709"/>
                      <wpg:cNvGrpSpPr/>
                      <wpg:grpSpPr>
                        <a:xfrm>
                          <a:off x="0" y="0"/>
                          <a:ext cx="7762875" cy="9748520"/>
                          <a:chExt cx="7762875" cy="9748520"/>
                        </a:xfrm>
                      </wpg:grpSpPr>
                      <pic:pic>
                        <pic:nvPicPr>
                          <pic:cNvPr id="710" name="Image 710"/>
                          <pic:cNvPicPr/>
                        </pic:nvPicPr>
                        <pic:blipFill>
                          <a:blip r:embed="rId5" cstate="print"/>
                          <a:stretch>
                            <a:fillRect/>
                          </a:stretch>
                        </pic:blipFill>
                        <pic:spPr>
                          <a:xfrm>
                            <a:off x="0" y="0"/>
                            <a:ext cx="7762874" cy="9748489"/>
                          </a:xfrm>
                          <a:prstGeom prst="rect">
                            <a:avLst/>
                          </a:prstGeom>
                        </pic:spPr>
                      </pic:pic>
                      <wps:wsp>
                        <wps:cNvPr id="711" name="Graphic 71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712" name="Image 712"/>
                          <pic:cNvPicPr/>
                        </pic:nvPicPr>
                        <pic:blipFill>
                          <a:blip r:embed="rId83" cstate="print"/>
                          <a:stretch>
                            <a:fillRect/>
                          </a:stretch>
                        </pic:blipFill>
                        <pic:spPr>
                          <a:xfrm>
                            <a:off x="1593849" y="1123794"/>
                            <a:ext cx="4665345" cy="246126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47872" id="docshapegroup687" coordorigin="15,468" coordsize="12225,15352">
                <v:shape style="position:absolute;left:15;top:468;width:12225;height:15352" type="#_x0000_t75" id="docshape688" stroked="false">
                  <v:imagedata r:id="rId5" o:title=""/>
                </v:shape>
                <v:rect style="position:absolute;left:1673;top:2028;width:8897;height:15" id="docshape689" filled="true" fillcolor="#000000" stroked="false">
                  <v:fill type="solid"/>
                </v:rect>
                <v:shape style="position:absolute;left:2525;top:2237;width:7347;height:3876" type="#_x0000_t75" id="docshape690" stroked="false">
                  <v:imagedata r:id="rId83" o:title=""/>
                </v:shape>
                <w10:wrap type="none"/>
              </v:group>
            </w:pict>
          </mc:Fallback>
        </mc:AlternateContent>
      </w:r>
      <w:r>
        <w:rPr>
          <w:color w:val="172951"/>
          <w:sz w:val="20"/>
        </w:rPr>
        <w:t>Pág.</w:t>
      </w:r>
      <w:r>
        <w:rPr>
          <w:color w:val="172951"/>
          <w:spacing w:val="-7"/>
          <w:sz w:val="20"/>
        </w:rPr>
        <w:t> </w:t>
      </w:r>
      <w:r>
        <w:rPr>
          <w:color w:val="172951"/>
          <w:spacing w:val="-5"/>
          <w:sz w:val="20"/>
        </w:rPr>
        <w:t>144</w:t>
      </w:r>
    </w:p>
    <w:p>
      <w:pPr>
        <w:pStyle w:val="BodyText"/>
        <w:spacing w:before="10"/>
        <w:rPr>
          <w:sz w:val="16"/>
        </w:rPr>
      </w:pPr>
      <w:r>
        <w:rPr>
          <w:sz w:val="16"/>
        </w:rPr>
        <mc:AlternateContent>
          <mc:Choice Requires="wps">
            <w:drawing>
              <wp:anchor distT="0" distB="0" distL="0" distR="0" allowOverlap="1" layoutInCell="1" locked="0" behindDoc="1" simplePos="0" relativeHeight="487731200">
                <wp:simplePos x="0" y="0"/>
                <wp:positionH relativeFrom="page">
                  <wp:posOffset>1080820</wp:posOffset>
                </wp:positionH>
                <wp:positionV relativeFrom="paragraph">
                  <wp:posOffset>141144</wp:posOffset>
                </wp:positionV>
                <wp:extent cx="5715000" cy="5616575"/>
                <wp:effectExtent l="0" t="0" r="0" b="0"/>
                <wp:wrapTopAndBottom/>
                <wp:docPr id="713" name="Textbox 713"/>
                <wp:cNvGraphicFramePr>
                  <a:graphicFrameLocks/>
                </wp:cNvGraphicFramePr>
                <a:graphic>
                  <a:graphicData uri="http://schemas.microsoft.com/office/word/2010/wordprocessingShape">
                    <wps:wsp>
                      <wps:cNvPr id="713" name="Textbox 713"/>
                      <wps:cNvSpPr txBox="1"/>
                      <wps:spPr>
                        <a:xfrm>
                          <a:off x="0" y="0"/>
                          <a:ext cx="5715000" cy="561657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2"/>
                            </w:pPr>
                          </w:p>
                          <w:p>
                            <w:pPr>
                              <w:pStyle w:val="BodyText"/>
                              <w:spacing w:line="276" w:lineRule="auto"/>
                              <w:ind w:left="103" w:right="103"/>
                              <w:jc w:val="both"/>
                            </w:pPr>
                            <w:r>
                              <w:rPr/>
                              <w:t>De acuerdo con el desglose proporcionado, se observa que la depreciación de equipos para computación representa una porción significativa de los gastos totales de dicha categoría, a pesar de que el incremento de un periodo a otro disminuye muy levemente.</w:t>
                            </w:r>
                          </w:p>
                          <w:p>
                            <w:pPr>
                              <w:pStyle w:val="BodyText"/>
                              <w:spacing w:line="276" w:lineRule="auto" w:before="120"/>
                              <w:ind w:left="103" w:right="102"/>
                              <w:jc w:val="both"/>
                            </w:pPr>
                            <w:r>
                              <w:rPr/>
                              <w:t>Por otro lado, también se observa un alto valor de depreciación en lo que respecta a los equipos de sanitarios</w:t>
                            </w:r>
                            <w:r>
                              <w:rPr>
                                <w:spacing w:val="-9"/>
                              </w:rPr>
                              <w:t> </w:t>
                            </w:r>
                            <w:r>
                              <w:rPr/>
                              <w:t>y</w:t>
                            </w:r>
                            <w:r>
                              <w:rPr>
                                <w:spacing w:val="-11"/>
                              </w:rPr>
                              <w:t> </w:t>
                            </w:r>
                            <w:r>
                              <w:rPr/>
                              <w:t>de</w:t>
                            </w:r>
                            <w:r>
                              <w:rPr>
                                <w:spacing w:val="-11"/>
                              </w:rPr>
                              <w:t> </w:t>
                            </w:r>
                            <w:r>
                              <w:rPr/>
                              <w:t>laboratorios,</w:t>
                            </w:r>
                            <w:r>
                              <w:rPr>
                                <w:spacing w:val="-12"/>
                              </w:rPr>
                              <w:t> </w:t>
                            </w:r>
                            <w:r>
                              <w:rPr/>
                              <w:t>que</w:t>
                            </w:r>
                            <w:r>
                              <w:rPr>
                                <w:spacing w:val="-11"/>
                              </w:rPr>
                              <w:t> </w:t>
                            </w:r>
                            <w:r>
                              <w:rPr/>
                              <w:t>se</w:t>
                            </w:r>
                            <w:r>
                              <w:rPr>
                                <w:spacing w:val="-11"/>
                              </w:rPr>
                              <w:t> </w:t>
                            </w:r>
                            <w:r>
                              <w:rPr/>
                              <w:t>incrementó</w:t>
                            </w:r>
                            <w:r>
                              <w:rPr>
                                <w:spacing w:val="-8"/>
                              </w:rPr>
                              <w:t> </w:t>
                            </w:r>
                            <w:r>
                              <w:rPr/>
                              <w:t>en</w:t>
                            </w:r>
                            <w:r>
                              <w:rPr>
                                <w:spacing w:val="-9"/>
                              </w:rPr>
                              <w:t> </w:t>
                            </w:r>
                            <w:r>
                              <w:rPr/>
                              <w:t>un</w:t>
                            </w:r>
                            <w:r>
                              <w:rPr>
                                <w:spacing w:val="-9"/>
                              </w:rPr>
                              <w:t> </w:t>
                            </w:r>
                            <w:r>
                              <w:rPr/>
                              <w:t>285,40%</w:t>
                            </w:r>
                            <w:r>
                              <w:rPr>
                                <w:spacing w:val="-10"/>
                              </w:rPr>
                              <w:t> </w:t>
                            </w:r>
                            <w:r>
                              <w:rPr/>
                              <w:t>y</w:t>
                            </w:r>
                            <w:r>
                              <w:rPr>
                                <w:spacing w:val="-11"/>
                              </w:rPr>
                              <w:t> </w:t>
                            </w:r>
                            <w:r>
                              <w:rPr/>
                              <w:t>los</w:t>
                            </w:r>
                            <w:r>
                              <w:rPr>
                                <w:spacing w:val="-8"/>
                              </w:rPr>
                              <w:t> </w:t>
                            </w:r>
                            <w:r>
                              <w:rPr/>
                              <w:t>equipos</w:t>
                            </w:r>
                            <w:r>
                              <w:rPr>
                                <w:spacing w:val="-11"/>
                              </w:rPr>
                              <w:t> </w:t>
                            </w:r>
                            <w:r>
                              <w:rPr/>
                              <w:t>de</w:t>
                            </w:r>
                            <w:r>
                              <w:rPr>
                                <w:spacing w:val="-11"/>
                              </w:rPr>
                              <w:t> </w:t>
                            </w:r>
                            <w:r>
                              <w:rPr/>
                              <w:t>mobiliario</w:t>
                            </w:r>
                            <w:r>
                              <w:rPr>
                                <w:spacing w:val="-9"/>
                              </w:rPr>
                              <w:t> </w:t>
                            </w:r>
                            <w:r>
                              <w:rPr/>
                              <w:t>educacional en más 64,88% respecto al periodo anterior, entre los factores más importantes.</w:t>
                            </w:r>
                          </w:p>
                          <w:p>
                            <w:pPr>
                              <w:pStyle w:val="BodyText"/>
                              <w:spacing w:line="276" w:lineRule="auto" w:before="122"/>
                              <w:ind w:left="103" w:right="99"/>
                              <w:jc w:val="both"/>
                            </w:pPr>
                            <w:r>
                              <w:rPr/>
                              <w:t>Aunque los gastos de depreciación y amortización en general tienden a mantenerse estables con una disminución bastante leve, pueden experimentar fluctuaciones de un período a otro. Esto se debe a factores como la incorporación de nuevos bienes a través de contrataciones administrativas o la eliminación</w:t>
                            </w:r>
                            <w:r>
                              <w:rPr>
                                <w:spacing w:val="-14"/>
                              </w:rPr>
                              <w:t> </w:t>
                            </w:r>
                            <w:r>
                              <w:rPr/>
                              <w:t>de</w:t>
                            </w:r>
                            <w:r>
                              <w:rPr>
                                <w:spacing w:val="-14"/>
                              </w:rPr>
                              <w:t> </w:t>
                            </w:r>
                            <w:r>
                              <w:rPr/>
                              <w:t>activos</w:t>
                            </w:r>
                            <w:r>
                              <w:rPr>
                                <w:spacing w:val="-14"/>
                              </w:rPr>
                              <w:t> </w:t>
                            </w:r>
                            <w:r>
                              <w:rPr/>
                              <w:t>que,</w:t>
                            </w:r>
                            <w:r>
                              <w:rPr>
                                <w:spacing w:val="-13"/>
                              </w:rPr>
                              <w:t> </w:t>
                            </w:r>
                            <w:r>
                              <w:rPr/>
                              <w:t>por</w:t>
                            </w:r>
                            <w:r>
                              <w:rPr>
                                <w:spacing w:val="-14"/>
                              </w:rPr>
                              <w:t> </w:t>
                            </w:r>
                            <w:r>
                              <w:rPr/>
                              <w:t>diversas</w:t>
                            </w:r>
                            <w:r>
                              <w:rPr>
                                <w:spacing w:val="-14"/>
                              </w:rPr>
                              <w:t> </w:t>
                            </w:r>
                            <w:r>
                              <w:rPr/>
                              <w:t>razones</w:t>
                            </w:r>
                            <w:r>
                              <w:rPr>
                                <w:spacing w:val="-14"/>
                              </w:rPr>
                              <w:t> </w:t>
                            </w:r>
                            <w:r>
                              <w:rPr/>
                              <w:t>(como</w:t>
                            </w:r>
                            <w:r>
                              <w:rPr>
                                <w:spacing w:val="-13"/>
                              </w:rPr>
                              <w:t> </w:t>
                            </w:r>
                            <w:r>
                              <w:rPr/>
                              <w:t>deterioro,</w:t>
                            </w:r>
                            <w:r>
                              <w:rPr>
                                <w:spacing w:val="-14"/>
                              </w:rPr>
                              <w:t> </w:t>
                            </w:r>
                            <w:r>
                              <w:rPr/>
                              <w:t>pérdida</w:t>
                            </w:r>
                            <w:r>
                              <w:rPr>
                                <w:spacing w:val="-14"/>
                              </w:rPr>
                              <w:t> </w:t>
                            </w:r>
                            <w:r>
                              <w:rPr/>
                              <w:t>o</w:t>
                            </w:r>
                            <w:r>
                              <w:rPr>
                                <w:spacing w:val="-14"/>
                              </w:rPr>
                              <w:t> </w:t>
                            </w:r>
                            <w:r>
                              <w:rPr/>
                              <w:t>cesión</w:t>
                            </w:r>
                            <w:r>
                              <w:rPr>
                                <w:spacing w:val="-13"/>
                              </w:rPr>
                              <w:t> </w:t>
                            </w:r>
                            <w:r>
                              <w:rPr/>
                              <w:t>de</w:t>
                            </w:r>
                            <w:r>
                              <w:rPr>
                                <w:spacing w:val="-14"/>
                              </w:rPr>
                              <w:t> </w:t>
                            </w:r>
                            <w:r>
                              <w:rPr/>
                              <w:t>derechos),</w:t>
                            </w:r>
                            <w:r>
                              <w:rPr>
                                <w:spacing w:val="-14"/>
                              </w:rPr>
                              <w:t> </w:t>
                            </w:r>
                            <w:r>
                              <w:rPr/>
                              <w:t>dejan de generar un potencial de servicio para la institución.</w:t>
                            </w:r>
                          </w:p>
                          <w:p>
                            <w:pPr>
                              <w:pStyle w:val="BodyText"/>
                              <w:spacing w:line="259" w:lineRule="auto" w:before="119"/>
                              <w:ind w:left="103" w:right="98"/>
                              <w:jc w:val="both"/>
                            </w:pPr>
                            <w:r>
                              <w:rPr/>
                              <w:t>Se</w:t>
                            </w:r>
                            <w:r>
                              <w:rPr>
                                <w:spacing w:val="-6"/>
                              </w:rPr>
                              <w:t> </w:t>
                            </w:r>
                            <w:r>
                              <w:rPr/>
                              <w:t>afecta</w:t>
                            </w:r>
                            <w:r>
                              <w:rPr>
                                <w:spacing w:val="-5"/>
                              </w:rPr>
                              <w:t> </w:t>
                            </w:r>
                            <w:r>
                              <w:rPr/>
                              <w:t>por</w:t>
                            </w:r>
                            <w:r>
                              <w:rPr>
                                <w:spacing w:val="-7"/>
                              </w:rPr>
                              <w:t> </w:t>
                            </w:r>
                            <w:r>
                              <w:rPr/>
                              <w:t>otra</w:t>
                            </w:r>
                            <w:r>
                              <w:rPr>
                                <w:spacing w:val="-7"/>
                              </w:rPr>
                              <w:t> </w:t>
                            </w:r>
                            <w:r>
                              <w:rPr/>
                              <w:t>parte</w:t>
                            </w:r>
                            <w:r>
                              <w:rPr>
                                <w:spacing w:val="-6"/>
                              </w:rPr>
                              <w:t> </w:t>
                            </w:r>
                            <w:r>
                              <w:rPr/>
                              <w:t>el</w:t>
                            </w:r>
                            <w:r>
                              <w:rPr>
                                <w:spacing w:val="-5"/>
                              </w:rPr>
                              <w:t> </w:t>
                            </w:r>
                            <w:r>
                              <w:rPr/>
                              <w:t>valor</w:t>
                            </w:r>
                            <w:r>
                              <w:rPr>
                                <w:spacing w:val="-4"/>
                              </w:rPr>
                              <w:t> </w:t>
                            </w:r>
                            <w:r>
                              <w:rPr/>
                              <w:t>de</w:t>
                            </w:r>
                            <w:r>
                              <w:rPr>
                                <w:spacing w:val="-6"/>
                              </w:rPr>
                              <w:t> </w:t>
                            </w:r>
                            <w:r>
                              <w:rPr/>
                              <w:t>la</w:t>
                            </w:r>
                            <w:r>
                              <w:rPr>
                                <w:spacing w:val="-6"/>
                              </w:rPr>
                              <w:t> </w:t>
                            </w:r>
                            <w:r>
                              <w:rPr/>
                              <w:t>depreciación</w:t>
                            </w:r>
                            <w:r>
                              <w:rPr>
                                <w:spacing w:val="-4"/>
                              </w:rPr>
                              <w:t> </w:t>
                            </w:r>
                            <w:r>
                              <w:rPr/>
                              <w:t>a</w:t>
                            </w:r>
                            <w:r>
                              <w:rPr>
                                <w:spacing w:val="-8"/>
                              </w:rPr>
                              <w:t> </w:t>
                            </w:r>
                            <w:r>
                              <w:rPr/>
                              <w:t>través</w:t>
                            </w:r>
                            <w:r>
                              <w:rPr>
                                <w:spacing w:val="-4"/>
                              </w:rPr>
                              <w:t> </w:t>
                            </w:r>
                            <w:r>
                              <w:rPr/>
                              <w:t>de</w:t>
                            </w:r>
                            <w:r>
                              <w:rPr>
                                <w:spacing w:val="-6"/>
                              </w:rPr>
                              <w:t> </w:t>
                            </w:r>
                            <w:r>
                              <w:rPr/>
                              <w:t>ajustes</w:t>
                            </w:r>
                            <w:r>
                              <w:rPr>
                                <w:spacing w:val="-4"/>
                              </w:rPr>
                              <w:t> </w:t>
                            </w:r>
                            <w:r>
                              <w:rPr/>
                              <w:t>relacionados</w:t>
                            </w:r>
                            <w:r>
                              <w:rPr>
                                <w:spacing w:val="-6"/>
                              </w:rPr>
                              <w:t> </w:t>
                            </w:r>
                            <w:r>
                              <w:rPr/>
                              <w:t>con</w:t>
                            </w:r>
                            <w:r>
                              <w:rPr>
                                <w:spacing w:val="-4"/>
                              </w:rPr>
                              <w:t> </w:t>
                            </w:r>
                            <w:r>
                              <w:rPr/>
                              <w:t>el</w:t>
                            </w:r>
                            <w:r>
                              <w:rPr>
                                <w:spacing w:val="-5"/>
                              </w:rPr>
                              <w:t> </w:t>
                            </w:r>
                            <w:r>
                              <w:rPr/>
                              <w:t>cambio</w:t>
                            </w:r>
                            <w:r>
                              <w:rPr>
                                <w:spacing w:val="-6"/>
                              </w:rPr>
                              <w:t> </w:t>
                            </w:r>
                            <w:r>
                              <w:rPr/>
                              <w:t>en</w:t>
                            </w:r>
                            <w:r>
                              <w:rPr>
                                <w:spacing w:val="-4"/>
                              </w:rPr>
                              <w:t> </w:t>
                            </w:r>
                            <w:r>
                              <w:rPr/>
                              <w:t>el valor</w:t>
                            </w:r>
                            <w:r>
                              <w:rPr>
                                <w:spacing w:val="-11"/>
                              </w:rPr>
                              <w:t> </w:t>
                            </w:r>
                            <w:r>
                              <w:rPr/>
                              <w:t>residual</w:t>
                            </w:r>
                            <w:r>
                              <w:rPr>
                                <w:spacing w:val="-11"/>
                              </w:rPr>
                              <w:t> </w:t>
                            </w:r>
                            <w:r>
                              <w:rPr/>
                              <w:t>de</w:t>
                            </w:r>
                            <w:r>
                              <w:rPr>
                                <w:spacing w:val="-12"/>
                              </w:rPr>
                              <w:t> </w:t>
                            </w:r>
                            <w:r>
                              <w:rPr/>
                              <w:t>los</w:t>
                            </w:r>
                            <w:r>
                              <w:rPr>
                                <w:spacing w:val="-10"/>
                              </w:rPr>
                              <w:t> </w:t>
                            </w:r>
                            <w:r>
                              <w:rPr/>
                              <w:t>bienes,</w:t>
                            </w:r>
                            <w:r>
                              <w:rPr>
                                <w:spacing w:val="-11"/>
                              </w:rPr>
                              <w:t> </w:t>
                            </w:r>
                            <w:r>
                              <w:rPr/>
                              <w:t>la</w:t>
                            </w:r>
                            <w:r>
                              <w:rPr>
                                <w:spacing w:val="-12"/>
                              </w:rPr>
                              <w:t> </w:t>
                            </w:r>
                            <w:r>
                              <w:rPr/>
                              <w:t>duración</w:t>
                            </w:r>
                            <w:r>
                              <w:rPr>
                                <w:spacing w:val="-11"/>
                              </w:rPr>
                              <w:t> </w:t>
                            </w:r>
                            <w:r>
                              <w:rPr/>
                              <w:t>de</w:t>
                            </w:r>
                            <w:r>
                              <w:rPr>
                                <w:spacing w:val="-12"/>
                              </w:rPr>
                              <w:t> </w:t>
                            </w:r>
                            <w:r>
                              <w:rPr/>
                              <w:t>la</w:t>
                            </w:r>
                            <w:r>
                              <w:rPr>
                                <w:spacing w:val="-12"/>
                              </w:rPr>
                              <w:t> </w:t>
                            </w:r>
                            <w:r>
                              <w:rPr/>
                              <w:t>vida</w:t>
                            </w:r>
                            <w:r>
                              <w:rPr>
                                <w:spacing w:val="-11"/>
                              </w:rPr>
                              <w:t> </w:t>
                            </w:r>
                            <w:r>
                              <w:rPr/>
                              <w:t>útil</w:t>
                            </w:r>
                            <w:r>
                              <w:rPr>
                                <w:spacing w:val="-12"/>
                              </w:rPr>
                              <w:t> </w:t>
                            </w:r>
                            <w:r>
                              <w:rPr/>
                              <w:t>de</w:t>
                            </w:r>
                            <w:r>
                              <w:rPr>
                                <w:spacing w:val="-10"/>
                              </w:rPr>
                              <w:t> </w:t>
                            </w:r>
                            <w:r>
                              <w:rPr/>
                              <w:t>los</w:t>
                            </w:r>
                            <w:r>
                              <w:rPr>
                                <w:spacing w:val="-10"/>
                              </w:rPr>
                              <w:t> </w:t>
                            </w:r>
                            <w:r>
                              <w:rPr/>
                              <w:t>activos</w:t>
                            </w:r>
                            <w:r>
                              <w:rPr>
                                <w:spacing w:val="-10"/>
                              </w:rPr>
                              <w:t> </w:t>
                            </w:r>
                            <w:r>
                              <w:rPr/>
                              <w:t>o</w:t>
                            </w:r>
                            <w:r>
                              <w:rPr>
                                <w:spacing w:val="-10"/>
                              </w:rPr>
                              <w:t> </w:t>
                            </w:r>
                            <w:r>
                              <w:rPr/>
                              <w:t>la</w:t>
                            </w:r>
                            <w:r>
                              <w:rPr>
                                <w:spacing w:val="-12"/>
                              </w:rPr>
                              <w:t> </w:t>
                            </w:r>
                            <w:r>
                              <w:rPr/>
                              <w:t>disposición</w:t>
                            </w:r>
                            <w:r>
                              <w:rPr>
                                <w:spacing w:val="-10"/>
                              </w:rPr>
                              <w:t> </w:t>
                            </w:r>
                            <w:r>
                              <w:rPr/>
                              <w:t>de</w:t>
                            </w:r>
                            <w:r>
                              <w:rPr>
                                <w:spacing w:val="-12"/>
                              </w:rPr>
                              <w:t> </w:t>
                            </w:r>
                            <w:r>
                              <w:rPr/>
                              <w:t>bienes</w:t>
                            </w:r>
                            <w:r>
                              <w:rPr>
                                <w:spacing w:val="-10"/>
                              </w:rPr>
                              <w:t> </w:t>
                            </w:r>
                            <w:r>
                              <w:rPr/>
                              <w:t>antiguos. Estas variaciones reflejan el impacto de las decisiones operativas y de gestión de activos a lo largo del </w:t>
                            </w:r>
                            <w:r>
                              <w:rPr>
                                <w:spacing w:val="-2"/>
                              </w:rPr>
                              <w:t>tiempo.</w:t>
                            </w:r>
                          </w:p>
                        </w:txbxContent>
                      </wps:txbx>
                      <wps:bodyPr wrap="square" lIns="0" tIns="0" rIns="0" bIns="0" rtlCol="0">
                        <a:noAutofit/>
                      </wps:bodyPr>
                    </wps:wsp>
                  </a:graphicData>
                </a:graphic>
              </wp:anchor>
            </w:drawing>
          </mc:Choice>
          <mc:Fallback>
            <w:pict>
              <v:shape style="position:absolute;margin-left:85.103996pt;margin-top:11.11375pt;width:450pt;height:442.25pt;mso-position-horizontal-relative:page;mso-position-vertical-relative:paragraph;z-index:-15585280;mso-wrap-distance-left:0;mso-wrap-distance-right:0" type="#_x0000_t202" id="docshape691"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2"/>
                      </w:pPr>
                    </w:p>
                    <w:p>
                      <w:pPr>
                        <w:pStyle w:val="BodyText"/>
                        <w:spacing w:line="276" w:lineRule="auto"/>
                        <w:ind w:left="103" w:right="103"/>
                        <w:jc w:val="both"/>
                      </w:pPr>
                      <w:r>
                        <w:rPr/>
                        <w:t>De acuerdo con el desglose proporcionado, se observa que la depreciación de equipos para computación representa una porción significativa de los gastos totales de dicha categoría, a pesar de que el incremento de un periodo a otro disminuye muy levemente.</w:t>
                      </w:r>
                    </w:p>
                    <w:p>
                      <w:pPr>
                        <w:pStyle w:val="BodyText"/>
                        <w:spacing w:line="276" w:lineRule="auto" w:before="120"/>
                        <w:ind w:left="103" w:right="102"/>
                        <w:jc w:val="both"/>
                      </w:pPr>
                      <w:r>
                        <w:rPr/>
                        <w:t>Por otro lado, también se observa un alto valor de depreciación en lo que respecta a los equipos de sanitarios</w:t>
                      </w:r>
                      <w:r>
                        <w:rPr>
                          <w:spacing w:val="-9"/>
                        </w:rPr>
                        <w:t> </w:t>
                      </w:r>
                      <w:r>
                        <w:rPr/>
                        <w:t>y</w:t>
                      </w:r>
                      <w:r>
                        <w:rPr>
                          <w:spacing w:val="-11"/>
                        </w:rPr>
                        <w:t> </w:t>
                      </w:r>
                      <w:r>
                        <w:rPr/>
                        <w:t>de</w:t>
                      </w:r>
                      <w:r>
                        <w:rPr>
                          <w:spacing w:val="-11"/>
                        </w:rPr>
                        <w:t> </w:t>
                      </w:r>
                      <w:r>
                        <w:rPr/>
                        <w:t>laboratorios,</w:t>
                      </w:r>
                      <w:r>
                        <w:rPr>
                          <w:spacing w:val="-12"/>
                        </w:rPr>
                        <w:t> </w:t>
                      </w:r>
                      <w:r>
                        <w:rPr/>
                        <w:t>que</w:t>
                      </w:r>
                      <w:r>
                        <w:rPr>
                          <w:spacing w:val="-11"/>
                        </w:rPr>
                        <w:t> </w:t>
                      </w:r>
                      <w:r>
                        <w:rPr/>
                        <w:t>se</w:t>
                      </w:r>
                      <w:r>
                        <w:rPr>
                          <w:spacing w:val="-11"/>
                        </w:rPr>
                        <w:t> </w:t>
                      </w:r>
                      <w:r>
                        <w:rPr/>
                        <w:t>incrementó</w:t>
                      </w:r>
                      <w:r>
                        <w:rPr>
                          <w:spacing w:val="-8"/>
                        </w:rPr>
                        <w:t> </w:t>
                      </w:r>
                      <w:r>
                        <w:rPr/>
                        <w:t>en</w:t>
                      </w:r>
                      <w:r>
                        <w:rPr>
                          <w:spacing w:val="-9"/>
                        </w:rPr>
                        <w:t> </w:t>
                      </w:r>
                      <w:r>
                        <w:rPr/>
                        <w:t>un</w:t>
                      </w:r>
                      <w:r>
                        <w:rPr>
                          <w:spacing w:val="-9"/>
                        </w:rPr>
                        <w:t> </w:t>
                      </w:r>
                      <w:r>
                        <w:rPr/>
                        <w:t>285,40%</w:t>
                      </w:r>
                      <w:r>
                        <w:rPr>
                          <w:spacing w:val="-10"/>
                        </w:rPr>
                        <w:t> </w:t>
                      </w:r>
                      <w:r>
                        <w:rPr/>
                        <w:t>y</w:t>
                      </w:r>
                      <w:r>
                        <w:rPr>
                          <w:spacing w:val="-11"/>
                        </w:rPr>
                        <w:t> </w:t>
                      </w:r>
                      <w:r>
                        <w:rPr/>
                        <w:t>los</w:t>
                      </w:r>
                      <w:r>
                        <w:rPr>
                          <w:spacing w:val="-8"/>
                        </w:rPr>
                        <w:t> </w:t>
                      </w:r>
                      <w:r>
                        <w:rPr/>
                        <w:t>equipos</w:t>
                      </w:r>
                      <w:r>
                        <w:rPr>
                          <w:spacing w:val="-11"/>
                        </w:rPr>
                        <w:t> </w:t>
                      </w:r>
                      <w:r>
                        <w:rPr/>
                        <w:t>de</w:t>
                      </w:r>
                      <w:r>
                        <w:rPr>
                          <w:spacing w:val="-11"/>
                        </w:rPr>
                        <w:t> </w:t>
                      </w:r>
                      <w:r>
                        <w:rPr/>
                        <w:t>mobiliario</w:t>
                      </w:r>
                      <w:r>
                        <w:rPr>
                          <w:spacing w:val="-9"/>
                        </w:rPr>
                        <w:t> </w:t>
                      </w:r>
                      <w:r>
                        <w:rPr/>
                        <w:t>educacional en más 64,88% respecto al periodo anterior, entre los factores más importantes.</w:t>
                      </w:r>
                    </w:p>
                    <w:p>
                      <w:pPr>
                        <w:pStyle w:val="BodyText"/>
                        <w:spacing w:line="276" w:lineRule="auto" w:before="122"/>
                        <w:ind w:left="103" w:right="99"/>
                        <w:jc w:val="both"/>
                      </w:pPr>
                      <w:r>
                        <w:rPr/>
                        <w:t>Aunque los gastos de depreciación y amortización en general tienden a mantenerse estables con una disminución bastante leve, pueden experimentar fluctuaciones de un período a otro. Esto se debe a factores como la incorporación de nuevos bienes a través de contrataciones administrativas o la eliminación</w:t>
                      </w:r>
                      <w:r>
                        <w:rPr>
                          <w:spacing w:val="-14"/>
                        </w:rPr>
                        <w:t> </w:t>
                      </w:r>
                      <w:r>
                        <w:rPr/>
                        <w:t>de</w:t>
                      </w:r>
                      <w:r>
                        <w:rPr>
                          <w:spacing w:val="-14"/>
                        </w:rPr>
                        <w:t> </w:t>
                      </w:r>
                      <w:r>
                        <w:rPr/>
                        <w:t>activos</w:t>
                      </w:r>
                      <w:r>
                        <w:rPr>
                          <w:spacing w:val="-14"/>
                        </w:rPr>
                        <w:t> </w:t>
                      </w:r>
                      <w:r>
                        <w:rPr/>
                        <w:t>que,</w:t>
                      </w:r>
                      <w:r>
                        <w:rPr>
                          <w:spacing w:val="-13"/>
                        </w:rPr>
                        <w:t> </w:t>
                      </w:r>
                      <w:r>
                        <w:rPr/>
                        <w:t>por</w:t>
                      </w:r>
                      <w:r>
                        <w:rPr>
                          <w:spacing w:val="-14"/>
                        </w:rPr>
                        <w:t> </w:t>
                      </w:r>
                      <w:r>
                        <w:rPr/>
                        <w:t>diversas</w:t>
                      </w:r>
                      <w:r>
                        <w:rPr>
                          <w:spacing w:val="-14"/>
                        </w:rPr>
                        <w:t> </w:t>
                      </w:r>
                      <w:r>
                        <w:rPr/>
                        <w:t>razones</w:t>
                      </w:r>
                      <w:r>
                        <w:rPr>
                          <w:spacing w:val="-14"/>
                        </w:rPr>
                        <w:t> </w:t>
                      </w:r>
                      <w:r>
                        <w:rPr/>
                        <w:t>(como</w:t>
                      </w:r>
                      <w:r>
                        <w:rPr>
                          <w:spacing w:val="-13"/>
                        </w:rPr>
                        <w:t> </w:t>
                      </w:r>
                      <w:r>
                        <w:rPr/>
                        <w:t>deterioro,</w:t>
                      </w:r>
                      <w:r>
                        <w:rPr>
                          <w:spacing w:val="-14"/>
                        </w:rPr>
                        <w:t> </w:t>
                      </w:r>
                      <w:r>
                        <w:rPr/>
                        <w:t>pérdida</w:t>
                      </w:r>
                      <w:r>
                        <w:rPr>
                          <w:spacing w:val="-14"/>
                        </w:rPr>
                        <w:t> </w:t>
                      </w:r>
                      <w:r>
                        <w:rPr/>
                        <w:t>o</w:t>
                      </w:r>
                      <w:r>
                        <w:rPr>
                          <w:spacing w:val="-14"/>
                        </w:rPr>
                        <w:t> </w:t>
                      </w:r>
                      <w:r>
                        <w:rPr/>
                        <w:t>cesión</w:t>
                      </w:r>
                      <w:r>
                        <w:rPr>
                          <w:spacing w:val="-13"/>
                        </w:rPr>
                        <w:t> </w:t>
                      </w:r>
                      <w:r>
                        <w:rPr/>
                        <w:t>de</w:t>
                      </w:r>
                      <w:r>
                        <w:rPr>
                          <w:spacing w:val="-14"/>
                        </w:rPr>
                        <w:t> </w:t>
                      </w:r>
                      <w:r>
                        <w:rPr/>
                        <w:t>derechos),</w:t>
                      </w:r>
                      <w:r>
                        <w:rPr>
                          <w:spacing w:val="-14"/>
                        </w:rPr>
                        <w:t> </w:t>
                      </w:r>
                      <w:r>
                        <w:rPr/>
                        <w:t>dejan de generar un potencial de servicio para la institución.</w:t>
                      </w:r>
                    </w:p>
                    <w:p>
                      <w:pPr>
                        <w:pStyle w:val="BodyText"/>
                        <w:spacing w:line="259" w:lineRule="auto" w:before="119"/>
                        <w:ind w:left="103" w:right="98"/>
                        <w:jc w:val="both"/>
                      </w:pPr>
                      <w:r>
                        <w:rPr/>
                        <w:t>Se</w:t>
                      </w:r>
                      <w:r>
                        <w:rPr>
                          <w:spacing w:val="-6"/>
                        </w:rPr>
                        <w:t> </w:t>
                      </w:r>
                      <w:r>
                        <w:rPr/>
                        <w:t>afecta</w:t>
                      </w:r>
                      <w:r>
                        <w:rPr>
                          <w:spacing w:val="-5"/>
                        </w:rPr>
                        <w:t> </w:t>
                      </w:r>
                      <w:r>
                        <w:rPr/>
                        <w:t>por</w:t>
                      </w:r>
                      <w:r>
                        <w:rPr>
                          <w:spacing w:val="-7"/>
                        </w:rPr>
                        <w:t> </w:t>
                      </w:r>
                      <w:r>
                        <w:rPr/>
                        <w:t>otra</w:t>
                      </w:r>
                      <w:r>
                        <w:rPr>
                          <w:spacing w:val="-7"/>
                        </w:rPr>
                        <w:t> </w:t>
                      </w:r>
                      <w:r>
                        <w:rPr/>
                        <w:t>parte</w:t>
                      </w:r>
                      <w:r>
                        <w:rPr>
                          <w:spacing w:val="-6"/>
                        </w:rPr>
                        <w:t> </w:t>
                      </w:r>
                      <w:r>
                        <w:rPr/>
                        <w:t>el</w:t>
                      </w:r>
                      <w:r>
                        <w:rPr>
                          <w:spacing w:val="-5"/>
                        </w:rPr>
                        <w:t> </w:t>
                      </w:r>
                      <w:r>
                        <w:rPr/>
                        <w:t>valor</w:t>
                      </w:r>
                      <w:r>
                        <w:rPr>
                          <w:spacing w:val="-4"/>
                        </w:rPr>
                        <w:t> </w:t>
                      </w:r>
                      <w:r>
                        <w:rPr/>
                        <w:t>de</w:t>
                      </w:r>
                      <w:r>
                        <w:rPr>
                          <w:spacing w:val="-6"/>
                        </w:rPr>
                        <w:t> </w:t>
                      </w:r>
                      <w:r>
                        <w:rPr/>
                        <w:t>la</w:t>
                      </w:r>
                      <w:r>
                        <w:rPr>
                          <w:spacing w:val="-6"/>
                        </w:rPr>
                        <w:t> </w:t>
                      </w:r>
                      <w:r>
                        <w:rPr/>
                        <w:t>depreciación</w:t>
                      </w:r>
                      <w:r>
                        <w:rPr>
                          <w:spacing w:val="-4"/>
                        </w:rPr>
                        <w:t> </w:t>
                      </w:r>
                      <w:r>
                        <w:rPr/>
                        <w:t>a</w:t>
                      </w:r>
                      <w:r>
                        <w:rPr>
                          <w:spacing w:val="-8"/>
                        </w:rPr>
                        <w:t> </w:t>
                      </w:r>
                      <w:r>
                        <w:rPr/>
                        <w:t>través</w:t>
                      </w:r>
                      <w:r>
                        <w:rPr>
                          <w:spacing w:val="-4"/>
                        </w:rPr>
                        <w:t> </w:t>
                      </w:r>
                      <w:r>
                        <w:rPr/>
                        <w:t>de</w:t>
                      </w:r>
                      <w:r>
                        <w:rPr>
                          <w:spacing w:val="-6"/>
                        </w:rPr>
                        <w:t> </w:t>
                      </w:r>
                      <w:r>
                        <w:rPr/>
                        <w:t>ajustes</w:t>
                      </w:r>
                      <w:r>
                        <w:rPr>
                          <w:spacing w:val="-4"/>
                        </w:rPr>
                        <w:t> </w:t>
                      </w:r>
                      <w:r>
                        <w:rPr/>
                        <w:t>relacionados</w:t>
                      </w:r>
                      <w:r>
                        <w:rPr>
                          <w:spacing w:val="-6"/>
                        </w:rPr>
                        <w:t> </w:t>
                      </w:r>
                      <w:r>
                        <w:rPr/>
                        <w:t>con</w:t>
                      </w:r>
                      <w:r>
                        <w:rPr>
                          <w:spacing w:val="-4"/>
                        </w:rPr>
                        <w:t> </w:t>
                      </w:r>
                      <w:r>
                        <w:rPr/>
                        <w:t>el</w:t>
                      </w:r>
                      <w:r>
                        <w:rPr>
                          <w:spacing w:val="-5"/>
                        </w:rPr>
                        <w:t> </w:t>
                      </w:r>
                      <w:r>
                        <w:rPr/>
                        <w:t>cambio</w:t>
                      </w:r>
                      <w:r>
                        <w:rPr>
                          <w:spacing w:val="-6"/>
                        </w:rPr>
                        <w:t> </w:t>
                      </w:r>
                      <w:r>
                        <w:rPr/>
                        <w:t>en</w:t>
                      </w:r>
                      <w:r>
                        <w:rPr>
                          <w:spacing w:val="-4"/>
                        </w:rPr>
                        <w:t> </w:t>
                      </w:r>
                      <w:r>
                        <w:rPr/>
                        <w:t>el valor</w:t>
                      </w:r>
                      <w:r>
                        <w:rPr>
                          <w:spacing w:val="-11"/>
                        </w:rPr>
                        <w:t> </w:t>
                      </w:r>
                      <w:r>
                        <w:rPr/>
                        <w:t>residual</w:t>
                      </w:r>
                      <w:r>
                        <w:rPr>
                          <w:spacing w:val="-11"/>
                        </w:rPr>
                        <w:t> </w:t>
                      </w:r>
                      <w:r>
                        <w:rPr/>
                        <w:t>de</w:t>
                      </w:r>
                      <w:r>
                        <w:rPr>
                          <w:spacing w:val="-12"/>
                        </w:rPr>
                        <w:t> </w:t>
                      </w:r>
                      <w:r>
                        <w:rPr/>
                        <w:t>los</w:t>
                      </w:r>
                      <w:r>
                        <w:rPr>
                          <w:spacing w:val="-10"/>
                        </w:rPr>
                        <w:t> </w:t>
                      </w:r>
                      <w:r>
                        <w:rPr/>
                        <w:t>bienes,</w:t>
                      </w:r>
                      <w:r>
                        <w:rPr>
                          <w:spacing w:val="-11"/>
                        </w:rPr>
                        <w:t> </w:t>
                      </w:r>
                      <w:r>
                        <w:rPr/>
                        <w:t>la</w:t>
                      </w:r>
                      <w:r>
                        <w:rPr>
                          <w:spacing w:val="-12"/>
                        </w:rPr>
                        <w:t> </w:t>
                      </w:r>
                      <w:r>
                        <w:rPr/>
                        <w:t>duración</w:t>
                      </w:r>
                      <w:r>
                        <w:rPr>
                          <w:spacing w:val="-11"/>
                        </w:rPr>
                        <w:t> </w:t>
                      </w:r>
                      <w:r>
                        <w:rPr/>
                        <w:t>de</w:t>
                      </w:r>
                      <w:r>
                        <w:rPr>
                          <w:spacing w:val="-12"/>
                        </w:rPr>
                        <w:t> </w:t>
                      </w:r>
                      <w:r>
                        <w:rPr/>
                        <w:t>la</w:t>
                      </w:r>
                      <w:r>
                        <w:rPr>
                          <w:spacing w:val="-12"/>
                        </w:rPr>
                        <w:t> </w:t>
                      </w:r>
                      <w:r>
                        <w:rPr/>
                        <w:t>vida</w:t>
                      </w:r>
                      <w:r>
                        <w:rPr>
                          <w:spacing w:val="-11"/>
                        </w:rPr>
                        <w:t> </w:t>
                      </w:r>
                      <w:r>
                        <w:rPr/>
                        <w:t>útil</w:t>
                      </w:r>
                      <w:r>
                        <w:rPr>
                          <w:spacing w:val="-12"/>
                        </w:rPr>
                        <w:t> </w:t>
                      </w:r>
                      <w:r>
                        <w:rPr/>
                        <w:t>de</w:t>
                      </w:r>
                      <w:r>
                        <w:rPr>
                          <w:spacing w:val="-10"/>
                        </w:rPr>
                        <w:t> </w:t>
                      </w:r>
                      <w:r>
                        <w:rPr/>
                        <w:t>los</w:t>
                      </w:r>
                      <w:r>
                        <w:rPr>
                          <w:spacing w:val="-10"/>
                        </w:rPr>
                        <w:t> </w:t>
                      </w:r>
                      <w:r>
                        <w:rPr/>
                        <w:t>activos</w:t>
                      </w:r>
                      <w:r>
                        <w:rPr>
                          <w:spacing w:val="-10"/>
                        </w:rPr>
                        <w:t> </w:t>
                      </w:r>
                      <w:r>
                        <w:rPr/>
                        <w:t>o</w:t>
                      </w:r>
                      <w:r>
                        <w:rPr>
                          <w:spacing w:val="-10"/>
                        </w:rPr>
                        <w:t> </w:t>
                      </w:r>
                      <w:r>
                        <w:rPr/>
                        <w:t>la</w:t>
                      </w:r>
                      <w:r>
                        <w:rPr>
                          <w:spacing w:val="-12"/>
                        </w:rPr>
                        <w:t> </w:t>
                      </w:r>
                      <w:r>
                        <w:rPr/>
                        <w:t>disposición</w:t>
                      </w:r>
                      <w:r>
                        <w:rPr>
                          <w:spacing w:val="-10"/>
                        </w:rPr>
                        <w:t> </w:t>
                      </w:r>
                      <w:r>
                        <w:rPr/>
                        <w:t>de</w:t>
                      </w:r>
                      <w:r>
                        <w:rPr>
                          <w:spacing w:val="-12"/>
                        </w:rPr>
                        <w:t> </w:t>
                      </w:r>
                      <w:r>
                        <w:rPr/>
                        <w:t>bienes</w:t>
                      </w:r>
                      <w:r>
                        <w:rPr>
                          <w:spacing w:val="-10"/>
                        </w:rPr>
                        <w:t> </w:t>
                      </w:r>
                      <w:r>
                        <w:rPr/>
                        <w:t>antiguos. Estas variaciones reflejan el impacto de las decisiones operativas y de gestión de activos a lo largo del </w:t>
                      </w:r>
                      <w:r>
                        <w:rPr>
                          <w:spacing w:val="-2"/>
                        </w:rPr>
                        <w:t>tiempo.</w:t>
                      </w:r>
                    </w:p>
                  </w:txbxContent>
                </v:textbox>
                <v:stroke dashstyle="solid"/>
                <w10:wrap type="topAndBottom"/>
              </v:shape>
            </w:pict>
          </mc:Fallback>
        </mc:AlternateContent>
      </w:r>
    </w:p>
    <w:p>
      <w:pPr>
        <w:pStyle w:val="BodyText"/>
        <w:spacing w:before="186"/>
      </w:pPr>
    </w:p>
    <w:p>
      <w:pPr>
        <w:spacing w:before="1"/>
        <w:ind w:left="622" w:right="0" w:firstLine="0"/>
        <w:jc w:val="left"/>
        <w:rPr>
          <w:b/>
          <w:sz w:val="22"/>
        </w:rPr>
      </w:pPr>
      <w:bookmarkStart w:name="_bookmark113" w:id="114"/>
      <w:bookmarkEnd w:id="114"/>
      <w:r>
        <w:rPr/>
      </w:r>
      <w:r>
        <w:rPr>
          <w:b/>
          <w:sz w:val="22"/>
        </w:rPr>
        <w:t>NOTA</w:t>
      </w:r>
      <w:r>
        <w:rPr>
          <w:b/>
          <w:spacing w:val="-1"/>
          <w:sz w:val="22"/>
        </w:rPr>
        <w:t> </w:t>
      </w:r>
      <w:r>
        <w:rPr>
          <w:b/>
          <w:sz w:val="22"/>
        </w:rPr>
        <w:t>N° </w:t>
      </w:r>
      <w:r>
        <w:rPr>
          <w:b/>
          <w:spacing w:val="-5"/>
          <w:sz w:val="22"/>
        </w:rPr>
        <w:t>63</w:t>
      </w:r>
    </w:p>
    <w:p>
      <w:pPr>
        <w:pStyle w:val="BodyText"/>
        <w:spacing w:before="114"/>
        <w:rPr>
          <w:b/>
        </w:rPr>
      </w:pPr>
    </w:p>
    <w:p>
      <w:pPr>
        <w:pStyle w:val="BodyText"/>
        <w:spacing w:before="1"/>
        <w:ind w:left="622"/>
      </w:pPr>
      <w:r>
        <w:rPr/>
        <w:t>Pérdidas</w:t>
      </w:r>
      <w:r>
        <w:rPr>
          <w:spacing w:val="-4"/>
        </w:rPr>
        <w:t> </w:t>
      </w:r>
      <w:r>
        <w:rPr/>
        <w:t>por</w:t>
      </w:r>
      <w:r>
        <w:rPr>
          <w:spacing w:val="-4"/>
        </w:rPr>
        <w:t> </w:t>
      </w:r>
      <w:r>
        <w:rPr/>
        <w:t>deterioro</w:t>
      </w:r>
      <w:r>
        <w:rPr>
          <w:spacing w:val="-5"/>
        </w:rPr>
        <w:t> </w:t>
      </w:r>
      <w:r>
        <w:rPr/>
        <w:t>y</w:t>
      </w:r>
      <w:r>
        <w:rPr>
          <w:spacing w:val="-5"/>
        </w:rPr>
        <w:t> </w:t>
      </w:r>
      <w:r>
        <w:rPr/>
        <w:t>desvalorización</w:t>
      </w:r>
      <w:r>
        <w:rPr>
          <w:spacing w:val="-4"/>
        </w:rPr>
        <w:t> </w:t>
      </w:r>
      <w:r>
        <w:rPr/>
        <w:t>de</w:t>
      </w:r>
      <w:r>
        <w:rPr>
          <w:spacing w:val="-3"/>
        </w:rPr>
        <w:t> </w:t>
      </w:r>
      <w:r>
        <w:rPr>
          <w:spacing w:val="-2"/>
        </w:rPr>
        <w:t>bienes</w:t>
      </w:r>
    </w:p>
    <w:p>
      <w:pPr>
        <w:pStyle w:val="BodyText"/>
        <w:rPr>
          <w:sz w:val="20"/>
        </w:rPr>
      </w:pPr>
    </w:p>
    <w:p>
      <w:pPr>
        <w:pStyle w:val="BodyText"/>
        <w:rPr>
          <w:sz w:val="20"/>
        </w:rPr>
      </w:pPr>
    </w:p>
    <w:p>
      <w:pPr>
        <w:pStyle w:val="BodyText"/>
        <w:spacing w:before="4" w:after="1"/>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402"/>
        <w:gridCol w:w="569"/>
        <w:gridCol w:w="1558"/>
        <w:gridCol w:w="1421"/>
        <w:gridCol w:w="1174"/>
      </w:tblGrid>
      <w:tr>
        <w:trPr>
          <w:trHeight w:val="325" w:hRule="atLeast"/>
        </w:trPr>
        <w:tc>
          <w:tcPr>
            <w:tcW w:w="984" w:type="dxa"/>
            <w:vMerge w:val="restart"/>
            <w:shd w:val="clear" w:color="auto" w:fill="365F92"/>
          </w:tcPr>
          <w:p>
            <w:pPr>
              <w:pStyle w:val="TableParagraph"/>
              <w:spacing w:before="133"/>
              <w:ind w:left="69"/>
              <w:rPr>
                <w:b/>
                <w:sz w:val="20"/>
              </w:rPr>
            </w:pPr>
            <w:r>
              <w:rPr>
                <w:b/>
                <w:color w:val="FFFFFF"/>
                <w:spacing w:val="-2"/>
                <w:sz w:val="20"/>
              </w:rPr>
              <w:t>Cuenta</w:t>
            </w:r>
          </w:p>
        </w:tc>
        <w:tc>
          <w:tcPr>
            <w:tcW w:w="3402" w:type="dxa"/>
            <w:vMerge w:val="restart"/>
            <w:shd w:val="clear" w:color="auto" w:fill="365F92"/>
          </w:tcPr>
          <w:p>
            <w:pPr>
              <w:pStyle w:val="TableParagraph"/>
              <w:spacing w:before="221"/>
              <w:ind w:left="18"/>
              <w:jc w:val="center"/>
              <w:rPr>
                <w:b/>
                <w:sz w:val="20"/>
              </w:rPr>
            </w:pPr>
            <w:r>
              <w:rPr>
                <w:b/>
                <w:color w:val="FFFFFF"/>
                <w:spacing w:val="-2"/>
                <w:sz w:val="20"/>
              </w:rPr>
              <w:t>Descripción</w:t>
            </w:r>
          </w:p>
        </w:tc>
        <w:tc>
          <w:tcPr>
            <w:tcW w:w="569" w:type="dxa"/>
            <w:vMerge w:val="restart"/>
            <w:shd w:val="clear" w:color="auto" w:fill="365F92"/>
          </w:tcPr>
          <w:p>
            <w:pPr>
              <w:pStyle w:val="TableParagraph"/>
              <w:spacing w:before="221"/>
              <w:ind w:left="85"/>
              <w:rPr>
                <w:b/>
                <w:sz w:val="20"/>
              </w:rPr>
            </w:pPr>
            <w:r>
              <w:rPr>
                <w:b/>
                <w:color w:val="FFFFFF"/>
                <w:spacing w:val="-4"/>
                <w:sz w:val="20"/>
              </w:rPr>
              <w:t>Nota</w:t>
            </w:r>
          </w:p>
        </w:tc>
        <w:tc>
          <w:tcPr>
            <w:tcW w:w="1558" w:type="dxa"/>
            <w:vMerge w:val="restart"/>
            <w:shd w:val="clear" w:color="auto" w:fill="365F92"/>
          </w:tcPr>
          <w:p>
            <w:pPr>
              <w:pStyle w:val="TableParagraph"/>
              <w:spacing w:before="221"/>
              <w:ind w:left="200"/>
              <w:rPr>
                <w:b/>
                <w:sz w:val="20"/>
              </w:rPr>
            </w:pPr>
            <w:r>
              <w:rPr>
                <w:b/>
                <w:color w:val="FFFFFF"/>
                <w:sz w:val="20"/>
              </w:rPr>
              <w:t>Periodo</w:t>
            </w:r>
            <w:r>
              <w:rPr>
                <w:b/>
                <w:color w:val="FFFFFF"/>
                <w:spacing w:val="-5"/>
                <w:sz w:val="20"/>
              </w:rPr>
              <w:t> </w:t>
            </w:r>
            <w:r>
              <w:rPr>
                <w:b/>
                <w:color w:val="FFFFFF"/>
                <w:spacing w:val="-2"/>
                <w:sz w:val="20"/>
              </w:rPr>
              <w:t>Actual</w:t>
            </w:r>
          </w:p>
        </w:tc>
        <w:tc>
          <w:tcPr>
            <w:tcW w:w="1421" w:type="dxa"/>
            <w:vMerge w:val="restart"/>
            <w:shd w:val="clear" w:color="auto" w:fill="365F92"/>
          </w:tcPr>
          <w:p>
            <w:pPr>
              <w:pStyle w:val="TableParagraph"/>
              <w:spacing w:before="109"/>
              <w:ind w:left="371" w:right="343" w:firstLine="45"/>
              <w:rPr>
                <w:b/>
                <w:sz w:val="20"/>
              </w:rPr>
            </w:pPr>
            <w:r>
              <w:rPr>
                <w:b/>
                <w:color w:val="FFFFFF"/>
                <w:spacing w:val="-2"/>
                <w:sz w:val="20"/>
              </w:rPr>
              <w:t>Periodo Anterior</w:t>
            </w:r>
          </w:p>
        </w:tc>
        <w:tc>
          <w:tcPr>
            <w:tcW w:w="1174" w:type="dxa"/>
            <w:shd w:val="clear" w:color="auto" w:fill="365F92"/>
          </w:tcPr>
          <w:p>
            <w:pPr>
              <w:pStyle w:val="TableParagraph"/>
              <w:spacing w:before="49"/>
              <w:ind w:left="15"/>
              <w:jc w:val="center"/>
              <w:rPr>
                <w:b/>
                <w:sz w:val="20"/>
              </w:rPr>
            </w:pPr>
            <w:r>
              <w:rPr>
                <w:b/>
                <w:color w:val="FFFFFF"/>
                <w:spacing w:val="-2"/>
                <w:sz w:val="20"/>
              </w:rPr>
              <w:t>Diferencia</w:t>
            </w:r>
          </w:p>
        </w:tc>
      </w:tr>
      <w:tr>
        <w:trPr>
          <w:trHeight w:val="328" w:hRule="atLeast"/>
        </w:trPr>
        <w:tc>
          <w:tcPr>
            <w:tcW w:w="984" w:type="dxa"/>
            <w:vMerge/>
            <w:tcBorders>
              <w:top w:val="nil"/>
            </w:tcBorders>
            <w:shd w:val="clear" w:color="auto" w:fill="365F92"/>
          </w:tcPr>
          <w:p>
            <w:pPr>
              <w:rPr>
                <w:sz w:val="2"/>
                <w:szCs w:val="2"/>
              </w:rPr>
            </w:pPr>
          </w:p>
        </w:tc>
        <w:tc>
          <w:tcPr>
            <w:tcW w:w="3402" w:type="dxa"/>
            <w:vMerge/>
            <w:tcBorders>
              <w:top w:val="nil"/>
            </w:tcBorders>
            <w:shd w:val="clear" w:color="auto" w:fill="365F92"/>
          </w:tcPr>
          <w:p>
            <w:pPr>
              <w:rPr>
                <w:sz w:val="2"/>
                <w:szCs w:val="2"/>
              </w:rPr>
            </w:pPr>
          </w:p>
        </w:tc>
        <w:tc>
          <w:tcPr>
            <w:tcW w:w="569" w:type="dxa"/>
            <w:vMerge/>
            <w:tcBorders>
              <w:top w:val="nil"/>
            </w:tcBorders>
            <w:shd w:val="clear" w:color="auto" w:fill="365F92"/>
          </w:tcPr>
          <w:p>
            <w:pPr>
              <w:rPr>
                <w:sz w:val="2"/>
                <w:szCs w:val="2"/>
              </w:rPr>
            </w:pPr>
          </w:p>
        </w:tc>
        <w:tc>
          <w:tcPr>
            <w:tcW w:w="1558" w:type="dxa"/>
            <w:vMerge/>
            <w:tcBorders>
              <w:top w:val="nil"/>
            </w:tcBorders>
            <w:shd w:val="clear" w:color="auto" w:fill="365F92"/>
          </w:tcPr>
          <w:p>
            <w:pPr>
              <w:rPr>
                <w:sz w:val="2"/>
                <w:szCs w:val="2"/>
              </w:rPr>
            </w:pPr>
          </w:p>
        </w:tc>
        <w:tc>
          <w:tcPr>
            <w:tcW w:w="1421" w:type="dxa"/>
            <w:vMerge/>
            <w:tcBorders>
              <w:top w:val="nil"/>
            </w:tcBorders>
            <w:shd w:val="clear" w:color="auto" w:fill="365F92"/>
          </w:tcPr>
          <w:p>
            <w:pPr>
              <w:rPr>
                <w:sz w:val="2"/>
                <w:szCs w:val="2"/>
              </w:rPr>
            </w:pPr>
          </w:p>
        </w:tc>
        <w:tc>
          <w:tcPr>
            <w:tcW w:w="1174" w:type="dxa"/>
            <w:shd w:val="clear" w:color="auto" w:fill="365F92"/>
          </w:tcPr>
          <w:p>
            <w:pPr>
              <w:pStyle w:val="TableParagraph"/>
              <w:spacing w:before="49"/>
              <w:ind w:left="15" w:right="1"/>
              <w:jc w:val="center"/>
              <w:rPr>
                <w:sz w:val="20"/>
              </w:rPr>
            </w:pPr>
            <w:r>
              <w:rPr>
                <w:color w:val="FFFFFF"/>
                <w:spacing w:val="-10"/>
                <w:sz w:val="20"/>
              </w:rPr>
              <w:t>%</w:t>
            </w:r>
          </w:p>
        </w:tc>
      </w:tr>
      <w:tr>
        <w:trPr>
          <w:trHeight w:val="546" w:hRule="atLeast"/>
        </w:trPr>
        <w:tc>
          <w:tcPr>
            <w:tcW w:w="984" w:type="dxa"/>
          </w:tcPr>
          <w:p>
            <w:pPr>
              <w:pStyle w:val="TableParagraph"/>
              <w:spacing w:before="157"/>
              <w:ind w:left="69"/>
              <w:rPr>
                <w:b/>
                <w:sz w:val="20"/>
              </w:rPr>
            </w:pPr>
            <w:r>
              <w:rPr>
                <w:b/>
                <w:spacing w:val="-2"/>
                <w:sz w:val="20"/>
              </w:rPr>
              <w:t>5.1.5.</w:t>
            </w:r>
          </w:p>
        </w:tc>
        <w:tc>
          <w:tcPr>
            <w:tcW w:w="3402" w:type="dxa"/>
          </w:tcPr>
          <w:p>
            <w:pPr>
              <w:pStyle w:val="TableParagraph"/>
              <w:spacing w:before="44"/>
              <w:ind w:left="69"/>
              <w:rPr>
                <w:b/>
                <w:sz w:val="20"/>
              </w:rPr>
            </w:pPr>
            <w:r>
              <w:rPr>
                <w:b/>
                <w:sz w:val="20"/>
              </w:rPr>
              <w:t>Pérdidas por deterioro y desvalorización de bienes</w:t>
            </w:r>
          </w:p>
        </w:tc>
        <w:tc>
          <w:tcPr>
            <w:tcW w:w="569" w:type="dxa"/>
          </w:tcPr>
          <w:p>
            <w:pPr>
              <w:pStyle w:val="TableParagraph"/>
              <w:spacing w:before="157"/>
              <w:ind w:left="184"/>
              <w:rPr>
                <w:b/>
                <w:sz w:val="20"/>
              </w:rPr>
            </w:pPr>
            <w:r>
              <w:rPr>
                <w:b/>
                <w:spacing w:val="-5"/>
                <w:sz w:val="20"/>
              </w:rPr>
              <w:t>63</w:t>
            </w:r>
          </w:p>
        </w:tc>
        <w:tc>
          <w:tcPr>
            <w:tcW w:w="1558" w:type="dxa"/>
          </w:tcPr>
          <w:p>
            <w:pPr>
              <w:pStyle w:val="TableParagraph"/>
              <w:spacing w:before="157"/>
              <w:ind w:left="14" w:right="2"/>
              <w:jc w:val="center"/>
              <w:rPr>
                <w:b/>
                <w:sz w:val="20"/>
              </w:rPr>
            </w:pPr>
            <w:r>
              <w:rPr>
                <w:b/>
                <w:spacing w:val="-4"/>
                <w:sz w:val="20"/>
              </w:rPr>
              <w:t>0,00</w:t>
            </w:r>
          </w:p>
        </w:tc>
        <w:tc>
          <w:tcPr>
            <w:tcW w:w="1421" w:type="dxa"/>
          </w:tcPr>
          <w:p>
            <w:pPr>
              <w:pStyle w:val="TableParagraph"/>
              <w:spacing w:before="157"/>
              <w:ind w:left="15"/>
              <w:jc w:val="center"/>
              <w:rPr>
                <w:b/>
                <w:sz w:val="20"/>
              </w:rPr>
            </w:pPr>
            <w:r>
              <w:rPr>
                <w:b/>
                <w:spacing w:val="-4"/>
                <w:sz w:val="20"/>
              </w:rPr>
              <w:t>0,00</w:t>
            </w:r>
          </w:p>
        </w:tc>
        <w:tc>
          <w:tcPr>
            <w:tcW w:w="1174" w:type="dxa"/>
          </w:tcPr>
          <w:p>
            <w:pPr>
              <w:pStyle w:val="TableParagraph"/>
              <w:spacing w:before="157"/>
              <w:ind w:left="15" w:right="1"/>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0656">
                <wp:simplePos x="0" y="0"/>
                <wp:positionH relativeFrom="page">
                  <wp:posOffset>9525</wp:posOffset>
                </wp:positionH>
                <wp:positionV relativeFrom="page">
                  <wp:posOffset>297208</wp:posOffset>
                </wp:positionV>
                <wp:extent cx="7762875" cy="9748520"/>
                <wp:effectExtent l="0" t="0" r="0" b="0"/>
                <wp:wrapNone/>
                <wp:docPr id="714" name="Group 714"/>
                <wp:cNvGraphicFramePr>
                  <a:graphicFrameLocks/>
                </wp:cNvGraphicFramePr>
                <a:graphic>
                  <a:graphicData uri="http://schemas.microsoft.com/office/word/2010/wordprocessingGroup">
                    <wpg:wgp>
                      <wpg:cNvPr id="714" name="Group 714"/>
                      <wpg:cNvGrpSpPr/>
                      <wpg:grpSpPr>
                        <a:xfrm>
                          <a:off x="0" y="0"/>
                          <a:ext cx="7762875" cy="9748520"/>
                          <a:chExt cx="7762875" cy="9748520"/>
                        </a:xfrm>
                      </wpg:grpSpPr>
                      <pic:pic>
                        <pic:nvPicPr>
                          <pic:cNvPr id="715" name="Image 715"/>
                          <pic:cNvPicPr/>
                        </pic:nvPicPr>
                        <pic:blipFill>
                          <a:blip r:embed="rId5" cstate="print"/>
                          <a:stretch>
                            <a:fillRect/>
                          </a:stretch>
                        </pic:blipFill>
                        <pic:spPr>
                          <a:xfrm>
                            <a:off x="0" y="0"/>
                            <a:ext cx="7762874" cy="9748489"/>
                          </a:xfrm>
                          <a:prstGeom prst="rect">
                            <a:avLst/>
                          </a:prstGeom>
                        </pic:spPr>
                      </pic:pic>
                      <wps:wsp>
                        <wps:cNvPr id="716" name="Graphic 71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45824" id="docshapegroup692" coordorigin="15,468" coordsize="12225,15352">
                <v:shape style="position:absolute;left:15;top:468;width:12225;height:15352" type="#_x0000_t75" id="docshape693" stroked="false">
                  <v:imagedata r:id="rId5" o:title=""/>
                </v:shape>
                <v:rect style="position:absolute;left:1673;top:2028;width:8897;height:15" id="docshape69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145</w:t>
      </w:r>
    </w:p>
    <w:p>
      <w:pPr>
        <w:pStyle w:val="Heading6"/>
        <w:spacing w:before="218"/>
        <w:ind w:left="622"/>
        <w:rPr>
          <w:b w:val="0"/>
        </w:rPr>
      </w:pPr>
      <w:r>
        <w:rPr>
          <w:spacing w:val="-2"/>
        </w:rPr>
        <w:t>Revelación</w:t>
      </w:r>
      <w:r>
        <w:rPr>
          <w:b w:val="0"/>
          <w:spacing w:val="-2"/>
        </w:rPr>
        <w:t>:</w:t>
      </w:r>
    </w:p>
    <w:p>
      <w:pPr>
        <w:pStyle w:val="BodyText"/>
        <w:spacing w:line="259" w:lineRule="auto" w:before="181"/>
        <w:ind w:left="622" w:right="978"/>
        <w:jc w:val="both"/>
      </w:pPr>
      <w:r>
        <w:rPr/>
        <w:t>La</w:t>
      </w:r>
      <w:r>
        <w:rPr>
          <w:spacing w:val="-6"/>
        </w:rPr>
        <w:t> </w:t>
      </w:r>
      <w:r>
        <w:rPr/>
        <w:t>cuenta</w:t>
      </w:r>
      <w:r>
        <w:rPr>
          <w:spacing w:val="-7"/>
        </w:rPr>
        <w:t> </w:t>
      </w:r>
      <w:r>
        <w:rPr/>
        <w:t>Pérdidas</w:t>
      </w:r>
      <w:r>
        <w:rPr>
          <w:spacing w:val="-5"/>
        </w:rPr>
        <w:t> </w:t>
      </w:r>
      <w:r>
        <w:rPr/>
        <w:t>por</w:t>
      </w:r>
      <w:r>
        <w:rPr>
          <w:spacing w:val="-6"/>
        </w:rPr>
        <w:t> </w:t>
      </w:r>
      <w:r>
        <w:rPr/>
        <w:t>deterioro</w:t>
      </w:r>
      <w:r>
        <w:rPr>
          <w:spacing w:val="-6"/>
        </w:rPr>
        <w:t> </w:t>
      </w:r>
      <w:r>
        <w:rPr/>
        <w:t>y</w:t>
      </w:r>
      <w:r>
        <w:rPr>
          <w:spacing w:val="-6"/>
        </w:rPr>
        <w:t> </w:t>
      </w:r>
      <w:r>
        <w:rPr/>
        <w:t>desvalorización</w:t>
      </w:r>
      <w:r>
        <w:rPr>
          <w:spacing w:val="-5"/>
        </w:rPr>
        <w:t> </w:t>
      </w:r>
      <w:r>
        <w:rPr/>
        <w:t>de</w:t>
      </w:r>
      <w:r>
        <w:rPr>
          <w:spacing w:val="-5"/>
        </w:rPr>
        <w:t> </w:t>
      </w:r>
      <w:r>
        <w:rPr/>
        <w:t>bienes,</w:t>
      </w:r>
      <w:r>
        <w:rPr>
          <w:spacing w:val="-7"/>
        </w:rPr>
        <w:t> </w:t>
      </w:r>
      <w:r>
        <w:rPr/>
        <w:t>representa</w:t>
      </w:r>
      <w:r>
        <w:rPr>
          <w:spacing w:val="-7"/>
        </w:rPr>
        <w:t> </w:t>
      </w:r>
      <w:r>
        <w:rPr/>
        <w:t>el</w:t>
      </w:r>
      <w:r>
        <w:rPr>
          <w:spacing w:val="-6"/>
        </w:rPr>
        <w:t> </w:t>
      </w:r>
      <w:r>
        <w:rPr/>
        <w:t>0,00%</w:t>
      </w:r>
      <w:r>
        <w:rPr>
          <w:spacing w:val="-8"/>
        </w:rPr>
        <w:t> </w:t>
      </w:r>
      <w:r>
        <w:rPr/>
        <w:t>del</w:t>
      </w:r>
      <w:r>
        <w:rPr>
          <w:spacing w:val="-6"/>
        </w:rPr>
        <w:t> </w:t>
      </w:r>
      <w:r>
        <w:rPr/>
        <w:t>total</w:t>
      </w:r>
      <w:r>
        <w:rPr>
          <w:spacing w:val="-6"/>
        </w:rPr>
        <w:t> </w:t>
      </w:r>
      <w:r>
        <w:rPr/>
        <w:t>del</w:t>
      </w:r>
      <w:r>
        <w:rPr>
          <w:spacing w:val="-6"/>
        </w:rPr>
        <w:t> </w:t>
      </w:r>
      <w:r>
        <w:rPr/>
        <w:t>Gastos, que comparado al periodo anterior genera una variación absoluta de 0 000,00 que corresponde a un Aumento del 0,00% de recursos disponibles.</w:t>
      </w:r>
    </w:p>
    <w:p>
      <w:pPr>
        <w:pStyle w:val="BodyText"/>
        <w:rPr>
          <w:sz w:val="20"/>
        </w:rPr>
      </w:pPr>
    </w:p>
    <w:p>
      <w:pPr>
        <w:pStyle w:val="BodyText"/>
        <w:spacing w:before="107"/>
        <w:rPr>
          <w:sz w:val="20"/>
        </w:rPr>
      </w:pPr>
      <w:r>
        <w:rPr>
          <w:sz w:val="20"/>
        </w:rPr>
        <mc:AlternateContent>
          <mc:Choice Requires="wps">
            <w:drawing>
              <wp:anchor distT="0" distB="0" distL="0" distR="0" allowOverlap="1" layoutInCell="1" locked="0" behindDoc="1" simplePos="0" relativeHeight="487732224">
                <wp:simplePos x="0" y="0"/>
                <wp:positionH relativeFrom="page">
                  <wp:posOffset>1080820</wp:posOffset>
                </wp:positionH>
                <wp:positionV relativeFrom="paragraph">
                  <wp:posOffset>231632</wp:posOffset>
                </wp:positionV>
                <wp:extent cx="5715000" cy="555625"/>
                <wp:effectExtent l="0" t="0" r="0" b="0"/>
                <wp:wrapTopAndBottom/>
                <wp:docPr id="717" name="Textbox 717"/>
                <wp:cNvGraphicFramePr>
                  <a:graphicFrameLocks/>
                </wp:cNvGraphicFramePr>
                <a:graphic>
                  <a:graphicData uri="http://schemas.microsoft.com/office/word/2010/wordprocessingShape">
                    <wps:wsp>
                      <wps:cNvPr id="717" name="Textbox 717"/>
                      <wps:cNvSpPr txBox="1"/>
                      <wps:spPr>
                        <a:xfrm>
                          <a:off x="0" y="0"/>
                          <a:ext cx="5715000" cy="555625"/>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238745pt;width:450pt;height:43.75pt;mso-position-horizontal-relative:page;mso-position-vertical-relative:paragraph;z-index:-15584256;mso-wrap-distance-left:0;mso-wrap-distance-right:0" type="#_x0000_t202" id="docshape695"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v:textbox>
                <v:stroke dashstyle="solid"/>
                <w10:wrap type="topAndBottom"/>
              </v:shape>
            </w:pict>
          </mc:Fallback>
        </mc:AlternateContent>
      </w:r>
    </w:p>
    <w:p>
      <w:pPr>
        <w:pStyle w:val="BodyText"/>
        <w:spacing w:before="183"/>
      </w:pPr>
    </w:p>
    <w:p>
      <w:pPr>
        <w:pStyle w:val="Heading6"/>
        <w:tabs>
          <w:tab w:pos="9489" w:val="left" w:leader="none"/>
        </w:tabs>
        <w:spacing w:before="1"/>
        <w:ind w:left="622"/>
      </w:pPr>
      <w:r>
        <w:rPr>
          <w:color w:val="FFFFFF"/>
          <w:shd w:fill="365F92" w:color="auto" w:val="clear"/>
        </w:rPr>
        <w:t>En</w:t>
      </w:r>
      <w:r>
        <w:rPr>
          <w:color w:val="FFFFFF"/>
          <w:spacing w:val="-5"/>
          <w:shd w:fill="365F92" w:color="auto" w:val="clear"/>
        </w:rPr>
        <w:t> </w:t>
      </w:r>
      <w:r>
        <w:rPr>
          <w:color w:val="FFFFFF"/>
          <w:shd w:fill="365F92" w:color="auto" w:val="clear"/>
        </w:rPr>
        <w:t>caso</w:t>
      </w:r>
      <w:r>
        <w:rPr>
          <w:color w:val="FFFFFF"/>
          <w:spacing w:val="-2"/>
          <w:shd w:fill="365F92" w:color="auto" w:val="clear"/>
        </w:rPr>
        <w:t> </w:t>
      </w:r>
      <w:r>
        <w:rPr>
          <w:color w:val="FFFFFF"/>
          <w:shd w:fill="365F92" w:color="auto" w:val="clear"/>
        </w:rPr>
        <w:t>de</w:t>
      </w:r>
      <w:r>
        <w:rPr>
          <w:color w:val="FFFFFF"/>
          <w:spacing w:val="-3"/>
          <w:shd w:fill="365F92" w:color="auto" w:val="clear"/>
        </w:rPr>
        <w:t> </w:t>
      </w:r>
      <w:r>
        <w:rPr>
          <w:color w:val="FFFFFF"/>
          <w:shd w:fill="365F92" w:color="auto" w:val="clear"/>
        </w:rPr>
        <w:t>aplicar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21</w:t>
      </w:r>
      <w:r>
        <w:rPr>
          <w:color w:val="FFFFFF"/>
          <w:spacing w:val="-2"/>
          <w:shd w:fill="365F92" w:color="auto" w:val="clear"/>
        </w:rPr>
        <w:t> </w:t>
      </w:r>
      <w:r>
        <w:rPr>
          <w:color w:val="FFFFFF"/>
          <w:shd w:fill="365F92" w:color="auto" w:val="clear"/>
        </w:rPr>
        <w:t>y</w:t>
      </w:r>
      <w:r>
        <w:rPr>
          <w:color w:val="FFFFFF"/>
          <w:spacing w:val="-3"/>
          <w:shd w:fill="365F92" w:color="auto" w:val="clear"/>
        </w:rPr>
        <w:t> </w:t>
      </w:r>
      <w:r>
        <w:rPr>
          <w:color w:val="FFFFFF"/>
          <w:shd w:fill="365F92" w:color="auto" w:val="clear"/>
        </w:rPr>
        <w:t>26</w:t>
      </w:r>
      <w:r>
        <w:rPr>
          <w:color w:val="FFFFFF"/>
          <w:spacing w:val="-5"/>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la</w:t>
      </w:r>
      <w:r>
        <w:rPr>
          <w:color w:val="FFFFFF"/>
          <w:spacing w:val="-4"/>
          <w:shd w:fill="365F92" w:color="auto" w:val="clear"/>
        </w:rPr>
        <w:t> </w:t>
      </w:r>
      <w:r>
        <w:rPr>
          <w:color w:val="FFFFFF"/>
          <w:shd w:fill="365F92" w:color="auto" w:val="clear"/>
        </w:rPr>
        <w:t>información</w:t>
      </w:r>
      <w:r>
        <w:rPr>
          <w:color w:val="FFFFFF"/>
          <w:spacing w:val="-2"/>
          <w:shd w:fill="365F92" w:color="auto" w:val="clear"/>
        </w:rPr>
        <w:t> </w:t>
      </w:r>
      <w:r>
        <w:rPr>
          <w:color w:val="FFFFFF"/>
          <w:shd w:fill="365F92" w:color="auto" w:val="clear"/>
        </w:rPr>
        <w:t>que</w:t>
      </w:r>
      <w:r>
        <w:rPr>
          <w:color w:val="FFFFFF"/>
          <w:spacing w:val="-2"/>
          <w:shd w:fill="365F92" w:color="auto" w:val="clear"/>
        </w:rPr>
        <w:t> </w:t>
      </w:r>
      <w:r>
        <w:rPr>
          <w:color w:val="FFFFFF"/>
          <w:shd w:fill="365F92" w:color="auto" w:val="clear"/>
        </w:rPr>
        <w:t>solicita</w:t>
      </w:r>
      <w:r>
        <w:rPr>
          <w:color w:val="FFFFFF"/>
          <w:spacing w:val="-2"/>
          <w:shd w:fill="365F92" w:color="auto" w:val="clear"/>
        </w:rPr>
        <w:t> </w:t>
      </w:r>
      <w:r>
        <w:rPr>
          <w:color w:val="FFFFFF"/>
          <w:shd w:fill="365F92" w:color="auto" w:val="clear"/>
        </w:rPr>
        <w:t>la</w:t>
      </w:r>
      <w:r>
        <w:rPr>
          <w:color w:val="FFFFFF"/>
          <w:spacing w:val="-3"/>
          <w:shd w:fill="365F92" w:color="auto" w:val="clear"/>
        </w:rPr>
        <w:t> </w:t>
      </w:r>
      <w:r>
        <w:rPr>
          <w:color w:val="FFFFFF"/>
          <w:spacing w:val="-2"/>
          <w:shd w:fill="365F92" w:color="auto" w:val="clear"/>
        </w:rPr>
        <w:t>norma.</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732736">
                <wp:simplePos x="0" y="0"/>
                <wp:positionH relativeFrom="page">
                  <wp:posOffset>1080820</wp:posOffset>
                </wp:positionH>
                <wp:positionV relativeFrom="paragraph">
                  <wp:posOffset>117681</wp:posOffset>
                </wp:positionV>
                <wp:extent cx="5715000" cy="725805"/>
                <wp:effectExtent l="0" t="0" r="0" b="0"/>
                <wp:wrapTopAndBottom/>
                <wp:docPr id="718" name="Textbox 718"/>
                <wp:cNvGraphicFramePr>
                  <a:graphicFrameLocks/>
                </wp:cNvGraphicFramePr>
                <a:graphic>
                  <a:graphicData uri="http://schemas.microsoft.com/office/word/2010/wordprocessingShape">
                    <wps:wsp>
                      <wps:cNvPr id="718" name="Textbox 718"/>
                      <wps:cNvSpPr txBox="1"/>
                      <wps:spPr>
                        <a:xfrm>
                          <a:off x="0" y="0"/>
                          <a:ext cx="5715000" cy="7258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w:t>
                            </w:r>
                            <w:r>
                              <w:rPr>
                                <w:spacing w:val="23"/>
                              </w:rPr>
                              <w:t> </w:t>
                            </w:r>
                            <w:r>
                              <w:rPr/>
                              <w:t>la</w:t>
                            </w:r>
                            <w:r>
                              <w:rPr>
                                <w:spacing w:val="21"/>
                              </w:rPr>
                              <w:t> </w:t>
                            </w:r>
                            <w:r>
                              <w:rPr/>
                              <w:t>fecha</w:t>
                            </w:r>
                            <w:r>
                              <w:rPr>
                                <w:spacing w:val="22"/>
                              </w:rPr>
                              <w:t> </w:t>
                            </w:r>
                            <w:r>
                              <w:rPr/>
                              <w:t>de</w:t>
                            </w:r>
                            <w:r>
                              <w:rPr>
                                <w:spacing w:val="23"/>
                              </w:rPr>
                              <w:t> </w:t>
                            </w:r>
                            <w:r>
                              <w:rPr/>
                              <w:t>emisión</w:t>
                            </w:r>
                            <w:r>
                              <w:rPr>
                                <w:spacing w:val="23"/>
                              </w:rPr>
                              <w:t> </w:t>
                            </w:r>
                            <w:r>
                              <w:rPr/>
                              <w:t>de</w:t>
                            </w:r>
                            <w:r>
                              <w:rPr>
                                <w:spacing w:val="21"/>
                              </w:rPr>
                              <w:t> </w:t>
                            </w:r>
                            <w:r>
                              <w:rPr/>
                              <w:t>los</w:t>
                            </w:r>
                            <w:r>
                              <w:rPr>
                                <w:spacing w:val="23"/>
                              </w:rPr>
                              <w:t> </w:t>
                            </w:r>
                            <w:r>
                              <w:rPr/>
                              <w:t>presentes</w:t>
                            </w:r>
                            <w:r>
                              <w:rPr>
                                <w:spacing w:val="23"/>
                              </w:rPr>
                              <w:t> </w:t>
                            </w:r>
                            <w:r>
                              <w:rPr/>
                              <w:t>Estados</w:t>
                            </w:r>
                            <w:r>
                              <w:rPr>
                                <w:spacing w:val="23"/>
                              </w:rPr>
                              <w:t> </w:t>
                            </w:r>
                            <w:r>
                              <w:rPr/>
                              <w:t>Financieros,</w:t>
                            </w:r>
                            <w:r>
                              <w:rPr>
                                <w:spacing w:val="23"/>
                              </w:rPr>
                              <w:t> </w:t>
                            </w:r>
                            <w:r>
                              <w:rPr/>
                              <w:t>el</w:t>
                            </w:r>
                            <w:r>
                              <w:rPr>
                                <w:spacing w:val="22"/>
                              </w:rPr>
                              <w:t> </w:t>
                            </w:r>
                            <w:r>
                              <w:rPr/>
                              <w:t>IMAS</w:t>
                            </w:r>
                            <w:r>
                              <w:rPr>
                                <w:spacing w:val="23"/>
                              </w:rPr>
                              <w:t> </w:t>
                            </w:r>
                            <w:r>
                              <w:rPr/>
                              <w:t>declara</w:t>
                            </w:r>
                            <w:r>
                              <w:rPr>
                                <w:spacing w:val="22"/>
                              </w:rPr>
                              <w:t> </w:t>
                            </w:r>
                            <w:r>
                              <w:rPr/>
                              <w:t>que</w:t>
                            </w:r>
                            <w:r>
                              <w:rPr>
                                <w:spacing w:val="21"/>
                              </w:rPr>
                              <w:t> </w:t>
                            </w:r>
                            <w:r>
                              <w:rPr/>
                              <w:t>no</w:t>
                            </w:r>
                            <w:r>
                              <w:rPr>
                                <w:spacing w:val="23"/>
                              </w:rPr>
                              <w:t> </w:t>
                            </w:r>
                            <w:r>
                              <w:rPr/>
                              <w:t>posee</w:t>
                            </w:r>
                            <w:r>
                              <w:rPr>
                                <w:spacing w:val="22"/>
                              </w:rPr>
                              <w:t> </w:t>
                            </w:r>
                            <w:r>
                              <w:rPr/>
                              <w:t>ni</w:t>
                            </w:r>
                            <w:r>
                              <w:rPr>
                                <w:spacing w:val="22"/>
                              </w:rPr>
                              <w:t> </w:t>
                            </w:r>
                            <w:r>
                              <w:rPr/>
                              <w:t>ha generado transacciones o registros relacionados con gastos por pérdidas por deterioro.</w:t>
                            </w:r>
                          </w:p>
                        </w:txbxContent>
                      </wps:txbx>
                      <wps:bodyPr wrap="square" lIns="0" tIns="0" rIns="0" bIns="0" rtlCol="0">
                        <a:noAutofit/>
                      </wps:bodyPr>
                    </wps:wsp>
                  </a:graphicData>
                </a:graphic>
              </wp:anchor>
            </w:drawing>
          </mc:Choice>
          <mc:Fallback>
            <w:pict>
              <v:shape style="position:absolute;margin-left:85.103996pt;margin-top:9.266245pt;width:450pt;height:57.15pt;mso-position-horizontal-relative:page;mso-position-vertical-relative:paragraph;z-index:-15583744;mso-wrap-distance-left:0;mso-wrap-distance-right:0" type="#_x0000_t202" id="docshape69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w:t>
                      </w:r>
                      <w:r>
                        <w:rPr>
                          <w:spacing w:val="23"/>
                        </w:rPr>
                        <w:t> </w:t>
                      </w:r>
                      <w:r>
                        <w:rPr/>
                        <w:t>la</w:t>
                      </w:r>
                      <w:r>
                        <w:rPr>
                          <w:spacing w:val="21"/>
                        </w:rPr>
                        <w:t> </w:t>
                      </w:r>
                      <w:r>
                        <w:rPr/>
                        <w:t>fecha</w:t>
                      </w:r>
                      <w:r>
                        <w:rPr>
                          <w:spacing w:val="22"/>
                        </w:rPr>
                        <w:t> </w:t>
                      </w:r>
                      <w:r>
                        <w:rPr/>
                        <w:t>de</w:t>
                      </w:r>
                      <w:r>
                        <w:rPr>
                          <w:spacing w:val="23"/>
                        </w:rPr>
                        <w:t> </w:t>
                      </w:r>
                      <w:r>
                        <w:rPr/>
                        <w:t>emisión</w:t>
                      </w:r>
                      <w:r>
                        <w:rPr>
                          <w:spacing w:val="23"/>
                        </w:rPr>
                        <w:t> </w:t>
                      </w:r>
                      <w:r>
                        <w:rPr/>
                        <w:t>de</w:t>
                      </w:r>
                      <w:r>
                        <w:rPr>
                          <w:spacing w:val="21"/>
                        </w:rPr>
                        <w:t> </w:t>
                      </w:r>
                      <w:r>
                        <w:rPr/>
                        <w:t>los</w:t>
                      </w:r>
                      <w:r>
                        <w:rPr>
                          <w:spacing w:val="23"/>
                        </w:rPr>
                        <w:t> </w:t>
                      </w:r>
                      <w:r>
                        <w:rPr/>
                        <w:t>presentes</w:t>
                      </w:r>
                      <w:r>
                        <w:rPr>
                          <w:spacing w:val="23"/>
                        </w:rPr>
                        <w:t> </w:t>
                      </w:r>
                      <w:r>
                        <w:rPr/>
                        <w:t>Estados</w:t>
                      </w:r>
                      <w:r>
                        <w:rPr>
                          <w:spacing w:val="23"/>
                        </w:rPr>
                        <w:t> </w:t>
                      </w:r>
                      <w:r>
                        <w:rPr/>
                        <w:t>Financieros,</w:t>
                      </w:r>
                      <w:r>
                        <w:rPr>
                          <w:spacing w:val="23"/>
                        </w:rPr>
                        <w:t> </w:t>
                      </w:r>
                      <w:r>
                        <w:rPr/>
                        <w:t>el</w:t>
                      </w:r>
                      <w:r>
                        <w:rPr>
                          <w:spacing w:val="22"/>
                        </w:rPr>
                        <w:t> </w:t>
                      </w:r>
                      <w:r>
                        <w:rPr/>
                        <w:t>IMAS</w:t>
                      </w:r>
                      <w:r>
                        <w:rPr>
                          <w:spacing w:val="23"/>
                        </w:rPr>
                        <w:t> </w:t>
                      </w:r>
                      <w:r>
                        <w:rPr/>
                        <w:t>declara</w:t>
                      </w:r>
                      <w:r>
                        <w:rPr>
                          <w:spacing w:val="22"/>
                        </w:rPr>
                        <w:t> </w:t>
                      </w:r>
                      <w:r>
                        <w:rPr/>
                        <w:t>que</w:t>
                      </w:r>
                      <w:r>
                        <w:rPr>
                          <w:spacing w:val="21"/>
                        </w:rPr>
                        <w:t> </w:t>
                      </w:r>
                      <w:r>
                        <w:rPr/>
                        <w:t>no</w:t>
                      </w:r>
                      <w:r>
                        <w:rPr>
                          <w:spacing w:val="23"/>
                        </w:rPr>
                        <w:t> </w:t>
                      </w:r>
                      <w:r>
                        <w:rPr/>
                        <w:t>posee</w:t>
                      </w:r>
                      <w:r>
                        <w:rPr>
                          <w:spacing w:val="22"/>
                        </w:rPr>
                        <w:t> </w:t>
                      </w:r>
                      <w:r>
                        <w:rPr/>
                        <w:t>ni</w:t>
                      </w:r>
                      <w:r>
                        <w:rPr>
                          <w:spacing w:val="22"/>
                        </w:rPr>
                        <w:t> </w:t>
                      </w:r>
                      <w:r>
                        <w:rPr/>
                        <w:t>ha generado transacciones o registros relacionados con gastos por pérdidas por deterioro.</w:t>
                      </w:r>
                    </w:p>
                  </w:txbxContent>
                </v:textbox>
                <v:stroke dashstyle="solid"/>
                <w10:wrap type="topAndBottom"/>
              </v:shape>
            </w:pict>
          </mc:Fallback>
        </mc:AlternateContent>
      </w:r>
    </w:p>
    <w:p>
      <w:pPr>
        <w:pStyle w:val="BodyText"/>
        <w:spacing w:before="183"/>
        <w:rPr>
          <w:b/>
        </w:rPr>
      </w:pPr>
    </w:p>
    <w:p>
      <w:pPr>
        <w:spacing w:before="1"/>
        <w:ind w:left="622" w:right="0" w:firstLine="0"/>
        <w:jc w:val="left"/>
        <w:rPr>
          <w:b/>
          <w:sz w:val="22"/>
        </w:rPr>
      </w:pPr>
      <w:bookmarkStart w:name="_bookmark114" w:id="115"/>
      <w:bookmarkEnd w:id="115"/>
      <w:r>
        <w:rPr/>
      </w:r>
      <w:r>
        <w:rPr>
          <w:b/>
          <w:sz w:val="22"/>
        </w:rPr>
        <w:t>NOTA</w:t>
      </w:r>
      <w:r>
        <w:rPr>
          <w:b/>
          <w:spacing w:val="-1"/>
          <w:sz w:val="22"/>
        </w:rPr>
        <w:t> </w:t>
      </w:r>
      <w:r>
        <w:rPr>
          <w:b/>
          <w:sz w:val="22"/>
        </w:rPr>
        <w:t>N° </w:t>
      </w:r>
      <w:r>
        <w:rPr>
          <w:b/>
          <w:spacing w:val="-5"/>
          <w:sz w:val="22"/>
        </w:rPr>
        <w:t>64</w:t>
      </w:r>
    </w:p>
    <w:p>
      <w:pPr>
        <w:pStyle w:val="BodyText"/>
        <w:spacing w:before="114"/>
        <w:rPr>
          <w:b/>
        </w:rPr>
      </w:pPr>
    </w:p>
    <w:p>
      <w:pPr>
        <w:pStyle w:val="BodyText"/>
        <w:spacing w:before="1"/>
        <w:ind w:left="622"/>
      </w:pPr>
      <w:r>
        <w:rPr/>
        <w:t>Deterioro</w:t>
      </w:r>
      <w:r>
        <w:rPr>
          <w:spacing w:val="-5"/>
        </w:rPr>
        <w:t> </w:t>
      </w:r>
      <w:r>
        <w:rPr/>
        <w:t>y</w:t>
      </w:r>
      <w:r>
        <w:rPr>
          <w:spacing w:val="-5"/>
        </w:rPr>
        <w:t> </w:t>
      </w:r>
      <w:r>
        <w:rPr/>
        <w:t>pérdidas</w:t>
      </w:r>
      <w:r>
        <w:rPr>
          <w:spacing w:val="-4"/>
        </w:rPr>
        <w:t> </w:t>
      </w:r>
      <w:r>
        <w:rPr/>
        <w:t>de</w:t>
      </w:r>
      <w:r>
        <w:rPr>
          <w:spacing w:val="-3"/>
        </w:rPr>
        <w:t> </w:t>
      </w:r>
      <w:r>
        <w:rPr>
          <w:spacing w:val="-2"/>
        </w:rPr>
        <w:t>inventarios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114"/>
        <w:gridCol w:w="571"/>
        <w:gridCol w:w="1560"/>
        <w:gridCol w:w="1607"/>
        <w:gridCol w:w="1197"/>
      </w:tblGrid>
      <w:tr>
        <w:trPr>
          <w:trHeight w:val="323" w:hRule="atLeast"/>
        </w:trPr>
        <w:tc>
          <w:tcPr>
            <w:tcW w:w="984" w:type="dxa"/>
            <w:vMerge w:val="restart"/>
            <w:shd w:val="clear" w:color="auto" w:fill="365F92"/>
          </w:tcPr>
          <w:p>
            <w:pPr>
              <w:pStyle w:val="TableParagraph"/>
              <w:spacing w:before="120"/>
              <w:ind w:left="69"/>
              <w:rPr>
                <w:b/>
                <w:sz w:val="22"/>
              </w:rPr>
            </w:pPr>
            <w:r>
              <w:rPr>
                <w:b/>
                <w:color w:val="FFFFFF"/>
                <w:spacing w:val="-2"/>
                <w:sz w:val="22"/>
              </w:rPr>
              <w:t>Cuenta</w:t>
            </w:r>
          </w:p>
        </w:tc>
        <w:tc>
          <w:tcPr>
            <w:tcW w:w="3114" w:type="dxa"/>
            <w:vMerge w:val="restart"/>
            <w:shd w:val="clear" w:color="auto" w:fill="365F92"/>
          </w:tcPr>
          <w:p>
            <w:pPr>
              <w:pStyle w:val="TableParagraph"/>
              <w:spacing w:before="209"/>
              <w:ind w:left="1027"/>
              <w:rPr>
                <w:b/>
                <w:sz w:val="22"/>
              </w:rPr>
            </w:pPr>
            <w:r>
              <w:rPr>
                <w:b/>
                <w:color w:val="FFFFFF"/>
                <w:spacing w:val="-2"/>
                <w:sz w:val="22"/>
              </w:rPr>
              <w:t>Descripción</w:t>
            </w:r>
          </w:p>
        </w:tc>
        <w:tc>
          <w:tcPr>
            <w:tcW w:w="571" w:type="dxa"/>
            <w:vMerge w:val="restart"/>
            <w:shd w:val="clear" w:color="auto" w:fill="365F92"/>
          </w:tcPr>
          <w:p>
            <w:pPr>
              <w:pStyle w:val="TableParagraph"/>
              <w:spacing w:before="209"/>
              <w:ind w:left="68"/>
              <w:rPr>
                <w:b/>
                <w:sz w:val="22"/>
              </w:rPr>
            </w:pPr>
            <w:r>
              <w:rPr>
                <w:b/>
                <w:color w:val="FFFFFF"/>
                <w:spacing w:val="-4"/>
                <w:sz w:val="22"/>
              </w:rPr>
              <w:t>Nota</w:t>
            </w:r>
          </w:p>
        </w:tc>
        <w:tc>
          <w:tcPr>
            <w:tcW w:w="1560" w:type="dxa"/>
            <w:vMerge w:val="restart"/>
            <w:shd w:val="clear" w:color="auto" w:fill="365F92"/>
          </w:tcPr>
          <w:p>
            <w:pPr>
              <w:pStyle w:val="TableParagraph"/>
              <w:spacing w:before="209"/>
              <w:ind w:left="145"/>
              <w:rPr>
                <w:b/>
                <w:sz w:val="22"/>
              </w:rPr>
            </w:pPr>
            <w:r>
              <w:rPr>
                <w:b/>
                <w:color w:val="FFFFFF"/>
                <w:sz w:val="22"/>
              </w:rPr>
              <w:t>Periodo</w:t>
            </w:r>
            <w:r>
              <w:rPr>
                <w:b/>
                <w:color w:val="FFFFFF"/>
                <w:spacing w:val="-4"/>
                <w:sz w:val="22"/>
              </w:rPr>
              <w:t> </w:t>
            </w:r>
            <w:r>
              <w:rPr>
                <w:b/>
                <w:color w:val="FFFFFF"/>
                <w:spacing w:val="-2"/>
                <w:sz w:val="22"/>
              </w:rPr>
              <w:t>Actual</w:t>
            </w:r>
          </w:p>
        </w:tc>
        <w:tc>
          <w:tcPr>
            <w:tcW w:w="1607" w:type="dxa"/>
            <w:vMerge w:val="restart"/>
            <w:shd w:val="clear" w:color="auto" w:fill="365F92"/>
          </w:tcPr>
          <w:p>
            <w:pPr>
              <w:pStyle w:val="TableParagraph"/>
              <w:spacing w:before="81"/>
              <w:ind w:left="429" w:firstLine="50"/>
              <w:rPr>
                <w:b/>
                <w:sz w:val="22"/>
              </w:rPr>
            </w:pPr>
            <w:r>
              <w:rPr>
                <w:b/>
                <w:color w:val="FFFFFF"/>
                <w:spacing w:val="-2"/>
                <w:sz w:val="22"/>
              </w:rPr>
              <w:t>Periodo Anterior</w:t>
            </w:r>
          </w:p>
        </w:tc>
        <w:tc>
          <w:tcPr>
            <w:tcW w:w="1197" w:type="dxa"/>
            <w:shd w:val="clear" w:color="auto" w:fill="365F92"/>
          </w:tcPr>
          <w:p>
            <w:pPr>
              <w:pStyle w:val="TableParagraph"/>
              <w:spacing w:before="36"/>
              <w:ind w:left="28" w:right="6"/>
              <w:jc w:val="center"/>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3114"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607"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7"/>
              <w:jc w:val="center"/>
              <w:rPr>
                <w:sz w:val="22"/>
              </w:rPr>
            </w:pPr>
            <w:r>
              <w:rPr>
                <w:color w:val="FFFFFF"/>
                <w:spacing w:val="-10"/>
                <w:sz w:val="22"/>
              </w:rPr>
              <w:t>%</w:t>
            </w:r>
          </w:p>
        </w:tc>
      </w:tr>
      <w:tr>
        <w:trPr>
          <w:trHeight w:val="325" w:hRule="atLeast"/>
        </w:trPr>
        <w:tc>
          <w:tcPr>
            <w:tcW w:w="984" w:type="dxa"/>
          </w:tcPr>
          <w:p>
            <w:pPr>
              <w:pStyle w:val="TableParagraph"/>
              <w:spacing w:before="49"/>
              <w:ind w:left="69"/>
              <w:rPr>
                <w:b/>
                <w:sz w:val="20"/>
              </w:rPr>
            </w:pPr>
            <w:r>
              <w:rPr>
                <w:b/>
                <w:spacing w:val="-2"/>
                <w:sz w:val="20"/>
              </w:rPr>
              <w:t>5.1.6.</w:t>
            </w:r>
          </w:p>
        </w:tc>
        <w:tc>
          <w:tcPr>
            <w:tcW w:w="3114" w:type="dxa"/>
          </w:tcPr>
          <w:p>
            <w:pPr>
              <w:pStyle w:val="TableParagraph"/>
              <w:spacing w:before="49"/>
              <w:ind w:left="69"/>
              <w:rPr>
                <w:b/>
                <w:sz w:val="20"/>
              </w:rPr>
            </w:pPr>
            <w:r>
              <w:rPr>
                <w:b/>
                <w:sz w:val="20"/>
              </w:rPr>
              <w:t>Deterioro</w:t>
            </w:r>
            <w:r>
              <w:rPr>
                <w:b/>
                <w:spacing w:val="-4"/>
                <w:sz w:val="20"/>
              </w:rPr>
              <w:t> </w:t>
            </w:r>
            <w:r>
              <w:rPr>
                <w:b/>
                <w:sz w:val="20"/>
              </w:rPr>
              <w:t>y</w:t>
            </w:r>
            <w:r>
              <w:rPr>
                <w:b/>
                <w:spacing w:val="-3"/>
                <w:sz w:val="20"/>
              </w:rPr>
              <w:t> </w:t>
            </w:r>
            <w:r>
              <w:rPr>
                <w:b/>
                <w:sz w:val="20"/>
              </w:rPr>
              <w:t>pérdidas</w:t>
            </w:r>
            <w:r>
              <w:rPr>
                <w:b/>
                <w:spacing w:val="-5"/>
                <w:sz w:val="20"/>
              </w:rPr>
              <w:t> </w:t>
            </w:r>
            <w:r>
              <w:rPr>
                <w:b/>
                <w:sz w:val="20"/>
              </w:rPr>
              <w:t>de</w:t>
            </w:r>
            <w:r>
              <w:rPr>
                <w:b/>
                <w:spacing w:val="-4"/>
                <w:sz w:val="20"/>
              </w:rPr>
              <w:t> </w:t>
            </w:r>
            <w:r>
              <w:rPr>
                <w:b/>
                <w:spacing w:val="-2"/>
                <w:sz w:val="20"/>
              </w:rPr>
              <w:t>inventarios</w:t>
            </w:r>
          </w:p>
        </w:tc>
        <w:tc>
          <w:tcPr>
            <w:tcW w:w="571" w:type="dxa"/>
          </w:tcPr>
          <w:p>
            <w:pPr>
              <w:pStyle w:val="TableParagraph"/>
              <w:spacing w:before="49"/>
              <w:ind w:left="186"/>
              <w:rPr>
                <w:b/>
                <w:sz w:val="20"/>
              </w:rPr>
            </w:pPr>
            <w:r>
              <w:rPr>
                <w:b/>
                <w:spacing w:val="-5"/>
                <w:sz w:val="20"/>
              </w:rPr>
              <w:t>64</w:t>
            </w:r>
          </w:p>
        </w:tc>
        <w:tc>
          <w:tcPr>
            <w:tcW w:w="1560" w:type="dxa"/>
          </w:tcPr>
          <w:p>
            <w:pPr>
              <w:pStyle w:val="TableParagraph"/>
              <w:spacing w:before="49"/>
              <w:ind w:left="383"/>
              <w:rPr>
                <w:b/>
                <w:sz w:val="20"/>
              </w:rPr>
            </w:pPr>
            <w:r>
              <w:rPr>
                <w:b/>
                <w:sz w:val="20"/>
              </w:rPr>
              <w:t>16</w:t>
            </w:r>
            <w:r>
              <w:rPr>
                <w:b/>
                <w:spacing w:val="-2"/>
                <w:sz w:val="20"/>
              </w:rPr>
              <w:t> 440,48</w:t>
            </w:r>
          </w:p>
        </w:tc>
        <w:tc>
          <w:tcPr>
            <w:tcW w:w="1607" w:type="dxa"/>
          </w:tcPr>
          <w:p>
            <w:pPr>
              <w:pStyle w:val="TableParagraph"/>
              <w:spacing w:before="49"/>
              <w:ind w:left="410"/>
              <w:rPr>
                <w:b/>
                <w:sz w:val="20"/>
              </w:rPr>
            </w:pPr>
            <w:r>
              <w:rPr>
                <w:b/>
                <w:sz w:val="20"/>
              </w:rPr>
              <w:t>43</w:t>
            </w:r>
            <w:r>
              <w:rPr>
                <w:b/>
                <w:spacing w:val="-2"/>
                <w:sz w:val="20"/>
              </w:rPr>
              <w:t> 836,91</w:t>
            </w:r>
          </w:p>
        </w:tc>
        <w:tc>
          <w:tcPr>
            <w:tcW w:w="1197" w:type="dxa"/>
          </w:tcPr>
          <w:p>
            <w:pPr>
              <w:pStyle w:val="TableParagraph"/>
              <w:spacing w:before="49"/>
              <w:ind w:left="28" w:right="4"/>
              <w:jc w:val="center"/>
              <w:rPr>
                <w:b/>
                <w:sz w:val="20"/>
              </w:rPr>
            </w:pPr>
            <w:r>
              <w:rPr>
                <w:b/>
                <w:spacing w:val="-2"/>
                <w:sz w:val="20"/>
              </w:rPr>
              <w:t>-62,50%</w:t>
            </w:r>
          </w:p>
        </w:tc>
      </w:tr>
    </w:tbl>
    <w:p>
      <w:pPr>
        <w:pStyle w:val="Heading6"/>
        <w:ind w:left="622"/>
      </w:pPr>
      <w:r>
        <w:rPr>
          <w:spacing w:val="-2"/>
        </w:rPr>
        <w:t>Revelación:</w:t>
      </w:r>
    </w:p>
    <w:p>
      <w:pPr>
        <w:pStyle w:val="BodyText"/>
        <w:spacing w:before="160"/>
        <w:ind w:left="622" w:right="974"/>
        <w:jc w:val="both"/>
      </w:pPr>
      <w:r>
        <w:rPr/>
        <w:t>La cuenta Deterioro y pérdidas de inventarios, representa el 0,013% del total del Gastos, que compa-rado al periodo anterior genera una variación absoluta de ¢ -27.396,43 que corresponde a una dismi-nución del -62,50% de recursos disponibles.</w:t>
      </w:r>
    </w:p>
    <w:p>
      <w:pPr>
        <w:pStyle w:val="BodyText"/>
        <w:rPr>
          <w:sz w:val="20"/>
        </w:rPr>
      </w:pPr>
    </w:p>
    <w:p>
      <w:pPr>
        <w:pStyle w:val="BodyText"/>
        <w:spacing w:before="91"/>
        <w:rPr>
          <w:sz w:val="20"/>
        </w:rPr>
      </w:pPr>
      <w:r>
        <w:rPr>
          <w:sz w:val="20"/>
        </w:rPr>
        <mc:AlternateContent>
          <mc:Choice Requires="wps">
            <w:drawing>
              <wp:anchor distT="0" distB="0" distL="0" distR="0" allowOverlap="1" layoutInCell="1" locked="0" behindDoc="1" simplePos="0" relativeHeight="487733248">
                <wp:simplePos x="0" y="0"/>
                <wp:positionH relativeFrom="page">
                  <wp:posOffset>1080820</wp:posOffset>
                </wp:positionH>
                <wp:positionV relativeFrom="paragraph">
                  <wp:posOffset>221186</wp:posOffset>
                </wp:positionV>
                <wp:extent cx="5715000" cy="725805"/>
                <wp:effectExtent l="0" t="0" r="0" b="0"/>
                <wp:wrapTopAndBottom/>
                <wp:docPr id="719" name="Textbox 719"/>
                <wp:cNvGraphicFramePr>
                  <a:graphicFrameLocks/>
                </wp:cNvGraphicFramePr>
                <a:graphic>
                  <a:graphicData uri="http://schemas.microsoft.com/office/word/2010/wordprocessingShape">
                    <wps:wsp>
                      <wps:cNvPr id="719" name="Textbox 719"/>
                      <wps:cNvSpPr txBox="1"/>
                      <wps:spPr>
                        <a:xfrm>
                          <a:off x="0" y="0"/>
                          <a:ext cx="5715000" cy="7258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6" w:lineRule="auto" w:before="182"/>
                              <w:ind w:left="103" w:right="92"/>
                            </w:pPr>
                            <w:r>
                              <w:rPr/>
                              <w:t>Al</w:t>
                            </w:r>
                            <w:r>
                              <w:rPr>
                                <w:spacing w:val="-2"/>
                              </w:rPr>
                              <w:t> </w:t>
                            </w:r>
                            <w:r>
                              <w:rPr/>
                              <w:t>31</w:t>
                            </w:r>
                            <w:r>
                              <w:rPr>
                                <w:spacing w:val="-3"/>
                              </w:rPr>
                              <w:t> </w:t>
                            </w:r>
                            <w:r>
                              <w:rPr/>
                              <w:t>de</w:t>
                            </w:r>
                            <w:r>
                              <w:rPr>
                                <w:spacing w:val="-4"/>
                              </w:rPr>
                              <w:t> </w:t>
                            </w:r>
                            <w:r>
                              <w:rPr/>
                              <w:t>julio</w:t>
                            </w:r>
                            <w:r>
                              <w:rPr>
                                <w:spacing w:val="-1"/>
                              </w:rPr>
                              <w:t> </w:t>
                            </w:r>
                            <w:r>
                              <w:rPr/>
                              <w:t>solo</w:t>
                            </w:r>
                            <w:r>
                              <w:rPr>
                                <w:spacing w:val="-4"/>
                              </w:rPr>
                              <w:t> </w:t>
                            </w:r>
                            <w:r>
                              <w:rPr/>
                              <w:t>reflejan</w:t>
                            </w:r>
                            <w:r>
                              <w:rPr>
                                <w:spacing w:val="-2"/>
                              </w:rPr>
                              <w:t> </w:t>
                            </w:r>
                            <w:r>
                              <w:rPr/>
                              <w:t>movimientos</w:t>
                            </w:r>
                            <w:r>
                              <w:rPr>
                                <w:spacing w:val="-4"/>
                              </w:rPr>
                              <w:t> </w:t>
                            </w:r>
                            <w:r>
                              <w:rPr/>
                              <w:t>solamente</w:t>
                            </w:r>
                            <w:r>
                              <w:rPr>
                                <w:spacing w:val="-3"/>
                              </w:rPr>
                              <w:t> </w:t>
                            </w:r>
                            <w:r>
                              <w:rPr/>
                              <w:t>en</w:t>
                            </w:r>
                            <w:r>
                              <w:rPr>
                                <w:spacing w:val="-2"/>
                              </w:rPr>
                              <w:t> </w:t>
                            </w:r>
                            <w:r>
                              <w:rPr/>
                              <w:t>la</w:t>
                            </w:r>
                            <w:r>
                              <w:rPr>
                                <w:spacing w:val="-3"/>
                              </w:rPr>
                              <w:t> </w:t>
                            </w:r>
                            <w:r>
                              <w:rPr/>
                              <w:t>cuenta</w:t>
                            </w:r>
                            <w:r>
                              <w:rPr>
                                <w:spacing w:val="-2"/>
                              </w:rPr>
                              <w:t> </w:t>
                            </w:r>
                            <w:r>
                              <w:rPr/>
                              <w:t>de</w:t>
                            </w:r>
                            <w:r>
                              <w:rPr>
                                <w:spacing w:val="-4"/>
                              </w:rPr>
                              <w:t> </w:t>
                            </w:r>
                            <w:r>
                              <w:rPr/>
                              <w:t>deterioro</w:t>
                            </w:r>
                            <w:r>
                              <w:rPr>
                                <w:spacing w:val="-2"/>
                              </w:rPr>
                              <w:t> </w:t>
                            </w:r>
                            <w:r>
                              <w:rPr/>
                              <w:t>por</w:t>
                            </w:r>
                            <w:r>
                              <w:rPr>
                                <w:spacing w:val="-2"/>
                              </w:rPr>
                              <w:t> </w:t>
                            </w:r>
                            <w:r>
                              <w:rPr/>
                              <w:t>pérdidas</w:t>
                            </w:r>
                            <w:r>
                              <w:rPr>
                                <w:spacing w:val="-1"/>
                              </w:rPr>
                              <w:t> </w:t>
                            </w:r>
                            <w:r>
                              <w:rPr/>
                              <w:t>de</w:t>
                            </w:r>
                            <w:r>
                              <w:rPr>
                                <w:spacing w:val="-4"/>
                              </w:rPr>
                              <w:t> </w:t>
                            </w:r>
                            <w:r>
                              <w:rPr/>
                              <w:t>útiles</w:t>
                            </w:r>
                            <w:r>
                              <w:rPr>
                                <w:spacing w:val="-1"/>
                              </w:rPr>
                              <w:t> </w:t>
                            </w:r>
                            <w:r>
                              <w:rPr/>
                              <w:t>y la cuenta desvalorización y perdidas de inventarios por bienes para la venta, como se muestra:</w:t>
                            </w:r>
                          </w:p>
                        </w:txbxContent>
                      </wps:txbx>
                      <wps:bodyPr wrap="square" lIns="0" tIns="0" rIns="0" bIns="0" rtlCol="0">
                        <a:noAutofit/>
                      </wps:bodyPr>
                    </wps:wsp>
                  </a:graphicData>
                </a:graphic>
              </wp:anchor>
            </w:drawing>
          </mc:Choice>
          <mc:Fallback>
            <w:pict>
              <v:shape style="position:absolute;margin-left:85.103996pt;margin-top:17.416250pt;width:450pt;height:57.15pt;mso-position-horizontal-relative:page;mso-position-vertical-relative:paragraph;z-index:-15583232;mso-wrap-distance-left:0;mso-wrap-distance-right:0" type="#_x0000_t202" id="docshape69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6" w:lineRule="auto" w:before="182"/>
                        <w:ind w:left="103" w:right="92"/>
                      </w:pPr>
                      <w:r>
                        <w:rPr/>
                        <w:t>Al</w:t>
                      </w:r>
                      <w:r>
                        <w:rPr>
                          <w:spacing w:val="-2"/>
                        </w:rPr>
                        <w:t> </w:t>
                      </w:r>
                      <w:r>
                        <w:rPr/>
                        <w:t>31</w:t>
                      </w:r>
                      <w:r>
                        <w:rPr>
                          <w:spacing w:val="-3"/>
                        </w:rPr>
                        <w:t> </w:t>
                      </w:r>
                      <w:r>
                        <w:rPr/>
                        <w:t>de</w:t>
                      </w:r>
                      <w:r>
                        <w:rPr>
                          <w:spacing w:val="-4"/>
                        </w:rPr>
                        <w:t> </w:t>
                      </w:r>
                      <w:r>
                        <w:rPr/>
                        <w:t>julio</w:t>
                      </w:r>
                      <w:r>
                        <w:rPr>
                          <w:spacing w:val="-1"/>
                        </w:rPr>
                        <w:t> </w:t>
                      </w:r>
                      <w:r>
                        <w:rPr/>
                        <w:t>solo</w:t>
                      </w:r>
                      <w:r>
                        <w:rPr>
                          <w:spacing w:val="-4"/>
                        </w:rPr>
                        <w:t> </w:t>
                      </w:r>
                      <w:r>
                        <w:rPr/>
                        <w:t>reflejan</w:t>
                      </w:r>
                      <w:r>
                        <w:rPr>
                          <w:spacing w:val="-2"/>
                        </w:rPr>
                        <w:t> </w:t>
                      </w:r>
                      <w:r>
                        <w:rPr/>
                        <w:t>movimientos</w:t>
                      </w:r>
                      <w:r>
                        <w:rPr>
                          <w:spacing w:val="-4"/>
                        </w:rPr>
                        <w:t> </w:t>
                      </w:r>
                      <w:r>
                        <w:rPr/>
                        <w:t>solamente</w:t>
                      </w:r>
                      <w:r>
                        <w:rPr>
                          <w:spacing w:val="-3"/>
                        </w:rPr>
                        <w:t> </w:t>
                      </w:r>
                      <w:r>
                        <w:rPr/>
                        <w:t>en</w:t>
                      </w:r>
                      <w:r>
                        <w:rPr>
                          <w:spacing w:val="-2"/>
                        </w:rPr>
                        <w:t> </w:t>
                      </w:r>
                      <w:r>
                        <w:rPr/>
                        <w:t>la</w:t>
                      </w:r>
                      <w:r>
                        <w:rPr>
                          <w:spacing w:val="-3"/>
                        </w:rPr>
                        <w:t> </w:t>
                      </w:r>
                      <w:r>
                        <w:rPr/>
                        <w:t>cuenta</w:t>
                      </w:r>
                      <w:r>
                        <w:rPr>
                          <w:spacing w:val="-2"/>
                        </w:rPr>
                        <w:t> </w:t>
                      </w:r>
                      <w:r>
                        <w:rPr/>
                        <w:t>de</w:t>
                      </w:r>
                      <w:r>
                        <w:rPr>
                          <w:spacing w:val="-4"/>
                        </w:rPr>
                        <w:t> </w:t>
                      </w:r>
                      <w:r>
                        <w:rPr/>
                        <w:t>deterioro</w:t>
                      </w:r>
                      <w:r>
                        <w:rPr>
                          <w:spacing w:val="-2"/>
                        </w:rPr>
                        <w:t> </w:t>
                      </w:r>
                      <w:r>
                        <w:rPr/>
                        <w:t>por</w:t>
                      </w:r>
                      <w:r>
                        <w:rPr>
                          <w:spacing w:val="-2"/>
                        </w:rPr>
                        <w:t> </w:t>
                      </w:r>
                      <w:r>
                        <w:rPr/>
                        <w:t>pérdidas</w:t>
                      </w:r>
                      <w:r>
                        <w:rPr>
                          <w:spacing w:val="-1"/>
                        </w:rPr>
                        <w:t> </w:t>
                      </w:r>
                      <w:r>
                        <w:rPr/>
                        <w:t>de</w:t>
                      </w:r>
                      <w:r>
                        <w:rPr>
                          <w:spacing w:val="-4"/>
                        </w:rPr>
                        <w:t> </w:t>
                      </w:r>
                      <w:r>
                        <w:rPr/>
                        <w:t>útiles</w:t>
                      </w:r>
                      <w:r>
                        <w:rPr>
                          <w:spacing w:val="-1"/>
                        </w:rPr>
                        <w:t> </w:t>
                      </w:r>
                      <w:r>
                        <w:rPr/>
                        <w:t>y la cuenta desvalorización y perdidas de inventarios por bienes para la venta, como se muestra: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1680">
                <wp:simplePos x="0" y="0"/>
                <wp:positionH relativeFrom="page">
                  <wp:posOffset>9525</wp:posOffset>
                </wp:positionH>
                <wp:positionV relativeFrom="page">
                  <wp:posOffset>297208</wp:posOffset>
                </wp:positionV>
                <wp:extent cx="7762875" cy="9748520"/>
                <wp:effectExtent l="0" t="0" r="0" b="0"/>
                <wp:wrapNone/>
                <wp:docPr id="720" name="Group 720"/>
                <wp:cNvGraphicFramePr>
                  <a:graphicFrameLocks/>
                </wp:cNvGraphicFramePr>
                <a:graphic>
                  <a:graphicData uri="http://schemas.microsoft.com/office/word/2010/wordprocessingGroup">
                    <wpg:wgp>
                      <wpg:cNvPr id="720" name="Group 720"/>
                      <wpg:cNvGrpSpPr/>
                      <wpg:grpSpPr>
                        <a:xfrm>
                          <a:off x="0" y="0"/>
                          <a:ext cx="7762875" cy="9748520"/>
                          <a:chExt cx="7762875" cy="9748520"/>
                        </a:xfrm>
                      </wpg:grpSpPr>
                      <pic:pic>
                        <pic:nvPicPr>
                          <pic:cNvPr id="721" name="Image 721"/>
                          <pic:cNvPicPr/>
                        </pic:nvPicPr>
                        <pic:blipFill>
                          <a:blip r:embed="rId5" cstate="print"/>
                          <a:stretch>
                            <a:fillRect/>
                          </a:stretch>
                        </pic:blipFill>
                        <pic:spPr>
                          <a:xfrm>
                            <a:off x="0" y="0"/>
                            <a:ext cx="7762874" cy="9748489"/>
                          </a:xfrm>
                          <a:prstGeom prst="rect">
                            <a:avLst/>
                          </a:prstGeom>
                        </pic:spPr>
                      </pic:pic>
                      <wps:wsp>
                        <wps:cNvPr id="722" name="Graphic 722"/>
                        <wps:cNvSpPr/>
                        <wps:spPr>
                          <a:xfrm>
                            <a:off x="1053007" y="990837"/>
                            <a:ext cx="5736590" cy="1905635"/>
                          </a:xfrm>
                          <a:custGeom>
                            <a:avLst/>
                            <a:gdLst/>
                            <a:ahLst/>
                            <a:cxnLst/>
                            <a:rect l="l" t="t" r="r" b="b"/>
                            <a:pathLst>
                              <a:path w="5736590" h="1905635">
                                <a:moveTo>
                                  <a:pt x="5649214" y="0"/>
                                </a:moveTo>
                                <a:lnTo>
                                  <a:pt x="0" y="0"/>
                                </a:lnTo>
                                <a:lnTo>
                                  <a:pt x="0" y="9131"/>
                                </a:lnTo>
                                <a:lnTo>
                                  <a:pt x="5649214" y="9131"/>
                                </a:lnTo>
                                <a:lnTo>
                                  <a:pt x="5649214" y="0"/>
                                </a:lnTo>
                                <a:close/>
                              </a:path>
                              <a:path w="5736590" h="1905635">
                                <a:moveTo>
                                  <a:pt x="5736018" y="132702"/>
                                </a:moveTo>
                                <a:lnTo>
                                  <a:pt x="5729935" y="132702"/>
                                </a:lnTo>
                                <a:lnTo>
                                  <a:pt x="5729935" y="1899272"/>
                                </a:lnTo>
                                <a:lnTo>
                                  <a:pt x="21336" y="1899272"/>
                                </a:lnTo>
                                <a:lnTo>
                                  <a:pt x="21336" y="132702"/>
                                </a:lnTo>
                                <a:lnTo>
                                  <a:pt x="15240" y="132702"/>
                                </a:lnTo>
                                <a:lnTo>
                                  <a:pt x="15240" y="1899272"/>
                                </a:lnTo>
                                <a:lnTo>
                                  <a:pt x="15240" y="1905368"/>
                                </a:lnTo>
                                <a:lnTo>
                                  <a:pt x="21336" y="1905368"/>
                                </a:lnTo>
                                <a:lnTo>
                                  <a:pt x="5729935" y="1905368"/>
                                </a:lnTo>
                                <a:lnTo>
                                  <a:pt x="5736018" y="1905368"/>
                                </a:lnTo>
                                <a:lnTo>
                                  <a:pt x="5736018" y="1899272"/>
                                </a:lnTo>
                                <a:lnTo>
                                  <a:pt x="5736018" y="132702"/>
                                </a:lnTo>
                                <a:close/>
                              </a:path>
                              <a:path w="5736590" h="190563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723" name="Image 723"/>
                          <pic:cNvPicPr/>
                        </pic:nvPicPr>
                        <pic:blipFill>
                          <a:blip r:embed="rId84" cstate="print"/>
                          <a:stretch>
                            <a:fillRect/>
                          </a:stretch>
                        </pic:blipFill>
                        <pic:spPr>
                          <a:xfrm>
                            <a:off x="1868550" y="1123794"/>
                            <a:ext cx="4117975" cy="166306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44800" id="docshapegroup698" coordorigin="15,468" coordsize="12225,15352">
                <v:shape style="position:absolute;left:15;top:468;width:12225;height:15352" type="#_x0000_t75" id="docshape699" stroked="false">
                  <v:imagedata r:id="rId5" o:title=""/>
                </v:shape>
                <v:shape style="position:absolute;left:1673;top:2028;width:9034;height:3001" id="docshape700" coordorigin="1673,2028" coordsize="9034,3001" path="m10570,2028l1673,2028,1673,2043,10570,2043,10570,2028xm10706,2237l10697,2237,10697,5019,1707,5019,1707,2237,1697,2237,1697,5019,1697,5029,1707,5029,10697,5029,10697,5029,10706,5029,10706,5019,10706,2237xm10706,2228l10697,2228,10697,2228,1707,2228,1697,2228,1697,2237,1707,2237,10697,2237,10697,2237,10706,2237,10706,2228xe" filled="true" fillcolor="#000000" stroked="false">
                  <v:path arrowok="t"/>
                  <v:fill type="solid"/>
                </v:shape>
                <v:shape style="position:absolute;left:2957;top:2237;width:6485;height:2619" type="#_x0000_t75" id="docshape701" stroked="false">
                  <v:imagedata r:id="rId84" o:title=""/>
                </v:shape>
                <w10:wrap type="none"/>
              </v:group>
            </w:pict>
          </mc:Fallback>
        </mc:AlternateContent>
      </w:r>
      <w:r>
        <w:rPr>
          <w:color w:val="172951"/>
          <w:sz w:val="20"/>
        </w:rPr>
        <w:t>Pág.</w:t>
      </w:r>
      <w:r>
        <w:rPr>
          <w:color w:val="172951"/>
          <w:spacing w:val="-7"/>
          <w:sz w:val="20"/>
        </w:rPr>
        <w:t> </w:t>
      </w:r>
      <w:r>
        <w:rPr>
          <w:color w:val="172951"/>
          <w:spacing w:val="-5"/>
          <w:sz w:val="20"/>
        </w:rPr>
        <w:t>146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6"/>
      </w:pPr>
    </w:p>
    <w:p>
      <w:pPr>
        <w:spacing w:before="0"/>
        <w:ind w:left="622" w:right="0" w:firstLine="0"/>
        <w:jc w:val="left"/>
        <w:rPr>
          <w:b/>
          <w:sz w:val="22"/>
        </w:rPr>
      </w:pPr>
      <w:bookmarkStart w:name="_bookmark115" w:id="116"/>
      <w:bookmarkEnd w:id="116"/>
      <w:r>
        <w:rPr/>
      </w:r>
      <w:r>
        <w:rPr>
          <w:b/>
          <w:sz w:val="22"/>
        </w:rPr>
        <w:t>NOTA</w:t>
      </w:r>
      <w:r>
        <w:rPr>
          <w:b/>
          <w:spacing w:val="-1"/>
          <w:sz w:val="22"/>
        </w:rPr>
        <w:t> </w:t>
      </w:r>
      <w:r>
        <w:rPr>
          <w:b/>
          <w:sz w:val="22"/>
        </w:rPr>
        <w:t>N° </w:t>
      </w:r>
      <w:r>
        <w:rPr>
          <w:b/>
          <w:spacing w:val="-5"/>
          <w:sz w:val="22"/>
        </w:rPr>
        <w:t>65</w:t>
      </w:r>
    </w:p>
    <w:p>
      <w:pPr>
        <w:pStyle w:val="BodyText"/>
        <w:spacing w:before="115"/>
        <w:rPr>
          <w:b/>
        </w:rPr>
      </w:pPr>
    </w:p>
    <w:p>
      <w:pPr>
        <w:pStyle w:val="BodyText"/>
        <w:ind w:left="622"/>
      </w:pPr>
      <w:r>
        <w:rPr/>
        <w:t>Deterioro</w:t>
      </w:r>
      <w:r>
        <w:rPr>
          <w:spacing w:val="-7"/>
        </w:rPr>
        <w:t> </w:t>
      </w:r>
      <w:r>
        <w:rPr/>
        <w:t>de</w:t>
      </w:r>
      <w:r>
        <w:rPr>
          <w:spacing w:val="-4"/>
        </w:rPr>
        <w:t> </w:t>
      </w:r>
      <w:r>
        <w:rPr/>
        <w:t>inversiones</w:t>
      </w:r>
      <w:r>
        <w:rPr>
          <w:spacing w:val="-3"/>
        </w:rPr>
        <w:t> </w:t>
      </w:r>
      <w:r>
        <w:rPr/>
        <w:t>y</w:t>
      </w:r>
      <w:r>
        <w:rPr>
          <w:spacing w:val="-6"/>
        </w:rPr>
        <w:t> </w:t>
      </w:r>
      <w:r>
        <w:rPr/>
        <w:t>cuentas</w:t>
      </w:r>
      <w:r>
        <w:rPr>
          <w:spacing w:val="-3"/>
        </w:rPr>
        <w:t> </w:t>
      </w:r>
      <w:r>
        <w:rPr/>
        <w:t>a</w:t>
      </w:r>
      <w:r>
        <w:rPr>
          <w:spacing w:val="-5"/>
        </w:rPr>
        <w:t> </w:t>
      </w:r>
      <w:r>
        <w:rPr>
          <w:spacing w:val="-2"/>
        </w:rPr>
        <w:t>cobrar</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78"/>
        <w:gridCol w:w="3162"/>
        <w:gridCol w:w="571"/>
        <w:gridCol w:w="1419"/>
        <w:gridCol w:w="1608"/>
        <w:gridCol w:w="1198"/>
      </w:tblGrid>
      <w:tr>
        <w:trPr>
          <w:trHeight w:val="325" w:hRule="atLeast"/>
        </w:trPr>
        <w:tc>
          <w:tcPr>
            <w:tcW w:w="1078" w:type="dxa"/>
            <w:vMerge w:val="restart"/>
            <w:shd w:val="clear" w:color="auto" w:fill="365F92"/>
          </w:tcPr>
          <w:p>
            <w:pPr>
              <w:pStyle w:val="TableParagraph"/>
              <w:spacing w:before="130"/>
              <w:ind w:left="69"/>
              <w:rPr>
                <w:b/>
                <w:sz w:val="20"/>
              </w:rPr>
            </w:pPr>
            <w:r>
              <w:rPr>
                <w:b/>
                <w:color w:val="FFFFFF"/>
                <w:spacing w:val="-2"/>
                <w:sz w:val="20"/>
              </w:rPr>
              <w:t>Cuenta</w:t>
            </w:r>
          </w:p>
        </w:tc>
        <w:tc>
          <w:tcPr>
            <w:tcW w:w="3162" w:type="dxa"/>
            <w:vMerge w:val="restart"/>
            <w:shd w:val="clear" w:color="auto" w:fill="365F92"/>
          </w:tcPr>
          <w:p>
            <w:pPr>
              <w:pStyle w:val="TableParagraph"/>
              <w:spacing w:before="219"/>
              <w:ind w:left="12"/>
              <w:jc w:val="center"/>
              <w:rPr>
                <w:b/>
                <w:sz w:val="20"/>
              </w:rPr>
            </w:pPr>
            <w:r>
              <w:rPr>
                <w:b/>
                <w:color w:val="FFFFFF"/>
                <w:spacing w:val="-2"/>
                <w:sz w:val="20"/>
              </w:rPr>
              <w:t>Descripción</w:t>
            </w:r>
          </w:p>
        </w:tc>
        <w:tc>
          <w:tcPr>
            <w:tcW w:w="571" w:type="dxa"/>
            <w:vMerge w:val="restart"/>
            <w:shd w:val="clear" w:color="auto" w:fill="365F92"/>
          </w:tcPr>
          <w:p>
            <w:pPr>
              <w:pStyle w:val="TableParagraph"/>
              <w:spacing w:before="219"/>
              <w:ind w:left="87"/>
              <w:rPr>
                <w:b/>
                <w:sz w:val="20"/>
              </w:rPr>
            </w:pPr>
            <w:r>
              <w:rPr>
                <w:b/>
                <w:color w:val="FFFFFF"/>
                <w:spacing w:val="-4"/>
                <w:sz w:val="20"/>
              </w:rPr>
              <w:t>Nota</w:t>
            </w:r>
          </w:p>
        </w:tc>
        <w:tc>
          <w:tcPr>
            <w:tcW w:w="1419" w:type="dxa"/>
            <w:vMerge w:val="restart"/>
            <w:shd w:val="clear" w:color="auto" w:fill="365F92"/>
          </w:tcPr>
          <w:p>
            <w:pPr>
              <w:pStyle w:val="TableParagraph"/>
              <w:spacing w:before="219"/>
              <w:ind w:left="133"/>
              <w:rPr>
                <w:b/>
                <w:sz w:val="20"/>
              </w:rPr>
            </w:pPr>
            <w:r>
              <w:rPr>
                <w:b/>
                <w:color w:val="FFFFFF"/>
                <w:sz w:val="20"/>
              </w:rPr>
              <w:t>Periodo</w:t>
            </w:r>
            <w:r>
              <w:rPr>
                <w:b/>
                <w:color w:val="FFFFFF"/>
                <w:spacing w:val="-5"/>
                <w:sz w:val="20"/>
              </w:rPr>
              <w:t> </w:t>
            </w:r>
            <w:r>
              <w:rPr>
                <w:b/>
                <w:color w:val="FFFFFF"/>
                <w:spacing w:val="-2"/>
                <w:sz w:val="20"/>
              </w:rPr>
              <w:t>Actual</w:t>
            </w:r>
          </w:p>
        </w:tc>
        <w:tc>
          <w:tcPr>
            <w:tcW w:w="1608" w:type="dxa"/>
            <w:vMerge w:val="restart"/>
            <w:shd w:val="clear" w:color="auto" w:fill="365F92"/>
          </w:tcPr>
          <w:p>
            <w:pPr>
              <w:pStyle w:val="TableParagraph"/>
              <w:spacing w:before="219"/>
              <w:ind w:left="145"/>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49"/>
              <w:ind w:left="23" w:right="8"/>
              <w:jc w:val="center"/>
              <w:rPr>
                <w:b/>
                <w:sz w:val="20"/>
              </w:rPr>
            </w:pPr>
            <w:r>
              <w:rPr>
                <w:b/>
                <w:color w:val="FFFFFF"/>
                <w:spacing w:val="-2"/>
                <w:sz w:val="20"/>
              </w:rPr>
              <w:t>Diferencia</w:t>
            </w:r>
          </w:p>
        </w:tc>
      </w:tr>
      <w:tr>
        <w:trPr>
          <w:trHeight w:val="323" w:hRule="atLeast"/>
        </w:trPr>
        <w:tc>
          <w:tcPr>
            <w:tcW w:w="1078" w:type="dxa"/>
            <w:vMerge/>
            <w:tcBorders>
              <w:top w:val="nil"/>
            </w:tcBorders>
            <w:shd w:val="clear" w:color="auto" w:fill="365F92"/>
          </w:tcPr>
          <w:p>
            <w:pPr>
              <w:rPr>
                <w:sz w:val="2"/>
                <w:szCs w:val="2"/>
              </w:rPr>
            </w:pPr>
          </w:p>
        </w:tc>
        <w:tc>
          <w:tcPr>
            <w:tcW w:w="3162"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419" w:type="dxa"/>
            <w:vMerge/>
            <w:tcBorders>
              <w:top w:val="nil"/>
            </w:tcBorders>
            <w:shd w:val="clear" w:color="auto" w:fill="365F92"/>
          </w:tcPr>
          <w:p>
            <w:pPr>
              <w:rPr>
                <w:sz w:val="2"/>
                <w:szCs w:val="2"/>
              </w:rPr>
            </w:pPr>
          </w:p>
        </w:tc>
        <w:tc>
          <w:tcPr>
            <w:tcW w:w="1608"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9"/>
              <w:jc w:val="center"/>
              <w:rPr>
                <w:sz w:val="20"/>
              </w:rPr>
            </w:pPr>
            <w:r>
              <w:rPr>
                <w:color w:val="FFFFFF"/>
                <w:spacing w:val="-10"/>
                <w:sz w:val="20"/>
              </w:rPr>
              <w:t>%</w:t>
            </w:r>
          </w:p>
        </w:tc>
      </w:tr>
      <w:tr>
        <w:trPr>
          <w:trHeight w:val="457" w:hRule="atLeast"/>
        </w:trPr>
        <w:tc>
          <w:tcPr>
            <w:tcW w:w="1078" w:type="dxa"/>
          </w:tcPr>
          <w:p>
            <w:pPr>
              <w:pStyle w:val="TableParagraph"/>
              <w:spacing w:before="113"/>
              <w:ind w:left="69"/>
              <w:rPr>
                <w:b/>
                <w:sz w:val="20"/>
              </w:rPr>
            </w:pPr>
            <w:r>
              <w:rPr>
                <w:b/>
                <w:spacing w:val="-2"/>
                <w:sz w:val="20"/>
              </w:rPr>
              <w:t>5.1.7.</w:t>
            </w:r>
          </w:p>
        </w:tc>
        <w:tc>
          <w:tcPr>
            <w:tcW w:w="3162" w:type="dxa"/>
          </w:tcPr>
          <w:p>
            <w:pPr>
              <w:pStyle w:val="TableParagraph"/>
              <w:spacing w:line="227" w:lineRule="exact"/>
              <w:ind w:left="68"/>
              <w:rPr>
                <w:b/>
                <w:sz w:val="20"/>
              </w:rPr>
            </w:pPr>
            <w:r>
              <w:rPr>
                <w:b/>
                <w:sz w:val="20"/>
              </w:rPr>
              <w:t>Deterioro</w:t>
            </w:r>
            <w:r>
              <w:rPr>
                <w:b/>
                <w:spacing w:val="-5"/>
                <w:sz w:val="20"/>
              </w:rPr>
              <w:t> </w:t>
            </w:r>
            <w:r>
              <w:rPr>
                <w:b/>
                <w:sz w:val="20"/>
              </w:rPr>
              <w:t>de</w:t>
            </w:r>
            <w:r>
              <w:rPr>
                <w:b/>
                <w:spacing w:val="-6"/>
                <w:sz w:val="20"/>
              </w:rPr>
              <w:t> </w:t>
            </w:r>
            <w:r>
              <w:rPr>
                <w:b/>
                <w:sz w:val="20"/>
              </w:rPr>
              <w:t>inversiones</w:t>
            </w:r>
            <w:r>
              <w:rPr>
                <w:b/>
                <w:spacing w:val="-5"/>
                <w:sz w:val="20"/>
              </w:rPr>
              <w:t> </w:t>
            </w:r>
            <w:r>
              <w:rPr>
                <w:b/>
                <w:sz w:val="20"/>
              </w:rPr>
              <w:t>y</w:t>
            </w:r>
            <w:r>
              <w:rPr>
                <w:b/>
                <w:spacing w:val="-5"/>
                <w:sz w:val="20"/>
              </w:rPr>
              <w:t> </w:t>
            </w:r>
            <w:r>
              <w:rPr>
                <w:b/>
                <w:sz w:val="20"/>
              </w:rPr>
              <w:t>cuentas</w:t>
            </w:r>
            <w:r>
              <w:rPr>
                <w:b/>
                <w:spacing w:val="-4"/>
                <w:sz w:val="20"/>
              </w:rPr>
              <w:t> </w:t>
            </w:r>
            <w:r>
              <w:rPr>
                <w:b/>
                <w:spacing w:val="-10"/>
                <w:sz w:val="20"/>
              </w:rPr>
              <w:t>a</w:t>
            </w:r>
          </w:p>
          <w:p>
            <w:pPr>
              <w:pStyle w:val="TableParagraph"/>
              <w:spacing w:line="211" w:lineRule="exact"/>
              <w:ind w:left="68"/>
              <w:rPr>
                <w:b/>
                <w:sz w:val="20"/>
              </w:rPr>
            </w:pPr>
            <w:r>
              <w:rPr>
                <w:b/>
                <w:spacing w:val="-2"/>
                <w:sz w:val="20"/>
              </w:rPr>
              <w:t>cobrar</w:t>
            </w:r>
          </w:p>
        </w:tc>
        <w:tc>
          <w:tcPr>
            <w:tcW w:w="571" w:type="dxa"/>
          </w:tcPr>
          <w:p>
            <w:pPr>
              <w:pStyle w:val="TableParagraph"/>
              <w:spacing w:before="113"/>
              <w:ind w:left="186"/>
              <w:rPr>
                <w:b/>
                <w:sz w:val="20"/>
              </w:rPr>
            </w:pPr>
            <w:r>
              <w:rPr>
                <w:b/>
                <w:spacing w:val="-5"/>
                <w:sz w:val="20"/>
              </w:rPr>
              <w:t>65</w:t>
            </w:r>
          </w:p>
        </w:tc>
        <w:tc>
          <w:tcPr>
            <w:tcW w:w="1419" w:type="dxa"/>
          </w:tcPr>
          <w:p>
            <w:pPr>
              <w:pStyle w:val="TableParagraph"/>
              <w:spacing w:before="113"/>
              <w:ind w:left="263"/>
              <w:rPr>
                <w:b/>
                <w:sz w:val="20"/>
              </w:rPr>
            </w:pPr>
            <w:r>
              <w:rPr>
                <w:b/>
                <w:sz w:val="20"/>
              </w:rPr>
              <w:t>469</w:t>
            </w:r>
            <w:r>
              <w:rPr>
                <w:b/>
                <w:spacing w:val="-3"/>
                <w:sz w:val="20"/>
              </w:rPr>
              <w:t> </w:t>
            </w:r>
            <w:r>
              <w:rPr>
                <w:b/>
                <w:spacing w:val="-2"/>
                <w:sz w:val="20"/>
              </w:rPr>
              <w:t>390,99</w:t>
            </w:r>
          </w:p>
        </w:tc>
        <w:tc>
          <w:tcPr>
            <w:tcW w:w="1608" w:type="dxa"/>
          </w:tcPr>
          <w:p>
            <w:pPr>
              <w:pStyle w:val="TableParagraph"/>
              <w:spacing w:before="113"/>
              <w:ind w:left="359"/>
              <w:rPr>
                <w:b/>
                <w:sz w:val="20"/>
              </w:rPr>
            </w:pPr>
            <w:r>
              <w:rPr>
                <w:b/>
                <w:sz w:val="20"/>
              </w:rPr>
              <w:t>454</w:t>
            </w:r>
            <w:r>
              <w:rPr>
                <w:b/>
                <w:spacing w:val="-3"/>
                <w:sz w:val="20"/>
              </w:rPr>
              <w:t> </w:t>
            </w:r>
            <w:r>
              <w:rPr>
                <w:b/>
                <w:spacing w:val="-2"/>
                <w:sz w:val="20"/>
              </w:rPr>
              <w:t>272,64</w:t>
            </w:r>
          </w:p>
        </w:tc>
        <w:tc>
          <w:tcPr>
            <w:tcW w:w="1198" w:type="dxa"/>
          </w:tcPr>
          <w:p>
            <w:pPr>
              <w:pStyle w:val="TableParagraph"/>
              <w:spacing w:before="113"/>
              <w:ind w:left="23" w:right="5"/>
              <w:jc w:val="center"/>
              <w:rPr>
                <w:b/>
                <w:sz w:val="20"/>
              </w:rPr>
            </w:pPr>
            <w:r>
              <w:rPr>
                <w:b/>
                <w:spacing w:val="-2"/>
                <w:sz w:val="20"/>
              </w:rPr>
              <w:t>3,33%</w:t>
            </w:r>
          </w:p>
        </w:tc>
      </w:tr>
    </w:tbl>
    <w:p>
      <w:pPr>
        <w:pStyle w:val="Heading6"/>
        <w:spacing w:before="1"/>
        <w:ind w:left="622"/>
      </w:pPr>
      <w:r>
        <w:rPr>
          <w:spacing w:val="-2"/>
          <w:u w:val="single"/>
        </w:rPr>
        <w:t>Revelación</w:t>
      </w:r>
      <w:r>
        <w:rPr>
          <w:spacing w:val="-2"/>
          <w:u w:val="none"/>
        </w:rPr>
        <w:t>:</w:t>
      </w:r>
    </w:p>
    <w:p>
      <w:pPr>
        <w:pStyle w:val="BodyText"/>
        <w:spacing w:before="160"/>
        <w:ind w:left="622" w:right="976"/>
        <w:jc w:val="both"/>
      </w:pPr>
      <w:r>
        <w:rPr/>
        <w:t>La cuenta Deterioro de inversiones y cuentas a cobrar, representa el 0,36% del total del Gastos, que comparado al periodo anterior genera una variación absoluta de ¢ 15.118,35 que corresponde a un aumento del 3,33% de recursos disponibles.</w:t>
      </w:r>
    </w:p>
    <w:p>
      <w:pPr>
        <w:pStyle w:val="BodyText"/>
        <w:rPr>
          <w:sz w:val="20"/>
        </w:rPr>
      </w:pPr>
    </w:p>
    <w:p>
      <w:pPr>
        <w:pStyle w:val="BodyText"/>
        <w:spacing w:before="91"/>
        <w:rPr>
          <w:sz w:val="20"/>
        </w:rPr>
      </w:pPr>
      <w:r>
        <w:rPr>
          <w:sz w:val="20"/>
        </w:rPr>
        <mc:AlternateContent>
          <mc:Choice Requires="wps">
            <w:drawing>
              <wp:anchor distT="0" distB="0" distL="0" distR="0" allowOverlap="1" layoutInCell="1" locked="0" behindDoc="1" simplePos="0" relativeHeight="487734272">
                <wp:simplePos x="0" y="0"/>
                <wp:positionH relativeFrom="page">
                  <wp:posOffset>1080820</wp:posOffset>
                </wp:positionH>
                <wp:positionV relativeFrom="paragraph">
                  <wp:posOffset>221059</wp:posOffset>
                </wp:positionV>
                <wp:extent cx="5715000" cy="2033905"/>
                <wp:effectExtent l="0" t="0" r="0" b="0"/>
                <wp:wrapTopAndBottom/>
                <wp:docPr id="724" name="Textbox 724"/>
                <wp:cNvGraphicFramePr>
                  <a:graphicFrameLocks/>
                </wp:cNvGraphicFramePr>
                <a:graphic>
                  <a:graphicData uri="http://schemas.microsoft.com/office/word/2010/wordprocessingShape">
                    <wps:wsp>
                      <wps:cNvPr id="724" name="Textbox 724"/>
                      <wps:cNvSpPr txBox="1"/>
                      <wps:spPr>
                        <a:xfrm>
                          <a:off x="0" y="0"/>
                          <a:ext cx="5715000" cy="20339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0"/>
                              <w:jc w:val="both"/>
                            </w:pPr>
                            <w:r>
                              <w:rPr/>
                              <w:t>El deterioro por impuestos sobre bienes y servicios corresponde a las cuentas por cobrar por cobro del impuesto a los Moteles y lugares afines (Ley 9326), con un 88,19% de incobrabilidad. La Administración realiza visitas constantes a los clientes y en el caso de cierres, se dan regularizaciones tributarias, definidas en el Reglamento a la Ley 9326. La medición de este riesgo se da a través de informes</w:t>
                            </w:r>
                            <w:r>
                              <w:rPr>
                                <w:spacing w:val="-11"/>
                              </w:rPr>
                              <w:t> </w:t>
                            </w:r>
                            <w:r>
                              <w:rPr/>
                              <w:t>trimestrales</w:t>
                            </w:r>
                            <w:r>
                              <w:rPr>
                                <w:spacing w:val="-11"/>
                              </w:rPr>
                              <w:t> </w:t>
                            </w:r>
                            <w:r>
                              <w:rPr/>
                              <w:t>de</w:t>
                            </w:r>
                            <w:r>
                              <w:rPr>
                                <w:spacing w:val="-13"/>
                              </w:rPr>
                              <w:t> </w:t>
                            </w:r>
                            <w:r>
                              <w:rPr/>
                              <w:t>gestión,</w:t>
                            </w:r>
                            <w:r>
                              <w:rPr>
                                <w:spacing w:val="-11"/>
                              </w:rPr>
                              <w:t> </w:t>
                            </w:r>
                            <w:r>
                              <w:rPr/>
                              <w:t>remitidos</w:t>
                            </w:r>
                            <w:r>
                              <w:rPr>
                                <w:spacing w:val="-11"/>
                              </w:rPr>
                              <w:t> </w:t>
                            </w:r>
                            <w:r>
                              <w:rPr/>
                              <w:t>al</w:t>
                            </w:r>
                            <w:r>
                              <w:rPr>
                                <w:spacing w:val="-12"/>
                              </w:rPr>
                              <w:t> </w:t>
                            </w:r>
                            <w:r>
                              <w:rPr/>
                              <w:t>superior</w:t>
                            </w:r>
                            <w:r>
                              <w:rPr>
                                <w:spacing w:val="-12"/>
                              </w:rPr>
                              <w:t> </w:t>
                            </w:r>
                            <w:r>
                              <w:rPr/>
                              <w:t>jerárquico.</w:t>
                            </w:r>
                            <w:r>
                              <w:rPr>
                                <w:spacing w:val="-13"/>
                              </w:rPr>
                              <w:t> </w:t>
                            </w:r>
                            <w:r>
                              <w:rPr/>
                              <w:t>a)</w:t>
                            </w:r>
                            <w:r>
                              <w:rPr>
                                <w:spacing w:val="-12"/>
                              </w:rPr>
                              <w:t> </w:t>
                            </w:r>
                            <w:r>
                              <w:rPr/>
                              <w:t>Concentración</w:t>
                            </w:r>
                            <w:r>
                              <w:rPr>
                                <w:spacing w:val="-11"/>
                              </w:rPr>
                              <w:t> </w:t>
                            </w:r>
                            <w:r>
                              <w:rPr/>
                              <w:t>de</w:t>
                            </w:r>
                            <w:r>
                              <w:rPr>
                                <w:spacing w:val="-13"/>
                              </w:rPr>
                              <w:t> </w:t>
                            </w:r>
                            <w:r>
                              <w:rPr/>
                              <w:t>riesgo:</w:t>
                            </w:r>
                            <w:r>
                              <w:rPr>
                                <w:spacing w:val="-13"/>
                              </w:rPr>
                              <w:t> </w:t>
                            </w:r>
                            <w:r>
                              <w:rPr/>
                              <w:t>El</w:t>
                            </w:r>
                            <w:r>
                              <w:rPr>
                                <w:spacing w:val="-12"/>
                              </w:rPr>
                              <w:t> </w:t>
                            </w:r>
                            <w:r>
                              <w:rPr/>
                              <w:t>riesgo se</w:t>
                            </w:r>
                            <w:r>
                              <w:rPr>
                                <w:spacing w:val="-3"/>
                              </w:rPr>
                              <w:t> </w:t>
                            </w:r>
                            <w:r>
                              <w:rPr/>
                              <w:t>encuentra</w:t>
                            </w:r>
                            <w:r>
                              <w:rPr>
                                <w:spacing w:val="-3"/>
                              </w:rPr>
                              <w:t> </w:t>
                            </w:r>
                            <w:r>
                              <w:rPr/>
                              <w:t>definido</w:t>
                            </w:r>
                            <w:r>
                              <w:rPr>
                                <w:spacing w:val="-3"/>
                              </w:rPr>
                              <w:t> </w:t>
                            </w:r>
                            <w:r>
                              <w:rPr/>
                              <w:t>como</w:t>
                            </w:r>
                            <w:r>
                              <w:rPr>
                                <w:spacing w:val="-4"/>
                              </w:rPr>
                              <w:t> </w:t>
                            </w:r>
                            <w:r>
                              <w:rPr/>
                              <w:t>un</w:t>
                            </w:r>
                            <w:r>
                              <w:rPr>
                                <w:spacing w:val="-3"/>
                              </w:rPr>
                              <w:t> </w:t>
                            </w:r>
                            <w:r>
                              <w:rPr/>
                              <w:t>riesgo</w:t>
                            </w:r>
                            <w:r>
                              <w:rPr>
                                <w:spacing w:val="-2"/>
                              </w:rPr>
                              <w:t> </w:t>
                            </w:r>
                            <w:r>
                              <w:rPr/>
                              <w:t>de</w:t>
                            </w:r>
                            <w:r>
                              <w:rPr>
                                <w:spacing w:val="-4"/>
                              </w:rPr>
                              <w:t> </w:t>
                            </w:r>
                            <w:r>
                              <w:rPr/>
                              <w:t>Monitoreo</w:t>
                            </w:r>
                            <w:r>
                              <w:rPr>
                                <w:spacing w:val="-3"/>
                              </w:rPr>
                              <w:t> </w:t>
                            </w:r>
                            <w:r>
                              <w:rPr/>
                              <w:t>y</w:t>
                            </w:r>
                            <w:r>
                              <w:rPr>
                                <w:spacing w:val="-3"/>
                              </w:rPr>
                              <w:t> </w:t>
                            </w:r>
                            <w:r>
                              <w:rPr/>
                              <w:t>Evaluación</w:t>
                            </w:r>
                            <w:r>
                              <w:rPr>
                                <w:spacing w:val="-3"/>
                              </w:rPr>
                              <w:t> </w:t>
                            </w:r>
                            <w:r>
                              <w:rPr/>
                              <w:t>del</w:t>
                            </w:r>
                            <w:r>
                              <w:rPr>
                                <w:spacing w:val="-3"/>
                              </w:rPr>
                              <w:t> </w:t>
                            </w:r>
                            <w:r>
                              <w:rPr/>
                              <w:t>Entorno,</w:t>
                            </w:r>
                            <w:r>
                              <w:rPr>
                                <w:spacing w:val="-3"/>
                              </w:rPr>
                              <w:t> </w:t>
                            </w:r>
                            <w:r>
                              <w:rPr/>
                              <w:t>Moderado,</w:t>
                            </w:r>
                            <w:r>
                              <w:rPr>
                                <w:spacing w:val="-3"/>
                              </w:rPr>
                              <w:t> </w:t>
                            </w:r>
                            <w:r>
                              <w:rPr/>
                              <w:t>dentro</w:t>
                            </w:r>
                            <w:r>
                              <w:rPr>
                                <w:spacing w:val="-2"/>
                              </w:rPr>
                              <w:t> </w:t>
                            </w:r>
                            <w:r>
                              <w:rPr/>
                              <w:t>de la matriz de Riesgos de la Administración Tributaria.</w:t>
                            </w:r>
                          </w:p>
                          <w:p>
                            <w:pPr>
                              <w:pStyle w:val="BodyText"/>
                            </w:pPr>
                          </w:p>
                          <w:p>
                            <w:pPr>
                              <w:pStyle w:val="BodyText"/>
                            </w:pPr>
                          </w:p>
                          <w:p>
                            <w:pPr>
                              <w:pStyle w:val="BodyText"/>
                              <w:ind w:left="103"/>
                              <w:jc w:val="both"/>
                            </w:pPr>
                            <w:r>
                              <w:rPr/>
                              <w:t>A</w:t>
                            </w:r>
                            <w:r>
                              <w:rPr>
                                <w:spacing w:val="-4"/>
                              </w:rPr>
                              <w:t> </w:t>
                            </w:r>
                            <w:r>
                              <w:rPr/>
                              <w:t>continuación,</w:t>
                            </w:r>
                            <w:r>
                              <w:rPr>
                                <w:spacing w:val="-3"/>
                              </w:rPr>
                              <w:t> </w:t>
                            </w:r>
                            <w:r>
                              <w:rPr/>
                              <w:t>el</w:t>
                            </w:r>
                            <w:r>
                              <w:rPr>
                                <w:spacing w:val="-3"/>
                              </w:rPr>
                              <w:t> </w:t>
                            </w:r>
                            <w:r>
                              <w:rPr/>
                              <w:t>detalle</w:t>
                            </w:r>
                            <w:r>
                              <w:rPr>
                                <w:spacing w:val="-5"/>
                              </w:rPr>
                              <w:t> </w:t>
                            </w:r>
                            <w:r>
                              <w:rPr/>
                              <w:t>de</w:t>
                            </w:r>
                            <w:r>
                              <w:rPr>
                                <w:spacing w:val="-5"/>
                              </w:rPr>
                              <w:t> </w:t>
                            </w:r>
                            <w:r>
                              <w:rPr/>
                              <w:t>la</w:t>
                            </w:r>
                            <w:r>
                              <w:rPr>
                                <w:spacing w:val="-4"/>
                              </w:rPr>
                              <w:t> </w:t>
                            </w:r>
                            <w:r>
                              <w:rPr>
                                <w:spacing w:val="-2"/>
                              </w:rPr>
                              <w:t>cuenta:</w:t>
                            </w:r>
                          </w:p>
                        </w:txbxContent>
                      </wps:txbx>
                      <wps:bodyPr wrap="square" lIns="0" tIns="0" rIns="0" bIns="0" rtlCol="0">
                        <a:noAutofit/>
                      </wps:bodyPr>
                    </wps:wsp>
                  </a:graphicData>
                </a:graphic>
              </wp:anchor>
            </w:drawing>
          </mc:Choice>
          <mc:Fallback>
            <w:pict>
              <v:shape style="position:absolute;margin-left:85.103996pt;margin-top:17.406265pt;width:450pt;height:160.15pt;mso-position-horizontal-relative:page;mso-position-vertical-relative:paragraph;z-index:-15582208;mso-wrap-distance-left:0;mso-wrap-distance-right:0" type="#_x0000_t202" id="docshape70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00"/>
                        <w:jc w:val="both"/>
                      </w:pPr>
                      <w:r>
                        <w:rPr/>
                        <w:t>El deterioro por impuestos sobre bienes y servicios corresponde a las cuentas por cobrar por cobro del impuesto a los Moteles y lugares afines (Ley 9326), con un 88,19% de incobrabilidad. La Administración realiza visitas constantes a los clientes y en el caso de cierres, se dan regularizaciones tributarias, definidas en el Reglamento a la Ley 9326. La medición de este riesgo se da a través de informes</w:t>
                      </w:r>
                      <w:r>
                        <w:rPr>
                          <w:spacing w:val="-11"/>
                        </w:rPr>
                        <w:t> </w:t>
                      </w:r>
                      <w:r>
                        <w:rPr/>
                        <w:t>trimestrales</w:t>
                      </w:r>
                      <w:r>
                        <w:rPr>
                          <w:spacing w:val="-11"/>
                        </w:rPr>
                        <w:t> </w:t>
                      </w:r>
                      <w:r>
                        <w:rPr/>
                        <w:t>de</w:t>
                      </w:r>
                      <w:r>
                        <w:rPr>
                          <w:spacing w:val="-13"/>
                        </w:rPr>
                        <w:t> </w:t>
                      </w:r>
                      <w:r>
                        <w:rPr/>
                        <w:t>gestión,</w:t>
                      </w:r>
                      <w:r>
                        <w:rPr>
                          <w:spacing w:val="-11"/>
                        </w:rPr>
                        <w:t> </w:t>
                      </w:r>
                      <w:r>
                        <w:rPr/>
                        <w:t>remitidos</w:t>
                      </w:r>
                      <w:r>
                        <w:rPr>
                          <w:spacing w:val="-11"/>
                        </w:rPr>
                        <w:t> </w:t>
                      </w:r>
                      <w:r>
                        <w:rPr/>
                        <w:t>al</w:t>
                      </w:r>
                      <w:r>
                        <w:rPr>
                          <w:spacing w:val="-12"/>
                        </w:rPr>
                        <w:t> </w:t>
                      </w:r>
                      <w:r>
                        <w:rPr/>
                        <w:t>superior</w:t>
                      </w:r>
                      <w:r>
                        <w:rPr>
                          <w:spacing w:val="-12"/>
                        </w:rPr>
                        <w:t> </w:t>
                      </w:r>
                      <w:r>
                        <w:rPr/>
                        <w:t>jerárquico.</w:t>
                      </w:r>
                      <w:r>
                        <w:rPr>
                          <w:spacing w:val="-13"/>
                        </w:rPr>
                        <w:t> </w:t>
                      </w:r>
                      <w:r>
                        <w:rPr/>
                        <w:t>a)</w:t>
                      </w:r>
                      <w:r>
                        <w:rPr>
                          <w:spacing w:val="-12"/>
                        </w:rPr>
                        <w:t> </w:t>
                      </w:r>
                      <w:r>
                        <w:rPr/>
                        <w:t>Concentración</w:t>
                      </w:r>
                      <w:r>
                        <w:rPr>
                          <w:spacing w:val="-11"/>
                        </w:rPr>
                        <w:t> </w:t>
                      </w:r>
                      <w:r>
                        <w:rPr/>
                        <w:t>de</w:t>
                      </w:r>
                      <w:r>
                        <w:rPr>
                          <w:spacing w:val="-13"/>
                        </w:rPr>
                        <w:t> </w:t>
                      </w:r>
                      <w:r>
                        <w:rPr/>
                        <w:t>riesgo:</w:t>
                      </w:r>
                      <w:r>
                        <w:rPr>
                          <w:spacing w:val="-13"/>
                        </w:rPr>
                        <w:t> </w:t>
                      </w:r>
                      <w:r>
                        <w:rPr/>
                        <w:t>El</w:t>
                      </w:r>
                      <w:r>
                        <w:rPr>
                          <w:spacing w:val="-12"/>
                        </w:rPr>
                        <w:t> </w:t>
                      </w:r>
                      <w:r>
                        <w:rPr/>
                        <w:t>riesgo se</w:t>
                      </w:r>
                      <w:r>
                        <w:rPr>
                          <w:spacing w:val="-3"/>
                        </w:rPr>
                        <w:t> </w:t>
                      </w:r>
                      <w:r>
                        <w:rPr/>
                        <w:t>encuentra</w:t>
                      </w:r>
                      <w:r>
                        <w:rPr>
                          <w:spacing w:val="-3"/>
                        </w:rPr>
                        <w:t> </w:t>
                      </w:r>
                      <w:r>
                        <w:rPr/>
                        <w:t>definido</w:t>
                      </w:r>
                      <w:r>
                        <w:rPr>
                          <w:spacing w:val="-3"/>
                        </w:rPr>
                        <w:t> </w:t>
                      </w:r>
                      <w:r>
                        <w:rPr/>
                        <w:t>como</w:t>
                      </w:r>
                      <w:r>
                        <w:rPr>
                          <w:spacing w:val="-4"/>
                        </w:rPr>
                        <w:t> </w:t>
                      </w:r>
                      <w:r>
                        <w:rPr/>
                        <w:t>un</w:t>
                      </w:r>
                      <w:r>
                        <w:rPr>
                          <w:spacing w:val="-3"/>
                        </w:rPr>
                        <w:t> </w:t>
                      </w:r>
                      <w:r>
                        <w:rPr/>
                        <w:t>riesgo</w:t>
                      </w:r>
                      <w:r>
                        <w:rPr>
                          <w:spacing w:val="-2"/>
                        </w:rPr>
                        <w:t> </w:t>
                      </w:r>
                      <w:r>
                        <w:rPr/>
                        <w:t>de</w:t>
                      </w:r>
                      <w:r>
                        <w:rPr>
                          <w:spacing w:val="-4"/>
                        </w:rPr>
                        <w:t> </w:t>
                      </w:r>
                      <w:r>
                        <w:rPr/>
                        <w:t>Monitoreo</w:t>
                      </w:r>
                      <w:r>
                        <w:rPr>
                          <w:spacing w:val="-3"/>
                        </w:rPr>
                        <w:t> </w:t>
                      </w:r>
                      <w:r>
                        <w:rPr/>
                        <w:t>y</w:t>
                      </w:r>
                      <w:r>
                        <w:rPr>
                          <w:spacing w:val="-3"/>
                        </w:rPr>
                        <w:t> </w:t>
                      </w:r>
                      <w:r>
                        <w:rPr/>
                        <w:t>Evaluación</w:t>
                      </w:r>
                      <w:r>
                        <w:rPr>
                          <w:spacing w:val="-3"/>
                        </w:rPr>
                        <w:t> </w:t>
                      </w:r>
                      <w:r>
                        <w:rPr/>
                        <w:t>del</w:t>
                      </w:r>
                      <w:r>
                        <w:rPr>
                          <w:spacing w:val="-3"/>
                        </w:rPr>
                        <w:t> </w:t>
                      </w:r>
                      <w:r>
                        <w:rPr/>
                        <w:t>Entorno,</w:t>
                      </w:r>
                      <w:r>
                        <w:rPr>
                          <w:spacing w:val="-3"/>
                        </w:rPr>
                        <w:t> </w:t>
                      </w:r>
                      <w:r>
                        <w:rPr/>
                        <w:t>Moderado,</w:t>
                      </w:r>
                      <w:r>
                        <w:rPr>
                          <w:spacing w:val="-3"/>
                        </w:rPr>
                        <w:t> </w:t>
                      </w:r>
                      <w:r>
                        <w:rPr/>
                        <w:t>dentro</w:t>
                      </w:r>
                      <w:r>
                        <w:rPr>
                          <w:spacing w:val="-2"/>
                        </w:rPr>
                        <w:t> </w:t>
                      </w:r>
                      <w:r>
                        <w:rPr/>
                        <w:t>de la matriz de Riesgos de la Administración Tributaria.</w:t>
                      </w:r>
                    </w:p>
                    <w:p>
                      <w:pPr>
                        <w:pStyle w:val="BodyText"/>
                      </w:pPr>
                    </w:p>
                    <w:p>
                      <w:pPr>
                        <w:pStyle w:val="BodyText"/>
                      </w:pPr>
                    </w:p>
                    <w:p>
                      <w:pPr>
                        <w:pStyle w:val="BodyText"/>
                        <w:ind w:left="103"/>
                        <w:jc w:val="both"/>
                      </w:pPr>
                      <w:r>
                        <w:rPr/>
                        <w:t>A</w:t>
                      </w:r>
                      <w:r>
                        <w:rPr>
                          <w:spacing w:val="-4"/>
                        </w:rPr>
                        <w:t> </w:t>
                      </w:r>
                      <w:r>
                        <w:rPr/>
                        <w:t>continuación,</w:t>
                      </w:r>
                      <w:r>
                        <w:rPr>
                          <w:spacing w:val="-3"/>
                        </w:rPr>
                        <w:t> </w:t>
                      </w:r>
                      <w:r>
                        <w:rPr/>
                        <w:t>el</w:t>
                      </w:r>
                      <w:r>
                        <w:rPr>
                          <w:spacing w:val="-3"/>
                        </w:rPr>
                        <w:t> </w:t>
                      </w:r>
                      <w:r>
                        <w:rPr/>
                        <w:t>detalle</w:t>
                      </w:r>
                      <w:r>
                        <w:rPr>
                          <w:spacing w:val="-5"/>
                        </w:rPr>
                        <w:t> </w:t>
                      </w:r>
                      <w:r>
                        <w:rPr/>
                        <w:t>de</w:t>
                      </w:r>
                      <w:r>
                        <w:rPr>
                          <w:spacing w:val="-5"/>
                        </w:rPr>
                        <w:t> </w:t>
                      </w:r>
                      <w:r>
                        <w:rPr/>
                        <w:t>la</w:t>
                      </w:r>
                      <w:r>
                        <w:rPr>
                          <w:spacing w:val="-4"/>
                        </w:rPr>
                        <w:t> </w:t>
                      </w:r>
                      <w:r>
                        <w:rPr>
                          <w:spacing w:val="-2"/>
                        </w:rPr>
                        <w:t>cuenta: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3216">
                <wp:simplePos x="0" y="0"/>
                <wp:positionH relativeFrom="page">
                  <wp:posOffset>9525</wp:posOffset>
                </wp:positionH>
                <wp:positionV relativeFrom="page">
                  <wp:posOffset>297208</wp:posOffset>
                </wp:positionV>
                <wp:extent cx="7762875" cy="9748520"/>
                <wp:effectExtent l="0" t="0" r="0" b="0"/>
                <wp:wrapNone/>
                <wp:docPr id="725" name="Group 725"/>
                <wp:cNvGraphicFramePr>
                  <a:graphicFrameLocks/>
                </wp:cNvGraphicFramePr>
                <a:graphic>
                  <a:graphicData uri="http://schemas.microsoft.com/office/word/2010/wordprocessingGroup">
                    <wpg:wgp>
                      <wpg:cNvPr id="725" name="Group 725"/>
                      <wpg:cNvGrpSpPr/>
                      <wpg:grpSpPr>
                        <a:xfrm>
                          <a:off x="0" y="0"/>
                          <a:ext cx="7762875" cy="9748520"/>
                          <a:chExt cx="7762875" cy="9748520"/>
                        </a:xfrm>
                      </wpg:grpSpPr>
                      <pic:pic>
                        <pic:nvPicPr>
                          <pic:cNvPr id="726" name="Image 726"/>
                          <pic:cNvPicPr/>
                        </pic:nvPicPr>
                        <pic:blipFill>
                          <a:blip r:embed="rId5" cstate="print"/>
                          <a:stretch>
                            <a:fillRect/>
                          </a:stretch>
                        </pic:blipFill>
                        <pic:spPr>
                          <a:xfrm>
                            <a:off x="0" y="0"/>
                            <a:ext cx="7762874" cy="9748489"/>
                          </a:xfrm>
                          <a:prstGeom prst="rect">
                            <a:avLst/>
                          </a:prstGeom>
                        </pic:spPr>
                      </pic:pic>
                      <wps:wsp>
                        <wps:cNvPr id="727" name="Graphic 727"/>
                        <wps:cNvSpPr/>
                        <wps:spPr>
                          <a:xfrm>
                            <a:off x="1053007" y="990837"/>
                            <a:ext cx="5736590" cy="2056764"/>
                          </a:xfrm>
                          <a:custGeom>
                            <a:avLst/>
                            <a:gdLst/>
                            <a:ahLst/>
                            <a:cxnLst/>
                            <a:rect l="l" t="t" r="r" b="b"/>
                            <a:pathLst>
                              <a:path w="5736590" h="2056764">
                                <a:moveTo>
                                  <a:pt x="5649214" y="0"/>
                                </a:moveTo>
                                <a:lnTo>
                                  <a:pt x="0" y="0"/>
                                </a:lnTo>
                                <a:lnTo>
                                  <a:pt x="0" y="9131"/>
                                </a:lnTo>
                                <a:lnTo>
                                  <a:pt x="5649214" y="9131"/>
                                </a:lnTo>
                                <a:lnTo>
                                  <a:pt x="5649214" y="0"/>
                                </a:lnTo>
                                <a:close/>
                              </a:path>
                              <a:path w="5736590" h="2056764">
                                <a:moveTo>
                                  <a:pt x="5736018" y="132702"/>
                                </a:moveTo>
                                <a:lnTo>
                                  <a:pt x="5729935" y="132702"/>
                                </a:lnTo>
                                <a:lnTo>
                                  <a:pt x="5729935" y="2050148"/>
                                </a:lnTo>
                                <a:lnTo>
                                  <a:pt x="21336" y="2050148"/>
                                </a:lnTo>
                                <a:lnTo>
                                  <a:pt x="21336" y="132702"/>
                                </a:lnTo>
                                <a:lnTo>
                                  <a:pt x="15240" y="132702"/>
                                </a:lnTo>
                                <a:lnTo>
                                  <a:pt x="15240" y="2050148"/>
                                </a:lnTo>
                                <a:lnTo>
                                  <a:pt x="15240" y="2056244"/>
                                </a:lnTo>
                                <a:lnTo>
                                  <a:pt x="21336" y="2056244"/>
                                </a:lnTo>
                                <a:lnTo>
                                  <a:pt x="5729935" y="2056244"/>
                                </a:lnTo>
                                <a:lnTo>
                                  <a:pt x="5736018" y="2056244"/>
                                </a:lnTo>
                                <a:lnTo>
                                  <a:pt x="5736018" y="2050148"/>
                                </a:lnTo>
                                <a:lnTo>
                                  <a:pt x="5736018" y="132702"/>
                                </a:lnTo>
                                <a:close/>
                              </a:path>
                              <a:path w="5736590" h="2056764">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728" name="Image 728"/>
                          <pic:cNvPicPr/>
                        </pic:nvPicPr>
                        <pic:blipFill>
                          <a:blip r:embed="rId85" cstate="print"/>
                          <a:stretch>
                            <a:fillRect/>
                          </a:stretch>
                        </pic:blipFill>
                        <pic:spPr>
                          <a:xfrm>
                            <a:off x="2060574" y="1123794"/>
                            <a:ext cx="3732529" cy="164210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43264" id="docshapegroup703" coordorigin="15,468" coordsize="12225,15352">
                <v:shape style="position:absolute;left:15;top:468;width:12225;height:15352" type="#_x0000_t75" id="docshape704" stroked="false">
                  <v:imagedata r:id="rId5" o:title=""/>
                </v:shape>
                <v:shape style="position:absolute;left:1673;top:2028;width:9034;height:3239" id="docshape705" coordorigin="1673,2028" coordsize="9034,3239" path="m10570,2028l1673,2028,1673,2043,10570,2043,10570,2028xm10706,2237l10697,2237,10697,5257,1707,5257,1707,2237,1697,2237,1697,5257,1697,5267,1707,5267,10697,5267,10697,5267,10706,5267,10706,5257,10706,2237xm10706,2228l10697,2228,10697,2228,1707,2228,1697,2228,1697,2237,1707,2237,10697,2237,10697,2237,10706,2237,10706,2228xe" filled="true" fillcolor="#000000" stroked="false">
                  <v:path arrowok="t"/>
                  <v:fill type="solid"/>
                </v:shape>
                <v:shape style="position:absolute;left:3260;top:2237;width:5878;height:2586" type="#_x0000_t75" id="docshape706" stroked="false">
                  <v:imagedata r:id="rId85" o:title=""/>
                </v:shape>
                <w10:wrap type="none"/>
              </v:group>
            </w:pict>
          </mc:Fallback>
        </mc:AlternateContent>
      </w:r>
      <w:r>
        <w:rPr>
          <w:color w:val="172951"/>
          <w:sz w:val="20"/>
        </w:rPr>
        <w:t>Pág.</w:t>
      </w:r>
      <w:r>
        <w:rPr>
          <w:color w:val="172951"/>
          <w:spacing w:val="-7"/>
          <w:sz w:val="20"/>
        </w:rPr>
        <w:t> </w:t>
      </w:r>
      <w:r>
        <w:rPr>
          <w:color w:val="172951"/>
          <w:spacing w:val="-5"/>
          <w:sz w:val="20"/>
        </w:rPr>
        <w:t>147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3"/>
      </w:pPr>
    </w:p>
    <w:p>
      <w:pPr>
        <w:spacing w:before="0"/>
        <w:ind w:left="622" w:right="0" w:firstLine="0"/>
        <w:jc w:val="left"/>
        <w:rPr>
          <w:b/>
          <w:sz w:val="22"/>
        </w:rPr>
      </w:pPr>
      <w:bookmarkStart w:name="_bookmark116" w:id="117"/>
      <w:bookmarkEnd w:id="117"/>
      <w:r>
        <w:rPr/>
      </w:r>
      <w:r>
        <w:rPr>
          <w:b/>
          <w:sz w:val="22"/>
        </w:rPr>
        <w:t>NOTA</w:t>
      </w:r>
      <w:r>
        <w:rPr>
          <w:b/>
          <w:spacing w:val="-1"/>
          <w:sz w:val="22"/>
        </w:rPr>
        <w:t> </w:t>
      </w:r>
      <w:r>
        <w:rPr>
          <w:b/>
          <w:sz w:val="22"/>
        </w:rPr>
        <w:t>N° </w:t>
      </w:r>
      <w:r>
        <w:rPr>
          <w:b/>
          <w:spacing w:val="-5"/>
          <w:sz w:val="22"/>
        </w:rPr>
        <w:t>66</w:t>
      </w:r>
    </w:p>
    <w:p>
      <w:pPr>
        <w:pStyle w:val="BodyText"/>
        <w:spacing w:before="115"/>
        <w:rPr>
          <w:b/>
        </w:rPr>
      </w:pPr>
    </w:p>
    <w:p>
      <w:pPr>
        <w:pStyle w:val="Heading6"/>
        <w:ind w:left="622"/>
      </w:pPr>
      <w:r>
        <w:rPr/>
        <w:t>Cargos</w:t>
      </w:r>
      <w:r>
        <w:rPr>
          <w:spacing w:val="-3"/>
        </w:rPr>
        <w:t> </w:t>
      </w:r>
      <w:r>
        <w:rPr/>
        <w:t>por</w:t>
      </w:r>
      <w:r>
        <w:rPr>
          <w:spacing w:val="-3"/>
        </w:rPr>
        <w:t> </w:t>
      </w:r>
      <w:r>
        <w:rPr/>
        <w:t>provisiones</w:t>
      </w:r>
      <w:r>
        <w:rPr>
          <w:spacing w:val="-2"/>
        </w:rPr>
        <w:t> </w:t>
      </w:r>
      <w:r>
        <w:rPr/>
        <w:t>y</w:t>
      </w:r>
      <w:r>
        <w:rPr>
          <w:spacing w:val="-4"/>
        </w:rPr>
        <w:t> </w:t>
      </w:r>
      <w:r>
        <w:rPr/>
        <w:t>reservas</w:t>
      </w:r>
      <w:r>
        <w:rPr>
          <w:spacing w:val="-2"/>
        </w:rPr>
        <w:t> técnicas</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547"/>
        <w:gridCol w:w="572"/>
        <w:gridCol w:w="1702"/>
        <w:gridCol w:w="2034"/>
        <w:gridCol w:w="1199"/>
      </w:tblGrid>
      <w:tr>
        <w:trPr>
          <w:trHeight w:val="325" w:hRule="atLeast"/>
        </w:trPr>
        <w:tc>
          <w:tcPr>
            <w:tcW w:w="984" w:type="dxa"/>
            <w:vMerge w:val="restart"/>
            <w:shd w:val="clear" w:color="auto" w:fill="365F92"/>
          </w:tcPr>
          <w:p>
            <w:pPr>
              <w:pStyle w:val="TableParagraph"/>
              <w:spacing w:before="120"/>
              <w:ind w:left="69"/>
              <w:rPr>
                <w:b/>
                <w:sz w:val="22"/>
              </w:rPr>
            </w:pPr>
            <w:r>
              <w:rPr>
                <w:b/>
                <w:color w:val="FFFFFF"/>
                <w:spacing w:val="-2"/>
                <w:sz w:val="22"/>
              </w:rPr>
              <w:t>Cuenta</w:t>
            </w:r>
          </w:p>
        </w:tc>
        <w:tc>
          <w:tcPr>
            <w:tcW w:w="2547" w:type="dxa"/>
            <w:vMerge w:val="restart"/>
            <w:shd w:val="clear" w:color="auto" w:fill="365F92"/>
          </w:tcPr>
          <w:p>
            <w:pPr>
              <w:pStyle w:val="TableParagraph"/>
              <w:spacing w:before="209"/>
              <w:ind w:left="744"/>
              <w:rPr>
                <w:b/>
                <w:sz w:val="22"/>
              </w:rPr>
            </w:pPr>
            <w:r>
              <w:rPr>
                <w:b/>
                <w:color w:val="FFFFFF"/>
                <w:spacing w:val="-2"/>
                <w:sz w:val="22"/>
              </w:rPr>
              <w:t>Descripción</w:t>
            </w:r>
          </w:p>
        </w:tc>
        <w:tc>
          <w:tcPr>
            <w:tcW w:w="572" w:type="dxa"/>
            <w:vMerge w:val="restart"/>
            <w:shd w:val="clear" w:color="auto" w:fill="365F92"/>
          </w:tcPr>
          <w:p>
            <w:pPr>
              <w:pStyle w:val="TableParagraph"/>
              <w:spacing w:before="209"/>
              <w:ind w:left="69"/>
              <w:rPr>
                <w:b/>
                <w:sz w:val="22"/>
              </w:rPr>
            </w:pPr>
            <w:r>
              <w:rPr>
                <w:b/>
                <w:color w:val="FFFFFF"/>
                <w:spacing w:val="-4"/>
                <w:sz w:val="22"/>
              </w:rPr>
              <w:t>Nota</w:t>
            </w:r>
          </w:p>
        </w:tc>
        <w:tc>
          <w:tcPr>
            <w:tcW w:w="1702" w:type="dxa"/>
            <w:vMerge w:val="restart"/>
            <w:shd w:val="clear" w:color="auto" w:fill="365F92"/>
          </w:tcPr>
          <w:p>
            <w:pPr>
              <w:pStyle w:val="TableParagraph"/>
              <w:spacing w:before="209"/>
              <w:ind w:left="217"/>
              <w:rPr>
                <w:b/>
                <w:sz w:val="22"/>
              </w:rPr>
            </w:pPr>
            <w:r>
              <w:rPr>
                <w:b/>
                <w:color w:val="FFFFFF"/>
                <w:sz w:val="22"/>
              </w:rPr>
              <w:t>Periodo</w:t>
            </w:r>
            <w:r>
              <w:rPr>
                <w:b/>
                <w:color w:val="FFFFFF"/>
                <w:spacing w:val="-4"/>
                <w:sz w:val="22"/>
              </w:rPr>
              <w:t> </w:t>
            </w:r>
            <w:r>
              <w:rPr>
                <w:b/>
                <w:color w:val="FFFFFF"/>
                <w:spacing w:val="-2"/>
                <w:sz w:val="22"/>
              </w:rPr>
              <w:t>Actual</w:t>
            </w:r>
          </w:p>
        </w:tc>
        <w:tc>
          <w:tcPr>
            <w:tcW w:w="2034" w:type="dxa"/>
            <w:vMerge w:val="restart"/>
            <w:shd w:val="clear" w:color="auto" w:fill="365F92"/>
          </w:tcPr>
          <w:p>
            <w:pPr>
              <w:pStyle w:val="TableParagraph"/>
              <w:spacing w:before="209"/>
              <w:ind w:left="292"/>
              <w:rPr>
                <w:b/>
                <w:sz w:val="22"/>
              </w:rPr>
            </w:pPr>
            <w:r>
              <w:rPr>
                <w:b/>
                <w:color w:val="FFFFFF"/>
                <w:sz w:val="22"/>
              </w:rPr>
              <w:t>Periodo</w:t>
            </w:r>
            <w:r>
              <w:rPr>
                <w:b/>
                <w:color w:val="FFFFFF"/>
                <w:spacing w:val="-4"/>
                <w:sz w:val="22"/>
              </w:rPr>
              <w:t> </w:t>
            </w:r>
            <w:r>
              <w:rPr>
                <w:b/>
                <w:color w:val="FFFFFF"/>
                <w:spacing w:val="-2"/>
                <w:sz w:val="22"/>
              </w:rPr>
              <w:t>Anterior</w:t>
            </w:r>
          </w:p>
        </w:tc>
        <w:tc>
          <w:tcPr>
            <w:tcW w:w="1199" w:type="dxa"/>
            <w:shd w:val="clear" w:color="auto" w:fill="365F92"/>
          </w:tcPr>
          <w:p>
            <w:pPr>
              <w:pStyle w:val="TableParagraph"/>
              <w:spacing w:before="38"/>
              <w:ind w:left="29" w:right="15"/>
              <w:jc w:val="center"/>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2547"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2034" w:type="dxa"/>
            <w:vMerge/>
            <w:tcBorders>
              <w:top w:val="nil"/>
            </w:tcBorders>
            <w:shd w:val="clear" w:color="auto" w:fill="365F92"/>
          </w:tcPr>
          <w:p>
            <w:pPr>
              <w:rPr>
                <w:sz w:val="2"/>
                <w:szCs w:val="2"/>
              </w:rPr>
            </w:pPr>
          </w:p>
        </w:tc>
        <w:tc>
          <w:tcPr>
            <w:tcW w:w="1199" w:type="dxa"/>
            <w:shd w:val="clear" w:color="auto" w:fill="365F92"/>
          </w:tcPr>
          <w:p>
            <w:pPr>
              <w:pStyle w:val="TableParagraph"/>
              <w:spacing w:before="36"/>
              <w:ind w:left="29" w:right="16"/>
              <w:jc w:val="center"/>
              <w:rPr>
                <w:sz w:val="22"/>
              </w:rPr>
            </w:pPr>
            <w:r>
              <w:rPr>
                <w:color w:val="FFFFFF"/>
                <w:spacing w:val="-10"/>
                <w:sz w:val="22"/>
              </w:rPr>
              <w:t>%</w:t>
            </w:r>
          </w:p>
        </w:tc>
      </w:tr>
      <w:tr>
        <w:trPr>
          <w:trHeight w:val="457" w:hRule="atLeast"/>
        </w:trPr>
        <w:tc>
          <w:tcPr>
            <w:tcW w:w="984" w:type="dxa"/>
          </w:tcPr>
          <w:p>
            <w:pPr>
              <w:pStyle w:val="TableParagraph"/>
              <w:spacing w:before="113"/>
              <w:ind w:left="69"/>
              <w:rPr>
                <w:b/>
                <w:sz w:val="20"/>
              </w:rPr>
            </w:pPr>
            <w:r>
              <w:rPr>
                <w:b/>
                <w:spacing w:val="-2"/>
                <w:sz w:val="20"/>
              </w:rPr>
              <w:t>5.1.8.</w:t>
            </w:r>
          </w:p>
        </w:tc>
        <w:tc>
          <w:tcPr>
            <w:tcW w:w="2547" w:type="dxa"/>
          </w:tcPr>
          <w:p>
            <w:pPr>
              <w:pStyle w:val="TableParagraph"/>
              <w:tabs>
                <w:tab w:pos="814" w:val="left" w:leader="none"/>
                <w:tab w:pos="1294" w:val="left" w:leader="none"/>
                <w:tab w:pos="2390" w:val="left" w:leader="none"/>
              </w:tabs>
              <w:spacing w:line="227" w:lineRule="exact"/>
              <w:ind w:left="69"/>
              <w:rPr>
                <w:b/>
                <w:sz w:val="20"/>
              </w:rPr>
            </w:pPr>
            <w:r>
              <w:rPr>
                <w:b/>
                <w:spacing w:val="-2"/>
                <w:sz w:val="20"/>
              </w:rPr>
              <w:t>Cargos</w:t>
            </w:r>
            <w:r>
              <w:rPr>
                <w:b/>
                <w:sz w:val="20"/>
              </w:rPr>
              <w:tab/>
            </w:r>
            <w:r>
              <w:rPr>
                <w:b/>
                <w:spacing w:val="-5"/>
                <w:sz w:val="20"/>
              </w:rPr>
              <w:t>por</w:t>
            </w:r>
            <w:r>
              <w:rPr>
                <w:b/>
                <w:sz w:val="20"/>
              </w:rPr>
              <w:tab/>
            </w:r>
            <w:r>
              <w:rPr>
                <w:b/>
                <w:spacing w:val="-2"/>
                <w:sz w:val="20"/>
              </w:rPr>
              <w:t>provisiones</w:t>
            </w:r>
            <w:r>
              <w:rPr>
                <w:b/>
                <w:sz w:val="20"/>
              </w:rPr>
              <w:tab/>
            </w:r>
            <w:r>
              <w:rPr>
                <w:b/>
                <w:spacing w:val="-10"/>
                <w:sz w:val="20"/>
              </w:rPr>
              <w:t>y</w:t>
            </w:r>
          </w:p>
          <w:p>
            <w:pPr>
              <w:pStyle w:val="TableParagraph"/>
              <w:spacing w:line="211" w:lineRule="exact"/>
              <w:ind w:left="69"/>
              <w:rPr>
                <w:b/>
                <w:sz w:val="20"/>
              </w:rPr>
            </w:pPr>
            <w:r>
              <w:rPr>
                <w:b/>
                <w:sz w:val="20"/>
              </w:rPr>
              <w:t>reservas</w:t>
            </w:r>
            <w:r>
              <w:rPr>
                <w:b/>
                <w:spacing w:val="-8"/>
                <w:sz w:val="20"/>
              </w:rPr>
              <w:t> </w:t>
            </w:r>
            <w:r>
              <w:rPr>
                <w:b/>
                <w:spacing w:val="-2"/>
                <w:sz w:val="20"/>
              </w:rPr>
              <w:t>técnicas</w:t>
            </w:r>
          </w:p>
        </w:tc>
        <w:tc>
          <w:tcPr>
            <w:tcW w:w="572" w:type="dxa"/>
          </w:tcPr>
          <w:p>
            <w:pPr>
              <w:pStyle w:val="TableParagraph"/>
              <w:spacing w:before="113"/>
              <w:ind w:left="186"/>
              <w:rPr>
                <w:b/>
                <w:sz w:val="20"/>
              </w:rPr>
            </w:pPr>
            <w:r>
              <w:rPr>
                <w:b/>
                <w:spacing w:val="-5"/>
                <w:sz w:val="20"/>
              </w:rPr>
              <w:t>66</w:t>
            </w:r>
          </w:p>
        </w:tc>
        <w:tc>
          <w:tcPr>
            <w:tcW w:w="1702" w:type="dxa"/>
          </w:tcPr>
          <w:p>
            <w:pPr>
              <w:pStyle w:val="TableParagraph"/>
              <w:spacing w:before="113"/>
              <w:ind w:left="404"/>
              <w:rPr>
                <w:b/>
                <w:sz w:val="20"/>
              </w:rPr>
            </w:pPr>
            <w:r>
              <w:rPr>
                <w:b/>
                <w:sz w:val="20"/>
              </w:rPr>
              <w:t>609</w:t>
            </w:r>
            <w:r>
              <w:rPr>
                <w:b/>
                <w:spacing w:val="-3"/>
                <w:sz w:val="20"/>
              </w:rPr>
              <w:t> </w:t>
            </w:r>
            <w:r>
              <w:rPr>
                <w:b/>
                <w:spacing w:val="-2"/>
                <w:sz w:val="20"/>
              </w:rPr>
              <w:t>702,78</w:t>
            </w:r>
          </w:p>
        </w:tc>
        <w:tc>
          <w:tcPr>
            <w:tcW w:w="2034" w:type="dxa"/>
          </w:tcPr>
          <w:p>
            <w:pPr>
              <w:pStyle w:val="TableParagraph"/>
              <w:spacing w:before="113"/>
              <w:ind w:left="572"/>
              <w:rPr>
                <w:b/>
                <w:sz w:val="20"/>
              </w:rPr>
            </w:pPr>
            <w:r>
              <w:rPr>
                <w:b/>
                <w:sz w:val="20"/>
              </w:rPr>
              <w:t>387</w:t>
            </w:r>
            <w:r>
              <w:rPr>
                <w:b/>
                <w:spacing w:val="-3"/>
                <w:sz w:val="20"/>
              </w:rPr>
              <w:t> </w:t>
            </w:r>
            <w:r>
              <w:rPr>
                <w:b/>
                <w:spacing w:val="-2"/>
                <w:sz w:val="20"/>
              </w:rPr>
              <w:t>512,10</w:t>
            </w:r>
          </w:p>
        </w:tc>
        <w:tc>
          <w:tcPr>
            <w:tcW w:w="1199" w:type="dxa"/>
          </w:tcPr>
          <w:p>
            <w:pPr>
              <w:pStyle w:val="TableParagraph"/>
              <w:spacing w:before="113"/>
              <w:ind w:left="29" w:right="16"/>
              <w:jc w:val="center"/>
              <w:rPr>
                <w:b/>
                <w:sz w:val="20"/>
              </w:rPr>
            </w:pPr>
            <w:r>
              <w:rPr>
                <w:b/>
                <w:spacing w:val="-2"/>
                <w:sz w:val="20"/>
              </w:rPr>
              <w:t>57,34%</w:t>
            </w:r>
          </w:p>
        </w:tc>
      </w:tr>
    </w:tbl>
    <w:p>
      <w:pPr>
        <w:pStyle w:val="BodyText"/>
        <w:spacing w:before="1"/>
        <w:ind w:left="622"/>
      </w:pPr>
      <w:r>
        <w:rPr/>
        <w:t>Detalle</w:t>
      </w:r>
      <w:r>
        <w:rPr>
          <w:spacing w:val="-9"/>
        </w:rPr>
        <w:t> </w:t>
      </w:r>
      <w:r>
        <w:rPr>
          <w:spacing w:val="-2"/>
        </w:rPr>
        <w:t>cuenta:</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552"/>
        <w:gridCol w:w="567"/>
        <w:gridCol w:w="1731"/>
        <w:gridCol w:w="2065"/>
        <w:gridCol w:w="1146"/>
      </w:tblGrid>
      <w:tr>
        <w:trPr>
          <w:trHeight w:val="337" w:hRule="atLeast"/>
        </w:trPr>
        <w:tc>
          <w:tcPr>
            <w:tcW w:w="984" w:type="dxa"/>
            <w:vMerge w:val="restart"/>
            <w:shd w:val="clear" w:color="auto" w:fill="365F92"/>
          </w:tcPr>
          <w:p>
            <w:pPr>
              <w:pStyle w:val="TableParagraph"/>
              <w:spacing w:before="145"/>
              <w:ind w:left="69"/>
              <w:rPr>
                <w:b/>
                <w:sz w:val="20"/>
              </w:rPr>
            </w:pPr>
            <w:r>
              <w:rPr>
                <w:b/>
                <w:color w:val="FFFFFF"/>
                <w:spacing w:val="-2"/>
                <w:sz w:val="20"/>
              </w:rPr>
              <w:t>Cuenta</w:t>
            </w:r>
          </w:p>
        </w:tc>
        <w:tc>
          <w:tcPr>
            <w:tcW w:w="2552" w:type="dxa"/>
            <w:vMerge w:val="restart"/>
            <w:shd w:val="clear" w:color="auto" w:fill="365F92"/>
          </w:tcPr>
          <w:p>
            <w:pPr>
              <w:pStyle w:val="TableParagraph"/>
              <w:spacing w:before="5"/>
              <w:rPr>
                <w:sz w:val="20"/>
              </w:rPr>
            </w:pPr>
          </w:p>
          <w:p>
            <w:pPr>
              <w:pStyle w:val="TableParagraph"/>
              <w:ind w:left="794"/>
              <w:rPr>
                <w:b/>
                <w:sz w:val="20"/>
              </w:rPr>
            </w:pPr>
            <w:r>
              <w:rPr>
                <w:b/>
                <w:color w:val="FFFFFF"/>
                <w:spacing w:val="-2"/>
                <w:sz w:val="20"/>
              </w:rPr>
              <w:t>Descripción</w:t>
            </w:r>
          </w:p>
        </w:tc>
        <w:tc>
          <w:tcPr>
            <w:tcW w:w="567" w:type="dxa"/>
            <w:vMerge w:val="restart"/>
            <w:shd w:val="clear" w:color="auto" w:fill="365F92"/>
          </w:tcPr>
          <w:p>
            <w:pPr>
              <w:pStyle w:val="TableParagraph"/>
              <w:spacing w:before="5"/>
              <w:rPr>
                <w:sz w:val="20"/>
              </w:rPr>
            </w:pPr>
          </w:p>
          <w:p>
            <w:pPr>
              <w:pStyle w:val="TableParagraph"/>
              <w:ind w:left="85"/>
              <w:rPr>
                <w:b/>
                <w:sz w:val="20"/>
              </w:rPr>
            </w:pPr>
            <w:r>
              <w:rPr>
                <w:b/>
                <w:color w:val="FFFFFF"/>
                <w:spacing w:val="-4"/>
                <w:sz w:val="20"/>
              </w:rPr>
              <w:t>Nota</w:t>
            </w:r>
          </w:p>
        </w:tc>
        <w:tc>
          <w:tcPr>
            <w:tcW w:w="1731" w:type="dxa"/>
            <w:vMerge w:val="restart"/>
            <w:shd w:val="clear" w:color="auto" w:fill="365F92"/>
          </w:tcPr>
          <w:p>
            <w:pPr>
              <w:pStyle w:val="TableParagraph"/>
              <w:spacing w:before="5"/>
              <w:rPr>
                <w:sz w:val="20"/>
              </w:rPr>
            </w:pPr>
          </w:p>
          <w:p>
            <w:pPr>
              <w:pStyle w:val="TableParagraph"/>
              <w:ind w:left="289"/>
              <w:rPr>
                <w:b/>
                <w:sz w:val="20"/>
              </w:rPr>
            </w:pPr>
            <w:r>
              <w:rPr>
                <w:b/>
                <w:color w:val="FFFFFF"/>
                <w:sz w:val="20"/>
              </w:rPr>
              <w:t>Periodo</w:t>
            </w:r>
            <w:r>
              <w:rPr>
                <w:b/>
                <w:color w:val="FFFFFF"/>
                <w:spacing w:val="-5"/>
                <w:sz w:val="20"/>
              </w:rPr>
              <w:t> </w:t>
            </w:r>
            <w:r>
              <w:rPr>
                <w:b/>
                <w:color w:val="FFFFFF"/>
                <w:spacing w:val="-2"/>
                <w:sz w:val="20"/>
              </w:rPr>
              <w:t>Actual</w:t>
            </w:r>
          </w:p>
        </w:tc>
        <w:tc>
          <w:tcPr>
            <w:tcW w:w="2065" w:type="dxa"/>
            <w:vMerge w:val="restart"/>
            <w:shd w:val="clear" w:color="auto" w:fill="365F92"/>
          </w:tcPr>
          <w:p>
            <w:pPr>
              <w:pStyle w:val="TableParagraph"/>
              <w:spacing w:before="5"/>
              <w:rPr>
                <w:sz w:val="20"/>
              </w:rPr>
            </w:pPr>
          </w:p>
          <w:p>
            <w:pPr>
              <w:pStyle w:val="TableParagraph"/>
              <w:ind w:left="373"/>
              <w:rPr>
                <w:b/>
                <w:sz w:val="20"/>
              </w:rPr>
            </w:pPr>
            <w:r>
              <w:rPr>
                <w:b/>
                <w:color w:val="FFFFFF"/>
                <w:sz w:val="20"/>
              </w:rPr>
              <w:t>Periodo</w:t>
            </w:r>
            <w:r>
              <w:rPr>
                <w:b/>
                <w:color w:val="FFFFFF"/>
                <w:spacing w:val="-5"/>
                <w:sz w:val="20"/>
              </w:rPr>
              <w:t> </w:t>
            </w:r>
            <w:r>
              <w:rPr>
                <w:b/>
                <w:color w:val="FFFFFF"/>
                <w:spacing w:val="-2"/>
                <w:sz w:val="20"/>
              </w:rPr>
              <w:t>Anterior</w:t>
            </w:r>
          </w:p>
        </w:tc>
        <w:tc>
          <w:tcPr>
            <w:tcW w:w="1146" w:type="dxa"/>
            <w:shd w:val="clear" w:color="auto" w:fill="365F92"/>
          </w:tcPr>
          <w:p>
            <w:pPr>
              <w:pStyle w:val="TableParagraph"/>
              <w:spacing w:before="53"/>
              <w:ind w:left="15" w:right="3"/>
              <w:jc w:val="center"/>
              <w:rPr>
                <w:b/>
                <w:sz w:val="20"/>
              </w:rPr>
            </w:pPr>
            <w:r>
              <w:rPr>
                <w:b/>
                <w:color w:val="FFFFFF"/>
                <w:spacing w:val="-2"/>
                <w:sz w:val="20"/>
              </w:rPr>
              <w:t>Diferencia</w:t>
            </w:r>
          </w:p>
        </w:tc>
      </w:tr>
      <w:tr>
        <w:trPr>
          <w:trHeight w:val="337" w:hRule="atLeast"/>
        </w:trPr>
        <w:tc>
          <w:tcPr>
            <w:tcW w:w="984" w:type="dxa"/>
            <w:vMerge/>
            <w:tcBorders>
              <w:top w:val="nil"/>
            </w:tcBorders>
            <w:shd w:val="clear" w:color="auto" w:fill="365F92"/>
          </w:tcPr>
          <w:p>
            <w:pPr>
              <w:rPr>
                <w:sz w:val="2"/>
                <w:szCs w:val="2"/>
              </w:rPr>
            </w:pPr>
          </w:p>
        </w:tc>
        <w:tc>
          <w:tcPr>
            <w:tcW w:w="2552" w:type="dxa"/>
            <w:vMerge/>
            <w:tcBorders>
              <w:top w:val="nil"/>
            </w:tcBorders>
            <w:shd w:val="clear" w:color="auto" w:fill="365F92"/>
          </w:tcPr>
          <w:p>
            <w:pPr>
              <w:rPr>
                <w:sz w:val="2"/>
                <w:szCs w:val="2"/>
              </w:rPr>
            </w:pPr>
          </w:p>
        </w:tc>
        <w:tc>
          <w:tcPr>
            <w:tcW w:w="567" w:type="dxa"/>
            <w:vMerge/>
            <w:tcBorders>
              <w:top w:val="nil"/>
            </w:tcBorders>
            <w:shd w:val="clear" w:color="auto" w:fill="365F92"/>
          </w:tcPr>
          <w:p>
            <w:pPr>
              <w:rPr>
                <w:sz w:val="2"/>
                <w:szCs w:val="2"/>
              </w:rPr>
            </w:pPr>
          </w:p>
        </w:tc>
        <w:tc>
          <w:tcPr>
            <w:tcW w:w="1731" w:type="dxa"/>
            <w:vMerge/>
            <w:tcBorders>
              <w:top w:val="nil"/>
            </w:tcBorders>
            <w:shd w:val="clear" w:color="auto" w:fill="365F92"/>
          </w:tcPr>
          <w:p>
            <w:pPr>
              <w:rPr>
                <w:sz w:val="2"/>
                <w:szCs w:val="2"/>
              </w:rPr>
            </w:pPr>
          </w:p>
        </w:tc>
        <w:tc>
          <w:tcPr>
            <w:tcW w:w="2065" w:type="dxa"/>
            <w:vMerge/>
            <w:tcBorders>
              <w:top w:val="nil"/>
            </w:tcBorders>
            <w:shd w:val="clear" w:color="auto" w:fill="365F92"/>
          </w:tcPr>
          <w:p>
            <w:pPr>
              <w:rPr>
                <w:sz w:val="2"/>
                <w:szCs w:val="2"/>
              </w:rPr>
            </w:pPr>
          </w:p>
        </w:tc>
        <w:tc>
          <w:tcPr>
            <w:tcW w:w="1146" w:type="dxa"/>
            <w:shd w:val="clear" w:color="auto" w:fill="365F92"/>
          </w:tcPr>
          <w:p>
            <w:pPr>
              <w:pStyle w:val="TableParagraph"/>
              <w:spacing w:before="53"/>
              <w:ind w:left="15" w:right="4"/>
              <w:jc w:val="center"/>
              <w:rPr>
                <w:sz w:val="20"/>
              </w:rPr>
            </w:pPr>
            <w:r>
              <w:rPr>
                <w:color w:val="FFFFFF"/>
                <w:spacing w:val="-10"/>
                <w:sz w:val="20"/>
              </w:rPr>
              <w:t>%</w:t>
            </w:r>
          </w:p>
        </w:tc>
      </w:tr>
      <w:tr>
        <w:trPr>
          <w:trHeight w:val="337" w:hRule="atLeast"/>
        </w:trPr>
        <w:tc>
          <w:tcPr>
            <w:tcW w:w="984" w:type="dxa"/>
          </w:tcPr>
          <w:p>
            <w:pPr>
              <w:pStyle w:val="TableParagraph"/>
              <w:spacing w:before="53"/>
              <w:ind w:left="69"/>
              <w:rPr>
                <w:b/>
                <w:sz w:val="20"/>
              </w:rPr>
            </w:pPr>
            <w:r>
              <w:rPr>
                <w:b/>
                <w:spacing w:val="-2"/>
                <w:sz w:val="20"/>
              </w:rPr>
              <w:t>5.1.8.01.</w:t>
            </w:r>
          </w:p>
        </w:tc>
        <w:tc>
          <w:tcPr>
            <w:tcW w:w="2552" w:type="dxa"/>
          </w:tcPr>
          <w:p>
            <w:pPr>
              <w:pStyle w:val="TableParagraph"/>
              <w:spacing w:before="53"/>
              <w:ind w:left="69"/>
              <w:rPr>
                <w:b/>
                <w:sz w:val="20"/>
              </w:rPr>
            </w:pPr>
            <w:r>
              <w:rPr>
                <w:b/>
                <w:sz w:val="20"/>
              </w:rPr>
              <w:t>Cargos</w:t>
            </w:r>
            <w:r>
              <w:rPr>
                <w:b/>
                <w:spacing w:val="-6"/>
                <w:sz w:val="20"/>
              </w:rPr>
              <w:t> </w:t>
            </w:r>
            <w:r>
              <w:rPr>
                <w:b/>
                <w:sz w:val="20"/>
              </w:rPr>
              <w:t>por</w:t>
            </w:r>
            <w:r>
              <w:rPr>
                <w:b/>
                <w:spacing w:val="-6"/>
                <w:sz w:val="20"/>
              </w:rPr>
              <w:t> </w:t>
            </w:r>
            <w:r>
              <w:rPr>
                <w:b/>
                <w:sz w:val="20"/>
              </w:rPr>
              <w:t>litigios</w:t>
            </w:r>
            <w:r>
              <w:rPr>
                <w:b/>
                <w:spacing w:val="-5"/>
                <w:sz w:val="20"/>
              </w:rPr>
              <w:t> </w:t>
            </w:r>
            <w:r>
              <w:rPr>
                <w:b/>
                <w:sz w:val="20"/>
              </w:rPr>
              <w:t>y</w:t>
            </w:r>
            <w:r>
              <w:rPr>
                <w:b/>
                <w:spacing w:val="-6"/>
                <w:sz w:val="20"/>
              </w:rPr>
              <w:t> </w:t>
            </w:r>
            <w:r>
              <w:rPr>
                <w:b/>
                <w:spacing w:val="-2"/>
                <w:sz w:val="20"/>
              </w:rPr>
              <w:t>demandas</w:t>
            </w:r>
          </w:p>
        </w:tc>
        <w:tc>
          <w:tcPr>
            <w:tcW w:w="567" w:type="dxa"/>
          </w:tcPr>
          <w:p>
            <w:pPr>
              <w:pStyle w:val="TableParagraph"/>
              <w:spacing w:before="53"/>
              <w:ind w:left="184"/>
              <w:rPr>
                <w:b/>
                <w:sz w:val="20"/>
              </w:rPr>
            </w:pPr>
            <w:r>
              <w:rPr>
                <w:b/>
                <w:spacing w:val="-5"/>
                <w:sz w:val="20"/>
              </w:rPr>
              <w:t>66</w:t>
            </w:r>
          </w:p>
        </w:tc>
        <w:tc>
          <w:tcPr>
            <w:tcW w:w="1731" w:type="dxa"/>
          </w:tcPr>
          <w:p>
            <w:pPr>
              <w:pStyle w:val="TableParagraph"/>
              <w:spacing w:before="53"/>
              <w:ind w:left="421"/>
              <w:rPr>
                <w:b/>
                <w:sz w:val="20"/>
              </w:rPr>
            </w:pPr>
            <w:r>
              <w:rPr>
                <w:b/>
                <w:sz w:val="20"/>
              </w:rPr>
              <w:t>233</w:t>
            </w:r>
            <w:r>
              <w:rPr>
                <w:b/>
                <w:spacing w:val="-3"/>
                <w:sz w:val="20"/>
              </w:rPr>
              <w:t> </w:t>
            </w:r>
            <w:r>
              <w:rPr>
                <w:b/>
                <w:spacing w:val="-2"/>
                <w:sz w:val="20"/>
              </w:rPr>
              <w:t>479,83</w:t>
            </w:r>
          </w:p>
        </w:tc>
        <w:tc>
          <w:tcPr>
            <w:tcW w:w="2065" w:type="dxa"/>
          </w:tcPr>
          <w:p>
            <w:pPr>
              <w:pStyle w:val="TableParagraph"/>
              <w:spacing w:before="53"/>
              <w:ind w:left="587"/>
              <w:rPr>
                <w:b/>
                <w:sz w:val="20"/>
              </w:rPr>
            </w:pPr>
            <w:r>
              <w:rPr>
                <w:b/>
                <w:sz w:val="20"/>
              </w:rPr>
              <w:t>178</w:t>
            </w:r>
            <w:r>
              <w:rPr>
                <w:b/>
                <w:spacing w:val="-3"/>
                <w:sz w:val="20"/>
              </w:rPr>
              <w:t> </w:t>
            </w:r>
            <w:r>
              <w:rPr>
                <w:b/>
                <w:spacing w:val="-2"/>
                <w:sz w:val="20"/>
              </w:rPr>
              <w:t>581,18</w:t>
            </w:r>
          </w:p>
        </w:tc>
        <w:tc>
          <w:tcPr>
            <w:tcW w:w="1146" w:type="dxa"/>
          </w:tcPr>
          <w:p>
            <w:pPr>
              <w:pStyle w:val="TableParagraph"/>
              <w:spacing w:before="53"/>
              <w:ind w:left="15" w:right="2"/>
              <w:jc w:val="center"/>
              <w:rPr>
                <w:b/>
                <w:sz w:val="20"/>
              </w:rPr>
            </w:pPr>
            <w:r>
              <w:rPr>
                <w:b/>
                <w:spacing w:val="-2"/>
                <w:sz w:val="20"/>
              </w:rPr>
              <w:t>30,74%</w:t>
            </w:r>
          </w:p>
        </w:tc>
      </w:tr>
    </w:tbl>
    <w:p>
      <w:pPr>
        <w:pStyle w:val="BodyText"/>
        <w:spacing w:before="178"/>
        <w:rPr>
          <w:sz w:val="20"/>
        </w:rPr>
      </w:pPr>
      <w:r>
        <w:rPr>
          <w:sz w:val="20"/>
        </w:rPr>
        <mc:AlternateContent>
          <mc:Choice Requires="wps">
            <w:drawing>
              <wp:anchor distT="0" distB="0" distL="0" distR="0" allowOverlap="1" layoutInCell="1" locked="0" behindDoc="1" simplePos="0" relativeHeight="487735296">
                <wp:simplePos x="0" y="0"/>
                <wp:positionH relativeFrom="page">
                  <wp:posOffset>1080820</wp:posOffset>
                </wp:positionH>
                <wp:positionV relativeFrom="paragraph">
                  <wp:posOffset>276478</wp:posOffset>
                </wp:positionV>
                <wp:extent cx="5715000" cy="280670"/>
                <wp:effectExtent l="0" t="0" r="0" b="0"/>
                <wp:wrapTopAndBottom/>
                <wp:docPr id="729" name="Textbox 729"/>
                <wp:cNvGraphicFramePr>
                  <a:graphicFrameLocks/>
                </wp:cNvGraphicFramePr>
                <a:graphic>
                  <a:graphicData uri="http://schemas.microsoft.com/office/word/2010/wordprocessingShape">
                    <wps:wsp>
                      <wps:cNvPr id="729" name="Textbox 729"/>
                      <wps:cNvSpPr txBox="1"/>
                      <wps:spPr>
                        <a:xfrm>
                          <a:off x="0" y="0"/>
                          <a:ext cx="5715000" cy="280670"/>
                        </a:xfrm>
                        <a:prstGeom prst="rect">
                          <a:avLst/>
                        </a:prstGeom>
                        <a:ln w="6095">
                          <a:solidFill>
                            <a:srgbClr val="000000"/>
                          </a:solidFill>
                          <a:prstDash val="solid"/>
                        </a:ln>
                      </wps:spPr>
                      <wps:txbx>
                        <w:txbxContent>
                          <w:p>
                            <w:pPr>
                              <w:spacing w:before="3"/>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txbxContent>
                      </wps:txbx>
                      <wps:bodyPr wrap="square" lIns="0" tIns="0" rIns="0" bIns="0" rtlCol="0">
                        <a:noAutofit/>
                      </wps:bodyPr>
                    </wps:wsp>
                  </a:graphicData>
                </a:graphic>
              </wp:anchor>
            </w:drawing>
          </mc:Choice>
          <mc:Fallback>
            <w:pict>
              <v:shape style="position:absolute;margin-left:85.103996pt;margin-top:21.769985pt;width:450pt;height:22.1pt;mso-position-horizontal-relative:page;mso-position-vertical-relative:paragraph;z-index:-15581184;mso-wrap-distance-left:0;mso-wrap-distance-right:0" type="#_x0000_t202" id="docshape707" filled="false" stroked="true" strokeweight=".47998pt" strokecolor="#000000">
                <v:textbox inset="0,0,0,0">
                  <w:txbxContent>
                    <w:p>
                      <w:pPr>
                        <w:spacing w:before="3"/>
                        <w:ind w:left="103" w:right="0" w:firstLine="0"/>
                        <w:jc w:val="left"/>
                        <w:rPr>
                          <w:sz w:val="22"/>
                        </w:rPr>
                      </w:pPr>
                      <w:r>
                        <w:rPr>
                          <w:b/>
                          <w:color w:val="1F4E79"/>
                          <w:sz w:val="22"/>
                          <w:u w:val="single" w:color="1F4E79"/>
                        </w:rPr>
                        <w:t>Indicar</w:t>
                      </w:r>
                      <w:r>
                        <w:rPr>
                          <w:b/>
                          <w:color w:val="1F4E79"/>
                          <w:spacing w:val="-4"/>
                          <w:sz w:val="22"/>
                          <w:u w:val="single" w:color="1F4E79"/>
                        </w:rPr>
                        <w:t> </w:t>
                      </w:r>
                      <w:r>
                        <w:rPr>
                          <w:b/>
                          <w:color w:val="1F4E79"/>
                          <w:sz w:val="22"/>
                          <w:u w:val="single" w:color="1F4E79"/>
                        </w:rPr>
                        <w:t>el</w:t>
                      </w:r>
                      <w:r>
                        <w:rPr>
                          <w:b/>
                          <w:color w:val="1F4E79"/>
                          <w:spacing w:val="-3"/>
                          <w:sz w:val="22"/>
                          <w:u w:val="single" w:color="1F4E79"/>
                        </w:rPr>
                        <w:t> </w:t>
                      </w:r>
                      <w:r>
                        <w:rPr>
                          <w:b/>
                          <w:color w:val="1F4E79"/>
                          <w:sz w:val="22"/>
                          <w:u w:val="single" w:color="1F4E79"/>
                        </w:rPr>
                        <w:t>detalle</w:t>
                      </w:r>
                      <w:r>
                        <w:rPr>
                          <w:b/>
                          <w:color w:val="1F4E79"/>
                          <w:spacing w:val="-3"/>
                          <w:sz w:val="22"/>
                          <w:u w:val="single" w:color="1F4E79"/>
                        </w:rPr>
                        <w:t> </w:t>
                      </w:r>
                      <w:r>
                        <w:rPr>
                          <w:b/>
                          <w:color w:val="1F4E79"/>
                          <w:sz w:val="22"/>
                          <w:u w:val="single" w:color="1F4E79"/>
                        </w:rPr>
                        <w:t>de</w:t>
                      </w:r>
                      <w:r>
                        <w:rPr>
                          <w:b/>
                          <w:color w:val="1F4E79"/>
                          <w:spacing w:val="-2"/>
                          <w:sz w:val="22"/>
                          <w:u w:val="single" w:color="1F4E79"/>
                        </w:rPr>
                        <w:t> </w:t>
                      </w:r>
                      <w:r>
                        <w:rPr>
                          <w:b/>
                          <w:color w:val="1F4E79"/>
                          <w:sz w:val="22"/>
                          <w:u w:val="single" w:color="1F4E79"/>
                        </w:rPr>
                        <w:t>cómo</w:t>
                      </w:r>
                      <w:r>
                        <w:rPr>
                          <w:b/>
                          <w:color w:val="1F4E79"/>
                          <w:spacing w:val="-5"/>
                          <w:sz w:val="22"/>
                          <w:u w:val="single" w:color="1F4E79"/>
                        </w:rPr>
                        <w:t> </w:t>
                      </w:r>
                      <w:r>
                        <w:rPr>
                          <w:b/>
                          <w:color w:val="1F4E79"/>
                          <w:sz w:val="22"/>
                          <w:u w:val="single" w:color="1F4E79"/>
                        </w:rPr>
                        <w:t>está</w:t>
                      </w:r>
                      <w:r>
                        <w:rPr>
                          <w:b/>
                          <w:color w:val="1F4E79"/>
                          <w:spacing w:val="-3"/>
                          <w:sz w:val="22"/>
                          <w:u w:val="single" w:color="1F4E79"/>
                        </w:rPr>
                        <w:t> </w:t>
                      </w:r>
                      <w:r>
                        <w:rPr>
                          <w:b/>
                          <w:color w:val="1F4E79"/>
                          <w:sz w:val="22"/>
                          <w:u w:val="single" w:color="1F4E79"/>
                        </w:rPr>
                        <w:t>compuesta</w:t>
                      </w:r>
                      <w:r>
                        <w:rPr>
                          <w:b/>
                          <w:color w:val="1F4E79"/>
                          <w:spacing w:val="-3"/>
                          <w:sz w:val="22"/>
                          <w:u w:val="single" w:color="1F4E79"/>
                        </w:rPr>
                        <w:t> </w:t>
                      </w:r>
                      <w:r>
                        <w:rPr>
                          <w:b/>
                          <w:color w:val="1F4E79"/>
                          <w:sz w:val="22"/>
                          <w:u w:val="single" w:color="1F4E79"/>
                        </w:rPr>
                        <w:t>la</w:t>
                      </w:r>
                      <w:r>
                        <w:rPr>
                          <w:b/>
                          <w:color w:val="1F4E79"/>
                          <w:spacing w:val="-3"/>
                          <w:sz w:val="22"/>
                          <w:u w:val="single" w:color="1F4E79"/>
                        </w:rPr>
                        <w:t> </w:t>
                      </w:r>
                      <w:r>
                        <w:rPr>
                          <w:b/>
                          <w:color w:val="1F4E79"/>
                          <w:spacing w:val="-2"/>
                          <w:sz w:val="22"/>
                          <w:u w:val="single" w:color="1F4E79"/>
                        </w:rPr>
                        <w:t>cuenta</w:t>
                      </w:r>
                      <w:r>
                        <w:rPr>
                          <w:spacing w:val="-2"/>
                          <w:sz w:val="22"/>
                          <w:u w:val="none"/>
                        </w:rPr>
                        <w:t>:</w:t>
                      </w:r>
                    </w:p>
                  </w:txbxContent>
                </v:textbox>
                <v:stroke dashstyle="solid"/>
                <w10:wrap type="topAndBottom"/>
              </v:shape>
            </w:pict>
          </mc:Fallback>
        </mc:AlternateContent>
      </w:r>
    </w:p>
    <w:p>
      <w:pPr>
        <w:pStyle w:val="BodyText"/>
        <w:spacing w:before="186"/>
      </w:pPr>
    </w:p>
    <w:p>
      <w:pPr>
        <w:pStyle w:val="Heading6"/>
        <w:ind w:left="622"/>
        <w:rPr>
          <w:b w:val="0"/>
        </w:rPr>
      </w:pPr>
      <w:r>
        <w:rPr>
          <w:spacing w:val="-2"/>
        </w:rPr>
        <w:t>Revelación</w:t>
      </w:r>
      <w:r>
        <w:rPr>
          <w:b w:val="0"/>
          <w:spacing w:val="-2"/>
        </w:rPr>
        <w:t>:</w:t>
      </w:r>
    </w:p>
    <w:p>
      <w:pPr>
        <w:pStyle w:val="BodyText"/>
        <w:spacing w:before="179"/>
        <w:ind w:left="622" w:right="974"/>
        <w:jc w:val="both"/>
      </w:pPr>
      <w:r>
        <w:rPr/>
        <w:t>La cuenta Cargos por provisiones y reservas técnicas, representa el 0,469% del total del Gastos, que comparado al periodo anterior genera una variación absoluta de ¢ 222.190,68 que corresponde a un Aumento del 57,34% de recursos disponibles.</w:t>
      </w:r>
    </w:p>
    <w:p>
      <w:pPr>
        <w:pStyle w:val="BodyText"/>
        <w:spacing w:before="178"/>
        <w:rPr>
          <w:sz w:val="20"/>
        </w:rPr>
      </w:pPr>
      <w:r>
        <w:rPr>
          <w:sz w:val="20"/>
        </w:rPr>
        <mc:AlternateContent>
          <mc:Choice Requires="wps">
            <w:drawing>
              <wp:anchor distT="0" distB="0" distL="0" distR="0" allowOverlap="1" layoutInCell="1" locked="0" behindDoc="1" simplePos="0" relativeHeight="487735808">
                <wp:simplePos x="0" y="0"/>
                <wp:positionH relativeFrom="page">
                  <wp:posOffset>1080820</wp:posOffset>
                </wp:positionH>
                <wp:positionV relativeFrom="paragraph">
                  <wp:posOffset>276423</wp:posOffset>
                </wp:positionV>
                <wp:extent cx="5715000" cy="1158240"/>
                <wp:effectExtent l="0" t="0" r="0" b="0"/>
                <wp:wrapTopAndBottom/>
                <wp:docPr id="730" name="Textbox 730"/>
                <wp:cNvGraphicFramePr>
                  <a:graphicFrameLocks/>
                </wp:cNvGraphicFramePr>
                <a:graphic>
                  <a:graphicData uri="http://schemas.microsoft.com/office/word/2010/wordprocessingShape">
                    <wps:wsp>
                      <wps:cNvPr id="730" name="Textbox 730"/>
                      <wps:cNvSpPr txBox="1"/>
                      <wps:spPr>
                        <a:xfrm>
                          <a:off x="0" y="0"/>
                          <a:ext cx="5715000" cy="1158240"/>
                        </a:xfrm>
                        <a:prstGeom prst="rect">
                          <a:avLst/>
                        </a:prstGeom>
                        <a:ln w="6095">
                          <a:solidFill>
                            <a:srgbClr val="000000"/>
                          </a:solidFill>
                          <a:prstDash val="solid"/>
                        </a:ln>
                      </wps:spPr>
                      <wps:txbx>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8"/>
                              <w:ind w:left="64" w:right="62"/>
                              <w:jc w:val="both"/>
                            </w:pPr>
                            <w:r>
                              <w:rPr/>
                              <w:t>La cuenta Cargos por provisiones y reservas técnicas, representa el 0,469% del total del Gastos, que comparado al periodo anterior genera una variación absoluta de ¢ 222.190,68 que corresponde a un Aumento del 57,34% de recursos disponibles.</w:t>
                            </w:r>
                          </w:p>
                          <w:p>
                            <w:pPr>
                              <w:pStyle w:val="BodyText"/>
                              <w:spacing w:before="159"/>
                              <w:ind w:left="64"/>
                            </w:pPr>
                            <w:r>
                              <w:rPr/>
                              <w:t>La</w:t>
                            </w:r>
                            <w:r>
                              <w:rPr>
                                <w:spacing w:val="-3"/>
                              </w:rPr>
                              <w:t> </w:t>
                            </w:r>
                            <w:r>
                              <w:rPr/>
                              <w:t>cuenta</w:t>
                            </w:r>
                            <w:r>
                              <w:rPr>
                                <w:spacing w:val="-2"/>
                              </w:rPr>
                              <w:t> </w:t>
                            </w:r>
                            <w:r>
                              <w:rPr/>
                              <w:t>de</w:t>
                            </w:r>
                            <w:r>
                              <w:rPr>
                                <w:spacing w:val="-4"/>
                              </w:rPr>
                              <w:t> </w:t>
                            </w:r>
                            <w:r>
                              <w:rPr/>
                              <w:t>provisiones</w:t>
                            </w:r>
                            <w:r>
                              <w:rPr>
                                <w:spacing w:val="-4"/>
                              </w:rPr>
                              <w:t> </w:t>
                            </w:r>
                            <w:r>
                              <w:rPr/>
                              <w:t>se</w:t>
                            </w:r>
                            <w:r>
                              <w:rPr>
                                <w:spacing w:val="-3"/>
                              </w:rPr>
                              <w:t> </w:t>
                            </w:r>
                            <w:r>
                              <w:rPr/>
                              <w:t>conforma</w:t>
                            </w:r>
                            <w:r>
                              <w:rPr>
                                <w:spacing w:val="-3"/>
                              </w:rPr>
                              <w:t> </w:t>
                            </w:r>
                            <w:r>
                              <w:rPr/>
                              <w:t>en</w:t>
                            </w:r>
                            <w:r>
                              <w:rPr>
                                <w:spacing w:val="-2"/>
                              </w:rPr>
                              <w:t> </w:t>
                            </w:r>
                            <w:r>
                              <w:rPr/>
                              <w:t>dos</w:t>
                            </w:r>
                            <w:r>
                              <w:rPr>
                                <w:spacing w:val="-1"/>
                              </w:rPr>
                              <w:t> </w:t>
                            </w:r>
                            <w:r>
                              <w:rPr/>
                              <w:t>partidas,</w:t>
                            </w:r>
                            <w:r>
                              <w:rPr>
                                <w:spacing w:val="-5"/>
                              </w:rPr>
                              <w:t> </w:t>
                            </w:r>
                            <w:r>
                              <w:rPr/>
                              <w:t>según</w:t>
                            </w:r>
                            <w:r>
                              <w:rPr>
                                <w:spacing w:val="-2"/>
                              </w:rPr>
                              <w:t> </w:t>
                            </w:r>
                            <w:r>
                              <w:rPr/>
                              <w:t>su</w:t>
                            </w:r>
                            <w:r>
                              <w:rPr>
                                <w:spacing w:val="-1"/>
                              </w:rPr>
                              <w:t> </w:t>
                            </w:r>
                            <w:r>
                              <w:rPr>
                                <w:spacing w:val="-2"/>
                              </w:rPr>
                              <w:t>naturaleza:</w:t>
                            </w:r>
                          </w:p>
                        </w:txbxContent>
                      </wps:txbx>
                      <wps:bodyPr wrap="square" lIns="0" tIns="0" rIns="0" bIns="0" rtlCol="0">
                        <a:noAutofit/>
                      </wps:bodyPr>
                    </wps:wsp>
                  </a:graphicData>
                </a:graphic>
              </wp:anchor>
            </w:drawing>
          </mc:Choice>
          <mc:Fallback>
            <w:pict>
              <v:shape style="position:absolute;margin-left:85.103996pt;margin-top:21.765594pt;width:450pt;height:91.2pt;mso-position-horizontal-relative:page;mso-position-vertical-relative:paragraph;z-index:-15580672;mso-wrap-distance-left:0;mso-wrap-distance-right:0" type="#_x0000_t202" id="docshape708" filled="false" stroked="true" strokeweight=".47998pt" strokecolor="#000000">
                <v:textbox inset="0,0,0,0">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8"/>
                        <w:ind w:left="64" w:right="62"/>
                        <w:jc w:val="both"/>
                      </w:pPr>
                      <w:r>
                        <w:rPr/>
                        <w:t>La cuenta Cargos por provisiones y reservas técnicas, representa el 0,469% del total del Gastos, que comparado al periodo anterior genera una variación absoluta de ¢ 222.190,68 que corresponde a un Aumento del 57,34% de recursos disponibles.</w:t>
                      </w:r>
                    </w:p>
                    <w:p>
                      <w:pPr>
                        <w:pStyle w:val="BodyText"/>
                        <w:spacing w:before="159"/>
                        <w:ind w:left="64"/>
                      </w:pPr>
                      <w:r>
                        <w:rPr/>
                        <w:t>La</w:t>
                      </w:r>
                      <w:r>
                        <w:rPr>
                          <w:spacing w:val="-3"/>
                        </w:rPr>
                        <w:t> </w:t>
                      </w:r>
                      <w:r>
                        <w:rPr/>
                        <w:t>cuenta</w:t>
                      </w:r>
                      <w:r>
                        <w:rPr>
                          <w:spacing w:val="-2"/>
                        </w:rPr>
                        <w:t> </w:t>
                      </w:r>
                      <w:r>
                        <w:rPr/>
                        <w:t>de</w:t>
                      </w:r>
                      <w:r>
                        <w:rPr>
                          <w:spacing w:val="-4"/>
                        </w:rPr>
                        <w:t> </w:t>
                      </w:r>
                      <w:r>
                        <w:rPr/>
                        <w:t>provisiones</w:t>
                      </w:r>
                      <w:r>
                        <w:rPr>
                          <w:spacing w:val="-4"/>
                        </w:rPr>
                        <w:t> </w:t>
                      </w:r>
                      <w:r>
                        <w:rPr/>
                        <w:t>se</w:t>
                      </w:r>
                      <w:r>
                        <w:rPr>
                          <w:spacing w:val="-3"/>
                        </w:rPr>
                        <w:t> </w:t>
                      </w:r>
                      <w:r>
                        <w:rPr/>
                        <w:t>conforma</w:t>
                      </w:r>
                      <w:r>
                        <w:rPr>
                          <w:spacing w:val="-3"/>
                        </w:rPr>
                        <w:t> </w:t>
                      </w:r>
                      <w:r>
                        <w:rPr/>
                        <w:t>en</w:t>
                      </w:r>
                      <w:r>
                        <w:rPr>
                          <w:spacing w:val="-2"/>
                        </w:rPr>
                        <w:t> </w:t>
                      </w:r>
                      <w:r>
                        <w:rPr/>
                        <w:t>dos</w:t>
                      </w:r>
                      <w:r>
                        <w:rPr>
                          <w:spacing w:val="-1"/>
                        </w:rPr>
                        <w:t> </w:t>
                      </w:r>
                      <w:r>
                        <w:rPr/>
                        <w:t>partidas,</w:t>
                      </w:r>
                      <w:r>
                        <w:rPr>
                          <w:spacing w:val="-5"/>
                        </w:rPr>
                        <w:t> </w:t>
                      </w:r>
                      <w:r>
                        <w:rPr/>
                        <w:t>según</w:t>
                      </w:r>
                      <w:r>
                        <w:rPr>
                          <w:spacing w:val="-2"/>
                        </w:rPr>
                        <w:t> </w:t>
                      </w:r>
                      <w:r>
                        <w:rPr/>
                        <w:t>su</w:t>
                      </w:r>
                      <w:r>
                        <w:rPr>
                          <w:spacing w:val="-1"/>
                        </w:rPr>
                        <w:t> </w:t>
                      </w:r>
                      <w:r>
                        <w:rPr>
                          <w:spacing w:val="-2"/>
                        </w:rPr>
                        <w:t>naturaleza: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3728">
                <wp:simplePos x="0" y="0"/>
                <wp:positionH relativeFrom="page">
                  <wp:posOffset>9525</wp:posOffset>
                </wp:positionH>
                <wp:positionV relativeFrom="page">
                  <wp:posOffset>297208</wp:posOffset>
                </wp:positionV>
                <wp:extent cx="7762875" cy="9748520"/>
                <wp:effectExtent l="0" t="0" r="0" b="0"/>
                <wp:wrapNone/>
                <wp:docPr id="731" name="Group 731"/>
                <wp:cNvGraphicFramePr>
                  <a:graphicFrameLocks/>
                </wp:cNvGraphicFramePr>
                <a:graphic>
                  <a:graphicData uri="http://schemas.microsoft.com/office/word/2010/wordprocessingGroup">
                    <wpg:wgp>
                      <wpg:cNvPr id="731" name="Group 731"/>
                      <wpg:cNvGrpSpPr/>
                      <wpg:grpSpPr>
                        <a:xfrm>
                          <a:off x="0" y="0"/>
                          <a:ext cx="7762875" cy="9748520"/>
                          <a:chExt cx="7762875" cy="9748520"/>
                        </a:xfrm>
                      </wpg:grpSpPr>
                      <pic:pic>
                        <pic:nvPicPr>
                          <pic:cNvPr id="732" name="Image 732"/>
                          <pic:cNvPicPr/>
                        </pic:nvPicPr>
                        <pic:blipFill>
                          <a:blip r:embed="rId5" cstate="print"/>
                          <a:stretch>
                            <a:fillRect/>
                          </a:stretch>
                        </pic:blipFill>
                        <pic:spPr>
                          <a:xfrm>
                            <a:off x="0" y="0"/>
                            <a:ext cx="7762874" cy="9748489"/>
                          </a:xfrm>
                          <a:prstGeom prst="rect">
                            <a:avLst/>
                          </a:prstGeom>
                        </pic:spPr>
                      </pic:pic>
                      <wps:wsp>
                        <wps:cNvPr id="733" name="Graphic 733"/>
                        <wps:cNvSpPr/>
                        <wps:spPr>
                          <a:xfrm>
                            <a:off x="1053007" y="990837"/>
                            <a:ext cx="5736590" cy="7670165"/>
                          </a:xfrm>
                          <a:custGeom>
                            <a:avLst/>
                            <a:gdLst/>
                            <a:ahLst/>
                            <a:cxnLst/>
                            <a:rect l="l" t="t" r="r" b="b"/>
                            <a:pathLst>
                              <a:path w="5736590" h="7670165">
                                <a:moveTo>
                                  <a:pt x="21336" y="132651"/>
                                </a:moveTo>
                                <a:lnTo>
                                  <a:pt x="15240" y="132651"/>
                                </a:lnTo>
                                <a:lnTo>
                                  <a:pt x="15240" y="7663624"/>
                                </a:lnTo>
                                <a:lnTo>
                                  <a:pt x="21336" y="7663624"/>
                                </a:lnTo>
                                <a:lnTo>
                                  <a:pt x="21336" y="132651"/>
                                </a:lnTo>
                                <a:close/>
                              </a:path>
                              <a:path w="5736590" h="7670165">
                                <a:moveTo>
                                  <a:pt x="5649214" y="0"/>
                                </a:moveTo>
                                <a:lnTo>
                                  <a:pt x="0" y="0"/>
                                </a:lnTo>
                                <a:lnTo>
                                  <a:pt x="0" y="9131"/>
                                </a:lnTo>
                                <a:lnTo>
                                  <a:pt x="5649214" y="9131"/>
                                </a:lnTo>
                                <a:lnTo>
                                  <a:pt x="5649214" y="0"/>
                                </a:lnTo>
                                <a:close/>
                              </a:path>
                              <a:path w="5736590" h="7670165">
                                <a:moveTo>
                                  <a:pt x="5736018" y="7663637"/>
                                </a:moveTo>
                                <a:lnTo>
                                  <a:pt x="5729986" y="7663637"/>
                                </a:lnTo>
                                <a:lnTo>
                                  <a:pt x="21336" y="7663637"/>
                                </a:lnTo>
                                <a:lnTo>
                                  <a:pt x="15240" y="7663637"/>
                                </a:lnTo>
                                <a:lnTo>
                                  <a:pt x="15240" y="7669720"/>
                                </a:lnTo>
                                <a:lnTo>
                                  <a:pt x="21336" y="7669720"/>
                                </a:lnTo>
                                <a:lnTo>
                                  <a:pt x="5729935" y="7669720"/>
                                </a:lnTo>
                                <a:lnTo>
                                  <a:pt x="5736018" y="7669720"/>
                                </a:lnTo>
                                <a:lnTo>
                                  <a:pt x="5736018" y="7663637"/>
                                </a:lnTo>
                                <a:close/>
                              </a:path>
                              <a:path w="5736590" h="7670165">
                                <a:moveTo>
                                  <a:pt x="5736018" y="132651"/>
                                </a:moveTo>
                                <a:lnTo>
                                  <a:pt x="5729935" y="132651"/>
                                </a:lnTo>
                                <a:lnTo>
                                  <a:pt x="5729935" y="7663624"/>
                                </a:lnTo>
                                <a:lnTo>
                                  <a:pt x="5736018" y="7663624"/>
                                </a:lnTo>
                                <a:lnTo>
                                  <a:pt x="5736018" y="132651"/>
                                </a:lnTo>
                                <a:close/>
                              </a:path>
                              <a:path w="5736590" h="767016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734" name="Image 734"/>
                          <pic:cNvPicPr/>
                        </pic:nvPicPr>
                        <pic:blipFill>
                          <a:blip r:embed="rId86" cstate="print"/>
                          <a:stretch>
                            <a:fillRect/>
                          </a:stretch>
                        </pic:blipFill>
                        <pic:spPr>
                          <a:xfrm>
                            <a:off x="1329943" y="1123794"/>
                            <a:ext cx="5161914" cy="1576704"/>
                          </a:xfrm>
                          <a:prstGeom prst="rect">
                            <a:avLst/>
                          </a:prstGeom>
                        </pic:spPr>
                      </pic:pic>
                      <pic:pic>
                        <pic:nvPicPr>
                          <pic:cNvPr id="735" name="Image 735"/>
                          <pic:cNvPicPr/>
                        </pic:nvPicPr>
                        <pic:blipFill>
                          <a:blip r:embed="rId87" cstate="print"/>
                          <a:stretch>
                            <a:fillRect/>
                          </a:stretch>
                        </pic:blipFill>
                        <pic:spPr>
                          <a:xfrm>
                            <a:off x="2023363" y="3645760"/>
                            <a:ext cx="3775710" cy="1318133"/>
                          </a:xfrm>
                          <a:prstGeom prst="rect">
                            <a:avLst/>
                          </a:prstGeom>
                        </pic:spPr>
                      </pic:pic>
                      <pic:pic>
                        <pic:nvPicPr>
                          <pic:cNvPr id="736" name="Image 736"/>
                          <pic:cNvPicPr/>
                        </pic:nvPicPr>
                        <pic:blipFill>
                          <a:blip r:embed="rId88" cstate="print"/>
                          <a:stretch>
                            <a:fillRect/>
                          </a:stretch>
                        </pic:blipFill>
                        <pic:spPr>
                          <a:xfrm>
                            <a:off x="2155824" y="5918806"/>
                            <a:ext cx="3996054" cy="98679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42752" id="docshapegroup709" coordorigin="15,468" coordsize="12225,15352">
                <v:shape style="position:absolute;left:15;top:468;width:12225;height:15352" type="#_x0000_t75" id="docshape710" stroked="false">
                  <v:imagedata r:id="rId5" o:title=""/>
                </v:shape>
                <v:shape style="position:absolute;left:1673;top:2028;width:9034;height:12079" id="docshape711" coordorigin="1673,2028" coordsize="9034,12079" path="m1707,2237l1697,2237,1697,14097,1707,14097,1707,2237xm10570,2028l1673,2028,1673,2043,10570,2043,10570,2028xm10706,14097l10697,14097,10697,14097,1707,14097,1697,14097,1697,14107,1707,14107,10697,14107,10697,14107,10706,14107,10706,14097xm10706,2237l10697,2237,10697,14097,10706,14097,10706,2237xm10706,2228l10697,2228,10697,2228,1707,2228,1697,2228,1697,2237,1707,2237,10697,2237,10697,2237,10706,2237,10706,2228xe" filled="true" fillcolor="#000000" stroked="false">
                  <v:path arrowok="t"/>
                  <v:fill type="solid"/>
                </v:shape>
                <v:shape style="position:absolute;left:2109;top:2237;width:8129;height:2483" type="#_x0000_t75" id="docshape712" stroked="false">
                  <v:imagedata r:id="rId86" o:title=""/>
                </v:shape>
                <v:shape style="position:absolute;left:3201;top:6209;width:5946;height:2076" type="#_x0000_t75" id="docshape713" stroked="false">
                  <v:imagedata r:id="rId87" o:title=""/>
                </v:shape>
                <v:shape style="position:absolute;left:3410;top:9789;width:6293;height:1554" type="#_x0000_t75" id="docshape714" stroked="false">
                  <v:imagedata r:id="rId88" o:title=""/>
                </v:shape>
                <w10:wrap type="none"/>
              </v:group>
            </w:pict>
          </mc:Fallback>
        </mc:AlternateContent>
      </w:r>
      <w:r>
        <w:rPr>
          <w:color w:val="172951"/>
          <w:sz w:val="20"/>
        </w:rPr>
        <w:t>Pág.</w:t>
      </w:r>
      <w:r>
        <w:rPr>
          <w:color w:val="172951"/>
          <w:spacing w:val="-7"/>
          <w:sz w:val="20"/>
        </w:rPr>
        <w:t> </w:t>
      </w:r>
      <w:r>
        <w:rPr>
          <w:color w:val="172951"/>
          <w:spacing w:val="-5"/>
          <w:sz w:val="20"/>
        </w:rPr>
        <w:t>148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pStyle w:val="ListParagraph"/>
        <w:numPr>
          <w:ilvl w:val="0"/>
          <w:numId w:val="62"/>
        </w:numPr>
        <w:tabs>
          <w:tab w:pos="1411" w:val="left" w:leader="none"/>
        </w:tabs>
        <w:spacing w:line="276" w:lineRule="auto" w:before="0" w:after="0"/>
        <w:ind w:left="1411" w:right="887" w:hanging="360"/>
        <w:jc w:val="both"/>
        <w:rPr>
          <w:sz w:val="22"/>
        </w:rPr>
      </w:pPr>
      <w:r>
        <w:rPr>
          <w:sz w:val="22"/>
        </w:rPr>
        <w:t>El</w:t>
      </w:r>
      <w:r>
        <w:rPr>
          <w:spacing w:val="-11"/>
          <w:sz w:val="22"/>
        </w:rPr>
        <w:t> </w:t>
      </w:r>
      <w:r>
        <w:rPr>
          <w:sz w:val="22"/>
        </w:rPr>
        <w:t>primero</w:t>
      </w:r>
      <w:r>
        <w:rPr>
          <w:spacing w:val="-12"/>
          <w:sz w:val="22"/>
        </w:rPr>
        <w:t> </w:t>
      </w:r>
      <w:r>
        <w:rPr>
          <w:sz w:val="22"/>
        </w:rPr>
        <w:t>corresponde</w:t>
      </w:r>
      <w:r>
        <w:rPr>
          <w:spacing w:val="-12"/>
          <w:sz w:val="22"/>
        </w:rPr>
        <w:t> </w:t>
      </w:r>
      <w:r>
        <w:rPr>
          <w:sz w:val="22"/>
        </w:rPr>
        <w:t>litigios</w:t>
      </w:r>
      <w:r>
        <w:rPr>
          <w:spacing w:val="-12"/>
          <w:sz w:val="22"/>
        </w:rPr>
        <w:t> </w:t>
      </w:r>
      <w:r>
        <w:rPr>
          <w:sz w:val="22"/>
        </w:rPr>
        <w:t>o</w:t>
      </w:r>
      <w:r>
        <w:rPr>
          <w:spacing w:val="-10"/>
          <w:sz w:val="22"/>
        </w:rPr>
        <w:t> </w:t>
      </w:r>
      <w:r>
        <w:rPr>
          <w:sz w:val="22"/>
        </w:rPr>
        <w:t>procesos</w:t>
      </w:r>
      <w:r>
        <w:rPr>
          <w:spacing w:val="-12"/>
          <w:sz w:val="22"/>
        </w:rPr>
        <w:t> </w:t>
      </w:r>
      <w:r>
        <w:rPr>
          <w:sz w:val="22"/>
        </w:rPr>
        <w:t>administrativos</w:t>
      </w:r>
      <w:r>
        <w:rPr>
          <w:spacing w:val="-12"/>
          <w:sz w:val="22"/>
        </w:rPr>
        <w:t> </w:t>
      </w:r>
      <w:r>
        <w:rPr>
          <w:sz w:val="22"/>
        </w:rPr>
        <w:t>que</w:t>
      </w:r>
      <w:r>
        <w:rPr>
          <w:spacing w:val="-12"/>
          <w:sz w:val="22"/>
        </w:rPr>
        <w:t> </w:t>
      </w:r>
      <w:r>
        <w:rPr>
          <w:sz w:val="22"/>
        </w:rPr>
        <w:t>podrían</w:t>
      </w:r>
      <w:r>
        <w:rPr>
          <w:spacing w:val="-13"/>
          <w:sz w:val="22"/>
        </w:rPr>
        <w:t> </w:t>
      </w:r>
      <w:r>
        <w:rPr>
          <w:sz w:val="22"/>
        </w:rPr>
        <w:t>derivar</w:t>
      </w:r>
      <w:r>
        <w:rPr>
          <w:spacing w:val="-13"/>
          <w:sz w:val="22"/>
        </w:rPr>
        <w:t> </w:t>
      </w:r>
      <w:r>
        <w:rPr>
          <w:sz w:val="22"/>
        </w:rPr>
        <w:t>en</w:t>
      </w:r>
      <w:r>
        <w:rPr>
          <w:spacing w:val="-13"/>
          <w:sz w:val="22"/>
        </w:rPr>
        <w:t> </w:t>
      </w:r>
      <w:r>
        <w:rPr>
          <w:sz w:val="22"/>
        </w:rPr>
        <w:t>obligaciones futuras.</w:t>
      </w:r>
      <w:r>
        <w:rPr>
          <w:spacing w:val="-10"/>
          <w:sz w:val="22"/>
        </w:rPr>
        <w:t> </w:t>
      </w:r>
      <w:r>
        <w:rPr>
          <w:sz w:val="22"/>
        </w:rPr>
        <w:t>Este</w:t>
      </w:r>
      <w:r>
        <w:rPr>
          <w:spacing w:val="-9"/>
          <w:sz w:val="22"/>
        </w:rPr>
        <w:t> </w:t>
      </w:r>
      <w:r>
        <w:rPr>
          <w:sz w:val="22"/>
        </w:rPr>
        <w:t>componente</w:t>
      </w:r>
      <w:r>
        <w:rPr>
          <w:spacing w:val="-12"/>
          <w:sz w:val="22"/>
        </w:rPr>
        <w:t> </w:t>
      </w:r>
      <w:r>
        <w:rPr>
          <w:sz w:val="22"/>
        </w:rPr>
        <w:t>se</w:t>
      </w:r>
      <w:r>
        <w:rPr>
          <w:spacing w:val="-12"/>
          <w:sz w:val="22"/>
        </w:rPr>
        <w:t> </w:t>
      </w:r>
      <w:r>
        <w:rPr>
          <w:sz w:val="22"/>
        </w:rPr>
        <w:t>activa</w:t>
      </w:r>
      <w:r>
        <w:rPr>
          <w:spacing w:val="-11"/>
          <w:sz w:val="22"/>
        </w:rPr>
        <w:t> </w:t>
      </w:r>
      <w:r>
        <w:rPr>
          <w:sz w:val="22"/>
        </w:rPr>
        <w:t>únicamente</w:t>
      </w:r>
      <w:r>
        <w:rPr>
          <w:spacing w:val="-9"/>
          <w:sz w:val="22"/>
        </w:rPr>
        <w:t> </w:t>
      </w:r>
      <w:r>
        <w:rPr>
          <w:sz w:val="22"/>
        </w:rPr>
        <w:t>cuando</w:t>
      </w:r>
      <w:r>
        <w:rPr>
          <w:spacing w:val="-10"/>
          <w:sz w:val="22"/>
        </w:rPr>
        <w:t> </w:t>
      </w:r>
      <w:r>
        <w:rPr>
          <w:sz w:val="22"/>
        </w:rPr>
        <w:t>existen</w:t>
      </w:r>
      <w:r>
        <w:rPr>
          <w:spacing w:val="-10"/>
          <w:sz w:val="22"/>
        </w:rPr>
        <w:t> </w:t>
      </w:r>
      <w:r>
        <w:rPr>
          <w:sz w:val="22"/>
        </w:rPr>
        <w:t>eventos</w:t>
      </w:r>
      <w:r>
        <w:rPr>
          <w:spacing w:val="-10"/>
          <w:sz w:val="22"/>
        </w:rPr>
        <w:t> </w:t>
      </w:r>
      <w:r>
        <w:rPr>
          <w:sz w:val="22"/>
        </w:rPr>
        <w:t>ciertos</w:t>
      </w:r>
      <w:r>
        <w:rPr>
          <w:spacing w:val="-10"/>
          <w:sz w:val="22"/>
        </w:rPr>
        <w:t> </w:t>
      </w:r>
      <w:r>
        <w:rPr>
          <w:sz w:val="22"/>
        </w:rPr>
        <w:t>o</w:t>
      </w:r>
      <w:r>
        <w:rPr>
          <w:spacing w:val="-10"/>
          <w:sz w:val="22"/>
        </w:rPr>
        <w:t> </w:t>
      </w:r>
      <w:r>
        <w:rPr>
          <w:sz w:val="22"/>
        </w:rPr>
        <w:t>altamente</w:t>
      </w:r>
      <w:r>
        <w:rPr>
          <w:spacing w:val="-9"/>
          <w:sz w:val="22"/>
        </w:rPr>
        <w:t> </w:t>
      </w:r>
      <w:r>
        <w:rPr>
          <w:sz w:val="22"/>
        </w:rPr>
        <w:t>pro-bables que permitan identificar una obligación presente y efectuar una estimación razonable del posible desembolso.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4"/>
      </w:pPr>
    </w:p>
    <w:p>
      <w:pPr>
        <w:pStyle w:val="ListParagraph"/>
        <w:numPr>
          <w:ilvl w:val="0"/>
          <w:numId w:val="62"/>
        </w:numPr>
        <w:tabs>
          <w:tab w:pos="1411" w:val="left" w:leader="none"/>
        </w:tabs>
        <w:spacing w:line="271" w:lineRule="auto" w:before="0" w:after="0"/>
        <w:ind w:left="1411" w:right="889" w:hanging="360"/>
        <w:jc w:val="both"/>
        <w:rPr>
          <w:sz w:val="22"/>
        </w:rPr>
      </w:pPr>
      <w:r>
        <w:rPr>
          <w:sz w:val="22"/>
        </w:rPr>
        <w:t>La partida cargos por beneficios a empleados, refleja compromisos derivados de la relación laboral y se encuentra directamente vinculado a la gestión del recurso humano.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7"/>
      </w:pPr>
    </w:p>
    <w:p>
      <w:pPr>
        <w:pStyle w:val="Heading6"/>
        <w:ind w:left="691"/>
        <w:rPr>
          <w:b w:val="0"/>
        </w:rPr>
      </w:pPr>
      <w:r>
        <w:rPr>
          <w:spacing w:val="-2"/>
        </w:rPr>
        <w:t>Revelación</w:t>
      </w:r>
      <w:r>
        <w:rPr>
          <w:b w:val="0"/>
          <w:spacing w:val="-2"/>
        </w:rPr>
        <w:t>:</w:t>
      </w:r>
    </w:p>
    <w:p>
      <w:pPr>
        <w:pStyle w:val="BodyText"/>
        <w:spacing w:before="179"/>
        <w:ind w:left="691" w:right="886"/>
        <w:jc w:val="both"/>
      </w:pPr>
      <w:r>
        <w:rPr/>
        <w:t>La</w:t>
      </w:r>
      <w:r>
        <w:rPr>
          <w:spacing w:val="-10"/>
        </w:rPr>
        <w:t> </w:t>
      </w:r>
      <w:r>
        <w:rPr/>
        <w:t>cuenta</w:t>
      </w:r>
      <w:r>
        <w:rPr>
          <w:spacing w:val="-10"/>
        </w:rPr>
        <w:t> </w:t>
      </w:r>
      <w:r>
        <w:rPr/>
        <w:t>Cargos</w:t>
      </w:r>
      <w:r>
        <w:rPr>
          <w:spacing w:val="-9"/>
        </w:rPr>
        <w:t> </w:t>
      </w:r>
      <w:r>
        <w:rPr/>
        <w:t>por</w:t>
      </w:r>
      <w:r>
        <w:rPr>
          <w:spacing w:val="-8"/>
        </w:rPr>
        <w:t> </w:t>
      </w:r>
      <w:r>
        <w:rPr/>
        <w:t>beneficios</w:t>
      </w:r>
      <w:r>
        <w:rPr>
          <w:spacing w:val="-9"/>
        </w:rPr>
        <w:t> </w:t>
      </w:r>
      <w:r>
        <w:rPr/>
        <w:t>a</w:t>
      </w:r>
      <w:r>
        <w:rPr>
          <w:spacing w:val="-10"/>
        </w:rPr>
        <w:t> </w:t>
      </w:r>
      <w:r>
        <w:rPr/>
        <w:t>empleados,</w:t>
      </w:r>
      <w:r>
        <w:rPr>
          <w:spacing w:val="-9"/>
        </w:rPr>
        <w:t> </w:t>
      </w:r>
      <w:r>
        <w:rPr/>
        <w:t>representa</w:t>
      </w:r>
      <w:r>
        <w:rPr>
          <w:spacing w:val="-10"/>
        </w:rPr>
        <w:t> </w:t>
      </w:r>
      <w:r>
        <w:rPr/>
        <w:t>el</w:t>
      </w:r>
      <w:r>
        <w:rPr>
          <w:spacing w:val="-10"/>
        </w:rPr>
        <w:t> </w:t>
      </w:r>
      <w:r>
        <w:rPr/>
        <w:t>0,28%</w:t>
      </w:r>
      <w:r>
        <w:rPr>
          <w:spacing w:val="-10"/>
        </w:rPr>
        <w:t> </w:t>
      </w:r>
      <w:r>
        <w:rPr/>
        <w:t>del</w:t>
      </w:r>
      <w:r>
        <w:rPr>
          <w:spacing w:val="-10"/>
        </w:rPr>
        <w:t> </w:t>
      </w:r>
      <w:r>
        <w:rPr/>
        <w:t>total</w:t>
      </w:r>
      <w:r>
        <w:rPr>
          <w:spacing w:val="-11"/>
        </w:rPr>
        <w:t> </w:t>
      </w:r>
      <w:r>
        <w:rPr/>
        <w:t>del</w:t>
      </w:r>
      <w:r>
        <w:rPr>
          <w:spacing w:val="-10"/>
        </w:rPr>
        <w:t> </w:t>
      </w:r>
      <w:r>
        <w:rPr/>
        <w:t>Gastos,</w:t>
      </w:r>
      <w:r>
        <w:rPr>
          <w:spacing w:val="-12"/>
        </w:rPr>
        <w:t> </w:t>
      </w:r>
      <w:r>
        <w:rPr/>
        <w:t>que</w:t>
      </w:r>
      <w:r>
        <w:rPr>
          <w:spacing w:val="-8"/>
        </w:rPr>
        <w:t> </w:t>
      </w:r>
      <w:r>
        <w:rPr/>
        <w:t>comparado al periodo anterior</w:t>
      </w:r>
      <w:r>
        <w:rPr>
          <w:spacing w:val="-1"/>
        </w:rPr>
        <w:t> </w:t>
      </w:r>
      <w:r>
        <w:rPr/>
        <w:t>genera una variación absoluta de ¢ 167.292,02 que corresponde</w:t>
      </w:r>
      <w:r>
        <w:rPr>
          <w:spacing w:val="-2"/>
        </w:rPr>
        <w:t> </w:t>
      </w:r>
      <w:r>
        <w:rPr/>
        <w:t>a un aumento del 80,07% de recursos disponibles.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4240">
                <wp:simplePos x="0" y="0"/>
                <wp:positionH relativeFrom="page">
                  <wp:posOffset>9525</wp:posOffset>
                </wp:positionH>
                <wp:positionV relativeFrom="page">
                  <wp:posOffset>297208</wp:posOffset>
                </wp:positionV>
                <wp:extent cx="7762875" cy="9748520"/>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7762875" cy="9748520"/>
                          <a:chExt cx="7762875" cy="9748520"/>
                        </a:xfrm>
                      </wpg:grpSpPr>
                      <pic:pic>
                        <pic:nvPicPr>
                          <pic:cNvPr id="738" name="Image 738"/>
                          <pic:cNvPicPr/>
                        </pic:nvPicPr>
                        <pic:blipFill>
                          <a:blip r:embed="rId5" cstate="print"/>
                          <a:stretch>
                            <a:fillRect/>
                          </a:stretch>
                        </pic:blipFill>
                        <pic:spPr>
                          <a:xfrm>
                            <a:off x="0" y="0"/>
                            <a:ext cx="7762874" cy="9748489"/>
                          </a:xfrm>
                          <a:prstGeom prst="rect">
                            <a:avLst/>
                          </a:prstGeom>
                        </pic:spPr>
                      </pic:pic>
                      <wps:wsp>
                        <wps:cNvPr id="739" name="Graphic 739"/>
                        <wps:cNvSpPr/>
                        <wps:spPr>
                          <a:xfrm>
                            <a:off x="1053007" y="990837"/>
                            <a:ext cx="5736590" cy="7010400"/>
                          </a:xfrm>
                          <a:custGeom>
                            <a:avLst/>
                            <a:gdLst/>
                            <a:ahLst/>
                            <a:cxnLst/>
                            <a:rect l="l" t="t" r="r" b="b"/>
                            <a:pathLst>
                              <a:path w="5736590" h="7010400">
                                <a:moveTo>
                                  <a:pt x="21336" y="132702"/>
                                </a:moveTo>
                                <a:lnTo>
                                  <a:pt x="15240" y="132702"/>
                                </a:lnTo>
                                <a:lnTo>
                                  <a:pt x="15240" y="7003783"/>
                                </a:lnTo>
                                <a:lnTo>
                                  <a:pt x="21336" y="7003783"/>
                                </a:lnTo>
                                <a:lnTo>
                                  <a:pt x="21336" y="132702"/>
                                </a:lnTo>
                                <a:close/>
                              </a:path>
                              <a:path w="5736590" h="7010400">
                                <a:moveTo>
                                  <a:pt x="5649214" y="0"/>
                                </a:moveTo>
                                <a:lnTo>
                                  <a:pt x="0" y="0"/>
                                </a:lnTo>
                                <a:lnTo>
                                  <a:pt x="0" y="9131"/>
                                </a:lnTo>
                                <a:lnTo>
                                  <a:pt x="5649214" y="9131"/>
                                </a:lnTo>
                                <a:lnTo>
                                  <a:pt x="5649214" y="0"/>
                                </a:lnTo>
                                <a:close/>
                              </a:path>
                              <a:path w="5736590" h="7010400">
                                <a:moveTo>
                                  <a:pt x="5736018" y="7003796"/>
                                </a:moveTo>
                                <a:lnTo>
                                  <a:pt x="5729986" y="7003796"/>
                                </a:lnTo>
                                <a:lnTo>
                                  <a:pt x="21336" y="7003796"/>
                                </a:lnTo>
                                <a:lnTo>
                                  <a:pt x="15240" y="7003796"/>
                                </a:lnTo>
                                <a:lnTo>
                                  <a:pt x="15240" y="7009879"/>
                                </a:lnTo>
                                <a:lnTo>
                                  <a:pt x="21336" y="7009879"/>
                                </a:lnTo>
                                <a:lnTo>
                                  <a:pt x="5729935" y="7009879"/>
                                </a:lnTo>
                                <a:lnTo>
                                  <a:pt x="5736018" y="7009879"/>
                                </a:lnTo>
                                <a:lnTo>
                                  <a:pt x="5736018" y="7003796"/>
                                </a:lnTo>
                                <a:close/>
                              </a:path>
                              <a:path w="5736590" h="7010400">
                                <a:moveTo>
                                  <a:pt x="5736018" y="132702"/>
                                </a:moveTo>
                                <a:lnTo>
                                  <a:pt x="5729935" y="132702"/>
                                </a:lnTo>
                                <a:lnTo>
                                  <a:pt x="5729935" y="7003783"/>
                                </a:lnTo>
                                <a:lnTo>
                                  <a:pt x="5736018" y="7003783"/>
                                </a:lnTo>
                                <a:lnTo>
                                  <a:pt x="5736018" y="132702"/>
                                </a:lnTo>
                                <a:close/>
                              </a:path>
                              <a:path w="5736590" h="701040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42240" id="docshapegroup715" coordorigin="15,468" coordsize="12225,15352">
                <v:shape style="position:absolute;left:15;top:468;width:12225;height:15352" type="#_x0000_t75" id="docshape716" stroked="false">
                  <v:imagedata r:id="rId5" o:title=""/>
                </v:shape>
                <v:shape style="position:absolute;left:1673;top:2028;width:9034;height:11040" id="docshape717" coordorigin="1673,2028" coordsize="9034,11040" path="m1707,2237l1697,2237,1697,13058,1707,13058,1707,2237xm10570,2028l1673,2028,1673,2043,10570,2043,10570,2028xm10706,13058l10697,13058,10697,13058,1707,13058,1697,13058,1697,13068,1707,13068,10697,13068,10697,13068,10706,13068,10706,13058xm10706,2237l10697,2237,10697,13058,10706,13058,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149</w:t>
      </w:r>
    </w:p>
    <w:p>
      <w:pPr>
        <w:pStyle w:val="Heading6"/>
        <w:spacing w:before="227"/>
        <w:ind w:left="691"/>
        <w:rPr>
          <w:b w:val="0"/>
        </w:rPr>
      </w:pPr>
      <w:r>
        <w:rPr>
          <w:color w:val="1F4E79"/>
          <w:spacing w:val="-2"/>
          <w:u w:val="single" w:color="1F4E79"/>
        </w:rPr>
        <w:t>Revelación</w:t>
      </w:r>
      <w:r>
        <w:rPr>
          <w:b w:val="0"/>
          <w:spacing w:val="-2"/>
          <w:u w:val="none"/>
        </w:rPr>
        <w:t>:</w:t>
      </w:r>
    </w:p>
    <w:p>
      <w:pPr>
        <w:pStyle w:val="BodyText"/>
        <w:spacing w:before="179"/>
        <w:ind w:left="691" w:right="940"/>
        <w:jc w:val="both"/>
      </w:pPr>
      <w:r>
        <w:rPr/>
        <w:t>Las variaciones corresponden a aumentos y disminuciones en la provisión de litigios y su correspondiente gasto, producto de sentencias de procesos judiciales que dan origen a la provisión, según detalle:</w:t>
      </w:r>
    </w:p>
    <w:p>
      <w:pPr>
        <w:pStyle w:val="ListParagraph"/>
        <w:numPr>
          <w:ilvl w:val="0"/>
          <w:numId w:val="63"/>
        </w:numPr>
        <w:tabs>
          <w:tab w:pos="2131" w:val="left" w:leader="none"/>
        </w:tabs>
        <w:spacing w:line="240" w:lineRule="auto" w:before="3" w:after="0"/>
        <w:ind w:left="2131" w:right="0" w:hanging="360"/>
        <w:jc w:val="left"/>
        <w:rPr>
          <w:sz w:val="22"/>
        </w:rPr>
      </w:pPr>
      <w:r>
        <w:rPr>
          <w:sz w:val="22"/>
        </w:rPr>
        <w:t>Detalle</w:t>
      </w:r>
      <w:r>
        <w:rPr>
          <w:spacing w:val="-3"/>
          <w:sz w:val="22"/>
        </w:rPr>
        <w:t> </w:t>
      </w:r>
      <w:r>
        <w:rPr>
          <w:sz w:val="22"/>
        </w:rPr>
        <w:t>de</w:t>
      </w:r>
      <w:r>
        <w:rPr>
          <w:spacing w:val="-2"/>
          <w:sz w:val="22"/>
        </w:rPr>
        <w:t> IMAS:</w:t>
      </w:r>
    </w:p>
    <w:p>
      <w:pPr>
        <w:pStyle w:val="BodyText"/>
        <w:spacing w:before="74"/>
      </w:pPr>
    </w:p>
    <w:p>
      <w:pPr>
        <w:pStyle w:val="BodyText"/>
        <w:spacing w:line="276" w:lineRule="auto"/>
        <w:ind w:left="2131" w:right="886"/>
        <w:jc w:val="both"/>
      </w:pPr>
      <w:r>
        <w:rPr/>
        <w:t>Exp. 02-202468-345-PE proceso Acción Civil Resarcitoria (daño patrimonial, intereses,</w:t>
      </w:r>
      <w:r>
        <w:rPr>
          <w:spacing w:val="-11"/>
        </w:rPr>
        <w:t> </w:t>
      </w:r>
      <w:r>
        <w:rPr/>
        <w:t>indexación,</w:t>
      </w:r>
      <w:r>
        <w:rPr>
          <w:spacing w:val="-11"/>
        </w:rPr>
        <w:t> </w:t>
      </w:r>
      <w:r>
        <w:rPr/>
        <w:t>costas)-daños</w:t>
      </w:r>
      <w:r>
        <w:rPr>
          <w:spacing w:val="-11"/>
        </w:rPr>
        <w:t> </w:t>
      </w:r>
      <w:r>
        <w:rPr/>
        <w:t>terceros,</w:t>
      </w:r>
      <w:r>
        <w:rPr>
          <w:spacing w:val="-13"/>
        </w:rPr>
        <w:t> </w:t>
      </w:r>
      <w:r>
        <w:rPr/>
        <w:t>se</w:t>
      </w:r>
      <w:r>
        <w:rPr>
          <w:spacing w:val="-10"/>
        </w:rPr>
        <w:t> </w:t>
      </w:r>
      <w:r>
        <w:rPr/>
        <w:t>pagó</w:t>
      </w:r>
      <w:r>
        <w:rPr>
          <w:spacing w:val="-11"/>
        </w:rPr>
        <w:t> </w:t>
      </w:r>
      <w:r>
        <w:rPr/>
        <w:t>con</w:t>
      </w:r>
      <w:r>
        <w:rPr>
          <w:spacing w:val="-11"/>
        </w:rPr>
        <w:t> </w:t>
      </w:r>
      <w:r>
        <w:rPr/>
        <w:t>documento</w:t>
      </w:r>
      <w:r>
        <w:rPr>
          <w:spacing w:val="-11"/>
        </w:rPr>
        <w:t> </w:t>
      </w:r>
      <w:r>
        <w:rPr/>
        <w:t>KR</w:t>
      </w:r>
      <w:r>
        <w:rPr>
          <w:spacing w:val="-11"/>
        </w:rPr>
        <w:t> </w:t>
      </w:r>
      <w:r>
        <w:rPr/>
        <w:t>1900020704 Exp. 11-004740-1027-CA Ejecuta sentencia Res. 000324-S1-2025 del 07/03/2025, se pagó con documento. KR 1900020699.</w:t>
      </w:r>
    </w:p>
    <w:p>
      <w:pPr>
        <w:pStyle w:val="BodyText"/>
        <w:spacing w:line="276" w:lineRule="auto" w:before="1"/>
        <w:ind w:left="2131" w:right="884"/>
        <w:jc w:val="both"/>
      </w:pPr>
      <w:r>
        <w:rPr/>
        <w:t>Exp.</w:t>
      </w:r>
      <w:r>
        <w:rPr>
          <w:spacing w:val="-1"/>
        </w:rPr>
        <w:t> </w:t>
      </w:r>
      <w:r>
        <w:rPr/>
        <w:t>17-012484-1027-CA</w:t>
      </w:r>
      <w:r>
        <w:rPr>
          <w:spacing w:val="-4"/>
        </w:rPr>
        <w:t> </w:t>
      </w:r>
      <w:r>
        <w:rPr/>
        <w:t>ejecución</w:t>
      </w:r>
      <w:r>
        <w:rPr>
          <w:spacing w:val="-4"/>
        </w:rPr>
        <w:t> </w:t>
      </w:r>
      <w:r>
        <w:rPr/>
        <w:t>sentencia</w:t>
      </w:r>
      <w:r>
        <w:rPr>
          <w:spacing w:val="-3"/>
        </w:rPr>
        <w:t> </w:t>
      </w:r>
      <w:r>
        <w:rPr/>
        <w:t>terceros,</w:t>
      </w:r>
      <w:r>
        <w:rPr>
          <w:spacing w:val="-4"/>
        </w:rPr>
        <w:t> </w:t>
      </w:r>
      <w:r>
        <w:rPr/>
        <w:t>En</w:t>
      </w:r>
      <w:r>
        <w:rPr>
          <w:spacing w:val="-2"/>
        </w:rPr>
        <w:t> </w:t>
      </w:r>
      <w:r>
        <w:rPr/>
        <w:t>Res.</w:t>
      </w:r>
      <w:r>
        <w:rPr>
          <w:spacing w:val="-1"/>
        </w:rPr>
        <w:t> </w:t>
      </w:r>
      <w:r>
        <w:rPr/>
        <w:t>000860-F-S1-2024</w:t>
      </w:r>
      <w:r>
        <w:rPr>
          <w:spacing w:val="-5"/>
        </w:rPr>
        <w:t> </w:t>
      </w:r>
      <w:r>
        <w:rPr/>
        <w:t>de la Sala Primera de la Corte Suprema de Justicia</w:t>
      </w:r>
    </w:p>
    <w:p>
      <w:pPr>
        <w:pStyle w:val="BodyText"/>
        <w:spacing w:line="276" w:lineRule="auto" w:before="1"/>
        <w:ind w:left="2131" w:right="889"/>
        <w:jc w:val="both"/>
      </w:pPr>
      <w:r>
        <w:rPr/>
        <w:t>Exp, 21-000853-0173-LA Reclamo laboral Ajuste y pago de porcentajes salariales, según Resolución DG-078-89. Ajustado por pago.</w:t>
      </w:r>
    </w:p>
    <w:p>
      <w:pPr>
        <w:pStyle w:val="BodyText"/>
        <w:spacing w:line="276" w:lineRule="auto"/>
        <w:ind w:left="2131" w:right="888"/>
        <w:jc w:val="both"/>
      </w:pPr>
      <w:r>
        <w:rPr/>
        <w:t>Exp, 21-000862-01178-LA Reclamo laboral. Ajuste y pago de porcentajes salariales, según Resolución DG-078-89, se realizó pago con documento kr-1900020686.</w:t>
      </w:r>
    </w:p>
    <w:p>
      <w:pPr>
        <w:pStyle w:val="BodyText"/>
        <w:spacing w:line="276" w:lineRule="auto"/>
        <w:ind w:left="2131" w:right="890"/>
        <w:jc w:val="both"/>
      </w:pPr>
      <w:r>
        <w:rPr/>
        <w:t>Exp. 21-002948-1178-LA- Ajuste y pago de porcentajes salariales, según Resolución </w:t>
      </w:r>
      <w:r>
        <w:rPr>
          <w:spacing w:val="-2"/>
        </w:rPr>
        <w:t>DG-078-89.</w:t>
      </w:r>
    </w:p>
    <w:p>
      <w:pPr>
        <w:pStyle w:val="BodyText"/>
        <w:spacing w:line="276" w:lineRule="auto"/>
        <w:ind w:left="2131" w:right="887"/>
        <w:jc w:val="both"/>
      </w:pPr>
      <w:r>
        <w:rPr/>
        <w:t>Exp.</w:t>
      </w:r>
      <w:r>
        <w:rPr>
          <w:spacing w:val="-8"/>
        </w:rPr>
        <w:t> </w:t>
      </w:r>
      <w:r>
        <w:rPr/>
        <w:t>21-006505-1027-CA-Ejecuta</w:t>
      </w:r>
      <w:r>
        <w:rPr>
          <w:spacing w:val="-9"/>
        </w:rPr>
        <w:t> </w:t>
      </w:r>
      <w:r>
        <w:rPr/>
        <w:t>sentencia</w:t>
      </w:r>
      <w:r>
        <w:rPr>
          <w:spacing w:val="-10"/>
        </w:rPr>
        <w:t> </w:t>
      </w:r>
      <w:r>
        <w:rPr/>
        <w:t>por</w:t>
      </w:r>
      <w:r>
        <w:rPr>
          <w:spacing w:val="-9"/>
        </w:rPr>
        <w:t> </w:t>
      </w:r>
      <w:r>
        <w:rPr/>
        <w:t>concepto</w:t>
      </w:r>
      <w:r>
        <w:rPr>
          <w:spacing w:val="-8"/>
        </w:rPr>
        <w:t> </w:t>
      </w:r>
      <w:r>
        <w:rPr/>
        <w:t>de</w:t>
      </w:r>
      <w:r>
        <w:rPr>
          <w:spacing w:val="-11"/>
        </w:rPr>
        <w:t> </w:t>
      </w:r>
      <w:r>
        <w:rPr/>
        <w:t>honorarios</w:t>
      </w:r>
      <w:r>
        <w:rPr>
          <w:spacing w:val="-8"/>
        </w:rPr>
        <w:t> </w:t>
      </w:r>
      <w:r>
        <w:rPr/>
        <w:t>de</w:t>
      </w:r>
      <w:r>
        <w:rPr>
          <w:spacing w:val="-8"/>
        </w:rPr>
        <w:t> </w:t>
      </w:r>
      <w:r>
        <w:rPr/>
        <w:t>abogado</w:t>
      </w:r>
      <w:r>
        <w:rPr>
          <w:spacing w:val="-11"/>
        </w:rPr>
        <w:t> </w:t>
      </w:r>
      <w:r>
        <w:rPr/>
        <w:t>y rubros de responsabilidad patronal.</w:t>
      </w:r>
    </w:p>
    <w:p>
      <w:pPr>
        <w:pStyle w:val="BodyText"/>
        <w:spacing w:line="278" w:lineRule="auto"/>
        <w:ind w:left="2131" w:right="890"/>
        <w:jc w:val="both"/>
      </w:pPr>
      <w:r>
        <w:rPr/>
        <w:t>Exp. 18-001758-1178 reclamo laboral. Ajuste y pago de porcentajes salariales, según resolución DG-078-89.</w:t>
      </w:r>
    </w:p>
    <w:p>
      <w:pPr>
        <w:pStyle w:val="BodyText"/>
        <w:spacing w:line="248" w:lineRule="exact"/>
        <w:ind w:left="2131"/>
        <w:jc w:val="both"/>
      </w:pPr>
      <w:r>
        <w:rPr/>
        <w:t>Exp.</w:t>
      </w:r>
      <w:r>
        <w:rPr>
          <w:spacing w:val="-5"/>
        </w:rPr>
        <w:t> </w:t>
      </w:r>
      <w:r>
        <w:rPr/>
        <w:t>22-002087-1028-CA.</w:t>
      </w:r>
      <w:r>
        <w:rPr>
          <w:spacing w:val="-7"/>
        </w:rPr>
        <w:t> </w:t>
      </w:r>
      <w:r>
        <w:rPr/>
        <w:t>Pago</w:t>
      </w:r>
      <w:r>
        <w:rPr>
          <w:spacing w:val="-3"/>
        </w:rPr>
        <w:t> </w:t>
      </w:r>
      <w:r>
        <w:rPr/>
        <w:t>de</w:t>
      </w:r>
      <w:r>
        <w:rPr>
          <w:spacing w:val="-7"/>
        </w:rPr>
        <w:t> </w:t>
      </w:r>
      <w:r>
        <w:rPr/>
        <w:t>costas,</w:t>
      </w:r>
      <w:r>
        <w:rPr>
          <w:spacing w:val="-4"/>
        </w:rPr>
        <w:t> </w:t>
      </w:r>
      <w:r>
        <w:rPr/>
        <w:t>daños</w:t>
      </w:r>
      <w:r>
        <w:rPr>
          <w:spacing w:val="-3"/>
        </w:rPr>
        <w:t> </w:t>
      </w:r>
      <w:r>
        <w:rPr/>
        <w:t>y</w:t>
      </w:r>
      <w:r>
        <w:rPr>
          <w:spacing w:val="-6"/>
        </w:rPr>
        <w:t> </w:t>
      </w:r>
      <w:r>
        <w:rPr/>
        <w:t>perjuicios,</w:t>
      </w:r>
      <w:r>
        <w:rPr>
          <w:spacing w:val="-4"/>
        </w:rPr>
        <w:t> </w:t>
      </w:r>
      <w:r>
        <w:rPr/>
        <w:t>proceso</w:t>
      </w:r>
      <w:r>
        <w:rPr>
          <w:spacing w:val="-4"/>
        </w:rPr>
        <w:t> </w:t>
      </w:r>
      <w:r>
        <w:rPr>
          <w:spacing w:val="-2"/>
        </w:rPr>
        <w:t>cerrado.</w:t>
      </w:r>
    </w:p>
    <w:p>
      <w:pPr>
        <w:pStyle w:val="BodyText"/>
        <w:spacing w:line="276" w:lineRule="auto" w:before="35"/>
        <w:ind w:left="2131" w:right="860"/>
      </w:pPr>
      <w:r>
        <w:rPr/>
        <w:t>Exp.</w:t>
      </w:r>
      <w:r>
        <w:rPr>
          <w:spacing w:val="-14"/>
        </w:rPr>
        <w:t> </w:t>
      </w:r>
      <w:r>
        <w:rPr/>
        <w:t>23-002044-1027-CA</w:t>
      </w:r>
      <w:r>
        <w:rPr>
          <w:spacing w:val="-14"/>
        </w:rPr>
        <w:t> </w:t>
      </w:r>
      <w:r>
        <w:rPr/>
        <w:t>proceso</w:t>
      </w:r>
      <w:r>
        <w:rPr>
          <w:spacing w:val="-14"/>
        </w:rPr>
        <w:t> </w:t>
      </w:r>
      <w:r>
        <w:rPr/>
        <w:t>ordinario</w:t>
      </w:r>
      <w:r>
        <w:rPr>
          <w:spacing w:val="-13"/>
        </w:rPr>
        <w:t> </w:t>
      </w:r>
      <w:r>
        <w:rPr/>
        <w:t>pago</w:t>
      </w:r>
      <w:r>
        <w:rPr>
          <w:spacing w:val="-14"/>
        </w:rPr>
        <w:t> </w:t>
      </w:r>
      <w:r>
        <w:rPr/>
        <w:t>de</w:t>
      </w:r>
      <w:r>
        <w:rPr>
          <w:spacing w:val="-14"/>
        </w:rPr>
        <w:t> </w:t>
      </w:r>
      <w:r>
        <w:rPr/>
        <w:t>costas</w:t>
      </w:r>
      <w:r>
        <w:rPr>
          <w:spacing w:val="-13"/>
        </w:rPr>
        <w:t> </w:t>
      </w:r>
      <w:r>
        <w:rPr/>
        <w:t>daños</w:t>
      </w:r>
      <w:r>
        <w:rPr>
          <w:spacing w:val="-12"/>
        </w:rPr>
        <w:t> </w:t>
      </w:r>
      <w:r>
        <w:rPr/>
        <w:t>y</w:t>
      </w:r>
      <w:r>
        <w:rPr>
          <w:spacing w:val="-14"/>
        </w:rPr>
        <w:t> </w:t>
      </w:r>
      <w:r>
        <w:rPr/>
        <w:t>perjuicios</w:t>
      </w:r>
      <w:r>
        <w:rPr>
          <w:spacing w:val="-14"/>
        </w:rPr>
        <w:t> </w:t>
      </w:r>
      <w:r>
        <w:rPr/>
        <w:t>Recurso de amparo.</w:t>
      </w:r>
    </w:p>
    <w:p>
      <w:pPr>
        <w:pStyle w:val="BodyText"/>
        <w:spacing w:line="276" w:lineRule="auto" w:before="1"/>
        <w:ind w:left="2131" w:right="1001"/>
      </w:pPr>
      <w:r>
        <w:rPr/>
        <w:t>Exp.</w:t>
      </w:r>
      <w:r>
        <w:rPr>
          <w:spacing w:val="40"/>
        </w:rPr>
        <w:t> </w:t>
      </w:r>
      <w:r>
        <w:rPr/>
        <w:t>24-000261-0166-LA</w:t>
      </w:r>
      <w:r>
        <w:rPr>
          <w:spacing w:val="40"/>
        </w:rPr>
        <w:t> </w:t>
      </w:r>
      <w:r>
        <w:rPr/>
        <w:t>sentencia</w:t>
      </w:r>
      <w:r>
        <w:rPr>
          <w:spacing w:val="40"/>
        </w:rPr>
        <w:t> </w:t>
      </w:r>
      <w:r>
        <w:rPr/>
        <w:t>N°</w:t>
      </w:r>
      <w:r>
        <w:rPr>
          <w:spacing w:val="40"/>
        </w:rPr>
        <w:t> </w:t>
      </w:r>
      <w:r>
        <w:rPr/>
        <w:t>2025-002282</w:t>
      </w:r>
      <w:r>
        <w:rPr>
          <w:spacing w:val="40"/>
        </w:rPr>
        <w:t> </w:t>
      </w:r>
      <w:r>
        <w:rPr/>
        <w:t>concepto</w:t>
      </w:r>
      <w:r>
        <w:rPr>
          <w:spacing w:val="40"/>
        </w:rPr>
        <w:t> </w:t>
      </w:r>
      <w:r>
        <w:rPr/>
        <w:t>laboral,</w:t>
      </w:r>
      <w:r>
        <w:rPr>
          <w:spacing w:val="40"/>
        </w:rPr>
        <w:t> </w:t>
      </w:r>
      <w:r>
        <w:rPr/>
        <w:t>proceso</w:t>
      </w:r>
      <w:r>
        <w:rPr>
          <w:spacing w:val="80"/>
        </w:rPr>
        <w:t> </w:t>
      </w:r>
      <w:r>
        <w:rPr>
          <w:spacing w:val="-2"/>
        </w:rPr>
        <w:t>cerrado.</w:t>
      </w:r>
    </w:p>
    <w:p>
      <w:pPr>
        <w:pStyle w:val="BodyText"/>
        <w:spacing w:line="276" w:lineRule="auto"/>
        <w:ind w:left="2131" w:right="1001"/>
      </w:pPr>
      <w:r>
        <w:rPr/>
        <w:t>Exp. 24-001609-1028-CA. Pago de costas personales correspondiente al recurso de amparo. El expediente se le dio de baja.</w:t>
      </w:r>
    </w:p>
    <w:p>
      <w:pPr>
        <w:pStyle w:val="BodyText"/>
        <w:spacing w:before="37"/>
      </w:pPr>
    </w:p>
    <w:p>
      <w:pPr>
        <w:pStyle w:val="ListParagraph"/>
        <w:numPr>
          <w:ilvl w:val="0"/>
          <w:numId w:val="63"/>
        </w:numPr>
        <w:tabs>
          <w:tab w:pos="2130" w:val="left" w:leader="none"/>
        </w:tabs>
        <w:spacing w:line="240" w:lineRule="auto" w:before="0" w:after="0"/>
        <w:ind w:left="2130" w:right="0" w:hanging="359"/>
        <w:jc w:val="left"/>
        <w:rPr>
          <w:sz w:val="22"/>
        </w:rPr>
      </w:pPr>
      <w:r>
        <w:rPr>
          <w:sz w:val="22"/>
        </w:rPr>
        <w:t>Detalle</w:t>
      </w:r>
      <w:r>
        <w:rPr>
          <w:spacing w:val="-5"/>
          <w:sz w:val="22"/>
        </w:rPr>
        <w:t> </w:t>
      </w:r>
      <w:r>
        <w:rPr>
          <w:sz w:val="22"/>
        </w:rPr>
        <w:t>de</w:t>
      </w:r>
      <w:r>
        <w:rPr>
          <w:spacing w:val="-4"/>
          <w:sz w:val="22"/>
        </w:rPr>
        <w:t> </w:t>
      </w:r>
      <w:r>
        <w:rPr>
          <w:sz w:val="22"/>
        </w:rPr>
        <w:t>Empresas</w:t>
      </w:r>
      <w:r>
        <w:rPr>
          <w:spacing w:val="-4"/>
          <w:sz w:val="22"/>
        </w:rPr>
        <w:t> </w:t>
      </w:r>
      <w:r>
        <w:rPr>
          <w:spacing w:val="-2"/>
          <w:sz w:val="22"/>
        </w:rPr>
        <w:t>Comerciales:</w:t>
      </w:r>
    </w:p>
    <w:p>
      <w:pPr>
        <w:pStyle w:val="BodyText"/>
        <w:spacing w:before="37"/>
        <w:ind w:left="2131" w:right="944"/>
      </w:pPr>
      <w:r>
        <w:rPr/>
        <w:t>Exp.</w:t>
      </w:r>
      <w:r>
        <w:rPr>
          <w:spacing w:val="-6"/>
        </w:rPr>
        <w:t> </w:t>
      </w:r>
      <w:r>
        <w:rPr/>
        <w:t>17-003002-0173-LA</w:t>
      </w:r>
      <w:r>
        <w:rPr>
          <w:spacing w:val="-9"/>
        </w:rPr>
        <w:t> </w:t>
      </w:r>
      <w:r>
        <w:rPr/>
        <w:t>Reclama</w:t>
      </w:r>
      <w:r>
        <w:rPr>
          <w:spacing w:val="-7"/>
        </w:rPr>
        <w:t> </w:t>
      </w:r>
      <w:r>
        <w:rPr/>
        <w:t>derecho</w:t>
      </w:r>
      <w:r>
        <w:rPr>
          <w:spacing w:val="-8"/>
        </w:rPr>
        <w:t> </w:t>
      </w:r>
      <w:r>
        <w:rPr/>
        <w:t>y</w:t>
      </w:r>
      <w:r>
        <w:rPr>
          <w:spacing w:val="-8"/>
        </w:rPr>
        <w:t> </w:t>
      </w:r>
      <w:r>
        <w:rPr/>
        <w:t>pago</w:t>
      </w:r>
      <w:r>
        <w:rPr>
          <w:spacing w:val="-8"/>
        </w:rPr>
        <w:t> </w:t>
      </w:r>
      <w:r>
        <w:rPr/>
        <w:t>de</w:t>
      </w:r>
      <w:r>
        <w:rPr>
          <w:spacing w:val="-8"/>
        </w:rPr>
        <w:t> </w:t>
      </w:r>
      <w:r>
        <w:rPr/>
        <w:t>comisiones</w:t>
      </w:r>
      <w:r>
        <w:rPr>
          <w:spacing w:val="-8"/>
        </w:rPr>
        <w:t> </w:t>
      </w:r>
      <w:r>
        <w:rPr/>
        <w:t>sobre</w:t>
      </w:r>
      <w:r>
        <w:rPr>
          <w:spacing w:val="-8"/>
        </w:rPr>
        <w:t> </w:t>
      </w:r>
      <w:r>
        <w:rPr/>
        <w:t>ventas</w:t>
      </w:r>
      <w:r>
        <w:rPr>
          <w:spacing w:val="-8"/>
        </w:rPr>
        <w:t> </w:t>
      </w:r>
      <w:r>
        <w:rPr/>
        <w:t>brutas y otros rubros.</w:t>
      </w:r>
    </w:p>
    <w:p>
      <w:pPr>
        <w:pStyle w:val="BodyText"/>
        <w:spacing w:before="1"/>
        <w:ind w:left="2131"/>
      </w:pPr>
      <w:r>
        <w:rPr/>
        <w:t>Exp.</w:t>
      </w:r>
      <w:r>
        <w:rPr>
          <w:spacing w:val="-9"/>
        </w:rPr>
        <w:t> </w:t>
      </w:r>
      <w:r>
        <w:rPr/>
        <w:t>16-000070-0639-LA</w:t>
      </w:r>
      <w:r>
        <w:rPr>
          <w:spacing w:val="-6"/>
        </w:rPr>
        <w:t> </w:t>
      </w:r>
      <w:r>
        <w:rPr/>
        <w:t>reclama</w:t>
      </w:r>
      <w:r>
        <w:rPr>
          <w:spacing w:val="-8"/>
        </w:rPr>
        <w:t> </w:t>
      </w:r>
      <w:r>
        <w:rPr/>
        <w:t>derecho</w:t>
      </w:r>
      <w:r>
        <w:rPr>
          <w:spacing w:val="-6"/>
        </w:rPr>
        <w:t> </w:t>
      </w:r>
      <w:r>
        <w:rPr/>
        <w:t>laboral</w:t>
      </w:r>
      <w:r>
        <w:rPr>
          <w:spacing w:val="-7"/>
        </w:rPr>
        <w:t> </w:t>
      </w:r>
      <w:r>
        <w:rPr/>
        <w:t>Resolución</w:t>
      </w:r>
      <w:r>
        <w:rPr>
          <w:spacing w:val="-6"/>
        </w:rPr>
        <w:t> </w:t>
      </w:r>
      <w:r>
        <w:rPr/>
        <w:t>Nº</w:t>
      </w:r>
      <w:r>
        <w:rPr>
          <w:spacing w:val="-6"/>
        </w:rPr>
        <w:t> </w:t>
      </w:r>
      <w:r>
        <w:rPr/>
        <w:t>2025-</w:t>
      </w:r>
      <w:r>
        <w:rPr>
          <w:spacing w:val="-2"/>
        </w:rPr>
        <w:t>000519,</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5776">
                <wp:simplePos x="0" y="0"/>
                <wp:positionH relativeFrom="page">
                  <wp:posOffset>9525</wp:posOffset>
                </wp:positionH>
                <wp:positionV relativeFrom="page">
                  <wp:posOffset>297208</wp:posOffset>
                </wp:positionV>
                <wp:extent cx="7762875" cy="9748520"/>
                <wp:effectExtent l="0" t="0" r="0" b="0"/>
                <wp:wrapNone/>
                <wp:docPr id="740" name="Group 740"/>
                <wp:cNvGraphicFramePr>
                  <a:graphicFrameLocks/>
                </wp:cNvGraphicFramePr>
                <a:graphic>
                  <a:graphicData uri="http://schemas.microsoft.com/office/word/2010/wordprocessingGroup">
                    <wpg:wgp>
                      <wpg:cNvPr id="740" name="Group 740"/>
                      <wpg:cNvGrpSpPr/>
                      <wpg:grpSpPr>
                        <a:xfrm>
                          <a:off x="0" y="0"/>
                          <a:ext cx="7762875" cy="9748520"/>
                          <a:chExt cx="7762875" cy="9748520"/>
                        </a:xfrm>
                      </wpg:grpSpPr>
                      <pic:pic>
                        <pic:nvPicPr>
                          <pic:cNvPr id="741" name="Image 741"/>
                          <pic:cNvPicPr/>
                        </pic:nvPicPr>
                        <pic:blipFill>
                          <a:blip r:embed="rId5" cstate="print"/>
                          <a:stretch>
                            <a:fillRect/>
                          </a:stretch>
                        </pic:blipFill>
                        <pic:spPr>
                          <a:xfrm>
                            <a:off x="0" y="0"/>
                            <a:ext cx="7762874" cy="9748489"/>
                          </a:xfrm>
                          <a:prstGeom prst="rect">
                            <a:avLst/>
                          </a:prstGeom>
                        </pic:spPr>
                      </pic:pic>
                      <wps:wsp>
                        <wps:cNvPr id="742" name="Graphic 74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40704" id="docshapegroup718" coordorigin="15,468" coordsize="12225,15352">
                <v:shape style="position:absolute;left:15;top:468;width:12225;height:15352" type="#_x0000_t75" id="docshape719" stroked="false">
                  <v:imagedata r:id="rId5" o:title=""/>
                </v:shape>
                <v:rect style="position:absolute;left:1673;top:2028;width:8897;height:15" id="docshape72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150</w:t>
      </w:r>
    </w:p>
    <w:p>
      <w:pPr>
        <w:pStyle w:val="Heading5"/>
        <w:numPr>
          <w:ilvl w:val="1"/>
          <w:numId w:val="39"/>
        </w:numPr>
        <w:tabs>
          <w:tab w:pos="945" w:val="left" w:leader="none"/>
        </w:tabs>
        <w:spacing w:line="240" w:lineRule="auto" w:before="218" w:after="0"/>
        <w:ind w:left="945" w:right="0" w:hanging="323"/>
        <w:jc w:val="left"/>
      </w:pPr>
      <w:bookmarkStart w:name="_bookmark117" w:id="118"/>
      <w:bookmarkEnd w:id="118"/>
      <w:r>
        <w:rPr>
          <w:b w:val="0"/>
        </w:rPr>
      </w:r>
      <w:r>
        <w:rPr>
          <w:color w:val="1F3762"/>
        </w:rPr>
        <w:t>GASTOS</w:t>
      </w:r>
      <w:r>
        <w:rPr>
          <w:color w:val="1F3762"/>
          <w:spacing w:val="-5"/>
        </w:rPr>
        <w:t> </w:t>
      </w:r>
      <w:r>
        <w:rPr>
          <w:color w:val="1F3762"/>
          <w:spacing w:val="-2"/>
        </w:rPr>
        <w:t>FINANCIEROS</w:t>
      </w:r>
    </w:p>
    <w:p>
      <w:pPr>
        <w:spacing w:before="166"/>
        <w:ind w:left="622" w:right="0" w:firstLine="0"/>
        <w:jc w:val="left"/>
        <w:rPr>
          <w:b/>
          <w:sz w:val="22"/>
        </w:rPr>
      </w:pPr>
      <w:bookmarkStart w:name="_bookmark118" w:id="119"/>
      <w:bookmarkEnd w:id="119"/>
      <w:r>
        <w:rPr/>
      </w:r>
      <w:r>
        <w:rPr>
          <w:b/>
          <w:sz w:val="22"/>
        </w:rPr>
        <w:t>NOTA</w:t>
      </w:r>
      <w:r>
        <w:rPr>
          <w:b/>
          <w:spacing w:val="-1"/>
          <w:sz w:val="22"/>
        </w:rPr>
        <w:t> </w:t>
      </w:r>
      <w:r>
        <w:rPr>
          <w:b/>
          <w:sz w:val="22"/>
        </w:rPr>
        <w:t>N° </w:t>
      </w:r>
      <w:r>
        <w:rPr>
          <w:b/>
          <w:spacing w:val="-5"/>
          <w:sz w:val="22"/>
        </w:rPr>
        <w:t>67</w:t>
      </w:r>
    </w:p>
    <w:p>
      <w:pPr>
        <w:pStyle w:val="BodyText"/>
        <w:spacing w:before="115"/>
        <w:rPr>
          <w:b/>
        </w:rPr>
      </w:pPr>
    </w:p>
    <w:p>
      <w:pPr>
        <w:pStyle w:val="BodyText"/>
        <w:ind w:left="622"/>
      </w:pPr>
      <w:r>
        <w:rPr/>
        <w:t>Intereses</w:t>
      </w:r>
      <w:r>
        <w:rPr>
          <w:spacing w:val="-8"/>
        </w:rPr>
        <w:t> </w:t>
      </w:r>
      <w:r>
        <w:rPr/>
        <w:t>sobre</w:t>
      </w:r>
      <w:r>
        <w:rPr>
          <w:spacing w:val="-7"/>
        </w:rPr>
        <w:t> </w:t>
      </w:r>
      <w:r>
        <w:rPr/>
        <w:t>endeudamiento</w:t>
      </w:r>
      <w:r>
        <w:rPr>
          <w:spacing w:val="-4"/>
        </w:rPr>
        <w:t> </w:t>
      </w:r>
      <w:r>
        <w:rPr>
          <w:spacing w:val="-2"/>
        </w:rPr>
        <w:t>público</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34"/>
        <w:gridCol w:w="3068"/>
        <w:gridCol w:w="533"/>
        <w:gridCol w:w="1650"/>
        <w:gridCol w:w="1275"/>
        <w:gridCol w:w="1163"/>
      </w:tblGrid>
      <w:tr>
        <w:trPr>
          <w:trHeight w:val="342" w:hRule="atLeast"/>
        </w:trPr>
        <w:tc>
          <w:tcPr>
            <w:tcW w:w="1334" w:type="dxa"/>
            <w:vMerge w:val="restart"/>
            <w:shd w:val="clear" w:color="auto" w:fill="365F92"/>
          </w:tcPr>
          <w:p>
            <w:pPr>
              <w:pStyle w:val="TableParagraph"/>
              <w:spacing w:before="149"/>
              <w:ind w:left="69"/>
              <w:rPr>
                <w:b/>
                <w:sz w:val="20"/>
              </w:rPr>
            </w:pPr>
            <w:r>
              <w:rPr>
                <w:b/>
                <w:color w:val="FFFFFF"/>
                <w:spacing w:val="-2"/>
                <w:sz w:val="20"/>
              </w:rPr>
              <w:t>Cuenta</w:t>
            </w:r>
          </w:p>
        </w:tc>
        <w:tc>
          <w:tcPr>
            <w:tcW w:w="3068" w:type="dxa"/>
            <w:vMerge w:val="restart"/>
            <w:shd w:val="clear" w:color="auto" w:fill="365F92"/>
          </w:tcPr>
          <w:p>
            <w:pPr>
              <w:pStyle w:val="TableParagraph"/>
              <w:spacing w:before="10"/>
              <w:rPr>
                <w:sz w:val="20"/>
              </w:rPr>
            </w:pPr>
          </w:p>
          <w:p>
            <w:pPr>
              <w:pStyle w:val="TableParagraph"/>
              <w:ind w:left="17"/>
              <w:jc w:val="center"/>
              <w:rPr>
                <w:b/>
                <w:sz w:val="20"/>
              </w:rPr>
            </w:pPr>
            <w:r>
              <w:rPr>
                <w:b/>
                <w:color w:val="FFFFFF"/>
                <w:spacing w:val="-2"/>
                <w:sz w:val="20"/>
              </w:rPr>
              <w:t>Descripción</w:t>
            </w:r>
          </w:p>
        </w:tc>
        <w:tc>
          <w:tcPr>
            <w:tcW w:w="533" w:type="dxa"/>
            <w:vMerge w:val="restart"/>
            <w:shd w:val="clear" w:color="auto" w:fill="365F92"/>
          </w:tcPr>
          <w:p>
            <w:pPr>
              <w:pStyle w:val="TableParagraph"/>
              <w:spacing w:before="10"/>
              <w:rPr>
                <w:sz w:val="20"/>
              </w:rPr>
            </w:pPr>
          </w:p>
          <w:p>
            <w:pPr>
              <w:pStyle w:val="TableParagraph"/>
              <w:ind w:left="69"/>
              <w:rPr>
                <w:b/>
                <w:sz w:val="20"/>
              </w:rPr>
            </w:pPr>
            <w:r>
              <w:rPr>
                <w:b/>
                <w:color w:val="FFFFFF"/>
                <w:spacing w:val="-4"/>
                <w:sz w:val="20"/>
              </w:rPr>
              <w:t>Nota</w:t>
            </w:r>
          </w:p>
        </w:tc>
        <w:tc>
          <w:tcPr>
            <w:tcW w:w="1650" w:type="dxa"/>
            <w:vMerge w:val="restart"/>
            <w:shd w:val="clear" w:color="auto" w:fill="365F92"/>
          </w:tcPr>
          <w:p>
            <w:pPr>
              <w:pStyle w:val="TableParagraph"/>
              <w:spacing w:before="10"/>
              <w:rPr>
                <w:sz w:val="20"/>
              </w:rPr>
            </w:pPr>
          </w:p>
          <w:p>
            <w:pPr>
              <w:pStyle w:val="TableParagraph"/>
              <w:ind w:left="249"/>
              <w:rPr>
                <w:b/>
                <w:sz w:val="20"/>
              </w:rPr>
            </w:pPr>
            <w:r>
              <w:rPr>
                <w:b/>
                <w:color w:val="FFFFFF"/>
                <w:sz w:val="20"/>
              </w:rPr>
              <w:t>Periodo</w:t>
            </w:r>
            <w:r>
              <w:rPr>
                <w:b/>
                <w:color w:val="FFFFFF"/>
                <w:spacing w:val="-5"/>
                <w:sz w:val="20"/>
              </w:rPr>
              <w:t> </w:t>
            </w:r>
            <w:r>
              <w:rPr>
                <w:b/>
                <w:color w:val="FFFFFF"/>
                <w:spacing w:val="-2"/>
                <w:sz w:val="20"/>
              </w:rPr>
              <w:t>Actual</w:t>
            </w:r>
          </w:p>
        </w:tc>
        <w:tc>
          <w:tcPr>
            <w:tcW w:w="1275" w:type="dxa"/>
            <w:vMerge w:val="restart"/>
            <w:shd w:val="clear" w:color="auto" w:fill="365F92"/>
          </w:tcPr>
          <w:p>
            <w:pPr>
              <w:pStyle w:val="TableParagraph"/>
              <w:spacing w:line="242" w:lineRule="auto" w:before="123"/>
              <w:ind w:left="296" w:right="272" w:firstLine="45"/>
              <w:rPr>
                <w:b/>
                <w:sz w:val="20"/>
              </w:rPr>
            </w:pPr>
            <w:r>
              <w:rPr>
                <w:b/>
                <w:color w:val="FFFFFF"/>
                <w:spacing w:val="-2"/>
                <w:sz w:val="20"/>
              </w:rPr>
              <w:t>Periodo Anterior</w:t>
            </w:r>
          </w:p>
        </w:tc>
        <w:tc>
          <w:tcPr>
            <w:tcW w:w="1163" w:type="dxa"/>
            <w:shd w:val="clear" w:color="auto" w:fill="365F92"/>
          </w:tcPr>
          <w:p>
            <w:pPr>
              <w:pStyle w:val="TableParagraph"/>
              <w:spacing w:before="56"/>
              <w:ind w:left="14" w:right="3"/>
              <w:jc w:val="center"/>
              <w:rPr>
                <w:b/>
                <w:sz w:val="20"/>
              </w:rPr>
            </w:pPr>
            <w:r>
              <w:rPr>
                <w:b/>
                <w:color w:val="FFFFFF"/>
                <w:spacing w:val="-2"/>
                <w:sz w:val="20"/>
              </w:rPr>
              <w:t>Diferencia</w:t>
            </w:r>
          </w:p>
        </w:tc>
      </w:tr>
      <w:tr>
        <w:trPr>
          <w:trHeight w:val="344" w:hRule="atLeast"/>
        </w:trPr>
        <w:tc>
          <w:tcPr>
            <w:tcW w:w="1334" w:type="dxa"/>
            <w:vMerge/>
            <w:tcBorders>
              <w:top w:val="nil"/>
            </w:tcBorders>
            <w:shd w:val="clear" w:color="auto" w:fill="365F92"/>
          </w:tcPr>
          <w:p>
            <w:pPr>
              <w:rPr>
                <w:sz w:val="2"/>
                <w:szCs w:val="2"/>
              </w:rPr>
            </w:pPr>
          </w:p>
        </w:tc>
        <w:tc>
          <w:tcPr>
            <w:tcW w:w="3068" w:type="dxa"/>
            <w:vMerge/>
            <w:tcBorders>
              <w:top w:val="nil"/>
            </w:tcBorders>
            <w:shd w:val="clear" w:color="auto" w:fill="365F92"/>
          </w:tcPr>
          <w:p>
            <w:pPr>
              <w:rPr>
                <w:sz w:val="2"/>
                <w:szCs w:val="2"/>
              </w:rPr>
            </w:pPr>
          </w:p>
        </w:tc>
        <w:tc>
          <w:tcPr>
            <w:tcW w:w="533" w:type="dxa"/>
            <w:vMerge/>
            <w:tcBorders>
              <w:top w:val="nil"/>
            </w:tcBorders>
            <w:shd w:val="clear" w:color="auto" w:fill="365F92"/>
          </w:tcPr>
          <w:p>
            <w:pPr>
              <w:rPr>
                <w:sz w:val="2"/>
                <w:szCs w:val="2"/>
              </w:rPr>
            </w:pPr>
          </w:p>
        </w:tc>
        <w:tc>
          <w:tcPr>
            <w:tcW w:w="1650" w:type="dxa"/>
            <w:vMerge/>
            <w:tcBorders>
              <w:top w:val="nil"/>
            </w:tcBorders>
            <w:shd w:val="clear" w:color="auto" w:fill="365F92"/>
          </w:tcPr>
          <w:p>
            <w:pPr>
              <w:rPr>
                <w:sz w:val="2"/>
                <w:szCs w:val="2"/>
              </w:rPr>
            </w:pPr>
          </w:p>
        </w:tc>
        <w:tc>
          <w:tcPr>
            <w:tcW w:w="1275" w:type="dxa"/>
            <w:vMerge/>
            <w:tcBorders>
              <w:top w:val="nil"/>
            </w:tcBorders>
            <w:shd w:val="clear" w:color="auto" w:fill="365F92"/>
          </w:tcPr>
          <w:p>
            <w:pPr>
              <w:rPr>
                <w:sz w:val="2"/>
                <w:szCs w:val="2"/>
              </w:rPr>
            </w:pPr>
          </w:p>
        </w:tc>
        <w:tc>
          <w:tcPr>
            <w:tcW w:w="1163" w:type="dxa"/>
            <w:shd w:val="clear" w:color="auto" w:fill="365F92"/>
          </w:tcPr>
          <w:p>
            <w:pPr>
              <w:pStyle w:val="TableParagraph"/>
              <w:spacing w:before="58"/>
              <w:ind w:left="14" w:right="4"/>
              <w:jc w:val="center"/>
              <w:rPr>
                <w:sz w:val="20"/>
              </w:rPr>
            </w:pPr>
            <w:r>
              <w:rPr>
                <w:color w:val="FFFFFF"/>
                <w:spacing w:val="-10"/>
                <w:sz w:val="20"/>
              </w:rPr>
              <w:t>%</w:t>
            </w:r>
          </w:p>
        </w:tc>
      </w:tr>
      <w:tr>
        <w:trPr>
          <w:trHeight w:val="455" w:hRule="atLeast"/>
        </w:trPr>
        <w:tc>
          <w:tcPr>
            <w:tcW w:w="1334" w:type="dxa"/>
          </w:tcPr>
          <w:p>
            <w:pPr>
              <w:pStyle w:val="TableParagraph"/>
              <w:spacing w:before="111"/>
              <w:ind w:left="69"/>
              <w:rPr>
                <w:b/>
                <w:sz w:val="20"/>
              </w:rPr>
            </w:pPr>
            <w:r>
              <w:rPr>
                <w:b/>
                <w:spacing w:val="-2"/>
                <w:sz w:val="20"/>
              </w:rPr>
              <w:t>5.2.1.</w:t>
            </w:r>
          </w:p>
        </w:tc>
        <w:tc>
          <w:tcPr>
            <w:tcW w:w="3068" w:type="dxa"/>
          </w:tcPr>
          <w:p>
            <w:pPr>
              <w:pStyle w:val="TableParagraph"/>
              <w:spacing w:line="227" w:lineRule="exact"/>
              <w:ind w:left="69"/>
              <w:rPr>
                <w:b/>
                <w:sz w:val="20"/>
              </w:rPr>
            </w:pPr>
            <w:r>
              <w:rPr>
                <w:b/>
                <w:sz w:val="20"/>
              </w:rPr>
              <w:t>Intereses</w:t>
            </w:r>
            <w:r>
              <w:rPr>
                <w:b/>
                <w:spacing w:val="-7"/>
                <w:sz w:val="20"/>
              </w:rPr>
              <w:t> </w:t>
            </w:r>
            <w:r>
              <w:rPr>
                <w:b/>
                <w:sz w:val="20"/>
              </w:rPr>
              <w:t>sobre</w:t>
            </w:r>
            <w:r>
              <w:rPr>
                <w:b/>
                <w:spacing w:val="-6"/>
                <w:sz w:val="20"/>
              </w:rPr>
              <w:t> </w:t>
            </w:r>
            <w:r>
              <w:rPr>
                <w:b/>
                <w:spacing w:val="-2"/>
                <w:sz w:val="20"/>
              </w:rPr>
              <w:t>endeudamiento</w:t>
            </w:r>
          </w:p>
          <w:p>
            <w:pPr>
              <w:pStyle w:val="TableParagraph"/>
              <w:spacing w:line="209" w:lineRule="exact"/>
              <w:ind w:left="69"/>
              <w:rPr>
                <w:b/>
                <w:sz w:val="20"/>
              </w:rPr>
            </w:pPr>
            <w:r>
              <w:rPr>
                <w:b/>
                <w:spacing w:val="-2"/>
                <w:sz w:val="20"/>
              </w:rPr>
              <w:t>público</w:t>
            </w:r>
          </w:p>
        </w:tc>
        <w:tc>
          <w:tcPr>
            <w:tcW w:w="533" w:type="dxa"/>
          </w:tcPr>
          <w:p>
            <w:pPr>
              <w:pStyle w:val="TableParagraph"/>
              <w:spacing w:before="111"/>
              <w:ind w:left="168"/>
              <w:rPr>
                <w:b/>
                <w:sz w:val="20"/>
              </w:rPr>
            </w:pPr>
            <w:r>
              <w:rPr>
                <w:b/>
                <w:spacing w:val="-5"/>
                <w:sz w:val="20"/>
              </w:rPr>
              <w:t>67</w:t>
            </w:r>
          </w:p>
        </w:tc>
        <w:tc>
          <w:tcPr>
            <w:tcW w:w="1650" w:type="dxa"/>
          </w:tcPr>
          <w:p>
            <w:pPr>
              <w:pStyle w:val="TableParagraph"/>
              <w:spacing w:before="111"/>
              <w:ind w:left="66"/>
              <w:jc w:val="center"/>
              <w:rPr>
                <w:b/>
                <w:sz w:val="20"/>
              </w:rPr>
            </w:pPr>
            <w:r>
              <w:rPr>
                <w:b/>
                <w:spacing w:val="-4"/>
                <w:sz w:val="20"/>
              </w:rPr>
              <w:t>0,00</w:t>
            </w:r>
          </w:p>
        </w:tc>
        <w:tc>
          <w:tcPr>
            <w:tcW w:w="1275" w:type="dxa"/>
          </w:tcPr>
          <w:p>
            <w:pPr>
              <w:pStyle w:val="TableParagraph"/>
              <w:spacing w:before="111"/>
              <w:ind w:left="17"/>
              <w:jc w:val="center"/>
              <w:rPr>
                <w:b/>
                <w:sz w:val="20"/>
              </w:rPr>
            </w:pPr>
            <w:r>
              <w:rPr>
                <w:b/>
                <w:spacing w:val="-4"/>
                <w:sz w:val="20"/>
              </w:rPr>
              <w:t>0,00</w:t>
            </w:r>
          </w:p>
        </w:tc>
        <w:tc>
          <w:tcPr>
            <w:tcW w:w="1163" w:type="dxa"/>
          </w:tcPr>
          <w:p>
            <w:pPr>
              <w:pStyle w:val="TableParagraph"/>
              <w:spacing w:before="111"/>
              <w:ind w:left="14"/>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line="259" w:lineRule="auto" w:before="181"/>
        <w:ind w:left="622" w:right="981"/>
        <w:jc w:val="both"/>
      </w:pPr>
      <w:r>
        <w:rPr/>
        <w:t>La cuenta Intereses sobre endeudamiento público, representa el 0,00% del total del Gastos, que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37856">
                <wp:simplePos x="0" y="0"/>
                <wp:positionH relativeFrom="page">
                  <wp:posOffset>1080820</wp:posOffset>
                </wp:positionH>
                <wp:positionV relativeFrom="paragraph">
                  <wp:posOffset>233616</wp:posOffset>
                </wp:positionV>
                <wp:extent cx="5715000" cy="725805"/>
                <wp:effectExtent l="0" t="0" r="0" b="0"/>
                <wp:wrapTopAndBottom/>
                <wp:docPr id="743" name="Textbox 743"/>
                <wp:cNvGraphicFramePr>
                  <a:graphicFrameLocks/>
                </wp:cNvGraphicFramePr>
                <a:graphic>
                  <a:graphicData uri="http://schemas.microsoft.com/office/word/2010/wordprocessingShape">
                    <wps:wsp>
                      <wps:cNvPr id="743" name="Textbox 743"/>
                      <wps:cNvSpPr txBox="1"/>
                      <wps:spPr>
                        <a:xfrm>
                          <a:off x="0" y="0"/>
                          <a:ext cx="5715000" cy="72580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Al</w:t>
                            </w:r>
                            <w:r>
                              <w:rPr>
                                <w:spacing w:val="33"/>
                              </w:rPr>
                              <w:t> </w:t>
                            </w:r>
                            <w:r>
                              <w:rPr/>
                              <w:t>31</w:t>
                            </w:r>
                            <w:r>
                              <w:rPr>
                                <w:spacing w:val="32"/>
                              </w:rPr>
                              <w:t> </w:t>
                            </w:r>
                            <w:r>
                              <w:rPr/>
                              <w:t>de</w:t>
                            </w:r>
                            <w:r>
                              <w:rPr>
                                <w:spacing w:val="32"/>
                              </w:rPr>
                              <w:t> </w:t>
                            </w:r>
                            <w:r>
                              <w:rPr/>
                              <w:t>julio</w:t>
                            </w:r>
                            <w:r>
                              <w:rPr>
                                <w:spacing w:val="31"/>
                              </w:rPr>
                              <w:t> </w:t>
                            </w:r>
                            <w:r>
                              <w:rPr/>
                              <w:t>2026,</w:t>
                            </w:r>
                            <w:r>
                              <w:rPr>
                                <w:spacing w:val="33"/>
                              </w:rPr>
                              <w:t> </w:t>
                            </w:r>
                            <w:r>
                              <w:rPr/>
                              <w:t>se</w:t>
                            </w:r>
                            <w:r>
                              <w:rPr>
                                <w:spacing w:val="32"/>
                              </w:rPr>
                              <w:t> </w:t>
                            </w:r>
                            <w:r>
                              <w:rPr/>
                              <w:t>declara</w:t>
                            </w:r>
                            <w:r>
                              <w:rPr>
                                <w:spacing w:val="33"/>
                              </w:rPr>
                              <w:t> </w:t>
                            </w:r>
                            <w:r>
                              <w:rPr/>
                              <w:t>que</w:t>
                            </w:r>
                            <w:r>
                              <w:rPr>
                                <w:spacing w:val="32"/>
                              </w:rPr>
                              <w:t> </w:t>
                            </w:r>
                            <w:r>
                              <w:rPr/>
                              <w:t>no</w:t>
                            </w:r>
                            <w:r>
                              <w:rPr>
                                <w:spacing w:val="34"/>
                              </w:rPr>
                              <w:t> </w:t>
                            </w:r>
                            <w:r>
                              <w:rPr/>
                              <w:t>hay</w:t>
                            </w:r>
                            <w:r>
                              <w:rPr>
                                <w:spacing w:val="30"/>
                              </w:rPr>
                              <w:t> </w:t>
                            </w:r>
                            <w:r>
                              <w:rPr/>
                              <w:t>registros</w:t>
                            </w:r>
                            <w:r>
                              <w:rPr>
                                <w:spacing w:val="30"/>
                              </w:rPr>
                              <w:t> </w:t>
                            </w:r>
                            <w:r>
                              <w:rPr/>
                              <w:t>relacionados</w:t>
                            </w:r>
                            <w:r>
                              <w:rPr>
                                <w:spacing w:val="32"/>
                              </w:rPr>
                              <w:t> </w:t>
                            </w:r>
                            <w:r>
                              <w:rPr/>
                              <w:t>con</w:t>
                            </w:r>
                            <w:r>
                              <w:rPr>
                                <w:spacing w:val="32"/>
                              </w:rPr>
                              <w:t> </w:t>
                            </w:r>
                            <w:r>
                              <w:rPr/>
                              <w:t>gastos</w:t>
                            </w:r>
                            <w:r>
                              <w:rPr>
                                <w:spacing w:val="34"/>
                              </w:rPr>
                              <w:t> </w:t>
                            </w:r>
                            <w:r>
                              <w:rPr/>
                              <w:t>por</w:t>
                            </w:r>
                            <w:r>
                              <w:rPr>
                                <w:spacing w:val="34"/>
                              </w:rPr>
                              <w:t> </w:t>
                            </w:r>
                            <w:r>
                              <w:rPr/>
                              <w:t>intereses</w:t>
                            </w:r>
                            <w:r>
                              <w:rPr>
                                <w:spacing w:val="32"/>
                              </w:rPr>
                              <w:t> </w:t>
                            </w:r>
                            <w:r>
                              <w:rPr/>
                              <w:t>sobre endeudamiento, puesto que la institución no maneja endeudamiento.</w:t>
                            </w:r>
                          </w:p>
                        </w:txbxContent>
                      </wps:txbx>
                      <wps:bodyPr wrap="square" lIns="0" tIns="0" rIns="0" bIns="0" rtlCol="0">
                        <a:noAutofit/>
                      </wps:bodyPr>
                    </wps:wsp>
                  </a:graphicData>
                </a:graphic>
              </wp:anchor>
            </w:drawing>
          </mc:Choice>
          <mc:Fallback>
            <w:pict>
              <v:shape style="position:absolute;margin-left:85.103996pt;margin-top:18.395004pt;width:450pt;height:57.15pt;mso-position-horizontal-relative:page;mso-position-vertical-relative:paragraph;z-index:-15578624;mso-wrap-distance-left:0;mso-wrap-distance-right:0" type="#_x0000_t202" id="docshape72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pPr>
                      <w:r>
                        <w:rPr/>
                        <w:t>Al</w:t>
                      </w:r>
                      <w:r>
                        <w:rPr>
                          <w:spacing w:val="33"/>
                        </w:rPr>
                        <w:t> </w:t>
                      </w:r>
                      <w:r>
                        <w:rPr/>
                        <w:t>31</w:t>
                      </w:r>
                      <w:r>
                        <w:rPr>
                          <w:spacing w:val="32"/>
                        </w:rPr>
                        <w:t> </w:t>
                      </w:r>
                      <w:r>
                        <w:rPr/>
                        <w:t>de</w:t>
                      </w:r>
                      <w:r>
                        <w:rPr>
                          <w:spacing w:val="32"/>
                        </w:rPr>
                        <w:t> </w:t>
                      </w:r>
                      <w:r>
                        <w:rPr/>
                        <w:t>julio</w:t>
                      </w:r>
                      <w:r>
                        <w:rPr>
                          <w:spacing w:val="31"/>
                        </w:rPr>
                        <w:t> </w:t>
                      </w:r>
                      <w:r>
                        <w:rPr/>
                        <w:t>2026,</w:t>
                      </w:r>
                      <w:r>
                        <w:rPr>
                          <w:spacing w:val="33"/>
                        </w:rPr>
                        <w:t> </w:t>
                      </w:r>
                      <w:r>
                        <w:rPr/>
                        <w:t>se</w:t>
                      </w:r>
                      <w:r>
                        <w:rPr>
                          <w:spacing w:val="32"/>
                        </w:rPr>
                        <w:t> </w:t>
                      </w:r>
                      <w:r>
                        <w:rPr/>
                        <w:t>declara</w:t>
                      </w:r>
                      <w:r>
                        <w:rPr>
                          <w:spacing w:val="33"/>
                        </w:rPr>
                        <w:t> </w:t>
                      </w:r>
                      <w:r>
                        <w:rPr/>
                        <w:t>que</w:t>
                      </w:r>
                      <w:r>
                        <w:rPr>
                          <w:spacing w:val="32"/>
                        </w:rPr>
                        <w:t> </w:t>
                      </w:r>
                      <w:r>
                        <w:rPr/>
                        <w:t>no</w:t>
                      </w:r>
                      <w:r>
                        <w:rPr>
                          <w:spacing w:val="34"/>
                        </w:rPr>
                        <w:t> </w:t>
                      </w:r>
                      <w:r>
                        <w:rPr/>
                        <w:t>hay</w:t>
                      </w:r>
                      <w:r>
                        <w:rPr>
                          <w:spacing w:val="30"/>
                        </w:rPr>
                        <w:t> </w:t>
                      </w:r>
                      <w:r>
                        <w:rPr/>
                        <w:t>registros</w:t>
                      </w:r>
                      <w:r>
                        <w:rPr>
                          <w:spacing w:val="30"/>
                        </w:rPr>
                        <w:t> </w:t>
                      </w:r>
                      <w:r>
                        <w:rPr/>
                        <w:t>relacionados</w:t>
                      </w:r>
                      <w:r>
                        <w:rPr>
                          <w:spacing w:val="32"/>
                        </w:rPr>
                        <w:t> </w:t>
                      </w:r>
                      <w:r>
                        <w:rPr/>
                        <w:t>con</w:t>
                      </w:r>
                      <w:r>
                        <w:rPr>
                          <w:spacing w:val="32"/>
                        </w:rPr>
                        <w:t> </w:t>
                      </w:r>
                      <w:r>
                        <w:rPr/>
                        <w:t>gastos</w:t>
                      </w:r>
                      <w:r>
                        <w:rPr>
                          <w:spacing w:val="34"/>
                        </w:rPr>
                        <w:t> </w:t>
                      </w:r>
                      <w:r>
                        <w:rPr/>
                        <w:t>por</w:t>
                      </w:r>
                      <w:r>
                        <w:rPr>
                          <w:spacing w:val="34"/>
                        </w:rPr>
                        <w:t> </w:t>
                      </w:r>
                      <w:r>
                        <w:rPr/>
                        <w:t>intereses</w:t>
                      </w:r>
                      <w:r>
                        <w:rPr>
                          <w:spacing w:val="32"/>
                        </w:rPr>
                        <w:t> </w:t>
                      </w:r>
                      <w:r>
                        <w:rPr/>
                        <w:t>sobre endeudamiento, puesto que la institución no maneja endeudamiento.</w:t>
                      </w:r>
                    </w:p>
                  </w:txbxContent>
                </v:textbox>
                <v:stroke dashstyle="solid"/>
                <w10:wrap type="topAndBottom"/>
              </v:shape>
            </w:pict>
          </mc:Fallback>
        </mc:AlternateContent>
      </w:r>
    </w:p>
    <w:p>
      <w:pPr>
        <w:pStyle w:val="BodyText"/>
        <w:spacing w:before="184"/>
      </w:pPr>
    </w:p>
    <w:p>
      <w:pPr>
        <w:spacing w:before="0"/>
        <w:ind w:left="622" w:right="0" w:firstLine="0"/>
        <w:jc w:val="left"/>
        <w:rPr>
          <w:b/>
          <w:sz w:val="22"/>
        </w:rPr>
      </w:pPr>
      <w:bookmarkStart w:name="_bookmark119" w:id="120"/>
      <w:bookmarkEnd w:id="120"/>
      <w:r>
        <w:rPr/>
      </w:r>
      <w:r>
        <w:rPr>
          <w:b/>
          <w:sz w:val="22"/>
        </w:rPr>
        <w:t>NOTA</w:t>
      </w:r>
      <w:r>
        <w:rPr>
          <w:b/>
          <w:spacing w:val="-1"/>
          <w:sz w:val="22"/>
        </w:rPr>
        <w:t> </w:t>
      </w:r>
      <w:r>
        <w:rPr>
          <w:b/>
          <w:sz w:val="22"/>
        </w:rPr>
        <w:t>N° </w:t>
      </w:r>
      <w:r>
        <w:rPr>
          <w:b/>
          <w:spacing w:val="-5"/>
          <w:sz w:val="22"/>
        </w:rPr>
        <w:t>68</w:t>
      </w:r>
    </w:p>
    <w:p>
      <w:pPr>
        <w:pStyle w:val="BodyText"/>
        <w:spacing w:before="115"/>
        <w:rPr>
          <w:b/>
        </w:rPr>
      </w:pPr>
    </w:p>
    <w:p>
      <w:pPr>
        <w:pStyle w:val="Heading6"/>
        <w:ind w:left="622"/>
      </w:pPr>
      <w:r>
        <w:rPr/>
        <w:t>Otros</w:t>
      </w:r>
      <w:r>
        <w:rPr>
          <w:spacing w:val="-2"/>
        </w:rPr>
        <w:t> </w:t>
      </w:r>
      <w:r>
        <w:rPr/>
        <w:t>gastos</w:t>
      </w:r>
      <w:r>
        <w:rPr>
          <w:spacing w:val="-2"/>
        </w:rPr>
        <w:t> financieros</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7"/>
        <w:gridCol w:w="2547"/>
        <w:gridCol w:w="571"/>
        <w:gridCol w:w="1702"/>
        <w:gridCol w:w="1749"/>
        <w:gridCol w:w="1197"/>
      </w:tblGrid>
      <w:tr>
        <w:trPr>
          <w:trHeight w:val="323" w:hRule="atLeast"/>
        </w:trPr>
        <w:tc>
          <w:tcPr>
            <w:tcW w:w="1267" w:type="dxa"/>
            <w:vMerge w:val="restart"/>
            <w:shd w:val="clear" w:color="auto" w:fill="365F92"/>
          </w:tcPr>
          <w:p>
            <w:pPr>
              <w:pStyle w:val="TableParagraph"/>
              <w:spacing w:before="117"/>
              <w:ind w:left="69"/>
              <w:rPr>
                <w:b/>
                <w:sz w:val="22"/>
              </w:rPr>
            </w:pPr>
            <w:r>
              <w:rPr>
                <w:b/>
                <w:color w:val="FFFFFF"/>
                <w:spacing w:val="-2"/>
                <w:sz w:val="22"/>
              </w:rPr>
              <w:t>Cuenta</w:t>
            </w:r>
          </w:p>
        </w:tc>
        <w:tc>
          <w:tcPr>
            <w:tcW w:w="2547" w:type="dxa"/>
            <w:vMerge w:val="restart"/>
            <w:shd w:val="clear" w:color="auto" w:fill="365F92"/>
          </w:tcPr>
          <w:p>
            <w:pPr>
              <w:pStyle w:val="TableParagraph"/>
              <w:spacing w:before="206"/>
              <w:ind w:left="744"/>
              <w:rPr>
                <w:b/>
                <w:sz w:val="22"/>
              </w:rPr>
            </w:pPr>
            <w:r>
              <w:rPr>
                <w:b/>
                <w:color w:val="FFFFFF"/>
                <w:spacing w:val="-2"/>
                <w:sz w:val="22"/>
              </w:rPr>
              <w:t>Descripción</w:t>
            </w:r>
          </w:p>
        </w:tc>
        <w:tc>
          <w:tcPr>
            <w:tcW w:w="571" w:type="dxa"/>
            <w:vMerge w:val="restart"/>
            <w:shd w:val="clear" w:color="auto" w:fill="365F92"/>
          </w:tcPr>
          <w:p>
            <w:pPr>
              <w:pStyle w:val="TableParagraph"/>
              <w:spacing w:before="206"/>
              <w:ind w:left="69"/>
              <w:rPr>
                <w:b/>
                <w:sz w:val="22"/>
              </w:rPr>
            </w:pPr>
            <w:r>
              <w:rPr>
                <w:b/>
                <w:color w:val="FFFFFF"/>
                <w:spacing w:val="-4"/>
                <w:sz w:val="22"/>
              </w:rPr>
              <w:t>Nota</w:t>
            </w:r>
          </w:p>
        </w:tc>
        <w:tc>
          <w:tcPr>
            <w:tcW w:w="1702" w:type="dxa"/>
            <w:vMerge w:val="restart"/>
            <w:shd w:val="clear" w:color="auto" w:fill="365F92"/>
          </w:tcPr>
          <w:p>
            <w:pPr>
              <w:pStyle w:val="TableParagraph"/>
              <w:spacing w:before="206"/>
              <w:ind w:left="218"/>
              <w:rPr>
                <w:b/>
                <w:sz w:val="22"/>
              </w:rPr>
            </w:pPr>
            <w:r>
              <w:rPr>
                <w:b/>
                <w:color w:val="FFFFFF"/>
                <w:sz w:val="22"/>
              </w:rPr>
              <w:t>Periodo</w:t>
            </w:r>
            <w:r>
              <w:rPr>
                <w:b/>
                <w:color w:val="FFFFFF"/>
                <w:spacing w:val="-4"/>
                <w:sz w:val="22"/>
              </w:rPr>
              <w:t> </w:t>
            </w:r>
            <w:r>
              <w:rPr>
                <w:b/>
                <w:color w:val="FFFFFF"/>
                <w:spacing w:val="-2"/>
                <w:sz w:val="22"/>
              </w:rPr>
              <w:t>Actual</w:t>
            </w:r>
          </w:p>
        </w:tc>
        <w:tc>
          <w:tcPr>
            <w:tcW w:w="1749" w:type="dxa"/>
            <w:vMerge w:val="restart"/>
            <w:shd w:val="clear" w:color="auto" w:fill="365F92"/>
          </w:tcPr>
          <w:p>
            <w:pPr>
              <w:pStyle w:val="TableParagraph"/>
              <w:spacing w:before="206"/>
              <w:ind w:left="149"/>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right="6"/>
              <w:jc w:val="center"/>
              <w:rPr>
                <w:b/>
                <w:sz w:val="22"/>
              </w:rPr>
            </w:pPr>
            <w:r>
              <w:rPr>
                <w:b/>
                <w:color w:val="FFFFFF"/>
                <w:spacing w:val="-2"/>
                <w:sz w:val="22"/>
              </w:rPr>
              <w:t>Diferencia</w:t>
            </w:r>
          </w:p>
        </w:tc>
      </w:tr>
      <w:tr>
        <w:trPr>
          <w:trHeight w:val="323" w:hRule="atLeast"/>
        </w:trPr>
        <w:tc>
          <w:tcPr>
            <w:tcW w:w="1267" w:type="dxa"/>
            <w:vMerge/>
            <w:tcBorders>
              <w:top w:val="nil"/>
            </w:tcBorders>
            <w:shd w:val="clear" w:color="auto" w:fill="365F92"/>
          </w:tcPr>
          <w:p>
            <w:pPr>
              <w:rPr>
                <w:sz w:val="2"/>
                <w:szCs w:val="2"/>
              </w:rPr>
            </w:pPr>
          </w:p>
        </w:tc>
        <w:tc>
          <w:tcPr>
            <w:tcW w:w="2547"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7"/>
              <w:jc w:val="center"/>
              <w:rPr>
                <w:sz w:val="22"/>
              </w:rPr>
            </w:pPr>
            <w:r>
              <w:rPr>
                <w:color w:val="FFFFFF"/>
                <w:spacing w:val="-10"/>
                <w:sz w:val="22"/>
              </w:rPr>
              <w:t>%</w:t>
            </w:r>
          </w:p>
        </w:tc>
      </w:tr>
      <w:tr>
        <w:trPr>
          <w:trHeight w:val="325" w:hRule="atLeast"/>
        </w:trPr>
        <w:tc>
          <w:tcPr>
            <w:tcW w:w="1267" w:type="dxa"/>
          </w:tcPr>
          <w:p>
            <w:pPr>
              <w:pStyle w:val="TableParagraph"/>
              <w:spacing w:before="36"/>
              <w:ind w:left="69"/>
              <w:rPr>
                <w:b/>
                <w:sz w:val="22"/>
              </w:rPr>
            </w:pPr>
            <w:r>
              <w:rPr>
                <w:b/>
                <w:spacing w:val="-2"/>
                <w:sz w:val="22"/>
              </w:rPr>
              <w:t>5.2.9.</w:t>
            </w:r>
          </w:p>
        </w:tc>
        <w:tc>
          <w:tcPr>
            <w:tcW w:w="2547" w:type="dxa"/>
          </w:tcPr>
          <w:p>
            <w:pPr>
              <w:pStyle w:val="TableParagraph"/>
              <w:spacing w:before="36"/>
              <w:ind w:left="69"/>
              <w:rPr>
                <w:b/>
                <w:sz w:val="22"/>
              </w:rPr>
            </w:pPr>
            <w:r>
              <w:rPr>
                <w:b/>
                <w:sz w:val="22"/>
              </w:rPr>
              <w:t>Otros</w:t>
            </w:r>
            <w:r>
              <w:rPr>
                <w:b/>
                <w:spacing w:val="-2"/>
                <w:sz w:val="22"/>
              </w:rPr>
              <w:t> </w:t>
            </w:r>
            <w:r>
              <w:rPr>
                <w:b/>
                <w:sz w:val="22"/>
              </w:rPr>
              <w:t>gastos</w:t>
            </w:r>
            <w:r>
              <w:rPr>
                <w:b/>
                <w:spacing w:val="-2"/>
                <w:sz w:val="22"/>
              </w:rPr>
              <w:t> financieros</w:t>
            </w:r>
          </w:p>
        </w:tc>
        <w:tc>
          <w:tcPr>
            <w:tcW w:w="571" w:type="dxa"/>
          </w:tcPr>
          <w:p>
            <w:pPr>
              <w:pStyle w:val="TableParagraph"/>
              <w:spacing w:before="36"/>
              <w:ind w:left="177"/>
              <w:rPr>
                <w:b/>
                <w:sz w:val="22"/>
              </w:rPr>
            </w:pPr>
            <w:r>
              <w:rPr>
                <w:b/>
                <w:spacing w:val="-5"/>
                <w:sz w:val="22"/>
              </w:rPr>
              <w:t>68</w:t>
            </w:r>
          </w:p>
        </w:tc>
        <w:tc>
          <w:tcPr>
            <w:tcW w:w="1702" w:type="dxa"/>
          </w:tcPr>
          <w:p>
            <w:pPr>
              <w:pStyle w:val="TableParagraph"/>
              <w:spacing w:before="49"/>
              <w:ind w:left="456"/>
              <w:rPr>
                <w:b/>
                <w:sz w:val="20"/>
              </w:rPr>
            </w:pPr>
            <w:r>
              <w:rPr>
                <w:b/>
                <w:sz w:val="20"/>
              </w:rPr>
              <w:t>25</w:t>
            </w:r>
            <w:r>
              <w:rPr>
                <w:b/>
                <w:spacing w:val="-2"/>
                <w:sz w:val="20"/>
              </w:rPr>
              <w:t> 411,75</w:t>
            </w:r>
          </w:p>
        </w:tc>
        <w:tc>
          <w:tcPr>
            <w:tcW w:w="1749" w:type="dxa"/>
          </w:tcPr>
          <w:p>
            <w:pPr>
              <w:pStyle w:val="TableParagraph"/>
              <w:spacing w:before="49"/>
              <w:ind w:left="480"/>
              <w:rPr>
                <w:b/>
                <w:sz w:val="20"/>
              </w:rPr>
            </w:pPr>
            <w:r>
              <w:rPr>
                <w:b/>
                <w:sz w:val="20"/>
              </w:rPr>
              <w:t>19</w:t>
            </w:r>
            <w:r>
              <w:rPr>
                <w:b/>
                <w:spacing w:val="-2"/>
                <w:sz w:val="20"/>
              </w:rPr>
              <w:t> 785,84</w:t>
            </w:r>
          </w:p>
        </w:tc>
        <w:tc>
          <w:tcPr>
            <w:tcW w:w="1197" w:type="dxa"/>
          </w:tcPr>
          <w:p>
            <w:pPr>
              <w:pStyle w:val="TableParagraph"/>
              <w:spacing w:before="49"/>
              <w:ind w:left="28" w:right="7"/>
              <w:jc w:val="center"/>
              <w:rPr>
                <w:b/>
                <w:sz w:val="20"/>
              </w:rPr>
            </w:pPr>
            <w:r>
              <w:rPr>
                <w:b/>
                <w:spacing w:val="-2"/>
                <w:sz w:val="20"/>
              </w:rPr>
              <w:t>28,43%</w:t>
            </w:r>
          </w:p>
        </w:tc>
      </w:tr>
    </w:tbl>
    <w:p>
      <w:pPr>
        <w:pStyle w:val="BodyText"/>
        <w:rPr>
          <w:b/>
        </w:rPr>
      </w:pPr>
    </w:p>
    <w:p>
      <w:pPr>
        <w:pStyle w:val="BodyText"/>
        <w:spacing w:before="247"/>
        <w:rPr>
          <w:b/>
        </w:rPr>
      </w:pPr>
    </w:p>
    <w:p>
      <w:pPr>
        <w:spacing w:before="0"/>
        <w:ind w:left="622" w:right="0" w:firstLine="0"/>
        <w:jc w:val="left"/>
        <w:rPr>
          <w:sz w:val="22"/>
        </w:rPr>
      </w:pPr>
      <w:r>
        <w:rPr>
          <w:b/>
          <w:spacing w:val="-2"/>
          <w:sz w:val="22"/>
        </w:rPr>
        <w:t>Revelación</w:t>
      </w:r>
      <w:r>
        <w:rPr>
          <w:spacing w:val="-2"/>
          <w:sz w:val="22"/>
        </w:rPr>
        <w:t>:</w:t>
      </w:r>
    </w:p>
    <w:p>
      <w:pPr>
        <w:pStyle w:val="BodyText"/>
        <w:spacing w:line="259" w:lineRule="auto" w:before="182"/>
        <w:ind w:left="622" w:right="976"/>
        <w:jc w:val="both"/>
      </w:pPr>
      <w:r>
        <w:rPr/>
        <w:t>La</w:t>
      </w:r>
      <w:r>
        <w:rPr>
          <w:spacing w:val="-10"/>
        </w:rPr>
        <w:t> </w:t>
      </w:r>
      <w:r>
        <w:rPr/>
        <w:t>cuenta</w:t>
      </w:r>
      <w:r>
        <w:rPr>
          <w:spacing w:val="-10"/>
        </w:rPr>
        <w:t> </w:t>
      </w:r>
      <w:r>
        <w:rPr/>
        <w:t>Otros</w:t>
      </w:r>
      <w:r>
        <w:rPr>
          <w:spacing w:val="-9"/>
        </w:rPr>
        <w:t> </w:t>
      </w:r>
      <w:r>
        <w:rPr/>
        <w:t>gastos</w:t>
      </w:r>
      <w:r>
        <w:rPr>
          <w:spacing w:val="-9"/>
        </w:rPr>
        <w:t> </w:t>
      </w:r>
      <w:r>
        <w:rPr/>
        <w:t>financieros,</w:t>
      </w:r>
      <w:r>
        <w:rPr>
          <w:spacing w:val="-9"/>
        </w:rPr>
        <w:t> </w:t>
      </w:r>
      <w:r>
        <w:rPr/>
        <w:t>representa</w:t>
      </w:r>
      <w:r>
        <w:rPr>
          <w:spacing w:val="-10"/>
        </w:rPr>
        <w:t> </w:t>
      </w:r>
      <w:r>
        <w:rPr/>
        <w:t>el</w:t>
      </w:r>
      <w:r>
        <w:rPr>
          <w:spacing w:val="-10"/>
        </w:rPr>
        <w:t> </w:t>
      </w:r>
      <w:r>
        <w:rPr/>
        <w:t>0,02%</w:t>
      </w:r>
      <w:r>
        <w:rPr>
          <w:spacing w:val="-12"/>
        </w:rPr>
        <w:t> </w:t>
      </w:r>
      <w:r>
        <w:rPr/>
        <w:t>del</w:t>
      </w:r>
      <w:r>
        <w:rPr>
          <w:spacing w:val="-10"/>
        </w:rPr>
        <w:t> </w:t>
      </w:r>
      <w:r>
        <w:rPr/>
        <w:t>total</w:t>
      </w:r>
      <w:r>
        <w:rPr>
          <w:spacing w:val="-11"/>
        </w:rPr>
        <w:t> </w:t>
      </w:r>
      <w:r>
        <w:rPr/>
        <w:t>del</w:t>
      </w:r>
      <w:r>
        <w:rPr>
          <w:spacing w:val="-10"/>
        </w:rPr>
        <w:t> </w:t>
      </w:r>
      <w:r>
        <w:rPr/>
        <w:t>Gastos,</w:t>
      </w:r>
      <w:r>
        <w:rPr>
          <w:spacing w:val="-9"/>
        </w:rPr>
        <w:t> </w:t>
      </w:r>
      <w:r>
        <w:rPr/>
        <w:t>que</w:t>
      </w:r>
      <w:r>
        <w:rPr>
          <w:spacing w:val="-9"/>
        </w:rPr>
        <w:t> </w:t>
      </w:r>
      <w:r>
        <w:rPr/>
        <w:t>comparado</w:t>
      </w:r>
      <w:r>
        <w:rPr>
          <w:spacing w:val="-9"/>
        </w:rPr>
        <w:t> </w:t>
      </w:r>
      <w:r>
        <w:rPr/>
        <w:t>al</w:t>
      </w:r>
      <w:r>
        <w:rPr>
          <w:spacing w:val="-10"/>
        </w:rPr>
        <w:t> </w:t>
      </w:r>
      <w:r>
        <w:rPr/>
        <w:t>periodo anterior genera una variación absoluta de ¢ 5.625,91 que corresponde a un aumento del 28,43%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38368">
                <wp:simplePos x="0" y="0"/>
                <wp:positionH relativeFrom="page">
                  <wp:posOffset>1080820</wp:posOffset>
                </wp:positionH>
                <wp:positionV relativeFrom="paragraph">
                  <wp:posOffset>233124</wp:posOffset>
                </wp:positionV>
                <wp:extent cx="5715000" cy="646430"/>
                <wp:effectExtent l="0" t="0" r="0" b="0"/>
                <wp:wrapTopAndBottom/>
                <wp:docPr id="744" name="Textbox 744"/>
                <wp:cNvGraphicFramePr>
                  <a:graphicFrameLocks/>
                </wp:cNvGraphicFramePr>
                <a:graphic>
                  <a:graphicData uri="http://schemas.microsoft.com/office/word/2010/wordprocessingShape">
                    <wps:wsp>
                      <wps:cNvPr id="744" name="Textbox 744"/>
                      <wps:cNvSpPr txBox="1"/>
                      <wps:spPr>
                        <a:xfrm>
                          <a:off x="0" y="0"/>
                          <a:ext cx="5715000" cy="64643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0"/>
                              <w:ind w:left="103"/>
                            </w:pPr>
                            <w:r>
                              <w:rPr/>
                              <w:t>La</w:t>
                            </w:r>
                            <w:r>
                              <w:rPr>
                                <w:spacing w:val="33"/>
                              </w:rPr>
                              <w:t> </w:t>
                            </w:r>
                            <w:r>
                              <w:rPr/>
                              <w:t>naturaleza</w:t>
                            </w:r>
                            <w:r>
                              <w:rPr>
                                <w:spacing w:val="33"/>
                              </w:rPr>
                              <w:t> </w:t>
                            </w:r>
                            <w:r>
                              <w:rPr/>
                              <w:t>de</w:t>
                            </w:r>
                            <w:r>
                              <w:rPr>
                                <w:spacing w:val="32"/>
                              </w:rPr>
                              <w:t> </w:t>
                            </w:r>
                            <w:r>
                              <w:rPr/>
                              <w:t>esta</w:t>
                            </w:r>
                            <w:r>
                              <w:rPr>
                                <w:spacing w:val="33"/>
                              </w:rPr>
                              <w:t> </w:t>
                            </w:r>
                            <w:r>
                              <w:rPr/>
                              <w:t>cuenta</w:t>
                            </w:r>
                            <w:r>
                              <w:rPr>
                                <w:spacing w:val="33"/>
                              </w:rPr>
                              <w:t> </w:t>
                            </w:r>
                            <w:r>
                              <w:rPr/>
                              <w:t>obedece</w:t>
                            </w:r>
                            <w:r>
                              <w:rPr>
                                <w:spacing w:val="32"/>
                              </w:rPr>
                              <w:t> </w:t>
                            </w:r>
                            <w:r>
                              <w:rPr/>
                              <w:t>a</w:t>
                            </w:r>
                            <w:r>
                              <w:rPr>
                                <w:spacing w:val="33"/>
                              </w:rPr>
                              <w:t> </w:t>
                            </w:r>
                            <w:r>
                              <w:rPr/>
                              <w:t>conceptos</w:t>
                            </w:r>
                            <w:r>
                              <w:rPr>
                                <w:spacing w:val="34"/>
                              </w:rPr>
                              <w:t> </w:t>
                            </w:r>
                            <w:r>
                              <w:rPr/>
                              <w:t>tales</w:t>
                            </w:r>
                            <w:r>
                              <w:rPr>
                                <w:spacing w:val="34"/>
                              </w:rPr>
                              <w:t> </w:t>
                            </w:r>
                            <w:r>
                              <w:rPr/>
                              <w:t>como</w:t>
                            </w:r>
                            <w:r>
                              <w:rPr>
                                <w:spacing w:val="34"/>
                              </w:rPr>
                              <w:t> </w:t>
                            </w:r>
                            <w:r>
                              <w:rPr/>
                              <w:t>comisiones</w:t>
                            </w:r>
                            <w:r>
                              <w:rPr>
                                <w:spacing w:val="34"/>
                              </w:rPr>
                              <w:t> </w:t>
                            </w:r>
                            <w:r>
                              <w:rPr/>
                              <w:t>financieras,</w:t>
                            </w:r>
                            <w:r>
                              <w:rPr>
                                <w:spacing w:val="34"/>
                              </w:rPr>
                              <w:t> </w:t>
                            </w:r>
                            <w:r>
                              <w:rPr/>
                              <w:t>costos</w:t>
                            </w:r>
                            <w:r>
                              <w:rPr>
                                <w:spacing w:val="34"/>
                              </w:rPr>
                              <w:t> </w:t>
                            </w:r>
                            <w:r>
                              <w:rPr/>
                              <w:t>por diferencias</w:t>
                            </w:r>
                            <w:r>
                              <w:rPr>
                                <w:spacing w:val="73"/>
                              </w:rPr>
                              <w:t> </w:t>
                            </w:r>
                            <w:r>
                              <w:rPr/>
                              <w:t>en</w:t>
                            </w:r>
                            <w:r>
                              <w:rPr>
                                <w:spacing w:val="75"/>
                              </w:rPr>
                              <w:t> </w:t>
                            </w:r>
                            <w:r>
                              <w:rPr/>
                              <w:t>cambio,</w:t>
                            </w:r>
                            <w:r>
                              <w:rPr>
                                <w:spacing w:val="74"/>
                              </w:rPr>
                              <w:t> </w:t>
                            </w:r>
                            <w:r>
                              <w:rPr/>
                              <w:t>cargos</w:t>
                            </w:r>
                            <w:r>
                              <w:rPr>
                                <w:spacing w:val="76"/>
                              </w:rPr>
                              <w:t> </w:t>
                            </w:r>
                            <w:r>
                              <w:rPr/>
                              <w:t>bancarios</w:t>
                            </w:r>
                            <w:r>
                              <w:rPr>
                                <w:spacing w:val="73"/>
                              </w:rPr>
                              <w:t> </w:t>
                            </w:r>
                            <w:r>
                              <w:rPr/>
                              <w:t>financieros</w:t>
                            </w:r>
                            <w:r>
                              <w:rPr>
                                <w:spacing w:val="74"/>
                              </w:rPr>
                              <w:t> </w:t>
                            </w:r>
                            <w:r>
                              <w:rPr/>
                              <w:t>de</w:t>
                            </w:r>
                            <w:r>
                              <w:rPr>
                                <w:spacing w:val="72"/>
                              </w:rPr>
                              <w:t> </w:t>
                            </w:r>
                            <w:r>
                              <w:rPr/>
                              <w:t>naturaleza</w:t>
                            </w:r>
                            <w:r>
                              <w:rPr>
                                <w:spacing w:val="75"/>
                              </w:rPr>
                              <w:t> </w:t>
                            </w:r>
                            <w:r>
                              <w:rPr/>
                              <w:t>extraordinaria,</w:t>
                            </w:r>
                            <w:r>
                              <w:rPr>
                                <w:spacing w:val="75"/>
                              </w:rPr>
                              <w:t> </w:t>
                            </w:r>
                            <w:r>
                              <w:rPr>
                                <w:spacing w:val="-2"/>
                              </w:rPr>
                              <w:t>penalidades</w:t>
                            </w:r>
                          </w:p>
                        </w:txbxContent>
                      </wps:txbx>
                      <wps:bodyPr wrap="square" lIns="0" tIns="0" rIns="0" bIns="0" rtlCol="0">
                        <a:noAutofit/>
                      </wps:bodyPr>
                    </wps:wsp>
                  </a:graphicData>
                </a:graphic>
              </wp:anchor>
            </w:drawing>
          </mc:Choice>
          <mc:Fallback>
            <w:pict>
              <v:shape style="position:absolute;margin-left:85.103996pt;margin-top:18.356251pt;width:450pt;height:50.9pt;mso-position-horizontal-relative:page;mso-position-vertical-relative:paragraph;z-index:-15578112;mso-wrap-distance-left:0;mso-wrap-distance-right:0" type="#_x0000_t202" id="docshape72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0"/>
                        <w:ind w:left="103"/>
                      </w:pPr>
                      <w:r>
                        <w:rPr/>
                        <w:t>La</w:t>
                      </w:r>
                      <w:r>
                        <w:rPr>
                          <w:spacing w:val="33"/>
                        </w:rPr>
                        <w:t> </w:t>
                      </w:r>
                      <w:r>
                        <w:rPr/>
                        <w:t>naturaleza</w:t>
                      </w:r>
                      <w:r>
                        <w:rPr>
                          <w:spacing w:val="33"/>
                        </w:rPr>
                        <w:t> </w:t>
                      </w:r>
                      <w:r>
                        <w:rPr/>
                        <w:t>de</w:t>
                      </w:r>
                      <w:r>
                        <w:rPr>
                          <w:spacing w:val="32"/>
                        </w:rPr>
                        <w:t> </w:t>
                      </w:r>
                      <w:r>
                        <w:rPr/>
                        <w:t>esta</w:t>
                      </w:r>
                      <w:r>
                        <w:rPr>
                          <w:spacing w:val="33"/>
                        </w:rPr>
                        <w:t> </w:t>
                      </w:r>
                      <w:r>
                        <w:rPr/>
                        <w:t>cuenta</w:t>
                      </w:r>
                      <w:r>
                        <w:rPr>
                          <w:spacing w:val="33"/>
                        </w:rPr>
                        <w:t> </w:t>
                      </w:r>
                      <w:r>
                        <w:rPr/>
                        <w:t>obedece</w:t>
                      </w:r>
                      <w:r>
                        <w:rPr>
                          <w:spacing w:val="32"/>
                        </w:rPr>
                        <w:t> </w:t>
                      </w:r>
                      <w:r>
                        <w:rPr/>
                        <w:t>a</w:t>
                      </w:r>
                      <w:r>
                        <w:rPr>
                          <w:spacing w:val="33"/>
                        </w:rPr>
                        <w:t> </w:t>
                      </w:r>
                      <w:r>
                        <w:rPr/>
                        <w:t>conceptos</w:t>
                      </w:r>
                      <w:r>
                        <w:rPr>
                          <w:spacing w:val="34"/>
                        </w:rPr>
                        <w:t> </w:t>
                      </w:r>
                      <w:r>
                        <w:rPr/>
                        <w:t>tales</w:t>
                      </w:r>
                      <w:r>
                        <w:rPr>
                          <w:spacing w:val="34"/>
                        </w:rPr>
                        <w:t> </w:t>
                      </w:r>
                      <w:r>
                        <w:rPr/>
                        <w:t>como</w:t>
                      </w:r>
                      <w:r>
                        <w:rPr>
                          <w:spacing w:val="34"/>
                        </w:rPr>
                        <w:t> </w:t>
                      </w:r>
                      <w:r>
                        <w:rPr/>
                        <w:t>comisiones</w:t>
                      </w:r>
                      <w:r>
                        <w:rPr>
                          <w:spacing w:val="34"/>
                        </w:rPr>
                        <w:t> </w:t>
                      </w:r>
                      <w:r>
                        <w:rPr/>
                        <w:t>financieras,</w:t>
                      </w:r>
                      <w:r>
                        <w:rPr>
                          <w:spacing w:val="34"/>
                        </w:rPr>
                        <w:t> </w:t>
                      </w:r>
                      <w:r>
                        <w:rPr/>
                        <w:t>costos</w:t>
                      </w:r>
                      <w:r>
                        <w:rPr>
                          <w:spacing w:val="34"/>
                        </w:rPr>
                        <w:t> </w:t>
                      </w:r>
                      <w:r>
                        <w:rPr/>
                        <w:t>por diferencias</w:t>
                      </w:r>
                      <w:r>
                        <w:rPr>
                          <w:spacing w:val="73"/>
                        </w:rPr>
                        <w:t> </w:t>
                      </w:r>
                      <w:r>
                        <w:rPr/>
                        <w:t>en</w:t>
                      </w:r>
                      <w:r>
                        <w:rPr>
                          <w:spacing w:val="75"/>
                        </w:rPr>
                        <w:t> </w:t>
                      </w:r>
                      <w:r>
                        <w:rPr/>
                        <w:t>cambio,</w:t>
                      </w:r>
                      <w:r>
                        <w:rPr>
                          <w:spacing w:val="74"/>
                        </w:rPr>
                        <w:t> </w:t>
                      </w:r>
                      <w:r>
                        <w:rPr/>
                        <w:t>cargos</w:t>
                      </w:r>
                      <w:r>
                        <w:rPr>
                          <w:spacing w:val="76"/>
                        </w:rPr>
                        <w:t> </w:t>
                      </w:r>
                      <w:r>
                        <w:rPr/>
                        <w:t>bancarios</w:t>
                      </w:r>
                      <w:r>
                        <w:rPr>
                          <w:spacing w:val="73"/>
                        </w:rPr>
                        <w:t> </w:t>
                      </w:r>
                      <w:r>
                        <w:rPr/>
                        <w:t>financieros</w:t>
                      </w:r>
                      <w:r>
                        <w:rPr>
                          <w:spacing w:val="74"/>
                        </w:rPr>
                        <w:t> </w:t>
                      </w:r>
                      <w:r>
                        <w:rPr/>
                        <w:t>de</w:t>
                      </w:r>
                      <w:r>
                        <w:rPr>
                          <w:spacing w:val="72"/>
                        </w:rPr>
                        <w:t> </w:t>
                      </w:r>
                      <w:r>
                        <w:rPr/>
                        <w:t>naturaleza</w:t>
                      </w:r>
                      <w:r>
                        <w:rPr>
                          <w:spacing w:val="75"/>
                        </w:rPr>
                        <w:t> </w:t>
                      </w:r>
                      <w:r>
                        <w:rPr/>
                        <w:t>extraordinaria,</w:t>
                      </w:r>
                      <w:r>
                        <w:rPr>
                          <w:spacing w:val="75"/>
                        </w:rPr>
                        <w:t> </w:t>
                      </w:r>
                      <w:r>
                        <w:rPr>
                          <w:spacing w:val="-2"/>
                        </w:rPr>
                        <w:t>penalidades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7312">
                <wp:simplePos x="0" y="0"/>
                <wp:positionH relativeFrom="page">
                  <wp:posOffset>9525</wp:posOffset>
                </wp:positionH>
                <wp:positionV relativeFrom="page">
                  <wp:posOffset>297208</wp:posOffset>
                </wp:positionV>
                <wp:extent cx="7762875" cy="9748520"/>
                <wp:effectExtent l="0" t="0" r="0" b="0"/>
                <wp:wrapNone/>
                <wp:docPr id="745" name="Group 745"/>
                <wp:cNvGraphicFramePr>
                  <a:graphicFrameLocks/>
                </wp:cNvGraphicFramePr>
                <a:graphic>
                  <a:graphicData uri="http://schemas.microsoft.com/office/word/2010/wordprocessingGroup">
                    <wpg:wgp>
                      <wpg:cNvPr id="745" name="Group 745"/>
                      <wpg:cNvGrpSpPr/>
                      <wpg:grpSpPr>
                        <a:xfrm>
                          <a:off x="0" y="0"/>
                          <a:ext cx="7762875" cy="9748520"/>
                          <a:chExt cx="7762875" cy="9748520"/>
                        </a:xfrm>
                      </wpg:grpSpPr>
                      <pic:pic>
                        <pic:nvPicPr>
                          <pic:cNvPr id="746" name="Image 746"/>
                          <pic:cNvPicPr/>
                        </pic:nvPicPr>
                        <pic:blipFill>
                          <a:blip r:embed="rId5" cstate="print"/>
                          <a:stretch>
                            <a:fillRect/>
                          </a:stretch>
                        </pic:blipFill>
                        <pic:spPr>
                          <a:xfrm>
                            <a:off x="0" y="0"/>
                            <a:ext cx="7762874" cy="9748489"/>
                          </a:xfrm>
                          <a:prstGeom prst="rect">
                            <a:avLst/>
                          </a:prstGeom>
                        </pic:spPr>
                      </pic:pic>
                      <wps:wsp>
                        <wps:cNvPr id="747" name="Graphic 74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748" name="Image 748"/>
                          <pic:cNvPicPr/>
                        </pic:nvPicPr>
                        <pic:blipFill>
                          <a:blip r:embed="rId89" cstate="print"/>
                          <a:stretch>
                            <a:fillRect/>
                          </a:stretch>
                        </pic:blipFill>
                        <pic:spPr>
                          <a:xfrm>
                            <a:off x="2049779" y="2040035"/>
                            <a:ext cx="3755390" cy="1090231"/>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9168" id="docshapegroup723" coordorigin="15,468" coordsize="12225,15352">
                <v:shape style="position:absolute;left:15;top:468;width:12225;height:15352" type="#_x0000_t75" id="docshape724" stroked="false">
                  <v:imagedata r:id="rId5" o:title=""/>
                </v:shape>
                <v:rect style="position:absolute;left:1673;top:2028;width:8897;height:15" id="docshape725" filled="true" fillcolor="#000000" stroked="false">
                  <v:fill type="solid"/>
                </v:rect>
                <v:shape style="position:absolute;left:3243;top:3680;width:5914;height:1717" type="#_x0000_t75" id="docshape726" stroked="false">
                  <v:imagedata r:id="rId89" o:title=""/>
                </v:shape>
                <w10:wrap type="none"/>
              </v:group>
            </w:pict>
          </mc:Fallback>
        </mc:AlternateContent>
      </w:r>
      <w:r>
        <w:rPr>
          <w:color w:val="172951"/>
          <w:sz w:val="20"/>
        </w:rPr>
        <w:t>Pág.</w:t>
      </w:r>
      <w:r>
        <w:rPr>
          <w:color w:val="172951"/>
          <w:spacing w:val="-7"/>
          <w:sz w:val="20"/>
        </w:rPr>
        <w:t> </w:t>
      </w:r>
      <w:r>
        <w:rPr>
          <w:color w:val="172951"/>
          <w:spacing w:val="-5"/>
          <w:sz w:val="20"/>
        </w:rPr>
        <w:t>151</w:t>
      </w:r>
    </w:p>
    <w:p>
      <w:pPr>
        <w:pStyle w:val="BodyText"/>
        <w:spacing w:before="10"/>
        <w:rPr>
          <w:sz w:val="16"/>
        </w:rPr>
      </w:pPr>
      <w:r>
        <w:rPr>
          <w:sz w:val="16"/>
        </w:rPr>
        <mc:AlternateContent>
          <mc:Choice Requires="wps">
            <w:drawing>
              <wp:anchor distT="0" distB="0" distL="0" distR="0" allowOverlap="1" layoutInCell="1" locked="0" behindDoc="1" simplePos="0" relativeHeight="487739392">
                <wp:simplePos x="0" y="0"/>
                <wp:positionH relativeFrom="page">
                  <wp:posOffset>1080820</wp:posOffset>
                </wp:positionH>
                <wp:positionV relativeFrom="paragraph">
                  <wp:posOffset>141144</wp:posOffset>
                </wp:positionV>
                <wp:extent cx="5715000" cy="2038350"/>
                <wp:effectExtent l="0" t="0" r="0" b="0"/>
                <wp:wrapTopAndBottom/>
                <wp:docPr id="749" name="Textbox 749"/>
                <wp:cNvGraphicFramePr>
                  <a:graphicFrameLocks/>
                </wp:cNvGraphicFramePr>
                <a:graphic>
                  <a:graphicData uri="http://schemas.microsoft.com/office/word/2010/wordprocessingShape">
                    <wps:wsp>
                      <wps:cNvPr id="749" name="Textbox 749"/>
                      <wps:cNvSpPr txBox="1"/>
                      <wps:spPr>
                        <a:xfrm>
                          <a:off x="0" y="0"/>
                          <a:ext cx="5715000" cy="2038350"/>
                        </a:xfrm>
                        <a:prstGeom prst="rect">
                          <a:avLst/>
                        </a:prstGeom>
                        <a:ln w="6095">
                          <a:solidFill>
                            <a:srgbClr val="000000"/>
                          </a:solidFill>
                          <a:prstDash val="solid"/>
                        </a:ln>
                      </wps:spPr>
                      <wps:txbx>
                        <w:txbxContent>
                          <w:p>
                            <w:pPr>
                              <w:pStyle w:val="BodyText"/>
                              <w:spacing w:line="276" w:lineRule="auto"/>
                              <w:ind w:left="103" w:right="106"/>
                              <w:jc w:val="both"/>
                            </w:pPr>
                            <w:r>
                              <w:rPr/>
                              <w:t>financieras u</w:t>
                            </w:r>
                            <w:r>
                              <w:rPr>
                                <w:spacing w:val="-1"/>
                              </w:rPr>
                              <w:t> </w:t>
                            </w:r>
                            <w:r>
                              <w:rPr/>
                              <w:t>otros conceptos que,</w:t>
                            </w:r>
                            <w:r>
                              <w:rPr>
                                <w:spacing w:val="-1"/>
                              </w:rPr>
                              <w:t> </w:t>
                            </w:r>
                            <w:r>
                              <w:rPr/>
                              <w:t>conforme</w:t>
                            </w:r>
                            <w:r>
                              <w:rPr>
                                <w:spacing w:val="-2"/>
                              </w:rPr>
                              <w:t> </w:t>
                            </w:r>
                            <w:r>
                              <w:rPr/>
                              <w:t>a</w:t>
                            </w:r>
                            <w:r>
                              <w:rPr>
                                <w:spacing w:val="-2"/>
                              </w:rPr>
                              <w:t> </w:t>
                            </w:r>
                            <w:r>
                              <w:rPr/>
                              <w:t>la</w:t>
                            </w:r>
                            <w:r>
                              <w:rPr>
                                <w:spacing w:val="-2"/>
                              </w:rPr>
                              <w:t> </w:t>
                            </w:r>
                            <w:r>
                              <w:rPr/>
                              <w:t>normativa</w:t>
                            </w:r>
                            <w:r>
                              <w:rPr>
                                <w:spacing w:val="-2"/>
                              </w:rPr>
                              <w:t> </w:t>
                            </w:r>
                            <w:r>
                              <w:rPr/>
                              <w:t>contable</w:t>
                            </w:r>
                            <w:r>
                              <w:rPr>
                                <w:spacing w:val="-2"/>
                              </w:rPr>
                              <w:t> </w:t>
                            </w:r>
                            <w:r>
                              <w:rPr/>
                              <w:t>vigente,</w:t>
                            </w:r>
                            <w:r>
                              <w:rPr>
                                <w:spacing w:val="-2"/>
                              </w:rPr>
                              <w:t> </w:t>
                            </w:r>
                            <w:r>
                              <w:rPr/>
                              <w:t>deban</w:t>
                            </w:r>
                            <w:r>
                              <w:rPr>
                                <w:spacing w:val="-3"/>
                              </w:rPr>
                              <w:t> </w:t>
                            </w:r>
                            <w:r>
                              <w:rPr/>
                              <w:t>clasificarse</w:t>
                            </w:r>
                            <w:r>
                              <w:rPr>
                                <w:spacing w:val="-2"/>
                              </w:rPr>
                              <w:t> </w:t>
                            </w:r>
                            <w:r>
                              <w:rPr/>
                              <w:t>como gastos financieros.</w:t>
                            </w:r>
                            <w:r>
                              <w:rPr>
                                <w:spacing w:val="40"/>
                              </w:rPr>
                              <w:t> </w:t>
                            </w:r>
                            <w:r>
                              <w:rPr/>
                              <w:t>En nuestro caso corresponde</w:t>
                            </w:r>
                            <w:r>
                              <w:rPr>
                                <w:spacing w:val="-2"/>
                              </w:rPr>
                              <w:t> </w:t>
                            </w:r>
                            <w:r>
                              <w:rPr/>
                              <w:t>a</w:t>
                            </w:r>
                            <w:r>
                              <w:rPr>
                                <w:spacing w:val="-1"/>
                              </w:rPr>
                              <w:t> </w:t>
                            </w:r>
                            <w:r>
                              <w:rPr/>
                              <w:t>intereses sobre</w:t>
                            </w:r>
                            <w:r>
                              <w:rPr>
                                <w:spacing w:val="-1"/>
                              </w:rPr>
                              <w:t> </w:t>
                            </w:r>
                            <w:r>
                              <w:rPr/>
                              <w:t>obligaciones CCSS e</w:t>
                            </w:r>
                            <w:r>
                              <w:rPr>
                                <w:spacing w:val="-1"/>
                              </w:rPr>
                              <w:t> </w:t>
                            </w:r>
                            <w:r>
                              <w:rPr/>
                              <w:t>intereses por retenciones de impuestos nacionales, como se muestra en el siguiente detalle:</w:t>
                            </w:r>
                          </w:p>
                        </w:txbxContent>
                      </wps:txbx>
                      <wps:bodyPr wrap="square" lIns="0" tIns="0" rIns="0" bIns="0" rtlCol="0">
                        <a:noAutofit/>
                      </wps:bodyPr>
                    </wps:wsp>
                  </a:graphicData>
                </a:graphic>
              </wp:anchor>
            </w:drawing>
          </mc:Choice>
          <mc:Fallback>
            <w:pict>
              <v:shape style="position:absolute;margin-left:85.103996pt;margin-top:11.11375pt;width:450pt;height:160.5pt;mso-position-horizontal-relative:page;mso-position-vertical-relative:paragraph;z-index:-15577088;mso-wrap-distance-left:0;mso-wrap-distance-right:0" type="#_x0000_t202" id="docshape727" filled="false" stroked="true" strokeweight=".47998pt" strokecolor="#000000">
                <v:textbox inset="0,0,0,0">
                  <w:txbxContent>
                    <w:p>
                      <w:pPr>
                        <w:pStyle w:val="BodyText"/>
                        <w:spacing w:line="276" w:lineRule="auto"/>
                        <w:ind w:left="103" w:right="106"/>
                        <w:jc w:val="both"/>
                      </w:pPr>
                      <w:r>
                        <w:rPr/>
                        <w:t>financieras u</w:t>
                      </w:r>
                      <w:r>
                        <w:rPr>
                          <w:spacing w:val="-1"/>
                        </w:rPr>
                        <w:t> </w:t>
                      </w:r>
                      <w:r>
                        <w:rPr/>
                        <w:t>otros conceptos que,</w:t>
                      </w:r>
                      <w:r>
                        <w:rPr>
                          <w:spacing w:val="-1"/>
                        </w:rPr>
                        <w:t> </w:t>
                      </w:r>
                      <w:r>
                        <w:rPr/>
                        <w:t>conforme</w:t>
                      </w:r>
                      <w:r>
                        <w:rPr>
                          <w:spacing w:val="-2"/>
                        </w:rPr>
                        <w:t> </w:t>
                      </w:r>
                      <w:r>
                        <w:rPr/>
                        <w:t>a</w:t>
                      </w:r>
                      <w:r>
                        <w:rPr>
                          <w:spacing w:val="-2"/>
                        </w:rPr>
                        <w:t> </w:t>
                      </w:r>
                      <w:r>
                        <w:rPr/>
                        <w:t>la</w:t>
                      </w:r>
                      <w:r>
                        <w:rPr>
                          <w:spacing w:val="-2"/>
                        </w:rPr>
                        <w:t> </w:t>
                      </w:r>
                      <w:r>
                        <w:rPr/>
                        <w:t>normativa</w:t>
                      </w:r>
                      <w:r>
                        <w:rPr>
                          <w:spacing w:val="-2"/>
                        </w:rPr>
                        <w:t> </w:t>
                      </w:r>
                      <w:r>
                        <w:rPr/>
                        <w:t>contable</w:t>
                      </w:r>
                      <w:r>
                        <w:rPr>
                          <w:spacing w:val="-2"/>
                        </w:rPr>
                        <w:t> </w:t>
                      </w:r>
                      <w:r>
                        <w:rPr/>
                        <w:t>vigente,</w:t>
                      </w:r>
                      <w:r>
                        <w:rPr>
                          <w:spacing w:val="-2"/>
                        </w:rPr>
                        <w:t> </w:t>
                      </w:r>
                      <w:r>
                        <w:rPr/>
                        <w:t>deban</w:t>
                      </w:r>
                      <w:r>
                        <w:rPr>
                          <w:spacing w:val="-3"/>
                        </w:rPr>
                        <w:t> </w:t>
                      </w:r>
                      <w:r>
                        <w:rPr/>
                        <w:t>clasificarse</w:t>
                      </w:r>
                      <w:r>
                        <w:rPr>
                          <w:spacing w:val="-2"/>
                        </w:rPr>
                        <w:t> </w:t>
                      </w:r>
                      <w:r>
                        <w:rPr/>
                        <w:t>como gastos financieros.</w:t>
                      </w:r>
                      <w:r>
                        <w:rPr>
                          <w:spacing w:val="40"/>
                        </w:rPr>
                        <w:t> </w:t>
                      </w:r>
                      <w:r>
                        <w:rPr/>
                        <w:t>En nuestro caso corresponde</w:t>
                      </w:r>
                      <w:r>
                        <w:rPr>
                          <w:spacing w:val="-2"/>
                        </w:rPr>
                        <w:t> </w:t>
                      </w:r>
                      <w:r>
                        <w:rPr/>
                        <w:t>a</w:t>
                      </w:r>
                      <w:r>
                        <w:rPr>
                          <w:spacing w:val="-1"/>
                        </w:rPr>
                        <w:t> </w:t>
                      </w:r>
                      <w:r>
                        <w:rPr/>
                        <w:t>intereses sobre</w:t>
                      </w:r>
                      <w:r>
                        <w:rPr>
                          <w:spacing w:val="-1"/>
                        </w:rPr>
                        <w:t> </w:t>
                      </w:r>
                      <w:r>
                        <w:rPr/>
                        <w:t>obligaciones CCSS e</w:t>
                      </w:r>
                      <w:r>
                        <w:rPr>
                          <w:spacing w:val="-1"/>
                        </w:rPr>
                        <w:t> </w:t>
                      </w:r>
                      <w:r>
                        <w:rPr/>
                        <w:t>intereses por retenciones de impuestos nacionales, como se muestra en el siguiente detalle:</w:t>
                      </w:r>
                    </w:p>
                  </w:txbxContent>
                </v:textbox>
                <v:stroke dashstyle="solid"/>
                <w10:wrap type="topAndBottom"/>
              </v:shape>
            </w:pict>
          </mc:Fallback>
        </mc:AlternateContent>
      </w:r>
    </w:p>
    <w:p>
      <w:pPr>
        <w:pStyle w:val="BodyText"/>
      </w:pPr>
    </w:p>
    <w:p>
      <w:pPr>
        <w:pStyle w:val="BodyText"/>
      </w:pPr>
    </w:p>
    <w:p>
      <w:pPr>
        <w:pStyle w:val="BodyText"/>
        <w:spacing w:before="114"/>
      </w:pPr>
    </w:p>
    <w:p>
      <w:pPr>
        <w:pStyle w:val="ListParagraph"/>
        <w:numPr>
          <w:ilvl w:val="1"/>
          <w:numId w:val="39"/>
        </w:numPr>
        <w:tabs>
          <w:tab w:pos="945" w:val="left" w:leader="none"/>
        </w:tabs>
        <w:spacing w:line="398" w:lineRule="auto" w:before="0" w:after="0"/>
        <w:ind w:left="622" w:right="4123" w:firstLine="0"/>
        <w:jc w:val="left"/>
        <w:rPr>
          <w:b/>
          <w:sz w:val="22"/>
        </w:rPr>
      </w:pPr>
      <w:bookmarkStart w:name="_bookmark120" w:id="121"/>
      <w:bookmarkEnd w:id="121"/>
      <w:r>
        <w:rPr/>
      </w:r>
      <w:r>
        <w:rPr>
          <w:b/>
          <w:color w:val="1F3762"/>
          <w:sz w:val="22"/>
        </w:rPr>
        <w:t>GASTOS</w:t>
      </w:r>
      <w:r>
        <w:rPr>
          <w:b/>
          <w:color w:val="1F3762"/>
          <w:spacing w:val="-5"/>
          <w:sz w:val="22"/>
        </w:rPr>
        <w:t> </w:t>
      </w:r>
      <w:r>
        <w:rPr>
          <w:b/>
          <w:color w:val="1F3762"/>
          <w:sz w:val="22"/>
        </w:rPr>
        <w:t>Y</w:t>
      </w:r>
      <w:r>
        <w:rPr>
          <w:b/>
          <w:color w:val="1F3762"/>
          <w:spacing w:val="-7"/>
          <w:sz w:val="22"/>
        </w:rPr>
        <w:t> </w:t>
      </w:r>
      <w:r>
        <w:rPr>
          <w:b/>
          <w:color w:val="1F3762"/>
          <w:sz w:val="22"/>
        </w:rPr>
        <w:t>RESULTADOS</w:t>
      </w:r>
      <w:r>
        <w:rPr>
          <w:b/>
          <w:color w:val="1F3762"/>
          <w:spacing w:val="-8"/>
          <w:sz w:val="22"/>
        </w:rPr>
        <w:t> </w:t>
      </w:r>
      <w:r>
        <w:rPr>
          <w:b/>
          <w:color w:val="1F3762"/>
          <w:sz w:val="22"/>
        </w:rPr>
        <w:t>NEGATIVOS</w:t>
      </w:r>
      <w:r>
        <w:rPr>
          <w:b/>
          <w:color w:val="1F3762"/>
          <w:spacing w:val="-6"/>
          <w:sz w:val="22"/>
        </w:rPr>
        <w:t> </w:t>
      </w:r>
      <w:r>
        <w:rPr>
          <w:b/>
          <w:color w:val="1F3762"/>
          <w:sz w:val="22"/>
        </w:rPr>
        <w:t>POR</w:t>
      </w:r>
      <w:r>
        <w:rPr>
          <w:b/>
          <w:color w:val="1F3762"/>
          <w:spacing w:val="-8"/>
          <w:sz w:val="22"/>
        </w:rPr>
        <w:t> </w:t>
      </w:r>
      <w:r>
        <w:rPr>
          <w:b/>
          <w:color w:val="1F3762"/>
          <w:sz w:val="22"/>
        </w:rPr>
        <w:t>VENTAS </w:t>
      </w:r>
      <w:bookmarkStart w:name="_bookmark121" w:id="122"/>
      <w:bookmarkEnd w:id="122"/>
      <w:r>
        <w:rPr>
          <w:b/>
          <w:color w:val="1F3762"/>
          <w:spacing w:val="-1"/>
          <w:sz w:val="22"/>
        </w:rPr>
      </w:r>
      <w:r>
        <w:rPr>
          <w:b/>
          <w:sz w:val="22"/>
        </w:rPr>
        <w:t>NOTA N° 69</w:t>
      </w:r>
    </w:p>
    <w:p>
      <w:pPr>
        <w:pStyle w:val="BodyText"/>
        <w:spacing w:before="199"/>
        <w:ind w:left="622"/>
      </w:pPr>
      <w:r>
        <w:rPr/>
        <w:t>Costo</w:t>
      </w:r>
      <w:r>
        <w:rPr>
          <w:spacing w:val="-4"/>
        </w:rPr>
        <w:t> </w:t>
      </w:r>
      <w:r>
        <w:rPr/>
        <w:t>de</w:t>
      </w:r>
      <w:r>
        <w:rPr>
          <w:spacing w:val="-3"/>
        </w:rPr>
        <w:t> </w:t>
      </w:r>
      <w:r>
        <w:rPr/>
        <w:t>ventas</w:t>
      </w:r>
      <w:r>
        <w:rPr>
          <w:spacing w:val="-3"/>
        </w:rPr>
        <w:t> </w:t>
      </w:r>
      <w:r>
        <w:rPr/>
        <w:t>de</w:t>
      </w:r>
      <w:r>
        <w:rPr>
          <w:spacing w:val="-2"/>
        </w:rPr>
        <w:t> </w:t>
      </w:r>
      <w:r>
        <w:rPr/>
        <w:t>bienes</w:t>
      </w:r>
      <w:r>
        <w:rPr>
          <w:spacing w:val="-2"/>
        </w:rPr>
        <w:t> </w:t>
      </w:r>
      <w:r>
        <w:rPr/>
        <w:t>y</w:t>
      </w:r>
      <w:r>
        <w:rPr>
          <w:spacing w:val="-6"/>
        </w:rPr>
        <w:t> </w:t>
      </w:r>
      <w:r>
        <w:rPr>
          <w:spacing w:val="-2"/>
        </w:rPr>
        <w:t>servicios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972"/>
        <w:gridCol w:w="571"/>
        <w:gridCol w:w="1560"/>
        <w:gridCol w:w="1749"/>
        <w:gridCol w:w="1197"/>
      </w:tblGrid>
      <w:tr>
        <w:trPr>
          <w:trHeight w:val="323" w:hRule="atLeast"/>
        </w:trPr>
        <w:tc>
          <w:tcPr>
            <w:tcW w:w="984" w:type="dxa"/>
            <w:vMerge w:val="restart"/>
            <w:shd w:val="clear" w:color="auto" w:fill="365F92"/>
          </w:tcPr>
          <w:p>
            <w:pPr>
              <w:pStyle w:val="TableParagraph"/>
              <w:spacing w:before="120"/>
              <w:ind w:left="69"/>
              <w:rPr>
                <w:b/>
                <w:sz w:val="22"/>
              </w:rPr>
            </w:pPr>
            <w:r>
              <w:rPr>
                <w:b/>
                <w:color w:val="FFFFFF"/>
                <w:spacing w:val="-2"/>
                <w:sz w:val="22"/>
              </w:rPr>
              <w:t>Cuenta</w:t>
            </w:r>
          </w:p>
        </w:tc>
        <w:tc>
          <w:tcPr>
            <w:tcW w:w="2972" w:type="dxa"/>
            <w:vMerge w:val="restart"/>
            <w:shd w:val="clear" w:color="auto" w:fill="365F92"/>
          </w:tcPr>
          <w:p>
            <w:pPr>
              <w:pStyle w:val="TableParagraph"/>
              <w:spacing w:before="209"/>
              <w:ind w:left="955"/>
              <w:rPr>
                <w:b/>
                <w:sz w:val="22"/>
              </w:rPr>
            </w:pPr>
            <w:r>
              <w:rPr>
                <w:b/>
                <w:color w:val="FFFFFF"/>
                <w:spacing w:val="-2"/>
                <w:sz w:val="22"/>
              </w:rPr>
              <w:t>Descripción</w:t>
            </w:r>
          </w:p>
        </w:tc>
        <w:tc>
          <w:tcPr>
            <w:tcW w:w="571" w:type="dxa"/>
            <w:vMerge w:val="restart"/>
            <w:shd w:val="clear" w:color="auto" w:fill="365F92"/>
          </w:tcPr>
          <w:p>
            <w:pPr>
              <w:pStyle w:val="TableParagraph"/>
              <w:spacing w:before="209"/>
              <w:ind w:left="69"/>
              <w:rPr>
                <w:b/>
                <w:sz w:val="22"/>
              </w:rPr>
            </w:pPr>
            <w:r>
              <w:rPr>
                <w:b/>
                <w:color w:val="FFFFFF"/>
                <w:spacing w:val="-4"/>
                <w:sz w:val="22"/>
              </w:rPr>
              <w:t>Nota</w:t>
            </w:r>
          </w:p>
        </w:tc>
        <w:tc>
          <w:tcPr>
            <w:tcW w:w="1560" w:type="dxa"/>
            <w:vMerge w:val="restart"/>
            <w:shd w:val="clear" w:color="auto" w:fill="365F92"/>
          </w:tcPr>
          <w:p>
            <w:pPr>
              <w:pStyle w:val="TableParagraph"/>
              <w:spacing w:before="209"/>
              <w:ind w:left="148"/>
              <w:rPr>
                <w:b/>
                <w:sz w:val="22"/>
              </w:rPr>
            </w:pPr>
            <w:r>
              <w:rPr>
                <w:b/>
                <w:color w:val="FFFFFF"/>
                <w:sz w:val="22"/>
              </w:rPr>
              <w:t>Periodo</w:t>
            </w:r>
            <w:r>
              <w:rPr>
                <w:b/>
                <w:color w:val="FFFFFF"/>
                <w:spacing w:val="-4"/>
                <w:sz w:val="22"/>
              </w:rPr>
              <w:t> </w:t>
            </w:r>
            <w:r>
              <w:rPr>
                <w:b/>
                <w:color w:val="FFFFFF"/>
                <w:spacing w:val="-2"/>
                <w:sz w:val="22"/>
              </w:rPr>
              <w:t>Actual</w:t>
            </w:r>
          </w:p>
        </w:tc>
        <w:tc>
          <w:tcPr>
            <w:tcW w:w="1749" w:type="dxa"/>
            <w:vMerge w:val="restart"/>
            <w:shd w:val="clear" w:color="auto" w:fill="365F92"/>
          </w:tcPr>
          <w:p>
            <w:pPr>
              <w:pStyle w:val="TableParagraph"/>
              <w:spacing w:before="209"/>
              <w:ind w:left="149"/>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right="6"/>
              <w:jc w:val="center"/>
              <w:rPr>
                <w:b/>
                <w:sz w:val="22"/>
              </w:rPr>
            </w:pPr>
            <w:r>
              <w:rPr>
                <w:b/>
                <w:color w:val="FFFFFF"/>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2972"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7"/>
              <w:jc w:val="center"/>
              <w:rPr>
                <w:sz w:val="22"/>
              </w:rPr>
            </w:pPr>
            <w:r>
              <w:rPr>
                <w:color w:val="FFFFFF"/>
                <w:spacing w:val="-10"/>
                <w:sz w:val="22"/>
              </w:rPr>
              <w:t>%</w:t>
            </w:r>
          </w:p>
        </w:tc>
      </w:tr>
      <w:tr>
        <w:trPr>
          <w:trHeight w:val="457" w:hRule="atLeast"/>
        </w:trPr>
        <w:tc>
          <w:tcPr>
            <w:tcW w:w="984" w:type="dxa"/>
          </w:tcPr>
          <w:p>
            <w:pPr>
              <w:pStyle w:val="TableParagraph"/>
              <w:spacing w:before="113"/>
              <w:ind w:left="69"/>
              <w:rPr>
                <w:b/>
                <w:sz w:val="20"/>
              </w:rPr>
            </w:pPr>
            <w:r>
              <w:rPr>
                <w:b/>
                <w:spacing w:val="-2"/>
                <w:sz w:val="20"/>
              </w:rPr>
              <w:t>5.3.1.</w:t>
            </w:r>
          </w:p>
        </w:tc>
        <w:tc>
          <w:tcPr>
            <w:tcW w:w="2972" w:type="dxa"/>
          </w:tcPr>
          <w:p>
            <w:pPr>
              <w:pStyle w:val="TableParagraph"/>
              <w:spacing w:line="220" w:lineRule="atLeast"/>
              <w:ind w:left="69" w:right="114"/>
              <w:rPr>
                <w:b/>
                <w:sz w:val="20"/>
              </w:rPr>
            </w:pPr>
            <w:r>
              <w:rPr>
                <w:b/>
                <w:sz w:val="20"/>
              </w:rPr>
              <w:t>Costo</w:t>
            </w:r>
            <w:r>
              <w:rPr>
                <w:b/>
                <w:spacing w:val="-7"/>
                <w:sz w:val="20"/>
              </w:rPr>
              <w:t> </w:t>
            </w:r>
            <w:r>
              <w:rPr>
                <w:b/>
                <w:sz w:val="20"/>
              </w:rPr>
              <w:t>de</w:t>
            </w:r>
            <w:r>
              <w:rPr>
                <w:b/>
                <w:spacing w:val="-8"/>
                <w:sz w:val="20"/>
              </w:rPr>
              <w:t> </w:t>
            </w:r>
            <w:r>
              <w:rPr>
                <w:b/>
                <w:sz w:val="20"/>
              </w:rPr>
              <w:t>ventas</w:t>
            </w:r>
            <w:r>
              <w:rPr>
                <w:b/>
                <w:spacing w:val="-8"/>
                <w:sz w:val="20"/>
              </w:rPr>
              <w:t> </w:t>
            </w:r>
            <w:r>
              <w:rPr>
                <w:b/>
                <w:sz w:val="20"/>
              </w:rPr>
              <w:t>de</w:t>
            </w:r>
            <w:r>
              <w:rPr>
                <w:b/>
                <w:spacing w:val="-8"/>
                <w:sz w:val="20"/>
              </w:rPr>
              <w:t> </w:t>
            </w:r>
            <w:r>
              <w:rPr>
                <w:b/>
                <w:sz w:val="20"/>
              </w:rPr>
              <w:t>bienes</w:t>
            </w:r>
            <w:r>
              <w:rPr>
                <w:b/>
                <w:spacing w:val="-8"/>
                <w:sz w:val="20"/>
              </w:rPr>
              <w:t> </w:t>
            </w:r>
            <w:r>
              <w:rPr>
                <w:b/>
                <w:sz w:val="20"/>
              </w:rPr>
              <w:t>y </w:t>
            </w:r>
            <w:r>
              <w:rPr>
                <w:b/>
                <w:spacing w:val="-2"/>
                <w:sz w:val="20"/>
              </w:rPr>
              <w:t>servicios</w:t>
            </w:r>
          </w:p>
        </w:tc>
        <w:tc>
          <w:tcPr>
            <w:tcW w:w="571" w:type="dxa"/>
          </w:tcPr>
          <w:p>
            <w:pPr>
              <w:pStyle w:val="TableParagraph"/>
              <w:spacing w:before="113"/>
              <w:ind w:left="186"/>
              <w:rPr>
                <w:b/>
                <w:sz w:val="20"/>
              </w:rPr>
            </w:pPr>
            <w:r>
              <w:rPr>
                <w:b/>
                <w:spacing w:val="-5"/>
                <w:sz w:val="20"/>
              </w:rPr>
              <w:t>69</w:t>
            </w:r>
          </w:p>
        </w:tc>
        <w:tc>
          <w:tcPr>
            <w:tcW w:w="1560" w:type="dxa"/>
          </w:tcPr>
          <w:p>
            <w:pPr>
              <w:pStyle w:val="TableParagraph"/>
              <w:spacing w:before="113"/>
              <w:ind w:left="261"/>
              <w:rPr>
                <w:b/>
                <w:sz w:val="20"/>
              </w:rPr>
            </w:pPr>
            <w:r>
              <w:rPr>
                <w:b/>
                <w:sz w:val="20"/>
              </w:rPr>
              <w:t>7</w:t>
            </w:r>
            <w:r>
              <w:rPr>
                <w:b/>
                <w:spacing w:val="-2"/>
                <w:sz w:val="20"/>
              </w:rPr>
              <w:t> </w:t>
            </w:r>
            <w:r>
              <w:rPr>
                <w:b/>
                <w:sz w:val="20"/>
              </w:rPr>
              <w:t>251</w:t>
            </w:r>
            <w:r>
              <w:rPr>
                <w:b/>
                <w:spacing w:val="-2"/>
                <w:sz w:val="20"/>
              </w:rPr>
              <w:t> 705,51</w:t>
            </w:r>
          </w:p>
        </w:tc>
        <w:tc>
          <w:tcPr>
            <w:tcW w:w="1749" w:type="dxa"/>
          </w:tcPr>
          <w:p>
            <w:pPr>
              <w:pStyle w:val="TableParagraph"/>
              <w:spacing w:before="113"/>
              <w:ind w:left="355"/>
              <w:rPr>
                <w:b/>
                <w:sz w:val="20"/>
              </w:rPr>
            </w:pPr>
            <w:r>
              <w:rPr>
                <w:b/>
                <w:sz w:val="20"/>
              </w:rPr>
              <w:t>7</w:t>
            </w:r>
            <w:r>
              <w:rPr>
                <w:b/>
                <w:spacing w:val="-2"/>
                <w:sz w:val="20"/>
              </w:rPr>
              <w:t> </w:t>
            </w:r>
            <w:r>
              <w:rPr>
                <w:b/>
                <w:sz w:val="20"/>
              </w:rPr>
              <w:t>276</w:t>
            </w:r>
            <w:r>
              <w:rPr>
                <w:b/>
                <w:spacing w:val="-2"/>
                <w:sz w:val="20"/>
              </w:rPr>
              <w:t> 788,17</w:t>
            </w:r>
          </w:p>
        </w:tc>
        <w:tc>
          <w:tcPr>
            <w:tcW w:w="1197" w:type="dxa"/>
          </w:tcPr>
          <w:p>
            <w:pPr>
              <w:pStyle w:val="TableParagraph"/>
              <w:spacing w:before="113"/>
              <w:ind w:left="28" w:right="7"/>
              <w:jc w:val="center"/>
              <w:rPr>
                <w:b/>
                <w:sz w:val="20"/>
              </w:rPr>
            </w:pPr>
            <w:r>
              <w:rPr>
                <w:b/>
                <w:spacing w:val="-2"/>
                <w:sz w:val="20"/>
              </w:rPr>
              <w:t>-0,34%</w:t>
            </w:r>
          </w:p>
        </w:tc>
      </w:tr>
    </w:tbl>
    <w:p>
      <w:pPr>
        <w:pStyle w:val="Heading6"/>
        <w:spacing w:before="241"/>
        <w:ind w:left="622"/>
        <w:rPr>
          <w:b w:val="0"/>
        </w:rPr>
      </w:pPr>
      <w:r>
        <w:rPr>
          <w:spacing w:val="-2"/>
        </w:rPr>
        <w:t>Revelación</w:t>
      </w:r>
      <w:r>
        <w:rPr>
          <w:b w:val="0"/>
          <w:spacing w:val="-2"/>
        </w:rPr>
        <w:t>:</w:t>
      </w:r>
    </w:p>
    <w:p>
      <w:pPr>
        <w:pStyle w:val="BodyText"/>
        <w:spacing w:before="178"/>
        <w:ind w:left="622" w:right="974"/>
        <w:jc w:val="both"/>
      </w:pPr>
      <w:r>
        <w:rPr/>
        <w:t>La cuenta Costo de ventas de bienes y servicios, representa el 5,58% del total del Gastos, que comparado al periodo anterior genera una variación absoluta de ¢-25.082,65 que corresponde a una disminución del -0,34% de recursos disponibles, producto de la variación del tipo de cambio, puesto que la mercadería adquirida a un tipo de cambio puede ser mayor que el tipo de cambio al que se vende</w:t>
      </w:r>
      <w:r>
        <w:rPr>
          <w:spacing w:val="-14"/>
        </w:rPr>
        <w:t> </w:t>
      </w:r>
      <w:r>
        <w:rPr/>
        <w:t>a</w:t>
      </w:r>
      <w:r>
        <w:rPr>
          <w:spacing w:val="-13"/>
        </w:rPr>
        <w:t> </w:t>
      </w:r>
      <w:r>
        <w:rPr/>
        <w:t>la</w:t>
      </w:r>
      <w:r>
        <w:rPr>
          <w:spacing w:val="-14"/>
        </w:rPr>
        <w:t> </w:t>
      </w:r>
      <w:r>
        <w:rPr/>
        <w:t>fecha</w:t>
      </w:r>
      <w:r>
        <w:rPr>
          <w:spacing w:val="-13"/>
        </w:rPr>
        <w:t> </w:t>
      </w:r>
      <w:r>
        <w:rPr/>
        <w:t>de</w:t>
      </w:r>
      <w:r>
        <w:rPr>
          <w:spacing w:val="-11"/>
        </w:rPr>
        <w:t> </w:t>
      </w:r>
      <w:r>
        <w:rPr/>
        <w:t>la</w:t>
      </w:r>
      <w:r>
        <w:rPr>
          <w:spacing w:val="-14"/>
        </w:rPr>
        <w:t> </w:t>
      </w:r>
      <w:r>
        <w:rPr/>
        <w:t>transacción</w:t>
      </w:r>
      <w:r>
        <w:rPr>
          <w:spacing w:val="-12"/>
        </w:rPr>
        <w:t> </w:t>
      </w:r>
      <w:r>
        <w:rPr/>
        <w:t>y</w:t>
      </w:r>
      <w:r>
        <w:rPr>
          <w:spacing w:val="-14"/>
        </w:rPr>
        <w:t> </w:t>
      </w:r>
      <w:r>
        <w:rPr/>
        <w:t>repercute</w:t>
      </w:r>
      <w:r>
        <w:rPr>
          <w:spacing w:val="-13"/>
        </w:rPr>
        <w:t> </w:t>
      </w:r>
      <w:r>
        <w:rPr/>
        <w:t>en</w:t>
      </w:r>
      <w:r>
        <w:rPr>
          <w:spacing w:val="-13"/>
        </w:rPr>
        <w:t> </w:t>
      </w:r>
      <w:r>
        <w:rPr/>
        <w:t>los</w:t>
      </w:r>
      <w:r>
        <w:rPr>
          <w:spacing w:val="-14"/>
        </w:rPr>
        <w:t> </w:t>
      </w:r>
      <w:r>
        <w:rPr/>
        <w:t>costos</w:t>
      </w:r>
      <w:r>
        <w:rPr>
          <w:spacing w:val="-12"/>
        </w:rPr>
        <w:t> </w:t>
      </w:r>
      <w:r>
        <w:rPr/>
        <w:t>del</w:t>
      </w:r>
      <w:r>
        <w:rPr>
          <w:spacing w:val="-13"/>
        </w:rPr>
        <w:t> </w:t>
      </w:r>
      <w:r>
        <w:rPr/>
        <w:t>producto</w:t>
      </w:r>
      <w:r>
        <w:rPr>
          <w:spacing w:val="-13"/>
        </w:rPr>
        <w:t> </w:t>
      </w:r>
      <w:r>
        <w:rPr/>
        <w:t>valorados</w:t>
      </w:r>
      <w:r>
        <w:rPr>
          <w:spacing w:val="-14"/>
        </w:rPr>
        <w:t> </w:t>
      </w:r>
      <w:r>
        <w:rPr/>
        <w:t>en</w:t>
      </w:r>
      <w:r>
        <w:rPr>
          <w:spacing w:val="-13"/>
        </w:rPr>
        <w:t> </w:t>
      </w:r>
      <w:r>
        <w:rPr/>
        <w:t>moneda</w:t>
      </w:r>
      <w:r>
        <w:rPr>
          <w:spacing w:val="-13"/>
        </w:rPr>
        <w:t> </w:t>
      </w:r>
      <w:r>
        <w:rPr>
          <w:spacing w:val="-2"/>
        </w:rPr>
        <w:t>nacional.</w:t>
      </w:r>
    </w:p>
    <w:p>
      <w:pPr>
        <w:pStyle w:val="BodyText"/>
        <w:rPr>
          <w:sz w:val="20"/>
        </w:rPr>
      </w:pPr>
    </w:p>
    <w:p>
      <w:pPr>
        <w:pStyle w:val="BodyText"/>
        <w:spacing w:before="204"/>
        <w:rPr>
          <w:sz w:val="20"/>
        </w:rPr>
      </w:pPr>
      <w:r>
        <w:rPr>
          <w:sz w:val="20"/>
        </w:rPr>
        <mc:AlternateContent>
          <mc:Choice Requires="wps">
            <w:drawing>
              <wp:anchor distT="0" distB="0" distL="0" distR="0" allowOverlap="1" layoutInCell="1" locked="0" behindDoc="1" simplePos="0" relativeHeight="487739904">
                <wp:simplePos x="0" y="0"/>
                <wp:positionH relativeFrom="page">
                  <wp:posOffset>1080820</wp:posOffset>
                </wp:positionH>
                <wp:positionV relativeFrom="paragraph">
                  <wp:posOffset>292814</wp:posOffset>
                </wp:positionV>
                <wp:extent cx="5715000" cy="758190"/>
                <wp:effectExtent l="0" t="0" r="0" b="0"/>
                <wp:wrapTopAndBottom/>
                <wp:docPr id="750" name="Textbox 750"/>
                <wp:cNvGraphicFramePr>
                  <a:graphicFrameLocks/>
                </wp:cNvGraphicFramePr>
                <a:graphic>
                  <a:graphicData uri="http://schemas.microsoft.com/office/word/2010/wordprocessingShape">
                    <wps:wsp>
                      <wps:cNvPr id="750" name="Textbox 750"/>
                      <wps:cNvSpPr txBox="1"/>
                      <wps:spPr>
                        <a:xfrm>
                          <a:off x="0" y="0"/>
                          <a:ext cx="5715000" cy="758190"/>
                        </a:xfrm>
                        <a:prstGeom prst="rect">
                          <a:avLst/>
                        </a:prstGeom>
                        <a:ln w="6095">
                          <a:solidFill>
                            <a:srgbClr val="000000"/>
                          </a:solidFill>
                          <a:prstDash val="solid"/>
                        </a:ln>
                      </wps:spPr>
                      <wps:txbx>
                        <w:txbxContent>
                          <w:p>
                            <w:pPr>
                              <w:spacing w:before="1"/>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pPr>
                            <w:r>
                              <w:rPr/>
                              <w:t>Este</w:t>
                            </w:r>
                            <w:r>
                              <w:rPr>
                                <w:spacing w:val="21"/>
                              </w:rPr>
                              <w:t> </w:t>
                            </w:r>
                            <w:r>
                              <w:rPr/>
                              <w:t>indicador</w:t>
                            </w:r>
                            <w:r>
                              <w:rPr>
                                <w:spacing w:val="19"/>
                              </w:rPr>
                              <w:t> </w:t>
                            </w:r>
                            <w:r>
                              <w:rPr/>
                              <w:t>muestra</w:t>
                            </w:r>
                            <w:r>
                              <w:rPr>
                                <w:spacing w:val="21"/>
                              </w:rPr>
                              <w:t> </w:t>
                            </w:r>
                            <w:r>
                              <w:rPr/>
                              <w:t>cuánto</w:t>
                            </w:r>
                            <w:r>
                              <w:rPr>
                                <w:spacing w:val="20"/>
                              </w:rPr>
                              <w:t> </w:t>
                            </w:r>
                            <w:r>
                              <w:rPr/>
                              <w:t>se</w:t>
                            </w:r>
                            <w:r>
                              <w:rPr>
                                <w:spacing w:val="21"/>
                              </w:rPr>
                              <w:t> </w:t>
                            </w:r>
                            <w:r>
                              <w:rPr/>
                              <w:t>genera</w:t>
                            </w:r>
                            <w:r>
                              <w:rPr>
                                <w:spacing w:val="21"/>
                              </w:rPr>
                              <w:t> </w:t>
                            </w:r>
                            <w:r>
                              <w:rPr/>
                              <w:t>por</w:t>
                            </w:r>
                            <w:r>
                              <w:rPr>
                                <w:spacing w:val="22"/>
                              </w:rPr>
                              <w:t> </w:t>
                            </w:r>
                            <w:r>
                              <w:rPr/>
                              <w:t>cada</w:t>
                            </w:r>
                            <w:r>
                              <w:rPr>
                                <w:spacing w:val="21"/>
                              </w:rPr>
                              <w:t> </w:t>
                            </w:r>
                            <w:r>
                              <w:rPr/>
                              <w:t>colón</w:t>
                            </w:r>
                            <w:r>
                              <w:rPr>
                                <w:spacing w:val="22"/>
                              </w:rPr>
                              <w:t> </w:t>
                            </w:r>
                            <w:r>
                              <w:rPr/>
                              <w:t>invertido</w:t>
                            </w:r>
                            <w:r>
                              <w:rPr>
                                <w:spacing w:val="22"/>
                              </w:rPr>
                              <w:t> </w:t>
                            </w:r>
                            <w:r>
                              <w:rPr/>
                              <w:t>en</w:t>
                            </w:r>
                            <w:r>
                              <w:rPr>
                                <w:spacing w:val="22"/>
                              </w:rPr>
                              <w:t> </w:t>
                            </w:r>
                            <w:r>
                              <w:rPr/>
                              <w:t>costos</w:t>
                            </w:r>
                            <w:r>
                              <w:rPr>
                                <w:spacing w:val="23"/>
                              </w:rPr>
                              <w:t> </w:t>
                            </w:r>
                            <w:r>
                              <w:rPr/>
                              <w:t>de</w:t>
                            </w:r>
                            <w:r>
                              <w:rPr>
                                <w:spacing w:val="20"/>
                              </w:rPr>
                              <w:t> </w:t>
                            </w:r>
                            <w:r>
                              <w:rPr/>
                              <w:t>ventas.</w:t>
                            </w:r>
                            <w:r>
                              <w:rPr>
                                <w:spacing w:val="20"/>
                              </w:rPr>
                              <w:t> </w:t>
                            </w:r>
                            <w:r>
                              <w:rPr/>
                              <w:t>Es</w:t>
                            </w:r>
                            <w:r>
                              <w:rPr>
                                <w:spacing w:val="20"/>
                              </w:rPr>
                              <w:t> </w:t>
                            </w:r>
                            <w:r>
                              <w:rPr/>
                              <w:t>útil</w:t>
                            </w:r>
                            <w:r>
                              <w:rPr>
                                <w:spacing w:val="20"/>
                              </w:rPr>
                              <w:t> </w:t>
                            </w:r>
                            <w:r>
                              <w:rPr/>
                              <w:t>para entender la rentabilidad desde el punto de vista del gasto en la adquisición de bienes.</w:t>
                            </w:r>
                          </w:p>
                        </w:txbxContent>
                      </wps:txbx>
                      <wps:bodyPr wrap="square" lIns="0" tIns="0" rIns="0" bIns="0" rtlCol="0">
                        <a:noAutofit/>
                      </wps:bodyPr>
                    </wps:wsp>
                  </a:graphicData>
                </a:graphic>
              </wp:anchor>
            </w:drawing>
          </mc:Choice>
          <mc:Fallback>
            <w:pict>
              <v:shape style="position:absolute;margin-left:85.103996pt;margin-top:23.05625pt;width:450pt;height:59.7pt;mso-position-horizontal-relative:page;mso-position-vertical-relative:paragraph;z-index:-15576576;mso-wrap-distance-left:0;mso-wrap-distance-right:0" type="#_x0000_t202" id="docshape728" filled="false" stroked="true" strokeweight=".47998pt" strokecolor="#000000">
                <v:textbox inset="0,0,0,0">
                  <w:txbxContent>
                    <w:p>
                      <w:pPr>
                        <w:spacing w:before="1"/>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pPr>
                      <w:r>
                        <w:rPr/>
                        <w:t>Este</w:t>
                      </w:r>
                      <w:r>
                        <w:rPr>
                          <w:spacing w:val="21"/>
                        </w:rPr>
                        <w:t> </w:t>
                      </w:r>
                      <w:r>
                        <w:rPr/>
                        <w:t>indicador</w:t>
                      </w:r>
                      <w:r>
                        <w:rPr>
                          <w:spacing w:val="19"/>
                        </w:rPr>
                        <w:t> </w:t>
                      </w:r>
                      <w:r>
                        <w:rPr/>
                        <w:t>muestra</w:t>
                      </w:r>
                      <w:r>
                        <w:rPr>
                          <w:spacing w:val="21"/>
                        </w:rPr>
                        <w:t> </w:t>
                      </w:r>
                      <w:r>
                        <w:rPr/>
                        <w:t>cuánto</w:t>
                      </w:r>
                      <w:r>
                        <w:rPr>
                          <w:spacing w:val="20"/>
                        </w:rPr>
                        <w:t> </w:t>
                      </w:r>
                      <w:r>
                        <w:rPr/>
                        <w:t>se</w:t>
                      </w:r>
                      <w:r>
                        <w:rPr>
                          <w:spacing w:val="21"/>
                        </w:rPr>
                        <w:t> </w:t>
                      </w:r>
                      <w:r>
                        <w:rPr/>
                        <w:t>genera</w:t>
                      </w:r>
                      <w:r>
                        <w:rPr>
                          <w:spacing w:val="21"/>
                        </w:rPr>
                        <w:t> </w:t>
                      </w:r>
                      <w:r>
                        <w:rPr/>
                        <w:t>por</w:t>
                      </w:r>
                      <w:r>
                        <w:rPr>
                          <w:spacing w:val="22"/>
                        </w:rPr>
                        <w:t> </w:t>
                      </w:r>
                      <w:r>
                        <w:rPr/>
                        <w:t>cada</w:t>
                      </w:r>
                      <w:r>
                        <w:rPr>
                          <w:spacing w:val="21"/>
                        </w:rPr>
                        <w:t> </w:t>
                      </w:r>
                      <w:r>
                        <w:rPr/>
                        <w:t>colón</w:t>
                      </w:r>
                      <w:r>
                        <w:rPr>
                          <w:spacing w:val="22"/>
                        </w:rPr>
                        <w:t> </w:t>
                      </w:r>
                      <w:r>
                        <w:rPr/>
                        <w:t>invertido</w:t>
                      </w:r>
                      <w:r>
                        <w:rPr>
                          <w:spacing w:val="22"/>
                        </w:rPr>
                        <w:t> </w:t>
                      </w:r>
                      <w:r>
                        <w:rPr/>
                        <w:t>en</w:t>
                      </w:r>
                      <w:r>
                        <w:rPr>
                          <w:spacing w:val="22"/>
                        </w:rPr>
                        <w:t> </w:t>
                      </w:r>
                      <w:r>
                        <w:rPr/>
                        <w:t>costos</w:t>
                      </w:r>
                      <w:r>
                        <w:rPr>
                          <w:spacing w:val="23"/>
                        </w:rPr>
                        <w:t> </w:t>
                      </w:r>
                      <w:r>
                        <w:rPr/>
                        <w:t>de</w:t>
                      </w:r>
                      <w:r>
                        <w:rPr>
                          <w:spacing w:val="20"/>
                        </w:rPr>
                        <w:t> </w:t>
                      </w:r>
                      <w:r>
                        <w:rPr/>
                        <w:t>ventas.</w:t>
                      </w:r>
                      <w:r>
                        <w:rPr>
                          <w:spacing w:val="20"/>
                        </w:rPr>
                        <w:t> </w:t>
                      </w:r>
                      <w:r>
                        <w:rPr/>
                        <w:t>Es</w:t>
                      </w:r>
                      <w:r>
                        <w:rPr>
                          <w:spacing w:val="20"/>
                        </w:rPr>
                        <w:t> </w:t>
                      </w:r>
                      <w:r>
                        <w:rPr/>
                        <w:t>útil</w:t>
                      </w:r>
                      <w:r>
                        <w:rPr>
                          <w:spacing w:val="20"/>
                        </w:rPr>
                        <w:t> </w:t>
                      </w:r>
                      <w:r>
                        <w:rPr/>
                        <w:t>para entender la rentabilidad desde el punto de vista del gasto en la adquisición de bienes.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8848">
                <wp:simplePos x="0" y="0"/>
                <wp:positionH relativeFrom="page">
                  <wp:posOffset>9525</wp:posOffset>
                </wp:positionH>
                <wp:positionV relativeFrom="page">
                  <wp:posOffset>297208</wp:posOffset>
                </wp:positionV>
                <wp:extent cx="7762875" cy="9748520"/>
                <wp:effectExtent l="0" t="0" r="0" b="0"/>
                <wp:wrapNone/>
                <wp:docPr id="751" name="Group 751"/>
                <wp:cNvGraphicFramePr>
                  <a:graphicFrameLocks/>
                </wp:cNvGraphicFramePr>
                <a:graphic>
                  <a:graphicData uri="http://schemas.microsoft.com/office/word/2010/wordprocessingGroup">
                    <wpg:wgp>
                      <wpg:cNvPr id="751" name="Group 751"/>
                      <wpg:cNvGrpSpPr/>
                      <wpg:grpSpPr>
                        <a:xfrm>
                          <a:off x="0" y="0"/>
                          <a:ext cx="7762875" cy="9748520"/>
                          <a:chExt cx="7762875" cy="9748520"/>
                        </a:xfrm>
                      </wpg:grpSpPr>
                      <pic:pic>
                        <pic:nvPicPr>
                          <pic:cNvPr id="752" name="Image 752"/>
                          <pic:cNvPicPr/>
                        </pic:nvPicPr>
                        <pic:blipFill>
                          <a:blip r:embed="rId5" cstate="print"/>
                          <a:stretch>
                            <a:fillRect/>
                          </a:stretch>
                        </pic:blipFill>
                        <pic:spPr>
                          <a:xfrm>
                            <a:off x="0" y="0"/>
                            <a:ext cx="7762874" cy="9748489"/>
                          </a:xfrm>
                          <a:prstGeom prst="rect">
                            <a:avLst/>
                          </a:prstGeom>
                        </pic:spPr>
                      </pic:pic>
                      <wps:wsp>
                        <wps:cNvPr id="753" name="Graphic 75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754" name="Image 754"/>
                          <pic:cNvPicPr/>
                        </pic:nvPicPr>
                        <pic:blipFill>
                          <a:blip r:embed="rId90" cstate="print"/>
                          <a:stretch>
                            <a:fillRect/>
                          </a:stretch>
                        </pic:blipFill>
                        <pic:spPr>
                          <a:xfrm>
                            <a:off x="1955799" y="1123921"/>
                            <a:ext cx="3937000" cy="1333373"/>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7632" id="docshapegroup729" coordorigin="15,468" coordsize="12225,15352">
                <v:shape style="position:absolute;left:15;top:468;width:12225;height:15352" type="#_x0000_t75" id="docshape730" stroked="false">
                  <v:imagedata r:id="rId5" o:title=""/>
                </v:shape>
                <v:rect style="position:absolute;left:1673;top:2028;width:8897;height:15" id="docshape731" filled="true" fillcolor="#000000" stroked="false">
                  <v:fill type="solid"/>
                </v:rect>
                <v:shape style="position:absolute;left:3095;top:2238;width:6200;height:2100" type="#_x0000_t75" id="docshape732" stroked="false">
                  <v:imagedata r:id="rId90" o:title=""/>
                </v:shape>
                <w10:wrap type="none"/>
              </v:group>
            </w:pict>
          </mc:Fallback>
        </mc:AlternateContent>
      </w:r>
      <w:r>
        <w:rPr>
          <w:color w:val="172951"/>
          <w:sz w:val="20"/>
        </w:rPr>
        <w:t>Pág.</w:t>
      </w:r>
      <w:r>
        <w:rPr>
          <w:color w:val="172951"/>
          <w:spacing w:val="-7"/>
          <w:sz w:val="20"/>
        </w:rPr>
        <w:t> </w:t>
      </w:r>
      <w:r>
        <w:rPr>
          <w:color w:val="172951"/>
          <w:spacing w:val="-5"/>
          <w:sz w:val="20"/>
        </w:rPr>
        <w:t>152</w:t>
      </w:r>
    </w:p>
    <w:p>
      <w:pPr>
        <w:pStyle w:val="BodyText"/>
        <w:spacing w:before="10"/>
        <w:rPr>
          <w:sz w:val="16"/>
        </w:rPr>
      </w:pPr>
      <w:r>
        <w:rPr>
          <w:sz w:val="16"/>
        </w:rPr>
        <mc:AlternateContent>
          <mc:Choice Requires="wps">
            <w:drawing>
              <wp:anchor distT="0" distB="0" distL="0" distR="0" allowOverlap="1" layoutInCell="1" locked="0" behindDoc="1" simplePos="0" relativeHeight="487740928">
                <wp:simplePos x="0" y="0"/>
                <wp:positionH relativeFrom="page">
                  <wp:posOffset>1080820</wp:posOffset>
                </wp:positionH>
                <wp:positionV relativeFrom="paragraph">
                  <wp:posOffset>141144</wp:posOffset>
                </wp:positionV>
                <wp:extent cx="5715000" cy="2775585"/>
                <wp:effectExtent l="0" t="0" r="0" b="0"/>
                <wp:wrapTopAndBottom/>
                <wp:docPr id="755" name="Textbox 755"/>
                <wp:cNvGraphicFramePr>
                  <a:graphicFrameLocks/>
                </wp:cNvGraphicFramePr>
                <a:graphic>
                  <a:graphicData uri="http://schemas.microsoft.com/office/word/2010/wordprocessingShape">
                    <wps:wsp>
                      <wps:cNvPr id="755" name="Textbox 755"/>
                      <wps:cNvSpPr txBox="1"/>
                      <wps:spPr>
                        <a:xfrm>
                          <a:off x="0" y="0"/>
                          <a:ext cx="5715000" cy="277558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3"/>
                            </w:pPr>
                          </w:p>
                          <w:p>
                            <w:pPr>
                              <w:spacing w:before="0"/>
                              <w:ind w:left="64" w:right="0" w:firstLine="0"/>
                              <w:jc w:val="left"/>
                              <w:rPr>
                                <w:b/>
                                <w:sz w:val="22"/>
                              </w:rPr>
                            </w:pPr>
                            <w:r>
                              <w:rPr>
                                <w:b/>
                                <w:spacing w:val="-2"/>
                                <w:sz w:val="22"/>
                              </w:rPr>
                              <w:t>Interpretación</w:t>
                            </w:r>
                          </w:p>
                          <w:p>
                            <w:pPr>
                              <w:pStyle w:val="BodyText"/>
                              <w:spacing w:before="1"/>
                              <w:ind w:left="64"/>
                            </w:pPr>
                            <w:r>
                              <w:rPr/>
                              <w:t>En</w:t>
                            </w:r>
                            <w:r>
                              <w:rPr>
                                <w:spacing w:val="-13"/>
                              </w:rPr>
                              <w:t> </w:t>
                            </w:r>
                            <w:r>
                              <w:rPr/>
                              <w:t>2026,</w:t>
                            </w:r>
                            <w:r>
                              <w:rPr>
                                <w:spacing w:val="-12"/>
                              </w:rPr>
                              <w:t> </w:t>
                            </w:r>
                            <w:r>
                              <w:rPr/>
                              <w:t>por</w:t>
                            </w:r>
                            <w:r>
                              <w:rPr>
                                <w:spacing w:val="-12"/>
                              </w:rPr>
                              <w:t> </w:t>
                            </w:r>
                            <w:r>
                              <w:rPr/>
                              <w:t>cada</w:t>
                            </w:r>
                            <w:r>
                              <w:rPr>
                                <w:spacing w:val="-13"/>
                              </w:rPr>
                              <w:t> </w:t>
                            </w:r>
                            <w:r>
                              <w:rPr/>
                              <w:t>¢1</w:t>
                            </w:r>
                            <w:r>
                              <w:rPr>
                                <w:spacing w:val="-13"/>
                              </w:rPr>
                              <w:t> </w:t>
                            </w:r>
                            <w:r>
                              <w:rPr/>
                              <w:t>invertido</w:t>
                            </w:r>
                            <w:r>
                              <w:rPr>
                                <w:spacing w:val="-11"/>
                              </w:rPr>
                              <w:t> </w:t>
                            </w:r>
                            <w:r>
                              <w:rPr/>
                              <w:t>en</w:t>
                            </w:r>
                            <w:r>
                              <w:rPr>
                                <w:spacing w:val="-12"/>
                              </w:rPr>
                              <w:t> </w:t>
                            </w:r>
                            <w:r>
                              <w:rPr/>
                              <w:t>costo</w:t>
                            </w:r>
                            <w:r>
                              <w:rPr>
                                <w:spacing w:val="-13"/>
                              </w:rPr>
                              <w:t> </w:t>
                            </w:r>
                            <w:r>
                              <w:rPr/>
                              <w:t>ventas,</w:t>
                            </w:r>
                            <w:r>
                              <w:rPr>
                                <w:spacing w:val="-14"/>
                              </w:rPr>
                              <w:t> </w:t>
                            </w:r>
                            <w:r>
                              <w:rPr/>
                              <w:t>se</w:t>
                            </w:r>
                            <w:r>
                              <w:rPr>
                                <w:spacing w:val="-14"/>
                              </w:rPr>
                              <w:t> </w:t>
                            </w:r>
                            <w:r>
                              <w:rPr/>
                              <w:t>generan</w:t>
                            </w:r>
                            <w:r>
                              <w:rPr>
                                <w:spacing w:val="-12"/>
                              </w:rPr>
                              <w:t> </w:t>
                            </w:r>
                            <w:r>
                              <w:rPr/>
                              <w:t>cerca</w:t>
                            </w:r>
                            <w:r>
                              <w:rPr>
                                <w:spacing w:val="-12"/>
                              </w:rPr>
                              <w:t> </w:t>
                            </w:r>
                            <w:r>
                              <w:rPr/>
                              <w:t>del</w:t>
                            </w:r>
                            <w:r>
                              <w:rPr>
                                <w:spacing w:val="-12"/>
                              </w:rPr>
                              <w:t> </w:t>
                            </w:r>
                            <w:r>
                              <w:rPr/>
                              <w:t>¢</w:t>
                            </w:r>
                            <w:r>
                              <w:rPr>
                                <w:spacing w:val="-12"/>
                              </w:rPr>
                              <w:t> </w:t>
                            </w:r>
                            <w:r>
                              <w:rPr/>
                              <w:t>0,54</w:t>
                            </w:r>
                            <w:r>
                              <w:rPr>
                                <w:spacing w:val="-12"/>
                              </w:rPr>
                              <w:t> </w:t>
                            </w:r>
                            <w:r>
                              <w:rPr/>
                              <w:t>de</w:t>
                            </w:r>
                            <w:r>
                              <w:rPr>
                                <w:spacing w:val="-13"/>
                              </w:rPr>
                              <w:t> </w:t>
                            </w:r>
                            <w:r>
                              <w:rPr/>
                              <w:t>utilidad</w:t>
                            </w:r>
                            <w:r>
                              <w:rPr>
                                <w:spacing w:val="-12"/>
                              </w:rPr>
                              <w:t> </w:t>
                            </w:r>
                            <w:r>
                              <w:rPr/>
                              <w:t>bruta,</w:t>
                            </w:r>
                            <w:r>
                              <w:rPr>
                                <w:spacing w:val="-12"/>
                              </w:rPr>
                              <w:t> </w:t>
                            </w:r>
                            <w:r>
                              <w:rPr/>
                              <w:t>por</w:t>
                            </w:r>
                            <w:r>
                              <w:rPr>
                                <w:spacing w:val="-12"/>
                              </w:rPr>
                              <w:t> </w:t>
                            </w:r>
                            <w:r>
                              <w:rPr/>
                              <w:t>debajo de los ¢ 0,62 obtenidos en el 2025, evidenciando una reducción de la rentabilidad</w:t>
                            </w:r>
                          </w:p>
                          <w:p>
                            <w:pPr>
                              <w:pStyle w:val="BodyText"/>
                              <w:spacing w:before="250"/>
                              <w:ind w:left="64" w:right="65"/>
                              <w:jc w:val="both"/>
                            </w:pPr>
                            <w:r>
                              <w:rPr/>
                              <w:t>Este margen indica que las Tiendas Libres – Empresas Comerciales están incurriendo en mayores costos</w:t>
                            </w:r>
                            <w:r>
                              <w:rPr>
                                <w:spacing w:val="-4"/>
                              </w:rPr>
                              <w:t> </w:t>
                            </w:r>
                            <w:r>
                              <w:rPr/>
                              <w:t>por</w:t>
                            </w:r>
                            <w:r>
                              <w:rPr>
                                <w:spacing w:val="-5"/>
                              </w:rPr>
                              <w:t> </w:t>
                            </w:r>
                            <w:r>
                              <w:rPr/>
                              <w:t>lo</w:t>
                            </w:r>
                            <w:r>
                              <w:rPr>
                                <w:spacing w:val="-7"/>
                              </w:rPr>
                              <w:t> </w:t>
                            </w:r>
                            <w:r>
                              <w:rPr/>
                              <w:t>que</w:t>
                            </w:r>
                            <w:r>
                              <w:rPr>
                                <w:spacing w:val="-5"/>
                              </w:rPr>
                              <w:t> </w:t>
                            </w:r>
                            <w:r>
                              <w:rPr/>
                              <w:t>genera</w:t>
                            </w:r>
                            <w:r>
                              <w:rPr>
                                <w:spacing w:val="-5"/>
                              </w:rPr>
                              <w:t> </w:t>
                            </w:r>
                            <w:r>
                              <w:rPr/>
                              <w:t>una</w:t>
                            </w:r>
                            <w:r>
                              <w:rPr>
                                <w:spacing w:val="-5"/>
                              </w:rPr>
                              <w:t> </w:t>
                            </w:r>
                            <w:r>
                              <w:rPr/>
                              <w:t>menor</w:t>
                            </w:r>
                            <w:r>
                              <w:rPr>
                                <w:spacing w:val="-5"/>
                              </w:rPr>
                              <w:t> </w:t>
                            </w:r>
                            <w:r>
                              <w:rPr/>
                              <w:t>rentabilidad.</w:t>
                            </w:r>
                            <w:r>
                              <w:rPr>
                                <w:spacing w:val="-6"/>
                              </w:rPr>
                              <w:t> </w:t>
                            </w:r>
                            <w:r>
                              <w:rPr/>
                              <w:t>El</w:t>
                            </w:r>
                            <w:r>
                              <w:rPr>
                                <w:spacing w:val="-5"/>
                              </w:rPr>
                              <w:t> </w:t>
                            </w:r>
                            <w:r>
                              <w:rPr/>
                              <w:t>incremento</w:t>
                            </w:r>
                            <w:r>
                              <w:rPr>
                                <w:spacing w:val="-4"/>
                              </w:rPr>
                              <w:t> </w:t>
                            </w:r>
                            <w:r>
                              <w:rPr/>
                              <w:t>en</w:t>
                            </w:r>
                            <w:r>
                              <w:rPr>
                                <w:spacing w:val="-4"/>
                              </w:rPr>
                              <w:t> </w:t>
                            </w:r>
                            <w:r>
                              <w:rPr/>
                              <w:t>los</w:t>
                            </w:r>
                            <w:r>
                              <w:rPr>
                                <w:spacing w:val="-4"/>
                              </w:rPr>
                              <w:t> </w:t>
                            </w:r>
                            <w:r>
                              <w:rPr/>
                              <w:t>costos</w:t>
                            </w:r>
                            <w:r>
                              <w:rPr>
                                <w:spacing w:val="-4"/>
                              </w:rPr>
                              <w:t> </w:t>
                            </w:r>
                            <w:r>
                              <w:rPr/>
                              <w:t>ha</w:t>
                            </w:r>
                            <w:r>
                              <w:rPr>
                                <w:spacing w:val="-6"/>
                              </w:rPr>
                              <w:t> </w:t>
                            </w:r>
                            <w:r>
                              <w:rPr/>
                              <w:t>reducido</w:t>
                            </w:r>
                            <w:r>
                              <w:rPr>
                                <w:spacing w:val="-4"/>
                              </w:rPr>
                              <w:t> </w:t>
                            </w:r>
                            <w:r>
                              <w:rPr/>
                              <w:t>la</w:t>
                            </w:r>
                            <w:r>
                              <w:rPr>
                                <w:spacing w:val="-6"/>
                              </w:rPr>
                              <w:t> </w:t>
                            </w:r>
                            <w:r>
                              <w:rPr/>
                              <w:t>eficiencia operativa</w:t>
                            </w:r>
                            <w:r>
                              <w:rPr>
                                <w:spacing w:val="-12"/>
                              </w:rPr>
                              <w:t> </w:t>
                            </w:r>
                            <w:r>
                              <w:rPr/>
                              <w:t>en</w:t>
                            </w:r>
                            <w:r>
                              <w:rPr>
                                <w:spacing w:val="-10"/>
                              </w:rPr>
                              <w:t> </w:t>
                            </w:r>
                            <w:r>
                              <w:rPr/>
                              <w:t>julio</w:t>
                            </w:r>
                            <w:r>
                              <w:rPr>
                                <w:spacing w:val="-9"/>
                              </w:rPr>
                              <w:t> </w:t>
                            </w:r>
                            <w:r>
                              <w:rPr/>
                              <w:t>de</w:t>
                            </w:r>
                            <w:r>
                              <w:rPr>
                                <w:spacing w:val="-14"/>
                              </w:rPr>
                              <w:t> </w:t>
                            </w:r>
                            <w:r>
                              <w:rPr/>
                              <w:t>2026,</w:t>
                            </w:r>
                            <w:r>
                              <w:rPr>
                                <w:spacing w:val="-10"/>
                              </w:rPr>
                              <w:t> </w:t>
                            </w:r>
                            <w:r>
                              <w:rPr/>
                              <w:t>lo</w:t>
                            </w:r>
                            <w:r>
                              <w:rPr>
                                <w:spacing w:val="-12"/>
                              </w:rPr>
                              <w:t> </w:t>
                            </w:r>
                            <w:r>
                              <w:rPr/>
                              <w:t>que</w:t>
                            </w:r>
                            <w:r>
                              <w:rPr>
                                <w:spacing w:val="-12"/>
                              </w:rPr>
                              <w:t> </w:t>
                            </w:r>
                            <w:r>
                              <w:rPr/>
                              <w:t>podría</w:t>
                            </w:r>
                            <w:r>
                              <w:rPr>
                                <w:spacing w:val="-11"/>
                              </w:rPr>
                              <w:t> </w:t>
                            </w:r>
                            <w:r>
                              <w:rPr/>
                              <w:t>impactar</w:t>
                            </w:r>
                            <w:r>
                              <w:rPr>
                                <w:spacing w:val="-13"/>
                              </w:rPr>
                              <w:t> </w:t>
                            </w:r>
                            <w:r>
                              <w:rPr/>
                              <w:t>negativamente</w:t>
                            </w:r>
                            <w:r>
                              <w:rPr>
                                <w:spacing w:val="-11"/>
                              </w:rPr>
                              <w:t> </w:t>
                            </w:r>
                            <w:r>
                              <w:rPr/>
                              <w:t>los</w:t>
                            </w:r>
                            <w:r>
                              <w:rPr>
                                <w:spacing w:val="-10"/>
                              </w:rPr>
                              <w:t> </w:t>
                            </w:r>
                            <w:r>
                              <w:rPr/>
                              <w:t>resultados</w:t>
                            </w:r>
                            <w:r>
                              <w:rPr>
                                <w:spacing w:val="-10"/>
                              </w:rPr>
                              <w:t> </w:t>
                            </w:r>
                            <w:r>
                              <w:rPr/>
                              <w:t>netos</w:t>
                            </w:r>
                            <w:r>
                              <w:rPr>
                                <w:spacing w:val="-10"/>
                              </w:rPr>
                              <w:t> </w:t>
                            </w:r>
                            <w:r>
                              <w:rPr/>
                              <w:t>y</w:t>
                            </w:r>
                            <w:r>
                              <w:rPr>
                                <w:spacing w:val="-12"/>
                              </w:rPr>
                              <w:t> </w:t>
                            </w:r>
                            <w:r>
                              <w:rPr/>
                              <w:t>la</w:t>
                            </w:r>
                            <w:r>
                              <w:rPr>
                                <w:spacing w:val="-14"/>
                              </w:rPr>
                              <w:t> </w:t>
                            </w:r>
                            <w:r>
                              <w:rPr/>
                              <w:t>sostenibilidad del negocio.</w:t>
                            </w:r>
                          </w:p>
                        </w:txbxContent>
                      </wps:txbx>
                      <wps:bodyPr wrap="square" lIns="0" tIns="0" rIns="0" bIns="0" rtlCol="0">
                        <a:noAutofit/>
                      </wps:bodyPr>
                    </wps:wsp>
                  </a:graphicData>
                </a:graphic>
              </wp:anchor>
            </w:drawing>
          </mc:Choice>
          <mc:Fallback>
            <w:pict>
              <v:shape style="position:absolute;margin-left:85.103996pt;margin-top:11.11375pt;width:450pt;height:218.55pt;mso-position-horizontal-relative:page;mso-position-vertical-relative:paragraph;z-index:-15575552;mso-wrap-distance-left:0;mso-wrap-distance-right:0" type="#_x0000_t202" id="docshape733"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3"/>
                      </w:pPr>
                    </w:p>
                    <w:p>
                      <w:pPr>
                        <w:spacing w:before="0"/>
                        <w:ind w:left="64" w:right="0" w:firstLine="0"/>
                        <w:jc w:val="left"/>
                        <w:rPr>
                          <w:b/>
                          <w:sz w:val="22"/>
                        </w:rPr>
                      </w:pPr>
                      <w:r>
                        <w:rPr>
                          <w:b/>
                          <w:spacing w:val="-2"/>
                          <w:sz w:val="22"/>
                        </w:rPr>
                        <w:t>Interpretación</w:t>
                      </w:r>
                    </w:p>
                    <w:p>
                      <w:pPr>
                        <w:pStyle w:val="BodyText"/>
                        <w:spacing w:before="1"/>
                        <w:ind w:left="64"/>
                      </w:pPr>
                      <w:r>
                        <w:rPr/>
                        <w:t>En</w:t>
                      </w:r>
                      <w:r>
                        <w:rPr>
                          <w:spacing w:val="-13"/>
                        </w:rPr>
                        <w:t> </w:t>
                      </w:r>
                      <w:r>
                        <w:rPr/>
                        <w:t>2026,</w:t>
                      </w:r>
                      <w:r>
                        <w:rPr>
                          <w:spacing w:val="-12"/>
                        </w:rPr>
                        <w:t> </w:t>
                      </w:r>
                      <w:r>
                        <w:rPr/>
                        <w:t>por</w:t>
                      </w:r>
                      <w:r>
                        <w:rPr>
                          <w:spacing w:val="-12"/>
                        </w:rPr>
                        <w:t> </w:t>
                      </w:r>
                      <w:r>
                        <w:rPr/>
                        <w:t>cada</w:t>
                      </w:r>
                      <w:r>
                        <w:rPr>
                          <w:spacing w:val="-13"/>
                        </w:rPr>
                        <w:t> </w:t>
                      </w:r>
                      <w:r>
                        <w:rPr/>
                        <w:t>¢1</w:t>
                      </w:r>
                      <w:r>
                        <w:rPr>
                          <w:spacing w:val="-13"/>
                        </w:rPr>
                        <w:t> </w:t>
                      </w:r>
                      <w:r>
                        <w:rPr/>
                        <w:t>invertido</w:t>
                      </w:r>
                      <w:r>
                        <w:rPr>
                          <w:spacing w:val="-11"/>
                        </w:rPr>
                        <w:t> </w:t>
                      </w:r>
                      <w:r>
                        <w:rPr/>
                        <w:t>en</w:t>
                      </w:r>
                      <w:r>
                        <w:rPr>
                          <w:spacing w:val="-12"/>
                        </w:rPr>
                        <w:t> </w:t>
                      </w:r>
                      <w:r>
                        <w:rPr/>
                        <w:t>costo</w:t>
                      </w:r>
                      <w:r>
                        <w:rPr>
                          <w:spacing w:val="-13"/>
                        </w:rPr>
                        <w:t> </w:t>
                      </w:r>
                      <w:r>
                        <w:rPr/>
                        <w:t>ventas,</w:t>
                      </w:r>
                      <w:r>
                        <w:rPr>
                          <w:spacing w:val="-14"/>
                        </w:rPr>
                        <w:t> </w:t>
                      </w:r>
                      <w:r>
                        <w:rPr/>
                        <w:t>se</w:t>
                      </w:r>
                      <w:r>
                        <w:rPr>
                          <w:spacing w:val="-14"/>
                        </w:rPr>
                        <w:t> </w:t>
                      </w:r>
                      <w:r>
                        <w:rPr/>
                        <w:t>generan</w:t>
                      </w:r>
                      <w:r>
                        <w:rPr>
                          <w:spacing w:val="-12"/>
                        </w:rPr>
                        <w:t> </w:t>
                      </w:r>
                      <w:r>
                        <w:rPr/>
                        <w:t>cerca</w:t>
                      </w:r>
                      <w:r>
                        <w:rPr>
                          <w:spacing w:val="-12"/>
                        </w:rPr>
                        <w:t> </w:t>
                      </w:r>
                      <w:r>
                        <w:rPr/>
                        <w:t>del</w:t>
                      </w:r>
                      <w:r>
                        <w:rPr>
                          <w:spacing w:val="-12"/>
                        </w:rPr>
                        <w:t> </w:t>
                      </w:r>
                      <w:r>
                        <w:rPr/>
                        <w:t>¢</w:t>
                      </w:r>
                      <w:r>
                        <w:rPr>
                          <w:spacing w:val="-12"/>
                        </w:rPr>
                        <w:t> </w:t>
                      </w:r>
                      <w:r>
                        <w:rPr/>
                        <w:t>0,54</w:t>
                      </w:r>
                      <w:r>
                        <w:rPr>
                          <w:spacing w:val="-12"/>
                        </w:rPr>
                        <w:t> </w:t>
                      </w:r>
                      <w:r>
                        <w:rPr/>
                        <w:t>de</w:t>
                      </w:r>
                      <w:r>
                        <w:rPr>
                          <w:spacing w:val="-13"/>
                        </w:rPr>
                        <w:t> </w:t>
                      </w:r>
                      <w:r>
                        <w:rPr/>
                        <w:t>utilidad</w:t>
                      </w:r>
                      <w:r>
                        <w:rPr>
                          <w:spacing w:val="-12"/>
                        </w:rPr>
                        <w:t> </w:t>
                      </w:r>
                      <w:r>
                        <w:rPr/>
                        <w:t>bruta,</w:t>
                      </w:r>
                      <w:r>
                        <w:rPr>
                          <w:spacing w:val="-12"/>
                        </w:rPr>
                        <w:t> </w:t>
                      </w:r>
                      <w:r>
                        <w:rPr/>
                        <w:t>por</w:t>
                      </w:r>
                      <w:r>
                        <w:rPr>
                          <w:spacing w:val="-12"/>
                        </w:rPr>
                        <w:t> </w:t>
                      </w:r>
                      <w:r>
                        <w:rPr/>
                        <w:t>debajo de los ¢ 0,62 obtenidos en el 2025, evidenciando una reducción de la rentabilidad</w:t>
                      </w:r>
                    </w:p>
                    <w:p>
                      <w:pPr>
                        <w:pStyle w:val="BodyText"/>
                        <w:spacing w:before="250"/>
                        <w:ind w:left="64" w:right="65"/>
                        <w:jc w:val="both"/>
                      </w:pPr>
                      <w:r>
                        <w:rPr/>
                        <w:t>Este margen indica que las Tiendas Libres – Empresas Comerciales están incurriendo en mayores costos</w:t>
                      </w:r>
                      <w:r>
                        <w:rPr>
                          <w:spacing w:val="-4"/>
                        </w:rPr>
                        <w:t> </w:t>
                      </w:r>
                      <w:r>
                        <w:rPr/>
                        <w:t>por</w:t>
                      </w:r>
                      <w:r>
                        <w:rPr>
                          <w:spacing w:val="-5"/>
                        </w:rPr>
                        <w:t> </w:t>
                      </w:r>
                      <w:r>
                        <w:rPr/>
                        <w:t>lo</w:t>
                      </w:r>
                      <w:r>
                        <w:rPr>
                          <w:spacing w:val="-7"/>
                        </w:rPr>
                        <w:t> </w:t>
                      </w:r>
                      <w:r>
                        <w:rPr/>
                        <w:t>que</w:t>
                      </w:r>
                      <w:r>
                        <w:rPr>
                          <w:spacing w:val="-5"/>
                        </w:rPr>
                        <w:t> </w:t>
                      </w:r>
                      <w:r>
                        <w:rPr/>
                        <w:t>genera</w:t>
                      </w:r>
                      <w:r>
                        <w:rPr>
                          <w:spacing w:val="-5"/>
                        </w:rPr>
                        <w:t> </w:t>
                      </w:r>
                      <w:r>
                        <w:rPr/>
                        <w:t>una</w:t>
                      </w:r>
                      <w:r>
                        <w:rPr>
                          <w:spacing w:val="-5"/>
                        </w:rPr>
                        <w:t> </w:t>
                      </w:r>
                      <w:r>
                        <w:rPr/>
                        <w:t>menor</w:t>
                      </w:r>
                      <w:r>
                        <w:rPr>
                          <w:spacing w:val="-5"/>
                        </w:rPr>
                        <w:t> </w:t>
                      </w:r>
                      <w:r>
                        <w:rPr/>
                        <w:t>rentabilidad.</w:t>
                      </w:r>
                      <w:r>
                        <w:rPr>
                          <w:spacing w:val="-6"/>
                        </w:rPr>
                        <w:t> </w:t>
                      </w:r>
                      <w:r>
                        <w:rPr/>
                        <w:t>El</w:t>
                      </w:r>
                      <w:r>
                        <w:rPr>
                          <w:spacing w:val="-5"/>
                        </w:rPr>
                        <w:t> </w:t>
                      </w:r>
                      <w:r>
                        <w:rPr/>
                        <w:t>incremento</w:t>
                      </w:r>
                      <w:r>
                        <w:rPr>
                          <w:spacing w:val="-4"/>
                        </w:rPr>
                        <w:t> </w:t>
                      </w:r>
                      <w:r>
                        <w:rPr/>
                        <w:t>en</w:t>
                      </w:r>
                      <w:r>
                        <w:rPr>
                          <w:spacing w:val="-4"/>
                        </w:rPr>
                        <w:t> </w:t>
                      </w:r>
                      <w:r>
                        <w:rPr/>
                        <w:t>los</w:t>
                      </w:r>
                      <w:r>
                        <w:rPr>
                          <w:spacing w:val="-4"/>
                        </w:rPr>
                        <w:t> </w:t>
                      </w:r>
                      <w:r>
                        <w:rPr/>
                        <w:t>costos</w:t>
                      </w:r>
                      <w:r>
                        <w:rPr>
                          <w:spacing w:val="-4"/>
                        </w:rPr>
                        <w:t> </w:t>
                      </w:r>
                      <w:r>
                        <w:rPr/>
                        <w:t>ha</w:t>
                      </w:r>
                      <w:r>
                        <w:rPr>
                          <w:spacing w:val="-6"/>
                        </w:rPr>
                        <w:t> </w:t>
                      </w:r>
                      <w:r>
                        <w:rPr/>
                        <w:t>reducido</w:t>
                      </w:r>
                      <w:r>
                        <w:rPr>
                          <w:spacing w:val="-4"/>
                        </w:rPr>
                        <w:t> </w:t>
                      </w:r>
                      <w:r>
                        <w:rPr/>
                        <w:t>la</w:t>
                      </w:r>
                      <w:r>
                        <w:rPr>
                          <w:spacing w:val="-6"/>
                        </w:rPr>
                        <w:t> </w:t>
                      </w:r>
                      <w:r>
                        <w:rPr/>
                        <w:t>eficiencia operativa</w:t>
                      </w:r>
                      <w:r>
                        <w:rPr>
                          <w:spacing w:val="-12"/>
                        </w:rPr>
                        <w:t> </w:t>
                      </w:r>
                      <w:r>
                        <w:rPr/>
                        <w:t>en</w:t>
                      </w:r>
                      <w:r>
                        <w:rPr>
                          <w:spacing w:val="-10"/>
                        </w:rPr>
                        <w:t> </w:t>
                      </w:r>
                      <w:r>
                        <w:rPr/>
                        <w:t>julio</w:t>
                      </w:r>
                      <w:r>
                        <w:rPr>
                          <w:spacing w:val="-9"/>
                        </w:rPr>
                        <w:t> </w:t>
                      </w:r>
                      <w:r>
                        <w:rPr/>
                        <w:t>de</w:t>
                      </w:r>
                      <w:r>
                        <w:rPr>
                          <w:spacing w:val="-14"/>
                        </w:rPr>
                        <w:t> </w:t>
                      </w:r>
                      <w:r>
                        <w:rPr/>
                        <w:t>2026,</w:t>
                      </w:r>
                      <w:r>
                        <w:rPr>
                          <w:spacing w:val="-10"/>
                        </w:rPr>
                        <w:t> </w:t>
                      </w:r>
                      <w:r>
                        <w:rPr/>
                        <w:t>lo</w:t>
                      </w:r>
                      <w:r>
                        <w:rPr>
                          <w:spacing w:val="-12"/>
                        </w:rPr>
                        <w:t> </w:t>
                      </w:r>
                      <w:r>
                        <w:rPr/>
                        <w:t>que</w:t>
                      </w:r>
                      <w:r>
                        <w:rPr>
                          <w:spacing w:val="-12"/>
                        </w:rPr>
                        <w:t> </w:t>
                      </w:r>
                      <w:r>
                        <w:rPr/>
                        <w:t>podría</w:t>
                      </w:r>
                      <w:r>
                        <w:rPr>
                          <w:spacing w:val="-11"/>
                        </w:rPr>
                        <w:t> </w:t>
                      </w:r>
                      <w:r>
                        <w:rPr/>
                        <w:t>impactar</w:t>
                      </w:r>
                      <w:r>
                        <w:rPr>
                          <w:spacing w:val="-13"/>
                        </w:rPr>
                        <w:t> </w:t>
                      </w:r>
                      <w:r>
                        <w:rPr/>
                        <w:t>negativamente</w:t>
                      </w:r>
                      <w:r>
                        <w:rPr>
                          <w:spacing w:val="-11"/>
                        </w:rPr>
                        <w:t> </w:t>
                      </w:r>
                      <w:r>
                        <w:rPr/>
                        <w:t>los</w:t>
                      </w:r>
                      <w:r>
                        <w:rPr>
                          <w:spacing w:val="-10"/>
                        </w:rPr>
                        <w:t> </w:t>
                      </w:r>
                      <w:r>
                        <w:rPr/>
                        <w:t>resultados</w:t>
                      </w:r>
                      <w:r>
                        <w:rPr>
                          <w:spacing w:val="-10"/>
                        </w:rPr>
                        <w:t> </w:t>
                      </w:r>
                      <w:r>
                        <w:rPr/>
                        <w:t>netos</w:t>
                      </w:r>
                      <w:r>
                        <w:rPr>
                          <w:spacing w:val="-10"/>
                        </w:rPr>
                        <w:t> </w:t>
                      </w:r>
                      <w:r>
                        <w:rPr/>
                        <w:t>y</w:t>
                      </w:r>
                      <w:r>
                        <w:rPr>
                          <w:spacing w:val="-12"/>
                        </w:rPr>
                        <w:t> </w:t>
                      </w:r>
                      <w:r>
                        <w:rPr/>
                        <w:t>la</w:t>
                      </w:r>
                      <w:r>
                        <w:rPr>
                          <w:spacing w:val="-14"/>
                        </w:rPr>
                        <w:t> </w:t>
                      </w:r>
                      <w:r>
                        <w:rPr/>
                        <w:t>sostenibilidad del negocio.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22" w:id="123"/>
      <w:bookmarkEnd w:id="123"/>
      <w:r>
        <w:rPr/>
      </w:r>
      <w:r>
        <w:rPr>
          <w:b/>
          <w:sz w:val="22"/>
        </w:rPr>
        <w:t>NOTA</w:t>
      </w:r>
      <w:r>
        <w:rPr>
          <w:b/>
          <w:spacing w:val="-1"/>
          <w:sz w:val="22"/>
        </w:rPr>
        <w:t> </w:t>
      </w:r>
      <w:r>
        <w:rPr>
          <w:b/>
          <w:sz w:val="22"/>
        </w:rPr>
        <w:t>N° </w:t>
      </w:r>
      <w:r>
        <w:rPr>
          <w:b/>
          <w:spacing w:val="-5"/>
          <w:sz w:val="22"/>
        </w:rPr>
        <w:t>70</w:t>
      </w:r>
    </w:p>
    <w:p>
      <w:pPr>
        <w:pStyle w:val="BodyText"/>
        <w:spacing w:before="114"/>
        <w:rPr>
          <w:b/>
        </w:rPr>
      </w:pPr>
    </w:p>
    <w:p>
      <w:pPr>
        <w:pStyle w:val="BodyText"/>
        <w:spacing w:before="1"/>
        <w:ind w:left="622"/>
      </w:pPr>
      <w:r>
        <w:rPr/>
        <w:t>Resultados</w:t>
      </w:r>
      <w:r>
        <w:rPr>
          <w:spacing w:val="-4"/>
        </w:rPr>
        <w:t> </w:t>
      </w:r>
      <w:r>
        <w:rPr/>
        <w:t>negativos</w:t>
      </w:r>
      <w:r>
        <w:rPr>
          <w:spacing w:val="-7"/>
        </w:rPr>
        <w:t> </w:t>
      </w:r>
      <w:r>
        <w:rPr/>
        <w:t>por</w:t>
      </w:r>
      <w:r>
        <w:rPr>
          <w:spacing w:val="-4"/>
        </w:rPr>
        <w:t> </w:t>
      </w:r>
      <w:r>
        <w:rPr/>
        <w:t>ventas</w:t>
      </w:r>
      <w:r>
        <w:rPr>
          <w:spacing w:val="-5"/>
        </w:rPr>
        <w:t> </w:t>
      </w:r>
      <w:r>
        <w:rPr/>
        <w:t>de</w:t>
      </w:r>
      <w:r>
        <w:rPr>
          <w:spacing w:val="-3"/>
        </w:rPr>
        <w:t> </w:t>
      </w:r>
      <w:r>
        <w:rPr>
          <w:spacing w:val="-2"/>
        </w:rPr>
        <w:t>inversiones</w:t>
      </w:r>
    </w:p>
    <w:p>
      <w:pPr>
        <w:pStyle w:val="BodyText"/>
        <w:spacing w:before="6"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977"/>
        <w:gridCol w:w="566"/>
        <w:gridCol w:w="1702"/>
        <w:gridCol w:w="1622"/>
        <w:gridCol w:w="1200"/>
      </w:tblGrid>
      <w:tr>
        <w:trPr>
          <w:trHeight w:val="325" w:hRule="atLeast"/>
        </w:trPr>
        <w:tc>
          <w:tcPr>
            <w:tcW w:w="984" w:type="dxa"/>
            <w:vMerge w:val="restart"/>
            <w:shd w:val="clear" w:color="auto" w:fill="365F92"/>
          </w:tcPr>
          <w:p>
            <w:pPr>
              <w:pStyle w:val="TableParagraph"/>
              <w:spacing w:before="131"/>
              <w:ind w:left="69"/>
              <w:rPr>
                <w:sz w:val="20"/>
              </w:rPr>
            </w:pPr>
            <w:r>
              <w:rPr>
                <w:spacing w:val="-2"/>
                <w:sz w:val="20"/>
              </w:rPr>
              <w:t>Cuenta</w:t>
            </w:r>
          </w:p>
        </w:tc>
        <w:tc>
          <w:tcPr>
            <w:tcW w:w="2977" w:type="dxa"/>
            <w:vMerge w:val="restart"/>
            <w:shd w:val="clear" w:color="auto" w:fill="365F92"/>
          </w:tcPr>
          <w:p>
            <w:pPr>
              <w:pStyle w:val="TableParagraph"/>
              <w:spacing w:before="219"/>
              <w:ind w:left="17"/>
              <w:jc w:val="center"/>
              <w:rPr>
                <w:sz w:val="20"/>
              </w:rPr>
            </w:pPr>
            <w:r>
              <w:rPr>
                <w:spacing w:val="-2"/>
                <w:sz w:val="20"/>
              </w:rPr>
              <w:t>Descripción</w:t>
            </w:r>
          </w:p>
        </w:tc>
        <w:tc>
          <w:tcPr>
            <w:tcW w:w="566" w:type="dxa"/>
            <w:vMerge w:val="restart"/>
            <w:shd w:val="clear" w:color="auto" w:fill="365F92"/>
          </w:tcPr>
          <w:p>
            <w:pPr>
              <w:pStyle w:val="TableParagraph"/>
              <w:spacing w:before="219"/>
              <w:ind w:left="85"/>
              <w:rPr>
                <w:sz w:val="20"/>
              </w:rPr>
            </w:pPr>
            <w:r>
              <w:rPr>
                <w:spacing w:val="-4"/>
                <w:sz w:val="20"/>
              </w:rPr>
              <w:t>Nota</w:t>
            </w:r>
          </w:p>
        </w:tc>
        <w:tc>
          <w:tcPr>
            <w:tcW w:w="1702" w:type="dxa"/>
            <w:vMerge w:val="restart"/>
            <w:shd w:val="clear" w:color="auto" w:fill="365F92"/>
          </w:tcPr>
          <w:p>
            <w:pPr>
              <w:pStyle w:val="TableParagraph"/>
              <w:spacing w:before="219"/>
              <w:ind w:left="275"/>
              <w:rPr>
                <w:sz w:val="20"/>
              </w:rPr>
            </w:pPr>
            <w:r>
              <w:rPr>
                <w:sz w:val="20"/>
              </w:rPr>
              <w:t>Periodo</w:t>
            </w:r>
            <w:r>
              <w:rPr>
                <w:spacing w:val="-7"/>
                <w:sz w:val="20"/>
              </w:rPr>
              <w:t> </w:t>
            </w:r>
            <w:r>
              <w:rPr>
                <w:spacing w:val="-2"/>
                <w:sz w:val="20"/>
              </w:rPr>
              <w:t>Actual</w:t>
            </w:r>
          </w:p>
        </w:tc>
        <w:tc>
          <w:tcPr>
            <w:tcW w:w="1622" w:type="dxa"/>
            <w:vMerge w:val="restart"/>
            <w:shd w:val="clear" w:color="auto" w:fill="365F92"/>
          </w:tcPr>
          <w:p>
            <w:pPr>
              <w:pStyle w:val="TableParagraph"/>
              <w:spacing w:before="219"/>
              <w:ind w:left="156"/>
              <w:rPr>
                <w:sz w:val="20"/>
              </w:rPr>
            </w:pPr>
            <w:r>
              <w:rPr>
                <w:sz w:val="20"/>
              </w:rPr>
              <w:t>Periodo</w:t>
            </w:r>
            <w:r>
              <w:rPr>
                <w:spacing w:val="-7"/>
                <w:sz w:val="20"/>
              </w:rPr>
              <w:t> </w:t>
            </w:r>
            <w:r>
              <w:rPr>
                <w:spacing w:val="-2"/>
                <w:sz w:val="20"/>
              </w:rPr>
              <w:t>Anterior</w:t>
            </w:r>
          </w:p>
        </w:tc>
        <w:tc>
          <w:tcPr>
            <w:tcW w:w="1200" w:type="dxa"/>
            <w:shd w:val="clear" w:color="auto" w:fill="365F92"/>
          </w:tcPr>
          <w:p>
            <w:pPr>
              <w:pStyle w:val="TableParagraph"/>
              <w:spacing w:before="49"/>
              <w:ind w:left="21" w:right="2"/>
              <w:jc w:val="center"/>
              <w:rPr>
                <w:sz w:val="20"/>
              </w:rPr>
            </w:pPr>
            <w:r>
              <w:rPr>
                <w:spacing w:val="-2"/>
                <w:sz w:val="20"/>
              </w:rPr>
              <w:t>Diferencia</w:t>
            </w:r>
          </w:p>
        </w:tc>
      </w:tr>
      <w:tr>
        <w:trPr>
          <w:trHeight w:val="323" w:hRule="atLeast"/>
        </w:trPr>
        <w:tc>
          <w:tcPr>
            <w:tcW w:w="984" w:type="dxa"/>
            <w:vMerge/>
            <w:tcBorders>
              <w:top w:val="nil"/>
            </w:tcBorders>
            <w:shd w:val="clear" w:color="auto" w:fill="365F92"/>
          </w:tcPr>
          <w:p>
            <w:pPr>
              <w:rPr>
                <w:sz w:val="2"/>
                <w:szCs w:val="2"/>
              </w:rPr>
            </w:pPr>
          </w:p>
        </w:tc>
        <w:tc>
          <w:tcPr>
            <w:tcW w:w="2977"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622" w:type="dxa"/>
            <w:vMerge/>
            <w:tcBorders>
              <w:top w:val="nil"/>
            </w:tcBorders>
            <w:shd w:val="clear" w:color="auto" w:fill="365F92"/>
          </w:tcPr>
          <w:p>
            <w:pPr>
              <w:rPr>
                <w:sz w:val="2"/>
                <w:szCs w:val="2"/>
              </w:rPr>
            </w:pPr>
          </w:p>
        </w:tc>
        <w:tc>
          <w:tcPr>
            <w:tcW w:w="1200" w:type="dxa"/>
            <w:shd w:val="clear" w:color="auto" w:fill="365F92"/>
          </w:tcPr>
          <w:p>
            <w:pPr>
              <w:pStyle w:val="TableParagraph"/>
              <w:spacing w:before="46"/>
              <w:ind w:left="21" w:right="6"/>
              <w:jc w:val="center"/>
              <w:rPr>
                <w:sz w:val="20"/>
              </w:rPr>
            </w:pPr>
            <w:r>
              <w:rPr>
                <w:spacing w:val="-10"/>
                <w:sz w:val="20"/>
              </w:rPr>
              <w:t>%</w:t>
            </w:r>
          </w:p>
        </w:tc>
      </w:tr>
      <w:tr>
        <w:trPr>
          <w:trHeight w:val="541" w:hRule="atLeast"/>
        </w:trPr>
        <w:tc>
          <w:tcPr>
            <w:tcW w:w="984" w:type="dxa"/>
          </w:tcPr>
          <w:p>
            <w:pPr>
              <w:pStyle w:val="TableParagraph"/>
              <w:spacing w:before="154"/>
              <w:ind w:left="69"/>
              <w:rPr>
                <w:b/>
                <w:sz w:val="20"/>
              </w:rPr>
            </w:pPr>
            <w:r>
              <w:rPr>
                <w:b/>
                <w:spacing w:val="-2"/>
                <w:sz w:val="20"/>
              </w:rPr>
              <w:t>5.3.2.</w:t>
            </w:r>
          </w:p>
        </w:tc>
        <w:tc>
          <w:tcPr>
            <w:tcW w:w="2977" w:type="dxa"/>
          </w:tcPr>
          <w:p>
            <w:pPr>
              <w:pStyle w:val="TableParagraph"/>
              <w:spacing w:before="41"/>
              <w:ind w:left="69" w:right="22"/>
              <w:rPr>
                <w:b/>
                <w:sz w:val="20"/>
              </w:rPr>
            </w:pPr>
            <w:r>
              <w:rPr>
                <w:b/>
                <w:sz w:val="20"/>
              </w:rPr>
              <w:t>Resultados</w:t>
            </w:r>
            <w:r>
              <w:rPr>
                <w:b/>
                <w:spacing w:val="-10"/>
                <w:sz w:val="20"/>
              </w:rPr>
              <w:t> </w:t>
            </w:r>
            <w:r>
              <w:rPr>
                <w:b/>
                <w:sz w:val="20"/>
              </w:rPr>
              <w:t>negativos</w:t>
            </w:r>
            <w:r>
              <w:rPr>
                <w:b/>
                <w:spacing w:val="-10"/>
                <w:sz w:val="20"/>
              </w:rPr>
              <w:t> </w:t>
            </w:r>
            <w:r>
              <w:rPr>
                <w:b/>
                <w:sz w:val="20"/>
              </w:rPr>
              <w:t>por</w:t>
            </w:r>
            <w:r>
              <w:rPr>
                <w:b/>
                <w:spacing w:val="-9"/>
                <w:sz w:val="20"/>
              </w:rPr>
              <w:t> </w:t>
            </w:r>
            <w:r>
              <w:rPr>
                <w:b/>
                <w:sz w:val="20"/>
              </w:rPr>
              <w:t>ventas</w:t>
            </w:r>
            <w:r>
              <w:rPr>
                <w:b/>
                <w:spacing w:val="-10"/>
                <w:sz w:val="20"/>
              </w:rPr>
              <w:t> </w:t>
            </w:r>
            <w:r>
              <w:rPr>
                <w:b/>
                <w:sz w:val="20"/>
              </w:rPr>
              <w:t>de </w:t>
            </w:r>
            <w:r>
              <w:rPr>
                <w:b/>
                <w:spacing w:val="-2"/>
                <w:sz w:val="20"/>
              </w:rPr>
              <w:t>inversiones</w:t>
            </w:r>
          </w:p>
        </w:tc>
        <w:tc>
          <w:tcPr>
            <w:tcW w:w="566" w:type="dxa"/>
          </w:tcPr>
          <w:p>
            <w:pPr>
              <w:pStyle w:val="TableParagraph"/>
              <w:spacing w:before="154"/>
              <w:ind w:left="184"/>
              <w:rPr>
                <w:b/>
                <w:sz w:val="20"/>
              </w:rPr>
            </w:pPr>
            <w:r>
              <w:rPr>
                <w:b/>
                <w:spacing w:val="-5"/>
                <w:sz w:val="20"/>
              </w:rPr>
              <w:t>70</w:t>
            </w:r>
          </w:p>
        </w:tc>
        <w:tc>
          <w:tcPr>
            <w:tcW w:w="1702" w:type="dxa"/>
          </w:tcPr>
          <w:p>
            <w:pPr>
              <w:pStyle w:val="TableParagraph"/>
              <w:spacing w:before="154"/>
              <w:ind w:left="68" w:right="1"/>
              <w:jc w:val="center"/>
              <w:rPr>
                <w:b/>
                <w:sz w:val="20"/>
              </w:rPr>
            </w:pPr>
            <w:r>
              <w:rPr>
                <w:b/>
                <w:spacing w:val="-4"/>
                <w:sz w:val="20"/>
              </w:rPr>
              <w:t>0,00</w:t>
            </w:r>
          </w:p>
        </w:tc>
        <w:tc>
          <w:tcPr>
            <w:tcW w:w="1622" w:type="dxa"/>
          </w:tcPr>
          <w:p>
            <w:pPr>
              <w:pStyle w:val="TableParagraph"/>
              <w:spacing w:before="154"/>
              <w:ind w:left="17"/>
              <w:jc w:val="center"/>
              <w:rPr>
                <w:b/>
                <w:sz w:val="20"/>
              </w:rPr>
            </w:pPr>
            <w:r>
              <w:rPr>
                <w:b/>
                <w:spacing w:val="-4"/>
                <w:sz w:val="20"/>
              </w:rPr>
              <w:t>0,00</w:t>
            </w:r>
          </w:p>
        </w:tc>
        <w:tc>
          <w:tcPr>
            <w:tcW w:w="1200" w:type="dxa"/>
          </w:tcPr>
          <w:p>
            <w:pPr>
              <w:pStyle w:val="TableParagraph"/>
              <w:spacing w:before="154"/>
              <w:ind w:left="21" w:right="2"/>
              <w:jc w:val="center"/>
              <w:rPr>
                <w:b/>
                <w:sz w:val="20"/>
              </w:rPr>
            </w:pPr>
            <w:r>
              <w:rPr>
                <w:b/>
                <w:spacing w:val="-2"/>
                <w:sz w:val="20"/>
              </w:rPr>
              <w:t>0,00%</w:t>
            </w:r>
          </w:p>
        </w:tc>
      </w:tr>
    </w:tbl>
    <w:p>
      <w:pPr>
        <w:pStyle w:val="Heading6"/>
        <w:spacing w:before="241"/>
        <w:ind w:left="622"/>
        <w:rPr>
          <w:b w:val="0"/>
        </w:rPr>
      </w:pPr>
      <w:r>
        <w:rPr>
          <w:spacing w:val="-2"/>
        </w:rPr>
        <w:t>Revelación</w:t>
      </w:r>
      <w:r>
        <w:rPr>
          <w:b w:val="0"/>
          <w:spacing w:val="-2"/>
        </w:rPr>
        <w:t>:</w:t>
      </w:r>
    </w:p>
    <w:p>
      <w:pPr>
        <w:pStyle w:val="BodyText"/>
        <w:spacing w:line="259" w:lineRule="auto" w:before="179"/>
        <w:ind w:left="622" w:right="1030"/>
        <w:jc w:val="both"/>
      </w:pPr>
      <w:r>
        <w:rPr/>
        <w:t>La</w:t>
      </w:r>
      <w:r>
        <w:rPr>
          <w:spacing w:val="-10"/>
        </w:rPr>
        <w:t> </w:t>
      </w:r>
      <w:r>
        <w:rPr/>
        <w:t>cuenta</w:t>
      </w:r>
      <w:r>
        <w:rPr>
          <w:spacing w:val="-12"/>
        </w:rPr>
        <w:t> </w:t>
      </w:r>
      <w:r>
        <w:rPr/>
        <w:t>Resultados</w:t>
      </w:r>
      <w:r>
        <w:rPr>
          <w:spacing w:val="-9"/>
        </w:rPr>
        <w:t> </w:t>
      </w:r>
      <w:r>
        <w:rPr/>
        <w:t>negativos</w:t>
      </w:r>
      <w:r>
        <w:rPr>
          <w:spacing w:val="-10"/>
        </w:rPr>
        <w:t> </w:t>
      </w:r>
      <w:r>
        <w:rPr/>
        <w:t>por</w:t>
      </w:r>
      <w:r>
        <w:rPr>
          <w:spacing w:val="-12"/>
        </w:rPr>
        <w:t> </w:t>
      </w:r>
      <w:r>
        <w:rPr/>
        <w:t>ventas</w:t>
      </w:r>
      <w:r>
        <w:rPr>
          <w:spacing w:val="-11"/>
        </w:rPr>
        <w:t> </w:t>
      </w:r>
      <w:r>
        <w:rPr/>
        <w:t>de</w:t>
      </w:r>
      <w:r>
        <w:rPr>
          <w:spacing w:val="-11"/>
        </w:rPr>
        <w:t> </w:t>
      </w:r>
      <w:r>
        <w:rPr/>
        <w:t>inversiones,</w:t>
      </w:r>
      <w:r>
        <w:rPr>
          <w:spacing w:val="-9"/>
        </w:rPr>
        <w:t> </w:t>
      </w:r>
      <w:r>
        <w:rPr/>
        <w:t>representa</w:t>
      </w:r>
      <w:r>
        <w:rPr>
          <w:spacing w:val="-10"/>
        </w:rPr>
        <w:t> </w:t>
      </w:r>
      <w:r>
        <w:rPr/>
        <w:t>el</w:t>
      </w:r>
      <w:r>
        <w:rPr>
          <w:spacing w:val="-13"/>
        </w:rPr>
        <w:t> </w:t>
      </w:r>
      <w:r>
        <w:rPr/>
        <w:t>0,00%</w:t>
      </w:r>
      <w:r>
        <w:rPr>
          <w:spacing w:val="-10"/>
        </w:rPr>
        <w:t> </w:t>
      </w:r>
      <w:r>
        <w:rPr/>
        <w:t>del</w:t>
      </w:r>
      <w:r>
        <w:rPr>
          <w:spacing w:val="-10"/>
        </w:rPr>
        <w:t> </w:t>
      </w:r>
      <w:r>
        <w:rPr/>
        <w:t>total</w:t>
      </w:r>
      <w:r>
        <w:rPr>
          <w:spacing w:val="-11"/>
        </w:rPr>
        <w:t> </w:t>
      </w:r>
      <w:r>
        <w:rPr/>
        <w:t>del</w:t>
      </w:r>
      <w:r>
        <w:rPr>
          <w:spacing w:val="-10"/>
        </w:rPr>
        <w:t> </w:t>
      </w:r>
      <w:r>
        <w:rPr/>
        <w:t>Gastos,</w:t>
      </w:r>
      <w:r>
        <w:rPr>
          <w:spacing w:val="-12"/>
        </w:rPr>
        <w:t> </w:t>
      </w:r>
      <w:r>
        <w:rPr/>
        <w:t>que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41440">
                <wp:simplePos x="0" y="0"/>
                <wp:positionH relativeFrom="page">
                  <wp:posOffset>1080820</wp:posOffset>
                </wp:positionH>
                <wp:positionV relativeFrom="paragraph">
                  <wp:posOffset>233235</wp:posOffset>
                </wp:positionV>
                <wp:extent cx="5715000" cy="553720"/>
                <wp:effectExtent l="0" t="0" r="0" b="0"/>
                <wp:wrapTopAndBottom/>
                <wp:docPr id="756" name="Textbox 756"/>
                <wp:cNvGraphicFramePr>
                  <a:graphicFrameLocks/>
                </wp:cNvGraphicFramePr>
                <a:graphic>
                  <a:graphicData uri="http://schemas.microsoft.com/office/word/2010/wordprocessingShape">
                    <wps:wsp>
                      <wps:cNvPr id="756" name="Textbox 756"/>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65pt;width:450pt;height:43.6pt;mso-position-horizontal-relative:page;mso-position-vertical-relative:paragraph;z-index:-15575040;mso-wrap-distance-left:0;mso-wrap-distance-right:0" type="#_x0000_t202" id="docshape73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23" w:id="124"/>
      <w:bookmarkEnd w:id="124"/>
      <w:r>
        <w:rPr/>
      </w:r>
      <w:r>
        <w:rPr>
          <w:b/>
          <w:sz w:val="22"/>
        </w:rPr>
        <w:t>NOTA</w:t>
      </w:r>
      <w:r>
        <w:rPr>
          <w:b/>
          <w:spacing w:val="-1"/>
          <w:sz w:val="22"/>
        </w:rPr>
        <w:t> </w:t>
      </w:r>
      <w:r>
        <w:rPr>
          <w:b/>
          <w:sz w:val="22"/>
        </w:rPr>
        <w:t>N° </w:t>
      </w:r>
      <w:r>
        <w:rPr>
          <w:b/>
          <w:spacing w:val="-5"/>
          <w:sz w:val="22"/>
        </w:rPr>
        <w:t>71</w:t>
      </w:r>
    </w:p>
    <w:p>
      <w:pPr>
        <w:pStyle w:val="BodyText"/>
        <w:spacing w:before="115"/>
        <w:rPr>
          <w:b/>
        </w:rPr>
      </w:pPr>
    </w:p>
    <w:p>
      <w:pPr>
        <w:pStyle w:val="BodyText"/>
        <w:ind w:left="622"/>
      </w:pPr>
      <w:r>
        <w:rPr/>
        <w:t>Resultados</w:t>
      </w:r>
      <w:r>
        <w:rPr>
          <w:spacing w:val="-4"/>
        </w:rPr>
        <w:t> </w:t>
      </w:r>
      <w:r>
        <w:rPr/>
        <w:t>negativos</w:t>
      </w:r>
      <w:r>
        <w:rPr>
          <w:spacing w:val="-7"/>
        </w:rPr>
        <w:t> </w:t>
      </w:r>
      <w:r>
        <w:rPr/>
        <w:t>por</w:t>
      </w:r>
      <w:r>
        <w:rPr>
          <w:spacing w:val="-5"/>
        </w:rPr>
        <w:t> </w:t>
      </w:r>
      <w:r>
        <w:rPr/>
        <w:t>ventas</w:t>
      </w:r>
      <w:r>
        <w:rPr>
          <w:spacing w:val="-7"/>
        </w:rPr>
        <w:t> </w:t>
      </w:r>
      <w:r>
        <w:rPr/>
        <w:t>e</w:t>
      </w:r>
      <w:r>
        <w:rPr>
          <w:spacing w:val="-4"/>
        </w:rPr>
        <w:t> </w:t>
      </w:r>
      <w:r>
        <w:rPr/>
        <w:t>intercambio</w:t>
      </w:r>
      <w:r>
        <w:rPr>
          <w:spacing w:val="-5"/>
        </w:rPr>
        <w:t> </w:t>
      </w:r>
      <w:r>
        <w:rPr/>
        <w:t>de</w:t>
      </w:r>
      <w:r>
        <w:rPr>
          <w:spacing w:val="-3"/>
        </w:rPr>
        <w:t> </w:t>
      </w:r>
      <w:r>
        <w:rPr>
          <w:spacing w:val="-2"/>
        </w:rPr>
        <w:t>bienes</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79360">
                <wp:simplePos x="0" y="0"/>
                <wp:positionH relativeFrom="page">
                  <wp:posOffset>9525</wp:posOffset>
                </wp:positionH>
                <wp:positionV relativeFrom="page">
                  <wp:posOffset>297208</wp:posOffset>
                </wp:positionV>
                <wp:extent cx="7762875" cy="9748520"/>
                <wp:effectExtent l="0" t="0" r="0" b="0"/>
                <wp:wrapNone/>
                <wp:docPr id="757" name="Group 757"/>
                <wp:cNvGraphicFramePr>
                  <a:graphicFrameLocks/>
                </wp:cNvGraphicFramePr>
                <a:graphic>
                  <a:graphicData uri="http://schemas.microsoft.com/office/word/2010/wordprocessingGroup">
                    <wpg:wgp>
                      <wpg:cNvPr id="757" name="Group 757"/>
                      <wpg:cNvGrpSpPr/>
                      <wpg:grpSpPr>
                        <a:xfrm>
                          <a:off x="0" y="0"/>
                          <a:ext cx="7762875" cy="9748520"/>
                          <a:chExt cx="7762875" cy="9748520"/>
                        </a:xfrm>
                      </wpg:grpSpPr>
                      <pic:pic>
                        <pic:nvPicPr>
                          <pic:cNvPr id="758" name="Image 758"/>
                          <pic:cNvPicPr/>
                        </pic:nvPicPr>
                        <pic:blipFill>
                          <a:blip r:embed="rId5" cstate="print"/>
                          <a:stretch>
                            <a:fillRect/>
                          </a:stretch>
                        </pic:blipFill>
                        <pic:spPr>
                          <a:xfrm>
                            <a:off x="0" y="0"/>
                            <a:ext cx="7762874" cy="9748489"/>
                          </a:xfrm>
                          <a:prstGeom prst="rect">
                            <a:avLst/>
                          </a:prstGeom>
                        </pic:spPr>
                      </pic:pic>
                      <wps:wsp>
                        <wps:cNvPr id="759" name="Graphic 759"/>
                        <wps:cNvSpPr/>
                        <wps:spPr>
                          <a:xfrm>
                            <a:off x="1053007" y="990837"/>
                            <a:ext cx="5780405" cy="7340600"/>
                          </a:xfrm>
                          <a:custGeom>
                            <a:avLst/>
                            <a:gdLst/>
                            <a:ahLst/>
                            <a:cxnLst/>
                            <a:rect l="l" t="t" r="r" b="b"/>
                            <a:pathLst>
                              <a:path w="5780405" h="7340600">
                                <a:moveTo>
                                  <a:pt x="5649214" y="0"/>
                                </a:moveTo>
                                <a:lnTo>
                                  <a:pt x="0" y="0"/>
                                </a:lnTo>
                                <a:lnTo>
                                  <a:pt x="0" y="9131"/>
                                </a:lnTo>
                                <a:lnTo>
                                  <a:pt x="5649214" y="9131"/>
                                </a:lnTo>
                                <a:lnTo>
                                  <a:pt x="5649214" y="0"/>
                                </a:lnTo>
                                <a:close/>
                              </a:path>
                              <a:path w="5780405" h="7340600">
                                <a:moveTo>
                                  <a:pt x="5780214" y="7334504"/>
                                </a:moveTo>
                                <a:lnTo>
                                  <a:pt x="5774182" y="7334504"/>
                                </a:lnTo>
                                <a:lnTo>
                                  <a:pt x="21336" y="7334504"/>
                                </a:lnTo>
                                <a:lnTo>
                                  <a:pt x="15240" y="7334504"/>
                                </a:lnTo>
                                <a:lnTo>
                                  <a:pt x="15240" y="7340587"/>
                                </a:lnTo>
                                <a:lnTo>
                                  <a:pt x="21336" y="7340587"/>
                                </a:lnTo>
                                <a:lnTo>
                                  <a:pt x="5774131" y="7340587"/>
                                </a:lnTo>
                                <a:lnTo>
                                  <a:pt x="5780214" y="7340587"/>
                                </a:lnTo>
                                <a:lnTo>
                                  <a:pt x="5780214" y="7334504"/>
                                </a:lnTo>
                                <a:close/>
                              </a:path>
                              <a:path w="5780405" h="7340600">
                                <a:moveTo>
                                  <a:pt x="5780214" y="2211692"/>
                                </a:moveTo>
                                <a:lnTo>
                                  <a:pt x="5774182" y="2211692"/>
                                </a:lnTo>
                                <a:lnTo>
                                  <a:pt x="21336" y="2211692"/>
                                </a:lnTo>
                                <a:lnTo>
                                  <a:pt x="15240" y="2211692"/>
                                </a:lnTo>
                                <a:lnTo>
                                  <a:pt x="15240" y="2217788"/>
                                </a:lnTo>
                                <a:lnTo>
                                  <a:pt x="15240" y="7334491"/>
                                </a:lnTo>
                                <a:lnTo>
                                  <a:pt x="21336" y="7334491"/>
                                </a:lnTo>
                                <a:lnTo>
                                  <a:pt x="21336" y="2217788"/>
                                </a:lnTo>
                                <a:lnTo>
                                  <a:pt x="5774131" y="2217788"/>
                                </a:lnTo>
                                <a:lnTo>
                                  <a:pt x="5774131" y="7334491"/>
                                </a:lnTo>
                                <a:lnTo>
                                  <a:pt x="5780214" y="7334491"/>
                                </a:lnTo>
                                <a:lnTo>
                                  <a:pt x="5780214" y="2217788"/>
                                </a:lnTo>
                                <a:lnTo>
                                  <a:pt x="5780214" y="2211692"/>
                                </a:lnTo>
                                <a:close/>
                              </a:path>
                            </a:pathLst>
                          </a:custGeom>
                          <a:solidFill>
                            <a:srgbClr val="000000"/>
                          </a:solidFill>
                        </wps:spPr>
                        <wps:bodyPr wrap="square" lIns="0" tIns="0" rIns="0" bIns="0" rtlCol="0">
                          <a:prstTxWarp prst="textNoShape">
                            <a:avLst/>
                          </a:prstTxWarp>
                          <a:noAutofit/>
                        </wps:bodyPr>
                      </wps:wsp>
                      <pic:pic>
                        <pic:nvPicPr>
                          <pic:cNvPr id="760" name="Image 760"/>
                          <pic:cNvPicPr/>
                        </pic:nvPicPr>
                        <pic:blipFill>
                          <a:blip r:embed="rId91" cstate="print"/>
                          <a:stretch>
                            <a:fillRect/>
                          </a:stretch>
                        </pic:blipFill>
                        <pic:spPr>
                          <a:xfrm>
                            <a:off x="1672589" y="3947131"/>
                            <a:ext cx="4548505" cy="1592452"/>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7120" id="docshapegroup735" coordorigin="15,468" coordsize="12225,15352">
                <v:shape style="position:absolute;left:15;top:468;width:12225;height:15352" type="#_x0000_t75" id="docshape736" stroked="false">
                  <v:imagedata r:id="rId5" o:title=""/>
                </v:shape>
                <v:shape style="position:absolute;left:1673;top:2028;width:9103;height:11560" id="docshape737" coordorigin="1673,2028" coordsize="9103,11560" path="m10570,2028l1673,2028,1673,2043,10570,2043,10570,2028xm10776,13579l10766,13579,10766,13579,1707,13579,1697,13579,1697,13588,1707,13588,10766,13588,10766,13588,10776,13588,10776,13579xm10776,5511l10766,5511,10766,5511,1707,5511,1697,5511,1697,5521,1697,13579,1707,13579,1707,5521,10766,5521,10766,13579,10776,13579,10776,5521,10776,5511xe" filled="true" fillcolor="#000000" stroked="false">
                  <v:path arrowok="t"/>
                  <v:fill type="solid"/>
                </v:shape>
                <v:shape style="position:absolute;left:2649;top:6684;width:7163;height:2508" type="#_x0000_t75" id="docshape738" stroked="false">
                  <v:imagedata r:id="rId91" o:title=""/>
                </v:shape>
                <w10:wrap type="none"/>
              </v:group>
            </w:pict>
          </mc:Fallback>
        </mc:AlternateContent>
      </w:r>
      <w:r>
        <w:rPr>
          <w:color w:val="172951"/>
          <w:sz w:val="20"/>
        </w:rPr>
        <w:t>Pág.</w:t>
      </w:r>
      <w:r>
        <w:rPr>
          <w:color w:val="172951"/>
          <w:spacing w:val="-7"/>
          <w:sz w:val="20"/>
        </w:rPr>
        <w:t> </w:t>
      </w:r>
      <w:r>
        <w:rPr>
          <w:color w:val="172951"/>
          <w:spacing w:val="-5"/>
          <w:sz w:val="20"/>
        </w:rPr>
        <w:t>153</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6"/>
        <w:gridCol w:w="3333"/>
        <w:gridCol w:w="572"/>
        <w:gridCol w:w="1561"/>
        <w:gridCol w:w="1608"/>
        <w:gridCol w:w="1198"/>
      </w:tblGrid>
      <w:tr>
        <w:trPr>
          <w:trHeight w:val="325" w:hRule="atLeast"/>
        </w:trPr>
        <w:tc>
          <w:tcPr>
            <w:tcW w:w="766" w:type="dxa"/>
            <w:vMerge w:val="restart"/>
            <w:shd w:val="clear" w:color="auto" w:fill="365F92"/>
          </w:tcPr>
          <w:p>
            <w:pPr>
              <w:pStyle w:val="TableParagraph"/>
              <w:spacing w:before="120"/>
              <w:ind w:left="69"/>
              <w:rPr>
                <w:sz w:val="22"/>
              </w:rPr>
            </w:pPr>
            <w:r>
              <w:rPr>
                <w:color w:val="FFFFFF"/>
                <w:spacing w:val="-2"/>
                <w:sz w:val="22"/>
              </w:rPr>
              <w:t>Cuenta</w:t>
            </w:r>
          </w:p>
        </w:tc>
        <w:tc>
          <w:tcPr>
            <w:tcW w:w="3333" w:type="dxa"/>
            <w:vMerge w:val="restart"/>
            <w:shd w:val="clear" w:color="auto" w:fill="365F92"/>
          </w:tcPr>
          <w:p>
            <w:pPr>
              <w:pStyle w:val="TableParagraph"/>
              <w:spacing w:before="209"/>
              <w:ind w:left="19"/>
              <w:jc w:val="center"/>
              <w:rPr>
                <w:sz w:val="22"/>
              </w:rPr>
            </w:pPr>
            <w:r>
              <w:rPr>
                <w:color w:val="FFFFFF"/>
                <w:spacing w:val="-2"/>
                <w:sz w:val="22"/>
              </w:rPr>
              <w:t>Descripción</w:t>
            </w:r>
          </w:p>
        </w:tc>
        <w:tc>
          <w:tcPr>
            <w:tcW w:w="572" w:type="dxa"/>
            <w:vMerge w:val="restart"/>
            <w:shd w:val="clear" w:color="auto" w:fill="365F92"/>
          </w:tcPr>
          <w:p>
            <w:pPr>
              <w:pStyle w:val="TableParagraph"/>
              <w:spacing w:before="209"/>
              <w:ind w:left="67"/>
              <w:rPr>
                <w:sz w:val="22"/>
              </w:rPr>
            </w:pPr>
            <w:r>
              <w:rPr>
                <w:color w:val="FFFFFF"/>
                <w:spacing w:val="-4"/>
                <w:sz w:val="22"/>
              </w:rPr>
              <w:t>Nota</w:t>
            </w:r>
          </w:p>
        </w:tc>
        <w:tc>
          <w:tcPr>
            <w:tcW w:w="1561" w:type="dxa"/>
            <w:vMerge w:val="restart"/>
            <w:shd w:val="clear" w:color="auto" w:fill="365F92"/>
          </w:tcPr>
          <w:p>
            <w:pPr>
              <w:pStyle w:val="TableParagraph"/>
              <w:spacing w:before="209"/>
              <w:ind w:left="143"/>
              <w:rPr>
                <w:sz w:val="22"/>
              </w:rPr>
            </w:pPr>
            <w:r>
              <w:rPr>
                <w:color w:val="FFFFFF"/>
                <w:sz w:val="22"/>
              </w:rPr>
              <w:t>Periodo</w:t>
            </w:r>
            <w:r>
              <w:rPr>
                <w:color w:val="FFFFFF"/>
                <w:spacing w:val="-4"/>
                <w:sz w:val="22"/>
              </w:rPr>
              <w:t> </w:t>
            </w:r>
            <w:r>
              <w:rPr>
                <w:color w:val="FFFFFF"/>
                <w:spacing w:val="-2"/>
                <w:sz w:val="22"/>
              </w:rPr>
              <w:t>Actual</w:t>
            </w:r>
          </w:p>
        </w:tc>
        <w:tc>
          <w:tcPr>
            <w:tcW w:w="1608" w:type="dxa"/>
            <w:vMerge w:val="restart"/>
            <w:shd w:val="clear" w:color="auto" w:fill="365F92"/>
          </w:tcPr>
          <w:p>
            <w:pPr>
              <w:pStyle w:val="TableParagraph"/>
              <w:spacing w:before="84"/>
              <w:ind w:left="426" w:right="406" w:firstLine="50"/>
              <w:rPr>
                <w:sz w:val="22"/>
              </w:rPr>
            </w:pPr>
            <w:r>
              <w:rPr>
                <w:color w:val="FFFFFF"/>
                <w:spacing w:val="-2"/>
                <w:sz w:val="22"/>
              </w:rPr>
              <w:t>Periodo Anterior</w:t>
            </w:r>
          </w:p>
        </w:tc>
        <w:tc>
          <w:tcPr>
            <w:tcW w:w="1198" w:type="dxa"/>
            <w:shd w:val="clear" w:color="auto" w:fill="365F92"/>
          </w:tcPr>
          <w:p>
            <w:pPr>
              <w:pStyle w:val="TableParagraph"/>
              <w:spacing w:before="36"/>
              <w:ind w:left="23" w:right="10"/>
              <w:jc w:val="center"/>
              <w:rPr>
                <w:b/>
                <w:sz w:val="22"/>
              </w:rPr>
            </w:pPr>
            <w:r>
              <w:rPr>
                <w:b/>
                <w:color w:val="FFFFFF"/>
                <w:spacing w:val="-2"/>
                <w:sz w:val="22"/>
              </w:rPr>
              <w:t>Diferencia</w:t>
            </w:r>
          </w:p>
        </w:tc>
      </w:tr>
      <w:tr>
        <w:trPr>
          <w:trHeight w:val="323" w:hRule="atLeast"/>
        </w:trPr>
        <w:tc>
          <w:tcPr>
            <w:tcW w:w="766" w:type="dxa"/>
            <w:vMerge/>
            <w:tcBorders>
              <w:top w:val="nil"/>
            </w:tcBorders>
            <w:shd w:val="clear" w:color="auto" w:fill="365F92"/>
          </w:tcPr>
          <w:p>
            <w:pPr>
              <w:rPr>
                <w:sz w:val="2"/>
                <w:szCs w:val="2"/>
              </w:rPr>
            </w:pPr>
          </w:p>
        </w:tc>
        <w:tc>
          <w:tcPr>
            <w:tcW w:w="3333"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608"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11"/>
              <w:jc w:val="center"/>
              <w:rPr>
                <w:sz w:val="22"/>
              </w:rPr>
            </w:pPr>
            <w:r>
              <w:rPr>
                <w:color w:val="FFFFFF"/>
                <w:spacing w:val="-10"/>
                <w:sz w:val="22"/>
              </w:rPr>
              <w:t>%</w:t>
            </w:r>
          </w:p>
        </w:tc>
      </w:tr>
      <w:tr>
        <w:trPr>
          <w:trHeight w:val="541" w:hRule="atLeast"/>
        </w:trPr>
        <w:tc>
          <w:tcPr>
            <w:tcW w:w="766" w:type="dxa"/>
          </w:tcPr>
          <w:p>
            <w:pPr>
              <w:pStyle w:val="TableParagraph"/>
              <w:spacing w:before="154"/>
              <w:ind w:left="69"/>
              <w:rPr>
                <w:b/>
                <w:sz w:val="20"/>
              </w:rPr>
            </w:pPr>
            <w:r>
              <w:rPr>
                <w:b/>
                <w:spacing w:val="-2"/>
                <w:sz w:val="20"/>
              </w:rPr>
              <w:t>5.3.3.</w:t>
            </w:r>
          </w:p>
        </w:tc>
        <w:tc>
          <w:tcPr>
            <w:tcW w:w="3333" w:type="dxa"/>
          </w:tcPr>
          <w:p>
            <w:pPr>
              <w:pStyle w:val="TableParagraph"/>
              <w:spacing w:before="41"/>
              <w:ind w:left="68" w:right="50"/>
              <w:rPr>
                <w:b/>
                <w:sz w:val="20"/>
              </w:rPr>
            </w:pPr>
            <w:r>
              <w:rPr>
                <w:b/>
                <w:sz w:val="20"/>
              </w:rPr>
              <w:t>Resulta</w:t>
            </w:r>
            <w:r>
              <w:rPr>
                <w:b/>
                <w:spacing w:val="80"/>
                <w:sz w:val="20"/>
              </w:rPr>
              <w:t> </w:t>
            </w:r>
            <w:r>
              <w:rPr>
                <w:b/>
                <w:sz w:val="20"/>
              </w:rPr>
              <w:t>dos</w:t>
            </w:r>
            <w:r>
              <w:rPr>
                <w:b/>
                <w:spacing w:val="80"/>
                <w:sz w:val="20"/>
              </w:rPr>
              <w:t> </w:t>
            </w:r>
            <w:r>
              <w:rPr>
                <w:b/>
                <w:sz w:val="20"/>
              </w:rPr>
              <w:t>negativos</w:t>
            </w:r>
            <w:r>
              <w:rPr>
                <w:b/>
                <w:spacing w:val="80"/>
                <w:sz w:val="20"/>
              </w:rPr>
              <w:t> </w:t>
            </w:r>
            <w:r>
              <w:rPr>
                <w:b/>
                <w:sz w:val="20"/>
              </w:rPr>
              <w:t>por</w:t>
            </w:r>
            <w:r>
              <w:rPr>
                <w:b/>
                <w:spacing w:val="80"/>
                <w:sz w:val="20"/>
              </w:rPr>
              <w:t> </w:t>
            </w:r>
            <w:r>
              <w:rPr>
                <w:b/>
                <w:sz w:val="20"/>
              </w:rPr>
              <w:t>ventas</w:t>
            </w:r>
            <w:r>
              <w:rPr>
                <w:b/>
                <w:spacing w:val="80"/>
                <w:sz w:val="20"/>
              </w:rPr>
              <w:t> </w:t>
            </w:r>
            <w:r>
              <w:rPr>
                <w:b/>
                <w:sz w:val="20"/>
              </w:rPr>
              <w:t>e intercambio de bienes</w:t>
            </w:r>
          </w:p>
        </w:tc>
        <w:tc>
          <w:tcPr>
            <w:tcW w:w="572" w:type="dxa"/>
          </w:tcPr>
          <w:p>
            <w:pPr>
              <w:pStyle w:val="TableParagraph"/>
              <w:spacing w:before="154"/>
              <w:ind w:left="185"/>
              <w:rPr>
                <w:b/>
                <w:sz w:val="20"/>
              </w:rPr>
            </w:pPr>
            <w:r>
              <w:rPr>
                <w:b/>
                <w:spacing w:val="-5"/>
                <w:sz w:val="20"/>
              </w:rPr>
              <w:t>71</w:t>
            </w:r>
          </w:p>
        </w:tc>
        <w:tc>
          <w:tcPr>
            <w:tcW w:w="1561" w:type="dxa"/>
          </w:tcPr>
          <w:p>
            <w:pPr>
              <w:pStyle w:val="TableParagraph"/>
              <w:spacing w:before="154"/>
              <w:ind w:left="333"/>
              <w:rPr>
                <w:b/>
                <w:sz w:val="20"/>
              </w:rPr>
            </w:pPr>
            <w:r>
              <w:rPr>
                <w:b/>
                <w:sz w:val="20"/>
              </w:rPr>
              <w:t>611</w:t>
            </w:r>
            <w:r>
              <w:rPr>
                <w:b/>
                <w:spacing w:val="-3"/>
                <w:sz w:val="20"/>
              </w:rPr>
              <w:t> </w:t>
            </w:r>
            <w:r>
              <w:rPr>
                <w:b/>
                <w:spacing w:val="-2"/>
                <w:sz w:val="20"/>
              </w:rPr>
              <w:t>156,48</w:t>
            </w:r>
          </w:p>
        </w:tc>
        <w:tc>
          <w:tcPr>
            <w:tcW w:w="1608" w:type="dxa"/>
          </w:tcPr>
          <w:p>
            <w:pPr>
              <w:pStyle w:val="TableParagraph"/>
              <w:spacing w:before="154"/>
              <w:ind w:left="357"/>
              <w:rPr>
                <w:b/>
                <w:sz w:val="20"/>
              </w:rPr>
            </w:pPr>
            <w:r>
              <w:rPr>
                <w:b/>
                <w:sz w:val="20"/>
              </w:rPr>
              <w:t>214</w:t>
            </w:r>
            <w:r>
              <w:rPr>
                <w:b/>
                <w:spacing w:val="-3"/>
                <w:sz w:val="20"/>
              </w:rPr>
              <w:t> </w:t>
            </w:r>
            <w:r>
              <w:rPr>
                <w:b/>
                <w:spacing w:val="-2"/>
                <w:sz w:val="20"/>
              </w:rPr>
              <w:t>599,56</w:t>
            </w:r>
          </w:p>
        </w:tc>
        <w:tc>
          <w:tcPr>
            <w:tcW w:w="1198" w:type="dxa"/>
          </w:tcPr>
          <w:p>
            <w:pPr>
              <w:pStyle w:val="TableParagraph"/>
              <w:spacing w:before="154"/>
              <w:ind w:left="23" w:right="9"/>
              <w:jc w:val="center"/>
              <w:rPr>
                <w:b/>
                <w:sz w:val="20"/>
              </w:rPr>
            </w:pPr>
            <w:r>
              <w:rPr>
                <w:b/>
                <w:spacing w:val="-2"/>
                <w:sz w:val="20"/>
              </w:rPr>
              <w:t>184,79%</w:t>
            </w:r>
          </w:p>
        </w:tc>
      </w:tr>
    </w:tbl>
    <w:p>
      <w:pPr>
        <w:pStyle w:val="BodyText"/>
        <w:spacing w:before="12"/>
        <w:rPr>
          <w:sz w:val="20"/>
        </w:rPr>
      </w:pPr>
    </w:p>
    <w:p>
      <w:pPr>
        <w:pStyle w:val="Heading6"/>
        <w:spacing w:before="1"/>
        <w:ind w:left="622"/>
      </w:pPr>
      <w:r>
        <w:rPr>
          <w:spacing w:val="-2"/>
        </w:rPr>
        <w:t>Revelación:</w:t>
      </w:r>
    </w:p>
    <w:p>
      <w:pPr>
        <w:pStyle w:val="BodyText"/>
        <w:spacing w:before="178"/>
        <w:ind w:left="622" w:right="975"/>
        <w:jc w:val="both"/>
      </w:pPr>
      <w:r>
        <w:rPr/>
        <w:t>La cuenta Resultados negativos por ventas e intercambio de bienes, representa el 0,47% del total del Gastos, que comparado al periodo anterior genera una variación absoluta de ¢ 396.556,92 que corresponde a un aumento de un 184,79% de recursos disponibles respecto al periodo anterior.</w:t>
      </w:r>
    </w:p>
    <w:p>
      <w:pPr>
        <w:pStyle w:val="BodyText"/>
      </w:pPr>
    </w:p>
    <w:p>
      <w:pPr>
        <w:pStyle w:val="BodyText"/>
        <w:spacing w:before="100"/>
      </w:pPr>
    </w:p>
    <w:p>
      <w:pPr>
        <w:pStyle w:val="BodyText"/>
        <w:ind w:left="691" w:right="817"/>
        <w:jc w:val="both"/>
      </w:pPr>
      <w:r>
        <w:rPr/>
        <w:t>La cuenta Resultados negativos por ventas e intercambio de bienes, representa el 0,47% del total del Gastos, que comparado al periodo anterior genera una variación absoluta de ¢ 396.556,92 que corresponde a un aumento de más del 184,79% de recursos disponibles, producto del registro segregación y donación de lotes, baja de activos por hurto, robo, daño y desuso.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0"/>
      </w:pPr>
    </w:p>
    <w:p>
      <w:pPr>
        <w:pStyle w:val="BodyText"/>
        <w:ind w:left="691" w:right="815"/>
        <w:jc w:val="both"/>
      </w:pPr>
      <w:r>
        <w:rPr/>
        <w:t>Al mes de julio 2026 en el Instituto Mixto de Ayuda Social se realiza la baja de activos por traslado y destrucción en la regional de Cartago y sus ULDS al igual que en la regional de Chorotega y sus respectivas</w:t>
      </w:r>
      <w:r>
        <w:rPr>
          <w:spacing w:val="-6"/>
        </w:rPr>
        <w:t> </w:t>
      </w:r>
      <w:r>
        <w:rPr/>
        <w:t>ULDS.</w:t>
      </w:r>
      <w:r>
        <w:rPr>
          <w:spacing w:val="-8"/>
        </w:rPr>
        <w:t> </w:t>
      </w:r>
      <w:r>
        <w:rPr/>
        <w:t>Se</w:t>
      </w:r>
      <w:r>
        <w:rPr>
          <w:spacing w:val="-11"/>
        </w:rPr>
        <w:t> </w:t>
      </w:r>
      <w:r>
        <w:rPr/>
        <w:t>registró</w:t>
      </w:r>
      <w:r>
        <w:rPr>
          <w:spacing w:val="-6"/>
        </w:rPr>
        <w:t> </w:t>
      </w:r>
      <w:r>
        <w:rPr/>
        <w:t>un</w:t>
      </w:r>
      <w:r>
        <w:rPr>
          <w:spacing w:val="-9"/>
        </w:rPr>
        <w:t> </w:t>
      </w:r>
      <w:r>
        <w:rPr/>
        <w:t>incremento</w:t>
      </w:r>
      <w:r>
        <w:rPr>
          <w:spacing w:val="-9"/>
        </w:rPr>
        <w:t> </w:t>
      </w:r>
      <w:r>
        <w:rPr/>
        <w:t>significativo</w:t>
      </w:r>
      <w:r>
        <w:rPr>
          <w:spacing w:val="-7"/>
        </w:rPr>
        <w:t> </w:t>
      </w:r>
      <w:r>
        <w:rPr/>
        <w:t>en</w:t>
      </w:r>
      <w:r>
        <w:rPr>
          <w:spacing w:val="-7"/>
        </w:rPr>
        <w:t> </w:t>
      </w:r>
      <w:r>
        <w:rPr/>
        <w:t>el</w:t>
      </w:r>
      <w:r>
        <w:rPr>
          <w:spacing w:val="-10"/>
        </w:rPr>
        <w:t> </w:t>
      </w:r>
      <w:r>
        <w:rPr/>
        <w:t>monto</w:t>
      </w:r>
      <w:r>
        <w:rPr>
          <w:spacing w:val="-6"/>
        </w:rPr>
        <w:t> </w:t>
      </w:r>
      <w:r>
        <w:rPr/>
        <w:t>de</w:t>
      </w:r>
      <w:r>
        <w:rPr>
          <w:spacing w:val="-8"/>
        </w:rPr>
        <w:t> </w:t>
      </w:r>
      <w:r>
        <w:rPr/>
        <w:t>las</w:t>
      </w:r>
      <w:r>
        <w:rPr>
          <w:spacing w:val="-8"/>
        </w:rPr>
        <w:t> </w:t>
      </w:r>
      <w:r>
        <w:rPr/>
        <w:t>bajas.</w:t>
      </w:r>
      <w:r>
        <w:rPr>
          <w:spacing w:val="-8"/>
        </w:rPr>
        <w:t> </w:t>
      </w:r>
      <w:r>
        <w:rPr/>
        <w:t>El</w:t>
      </w:r>
      <w:r>
        <w:rPr>
          <w:spacing w:val="-8"/>
        </w:rPr>
        <w:t> </w:t>
      </w:r>
      <w:r>
        <w:rPr/>
        <w:t>Departamento</w:t>
      </w:r>
      <w:r>
        <w:rPr>
          <w:spacing w:val="-6"/>
        </w:rPr>
        <w:t> </w:t>
      </w:r>
      <w:r>
        <w:rPr/>
        <w:t>de Proveeduría Institucional solicitó la baja de activos en condición de daño, desuso y mal estado, provenientes de diversas unidades administrativas. Estos bienes fueron trasladados a la Unidad de Donaciones para su disposición final. Al igual se realizaron bajas de activos destinadas a donación y se ejecutó la baja de activos dañados en el ARDS Huetar Norte. Además, se ejecutaron bajas de activos por destrucción en la</w:t>
      </w:r>
      <w:r>
        <w:rPr>
          <w:spacing w:val="-1"/>
        </w:rPr>
        <w:t> </w:t>
      </w:r>
      <w:r>
        <w:rPr/>
        <w:t>Regional de Puntarenas y</w:t>
      </w:r>
      <w:r>
        <w:rPr>
          <w:spacing w:val="-1"/>
        </w:rPr>
        <w:t> </w:t>
      </w:r>
      <w:r>
        <w:rPr/>
        <w:t>sus ULDS. Además, se</w:t>
      </w:r>
      <w:r>
        <w:rPr>
          <w:spacing w:val="-1"/>
        </w:rPr>
        <w:t> </w:t>
      </w:r>
      <w:r>
        <w:rPr/>
        <w:t>realizó la baja correspondiente sobre</w:t>
      </w:r>
      <w:r>
        <w:rPr>
          <w:spacing w:val="-14"/>
        </w:rPr>
        <w:t> </w:t>
      </w:r>
      <w:r>
        <w:rPr/>
        <w:t>los</w:t>
      </w:r>
      <w:r>
        <w:rPr>
          <w:spacing w:val="-11"/>
        </w:rPr>
        <w:t> </w:t>
      </w:r>
      <w:r>
        <w:rPr/>
        <w:t>activos</w:t>
      </w:r>
      <w:r>
        <w:rPr>
          <w:spacing w:val="-11"/>
        </w:rPr>
        <w:t> </w:t>
      </w:r>
      <w:r>
        <w:rPr/>
        <w:t>identificados</w:t>
      </w:r>
      <w:r>
        <w:rPr>
          <w:spacing w:val="-11"/>
        </w:rPr>
        <w:t> </w:t>
      </w:r>
      <w:r>
        <w:rPr/>
        <w:t>como</w:t>
      </w:r>
      <w:r>
        <w:rPr>
          <w:spacing w:val="-11"/>
        </w:rPr>
        <w:t> </w:t>
      </w:r>
      <w:r>
        <w:rPr/>
        <w:t>faltantes</w:t>
      </w:r>
      <w:r>
        <w:rPr>
          <w:spacing w:val="-11"/>
        </w:rPr>
        <w:t> </w:t>
      </w:r>
      <w:r>
        <w:rPr/>
        <w:t>en</w:t>
      </w:r>
      <w:r>
        <w:rPr>
          <w:spacing w:val="-12"/>
        </w:rPr>
        <w:t> </w:t>
      </w:r>
      <w:r>
        <w:rPr/>
        <w:t>la</w:t>
      </w:r>
      <w:r>
        <w:rPr>
          <w:spacing w:val="-13"/>
        </w:rPr>
        <w:t> </w:t>
      </w:r>
      <w:r>
        <w:rPr/>
        <w:t>toma</w:t>
      </w:r>
      <w:r>
        <w:rPr>
          <w:spacing w:val="-14"/>
        </w:rPr>
        <w:t> </w:t>
      </w:r>
      <w:r>
        <w:rPr/>
        <w:t>anual</w:t>
      </w:r>
      <w:r>
        <w:rPr>
          <w:spacing w:val="-12"/>
        </w:rPr>
        <w:t> </w:t>
      </w:r>
      <w:r>
        <w:rPr/>
        <w:t>de</w:t>
      </w:r>
      <w:r>
        <w:rPr>
          <w:spacing w:val="-13"/>
        </w:rPr>
        <w:t> </w:t>
      </w:r>
      <w:r>
        <w:rPr/>
        <w:t>activos</w:t>
      </w:r>
      <w:r>
        <w:rPr>
          <w:spacing w:val="-10"/>
        </w:rPr>
        <w:t> </w:t>
      </w:r>
      <w:r>
        <w:rPr/>
        <w:t>para</w:t>
      </w:r>
      <w:r>
        <w:rPr>
          <w:spacing w:val="-12"/>
        </w:rPr>
        <w:t> </w:t>
      </w:r>
      <w:r>
        <w:rPr/>
        <w:t>este</w:t>
      </w:r>
      <w:r>
        <w:rPr>
          <w:spacing w:val="-12"/>
        </w:rPr>
        <w:t> </w:t>
      </w:r>
      <w:r>
        <w:rPr/>
        <w:t>periodo.</w:t>
      </w:r>
      <w:r>
        <w:rPr>
          <w:spacing w:val="-12"/>
        </w:rPr>
        <w:t> </w:t>
      </w:r>
      <w:r>
        <w:rPr/>
        <w:t>Se</w:t>
      </w:r>
      <w:r>
        <w:rPr>
          <w:spacing w:val="-13"/>
        </w:rPr>
        <w:t> </w:t>
      </w:r>
      <w:r>
        <w:rPr/>
        <w:t>realizaron traslados de activos, con el objetivo de corregir la clasificación asignada en registros anteriores</w:t>
      </w:r>
    </w:p>
    <w:p>
      <w:pPr>
        <w:pStyle w:val="BodyText"/>
        <w:spacing w:before="199"/>
        <w:ind w:left="691" w:right="818"/>
        <w:jc w:val="both"/>
      </w:pPr>
      <w:r>
        <w:rPr/>
        <w:t>A nivel general se identificaron bajas de activos con pérdida por un monto de ¢ 8.142,07 miles de colones y bajas en la cuenta de Tierras y terrenos por un monto de ¢407.250,40 miles de colones.</w:t>
      </w:r>
    </w:p>
    <w:p>
      <w:pPr>
        <w:pStyle w:val="BodyText"/>
        <w:spacing w:before="163"/>
        <w:ind w:left="691"/>
        <w:jc w:val="both"/>
      </w:pPr>
      <w:r>
        <w:rPr/>
        <w:t>A</w:t>
      </w:r>
      <w:r>
        <w:rPr>
          <w:spacing w:val="-3"/>
        </w:rPr>
        <w:t> </w:t>
      </w:r>
      <w:r>
        <w:rPr/>
        <w:t>continuación,</w:t>
      </w:r>
      <w:r>
        <w:rPr>
          <w:spacing w:val="-5"/>
        </w:rPr>
        <w:t> </w:t>
      </w:r>
      <w:r>
        <w:rPr/>
        <w:t>se</w:t>
      </w:r>
      <w:r>
        <w:rPr>
          <w:spacing w:val="-3"/>
        </w:rPr>
        <w:t> </w:t>
      </w:r>
      <w:r>
        <w:rPr/>
        <w:t>presenta</w:t>
      </w:r>
      <w:r>
        <w:rPr>
          <w:spacing w:val="-5"/>
        </w:rPr>
        <w:t> </w:t>
      </w:r>
      <w:r>
        <w:rPr/>
        <w:t>el</w:t>
      </w:r>
      <w:r>
        <w:rPr>
          <w:spacing w:val="-3"/>
        </w:rPr>
        <w:t> </w:t>
      </w:r>
      <w:r>
        <w:rPr/>
        <w:t>detalle</w:t>
      </w:r>
      <w:r>
        <w:rPr>
          <w:spacing w:val="-5"/>
        </w:rPr>
        <w:t> </w:t>
      </w:r>
      <w:r>
        <w:rPr/>
        <w:t>de</w:t>
      </w:r>
      <w:r>
        <w:rPr>
          <w:spacing w:val="-3"/>
        </w:rPr>
        <w:t> </w:t>
      </w:r>
      <w:r>
        <w:rPr/>
        <w:t>la</w:t>
      </w:r>
      <w:r>
        <w:rPr>
          <w:spacing w:val="-4"/>
        </w:rPr>
        <w:t> </w:t>
      </w:r>
      <w:r>
        <w:rPr>
          <w:spacing w:val="-2"/>
        </w:rPr>
        <w:t>cuenta:</w:t>
      </w:r>
    </w:p>
    <w:p>
      <w:pPr>
        <w:pStyle w:val="ListParagraph"/>
        <w:numPr>
          <w:ilvl w:val="0"/>
          <w:numId w:val="64"/>
        </w:numPr>
        <w:tabs>
          <w:tab w:pos="2130" w:val="left" w:leader="none"/>
        </w:tabs>
        <w:spacing w:line="240" w:lineRule="auto" w:before="159" w:after="0"/>
        <w:ind w:left="2130" w:right="0" w:hanging="359"/>
        <w:jc w:val="left"/>
        <w:rPr>
          <w:sz w:val="22"/>
        </w:rPr>
      </w:pPr>
      <w:r>
        <w:rPr>
          <w:sz w:val="22"/>
        </w:rPr>
        <w:t>Bajas</w:t>
      </w:r>
      <w:r>
        <w:rPr>
          <w:spacing w:val="-2"/>
          <w:sz w:val="22"/>
        </w:rPr>
        <w:t> </w:t>
      </w:r>
      <w:r>
        <w:rPr>
          <w:sz w:val="22"/>
        </w:rPr>
        <w:t>de</w:t>
      </w:r>
      <w:r>
        <w:rPr>
          <w:spacing w:val="-3"/>
          <w:sz w:val="22"/>
        </w:rPr>
        <w:t> </w:t>
      </w:r>
      <w:r>
        <w:rPr>
          <w:sz w:val="22"/>
        </w:rPr>
        <w:t>activos</w:t>
      </w:r>
      <w:r>
        <w:rPr>
          <w:spacing w:val="-2"/>
          <w:sz w:val="22"/>
        </w:rPr>
        <w:t> </w:t>
      </w:r>
      <w:r>
        <w:rPr>
          <w:sz w:val="22"/>
        </w:rPr>
        <w:t>con</w:t>
      </w:r>
      <w:r>
        <w:rPr>
          <w:spacing w:val="-3"/>
          <w:sz w:val="22"/>
        </w:rPr>
        <w:t> </w:t>
      </w:r>
      <w:r>
        <w:rPr>
          <w:sz w:val="22"/>
        </w:rPr>
        <w:t>pérdida</w:t>
      </w:r>
      <w:r>
        <w:rPr>
          <w:spacing w:val="-3"/>
          <w:sz w:val="22"/>
        </w:rPr>
        <w:t> </w:t>
      </w:r>
      <w:r>
        <w:rPr>
          <w:sz w:val="22"/>
        </w:rPr>
        <w:t>por</w:t>
      </w:r>
      <w:r>
        <w:rPr>
          <w:spacing w:val="-3"/>
          <w:sz w:val="22"/>
        </w:rPr>
        <w:t> </w:t>
      </w:r>
      <w:r>
        <w:rPr>
          <w:sz w:val="22"/>
        </w:rPr>
        <w:t>un</w:t>
      </w:r>
      <w:r>
        <w:rPr>
          <w:spacing w:val="-5"/>
          <w:sz w:val="22"/>
        </w:rPr>
        <w:t> </w:t>
      </w:r>
      <w:r>
        <w:rPr>
          <w:sz w:val="22"/>
        </w:rPr>
        <w:t>monto</w:t>
      </w:r>
      <w:r>
        <w:rPr>
          <w:spacing w:val="-3"/>
          <w:sz w:val="22"/>
        </w:rPr>
        <w:t> </w:t>
      </w:r>
      <w:r>
        <w:rPr>
          <w:sz w:val="22"/>
        </w:rPr>
        <w:t>de</w:t>
      </w:r>
      <w:r>
        <w:rPr>
          <w:spacing w:val="-3"/>
          <w:sz w:val="22"/>
        </w:rPr>
        <w:t> </w:t>
      </w:r>
      <w:r>
        <w:rPr>
          <w:sz w:val="22"/>
        </w:rPr>
        <w:t>¢8.142,07</w:t>
      </w:r>
      <w:r>
        <w:rPr>
          <w:spacing w:val="-4"/>
          <w:sz w:val="22"/>
        </w:rPr>
        <w:t> </w:t>
      </w:r>
      <w:r>
        <w:rPr>
          <w:sz w:val="22"/>
        </w:rPr>
        <w:t>miles</w:t>
      </w:r>
      <w:r>
        <w:rPr>
          <w:spacing w:val="-2"/>
          <w:sz w:val="22"/>
        </w:rPr>
        <w:t> </w:t>
      </w:r>
      <w:r>
        <w:rPr>
          <w:sz w:val="22"/>
        </w:rPr>
        <w:t>de</w:t>
      </w:r>
      <w:r>
        <w:rPr>
          <w:spacing w:val="-2"/>
          <w:sz w:val="22"/>
        </w:rPr>
        <w:t> colones:</w:t>
      </w:r>
    </w:p>
    <w:p>
      <w:pPr>
        <w:pStyle w:val="ListParagraph"/>
        <w:spacing w:after="0" w:line="240" w:lineRule="auto"/>
        <w:jc w:val="left"/>
        <w:rPr>
          <w:sz w:val="22"/>
        </w:rPr>
        <w:sectPr>
          <w:pgSz w:w="12240" w:h="15840"/>
          <w:pgMar w:top="1720" w:bottom="280" w:left="1080" w:right="720"/>
        </w:sectPr>
      </w:pPr>
    </w:p>
    <w:p>
      <w:pPr>
        <w:pStyle w:val="Heading1"/>
        <w:spacing w:line="355" w:lineRule="exact"/>
        <w:ind w:left="4537"/>
      </w:pPr>
      <w:r>
        <w:rPr/>
        <w:drawing>
          <wp:anchor distT="0" distB="0" distL="0" distR="0" allowOverlap="1" layoutInCell="1" locked="0" behindDoc="0" simplePos="0" relativeHeight="15884800">
            <wp:simplePos x="0" y="0"/>
            <wp:positionH relativeFrom="page">
              <wp:posOffset>2805505</wp:posOffset>
            </wp:positionH>
            <wp:positionV relativeFrom="paragraph">
              <wp:posOffset>90270</wp:posOffset>
            </wp:positionV>
            <wp:extent cx="674664" cy="637804"/>
            <wp:effectExtent l="0" t="0" r="0" b="0"/>
            <wp:wrapNone/>
            <wp:docPr id="761" name="Image 761"/>
            <wp:cNvGraphicFramePr>
              <a:graphicFrameLocks/>
            </wp:cNvGraphicFramePr>
            <a:graphic>
              <a:graphicData uri="http://schemas.openxmlformats.org/drawingml/2006/picture">
                <pic:pic>
                  <pic:nvPicPr>
                    <pic:cNvPr id="761" name="Image 761"/>
                    <pic:cNvPicPr/>
                  </pic:nvPicPr>
                  <pic:blipFill>
                    <a:blip r:embed="rId92" cstate="print"/>
                    <a:stretch>
                      <a:fillRect/>
                    </a:stretch>
                  </pic:blipFill>
                  <pic:spPr>
                    <a:xfrm>
                      <a:off x="0" y="0"/>
                      <a:ext cx="674664" cy="637804"/>
                    </a:xfrm>
                    <a:prstGeom prst="rect">
                      <a:avLst/>
                    </a:prstGeom>
                  </pic:spPr>
                </pic:pic>
              </a:graphicData>
            </a:graphic>
          </wp:anchor>
        </w:drawing>
      </w:r>
      <w:r>
        <w:rPr>
          <w:color w:val="0F2459"/>
          <w:spacing w:val="-2"/>
          <w:w w:val="105"/>
        </w:rPr>
        <w:t>INSTITUTO</w:t>
      </w:r>
    </w:p>
    <w:p>
      <w:pPr>
        <w:pStyle w:val="Heading3"/>
      </w:pPr>
      <w:r>
        <w:rPr>
          <w:color w:val="283B6B"/>
          <w:w w:val="105"/>
        </w:rPr>
        <w:t>MIXTO</w:t>
      </w:r>
      <w:r>
        <w:rPr>
          <w:color w:val="283B6B"/>
          <w:spacing w:val="37"/>
          <w:w w:val="105"/>
        </w:rPr>
        <w:t> </w:t>
      </w:r>
      <w:r>
        <w:rPr>
          <w:color w:val="283B6B"/>
          <w:w w:val="105"/>
        </w:rPr>
        <w:t>DE</w:t>
      </w:r>
      <w:r>
        <w:rPr>
          <w:color w:val="283B6B"/>
          <w:spacing w:val="20"/>
          <w:w w:val="105"/>
        </w:rPr>
        <w:t> </w:t>
      </w:r>
      <w:r>
        <w:rPr>
          <w:color w:val="283B6B"/>
          <w:spacing w:val="-2"/>
          <w:w w:val="105"/>
        </w:rPr>
        <w:t>AYUDA</w:t>
      </w:r>
    </w:p>
    <w:p>
      <w:pPr>
        <w:pStyle w:val="BodyText"/>
        <w:spacing w:line="232" w:lineRule="exact"/>
        <w:ind w:left="4535"/>
        <w:rPr>
          <w:rFonts w:ascii="Times New Roman"/>
        </w:rPr>
      </w:pPr>
      <w:r>
        <w:rPr>
          <w:rFonts w:ascii="Times New Roman"/>
        </w:rPr>
        <mc:AlternateContent>
          <mc:Choice Requires="wps">
            <w:drawing>
              <wp:anchor distT="0" distB="0" distL="0" distR="0" allowOverlap="1" layoutInCell="1" locked="0" behindDoc="1" simplePos="0" relativeHeight="487742976">
                <wp:simplePos x="0" y="0"/>
                <wp:positionH relativeFrom="page">
                  <wp:posOffset>3565649</wp:posOffset>
                </wp:positionH>
                <wp:positionV relativeFrom="paragraph">
                  <wp:posOffset>181618</wp:posOffset>
                </wp:positionV>
                <wp:extent cx="1416685" cy="1270"/>
                <wp:effectExtent l="0" t="0" r="0" b="0"/>
                <wp:wrapTopAndBottom/>
                <wp:docPr id="762" name="Graphic 762"/>
                <wp:cNvGraphicFramePr>
                  <a:graphicFrameLocks/>
                </wp:cNvGraphicFramePr>
                <a:graphic>
                  <a:graphicData uri="http://schemas.microsoft.com/office/word/2010/wordprocessingShape">
                    <wps:wsp>
                      <wps:cNvPr id="762" name="Graphic 762"/>
                      <wps:cNvSpPr/>
                      <wps:spPr>
                        <a:xfrm>
                          <a:off x="0" y="0"/>
                          <a:ext cx="1416685" cy="1270"/>
                        </a:xfrm>
                        <a:custGeom>
                          <a:avLst/>
                          <a:gdLst/>
                          <a:ahLst/>
                          <a:cxnLst/>
                          <a:rect l="l" t="t" r="r" b="b"/>
                          <a:pathLst>
                            <a:path w="1416685" h="0">
                              <a:moveTo>
                                <a:pt x="0" y="0"/>
                              </a:moveTo>
                              <a:lnTo>
                                <a:pt x="141649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759827pt;margin-top:14.300653pt;width:111.55pt;height:.1pt;mso-position-horizontal-relative:page;mso-position-vertical-relative:paragraph;z-index:-15573504;mso-wrap-distance-left:0;mso-wrap-distance-right:0" id="docshape739" coordorigin="5615,286" coordsize="2231,0" path="m5615,286l7846,286e" filled="false" stroked="true" strokeweight=".240291pt" strokecolor="#000000">
                <v:path arrowok="t"/>
                <v:stroke dashstyle="solid"/>
                <w10:wrap type="topAndBottom"/>
              </v:shape>
            </w:pict>
          </mc:Fallback>
        </mc:AlternateContent>
      </w:r>
      <w:r>
        <w:rPr>
          <w:rFonts w:ascii="Times New Roman"/>
          <w:color w:val="3D4D77"/>
          <w:spacing w:val="-2"/>
          <w:w w:val="105"/>
        </w:rPr>
        <w:t>SOCIAL</w:t>
      </w:r>
    </w:p>
    <w:p>
      <w:pPr>
        <w:spacing w:before="55"/>
        <w:ind w:left="4538" w:right="0" w:firstLine="0"/>
        <w:jc w:val="left"/>
        <w:rPr>
          <w:rFonts w:ascii="Times New Roman"/>
          <w:b/>
          <w:sz w:val="16"/>
        </w:rPr>
      </w:pPr>
      <w:r>
        <w:rPr>
          <w:rFonts w:ascii="Times New Roman"/>
          <w:b/>
          <w:color w:val="283B6B"/>
          <w:sz w:val="16"/>
        </w:rPr>
        <w:t>G</w:t>
      </w:r>
      <w:r>
        <w:rPr>
          <w:rFonts w:ascii="Times New Roman"/>
          <w:b/>
          <w:color w:val="0F2459"/>
          <w:sz w:val="16"/>
        </w:rPr>
        <w:t>OB</w:t>
      </w:r>
      <w:r>
        <w:rPr>
          <w:rFonts w:ascii="Times New Roman"/>
          <w:b/>
          <w:color w:val="283B6B"/>
          <w:sz w:val="16"/>
        </w:rPr>
        <w:t>IERN</w:t>
      </w:r>
      <w:r>
        <w:rPr>
          <w:rFonts w:ascii="Times New Roman"/>
          <w:b/>
          <w:color w:val="0F2459"/>
          <w:sz w:val="16"/>
        </w:rPr>
        <w:t>O</w:t>
      </w:r>
      <w:r>
        <w:rPr>
          <w:rFonts w:ascii="Times New Roman"/>
          <w:b/>
          <w:color w:val="0F2459"/>
          <w:spacing w:val="12"/>
          <w:sz w:val="16"/>
        </w:rPr>
        <w:t> </w:t>
      </w:r>
      <w:r>
        <w:rPr>
          <w:rFonts w:ascii="Times New Roman"/>
          <w:color w:val="0F2459"/>
          <w:sz w:val="17"/>
        </w:rPr>
        <w:t>D</w:t>
      </w:r>
      <w:r>
        <w:rPr>
          <w:rFonts w:ascii="Times New Roman"/>
          <w:color w:val="283B6B"/>
          <w:sz w:val="17"/>
        </w:rPr>
        <w:t>E</w:t>
      </w:r>
      <w:r>
        <w:rPr>
          <w:rFonts w:ascii="Times New Roman"/>
          <w:color w:val="283B6B"/>
          <w:spacing w:val="-4"/>
          <w:sz w:val="17"/>
        </w:rPr>
        <w:t> </w:t>
      </w:r>
      <w:r>
        <w:rPr>
          <w:rFonts w:ascii="Times New Roman"/>
          <w:b/>
          <w:color w:val="0F2459"/>
          <w:sz w:val="16"/>
        </w:rPr>
        <w:t>CO</w:t>
      </w:r>
      <w:r>
        <w:rPr>
          <w:rFonts w:ascii="Times New Roman"/>
          <w:b/>
          <w:color w:val="283B6B"/>
          <w:sz w:val="16"/>
        </w:rPr>
        <w:t>STA</w:t>
      </w:r>
      <w:r>
        <w:rPr>
          <w:rFonts w:ascii="Times New Roman"/>
          <w:b/>
          <w:color w:val="283B6B"/>
          <w:spacing w:val="5"/>
          <w:sz w:val="16"/>
        </w:rPr>
        <w:t> </w:t>
      </w:r>
      <w:r>
        <w:rPr>
          <w:rFonts w:ascii="Times New Roman"/>
          <w:b/>
          <w:color w:val="283B6B"/>
          <w:spacing w:val="-4"/>
          <w:sz w:val="16"/>
        </w:rPr>
        <w:t>RI</w:t>
      </w:r>
      <w:r>
        <w:rPr>
          <w:rFonts w:ascii="Times New Roman"/>
          <w:b/>
          <w:color w:val="0F2459"/>
          <w:spacing w:val="-4"/>
          <w:sz w:val="16"/>
        </w:rPr>
        <w:t>C</w:t>
      </w:r>
      <w:r>
        <w:rPr>
          <w:rFonts w:ascii="Times New Roman"/>
          <w:b/>
          <w:color w:val="283B6B"/>
          <w:spacing w:val="-4"/>
          <w:sz w:val="16"/>
        </w:rPr>
        <w:t>A</w:t>
      </w:r>
    </w:p>
    <w:p>
      <w:pPr>
        <w:pStyle w:val="BodyText"/>
        <w:spacing w:before="78"/>
        <w:rPr>
          <w:rFonts w:ascii="Times New Roman"/>
          <w:b/>
          <w:sz w:val="20"/>
        </w:rPr>
      </w:pPr>
    </w:p>
    <w:p>
      <w:pPr>
        <w:tabs>
          <w:tab w:pos="9515" w:val="left" w:leader="none"/>
        </w:tabs>
        <w:spacing w:before="1"/>
        <w:ind w:left="593" w:right="0" w:firstLine="0"/>
        <w:jc w:val="left"/>
        <w:rPr>
          <w:sz w:val="20"/>
        </w:rPr>
      </w:pPr>
      <w:r>
        <w:rPr>
          <w:sz w:val="20"/>
        </w:rPr>
        <mc:AlternateContent>
          <mc:Choice Requires="wps">
            <w:drawing>
              <wp:anchor distT="0" distB="0" distL="0" distR="0" allowOverlap="1" layoutInCell="1" locked="0" behindDoc="1" simplePos="0" relativeHeight="473681408">
                <wp:simplePos x="0" y="0"/>
                <wp:positionH relativeFrom="page">
                  <wp:posOffset>1074579</wp:posOffset>
                </wp:positionH>
                <wp:positionV relativeFrom="paragraph">
                  <wp:posOffset>263343</wp:posOffset>
                </wp:positionV>
                <wp:extent cx="5788660" cy="6741795"/>
                <wp:effectExtent l="0" t="0" r="0" b="0"/>
                <wp:wrapNone/>
                <wp:docPr id="763" name="Group 763"/>
                <wp:cNvGraphicFramePr>
                  <a:graphicFrameLocks/>
                </wp:cNvGraphicFramePr>
                <a:graphic>
                  <a:graphicData uri="http://schemas.microsoft.com/office/word/2010/wordprocessingGroup">
                    <wpg:wgp>
                      <wpg:cNvPr id="763" name="Group 763"/>
                      <wpg:cNvGrpSpPr/>
                      <wpg:grpSpPr>
                        <a:xfrm>
                          <a:off x="0" y="0"/>
                          <a:ext cx="5788660" cy="6741795"/>
                          <a:chExt cx="5788660" cy="6741795"/>
                        </a:xfrm>
                      </wpg:grpSpPr>
                      <wps:wsp>
                        <wps:cNvPr id="764" name="Graphic 764"/>
                        <wps:cNvSpPr/>
                        <wps:spPr>
                          <a:xfrm>
                            <a:off x="6105" y="3051"/>
                            <a:ext cx="1270" cy="6738620"/>
                          </a:xfrm>
                          <a:custGeom>
                            <a:avLst/>
                            <a:gdLst/>
                            <a:ahLst/>
                            <a:cxnLst/>
                            <a:rect l="l" t="t" r="r" b="b"/>
                            <a:pathLst>
                              <a:path w="0" h="6738620">
                                <a:moveTo>
                                  <a:pt x="0" y="673814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765" name="Graphic 765"/>
                        <wps:cNvSpPr/>
                        <wps:spPr>
                          <a:xfrm>
                            <a:off x="0" y="3051"/>
                            <a:ext cx="5788660" cy="6738620"/>
                          </a:xfrm>
                          <a:custGeom>
                            <a:avLst/>
                            <a:gdLst/>
                            <a:ahLst/>
                            <a:cxnLst/>
                            <a:rect l="l" t="t" r="r" b="b"/>
                            <a:pathLst>
                              <a:path w="5788660" h="6738620">
                                <a:moveTo>
                                  <a:pt x="5772811" y="6738140"/>
                                </a:moveTo>
                                <a:lnTo>
                                  <a:pt x="5772811" y="0"/>
                                </a:lnTo>
                              </a:path>
                              <a:path w="5788660" h="6738620">
                                <a:moveTo>
                                  <a:pt x="0" y="0"/>
                                </a:moveTo>
                                <a:lnTo>
                                  <a:pt x="5788075" y="0"/>
                                </a:lnTo>
                              </a:path>
                              <a:path w="5788660" h="6738620">
                                <a:moveTo>
                                  <a:pt x="0" y="6732037"/>
                                </a:moveTo>
                                <a:lnTo>
                                  <a:pt x="5788075" y="6732037"/>
                                </a:lnTo>
                              </a:path>
                            </a:pathLst>
                          </a:custGeom>
                          <a:ln w="6104">
                            <a:solidFill>
                              <a:srgbClr val="000000"/>
                            </a:solidFill>
                            <a:prstDash val="solid"/>
                          </a:ln>
                        </wps:spPr>
                        <wps:bodyPr wrap="square" lIns="0" tIns="0" rIns="0" bIns="0" rtlCol="0">
                          <a:prstTxWarp prst="textNoShape">
                            <a:avLst/>
                          </a:prstTxWarp>
                          <a:noAutofit/>
                        </wps:bodyPr>
                      </wps:wsp>
                      <wps:wsp>
                        <wps:cNvPr id="766" name="Textbox 766"/>
                        <wps:cNvSpPr txBox="1"/>
                        <wps:spPr>
                          <a:xfrm>
                            <a:off x="1275043" y="379314"/>
                            <a:ext cx="645795" cy="1014730"/>
                          </a:xfrm>
                          <a:prstGeom prst="rect">
                            <a:avLst/>
                          </a:prstGeom>
                        </wps:spPr>
                        <wps:txbx>
                          <w:txbxContent>
                            <w:p>
                              <w:pPr>
                                <w:spacing w:line="177" w:lineRule="exact" w:before="0"/>
                                <w:ind w:left="0" w:right="0" w:firstLine="0"/>
                                <w:jc w:val="left"/>
                                <w:rPr>
                                  <w:rFonts w:ascii="Times New Roman"/>
                                  <w:b/>
                                  <w:sz w:val="16"/>
                                </w:rPr>
                              </w:pPr>
                              <w:r>
                                <w:rPr>
                                  <w:rFonts w:ascii="Times New Roman"/>
                                  <w:b/>
                                  <w:color w:val="2F2D31"/>
                                  <w:w w:val="105"/>
                                  <w:sz w:val="16"/>
                                </w:rPr>
                                <w:t>Cuenta</w:t>
                              </w:r>
                              <w:r>
                                <w:rPr>
                                  <w:rFonts w:ascii="Times New Roman"/>
                                  <w:b/>
                                  <w:color w:val="2F2D31"/>
                                  <w:spacing w:val="6"/>
                                  <w:w w:val="105"/>
                                  <w:sz w:val="16"/>
                                </w:rPr>
                                <w:t> </w:t>
                              </w:r>
                              <w:r>
                                <w:rPr>
                                  <w:rFonts w:ascii="Times New Roman"/>
                                  <w:b/>
                                  <w:color w:val="2F2D31"/>
                                  <w:spacing w:val="-2"/>
                                  <w:w w:val="105"/>
                                  <w:sz w:val="16"/>
                                </w:rPr>
                                <w:t>Gasto</w:t>
                              </w:r>
                            </w:p>
                            <w:p>
                              <w:pPr>
                                <w:spacing w:before="42"/>
                                <w:ind w:left="116" w:right="0" w:firstLine="0"/>
                                <w:jc w:val="left"/>
                                <w:rPr>
                                  <w:rFonts w:ascii="Times New Roman"/>
                                  <w:sz w:val="17"/>
                                </w:rPr>
                              </w:pPr>
                              <w:r>
                                <w:rPr>
                                  <w:rFonts w:ascii="Times New Roman"/>
                                  <w:color w:val="2F2D31"/>
                                  <w:spacing w:val="-2"/>
                                  <w:sz w:val="17"/>
                                </w:rPr>
                                <w:t>1.2</w:t>
                              </w:r>
                              <w:r>
                                <w:rPr>
                                  <w:rFonts w:ascii="Times New Roman"/>
                                  <w:color w:val="565659"/>
                                  <w:spacing w:val="-2"/>
                                  <w:sz w:val="17"/>
                                </w:rPr>
                                <w:t>.5.01.05</w:t>
                              </w:r>
                            </w:p>
                            <w:p>
                              <w:pPr>
                                <w:spacing w:before="40"/>
                                <w:ind w:left="116" w:right="0" w:firstLine="0"/>
                                <w:jc w:val="left"/>
                                <w:rPr>
                                  <w:rFonts w:ascii="Times New Roman"/>
                                  <w:sz w:val="17"/>
                                </w:rPr>
                              </w:pPr>
                              <w:r>
                                <w:rPr>
                                  <w:rFonts w:ascii="Times New Roman"/>
                                  <w:color w:val="2F2D31"/>
                                  <w:spacing w:val="-2"/>
                                  <w:sz w:val="17"/>
                                </w:rPr>
                                <w:t>1.2.</w:t>
                              </w:r>
                              <w:r>
                                <w:rPr>
                                  <w:rFonts w:ascii="Times New Roman"/>
                                  <w:color w:val="565659"/>
                                  <w:spacing w:val="-2"/>
                                  <w:sz w:val="17"/>
                                </w:rPr>
                                <w:t>5</w:t>
                              </w:r>
                              <w:r>
                                <w:rPr>
                                  <w:rFonts w:ascii="Times New Roman"/>
                                  <w:color w:val="2F2D31"/>
                                  <w:spacing w:val="-2"/>
                                  <w:sz w:val="17"/>
                                </w:rPr>
                                <w:t>.</w:t>
                              </w:r>
                              <w:r>
                                <w:rPr>
                                  <w:rFonts w:ascii="Times New Roman"/>
                                  <w:color w:val="565659"/>
                                  <w:spacing w:val="-2"/>
                                  <w:sz w:val="17"/>
                                </w:rPr>
                                <w:t>0</w:t>
                              </w:r>
                              <w:r>
                                <w:rPr>
                                  <w:rFonts w:ascii="Times New Roman"/>
                                  <w:color w:val="2F2D31"/>
                                  <w:spacing w:val="-2"/>
                                  <w:sz w:val="17"/>
                                </w:rPr>
                                <w:t>1.0..J.</w:t>
                              </w:r>
                            </w:p>
                            <w:p>
                              <w:pPr>
                                <w:spacing w:before="155"/>
                                <w:ind w:left="116" w:right="0" w:firstLine="0"/>
                                <w:jc w:val="left"/>
                                <w:rPr>
                                  <w:rFonts w:ascii="Times New Roman"/>
                                  <w:sz w:val="17"/>
                                </w:rPr>
                              </w:pPr>
                              <w:r>
                                <w:rPr>
                                  <w:rFonts w:ascii="Times New Roman"/>
                                  <w:color w:val="1A181C"/>
                                  <w:spacing w:val="-2"/>
                                  <w:sz w:val="17"/>
                                </w:rPr>
                                <w:t>1.</w:t>
                              </w:r>
                              <w:r>
                                <w:rPr>
                                  <w:rFonts w:ascii="Times New Roman"/>
                                  <w:color w:val="464246"/>
                                  <w:spacing w:val="-2"/>
                                  <w:sz w:val="17"/>
                                </w:rPr>
                                <w:t>2.5</w:t>
                              </w:r>
                              <w:r>
                                <w:rPr>
                                  <w:rFonts w:ascii="Times New Roman"/>
                                  <w:color w:val="1A181C"/>
                                  <w:spacing w:val="-2"/>
                                  <w:sz w:val="17"/>
                                </w:rPr>
                                <w:t>.</w:t>
                              </w:r>
                              <w:r>
                                <w:rPr>
                                  <w:rFonts w:ascii="Times New Roman"/>
                                  <w:color w:val="464246"/>
                                  <w:spacing w:val="-2"/>
                                  <w:sz w:val="17"/>
                                </w:rPr>
                                <w:t>01.06</w:t>
                              </w:r>
                            </w:p>
                            <w:p>
                              <w:pPr>
                                <w:spacing w:before="160"/>
                                <w:ind w:left="116" w:right="0" w:firstLine="0"/>
                                <w:jc w:val="left"/>
                                <w:rPr>
                                  <w:rFonts w:ascii="Times New Roman"/>
                                  <w:sz w:val="17"/>
                                </w:rPr>
                              </w:pPr>
                              <w:r>
                                <w:rPr>
                                  <w:rFonts w:ascii="Times New Roman"/>
                                  <w:color w:val="1A181C"/>
                                  <w:spacing w:val="-2"/>
                                  <w:sz w:val="17"/>
                                </w:rPr>
                                <w:t>1.</w:t>
                              </w:r>
                              <w:r>
                                <w:rPr>
                                  <w:rFonts w:ascii="Times New Roman"/>
                                  <w:color w:val="565659"/>
                                  <w:spacing w:val="-2"/>
                                  <w:sz w:val="17"/>
                                </w:rPr>
                                <w:t>2.5</w:t>
                              </w:r>
                              <w:r>
                                <w:rPr>
                                  <w:rFonts w:ascii="Times New Roman"/>
                                  <w:color w:val="1A181C"/>
                                  <w:spacing w:val="-2"/>
                                  <w:sz w:val="17"/>
                                </w:rPr>
                                <w:t>.</w:t>
                              </w:r>
                              <w:r>
                                <w:rPr>
                                  <w:rFonts w:ascii="Times New Roman"/>
                                  <w:color w:val="565659"/>
                                  <w:spacing w:val="-2"/>
                                  <w:sz w:val="17"/>
                                </w:rPr>
                                <w:t>0</w:t>
                              </w:r>
                              <w:r>
                                <w:rPr>
                                  <w:rFonts w:ascii="Times New Roman"/>
                                  <w:color w:val="2F2D31"/>
                                  <w:spacing w:val="-2"/>
                                  <w:sz w:val="17"/>
                                </w:rPr>
                                <w:t>1.07</w:t>
                              </w:r>
                            </w:p>
                            <w:p>
                              <w:pPr>
                                <w:spacing w:before="45"/>
                                <w:ind w:left="116" w:right="0" w:firstLine="0"/>
                                <w:jc w:val="left"/>
                                <w:rPr>
                                  <w:rFonts w:ascii="Times New Roman"/>
                                  <w:sz w:val="17"/>
                                </w:rPr>
                              </w:pPr>
                              <w:r>
                                <w:rPr>
                                  <w:rFonts w:ascii="Times New Roman"/>
                                  <w:color w:val="1A181C"/>
                                  <w:spacing w:val="-2"/>
                                  <w:sz w:val="17"/>
                                </w:rPr>
                                <w:t>1.</w:t>
                              </w:r>
                              <w:r>
                                <w:rPr>
                                  <w:rFonts w:ascii="Times New Roman"/>
                                  <w:color w:val="464246"/>
                                  <w:spacing w:val="-2"/>
                                  <w:sz w:val="17"/>
                                </w:rPr>
                                <w:t>2.5.01.08</w:t>
                              </w:r>
                            </w:p>
                          </w:txbxContent>
                        </wps:txbx>
                        <wps:bodyPr wrap="square" lIns="0" tIns="0" rIns="0" bIns="0" rtlCol="0">
                          <a:noAutofit/>
                        </wps:bodyPr>
                      </wps:wsp>
                      <wps:wsp>
                        <wps:cNvPr id="767" name="Textbox 767"/>
                        <wps:cNvSpPr txBox="1"/>
                        <wps:spPr>
                          <a:xfrm>
                            <a:off x="1921414" y="71531"/>
                            <a:ext cx="1887855" cy="1621155"/>
                          </a:xfrm>
                          <a:prstGeom prst="rect">
                            <a:avLst/>
                          </a:prstGeom>
                        </wps:spPr>
                        <wps:txbx>
                          <w:txbxContent>
                            <w:p>
                              <w:pPr>
                                <w:spacing w:line="295" w:lineRule="auto" w:before="0"/>
                                <w:ind w:left="697" w:right="0" w:hanging="698"/>
                                <w:jc w:val="left"/>
                                <w:rPr>
                                  <w:rFonts w:ascii="Times New Roman" w:hAnsi="Times New Roman"/>
                                  <w:sz w:val="17"/>
                                </w:rPr>
                              </w:pPr>
                              <w:r>
                                <w:rPr>
                                  <w:rFonts w:ascii="Times New Roman" w:hAnsi="Times New Roman"/>
                                  <w:color w:val="2F2D31"/>
                                  <w:w w:val="105"/>
                                  <w:sz w:val="17"/>
                                </w:rPr>
                                <w:t>Bajas</w:t>
                              </w:r>
                              <w:r>
                                <w:rPr>
                                  <w:rFonts w:ascii="Times New Roman" w:hAnsi="Times New Roman"/>
                                  <w:color w:val="2F2D31"/>
                                  <w:spacing w:val="-5"/>
                                  <w:w w:val="105"/>
                                  <w:sz w:val="17"/>
                                </w:rPr>
                                <w:t> </w:t>
                              </w:r>
                              <w:r>
                                <w:rPr>
                                  <w:rFonts w:ascii="Times New Roman" w:hAnsi="Times New Roman"/>
                                  <w:color w:val="1A181C"/>
                                  <w:w w:val="105"/>
                                  <w:sz w:val="17"/>
                                </w:rPr>
                                <w:t>de </w:t>
                              </w:r>
                              <w:r>
                                <w:rPr>
                                  <w:rFonts w:ascii="Times New Roman" w:hAnsi="Times New Roman"/>
                                  <w:color w:val="2F2D31"/>
                                  <w:w w:val="105"/>
                                  <w:sz w:val="17"/>
                                </w:rPr>
                                <w:t>Activos por Clase con </w:t>
                              </w:r>
                              <w:r>
                                <w:rPr>
                                  <w:rFonts w:ascii="Times New Roman" w:hAnsi="Times New Roman"/>
                                  <w:color w:val="1A181C"/>
                                  <w:w w:val="105"/>
                                  <w:sz w:val="17"/>
                                </w:rPr>
                                <w:t>Pérdid</w:t>
                              </w:r>
                              <w:r>
                                <w:rPr>
                                  <w:rFonts w:ascii="Times New Roman" w:hAnsi="Times New Roman"/>
                                  <w:color w:val="464246"/>
                                  <w:w w:val="105"/>
                                  <w:sz w:val="17"/>
                                </w:rPr>
                                <w:t>as </w:t>
                              </w:r>
                              <w:r>
                                <w:rPr>
                                  <w:rFonts w:ascii="Times New Roman" w:hAnsi="Times New Roman"/>
                                  <w:color w:val="1A181C"/>
                                  <w:w w:val="105"/>
                                  <w:sz w:val="17"/>
                                </w:rPr>
                                <w:t>P</w:t>
                              </w:r>
                              <w:r>
                                <w:rPr>
                                  <w:rFonts w:ascii="Times New Roman" w:hAnsi="Times New Roman"/>
                                  <w:color w:val="464246"/>
                                  <w:w w:val="105"/>
                                  <w:sz w:val="17"/>
                                </w:rPr>
                                <w:t>er</w:t>
                              </w:r>
                              <w:r>
                                <w:rPr>
                                  <w:rFonts w:ascii="Times New Roman" w:hAnsi="Times New Roman"/>
                                  <w:color w:val="1A181C"/>
                                  <w:w w:val="105"/>
                                  <w:sz w:val="17"/>
                                </w:rPr>
                                <w:t>iodo </w:t>
                              </w:r>
                              <w:r>
                                <w:rPr>
                                  <w:rFonts w:ascii="Times New Roman" w:hAnsi="Times New Roman"/>
                                  <w:color w:val="2F2D31"/>
                                  <w:w w:val="105"/>
                                  <w:sz w:val="17"/>
                                </w:rPr>
                                <w:t>a</w:t>
                              </w:r>
                              <w:r>
                                <w:rPr>
                                  <w:rFonts w:ascii="Times New Roman" w:hAnsi="Times New Roman"/>
                                  <w:color w:val="2F2D31"/>
                                  <w:spacing w:val="40"/>
                                  <w:w w:val="105"/>
                                  <w:sz w:val="17"/>
                                </w:rPr>
                                <w:t> </w:t>
                              </w:r>
                              <w:r>
                                <w:rPr>
                                  <w:rFonts w:ascii="Arial" w:hAnsi="Arial"/>
                                  <w:i/>
                                  <w:color w:val="2F2D31"/>
                                  <w:w w:val="105"/>
                                  <w:sz w:val="17"/>
                                </w:rPr>
                                <w:t>Julio </w:t>
                              </w:r>
                              <w:r>
                                <w:rPr>
                                  <w:rFonts w:ascii="Times New Roman" w:hAnsi="Times New Roman"/>
                                  <w:color w:val="2F2D31"/>
                                  <w:w w:val="105"/>
                                  <w:sz w:val="17"/>
                                </w:rPr>
                                <w:t>2026</w:t>
                              </w:r>
                            </w:p>
                            <w:p>
                              <w:pPr>
                                <w:spacing w:line="290" w:lineRule="auto" w:before="0"/>
                                <w:ind w:left="939" w:right="212" w:firstLine="422"/>
                                <w:jc w:val="left"/>
                                <w:rPr>
                                  <w:rFonts w:ascii="Times New Roman" w:hAnsi="Times New Roman"/>
                                  <w:sz w:val="17"/>
                                </w:rPr>
                              </w:pPr>
                              <w:r>
                                <w:rPr>
                                  <w:rFonts w:ascii="Times New Roman" w:hAnsi="Times New Roman"/>
                                  <w:color w:val="2F2D31"/>
                                  <w:sz w:val="17"/>
                                </w:rPr>
                                <w:t>Clase </w:t>
                              </w:r>
                              <w:r>
                                <w:rPr>
                                  <w:rFonts w:ascii="Times New Roman" w:hAnsi="Times New Roman"/>
                                  <w:color w:val="1A181C"/>
                                  <w:sz w:val="17"/>
                                </w:rPr>
                                <w:t>de </w:t>
                              </w:r>
                              <w:r>
                                <w:rPr>
                                  <w:rFonts w:ascii="Times New Roman" w:hAnsi="Times New Roman"/>
                                  <w:color w:val="2F2D31"/>
                                  <w:sz w:val="17"/>
                                </w:rPr>
                                <w:t>activo </w:t>
                              </w:r>
                              <w:r>
                                <w:rPr>
                                  <w:rFonts w:ascii="Times New Roman" w:hAnsi="Times New Roman"/>
                                  <w:color w:val="464246"/>
                                  <w:sz w:val="17"/>
                                </w:rPr>
                                <w:t>Equipo </w:t>
                              </w:r>
                              <w:r>
                                <w:rPr>
                                  <w:rFonts w:ascii="Times New Roman" w:hAnsi="Times New Roman"/>
                                  <w:color w:val="565659"/>
                                  <w:sz w:val="17"/>
                                </w:rPr>
                                <w:t>de</w:t>
                              </w:r>
                              <w:r>
                                <w:rPr>
                                  <w:rFonts w:ascii="Times New Roman" w:hAnsi="Times New Roman"/>
                                  <w:color w:val="565659"/>
                                  <w:spacing w:val="-9"/>
                                  <w:sz w:val="17"/>
                                </w:rPr>
                                <w:t> </w:t>
                              </w:r>
                              <w:r>
                                <w:rPr>
                                  <w:rFonts w:ascii="Times New Roman" w:hAnsi="Times New Roman"/>
                                  <w:color w:val="565659"/>
                                  <w:sz w:val="17"/>
                                </w:rPr>
                                <w:t>comunic</w:t>
                              </w:r>
                              <w:r>
                                <w:rPr>
                                  <w:rFonts w:ascii="Times New Roman" w:hAnsi="Times New Roman"/>
                                  <w:color w:val="707479"/>
                                  <w:sz w:val="17"/>
                                </w:rPr>
                                <w:t>a</w:t>
                              </w:r>
                              <w:r>
                                <w:rPr>
                                  <w:rFonts w:ascii="Times New Roman" w:hAnsi="Times New Roman"/>
                                  <w:color w:val="565659"/>
                                  <w:sz w:val="17"/>
                                </w:rPr>
                                <w:t>c</w:t>
                              </w:r>
                              <w:r>
                                <w:rPr>
                                  <w:rFonts w:ascii="Times New Roman" w:hAnsi="Times New Roman"/>
                                  <w:color w:val="2F2D31"/>
                                  <w:sz w:val="17"/>
                                </w:rPr>
                                <w:t>i</w:t>
                              </w:r>
                              <w:r>
                                <w:rPr>
                                  <w:rFonts w:ascii="Times New Roman" w:hAnsi="Times New Roman"/>
                                  <w:color w:val="565659"/>
                                  <w:sz w:val="17"/>
                                </w:rPr>
                                <w:t>ón </w:t>
                              </w:r>
                              <w:r>
                                <w:rPr>
                                  <w:rFonts w:ascii="Times New Roman" w:hAnsi="Times New Roman"/>
                                  <w:color w:val="2F2D31"/>
                                  <w:sz w:val="17"/>
                                </w:rPr>
                                <w:t>Equipo </w:t>
                              </w:r>
                              <w:r>
                                <w:rPr>
                                  <w:rFonts w:ascii="Times New Roman" w:hAnsi="Times New Roman"/>
                                  <w:color w:val="565659"/>
                                  <w:sz w:val="17"/>
                                </w:rPr>
                                <w:t>de </w:t>
                              </w:r>
                              <w:r>
                                <w:rPr>
                                  <w:rFonts w:ascii="Times New Roman" w:hAnsi="Times New Roman"/>
                                  <w:color w:val="2F2D31"/>
                                  <w:sz w:val="17"/>
                                </w:rPr>
                                <w:t>t</w:t>
                              </w:r>
                              <w:r>
                                <w:rPr>
                                  <w:rFonts w:ascii="Times New Roman" w:hAnsi="Times New Roman"/>
                                  <w:color w:val="565659"/>
                                  <w:sz w:val="17"/>
                                </w:rPr>
                                <w:t>racc</w:t>
                              </w:r>
                              <w:r>
                                <w:rPr>
                                  <w:rFonts w:ascii="Times New Roman" w:hAnsi="Times New Roman"/>
                                  <w:color w:val="2F2D31"/>
                                  <w:sz w:val="17"/>
                                </w:rPr>
                                <w:t>ión Equipo</w:t>
                              </w:r>
                              <w:r>
                                <w:rPr>
                                  <w:rFonts w:ascii="Times New Roman" w:hAnsi="Times New Roman"/>
                                  <w:color w:val="565659"/>
                                  <w:sz w:val="17"/>
                                </w:rPr>
                                <w:t>s y </w:t>
                              </w:r>
                              <w:r>
                                <w:rPr>
                                  <w:rFonts w:ascii="Times New Roman" w:hAnsi="Times New Roman"/>
                                  <w:color w:val="464246"/>
                                  <w:sz w:val="17"/>
                                </w:rPr>
                                <w:t>mobiliru;o </w:t>
                              </w:r>
                              <w:r>
                                <w:rPr>
                                  <w:rFonts w:ascii="Times New Roman" w:hAnsi="Times New Roman"/>
                                  <w:color w:val="2F2D31"/>
                                  <w:sz w:val="17"/>
                                </w:rPr>
                                <w:t>d</w:t>
                              </w:r>
                              <w:r>
                                <w:rPr>
                                  <w:rFonts w:ascii="Times New Roman" w:hAnsi="Times New Roman"/>
                                  <w:color w:val="707479"/>
                                  <w:sz w:val="17"/>
                                </w:rPr>
                                <w:t>e </w:t>
                              </w:r>
                              <w:r>
                                <w:rPr>
                                  <w:rFonts w:ascii="Times New Roman" w:hAnsi="Times New Roman"/>
                                  <w:color w:val="2F2D31"/>
                                  <w:spacing w:val="-2"/>
                                  <w:sz w:val="17"/>
                                </w:rPr>
                                <w:t>o</w:t>
                              </w:r>
                              <w:r>
                                <w:rPr>
                                  <w:rFonts w:ascii="Times New Roman" w:hAnsi="Times New Roman"/>
                                  <w:color w:val="565659"/>
                                  <w:spacing w:val="-2"/>
                                  <w:sz w:val="17"/>
                                </w:rPr>
                                <w:t>ficina</w:t>
                              </w:r>
                            </w:p>
                            <w:p>
                              <w:pPr>
                                <w:spacing w:line="288" w:lineRule="auto" w:before="0"/>
                                <w:ind w:left="941" w:right="0" w:firstLine="0"/>
                                <w:jc w:val="left"/>
                                <w:rPr>
                                  <w:rFonts w:ascii="Times New Roman" w:hAnsi="Times New Roman"/>
                                  <w:sz w:val="17"/>
                                </w:rPr>
                              </w:pPr>
                              <w:r>
                                <w:rPr>
                                  <w:rFonts w:ascii="Times New Roman" w:hAnsi="Times New Roman"/>
                                  <w:color w:val="2F2D31"/>
                                  <w:sz w:val="17"/>
                                </w:rPr>
                                <w:t>Equipo</w:t>
                              </w:r>
                              <w:r>
                                <w:rPr>
                                  <w:rFonts w:ascii="Times New Roman" w:hAnsi="Times New Roman"/>
                                  <w:color w:val="565659"/>
                                  <w:sz w:val="17"/>
                                </w:rPr>
                                <w:t>s</w:t>
                              </w:r>
                              <w:r>
                                <w:rPr>
                                  <w:rFonts w:ascii="Times New Roman" w:hAnsi="Times New Roman"/>
                                  <w:color w:val="565659"/>
                                  <w:spacing w:val="-6"/>
                                  <w:sz w:val="17"/>
                                </w:rPr>
                                <w:t> </w:t>
                              </w:r>
                              <w:r>
                                <w:rPr>
                                  <w:rFonts w:ascii="Times New Roman" w:hAnsi="Times New Roman"/>
                                  <w:color w:val="565659"/>
                                  <w:sz w:val="17"/>
                                </w:rPr>
                                <w:t>pa</w:t>
                              </w:r>
                              <w:r>
                                <w:rPr>
                                  <w:rFonts w:ascii="Times New Roman" w:hAnsi="Times New Roman"/>
                                  <w:color w:val="2F2D31"/>
                                  <w:sz w:val="17"/>
                                </w:rPr>
                                <w:t>ra</w:t>
                              </w:r>
                              <w:r>
                                <w:rPr>
                                  <w:rFonts w:ascii="Times New Roman" w:hAnsi="Times New Roman"/>
                                  <w:color w:val="2F2D31"/>
                                  <w:spacing w:val="-7"/>
                                  <w:sz w:val="17"/>
                                </w:rPr>
                                <w:t> </w:t>
                              </w:r>
                              <w:r>
                                <w:rPr>
                                  <w:rFonts w:ascii="Times New Roman" w:hAnsi="Times New Roman"/>
                                  <w:color w:val="565659"/>
                                  <w:sz w:val="17"/>
                                </w:rPr>
                                <w:t>com</w:t>
                              </w:r>
                              <w:r>
                                <w:rPr>
                                  <w:rFonts w:ascii="Times New Roman" w:hAnsi="Times New Roman"/>
                                  <w:color w:val="2F2D31"/>
                                  <w:sz w:val="17"/>
                                </w:rPr>
                                <w:t>put1</w:t>
                              </w:r>
                              <w:r>
                                <w:rPr>
                                  <w:rFonts w:ascii="Times New Roman" w:hAnsi="Times New Roman"/>
                                  <w:color w:val="565659"/>
                                  <w:sz w:val="17"/>
                                </w:rPr>
                                <w:t>c</w:t>
                              </w:r>
                              <w:r>
                                <w:rPr>
                                  <w:rFonts w:ascii="Times New Roman" w:hAnsi="Times New Roman"/>
                                  <w:color w:val="2F2D31"/>
                                  <w:sz w:val="17"/>
                                </w:rPr>
                                <w:t>i</w:t>
                              </w:r>
                              <w:r>
                                <w:rPr>
                                  <w:rFonts w:ascii="Times New Roman" w:hAnsi="Times New Roman"/>
                                  <w:color w:val="565659"/>
                                  <w:sz w:val="17"/>
                                </w:rPr>
                                <w:t>ó</w:t>
                              </w:r>
                              <w:r>
                                <w:rPr>
                                  <w:rFonts w:ascii="Times New Roman" w:hAnsi="Times New Roman"/>
                                  <w:color w:val="2F2D31"/>
                                  <w:sz w:val="17"/>
                                </w:rPr>
                                <w:t>n Equipo</w:t>
                              </w:r>
                              <w:r>
                                <w:rPr>
                                  <w:rFonts w:ascii="Times New Roman" w:hAnsi="Times New Roman"/>
                                  <w:color w:val="2F2D31"/>
                                  <w:spacing w:val="-6"/>
                                  <w:sz w:val="17"/>
                                </w:rPr>
                                <w:t> </w:t>
                              </w:r>
                              <w:r>
                                <w:rPr>
                                  <w:rFonts w:ascii="Times New Roman" w:hAnsi="Times New Roman"/>
                                  <w:color w:val="464246"/>
                                  <w:sz w:val="17"/>
                                </w:rPr>
                                <w:t>Sai1it</w:t>
                              </w:r>
                              <w:r>
                                <w:rPr>
                                  <w:rFonts w:ascii="Times New Roman" w:hAnsi="Times New Roman"/>
                                  <w:color w:val="707479"/>
                                  <w:sz w:val="17"/>
                                </w:rPr>
                                <w:t>a</w:t>
                              </w:r>
                              <w:r>
                                <w:rPr>
                                  <w:rFonts w:ascii="Times New Roman" w:hAnsi="Times New Roman"/>
                                  <w:color w:val="565659"/>
                                  <w:sz w:val="17"/>
                                </w:rPr>
                                <w:t>rio</w:t>
                              </w:r>
                            </w:p>
                            <w:p>
                              <w:pPr>
                                <w:spacing w:before="0"/>
                                <w:ind w:left="942" w:right="0" w:firstLine="0"/>
                                <w:jc w:val="left"/>
                                <w:rPr>
                                  <w:rFonts w:ascii="Times New Roman"/>
                                  <w:sz w:val="17"/>
                                </w:rPr>
                              </w:pPr>
                              <w:r>
                                <w:rPr>
                                  <w:rFonts w:ascii="Times New Roman"/>
                                  <w:color w:val="2F2D31"/>
                                  <w:spacing w:val="2"/>
                                  <w:w w:val="90"/>
                                  <w:sz w:val="17"/>
                                </w:rPr>
                                <w:t>Maq</w:t>
                              </w:r>
                              <w:r>
                                <w:rPr>
                                  <w:rFonts w:ascii="Times New Roman"/>
                                  <w:color w:val="565659"/>
                                  <w:spacing w:val="2"/>
                                  <w:w w:val="90"/>
                                  <w:sz w:val="17"/>
                                </w:rPr>
                                <w:t>ui</w:t>
                              </w:r>
                              <w:r>
                                <w:rPr>
                                  <w:rFonts w:ascii="Times New Roman"/>
                                  <w:color w:val="2F2D31"/>
                                  <w:spacing w:val="2"/>
                                  <w:w w:val="90"/>
                                  <w:sz w:val="17"/>
                                </w:rPr>
                                <w:t>nm-i</w:t>
                              </w:r>
                              <w:r>
                                <w:rPr>
                                  <w:rFonts w:ascii="Times New Roman"/>
                                  <w:color w:val="565659"/>
                                  <w:spacing w:val="2"/>
                                  <w:w w:val="90"/>
                                  <w:sz w:val="17"/>
                                </w:rPr>
                                <w:t>as,</w:t>
                              </w:r>
                              <w:r>
                                <w:rPr>
                                  <w:rFonts w:ascii="Times New Roman"/>
                                  <w:color w:val="565659"/>
                                  <w:spacing w:val="4"/>
                                  <w:sz w:val="17"/>
                                </w:rPr>
                                <w:t> </w:t>
                              </w:r>
                              <w:r>
                                <w:rPr>
                                  <w:rFonts w:ascii="Times New Roman"/>
                                  <w:color w:val="565659"/>
                                  <w:spacing w:val="-2"/>
                                  <w:w w:val="90"/>
                                  <w:sz w:val="17"/>
                                </w:rPr>
                                <w:t>eq</w:t>
                              </w:r>
                              <w:r>
                                <w:rPr>
                                  <w:rFonts w:ascii="Times New Roman"/>
                                  <w:color w:val="2F2D31"/>
                                  <w:spacing w:val="-2"/>
                                  <w:w w:val="90"/>
                                  <w:sz w:val="17"/>
                                </w:rPr>
                                <w:t>uipo</w:t>
                              </w:r>
                            </w:p>
                            <w:p>
                              <w:pPr>
                                <w:spacing w:before="28"/>
                                <w:ind w:left="939" w:right="0" w:firstLine="0"/>
                                <w:jc w:val="left"/>
                                <w:rPr>
                                  <w:rFonts w:ascii="Times New Roman"/>
                                  <w:sz w:val="17"/>
                                </w:rPr>
                              </w:pPr>
                              <w:r>
                                <w:rPr>
                                  <w:rFonts w:ascii="Times New Roman"/>
                                  <w:color w:val="464246"/>
                                  <w:spacing w:val="-2"/>
                                  <w:sz w:val="17"/>
                                </w:rPr>
                                <w:t>diverso</w:t>
                              </w:r>
                            </w:p>
                          </w:txbxContent>
                        </wps:txbx>
                        <wps:bodyPr wrap="square" lIns="0" tIns="0" rIns="0" bIns="0" rtlCol="0">
                          <a:noAutofit/>
                        </wps:bodyPr>
                      </wps:wsp>
                      <wps:wsp>
                        <wps:cNvPr id="768" name="Textbox 768"/>
                        <wps:cNvSpPr txBox="1"/>
                        <wps:spPr>
                          <a:xfrm>
                            <a:off x="4241375" y="379314"/>
                            <a:ext cx="324485" cy="113030"/>
                          </a:xfrm>
                          <a:prstGeom prst="rect">
                            <a:avLst/>
                          </a:prstGeom>
                        </wps:spPr>
                        <wps:txbx>
                          <w:txbxContent>
                            <w:p>
                              <w:pPr>
                                <w:spacing w:line="177" w:lineRule="exact" w:before="0"/>
                                <w:ind w:left="0" w:right="0" w:firstLine="0"/>
                                <w:jc w:val="left"/>
                                <w:rPr>
                                  <w:rFonts w:ascii="Times New Roman"/>
                                  <w:b/>
                                  <w:sz w:val="16"/>
                                </w:rPr>
                              </w:pPr>
                              <w:r>
                                <w:rPr>
                                  <w:rFonts w:ascii="Times New Roman"/>
                                  <w:b/>
                                  <w:color w:val="2F2D31"/>
                                  <w:spacing w:val="-4"/>
                                  <w:w w:val="110"/>
                                  <w:sz w:val="16"/>
                                </w:rPr>
                                <w:t>Monto</w:t>
                              </w:r>
                            </w:p>
                          </w:txbxContent>
                        </wps:txbx>
                        <wps:bodyPr wrap="square" lIns="0" tIns="0" rIns="0" bIns="0" rtlCol="0">
                          <a:noAutofit/>
                        </wps:bodyPr>
                      </wps:wsp>
                      <wps:wsp>
                        <wps:cNvPr id="769" name="Textbox 769"/>
                        <wps:cNvSpPr txBox="1"/>
                        <wps:spPr>
                          <a:xfrm>
                            <a:off x="4605373" y="523181"/>
                            <a:ext cx="396875" cy="870585"/>
                          </a:xfrm>
                          <a:prstGeom prst="rect">
                            <a:avLst/>
                          </a:prstGeom>
                        </wps:spPr>
                        <wps:txbx>
                          <w:txbxContent>
                            <w:p>
                              <w:pPr>
                                <w:spacing w:line="188" w:lineRule="exact" w:before="0"/>
                                <w:ind w:left="0" w:right="25" w:firstLine="0"/>
                                <w:jc w:val="right"/>
                                <w:rPr>
                                  <w:rFonts w:ascii="Times New Roman"/>
                                  <w:sz w:val="17"/>
                                </w:rPr>
                              </w:pPr>
                              <w:r>
                                <w:rPr>
                                  <w:rFonts w:ascii="Times New Roman"/>
                                  <w:color w:val="565659"/>
                                  <w:spacing w:val="-2"/>
                                  <w:sz w:val="17"/>
                                </w:rPr>
                                <w:t>512.82</w:t>
                              </w:r>
                            </w:p>
                            <w:p>
                              <w:pPr>
                                <w:spacing w:before="40"/>
                                <w:ind w:left="0" w:right="23" w:firstLine="0"/>
                                <w:jc w:val="right"/>
                                <w:rPr>
                                  <w:rFonts w:ascii="Times New Roman"/>
                                  <w:sz w:val="17"/>
                                </w:rPr>
                              </w:pPr>
                              <w:r>
                                <w:rPr>
                                  <w:rFonts w:ascii="Times New Roman"/>
                                  <w:color w:val="464246"/>
                                  <w:spacing w:val="-4"/>
                                  <w:sz w:val="17"/>
                                </w:rPr>
                                <w:t>0.50</w:t>
                              </w:r>
                            </w:p>
                            <w:p>
                              <w:pPr>
                                <w:spacing w:before="160"/>
                                <w:ind w:left="0" w:right="18" w:firstLine="0"/>
                                <w:jc w:val="right"/>
                                <w:rPr>
                                  <w:rFonts w:ascii="Times New Roman"/>
                                  <w:sz w:val="17"/>
                                </w:rPr>
                              </w:pPr>
                              <w:r>
                                <w:rPr>
                                  <w:rFonts w:ascii="Times New Roman"/>
                                  <w:color w:val="565659"/>
                                  <w:spacing w:val="-2"/>
                                  <w:sz w:val="17"/>
                                </w:rPr>
                                <w:t>3,687</w:t>
                              </w:r>
                              <w:r>
                                <w:rPr>
                                  <w:rFonts w:ascii="Times New Roman"/>
                                  <w:color w:val="2F2D31"/>
                                  <w:spacing w:val="-2"/>
                                  <w:sz w:val="17"/>
                                </w:rPr>
                                <w:t>.</w:t>
                              </w:r>
                              <w:r>
                                <w:rPr>
                                  <w:rFonts w:ascii="Times New Roman"/>
                                  <w:color w:val="565659"/>
                                  <w:spacing w:val="-2"/>
                                  <w:sz w:val="17"/>
                                </w:rPr>
                                <w:t>68</w:t>
                              </w:r>
                            </w:p>
                            <w:p>
                              <w:pPr>
                                <w:spacing w:before="160"/>
                                <w:ind w:left="0" w:right="18" w:firstLine="0"/>
                                <w:jc w:val="right"/>
                                <w:rPr>
                                  <w:rFonts w:ascii="Times New Roman"/>
                                  <w:sz w:val="17"/>
                                </w:rPr>
                              </w:pPr>
                              <w:r>
                                <w:rPr>
                                  <w:rFonts w:ascii="Times New Roman"/>
                                  <w:color w:val="565659"/>
                                  <w:spacing w:val="-2"/>
                                  <w:sz w:val="17"/>
                                </w:rPr>
                                <w:t>3</w:t>
                              </w:r>
                              <w:r>
                                <w:rPr>
                                  <w:rFonts w:ascii="Times New Roman"/>
                                  <w:color w:val="707479"/>
                                  <w:spacing w:val="-2"/>
                                  <w:sz w:val="17"/>
                                </w:rPr>
                                <w:t>,</w:t>
                              </w:r>
                              <w:r>
                                <w:rPr>
                                  <w:rFonts w:ascii="Times New Roman"/>
                                  <w:color w:val="565659"/>
                                  <w:spacing w:val="-2"/>
                                  <w:sz w:val="17"/>
                                </w:rPr>
                                <w:t>429</w:t>
                              </w:r>
                              <w:r>
                                <w:rPr>
                                  <w:rFonts w:ascii="Times New Roman"/>
                                  <w:color w:val="2F2D31"/>
                                  <w:spacing w:val="-2"/>
                                  <w:sz w:val="17"/>
                                </w:rPr>
                                <w:t>.1</w:t>
                              </w:r>
                              <w:r>
                                <w:rPr>
                                  <w:rFonts w:ascii="Times New Roman"/>
                                  <w:color w:val="565659"/>
                                  <w:spacing w:val="-2"/>
                                  <w:sz w:val="17"/>
                                </w:rPr>
                                <w:t>4</w:t>
                              </w:r>
                            </w:p>
                            <w:p>
                              <w:pPr>
                                <w:spacing w:before="40"/>
                                <w:ind w:left="0" w:right="22" w:firstLine="0"/>
                                <w:jc w:val="right"/>
                                <w:rPr>
                                  <w:rFonts w:ascii="Times New Roman"/>
                                  <w:sz w:val="17"/>
                                </w:rPr>
                              </w:pPr>
                              <w:r>
                                <w:rPr>
                                  <w:rFonts w:ascii="Times New Roman"/>
                                  <w:color w:val="464246"/>
                                  <w:spacing w:val="-4"/>
                                  <w:sz w:val="17"/>
                                </w:rPr>
                                <w:t>0.50</w:t>
                              </w:r>
                            </w:p>
                          </w:txbxContent>
                        </wps:txbx>
                        <wps:bodyPr wrap="square" lIns="0" tIns="0" rIns="0" bIns="0" rtlCol="0">
                          <a:noAutofit/>
                        </wps:bodyPr>
                      </wps:wsp>
                      <wps:wsp>
                        <wps:cNvPr id="770" name="Textbox 770"/>
                        <wps:cNvSpPr txBox="1"/>
                        <wps:spPr>
                          <a:xfrm>
                            <a:off x="1348998" y="1496673"/>
                            <a:ext cx="499745" cy="120014"/>
                          </a:xfrm>
                          <a:prstGeom prst="rect">
                            <a:avLst/>
                          </a:prstGeom>
                        </wps:spPr>
                        <wps:txbx>
                          <w:txbxContent>
                            <w:p>
                              <w:pPr>
                                <w:spacing w:line="188" w:lineRule="exact" w:before="0"/>
                                <w:ind w:left="0" w:right="0" w:firstLine="0"/>
                                <w:jc w:val="left"/>
                                <w:rPr>
                                  <w:rFonts w:ascii="Times New Roman"/>
                                  <w:sz w:val="17"/>
                                </w:rPr>
                              </w:pPr>
                              <w:r>
                                <w:rPr>
                                  <w:rFonts w:ascii="Times New Roman"/>
                                  <w:color w:val="2F2D31"/>
                                  <w:spacing w:val="-2"/>
                                  <w:sz w:val="17"/>
                                </w:rPr>
                                <w:t>1.2.5.</w:t>
                              </w:r>
                              <w:r>
                                <w:rPr>
                                  <w:rFonts w:ascii="Times New Roman"/>
                                  <w:color w:val="565659"/>
                                  <w:spacing w:val="-2"/>
                                  <w:sz w:val="17"/>
                                </w:rPr>
                                <w:t>0</w:t>
                              </w:r>
                              <w:r>
                                <w:rPr>
                                  <w:rFonts w:ascii="Times New Roman"/>
                                  <w:color w:val="2F2D31"/>
                                  <w:spacing w:val="-2"/>
                                  <w:sz w:val="17"/>
                                </w:rPr>
                                <w:t>1.99</w:t>
                              </w:r>
                            </w:p>
                          </w:txbxContent>
                        </wps:txbx>
                        <wps:bodyPr wrap="square" lIns="0" tIns="0" rIns="0" bIns="0" rtlCol="0">
                          <a:noAutofit/>
                        </wps:bodyPr>
                      </wps:wsp>
                      <wps:wsp>
                        <wps:cNvPr id="771" name="Textbox 771"/>
                        <wps:cNvSpPr txBox="1"/>
                        <wps:spPr>
                          <a:xfrm>
                            <a:off x="1461671" y="1728163"/>
                            <a:ext cx="262890" cy="113030"/>
                          </a:xfrm>
                          <a:prstGeom prst="rect">
                            <a:avLst/>
                          </a:prstGeom>
                        </wps:spPr>
                        <wps:txbx>
                          <w:txbxContent>
                            <w:p>
                              <w:pPr>
                                <w:spacing w:line="177" w:lineRule="exact" w:before="0"/>
                                <w:ind w:left="0" w:right="0" w:firstLine="0"/>
                                <w:jc w:val="left"/>
                                <w:rPr>
                                  <w:rFonts w:ascii="Times New Roman"/>
                                  <w:b/>
                                  <w:sz w:val="16"/>
                                </w:rPr>
                              </w:pPr>
                              <w:r>
                                <w:rPr>
                                  <w:rFonts w:ascii="Times New Roman"/>
                                  <w:b/>
                                  <w:color w:val="1A181C"/>
                                  <w:spacing w:val="-4"/>
                                  <w:w w:val="110"/>
                                  <w:sz w:val="16"/>
                                </w:rPr>
                                <w:t>Total</w:t>
                              </w:r>
                            </w:p>
                          </w:txbxContent>
                        </wps:txbx>
                        <wps:bodyPr wrap="square" lIns="0" tIns="0" rIns="0" bIns="0" rtlCol="0">
                          <a:noAutofit/>
                        </wps:bodyPr>
                      </wps:wsp>
                      <wps:wsp>
                        <wps:cNvPr id="772" name="Textbox 772"/>
                        <wps:cNvSpPr txBox="1"/>
                        <wps:spPr>
                          <a:xfrm>
                            <a:off x="4584545" y="1496673"/>
                            <a:ext cx="412115" cy="346075"/>
                          </a:xfrm>
                          <a:prstGeom prst="rect">
                            <a:avLst/>
                          </a:prstGeom>
                        </wps:spPr>
                        <wps:txbx>
                          <w:txbxContent>
                            <w:p>
                              <w:pPr>
                                <w:spacing w:line="188" w:lineRule="exact" w:before="0"/>
                                <w:ind w:left="161" w:right="0" w:firstLine="0"/>
                                <w:jc w:val="left"/>
                                <w:rPr>
                                  <w:rFonts w:ascii="Times New Roman"/>
                                  <w:sz w:val="17"/>
                                </w:rPr>
                              </w:pPr>
                              <w:r>
                                <w:rPr>
                                  <w:rFonts w:ascii="Times New Roman"/>
                                  <w:color w:val="464246"/>
                                  <w:spacing w:val="-2"/>
                                  <w:w w:val="80"/>
                                  <w:sz w:val="17"/>
                                </w:rPr>
                                <w:t>511...J.3</w:t>
                              </w:r>
                            </w:p>
                            <w:p>
                              <w:pPr>
                                <w:spacing w:before="160"/>
                                <w:ind w:left="0" w:right="0" w:firstLine="0"/>
                                <w:jc w:val="left"/>
                                <w:rPr>
                                  <w:rFonts w:ascii="Times New Roman"/>
                                  <w:b/>
                                  <w:sz w:val="17"/>
                                </w:rPr>
                              </w:pPr>
                              <w:r>
                                <w:rPr>
                                  <w:rFonts w:ascii="Times New Roman"/>
                                  <w:b/>
                                  <w:color w:val="2F2D31"/>
                                  <w:spacing w:val="-2"/>
                                  <w:w w:val="105"/>
                                  <w:sz w:val="17"/>
                                </w:rPr>
                                <w:t>8,142.07</w:t>
                              </w:r>
                            </w:p>
                          </w:txbxContent>
                        </wps:txbx>
                        <wps:bodyPr wrap="square" lIns="0" tIns="0" rIns="0" bIns="0" rtlCol="0">
                          <a:noAutofit/>
                        </wps:bodyPr>
                      </wps:wsp>
                      <wps:wsp>
                        <wps:cNvPr id="773" name="Textbox 773"/>
                        <wps:cNvSpPr txBox="1"/>
                        <wps:spPr>
                          <a:xfrm>
                            <a:off x="691474" y="1866734"/>
                            <a:ext cx="756285" cy="117475"/>
                          </a:xfrm>
                          <a:prstGeom prst="rect">
                            <a:avLst/>
                          </a:prstGeom>
                        </wps:spPr>
                        <wps:txbx>
                          <w:txbxContent>
                            <w:p>
                              <w:pPr>
                                <w:spacing w:before="14"/>
                                <w:ind w:left="20" w:right="0" w:firstLine="0"/>
                                <w:jc w:val="left"/>
                                <w:rPr>
                                  <w:rFonts w:ascii="Times New Roman"/>
                                  <w:i/>
                                  <w:sz w:val="13"/>
                                </w:rPr>
                              </w:pPr>
                              <w:r>
                                <w:rPr>
                                  <w:rFonts w:ascii="Times New Roman"/>
                                  <w:i/>
                                  <w:color w:val="2F2D31"/>
                                  <w:sz w:val="13"/>
                                </w:rPr>
                                <w:t>Fuent</w:t>
                              </w:r>
                              <w:r>
                                <w:rPr>
                                  <w:rFonts w:ascii="Times New Roman"/>
                                  <w:i/>
                                  <w:color w:val="565659"/>
                                  <w:sz w:val="13"/>
                                </w:rPr>
                                <w:t>e:</w:t>
                              </w:r>
                              <w:r>
                                <w:rPr>
                                  <w:rFonts w:ascii="Times New Roman"/>
                                  <w:i/>
                                  <w:color w:val="565659"/>
                                  <w:spacing w:val="-9"/>
                                  <w:sz w:val="13"/>
                                </w:rPr>
                                <w:t> </w:t>
                              </w:r>
                              <w:r>
                                <w:rPr>
                                  <w:rFonts w:ascii="Times New Roman"/>
                                  <w:i/>
                                  <w:color w:val="464246"/>
                                  <w:sz w:val="13"/>
                                </w:rPr>
                                <w:t>SiStcm;i</w:t>
                              </w:r>
                              <w:r>
                                <w:rPr>
                                  <w:rFonts w:ascii="Times New Roman"/>
                                  <w:i/>
                                  <w:color w:val="464246"/>
                                  <w:spacing w:val="5"/>
                                  <w:sz w:val="13"/>
                                </w:rPr>
                                <w:t> </w:t>
                              </w:r>
                              <w:r>
                                <w:rPr>
                                  <w:rFonts w:ascii="Times New Roman"/>
                                  <w:i/>
                                  <w:color w:val="2F2D31"/>
                                  <w:spacing w:val="-5"/>
                                  <w:sz w:val="13"/>
                                </w:rPr>
                                <w:t>SAP</w:t>
                              </w:r>
                            </w:p>
                          </w:txbxContent>
                        </wps:txbx>
                        <wps:bodyPr wrap="square" lIns="0" tIns="0" rIns="0" bIns="0" rtlCol="0">
                          <a:noAutofit/>
                        </wps:bodyPr>
                      </wps:wsp>
                      <wps:wsp>
                        <wps:cNvPr id="774" name="Textbox 774"/>
                        <wps:cNvSpPr txBox="1"/>
                        <wps:spPr>
                          <a:xfrm>
                            <a:off x="723486" y="2313229"/>
                            <a:ext cx="4422775" cy="723900"/>
                          </a:xfrm>
                          <a:prstGeom prst="rect">
                            <a:avLst/>
                          </a:prstGeom>
                        </wps:spPr>
                        <wps:txbx>
                          <w:txbxContent>
                            <w:p>
                              <w:pPr>
                                <w:numPr>
                                  <w:ilvl w:val="0"/>
                                  <w:numId w:val="65"/>
                                </w:numPr>
                                <w:tabs>
                                  <w:tab w:pos="379" w:val="left" w:leader="none"/>
                                </w:tabs>
                                <w:spacing w:line="246" w:lineRule="exact" w:before="0"/>
                                <w:ind w:left="379" w:right="0" w:hanging="359"/>
                                <w:jc w:val="left"/>
                                <w:rPr>
                                  <w:sz w:val="22"/>
                                </w:rPr>
                              </w:pPr>
                              <w:r>
                                <w:rPr>
                                  <w:sz w:val="22"/>
                                </w:rPr>
                                <w:t>Segregaciones</w:t>
                              </w:r>
                              <w:r>
                                <w:rPr>
                                  <w:spacing w:val="-5"/>
                                  <w:sz w:val="22"/>
                                </w:rPr>
                                <w:t> </w:t>
                              </w:r>
                              <w:r>
                                <w:rPr>
                                  <w:sz w:val="22"/>
                                </w:rPr>
                                <w:t>de</w:t>
                              </w:r>
                              <w:r>
                                <w:rPr>
                                  <w:spacing w:val="-3"/>
                                  <w:sz w:val="22"/>
                                </w:rPr>
                                <w:t> </w:t>
                              </w:r>
                              <w:r>
                                <w:rPr>
                                  <w:sz w:val="22"/>
                                </w:rPr>
                                <w:t>terrenos</w:t>
                              </w:r>
                              <w:r>
                                <w:rPr>
                                  <w:spacing w:val="-3"/>
                                  <w:sz w:val="22"/>
                                </w:rPr>
                                <w:t> </w:t>
                              </w:r>
                              <w:r>
                                <w:rPr>
                                  <w:sz w:val="22"/>
                                </w:rPr>
                                <w:t>por</w:t>
                              </w:r>
                              <w:r>
                                <w:rPr>
                                  <w:spacing w:val="-3"/>
                                  <w:sz w:val="22"/>
                                </w:rPr>
                                <w:t> </w:t>
                              </w:r>
                              <w:r>
                                <w:rPr>
                                  <w:sz w:val="22"/>
                                </w:rPr>
                                <w:t>un</w:t>
                              </w:r>
                              <w:r>
                                <w:rPr>
                                  <w:spacing w:val="-7"/>
                                  <w:sz w:val="22"/>
                                </w:rPr>
                                <w:t> </w:t>
                              </w:r>
                              <w:r>
                                <w:rPr>
                                  <w:sz w:val="22"/>
                                </w:rPr>
                                <w:t>monto</w:t>
                              </w:r>
                              <w:r>
                                <w:rPr>
                                  <w:spacing w:val="-3"/>
                                  <w:sz w:val="22"/>
                                </w:rPr>
                                <w:t> </w:t>
                              </w:r>
                              <w:r>
                                <w:rPr>
                                  <w:sz w:val="22"/>
                                </w:rPr>
                                <w:t>de</w:t>
                              </w:r>
                              <w:r>
                                <w:rPr>
                                  <w:spacing w:val="-4"/>
                                  <w:sz w:val="22"/>
                                </w:rPr>
                                <w:t> </w:t>
                              </w:r>
                              <w:r>
                                <w:rPr>
                                  <w:sz w:val="22"/>
                                </w:rPr>
                                <w:t>¢</w:t>
                              </w:r>
                              <w:r>
                                <w:rPr>
                                  <w:spacing w:val="-2"/>
                                  <w:sz w:val="22"/>
                                </w:rPr>
                                <w:t> </w:t>
                              </w:r>
                              <w:r>
                                <w:rPr>
                                  <w:sz w:val="22"/>
                                </w:rPr>
                                <w:t>407.250,40</w:t>
                              </w:r>
                              <w:r>
                                <w:rPr>
                                  <w:spacing w:val="-3"/>
                                  <w:sz w:val="22"/>
                                </w:rPr>
                                <w:t> </w:t>
                              </w:r>
                              <w:r>
                                <w:rPr>
                                  <w:sz w:val="22"/>
                                </w:rPr>
                                <w:t>miles</w:t>
                              </w:r>
                              <w:r>
                                <w:rPr>
                                  <w:spacing w:val="-3"/>
                                  <w:sz w:val="22"/>
                                </w:rPr>
                                <w:t> </w:t>
                              </w:r>
                              <w:r>
                                <w:rPr>
                                  <w:sz w:val="22"/>
                                </w:rPr>
                                <w:t>de</w:t>
                              </w:r>
                              <w:r>
                                <w:rPr>
                                  <w:spacing w:val="-3"/>
                                  <w:sz w:val="22"/>
                                </w:rPr>
                                <w:t> </w:t>
                              </w:r>
                              <w:r>
                                <w:rPr>
                                  <w:spacing w:val="-2"/>
                                  <w:sz w:val="22"/>
                                </w:rPr>
                                <w:t>colones:</w:t>
                              </w:r>
                            </w:p>
                            <w:p>
                              <w:pPr>
                                <w:spacing w:line="240" w:lineRule="auto" w:before="91"/>
                                <w:rPr>
                                  <w:sz w:val="22"/>
                                </w:rPr>
                              </w:pPr>
                            </w:p>
                            <w:p>
                              <w:pPr>
                                <w:spacing w:before="0"/>
                                <w:ind w:left="797" w:right="242" w:firstLine="0"/>
                                <w:jc w:val="center"/>
                                <w:rPr>
                                  <w:rFonts w:ascii="Arial" w:hAnsi="Arial"/>
                                  <w:sz w:val="10"/>
                                </w:rPr>
                              </w:pPr>
                              <w:r>
                                <w:rPr>
                                  <w:rFonts w:ascii="Arial" w:hAnsi="Arial"/>
                                  <w:color w:val="2F2D31"/>
                                  <w:w w:val="185"/>
                                  <w:sz w:val="10"/>
                                </w:rPr>
                                <w:t>Segregación_</w:t>
                              </w:r>
                              <w:r>
                                <w:rPr>
                                  <w:rFonts w:ascii="Arial" w:hAnsi="Arial"/>
                                  <w:color w:val="2F2D31"/>
                                  <w:spacing w:val="17"/>
                                  <w:w w:val="185"/>
                                  <w:sz w:val="10"/>
                                </w:rPr>
                                <w:t> </w:t>
                              </w:r>
                              <w:r>
                                <w:rPr>
                                  <w:rFonts w:ascii="Arial" w:hAnsi="Arial"/>
                                  <w:color w:val="2F2D31"/>
                                  <w:w w:val="185"/>
                                  <w:sz w:val="10"/>
                                </w:rPr>
                                <w:t>de</w:t>
                              </w:r>
                              <w:r>
                                <w:rPr>
                                  <w:rFonts w:ascii="Arial" w:hAnsi="Arial"/>
                                  <w:color w:val="2F2D31"/>
                                  <w:spacing w:val="37"/>
                                  <w:w w:val="185"/>
                                  <w:sz w:val="10"/>
                                </w:rPr>
                                <w:t> </w:t>
                              </w:r>
                              <w:r>
                                <w:rPr>
                                  <w:rFonts w:ascii="Arial" w:hAnsi="Arial"/>
                                  <w:color w:val="1A181C"/>
                                  <w:w w:val="185"/>
                                  <w:sz w:val="10"/>
                                </w:rPr>
                                <w:t>T</w:t>
                              </w:r>
                              <w:r>
                                <w:rPr>
                                  <w:rFonts w:ascii="Arial" w:hAnsi="Arial"/>
                                  <w:color w:val="464246"/>
                                  <w:w w:val="185"/>
                                  <w:sz w:val="10"/>
                                </w:rPr>
                                <w:t>erre1-</w:t>
                              </w:r>
                              <w:r>
                                <w:rPr>
                                  <w:rFonts w:ascii="Arial" w:hAnsi="Arial"/>
                                  <w:color w:val="464246"/>
                                  <w:spacing w:val="-4"/>
                                  <w:w w:val="185"/>
                                  <w:sz w:val="10"/>
                                </w:rPr>
                                <w:t>i_os</w:t>
                              </w:r>
                            </w:p>
                            <w:p>
                              <w:pPr>
                                <w:spacing w:before="36"/>
                                <w:ind w:left="832" w:right="242" w:firstLine="0"/>
                                <w:jc w:val="center"/>
                                <w:rPr>
                                  <w:rFonts w:ascii="Times New Roman"/>
                                  <w:b/>
                                  <w:sz w:val="13"/>
                                </w:rPr>
                              </w:pPr>
                              <w:r>
                                <w:rPr>
                                  <w:rFonts w:ascii="Times New Roman"/>
                                  <w:b/>
                                  <w:color w:val="1A181C"/>
                                  <w:w w:val="170"/>
                                  <w:sz w:val="13"/>
                                </w:rPr>
                                <w:t>P</w:t>
                              </w:r>
                              <w:r>
                                <w:rPr>
                                  <w:rFonts w:ascii="Times New Roman"/>
                                  <w:b/>
                                  <w:color w:val="464246"/>
                                  <w:w w:val="170"/>
                                  <w:sz w:val="13"/>
                                </w:rPr>
                                <w:t>er</w:t>
                              </w:r>
                              <w:r>
                                <w:rPr>
                                  <w:rFonts w:ascii="Times New Roman"/>
                                  <w:b/>
                                  <w:color w:val="1A181C"/>
                                  <w:w w:val="170"/>
                                  <w:sz w:val="13"/>
                                </w:rPr>
                                <w:t>iodo</w:t>
                              </w:r>
                              <w:r>
                                <w:rPr>
                                  <w:rFonts w:ascii="Times New Roman"/>
                                  <w:b/>
                                  <w:color w:val="1A181C"/>
                                  <w:spacing w:val="51"/>
                                  <w:w w:val="170"/>
                                  <w:sz w:val="13"/>
                                </w:rPr>
                                <w:t> </w:t>
                              </w:r>
                              <w:r>
                                <w:rPr>
                                  <w:rFonts w:ascii="Times New Roman"/>
                                  <w:b/>
                                  <w:color w:val="2F2D31"/>
                                  <w:w w:val="170"/>
                                  <w:sz w:val="13"/>
                                </w:rPr>
                                <w:t>a</w:t>
                              </w:r>
                              <w:r>
                                <w:rPr>
                                  <w:rFonts w:ascii="Times New Roman"/>
                                  <w:b/>
                                  <w:color w:val="2F2D31"/>
                                  <w:spacing w:val="-23"/>
                                  <w:w w:val="170"/>
                                  <w:sz w:val="13"/>
                                </w:rPr>
                                <w:t> </w:t>
                              </w:r>
                              <w:r>
                                <w:rPr>
                                  <w:rFonts w:ascii="Times New Roman"/>
                                  <w:b/>
                                  <w:color w:val="2F2D31"/>
                                  <w:w w:val="170"/>
                                  <w:sz w:val="13"/>
                                </w:rPr>
                                <w:t>Ju</w:t>
                              </w:r>
                              <w:r>
                                <w:rPr>
                                  <w:rFonts w:ascii="Times New Roman"/>
                                  <w:b/>
                                  <w:color w:val="05080A"/>
                                  <w:w w:val="170"/>
                                  <w:sz w:val="13"/>
                                </w:rPr>
                                <w:t>li</w:t>
                              </w:r>
                              <w:r>
                                <w:rPr>
                                  <w:rFonts w:ascii="Times New Roman"/>
                                  <w:b/>
                                  <w:color w:val="2F2D31"/>
                                  <w:w w:val="170"/>
                                  <w:sz w:val="13"/>
                                </w:rPr>
                                <w:t>o</w:t>
                              </w:r>
                              <w:r>
                                <w:rPr>
                                  <w:rFonts w:ascii="Times New Roman"/>
                                  <w:b/>
                                  <w:color w:val="2F2D31"/>
                                  <w:spacing w:val="61"/>
                                  <w:w w:val="170"/>
                                  <w:sz w:val="13"/>
                                </w:rPr>
                                <w:t> </w:t>
                              </w:r>
                              <w:r>
                                <w:rPr>
                                  <w:rFonts w:ascii="Times New Roman"/>
                                  <w:b/>
                                  <w:color w:val="2F2D31"/>
                                  <w:spacing w:val="-4"/>
                                  <w:w w:val="170"/>
                                  <w:sz w:val="13"/>
                                </w:rPr>
                                <w:t>2026</w:t>
                              </w:r>
                            </w:p>
                            <w:p>
                              <w:pPr>
                                <w:spacing w:before="104"/>
                                <w:ind w:left="590" w:right="832" w:firstLine="0"/>
                                <w:jc w:val="center"/>
                                <w:rPr>
                                  <w:rFonts w:ascii="Times New Roman"/>
                                  <w:sz w:val="11"/>
                                </w:rPr>
                              </w:pPr>
                              <w:r>
                                <w:rPr>
                                  <w:rFonts w:ascii="Times New Roman"/>
                                  <w:color w:val="2F2D31"/>
                                  <w:w w:val="190"/>
                                  <w:sz w:val="11"/>
                                </w:rPr>
                                <w:t>Acuerdo</w:t>
                              </w:r>
                              <w:r>
                                <w:rPr>
                                  <w:rFonts w:ascii="Times New Roman"/>
                                  <w:color w:val="2F2D31"/>
                                  <w:spacing w:val="73"/>
                                  <w:w w:val="190"/>
                                  <w:sz w:val="11"/>
                                </w:rPr>
                                <w:t> </w:t>
                              </w:r>
                              <w:r>
                                <w:rPr>
                                  <w:rFonts w:ascii="Times New Roman"/>
                                  <w:color w:val="2F2D31"/>
                                  <w:spacing w:val="-2"/>
                                  <w:w w:val="190"/>
                                  <w:sz w:val="11"/>
                                </w:rPr>
                                <w:t>Con_sejo</w:t>
                              </w:r>
                            </w:p>
                          </w:txbxContent>
                        </wps:txbx>
                        <wps:bodyPr wrap="square" lIns="0" tIns="0" rIns="0" bIns="0" rtlCol="0">
                          <a:noAutofit/>
                        </wps:bodyPr>
                      </wps:wsp>
                      <wps:wsp>
                        <wps:cNvPr id="775" name="Textbox 775"/>
                        <wps:cNvSpPr txBox="1"/>
                        <wps:spPr>
                          <a:xfrm>
                            <a:off x="723486" y="4471466"/>
                            <a:ext cx="4723130" cy="168910"/>
                          </a:xfrm>
                          <a:prstGeom prst="rect">
                            <a:avLst/>
                          </a:prstGeom>
                        </wps:spPr>
                        <wps:txbx>
                          <w:txbxContent>
                            <w:p>
                              <w:pPr>
                                <w:numPr>
                                  <w:ilvl w:val="0"/>
                                  <w:numId w:val="66"/>
                                </w:numPr>
                                <w:tabs>
                                  <w:tab w:pos="379" w:val="left" w:leader="none"/>
                                </w:tabs>
                                <w:spacing w:line="246" w:lineRule="exact" w:before="0"/>
                                <w:ind w:left="379" w:right="0" w:hanging="359"/>
                                <w:jc w:val="left"/>
                                <w:rPr>
                                  <w:sz w:val="22"/>
                                </w:rPr>
                              </w:pPr>
                              <w:r>
                                <w:rPr>
                                  <w:sz w:val="22"/>
                                </w:rPr>
                                <w:t>Bajas</w:t>
                              </w:r>
                              <w:r>
                                <w:rPr>
                                  <w:spacing w:val="-5"/>
                                  <w:sz w:val="22"/>
                                </w:rPr>
                                <w:t> </w:t>
                              </w:r>
                              <w:r>
                                <w:rPr>
                                  <w:sz w:val="22"/>
                                </w:rPr>
                                <w:t>de</w:t>
                              </w:r>
                              <w:r>
                                <w:rPr>
                                  <w:spacing w:val="-3"/>
                                  <w:sz w:val="22"/>
                                </w:rPr>
                                <w:t> </w:t>
                              </w:r>
                              <w:r>
                                <w:rPr>
                                  <w:sz w:val="22"/>
                                </w:rPr>
                                <w:t>terrenos</w:t>
                              </w:r>
                              <w:r>
                                <w:rPr>
                                  <w:spacing w:val="-2"/>
                                  <w:sz w:val="22"/>
                                </w:rPr>
                                <w:t> </w:t>
                              </w:r>
                              <w:r>
                                <w:rPr>
                                  <w:sz w:val="22"/>
                                </w:rPr>
                                <w:t>por</w:t>
                              </w:r>
                              <w:r>
                                <w:rPr>
                                  <w:spacing w:val="-3"/>
                                  <w:sz w:val="22"/>
                                </w:rPr>
                                <w:t> </w:t>
                              </w:r>
                              <w:r>
                                <w:rPr>
                                  <w:sz w:val="22"/>
                                </w:rPr>
                                <w:t>donación</w:t>
                              </w:r>
                              <w:r>
                                <w:rPr>
                                  <w:spacing w:val="-4"/>
                                  <w:sz w:val="22"/>
                                </w:rPr>
                                <w:t> </w:t>
                              </w:r>
                              <w:r>
                                <w:rPr>
                                  <w:sz w:val="22"/>
                                </w:rPr>
                                <w:t>por</w:t>
                              </w:r>
                              <w:r>
                                <w:rPr>
                                  <w:spacing w:val="-6"/>
                                  <w:sz w:val="22"/>
                                </w:rPr>
                                <w:t> </w:t>
                              </w:r>
                              <w:r>
                                <w:rPr>
                                  <w:sz w:val="22"/>
                                </w:rPr>
                                <w:t>un</w:t>
                              </w:r>
                              <w:r>
                                <w:rPr>
                                  <w:spacing w:val="-6"/>
                                  <w:sz w:val="22"/>
                                </w:rPr>
                                <w:t> </w:t>
                              </w:r>
                              <w:r>
                                <w:rPr>
                                  <w:sz w:val="22"/>
                                </w:rPr>
                                <w:t>monto</w:t>
                              </w:r>
                              <w:r>
                                <w:rPr>
                                  <w:spacing w:val="-2"/>
                                  <w:sz w:val="22"/>
                                </w:rPr>
                                <w:t> </w:t>
                              </w:r>
                              <w:r>
                                <w:rPr>
                                  <w:sz w:val="22"/>
                                </w:rPr>
                                <w:t>de</w:t>
                              </w:r>
                              <w:r>
                                <w:rPr>
                                  <w:spacing w:val="-2"/>
                                  <w:sz w:val="22"/>
                                </w:rPr>
                                <w:t> </w:t>
                              </w:r>
                              <w:r>
                                <w:rPr>
                                  <w:sz w:val="22"/>
                                </w:rPr>
                                <w:t>¢</w:t>
                              </w:r>
                              <w:r>
                                <w:rPr>
                                  <w:spacing w:val="-2"/>
                                  <w:sz w:val="22"/>
                                </w:rPr>
                                <w:t> </w:t>
                              </w:r>
                              <w:r>
                                <w:rPr>
                                  <w:sz w:val="22"/>
                                </w:rPr>
                                <w:t>195.764,01</w:t>
                              </w:r>
                              <w:r>
                                <w:rPr>
                                  <w:spacing w:val="-3"/>
                                  <w:sz w:val="22"/>
                                </w:rPr>
                                <w:t> </w:t>
                              </w:r>
                              <w:r>
                                <w:rPr>
                                  <w:sz w:val="22"/>
                                </w:rPr>
                                <w:t>miles</w:t>
                              </w:r>
                              <w:r>
                                <w:rPr>
                                  <w:spacing w:val="-2"/>
                                  <w:sz w:val="22"/>
                                </w:rPr>
                                <w:t> </w:t>
                              </w:r>
                              <w:r>
                                <w:rPr>
                                  <w:sz w:val="22"/>
                                </w:rPr>
                                <w:t>de</w:t>
                              </w:r>
                              <w:r>
                                <w:rPr>
                                  <w:spacing w:val="-2"/>
                                  <w:sz w:val="22"/>
                                </w:rPr>
                                <w:t> colones:</w:t>
                              </w:r>
                            </w:p>
                          </w:txbxContent>
                        </wps:txbx>
                        <wps:bodyPr wrap="square" lIns="0" tIns="0" rIns="0" bIns="0" rtlCol="0">
                          <a:noAutofit/>
                        </wps:bodyPr>
                      </wps:wsp>
                      <wps:wsp>
                        <wps:cNvPr id="776" name="Textbox 776"/>
                        <wps:cNvSpPr txBox="1"/>
                        <wps:spPr>
                          <a:xfrm>
                            <a:off x="1274167" y="4930636"/>
                            <a:ext cx="3012440" cy="428625"/>
                          </a:xfrm>
                          <a:prstGeom prst="rect">
                            <a:avLst/>
                          </a:prstGeom>
                        </wps:spPr>
                        <wps:txbx>
                          <w:txbxContent>
                            <w:p>
                              <w:pPr>
                                <w:spacing w:before="14"/>
                                <w:ind w:left="20" w:right="0" w:firstLine="0"/>
                                <w:jc w:val="left"/>
                                <w:rPr>
                                  <w:rFonts w:ascii="Times New Roman" w:hAnsi="Times New Roman"/>
                                  <w:sz w:val="13"/>
                                </w:rPr>
                              </w:pPr>
                              <w:r>
                                <w:rPr>
                                  <w:rFonts w:ascii="Times New Roman" w:hAnsi="Times New Roman"/>
                                  <w:color w:val="2F2D31"/>
                                  <w:w w:val="180"/>
                                  <w:sz w:val="13"/>
                                </w:rPr>
                                <w:t>Bajas</w:t>
                              </w:r>
                              <w:r>
                                <w:rPr>
                                  <w:rFonts w:ascii="Times New Roman" w:hAnsi="Times New Roman"/>
                                  <w:color w:val="2F2D31"/>
                                  <w:spacing w:val="12"/>
                                  <w:w w:val="180"/>
                                  <w:sz w:val="13"/>
                                </w:rPr>
                                <w:t> </w:t>
                              </w:r>
                              <w:r>
                                <w:rPr>
                                  <w:rFonts w:ascii="Times New Roman" w:hAnsi="Times New Roman"/>
                                  <w:color w:val="2F2D31"/>
                                  <w:w w:val="160"/>
                                  <w:sz w:val="13"/>
                                </w:rPr>
                                <w:t>Terre.n._os</w:t>
                              </w:r>
                              <w:r>
                                <w:rPr>
                                  <w:rFonts w:ascii="Times New Roman" w:hAnsi="Times New Roman"/>
                                  <w:color w:val="2F2D31"/>
                                  <w:spacing w:val="24"/>
                                  <w:w w:val="160"/>
                                  <w:sz w:val="13"/>
                                </w:rPr>
                                <w:t> </w:t>
                              </w:r>
                              <w:r>
                                <w:rPr>
                                  <w:rFonts w:ascii="Times New Roman" w:hAnsi="Times New Roman"/>
                                  <w:color w:val="1A181C"/>
                                  <w:w w:val="160"/>
                                  <w:sz w:val="13"/>
                                </w:rPr>
                                <w:t>por</w:t>
                              </w:r>
                              <w:r>
                                <w:rPr>
                                  <w:rFonts w:ascii="Times New Roman" w:hAnsi="Times New Roman"/>
                                  <w:color w:val="1A181C"/>
                                  <w:spacing w:val="33"/>
                                  <w:w w:val="160"/>
                                  <w:sz w:val="13"/>
                                </w:rPr>
                                <w:t>  </w:t>
                              </w:r>
                              <w:r>
                                <w:rPr>
                                  <w:rFonts w:ascii="Times New Roman" w:hAnsi="Times New Roman"/>
                                  <w:color w:val="2F2D31"/>
                                  <w:w w:val="155"/>
                                  <w:sz w:val="13"/>
                                </w:rPr>
                                <w:t>co.n._cept&lt;&gt;</w:t>
                              </w:r>
                              <w:r>
                                <w:rPr>
                                  <w:rFonts w:ascii="Times New Roman" w:hAnsi="Times New Roman"/>
                                  <w:color w:val="2F2D31"/>
                                  <w:spacing w:val="35"/>
                                  <w:w w:val="160"/>
                                  <w:sz w:val="13"/>
                                </w:rPr>
                                <w:t> </w:t>
                              </w:r>
                              <w:r>
                                <w:rPr>
                                  <w:rFonts w:ascii="Times New Roman" w:hAnsi="Times New Roman"/>
                                  <w:color w:val="1A181C"/>
                                  <w:w w:val="160"/>
                                  <w:sz w:val="13"/>
                                </w:rPr>
                                <w:t>de</w:t>
                              </w:r>
                              <w:r>
                                <w:rPr>
                                  <w:rFonts w:ascii="Times New Roman" w:hAnsi="Times New Roman"/>
                                  <w:color w:val="1A181C"/>
                                  <w:spacing w:val="37"/>
                                  <w:w w:val="160"/>
                                  <w:sz w:val="13"/>
                                </w:rPr>
                                <w:t>  </w:t>
                              </w:r>
                              <w:r>
                                <w:rPr>
                                  <w:rFonts w:ascii="Times New Roman" w:hAnsi="Times New Roman"/>
                                  <w:color w:val="1A181C"/>
                                  <w:spacing w:val="-2"/>
                                  <w:w w:val="160"/>
                                  <w:sz w:val="13"/>
                                </w:rPr>
                                <w:t>Do.n.ació.n._</w:t>
                              </w:r>
                            </w:p>
                            <w:p>
                              <w:pPr>
                                <w:spacing w:before="39"/>
                                <w:ind w:left="1412" w:right="0" w:firstLine="0"/>
                                <w:jc w:val="left"/>
                                <w:rPr>
                                  <w:rFonts w:ascii="Times New Roman"/>
                                  <w:b/>
                                  <w:sz w:val="15"/>
                                </w:rPr>
                              </w:pPr>
                              <w:r>
                                <w:rPr>
                                  <w:rFonts w:ascii="Times New Roman"/>
                                  <w:b/>
                                  <w:color w:val="1A181C"/>
                                  <w:w w:val="165"/>
                                  <w:sz w:val="15"/>
                                </w:rPr>
                                <w:t>Periodo</w:t>
                              </w:r>
                              <w:r>
                                <w:rPr>
                                  <w:rFonts w:ascii="Times New Roman"/>
                                  <w:b/>
                                  <w:color w:val="1A181C"/>
                                  <w:spacing w:val="9"/>
                                  <w:w w:val="165"/>
                                  <w:sz w:val="15"/>
                                </w:rPr>
                                <w:t>  </w:t>
                              </w:r>
                              <w:r>
                                <w:rPr>
                                  <w:rFonts w:ascii="Times New Roman"/>
                                  <w:b/>
                                  <w:color w:val="464246"/>
                                  <w:w w:val="165"/>
                                  <w:sz w:val="15"/>
                                </w:rPr>
                                <w:t>a</w:t>
                              </w:r>
                              <w:r>
                                <w:rPr>
                                  <w:rFonts w:ascii="Times New Roman"/>
                                  <w:b/>
                                  <w:color w:val="464246"/>
                                  <w:spacing w:val="33"/>
                                  <w:w w:val="165"/>
                                  <w:sz w:val="15"/>
                                </w:rPr>
                                <w:t> </w:t>
                              </w:r>
                              <w:r>
                                <w:rPr>
                                  <w:rFonts w:ascii="Times New Roman"/>
                                  <w:b/>
                                  <w:color w:val="1A181C"/>
                                  <w:w w:val="165"/>
                                  <w:sz w:val="15"/>
                                </w:rPr>
                                <w:t>J-ulio</w:t>
                              </w:r>
                              <w:r>
                                <w:rPr>
                                  <w:rFonts w:ascii="Times New Roman"/>
                                  <w:b/>
                                  <w:color w:val="1A181C"/>
                                  <w:spacing w:val="17"/>
                                  <w:w w:val="165"/>
                                  <w:sz w:val="15"/>
                                </w:rPr>
                                <w:t> </w:t>
                              </w:r>
                              <w:r>
                                <w:rPr>
                                  <w:rFonts w:ascii="Times New Roman"/>
                                  <w:b/>
                                  <w:color w:val="2F2D31"/>
                                  <w:spacing w:val="-4"/>
                                  <w:w w:val="165"/>
                                  <w:sz w:val="15"/>
                                </w:rPr>
                                <w:t>2026</w:t>
                              </w:r>
                            </w:p>
                            <w:p>
                              <w:pPr>
                                <w:spacing w:before="130"/>
                                <w:ind w:left="1261" w:right="0" w:firstLine="0"/>
                                <w:jc w:val="left"/>
                                <w:rPr>
                                  <w:rFonts w:ascii="Times New Roman"/>
                                  <w:sz w:val="13"/>
                                </w:rPr>
                              </w:pPr>
                              <w:r>
                                <w:rPr>
                                  <w:rFonts w:ascii="Times New Roman"/>
                                  <w:color w:val="2F2D31"/>
                                  <w:w w:val="180"/>
                                  <w:sz w:val="13"/>
                                </w:rPr>
                                <w:t>A.cuerdo</w:t>
                              </w:r>
                              <w:r>
                                <w:rPr>
                                  <w:rFonts w:ascii="Times New Roman"/>
                                  <w:color w:val="2F2D31"/>
                                  <w:spacing w:val="1"/>
                                  <w:w w:val="185"/>
                                  <w:sz w:val="13"/>
                                </w:rPr>
                                <w:t> </w:t>
                              </w:r>
                              <w:r>
                                <w:rPr>
                                  <w:rFonts w:ascii="Times New Roman"/>
                                  <w:color w:val="2F2D31"/>
                                  <w:spacing w:val="-2"/>
                                  <w:w w:val="185"/>
                                  <w:sz w:val="13"/>
                                </w:rPr>
                                <w:t>Consejo</w:t>
                              </w:r>
                            </w:p>
                          </w:txbxContent>
                        </wps:txbx>
                        <wps:bodyPr wrap="square" lIns="0" tIns="0" rIns="0" bIns="0" rtlCol="0">
                          <a:noAutofit/>
                        </wps:bodyPr>
                      </wps:wsp>
                      <wps:wsp>
                        <wps:cNvPr id="777" name="Textbox 777"/>
                        <wps:cNvSpPr txBox="1"/>
                        <wps:spPr>
                          <a:xfrm>
                            <a:off x="1251227" y="6120796"/>
                            <a:ext cx="376555" cy="117475"/>
                          </a:xfrm>
                          <a:prstGeom prst="rect">
                            <a:avLst/>
                          </a:prstGeom>
                        </wps:spPr>
                        <wps:txbx>
                          <w:txbxContent>
                            <w:p>
                              <w:pPr>
                                <w:spacing w:before="14"/>
                                <w:ind w:left="20" w:right="0" w:firstLine="0"/>
                                <w:jc w:val="left"/>
                                <w:rPr>
                                  <w:rFonts w:ascii="Times New Roman"/>
                                  <w:b/>
                                  <w:sz w:val="13"/>
                                </w:rPr>
                              </w:pPr>
                              <w:r>
                                <w:rPr>
                                  <w:rFonts w:ascii="Times New Roman"/>
                                  <w:b/>
                                  <w:color w:val="1A181C"/>
                                  <w:spacing w:val="-2"/>
                                  <w:w w:val="180"/>
                                  <w:sz w:val="13"/>
                                </w:rPr>
                                <w:t>Total</w:t>
                              </w:r>
                            </w:p>
                          </w:txbxContent>
                        </wps:txbx>
                        <wps:bodyPr wrap="square" lIns="0" tIns="0" rIns="0" bIns="0" rtlCol="0">
                          <a:noAutofit/>
                        </wps:bodyPr>
                      </wps:wsp>
                      <wps:wsp>
                        <wps:cNvPr id="778" name="Textbox 778"/>
                        <wps:cNvSpPr txBox="1"/>
                        <wps:spPr>
                          <a:xfrm>
                            <a:off x="4079908" y="6112079"/>
                            <a:ext cx="708660" cy="124460"/>
                          </a:xfrm>
                          <a:prstGeom prst="rect">
                            <a:avLst/>
                          </a:prstGeom>
                        </wps:spPr>
                        <wps:txbx>
                          <w:txbxContent>
                            <w:p>
                              <w:pPr>
                                <w:spacing w:before="14"/>
                                <w:ind w:left="20" w:right="0" w:firstLine="0"/>
                                <w:jc w:val="left"/>
                                <w:rPr>
                                  <w:rFonts w:ascii="Times New Roman"/>
                                  <w:sz w:val="14"/>
                                </w:rPr>
                              </w:pPr>
                              <w:r>
                                <w:rPr>
                                  <w:rFonts w:ascii="Times New Roman"/>
                                  <w:color w:val="1A181C"/>
                                  <w:spacing w:val="-2"/>
                                  <w:w w:val="165"/>
                                  <w:sz w:val="14"/>
                                </w:rPr>
                                <w:t>195,76</w:t>
                              </w:r>
                              <w:r>
                                <w:rPr>
                                  <w:rFonts w:ascii="Times New Roman"/>
                                  <w:color w:val="464246"/>
                                  <w:spacing w:val="-2"/>
                                  <w:w w:val="165"/>
                                  <w:sz w:val="14"/>
                                </w:rPr>
                                <w:t>4</w:t>
                              </w:r>
                              <w:r>
                                <w:rPr>
                                  <w:rFonts w:ascii="Times New Roman"/>
                                  <w:color w:val="05080A"/>
                                  <w:spacing w:val="-2"/>
                                  <w:w w:val="165"/>
                                  <w:sz w:val="14"/>
                                </w:rPr>
                                <w:t>.01</w:t>
                              </w:r>
                            </w:p>
                          </w:txbxContent>
                        </wps:txbx>
                        <wps:bodyPr wrap="square" lIns="0" tIns="0" rIns="0" bIns="0" rtlCol="0">
                          <a:noAutofit/>
                        </wps:bodyPr>
                      </wps:wsp>
                    </wpg:wgp>
                  </a:graphicData>
                </a:graphic>
              </wp:anchor>
            </w:drawing>
          </mc:Choice>
          <mc:Fallback>
            <w:pict>
              <v:group style="position:absolute;margin-left:84.612549pt;margin-top:20.73571pt;width:455.8pt;height:530.85pt;mso-position-horizontal-relative:page;mso-position-vertical-relative:paragraph;z-index:-29635072" id="docshapegroup740" coordorigin="1692,415" coordsize="9116,10617">
                <v:line style="position:absolute" from="1702,11031" to="1702,420" stroked="true" strokeweight=".72113pt" strokecolor="#000000">
                  <v:stroke dashstyle="solid"/>
                </v:line>
                <v:shape style="position:absolute;left:1692;top:419;width:9116;height:10612" id="docshape741" coordorigin="1692,420" coordsize="9116,10612" path="m10783,11031l10783,420m1692,420l10807,420m1692,11021l10807,11021e" filled="false" stroked="true" strokeweight=".480667pt" strokecolor="#000000">
                  <v:path arrowok="t"/>
                  <v:stroke dashstyle="solid"/>
                </v:shape>
                <v:shape style="position:absolute;left:3700;top:1012;width:1017;height:1598" type="#_x0000_t202" id="docshape742" filled="false" stroked="false">
                  <v:textbox inset="0,0,0,0">
                    <w:txbxContent>
                      <w:p>
                        <w:pPr>
                          <w:spacing w:line="177" w:lineRule="exact" w:before="0"/>
                          <w:ind w:left="0" w:right="0" w:firstLine="0"/>
                          <w:jc w:val="left"/>
                          <w:rPr>
                            <w:rFonts w:ascii="Times New Roman"/>
                            <w:b/>
                            <w:sz w:val="16"/>
                          </w:rPr>
                        </w:pPr>
                        <w:r>
                          <w:rPr>
                            <w:rFonts w:ascii="Times New Roman"/>
                            <w:b/>
                            <w:color w:val="2F2D31"/>
                            <w:w w:val="105"/>
                            <w:sz w:val="16"/>
                          </w:rPr>
                          <w:t>Cuenta</w:t>
                        </w:r>
                        <w:r>
                          <w:rPr>
                            <w:rFonts w:ascii="Times New Roman"/>
                            <w:b/>
                            <w:color w:val="2F2D31"/>
                            <w:spacing w:val="6"/>
                            <w:w w:val="105"/>
                            <w:sz w:val="16"/>
                          </w:rPr>
                          <w:t> </w:t>
                        </w:r>
                        <w:r>
                          <w:rPr>
                            <w:rFonts w:ascii="Times New Roman"/>
                            <w:b/>
                            <w:color w:val="2F2D31"/>
                            <w:spacing w:val="-2"/>
                            <w:w w:val="105"/>
                            <w:sz w:val="16"/>
                          </w:rPr>
                          <w:t>Gasto</w:t>
                        </w:r>
                      </w:p>
                      <w:p>
                        <w:pPr>
                          <w:spacing w:before="42"/>
                          <w:ind w:left="116" w:right="0" w:firstLine="0"/>
                          <w:jc w:val="left"/>
                          <w:rPr>
                            <w:rFonts w:ascii="Times New Roman"/>
                            <w:sz w:val="17"/>
                          </w:rPr>
                        </w:pPr>
                        <w:r>
                          <w:rPr>
                            <w:rFonts w:ascii="Times New Roman"/>
                            <w:color w:val="2F2D31"/>
                            <w:spacing w:val="-2"/>
                            <w:sz w:val="17"/>
                          </w:rPr>
                          <w:t>1.2</w:t>
                        </w:r>
                        <w:r>
                          <w:rPr>
                            <w:rFonts w:ascii="Times New Roman"/>
                            <w:color w:val="565659"/>
                            <w:spacing w:val="-2"/>
                            <w:sz w:val="17"/>
                          </w:rPr>
                          <w:t>.5.01.05</w:t>
                        </w:r>
                      </w:p>
                      <w:p>
                        <w:pPr>
                          <w:spacing w:before="40"/>
                          <w:ind w:left="116" w:right="0" w:firstLine="0"/>
                          <w:jc w:val="left"/>
                          <w:rPr>
                            <w:rFonts w:ascii="Times New Roman"/>
                            <w:sz w:val="17"/>
                          </w:rPr>
                        </w:pPr>
                        <w:r>
                          <w:rPr>
                            <w:rFonts w:ascii="Times New Roman"/>
                            <w:color w:val="2F2D31"/>
                            <w:spacing w:val="-2"/>
                            <w:sz w:val="17"/>
                          </w:rPr>
                          <w:t>1.2.</w:t>
                        </w:r>
                        <w:r>
                          <w:rPr>
                            <w:rFonts w:ascii="Times New Roman"/>
                            <w:color w:val="565659"/>
                            <w:spacing w:val="-2"/>
                            <w:sz w:val="17"/>
                          </w:rPr>
                          <w:t>5</w:t>
                        </w:r>
                        <w:r>
                          <w:rPr>
                            <w:rFonts w:ascii="Times New Roman"/>
                            <w:color w:val="2F2D31"/>
                            <w:spacing w:val="-2"/>
                            <w:sz w:val="17"/>
                          </w:rPr>
                          <w:t>.</w:t>
                        </w:r>
                        <w:r>
                          <w:rPr>
                            <w:rFonts w:ascii="Times New Roman"/>
                            <w:color w:val="565659"/>
                            <w:spacing w:val="-2"/>
                            <w:sz w:val="17"/>
                          </w:rPr>
                          <w:t>0</w:t>
                        </w:r>
                        <w:r>
                          <w:rPr>
                            <w:rFonts w:ascii="Times New Roman"/>
                            <w:color w:val="2F2D31"/>
                            <w:spacing w:val="-2"/>
                            <w:sz w:val="17"/>
                          </w:rPr>
                          <w:t>1.0..J.</w:t>
                        </w:r>
                      </w:p>
                      <w:p>
                        <w:pPr>
                          <w:spacing w:before="155"/>
                          <w:ind w:left="116" w:right="0" w:firstLine="0"/>
                          <w:jc w:val="left"/>
                          <w:rPr>
                            <w:rFonts w:ascii="Times New Roman"/>
                            <w:sz w:val="17"/>
                          </w:rPr>
                        </w:pPr>
                        <w:r>
                          <w:rPr>
                            <w:rFonts w:ascii="Times New Roman"/>
                            <w:color w:val="1A181C"/>
                            <w:spacing w:val="-2"/>
                            <w:sz w:val="17"/>
                          </w:rPr>
                          <w:t>1.</w:t>
                        </w:r>
                        <w:r>
                          <w:rPr>
                            <w:rFonts w:ascii="Times New Roman"/>
                            <w:color w:val="464246"/>
                            <w:spacing w:val="-2"/>
                            <w:sz w:val="17"/>
                          </w:rPr>
                          <w:t>2.5</w:t>
                        </w:r>
                        <w:r>
                          <w:rPr>
                            <w:rFonts w:ascii="Times New Roman"/>
                            <w:color w:val="1A181C"/>
                            <w:spacing w:val="-2"/>
                            <w:sz w:val="17"/>
                          </w:rPr>
                          <w:t>.</w:t>
                        </w:r>
                        <w:r>
                          <w:rPr>
                            <w:rFonts w:ascii="Times New Roman"/>
                            <w:color w:val="464246"/>
                            <w:spacing w:val="-2"/>
                            <w:sz w:val="17"/>
                          </w:rPr>
                          <w:t>01.06</w:t>
                        </w:r>
                      </w:p>
                      <w:p>
                        <w:pPr>
                          <w:spacing w:before="160"/>
                          <w:ind w:left="116" w:right="0" w:firstLine="0"/>
                          <w:jc w:val="left"/>
                          <w:rPr>
                            <w:rFonts w:ascii="Times New Roman"/>
                            <w:sz w:val="17"/>
                          </w:rPr>
                        </w:pPr>
                        <w:r>
                          <w:rPr>
                            <w:rFonts w:ascii="Times New Roman"/>
                            <w:color w:val="1A181C"/>
                            <w:spacing w:val="-2"/>
                            <w:sz w:val="17"/>
                          </w:rPr>
                          <w:t>1.</w:t>
                        </w:r>
                        <w:r>
                          <w:rPr>
                            <w:rFonts w:ascii="Times New Roman"/>
                            <w:color w:val="565659"/>
                            <w:spacing w:val="-2"/>
                            <w:sz w:val="17"/>
                          </w:rPr>
                          <w:t>2.5</w:t>
                        </w:r>
                        <w:r>
                          <w:rPr>
                            <w:rFonts w:ascii="Times New Roman"/>
                            <w:color w:val="1A181C"/>
                            <w:spacing w:val="-2"/>
                            <w:sz w:val="17"/>
                          </w:rPr>
                          <w:t>.</w:t>
                        </w:r>
                        <w:r>
                          <w:rPr>
                            <w:rFonts w:ascii="Times New Roman"/>
                            <w:color w:val="565659"/>
                            <w:spacing w:val="-2"/>
                            <w:sz w:val="17"/>
                          </w:rPr>
                          <w:t>0</w:t>
                        </w:r>
                        <w:r>
                          <w:rPr>
                            <w:rFonts w:ascii="Times New Roman"/>
                            <w:color w:val="2F2D31"/>
                            <w:spacing w:val="-2"/>
                            <w:sz w:val="17"/>
                          </w:rPr>
                          <w:t>1.07</w:t>
                        </w:r>
                      </w:p>
                      <w:p>
                        <w:pPr>
                          <w:spacing w:before="45"/>
                          <w:ind w:left="116" w:right="0" w:firstLine="0"/>
                          <w:jc w:val="left"/>
                          <w:rPr>
                            <w:rFonts w:ascii="Times New Roman"/>
                            <w:sz w:val="17"/>
                          </w:rPr>
                        </w:pPr>
                        <w:r>
                          <w:rPr>
                            <w:rFonts w:ascii="Times New Roman"/>
                            <w:color w:val="1A181C"/>
                            <w:spacing w:val="-2"/>
                            <w:sz w:val="17"/>
                          </w:rPr>
                          <w:t>1.</w:t>
                        </w:r>
                        <w:r>
                          <w:rPr>
                            <w:rFonts w:ascii="Times New Roman"/>
                            <w:color w:val="464246"/>
                            <w:spacing w:val="-2"/>
                            <w:sz w:val="17"/>
                          </w:rPr>
                          <w:t>2.5.01.08</w:t>
                        </w:r>
                      </w:p>
                    </w:txbxContent>
                  </v:textbox>
                  <w10:wrap type="none"/>
                </v:shape>
                <v:shape style="position:absolute;left:4718;top:527;width:2973;height:2553" type="#_x0000_t202" id="docshape743" filled="false" stroked="false">
                  <v:textbox inset="0,0,0,0">
                    <w:txbxContent>
                      <w:p>
                        <w:pPr>
                          <w:spacing w:line="295" w:lineRule="auto" w:before="0"/>
                          <w:ind w:left="697" w:right="0" w:hanging="698"/>
                          <w:jc w:val="left"/>
                          <w:rPr>
                            <w:rFonts w:ascii="Times New Roman" w:hAnsi="Times New Roman"/>
                            <w:sz w:val="17"/>
                          </w:rPr>
                        </w:pPr>
                        <w:r>
                          <w:rPr>
                            <w:rFonts w:ascii="Times New Roman" w:hAnsi="Times New Roman"/>
                            <w:color w:val="2F2D31"/>
                            <w:w w:val="105"/>
                            <w:sz w:val="17"/>
                          </w:rPr>
                          <w:t>Bajas</w:t>
                        </w:r>
                        <w:r>
                          <w:rPr>
                            <w:rFonts w:ascii="Times New Roman" w:hAnsi="Times New Roman"/>
                            <w:color w:val="2F2D31"/>
                            <w:spacing w:val="-5"/>
                            <w:w w:val="105"/>
                            <w:sz w:val="17"/>
                          </w:rPr>
                          <w:t> </w:t>
                        </w:r>
                        <w:r>
                          <w:rPr>
                            <w:rFonts w:ascii="Times New Roman" w:hAnsi="Times New Roman"/>
                            <w:color w:val="1A181C"/>
                            <w:w w:val="105"/>
                            <w:sz w:val="17"/>
                          </w:rPr>
                          <w:t>de </w:t>
                        </w:r>
                        <w:r>
                          <w:rPr>
                            <w:rFonts w:ascii="Times New Roman" w:hAnsi="Times New Roman"/>
                            <w:color w:val="2F2D31"/>
                            <w:w w:val="105"/>
                            <w:sz w:val="17"/>
                          </w:rPr>
                          <w:t>Activos por Clase con </w:t>
                        </w:r>
                        <w:r>
                          <w:rPr>
                            <w:rFonts w:ascii="Times New Roman" w:hAnsi="Times New Roman"/>
                            <w:color w:val="1A181C"/>
                            <w:w w:val="105"/>
                            <w:sz w:val="17"/>
                          </w:rPr>
                          <w:t>Pérdid</w:t>
                        </w:r>
                        <w:r>
                          <w:rPr>
                            <w:rFonts w:ascii="Times New Roman" w:hAnsi="Times New Roman"/>
                            <w:color w:val="464246"/>
                            <w:w w:val="105"/>
                            <w:sz w:val="17"/>
                          </w:rPr>
                          <w:t>as </w:t>
                        </w:r>
                        <w:r>
                          <w:rPr>
                            <w:rFonts w:ascii="Times New Roman" w:hAnsi="Times New Roman"/>
                            <w:color w:val="1A181C"/>
                            <w:w w:val="105"/>
                            <w:sz w:val="17"/>
                          </w:rPr>
                          <w:t>P</w:t>
                        </w:r>
                        <w:r>
                          <w:rPr>
                            <w:rFonts w:ascii="Times New Roman" w:hAnsi="Times New Roman"/>
                            <w:color w:val="464246"/>
                            <w:w w:val="105"/>
                            <w:sz w:val="17"/>
                          </w:rPr>
                          <w:t>er</w:t>
                        </w:r>
                        <w:r>
                          <w:rPr>
                            <w:rFonts w:ascii="Times New Roman" w:hAnsi="Times New Roman"/>
                            <w:color w:val="1A181C"/>
                            <w:w w:val="105"/>
                            <w:sz w:val="17"/>
                          </w:rPr>
                          <w:t>iodo </w:t>
                        </w:r>
                        <w:r>
                          <w:rPr>
                            <w:rFonts w:ascii="Times New Roman" w:hAnsi="Times New Roman"/>
                            <w:color w:val="2F2D31"/>
                            <w:w w:val="105"/>
                            <w:sz w:val="17"/>
                          </w:rPr>
                          <w:t>a</w:t>
                        </w:r>
                        <w:r>
                          <w:rPr>
                            <w:rFonts w:ascii="Times New Roman" w:hAnsi="Times New Roman"/>
                            <w:color w:val="2F2D31"/>
                            <w:spacing w:val="40"/>
                            <w:w w:val="105"/>
                            <w:sz w:val="17"/>
                          </w:rPr>
                          <w:t> </w:t>
                        </w:r>
                        <w:r>
                          <w:rPr>
                            <w:rFonts w:ascii="Arial" w:hAnsi="Arial"/>
                            <w:i/>
                            <w:color w:val="2F2D31"/>
                            <w:w w:val="105"/>
                            <w:sz w:val="17"/>
                          </w:rPr>
                          <w:t>Julio </w:t>
                        </w:r>
                        <w:r>
                          <w:rPr>
                            <w:rFonts w:ascii="Times New Roman" w:hAnsi="Times New Roman"/>
                            <w:color w:val="2F2D31"/>
                            <w:w w:val="105"/>
                            <w:sz w:val="17"/>
                          </w:rPr>
                          <w:t>2026</w:t>
                        </w:r>
                      </w:p>
                      <w:p>
                        <w:pPr>
                          <w:spacing w:line="290" w:lineRule="auto" w:before="0"/>
                          <w:ind w:left="939" w:right="212" w:firstLine="422"/>
                          <w:jc w:val="left"/>
                          <w:rPr>
                            <w:rFonts w:ascii="Times New Roman" w:hAnsi="Times New Roman"/>
                            <w:sz w:val="17"/>
                          </w:rPr>
                        </w:pPr>
                        <w:r>
                          <w:rPr>
                            <w:rFonts w:ascii="Times New Roman" w:hAnsi="Times New Roman"/>
                            <w:color w:val="2F2D31"/>
                            <w:sz w:val="17"/>
                          </w:rPr>
                          <w:t>Clase </w:t>
                        </w:r>
                        <w:r>
                          <w:rPr>
                            <w:rFonts w:ascii="Times New Roman" w:hAnsi="Times New Roman"/>
                            <w:color w:val="1A181C"/>
                            <w:sz w:val="17"/>
                          </w:rPr>
                          <w:t>de </w:t>
                        </w:r>
                        <w:r>
                          <w:rPr>
                            <w:rFonts w:ascii="Times New Roman" w:hAnsi="Times New Roman"/>
                            <w:color w:val="2F2D31"/>
                            <w:sz w:val="17"/>
                          </w:rPr>
                          <w:t>activo </w:t>
                        </w:r>
                        <w:r>
                          <w:rPr>
                            <w:rFonts w:ascii="Times New Roman" w:hAnsi="Times New Roman"/>
                            <w:color w:val="464246"/>
                            <w:sz w:val="17"/>
                          </w:rPr>
                          <w:t>Equipo </w:t>
                        </w:r>
                        <w:r>
                          <w:rPr>
                            <w:rFonts w:ascii="Times New Roman" w:hAnsi="Times New Roman"/>
                            <w:color w:val="565659"/>
                            <w:sz w:val="17"/>
                          </w:rPr>
                          <w:t>de</w:t>
                        </w:r>
                        <w:r>
                          <w:rPr>
                            <w:rFonts w:ascii="Times New Roman" w:hAnsi="Times New Roman"/>
                            <w:color w:val="565659"/>
                            <w:spacing w:val="-9"/>
                            <w:sz w:val="17"/>
                          </w:rPr>
                          <w:t> </w:t>
                        </w:r>
                        <w:r>
                          <w:rPr>
                            <w:rFonts w:ascii="Times New Roman" w:hAnsi="Times New Roman"/>
                            <w:color w:val="565659"/>
                            <w:sz w:val="17"/>
                          </w:rPr>
                          <w:t>comunic</w:t>
                        </w:r>
                        <w:r>
                          <w:rPr>
                            <w:rFonts w:ascii="Times New Roman" w:hAnsi="Times New Roman"/>
                            <w:color w:val="707479"/>
                            <w:sz w:val="17"/>
                          </w:rPr>
                          <w:t>a</w:t>
                        </w:r>
                        <w:r>
                          <w:rPr>
                            <w:rFonts w:ascii="Times New Roman" w:hAnsi="Times New Roman"/>
                            <w:color w:val="565659"/>
                            <w:sz w:val="17"/>
                          </w:rPr>
                          <w:t>c</w:t>
                        </w:r>
                        <w:r>
                          <w:rPr>
                            <w:rFonts w:ascii="Times New Roman" w:hAnsi="Times New Roman"/>
                            <w:color w:val="2F2D31"/>
                            <w:sz w:val="17"/>
                          </w:rPr>
                          <w:t>i</w:t>
                        </w:r>
                        <w:r>
                          <w:rPr>
                            <w:rFonts w:ascii="Times New Roman" w:hAnsi="Times New Roman"/>
                            <w:color w:val="565659"/>
                            <w:sz w:val="17"/>
                          </w:rPr>
                          <w:t>ón </w:t>
                        </w:r>
                        <w:r>
                          <w:rPr>
                            <w:rFonts w:ascii="Times New Roman" w:hAnsi="Times New Roman"/>
                            <w:color w:val="2F2D31"/>
                            <w:sz w:val="17"/>
                          </w:rPr>
                          <w:t>Equipo </w:t>
                        </w:r>
                        <w:r>
                          <w:rPr>
                            <w:rFonts w:ascii="Times New Roman" w:hAnsi="Times New Roman"/>
                            <w:color w:val="565659"/>
                            <w:sz w:val="17"/>
                          </w:rPr>
                          <w:t>de </w:t>
                        </w:r>
                        <w:r>
                          <w:rPr>
                            <w:rFonts w:ascii="Times New Roman" w:hAnsi="Times New Roman"/>
                            <w:color w:val="2F2D31"/>
                            <w:sz w:val="17"/>
                          </w:rPr>
                          <w:t>t</w:t>
                        </w:r>
                        <w:r>
                          <w:rPr>
                            <w:rFonts w:ascii="Times New Roman" w:hAnsi="Times New Roman"/>
                            <w:color w:val="565659"/>
                            <w:sz w:val="17"/>
                          </w:rPr>
                          <w:t>racc</w:t>
                        </w:r>
                        <w:r>
                          <w:rPr>
                            <w:rFonts w:ascii="Times New Roman" w:hAnsi="Times New Roman"/>
                            <w:color w:val="2F2D31"/>
                            <w:sz w:val="17"/>
                          </w:rPr>
                          <w:t>ión Equipo</w:t>
                        </w:r>
                        <w:r>
                          <w:rPr>
                            <w:rFonts w:ascii="Times New Roman" w:hAnsi="Times New Roman"/>
                            <w:color w:val="565659"/>
                            <w:sz w:val="17"/>
                          </w:rPr>
                          <w:t>s y </w:t>
                        </w:r>
                        <w:r>
                          <w:rPr>
                            <w:rFonts w:ascii="Times New Roman" w:hAnsi="Times New Roman"/>
                            <w:color w:val="464246"/>
                            <w:sz w:val="17"/>
                          </w:rPr>
                          <w:t>mobiliru;o </w:t>
                        </w:r>
                        <w:r>
                          <w:rPr>
                            <w:rFonts w:ascii="Times New Roman" w:hAnsi="Times New Roman"/>
                            <w:color w:val="2F2D31"/>
                            <w:sz w:val="17"/>
                          </w:rPr>
                          <w:t>d</w:t>
                        </w:r>
                        <w:r>
                          <w:rPr>
                            <w:rFonts w:ascii="Times New Roman" w:hAnsi="Times New Roman"/>
                            <w:color w:val="707479"/>
                            <w:sz w:val="17"/>
                          </w:rPr>
                          <w:t>e </w:t>
                        </w:r>
                        <w:r>
                          <w:rPr>
                            <w:rFonts w:ascii="Times New Roman" w:hAnsi="Times New Roman"/>
                            <w:color w:val="2F2D31"/>
                            <w:spacing w:val="-2"/>
                            <w:sz w:val="17"/>
                          </w:rPr>
                          <w:t>o</w:t>
                        </w:r>
                        <w:r>
                          <w:rPr>
                            <w:rFonts w:ascii="Times New Roman" w:hAnsi="Times New Roman"/>
                            <w:color w:val="565659"/>
                            <w:spacing w:val="-2"/>
                            <w:sz w:val="17"/>
                          </w:rPr>
                          <w:t>ficina</w:t>
                        </w:r>
                      </w:p>
                      <w:p>
                        <w:pPr>
                          <w:spacing w:line="288" w:lineRule="auto" w:before="0"/>
                          <w:ind w:left="941" w:right="0" w:firstLine="0"/>
                          <w:jc w:val="left"/>
                          <w:rPr>
                            <w:rFonts w:ascii="Times New Roman" w:hAnsi="Times New Roman"/>
                            <w:sz w:val="17"/>
                          </w:rPr>
                        </w:pPr>
                        <w:r>
                          <w:rPr>
                            <w:rFonts w:ascii="Times New Roman" w:hAnsi="Times New Roman"/>
                            <w:color w:val="2F2D31"/>
                            <w:sz w:val="17"/>
                          </w:rPr>
                          <w:t>Equipo</w:t>
                        </w:r>
                        <w:r>
                          <w:rPr>
                            <w:rFonts w:ascii="Times New Roman" w:hAnsi="Times New Roman"/>
                            <w:color w:val="565659"/>
                            <w:sz w:val="17"/>
                          </w:rPr>
                          <w:t>s</w:t>
                        </w:r>
                        <w:r>
                          <w:rPr>
                            <w:rFonts w:ascii="Times New Roman" w:hAnsi="Times New Roman"/>
                            <w:color w:val="565659"/>
                            <w:spacing w:val="-6"/>
                            <w:sz w:val="17"/>
                          </w:rPr>
                          <w:t> </w:t>
                        </w:r>
                        <w:r>
                          <w:rPr>
                            <w:rFonts w:ascii="Times New Roman" w:hAnsi="Times New Roman"/>
                            <w:color w:val="565659"/>
                            <w:sz w:val="17"/>
                          </w:rPr>
                          <w:t>pa</w:t>
                        </w:r>
                        <w:r>
                          <w:rPr>
                            <w:rFonts w:ascii="Times New Roman" w:hAnsi="Times New Roman"/>
                            <w:color w:val="2F2D31"/>
                            <w:sz w:val="17"/>
                          </w:rPr>
                          <w:t>ra</w:t>
                        </w:r>
                        <w:r>
                          <w:rPr>
                            <w:rFonts w:ascii="Times New Roman" w:hAnsi="Times New Roman"/>
                            <w:color w:val="2F2D31"/>
                            <w:spacing w:val="-7"/>
                            <w:sz w:val="17"/>
                          </w:rPr>
                          <w:t> </w:t>
                        </w:r>
                        <w:r>
                          <w:rPr>
                            <w:rFonts w:ascii="Times New Roman" w:hAnsi="Times New Roman"/>
                            <w:color w:val="565659"/>
                            <w:sz w:val="17"/>
                          </w:rPr>
                          <w:t>com</w:t>
                        </w:r>
                        <w:r>
                          <w:rPr>
                            <w:rFonts w:ascii="Times New Roman" w:hAnsi="Times New Roman"/>
                            <w:color w:val="2F2D31"/>
                            <w:sz w:val="17"/>
                          </w:rPr>
                          <w:t>put1</w:t>
                        </w:r>
                        <w:r>
                          <w:rPr>
                            <w:rFonts w:ascii="Times New Roman" w:hAnsi="Times New Roman"/>
                            <w:color w:val="565659"/>
                            <w:sz w:val="17"/>
                          </w:rPr>
                          <w:t>c</w:t>
                        </w:r>
                        <w:r>
                          <w:rPr>
                            <w:rFonts w:ascii="Times New Roman" w:hAnsi="Times New Roman"/>
                            <w:color w:val="2F2D31"/>
                            <w:sz w:val="17"/>
                          </w:rPr>
                          <w:t>i</w:t>
                        </w:r>
                        <w:r>
                          <w:rPr>
                            <w:rFonts w:ascii="Times New Roman" w:hAnsi="Times New Roman"/>
                            <w:color w:val="565659"/>
                            <w:sz w:val="17"/>
                          </w:rPr>
                          <w:t>ó</w:t>
                        </w:r>
                        <w:r>
                          <w:rPr>
                            <w:rFonts w:ascii="Times New Roman" w:hAnsi="Times New Roman"/>
                            <w:color w:val="2F2D31"/>
                            <w:sz w:val="17"/>
                          </w:rPr>
                          <w:t>n Equipo</w:t>
                        </w:r>
                        <w:r>
                          <w:rPr>
                            <w:rFonts w:ascii="Times New Roman" w:hAnsi="Times New Roman"/>
                            <w:color w:val="2F2D31"/>
                            <w:spacing w:val="-6"/>
                            <w:sz w:val="17"/>
                          </w:rPr>
                          <w:t> </w:t>
                        </w:r>
                        <w:r>
                          <w:rPr>
                            <w:rFonts w:ascii="Times New Roman" w:hAnsi="Times New Roman"/>
                            <w:color w:val="464246"/>
                            <w:sz w:val="17"/>
                          </w:rPr>
                          <w:t>Sai1it</w:t>
                        </w:r>
                        <w:r>
                          <w:rPr>
                            <w:rFonts w:ascii="Times New Roman" w:hAnsi="Times New Roman"/>
                            <w:color w:val="707479"/>
                            <w:sz w:val="17"/>
                          </w:rPr>
                          <w:t>a</w:t>
                        </w:r>
                        <w:r>
                          <w:rPr>
                            <w:rFonts w:ascii="Times New Roman" w:hAnsi="Times New Roman"/>
                            <w:color w:val="565659"/>
                            <w:sz w:val="17"/>
                          </w:rPr>
                          <w:t>rio</w:t>
                        </w:r>
                      </w:p>
                      <w:p>
                        <w:pPr>
                          <w:spacing w:before="0"/>
                          <w:ind w:left="942" w:right="0" w:firstLine="0"/>
                          <w:jc w:val="left"/>
                          <w:rPr>
                            <w:rFonts w:ascii="Times New Roman"/>
                            <w:sz w:val="17"/>
                          </w:rPr>
                        </w:pPr>
                        <w:r>
                          <w:rPr>
                            <w:rFonts w:ascii="Times New Roman"/>
                            <w:color w:val="2F2D31"/>
                            <w:spacing w:val="2"/>
                            <w:w w:val="90"/>
                            <w:sz w:val="17"/>
                          </w:rPr>
                          <w:t>Maq</w:t>
                        </w:r>
                        <w:r>
                          <w:rPr>
                            <w:rFonts w:ascii="Times New Roman"/>
                            <w:color w:val="565659"/>
                            <w:spacing w:val="2"/>
                            <w:w w:val="90"/>
                            <w:sz w:val="17"/>
                          </w:rPr>
                          <w:t>ui</w:t>
                        </w:r>
                        <w:r>
                          <w:rPr>
                            <w:rFonts w:ascii="Times New Roman"/>
                            <w:color w:val="2F2D31"/>
                            <w:spacing w:val="2"/>
                            <w:w w:val="90"/>
                            <w:sz w:val="17"/>
                          </w:rPr>
                          <w:t>nm-i</w:t>
                        </w:r>
                        <w:r>
                          <w:rPr>
                            <w:rFonts w:ascii="Times New Roman"/>
                            <w:color w:val="565659"/>
                            <w:spacing w:val="2"/>
                            <w:w w:val="90"/>
                            <w:sz w:val="17"/>
                          </w:rPr>
                          <w:t>as,</w:t>
                        </w:r>
                        <w:r>
                          <w:rPr>
                            <w:rFonts w:ascii="Times New Roman"/>
                            <w:color w:val="565659"/>
                            <w:spacing w:val="4"/>
                            <w:sz w:val="17"/>
                          </w:rPr>
                          <w:t> </w:t>
                        </w:r>
                        <w:r>
                          <w:rPr>
                            <w:rFonts w:ascii="Times New Roman"/>
                            <w:color w:val="565659"/>
                            <w:spacing w:val="-2"/>
                            <w:w w:val="90"/>
                            <w:sz w:val="17"/>
                          </w:rPr>
                          <w:t>eq</w:t>
                        </w:r>
                        <w:r>
                          <w:rPr>
                            <w:rFonts w:ascii="Times New Roman"/>
                            <w:color w:val="2F2D31"/>
                            <w:spacing w:val="-2"/>
                            <w:w w:val="90"/>
                            <w:sz w:val="17"/>
                          </w:rPr>
                          <w:t>uipo</w:t>
                        </w:r>
                      </w:p>
                      <w:p>
                        <w:pPr>
                          <w:spacing w:before="28"/>
                          <w:ind w:left="939" w:right="0" w:firstLine="0"/>
                          <w:jc w:val="left"/>
                          <w:rPr>
                            <w:rFonts w:ascii="Times New Roman"/>
                            <w:sz w:val="17"/>
                          </w:rPr>
                        </w:pPr>
                        <w:r>
                          <w:rPr>
                            <w:rFonts w:ascii="Times New Roman"/>
                            <w:color w:val="464246"/>
                            <w:spacing w:val="-2"/>
                            <w:sz w:val="17"/>
                          </w:rPr>
                          <w:t>diverso</w:t>
                        </w:r>
                      </w:p>
                    </w:txbxContent>
                  </v:textbox>
                  <w10:wrap type="none"/>
                </v:shape>
                <v:shape style="position:absolute;left:8371;top:1012;width:511;height:178" type="#_x0000_t202" id="docshape744" filled="false" stroked="false">
                  <v:textbox inset="0,0,0,0">
                    <w:txbxContent>
                      <w:p>
                        <w:pPr>
                          <w:spacing w:line="177" w:lineRule="exact" w:before="0"/>
                          <w:ind w:left="0" w:right="0" w:firstLine="0"/>
                          <w:jc w:val="left"/>
                          <w:rPr>
                            <w:rFonts w:ascii="Times New Roman"/>
                            <w:b/>
                            <w:sz w:val="16"/>
                          </w:rPr>
                        </w:pPr>
                        <w:r>
                          <w:rPr>
                            <w:rFonts w:ascii="Times New Roman"/>
                            <w:b/>
                            <w:color w:val="2F2D31"/>
                            <w:spacing w:val="-4"/>
                            <w:w w:val="110"/>
                            <w:sz w:val="16"/>
                          </w:rPr>
                          <w:t>Monto</w:t>
                        </w:r>
                      </w:p>
                    </w:txbxContent>
                  </v:textbox>
                  <w10:wrap type="none"/>
                </v:shape>
                <v:shape style="position:absolute;left:8944;top:1238;width:625;height:1371" type="#_x0000_t202" id="docshape745" filled="false" stroked="false">
                  <v:textbox inset="0,0,0,0">
                    <w:txbxContent>
                      <w:p>
                        <w:pPr>
                          <w:spacing w:line="188" w:lineRule="exact" w:before="0"/>
                          <w:ind w:left="0" w:right="25" w:firstLine="0"/>
                          <w:jc w:val="right"/>
                          <w:rPr>
                            <w:rFonts w:ascii="Times New Roman"/>
                            <w:sz w:val="17"/>
                          </w:rPr>
                        </w:pPr>
                        <w:r>
                          <w:rPr>
                            <w:rFonts w:ascii="Times New Roman"/>
                            <w:color w:val="565659"/>
                            <w:spacing w:val="-2"/>
                            <w:sz w:val="17"/>
                          </w:rPr>
                          <w:t>512.82</w:t>
                        </w:r>
                      </w:p>
                      <w:p>
                        <w:pPr>
                          <w:spacing w:before="40"/>
                          <w:ind w:left="0" w:right="23" w:firstLine="0"/>
                          <w:jc w:val="right"/>
                          <w:rPr>
                            <w:rFonts w:ascii="Times New Roman"/>
                            <w:sz w:val="17"/>
                          </w:rPr>
                        </w:pPr>
                        <w:r>
                          <w:rPr>
                            <w:rFonts w:ascii="Times New Roman"/>
                            <w:color w:val="464246"/>
                            <w:spacing w:val="-4"/>
                            <w:sz w:val="17"/>
                          </w:rPr>
                          <w:t>0.50</w:t>
                        </w:r>
                      </w:p>
                      <w:p>
                        <w:pPr>
                          <w:spacing w:before="160"/>
                          <w:ind w:left="0" w:right="18" w:firstLine="0"/>
                          <w:jc w:val="right"/>
                          <w:rPr>
                            <w:rFonts w:ascii="Times New Roman"/>
                            <w:sz w:val="17"/>
                          </w:rPr>
                        </w:pPr>
                        <w:r>
                          <w:rPr>
                            <w:rFonts w:ascii="Times New Roman"/>
                            <w:color w:val="565659"/>
                            <w:spacing w:val="-2"/>
                            <w:sz w:val="17"/>
                          </w:rPr>
                          <w:t>3,687</w:t>
                        </w:r>
                        <w:r>
                          <w:rPr>
                            <w:rFonts w:ascii="Times New Roman"/>
                            <w:color w:val="2F2D31"/>
                            <w:spacing w:val="-2"/>
                            <w:sz w:val="17"/>
                          </w:rPr>
                          <w:t>.</w:t>
                        </w:r>
                        <w:r>
                          <w:rPr>
                            <w:rFonts w:ascii="Times New Roman"/>
                            <w:color w:val="565659"/>
                            <w:spacing w:val="-2"/>
                            <w:sz w:val="17"/>
                          </w:rPr>
                          <w:t>68</w:t>
                        </w:r>
                      </w:p>
                      <w:p>
                        <w:pPr>
                          <w:spacing w:before="160"/>
                          <w:ind w:left="0" w:right="18" w:firstLine="0"/>
                          <w:jc w:val="right"/>
                          <w:rPr>
                            <w:rFonts w:ascii="Times New Roman"/>
                            <w:sz w:val="17"/>
                          </w:rPr>
                        </w:pPr>
                        <w:r>
                          <w:rPr>
                            <w:rFonts w:ascii="Times New Roman"/>
                            <w:color w:val="565659"/>
                            <w:spacing w:val="-2"/>
                            <w:sz w:val="17"/>
                          </w:rPr>
                          <w:t>3</w:t>
                        </w:r>
                        <w:r>
                          <w:rPr>
                            <w:rFonts w:ascii="Times New Roman"/>
                            <w:color w:val="707479"/>
                            <w:spacing w:val="-2"/>
                            <w:sz w:val="17"/>
                          </w:rPr>
                          <w:t>,</w:t>
                        </w:r>
                        <w:r>
                          <w:rPr>
                            <w:rFonts w:ascii="Times New Roman"/>
                            <w:color w:val="565659"/>
                            <w:spacing w:val="-2"/>
                            <w:sz w:val="17"/>
                          </w:rPr>
                          <w:t>429</w:t>
                        </w:r>
                        <w:r>
                          <w:rPr>
                            <w:rFonts w:ascii="Times New Roman"/>
                            <w:color w:val="2F2D31"/>
                            <w:spacing w:val="-2"/>
                            <w:sz w:val="17"/>
                          </w:rPr>
                          <w:t>.1</w:t>
                        </w:r>
                        <w:r>
                          <w:rPr>
                            <w:rFonts w:ascii="Times New Roman"/>
                            <w:color w:val="565659"/>
                            <w:spacing w:val="-2"/>
                            <w:sz w:val="17"/>
                          </w:rPr>
                          <w:t>4</w:t>
                        </w:r>
                      </w:p>
                      <w:p>
                        <w:pPr>
                          <w:spacing w:before="40"/>
                          <w:ind w:left="0" w:right="22" w:firstLine="0"/>
                          <w:jc w:val="right"/>
                          <w:rPr>
                            <w:rFonts w:ascii="Times New Roman"/>
                            <w:sz w:val="17"/>
                          </w:rPr>
                        </w:pPr>
                        <w:r>
                          <w:rPr>
                            <w:rFonts w:ascii="Times New Roman"/>
                            <w:color w:val="464246"/>
                            <w:spacing w:val="-4"/>
                            <w:sz w:val="17"/>
                          </w:rPr>
                          <w:t>0.50</w:t>
                        </w:r>
                      </w:p>
                    </w:txbxContent>
                  </v:textbox>
                  <w10:wrap type="none"/>
                </v:shape>
                <v:shape style="position:absolute;left:3816;top:2771;width:787;height:189" type="#_x0000_t202" id="docshape746" filled="false" stroked="false">
                  <v:textbox inset="0,0,0,0">
                    <w:txbxContent>
                      <w:p>
                        <w:pPr>
                          <w:spacing w:line="188" w:lineRule="exact" w:before="0"/>
                          <w:ind w:left="0" w:right="0" w:firstLine="0"/>
                          <w:jc w:val="left"/>
                          <w:rPr>
                            <w:rFonts w:ascii="Times New Roman"/>
                            <w:sz w:val="17"/>
                          </w:rPr>
                        </w:pPr>
                        <w:r>
                          <w:rPr>
                            <w:rFonts w:ascii="Times New Roman"/>
                            <w:color w:val="2F2D31"/>
                            <w:spacing w:val="-2"/>
                            <w:sz w:val="17"/>
                          </w:rPr>
                          <w:t>1.2.5.</w:t>
                        </w:r>
                        <w:r>
                          <w:rPr>
                            <w:rFonts w:ascii="Times New Roman"/>
                            <w:color w:val="565659"/>
                            <w:spacing w:val="-2"/>
                            <w:sz w:val="17"/>
                          </w:rPr>
                          <w:t>0</w:t>
                        </w:r>
                        <w:r>
                          <w:rPr>
                            <w:rFonts w:ascii="Times New Roman"/>
                            <w:color w:val="2F2D31"/>
                            <w:spacing w:val="-2"/>
                            <w:sz w:val="17"/>
                          </w:rPr>
                          <w:t>1.99</w:t>
                        </w:r>
                      </w:p>
                    </w:txbxContent>
                  </v:textbox>
                  <w10:wrap type="none"/>
                </v:shape>
                <v:shape style="position:absolute;left:3994;top:3136;width:414;height:178" type="#_x0000_t202" id="docshape747" filled="false" stroked="false">
                  <v:textbox inset="0,0,0,0">
                    <w:txbxContent>
                      <w:p>
                        <w:pPr>
                          <w:spacing w:line="177" w:lineRule="exact" w:before="0"/>
                          <w:ind w:left="0" w:right="0" w:firstLine="0"/>
                          <w:jc w:val="left"/>
                          <w:rPr>
                            <w:rFonts w:ascii="Times New Roman"/>
                            <w:b/>
                            <w:sz w:val="16"/>
                          </w:rPr>
                        </w:pPr>
                        <w:r>
                          <w:rPr>
                            <w:rFonts w:ascii="Times New Roman"/>
                            <w:b/>
                            <w:color w:val="1A181C"/>
                            <w:spacing w:val="-4"/>
                            <w:w w:val="110"/>
                            <w:sz w:val="16"/>
                          </w:rPr>
                          <w:t>Total</w:t>
                        </w:r>
                      </w:p>
                    </w:txbxContent>
                  </v:textbox>
                  <w10:wrap type="none"/>
                </v:shape>
                <v:shape style="position:absolute;left:8912;top:2771;width:649;height:545" type="#_x0000_t202" id="docshape748" filled="false" stroked="false">
                  <v:textbox inset="0,0,0,0">
                    <w:txbxContent>
                      <w:p>
                        <w:pPr>
                          <w:spacing w:line="188" w:lineRule="exact" w:before="0"/>
                          <w:ind w:left="161" w:right="0" w:firstLine="0"/>
                          <w:jc w:val="left"/>
                          <w:rPr>
                            <w:rFonts w:ascii="Times New Roman"/>
                            <w:sz w:val="17"/>
                          </w:rPr>
                        </w:pPr>
                        <w:r>
                          <w:rPr>
                            <w:rFonts w:ascii="Times New Roman"/>
                            <w:color w:val="464246"/>
                            <w:spacing w:val="-2"/>
                            <w:w w:val="80"/>
                            <w:sz w:val="17"/>
                          </w:rPr>
                          <w:t>511...J.3</w:t>
                        </w:r>
                      </w:p>
                      <w:p>
                        <w:pPr>
                          <w:spacing w:before="160"/>
                          <w:ind w:left="0" w:right="0" w:firstLine="0"/>
                          <w:jc w:val="left"/>
                          <w:rPr>
                            <w:rFonts w:ascii="Times New Roman"/>
                            <w:b/>
                            <w:sz w:val="17"/>
                          </w:rPr>
                        </w:pPr>
                        <w:r>
                          <w:rPr>
                            <w:rFonts w:ascii="Times New Roman"/>
                            <w:b/>
                            <w:color w:val="2F2D31"/>
                            <w:spacing w:val="-2"/>
                            <w:w w:val="105"/>
                            <w:sz w:val="17"/>
                          </w:rPr>
                          <w:t>8,142.07</w:t>
                        </w:r>
                      </w:p>
                    </w:txbxContent>
                  </v:textbox>
                  <w10:wrap type="none"/>
                </v:shape>
                <v:shape style="position:absolute;left:2781;top:3354;width:1191;height:185" type="#_x0000_t202" id="docshape749" filled="false" stroked="false">
                  <v:textbox inset="0,0,0,0">
                    <w:txbxContent>
                      <w:p>
                        <w:pPr>
                          <w:spacing w:before="14"/>
                          <w:ind w:left="20" w:right="0" w:firstLine="0"/>
                          <w:jc w:val="left"/>
                          <w:rPr>
                            <w:rFonts w:ascii="Times New Roman"/>
                            <w:i/>
                            <w:sz w:val="13"/>
                          </w:rPr>
                        </w:pPr>
                        <w:r>
                          <w:rPr>
                            <w:rFonts w:ascii="Times New Roman"/>
                            <w:i/>
                            <w:color w:val="2F2D31"/>
                            <w:sz w:val="13"/>
                          </w:rPr>
                          <w:t>Fuent</w:t>
                        </w:r>
                        <w:r>
                          <w:rPr>
                            <w:rFonts w:ascii="Times New Roman"/>
                            <w:i/>
                            <w:color w:val="565659"/>
                            <w:sz w:val="13"/>
                          </w:rPr>
                          <w:t>e:</w:t>
                        </w:r>
                        <w:r>
                          <w:rPr>
                            <w:rFonts w:ascii="Times New Roman"/>
                            <w:i/>
                            <w:color w:val="565659"/>
                            <w:spacing w:val="-9"/>
                            <w:sz w:val="13"/>
                          </w:rPr>
                          <w:t> </w:t>
                        </w:r>
                        <w:r>
                          <w:rPr>
                            <w:rFonts w:ascii="Times New Roman"/>
                            <w:i/>
                            <w:color w:val="464246"/>
                            <w:sz w:val="13"/>
                          </w:rPr>
                          <w:t>SiStcm;i</w:t>
                        </w:r>
                        <w:r>
                          <w:rPr>
                            <w:rFonts w:ascii="Times New Roman"/>
                            <w:i/>
                            <w:color w:val="464246"/>
                            <w:spacing w:val="5"/>
                            <w:sz w:val="13"/>
                          </w:rPr>
                          <w:t> </w:t>
                        </w:r>
                        <w:r>
                          <w:rPr>
                            <w:rFonts w:ascii="Times New Roman"/>
                            <w:i/>
                            <w:color w:val="2F2D31"/>
                            <w:spacing w:val="-5"/>
                            <w:sz w:val="13"/>
                          </w:rPr>
                          <w:t>SAP</w:t>
                        </w:r>
                      </w:p>
                    </w:txbxContent>
                  </v:textbox>
                  <w10:wrap type="none"/>
                </v:shape>
                <v:shape style="position:absolute;left:2831;top:4057;width:6965;height:1140" type="#_x0000_t202" id="docshape750" filled="false" stroked="false">
                  <v:textbox inset="0,0,0,0">
                    <w:txbxContent>
                      <w:p>
                        <w:pPr>
                          <w:numPr>
                            <w:ilvl w:val="0"/>
                            <w:numId w:val="65"/>
                          </w:numPr>
                          <w:tabs>
                            <w:tab w:pos="379" w:val="left" w:leader="none"/>
                          </w:tabs>
                          <w:spacing w:line="246" w:lineRule="exact" w:before="0"/>
                          <w:ind w:left="379" w:right="0" w:hanging="359"/>
                          <w:jc w:val="left"/>
                          <w:rPr>
                            <w:sz w:val="22"/>
                          </w:rPr>
                        </w:pPr>
                        <w:r>
                          <w:rPr>
                            <w:sz w:val="22"/>
                          </w:rPr>
                          <w:t>Segregaciones</w:t>
                        </w:r>
                        <w:r>
                          <w:rPr>
                            <w:spacing w:val="-5"/>
                            <w:sz w:val="22"/>
                          </w:rPr>
                          <w:t> </w:t>
                        </w:r>
                        <w:r>
                          <w:rPr>
                            <w:sz w:val="22"/>
                          </w:rPr>
                          <w:t>de</w:t>
                        </w:r>
                        <w:r>
                          <w:rPr>
                            <w:spacing w:val="-3"/>
                            <w:sz w:val="22"/>
                          </w:rPr>
                          <w:t> </w:t>
                        </w:r>
                        <w:r>
                          <w:rPr>
                            <w:sz w:val="22"/>
                          </w:rPr>
                          <w:t>terrenos</w:t>
                        </w:r>
                        <w:r>
                          <w:rPr>
                            <w:spacing w:val="-3"/>
                            <w:sz w:val="22"/>
                          </w:rPr>
                          <w:t> </w:t>
                        </w:r>
                        <w:r>
                          <w:rPr>
                            <w:sz w:val="22"/>
                          </w:rPr>
                          <w:t>por</w:t>
                        </w:r>
                        <w:r>
                          <w:rPr>
                            <w:spacing w:val="-3"/>
                            <w:sz w:val="22"/>
                          </w:rPr>
                          <w:t> </w:t>
                        </w:r>
                        <w:r>
                          <w:rPr>
                            <w:sz w:val="22"/>
                          </w:rPr>
                          <w:t>un</w:t>
                        </w:r>
                        <w:r>
                          <w:rPr>
                            <w:spacing w:val="-7"/>
                            <w:sz w:val="22"/>
                          </w:rPr>
                          <w:t> </w:t>
                        </w:r>
                        <w:r>
                          <w:rPr>
                            <w:sz w:val="22"/>
                          </w:rPr>
                          <w:t>monto</w:t>
                        </w:r>
                        <w:r>
                          <w:rPr>
                            <w:spacing w:val="-3"/>
                            <w:sz w:val="22"/>
                          </w:rPr>
                          <w:t> </w:t>
                        </w:r>
                        <w:r>
                          <w:rPr>
                            <w:sz w:val="22"/>
                          </w:rPr>
                          <w:t>de</w:t>
                        </w:r>
                        <w:r>
                          <w:rPr>
                            <w:spacing w:val="-4"/>
                            <w:sz w:val="22"/>
                          </w:rPr>
                          <w:t> </w:t>
                        </w:r>
                        <w:r>
                          <w:rPr>
                            <w:sz w:val="22"/>
                          </w:rPr>
                          <w:t>¢</w:t>
                        </w:r>
                        <w:r>
                          <w:rPr>
                            <w:spacing w:val="-2"/>
                            <w:sz w:val="22"/>
                          </w:rPr>
                          <w:t> </w:t>
                        </w:r>
                        <w:r>
                          <w:rPr>
                            <w:sz w:val="22"/>
                          </w:rPr>
                          <w:t>407.250,40</w:t>
                        </w:r>
                        <w:r>
                          <w:rPr>
                            <w:spacing w:val="-3"/>
                            <w:sz w:val="22"/>
                          </w:rPr>
                          <w:t> </w:t>
                        </w:r>
                        <w:r>
                          <w:rPr>
                            <w:sz w:val="22"/>
                          </w:rPr>
                          <w:t>miles</w:t>
                        </w:r>
                        <w:r>
                          <w:rPr>
                            <w:spacing w:val="-3"/>
                            <w:sz w:val="22"/>
                          </w:rPr>
                          <w:t> </w:t>
                        </w:r>
                        <w:r>
                          <w:rPr>
                            <w:sz w:val="22"/>
                          </w:rPr>
                          <w:t>de</w:t>
                        </w:r>
                        <w:r>
                          <w:rPr>
                            <w:spacing w:val="-3"/>
                            <w:sz w:val="22"/>
                          </w:rPr>
                          <w:t> </w:t>
                        </w:r>
                        <w:r>
                          <w:rPr>
                            <w:spacing w:val="-2"/>
                            <w:sz w:val="22"/>
                          </w:rPr>
                          <w:t>colones:</w:t>
                        </w:r>
                      </w:p>
                      <w:p>
                        <w:pPr>
                          <w:spacing w:line="240" w:lineRule="auto" w:before="91"/>
                          <w:rPr>
                            <w:sz w:val="22"/>
                          </w:rPr>
                        </w:pPr>
                      </w:p>
                      <w:p>
                        <w:pPr>
                          <w:spacing w:before="0"/>
                          <w:ind w:left="797" w:right="242" w:firstLine="0"/>
                          <w:jc w:val="center"/>
                          <w:rPr>
                            <w:rFonts w:ascii="Arial" w:hAnsi="Arial"/>
                            <w:sz w:val="10"/>
                          </w:rPr>
                        </w:pPr>
                        <w:r>
                          <w:rPr>
                            <w:rFonts w:ascii="Arial" w:hAnsi="Arial"/>
                            <w:color w:val="2F2D31"/>
                            <w:w w:val="185"/>
                            <w:sz w:val="10"/>
                          </w:rPr>
                          <w:t>Segregación_</w:t>
                        </w:r>
                        <w:r>
                          <w:rPr>
                            <w:rFonts w:ascii="Arial" w:hAnsi="Arial"/>
                            <w:color w:val="2F2D31"/>
                            <w:spacing w:val="17"/>
                            <w:w w:val="185"/>
                            <w:sz w:val="10"/>
                          </w:rPr>
                          <w:t> </w:t>
                        </w:r>
                        <w:r>
                          <w:rPr>
                            <w:rFonts w:ascii="Arial" w:hAnsi="Arial"/>
                            <w:color w:val="2F2D31"/>
                            <w:w w:val="185"/>
                            <w:sz w:val="10"/>
                          </w:rPr>
                          <w:t>de</w:t>
                        </w:r>
                        <w:r>
                          <w:rPr>
                            <w:rFonts w:ascii="Arial" w:hAnsi="Arial"/>
                            <w:color w:val="2F2D31"/>
                            <w:spacing w:val="37"/>
                            <w:w w:val="185"/>
                            <w:sz w:val="10"/>
                          </w:rPr>
                          <w:t> </w:t>
                        </w:r>
                        <w:r>
                          <w:rPr>
                            <w:rFonts w:ascii="Arial" w:hAnsi="Arial"/>
                            <w:color w:val="1A181C"/>
                            <w:w w:val="185"/>
                            <w:sz w:val="10"/>
                          </w:rPr>
                          <w:t>T</w:t>
                        </w:r>
                        <w:r>
                          <w:rPr>
                            <w:rFonts w:ascii="Arial" w:hAnsi="Arial"/>
                            <w:color w:val="464246"/>
                            <w:w w:val="185"/>
                            <w:sz w:val="10"/>
                          </w:rPr>
                          <w:t>erre1-</w:t>
                        </w:r>
                        <w:r>
                          <w:rPr>
                            <w:rFonts w:ascii="Arial" w:hAnsi="Arial"/>
                            <w:color w:val="464246"/>
                            <w:spacing w:val="-4"/>
                            <w:w w:val="185"/>
                            <w:sz w:val="10"/>
                          </w:rPr>
                          <w:t>i_os</w:t>
                        </w:r>
                      </w:p>
                      <w:p>
                        <w:pPr>
                          <w:spacing w:before="36"/>
                          <w:ind w:left="832" w:right="242" w:firstLine="0"/>
                          <w:jc w:val="center"/>
                          <w:rPr>
                            <w:rFonts w:ascii="Times New Roman"/>
                            <w:b/>
                            <w:sz w:val="13"/>
                          </w:rPr>
                        </w:pPr>
                        <w:r>
                          <w:rPr>
                            <w:rFonts w:ascii="Times New Roman"/>
                            <w:b/>
                            <w:color w:val="1A181C"/>
                            <w:w w:val="170"/>
                            <w:sz w:val="13"/>
                          </w:rPr>
                          <w:t>P</w:t>
                        </w:r>
                        <w:r>
                          <w:rPr>
                            <w:rFonts w:ascii="Times New Roman"/>
                            <w:b/>
                            <w:color w:val="464246"/>
                            <w:w w:val="170"/>
                            <w:sz w:val="13"/>
                          </w:rPr>
                          <w:t>er</w:t>
                        </w:r>
                        <w:r>
                          <w:rPr>
                            <w:rFonts w:ascii="Times New Roman"/>
                            <w:b/>
                            <w:color w:val="1A181C"/>
                            <w:w w:val="170"/>
                            <w:sz w:val="13"/>
                          </w:rPr>
                          <w:t>iodo</w:t>
                        </w:r>
                        <w:r>
                          <w:rPr>
                            <w:rFonts w:ascii="Times New Roman"/>
                            <w:b/>
                            <w:color w:val="1A181C"/>
                            <w:spacing w:val="51"/>
                            <w:w w:val="170"/>
                            <w:sz w:val="13"/>
                          </w:rPr>
                          <w:t> </w:t>
                        </w:r>
                        <w:r>
                          <w:rPr>
                            <w:rFonts w:ascii="Times New Roman"/>
                            <w:b/>
                            <w:color w:val="2F2D31"/>
                            <w:w w:val="170"/>
                            <w:sz w:val="13"/>
                          </w:rPr>
                          <w:t>a</w:t>
                        </w:r>
                        <w:r>
                          <w:rPr>
                            <w:rFonts w:ascii="Times New Roman"/>
                            <w:b/>
                            <w:color w:val="2F2D31"/>
                            <w:spacing w:val="-23"/>
                            <w:w w:val="170"/>
                            <w:sz w:val="13"/>
                          </w:rPr>
                          <w:t> </w:t>
                        </w:r>
                        <w:r>
                          <w:rPr>
                            <w:rFonts w:ascii="Times New Roman"/>
                            <w:b/>
                            <w:color w:val="2F2D31"/>
                            <w:w w:val="170"/>
                            <w:sz w:val="13"/>
                          </w:rPr>
                          <w:t>Ju</w:t>
                        </w:r>
                        <w:r>
                          <w:rPr>
                            <w:rFonts w:ascii="Times New Roman"/>
                            <w:b/>
                            <w:color w:val="05080A"/>
                            <w:w w:val="170"/>
                            <w:sz w:val="13"/>
                          </w:rPr>
                          <w:t>li</w:t>
                        </w:r>
                        <w:r>
                          <w:rPr>
                            <w:rFonts w:ascii="Times New Roman"/>
                            <w:b/>
                            <w:color w:val="2F2D31"/>
                            <w:w w:val="170"/>
                            <w:sz w:val="13"/>
                          </w:rPr>
                          <w:t>o</w:t>
                        </w:r>
                        <w:r>
                          <w:rPr>
                            <w:rFonts w:ascii="Times New Roman"/>
                            <w:b/>
                            <w:color w:val="2F2D31"/>
                            <w:spacing w:val="61"/>
                            <w:w w:val="170"/>
                            <w:sz w:val="13"/>
                          </w:rPr>
                          <w:t> </w:t>
                        </w:r>
                        <w:r>
                          <w:rPr>
                            <w:rFonts w:ascii="Times New Roman"/>
                            <w:b/>
                            <w:color w:val="2F2D31"/>
                            <w:spacing w:val="-4"/>
                            <w:w w:val="170"/>
                            <w:sz w:val="13"/>
                          </w:rPr>
                          <w:t>2026</w:t>
                        </w:r>
                      </w:p>
                      <w:p>
                        <w:pPr>
                          <w:spacing w:before="104"/>
                          <w:ind w:left="590" w:right="832" w:firstLine="0"/>
                          <w:jc w:val="center"/>
                          <w:rPr>
                            <w:rFonts w:ascii="Times New Roman"/>
                            <w:sz w:val="11"/>
                          </w:rPr>
                        </w:pPr>
                        <w:r>
                          <w:rPr>
                            <w:rFonts w:ascii="Times New Roman"/>
                            <w:color w:val="2F2D31"/>
                            <w:w w:val="190"/>
                            <w:sz w:val="11"/>
                          </w:rPr>
                          <w:t>Acuerdo</w:t>
                        </w:r>
                        <w:r>
                          <w:rPr>
                            <w:rFonts w:ascii="Times New Roman"/>
                            <w:color w:val="2F2D31"/>
                            <w:spacing w:val="73"/>
                            <w:w w:val="190"/>
                            <w:sz w:val="11"/>
                          </w:rPr>
                          <w:t> </w:t>
                        </w:r>
                        <w:r>
                          <w:rPr>
                            <w:rFonts w:ascii="Times New Roman"/>
                            <w:color w:val="2F2D31"/>
                            <w:spacing w:val="-2"/>
                            <w:w w:val="190"/>
                            <w:sz w:val="11"/>
                          </w:rPr>
                          <w:t>Con_sejo</w:t>
                        </w:r>
                      </w:p>
                    </w:txbxContent>
                  </v:textbox>
                  <w10:wrap type="none"/>
                </v:shape>
                <v:shape style="position:absolute;left:2831;top:7456;width:7438;height:266" type="#_x0000_t202" id="docshape751" filled="false" stroked="false">
                  <v:textbox inset="0,0,0,0">
                    <w:txbxContent>
                      <w:p>
                        <w:pPr>
                          <w:numPr>
                            <w:ilvl w:val="0"/>
                            <w:numId w:val="66"/>
                          </w:numPr>
                          <w:tabs>
                            <w:tab w:pos="379" w:val="left" w:leader="none"/>
                          </w:tabs>
                          <w:spacing w:line="246" w:lineRule="exact" w:before="0"/>
                          <w:ind w:left="379" w:right="0" w:hanging="359"/>
                          <w:jc w:val="left"/>
                          <w:rPr>
                            <w:sz w:val="22"/>
                          </w:rPr>
                        </w:pPr>
                        <w:r>
                          <w:rPr>
                            <w:sz w:val="22"/>
                          </w:rPr>
                          <w:t>Bajas</w:t>
                        </w:r>
                        <w:r>
                          <w:rPr>
                            <w:spacing w:val="-5"/>
                            <w:sz w:val="22"/>
                          </w:rPr>
                          <w:t> </w:t>
                        </w:r>
                        <w:r>
                          <w:rPr>
                            <w:sz w:val="22"/>
                          </w:rPr>
                          <w:t>de</w:t>
                        </w:r>
                        <w:r>
                          <w:rPr>
                            <w:spacing w:val="-3"/>
                            <w:sz w:val="22"/>
                          </w:rPr>
                          <w:t> </w:t>
                        </w:r>
                        <w:r>
                          <w:rPr>
                            <w:sz w:val="22"/>
                          </w:rPr>
                          <w:t>terrenos</w:t>
                        </w:r>
                        <w:r>
                          <w:rPr>
                            <w:spacing w:val="-2"/>
                            <w:sz w:val="22"/>
                          </w:rPr>
                          <w:t> </w:t>
                        </w:r>
                        <w:r>
                          <w:rPr>
                            <w:sz w:val="22"/>
                          </w:rPr>
                          <w:t>por</w:t>
                        </w:r>
                        <w:r>
                          <w:rPr>
                            <w:spacing w:val="-3"/>
                            <w:sz w:val="22"/>
                          </w:rPr>
                          <w:t> </w:t>
                        </w:r>
                        <w:r>
                          <w:rPr>
                            <w:sz w:val="22"/>
                          </w:rPr>
                          <w:t>donación</w:t>
                        </w:r>
                        <w:r>
                          <w:rPr>
                            <w:spacing w:val="-4"/>
                            <w:sz w:val="22"/>
                          </w:rPr>
                          <w:t> </w:t>
                        </w:r>
                        <w:r>
                          <w:rPr>
                            <w:sz w:val="22"/>
                          </w:rPr>
                          <w:t>por</w:t>
                        </w:r>
                        <w:r>
                          <w:rPr>
                            <w:spacing w:val="-6"/>
                            <w:sz w:val="22"/>
                          </w:rPr>
                          <w:t> </w:t>
                        </w:r>
                        <w:r>
                          <w:rPr>
                            <w:sz w:val="22"/>
                          </w:rPr>
                          <w:t>un</w:t>
                        </w:r>
                        <w:r>
                          <w:rPr>
                            <w:spacing w:val="-6"/>
                            <w:sz w:val="22"/>
                          </w:rPr>
                          <w:t> </w:t>
                        </w:r>
                        <w:r>
                          <w:rPr>
                            <w:sz w:val="22"/>
                          </w:rPr>
                          <w:t>monto</w:t>
                        </w:r>
                        <w:r>
                          <w:rPr>
                            <w:spacing w:val="-2"/>
                            <w:sz w:val="22"/>
                          </w:rPr>
                          <w:t> </w:t>
                        </w:r>
                        <w:r>
                          <w:rPr>
                            <w:sz w:val="22"/>
                          </w:rPr>
                          <w:t>de</w:t>
                        </w:r>
                        <w:r>
                          <w:rPr>
                            <w:spacing w:val="-2"/>
                            <w:sz w:val="22"/>
                          </w:rPr>
                          <w:t> </w:t>
                        </w:r>
                        <w:r>
                          <w:rPr>
                            <w:sz w:val="22"/>
                          </w:rPr>
                          <w:t>¢</w:t>
                        </w:r>
                        <w:r>
                          <w:rPr>
                            <w:spacing w:val="-2"/>
                            <w:sz w:val="22"/>
                          </w:rPr>
                          <w:t> </w:t>
                        </w:r>
                        <w:r>
                          <w:rPr>
                            <w:sz w:val="22"/>
                          </w:rPr>
                          <w:t>195.764,01</w:t>
                        </w:r>
                        <w:r>
                          <w:rPr>
                            <w:spacing w:val="-3"/>
                            <w:sz w:val="22"/>
                          </w:rPr>
                          <w:t> </w:t>
                        </w:r>
                        <w:r>
                          <w:rPr>
                            <w:sz w:val="22"/>
                          </w:rPr>
                          <w:t>miles</w:t>
                        </w:r>
                        <w:r>
                          <w:rPr>
                            <w:spacing w:val="-2"/>
                            <w:sz w:val="22"/>
                          </w:rPr>
                          <w:t> </w:t>
                        </w:r>
                        <w:r>
                          <w:rPr>
                            <w:sz w:val="22"/>
                          </w:rPr>
                          <w:t>de</w:t>
                        </w:r>
                        <w:r>
                          <w:rPr>
                            <w:spacing w:val="-2"/>
                            <w:sz w:val="22"/>
                          </w:rPr>
                          <w:t> colones:</w:t>
                        </w:r>
                      </w:p>
                    </w:txbxContent>
                  </v:textbox>
                  <w10:wrap type="none"/>
                </v:shape>
                <v:shape style="position:absolute;left:3698;top:8179;width:4744;height:675" type="#_x0000_t202" id="docshape752" filled="false" stroked="false">
                  <v:textbox inset="0,0,0,0">
                    <w:txbxContent>
                      <w:p>
                        <w:pPr>
                          <w:spacing w:before="14"/>
                          <w:ind w:left="20" w:right="0" w:firstLine="0"/>
                          <w:jc w:val="left"/>
                          <w:rPr>
                            <w:rFonts w:ascii="Times New Roman" w:hAnsi="Times New Roman"/>
                            <w:sz w:val="13"/>
                          </w:rPr>
                        </w:pPr>
                        <w:r>
                          <w:rPr>
                            <w:rFonts w:ascii="Times New Roman" w:hAnsi="Times New Roman"/>
                            <w:color w:val="2F2D31"/>
                            <w:w w:val="180"/>
                            <w:sz w:val="13"/>
                          </w:rPr>
                          <w:t>Bajas</w:t>
                        </w:r>
                        <w:r>
                          <w:rPr>
                            <w:rFonts w:ascii="Times New Roman" w:hAnsi="Times New Roman"/>
                            <w:color w:val="2F2D31"/>
                            <w:spacing w:val="12"/>
                            <w:w w:val="180"/>
                            <w:sz w:val="13"/>
                          </w:rPr>
                          <w:t> </w:t>
                        </w:r>
                        <w:r>
                          <w:rPr>
                            <w:rFonts w:ascii="Times New Roman" w:hAnsi="Times New Roman"/>
                            <w:color w:val="2F2D31"/>
                            <w:w w:val="160"/>
                            <w:sz w:val="13"/>
                          </w:rPr>
                          <w:t>Terre.n._os</w:t>
                        </w:r>
                        <w:r>
                          <w:rPr>
                            <w:rFonts w:ascii="Times New Roman" w:hAnsi="Times New Roman"/>
                            <w:color w:val="2F2D31"/>
                            <w:spacing w:val="24"/>
                            <w:w w:val="160"/>
                            <w:sz w:val="13"/>
                          </w:rPr>
                          <w:t> </w:t>
                        </w:r>
                        <w:r>
                          <w:rPr>
                            <w:rFonts w:ascii="Times New Roman" w:hAnsi="Times New Roman"/>
                            <w:color w:val="1A181C"/>
                            <w:w w:val="160"/>
                            <w:sz w:val="13"/>
                          </w:rPr>
                          <w:t>por</w:t>
                        </w:r>
                        <w:r>
                          <w:rPr>
                            <w:rFonts w:ascii="Times New Roman" w:hAnsi="Times New Roman"/>
                            <w:color w:val="1A181C"/>
                            <w:spacing w:val="33"/>
                            <w:w w:val="160"/>
                            <w:sz w:val="13"/>
                          </w:rPr>
                          <w:t>  </w:t>
                        </w:r>
                        <w:r>
                          <w:rPr>
                            <w:rFonts w:ascii="Times New Roman" w:hAnsi="Times New Roman"/>
                            <w:color w:val="2F2D31"/>
                            <w:w w:val="155"/>
                            <w:sz w:val="13"/>
                          </w:rPr>
                          <w:t>co.n._cept&lt;&gt;</w:t>
                        </w:r>
                        <w:r>
                          <w:rPr>
                            <w:rFonts w:ascii="Times New Roman" w:hAnsi="Times New Roman"/>
                            <w:color w:val="2F2D31"/>
                            <w:spacing w:val="35"/>
                            <w:w w:val="160"/>
                            <w:sz w:val="13"/>
                          </w:rPr>
                          <w:t> </w:t>
                        </w:r>
                        <w:r>
                          <w:rPr>
                            <w:rFonts w:ascii="Times New Roman" w:hAnsi="Times New Roman"/>
                            <w:color w:val="1A181C"/>
                            <w:w w:val="160"/>
                            <w:sz w:val="13"/>
                          </w:rPr>
                          <w:t>de</w:t>
                        </w:r>
                        <w:r>
                          <w:rPr>
                            <w:rFonts w:ascii="Times New Roman" w:hAnsi="Times New Roman"/>
                            <w:color w:val="1A181C"/>
                            <w:spacing w:val="37"/>
                            <w:w w:val="160"/>
                            <w:sz w:val="13"/>
                          </w:rPr>
                          <w:t>  </w:t>
                        </w:r>
                        <w:r>
                          <w:rPr>
                            <w:rFonts w:ascii="Times New Roman" w:hAnsi="Times New Roman"/>
                            <w:color w:val="1A181C"/>
                            <w:spacing w:val="-2"/>
                            <w:w w:val="160"/>
                            <w:sz w:val="13"/>
                          </w:rPr>
                          <w:t>Do.n.ació.n._</w:t>
                        </w:r>
                      </w:p>
                      <w:p>
                        <w:pPr>
                          <w:spacing w:before="39"/>
                          <w:ind w:left="1412" w:right="0" w:firstLine="0"/>
                          <w:jc w:val="left"/>
                          <w:rPr>
                            <w:rFonts w:ascii="Times New Roman"/>
                            <w:b/>
                            <w:sz w:val="15"/>
                          </w:rPr>
                        </w:pPr>
                        <w:r>
                          <w:rPr>
                            <w:rFonts w:ascii="Times New Roman"/>
                            <w:b/>
                            <w:color w:val="1A181C"/>
                            <w:w w:val="165"/>
                            <w:sz w:val="15"/>
                          </w:rPr>
                          <w:t>Periodo</w:t>
                        </w:r>
                        <w:r>
                          <w:rPr>
                            <w:rFonts w:ascii="Times New Roman"/>
                            <w:b/>
                            <w:color w:val="1A181C"/>
                            <w:spacing w:val="9"/>
                            <w:w w:val="165"/>
                            <w:sz w:val="15"/>
                          </w:rPr>
                          <w:t>  </w:t>
                        </w:r>
                        <w:r>
                          <w:rPr>
                            <w:rFonts w:ascii="Times New Roman"/>
                            <w:b/>
                            <w:color w:val="464246"/>
                            <w:w w:val="165"/>
                            <w:sz w:val="15"/>
                          </w:rPr>
                          <w:t>a</w:t>
                        </w:r>
                        <w:r>
                          <w:rPr>
                            <w:rFonts w:ascii="Times New Roman"/>
                            <w:b/>
                            <w:color w:val="464246"/>
                            <w:spacing w:val="33"/>
                            <w:w w:val="165"/>
                            <w:sz w:val="15"/>
                          </w:rPr>
                          <w:t> </w:t>
                        </w:r>
                        <w:r>
                          <w:rPr>
                            <w:rFonts w:ascii="Times New Roman"/>
                            <w:b/>
                            <w:color w:val="1A181C"/>
                            <w:w w:val="165"/>
                            <w:sz w:val="15"/>
                          </w:rPr>
                          <w:t>J-ulio</w:t>
                        </w:r>
                        <w:r>
                          <w:rPr>
                            <w:rFonts w:ascii="Times New Roman"/>
                            <w:b/>
                            <w:color w:val="1A181C"/>
                            <w:spacing w:val="17"/>
                            <w:w w:val="165"/>
                            <w:sz w:val="15"/>
                          </w:rPr>
                          <w:t> </w:t>
                        </w:r>
                        <w:r>
                          <w:rPr>
                            <w:rFonts w:ascii="Times New Roman"/>
                            <w:b/>
                            <w:color w:val="2F2D31"/>
                            <w:spacing w:val="-4"/>
                            <w:w w:val="165"/>
                            <w:sz w:val="15"/>
                          </w:rPr>
                          <w:t>2026</w:t>
                        </w:r>
                      </w:p>
                      <w:p>
                        <w:pPr>
                          <w:spacing w:before="130"/>
                          <w:ind w:left="1261" w:right="0" w:firstLine="0"/>
                          <w:jc w:val="left"/>
                          <w:rPr>
                            <w:rFonts w:ascii="Times New Roman"/>
                            <w:sz w:val="13"/>
                          </w:rPr>
                        </w:pPr>
                        <w:r>
                          <w:rPr>
                            <w:rFonts w:ascii="Times New Roman"/>
                            <w:color w:val="2F2D31"/>
                            <w:w w:val="180"/>
                            <w:sz w:val="13"/>
                          </w:rPr>
                          <w:t>A.cuerdo</w:t>
                        </w:r>
                        <w:r>
                          <w:rPr>
                            <w:rFonts w:ascii="Times New Roman"/>
                            <w:color w:val="2F2D31"/>
                            <w:spacing w:val="1"/>
                            <w:w w:val="185"/>
                            <w:sz w:val="13"/>
                          </w:rPr>
                          <w:t> </w:t>
                        </w:r>
                        <w:r>
                          <w:rPr>
                            <w:rFonts w:ascii="Times New Roman"/>
                            <w:color w:val="2F2D31"/>
                            <w:spacing w:val="-2"/>
                            <w:w w:val="185"/>
                            <w:sz w:val="13"/>
                          </w:rPr>
                          <w:t>Consejo</w:t>
                        </w:r>
                      </w:p>
                    </w:txbxContent>
                  </v:textbox>
                  <w10:wrap type="none"/>
                </v:shape>
                <v:shape style="position:absolute;left:3662;top:10053;width:593;height:185" type="#_x0000_t202" id="docshape753" filled="false" stroked="false">
                  <v:textbox inset="0,0,0,0">
                    <w:txbxContent>
                      <w:p>
                        <w:pPr>
                          <w:spacing w:before="14"/>
                          <w:ind w:left="20" w:right="0" w:firstLine="0"/>
                          <w:jc w:val="left"/>
                          <w:rPr>
                            <w:rFonts w:ascii="Times New Roman"/>
                            <w:b/>
                            <w:sz w:val="13"/>
                          </w:rPr>
                        </w:pPr>
                        <w:r>
                          <w:rPr>
                            <w:rFonts w:ascii="Times New Roman"/>
                            <w:b/>
                            <w:color w:val="1A181C"/>
                            <w:spacing w:val="-2"/>
                            <w:w w:val="180"/>
                            <w:sz w:val="13"/>
                          </w:rPr>
                          <w:t>Total</w:t>
                        </w:r>
                      </w:p>
                    </w:txbxContent>
                  </v:textbox>
                  <w10:wrap type="none"/>
                </v:shape>
                <v:shape style="position:absolute;left:8117;top:10040;width:1116;height:196" type="#_x0000_t202" id="docshape754" filled="false" stroked="false">
                  <v:textbox inset="0,0,0,0">
                    <w:txbxContent>
                      <w:p>
                        <w:pPr>
                          <w:spacing w:before="14"/>
                          <w:ind w:left="20" w:right="0" w:firstLine="0"/>
                          <w:jc w:val="left"/>
                          <w:rPr>
                            <w:rFonts w:ascii="Times New Roman"/>
                            <w:sz w:val="14"/>
                          </w:rPr>
                        </w:pPr>
                        <w:r>
                          <w:rPr>
                            <w:rFonts w:ascii="Times New Roman"/>
                            <w:color w:val="1A181C"/>
                            <w:spacing w:val="-2"/>
                            <w:w w:val="165"/>
                            <w:sz w:val="14"/>
                          </w:rPr>
                          <w:t>195,76</w:t>
                        </w:r>
                        <w:r>
                          <w:rPr>
                            <w:rFonts w:ascii="Times New Roman"/>
                            <w:color w:val="464246"/>
                            <w:spacing w:val="-2"/>
                            <w:w w:val="165"/>
                            <w:sz w:val="14"/>
                          </w:rPr>
                          <w:t>4</w:t>
                        </w:r>
                        <w:r>
                          <w:rPr>
                            <w:rFonts w:ascii="Times New Roman"/>
                            <w:color w:val="05080A"/>
                            <w:spacing w:val="-2"/>
                            <w:w w:val="165"/>
                            <w:sz w:val="14"/>
                          </w:rPr>
                          <w:t>.01</w:t>
                        </w:r>
                      </w:p>
                    </w:txbxContent>
                  </v:textbox>
                  <w10:wrap type="none"/>
                </v:shape>
                <w10:wrap type="none"/>
              </v:group>
            </w:pict>
          </mc:Fallback>
        </mc:AlternateContent>
      </w: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154</w:t>
      </w:r>
      <w:r>
        <w:rPr>
          <w:color w:val="172951"/>
          <w:sz w:val="20"/>
          <w:u w:val="single" w:color="000000"/>
        </w:rPr>
        <w:tab/>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8"/>
        <w:rPr>
          <w:sz w:val="20"/>
        </w:rPr>
      </w:pPr>
    </w:p>
    <w:tbl>
      <w:tblPr>
        <w:tblW w:w="0" w:type="auto"/>
        <w:jc w:val="left"/>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96"/>
        <w:gridCol w:w="1912"/>
        <w:gridCol w:w="2166"/>
      </w:tblGrid>
      <w:tr>
        <w:trPr>
          <w:trHeight w:val="275" w:hRule="atLeast"/>
        </w:trPr>
        <w:tc>
          <w:tcPr>
            <w:tcW w:w="1496" w:type="dxa"/>
          </w:tcPr>
          <w:p>
            <w:pPr>
              <w:pStyle w:val="TableParagraph"/>
              <w:rPr>
                <w:rFonts w:ascii="Times New Roman"/>
                <w:sz w:val="14"/>
              </w:rPr>
            </w:pPr>
          </w:p>
        </w:tc>
        <w:tc>
          <w:tcPr>
            <w:tcW w:w="1912" w:type="dxa"/>
          </w:tcPr>
          <w:p>
            <w:pPr>
              <w:pStyle w:val="TableParagraph"/>
              <w:spacing w:before="76"/>
              <w:ind w:left="32" w:right="246"/>
              <w:jc w:val="center"/>
              <w:rPr>
                <w:rFonts w:ascii="Times New Roman"/>
                <w:sz w:val="12"/>
              </w:rPr>
            </w:pPr>
            <w:r>
              <w:rPr>
                <w:rFonts w:ascii="Times New Roman"/>
                <w:color w:val="1A181C"/>
                <w:spacing w:val="-2"/>
                <w:w w:val="170"/>
                <w:sz w:val="12"/>
              </w:rPr>
              <w:t>Dir</w:t>
            </w:r>
            <w:r>
              <w:rPr>
                <w:rFonts w:ascii="Times New Roman"/>
                <w:color w:val="464246"/>
                <w:spacing w:val="-2"/>
                <w:w w:val="170"/>
                <w:sz w:val="12"/>
              </w:rPr>
              <w:t>ectivo</w:t>
            </w:r>
          </w:p>
        </w:tc>
        <w:tc>
          <w:tcPr>
            <w:tcW w:w="2166" w:type="dxa"/>
          </w:tcPr>
          <w:p>
            <w:pPr>
              <w:pStyle w:val="TableParagraph"/>
              <w:spacing w:line="133" w:lineRule="exact"/>
              <w:ind w:left="565"/>
              <w:rPr>
                <w:rFonts w:ascii="Times New Roman"/>
                <w:sz w:val="12"/>
              </w:rPr>
            </w:pPr>
            <w:r>
              <w:rPr>
                <w:rFonts w:ascii="Arial"/>
                <w:color w:val="1A181C"/>
                <w:w w:val="175"/>
                <w:sz w:val="9"/>
              </w:rPr>
              <w:t>l\,.lont:o</w:t>
            </w:r>
            <w:r>
              <w:rPr>
                <w:rFonts w:ascii="Arial"/>
                <w:color w:val="1A181C"/>
                <w:spacing w:val="55"/>
                <w:w w:val="175"/>
                <w:sz w:val="9"/>
              </w:rPr>
              <w:t> </w:t>
            </w:r>
            <w:r>
              <w:rPr>
                <w:rFonts w:ascii="Times New Roman"/>
                <w:color w:val="2F2D31"/>
                <w:spacing w:val="-4"/>
                <w:w w:val="165"/>
                <w:sz w:val="12"/>
              </w:rPr>
              <w:t>SA..P</w:t>
            </w:r>
          </w:p>
        </w:tc>
      </w:tr>
      <w:tr>
        <w:trPr>
          <w:trHeight w:val="208" w:hRule="atLeast"/>
        </w:trPr>
        <w:tc>
          <w:tcPr>
            <w:tcW w:w="1496" w:type="dxa"/>
          </w:tcPr>
          <w:p>
            <w:pPr>
              <w:pStyle w:val="TableParagraph"/>
              <w:spacing w:before="56"/>
              <w:ind w:right="350"/>
              <w:jc w:val="right"/>
              <w:rPr>
                <w:rFonts w:ascii="Times New Roman"/>
                <w:sz w:val="11"/>
              </w:rPr>
            </w:pPr>
            <w:r>
              <w:rPr>
                <w:rFonts w:ascii="Times New Roman"/>
                <w:color w:val="2F2D31"/>
                <w:w w:val="175"/>
                <w:sz w:val="11"/>
              </w:rPr>
              <w:t>S</w:t>
            </w:r>
            <w:r>
              <w:rPr>
                <w:rFonts w:ascii="Times New Roman"/>
                <w:color w:val="565659"/>
                <w:w w:val="175"/>
                <w:sz w:val="11"/>
              </w:rPr>
              <w:t>a</w:t>
            </w:r>
            <w:r>
              <w:rPr>
                <w:rFonts w:ascii="Times New Roman"/>
                <w:color w:val="2F2D31"/>
                <w:w w:val="175"/>
                <w:sz w:val="11"/>
              </w:rPr>
              <w:t>ldo</w:t>
            </w:r>
            <w:r>
              <w:rPr>
                <w:rFonts w:ascii="Times New Roman"/>
                <w:color w:val="2F2D31"/>
                <w:spacing w:val="63"/>
                <w:w w:val="175"/>
                <w:sz w:val="11"/>
              </w:rPr>
              <w:t> </w:t>
            </w:r>
            <w:r>
              <w:rPr>
                <w:rFonts w:ascii="Times New Roman"/>
                <w:color w:val="464246"/>
                <w:w w:val="175"/>
                <w:sz w:val="11"/>
              </w:rPr>
              <w:t>a</w:t>
            </w:r>
            <w:r>
              <w:rPr>
                <w:rFonts w:ascii="Times New Roman"/>
                <w:color w:val="464246"/>
                <w:spacing w:val="-17"/>
                <w:w w:val="175"/>
                <w:sz w:val="11"/>
              </w:rPr>
              <w:t> </w:t>
            </w:r>
            <w:r>
              <w:rPr>
                <w:rFonts w:ascii="Times New Roman"/>
                <w:color w:val="2F2D31"/>
                <w:spacing w:val="-2"/>
                <w:w w:val="175"/>
                <w:sz w:val="11"/>
              </w:rPr>
              <w:t>J</w:t>
            </w:r>
            <w:r>
              <w:rPr>
                <w:rFonts w:ascii="Times New Roman"/>
                <w:color w:val="0F2459"/>
                <w:spacing w:val="-2"/>
                <w:w w:val="175"/>
                <w:sz w:val="11"/>
              </w:rPr>
              <w:t>u</w:t>
            </w:r>
            <w:r>
              <w:rPr>
                <w:rFonts w:ascii="Times New Roman"/>
                <w:color w:val="2F2D31"/>
                <w:spacing w:val="-2"/>
                <w:w w:val="175"/>
                <w:sz w:val="11"/>
              </w:rPr>
              <w:t>n</w:t>
            </w:r>
            <w:r>
              <w:rPr>
                <w:rFonts w:ascii="Times New Roman"/>
                <w:color w:val="877062"/>
                <w:spacing w:val="-2"/>
                <w:w w:val="175"/>
                <w:sz w:val="11"/>
              </w:rPr>
              <w:t>.</w:t>
            </w:r>
            <w:r>
              <w:rPr>
                <w:rFonts w:ascii="Times New Roman"/>
                <w:color w:val="1A181C"/>
                <w:spacing w:val="-2"/>
                <w:w w:val="175"/>
                <w:sz w:val="11"/>
              </w:rPr>
              <w:t>i</w:t>
            </w:r>
            <w:r>
              <w:rPr>
                <w:rFonts w:ascii="Times New Roman"/>
                <w:color w:val="464246"/>
                <w:spacing w:val="-2"/>
                <w:w w:val="175"/>
                <w:sz w:val="11"/>
              </w:rPr>
              <w:t>o</w:t>
            </w:r>
          </w:p>
        </w:tc>
        <w:tc>
          <w:tcPr>
            <w:tcW w:w="1912" w:type="dxa"/>
          </w:tcPr>
          <w:p>
            <w:pPr>
              <w:pStyle w:val="TableParagraph"/>
              <w:rPr>
                <w:rFonts w:ascii="Times New Roman"/>
                <w:sz w:val="14"/>
              </w:rPr>
            </w:pPr>
          </w:p>
        </w:tc>
        <w:tc>
          <w:tcPr>
            <w:tcW w:w="2166" w:type="dxa"/>
          </w:tcPr>
          <w:p>
            <w:pPr>
              <w:pStyle w:val="TableParagraph"/>
              <w:spacing w:before="56"/>
              <w:ind w:right="96"/>
              <w:jc w:val="right"/>
              <w:rPr>
                <w:rFonts w:ascii="Times New Roman"/>
                <w:sz w:val="11"/>
              </w:rPr>
            </w:pPr>
            <w:r>
              <w:rPr>
                <w:rFonts w:ascii="Times New Roman"/>
                <w:color w:val="1A181C"/>
                <w:spacing w:val="-2"/>
                <w:w w:val="175"/>
                <w:sz w:val="11"/>
              </w:rPr>
              <w:t>1</w:t>
            </w:r>
            <w:r>
              <w:rPr>
                <w:rFonts w:ascii="Times New Roman"/>
                <w:color w:val="464246"/>
                <w:spacing w:val="-2"/>
                <w:w w:val="175"/>
                <w:sz w:val="11"/>
              </w:rPr>
              <w:t>89,865</w:t>
            </w:r>
            <w:r>
              <w:rPr>
                <w:rFonts w:ascii="Times New Roman"/>
                <w:color w:val="283B6B"/>
                <w:spacing w:val="-2"/>
                <w:w w:val="175"/>
                <w:sz w:val="11"/>
              </w:rPr>
              <w:t>.</w:t>
            </w:r>
            <w:r>
              <w:rPr>
                <w:rFonts w:ascii="Times New Roman"/>
                <w:color w:val="565659"/>
                <w:spacing w:val="-2"/>
                <w:w w:val="175"/>
                <w:sz w:val="11"/>
              </w:rPr>
              <w:t>20</w:t>
            </w:r>
          </w:p>
        </w:tc>
      </w:tr>
      <w:tr>
        <w:trPr>
          <w:trHeight w:val="181" w:hRule="atLeast"/>
        </w:trPr>
        <w:tc>
          <w:tcPr>
            <w:tcW w:w="1496" w:type="dxa"/>
          </w:tcPr>
          <w:p>
            <w:pPr>
              <w:pStyle w:val="TableParagraph"/>
              <w:spacing w:before="21"/>
              <w:ind w:left="324"/>
              <w:rPr>
                <w:rFonts w:ascii="Times New Roman"/>
                <w:sz w:val="12"/>
              </w:rPr>
            </w:pPr>
            <w:r>
              <w:rPr>
                <w:rFonts w:ascii="Times New Roman"/>
                <w:color w:val="565659"/>
                <w:spacing w:val="-2"/>
                <w:w w:val="170"/>
                <w:sz w:val="12"/>
              </w:rPr>
              <w:t>253</w:t>
            </w:r>
            <w:r>
              <w:rPr>
                <w:rFonts w:ascii="Times New Roman"/>
                <w:color w:val="0F2459"/>
                <w:spacing w:val="-2"/>
                <w:w w:val="170"/>
                <w:sz w:val="12"/>
              </w:rPr>
              <w:t>.</w:t>
            </w:r>
            <w:r>
              <w:rPr>
                <w:rFonts w:ascii="Times New Roman"/>
                <w:color w:val="2F2D31"/>
                <w:spacing w:val="-2"/>
                <w:w w:val="170"/>
                <w:sz w:val="12"/>
              </w:rPr>
              <w:t>76</w:t>
            </w:r>
          </w:p>
        </w:tc>
        <w:tc>
          <w:tcPr>
            <w:tcW w:w="1912" w:type="dxa"/>
          </w:tcPr>
          <w:p>
            <w:pPr>
              <w:pStyle w:val="TableParagraph"/>
              <w:spacing w:before="21"/>
              <w:ind w:left="40" w:right="246"/>
              <w:jc w:val="center"/>
              <w:rPr>
                <w:rFonts w:ascii="Times New Roman"/>
                <w:sz w:val="12"/>
              </w:rPr>
            </w:pPr>
            <w:r>
              <w:rPr>
                <w:rFonts w:ascii="Times New Roman"/>
                <w:color w:val="2F2D31"/>
                <w:w w:val="155"/>
                <w:sz w:val="12"/>
              </w:rPr>
              <w:t>1</w:t>
            </w:r>
            <w:r>
              <w:rPr>
                <w:rFonts w:ascii="Times New Roman"/>
                <w:color w:val="565659"/>
                <w:w w:val="155"/>
                <w:sz w:val="12"/>
              </w:rPr>
              <w:t>3</w:t>
            </w:r>
            <w:r>
              <w:rPr>
                <w:rFonts w:ascii="Times New Roman"/>
                <w:color w:val="1A181C"/>
                <w:w w:val="155"/>
                <w:sz w:val="12"/>
              </w:rPr>
              <w:t>1-0</w:t>
            </w:r>
            <w:r>
              <w:rPr>
                <w:rFonts w:ascii="Times New Roman"/>
                <w:color w:val="565659"/>
                <w:w w:val="155"/>
                <w:sz w:val="12"/>
              </w:rPr>
              <w:t>3</w:t>
            </w:r>
            <w:r>
              <w:rPr>
                <w:rFonts w:ascii="Times New Roman"/>
                <w:color w:val="2F2D31"/>
                <w:w w:val="155"/>
                <w:sz w:val="12"/>
              </w:rPr>
              <w:t>-</w:t>
            </w:r>
            <w:r>
              <w:rPr>
                <w:rFonts w:ascii="Times New Roman"/>
                <w:color w:val="565659"/>
                <w:spacing w:val="-4"/>
                <w:w w:val="155"/>
                <w:sz w:val="12"/>
              </w:rPr>
              <w:t>2026</w:t>
            </w:r>
          </w:p>
        </w:tc>
        <w:tc>
          <w:tcPr>
            <w:tcW w:w="2166" w:type="dxa"/>
          </w:tcPr>
          <w:p>
            <w:pPr>
              <w:pStyle w:val="TableParagraph"/>
              <w:spacing w:before="21"/>
              <w:ind w:right="92"/>
              <w:jc w:val="right"/>
              <w:rPr>
                <w:rFonts w:ascii="Times New Roman"/>
                <w:sz w:val="12"/>
              </w:rPr>
            </w:pPr>
            <w:r>
              <w:rPr>
                <w:rFonts w:ascii="Times New Roman"/>
                <w:color w:val="565659"/>
                <w:spacing w:val="-2"/>
                <w:w w:val="160"/>
                <w:sz w:val="12"/>
              </w:rPr>
              <w:t>8,88</w:t>
            </w:r>
            <w:r>
              <w:rPr>
                <w:rFonts w:ascii="Times New Roman"/>
                <w:color w:val="2F2D31"/>
                <w:spacing w:val="-2"/>
                <w:w w:val="160"/>
                <w:sz w:val="12"/>
              </w:rPr>
              <w:t>1.60</w:t>
            </w:r>
          </w:p>
        </w:tc>
      </w:tr>
      <w:tr>
        <w:trPr>
          <w:trHeight w:val="177" w:hRule="atLeast"/>
        </w:trPr>
        <w:tc>
          <w:tcPr>
            <w:tcW w:w="1496" w:type="dxa"/>
          </w:tcPr>
          <w:p>
            <w:pPr>
              <w:pStyle w:val="TableParagraph"/>
              <w:spacing w:before="17"/>
              <w:ind w:left="494"/>
              <w:rPr>
                <w:rFonts w:ascii="Times New Roman"/>
                <w:sz w:val="12"/>
              </w:rPr>
            </w:pPr>
            <w:r>
              <w:rPr>
                <w:rFonts w:ascii="Times New Roman"/>
                <w:color w:val="2F2D31"/>
                <w:w w:val="130"/>
                <w:sz w:val="12"/>
              </w:rPr>
              <w:t>1</w:t>
            </w:r>
            <w:r>
              <w:rPr>
                <w:rFonts w:ascii="Times New Roman"/>
                <w:color w:val="565659"/>
                <w:w w:val="130"/>
                <w:sz w:val="12"/>
              </w:rPr>
              <w:t>4</w:t>
            </w:r>
            <w:r>
              <w:rPr>
                <w:rFonts w:ascii="Times New Roman"/>
                <w:color w:val="7E8990"/>
                <w:w w:val="130"/>
                <w:sz w:val="12"/>
              </w:rPr>
              <w:t>-</w:t>
            </w:r>
            <w:r>
              <w:rPr>
                <w:rFonts w:ascii="Times New Roman"/>
                <w:color w:val="464246"/>
                <w:spacing w:val="-10"/>
                <w:w w:val="135"/>
                <w:sz w:val="12"/>
              </w:rPr>
              <w:t>1</w:t>
            </w:r>
          </w:p>
        </w:tc>
        <w:tc>
          <w:tcPr>
            <w:tcW w:w="1912" w:type="dxa"/>
          </w:tcPr>
          <w:p>
            <w:pPr>
              <w:pStyle w:val="TableParagraph"/>
              <w:spacing w:before="17"/>
              <w:ind w:left="1" w:right="246"/>
              <w:jc w:val="center"/>
              <w:rPr>
                <w:rFonts w:ascii="Times New Roman"/>
                <w:sz w:val="12"/>
              </w:rPr>
            </w:pPr>
            <w:r>
              <w:rPr>
                <w:rFonts w:ascii="Times New Roman"/>
                <w:color w:val="565659"/>
                <w:w w:val="170"/>
                <w:sz w:val="12"/>
              </w:rPr>
              <w:t>20</w:t>
            </w:r>
            <w:r>
              <w:rPr>
                <w:rFonts w:ascii="Times New Roman"/>
                <w:color w:val="8C9AA1"/>
                <w:w w:val="170"/>
                <w:sz w:val="12"/>
              </w:rPr>
              <w:t>-</w:t>
            </w:r>
            <w:r>
              <w:rPr>
                <w:rFonts w:ascii="Times New Roman"/>
                <w:color w:val="464246"/>
                <w:w w:val="170"/>
                <w:sz w:val="12"/>
              </w:rPr>
              <w:t>02</w:t>
            </w:r>
            <w:r>
              <w:rPr>
                <w:rFonts w:ascii="Times New Roman"/>
                <w:color w:val="7E8990"/>
                <w:w w:val="170"/>
                <w:sz w:val="12"/>
              </w:rPr>
              <w:t>-</w:t>
            </w:r>
            <w:r>
              <w:rPr>
                <w:rFonts w:ascii="Times New Roman"/>
                <w:color w:val="565659"/>
                <w:spacing w:val="-4"/>
                <w:w w:val="170"/>
                <w:sz w:val="12"/>
              </w:rPr>
              <w:t>2026</w:t>
            </w:r>
          </w:p>
        </w:tc>
        <w:tc>
          <w:tcPr>
            <w:tcW w:w="2166" w:type="dxa"/>
          </w:tcPr>
          <w:p>
            <w:pPr>
              <w:pStyle w:val="TableParagraph"/>
              <w:spacing w:before="17"/>
              <w:ind w:right="92"/>
              <w:jc w:val="right"/>
              <w:rPr>
                <w:rFonts w:ascii="Times New Roman"/>
                <w:sz w:val="12"/>
              </w:rPr>
            </w:pPr>
            <w:r>
              <w:rPr>
                <w:rFonts w:ascii="Times New Roman"/>
                <w:color w:val="2F2D31"/>
                <w:spacing w:val="-2"/>
                <w:w w:val="165"/>
                <w:sz w:val="12"/>
              </w:rPr>
              <w:t>1</w:t>
            </w:r>
            <w:r>
              <w:rPr>
                <w:rFonts w:ascii="Times New Roman"/>
                <w:color w:val="565659"/>
                <w:spacing w:val="-2"/>
                <w:w w:val="165"/>
                <w:sz w:val="12"/>
              </w:rPr>
              <w:t>29</w:t>
            </w:r>
            <w:r>
              <w:rPr>
                <w:rFonts w:ascii="Times New Roman"/>
                <w:color w:val="707479"/>
                <w:spacing w:val="-2"/>
                <w:w w:val="165"/>
                <w:sz w:val="12"/>
              </w:rPr>
              <w:t>,</w:t>
            </w:r>
            <w:r>
              <w:rPr>
                <w:rFonts w:ascii="Times New Roman"/>
                <w:color w:val="565659"/>
                <w:spacing w:val="-2"/>
                <w:w w:val="165"/>
                <w:sz w:val="12"/>
              </w:rPr>
              <w:t>5</w:t>
            </w:r>
            <w:r>
              <w:rPr>
                <w:rFonts w:ascii="Times New Roman"/>
                <w:color w:val="546275"/>
                <w:spacing w:val="-2"/>
                <w:w w:val="165"/>
                <w:sz w:val="12"/>
              </w:rPr>
              <w:t>4</w:t>
            </w:r>
            <w:r>
              <w:rPr>
                <w:rFonts w:ascii="Times New Roman"/>
                <w:color w:val="565659"/>
                <w:spacing w:val="-2"/>
                <w:w w:val="165"/>
                <w:sz w:val="12"/>
              </w:rPr>
              <w:t>0.00</w:t>
            </w:r>
          </w:p>
        </w:tc>
      </w:tr>
      <w:tr>
        <w:trPr>
          <w:trHeight w:val="182" w:hRule="atLeast"/>
        </w:trPr>
        <w:tc>
          <w:tcPr>
            <w:tcW w:w="1496" w:type="dxa"/>
          </w:tcPr>
          <w:p>
            <w:pPr>
              <w:pStyle w:val="TableParagraph"/>
              <w:spacing w:before="22"/>
              <w:ind w:right="250"/>
              <w:jc w:val="center"/>
              <w:rPr>
                <w:rFonts w:ascii="Times New Roman"/>
                <w:sz w:val="12"/>
              </w:rPr>
            </w:pPr>
            <w:r>
              <w:rPr>
                <w:rFonts w:ascii="Times New Roman"/>
                <w:color w:val="565659"/>
                <w:spacing w:val="-5"/>
                <w:w w:val="135"/>
                <w:sz w:val="12"/>
              </w:rPr>
              <w:t>92</w:t>
            </w:r>
          </w:p>
        </w:tc>
        <w:tc>
          <w:tcPr>
            <w:tcW w:w="1912" w:type="dxa"/>
          </w:tcPr>
          <w:p>
            <w:pPr>
              <w:pStyle w:val="TableParagraph"/>
              <w:spacing w:before="22"/>
              <w:ind w:left="46" w:right="246"/>
              <w:jc w:val="center"/>
              <w:rPr>
                <w:rFonts w:ascii="Times New Roman"/>
                <w:sz w:val="12"/>
              </w:rPr>
            </w:pPr>
            <w:r>
              <w:rPr>
                <w:rFonts w:ascii="Times New Roman"/>
                <w:color w:val="464246"/>
                <w:w w:val="155"/>
                <w:sz w:val="12"/>
              </w:rPr>
              <w:t>225</w:t>
            </w:r>
            <w:r>
              <w:rPr>
                <w:rFonts w:ascii="Times New Roman"/>
                <w:color w:val="7E8990"/>
                <w:w w:val="155"/>
                <w:sz w:val="12"/>
              </w:rPr>
              <w:t>-</w:t>
            </w:r>
            <w:r>
              <w:rPr>
                <w:rFonts w:ascii="Times New Roman"/>
                <w:color w:val="2F2D31"/>
                <w:w w:val="155"/>
                <w:sz w:val="12"/>
              </w:rPr>
              <w:t>0</w:t>
            </w:r>
            <w:r>
              <w:rPr>
                <w:rFonts w:ascii="Times New Roman"/>
                <w:color w:val="565659"/>
                <w:w w:val="155"/>
                <w:sz w:val="12"/>
              </w:rPr>
              <w:t>8</w:t>
            </w:r>
            <w:r>
              <w:rPr>
                <w:rFonts w:ascii="Times New Roman"/>
                <w:color w:val="8C9AA1"/>
                <w:w w:val="155"/>
                <w:sz w:val="12"/>
              </w:rPr>
              <w:t>-</w:t>
            </w:r>
            <w:r>
              <w:rPr>
                <w:rFonts w:ascii="Times New Roman"/>
                <w:color w:val="464246"/>
                <w:spacing w:val="-4"/>
                <w:w w:val="155"/>
                <w:sz w:val="12"/>
              </w:rPr>
              <w:t>2025</w:t>
            </w:r>
          </w:p>
        </w:tc>
        <w:tc>
          <w:tcPr>
            <w:tcW w:w="2166" w:type="dxa"/>
          </w:tcPr>
          <w:p>
            <w:pPr>
              <w:pStyle w:val="TableParagraph"/>
              <w:spacing w:before="17"/>
              <w:ind w:right="91"/>
              <w:jc w:val="right"/>
              <w:rPr>
                <w:rFonts w:ascii="Times New Roman"/>
                <w:sz w:val="12"/>
              </w:rPr>
            </w:pPr>
            <w:r>
              <w:rPr>
                <w:rFonts w:ascii="Times New Roman"/>
                <w:color w:val="2F2D31"/>
                <w:spacing w:val="-2"/>
                <w:w w:val="160"/>
                <w:sz w:val="12"/>
              </w:rPr>
              <w:t>1</w:t>
            </w:r>
            <w:r>
              <w:rPr>
                <w:rFonts w:ascii="Times New Roman"/>
                <w:color w:val="565659"/>
                <w:spacing w:val="-2"/>
                <w:w w:val="160"/>
                <w:sz w:val="12"/>
              </w:rPr>
              <w:t>6,</w:t>
            </w:r>
            <w:r>
              <w:rPr>
                <w:rFonts w:ascii="Times New Roman"/>
                <w:color w:val="2F2D31"/>
                <w:spacing w:val="-2"/>
                <w:w w:val="160"/>
                <w:sz w:val="12"/>
              </w:rPr>
              <w:t>0</w:t>
            </w:r>
            <w:r>
              <w:rPr>
                <w:rFonts w:ascii="Times New Roman"/>
                <w:color w:val="565659"/>
                <w:spacing w:val="-2"/>
                <w:w w:val="160"/>
                <w:sz w:val="12"/>
              </w:rPr>
              <w:t>65</w:t>
            </w:r>
            <w:r>
              <w:rPr>
                <w:rFonts w:ascii="Times New Roman"/>
                <w:color w:val="2F2D31"/>
                <w:spacing w:val="-2"/>
                <w:w w:val="160"/>
                <w:sz w:val="12"/>
              </w:rPr>
              <w:t>.00</w:t>
            </w:r>
          </w:p>
        </w:tc>
      </w:tr>
      <w:tr>
        <w:trPr>
          <w:trHeight w:val="177" w:hRule="atLeast"/>
        </w:trPr>
        <w:tc>
          <w:tcPr>
            <w:tcW w:w="1496" w:type="dxa"/>
          </w:tcPr>
          <w:p>
            <w:pPr>
              <w:pStyle w:val="TableParagraph"/>
              <w:spacing w:before="17"/>
              <w:ind w:left="320"/>
              <w:rPr>
                <w:rFonts w:ascii="Times New Roman"/>
                <w:sz w:val="12"/>
              </w:rPr>
            </w:pPr>
            <w:r>
              <w:rPr>
                <w:rFonts w:ascii="Times New Roman"/>
                <w:color w:val="707479"/>
                <w:spacing w:val="-2"/>
                <w:w w:val="170"/>
                <w:sz w:val="12"/>
              </w:rPr>
              <w:t>3</w:t>
            </w:r>
            <w:r>
              <w:rPr>
                <w:rFonts w:ascii="Times New Roman"/>
                <w:color w:val="2F2D31"/>
                <w:spacing w:val="-2"/>
                <w:w w:val="170"/>
                <w:sz w:val="12"/>
              </w:rPr>
              <w:t>01.0</w:t>
            </w:r>
            <w:r>
              <w:rPr>
                <w:rFonts w:ascii="Times New Roman"/>
                <w:color w:val="565659"/>
                <w:spacing w:val="-2"/>
                <w:w w:val="170"/>
                <w:sz w:val="12"/>
              </w:rPr>
              <w:t>9</w:t>
            </w:r>
          </w:p>
        </w:tc>
        <w:tc>
          <w:tcPr>
            <w:tcW w:w="1912" w:type="dxa"/>
          </w:tcPr>
          <w:p>
            <w:pPr>
              <w:pStyle w:val="TableParagraph"/>
              <w:spacing w:before="17"/>
              <w:ind w:right="246"/>
              <w:jc w:val="center"/>
              <w:rPr>
                <w:rFonts w:ascii="Times New Roman" w:hAnsi="Times New Roman"/>
                <w:sz w:val="12"/>
              </w:rPr>
            </w:pPr>
            <w:r>
              <w:rPr>
                <w:rFonts w:ascii="Times New Roman" w:hAnsi="Times New Roman"/>
                <w:sz w:val="12"/>
              </w:rPr>
              <mc:AlternateContent>
                <mc:Choice Requires="wps">
                  <w:drawing>
                    <wp:anchor distT="0" distB="0" distL="0" distR="0" allowOverlap="1" layoutInCell="1" locked="0" behindDoc="1" simplePos="0" relativeHeight="473681920">
                      <wp:simplePos x="0" y="0"/>
                      <wp:positionH relativeFrom="column">
                        <wp:posOffset>291168</wp:posOffset>
                      </wp:positionH>
                      <wp:positionV relativeFrom="paragraph">
                        <wp:posOffset>2624</wp:posOffset>
                      </wp:positionV>
                      <wp:extent cx="24765" cy="102870"/>
                      <wp:effectExtent l="0" t="0" r="0" b="0"/>
                      <wp:wrapNone/>
                      <wp:docPr id="779" name="Group 779"/>
                      <wp:cNvGraphicFramePr>
                        <a:graphicFrameLocks/>
                      </wp:cNvGraphicFramePr>
                      <a:graphic>
                        <a:graphicData uri="http://schemas.microsoft.com/office/word/2010/wordprocessingGroup">
                          <wpg:wgp>
                            <wpg:cNvPr id="779" name="Group 779"/>
                            <wpg:cNvGrpSpPr/>
                            <wpg:grpSpPr>
                              <a:xfrm>
                                <a:off x="0" y="0"/>
                                <a:ext cx="24765" cy="102870"/>
                                <a:chExt cx="24765" cy="102870"/>
                              </a:xfrm>
                            </wpg:grpSpPr>
                            <wps:wsp>
                              <wps:cNvPr id="780" name="Graphic 780"/>
                              <wps:cNvSpPr/>
                              <wps:spPr>
                                <a:xfrm>
                                  <a:off x="0" y="0"/>
                                  <a:ext cx="24765" cy="102870"/>
                                </a:xfrm>
                                <a:custGeom>
                                  <a:avLst/>
                                  <a:gdLst/>
                                  <a:ahLst/>
                                  <a:cxnLst/>
                                  <a:rect l="l" t="t" r="r" b="b"/>
                                  <a:pathLst>
                                    <a:path w="24765" h="102870">
                                      <a:moveTo>
                                        <a:pt x="24422" y="102704"/>
                                      </a:moveTo>
                                      <a:lnTo>
                                        <a:pt x="0" y="102704"/>
                                      </a:lnTo>
                                      <a:lnTo>
                                        <a:pt x="0" y="0"/>
                                      </a:lnTo>
                                      <a:lnTo>
                                        <a:pt x="24422" y="0"/>
                                      </a:lnTo>
                                      <a:lnTo>
                                        <a:pt x="24422" y="102704"/>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style="position:absolute;margin-left:22.926664pt;margin-top:.206656pt;width:1.95pt;height:8.1pt;mso-position-horizontal-relative:column;mso-position-vertical-relative:paragraph;z-index:-29634560" id="docshapegroup755" coordorigin="459,4" coordsize="39,162">
                      <v:rect style="position:absolute;left:458;top:4;width:39;height:162" id="docshape756" filled="true" fillcolor="#e4e4e4" stroked="false">
                        <v:fill type="solid"/>
                      </v:rect>
                      <w10:wrap type="none"/>
                    </v:group>
                  </w:pict>
                </mc:Fallback>
              </mc:AlternateContent>
            </w:r>
            <w:r>
              <w:rPr>
                <w:rFonts w:ascii="Times New Roman" w:hAnsi="Times New Roman"/>
                <w:color w:val="565659"/>
                <w:w w:val="150"/>
                <w:sz w:val="12"/>
              </w:rPr>
              <w:t>9</w:t>
            </w:r>
            <w:r>
              <w:rPr>
                <w:rFonts w:ascii="Times New Roman" w:hAnsi="Times New Roman"/>
                <w:color w:val="BDB3B1"/>
                <w:w w:val="150"/>
                <w:sz w:val="12"/>
              </w:rPr>
              <w:t>•</w:t>
            </w:r>
            <w:r>
              <w:rPr>
                <w:rFonts w:ascii="Times New Roman" w:hAnsi="Times New Roman"/>
                <w:color w:val="2F2D31"/>
                <w:w w:val="150"/>
                <w:sz w:val="12"/>
              </w:rPr>
              <w:t>L-0</w:t>
            </w:r>
            <w:r>
              <w:rPr>
                <w:rFonts w:ascii="Times New Roman" w:hAnsi="Times New Roman"/>
                <w:color w:val="707479"/>
                <w:w w:val="150"/>
                <w:sz w:val="12"/>
              </w:rPr>
              <w:t>3</w:t>
            </w:r>
            <w:r>
              <w:rPr>
                <w:rFonts w:ascii="Times New Roman" w:hAnsi="Times New Roman"/>
                <w:color w:val="2F2D31"/>
                <w:w w:val="150"/>
                <w:sz w:val="12"/>
              </w:rPr>
              <w:t>-</w:t>
            </w:r>
            <w:r>
              <w:rPr>
                <w:rFonts w:ascii="Times New Roman" w:hAnsi="Times New Roman"/>
                <w:color w:val="2F2D31"/>
                <w:spacing w:val="-4"/>
                <w:w w:val="150"/>
                <w:sz w:val="12"/>
              </w:rPr>
              <w:t>202</w:t>
            </w:r>
            <w:r>
              <w:rPr>
                <w:rFonts w:ascii="Times New Roman" w:hAnsi="Times New Roman"/>
                <w:color w:val="565659"/>
                <w:spacing w:val="-4"/>
                <w:w w:val="150"/>
                <w:sz w:val="12"/>
              </w:rPr>
              <w:t>6</w:t>
            </w:r>
          </w:p>
        </w:tc>
        <w:tc>
          <w:tcPr>
            <w:tcW w:w="2166" w:type="dxa"/>
          </w:tcPr>
          <w:p>
            <w:pPr>
              <w:pStyle w:val="TableParagraph"/>
              <w:spacing w:before="17"/>
              <w:ind w:right="91"/>
              <w:jc w:val="right"/>
              <w:rPr>
                <w:rFonts w:ascii="Times New Roman"/>
                <w:sz w:val="12"/>
              </w:rPr>
            </w:pPr>
            <w:r>
              <w:rPr>
                <w:rFonts w:ascii="Times New Roman"/>
                <w:color w:val="2F2D31"/>
                <w:spacing w:val="-2"/>
                <w:w w:val="160"/>
                <w:sz w:val="12"/>
              </w:rPr>
              <w:t>1</w:t>
            </w:r>
            <w:r>
              <w:rPr>
                <w:rFonts w:ascii="Times New Roman"/>
                <w:color w:val="565659"/>
                <w:spacing w:val="-2"/>
                <w:w w:val="160"/>
                <w:sz w:val="12"/>
              </w:rPr>
              <w:t>3,770.</w:t>
            </w:r>
            <w:r>
              <w:rPr>
                <w:rFonts w:ascii="Times New Roman"/>
                <w:color w:val="2F2D31"/>
                <w:spacing w:val="-2"/>
                <w:w w:val="160"/>
                <w:sz w:val="12"/>
              </w:rPr>
              <w:t>00</w:t>
            </w:r>
          </w:p>
        </w:tc>
      </w:tr>
      <w:tr>
        <w:trPr>
          <w:trHeight w:val="177" w:hRule="atLeast"/>
        </w:trPr>
        <w:tc>
          <w:tcPr>
            <w:tcW w:w="1496" w:type="dxa"/>
          </w:tcPr>
          <w:p>
            <w:pPr>
              <w:pStyle w:val="TableParagraph"/>
              <w:spacing w:before="17"/>
              <w:ind w:left="377"/>
              <w:rPr>
                <w:rFonts w:ascii="Times New Roman"/>
                <w:sz w:val="12"/>
              </w:rPr>
            </w:pPr>
            <w:r>
              <w:rPr>
                <w:rFonts w:ascii="Times New Roman"/>
                <w:color w:val="565659"/>
                <w:spacing w:val="-2"/>
                <w:w w:val="170"/>
                <w:sz w:val="12"/>
              </w:rPr>
              <w:t>2</w:t>
            </w:r>
            <w:r>
              <w:rPr>
                <w:rFonts w:ascii="Times New Roman"/>
                <w:color w:val="707479"/>
                <w:spacing w:val="-2"/>
                <w:w w:val="170"/>
                <w:sz w:val="12"/>
              </w:rPr>
              <w:t>3</w:t>
            </w:r>
            <w:r>
              <w:rPr>
                <w:rFonts w:ascii="Times New Roman"/>
                <w:color w:val="2F2D31"/>
                <w:spacing w:val="-2"/>
                <w:w w:val="170"/>
                <w:sz w:val="12"/>
              </w:rPr>
              <w:t>0</w:t>
            </w:r>
            <w:r>
              <w:rPr>
                <w:rFonts w:ascii="Times New Roman"/>
                <w:color w:val="05162A"/>
                <w:spacing w:val="-2"/>
                <w:w w:val="170"/>
                <w:sz w:val="12"/>
              </w:rPr>
              <w:t>.</w:t>
            </w:r>
            <w:r>
              <w:rPr>
                <w:rFonts w:ascii="Times New Roman"/>
                <w:color w:val="546275"/>
                <w:spacing w:val="-2"/>
                <w:w w:val="170"/>
                <w:sz w:val="12"/>
              </w:rPr>
              <w:t>4</w:t>
            </w:r>
          </w:p>
        </w:tc>
        <w:tc>
          <w:tcPr>
            <w:tcW w:w="1912" w:type="dxa"/>
          </w:tcPr>
          <w:p>
            <w:pPr>
              <w:pStyle w:val="TableParagraph"/>
              <w:spacing w:before="35"/>
              <w:ind w:left="8" w:right="246"/>
              <w:jc w:val="center"/>
              <w:rPr>
                <w:rFonts w:ascii="Arial"/>
                <w:sz w:val="10"/>
              </w:rPr>
            </w:pPr>
            <w:r>
              <w:rPr>
                <w:rFonts w:ascii="Arial"/>
                <w:color w:val="464246"/>
                <w:w w:val="175"/>
                <w:sz w:val="10"/>
              </w:rPr>
              <w:t>95</w:t>
            </w:r>
            <w:r>
              <w:rPr>
                <w:rFonts w:ascii="Arial"/>
                <w:color w:val="05162A"/>
                <w:w w:val="175"/>
                <w:sz w:val="10"/>
              </w:rPr>
              <w:t>-</w:t>
            </w:r>
            <w:r>
              <w:rPr>
                <w:rFonts w:ascii="Arial"/>
                <w:color w:val="464246"/>
                <w:w w:val="175"/>
                <w:sz w:val="10"/>
              </w:rPr>
              <w:t>0</w:t>
            </w:r>
            <w:r>
              <w:rPr>
                <w:rFonts w:ascii="Arial"/>
                <w:color w:val="707479"/>
                <w:w w:val="175"/>
                <w:sz w:val="10"/>
              </w:rPr>
              <w:t>3</w:t>
            </w:r>
            <w:r>
              <w:rPr>
                <w:rFonts w:ascii="Arial"/>
                <w:color w:val="05080A"/>
                <w:w w:val="175"/>
                <w:sz w:val="10"/>
              </w:rPr>
              <w:t>-</w:t>
            </w:r>
            <w:r>
              <w:rPr>
                <w:rFonts w:ascii="Arial"/>
                <w:color w:val="565659"/>
                <w:spacing w:val="-4"/>
                <w:w w:val="175"/>
                <w:sz w:val="10"/>
              </w:rPr>
              <w:t>2026</w:t>
            </w:r>
          </w:p>
        </w:tc>
        <w:tc>
          <w:tcPr>
            <w:tcW w:w="2166" w:type="dxa"/>
          </w:tcPr>
          <w:p>
            <w:pPr>
              <w:pStyle w:val="TableParagraph"/>
              <w:spacing w:before="17"/>
              <w:ind w:right="92"/>
              <w:jc w:val="right"/>
              <w:rPr>
                <w:rFonts w:ascii="Times New Roman"/>
                <w:sz w:val="12"/>
              </w:rPr>
            </w:pPr>
            <w:r>
              <w:rPr>
                <w:rFonts w:ascii="Times New Roman"/>
                <w:color w:val="565659"/>
                <w:spacing w:val="-2"/>
                <w:w w:val="170"/>
                <w:sz w:val="12"/>
              </w:rPr>
              <w:t>3,350</w:t>
            </w:r>
            <w:r>
              <w:rPr>
                <w:rFonts w:ascii="Times New Roman"/>
                <w:color w:val="0F2459"/>
                <w:spacing w:val="-2"/>
                <w:w w:val="170"/>
                <w:sz w:val="12"/>
              </w:rPr>
              <w:t>.</w:t>
            </w:r>
            <w:r>
              <w:rPr>
                <w:rFonts w:ascii="Times New Roman"/>
                <w:color w:val="464246"/>
                <w:spacing w:val="-2"/>
                <w:w w:val="170"/>
                <w:sz w:val="12"/>
              </w:rPr>
              <w:t>00</w:t>
            </w:r>
          </w:p>
        </w:tc>
      </w:tr>
      <w:tr>
        <w:trPr>
          <w:trHeight w:val="182" w:hRule="atLeast"/>
        </w:trPr>
        <w:tc>
          <w:tcPr>
            <w:tcW w:w="1496" w:type="dxa"/>
          </w:tcPr>
          <w:p>
            <w:pPr>
              <w:pStyle w:val="TableParagraph"/>
              <w:spacing w:before="22"/>
              <w:ind w:left="320"/>
              <w:rPr>
                <w:rFonts w:ascii="Times New Roman"/>
                <w:sz w:val="12"/>
              </w:rPr>
            </w:pPr>
            <w:r>
              <w:rPr>
                <w:rFonts w:ascii="Times New Roman"/>
                <w:color w:val="565659"/>
                <w:spacing w:val="-2"/>
                <w:w w:val="175"/>
                <w:sz w:val="12"/>
              </w:rPr>
              <w:t>2</w:t>
            </w:r>
            <w:r>
              <w:rPr>
                <w:rFonts w:ascii="Times New Roman"/>
                <w:color w:val="2F2D31"/>
                <w:spacing w:val="-2"/>
                <w:w w:val="175"/>
                <w:sz w:val="12"/>
              </w:rPr>
              <w:t>11.77</w:t>
            </w:r>
          </w:p>
        </w:tc>
        <w:tc>
          <w:tcPr>
            <w:tcW w:w="1912" w:type="dxa"/>
          </w:tcPr>
          <w:p>
            <w:pPr>
              <w:pStyle w:val="TableParagraph"/>
              <w:spacing w:before="17"/>
              <w:ind w:left="40" w:right="246"/>
              <w:jc w:val="center"/>
              <w:rPr>
                <w:rFonts w:ascii="Times New Roman"/>
                <w:sz w:val="12"/>
              </w:rPr>
            </w:pPr>
            <w:r>
              <w:rPr>
                <w:rFonts w:ascii="Times New Roman"/>
                <w:color w:val="2F2D31"/>
                <w:w w:val="155"/>
                <w:sz w:val="12"/>
              </w:rPr>
              <w:t>1</w:t>
            </w:r>
            <w:r>
              <w:rPr>
                <w:rFonts w:ascii="Times New Roman"/>
                <w:color w:val="565659"/>
                <w:w w:val="155"/>
                <w:sz w:val="12"/>
              </w:rPr>
              <w:t>24</w:t>
            </w:r>
            <w:r>
              <w:rPr>
                <w:rFonts w:ascii="Times New Roman"/>
                <w:color w:val="707479"/>
                <w:w w:val="155"/>
                <w:sz w:val="12"/>
              </w:rPr>
              <w:t>-</w:t>
            </w:r>
            <w:r>
              <w:rPr>
                <w:rFonts w:ascii="Times New Roman"/>
                <w:color w:val="2F2D31"/>
                <w:w w:val="155"/>
                <w:sz w:val="12"/>
              </w:rPr>
              <w:t>0</w:t>
            </w:r>
            <w:r>
              <w:rPr>
                <w:rFonts w:ascii="Times New Roman"/>
                <w:color w:val="565659"/>
                <w:w w:val="155"/>
                <w:sz w:val="12"/>
              </w:rPr>
              <w:t>3</w:t>
            </w:r>
            <w:r>
              <w:rPr>
                <w:rFonts w:ascii="Times New Roman"/>
                <w:color w:val="707479"/>
                <w:w w:val="155"/>
                <w:sz w:val="12"/>
              </w:rPr>
              <w:t>-</w:t>
            </w:r>
            <w:r>
              <w:rPr>
                <w:rFonts w:ascii="Times New Roman"/>
                <w:color w:val="565659"/>
                <w:spacing w:val="-4"/>
                <w:w w:val="155"/>
                <w:sz w:val="12"/>
              </w:rPr>
              <w:t>2</w:t>
            </w:r>
            <w:r>
              <w:rPr>
                <w:rFonts w:ascii="Times New Roman"/>
                <w:color w:val="2F2D31"/>
                <w:spacing w:val="-4"/>
                <w:w w:val="155"/>
                <w:sz w:val="12"/>
              </w:rPr>
              <w:t>0</w:t>
            </w:r>
            <w:r>
              <w:rPr>
                <w:rFonts w:ascii="Times New Roman"/>
                <w:color w:val="565659"/>
                <w:spacing w:val="-4"/>
                <w:w w:val="155"/>
                <w:sz w:val="12"/>
              </w:rPr>
              <w:t>26</w:t>
            </w:r>
          </w:p>
        </w:tc>
        <w:tc>
          <w:tcPr>
            <w:tcW w:w="2166" w:type="dxa"/>
          </w:tcPr>
          <w:p>
            <w:pPr>
              <w:pStyle w:val="TableParagraph"/>
              <w:spacing w:before="22"/>
              <w:ind w:right="91"/>
              <w:jc w:val="right"/>
              <w:rPr>
                <w:rFonts w:ascii="Times New Roman" w:hAnsi="Times New Roman" w:cs="Times New Roman" w:eastAsia="Times New Roman"/>
                <w:sz w:val="12"/>
                <w:szCs w:val="12"/>
              </w:rPr>
            </w:pPr>
            <w:r>
              <w:rPr>
                <w:rFonts w:ascii="Times New Roman" w:hAnsi="Times New Roman" w:cs="Times New Roman" w:eastAsia="Times New Roman"/>
                <w:color w:val="565659"/>
                <w:spacing w:val="-2"/>
                <w:w w:val="150"/>
                <w:sz w:val="12"/>
                <w:szCs w:val="12"/>
              </w:rPr>
              <w:t>3</w:t>
            </w:r>
            <w:r>
              <w:rPr>
                <w:rFonts w:ascii="Times New Roman" w:hAnsi="Times New Roman" w:cs="Times New Roman" w:eastAsia="Times New Roman"/>
                <w:color w:val="2F2D31"/>
                <w:spacing w:val="-2"/>
                <w:w w:val="150"/>
                <w:sz w:val="12"/>
                <w:szCs w:val="12"/>
              </w:rPr>
              <w:t>7�</w:t>
            </w:r>
            <w:r>
              <w:rPr>
                <w:rFonts w:ascii="Times New Roman" w:hAnsi="Times New Roman" w:cs="Times New Roman" w:eastAsia="Times New Roman"/>
                <w:color w:val="565659"/>
                <w:spacing w:val="-2"/>
                <w:w w:val="150"/>
                <w:sz w:val="12"/>
                <w:szCs w:val="12"/>
              </w:rPr>
              <w:t>555.</w:t>
            </w:r>
            <w:r>
              <w:rPr>
                <w:rFonts w:ascii="Times New Roman" w:hAnsi="Times New Roman" w:cs="Times New Roman" w:eastAsia="Times New Roman"/>
                <w:color w:val="2F2D31"/>
                <w:spacing w:val="-2"/>
                <w:w w:val="150"/>
                <w:sz w:val="12"/>
                <w:szCs w:val="12"/>
              </w:rPr>
              <w:t>0</w:t>
            </w:r>
            <w:r>
              <w:rPr>
                <w:rFonts w:ascii="Times New Roman" w:hAnsi="Times New Roman" w:cs="Times New Roman" w:eastAsia="Times New Roman"/>
                <w:color w:val="565659"/>
                <w:spacing w:val="-2"/>
                <w:w w:val="150"/>
                <w:sz w:val="12"/>
                <w:szCs w:val="12"/>
              </w:rPr>
              <w:t>0</w:t>
            </w:r>
          </w:p>
        </w:tc>
      </w:tr>
      <w:tr>
        <w:trPr>
          <w:trHeight w:val="269" w:hRule="atLeast"/>
        </w:trPr>
        <w:tc>
          <w:tcPr>
            <w:tcW w:w="1496" w:type="dxa"/>
          </w:tcPr>
          <w:p>
            <w:pPr>
              <w:pStyle w:val="TableParagraph"/>
              <w:spacing w:before="22"/>
              <w:ind w:left="494"/>
              <w:rPr>
                <w:rFonts w:ascii="Times New Roman"/>
                <w:sz w:val="12"/>
              </w:rPr>
            </w:pPr>
            <w:r>
              <w:rPr>
                <w:rFonts w:ascii="Times New Roman"/>
                <w:color w:val="2F2D31"/>
                <w:spacing w:val="-5"/>
                <w:w w:val="145"/>
                <w:sz w:val="12"/>
              </w:rPr>
              <w:t>1</w:t>
            </w:r>
            <w:r>
              <w:rPr>
                <w:rFonts w:ascii="Times New Roman"/>
                <w:color w:val="565659"/>
                <w:spacing w:val="-5"/>
                <w:w w:val="145"/>
                <w:sz w:val="12"/>
              </w:rPr>
              <w:t>83</w:t>
            </w:r>
          </w:p>
        </w:tc>
        <w:tc>
          <w:tcPr>
            <w:tcW w:w="1912" w:type="dxa"/>
          </w:tcPr>
          <w:p>
            <w:pPr>
              <w:pStyle w:val="TableParagraph"/>
              <w:spacing w:before="17"/>
              <w:ind w:left="50" w:right="246"/>
              <w:jc w:val="center"/>
              <w:rPr>
                <w:rFonts w:ascii="Times New Roman"/>
                <w:sz w:val="12"/>
              </w:rPr>
            </w:pPr>
            <w:r>
              <w:rPr>
                <w:rFonts w:ascii="Times New Roman"/>
                <w:color w:val="2F2D31"/>
                <w:w w:val="140"/>
                <w:sz w:val="12"/>
              </w:rPr>
              <w:t>l</w:t>
            </w:r>
            <w:r>
              <w:rPr>
                <w:rFonts w:ascii="Times New Roman"/>
                <w:color w:val="2F2D31"/>
                <w:spacing w:val="10"/>
                <w:w w:val="140"/>
                <w:sz w:val="12"/>
              </w:rPr>
              <w:t> </w:t>
            </w:r>
            <w:r>
              <w:rPr>
                <w:rFonts w:ascii="Times New Roman"/>
                <w:color w:val="565659"/>
                <w:w w:val="130"/>
                <w:sz w:val="10"/>
              </w:rPr>
              <w:t>..J,</w:t>
            </w:r>
            <w:r>
              <w:rPr>
                <w:rFonts w:ascii="Times New Roman"/>
                <w:color w:val="565659"/>
                <w:w w:val="130"/>
                <w:sz w:val="12"/>
              </w:rPr>
              <w:t>7</w:t>
            </w:r>
            <w:r>
              <w:rPr>
                <w:rFonts w:ascii="Times New Roman"/>
                <w:color w:val="707479"/>
                <w:w w:val="130"/>
                <w:sz w:val="12"/>
              </w:rPr>
              <w:t>-</w:t>
            </w:r>
            <w:r>
              <w:rPr>
                <w:rFonts w:ascii="Times New Roman"/>
                <w:color w:val="464246"/>
                <w:w w:val="140"/>
                <w:sz w:val="12"/>
              </w:rPr>
              <w:t>03</w:t>
            </w:r>
            <w:r>
              <w:rPr>
                <w:rFonts w:ascii="Times New Roman"/>
                <w:color w:val="707479"/>
                <w:w w:val="140"/>
                <w:sz w:val="12"/>
              </w:rPr>
              <w:t>-</w:t>
            </w:r>
            <w:r>
              <w:rPr>
                <w:rFonts w:ascii="Times New Roman"/>
                <w:color w:val="565659"/>
                <w:spacing w:val="-4"/>
                <w:w w:val="140"/>
                <w:sz w:val="12"/>
              </w:rPr>
              <w:t>2026</w:t>
            </w:r>
          </w:p>
        </w:tc>
        <w:tc>
          <w:tcPr>
            <w:tcW w:w="2166" w:type="dxa"/>
          </w:tcPr>
          <w:p>
            <w:pPr>
              <w:pStyle w:val="TableParagraph"/>
              <w:spacing w:before="17"/>
              <w:ind w:right="49"/>
              <w:jc w:val="right"/>
              <w:rPr>
                <w:rFonts w:ascii="Times New Roman"/>
                <w:sz w:val="12"/>
              </w:rPr>
            </w:pPr>
            <w:r>
              <w:rPr>
                <w:rFonts w:ascii="Times New Roman"/>
                <w:color w:val="565659"/>
                <w:spacing w:val="-2"/>
                <w:w w:val="170"/>
                <w:sz w:val="12"/>
              </w:rPr>
              <w:t>8,223.60</w:t>
            </w:r>
          </w:p>
        </w:tc>
      </w:tr>
      <w:tr>
        <w:trPr>
          <w:trHeight w:val="244" w:hRule="atLeast"/>
        </w:trPr>
        <w:tc>
          <w:tcPr>
            <w:tcW w:w="1496" w:type="dxa"/>
          </w:tcPr>
          <w:p>
            <w:pPr>
              <w:pStyle w:val="TableParagraph"/>
              <w:spacing w:line="107" w:lineRule="exact" w:before="118"/>
              <w:ind w:right="342"/>
              <w:jc w:val="right"/>
              <w:rPr>
                <w:rFonts w:ascii="Times New Roman"/>
                <w:sz w:val="11"/>
              </w:rPr>
            </w:pPr>
            <w:r>
              <w:rPr>
                <w:rFonts w:ascii="Times New Roman"/>
                <w:color w:val="1A181C"/>
                <w:spacing w:val="-2"/>
                <w:w w:val="205"/>
                <w:sz w:val="11"/>
              </w:rPr>
              <w:t>Tot:alJulio</w:t>
            </w:r>
          </w:p>
        </w:tc>
        <w:tc>
          <w:tcPr>
            <w:tcW w:w="1912" w:type="dxa"/>
          </w:tcPr>
          <w:p>
            <w:pPr>
              <w:pStyle w:val="TableParagraph"/>
              <w:rPr>
                <w:rFonts w:ascii="Times New Roman"/>
                <w:sz w:val="14"/>
              </w:rPr>
            </w:pPr>
          </w:p>
        </w:tc>
        <w:tc>
          <w:tcPr>
            <w:tcW w:w="2166" w:type="dxa"/>
          </w:tcPr>
          <w:p>
            <w:pPr>
              <w:pStyle w:val="TableParagraph"/>
              <w:spacing w:line="121" w:lineRule="exact" w:before="104"/>
              <w:ind w:right="121"/>
              <w:jc w:val="right"/>
              <w:rPr>
                <w:rFonts w:ascii="Times New Roman"/>
                <w:b/>
                <w:sz w:val="12"/>
              </w:rPr>
            </w:pPr>
            <w:r>
              <w:rPr>
                <w:rFonts w:ascii="Times New Roman"/>
                <w:b/>
                <w:color w:val="2F2D31"/>
                <w:spacing w:val="-2"/>
                <w:w w:val="180"/>
                <w:sz w:val="12"/>
              </w:rPr>
              <w:t>407,250.40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tbl>
      <w:tblPr>
        <w:tblW w:w="0" w:type="auto"/>
        <w:jc w:val="left"/>
        <w:tblInd w:w="2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7"/>
        <w:gridCol w:w="2100"/>
        <w:gridCol w:w="2345"/>
      </w:tblGrid>
      <w:tr>
        <w:trPr>
          <w:trHeight w:val="236" w:hRule="atLeast"/>
        </w:trPr>
        <w:tc>
          <w:tcPr>
            <w:tcW w:w="1667" w:type="dxa"/>
          </w:tcPr>
          <w:p>
            <w:pPr>
              <w:pStyle w:val="TableParagraph"/>
              <w:spacing w:line="133" w:lineRule="exact"/>
              <w:ind w:right="259"/>
              <w:jc w:val="center"/>
              <w:rPr>
                <w:rFonts w:ascii="Times New Roman"/>
                <w:b/>
                <w:sz w:val="12"/>
              </w:rPr>
            </w:pPr>
            <w:r>
              <w:rPr>
                <w:rFonts w:ascii="Times New Roman"/>
                <w:b/>
                <w:color w:val="2F2D31"/>
                <w:spacing w:val="-4"/>
                <w:w w:val="155"/>
                <w:sz w:val="12"/>
              </w:rPr>
              <w:t>Mt:s</w:t>
            </w:r>
          </w:p>
        </w:tc>
        <w:tc>
          <w:tcPr>
            <w:tcW w:w="2100" w:type="dxa"/>
          </w:tcPr>
          <w:p>
            <w:pPr>
              <w:pStyle w:val="TableParagraph"/>
              <w:spacing w:before="62"/>
              <w:ind w:left="474"/>
              <w:rPr>
                <w:rFonts w:ascii="Times New Roman"/>
                <w:sz w:val="13"/>
              </w:rPr>
            </w:pPr>
            <w:r>
              <w:rPr>
                <w:rFonts w:ascii="Times New Roman"/>
                <w:color w:val="1A181C"/>
                <w:spacing w:val="-2"/>
                <w:w w:val="185"/>
                <w:sz w:val="13"/>
              </w:rPr>
              <w:t>Directivo</w:t>
            </w:r>
          </w:p>
        </w:tc>
        <w:tc>
          <w:tcPr>
            <w:tcW w:w="2345" w:type="dxa"/>
          </w:tcPr>
          <w:p>
            <w:pPr>
              <w:pStyle w:val="TableParagraph"/>
              <w:spacing w:line="133" w:lineRule="exact"/>
              <w:ind w:left="605"/>
              <w:rPr>
                <w:rFonts w:ascii="Times New Roman"/>
                <w:b/>
                <w:sz w:val="12"/>
              </w:rPr>
            </w:pPr>
            <w:r>
              <w:rPr>
                <w:rFonts w:ascii="Times New Roman"/>
                <w:b/>
                <w:color w:val="1A181C"/>
                <w:spacing w:val="-2"/>
                <w:w w:val="190"/>
                <w:sz w:val="12"/>
              </w:rPr>
              <w:t>Mont:oSAP</w:t>
            </w:r>
          </w:p>
        </w:tc>
      </w:tr>
      <w:tr>
        <w:trPr>
          <w:trHeight w:val="205" w:hRule="atLeast"/>
        </w:trPr>
        <w:tc>
          <w:tcPr>
            <w:tcW w:w="1667" w:type="dxa"/>
          </w:tcPr>
          <w:p>
            <w:pPr>
              <w:pStyle w:val="TableParagraph"/>
              <w:spacing w:before="37"/>
              <w:ind w:right="320"/>
              <w:jc w:val="center"/>
              <w:rPr>
                <w:rFonts w:ascii="Arial"/>
                <w:sz w:val="10"/>
              </w:rPr>
            </w:pPr>
            <w:r>
              <w:rPr>
                <w:rFonts w:ascii="Times New Roman"/>
                <w:color w:val="464246"/>
                <w:w w:val="180"/>
                <w:sz w:val="12"/>
              </w:rPr>
              <w:t>Saldo</w:t>
            </w:r>
            <w:r>
              <w:rPr>
                <w:rFonts w:ascii="Times New Roman"/>
                <w:color w:val="464246"/>
                <w:spacing w:val="17"/>
                <w:w w:val="180"/>
                <w:sz w:val="12"/>
              </w:rPr>
              <w:t> </w:t>
            </w:r>
            <w:r>
              <w:rPr>
                <w:rFonts w:ascii="Times New Roman"/>
                <w:color w:val="464246"/>
                <w:w w:val="180"/>
                <w:sz w:val="12"/>
              </w:rPr>
              <w:t>a</w:t>
            </w:r>
            <w:r>
              <w:rPr>
                <w:rFonts w:ascii="Times New Roman"/>
                <w:color w:val="464246"/>
                <w:spacing w:val="4"/>
                <w:w w:val="180"/>
                <w:sz w:val="12"/>
              </w:rPr>
              <w:t> </w:t>
            </w:r>
            <w:r>
              <w:rPr>
                <w:rFonts w:ascii="Arial"/>
                <w:color w:val="A17C60"/>
                <w:spacing w:val="-2"/>
                <w:w w:val="170"/>
                <w:sz w:val="10"/>
              </w:rPr>
              <w:t>.</w:t>
            </w:r>
            <w:r>
              <w:rPr>
                <w:rFonts w:ascii="Arial"/>
                <w:color w:val="2F2D31"/>
                <w:spacing w:val="-2"/>
                <w:w w:val="170"/>
                <w:sz w:val="10"/>
              </w:rPr>
              <w:t>r</w:t>
            </w:r>
            <w:r>
              <w:rPr>
                <w:rFonts w:ascii="Arial"/>
                <w:color w:val="565659"/>
                <w:spacing w:val="-2"/>
                <w:w w:val="170"/>
                <w:sz w:val="10"/>
              </w:rPr>
              <w:t>r</w:t>
            </w:r>
            <w:r>
              <w:rPr>
                <w:rFonts w:ascii="Arial"/>
                <w:color w:val="2F2D31"/>
                <w:spacing w:val="-2"/>
                <w:w w:val="170"/>
                <w:sz w:val="10"/>
              </w:rPr>
              <w:t>1arzo</w:t>
            </w:r>
          </w:p>
        </w:tc>
        <w:tc>
          <w:tcPr>
            <w:tcW w:w="2100" w:type="dxa"/>
          </w:tcPr>
          <w:p>
            <w:pPr>
              <w:pStyle w:val="TableParagraph"/>
              <w:rPr>
                <w:rFonts w:ascii="Times New Roman"/>
                <w:sz w:val="14"/>
              </w:rPr>
            </w:pPr>
          </w:p>
        </w:tc>
        <w:tc>
          <w:tcPr>
            <w:tcW w:w="2345" w:type="dxa"/>
          </w:tcPr>
          <w:p>
            <w:pPr>
              <w:pStyle w:val="TableParagraph"/>
              <w:spacing w:before="18"/>
              <w:ind w:right="76"/>
              <w:jc w:val="right"/>
              <w:rPr>
                <w:rFonts w:ascii="Times New Roman"/>
                <w:sz w:val="14"/>
              </w:rPr>
            </w:pPr>
            <w:r>
              <w:rPr>
                <w:rFonts w:ascii="Times New Roman"/>
                <w:color w:val="1A181C"/>
                <w:spacing w:val="-2"/>
                <w:w w:val="155"/>
                <w:sz w:val="14"/>
              </w:rPr>
              <w:t>1</w:t>
            </w:r>
            <w:r>
              <w:rPr>
                <w:rFonts w:ascii="Times New Roman"/>
                <w:color w:val="565659"/>
                <w:spacing w:val="-2"/>
                <w:w w:val="155"/>
                <w:sz w:val="14"/>
              </w:rPr>
              <w:t>8</w:t>
            </w:r>
            <w:r>
              <w:rPr>
                <w:rFonts w:ascii="Times New Roman"/>
                <w:color w:val="2F2D31"/>
                <w:spacing w:val="-2"/>
                <w:w w:val="155"/>
                <w:sz w:val="14"/>
              </w:rPr>
              <w:t>0,</w:t>
            </w:r>
            <w:r>
              <w:rPr>
                <w:rFonts w:ascii="Times New Roman"/>
                <w:color w:val="565659"/>
                <w:spacing w:val="-2"/>
                <w:w w:val="155"/>
                <w:sz w:val="14"/>
              </w:rPr>
              <w:t>488</w:t>
            </w:r>
            <w:r>
              <w:rPr>
                <w:rFonts w:ascii="Times New Roman"/>
                <w:color w:val="1A181C"/>
                <w:spacing w:val="-2"/>
                <w:w w:val="155"/>
                <w:sz w:val="14"/>
              </w:rPr>
              <w:t>.</w:t>
            </w:r>
            <w:r>
              <w:rPr>
                <w:rFonts w:ascii="Times New Roman"/>
                <w:color w:val="565659"/>
                <w:spacing w:val="-2"/>
                <w:w w:val="155"/>
                <w:sz w:val="14"/>
              </w:rPr>
              <w:t>82</w:t>
            </w:r>
          </w:p>
        </w:tc>
      </w:tr>
      <w:tr>
        <w:trPr>
          <w:trHeight w:val="201" w:hRule="atLeast"/>
        </w:trPr>
        <w:tc>
          <w:tcPr>
            <w:tcW w:w="1667" w:type="dxa"/>
          </w:tcPr>
          <w:p>
            <w:pPr>
              <w:pStyle w:val="TableParagraph"/>
              <w:spacing w:before="20"/>
              <w:ind w:right="291"/>
              <w:jc w:val="center"/>
              <w:rPr>
                <w:rFonts w:ascii="Times New Roman"/>
                <w:sz w:val="14"/>
              </w:rPr>
            </w:pPr>
            <w:r>
              <w:rPr>
                <w:rFonts w:ascii="Times New Roman"/>
                <w:color w:val="2F2D31"/>
                <w:spacing w:val="-2"/>
                <w:w w:val="150"/>
                <w:sz w:val="14"/>
              </w:rPr>
              <w:t>128.2</w:t>
            </w:r>
            <w:r>
              <w:rPr>
                <w:rFonts w:ascii="Times New Roman"/>
                <w:color w:val="565659"/>
                <w:spacing w:val="-2"/>
                <w:w w:val="150"/>
                <w:sz w:val="14"/>
              </w:rPr>
              <w:t>8</w:t>
            </w:r>
          </w:p>
        </w:tc>
        <w:tc>
          <w:tcPr>
            <w:tcW w:w="2100" w:type="dxa"/>
          </w:tcPr>
          <w:p>
            <w:pPr>
              <w:pStyle w:val="TableParagraph"/>
              <w:spacing w:before="20"/>
              <w:ind w:left="373"/>
              <w:rPr>
                <w:rFonts w:ascii="Times New Roman"/>
                <w:sz w:val="14"/>
              </w:rPr>
            </w:pPr>
            <w:r>
              <w:rPr>
                <w:rFonts w:ascii="Times New Roman"/>
                <w:color w:val="464246"/>
                <w:w w:val="155"/>
                <w:sz w:val="14"/>
              </w:rPr>
              <w:t>288-10-</w:t>
            </w:r>
            <w:r>
              <w:rPr>
                <w:rFonts w:ascii="Times New Roman"/>
                <w:color w:val="464246"/>
                <w:spacing w:val="-4"/>
                <w:w w:val="155"/>
                <w:sz w:val="14"/>
              </w:rPr>
              <w:t>2025</w:t>
            </w:r>
          </w:p>
        </w:tc>
        <w:tc>
          <w:tcPr>
            <w:tcW w:w="2345" w:type="dxa"/>
          </w:tcPr>
          <w:p>
            <w:pPr>
              <w:pStyle w:val="TableParagraph"/>
              <w:spacing w:before="20"/>
              <w:ind w:right="80"/>
              <w:jc w:val="right"/>
              <w:rPr>
                <w:rFonts w:ascii="Times New Roman"/>
                <w:sz w:val="14"/>
              </w:rPr>
            </w:pPr>
            <w:r>
              <w:rPr>
                <w:rFonts w:ascii="Times New Roman"/>
                <w:color w:val="565659"/>
                <w:spacing w:val="-2"/>
                <w:w w:val="165"/>
                <w:sz w:val="14"/>
              </w:rPr>
              <w:t>5,83</w:t>
            </w:r>
            <w:r>
              <w:rPr>
                <w:rFonts w:ascii="Times New Roman"/>
                <w:color w:val="2F2D31"/>
                <w:spacing w:val="-2"/>
                <w:w w:val="165"/>
                <w:sz w:val="14"/>
              </w:rPr>
              <w:t>0</w:t>
            </w:r>
            <w:r>
              <w:rPr>
                <w:rFonts w:ascii="Times New Roman"/>
                <w:color w:val="565659"/>
                <w:spacing w:val="-2"/>
                <w:w w:val="165"/>
                <w:sz w:val="14"/>
              </w:rPr>
              <w:t>.</w:t>
            </w:r>
            <w:r>
              <w:rPr>
                <w:rFonts w:ascii="Times New Roman"/>
                <w:color w:val="2F2D31"/>
                <w:spacing w:val="-2"/>
                <w:w w:val="165"/>
                <w:sz w:val="14"/>
              </w:rPr>
              <w:t>00</w:t>
            </w:r>
          </w:p>
        </w:tc>
      </w:tr>
      <w:tr>
        <w:trPr>
          <w:trHeight w:val="201" w:hRule="atLeast"/>
        </w:trPr>
        <w:tc>
          <w:tcPr>
            <w:tcW w:w="1667" w:type="dxa"/>
          </w:tcPr>
          <w:p>
            <w:pPr>
              <w:pStyle w:val="TableParagraph"/>
              <w:spacing w:before="20"/>
              <w:ind w:right="295"/>
              <w:jc w:val="center"/>
              <w:rPr>
                <w:rFonts w:ascii="Times New Roman"/>
                <w:sz w:val="14"/>
              </w:rPr>
            </w:pPr>
            <w:r>
              <w:rPr>
                <w:rFonts w:ascii="Times New Roman"/>
                <w:color w:val="2F2D31"/>
                <w:spacing w:val="-2"/>
                <w:w w:val="150"/>
                <w:sz w:val="14"/>
              </w:rPr>
              <w:t>1</w:t>
            </w:r>
            <w:r>
              <w:rPr>
                <w:rFonts w:ascii="Times New Roman"/>
                <w:color w:val="565659"/>
                <w:spacing w:val="-2"/>
                <w:w w:val="150"/>
                <w:sz w:val="14"/>
              </w:rPr>
              <w:t>26.35</w:t>
            </w:r>
          </w:p>
        </w:tc>
        <w:tc>
          <w:tcPr>
            <w:tcW w:w="2100" w:type="dxa"/>
          </w:tcPr>
          <w:p>
            <w:pPr>
              <w:pStyle w:val="TableParagraph"/>
              <w:spacing w:before="15"/>
              <w:ind w:left="377"/>
              <w:rPr>
                <w:rFonts w:ascii="Times New Roman"/>
                <w:sz w:val="14"/>
              </w:rPr>
            </w:pPr>
            <w:r>
              <w:rPr>
                <w:rFonts w:ascii="Times New Roman"/>
                <w:color w:val="565659"/>
                <w:w w:val="155"/>
                <w:sz w:val="14"/>
              </w:rPr>
              <w:t>48</w:t>
            </w:r>
            <w:r>
              <w:rPr>
                <w:rFonts w:ascii="Times New Roman"/>
                <w:color w:val="1A181C"/>
                <w:w w:val="155"/>
                <w:sz w:val="14"/>
              </w:rPr>
              <w:t>-0</w:t>
            </w:r>
            <w:r>
              <w:rPr>
                <w:rFonts w:ascii="Times New Roman"/>
                <w:color w:val="565659"/>
                <w:w w:val="155"/>
                <w:sz w:val="14"/>
              </w:rPr>
              <w:t>2</w:t>
            </w:r>
            <w:r>
              <w:rPr>
                <w:rFonts w:ascii="Times New Roman"/>
                <w:color w:val="2F2D31"/>
                <w:w w:val="155"/>
                <w:sz w:val="14"/>
              </w:rPr>
              <w:t>-</w:t>
            </w:r>
            <w:r>
              <w:rPr>
                <w:rFonts w:ascii="Times New Roman"/>
                <w:color w:val="565659"/>
                <w:spacing w:val="-4"/>
                <w:w w:val="155"/>
                <w:sz w:val="14"/>
              </w:rPr>
              <w:t>2026</w:t>
            </w:r>
          </w:p>
        </w:tc>
        <w:tc>
          <w:tcPr>
            <w:tcW w:w="2345" w:type="dxa"/>
          </w:tcPr>
          <w:p>
            <w:pPr>
              <w:pStyle w:val="TableParagraph"/>
              <w:spacing w:before="20"/>
              <w:ind w:right="80"/>
              <w:jc w:val="right"/>
              <w:rPr>
                <w:rFonts w:ascii="Times New Roman"/>
                <w:sz w:val="14"/>
              </w:rPr>
            </w:pPr>
            <w:r>
              <w:rPr>
                <w:rFonts w:ascii="Times New Roman"/>
                <w:color w:val="565659"/>
                <w:spacing w:val="-2"/>
                <w:w w:val="165"/>
                <w:sz w:val="14"/>
              </w:rPr>
              <w:t>3,24</w:t>
            </w:r>
            <w:r>
              <w:rPr>
                <w:rFonts w:ascii="Times New Roman"/>
                <w:color w:val="2F2D31"/>
                <w:spacing w:val="-2"/>
                <w:w w:val="165"/>
                <w:sz w:val="14"/>
              </w:rPr>
              <w:t>7.7</w:t>
            </w:r>
            <w:r>
              <w:rPr>
                <w:rFonts w:ascii="Times New Roman"/>
                <w:color w:val="565659"/>
                <w:spacing w:val="-2"/>
                <w:w w:val="165"/>
                <w:sz w:val="14"/>
              </w:rPr>
              <w:t>9</w:t>
            </w:r>
          </w:p>
        </w:tc>
      </w:tr>
      <w:tr>
        <w:trPr>
          <w:trHeight w:val="180" w:hRule="atLeast"/>
        </w:trPr>
        <w:tc>
          <w:tcPr>
            <w:tcW w:w="1667" w:type="dxa"/>
          </w:tcPr>
          <w:p>
            <w:pPr>
              <w:pStyle w:val="TableParagraph"/>
              <w:spacing w:line="141" w:lineRule="exact" w:before="20"/>
              <w:ind w:right="296"/>
              <w:jc w:val="center"/>
              <w:rPr>
                <w:rFonts w:ascii="Times New Roman"/>
                <w:sz w:val="14"/>
              </w:rPr>
            </w:pPr>
            <w:r>
              <w:rPr>
                <w:rFonts w:ascii="Times New Roman"/>
                <w:color w:val="2F2D31"/>
                <w:spacing w:val="-5"/>
                <w:w w:val="140"/>
                <w:sz w:val="14"/>
              </w:rPr>
              <w:t>1</w:t>
            </w:r>
            <w:r>
              <w:rPr>
                <w:rFonts w:ascii="Times New Roman"/>
                <w:color w:val="565659"/>
                <w:spacing w:val="-5"/>
                <w:w w:val="140"/>
                <w:sz w:val="14"/>
              </w:rPr>
              <w:t>54</w:t>
            </w:r>
          </w:p>
        </w:tc>
        <w:tc>
          <w:tcPr>
            <w:tcW w:w="2100" w:type="dxa"/>
          </w:tcPr>
          <w:p>
            <w:pPr>
              <w:pStyle w:val="TableParagraph"/>
              <w:spacing w:line="146" w:lineRule="exact" w:before="15"/>
              <w:ind w:left="377"/>
              <w:rPr>
                <w:rFonts w:ascii="Times New Roman"/>
                <w:sz w:val="14"/>
              </w:rPr>
            </w:pPr>
            <w:r>
              <w:rPr>
                <w:rFonts w:ascii="Times New Roman"/>
                <w:color w:val="565659"/>
                <w:w w:val="155"/>
                <w:sz w:val="14"/>
              </w:rPr>
              <w:t>66</w:t>
            </w:r>
            <w:r>
              <w:rPr>
                <w:rFonts w:ascii="Times New Roman"/>
                <w:color w:val="05080A"/>
                <w:w w:val="155"/>
                <w:sz w:val="14"/>
              </w:rPr>
              <w:t>-</w:t>
            </w:r>
            <w:r>
              <w:rPr>
                <w:rFonts w:ascii="Times New Roman"/>
                <w:color w:val="464246"/>
                <w:w w:val="155"/>
                <w:sz w:val="14"/>
              </w:rPr>
              <w:t>02</w:t>
            </w:r>
            <w:r>
              <w:rPr>
                <w:rFonts w:ascii="Times New Roman"/>
                <w:color w:val="05080A"/>
                <w:w w:val="155"/>
                <w:sz w:val="14"/>
              </w:rPr>
              <w:t>-</w:t>
            </w:r>
            <w:r>
              <w:rPr>
                <w:rFonts w:ascii="Times New Roman"/>
                <w:color w:val="565659"/>
                <w:spacing w:val="-4"/>
                <w:w w:val="155"/>
                <w:sz w:val="14"/>
              </w:rPr>
              <w:t>2026</w:t>
            </w:r>
          </w:p>
        </w:tc>
        <w:tc>
          <w:tcPr>
            <w:tcW w:w="2345" w:type="dxa"/>
          </w:tcPr>
          <w:p>
            <w:pPr>
              <w:pStyle w:val="TableParagraph"/>
              <w:spacing w:line="146" w:lineRule="exact" w:before="15"/>
              <w:ind w:right="47"/>
              <w:jc w:val="right"/>
              <w:rPr>
                <w:rFonts w:ascii="Times New Roman"/>
                <w:sz w:val="14"/>
              </w:rPr>
            </w:pPr>
            <w:r>
              <w:rPr>
                <w:rFonts w:ascii="Times New Roman"/>
                <w:color w:val="464246"/>
                <w:spacing w:val="-2"/>
                <w:w w:val="160"/>
                <w:sz w:val="14"/>
              </w:rPr>
              <w:t>6,197.40</w:t>
            </w:r>
          </w:p>
        </w:tc>
      </w:tr>
    </w:tbl>
    <w:p>
      <w:pPr>
        <w:pStyle w:val="BodyText"/>
        <w:rPr>
          <w:sz w:val="20"/>
        </w:rPr>
      </w:pPr>
    </w:p>
    <w:p>
      <w:pPr>
        <w:pStyle w:val="BodyText"/>
        <w:spacing w:before="7"/>
        <w:rPr>
          <w:sz w:val="20"/>
        </w:rPr>
      </w:pPr>
      <w:r>
        <w:rPr>
          <w:sz w:val="20"/>
        </w:rPr>
        <w:drawing>
          <wp:anchor distT="0" distB="0" distL="0" distR="0" allowOverlap="1" layoutInCell="1" locked="0" behindDoc="1" simplePos="0" relativeHeight="487743488">
            <wp:simplePos x="0" y="0"/>
            <wp:positionH relativeFrom="page">
              <wp:posOffset>2075891</wp:posOffset>
            </wp:positionH>
            <wp:positionV relativeFrom="paragraph">
              <wp:posOffset>164615</wp:posOffset>
            </wp:positionV>
            <wp:extent cx="1128161" cy="42672"/>
            <wp:effectExtent l="0" t="0" r="0" b="0"/>
            <wp:wrapTopAndBottom/>
            <wp:docPr id="781" name="Image 781"/>
            <wp:cNvGraphicFramePr>
              <a:graphicFrameLocks/>
            </wp:cNvGraphicFramePr>
            <a:graphic>
              <a:graphicData uri="http://schemas.openxmlformats.org/drawingml/2006/picture">
                <pic:pic>
                  <pic:nvPicPr>
                    <pic:cNvPr id="781" name="Image 781"/>
                    <pic:cNvPicPr/>
                  </pic:nvPicPr>
                  <pic:blipFill>
                    <a:blip r:embed="rId93" cstate="print"/>
                    <a:stretch>
                      <a:fillRect/>
                    </a:stretch>
                  </pic:blipFill>
                  <pic:spPr>
                    <a:xfrm>
                      <a:off x="0" y="0"/>
                      <a:ext cx="1128161" cy="42672"/>
                    </a:xfrm>
                    <a:prstGeom prst="rect">
                      <a:avLst/>
                    </a:prstGeom>
                  </pic:spPr>
                </pic:pic>
              </a:graphicData>
            </a:graphic>
          </wp:anchor>
        </w:drawing>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332"/>
        <w:rPr>
          <w:sz w:val="34"/>
        </w:rPr>
      </w:pPr>
    </w:p>
    <w:p>
      <w:pPr>
        <w:pStyle w:val="Heading1"/>
        <w:spacing w:before="0"/>
        <w:jc w:val="center"/>
      </w:pPr>
      <w:hyperlink r:id="rId94">
        <w:r>
          <w:rPr>
            <w:color w:val="CDAA64"/>
            <w:spacing w:val="-2"/>
            <w:w w:val="105"/>
          </w:rPr>
          <w:t>WWW.IMAS.GO.CR</w:t>
        </w:r>
      </w:hyperlink>
    </w:p>
    <w:p>
      <w:pPr>
        <w:pStyle w:val="Heading1"/>
        <w:spacing w:after="0"/>
        <w:jc w:val="center"/>
        <w:sectPr>
          <w:pgSz w:w="12240" w:h="15840"/>
          <w:pgMar w:top="300" w:bottom="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2432">
                <wp:simplePos x="0" y="0"/>
                <wp:positionH relativeFrom="page">
                  <wp:posOffset>9525</wp:posOffset>
                </wp:positionH>
                <wp:positionV relativeFrom="page">
                  <wp:posOffset>297208</wp:posOffset>
                </wp:positionV>
                <wp:extent cx="7762875" cy="9748520"/>
                <wp:effectExtent l="0" t="0" r="0" b="0"/>
                <wp:wrapNone/>
                <wp:docPr id="782" name="Group 782"/>
                <wp:cNvGraphicFramePr>
                  <a:graphicFrameLocks/>
                </wp:cNvGraphicFramePr>
                <a:graphic>
                  <a:graphicData uri="http://schemas.microsoft.com/office/word/2010/wordprocessingGroup">
                    <wpg:wgp>
                      <wpg:cNvPr id="782" name="Group 782"/>
                      <wpg:cNvGrpSpPr/>
                      <wpg:grpSpPr>
                        <a:xfrm>
                          <a:off x="0" y="0"/>
                          <a:ext cx="7762875" cy="9748520"/>
                          <a:chExt cx="7762875" cy="9748520"/>
                        </a:xfrm>
                      </wpg:grpSpPr>
                      <pic:pic>
                        <pic:nvPicPr>
                          <pic:cNvPr id="783" name="Image 783"/>
                          <pic:cNvPicPr/>
                        </pic:nvPicPr>
                        <pic:blipFill>
                          <a:blip r:embed="rId5" cstate="print"/>
                          <a:stretch>
                            <a:fillRect/>
                          </a:stretch>
                        </pic:blipFill>
                        <pic:spPr>
                          <a:xfrm>
                            <a:off x="0" y="0"/>
                            <a:ext cx="7762874" cy="9748489"/>
                          </a:xfrm>
                          <a:prstGeom prst="rect">
                            <a:avLst/>
                          </a:prstGeom>
                        </pic:spPr>
                      </pic:pic>
                      <wps:wsp>
                        <wps:cNvPr id="784" name="Graphic 78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34048" id="docshapegroup757" coordorigin="15,468" coordsize="12225,15352">
                <v:shape style="position:absolute;left:15;top:468;width:12225;height:15352" type="#_x0000_t75" id="docshape758" stroked="false">
                  <v:imagedata r:id="rId5" o:title=""/>
                </v:shape>
                <v:rect style="position:absolute;left:1673;top:2028;width:8897;height:15" id="docshape75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155</w:t>
      </w:r>
    </w:p>
    <w:p>
      <w:pPr>
        <w:pStyle w:val="Heading5"/>
        <w:numPr>
          <w:ilvl w:val="1"/>
          <w:numId w:val="39"/>
        </w:numPr>
        <w:tabs>
          <w:tab w:pos="945" w:val="left" w:leader="none"/>
        </w:tabs>
        <w:spacing w:line="240" w:lineRule="auto" w:before="218" w:after="0"/>
        <w:ind w:left="945" w:right="0" w:hanging="323"/>
        <w:jc w:val="left"/>
      </w:pPr>
      <w:bookmarkStart w:name="_bookmark124" w:id="125"/>
      <w:bookmarkEnd w:id="125"/>
      <w:r>
        <w:rPr>
          <w:b w:val="0"/>
        </w:rPr>
      </w:r>
      <w:r>
        <w:rPr>
          <w:color w:val="1F3762"/>
          <w:spacing w:val="-2"/>
        </w:rPr>
        <w:t>TRANSFERENCIAS</w:t>
      </w:r>
    </w:p>
    <w:p>
      <w:pPr>
        <w:spacing w:before="166"/>
        <w:ind w:left="622" w:right="0" w:firstLine="0"/>
        <w:jc w:val="left"/>
        <w:rPr>
          <w:b/>
          <w:sz w:val="22"/>
        </w:rPr>
      </w:pPr>
      <w:bookmarkStart w:name="_bookmark125" w:id="126"/>
      <w:bookmarkEnd w:id="126"/>
      <w:r>
        <w:rPr/>
      </w:r>
      <w:r>
        <w:rPr>
          <w:b/>
          <w:sz w:val="22"/>
        </w:rPr>
        <w:t>NOTA</w:t>
      </w:r>
      <w:r>
        <w:rPr>
          <w:b/>
          <w:spacing w:val="-1"/>
          <w:sz w:val="22"/>
        </w:rPr>
        <w:t> </w:t>
      </w:r>
      <w:r>
        <w:rPr>
          <w:b/>
          <w:sz w:val="22"/>
        </w:rPr>
        <w:t>N° </w:t>
      </w:r>
      <w:r>
        <w:rPr>
          <w:b/>
          <w:spacing w:val="-5"/>
          <w:sz w:val="22"/>
        </w:rPr>
        <w:t>72</w:t>
      </w:r>
    </w:p>
    <w:p>
      <w:pPr>
        <w:pStyle w:val="BodyText"/>
        <w:spacing w:before="115"/>
        <w:rPr>
          <w:b/>
        </w:rPr>
      </w:pPr>
    </w:p>
    <w:p>
      <w:pPr>
        <w:pStyle w:val="BodyText"/>
        <w:spacing w:after="18"/>
        <w:ind w:left="622"/>
      </w:pPr>
      <w:r>
        <w:rPr/>
        <w:t>Transferencias</w:t>
      </w:r>
      <w:r>
        <w:rPr>
          <w:spacing w:val="-7"/>
        </w:rPr>
        <w:t> </w:t>
      </w:r>
      <w:r>
        <w:rPr>
          <w:spacing w:val="-2"/>
        </w:rPr>
        <w:t>corrientes</w:t>
      </w: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7"/>
        <w:gridCol w:w="3118"/>
        <w:gridCol w:w="707"/>
        <w:gridCol w:w="1560"/>
        <w:gridCol w:w="1401"/>
        <w:gridCol w:w="1200"/>
      </w:tblGrid>
      <w:tr>
        <w:trPr>
          <w:trHeight w:val="325" w:hRule="atLeast"/>
        </w:trPr>
        <w:tc>
          <w:tcPr>
            <w:tcW w:w="1267" w:type="dxa"/>
            <w:vMerge w:val="restart"/>
            <w:shd w:val="clear" w:color="auto" w:fill="365F92"/>
          </w:tcPr>
          <w:p>
            <w:pPr>
              <w:pStyle w:val="TableParagraph"/>
              <w:spacing w:before="130"/>
              <w:ind w:left="69"/>
              <w:rPr>
                <w:b/>
                <w:sz w:val="20"/>
              </w:rPr>
            </w:pPr>
            <w:r>
              <w:rPr>
                <w:b/>
                <w:color w:val="FFFFFF"/>
                <w:spacing w:val="-2"/>
                <w:sz w:val="20"/>
              </w:rPr>
              <w:t>Cuenta</w:t>
            </w:r>
          </w:p>
        </w:tc>
        <w:tc>
          <w:tcPr>
            <w:tcW w:w="3118" w:type="dxa"/>
            <w:vMerge w:val="restart"/>
            <w:shd w:val="clear" w:color="auto" w:fill="365F92"/>
          </w:tcPr>
          <w:p>
            <w:pPr>
              <w:pStyle w:val="TableParagraph"/>
              <w:spacing w:before="219"/>
              <w:ind w:left="19"/>
              <w:jc w:val="center"/>
              <w:rPr>
                <w:b/>
                <w:sz w:val="20"/>
              </w:rPr>
            </w:pPr>
            <w:r>
              <w:rPr>
                <w:b/>
                <w:color w:val="FFFFFF"/>
                <w:spacing w:val="-2"/>
                <w:sz w:val="20"/>
              </w:rPr>
              <w:t>Descripción</w:t>
            </w:r>
          </w:p>
        </w:tc>
        <w:tc>
          <w:tcPr>
            <w:tcW w:w="707" w:type="dxa"/>
            <w:vMerge w:val="restart"/>
            <w:shd w:val="clear" w:color="auto" w:fill="365F92"/>
          </w:tcPr>
          <w:p>
            <w:pPr>
              <w:pStyle w:val="TableParagraph"/>
              <w:spacing w:before="219"/>
              <w:ind w:left="158"/>
              <w:rPr>
                <w:b/>
                <w:sz w:val="20"/>
              </w:rPr>
            </w:pPr>
            <w:r>
              <w:rPr>
                <w:b/>
                <w:color w:val="FFFFFF"/>
                <w:spacing w:val="-4"/>
                <w:sz w:val="20"/>
              </w:rPr>
              <w:t>Nota</w:t>
            </w:r>
          </w:p>
        </w:tc>
        <w:tc>
          <w:tcPr>
            <w:tcW w:w="1560" w:type="dxa"/>
            <w:vMerge w:val="restart"/>
            <w:shd w:val="clear" w:color="auto" w:fill="365F92"/>
          </w:tcPr>
          <w:p>
            <w:pPr>
              <w:pStyle w:val="TableParagraph"/>
              <w:spacing w:before="219"/>
              <w:ind w:left="207"/>
              <w:rPr>
                <w:b/>
                <w:sz w:val="20"/>
              </w:rPr>
            </w:pPr>
            <w:r>
              <w:rPr>
                <w:b/>
                <w:color w:val="FFFFFF"/>
                <w:sz w:val="20"/>
              </w:rPr>
              <w:t>Periodo</w:t>
            </w:r>
            <w:r>
              <w:rPr>
                <w:b/>
                <w:color w:val="FFFFFF"/>
                <w:spacing w:val="-5"/>
                <w:sz w:val="20"/>
              </w:rPr>
              <w:t> </w:t>
            </w:r>
            <w:r>
              <w:rPr>
                <w:b/>
                <w:color w:val="FFFFFF"/>
                <w:spacing w:val="-2"/>
                <w:sz w:val="20"/>
              </w:rPr>
              <w:t>Actual</w:t>
            </w:r>
          </w:p>
        </w:tc>
        <w:tc>
          <w:tcPr>
            <w:tcW w:w="1401" w:type="dxa"/>
            <w:vMerge w:val="restart"/>
            <w:shd w:val="clear" w:color="auto" w:fill="365F92"/>
          </w:tcPr>
          <w:p>
            <w:pPr>
              <w:pStyle w:val="TableParagraph"/>
              <w:spacing w:before="106"/>
              <w:ind w:left="361" w:right="333" w:firstLine="45"/>
              <w:rPr>
                <w:b/>
                <w:sz w:val="20"/>
              </w:rPr>
            </w:pPr>
            <w:r>
              <w:rPr>
                <w:b/>
                <w:color w:val="FFFFFF"/>
                <w:spacing w:val="-2"/>
                <w:sz w:val="20"/>
              </w:rPr>
              <w:t>Periodo Anterior</w:t>
            </w:r>
          </w:p>
        </w:tc>
        <w:tc>
          <w:tcPr>
            <w:tcW w:w="1200" w:type="dxa"/>
            <w:shd w:val="clear" w:color="auto" w:fill="365F92"/>
          </w:tcPr>
          <w:p>
            <w:pPr>
              <w:pStyle w:val="TableParagraph"/>
              <w:spacing w:before="49"/>
              <w:ind w:left="21"/>
              <w:jc w:val="center"/>
              <w:rPr>
                <w:b/>
                <w:sz w:val="20"/>
              </w:rPr>
            </w:pPr>
            <w:r>
              <w:rPr>
                <w:b/>
                <w:color w:val="FFFFFF"/>
                <w:spacing w:val="-2"/>
                <w:sz w:val="20"/>
              </w:rPr>
              <w:t>Diferencia</w:t>
            </w:r>
          </w:p>
        </w:tc>
      </w:tr>
      <w:tr>
        <w:trPr>
          <w:trHeight w:val="323" w:hRule="atLeast"/>
        </w:trPr>
        <w:tc>
          <w:tcPr>
            <w:tcW w:w="1267" w:type="dxa"/>
            <w:vMerge/>
            <w:tcBorders>
              <w:top w:val="nil"/>
            </w:tcBorders>
            <w:shd w:val="clear" w:color="auto" w:fill="365F92"/>
          </w:tcPr>
          <w:p>
            <w:pPr>
              <w:rPr>
                <w:sz w:val="2"/>
                <w:szCs w:val="2"/>
              </w:rPr>
            </w:pPr>
          </w:p>
        </w:tc>
        <w:tc>
          <w:tcPr>
            <w:tcW w:w="3118" w:type="dxa"/>
            <w:vMerge/>
            <w:tcBorders>
              <w:top w:val="nil"/>
            </w:tcBorders>
            <w:shd w:val="clear" w:color="auto" w:fill="365F92"/>
          </w:tcPr>
          <w:p>
            <w:pPr>
              <w:rPr>
                <w:sz w:val="2"/>
                <w:szCs w:val="2"/>
              </w:rPr>
            </w:pPr>
          </w:p>
        </w:tc>
        <w:tc>
          <w:tcPr>
            <w:tcW w:w="707"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401" w:type="dxa"/>
            <w:vMerge/>
            <w:tcBorders>
              <w:top w:val="nil"/>
            </w:tcBorders>
            <w:shd w:val="clear" w:color="auto" w:fill="365F92"/>
          </w:tcPr>
          <w:p>
            <w:pPr>
              <w:rPr>
                <w:sz w:val="2"/>
                <w:szCs w:val="2"/>
              </w:rPr>
            </w:pPr>
          </w:p>
        </w:tc>
        <w:tc>
          <w:tcPr>
            <w:tcW w:w="1200" w:type="dxa"/>
            <w:shd w:val="clear" w:color="auto" w:fill="365F92"/>
          </w:tcPr>
          <w:p>
            <w:pPr>
              <w:pStyle w:val="TableParagraph"/>
              <w:spacing w:before="46"/>
              <w:ind w:left="21" w:right="2"/>
              <w:jc w:val="center"/>
              <w:rPr>
                <w:sz w:val="20"/>
              </w:rPr>
            </w:pPr>
            <w:r>
              <w:rPr>
                <w:color w:val="FFFFFF"/>
                <w:spacing w:val="-10"/>
                <w:sz w:val="20"/>
              </w:rPr>
              <w:t>%</w:t>
            </w:r>
          </w:p>
        </w:tc>
      </w:tr>
      <w:tr>
        <w:trPr>
          <w:trHeight w:val="325" w:hRule="atLeast"/>
        </w:trPr>
        <w:tc>
          <w:tcPr>
            <w:tcW w:w="1267" w:type="dxa"/>
          </w:tcPr>
          <w:p>
            <w:pPr>
              <w:pStyle w:val="TableParagraph"/>
              <w:spacing w:before="46"/>
              <w:ind w:left="69"/>
              <w:rPr>
                <w:b/>
                <w:sz w:val="20"/>
              </w:rPr>
            </w:pPr>
            <w:r>
              <w:rPr>
                <w:b/>
                <w:spacing w:val="-2"/>
                <w:sz w:val="20"/>
              </w:rPr>
              <w:t>5.4.1.</w:t>
            </w:r>
          </w:p>
        </w:tc>
        <w:tc>
          <w:tcPr>
            <w:tcW w:w="3118" w:type="dxa"/>
          </w:tcPr>
          <w:p>
            <w:pPr>
              <w:pStyle w:val="TableParagraph"/>
              <w:spacing w:before="46"/>
              <w:ind w:left="69"/>
              <w:rPr>
                <w:b/>
                <w:sz w:val="20"/>
              </w:rPr>
            </w:pPr>
            <w:r>
              <w:rPr>
                <w:b/>
                <w:sz w:val="20"/>
              </w:rPr>
              <w:t>Transferencias</w:t>
            </w:r>
            <w:r>
              <w:rPr>
                <w:b/>
                <w:spacing w:val="-10"/>
                <w:sz w:val="20"/>
              </w:rPr>
              <w:t> </w:t>
            </w:r>
            <w:r>
              <w:rPr>
                <w:b/>
                <w:spacing w:val="-2"/>
                <w:sz w:val="20"/>
              </w:rPr>
              <w:t>corrientes</w:t>
            </w:r>
          </w:p>
        </w:tc>
        <w:tc>
          <w:tcPr>
            <w:tcW w:w="707" w:type="dxa"/>
          </w:tcPr>
          <w:p>
            <w:pPr>
              <w:pStyle w:val="TableParagraph"/>
              <w:spacing w:before="46"/>
              <w:ind w:left="19"/>
              <w:jc w:val="center"/>
              <w:rPr>
                <w:b/>
                <w:sz w:val="20"/>
              </w:rPr>
            </w:pPr>
            <w:r>
              <w:rPr>
                <w:b/>
                <w:spacing w:val="-5"/>
                <w:sz w:val="20"/>
              </w:rPr>
              <w:t>72</w:t>
            </w:r>
          </w:p>
        </w:tc>
        <w:tc>
          <w:tcPr>
            <w:tcW w:w="1560" w:type="dxa"/>
          </w:tcPr>
          <w:p>
            <w:pPr>
              <w:pStyle w:val="TableParagraph"/>
              <w:spacing w:before="46"/>
              <w:ind w:left="164"/>
              <w:rPr>
                <w:b/>
                <w:sz w:val="20"/>
              </w:rPr>
            </w:pPr>
            <w:r>
              <w:rPr>
                <w:b/>
                <w:sz w:val="20"/>
              </w:rPr>
              <w:t>100</w:t>
            </w:r>
            <w:r>
              <w:rPr>
                <w:b/>
                <w:spacing w:val="-3"/>
                <w:sz w:val="20"/>
              </w:rPr>
              <w:t> </w:t>
            </w:r>
            <w:r>
              <w:rPr>
                <w:b/>
                <w:sz w:val="20"/>
              </w:rPr>
              <w:t>618</w:t>
            </w:r>
            <w:r>
              <w:rPr>
                <w:b/>
                <w:spacing w:val="-3"/>
                <w:sz w:val="20"/>
              </w:rPr>
              <w:t> </w:t>
            </w:r>
            <w:r>
              <w:rPr>
                <w:b/>
                <w:spacing w:val="-2"/>
                <w:sz w:val="20"/>
              </w:rPr>
              <w:t>932,39</w:t>
            </w:r>
          </w:p>
        </w:tc>
        <w:tc>
          <w:tcPr>
            <w:tcW w:w="1401" w:type="dxa"/>
          </w:tcPr>
          <w:p>
            <w:pPr>
              <w:pStyle w:val="TableParagraph"/>
              <w:spacing w:before="46"/>
              <w:ind w:left="85"/>
              <w:rPr>
                <w:b/>
                <w:sz w:val="20"/>
              </w:rPr>
            </w:pPr>
            <w:r>
              <w:rPr>
                <w:b/>
                <w:sz w:val="20"/>
              </w:rPr>
              <w:t>105</w:t>
            </w:r>
            <w:r>
              <w:rPr>
                <w:b/>
                <w:spacing w:val="-3"/>
                <w:sz w:val="20"/>
              </w:rPr>
              <w:t> </w:t>
            </w:r>
            <w:r>
              <w:rPr>
                <w:b/>
                <w:sz w:val="20"/>
              </w:rPr>
              <w:t>940</w:t>
            </w:r>
            <w:r>
              <w:rPr>
                <w:b/>
                <w:spacing w:val="-3"/>
                <w:sz w:val="20"/>
              </w:rPr>
              <w:t> </w:t>
            </w:r>
            <w:r>
              <w:rPr>
                <w:b/>
                <w:spacing w:val="-2"/>
                <w:sz w:val="20"/>
              </w:rPr>
              <w:t>756,20</w:t>
            </w:r>
          </w:p>
        </w:tc>
        <w:tc>
          <w:tcPr>
            <w:tcW w:w="1200" w:type="dxa"/>
          </w:tcPr>
          <w:p>
            <w:pPr>
              <w:pStyle w:val="TableParagraph"/>
              <w:spacing w:before="46"/>
              <w:ind w:left="21"/>
              <w:jc w:val="center"/>
              <w:rPr>
                <w:b/>
                <w:sz w:val="20"/>
              </w:rPr>
            </w:pPr>
            <w:r>
              <w:rPr>
                <w:b/>
                <w:spacing w:val="-2"/>
                <w:sz w:val="20"/>
              </w:rPr>
              <w:t>-5,02%</w:t>
            </w:r>
          </w:p>
        </w:tc>
      </w:tr>
    </w:tbl>
    <w:p>
      <w:pPr>
        <w:pStyle w:val="Heading6"/>
        <w:spacing w:before="241"/>
        <w:ind w:left="677"/>
      </w:pPr>
      <w:r>
        <w:rPr>
          <w:spacing w:val="-2"/>
        </w:rPr>
        <w:t>Revelación:</w:t>
      </w:r>
    </w:p>
    <w:p>
      <w:pPr>
        <w:pStyle w:val="BodyText"/>
        <w:spacing w:before="179"/>
        <w:ind w:left="622" w:right="975"/>
        <w:jc w:val="both"/>
      </w:pPr>
      <w:r>
        <w:rPr/>
        <w:t>La cuenta Transferencias corrientes representa el 77,40% del total del Gastos, que comparado al periodo</w:t>
      </w:r>
      <w:r>
        <w:rPr>
          <w:spacing w:val="-3"/>
        </w:rPr>
        <w:t> </w:t>
      </w:r>
      <w:r>
        <w:rPr/>
        <w:t>anterior</w:t>
      </w:r>
      <w:r>
        <w:rPr>
          <w:spacing w:val="-3"/>
        </w:rPr>
        <w:t> </w:t>
      </w:r>
      <w:r>
        <w:rPr/>
        <w:t>genera</w:t>
      </w:r>
      <w:r>
        <w:rPr>
          <w:spacing w:val="-4"/>
        </w:rPr>
        <w:t> </w:t>
      </w:r>
      <w:r>
        <w:rPr/>
        <w:t>una</w:t>
      </w:r>
      <w:r>
        <w:rPr>
          <w:spacing w:val="-6"/>
        </w:rPr>
        <w:t> </w:t>
      </w:r>
      <w:r>
        <w:rPr/>
        <w:t>variación</w:t>
      </w:r>
      <w:r>
        <w:rPr>
          <w:spacing w:val="-3"/>
        </w:rPr>
        <w:t> </w:t>
      </w:r>
      <w:r>
        <w:rPr/>
        <w:t>absoluta</w:t>
      </w:r>
      <w:r>
        <w:rPr>
          <w:spacing w:val="-3"/>
        </w:rPr>
        <w:t> </w:t>
      </w:r>
      <w:r>
        <w:rPr/>
        <w:t>de</w:t>
      </w:r>
      <w:r>
        <w:rPr>
          <w:spacing w:val="-2"/>
        </w:rPr>
        <w:t> </w:t>
      </w:r>
      <w:r>
        <w:rPr/>
        <w:t>¢-5.321.823,81</w:t>
      </w:r>
      <w:r>
        <w:rPr>
          <w:spacing w:val="-3"/>
        </w:rPr>
        <w:t> </w:t>
      </w:r>
      <w:r>
        <w:rPr/>
        <w:t>que</w:t>
      </w:r>
      <w:r>
        <w:rPr>
          <w:spacing w:val="-2"/>
        </w:rPr>
        <w:t> </w:t>
      </w:r>
      <w:r>
        <w:rPr/>
        <w:t>corresponde</w:t>
      </w:r>
      <w:r>
        <w:rPr>
          <w:spacing w:val="-7"/>
        </w:rPr>
        <w:t> </w:t>
      </w:r>
      <w:r>
        <w:rPr/>
        <w:t>a</w:t>
      </w:r>
      <w:r>
        <w:rPr>
          <w:spacing w:val="-4"/>
        </w:rPr>
        <w:t> </w:t>
      </w:r>
      <w:r>
        <w:rPr/>
        <w:t>una</w:t>
      </w:r>
      <w:r>
        <w:rPr>
          <w:spacing w:val="-4"/>
        </w:rPr>
        <w:t> </w:t>
      </w:r>
      <w:r>
        <w:rPr/>
        <w:t>disminución del -5,02% de recursos disponibles.</w:t>
      </w:r>
    </w:p>
    <w:p>
      <w:pPr>
        <w:pStyle w:val="BodyText"/>
      </w:pPr>
    </w:p>
    <w:p>
      <w:pPr>
        <w:pStyle w:val="BodyText"/>
        <w:spacing w:before="250"/>
      </w:pPr>
    </w:p>
    <w:p>
      <w:pPr>
        <w:pStyle w:val="BodyText"/>
        <w:spacing w:after="20"/>
        <w:ind w:left="622"/>
      </w:pPr>
      <w:r>
        <w:rPr>
          <w:spacing w:val="-2"/>
        </w:rPr>
        <w:t>Detalle:</w:t>
      </w: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40"/>
      </w:tblGrid>
      <w:tr>
        <w:trPr>
          <w:trHeight w:val="287" w:hRule="atLeast"/>
        </w:trPr>
        <w:tc>
          <w:tcPr>
            <w:tcW w:w="1241" w:type="dxa"/>
            <w:tcBorders>
              <w:bottom w:val="nil"/>
            </w:tcBorders>
            <w:shd w:val="clear" w:color="auto" w:fill="365F92"/>
          </w:tcPr>
          <w:p>
            <w:pPr>
              <w:pStyle w:val="TableParagraph"/>
              <w:spacing w:before="27"/>
              <w:ind w:left="69"/>
              <w:rPr>
                <w:b/>
                <w:sz w:val="20"/>
              </w:rPr>
            </w:pPr>
            <w:r>
              <w:rPr>
                <w:b/>
                <w:color w:val="FFFFFF"/>
                <w:spacing w:val="-2"/>
                <w:sz w:val="20"/>
              </w:rPr>
              <w:t>Cuenta</w:t>
            </w:r>
          </w:p>
        </w:tc>
        <w:tc>
          <w:tcPr>
            <w:tcW w:w="3140" w:type="dxa"/>
            <w:tcBorders>
              <w:bottom w:val="nil"/>
            </w:tcBorders>
            <w:shd w:val="clear" w:color="auto" w:fill="365F92"/>
          </w:tcPr>
          <w:p>
            <w:pPr>
              <w:pStyle w:val="TableParagraph"/>
              <w:spacing w:before="27"/>
              <w:ind w:left="16"/>
              <w:jc w:val="center"/>
              <w:rPr>
                <w:b/>
                <w:sz w:val="20"/>
              </w:rPr>
            </w:pPr>
            <w:r>
              <w:rPr>
                <w:b/>
                <w:color w:val="FFFFFF"/>
                <w:spacing w:val="-2"/>
                <w:sz w:val="20"/>
              </w:rPr>
              <w:t>Descripción</w:t>
            </w:r>
          </w:p>
        </w:tc>
      </w:tr>
      <w:tr>
        <w:trPr>
          <w:trHeight w:val="539" w:hRule="atLeast"/>
        </w:trPr>
        <w:tc>
          <w:tcPr>
            <w:tcW w:w="1241" w:type="dxa"/>
            <w:tcBorders>
              <w:top w:val="nil"/>
            </w:tcBorders>
          </w:tcPr>
          <w:p>
            <w:pPr>
              <w:pStyle w:val="TableParagraph"/>
              <w:spacing w:before="155"/>
              <w:ind w:left="69"/>
              <w:rPr>
                <w:b/>
                <w:sz w:val="20"/>
              </w:rPr>
            </w:pPr>
            <w:r>
              <w:rPr>
                <w:b/>
                <w:spacing w:val="-2"/>
                <w:sz w:val="20"/>
              </w:rPr>
              <w:t>5.4.1.02.</w:t>
            </w:r>
          </w:p>
        </w:tc>
        <w:tc>
          <w:tcPr>
            <w:tcW w:w="3140" w:type="dxa"/>
            <w:tcBorders>
              <w:top w:val="nil"/>
            </w:tcBorders>
          </w:tcPr>
          <w:p>
            <w:pPr>
              <w:pStyle w:val="TableParagraph"/>
              <w:spacing w:before="39"/>
              <w:ind w:left="68"/>
              <w:rPr>
                <w:b/>
                <w:sz w:val="20"/>
              </w:rPr>
            </w:pPr>
            <w:r>
              <w:rPr>
                <w:b/>
                <w:sz w:val="20"/>
              </w:rPr>
              <w:t>Transferencias</w:t>
            </w:r>
            <w:r>
              <w:rPr>
                <w:b/>
                <w:spacing w:val="-13"/>
                <w:sz w:val="20"/>
              </w:rPr>
              <w:t> </w:t>
            </w:r>
            <w:r>
              <w:rPr>
                <w:b/>
                <w:sz w:val="20"/>
              </w:rPr>
              <w:t>corrientes</w:t>
            </w:r>
            <w:r>
              <w:rPr>
                <w:b/>
                <w:spacing w:val="-12"/>
                <w:sz w:val="20"/>
              </w:rPr>
              <w:t> </w:t>
            </w:r>
            <w:r>
              <w:rPr>
                <w:b/>
                <w:sz w:val="20"/>
              </w:rPr>
              <w:t>del</w:t>
            </w:r>
            <w:r>
              <w:rPr>
                <w:b/>
                <w:spacing w:val="-13"/>
                <w:sz w:val="20"/>
              </w:rPr>
              <w:t> </w:t>
            </w:r>
            <w:r>
              <w:rPr>
                <w:b/>
                <w:sz w:val="20"/>
              </w:rPr>
              <w:t>sector público interno</w:t>
            </w:r>
          </w:p>
        </w:tc>
      </w:tr>
    </w:tbl>
    <w:p>
      <w:pPr>
        <w:pStyle w:val="BodyText"/>
        <w:rPr>
          <w:sz w:val="20"/>
        </w:rPr>
      </w:pPr>
    </w:p>
    <w:p>
      <w:pPr>
        <w:pStyle w:val="BodyText"/>
        <w:spacing w:before="55"/>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3261"/>
        <w:gridCol w:w="709"/>
        <w:gridCol w:w="1562"/>
        <w:gridCol w:w="1561"/>
        <w:gridCol w:w="1043"/>
      </w:tblGrid>
      <w:tr>
        <w:trPr>
          <w:trHeight w:val="323" w:hRule="atLeast"/>
        </w:trPr>
        <w:tc>
          <w:tcPr>
            <w:tcW w:w="1126" w:type="dxa"/>
            <w:vMerge w:val="restart"/>
            <w:shd w:val="clear" w:color="auto" w:fill="365F92"/>
          </w:tcPr>
          <w:p>
            <w:pPr>
              <w:pStyle w:val="TableParagraph"/>
              <w:spacing w:before="130"/>
              <w:ind w:left="69"/>
              <w:rPr>
                <w:b/>
                <w:sz w:val="20"/>
              </w:rPr>
            </w:pPr>
            <w:r>
              <w:rPr>
                <w:b/>
                <w:color w:val="FFFFFF"/>
                <w:spacing w:val="-2"/>
                <w:sz w:val="20"/>
              </w:rPr>
              <w:t>Cuenta</w:t>
            </w:r>
          </w:p>
        </w:tc>
        <w:tc>
          <w:tcPr>
            <w:tcW w:w="3261" w:type="dxa"/>
            <w:vMerge w:val="restart"/>
            <w:shd w:val="clear" w:color="auto" w:fill="365F92"/>
          </w:tcPr>
          <w:p>
            <w:pPr>
              <w:pStyle w:val="TableParagraph"/>
              <w:spacing w:before="219"/>
              <w:ind w:left="9"/>
              <w:jc w:val="center"/>
              <w:rPr>
                <w:b/>
                <w:sz w:val="20"/>
              </w:rPr>
            </w:pPr>
            <w:r>
              <w:rPr>
                <w:b/>
                <w:color w:val="FFFFFF"/>
                <w:spacing w:val="-2"/>
                <w:sz w:val="20"/>
              </w:rPr>
              <w:t>Descripción</w:t>
            </w:r>
          </w:p>
        </w:tc>
        <w:tc>
          <w:tcPr>
            <w:tcW w:w="709" w:type="dxa"/>
            <w:vMerge w:val="restart"/>
            <w:shd w:val="clear" w:color="auto" w:fill="365F92"/>
          </w:tcPr>
          <w:p>
            <w:pPr>
              <w:pStyle w:val="TableParagraph"/>
              <w:spacing w:before="219"/>
              <w:ind w:left="156"/>
              <w:rPr>
                <w:b/>
                <w:sz w:val="20"/>
              </w:rPr>
            </w:pPr>
            <w:r>
              <w:rPr>
                <w:b/>
                <w:color w:val="FFFFFF"/>
                <w:spacing w:val="-4"/>
                <w:sz w:val="20"/>
              </w:rPr>
              <w:t>Nota</w:t>
            </w:r>
          </w:p>
        </w:tc>
        <w:tc>
          <w:tcPr>
            <w:tcW w:w="1562" w:type="dxa"/>
            <w:vMerge w:val="restart"/>
            <w:shd w:val="clear" w:color="auto" w:fill="365F92"/>
          </w:tcPr>
          <w:p>
            <w:pPr>
              <w:pStyle w:val="TableParagraph"/>
              <w:spacing w:before="219"/>
              <w:ind w:left="203"/>
              <w:rPr>
                <w:b/>
                <w:sz w:val="20"/>
              </w:rPr>
            </w:pPr>
            <w:r>
              <w:rPr>
                <w:b/>
                <w:color w:val="FFFFFF"/>
                <w:sz w:val="20"/>
              </w:rPr>
              <w:t>Periodo</w:t>
            </w:r>
            <w:r>
              <w:rPr>
                <w:b/>
                <w:color w:val="FFFFFF"/>
                <w:spacing w:val="-5"/>
                <w:sz w:val="20"/>
              </w:rPr>
              <w:t> </w:t>
            </w:r>
            <w:r>
              <w:rPr>
                <w:b/>
                <w:color w:val="FFFFFF"/>
                <w:spacing w:val="-2"/>
                <w:sz w:val="20"/>
              </w:rPr>
              <w:t>Actual</w:t>
            </w:r>
          </w:p>
        </w:tc>
        <w:tc>
          <w:tcPr>
            <w:tcW w:w="1561" w:type="dxa"/>
            <w:vMerge w:val="restart"/>
            <w:shd w:val="clear" w:color="auto" w:fill="365F92"/>
          </w:tcPr>
          <w:p>
            <w:pPr>
              <w:pStyle w:val="TableParagraph"/>
              <w:spacing w:before="219"/>
              <w:ind w:left="118"/>
              <w:rPr>
                <w:b/>
                <w:sz w:val="20"/>
              </w:rPr>
            </w:pPr>
            <w:r>
              <w:rPr>
                <w:b/>
                <w:color w:val="FFFFFF"/>
                <w:sz w:val="20"/>
              </w:rPr>
              <w:t>Periodo</w:t>
            </w:r>
            <w:r>
              <w:rPr>
                <w:b/>
                <w:color w:val="FFFFFF"/>
                <w:spacing w:val="-5"/>
                <w:sz w:val="20"/>
              </w:rPr>
              <w:t> </w:t>
            </w:r>
            <w:r>
              <w:rPr>
                <w:b/>
                <w:color w:val="FFFFFF"/>
                <w:spacing w:val="-2"/>
                <w:sz w:val="20"/>
              </w:rPr>
              <w:t>Anterior</w:t>
            </w:r>
          </w:p>
        </w:tc>
        <w:tc>
          <w:tcPr>
            <w:tcW w:w="1043" w:type="dxa"/>
            <w:shd w:val="clear" w:color="auto" w:fill="365F92"/>
          </w:tcPr>
          <w:p>
            <w:pPr>
              <w:pStyle w:val="TableParagraph"/>
              <w:spacing w:before="46"/>
              <w:ind w:left="7" w:right="3"/>
              <w:jc w:val="center"/>
              <w:rPr>
                <w:b/>
                <w:sz w:val="20"/>
              </w:rPr>
            </w:pPr>
            <w:r>
              <w:rPr>
                <w:b/>
                <w:color w:val="FFFFFF"/>
                <w:spacing w:val="-2"/>
                <w:sz w:val="20"/>
              </w:rPr>
              <w:t>Diferencia</w:t>
            </w:r>
          </w:p>
        </w:tc>
      </w:tr>
      <w:tr>
        <w:trPr>
          <w:trHeight w:val="325" w:hRule="atLeast"/>
        </w:trPr>
        <w:tc>
          <w:tcPr>
            <w:tcW w:w="1126" w:type="dxa"/>
            <w:vMerge/>
            <w:tcBorders>
              <w:top w:val="nil"/>
            </w:tcBorders>
            <w:shd w:val="clear" w:color="auto" w:fill="365F92"/>
          </w:tcPr>
          <w:p>
            <w:pPr>
              <w:rPr>
                <w:sz w:val="2"/>
                <w:szCs w:val="2"/>
              </w:rPr>
            </w:pPr>
          </w:p>
        </w:tc>
        <w:tc>
          <w:tcPr>
            <w:tcW w:w="3261" w:type="dxa"/>
            <w:vMerge/>
            <w:tcBorders>
              <w:top w:val="nil"/>
            </w:tcBorders>
            <w:shd w:val="clear" w:color="auto" w:fill="365F92"/>
          </w:tcPr>
          <w:p>
            <w:pPr>
              <w:rPr>
                <w:sz w:val="2"/>
                <w:szCs w:val="2"/>
              </w:rPr>
            </w:pPr>
          </w:p>
        </w:tc>
        <w:tc>
          <w:tcPr>
            <w:tcW w:w="709" w:type="dxa"/>
            <w:vMerge/>
            <w:tcBorders>
              <w:top w:val="nil"/>
            </w:tcBorders>
            <w:shd w:val="clear" w:color="auto" w:fill="365F92"/>
          </w:tcPr>
          <w:p>
            <w:pPr>
              <w:rPr>
                <w:sz w:val="2"/>
                <w:szCs w:val="2"/>
              </w:rPr>
            </w:pPr>
          </w:p>
        </w:tc>
        <w:tc>
          <w:tcPr>
            <w:tcW w:w="1562"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043" w:type="dxa"/>
            <w:shd w:val="clear" w:color="auto" w:fill="365F92"/>
          </w:tcPr>
          <w:p>
            <w:pPr>
              <w:pStyle w:val="TableParagraph"/>
              <w:spacing w:before="49"/>
              <w:ind w:left="7" w:right="5"/>
              <w:jc w:val="center"/>
              <w:rPr>
                <w:sz w:val="20"/>
              </w:rPr>
            </w:pPr>
            <w:r>
              <w:rPr>
                <w:color w:val="FFFFFF"/>
                <w:spacing w:val="-10"/>
                <w:sz w:val="20"/>
              </w:rPr>
              <w:t>%</w:t>
            </w:r>
          </w:p>
        </w:tc>
      </w:tr>
      <w:tr>
        <w:trPr>
          <w:trHeight w:val="457" w:hRule="atLeast"/>
        </w:trPr>
        <w:tc>
          <w:tcPr>
            <w:tcW w:w="1126" w:type="dxa"/>
          </w:tcPr>
          <w:p>
            <w:pPr>
              <w:pStyle w:val="TableParagraph"/>
              <w:spacing w:before="113"/>
              <w:ind w:left="69"/>
              <w:rPr>
                <w:b/>
                <w:sz w:val="20"/>
              </w:rPr>
            </w:pPr>
            <w:r>
              <w:rPr>
                <w:b/>
                <w:spacing w:val="-2"/>
                <w:sz w:val="20"/>
              </w:rPr>
              <w:t>5.4.1.02.</w:t>
            </w:r>
          </w:p>
        </w:tc>
        <w:tc>
          <w:tcPr>
            <w:tcW w:w="3261" w:type="dxa"/>
          </w:tcPr>
          <w:p>
            <w:pPr>
              <w:pStyle w:val="TableParagraph"/>
              <w:spacing w:line="227" w:lineRule="exact"/>
              <w:ind w:left="66"/>
              <w:rPr>
                <w:b/>
                <w:sz w:val="20"/>
              </w:rPr>
            </w:pPr>
            <w:r>
              <w:rPr>
                <w:b/>
                <w:sz w:val="20"/>
              </w:rPr>
              <w:t>Transferencias</w:t>
            </w:r>
            <w:r>
              <w:rPr>
                <w:b/>
                <w:spacing w:val="-7"/>
                <w:sz w:val="20"/>
              </w:rPr>
              <w:t> </w:t>
            </w:r>
            <w:r>
              <w:rPr>
                <w:b/>
                <w:sz w:val="20"/>
              </w:rPr>
              <w:t>corrientes</w:t>
            </w:r>
            <w:r>
              <w:rPr>
                <w:b/>
                <w:spacing w:val="-6"/>
                <w:sz w:val="20"/>
              </w:rPr>
              <w:t> </w:t>
            </w:r>
            <w:r>
              <w:rPr>
                <w:b/>
                <w:sz w:val="20"/>
              </w:rPr>
              <w:t>al</w:t>
            </w:r>
            <w:r>
              <w:rPr>
                <w:b/>
                <w:spacing w:val="-4"/>
                <w:sz w:val="20"/>
              </w:rPr>
              <w:t> </w:t>
            </w:r>
            <w:r>
              <w:rPr>
                <w:b/>
                <w:spacing w:val="-2"/>
                <w:sz w:val="20"/>
              </w:rPr>
              <w:t>sector</w:t>
            </w:r>
          </w:p>
          <w:p>
            <w:pPr>
              <w:pStyle w:val="TableParagraph"/>
              <w:spacing w:line="211" w:lineRule="exact"/>
              <w:ind w:left="66"/>
              <w:rPr>
                <w:b/>
                <w:sz w:val="20"/>
              </w:rPr>
            </w:pPr>
            <w:r>
              <w:rPr>
                <w:b/>
                <w:sz w:val="20"/>
              </w:rPr>
              <w:t>público</w:t>
            </w:r>
            <w:r>
              <w:rPr>
                <w:b/>
                <w:spacing w:val="-4"/>
                <w:sz w:val="20"/>
              </w:rPr>
              <w:t> </w:t>
            </w:r>
            <w:r>
              <w:rPr>
                <w:b/>
                <w:spacing w:val="-2"/>
                <w:sz w:val="20"/>
              </w:rPr>
              <w:t>interno</w:t>
            </w:r>
          </w:p>
        </w:tc>
        <w:tc>
          <w:tcPr>
            <w:tcW w:w="709" w:type="dxa"/>
          </w:tcPr>
          <w:p>
            <w:pPr>
              <w:pStyle w:val="TableParagraph"/>
              <w:spacing w:before="113"/>
              <w:ind w:left="13"/>
              <w:jc w:val="center"/>
              <w:rPr>
                <w:b/>
                <w:sz w:val="20"/>
              </w:rPr>
            </w:pPr>
            <w:r>
              <w:rPr>
                <w:b/>
                <w:spacing w:val="-5"/>
                <w:sz w:val="20"/>
              </w:rPr>
              <w:t>72</w:t>
            </w:r>
          </w:p>
        </w:tc>
        <w:tc>
          <w:tcPr>
            <w:tcW w:w="1562" w:type="dxa"/>
          </w:tcPr>
          <w:p>
            <w:pPr>
              <w:pStyle w:val="TableParagraph"/>
              <w:spacing w:before="113"/>
              <w:ind w:left="258"/>
              <w:rPr>
                <w:b/>
                <w:sz w:val="20"/>
              </w:rPr>
            </w:pPr>
            <w:r>
              <w:rPr>
                <w:b/>
                <w:sz w:val="20"/>
              </w:rPr>
              <w:t>3</w:t>
            </w:r>
            <w:r>
              <w:rPr>
                <w:b/>
                <w:spacing w:val="-2"/>
                <w:sz w:val="20"/>
              </w:rPr>
              <w:t> </w:t>
            </w:r>
            <w:r>
              <w:rPr>
                <w:b/>
                <w:sz w:val="20"/>
              </w:rPr>
              <w:t>413</w:t>
            </w:r>
            <w:r>
              <w:rPr>
                <w:b/>
                <w:spacing w:val="-2"/>
                <w:sz w:val="20"/>
              </w:rPr>
              <w:t> 533,71</w:t>
            </w:r>
          </w:p>
        </w:tc>
        <w:tc>
          <w:tcPr>
            <w:tcW w:w="1561" w:type="dxa"/>
          </w:tcPr>
          <w:p>
            <w:pPr>
              <w:pStyle w:val="TableParagraph"/>
              <w:spacing w:before="113"/>
              <w:ind w:left="257"/>
              <w:rPr>
                <w:b/>
                <w:sz w:val="20"/>
              </w:rPr>
            </w:pPr>
            <w:r>
              <w:rPr>
                <w:b/>
                <w:sz w:val="20"/>
              </w:rPr>
              <w:t>1</w:t>
            </w:r>
            <w:r>
              <w:rPr>
                <w:b/>
                <w:spacing w:val="-2"/>
                <w:sz w:val="20"/>
              </w:rPr>
              <w:t> </w:t>
            </w:r>
            <w:r>
              <w:rPr>
                <w:b/>
                <w:sz w:val="20"/>
              </w:rPr>
              <w:t>591</w:t>
            </w:r>
            <w:r>
              <w:rPr>
                <w:b/>
                <w:spacing w:val="-2"/>
                <w:sz w:val="20"/>
              </w:rPr>
              <w:t> 266,23</w:t>
            </w:r>
          </w:p>
        </w:tc>
        <w:tc>
          <w:tcPr>
            <w:tcW w:w="1043" w:type="dxa"/>
          </w:tcPr>
          <w:p>
            <w:pPr>
              <w:pStyle w:val="TableParagraph"/>
              <w:spacing w:before="113"/>
              <w:ind w:left="7"/>
              <w:jc w:val="center"/>
              <w:rPr>
                <w:b/>
                <w:sz w:val="20"/>
              </w:rPr>
            </w:pPr>
            <w:r>
              <w:rPr>
                <w:b/>
                <w:spacing w:val="-2"/>
                <w:sz w:val="20"/>
              </w:rPr>
              <w:t>114,52%</w:t>
            </w:r>
          </w:p>
        </w:tc>
      </w:tr>
    </w:tbl>
    <w:p>
      <w:pPr>
        <w:pStyle w:val="Heading6"/>
        <w:spacing w:before="241"/>
        <w:ind w:left="622"/>
      </w:pPr>
      <w:r>
        <w:rPr>
          <w:spacing w:val="-2"/>
        </w:rPr>
        <w:t>Detalle:</w:t>
      </w:r>
    </w:p>
    <w:p>
      <w:pPr>
        <w:pStyle w:val="BodyText"/>
        <w:rPr>
          <w:b/>
          <w:sz w:val="20"/>
        </w:rPr>
      </w:pPr>
    </w:p>
    <w:p>
      <w:pPr>
        <w:pStyle w:val="BodyText"/>
        <w:spacing w:before="72"/>
        <w:rPr>
          <w:b/>
          <w:sz w:val="20"/>
        </w:rPr>
      </w:pPr>
    </w:p>
    <w:tbl>
      <w:tblPr>
        <w:tblW w:w="0" w:type="auto"/>
        <w:jc w:val="left"/>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5"/>
        <w:gridCol w:w="5110"/>
        <w:gridCol w:w="1514"/>
      </w:tblGrid>
      <w:tr>
        <w:trPr>
          <w:trHeight w:val="455" w:hRule="atLeast"/>
        </w:trPr>
        <w:tc>
          <w:tcPr>
            <w:tcW w:w="1745" w:type="dxa"/>
            <w:shd w:val="clear" w:color="auto" w:fill="365F91"/>
          </w:tcPr>
          <w:p>
            <w:pPr>
              <w:pStyle w:val="TableParagraph"/>
              <w:spacing w:line="227" w:lineRule="exact"/>
              <w:ind w:left="9"/>
              <w:jc w:val="center"/>
              <w:rPr>
                <w:sz w:val="20"/>
              </w:rPr>
            </w:pPr>
            <w:r>
              <w:rPr>
                <w:color w:val="FFFFFF"/>
                <w:spacing w:val="-2"/>
                <w:sz w:val="20"/>
              </w:rPr>
              <w:t>CODIGO</w:t>
            </w:r>
          </w:p>
          <w:p>
            <w:pPr>
              <w:pStyle w:val="TableParagraph"/>
              <w:spacing w:line="209" w:lineRule="exact"/>
              <w:ind w:left="9"/>
              <w:jc w:val="center"/>
              <w:rPr>
                <w:sz w:val="20"/>
              </w:rPr>
            </w:pPr>
            <w:r>
              <w:rPr>
                <w:color w:val="FFFFFF"/>
                <w:spacing w:val="-2"/>
                <w:sz w:val="20"/>
              </w:rPr>
              <w:t>INSTITUCIONAL</w:t>
            </w:r>
          </w:p>
        </w:tc>
        <w:tc>
          <w:tcPr>
            <w:tcW w:w="5110" w:type="dxa"/>
            <w:shd w:val="clear" w:color="auto" w:fill="365F91"/>
          </w:tcPr>
          <w:p>
            <w:pPr>
              <w:pStyle w:val="TableParagraph"/>
              <w:spacing w:before="114"/>
              <w:ind w:left="1622"/>
              <w:rPr>
                <w:sz w:val="20"/>
              </w:rPr>
            </w:pPr>
            <w:r>
              <w:rPr>
                <w:color w:val="FFFFFF"/>
                <w:sz w:val="20"/>
              </w:rPr>
              <w:t>NOMBRE</w:t>
            </w:r>
            <w:r>
              <w:rPr>
                <w:color w:val="FFFFFF"/>
                <w:spacing w:val="-12"/>
                <w:sz w:val="20"/>
              </w:rPr>
              <w:t> </w:t>
            </w:r>
            <w:r>
              <w:rPr>
                <w:color w:val="FFFFFF"/>
                <w:spacing w:val="-2"/>
                <w:sz w:val="20"/>
              </w:rPr>
              <w:t>ENTIDAD</w:t>
            </w:r>
          </w:p>
        </w:tc>
        <w:tc>
          <w:tcPr>
            <w:tcW w:w="1514" w:type="dxa"/>
            <w:shd w:val="clear" w:color="auto" w:fill="365F91"/>
          </w:tcPr>
          <w:p>
            <w:pPr>
              <w:pStyle w:val="TableParagraph"/>
              <w:spacing w:before="114"/>
              <w:ind w:left="360"/>
              <w:rPr>
                <w:sz w:val="20"/>
              </w:rPr>
            </w:pPr>
            <w:r>
              <w:rPr>
                <w:color w:val="FFFFFF"/>
                <w:spacing w:val="-2"/>
                <w:sz w:val="20"/>
              </w:rPr>
              <w:t>MONTO</w:t>
            </w:r>
          </w:p>
        </w:tc>
      </w:tr>
      <w:tr>
        <w:trPr>
          <w:trHeight w:val="230" w:hRule="atLeast"/>
        </w:trPr>
        <w:tc>
          <w:tcPr>
            <w:tcW w:w="1745" w:type="dxa"/>
          </w:tcPr>
          <w:p>
            <w:pPr>
              <w:pStyle w:val="TableParagraph"/>
              <w:spacing w:line="209" w:lineRule="exact" w:before="1"/>
              <w:ind w:right="57"/>
              <w:jc w:val="right"/>
              <w:rPr>
                <w:sz w:val="20"/>
              </w:rPr>
            </w:pPr>
            <w:r>
              <w:rPr>
                <w:spacing w:val="-2"/>
                <w:sz w:val="20"/>
              </w:rPr>
              <w:t>11206</w:t>
            </w:r>
          </w:p>
        </w:tc>
        <w:tc>
          <w:tcPr>
            <w:tcW w:w="5110" w:type="dxa"/>
          </w:tcPr>
          <w:p>
            <w:pPr>
              <w:pStyle w:val="TableParagraph"/>
              <w:spacing w:line="209" w:lineRule="exact" w:before="1"/>
              <w:ind w:left="69"/>
              <w:rPr>
                <w:sz w:val="20"/>
              </w:rPr>
            </w:pPr>
            <w:r>
              <w:rPr>
                <w:sz w:val="20"/>
              </w:rPr>
              <w:t>Ministerio</w:t>
            </w:r>
            <w:r>
              <w:rPr>
                <w:spacing w:val="-6"/>
                <w:sz w:val="20"/>
              </w:rPr>
              <w:t> </w:t>
            </w:r>
            <w:r>
              <w:rPr>
                <w:sz w:val="20"/>
              </w:rPr>
              <w:t>de</w:t>
            </w:r>
            <w:r>
              <w:rPr>
                <w:spacing w:val="-7"/>
                <w:sz w:val="20"/>
              </w:rPr>
              <w:t> </w:t>
            </w:r>
            <w:r>
              <w:rPr>
                <w:spacing w:val="-2"/>
                <w:sz w:val="20"/>
              </w:rPr>
              <w:t>Hacienda</w:t>
            </w:r>
          </w:p>
        </w:tc>
        <w:tc>
          <w:tcPr>
            <w:tcW w:w="1514" w:type="dxa"/>
          </w:tcPr>
          <w:p>
            <w:pPr>
              <w:pStyle w:val="TableParagraph"/>
              <w:spacing w:line="178" w:lineRule="exact" w:before="32"/>
              <w:ind w:right="56"/>
              <w:jc w:val="right"/>
              <w:rPr>
                <w:rFonts w:ascii="Arial" w:hAnsi="Arial"/>
                <w:sz w:val="16"/>
              </w:rPr>
            </w:pPr>
            <w:r>
              <w:rPr>
                <w:rFonts w:ascii="Arial" w:hAnsi="Arial"/>
                <w:sz w:val="16"/>
              </w:rPr>
              <w:t>¢ </w:t>
            </w:r>
            <w:r>
              <w:rPr>
                <w:rFonts w:ascii="Arial" w:hAnsi="Arial"/>
                <w:spacing w:val="-2"/>
                <w:sz w:val="16"/>
              </w:rPr>
              <w:t>730,52</w:t>
            </w:r>
          </w:p>
        </w:tc>
      </w:tr>
      <w:tr>
        <w:trPr>
          <w:trHeight w:val="456" w:hRule="atLeast"/>
        </w:trPr>
        <w:tc>
          <w:tcPr>
            <w:tcW w:w="1745" w:type="dxa"/>
          </w:tcPr>
          <w:p>
            <w:pPr>
              <w:pStyle w:val="TableParagraph"/>
              <w:spacing w:line="209" w:lineRule="exact" w:before="227"/>
              <w:ind w:right="58"/>
              <w:jc w:val="right"/>
              <w:rPr>
                <w:sz w:val="20"/>
              </w:rPr>
            </w:pPr>
            <w:r>
              <w:rPr>
                <w:spacing w:val="-2"/>
                <w:sz w:val="20"/>
              </w:rPr>
              <w:t>12554</w:t>
            </w:r>
          </w:p>
        </w:tc>
        <w:tc>
          <w:tcPr>
            <w:tcW w:w="5110" w:type="dxa"/>
          </w:tcPr>
          <w:p>
            <w:pPr>
              <w:pStyle w:val="TableParagraph"/>
              <w:spacing w:line="227" w:lineRule="exact"/>
              <w:ind w:left="69"/>
              <w:rPr>
                <w:sz w:val="20"/>
              </w:rPr>
            </w:pPr>
            <w:r>
              <w:rPr>
                <w:sz w:val="20"/>
              </w:rPr>
              <w:t>Comisión</w:t>
            </w:r>
            <w:r>
              <w:rPr>
                <w:spacing w:val="-7"/>
                <w:sz w:val="20"/>
              </w:rPr>
              <w:t> </w:t>
            </w:r>
            <w:r>
              <w:rPr>
                <w:sz w:val="20"/>
              </w:rPr>
              <w:t>Nacional</w:t>
            </w:r>
            <w:r>
              <w:rPr>
                <w:spacing w:val="-3"/>
                <w:sz w:val="20"/>
              </w:rPr>
              <w:t> </w:t>
            </w:r>
            <w:r>
              <w:rPr>
                <w:sz w:val="20"/>
              </w:rPr>
              <w:t>de</w:t>
            </w:r>
            <w:r>
              <w:rPr>
                <w:spacing w:val="-7"/>
                <w:sz w:val="20"/>
              </w:rPr>
              <w:t> </w:t>
            </w:r>
            <w:r>
              <w:rPr>
                <w:sz w:val="20"/>
              </w:rPr>
              <w:t>Prevención</w:t>
            </w:r>
            <w:r>
              <w:rPr>
                <w:spacing w:val="-6"/>
                <w:sz w:val="20"/>
              </w:rPr>
              <w:t> </w:t>
            </w:r>
            <w:r>
              <w:rPr>
                <w:sz w:val="20"/>
              </w:rPr>
              <w:t>de</w:t>
            </w:r>
            <w:r>
              <w:rPr>
                <w:spacing w:val="-6"/>
                <w:sz w:val="20"/>
              </w:rPr>
              <w:t> </w:t>
            </w:r>
            <w:r>
              <w:rPr>
                <w:sz w:val="20"/>
              </w:rPr>
              <w:t>Riesgos</w:t>
            </w:r>
            <w:r>
              <w:rPr>
                <w:spacing w:val="-7"/>
                <w:sz w:val="20"/>
              </w:rPr>
              <w:t> </w:t>
            </w:r>
            <w:r>
              <w:rPr>
                <w:sz w:val="20"/>
              </w:rPr>
              <w:t>y</w:t>
            </w:r>
            <w:r>
              <w:rPr>
                <w:spacing w:val="-6"/>
                <w:sz w:val="20"/>
              </w:rPr>
              <w:t> </w:t>
            </w:r>
            <w:r>
              <w:rPr>
                <w:sz w:val="20"/>
              </w:rPr>
              <w:t>Atención</w:t>
            </w:r>
            <w:r>
              <w:rPr>
                <w:spacing w:val="-6"/>
                <w:sz w:val="20"/>
              </w:rPr>
              <w:t> </w:t>
            </w:r>
            <w:r>
              <w:rPr>
                <w:spacing w:val="-7"/>
                <w:sz w:val="20"/>
              </w:rPr>
              <w:t>de</w:t>
            </w:r>
          </w:p>
          <w:p>
            <w:pPr>
              <w:pStyle w:val="TableParagraph"/>
              <w:spacing w:line="209" w:lineRule="exact"/>
              <w:ind w:left="69"/>
              <w:rPr>
                <w:sz w:val="20"/>
              </w:rPr>
            </w:pPr>
            <w:r>
              <w:rPr>
                <w:sz w:val="20"/>
              </w:rPr>
              <w:t>Emergencias</w:t>
            </w:r>
            <w:r>
              <w:rPr>
                <w:spacing w:val="-12"/>
                <w:sz w:val="20"/>
              </w:rPr>
              <w:t> </w:t>
            </w:r>
            <w:r>
              <w:rPr>
                <w:spacing w:val="-4"/>
                <w:sz w:val="20"/>
              </w:rPr>
              <w:t>(CNE)</w:t>
            </w:r>
          </w:p>
        </w:tc>
        <w:tc>
          <w:tcPr>
            <w:tcW w:w="1514" w:type="dxa"/>
          </w:tcPr>
          <w:p>
            <w:pPr>
              <w:pStyle w:val="TableParagraph"/>
              <w:spacing w:line="209" w:lineRule="exact" w:before="227"/>
              <w:ind w:right="57"/>
              <w:jc w:val="right"/>
              <w:rPr>
                <w:sz w:val="20"/>
              </w:rPr>
            </w:pPr>
            <w:r>
              <w:rPr>
                <w:sz w:val="20"/>
              </w:rPr>
              <w:t>¢</w:t>
            </w:r>
            <w:r>
              <w:rPr>
                <w:spacing w:val="-1"/>
                <w:sz w:val="20"/>
              </w:rPr>
              <w:t> </w:t>
            </w:r>
            <w:r>
              <w:rPr>
                <w:spacing w:val="-2"/>
                <w:sz w:val="20"/>
              </w:rPr>
              <w:t>353.974.73</w:t>
            </w:r>
          </w:p>
        </w:tc>
      </w:tr>
      <w:tr>
        <w:trPr>
          <w:trHeight w:val="455" w:hRule="atLeast"/>
        </w:trPr>
        <w:tc>
          <w:tcPr>
            <w:tcW w:w="1745" w:type="dxa"/>
          </w:tcPr>
          <w:p>
            <w:pPr>
              <w:pStyle w:val="TableParagraph"/>
              <w:spacing w:line="209" w:lineRule="exact" w:before="226"/>
              <w:ind w:right="58"/>
              <w:jc w:val="right"/>
              <w:rPr>
                <w:sz w:val="20"/>
              </w:rPr>
            </w:pPr>
            <w:r>
              <w:rPr>
                <w:spacing w:val="-2"/>
                <w:sz w:val="20"/>
              </w:rPr>
              <w:t>12700</w:t>
            </w:r>
          </w:p>
        </w:tc>
        <w:tc>
          <w:tcPr>
            <w:tcW w:w="5110" w:type="dxa"/>
          </w:tcPr>
          <w:p>
            <w:pPr>
              <w:pStyle w:val="TableParagraph"/>
              <w:spacing w:line="227" w:lineRule="exact"/>
              <w:ind w:left="69"/>
              <w:rPr>
                <w:sz w:val="20"/>
              </w:rPr>
            </w:pPr>
            <w:r>
              <w:rPr>
                <w:sz w:val="20"/>
              </w:rPr>
              <w:t>Fondo</w:t>
            </w:r>
            <w:r>
              <w:rPr>
                <w:spacing w:val="-6"/>
                <w:sz w:val="20"/>
              </w:rPr>
              <w:t> </w:t>
            </w:r>
            <w:r>
              <w:rPr>
                <w:sz w:val="20"/>
              </w:rPr>
              <w:t>de</w:t>
            </w:r>
            <w:r>
              <w:rPr>
                <w:spacing w:val="-6"/>
                <w:sz w:val="20"/>
              </w:rPr>
              <w:t> </w:t>
            </w:r>
            <w:r>
              <w:rPr>
                <w:sz w:val="20"/>
              </w:rPr>
              <w:t>Desarrollo</w:t>
            </w:r>
            <w:r>
              <w:rPr>
                <w:spacing w:val="-5"/>
                <w:sz w:val="20"/>
              </w:rPr>
              <w:t> </w:t>
            </w:r>
            <w:r>
              <w:rPr>
                <w:sz w:val="20"/>
              </w:rPr>
              <w:t>Social</w:t>
            </w:r>
            <w:r>
              <w:rPr>
                <w:spacing w:val="-6"/>
                <w:sz w:val="20"/>
              </w:rPr>
              <w:t> </w:t>
            </w:r>
            <w:r>
              <w:rPr>
                <w:sz w:val="20"/>
              </w:rPr>
              <w:t>y</w:t>
            </w:r>
            <w:r>
              <w:rPr>
                <w:spacing w:val="-4"/>
                <w:sz w:val="20"/>
              </w:rPr>
              <w:t> </w:t>
            </w:r>
            <w:r>
              <w:rPr>
                <w:sz w:val="20"/>
              </w:rPr>
              <w:t>Asignaciones</w:t>
            </w:r>
            <w:r>
              <w:rPr>
                <w:spacing w:val="-6"/>
                <w:sz w:val="20"/>
              </w:rPr>
              <w:t> </w:t>
            </w:r>
            <w:r>
              <w:rPr>
                <w:spacing w:val="-2"/>
                <w:sz w:val="20"/>
              </w:rPr>
              <w:t>Familiares</w:t>
            </w:r>
          </w:p>
          <w:p>
            <w:pPr>
              <w:pStyle w:val="TableParagraph"/>
              <w:spacing w:line="209" w:lineRule="exact"/>
              <w:ind w:left="69"/>
              <w:rPr>
                <w:sz w:val="20"/>
              </w:rPr>
            </w:pPr>
            <w:r>
              <w:rPr>
                <w:spacing w:val="-2"/>
                <w:sz w:val="20"/>
              </w:rPr>
              <w:t>(FODESAF)</w:t>
            </w:r>
          </w:p>
        </w:tc>
        <w:tc>
          <w:tcPr>
            <w:tcW w:w="1514" w:type="dxa"/>
          </w:tcPr>
          <w:p>
            <w:pPr>
              <w:pStyle w:val="TableParagraph"/>
              <w:spacing w:line="209" w:lineRule="exact" w:before="226"/>
              <w:ind w:right="58"/>
              <w:jc w:val="right"/>
              <w:rPr>
                <w:sz w:val="20"/>
              </w:rPr>
            </w:pPr>
            <w:r>
              <w:rPr>
                <w:sz w:val="20"/>
              </w:rPr>
              <w:t>¢</w:t>
            </w:r>
            <w:r>
              <w:rPr>
                <w:spacing w:val="-1"/>
                <w:sz w:val="20"/>
              </w:rPr>
              <w:t> </w:t>
            </w:r>
            <w:r>
              <w:rPr>
                <w:spacing w:val="-2"/>
                <w:sz w:val="20"/>
              </w:rPr>
              <w:t>2.928.630,73</w:t>
            </w:r>
          </w:p>
        </w:tc>
      </w:tr>
      <w:tr>
        <w:trPr>
          <w:trHeight w:val="227" w:hRule="atLeast"/>
        </w:trPr>
        <w:tc>
          <w:tcPr>
            <w:tcW w:w="1745" w:type="dxa"/>
          </w:tcPr>
          <w:p>
            <w:pPr>
              <w:pStyle w:val="TableParagraph"/>
              <w:spacing w:line="208" w:lineRule="exact"/>
              <w:ind w:right="58"/>
              <w:jc w:val="right"/>
              <w:rPr>
                <w:sz w:val="20"/>
              </w:rPr>
            </w:pPr>
            <w:r>
              <w:rPr>
                <w:spacing w:val="-2"/>
                <w:sz w:val="20"/>
              </w:rPr>
              <w:t>15603</w:t>
            </w:r>
          </w:p>
        </w:tc>
        <w:tc>
          <w:tcPr>
            <w:tcW w:w="5110" w:type="dxa"/>
          </w:tcPr>
          <w:p>
            <w:pPr>
              <w:pStyle w:val="TableParagraph"/>
              <w:spacing w:line="208" w:lineRule="exact"/>
              <w:ind w:left="69"/>
              <w:rPr>
                <w:sz w:val="20"/>
              </w:rPr>
            </w:pPr>
            <w:r>
              <w:rPr>
                <w:sz w:val="20"/>
              </w:rPr>
              <w:t>Municipalidad</w:t>
            </w:r>
            <w:r>
              <w:rPr>
                <w:spacing w:val="-8"/>
                <w:sz w:val="20"/>
              </w:rPr>
              <w:t> </w:t>
            </w:r>
            <w:r>
              <w:rPr>
                <w:sz w:val="20"/>
              </w:rPr>
              <w:t>de</w:t>
            </w:r>
            <w:r>
              <w:rPr>
                <w:spacing w:val="-8"/>
                <w:sz w:val="20"/>
              </w:rPr>
              <w:t> </w:t>
            </w:r>
            <w:r>
              <w:rPr>
                <w:sz w:val="20"/>
              </w:rPr>
              <w:t>Buenos</w:t>
            </w:r>
            <w:r>
              <w:rPr>
                <w:spacing w:val="-8"/>
                <w:sz w:val="20"/>
              </w:rPr>
              <w:t> </w:t>
            </w:r>
            <w:r>
              <w:rPr>
                <w:spacing w:val="-4"/>
                <w:sz w:val="20"/>
              </w:rPr>
              <w:t>Aires</w:t>
            </w:r>
          </w:p>
        </w:tc>
        <w:tc>
          <w:tcPr>
            <w:tcW w:w="1514" w:type="dxa"/>
          </w:tcPr>
          <w:p>
            <w:pPr>
              <w:pStyle w:val="TableParagraph"/>
              <w:spacing w:line="208" w:lineRule="exact"/>
              <w:ind w:right="58"/>
              <w:jc w:val="right"/>
              <w:rPr>
                <w:sz w:val="20"/>
              </w:rPr>
            </w:pPr>
            <w:r>
              <w:rPr>
                <w:sz w:val="20"/>
              </w:rPr>
              <w:t>¢</w:t>
            </w:r>
            <w:r>
              <w:rPr>
                <w:spacing w:val="-1"/>
                <w:sz w:val="20"/>
              </w:rPr>
              <w:t> </w:t>
            </w:r>
            <w:r>
              <w:rPr>
                <w:spacing w:val="-2"/>
                <w:sz w:val="20"/>
              </w:rPr>
              <w:t>59.633,30</w:t>
            </w:r>
          </w:p>
        </w:tc>
      </w:tr>
      <w:tr>
        <w:trPr>
          <w:trHeight w:val="230" w:hRule="atLeast"/>
        </w:trPr>
        <w:tc>
          <w:tcPr>
            <w:tcW w:w="1745" w:type="dxa"/>
          </w:tcPr>
          <w:p>
            <w:pPr>
              <w:pStyle w:val="TableParagraph"/>
              <w:spacing w:line="209" w:lineRule="exact" w:before="1"/>
              <w:ind w:right="58"/>
              <w:jc w:val="right"/>
              <w:rPr>
                <w:sz w:val="20"/>
              </w:rPr>
            </w:pPr>
            <w:r>
              <w:rPr>
                <w:spacing w:val="-2"/>
                <w:sz w:val="20"/>
              </w:rPr>
              <w:t>15604</w:t>
            </w:r>
          </w:p>
        </w:tc>
        <w:tc>
          <w:tcPr>
            <w:tcW w:w="5110" w:type="dxa"/>
          </w:tcPr>
          <w:p>
            <w:pPr>
              <w:pStyle w:val="TableParagraph"/>
              <w:spacing w:line="209" w:lineRule="exact" w:before="1"/>
              <w:ind w:left="69"/>
              <w:rPr>
                <w:sz w:val="20"/>
              </w:rPr>
            </w:pPr>
            <w:r>
              <w:rPr>
                <w:sz w:val="20"/>
              </w:rPr>
              <w:t>Municipalidad</w:t>
            </w:r>
            <w:r>
              <w:rPr>
                <w:spacing w:val="-8"/>
                <w:sz w:val="20"/>
              </w:rPr>
              <w:t> </w:t>
            </w:r>
            <w:r>
              <w:rPr>
                <w:sz w:val="20"/>
              </w:rPr>
              <w:t>de</w:t>
            </w:r>
            <w:r>
              <w:rPr>
                <w:spacing w:val="-7"/>
                <w:sz w:val="20"/>
              </w:rPr>
              <w:t> </w:t>
            </w:r>
            <w:r>
              <w:rPr>
                <w:sz w:val="20"/>
              </w:rPr>
              <w:t>Montes</w:t>
            </w:r>
            <w:r>
              <w:rPr>
                <w:spacing w:val="-5"/>
                <w:sz w:val="20"/>
              </w:rPr>
              <w:t> </w:t>
            </w:r>
            <w:r>
              <w:rPr>
                <w:sz w:val="20"/>
              </w:rPr>
              <w:t>de</w:t>
            </w:r>
            <w:r>
              <w:rPr>
                <w:spacing w:val="-6"/>
                <w:sz w:val="20"/>
              </w:rPr>
              <w:t> </w:t>
            </w:r>
            <w:r>
              <w:rPr>
                <w:spacing w:val="-5"/>
                <w:sz w:val="20"/>
              </w:rPr>
              <w:t>Oro</w:t>
            </w:r>
          </w:p>
        </w:tc>
        <w:tc>
          <w:tcPr>
            <w:tcW w:w="1514" w:type="dxa"/>
          </w:tcPr>
          <w:p>
            <w:pPr>
              <w:pStyle w:val="TableParagraph"/>
              <w:spacing w:line="209" w:lineRule="exact" w:before="1"/>
              <w:ind w:right="58"/>
              <w:jc w:val="right"/>
              <w:rPr>
                <w:sz w:val="20"/>
              </w:rPr>
            </w:pPr>
            <w:r>
              <w:rPr>
                <w:sz w:val="20"/>
              </w:rPr>
              <w:t>¢</w:t>
            </w:r>
            <w:r>
              <w:rPr>
                <w:spacing w:val="-1"/>
                <w:sz w:val="20"/>
              </w:rPr>
              <w:t> </w:t>
            </w:r>
            <w:r>
              <w:rPr>
                <w:spacing w:val="-2"/>
                <w:sz w:val="20"/>
              </w:rPr>
              <w:t>68.401,43</w:t>
            </w:r>
          </w:p>
        </w:tc>
      </w:tr>
      <w:tr>
        <w:trPr>
          <w:trHeight w:val="227" w:hRule="atLeast"/>
        </w:trPr>
        <w:tc>
          <w:tcPr>
            <w:tcW w:w="1745" w:type="dxa"/>
          </w:tcPr>
          <w:p>
            <w:pPr>
              <w:pStyle w:val="TableParagraph"/>
              <w:spacing w:line="208" w:lineRule="exact"/>
              <w:ind w:right="58"/>
              <w:jc w:val="right"/>
              <w:rPr>
                <w:sz w:val="20"/>
              </w:rPr>
            </w:pPr>
            <w:r>
              <w:rPr>
                <w:spacing w:val="-2"/>
                <w:sz w:val="20"/>
              </w:rPr>
              <w:t>14253</w:t>
            </w:r>
          </w:p>
        </w:tc>
        <w:tc>
          <w:tcPr>
            <w:tcW w:w="5110" w:type="dxa"/>
          </w:tcPr>
          <w:p>
            <w:pPr>
              <w:pStyle w:val="TableParagraph"/>
              <w:spacing w:line="208" w:lineRule="exact"/>
              <w:ind w:left="69"/>
              <w:rPr>
                <w:sz w:val="20"/>
              </w:rPr>
            </w:pPr>
            <w:r>
              <w:rPr>
                <w:sz w:val="20"/>
              </w:rPr>
              <w:t>Juntas</w:t>
            </w:r>
            <w:r>
              <w:rPr>
                <w:spacing w:val="-5"/>
                <w:sz w:val="20"/>
              </w:rPr>
              <w:t> </w:t>
            </w:r>
            <w:r>
              <w:rPr>
                <w:sz w:val="20"/>
              </w:rPr>
              <w:t>de</w:t>
            </w:r>
            <w:r>
              <w:rPr>
                <w:spacing w:val="-3"/>
                <w:sz w:val="20"/>
              </w:rPr>
              <w:t> </w:t>
            </w:r>
            <w:r>
              <w:rPr>
                <w:spacing w:val="-2"/>
                <w:sz w:val="20"/>
              </w:rPr>
              <w:t>Educación</w:t>
            </w:r>
          </w:p>
        </w:tc>
        <w:tc>
          <w:tcPr>
            <w:tcW w:w="1514" w:type="dxa"/>
          </w:tcPr>
          <w:p>
            <w:pPr>
              <w:pStyle w:val="TableParagraph"/>
              <w:spacing w:line="208" w:lineRule="exact"/>
              <w:ind w:right="57"/>
              <w:jc w:val="right"/>
              <w:rPr>
                <w:sz w:val="20"/>
              </w:rPr>
            </w:pPr>
            <w:r>
              <w:rPr>
                <w:sz w:val="20"/>
              </w:rPr>
              <w:t>¢</w:t>
            </w:r>
            <w:r>
              <w:rPr>
                <w:spacing w:val="-1"/>
                <w:sz w:val="20"/>
              </w:rPr>
              <w:t> </w:t>
            </w:r>
            <w:r>
              <w:rPr>
                <w:spacing w:val="-2"/>
                <w:sz w:val="20"/>
              </w:rPr>
              <w:t>2.163.00</w:t>
            </w:r>
          </w:p>
        </w:tc>
      </w:tr>
    </w:tbl>
    <w:p>
      <w:pPr>
        <w:spacing w:before="242"/>
        <w:ind w:left="622" w:right="0" w:firstLine="0"/>
        <w:jc w:val="left"/>
        <w:rPr>
          <w:b/>
          <w:sz w:val="22"/>
        </w:rPr>
      </w:pPr>
      <w:r>
        <w:rPr>
          <w:b/>
          <w:spacing w:val="-2"/>
          <w:sz w:val="22"/>
        </w:rPr>
        <w:t>Revelación:</w:t>
      </w:r>
    </w:p>
    <w:p>
      <w:pPr>
        <w:pStyle w:val="BodyText"/>
        <w:spacing w:before="179"/>
        <w:ind w:left="622" w:right="1001"/>
      </w:pPr>
      <w:r>
        <w:rPr/>
        <w:t>La cuenta Transferencias corrientes del sector público, representa el 2,63% del total del Gastos, que comparado</w:t>
      </w:r>
      <w:r>
        <w:rPr>
          <w:spacing w:val="-4"/>
        </w:rPr>
        <w:t> </w:t>
      </w:r>
      <w:r>
        <w:rPr/>
        <w:t>al</w:t>
      </w:r>
      <w:r>
        <w:rPr>
          <w:spacing w:val="-3"/>
        </w:rPr>
        <w:t> </w:t>
      </w:r>
      <w:r>
        <w:rPr/>
        <w:t>periodo</w:t>
      </w:r>
      <w:r>
        <w:rPr>
          <w:spacing w:val="-1"/>
        </w:rPr>
        <w:t> </w:t>
      </w:r>
      <w:r>
        <w:rPr/>
        <w:t>anterior</w:t>
      </w:r>
      <w:r>
        <w:rPr>
          <w:spacing w:val="-2"/>
        </w:rPr>
        <w:t> </w:t>
      </w:r>
      <w:r>
        <w:rPr/>
        <w:t>genera</w:t>
      </w:r>
      <w:r>
        <w:rPr>
          <w:spacing w:val="-3"/>
        </w:rPr>
        <w:t> </w:t>
      </w:r>
      <w:r>
        <w:rPr/>
        <w:t>una</w:t>
      </w:r>
      <w:r>
        <w:rPr>
          <w:spacing w:val="-2"/>
        </w:rPr>
        <w:t> </w:t>
      </w:r>
      <w:r>
        <w:rPr/>
        <w:t>variación</w:t>
      </w:r>
      <w:r>
        <w:rPr>
          <w:spacing w:val="-2"/>
        </w:rPr>
        <w:t> </w:t>
      </w:r>
      <w:r>
        <w:rPr/>
        <w:t>absoluta</w:t>
      </w:r>
      <w:r>
        <w:rPr>
          <w:spacing w:val="-2"/>
        </w:rPr>
        <w:t> </w:t>
      </w:r>
      <w:r>
        <w:rPr/>
        <w:t>de</w:t>
      </w:r>
      <w:r>
        <w:rPr>
          <w:spacing w:val="-1"/>
        </w:rPr>
        <w:t> </w:t>
      </w:r>
      <w:r>
        <w:rPr/>
        <w:t>¢1.822.267,48</w:t>
      </w:r>
      <w:r>
        <w:rPr>
          <w:spacing w:val="-4"/>
        </w:rPr>
        <w:t> </w:t>
      </w:r>
      <w:r>
        <w:rPr/>
        <w:t>que</w:t>
      </w:r>
      <w:r>
        <w:rPr>
          <w:spacing w:val="-2"/>
        </w:rPr>
        <w:t> </w:t>
      </w:r>
      <w:r>
        <w:rPr/>
        <w:t>corresponde</w:t>
      </w:r>
      <w:r>
        <w:rPr>
          <w:spacing w:val="-4"/>
        </w:rPr>
        <w:t> </w:t>
      </w:r>
      <w:r>
        <w:rPr/>
        <w:t>a</w:t>
      </w:r>
      <w:r>
        <w:rPr>
          <w:spacing w:val="-2"/>
        </w:rPr>
        <w:t> </w:t>
      </w:r>
      <w:r>
        <w:rPr>
          <w:spacing w:val="-5"/>
        </w:rPr>
        <w:t>un</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2944">
                <wp:simplePos x="0" y="0"/>
                <wp:positionH relativeFrom="page">
                  <wp:posOffset>9525</wp:posOffset>
                </wp:positionH>
                <wp:positionV relativeFrom="page">
                  <wp:posOffset>297208</wp:posOffset>
                </wp:positionV>
                <wp:extent cx="7762875" cy="9748520"/>
                <wp:effectExtent l="0" t="0" r="0" b="0"/>
                <wp:wrapNone/>
                <wp:docPr id="785" name="Group 785"/>
                <wp:cNvGraphicFramePr>
                  <a:graphicFrameLocks/>
                </wp:cNvGraphicFramePr>
                <a:graphic>
                  <a:graphicData uri="http://schemas.microsoft.com/office/word/2010/wordprocessingGroup">
                    <wpg:wgp>
                      <wpg:cNvPr id="785" name="Group 785"/>
                      <wpg:cNvGrpSpPr/>
                      <wpg:grpSpPr>
                        <a:xfrm>
                          <a:off x="0" y="0"/>
                          <a:ext cx="7762875" cy="9748520"/>
                          <a:chExt cx="7762875" cy="9748520"/>
                        </a:xfrm>
                      </wpg:grpSpPr>
                      <pic:pic>
                        <pic:nvPicPr>
                          <pic:cNvPr id="786" name="Image 786"/>
                          <pic:cNvPicPr/>
                        </pic:nvPicPr>
                        <pic:blipFill>
                          <a:blip r:embed="rId5" cstate="print"/>
                          <a:stretch>
                            <a:fillRect/>
                          </a:stretch>
                        </pic:blipFill>
                        <pic:spPr>
                          <a:xfrm>
                            <a:off x="0" y="0"/>
                            <a:ext cx="7762874" cy="9748489"/>
                          </a:xfrm>
                          <a:prstGeom prst="rect">
                            <a:avLst/>
                          </a:prstGeom>
                        </pic:spPr>
                      </pic:pic>
                      <wps:wsp>
                        <wps:cNvPr id="787" name="Graphic 787"/>
                        <wps:cNvSpPr/>
                        <wps:spPr>
                          <a:xfrm>
                            <a:off x="1053007" y="990837"/>
                            <a:ext cx="5736590" cy="7511415"/>
                          </a:xfrm>
                          <a:custGeom>
                            <a:avLst/>
                            <a:gdLst/>
                            <a:ahLst/>
                            <a:cxnLst/>
                            <a:rect l="l" t="t" r="r" b="b"/>
                            <a:pathLst>
                              <a:path w="5736590" h="7511415">
                                <a:moveTo>
                                  <a:pt x="5649214" y="0"/>
                                </a:moveTo>
                                <a:lnTo>
                                  <a:pt x="0" y="0"/>
                                </a:lnTo>
                                <a:lnTo>
                                  <a:pt x="0" y="9131"/>
                                </a:lnTo>
                                <a:lnTo>
                                  <a:pt x="5649214" y="9131"/>
                                </a:lnTo>
                                <a:lnTo>
                                  <a:pt x="5649214" y="0"/>
                                </a:lnTo>
                                <a:close/>
                              </a:path>
                              <a:path w="5736590" h="7511415">
                                <a:moveTo>
                                  <a:pt x="5736018" y="827595"/>
                                </a:moveTo>
                                <a:lnTo>
                                  <a:pt x="5729935" y="827595"/>
                                </a:lnTo>
                                <a:lnTo>
                                  <a:pt x="5729935" y="7505128"/>
                                </a:lnTo>
                                <a:lnTo>
                                  <a:pt x="21336" y="7505128"/>
                                </a:lnTo>
                                <a:lnTo>
                                  <a:pt x="21336" y="827595"/>
                                </a:lnTo>
                                <a:lnTo>
                                  <a:pt x="15240" y="827595"/>
                                </a:lnTo>
                                <a:lnTo>
                                  <a:pt x="15240" y="7505128"/>
                                </a:lnTo>
                                <a:lnTo>
                                  <a:pt x="15240" y="7511224"/>
                                </a:lnTo>
                                <a:lnTo>
                                  <a:pt x="21336" y="7511224"/>
                                </a:lnTo>
                                <a:lnTo>
                                  <a:pt x="5729935" y="7511224"/>
                                </a:lnTo>
                                <a:lnTo>
                                  <a:pt x="5736018" y="7511224"/>
                                </a:lnTo>
                                <a:lnTo>
                                  <a:pt x="5736018" y="7505128"/>
                                </a:lnTo>
                                <a:lnTo>
                                  <a:pt x="5736018" y="827595"/>
                                </a:lnTo>
                                <a:close/>
                              </a:path>
                              <a:path w="5736590" h="7511415">
                                <a:moveTo>
                                  <a:pt x="5736018" y="821423"/>
                                </a:moveTo>
                                <a:lnTo>
                                  <a:pt x="5729986" y="821423"/>
                                </a:lnTo>
                                <a:lnTo>
                                  <a:pt x="21336" y="821423"/>
                                </a:lnTo>
                                <a:lnTo>
                                  <a:pt x="15240" y="821423"/>
                                </a:lnTo>
                                <a:lnTo>
                                  <a:pt x="15240" y="827519"/>
                                </a:lnTo>
                                <a:lnTo>
                                  <a:pt x="21336" y="827519"/>
                                </a:lnTo>
                                <a:lnTo>
                                  <a:pt x="5729935" y="827519"/>
                                </a:lnTo>
                                <a:lnTo>
                                  <a:pt x="5736018" y="827519"/>
                                </a:lnTo>
                                <a:lnTo>
                                  <a:pt x="5736018" y="82142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33536" id="docshapegroup760" coordorigin="15,468" coordsize="12225,15352">
                <v:shape style="position:absolute;left:15;top:468;width:12225;height:15352" type="#_x0000_t75" id="docshape761" stroked="false">
                  <v:imagedata r:id="rId5" o:title=""/>
                </v:shape>
                <v:shape style="position:absolute;left:1673;top:2028;width:9034;height:11829" id="docshape762" coordorigin="1673,2028" coordsize="9034,11829" path="m10570,2028l1673,2028,1673,2043,10570,2043,10570,2028xm10706,3332l10697,3332,10697,13848,1707,13848,1707,3332,1697,3332,1697,13848,1697,13857,1707,13857,10697,13857,10697,13857,10706,13857,10706,13848,10706,3332xm10706,3322l10697,3322,10697,3322,1707,3322,1697,3322,1697,3332,1707,3332,10697,3332,10697,3332,10706,3332,10706,3322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156</w:t>
      </w:r>
    </w:p>
    <w:p>
      <w:pPr>
        <w:pStyle w:val="BodyText"/>
        <w:spacing w:before="218"/>
        <w:ind w:left="622" w:right="944"/>
      </w:pPr>
      <w:r>
        <w:rPr/>
        <w:t>incremento</w:t>
      </w:r>
      <w:r>
        <w:rPr>
          <w:spacing w:val="-2"/>
        </w:rPr>
        <w:t> </w:t>
      </w:r>
      <w:r>
        <w:rPr/>
        <w:t>del</w:t>
      </w:r>
      <w:r>
        <w:rPr>
          <w:spacing w:val="-4"/>
        </w:rPr>
        <w:t> </w:t>
      </w:r>
      <w:r>
        <w:rPr/>
        <w:t>114,52%</w:t>
      </w:r>
      <w:r>
        <w:rPr>
          <w:spacing w:val="-3"/>
        </w:rPr>
        <w:t> </w:t>
      </w:r>
      <w:r>
        <w:rPr/>
        <w:t>de</w:t>
      </w:r>
      <w:r>
        <w:rPr>
          <w:spacing w:val="-2"/>
        </w:rPr>
        <w:t> </w:t>
      </w:r>
      <w:r>
        <w:rPr/>
        <w:t>las</w:t>
      </w:r>
      <w:r>
        <w:rPr>
          <w:spacing w:val="-2"/>
        </w:rPr>
        <w:t> </w:t>
      </w:r>
      <w:r>
        <w:rPr/>
        <w:t>devoluciones</w:t>
      </w:r>
      <w:r>
        <w:rPr>
          <w:spacing w:val="-2"/>
        </w:rPr>
        <w:t> </w:t>
      </w:r>
      <w:r>
        <w:rPr/>
        <w:t>del</w:t>
      </w:r>
      <w:r>
        <w:rPr>
          <w:spacing w:val="-3"/>
        </w:rPr>
        <w:t> </w:t>
      </w:r>
      <w:r>
        <w:rPr/>
        <w:t>superávit</w:t>
      </w:r>
      <w:r>
        <w:rPr>
          <w:spacing w:val="-2"/>
        </w:rPr>
        <w:t> </w:t>
      </w:r>
      <w:r>
        <w:rPr/>
        <w:t>FODESAF,</w:t>
      </w:r>
      <w:r>
        <w:rPr>
          <w:spacing w:val="-3"/>
        </w:rPr>
        <w:t> </w:t>
      </w:r>
      <w:r>
        <w:rPr/>
        <w:t>Recursos</w:t>
      </w:r>
      <w:r>
        <w:rPr>
          <w:spacing w:val="-2"/>
        </w:rPr>
        <w:t> </w:t>
      </w:r>
      <w:r>
        <w:rPr/>
        <w:t>Libres,</w:t>
      </w:r>
      <w:r>
        <w:rPr>
          <w:spacing w:val="-3"/>
        </w:rPr>
        <w:t> </w:t>
      </w:r>
      <w:r>
        <w:rPr/>
        <w:t>aplicación</w:t>
      </w:r>
      <w:r>
        <w:rPr>
          <w:spacing w:val="-3"/>
        </w:rPr>
        <w:t> </w:t>
      </w:r>
      <w:r>
        <w:rPr/>
        <w:t>de la Ley No. 8488 y la ejecución de los programas sociales de la Institución.</w:t>
      </w:r>
    </w:p>
    <w:p>
      <w:pPr>
        <w:pStyle w:val="BodyText"/>
      </w:pPr>
    </w:p>
    <w:p>
      <w:pPr>
        <w:pStyle w:val="BodyText"/>
        <w:spacing w:before="100"/>
      </w:pPr>
    </w:p>
    <w:p>
      <w:pPr>
        <w:pStyle w:val="Heading6"/>
        <w:ind w:left="730"/>
      </w:pPr>
      <w:r>
        <w:rPr>
          <w:spacing w:val="-2"/>
        </w:rPr>
        <w:t>Revelación:</w:t>
      </w:r>
    </w:p>
    <w:p>
      <w:pPr>
        <w:pStyle w:val="BodyText"/>
        <w:spacing w:line="276" w:lineRule="auto" w:before="179"/>
        <w:ind w:left="730" w:right="1001"/>
      </w:pPr>
      <w:r>
        <w:rPr/>
        <w:t>Los</w:t>
      </w:r>
      <w:r>
        <w:rPr>
          <w:spacing w:val="-4"/>
        </w:rPr>
        <w:t> </w:t>
      </w:r>
      <w:r>
        <w:rPr/>
        <w:t>gastos</w:t>
      </w:r>
      <w:r>
        <w:rPr>
          <w:spacing w:val="-5"/>
        </w:rPr>
        <w:t> </w:t>
      </w:r>
      <w:r>
        <w:rPr/>
        <w:t>por</w:t>
      </w:r>
      <w:r>
        <w:rPr>
          <w:spacing w:val="-3"/>
        </w:rPr>
        <w:t> </w:t>
      </w:r>
      <w:r>
        <w:rPr/>
        <w:t>transferencias</w:t>
      </w:r>
      <w:r>
        <w:rPr>
          <w:spacing w:val="-2"/>
        </w:rPr>
        <w:t> </w:t>
      </w:r>
      <w:r>
        <w:rPr/>
        <w:t>corrientes</w:t>
      </w:r>
      <w:r>
        <w:rPr>
          <w:spacing w:val="-2"/>
        </w:rPr>
        <w:t> </w:t>
      </w:r>
      <w:r>
        <w:rPr/>
        <w:t>representan</w:t>
      </w:r>
      <w:r>
        <w:rPr>
          <w:spacing w:val="-3"/>
        </w:rPr>
        <w:t> </w:t>
      </w:r>
      <w:r>
        <w:rPr/>
        <w:t>desembolsos</w:t>
      </w:r>
      <w:r>
        <w:rPr>
          <w:spacing w:val="-5"/>
        </w:rPr>
        <w:t> </w:t>
      </w:r>
      <w:r>
        <w:rPr/>
        <w:t>de</w:t>
      </w:r>
      <w:r>
        <w:rPr>
          <w:spacing w:val="-5"/>
        </w:rPr>
        <w:t> </w:t>
      </w:r>
      <w:r>
        <w:rPr/>
        <w:t>recursos,</w:t>
      </w:r>
      <w:r>
        <w:rPr>
          <w:spacing w:val="-3"/>
        </w:rPr>
        <w:t> </w:t>
      </w:r>
      <w:r>
        <w:rPr/>
        <w:t>para</w:t>
      </w:r>
      <w:r>
        <w:rPr>
          <w:spacing w:val="-6"/>
        </w:rPr>
        <w:t> </w:t>
      </w:r>
      <w:r>
        <w:rPr/>
        <w:t>cumplir</w:t>
      </w:r>
      <w:r>
        <w:rPr>
          <w:spacing w:val="-4"/>
        </w:rPr>
        <w:t> </w:t>
      </w:r>
      <w:r>
        <w:rPr/>
        <w:t>con</w:t>
      </w:r>
      <w:r>
        <w:rPr>
          <w:spacing w:val="-3"/>
        </w:rPr>
        <w:t> </w:t>
      </w:r>
      <w:r>
        <w:rPr/>
        <w:t>la ejecución de los programas sociales y con otras entidades del sector público, conforme con las disposiciones administrativas.</w:t>
      </w:r>
    </w:p>
    <w:p>
      <w:pPr>
        <w:pStyle w:val="BodyText"/>
        <w:spacing w:line="276" w:lineRule="auto" w:before="121"/>
        <w:ind w:left="730" w:right="1001"/>
      </w:pPr>
      <w:r>
        <w:rPr/>
        <w:t>Estos</w:t>
      </w:r>
      <w:r>
        <w:rPr>
          <w:spacing w:val="-2"/>
        </w:rPr>
        <w:t> </w:t>
      </w:r>
      <w:r>
        <w:rPr/>
        <w:t>gastos,</w:t>
      </w:r>
      <w:r>
        <w:rPr>
          <w:spacing w:val="-3"/>
        </w:rPr>
        <w:t> </w:t>
      </w:r>
      <w:r>
        <w:rPr/>
        <w:t>debido</w:t>
      </w:r>
      <w:r>
        <w:rPr>
          <w:spacing w:val="-3"/>
        </w:rPr>
        <w:t> </w:t>
      </w:r>
      <w:r>
        <w:rPr/>
        <w:t>a</w:t>
      </w:r>
      <w:r>
        <w:rPr>
          <w:spacing w:val="-6"/>
        </w:rPr>
        <w:t> </w:t>
      </w:r>
      <w:r>
        <w:rPr/>
        <w:t>su</w:t>
      </w:r>
      <w:r>
        <w:rPr>
          <w:spacing w:val="-3"/>
        </w:rPr>
        <w:t> </w:t>
      </w:r>
      <w:r>
        <w:rPr/>
        <w:t>naturaleza</w:t>
      </w:r>
      <w:r>
        <w:rPr>
          <w:spacing w:val="-3"/>
        </w:rPr>
        <w:t> </w:t>
      </w:r>
      <w:r>
        <w:rPr/>
        <w:t>y</w:t>
      </w:r>
      <w:r>
        <w:rPr>
          <w:spacing w:val="-5"/>
        </w:rPr>
        <w:t> </w:t>
      </w:r>
      <w:r>
        <w:rPr/>
        <w:t>características,</w:t>
      </w:r>
      <w:r>
        <w:rPr>
          <w:spacing w:val="-3"/>
        </w:rPr>
        <w:t> </w:t>
      </w:r>
      <w:r>
        <w:rPr/>
        <w:t>no</w:t>
      </w:r>
      <w:r>
        <w:rPr>
          <w:spacing w:val="-5"/>
        </w:rPr>
        <w:t> </w:t>
      </w:r>
      <w:r>
        <w:rPr/>
        <w:t>corresponden</w:t>
      </w:r>
      <w:r>
        <w:rPr>
          <w:spacing w:val="-3"/>
        </w:rPr>
        <w:t> </w:t>
      </w:r>
      <w:r>
        <w:rPr/>
        <w:t>a</w:t>
      </w:r>
      <w:r>
        <w:rPr>
          <w:spacing w:val="-3"/>
        </w:rPr>
        <w:t> </w:t>
      </w:r>
      <w:r>
        <w:rPr/>
        <w:t>contraprestaciones</w:t>
      </w:r>
      <w:r>
        <w:rPr>
          <w:spacing w:val="-2"/>
        </w:rPr>
        <w:t> </w:t>
      </w:r>
      <w:r>
        <w:rPr/>
        <w:t>directas por servicios o bienes adquiridos, sino que están orientados principalmente a fines sociales e </w:t>
      </w:r>
      <w:r>
        <w:rPr>
          <w:spacing w:val="-2"/>
        </w:rPr>
        <w:t>interinstitucionales.</w:t>
      </w:r>
    </w:p>
    <w:p>
      <w:pPr>
        <w:pStyle w:val="BodyText"/>
        <w:spacing w:line="276" w:lineRule="auto" w:before="121"/>
        <w:ind w:left="730" w:right="1001"/>
      </w:pPr>
      <w:r>
        <w:rPr/>
        <w:t>Las</w:t>
      </w:r>
      <w:r>
        <w:rPr>
          <w:spacing w:val="-2"/>
        </w:rPr>
        <w:t> </w:t>
      </w:r>
      <w:r>
        <w:rPr/>
        <w:t>transferencias</w:t>
      </w:r>
      <w:r>
        <w:rPr>
          <w:spacing w:val="-2"/>
        </w:rPr>
        <w:t> </w:t>
      </w:r>
      <w:r>
        <w:rPr/>
        <w:t>corrientes</w:t>
      </w:r>
      <w:r>
        <w:rPr>
          <w:spacing w:val="-3"/>
        </w:rPr>
        <w:t> </w:t>
      </w:r>
      <w:r>
        <w:rPr/>
        <w:t>se</w:t>
      </w:r>
      <w:r>
        <w:rPr>
          <w:spacing w:val="-4"/>
        </w:rPr>
        <w:t> </w:t>
      </w:r>
      <w:r>
        <w:rPr/>
        <w:t>clasifican</w:t>
      </w:r>
      <w:r>
        <w:rPr>
          <w:spacing w:val="-3"/>
        </w:rPr>
        <w:t> </w:t>
      </w:r>
      <w:r>
        <w:rPr/>
        <w:t>en</w:t>
      </w:r>
      <w:r>
        <w:rPr>
          <w:spacing w:val="-3"/>
        </w:rPr>
        <w:t> </w:t>
      </w:r>
      <w:r>
        <w:rPr/>
        <w:t>categorías</w:t>
      </w:r>
      <w:r>
        <w:rPr>
          <w:spacing w:val="-5"/>
        </w:rPr>
        <w:t> </w:t>
      </w:r>
      <w:r>
        <w:rPr/>
        <w:t>basadas</w:t>
      </w:r>
      <w:r>
        <w:rPr>
          <w:spacing w:val="-5"/>
        </w:rPr>
        <w:t> </w:t>
      </w:r>
      <w:r>
        <w:rPr/>
        <w:t>según</w:t>
      </w:r>
      <w:r>
        <w:rPr>
          <w:spacing w:val="-3"/>
        </w:rPr>
        <w:t> </w:t>
      </w:r>
      <w:r>
        <w:rPr/>
        <w:t>el</w:t>
      </w:r>
      <w:r>
        <w:rPr>
          <w:spacing w:val="-3"/>
        </w:rPr>
        <w:t> </w:t>
      </w:r>
      <w:r>
        <w:rPr/>
        <w:t>tipo</w:t>
      </w:r>
      <w:r>
        <w:rPr>
          <w:spacing w:val="-3"/>
        </w:rPr>
        <w:t> </w:t>
      </w:r>
      <w:r>
        <w:rPr/>
        <w:t>de</w:t>
      </w:r>
      <w:r>
        <w:rPr>
          <w:spacing w:val="-5"/>
        </w:rPr>
        <w:t> </w:t>
      </w:r>
      <w:r>
        <w:rPr/>
        <w:t>beneficiario</w:t>
      </w:r>
      <w:r>
        <w:rPr>
          <w:spacing w:val="-3"/>
        </w:rPr>
        <w:t> </w:t>
      </w:r>
      <w:r>
        <w:rPr/>
        <w:t>al</w:t>
      </w:r>
      <w:r>
        <w:rPr>
          <w:spacing w:val="-3"/>
        </w:rPr>
        <w:t> </w:t>
      </w:r>
      <w:r>
        <w:rPr/>
        <w:t>que haga referencia, como se detalla a continuación:</w:t>
      </w:r>
    </w:p>
    <w:p>
      <w:pPr>
        <w:pStyle w:val="ListParagraph"/>
        <w:numPr>
          <w:ilvl w:val="0"/>
          <w:numId w:val="67"/>
        </w:numPr>
        <w:tabs>
          <w:tab w:pos="1450" w:val="left" w:leader="none"/>
        </w:tabs>
        <w:spacing w:line="276" w:lineRule="auto" w:before="117" w:after="0"/>
        <w:ind w:left="1450" w:right="924" w:hanging="360"/>
        <w:jc w:val="both"/>
        <w:rPr>
          <w:sz w:val="22"/>
        </w:rPr>
      </w:pPr>
      <w:r>
        <w:rPr>
          <w:sz w:val="22"/>
        </w:rPr>
        <w:t>Transferencias a</w:t>
      </w:r>
      <w:r>
        <w:rPr>
          <w:spacing w:val="-2"/>
          <w:sz w:val="22"/>
        </w:rPr>
        <w:t> </w:t>
      </w:r>
      <w:r>
        <w:rPr>
          <w:sz w:val="22"/>
        </w:rPr>
        <w:t>personas</w:t>
      </w:r>
      <w:r>
        <w:rPr>
          <w:spacing w:val="-3"/>
          <w:sz w:val="22"/>
        </w:rPr>
        <w:t> </w:t>
      </w:r>
      <w:r>
        <w:rPr>
          <w:sz w:val="22"/>
        </w:rPr>
        <w:t>físicas:</w:t>
      </w:r>
      <w:r>
        <w:rPr>
          <w:spacing w:val="-2"/>
          <w:sz w:val="22"/>
        </w:rPr>
        <w:t> </w:t>
      </w:r>
      <w:r>
        <w:rPr>
          <w:sz w:val="22"/>
        </w:rPr>
        <w:t>Esta</w:t>
      </w:r>
      <w:r>
        <w:rPr>
          <w:spacing w:val="-1"/>
          <w:sz w:val="22"/>
        </w:rPr>
        <w:t> </w:t>
      </w:r>
      <w:r>
        <w:rPr>
          <w:sz w:val="22"/>
        </w:rPr>
        <w:t>categoría</w:t>
      </w:r>
      <w:r>
        <w:rPr>
          <w:spacing w:val="-2"/>
          <w:sz w:val="22"/>
        </w:rPr>
        <w:t> </w:t>
      </w:r>
      <w:r>
        <w:rPr>
          <w:sz w:val="22"/>
        </w:rPr>
        <w:t>incluye</w:t>
      </w:r>
      <w:r>
        <w:rPr>
          <w:spacing w:val="-2"/>
          <w:sz w:val="22"/>
        </w:rPr>
        <w:t> </w:t>
      </w:r>
      <w:r>
        <w:rPr>
          <w:sz w:val="22"/>
        </w:rPr>
        <w:t>los pagos</w:t>
      </w:r>
      <w:r>
        <w:rPr>
          <w:spacing w:val="-2"/>
          <w:sz w:val="22"/>
        </w:rPr>
        <w:t> </w:t>
      </w:r>
      <w:r>
        <w:rPr>
          <w:sz w:val="22"/>
        </w:rPr>
        <w:t>realizados por</w:t>
      </w:r>
      <w:r>
        <w:rPr>
          <w:spacing w:val="-1"/>
          <w:sz w:val="22"/>
        </w:rPr>
        <w:t> </w:t>
      </w:r>
      <w:r>
        <w:rPr>
          <w:sz w:val="22"/>
        </w:rPr>
        <w:t>concepto de atención a</w:t>
      </w:r>
      <w:r>
        <w:rPr>
          <w:spacing w:val="-1"/>
          <w:sz w:val="22"/>
        </w:rPr>
        <w:t> </w:t>
      </w:r>
      <w:r>
        <w:rPr>
          <w:sz w:val="22"/>
        </w:rPr>
        <w:t>beneficiarios</w:t>
      </w:r>
      <w:r>
        <w:rPr>
          <w:spacing w:val="-1"/>
          <w:sz w:val="22"/>
        </w:rPr>
        <w:t> </w:t>
      </w:r>
      <w:r>
        <w:rPr>
          <w:sz w:val="22"/>
        </w:rPr>
        <w:t>en cumplimiento de los programas sociales, y</w:t>
      </w:r>
      <w:r>
        <w:rPr>
          <w:spacing w:val="-1"/>
          <w:sz w:val="22"/>
        </w:rPr>
        <w:t> </w:t>
      </w:r>
      <w:r>
        <w:rPr>
          <w:sz w:val="22"/>
        </w:rPr>
        <w:t>otras como liquidacio-nes</w:t>
      </w:r>
      <w:r>
        <w:rPr>
          <w:spacing w:val="-1"/>
          <w:sz w:val="22"/>
        </w:rPr>
        <w:t> </w:t>
      </w:r>
      <w:r>
        <w:rPr>
          <w:sz w:val="22"/>
        </w:rPr>
        <w:t>laborales,</w:t>
      </w:r>
      <w:r>
        <w:rPr>
          <w:spacing w:val="-1"/>
          <w:sz w:val="22"/>
        </w:rPr>
        <w:t> </w:t>
      </w:r>
      <w:r>
        <w:rPr>
          <w:sz w:val="22"/>
        </w:rPr>
        <w:t>pensiones</w:t>
      </w:r>
      <w:r>
        <w:rPr>
          <w:spacing w:val="-2"/>
          <w:sz w:val="22"/>
        </w:rPr>
        <w:t> </w:t>
      </w:r>
      <w:r>
        <w:rPr>
          <w:sz w:val="22"/>
        </w:rPr>
        <w:t>o</w:t>
      </w:r>
      <w:r>
        <w:rPr>
          <w:spacing w:val="-1"/>
          <w:sz w:val="22"/>
        </w:rPr>
        <w:t> </w:t>
      </w:r>
      <w:r>
        <w:rPr>
          <w:sz w:val="22"/>
        </w:rPr>
        <w:t>jubilaciones</w:t>
      </w:r>
      <w:r>
        <w:rPr>
          <w:spacing w:val="-2"/>
          <w:sz w:val="22"/>
        </w:rPr>
        <w:t> </w:t>
      </w:r>
      <w:r>
        <w:rPr>
          <w:sz w:val="22"/>
        </w:rPr>
        <w:t>a</w:t>
      </w:r>
      <w:r>
        <w:rPr>
          <w:spacing w:val="-2"/>
          <w:sz w:val="22"/>
        </w:rPr>
        <w:t> </w:t>
      </w:r>
      <w:r>
        <w:rPr>
          <w:sz w:val="22"/>
        </w:rPr>
        <w:t>exfuncionarios</w:t>
      </w:r>
      <w:r>
        <w:rPr>
          <w:spacing w:val="-1"/>
          <w:sz w:val="22"/>
        </w:rPr>
        <w:t> </w:t>
      </w:r>
      <w:r>
        <w:rPr>
          <w:sz w:val="22"/>
        </w:rPr>
        <w:t>de</w:t>
      </w:r>
      <w:r>
        <w:rPr>
          <w:spacing w:val="-3"/>
          <w:sz w:val="22"/>
        </w:rPr>
        <w:t> </w:t>
      </w:r>
      <w:r>
        <w:rPr>
          <w:sz w:val="22"/>
        </w:rPr>
        <w:t>la</w:t>
      </w:r>
      <w:r>
        <w:rPr>
          <w:spacing w:val="-2"/>
          <w:sz w:val="22"/>
        </w:rPr>
        <w:t> </w:t>
      </w:r>
      <w:r>
        <w:rPr>
          <w:sz w:val="22"/>
        </w:rPr>
        <w:t>institución.</w:t>
      </w:r>
      <w:r>
        <w:rPr>
          <w:spacing w:val="-1"/>
          <w:sz w:val="22"/>
        </w:rPr>
        <w:t> </w:t>
      </w:r>
      <w:r>
        <w:rPr>
          <w:sz w:val="22"/>
        </w:rPr>
        <w:t>Estas</w:t>
      </w:r>
      <w:r>
        <w:rPr>
          <w:spacing w:val="-1"/>
          <w:sz w:val="22"/>
        </w:rPr>
        <w:t> </w:t>
      </w:r>
      <w:r>
        <w:rPr>
          <w:sz w:val="22"/>
        </w:rPr>
        <w:t>transferencias responden</w:t>
      </w:r>
      <w:r>
        <w:rPr>
          <w:spacing w:val="-5"/>
          <w:sz w:val="22"/>
        </w:rPr>
        <w:t> </w:t>
      </w:r>
      <w:r>
        <w:rPr>
          <w:sz w:val="22"/>
        </w:rPr>
        <w:t>al</w:t>
      </w:r>
      <w:r>
        <w:rPr>
          <w:spacing w:val="-6"/>
          <w:sz w:val="22"/>
        </w:rPr>
        <w:t> </w:t>
      </w:r>
      <w:r>
        <w:rPr>
          <w:sz w:val="22"/>
        </w:rPr>
        <w:t>cumplimiento</w:t>
      </w:r>
      <w:r>
        <w:rPr>
          <w:spacing w:val="-7"/>
          <w:sz w:val="22"/>
        </w:rPr>
        <w:t> </w:t>
      </w:r>
      <w:r>
        <w:rPr>
          <w:sz w:val="22"/>
        </w:rPr>
        <w:t>de</w:t>
      </w:r>
      <w:r>
        <w:rPr>
          <w:spacing w:val="-5"/>
          <w:sz w:val="22"/>
        </w:rPr>
        <w:t> </w:t>
      </w:r>
      <w:r>
        <w:rPr>
          <w:sz w:val="22"/>
        </w:rPr>
        <w:t>las</w:t>
      </w:r>
      <w:r>
        <w:rPr>
          <w:spacing w:val="-7"/>
          <w:sz w:val="22"/>
        </w:rPr>
        <w:t> </w:t>
      </w:r>
      <w:r>
        <w:rPr>
          <w:sz w:val="22"/>
        </w:rPr>
        <w:t>obligaciones</w:t>
      </w:r>
      <w:r>
        <w:rPr>
          <w:spacing w:val="-7"/>
          <w:sz w:val="22"/>
        </w:rPr>
        <w:t> </w:t>
      </w:r>
      <w:r>
        <w:rPr>
          <w:sz w:val="22"/>
        </w:rPr>
        <w:t>como</w:t>
      </w:r>
      <w:r>
        <w:rPr>
          <w:spacing w:val="-5"/>
          <w:sz w:val="22"/>
        </w:rPr>
        <w:t> </w:t>
      </w:r>
      <w:r>
        <w:rPr>
          <w:sz w:val="22"/>
        </w:rPr>
        <w:t>patrono</w:t>
      </w:r>
      <w:r>
        <w:rPr>
          <w:spacing w:val="-5"/>
          <w:sz w:val="22"/>
        </w:rPr>
        <w:t> </w:t>
      </w:r>
      <w:r>
        <w:rPr>
          <w:sz w:val="22"/>
        </w:rPr>
        <w:t>y</w:t>
      </w:r>
      <w:r>
        <w:rPr>
          <w:spacing w:val="-7"/>
          <w:sz w:val="22"/>
        </w:rPr>
        <w:t> </w:t>
      </w:r>
      <w:r>
        <w:rPr>
          <w:sz w:val="22"/>
        </w:rPr>
        <w:t>responde</w:t>
      </w:r>
      <w:r>
        <w:rPr>
          <w:spacing w:val="-5"/>
          <w:sz w:val="22"/>
        </w:rPr>
        <w:t> </w:t>
      </w:r>
      <w:r>
        <w:rPr>
          <w:sz w:val="22"/>
        </w:rPr>
        <w:t>a</w:t>
      </w:r>
      <w:r>
        <w:rPr>
          <w:spacing w:val="-6"/>
          <w:sz w:val="22"/>
        </w:rPr>
        <w:t> </w:t>
      </w:r>
      <w:r>
        <w:rPr>
          <w:sz w:val="22"/>
        </w:rPr>
        <w:t>derechos</w:t>
      </w:r>
      <w:r>
        <w:rPr>
          <w:spacing w:val="-5"/>
          <w:sz w:val="22"/>
        </w:rPr>
        <w:t> </w:t>
      </w:r>
      <w:r>
        <w:rPr>
          <w:sz w:val="22"/>
        </w:rPr>
        <w:t>adquiri-dos</w:t>
      </w:r>
      <w:r>
        <w:rPr>
          <w:spacing w:val="-12"/>
          <w:sz w:val="22"/>
        </w:rPr>
        <w:t> </w:t>
      </w:r>
      <w:r>
        <w:rPr>
          <w:sz w:val="22"/>
        </w:rPr>
        <w:t>por</w:t>
      </w:r>
      <w:r>
        <w:rPr>
          <w:spacing w:val="-13"/>
          <w:sz w:val="22"/>
        </w:rPr>
        <w:t> </w:t>
      </w:r>
      <w:r>
        <w:rPr>
          <w:sz w:val="22"/>
        </w:rPr>
        <w:t>los</w:t>
      </w:r>
      <w:r>
        <w:rPr>
          <w:spacing w:val="-12"/>
          <w:sz w:val="22"/>
        </w:rPr>
        <w:t> </w:t>
      </w:r>
      <w:r>
        <w:rPr>
          <w:sz w:val="22"/>
        </w:rPr>
        <w:t>trabajadores</w:t>
      </w:r>
      <w:r>
        <w:rPr>
          <w:spacing w:val="-13"/>
          <w:sz w:val="22"/>
        </w:rPr>
        <w:t> </w:t>
      </w:r>
      <w:r>
        <w:rPr>
          <w:sz w:val="22"/>
        </w:rPr>
        <w:t>en</w:t>
      </w:r>
      <w:r>
        <w:rPr>
          <w:spacing w:val="-14"/>
          <w:sz w:val="22"/>
        </w:rPr>
        <w:t> </w:t>
      </w:r>
      <w:r>
        <w:rPr>
          <w:sz w:val="22"/>
        </w:rPr>
        <w:t>el</w:t>
      </w:r>
      <w:r>
        <w:rPr>
          <w:spacing w:val="-12"/>
          <w:sz w:val="22"/>
        </w:rPr>
        <w:t> </w:t>
      </w:r>
      <w:r>
        <w:rPr>
          <w:sz w:val="22"/>
        </w:rPr>
        <w:t>ejercicio</w:t>
      </w:r>
      <w:r>
        <w:rPr>
          <w:spacing w:val="-13"/>
          <w:sz w:val="22"/>
        </w:rPr>
        <w:t> </w:t>
      </w:r>
      <w:r>
        <w:rPr>
          <w:sz w:val="22"/>
        </w:rPr>
        <w:t>de</w:t>
      </w:r>
      <w:r>
        <w:rPr>
          <w:spacing w:val="-12"/>
          <w:sz w:val="22"/>
        </w:rPr>
        <w:t> </w:t>
      </w:r>
      <w:r>
        <w:rPr>
          <w:sz w:val="22"/>
        </w:rPr>
        <w:t>su</w:t>
      </w:r>
      <w:r>
        <w:rPr>
          <w:spacing w:val="-13"/>
          <w:sz w:val="22"/>
        </w:rPr>
        <w:t> </w:t>
      </w:r>
      <w:r>
        <w:rPr>
          <w:sz w:val="22"/>
        </w:rPr>
        <w:t>función</w:t>
      </w:r>
      <w:r>
        <w:rPr>
          <w:spacing w:val="-13"/>
          <w:sz w:val="22"/>
        </w:rPr>
        <w:t> </w:t>
      </w:r>
      <w:r>
        <w:rPr>
          <w:sz w:val="22"/>
        </w:rPr>
        <w:t>pública,</w:t>
      </w:r>
      <w:r>
        <w:rPr>
          <w:spacing w:val="-13"/>
          <w:sz w:val="22"/>
        </w:rPr>
        <w:t> </w:t>
      </w:r>
      <w:r>
        <w:rPr>
          <w:sz w:val="22"/>
        </w:rPr>
        <w:t>siempre</w:t>
      </w:r>
      <w:r>
        <w:rPr>
          <w:spacing w:val="-12"/>
          <w:sz w:val="22"/>
        </w:rPr>
        <w:t> </w:t>
      </w:r>
      <w:r>
        <w:rPr>
          <w:sz w:val="22"/>
        </w:rPr>
        <w:t>respaldadas</w:t>
      </w:r>
      <w:r>
        <w:rPr>
          <w:spacing w:val="-13"/>
          <w:sz w:val="22"/>
        </w:rPr>
        <w:t> </w:t>
      </w:r>
      <w:r>
        <w:rPr>
          <w:sz w:val="22"/>
        </w:rPr>
        <w:t>en</w:t>
      </w:r>
      <w:r>
        <w:rPr>
          <w:spacing w:val="-14"/>
          <w:sz w:val="22"/>
        </w:rPr>
        <w:t> </w:t>
      </w:r>
      <w:r>
        <w:rPr>
          <w:sz w:val="22"/>
        </w:rPr>
        <w:t>el</w:t>
      </w:r>
      <w:r>
        <w:rPr>
          <w:spacing w:val="-12"/>
          <w:sz w:val="22"/>
        </w:rPr>
        <w:t> </w:t>
      </w:r>
      <w:r>
        <w:rPr>
          <w:sz w:val="22"/>
        </w:rPr>
        <w:t>marco de legalidad institucional.</w:t>
      </w:r>
    </w:p>
    <w:p>
      <w:pPr>
        <w:pStyle w:val="ListParagraph"/>
        <w:numPr>
          <w:ilvl w:val="0"/>
          <w:numId w:val="67"/>
        </w:numPr>
        <w:tabs>
          <w:tab w:pos="1450" w:val="left" w:leader="none"/>
        </w:tabs>
        <w:spacing w:line="273" w:lineRule="auto" w:before="0" w:after="0"/>
        <w:ind w:left="1450" w:right="926" w:hanging="360"/>
        <w:jc w:val="both"/>
        <w:rPr>
          <w:sz w:val="22"/>
        </w:rPr>
      </w:pPr>
      <w:r>
        <w:rPr>
          <w:sz w:val="22"/>
        </w:rPr>
        <w:t>Transferencias al sector público interno:</w:t>
      </w:r>
      <w:r>
        <w:rPr>
          <w:spacing w:val="40"/>
          <w:sz w:val="22"/>
        </w:rPr>
        <w:t> </w:t>
      </w:r>
      <w:r>
        <w:rPr>
          <w:sz w:val="22"/>
        </w:rPr>
        <w:t>Abarcan los desembolsos destinados entidades pú-blicas, tal es el caso de transferencias por devolución de superávit acumulado de ejercicios fiscales anteriores, amparados a la ley que establece la devolución de dichos recursos.</w:t>
      </w:r>
    </w:p>
    <w:p>
      <w:pPr>
        <w:pStyle w:val="BodyText"/>
        <w:spacing w:before="40"/>
      </w:pPr>
    </w:p>
    <w:p>
      <w:pPr>
        <w:pStyle w:val="ListParagraph"/>
        <w:numPr>
          <w:ilvl w:val="0"/>
          <w:numId w:val="67"/>
        </w:numPr>
        <w:tabs>
          <w:tab w:pos="1450" w:val="left" w:leader="none"/>
        </w:tabs>
        <w:spacing w:line="276" w:lineRule="auto" w:before="0" w:after="0"/>
        <w:ind w:left="1450" w:right="922" w:hanging="360"/>
        <w:jc w:val="both"/>
        <w:rPr>
          <w:sz w:val="22"/>
        </w:rPr>
      </w:pPr>
      <w:r>
        <w:rPr>
          <w:sz w:val="22"/>
        </w:rPr>
        <w:t>Transferencias</w:t>
      </w:r>
      <w:r>
        <w:rPr>
          <w:spacing w:val="-6"/>
          <w:sz w:val="22"/>
        </w:rPr>
        <w:t> </w:t>
      </w:r>
      <w:r>
        <w:rPr>
          <w:sz w:val="22"/>
        </w:rPr>
        <w:t>al</w:t>
      </w:r>
      <w:r>
        <w:rPr>
          <w:spacing w:val="-4"/>
          <w:sz w:val="22"/>
        </w:rPr>
        <w:t> </w:t>
      </w:r>
      <w:r>
        <w:rPr>
          <w:sz w:val="22"/>
        </w:rPr>
        <w:t>sector</w:t>
      </w:r>
      <w:r>
        <w:rPr>
          <w:spacing w:val="-4"/>
          <w:sz w:val="22"/>
        </w:rPr>
        <w:t> </w:t>
      </w:r>
      <w:r>
        <w:rPr>
          <w:sz w:val="22"/>
        </w:rPr>
        <w:t>privado:</w:t>
      </w:r>
      <w:r>
        <w:rPr>
          <w:spacing w:val="-5"/>
          <w:sz w:val="22"/>
        </w:rPr>
        <w:t> </w:t>
      </w:r>
      <w:r>
        <w:rPr>
          <w:sz w:val="22"/>
        </w:rPr>
        <w:t>Comprende</w:t>
      </w:r>
      <w:r>
        <w:rPr>
          <w:spacing w:val="-3"/>
          <w:sz w:val="22"/>
        </w:rPr>
        <w:t> </w:t>
      </w:r>
      <w:r>
        <w:rPr>
          <w:sz w:val="22"/>
        </w:rPr>
        <w:t>a</w:t>
      </w:r>
      <w:r>
        <w:rPr>
          <w:spacing w:val="-6"/>
          <w:sz w:val="22"/>
        </w:rPr>
        <w:t> </w:t>
      </w:r>
      <w:r>
        <w:rPr>
          <w:sz w:val="22"/>
        </w:rPr>
        <w:t>transferencias</w:t>
      </w:r>
      <w:r>
        <w:rPr>
          <w:spacing w:val="-3"/>
          <w:sz w:val="22"/>
        </w:rPr>
        <w:t> </w:t>
      </w:r>
      <w:r>
        <w:rPr>
          <w:sz w:val="22"/>
        </w:rPr>
        <w:t>realizadas</w:t>
      </w:r>
      <w:r>
        <w:rPr>
          <w:spacing w:val="-3"/>
          <w:sz w:val="22"/>
        </w:rPr>
        <w:t> </w:t>
      </w:r>
      <w:r>
        <w:rPr>
          <w:sz w:val="22"/>
        </w:rPr>
        <w:t>a</w:t>
      </w:r>
      <w:r>
        <w:rPr>
          <w:spacing w:val="-6"/>
          <w:sz w:val="22"/>
        </w:rPr>
        <w:t> </w:t>
      </w:r>
      <w:r>
        <w:rPr>
          <w:sz w:val="22"/>
        </w:rPr>
        <w:t>entes</w:t>
      </w:r>
      <w:r>
        <w:rPr>
          <w:spacing w:val="-6"/>
          <w:sz w:val="22"/>
        </w:rPr>
        <w:t> </w:t>
      </w:r>
      <w:r>
        <w:rPr>
          <w:sz w:val="22"/>
        </w:rPr>
        <w:t>que</w:t>
      </w:r>
      <w:r>
        <w:rPr>
          <w:spacing w:val="-6"/>
          <w:sz w:val="22"/>
        </w:rPr>
        <w:t> </w:t>
      </w:r>
      <w:r>
        <w:rPr>
          <w:sz w:val="22"/>
        </w:rPr>
        <w:t>cumplen los objetivos de bien social tal es el caso de las cooperativas, fundaciones, asociaciones, y las Organización No Gubernamentales (ONG) la cuales se encargan de abordar problemáticas específicas de la sociedad o comunidades, actuando como agentes de cambio, pueden enfo-carse</w:t>
      </w:r>
      <w:r>
        <w:rPr>
          <w:spacing w:val="-8"/>
          <w:sz w:val="22"/>
        </w:rPr>
        <w:t> </w:t>
      </w:r>
      <w:r>
        <w:rPr>
          <w:sz w:val="22"/>
        </w:rPr>
        <w:t>en</w:t>
      </w:r>
      <w:r>
        <w:rPr>
          <w:spacing w:val="-9"/>
          <w:sz w:val="22"/>
        </w:rPr>
        <w:t> </w:t>
      </w:r>
      <w:r>
        <w:rPr>
          <w:sz w:val="22"/>
        </w:rPr>
        <w:t>áreas</w:t>
      </w:r>
      <w:r>
        <w:rPr>
          <w:spacing w:val="-6"/>
          <w:sz w:val="22"/>
        </w:rPr>
        <w:t> </w:t>
      </w:r>
      <w:r>
        <w:rPr>
          <w:sz w:val="22"/>
        </w:rPr>
        <w:t>como</w:t>
      </w:r>
      <w:r>
        <w:rPr>
          <w:spacing w:val="-6"/>
          <w:sz w:val="22"/>
        </w:rPr>
        <w:t> </w:t>
      </w:r>
      <w:r>
        <w:rPr>
          <w:sz w:val="22"/>
        </w:rPr>
        <w:t>la</w:t>
      </w:r>
      <w:r>
        <w:rPr>
          <w:spacing w:val="-11"/>
          <w:sz w:val="22"/>
        </w:rPr>
        <w:t> </w:t>
      </w:r>
      <w:r>
        <w:rPr>
          <w:sz w:val="22"/>
        </w:rPr>
        <w:t>educación,</w:t>
      </w:r>
      <w:r>
        <w:rPr>
          <w:spacing w:val="-7"/>
          <w:sz w:val="22"/>
        </w:rPr>
        <w:t> </w:t>
      </w:r>
      <w:r>
        <w:rPr>
          <w:sz w:val="22"/>
        </w:rPr>
        <w:t>la</w:t>
      </w:r>
      <w:r>
        <w:rPr>
          <w:spacing w:val="-8"/>
          <w:sz w:val="22"/>
        </w:rPr>
        <w:t> </w:t>
      </w:r>
      <w:r>
        <w:rPr>
          <w:sz w:val="22"/>
        </w:rPr>
        <w:t>salud,</w:t>
      </w:r>
      <w:r>
        <w:rPr>
          <w:spacing w:val="-10"/>
          <w:sz w:val="22"/>
        </w:rPr>
        <w:t> </w:t>
      </w:r>
      <w:r>
        <w:rPr>
          <w:sz w:val="22"/>
        </w:rPr>
        <w:t>la</w:t>
      </w:r>
      <w:r>
        <w:rPr>
          <w:spacing w:val="-8"/>
          <w:sz w:val="22"/>
        </w:rPr>
        <w:t> </w:t>
      </w:r>
      <w:r>
        <w:rPr>
          <w:sz w:val="22"/>
        </w:rPr>
        <w:t>reducción</w:t>
      </w:r>
      <w:r>
        <w:rPr>
          <w:spacing w:val="-9"/>
          <w:sz w:val="22"/>
        </w:rPr>
        <w:t> </w:t>
      </w:r>
      <w:r>
        <w:rPr>
          <w:sz w:val="22"/>
        </w:rPr>
        <w:t>de</w:t>
      </w:r>
      <w:r>
        <w:rPr>
          <w:spacing w:val="-7"/>
          <w:sz w:val="22"/>
        </w:rPr>
        <w:t> </w:t>
      </w:r>
      <w:r>
        <w:rPr>
          <w:sz w:val="22"/>
        </w:rPr>
        <w:t>la</w:t>
      </w:r>
      <w:r>
        <w:rPr>
          <w:spacing w:val="-8"/>
          <w:sz w:val="22"/>
        </w:rPr>
        <w:t> </w:t>
      </w:r>
      <w:r>
        <w:rPr>
          <w:sz w:val="22"/>
        </w:rPr>
        <w:t>pobreza,</w:t>
      </w:r>
      <w:r>
        <w:rPr>
          <w:spacing w:val="-7"/>
          <w:sz w:val="22"/>
        </w:rPr>
        <w:t> </w:t>
      </w:r>
      <w:r>
        <w:rPr>
          <w:sz w:val="22"/>
        </w:rPr>
        <w:t>la</w:t>
      </w:r>
      <w:r>
        <w:rPr>
          <w:spacing w:val="-8"/>
          <w:sz w:val="22"/>
        </w:rPr>
        <w:t> </w:t>
      </w:r>
      <w:r>
        <w:rPr>
          <w:sz w:val="22"/>
        </w:rPr>
        <w:t>defensa</w:t>
      </w:r>
      <w:r>
        <w:rPr>
          <w:spacing w:val="-10"/>
          <w:sz w:val="22"/>
        </w:rPr>
        <w:t> </w:t>
      </w:r>
      <w:r>
        <w:rPr>
          <w:sz w:val="22"/>
        </w:rPr>
        <w:t>de</w:t>
      </w:r>
      <w:r>
        <w:rPr>
          <w:spacing w:val="-9"/>
          <w:sz w:val="22"/>
        </w:rPr>
        <w:t> </w:t>
      </w:r>
      <w:r>
        <w:rPr>
          <w:sz w:val="22"/>
        </w:rPr>
        <w:t>derechos humanos y muchas. Los cuales se encuentran respaldados por el marco de legalidad de la </w:t>
      </w:r>
      <w:r>
        <w:rPr>
          <w:spacing w:val="-2"/>
          <w:sz w:val="22"/>
        </w:rPr>
        <w:t>institución.</w:t>
      </w:r>
    </w:p>
    <w:p>
      <w:pPr>
        <w:pStyle w:val="BodyText"/>
        <w:spacing w:before="38"/>
      </w:pPr>
    </w:p>
    <w:p>
      <w:pPr>
        <w:pStyle w:val="BodyText"/>
        <w:spacing w:line="276" w:lineRule="auto"/>
        <w:ind w:left="1450" w:right="922"/>
        <w:jc w:val="both"/>
      </w:pPr>
      <w:r>
        <w:rPr/>
        <w:t>Es importante indicar que las transferencias de corrientes solo se aplican cuando las disposiciones legales lo autorizan basado en el marco regulatorio, y deben estar previamente aprobadas</w:t>
      </w:r>
      <w:r>
        <w:rPr>
          <w:spacing w:val="-16"/>
        </w:rPr>
        <w:t> </w:t>
      </w:r>
      <w:r>
        <w:rPr/>
        <w:t>e</w:t>
      </w:r>
      <w:r>
        <w:rPr>
          <w:spacing w:val="-14"/>
        </w:rPr>
        <w:t> </w:t>
      </w:r>
      <w:r>
        <w:rPr/>
        <w:t>incluidas</w:t>
      </w:r>
      <w:r>
        <w:rPr>
          <w:spacing w:val="-14"/>
        </w:rPr>
        <w:t> </w:t>
      </w:r>
      <w:r>
        <w:rPr/>
        <w:t>en</w:t>
      </w:r>
      <w:r>
        <w:rPr>
          <w:spacing w:val="-13"/>
        </w:rPr>
        <w:t> </w:t>
      </w:r>
      <w:r>
        <w:rPr/>
        <w:t>los</w:t>
      </w:r>
      <w:r>
        <w:rPr>
          <w:spacing w:val="-14"/>
        </w:rPr>
        <w:t> </w:t>
      </w:r>
      <w:r>
        <w:rPr/>
        <w:t>presupuestos</w:t>
      </w:r>
      <w:r>
        <w:rPr>
          <w:spacing w:val="-14"/>
        </w:rPr>
        <w:t> </w:t>
      </w:r>
      <w:r>
        <w:rPr/>
        <w:t>institucionales</w:t>
      </w:r>
      <w:r>
        <w:rPr>
          <w:spacing w:val="-14"/>
        </w:rPr>
        <w:t> </w:t>
      </w:r>
      <w:r>
        <w:rPr/>
        <w:t>conforme</w:t>
      </w:r>
      <w:r>
        <w:rPr>
          <w:spacing w:val="-13"/>
        </w:rPr>
        <w:t> </w:t>
      </w:r>
      <w:r>
        <w:rPr/>
        <w:t>a</w:t>
      </w:r>
      <w:r>
        <w:rPr>
          <w:spacing w:val="-14"/>
        </w:rPr>
        <w:t> </w:t>
      </w:r>
      <w:r>
        <w:rPr/>
        <w:t>la</w:t>
      </w:r>
      <w:r>
        <w:rPr>
          <w:spacing w:val="-14"/>
        </w:rPr>
        <w:t> </w:t>
      </w:r>
      <w:r>
        <w:rPr/>
        <w:t>planificación</w:t>
      </w:r>
      <w:r>
        <w:rPr>
          <w:spacing w:val="-14"/>
        </w:rPr>
        <w:t> </w:t>
      </w:r>
      <w:r>
        <w:rPr/>
        <w:t>de</w:t>
      </w:r>
      <w:r>
        <w:rPr>
          <w:spacing w:val="-13"/>
        </w:rPr>
        <w:t> </w:t>
      </w:r>
      <w:r>
        <w:rPr/>
        <w:t>gastos, además deben formar parte de los planes anuales operativos.</w:t>
      </w:r>
    </w:p>
    <w:p>
      <w:pPr>
        <w:pStyle w:val="BodyText"/>
        <w:spacing w:before="37"/>
      </w:pPr>
    </w:p>
    <w:p>
      <w:pPr>
        <w:pStyle w:val="BodyText"/>
        <w:spacing w:line="276" w:lineRule="auto"/>
        <w:ind w:left="1450" w:right="930"/>
        <w:jc w:val="both"/>
      </w:pPr>
      <w:r>
        <w:rPr/>
        <w:t>A la fecha de emisión de los presentes Estados Financieros, los gastos por transferencias de corrientes ascienden ¢ 100.618.932,39, como se detalla a continuación:</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3968">
                <wp:simplePos x="0" y="0"/>
                <wp:positionH relativeFrom="page">
                  <wp:posOffset>9525</wp:posOffset>
                </wp:positionH>
                <wp:positionV relativeFrom="page">
                  <wp:posOffset>297208</wp:posOffset>
                </wp:positionV>
                <wp:extent cx="7762875" cy="9748520"/>
                <wp:effectExtent l="0" t="0" r="0" b="0"/>
                <wp:wrapNone/>
                <wp:docPr id="788" name="Group 788"/>
                <wp:cNvGraphicFramePr>
                  <a:graphicFrameLocks/>
                </wp:cNvGraphicFramePr>
                <a:graphic>
                  <a:graphicData uri="http://schemas.microsoft.com/office/word/2010/wordprocessingGroup">
                    <wpg:wgp>
                      <wpg:cNvPr id="788" name="Group 788"/>
                      <wpg:cNvGrpSpPr/>
                      <wpg:grpSpPr>
                        <a:xfrm>
                          <a:off x="0" y="0"/>
                          <a:ext cx="7762875" cy="9748520"/>
                          <a:chExt cx="7762875" cy="9748520"/>
                        </a:xfrm>
                      </wpg:grpSpPr>
                      <pic:pic>
                        <pic:nvPicPr>
                          <pic:cNvPr id="789" name="Image 789"/>
                          <pic:cNvPicPr/>
                        </pic:nvPicPr>
                        <pic:blipFill>
                          <a:blip r:embed="rId5" cstate="print"/>
                          <a:stretch>
                            <a:fillRect/>
                          </a:stretch>
                        </pic:blipFill>
                        <pic:spPr>
                          <a:xfrm>
                            <a:off x="0" y="0"/>
                            <a:ext cx="7762874" cy="9748489"/>
                          </a:xfrm>
                          <a:prstGeom prst="rect">
                            <a:avLst/>
                          </a:prstGeom>
                        </pic:spPr>
                      </pic:pic>
                      <wps:wsp>
                        <wps:cNvPr id="790" name="Graphic 79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791" name="Image 791"/>
                          <pic:cNvPicPr/>
                        </pic:nvPicPr>
                        <pic:blipFill>
                          <a:blip r:embed="rId95" cstate="print"/>
                          <a:stretch>
                            <a:fillRect/>
                          </a:stretch>
                        </pic:blipFill>
                        <pic:spPr>
                          <a:xfrm>
                            <a:off x="1601469" y="1123794"/>
                            <a:ext cx="4652009" cy="870584"/>
                          </a:xfrm>
                          <a:prstGeom prst="rect">
                            <a:avLst/>
                          </a:prstGeom>
                        </pic:spPr>
                      </pic:pic>
                      <pic:pic>
                        <pic:nvPicPr>
                          <pic:cNvPr id="792" name="Image 792"/>
                          <pic:cNvPicPr/>
                        </pic:nvPicPr>
                        <pic:blipFill>
                          <a:blip r:embed="rId96" cstate="print"/>
                          <a:stretch>
                            <a:fillRect/>
                          </a:stretch>
                        </pic:blipFill>
                        <pic:spPr>
                          <a:xfrm>
                            <a:off x="1820544" y="2865980"/>
                            <a:ext cx="4213859" cy="1440053"/>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2512" id="docshapegroup763" coordorigin="15,468" coordsize="12225,15352">
                <v:shape style="position:absolute;left:15;top:468;width:12225;height:15352" type="#_x0000_t75" id="docshape764" stroked="false">
                  <v:imagedata r:id="rId5" o:title=""/>
                </v:shape>
                <v:rect style="position:absolute;left:1673;top:2028;width:8897;height:15" id="docshape765" filled="true" fillcolor="#000000" stroked="false">
                  <v:fill type="solid"/>
                </v:rect>
                <v:shape style="position:absolute;left:2537;top:2237;width:7326;height:1371" type="#_x0000_t75" id="docshape766" stroked="false">
                  <v:imagedata r:id="rId95" o:title=""/>
                </v:shape>
                <v:shape style="position:absolute;left:2882;top:4981;width:6636;height:2268" type="#_x0000_t75" id="docshape767" stroked="false">
                  <v:imagedata r:id="rId96" o:title=""/>
                </v:shape>
                <w10:wrap type="none"/>
              </v:group>
            </w:pict>
          </mc:Fallback>
        </mc:AlternateContent>
      </w:r>
      <w:r>
        <w:rPr>
          <w:color w:val="172951"/>
          <w:sz w:val="20"/>
        </w:rPr>
        <w:t>Pág.</w:t>
      </w:r>
      <w:r>
        <w:rPr>
          <w:color w:val="172951"/>
          <w:spacing w:val="-7"/>
          <w:sz w:val="20"/>
        </w:rPr>
        <w:t> </w:t>
      </w:r>
      <w:r>
        <w:rPr>
          <w:color w:val="172951"/>
          <w:spacing w:val="-5"/>
          <w:sz w:val="20"/>
        </w:rPr>
        <w:t>157</w:t>
      </w:r>
    </w:p>
    <w:p>
      <w:pPr>
        <w:pStyle w:val="BodyText"/>
        <w:spacing w:before="10"/>
        <w:rPr>
          <w:sz w:val="16"/>
        </w:rPr>
      </w:pPr>
      <w:r>
        <w:rPr>
          <w:sz w:val="16"/>
        </w:rPr>
        <mc:AlternateContent>
          <mc:Choice Requires="wps">
            <w:drawing>
              <wp:anchor distT="0" distB="0" distL="0" distR="0" allowOverlap="1" layoutInCell="1" locked="0" behindDoc="1" simplePos="0" relativeHeight="487746560">
                <wp:simplePos x="0" y="0"/>
                <wp:positionH relativeFrom="page">
                  <wp:posOffset>1080820</wp:posOffset>
                </wp:positionH>
                <wp:positionV relativeFrom="paragraph">
                  <wp:posOffset>141144</wp:posOffset>
                </wp:positionV>
                <wp:extent cx="5715000" cy="3312160"/>
                <wp:effectExtent l="0" t="0" r="0" b="0"/>
                <wp:wrapTopAndBottom/>
                <wp:docPr id="793" name="Textbox 793"/>
                <wp:cNvGraphicFramePr>
                  <a:graphicFrameLocks/>
                </wp:cNvGraphicFramePr>
                <a:graphic>
                  <a:graphicData uri="http://schemas.microsoft.com/office/word/2010/wordprocessingShape">
                    <wps:wsp>
                      <wps:cNvPr id="793" name="Textbox 793"/>
                      <wps:cNvSpPr txBox="1"/>
                      <wps:spPr>
                        <a:xfrm>
                          <a:off x="0" y="0"/>
                          <a:ext cx="5715000" cy="3312160"/>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spacing w:before="53"/>
                            </w:pPr>
                          </w:p>
                          <w:p>
                            <w:pPr>
                              <w:pStyle w:val="BodyText"/>
                              <w:ind w:left="103"/>
                            </w:pPr>
                            <w:r>
                              <w:rPr/>
                              <w:t>A continuación, se detalla las transferencias giradas al sector privado producto de la ejecución de los programas sociales en cumplimiento de las metas y objetivos institucionales:</w:t>
                            </w:r>
                          </w:p>
                        </w:txbxContent>
                      </wps:txbx>
                      <wps:bodyPr wrap="square" lIns="0" tIns="0" rIns="0" bIns="0" rtlCol="0">
                        <a:noAutofit/>
                      </wps:bodyPr>
                    </wps:wsp>
                  </a:graphicData>
                </a:graphic>
              </wp:anchor>
            </w:drawing>
          </mc:Choice>
          <mc:Fallback>
            <w:pict>
              <v:shape style="position:absolute;margin-left:85.103996pt;margin-top:11.11375pt;width:450pt;height:260.8pt;mso-position-horizontal-relative:page;mso-position-vertical-relative:paragraph;z-index:-15569920;mso-wrap-distance-left:0;mso-wrap-distance-right:0" type="#_x0000_t202" id="docshape768"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spacing w:before="53"/>
                      </w:pPr>
                    </w:p>
                    <w:p>
                      <w:pPr>
                        <w:pStyle w:val="BodyText"/>
                        <w:ind w:left="103"/>
                      </w:pPr>
                      <w:r>
                        <w:rPr/>
                        <w:t>A continuación, se detalla las transferencias giradas al sector privado producto de la ejecución de los programas sociales en cumplimiento de las metas y objetivos institucionales:</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26" w:id="127"/>
      <w:bookmarkEnd w:id="127"/>
      <w:r>
        <w:rPr/>
      </w:r>
      <w:r>
        <w:rPr>
          <w:b/>
          <w:sz w:val="22"/>
        </w:rPr>
        <w:t>NOTA</w:t>
      </w:r>
      <w:r>
        <w:rPr>
          <w:b/>
          <w:spacing w:val="-1"/>
          <w:sz w:val="22"/>
        </w:rPr>
        <w:t> </w:t>
      </w:r>
      <w:r>
        <w:rPr>
          <w:b/>
          <w:sz w:val="22"/>
        </w:rPr>
        <w:t>N° </w:t>
      </w:r>
      <w:r>
        <w:rPr>
          <w:b/>
          <w:spacing w:val="-5"/>
          <w:sz w:val="22"/>
        </w:rPr>
        <w:t>73</w:t>
      </w:r>
    </w:p>
    <w:p>
      <w:pPr>
        <w:pStyle w:val="BodyText"/>
        <w:spacing w:before="115"/>
        <w:rPr>
          <w:b/>
        </w:rPr>
      </w:pPr>
    </w:p>
    <w:p>
      <w:pPr>
        <w:pStyle w:val="BodyText"/>
        <w:ind w:left="622"/>
      </w:pPr>
      <w:r>
        <w:rPr/>
        <w:t>Transferencias</w:t>
      </w:r>
      <w:r>
        <w:rPr>
          <w:spacing w:val="-4"/>
        </w:rPr>
        <w:t> </w:t>
      </w:r>
      <w:r>
        <w:rPr/>
        <w:t>de</w:t>
      </w:r>
      <w:r>
        <w:rPr>
          <w:spacing w:val="-5"/>
        </w:rPr>
        <w:t> </w:t>
      </w:r>
      <w:r>
        <w:rPr>
          <w:spacing w:val="-2"/>
        </w:rPr>
        <w:t>capital</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2"/>
        <w:gridCol w:w="3058"/>
        <w:gridCol w:w="573"/>
        <w:gridCol w:w="1558"/>
        <w:gridCol w:w="1481"/>
        <w:gridCol w:w="1198"/>
      </w:tblGrid>
      <w:tr>
        <w:trPr>
          <w:trHeight w:val="323" w:hRule="atLeast"/>
        </w:trPr>
        <w:tc>
          <w:tcPr>
            <w:tcW w:w="1322" w:type="dxa"/>
            <w:vMerge w:val="restart"/>
            <w:shd w:val="clear" w:color="auto" w:fill="365F92"/>
          </w:tcPr>
          <w:p>
            <w:pPr>
              <w:pStyle w:val="TableParagraph"/>
              <w:spacing w:before="117"/>
              <w:ind w:left="69"/>
              <w:rPr>
                <w:b/>
                <w:sz w:val="22"/>
              </w:rPr>
            </w:pPr>
            <w:r>
              <w:rPr>
                <w:b/>
                <w:color w:val="FFFFFF"/>
                <w:spacing w:val="-2"/>
                <w:sz w:val="22"/>
              </w:rPr>
              <w:t>Cuenta</w:t>
            </w:r>
          </w:p>
        </w:tc>
        <w:tc>
          <w:tcPr>
            <w:tcW w:w="3058" w:type="dxa"/>
            <w:vMerge w:val="restart"/>
            <w:shd w:val="clear" w:color="auto" w:fill="365F92"/>
          </w:tcPr>
          <w:p>
            <w:pPr>
              <w:pStyle w:val="TableParagraph"/>
              <w:spacing w:before="206"/>
              <w:ind w:left="998"/>
              <w:rPr>
                <w:b/>
                <w:sz w:val="22"/>
              </w:rPr>
            </w:pPr>
            <w:r>
              <w:rPr>
                <w:b/>
                <w:color w:val="FFFFFF"/>
                <w:spacing w:val="-2"/>
                <w:sz w:val="22"/>
              </w:rPr>
              <w:t>Descripción</w:t>
            </w:r>
          </w:p>
        </w:tc>
        <w:tc>
          <w:tcPr>
            <w:tcW w:w="573" w:type="dxa"/>
            <w:vMerge w:val="restart"/>
            <w:shd w:val="clear" w:color="auto" w:fill="365F92"/>
          </w:tcPr>
          <w:p>
            <w:pPr>
              <w:pStyle w:val="TableParagraph"/>
              <w:spacing w:before="206"/>
              <w:ind w:left="70"/>
              <w:rPr>
                <w:b/>
                <w:sz w:val="22"/>
              </w:rPr>
            </w:pPr>
            <w:r>
              <w:rPr>
                <w:b/>
                <w:color w:val="FFFFFF"/>
                <w:spacing w:val="-4"/>
                <w:sz w:val="22"/>
              </w:rPr>
              <w:t>Nota</w:t>
            </w:r>
          </w:p>
        </w:tc>
        <w:tc>
          <w:tcPr>
            <w:tcW w:w="1558" w:type="dxa"/>
            <w:vMerge w:val="restart"/>
            <w:shd w:val="clear" w:color="auto" w:fill="365F92"/>
          </w:tcPr>
          <w:p>
            <w:pPr>
              <w:pStyle w:val="TableParagraph"/>
              <w:spacing w:before="206"/>
              <w:ind w:left="145"/>
              <w:rPr>
                <w:b/>
                <w:sz w:val="22"/>
              </w:rPr>
            </w:pPr>
            <w:r>
              <w:rPr>
                <w:b/>
                <w:color w:val="FFFFFF"/>
                <w:sz w:val="22"/>
              </w:rPr>
              <w:t>Periodo</w:t>
            </w:r>
            <w:r>
              <w:rPr>
                <w:b/>
                <w:color w:val="FFFFFF"/>
                <w:spacing w:val="-4"/>
                <w:sz w:val="22"/>
              </w:rPr>
              <w:t> </w:t>
            </w:r>
            <w:r>
              <w:rPr>
                <w:b/>
                <w:color w:val="FFFFFF"/>
                <w:spacing w:val="-2"/>
                <w:sz w:val="22"/>
              </w:rPr>
              <w:t>Actual</w:t>
            </w:r>
          </w:p>
        </w:tc>
        <w:tc>
          <w:tcPr>
            <w:tcW w:w="1481" w:type="dxa"/>
            <w:vMerge w:val="restart"/>
            <w:shd w:val="clear" w:color="auto" w:fill="365F92"/>
          </w:tcPr>
          <w:p>
            <w:pPr>
              <w:pStyle w:val="TableParagraph"/>
              <w:spacing w:before="81"/>
              <w:ind w:left="366" w:firstLine="50"/>
              <w:rPr>
                <w:b/>
                <w:sz w:val="22"/>
              </w:rPr>
            </w:pPr>
            <w:r>
              <w:rPr>
                <w:b/>
                <w:color w:val="FFFFFF"/>
                <w:spacing w:val="-2"/>
                <w:sz w:val="22"/>
              </w:rPr>
              <w:t>Periodo Anterior</w:t>
            </w:r>
          </w:p>
        </w:tc>
        <w:tc>
          <w:tcPr>
            <w:tcW w:w="1198" w:type="dxa"/>
            <w:shd w:val="clear" w:color="auto" w:fill="365F92"/>
          </w:tcPr>
          <w:p>
            <w:pPr>
              <w:pStyle w:val="TableParagraph"/>
              <w:spacing w:before="36"/>
              <w:ind w:left="23" w:right="2"/>
              <w:jc w:val="center"/>
              <w:rPr>
                <w:b/>
                <w:sz w:val="22"/>
              </w:rPr>
            </w:pPr>
            <w:r>
              <w:rPr>
                <w:b/>
                <w:color w:val="FFFFFF"/>
                <w:spacing w:val="-2"/>
                <w:sz w:val="22"/>
              </w:rPr>
              <w:t>Diferencia</w:t>
            </w:r>
          </w:p>
        </w:tc>
      </w:tr>
      <w:tr>
        <w:trPr>
          <w:trHeight w:val="323" w:hRule="atLeast"/>
        </w:trPr>
        <w:tc>
          <w:tcPr>
            <w:tcW w:w="1322" w:type="dxa"/>
            <w:vMerge/>
            <w:tcBorders>
              <w:top w:val="nil"/>
            </w:tcBorders>
            <w:shd w:val="clear" w:color="auto" w:fill="365F92"/>
          </w:tcPr>
          <w:p>
            <w:pPr>
              <w:rPr>
                <w:sz w:val="2"/>
                <w:szCs w:val="2"/>
              </w:rPr>
            </w:pPr>
          </w:p>
        </w:tc>
        <w:tc>
          <w:tcPr>
            <w:tcW w:w="3058" w:type="dxa"/>
            <w:vMerge/>
            <w:tcBorders>
              <w:top w:val="nil"/>
            </w:tcBorders>
            <w:shd w:val="clear" w:color="auto" w:fill="365F92"/>
          </w:tcPr>
          <w:p>
            <w:pPr>
              <w:rPr>
                <w:sz w:val="2"/>
                <w:szCs w:val="2"/>
              </w:rPr>
            </w:pPr>
          </w:p>
        </w:tc>
        <w:tc>
          <w:tcPr>
            <w:tcW w:w="573" w:type="dxa"/>
            <w:vMerge/>
            <w:tcBorders>
              <w:top w:val="nil"/>
            </w:tcBorders>
            <w:shd w:val="clear" w:color="auto" w:fill="365F92"/>
          </w:tcPr>
          <w:p>
            <w:pPr>
              <w:rPr>
                <w:sz w:val="2"/>
                <w:szCs w:val="2"/>
              </w:rPr>
            </w:pPr>
          </w:p>
        </w:tc>
        <w:tc>
          <w:tcPr>
            <w:tcW w:w="1558" w:type="dxa"/>
            <w:vMerge/>
            <w:tcBorders>
              <w:top w:val="nil"/>
            </w:tcBorders>
            <w:shd w:val="clear" w:color="auto" w:fill="365F92"/>
          </w:tcPr>
          <w:p>
            <w:pPr>
              <w:rPr>
                <w:sz w:val="2"/>
                <w:szCs w:val="2"/>
              </w:rPr>
            </w:pPr>
          </w:p>
        </w:tc>
        <w:tc>
          <w:tcPr>
            <w:tcW w:w="1481"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3"/>
              <w:jc w:val="center"/>
              <w:rPr>
                <w:sz w:val="22"/>
              </w:rPr>
            </w:pPr>
            <w:r>
              <w:rPr>
                <w:color w:val="FFFFFF"/>
                <w:spacing w:val="-10"/>
                <w:sz w:val="22"/>
              </w:rPr>
              <w:t>%</w:t>
            </w:r>
          </w:p>
        </w:tc>
      </w:tr>
      <w:tr>
        <w:trPr>
          <w:trHeight w:val="325" w:hRule="atLeast"/>
        </w:trPr>
        <w:tc>
          <w:tcPr>
            <w:tcW w:w="1322" w:type="dxa"/>
          </w:tcPr>
          <w:p>
            <w:pPr>
              <w:pStyle w:val="TableParagraph"/>
              <w:spacing w:before="46"/>
              <w:ind w:left="69"/>
              <w:rPr>
                <w:b/>
                <w:sz w:val="20"/>
              </w:rPr>
            </w:pPr>
            <w:r>
              <w:rPr>
                <w:b/>
                <w:spacing w:val="-2"/>
                <w:sz w:val="20"/>
              </w:rPr>
              <w:t>5.4.2.</w:t>
            </w:r>
          </w:p>
        </w:tc>
        <w:tc>
          <w:tcPr>
            <w:tcW w:w="3058" w:type="dxa"/>
          </w:tcPr>
          <w:p>
            <w:pPr>
              <w:pStyle w:val="TableParagraph"/>
              <w:spacing w:before="46"/>
              <w:ind w:left="69"/>
              <w:rPr>
                <w:b/>
                <w:sz w:val="20"/>
              </w:rPr>
            </w:pPr>
            <w:r>
              <w:rPr>
                <w:b/>
                <w:sz w:val="20"/>
              </w:rPr>
              <w:t>Transferencias</w:t>
            </w:r>
            <w:r>
              <w:rPr>
                <w:b/>
                <w:spacing w:val="-6"/>
                <w:sz w:val="20"/>
              </w:rPr>
              <w:t> </w:t>
            </w:r>
            <w:r>
              <w:rPr>
                <w:b/>
                <w:sz w:val="20"/>
              </w:rPr>
              <w:t>de</w:t>
            </w:r>
            <w:r>
              <w:rPr>
                <w:b/>
                <w:spacing w:val="-6"/>
                <w:sz w:val="20"/>
              </w:rPr>
              <w:t> </w:t>
            </w:r>
            <w:r>
              <w:rPr>
                <w:b/>
                <w:spacing w:val="-2"/>
                <w:sz w:val="20"/>
              </w:rPr>
              <w:t>capital</w:t>
            </w:r>
          </w:p>
        </w:tc>
        <w:tc>
          <w:tcPr>
            <w:tcW w:w="573" w:type="dxa"/>
          </w:tcPr>
          <w:p>
            <w:pPr>
              <w:pStyle w:val="TableParagraph"/>
              <w:spacing w:before="46"/>
              <w:ind w:left="187"/>
              <w:rPr>
                <w:b/>
                <w:sz w:val="20"/>
              </w:rPr>
            </w:pPr>
            <w:r>
              <w:rPr>
                <w:b/>
                <w:spacing w:val="-5"/>
                <w:sz w:val="20"/>
              </w:rPr>
              <w:t>73</w:t>
            </w:r>
          </w:p>
        </w:tc>
        <w:tc>
          <w:tcPr>
            <w:tcW w:w="1558" w:type="dxa"/>
          </w:tcPr>
          <w:p>
            <w:pPr>
              <w:pStyle w:val="TableParagraph"/>
              <w:spacing w:before="46"/>
              <w:ind w:left="260"/>
              <w:rPr>
                <w:b/>
                <w:sz w:val="20"/>
              </w:rPr>
            </w:pPr>
            <w:r>
              <w:rPr>
                <w:b/>
                <w:sz w:val="20"/>
              </w:rPr>
              <w:t>1</w:t>
            </w:r>
            <w:r>
              <w:rPr>
                <w:b/>
                <w:spacing w:val="-2"/>
                <w:sz w:val="20"/>
              </w:rPr>
              <w:t> </w:t>
            </w:r>
            <w:r>
              <w:rPr>
                <w:b/>
                <w:sz w:val="20"/>
              </w:rPr>
              <w:t>055</w:t>
            </w:r>
            <w:r>
              <w:rPr>
                <w:b/>
                <w:spacing w:val="-2"/>
                <w:sz w:val="20"/>
              </w:rPr>
              <w:t> 532,55</w:t>
            </w:r>
          </w:p>
        </w:tc>
        <w:tc>
          <w:tcPr>
            <w:tcW w:w="1481" w:type="dxa"/>
          </w:tcPr>
          <w:p>
            <w:pPr>
              <w:pStyle w:val="TableParagraph"/>
              <w:spacing w:before="46"/>
              <w:ind w:left="296"/>
              <w:rPr>
                <w:b/>
                <w:sz w:val="20"/>
              </w:rPr>
            </w:pPr>
            <w:r>
              <w:rPr>
                <w:b/>
                <w:sz w:val="20"/>
              </w:rPr>
              <w:t>227</w:t>
            </w:r>
            <w:r>
              <w:rPr>
                <w:b/>
                <w:spacing w:val="-3"/>
                <w:sz w:val="20"/>
              </w:rPr>
              <w:t> </w:t>
            </w:r>
            <w:r>
              <w:rPr>
                <w:b/>
                <w:spacing w:val="-2"/>
                <w:sz w:val="20"/>
              </w:rPr>
              <w:t>646,82</w:t>
            </w:r>
          </w:p>
        </w:tc>
        <w:tc>
          <w:tcPr>
            <w:tcW w:w="1198" w:type="dxa"/>
          </w:tcPr>
          <w:p>
            <w:pPr>
              <w:pStyle w:val="TableParagraph"/>
              <w:spacing w:before="46"/>
              <w:ind w:left="23"/>
              <w:jc w:val="center"/>
              <w:rPr>
                <w:b/>
                <w:sz w:val="20"/>
              </w:rPr>
            </w:pPr>
            <w:r>
              <w:rPr>
                <w:b/>
                <w:spacing w:val="-2"/>
                <w:sz w:val="20"/>
              </w:rPr>
              <w:t>363,67%</w:t>
            </w:r>
          </w:p>
        </w:tc>
      </w:tr>
    </w:tbl>
    <w:p>
      <w:pPr>
        <w:pStyle w:val="Heading6"/>
        <w:spacing w:before="240"/>
        <w:ind w:left="677"/>
      </w:pPr>
      <w:r>
        <w:rPr>
          <w:spacing w:val="-2"/>
        </w:rPr>
        <w:t>Revelación:</w:t>
      </w:r>
    </w:p>
    <w:p>
      <w:pPr>
        <w:pStyle w:val="BodyText"/>
        <w:spacing w:before="179"/>
        <w:ind w:left="622" w:right="974"/>
        <w:jc w:val="both"/>
      </w:pPr>
      <w:r>
        <w:rPr/>
        <w:t>La</w:t>
      </w:r>
      <w:r>
        <w:rPr>
          <w:spacing w:val="-13"/>
        </w:rPr>
        <w:t> </w:t>
      </w:r>
      <w:r>
        <w:rPr/>
        <w:t>cuenta</w:t>
      </w:r>
      <w:r>
        <w:rPr>
          <w:spacing w:val="-12"/>
        </w:rPr>
        <w:t> </w:t>
      </w:r>
      <w:r>
        <w:rPr/>
        <w:t>Transferencias</w:t>
      </w:r>
      <w:r>
        <w:rPr>
          <w:spacing w:val="-10"/>
        </w:rPr>
        <w:t> </w:t>
      </w:r>
      <w:r>
        <w:rPr/>
        <w:t>de</w:t>
      </w:r>
      <w:r>
        <w:rPr>
          <w:spacing w:val="-13"/>
        </w:rPr>
        <w:t> </w:t>
      </w:r>
      <w:r>
        <w:rPr/>
        <w:t>capital</w:t>
      </w:r>
      <w:r>
        <w:rPr>
          <w:spacing w:val="-13"/>
        </w:rPr>
        <w:t> </w:t>
      </w:r>
      <w:r>
        <w:rPr/>
        <w:t>representa</w:t>
      </w:r>
      <w:r>
        <w:rPr>
          <w:spacing w:val="-13"/>
        </w:rPr>
        <w:t> </w:t>
      </w:r>
      <w:r>
        <w:rPr/>
        <w:t>el</w:t>
      </w:r>
      <w:r>
        <w:rPr>
          <w:spacing w:val="-11"/>
        </w:rPr>
        <w:t> </w:t>
      </w:r>
      <w:r>
        <w:rPr/>
        <w:t>0,81%</w:t>
      </w:r>
      <w:r>
        <w:rPr>
          <w:spacing w:val="-12"/>
        </w:rPr>
        <w:t> </w:t>
      </w:r>
      <w:r>
        <w:rPr/>
        <w:t>del</w:t>
      </w:r>
      <w:r>
        <w:rPr>
          <w:spacing w:val="-12"/>
        </w:rPr>
        <w:t> </w:t>
      </w:r>
      <w:r>
        <w:rPr/>
        <w:t>total</w:t>
      </w:r>
      <w:r>
        <w:rPr>
          <w:spacing w:val="-13"/>
        </w:rPr>
        <w:t> </w:t>
      </w:r>
      <w:r>
        <w:rPr/>
        <w:t>del</w:t>
      </w:r>
      <w:r>
        <w:rPr>
          <w:spacing w:val="-12"/>
        </w:rPr>
        <w:t> </w:t>
      </w:r>
      <w:r>
        <w:rPr/>
        <w:t>Gastos,</w:t>
      </w:r>
      <w:r>
        <w:rPr>
          <w:spacing w:val="-13"/>
        </w:rPr>
        <w:t> </w:t>
      </w:r>
      <w:r>
        <w:rPr/>
        <w:t>que</w:t>
      </w:r>
      <w:r>
        <w:rPr>
          <w:spacing w:val="-11"/>
        </w:rPr>
        <w:t> </w:t>
      </w:r>
      <w:r>
        <w:rPr/>
        <w:t>comparado</w:t>
      </w:r>
      <w:r>
        <w:rPr>
          <w:spacing w:val="-11"/>
        </w:rPr>
        <w:t> </w:t>
      </w:r>
      <w:r>
        <w:rPr/>
        <w:t>al</w:t>
      </w:r>
      <w:r>
        <w:rPr>
          <w:spacing w:val="-12"/>
        </w:rPr>
        <w:t> </w:t>
      </w:r>
      <w:r>
        <w:rPr/>
        <w:t>periodo anterior</w:t>
      </w:r>
      <w:r>
        <w:rPr>
          <w:spacing w:val="-7"/>
        </w:rPr>
        <w:t> </w:t>
      </w:r>
      <w:r>
        <w:rPr/>
        <w:t>genera</w:t>
      </w:r>
      <w:r>
        <w:rPr>
          <w:spacing w:val="-8"/>
        </w:rPr>
        <w:t> </w:t>
      </w:r>
      <w:r>
        <w:rPr/>
        <w:t>una</w:t>
      </w:r>
      <w:r>
        <w:rPr>
          <w:spacing w:val="-8"/>
        </w:rPr>
        <w:t> </w:t>
      </w:r>
      <w:r>
        <w:rPr/>
        <w:t>variación</w:t>
      </w:r>
      <w:r>
        <w:rPr>
          <w:spacing w:val="-7"/>
        </w:rPr>
        <w:t> </w:t>
      </w:r>
      <w:r>
        <w:rPr/>
        <w:t>absoluta</w:t>
      </w:r>
      <w:r>
        <w:rPr>
          <w:spacing w:val="-7"/>
        </w:rPr>
        <w:t> </w:t>
      </w:r>
      <w:r>
        <w:rPr/>
        <w:t>de</w:t>
      </w:r>
      <w:r>
        <w:rPr>
          <w:spacing w:val="-6"/>
        </w:rPr>
        <w:t> </w:t>
      </w:r>
      <w:r>
        <w:rPr/>
        <w:t>¢</w:t>
      </w:r>
      <w:r>
        <w:rPr>
          <w:spacing w:val="-6"/>
        </w:rPr>
        <w:t> </w:t>
      </w:r>
      <w:r>
        <w:rPr/>
        <w:t>827.885,73</w:t>
      </w:r>
      <w:r>
        <w:rPr>
          <w:spacing w:val="-7"/>
        </w:rPr>
        <w:t> </w:t>
      </w:r>
      <w:r>
        <w:rPr/>
        <w:t>que</w:t>
      </w:r>
      <w:r>
        <w:rPr>
          <w:spacing w:val="-6"/>
        </w:rPr>
        <w:t> </w:t>
      </w:r>
      <w:r>
        <w:rPr/>
        <w:t>corresponde</w:t>
      </w:r>
      <w:r>
        <w:rPr>
          <w:spacing w:val="-6"/>
        </w:rPr>
        <w:t> </w:t>
      </w:r>
      <w:r>
        <w:rPr/>
        <w:t>a</w:t>
      </w:r>
      <w:r>
        <w:rPr>
          <w:spacing w:val="-8"/>
        </w:rPr>
        <w:t> </w:t>
      </w:r>
      <w:r>
        <w:rPr/>
        <w:t>un</w:t>
      </w:r>
      <w:r>
        <w:rPr>
          <w:spacing w:val="-5"/>
        </w:rPr>
        <w:t> </w:t>
      </w:r>
      <w:r>
        <w:rPr/>
        <w:t>incremento</w:t>
      </w:r>
      <w:r>
        <w:rPr>
          <w:spacing w:val="-5"/>
        </w:rPr>
        <w:t> </w:t>
      </w:r>
      <w:r>
        <w:rPr/>
        <w:t>del</w:t>
      </w:r>
      <w:r>
        <w:rPr>
          <w:spacing w:val="-8"/>
        </w:rPr>
        <w:t> </w:t>
      </w:r>
      <w:r>
        <w:rPr/>
        <w:t>363,67% de recursos disponibles.</w:t>
      </w:r>
    </w:p>
    <w:p>
      <w:pPr>
        <w:pStyle w:val="Heading6"/>
        <w:spacing w:before="241"/>
        <w:ind w:left="622"/>
      </w:pPr>
      <w:r>
        <w:rPr>
          <w:spacing w:val="-2"/>
        </w:rPr>
        <w:t>Detalle:</w:t>
      </w:r>
    </w:p>
    <w:p>
      <w:pPr>
        <w:pStyle w:val="BodyText"/>
        <w:spacing w:before="10"/>
        <w:rPr>
          <w:b/>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40"/>
      </w:tblGrid>
      <w:tr>
        <w:trPr>
          <w:trHeight w:val="287" w:hRule="atLeast"/>
        </w:trPr>
        <w:tc>
          <w:tcPr>
            <w:tcW w:w="1241" w:type="dxa"/>
            <w:tcBorders>
              <w:bottom w:val="nil"/>
            </w:tcBorders>
            <w:shd w:val="clear" w:color="auto" w:fill="365F92"/>
          </w:tcPr>
          <w:p>
            <w:pPr>
              <w:pStyle w:val="TableParagraph"/>
              <w:spacing w:before="27"/>
              <w:ind w:left="69"/>
              <w:rPr>
                <w:b/>
                <w:sz w:val="20"/>
              </w:rPr>
            </w:pPr>
            <w:r>
              <w:rPr>
                <w:b/>
                <w:color w:val="FFFFFF"/>
                <w:spacing w:val="-2"/>
                <w:sz w:val="20"/>
              </w:rPr>
              <w:t>Cuenta</w:t>
            </w:r>
          </w:p>
        </w:tc>
        <w:tc>
          <w:tcPr>
            <w:tcW w:w="3140" w:type="dxa"/>
            <w:tcBorders>
              <w:bottom w:val="nil"/>
            </w:tcBorders>
            <w:shd w:val="clear" w:color="auto" w:fill="365F92"/>
          </w:tcPr>
          <w:p>
            <w:pPr>
              <w:pStyle w:val="TableParagraph"/>
              <w:spacing w:before="27"/>
              <w:ind w:left="16"/>
              <w:jc w:val="center"/>
              <w:rPr>
                <w:b/>
                <w:sz w:val="20"/>
              </w:rPr>
            </w:pPr>
            <w:r>
              <w:rPr>
                <w:b/>
                <w:color w:val="FFFFFF"/>
                <w:spacing w:val="-2"/>
                <w:sz w:val="20"/>
              </w:rPr>
              <w:t>Descripción</w:t>
            </w:r>
          </w:p>
        </w:tc>
      </w:tr>
      <w:tr>
        <w:trPr>
          <w:trHeight w:val="539" w:hRule="atLeast"/>
        </w:trPr>
        <w:tc>
          <w:tcPr>
            <w:tcW w:w="1241" w:type="dxa"/>
            <w:tcBorders>
              <w:top w:val="nil"/>
            </w:tcBorders>
          </w:tcPr>
          <w:p>
            <w:pPr>
              <w:pStyle w:val="TableParagraph"/>
              <w:spacing w:before="155"/>
              <w:ind w:left="69"/>
              <w:rPr>
                <w:b/>
                <w:sz w:val="20"/>
              </w:rPr>
            </w:pPr>
            <w:r>
              <w:rPr>
                <w:b/>
                <w:spacing w:val="-2"/>
                <w:sz w:val="20"/>
              </w:rPr>
              <w:t>5.4.2.02.</w:t>
            </w:r>
          </w:p>
        </w:tc>
        <w:tc>
          <w:tcPr>
            <w:tcW w:w="3140" w:type="dxa"/>
            <w:tcBorders>
              <w:top w:val="nil"/>
            </w:tcBorders>
          </w:tcPr>
          <w:p>
            <w:pPr>
              <w:pStyle w:val="TableParagraph"/>
              <w:spacing w:before="39"/>
              <w:ind w:left="68"/>
              <w:rPr>
                <w:b/>
                <w:sz w:val="20"/>
              </w:rPr>
            </w:pPr>
            <w:r>
              <w:rPr>
                <w:b/>
                <w:sz w:val="20"/>
              </w:rPr>
              <w:t>Transferencias</w:t>
            </w:r>
            <w:r>
              <w:rPr>
                <w:b/>
                <w:spacing w:val="-10"/>
                <w:sz w:val="20"/>
              </w:rPr>
              <w:t> </w:t>
            </w:r>
            <w:r>
              <w:rPr>
                <w:b/>
                <w:sz w:val="20"/>
              </w:rPr>
              <w:t>de</w:t>
            </w:r>
            <w:r>
              <w:rPr>
                <w:b/>
                <w:spacing w:val="-10"/>
                <w:sz w:val="20"/>
              </w:rPr>
              <w:t> </w:t>
            </w:r>
            <w:r>
              <w:rPr>
                <w:b/>
                <w:sz w:val="20"/>
              </w:rPr>
              <w:t>capital</w:t>
            </w:r>
            <w:r>
              <w:rPr>
                <w:b/>
                <w:spacing w:val="-10"/>
                <w:sz w:val="20"/>
              </w:rPr>
              <w:t> </w:t>
            </w:r>
            <w:r>
              <w:rPr>
                <w:b/>
                <w:sz w:val="20"/>
              </w:rPr>
              <w:t>al</w:t>
            </w:r>
            <w:r>
              <w:rPr>
                <w:b/>
                <w:spacing w:val="-8"/>
                <w:sz w:val="20"/>
              </w:rPr>
              <w:t> </w:t>
            </w:r>
            <w:r>
              <w:rPr>
                <w:b/>
                <w:sz w:val="20"/>
              </w:rPr>
              <w:t>sector público interno</w:t>
            </w:r>
          </w:p>
        </w:tc>
      </w:tr>
    </w:tbl>
    <w:p>
      <w:pPr>
        <w:pStyle w:val="TableParagraph"/>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4992">
                <wp:simplePos x="0" y="0"/>
                <wp:positionH relativeFrom="page">
                  <wp:posOffset>9525</wp:posOffset>
                </wp:positionH>
                <wp:positionV relativeFrom="page">
                  <wp:posOffset>297208</wp:posOffset>
                </wp:positionV>
                <wp:extent cx="7762875" cy="9748520"/>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7762875" cy="9748520"/>
                          <a:chExt cx="7762875" cy="9748520"/>
                        </a:xfrm>
                      </wpg:grpSpPr>
                      <pic:pic>
                        <pic:nvPicPr>
                          <pic:cNvPr id="795" name="Image 795"/>
                          <pic:cNvPicPr/>
                        </pic:nvPicPr>
                        <pic:blipFill>
                          <a:blip r:embed="rId5" cstate="print"/>
                          <a:stretch>
                            <a:fillRect/>
                          </a:stretch>
                        </pic:blipFill>
                        <pic:spPr>
                          <a:xfrm>
                            <a:off x="0" y="0"/>
                            <a:ext cx="7762874" cy="9748489"/>
                          </a:xfrm>
                          <a:prstGeom prst="rect">
                            <a:avLst/>
                          </a:prstGeom>
                        </pic:spPr>
                      </pic:pic>
                      <wps:wsp>
                        <wps:cNvPr id="796" name="Graphic 79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797" name="Image 797"/>
                          <pic:cNvPicPr/>
                        </pic:nvPicPr>
                        <pic:blipFill>
                          <a:blip r:embed="rId97" cstate="print"/>
                          <a:stretch>
                            <a:fillRect/>
                          </a:stretch>
                        </pic:blipFill>
                        <pic:spPr>
                          <a:xfrm>
                            <a:off x="1070609" y="4657823"/>
                            <a:ext cx="5612129" cy="875030"/>
                          </a:xfrm>
                          <a:prstGeom prst="rect">
                            <a:avLst/>
                          </a:prstGeom>
                        </pic:spPr>
                      </pic:pic>
                      <pic:pic>
                        <pic:nvPicPr>
                          <pic:cNvPr id="798" name="Image 798"/>
                          <pic:cNvPicPr/>
                        </pic:nvPicPr>
                        <pic:blipFill>
                          <a:blip r:embed="rId98" cstate="print"/>
                          <a:stretch>
                            <a:fillRect/>
                          </a:stretch>
                        </pic:blipFill>
                        <pic:spPr>
                          <a:xfrm>
                            <a:off x="1752599" y="6195412"/>
                            <a:ext cx="4248150" cy="135254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1488" id="docshapegroup769" coordorigin="15,468" coordsize="12225,15352">
                <v:shape style="position:absolute;left:15;top:468;width:12225;height:15352" type="#_x0000_t75" id="docshape770" stroked="false">
                  <v:imagedata r:id="rId5" o:title=""/>
                </v:shape>
                <v:rect style="position:absolute;left:1673;top:2028;width:8897;height:15" id="docshape771" filled="true" fillcolor="#000000" stroked="false">
                  <v:fill type="solid"/>
                </v:rect>
                <v:shape style="position:absolute;left:1701;top:7803;width:8838;height:1378" type="#_x0000_t75" id="docshape772" stroked="false">
                  <v:imagedata r:id="rId97" o:title=""/>
                </v:shape>
                <v:shape style="position:absolute;left:2775;top:10224;width:6690;height:2130" type="#_x0000_t75" id="docshape773" stroked="false">
                  <v:imagedata r:id="rId98" o:title=""/>
                </v:shape>
                <w10:wrap type="none"/>
              </v:group>
            </w:pict>
          </mc:Fallback>
        </mc:AlternateContent>
      </w:r>
      <w:r>
        <w:rPr>
          <w:color w:val="172951"/>
          <w:sz w:val="20"/>
        </w:rPr>
        <w:t>Pág.</w:t>
      </w:r>
      <w:r>
        <w:rPr>
          <w:color w:val="172951"/>
          <w:spacing w:val="-7"/>
          <w:sz w:val="20"/>
        </w:rPr>
        <w:t> </w:t>
      </w:r>
      <w:r>
        <w:rPr>
          <w:color w:val="172951"/>
          <w:spacing w:val="-5"/>
          <w:sz w:val="20"/>
        </w:rPr>
        <w:t>158</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7"/>
        <w:gridCol w:w="3118"/>
        <w:gridCol w:w="568"/>
        <w:gridCol w:w="1557"/>
        <w:gridCol w:w="1444"/>
        <w:gridCol w:w="1195"/>
      </w:tblGrid>
      <w:tr>
        <w:trPr>
          <w:trHeight w:val="282" w:hRule="atLeast"/>
        </w:trPr>
        <w:tc>
          <w:tcPr>
            <w:tcW w:w="1267" w:type="dxa"/>
            <w:vMerge w:val="restart"/>
            <w:shd w:val="clear" w:color="auto" w:fill="365F92"/>
          </w:tcPr>
          <w:p>
            <w:pPr>
              <w:pStyle w:val="TableParagraph"/>
              <w:spacing w:before="89"/>
              <w:ind w:left="69"/>
              <w:rPr>
                <w:b/>
                <w:sz w:val="20"/>
              </w:rPr>
            </w:pPr>
            <w:r>
              <w:rPr>
                <w:b/>
                <w:color w:val="FFFFFF"/>
                <w:spacing w:val="-2"/>
                <w:sz w:val="20"/>
              </w:rPr>
              <w:t>Cuenta</w:t>
            </w:r>
          </w:p>
        </w:tc>
        <w:tc>
          <w:tcPr>
            <w:tcW w:w="3118" w:type="dxa"/>
            <w:vMerge w:val="restart"/>
            <w:shd w:val="clear" w:color="auto" w:fill="365F92"/>
          </w:tcPr>
          <w:p>
            <w:pPr>
              <w:pStyle w:val="TableParagraph"/>
              <w:spacing w:before="178"/>
              <w:ind w:left="19"/>
              <w:jc w:val="center"/>
              <w:rPr>
                <w:b/>
                <w:sz w:val="20"/>
              </w:rPr>
            </w:pPr>
            <w:r>
              <w:rPr>
                <w:b/>
                <w:color w:val="FFFFFF"/>
                <w:spacing w:val="-2"/>
                <w:sz w:val="20"/>
              </w:rPr>
              <w:t>Descripción</w:t>
            </w:r>
          </w:p>
        </w:tc>
        <w:tc>
          <w:tcPr>
            <w:tcW w:w="568" w:type="dxa"/>
            <w:vMerge w:val="restart"/>
            <w:shd w:val="clear" w:color="auto" w:fill="365F92"/>
          </w:tcPr>
          <w:p>
            <w:pPr>
              <w:pStyle w:val="TableParagraph"/>
              <w:spacing w:before="178"/>
              <w:ind w:left="86"/>
              <w:rPr>
                <w:b/>
                <w:sz w:val="20"/>
              </w:rPr>
            </w:pPr>
            <w:r>
              <w:rPr>
                <w:b/>
                <w:color w:val="FFFFFF"/>
                <w:spacing w:val="-4"/>
                <w:sz w:val="20"/>
              </w:rPr>
              <w:t>Nota</w:t>
            </w:r>
          </w:p>
        </w:tc>
        <w:tc>
          <w:tcPr>
            <w:tcW w:w="1557" w:type="dxa"/>
            <w:vMerge w:val="restart"/>
            <w:shd w:val="clear" w:color="auto" w:fill="365F92"/>
          </w:tcPr>
          <w:p>
            <w:pPr>
              <w:pStyle w:val="TableParagraph"/>
              <w:spacing w:before="178"/>
              <w:ind w:left="202"/>
              <w:rPr>
                <w:b/>
                <w:sz w:val="20"/>
              </w:rPr>
            </w:pPr>
            <w:r>
              <w:rPr>
                <w:b/>
                <w:color w:val="FFFFFF"/>
                <w:sz w:val="20"/>
              </w:rPr>
              <w:t>Periodo</w:t>
            </w:r>
            <w:r>
              <w:rPr>
                <w:b/>
                <w:color w:val="FFFFFF"/>
                <w:spacing w:val="-5"/>
                <w:sz w:val="20"/>
              </w:rPr>
              <w:t> </w:t>
            </w:r>
            <w:r>
              <w:rPr>
                <w:b/>
                <w:color w:val="FFFFFF"/>
                <w:spacing w:val="-2"/>
                <w:sz w:val="20"/>
              </w:rPr>
              <w:t>Actual</w:t>
            </w:r>
          </w:p>
        </w:tc>
        <w:tc>
          <w:tcPr>
            <w:tcW w:w="1444" w:type="dxa"/>
            <w:vMerge w:val="restart"/>
            <w:shd w:val="clear" w:color="auto" w:fill="365F92"/>
          </w:tcPr>
          <w:p>
            <w:pPr>
              <w:pStyle w:val="TableParagraph"/>
              <w:spacing w:before="63"/>
              <w:ind w:left="386" w:right="354" w:firstLine="45"/>
              <w:rPr>
                <w:b/>
                <w:sz w:val="20"/>
              </w:rPr>
            </w:pPr>
            <w:r>
              <w:rPr>
                <w:b/>
                <w:color w:val="FFFFFF"/>
                <w:spacing w:val="-2"/>
                <w:sz w:val="20"/>
              </w:rPr>
              <w:t>Periodo Anterior</w:t>
            </w:r>
          </w:p>
        </w:tc>
        <w:tc>
          <w:tcPr>
            <w:tcW w:w="1195" w:type="dxa"/>
            <w:shd w:val="clear" w:color="auto" w:fill="365F92"/>
          </w:tcPr>
          <w:p>
            <w:pPr>
              <w:pStyle w:val="TableParagraph"/>
              <w:spacing w:before="27"/>
              <w:ind w:left="25" w:right="4"/>
              <w:jc w:val="center"/>
              <w:rPr>
                <w:b/>
                <w:sz w:val="20"/>
              </w:rPr>
            </w:pPr>
            <w:r>
              <w:rPr>
                <w:b/>
                <w:color w:val="FFFFFF"/>
                <w:spacing w:val="-2"/>
                <w:sz w:val="20"/>
              </w:rPr>
              <w:t>Diferencia</w:t>
            </w:r>
          </w:p>
        </w:tc>
      </w:tr>
      <w:tr>
        <w:trPr>
          <w:trHeight w:val="282" w:hRule="atLeast"/>
        </w:trPr>
        <w:tc>
          <w:tcPr>
            <w:tcW w:w="1267" w:type="dxa"/>
            <w:vMerge/>
            <w:tcBorders>
              <w:top w:val="nil"/>
            </w:tcBorders>
            <w:shd w:val="clear" w:color="auto" w:fill="365F92"/>
          </w:tcPr>
          <w:p>
            <w:pPr>
              <w:rPr>
                <w:sz w:val="2"/>
                <w:szCs w:val="2"/>
              </w:rPr>
            </w:pPr>
          </w:p>
        </w:tc>
        <w:tc>
          <w:tcPr>
            <w:tcW w:w="3118" w:type="dxa"/>
            <w:vMerge/>
            <w:tcBorders>
              <w:top w:val="nil"/>
            </w:tcBorders>
            <w:shd w:val="clear" w:color="auto" w:fill="365F92"/>
          </w:tcPr>
          <w:p>
            <w:pPr>
              <w:rPr>
                <w:sz w:val="2"/>
                <w:szCs w:val="2"/>
              </w:rPr>
            </w:pPr>
          </w:p>
        </w:tc>
        <w:tc>
          <w:tcPr>
            <w:tcW w:w="568" w:type="dxa"/>
            <w:vMerge/>
            <w:tcBorders>
              <w:top w:val="nil"/>
            </w:tcBorders>
            <w:shd w:val="clear" w:color="auto" w:fill="365F92"/>
          </w:tcPr>
          <w:p>
            <w:pPr>
              <w:rPr>
                <w:sz w:val="2"/>
                <w:szCs w:val="2"/>
              </w:rPr>
            </w:pPr>
          </w:p>
        </w:tc>
        <w:tc>
          <w:tcPr>
            <w:tcW w:w="1557" w:type="dxa"/>
            <w:vMerge/>
            <w:tcBorders>
              <w:top w:val="nil"/>
            </w:tcBorders>
            <w:shd w:val="clear" w:color="auto" w:fill="365F92"/>
          </w:tcPr>
          <w:p>
            <w:pPr>
              <w:rPr>
                <w:sz w:val="2"/>
                <w:szCs w:val="2"/>
              </w:rPr>
            </w:pPr>
          </w:p>
        </w:tc>
        <w:tc>
          <w:tcPr>
            <w:tcW w:w="1444" w:type="dxa"/>
            <w:vMerge/>
            <w:tcBorders>
              <w:top w:val="nil"/>
            </w:tcBorders>
            <w:shd w:val="clear" w:color="auto" w:fill="365F92"/>
          </w:tcPr>
          <w:p>
            <w:pPr>
              <w:rPr>
                <w:sz w:val="2"/>
                <w:szCs w:val="2"/>
              </w:rPr>
            </w:pPr>
          </w:p>
        </w:tc>
        <w:tc>
          <w:tcPr>
            <w:tcW w:w="1195" w:type="dxa"/>
            <w:shd w:val="clear" w:color="auto" w:fill="365F92"/>
          </w:tcPr>
          <w:p>
            <w:pPr>
              <w:pStyle w:val="TableParagraph"/>
              <w:spacing w:before="27"/>
              <w:ind w:left="25" w:right="5"/>
              <w:jc w:val="center"/>
              <w:rPr>
                <w:sz w:val="20"/>
              </w:rPr>
            </w:pPr>
            <w:r>
              <w:rPr>
                <w:color w:val="FFFFFF"/>
                <w:spacing w:val="-10"/>
                <w:sz w:val="20"/>
              </w:rPr>
              <w:t>%</w:t>
            </w:r>
          </w:p>
        </w:tc>
      </w:tr>
      <w:tr>
        <w:trPr>
          <w:trHeight w:val="457" w:hRule="atLeast"/>
        </w:trPr>
        <w:tc>
          <w:tcPr>
            <w:tcW w:w="1267" w:type="dxa"/>
          </w:tcPr>
          <w:p>
            <w:pPr>
              <w:pStyle w:val="TableParagraph"/>
              <w:spacing w:before="113"/>
              <w:ind w:left="69"/>
              <w:rPr>
                <w:b/>
                <w:sz w:val="20"/>
              </w:rPr>
            </w:pPr>
            <w:r>
              <w:rPr>
                <w:b/>
                <w:spacing w:val="-2"/>
                <w:sz w:val="20"/>
              </w:rPr>
              <w:t>5.4.2.02.</w:t>
            </w:r>
          </w:p>
        </w:tc>
        <w:tc>
          <w:tcPr>
            <w:tcW w:w="3118" w:type="dxa"/>
          </w:tcPr>
          <w:p>
            <w:pPr>
              <w:pStyle w:val="TableParagraph"/>
              <w:spacing w:line="227" w:lineRule="exact"/>
              <w:ind w:left="69"/>
              <w:rPr>
                <w:b/>
                <w:sz w:val="20"/>
              </w:rPr>
            </w:pPr>
            <w:r>
              <w:rPr>
                <w:b/>
                <w:sz w:val="20"/>
              </w:rPr>
              <w:t>Transferencias</w:t>
            </w:r>
            <w:r>
              <w:rPr>
                <w:b/>
                <w:spacing w:val="-7"/>
                <w:sz w:val="20"/>
              </w:rPr>
              <w:t> </w:t>
            </w:r>
            <w:r>
              <w:rPr>
                <w:b/>
                <w:sz w:val="20"/>
              </w:rPr>
              <w:t>de</w:t>
            </w:r>
            <w:r>
              <w:rPr>
                <w:b/>
                <w:spacing w:val="-5"/>
                <w:sz w:val="20"/>
              </w:rPr>
              <w:t> </w:t>
            </w:r>
            <w:r>
              <w:rPr>
                <w:b/>
                <w:sz w:val="20"/>
              </w:rPr>
              <w:t>capital</w:t>
            </w:r>
            <w:r>
              <w:rPr>
                <w:b/>
                <w:spacing w:val="-5"/>
                <w:sz w:val="20"/>
              </w:rPr>
              <w:t> </w:t>
            </w:r>
            <w:r>
              <w:rPr>
                <w:b/>
                <w:sz w:val="20"/>
              </w:rPr>
              <w:t>al</w:t>
            </w:r>
            <w:r>
              <w:rPr>
                <w:b/>
                <w:spacing w:val="-2"/>
                <w:sz w:val="20"/>
              </w:rPr>
              <w:t> sector</w:t>
            </w:r>
          </w:p>
          <w:p>
            <w:pPr>
              <w:pStyle w:val="TableParagraph"/>
              <w:spacing w:line="211" w:lineRule="exact"/>
              <w:ind w:left="69"/>
              <w:rPr>
                <w:b/>
                <w:sz w:val="20"/>
              </w:rPr>
            </w:pPr>
            <w:r>
              <w:rPr>
                <w:b/>
                <w:sz w:val="20"/>
              </w:rPr>
              <w:t>público</w:t>
            </w:r>
            <w:r>
              <w:rPr>
                <w:b/>
                <w:spacing w:val="-4"/>
                <w:sz w:val="20"/>
              </w:rPr>
              <w:t> </w:t>
            </w:r>
            <w:r>
              <w:rPr>
                <w:b/>
                <w:spacing w:val="-2"/>
                <w:sz w:val="20"/>
              </w:rPr>
              <w:t>interno</w:t>
            </w:r>
          </w:p>
        </w:tc>
        <w:tc>
          <w:tcPr>
            <w:tcW w:w="568" w:type="dxa"/>
          </w:tcPr>
          <w:p>
            <w:pPr>
              <w:pStyle w:val="TableParagraph"/>
              <w:spacing w:before="113"/>
              <w:ind w:left="185"/>
              <w:rPr>
                <w:b/>
                <w:sz w:val="20"/>
              </w:rPr>
            </w:pPr>
            <w:r>
              <w:rPr>
                <w:b/>
                <w:spacing w:val="-5"/>
                <w:sz w:val="20"/>
              </w:rPr>
              <w:t>73</w:t>
            </w:r>
          </w:p>
        </w:tc>
        <w:tc>
          <w:tcPr>
            <w:tcW w:w="1557" w:type="dxa"/>
          </w:tcPr>
          <w:p>
            <w:pPr>
              <w:pStyle w:val="TableParagraph"/>
              <w:spacing w:before="113"/>
              <w:ind w:left="334"/>
              <w:rPr>
                <w:b/>
                <w:sz w:val="20"/>
              </w:rPr>
            </w:pPr>
            <w:r>
              <w:rPr>
                <w:b/>
                <w:sz w:val="20"/>
              </w:rPr>
              <w:t>414</w:t>
            </w:r>
            <w:r>
              <w:rPr>
                <w:b/>
                <w:spacing w:val="-3"/>
                <w:sz w:val="20"/>
              </w:rPr>
              <w:t> </w:t>
            </w:r>
            <w:r>
              <w:rPr>
                <w:b/>
                <w:spacing w:val="-2"/>
                <w:sz w:val="20"/>
              </w:rPr>
              <w:t>929,64</w:t>
            </w:r>
          </w:p>
        </w:tc>
        <w:tc>
          <w:tcPr>
            <w:tcW w:w="1444" w:type="dxa"/>
          </w:tcPr>
          <w:p>
            <w:pPr>
              <w:pStyle w:val="TableParagraph"/>
              <w:spacing w:before="113"/>
              <w:ind w:left="331"/>
              <w:rPr>
                <w:b/>
                <w:sz w:val="20"/>
              </w:rPr>
            </w:pPr>
            <w:r>
              <w:rPr>
                <w:b/>
                <w:sz w:val="20"/>
              </w:rPr>
              <w:t>42</w:t>
            </w:r>
            <w:r>
              <w:rPr>
                <w:b/>
                <w:spacing w:val="-2"/>
                <w:sz w:val="20"/>
              </w:rPr>
              <w:t> 554,86</w:t>
            </w:r>
          </w:p>
        </w:tc>
        <w:tc>
          <w:tcPr>
            <w:tcW w:w="1195" w:type="dxa"/>
          </w:tcPr>
          <w:p>
            <w:pPr>
              <w:pStyle w:val="TableParagraph"/>
              <w:spacing w:before="113"/>
              <w:ind w:left="25"/>
              <w:jc w:val="center"/>
              <w:rPr>
                <w:b/>
                <w:sz w:val="20"/>
              </w:rPr>
            </w:pPr>
            <w:r>
              <w:rPr>
                <w:b/>
                <w:spacing w:val="-2"/>
                <w:sz w:val="20"/>
              </w:rPr>
              <w:t>875,05%</w:t>
            </w:r>
          </w:p>
        </w:tc>
      </w:tr>
    </w:tbl>
    <w:p>
      <w:pPr>
        <w:pStyle w:val="BodyText"/>
        <w:spacing w:before="12"/>
        <w:rPr>
          <w:sz w:val="20"/>
        </w:rPr>
      </w:pPr>
    </w:p>
    <w:p>
      <w:pPr>
        <w:pStyle w:val="Heading6"/>
        <w:spacing w:before="1"/>
        <w:ind w:left="622"/>
      </w:pPr>
      <w:r>
        <w:rPr>
          <w:spacing w:val="-2"/>
        </w:rPr>
        <w:t>Detalle:</w:t>
      </w:r>
    </w:p>
    <w:p>
      <w:pPr>
        <w:pStyle w:val="BodyText"/>
        <w:spacing w:before="7"/>
        <w:rPr>
          <w:b/>
          <w:sz w:val="15"/>
        </w:rPr>
      </w:pPr>
    </w:p>
    <w:tbl>
      <w:tblPr>
        <w:tblW w:w="0" w:type="auto"/>
        <w:jc w:val="left"/>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8"/>
        <w:gridCol w:w="5473"/>
        <w:gridCol w:w="1618"/>
      </w:tblGrid>
      <w:tr>
        <w:trPr>
          <w:trHeight w:val="457" w:hRule="atLeast"/>
        </w:trPr>
        <w:tc>
          <w:tcPr>
            <w:tcW w:w="2108" w:type="dxa"/>
            <w:shd w:val="clear" w:color="auto" w:fill="365F91"/>
          </w:tcPr>
          <w:p>
            <w:pPr>
              <w:pStyle w:val="TableParagraph"/>
              <w:spacing w:line="220" w:lineRule="atLeast"/>
              <w:ind w:left="251" w:firstLine="383"/>
              <w:rPr>
                <w:sz w:val="20"/>
              </w:rPr>
            </w:pPr>
            <w:r>
              <w:rPr>
                <w:color w:val="FFFFFF"/>
                <w:spacing w:val="-2"/>
                <w:sz w:val="20"/>
              </w:rPr>
              <w:t>CODIGO INSTITUCIONAL</w:t>
            </w:r>
          </w:p>
        </w:tc>
        <w:tc>
          <w:tcPr>
            <w:tcW w:w="5473" w:type="dxa"/>
            <w:shd w:val="clear" w:color="auto" w:fill="365F91"/>
          </w:tcPr>
          <w:p>
            <w:pPr>
              <w:pStyle w:val="TableParagraph"/>
              <w:spacing w:before="113"/>
              <w:ind w:left="1804"/>
              <w:rPr>
                <w:sz w:val="20"/>
              </w:rPr>
            </w:pPr>
            <w:r>
              <w:rPr>
                <w:color w:val="FFFFFF"/>
                <w:sz w:val="20"/>
              </w:rPr>
              <w:t>NOMBRE</w:t>
            </w:r>
            <w:r>
              <w:rPr>
                <w:color w:val="FFFFFF"/>
                <w:spacing w:val="-12"/>
                <w:sz w:val="20"/>
              </w:rPr>
              <w:t> </w:t>
            </w:r>
            <w:r>
              <w:rPr>
                <w:color w:val="FFFFFF"/>
                <w:spacing w:val="-2"/>
                <w:sz w:val="20"/>
              </w:rPr>
              <w:t>ENTIDAD</w:t>
            </w:r>
          </w:p>
        </w:tc>
        <w:tc>
          <w:tcPr>
            <w:tcW w:w="1618" w:type="dxa"/>
            <w:shd w:val="clear" w:color="auto" w:fill="365F91"/>
          </w:tcPr>
          <w:p>
            <w:pPr>
              <w:pStyle w:val="TableParagraph"/>
              <w:spacing w:before="113"/>
              <w:ind w:left="409"/>
              <w:rPr>
                <w:sz w:val="20"/>
              </w:rPr>
            </w:pPr>
            <w:r>
              <w:rPr>
                <w:color w:val="FFFFFF"/>
                <w:spacing w:val="-2"/>
                <w:sz w:val="20"/>
              </w:rPr>
              <w:t>MONTO</w:t>
            </w:r>
          </w:p>
        </w:tc>
      </w:tr>
      <w:tr>
        <w:trPr>
          <w:trHeight w:val="246" w:hRule="atLeast"/>
        </w:trPr>
        <w:tc>
          <w:tcPr>
            <w:tcW w:w="2108" w:type="dxa"/>
          </w:tcPr>
          <w:p>
            <w:pPr>
              <w:pStyle w:val="TableParagraph"/>
              <w:spacing w:line="226" w:lineRule="exact"/>
              <w:ind w:left="15"/>
              <w:jc w:val="center"/>
              <w:rPr>
                <w:sz w:val="20"/>
              </w:rPr>
            </w:pPr>
            <w:r>
              <w:rPr>
                <w:spacing w:val="-2"/>
                <w:sz w:val="20"/>
              </w:rPr>
              <w:t>14250</w:t>
            </w:r>
          </w:p>
        </w:tc>
        <w:tc>
          <w:tcPr>
            <w:tcW w:w="5473" w:type="dxa"/>
          </w:tcPr>
          <w:p>
            <w:pPr>
              <w:pStyle w:val="TableParagraph"/>
              <w:spacing w:line="209" w:lineRule="exact" w:before="17"/>
              <w:ind w:left="68"/>
              <w:rPr>
                <w:sz w:val="20"/>
              </w:rPr>
            </w:pPr>
            <w:r>
              <w:rPr>
                <w:sz w:val="20"/>
              </w:rPr>
              <w:t>Juntas</w:t>
            </w:r>
            <w:r>
              <w:rPr>
                <w:spacing w:val="-8"/>
                <w:sz w:val="20"/>
              </w:rPr>
              <w:t> </w:t>
            </w:r>
            <w:r>
              <w:rPr>
                <w:sz w:val="20"/>
              </w:rPr>
              <w:t>Administrativas</w:t>
            </w:r>
            <w:r>
              <w:rPr>
                <w:spacing w:val="-6"/>
                <w:sz w:val="20"/>
              </w:rPr>
              <w:t> </w:t>
            </w:r>
            <w:r>
              <w:rPr>
                <w:sz w:val="20"/>
              </w:rPr>
              <w:t>de</w:t>
            </w:r>
            <w:r>
              <w:rPr>
                <w:spacing w:val="-8"/>
                <w:sz w:val="20"/>
              </w:rPr>
              <w:t> </w:t>
            </w:r>
            <w:r>
              <w:rPr>
                <w:sz w:val="20"/>
              </w:rPr>
              <w:t>colegios</w:t>
            </w:r>
            <w:r>
              <w:rPr>
                <w:spacing w:val="-8"/>
                <w:sz w:val="20"/>
              </w:rPr>
              <w:t> </w:t>
            </w:r>
            <w:r>
              <w:rPr>
                <w:sz w:val="20"/>
              </w:rPr>
              <w:t>y</w:t>
            </w:r>
            <w:r>
              <w:rPr>
                <w:spacing w:val="-7"/>
                <w:sz w:val="20"/>
              </w:rPr>
              <w:t> </w:t>
            </w:r>
            <w:r>
              <w:rPr>
                <w:sz w:val="20"/>
              </w:rPr>
              <w:t>otras</w:t>
            </w:r>
            <w:r>
              <w:rPr>
                <w:spacing w:val="-8"/>
                <w:sz w:val="20"/>
              </w:rPr>
              <w:t> </w:t>
            </w:r>
            <w:r>
              <w:rPr>
                <w:sz w:val="20"/>
              </w:rPr>
              <w:t>instituciones</w:t>
            </w:r>
            <w:r>
              <w:rPr>
                <w:spacing w:val="-6"/>
                <w:sz w:val="20"/>
              </w:rPr>
              <w:t> </w:t>
            </w:r>
            <w:r>
              <w:rPr>
                <w:spacing w:val="-2"/>
                <w:sz w:val="20"/>
              </w:rPr>
              <w:t>educativas</w:t>
            </w:r>
          </w:p>
        </w:tc>
        <w:tc>
          <w:tcPr>
            <w:tcW w:w="1618" w:type="dxa"/>
          </w:tcPr>
          <w:p>
            <w:pPr>
              <w:pStyle w:val="TableParagraph"/>
              <w:spacing w:line="226" w:lineRule="exact"/>
              <w:ind w:right="51"/>
              <w:jc w:val="right"/>
              <w:rPr>
                <w:sz w:val="20"/>
              </w:rPr>
            </w:pPr>
            <w:r>
              <w:rPr>
                <w:sz w:val="20"/>
              </w:rPr>
              <w:t>¢ </w:t>
            </w:r>
            <w:r>
              <w:rPr>
                <w:spacing w:val="-2"/>
                <w:sz w:val="20"/>
              </w:rPr>
              <w:t>86.421,79</w:t>
            </w:r>
          </w:p>
        </w:tc>
      </w:tr>
      <w:tr>
        <w:trPr>
          <w:trHeight w:val="247" w:hRule="atLeast"/>
        </w:trPr>
        <w:tc>
          <w:tcPr>
            <w:tcW w:w="2108" w:type="dxa"/>
          </w:tcPr>
          <w:p>
            <w:pPr>
              <w:pStyle w:val="TableParagraph"/>
              <w:spacing w:line="211" w:lineRule="exact" w:before="16"/>
              <w:ind w:left="15"/>
              <w:jc w:val="center"/>
              <w:rPr>
                <w:sz w:val="20"/>
              </w:rPr>
            </w:pPr>
            <w:r>
              <w:rPr>
                <w:spacing w:val="-2"/>
                <w:sz w:val="20"/>
              </w:rPr>
              <w:t>14253</w:t>
            </w:r>
          </w:p>
        </w:tc>
        <w:tc>
          <w:tcPr>
            <w:tcW w:w="5473" w:type="dxa"/>
          </w:tcPr>
          <w:p>
            <w:pPr>
              <w:pStyle w:val="TableParagraph"/>
              <w:spacing w:line="211" w:lineRule="exact" w:before="16"/>
              <w:ind w:left="68"/>
              <w:rPr>
                <w:sz w:val="20"/>
              </w:rPr>
            </w:pPr>
            <w:r>
              <w:rPr>
                <w:sz w:val="20"/>
              </w:rPr>
              <w:t>Juntas</w:t>
            </w:r>
            <w:r>
              <w:rPr>
                <w:spacing w:val="-5"/>
                <w:sz w:val="20"/>
              </w:rPr>
              <w:t> </w:t>
            </w:r>
            <w:r>
              <w:rPr>
                <w:sz w:val="20"/>
              </w:rPr>
              <w:t>de</w:t>
            </w:r>
            <w:r>
              <w:rPr>
                <w:spacing w:val="-4"/>
                <w:sz w:val="20"/>
              </w:rPr>
              <w:t> </w:t>
            </w:r>
            <w:r>
              <w:rPr>
                <w:spacing w:val="-2"/>
                <w:sz w:val="20"/>
              </w:rPr>
              <w:t>Educación</w:t>
            </w:r>
          </w:p>
        </w:tc>
        <w:tc>
          <w:tcPr>
            <w:tcW w:w="1618" w:type="dxa"/>
          </w:tcPr>
          <w:p>
            <w:pPr>
              <w:pStyle w:val="TableParagraph"/>
              <w:spacing w:line="227" w:lineRule="exact"/>
              <w:ind w:right="51"/>
              <w:jc w:val="right"/>
              <w:rPr>
                <w:sz w:val="20"/>
              </w:rPr>
            </w:pPr>
            <w:r>
              <w:rPr>
                <w:sz w:val="20"/>
              </w:rPr>
              <w:t>¢</w:t>
            </w:r>
            <w:r>
              <w:rPr>
                <w:spacing w:val="-1"/>
                <w:sz w:val="20"/>
              </w:rPr>
              <w:t> </w:t>
            </w:r>
            <w:r>
              <w:rPr>
                <w:spacing w:val="-2"/>
                <w:sz w:val="20"/>
              </w:rPr>
              <w:t>328.507,85</w:t>
            </w:r>
          </w:p>
        </w:tc>
      </w:tr>
    </w:tbl>
    <w:p>
      <w:pPr>
        <w:pStyle w:val="BodyText"/>
        <w:rPr>
          <w:b/>
        </w:rPr>
      </w:pPr>
    </w:p>
    <w:p>
      <w:pPr>
        <w:pStyle w:val="BodyText"/>
        <w:spacing w:before="7"/>
        <w:rPr>
          <w:b/>
        </w:rPr>
      </w:pPr>
    </w:p>
    <w:p>
      <w:pPr>
        <w:spacing w:before="0"/>
        <w:ind w:left="622" w:right="0" w:firstLine="0"/>
        <w:jc w:val="left"/>
        <w:rPr>
          <w:b/>
          <w:sz w:val="22"/>
        </w:rPr>
      </w:pPr>
      <w:r>
        <w:rPr>
          <w:b/>
          <w:spacing w:val="-2"/>
          <w:sz w:val="22"/>
        </w:rPr>
        <w:t>Revelación:</w:t>
      </w:r>
    </w:p>
    <w:p>
      <w:pPr>
        <w:pStyle w:val="BodyText"/>
        <w:spacing w:line="259" w:lineRule="auto" w:before="181"/>
        <w:ind w:left="622" w:right="974"/>
        <w:jc w:val="both"/>
      </w:pPr>
      <w:r>
        <w:rPr/>
        <w:t>La</w:t>
      </w:r>
      <w:r>
        <w:rPr>
          <w:spacing w:val="-14"/>
        </w:rPr>
        <w:t> </w:t>
      </w:r>
      <w:r>
        <w:rPr/>
        <w:t>cuenta</w:t>
      </w:r>
      <w:r>
        <w:rPr>
          <w:spacing w:val="-14"/>
        </w:rPr>
        <w:t> </w:t>
      </w:r>
      <w:r>
        <w:rPr/>
        <w:t>Transferencias</w:t>
      </w:r>
      <w:r>
        <w:rPr>
          <w:spacing w:val="-14"/>
        </w:rPr>
        <w:t> </w:t>
      </w:r>
      <w:r>
        <w:rPr/>
        <w:t>de</w:t>
      </w:r>
      <w:r>
        <w:rPr>
          <w:spacing w:val="-13"/>
        </w:rPr>
        <w:t> </w:t>
      </w:r>
      <w:r>
        <w:rPr/>
        <w:t>capital,</w:t>
      </w:r>
      <w:r>
        <w:rPr>
          <w:spacing w:val="-14"/>
        </w:rPr>
        <w:t> </w:t>
      </w:r>
      <w:r>
        <w:rPr/>
        <w:t>representa</w:t>
      </w:r>
      <w:r>
        <w:rPr>
          <w:spacing w:val="-14"/>
        </w:rPr>
        <w:t> </w:t>
      </w:r>
      <w:r>
        <w:rPr/>
        <w:t>el</w:t>
      </w:r>
      <w:r>
        <w:rPr>
          <w:spacing w:val="-14"/>
        </w:rPr>
        <w:t> </w:t>
      </w:r>
      <w:r>
        <w:rPr/>
        <w:t>0,32%</w:t>
      </w:r>
      <w:r>
        <w:rPr>
          <w:spacing w:val="-13"/>
        </w:rPr>
        <w:t> </w:t>
      </w:r>
      <w:r>
        <w:rPr/>
        <w:t>del</w:t>
      </w:r>
      <w:r>
        <w:rPr>
          <w:spacing w:val="-14"/>
        </w:rPr>
        <w:t> </w:t>
      </w:r>
      <w:r>
        <w:rPr/>
        <w:t>total</w:t>
      </w:r>
      <w:r>
        <w:rPr>
          <w:spacing w:val="-14"/>
        </w:rPr>
        <w:t> </w:t>
      </w:r>
      <w:r>
        <w:rPr/>
        <w:t>del</w:t>
      </w:r>
      <w:r>
        <w:rPr>
          <w:spacing w:val="-14"/>
        </w:rPr>
        <w:t> </w:t>
      </w:r>
      <w:r>
        <w:rPr/>
        <w:t>Gastos,</w:t>
      </w:r>
      <w:r>
        <w:rPr>
          <w:spacing w:val="-13"/>
        </w:rPr>
        <w:t> </w:t>
      </w:r>
      <w:r>
        <w:rPr/>
        <w:t>que</w:t>
      </w:r>
      <w:r>
        <w:rPr>
          <w:spacing w:val="-14"/>
        </w:rPr>
        <w:t> </w:t>
      </w:r>
      <w:r>
        <w:rPr/>
        <w:t>comparado</w:t>
      </w:r>
      <w:r>
        <w:rPr>
          <w:spacing w:val="-14"/>
        </w:rPr>
        <w:t> </w:t>
      </w:r>
      <w:r>
        <w:rPr/>
        <w:t>al</w:t>
      </w:r>
      <w:r>
        <w:rPr>
          <w:spacing w:val="-14"/>
        </w:rPr>
        <w:t> </w:t>
      </w:r>
      <w:r>
        <w:rPr/>
        <w:t>periodo anterior genera una variación absoluta de ¢ 372.374,73 que corresponde a un aumento del 875,05% de recursos disponibles.</w:t>
      </w:r>
    </w:p>
    <w:p>
      <w:pPr>
        <w:pStyle w:val="BodyText"/>
      </w:pPr>
    </w:p>
    <w:p>
      <w:pPr>
        <w:pStyle w:val="BodyText"/>
        <w:spacing w:before="89"/>
      </w:pPr>
    </w:p>
    <w:p>
      <w:pPr>
        <w:pStyle w:val="Heading6"/>
        <w:ind w:left="677"/>
      </w:pPr>
      <w:r>
        <w:rPr/>
        <w:t>Detalle</w:t>
      </w:r>
      <w:r>
        <w:rPr>
          <w:spacing w:val="-3"/>
        </w:rPr>
        <w:t> </w:t>
      </w:r>
      <w:r>
        <w:rPr/>
        <w:t>de</w:t>
      </w:r>
      <w:r>
        <w:rPr>
          <w:spacing w:val="-1"/>
        </w:rPr>
        <w:t> </w:t>
      </w:r>
      <w:r>
        <w:rPr/>
        <w:t>la</w:t>
      </w:r>
      <w:r>
        <w:rPr>
          <w:spacing w:val="-3"/>
        </w:rPr>
        <w:t> </w:t>
      </w:r>
      <w:r>
        <w:rPr>
          <w:spacing w:val="-2"/>
        </w:rPr>
        <w:t>cuenta:</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4"/>
        <w:rPr>
          <w:b/>
        </w:rPr>
      </w:pPr>
    </w:p>
    <w:p>
      <w:pPr>
        <w:pStyle w:val="BodyText"/>
        <w:ind w:left="622"/>
      </w:pPr>
      <w:r>
        <w:rPr/>
        <w:t>A</w:t>
      </w:r>
      <w:r>
        <w:rPr>
          <w:spacing w:val="-6"/>
        </w:rPr>
        <w:t> </w:t>
      </w:r>
      <w:r>
        <w:rPr/>
        <w:t>julio</w:t>
      </w:r>
      <w:r>
        <w:rPr>
          <w:spacing w:val="-4"/>
        </w:rPr>
        <w:t> </w:t>
      </w:r>
      <w:r>
        <w:rPr/>
        <w:t>2026,</w:t>
      </w:r>
      <w:r>
        <w:rPr>
          <w:spacing w:val="-4"/>
        </w:rPr>
        <w:t> </w:t>
      </w:r>
      <w:r>
        <w:rPr/>
        <w:t>se</w:t>
      </w:r>
      <w:r>
        <w:rPr>
          <w:spacing w:val="-4"/>
        </w:rPr>
        <w:t> </w:t>
      </w:r>
      <w:r>
        <w:rPr/>
        <w:t>presenta</w:t>
      </w:r>
      <w:r>
        <w:rPr>
          <w:spacing w:val="-4"/>
        </w:rPr>
        <w:t> </w:t>
      </w:r>
      <w:r>
        <w:rPr/>
        <w:t>detalle</w:t>
      </w:r>
      <w:r>
        <w:rPr>
          <w:spacing w:val="-4"/>
        </w:rPr>
        <w:t> </w:t>
      </w:r>
      <w:r>
        <w:rPr/>
        <w:t>de</w:t>
      </w:r>
      <w:r>
        <w:rPr>
          <w:spacing w:val="-4"/>
        </w:rPr>
        <w:t> </w:t>
      </w:r>
      <w:r>
        <w:rPr/>
        <w:t>las</w:t>
      </w:r>
      <w:r>
        <w:rPr>
          <w:spacing w:val="-5"/>
        </w:rPr>
        <w:t> </w:t>
      </w:r>
      <w:r>
        <w:rPr/>
        <w:t>transferencias</w:t>
      </w:r>
      <w:r>
        <w:rPr>
          <w:spacing w:val="-3"/>
        </w:rPr>
        <w:t> </w:t>
      </w:r>
      <w:r>
        <w:rPr/>
        <w:t>realizadas</w:t>
      </w:r>
      <w:r>
        <w:rPr>
          <w:spacing w:val="-4"/>
        </w:rPr>
        <w:t> </w:t>
      </w:r>
      <w:r>
        <w:rPr/>
        <w:t>al</w:t>
      </w:r>
      <w:r>
        <w:rPr>
          <w:spacing w:val="-3"/>
        </w:rPr>
        <w:t> </w:t>
      </w:r>
      <w:r>
        <w:rPr/>
        <w:t>sector</w:t>
      </w:r>
      <w:r>
        <w:rPr>
          <w:spacing w:val="-4"/>
        </w:rPr>
        <w:t> </w:t>
      </w:r>
      <w:r>
        <w:rPr>
          <w:spacing w:val="-2"/>
        </w:rPr>
        <w:t>privado: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4"/>
        <w:rPr>
          <w:sz w:val="20"/>
        </w:rPr>
      </w:pPr>
      <w:r>
        <w:rPr>
          <w:sz w:val="20"/>
        </w:rPr>
        <mc:AlternateContent>
          <mc:Choice Requires="wps">
            <w:drawing>
              <wp:anchor distT="0" distB="0" distL="0" distR="0" allowOverlap="1" layoutInCell="1" locked="0" behindDoc="1" simplePos="0" relativeHeight="487747584">
                <wp:simplePos x="0" y="0"/>
                <wp:positionH relativeFrom="page">
                  <wp:posOffset>1080820</wp:posOffset>
                </wp:positionH>
                <wp:positionV relativeFrom="paragraph">
                  <wp:posOffset>280114</wp:posOffset>
                </wp:positionV>
                <wp:extent cx="6216650" cy="905510"/>
                <wp:effectExtent l="0" t="0" r="0" b="0"/>
                <wp:wrapTopAndBottom/>
                <wp:docPr id="799" name="Textbox 799"/>
                <wp:cNvGraphicFramePr>
                  <a:graphicFrameLocks/>
                </wp:cNvGraphicFramePr>
                <a:graphic>
                  <a:graphicData uri="http://schemas.microsoft.com/office/word/2010/wordprocessingShape">
                    <wps:wsp>
                      <wps:cNvPr id="799" name="Textbox 799"/>
                      <wps:cNvSpPr txBox="1"/>
                      <wps:spPr>
                        <a:xfrm>
                          <a:off x="0" y="0"/>
                          <a:ext cx="6216650" cy="9055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5"/>
                              <w:jc w:val="both"/>
                            </w:pPr>
                            <w:r>
                              <w:rPr/>
                              <w:t>Los</w:t>
                            </w:r>
                            <w:r>
                              <w:rPr>
                                <w:spacing w:val="-8"/>
                              </w:rPr>
                              <w:t> </w:t>
                            </w:r>
                            <w:r>
                              <w:rPr/>
                              <w:t>gastos</w:t>
                            </w:r>
                            <w:r>
                              <w:rPr>
                                <w:spacing w:val="-7"/>
                              </w:rPr>
                              <w:t> </w:t>
                            </w:r>
                            <w:r>
                              <w:rPr/>
                              <w:t>por</w:t>
                            </w:r>
                            <w:r>
                              <w:rPr>
                                <w:spacing w:val="-8"/>
                              </w:rPr>
                              <w:t> </w:t>
                            </w:r>
                            <w:r>
                              <w:rPr/>
                              <w:t>transferencias</w:t>
                            </w:r>
                            <w:r>
                              <w:rPr>
                                <w:spacing w:val="-7"/>
                              </w:rPr>
                              <w:t> </w:t>
                            </w:r>
                            <w:r>
                              <w:rPr/>
                              <w:t>capital</w:t>
                            </w:r>
                            <w:r>
                              <w:rPr>
                                <w:spacing w:val="-8"/>
                              </w:rPr>
                              <w:t> </w:t>
                            </w:r>
                            <w:r>
                              <w:rPr/>
                              <w:t>representan</w:t>
                            </w:r>
                            <w:r>
                              <w:rPr>
                                <w:spacing w:val="-9"/>
                              </w:rPr>
                              <w:t> </w:t>
                            </w:r>
                            <w:r>
                              <w:rPr/>
                              <w:t>desembolsos</w:t>
                            </w:r>
                            <w:r>
                              <w:rPr>
                                <w:spacing w:val="-7"/>
                              </w:rPr>
                              <w:t> </w:t>
                            </w:r>
                            <w:r>
                              <w:rPr/>
                              <w:t>de</w:t>
                            </w:r>
                            <w:r>
                              <w:rPr>
                                <w:spacing w:val="-11"/>
                              </w:rPr>
                              <w:t> </w:t>
                            </w:r>
                            <w:r>
                              <w:rPr/>
                              <w:t>recursos,</w:t>
                            </w:r>
                            <w:r>
                              <w:rPr>
                                <w:spacing w:val="-9"/>
                              </w:rPr>
                              <w:t> </w:t>
                            </w:r>
                            <w:r>
                              <w:rPr/>
                              <w:t>para</w:t>
                            </w:r>
                            <w:r>
                              <w:rPr>
                                <w:spacing w:val="-8"/>
                              </w:rPr>
                              <w:t> </w:t>
                            </w:r>
                            <w:r>
                              <w:rPr/>
                              <w:t>cumplir</w:t>
                            </w:r>
                            <w:r>
                              <w:rPr>
                                <w:spacing w:val="-9"/>
                              </w:rPr>
                              <w:t> </w:t>
                            </w:r>
                            <w:r>
                              <w:rPr/>
                              <w:t>con</w:t>
                            </w:r>
                            <w:r>
                              <w:rPr>
                                <w:spacing w:val="-9"/>
                              </w:rPr>
                              <w:t> </w:t>
                            </w:r>
                            <w:r>
                              <w:rPr/>
                              <w:t>la</w:t>
                            </w:r>
                            <w:r>
                              <w:rPr>
                                <w:spacing w:val="-8"/>
                              </w:rPr>
                              <w:t> </w:t>
                            </w:r>
                            <w:r>
                              <w:rPr/>
                              <w:t>ejecución</w:t>
                            </w:r>
                            <w:r>
                              <w:rPr>
                                <w:spacing w:val="-8"/>
                              </w:rPr>
                              <w:t> </w:t>
                            </w:r>
                            <w:r>
                              <w:rPr/>
                              <w:t>de</w:t>
                            </w:r>
                            <w:r>
                              <w:rPr>
                                <w:spacing w:val="-9"/>
                              </w:rPr>
                              <w:t> </w:t>
                            </w:r>
                            <w:r>
                              <w:rPr/>
                              <w:t>los programas sociales y con otras entidades del sector público, conforme con las disposiciones de la </w:t>
                            </w:r>
                            <w:r>
                              <w:rPr>
                                <w:spacing w:val="-2"/>
                              </w:rPr>
                              <w:t>administración.</w:t>
                            </w:r>
                          </w:p>
                        </w:txbxContent>
                      </wps:txbx>
                      <wps:bodyPr wrap="square" lIns="0" tIns="0" rIns="0" bIns="0" rtlCol="0">
                        <a:noAutofit/>
                      </wps:bodyPr>
                    </wps:wsp>
                  </a:graphicData>
                </a:graphic>
              </wp:anchor>
            </w:drawing>
          </mc:Choice>
          <mc:Fallback>
            <w:pict>
              <v:shape style="position:absolute;margin-left:85.103996pt;margin-top:22.05625pt;width:489.5pt;height:71.3pt;mso-position-horizontal-relative:page;mso-position-vertical-relative:paragraph;z-index:-15568896;mso-wrap-distance-left:0;mso-wrap-distance-right:0" type="#_x0000_t202" id="docshape77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5"/>
                        <w:jc w:val="both"/>
                      </w:pPr>
                      <w:r>
                        <w:rPr/>
                        <w:t>Los</w:t>
                      </w:r>
                      <w:r>
                        <w:rPr>
                          <w:spacing w:val="-8"/>
                        </w:rPr>
                        <w:t> </w:t>
                      </w:r>
                      <w:r>
                        <w:rPr/>
                        <w:t>gastos</w:t>
                      </w:r>
                      <w:r>
                        <w:rPr>
                          <w:spacing w:val="-7"/>
                        </w:rPr>
                        <w:t> </w:t>
                      </w:r>
                      <w:r>
                        <w:rPr/>
                        <w:t>por</w:t>
                      </w:r>
                      <w:r>
                        <w:rPr>
                          <w:spacing w:val="-8"/>
                        </w:rPr>
                        <w:t> </w:t>
                      </w:r>
                      <w:r>
                        <w:rPr/>
                        <w:t>transferencias</w:t>
                      </w:r>
                      <w:r>
                        <w:rPr>
                          <w:spacing w:val="-7"/>
                        </w:rPr>
                        <w:t> </w:t>
                      </w:r>
                      <w:r>
                        <w:rPr/>
                        <w:t>capital</w:t>
                      </w:r>
                      <w:r>
                        <w:rPr>
                          <w:spacing w:val="-8"/>
                        </w:rPr>
                        <w:t> </w:t>
                      </w:r>
                      <w:r>
                        <w:rPr/>
                        <w:t>representan</w:t>
                      </w:r>
                      <w:r>
                        <w:rPr>
                          <w:spacing w:val="-9"/>
                        </w:rPr>
                        <w:t> </w:t>
                      </w:r>
                      <w:r>
                        <w:rPr/>
                        <w:t>desembolsos</w:t>
                      </w:r>
                      <w:r>
                        <w:rPr>
                          <w:spacing w:val="-7"/>
                        </w:rPr>
                        <w:t> </w:t>
                      </w:r>
                      <w:r>
                        <w:rPr/>
                        <w:t>de</w:t>
                      </w:r>
                      <w:r>
                        <w:rPr>
                          <w:spacing w:val="-11"/>
                        </w:rPr>
                        <w:t> </w:t>
                      </w:r>
                      <w:r>
                        <w:rPr/>
                        <w:t>recursos,</w:t>
                      </w:r>
                      <w:r>
                        <w:rPr>
                          <w:spacing w:val="-9"/>
                        </w:rPr>
                        <w:t> </w:t>
                      </w:r>
                      <w:r>
                        <w:rPr/>
                        <w:t>para</w:t>
                      </w:r>
                      <w:r>
                        <w:rPr>
                          <w:spacing w:val="-8"/>
                        </w:rPr>
                        <w:t> </w:t>
                      </w:r>
                      <w:r>
                        <w:rPr/>
                        <w:t>cumplir</w:t>
                      </w:r>
                      <w:r>
                        <w:rPr>
                          <w:spacing w:val="-9"/>
                        </w:rPr>
                        <w:t> </w:t>
                      </w:r>
                      <w:r>
                        <w:rPr/>
                        <w:t>con</w:t>
                      </w:r>
                      <w:r>
                        <w:rPr>
                          <w:spacing w:val="-9"/>
                        </w:rPr>
                        <w:t> </w:t>
                      </w:r>
                      <w:r>
                        <w:rPr/>
                        <w:t>la</w:t>
                      </w:r>
                      <w:r>
                        <w:rPr>
                          <w:spacing w:val="-8"/>
                        </w:rPr>
                        <w:t> </w:t>
                      </w:r>
                      <w:r>
                        <w:rPr/>
                        <w:t>ejecución</w:t>
                      </w:r>
                      <w:r>
                        <w:rPr>
                          <w:spacing w:val="-8"/>
                        </w:rPr>
                        <w:t> </w:t>
                      </w:r>
                      <w:r>
                        <w:rPr/>
                        <w:t>de</w:t>
                      </w:r>
                      <w:r>
                        <w:rPr>
                          <w:spacing w:val="-9"/>
                        </w:rPr>
                        <w:t> </w:t>
                      </w:r>
                      <w:r>
                        <w:rPr/>
                        <w:t>los programas sociales y con otras entidades del sector público, conforme con las disposiciones de la </w:t>
                      </w:r>
                      <w:r>
                        <w:rPr>
                          <w:spacing w:val="-2"/>
                        </w:rPr>
                        <w:t>administración.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5504">
                <wp:simplePos x="0" y="0"/>
                <wp:positionH relativeFrom="page">
                  <wp:posOffset>9525</wp:posOffset>
                </wp:positionH>
                <wp:positionV relativeFrom="page">
                  <wp:posOffset>297208</wp:posOffset>
                </wp:positionV>
                <wp:extent cx="7762875" cy="9748520"/>
                <wp:effectExtent l="0" t="0" r="0" b="0"/>
                <wp:wrapNone/>
                <wp:docPr id="800" name="Group 800"/>
                <wp:cNvGraphicFramePr>
                  <a:graphicFrameLocks/>
                </wp:cNvGraphicFramePr>
                <a:graphic>
                  <a:graphicData uri="http://schemas.microsoft.com/office/word/2010/wordprocessingGroup">
                    <wpg:wgp>
                      <wpg:cNvPr id="800" name="Group 800"/>
                      <wpg:cNvGrpSpPr/>
                      <wpg:grpSpPr>
                        <a:xfrm>
                          <a:off x="0" y="0"/>
                          <a:ext cx="7762875" cy="9748520"/>
                          <a:chExt cx="7762875" cy="9748520"/>
                        </a:xfrm>
                      </wpg:grpSpPr>
                      <pic:pic>
                        <pic:nvPicPr>
                          <pic:cNvPr id="801" name="Image 801"/>
                          <pic:cNvPicPr/>
                        </pic:nvPicPr>
                        <pic:blipFill>
                          <a:blip r:embed="rId5" cstate="print"/>
                          <a:stretch>
                            <a:fillRect/>
                          </a:stretch>
                        </pic:blipFill>
                        <pic:spPr>
                          <a:xfrm>
                            <a:off x="0" y="0"/>
                            <a:ext cx="7762874" cy="9748489"/>
                          </a:xfrm>
                          <a:prstGeom prst="rect">
                            <a:avLst/>
                          </a:prstGeom>
                        </pic:spPr>
                      </pic:pic>
                      <wps:wsp>
                        <wps:cNvPr id="802" name="Graphic 802"/>
                        <wps:cNvSpPr/>
                        <wps:spPr>
                          <a:xfrm>
                            <a:off x="1053007" y="990837"/>
                            <a:ext cx="6237605" cy="5002530"/>
                          </a:xfrm>
                          <a:custGeom>
                            <a:avLst/>
                            <a:gdLst/>
                            <a:ahLst/>
                            <a:cxnLst/>
                            <a:rect l="l" t="t" r="r" b="b"/>
                            <a:pathLst>
                              <a:path w="6237605" h="5002530">
                                <a:moveTo>
                                  <a:pt x="5649214" y="0"/>
                                </a:moveTo>
                                <a:lnTo>
                                  <a:pt x="0" y="0"/>
                                </a:lnTo>
                                <a:lnTo>
                                  <a:pt x="0" y="9131"/>
                                </a:lnTo>
                                <a:lnTo>
                                  <a:pt x="5649214" y="9131"/>
                                </a:lnTo>
                                <a:lnTo>
                                  <a:pt x="5649214" y="0"/>
                                </a:lnTo>
                                <a:close/>
                              </a:path>
                              <a:path w="6237605" h="5002530">
                                <a:moveTo>
                                  <a:pt x="6237414" y="126479"/>
                                </a:moveTo>
                                <a:lnTo>
                                  <a:pt x="6231382" y="126479"/>
                                </a:lnTo>
                                <a:lnTo>
                                  <a:pt x="6231331" y="132575"/>
                                </a:lnTo>
                                <a:lnTo>
                                  <a:pt x="6231331" y="4996294"/>
                                </a:lnTo>
                                <a:lnTo>
                                  <a:pt x="21336" y="4996294"/>
                                </a:lnTo>
                                <a:lnTo>
                                  <a:pt x="21336" y="132575"/>
                                </a:lnTo>
                                <a:lnTo>
                                  <a:pt x="6231331" y="132575"/>
                                </a:lnTo>
                                <a:lnTo>
                                  <a:pt x="6231331" y="126479"/>
                                </a:lnTo>
                                <a:lnTo>
                                  <a:pt x="21336" y="126479"/>
                                </a:lnTo>
                                <a:lnTo>
                                  <a:pt x="15240" y="126479"/>
                                </a:lnTo>
                                <a:lnTo>
                                  <a:pt x="15240" y="132575"/>
                                </a:lnTo>
                                <a:lnTo>
                                  <a:pt x="15240" y="4996294"/>
                                </a:lnTo>
                                <a:lnTo>
                                  <a:pt x="15240" y="5002390"/>
                                </a:lnTo>
                                <a:lnTo>
                                  <a:pt x="21336" y="5002390"/>
                                </a:lnTo>
                                <a:lnTo>
                                  <a:pt x="6231331" y="5002390"/>
                                </a:lnTo>
                                <a:lnTo>
                                  <a:pt x="6237414" y="5002390"/>
                                </a:lnTo>
                                <a:lnTo>
                                  <a:pt x="6237414" y="4996294"/>
                                </a:lnTo>
                                <a:lnTo>
                                  <a:pt x="6237414" y="132575"/>
                                </a:lnTo>
                                <a:lnTo>
                                  <a:pt x="6237414"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30976" id="docshapegroup775" coordorigin="15,468" coordsize="12225,15352">
                <v:shape style="position:absolute;left:15;top:468;width:12225;height:15352" type="#_x0000_t75" id="docshape776" stroked="false">
                  <v:imagedata r:id="rId5" o:title=""/>
                </v:shape>
                <v:shape style="position:absolute;left:1673;top:2028;width:9823;height:7878" id="docshape777" coordorigin="1673,2028" coordsize="9823,7878" path="m10570,2028l1673,2028,1673,2043,10570,2043,10570,2028xm11496,2228l11486,2228,11486,2228,11486,2237,11486,9897,1707,9897,1707,2237,11486,2237,11486,2228,1707,2228,1697,2228,1697,2237,1697,9897,1697,9906,1707,9906,11486,9906,11486,9906,11496,9906,11496,9897,11496,2237,1149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159</w:t>
      </w:r>
    </w:p>
    <w:p>
      <w:pPr>
        <w:pStyle w:val="BodyText"/>
        <w:spacing w:line="278" w:lineRule="auto" w:before="227"/>
        <w:ind w:left="730" w:right="136"/>
        <w:jc w:val="both"/>
      </w:pPr>
      <w:r>
        <w:rPr/>
        <w:t>Estos</w:t>
      </w:r>
      <w:r>
        <w:rPr>
          <w:spacing w:val="-14"/>
        </w:rPr>
        <w:t> </w:t>
      </w:r>
      <w:r>
        <w:rPr/>
        <w:t>gastos,</w:t>
      </w:r>
      <w:r>
        <w:rPr>
          <w:spacing w:val="-14"/>
        </w:rPr>
        <w:t> </w:t>
      </w:r>
      <w:r>
        <w:rPr/>
        <w:t>debido</w:t>
      </w:r>
      <w:r>
        <w:rPr>
          <w:spacing w:val="-14"/>
        </w:rPr>
        <w:t> </w:t>
      </w:r>
      <w:r>
        <w:rPr/>
        <w:t>a</w:t>
      </w:r>
      <w:r>
        <w:rPr>
          <w:spacing w:val="-13"/>
        </w:rPr>
        <w:t> </w:t>
      </w:r>
      <w:r>
        <w:rPr/>
        <w:t>su</w:t>
      </w:r>
      <w:r>
        <w:rPr>
          <w:spacing w:val="-14"/>
        </w:rPr>
        <w:t> </w:t>
      </w:r>
      <w:r>
        <w:rPr/>
        <w:t>naturaleza</w:t>
      </w:r>
      <w:r>
        <w:rPr>
          <w:spacing w:val="-14"/>
        </w:rPr>
        <w:t> </w:t>
      </w:r>
      <w:r>
        <w:rPr/>
        <w:t>y</w:t>
      </w:r>
      <w:r>
        <w:rPr>
          <w:spacing w:val="-14"/>
        </w:rPr>
        <w:t> </w:t>
      </w:r>
      <w:r>
        <w:rPr/>
        <w:t>características,</w:t>
      </w:r>
      <w:r>
        <w:rPr>
          <w:spacing w:val="-13"/>
        </w:rPr>
        <w:t> </w:t>
      </w:r>
      <w:r>
        <w:rPr/>
        <w:t>no</w:t>
      </w:r>
      <w:r>
        <w:rPr>
          <w:spacing w:val="-14"/>
        </w:rPr>
        <w:t> </w:t>
      </w:r>
      <w:r>
        <w:rPr/>
        <w:t>corresponden</w:t>
      </w:r>
      <w:r>
        <w:rPr>
          <w:spacing w:val="-14"/>
        </w:rPr>
        <w:t> </w:t>
      </w:r>
      <w:r>
        <w:rPr/>
        <w:t>a</w:t>
      </w:r>
      <w:r>
        <w:rPr>
          <w:spacing w:val="-14"/>
        </w:rPr>
        <w:t> </w:t>
      </w:r>
      <w:r>
        <w:rPr/>
        <w:t>contraprestaciones</w:t>
      </w:r>
      <w:r>
        <w:rPr>
          <w:spacing w:val="-13"/>
        </w:rPr>
        <w:t> </w:t>
      </w:r>
      <w:r>
        <w:rPr/>
        <w:t>directas</w:t>
      </w:r>
      <w:r>
        <w:rPr>
          <w:spacing w:val="-14"/>
        </w:rPr>
        <w:t> </w:t>
      </w:r>
      <w:r>
        <w:rPr/>
        <w:t>por</w:t>
      </w:r>
      <w:r>
        <w:rPr>
          <w:spacing w:val="-14"/>
        </w:rPr>
        <w:t> </w:t>
      </w:r>
      <w:r>
        <w:rPr/>
        <w:t>servicios o bienes adquiridos, sino que están orientados principalmente a fines sociales e interinstitucionales.</w:t>
      </w:r>
    </w:p>
    <w:p>
      <w:pPr>
        <w:pStyle w:val="BodyText"/>
        <w:spacing w:line="276" w:lineRule="auto" w:before="117"/>
        <w:ind w:left="730" w:right="140"/>
        <w:jc w:val="both"/>
      </w:pPr>
      <w:r>
        <w:rPr/>
        <w:t>Las transferencias capitales se clasifican en categorías basadas según el tipo de beneficiario al que haga referencia, como se detalla a continuación:</w:t>
      </w:r>
    </w:p>
    <w:p>
      <w:pPr>
        <w:pStyle w:val="ListParagraph"/>
        <w:numPr>
          <w:ilvl w:val="0"/>
          <w:numId w:val="68"/>
        </w:numPr>
        <w:tabs>
          <w:tab w:pos="1450" w:val="left" w:leader="none"/>
        </w:tabs>
        <w:spacing w:line="276" w:lineRule="auto" w:before="117" w:after="0"/>
        <w:ind w:left="1450" w:right="134" w:hanging="360"/>
        <w:jc w:val="both"/>
        <w:rPr>
          <w:sz w:val="22"/>
        </w:rPr>
      </w:pPr>
      <w:r>
        <w:rPr>
          <w:sz w:val="22"/>
        </w:rPr>
        <w:t>Transferencias</w:t>
      </w:r>
      <w:r>
        <w:rPr>
          <w:spacing w:val="-2"/>
          <w:sz w:val="22"/>
        </w:rPr>
        <w:t> </w:t>
      </w:r>
      <w:r>
        <w:rPr>
          <w:sz w:val="22"/>
        </w:rPr>
        <w:t>a</w:t>
      </w:r>
      <w:r>
        <w:rPr>
          <w:spacing w:val="-2"/>
          <w:sz w:val="22"/>
        </w:rPr>
        <w:t> </w:t>
      </w:r>
      <w:r>
        <w:rPr>
          <w:sz w:val="22"/>
        </w:rPr>
        <w:t>personas físicas:</w:t>
      </w:r>
      <w:r>
        <w:rPr>
          <w:spacing w:val="-2"/>
          <w:sz w:val="22"/>
        </w:rPr>
        <w:t> </w:t>
      </w:r>
      <w:r>
        <w:rPr>
          <w:sz w:val="22"/>
        </w:rPr>
        <w:t>Esta</w:t>
      </w:r>
      <w:r>
        <w:rPr>
          <w:spacing w:val="-4"/>
          <w:sz w:val="22"/>
        </w:rPr>
        <w:t> </w:t>
      </w:r>
      <w:r>
        <w:rPr>
          <w:sz w:val="22"/>
        </w:rPr>
        <w:t>categoría</w:t>
      </w:r>
      <w:r>
        <w:rPr>
          <w:spacing w:val="-2"/>
          <w:sz w:val="22"/>
        </w:rPr>
        <w:t> </w:t>
      </w:r>
      <w:r>
        <w:rPr>
          <w:sz w:val="22"/>
        </w:rPr>
        <w:t>incluye</w:t>
      </w:r>
      <w:r>
        <w:rPr>
          <w:spacing w:val="-2"/>
          <w:sz w:val="22"/>
        </w:rPr>
        <w:t> </w:t>
      </w:r>
      <w:r>
        <w:rPr>
          <w:sz w:val="22"/>
        </w:rPr>
        <w:t>los pagos realizados por</w:t>
      </w:r>
      <w:r>
        <w:rPr>
          <w:spacing w:val="-1"/>
          <w:sz w:val="22"/>
        </w:rPr>
        <w:t> </w:t>
      </w:r>
      <w:r>
        <w:rPr>
          <w:sz w:val="22"/>
        </w:rPr>
        <w:t>concepto</w:t>
      </w:r>
      <w:r>
        <w:rPr>
          <w:spacing w:val="-2"/>
          <w:sz w:val="22"/>
        </w:rPr>
        <w:t> </w:t>
      </w:r>
      <w:r>
        <w:rPr>
          <w:sz w:val="22"/>
        </w:rPr>
        <w:t>de</w:t>
      </w:r>
      <w:r>
        <w:rPr>
          <w:spacing w:val="-3"/>
          <w:sz w:val="22"/>
        </w:rPr>
        <w:t> </w:t>
      </w:r>
      <w:r>
        <w:rPr>
          <w:sz w:val="22"/>
        </w:rPr>
        <w:t>atención a</w:t>
      </w:r>
      <w:r>
        <w:rPr>
          <w:spacing w:val="-3"/>
          <w:sz w:val="22"/>
        </w:rPr>
        <w:t> </w:t>
      </w:r>
      <w:r>
        <w:rPr>
          <w:sz w:val="22"/>
        </w:rPr>
        <w:t>beneficiarios</w:t>
      </w:r>
      <w:r>
        <w:rPr>
          <w:spacing w:val="-4"/>
          <w:sz w:val="22"/>
        </w:rPr>
        <w:t> </w:t>
      </w:r>
      <w:r>
        <w:rPr>
          <w:sz w:val="22"/>
        </w:rPr>
        <w:t>en</w:t>
      </w:r>
      <w:r>
        <w:rPr>
          <w:spacing w:val="-2"/>
          <w:sz w:val="22"/>
        </w:rPr>
        <w:t> </w:t>
      </w:r>
      <w:r>
        <w:rPr>
          <w:sz w:val="22"/>
        </w:rPr>
        <w:t>cumplimiento</w:t>
      </w:r>
      <w:r>
        <w:rPr>
          <w:spacing w:val="-2"/>
          <w:sz w:val="22"/>
        </w:rPr>
        <w:t> </w:t>
      </w:r>
      <w:r>
        <w:rPr>
          <w:sz w:val="22"/>
        </w:rPr>
        <w:t>de</w:t>
      </w:r>
      <w:r>
        <w:rPr>
          <w:spacing w:val="-2"/>
          <w:sz w:val="22"/>
        </w:rPr>
        <w:t> </w:t>
      </w:r>
      <w:r>
        <w:rPr>
          <w:sz w:val="22"/>
        </w:rPr>
        <w:t>los</w:t>
      </w:r>
      <w:r>
        <w:rPr>
          <w:spacing w:val="-1"/>
          <w:sz w:val="22"/>
        </w:rPr>
        <w:t> </w:t>
      </w:r>
      <w:r>
        <w:rPr>
          <w:sz w:val="22"/>
        </w:rPr>
        <w:t>programas</w:t>
      </w:r>
      <w:r>
        <w:rPr>
          <w:spacing w:val="-4"/>
          <w:sz w:val="22"/>
        </w:rPr>
        <w:t> </w:t>
      </w:r>
      <w:r>
        <w:rPr>
          <w:sz w:val="22"/>
        </w:rPr>
        <w:t>sociales,</w:t>
      </w:r>
      <w:r>
        <w:rPr>
          <w:spacing w:val="-2"/>
          <w:sz w:val="22"/>
        </w:rPr>
        <w:t> </w:t>
      </w:r>
      <w:r>
        <w:rPr>
          <w:sz w:val="22"/>
        </w:rPr>
        <w:t>liquidaciones</w:t>
      </w:r>
      <w:r>
        <w:rPr>
          <w:spacing w:val="-1"/>
          <w:sz w:val="22"/>
        </w:rPr>
        <w:t> </w:t>
      </w:r>
      <w:r>
        <w:rPr>
          <w:sz w:val="22"/>
        </w:rPr>
        <w:t>laborales,</w:t>
      </w:r>
      <w:r>
        <w:rPr>
          <w:spacing w:val="-5"/>
          <w:sz w:val="22"/>
        </w:rPr>
        <w:t> </w:t>
      </w:r>
      <w:r>
        <w:rPr>
          <w:sz w:val="22"/>
        </w:rPr>
        <w:t>pensiones</w:t>
      </w:r>
      <w:r>
        <w:rPr>
          <w:spacing w:val="-4"/>
          <w:sz w:val="22"/>
        </w:rPr>
        <w:t> </w:t>
      </w:r>
      <w:r>
        <w:rPr>
          <w:sz w:val="22"/>
        </w:rPr>
        <w:t>o</w:t>
      </w:r>
      <w:r>
        <w:rPr>
          <w:spacing w:val="-2"/>
          <w:sz w:val="22"/>
        </w:rPr>
        <w:t> </w:t>
      </w:r>
      <w:r>
        <w:rPr>
          <w:sz w:val="22"/>
        </w:rPr>
        <w:t>jubila-ciones</w:t>
      </w:r>
      <w:r>
        <w:rPr>
          <w:spacing w:val="-5"/>
          <w:sz w:val="22"/>
        </w:rPr>
        <w:t> </w:t>
      </w:r>
      <w:r>
        <w:rPr>
          <w:sz w:val="22"/>
        </w:rPr>
        <w:t>a</w:t>
      </w:r>
      <w:r>
        <w:rPr>
          <w:spacing w:val="-6"/>
          <w:sz w:val="22"/>
        </w:rPr>
        <w:t> </w:t>
      </w:r>
      <w:r>
        <w:rPr>
          <w:sz w:val="22"/>
        </w:rPr>
        <w:t>exfuncionarios</w:t>
      </w:r>
      <w:r>
        <w:rPr>
          <w:spacing w:val="-5"/>
          <w:sz w:val="22"/>
        </w:rPr>
        <w:t> </w:t>
      </w:r>
      <w:r>
        <w:rPr>
          <w:sz w:val="22"/>
        </w:rPr>
        <w:t>de</w:t>
      </w:r>
      <w:r>
        <w:rPr>
          <w:spacing w:val="-5"/>
          <w:sz w:val="22"/>
        </w:rPr>
        <w:t> </w:t>
      </w:r>
      <w:r>
        <w:rPr>
          <w:sz w:val="22"/>
        </w:rPr>
        <w:t>la</w:t>
      </w:r>
      <w:r>
        <w:rPr>
          <w:spacing w:val="-6"/>
          <w:sz w:val="22"/>
        </w:rPr>
        <w:t> </w:t>
      </w:r>
      <w:r>
        <w:rPr>
          <w:sz w:val="22"/>
        </w:rPr>
        <w:t>institución.</w:t>
      </w:r>
      <w:r>
        <w:rPr>
          <w:spacing w:val="-5"/>
          <w:sz w:val="22"/>
        </w:rPr>
        <w:t> </w:t>
      </w:r>
      <w:r>
        <w:rPr>
          <w:sz w:val="22"/>
        </w:rPr>
        <w:t>Estas</w:t>
      </w:r>
      <w:r>
        <w:rPr>
          <w:spacing w:val="-5"/>
          <w:sz w:val="22"/>
        </w:rPr>
        <w:t> </w:t>
      </w:r>
      <w:r>
        <w:rPr>
          <w:sz w:val="22"/>
        </w:rPr>
        <w:t>transferencias</w:t>
      </w:r>
      <w:r>
        <w:rPr>
          <w:spacing w:val="-5"/>
          <w:sz w:val="22"/>
        </w:rPr>
        <w:t> </w:t>
      </w:r>
      <w:r>
        <w:rPr>
          <w:sz w:val="22"/>
        </w:rPr>
        <w:t>responden</w:t>
      </w:r>
      <w:r>
        <w:rPr>
          <w:spacing w:val="-5"/>
          <w:sz w:val="22"/>
        </w:rPr>
        <w:t> </w:t>
      </w:r>
      <w:r>
        <w:rPr>
          <w:sz w:val="22"/>
        </w:rPr>
        <w:t>al</w:t>
      </w:r>
      <w:r>
        <w:rPr>
          <w:spacing w:val="-6"/>
          <w:sz w:val="22"/>
        </w:rPr>
        <w:t> </w:t>
      </w:r>
      <w:r>
        <w:rPr>
          <w:sz w:val="22"/>
        </w:rPr>
        <w:t>cumplimiento</w:t>
      </w:r>
      <w:r>
        <w:rPr>
          <w:spacing w:val="-5"/>
          <w:sz w:val="22"/>
        </w:rPr>
        <w:t> </w:t>
      </w:r>
      <w:r>
        <w:rPr>
          <w:sz w:val="22"/>
        </w:rPr>
        <w:t>de</w:t>
      </w:r>
      <w:r>
        <w:rPr>
          <w:spacing w:val="-5"/>
          <w:sz w:val="22"/>
        </w:rPr>
        <w:t> </w:t>
      </w:r>
      <w:r>
        <w:rPr>
          <w:sz w:val="22"/>
        </w:rPr>
        <w:t>las</w:t>
      </w:r>
      <w:r>
        <w:rPr>
          <w:spacing w:val="-7"/>
          <w:sz w:val="22"/>
        </w:rPr>
        <w:t> </w:t>
      </w:r>
      <w:r>
        <w:rPr>
          <w:sz w:val="22"/>
        </w:rPr>
        <w:t>obliga-ciones como patrono y responde a derechos adquiridos por los trabajadores en el ejercicio de su fun-ción pública. Estas transacciones están respaldadas en el marco de legalidad institucional.</w:t>
      </w:r>
    </w:p>
    <w:p>
      <w:pPr>
        <w:pStyle w:val="BodyText"/>
        <w:spacing w:before="36"/>
      </w:pPr>
    </w:p>
    <w:p>
      <w:pPr>
        <w:pStyle w:val="ListParagraph"/>
        <w:numPr>
          <w:ilvl w:val="0"/>
          <w:numId w:val="68"/>
        </w:numPr>
        <w:tabs>
          <w:tab w:pos="1450" w:val="left" w:leader="none"/>
        </w:tabs>
        <w:spacing w:line="273" w:lineRule="auto" w:before="0" w:after="0"/>
        <w:ind w:left="1450" w:right="138" w:hanging="360"/>
        <w:jc w:val="both"/>
        <w:rPr>
          <w:sz w:val="22"/>
        </w:rPr>
      </w:pPr>
      <w:r>
        <w:rPr>
          <w:sz w:val="22"/>
        </w:rPr>
        <w:t>Transferencias al sector público interno:</w:t>
      </w:r>
      <w:r>
        <w:rPr>
          <w:spacing w:val="40"/>
          <w:sz w:val="22"/>
        </w:rPr>
        <w:t> </w:t>
      </w:r>
      <w:r>
        <w:rPr>
          <w:sz w:val="22"/>
        </w:rPr>
        <w:t>Abarcan los desembolsos destinados entidades públicas, tal es el caso de transferencias por devolución de superávit acumulado de ejercicios fiscales anteriores, amparados a la ley que establece la devolución de dichos recursos.</w:t>
      </w:r>
    </w:p>
    <w:p>
      <w:pPr>
        <w:pStyle w:val="BodyText"/>
        <w:spacing w:before="44"/>
      </w:pPr>
    </w:p>
    <w:p>
      <w:pPr>
        <w:pStyle w:val="ListParagraph"/>
        <w:numPr>
          <w:ilvl w:val="0"/>
          <w:numId w:val="68"/>
        </w:numPr>
        <w:tabs>
          <w:tab w:pos="1450" w:val="left" w:leader="none"/>
        </w:tabs>
        <w:spacing w:line="276" w:lineRule="auto" w:before="1" w:after="0"/>
        <w:ind w:left="1450" w:right="136" w:hanging="360"/>
        <w:jc w:val="both"/>
        <w:rPr>
          <w:sz w:val="22"/>
        </w:rPr>
      </w:pPr>
      <w:r>
        <w:rPr>
          <w:sz w:val="22"/>
        </w:rPr>
        <w:t>Transferencias al</w:t>
      </w:r>
      <w:r>
        <w:rPr>
          <w:spacing w:val="-1"/>
          <w:sz w:val="22"/>
        </w:rPr>
        <w:t> </w:t>
      </w:r>
      <w:r>
        <w:rPr>
          <w:sz w:val="22"/>
        </w:rPr>
        <w:t>sector privado: Comprende a</w:t>
      </w:r>
      <w:r>
        <w:rPr>
          <w:spacing w:val="-1"/>
          <w:sz w:val="22"/>
        </w:rPr>
        <w:t> </w:t>
      </w:r>
      <w:r>
        <w:rPr>
          <w:sz w:val="22"/>
        </w:rPr>
        <w:t>la</w:t>
      </w:r>
      <w:r>
        <w:rPr>
          <w:spacing w:val="-1"/>
          <w:sz w:val="22"/>
        </w:rPr>
        <w:t> </w:t>
      </w:r>
      <w:r>
        <w:rPr>
          <w:sz w:val="22"/>
        </w:rPr>
        <w:t>atención financieras realizadas a</w:t>
      </w:r>
      <w:r>
        <w:rPr>
          <w:spacing w:val="-1"/>
          <w:sz w:val="22"/>
        </w:rPr>
        <w:t> </w:t>
      </w:r>
      <w:r>
        <w:rPr>
          <w:sz w:val="22"/>
        </w:rPr>
        <w:t>entes que cumplen los</w:t>
      </w:r>
      <w:r>
        <w:rPr>
          <w:spacing w:val="-1"/>
          <w:sz w:val="22"/>
        </w:rPr>
        <w:t> </w:t>
      </w:r>
      <w:r>
        <w:rPr>
          <w:sz w:val="22"/>
        </w:rPr>
        <w:t>objetivos</w:t>
      </w:r>
      <w:r>
        <w:rPr>
          <w:spacing w:val="-1"/>
          <w:sz w:val="22"/>
        </w:rPr>
        <w:t> </w:t>
      </w:r>
      <w:r>
        <w:rPr>
          <w:sz w:val="22"/>
        </w:rPr>
        <w:t>de</w:t>
      </w:r>
      <w:r>
        <w:rPr>
          <w:spacing w:val="-2"/>
          <w:sz w:val="22"/>
        </w:rPr>
        <w:t> </w:t>
      </w:r>
      <w:r>
        <w:rPr>
          <w:sz w:val="22"/>
        </w:rPr>
        <w:t>bien</w:t>
      </w:r>
      <w:r>
        <w:rPr>
          <w:spacing w:val="-2"/>
          <w:sz w:val="22"/>
        </w:rPr>
        <w:t> </w:t>
      </w:r>
      <w:r>
        <w:rPr>
          <w:sz w:val="22"/>
        </w:rPr>
        <w:t>social</w:t>
      </w:r>
      <w:r>
        <w:rPr>
          <w:spacing w:val="-2"/>
          <w:sz w:val="22"/>
        </w:rPr>
        <w:t> </w:t>
      </w:r>
      <w:r>
        <w:rPr>
          <w:sz w:val="22"/>
        </w:rPr>
        <w:t>tal</w:t>
      </w:r>
      <w:r>
        <w:rPr>
          <w:spacing w:val="-2"/>
          <w:sz w:val="22"/>
        </w:rPr>
        <w:t> </w:t>
      </w:r>
      <w:r>
        <w:rPr>
          <w:sz w:val="22"/>
        </w:rPr>
        <w:t>es</w:t>
      </w:r>
      <w:r>
        <w:rPr>
          <w:spacing w:val="-1"/>
          <w:sz w:val="22"/>
        </w:rPr>
        <w:t> </w:t>
      </w:r>
      <w:r>
        <w:rPr>
          <w:sz w:val="22"/>
        </w:rPr>
        <w:t>el</w:t>
      </w:r>
      <w:r>
        <w:rPr>
          <w:spacing w:val="-2"/>
          <w:sz w:val="22"/>
        </w:rPr>
        <w:t> </w:t>
      </w:r>
      <w:r>
        <w:rPr>
          <w:sz w:val="22"/>
        </w:rPr>
        <w:t>caso</w:t>
      </w:r>
      <w:r>
        <w:rPr>
          <w:spacing w:val="-2"/>
          <w:sz w:val="22"/>
        </w:rPr>
        <w:t> </w:t>
      </w:r>
      <w:r>
        <w:rPr>
          <w:sz w:val="22"/>
        </w:rPr>
        <w:t>de</w:t>
      </w:r>
      <w:r>
        <w:rPr>
          <w:spacing w:val="-1"/>
          <w:sz w:val="22"/>
        </w:rPr>
        <w:t> </w:t>
      </w:r>
      <w:r>
        <w:rPr>
          <w:sz w:val="22"/>
        </w:rPr>
        <w:t>las</w:t>
      </w:r>
      <w:r>
        <w:rPr>
          <w:spacing w:val="-1"/>
          <w:sz w:val="22"/>
        </w:rPr>
        <w:t> </w:t>
      </w:r>
      <w:r>
        <w:rPr>
          <w:sz w:val="22"/>
        </w:rPr>
        <w:t>cooperativas,</w:t>
      </w:r>
      <w:r>
        <w:rPr>
          <w:spacing w:val="-2"/>
          <w:sz w:val="22"/>
        </w:rPr>
        <w:t> </w:t>
      </w:r>
      <w:r>
        <w:rPr>
          <w:sz w:val="22"/>
        </w:rPr>
        <w:t>fundaciones,</w:t>
      </w:r>
      <w:r>
        <w:rPr>
          <w:spacing w:val="-2"/>
          <w:sz w:val="22"/>
        </w:rPr>
        <w:t> </w:t>
      </w:r>
      <w:r>
        <w:rPr>
          <w:sz w:val="22"/>
        </w:rPr>
        <w:t>asociaciones,</w:t>
      </w:r>
      <w:r>
        <w:rPr>
          <w:spacing w:val="-2"/>
          <w:sz w:val="22"/>
        </w:rPr>
        <w:t> </w:t>
      </w:r>
      <w:r>
        <w:rPr>
          <w:sz w:val="22"/>
        </w:rPr>
        <w:t>y</w:t>
      </w:r>
      <w:r>
        <w:rPr>
          <w:spacing w:val="-3"/>
          <w:sz w:val="22"/>
        </w:rPr>
        <w:t> </w:t>
      </w:r>
      <w:r>
        <w:rPr>
          <w:sz w:val="22"/>
        </w:rPr>
        <w:t>las</w:t>
      </w:r>
      <w:r>
        <w:rPr>
          <w:spacing w:val="-1"/>
          <w:sz w:val="22"/>
        </w:rPr>
        <w:t> </w:t>
      </w:r>
      <w:r>
        <w:rPr>
          <w:sz w:val="22"/>
        </w:rPr>
        <w:t>Organiza-ción No Gubernamentales (ONG) la cuales se encargan de abordar problemáticas específicas de la sociedad</w:t>
      </w:r>
      <w:r>
        <w:rPr>
          <w:spacing w:val="-5"/>
          <w:sz w:val="22"/>
        </w:rPr>
        <w:t> </w:t>
      </w:r>
      <w:r>
        <w:rPr>
          <w:sz w:val="22"/>
        </w:rPr>
        <w:t>o</w:t>
      </w:r>
      <w:r>
        <w:rPr>
          <w:spacing w:val="-2"/>
          <w:sz w:val="22"/>
        </w:rPr>
        <w:t> </w:t>
      </w:r>
      <w:r>
        <w:rPr>
          <w:sz w:val="22"/>
        </w:rPr>
        <w:t>comunidades,</w:t>
      </w:r>
      <w:r>
        <w:rPr>
          <w:spacing w:val="-2"/>
          <w:sz w:val="22"/>
        </w:rPr>
        <w:t> </w:t>
      </w:r>
      <w:r>
        <w:rPr>
          <w:sz w:val="22"/>
        </w:rPr>
        <w:t>actuando</w:t>
      </w:r>
      <w:r>
        <w:rPr>
          <w:spacing w:val="-2"/>
          <w:sz w:val="22"/>
        </w:rPr>
        <w:t> </w:t>
      </w:r>
      <w:r>
        <w:rPr>
          <w:sz w:val="22"/>
        </w:rPr>
        <w:t>como</w:t>
      </w:r>
      <w:r>
        <w:rPr>
          <w:spacing w:val="-2"/>
          <w:sz w:val="22"/>
        </w:rPr>
        <w:t> </w:t>
      </w:r>
      <w:r>
        <w:rPr>
          <w:sz w:val="22"/>
        </w:rPr>
        <w:t>agentes</w:t>
      </w:r>
      <w:r>
        <w:rPr>
          <w:spacing w:val="-4"/>
          <w:sz w:val="22"/>
        </w:rPr>
        <w:t> </w:t>
      </w:r>
      <w:r>
        <w:rPr>
          <w:sz w:val="22"/>
        </w:rPr>
        <w:t>de</w:t>
      </w:r>
      <w:r>
        <w:rPr>
          <w:spacing w:val="-2"/>
          <w:sz w:val="22"/>
        </w:rPr>
        <w:t> </w:t>
      </w:r>
      <w:r>
        <w:rPr>
          <w:sz w:val="22"/>
        </w:rPr>
        <w:t>cambio,</w:t>
      </w:r>
      <w:r>
        <w:rPr>
          <w:spacing w:val="-2"/>
          <w:sz w:val="22"/>
        </w:rPr>
        <w:t> </w:t>
      </w:r>
      <w:r>
        <w:rPr>
          <w:sz w:val="22"/>
        </w:rPr>
        <w:t>pueden</w:t>
      </w:r>
      <w:r>
        <w:rPr>
          <w:spacing w:val="-4"/>
          <w:sz w:val="22"/>
        </w:rPr>
        <w:t> </w:t>
      </w:r>
      <w:r>
        <w:rPr>
          <w:sz w:val="22"/>
        </w:rPr>
        <w:t>enfocarse</w:t>
      </w:r>
      <w:r>
        <w:rPr>
          <w:spacing w:val="-4"/>
          <w:sz w:val="22"/>
        </w:rPr>
        <w:t> </w:t>
      </w:r>
      <w:r>
        <w:rPr>
          <w:sz w:val="22"/>
        </w:rPr>
        <w:t>en</w:t>
      </w:r>
      <w:r>
        <w:rPr>
          <w:spacing w:val="-4"/>
          <w:sz w:val="22"/>
        </w:rPr>
        <w:t> </w:t>
      </w:r>
      <w:r>
        <w:rPr>
          <w:sz w:val="22"/>
        </w:rPr>
        <w:t>áreas</w:t>
      </w:r>
      <w:r>
        <w:rPr>
          <w:spacing w:val="-1"/>
          <w:sz w:val="22"/>
        </w:rPr>
        <w:t> </w:t>
      </w:r>
      <w:r>
        <w:rPr>
          <w:sz w:val="22"/>
        </w:rPr>
        <w:t>como</w:t>
      </w:r>
      <w:r>
        <w:rPr>
          <w:spacing w:val="-2"/>
          <w:sz w:val="22"/>
        </w:rPr>
        <w:t> </w:t>
      </w:r>
      <w:r>
        <w:rPr>
          <w:sz w:val="22"/>
        </w:rPr>
        <w:t>la</w:t>
      </w:r>
      <w:r>
        <w:rPr>
          <w:spacing w:val="-4"/>
          <w:sz w:val="22"/>
        </w:rPr>
        <w:t> </w:t>
      </w:r>
      <w:r>
        <w:rPr>
          <w:sz w:val="22"/>
        </w:rPr>
        <w:t>edu-cación, la</w:t>
      </w:r>
      <w:r>
        <w:rPr>
          <w:spacing w:val="-1"/>
          <w:sz w:val="22"/>
        </w:rPr>
        <w:t> </w:t>
      </w:r>
      <w:r>
        <w:rPr>
          <w:sz w:val="22"/>
        </w:rPr>
        <w:t>salud, la reducción de la pobreza, la defensa</w:t>
      </w:r>
      <w:r>
        <w:rPr>
          <w:spacing w:val="-1"/>
          <w:sz w:val="22"/>
        </w:rPr>
        <w:t> </w:t>
      </w:r>
      <w:r>
        <w:rPr>
          <w:sz w:val="22"/>
        </w:rPr>
        <w:t>de derechos humanos y</w:t>
      </w:r>
      <w:r>
        <w:rPr>
          <w:spacing w:val="-1"/>
          <w:sz w:val="22"/>
        </w:rPr>
        <w:t> </w:t>
      </w:r>
      <w:r>
        <w:rPr>
          <w:sz w:val="22"/>
        </w:rPr>
        <w:t>muchas. Los cuales se encuentran respaldados por el marco de legalidad de la institución.</w:t>
      </w:r>
    </w:p>
    <w:p>
      <w:pPr>
        <w:pStyle w:val="BodyText"/>
        <w:spacing w:line="276" w:lineRule="auto"/>
        <w:ind w:left="1450" w:right="104"/>
      </w:pPr>
      <w:r>
        <w:rPr/>
        <w:t>Es</w:t>
      </w:r>
      <w:r>
        <w:rPr>
          <w:spacing w:val="-3"/>
        </w:rPr>
        <w:t> </w:t>
      </w:r>
      <w:r>
        <w:rPr/>
        <w:t>importante</w:t>
      </w:r>
      <w:r>
        <w:rPr>
          <w:spacing w:val="-3"/>
        </w:rPr>
        <w:t> </w:t>
      </w:r>
      <w:r>
        <w:rPr/>
        <w:t>indicar</w:t>
      </w:r>
      <w:r>
        <w:rPr>
          <w:spacing w:val="-4"/>
        </w:rPr>
        <w:t> </w:t>
      </w:r>
      <w:r>
        <w:rPr/>
        <w:t>que</w:t>
      </w:r>
      <w:r>
        <w:rPr>
          <w:spacing w:val="-4"/>
        </w:rPr>
        <w:t> </w:t>
      </w:r>
      <w:r>
        <w:rPr/>
        <w:t>las</w:t>
      </w:r>
      <w:r>
        <w:rPr>
          <w:spacing w:val="-3"/>
        </w:rPr>
        <w:t> </w:t>
      </w:r>
      <w:r>
        <w:rPr/>
        <w:t>transferencias</w:t>
      </w:r>
      <w:r>
        <w:rPr>
          <w:spacing w:val="-3"/>
        </w:rPr>
        <w:t> </w:t>
      </w:r>
      <w:r>
        <w:rPr/>
        <w:t>de</w:t>
      </w:r>
      <w:r>
        <w:rPr>
          <w:spacing w:val="-3"/>
        </w:rPr>
        <w:t> </w:t>
      </w:r>
      <w:r>
        <w:rPr/>
        <w:t>capital</w:t>
      </w:r>
      <w:r>
        <w:rPr>
          <w:spacing w:val="-5"/>
        </w:rPr>
        <w:t> </w:t>
      </w:r>
      <w:r>
        <w:rPr/>
        <w:t>solo</w:t>
      </w:r>
      <w:r>
        <w:rPr>
          <w:spacing w:val="-5"/>
        </w:rPr>
        <w:t> </w:t>
      </w:r>
      <w:r>
        <w:rPr/>
        <w:t>se</w:t>
      </w:r>
      <w:r>
        <w:rPr>
          <w:spacing w:val="-3"/>
        </w:rPr>
        <w:t> </w:t>
      </w:r>
      <w:r>
        <w:rPr/>
        <w:t>aplican</w:t>
      </w:r>
      <w:r>
        <w:rPr>
          <w:spacing w:val="-4"/>
        </w:rPr>
        <w:t> </w:t>
      </w:r>
      <w:r>
        <w:rPr/>
        <w:t>cuando</w:t>
      </w:r>
      <w:r>
        <w:rPr>
          <w:spacing w:val="-4"/>
        </w:rPr>
        <w:t> </w:t>
      </w:r>
      <w:r>
        <w:rPr/>
        <w:t>las</w:t>
      </w:r>
      <w:r>
        <w:rPr>
          <w:spacing w:val="-3"/>
        </w:rPr>
        <w:t> </w:t>
      </w:r>
      <w:r>
        <w:rPr/>
        <w:t>disposiciones</w:t>
      </w:r>
      <w:r>
        <w:rPr>
          <w:spacing w:val="-3"/>
        </w:rPr>
        <w:t> </w:t>
      </w:r>
      <w:r>
        <w:rPr/>
        <w:t>legales lo autorizan basado en el marco regulatorio, y deben estar previamente aprobadas e incluidas en los presupuestos institucionales</w:t>
      </w:r>
      <w:r>
        <w:rPr>
          <w:spacing w:val="-1"/>
        </w:rPr>
        <w:t> </w:t>
      </w:r>
      <w:r>
        <w:rPr/>
        <w:t>conforme a la</w:t>
      </w:r>
      <w:r>
        <w:rPr>
          <w:spacing w:val="-1"/>
        </w:rPr>
        <w:t> </w:t>
      </w:r>
      <w:r>
        <w:rPr/>
        <w:t>planificación</w:t>
      </w:r>
      <w:r>
        <w:rPr>
          <w:spacing w:val="-1"/>
        </w:rPr>
        <w:t> </w:t>
      </w:r>
      <w:r>
        <w:rPr/>
        <w:t>de gastos, además deben formar parte de los planes anuales operativos.</w:t>
      </w:r>
    </w:p>
    <w:p>
      <w:pPr>
        <w:pStyle w:val="BodyText"/>
      </w:pPr>
    </w:p>
    <w:p>
      <w:pPr>
        <w:pStyle w:val="BodyText"/>
      </w:pPr>
    </w:p>
    <w:p>
      <w:pPr>
        <w:pStyle w:val="BodyText"/>
        <w:spacing w:before="93"/>
      </w:pPr>
    </w:p>
    <w:p>
      <w:pPr>
        <w:pStyle w:val="Heading5"/>
      </w:pPr>
      <w:bookmarkStart w:name="_bookmark127" w:id="128"/>
      <w:bookmarkEnd w:id="128"/>
      <w:r>
        <w:rPr>
          <w:b w:val="0"/>
        </w:rPr>
      </w:r>
      <w:r>
        <w:rPr>
          <w:color w:val="1F3762"/>
        </w:rPr>
        <w:t>5.9</w:t>
      </w:r>
      <w:r>
        <w:rPr>
          <w:color w:val="1F3762"/>
          <w:spacing w:val="-3"/>
        </w:rPr>
        <w:t> </w:t>
      </w:r>
      <w:r>
        <w:rPr>
          <w:color w:val="1F3762"/>
        </w:rPr>
        <w:t>OTROS</w:t>
      </w:r>
      <w:r>
        <w:rPr>
          <w:color w:val="1F3762"/>
          <w:spacing w:val="-3"/>
        </w:rPr>
        <w:t> </w:t>
      </w:r>
      <w:r>
        <w:rPr>
          <w:color w:val="1F3762"/>
          <w:spacing w:val="-2"/>
        </w:rPr>
        <w:t>GASTOS</w:t>
      </w:r>
    </w:p>
    <w:p>
      <w:pPr>
        <w:pStyle w:val="BodyText"/>
        <w:spacing w:before="115"/>
        <w:rPr>
          <w:b/>
        </w:rPr>
      </w:pPr>
    </w:p>
    <w:p>
      <w:pPr>
        <w:spacing w:before="0"/>
        <w:ind w:left="622" w:right="0" w:firstLine="0"/>
        <w:jc w:val="left"/>
        <w:rPr>
          <w:b/>
          <w:sz w:val="22"/>
        </w:rPr>
      </w:pPr>
      <w:bookmarkStart w:name="_bookmark128" w:id="129"/>
      <w:bookmarkEnd w:id="129"/>
      <w:r>
        <w:rPr/>
      </w:r>
      <w:r>
        <w:rPr>
          <w:b/>
          <w:sz w:val="22"/>
        </w:rPr>
        <w:t>NOTA</w:t>
      </w:r>
      <w:r>
        <w:rPr>
          <w:b/>
          <w:spacing w:val="-1"/>
          <w:sz w:val="22"/>
        </w:rPr>
        <w:t> </w:t>
      </w:r>
      <w:r>
        <w:rPr>
          <w:b/>
          <w:sz w:val="22"/>
        </w:rPr>
        <w:t>N° </w:t>
      </w:r>
      <w:r>
        <w:rPr>
          <w:b/>
          <w:spacing w:val="-5"/>
          <w:sz w:val="22"/>
        </w:rPr>
        <w:t>74</w:t>
      </w:r>
    </w:p>
    <w:p>
      <w:pPr>
        <w:pStyle w:val="BodyText"/>
        <w:spacing w:before="115"/>
        <w:rPr>
          <w:b/>
        </w:rPr>
      </w:pPr>
    </w:p>
    <w:p>
      <w:pPr>
        <w:pStyle w:val="BodyText"/>
        <w:ind w:left="622"/>
      </w:pPr>
      <w:r>
        <w:rPr/>
        <w:t>Resultados</w:t>
      </w:r>
      <w:r>
        <w:rPr>
          <w:spacing w:val="-5"/>
        </w:rPr>
        <w:t> </w:t>
      </w:r>
      <w:r>
        <w:rPr/>
        <w:t>negativos</w:t>
      </w:r>
      <w:r>
        <w:rPr>
          <w:spacing w:val="-5"/>
        </w:rPr>
        <w:t> </w:t>
      </w:r>
      <w:r>
        <w:rPr/>
        <w:t>por</w:t>
      </w:r>
      <w:r>
        <w:rPr>
          <w:spacing w:val="-4"/>
        </w:rPr>
        <w:t> </w:t>
      </w:r>
      <w:r>
        <w:rPr/>
        <w:t>tenencia</w:t>
      </w:r>
      <w:r>
        <w:rPr>
          <w:spacing w:val="-4"/>
        </w:rPr>
        <w:t> </w:t>
      </w:r>
      <w:r>
        <w:rPr/>
        <w:t>y</w:t>
      </w:r>
      <w:r>
        <w:rPr>
          <w:spacing w:val="-4"/>
        </w:rPr>
        <w:t> </w:t>
      </w:r>
      <w:r>
        <w:rPr/>
        <w:t>por</w:t>
      </w:r>
      <w:r>
        <w:rPr>
          <w:spacing w:val="-5"/>
        </w:rPr>
        <w:t> </w:t>
      </w:r>
      <w:r>
        <w:rPr/>
        <w:t>exposición</w:t>
      </w:r>
      <w:r>
        <w:rPr>
          <w:spacing w:val="-4"/>
        </w:rPr>
        <w:t> </w:t>
      </w:r>
      <w:r>
        <w:rPr/>
        <w:t>a</w:t>
      </w:r>
      <w:r>
        <w:rPr>
          <w:spacing w:val="-3"/>
        </w:rPr>
        <w:t> </w:t>
      </w:r>
      <w:r>
        <w:rPr/>
        <w:t>la</w:t>
      </w:r>
      <w:r>
        <w:rPr>
          <w:spacing w:val="-4"/>
        </w:rPr>
        <w:t> </w:t>
      </w:r>
      <w:r>
        <w:rPr>
          <w:spacing w:val="-2"/>
        </w:rPr>
        <w:t>inflación</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3714"/>
        <w:gridCol w:w="533"/>
        <w:gridCol w:w="1424"/>
        <w:gridCol w:w="1411"/>
        <w:gridCol w:w="970"/>
      </w:tblGrid>
      <w:tr>
        <w:trPr>
          <w:trHeight w:val="325" w:hRule="atLeast"/>
        </w:trPr>
        <w:tc>
          <w:tcPr>
            <w:tcW w:w="984" w:type="dxa"/>
            <w:vMerge w:val="restart"/>
            <w:shd w:val="clear" w:color="auto" w:fill="365F92"/>
          </w:tcPr>
          <w:p>
            <w:pPr>
              <w:pStyle w:val="TableParagraph"/>
              <w:spacing w:before="130"/>
              <w:ind w:left="69"/>
              <w:rPr>
                <w:sz w:val="20"/>
              </w:rPr>
            </w:pPr>
            <w:r>
              <w:rPr>
                <w:spacing w:val="-2"/>
                <w:sz w:val="20"/>
              </w:rPr>
              <w:t>Cuenta</w:t>
            </w:r>
          </w:p>
        </w:tc>
        <w:tc>
          <w:tcPr>
            <w:tcW w:w="3714" w:type="dxa"/>
            <w:vMerge w:val="restart"/>
            <w:shd w:val="clear" w:color="auto" w:fill="365F92"/>
          </w:tcPr>
          <w:p>
            <w:pPr>
              <w:pStyle w:val="TableParagraph"/>
              <w:spacing w:before="219"/>
              <w:ind w:left="14"/>
              <w:jc w:val="center"/>
              <w:rPr>
                <w:sz w:val="20"/>
              </w:rPr>
            </w:pPr>
            <w:r>
              <w:rPr>
                <w:spacing w:val="-2"/>
                <w:sz w:val="20"/>
              </w:rPr>
              <w:t>Descripción</w:t>
            </w:r>
          </w:p>
        </w:tc>
        <w:tc>
          <w:tcPr>
            <w:tcW w:w="533" w:type="dxa"/>
            <w:vMerge w:val="restart"/>
            <w:shd w:val="clear" w:color="auto" w:fill="365F92"/>
          </w:tcPr>
          <w:p>
            <w:pPr>
              <w:pStyle w:val="TableParagraph"/>
              <w:spacing w:before="219"/>
              <w:ind w:left="68"/>
              <w:rPr>
                <w:sz w:val="20"/>
              </w:rPr>
            </w:pPr>
            <w:r>
              <w:rPr>
                <w:spacing w:val="-4"/>
                <w:sz w:val="20"/>
              </w:rPr>
              <w:t>Nota</w:t>
            </w:r>
          </w:p>
        </w:tc>
        <w:tc>
          <w:tcPr>
            <w:tcW w:w="1424" w:type="dxa"/>
            <w:vMerge w:val="restart"/>
            <w:shd w:val="clear" w:color="auto" w:fill="365F92"/>
          </w:tcPr>
          <w:p>
            <w:pPr>
              <w:pStyle w:val="TableParagraph"/>
              <w:spacing w:before="219"/>
              <w:ind w:left="138"/>
              <w:rPr>
                <w:sz w:val="20"/>
              </w:rPr>
            </w:pPr>
            <w:r>
              <w:rPr>
                <w:sz w:val="20"/>
              </w:rPr>
              <w:t>Periodo</w:t>
            </w:r>
            <w:r>
              <w:rPr>
                <w:spacing w:val="-7"/>
                <w:sz w:val="20"/>
              </w:rPr>
              <w:t> </w:t>
            </w:r>
            <w:r>
              <w:rPr>
                <w:spacing w:val="-2"/>
                <w:sz w:val="20"/>
              </w:rPr>
              <w:t>Actual</w:t>
            </w:r>
          </w:p>
        </w:tc>
        <w:tc>
          <w:tcPr>
            <w:tcW w:w="1411" w:type="dxa"/>
            <w:vMerge w:val="restart"/>
            <w:shd w:val="clear" w:color="auto" w:fill="365F92"/>
          </w:tcPr>
          <w:p>
            <w:pPr>
              <w:pStyle w:val="TableParagraph"/>
              <w:spacing w:before="106"/>
              <w:ind w:left="366" w:right="338" w:firstLine="45"/>
              <w:rPr>
                <w:sz w:val="20"/>
              </w:rPr>
            </w:pPr>
            <w:r>
              <w:rPr>
                <w:spacing w:val="-2"/>
                <w:sz w:val="20"/>
              </w:rPr>
              <w:t>Periodo Anterior</w:t>
            </w:r>
          </w:p>
        </w:tc>
        <w:tc>
          <w:tcPr>
            <w:tcW w:w="970" w:type="dxa"/>
            <w:shd w:val="clear" w:color="auto" w:fill="365F92"/>
          </w:tcPr>
          <w:p>
            <w:pPr>
              <w:pStyle w:val="TableParagraph"/>
              <w:spacing w:before="49"/>
              <w:ind w:left="19" w:right="3"/>
              <w:jc w:val="center"/>
              <w:rPr>
                <w:sz w:val="20"/>
              </w:rPr>
            </w:pPr>
            <w:r>
              <w:rPr>
                <w:spacing w:val="-2"/>
                <w:sz w:val="20"/>
              </w:rPr>
              <w:t>Diferencia</w:t>
            </w:r>
          </w:p>
        </w:tc>
      </w:tr>
      <w:tr>
        <w:trPr>
          <w:trHeight w:val="323" w:hRule="atLeast"/>
        </w:trPr>
        <w:tc>
          <w:tcPr>
            <w:tcW w:w="984" w:type="dxa"/>
            <w:vMerge/>
            <w:tcBorders>
              <w:top w:val="nil"/>
            </w:tcBorders>
            <w:shd w:val="clear" w:color="auto" w:fill="365F92"/>
          </w:tcPr>
          <w:p>
            <w:pPr>
              <w:rPr>
                <w:sz w:val="2"/>
                <w:szCs w:val="2"/>
              </w:rPr>
            </w:pPr>
          </w:p>
        </w:tc>
        <w:tc>
          <w:tcPr>
            <w:tcW w:w="3714" w:type="dxa"/>
            <w:vMerge/>
            <w:tcBorders>
              <w:top w:val="nil"/>
            </w:tcBorders>
            <w:shd w:val="clear" w:color="auto" w:fill="365F92"/>
          </w:tcPr>
          <w:p>
            <w:pPr>
              <w:rPr>
                <w:sz w:val="2"/>
                <w:szCs w:val="2"/>
              </w:rPr>
            </w:pPr>
          </w:p>
        </w:tc>
        <w:tc>
          <w:tcPr>
            <w:tcW w:w="533" w:type="dxa"/>
            <w:vMerge/>
            <w:tcBorders>
              <w:top w:val="nil"/>
            </w:tcBorders>
            <w:shd w:val="clear" w:color="auto" w:fill="365F92"/>
          </w:tcPr>
          <w:p>
            <w:pPr>
              <w:rPr>
                <w:sz w:val="2"/>
                <w:szCs w:val="2"/>
              </w:rPr>
            </w:pPr>
          </w:p>
        </w:tc>
        <w:tc>
          <w:tcPr>
            <w:tcW w:w="1424" w:type="dxa"/>
            <w:vMerge/>
            <w:tcBorders>
              <w:top w:val="nil"/>
            </w:tcBorders>
            <w:shd w:val="clear" w:color="auto" w:fill="365F92"/>
          </w:tcPr>
          <w:p>
            <w:pPr>
              <w:rPr>
                <w:sz w:val="2"/>
                <w:szCs w:val="2"/>
              </w:rPr>
            </w:pPr>
          </w:p>
        </w:tc>
        <w:tc>
          <w:tcPr>
            <w:tcW w:w="1411" w:type="dxa"/>
            <w:vMerge/>
            <w:tcBorders>
              <w:top w:val="nil"/>
            </w:tcBorders>
            <w:shd w:val="clear" w:color="auto" w:fill="365F92"/>
          </w:tcPr>
          <w:p>
            <w:pPr>
              <w:rPr>
                <w:sz w:val="2"/>
                <w:szCs w:val="2"/>
              </w:rPr>
            </w:pPr>
          </w:p>
        </w:tc>
        <w:tc>
          <w:tcPr>
            <w:tcW w:w="970" w:type="dxa"/>
            <w:shd w:val="clear" w:color="auto" w:fill="365F92"/>
          </w:tcPr>
          <w:p>
            <w:pPr>
              <w:pStyle w:val="TableParagraph"/>
              <w:spacing w:before="46"/>
              <w:ind w:left="19" w:right="2"/>
              <w:jc w:val="center"/>
              <w:rPr>
                <w:sz w:val="20"/>
              </w:rPr>
            </w:pPr>
            <w:r>
              <w:rPr>
                <w:spacing w:val="-10"/>
                <w:sz w:val="20"/>
              </w:rPr>
              <w:t>%</w:t>
            </w:r>
          </w:p>
        </w:tc>
      </w:tr>
      <w:tr>
        <w:trPr>
          <w:trHeight w:val="541" w:hRule="atLeast"/>
        </w:trPr>
        <w:tc>
          <w:tcPr>
            <w:tcW w:w="984" w:type="dxa"/>
          </w:tcPr>
          <w:p>
            <w:pPr>
              <w:pStyle w:val="TableParagraph"/>
              <w:spacing w:before="154"/>
              <w:ind w:left="69"/>
              <w:rPr>
                <w:b/>
                <w:sz w:val="20"/>
              </w:rPr>
            </w:pPr>
            <w:r>
              <w:rPr>
                <w:b/>
                <w:spacing w:val="-2"/>
                <w:sz w:val="20"/>
              </w:rPr>
              <w:t>5.9.1.</w:t>
            </w:r>
          </w:p>
        </w:tc>
        <w:tc>
          <w:tcPr>
            <w:tcW w:w="3714" w:type="dxa"/>
          </w:tcPr>
          <w:p>
            <w:pPr>
              <w:pStyle w:val="TableParagraph"/>
              <w:spacing w:before="41"/>
              <w:ind w:left="69"/>
              <w:rPr>
                <w:b/>
                <w:sz w:val="20"/>
              </w:rPr>
            </w:pPr>
            <w:r>
              <w:rPr>
                <w:b/>
                <w:sz w:val="20"/>
              </w:rPr>
              <w:t>Resultados</w:t>
            </w:r>
            <w:r>
              <w:rPr>
                <w:b/>
                <w:spacing w:val="-8"/>
                <w:sz w:val="20"/>
              </w:rPr>
              <w:t> </w:t>
            </w:r>
            <w:r>
              <w:rPr>
                <w:b/>
                <w:sz w:val="20"/>
              </w:rPr>
              <w:t>negativos</w:t>
            </w:r>
            <w:r>
              <w:rPr>
                <w:b/>
                <w:spacing w:val="-8"/>
                <w:sz w:val="20"/>
              </w:rPr>
              <w:t> </w:t>
            </w:r>
            <w:r>
              <w:rPr>
                <w:b/>
                <w:sz w:val="20"/>
              </w:rPr>
              <w:t>por</w:t>
            </w:r>
            <w:r>
              <w:rPr>
                <w:b/>
                <w:spacing w:val="-7"/>
                <w:sz w:val="20"/>
              </w:rPr>
              <w:t> </w:t>
            </w:r>
            <w:r>
              <w:rPr>
                <w:b/>
                <w:sz w:val="20"/>
              </w:rPr>
              <w:t>tenencia</w:t>
            </w:r>
            <w:r>
              <w:rPr>
                <w:b/>
                <w:spacing w:val="-8"/>
                <w:sz w:val="20"/>
              </w:rPr>
              <w:t> </w:t>
            </w:r>
            <w:r>
              <w:rPr>
                <w:b/>
                <w:sz w:val="20"/>
              </w:rPr>
              <w:t>y</w:t>
            </w:r>
            <w:r>
              <w:rPr>
                <w:b/>
                <w:spacing w:val="-7"/>
                <w:sz w:val="20"/>
              </w:rPr>
              <w:t> </w:t>
            </w:r>
            <w:r>
              <w:rPr>
                <w:b/>
                <w:sz w:val="20"/>
              </w:rPr>
              <w:t>por exposición a la inflación</w:t>
            </w:r>
          </w:p>
        </w:tc>
        <w:tc>
          <w:tcPr>
            <w:tcW w:w="533" w:type="dxa"/>
          </w:tcPr>
          <w:p>
            <w:pPr>
              <w:pStyle w:val="TableParagraph"/>
              <w:spacing w:before="154"/>
              <w:ind w:left="164"/>
              <w:rPr>
                <w:b/>
                <w:sz w:val="20"/>
              </w:rPr>
            </w:pPr>
            <w:r>
              <w:rPr>
                <w:b/>
                <w:spacing w:val="-5"/>
                <w:sz w:val="20"/>
              </w:rPr>
              <w:t>74</w:t>
            </w:r>
          </w:p>
        </w:tc>
        <w:tc>
          <w:tcPr>
            <w:tcW w:w="1424" w:type="dxa"/>
          </w:tcPr>
          <w:p>
            <w:pPr>
              <w:pStyle w:val="TableParagraph"/>
              <w:spacing w:before="154"/>
              <w:ind w:left="267"/>
              <w:rPr>
                <w:sz w:val="20"/>
              </w:rPr>
            </w:pPr>
            <w:r>
              <w:rPr>
                <w:sz w:val="20"/>
              </w:rPr>
              <w:t>366</w:t>
            </w:r>
            <w:r>
              <w:rPr>
                <w:spacing w:val="-3"/>
                <w:sz w:val="20"/>
              </w:rPr>
              <w:t> </w:t>
            </w:r>
            <w:r>
              <w:rPr>
                <w:spacing w:val="-2"/>
                <w:sz w:val="20"/>
              </w:rPr>
              <w:t>113,91</w:t>
            </w:r>
          </w:p>
        </w:tc>
        <w:tc>
          <w:tcPr>
            <w:tcW w:w="1411" w:type="dxa"/>
          </w:tcPr>
          <w:p>
            <w:pPr>
              <w:pStyle w:val="TableParagraph"/>
              <w:spacing w:before="154"/>
              <w:ind w:left="310"/>
              <w:rPr>
                <w:sz w:val="20"/>
              </w:rPr>
            </w:pPr>
            <w:r>
              <w:rPr>
                <w:sz w:val="20"/>
              </w:rPr>
              <w:t>76</w:t>
            </w:r>
            <w:r>
              <w:rPr>
                <w:spacing w:val="-2"/>
                <w:sz w:val="20"/>
              </w:rPr>
              <w:t> 212,95</w:t>
            </w:r>
          </w:p>
        </w:tc>
        <w:tc>
          <w:tcPr>
            <w:tcW w:w="970" w:type="dxa"/>
          </w:tcPr>
          <w:p>
            <w:pPr>
              <w:pStyle w:val="TableParagraph"/>
              <w:spacing w:before="154"/>
              <w:ind w:left="19"/>
              <w:jc w:val="center"/>
              <w:rPr>
                <w:sz w:val="20"/>
              </w:rPr>
            </w:pPr>
            <w:r>
              <w:rPr>
                <w:spacing w:val="-2"/>
                <w:sz w:val="20"/>
              </w:rPr>
              <w:t>380,38%</w:t>
            </w:r>
          </w:p>
        </w:tc>
      </w:tr>
    </w:tbl>
    <w:p>
      <w:pPr>
        <w:pStyle w:val="TableParagraph"/>
        <w:spacing w:after="0"/>
        <w:jc w:val="center"/>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6016">
                <wp:simplePos x="0" y="0"/>
                <wp:positionH relativeFrom="page">
                  <wp:posOffset>9525</wp:posOffset>
                </wp:positionH>
                <wp:positionV relativeFrom="page">
                  <wp:posOffset>297208</wp:posOffset>
                </wp:positionV>
                <wp:extent cx="7762875" cy="9748520"/>
                <wp:effectExtent l="0" t="0" r="0" b="0"/>
                <wp:wrapNone/>
                <wp:docPr id="803" name="Group 803"/>
                <wp:cNvGraphicFramePr>
                  <a:graphicFrameLocks/>
                </wp:cNvGraphicFramePr>
                <a:graphic>
                  <a:graphicData uri="http://schemas.microsoft.com/office/word/2010/wordprocessingGroup">
                    <wpg:wgp>
                      <wpg:cNvPr id="803" name="Group 803"/>
                      <wpg:cNvGrpSpPr/>
                      <wpg:grpSpPr>
                        <a:xfrm>
                          <a:off x="0" y="0"/>
                          <a:ext cx="7762875" cy="9748520"/>
                          <a:chExt cx="7762875" cy="9748520"/>
                        </a:xfrm>
                      </wpg:grpSpPr>
                      <pic:pic>
                        <pic:nvPicPr>
                          <pic:cNvPr id="804" name="Image 804"/>
                          <pic:cNvPicPr/>
                        </pic:nvPicPr>
                        <pic:blipFill>
                          <a:blip r:embed="rId5" cstate="print"/>
                          <a:stretch>
                            <a:fillRect/>
                          </a:stretch>
                        </pic:blipFill>
                        <pic:spPr>
                          <a:xfrm>
                            <a:off x="0" y="0"/>
                            <a:ext cx="7762874" cy="9748489"/>
                          </a:xfrm>
                          <a:prstGeom prst="rect">
                            <a:avLst/>
                          </a:prstGeom>
                        </pic:spPr>
                      </pic:pic>
                      <wps:wsp>
                        <wps:cNvPr id="805" name="Graphic 805"/>
                        <wps:cNvSpPr/>
                        <wps:spPr>
                          <a:xfrm>
                            <a:off x="1053007" y="990837"/>
                            <a:ext cx="5736590" cy="7743190"/>
                          </a:xfrm>
                          <a:custGeom>
                            <a:avLst/>
                            <a:gdLst/>
                            <a:ahLst/>
                            <a:cxnLst/>
                            <a:rect l="l" t="t" r="r" b="b"/>
                            <a:pathLst>
                              <a:path w="5736590" h="7743190">
                                <a:moveTo>
                                  <a:pt x="21336" y="1296987"/>
                                </a:moveTo>
                                <a:lnTo>
                                  <a:pt x="15240" y="1296987"/>
                                </a:lnTo>
                                <a:lnTo>
                                  <a:pt x="15240" y="7736776"/>
                                </a:lnTo>
                                <a:lnTo>
                                  <a:pt x="21336" y="7736776"/>
                                </a:lnTo>
                                <a:lnTo>
                                  <a:pt x="21336" y="1296987"/>
                                </a:lnTo>
                                <a:close/>
                              </a:path>
                              <a:path w="5736590" h="7743190">
                                <a:moveTo>
                                  <a:pt x="5649214" y="0"/>
                                </a:moveTo>
                                <a:lnTo>
                                  <a:pt x="0" y="0"/>
                                </a:lnTo>
                                <a:lnTo>
                                  <a:pt x="0" y="9131"/>
                                </a:lnTo>
                                <a:lnTo>
                                  <a:pt x="5649214" y="9131"/>
                                </a:lnTo>
                                <a:lnTo>
                                  <a:pt x="5649214" y="0"/>
                                </a:lnTo>
                                <a:close/>
                              </a:path>
                              <a:path w="5736590" h="7743190">
                                <a:moveTo>
                                  <a:pt x="5736018" y="7736789"/>
                                </a:moveTo>
                                <a:lnTo>
                                  <a:pt x="5729986" y="7736789"/>
                                </a:lnTo>
                                <a:lnTo>
                                  <a:pt x="21336" y="7736789"/>
                                </a:lnTo>
                                <a:lnTo>
                                  <a:pt x="15240" y="7736789"/>
                                </a:lnTo>
                                <a:lnTo>
                                  <a:pt x="15240" y="7742872"/>
                                </a:lnTo>
                                <a:lnTo>
                                  <a:pt x="21336" y="7742872"/>
                                </a:lnTo>
                                <a:lnTo>
                                  <a:pt x="5729935" y="7742872"/>
                                </a:lnTo>
                                <a:lnTo>
                                  <a:pt x="5736018" y="7742872"/>
                                </a:lnTo>
                                <a:lnTo>
                                  <a:pt x="5736018" y="7736789"/>
                                </a:lnTo>
                                <a:close/>
                              </a:path>
                              <a:path w="5736590" h="7743190">
                                <a:moveTo>
                                  <a:pt x="5736018" y="1296987"/>
                                </a:moveTo>
                                <a:lnTo>
                                  <a:pt x="5729935" y="1296987"/>
                                </a:lnTo>
                                <a:lnTo>
                                  <a:pt x="5729935" y="7736776"/>
                                </a:lnTo>
                                <a:lnTo>
                                  <a:pt x="5736018" y="7736776"/>
                                </a:lnTo>
                                <a:lnTo>
                                  <a:pt x="5736018" y="1296987"/>
                                </a:lnTo>
                                <a:close/>
                              </a:path>
                              <a:path w="5736590" h="7743190">
                                <a:moveTo>
                                  <a:pt x="5736018" y="1290815"/>
                                </a:moveTo>
                                <a:lnTo>
                                  <a:pt x="5729986" y="1290815"/>
                                </a:lnTo>
                                <a:lnTo>
                                  <a:pt x="21336" y="1290815"/>
                                </a:lnTo>
                                <a:lnTo>
                                  <a:pt x="15240" y="1290815"/>
                                </a:lnTo>
                                <a:lnTo>
                                  <a:pt x="15240" y="1296911"/>
                                </a:lnTo>
                                <a:lnTo>
                                  <a:pt x="21336" y="1296911"/>
                                </a:lnTo>
                                <a:lnTo>
                                  <a:pt x="5729935" y="1296911"/>
                                </a:lnTo>
                                <a:lnTo>
                                  <a:pt x="5736018" y="1296911"/>
                                </a:lnTo>
                                <a:lnTo>
                                  <a:pt x="5736018" y="1290815"/>
                                </a:lnTo>
                                <a:close/>
                              </a:path>
                            </a:pathLst>
                          </a:custGeom>
                          <a:solidFill>
                            <a:srgbClr val="000000"/>
                          </a:solidFill>
                        </wps:spPr>
                        <wps:bodyPr wrap="square" lIns="0" tIns="0" rIns="0" bIns="0" rtlCol="0">
                          <a:prstTxWarp prst="textNoShape">
                            <a:avLst/>
                          </a:prstTxWarp>
                          <a:noAutofit/>
                        </wps:bodyPr>
                      </wps:wsp>
                      <pic:pic>
                        <pic:nvPicPr>
                          <pic:cNvPr id="806" name="Image 806"/>
                          <pic:cNvPicPr/>
                        </pic:nvPicPr>
                        <pic:blipFill>
                          <a:blip r:embed="rId99" cstate="print"/>
                          <a:stretch>
                            <a:fillRect/>
                          </a:stretch>
                        </pic:blipFill>
                        <pic:spPr>
                          <a:xfrm>
                            <a:off x="1390395" y="6067192"/>
                            <a:ext cx="5074285" cy="100197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30464" id="docshapegroup778" coordorigin="15,468" coordsize="12225,15352">
                <v:shape style="position:absolute;left:15;top:468;width:12225;height:15352" type="#_x0000_t75" id="docshape779" stroked="false">
                  <v:imagedata r:id="rId5" o:title=""/>
                </v:shape>
                <v:shape style="position:absolute;left:1673;top:2028;width:9034;height:12194" id="docshape780" coordorigin="1673,2028" coordsize="9034,12194" path="m1707,4071l1697,4071,1697,14212,1707,14212,1707,4071xm10570,2028l1673,2028,1673,2043,10570,2043,10570,2028xm10706,14212l10697,14212,10697,14212,1707,14212,1697,14212,1697,14222,1707,14222,10697,14222,10697,14222,10706,14222,10706,14212xm10706,4071l10697,4071,10697,14212,10706,14212,10706,4071xm10706,4061l10697,4061,10697,4061,1707,4061,1697,4061,1697,4071,1707,4071,10697,4071,10697,4071,10706,4071,10706,4061xe" filled="true" fillcolor="#000000" stroked="false">
                  <v:path arrowok="t"/>
                  <v:fill type="solid"/>
                </v:shape>
                <v:shape style="position:absolute;left:2204;top:10022;width:7991;height:1578" type="#_x0000_t75" id="docshape781" stroked="false">
                  <v:imagedata r:id="rId99" o:title=""/>
                </v:shape>
                <w10:wrap type="none"/>
              </v:group>
            </w:pict>
          </mc:Fallback>
        </mc:AlternateContent>
      </w:r>
      <w:r>
        <w:rPr>
          <w:color w:val="172951"/>
          <w:sz w:val="20"/>
        </w:rPr>
        <w:t>Pág.</w:t>
      </w:r>
      <w:r>
        <w:rPr>
          <w:color w:val="172951"/>
          <w:spacing w:val="-7"/>
          <w:sz w:val="20"/>
        </w:rPr>
        <w:t> </w:t>
      </w:r>
      <w:r>
        <w:rPr>
          <w:color w:val="172951"/>
          <w:spacing w:val="-5"/>
          <w:sz w:val="20"/>
        </w:rPr>
        <w:t>160</w:t>
      </w:r>
    </w:p>
    <w:p>
      <w:pPr>
        <w:pStyle w:val="Heading6"/>
        <w:spacing w:before="218"/>
        <w:ind w:left="622"/>
        <w:rPr>
          <w:b w:val="0"/>
        </w:rPr>
      </w:pPr>
      <w:r>
        <w:rPr>
          <w:spacing w:val="-2"/>
        </w:rPr>
        <w:t>Revelación</w:t>
      </w:r>
      <w:r>
        <w:rPr>
          <w:b w:val="0"/>
          <w:spacing w:val="-2"/>
        </w:rPr>
        <w:t>:</w:t>
      </w:r>
    </w:p>
    <w:p>
      <w:pPr>
        <w:pStyle w:val="BodyText"/>
        <w:spacing w:line="259" w:lineRule="auto" w:before="181"/>
        <w:ind w:left="622" w:right="973"/>
        <w:jc w:val="both"/>
      </w:pPr>
      <w:r>
        <w:rPr/>
        <w:t>La cuenta Resultados negativos por tenencia y por exposición a la inflación, representa el 0,28% del total</w:t>
      </w:r>
      <w:r>
        <w:rPr>
          <w:spacing w:val="-11"/>
        </w:rPr>
        <w:t> </w:t>
      </w:r>
      <w:r>
        <w:rPr/>
        <w:t>del</w:t>
      </w:r>
      <w:r>
        <w:rPr>
          <w:spacing w:val="-10"/>
        </w:rPr>
        <w:t> </w:t>
      </w:r>
      <w:r>
        <w:rPr/>
        <w:t>Gastos,</w:t>
      </w:r>
      <w:r>
        <w:rPr>
          <w:spacing w:val="-12"/>
        </w:rPr>
        <w:t> </w:t>
      </w:r>
      <w:r>
        <w:rPr/>
        <w:t>que</w:t>
      </w:r>
      <w:r>
        <w:rPr>
          <w:spacing w:val="-9"/>
        </w:rPr>
        <w:t> </w:t>
      </w:r>
      <w:r>
        <w:rPr/>
        <w:t>comparado</w:t>
      </w:r>
      <w:r>
        <w:rPr>
          <w:spacing w:val="-9"/>
        </w:rPr>
        <w:t> </w:t>
      </w:r>
      <w:r>
        <w:rPr/>
        <w:t>al</w:t>
      </w:r>
      <w:r>
        <w:rPr>
          <w:spacing w:val="-10"/>
        </w:rPr>
        <w:t> </w:t>
      </w:r>
      <w:r>
        <w:rPr/>
        <w:t>periodo</w:t>
      </w:r>
      <w:r>
        <w:rPr>
          <w:spacing w:val="-9"/>
        </w:rPr>
        <w:t> </w:t>
      </w:r>
      <w:r>
        <w:rPr/>
        <w:t>anterior</w:t>
      </w:r>
      <w:r>
        <w:rPr>
          <w:spacing w:val="-10"/>
        </w:rPr>
        <w:t> </w:t>
      </w:r>
      <w:r>
        <w:rPr/>
        <w:t>genera</w:t>
      </w:r>
      <w:r>
        <w:rPr>
          <w:spacing w:val="-10"/>
        </w:rPr>
        <w:t> </w:t>
      </w:r>
      <w:r>
        <w:rPr/>
        <w:t>una</w:t>
      </w:r>
      <w:r>
        <w:rPr>
          <w:spacing w:val="-10"/>
        </w:rPr>
        <w:t> </w:t>
      </w:r>
      <w:r>
        <w:rPr/>
        <w:t>variación</w:t>
      </w:r>
      <w:r>
        <w:rPr>
          <w:spacing w:val="-9"/>
        </w:rPr>
        <w:t> </w:t>
      </w:r>
      <w:r>
        <w:rPr/>
        <w:t>absoluta</w:t>
      </w:r>
      <w:r>
        <w:rPr>
          <w:spacing w:val="-10"/>
        </w:rPr>
        <w:t> </w:t>
      </w:r>
      <w:r>
        <w:rPr/>
        <w:t>de</w:t>
      </w:r>
      <w:r>
        <w:rPr>
          <w:spacing w:val="-5"/>
        </w:rPr>
        <w:t> </w:t>
      </w:r>
      <w:r>
        <w:rPr/>
        <w:t>¢</w:t>
      </w:r>
      <w:r>
        <w:rPr>
          <w:spacing w:val="-10"/>
        </w:rPr>
        <w:t> </w:t>
      </w:r>
      <w:r>
        <w:rPr/>
        <w:t>289.900,96</w:t>
      </w:r>
      <w:r>
        <w:rPr>
          <w:spacing w:val="-10"/>
        </w:rPr>
        <w:t> </w:t>
      </w:r>
      <w:r>
        <w:rPr/>
        <w:t>que corresponde a un incremento del 380,38% de recursos disponibles.</w:t>
      </w:r>
    </w:p>
    <w:p>
      <w:pPr>
        <w:pStyle w:val="BodyText"/>
      </w:pPr>
    </w:p>
    <w:p>
      <w:pPr>
        <w:pStyle w:val="BodyText"/>
        <w:spacing w:before="98"/>
      </w:pPr>
    </w:p>
    <w:p>
      <w:pPr>
        <w:pStyle w:val="Heading6"/>
        <w:ind w:left="730"/>
        <w:rPr>
          <w:b w:val="0"/>
        </w:rPr>
      </w:pPr>
      <w:r>
        <w:rPr>
          <w:color w:val="1F4E79"/>
          <w:spacing w:val="-2"/>
          <w:u w:val="single" w:color="1F4E79"/>
        </w:rPr>
        <w:t>Revelación</w:t>
      </w:r>
      <w:r>
        <w:rPr>
          <w:b w:val="0"/>
          <w:spacing w:val="-2"/>
          <w:u w:val="none"/>
        </w:rPr>
        <w:t>:</w:t>
      </w:r>
    </w:p>
    <w:p>
      <w:pPr>
        <w:pStyle w:val="BodyText"/>
        <w:spacing w:line="276" w:lineRule="auto" w:before="179"/>
        <w:ind w:left="730" w:right="925"/>
        <w:jc w:val="both"/>
      </w:pPr>
      <w:r>
        <w:rPr/>
        <w:t>La cuenta de “resultados negativos por tenencia y por exposición a la inflación” hace referencia a los gastos</w:t>
      </w:r>
      <w:r>
        <w:rPr>
          <w:spacing w:val="-6"/>
        </w:rPr>
        <w:t> </w:t>
      </w:r>
      <w:r>
        <w:rPr/>
        <w:t>generados</w:t>
      </w:r>
      <w:r>
        <w:rPr>
          <w:spacing w:val="-3"/>
        </w:rPr>
        <w:t> </w:t>
      </w:r>
      <w:r>
        <w:rPr/>
        <w:t>por</w:t>
      </w:r>
      <w:r>
        <w:rPr>
          <w:spacing w:val="-4"/>
        </w:rPr>
        <w:t> </w:t>
      </w:r>
      <w:r>
        <w:rPr/>
        <w:t>el</w:t>
      </w:r>
      <w:r>
        <w:rPr>
          <w:spacing w:val="-4"/>
        </w:rPr>
        <w:t> </w:t>
      </w:r>
      <w:r>
        <w:rPr/>
        <w:t>diferencial</w:t>
      </w:r>
      <w:r>
        <w:rPr>
          <w:spacing w:val="-4"/>
        </w:rPr>
        <w:t> </w:t>
      </w:r>
      <w:r>
        <w:rPr/>
        <w:t>cambiario.</w:t>
      </w:r>
      <w:r>
        <w:rPr>
          <w:spacing w:val="-5"/>
        </w:rPr>
        <w:t> </w:t>
      </w:r>
      <w:r>
        <w:rPr/>
        <w:t>Estos</w:t>
      </w:r>
      <w:r>
        <w:rPr>
          <w:spacing w:val="-6"/>
        </w:rPr>
        <w:t> </w:t>
      </w:r>
      <w:r>
        <w:rPr/>
        <w:t>resultados</w:t>
      </w:r>
      <w:r>
        <w:rPr>
          <w:spacing w:val="-3"/>
        </w:rPr>
        <w:t> </w:t>
      </w:r>
      <w:r>
        <w:rPr/>
        <w:t>corresponden</w:t>
      </w:r>
      <w:r>
        <w:rPr>
          <w:spacing w:val="-6"/>
        </w:rPr>
        <w:t> </w:t>
      </w:r>
      <w:r>
        <w:rPr/>
        <w:t>a</w:t>
      </w:r>
      <w:r>
        <w:rPr>
          <w:spacing w:val="-5"/>
        </w:rPr>
        <w:t> </w:t>
      </w:r>
      <w:r>
        <w:rPr/>
        <w:t>las</w:t>
      </w:r>
      <w:r>
        <w:rPr>
          <w:spacing w:val="-6"/>
        </w:rPr>
        <w:t> </w:t>
      </w:r>
      <w:r>
        <w:rPr/>
        <w:t>perdidas</w:t>
      </w:r>
      <w:r>
        <w:rPr>
          <w:spacing w:val="-3"/>
        </w:rPr>
        <w:t> </w:t>
      </w:r>
      <w:r>
        <w:rPr/>
        <w:t>obtenidas por las fluctuaciones en los tipos de cambio entre la moneda funcional de la entidad, el colón costarricense (</w:t>
      </w:r>
      <w:r>
        <w:rPr>
          <w:rFonts w:ascii="Times New Roman" w:hAnsi="Times New Roman"/>
        </w:rPr>
        <w:t>₡</w:t>
      </w:r>
      <w:r>
        <w:rPr/>
        <w:t>), y las monedas extranjeras, el dólar estadounidense ($).</w:t>
      </w:r>
    </w:p>
    <w:p>
      <w:pPr>
        <w:pStyle w:val="BodyText"/>
        <w:spacing w:line="276" w:lineRule="auto" w:before="121"/>
        <w:ind w:left="730" w:right="924"/>
        <w:jc w:val="both"/>
      </w:pPr>
      <w:r>
        <w:rPr/>
        <w:t>Se reconoce el diferencial cambiario en los resultados del ejercicio, de acuerdo con los lineamientos contables establecidos con base a las NICSP 4. Las variaciones en los tipos de cambio surgen, en su mayoría,</w:t>
      </w:r>
      <w:r>
        <w:rPr>
          <w:spacing w:val="-3"/>
        </w:rPr>
        <w:t> </w:t>
      </w:r>
      <w:r>
        <w:rPr/>
        <w:t>como</w:t>
      </w:r>
      <w:r>
        <w:rPr>
          <w:spacing w:val="-3"/>
        </w:rPr>
        <w:t> </w:t>
      </w:r>
      <w:r>
        <w:rPr/>
        <w:t>consecuencia</w:t>
      </w:r>
      <w:r>
        <w:rPr>
          <w:spacing w:val="-4"/>
        </w:rPr>
        <w:t> </w:t>
      </w:r>
      <w:r>
        <w:rPr/>
        <w:t>de</w:t>
      </w:r>
      <w:r>
        <w:rPr>
          <w:spacing w:val="-5"/>
        </w:rPr>
        <w:t> </w:t>
      </w:r>
      <w:r>
        <w:rPr/>
        <w:t>la</w:t>
      </w:r>
      <w:r>
        <w:rPr>
          <w:spacing w:val="-5"/>
        </w:rPr>
        <w:t> </w:t>
      </w:r>
      <w:r>
        <w:rPr/>
        <w:t>conversión</w:t>
      </w:r>
      <w:r>
        <w:rPr>
          <w:spacing w:val="-3"/>
        </w:rPr>
        <w:t> </w:t>
      </w:r>
      <w:r>
        <w:rPr/>
        <w:t>de</w:t>
      </w:r>
      <w:r>
        <w:rPr>
          <w:spacing w:val="-5"/>
        </w:rPr>
        <w:t> </w:t>
      </w:r>
      <w:r>
        <w:rPr/>
        <w:t>derechos</w:t>
      </w:r>
      <w:r>
        <w:rPr>
          <w:spacing w:val="-5"/>
        </w:rPr>
        <w:t> </w:t>
      </w:r>
      <w:r>
        <w:rPr/>
        <w:t>u</w:t>
      </w:r>
      <w:r>
        <w:rPr>
          <w:spacing w:val="-3"/>
        </w:rPr>
        <w:t> </w:t>
      </w:r>
      <w:r>
        <w:rPr/>
        <w:t>obligaciones</w:t>
      </w:r>
      <w:r>
        <w:rPr>
          <w:spacing w:val="-5"/>
        </w:rPr>
        <w:t> </w:t>
      </w:r>
      <w:r>
        <w:rPr/>
        <w:t>mantenidas</w:t>
      </w:r>
      <w:r>
        <w:rPr>
          <w:spacing w:val="-2"/>
        </w:rPr>
        <w:t> </w:t>
      </w:r>
      <w:r>
        <w:rPr/>
        <w:t>o</w:t>
      </w:r>
      <w:r>
        <w:rPr>
          <w:spacing w:val="-5"/>
        </w:rPr>
        <w:t> </w:t>
      </w:r>
      <w:r>
        <w:rPr/>
        <w:t>generadas</w:t>
      </w:r>
      <w:r>
        <w:rPr>
          <w:spacing w:val="-2"/>
        </w:rPr>
        <w:t> </w:t>
      </w:r>
      <w:r>
        <w:rPr/>
        <w:t>en moneda extranjera pero registradas en moneda funcional.</w:t>
      </w:r>
    </w:p>
    <w:p>
      <w:pPr>
        <w:pStyle w:val="BodyText"/>
        <w:spacing w:line="276" w:lineRule="auto" w:before="120"/>
        <w:ind w:left="730" w:right="923"/>
        <w:jc w:val="both"/>
      </w:pPr>
      <w:r>
        <w:rPr/>
        <w:t>Los</w:t>
      </w:r>
      <w:r>
        <w:rPr>
          <w:spacing w:val="-6"/>
        </w:rPr>
        <w:t> </w:t>
      </w:r>
      <w:r>
        <w:rPr/>
        <w:t>gastos</w:t>
      </w:r>
      <w:r>
        <w:rPr>
          <w:spacing w:val="-6"/>
        </w:rPr>
        <w:t> </w:t>
      </w:r>
      <w:r>
        <w:rPr/>
        <w:t>derivados</w:t>
      </w:r>
      <w:r>
        <w:rPr>
          <w:spacing w:val="-6"/>
        </w:rPr>
        <w:t> </w:t>
      </w:r>
      <w:r>
        <w:rPr/>
        <w:t>del</w:t>
      </w:r>
      <w:r>
        <w:rPr>
          <w:spacing w:val="-8"/>
        </w:rPr>
        <w:t> </w:t>
      </w:r>
      <w:r>
        <w:rPr/>
        <w:t>tipo</w:t>
      </w:r>
      <w:r>
        <w:rPr>
          <w:spacing w:val="-6"/>
        </w:rPr>
        <w:t> </w:t>
      </w:r>
      <w:r>
        <w:rPr/>
        <w:t>de</w:t>
      </w:r>
      <w:r>
        <w:rPr>
          <w:spacing w:val="-9"/>
        </w:rPr>
        <w:t> </w:t>
      </w:r>
      <w:r>
        <w:rPr/>
        <w:t>cambio</w:t>
      </w:r>
      <w:r>
        <w:rPr>
          <w:spacing w:val="-6"/>
        </w:rPr>
        <w:t> </w:t>
      </w:r>
      <w:r>
        <w:rPr/>
        <w:t>se</w:t>
      </w:r>
      <w:r>
        <w:rPr>
          <w:spacing w:val="-8"/>
        </w:rPr>
        <w:t> </w:t>
      </w:r>
      <w:r>
        <w:rPr/>
        <w:t>generan</w:t>
      </w:r>
      <w:r>
        <w:rPr>
          <w:spacing w:val="-7"/>
        </w:rPr>
        <w:t> </w:t>
      </w:r>
      <w:r>
        <w:rPr/>
        <w:t>en</w:t>
      </w:r>
      <w:r>
        <w:rPr>
          <w:spacing w:val="-7"/>
        </w:rPr>
        <w:t> </w:t>
      </w:r>
      <w:r>
        <w:rPr/>
        <w:t>dos</w:t>
      </w:r>
      <w:r>
        <w:rPr>
          <w:spacing w:val="-8"/>
        </w:rPr>
        <w:t> </w:t>
      </w:r>
      <w:r>
        <w:rPr/>
        <w:t>momentos</w:t>
      </w:r>
      <w:r>
        <w:rPr>
          <w:spacing w:val="-6"/>
        </w:rPr>
        <w:t> </w:t>
      </w:r>
      <w:r>
        <w:rPr/>
        <w:t>específicos;</w:t>
      </w:r>
      <w:r>
        <w:rPr>
          <w:spacing w:val="-9"/>
        </w:rPr>
        <w:t> </w:t>
      </w:r>
      <w:r>
        <w:rPr/>
        <w:t>primero,</w:t>
      </w:r>
      <w:r>
        <w:rPr>
          <w:spacing w:val="-7"/>
        </w:rPr>
        <w:t> </w:t>
      </w:r>
      <w:r>
        <w:rPr/>
        <w:t>cuando</w:t>
      </w:r>
      <w:r>
        <w:rPr>
          <w:spacing w:val="-9"/>
        </w:rPr>
        <w:t> </w:t>
      </w:r>
      <w:r>
        <w:rPr/>
        <w:t>se produce</w:t>
      </w:r>
      <w:r>
        <w:rPr>
          <w:spacing w:val="-3"/>
        </w:rPr>
        <w:t> </w:t>
      </w:r>
      <w:r>
        <w:rPr/>
        <w:t>una</w:t>
      </w:r>
      <w:r>
        <w:rPr>
          <w:spacing w:val="-3"/>
        </w:rPr>
        <w:t> </w:t>
      </w:r>
      <w:r>
        <w:rPr/>
        <w:t>diferencia</w:t>
      </w:r>
      <w:r>
        <w:rPr>
          <w:spacing w:val="-3"/>
        </w:rPr>
        <w:t> </w:t>
      </w:r>
      <w:r>
        <w:rPr/>
        <w:t>entre</w:t>
      </w:r>
      <w:r>
        <w:rPr>
          <w:spacing w:val="-2"/>
        </w:rPr>
        <w:t> </w:t>
      </w:r>
      <w:r>
        <w:rPr/>
        <w:t>el</w:t>
      </w:r>
      <w:r>
        <w:rPr>
          <w:spacing w:val="-2"/>
        </w:rPr>
        <w:t> </w:t>
      </w:r>
      <w:r>
        <w:rPr/>
        <w:t>valor</w:t>
      </w:r>
      <w:r>
        <w:rPr>
          <w:spacing w:val="-2"/>
        </w:rPr>
        <w:t> </w:t>
      </w:r>
      <w:r>
        <w:rPr/>
        <w:t>de</w:t>
      </w:r>
      <w:r>
        <w:rPr>
          <w:spacing w:val="-4"/>
        </w:rPr>
        <w:t> </w:t>
      </w:r>
      <w:r>
        <w:rPr/>
        <w:t>un</w:t>
      </w:r>
      <w:r>
        <w:rPr>
          <w:spacing w:val="-2"/>
        </w:rPr>
        <w:t> </w:t>
      </w:r>
      <w:r>
        <w:rPr/>
        <w:t>activo</w:t>
      </w:r>
      <w:r>
        <w:rPr>
          <w:spacing w:val="-2"/>
        </w:rPr>
        <w:t> </w:t>
      </w:r>
      <w:r>
        <w:rPr/>
        <w:t>o</w:t>
      </w:r>
      <w:r>
        <w:rPr>
          <w:spacing w:val="-1"/>
        </w:rPr>
        <w:t> </w:t>
      </w:r>
      <w:r>
        <w:rPr/>
        <w:t>pasivo</w:t>
      </w:r>
      <w:r>
        <w:rPr>
          <w:spacing w:val="-2"/>
        </w:rPr>
        <w:t> </w:t>
      </w:r>
      <w:r>
        <w:rPr/>
        <w:t>en</w:t>
      </w:r>
      <w:r>
        <w:rPr>
          <w:spacing w:val="-2"/>
        </w:rPr>
        <w:t> </w:t>
      </w:r>
      <w:r>
        <w:rPr/>
        <w:t>el</w:t>
      </w:r>
      <w:r>
        <w:rPr>
          <w:spacing w:val="-2"/>
        </w:rPr>
        <w:t> </w:t>
      </w:r>
      <w:r>
        <w:rPr/>
        <w:t>momento</w:t>
      </w:r>
      <w:r>
        <w:rPr>
          <w:spacing w:val="-1"/>
        </w:rPr>
        <w:t> </w:t>
      </w:r>
      <w:r>
        <w:rPr/>
        <w:t>del</w:t>
      </w:r>
      <w:r>
        <w:rPr>
          <w:spacing w:val="-2"/>
        </w:rPr>
        <w:t> </w:t>
      </w:r>
      <w:r>
        <w:rPr/>
        <w:t>reconocimiento</w:t>
      </w:r>
      <w:r>
        <w:rPr>
          <w:spacing w:val="-2"/>
        </w:rPr>
        <w:t> </w:t>
      </w:r>
      <w:r>
        <w:rPr/>
        <w:t>inicial y</w:t>
      </w:r>
      <w:r>
        <w:rPr>
          <w:spacing w:val="-3"/>
        </w:rPr>
        <w:t> </w:t>
      </w:r>
      <w:r>
        <w:rPr/>
        <w:t>su</w:t>
      </w:r>
      <w:r>
        <w:rPr>
          <w:spacing w:val="-2"/>
        </w:rPr>
        <w:t> </w:t>
      </w:r>
      <w:r>
        <w:rPr/>
        <w:t>valor</w:t>
      </w:r>
      <w:r>
        <w:rPr>
          <w:spacing w:val="-2"/>
        </w:rPr>
        <w:t> </w:t>
      </w:r>
      <w:r>
        <w:rPr/>
        <w:t>reconvertido</w:t>
      </w:r>
      <w:r>
        <w:rPr>
          <w:spacing w:val="-2"/>
        </w:rPr>
        <w:t> </w:t>
      </w:r>
      <w:r>
        <w:rPr/>
        <w:t>en</w:t>
      </w:r>
      <w:r>
        <w:rPr>
          <w:spacing w:val="-2"/>
        </w:rPr>
        <w:t> </w:t>
      </w:r>
      <w:r>
        <w:rPr/>
        <w:t>el</w:t>
      </w:r>
      <w:r>
        <w:rPr>
          <w:spacing w:val="-2"/>
        </w:rPr>
        <w:t> </w:t>
      </w:r>
      <w:r>
        <w:rPr/>
        <w:t>momento</w:t>
      </w:r>
      <w:r>
        <w:rPr>
          <w:spacing w:val="-1"/>
        </w:rPr>
        <w:t> </w:t>
      </w:r>
      <w:r>
        <w:rPr/>
        <w:t>del</w:t>
      </w:r>
      <w:r>
        <w:rPr>
          <w:spacing w:val="-2"/>
        </w:rPr>
        <w:t> </w:t>
      </w:r>
      <w:r>
        <w:rPr/>
        <w:t>cobro</w:t>
      </w:r>
      <w:r>
        <w:rPr>
          <w:spacing w:val="-4"/>
        </w:rPr>
        <w:t> </w:t>
      </w:r>
      <w:r>
        <w:rPr/>
        <w:t>o</w:t>
      </w:r>
      <w:r>
        <w:rPr>
          <w:spacing w:val="-2"/>
        </w:rPr>
        <w:t> </w:t>
      </w:r>
      <w:r>
        <w:rPr/>
        <w:t>pago,</w:t>
      </w:r>
      <w:r>
        <w:rPr>
          <w:spacing w:val="-1"/>
        </w:rPr>
        <w:t> </w:t>
      </w:r>
      <w:r>
        <w:rPr/>
        <w:t>según</w:t>
      </w:r>
      <w:r>
        <w:rPr>
          <w:spacing w:val="-2"/>
        </w:rPr>
        <w:t> </w:t>
      </w:r>
      <w:r>
        <w:rPr/>
        <w:t>corresponda;</w:t>
      </w:r>
      <w:r>
        <w:rPr>
          <w:spacing w:val="-2"/>
        </w:rPr>
        <w:t> </w:t>
      </w:r>
      <w:r>
        <w:rPr/>
        <w:t>y</w:t>
      </w:r>
      <w:r>
        <w:rPr>
          <w:spacing w:val="-3"/>
        </w:rPr>
        <w:t> </w:t>
      </w:r>
      <w:r>
        <w:rPr/>
        <w:t>segundo,</w:t>
      </w:r>
      <w:r>
        <w:rPr>
          <w:spacing w:val="-2"/>
        </w:rPr>
        <w:t> </w:t>
      </w:r>
      <w:r>
        <w:rPr/>
        <w:t>por</w:t>
      </w:r>
      <w:r>
        <w:rPr>
          <w:spacing w:val="-2"/>
        </w:rPr>
        <w:t> </w:t>
      </w:r>
      <w:r>
        <w:rPr/>
        <w:t>el</w:t>
      </w:r>
      <w:r>
        <w:rPr>
          <w:spacing w:val="-2"/>
        </w:rPr>
        <w:t> </w:t>
      </w:r>
      <w:r>
        <w:rPr/>
        <w:t>ajuste periódico</w:t>
      </w:r>
      <w:r>
        <w:rPr>
          <w:spacing w:val="-9"/>
        </w:rPr>
        <w:t> </w:t>
      </w:r>
      <w:r>
        <w:rPr/>
        <w:t>de</w:t>
      </w:r>
      <w:r>
        <w:rPr>
          <w:spacing w:val="-11"/>
        </w:rPr>
        <w:t> </w:t>
      </w:r>
      <w:r>
        <w:rPr/>
        <w:t>los</w:t>
      </w:r>
      <w:r>
        <w:rPr>
          <w:spacing w:val="-8"/>
        </w:rPr>
        <w:t> </w:t>
      </w:r>
      <w:r>
        <w:rPr/>
        <w:t>activos</w:t>
      </w:r>
      <w:r>
        <w:rPr>
          <w:spacing w:val="-11"/>
        </w:rPr>
        <w:t> </w:t>
      </w:r>
      <w:r>
        <w:rPr/>
        <w:t>o</w:t>
      </w:r>
      <w:r>
        <w:rPr>
          <w:spacing w:val="-9"/>
        </w:rPr>
        <w:t> </w:t>
      </w:r>
      <w:r>
        <w:rPr/>
        <w:t>pasivos</w:t>
      </w:r>
      <w:r>
        <w:rPr>
          <w:spacing w:val="-9"/>
        </w:rPr>
        <w:t> </w:t>
      </w:r>
      <w:r>
        <w:rPr/>
        <w:t>monetarios</w:t>
      </w:r>
      <w:r>
        <w:rPr>
          <w:spacing w:val="-11"/>
        </w:rPr>
        <w:t> </w:t>
      </w:r>
      <w:r>
        <w:rPr/>
        <w:t>que</w:t>
      </w:r>
      <w:r>
        <w:rPr>
          <w:spacing w:val="-11"/>
        </w:rPr>
        <w:t> </w:t>
      </w:r>
      <w:r>
        <w:rPr/>
        <w:t>son</w:t>
      </w:r>
      <w:r>
        <w:rPr>
          <w:spacing w:val="-9"/>
        </w:rPr>
        <w:t> </w:t>
      </w:r>
      <w:r>
        <w:rPr/>
        <w:t>reconvertidos</w:t>
      </w:r>
      <w:r>
        <w:rPr>
          <w:spacing w:val="-9"/>
        </w:rPr>
        <w:t> </w:t>
      </w:r>
      <w:r>
        <w:rPr/>
        <w:t>al</w:t>
      </w:r>
      <w:r>
        <w:rPr>
          <w:spacing w:val="-10"/>
        </w:rPr>
        <w:t> </w:t>
      </w:r>
      <w:r>
        <w:rPr/>
        <w:t>tipo</w:t>
      </w:r>
      <w:r>
        <w:rPr>
          <w:spacing w:val="-9"/>
        </w:rPr>
        <w:t> </w:t>
      </w:r>
      <w:r>
        <w:rPr/>
        <w:t>de</w:t>
      </w:r>
      <w:r>
        <w:rPr>
          <w:spacing w:val="-11"/>
        </w:rPr>
        <w:t> </w:t>
      </w:r>
      <w:r>
        <w:rPr/>
        <w:t>cambio</w:t>
      </w:r>
      <w:r>
        <w:rPr>
          <w:spacing w:val="-9"/>
        </w:rPr>
        <w:t> </w:t>
      </w:r>
      <w:r>
        <w:rPr/>
        <w:t>de</w:t>
      </w:r>
      <w:r>
        <w:rPr>
          <w:spacing w:val="-11"/>
        </w:rPr>
        <w:t> </w:t>
      </w:r>
      <w:r>
        <w:rPr/>
        <w:t>cierre</w:t>
      </w:r>
      <w:r>
        <w:rPr>
          <w:spacing w:val="-11"/>
        </w:rPr>
        <w:t> </w:t>
      </w:r>
      <w:r>
        <w:rPr/>
        <w:t>al</w:t>
      </w:r>
      <w:r>
        <w:rPr>
          <w:spacing w:val="-10"/>
        </w:rPr>
        <w:t> </w:t>
      </w:r>
      <w:r>
        <w:rPr/>
        <w:t>final de cada periodo contable.</w:t>
      </w:r>
    </w:p>
    <w:p>
      <w:pPr>
        <w:pStyle w:val="BodyText"/>
        <w:spacing w:line="276" w:lineRule="auto" w:before="120"/>
        <w:ind w:left="730" w:right="926"/>
        <w:jc w:val="both"/>
      </w:pPr>
      <w:r>
        <w:rPr/>
        <w:t>Se utiliza el tipo de cambio de referencia del Banco Central de Costa Rica para el registro inicial de derechos</w:t>
      </w:r>
      <w:r>
        <w:rPr>
          <w:spacing w:val="-10"/>
        </w:rPr>
        <w:t> </w:t>
      </w:r>
      <w:r>
        <w:rPr/>
        <w:t>u</w:t>
      </w:r>
      <w:r>
        <w:rPr>
          <w:spacing w:val="-11"/>
        </w:rPr>
        <w:t> </w:t>
      </w:r>
      <w:r>
        <w:rPr/>
        <w:t>obligaciones,</w:t>
      </w:r>
      <w:r>
        <w:rPr>
          <w:spacing w:val="-10"/>
        </w:rPr>
        <w:t> </w:t>
      </w:r>
      <w:r>
        <w:rPr/>
        <w:t>conforme</w:t>
      </w:r>
      <w:r>
        <w:rPr>
          <w:spacing w:val="-12"/>
        </w:rPr>
        <w:t> </w:t>
      </w:r>
      <w:r>
        <w:rPr/>
        <w:t>al</w:t>
      </w:r>
      <w:r>
        <w:rPr>
          <w:spacing w:val="-11"/>
        </w:rPr>
        <w:t> </w:t>
      </w:r>
      <w:r>
        <w:rPr/>
        <w:t>Reglamento</w:t>
      </w:r>
      <w:r>
        <w:rPr>
          <w:spacing w:val="-9"/>
        </w:rPr>
        <w:t> </w:t>
      </w:r>
      <w:r>
        <w:rPr/>
        <w:t>de</w:t>
      </w:r>
      <w:r>
        <w:rPr>
          <w:spacing w:val="-14"/>
        </w:rPr>
        <w:t> </w:t>
      </w:r>
      <w:r>
        <w:rPr/>
        <w:t>Contratación</w:t>
      </w:r>
      <w:r>
        <w:rPr>
          <w:spacing w:val="-10"/>
        </w:rPr>
        <w:t> </w:t>
      </w:r>
      <w:r>
        <w:rPr/>
        <w:t>Administrativa</w:t>
      </w:r>
      <w:r>
        <w:rPr>
          <w:spacing w:val="-11"/>
        </w:rPr>
        <w:t> </w:t>
      </w:r>
      <w:r>
        <w:rPr/>
        <w:t>y</w:t>
      </w:r>
      <w:r>
        <w:rPr>
          <w:spacing w:val="-12"/>
        </w:rPr>
        <w:t> </w:t>
      </w:r>
      <w:r>
        <w:rPr/>
        <w:t>al</w:t>
      </w:r>
      <w:r>
        <w:rPr>
          <w:spacing w:val="-11"/>
        </w:rPr>
        <w:t> </w:t>
      </w:r>
      <w:r>
        <w:rPr/>
        <w:t>Reglamento</w:t>
      </w:r>
      <w:r>
        <w:rPr>
          <w:spacing w:val="-10"/>
        </w:rPr>
        <w:t> </w:t>
      </w:r>
      <w:r>
        <w:rPr/>
        <w:t>del Impuesto al Valor Agregado.</w:t>
      </w:r>
    </w:p>
    <w:p>
      <w:pPr>
        <w:pStyle w:val="BodyText"/>
        <w:spacing w:before="121"/>
        <w:ind w:left="730"/>
        <w:jc w:val="both"/>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pPr>
    </w:p>
    <w:p>
      <w:pPr>
        <w:pStyle w:val="BodyText"/>
      </w:pPr>
    </w:p>
    <w:p>
      <w:pPr>
        <w:pStyle w:val="BodyText"/>
      </w:pPr>
    </w:p>
    <w:p>
      <w:pPr>
        <w:pStyle w:val="BodyText"/>
      </w:pPr>
    </w:p>
    <w:p>
      <w:pPr>
        <w:pStyle w:val="BodyText"/>
      </w:pPr>
    </w:p>
    <w:p>
      <w:pPr>
        <w:pStyle w:val="BodyText"/>
      </w:pPr>
    </w:p>
    <w:p>
      <w:pPr>
        <w:pStyle w:val="BodyText"/>
        <w:spacing w:before="172"/>
      </w:pPr>
    </w:p>
    <w:p>
      <w:pPr>
        <w:pStyle w:val="BodyText"/>
        <w:ind w:left="730" w:right="921"/>
        <w:jc w:val="both"/>
      </w:pPr>
      <w:r>
        <w:rPr/>
        <w:t>La cuenta Resultados negativos por tenencia y por exposición a la inflación, representa el 0,28 % del total</w:t>
      </w:r>
      <w:r>
        <w:rPr>
          <w:spacing w:val="-11"/>
        </w:rPr>
        <w:t> </w:t>
      </w:r>
      <w:r>
        <w:rPr/>
        <w:t>de</w:t>
      </w:r>
      <w:r>
        <w:rPr>
          <w:spacing w:val="-11"/>
        </w:rPr>
        <w:t> </w:t>
      </w:r>
      <w:r>
        <w:rPr/>
        <w:t>Gastos,</w:t>
      </w:r>
      <w:r>
        <w:rPr>
          <w:spacing w:val="-12"/>
        </w:rPr>
        <w:t> </w:t>
      </w:r>
      <w:r>
        <w:rPr/>
        <w:t>que</w:t>
      </w:r>
      <w:r>
        <w:rPr>
          <w:spacing w:val="-11"/>
        </w:rPr>
        <w:t> </w:t>
      </w:r>
      <w:r>
        <w:rPr/>
        <w:t>comparado</w:t>
      </w:r>
      <w:r>
        <w:rPr>
          <w:spacing w:val="-9"/>
        </w:rPr>
        <w:t> </w:t>
      </w:r>
      <w:r>
        <w:rPr/>
        <w:t>al</w:t>
      </w:r>
      <w:r>
        <w:rPr>
          <w:spacing w:val="-10"/>
        </w:rPr>
        <w:t> </w:t>
      </w:r>
      <w:r>
        <w:rPr/>
        <w:t>periodo</w:t>
      </w:r>
      <w:r>
        <w:rPr>
          <w:spacing w:val="-9"/>
        </w:rPr>
        <w:t> </w:t>
      </w:r>
      <w:r>
        <w:rPr/>
        <w:t>anterior</w:t>
      </w:r>
      <w:r>
        <w:rPr>
          <w:spacing w:val="-10"/>
        </w:rPr>
        <w:t> </w:t>
      </w:r>
      <w:r>
        <w:rPr/>
        <w:t>genera</w:t>
      </w:r>
      <w:r>
        <w:rPr>
          <w:spacing w:val="-10"/>
        </w:rPr>
        <w:t> </w:t>
      </w:r>
      <w:r>
        <w:rPr/>
        <w:t>una</w:t>
      </w:r>
      <w:r>
        <w:rPr>
          <w:spacing w:val="-10"/>
        </w:rPr>
        <w:t> </w:t>
      </w:r>
      <w:r>
        <w:rPr/>
        <w:t>variación</w:t>
      </w:r>
      <w:r>
        <w:rPr>
          <w:spacing w:val="-9"/>
        </w:rPr>
        <w:t> </w:t>
      </w:r>
      <w:r>
        <w:rPr/>
        <w:t>absoluta</w:t>
      </w:r>
      <w:r>
        <w:rPr>
          <w:spacing w:val="-10"/>
        </w:rPr>
        <w:t> </w:t>
      </w:r>
      <w:r>
        <w:rPr/>
        <w:t>de</w:t>
      </w:r>
      <w:r>
        <w:rPr>
          <w:spacing w:val="-13"/>
        </w:rPr>
        <w:t> </w:t>
      </w:r>
      <w:r>
        <w:rPr/>
        <w:t>¢</w:t>
      </w:r>
      <w:r>
        <w:rPr>
          <w:spacing w:val="-10"/>
        </w:rPr>
        <w:t> </w:t>
      </w:r>
      <w:r>
        <w:rPr/>
        <w:t>289.900,96</w:t>
      </w:r>
      <w:r>
        <w:rPr>
          <w:spacing w:val="-10"/>
        </w:rPr>
        <w:t> </w:t>
      </w:r>
      <w:r>
        <w:rPr/>
        <w:t>que corresponde a un(a) incremento del 380,38% de recursos disponibles, disponibles, producto de la disminución del tipo de cambio de referencia del Banco Central utilizado en las transacciones negociadas en moneda extranjera y con variaciones del tipo de cambio, principalmente en las transacciones de empresas comerciales.</w:t>
      </w:r>
    </w:p>
    <w:p>
      <w:pPr>
        <w:pStyle w:val="BodyText"/>
        <w:spacing w:before="160"/>
        <w:ind w:left="730" w:right="923"/>
        <w:jc w:val="both"/>
      </w:pPr>
      <w:r>
        <w:rPr/>
        <w:t>El</w:t>
      </w:r>
      <w:r>
        <w:rPr>
          <w:spacing w:val="-12"/>
        </w:rPr>
        <w:t> </w:t>
      </w:r>
      <w:r>
        <w:rPr/>
        <w:t>aumento</w:t>
      </w:r>
      <w:r>
        <w:rPr>
          <w:spacing w:val="-11"/>
        </w:rPr>
        <w:t> </w:t>
      </w:r>
      <w:r>
        <w:rPr/>
        <w:t>del</w:t>
      </w:r>
      <w:r>
        <w:rPr>
          <w:spacing w:val="-12"/>
        </w:rPr>
        <w:t> </w:t>
      </w:r>
      <w:r>
        <w:rPr/>
        <w:t>gasto</w:t>
      </w:r>
      <w:r>
        <w:rPr>
          <w:spacing w:val="-11"/>
        </w:rPr>
        <w:t> </w:t>
      </w:r>
      <w:r>
        <w:rPr/>
        <w:t>por</w:t>
      </w:r>
      <w:r>
        <w:rPr>
          <w:spacing w:val="-12"/>
        </w:rPr>
        <w:t> </w:t>
      </w:r>
      <w:r>
        <w:rPr/>
        <w:t>diferencial</w:t>
      </w:r>
      <w:r>
        <w:rPr>
          <w:spacing w:val="-12"/>
        </w:rPr>
        <w:t> </w:t>
      </w:r>
      <w:r>
        <w:rPr/>
        <w:t>cambiario</w:t>
      </w:r>
      <w:r>
        <w:rPr>
          <w:spacing w:val="-11"/>
        </w:rPr>
        <w:t> </w:t>
      </w:r>
      <w:r>
        <w:rPr/>
        <w:t>no</w:t>
      </w:r>
      <w:r>
        <w:rPr>
          <w:spacing w:val="-11"/>
        </w:rPr>
        <w:t> </w:t>
      </w:r>
      <w:r>
        <w:rPr/>
        <w:t>obedece</w:t>
      </w:r>
      <w:r>
        <w:rPr>
          <w:spacing w:val="-13"/>
        </w:rPr>
        <w:t> </w:t>
      </w:r>
      <w:r>
        <w:rPr/>
        <w:t>exclusivamente</w:t>
      </w:r>
      <w:r>
        <w:rPr>
          <w:spacing w:val="-12"/>
        </w:rPr>
        <w:t> </w:t>
      </w:r>
      <w:r>
        <w:rPr/>
        <w:t>al</w:t>
      </w:r>
      <w:r>
        <w:rPr>
          <w:spacing w:val="-12"/>
        </w:rPr>
        <w:t> </w:t>
      </w:r>
      <w:r>
        <w:rPr/>
        <w:t>nivel</w:t>
      </w:r>
      <w:r>
        <w:rPr>
          <w:spacing w:val="-10"/>
        </w:rPr>
        <w:t> </w:t>
      </w:r>
      <w:r>
        <w:rPr/>
        <w:t>del</w:t>
      </w:r>
      <w:r>
        <w:rPr>
          <w:spacing w:val="-12"/>
        </w:rPr>
        <w:t> </w:t>
      </w:r>
      <w:r>
        <w:rPr/>
        <w:t>tipo</w:t>
      </w:r>
      <w:r>
        <w:rPr>
          <w:spacing w:val="-11"/>
        </w:rPr>
        <w:t> </w:t>
      </w:r>
      <w:r>
        <w:rPr/>
        <w:t>de</w:t>
      </w:r>
      <w:r>
        <w:rPr>
          <w:spacing w:val="-13"/>
        </w:rPr>
        <w:t> </w:t>
      </w:r>
      <w:r>
        <w:rPr/>
        <w:t>cambio, sino al efecto de su variación sobre los activos y pasivos monetarios denominados en moneda extranjera.</w:t>
      </w:r>
      <w:r>
        <w:rPr>
          <w:spacing w:val="-7"/>
        </w:rPr>
        <w:t> </w:t>
      </w:r>
      <w:r>
        <w:rPr/>
        <w:t>Aun</w:t>
      </w:r>
      <w:r>
        <w:rPr>
          <w:spacing w:val="-4"/>
        </w:rPr>
        <w:t> </w:t>
      </w:r>
      <w:r>
        <w:rPr/>
        <w:t>cuando</w:t>
      </w:r>
      <w:r>
        <w:rPr>
          <w:spacing w:val="-4"/>
        </w:rPr>
        <w:t> </w:t>
      </w:r>
      <w:r>
        <w:rPr/>
        <w:t>el</w:t>
      </w:r>
      <w:r>
        <w:rPr>
          <w:spacing w:val="-5"/>
        </w:rPr>
        <w:t> </w:t>
      </w:r>
      <w:r>
        <w:rPr/>
        <w:t>tipo</w:t>
      </w:r>
      <w:r>
        <w:rPr>
          <w:spacing w:val="-4"/>
        </w:rPr>
        <w:t> </w:t>
      </w:r>
      <w:r>
        <w:rPr/>
        <w:t>de</w:t>
      </w:r>
      <w:r>
        <w:rPr>
          <w:spacing w:val="-7"/>
        </w:rPr>
        <w:t> </w:t>
      </w:r>
      <w:r>
        <w:rPr/>
        <w:t>cambio</w:t>
      </w:r>
      <w:r>
        <w:rPr>
          <w:spacing w:val="-4"/>
        </w:rPr>
        <w:t> </w:t>
      </w:r>
      <w:r>
        <w:rPr/>
        <w:t>presenta</w:t>
      </w:r>
      <w:r>
        <w:rPr>
          <w:spacing w:val="-5"/>
        </w:rPr>
        <w:t> </w:t>
      </w:r>
      <w:r>
        <w:rPr/>
        <w:t>una</w:t>
      </w:r>
      <w:r>
        <w:rPr>
          <w:spacing w:val="-5"/>
        </w:rPr>
        <w:t> </w:t>
      </w:r>
      <w:r>
        <w:rPr/>
        <w:t>tendencia</w:t>
      </w:r>
      <w:r>
        <w:rPr>
          <w:spacing w:val="-5"/>
        </w:rPr>
        <w:t> </w:t>
      </w:r>
      <w:r>
        <w:rPr/>
        <w:t>a</w:t>
      </w:r>
      <w:r>
        <w:rPr>
          <w:spacing w:val="-6"/>
        </w:rPr>
        <w:t> </w:t>
      </w:r>
      <w:r>
        <w:rPr/>
        <w:t>la</w:t>
      </w:r>
      <w:r>
        <w:rPr>
          <w:spacing w:val="-5"/>
        </w:rPr>
        <w:t> </w:t>
      </w:r>
      <w:r>
        <w:rPr/>
        <w:t>baja,</w:t>
      </w:r>
      <w:r>
        <w:rPr>
          <w:spacing w:val="-5"/>
        </w:rPr>
        <w:t> </w:t>
      </w:r>
      <w:r>
        <w:rPr/>
        <w:t>la</w:t>
      </w:r>
      <w:r>
        <w:rPr>
          <w:spacing w:val="-6"/>
        </w:rPr>
        <w:t> </w:t>
      </w:r>
      <w:r>
        <w:rPr/>
        <w:t>reexpresión</w:t>
      </w:r>
      <w:r>
        <w:rPr>
          <w:spacing w:val="-3"/>
        </w:rPr>
        <w:t> </w:t>
      </w:r>
      <w:r>
        <w:rPr/>
        <w:t>mensual</w:t>
      </w:r>
      <w:r>
        <w:rPr>
          <w:spacing w:val="-5"/>
        </w:rPr>
        <w:t> de</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8064">
                <wp:simplePos x="0" y="0"/>
                <wp:positionH relativeFrom="page">
                  <wp:posOffset>9525</wp:posOffset>
                </wp:positionH>
                <wp:positionV relativeFrom="page">
                  <wp:posOffset>297208</wp:posOffset>
                </wp:positionV>
                <wp:extent cx="7762875" cy="9748520"/>
                <wp:effectExtent l="0" t="0" r="0" b="0"/>
                <wp:wrapNone/>
                <wp:docPr id="807" name="Group 807"/>
                <wp:cNvGraphicFramePr>
                  <a:graphicFrameLocks/>
                </wp:cNvGraphicFramePr>
                <a:graphic>
                  <a:graphicData uri="http://schemas.microsoft.com/office/word/2010/wordprocessingGroup">
                    <wpg:wgp>
                      <wpg:cNvPr id="807" name="Group 807"/>
                      <wpg:cNvGrpSpPr/>
                      <wpg:grpSpPr>
                        <a:xfrm>
                          <a:off x="0" y="0"/>
                          <a:ext cx="7762875" cy="9748520"/>
                          <a:chExt cx="7762875" cy="9748520"/>
                        </a:xfrm>
                      </wpg:grpSpPr>
                      <pic:pic>
                        <pic:nvPicPr>
                          <pic:cNvPr id="808" name="Image 808"/>
                          <pic:cNvPicPr/>
                        </pic:nvPicPr>
                        <pic:blipFill>
                          <a:blip r:embed="rId5" cstate="print"/>
                          <a:stretch>
                            <a:fillRect/>
                          </a:stretch>
                        </pic:blipFill>
                        <pic:spPr>
                          <a:xfrm>
                            <a:off x="0" y="0"/>
                            <a:ext cx="7762874" cy="9748489"/>
                          </a:xfrm>
                          <a:prstGeom prst="rect">
                            <a:avLst/>
                          </a:prstGeom>
                        </pic:spPr>
                      </pic:pic>
                      <wps:wsp>
                        <wps:cNvPr id="809" name="Graphic 80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8416" id="docshapegroup782" coordorigin="15,468" coordsize="12225,15352">
                <v:shape style="position:absolute;left:15;top:468;width:12225;height:15352" type="#_x0000_t75" id="docshape783" stroked="false">
                  <v:imagedata r:id="rId5" o:title=""/>
                </v:shape>
                <v:rect style="position:absolute;left:1673;top:2028;width:8897;height:15" id="docshape78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161</w:t>
      </w:r>
    </w:p>
    <w:p>
      <w:pPr>
        <w:pStyle w:val="BodyText"/>
        <w:spacing w:before="10"/>
        <w:rPr>
          <w:sz w:val="16"/>
        </w:rPr>
      </w:pPr>
      <w:r>
        <w:rPr>
          <w:sz w:val="16"/>
        </w:rPr>
        <mc:AlternateContent>
          <mc:Choice Requires="wps">
            <w:drawing>
              <wp:anchor distT="0" distB="0" distL="0" distR="0" allowOverlap="1" layoutInCell="1" locked="0" behindDoc="1" simplePos="0" relativeHeight="487749632">
                <wp:simplePos x="0" y="0"/>
                <wp:positionH relativeFrom="page">
                  <wp:posOffset>1080820</wp:posOffset>
                </wp:positionH>
                <wp:positionV relativeFrom="paragraph">
                  <wp:posOffset>141144</wp:posOffset>
                </wp:positionV>
                <wp:extent cx="5715000" cy="586740"/>
                <wp:effectExtent l="0" t="0" r="0" b="0"/>
                <wp:wrapTopAndBottom/>
                <wp:docPr id="810" name="Textbox 810"/>
                <wp:cNvGraphicFramePr>
                  <a:graphicFrameLocks/>
                </wp:cNvGraphicFramePr>
                <a:graphic>
                  <a:graphicData uri="http://schemas.microsoft.com/office/word/2010/wordprocessingShape">
                    <wps:wsp>
                      <wps:cNvPr id="810" name="Textbox 810"/>
                      <wps:cNvSpPr txBox="1"/>
                      <wps:spPr>
                        <a:xfrm>
                          <a:off x="0" y="0"/>
                          <a:ext cx="5715000" cy="586740"/>
                        </a:xfrm>
                        <a:prstGeom prst="rect">
                          <a:avLst/>
                        </a:prstGeom>
                        <a:ln w="6095">
                          <a:solidFill>
                            <a:srgbClr val="000000"/>
                          </a:solidFill>
                          <a:prstDash val="solid"/>
                        </a:ln>
                      </wps:spPr>
                      <wps:txbx>
                        <w:txbxContent>
                          <w:p>
                            <w:pPr>
                              <w:pStyle w:val="BodyText"/>
                              <w:ind w:left="103" w:right="103"/>
                              <w:jc w:val="both"/>
                            </w:pPr>
                            <w:r>
                              <w:rPr/>
                              <w:t>saldos en dólares, el volumen de transacciones y la diferencia entre el tipo de cambio de reconocimiento y el de cierre del período pueden generar resultados negativos por diferencial cambiario, conforme a lo establecido en la NICSP 4.</w:t>
                            </w:r>
                          </w:p>
                        </w:txbxContent>
                      </wps:txbx>
                      <wps:bodyPr wrap="square" lIns="0" tIns="0" rIns="0" bIns="0" rtlCol="0">
                        <a:noAutofit/>
                      </wps:bodyPr>
                    </wps:wsp>
                  </a:graphicData>
                </a:graphic>
              </wp:anchor>
            </w:drawing>
          </mc:Choice>
          <mc:Fallback>
            <w:pict>
              <v:shape style="position:absolute;margin-left:85.103996pt;margin-top:11.11375pt;width:450pt;height:46.2pt;mso-position-horizontal-relative:page;mso-position-vertical-relative:paragraph;z-index:-15566848;mso-wrap-distance-left:0;mso-wrap-distance-right:0" type="#_x0000_t202" id="docshape785" filled="false" stroked="true" strokeweight=".47998pt" strokecolor="#000000">
                <v:textbox inset="0,0,0,0">
                  <w:txbxContent>
                    <w:p>
                      <w:pPr>
                        <w:pStyle w:val="BodyText"/>
                        <w:ind w:left="103" w:right="103"/>
                        <w:jc w:val="both"/>
                      </w:pPr>
                      <w:r>
                        <w:rPr/>
                        <w:t>saldos en dólares, el volumen de transacciones y la diferencia entre el tipo de cambio de reconocimiento y el de cierre del período pueden generar resultados negativos por diferencial cambiario, conforme a lo establecido en la NICSP 4.</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29" w:id="130"/>
      <w:bookmarkEnd w:id="130"/>
      <w:r>
        <w:rPr/>
      </w:r>
      <w:r>
        <w:rPr>
          <w:b/>
          <w:sz w:val="22"/>
        </w:rPr>
        <w:t>NOTA</w:t>
      </w:r>
      <w:r>
        <w:rPr>
          <w:b/>
          <w:spacing w:val="-1"/>
          <w:sz w:val="22"/>
        </w:rPr>
        <w:t> </w:t>
      </w:r>
      <w:r>
        <w:rPr>
          <w:b/>
          <w:sz w:val="22"/>
        </w:rPr>
        <w:t>N° </w:t>
      </w:r>
      <w:r>
        <w:rPr>
          <w:b/>
          <w:spacing w:val="-5"/>
          <w:sz w:val="22"/>
        </w:rPr>
        <w:t>75</w:t>
      </w:r>
    </w:p>
    <w:p>
      <w:pPr>
        <w:pStyle w:val="BodyText"/>
        <w:spacing w:before="114"/>
        <w:rPr>
          <w:b/>
        </w:rPr>
      </w:pPr>
    </w:p>
    <w:p>
      <w:pPr>
        <w:pStyle w:val="BodyText"/>
        <w:spacing w:before="1"/>
        <w:ind w:left="622"/>
      </w:pPr>
      <w:r>
        <w:rPr/>
        <w:t>Resultados</w:t>
      </w:r>
      <w:r>
        <w:rPr>
          <w:spacing w:val="-6"/>
        </w:rPr>
        <w:t> </w:t>
      </w:r>
      <w:r>
        <w:rPr/>
        <w:t>negativos</w:t>
      </w:r>
      <w:r>
        <w:rPr>
          <w:spacing w:val="-7"/>
        </w:rPr>
        <w:t> </w:t>
      </w:r>
      <w:r>
        <w:rPr/>
        <w:t>de</w:t>
      </w:r>
      <w:r>
        <w:rPr>
          <w:spacing w:val="-6"/>
        </w:rPr>
        <w:t> </w:t>
      </w:r>
      <w:r>
        <w:rPr/>
        <w:t>inversiones</w:t>
      </w:r>
      <w:r>
        <w:rPr>
          <w:spacing w:val="-5"/>
        </w:rPr>
        <w:t> </w:t>
      </w:r>
      <w:r>
        <w:rPr/>
        <w:t>patrimoniales</w:t>
      </w:r>
      <w:r>
        <w:rPr>
          <w:spacing w:val="-5"/>
        </w:rPr>
        <w:t> </w:t>
      </w:r>
      <w:r>
        <w:rPr/>
        <w:t>y</w:t>
      </w:r>
      <w:r>
        <w:rPr>
          <w:spacing w:val="-7"/>
        </w:rPr>
        <w:t> </w:t>
      </w:r>
      <w:r>
        <w:rPr/>
        <w:t>participación</w:t>
      </w:r>
      <w:r>
        <w:rPr>
          <w:spacing w:val="-6"/>
        </w:rPr>
        <w:t> </w:t>
      </w:r>
      <w:r>
        <w:rPr/>
        <w:t>de</w:t>
      </w:r>
      <w:r>
        <w:rPr>
          <w:spacing w:val="-6"/>
        </w:rPr>
        <w:t> </w:t>
      </w:r>
      <w:r>
        <w:rPr/>
        <w:t>los</w:t>
      </w:r>
      <w:r>
        <w:rPr>
          <w:spacing w:val="-5"/>
        </w:rPr>
        <w:t> </w:t>
      </w:r>
      <w:r>
        <w:rPr/>
        <w:t>intereses</w:t>
      </w:r>
      <w:r>
        <w:rPr>
          <w:spacing w:val="-5"/>
        </w:rPr>
        <w:t> </w:t>
      </w:r>
      <w:r>
        <w:rPr>
          <w:spacing w:val="-2"/>
        </w:rPr>
        <w:t>minoritarios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0"/>
        <w:gridCol w:w="4244"/>
        <w:gridCol w:w="708"/>
        <w:gridCol w:w="992"/>
        <w:gridCol w:w="1150"/>
        <w:gridCol w:w="1160"/>
      </w:tblGrid>
      <w:tr>
        <w:trPr>
          <w:trHeight w:val="227" w:hRule="atLeast"/>
        </w:trPr>
        <w:tc>
          <w:tcPr>
            <w:tcW w:w="710" w:type="dxa"/>
            <w:vMerge w:val="restart"/>
            <w:shd w:val="clear" w:color="auto" w:fill="365F92"/>
          </w:tcPr>
          <w:p>
            <w:pPr>
              <w:pStyle w:val="TableParagraph"/>
              <w:spacing w:before="34"/>
              <w:ind w:left="69"/>
              <w:rPr>
                <w:b/>
                <w:sz w:val="20"/>
              </w:rPr>
            </w:pPr>
            <w:r>
              <w:rPr>
                <w:b/>
                <w:color w:val="FFFFFF"/>
                <w:spacing w:val="-2"/>
                <w:sz w:val="20"/>
              </w:rPr>
              <w:t>Cuenta</w:t>
            </w:r>
          </w:p>
        </w:tc>
        <w:tc>
          <w:tcPr>
            <w:tcW w:w="4244" w:type="dxa"/>
            <w:vMerge w:val="restart"/>
            <w:shd w:val="clear" w:color="auto" w:fill="365F92"/>
          </w:tcPr>
          <w:p>
            <w:pPr>
              <w:pStyle w:val="TableParagraph"/>
              <w:spacing w:before="124"/>
              <w:ind w:left="17"/>
              <w:jc w:val="center"/>
              <w:rPr>
                <w:b/>
                <w:sz w:val="20"/>
              </w:rPr>
            </w:pPr>
            <w:r>
              <w:rPr>
                <w:b/>
                <w:color w:val="FFFFFF"/>
                <w:spacing w:val="-2"/>
                <w:sz w:val="20"/>
              </w:rPr>
              <w:t>Descripción</w:t>
            </w:r>
          </w:p>
        </w:tc>
        <w:tc>
          <w:tcPr>
            <w:tcW w:w="708" w:type="dxa"/>
            <w:vMerge w:val="restart"/>
            <w:shd w:val="clear" w:color="auto" w:fill="365F92"/>
          </w:tcPr>
          <w:p>
            <w:pPr>
              <w:pStyle w:val="TableParagraph"/>
              <w:spacing w:before="124"/>
              <w:ind w:left="156"/>
              <w:rPr>
                <w:b/>
                <w:sz w:val="20"/>
              </w:rPr>
            </w:pPr>
            <w:r>
              <w:rPr>
                <w:b/>
                <w:color w:val="FFFFFF"/>
                <w:spacing w:val="-4"/>
                <w:sz w:val="20"/>
              </w:rPr>
              <w:t>Nota</w:t>
            </w:r>
          </w:p>
        </w:tc>
        <w:tc>
          <w:tcPr>
            <w:tcW w:w="992" w:type="dxa"/>
            <w:vMerge w:val="restart"/>
            <w:shd w:val="clear" w:color="auto" w:fill="365F92"/>
          </w:tcPr>
          <w:p>
            <w:pPr>
              <w:pStyle w:val="TableParagraph"/>
              <w:spacing w:line="230" w:lineRule="atLeast"/>
              <w:ind w:left="237" w:right="135" w:hanging="39"/>
              <w:rPr>
                <w:b/>
                <w:sz w:val="20"/>
              </w:rPr>
            </w:pPr>
            <w:r>
              <w:rPr>
                <w:b/>
                <w:color w:val="FFFFFF"/>
                <w:spacing w:val="-2"/>
                <w:sz w:val="20"/>
              </w:rPr>
              <w:t>Periodo Actual</w:t>
            </w:r>
          </w:p>
        </w:tc>
        <w:tc>
          <w:tcPr>
            <w:tcW w:w="1150" w:type="dxa"/>
            <w:vMerge w:val="restart"/>
            <w:shd w:val="clear" w:color="auto" w:fill="365F92"/>
          </w:tcPr>
          <w:p>
            <w:pPr>
              <w:pStyle w:val="TableParagraph"/>
              <w:spacing w:line="230" w:lineRule="atLeast"/>
              <w:ind w:left="235" w:right="208" w:firstLine="45"/>
              <w:rPr>
                <w:b/>
                <w:sz w:val="20"/>
              </w:rPr>
            </w:pPr>
            <w:r>
              <w:rPr>
                <w:b/>
                <w:color w:val="FFFFFF"/>
                <w:spacing w:val="-2"/>
                <w:sz w:val="20"/>
              </w:rPr>
              <w:t>Periodo Anterior</w:t>
            </w:r>
          </w:p>
        </w:tc>
        <w:tc>
          <w:tcPr>
            <w:tcW w:w="1160" w:type="dxa"/>
            <w:shd w:val="clear" w:color="auto" w:fill="365F92"/>
          </w:tcPr>
          <w:p>
            <w:pPr>
              <w:pStyle w:val="TableParagraph"/>
              <w:spacing w:line="207" w:lineRule="exact"/>
              <w:ind w:left="18" w:right="2"/>
              <w:jc w:val="center"/>
              <w:rPr>
                <w:b/>
                <w:sz w:val="20"/>
              </w:rPr>
            </w:pPr>
            <w:r>
              <w:rPr>
                <w:b/>
                <w:color w:val="FFFFFF"/>
                <w:spacing w:val="-2"/>
                <w:sz w:val="20"/>
              </w:rPr>
              <w:t>Diferencia</w:t>
            </w:r>
          </w:p>
        </w:tc>
      </w:tr>
      <w:tr>
        <w:trPr>
          <w:trHeight w:val="230" w:hRule="atLeast"/>
        </w:trPr>
        <w:tc>
          <w:tcPr>
            <w:tcW w:w="710" w:type="dxa"/>
            <w:vMerge/>
            <w:tcBorders>
              <w:top w:val="nil"/>
            </w:tcBorders>
            <w:shd w:val="clear" w:color="auto" w:fill="365F92"/>
          </w:tcPr>
          <w:p>
            <w:pPr>
              <w:rPr>
                <w:sz w:val="2"/>
                <w:szCs w:val="2"/>
              </w:rPr>
            </w:pPr>
          </w:p>
        </w:tc>
        <w:tc>
          <w:tcPr>
            <w:tcW w:w="4244"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992" w:type="dxa"/>
            <w:vMerge/>
            <w:tcBorders>
              <w:top w:val="nil"/>
            </w:tcBorders>
            <w:shd w:val="clear" w:color="auto" w:fill="365F92"/>
          </w:tcPr>
          <w:p>
            <w:pPr>
              <w:rPr>
                <w:sz w:val="2"/>
                <w:szCs w:val="2"/>
              </w:rPr>
            </w:pPr>
          </w:p>
        </w:tc>
        <w:tc>
          <w:tcPr>
            <w:tcW w:w="1150" w:type="dxa"/>
            <w:vMerge/>
            <w:tcBorders>
              <w:top w:val="nil"/>
            </w:tcBorders>
            <w:shd w:val="clear" w:color="auto" w:fill="365F92"/>
          </w:tcPr>
          <w:p>
            <w:pPr>
              <w:rPr>
                <w:sz w:val="2"/>
                <w:szCs w:val="2"/>
              </w:rPr>
            </w:pPr>
          </w:p>
        </w:tc>
        <w:tc>
          <w:tcPr>
            <w:tcW w:w="1160" w:type="dxa"/>
            <w:shd w:val="clear" w:color="auto" w:fill="365F92"/>
          </w:tcPr>
          <w:p>
            <w:pPr>
              <w:pStyle w:val="TableParagraph"/>
              <w:spacing w:line="210" w:lineRule="exact"/>
              <w:ind w:left="18" w:right="3"/>
              <w:jc w:val="center"/>
              <w:rPr>
                <w:sz w:val="20"/>
              </w:rPr>
            </w:pPr>
            <w:r>
              <w:rPr>
                <w:color w:val="FFFFFF"/>
                <w:spacing w:val="-10"/>
                <w:sz w:val="20"/>
              </w:rPr>
              <w:t>%</w:t>
            </w:r>
          </w:p>
        </w:tc>
      </w:tr>
      <w:tr>
        <w:trPr>
          <w:trHeight w:val="455" w:hRule="atLeast"/>
        </w:trPr>
        <w:tc>
          <w:tcPr>
            <w:tcW w:w="710" w:type="dxa"/>
          </w:tcPr>
          <w:p>
            <w:pPr>
              <w:pStyle w:val="TableParagraph"/>
              <w:spacing w:before="111"/>
              <w:ind w:left="69"/>
              <w:rPr>
                <w:b/>
                <w:sz w:val="20"/>
              </w:rPr>
            </w:pPr>
            <w:r>
              <w:rPr>
                <w:b/>
                <w:spacing w:val="-2"/>
                <w:sz w:val="20"/>
              </w:rPr>
              <w:t>5.9.2.</w:t>
            </w:r>
          </w:p>
        </w:tc>
        <w:tc>
          <w:tcPr>
            <w:tcW w:w="4244" w:type="dxa"/>
          </w:tcPr>
          <w:p>
            <w:pPr>
              <w:pStyle w:val="TableParagraph"/>
              <w:spacing w:line="227" w:lineRule="exact"/>
              <w:ind w:left="69"/>
              <w:rPr>
                <w:b/>
                <w:sz w:val="20"/>
              </w:rPr>
            </w:pPr>
            <w:r>
              <w:rPr>
                <w:b/>
                <w:sz w:val="20"/>
              </w:rPr>
              <w:t>Resultados</w:t>
            </w:r>
            <w:r>
              <w:rPr>
                <w:b/>
                <w:spacing w:val="-8"/>
                <w:sz w:val="20"/>
              </w:rPr>
              <w:t> </w:t>
            </w:r>
            <w:r>
              <w:rPr>
                <w:b/>
                <w:sz w:val="20"/>
              </w:rPr>
              <w:t>negativos</w:t>
            </w:r>
            <w:r>
              <w:rPr>
                <w:b/>
                <w:spacing w:val="-8"/>
                <w:sz w:val="20"/>
              </w:rPr>
              <w:t> </w:t>
            </w:r>
            <w:r>
              <w:rPr>
                <w:b/>
                <w:sz w:val="20"/>
              </w:rPr>
              <w:t>de</w:t>
            </w:r>
            <w:r>
              <w:rPr>
                <w:b/>
                <w:spacing w:val="-7"/>
                <w:sz w:val="20"/>
              </w:rPr>
              <w:t> </w:t>
            </w:r>
            <w:r>
              <w:rPr>
                <w:b/>
                <w:sz w:val="20"/>
              </w:rPr>
              <w:t>inversiones</w:t>
            </w:r>
            <w:r>
              <w:rPr>
                <w:b/>
                <w:spacing w:val="-8"/>
                <w:sz w:val="20"/>
              </w:rPr>
              <w:t> </w:t>
            </w:r>
            <w:r>
              <w:rPr>
                <w:b/>
                <w:sz w:val="20"/>
              </w:rPr>
              <w:t>patrimoniales</w:t>
            </w:r>
            <w:r>
              <w:rPr>
                <w:b/>
                <w:spacing w:val="-8"/>
                <w:sz w:val="20"/>
              </w:rPr>
              <w:t> </w:t>
            </w:r>
            <w:r>
              <w:rPr>
                <w:b/>
                <w:spacing w:val="-10"/>
                <w:sz w:val="20"/>
              </w:rPr>
              <w:t>y</w:t>
            </w:r>
          </w:p>
          <w:p>
            <w:pPr>
              <w:pStyle w:val="TableParagraph"/>
              <w:spacing w:line="209" w:lineRule="exact"/>
              <w:ind w:left="69"/>
              <w:rPr>
                <w:b/>
                <w:sz w:val="20"/>
              </w:rPr>
            </w:pPr>
            <w:r>
              <w:rPr>
                <w:b/>
                <w:sz w:val="20"/>
              </w:rPr>
              <w:t>participación</w:t>
            </w:r>
            <w:r>
              <w:rPr>
                <w:b/>
                <w:spacing w:val="-5"/>
                <w:sz w:val="20"/>
              </w:rPr>
              <w:t> </w:t>
            </w:r>
            <w:r>
              <w:rPr>
                <w:b/>
                <w:sz w:val="20"/>
              </w:rPr>
              <w:t>de</w:t>
            </w:r>
            <w:r>
              <w:rPr>
                <w:b/>
                <w:spacing w:val="-5"/>
                <w:sz w:val="20"/>
              </w:rPr>
              <w:t> </w:t>
            </w:r>
            <w:r>
              <w:rPr>
                <w:b/>
                <w:sz w:val="20"/>
              </w:rPr>
              <w:t>los</w:t>
            </w:r>
            <w:r>
              <w:rPr>
                <w:b/>
                <w:spacing w:val="-5"/>
                <w:sz w:val="20"/>
              </w:rPr>
              <w:t> </w:t>
            </w:r>
            <w:r>
              <w:rPr>
                <w:b/>
                <w:sz w:val="20"/>
              </w:rPr>
              <w:t>intereses</w:t>
            </w:r>
            <w:r>
              <w:rPr>
                <w:b/>
                <w:spacing w:val="-5"/>
                <w:sz w:val="20"/>
              </w:rPr>
              <w:t> </w:t>
            </w:r>
            <w:r>
              <w:rPr>
                <w:b/>
                <w:spacing w:val="-2"/>
                <w:sz w:val="20"/>
              </w:rPr>
              <w:t>minoritarios</w:t>
            </w:r>
          </w:p>
        </w:tc>
        <w:tc>
          <w:tcPr>
            <w:tcW w:w="708" w:type="dxa"/>
          </w:tcPr>
          <w:p>
            <w:pPr>
              <w:pStyle w:val="TableParagraph"/>
              <w:spacing w:before="111"/>
              <w:ind w:left="18" w:right="5"/>
              <w:jc w:val="center"/>
              <w:rPr>
                <w:b/>
                <w:sz w:val="20"/>
              </w:rPr>
            </w:pPr>
            <w:r>
              <w:rPr>
                <w:b/>
                <w:spacing w:val="-5"/>
                <w:sz w:val="20"/>
              </w:rPr>
              <w:t>75</w:t>
            </w:r>
          </w:p>
        </w:tc>
        <w:tc>
          <w:tcPr>
            <w:tcW w:w="992" w:type="dxa"/>
          </w:tcPr>
          <w:p>
            <w:pPr>
              <w:pStyle w:val="TableParagraph"/>
              <w:spacing w:before="111"/>
              <w:ind w:left="321"/>
              <w:rPr>
                <w:b/>
                <w:sz w:val="20"/>
              </w:rPr>
            </w:pPr>
            <w:r>
              <w:rPr>
                <w:b/>
                <w:spacing w:val="-4"/>
                <w:sz w:val="20"/>
              </w:rPr>
              <w:t>0,00</w:t>
            </w:r>
          </w:p>
        </w:tc>
        <w:tc>
          <w:tcPr>
            <w:tcW w:w="1150" w:type="dxa"/>
          </w:tcPr>
          <w:p>
            <w:pPr>
              <w:pStyle w:val="TableParagraph"/>
              <w:spacing w:before="111"/>
              <w:ind w:left="350"/>
              <w:rPr>
                <w:b/>
                <w:sz w:val="20"/>
              </w:rPr>
            </w:pPr>
            <w:r>
              <w:rPr>
                <w:b/>
                <w:sz w:val="20"/>
              </w:rPr>
              <w:t>0,00</w:t>
            </w:r>
            <w:r>
              <w:rPr>
                <w:b/>
                <w:spacing w:val="-4"/>
                <w:sz w:val="20"/>
              </w:rPr>
              <w:t> </w:t>
            </w:r>
            <w:r>
              <w:rPr>
                <w:b/>
                <w:spacing w:val="-10"/>
                <w:sz w:val="20"/>
              </w:rPr>
              <w:t>-</w:t>
            </w:r>
          </w:p>
        </w:tc>
        <w:tc>
          <w:tcPr>
            <w:tcW w:w="1160" w:type="dxa"/>
          </w:tcPr>
          <w:p>
            <w:pPr>
              <w:pStyle w:val="TableParagraph"/>
              <w:spacing w:before="111"/>
              <w:ind w:left="18"/>
              <w:jc w:val="center"/>
              <w:rPr>
                <w:b/>
                <w:sz w:val="20"/>
              </w:rPr>
            </w:pPr>
            <w:r>
              <w:rPr>
                <w:b/>
                <w:spacing w:val="-2"/>
                <w:sz w:val="20"/>
              </w:rPr>
              <w:t>0,00%</w:t>
            </w:r>
          </w:p>
        </w:tc>
      </w:tr>
    </w:tbl>
    <w:p>
      <w:pPr>
        <w:pStyle w:val="Heading6"/>
        <w:spacing w:before="240"/>
        <w:ind w:left="622"/>
        <w:rPr>
          <w:b w:val="0"/>
        </w:rPr>
      </w:pPr>
      <w:r>
        <w:rPr>
          <w:spacing w:val="-2"/>
        </w:rPr>
        <w:t>Revelación</w:t>
      </w:r>
      <w:r>
        <w:rPr>
          <w:b w:val="0"/>
          <w:spacing w:val="-2"/>
        </w:rPr>
        <w:t>:</w:t>
      </w:r>
    </w:p>
    <w:p>
      <w:pPr>
        <w:pStyle w:val="BodyText"/>
        <w:spacing w:line="259" w:lineRule="auto" w:before="181"/>
        <w:ind w:left="622" w:right="981"/>
        <w:jc w:val="both"/>
      </w:pPr>
      <w:r>
        <w:rPr/>
        <w:t>La cuenta Resultados negativos de inversiones patrimoniales y participación de los intereses minoritarios, representa el 0,00% del total del Gastos, que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50144">
                <wp:simplePos x="0" y="0"/>
                <wp:positionH relativeFrom="page">
                  <wp:posOffset>1080820</wp:posOffset>
                </wp:positionH>
                <wp:positionV relativeFrom="paragraph">
                  <wp:posOffset>233362</wp:posOffset>
                </wp:positionV>
                <wp:extent cx="5715000" cy="553720"/>
                <wp:effectExtent l="0" t="0" r="0" b="0"/>
                <wp:wrapTopAndBottom/>
                <wp:docPr id="811" name="Textbox 811"/>
                <wp:cNvGraphicFramePr>
                  <a:graphicFrameLocks/>
                </wp:cNvGraphicFramePr>
                <a:graphic>
                  <a:graphicData uri="http://schemas.microsoft.com/office/word/2010/wordprocessingShape">
                    <wps:wsp>
                      <wps:cNvPr id="811" name="Textbox 811"/>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8.375pt;width:450pt;height:43.6pt;mso-position-horizontal-relative:page;mso-position-vertical-relative:paragraph;z-index:-15566336;mso-wrap-distance-left:0;mso-wrap-distance-right:0" type="#_x0000_t202" id="docshape78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30" w:id="131"/>
      <w:bookmarkEnd w:id="131"/>
      <w:r>
        <w:rPr/>
      </w:r>
      <w:r>
        <w:rPr>
          <w:b/>
          <w:sz w:val="22"/>
        </w:rPr>
        <w:t>NOTA</w:t>
      </w:r>
      <w:r>
        <w:rPr>
          <w:b/>
          <w:spacing w:val="-1"/>
          <w:sz w:val="22"/>
        </w:rPr>
        <w:t> </w:t>
      </w:r>
      <w:r>
        <w:rPr>
          <w:b/>
          <w:sz w:val="22"/>
        </w:rPr>
        <w:t>N° </w:t>
      </w:r>
      <w:r>
        <w:rPr>
          <w:b/>
          <w:spacing w:val="-5"/>
          <w:sz w:val="22"/>
        </w:rPr>
        <w:t>76</w:t>
      </w:r>
    </w:p>
    <w:p>
      <w:pPr>
        <w:pStyle w:val="BodyText"/>
        <w:spacing w:before="114"/>
        <w:rPr>
          <w:b/>
        </w:rPr>
      </w:pPr>
    </w:p>
    <w:p>
      <w:pPr>
        <w:pStyle w:val="BodyText"/>
        <w:spacing w:before="1"/>
        <w:ind w:left="622"/>
      </w:pPr>
      <w:r>
        <w:rPr/>
        <w:t>Otros</w:t>
      </w:r>
      <w:r>
        <w:rPr>
          <w:spacing w:val="-5"/>
        </w:rPr>
        <w:t> </w:t>
      </w:r>
      <w:r>
        <w:rPr/>
        <w:t>gastos</w:t>
      </w:r>
      <w:r>
        <w:rPr>
          <w:spacing w:val="-3"/>
        </w:rPr>
        <w:t> </w:t>
      </w:r>
      <w:r>
        <w:rPr/>
        <w:t>y</w:t>
      </w:r>
      <w:r>
        <w:rPr>
          <w:spacing w:val="-5"/>
        </w:rPr>
        <w:t> </w:t>
      </w:r>
      <w:r>
        <w:rPr/>
        <w:t>resultados</w:t>
      </w:r>
      <w:r>
        <w:rPr>
          <w:spacing w:val="-2"/>
        </w:rPr>
        <w:t> negativos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544"/>
        <w:gridCol w:w="573"/>
        <w:gridCol w:w="1842"/>
        <w:gridCol w:w="2032"/>
        <w:gridCol w:w="1197"/>
      </w:tblGrid>
      <w:tr>
        <w:trPr>
          <w:trHeight w:val="323" w:hRule="atLeast"/>
        </w:trPr>
        <w:tc>
          <w:tcPr>
            <w:tcW w:w="842" w:type="dxa"/>
            <w:vMerge w:val="restart"/>
            <w:shd w:val="clear" w:color="auto" w:fill="365F92"/>
          </w:tcPr>
          <w:p>
            <w:pPr>
              <w:pStyle w:val="TableParagraph"/>
              <w:spacing w:before="117"/>
              <w:ind w:left="69"/>
              <w:rPr>
                <w:b/>
                <w:sz w:val="22"/>
              </w:rPr>
            </w:pPr>
            <w:r>
              <w:rPr>
                <w:b/>
                <w:color w:val="FFFFFF"/>
                <w:spacing w:val="-2"/>
                <w:sz w:val="22"/>
              </w:rPr>
              <w:t>Cuenta</w:t>
            </w:r>
          </w:p>
        </w:tc>
        <w:tc>
          <w:tcPr>
            <w:tcW w:w="2544" w:type="dxa"/>
            <w:vMerge w:val="restart"/>
            <w:shd w:val="clear" w:color="auto" w:fill="365F92"/>
          </w:tcPr>
          <w:p>
            <w:pPr>
              <w:pStyle w:val="TableParagraph"/>
              <w:spacing w:before="206"/>
              <w:ind w:left="744"/>
              <w:rPr>
                <w:b/>
                <w:sz w:val="22"/>
              </w:rPr>
            </w:pPr>
            <w:r>
              <w:rPr>
                <w:b/>
                <w:color w:val="FFFFFF"/>
                <w:spacing w:val="-2"/>
                <w:sz w:val="22"/>
              </w:rPr>
              <w:t>Descripción</w:t>
            </w:r>
          </w:p>
        </w:tc>
        <w:tc>
          <w:tcPr>
            <w:tcW w:w="573" w:type="dxa"/>
            <w:vMerge w:val="restart"/>
            <w:shd w:val="clear" w:color="auto" w:fill="365F92"/>
          </w:tcPr>
          <w:p>
            <w:pPr>
              <w:pStyle w:val="TableParagraph"/>
              <w:spacing w:before="206"/>
              <w:ind w:left="70"/>
              <w:rPr>
                <w:b/>
                <w:sz w:val="22"/>
              </w:rPr>
            </w:pPr>
            <w:r>
              <w:rPr>
                <w:b/>
                <w:color w:val="FFFFFF"/>
                <w:spacing w:val="-4"/>
                <w:sz w:val="22"/>
              </w:rPr>
              <w:t>Nota</w:t>
            </w:r>
          </w:p>
        </w:tc>
        <w:tc>
          <w:tcPr>
            <w:tcW w:w="1842" w:type="dxa"/>
            <w:vMerge w:val="restart"/>
            <w:shd w:val="clear" w:color="auto" w:fill="365F92"/>
          </w:tcPr>
          <w:p>
            <w:pPr>
              <w:pStyle w:val="TableParagraph"/>
              <w:spacing w:before="206"/>
              <w:ind w:left="291"/>
              <w:rPr>
                <w:b/>
                <w:sz w:val="22"/>
              </w:rPr>
            </w:pPr>
            <w:r>
              <w:rPr>
                <w:b/>
                <w:color w:val="FFFFFF"/>
                <w:sz w:val="22"/>
              </w:rPr>
              <w:t>Periodo</w:t>
            </w:r>
            <w:r>
              <w:rPr>
                <w:b/>
                <w:color w:val="FFFFFF"/>
                <w:spacing w:val="-4"/>
                <w:sz w:val="22"/>
              </w:rPr>
              <w:t> </w:t>
            </w:r>
            <w:r>
              <w:rPr>
                <w:b/>
                <w:color w:val="FFFFFF"/>
                <w:spacing w:val="-2"/>
                <w:sz w:val="22"/>
              </w:rPr>
              <w:t>Actual</w:t>
            </w:r>
          </w:p>
        </w:tc>
        <w:tc>
          <w:tcPr>
            <w:tcW w:w="2032" w:type="dxa"/>
            <w:vMerge w:val="restart"/>
            <w:shd w:val="clear" w:color="auto" w:fill="365F92"/>
          </w:tcPr>
          <w:p>
            <w:pPr>
              <w:pStyle w:val="TableParagraph"/>
              <w:spacing w:before="206"/>
              <w:ind w:left="296"/>
              <w:rPr>
                <w:b/>
                <w:sz w:val="22"/>
              </w:rPr>
            </w:pPr>
            <w:r>
              <w:rPr>
                <w:b/>
                <w:color w:val="FFFFFF"/>
                <w:sz w:val="22"/>
              </w:rPr>
              <w:t>Periodo</w:t>
            </w:r>
            <w:r>
              <w:rPr>
                <w:b/>
                <w:color w:val="FFFFFF"/>
                <w:spacing w:val="-4"/>
                <w:sz w:val="22"/>
              </w:rPr>
              <w:t> </w:t>
            </w:r>
            <w:r>
              <w:rPr>
                <w:b/>
                <w:color w:val="FFFFFF"/>
                <w:spacing w:val="-2"/>
                <w:sz w:val="22"/>
              </w:rPr>
              <w:t>Anterior</w:t>
            </w:r>
          </w:p>
        </w:tc>
        <w:tc>
          <w:tcPr>
            <w:tcW w:w="1197" w:type="dxa"/>
            <w:shd w:val="clear" w:color="auto" w:fill="365F92"/>
          </w:tcPr>
          <w:p>
            <w:pPr>
              <w:pStyle w:val="TableParagraph"/>
              <w:spacing w:before="36"/>
              <w:ind w:left="28"/>
              <w:jc w:val="center"/>
              <w:rPr>
                <w:b/>
                <w:sz w:val="22"/>
              </w:rPr>
            </w:pPr>
            <w:r>
              <w:rPr>
                <w:b/>
                <w:color w:val="FFFFFF"/>
                <w:spacing w:val="-2"/>
                <w:sz w:val="22"/>
              </w:rPr>
              <w:t>Diferencia</w:t>
            </w:r>
          </w:p>
        </w:tc>
      </w:tr>
      <w:tr>
        <w:trPr>
          <w:trHeight w:val="323" w:hRule="atLeast"/>
        </w:trPr>
        <w:tc>
          <w:tcPr>
            <w:tcW w:w="842" w:type="dxa"/>
            <w:vMerge/>
            <w:tcBorders>
              <w:top w:val="nil"/>
            </w:tcBorders>
            <w:shd w:val="clear" w:color="auto" w:fill="365F92"/>
          </w:tcPr>
          <w:p>
            <w:pPr>
              <w:rPr>
                <w:sz w:val="2"/>
                <w:szCs w:val="2"/>
              </w:rPr>
            </w:pPr>
          </w:p>
        </w:tc>
        <w:tc>
          <w:tcPr>
            <w:tcW w:w="2544" w:type="dxa"/>
            <w:vMerge/>
            <w:tcBorders>
              <w:top w:val="nil"/>
            </w:tcBorders>
            <w:shd w:val="clear" w:color="auto" w:fill="365F92"/>
          </w:tcPr>
          <w:p>
            <w:pPr>
              <w:rPr>
                <w:sz w:val="2"/>
                <w:szCs w:val="2"/>
              </w:rPr>
            </w:pPr>
          </w:p>
        </w:tc>
        <w:tc>
          <w:tcPr>
            <w:tcW w:w="573" w:type="dxa"/>
            <w:vMerge/>
            <w:tcBorders>
              <w:top w:val="nil"/>
            </w:tcBorders>
            <w:shd w:val="clear" w:color="auto" w:fill="365F92"/>
          </w:tcPr>
          <w:p>
            <w:pPr>
              <w:rPr>
                <w:sz w:val="2"/>
                <w:szCs w:val="2"/>
              </w:rPr>
            </w:pPr>
          </w:p>
        </w:tc>
        <w:tc>
          <w:tcPr>
            <w:tcW w:w="1842" w:type="dxa"/>
            <w:vMerge/>
            <w:tcBorders>
              <w:top w:val="nil"/>
            </w:tcBorders>
            <w:shd w:val="clear" w:color="auto" w:fill="365F92"/>
          </w:tcPr>
          <w:p>
            <w:pPr>
              <w:rPr>
                <w:sz w:val="2"/>
                <w:szCs w:val="2"/>
              </w:rPr>
            </w:pPr>
          </w:p>
        </w:tc>
        <w:tc>
          <w:tcPr>
            <w:tcW w:w="2032" w:type="dxa"/>
            <w:vMerge/>
            <w:tcBorders>
              <w:top w:val="nil"/>
            </w:tcBorders>
            <w:shd w:val="clear" w:color="auto" w:fill="365F92"/>
          </w:tcPr>
          <w:p>
            <w:pPr>
              <w:rPr>
                <w:sz w:val="2"/>
                <w:szCs w:val="2"/>
              </w:rPr>
            </w:pPr>
          </w:p>
        </w:tc>
        <w:tc>
          <w:tcPr>
            <w:tcW w:w="1197" w:type="dxa"/>
            <w:shd w:val="clear" w:color="auto" w:fill="365F92"/>
          </w:tcPr>
          <w:p>
            <w:pPr>
              <w:pStyle w:val="TableParagraph"/>
              <w:spacing w:before="36"/>
              <w:ind w:left="28" w:right="1"/>
              <w:jc w:val="center"/>
              <w:rPr>
                <w:sz w:val="22"/>
              </w:rPr>
            </w:pPr>
            <w:r>
              <w:rPr>
                <w:color w:val="FFFFFF"/>
                <w:spacing w:val="-10"/>
                <w:sz w:val="22"/>
              </w:rPr>
              <w:t>%</w:t>
            </w:r>
          </w:p>
        </w:tc>
      </w:tr>
      <w:tr>
        <w:trPr>
          <w:trHeight w:val="503" w:hRule="atLeast"/>
        </w:trPr>
        <w:tc>
          <w:tcPr>
            <w:tcW w:w="842" w:type="dxa"/>
          </w:tcPr>
          <w:p>
            <w:pPr>
              <w:pStyle w:val="TableParagraph"/>
              <w:spacing w:before="127"/>
              <w:ind w:left="69"/>
              <w:rPr>
                <w:b/>
                <w:sz w:val="22"/>
              </w:rPr>
            </w:pPr>
            <w:r>
              <w:rPr>
                <w:b/>
                <w:spacing w:val="-2"/>
                <w:sz w:val="22"/>
              </w:rPr>
              <w:t>5.9.9.</w:t>
            </w:r>
          </w:p>
        </w:tc>
        <w:tc>
          <w:tcPr>
            <w:tcW w:w="2544" w:type="dxa"/>
          </w:tcPr>
          <w:p>
            <w:pPr>
              <w:pStyle w:val="TableParagraph"/>
              <w:ind w:left="69"/>
              <w:rPr>
                <w:b/>
                <w:sz w:val="22"/>
              </w:rPr>
            </w:pPr>
            <w:r>
              <w:rPr>
                <w:b/>
                <w:sz w:val="22"/>
              </w:rPr>
              <w:t>Otros</w:t>
            </w:r>
            <w:r>
              <w:rPr>
                <w:b/>
                <w:spacing w:val="-2"/>
                <w:sz w:val="22"/>
              </w:rPr>
              <w:t> </w:t>
            </w:r>
            <w:r>
              <w:rPr>
                <w:b/>
                <w:sz w:val="22"/>
              </w:rPr>
              <w:t>gastos</w:t>
            </w:r>
            <w:r>
              <w:rPr>
                <w:b/>
                <w:spacing w:val="-1"/>
                <w:sz w:val="22"/>
              </w:rPr>
              <w:t> </w:t>
            </w:r>
            <w:r>
              <w:rPr>
                <w:b/>
                <w:sz w:val="22"/>
              </w:rPr>
              <w:t>y</w:t>
            </w:r>
            <w:r>
              <w:rPr>
                <w:b/>
                <w:spacing w:val="-2"/>
                <w:sz w:val="22"/>
              </w:rPr>
              <w:t> resultados</w:t>
            </w:r>
          </w:p>
          <w:p>
            <w:pPr>
              <w:pStyle w:val="TableParagraph"/>
              <w:spacing w:line="231" w:lineRule="exact" w:before="1"/>
              <w:ind w:left="69"/>
              <w:rPr>
                <w:b/>
                <w:sz w:val="22"/>
              </w:rPr>
            </w:pPr>
            <w:r>
              <w:rPr>
                <w:b/>
                <w:spacing w:val="-2"/>
                <w:sz w:val="22"/>
              </w:rPr>
              <w:t>negativos</w:t>
            </w:r>
          </w:p>
        </w:tc>
        <w:tc>
          <w:tcPr>
            <w:tcW w:w="573" w:type="dxa"/>
          </w:tcPr>
          <w:p>
            <w:pPr>
              <w:pStyle w:val="TableParagraph"/>
              <w:spacing w:before="127"/>
              <w:ind w:left="178"/>
              <w:rPr>
                <w:b/>
                <w:sz w:val="22"/>
              </w:rPr>
            </w:pPr>
            <w:r>
              <w:rPr>
                <w:b/>
                <w:spacing w:val="-5"/>
                <w:sz w:val="22"/>
              </w:rPr>
              <w:t>76</w:t>
            </w:r>
          </w:p>
        </w:tc>
        <w:tc>
          <w:tcPr>
            <w:tcW w:w="1842" w:type="dxa"/>
          </w:tcPr>
          <w:p>
            <w:pPr>
              <w:pStyle w:val="TableParagraph"/>
              <w:spacing w:before="137"/>
              <w:ind w:left="479"/>
              <w:rPr>
                <w:b/>
                <w:sz w:val="20"/>
              </w:rPr>
            </w:pPr>
            <w:r>
              <w:rPr>
                <w:b/>
                <w:sz w:val="20"/>
              </w:rPr>
              <w:t>130</w:t>
            </w:r>
            <w:r>
              <w:rPr>
                <w:b/>
                <w:spacing w:val="-3"/>
                <w:sz w:val="20"/>
              </w:rPr>
              <w:t> </w:t>
            </w:r>
            <w:r>
              <w:rPr>
                <w:b/>
                <w:spacing w:val="-2"/>
                <w:sz w:val="20"/>
              </w:rPr>
              <w:t>773,95</w:t>
            </w:r>
          </w:p>
        </w:tc>
        <w:tc>
          <w:tcPr>
            <w:tcW w:w="2032" w:type="dxa"/>
          </w:tcPr>
          <w:p>
            <w:pPr>
              <w:pStyle w:val="TableParagraph"/>
              <w:spacing w:before="137"/>
              <w:ind w:left="576"/>
              <w:rPr>
                <w:b/>
                <w:sz w:val="20"/>
              </w:rPr>
            </w:pPr>
            <w:r>
              <w:rPr>
                <w:b/>
                <w:sz w:val="20"/>
              </w:rPr>
              <w:t>142</w:t>
            </w:r>
            <w:r>
              <w:rPr>
                <w:b/>
                <w:spacing w:val="-3"/>
                <w:sz w:val="20"/>
              </w:rPr>
              <w:t> </w:t>
            </w:r>
            <w:r>
              <w:rPr>
                <w:b/>
                <w:spacing w:val="-2"/>
                <w:sz w:val="20"/>
              </w:rPr>
              <w:t>342,19</w:t>
            </w:r>
          </w:p>
        </w:tc>
        <w:tc>
          <w:tcPr>
            <w:tcW w:w="1197" w:type="dxa"/>
          </w:tcPr>
          <w:p>
            <w:pPr>
              <w:pStyle w:val="TableParagraph"/>
              <w:spacing w:before="137"/>
              <w:ind w:left="28" w:right="1"/>
              <w:jc w:val="center"/>
              <w:rPr>
                <w:b/>
                <w:sz w:val="20"/>
              </w:rPr>
            </w:pPr>
            <w:r>
              <w:rPr>
                <w:b/>
                <w:spacing w:val="-2"/>
                <w:sz w:val="20"/>
              </w:rPr>
              <w:t>-8,13%</w:t>
            </w:r>
          </w:p>
        </w:tc>
      </w:tr>
    </w:tbl>
    <w:p>
      <w:pPr>
        <w:pStyle w:val="Heading6"/>
        <w:spacing w:before="241"/>
        <w:ind w:left="622"/>
        <w:rPr>
          <w:b w:val="0"/>
        </w:rPr>
      </w:pPr>
      <w:r>
        <w:rPr>
          <w:spacing w:val="-2"/>
        </w:rPr>
        <w:t>Revelación</w:t>
      </w:r>
      <w:r>
        <w:rPr>
          <w:b w:val="0"/>
          <w:spacing w:val="-2"/>
        </w:rPr>
        <w:t>:</w:t>
      </w:r>
    </w:p>
    <w:p>
      <w:pPr>
        <w:pStyle w:val="BodyText"/>
        <w:spacing w:before="178"/>
        <w:ind w:left="622" w:right="973"/>
        <w:jc w:val="both"/>
      </w:pPr>
      <w:r>
        <w:rPr/>
        <w:t>La</w:t>
      </w:r>
      <w:r>
        <w:rPr>
          <w:spacing w:val="-8"/>
        </w:rPr>
        <w:t> </w:t>
      </w:r>
      <w:r>
        <w:rPr/>
        <w:t>cuenta</w:t>
      </w:r>
      <w:r>
        <w:rPr>
          <w:spacing w:val="-10"/>
        </w:rPr>
        <w:t> </w:t>
      </w:r>
      <w:r>
        <w:rPr/>
        <w:t>Otros</w:t>
      </w:r>
      <w:r>
        <w:rPr>
          <w:spacing w:val="-8"/>
        </w:rPr>
        <w:t> </w:t>
      </w:r>
      <w:r>
        <w:rPr/>
        <w:t>gastos</w:t>
      </w:r>
      <w:r>
        <w:rPr>
          <w:spacing w:val="-6"/>
        </w:rPr>
        <w:t> </w:t>
      </w:r>
      <w:r>
        <w:rPr/>
        <w:t>y</w:t>
      </w:r>
      <w:r>
        <w:rPr>
          <w:spacing w:val="-8"/>
        </w:rPr>
        <w:t> </w:t>
      </w:r>
      <w:r>
        <w:rPr/>
        <w:t>resultados</w:t>
      </w:r>
      <w:r>
        <w:rPr>
          <w:spacing w:val="-9"/>
        </w:rPr>
        <w:t> </w:t>
      </w:r>
      <w:r>
        <w:rPr/>
        <w:t>negativos,</w:t>
      </w:r>
      <w:r>
        <w:rPr>
          <w:spacing w:val="-7"/>
        </w:rPr>
        <w:t> </w:t>
      </w:r>
      <w:r>
        <w:rPr/>
        <w:t>representa</w:t>
      </w:r>
      <w:r>
        <w:rPr>
          <w:spacing w:val="-8"/>
        </w:rPr>
        <w:t> </w:t>
      </w:r>
      <w:r>
        <w:rPr/>
        <w:t>el</w:t>
      </w:r>
      <w:r>
        <w:rPr>
          <w:spacing w:val="-8"/>
        </w:rPr>
        <w:t> </w:t>
      </w:r>
      <w:r>
        <w:rPr/>
        <w:t>0,10%</w:t>
      </w:r>
      <w:r>
        <w:rPr>
          <w:spacing w:val="-7"/>
        </w:rPr>
        <w:t> </w:t>
      </w:r>
      <w:r>
        <w:rPr/>
        <w:t>del</w:t>
      </w:r>
      <w:r>
        <w:rPr>
          <w:spacing w:val="-10"/>
        </w:rPr>
        <w:t> </w:t>
      </w:r>
      <w:r>
        <w:rPr/>
        <w:t>total</w:t>
      </w:r>
      <w:r>
        <w:rPr>
          <w:spacing w:val="-8"/>
        </w:rPr>
        <w:t> </w:t>
      </w:r>
      <w:r>
        <w:rPr/>
        <w:t>del</w:t>
      </w:r>
      <w:r>
        <w:rPr>
          <w:spacing w:val="-8"/>
        </w:rPr>
        <w:t> </w:t>
      </w:r>
      <w:r>
        <w:rPr/>
        <w:t>Gastos,</w:t>
      </w:r>
      <w:r>
        <w:rPr>
          <w:spacing w:val="-9"/>
        </w:rPr>
        <w:t> </w:t>
      </w:r>
      <w:r>
        <w:rPr/>
        <w:t>que</w:t>
      </w:r>
      <w:r>
        <w:rPr>
          <w:spacing w:val="-6"/>
        </w:rPr>
        <w:t> </w:t>
      </w:r>
      <w:r>
        <w:rPr/>
        <w:t>comparado al</w:t>
      </w:r>
      <w:r>
        <w:rPr>
          <w:spacing w:val="-2"/>
        </w:rPr>
        <w:t> </w:t>
      </w:r>
      <w:r>
        <w:rPr/>
        <w:t>periodo</w:t>
      </w:r>
      <w:r>
        <w:rPr>
          <w:spacing w:val="-2"/>
        </w:rPr>
        <w:t> </w:t>
      </w:r>
      <w:r>
        <w:rPr/>
        <w:t>anterior</w:t>
      </w:r>
      <w:r>
        <w:rPr>
          <w:spacing w:val="-2"/>
        </w:rPr>
        <w:t> </w:t>
      </w:r>
      <w:r>
        <w:rPr/>
        <w:t>genera</w:t>
      </w:r>
      <w:r>
        <w:rPr>
          <w:spacing w:val="-3"/>
        </w:rPr>
        <w:t> </w:t>
      </w:r>
      <w:r>
        <w:rPr/>
        <w:t>una</w:t>
      </w:r>
      <w:r>
        <w:rPr>
          <w:spacing w:val="-2"/>
        </w:rPr>
        <w:t> </w:t>
      </w:r>
      <w:r>
        <w:rPr/>
        <w:t>variación</w:t>
      </w:r>
      <w:r>
        <w:rPr>
          <w:spacing w:val="-2"/>
        </w:rPr>
        <w:t> </w:t>
      </w:r>
      <w:r>
        <w:rPr/>
        <w:t>absoluta</w:t>
      </w:r>
      <w:r>
        <w:rPr>
          <w:spacing w:val="-2"/>
        </w:rPr>
        <w:t> </w:t>
      </w:r>
      <w:r>
        <w:rPr/>
        <w:t>de</w:t>
      </w:r>
      <w:r>
        <w:rPr>
          <w:spacing w:val="-1"/>
        </w:rPr>
        <w:t> </w:t>
      </w:r>
      <w:r>
        <w:rPr/>
        <w:t>¢</w:t>
      </w:r>
      <w:r>
        <w:rPr>
          <w:spacing w:val="-1"/>
        </w:rPr>
        <w:t> </w:t>
      </w:r>
      <w:r>
        <w:rPr/>
        <w:t>-11.568,24</w:t>
      </w:r>
      <w:r>
        <w:rPr>
          <w:spacing w:val="-3"/>
        </w:rPr>
        <w:t> </w:t>
      </w:r>
      <w:r>
        <w:rPr/>
        <w:t>que</w:t>
      </w:r>
      <w:r>
        <w:rPr>
          <w:spacing w:val="-2"/>
        </w:rPr>
        <w:t> </w:t>
      </w:r>
      <w:r>
        <w:rPr/>
        <w:t>corresponde</w:t>
      </w:r>
      <w:r>
        <w:rPr>
          <w:spacing w:val="-1"/>
        </w:rPr>
        <w:t> </w:t>
      </w:r>
      <w:r>
        <w:rPr/>
        <w:t>a</w:t>
      </w:r>
      <w:r>
        <w:rPr>
          <w:spacing w:val="-3"/>
        </w:rPr>
        <w:t> </w:t>
      </w:r>
      <w:r>
        <w:rPr/>
        <w:t>una</w:t>
      </w:r>
      <w:r>
        <w:rPr>
          <w:spacing w:val="-3"/>
        </w:rPr>
        <w:t> </w:t>
      </w:r>
      <w:r>
        <w:rPr/>
        <w:t>disminución del -8,13% de recursos.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50656">
                <wp:simplePos x="0" y="0"/>
                <wp:positionH relativeFrom="page">
                  <wp:posOffset>1080820</wp:posOffset>
                </wp:positionH>
                <wp:positionV relativeFrom="paragraph">
                  <wp:posOffset>233124</wp:posOffset>
                </wp:positionV>
                <wp:extent cx="5715000" cy="599440"/>
                <wp:effectExtent l="0" t="0" r="0" b="0"/>
                <wp:wrapTopAndBottom/>
                <wp:docPr id="812" name="Textbox 812"/>
                <wp:cNvGraphicFramePr>
                  <a:graphicFrameLocks/>
                </wp:cNvGraphicFramePr>
                <a:graphic>
                  <a:graphicData uri="http://schemas.microsoft.com/office/word/2010/wordprocessingShape">
                    <wps:wsp>
                      <wps:cNvPr id="812" name="Textbox 812"/>
                      <wps:cNvSpPr txBox="1"/>
                      <wps:spPr>
                        <a:xfrm>
                          <a:off x="0" y="0"/>
                          <a:ext cx="5715000" cy="59944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7"/>
                              <w:ind w:left="103" w:right="92"/>
                            </w:pPr>
                            <w:r>
                              <w:rPr/>
                              <w:t>La</w:t>
                            </w:r>
                            <w:r>
                              <w:rPr>
                                <w:spacing w:val="-12"/>
                              </w:rPr>
                              <w:t> </w:t>
                            </w:r>
                            <w:r>
                              <w:rPr/>
                              <w:t>cuenta</w:t>
                            </w:r>
                            <w:r>
                              <w:rPr>
                                <w:spacing w:val="-11"/>
                              </w:rPr>
                              <w:t> </w:t>
                            </w:r>
                            <w:r>
                              <w:rPr/>
                              <w:t>Otros</w:t>
                            </w:r>
                            <w:r>
                              <w:rPr>
                                <w:spacing w:val="-10"/>
                              </w:rPr>
                              <w:t> </w:t>
                            </w:r>
                            <w:r>
                              <w:rPr/>
                              <w:t>gastos</w:t>
                            </w:r>
                            <w:r>
                              <w:rPr>
                                <w:spacing w:val="-10"/>
                              </w:rPr>
                              <w:t> </w:t>
                            </w:r>
                            <w:r>
                              <w:rPr/>
                              <w:t>y</w:t>
                            </w:r>
                            <w:r>
                              <w:rPr>
                                <w:spacing w:val="-12"/>
                              </w:rPr>
                              <w:t> </w:t>
                            </w:r>
                            <w:r>
                              <w:rPr/>
                              <w:t>resultados</w:t>
                            </w:r>
                            <w:r>
                              <w:rPr>
                                <w:spacing w:val="-10"/>
                              </w:rPr>
                              <w:t> </w:t>
                            </w:r>
                            <w:r>
                              <w:rPr/>
                              <w:t>negativos,</w:t>
                            </w:r>
                            <w:r>
                              <w:rPr>
                                <w:spacing w:val="-11"/>
                              </w:rPr>
                              <w:t> </w:t>
                            </w:r>
                            <w:r>
                              <w:rPr/>
                              <w:t>representa</w:t>
                            </w:r>
                            <w:r>
                              <w:rPr>
                                <w:spacing w:val="-11"/>
                              </w:rPr>
                              <w:t> </w:t>
                            </w:r>
                            <w:r>
                              <w:rPr/>
                              <w:t>el</w:t>
                            </w:r>
                            <w:r>
                              <w:rPr>
                                <w:spacing w:val="-11"/>
                              </w:rPr>
                              <w:t> </w:t>
                            </w:r>
                            <w:r>
                              <w:rPr/>
                              <w:t>0,10%</w:t>
                            </w:r>
                            <w:r>
                              <w:rPr>
                                <w:spacing w:val="-9"/>
                              </w:rPr>
                              <w:t> </w:t>
                            </w:r>
                            <w:r>
                              <w:rPr/>
                              <w:t>del</w:t>
                            </w:r>
                            <w:r>
                              <w:rPr>
                                <w:spacing w:val="-11"/>
                              </w:rPr>
                              <w:t> </w:t>
                            </w:r>
                            <w:r>
                              <w:rPr/>
                              <w:t>total</w:t>
                            </w:r>
                            <w:r>
                              <w:rPr>
                                <w:spacing w:val="-12"/>
                              </w:rPr>
                              <w:t> </w:t>
                            </w:r>
                            <w:r>
                              <w:rPr/>
                              <w:t>del</w:t>
                            </w:r>
                            <w:r>
                              <w:rPr>
                                <w:spacing w:val="-11"/>
                              </w:rPr>
                              <w:t> </w:t>
                            </w:r>
                            <w:r>
                              <w:rPr/>
                              <w:t>Gastos,</w:t>
                            </w:r>
                            <w:r>
                              <w:rPr>
                                <w:spacing w:val="-13"/>
                              </w:rPr>
                              <w:t> </w:t>
                            </w:r>
                            <w:r>
                              <w:rPr/>
                              <w:t>que</w:t>
                            </w:r>
                            <w:r>
                              <w:rPr>
                                <w:spacing w:val="-12"/>
                              </w:rPr>
                              <w:t> </w:t>
                            </w:r>
                            <w:r>
                              <w:rPr/>
                              <w:t>comparado al</w:t>
                            </w:r>
                            <w:r>
                              <w:rPr>
                                <w:spacing w:val="-16"/>
                              </w:rPr>
                              <w:t> </w:t>
                            </w:r>
                            <w:r>
                              <w:rPr/>
                              <w:t>periodo</w:t>
                            </w:r>
                            <w:r>
                              <w:rPr>
                                <w:spacing w:val="-14"/>
                              </w:rPr>
                              <w:t> </w:t>
                            </w:r>
                            <w:r>
                              <w:rPr/>
                              <w:t>anterior</w:t>
                            </w:r>
                            <w:r>
                              <w:rPr>
                                <w:spacing w:val="-14"/>
                              </w:rPr>
                              <w:t> </w:t>
                            </w:r>
                            <w:r>
                              <w:rPr/>
                              <w:t>genera</w:t>
                            </w:r>
                            <w:r>
                              <w:rPr>
                                <w:spacing w:val="-13"/>
                              </w:rPr>
                              <w:t> </w:t>
                            </w:r>
                            <w:r>
                              <w:rPr/>
                              <w:t>una</w:t>
                            </w:r>
                            <w:r>
                              <w:rPr>
                                <w:spacing w:val="-13"/>
                              </w:rPr>
                              <w:t> </w:t>
                            </w:r>
                            <w:r>
                              <w:rPr/>
                              <w:t>variación</w:t>
                            </w:r>
                            <w:r>
                              <w:rPr>
                                <w:spacing w:val="-13"/>
                              </w:rPr>
                              <w:t> </w:t>
                            </w:r>
                            <w:r>
                              <w:rPr/>
                              <w:t>absoluta</w:t>
                            </w:r>
                            <w:r>
                              <w:rPr>
                                <w:spacing w:val="-13"/>
                              </w:rPr>
                              <w:t> </w:t>
                            </w:r>
                            <w:r>
                              <w:rPr/>
                              <w:t>de</w:t>
                            </w:r>
                            <w:r>
                              <w:rPr>
                                <w:spacing w:val="-14"/>
                              </w:rPr>
                              <w:t> </w:t>
                            </w:r>
                            <w:r>
                              <w:rPr/>
                              <w:t>¢</w:t>
                            </w:r>
                            <w:r>
                              <w:rPr>
                                <w:spacing w:val="-12"/>
                              </w:rPr>
                              <w:t> </w:t>
                            </w:r>
                            <w:r>
                              <w:rPr/>
                              <w:t>-11.568,24</w:t>
                            </w:r>
                            <w:r>
                              <w:rPr>
                                <w:spacing w:val="73"/>
                              </w:rPr>
                              <w:t> </w:t>
                            </w:r>
                            <w:r>
                              <w:rPr/>
                              <w:t>que</w:t>
                            </w:r>
                            <w:r>
                              <w:rPr>
                                <w:spacing w:val="-14"/>
                              </w:rPr>
                              <w:t> </w:t>
                            </w:r>
                            <w:r>
                              <w:rPr/>
                              <w:t>corresponde</w:t>
                            </w:r>
                            <w:r>
                              <w:rPr>
                                <w:spacing w:val="-14"/>
                              </w:rPr>
                              <w:t> </w:t>
                            </w:r>
                            <w:r>
                              <w:rPr/>
                              <w:t>a</w:t>
                            </w:r>
                            <w:r>
                              <w:rPr>
                                <w:spacing w:val="-13"/>
                              </w:rPr>
                              <w:t> </w:t>
                            </w:r>
                            <w:r>
                              <w:rPr/>
                              <w:t>una</w:t>
                            </w:r>
                            <w:r>
                              <w:rPr>
                                <w:spacing w:val="-13"/>
                              </w:rPr>
                              <w:t> </w:t>
                            </w:r>
                            <w:r>
                              <w:rPr>
                                <w:spacing w:val="-2"/>
                              </w:rPr>
                              <w:t>disminución</w:t>
                            </w:r>
                          </w:p>
                        </w:txbxContent>
                      </wps:txbx>
                      <wps:bodyPr wrap="square" lIns="0" tIns="0" rIns="0" bIns="0" rtlCol="0">
                        <a:noAutofit/>
                      </wps:bodyPr>
                    </wps:wsp>
                  </a:graphicData>
                </a:graphic>
              </wp:anchor>
            </w:drawing>
          </mc:Choice>
          <mc:Fallback>
            <w:pict>
              <v:shape style="position:absolute;margin-left:85.103996pt;margin-top:18.356251pt;width:450pt;height:47.2pt;mso-position-horizontal-relative:page;mso-position-vertical-relative:paragraph;z-index:-15565824;mso-wrap-distance-left:0;mso-wrap-distance-right:0" type="#_x0000_t202" id="docshape787"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7"/>
                        <w:ind w:left="103" w:right="92"/>
                      </w:pPr>
                      <w:r>
                        <w:rPr/>
                        <w:t>La</w:t>
                      </w:r>
                      <w:r>
                        <w:rPr>
                          <w:spacing w:val="-12"/>
                        </w:rPr>
                        <w:t> </w:t>
                      </w:r>
                      <w:r>
                        <w:rPr/>
                        <w:t>cuenta</w:t>
                      </w:r>
                      <w:r>
                        <w:rPr>
                          <w:spacing w:val="-11"/>
                        </w:rPr>
                        <w:t> </w:t>
                      </w:r>
                      <w:r>
                        <w:rPr/>
                        <w:t>Otros</w:t>
                      </w:r>
                      <w:r>
                        <w:rPr>
                          <w:spacing w:val="-10"/>
                        </w:rPr>
                        <w:t> </w:t>
                      </w:r>
                      <w:r>
                        <w:rPr/>
                        <w:t>gastos</w:t>
                      </w:r>
                      <w:r>
                        <w:rPr>
                          <w:spacing w:val="-10"/>
                        </w:rPr>
                        <w:t> </w:t>
                      </w:r>
                      <w:r>
                        <w:rPr/>
                        <w:t>y</w:t>
                      </w:r>
                      <w:r>
                        <w:rPr>
                          <w:spacing w:val="-12"/>
                        </w:rPr>
                        <w:t> </w:t>
                      </w:r>
                      <w:r>
                        <w:rPr/>
                        <w:t>resultados</w:t>
                      </w:r>
                      <w:r>
                        <w:rPr>
                          <w:spacing w:val="-10"/>
                        </w:rPr>
                        <w:t> </w:t>
                      </w:r>
                      <w:r>
                        <w:rPr/>
                        <w:t>negativos,</w:t>
                      </w:r>
                      <w:r>
                        <w:rPr>
                          <w:spacing w:val="-11"/>
                        </w:rPr>
                        <w:t> </w:t>
                      </w:r>
                      <w:r>
                        <w:rPr/>
                        <w:t>representa</w:t>
                      </w:r>
                      <w:r>
                        <w:rPr>
                          <w:spacing w:val="-11"/>
                        </w:rPr>
                        <w:t> </w:t>
                      </w:r>
                      <w:r>
                        <w:rPr/>
                        <w:t>el</w:t>
                      </w:r>
                      <w:r>
                        <w:rPr>
                          <w:spacing w:val="-11"/>
                        </w:rPr>
                        <w:t> </w:t>
                      </w:r>
                      <w:r>
                        <w:rPr/>
                        <w:t>0,10%</w:t>
                      </w:r>
                      <w:r>
                        <w:rPr>
                          <w:spacing w:val="-9"/>
                        </w:rPr>
                        <w:t> </w:t>
                      </w:r>
                      <w:r>
                        <w:rPr/>
                        <w:t>del</w:t>
                      </w:r>
                      <w:r>
                        <w:rPr>
                          <w:spacing w:val="-11"/>
                        </w:rPr>
                        <w:t> </w:t>
                      </w:r>
                      <w:r>
                        <w:rPr/>
                        <w:t>total</w:t>
                      </w:r>
                      <w:r>
                        <w:rPr>
                          <w:spacing w:val="-12"/>
                        </w:rPr>
                        <w:t> </w:t>
                      </w:r>
                      <w:r>
                        <w:rPr/>
                        <w:t>del</w:t>
                      </w:r>
                      <w:r>
                        <w:rPr>
                          <w:spacing w:val="-11"/>
                        </w:rPr>
                        <w:t> </w:t>
                      </w:r>
                      <w:r>
                        <w:rPr/>
                        <w:t>Gastos,</w:t>
                      </w:r>
                      <w:r>
                        <w:rPr>
                          <w:spacing w:val="-13"/>
                        </w:rPr>
                        <w:t> </w:t>
                      </w:r>
                      <w:r>
                        <w:rPr/>
                        <w:t>que</w:t>
                      </w:r>
                      <w:r>
                        <w:rPr>
                          <w:spacing w:val="-12"/>
                        </w:rPr>
                        <w:t> </w:t>
                      </w:r>
                      <w:r>
                        <w:rPr/>
                        <w:t>comparado al</w:t>
                      </w:r>
                      <w:r>
                        <w:rPr>
                          <w:spacing w:val="-16"/>
                        </w:rPr>
                        <w:t> </w:t>
                      </w:r>
                      <w:r>
                        <w:rPr/>
                        <w:t>periodo</w:t>
                      </w:r>
                      <w:r>
                        <w:rPr>
                          <w:spacing w:val="-14"/>
                        </w:rPr>
                        <w:t> </w:t>
                      </w:r>
                      <w:r>
                        <w:rPr/>
                        <w:t>anterior</w:t>
                      </w:r>
                      <w:r>
                        <w:rPr>
                          <w:spacing w:val="-14"/>
                        </w:rPr>
                        <w:t> </w:t>
                      </w:r>
                      <w:r>
                        <w:rPr/>
                        <w:t>genera</w:t>
                      </w:r>
                      <w:r>
                        <w:rPr>
                          <w:spacing w:val="-13"/>
                        </w:rPr>
                        <w:t> </w:t>
                      </w:r>
                      <w:r>
                        <w:rPr/>
                        <w:t>una</w:t>
                      </w:r>
                      <w:r>
                        <w:rPr>
                          <w:spacing w:val="-13"/>
                        </w:rPr>
                        <w:t> </w:t>
                      </w:r>
                      <w:r>
                        <w:rPr/>
                        <w:t>variación</w:t>
                      </w:r>
                      <w:r>
                        <w:rPr>
                          <w:spacing w:val="-13"/>
                        </w:rPr>
                        <w:t> </w:t>
                      </w:r>
                      <w:r>
                        <w:rPr/>
                        <w:t>absoluta</w:t>
                      </w:r>
                      <w:r>
                        <w:rPr>
                          <w:spacing w:val="-13"/>
                        </w:rPr>
                        <w:t> </w:t>
                      </w:r>
                      <w:r>
                        <w:rPr/>
                        <w:t>de</w:t>
                      </w:r>
                      <w:r>
                        <w:rPr>
                          <w:spacing w:val="-14"/>
                        </w:rPr>
                        <w:t> </w:t>
                      </w:r>
                      <w:r>
                        <w:rPr/>
                        <w:t>¢</w:t>
                      </w:r>
                      <w:r>
                        <w:rPr>
                          <w:spacing w:val="-12"/>
                        </w:rPr>
                        <w:t> </w:t>
                      </w:r>
                      <w:r>
                        <w:rPr/>
                        <w:t>-11.568,24</w:t>
                      </w:r>
                      <w:r>
                        <w:rPr>
                          <w:spacing w:val="73"/>
                        </w:rPr>
                        <w:t> </w:t>
                      </w:r>
                      <w:r>
                        <w:rPr/>
                        <w:t>que</w:t>
                      </w:r>
                      <w:r>
                        <w:rPr>
                          <w:spacing w:val="-14"/>
                        </w:rPr>
                        <w:t> </w:t>
                      </w:r>
                      <w:r>
                        <w:rPr/>
                        <w:t>corresponde</w:t>
                      </w:r>
                      <w:r>
                        <w:rPr>
                          <w:spacing w:val="-14"/>
                        </w:rPr>
                        <w:t> </w:t>
                      </w:r>
                      <w:r>
                        <w:rPr/>
                        <w:t>a</w:t>
                      </w:r>
                      <w:r>
                        <w:rPr>
                          <w:spacing w:val="-13"/>
                        </w:rPr>
                        <w:t> </w:t>
                      </w:r>
                      <w:r>
                        <w:rPr/>
                        <w:t>una</w:t>
                      </w:r>
                      <w:r>
                        <w:rPr>
                          <w:spacing w:val="-13"/>
                        </w:rPr>
                        <w:t> </w:t>
                      </w:r>
                      <w:r>
                        <w:rPr>
                          <w:spacing w:val="-2"/>
                        </w:rPr>
                        <w:t>disminución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9088">
                <wp:simplePos x="0" y="0"/>
                <wp:positionH relativeFrom="page">
                  <wp:posOffset>9525</wp:posOffset>
                </wp:positionH>
                <wp:positionV relativeFrom="page">
                  <wp:posOffset>297208</wp:posOffset>
                </wp:positionV>
                <wp:extent cx="7762875" cy="9748520"/>
                <wp:effectExtent l="0" t="0" r="0" b="0"/>
                <wp:wrapNone/>
                <wp:docPr id="813" name="Group 813"/>
                <wp:cNvGraphicFramePr>
                  <a:graphicFrameLocks/>
                </wp:cNvGraphicFramePr>
                <a:graphic>
                  <a:graphicData uri="http://schemas.microsoft.com/office/word/2010/wordprocessingGroup">
                    <wpg:wgp>
                      <wpg:cNvPr id="813" name="Group 813"/>
                      <wpg:cNvGrpSpPr/>
                      <wpg:grpSpPr>
                        <a:xfrm>
                          <a:off x="0" y="0"/>
                          <a:ext cx="7762875" cy="9748520"/>
                          <a:chExt cx="7762875" cy="9748520"/>
                        </a:xfrm>
                      </wpg:grpSpPr>
                      <pic:pic>
                        <pic:nvPicPr>
                          <pic:cNvPr id="814" name="Image 814"/>
                          <pic:cNvPicPr/>
                        </pic:nvPicPr>
                        <pic:blipFill>
                          <a:blip r:embed="rId5" cstate="print"/>
                          <a:stretch>
                            <a:fillRect/>
                          </a:stretch>
                        </pic:blipFill>
                        <pic:spPr>
                          <a:xfrm>
                            <a:off x="0" y="0"/>
                            <a:ext cx="7762874" cy="9748489"/>
                          </a:xfrm>
                          <a:prstGeom prst="rect">
                            <a:avLst/>
                          </a:prstGeom>
                        </pic:spPr>
                      </pic:pic>
                      <wps:wsp>
                        <wps:cNvPr id="815" name="Graphic 815"/>
                        <wps:cNvSpPr/>
                        <wps:spPr>
                          <a:xfrm>
                            <a:off x="1053007" y="990837"/>
                            <a:ext cx="5649595" cy="1423670"/>
                          </a:xfrm>
                          <a:custGeom>
                            <a:avLst/>
                            <a:gdLst/>
                            <a:ahLst/>
                            <a:cxnLst/>
                            <a:rect l="l" t="t" r="r" b="b"/>
                            <a:pathLst>
                              <a:path w="5649595" h="1423670">
                                <a:moveTo>
                                  <a:pt x="5170246" y="554723"/>
                                </a:moveTo>
                                <a:lnTo>
                                  <a:pt x="579069" y="554723"/>
                                </a:lnTo>
                                <a:lnTo>
                                  <a:pt x="572973" y="554723"/>
                                </a:lnTo>
                                <a:lnTo>
                                  <a:pt x="572973" y="560819"/>
                                </a:lnTo>
                                <a:lnTo>
                                  <a:pt x="572973" y="1417307"/>
                                </a:lnTo>
                                <a:lnTo>
                                  <a:pt x="572973" y="1423403"/>
                                </a:lnTo>
                                <a:lnTo>
                                  <a:pt x="579056" y="1423403"/>
                                </a:lnTo>
                                <a:lnTo>
                                  <a:pt x="5170246" y="1423403"/>
                                </a:lnTo>
                                <a:lnTo>
                                  <a:pt x="5170246" y="1418831"/>
                                </a:lnTo>
                                <a:lnTo>
                                  <a:pt x="5170246" y="1417307"/>
                                </a:lnTo>
                                <a:lnTo>
                                  <a:pt x="5170246" y="560819"/>
                                </a:lnTo>
                                <a:lnTo>
                                  <a:pt x="5170246" y="559295"/>
                                </a:lnTo>
                                <a:lnTo>
                                  <a:pt x="5170246" y="554723"/>
                                </a:lnTo>
                                <a:close/>
                              </a:path>
                              <a:path w="5649595" h="1423670">
                                <a:moveTo>
                                  <a:pt x="5176469" y="554723"/>
                                </a:moveTo>
                                <a:lnTo>
                                  <a:pt x="5170373" y="554723"/>
                                </a:lnTo>
                                <a:lnTo>
                                  <a:pt x="5170373" y="560819"/>
                                </a:lnTo>
                                <a:lnTo>
                                  <a:pt x="5170373" y="1417307"/>
                                </a:lnTo>
                                <a:lnTo>
                                  <a:pt x="5170373" y="1423403"/>
                                </a:lnTo>
                                <a:lnTo>
                                  <a:pt x="5176469" y="1423403"/>
                                </a:lnTo>
                                <a:lnTo>
                                  <a:pt x="5176469" y="1417307"/>
                                </a:lnTo>
                                <a:lnTo>
                                  <a:pt x="5176469" y="560819"/>
                                </a:lnTo>
                                <a:lnTo>
                                  <a:pt x="5176469" y="554723"/>
                                </a:lnTo>
                                <a:close/>
                              </a:path>
                              <a:path w="5649595" h="1423670">
                                <a:moveTo>
                                  <a:pt x="5649214" y="0"/>
                                </a:moveTo>
                                <a:lnTo>
                                  <a:pt x="0" y="0"/>
                                </a:lnTo>
                                <a:lnTo>
                                  <a:pt x="0" y="9131"/>
                                </a:lnTo>
                                <a:lnTo>
                                  <a:pt x="5649214" y="9131"/>
                                </a:lnTo>
                                <a:lnTo>
                                  <a:pt x="5649214" y="0"/>
                                </a:lnTo>
                                <a:close/>
                              </a:path>
                            </a:pathLst>
                          </a:custGeom>
                          <a:solidFill>
                            <a:srgbClr val="000000"/>
                          </a:solidFill>
                        </wps:spPr>
                        <wps:bodyPr wrap="square" lIns="0" tIns="0" rIns="0" bIns="0" rtlCol="0">
                          <a:prstTxWarp prst="textNoShape">
                            <a:avLst/>
                          </a:prstTxWarp>
                          <a:noAutofit/>
                        </wps:bodyPr>
                      </wps:wsp>
                      <pic:pic>
                        <pic:nvPicPr>
                          <pic:cNvPr id="816" name="Image 816"/>
                          <pic:cNvPicPr/>
                        </pic:nvPicPr>
                        <pic:blipFill>
                          <a:blip r:embed="rId100" cstate="print"/>
                          <a:stretch>
                            <a:fillRect/>
                          </a:stretch>
                        </pic:blipFill>
                        <pic:spPr>
                          <a:xfrm>
                            <a:off x="1631949" y="1550514"/>
                            <a:ext cx="4583430" cy="857250"/>
                          </a:xfrm>
                          <a:prstGeom prst="rect">
                            <a:avLst/>
                          </a:prstGeom>
                        </pic:spPr>
                      </pic:pic>
                      <pic:pic>
                        <pic:nvPicPr>
                          <pic:cNvPr id="817" name="Image 817"/>
                          <pic:cNvPicPr/>
                        </pic:nvPicPr>
                        <pic:blipFill>
                          <a:blip r:embed="rId101" cstate="print"/>
                          <a:stretch>
                            <a:fillRect/>
                          </a:stretch>
                        </pic:blipFill>
                        <pic:spPr>
                          <a:xfrm>
                            <a:off x="1631949" y="2949546"/>
                            <a:ext cx="4581525" cy="202311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27392" id="docshapegroup788" coordorigin="15,468" coordsize="12225,15352">
                <v:shape style="position:absolute;left:15;top:468;width:12225;height:15352" type="#_x0000_t75" id="docshape789" stroked="false">
                  <v:imagedata r:id="rId5" o:title=""/>
                </v:shape>
                <v:shape style="position:absolute;left:1673;top:2028;width:8897;height:2242" id="docshape790" coordorigin="1673,2028" coordsize="8897,2242" path="m9815,2902l2585,2902,2585,2902,2576,2902,2576,2912,2576,4260,2576,4270,2585,4270,2585,4270,9815,4270,9815,4263,9815,4260,9815,2912,9815,2909,9815,2902xm9825,2902l9816,2902,9816,2912,9816,4260,9816,4270,9825,4270,9825,4260,9825,2912,9825,2902xm10570,2028l1673,2028,1673,2043,10570,2043,10570,2028xe" filled="true" fillcolor="#000000" stroked="false">
                  <v:path arrowok="t"/>
                  <v:fill type="solid"/>
                </v:shape>
                <v:shape style="position:absolute;left:2585;top:2909;width:7218;height:1350" type="#_x0000_t75" id="docshape791" stroked="false">
                  <v:imagedata r:id="rId100" o:title=""/>
                </v:shape>
                <v:shape style="position:absolute;left:2585;top:5113;width:7215;height:3186" type="#_x0000_t75" id="docshape792" stroked="false">
                  <v:imagedata r:id="rId101" o:title=""/>
                </v:shape>
                <w10:wrap type="none"/>
              </v:group>
            </w:pict>
          </mc:Fallback>
        </mc:AlternateContent>
      </w:r>
      <w:r>
        <w:rPr>
          <w:color w:val="172951"/>
          <w:sz w:val="20"/>
        </w:rPr>
        <w:t>Pág.</w:t>
      </w:r>
      <w:r>
        <w:rPr>
          <w:color w:val="172951"/>
          <w:spacing w:val="-7"/>
          <w:sz w:val="20"/>
        </w:rPr>
        <w:t> </w:t>
      </w:r>
      <w:r>
        <w:rPr>
          <w:color w:val="172951"/>
          <w:spacing w:val="-5"/>
          <w:sz w:val="20"/>
        </w:rPr>
        <w:t>162</w:t>
      </w:r>
    </w:p>
    <w:p>
      <w:pPr>
        <w:pStyle w:val="BodyText"/>
        <w:spacing w:before="10"/>
        <w:rPr>
          <w:sz w:val="16"/>
        </w:rPr>
      </w:pPr>
      <w:r>
        <w:rPr>
          <w:sz w:val="16"/>
        </w:rPr>
        <mc:AlternateContent>
          <mc:Choice Requires="wps">
            <w:drawing>
              <wp:anchor distT="0" distB="0" distL="0" distR="0" allowOverlap="1" layoutInCell="1" locked="0" behindDoc="1" simplePos="0" relativeHeight="487751680">
                <wp:simplePos x="0" y="0"/>
                <wp:positionH relativeFrom="page">
                  <wp:posOffset>1080820</wp:posOffset>
                </wp:positionH>
                <wp:positionV relativeFrom="paragraph">
                  <wp:posOffset>141144</wp:posOffset>
                </wp:positionV>
                <wp:extent cx="5715000" cy="3970654"/>
                <wp:effectExtent l="0" t="0" r="0" b="0"/>
                <wp:wrapTopAndBottom/>
                <wp:docPr id="818" name="Textbox 818"/>
                <wp:cNvGraphicFramePr>
                  <a:graphicFrameLocks/>
                </wp:cNvGraphicFramePr>
                <a:graphic>
                  <a:graphicData uri="http://schemas.microsoft.com/office/word/2010/wordprocessingShape">
                    <wps:wsp>
                      <wps:cNvPr id="818" name="Textbox 818"/>
                      <wps:cNvSpPr txBox="1"/>
                      <wps:spPr>
                        <a:xfrm>
                          <a:off x="0" y="0"/>
                          <a:ext cx="5715000" cy="3970654"/>
                        </a:xfrm>
                        <a:prstGeom prst="rect">
                          <a:avLst/>
                        </a:prstGeom>
                        <a:ln w="6095">
                          <a:solidFill>
                            <a:srgbClr val="000000"/>
                          </a:solidFill>
                          <a:prstDash val="solid"/>
                        </a:ln>
                      </wps:spPr>
                      <wps:txbx>
                        <w:txbxContent>
                          <w:p>
                            <w:pPr>
                              <w:pStyle w:val="BodyText"/>
                              <w:ind w:left="103"/>
                            </w:pPr>
                            <w:r>
                              <w:rPr/>
                              <w:t>del</w:t>
                            </w:r>
                            <w:r>
                              <w:rPr>
                                <w:spacing w:val="38"/>
                              </w:rPr>
                              <w:t> </w:t>
                            </w:r>
                            <w:r>
                              <w:rPr/>
                              <w:t>-8,13%</w:t>
                            </w:r>
                            <w:r>
                              <w:rPr>
                                <w:spacing w:val="38"/>
                              </w:rPr>
                              <w:t> </w:t>
                            </w:r>
                            <w:r>
                              <w:rPr/>
                              <w:t>de</w:t>
                            </w:r>
                            <w:r>
                              <w:rPr>
                                <w:spacing w:val="37"/>
                              </w:rPr>
                              <w:t> </w:t>
                            </w:r>
                            <w:r>
                              <w:rPr/>
                              <w:t>recursos</w:t>
                            </w:r>
                            <w:r>
                              <w:rPr>
                                <w:spacing w:val="39"/>
                              </w:rPr>
                              <w:t> </w:t>
                            </w:r>
                            <w:r>
                              <w:rPr/>
                              <w:t>disponible,</w:t>
                            </w:r>
                            <w:r>
                              <w:rPr>
                                <w:spacing w:val="38"/>
                              </w:rPr>
                              <w:t> </w:t>
                            </w:r>
                            <w:r>
                              <w:rPr/>
                              <w:t>producto</w:t>
                            </w:r>
                            <w:r>
                              <w:rPr>
                                <w:spacing w:val="40"/>
                              </w:rPr>
                              <w:t> </w:t>
                            </w:r>
                            <w:r>
                              <w:rPr/>
                              <w:t>de</w:t>
                            </w:r>
                            <w:r>
                              <w:rPr>
                                <w:spacing w:val="40"/>
                              </w:rPr>
                              <w:t> </w:t>
                            </w:r>
                            <w:r>
                              <w:rPr/>
                              <w:t>la</w:t>
                            </w:r>
                            <w:r>
                              <w:rPr>
                                <w:spacing w:val="37"/>
                              </w:rPr>
                              <w:t> </w:t>
                            </w:r>
                            <w:r>
                              <w:rPr/>
                              <w:t>disminución</w:t>
                            </w:r>
                            <w:r>
                              <w:rPr>
                                <w:spacing w:val="39"/>
                              </w:rPr>
                              <w:t> </w:t>
                            </w:r>
                            <w:r>
                              <w:rPr/>
                              <w:t>de</w:t>
                            </w:r>
                            <w:r>
                              <w:rPr>
                                <w:spacing w:val="37"/>
                              </w:rPr>
                              <w:t> </w:t>
                            </w:r>
                            <w:r>
                              <w:rPr/>
                              <w:t>impuestos,</w:t>
                            </w:r>
                            <w:r>
                              <w:rPr>
                                <w:spacing w:val="38"/>
                              </w:rPr>
                              <w:t> </w:t>
                            </w:r>
                            <w:r>
                              <w:rPr/>
                              <w:t>multas</w:t>
                            </w:r>
                            <w:r>
                              <w:rPr>
                                <w:spacing w:val="40"/>
                              </w:rPr>
                              <w:t> </w:t>
                            </w:r>
                            <w:r>
                              <w:rPr/>
                              <w:t>y</w:t>
                            </w:r>
                            <w:r>
                              <w:rPr>
                                <w:spacing w:val="37"/>
                              </w:rPr>
                              <w:t> </w:t>
                            </w:r>
                            <w:r>
                              <w:rPr/>
                              <w:t>recargos moratorios respecto al periodo anterior.</w:t>
                            </w:r>
                          </w:p>
                          <w:p>
                            <w:pPr>
                              <w:pStyle w:val="BodyText"/>
                            </w:pPr>
                          </w:p>
                          <w:p>
                            <w:pPr>
                              <w:pStyle w:val="BodyText"/>
                            </w:pPr>
                          </w:p>
                          <w:p>
                            <w:pPr>
                              <w:pStyle w:val="BodyText"/>
                            </w:pPr>
                          </w:p>
                          <w:p>
                            <w:pPr>
                              <w:pStyle w:val="BodyText"/>
                            </w:pPr>
                          </w:p>
                          <w:p>
                            <w:pPr>
                              <w:pStyle w:val="BodyText"/>
                            </w:pPr>
                          </w:p>
                          <w:p>
                            <w:pPr>
                              <w:pStyle w:val="BodyText"/>
                              <w:spacing w:before="205"/>
                            </w:pPr>
                          </w:p>
                          <w:p>
                            <w:pPr>
                              <w:pStyle w:val="BodyText"/>
                              <w:spacing w:before="1"/>
                              <w:ind w:left="103"/>
                            </w:pPr>
                            <w:r>
                              <w:rPr/>
                              <w:t>Al</w:t>
                            </w:r>
                            <w:r>
                              <w:rPr>
                                <w:spacing w:val="26"/>
                              </w:rPr>
                              <w:t> </w:t>
                            </w:r>
                            <w:r>
                              <w:rPr/>
                              <w:t>31</w:t>
                            </w:r>
                            <w:r>
                              <w:rPr>
                                <w:spacing w:val="25"/>
                              </w:rPr>
                              <w:t> </w:t>
                            </w:r>
                            <w:r>
                              <w:rPr/>
                              <w:t>de</w:t>
                            </w:r>
                            <w:r>
                              <w:rPr>
                                <w:spacing w:val="24"/>
                              </w:rPr>
                              <w:t> </w:t>
                            </w:r>
                            <w:r>
                              <w:rPr/>
                              <w:t>julio</w:t>
                            </w:r>
                            <w:r>
                              <w:rPr>
                                <w:spacing w:val="24"/>
                              </w:rPr>
                              <w:t> </w:t>
                            </w:r>
                            <w:r>
                              <w:rPr/>
                              <w:t>2026</w:t>
                            </w:r>
                            <w:r>
                              <w:rPr>
                                <w:spacing w:val="25"/>
                              </w:rPr>
                              <w:t> </w:t>
                            </w:r>
                            <w:r>
                              <w:rPr/>
                              <w:t>y</w:t>
                            </w:r>
                            <w:r>
                              <w:rPr>
                                <w:spacing w:val="25"/>
                              </w:rPr>
                              <w:t> </w:t>
                            </w:r>
                            <w:r>
                              <w:rPr/>
                              <w:t>2025</w:t>
                            </w:r>
                            <w:r>
                              <w:rPr>
                                <w:spacing w:val="28"/>
                              </w:rPr>
                              <w:t> </w:t>
                            </w:r>
                            <w:r>
                              <w:rPr/>
                              <w:t>la</w:t>
                            </w:r>
                            <w:r>
                              <w:rPr>
                                <w:spacing w:val="25"/>
                              </w:rPr>
                              <w:t> </w:t>
                            </w:r>
                            <w:r>
                              <w:rPr/>
                              <w:t>cuenta</w:t>
                            </w:r>
                            <w:r>
                              <w:rPr>
                                <w:spacing w:val="26"/>
                              </w:rPr>
                              <w:t> </w:t>
                            </w:r>
                            <w:r>
                              <w:rPr/>
                              <w:t>de</w:t>
                            </w:r>
                            <w:r>
                              <w:rPr>
                                <w:spacing w:val="22"/>
                              </w:rPr>
                              <w:t> </w:t>
                            </w:r>
                            <w:r>
                              <w:rPr/>
                              <w:t>gastos</w:t>
                            </w:r>
                            <w:r>
                              <w:rPr>
                                <w:spacing w:val="27"/>
                              </w:rPr>
                              <w:t> </w:t>
                            </w:r>
                            <w:r>
                              <w:rPr/>
                              <w:t>y</w:t>
                            </w:r>
                            <w:r>
                              <w:rPr>
                                <w:spacing w:val="23"/>
                              </w:rPr>
                              <w:t> </w:t>
                            </w:r>
                            <w:r>
                              <w:rPr/>
                              <w:t>resultados</w:t>
                            </w:r>
                            <w:r>
                              <w:rPr>
                                <w:spacing w:val="25"/>
                              </w:rPr>
                              <w:t> </w:t>
                            </w:r>
                            <w:r>
                              <w:rPr/>
                              <w:t>negativos</w:t>
                            </w:r>
                            <w:r>
                              <w:rPr>
                                <w:spacing w:val="25"/>
                              </w:rPr>
                              <w:t> </w:t>
                            </w:r>
                            <w:r>
                              <w:rPr/>
                              <w:t>se</w:t>
                            </w:r>
                            <w:r>
                              <w:rPr>
                                <w:spacing w:val="25"/>
                              </w:rPr>
                              <w:t> </w:t>
                            </w:r>
                            <w:r>
                              <w:rPr/>
                              <w:t>compone</w:t>
                            </w:r>
                            <w:r>
                              <w:rPr>
                                <w:spacing w:val="25"/>
                              </w:rPr>
                              <w:t> </w:t>
                            </w:r>
                            <w:r>
                              <w:rPr/>
                              <w:t>de</w:t>
                            </w:r>
                            <w:r>
                              <w:rPr>
                                <w:spacing w:val="24"/>
                              </w:rPr>
                              <w:t> </w:t>
                            </w:r>
                            <w:r>
                              <w:rPr/>
                              <w:t>la</w:t>
                            </w:r>
                            <w:r>
                              <w:rPr>
                                <w:spacing w:val="23"/>
                              </w:rPr>
                              <w:t> </w:t>
                            </w:r>
                            <w:r>
                              <w:rPr/>
                              <w:t>siguiente </w:t>
                            </w:r>
                            <w:r>
                              <w:rPr>
                                <w:spacing w:val="-2"/>
                              </w:rPr>
                              <w:t>manera:</w:t>
                            </w:r>
                          </w:p>
                        </w:txbxContent>
                      </wps:txbx>
                      <wps:bodyPr wrap="square" lIns="0" tIns="0" rIns="0" bIns="0" rtlCol="0">
                        <a:noAutofit/>
                      </wps:bodyPr>
                    </wps:wsp>
                  </a:graphicData>
                </a:graphic>
              </wp:anchor>
            </w:drawing>
          </mc:Choice>
          <mc:Fallback>
            <w:pict>
              <v:shape style="position:absolute;margin-left:85.103996pt;margin-top:11.11375pt;width:450pt;height:312.650pt;mso-position-horizontal-relative:page;mso-position-vertical-relative:paragraph;z-index:-15564800;mso-wrap-distance-left:0;mso-wrap-distance-right:0" type="#_x0000_t202" id="docshape793" filled="false" stroked="true" strokeweight=".47998pt" strokecolor="#000000">
                <v:textbox inset="0,0,0,0">
                  <w:txbxContent>
                    <w:p>
                      <w:pPr>
                        <w:pStyle w:val="BodyText"/>
                        <w:ind w:left="103"/>
                      </w:pPr>
                      <w:r>
                        <w:rPr/>
                        <w:t>del</w:t>
                      </w:r>
                      <w:r>
                        <w:rPr>
                          <w:spacing w:val="38"/>
                        </w:rPr>
                        <w:t> </w:t>
                      </w:r>
                      <w:r>
                        <w:rPr/>
                        <w:t>-8,13%</w:t>
                      </w:r>
                      <w:r>
                        <w:rPr>
                          <w:spacing w:val="38"/>
                        </w:rPr>
                        <w:t> </w:t>
                      </w:r>
                      <w:r>
                        <w:rPr/>
                        <w:t>de</w:t>
                      </w:r>
                      <w:r>
                        <w:rPr>
                          <w:spacing w:val="37"/>
                        </w:rPr>
                        <w:t> </w:t>
                      </w:r>
                      <w:r>
                        <w:rPr/>
                        <w:t>recursos</w:t>
                      </w:r>
                      <w:r>
                        <w:rPr>
                          <w:spacing w:val="39"/>
                        </w:rPr>
                        <w:t> </w:t>
                      </w:r>
                      <w:r>
                        <w:rPr/>
                        <w:t>disponible,</w:t>
                      </w:r>
                      <w:r>
                        <w:rPr>
                          <w:spacing w:val="38"/>
                        </w:rPr>
                        <w:t> </w:t>
                      </w:r>
                      <w:r>
                        <w:rPr/>
                        <w:t>producto</w:t>
                      </w:r>
                      <w:r>
                        <w:rPr>
                          <w:spacing w:val="40"/>
                        </w:rPr>
                        <w:t> </w:t>
                      </w:r>
                      <w:r>
                        <w:rPr/>
                        <w:t>de</w:t>
                      </w:r>
                      <w:r>
                        <w:rPr>
                          <w:spacing w:val="40"/>
                        </w:rPr>
                        <w:t> </w:t>
                      </w:r>
                      <w:r>
                        <w:rPr/>
                        <w:t>la</w:t>
                      </w:r>
                      <w:r>
                        <w:rPr>
                          <w:spacing w:val="37"/>
                        </w:rPr>
                        <w:t> </w:t>
                      </w:r>
                      <w:r>
                        <w:rPr/>
                        <w:t>disminución</w:t>
                      </w:r>
                      <w:r>
                        <w:rPr>
                          <w:spacing w:val="39"/>
                        </w:rPr>
                        <w:t> </w:t>
                      </w:r>
                      <w:r>
                        <w:rPr/>
                        <w:t>de</w:t>
                      </w:r>
                      <w:r>
                        <w:rPr>
                          <w:spacing w:val="37"/>
                        </w:rPr>
                        <w:t> </w:t>
                      </w:r>
                      <w:r>
                        <w:rPr/>
                        <w:t>impuestos,</w:t>
                      </w:r>
                      <w:r>
                        <w:rPr>
                          <w:spacing w:val="38"/>
                        </w:rPr>
                        <w:t> </w:t>
                      </w:r>
                      <w:r>
                        <w:rPr/>
                        <w:t>multas</w:t>
                      </w:r>
                      <w:r>
                        <w:rPr>
                          <w:spacing w:val="40"/>
                        </w:rPr>
                        <w:t> </w:t>
                      </w:r>
                      <w:r>
                        <w:rPr/>
                        <w:t>y</w:t>
                      </w:r>
                      <w:r>
                        <w:rPr>
                          <w:spacing w:val="37"/>
                        </w:rPr>
                        <w:t> </w:t>
                      </w:r>
                      <w:r>
                        <w:rPr/>
                        <w:t>recargos moratorios respecto al periodo anterior.</w:t>
                      </w:r>
                    </w:p>
                    <w:p>
                      <w:pPr>
                        <w:pStyle w:val="BodyText"/>
                      </w:pPr>
                    </w:p>
                    <w:p>
                      <w:pPr>
                        <w:pStyle w:val="BodyText"/>
                      </w:pPr>
                    </w:p>
                    <w:p>
                      <w:pPr>
                        <w:pStyle w:val="BodyText"/>
                      </w:pPr>
                    </w:p>
                    <w:p>
                      <w:pPr>
                        <w:pStyle w:val="BodyText"/>
                      </w:pPr>
                    </w:p>
                    <w:p>
                      <w:pPr>
                        <w:pStyle w:val="BodyText"/>
                      </w:pPr>
                    </w:p>
                    <w:p>
                      <w:pPr>
                        <w:pStyle w:val="BodyText"/>
                        <w:spacing w:before="205"/>
                      </w:pPr>
                    </w:p>
                    <w:p>
                      <w:pPr>
                        <w:pStyle w:val="BodyText"/>
                        <w:spacing w:before="1"/>
                        <w:ind w:left="103"/>
                      </w:pPr>
                      <w:r>
                        <w:rPr/>
                        <w:t>Al</w:t>
                      </w:r>
                      <w:r>
                        <w:rPr>
                          <w:spacing w:val="26"/>
                        </w:rPr>
                        <w:t> </w:t>
                      </w:r>
                      <w:r>
                        <w:rPr/>
                        <w:t>31</w:t>
                      </w:r>
                      <w:r>
                        <w:rPr>
                          <w:spacing w:val="25"/>
                        </w:rPr>
                        <w:t> </w:t>
                      </w:r>
                      <w:r>
                        <w:rPr/>
                        <w:t>de</w:t>
                      </w:r>
                      <w:r>
                        <w:rPr>
                          <w:spacing w:val="24"/>
                        </w:rPr>
                        <w:t> </w:t>
                      </w:r>
                      <w:r>
                        <w:rPr/>
                        <w:t>julio</w:t>
                      </w:r>
                      <w:r>
                        <w:rPr>
                          <w:spacing w:val="24"/>
                        </w:rPr>
                        <w:t> </w:t>
                      </w:r>
                      <w:r>
                        <w:rPr/>
                        <w:t>2026</w:t>
                      </w:r>
                      <w:r>
                        <w:rPr>
                          <w:spacing w:val="25"/>
                        </w:rPr>
                        <w:t> </w:t>
                      </w:r>
                      <w:r>
                        <w:rPr/>
                        <w:t>y</w:t>
                      </w:r>
                      <w:r>
                        <w:rPr>
                          <w:spacing w:val="25"/>
                        </w:rPr>
                        <w:t> </w:t>
                      </w:r>
                      <w:r>
                        <w:rPr/>
                        <w:t>2025</w:t>
                      </w:r>
                      <w:r>
                        <w:rPr>
                          <w:spacing w:val="28"/>
                        </w:rPr>
                        <w:t> </w:t>
                      </w:r>
                      <w:r>
                        <w:rPr/>
                        <w:t>la</w:t>
                      </w:r>
                      <w:r>
                        <w:rPr>
                          <w:spacing w:val="25"/>
                        </w:rPr>
                        <w:t> </w:t>
                      </w:r>
                      <w:r>
                        <w:rPr/>
                        <w:t>cuenta</w:t>
                      </w:r>
                      <w:r>
                        <w:rPr>
                          <w:spacing w:val="26"/>
                        </w:rPr>
                        <w:t> </w:t>
                      </w:r>
                      <w:r>
                        <w:rPr/>
                        <w:t>de</w:t>
                      </w:r>
                      <w:r>
                        <w:rPr>
                          <w:spacing w:val="22"/>
                        </w:rPr>
                        <w:t> </w:t>
                      </w:r>
                      <w:r>
                        <w:rPr/>
                        <w:t>gastos</w:t>
                      </w:r>
                      <w:r>
                        <w:rPr>
                          <w:spacing w:val="27"/>
                        </w:rPr>
                        <w:t> </w:t>
                      </w:r>
                      <w:r>
                        <w:rPr/>
                        <w:t>y</w:t>
                      </w:r>
                      <w:r>
                        <w:rPr>
                          <w:spacing w:val="23"/>
                        </w:rPr>
                        <w:t> </w:t>
                      </w:r>
                      <w:r>
                        <w:rPr/>
                        <w:t>resultados</w:t>
                      </w:r>
                      <w:r>
                        <w:rPr>
                          <w:spacing w:val="25"/>
                        </w:rPr>
                        <w:t> </w:t>
                      </w:r>
                      <w:r>
                        <w:rPr/>
                        <w:t>negativos</w:t>
                      </w:r>
                      <w:r>
                        <w:rPr>
                          <w:spacing w:val="25"/>
                        </w:rPr>
                        <w:t> </w:t>
                      </w:r>
                      <w:r>
                        <w:rPr/>
                        <w:t>se</w:t>
                      </w:r>
                      <w:r>
                        <w:rPr>
                          <w:spacing w:val="25"/>
                        </w:rPr>
                        <w:t> </w:t>
                      </w:r>
                      <w:r>
                        <w:rPr/>
                        <w:t>compone</w:t>
                      </w:r>
                      <w:r>
                        <w:rPr>
                          <w:spacing w:val="25"/>
                        </w:rPr>
                        <w:t> </w:t>
                      </w:r>
                      <w:r>
                        <w:rPr/>
                        <w:t>de</w:t>
                      </w:r>
                      <w:r>
                        <w:rPr>
                          <w:spacing w:val="24"/>
                        </w:rPr>
                        <w:t> </w:t>
                      </w:r>
                      <w:r>
                        <w:rPr/>
                        <w:t>la</w:t>
                      </w:r>
                      <w:r>
                        <w:rPr>
                          <w:spacing w:val="23"/>
                        </w:rPr>
                        <w:t> </w:t>
                      </w:r>
                      <w:r>
                        <w:rPr/>
                        <w:t>siguiente </w:t>
                      </w:r>
                      <w:r>
                        <w:rPr>
                          <w:spacing w:val="-2"/>
                        </w:rPr>
                        <w:t>manera:</w:t>
                      </w:r>
                    </w:p>
                  </w:txbxContent>
                </v:textbox>
                <v:stroke dashstyle="solid"/>
                <w10:wrap type="topAndBottom"/>
              </v:shape>
            </w:pict>
          </mc:Fallback>
        </mc:AlternateContent>
      </w:r>
    </w:p>
    <w:p>
      <w:pPr>
        <w:pStyle w:val="BodyText"/>
        <w:rPr>
          <w:sz w:val="20"/>
        </w:rPr>
      </w:pPr>
    </w:p>
    <w:p>
      <w:pPr>
        <w:pStyle w:val="BodyText"/>
        <w:spacing w:before="91"/>
        <w:rPr>
          <w:sz w:val="20"/>
        </w:rPr>
      </w:pPr>
    </w:p>
    <w:p>
      <w:pPr>
        <w:spacing w:before="0"/>
        <w:ind w:left="622" w:right="0" w:firstLine="0"/>
        <w:jc w:val="left"/>
        <w:rPr>
          <w:sz w:val="20"/>
        </w:rPr>
      </w:pPr>
      <w:bookmarkStart w:name="_bookmark131" w:id="132"/>
      <w:bookmarkEnd w:id="132"/>
      <w:r>
        <w:rPr/>
      </w:r>
      <w:r>
        <w:rPr>
          <w:b/>
          <w:color w:val="1F3863"/>
          <w:sz w:val="22"/>
        </w:rPr>
        <w:t>NOTAS</w:t>
      </w:r>
      <w:r>
        <w:rPr>
          <w:b/>
          <w:color w:val="1F3863"/>
          <w:spacing w:val="-4"/>
          <w:sz w:val="22"/>
        </w:rPr>
        <w:t> </w:t>
      </w:r>
      <w:r>
        <w:rPr>
          <w:sz w:val="20"/>
        </w:rPr>
        <w:t>ESTADO</w:t>
      </w:r>
      <w:r>
        <w:rPr>
          <w:spacing w:val="-4"/>
          <w:sz w:val="20"/>
        </w:rPr>
        <w:t> </w:t>
      </w:r>
      <w:r>
        <w:rPr>
          <w:sz w:val="20"/>
        </w:rPr>
        <w:t>DE</w:t>
      </w:r>
      <w:r>
        <w:rPr>
          <w:spacing w:val="-5"/>
          <w:sz w:val="20"/>
        </w:rPr>
        <w:t> </w:t>
      </w:r>
      <w:r>
        <w:rPr>
          <w:sz w:val="20"/>
        </w:rPr>
        <w:t>FLUJO</w:t>
      </w:r>
      <w:r>
        <w:rPr>
          <w:spacing w:val="-5"/>
          <w:sz w:val="20"/>
        </w:rPr>
        <w:t> </w:t>
      </w:r>
      <w:r>
        <w:rPr>
          <w:sz w:val="20"/>
        </w:rPr>
        <w:t>DE</w:t>
      </w:r>
      <w:r>
        <w:rPr>
          <w:spacing w:val="-4"/>
          <w:sz w:val="20"/>
        </w:rPr>
        <w:t> </w:t>
      </w:r>
      <w:r>
        <w:rPr>
          <w:spacing w:val="-2"/>
          <w:sz w:val="20"/>
        </w:rPr>
        <w:t>EFECTIVO</w:t>
      </w:r>
    </w:p>
    <w:p>
      <w:pPr>
        <w:pStyle w:val="BodyText"/>
        <w:rPr>
          <w:sz w:val="20"/>
        </w:rPr>
      </w:pPr>
    </w:p>
    <w:p>
      <w:pPr>
        <w:pStyle w:val="BodyText"/>
        <w:spacing w:before="99"/>
        <w:rPr>
          <w:sz w:val="20"/>
        </w:rPr>
      </w:pPr>
    </w:p>
    <w:p>
      <w:pPr>
        <w:spacing w:line="398" w:lineRule="auto" w:before="0"/>
        <w:ind w:left="622" w:right="2824" w:firstLine="0"/>
        <w:jc w:val="left"/>
        <w:rPr>
          <w:b/>
          <w:sz w:val="22"/>
        </w:rPr>
      </w:pPr>
      <w:bookmarkStart w:name="_bookmark132" w:id="133"/>
      <w:bookmarkEnd w:id="133"/>
      <w:r>
        <w:rPr/>
      </w:r>
      <w:r>
        <w:rPr>
          <w:b/>
          <w:color w:val="1F3863"/>
          <w:sz w:val="22"/>
        </w:rPr>
        <w:t>FLUJOS</w:t>
      </w:r>
      <w:r>
        <w:rPr>
          <w:b/>
          <w:color w:val="1F3863"/>
          <w:spacing w:val="-6"/>
          <w:sz w:val="22"/>
        </w:rPr>
        <w:t> </w:t>
      </w:r>
      <w:r>
        <w:rPr>
          <w:b/>
          <w:color w:val="1F3863"/>
          <w:sz w:val="22"/>
        </w:rPr>
        <w:t>DE</w:t>
      </w:r>
      <w:r>
        <w:rPr>
          <w:b/>
          <w:color w:val="1F3863"/>
          <w:spacing w:val="-5"/>
          <w:sz w:val="22"/>
        </w:rPr>
        <w:t> </w:t>
      </w:r>
      <w:r>
        <w:rPr>
          <w:b/>
          <w:color w:val="1F3863"/>
          <w:sz w:val="22"/>
        </w:rPr>
        <w:t>EFECTIVO</w:t>
      </w:r>
      <w:r>
        <w:rPr>
          <w:b/>
          <w:color w:val="1F3863"/>
          <w:spacing w:val="-6"/>
          <w:sz w:val="22"/>
        </w:rPr>
        <w:t> </w:t>
      </w:r>
      <w:r>
        <w:rPr>
          <w:b/>
          <w:color w:val="1F3863"/>
          <w:sz w:val="22"/>
        </w:rPr>
        <w:t>DE</w:t>
      </w:r>
      <w:r>
        <w:rPr>
          <w:b/>
          <w:color w:val="1F3863"/>
          <w:spacing w:val="-5"/>
          <w:sz w:val="22"/>
        </w:rPr>
        <w:t> </w:t>
      </w:r>
      <w:r>
        <w:rPr>
          <w:b/>
          <w:color w:val="1F3863"/>
          <w:sz w:val="22"/>
        </w:rPr>
        <w:t>LAS</w:t>
      </w:r>
      <w:r>
        <w:rPr>
          <w:b/>
          <w:color w:val="1F3863"/>
          <w:spacing w:val="-3"/>
          <w:sz w:val="22"/>
        </w:rPr>
        <w:t> </w:t>
      </w:r>
      <w:r>
        <w:rPr>
          <w:b/>
          <w:color w:val="1F3863"/>
          <w:sz w:val="22"/>
        </w:rPr>
        <w:t>ACTIVIDADES</w:t>
      </w:r>
      <w:r>
        <w:rPr>
          <w:b/>
          <w:color w:val="1F3863"/>
          <w:spacing w:val="-6"/>
          <w:sz w:val="22"/>
        </w:rPr>
        <w:t> </w:t>
      </w:r>
      <w:r>
        <w:rPr>
          <w:b/>
          <w:color w:val="1F3863"/>
          <w:sz w:val="22"/>
        </w:rPr>
        <w:t>DE</w:t>
      </w:r>
      <w:r>
        <w:rPr>
          <w:b/>
          <w:color w:val="1F3863"/>
          <w:spacing w:val="-5"/>
          <w:sz w:val="22"/>
        </w:rPr>
        <w:t> </w:t>
      </w:r>
      <w:r>
        <w:rPr>
          <w:b/>
          <w:color w:val="1F3863"/>
          <w:sz w:val="22"/>
        </w:rPr>
        <w:t>OPERACIÓN </w:t>
      </w:r>
      <w:bookmarkStart w:name="_bookmark133" w:id="134"/>
      <w:bookmarkEnd w:id="134"/>
      <w:r>
        <w:rPr>
          <w:b/>
          <w:color w:val="1F3863"/>
          <w:sz w:val="22"/>
        </w:rPr>
      </w:r>
      <w:r>
        <w:rPr>
          <w:b/>
          <w:sz w:val="22"/>
        </w:rPr>
        <w:t>NOTA N° 77</w:t>
      </w:r>
    </w:p>
    <w:p>
      <w:pPr>
        <w:pStyle w:val="BodyText"/>
        <w:spacing w:before="202"/>
        <w:ind w:left="622"/>
      </w:pPr>
      <w:r>
        <w:rPr>
          <w:spacing w:val="-2"/>
        </w:rPr>
        <w:t>Cobros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67"/>
        <w:gridCol w:w="842"/>
        <w:gridCol w:w="2292"/>
        <w:gridCol w:w="2146"/>
        <w:gridCol w:w="1188"/>
      </w:tblGrid>
      <w:tr>
        <w:trPr>
          <w:trHeight w:val="323" w:hRule="atLeast"/>
        </w:trPr>
        <w:tc>
          <w:tcPr>
            <w:tcW w:w="2667" w:type="dxa"/>
            <w:vMerge w:val="restart"/>
            <w:shd w:val="clear" w:color="auto" w:fill="365F92"/>
          </w:tcPr>
          <w:p>
            <w:pPr>
              <w:pStyle w:val="TableParagraph"/>
              <w:spacing w:before="120"/>
              <w:ind w:left="69"/>
              <w:rPr>
                <w:b/>
                <w:sz w:val="22"/>
              </w:rPr>
            </w:pPr>
            <w:r>
              <w:rPr>
                <w:b/>
                <w:color w:val="FFFFFF"/>
                <w:spacing w:val="-2"/>
                <w:sz w:val="22"/>
              </w:rPr>
              <w:t>Descripción</w:t>
            </w:r>
          </w:p>
        </w:tc>
        <w:tc>
          <w:tcPr>
            <w:tcW w:w="842" w:type="dxa"/>
            <w:vMerge w:val="restart"/>
            <w:shd w:val="clear" w:color="auto" w:fill="365F92"/>
          </w:tcPr>
          <w:p>
            <w:pPr>
              <w:pStyle w:val="TableParagraph"/>
              <w:spacing w:before="209"/>
              <w:ind w:left="203"/>
              <w:rPr>
                <w:b/>
                <w:sz w:val="22"/>
              </w:rPr>
            </w:pPr>
            <w:r>
              <w:rPr>
                <w:b/>
                <w:color w:val="FFFFFF"/>
                <w:spacing w:val="-4"/>
                <w:sz w:val="22"/>
              </w:rPr>
              <w:t>Nota</w:t>
            </w:r>
          </w:p>
        </w:tc>
        <w:tc>
          <w:tcPr>
            <w:tcW w:w="2292" w:type="dxa"/>
            <w:vMerge w:val="restart"/>
            <w:shd w:val="clear" w:color="auto" w:fill="365F92"/>
          </w:tcPr>
          <w:p>
            <w:pPr>
              <w:pStyle w:val="TableParagraph"/>
              <w:spacing w:before="209"/>
              <w:ind w:left="513"/>
              <w:rPr>
                <w:b/>
                <w:sz w:val="22"/>
              </w:rPr>
            </w:pPr>
            <w:r>
              <w:rPr>
                <w:b/>
                <w:color w:val="FFFFFF"/>
                <w:sz w:val="22"/>
              </w:rPr>
              <w:t>Periodo</w:t>
            </w:r>
            <w:r>
              <w:rPr>
                <w:b/>
                <w:color w:val="FFFFFF"/>
                <w:spacing w:val="-4"/>
                <w:sz w:val="22"/>
              </w:rPr>
              <w:t> </w:t>
            </w:r>
            <w:r>
              <w:rPr>
                <w:b/>
                <w:color w:val="FFFFFF"/>
                <w:spacing w:val="-2"/>
                <w:sz w:val="22"/>
              </w:rPr>
              <w:t>Actual</w:t>
            </w:r>
          </w:p>
        </w:tc>
        <w:tc>
          <w:tcPr>
            <w:tcW w:w="2146" w:type="dxa"/>
            <w:vMerge w:val="restart"/>
            <w:shd w:val="clear" w:color="auto" w:fill="365F92"/>
          </w:tcPr>
          <w:p>
            <w:pPr>
              <w:pStyle w:val="TableParagraph"/>
              <w:spacing w:before="209"/>
              <w:ind w:left="348"/>
              <w:rPr>
                <w:b/>
                <w:sz w:val="22"/>
              </w:rPr>
            </w:pPr>
            <w:r>
              <w:rPr>
                <w:b/>
                <w:color w:val="FFFFFF"/>
                <w:sz w:val="22"/>
              </w:rPr>
              <w:t>Periodo</w:t>
            </w:r>
            <w:r>
              <w:rPr>
                <w:b/>
                <w:color w:val="FFFFFF"/>
                <w:spacing w:val="-4"/>
                <w:sz w:val="22"/>
              </w:rPr>
              <w:t> </w:t>
            </w:r>
            <w:r>
              <w:rPr>
                <w:b/>
                <w:color w:val="FFFFFF"/>
                <w:spacing w:val="-2"/>
                <w:sz w:val="22"/>
              </w:rPr>
              <w:t>Anterior</w:t>
            </w:r>
          </w:p>
        </w:tc>
        <w:tc>
          <w:tcPr>
            <w:tcW w:w="1188" w:type="dxa"/>
            <w:shd w:val="clear" w:color="auto" w:fill="365F92"/>
          </w:tcPr>
          <w:p>
            <w:pPr>
              <w:pStyle w:val="TableParagraph"/>
              <w:spacing w:before="36"/>
              <w:ind w:left="137"/>
              <w:rPr>
                <w:b/>
                <w:sz w:val="22"/>
              </w:rPr>
            </w:pPr>
            <w:r>
              <w:rPr>
                <w:b/>
                <w:color w:val="FFFFFF"/>
                <w:spacing w:val="-2"/>
                <w:sz w:val="22"/>
              </w:rPr>
              <w:t>Diferencia</w:t>
            </w:r>
          </w:p>
        </w:tc>
      </w:tr>
      <w:tr>
        <w:trPr>
          <w:trHeight w:val="325" w:hRule="atLeast"/>
        </w:trPr>
        <w:tc>
          <w:tcPr>
            <w:tcW w:w="2667" w:type="dxa"/>
            <w:vMerge/>
            <w:tcBorders>
              <w:top w:val="nil"/>
            </w:tcBorders>
            <w:shd w:val="clear" w:color="auto" w:fill="365F92"/>
          </w:tcPr>
          <w:p>
            <w:pPr>
              <w:rPr>
                <w:sz w:val="2"/>
                <w:szCs w:val="2"/>
              </w:rPr>
            </w:pPr>
          </w:p>
        </w:tc>
        <w:tc>
          <w:tcPr>
            <w:tcW w:w="842" w:type="dxa"/>
            <w:vMerge/>
            <w:tcBorders>
              <w:top w:val="nil"/>
            </w:tcBorders>
            <w:shd w:val="clear" w:color="auto" w:fill="365F92"/>
          </w:tcPr>
          <w:p>
            <w:pPr>
              <w:rPr>
                <w:sz w:val="2"/>
                <w:szCs w:val="2"/>
              </w:rPr>
            </w:pPr>
          </w:p>
        </w:tc>
        <w:tc>
          <w:tcPr>
            <w:tcW w:w="2292" w:type="dxa"/>
            <w:vMerge/>
            <w:tcBorders>
              <w:top w:val="nil"/>
            </w:tcBorders>
            <w:shd w:val="clear" w:color="auto" w:fill="365F92"/>
          </w:tcPr>
          <w:p>
            <w:pPr>
              <w:rPr>
                <w:sz w:val="2"/>
                <w:szCs w:val="2"/>
              </w:rPr>
            </w:pPr>
          </w:p>
        </w:tc>
        <w:tc>
          <w:tcPr>
            <w:tcW w:w="2146" w:type="dxa"/>
            <w:vMerge/>
            <w:tcBorders>
              <w:top w:val="nil"/>
            </w:tcBorders>
            <w:shd w:val="clear" w:color="auto" w:fill="365F92"/>
          </w:tcPr>
          <w:p>
            <w:pPr>
              <w:rPr>
                <w:sz w:val="2"/>
                <w:szCs w:val="2"/>
              </w:rPr>
            </w:pPr>
          </w:p>
        </w:tc>
        <w:tc>
          <w:tcPr>
            <w:tcW w:w="1188" w:type="dxa"/>
            <w:shd w:val="clear" w:color="auto" w:fill="365F92"/>
          </w:tcPr>
          <w:p>
            <w:pPr>
              <w:pStyle w:val="TableParagraph"/>
              <w:spacing w:before="49"/>
              <w:ind w:left="22"/>
              <w:jc w:val="center"/>
              <w:rPr>
                <w:sz w:val="20"/>
              </w:rPr>
            </w:pPr>
            <w:r>
              <w:rPr>
                <w:color w:val="FFFFFF"/>
                <w:spacing w:val="-10"/>
                <w:sz w:val="20"/>
              </w:rPr>
              <w:t>%</w:t>
            </w:r>
          </w:p>
        </w:tc>
      </w:tr>
      <w:tr>
        <w:trPr>
          <w:trHeight w:val="323" w:hRule="atLeast"/>
        </w:trPr>
        <w:tc>
          <w:tcPr>
            <w:tcW w:w="2667" w:type="dxa"/>
          </w:tcPr>
          <w:p>
            <w:pPr>
              <w:pStyle w:val="TableParagraph"/>
              <w:spacing w:before="46"/>
              <w:ind w:left="69"/>
              <w:rPr>
                <w:b/>
                <w:sz w:val="20"/>
              </w:rPr>
            </w:pPr>
            <w:r>
              <w:rPr>
                <w:b/>
                <w:spacing w:val="-2"/>
                <w:sz w:val="20"/>
              </w:rPr>
              <w:t>Cobros</w:t>
            </w:r>
          </w:p>
        </w:tc>
        <w:tc>
          <w:tcPr>
            <w:tcW w:w="842" w:type="dxa"/>
          </w:tcPr>
          <w:p>
            <w:pPr>
              <w:pStyle w:val="TableParagraph"/>
              <w:spacing w:before="46"/>
              <w:ind w:left="17"/>
              <w:jc w:val="center"/>
              <w:rPr>
                <w:b/>
                <w:sz w:val="20"/>
              </w:rPr>
            </w:pPr>
            <w:r>
              <w:rPr>
                <w:b/>
                <w:spacing w:val="-5"/>
                <w:sz w:val="20"/>
              </w:rPr>
              <w:t>77</w:t>
            </w:r>
          </w:p>
        </w:tc>
        <w:tc>
          <w:tcPr>
            <w:tcW w:w="2292" w:type="dxa"/>
          </w:tcPr>
          <w:p>
            <w:pPr>
              <w:pStyle w:val="TableParagraph"/>
              <w:spacing w:line="210" w:lineRule="exact" w:before="93"/>
              <w:ind w:left="573"/>
              <w:rPr>
                <w:rFonts w:ascii="Arial Narrow"/>
                <w:b/>
                <w:sz w:val="20"/>
              </w:rPr>
            </w:pPr>
            <w:r>
              <w:rPr>
                <w:rFonts w:ascii="Arial Narrow"/>
                <w:b/>
                <w:sz w:val="20"/>
              </w:rPr>
              <w:t>141</w:t>
            </w:r>
            <w:r>
              <w:rPr>
                <w:rFonts w:ascii="Arial Narrow"/>
                <w:b/>
                <w:spacing w:val="-3"/>
                <w:sz w:val="20"/>
              </w:rPr>
              <w:t> </w:t>
            </w:r>
            <w:r>
              <w:rPr>
                <w:rFonts w:ascii="Arial Narrow"/>
                <w:b/>
                <w:sz w:val="20"/>
              </w:rPr>
              <w:t>951</w:t>
            </w:r>
            <w:r>
              <w:rPr>
                <w:rFonts w:ascii="Arial Narrow"/>
                <w:b/>
                <w:spacing w:val="-3"/>
                <w:sz w:val="20"/>
              </w:rPr>
              <w:t> </w:t>
            </w:r>
            <w:r>
              <w:rPr>
                <w:rFonts w:ascii="Arial Narrow"/>
                <w:b/>
                <w:spacing w:val="-2"/>
                <w:sz w:val="20"/>
              </w:rPr>
              <w:t>470,19</w:t>
            </w:r>
          </w:p>
        </w:tc>
        <w:tc>
          <w:tcPr>
            <w:tcW w:w="2146" w:type="dxa"/>
          </w:tcPr>
          <w:p>
            <w:pPr>
              <w:pStyle w:val="TableParagraph"/>
              <w:spacing w:line="210" w:lineRule="exact" w:before="93"/>
              <w:ind w:left="502"/>
              <w:rPr>
                <w:rFonts w:ascii="Arial Narrow"/>
                <w:b/>
                <w:sz w:val="20"/>
              </w:rPr>
            </w:pPr>
            <w:r>
              <w:rPr>
                <w:rFonts w:ascii="Arial Narrow"/>
                <w:b/>
                <w:sz w:val="20"/>
              </w:rPr>
              <w:t>154</w:t>
            </w:r>
            <w:r>
              <w:rPr>
                <w:rFonts w:ascii="Arial Narrow"/>
                <w:b/>
                <w:spacing w:val="-3"/>
                <w:sz w:val="20"/>
              </w:rPr>
              <w:t> </w:t>
            </w:r>
            <w:r>
              <w:rPr>
                <w:rFonts w:ascii="Arial Narrow"/>
                <w:b/>
                <w:sz w:val="20"/>
              </w:rPr>
              <w:t>695</w:t>
            </w:r>
            <w:r>
              <w:rPr>
                <w:rFonts w:ascii="Arial Narrow"/>
                <w:b/>
                <w:spacing w:val="-3"/>
                <w:sz w:val="20"/>
              </w:rPr>
              <w:t> </w:t>
            </w:r>
            <w:r>
              <w:rPr>
                <w:rFonts w:ascii="Arial Narrow"/>
                <w:b/>
                <w:spacing w:val="-2"/>
                <w:sz w:val="20"/>
              </w:rPr>
              <w:t>795,95</w:t>
            </w:r>
          </w:p>
        </w:tc>
        <w:tc>
          <w:tcPr>
            <w:tcW w:w="1188" w:type="dxa"/>
          </w:tcPr>
          <w:p>
            <w:pPr>
              <w:pStyle w:val="TableParagraph"/>
              <w:spacing w:line="210" w:lineRule="exact" w:before="93"/>
              <w:ind w:left="600"/>
              <w:rPr>
                <w:rFonts w:ascii="Arial Narrow"/>
                <w:b/>
                <w:sz w:val="20"/>
              </w:rPr>
            </w:pPr>
            <w:r>
              <w:rPr>
                <w:rFonts w:ascii="Arial Narrow"/>
                <w:b/>
                <w:spacing w:val="-2"/>
                <w:sz w:val="20"/>
              </w:rPr>
              <w:t>-8,24%</w:t>
            </w:r>
          </w:p>
        </w:tc>
      </w:tr>
    </w:tbl>
    <w:p>
      <w:pPr>
        <w:pStyle w:val="BodyText"/>
        <w:spacing w:line="259" w:lineRule="auto" w:before="241"/>
        <w:ind w:left="622" w:right="979"/>
        <w:jc w:val="both"/>
      </w:pPr>
      <w:r>
        <w:rPr/>
        <w:t>De</w:t>
      </w:r>
      <w:r>
        <w:rPr>
          <w:spacing w:val="-8"/>
        </w:rPr>
        <w:t> </w:t>
      </w:r>
      <w:r>
        <w:rPr/>
        <w:t>conformidad</w:t>
      </w:r>
      <w:r>
        <w:rPr>
          <w:spacing w:val="-9"/>
        </w:rPr>
        <w:t> </w:t>
      </w:r>
      <w:r>
        <w:rPr/>
        <w:t>con</w:t>
      </w:r>
      <w:r>
        <w:rPr>
          <w:spacing w:val="-8"/>
        </w:rPr>
        <w:t> </w:t>
      </w:r>
      <w:r>
        <w:rPr/>
        <w:t>la</w:t>
      </w:r>
      <w:r>
        <w:rPr>
          <w:spacing w:val="-10"/>
        </w:rPr>
        <w:t> </w:t>
      </w:r>
      <w:r>
        <w:rPr/>
        <w:t>política</w:t>
      </w:r>
      <w:r>
        <w:rPr>
          <w:spacing w:val="-9"/>
        </w:rPr>
        <w:t> </w:t>
      </w:r>
      <w:r>
        <w:rPr/>
        <w:t>contable</w:t>
      </w:r>
      <w:r>
        <w:rPr>
          <w:spacing w:val="-7"/>
        </w:rPr>
        <w:t> </w:t>
      </w:r>
      <w:r>
        <w:rPr/>
        <w:t>6.43</w:t>
      </w:r>
      <w:r>
        <w:rPr>
          <w:spacing w:val="-10"/>
        </w:rPr>
        <w:t> </w:t>
      </w:r>
      <w:r>
        <w:rPr/>
        <w:t>el</w:t>
      </w:r>
      <w:r>
        <w:rPr>
          <w:spacing w:val="-9"/>
        </w:rPr>
        <w:t> </w:t>
      </w:r>
      <w:r>
        <w:rPr/>
        <w:t>criterio</w:t>
      </w:r>
      <w:r>
        <w:rPr>
          <w:spacing w:val="-10"/>
        </w:rPr>
        <w:t> </w:t>
      </w:r>
      <w:r>
        <w:rPr/>
        <w:t>general</w:t>
      </w:r>
      <w:r>
        <w:rPr>
          <w:spacing w:val="-9"/>
        </w:rPr>
        <w:t> </w:t>
      </w:r>
      <w:r>
        <w:rPr/>
        <w:t>el</w:t>
      </w:r>
      <w:r>
        <w:rPr>
          <w:spacing w:val="-9"/>
        </w:rPr>
        <w:t> </w:t>
      </w:r>
      <w:r>
        <w:rPr/>
        <w:t>método</w:t>
      </w:r>
      <w:r>
        <w:rPr>
          <w:spacing w:val="-8"/>
        </w:rPr>
        <w:t> </w:t>
      </w:r>
      <w:r>
        <w:rPr/>
        <w:t>a</w:t>
      </w:r>
      <w:r>
        <w:rPr>
          <w:spacing w:val="-9"/>
        </w:rPr>
        <w:t> </w:t>
      </w:r>
      <w:r>
        <w:rPr/>
        <w:t>utilizar</w:t>
      </w:r>
      <w:r>
        <w:rPr>
          <w:spacing w:val="-9"/>
        </w:rPr>
        <w:t> </w:t>
      </w:r>
      <w:r>
        <w:rPr/>
        <w:t>para</w:t>
      </w:r>
      <w:r>
        <w:rPr>
          <w:spacing w:val="-9"/>
        </w:rPr>
        <w:t> </w:t>
      </w:r>
      <w:r>
        <w:rPr/>
        <w:t>la</w:t>
      </w:r>
      <w:r>
        <w:rPr>
          <w:spacing w:val="-10"/>
        </w:rPr>
        <w:t> </w:t>
      </w:r>
      <w:r>
        <w:rPr/>
        <w:t>elaboración del EFE es el método directo tomando los montos brutos a incorporar en dicho Estado de la información del sistema electrónico SAP.</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89600">
                <wp:simplePos x="0" y="0"/>
                <wp:positionH relativeFrom="page">
                  <wp:posOffset>9525</wp:posOffset>
                </wp:positionH>
                <wp:positionV relativeFrom="page">
                  <wp:posOffset>297208</wp:posOffset>
                </wp:positionV>
                <wp:extent cx="7762875" cy="9748520"/>
                <wp:effectExtent l="0" t="0" r="0" b="0"/>
                <wp:wrapNone/>
                <wp:docPr id="819" name="Group 819"/>
                <wp:cNvGraphicFramePr>
                  <a:graphicFrameLocks/>
                </wp:cNvGraphicFramePr>
                <a:graphic>
                  <a:graphicData uri="http://schemas.microsoft.com/office/word/2010/wordprocessingGroup">
                    <wpg:wgp>
                      <wpg:cNvPr id="819" name="Group 819"/>
                      <wpg:cNvGrpSpPr/>
                      <wpg:grpSpPr>
                        <a:xfrm>
                          <a:off x="0" y="0"/>
                          <a:ext cx="7762875" cy="9748520"/>
                          <a:chExt cx="7762875" cy="9748520"/>
                        </a:xfrm>
                      </wpg:grpSpPr>
                      <pic:pic>
                        <pic:nvPicPr>
                          <pic:cNvPr id="820" name="Image 820"/>
                          <pic:cNvPicPr/>
                        </pic:nvPicPr>
                        <pic:blipFill>
                          <a:blip r:embed="rId5" cstate="print"/>
                          <a:stretch>
                            <a:fillRect/>
                          </a:stretch>
                        </pic:blipFill>
                        <pic:spPr>
                          <a:xfrm>
                            <a:off x="0" y="0"/>
                            <a:ext cx="7762874" cy="9748489"/>
                          </a:xfrm>
                          <a:prstGeom prst="rect">
                            <a:avLst/>
                          </a:prstGeom>
                        </pic:spPr>
                      </pic:pic>
                      <wps:wsp>
                        <wps:cNvPr id="821" name="Graphic 821"/>
                        <wps:cNvSpPr/>
                        <wps:spPr>
                          <a:xfrm>
                            <a:off x="1053007" y="990837"/>
                            <a:ext cx="5736590" cy="7769225"/>
                          </a:xfrm>
                          <a:custGeom>
                            <a:avLst/>
                            <a:gdLst/>
                            <a:ahLst/>
                            <a:cxnLst/>
                            <a:rect l="l" t="t" r="r" b="b"/>
                            <a:pathLst>
                              <a:path w="5736590" h="7769225">
                                <a:moveTo>
                                  <a:pt x="21336" y="132651"/>
                                </a:moveTo>
                                <a:lnTo>
                                  <a:pt x="15240" y="132651"/>
                                </a:lnTo>
                                <a:lnTo>
                                  <a:pt x="15240" y="7762684"/>
                                </a:lnTo>
                                <a:lnTo>
                                  <a:pt x="21336" y="7762684"/>
                                </a:lnTo>
                                <a:lnTo>
                                  <a:pt x="21336" y="132651"/>
                                </a:lnTo>
                                <a:close/>
                              </a:path>
                              <a:path w="5736590" h="7769225">
                                <a:moveTo>
                                  <a:pt x="5649214" y="0"/>
                                </a:moveTo>
                                <a:lnTo>
                                  <a:pt x="0" y="0"/>
                                </a:lnTo>
                                <a:lnTo>
                                  <a:pt x="0" y="9131"/>
                                </a:lnTo>
                                <a:lnTo>
                                  <a:pt x="5649214" y="9131"/>
                                </a:lnTo>
                                <a:lnTo>
                                  <a:pt x="5649214" y="0"/>
                                </a:lnTo>
                                <a:close/>
                              </a:path>
                              <a:path w="5736590" h="7769225">
                                <a:moveTo>
                                  <a:pt x="5736018" y="7762697"/>
                                </a:moveTo>
                                <a:lnTo>
                                  <a:pt x="5729986" y="7762697"/>
                                </a:lnTo>
                                <a:lnTo>
                                  <a:pt x="21336" y="7762697"/>
                                </a:lnTo>
                                <a:lnTo>
                                  <a:pt x="15240" y="7762697"/>
                                </a:lnTo>
                                <a:lnTo>
                                  <a:pt x="15240" y="7768780"/>
                                </a:lnTo>
                                <a:lnTo>
                                  <a:pt x="21336" y="7768780"/>
                                </a:lnTo>
                                <a:lnTo>
                                  <a:pt x="5729935" y="7768780"/>
                                </a:lnTo>
                                <a:lnTo>
                                  <a:pt x="5736018" y="7768780"/>
                                </a:lnTo>
                                <a:lnTo>
                                  <a:pt x="5736018" y="7762697"/>
                                </a:lnTo>
                                <a:close/>
                              </a:path>
                              <a:path w="5736590" h="7769225">
                                <a:moveTo>
                                  <a:pt x="5736018" y="132651"/>
                                </a:moveTo>
                                <a:lnTo>
                                  <a:pt x="5729935" y="132651"/>
                                </a:lnTo>
                                <a:lnTo>
                                  <a:pt x="5729935" y="7762684"/>
                                </a:lnTo>
                                <a:lnTo>
                                  <a:pt x="5736018" y="7762684"/>
                                </a:lnTo>
                                <a:lnTo>
                                  <a:pt x="5736018" y="132651"/>
                                </a:lnTo>
                                <a:close/>
                              </a:path>
                              <a:path w="5736590" h="776922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6880" id="docshapegroup794" coordorigin="15,468" coordsize="12225,15352">
                <v:shape style="position:absolute;left:15;top:468;width:12225;height:15352" type="#_x0000_t75" id="docshape795" stroked="false">
                  <v:imagedata r:id="rId5" o:title=""/>
                </v:shape>
                <v:shape style="position:absolute;left:1673;top:2028;width:9034;height:12235" id="docshape796" coordorigin="1673,2028" coordsize="9034,12235" path="m1707,2237l1697,2237,1697,14253,1707,14253,1707,2237xm10570,2028l1673,2028,1673,2043,10570,2043,10570,2028xm10706,14253l10697,14253,10697,14253,1707,14253,1697,14253,1697,14263,1707,14263,10697,14263,10697,14263,10706,14263,10706,14253xm10706,2237l10697,2237,10697,14253,10706,14253,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163</w:t>
      </w:r>
    </w:p>
    <w:p>
      <w:pPr>
        <w:pStyle w:val="Heading6"/>
        <w:spacing w:before="227"/>
        <w:ind w:left="691"/>
        <w:rPr>
          <w:b w:val="0"/>
        </w:rPr>
      </w:pPr>
      <w:r>
        <w:rPr>
          <w:color w:val="1F4E79"/>
          <w:u w:val="single" w:color="1F4E79"/>
        </w:rPr>
        <w:t>Revelar</w:t>
      </w:r>
      <w:r>
        <w:rPr>
          <w:color w:val="1F4E79"/>
          <w:spacing w:val="-5"/>
          <w:u w:val="single" w:color="1F4E79"/>
        </w:rPr>
        <w:t> </w:t>
      </w:r>
      <w:r>
        <w:rPr>
          <w:color w:val="1F4E79"/>
          <w:u w:val="single" w:color="1F4E79"/>
        </w:rPr>
        <w:t>ampliamente</w:t>
      </w:r>
      <w:r>
        <w:rPr>
          <w:color w:val="1F4E79"/>
          <w:spacing w:val="-3"/>
          <w:u w:val="single" w:color="1F4E79"/>
        </w:rPr>
        <w:t> </w:t>
      </w:r>
      <w:r>
        <w:rPr>
          <w:color w:val="1F4E79"/>
          <w:u w:val="single" w:color="1F4E79"/>
        </w:rPr>
        <w:t>las</w:t>
      </w:r>
      <w:r>
        <w:rPr>
          <w:color w:val="1F4E79"/>
          <w:spacing w:val="-4"/>
          <w:u w:val="single" w:color="1F4E79"/>
        </w:rPr>
        <w:t> </w:t>
      </w:r>
      <w:r>
        <w:rPr>
          <w:color w:val="1F4E79"/>
          <w:u w:val="single" w:color="1F4E79"/>
        </w:rPr>
        <w:t>partidas</w:t>
      </w:r>
      <w:r>
        <w:rPr>
          <w:color w:val="1F4E79"/>
          <w:spacing w:val="-3"/>
          <w:u w:val="single" w:color="1F4E79"/>
        </w:rPr>
        <w:t> </w:t>
      </w:r>
      <w:r>
        <w:rPr>
          <w:color w:val="1F4E79"/>
          <w:u w:val="single" w:color="1F4E79"/>
        </w:rPr>
        <w:t>más</w:t>
      </w:r>
      <w:r>
        <w:rPr>
          <w:color w:val="1F4E79"/>
          <w:spacing w:val="-7"/>
          <w:u w:val="single" w:color="1F4E79"/>
        </w:rPr>
        <w:t> </w:t>
      </w:r>
      <w:r>
        <w:rPr>
          <w:color w:val="1F4E79"/>
          <w:u w:val="single" w:color="1F4E79"/>
        </w:rPr>
        <w:t>materiales</w:t>
      </w:r>
      <w:r>
        <w:rPr>
          <w:color w:val="1F4E79"/>
          <w:spacing w:val="-3"/>
          <w:u w:val="single" w:color="1F4E79"/>
        </w:rPr>
        <w:t> </w:t>
      </w:r>
      <w:r>
        <w:rPr>
          <w:color w:val="1F4E79"/>
          <w:u w:val="single" w:color="1F4E79"/>
        </w:rPr>
        <w:t>de</w:t>
      </w:r>
      <w:r>
        <w:rPr>
          <w:color w:val="1F4E79"/>
          <w:spacing w:val="-3"/>
          <w:u w:val="single" w:color="1F4E79"/>
        </w:rPr>
        <w:t> </w:t>
      </w:r>
      <w:r>
        <w:rPr>
          <w:color w:val="1F4E79"/>
          <w:spacing w:val="-2"/>
          <w:u w:val="single" w:color="1F4E79"/>
        </w:rPr>
        <w:t>cobros</w:t>
      </w:r>
      <w:r>
        <w:rPr>
          <w:b w:val="0"/>
          <w:spacing w:val="-2"/>
          <w:u w:val="none"/>
        </w:rPr>
        <w:t>:</w:t>
      </w:r>
    </w:p>
    <w:p>
      <w:pPr>
        <w:spacing w:before="181"/>
        <w:ind w:left="691" w:right="0" w:firstLine="0"/>
        <w:jc w:val="left"/>
        <w:rPr>
          <w:b/>
          <w:sz w:val="22"/>
        </w:rPr>
      </w:pPr>
      <w:r>
        <w:rPr>
          <w:b/>
          <w:sz w:val="22"/>
        </w:rPr>
        <w:t>Para</w:t>
      </w:r>
      <w:r>
        <w:rPr>
          <w:b/>
          <w:spacing w:val="-7"/>
          <w:sz w:val="22"/>
        </w:rPr>
        <w:t> </w:t>
      </w:r>
      <w:r>
        <w:rPr>
          <w:b/>
          <w:sz w:val="22"/>
        </w:rPr>
        <w:t>el</w:t>
      </w:r>
      <w:r>
        <w:rPr>
          <w:b/>
          <w:spacing w:val="-4"/>
          <w:sz w:val="22"/>
        </w:rPr>
        <w:t> </w:t>
      </w:r>
      <w:r>
        <w:rPr>
          <w:b/>
          <w:sz w:val="22"/>
        </w:rPr>
        <w:t>periodo</w:t>
      </w:r>
      <w:r>
        <w:rPr>
          <w:b/>
          <w:spacing w:val="-4"/>
          <w:sz w:val="22"/>
        </w:rPr>
        <w:t> </w:t>
      </w:r>
      <w:r>
        <w:rPr>
          <w:b/>
          <w:sz w:val="22"/>
        </w:rPr>
        <w:t>que</w:t>
      </w:r>
      <w:r>
        <w:rPr>
          <w:b/>
          <w:spacing w:val="-2"/>
          <w:sz w:val="22"/>
        </w:rPr>
        <w:t> </w:t>
      </w:r>
      <w:r>
        <w:rPr>
          <w:b/>
          <w:sz w:val="22"/>
        </w:rPr>
        <w:t>se</w:t>
      </w:r>
      <w:r>
        <w:rPr>
          <w:b/>
          <w:spacing w:val="-3"/>
          <w:sz w:val="22"/>
        </w:rPr>
        <w:t> </w:t>
      </w:r>
      <w:r>
        <w:rPr>
          <w:b/>
          <w:sz w:val="22"/>
        </w:rPr>
        <w:t>informa</w:t>
      </w:r>
      <w:r>
        <w:rPr>
          <w:b/>
          <w:spacing w:val="-5"/>
          <w:sz w:val="22"/>
        </w:rPr>
        <w:t> </w:t>
      </w:r>
      <w:r>
        <w:rPr>
          <w:b/>
          <w:sz w:val="22"/>
        </w:rPr>
        <w:t>las</w:t>
      </w:r>
      <w:r>
        <w:rPr>
          <w:b/>
          <w:spacing w:val="-2"/>
          <w:sz w:val="22"/>
        </w:rPr>
        <w:t> </w:t>
      </w:r>
      <w:r>
        <w:rPr>
          <w:b/>
          <w:sz w:val="22"/>
        </w:rPr>
        <w:t>actividades</w:t>
      </w:r>
      <w:r>
        <w:rPr>
          <w:b/>
          <w:spacing w:val="-3"/>
          <w:sz w:val="22"/>
        </w:rPr>
        <w:t> </w:t>
      </w:r>
      <w:r>
        <w:rPr>
          <w:b/>
          <w:sz w:val="22"/>
        </w:rPr>
        <w:t>de</w:t>
      </w:r>
      <w:r>
        <w:rPr>
          <w:b/>
          <w:spacing w:val="-6"/>
          <w:sz w:val="22"/>
        </w:rPr>
        <w:t> </w:t>
      </w:r>
      <w:r>
        <w:rPr>
          <w:b/>
          <w:sz w:val="22"/>
        </w:rPr>
        <w:t>operación</w:t>
      </w:r>
      <w:r>
        <w:rPr>
          <w:b/>
          <w:spacing w:val="-3"/>
          <w:sz w:val="22"/>
        </w:rPr>
        <w:t> </w:t>
      </w:r>
      <w:r>
        <w:rPr>
          <w:b/>
          <w:spacing w:val="-2"/>
          <w:sz w:val="22"/>
        </w:rPr>
        <w:t>incluye:</w:t>
      </w:r>
    </w:p>
    <w:p>
      <w:pPr>
        <w:pStyle w:val="BodyText"/>
        <w:spacing w:line="259" w:lineRule="auto" w:before="179"/>
        <w:ind w:left="691" w:right="892"/>
        <w:jc w:val="both"/>
      </w:pPr>
      <w:r>
        <w:rPr/>
        <w:t>Cobro el impuesto de la Ley 9836, a favor del Instituto Mixto de Ayuda Social, que deben pagar los negocios calificados y autorizados por el Ministerio de Gobernación, Policía, Justicia y Gracia, como moteles, y hoteles sin registro, casa de alojamiento ocasional y similares.</w:t>
      </w:r>
    </w:p>
    <w:p>
      <w:pPr>
        <w:pStyle w:val="BodyText"/>
        <w:spacing w:line="259" w:lineRule="auto" w:before="161"/>
        <w:ind w:left="691" w:right="885"/>
        <w:jc w:val="both"/>
      </w:pPr>
      <w:r>
        <w:rPr/>
        <w:t>Cobro del aporte de los patronos de la empresa privada y las instituciones autónomas del país correspondiente al medio por ciento mensual sobre las remuneraciones, sean salarios o sueldos, ordinarios o extraordinarios, que paguen a los trabajadores de sus respectivas actividades que estén empadronados en el INA y el Seguro Social o en el Banco Popular y de Desarrollo Comunal.</w:t>
      </w:r>
    </w:p>
    <w:p>
      <w:pPr>
        <w:pStyle w:val="BodyText"/>
        <w:spacing w:line="410" w:lineRule="auto" w:before="160"/>
        <w:ind w:left="691" w:right="1001"/>
      </w:pPr>
      <w:r>
        <w:rPr/>
        <w:t>Ventas</w:t>
      </w:r>
      <w:r>
        <w:rPr>
          <w:spacing w:val="-3"/>
        </w:rPr>
        <w:t> </w:t>
      </w:r>
      <w:r>
        <w:rPr/>
        <w:t>realizadas</w:t>
      </w:r>
      <w:r>
        <w:rPr>
          <w:spacing w:val="-2"/>
        </w:rPr>
        <w:t> </w:t>
      </w:r>
      <w:r>
        <w:rPr/>
        <w:t>en</w:t>
      </w:r>
      <w:r>
        <w:rPr>
          <w:spacing w:val="-3"/>
        </w:rPr>
        <w:t> </w:t>
      </w:r>
      <w:r>
        <w:rPr/>
        <w:t>las</w:t>
      </w:r>
      <w:r>
        <w:rPr>
          <w:spacing w:val="-2"/>
        </w:rPr>
        <w:t> </w:t>
      </w:r>
      <w:r>
        <w:rPr/>
        <w:t>Tiendas</w:t>
      </w:r>
      <w:r>
        <w:rPr>
          <w:spacing w:val="-2"/>
        </w:rPr>
        <w:t> </w:t>
      </w:r>
      <w:r>
        <w:rPr/>
        <w:t>Libres</w:t>
      </w:r>
      <w:r>
        <w:rPr>
          <w:spacing w:val="-2"/>
        </w:rPr>
        <w:t> </w:t>
      </w:r>
      <w:r>
        <w:rPr/>
        <w:t>de</w:t>
      </w:r>
      <w:r>
        <w:rPr>
          <w:spacing w:val="-5"/>
        </w:rPr>
        <w:t> </w:t>
      </w:r>
      <w:r>
        <w:rPr/>
        <w:t>los</w:t>
      </w:r>
      <w:r>
        <w:rPr>
          <w:spacing w:val="-2"/>
        </w:rPr>
        <w:t> </w:t>
      </w:r>
      <w:r>
        <w:rPr/>
        <w:t>Aeropuertos</w:t>
      </w:r>
      <w:r>
        <w:rPr>
          <w:spacing w:val="-2"/>
        </w:rPr>
        <w:t> </w:t>
      </w:r>
      <w:r>
        <w:rPr/>
        <w:t>y</w:t>
      </w:r>
      <w:r>
        <w:rPr>
          <w:spacing w:val="-4"/>
        </w:rPr>
        <w:t> </w:t>
      </w:r>
      <w:r>
        <w:rPr/>
        <w:t>Deposito</w:t>
      </w:r>
      <w:r>
        <w:rPr>
          <w:spacing w:val="-3"/>
        </w:rPr>
        <w:t> </w:t>
      </w:r>
      <w:r>
        <w:rPr/>
        <w:t>Libre</w:t>
      </w:r>
      <w:r>
        <w:rPr>
          <w:spacing w:val="-5"/>
        </w:rPr>
        <w:t> </w:t>
      </w:r>
      <w:r>
        <w:rPr/>
        <w:t>de</w:t>
      </w:r>
      <w:r>
        <w:rPr>
          <w:spacing w:val="-5"/>
        </w:rPr>
        <w:t> </w:t>
      </w:r>
      <w:r>
        <w:rPr/>
        <w:t>Golfito. Trasferencias recibidas y entregas para la inversión social.</w:t>
      </w:r>
    </w:p>
    <w:p>
      <w:pPr>
        <w:pStyle w:val="BodyText"/>
        <w:spacing w:line="256" w:lineRule="auto" w:before="4"/>
        <w:ind w:left="691" w:right="860"/>
      </w:pPr>
      <w:r>
        <w:rPr/>
        <w:t>En lo que respecta a al efectivo significativo se debe indicar que en la institución existen</w:t>
      </w:r>
      <w:r>
        <w:rPr>
          <w:spacing w:val="80"/>
          <w:w w:val="150"/>
        </w:rPr>
        <w:t> </w:t>
      </w:r>
      <w:r>
        <w:rPr/>
        <w:t>tres fuentes de financiamiento que se detallan a continuación.</w:t>
      </w:r>
    </w:p>
    <w:p>
      <w:pPr>
        <w:pStyle w:val="ListParagraph"/>
        <w:numPr>
          <w:ilvl w:val="0"/>
          <w:numId w:val="69"/>
        </w:numPr>
        <w:tabs>
          <w:tab w:pos="1410" w:val="left" w:leader="none"/>
        </w:tabs>
        <w:spacing w:line="240" w:lineRule="auto" w:before="162" w:after="0"/>
        <w:ind w:left="1410" w:right="0" w:hanging="359"/>
        <w:jc w:val="left"/>
        <w:rPr>
          <w:sz w:val="22"/>
        </w:rPr>
      </w:pPr>
      <w:r>
        <w:rPr>
          <w:sz w:val="22"/>
        </w:rPr>
        <w:t>Recursos</w:t>
      </w:r>
      <w:r>
        <w:rPr>
          <w:spacing w:val="-7"/>
          <w:sz w:val="22"/>
        </w:rPr>
        <w:t> </w:t>
      </w:r>
      <w:r>
        <w:rPr>
          <w:sz w:val="22"/>
        </w:rPr>
        <w:t>Propios-</w:t>
      </w:r>
      <w:r>
        <w:rPr>
          <w:spacing w:val="-6"/>
          <w:sz w:val="22"/>
        </w:rPr>
        <w:t> </w:t>
      </w:r>
      <w:r>
        <w:rPr>
          <w:spacing w:val="-4"/>
          <w:sz w:val="22"/>
        </w:rPr>
        <w:t>IMAS</w:t>
      </w:r>
    </w:p>
    <w:p>
      <w:pPr>
        <w:pStyle w:val="ListParagraph"/>
        <w:numPr>
          <w:ilvl w:val="0"/>
          <w:numId w:val="69"/>
        </w:numPr>
        <w:tabs>
          <w:tab w:pos="1410" w:val="left" w:leader="none"/>
        </w:tabs>
        <w:spacing w:line="240" w:lineRule="auto" w:before="19" w:after="0"/>
        <w:ind w:left="1410" w:right="0" w:hanging="359"/>
        <w:jc w:val="left"/>
        <w:rPr>
          <w:sz w:val="22"/>
        </w:rPr>
      </w:pPr>
      <w:r>
        <w:rPr>
          <w:sz w:val="22"/>
        </w:rPr>
        <w:t>Recursos</w:t>
      </w:r>
      <w:r>
        <w:rPr>
          <w:spacing w:val="-4"/>
          <w:sz w:val="22"/>
        </w:rPr>
        <w:t> </w:t>
      </w:r>
      <w:r>
        <w:rPr>
          <w:spacing w:val="-2"/>
          <w:sz w:val="22"/>
        </w:rPr>
        <w:t>FODESAF</w:t>
      </w:r>
    </w:p>
    <w:p>
      <w:pPr>
        <w:pStyle w:val="ListParagraph"/>
        <w:numPr>
          <w:ilvl w:val="0"/>
          <w:numId w:val="69"/>
        </w:numPr>
        <w:tabs>
          <w:tab w:pos="1410" w:val="left" w:leader="none"/>
        </w:tabs>
        <w:spacing w:line="240" w:lineRule="auto" w:before="21" w:after="0"/>
        <w:ind w:left="1410" w:right="0" w:hanging="359"/>
        <w:jc w:val="left"/>
        <w:rPr>
          <w:sz w:val="22"/>
        </w:rPr>
      </w:pPr>
      <w:r>
        <w:rPr>
          <w:sz w:val="22"/>
        </w:rPr>
        <w:t>Recursos</w:t>
      </w:r>
      <w:r>
        <w:rPr>
          <w:spacing w:val="-6"/>
          <w:sz w:val="22"/>
        </w:rPr>
        <w:t> </w:t>
      </w:r>
      <w:r>
        <w:rPr>
          <w:sz w:val="22"/>
        </w:rPr>
        <w:t>Gobierno</w:t>
      </w:r>
      <w:r>
        <w:rPr>
          <w:spacing w:val="-7"/>
          <w:sz w:val="22"/>
        </w:rPr>
        <w:t> </w:t>
      </w:r>
      <w:r>
        <w:rPr>
          <w:spacing w:val="-2"/>
          <w:sz w:val="22"/>
        </w:rPr>
        <w:t>Central</w:t>
      </w:r>
    </w:p>
    <w:p>
      <w:pPr>
        <w:pStyle w:val="BodyText"/>
        <w:spacing w:line="259" w:lineRule="auto" w:before="181"/>
        <w:ind w:left="691" w:right="1001"/>
      </w:pPr>
      <w:r>
        <w:rPr/>
        <w:t>Es</w:t>
      </w:r>
      <w:r>
        <w:rPr>
          <w:spacing w:val="-2"/>
        </w:rPr>
        <w:t> </w:t>
      </w:r>
      <w:r>
        <w:rPr/>
        <w:t>importante</w:t>
      </w:r>
      <w:r>
        <w:rPr>
          <w:spacing w:val="-4"/>
        </w:rPr>
        <w:t> </w:t>
      </w:r>
      <w:r>
        <w:rPr/>
        <w:t>indicar</w:t>
      </w:r>
      <w:r>
        <w:rPr>
          <w:spacing w:val="-3"/>
        </w:rPr>
        <w:t> </w:t>
      </w:r>
      <w:r>
        <w:rPr/>
        <w:t>que</w:t>
      </w:r>
      <w:r>
        <w:rPr>
          <w:spacing w:val="-5"/>
        </w:rPr>
        <w:t> </w:t>
      </w:r>
      <w:r>
        <w:rPr/>
        <w:t>a</w:t>
      </w:r>
      <w:r>
        <w:rPr>
          <w:spacing w:val="-4"/>
        </w:rPr>
        <w:t> </w:t>
      </w:r>
      <w:r>
        <w:rPr/>
        <w:t>los</w:t>
      </w:r>
      <w:r>
        <w:rPr>
          <w:spacing w:val="-2"/>
        </w:rPr>
        <w:t> </w:t>
      </w:r>
      <w:r>
        <w:rPr/>
        <w:t>recursos</w:t>
      </w:r>
      <w:r>
        <w:rPr>
          <w:spacing w:val="-2"/>
        </w:rPr>
        <w:t> </w:t>
      </w:r>
      <w:r>
        <w:rPr/>
        <w:t>propios</w:t>
      </w:r>
      <w:r>
        <w:rPr>
          <w:spacing w:val="-2"/>
        </w:rPr>
        <w:t> </w:t>
      </w:r>
      <w:r>
        <w:rPr/>
        <w:t>ingresan</w:t>
      </w:r>
      <w:r>
        <w:rPr>
          <w:spacing w:val="-3"/>
        </w:rPr>
        <w:t> </w:t>
      </w:r>
      <w:r>
        <w:rPr/>
        <w:t>de</w:t>
      </w:r>
      <w:r>
        <w:rPr>
          <w:spacing w:val="-5"/>
        </w:rPr>
        <w:t> </w:t>
      </w:r>
      <w:r>
        <w:rPr/>
        <w:t>forma</w:t>
      </w:r>
      <w:r>
        <w:rPr>
          <w:spacing w:val="-4"/>
        </w:rPr>
        <w:t> </w:t>
      </w:r>
      <w:r>
        <w:rPr/>
        <w:t>directa</w:t>
      </w:r>
      <w:r>
        <w:rPr>
          <w:spacing w:val="-4"/>
        </w:rPr>
        <w:t> </w:t>
      </w:r>
      <w:r>
        <w:rPr/>
        <w:t>a</w:t>
      </w:r>
      <w:r>
        <w:rPr>
          <w:spacing w:val="-4"/>
        </w:rPr>
        <w:t> </w:t>
      </w:r>
      <w:r>
        <w:rPr/>
        <w:t>las</w:t>
      </w:r>
      <w:r>
        <w:rPr>
          <w:spacing w:val="-2"/>
        </w:rPr>
        <w:t> </w:t>
      </w:r>
      <w:r>
        <w:rPr/>
        <w:t>cuentas</w:t>
      </w:r>
      <w:r>
        <w:rPr>
          <w:spacing w:val="-3"/>
        </w:rPr>
        <w:t> </w:t>
      </w:r>
      <w:r>
        <w:rPr/>
        <w:t>Bancarias institucionales destinadas para tales efectos, y es desde estás donde se realizan las diferentes operaciones institucionales.</w:t>
      </w:r>
    </w:p>
    <w:p>
      <w:pPr>
        <w:pStyle w:val="BodyText"/>
        <w:spacing w:line="259" w:lineRule="auto" w:before="159"/>
        <w:ind w:left="691" w:right="887"/>
        <w:jc w:val="both"/>
      </w:pPr>
      <w:r>
        <w:rPr/>
        <w:t>En</w:t>
      </w:r>
      <w:r>
        <w:rPr>
          <w:spacing w:val="-2"/>
        </w:rPr>
        <w:t> </w:t>
      </w:r>
      <w:r>
        <w:rPr/>
        <w:t>lo</w:t>
      </w:r>
      <w:r>
        <w:rPr>
          <w:spacing w:val="-4"/>
        </w:rPr>
        <w:t> </w:t>
      </w:r>
      <w:r>
        <w:rPr/>
        <w:t>que</w:t>
      </w:r>
      <w:r>
        <w:rPr>
          <w:spacing w:val="-4"/>
        </w:rPr>
        <w:t> </w:t>
      </w:r>
      <w:r>
        <w:rPr/>
        <w:t>corresponde</w:t>
      </w:r>
      <w:r>
        <w:rPr>
          <w:spacing w:val="-4"/>
        </w:rPr>
        <w:t> </w:t>
      </w:r>
      <w:r>
        <w:rPr/>
        <w:t>a</w:t>
      </w:r>
      <w:r>
        <w:rPr>
          <w:spacing w:val="-5"/>
        </w:rPr>
        <w:t> </w:t>
      </w:r>
      <w:r>
        <w:rPr/>
        <w:t>Recursos</w:t>
      </w:r>
      <w:r>
        <w:rPr>
          <w:spacing w:val="-1"/>
        </w:rPr>
        <w:t> </w:t>
      </w:r>
      <w:r>
        <w:rPr/>
        <w:t>FODESAF</w:t>
      </w:r>
      <w:r>
        <w:rPr>
          <w:spacing w:val="-4"/>
        </w:rPr>
        <w:t> </w:t>
      </w:r>
      <w:r>
        <w:rPr/>
        <w:t>y</w:t>
      </w:r>
      <w:r>
        <w:rPr>
          <w:spacing w:val="-3"/>
        </w:rPr>
        <w:t> </w:t>
      </w:r>
      <w:r>
        <w:rPr/>
        <w:t>Gobierno</w:t>
      </w:r>
      <w:r>
        <w:rPr>
          <w:spacing w:val="-4"/>
        </w:rPr>
        <w:t> </w:t>
      </w:r>
      <w:r>
        <w:rPr/>
        <w:t>Central,</w:t>
      </w:r>
      <w:r>
        <w:rPr>
          <w:spacing w:val="-2"/>
        </w:rPr>
        <w:t> </w:t>
      </w:r>
      <w:r>
        <w:rPr/>
        <w:t>los</w:t>
      </w:r>
      <w:r>
        <w:rPr>
          <w:spacing w:val="-4"/>
        </w:rPr>
        <w:t> </w:t>
      </w:r>
      <w:r>
        <w:rPr/>
        <w:t>mismo</w:t>
      </w:r>
      <w:r>
        <w:rPr>
          <w:spacing w:val="-4"/>
        </w:rPr>
        <w:t> </w:t>
      </w:r>
      <w:r>
        <w:rPr/>
        <w:t>se</w:t>
      </w:r>
      <w:r>
        <w:rPr>
          <w:spacing w:val="-3"/>
        </w:rPr>
        <w:t> </w:t>
      </w:r>
      <w:r>
        <w:rPr/>
        <w:t>gestionan</w:t>
      </w:r>
      <w:r>
        <w:rPr>
          <w:spacing w:val="-2"/>
        </w:rPr>
        <w:t> </w:t>
      </w:r>
      <w:r>
        <w:rPr/>
        <w:t>por</w:t>
      </w:r>
      <w:r>
        <w:rPr>
          <w:spacing w:val="-5"/>
        </w:rPr>
        <w:t> </w:t>
      </w:r>
      <w:r>
        <w:rPr/>
        <w:t>medio de Caja Única, para lo cual se debe solicitar la asignación y desembolso se realizan en función de los compromisos institucionales demostrados, sin dejar de considerar la asignación de cuotas que se implementa en la operativa por parte del Ministerio de Hacienda. De esta manera, mensualmente el efectivo que ingresa se ejecuta.</w:t>
      </w:r>
    </w:p>
    <w:p>
      <w:pPr>
        <w:pStyle w:val="BodyText"/>
        <w:spacing w:before="160"/>
        <w:ind w:left="691" w:right="1001"/>
      </w:pPr>
      <w:r>
        <w:rPr/>
        <w:t>Las</w:t>
      </w:r>
      <w:r>
        <w:rPr>
          <w:spacing w:val="-2"/>
        </w:rPr>
        <w:t> </w:t>
      </w:r>
      <w:r>
        <w:rPr/>
        <w:t>actividades</w:t>
      </w:r>
      <w:r>
        <w:rPr>
          <w:spacing w:val="-2"/>
        </w:rPr>
        <w:t> </w:t>
      </w:r>
      <w:r>
        <w:rPr/>
        <w:t>operación</w:t>
      </w:r>
      <w:r>
        <w:rPr>
          <w:spacing w:val="-3"/>
        </w:rPr>
        <w:t> </w:t>
      </w:r>
      <w:r>
        <w:rPr/>
        <w:t>constituye</w:t>
      </w:r>
      <w:r>
        <w:rPr>
          <w:spacing w:val="-4"/>
        </w:rPr>
        <w:t> </w:t>
      </w:r>
      <w:r>
        <w:rPr/>
        <w:t>la</w:t>
      </w:r>
      <w:r>
        <w:rPr>
          <w:spacing w:val="-5"/>
        </w:rPr>
        <w:t> </w:t>
      </w:r>
      <w:r>
        <w:rPr/>
        <w:t>principal</w:t>
      </w:r>
      <w:r>
        <w:rPr>
          <w:spacing w:val="-3"/>
        </w:rPr>
        <w:t> </w:t>
      </w:r>
      <w:r>
        <w:rPr/>
        <w:t>fuente</w:t>
      </w:r>
      <w:r>
        <w:rPr>
          <w:spacing w:val="-3"/>
        </w:rPr>
        <w:t> </w:t>
      </w:r>
      <w:r>
        <w:rPr/>
        <w:t>de</w:t>
      </w:r>
      <w:r>
        <w:rPr>
          <w:spacing w:val="-4"/>
        </w:rPr>
        <w:t> </w:t>
      </w:r>
      <w:r>
        <w:rPr/>
        <w:t>ingresos</w:t>
      </w:r>
      <w:r>
        <w:rPr>
          <w:spacing w:val="-2"/>
        </w:rPr>
        <w:t> </w:t>
      </w:r>
      <w:r>
        <w:rPr/>
        <w:t>de</w:t>
      </w:r>
      <w:r>
        <w:rPr>
          <w:spacing w:val="-5"/>
        </w:rPr>
        <w:t> </w:t>
      </w:r>
      <w:r>
        <w:rPr/>
        <w:t>actividades</w:t>
      </w:r>
      <w:r>
        <w:rPr>
          <w:spacing w:val="-2"/>
        </w:rPr>
        <w:t> </w:t>
      </w:r>
      <w:r>
        <w:rPr/>
        <w:t>ordinarias</w:t>
      </w:r>
      <w:r>
        <w:rPr>
          <w:spacing w:val="-2"/>
        </w:rPr>
        <w:t> </w:t>
      </w:r>
      <w:r>
        <w:rPr/>
        <w:t>de</w:t>
      </w:r>
      <w:r>
        <w:rPr>
          <w:spacing w:val="-5"/>
        </w:rPr>
        <w:t> </w:t>
      </w:r>
      <w:r>
        <w:rPr/>
        <w:t>la institución, entre otros los siguientes:</w:t>
      </w:r>
    </w:p>
    <w:p>
      <w:pPr>
        <w:pStyle w:val="BodyText"/>
        <w:spacing w:before="160"/>
        <w:ind w:left="802"/>
      </w:pPr>
      <w:r>
        <w:rPr/>
        <w:t>Impuestos,</w:t>
      </w:r>
      <w:r>
        <w:rPr>
          <w:spacing w:val="-4"/>
        </w:rPr>
        <w:t> </w:t>
      </w:r>
      <w:r>
        <w:rPr/>
        <w:t>Ley</w:t>
      </w:r>
      <w:r>
        <w:rPr>
          <w:spacing w:val="-4"/>
        </w:rPr>
        <w:t> </w:t>
      </w:r>
      <w:r>
        <w:rPr/>
        <w:t>9326</w:t>
      </w:r>
      <w:r>
        <w:rPr>
          <w:spacing w:val="-5"/>
        </w:rPr>
        <w:t> </w:t>
      </w:r>
      <w:r>
        <w:rPr/>
        <w:t>Impuestos</w:t>
      </w:r>
      <w:r>
        <w:rPr>
          <w:spacing w:val="-3"/>
        </w:rPr>
        <w:t> </w:t>
      </w:r>
      <w:r>
        <w:rPr/>
        <w:t>y</w:t>
      </w:r>
      <w:r>
        <w:rPr>
          <w:spacing w:val="-4"/>
        </w:rPr>
        <w:t> </w:t>
      </w:r>
      <w:r>
        <w:rPr/>
        <w:t>Moteles;</w:t>
      </w:r>
      <w:r>
        <w:rPr>
          <w:spacing w:val="-3"/>
        </w:rPr>
        <w:t> </w:t>
      </w:r>
      <w:r>
        <w:rPr>
          <w:spacing w:val="-10"/>
        </w:rPr>
        <w:t>o</w:t>
      </w:r>
    </w:p>
    <w:p>
      <w:pPr>
        <w:pStyle w:val="BodyText"/>
        <w:spacing w:before="159"/>
      </w:pPr>
    </w:p>
    <w:p>
      <w:pPr>
        <w:pStyle w:val="ListParagraph"/>
        <w:numPr>
          <w:ilvl w:val="0"/>
          <w:numId w:val="70"/>
        </w:numPr>
        <w:tabs>
          <w:tab w:pos="1411" w:val="left" w:leader="none"/>
        </w:tabs>
        <w:spacing w:line="240" w:lineRule="auto" w:before="0" w:after="0"/>
        <w:ind w:left="1411" w:right="886" w:hanging="360"/>
        <w:jc w:val="both"/>
        <w:rPr>
          <w:sz w:val="22"/>
        </w:rPr>
      </w:pPr>
      <w:r>
        <w:rPr>
          <w:sz w:val="22"/>
        </w:rPr>
        <w:t>Cobros</w:t>
      </w:r>
      <w:r>
        <w:rPr>
          <w:spacing w:val="-6"/>
          <w:sz w:val="22"/>
        </w:rPr>
        <w:t> </w:t>
      </w:r>
      <w:r>
        <w:rPr>
          <w:sz w:val="22"/>
        </w:rPr>
        <w:t>en</w:t>
      </w:r>
      <w:r>
        <w:rPr>
          <w:spacing w:val="-7"/>
          <w:sz w:val="22"/>
        </w:rPr>
        <w:t> </w:t>
      </w:r>
      <w:r>
        <w:rPr>
          <w:sz w:val="22"/>
        </w:rPr>
        <w:t>efectivo</w:t>
      </w:r>
      <w:r>
        <w:rPr>
          <w:spacing w:val="-6"/>
          <w:sz w:val="22"/>
        </w:rPr>
        <w:t> </w:t>
      </w:r>
      <w:r>
        <w:rPr>
          <w:sz w:val="22"/>
        </w:rPr>
        <w:t>en</w:t>
      </w:r>
      <w:r>
        <w:rPr>
          <w:spacing w:val="-4"/>
          <w:sz w:val="22"/>
        </w:rPr>
        <w:t> </w:t>
      </w:r>
      <w:r>
        <w:rPr>
          <w:sz w:val="22"/>
        </w:rPr>
        <w:t>concepto</w:t>
      </w:r>
      <w:r>
        <w:rPr>
          <w:spacing w:val="-4"/>
          <w:sz w:val="22"/>
        </w:rPr>
        <w:t> </w:t>
      </w:r>
      <w:r>
        <w:rPr>
          <w:sz w:val="22"/>
        </w:rPr>
        <w:t>de</w:t>
      </w:r>
      <w:r>
        <w:rPr>
          <w:spacing w:val="-4"/>
          <w:sz w:val="22"/>
        </w:rPr>
        <w:t> </w:t>
      </w:r>
      <w:r>
        <w:rPr>
          <w:sz w:val="22"/>
        </w:rPr>
        <w:t>impuestos,</w:t>
      </w:r>
      <w:r>
        <w:rPr>
          <w:spacing w:val="-5"/>
          <w:sz w:val="22"/>
        </w:rPr>
        <w:t> </w:t>
      </w:r>
      <w:r>
        <w:rPr>
          <w:sz w:val="22"/>
        </w:rPr>
        <w:t>contribuciones</w:t>
      </w:r>
      <w:r>
        <w:rPr>
          <w:spacing w:val="-4"/>
          <w:sz w:val="22"/>
        </w:rPr>
        <w:t> </w:t>
      </w:r>
      <w:r>
        <w:rPr>
          <w:sz w:val="22"/>
        </w:rPr>
        <w:t>y</w:t>
      </w:r>
      <w:r>
        <w:rPr>
          <w:spacing w:val="-6"/>
          <w:sz w:val="22"/>
        </w:rPr>
        <w:t> </w:t>
      </w:r>
      <w:r>
        <w:rPr>
          <w:sz w:val="22"/>
        </w:rPr>
        <w:t>multas,</w:t>
      </w:r>
      <w:r>
        <w:rPr>
          <w:spacing w:val="-5"/>
          <w:sz w:val="22"/>
        </w:rPr>
        <w:t> </w:t>
      </w:r>
      <w:r>
        <w:rPr>
          <w:sz w:val="22"/>
        </w:rPr>
        <w:t>Ley</w:t>
      </w:r>
      <w:r>
        <w:rPr>
          <w:spacing w:val="-6"/>
          <w:sz w:val="22"/>
        </w:rPr>
        <w:t> </w:t>
      </w:r>
      <w:r>
        <w:rPr>
          <w:sz w:val="22"/>
        </w:rPr>
        <w:t>4760-6443</w:t>
      </w:r>
      <w:r>
        <w:rPr>
          <w:spacing w:val="-5"/>
          <w:sz w:val="22"/>
        </w:rPr>
        <w:t> </w:t>
      </w:r>
      <w:r>
        <w:rPr>
          <w:sz w:val="22"/>
        </w:rPr>
        <w:t>(patro-</w:t>
      </w:r>
      <w:r>
        <w:rPr>
          <w:spacing w:val="-2"/>
          <w:sz w:val="22"/>
        </w:rPr>
        <w:t>nos);</w:t>
      </w:r>
    </w:p>
    <w:p>
      <w:pPr>
        <w:pStyle w:val="BodyText"/>
        <w:spacing w:before="159"/>
      </w:pPr>
    </w:p>
    <w:p>
      <w:pPr>
        <w:pStyle w:val="ListParagraph"/>
        <w:numPr>
          <w:ilvl w:val="0"/>
          <w:numId w:val="70"/>
        </w:numPr>
        <w:tabs>
          <w:tab w:pos="1409" w:val="left" w:leader="none"/>
          <w:tab w:pos="1411" w:val="left" w:leader="none"/>
        </w:tabs>
        <w:spacing w:line="240" w:lineRule="auto" w:before="0" w:after="0"/>
        <w:ind w:left="1411" w:right="891" w:hanging="360"/>
        <w:jc w:val="both"/>
        <w:rPr>
          <w:sz w:val="22"/>
        </w:rPr>
      </w:pPr>
      <w:r>
        <w:rPr>
          <w:sz w:val="22"/>
        </w:rPr>
        <w:t>Cobros</w:t>
      </w:r>
      <w:r>
        <w:rPr>
          <w:spacing w:val="-1"/>
          <w:sz w:val="22"/>
        </w:rPr>
        <w:t> </w:t>
      </w:r>
      <w:r>
        <w:rPr>
          <w:sz w:val="22"/>
        </w:rPr>
        <w:t>en</w:t>
      </w:r>
      <w:r>
        <w:rPr>
          <w:spacing w:val="-2"/>
          <w:sz w:val="22"/>
        </w:rPr>
        <w:t> </w:t>
      </w:r>
      <w:r>
        <w:rPr>
          <w:sz w:val="22"/>
        </w:rPr>
        <w:t>efectivo en concepto de cargos por bienes y</w:t>
      </w:r>
      <w:r>
        <w:rPr>
          <w:spacing w:val="-3"/>
          <w:sz w:val="22"/>
        </w:rPr>
        <w:t> </w:t>
      </w:r>
      <w:r>
        <w:rPr>
          <w:sz w:val="22"/>
        </w:rPr>
        <w:t>servicios</w:t>
      </w:r>
      <w:r>
        <w:rPr>
          <w:spacing w:val="-1"/>
          <w:sz w:val="22"/>
        </w:rPr>
        <w:t> </w:t>
      </w:r>
      <w:r>
        <w:rPr>
          <w:sz w:val="22"/>
        </w:rPr>
        <w:t>suministrados por</w:t>
      </w:r>
      <w:r>
        <w:rPr>
          <w:spacing w:val="-2"/>
          <w:sz w:val="22"/>
        </w:rPr>
        <w:t> </w:t>
      </w:r>
      <w:r>
        <w:rPr>
          <w:sz w:val="22"/>
        </w:rPr>
        <w:t>la</w:t>
      </w:r>
      <w:r>
        <w:rPr>
          <w:spacing w:val="-1"/>
          <w:sz w:val="22"/>
        </w:rPr>
        <w:t> </w:t>
      </w:r>
      <w:r>
        <w:rPr>
          <w:sz w:val="22"/>
        </w:rPr>
        <w:t>entidad, Ley N° 8563 Ley Fortalecimiento Financiero IMAS 2007;</w:t>
      </w:r>
    </w:p>
    <w:p>
      <w:pPr>
        <w:pStyle w:val="BodyText"/>
        <w:spacing w:before="161"/>
      </w:pPr>
    </w:p>
    <w:p>
      <w:pPr>
        <w:pStyle w:val="ListParagraph"/>
        <w:numPr>
          <w:ilvl w:val="0"/>
          <w:numId w:val="70"/>
        </w:numPr>
        <w:tabs>
          <w:tab w:pos="1411" w:val="left" w:leader="none"/>
        </w:tabs>
        <w:spacing w:line="240" w:lineRule="auto" w:before="1" w:after="0"/>
        <w:ind w:left="1411" w:right="884" w:hanging="360"/>
        <w:jc w:val="both"/>
        <w:rPr>
          <w:sz w:val="22"/>
        </w:rPr>
      </w:pPr>
      <w:r>
        <w:rPr>
          <w:sz w:val="22"/>
        </w:rPr>
        <w:t>Cobros en efectivo en concepto de subvenciones o transferencias recibidas corrientes (perso-nas-sector público y privado)</w:t>
      </w:r>
      <w:r>
        <w:rPr>
          <w:spacing w:val="40"/>
          <w:sz w:val="22"/>
        </w:rPr>
        <w:t> </w:t>
      </w:r>
      <w:r>
        <w:rPr>
          <w:sz w:val="22"/>
        </w:rPr>
        <w:t>y transferencias recibidas de capital (personas-sector público y privado)) y otras asignaciones o dotaciones presupuestarias hechas por el gobierno central o</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0112">
                <wp:simplePos x="0" y="0"/>
                <wp:positionH relativeFrom="page">
                  <wp:posOffset>9525</wp:posOffset>
                </wp:positionH>
                <wp:positionV relativeFrom="page">
                  <wp:posOffset>297208</wp:posOffset>
                </wp:positionV>
                <wp:extent cx="7762875" cy="9748520"/>
                <wp:effectExtent l="0" t="0" r="0" b="0"/>
                <wp:wrapNone/>
                <wp:docPr id="822" name="Group 822"/>
                <wp:cNvGraphicFramePr>
                  <a:graphicFrameLocks/>
                </wp:cNvGraphicFramePr>
                <a:graphic>
                  <a:graphicData uri="http://schemas.microsoft.com/office/word/2010/wordprocessingGroup">
                    <wpg:wgp>
                      <wpg:cNvPr id="822" name="Group 822"/>
                      <wpg:cNvGrpSpPr/>
                      <wpg:grpSpPr>
                        <a:xfrm>
                          <a:off x="0" y="0"/>
                          <a:ext cx="7762875" cy="9748520"/>
                          <a:chExt cx="7762875" cy="9748520"/>
                        </a:xfrm>
                      </wpg:grpSpPr>
                      <pic:pic>
                        <pic:nvPicPr>
                          <pic:cNvPr id="823" name="Image 823"/>
                          <pic:cNvPicPr/>
                        </pic:nvPicPr>
                        <pic:blipFill>
                          <a:blip r:embed="rId5" cstate="print"/>
                          <a:stretch>
                            <a:fillRect/>
                          </a:stretch>
                        </pic:blipFill>
                        <pic:spPr>
                          <a:xfrm>
                            <a:off x="0" y="0"/>
                            <a:ext cx="7762874" cy="9748489"/>
                          </a:xfrm>
                          <a:prstGeom prst="rect">
                            <a:avLst/>
                          </a:prstGeom>
                        </pic:spPr>
                      </pic:pic>
                      <wps:wsp>
                        <wps:cNvPr id="824" name="Graphic 824"/>
                        <wps:cNvSpPr/>
                        <wps:spPr>
                          <a:xfrm>
                            <a:off x="1053007" y="990837"/>
                            <a:ext cx="5736590" cy="6979920"/>
                          </a:xfrm>
                          <a:custGeom>
                            <a:avLst/>
                            <a:gdLst/>
                            <a:ahLst/>
                            <a:cxnLst/>
                            <a:rect l="l" t="t" r="r" b="b"/>
                            <a:pathLst>
                              <a:path w="5736590" h="6979920">
                                <a:moveTo>
                                  <a:pt x="21336" y="132702"/>
                                </a:moveTo>
                                <a:lnTo>
                                  <a:pt x="15240" y="132702"/>
                                </a:lnTo>
                                <a:lnTo>
                                  <a:pt x="15240" y="6973303"/>
                                </a:lnTo>
                                <a:lnTo>
                                  <a:pt x="21336" y="6973303"/>
                                </a:lnTo>
                                <a:lnTo>
                                  <a:pt x="21336" y="132702"/>
                                </a:lnTo>
                                <a:close/>
                              </a:path>
                              <a:path w="5736590" h="6979920">
                                <a:moveTo>
                                  <a:pt x="5649214" y="0"/>
                                </a:moveTo>
                                <a:lnTo>
                                  <a:pt x="0" y="0"/>
                                </a:lnTo>
                                <a:lnTo>
                                  <a:pt x="0" y="9131"/>
                                </a:lnTo>
                                <a:lnTo>
                                  <a:pt x="5649214" y="9131"/>
                                </a:lnTo>
                                <a:lnTo>
                                  <a:pt x="5649214" y="0"/>
                                </a:lnTo>
                                <a:close/>
                              </a:path>
                              <a:path w="5736590" h="6979920">
                                <a:moveTo>
                                  <a:pt x="5736018" y="6973316"/>
                                </a:moveTo>
                                <a:lnTo>
                                  <a:pt x="5729986" y="6973316"/>
                                </a:lnTo>
                                <a:lnTo>
                                  <a:pt x="21336" y="6973316"/>
                                </a:lnTo>
                                <a:lnTo>
                                  <a:pt x="15240" y="6973316"/>
                                </a:lnTo>
                                <a:lnTo>
                                  <a:pt x="15240" y="6979399"/>
                                </a:lnTo>
                                <a:lnTo>
                                  <a:pt x="21336" y="6979399"/>
                                </a:lnTo>
                                <a:lnTo>
                                  <a:pt x="5729935" y="6979399"/>
                                </a:lnTo>
                                <a:lnTo>
                                  <a:pt x="5736018" y="6979399"/>
                                </a:lnTo>
                                <a:lnTo>
                                  <a:pt x="5736018" y="6973316"/>
                                </a:lnTo>
                                <a:close/>
                              </a:path>
                              <a:path w="5736590" h="6979920">
                                <a:moveTo>
                                  <a:pt x="5736018" y="132702"/>
                                </a:moveTo>
                                <a:lnTo>
                                  <a:pt x="5729935" y="132702"/>
                                </a:lnTo>
                                <a:lnTo>
                                  <a:pt x="5729935" y="6973303"/>
                                </a:lnTo>
                                <a:lnTo>
                                  <a:pt x="5736018" y="6973303"/>
                                </a:lnTo>
                                <a:lnTo>
                                  <a:pt x="5736018" y="132702"/>
                                </a:lnTo>
                                <a:close/>
                              </a:path>
                              <a:path w="5736590" h="697992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825" name="Image 825"/>
                          <pic:cNvPicPr/>
                        </pic:nvPicPr>
                        <pic:blipFill>
                          <a:blip r:embed="rId102" cstate="print"/>
                          <a:stretch>
                            <a:fillRect/>
                          </a:stretch>
                        </pic:blipFill>
                        <pic:spPr>
                          <a:xfrm>
                            <a:off x="1555749" y="5853960"/>
                            <a:ext cx="4736465" cy="119819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26368" id="docshapegroup797" coordorigin="15,468" coordsize="12225,15352">
                <v:shape style="position:absolute;left:15;top:468;width:12225;height:15352" type="#_x0000_t75" id="docshape798" stroked="false">
                  <v:imagedata r:id="rId5" o:title=""/>
                </v:shape>
                <v:shape style="position:absolute;left:1673;top:2028;width:9034;height:10992" id="docshape799" coordorigin="1673,2028" coordsize="9034,10992" path="m1707,2237l1697,2237,1697,13010,1707,13010,1707,2237xm10570,2028l1673,2028,1673,2043,10570,2043,10570,2028xm10706,13010l10697,13010,10697,13010,1707,13010,1697,13010,1697,13020,1707,13020,10697,13020,10697,13020,10706,13020,10706,13010xm10706,2237l10697,2237,10697,13010,10706,13010,10706,2237xm10706,2228l10697,2228,10697,2228,1707,2228,1697,2228,1697,2237,1707,2237,10697,2237,10697,2237,10706,2237,10706,2228xe" filled="true" fillcolor="#000000" stroked="false">
                  <v:path arrowok="t"/>
                  <v:fill type="solid"/>
                </v:shape>
                <v:shape style="position:absolute;left:2465;top:9686;width:7459;height:1887" type="#_x0000_t75" id="docshape800" stroked="false">
                  <v:imagedata r:id="rId102" o:title=""/>
                </v:shape>
                <w10:wrap type="none"/>
              </v:group>
            </w:pict>
          </mc:Fallback>
        </mc:AlternateContent>
      </w:r>
      <w:r>
        <w:rPr>
          <w:color w:val="172951"/>
          <w:sz w:val="20"/>
        </w:rPr>
        <w:t>Pág.</w:t>
      </w:r>
      <w:r>
        <w:rPr>
          <w:color w:val="172951"/>
          <w:spacing w:val="-7"/>
          <w:sz w:val="20"/>
        </w:rPr>
        <w:t> </w:t>
      </w:r>
      <w:r>
        <w:rPr>
          <w:color w:val="172951"/>
          <w:spacing w:val="-5"/>
          <w:sz w:val="20"/>
        </w:rPr>
        <w:t>164</w:t>
      </w:r>
    </w:p>
    <w:p>
      <w:pPr>
        <w:pStyle w:val="BodyText"/>
        <w:spacing w:before="227"/>
        <w:ind w:left="1411" w:right="887"/>
        <w:jc w:val="both"/>
      </w:pPr>
      <w:r>
        <w:rPr/>
        <w:t>por otras entidades del sector público, Ley N°4760 Ley de Creación del Instituto Mixto de Ayuda Social,</w:t>
      </w:r>
      <w:r>
        <w:rPr>
          <w:spacing w:val="40"/>
        </w:rPr>
        <w:t> </w:t>
      </w:r>
      <w:r>
        <w:rPr/>
        <w:t>Ley</w:t>
      </w:r>
      <w:r>
        <w:rPr>
          <w:spacing w:val="-1"/>
        </w:rPr>
        <w:t> </w:t>
      </w:r>
      <w:r>
        <w:rPr/>
        <w:t>N° 8563 Ley Fortalecimiento Financiero IMAS 2007, Ley N°6106 Ley de Distribución</w:t>
      </w:r>
      <w:r>
        <w:rPr>
          <w:spacing w:val="-2"/>
        </w:rPr>
        <w:t> </w:t>
      </w:r>
      <w:r>
        <w:rPr/>
        <w:t>de</w:t>
      </w:r>
      <w:r>
        <w:rPr>
          <w:spacing w:val="-1"/>
        </w:rPr>
        <w:t> </w:t>
      </w:r>
      <w:r>
        <w:rPr/>
        <w:t>Bienes</w:t>
      </w:r>
      <w:r>
        <w:rPr>
          <w:spacing w:val="-4"/>
        </w:rPr>
        <w:t> </w:t>
      </w:r>
      <w:r>
        <w:rPr/>
        <w:t>Confiscados,</w:t>
      </w:r>
      <w:r>
        <w:rPr>
          <w:spacing w:val="-2"/>
        </w:rPr>
        <w:t> </w:t>
      </w:r>
      <w:r>
        <w:rPr/>
        <w:t>Ley</w:t>
      </w:r>
      <w:r>
        <w:rPr>
          <w:spacing w:val="-6"/>
        </w:rPr>
        <w:t> </w:t>
      </w:r>
      <w:r>
        <w:rPr/>
        <w:t>N°5662</w:t>
      </w:r>
      <w:r>
        <w:rPr>
          <w:spacing w:val="-2"/>
        </w:rPr>
        <w:t> </w:t>
      </w:r>
      <w:r>
        <w:rPr/>
        <w:t>Ley</w:t>
      </w:r>
      <w:r>
        <w:rPr>
          <w:spacing w:val="-3"/>
        </w:rPr>
        <w:t> </w:t>
      </w:r>
      <w:r>
        <w:rPr/>
        <w:t>de</w:t>
      </w:r>
      <w:r>
        <w:rPr>
          <w:spacing w:val="-2"/>
        </w:rPr>
        <w:t> </w:t>
      </w:r>
      <w:r>
        <w:rPr/>
        <w:t>Desarrollo</w:t>
      </w:r>
      <w:r>
        <w:rPr>
          <w:spacing w:val="-2"/>
        </w:rPr>
        <w:t> </w:t>
      </w:r>
      <w:r>
        <w:rPr/>
        <w:t>Social</w:t>
      </w:r>
      <w:r>
        <w:rPr>
          <w:spacing w:val="-2"/>
        </w:rPr>
        <w:t> </w:t>
      </w:r>
      <w:r>
        <w:rPr/>
        <w:t>y</w:t>
      </w:r>
      <w:r>
        <w:rPr>
          <w:spacing w:val="-4"/>
        </w:rPr>
        <w:t> </w:t>
      </w:r>
      <w:r>
        <w:rPr/>
        <w:t>Asignaciones</w:t>
      </w:r>
      <w:r>
        <w:rPr>
          <w:spacing w:val="-1"/>
        </w:rPr>
        <w:t> </w:t>
      </w:r>
      <w:r>
        <w:rPr/>
        <w:t>Fa-</w:t>
      </w:r>
      <w:r>
        <w:rPr>
          <w:spacing w:val="-2"/>
        </w:rPr>
        <w:t>miliares;</w:t>
      </w:r>
    </w:p>
    <w:p>
      <w:pPr>
        <w:pStyle w:val="BodyText"/>
        <w:spacing w:before="1"/>
      </w:pPr>
    </w:p>
    <w:p>
      <w:pPr>
        <w:pStyle w:val="ListParagraph"/>
        <w:numPr>
          <w:ilvl w:val="0"/>
          <w:numId w:val="70"/>
        </w:numPr>
        <w:tabs>
          <w:tab w:pos="1410" w:val="left" w:leader="none"/>
        </w:tabs>
        <w:spacing w:line="250" w:lineRule="exact" w:before="0" w:after="0"/>
        <w:ind w:left="1410" w:right="0" w:hanging="359"/>
        <w:jc w:val="left"/>
        <w:rPr>
          <w:sz w:val="22"/>
        </w:rPr>
      </w:pPr>
      <w:r>
        <w:rPr>
          <w:sz w:val="22"/>
        </w:rPr>
        <w:t>El</w:t>
      </w:r>
      <w:r>
        <w:rPr>
          <w:spacing w:val="12"/>
          <w:sz w:val="22"/>
        </w:rPr>
        <w:t> </w:t>
      </w:r>
      <w:r>
        <w:rPr>
          <w:sz w:val="22"/>
        </w:rPr>
        <w:t>rubro</w:t>
      </w:r>
      <w:r>
        <w:rPr>
          <w:spacing w:val="16"/>
          <w:sz w:val="22"/>
        </w:rPr>
        <w:t> </w:t>
      </w:r>
      <w:r>
        <w:rPr>
          <w:sz w:val="22"/>
        </w:rPr>
        <w:t>“Venta</w:t>
      </w:r>
      <w:r>
        <w:rPr>
          <w:spacing w:val="16"/>
          <w:sz w:val="22"/>
        </w:rPr>
        <w:t> </w:t>
      </w:r>
      <w:r>
        <w:rPr>
          <w:sz w:val="22"/>
        </w:rPr>
        <w:t>de</w:t>
      </w:r>
      <w:r>
        <w:rPr>
          <w:spacing w:val="16"/>
          <w:sz w:val="22"/>
        </w:rPr>
        <w:t> </w:t>
      </w:r>
      <w:r>
        <w:rPr>
          <w:sz w:val="22"/>
        </w:rPr>
        <w:t>bienes</w:t>
      </w:r>
      <w:r>
        <w:rPr>
          <w:spacing w:val="14"/>
          <w:sz w:val="22"/>
        </w:rPr>
        <w:t> </w:t>
      </w:r>
      <w:r>
        <w:rPr>
          <w:sz w:val="22"/>
        </w:rPr>
        <w:t>y</w:t>
      </w:r>
      <w:r>
        <w:rPr>
          <w:spacing w:val="15"/>
          <w:sz w:val="22"/>
        </w:rPr>
        <w:t> </w:t>
      </w:r>
      <w:r>
        <w:rPr>
          <w:sz w:val="22"/>
        </w:rPr>
        <w:t>servicios”</w:t>
      </w:r>
      <w:r>
        <w:rPr>
          <w:spacing w:val="13"/>
          <w:sz w:val="22"/>
        </w:rPr>
        <w:t> </w:t>
      </w:r>
      <w:r>
        <w:rPr>
          <w:sz w:val="22"/>
        </w:rPr>
        <w:t>se</w:t>
      </w:r>
      <w:r>
        <w:rPr>
          <w:spacing w:val="15"/>
          <w:sz w:val="22"/>
        </w:rPr>
        <w:t> </w:t>
      </w:r>
      <w:r>
        <w:rPr>
          <w:sz w:val="22"/>
        </w:rPr>
        <w:t>obtiene</w:t>
      </w:r>
      <w:r>
        <w:rPr>
          <w:spacing w:val="16"/>
          <w:sz w:val="22"/>
        </w:rPr>
        <w:t> </w:t>
      </w:r>
      <w:r>
        <w:rPr>
          <w:sz w:val="22"/>
        </w:rPr>
        <w:t>de</w:t>
      </w:r>
      <w:r>
        <w:rPr>
          <w:spacing w:val="17"/>
          <w:sz w:val="22"/>
        </w:rPr>
        <w:t> </w:t>
      </w:r>
      <w:r>
        <w:rPr>
          <w:sz w:val="22"/>
        </w:rPr>
        <w:t>las</w:t>
      </w:r>
      <w:r>
        <w:rPr>
          <w:spacing w:val="17"/>
          <w:sz w:val="22"/>
        </w:rPr>
        <w:t> </w:t>
      </w:r>
      <w:r>
        <w:rPr>
          <w:sz w:val="22"/>
        </w:rPr>
        <w:t>ventas</w:t>
      </w:r>
      <w:r>
        <w:rPr>
          <w:spacing w:val="14"/>
          <w:sz w:val="22"/>
        </w:rPr>
        <w:t> </w:t>
      </w:r>
      <w:r>
        <w:rPr>
          <w:sz w:val="22"/>
        </w:rPr>
        <w:t>relacionadas</w:t>
      </w:r>
      <w:r>
        <w:rPr>
          <w:spacing w:val="16"/>
          <w:sz w:val="22"/>
        </w:rPr>
        <w:t> </w:t>
      </w:r>
      <w:r>
        <w:rPr>
          <w:sz w:val="22"/>
        </w:rPr>
        <w:t>por</w:t>
      </w:r>
      <w:r>
        <w:rPr>
          <w:spacing w:val="13"/>
          <w:sz w:val="22"/>
        </w:rPr>
        <w:t> </w:t>
      </w:r>
      <w:r>
        <w:rPr>
          <w:sz w:val="22"/>
        </w:rPr>
        <w:t>parte</w:t>
      </w:r>
      <w:r>
        <w:rPr>
          <w:spacing w:val="17"/>
          <w:sz w:val="22"/>
        </w:rPr>
        <w:t> </w:t>
      </w:r>
      <w:r>
        <w:rPr>
          <w:sz w:val="22"/>
        </w:rPr>
        <w:t>de</w:t>
      </w:r>
      <w:r>
        <w:rPr>
          <w:spacing w:val="17"/>
          <w:sz w:val="22"/>
        </w:rPr>
        <w:t> </w:t>
      </w:r>
      <w:r>
        <w:rPr>
          <w:spacing w:val="-5"/>
          <w:sz w:val="22"/>
        </w:rPr>
        <w:t>la</w:t>
      </w:r>
    </w:p>
    <w:p>
      <w:pPr>
        <w:pStyle w:val="BodyText"/>
        <w:spacing w:line="250" w:lineRule="exact"/>
        <w:ind w:left="1411"/>
        <w:jc w:val="both"/>
      </w:pPr>
      <w:r>
        <w:rPr/>
        <w:t>Empresas</w:t>
      </w:r>
      <w:r>
        <w:rPr>
          <w:spacing w:val="-6"/>
        </w:rPr>
        <w:t> </w:t>
      </w:r>
      <w:r>
        <w:rPr/>
        <w:t>Comerciales</w:t>
      </w:r>
      <w:r>
        <w:rPr>
          <w:spacing w:val="-2"/>
        </w:rPr>
        <w:t> </w:t>
      </w:r>
      <w:r>
        <w:rPr/>
        <w:t>Ley</w:t>
      </w:r>
      <w:r>
        <w:rPr>
          <w:spacing w:val="-4"/>
        </w:rPr>
        <w:t> </w:t>
      </w:r>
      <w:r>
        <w:rPr/>
        <w:t>N°7557</w:t>
      </w:r>
      <w:r>
        <w:rPr>
          <w:spacing w:val="-3"/>
        </w:rPr>
        <w:t> </w:t>
      </w:r>
      <w:r>
        <w:rPr/>
        <w:t>Ley</w:t>
      </w:r>
      <w:r>
        <w:rPr>
          <w:spacing w:val="-4"/>
        </w:rPr>
        <w:t> </w:t>
      </w:r>
      <w:r>
        <w:rPr/>
        <w:t>General</w:t>
      </w:r>
      <w:r>
        <w:rPr>
          <w:spacing w:val="-3"/>
        </w:rPr>
        <w:t> </w:t>
      </w:r>
      <w:r>
        <w:rPr/>
        <w:t>de</w:t>
      </w:r>
      <w:r>
        <w:rPr>
          <w:spacing w:val="-5"/>
        </w:rPr>
        <w:t> </w:t>
      </w:r>
      <w:r>
        <w:rPr>
          <w:spacing w:val="-2"/>
        </w:rPr>
        <w:t>Aduanas.</w:t>
      </w:r>
    </w:p>
    <w:p>
      <w:pPr>
        <w:pStyle w:val="ListParagraph"/>
        <w:numPr>
          <w:ilvl w:val="0"/>
          <w:numId w:val="70"/>
        </w:numPr>
        <w:tabs>
          <w:tab w:pos="1410" w:val="left" w:leader="none"/>
        </w:tabs>
        <w:spacing w:line="240" w:lineRule="auto" w:before="250" w:after="0"/>
        <w:ind w:left="1410" w:right="0" w:hanging="359"/>
        <w:jc w:val="left"/>
        <w:rPr>
          <w:sz w:val="22"/>
        </w:rPr>
      </w:pPr>
      <w:r>
        <w:rPr>
          <w:sz w:val="22"/>
        </w:rPr>
        <w:t>Ingresos</w:t>
      </w:r>
      <w:r>
        <w:rPr>
          <w:spacing w:val="-5"/>
          <w:sz w:val="22"/>
        </w:rPr>
        <w:t> </w:t>
      </w:r>
      <w:r>
        <w:rPr>
          <w:sz w:val="22"/>
        </w:rPr>
        <w:t>por</w:t>
      </w:r>
      <w:r>
        <w:rPr>
          <w:spacing w:val="-3"/>
          <w:sz w:val="22"/>
        </w:rPr>
        <w:t> </w:t>
      </w:r>
      <w:r>
        <w:rPr>
          <w:sz w:val="22"/>
        </w:rPr>
        <w:t>cualquier</w:t>
      </w:r>
      <w:r>
        <w:rPr>
          <w:spacing w:val="-6"/>
          <w:sz w:val="22"/>
        </w:rPr>
        <w:t> </w:t>
      </w:r>
      <w:r>
        <w:rPr>
          <w:sz w:val="22"/>
        </w:rPr>
        <w:t>otro</w:t>
      </w:r>
      <w:r>
        <w:rPr>
          <w:spacing w:val="-5"/>
          <w:sz w:val="22"/>
        </w:rPr>
        <w:t> </w:t>
      </w:r>
      <w:r>
        <w:rPr>
          <w:sz w:val="22"/>
        </w:rPr>
        <w:t>concepto</w:t>
      </w:r>
      <w:r>
        <w:rPr>
          <w:spacing w:val="-4"/>
          <w:sz w:val="22"/>
        </w:rPr>
        <w:t> </w:t>
      </w:r>
      <w:r>
        <w:rPr>
          <w:sz w:val="22"/>
        </w:rPr>
        <w:t>como</w:t>
      </w:r>
      <w:r>
        <w:rPr>
          <w:spacing w:val="-3"/>
          <w:sz w:val="22"/>
        </w:rPr>
        <w:t> </w:t>
      </w:r>
      <w:r>
        <w:rPr>
          <w:sz w:val="22"/>
        </w:rPr>
        <w:t>donaciones</w:t>
      </w:r>
      <w:r>
        <w:rPr>
          <w:spacing w:val="-5"/>
          <w:sz w:val="22"/>
        </w:rPr>
        <w:t> </w:t>
      </w:r>
      <w:r>
        <w:rPr>
          <w:sz w:val="22"/>
        </w:rPr>
        <w:t>del</w:t>
      </w:r>
      <w:r>
        <w:rPr>
          <w:spacing w:val="-4"/>
          <w:sz w:val="22"/>
        </w:rPr>
        <w:t> </w:t>
      </w:r>
      <w:r>
        <w:rPr>
          <w:sz w:val="22"/>
        </w:rPr>
        <w:t>sector</w:t>
      </w:r>
      <w:r>
        <w:rPr>
          <w:spacing w:val="-3"/>
          <w:sz w:val="22"/>
        </w:rPr>
        <w:t> </w:t>
      </w:r>
      <w:r>
        <w:rPr>
          <w:sz w:val="22"/>
        </w:rPr>
        <w:t>público</w:t>
      </w:r>
      <w:r>
        <w:rPr>
          <w:spacing w:val="-3"/>
          <w:sz w:val="22"/>
        </w:rPr>
        <w:t> </w:t>
      </w:r>
      <w:r>
        <w:rPr>
          <w:sz w:val="22"/>
        </w:rPr>
        <w:t>o</w:t>
      </w:r>
      <w:r>
        <w:rPr>
          <w:spacing w:val="-3"/>
          <w:sz w:val="22"/>
        </w:rPr>
        <w:t> </w:t>
      </w:r>
      <w:r>
        <w:rPr>
          <w:spacing w:val="-2"/>
          <w:sz w:val="22"/>
        </w:rPr>
        <w:t>privado.</w:t>
      </w:r>
    </w:p>
    <w:p>
      <w:pPr>
        <w:pStyle w:val="BodyText"/>
        <w:spacing w:before="3"/>
      </w:pPr>
    </w:p>
    <w:p>
      <w:pPr>
        <w:pStyle w:val="ListParagraph"/>
        <w:numPr>
          <w:ilvl w:val="0"/>
          <w:numId w:val="70"/>
        </w:numPr>
        <w:tabs>
          <w:tab w:pos="1409" w:val="left" w:leader="none"/>
          <w:tab w:pos="1411" w:val="left" w:leader="none"/>
        </w:tabs>
        <w:spacing w:line="276" w:lineRule="auto" w:before="0" w:after="0"/>
        <w:ind w:left="1411" w:right="884" w:hanging="360"/>
        <w:jc w:val="both"/>
        <w:rPr>
          <w:sz w:val="22"/>
        </w:rPr>
      </w:pPr>
      <w:r>
        <w:rPr>
          <w:sz w:val="22"/>
        </w:rPr>
        <w:t>Otros</w:t>
      </w:r>
      <w:r>
        <w:rPr>
          <w:spacing w:val="-4"/>
          <w:sz w:val="22"/>
        </w:rPr>
        <w:t> </w:t>
      </w:r>
      <w:r>
        <w:rPr>
          <w:sz w:val="22"/>
        </w:rPr>
        <w:t>cobros</w:t>
      </w:r>
      <w:r>
        <w:rPr>
          <w:spacing w:val="-4"/>
          <w:sz w:val="22"/>
        </w:rPr>
        <w:t> </w:t>
      </w:r>
      <w:r>
        <w:rPr>
          <w:sz w:val="22"/>
        </w:rPr>
        <w:t>operativos:</w:t>
      </w:r>
      <w:r>
        <w:rPr>
          <w:spacing w:val="-4"/>
          <w:sz w:val="22"/>
        </w:rPr>
        <w:t> </w:t>
      </w:r>
      <w:r>
        <w:rPr>
          <w:sz w:val="22"/>
        </w:rPr>
        <w:t>En</w:t>
      </w:r>
      <w:r>
        <w:rPr>
          <w:spacing w:val="-7"/>
          <w:sz w:val="22"/>
        </w:rPr>
        <w:t> </w:t>
      </w:r>
      <w:r>
        <w:rPr>
          <w:sz w:val="22"/>
        </w:rPr>
        <w:t>esta</w:t>
      </w:r>
      <w:r>
        <w:rPr>
          <w:spacing w:val="-5"/>
          <w:sz w:val="22"/>
        </w:rPr>
        <w:t> </w:t>
      </w:r>
      <w:r>
        <w:rPr>
          <w:sz w:val="22"/>
        </w:rPr>
        <w:t>categoría</w:t>
      </w:r>
      <w:r>
        <w:rPr>
          <w:spacing w:val="-5"/>
          <w:sz w:val="22"/>
        </w:rPr>
        <w:t> </w:t>
      </w:r>
      <w:r>
        <w:rPr>
          <w:sz w:val="22"/>
        </w:rPr>
        <w:t>se</w:t>
      </w:r>
      <w:r>
        <w:rPr>
          <w:spacing w:val="-4"/>
          <w:sz w:val="22"/>
        </w:rPr>
        <w:t> </w:t>
      </w:r>
      <w:r>
        <w:rPr>
          <w:sz w:val="22"/>
        </w:rPr>
        <w:t>encuentran</w:t>
      </w:r>
      <w:r>
        <w:rPr>
          <w:spacing w:val="-4"/>
          <w:sz w:val="22"/>
        </w:rPr>
        <w:t> </w:t>
      </w:r>
      <w:r>
        <w:rPr>
          <w:sz w:val="22"/>
        </w:rPr>
        <w:t>los</w:t>
      </w:r>
      <w:r>
        <w:rPr>
          <w:spacing w:val="-4"/>
          <w:sz w:val="22"/>
        </w:rPr>
        <w:t> </w:t>
      </w:r>
      <w:r>
        <w:rPr>
          <w:sz w:val="22"/>
        </w:rPr>
        <w:t>cobros</w:t>
      </w:r>
      <w:r>
        <w:rPr>
          <w:spacing w:val="-4"/>
          <w:sz w:val="22"/>
        </w:rPr>
        <w:t> </w:t>
      </w:r>
      <w:r>
        <w:rPr>
          <w:sz w:val="22"/>
        </w:rPr>
        <w:t>que</w:t>
      </w:r>
      <w:r>
        <w:rPr>
          <w:spacing w:val="-4"/>
          <w:sz w:val="22"/>
        </w:rPr>
        <w:t> </w:t>
      </w:r>
      <w:r>
        <w:rPr>
          <w:sz w:val="22"/>
        </w:rPr>
        <w:t>corresponden</w:t>
      </w:r>
      <w:r>
        <w:rPr>
          <w:spacing w:val="-4"/>
          <w:sz w:val="22"/>
        </w:rPr>
        <w:t> </w:t>
      </w:r>
      <w:r>
        <w:rPr>
          <w:sz w:val="22"/>
        </w:rPr>
        <w:t>a</w:t>
      </w:r>
      <w:r>
        <w:rPr>
          <w:spacing w:val="-5"/>
          <w:sz w:val="22"/>
        </w:rPr>
        <w:t> </w:t>
      </w:r>
      <w:r>
        <w:rPr>
          <w:sz w:val="22"/>
        </w:rPr>
        <w:t>situa-ciones eventuales o poco comunes, ajenas a las actividades principales de la institución, pero que</w:t>
      </w:r>
      <w:r>
        <w:rPr>
          <w:spacing w:val="-2"/>
          <w:sz w:val="22"/>
        </w:rPr>
        <w:t> </w:t>
      </w:r>
      <w:r>
        <w:rPr>
          <w:sz w:val="22"/>
        </w:rPr>
        <w:t>aún</w:t>
      </w:r>
      <w:r>
        <w:rPr>
          <w:spacing w:val="-2"/>
          <w:sz w:val="22"/>
        </w:rPr>
        <w:t> </w:t>
      </w:r>
      <w:r>
        <w:rPr>
          <w:sz w:val="22"/>
        </w:rPr>
        <w:t>generan</w:t>
      </w:r>
      <w:r>
        <w:rPr>
          <w:spacing w:val="-2"/>
          <w:sz w:val="22"/>
        </w:rPr>
        <w:t> </w:t>
      </w:r>
      <w:r>
        <w:rPr>
          <w:sz w:val="22"/>
        </w:rPr>
        <w:t>entradas</w:t>
      </w:r>
      <w:r>
        <w:rPr>
          <w:spacing w:val="-1"/>
          <w:sz w:val="22"/>
        </w:rPr>
        <w:t> </w:t>
      </w:r>
      <w:r>
        <w:rPr>
          <w:sz w:val="22"/>
        </w:rPr>
        <w:t>de</w:t>
      </w:r>
      <w:r>
        <w:rPr>
          <w:spacing w:val="-1"/>
          <w:sz w:val="22"/>
        </w:rPr>
        <w:t> </w:t>
      </w:r>
      <w:r>
        <w:rPr>
          <w:sz w:val="22"/>
        </w:rPr>
        <w:t>efectivo</w:t>
      </w:r>
      <w:r>
        <w:rPr>
          <w:spacing w:val="-2"/>
          <w:sz w:val="22"/>
        </w:rPr>
        <w:t> </w:t>
      </w:r>
      <w:r>
        <w:rPr>
          <w:sz w:val="22"/>
        </w:rPr>
        <w:t>y</w:t>
      </w:r>
      <w:r>
        <w:rPr>
          <w:spacing w:val="-3"/>
          <w:sz w:val="22"/>
        </w:rPr>
        <w:t> </w:t>
      </w:r>
      <w:r>
        <w:rPr>
          <w:sz w:val="22"/>
        </w:rPr>
        <w:t>por</w:t>
      </w:r>
      <w:r>
        <w:rPr>
          <w:spacing w:val="-2"/>
          <w:sz w:val="22"/>
        </w:rPr>
        <w:t> </w:t>
      </w:r>
      <w:r>
        <w:rPr>
          <w:sz w:val="22"/>
        </w:rPr>
        <w:t>eso</w:t>
      </w:r>
      <w:r>
        <w:rPr>
          <w:spacing w:val="-2"/>
          <w:sz w:val="22"/>
        </w:rPr>
        <w:t> </w:t>
      </w:r>
      <w:r>
        <w:rPr>
          <w:sz w:val="22"/>
        </w:rPr>
        <w:t>no</w:t>
      </w:r>
      <w:r>
        <w:rPr>
          <w:spacing w:val="-2"/>
          <w:sz w:val="22"/>
        </w:rPr>
        <w:t> </w:t>
      </w:r>
      <w:r>
        <w:rPr>
          <w:sz w:val="22"/>
        </w:rPr>
        <w:t>dejan</w:t>
      </w:r>
      <w:r>
        <w:rPr>
          <w:spacing w:val="-2"/>
          <w:sz w:val="22"/>
        </w:rPr>
        <w:t> </w:t>
      </w:r>
      <w:r>
        <w:rPr>
          <w:sz w:val="22"/>
        </w:rPr>
        <w:t>de</w:t>
      </w:r>
      <w:r>
        <w:rPr>
          <w:spacing w:val="-2"/>
          <w:sz w:val="22"/>
        </w:rPr>
        <w:t> </w:t>
      </w:r>
      <w:r>
        <w:rPr>
          <w:sz w:val="22"/>
        </w:rPr>
        <w:t>ser</w:t>
      </w:r>
      <w:r>
        <w:rPr>
          <w:spacing w:val="-2"/>
          <w:sz w:val="22"/>
        </w:rPr>
        <w:t> </w:t>
      </w:r>
      <w:r>
        <w:rPr>
          <w:sz w:val="22"/>
        </w:rPr>
        <w:t>parte de</w:t>
      </w:r>
      <w:r>
        <w:rPr>
          <w:spacing w:val="-2"/>
          <w:sz w:val="22"/>
        </w:rPr>
        <w:t> </w:t>
      </w:r>
      <w:r>
        <w:rPr>
          <w:sz w:val="22"/>
        </w:rPr>
        <w:t>gestión</w:t>
      </w:r>
      <w:r>
        <w:rPr>
          <w:spacing w:val="-2"/>
          <w:sz w:val="22"/>
        </w:rPr>
        <w:t> </w:t>
      </w:r>
      <w:r>
        <w:rPr>
          <w:sz w:val="22"/>
        </w:rPr>
        <w:t>operativa.</w:t>
      </w:r>
      <w:r>
        <w:rPr>
          <w:spacing w:val="-1"/>
          <w:sz w:val="22"/>
        </w:rPr>
        <w:t> </w:t>
      </w:r>
      <w:r>
        <w:rPr>
          <w:sz w:val="22"/>
        </w:rPr>
        <w:t>Un ejemplo</w:t>
      </w:r>
      <w:r>
        <w:rPr>
          <w:spacing w:val="-14"/>
          <w:sz w:val="22"/>
        </w:rPr>
        <w:t> </w:t>
      </w:r>
      <w:r>
        <w:rPr>
          <w:sz w:val="22"/>
        </w:rPr>
        <w:t>de</w:t>
      </w:r>
      <w:r>
        <w:rPr>
          <w:spacing w:val="-13"/>
          <w:sz w:val="22"/>
        </w:rPr>
        <w:t> </w:t>
      </w:r>
      <w:r>
        <w:rPr>
          <w:sz w:val="22"/>
        </w:rPr>
        <w:t>estos</w:t>
      </w:r>
      <w:r>
        <w:rPr>
          <w:spacing w:val="-13"/>
          <w:sz w:val="22"/>
        </w:rPr>
        <w:t> </w:t>
      </w:r>
      <w:r>
        <w:rPr>
          <w:sz w:val="22"/>
        </w:rPr>
        <w:t>movimientos</w:t>
      </w:r>
      <w:r>
        <w:rPr>
          <w:spacing w:val="-12"/>
          <w:sz w:val="22"/>
        </w:rPr>
        <w:t> </w:t>
      </w:r>
      <w:r>
        <w:rPr>
          <w:sz w:val="22"/>
        </w:rPr>
        <w:t>podría</w:t>
      </w:r>
      <w:r>
        <w:rPr>
          <w:spacing w:val="-14"/>
          <w:sz w:val="22"/>
        </w:rPr>
        <w:t> </w:t>
      </w:r>
      <w:r>
        <w:rPr>
          <w:sz w:val="22"/>
        </w:rPr>
        <w:t>ser</w:t>
      </w:r>
      <w:r>
        <w:rPr>
          <w:spacing w:val="-14"/>
          <w:sz w:val="22"/>
        </w:rPr>
        <w:t> </w:t>
      </w:r>
      <w:r>
        <w:rPr>
          <w:sz w:val="22"/>
        </w:rPr>
        <w:t>la</w:t>
      </w:r>
      <w:r>
        <w:rPr>
          <w:spacing w:val="-13"/>
          <w:sz w:val="22"/>
        </w:rPr>
        <w:t> </w:t>
      </w:r>
      <w:r>
        <w:rPr>
          <w:sz w:val="22"/>
        </w:rPr>
        <w:t>recuperación</w:t>
      </w:r>
      <w:r>
        <w:rPr>
          <w:spacing w:val="-13"/>
          <w:sz w:val="22"/>
        </w:rPr>
        <w:t> </w:t>
      </w:r>
      <w:r>
        <w:rPr>
          <w:sz w:val="22"/>
        </w:rPr>
        <w:t>de</w:t>
      </w:r>
      <w:r>
        <w:rPr>
          <w:spacing w:val="-14"/>
          <w:sz w:val="22"/>
        </w:rPr>
        <w:t> </w:t>
      </w:r>
      <w:r>
        <w:rPr>
          <w:sz w:val="22"/>
        </w:rPr>
        <w:t>fondos</w:t>
      </w:r>
      <w:r>
        <w:rPr>
          <w:spacing w:val="-11"/>
          <w:sz w:val="22"/>
        </w:rPr>
        <w:t> </w:t>
      </w:r>
      <w:r>
        <w:rPr>
          <w:sz w:val="22"/>
        </w:rPr>
        <w:t>faltantes,</w:t>
      </w:r>
      <w:r>
        <w:rPr>
          <w:spacing w:val="-13"/>
          <w:sz w:val="22"/>
        </w:rPr>
        <w:t> </w:t>
      </w:r>
      <w:r>
        <w:rPr>
          <w:sz w:val="22"/>
        </w:rPr>
        <w:t>pagos</w:t>
      </w:r>
      <w:r>
        <w:rPr>
          <w:spacing w:val="-14"/>
          <w:sz w:val="22"/>
        </w:rPr>
        <w:t> </w:t>
      </w:r>
      <w:r>
        <w:rPr>
          <w:sz w:val="22"/>
        </w:rPr>
        <w:t>adicionales o ajustes operacionales menores.</w:t>
      </w:r>
    </w:p>
    <w:p>
      <w:pPr>
        <w:pStyle w:val="BodyText"/>
        <w:spacing w:before="1"/>
      </w:pPr>
    </w:p>
    <w:p>
      <w:pPr>
        <w:pStyle w:val="BodyText"/>
        <w:spacing w:line="276" w:lineRule="auto"/>
        <w:ind w:left="691" w:right="887"/>
        <w:jc w:val="both"/>
      </w:pPr>
      <w:r>
        <w:rPr/>
        <w:t>Entre los principales movimientos de cobro de actividades operativas correspondientes al período, se </w:t>
      </w:r>
      <w:r>
        <w:rPr>
          <w:spacing w:val="-2"/>
        </w:rPr>
        <w:t>incluyen:</w:t>
      </w:r>
    </w:p>
    <w:p>
      <w:pPr>
        <w:pStyle w:val="BodyText"/>
        <w:spacing w:line="276" w:lineRule="auto" w:before="119"/>
        <w:ind w:left="691" w:right="884"/>
        <w:jc w:val="both"/>
      </w:pPr>
      <w:r>
        <w:rPr/>
        <w:t>Según el análisis de los movimientos de flujo de efectivo correspondientes al período evaluado a julio </w:t>
      </w:r>
      <w:r>
        <w:rPr>
          <w:spacing w:val="-2"/>
        </w:rPr>
        <w:t>2026,</w:t>
      </w:r>
      <w:r>
        <w:rPr>
          <w:spacing w:val="-4"/>
        </w:rPr>
        <w:t> </w:t>
      </w:r>
      <w:r>
        <w:rPr>
          <w:spacing w:val="-2"/>
        </w:rPr>
        <w:t>los cobros por</w:t>
      </w:r>
      <w:r>
        <w:rPr>
          <w:spacing w:val="-4"/>
        </w:rPr>
        <w:t> </w:t>
      </w:r>
      <w:r>
        <w:rPr>
          <w:spacing w:val="-2"/>
        </w:rPr>
        <w:t>actividades</w:t>
      </w:r>
      <w:r>
        <w:rPr/>
        <w:t> </w:t>
      </w:r>
      <w:r>
        <w:rPr>
          <w:spacing w:val="-2"/>
        </w:rPr>
        <w:t>operativas que</w:t>
      </w:r>
      <w:r>
        <w:rPr>
          <w:spacing w:val="-3"/>
        </w:rPr>
        <w:t> </w:t>
      </w:r>
      <w:r>
        <w:rPr>
          <w:spacing w:val="-2"/>
        </w:rPr>
        <w:t>generaron</w:t>
      </w:r>
      <w:r>
        <w:rPr>
          <w:spacing w:val="-1"/>
        </w:rPr>
        <w:t> </w:t>
      </w:r>
      <w:r>
        <w:rPr>
          <w:spacing w:val="-2"/>
        </w:rPr>
        <w:t>flujos</w:t>
      </w:r>
      <w:r>
        <w:rPr/>
        <w:t> </w:t>
      </w:r>
      <w:r>
        <w:rPr>
          <w:spacing w:val="-2"/>
        </w:rPr>
        <w:t>de efectivos,</w:t>
      </w:r>
      <w:r>
        <w:rPr>
          <w:spacing w:val="-4"/>
        </w:rPr>
        <w:t> </w:t>
      </w:r>
      <w:r>
        <w:rPr>
          <w:spacing w:val="-2"/>
        </w:rPr>
        <w:t>positivos sumaron</w:t>
      </w:r>
      <w:r>
        <w:rPr>
          <w:spacing w:val="-4"/>
        </w:rPr>
        <w:t> </w:t>
      </w:r>
      <w:r>
        <w:rPr>
          <w:spacing w:val="-2"/>
        </w:rPr>
        <w:t>un</w:t>
      </w:r>
      <w:r>
        <w:rPr>
          <w:spacing w:val="-3"/>
        </w:rPr>
        <w:t> </w:t>
      </w:r>
      <w:r>
        <w:rPr>
          <w:spacing w:val="-2"/>
        </w:rPr>
        <w:t>total</w:t>
      </w:r>
    </w:p>
    <w:p>
      <w:pPr>
        <w:pStyle w:val="BodyText"/>
        <w:spacing w:line="276" w:lineRule="auto" w:before="1"/>
        <w:ind w:left="691" w:right="883"/>
        <w:jc w:val="both"/>
      </w:pPr>
      <w:r>
        <w:rPr/>
        <w:t>¢ 141.951.470,19 este total refleja la eficiencia de las actividades operativas y el adecuado manejo de los recursos financieros generados por la gestión ordinaria de la institución, por otra parte las partidas que disminuyeron son cobro por transferencias</w:t>
      </w:r>
      <w:r>
        <w:rPr>
          <w:spacing w:val="40"/>
        </w:rPr>
        <w:t> </w:t>
      </w:r>
      <w:r>
        <w:rPr/>
        <w:t>en un -12,64%, cobros por impuestos -5,60%, cobros ingreso de la propiedad con un -4,96% y cobros por actividades de operación -86,03% respecto al periodo anterior.</w:t>
      </w:r>
    </w:p>
    <w:p>
      <w:pPr>
        <w:pStyle w:val="BodyText"/>
        <w:spacing w:before="120"/>
        <w:ind w:left="691"/>
        <w:jc w:val="both"/>
      </w:pPr>
      <w:r>
        <w:rPr/>
        <w:t>El</w:t>
      </w:r>
      <w:r>
        <w:rPr>
          <w:spacing w:val="-3"/>
        </w:rPr>
        <w:t> </w:t>
      </w:r>
      <w:r>
        <w:rPr/>
        <w:t>detalle</w:t>
      </w:r>
      <w:r>
        <w:rPr>
          <w:spacing w:val="-3"/>
        </w:rPr>
        <w:t> </w:t>
      </w:r>
      <w:r>
        <w:rPr/>
        <w:t>de</w:t>
      </w:r>
      <w:r>
        <w:rPr>
          <w:spacing w:val="-2"/>
        </w:rPr>
        <w:t> </w:t>
      </w:r>
      <w:r>
        <w:rPr/>
        <w:t>estos</w:t>
      </w:r>
      <w:r>
        <w:rPr>
          <w:spacing w:val="-2"/>
        </w:rPr>
        <w:t> </w:t>
      </w:r>
      <w:r>
        <w:rPr/>
        <w:t>cobros</w:t>
      </w:r>
      <w:r>
        <w:rPr>
          <w:spacing w:val="-3"/>
        </w:rPr>
        <w:t> </w:t>
      </w:r>
      <w:r>
        <w:rPr/>
        <w:t>se</w:t>
      </w:r>
      <w:r>
        <w:rPr>
          <w:spacing w:val="-3"/>
        </w:rPr>
        <w:t> </w:t>
      </w:r>
      <w:r>
        <w:rPr/>
        <w:t>presenta</w:t>
      </w:r>
      <w:r>
        <w:rPr>
          <w:spacing w:val="-3"/>
        </w:rPr>
        <w:t> </w:t>
      </w:r>
      <w:r>
        <w:rPr/>
        <w:t>a</w:t>
      </w:r>
      <w:r>
        <w:rPr>
          <w:spacing w:val="-2"/>
        </w:rPr>
        <w:t> continuación: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7"/>
      </w:pPr>
    </w:p>
    <w:p>
      <w:pPr>
        <w:pStyle w:val="BodyText"/>
        <w:spacing w:line="276" w:lineRule="auto"/>
        <w:ind w:left="691" w:right="886"/>
        <w:jc w:val="both"/>
      </w:pPr>
      <w:r>
        <w:rPr/>
        <w:t>Del análisis se determina que los cobros provenientes de las actividades de operación presentan variaciones asociadas a diferentes factores institucionales y normativos. En términos generales, los ingresos</w:t>
      </w:r>
      <w:r>
        <w:rPr>
          <w:spacing w:val="-1"/>
        </w:rPr>
        <w:t> </w:t>
      </w:r>
      <w:r>
        <w:rPr/>
        <w:t>por</w:t>
      </w:r>
      <w:r>
        <w:rPr>
          <w:spacing w:val="-2"/>
        </w:rPr>
        <w:t> </w:t>
      </w:r>
      <w:r>
        <w:rPr/>
        <w:t>ventas</w:t>
      </w:r>
      <w:r>
        <w:rPr>
          <w:spacing w:val="-1"/>
        </w:rPr>
        <w:t> </w:t>
      </w:r>
      <w:r>
        <w:rPr/>
        <w:t>de</w:t>
      </w:r>
      <w:r>
        <w:rPr>
          <w:spacing w:val="-4"/>
        </w:rPr>
        <w:t> </w:t>
      </w:r>
      <w:r>
        <w:rPr/>
        <w:t>servicios</w:t>
      </w:r>
      <w:r>
        <w:rPr>
          <w:spacing w:val="-1"/>
        </w:rPr>
        <w:t> </w:t>
      </w:r>
      <w:r>
        <w:rPr/>
        <w:t>muestran</w:t>
      </w:r>
      <w:r>
        <w:rPr>
          <w:spacing w:val="-2"/>
        </w:rPr>
        <w:t> </w:t>
      </w:r>
      <w:r>
        <w:rPr/>
        <w:t>incrementos</w:t>
      </w:r>
      <w:r>
        <w:rPr>
          <w:spacing w:val="-4"/>
        </w:rPr>
        <w:t> </w:t>
      </w:r>
      <w:r>
        <w:rPr/>
        <w:t>respecto</w:t>
      </w:r>
      <w:r>
        <w:rPr>
          <w:spacing w:val="-2"/>
        </w:rPr>
        <w:t> </w:t>
      </w:r>
      <w:r>
        <w:rPr/>
        <w:t>al</w:t>
      </w:r>
      <w:r>
        <w:rPr>
          <w:spacing w:val="-3"/>
        </w:rPr>
        <w:t> </w:t>
      </w:r>
      <w:r>
        <w:rPr/>
        <w:t>periodo</w:t>
      </w:r>
      <w:r>
        <w:rPr>
          <w:spacing w:val="-2"/>
        </w:rPr>
        <w:t> </w:t>
      </w:r>
      <w:r>
        <w:rPr/>
        <w:t>anterior</w:t>
      </w:r>
      <w:r>
        <w:rPr>
          <w:spacing w:val="-5"/>
        </w:rPr>
        <w:t> </w:t>
      </w:r>
      <w:r>
        <w:rPr/>
        <w:t>como</w:t>
      </w:r>
      <w:r>
        <w:rPr>
          <w:spacing w:val="-2"/>
        </w:rPr>
        <w:t> </w:t>
      </w:r>
      <w:r>
        <w:rPr/>
        <w:t>resultado</w:t>
      </w:r>
      <w:r>
        <w:rPr>
          <w:spacing w:val="-2"/>
        </w:rPr>
        <w:t> </w:t>
      </w:r>
      <w:r>
        <w:rPr/>
        <w:t>de los ajustes cambiarios y turismo dados durante el año.</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0624">
                <wp:simplePos x="0" y="0"/>
                <wp:positionH relativeFrom="page">
                  <wp:posOffset>9525</wp:posOffset>
                </wp:positionH>
                <wp:positionV relativeFrom="page">
                  <wp:posOffset>297208</wp:posOffset>
                </wp:positionV>
                <wp:extent cx="7762875" cy="9748520"/>
                <wp:effectExtent l="0" t="0" r="0" b="0"/>
                <wp:wrapNone/>
                <wp:docPr id="826" name="Group 826"/>
                <wp:cNvGraphicFramePr>
                  <a:graphicFrameLocks/>
                </wp:cNvGraphicFramePr>
                <a:graphic>
                  <a:graphicData uri="http://schemas.microsoft.com/office/word/2010/wordprocessingGroup">
                    <wpg:wgp>
                      <wpg:cNvPr id="826" name="Group 826"/>
                      <wpg:cNvGrpSpPr/>
                      <wpg:grpSpPr>
                        <a:xfrm>
                          <a:off x="0" y="0"/>
                          <a:ext cx="7762875" cy="9748520"/>
                          <a:chExt cx="7762875" cy="9748520"/>
                        </a:xfrm>
                      </wpg:grpSpPr>
                      <pic:pic>
                        <pic:nvPicPr>
                          <pic:cNvPr id="827" name="Image 827"/>
                          <pic:cNvPicPr/>
                        </pic:nvPicPr>
                        <pic:blipFill>
                          <a:blip r:embed="rId5" cstate="print"/>
                          <a:stretch>
                            <a:fillRect/>
                          </a:stretch>
                        </pic:blipFill>
                        <pic:spPr>
                          <a:xfrm>
                            <a:off x="0" y="0"/>
                            <a:ext cx="7762874" cy="9748489"/>
                          </a:xfrm>
                          <a:prstGeom prst="rect">
                            <a:avLst/>
                          </a:prstGeom>
                        </pic:spPr>
                      </pic:pic>
                      <wps:wsp>
                        <wps:cNvPr id="828" name="Graphic 828"/>
                        <wps:cNvSpPr/>
                        <wps:spPr>
                          <a:xfrm>
                            <a:off x="1053007" y="990837"/>
                            <a:ext cx="5736590" cy="7662545"/>
                          </a:xfrm>
                          <a:custGeom>
                            <a:avLst/>
                            <a:gdLst/>
                            <a:ahLst/>
                            <a:cxnLst/>
                            <a:rect l="l" t="t" r="r" b="b"/>
                            <a:pathLst>
                              <a:path w="5736590" h="7662545">
                                <a:moveTo>
                                  <a:pt x="5649214" y="0"/>
                                </a:moveTo>
                                <a:lnTo>
                                  <a:pt x="0" y="0"/>
                                </a:lnTo>
                                <a:lnTo>
                                  <a:pt x="0" y="9131"/>
                                </a:lnTo>
                                <a:lnTo>
                                  <a:pt x="5649214" y="9131"/>
                                </a:lnTo>
                                <a:lnTo>
                                  <a:pt x="5649214" y="0"/>
                                </a:lnTo>
                                <a:close/>
                              </a:path>
                              <a:path w="5736590" h="7662545">
                                <a:moveTo>
                                  <a:pt x="5736018" y="2783192"/>
                                </a:moveTo>
                                <a:lnTo>
                                  <a:pt x="5729986" y="2783192"/>
                                </a:lnTo>
                                <a:lnTo>
                                  <a:pt x="5729935" y="2789288"/>
                                </a:lnTo>
                                <a:lnTo>
                                  <a:pt x="5729935" y="7656004"/>
                                </a:lnTo>
                                <a:lnTo>
                                  <a:pt x="21336" y="7656004"/>
                                </a:lnTo>
                                <a:lnTo>
                                  <a:pt x="21336" y="2789288"/>
                                </a:lnTo>
                                <a:lnTo>
                                  <a:pt x="5729935" y="2789288"/>
                                </a:lnTo>
                                <a:lnTo>
                                  <a:pt x="5729935" y="2783192"/>
                                </a:lnTo>
                                <a:lnTo>
                                  <a:pt x="21336" y="2783192"/>
                                </a:lnTo>
                                <a:lnTo>
                                  <a:pt x="15240" y="2783192"/>
                                </a:lnTo>
                                <a:lnTo>
                                  <a:pt x="15240" y="2789250"/>
                                </a:lnTo>
                                <a:lnTo>
                                  <a:pt x="15240" y="7656004"/>
                                </a:lnTo>
                                <a:lnTo>
                                  <a:pt x="15240" y="7662100"/>
                                </a:lnTo>
                                <a:lnTo>
                                  <a:pt x="21336" y="7662100"/>
                                </a:lnTo>
                                <a:lnTo>
                                  <a:pt x="5729935" y="7662100"/>
                                </a:lnTo>
                                <a:lnTo>
                                  <a:pt x="5736018" y="7662100"/>
                                </a:lnTo>
                                <a:lnTo>
                                  <a:pt x="5736018" y="7656004"/>
                                </a:lnTo>
                                <a:lnTo>
                                  <a:pt x="5736018" y="2789288"/>
                                </a:lnTo>
                                <a:lnTo>
                                  <a:pt x="5736018" y="27831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5856" id="docshapegroup801" coordorigin="15,468" coordsize="12225,15352">
                <v:shape style="position:absolute;left:15;top:468;width:12225;height:15352" type="#_x0000_t75" id="docshape802" stroked="false">
                  <v:imagedata r:id="rId5" o:title=""/>
                </v:shape>
                <v:shape style="position:absolute;left:1673;top:2028;width:9034;height:12067" id="docshape803" coordorigin="1673,2028" coordsize="9034,12067" path="m10570,2028l1673,2028,1673,2043,10570,2043,10570,2028xm10706,6411l10697,6411,10697,6411,10697,6421,10697,14085,1707,14085,1707,6421,10697,6421,10697,6411,1707,6411,1697,6411,1697,6421,1697,6421,1697,14085,1697,14095,1707,14095,10697,14095,10697,14095,10706,14095,10706,14085,10706,6421,10706,6421,10706,6411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165</w:t>
      </w:r>
    </w:p>
    <w:p>
      <w:pPr>
        <w:spacing w:before="218"/>
        <w:ind w:left="622" w:right="0" w:firstLine="0"/>
        <w:jc w:val="left"/>
        <w:rPr>
          <w:b/>
          <w:sz w:val="22"/>
        </w:rPr>
      </w:pPr>
      <w:bookmarkStart w:name="_bookmark134" w:id="135"/>
      <w:bookmarkEnd w:id="135"/>
      <w:r>
        <w:rPr/>
      </w:r>
      <w:r>
        <w:rPr>
          <w:b/>
          <w:sz w:val="22"/>
        </w:rPr>
        <w:t>NOTA</w:t>
      </w:r>
      <w:r>
        <w:rPr>
          <w:b/>
          <w:spacing w:val="-1"/>
          <w:sz w:val="22"/>
        </w:rPr>
        <w:t> </w:t>
      </w:r>
      <w:r>
        <w:rPr>
          <w:b/>
          <w:sz w:val="22"/>
        </w:rPr>
        <w:t>N° </w:t>
      </w:r>
      <w:r>
        <w:rPr>
          <w:b/>
          <w:spacing w:val="-5"/>
          <w:sz w:val="22"/>
        </w:rPr>
        <w:t>78</w:t>
      </w:r>
    </w:p>
    <w:p>
      <w:pPr>
        <w:pStyle w:val="BodyText"/>
        <w:spacing w:before="114"/>
        <w:rPr>
          <w:b/>
        </w:rPr>
      </w:pPr>
    </w:p>
    <w:p>
      <w:pPr>
        <w:pStyle w:val="BodyText"/>
        <w:spacing w:before="1"/>
        <w:ind w:left="622"/>
      </w:pPr>
      <w:r>
        <w:rPr>
          <w:spacing w:val="-2"/>
        </w:rPr>
        <w:t>Pagos</w:t>
      </w:r>
    </w:p>
    <w:p>
      <w:pPr>
        <w:pStyle w:val="BodyText"/>
        <w:spacing w:before="9"/>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07"/>
        <w:gridCol w:w="620"/>
        <w:gridCol w:w="2086"/>
        <w:gridCol w:w="2084"/>
        <w:gridCol w:w="1160"/>
      </w:tblGrid>
      <w:tr>
        <w:trPr>
          <w:trHeight w:val="318" w:hRule="atLeast"/>
        </w:trPr>
        <w:tc>
          <w:tcPr>
            <w:tcW w:w="3207" w:type="dxa"/>
            <w:vMerge w:val="restart"/>
            <w:shd w:val="clear" w:color="auto" w:fill="365F92"/>
          </w:tcPr>
          <w:p>
            <w:pPr>
              <w:pStyle w:val="TableParagraph"/>
              <w:spacing w:before="115"/>
              <w:ind w:left="69"/>
              <w:rPr>
                <w:b/>
                <w:sz w:val="22"/>
              </w:rPr>
            </w:pPr>
            <w:r>
              <w:rPr>
                <w:b/>
                <w:color w:val="FFFFFF"/>
                <w:spacing w:val="-2"/>
                <w:sz w:val="22"/>
              </w:rPr>
              <w:t>Descripción</w:t>
            </w:r>
          </w:p>
        </w:tc>
        <w:tc>
          <w:tcPr>
            <w:tcW w:w="620" w:type="dxa"/>
            <w:vMerge w:val="restart"/>
            <w:shd w:val="clear" w:color="auto" w:fill="365F92"/>
          </w:tcPr>
          <w:p>
            <w:pPr>
              <w:pStyle w:val="TableParagraph"/>
              <w:spacing w:before="204"/>
              <w:ind w:left="93"/>
              <w:rPr>
                <w:b/>
                <w:sz w:val="22"/>
              </w:rPr>
            </w:pPr>
            <w:r>
              <w:rPr>
                <w:b/>
                <w:color w:val="FFFFFF"/>
                <w:spacing w:val="-4"/>
                <w:sz w:val="22"/>
              </w:rPr>
              <w:t>Nota</w:t>
            </w:r>
          </w:p>
        </w:tc>
        <w:tc>
          <w:tcPr>
            <w:tcW w:w="2086" w:type="dxa"/>
            <w:vMerge w:val="restart"/>
            <w:shd w:val="clear" w:color="auto" w:fill="365F92"/>
          </w:tcPr>
          <w:p>
            <w:pPr>
              <w:pStyle w:val="TableParagraph"/>
              <w:spacing w:before="204"/>
              <w:ind w:left="409"/>
              <w:rPr>
                <w:b/>
                <w:sz w:val="22"/>
              </w:rPr>
            </w:pPr>
            <w:r>
              <w:rPr>
                <w:b/>
                <w:color w:val="FFFFFF"/>
                <w:sz w:val="22"/>
              </w:rPr>
              <w:t>Periodo</w:t>
            </w:r>
            <w:r>
              <w:rPr>
                <w:b/>
                <w:color w:val="FFFFFF"/>
                <w:spacing w:val="-4"/>
                <w:sz w:val="22"/>
              </w:rPr>
              <w:t> </w:t>
            </w:r>
            <w:r>
              <w:rPr>
                <w:b/>
                <w:color w:val="FFFFFF"/>
                <w:spacing w:val="-2"/>
                <w:sz w:val="22"/>
              </w:rPr>
              <w:t>Actual</w:t>
            </w:r>
          </w:p>
        </w:tc>
        <w:tc>
          <w:tcPr>
            <w:tcW w:w="2084" w:type="dxa"/>
            <w:vMerge w:val="restart"/>
            <w:shd w:val="clear" w:color="auto" w:fill="365F92"/>
          </w:tcPr>
          <w:p>
            <w:pPr>
              <w:pStyle w:val="TableParagraph"/>
              <w:spacing w:before="204"/>
              <w:ind w:left="316"/>
              <w:rPr>
                <w:b/>
                <w:sz w:val="22"/>
              </w:rPr>
            </w:pPr>
            <w:r>
              <w:rPr>
                <w:b/>
                <w:color w:val="FFFFFF"/>
                <w:sz w:val="22"/>
              </w:rPr>
              <w:t>Periodo</w:t>
            </w:r>
            <w:r>
              <w:rPr>
                <w:b/>
                <w:color w:val="FFFFFF"/>
                <w:spacing w:val="-4"/>
                <w:sz w:val="22"/>
              </w:rPr>
              <w:t> </w:t>
            </w:r>
            <w:r>
              <w:rPr>
                <w:b/>
                <w:color w:val="FFFFFF"/>
                <w:spacing w:val="-2"/>
                <w:sz w:val="22"/>
              </w:rPr>
              <w:t>Anterior</w:t>
            </w:r>
          </w:p>
        </w:tc>
        <w:tc>
          <w:tcPr>
            <w:tcW w:w="1160" w:type="dxa"/>
            <w:shd w:val="clear" w:color="auto" w:fill="365F92"/>
          </w:tcPr>
          <w:p>
            <w:pPr>
              <w:pStyle w:val="TableParagraph"/>
              <w:spacing w:before="33"/>
              <w:ind w:left="18" w:right="7"/>
              <w:jc w:val="center"/>
              <w:rPr>
                <w:b/>
                <w:sz w:val="22"/>
              </w:rPr>
            </w:pPr>
            <w:r>
              <w:rPr>
                <w:b/>
                <w:color w:val="FFFFFF"/>
                <w:spacing w:val="-2"/>
                <w:sz w:val="22"/>
              </w:rPr>
              <w:t>Diferencia</w:t>
            </w:r>
          </w:p>
        </w:tc>
      </w:tr>
      <w:tr>
        <w:trPr>
          <w:trHeight w:val="320" w:hRule="atLeast"/>
        </w:trPr>
        <w:tc>
          <w:tcPr>
            <w:tcW w:w="3207" w:type="dxa"/>
            <w:vMerge/>
            <w:tcBorders>
              <w:top w:val="nil"/>
            </w:tcBorders>
            <w:shd w:val="clear" w:color="auto" w:fill="365F92"/>
          </w:tcPr>
          <w:p>
            <w:pPr>
              <w:rPr>
                <w:sz w:val="2"/>
                <w:szCs w:val="2"/>
              </w:rPr>
            </w:pPr>
          </w:p>
        </w:tc>
        <w:tc>
          <w:tcPr>
            <w:tcW w:w="620" w:type="dxa"/>
            <w:vMerge/>
            <w:tcBorders>
              <w:top w:val="nil"/>
            </w:tcBorders>
            <w:shd w:val="clear" w:color="auto" w:fill="365F92"/>
          </w:tcPr>
          <w:p>
            <w:pPr>
              <w:rPr>
                <w:sz w:val="2"/>
                <w:szCs w:val="2"/>
              </w:rPr>
            </w:pPr>
          </w:p>
        </w:tc>
        <w:tc>
          <w:tcPr>
            <w:tcW w:w="2086" w:type="dxa"/>
            <w:vMerge/>
            <w:tcBorders>
              <w:top w:val="nil"/>
            </w:tcBorders>
            <w:shd w:val="clear" w:color="auto" w:fill="365F92"/>
          </w:tcPr>
          <w:p>
            <w:pPr>
              <w:rPr>
                <w:sz w:val="2"/>
                <w:szCs w:val="2"/>
              </w:rPr>
            </w:pPr>
          </w:p>
        </w:tc>
        <w:tc>
          <w:tcPr>
            <w:tcW w:w="2084" w:type="dxa"/>
            <w:vMerge/>
            <w:tcBorders>
              <w:top w:val="nil"/>
            </w:tcBorders>
            <w:shd w:val="clear" w:color="auto" w:fill="365F92"/>
          </w:tcPr>
          <w:p>
            <w:pPr>
              <w:rPr>
                <w:sz w:val="2"/>
                <w:szCs w:val="2"/>
              </w:rPr>
            </w:pPr>
          </w:p>
        </w:tc>
        <w:tc>
          <w:tcPr>
            <w:tcW w:w="1160" w:type="dxa"/>
            <w:shd w:val="clear" w:color="auto" w:fill="365F92"/>
          </w:tcPr>
          <w:p>
            <w:pPr>
              <w:pStyle w:val="TableParagraph"/>
              <w:spacing w:before="36"/>
              <w:ind w:left="18" w:right="4"/>
              <w:jc w:val="center"/>
              <w:rPr>
                <w:sz w:val="22"/>
              </w:rPr>
            </w:pPr>
            <w:r>
              <w:rPr>
                <w:color w:val="FFFFFF"/>
                <w:spacing w:val="-10"/>
                <w:sz w:val="22"/>
              </w:rPr>
              <w:t>%</w:t>
            </w:r>
          </w:p>
        </w:tc>
      </w:tr>
      <w:tr>
        <w:trPr>
          <w:trHeight w:val="320" w:hRule="atLeast"/>
        </w:trPr>
        <w:tc>
          <w:tcPr>
            <w:tcW w:w="3207" w:type="dxa"/>
          </w:tcPr>
          <w:p>
            <w:pPr>
              <w:pStyle w:val="TableParagraph"/>
              <w:spacing w:before="33"/>
              <w:ind w:left="69"/>
              <w:rPr>
                <w:b/>
                <w:sz w:val="22"/>
              </w:rPr>
            </w:pPr>
            <w:r>
              <w:rPr>
                <w:b/>
                <w:spacing w:val="-2"/>
                <w:sz w:val="22"/>
              </w:rPr>
              <w:t>Pagos</w:t>
            </w:r>
          </w:p>
        </w:tc>
        <w:tc>
          <w:tcPr>
            <w:tcW w:w="620" w:type="dxa"/>
          </w:tcPr>
          <w:p>
            <w:pPr>
              <w:pStyle w:val="TableParagraph"/>
              <w:spacing w:before="44"/>
              <w:ind w:left="210"/>
              <w:rPr>
                <w:b/>
                <w:sz w:val="20"/>
              </w:rPr>
            </w:pPr>
            <w:r>
              <w:rPr>
                <w:b/>
                <w:spacing w:val="-5"/>
                <w:sz w:val="20"/>
              </w:rPr>
              <w:t>78</w:t>
            </w:r>
          </w:p>
        </w:tc>
        <w:tc>
          <w:tcPr>
            <w:tcW w:w="2086" w:type="dxa"/>
          </w:tcPr>
          <w:p>
            <w:pPr>
              <w:pStyle w:val="TableParagraph"/>
              <w:spacing w:line="209" w:lineRule="exact" w:before="92"/>
              <w:ind w:left="423"/>
              <w:rPr>
                <w:b/>
                <w:sz w:val="20"/>
              </w:rPr>
            </w:pPr>
            <w:r>
              <w:rPr>
                <w:b/>
                <w:sz w:val="20"/>
              </w:rPr>
              <w:t>126</w:t>
            </w:r>
            <w:r>
              <w:rPr>
                <w:b/>
                <w:spacing w:val="-3"/>
                <w:sz w:val="20"/>
              </w:rPr>
              <w:t> </w:t>
            </w:r>
            <w:r>
              <w:rPr>
                <w:b/>
                <w:sz w:val="20"/>
              </w:rPr>
              <w:t>996</w:t>
            </w:r>
            <w:r>
              <w:rPr>
                <w:b/>
                <w:spacing w:val="-3"/>
                <w:sz w:val="20"/>
              </w:rPr>
              <w:t> </w:t>
            </w:r>
            <w:r>
              <w:rPr>
                <w:b/>
                <w:spacing w:val="-2"/>
                <w:sz w:val="20"/>
              </w:rPr>
              <w:t>909,88</w:t>
            </w:r>
          </w:p>
        </w:tc>
        <w:tc>
          <w:tcPr>
            <w:tcW w:w="2084" w:type="dxa"/>
          </w:tcPr>
          <w:p>
            <w:pPr>
              <w:pStyle w:val="TableParagraph"/>
              <w:spacing w:line="209" w:lineRule="exact" w:before="92"/>
              <w:ind w:left="424"/>
              <w:rPr>
                <w:b/>
                <w:sz w:val="20"/>
              </w:rPr>
            </w:pPr>
            <w:r>
              <w:rPr>
                <w:b/>
                <w:sz w:val="20"/>
              </w:rPr>
              <w:t>132</w:t>
            </w:r>
            <w:r>
              <w:rPr>
                <w:b/>
                <w:spacing w:val="-3"/>
                <w:sz w:val="20"/>
              </w:rPr>
              <w:t> </w:t>
            </w:r>
            <w:r>
              <w:rPr>
                <w:b/>
                <w:sz w:val="20"/>
              </w:rPr>
              <w:t>986</w:t>
            </w:r>
            <w:r>
              <w:rPr>
                <w:b/>
                <w:spacing w:val="-3"/>
                <w:sz w:val="20"/>
              </w:rPr>
              <w:t> </w:t>
            </w:r>
            <w:r>
              <w:rPr>
                <w:b/>
                <w:spacing w:val="-2"/>
                <w:sz w:val="20"/>
              </w:rPr>
              <w:t>233,52</w:t>
            </w:r>
          </w:p>
        </w:tc>
        <w:tc>
          <w:tcPr>
            <w:tcW w:w="1160" w:type="dxa"/>
          </w:tcPr>
          <w:p>
            <w:pPr>
              <w:pStyle w:val="TableParagraph"/>
              <w:spacing w:line="209" w:lineRule="exact" w:before="92"/>
              <w:ind w:left="18" w:right="3"/>
              <w:jc w:val="center"/>
              <w:rPr>
                <w:b/>
                <w:sz w:val="20"/>
              </w:rPr>
            </w:pPr>
            <w:r>
              <w:rPr>
                <w:b/>
                <w:spacing w:val="-2"/>
                <w:sz w:val="20"/>
              </w:rPr>
              <w:t>-4,50%</w:t>
            </w:r>
          </w:p>
        </w:tc>
      </w:tr>
    </w:tbl>
    <w:p>
      <w:pPr>
        <w:pStyle w:val="BodyText"/>
      </w:pPr>
    </w:p>
    <w:p>
      <w:pPr>
        <w:pStyle w:val="BodyText"/>
        <w:spacing w:before="170"/>
      </w:pPr>
    </w:p>
    <w:p>
      <w:pPr>
        <w:pStyle w:val="BodyText"/>
        <w:ind w:left="622" w:right="976"/>
        <w:jc w:val="both"/>
      </w:pPr>
      <w:r>
        <w:rPr/>
        <w:t>Los Pagos de los Flujos de Efectivo de las Actividades de Operación, comparado al periodo anterior genera una variación absoluta de ¢ -5.989.323,64 que corresponde a una disminución del -4,50% de recursos disponibles.</w:t>
      </w:r>
    </w:p>
    <w:p>
      <w:pPr>
        <w:pStyle w:val="BodyText"/>
      </w:pPr>
    </w:p>
    <w:p>
      <w:pPr>
        <w:pStyle w:val="BodyText"/>
        <w:spacing w:before="180"/>
      </w:pPr>
    </w:p>
    <w:p>
      <w:pPr>
        <w:pStyle w:val="Heading6"/>
        <w:ind w:left="691"/>
        <w:jc w:val="both"/>
      </w:pPr>
      <w:r>
        <w:rPr>
          <w:color w:val="1F4E79"/>
          <w:u w:val="single" w:color="1F4E79"/>
        </w:rPr>
        <w:t>Revelar</w:t>
      </w:r>
      <w:r>
        <w:rPr>
          <w:color w:val="1F4E79"/>
          <w:spacing w:val="-5"/>
          <w:u w:val="single" w:color="1F4E79"/>
        </w:rPr>
        <w:t> </w:t>
      </w:r>
      <w:r>
        <w:rPr>
          <w:color w:val="1F4E79"/>
          <w:u w:val="single" w:color="1F4E79"/>
        </w:rPr>
        <w:t>ampliamente</w:t>
      </w:r>
      <w:r>
        <w:rPr>
          <w:color w:val="1F4E79"/>
          <w:spacing w:val="-3"/>
          <w:u w:val="single" w:color="1F4E79"/>
        </w:rPr>
        <w:t> </w:t>
      </w:r>
      <w:r>
        <w:rPr>
          <w:color w:val="1F4E79"/>
          <w:u w:val="single" w:color="1F4E79"/>
        </w:rPr>
        <w:t>las</w:t>
      </w:r>
      <w:r>
        <w:rPr>
          <w:color w:val="1F4E79"/>
          <w:spacing w:val="-4"/>
          <w:u w:val="single" w:color="1F4E79"/>
        </w:rPr>
        <w:t> </w:t>
      </w:r>
      <w:r>
        <w:rPr>
          <w:color w:val="1F4E79"/>
          <w:u w:val="single" w:color="1F4E79"/>
        </w:rPr>
        <w:t>partidas</w:t>
      </w:r>
      <w:r>
        <w:rPr>
          <w:color w:val="1F4E79"/>
          <w:spacing w:val="-3"/>
          <w:u w:val="single" w:color="1F4E79"/>
        </w:rPr>
        <w:t> </w:t>
      </w:r>
      <w:r>
        <w:rPr>
          <w:color w:val="1F4E79"/>
          <w:u w:val="single" w:color="1F4E79"/>
        </w:rPr>
        <w:t>más</w:t>
      </w:r>
      <w:r>
        <w:rPr>
          <w:color w:val="1F4E79"/>
          <w:spacing w:val="-7"/>
          <w:u w:val="single" w:color="1F4E79"/>
        </w:rPr>
        <w:t> </w:t>
      </w:r>
      <w:r>
        <w:rPr>
          <w:color w:val="1F4E79"/>
          <w:u w:val="single" w:color="1F4E79"/>
        </w:rPr>
        <w:t>materiales</w:t>
      </w:r>
      <w:r>
        <w:rPr>
          <w:color w:val="1F4E79"/>
          <w:spacing w:val="-3"/>
          <w:u w:val="single" w:color="1F4E79"/>
        </w:rPr>
        <w:t> </w:t>
      </w:r>
      <w:r>
        <w:rPr>
          <w:color w:val="1F4E79"/>
          <w:u w:val="single" w:color="1F4E79"/>
        </w:rPr>
        <w:t>de</w:t>
      </w:r>
      <w:r>
        <w:rPr>
          <w:color w:val="1F4E79"/>
          <w:spacing w:val="-3"/>
          <w:u w:val="single" w:color="1F4E79"/>
        </w:rPr>
        <w:t> </w:t>
      </w:r>
      <w:r>
        <w:rPr>
          <w:color w:val="1F4E79"/>
          <w:spacing w:val="-2"/>
          <w:u w:val="single" w:color="1F4E79"/>
        </w:rPr>
        <w:t>pagos:</w:t>
      </w:r>
    </w:p>
    <w:p>
      <w:pPr>
        <w:pStyle w:val="BodyText"/>
        <w:spacing w:before="179"/>
        <w:ind w:left="691" w:right="886"/>
        <w:jc w:val="both"/>
      </w:pPr>
      <w:r>
        <w:rPr/>
        <w:t>Los pagos por actividades de operación constituyen el conjunto de salidas de efectivo asociadas directamente con</w:t>
      </w:r>
      <w:r>
        <w:rPr>
          <w:spacing w:val="-1"/>
        </w:rPr>
        <w:t> </w:t>
      </w:r>
      <w:r>
        <w:rPr/>
        <w:t>el funcionamiento ordinario de la institución. Estas erogaciones reflejan la dinámica financiera</w:t>
      </w:r>
      <w:r>
        <w:rPr>
          <w:spacing w:val="-5"/>
        </w:rPr>
        <w:t> </w:t>
      </w:r>
      <w:r>
        <w:rPr/>
        <w:t>cotidiana</w:t>
      </w:r>
      <w:r>
        <w:rPr>
          <w:spacing w:val="-5"/>
        </w:rPr>
        <w:t> </w:t>
      </w:r>
      <w:r>
        <w:rPr/>
        <w:t>necesaria</w:t>
      </w:r>
      <w:r>
        <w:rPr>
          <w:spacing w:val="-5"/>
        </w:rPr>
        <w:t> </w:t>
      </w:r>
      <w:r>
        <w:rPr/>
        <w:t>para</w:t>
      </w:r>
      <w:r>
        <w:rPr>
          <w:spacing w:val="-5"/>
        </w:rPr>
        <w:t> </w:t>
      </w:r>
      <w:r>
        <w:rPr/>
        <w:t>sostener</w:t>
      </w:r>
      <w:r>
        <w:rPr>
          <w:spacing w:val="-5"/>
        </w:rPr>
        <w:t> </w:t>
      </w:r>
      <w:r>
        <w:rPr/>
        <w:t>la</w:t>
      </w:r>
      <w:r>
        <w:rPr>
          <w:spacing w:val="-6"/>
        </w:rPr>
        <w:t> </w:t>
      </w:r>
      <w:r>
        <w:rPr/>
        <w:t>prestación</w:t>
      </w:r>
      <w:r>
        <w:rPr>
          <w:spacing w:val="-7"/>
        </w:rPr>
        <w:t> </w:t>
      </w:r>
      <w:r>
        <w:rPr/>
        <w:t>de</w:t>
      </w:r>
      <w:r>
        <w:rPr>
          <w:spacing w:val="-6"/>
        </w:rPr>
        <w:t> </w:t>
      </w:r>
      <w:r>
        <w:rPr/>
        <w:t>servicios,</w:t>
      </w:r>
      <w:r>
        <w:rPr>
          <w:spacing w:val="-5"/>
        </w:rPr>
        <w:t> </w:t>
      </w:r>
      <w:r>
        <w:rPr/>
        <w:t>el</w:t>
      </w:r>
      <w:r>
        <w:rPr>
          <w:spacing w:val="-5"/>
        </w:rPr>
        <w:t> </w:t>
      </w:r>
      <w:r>
        <w:rPr/>
        <w:t>cumplimiento</w:t>
      </w:r>
      <w:r>
        <w:rPr>
          <w:spacing w:val="-4"/>
        </w:rPr>
        <w:t> </w:t>
      </w:r>
      <w:r>
        <w:rPr/>
        <w:t>de</w:t>
      </w:r>
      <w:r>
        <w:rPr>
          <w:spacing w:val="-6"/>
        </w:rPr>
        <w:t> </w:t>
      </w:r>
      <w:r>
        <w:rPr/>
        <w:t>obligaciones contractuales y la ejecución de los objetivos institucionales.</w:t>
      </w:r>
    </w:p>
    <w:p>
      <w:pPr>
        <w:pStyle w:val="BodyText"/>
        <w:spacing w:before="160"/>
        <w:ind w:left="691" w:right="886"/>
        <w:jc w:val="both"/>
      </w:pPr>
      <w:r>
        <w:rPr/>
        <w:t>Se</w:t>
      </w:r>
      <w:r>
        <w:rPr>
          <w:spacing w:val="-9"/>
        </w:rPr>
        <w:t> </w:t>
      </w:r>
      <w:r>
        <w:rPr/>
        <w:t>contempla</w:t>
      </w:r>
      <w:r>
        <w:rPr>
          <w:spacing w:val="-9"/>
        </w:rPr>
        <w:t> </w:t>
      </w:r>
      <w:r>
        <w:rPr/>
        <w:t>aquellas</w:t>
      </w:r>
      <w:r>
        <w:rPr>
          <w:spacing w:val="-8"/>
        </w:rPr>
        <w:t> </w:t>
      </w:r>
      <w:r>
        <w:rPr/>
        <w:t>transacciones</w:t>
      </w:r>
      <w:r>
        <w:rPr>
          <w:spacing w:val="-8"/>
        </w:rPr>
        <w:t> </w:t>
      </w:r>
      <w:r>
        <w:rPr/>
        <w:t>monetarias</w:t>
      </w:r>
      <w:r>
        <w:rPr>
          <w:spacing w:val="-9"/>
        </w:rPr>
        <w:t> </w:t>
      </w:r>
      <w:r>
        <w:rPr/>
        <w:t>vinculadas</w:t>
      </w:r>
      <w:r>
        <w:rPr>
          <w:spacing w:val="-8"/>
        </w:rPr>
        <w:t> </w:t>
      </w:r>
      <w:r>
        <w:rPr/>
        <w:t>a</w:t>
      </w:r>
      <w:r>
        <w:rPr>
          <w:spacing w:val="-9"/>
        </w:rPr>
        <w:t> </w:t>
      </w:r>
      <w:r>
        <w:rPr/>
        <w:t>actividades</w:t>
      </w:r>
      <w:r>
        <w:rPr>
          <w:spacing w:val="-8"/>
        </w:rPr>
        <w:t> </w:t>
      </w:r>
      <w:r>
        <w:rPr/>
        <w:t>que</w:t>
      </w:r>
      <w:r>
        <w:rPr>
          <w:spacing w:val="-9"/>
        </w:rPr>
        <w:t> </w:t>
      </w:r>
      <w:r>
        <w:rPr/>
        <w:t>resultan</w:t>
      </w:r>
      <w:r>
        <w:rPr>
          <w:spacing w:val="-9"/>
        </w:rPr>
        <w:t> </w:t>
      </w:r>
      <w:r>
        <w:rPr/>
        <w:t>esenciales</w:t>
      </w:r>
      <w:r>
        <w:rPr>
          <w:spacing w:val="-8"/>
        </w:rPr>
        <w:t> </w:t>
      </w:r>
      <w:r>
        <w:rPr/>
        <w:t>para</w:t>
      </w:r>
      <w:r>
        <w:rPr>
          <w:spacing w:val="-9"/>
        </w:rPr>
        <w:t> </w:t>
      </w:r>
      <w:r>
        <w:rPr/>
        <w:t>la entidad,</w:t>
      </w:r>
      <w:r>
        <w:rPr>
          <w:spacing w:val="-7"/>
        </w:rPr>
        <w:t> </w:t>
      </w:r>
      <w:r>
        <w:rPr/>
        <w:t>ya</w:t>
      </w:r>
      <w:r>
        <w:rPr>
          <w:spacing w:val="-8"/>
        </w:rPr>
        <w:t> </w:t>
      </w:r>
      <w:r>
        <w:rPr/>
        <w:t>sean</w:t>
      </w:r>
      <w:r>
        <w:rPr>
          <w:spacing w:val="-7"/>
        </w:rPr>
        <w:t> </w:t>
      </w:r>
      <w:r>
        <w:rPr/>
        <w:t>operativas</w:t>
      </w:r>
      <w:r>
        <w:rPr>
          <w:spacing w:val="-6"/>
        </w:rPr>
        <w:t> </w:t>
      </w:r>
      <w:r>
        <w:rPr/>
        <w:t>o</w:t>
      </w:r>
      <w:r>
        <w:rPr>
          <w:spacing w:val="-6"/>
        </w:rPr>
        <w:t> </w:t>
      </w:r>
      <w:r>
        <w:rPr/>
        <w:t>administrativas,</w:t>
      </w:r>
      <w:r>
        <w:rPr>
          <w:spacing w:val="-7"/>
        </w:rPr>
        <w:t> </w:t>
      </w:r>
      <w:r>
        <w:rPr/>
        <w:t>por</w:t>
      </w:r>
      <w:r>
        <w:rPr>
          <w:spacing w:val="-7"/>
        </w:rPr>
        <w:t> </w:t>
      </w:r>
      <w:r>
        <w:rPr/>
        <w:t>ser</w:t>
      </w:r>
      <w:r>
        <w:rPr>
          <w:spacing w:val="-7"/>
        </w:rPr>
        <w:t> </w:t>
      </w:r>
      <w:r>
        <w:rPr/>
        <w:t>de</w:t>
      </w:r>
      <w:r>
        <w:rPr>
          <w:spacing w:val="-11"/>
        </w:rPr>
        <w:t> </w:t>
      </w:r>
      <w:r>
        <w:rPr/>
        <w:t>naturaleza</w:t>
      </w:r>
      <w:r>
        <w:rPr>
          <w:spacing w:val="-8"/>
        </w:rPr>
        <w:t> </w:t>
      </w:r>
      <w:r>
        <w:rPr/>
        <w:t>recurrente</w:t>
      </w:r>
      <w:r>
        <w:rPr>
          <w:spacing w:val="-8"/>
        </w:rPr>
        <w:t> </w:t>
      </w:r>
      <w:r>
        <w:rPr/>
        <w:t>y</w:t>
      </w:r>
      <w:r>
        <w:rPr>
          <w:spacing w:val="-8"/>
        </w:rPr>
        <w:t> </w:t>
      </w:r>
      <w:r>
        <w:rPr/>
        <w:t>al</w:t>
      </w:r>
      <w:r>
        <w:rPr>
          <w:spacing w:val="-6"/>
        </w:rPr>
        <w:t> </w:t>
      </w:r>
      <w:r>
        <w:rPr/>
        <w:t>poseer</w:t>
      </w:r>
      <w:r>
        <w:rPr>
          <w:spacing w:val="-7"/>
        </w:rPr>
        <w:t> </w:t>
      </w:r>
      <w:r>
        <w:rPr/>
        <w:t>componentes estrictamente necesarios para el funcionamiento de la organización, forman una parte integral del ejercicio diario.</w:t>
      </w:r>
    </w:p>
    <w:p>
      <w:pPr>
        <w:pStyle w:val="BodyText"/>
        <w:spacing w:before="161"/>
        <w:ind w:left="691" w:right="886"/>
        <w:jc w:val="both"/>
      </w:pPr>
      <w:r>
        <w:rPr/>
        <w:t>Es</w:t>
      </w:r>
      <w:r>
        <w:rPr>
          <w:spacing w:val="-16"/>
        </w:rPr>
        <w:t> </w:t>
      </w:r>
      <w:r>
        <w:rPr/>
        <w:t>importante</w:t>
      </w:r>
      <w:r>
        <w:rPr>
          <w:spacing w:val="-14"/>
        </w:rPr>
        <w:t> </w:t>
      </w:r>
      <w:r>
        <w:rPr/>
        <w:t>destacar</w:t>
      </w:r>
      <w:r>
        <w:rPr>
          <w:spacing w:val="-14"/>
        </w:rPr>
        <w:t> </w:t>
      </w:r>
      <w:r>
        <w:rPr/>
        <w:t>que</w:t>
      </w:r>
      <w:r>
        <w:rPr>
          <w:spacing w:val="-13"/>
        </w:rPr>
        <w:t> </w:t>
      </w:r>
      <w:r>
        <w:rPr/>
        <w:t>la</w:t>
      </w:r>
      <w:r>
        <w:rPr>
          <w:spacing w:val="-14"/>
        </w:rPr>
        <w:t> </w:t>
      </w:r>
      <w:r>
        <w:rPr/>
        <w:t>contabilidad</w:t>
      </w:r>
      <w:r>
        <w:rPr>
          <w:spacing w:val="-14"/>
        </w:rPr>
        <w:t> </w:t>
      </w:r>
      <w:r>
        <w:rPr/>
        <w:t>sigue</w:t>
      </w:r>
      <w:r>
        <w:rPr>
          <w:spacing w:val="-14"/>
        </w:rPr>
        <w:t> </w:t>
      </w:r>
      <w:r>
        <w:rPr/>
        <w:t>el</w:t>
      </w:r>
      <w:r>
        <w:rPr>
          <w:spacing w:val="-13"/>
        </w:rPr>
        <w:t> </w:t>
      </w:r>
      <w:r>
        <w:rPr/>
        <w:t>principio</w:t>
      </w:r>
      <w:r>
        <w:rPr>
          <w:spacing w:val="-14"/>
        </w:rPr>
        <w:t> </w:t>
      </w:r>
      <w:r>
        <w:rPr/>
        <w:t>de</w:t>
      </w:r>
      <w:r>
        <w:rPr>
          <w:spacing w:val="-14"/>
        </w:rPr>
        <w:t> </w:t>
      </w:r>
      <w:r>
        <w:rPr/>
        <w:t>devengo,</w:t>
      </w:r>
      <w:r>
        <w:rPr>
          <w:spacing w:val="-14"/>
        </w:rPr>
        <w:t> </w:t>
      </w:r>
      <w:r>
        <w:rPr/>
        <w:t>lo</w:t>
      </w:r>
      <w:r>
        <w:rPr>
          <w:spacing w:val="-13"/>
        </w:rPr>
        <w:t> </w:t>
      </w:r>
      <w:r>
        <w:rPr/>
        <w:t>que</w:t>
      </w:r>
      <w:r>
        <w:rPr>
          <w:spacing w:val="-14"/>
        </w:rPr>
        <w:t> </w:t>
      </w:r>
      <w:r>
        <w:rPr/>
        <w:t>implica</w:t>
      </w:r>
      <w:r>
        <w:rPr>
          <w:spacing w:val="-14"/>
        </w:rPr>
        <w:t> </w:t>
      </w:r>
      <w:r>
        <w:rPr/>
        <w:t>que</w:t>
      </w:r>
      <w:r>
        <w:rPr>
          <w:spacing w:val="-14"/>
        </w:rPr>
        <w:t> </w:t>
      </w:r>
      <w:r>
        <w:rPr/>
        <w:t>los</w:t>
      </w:r>
      <w:r>
        <w:rPr>
          <w:spacing w:val="-13"/>
        </w:rPr>
        <w:t> </w:t>
      </w:r>
      <w:r>
        <w:rPr/>
        <w:t>ingresos y los gastos se registran en el momento en que se generan, sin importar si se ha realizado un pago o cobro efectivo, es importante mencionar que en caso de que no pueda clasificar alguna transacción dentro de</w:t>
      </w:r>
      <w:r>
        <w:rPr>
          <w:spacing w:val="-3"/>
        </w:rPr>
        <w:t> </w:t>
      </w:r>
      <w:r>
        <w:rPr/>
        <w:t>una</w:t>
      </w:r>
      <w:r>
        <w:rPr>
          <w:spacing w:val="-2"/>
        </w:rPr>
        <w:t> </w:t>
      </w:r>
      <w:r>
        <w:rPr/>
        <w:t>categoría</w:t>
      </w:r>
      <w:r>
        <w:rPr>
          <w:spacing w:val="-2"/>
        </w:rPr>
        <w:t> </w:t>
      </w:r>
      <w:r>
        <w:rPr/>
        <w:t>específica,</w:t>
      </w:r>
      <w:r>
        <w:rPr>
          <w:spacing w:val="-1"/>
        </w:rPr>
        <w:t> </w:t>
      </w:r>
      <w:r>
        <w:rPr/>
        <w:t>debido</w:t>
      </w:r>
      <w:r>
        <w:rPr>
          <w:spacing w:val="-1"/>
        </w:rPr>
        <w:t> </w:t>
      </w:r>
      <w:r>
        <w:rPr/>
        <w:t>a</w:t>
      </w:r>
      <w:r>
        <w:rPr>
          <w:spacing w:val="-2"/>
        </w:rPr>
        <w:t> </w:t>
      </w:r>
      <w:r>
        <w:rPr/>
        <w:t>sus características</w:t>
      </w:r>
      <w:r>
        <w:rPr>
          <w:spacing w:val="-2"/>
        </w:rPr>
        <w:t> </w:t>
      </w:r>
      <w:r>
        <w:rPr/>
        <w:t>o particularidades,</w:t>
      </w:r>
      <w:r>
        <w:rPr>
          <w:spacing w:val="-1"/>
        </w:rPr>
        <w:t> </w:t>
      </w:r>
      <w:r>
        <w:rPr/>
        <w:t>dichas transacciones serán clasificadas como actividades de operación. De esta manera, también se incluyen aquellas transacciones monetarias que no se puedan asociar claramente a otras categorías, manteniendo la coherencia en la clasificación de flujos de efectivo operativos.</w:t>
      </w:r>
    </w:p>
    <w:p>
      <w:pPr>
        <w:pStyle w:val="BodyText"/>
        <w:spacing w:before="161"/>
        <w:ind w:left="691"/>
        <w:jc w:val="both"/>
      </w:pPr>
      <w:r>
        <w:rPr/>
        <w:t>Entre</w:t>
      </w:r>
      <w:r>
        <w:rPr>
          <w:spacing w:val="-7"/>
        </w:rPr>
        <w:t> </w:t>
      </w:r>
      <w:r>
        <w:rPr/>
        <w:t>las</w:t>
      </w:r>
      <w:r>
        <w:rPr>
          <w:spacing w:val="-3"/>
        </w:rPr>
        <w:t> </w:t>
      </w:r>
      <w:r>
        <w:rPr/>
        <w:t>principales</w:t>
      </w:r>
      <w:r>
        <w:rPr>
          <w:spacing w:val="-3"/>
        </w:rPr>
        <w:t> </w:t>
      </w:r>
      <w:r>
        <w:rPr/>
        <w:t>transacciones</w:t>
      </w:r>
      <w:r>
        <w:rPr>
          <w:spacing w:val="-3"/>
        </w:rPr>
        <w:t> </w:t>
      </w:r>
      <w:r>
        <w:rPr/>
        <w:t>que</w:t>
      </w:r>
      <w:r>
        <w:rPr>
          <w:spacing w:val="-6"/>
        </w:rPr>
        <w:t> </w:t>
      </w:r>
      <w:r>
        <w:rPr/>
        <w:t>generan</w:t>
      </w:r>
      <w:r>
        <w:rPr>
          <w:spacing w:val="-4"/>
        </w:rPr>
        <w:t> </w:t>
      </w:r>
      <w:r>
        <w:rPr/>
        <w:t>pagos</w:t>
      </w:r>
      <w:r>
        <w:rPr>
          <w:spacing w:val="-6"/>
        </w:rPr>
        <w:t> </w:t>
      </w:r>
      <w:r>
        <w:rPr/>
        <w:t>operativos</w:t>
      </w:r>
      <w:r>
        <w:rPr>
          <w:spacing w:val="-3"/>
        </w:rPr>
        <w:t> </w:t>
      </w:r>
      <w:r>
        <w:rPr/>
        <w:t>durante</w:t>
      </w:r>
      <w:r>
        <w:rPr>
          <w:spacing w:val="-5"/>
        </w:rPr>
        <w:t> </w:t>
      </w:r>
      <w:r>
        <w:rPr/>
        <w:t>el</w:t>
      </w:r>
      <w:r>
        <w:rPr>
          <w:spacing w:val="-4"/>
        </w:rPr>
        <w:t> </w:t>
      </w:r>
      <w:r>
        <w:rPr/>
        <w:t>período</w:t>
      </w:r>
      <w:r>
        <w:rPr>
          <w:spacing w:val="-6"/>
        </w:rPr>
        <w:t> </w:t>
      </w:r>
      <w:r>
        <w:rPr/>
        <w:t>se</w:t>
      </w:r>
      <w:r>
        <w:rPr>
          <w:spacing w:val="-5"/>
        </w:rPr>
        <w:t> </w:t>
      </w:r>
      <w:r>
        <w:rPr>
          <w:spacing w:val="-2"/>
        </w:rPr>
        <w:t>incluyen:</w:t>
      </w:r>
    </w:p>
    <w:p>
      <w:pPr>
        <w:pStyle w:val="BodyText"/>
        <w:spacing w:before="158"/>
        <w:ind w:left="691" w:right="885"/>
        <w:jc w:val="both"/>
      </w:pPr>
      <w:r>
        <w:rPr/>
        <w:t>Pagos por beneficios al</w:t>
      </w:r>
      <w:r>
        <w:rPr>
          <w:spacing w:val="-1"/>
        </w:rPr>
        <w:t> </w:t>
      </w:r>
      <w:r>
        <w:rPr/>
        <w:t>personal</w:t>
      </w:r>
      <w:r>
        <w:rPr>
          <w:spacing w:val="-1"/>
        </w:rPr>
        <w:t> </w:t>
      </w:r>
      <w:r>
        <w:rPr/>
        <w:t>y</w:t>
      </w:r>
      <w:r>
        <w:rPr>
          <w:spacing w:val="-1"/>
        </w:rPr>
        <w:t> </w:t>
      </w:r>
      <w:r>
        <w:rPr/>
        <w:t>contribuciones a</w:t>
      </w:r>
      <w:r>
        <w:rPr>
          <w:spacing w:val="-3"/>
        </w:rPr>
        <w:t> </w:t>
      </w:r>
      <w:r>
        <w:rPr/>
        <w:t>la</w:t>
      </w:r>
      <w:r>
        <w:rPr>
          <w:spacing w:val="-1"/>
        </w:rPr>
        <w:t> </w:t>
      </w:r>
      <w:r>
        <w:rPr/>
        <w:t>seguridad</w:t>
      </w:r>
      <w:r>
        <w:rPr>
          <w:spacing w:val="-1"/>
        </w:rPr>
        <w:t> </w:t>
      </w:r>
      <w:r>
        <w:rPr/>
        <w:t>social:</w:t>
      </w:r>
      <w:r>
        <w:rPr>
          <w:spacing w:val="-2"/>
        </w:rPr>
        <w:t> </w:t>
      </w:r>
      <w:r>
        <w:rPr/>
        <w:t>Estos</w:t>
      </w:r>
      <w:r>
        <w:rPr>
          <w:spacing w:val="-1"/>
        </w:rPr>
        <w:t> </w:t>
      </w:r>
      <w:r>
        <w:rPr/>
        <w:t>pagos</w:t>
      </w:r>
      <w:r>
        <w:rPr>
          <w:spacing w:val="-1"/>
        </w:rPr>
        <w:t> </w:t>
      </w:r>
      <w:r>
        <w:rPr/>
        <w:t>están relacionados con</w:t>
      </w:r>
      <w:r>
        <w:rPr>
          <w:spacing w:val="-4"/>
        </w:rPr>
        <w:t> </w:t>
      </w:r>
      <w:r>
        <w:rPr/>
        <w:t>las</w:t>
      </w:r>
      <w:r>
        <w:rPr>
          <w:spacing w:val="-6"/>
        </w:rPr>
        <w:t> </w:t>
      </w:r>
      <w:r>
        <w:rPr/>
        <w:t>obligaciones</w:t>
      </w:r>
      <w:r>
        <w:rPr>
          <w:spacing w:val="-4"/>
        </w:rPr>
        <w:t> </w:t>
      </w:r>
      <w:r>
        <w:rPr/>
        <w:t>laborales</w:t>
      </w:r>
      <w:r>
        <w:rPr>
          <w:spacing w:val="-4"/>
        </w:rPr>
        <w:t> </w:t>
      </w:r>
      <w:r>
        <w:rPr/>
        <w:t>de</w:t>
      </w:r>
      <w:r>
        <w:rPr>
          <w:spacing w:val="-6"/>
        </w:rPr>
        <w:t> </w:t>
      </w:r>
      <w:r>
        <w:rPr/>
        <w:t>la</w:t>
      </w:r>
      <w:r>
        <w:rPr>
          <w:spacing w:val="-6"/>
        </w:rPr>
        <w:t> </w:t>
      </w:r>
      <w:r>
        <w:rPr/>
        <w:t>institución,</w:t>
      </w:r>
      <w:r>
        <w:rPr>
          <w:spacing w:val="-5"/>
        </w:rPr>
        <w:t> </w:t>
      </w:r>
      <w:r>
        <w:rPr/>
        <w:t>como</w:t>
      </w:r>
      <w:r>
        <w:rPr>
          <w:spacing w:val="-6"/>
        </w:rPr>
        <w:t> </w:t>
      </w:r>
      <w:r>
        <w:rPr/>
        <w:t>el</w:t>
      </w:r>
      <w:r>
        <w:rPr>
          <w:spacing w:val="-5"/>
        </w:rPr>
        <w:t> </w:t>
      </w:r>
      <w:r>
        <w:rPr/>
        <w:t>reconocimiento</w:t>
      </w:r>
      <w:r>
        <w:rPr>
          <w:spacing w:val="-4"/>
        </w:rPr>
        <w:t> </w:t>
      </w:r>
      <w:r>
        <w:rPr/>
        <w:t>de</w:t>
      </w:r>
      <w:r>
        <w:rPr>
          <w:spacing w:val="-6"/>
        </w:rPr>
        <w:t> </w:t>
      </w:r>
      <w:r>
        <w:rPr/>
        <w:t>salarios</w:t>
      </w:r>
      <w:r>
        <w:rPr>
          <w:spacing w:val="-6"/>
        </w:rPr>
        <w:t> </w:t>
      </w:r>
      <w:r>
        <w:rPr/>
        <w:t>y</w:t>
      </w:r>
      <w:r>
        <w:rPr>
          <w:spacing w:val="-6"/>
        </w:rPr>
        <w:t> </w:t>
      </w:r>
      <w:r>
        <w:rPr/>
        <w:t>prestaciones</w:t>
      </w:r>
      <w:r>
        <w:rPr>
          <w:spacing w:val="-4"/>
        </w:rPr>
        <w:t> </w:t>
      </w:r>
      <w:r>
        <w:rPr/>
        <w:t>a</w:t>
      </w:r>
      <w:r>
        <w:rPr>
          <w:spacing w:val="-5"/>
        </w:rPr>
        <w:t> </w:t>
      </w:r>
      <w:r>
        <w:rPr/>
        <w:t>los funcionarios, así como las contribuciones a entidades como la CCSS y el Banco Popular, entre otras. Además, incluyen el pago de dietas a los miembros del Consejo Directivo de la Institución.</w:t>
      </w:r>
    </w:p>
    <w:p>
      <w:pPr>
        <w:pStyle w:val="BodyText"/>
        <w:spacing w:before="160"/>
        <w:ind w:left="691" w:right="884"/>
        <w:jc w:val="both"/>
      </w:pPr>
      <w:r>
        <w:rPr/>
        <w:t>Pagos</w:t>
      </w:r>
      <w:r>
        <w:rPr>
          <w:spacing w:val="-12"/>
        </w:rPr>
        <w:t> </w:t>
      </w:r>
      <w:r>
        <w:rPr/>
        <w:t>a</w:t>
      </w:r>
      <w:r>
        <w:rPr>
          <w:spacing w:val="-12"/>
        </w:rPr>
        <w:t> </w:t>
      </w:r>
      <w:r>
        <w:rPr/>
        <w:t>proveedores</w:t>
      </w:r>
      <w:r>
        <w:rPr>
          <w:spacing w:val="-13"/>
        </w:rPr>
        <w:t> </w:t>
      </w:r>
      <w:r>
        <w:rPr/>
        <w:t>(nacionales</w:t>
      </w:r>
      <w:r>
        <w:rPr>
          <w:spacing w:val="-12"/>
        </w:rPr>
        <w:t> </w:t>
      </w:r>
      <w:r>
        <w:rPr/>
        <w:t>e</w:t>
      </w:r>
      <w:r>
        <w:rPr>
          <w:spacing w:val="-13"/>
        </w:rPr>
        <w:t> </w:t>
      </w:r>
      <w:r>
        <w:rPr/>
        <w:t>internacionales):</w:t>
      </w:r>
      <w:r>
        <w:rPr>
          <w:spacing w:val="-13"/>
        </w:rPr>
        <w:t> </w:t>
      </w:r>
      <w:r>
        <w:rPr/>
        <w:t>Son</w:t>
      </w:r>
      <w:r>
        <w:rPr>
          <w:spacing w:val="-14"/>
        </w:rPr>
        <w:t> </w:t>
      </w:r>
      <w:r>
        <w:rPr/>
        <w:t>los</w:t>
      </w:r>
      <w:r>
        <w:rPr>
          <w:spacing w:val="-11"/>
        </w:rPr>
        <w:t> </w:t>
      </w:r>
      <w:r>
        <w:rPr/>
        <w:t>desembolsos</w:t>
      </w:r>
      <w:r>
        <w:rPr>
          <w:spacing w:val="-12"/>
        </w:rPr>
        <w:t> </w:t>
      </w:r>
      <w:r>
        <w:rPr/>
        <w:t>de</w:t>
      </w:r>
      <w:r>
        <w:rPr>
          <w:spacing w:val="-13"/>
        </w:rPr>
        <w:t> </w:t>
      </w:r>
      <w:r>
        <w:rPr/>
        <w:t>efectivo</w:t>
      </w:r>
      <w:r>
        <w:rPr>
          <w:spacing w:val="-14"/>
        </w:rPr>
        <w:t> </w:t>
      </w:r>
      <w:r>
        <w:rPr/>
        <w:t>para</w:t>
      </w:r>
      <w:r>
        <w:rPr>
          <w:spacing w:val="-12"/>
        </w:rPr>
        <w:t> </w:t>
      </w:r>
      <w:r>
        <w:rPr/>
        <w:t>la</w:t>
      </w:r>
      <w:r>
        <w:rPr>
          <w:spacing w:val="-13"/>
        </w:rPr>
        <w:t> </w:t>
      </w:r>
      <w:r>
        <w:rPr/>
        <w:t>adquisición de bienes y servicios, que responde a compromisos adquiridos por contrataciones administrativas gestionadas</w:t>
      </w:r>
      <w:r>
        <w:rPr>
          <w:spacing w:val="-10"/>
        </w:rPr>
        <w:t> </w:t>
      </w:r>
      <w:r>
        <w:rPr/>
        <w:t>a</w:t>
      </w:r>
      <w:r>
        <w:rPr>
          <w:spacing w:val="-11"/>
        </w:rPr>
        <w:t> </w:t>
      </w:r>
      <w:r>
        <w:rPr/>
        <w:t>través</w:t>
      </w:r>
      <w:r>
        <w:rPr>
          <w:spacing w:val="-10"/>
        </w:rPr>
        <w:t> </w:t>
      </w:r>
      <w:r>
        <w:rPr/>
        <w:t>de</w:t>
      </w:r>
      <w:r>
        <w:rPr>
          <w:spacing w:val="-12"/>
        </w:rPr>
        <w:t> </w:t>
      </w:r>
      <w:r>
        <w:rPr/>
        <w:t>plataformas</w:t>
      </w:r>
      <w:r>
        <w:rPr>
          <w:spacing w:val="-10"/>
        </w:rPr>
        <w:t> </w:t>
      </w:r>
      <w:r>
        <w:rPr/>
        <w:t>como</w:t>
      </w:r>
      <w:r>
        <w:rPr>
          <w:spacing w:val="-12"/>
        </w:rPr>
        <w:t> </w:t>
      </w:r>
      <w:r>
        <w:rPr/>
        <w:t>SICOP,</w:t>
      </w:r>
      <w:r>
        <w:rPr>
          <w:spacing w:val="-11"/>
        </w:rPr>
        <w:t> </w:t>
      </w:r>
      <w:r>
        <w:rPr/>
        <w:t>al</w:t>
      </w:r>
      <w:r>
        <w:rPr>
          <w:spacing w:val="-11"/>
        </w:rPr>
        <w:t> </w:t>
      </w:r>
      <w:r>
        <w:rPr/>
        <w:t>igual</w:t>
      </w:r>
      <w:r>
        <w:rPr>
          <w:spacing w:val="-9"/>
        </w:rPr>
        <w:t> </w:t>
      </w:r>
      <w:r>
        <w:rPr/>
        <w:t>que</w:t>
      </w:r>
      <w:r>
        <w:rPr>
          <w:spacing w:val="-12"/>
        </w:rPr>
        <w:t> </w:t>
      </w:r>
      <w:r>
        <w:rPr/>
        <w:t>las</w:t>
      </w:r>
      <w:r>
        <w:rPr>
          <w:spacing w:val="-12"/>
        </w:rPr>
        <w:t> </w:t>
      </w:r>
      <w:r>
        <w:rPr/>
        <w:t>transacciones</w:t>
      </w:r>
      <w:r>
        <w:rPr>
          <w:spacing w:val="-10"/>
        </w:rPr>
        <w:t> </w:t>
      </w:r>
      <w:r>
        <w:rPr/>
        <w:t>puntuales</w:t>
      </w:r>
      <w:r>
        <w:rPr>
          <w:spacing w:val="-10"/>
        </w:rPr>
        <w:t> </w:t>
      </w:r>
      <w:r>
        <w:rPr/>
        <w:t>como</w:t>
      </w:r>
      <w:r>
        <w:rPr>
          <w:spacing w:val="-10"/>
        </w:rPr>
        <w:t> </w:t>
      </w:r>
      <w:r>
        <w:rPr/>
        <w:t>el</w:t>
      </w:r>
      <w:r>
        <w:rPr>
          <w:spacing w:val="-11"/>
        </w:rPr>
        <w:t> </w:t>
      </w:r>
      <w:r>
        <w:rPr/>
        <w:t>pago de impuestos, viáticos, intereses y comisiones, que se gestionan mediante otras regulaciones y </w:t>
      </w:r>
      <w:r>
        <w:rPr>
          <w:spacing w:val="-2"/>
        </w:rPr>
        <w:t>normativas.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1136">
                <wp:simplePos x="0" y="0"/>
                <wp:positionH relativeFrom="page">
                  <wp:posOffset>9525</wp:posOffset>
                </wp:positionH>
                <wp:positionV relativeFrom="page">
                  <wp:posOffset>297208</wp:posOffset>
                </wp:positionV>
                <wp:extent cx="7762875" cy="9748520"/>
                <wp:effectExtent l="0" t="0" r="0" b="0"/>
                <wp:wrapNone/>
                <wp:docPr id="829" name="Group 829"/>
                <wp:cNvGraphicFramePr>
                  <a:graphicFrameLocks/>
                </wp:cNvGraphicFramePr>
                <a:graphic>
                  <a:graphicData uri="http://schemas.microsoft.com/office/word/2010/wordprocessingGroup">
                    <wpg:wgp>
                      <wpg:cNvPr id="829" name="Group 829"/>
                      <wpg:cNvGrpSpPr/>
                      <wpg:grpSpPr>
                        <a:xfrm>
                          <a:off x="0" y="0"/>
                          <a:ext cx="7762875" cy="9748520"/>
                          <a:chExt cx="7762875" cy="9748520"/>
                        </a:xfrm>
                      </wpg:grpSpPr>
                      <pic:pic>
                        <pic:nvPicPr>
                          <pic:cNvPr id="830" name="Image 830"/>
                          <pic:cNvPicPr/>
                        </pic:nvPicPr>
                        <pic:blipFill>
                          <a:blip r:embed="rId5" cstate="print"/>
                          <a:stretch>
                            <a:fillRect/>
                          </a:stretch>
                        </pic:blipFill>
                        <pic:spPr>
                          <a:xfrm>
                            <a:off x="0" y="0"/>
                            <a:ext cx="7762874" cy="9748489"/>
                          </a:xfrm>
                          <a:prstGeom prst="rect">
                            <a:avLst/>
                          </a:prstGeom>
                        </pic:spPr>
                      </pic:pic>
                      <wps:wsp>
                        <wps:cNvPr id="831" name="Graphic 831"/>
                        <wps:cNvSpPr/>
                        <wps:spPr>
                          <a:xfrm>
                            <a:off x="1053007" y="990837"/>
                            <a:ext cx="5736590" cy="4361180"/>
                          </a:xfrm>
                          <a:custGeom>
                            <a:avLst/>
                            <a:gdLst/>
                            <a:ahLst/>
                            <a:cxnLst/>
                            <a:rect l="l" t="t" r="r" b="b"/>
                            <a:pathLst>
                              <a:path w="5736590" h="4361180">
                                <a:moveTo>
                                  <a:pt x="5649214" y="0"/>
                                </a:moveTo>
                                <a:lnTo>
                                  <a:pt x="0" y="0"/>
                                </a:lnTo>
                                <a:lnTo>
                                  <a:pt x="0" y="9131"/>
                                </a:lnTo>
                                <a:lnTo>
                                  <a:pt x="5649214" y="9131"/>
                                </a:lnTo>
                                <a:lnTo>
                                  <a:pt x="5649214" y="0"/>
                                </a:lnTo>
                                <a:close/>
                              </a:path>
                              <a:path w="5736590" h="4361180">
                                <a:moveTo>
                                  <a:pt x="5736018" y="4354703"/>
                                </a:moveTo>
                                <a:lnTo>
                                  <a:pt x="5729986" y="4354703"/>
                                </a:lnTo>
                                <a:lnTo>
                                  <a:pt x="21336" y="4354703"/>
                                </a:lnTo>
                                <a:lnTo>
                                  <a:pt x="15240" y="4354703"/>
                                </a:lnTo>
                                <a:lnTo>
                                  <a:pt x="15240" y="4360786"/>
                                </a:lnTo>
                                <a:lnTo>
                                  <a:pt x="21336" y="4360786"/>
                                </a:lnTo>
                                <a:lnTo>
                                  <a:pt x="5729935" y="4360786"/>
                                </a:lnTo>
                                <a:lnTo>
                                  <a:pt x="5736018" y="4360786"/>
                                </a:lnTo>
                                <a:lnTo>
                                  <a:pt x="5736018" y="4354703"/>
                                </a:lnTo>
                                <a:close/>
                              </a:path>
                              <a:path w="5736590" h="4361180">
                                <a:moveTo>
                                  <a:pt x="5736018" y="126479"/>
                                </a:moveTo>
                                <a:lnTo>
                                  <a:pt x="5729986" y="126479"/>
                                </a:lnTo>
                                <a:lnTo>
                                  <a:pt x="21336" y="126479"/>
                                </a:lnTo>
                                <a:lnTo>
                                  <a:pt x="15240" y="126479"/>
                                </a:lnTo>
                                <a:lnTo>
                                  <a:pt x="15240" y="132575"/>
                                </a:lnTo>
                                <a:lnTo>
                                  <a:pt x="15240" y="4354690"/>
                                </a:lnTo>
                                <a:lnTo>
                                  <a:pt x="21336" y="4354690"/>
                                </a:lnTo>
                                <a:lnTo>
                                  <a:pt x="21336" y="132575"/>
                                </a:lnTo>
                                <a:lnTo>
                                  <a:pt x="5729935" y="132575"/>
                                </a:lnTo>
                                <a:lnTo>
                                  <a:pt x="5729935" y="4354690"/>
                                </a:lnTo>
                                <a:lnTo>
                                  <a:pt x="5736018" y="4354690"/>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832" name="Image 832"/>
                          <pic:cNvPicPr/>
                        </pic:nvPicPr>
                        <pic:blipFill>
                          <a:blip r:embed="rId103" cstate="print"/>
                          <a:stretch>
                            <a:fillRect/>
                          </a:stretch>
                        </pic:blipFill>
                        <pic:spPr>
                          <a:xfrm>
                            <a:off x="1470024" y="2544009"/>
                            <a:ext cx="4913630" cy="960018"/>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25344" id="docshapegroup804" coordorigin="15,468" coordsize="12225,15352">
                <v:shape style="position:absolute;left:15;top:468;width:12225;height:15352" type="#_x0000_t75" id="docshape805" stroked="false">
                  <v:imagedata r:id="rId5" o:title=""/>
                </v:shape>
                <v:shape style="position:absolute;left:1673;top:2028;width:9034;height:6868" id="docshape806" coordorigin="1673,2028" coordsize="9034,6868" path="m10570,2028l1673,2028,1673,2043,10570,2043,10570,2028xm10706,8886l10697,8886,10697,8886,1707,8886,1697,8886,1697,8896,1707,8896,10697,8896,10697,8896,10706,8896,10706,8886xm10706,2228l10697,2228,10697,2228,1707,2228,1697,2228,1697,2237,1697,8886,1707,8886,1707,2237,10697,2237,10697,8886,10706,8886,10706,2237,10706,2228xe" filled="true" fillcolor="#000000" stroked="false">
                  <v:path arrowok="t"/>
                  <v:fill type="solid"/>
                </v:shape>
                <v:shape style="position:absolute;left:2330;top:4474;width:7738;height:1512" type="#_x0000_t75" id="docshape807" stroked="false">
                  <v:imagedata r:id="rId103" o:title=""/>
                </v:shape>
                <w10:wrap type="none"/>
              </v:group>
            </w:pict>
          </mc:Fallback>
        </mc:AlternateContent>
      </w:r>
      <w:r>
        <w:rPr>
          <w:color w:val="172951"/>
          <w:sz w:val="20"/>
        </w:rPr>
        <w:t>Pág.</w:t>
      </w:r>
      <w:r>
        <w:rPr>
          <w:color w:val="172951"/>
          <w:spacing w:val="-7"/>
          <w:sz w:val="20"/>
        </w:rPr>
        <w:t> </w:t>
      </w:r>
      <w:r>
        <w:rPr>
          <w:color w:val="172951"/>
          <w:spacing w:val="-5"/>
          <w:sz w:val="20"/>
        </w:rPr>
        <w:t>166</w:t>
      </w:r>
    </w:p>
    <w:p>
      <w:pPr>
        <w:pStyle w:val="BodyText"/>
        <w:spacing w:before="227"/>
        <w:ind w:left="691" w:right="888"/>
        <w:jc w:val="both"/>
      </w:pPr>
      <w:r>
        <w:rPr/>
        <w:t>Transferencias corrientes a entidades públicas o privadas y beneficiarios: Esta categoría cubre los desembolsos</w:t>
      </w:r>
      <w:r>
        <w:rPr>
          <w:spacing w:val="-7"/>
        </w:rPr>
        <w:t> </w:t>
      </w:r>
      <w:r>
        <w:rPr/>
        <w:t>de</w:t>
      </w:r>
      <w:r>
        <w:rPr>
          <w:spacing w:val="-9"/>
        </w:rPr>
        <w:t> </w:t>
      </w:r>
      <w:r>
        <w:rPr/>
        <w:t>efectivo</w:t>
      </w:r>
      <w:r>
        <w:rPr>
          <w:spacing w:val="-8"/>
        </w:rPr>
        <w:t> </w:t>
      </w:r>
      <w:r>
        <w:rPr/>
        <w:t>destinados</w:t>
      </w:r>
      <w:r>
        <w:rPr>
          <w:spacing w:val="-7"/>
        </w:rPr>
        <w:t> </w:t>
      </w:r>
      <w:r>
        <w:rPr/>
        <w:t>a</w:t>
      </w:r>
      <w:r>
        <w:rPr>
          <w:spacing w:val="-9"/>
        </w:rPr>
        <w:t> </w:t>
      </w:r>
      <w:r>
        <w:rPr/>
        <w:t>cumplir</w:t>
      </w:r>
      <w:r>
        <w:rPr>
          <w:spacing w:val="-9"/>
        </w:rPr>
        <w:t> </w:t>
      </w:r>
      <w:r>
        <w:rPr/>
        <w:t>con</w:t>
      </w:r>
      <w:r>
        <w:rPr>
          <w:spacing w:val="-8"/>
        </w:rPr>
        <w:t> </w:t>
      </w:r>
      <w:r>
        <w:rPr/>
        <w:t>los</w:t>
      </w:r>
      <w:r>
        <w:rPr>
          <w:spacing w:val="-7"/>
        </w:rPr>
        <w:t> </w:t>
      </w:r>
      <w:r>
        <w:rPr/>
        <w:t>diferentes</w:t>
      </w:r>
      <w:r>
        <w:rPr>
          <w:spacing w:val="-8"/>
        </w:rPr>
        <w:t> </w:t>
      </w:r>
      <w:r>
        <w:rPr/>
        <w:t>programas</w:t>
      </w:r>
      <w:r>
        <w:rPr>
          <w:spacing w:val="-9"/>
        </w:rPr>
        <w:t> </w:t>
      </w:r>
      <w:r>
        <w:rPr/>
        <w:t>sociales</w:t>
      </w:r>
      <w:r>
        <w:rPr>
          <w:spacing w:val="-7"/>
        </w:rPr>
        <w:t> </w:t>
      </w:r>
      <w:r>
        <w:rPr/>
        <w:t>de</w:t>
      </w:r>
      <w:r>
        <w:rPr>
          <w:spacing w:val="-9"/>
        </w:rPr>
        <w:t> </w:t>
      </w:r>
      <w:r>
        <w:rPr/>
        <w:t>la</w:t>
      </w:r>
      <w:r>
        <w:rPr>
          <w:spacing w:val="-9"/>
        </w:rPr>
        <w:t> </w:t>
      </w:r>
      <w:r>
        <w:rPr/>
        <w:t>institución</w:t>
      </w:r>
      <w:r>
        <w:rPr>
          <w:spacing w:val="-8"/>
        </w:rPr>
        <w:t> </w:t>
      </w:r>
      <w:r>
        <w:rPr/>
        <w:t>en cumplimiento con las diferentes leyes, convenios y normativa que le atina a la institución.</w:t>
      </w:r>
      <w:r>
        <w:rPr>
          <w:spacing w:val="40"/>
        </w:rPr>
        <w:t> </w:t>
      </w:r>
      <w:r>
        <w:rPr/>
        <w:t>Al igual se contempla las devoluciones del superávit por ley de gobierno central y FODESAF.</w:t>
      </w:r>
    </w:p>
    <w:p>
      <w:pPr>
        <w:pStyle w:val="BodyText"/>
        <w:spacing w:before="161"/>
        <w:ind w:left="691" w:right="890"/>
        <w:jc w:val="both"/>
      </w:pPr>
      <w:r>
        <w:rPr/>
        <w:t>Se</w:t>
      </w:r>
      <w:r>
        <w:rPr>
          <w:spacing w:val="-1"/>
        </w:rPr>
        <w:t> </w:t>
      </w:r>
      <w:r>
        <w:rPr/>
        <w:t>observa</w:t>
      </w:r>
      <w:r>
        <w:rPr>
          <w:spacing w:val="-3"/>
        </w:rPr>
        <w:t> </w:t>
      </w:r>
      <w:r>
        <w:rPr/>
        <w:t>que</w:t>
      </w:r>
      <w:r>
        <w:rPr>
          <w:spacing w:val="-1"/>
        </w:rPr>
        <w:t> </w:t>
      </w:r>
      <w:r>
        <w:rPr/>
        <w:t>los pagos</w:t>
      </w:r>
      <w:r>
        <w:rPr>
          <w:spacing w:val="-1"/>
        </w:rPr>
        <w:t> </w:t>
      </w:r>
      <w:r>
        <w:rPr/>
        <w:t>por actividades de</w:t>
      </w:r>
      <w:r>
        <w:rPr>
          <w:spacing w:val="-2"/>
        </w:rPr>
        <w:t> </w:t>
      </w:r>
      <w:r>
        <w:rPr/>
        <w:t>operación</w:t>
      </w:r>
      <w:r>
        <w:rPr>
          <w:spacing w:val="-2"/>
        </w:rPr>
        <w:t> </w:t>
      </w:r>
      <w:r>
        <w:rPr/>
        <w:t>han generado</w:t>
      </w:r>
      <w:r>
        <w:rPr>
          <w:spacing w:val="-2"/>
        </w:rPr>
        <w:t> </w:t>
      </w:r>
      <w:r>
        <w:rPr/>
        <w:t>salidas de</w:t>
      </w:r>
      <w:r>
        <w:rPr>
          <w:spacing w:val="-2"/>
        </w:rPr>
        <w:t> </w:t>
      </w:r>
      <w:r>
        <w:rPr/>
        <w:t>efectivo por</w:t>
      </w:r>
      <w:r>
        <w:rPr>
          <w:spacing w:val="-2"/>
        </w:rPr>
        <w:t> </w:t>
      </w:r>
      <w:r>
        <w:rPr/>
        <w:t>un</w:t>
      </w:r>
      <w:r>
        <w:rPr>
          <w:spacing w:val="-2"/>
        </w:rPr>
        <w:t> </w:t>
      </w:r>
      <w:r>
        <w:rPr/>
        <w:t>monto de ¢ 126.996.909,88.</w:t>
      </w:r>
    </w:p>
    <w:p>
      <w:pPr>
        <w:pStyle w:val="BodyText"/>
        <w:spacing w:before="160"/>
        <w:ind w:left="746"/>
        <w:jc w:val="both"/>
      </w:pPr>
      <w:r>
        <w:rPr/>
        <w:t>El</w:t>
      </w:r>
      <w:r>
        <w:rPr>
          <w:spacing w:val="-5"/>
        </w:rPr>
        <w:t> </w:t>
      </w:r>
      <w:r>
        <w:rPr/>
        <w:t>desglose</w:t>
      </w:r>
      <w:r>
        <w:rPr>
          <w:spacing w:val="-4"/>
        </w:rPr>
        <w:t> </w:t>
      </w:r>
      <w:r>
        <w:rPr/>
        <w:t>detallado</w:t>
      </w:r>
      <w:r>
        <w:rPr>
          <w:spacing w:val="-3"/>
        </w:rPr>
        <w:t> </w:t>
      </w:r>
      <w:r>
        <w:rPr/>
        <w:t>de</w:t>
      </w:r>
      <w:r>
        <w:rPr>
          <w:spacing w:val="-5"/>
        </w:rPr>
        <w:t> </w:t>
      </w:r>
      <w:r>
        <w:rPr/>
        <w:t>estos</w:t>
      </w:r>
      <w:r>
        <w:rPr>
          <w:spacing w:val="-5"/>
        </w:rPr>
        <w:t> </w:t>
      </w:r>
      <w:r>
        <w:rPr/>
        <w:t>movimientos</w:t>
      </w:r>
      <w:r>
        <w:rPr>
          <w:spacing w:val="-5"/>
        </w:rPr>
        <w:t> </w:t>
      </w:r>
      <w:r>
        <w:rPr/>
        <w:t>se</w:t>
      </w:r>
      <w:r>
        <w:rPr>
          <w:spacing w:val="-4"/>
        </w:rPr>
        <w:t> </w:t>
      </w:r>
      <w:r>
        <w:rPr/>
        <w:t>presenta</w:t>
      </w:r>
      <w:r>
        <w:rPr>
          <w:spacing w:val="-6"/>
        </w:rPr>
        <w:t> </w:t>
      </w:r>
      <w:r>
        <w:rPr/>
        <w:t>a</w:t>
      </w:r>
      <w:r>
        <w:rPr>
          <w:spacing w:val="-3"/>
        </w:rPr>
        <w:t> </w:t>
      </w:r>
      <w:r>
        <w:rPr>
          <w:spacing w:val="-2"/>
        </w:rPr>
        <w:t>continuación:</w:t>
      </w:r>
    </w:p>
    <w:p>
      <w:pPr>
        <w:pStyle w:val="BodyText"/>
      </w:pPr>
    </w:p>
    <w:p>
      <w:pPr>
        <w:pStyle w:val="BodyText"/>
      </w:pPr>
    </w:p>
    <w:p>
      <w:pPr>
        <w:pStyle w:val="BodyText"/>
      </w:pPr>
    </w:p>
    <w:p>
      <w:pPr>
        <w:pStyle w:val="BodyText"/>
      </w:pPr>
    </w:p>
    <w:p>
      <w:pPr>
        <w:pStyle w:val="BodyText"/>
      </w:pPr>
    </w:p>
    <w:p>
      <w:pPr>
        <w:pStyle w:val="BodyText"/>
      </w:pPr>
    </w:p>
    <w:p>
      <w:pPr>
        <w:pStyle w:val="BodyText"/>
        <w:spacing w:before="76"/>
      </w:pPr>
    </w:p>
    <w:p>
      <w:pPr>
        <w:pStyle w:val="BodyText"/>
        <w:ind w:left="691" w:right="882"/>
        <w:jc w:val="both"/>
      </w:pPr>
      <w:r>
        <w:rPr/>
        <w:t>Los</w:t>
      </w:r>
      <w:r>
        <w:rPr>
          <w:spacing w:val="-11"/>
        </w:rPr>
        <w:t> </w:t>
      </w:r>
      <w:r>
        <w:rPr/>
        <w:t>pagos</w:t>
      </w:r>
      <w:r>
        <w:rPr>
          <w:spacing w:val="-10"/>
        </w:rPr>
        <w:t> </w:t>
      </w:r>
      <w:r>
        <w:rPr/>
        <w:t>de</w:t>
      </w:r>
      <w:r>
        <w:rPr>
          <w:spacing w:val="-12"/>
        </w:rPr>
        <w:t> </w:t>
      </w:r>
      <w:r>
        <w:rPr/>
        <w:t>los</w:t>
      </w:r>
      <w:r>
        <w:rPr>
          <w:spacing w:val="-12"/>
        </w:rPr>
        <w:t> </w:t>
      </w:r>
      <w:r>
        <w:rPr/>
        <w:t>flujos</w:t>
      </w:r>
      <w:r>
        <w:rPr>
          <w:spacing w:val="-10"/>
        </w:rPr>
        <w:t> </w:t>
      </w:r>
      <w:r>
        <w:rPr/>
        <w:t>de</w:t>
      </w:r>
      <w:r>
        <w:rPr>
          <w:spacing w:val="-12"/>
        </w:rPr>
        <w:t> </w:t>
      </w:r>
      <w:r>
        <w:rPr/>
        <w:t>efectivo</w:t>
      </w:r>
      <w:r>
        <w:rPr>
          <w:spacing w:val="-10"/>
        </w:rPr>
        <w:t> </w:t>
      </w:r>
      <w:r>
        <w:rPr/>
        <w:t>de</w:t>
      </w:r>
      <w:r>
        <w:rPr>
          <w:spacing w:val="-12"/>
        </w:rPr>
        <w:t> </w:t>
      </w:r>
      <w:r>
        <w:rPr/>
        <w:t>las</w:t>
      </w:r>
      <w:r>
        <w:rPr>
          <w:spacing w:val="-10"/>
        </w:rPr>
        <w:t> </w:t>
      </w:r>
      <w:r>
        <w:rPr/>
        <w:t>actividades</w:t>
      </w:r>
      <w:r>
        <w:rPr>
          <w:spacing w:val="-12"/>
        </w:rPr>
        <w:t> </w:t>
      </w:r>
      <w:r>
        <w:rPr/>
        <w:t>de</w:t>
      </w:r>
      <w:r>
        <w:rPr>
          <w:spacing w:val="-12"/>
        </w:rPr>
        <w:t> </w:t>
      </w:r>
      <w:r>
        <w:rPr/>
        <w:t>operación,</w:t>
      </w:r>
      <w:r>
        <w:rPr>
          <w:spacing w:val="-10"/>
        </w:rPr>
        <w:t> </w:t>
      </w:r>
      <w:r>
        <w:rPr/>
        <w:t>comparados</w:t>
      </w:r>
      <w:r>
        <w:rPr>
          <w:spacing w:val="-10"/>
        </w:rPr>
        <w:t> </w:t>
      </w:r>
      <w:r>
        <w:rPr/>
        <w:t>con</w:t>
      </w:r>
      <w:r>
        <w:rPr>
          <w:spacing w:val="-10"/>
        </w:rPr>
        <w:t> </w:t>
      </w:r>
      <w:r>
        <w:rPr/>
        <w:t>el</w:t>
      </w:r>
      <w:r>
        <w:rPr>
          <w:spacing w:val="-11"/>
        </w:rPr>
        <w:t> </w:t>
      </w:r>
      <w:r>
        <w:rPr/>
        <w:t>período</w:t>
      </w:r>
      <w:r>
        <w:rPr>
          <w:spacing w:val="-10"/>
        </w:rPr>
        <w:t> </w:t>
      </w:r>
      <w:r>
        <w:rPr/>
        <w:t>anterior, presentan una variación absoluta negativa de ¢ -5.989.323,64 lo que corresponde a una disminución del -4,50% en las salidas de efectivo.</w:t>
      </w:r>
    </w:p>
    <w:p>
      <w:pPr>
        <w:pStyle w:val="BodyText"/>
        <w:spacing w:before="160"/>
        <w:ind w:left="691" w:right="888"/>
        <w:jc w:val="both"/>
      </w:pPr>
      <w:r>
        <w:rPr/>
        <w:t>Durante el período analizado, los pagos asociados a las actividades de operación reflejan variaciones propias de la dinámica institucional durante el período. Los beneficios al personal presentan un incremento del 3,73%, explicado principalmente por dinámica del capital Humano y capacitaciones </w:t>
      </w:r>
      <w:r>
        <w:rPr>
          <w:spacing w:val="-2"/>
        </w:rPr>
        <w:t>realizadas.</w:t>
      </w:r>
    </w:p>
    <w:p>
      <w:pPr>
        <w:pStyle w:val="BodyText"/>
        <w:spacing w:before="160"/>
        <w:ind w:left="691" w:right="883"/>
        <w:jc w:val="both"/>
      </w:pPr>
      <w:r>
        <w:rPr/>
        <w:t>En relación con las transferencias corrientes y de capital, responde a una disminución del -4,90% asociado a principalmente a la ejecución de los programas sociales.</w:t>
      </w:r>
    </w:p>
    <w:p>
      <w:pPr>
        <w:pStyle w:val="BodyText"/>
      </w:pPr>
    </w:p>
    <w:p>
      <w:pPr>
        <w:pStyle w:val="BodyText"/>
        <w:spacing w:before="100"/>
      </w:pPr>
    </w:p>
    <w:p>
      <w:pPr>
        <w:pStyle w:val="Heading5"/>
      </w:pPr>
      <w:bookmarkStart w:name="_bookmark135" w:id="136"/>
      <w:bookmarkEnd w:id="136"/>
      <w:r>
        <w:rPr>
          <w:b w:val="0"/>
        </w:rPr>
      </w:r>
      <w:r>
        <w:rPr>
          <w:color w:val="1F3863"/>
        </w:rPr>
        <w:t>FLUJOS</w:t>
      </w:r>
      <w:r>
        <w:rPr>
          <w:color w:val="1F3863"/>
          <w:spacing w:val="-8"/>
        </w:rPr>
        <w:t> </w:t>
      </w:r>
      <w:r>
        <w:rPr>
          <w:color w:val="1F3863"/>
        </w:rPr>
        <w:t>DE</w:t>
      </w:r>
      <w:r>
        <w:rPr>
          <w:color w:val="1F3863"/>
          <w:spacing w:val="-4"/>
        </w:rPr>
        <w:t> </w:t>
      </w:r>
      <w:r>
        <w:rPr>
          <w:color w:val="1F3863"/>
        </w:rPr>
        <w:t>EFECTIVO</w:t>
      </w:r>
      <w:r>
        <w:rPr>
          <w:color w:val="1F3863"/>
          <w:spacing w:val="-5"/>
        </w:rPr>
        <w:t> </w:t>
      </w:r>
      <w:r>
        <w:rPr>
          <w:color w:val="1F3863"/>
        </w:rPr>
        <w:t>DE</w:t>
      </w:r>
      <w:r>
        <w:rPr>
          <w:color w:val="1F3863"/>
          <w:spacing w:val="-5"/>
        </w:rPr>
        <w:t> </w:t>
      </w:r>
      <w:r>
        <w:rPr>
          <w:color w:val="1F3863"/>
        </w:rPr>
        <w:t>LAS</w:t>
      </w:r>
      <w:r>
        <w:rPr>
          <w:color w:val="1F3863"/>
          <w:spacing w:val="-2"/>
        </w:rPr>
        <w:t> </w:t>
      </w:r>
      <w:r>
        <w:rPr>
          <w:color w:val="1F3863"/>
        </w:rPr>
        <w:t>ACTIVIDADES</w:t>
      </w:r>
      <w:r>
        <w:rPr>
          <w:color w:val="1F3863"/>
          <w:spacing w:val="-5"/>
        </w:rPr>
        <w:t> </w:t>
      </w:r>
      <w:r>
        <w:rPr>
          <w:color w:val="1F3863"/>
        </w:rPr>
        <w:t>DE</w:t>
      </w:r>
      <w:r>
        <w:rPr>
          <w:color w:val="1F3863"/>
          <w:spacing w:val="-4"/>
        </w:rPr>
        <w:t> </w:t>
      </w:r>
      <w:r>
        <w:rPr>
          <w:color w:val="1F3863"/>
          <w:spacing w:val="-2"/>
        </w:rPr>
        <w:t>INVERSIÓN</w:t>
      </w:r>
    </w:p>
    <w:p>
      <w:pPr>
        <w:pStyle w:val="BodyText"/>
        <w:rPr>
          <w:b/>
        </w:rPr>
      </w:pPr>
    </w:p>
    <w:p>
      <w:pPr>
        <w:pStyle w:val="BodyText"/>
        <w:rPr>
          <w:b/>
        </w:rPr>
      </w:pPr>
    </w:p>
    <w:p>
      <w:pPr>
        <w:pStyle w:val="BodyText"/>
        <w:spacing w:before="43"/>
        <w:rPr>
          <w:b/>
        </w:rPr>
      </w:pPr>
    </w:p>
    <w:p>
      <w:pPr>
        <w:spacing w:before="0"/>
        <w:ind w:left="622" w:right="0" w:firstLine="0"/>
        <w:jc w:val="left"/>
        <w:rPr>
          <w:b/>
          <w:sz w:val="22"/>
        </w:rPr>
      </w:pPr>
      <w:bookmarkStart w:name="_bookmark136" w:id="137"/>
      <w:bookmarkEnd w:id="137"/>
      <w:r>
        <w:rPr/>
      </w:r>
      <w:r>
        <w:rPr>
          <w:b/>
          <w:sz w:val="22"/>
        </w:rPr>
        <w:t>NOTA</w:t>
      </w:r>
      <w:r>
        <w:rPr>
          <w:b/>
          <w:spacing w:val="-1"/>
          <w:sz w:val="22"/>
        </w:rPr>
        <w:t> </w:t>
      </w:r>
      <w:r>
        <w:rPr>
          <w:b/>
          <w:sz w:val="22"/>
        </w:rPr>
        <w:t>N° </w:t>
      </w:r>
      <w:r>
        <w:rPr>
          <w:b/>
          <w:spacing w:val="-5"/>
          <w:sz w:val="22"/>
        </w:rPr>
        <w:t>79</w:t>
      </w:r>
    </w:p>
    <w:p>
      <w:pPr>
        <w:pStyle w:val="BodyText"/>
        <w:spacing w:before="115"/>
        <w:rPr>
          <w:b/>
        </w:rPr>
      </w:pPr>
    </w:p>
    <w:p>
      <w:pPr>
        <w:pStyle w:val="BodyText"/>
        <w:ind w:left="622"/>
      </w:pPr>
      <w:r>
        <w:rPr>
          <w:spacing w:val="-2"/>
        </w:rPr>
        <w:t>Cobros</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05"/>
        <w:gridCol w:w="636"/>
        <w:gridCol w:w="2136"/>
        <w:gridCol w:w="2136"/>
        <w:gridCol w:w="1185"/>
      </w:tblGrid>
      <w:tr>
        <w:trPr>
          <w:trHeight w:val="326" w:hRule="atLeast"/>
        </w:trPr>
        <w:tc>
          <w:tcPr>
            <w:tcW w:w="3005" w:type="dxa"/>
            <w:vMerge w:val="restart"/>
            <w:shd w:val="clear" w:color="auto" w:fill="365F92"/>
          </w:tcPr>
          <w:p>
            <w:pPr>
              <w:pStyle w:val="TableParagraph"/>
              <w:spacing w:before="120"/>
              <w:ind w:left="69"/>
              <w:rPr>
                <w:b/>
                <w:sz w:val="22"/>
              </w:rPr>
            </w:pPr>
            <w:r>
              <w:rPr>
                <w:b/>
                <w:color w:val="FFFFFF"/>
                <w:spacing w:val="-2"/>
                <w:sz w:val="22"/>
              </w:rPr>
              <w:t>Descripción</w:t>
            </w:r>
          </w:p>
        </w:tc>
        <w:tc>
          <w:tcPr>
            <w:tcW w:w="636" w:type="dxa"/>
            <w:vMerge w:val="restart"/>
            <w:shd w:val="clear" w:color="auto" w:fill="365F92"/>
          </w:tcPr>
          <w:p>
            <w:pPr>
              <w:pStyle w:val="TableParagraph"/>
              <w:spacing w:before="209"/>
              <w:ind w:left="100"/>
              <w:rPr>
                <w:b/>
                <w:sz w:val="22"/>
              </w:rPr>
            </w:pPr>
            <w:r>
              <w:rPr>
                <w:b/>
                <w:color w:val="FFFFFF"/>
                <w:spacing w:val="-4"/>
                <w:sz w:val="22"/>
              </w:rPr>
              <w:t>Nota</w:t>
            </w:r>
          </w:p>
        </w:tc>
        <w:tc>
          <w:tcPr>
            <w:tcW w:w="2136" w:type="dxa"/>
            <w:vMerge w:val="restart"/>
            <w:shd w:val="clear" w:color="auto" w:fill="365F92"/>
          </w:tcPr>
          <w:p>
            <w:pPr>
              <w:pStyle w:val="TableParagraph"/>
              <w:spacing w:before="209"/>
              <w:ind w:left="437"/>
              <w:rPr>
                <w:b/>
                <w:sz w:val="22"/>
              </w:rPr>
            </w:pPr>
            <w:r>
              <w:rPr>
                <w:b/>
                <w:color w:val="FFFFFF"/>
                <w:sz w:val="22"/>
              </w:rPr>
              <w:t>Periodo</w:t>
            </w:r>
            <w:r>
              <w:rPr>
                <w:b/>
                <w:color w:val="FFFFFF"/>
                <w:spacing w:val="-4"/>
                <w:sz w:val="22"/>
              </w:rPr>
              <w:t> </w:t>
            </w:r>
            <w:r>
              <w:rPr>
                <w:b/>
                <w:color w:val="FFFFFF"/>
                <w:spacing w:val="-2"/>
                <w:sz w:val="22"/>
              </w:rPr>
              <w:t>Actual</w:t>
            </w:r>
          </w:p>
        </w:tc>
        <w:tc>
          <w:tcPr>
            <w:tcW w:w="2136" w:type="dxa"/>
            <w:vMerge w:val="restart"/>
            <w:shd w:val="clear" w:color="auto" w:fill="365F92"/>
          </w:tcPr>
          <w:p>
            <w:pPr>
              <w:pStyle w:val="TableParagraph"/>
              <w:spacing w:before="209"/>
              <w:ind w:left="344"/>
              <w:rPr>
                <w:b/>
                <w:sz w:val="22"/>
              </w:rPr>
            </w:pPr>
            <w:r>
              <w:rPr>
                <w:b/>
                <w:color w:val="FFFFFF"/>
                <w:sz w:val="22"/>
              </w:rPr>
              <w:t>Periodo</w:t>
            </w:r>
            <w:r>
              <w:rPr>
                <w:b/>
                <w:color w:val="FFFFFF"/>
                <w:spacing w:val="-4"/>
                <w:sz w:val="22"/>
              </w:rPr>
              <w:t> </w:t>
            </w:r>
            <w:r>
              <w:rPr>
                <w:b/>
                <w:color w:val="FFFFFF"/>
                <w:spacing w:val="-2"/>
                <w:sz w:val="22"/>
              </w:rPr>
              <w:t>Anterior</w:t>
            </w:r>
          </w:p>
        </w:tc>
        <w:tc>
          <w:tcPr>
            <w:tcW w:w="1185" w:type="dxa"/>
            <w:shd w:val="clear" w:color="auto" w:fill="365F92"/>
          </w:tcPr>
          <w:p>
            <w:pPr>
              <w:pStyle w:val="TableParagraph"/>
              <w:spacing w:before="36"/>
              <w:ind w:left="21" w:right="1"/>
              <w:jc w:val="center"/>
              <w:rPr>
                <w:b/>
                <w:sz w:val="22"/>
              </w:rPr>
            </w:pPr>
            <w:r>
              <w:rPr>
                <w:b/>
                <w:color w:val="FFFFFF"/>
                <w:spacing w:val="-2"/>
                <w:sz w:val="22"/>
              </w:rPr>
              <w:t>Diferencia</w:t>
            </w:r>
          </w:p>
        </w:tc>
      </w:tr>
      <w:tr>
        <w:trPr>
          <w:trHeight w:val="323" w:hRule="atLeast"/>
        </w:trPr>
        <w:tc>
          <w:tcPr>
            <w:tcW w:w="3005" w:type="dxa"/>
            <w:vMerge/>
            <w:tcBorders>
              <w:top w:val="nil"/>
            </w:tcBorders>
            <w:shd w:val="clear" w:color="auto" w:fill="365F92"/>
          </w:tcPr>
          <w:p>
            <w:pPr>
              <w:rPr>
                <w:sz w:val="2"/>
                <w:szCs w:val="2"/>
              </w:rPr>
            </w:pPr>
          </w:p>
        </w:tc>
        <w:tc>
          <w:tcPr>
            <w:tcW w:w="636" w:type="dxa"/>
            <w:vMerge/>
            <w:tcBorders>
              <w:top w:val="nil"/>
            </w:tcBorders>
            <w:shd w:val="clear" w:color="auto" w:fill="365F92"/>
          </w:tcPr>
          <w:p>
            <w:pPr>
              <w:rPr>
                <w:sz w:val="2"/>
                <w:szCs w:val="2"/>
              </w:rPr>
            </w:pPr>
          </w:p>
        </w:tc>
        <w:tc>
          <w:tcPr>
            <w:tcW w:w="2136" w:type="dxa"/>
            <w:vMerge/>
            <w:tcBorders>
              <w:top w:val="nil"/>
            </w:tcBorders>
            <w:shd w:val="clear" w:color="auto" w:fill="365F92"/>
          </w:tcPr>
          <w:p>
            <w:pPr>
              <w:rPr>
                <w:sz w:val="2"/>
                <w:szCs w:val="2"/>
              </w:rPr>
            </w:pPr>
          </w:p>
        </w:tc>
        <w:tc>
          <w:tcPr>
            <w:tcW w:w="2136" w:type="dxa"/>
            <w:vMerge/>
            <w:tcBorders>
              <w:top w:val="nil"/>
            </w:tcBorders>
            <w:shd w:val="clear" w:color="auto" w:fill="365F92"/>
          </w:tcPr>
          <w:p>
            <w:pPr>
              <w:rPr>
                <w:sz w:val="2"/>
                <w:szCs w:val="2"/>
              </w:rPr>
            </w:pPr>
          </w:p>
        </w:tc>
        <w:tc>
          <w:tcPr>
            <w:tcW w:w="1185" w:type="dxa"/>
            <w:shd w:val="clear" w:color="auto" w:fill="365F92"/>
          </w:tcPr>
          <w:p>
            <w:pPr>
              <w:pStyle w:val="TableParagraph"/>
              <w:spacing w:before="36"/>
              <w:ind w:left="21" w:right="3"/>
              <w:jc w:val="center"/>
              <w:rPr>
                <w:sz w:val="22"/>
              </w:rPr>
            </w:pPr>
            <w:r>
              <w:rPr>
                <w:color w:val="FFFFFF"/>
                <w:spacing w:val="-10"/>
                <w:sz w:val="22"/>
              </w:rPr>
              <w:t>%</w:t>
            </w:r>
          </w:p>
        </w:tc>
      </w:tr>
      <w:tr>
        <w:trPr>
          <w:trHeight w:val="325" w:hRule="atLeast"/>
        </w:trPr>
        <w:tc>
          <w:tcPr>
            <w:tcW w:w="3005" w:type="dxa"/>
          </w:tcPr>
          <w:p>
            <w:pPr>
              <w:pStyle w:val="TableParagraph"/>
              <w:spacing w:before="46"/>
              <w:ind w:left="69"/>
              <w:rPr>
                <w:b/>
                <w:sz w:val="20"/>
              </w:rPr>
            </w:pPr>
            <w:r>
              <w:rPr>
                <w:b/>
                <w:spacing w:val="-2"/>
                <w:sz w:val="20"/>
              </w:rPr>
              <w:t>Cobros</w:t>
            </w:r>
          </w:p>
        </w:tc>
        <w:tc>
          <w:tcPr>
            <w:tcW w:w="636" w:type="dxa"/>
          </w:tcPr>
          <w:p>
            <w:pPr>
              <w:pStyle w:val="TableParagraph"/>
              <w:spacing w:before="46"/>
              <w:ind w:left="218"/>
              <w:rPr>
                <w:b/>
                <w:sz w:val="20"/>
              </w:rPr>
            </w:pPr>
            <w:r>
              <w:rPr>
                <w:b/>
                <w:spacing w:val="-5"/>
                <w:sz w:val="20"/>
              </w:rPr>
              <w:t>79</w:t>
            </w:r>
          </w:p>
        </w:tc>
        <w:tc>
          <w:tcPr>
            <w:tcW w:w="2136" w:type="dxa"/>
          </w:tcPr>
          <w:p>
            <w:pPr>
              <w:pStyle w:val="TableParagraph"/>
              <w:spacing w:before="46"/>
              <w:ind w:left="18" w:right="1"/>
              <w:jc w:val="center"/>
              <w:rPr>
                <w:b/>
                <w:sz w:val="20"/>
              </w:rPr>
            </w:pPr>
            <w:r>
              <w:rPr>
                <w:b/>
                <w:spacing w:val="-4"/>
                <w:sz w:val="20"/>
              </w:rPr>
              <w:t>0,00</w:t>
            </w:r>
          </w:p>
        </w:tc>
        <w:tc>
          <w:tcPr>
            <w:tcW w:w="2136" w:type="dxa"/>
          </w:tcPr>
          <w:p>
            <w:pPr>
              <w:pStyle w:val="TableParagraph"/>
              <w:spacing w:before="46"/>
              <w:ind w:left="18"/>
              <w:jc w:val="center"/>
              <w:rPr>
                <w:b/>
                <w:sz w:val="20"/>
              </w:rPr>
            </w:pPr>
            <w:r>
              <w:rPr>
                <w:b/>
                <w:spacing w:val="-4"/>
                <w:sz w:val="20"/>
              </w:rPr>
              <w:t>0,00</w:t>
            </w:r>
          </w:p>
        </w:tc>
        <w:tc>
          <w:tcPr>
            <w:tcW w:w="1185" w:type="dxa"/>
          </w:tcPr>
          <w:p>
            <w:pPr>
              <w:pStyle w:val="TableParagraph"/>
              <w:spacing w:before="46"/>
              <w:ind w:left="21"/>
              <w:jc w:val="center"/>
              <w:rPr>
                <w:b/>
                <w:sz w:val="20"/>
              </w:rPr>
            </w:pPr>
            <w:r>
              <w:rPr>
                <w:b/>
                <w:spacing w:val="-2"/>
                <w:sz w:val="20"/>
              </w:rPr>
              <w:t>0,00%</w:t>
            </w:r>
          </w:p>
        </w:tc>
      </w:tr>
    </w:tbl>
    <w:p>
      <w:pPr>
        <w:pStyle w:val="BodyText"/>
      </w:pPr>
    </w:p>
    <w:p>
      <w:pPr>
        <w:pStyle w:val="BodyText"/>
        <w:spacing w:before="168"/>
      </w:pPr>
    </w:p>
    <w:p>
      <w:pPr>
        <w:pStyle w:val="BodyText"/>
        <w:spacing w:line="259" w:lineRule="auto"/>
        <w:ind w:left="622" w:right="1028"/>
        <w:jc w:val="both"/>
      </w:pPr>
      <w:r>
        <w:rPr/>
        <w:t>Los Cobros</w:t>
      </w:r>
      <w:r>
        <w:rPr>
          <w:spacing w:val="-1"/>
        </w:rPr>
        <w:t> </w:t>
      </w:r>
      <w:r>
        <w:rPr/>
        <w:t>de</w:t>
      </w:r>
      <w:r>
        <w:rPr>
          <w:spacing w:val="-1"/>
        </w:rPr>
        <w:t> </w:t>
      </w:r>
      <w:r>
        <w:rPr/>
        <w:t>los Flujos</w:t>
      </w:r>
      <w:r>
        <w:rPr>
          <w:spacing w:val="-1"/>
        </w:rPr>
        <w:t> </w:t>
      </w:r>
      <w:r>
        <w:rPr/>
        <w:t>de Efectivo de las Actividades de Inversión, comparado</w:t>
      </w:r>
      <w:r>
        <w:rPr>
          <w:spacing w:val="-1"/>
        </w:rPr>
        <w:t> </w:t>
      </w:r>
      <w:r>
        <w:rPr/>
        <w:t>al periodo anterior genera una variación absoluta de 0 000,00 que corresponde a un Aumento del 0,00% de recursos </w:t>
      </w:r>
      <w:r>
        <w:rPr>
          <w:spacing w:val="-2"/>
        </w:rPr>
        <w:t>disponibles.</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2672">
                <wp:simplePos x="0" y="0"/>
                <wp:positionH relativeFrom="page">
                  <wp:posOffset>9525</wp:posOffset>
                </wp:positionH>
                <wp:positionV relativeFrom="page">
                  <wp:posOffset>297208</wp:posOffset>
                </wp:positionV>
                <wp:extent cx="7762875" cy="9748520"/>
                <wp:effectExtent l="0" t="0" r="0" b="0"/>
                <wp:wrapNone/>
                <wp:docPr id="833" name="Group 833"/>
                <wp:cNvGraphicFramePr>
                  <a:graphicFrameLocks/>
                </wp:cNvGraphicFramePr>
                <a:graphic>
                  <a:graphicData uri="http://schemas.microsoft.com/office/word/2010/wordprocessingGroup">
                    <wpg:wgp>
                      <wpg:cNvPr id="833" name="Group 833"/>
                      <wpg:cNvGrpSpPr/>
                      <wpg:grpSpPr>
                        <a:xfrm>
                          <a:off x="0" y="0"/>
                          <a:ext cx="7762875" cy="9748520"/>
                          <a:chExt cx="7762875" cy="9748520"/>
                        </a:xfrm>
                      </wpg:grpSpPr>
                      <pic:pic>
                        <pic:nvPicPr>
                          <pic:cNvPr id="834" name="Image 834"/>
                          <pic:cNvPicPr/>
                        </pic:nvPicPr>
                        <pic:blipFill>
                          <a:blip r:embed="rId5" cstate="print"/>
                          <a:stretch>
                            <a:fillRect/>
                          </a:stretch>
                        </pic:blipFill>
                        <pic:spPr>
                          <a:xfrm>
                            <a:off x="0" y="0"/>
                            <a:ext cx="7762874" cy="9748489"/>
                          </a:xfrm>
                          <a:prstGeom prst="rect">
                            <a:avLst/>
                          </a:prstGeom>
                        </pic:spPr>
                      </pic:pic>
                      <wps:wsp>
                        <wps:cNvPr id="835" name="Graphic 83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3808" id="docshapegroup808" coordorigin="15,468" coordsize="12225,15352">
                <v:shape style="position:absolute;left:15;top:468;width:12225;height:15352" type="#_x0000_t75" id="docshape809" stroked="false">
                  <v:imagedata r:id="rId5" o:title=""/>
                </v:shape>
                <v:rect style="position:absolute;left:1673;top:2028;width:8897;height:15" id="docshape81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167</w:t>
      </w:r>
    </w:p>
    <w:p>
      <w:pPr>
        <w:pStyle w:val="BodyText"/>
        <w:spacing w:before="10"/>
        <w:rPr>
          <w:sz w:val="16"/>
        </w:rPr>
      </w:pPr>
      <w:r>
        <w:rPr>
          <w:sz w:val="16"/>
        </w:rPr>
        <mc:AlternateContent>
          <mc:Choice Requires="wps">
            <w:drawing>
              <wp:anchor distT="0" distB="0" distL="0" distR="0" allowOverlap="1" layoutInCell="1" locked="0" behindDoc="1" simplePos="0" relativeHeight="487754752">
                <wp:simplePos x="0" y="0"/>
                <wp:positionH relativeFrom="page">
                  <wp:posOffset>1080820</wp:posOffset>
                </wp:positionH>
                <wp:positionV relativeFrom="paragraph">
                  <wp:posOffset>141144</wp:posOffset>
                </wp:positionV>
                <wp:extent cx="5715000" cy="554990"/>
                <wp:effectExtent l="0" t="0" r="0" b="0"/>
                <wp:wrapTopAndBottom/>
                <wp:docPr id="836" name="Textbox 836"/>
                <wp:cNvGraphicFramePr>
                  <a:graphicFrameLocks/>
                </wp:cNvGraphicFramePr>
                <a:graphic>
                  <a:graphicData uri="http://schemas.microsoft.com/office/word/2010/wordprocessingShape">
                    <wps:wsp>
                      <wps:cNvPr id="836" name="Textbox 836"/>
                      <wps:cNvSpPr txBox="1"/>
                      <wps:spPr>
                        <a:xfrm>
                          <a:off x="0" y="0"/>
                          <a:ext cx="5715000" cy="554990"/>
                        </a:xfrm>
                        <a:prstGeom prst="rect">
                          <a:avLst/>
                        </a:prstGeom>
                        <a:ln w="6095">
                          <a:solidFill>
                            <a:srgbClr val="000000"/>
                          </a:solidFill>
                          <a:prstDash val="solid"/>
                        </a:ln>
                      </wps:spPr>
                      <wps:txbx>
                        <w:txbxContent>
                          <w:p>
                            <w:pPr>
                              <w:spacing w:line="412" w:lineRule="auto" w:before="0"/>
                              <w:ind w:left="103" w:right="3452" w:firstLine="0"/>
                              <w:jc w:val="left"/>
                              <w:rPr>
                                <w:sz w:val="22"/>
                              </w:rPr>
                            </w:pPr>
                            <w:r>
                              <w:rPr>
                                <w:b/>
                                <w:color w:val="1F4E79"/>
                                <w:sz w:val="22"/>
                                <w:u w:val="single" w:color="1F4E79"/>
                              </w:rPr>
                              <w:t>Revelar ampliamente las partidas más materiales de cobros</w:t>
                            </w:r>
                            <w:r>
                              <w:rPr>
                                <w:sz w:val="22"/>
                                <w:u w:val="none"/>
                              </w:rPr>
                              <w:t>:</w:t>
                            </w:r>
                            <w:r>
                              <w:rPr>
                                <w:spacing w:val="80"/>
                                <w:sz w:val="22"/>
                                <w:u w:val="none"/>
                              </w:rPr>
                              <w:t> </w:t>
                            </w:r>
                            <w:r>
                              <w:rPr>
                                <w:sz w:val="22"/>
                                <w:u w:val="none"/>
                              </w:rPr>
                              <w:t>Al</w:t>
                            </w:r>
                            <w:r>
                              <w:rPr>
                                <w:spacing w:val="-3"/>
                                <w:sz w:val="22"/>
                                <w:u w:val="none"/>
                              </w:rPr>
                              <w:t> </w:t>
                            </w:r>
                            <w:r>
                              <w:rPr>
                                <w:sz w:val="22"/>
                                <w:u w:val="none"/>
                              </w:rPr>
                              <w:t>31</w:t>
                            </w:r>
                            <w:r>
                              <w:rPr>
                                <w:spacing w:val="-3"/>
                                <w:sz w:val="22"/>
                                <w:u w:val="none"/>
                              </w:rPr>
                              <w:t> </w:t>
                            </w:r>
                            <w:r>
                              <w:rPr>
                                <w:sz w:val="22"/>
                                <w:u w:val="none"/>
                              </w:rPr>
                              <w:t>de</w:t>
                            </w:r>
                            <w:r>
                              <w:rPr>
                                <w:spacing w:val="-4"/>
                                <w:sz w:val="22"/>
                                <w:u w:val="none"/>
                              </w:rPr>
                              <w:t> </w:t>
                            </w:r>
                            <w:r>
                              <w:rPr>
                                <w:sz w:val="22"/>
                                <w:u w:val="none"/>
                              </w:rPr>
                              <w:t>julio</w:t>
                            </w:r>
                            <w:r>
                              <w:rPr>
                                <w:spacing w:val="-3"/>
                                <w:sz w:val="22"/>
                                <w:u w:val="none"/>
                              </w:rPr>
                              <w:t> </w:t>
                            </w:r>
                            <w:r>
                              <w:rPr>
                                <w:sz w:val="22"/>
                                <w:u w:val="none"/>
                              </w:rPr>
                              <w:t>2026,</w:t>
                            </w:r>
                            <w:r>
                              <w:rPr>
                                <w:spacing w:val="-3"/>
                                <w:sz w:val="22"/>
                                <w:u w:val="none"/>
                              </w:rPr>
                              <w:t> </w:t>
                            </w:r>
                            <w:r>
                              <w:rPr>
                                <w:sz w:val="22"/>
                                <w:u w:val="none"/>
                              </w:rPr>
                              <w:t>la</w:t>
                            </w:r>
                            <w:r>
                              <w:rPr>
                                <w:spacing w:val="-5"/>
                                <w:sz w:val="22"/>
                                <w:u w:val="none"/>
                              </w:rPr>
                              <w:t> </w:t>
                            </w:r>
                            <w:r>
                              <w:rPr>
                                <w:sz w:val="22"/>
                                <w:u w:val="none"/>
                              </w:rPr>
                              <w:t>cuenta</w:t>
                            </w:r>
                            <w:r>
                              <w:rPr>
                                <w:spacing w:val="-3"/>
                                <w:sz w:val="22"/>
                                <w:u w:val="none"/>
                              </w:rPr>
                              <w:t> </w:t>
                            </w:r>
                            <w:r>
                              <w:rPr>
                                <w:sz w:val="22"/>
                                <w:u w:val="none"/>
                              </w:rPr>
                              <w:t>no</w:t>
                            </w:r>
                            <w:r>
                              <w:rPr>
                                <w:spacing w:val="-3"/>
                                <w:sz w:val="22"/>
                                <w:u w:val="none"/>
                              </w:rPr>
                              <w:t> </w:t>
                            </w:r>
                            <w:r>
                              <w:rPr>
                                <w:sz w:val="22"/>
                                <w:u w:val="none"/>
                              </w:rPr>
                              <w:t>presenta</w:t>
                            </w:r>
                            <w:r>
                              <w:rPr>
                                <w:spacing w:val="-6"/>
                                <w:sz w:val="22"/>
                                <w:u w:val="none"/>
                              </w:rPr>
                              <w:t> </w:t>
                            </w:r>
                            <w:r>
                              <w:rPr>
                                <w:sz w:val="22"/>
                                <w:u w:val="none"/>
                              </w:rPr>
                              <w:t>ningún</w:t>
                            </w:r>
                            <w:r>
                              <w:rPr>
                                <w:spacing w:val="-6"/>
                                <w:sz w:val="22"/>
                                <w:u w:val="none"/>
                              </w:rPr>
                              <w:t> </w:t>
                            </w:r>
                            <w:r>
                              <w:rPr>
                                <w:sz w:val="22"/>
                                <w:u w:val="none"/>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561728;mso-wrap-distance-left:0;mso-wrap-distance-right:0" type="#_x0000_t202" id="docshape811" filled="false" stroked="true" strokeweight=".47998pt" strokecolor="#000000">
                <v:textbox inset="0,0,0,0">
                  <w:txbxContent>
                    <w:p>
                      <w:pPr>
                        <w:spacing w:line="412" w:lineRule="auto" w:before="0"/>
                        <w:ind w:left="103" w:right="3452" w:firstLine="0"/>
                        <w:jc w:val="left"/>
                        <w:rPr>
                          <w:sz w:val="22"/>
                        </w:rPr>
                      </w:pPr>
                      <w:r>
                        <w:rPr>
                          <w:b/>
                          <w:color w:val="1F4E79"/>
                          <w:sz w:val="22"/>
                          <w:u w:val="single" w:color="1F4E79"/>
                        </w:rPr>
                        <w:t>Revelar ampliamente las partidas más materiales de cobros</w:t>
                      </w:r>
                      <w:r>
                        <w:rPr>
                          <w:sz w:val="22"/>
                          <w:u w:val="none"/>
                        </w:rPr>
                        <w:t>:</w:t>
                      </w:r>
                      <w:r>
                        <w:rPr>
                          <w:spacing w:val="80"/>
                          <w:sz w:val="22"/>
                          <w:u w:val="none"/>
                        </w:rPr>
                        <w:t> </w:t>
                      </w:r>
                      <w:r>
                        <w:rPr>
                          <w:sz w:val="22"/>
                          <w:u w:val="none"/>
                        </w:rPr>
                        <w:t>Al</w:t>
                      </w:r>
                      <w:r>
                        <w:rPr>
                          <w:spacing w:val="-3"/>
                          <w:sz w:val="22"/>
                          <w:u w:val="none"/>
                        </w:rPr>
                        <w:t> </w:t>
                      </w:r>
                      <w:r>
                        <w:rPr>
                          <w:sz w:val="22"/>
                          <w:u w:val="none"/>
                        </w:rPr>
                        <w:t>31</w:t>
                      </w:r>
                      <w:r>
                        <w:rPr>
                          <w:spacing w:val="-3"/>
                          <w:sz w:val="22"/>
                          <w:u w:val="none"/>
                        </w:rPr>
                        <w:t> </w:t>
                      </w:r>
                      <w:r>
                        <w:rPr>
                          <w:sz w:val="22"/>
                          <w:u w:val="none"/>
                        </w:rPr>
                        <w:t>de</w:t>
                      </w:r>
                      <w:r>
                        <w:rPr>
                          <w:spacing w:val="-4"/>
                          <w:sz w:val="22"/>
                          <w:u w:val="none"/>
                        </w:rPr>
                        <w:t> </w:t>
                      </w:r>
                      <w:r>
                        <w:rPr>
                          <w:sz w:val="22"/>
                          <w:u w:val="none"/>
                        </w:rPr>
                        <w:t>julio</w:t>
                      </w:r>
                      <w:r>
                        <w:rPr>
                          <w:spacing w:val="-3"/>
                          <w:sz w:val="22"/>
                          <w:u w:val="none"/>
                        </w:rPr>
                        <w:t> </w:t>
                      </w:r>
                      <w:r>
                        <w:rPr>
                          <w:sz w:val="22"/>
                          <w:u w:val="none"/>
                        </w:rPr>
                        <w:t>2026,</w:t>
                      </w:r>
                      <w:r>
                        <w:rPr>
                          <w:spacing w:val="-3"/>
                          <w:sz w:val="22"/>
                          <w:u w:val="none"/>
                        </w:rPr>
                        <w:t> </w:t>
                      </w:r>
                      <w:r>
                        <w:rPr>
                          <w:sz w:val="22"/>
                          <w:u w:val="none"/>
                        </w:rPr>
                        <w:t>la</w:t>
                      </w:r>
                      <w:r>
                        <w:rPr>
                          <w:spacing w:val="-5"/>
                          <w:sz w:val="22"/>
                          <w:u w:val="none"/>
                        </w:rPr>
                        <w:t> </w:t>
                      </w:r>
                      <w:r>
                        <w:rPr>
                          <w:sz w:val="22"/>
                          <w:u w:val="none"/>
                        </w:rPr>
                        <w:t>cuenta</w:t>
                      </w:r>
                      <w:r>
                        <w:rPr>
                          <w:spacing w:val="-3"/>
                          <w:sz w:val="22"/>
                          <w:u w:val="none"/>
                        </w:rPr>
                        <w:t> </w:t>
                      </w:r>
                      <w:r>
                        <w:rPr>
                          <w:sz w:val="22"/>
                          <w:u w:val="none"/>
                        </w:rPr>
                        <w:t>no</w:t>
                      </w:r>
                      <w:r>
                        <w:rPr>
                          <w:spacing w:val="-3"/>
                          <w:sz w:val="22"/>
                          <w:u w:val="none"/>
                        </w:rPr>
                        <w:t> </w:t>
                      </w:r>
                      <w:r>
                        <w:rPr>
                          <w:sz w:val="22"/>
                          <w:u w:val="none"/>
                        </w:rPr>
                        <w:t>presenta</w:t>
                      </w:r>
                      <w:r>
                        <w:rPr>
                          <w:spacing w:val="-6"/>
                          <w:sz w:val="22"/>
                          <w:u w:val="none"/>
                        </w:rPr>
                        <w:t> </w:t>
                      </w:r>
                      <w:r>
                        <w:rPr>
                          <w:sz w:val="22"/>
                          <w:u w:val="none"/>
                        </w:rPr>
                        <w:t>ningún</w:t>
                      </w:r>
                      <w:r>
                        <w:rPr>
                          <w:spacing w:val="-6"/>
                          <w:sz w:val="22"/>
                          <w:u w:val="none"/>
                        </w:rPr>
                        <w:t> </w:t>
                      </w:r>
                      <w:r>
                        <w:rPr>
                          <w:sz w:val="22"/>
                          <w:u w:val="none"/>
                        </w:rPr>
                        <w:t>movimiento.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37" w:id="138"/>
      <w:bookmarkEnd w:id="138"/>
      <w:r>
        <w:rPr/>
      </w:r>
      <w:r>
        <w:rPr>
          <w:b/>
          <w:sz w:val="22"/>
        </w:rPr>
        <w:t>NOTA</w:t>
      </w:r>
      <w:r>
        <w:rPr>
          <w:b/>
          <w:spacing w:val="-1"/>
          <w:sz w:val="22"/>
        </w:rPr>
        <w:t> </w:t>
      </w:r>
      <w:r>
        <w:rPr>
          <w:b/>
          <w:sz w:val="22"/>
        </w:rPr>
        <w:t>N° </w:t>
      </w:r>
      <w:r>
        <w:rPr>
          <w:b/>
          <w:spacing w:val="-5"/>
          <w:sz w:val="22"/>
        </w:rPr>
        <w:t>80</w:t>
      </w:r>
    </w:p>
    <w:p>
      <w:pPr>
        <w:pStyle w:val="BodyText"/>
        <w:spacing w:before="126" w:after="20"/>
        <w:ind w:left="622"/>
      </w:pPr>
      <w:r>
        <w:rPr>
          <w:spacing w:val="-2"/>
        </w:rPr>
        <w:t>Pagos</w:t>
      </w: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73"/>
        <w:gridCol w:w="614"/>
        <w:gridCol w:w="2064"/>
        <w:gridCol w:w="2064"/>
        <w:gridCol w:w="1147"/>
      </w:tblGrid>
      <w:tr>
        <w:trPr>
          <w:trHeight w:val="332" w:hRule="atLeast"/>
        </w:trPr>
        <w:tc>
          <w:tcPr>
            <w:tcW w:w="3173" w:type="dxa"/>
            <w:vMerge w:val="restart"/>
            <w:shd w:val="clear" w:color="auto" w:fill="365F92"/>
          </w:tcPr>
          <w:p>
            <w:pPr>
              <w:pStyle w:val="TableParagraph"/>
              <w:spacing w:before="129"/>
              <w:ind w:left="69"/>
              <w:rPr>
                <w:b/>
                <w:sz w:val="22"/>
              </w:rPr>
            </w:pPr>
            <w:r>
              <w:rPr>
                <w:b/>
                <w:color w:val="FFFFFF"/>
                <w:spacing w:val="-2"/>
                <w:sz w:val="22"/>
              </w:rPr>
              <w:t>Descripción</w:t>
            </w:r>
          </w:p>
        </w:tc>
        <w:tc>
          <w:tcPr>
            <w:tcW w:w="614" w:type="dxa"/>
            <w:vMerge w:val="restart"/>
            <w:shd w:val="clear" w:color="auto" w:fill="365F92"/>
          </w:tcPr>
          <w:p>
            <w:pPr>
              <w:pStyle w:val="TableParagraph"/>
              <w:spacing w:before="218"/>
              <w:ind w:left="88"/>
              <w:rPr>
                <w:b/>
                <w:sz w:val="22"/>
              </w:rPr>
            </w:pPr>
            <w:r>
              <w:rPr>
                <w:b/>
                <w:color w:val="FFFFFF"/>
                <w:spacing w:val="-4"/>
                <w:sz w:val="22"/>
              </w:rPr>
              <w:t>Nota</w:t>
            </w:r>
          </w:p>
        </w:tc>
        <w:tc>
          <w:tcPr>
            <w:tcW w:w="2064" w:type="dxa"/>
            <w:vMerge w:val="restart"/>
            <w:shd w:val="clear" w:color="auto" w:fill="365F92"/>
          </w:tcPr>
          <w:p>
            <w:pPr>
              <w:pStyle w:val="TableParagraph"/>
              <w:spacing w:before="218"/>
              <w:ind w:left="401"/>
              <w:rPr>
                <w:b/>
                <w:sz w:val="22"/>
              </w:rPr>
            </w:pPr>
            <w:r>
              <w:rPr>
                <w:b/>
                <w:color w:val="FFFFFF"/>
                <w:sz w:val="22"/>
              </w:rPr>
              <w:t>Periodo</w:t>
            </w:r>
            <w:r>
              <w:rPr>
                <w:b/>
                <w:color w:val="FFFFFF"/>
                <w:spacing w:val="-4"/>
                <w:sz w:val="22"/>
              </w:rPr>
              <w:t> </w:t>
            </w:r>
            <w:r>
              <w:rPr>
                <w:b/>
                <w:color w:val="FFFFFF"/>
                <w:spacing w:val="-2"/>
                <w:sz w:val="22"/>
              </w:rPr>
              <w:t>Actual</w:t>
            </w:r>
          </w:p>
        </w:tc>
        <w:tc>
          <w:tcPr>
            <w:tcW w:w="2064" w:type="dxa"/>
            <w:vMerge w:val="restart"/>
            <w:shd w:val="clear" w:color="auto" w:fill="365F92"/>
          </w:tcPr>
          <w:p>
            <w:pPr>
              <w:pStyle w:val="TableParagraph"/>
              <w:spacing w:before="218"/>
              <w:ind w:left="308"/>
              <w:rPr>
                <w:b/>
                <w:sz w:val="22"/>
              </w:rPr>
            </w:pPr>
            <w:r>
              <w:rPr>
                <w:b/>
                <w:color w:val="FFFFFF"/>
                <w:sz w:val="22"/>
              </w:rPr>
              <w:t>Periodo</w:t>
            </w:r>
            <w:r>
              <w:rPr>
                <w:b/>
                <w:color w:val="FFFFFF"/>
                <w:spacing w:val="-4"/>
                <w:sz w:val="22"/>
              </w:rPr>
              <w:t> </w:t>
            </w:r>
            <w:r>
              <w:rPr>
                <w:b/>
                <w:color w:val="FFFFFF"/>
                <w:spacing w:val="-2"/>
                <w:sz w:val="22"/>
              </w:rPr>
              <w:t>Anterior</w:t>
            </w:r>
          </w:p>
        </w:tc>
        <w:tc>
          <w:tcPr>
            <w:tcW w:w="1147" w:type="dxa"/>
            <w:shd w:val="clear" w:color="auto" w:fill="365F92"/>
          </w:tcPr>
          <w:p>
            <w:pPr>
              <w:pStyle w:val="TableParagraph"/>
              <w:spacing w:before="41"/>
              <w:ind w:left="21" w:right="1"/>
              <w:jc w:val="center"/>
              <w:rPr>
                <w:b/>
                <w:sz w:val="22"/>
              </w:rPr>
            </w:pPr>
            <w:r>
              <w:rPr>
                <w:b/>
                <w:color w:val="FFFFFF"/>
                <w:spacing w:val="-2"/>
                <w:sz w:val="22"/>
              </w:rPr>
              <w:t>Diferencia</w:t>
            </w:r>
          </w:p>
        </w:tc>
      </w:tr>
      <w:tr>
        <w:trPr>
          <w:trHeight w:val="335" w:hRule="atLeast"/>
        </w:trPr>
        <w:tc>
          <w:tcPr>
            <w:tcW w:w="3173" w:type="dxa"/>
            <w:vMerge/>
            <w:tcBorders>
              <w:top w:val="nil"/>
            </w:tcBorders>
            <w:shd w:val="clear" w:color="auto" w:fill="365F92"/>
          </w:tcPr>
          <w:p>
            <w:pPr>
              <w:rPr>
                <w:sz w:val="2"/>
                <w:szCs w:val="2"/>
              </w:rPr>
            </w:pPr>
          </w:p>
        </w:tc>
        <w:tc>
          <w:tcPr>
            <w:tcW w:w="614" w:type="dxa"/>
            <w:vMerge/>
            <w:tcBorders>
              <w:top w:val="nil"/>
            </w:tcBorders>
            <w:shd w:val="clear" w:color="auto" w:fill="365F92"/>
          </w:tcPr>
          <w:p>
            <w:pPr>
              <w:rPr>
                <w:sz w:val="2"/>
                <w:szCs w:val="2"/>
              </w:rPr>
            </w:pPr>
          </w:p>
        </w:tc>
        <w:tc>
          <w:tcPr>
            <w:tcW w:w="2064" w:type="dxa"/>
            <w:vMerge/>
            <w:tcBorders>
              <w:top w:val="nil"/>
            </w:tcBorders>
            <w:shd w:val="clear" w:color="auto" w:fill="365F92"/>
          </w:tcPr>
          <w:p>
            <w:pPr>
              <w:rPr>
                <w:sz w:val="2"/>
                <w:szCs w:val="2"/>
              </w:rPr>
            </w:pPr>
          </w:p>
        </w:tc>
        <w:tc>
          <w:tcPr>
            <w:tcW w:w="2064" w:type="dxa"/>
            <w:vMerge/>
            <w:tcBorders>
              <w:top w:val="nil"/>
            </w:tcBorders>
            <w:shd w:val="clear" w:color="auto" w:fill="365F92"/>
          </w:tcPr>
          <w:p>
            <w:pPr>
              <w:rPr>
                <w:sz w:val="2"/>
                <w:szCs w:val="2"/>
              </w:rPr>
            </w:pPr>
          </w:p>
        </w:tc>
        <w:tc>
          <w:tcPr>
            <w:tcW w:w="1147" w:type="dxa"/>
            <w:shd w:val="clear" w:color="auto" w:fill="365F92"/>
          </w:tcPr>
          <w:p>
            <w:pPr>
              <w:pStyle w:val="TableParagraph"/>
              <w:spacing w:before="41"/>
              <w:ind w:left="21" w:right="3"/>
              <w:jc w:val="center"/>
              <w:rPr>
                <w:sz w:val="22"/>
              </w:rPr>
            </w:pPr>
            <w:r>
              <w:rPr>
                <w:color w:val="FFFFFF"/>
                <w:spacing w:val="-10"/>
                <w:sz w:val="22"/>
              </w:rPr>
              <w:t>%</w:t>
            </w:r>
          </w:p>
        </w:tc>
      </w:tr>
      <w:tr>
        <w:trPr>
          <w:trHeight w:val="335" w:hRule="atLeast"/>
        </w:trPr>
        <w:tc>
          <w:tcPr>
            <w:tcW w:w="3173" w:type="dxa"/>
          </w:tcPr>
          <w:p>
            <w:pPr>
              <w:pStyle w:val="TableParagraph"/>
              <w:spacing w:before="52"/>
              <w:ind w:left="69"/>
              <w:rPr>
                <w:b/>
                <w:sz w:val="20"/>
              </w:rPr>
            </w:pPr>
            <w:r>
              <w:rPr>
                <w:b/>
                <w:spacing w:val="-2"/>
                <w:sz w:val="20"/>
              </w:rPr>
              <w:t>Pagos</w:t>
            </w:r>
          </w:p>
        </w:tc>
        <w:tc>
          <w:tcPr>
            <w:tcW w:w="614" w:type="dxa"/>
          </w:tcPr>
          <w:p>
            <w:pPr>
              <w:pStyle w:val="TableParagraph"/>
              <w:spacing w:before="52"/>
              <w:ind w:left="206"/>
              <w:rPr>
                <w:b/>
                <w:sz w:val="20"/>
              </w:rPr>
            </w:pPr>
            <w:r>
              <w:rPr>
                <w:b/>
                <w:spacing w:val="-5"/>
                <w:sz w:val="20"/>
              </w:rPr>
              <w:t>80</w:t>
            </w:r>
          </w:p>
        </w:tc>
        <w:tc>
          <w:tcPr>
            <w:tcW w:w="2064" w:type="dxa"/>
          </w:tcPr>
          <w:p>
            <w:pPr>
              <w:pStyle w:val="TableParagraph"/>
              <w:spacing w:line="211" w:lineRule="exact" w:before="104"/>
              <w:ind w:left="588"/>
              <w:rPr>
                <w:b/>
                <w:sz w:val="20"/>
              </w:rPr>
            </w:pPr>
            <w:r>
              <w:rPr>
                <w:b/>
                <w:sz w:val="20"/>
              </w:rPr>
              <w:t>442</w:t>
            </w:r>
            <w:r>
              <w:rPr>
                <w:b/>
                <w:spacing w:val="-3"/>
                <w:sz w:val="20"/>
              </w:rPr>
              <w:t> </w:t>
            </w:r>
            <w:r>
              <w:rPr>
                <w:b/>
                <w:spacing w:val="-2"/>
                <w:sz w:val="20"/>
              </w:rPr>
              <w:t>305,16</w:t>
            </w:r>
          </w:p>
        </w:tc>
        <w:tc>
          <w:tcPr>
            <w:tcW w:w="2064" w:type="dxa"/>
          </w:tcPr>
          <w:p>
            <w:pPr>
              <w:pStyle w:val="TableParagraph"/>
              <w:spacing w:line="211" w:lineRule="exact" w:before="104"/>
              <w:ind w:left="589"/>
              <w:rPr>
                <w:b/>
                <w:sz w:val="20"/>
              </w:rPr>
            </w:pPr>
            <w:r>
              <w:rPr>
                <w:b/>
                <w:sz w:val="20"/>
              </w:rPr>
              <w:t>225</w:t>
            </w:r>
            <w:r>
              <w:rPr>
                <w:b/>
                <w:spacing w:val="-3"/>
                <w:sz w:val="20"/>
              </w:rPr>
              <w:t> </w:t>
            </w:r>
            <w:r>
              <w:rPr>
                <w:b/>
                <w:spacing w:val="-2"/>
                <w:sz w:val="20"/>
              </w:rPr>
              <w:t>228,89</w:t>
            </w:r>
          </w:p>
        </w:tc>
        <w:tc>
          <w:tcPr>
            <w:tcW w:w="1147" w:type="dxa"/>
          </w:tcPr>
          <w:p>
            <w:pPr>
              <w:pStyle w:val="TableParagraph"/>
              <w:spacing w:line="211" w:lineRule="exact" w:before="104"/>
              <w:ind w:left="21" w:right="2"/>
              <w:jc w:val="center"/>
              <w:rPr>
                <w:b/>
                <w:sz w:val="20"/>
              </w:rPr>
            </w:pPr>
            <w:r>
              <w:rPr>
                <w:b/>
                <w:spacing w:val="-2"/>
                <w:sz w:val="20"/>
              </w:rPr>
              <w:t>96,38%</w:t>
            </w:r>
          </w:p>
        </w:tc>
      </w:tr>
    </w:tbl>
    <w:p>
      <w:pPr>
        <w:pStyle w:val="BodyText"/>
        <w:spacing w:before="19"/>
      </w:pPr>
    </w:p>
    <w:p>
      <w:pPr>
        <w:pStyle w:val="BodyText"/>
        <w:spacing w:line="259" w:lineRule="auto"/>
        <w:ind w:left="622" w:right="976"/>
        <w:jc w:val="both"/>
      </w:pPr>
      <w:r>
        <w:rPr/>
        <w:t>Los Pagos de los Flujos de Efectivo de las Actividades de Inversión, comparado al periodo anterior genera una variación absoluta de ¢217.076,26 que corresponde a un incremento del 93,38%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55264">
                <wp:simplePos x="0" y="0"/>
                <wp:positionH relativeFrom="page">
                  <wp:posOffset>1080820</wp:posOffset>
                </wp:positionH>
                <wp:positionV relativeFrom="paragraph">
                  <wp:posOffset>233124</wp:posOffset>
                </wp:positionV>
                <wp:extent cx="5715000" cy="4045585"/>
                <wp:effectExtent l="0" t="0" r="0" b="0"/>
                <wp:wrapTopAndBottom/>
                <wp:docPr id="837" name="Textbox 837"/>
                <wp:cNvGraphicFramePr>
                  <a:graphicFrameLocks/>
                </wp:cNvGraphicFramePr>
                <a:graphic>
                  <a:graphicData uri="http://schemas.microsoft.com/office/word/2010/wordprocessingShape">
                    <wps:wsp>
                      <wps:cNvPr id="837" name="Textbox 837"/>
                      <wps:cNvSpPr txBox="1"/>
                      <wps:spPr>
                        <a:xfrm>
                          <a:off x="0" y="0"/>
                          <a:ext cx="5715000" cy="4045585"/>
                        </a:xfrm>
                        <a:prstGeom prst="rect">
                          <a:avLst/>
                        </a:prstGeom>
                        <a:ln w="6095">
                          <a:solidFill>
                            <a:srgbClr val="000000"/>
                          </a:solidFill>
                          <a:prstDash val="solid"/>
                        </a:ln>
                      </wps:spPr>
                      <wps:txbx>
                        <w:txbxContent>
                          <w:p>
                            <w:pPr>
                              <w:pStyle w:val="BodyText"/>
                              <w:ind w:left="64"/>
                              <w:jc w:val="both"/>
                            </w:pPr>
                            <w:r>
                              <w:rPr/>
                              <w:t>Revelar</w:t>
                            </w:r>
                            <w:r>
                              <w:rPr>
                                <w:spacing w:val="-5"/>
                              </w:rPr>
                              <w:t> </w:t>
                            </w:r>
                            <w:r>
                              <w:rPr/>
                              <w:t>ampliamente</w:t>
                            </w:r>
                            <w:r>
                              <w:rPr>
                                <w:spacing w:val="-5"/>
                              </w:rPr>
                              <w:t> </w:t>
                            </w:r>
                            <w:r>
                              <w:rPr/>
                              <w:t>las</w:t>
                            </w:r>
                            <w:r>
                              <w:rPr>
                                <w:spacing w:val="-4"/>
                              </w:rPr>
                              <w:t> </w:t>
                            </w:r>
                            <w:r>
                              <w:rPr/>
                              <w:t>partidas</w:t>
                            </w:r>
                            <w:r>
                              <w:rPr>
                                <w:spacing w:val="-4"/>
                              </w:rPr>
                              <w:t> </w:t>
                            </w:r>
                            <w:r>
                              <w:rPr/>
                              <w:t>más</w:t>
                            </w:r>
                            <w:r>
                              <w:rPr>
                                <w:spacing w:val="-7"/>
                              </w:rPr>
                              <w:t> </w:t>
                            </w:r>
                            <w:r>
                              <w:rPr/>
                              <w:t>materiales</w:t>
                            </w:r>
                            <w:r>
                              <w:rPr>
                                <w:spacing w:val="-4"/>
                              </w:rPr>
                              <w:t> </w:t>
                            </w:r>
                            <w:r>
                              <w:rPr/>
                              <w:t>de</w:t>
                            </w:r>
                            <w:r>
                              <w:rPr>
                                <w:spacing w:val="-6"/>
                              </w:rPr>
                              <w:t> </w:t>
                            </w:r>
                            <w:r>
                              <w:rPr>
                                <w:spacing w:val="-2"/>
                              </w:rPr>
                              <w:t>pagos:</w:t>
                            </w:r>
                          </w:p>
                          <w:p>
                            <w:pPr>
                              <w:pStyle w:val="BodyText"/>
                              <w:spacing w:line="276" w:lineRule="auto" w:before="181"/>
                              <w:ind w:left="64" w:right="64"/>
                              <w:jc w:val="both"/>
                            </w:pPr>
                            <w:r>
                              <w:rPr/>
                              <w:t>Los pagos por actividades de inversión responden a los flujos de efectivo negativos, como es la adquisición, mejora, mantenimiento de activos propiedad, planta y equipo.</w:t>
                            </w:r>
                          </w:p>
                          <w:p>
                            <w:pPr>
                              <w:pStyle w:val="BodyText"/>
                              <w:spacing w:line="276" w:lineRule="auto" w:before="119"/>
                              <w:ind w:left="64" w:right="65"/>
                              <w:jc w:val="both"/>
                            </w:pPr>
                            <w:r>
                              <w:rPr/>
                              <w:t>Estos pagos son necesarios para el crecimiento y la sostenibilidad a largo plazo de la entidad, ya que representan las inversiones realizadas para asegurar que la infraestructura, los recursos y los activos estén disponibles para llevar a cabo los planes estratégicos y las operaciones a futuro, por tanto, estas gestiones no pueden ser consideras operativas ni corrientes.</w:t>
                            </w:r>
                          </w:p>
                          <w:p>
                            <w:pPr>
                              <w:pStyle w:val="BodyText"/>
                              <w:spacing w:line="276" w:lineRule="auto" w:before="121"/>
                              <w:ind w:left="64" w:right="62"/>
                              <w:jc w:val="both"/>
                            </w:pPr>
                            <w:r>
                              <w:rPr/>
                              <w:t>En si</w:t>
                            </w:r>
                            <w:r>
                              <w:rPr>
                                <w:spacing w:val="-1"/>
                              </w:rPr>
                              <w:t> </w:t>
                            </w:r>
                            <w:r>
                              <w:rPr/>
                              <w:t>las actividades de</w:t>
                            </w:r>
                            <w:r>
                              <w:rPr>
                                <w:spacing w:val="-2"/>
                              </w:rPr>
                              <w:t> </w:t>
                            </w:r>
                            <w:r>
                              <w:rPr/>
                              <w:t>inversión</w:t>
                            </w:r>
                            <w:r>
                              <w:rPr>
                                <w:spacing w:val="-2"/>
                              </w:rPr>
                              <w:t> </w:t>
                            </w:r>
                            <w:r>
                              <w:rPr/>
                              <w:t>son fundamentales para</w:t>
                            </w:r>
                            <w:r>
                              <w:rPr>
                                <w:spacing w:val="-1"/>
                              </w:rPr>
                              <w:t> </w:t>
                            </w:r>
                            <w:r>
                              <w:rPr/>
                              <w:t>la</w:t>
                            </w:r>
                            <w:r>
                              <w:rPr>
                                <w:spacing w:val="-1"/>
                              </w:rPr>
                              <w:t> </w:t>
                            </w:r>
                            <w:r>
                              <w:rPr/>
                              <w:t>expansión y</w:t>
                            </w:r>
                            <w:r>
                              <w:rPr>
                                <w:spacing w:val="-3"/>
                              </w:rPr>
                              <w:t> </w:t>
                            </w:r>
                            <w:r>
                              <w:rPr/>
                              <w:t>modernización de</w:t>
                            </w:r>
                            <w:r>
                              <w:rPr>
                                <w:spacing w:val="-2"/>
                              </w:rPr>
                              <w:t> </w:t>
                            </w:r>
                            <w:r>
                              <w:rPr/>
                              <w:t>la</w:t>
                            </w:r>
                            <w:r>
                              <w:rPr>
                                <w:spacing w:val="-1"/>
                              </w:rPr>
                              <w:t> </w:t>
                            </w:r>
                            <w:r>
                              <w:rPr/>
                              <w:t>entidad, al proporcionar los recursos necesarios para el desarrollo de su infraestructura. Los desembolsos realizados en esta categoría no se consideran gastos inmediatos, sino inversiones que contribuirán de manera significativa a la generación de beneficios o la mejora de la eficiencia en el futuro.</w:t>
                            </w:r>
                          </w:p>
                          <w:p>
                            <w:pPr>
                              <w:pStyle w:val="BodyText"/>
                              <w:spacing w:before="120"/>
                              <w:ind w:left="64"/>
                              <w:jc w:val="both"/>
                            </w:pPr>
                            <w:r>
                              <w:rPr/>
                              <w:t>Entre</w:t>
                            </w:r>
                            <w:r>
                              <w:rPr>
                                <w:spacing w:val="-7"/>
                              </w:rPr>
                              <w:t> </w:t>
                            </w:r>
                            <w:r>
                              <w:rPr/>
                              <w:t>los</w:t>
                            </w:r>
                            <w:r>
                              <w:rPr>
                                <w:spacing w:val="-3"/>
                              </w:rPr>
                              <w:t> </w:t>
                            </w:r>
                            <w:r>
                              <w:rPr/>
                              <w:t>principales</w:t>
                            </w:r>
                            <w:r>
                              <w:rPr>
                                <w:spacing w:val="-6"/>
                              </w:rPr>
                              <w:t> </w:t>
                            </w:r>
                            <w:r>
                              <w:rPr/>
                              <w:t>movimientos</w:t>
                            </w:r>
                            <w:r>
                              <w:rPr>
                                <w:spacing w:val="-3"/>
                              </w:rPr>
                              <w:t> </w:t>
                            </w:r>
                            <w:r>
                              <w:rPr/>
                              <w:t>de</w:t>
                            </w:r>
                            <w:r>
                              <w:rPr>
                                <w:spacing w:val="-7"/>
                              </w:rPr>
                              <w:t> </w:t>
                            </w:r>
                            <w:r>
                              <w:rPr/>
                              <w:t>pagos</w:t>
                            </w:r>
                            <w:r>
                              <w:rPr>
                                <w:spacing w:val="-3"/>
                              </w:rPr>
                              <w:t> </w:t>
                            </w:r>
                            <w:r>
                              <w:rPr/>
                              <w:t>por</w:t>
                            </w:r>
                            <w:r>
                              <w:rPr>
                                <w:spacing w:val="-4"/>
                              </w:rPr>
                              <w:t> </w:t>
                            </w:r>
                            <w:r>
                              <w:rPr/>
                              <w:t>actividades</w:t>
                            </w:r>
                            <w:r>
                              <w:rPr>
                                <w:spacing w:val="-3"/>
                              </w:rPr>
                              <w:t> </w:t>
                            </w:r>
                            <w:r>
                              <w:rPr/>
                              <w:t>de</w:t>
                            </w:r>
                            <w:r>
                              <w:rPr>
                                <w:spacing w:val="-7"/>
                              </w:rPr>
                              <w:t> </w:t>
                            </w:r>
                            <w:r>
                              <w:rPr/>
                              <w:t>inversión</w:t>
                            </w:r>
                            <w:r>
                              <w:rPr>
                                <w:spacing w:val="-4"/>
                              </w:rPr>
                              <w:t> </w:t>
                            </w:r>
                            <w:r>
                              <w:rPr/>
                              <w:t>del</w:t>
                            </w:r>
                            <w:r>
                              <w:rPr>
                                <w:spacing w:val="-4"/>
                              </w:rPr>
                              <w:t> </w:t>
                            </w:r>
                            <w:r>
                              <w:rPr/>
                              <w:t>periodo</w:t>
                            </w:r>
                            <w:r>
                              <w:rPr>
                                <w:spacing w:val="-4"/>
                              </w:rPr>
                              <w:t> </w:t>
                            </w:r>
                            <w:r>
                              <w:rPr/>
                              <w:t>se</w:t>
                            </w:r>
                            <w:r>
                              <w:rPr>
                                <w:spacing w:val="-5"/>
                              </w:rPr>
                              <w:t> </w:t>
                            </w:r>
                            <w:r>
                              <w:rPr>
                                <w:spacing w:val="-2"/>
                              </w:rPr>
                              <w:t>incluyen:</w:t>
                            </w:r>
                          </w:p>
                          <w:p>
                            <w:pPr>
                              <w:pStyle w:val="BodyText"/>
                              <w:numPr>
                                <w:ilvl w:val="0"/>
                                <w:numId w:val="71"/>
                              </w:numPr>
                              <w:tabs>
                                <w:tab w:pos="784" w:val="left" w:leader="none"/>
                              </w:tabs>
                              <w:spacing w:line="276" w:lineRule="auto" w:before="156" w:after="0"/>
                              <w:ind w:left="784" w:right="63" w:hanging="360"/>
                              <w:jc w:val="both"/>
                            </w:pPr>
                            <w:r>
                              <w:rPr/>
                              <w:t>Adquisición</w:t>
                            </w:r>
                            <w:r>
                              <w:rPr>
                                <w:spacing w:val="-5"/>
                              </w:rPr>
                              <w:t> </w:t>
                            </w:r>
                            <w:r>
                              <w:rPr/>
                              <w:t>de</w:t>
                            </w:r>
                            <w:r>
                              <w:rPr>
                                <w:spacing w:val="-5"/>
                              </w:rPr>
                              <w:t> </w:t>
                            </w:r>
                            <w:r>
                              <w:rPr/>
                              <w:t>bienes</w:t>
                            </w:r>
                            <w:r>
                              <w:rPr>
                                <w:spacing w:val="-5"/>
                              </w:rPr>
                              <w:t> </w:t>
                            </w:r>
                            <w:r>
                              <w:rPr/>
                              <w:t>de</w:t>
                            </w:r>
                            <w:r>
                              <w:rPr>
                                <w:spacing w:val="-5"/>
                              </w:rPr>
                              <w:t> </w:t>
                            </w:r>
                            <w:r>
                              <w:rPr/>
                              <w:t>propiedad,</w:t>
                            </w:r>
                            <w:r>
                              <w:rPr>
                                <w:spacing w:val="-6"/>
                              </w:rPr>
                              <w:t> </w:t>
                            </w:r>
                            <w:r>
                              <w:rPr/>
                              <w:t>planta</w:t>
                            </w:r>
                            <w:r>
                              <w:rPr>
                                <w:spacing w:val="-6"/>
                              </w:rPr>
                              <w:t> </w:t>
                            </w:r>
                            <w:r>
                              <w:rPr/>
                              <w:t>y</w:t>
                            </w:r>
                            <w:r>
                              <w:rPr>
                                <w:spacing w:val="-8"/>
                              </w:rPr>
                              <w:t> </w:t>
                            </w:r>
                            <w:r>
                              <w:rPr/>
                              <w:t>equipo:</w:t>
                            </w:r>
                            <w:r>
                              <w:rPr>
                                <w:spacing w:val="-7"/>
                              </w:rPr>
                              <w:t> </w:t>
                            </w:r>
                            <w:r>
                              <w:rPr/>
                              <w:t>Consiste</w:t>
                            </w:r>
                            <w:r>
                              <w:rPr>
                                <w:spacing w:val="-7"/>
                              </w:rPr>
                              <w:t> </w:t>
                            </w:r>
                            <w:r>
                              <w:rPr/>
                              <w:t>en</w:t>
                            </w:r>
                            <w:r>
                              <w:rPr>
                                <w:spacing w:val="-5"/>
                              </w:rPr>
                              <w:t> </w:t>
                            </w:r>
                            <w:r>
                              <w:rPr/>
                              <w:t>la</w:t>
                            </w:r>
                            <w:r>
                              <w:rPr>
                                <w:spacing w:val="-7"/>
                              </w:rPr>
                              <w:t> </w:t>
                            </w:r>
                            <w:r>
                              <w:rPr/>
                              <w:t>compra</w:t>
                            </w:r>
                            <w:r>
                              <w:rPr>
                                <w:spacing w:val="-7"/>
                              </w:rPr>
                              <w:t> </w:t>
                            </w:r>
                            <w:r>
                              <w:rPr/>
                              <w:t>de</w:t>
                            </w:r>
                            <w:r>
                              <w:rPr>
                                <w:spacing w:val="-5"/>
                              </w:rPr>
                              <w:t> </w:t>
                            </w:r>
                            <w:r>
                              <w:rPr/>
                              <w:t>activos</w:t>
                            </w:r>
                            <w:r>
                              <w:rPr>
                                <w:spacing w:val="-7"/>
                              </w:rPr>
                              <w:t> </w:t>
                            </w:r>
                            <w:r>
                              <w:rPr/>
                              <w:t>físicos, tales</w:t>
                            </w:r>
                            <w:r>
                              <w:rPr>
                                <w:spacing w:val="-8"/>
                              </w:rPr>
                              <w:t> </w:t>
                            </w:r>
                            <w:r>
                              <w:rPr/>
                              <w:t>como</w:t>
                            </w:r>
                            <w:r>
                              <w:rPr>
                                <w:spacing w:val="-11"/>
                              </w:rPr>
                              <w:t> </w:t>
                            </w:r>
                            <w:r>
                              <w:rPr/>
                              <w:t>equipos</w:t>
                            </w:r>
                            <w:r>
                              <w:rPr>
                                <w:spacing w:val="-8"/>
                              </w:rPr>
                              <w:t> </w:t>
                            </w:r>
                            <w:r>
                              <w:rPr/>
                              <w:t>informáticos</w:t>
                            </w:r>
                            <w:r>
                              <w:rPr>
                                <w:spacing w:val="-8"/>
                              </w:rPr>
                              <w:t> </w:t>
                            </w:r>
                            <w:r>
                              <w:rPr/>
                              <w:t>(computadoras,</w:t>
                            </w:r>
                            <w:r>
                              <w:rPr>
                                <w:spacing w:val="-11"/>
                              </w:rPr>
                              <w:t> </w:t>
                            </w:r>
                            <w:r>
                              <w:rPr/>
                              <w:t>monitores,</w:t>
                            </w:r>
                            <w:r>
                              <w:rPr>
                                <w:spacing w:val="-9"/>
                              </w:rPr>
                              <w:t> </w:t>
                            </w:r>
                            <w:r>
                              <w:rPr/>
                              <w:t>servidores,</w:t>
                            </w:r>
                            <w:r>
                              <w:rPr>
                                <w:spacing w:val="-9"/>
                              </w:rPr>
                              <w:t> </w:t>
                            </w:r>
                            <w:r>
                              <w:rPr/>
                              <w:t>y</w:t>
                            </w:r>
                            <w:r>
                              <w:rPr>
                                <w:spacing w:val="-10"/>
                              </w:rPr>
                              <w:t> </w:t>
                            </w:r>
                            <w:r>
                              <w:rPr/>
                              <w:t>accesorios</w:t>
                            </w:r>
                            <w:r>
                              <w:rPr>
                                <w:spacing w:val="-11"/>
                              </w:rPr>
                              <w:t> </w:t>
                            </w:r>
                            <w:r>
                              <w:rPr/>
                              <w:t>relaciona-dos), mobiliario de oficina, y otros elementos tangibles que son necesarios e indispensables para el funcionamiento.</w:t>
                            </w:r>
                          </w:p>
                          <w:p>
                            <w:pPr>
                              <w:pStyle w:val="BodyText"/>
                              <w:spacing w:line="259" w:lineRule="auto" w:before="120"/>
                              <w:ind w:left="64" w:right="61"/>
                              <w:jc w:val="both"/>
                            </w:pPr>
                            <w:r>
                              <w:rPr/>
                              <w:t>Tras el análisis de los movimientos correspondientes al período actual, los pagos relacionados con actividades de inversión han generado una salida neta de flujos de efectivo 93,38%, como se muestra en el siguiente cuadro:</w:t>
                            </w:r>
                          </w:p>
                        </w:txbxContent>
                      </wps:txbx>
                      <wps:bodyPr wrap="square" lIns="0" tIns="0" rIns="0" bIns="0" rtlCol="0">
                        <a:noAutofit/>
                      </wps:bodyPr>
                    </wps:wsp>
                  </a:graphicData>
                </a:graphic>
              </wp:anchor>
            </w:drawing>
          </mc:Choice>
          <mc:Fallback>
            <w:pict>
              <v:shape style="position:absolute;margin-left:85.103996pt;margin-top:18.356251pt;width:450pt;height:318.55pt;mso-position-horizontal-relative:page;mso-position-vertical-relative:paragraph;z-index:-15561216;mso-wrap-distance-left:0;mso-wrap-distance-right:0" type="#_x0000_t202" id="docshape812" filled="false" stroked="true" strokeweight=".47998pt" strokecolor="#000000">
                <v:textbox inset="0,0,0,0">
                  <w:txbxContent>
                    <w:p>
                      <w:pPr>
                        <w:pStyle w:val="BodyText"/>
                        <w:ind w:left="64"/>
                        <w:jc w:val="both"/>
                      </w:pPr>
                      <w:r>
                        <w:rPr/>
                        <w:t>Revelar</w:t>
                      </w:r>
                      <w:r>
                        <w:rPr>
                          <w:spacing w:val="-5"/>
                        </w:rPr>
                        <w:t> </w:t>
                      </w:r>
                      <w:r>
                        <w:rPr/>
                        <w:t>ampliamente</w:t>
                      </w:r>
                      <w:r>
                        <w:rPr>
                          <w:spacing w:val="-5"/>
                        </w:rPr>
                        <w:t> </w:t>
                      </w:r>
                      <w:r>
                        <w:rPr/>
                        <w:t>las</w:t>
                      </w:r>
                      <w:r>
                        <w:rPr>
                          <w:spacing w:val="-4"/>
                        </w:rPr>
                        <w:t> </w:t>
                      </w:r>
                      <w:r>
                        <w:rPr/>
                        <w:t>partidas</w:t>
                      </w:r>
                      <w:r>
                        <w:rPr>
                          <w:spacing w:val="-4"/>
                        </w:rPr>
                        <w:t> </w:t>
                      </w:r>
                      <w:r>
                        <w:rPr/>
                        <w:t>más</w:t>
                      </w:r>
                      <w:r>
                        <w:rPr>
                          <w:spacing w:val="-7"/>
                        </w:rPr>
                        <w:t> </w:t>
                      </w:r>
                      <w:r>
                        <w:rPr/>
                        <w:t>materiales</w:t>
                      </w:r>
                      <w:r>
                        <w:rPr>
                          <w:spacing w:val="-4"/>
                        </w:rPr>
                        <w:t> </w:t>
                      </w:r>
                      <w:r>
                        <w:rPr/>
                        <w:t>de</w:t>
                      </w:r>
                      <w:r>
                        <w:rPr>
                          <w:spacing w:val="-6"/>
                        </w:rPr>
                        <w:t> </w:t>
                      </w:r>
                      <w:r>
                        <w:rPr>
                          <w:spacing w:val="-2"/>
                        </w:rPr>
                        <w:t>pagos:</w:t>
                      </w:r>
                    </w:p>
                    <w:p>
                      <w:pPr>
                        <w:pStyle w:val="BodyText"/>
                        <w:spacing w:line="276" w:lineRule="auto" w:before="181"/>
                        <w:ind w:left="64" w:right="64"/>
                        <w:jc w:val="both"/>
                      </w:pPr>
                      <w:r>
                        <w:rPr/>
                        <w:t>Los pagos por actividades de inversión responden a los flujos de efectivo negativos, como es la adquisición, mejora, mantenimiento de activos propiedad, planta y equipo.</w:t>
                      </w:r>
                    </w:p>
                    <w:p>
                      <w:pPr>
                        <w:pStyle w:val="BodyText"/>
                        <w:spacing w:line="276" w:lineRule="auto" w:before="119"/>
                        <w:ind w:left="64" w:right="65"/>
                        <w:jc w:val="both"/>
                      </w:pPr>
                      <w:r>
                        <w:rPr/>
                        <w:t>Estos pagos son necesarios para el crecimiento y la sostenibilidad a largo plazo de la entidad, ya que representan las inversiones realizadas para asegurar que la infraestructura, los recursos y los activos estén disponibles para llevar a cabo los planes estratégicos y las operaciones a futuro, por tanto, estas gestiones no pueden ser consideras operativas ni corrientes.</w:t>
                      </w:r>
                    </w:p>
                    <w:p>
                      <w:pPr>
                        <w:pStyle w:val="BodyText"/>
                        <w:spacing w:line="276" w:lineRule="auto" w:before="121"/>
                        <w:ind w:left="64" w:right="62"/>
                        <w:jc w:val="both"/>
                      </w:pPr>
                      <w:r>
                        <w:rPr/>
                        <w:t>En si</w:t>
                      </w:r>
                      <w:r>
                        <w:rPr>
                          <w:spacing w:val="-1"/>
                        </w:rPr>
                        <w:t> </w:t>
                      </w:r>
                      <w:r>
                        <w:rPr/>
                        <w:t>las actividades de</w:t>
                      </w:r>
                      <w:r>
                        <w:rPr>
                          <w:spacing w:val="-2"/>
                        </w:rPr>
                        <w:t> </w:t>
                      </w:r>
                      <w:r>
                        <w:rPr/>
                        <w:t>inversión</w:t>
                      </w:r>
                      <w:r>
                        <w:rPr>
                          <w:spacing w:val="-2"/>
                        </w:rPr>
                        <w:t> </w:t>
                      </w:r>
                      <w:r>
                        <w:rPr/>
                        <w:t>son fundamentales para</w:t>
                      </w:r>
                      <w:r>
                        <w:rPr>
                          <w:spacing w:val="-1"/>
                        </w:rPr>
                        <w:t> </w:t>
                      </w:r>
                      <w:r>
                        <w:rPr/>
                        <w:t>la</w:t>
                      </w:r>
                      <w:r>
                        <w:rPr>
                          <w:spacing w:val="-1"/>
                        </w:rPr>
                        <w:t> </w:t>
                      </w:r>
                      <w:r>
                        <w:rPr/>
                        <w:t>expansión y</w:t>
                      </w:r>
                      <w:r>
                        <w:rPr>
                          <w:spacing w:val="-3"/>
                        </w:rPr>
                        <w:t> </w:t>
                      </w:r>
                      <w:r>
                        <w:rPr/>
                        <w:t>modernización de</w:t>
                      </w:r>
                      <w:r>
                        <w:rPr>
                          <w:spacing w:val="-2"/>
                        </w:rPr>
                        <w:t> </w:t>
                      </w:r>
                      <w:r>
                        <w:rPr/>
                        <w:t>la</w:t>
                      </w:r>
                      <w:r>
                        <w:rPr>
                          <w:spacing w:val="-1"/>
                        </w:rPr>
                        <w:t> </w:t>
                      </w:r>
                      <w:r>
                        <w:rPr/>
                        <w:t>entidad, al proporcionar los recursos necesarios para el desarrollo de su infraestructura. Los desembolsos realizados en esta categoría no se consideran gastos inmediatos, sino inversiones que contribuirán de manera significativa a la generación de beneficios o la mejora de la eficiencia en el futuro.</w:t>
                      </w:r>
                    </w:p>
                    <w:p>
                      <w:pPr>
                        <w:pStyle w:val="BodyText"/>
                        <w:spacing w:before="120"/>
                        <w:ind w:left="64"/>
                        <w:jc w:val="both"/>
                      </w:pPr>
                      <w:r>
                        <w:rPr/>
                        <w:t>Entre</w:t>
                      </w:r>
                      <w:r>
                        <w:rPr>
                          <w:spacing w:val="-7"/>
                        </w:rPr>
                        <w:t> </w:t>
                      </w:r>
                      <w:r>
                        <w:rPr/>
                        <w:t>los</w:t>
                      </w:r>
                      <w:r>
                        <w:rPr>
                          <w:spacing w:val="-3"/>
                        </w:rPr>
                        <w:t> </w:t>
                      </w:r>
                      <w:r>
                        <w:rPr/>
                        <w:t>principales</w:t>
                      </w:r>
                      <w:r>
                        <w:rPr>
                          <w:spacing w:val="-6"/>
                        </w:rPr>
                        <w:t> </w:t>
                      </w:r>
                      <w:r>
                        <w:rPr/>
                        <w:t>movimientos</w:t>
                      </w:r>
                      <w:r>
                        <w:rPr>
                          <w:spacing w:val="-3"/>
                        </w:rPr>
                        <w:t> </w:t>
                      </w:r>
                      <w:r>
                        <w:rPr/>
                        <w:t>de</w:t>
                      </w:r>
                      <w:r>
                        <w:rPr>
                          <w:spacing w:val="-7"/>
                        </w:rPr>
                        <w:t> </w:t>
                      </w:r>
                      <w:r>
                        <w:rPr/>
                        <w:t>pagos</w:t>
                      </w:r>
                      <w:r>
                        <w:rPr>
                          <w:spacing w:val="-3"/>
                        </w:rPr>
                        <w:t> </w:t>
                      </w:r>
                      <w:r>
                        <w:rPr/>
                        <w:t>por</w:t>
                      </w:r>
                      <w:r>
                        <w:rPr>
                          <w:spacing w:val="-4"/>
                        </w:rPr>
                        <w:t> </w:t>
                      </w:r>
                      <w:r>
                        <w:rPr/>
                        <w:t>actividades</w:t>
                      </w:r>
                      <w:r>
                        <w:rPr>
                          <w:spacing w:val="-3"/>
                        </w:rPr>
                        <w:t> </w:t>
                      </w:r>
                      <w:r>
                        <w:rPr/>
                        <w:t>de</w:t>
                      </w:r>
                      <w:r>
                        <w:rPr>
                          <w:spacing w:val="-7"/>
                        </w:rPr>
                        <w:t> </w:t>
                      </w:r>
                      <w:r>
                        <w:rPr/>
                        <w:t>inversión</w:t>
                      </w:r>
                      <w:r>
                        <w:rPr>
                          <w:spacing w:val="-4"/>
                        </w:rPr>
                        <w:t> </w:t>
                      </w:r>
                      <w:r>
                        <w:rPr/>
                        <w:t>del</w:t>
                      </w:r>
                      <w:r>
                        <w:rPr>
                          <w:spacing w:val="-4"/>
                        </w:rPr>
                        <w:t> </w:t>
                      </w:r>
                      <w:r>
                        <w:rPr/>
                        <w:t>periodo</w:t>
                      </w:r>
                      <w:r>
                        <w:rPr>
                          <w:spacing w:val="-4"/>
                        </w:rPr>
                        <w:t> </w:t>
                      </w:r>
                      <w:r>
                        <w:rPr/>
                        <w:t>se</w:t>
                      </w:r>
                      <w:r>
                        <w:rPr>
                          <w:spacing w:val="-5"/>
                        </w:rPr>
                        <w:t> </w:t>
                      </w:r>
                      <w:r>
                        <w:rPr>
                          <w:spacing w:val="-2"/>
                        </w:rPr>
                        <w:t>incluyen:</w:t>
                      </w:r>
                    </w:p>
                    <w:p>
                      <w:pPr>
                        <w:pStyle w:val="BodyText"/>
                        <w:numPr>
                          <w:ilvl w:val="0"/>
                          <w:numId w:val="71"/>
                        </w:numPr>
                        <w:tabs>
                          <w:tab w:pos="784" w:val="left" w:leader="none"/>
                        </w:tabs>
                        <w:spacing w:line="276" w:lineRule="auto" w:before="156" w:after="0"/>
                        <w:ind w:left="784" w:right="63" w:hanging="360"/>
                        <w:jc w:val="both"/>
                      </w:pPr>
                      <w:r>
                        <w:rPr/>
                        <w:t>Adquisición</w:t>
                      </w:r>
                      <w:r>
                        <w:rPr>
                          <w:spacing w:val="-5"/>
                        </w:rPr>
                        <w:t> </w:t>
                      </w:r>
                      <w:r>
                        <w:rPr/>
                        <w:t>de</w:t>
                      </w:r>
                      <w:r>
                        <w:rPr>
                          <w:spacing w:val="-5"/>
                        </w:rPr>
                        <w:t> </w:t>
                      </w:r>
                      <w:r>
                        <w:rPr/>
                        <w:t>bienes</w:t>
                      </w:r>
                      <w:r>
                        <w:rPr>
                          <w:spacing w:val="-5"/>
                        </w:rPr>
                        <w:t> </w:t>
                      </w:r>
                      <w:r>
                        <w:rPr/>
                        <w:t>de</w:t>
                      </w:r>
                      <w:r>
                        <w:rPr>
                          <w:spacing w:val="-5"/>
                        </w:rPr>
                        <w:t> </w:t>
                      </w:r>
                      <w:r>
                        <w:rPr/>
                        <w:t>propiedad,</w:t>
                      </w:r>
                      <w:r>
                        <w:rPr>
                          <w:spacing w:val="-6"/>
                        </w:rPr>
                        <w:t> </w:t>
                      </w:r>
                      <w:r>
                        <w:rPr/>
                        <w:t>planta</w:t>
                      </w:r>
                      <w:r>
                        <w:rPr>
                          <w:spacing w:val="-6"/>
                        </w:rPr>
                        <w:t> </w:t>
                      </w:r>
                      <w:r>
                        <w:rPr/>
                        <w:t>y</w:t>
                      </w:r>
                      <w:r>
                        <w:rPr>
                          <w:spacing w:val="-8"/>
                        </w:rPr>
                        <w:t> </w:t>
                      </w:r>
                      <w:r>
                        <w:rPr/>
                        <w:t>equipo:</w:t>
                      </w:r>
                      <w:r>
                        <w:rPr>
                          <w:spacing w:val="-7"/>
                        </w:rPr>
                        <w:t> </w:t>
                      </w:r>
                      <w:r>
                        <w:rPr/>
                        <w:t>Consiste</w:t>
                      </w:r>
                      <w:r>
                        <w:rPr>
                          <w:spacing w:val="-7"/>
                        </w:rPr>
                        <w:t> </w:t>
                      </w:r>
                      <w:r>
                        <w:rPr/>
                        <w:t>en</w:t>
                      </w:r>
                      <w:r>
                        <w:rPr>
                          <w:spacing w:val="-5"/>
                        </w:rPr>
                        <w:t> </w:t>
                      </w:r>
                      <w:r>
                        <w:rPr/>
                        <w:t>la</w:t>
                      </w:r>
                      <w:r>
                        <w:rPr>
                          <w:spacing w:val="-7"/>
                        </w:rPr>
                        <w:t> </w:t>
                      </w:r>
                      <w:r>
                        <w:rPr/>
                        <w:t>compra</w:t>
                      </w:r>
                      <w:r>
                        <w:rPr>
                          <w:spacing w:val="-7"/>
                        </w:rPr>
                        <w:t> </w:t>
                      </w:r>
                      <w:r>
                        <w:rPr/>
                        <w:t>de</w:t>
                      </w:r>
                      <w:r>
                        <w:rPr>
                          <w:spacing w:val="-5"/>
                        </w:rPr>
                        <w:t> </w:t>
                      </w:r>
                      <w:r>
                        <w:rPr/>
                        <w:t>activos</w:t>
                      </w:r>
                      <w:r>
                        <w:rPr>
                          <w:spacing w:val="-7"/>
                        </w:rPr>
                        <w:t> </w:t>
                      </w:r>
                      <w:r>
                        <w:rPr/>
                        <w:t>físicos, tales</w:t>
                      </w:r>
                      <w:r>
                        <w:rPr>
                          <w:spacing w:val="-8"/>
                        </w:rPr>
                        <w:t> </w:t>
                      </w:r>
                      <w:r>
                        <w:rPr/>
                        <w:t>como</w:t>
                      </w:r>
                      <w:r>
                        <w:rPr>
                          <w:spacing w:val="-11"/>
                        </w:rPr>
                        <w:t> </w:t>
                      </w:r>
                      <w:r>
                        <w:rPr/>
                        <w:t>equipos</w:t>
                      </w:r>
                      <w:r>
                        <w:rPr>
                          <w:spacing w:val="-8"/>
                        </w:rPr>
                        <w:t> </w:t>
                      </w:r>
                      <w:r>
                        <w:rPr/>
                        <w:t>informáticos</w:t>
                      </w:r>
                      <w:r>
                        <w:rPr>
                          <w:spacing w:val="-8"/>
                        </w:rPr>
                        <w:t> </w:t>
                      </w:r>
                      <w:r>
                        <w:rPr/>
                        <w:t>(computadoras,</w:t>
                      </w:r>
                      <w:r>
                        <w:rPr>
                          <w:spacing w:val="-11"/>
                        </w:rPr>
                        <w:t> </w:t>
                      </w:r>
                      <w:r>
                        <w:rPr/>
                        <w:t>monitores,</w:t>
                      </w:r>
                      <w:r>
                        <w:rPr>
                          <w:spacing w:val="-9"/>
                        </w:rPr>
                        <w:t> </w:t>
                      </w:r>
                      <w:r>
                        <w:rPr/>
                        <w:t>servidores,</w:t>
                      </w:r>
                      <w:r>
                        <w:rPr>
                          <w:spacing w:val="-9"/>
                        </w:rPr>
                        <w:t> </w:t>
                      </w:r>
                      <w:r>
                        <w:rPr/>
                        <w:t>y</w:t>
                      </w:r>
                      <w:r>
                        <w:rPr>
                          <w:spacing w:val="-10"/>
                        </w:rPr>
                        <w:t> </w:t>
                      </w:r>
                      <w:r>
                        <w:rPr/>
                        <w:t>accesorios</w:t>
                      </w:r>
                      <w:r>
                        <w:rPr>
                          <w:spacing w:val="-11"/>
                        </w:rPr>
                        <w:t> </w:t>
                      </w:r>
                      <w:r>
                        <w:rPr/>
                        <w:t>relaciona-dos), mobiliario de oficina, y otros elementos tangibles que son necesarios e indispensables para el funcionamiento.</w:t>
                      </w:r>
                    </w:p>
                    <w:p>
                      <w:pPr>
                        <w:pStyle w:val="BodyText"/>
                        <w:spacing w:line="259" w:lineRule="auto" w:before="120"/>
                        <w:ind w:left="64" w:right="61"/>
                        <w:jc w:val="both"/>
                      </w:pPr>
                      <w:r>
                        <w:rPr/>
                        <w:t>Tras el análisis de los movimientos correspondientes al período actual, los pagos relacionados con actividades de inversión han generado una salida neta de flujos de efectivo 93,38%, como se muestra en el siguiente cuadro: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3696">
                <wp:simplePos x="0" y="0"/>
                <wp:positionH relativeFrom="page">
                  <wp:posOffset>9525</wp:posOffset>
                </wp:positionH>
                <wp:positionV relativeFrom="page">
                  <wp:posOffset>297208</wp:posOffset>
                </wp:positionV>
                <wp:extent cx="7762875" cy="9748520"/>
                <wp:effectExtent l="0" t="0" r="0" b="0"/>
                <wp:wrapNone/>
                <wp:docPr id="838" name="Group 838"/>
                <wp:cNvGraphicFramePr>
                  <a:graphicFrameLocks/>
                </wp:cNvGraphicFramePr>
                <a:graphic>
                  <a:graphicData uri="http://schemas.microsoft.com/office/word/2010/wordprocessingGroup">
                    <wpg:wgp>
                      <wpg:cNvPr id="838" name="Group 838"/>
                      <wpg:cNvGrpSpPr/>
                      <wpg:grpSpPr>
                        <a:xfrm>
                          <a:off x="0" y="0"/>
                          <a:ext cx="7762875" cy="9748520"/>
                          <a:chExt cx="7762875" cy="9748520"/>
                        </a:xfrm>
                      </wpg:grpSpPr>
                      <pic:pic>
                        <pic:nvPicPr>
                          <pic:cNvPr id="839" name="Image 839"/>
                          <pic:cNvPicPr/>
                        </pic:nvPicPr>
                        <pic:blipFill>
                          <a:blip r:embed="rId5" cstate="print"/>
                          <a:stretch>
                            <a:fillRect/>
                          </a:stretch>
                        </pic:blipFill>
                        <pic:spPr>
                          <a:xfrm>
                            <a:off x="0" y="0"/>
                            <a:ext cx="7762874" cy="9748489"/>
                          </a:xfrm>
                          <a:prstGeom prst="rect">
                            <a:avLst/>
                          </a:prstGeom>
                        </pic:spPr>
                      </pic:pic>
                      <wps:wsp>
                        <wps:cNvPr id="840" name="Graphic 840"/>
                        <wps:cNvSpPr/>
                        <wps:spPr>
                          <a:xfrm>
                            <a:off x="1053007" y="990837"/>
                            <a:ext cx="5736590" cy="1446530"/>
                          </a:xfrm>
                          <a:custGeom>
                            <a:avLst/>
                            <a:gdLst/>
                            <a:ahLst/>
                            <a:cxnLst/>
                            <a:rect l="l" t="t" r="r" b="b"/>
                            <a:pathLst>
                              <a:path w="5736590" h="1446530">
                                <a:moveTo>
                                  <a:pt x="5649214" y="0"/>
                                </a:moveTo>
                                <a:lnTo>
                                  <a:pt x="0" y="0"/>
                                </a:lnTo>
                                <a:lnTo>
                                  <a:pt x="0" y="9131"/>
                                </a:lnTo>
                                <a:lnTo>
                                  <a:pt x="5649214" y="9131"/>
                                </a:lnTo>
                                <a:lnTo>
                                  <a:pt x="5649214" y="0"/>
                                </a:lnTo>
                                <a:close/>
                              </a:path>
                              <a:path w="5736590" h="1446530">
                                <a:moveTo>
                                  <a:pt x="5736018" y="126479"/>
                                </a:moveTo>
                                <a:lnTo>
                                  <a:pt x="5729986" y="126479"/>
                                </a:lnTo>
                                <a:lnTo>
                                  <a:pt x="5729935" y="132575"/>
                                </a:lnTo>
                                <a:lnTo>
                                  <a:pt x="5729935" y="1440167"/>
                                </a:lnTo>
                                <a:lnTo>
                                  <a:pt x="21336" y="1440167"/>
                                </a:lnTo>
                                <a:lnTo>
                                  <a:pt x="21336" y="132575"/>
                                </a:lnTo>
                                <a:lnTo>
                                  <a:pt x="5729935" y="132575"/>
                                </a:lnTo>
                                <a:lnTo>
                                  <a:pt x="5729935" y="126479"/>
                                </a:lnTo>
                                <a:lnTo>
                                  <a:pt x="21336" y="126479"/>
                                </a:lnTo>
                                <a:lnTo>
                                  <a:pt x="15240" y="126479"/>
                                </a:lnTo>
                                <a:lnTo>
                                  <a:pt x="15240" y="132575"/>
                                </a:lnTo>
                                <a:lnTo>
                                  <a:pt x="15240" y="1440167"/>
                                </a:lnTo>
                                <a:lnTo>
                                  <a:pt x="15240" y="1446263"/>
                                </a:lnTo>
                                <a:lnTo>
                                  <a:pt x="21336" y="1446263"/>
                                </a:lnTo>
                                <a:lnTo>
                                  <a:pt x="5729935" y="1446263"/>
                                </a:lnTo>
                                <a:lnTo>
                                  <a:pt x="5736018" y="1446263"/>
                                </a:lnTo>
                                <a:lnTo>
                                  <a:pt x="5736018" y="1440167"/>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841" name="Image 841"/>
                          <pic:cNvPicPr/>
                        </pic:nvPicPr>
                        <pic:blipFill>
                          <a:blip r:embed="rId104" cstate="print"/>
                          <a:stretch>
                            <a:fillRect/>
                          </a:stretch>
                        </pic:blipFill>
                        <pic:spPr>
                          <a:xfrm>
                            <a:off x="1508124" y="1123794"/>
                            <a:ext cx="4832604" cy="92837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22784" id="docshapegroup813" coordorigin="15,468" coordsize="12225,15352">
                <v:shape style="position:absolute;left:15;top:468;width:12225;height:15352" type="#_x0000_t75" id="docshape814" stroked="false">
                  <v:imagedata r:id="rId5" o:title=""/>
                </v:shape>
                <v:shape style="position:absolute;left:1673;top:2028;width:9034;height:2278" id="docshape815" coordorigin="1673,2028" coordsize="9034,2278" path="m10570,2028l1673,2028,1673,2043,10570,2043,10570,2028xm10706,2228l10697,2228,10697,2228,10697,2237,10697,4296,1707,4296,1707,2237,10697,2237,10697,2228,1707,2228,1697,2228,1697,2237,1697,4296,1697,4306,1707,4306,10697,4306,10697,4306,10706,4306,10706,4296,10706,2237,10706,2228xe" filled="true" fillcolor="#000000" stroked="false">
                  <v:path arrowok="t"/>
                  <v:fill type="solid"/>
                </v:shape>
                <v:shape style="position:absolute;left:2390;top:2237;width:7611;height:1462" type="#_x0000_t75" id="docshape816" stroked="false">
                  <v:imagedata r:id="rId104" o:title=""/>
                </v:shape>
                <w10:wrap type="none"/>
              </v:group>
            </w:pict>
          </mc:Fallback>
        </mc:AlternateContent>
      </w:r>
      <w:r>
        <w:rPr>
          <w:color w:val="172951"/>
          <w:sz w:val="20"/>
        </w:rPr>
        <w:t>Pág.</w:t>
      </w:r>
      <w:r>
        <w:rPr>
          <w:color w:val="172951"/>
          <w:spacing w:val="-7"/>
          <w:sz w:val="20"/>
        </w:rPr>
        <w:t> </w:t>
      </w:r>
      <w:r>
        <w:rPr>
          <w:color w:val="172951"/>
          <w:spacing w:val="-5"/>
          <w:sz w:val="20"/>
        </w:rPr>
        <w:t>168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9"/>
      </w:pPr>
    </w:p>
    <w:p>
      <w:pPr>
        <w:spacing w:line="590" w:lineRule="auto" w:before="0"/>
        <w:ind w:left="622" w:right="2824" w:firstLine="0"/>
        <w:jc w:val="left"/>
        <w:rPr>
          <w:b/>
          <w:sz w:val="22"/>
        </w:rPr>
      </w:pPr>
      <w:bookmarkStart w:name="_bookmark138" w:id="139"/>
      <w:bookmarkEnd w:id="139"/>
      <w:r>
        <w:rPr/>
      </w:r>
      <w:r>
        <w:rPr>
          <w:b/>
          <w:color w:val="1F3863"/>
          <w:sz w:val="22"/>
        </w:rPr>
        <w:t>FLUJOS</w:t>
      </w:r>
      <w:r>
        <w:rPr>
          <w:b/>
          <w:color w:val="1F3863"/>
          <w:spacing w:val="-6"/>
          <w:sz w:val="22"/>
        </w:rPr>
        <w:t> </w:t>
      </w:r>
      <w:r>
        <w:rPr>
          <w:b/>
          <w:color w:val="1F3863"/>
          <w:sz w:val="22"/>
        </w:rPr>
        <w:t>DE</w:t>
      </w:r>
      <w:r>
        <w:rPr>
          <w:b/>
          <w:color w:val="1F3863"/>
          <w:spacing w:val="-5"/>
          <w:sz w:val="22"/>
        </w:rPr>
        <w:t> </w:t>
      </w:r>
      <w:r>
        <w:rPr>
          <w:b/>
          <w:color w:val="1F3863"/>
          <w:sz w:val="22"/>
        </w:rPr>
        <w:t>EFECTIVO</w:t>
      </w:r>
      <w:r>
        <w:rPr>
          <w:b/>
          <w:color w:val="1F3863"/>
          <w:spacing w:val="-6"/>
          <w:sz w:val="22"/>
        </w:rPr>
        <w:t> </w:t>
      </w:r>
      <w:r>
        <w:rPr>
          <w:b/>
          <w:color w:val="1F3863"/>
          <w:sz w:val="22"/>
        </w:rPr>
        <w:t>DE</w:t>
      </w:r>
      <w:r>
        <w:rPr>
          <w:b/>
          <w:color w:val="1F3863"/>
          <w:spacing w:val="-5"/>
          <w:sz w:val="22"/>
        </w:rPr>
        <w:t> </w:t>
      </w:r>
      <w:r>
        <w:rPr>
          <w:b/>
          <w:color w:val="1F3863"/>
          <w:sz w:val="22"/>
        </w:rPr>
        <w:t>LAS</w:t>
      </w:r>
      <w:r>
        <w:rPr>
          <w:b/>
          <w:color w:val="1F3863"/>
          <w:spacing w:val="-3"/>
          <w:sz w:val="22"/>
        </w:rPr>
        <w:t> </w:t>
      </w:r>
      <w:r>
        <w:rPr>
          <w:b/>
          <w:color w:val="1F3863"/>
          <w:sz w:val="22"/>
        </w:rPr>
        <w:t>ACTIVIDADES</w:t>
      </w:r>
      <w:r>
        <w:rPr>
          <w:b/>
          <w:color w:val="1F3863"/>
          <w:spacing w:val="-6"/>
          <w:sz w:val="22"/>
        </w:rPr>
        <w:t> </w:t>
      </w:r>
      <w:r>
        <w:rPr>
          <w:b/>
          <w:color w:val="1F3863"/>
          <w:sz w:val="22"/>
        </w:rPr>
        <w:t>DE</w:t>
      </w:r>
      <w:r>
        <w:rPr>
          <w:b/>
          <w:color w:val="1F3863"/>
          <w:spacing w:val="-5"/>
          <w:sz w:val="22"/>
        </w:rPr>
        <w:t> </w:t>
      </w:r>
      <w:r>
        <w:rPr>
          <w:b/>
          <w:color w:val="1F3863"/>
          <w:sz w:val="22"/>
        </w:rPr>
        <w:t>FINANCIACIÓN </w:t>
      </w:r>
      <w:bookmarkStart w:name="_bookmark139" w:id="140"/>
      <w:bookmarkEnd w:id="140"/>
      <w:r>
        <w:rPr>
          <w:b/>
          <w:color w:val="1F3863"/>
          <w:sz w:val="22"/>
        </w:rPr>
      </w:r>
      <w:r>
        <w:rPr>
          <w:b/>
          <w:sz w:val="22"/>
        </w:rPr>
        <w:t>NOTA N° 81</w:t>
      </w:r>
    </w:p>
    <w:p>
      <w:pPr>
        <w:pStyle w:val="BodyText"/>
        <w:spacing w:line="248" w:lineRule="exact"/>
        <w:ind w:left="622"/>
      </w:pPr>
      <w:r>
        <w:rPr>
          <w:spacing w:val="-2"/>
        </w:rPr>
        <w:t>Cobros</w:t>
      </w:r>
    </w:p>
    <w:p>
      <w:pPr>
        <w:pStyle w:val="BodyText"/>
        <w:spacing w:before="10"/>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39"/>
        <w:gridCol w:w="643"/>
        <w:gridCol w:w="2160"/>
        <w:gridCol w:w="2160"/>
        <w:gridCol w:w="1200"/>
      </w:tblGrid>
      <w:tr>
        <w:trPr>
          <w:trHeight w:val="323" w:hRule="atLeast"/>
        </w:trPr>
        <w:tc>
          <w:tcPr>
            <w:tcW w:w="3039" w:type="dxa"/>
            <w:vMerge w:val="restart"/>
            <w:shd w:val="clear" w:color="auto" w:fill="365F92"/>
          </w:tcPr>
          <w:p>
            <w:pPr>
              <w:pStyle w:val="TableParagraph"/>
              <w:spacing w:before="120"/>
              <w:ind w:left="69"/>
              <w:rPr>
                <w:b/>
                <w:sz w:val="22"/>
              </w:rPr>
            </w:pPr>
            <w:r>
              <w:rPr>
                <w:b/>
                <w:color w:val="FFFFFF"/>
                <w:spacing w:val="-2"/>
                <w:sz w:val="22"/>
              </w:rPr>
              <w:t>Descripción</w:t>
            </w:r>
          </w:p>
        </w:tc>
        <w:tc>
          <w:tcPr>
            <w:tcW w:w="643" w:type="dxa"/>
            <w:vMerge w:val="restart"/>
            <w:shd w:val="clear" w:color="auto" w:fill="365F92"/>
          </w:tcPr>
          <w:p>
            <w:pPr>
              <w:pStyle w:val="TableParagraph"/>
              <w:spacing w:before="209"/>
              <w:ind w:left="105"/>
              <w:rPr>
                <w:b/>
                <w:sz w:val="22"/>
              </w:rPr>
            </w:pPr>
            <w:r>
              <w:rPr>
                <w:b/>
                <w:color w:val="FFFFFF"/>
                <w:spacing w:val="-4"/>
                <w:sz w:val="22"/>
              </w:rPr>
              <w:t>Nota</w:t>
            </w:r>
          </w:p>
        </w:tc>
        <w:tc>
          <w:tcPr>
            <w:tcW w:w="2160" w:type="dxa"/>
            <w:vMerge w:val="restart"/>
            <w:shd w:val="clear" w:color="auto" w:fill="365F92"/>
          </w:tcPr>
          <w:p>
            <w:pPr>
              <w:pStyle w:val="TableParagraph"/>
              <w:spacing w:before="209"/>
              <w:ind w:left="448"/>
              <w:rPr>
                <w:b/>
                <w:sz w:val="22"/>
              </w:rPr>
            </w:pPr>
            <w:r>
              <w:rPr>
                <w:b/>
                <w:color w:val="FFFFFF"/>
                <w:sz w:val="22"/>
              </w:rPr>
              <w:t>Periodo</w:t>
            </w:r>
            <w:r>
              <w:rPr>
                <w:b/>
                <w:color w:val="FFFFFF"/>
                <w:spacing w:val="-4"/>
                <w:sz w:val="22"/>
              </w:rPr>
              <w:t> </w:t>
            </w:r>
            <w:r>
              <w:rPr>
                <w:b/>
                <w:color w:val="FFFFFF"/>
                <w:spacing w:val="-2"/>
                <w:sz w:val="22"/>
              </w:rPr>
              <w:t>Actual</w:t>
            </w:r>
          </w:p>
        </w:tc>
        <w:tc>
          <w:tcPr>
            <w:tcW w:w="2160" w:type="dxa"/>
            <w:vMerge w:val="restart"/>
            <w:shd w:val="clear" w:color="auto" w:fill="365F92"/>
          </w:tcPr>
          <w:p>
            <w:pPr>
              <w:pStyle w:val="TableParagraph"/>
              <w:spacing w:before="209"/>
              <w:ind w:left="355"/>
              <w:rPr>
                <w:b/>
                <w:sz w:val="22"/>
              </w:rPr>
            </w:pPr>
            <w:r>
              <w:rPr>
                <w:b/>
                <w:color w:val="FFFFFF"/>
                <w:sz w:val="22"/>
              </w:rPr>
              <w:t>Periodo</w:t>
            </w:r>
            <w:r>
              <w:rPr>
                <w:b/>
                <w:color w:val="FFFFFF"/>
                <w:spacing w:val="-4"/>
                <w:sz w:val="22"/>
              </w:rPr>
              <w:t> </w:t>
            </w:r>
            <w:r>
              <w:rPr>
                <w:b/>
                <w:color w:val="FFFFFF"/>
                <w:spacing w:val="-2"/>
                <w:sz w:val="22"/>
              </w:rPr>
              <w:t>Anterior</w:t>
            </w:r>
          </w:p>
        </w:tc>
        <w:tc>
          <w:tcPr>
            <w:tcW w:w="1200" w:type="dxa"/>
            <w:shd w:val="clear" w:color="auto" w:fill="365F92"/>
          </w:tcPr>
          <w:p>
            <w:pPr>
              <w:pStyle w:val="TableParagraph"/>
              <w:spacing w:before="36"/>
              <w:ind w:left="21" w:right="2"/>
              <w:jc w:val="center"/>
              <w:rPr>
                <w:b/>
                <w:sz w:val="22"/>
              </w:rPr>
            </w:pPr>
            <w:r>
              <w:rPr>
                <w:b/>
                <w:color w:val="FFFFFF"/>
                <w:spacing w:val="-2"/>
                <w:sz w:val="22"/>
              </w:rPr>
              <w:t>Diferencia</w:t>
            </w:r>
          </w:p>
        </w:tc>
      </w:tr>
      <w:tr>
        <w:trPr>
          <w:trHeight w:val="325" w:hRule="atLeast"/>
        </w:trPr>
        <w:tc>
          <w:tcPr>
            <w:tcW w:w="3039"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200" w:type="dxa"/>
            <w:shd w:val="clear" w:color="auto" w:fill="365F92"/>
          </w:tcPr>
          <w:p>
            <w:pPr>
              <w:pStyle w:val="TableParagraph"/>
              <w:spacing w:before="49"/>
              <w:ind w:left="21" w:right="6"/>
              <w:jc w:val="center"/>
              <w:rPr>
                <w:sz w:val="20"/>
              </w:rPr>
            </w:pPr>
            <w:r>
              <w:rPr>
                <w:color w:val="FFFFFF"/>
                <w:spacing w:val="-10"/>
                <w:sz w:val="20"/>
              </w:rPr>
              <w:t>%</w:t>
            </w:r>
          </w:p>
        </w:tc>
      </w:tr>
      <w:tr>
        <w:trPr>
          <w:trHeight w:val="323" w:hRule="atLeast"/>
        </w:trPr>
        <w:tc>
          <w:tcPr>
            <w:tcW w:w="3039" w:type="dxa"/>
          </w:tcPr>
          <w:p>
            <w:pPr>
              <w:pStyle w:val="TableParagraph"/>
              <w:spacing w:before="46"/>
              <w:ind w:left="69"/>
              <w:rPr>
                <w:b/>
                <w:sz w:val="20"/>
              </w:rPr>
            </w:pPr>
            <w:r>
              <w:rPr>
                <w:b/>
                <w:spacing w:val="-2"/>
                <w:sz w:val="20"/>
              </w:rPr>
              <w:t>Cobros</w:t>
            </w:r>
          </w:p>
        </w:tc>
        <w:tc>
          <w:tcPr>
            <w:tcW w:w="643" w:type="dxa"/>
          </w:tcPr>
          <w:p>
            <w:pPr>
              <w:pStyle w:val="TableParagraph"/>
              <w:spacing w:before="46"/>
              <w:ind w:left="222"/>
              <w:rPr>
                <w:b/>
                <w:sz w:val="20"/>
              </w:rPr>
            </w:pPr>
            <w:r>
              <w:rPr>
                <w:b/>
                <w:spacing w:val="-5"/>
                <w:sz w:val="20"/>
              </w:rPr>
              <w:t>81</w:t>
            </w:r>
          </w:p>
        </w:tc>
        <w:tc>
          <w:tcPr>
            <w:tcW w:w="2160" w:type="dxa"/>
          </w:tcPr>
          <w:p>
            <w:pPr>
              <w:pStyle w:val="TableParagraph"/>
              <w:spacing w:before="46"/>
              <w:ind w:left="71" w:right="54"/>
              <w:jc w:val="center"/>
              <w:rPr>
                <w:b/>
                <w:sz w:val="20"/>
              </w:rPr>
            </w:pPr>
            <w:r>
              <w:rPr>
                <w:b/>
                <w:spacing w:val="-4"/>
                <w:sz w:val="20"/>
              </w:rPr>
              <w:t>0,00</w:t>
            </w:r>
          </w:p>
        </w:tc>
        <w:tc>
          <w:tcPr>
            <w:tcW w:w="2160" w:type="dxa"/>
          </w:tcPr>
          <w:p>
            <w:pPr>
              <w:pStyle w:val="TableParagraph"/>
              <w:spacing w:before="46"/>
              <w:ind w:left="71" w:right="53"/>
              <w:jc w:val="center"/>
              <w:rPr>
                <w:b/>
                <w:sz w:val="20"/>
              </w:rPr>
            </w:pPr>
            <w:r>
              <w:rPr>
                <w:b/>
                <w:spacing w:val="-4"/>
                <w:sz w:val="20"/>
              </w:rPr>
              <w:t>0,00</w:t>
            </w:r>
          </w:p>
        </w:tc>
        <w:tc>
          <w:tcPr>
            <w:tcW w:w="1200" w:type="dxa"/>
          </w:tcPr>
          <w:p>
            <w:pPr>
              <w:pStyle w:val="TableParagraph"/>
              <w:spacing w:before="46"/>
              <w:ind w:left="21" w:right="1"/>
              <w:jc w:val="center"/>
              <w:rPr>
                <w:b/>
                <w:sz w:val="20"/>
              </w:rPr>
            </w:pPr>
            <w:r>
              <w:rPr>
                <w:b/>
                <w:spacing w:val="-2"/>
                <w:sz w:val="20"/>
              </w:rPr>
              <w:t>0,00%</w:t>
            </w:r>
          </w:p>
        </w:tc>
      </w:tr>
    </w:tbl>
    <w:p>
      <w:pPr>
        <w:pStyle w:val="BodyText"/>
      </w:pPr>
    </w:p>
    <w:p>
      <w:pPr>
        <w:pStyle w:val="BodyText"/>
        <w:spacing w:before="250"/>
      </w:pPr>
    </w:p>
    <w:p>
      <w:pPr>
        <w:pStyle w:val="BodyText"/>
        <w:spacing w:line="259" w:lineRule="auto"/>
        <w:ind w:left="622" w:right="982"/>
        <w:jc w:val="both"/>
      </w:pPr>
      <w:r>
        <w:rPr/>
        <w:t>Los Cobros de los Flujos de Efectivo de las Actividades de Financiamiento,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56288">
                <wp:simplePos x="0" y="0"/>
                <wp:positionH relativeFrom="page">
                  <wp:posOffset>1080820</wp:posOffset>
                </wp:positionH>
                <wp:positionV relativeFrom="paragraph">
                  <wp:posOffset>233402</wp:posOffset>
                </wp:positionV>
                <wp:extent cx="5715000" cy="553720"/>
                <wp:effectExtent l="0" t="0" r="0" b="0"/>
                <wp:wrapTopAndBottom/>
                <wp:docPr id="842" name="Textbox 842"/>
                <wp:cNvGraphicFramePr>
                  <a:graphicFrameLocks/>
                </wp:cNvGraphicFramePr>
                <a:graphic>
                  <a:graphicData uri="http://schemas.microsoft.com/office/word/2010/wordprocessingShape">
                    <wps:wsp>
                      <wps:cNvPr id="842" name="Textbox 842"/>
                      <wps:cNvSpPr txBox="1"/>
                      <wps:spPr>
                        <a:xfrm>
                          <a:off x="0" y="0"/>
                          <a:ext cx="5715000" cy="553720"/>
                        </a:xfrm>
                        <a:prstGeom prst="rect">
                          <a:avLst/>
                        </a:prstGeom>
                        <a:ln w="6095">
                          <a:solidFill>
                            <a:srgbClr val="000000"/>
                          </a:solidFill>
                          <a:prstDash val="solid"/>
                        </a:ln>
                      </wps:spPr>
                      <wps:txbx>
                        <w:txbxContent>
                          <w:p>
                            <w:pPr>
                              <w:spacing w:line="410" w:lineRule="auto" w:before="0"/>
                              <w:ind w:left="103" w:right="3452" w:firstLine="0"/>
                              <w:jc w:val="left"/>
                              <w:rPr>
                                <w:sz w:val="22"/>
                              </w:rPr>
                            </w:pPr>
                            <w:r>
                              <w:rPr>
                                <w:b/>
                                <w:color w:val="1F4E79"/>
                                <w:sz w:val="22"/>
                                <w:u w:val="single" w:color="1F4E79"/>
                              </w:rPr>
                              <w:t>Revelar ampliamente las partidas más materiales de cobros</w:t>
                            </w:r>
                            <w:r>
                              <w:rPr>
                                <w:sz w:val="22"/>
                                <w:u w:val="none"/>
                              </w:rPr>
                              <w:t>:</w:t>
                            </w:r>
                            <w:r>
                              <w:rPr>
                                <w:spacing w:val="80"/>
                                <w:sz w:val="22"/>
                                <w:u w:val="none"/>
                              </w:rPr>
                              <w:t> </w:t>
                            </w:r>
                            <w:r>
                              <w:rPr>
                                <w:sz w:val="22"/>
                                <w:u w:val="none"/>
                              </w:rPr>
                              <w:t>Al</w:t>
                            </w:r>
                            <w:r>
                              <w:rPr>
                                <w:spacing w:val="-3"/>
                                <w:sz w:val="22"/>
                                <w:u w:val="none"/>
                              </w:rPr>
                              <w:t> </w:t>
                            </w:r>
                            <w:r>
                              <w:rPr>
                                <w:sz w:val="22"/>
                                <w:u w:val="none"/>
                              </w:rPr>
                              <w:t>31</w:t>
                            </w:r>
                            <w:r>
                              <w:rPr>
                                <w:spacing w:val="-3"/>
                                <w:sz w:val="22"/>
                                <w:u w:val="none"/>
                              </w:rPr>
                              <w:t> </w:t>
                            </w:r>
                            <w:r>
                              <w:rPr>
                                <w:sz w:val="22"/>
                                <w:u w:val="none"/>
                              </w:rPr>
                              <w:t>de</w:t>
                            </w:r>
                            <w:r>
                              <w:rPr>
                                <w:spacing w:val="-4"/>
                                <w:sz w:val="22"/>
                                <w:u w:val="none"/>
                              </w:rPr>
                              <w:t> </w:t>
                            </w:r>
                            <w:r>
                              <w:rPr>
                                <w:sz w:val="22"/>
                                <w:u w:val="none"/>
                              </w:rPr>
                              <w:t>julio</w:t>
                            </w:r>
                            <w:r>
                              <w:rPr>
                                <w:spacing w:val="-3"/>
                                <w:sz w:val="22"/>
                                <w:u w:val="none"/>
                              </w:rPr>
                              <w:t> </w:t>
                            </w:r>
                            <w:r>
                              <w:rPr>
                                <w:sz w:val="22"/>
                                <w:u w:val="none"/>
                              </w:rPr>
                              <w:t>2026,</w:t>
                            </w:r>
                            <w:r>
                              <w:rPr>
                                <w:spacing w:val="-3"/>
                                <w:sz w:val="22"/>
                                <w:u w:val="none"/>
                              </w:rPr>
                              <w:t> </w:t>
                            </w:r>
                            <w:r>
                              <w:rPr>
                                <w:sz w:val="22"/>
                                <w:u w:val="none"/>
                              </w:rPr>
                              <w:t>la</w:t>
                            </w:r>
                            <w:r>
                              <w:rPr>
                                <w:spacing w:val="-5"/>
                                <w:sz w:val="22"/>
                                <w:u w:val="none"/>
                              </w:rPr>
                              <w:t> </w:t>
                            </w:r>
                            <w:r>
                              <w:rPr>
                                <w:sz w:val="22"/>
                                <w:u w:val="none"/>
                              </w:rPr>
                              <w:t>cuenta</w:t>
                            </w:r>
                            <w:r>
                              <w:rPr>
                                <w:spacing w:val="-3"/>
                                <w:sz w:val="22"/>
                                <w:u w:val="none"/>
                              </w:rPr>
                              <w:t> </w:t>
                            </w:r>
                            <w:r>
                              <w:rPr>
                                <w:sz w:val="22"/>
                                <w:u w:val="none"/>
                              </w:rPr>
                              <w:t>no</w:t>
                            </w:r>
                            <w:r>
                              <w:rPr>
                                <w:spacing w:val="-3"/>
                                <w:sz w:val="22"/>
                                <w:u w:val="none"/>
                              </w:rPr>
                              <w:t> </w:t>
                            </w:r>
                            <w:r>
                              <w:rPr>
                                <w:sz w:val="22"/>
                                <w:u w:val="none"/>
                              </w:rPr>
                              <w:t>presenta</w:t>
                            </w:r>
                            <w:r>
                              <w:rPr>
                                <w:spacing w:val="-6"/>
                                <w:sz w:val="22"/>
                                <w:u w:val="none"/>
                              </w:rPr>
                              <w:t> </w:t>
                            </w:r>
                            <w:r>
                              <w:rPr>
                                <w:sz w:val="22"/>
                                <w:u w:val="none"/>
                              </w:rPr>
                              <w:t>ningún</w:t>
                            </w:r>
                            <w:r>
                              <w:rPr>
                                <w:spacing w:val="-6"/>
                                <w:sz w:val="22"/>
                                <w:u w:val="none"/>
                              </w:rPr>
                              <w:t> </w:t>
                            </w:r>
                            <w:r>
                              <w:rPr>
                                <w:sz w:val="22"/>
                                <w:u w:val="none"/>
                              </w:rPr>
                              <w:t>movimiento.</w:t>
                            </w:r>
                          </w:p>
                        </w:txbxContent>
                      </wps:txbx>
                      <wps:bodyPr wrap="square" lIns="0" tIns="0" rIns="0" bIns="0" rtlCol="0">
                        <a:noAutofit/>
                      </wps:bodyPr>
                    </wps:wsp>
                  </a:graphicData>
                </a:graphic>
              </wp:anchor>
            </w:drawing>
          </mc:Choice>
          <mc:Fallback>
            <w:pict>
              <v:shape style="position:absolute;margin-left:85.103996pt;margin-top:18.378124pt;width:450pt;height:43.6pt;mso-position-horizontal-relative:page;mso-position-vertical-relative:paragraph;z-index:-15560192;mso-wrap-distance-left:0;mso-wrap-distance-right:0" type="#_x0000_t202" id="docshape817" filled="false" stroked="true" strokeweight=".47998pt" strokecolor="#000000">
                <v:textbox inset="0,0,0,0">
                  <w:txbxContent>
                    <w:p>
                      <w:pPr>
                        <w:spacing w:line="410" w:lineRule="auto" w:before="0"/>
                        <w:ind w:left="103" w:right="3452" w:firstLine="0"/>
                        <w:jc w:val="left"/>
                        <w:rPr>
                          <w:sz w:val="22"/>
                        </w:rPr>
                      </w:pPr>
                      <w:r>
                        <w:rPr>
                          <w:b/>
                          <w:color w:val="1F4E79"/>
                          <w:sz w:val="22"/>
                          <w:u w:val="single" w:color="1F4E79"/>
                        </w:rPr>
                        <w:t>Revelar ampliamente las partidas más materiales de cobros</w:t>
                      </w:r>
                      <w:r>
                        <w:rPr>
                          <w:sz w:val="22"/>
                          <w:u w:val="none"/>
                        </w:rPr>
                        <w:t>:</w:t>
                      </w:r>
                      <w:r>
                        <w:rPr>
                          <w:spacing w:val="80"/>
                          <w:sz w:val="22"/>
                          <w:u w:val="none"/>
                        </w:rPr>
                        <w:t> </w:t>
                      </w:r>
                      <w:r>
                        <w:rPr>
                          <w:sz w:val="22"/>
                          <w:u w:val="none"/>
                        </w:rPr>
                        <w:t>Al</w:t>
                      </w:r>
                      <w:r>
                        <w:rPr>
                          <w:spacing w:val="-3"/>
                          <w:sz w:val="22"/>
                          <w:u w:val="none"/>
                        </w:rPr>
                        <w:t> </w:t>
                      </w:r>
                      <w:r>
                        <w:rPr>
                          <w:sz w:val="22"/>
                          <w:u w:val="none"/>
                        </w:rPr>
                        <w:t>31</w:t>
                      </w:r>
                      <w:r>
                        <w:rPr>
                          <w:spacing w:val="-3"/>
                          <w:sz w:val="22"/>
                          <w:u w:val="none"/>
                        </w:rPr>
                        <w:t> </w:t>
                      </w:r>
                      <w:r>
                        <w:rPr>
                          <w:sz w:val="22"/>
                          <w:u w:val="none"/>
                        </w:rPr>
                        <w:t>de</w:t>
                      </w:r>
                      <w:r>
                        <w:rPr>
                          <w:spacing w:val="-4"/>
                          <w:sz w:val="22"/>
                          <w:u w:val="none"/>
                        </w:rPr>
                        <w:t> </w:t>
                      </w:r>
                      <w:r>
                        <w:rPr>
                          <w:sz w:val="22"/>
                          <w:u w:val="none"/>
                        </w:rPr>
                        <w:t>julio</w:t>
                      </w:r>
                      <w:r>
                        <w:rPr>
                          <w:spacing w:val="-3"/>
                          <w:sz w:val="22"/>
                          <w:u w:val="none"/>
                        </w:rPr>
                        <w:t> </w:t>
                      </w:r>
                      <w:r>
                        <w:rPr>
                          <w:sz w:val="22"/>
                          <w:u w:val="none"/>
                        </w:rPr>
                        <w:t>2026,</w:t>
                      </w:r>
                      <w:r>
                        <w:rPr>
                          <w:spacing w:val="-3"/>
                          <w:sz w:val="22"/>
                          <w:u w:val="none"/>
                        </w:rPr>
                        <w:t> </w:t>
                      </w:r>
                      <w:r>
                        <w:rPr>
                          <w:sz w:val="22"/>
                          <w:u w:val="none"/>
                        </w:rPr>
                        <w:t>la</w:t>
                      </w:r>
                      <w:r>
                        <w:rPr>
                          <w:spacing w:val="-5"/>
                          <w:sz w:val="22"/>
                          <w:u w:val="none"/>
                        </w:rPr>
                        <w:t> </w:t>
                      </w:r>
                      <w:r>
                        <w:rPr>
                          <w:sz w:val="22"/>
                          <w:u w:val="none"/>
                        </w:rPr>
                        <w:t>cuenta</w:t>
                      </w:r>
                      <w:r>
                        <w:rPr>
                          <w:spacing w:val="-3"/>
                          <w:sz w:val="22"/>
                          <w:u w:val="none"/>
                        </w:rPr>
                        <w:t> </w:t>
                      </w:r>
                      <w:r>
                        <w:rPr>
                          <w:sz w:val="22"/>
                          <w:u w:val="none"/>
                        </w:rPr>
                        <w:t>no</w:t>
                      </w:r>
                      <w:r>
                        <w:rPr>
                          <w:spacing w:val="-3"/>
                          <w:sz w:val="22"/>
                          <w:u w:val="none"/>
                        </w:rPr>
                        <w:t> </w:t>
                      </w:r>
                      <w:r>
                        <w:rPr>
                          <w:sz w:val="22"/>
                          <w:u w:val="none"/>
                        </w:rPr>
                        <w:t>presenta</w:t>
                      </w:r>
                      <w:r>
                        <w:rPr>
                          <w:spacing w:val="-6"/>
                          <w:sz w:val="22"/>
                          <w:u w:val="none"/>
                        </w:rPr>
                        <w:t> </w:t>
                      </w:r>
                      <w:r>
                        <w:rPr>
                          <w:sz w:val="22"/>
                          <w:u w:val="none"/>
                        </w:rPr>
                        <w:t>ningún</w:t>
                      </w:r>
                      <w:r>
                        <w:rPr>
                          <w:spacing w:val="-6"/>
                          <w:sz w:val="22"/>
                          <w:u w:val="none"/>
                        </w:rPr>
                        <w:t> </w:t>
                      </w:r>
                      <w:r>
                        <w:rPr>
                          <w:sz w:val="22"/>
                          <w:u w:val="none"/>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40" w:id="141"/>
      <w:bookmarkEnd w:id="141"/>
      <w:r>
        <w:rPr/>
      </w:r>
      <w:r>
        <w:rPr>
          <w:b/>
          <w:sz w:val="22"/>
        </w:rPr>
        <w:t>NOTA</w:t>
      </w:r>
      <w:r>
        <w:rPr>
          <w:b/>
          <w:spacing w:val="-1"/>
          <w:sz w:val="22"/>
        </w:rPr>
        <w:t> </w:t>
      </w:r>
      <w:r>
        <w:rPr>
          <w:b/>
          <w:sz w:val="22"/>
        </w:rPr>
        <w:t>N° </w:t>
      </w:r>
      <w:r>
        <w:rPr>
          <w:b/>
          <w:spacing w:val="-5"/>
          <w:sz w:val="22"/>
        </w:rPr>
        <w:t>82</w:t>
      </w:r>
    </w:p>
    <w:p>
      <w:pPr>
        <w:pStyle w:val="BodyText"/>
        <w:spacing w:before="113"/>
        <w:rPr>
          <w:b/>
        </w:rPr>
      </w:pPr>
    </w:p>
    <w:p>
      <w:pPr>
        <w:pStyle w:val="BodyText"/>
        <w:ind w:left="622"/>
      </w:pPr>
      <w:r>
        <w:rPr>
          <w:spacing w:val="-2"/>
        </w:rPr>
        <w:t>Pagos</w:t>
      </w:r>
    </w:p>
    <w:p>
      <w:pPr>
        <w:pStyle w:val="BodyText"/>
        <w:spacing w:before="9"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22"/>
        <w:gridCol w:w="641"/>
        <w:gridCol w:w="2160"/>
        <w:gridCol w:w="2160"/>
        <w:gridCol w:w="1200"/>
      </w:tblGrid>
      <w:tr>
        <w:trPr>
          <w:trHeight w:val="323" w:hRule="atLeast"/>
        </w:trPr>
        <w:tc>
          <w:tcPr>
            <w:tcW w:w="3322" w:type="dxa"/>
            <w:vMerge w:val="restart"/>
            <w:shd w:val="clear" w:color="auto" w:fill="365F92"/>
          </w:tcPr>
          <w:p>
            <w:pPr>
              <w:pStyle w:val="TableParagraph"/>
              <w:spacing w:before="120"/>
              <w:ind w:left="69"/>
              <w:rPr>
                <w:b/>
                <w:sz w:val="22"/>
              </w:rPr>
            </w:pPr>
            <w:r>
              <w:rPr>
                <w:b/>
                <w:color w:val="FFFFFF"/>
                <w:spacing w:val="-2"/>
                <w:sz w:val="22"/>
              </w:rPr>
              <w:t>Descripción</w:t>
            </w:r>
          </w:p>
        </w:tc>
        <w:tc>
          <w:tcPr>
            <w:tcW w:w="641" w:type="dxa"/>
            <w:vMerge w:val="restart"/>
            <w:shd w:val="clear" w:color="auto" w:fill="365F92"/>
          </w:tcPr>
          <w:p>
            <w:pPr>
              <w:pStyle w:val="TableParagraph"/>
              <w:spacing w:before="209"/>
              <w:ind w:left="102"/>
              <w:rPr>
                <w:b/>
                <w:sz w:val="22"/>
              </w:rPr>
            </w:pPr>
            <w:r>
              <w:rPr>
                <w:b/>
                <w:color w:val="FFFFFF"/>
                <w:spacing w:val="-4"/>
                <w:sz w:val="22"/>
              </w:rPr>
              <w:t>Nota</w:t>
            </w:r>
          </w:p>
        </w:tc>
        <w:tc>
          <w:tcPr>
            <w:tcW w:w="2160" w:type="dxa"/>
            <w:vMerge w:val="restart"/>
            <w:shd w:val="clear" w:color="auto" w:fill="365F92"/>
          </w:tcPr>
          <w:p>
            <w:pPr>
              <w:pStyle w:val="TableParagraph"/>
              <w:spacing w:before="209"/>
              <w:ind w:left="448"/>
              <w:rPr>
                <w:b/>
                <w:sz w:val="22"/>
              </w:rPr>
            </w:pPr>
            <w:r>
              <w:rPr>
                <w:b/>
                <w:color w:val="FFFFFF"/>
                <w:sz w:val="22"/>
              </w:rPr>
              <w:t>Periodo</w:t>
            </w:r>
            <w:r>
              <w:rPr>
                <w:b/>
                <w:color w:val="FFFFFF"/>
                <w:spacing w:val="-4"/>
                <w:sz w:val="22"/>
              </w:rPr>
              <w:t> </w:t>
            </w:r>
            <w:r>
              <w:rPr>
                <w:b/>
                <w:color w:val="FFFFFF"/>
                <w:spacing w:val="-2"/>
                <w:sz w:val="22"/>
              </w:rPr>
              <w:t>Actual</w:t>
            </w:r>
          </w:p>
        </w:tc>
        <w:tc>
          <w:tcPr>
            <w:tcW w:w="2160" w:type="dxa"/>
            <w:vMerge w:val="restart"/>
            <w:shd w:val="clear" w:color="auto" w:fill="365F92"/>
          </w:tcPr>
          <w:p>
            <w:pPr>
              <w:pStyle w:val="TableParagraph"/>
              <w:spacing w:before="209"/>
              <w:ind w:left="355"/>
              <w:rPr>
                <w:b/>
                <w:sz w:val="22"/>
              </w:rPr>
            </w:pPr>
            <w:r>
              <w:rPr>
                <w:b/>
                <w:color w:val="FFFFFF"/>
                <w:sz w:val="22"/>
              </w:rPr>
              <w:t>Periodo</w:t>
            </w:r>
            <w:r>
              <w:rPr>
                <w:b/>
                <w:color w:val="FFFFFF"/>
                <w:spacing w:val="-4"/>
                <w:sz w:val="22"/>
              </w:rPr>
              <w:t> </w:t>
            </w:r>
            <w:r>
              <w:rPr>
                <w:b/>
                <w:color w:val="FFFFFF"/>
                <w:spacing w:val="-2"/>
                <w:sz w:val="22"/>
              </w:rPr>
              <w:t>Anterior</w:t>
            </w:r>
          </w:p>
        </w:tc>
        <w:tc>
          <w:tcPr>
            <w:tcW w:w="1200" w:type="dxa"/>
            <w:shd w:val="clear" w:color="auto" w:fill="365F92"/>
          </w:tcPr>
          <w:p>
            <w:pPr>
              <w:pStyle w:val="TableParagraph"/>
              <w:spacing w:before="36"/>
              <w:ind w:left="21" w:right="2"/>
              <w:jc w:val="center"/>
              <w:rPr>
                <w:b/>
                <w:sz w:val="22"/>
              </w:rPr>
            </w:pPr>
            <w:r>
              <w:rPr>
                <w:b/>
                <w:color w:val="FFFFFF"/>
                <w:spacing w:val="-2"/>
                <w:sz w:val="22"/>
              </w:rPr>
              <w:t>Diferencia</w:t>
            </w:r>
          </w:p>
        </w:tc>
      </w:tr>
      <w:tr>
        <w:trPr>
          <w:trHeight w:val="325" w:hRule="atLeast"/>
        </w:trPr>
        <w:tc>
          <w:tcPr>
            <w:tcW w:w="3322" w:type="dxa"/>
            <w:vMerge/>
            <w:tcBorders>
              <w:top w:val="nil"/>
            </w:tcBorders>
            <w:shd w:val="clear" w:color="auto" w:fill="365F92"/>
          </w:tcPr>
          <w:p>
            <w:pPr>
              <w:rPr>
                <w:sz w:val="2"/>
                <w:szCs w:val="2"/>
              </w:rPr>
            </w:pPr>
          </w:p>
        </w:tc>
        <w:tc>
          <w:tcPr>
            <w:tcW w:w="641"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200" w:type="dxa"/>
            <w:shd w:val="clear" w:color="auto" w:fill="365F92"/>
          </w:tcPr>
          <w:p>
            <w:pPr>
              <w:pStyle w:val="TableParagraph"/>
              <w:spacing w:before="36"/>
              <w:ind w:left="21" w:right="4"/>
              <w:jc w:val="center"/>
              <w:rPr>
                <w:sz w:val="22"/>
              </w:rPr>
            </w:pPr>
            <w:r>
              <w:rPr>
                <w:color w:val="FFFFFF"/>
                <w:spacing w:val="-10"/>
                <w:sz w:val="22"/>
              </w:rPr>
              <w:t>%</w:t>
            </w:r>
          </w:p>
        </w:tc>
      </w:tr>
      <w:tr>
        <w:trPr>
          <w:trHeight w:val="323" w:hRule="atLeast"/>
        </w:trPr>
        <w:tc>
          <w:tcPr>
            <w:tcW w:w="3322" w:type="dxa"/>
          </w:tcPr>
          <w:p>
            <w:pPr>
              <w:pStyle w:val="TableParagraph"/>
              <w:spacing w:before="46"/>
              <w:ind w:left="69"/>
              <w:rPr>
                <w:b/>
                <w:sz w:val="20"/>
              </w:rPr>
            </w:pPr>
            <w:r>
              <w:rPr>
                <w:b/>
                <w:spacing w:val="-2"/>
                <w:sz w:val="20"/>
              </w:rPr>
              <w:t>Pagos</w:t>
            </w:r>
          </w:p>
        </w:tc>
        <w:tc>
          <w:tcPr>
            <w:tcW w:w="641" w:type="dxa"/>
          </w:tcPr>
          <w:p>
            <w:pPr>
              <w:pStyle w:val="TableParagraph"/>
              <w:spacing w:before="46"/>
              <w:ind w:left="220"/>
              <w:rPr>
                <w:b/>
                <w:sz w:val="20"/>
              </w:rPr>
            </w:pPr>
            <w:r>
              <w:rPr>
                <w:b/>
                <w:spacing w:val="-5"/>
                <w:sz w:val="20"/>
              </w:rPr>
              <w:t>82</w:t>
            </w:r>
          </w:p>
        </w:tc>
        <w:tc>
          <w:tcPr>
            <w:tcW w:w="2160" w:type="dxa"/>
          </w:tcPr>
          <w:p>
            <w:pPr>
              <w:pStyle w:val="TableParagraph"/>
              <w:spacing w:before="46"/>
              <w:ind w:left="71" w:right="54"/>
              <w:jc w:val="center"/>
              <w:rPr>
                <w:b/>
                <w:sz w:val="20"/>
              </w:rPr>
            </w:pPr>
            <w:r>
              <w:rPr>
                <w:b/>
                <w:spacing w:val="-4"/>
                <w:sz w:val="20"/>
              </w:rPr>
              <w:t>0,00</w:t>
            </w:r>
          </w:p>
        </w:tc>
        <w:tc>
          <w:tcPr>
            <w:tcW w:w="2160" w:type="dxa"/>
          </w:tcPr>
          <w:p>
            <w:pPr>
              <w:pStyle w:val="TableParagraph"/>
              <w:spacing w:before="46"/>
              <w:ind w:left="71" w:right="53"/>
              <w:jc w:val="center"/>
              <w:rPr>
                <w:b/>
                <w:sz w:val="20"/>
              </w:rPr>
            </w:pPr>
            <w:r>
              <w:rPr>
                <w:b/>
                <w:spacing w:val="-4"/>
                <w:sz w:val="20"/>
              </w:rPr>
              <w:t>0,00</w:t>
            </w:r>
          </w:p>
        </w:tc>
        <w:tc>
          <w:tcPr>
            <w:tcW w:w="1200" w:type="dxa"/>
          </w:tcPr>
          <w:p>
            <w:pPr>
              <w:pStyle w:val="TableParagraph"/>
              <w:spacing w:before="46"/>
              <w:ind w:left="21" w:right="2"/>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4720">
                <wp:simplePos x="0" y="0"/>
                <wp:positionH relativeFrom="page">
                  <wp:posOffset>9525</wp:posOffset>
                </wp:positionH>
                <wp:positionV relativeFrom="page">
                  <wp:posOffset>297208</wp:posOffset>
                </wp:positionV>
                <wp:extent cx="7762875" cy="9748520"/>
                <wp:effectExtent l="0" t="0" r="0" b="0"/>
                <wp:wrapNone/>
                <wp:docPr id="843" name="Group 843"/>
                <wp:cNvGraphicFramePr>
                  <a:graphicFrameLocks/>
                </wp:cNvGraphicFramePr>
                <a:graphic>
                  <a:graphicData uri="http://schemas.microsoft.com/office/word/2010/wordprocessingGroup">
                    <wpg:wgp>
                      <wpg:cNvPr id="843" name="Group 843"/>
                      <wpg:cNvGrpSpPr/>
                      <wpg:grpSpPr>
                        <a:xfrm>
                          <a:off x="0" y="0"/>
                          <a:ext cx="7762875" cy="9748520"/>
                          <a:chExt cx="7762875" cy="9748520"/>
                        </a:xfrm>
                      </wpg:grpSpPr>
                      <pic:pic>
                        <pic:nvPicPr>
                          <pic:cNvPr id="844" name="Image 844"/>
                          <pic:cNvPicPr/>
                        </pic:nvPicPr>
                        <pic:blipFill>
                          <a:blip r:embed="rId5" cstate="print"/>
                          <a:stretch>
                            <a:fillRect/>
                          </a:stretch>
                        </pic:blipFill>
                        <pic:spPr>
                          <a:xfrm>
                            <a:off x="0" y="0"/>
                            <a:ext cx="7762874" cy="9748489"/>
                          </a:xfrm>
                          <a:prstGeom prst="rect">
                            <a:avLst/>
                          </a:prstGeom>
                        </pic:spPr>
                      </pic:pic>
                      <wps:wsp>
                        <wps:cNvPr id="845" name="Graphic 84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1760" id="docshapegroup818" coordorigin="15,468" coordsize="12225,15352">
                <v:shape style="position:absolute;left:15;top:468;width:12225;height:15352" type="#_x0000_t75" id="docshape819" stroked="false">
                  <v:imagedata r:id="rId5" o:title=""/>
                </v:shape>
                <v:rect style="position:absolute;left:1673;top:2028;width:8897;height:15" id="docshape82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169</w:t>
      </w:r>
    </w:p>
    <w:p>
      <w:pPr>
        <w:pStyle w:val="BodyText"/>
        <w:spacing w:line="259" w:lineRule="auto" w:before="218"/>
        <w:ind w:left="622" w:right="982"/>
        <w:jc w:val="both"/>
      </w:pPr>
      <w:r>
        <w:rPr/>
        <w:t>Los Pagos de los Flujos de Efectivo de las Actividades de Financiamiento, comparado al periodo anterior genera una variación absoluta de 0 000,00 que corresponde a un Aumento del 0,00% de recursos disponibles.</w: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757312">
                <wp:simplePos x="0" y="0"/>
                <wp:positionH relativeFrom="page">
                  <wp:posOffset>1080820</wp:posOffset>
                </wp:positionH>
                <wp:positionV relativeFrom="paragraph">
                  <wp:posOffset>233116</wp:posOffset>
                </wp:positionV>
                <wp:extent cx="5715000" cy="553720"/>
                <wp:effectExtent l="0" t="0" r="0" b="0"/>
                <wp:wrapTopAndBottom/>
                <wp:docPr id="846" name="Textbox 846"/>
                <wp:cNvGraphicFramePr>
                  <a:graphicFrameLocks/>
                </wp:cNvGraphicFramePr>
                <a:graphic>
                  <a:graphicData uri="http://schemas.microsoft.com/office/word/2010/wordprocessingShape">
                    <wps:wsp>
                      <wps:cNvPr id="846" name="Textbox 846"/>
                      <wps:cNvSpPr txBox="1"/>
                      <wps:spPr>
                        <a:xfrm>
                          <a:off x="0" y="0"/>
                          <a:ext cx="5715000" cy="553720"/>
                        </a:xfrm>
                        <a:prstGeom prst="rect">
                          <a:avLst/>
                        </a:prstGeom>
                        <a:ln w="6095">
                          <a:solidFill>
                            <a:srgbClr val="000000"/>
                          </a:solidFill>
                          <a:prstDash val="solid"/>
                        </a:ln>
                      </wps:spPr>
                      <wps:txbx>
                        <w:txbxContent>
                          <w:p>
                            <w:pPr>
                              <w:spacing w:line="412" w:lineRule="auto" w:before="0"/>
                              <w:ind w:left="103" w:right="3666" w:firstLine="0"/>
                              <w:jc w:val="left"/>
                              <w:rPr>
                                <w:sz w:val="22"/>
                              </w:rPr>
                            </w:pPr>
                            <w:r>
                              <w:rPr>
                                <w:b/>
                                <w:color w:val="1F4E79"/>
                                <w:sz w:val="22"/>
                                <w:u w:val="single" w:color="1F4E79"/>
                              </w:rPr>
                              <w:t>Revelar</w:t>
                            </w:r>
                            <w:r>
                              <w:rPr>
                                <w:b/>
                                <w:color w:val="1F4E79"/>
                                <w:spacing w:val="-5"/>
                                <w:sz w:val="22"/>
                                <w:u w:val="single" w:color="1F4E79"/>
                              </w:rPr>
                              <w:t> </w:t>
                            </w:r>
                            <w:r>
                              <w:rPr>
                                <w:b/>
                                <w:color w:val="1F4E79"/>
                                <w:sz w:val="22"/>
                                <w:u w:val="single" w:color="1F4E79"/>
                              </w:rPr>
                              <w:t>ampliamente</w:t>
                            </w:r>
                            <w:r>
                              <w:rPr>
                                <w:b/>
                                <w:color w:val="1F4E79"/>
                                <w:spacing w:val="-4"/>
                                <w:sz w:val="22"/>
                                <w:u w:val="single" w:color="1F4E79"/>
                              </w:rPr>
                              <w:t> </w:t>
                            </w:r>
                            <w:r>
                              <w:rPr>
                                <w:b/>
                                <w:color w:val="1F4E79"/>
                                <w:sz w:val="22"/>
                                <w:u w:val="single" w:color="1F4E79"/>
                              </w:rPr>
                              <w:t>las</w:t>
                            </w:r>
                            <w:r>
                              <w:rPr>
                                <w:b/>
                                <w:color w:val="1F4E79"/>
                                <w:spacing w:val="-4"/>
                                <w:sz w:val="22"/>
                                <w:u w:val="single" w:color="1F4E79"/>
                              </w:rPr>
                              <w:t> </w:t>
                            </w:r>
                            <w:r>
                              <w:rPr>
                                <w:b/>
                                <w:color w:val="1F4E79"/>
                                <w:sz w:val="22"/>
                                <w:u w:val="single" w:color="1F4E79"/>
                              </w:rPr>
                              <w:t>partidas</w:t>
                            </w:r>
                            <w:r>
                              <w:rPr>
                                <w:b/>
                                <w:color w:val="1F4E79"/>
                                <w:spacing w:val="-4"/>
                                <w:sz w:val="22"/>
                                <w:u w:val="single" w:color="1F4E79"/>
                              </w:rPr>
                              <w:t> </w:t>
                            </w:r>
                            <w:r>
                              <w:rPr>
                                <w:b/>
                                <w:color w:val="1F4E79"/>
                                <w:sz w:val="22"/>
                                <w:u w:val="single" w:color="1F4E79"/>
                              </w:rPr>
                              <w:t>más</w:t>
                            </w:r>
                            <w:r>
                              <w:rPr>
                                <w:b/>
                                <w:color w:val="1F4E79"/>
                                <w:spacing w:val="-7"/>
                                <w:sz w:val="22"/>
                                <w:u w:val="single" w:color="1F4E79"/>
                              </w:rPr>
                              <w:t> </w:t>
                            </w:r>
                            <w:r>
                              <w:rPr>
                                <w:b/>
                                <w:color w:val="1F4E79"/>
                                <w:sz w:val="22"/>
                                <w:u w:val="single" w:color="1F4E79"/>
                              </w:rPr>
                              <w:t>materiales</w:t>
                            </w:r>
                            <w:r>
                              <w:rPr>
                                <w:b/>
                                <w:color w:val="1F4E79"/>
                                <w:spacing w:val="-4"/>
                                <w:sz w:val="22"/>
                                <w:u w:val="single" w:color="1F4E79"/>
                              </w:rPr>
                              <w:t> </w:t>
                            </w:r>
                            <w:r>
                              <w:rPr>
                                <w:b/>
                                <w:color w:val="1F4E79"/>
                                <w:sz w:val="22"/>
                                <w:u w:val="single" w:color="1F4E79"/>
                              </w:rPr>
                              <w:t>de</w:t>
                            </w:r>
                            <w:r>
                              <w:rPr>
                                <w:b/>
                                <w:color w:val="1F4E79"/>
                                <w:spacing w:val="-4"/>
                                <w:sz w:val="22"/>
                                <w:u w:val="single" w:color="1F4E79"/>
                              </w:rPr>
                              <w:t> </w:t>
                            </w:r>
                            <w:r>
                              <w:rPr>
                                <w:b/>
                                <w:color w:val="1F4E79"/>
                                <w:sz w:val="22"/>
                                <w:u w:val="single" w:color="1F4E79"/>
                              </w:rPr>
                              <w:t>pagos</w:t>
                            </w:r>
                            <w:r>
                              <w:rPr>
                                <w:sz w:val="22"/>
                                <w:u w:val="none"/>
                              </w:rPr>
                              <w:t>: Al 31 de julio 2026, no presenta ningún movimiento.</w:t>
                            </w:r>
                          </w:p>
                        </w:txbxContent>
                      </wps:txbx>
                      <wps:bodyPr wrap="square" lIns="0" tIns="0" rIns="0" bIns="0" rtlCol="0">
                        <a:noAutofit/>
                      </wps:bodyPr>
                    </wps:wsp>
                  </a:graphicData>
                </a:graphic>
              </wp:anchor>
            </w:drawing>
          </mc:Choice>
          <mc:Fallback>
            <w:pict>
              <v:shape style="position:absolute;margin-left:85.103996pt;margin-top:18.355625pt;width:450pt;height:43.6pt;mso-position-horizontal-relative:page;mso-position-vertical-relative:paragraph;z-index:-15559168;mso-wrap-distance-left:0;mso-wrap-distance-right:0" type="#_x0000_t202" id="docshape821" filled="false" stroked="true" strokeweight=".47998pt" strokecolor="#000000">
                <v:textbox inset="0,0,0,0">
                  <w:txbxContent>
                    <w:p>
                      <w:pPr>
                        <w:spacing w:line="412" w:lineRule="auto" w:before="0"/>
                        <w:ind w:left="103" w:right="3666" w:firstLine="0"/>
                        <w:jc w:val="left"/>
                        <w:rPr>
                          <w:sz w:val="22"/>
                        </w:rPr>
                      </w:pPr>
                      <w:r>
                        <w:rPr>
                          <w:b/>
                          <w:color w:val="1F4E79"/>
                          <w:sz w:val="22"/>
                          <w:u w:val="single" w:color="1F4E79"/>
                        </w:rPr>
                        <w:t>Revelar</w:t>
                      </w:r>
                      <w:r>
                        <w:rPr>
                          <w:b/>
                          <w:color w:val="1F4E79"/>
                          <w:spacing w:val="-5"/>
                          <w:sz w:val="22"/>
                          <w:u w:val="single" w:color="1F4E79"/>
                        </w:rPr>
                        <w:t> </w:t>
                      </w:r>
                      <w:r>
                        <w:rPr>
                          <w:b/>
                          <w:color w:val="1F4E79"/>
                          <w:sz w:val="22"/>
                          <w:u w:val="single" w:color="1F4E79"/>
                        </w:rPr>
                        <w:t>ampliamente</w:t>
                      </w:r>
                      <w:r>
                        <w:rPr>
                          <w:b/>
                          <w:color w:val="1F4E79"/>
                          <w:spacing w:val="-4"/>
                          <w:sz w:val="22"/>
                          <w:u w:val="single" w:color="1F4E79"/>
                        </w:rPr>
                        <w:t> </w:t>
                      </w:r>
                      <w:r>
                        <w:rPr>
                          <w:b/>
                          <w:color w:val="1F4E79"/>
                          <w:sz w:val="22"/>
                          <w:u w:val="single" w:color="1F4E79"/>
                        </w:rPr>
                        <w:t>las</w:t>
                      </w:r>
                      <w:r>
                        <w:rPr>
                          <w:b/>
                          <w:color w:val="1F4E79"/>
                          <w:spacing w:val="-4"/>
                          <w:sz w:val="22"/>
                          <w:u w:val="single" w:color="1F4E79"/>
                        </w:rPr>
                        <w:t> </w:t>
                      </w:r>
                      <w:r>
                        <w:rPr>
                          <w:b/>
                          <w:color w:val="1F4E79"/>
                          <w:sz w:val="22"/>
                          <w:u w:val="single" w:color="1F4E79"/>
                        </w:rPr>
                        <w:t>partidas</w:t>
                      </w:r>
                      <w:r>
                        <w:rPr>
                          <w:b/>
                          <w:color w:val="1F4E79"/>
                          <w:spacing w:val="-4"/>
                          <w:sz w:val="22"/>
                          <w:u w:val="single" w:color="1F4E79"/>
                        </w:rPr>
                        <w:t> </w:t>
                      </w:r>
                      <w:r>
                        <w:rPr>
                          <w:b/>
                          <w:color w:val="1F4E79"/>
                          <w:sz w:val="22"/>
                          <w:u w:val="single" w:color="1F4E79"/>
                        </w:rPr>
                        <w:t>más</w:t>
                      </w:r>
                      <w:r>
                        <w:rPr>
                          <w:b/>
                          <w:color w:val="1F4E79"/>
                          <w:spacing w:val="-7"/>
                          <w:sz w:val="22"/>
                          <w:u w:val="single" w:color="1F4E79"/>
                        </w:rPr>
                        <w:t> </w:t>
                      </w:r>
                      <w:r>
                        <w:rPr>
                          <w:b/>
                          <w:color w:val="1F4E79"/>
                          <w:sz w:val="22"/>
                          <w:u w:val="single" w:color="1F4E79"/>
                        </w:rPr>
                        <w:t>materiales</w:t>
                      </w:r>
                      <w:r>
                        <w:rPr>
                          <w:b/>
                          <w:color w:val="1F4E79"/>
                          <w:spacing w:val="-4"/>
                          <w:sz w:val="22"/>
                          <w:u w:val="single" w:color="1F4E79"/>
                        </w:rPr>
                        <w:t> </w:t>
                      </w:r>
                      <w:r>
                        <w:rPr>
                          <w:b/>
                          <w:color w:val="1F4E79"/>
                          <w:sz w:val="22"/>
                          <w:u w:val="single" w:color="1F4E79"/>
                        </w:rPr>
                        <w:t>de</w:t>
                      </w:r>
                      <w:r>
                        <w:rPr>
                          <w:b/>
                          <w:color w:val="1F4E79"/>
                          <w:spacing w:val="-4"/>
                          <w:sz w:val="22"/>
                          <w:u w:val="single" w:color="1F4E79"/>
                        </w:rPr>
                        <w:t> </w:t>
                      </w:r>
                      <w:r>
                        <w:rPr>
                          <w:b/>
                          <w:color w:val="1F4E79"/>
                          <w:sz w:val="22"/>
                          <w:u w:val="single" w:color="1F4E79"/>
                        </w:rPr>
                        <w:t>pagos</w:t>
                      </w:r>
                      <w:r>
                        <w:rPr>
                          <w:sz w:val="22"/>
                          <w:u w:val="none"/>
                        </w:rPr>
                        <w:t>: Al 31 de julio 2026, no presenta ningún movimiento.</w:t>
                      </w:r>
                    </w:p>
                  </w:txbxContent>
                </v:textbox>
                <v:stroke dashstyle="solid"/>
                <w10:wrap type="topAndBottom"/>
              </v:shape>
            </w:pict>
          </mc:Fallback>
        </mc:AlternateContent>
      </w:r>
    </w:p>
    <w:p>
      <w:pPr>
        <w:pStyle w:val="BodyText"/>
        <w:spacing w:before="185"/>
      </w:pPr>
    </w:p>
    <w:p>
      <w:pPr>
        <w:pStyle w:val="BodyText"/>
        <w:ind w:left="622"/>
        <w:jc w:val="both"/>
        <w:rPr>
          <w:rFonts w:ascii="Calibri" w:hAnsi="Calibri"/>
        </w:rPr>
      </w:pPr>
      <w:r>
        <w:rPr>
          <w:rFonts w:ascii="Calibri" w:hAnsi="Calibri"/>
          <w:spacing w:val="-2"/>
        </w:rPr>
        <w:t>NOTA</w:t>
      </w:r>
      <w:r>
        <w:rPr>
          <w:rFonts w:ascii="Calibri" w:hAnsi="Calibri"/>
          <w:spacing w:val="-8"/>
        </w:rPr>
        <w:t> </w:t>
      </w:r>
      <w:r>
        <w:rPr>
          <w:rFonts w:ascii="Calibri" w:hAnsi="Calibri"/>
          <w:spacing w:val="-2"/>
        </w:rPr>
        <w:t>N°</w:t>
      </w:r>
      <w:r>
        <w:rPr>
          <w:rFonts w:ascii="Calibri" w:hAnsi="Calibri"/>
          <w:spacing w:val="-7"/>
        </w:rPr>
        <w:t> </w:t>
      </w:r>
      <w:r>
        <w:rPr>
          <w:rFonts w:ascii="Calibri" w:hAnsi="Calibri"/>
          <w:spacing w:val="-5"/>
        </w:rPr>
        <w:t>83</w:t>
      </w:r>
    </w:p>
    <w:p>
      <w:pPr>
        <w:pStyle w:val="BodyText"/>
        <w:spacing w:before="261"/>
        <w:ind w:left="622"/>
        <w:jc w:val="both"/>
      </w:pPr>
      <w:r>
        <w:rPr/>
        <w:t>Efectivo</w:t>
      </w:r>
      <w:r>
        <w:rPr>
          <w:spacing w:val="-2"/>
        </w:rPr>
        <w:t> </w:t>
      </w:r>
      <w:r>
        <w:rPr/>
        <w:t>y</w:t>
      </w:r>
      <w:r>
        <w:rPr>
          <w:spacing w:val="-2"/>
        </w:rPr>
        <w:t> equivalentes</w:t>
      </w:r>
    </w:p>
    <w:p>
      <w:pPr>
        <w:pStyle w:val="BodyText"/>
        <w:spacing w:before="9"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96"/>
        <w:gridCol w:w="572"/>
        <w:gridCol w:w="1890"/>
        <w:gridCol w:w="1985"/>
        <w:gridCol w:w="1054"/>
      </w:tblGrid>
      <w:tr>
        <w:trPr>
          <w:trHeight w:val="251" w:hRule="atLeast"/>
        </w:trPr>
        <w:tc>
          <w:tcPr>
            <w:tcW w:w="3596" w:type="dxa"/>
            <w:vMerge w:val="restart"/>
            <w:shd w:val="clear" w:color="auto" w:fill="365F92"/>
          </w:tcPr>
          <w:p>
            <w:pPr>
              <w:pStyle w:val="TableParagraph"/>
              <w:spacing w:before="45"/>
              <w:ind w:left="69"/>
              <w:rPr>
                <w:b/>
                <w:sz w:val="22"/>
              </w:rPr>
            </w:pPr>
            <w:r>
              <w:rPr>
                <w:b/>
                <w:color w:val="FFFFFF"/>
                <w:spacing w:val="-2"/>
                <w:sz w:val="22"/>
              </w:rPr>
              <w:t>Descripción</w:t>
            </w:r>
          </w:p>
        </w:tc>
        <w:tc>
          <w:tcPr>
            <w:tcW w:w="572" w:type="dxa"/>
            <w:vMerge w:val="restart"/>
            <w:shd w:val="clear" w:color="auto" w:fill="365F92"/>
          </w:tcPr>
          <w:p>
            <w:pPr>
              <w:pStyle w:val="TableParagraph"/>
              <w:spacing w:before="134"/>
              <w:ind w:left="68"/>
              <w:rPr>
                <w:b/>
                <w:sz w:val="22"/>
              </w:rPr>
            </w:pPr>
            <w:r>
              <w:rPr>
                <w:b/>
                <w:color w:val="FFFFFF"/>
                <w:spacing w:val="-4"/>
                <w:sz w:val="22"/>
              </w:rPr>
              <w:t>Nota</w:t>
            </w:r>
          </w:p>
        </w:tc>
        <w:tc>
          <w:tcPr>
            <w:tcW w:w="1890" w:type="dxa"/>
            <w:vMerge w:val="restart"/>
            <w:shd w:val="clear" w:color="auto" w:fill="365F92"/>
          </w:tcPr>
          <w:p>
            <w:pPr>
              <w:pStyle w:val="TableParagraph"/>
              <w:spacing w:before="134"/>
              <w:ind w:left="310"/>
              <w:rPr>
                <w:b/>
                <w:sz w:val="22"/>
              </w:rPr>
            </w:pPr>
            <w:r>
              <w:rPr>
                <w:b/>
                <w:color w:val="FFFFFF"/>
                <w:sz w:val="22"/>
              </w:rPr>
              <w:t>Periodo</w:t>
            </w:r>
            <w:r>
              <w:rPr>
                <w:b/>
                <w:color w:val="FFFFFF"/>
                <w:spacing w:val="-4"/>
                <w:sz w:val="22"/>
              </w:rPr>
              <w:t> </w:t>
            </w:r>
            <w:r>
              <w:rPr>
                <w:b/>
                <w:color w:val="FFFFFF"/>
                <w:spacing w:val="-2"/>
                <w:sz w:val="22"/>
              </w:rPr>
              <w:t>Actual</w:t>
            </w:r>
          </w:p>
        </w:tc>
        <w:tc>
          <w:tcPr>
            <w:tcW w:w="1985" w:type="dxa"/>
            <w:vMerge w:val="restart"/>
            <w:shd w:val="clear" w:color="auto" w:fill="365F92"/>
          </w:tcPr>
          <w:p>
            <w:pPr>
              <w:pStyle w:val="TableParagraph"/>
              <w:spacing w:before="134"/>
              <w:ind w:left="267"/>
              <w:rPr>
                <w:b/>
                <w:sz w:val="22"/>
              </w:rPr>
            </w:pPr>
            <w:r>
              <w:rPr>
                <w:b/>
                <w:color w:val="FFFFFF"/>
                <w:sz w:val="22"/>
              </w:rPr>
              <w:t>Periodo</w:t>
            </w:r>
            <w:r>
              <w:rPr>
                <w:b/>
                <w:color w:val="FFFFFF"/>
                <w:spacing w:val="-4"/>
                <w:sz w:val="22"/>
              </w:rPr>
              <w:t> </w:t>
            </w:r>
            <w:r>
              <w:rPr>
                <w:b/>
                <w:color w:val="FFFFFF"/>
                <w:spacing w:val="-2"/>
                <w:sz w:val="22"/>
              </w:rPr>
              <w:t>Anterior</w:t>
            </w:r>
          </w:p>
        </w:tc>
        <w:tc>
          <w:tcPr>
            <w:tcW w:w="1054" w:type="dxa"/>
            <w:shd w:val="clear" w:color="auto" w:fill="365F92"/>
          </w:tcPr>
          <w:p>
            <w:pPr>
              <w:pStyle w:val="TableParagraph"/>
              <w:spacing w:line="231" w:lineRule="exact"/>
              <w:ind w:left="22" w:right="7"/>
              <w:jc w:val="center"/>
              <w:rPr>
                <w:b/>
                <w:sz w:val="22"/>
              </w:rPr>
            </w:pPr>
            <w:r>
              <w:rPr>
                <w:b/>
                <w:color w:val="FFFFFF"/>
                <w:spacing w:val="-2"/>
                <w:sz w:val="22"/>
              </w:rPr>
              <w:t>Diferencia</w:t>
            </w:r>
          </w:p>
        </w:tc>
      </w:tr>
      <w:tr>
        <w:trPr>
          <w:trHeight w:val="251" w:hRule="atLeast"/>
        </w:trPr>
        <w:tc>
          <w:tcPr>
            <w:tcW w:w="3596"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90" w:type="dxa"/>
            <w:vMerge/>
            <w:tcBorders>
              <w:top w:val="nil"/>
            </w:tcBorders>
            <w:shd w:val="clear" w:color="auto" w:fill="365F92"/>
          </w:tcPr>
          <w:p>
            <w:pPr>
              <w:rPr>
                <w:sz w:val="2"/>
                <w:szCs w:val="2"/>
              </w:rPr>
            </w:pPr>
          </w:p>
        </w:tc>
        <w:tc>
          <w:tcPr>
            <w:tcW w:w="1985" w:type="dxa"/>
            <w:vMerge/>
            <w:tcBorders>
              <w:top w:val="nil"/>
            </w:tcBorders>
            <w:shd w:val="clear" w:color="auto" w:fill="365F92"/>
          </w:tcPr>
          <w:p>
            <w:pPr>
              <w:rPr>
                <w:sz w:val="2"/>
                <w:szCs w:val="2"/>
              </w:rPr>
            </w:pPr>
          </w:p>
        </w:tc>
        <w:tc>
          <w:tcPr>
            <w:tcW w:w="1054" w:type="dxa"/>
            <w:shd w:val="clear" w:color="auto" w:fill="365F92"/>
          </w:tcPr>
          <w:p>
            <w:pPr>
              <w:pStyle w:val="TableParagraph"/>
              <w:spacing w:line="231" w:lineRule="exact"/>
              <w:ind w:left="22" w:right="8"/>
              <w:jc w:val="center"/>
              <w:rPr>
                <w:sz w:val="22"/>
              </w:rPr>
            </w:pPr>
            <w:r>
              <w:rPr>
                <w:color w:val="FFFFFF"/>
                <w:spacing w:val="-10"/>
                <w:sz w:val="22"/>
              </w:rPr>
              <w:t>%</w:t>
            </w:r>
          </w:p>
        </w:tc>
      </w:tr>
      <w:tr>
        <w:trPr>
          <w:trHeight w:val="457" w:hRule="atLeast"/>
        </w:trPr>
        <w:tc>
          <w:tcPr>
            <w:tcW w:w="3596" w:type="dxa"/>
          </w:tcPr>
          <w:p>
            <w:pPr>
              <w:pStyle w:val="TableParagraph"/>
              <w:spacing w:line="227" w:lineRule="exact"/>
              <w:ind w:left="69"/>
              <w:rPr>
                <w:b/>
                <w:sz w:val="20"/>
              </w:rPr>
            </w:pPr>
            <w:r>
              <w:rPr>
                <w:b/>
                <w:sz w:val="20"/>
              </w:rPr>
              <w:t>Efectivo</w:t>
            </w:r>
            <w:r>
              <w:rPr>
                <w:b/>
                <w:spacing w:val="-5"/>
                <w:sz w:val="20"/>
              </w:rPr>
              <w:t> </w:t>
            </w:r>
            <w:r>
              <w:rPr>
                <w:b/>
                <w:sz w:val="20"/>
              </w:rPr>
              <w:t>y</w:t>
            </w:r>
            <w:r>
              <w:rPr>
                <w:b/>
                <w:spacing w:val="-4"/>
                <w:sz w:val="20"/>
              </w:rPr>
              <w:t> </w:t>
            </w:r>
            <w:r>
              <w:rPr>
                <w:b/>
                <w:sz w:val="20"/>
              </w:rPr>
              <w:t>equivalentes</w:t>
            </w:r>
            <w:r>
              <w:rPr>
                <w:b/>
                <w:spacing w:val="-6"/>
                <w:sz w:val="20"/>
              </w:rPr>
              <w:t> </w:t>
            </w:r>
            <w:r>
              <w:rPr>
                <w:b/>
                <w:sz w:val="20"/>
              </w:rPr>
              <w:t>de</w:t>
            </w:r>
            <w:r>
              <w:rPr>
                <w:b/>
                <w:spacing w:val="-5"/>
                <w:sz w:val="20"/>
              </w:rPr>
              <w:t> </w:t>
            </w:r>
            <w:r>
              <w:rPr>
                <w:b/>
                <w:sz w:val="20"/>
              </w:rPr>
              <w:t>efectivo</w:t>
            </w:r>
            <w:r>
              <w:rPr>
                <w:b/>
                <w:spacing w:val="-4"/>
                <w:sz w:val="20"/>
              </w:rPr>
              <w:t> </w:t>
            </w:r>
            <w:r>
              <w:rPr>
                <w:b/>
                <w:sz w:val="20"/>
              </w:rPr>
              <w:t>al</w:t>
            </w:r>
            <w:r>
              <w:rPr>
                <w:b/>
                <w:spacing w:val="-3"/>
                <w:sz w:val="20"/>
              </w:rPr>
              <w:t> </w:t>
            </w:r>
            <w:r>
              <w:rPr>
                <w:b/>
                <w:spacing w:val="-4"/>
                <w:sz w:val="20"/>
              </w:rPr>
              <w:t>final</w:t>
            </w:r>
          </w:p>
          <w:p>
            <w:pPr>
              <w:pStyle w:val="TableParagraph"/>
              <w:spacing w:line="211" w:lineRule="exact"/>
              <w:ind w:left="69"/>
              <w:rPr>
                <w:b/>
                <w:sz w:val="20"/>
              </w:rPr>
            </w:pPr>
            <w:r>
              <w:rPr>
                <w:b/>
                <w:sz w:val="20"/>
              </w:rPr>
              <w:t>del</w:t>
            </w:r>
            <w:r>
              <w:rPr>
                <w:b/>
                <w:spacing w:val="-2"/>
                <w:sz w:val="20"/>
              </w:rPr>
              <w:t> ejercicio</w:t>
            </w:r>
          </w:p>
        </w:tc>
        <w:tc>
          <w:tcPr>
            <w:tcW w:w="572" w:type="dxa"/>
          </w:tcPr>
          <w:p>
            <w:pPr>
              <w:pStyle w:val="TableParagraph"/>
              <w:spacing w:before="113"/>
              <w:ind w:left="186"/>
              <w:rPr>
                <w:b/>
                <w:sz w:val="20"/>
              </w:rPr>
            </w:pPr>
            <w:r>
              <w:rPr>
                <w:b/>
                <w:spacing w:val="-5"/>
                <w:sz w:val="20"/>
              </w:rPr>
              <w:t>83</w:t>
            </w:r>
          </w:p>
        </w:tc>
        <w:tc>
          <w:tcPr>
            <w:tcW w:w="1890" w:type="dxa"/>
          </w:tcPr>
          <w:p>
            <w:pPr>
              <w:pStyle w:val="TableParagraph"/>
              <w:spacing w:before="101"/>
              <w:ind w:left="320"/>
              <w:rPr>
                <w:b/>
                <w:sz w:val="22"/>
              </w:rPr>
            </w:pPr>
            <w:r>
              <w:rPr>
                <w:b/>
                <w:sz w:val="22"/>
              </w:rPr>
              <w:t>34</w:t>
            </w:r>
            <w:r>
              <w:rPr>
                <w:b/>
                <w:spacing w:val="-2"/>
                <w:sz w:val="22"/>
              </w:rPr>
              <w:t> </w:t>
            </w:r>
            <w:r>
              <w:rPr>
                <w:b/>
                <w:sz w:val="22"/>
              </w:rPr>
              <w:t>068 </w:t>
            </w:r>
            <w:r>
              <w:rPr>
                <w:b/>
                <w:spacing w:val="-2"/>
                <w:sz w:val="22"/>
              </w:rPr>
              <w:t>168,63</w:t>
            </w:r>
          </w:p>
        </w:tc>
        <w:tc>
          <w:tcPr>
            <w:tcW w:w="1985" w:type="dxa"/>
          </w:tcPr>
          <w:p>
            <w:pPr>
              <w:pStyle w:val="TableParagraph"/>
              <w:spacing w:before="101"/>
              <w:ind w:left="367"/>
              <w:rPr>
                <w:b/>
                <w:sz w:val="22"/>
              </w:rPr>
            </w:pPr>
            <w:r>
              <w:rPr>
                <w:b/>
                <w:sz w:val="22"/>
              </w:rPr>
              <w:t>39</w:t>
            </w:r>
            <w:r>
              <w:rPr>
                <w:b/>
                <w:spacing w:val="-2"/>
                <w:sz w:val="22"/>
              </w:rPr>
              <w:t> </w:t>
            </w:r>
            <w:r>
              <w:rPr>
                <w:b/>
                <w:sz w:val="22"/>
              </w:rPr>
              <w:t>811 </w:t>
            </w:r>
            <w:r>
              <w:rPr>
                <w:b/>
                <w:spacing w:val="-2"/>
                <w:sz w:val="22"/>
              </w:rPr>
              <w:t>023,78</w:t>
            </w:r>
          </w:p>
        </w:tc>
        <w:tc>
          <w:tcPr>
            <w:tcW w:w="1054" w:type="dxa"/>
          </w:tcPr>
          <w:p>
            <w:pPr>
              <w:pStyle w:val="TableParagraph"/>
              <w:spacing w:before="103"/>
              <w:ind w:left="22" w:right="6"/>
              <w:jc w:val="center"/>
              <w:rPr>
                <w:rFonts w:ascii="Arial Narrow"/>
                <w:b/>
                <w:sz w:val="22"/>
              </w:rPr>
            </w:pPr>
            <w:r>
              <w:rPr>
                <w:rFonts w:ascii="Arial Narrow"/>
                <w:b/>
                <w:sz w:val="22"/>
              </w:rPr>
              <w:t>-</w:t>
            </w:r>
            <w:r>
              <w:rPr>
                <w:rFonts w:ascii="Arial Narrow"/>
                <w:b/>
                <w:spacing w:val="-2"/>
                <w:sz w:val="22"/>
              </w:rPr>
              <w:t>14,43%</w:t>
            </w:r>
          </w:p>
        </w:tc>
      </w:tr>
    </w:tbl>
    <w:p>
      <w:pPr>
        <w:pStyle w:val="BodyText"/>
      </w:pPr>
    </w:p>
    <w:p>
      <w:pPr>
        <w:pStyle w:val="BodyText"/>
        <w:spacing w:before="247"/>
      </w:pPr>
    </w:p>
    <w:p>
      <w:pPr>
        <w:pStyle w:val="BodyText"/>
        <w:spacing w:line="259" w:lineRule="auto"/>
        <w:ind w:left="622" w:right="976"/>
        <w:jc w:val="both"/>
      </w:pPr>
      <w:r>
        <w:rPr/>
        <w:t>La</w:t>
      </w:r>
      <w:r>
        <w:rPr>
          <w:spacing w:val="-14"/>
        </w:rPr>
        <w:t> </w:t>
      </w:r>
      <w:r>
        <w:rPr/>
        <w:t>cuenta</w:t>
      </w:r>
      <w:r>
        <w:rPr>
          <w:spacing w:val="-14"/>
        </w:rPr>
        <w:t> </w:t>
      </w:r>
      <w:r>
        <w:rPr/>
        <w:t>Efectivo</w:t>
      </w:r>
      <w:r>
        <w:rPr>
          <w:spacing w:val="-14"/>
        </w:rPr>
        <w:t> </w:t>
      </w:r>
      <w:r>
        <w:rPr/>
        <w:t>y</w:t>
      </w:r>
      <w:r>
        <w:rPr>
          <w:spacing w:val="-13"/>
        </w:rPr>
        <w:t> </w:t>
      </w:r>
      <w:r>
        <w:rPr/>
        <w:t>equivalentes</w:t>
      </w:r>
      <w:r>
        <w:rPr>
          <w:spacing w:val="-14"/>
        </w:rPr>
        <w:t> </w:t>
      </w:r>
      <w:r>
        <w:rPr/>
        <w:t>de</w:t>
      </w:r>
      <w:r>
        <w:rPr>
          <w:spacing w:val="-14"/>
        </w:rPr>
        <w:t> </w:t>
      </w:r>
      <w:r>
        <w:rPr/>
        <w:t>efectivo</w:t>
      </w:r>
      <w:r>
        <w:rPr>
          <w:spacing w:val="-14"/>
        </w:rPr>
        <w:t> </w:t>
      </w:r>
      <w:r>
        <w:rPr/>
        <w:t>al</w:t>
      </w:r>
      <w:r>
        <w:rPr>
          <w:spacing w:val="-13"/>
        </w:rPr>
        <w:t> </w:t>
      </w:r>
      <w:r>
        <w:rPr/>
        <w:t>final</w:t>
      </w:r>
      <w:r>
        <w:rPr>
          <w:spacing w:val="-14"/>
        </w:rPr>
        <w:t> </w:t>
      </w:r>
      <w:r>
        <w:rPr/>
        <w:t>del</w:t>
      </w:r>
      <w:r>
        <w:rPr>
          <w:spacing w:val="-14"/>
        </w:rPr>
        <w:t> </w:t>
      </w:r>
      <w:r>
        <w:rPr/>
        <w:t>ejercicio,</w:t>
      </w:r>
      <w:r>
        <w:rPr>
          <w:spacing w:val="-14"/>
        </w:rPr>
        <w:t> </w:t>
      </w:r>
      <w:r>
        <w:rPr/>
        <w:t>comparado</w:t>
      </w:r>
      <w:r>
        <w:rPr>
          <w:spacing w:val="-13"/>
        </w:rPr>
        <w:t> </w:t>
      </w:r>
      <w:r>
        <w:rPr/>
        <w:t>al</w:t>
      </w:r>
      <w:r>
        <w:rPr>
          <w:spacing w:val="-14"/>
        </w:rPr>
        <w:t> </w:t>
      </w:r>
      <w:r>
        <w:rPr/>
        <w:t>periodo</w:t>
      </w:r>
      <w:r>
        <w:rPr>
          <w:spacing w:val="-14"/>
        </w:rPr>
        <w:t> </w:t>
      </w:r>
      <w:r>
        <w:rPr/>
        <w:t>anterior</w:t>
      </w:r>
      <w:r>
        <w:rPr>
          <w:spacing w:val="-14"/>
        </w:rPr>
        <w:t> </w:t>
      </w:r>
      <w:r>
        <w:rPr/>
        <w:t>genera una</w:t>
      </w:r>
      <w:r>
        <w:rPr>
          <w:spacing w:val="-9"/>
        </w:rPr>
        <w:t> </w:t>
      </w:r>
      <w:r>
        <w:rPr/>
        <w:t>variación</w:t>
      </w:r>
      <w:r>
        <w:rPr>
          <w:spacing w:val="-8"/>
        </w:rPr>
        <w:t> </w:t>
      </w:r>
      <w:r>
        <w:rPr/>
        <w:t>absoluta</w:t>
      </w:r>
      <w:r>
        <w:rPr>
          <w:spacing w:val="-8"/>
        </w:rPr>
        <w:t> </w:t>
      </w:r>
      <w:r>
        <w:rPr/>
        <w:t>de</w:t>
      </w:r>
      <w:r>
        <w:rPr>
          <w:spacing w:val="-10"/>
        </w:rPr>
        <w:t> </w:t>
      </w:r>
      <w:r>
        <w:rPr/>
        <w:t>¢</w:t>
      </w:r>
      <w:r>
        <w:rPr>
          <w:spacing w:val="-8"/>
        </w:rPr>
        <w:t> </w:t>
      </w:r>
      <w:r>
        <w:rPr/>
        <w:t>-5.742.855,15</w:t>
      </w:r>
      <w:r>
        <w:rPr>
          <w:spacing w:val="-10"/>
        </w:rPr>
        <w:t> </w:t>
      </w:r>
      <w:r>
        <w:rPr/>
        <w:t>que</w:t>
      </w:r>
      <w:r>
        <w:rPr>
          <w:spacing w:val="-7"/>
        </w:rPr>
        <w:t> </w:t>
      </w:r>
      <w:r>
        <w:rPr/>
        <w:t>corresponde</w:t>
      </w:r>
      <w:r>
        <w:rPr>
          <w:spacing w:val="-8"/>
        </w:rPr>
        <w:t> </w:t>
      </w:r>
      <w:r>
        <w:rPr/>
        <w:t>a</w:t>
      </w:r>
      <w:r>
        <w:rPr>
          <w:spacing w:val="-9"/>
        </w:rPr>
        <w:t> </w:t>
      </w:r>
      <w:r>
        <w:rPr/>
        <w:t>una</w:t>
      </w:r>
      <w:r>
        <w:rPr>
          <w:spacing w:val="-9"/>
        </w:rPr>
        <w:t> </w:t>
      </w:r>
      <w:r>
        <w:rPr/>
        <w:t>disminución</w:t>
      </w:r>
      <w:r>
        <w:rPr>
          <w:spacing w:val="-8"/>
        </w:rPr>
        <w:t> </w:t>
      </w:r>
      <w:r>
        <w:rPr/>
        <w:t>del</w:t>
      </w:r>
      <w:r>
        <w:rPr>
          <w:spacing w:val="-7"/>
        </w:rPr>
        <w:t> </w:t>
      </w:r>
      <w:r>
        <w:rPr/>
        <w:t>-14,43%</w:t>
      </w:r>
      <w:r>
        <w:rPr>
          <w:spacing w:val="-8"/>
        </w:rPr>
        <w:t> </w:t>
      </w:r>
      <w:r>
        <w:rPr/>
        <w:t>de</w:t>
      </w:r>
      <w:r>
        <w:rPr>
          <w:spacing w:val="-10"/>
        </w:rPr>
        <w:t> </w:t>
      </w:r>
      <w:r>
        <w:rPr/>
        <w:t>recursos </w:t>
      </w:r>
      <w:r>
        <w:rPr>
          <w:spacing w:val="-2"/>
        </w:rPr>
        <w:t>disponibles.</w:t>
      </w:r>
    </w:p>
    <w:p>
      <w:pPr>
        <w:pStyle w:val="BodyText"/>
        <w:spacing w:line="256" w:lineRule="auto" w:before="162"/>
        <w:ind w:left="622" w:right="979" w:firstLine="55"/>
        <w:jc w:val="both"/>
      </w:pPr>
      <w:r>
        <w:rPr/>
        <w:t>En</w:t>
      </w:r>
      <w:r>
        <w:rPr>
          <w:spacing w:val="-4"/>
        </w:rPr>
        <w:t> </w:t>
      </w:r>
      <w:r>
        <w:rPr/>
        <w:t>lo</w:t>
      </w:r>
      <w:r>
        <w:rPr>
          <w:spacing w:val="-7"/>
        </w:rPr>
        <w:t> </w:t>
      </w:r>
      <w:r>
        <w:rPr/>
        <w:t>que</w:t>
      </w:r>
      <w:r>
        <w:rPr>
          <w:spacing w:val="-4"/>
        </w:rPr>
        <w:t> </w:t>
      </w:r>
      <w:r>
        <w:rPr/>
        <w:t>respecta</w:t>
      </w:r>
      <w:r>
        <w:rPr>
          <w:spacing w:val="-8"/>
        </w:rPr>
        <w:t> </w:t>
      </w:r>
      <w:r>
        <w:rPr/>
        <w:t>al</w:t>
      </w:r>
      <w:r>
        <w:rPr>
          <w:spacing w:val="-8"/>
        </w:rPr>
        <w:t> </w:t>
      </w:r>
      <w:r>
        <w:rPr/>
        <w:t>efectivo</w:t>
      </w:r>
      <w:r>
        <w:rPr>
          <w:spacing w:val="-6"/>
        </w:rPr>
        <w:t> </w:t>
      </w:r>
      <w:r>
        <w:rPr/>
        <w:t>significativo</w:t>
      </w:r>
      <w:r>
        <w:rPr>
          <w:spacing w:val="-7"/>
        </w:rPr>
        <w:t> </w:t>
      </w:r>
      <w:r>
        <w:rPr/>
        <w:t>se</w:t>
      </w:r>
      <w:r>
        <w:rPr>
          <w:spacing w:val="-4"/>
        </w:rPr>
        <w:t> </w:t>
      </w:r>
      <w:r>
        <w:rPr/>
        <w:t>debe</w:t>
      </w:r>
      <w:r>
        <w:rPr>
          <w:spacing w:val="-4"/>
        </w:rPr>
        <w:t> </w:t>
      </w:r>
      <w:r>
        <w:rPr/>
        <w:t>indicar</w:t>
      </w:r>
      <w:r>
        <w:rPr>
          <w:spacing w:val="-5"/>
        </w:rPr>
        <w:t> </w:t>
      </w:r>
      <w:r>
        <w:rPr/>
        <w:t>que</w:t>
      </w:r>
      <w:r>
        <w:rPr>
          <w:spacing w:val="-6"/>
        </w:rPr>
        <w:t> </w:t>
      </w:r>
      <w:r>
        <w:rPr/>
        <w:t>en</w:t>
      </w:r>
      <w:r>
        <w:rPr>
          <w:spacing w:val="-7"/>
        </w:rPr>
        <w:t> </w:t>
      </w:r>
      <w:r>
        <w:rPr/>
        <w:t>la</w:t>
      </w:r>
      <w:r>
        <w:rPr>
          <w:spacing w:val="-6"/>
        </w:rPr>
        <w:t> </w:t>
      </w:r>
      <w:r>
        <w:rPr/>
        <w:t>institución</w:t>
      </w:r>
      <w:r>
        <w:rPr>
          <w:spacing w:val="-7"/>
        </w:rPr>
        <w:t> </w:t>
      </w:r>
      <w:r>
        <w:rPr/>
        <w:t>existen</w:t>
      </w:r>
      <w:r>
        <w:rPr>
          <w:spacing w:val="80"/>
        </w:rPr>
        <w:t> </w:t>
      </w:r>
      <w:r>
        <w:rPr/>
        <w:t>tres</w:t>
      </w:r>
      <w:r>
        <w:rPr>
          <w:spacing w:val="-6"/>
        </w:rPr>
        <w:t> </w:t>
      </w:r>
      <w:r>
        <w:rPr/>
        <w:t>fuentes</w:t>
      </w:r>
      <w:r>
        <w:rPr>
          <w:spacing w:val="-6"/>
        </w:rPr>
        <w:t> </w:t>
      </w:r>
      <w:r>
        <w:rPr/>
        <w:t>de financiamiento que se detallan a continuación.</w:t>
      </w:r>
    </w:p>
    <w:p>
      <w:pPr>
        <w:pStyle w:val="ListParagraph"/>
        <w:numPr>
          <w:ilvl w:val="0"/>
          <w:numId w:val="72"/>
        </w:numPr>
        <w:tabs>
          <w:tab w:pos="1341" w:val="left" w:leader="none"/>
        </w:tabs>
        <w:spacing w:line="303" w:lineRule="exact" w:before="162" w:after="0"/>
        <w:ind w:left="1341" w:right="0" w:hanging="360"/>
        <w:jc w:val="left"/>
        <w:rPr>
          <w:sz w:val="24"/>
        </w:rPr>
      </w:pPr>
      <w:r>
        <w:rPr>
          <w:sz w:val="24"/>
        </w:rPr>
        <w:t>Recursos</w:t>
      </w:r>
      <w:r>
        <w:rPr>
          <w:spacing w:val="-3"/>
          <w:sz w:val="24"/>
        </w:rPr>
        <w:t> </w:t>
      </w:r>
      <w:r>
        <w:rPr>
          <w:sz w:val="24"/>
        </w:rPr>
        <w:t>Propios-</w:t>
      </w:r>
      <w:r>
        <w:rPr>
          <w:spacing w:val="-2"/>
          <w:sz w:val="24"/>
        </w:rPr>
        <w:t> </w:t>
      </w:r>
      <w:r>
        <w:rPr>
          <w:spacing w:val="-4"/>
          <w:sz w:val="24"/>
        </w:rPr>
        <w:t>IMAS</w:t>
      </w:r>
    </w:p>
    <w:p>
      <w:pPr>
        <w:pStyle w:val="ListParagraph"/>
        <w:numPr>
          <w:ilvl w:val="0"/>
          <w:numId w:val="72"/>
        </w:numPr>
        <w:tabs>
          <w:tab w:pos="1341" w:val="left" w:leader="none"/>
        </w:tabs>
        <w:spacing w:line="303" w:lineRule="exact" w:before="0" w:after="0"/>
        <w:ind w:left="1341" w:right="0" w:hanging="360"/>
        <w:jc w:val="left"/>
        <w:rPr>
          <w:sz w:val="24"/>
        </w:rPr>
      </w:pPr>
      <w:r>
        <w:rPr>
          <w:sz w:val="24"/>
        </w:rPr>
        <w:t>Recursos</w:t>
      </w:r>
      <w:r>
        <w:rPr>
          <w:spacing w:val="-1"/>
          <w:sz w:val="24"/>
        </w:rPr>
        <w:t> </w:t>
      </w:r>
      <w:r>
        <w:rPr>
          <w:spacing w:val="-2"/>
          <w:sz w:val="24"/>
        </w:rPr>
        <w:t>FODESAF</w:t>
      </w:r>
    </w:p>
    <w:p>
      <w:pPr>
        <w:pStyle w:val="ListParagraph"/>
        <w:numPr>
          <w:ilvl w:val="0"/>
          <w:numId w:val="72"/>
        </w:numPr>
        <w:tabs>
          <w:tab w:pos="1341" w:val="left" w:leader="none"/>
        </w:tabs>
        <w:spacing w:line="240" w:lineRule="auto" w:before="1" w:after="0"/>
        <w:ind w:left="1341" w:right="0" w:hanging="360"/>
        <w:jc w:val="left"/>
        <w:rPr>
          <w:sz w:val="24"/>
        </w:rPr>
      </w:pPr>
      <w:r>
        <w:rPr>
          <w:sz w:val="24"/>
        </w:rPr>
        <w:t>Recursos</w:t>
      </w:r>
      <w:r>
        <w:rPr>
          <w:spacing w:val="-3"/>
          <w:sz w:val="24"/>
        </w:rPr>
        <w:t> </w:t>
      </w:r>
      <w:r>
        <w:rPr>
          <w:sz w:val="24"/>
        </w:rPr>
        <w:t>Gobierno</w:t>
      </w:r>
      <w:r>
        <w:rPr>
          <w:spacing w:val="-2"/>
          <w:sz w:val="24"/>
        </w:rPr>
        <w:t> Central</w:t>
      </w:r>
    </w:p>
    <w:p>
      <w:pPr>
        <w:pStyle w:val="BodyText"/>
        <w:spacing w:before="159"/>
        <w:rPr>
          <w:sz w:val="24"/>
        </w:rPr>
      </w:pPr>
    </w:p>
    <w:p>
      <w:pPr>
        <w:pStyle w:val="BodyText"/>
        <w:spacing w:line="259" w:lineRule="auto"/>
        <w:ind w:left="622" w:right="980"/>
        <w:jc w:val="both"/>
      </w:pPr>
      <w:r>
        <w:rPr/>
        <w:t>Es importante indicar que a los recursos propios ingresan de forma directa a las cuentas bancarias institucionales</w:t>
      </w:r>
      <w:r>
        <w:rPr>
          <w:spacing w:val="-14"/>
        </w:rPr>
        <w:t> </w:t>
      </w:r>
      <w:r>
        <w:rPr/>
        <w:t>destinadas</w:t>
      </w:r>
      <w:r>
        <w:rPr>
          <w:spacing w:val="-14"/>
        </w:rPr>
        <w:t> </w:t>
      </w:r>
      <w:r>
        <w:rPr/>
        <w:t>para</w:t>
      </w:r>
      <w:r>
        <w:rPr>
          <w:spacing w:val="-14"/>
        </w:rPr>
        <w:t> </w:t>
      </w:r>
      <w:r>
        <w:rPr/>
        <w:t>tales</w:t>
      </w:r>
      <w:r>
        <w:rPr>
          <w:spacing w:val="-13"/>
        </w:rPr>
        <w:t> </w:t>
      </w:r>
      <w:r>
        <w:rPr/>
        <w:t>efectos,</w:t>
      </w:r>
      <w:r>
        <w:rPr>
          <w:spacing w:val="-14"/>
        </w:rPr>
        <w:t> </w:t>
      </w:r>
      <w:r>
        <w:rPr/>
        <w:t>y</w:t>
      </w:r>
      <w:r>
        <w:rPr>
          <w:spacing w:val="-14"/>
        </w:rPr>
        <w:t> </w:t>
      </w:r>
      <w:r>
        <w:rPr/>
        <w:t>es</w:t>
      </w:r>
      <w:r>
        <w:rPr>
          <w:spacing w:val="-14"/>
        </w:rPr>
        <w:t> </w:t>
      </w:r>
      <w:r>
        <w:rPr/>
        <w:t>desde</w:t>
      </w:r>
      <w:r>
        <w:rPr>
          <w:spacing w:val="-13"/>
        </w:rPr>
        <w:t> </w:t>
      </w:r>
      <w:r>
        <w:rPr/>
        <w:t>estás</w:t>
      </w:r>
      <w:r>
        <w:rPr>
          <w:spacing w:val="-14"/>
        </w:rPr>
        <w:t> </w:t>
      </w:r>
      <w:r>
        <w:rPr/>
        <w:t>donde</w:t>
      </w:r>
      <w:r>
        <w:rPr>
          <w:spacing w:val="-14"/>
        </w:rPr>
        <w:t> </w:t>
      </w:r>
      <w:r>
        <w:rPr/>
        <w:t>se</w:t>
      </w:r>
      <w:r>
        <w:rPr>
          <w:spacing w:val="-14"/>
        </w:rPr>
        <w:t> </w:t>
      </w:r>
      <w:r>
        <w:rPr/>
        <w:t>realizan</w:t>
      </w:r>
      <w:r>
        <w:rPr>
          <w:spacing w:val="-13"/>
        </w:rPr>
        <w:t> </w:t>
      </w:r>
      <w:r>
        <w:rPr/>
        <w:t>las</w:t>
      </w:r>
      <w:r>
        <w:rPr>
          <w:spacing w:val="-14"/>
        </w:rPr>
        <w:t> </w:t>
      </w:r>
      <w:r>
        <w:rPr/>
        <w:t>diferentes</w:t>
      </w:r>
      <w:r>
        <w:rPr>
          <w:spacing w:val="-14"/>
        </w:rPr>
        <w:t> </w:t>
      </w:r>
      <w:r>
        <w:rPr/>
        <w:t>operaciones </w:t>
      </w:r>
      <w:r>
        <w:rPr>
          <w:spacing w:val="-2"/>
        </w:rPr>
        <w:t>institucionales.</w:t>
      </w:r>
    </w:p>
    <w:p>
      <w:pPr>
        <w:pStyle w:val="BodyText"/>
        <w:spacing w:line="259" w:lineRule="auto" w:before="160"/>
        <w:ind w:left="622" w:right="978"/>
        <w:jc w:val="both"/>
      </w:pPr>
      <w:r>
        <w:rPr/>
        <w:t>En</w:t>
      </w:r>
      <w:r>
        <w:rPr>
          <w:spacing w:val="-4"/>
        </w:rPr>
        <w:t> </w:t>
      </w:r>
      <w:r>
        <w:rPr/>
        <w:t>lo</w:t>
      </w:r>
      <w:r>
        <w:rPr>
          <w:spacing w:val="-4"/>
        </w:rPr>
        <w:t> </w:t>
      </w:r>
      <w:r>
        <w:rPr/>
        <w:t>que</w:t>
      </w:r>
      <w:r>
        <w:rPr>
          <w:spacing w:val="-4"/>
        </w:rPr>
        <w:t> </w:t>
      </w:r>
      <w:r>
        <w:rPr/>
        <w:t>corresponde</w:t>
      </w:r>
      <w:r>
        <w:rPr>
          <w:spacing w:val="-4"/>
        </w:rPr>
        <w:t> </w:t>
      </w:r>
      <w:r>
        <w:rPr/>
        <w:t>a</w:t>
      </w:r>
      <w:r>
        <w:rPr>
          <w:spacing w:val="-5"/>
        </w:rPr>
        <w:t> </w:t>
      </w:r>
      <w:r>
        <w:rPr/>
        <w:t>Recursos</w:t>
      </w:r>
      <w:r>
        <w:rPr>
          <w:spacing w:val="-4"/>
        </w:rPr>
        <w:t> </w:t>
      </w:r>
      <w:r>
        <w:rPr/>
        <w:t>FODESAF</w:t>
      </w:r>
      <w:r>
        <w:rPr>
          <w:spacing w:val="-4"/>
        </w:rPr>
        <w:t> </w:t>
      </w:r>
      <w:r>
        <w:rPr/>
        <w:t>y</w:t>
      </w:r>
      <w:r>
        <w:rPr>
          <w:spacing w:val="-6"/>
        </w:rPr>
        <w:t> </w:t>
      </w:r>
      <w:r>
        <w:rPr/>
        <w:t>Gobierno</w:t>
      </w:r>
      <w:r>
        <w:rPr>
          <w:spacing w:val="-4"/>
        </w:rPr>
        <w:t> </w:t>
      </w:r>
      <w:r>
        <w:rPr/>
        <w:t>Central,</w:t>
      </w:r>
      <w:r>
        <w:rPr>
          <w:spacing w:val="-5"/>
        </w:rPr>
        <w:t> </w:t>
      </w:r>
      <w:r>
        <w:rPr/>
        <w:t>los</w:t>
      </w:r>
      <w:r>
        <w:rPr>
          <w:spacing w:val="-6"/>
        </w:rPr>
        <w:t> </w:t>
      </w:r>
      <w:r>
        <w:rPr/>
        <w:t>mismo</w:t>
      </w:r>
      <w:r>
        <w:rPr>
          <w:spacing w:val="-4"/>
        </w:rPr>
        <w:t> </w:t>
      </w:r>
      <w:r>
        <w:rPr/>
        <w:t>se</w:t>
      </w:r>
      <w:r>
        <w:rPr>
          <w:spacing w:val="-4"/>
        </w:rPr>
        <w:t> </w:t>
      </w:r>
      <w:r>
        <w:rPr/>
        <w:t>gestionan</w:t>
      </w:r>
      <w:r>
        <w:rPr>
          <w:spacing w:val="-4"/>
        </w:rPr>
        <w:t> </w:t>
      </w:r>
      <w:r>
        <w:rPr/>
        <w:t>por</w:t>
      </w:r>
      <w:r>
        <w:rPr>
          <w:spacing w:val="-7"/>
        </w:rPr>
        <w:t> </w:t>
      </w:r>
      <w:r>
        <w:rPr/>
        <w:t>medio de Caja Única, para lo cual se debe solicitar la asignación y desembolso se realizan en función de los compromisos institucionales demostrados, sin dejar de considerar la asignación de cuotas que se implementa en la operativa por parte del Ministerio de Hacienda.</w:t>
      </w:r>
    </w:p>
    <w:p>
      <w:pPr>
        <w:pStyle w:val="BodyText"/>
        <w:spacing w:line="259" w:lineRule="auto" w:before="159"/>
        <w:ind w:left="622" w:right="974"/>
        <w:jc w:val="both"/>
      </w:pPr>
      <w:r>
        <w:rPr/>
        <w:t>En</w:t>
      </w:r>
      <w:r>
        <w:rPr>
          <w:spacing w:val="-7"/>
        </w:rPr>
        <w:t> </w:t>
      </w:r>
      <w:r>
        <w:rPr/>
        <w:t>lo</w:t>
      </w:r>
      <w:r>
        <w:rPr>
          <w:spacing w:val="-9"/>
        </w:rPr>
        <w:t> </w:t>
      </w:r>
      <w:r>
        <w:rPr/>
        <w:t>concerniente</w:t>
      </w:r>
      <w:r>
        <w:rPr>
          <w:spacing w:val="-8"/>
        </w:rPr>
        <w:t> </w:t>
      </w:r>
      <w:r>
        <w:rPr/>
        <w:t>a</w:t>
      </w:r>
      <w:r>
        <w:rPr>
          <w:spacing w:val="-8"/>
        </w:rPr>
        <w:t> </w:t>
      </w:r>
      <w:r>
        <w:rPr/>
        <w:t>los</w:t>
      </w:r>
      <w:r>
        <w:rPr>
          <w:spacing w:val="-8"/>
        </w:rPr>
        <w:t> </w:t>
      </w:r>
      <w:r>
        <w:rPr/>
        <w:t>saldos</w:t>
      </w:r>
      <w:r>
        <w:rPr>
          <w:spacing w:val="-8"/>
        </w:rPr>
        <w:t> </w:t>
      </w:r>
      <w:r>
        <w:rPr/>
        <w:t>equivalente</w:t>
      </w:r>
      <w:r>
        <w:rPr>
          <w:spacing w:val="-8"/>
        </w:rPr>
        <w:t> </w:t>
      </w:r>
      <w:r>
        <w:rPr/>
        <w:t>de</w:t>
      </w:r>
      <w:r>
        <w:rPr>
          <w:spacing w:val="-8"/>
        </w:rPr>
        <w:t> </w:t>
      </w:r>
      <w:r>
        <w:rPr/>
        <w:t>efectivo</w:t>
      </w:r>
      <w:r>
        <w:rPr>
          <w:spacing w:val="-11"/>
        </w:rPr>
        <w:t> </w:t>
      </w:r>
      <w:r>
        <w:rPr/>
        <w:t>no</w:t>
      </w:r>
      <w:r>
        <w:rPr>
          <w:spacing w:val="-6"/>
        </w:rPr>
        <w:t> </w:t>
      </w:r>
      <w:r>
        <w:rPr/>
        <w:t>disponibles,</w:t>
      </w:r>
      <w:r>
        <w:rPr>
          <w:spacing w:val="-7"/>
        </w:rPr>
        <w:t> </w:t>
      </w:r>
      <w:r>
        <w:rPr/>
        <w:t>al</w:t>
      </w:r>
      <w:r>
        <w:rPr>
          <w:spacing w:val="-8"/>
        </w:rPr>
        <w:t> </w:t>
      </w:r>
      <w:r>
        <w:rPr/>
        <w:t>31</w:t>
      </w:r>
      <w:r>
        <w:rPr>
          <w:spacing w:val="-11"/>
        </w:rPr>
        <w:t> </w:t>
      </w:r>
      <w:r>
        <w:rPr/>
        <w:t>de</w:t>
      </w:r>
      <w:r>
        <w:rPr>
          <w:spacing w:val="-6"/>
        </w:rPr>
        <w:t> </w:t>
      </w:r>
      <w:r>
        <w:rPr/>
        <w:t>julio</w:t>
      </w:r>
      <w:r>
        <w:rPr>
          <w:spacing w:val="-7"/>
        </w:rPr>
        <w:t> </w:t>
      </w:r>
      <w:r>
        <w:rPr/>
        <w:t>del</w:t>
      </w:r>
      <w:r>
        <w:rPr>
          <w:spacing w:val="-8"/>
        </w:rPr>
        <w:t> </w:t>
      </w:r>
      <w:r>
        <w:rPr/>
        <w:t>2026,</w:t>
      </w:r>
      <w:r>
        <w:rPr>
          <w:spacing w:val="-9"/>
        </w:rPr>
        <w:t> </w:t>
      </w:r>
      <w:r>
        <w:rPr/>
        <w:t>se</w:t>
      </w:r>
      <w:r>
        <w:rPr>
          <w:spacing w:val="-6"/>
        </w:rPr>
        <w:t> </w:t>
      </w:r>
      <w:r>
        <w:rPr/>
        <w:t>indica que se contó con el efectivo necesario para atender los compromisos institucionales.</w:t>
      </w:r>
    </w:p>
    <w:p>
      <w:pPr>
        <w:pStyle w:val="BodyText"/>
        <w:spacing w:line="259" w:lineRule="auto" w:before="159"/>
        <w:ind w:left="622" w:right="974"/>
        <w:jc w:val="both"/>
      </w:pPr>
      <w:r>
        <w:rPr/>
        <w:t>Por otra parte, la cuenta Efectivo y equivalentes de efectivo a julio del 2026, representa el 17.07% del activo total.</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5232">
                <wp:simplePos x="0" y="0"/>
                <wp:positionH relativeFrom="page">
                  <wp:posOffset>9525</wp:posOffset>
                </wp:positionH>
                <wp:positionV relativeFrom="page">
                  <wp:posOffset>297208</wp:posOffset>
                </wp:positionV>
                <wp:extent cx="7762875" cy="9748520"/>
                <wp:effectExtent l="0" t="0" r="0" b="0"/>
                <wp:wrapNone/>
                <wp:docPr id="847" name="Group 847"/>
                <wp:cNvGraphicFramePr>
                  <a:graphicFrameLocks/>
                </wp:cNvGraphicFramePr>
                <a:graphic>
                  <a:graphicData uri="http://schemas.microsoft.com/office/word/2010/wordprocessingGroup">
                    <wpg:wgp>
                      <wpg:cNvPr id="847" name="Group 847"/>
                      <wpg:cNvGrpSpPr/>
                      <wpg:grpSpPr>
                        <a:xfrm>
                          <a:off x="0" y="0"/>
                          <a:ext cx="7762875" cy="9748520"/>
                          <a:chExt cx="7762875" cy="9748520"/>
                        </a:xfrm>
                      </wpg:grpSpPr>
                      <pic:pic>
                        <pic:nvPicPr>
                          <pic:cNvPr id="848" name="Image 848"/>
                          <pic:cNvPicPr/>
                        </pic:nvPicPr>
                        <pic:blipFill>
                          <a:blip r:embed="rId5" cstate="print"/>
                          <a:stretch>
                            <a:fillRect/>
                          </a:stretch>
                        </pic:blipFill>
                        <pic:spPr>
                          <a:xfrm>
                            <a:off x="0" y="0"/>
                            <a:ext cx="7762874" cy="9748489"/>
                          </a:xfrm>
                          <a:prstGeom prst="rect">
                            <a:avLst/>
                          </a:prstGeom>
                        </pic:spPr>
                      </pic:pic>
                      <wps:wsp>
                        <wps:cNvPr id="849" name="Graphic 849"/>
                        <wps:cNvSpPr/>
                        <wps:spPr>
                          <a:xfrm>
                            <a:off x="1053007" y="990837"/>
                            <a:ext cx="5736590" cy="7682230"/>
                          </a:xfrm>
                          <a:custGeom>
                            <a:avLst/>
                            <a:gdLst/>
                            <a:ahLst/>
                            <a:cxnLst/>
                            <a:rect l="l" t="t" r="r" b="b"/>
                            <a:pathLst>
                              <a:path w="5736590" h="7682230">
                                <a:moveTo>
                                  <a:pt x="5649214" y="0"/>
                                </a:moveTo>
                                <a:lnTo>
                                  <a:pt x="0" y="0"/>
                                </a:lnTo>
                                <a:lnTo>
                                  <a:pt x="0" y="9131"/>
                                </a:lnTo>
                                <a:lnTo>
                                  <a:pt x="5649214" y="9131"/>
                                </a:lnTo>
                                <a:lnTo>
                                  <a:pt x="5649214" y="0"/>
                                </a:lnTo>
                                <a:close/>
                              </a:path>
                              <a:path w="5736590" h="7682230">
                                <a:moveTo>
                                  <a:pt x="5736018" y="1536255"/>
                                </a:moveTo>
                                <a:lnTo>
                                  <a:pt x="5729935" y="1536255"/>
                                </a:lnTo>
                                <a:lnTo>
                                  <a:pt x="5729935" y="7675816"/>
                                </a:lnTo>
                                <a:lnTo>
                                  <a:pt x="21336" y="7675816"/>
                                </a:lnTo>
                                <a:lnTo>
                                  <a:pt x="21336" y="1536255"/>
                                </a:lnTo>
                                <a:lnTo>
                                  <a:pt x="15240" y="1536255"/>
                                </a:lnTo>
                                <a:lnTo>
                                  <a:pt x="15240" y="7675816"/>
                                </a:lnTo>
                                <a:lnTo>
                                  <a:pt x="15240" y="7681912"/>
                                </a:lnTo>
                                <a:lnTo>
                                  <a:pt x="21336" y="7681912"/>
                                </a:lnTo>
                                <a:lnTo>
                                  <a:pt x="5729935" y="7681912"/>
                                </a:lnTo>
                                <a:lnTo>
                                  <a:pt x="5736018" y="7681912"/>
                                </a:lnTo>
                                <a:lnTo>
                                  <a:pt x="5736018" y="7675816"/>
                                </a:lnTo>
                                <a:lnTo>
                                  <a:pt x="5736018" y="1536255"/>
                                </a:lnTo>
                                <a:close/>
                              </a:path>
                              <a:path w="5736590" h="7682230">
                                <a:moveTo>
                                  <a:pt x="5736018" y="1530083"/>
                                </a:moveTo>
                                <a:lnTo>
                                  <a:pt x="5729986" y="1530083"/>
                                </a:lnTo>
                                <a:lnTo>
                                  <a:pt x="21336" y="1530083"/>
                                </a:lnTo>
                                <a:lnTo>
                                  <a:pt x="15240" y="1530083"/>
                                </a:lnTo>
                                <a:lnTo>
                                  <a:pt x="15240" y="1536179"/>
                                </a:lnTo>
                                <a:lnTo>
                                  <a:pt x="21336" y="1536179"/>
                                </a:lnTo>
                                <a:lnTo>
                                  <a:pt x="5729935" y="1536179"/>
                                </a:lnTo>
                                <a:lnTo>
                                  <a:pt x="5736018" y="1536179"/>
                                </a:lnTo>
                                <a:lnTo>
                                  <a:pt x="5736018" y="153008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21248" id="docshapegroup822" coordorigin="15,468" coordsize="12225,15352">
                <v:shape style="position:absolute;left:15;top:468;width:12225;height:15352" type="#_x0000_t75" id="docshape823" stroked="false">
                  <v:imagedata r:id="rId5" o:title=""/>
                </v:shape>
                <v:shape style="position:absolute;left:1673;top:2028;width:9034;height:12098" id="docshape824" coordorigin="1673,2028" coordsize="9034,12098" path="m10570,2028l1673,2028,1673,2043,10570,2043,10570,2028xm10706,4448l10697,4448,10697,14116,1707,14116,1707,4448,1697,4448,1697,14116,1697,14126,1707,14126,10697,14126,10697,14126,10706,14126,10706,14116,10706,4448xm10706,4438l10697,4438,10697,4438,1707,4438,1697,4438,1697,4448,1707,4448,10697,4448,10697,4448,10706,4448,10706,443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170</w:t>
      </w:r>
    </w:p>
    <w:p>
      <w:pPr>
        <w:pStyle w:val="BodyText"/>
        <w:spacing w:line="259" w:lineRule="auto" w:before="218"/>
        <w:ind w:left="622" w:right="979"/>
        <w:jc w:val="both"/>
      </w:pPr>
      <w:r>
        <w:rPr/>
        <w:t>Las</w:t>
      </w:r>
      <w:r>
        <w:rPr>
          <w:spacing w:val="-10"/>
        </w:rPr>
        <w:t> </w:t>
      </w:r>
      <w:r>
        <w:rPr/>
        <w:t>variaciones</w:t>
      </w:r>
      <w:r>
        <w:rPr>
          <w:spacing w:val="-10"/>
        </w:rPr>
        <w:t> </w:t>
      </w:r>
      <w:r>
        <w:rPr/>
        <w:t>de</w:t>
      </w:r>
      <w:r>
        <w:rPr>
          <w:spacing w:val="-9"/>
        </w:rPr>
        <w:t> </w:t>
      </w:r>
      <w:r>
        <w:rPr/>
        <w:t>las</w:t>
      </w:r>
      <w:r>
        <w:rPr>
          <w:spacing w:val="-10"/>
        </w:rPr>
        <w:t> </w:t>
      </w:r>
      <w:r>
        <w:rPr/>
        <w:t>cuentas</w:t>
      </w:r>
      <w:r>
        <w:rPr>
          <w:spacing w:val="-10"/>
        </w:rPr>
        <w:t> </w:t>
      </w:r>
      <w:r>
        <w:rPr/>
        <w:t>corrientes</w:t>
      </w:r>
      <w:r>
        <w:rPr>
          <w:spacing w:val="-12"/>
        </w:rPr>
        <w:t> </w:t>
      </w:r>
      <w:r>
        <w:rPr/>
        <w:t>son</w:t>
      </w:r>
      <w:r>
        <w:rPr>
          <w:spacing w:val="-10"/>
        </w:rPr>
        <w:t> </w:t>
      </w:r>
      <w:r>
        <w:rPr/>
        <w:t>producto</w:t>
      </w:r>
      <w:r>
        <w:rPr>
          <w:spacing w:val="-9"/>
        </w:rPr>
        <w:t> </w:t>
      </w:r>
      <w:r>
        <w:rPr/>
        <w:t>de</w:t>
      </w:r>
      <w:r>
        <w:rPr>
          <w:spacing w:val="-9"/>
        </w:rPr>
        <w:t> </w:t>
      </w:r>
      <w:r>
        <w:rPr/>
        <w:t>un</w:t>
      </w:r>
      <w:r>
        <w:rPr>
          <w:spacing w:val="-10"/>
        </w:rPr>
        <w:t> </w:t>
      </w:r>
      <w:r>
        <w:rPr/>
        <w:t>decrecimiento</w:t>
      </w:r>
      <w:r>
        <w:rPr>
          <w:spacing w:val="-9"/>
        </w:rPr>
        <w:t> </w:t>
      </w:r>
      <w:r>
        <w:rPr/>
        <w:t>de</w:t>
      </w:r>
      <w:r>
        <w:rPr>
          <w:spacing w:val="-9"/>
        </w:rPr>
        <w:t> </w:t>
      </w:r>
      <w:r>
        <w:rPr/>
        <w:t>los</w:t>
      </w:r>
      <w:r>
        <w:rPr>
          <w:spacing w:val="-10"/>
        </w:rPr>
        <w:t> </w:t>
      </w:r>
      <w:r>
        <w:rPr/>
        <w:t>recursos</w:t>
      </w:r>
      <w:r>
        <w:rPr>
          <w:spacing w:val="-10"/>
        </w:rPr>
        <w:t> </w:t>
      </w:r>
      <w:r>
        <w:rPr/>
        <w:t>disponibles provenientes de caja</w:t>
      </w:r>
      <w:r>
        <w:rPr>
          <w:spacing w:val="-1"/>
        </w:rPr>
        <w:t> </w:t>
      </w:r>
      <w:r>
        <w:rPr/>
        <w:t>única</w:t>
      </w:r>
      <w:r>
        <w:rPr>
          <w:spacing w:val="-1"/>
        </w:rPr>
        <w:t> </w:t>
      </w:r>
      <w:r>
        <w:rPr/>
        <w:t>para</w:t>
      </w:r>
      <w:r>
        <w:rPr>
          <w:spacing w:val="-1"/>
        </w:rPr>
        <w:t> </w:t>
      </w:r>
      <w:r>
        <w:rPr/>
        <w:t>el</w:t>
      </w:r>
      <w:r>
        <w:rPr>
          <w:spacing w:val="-1"/>
        </w:rPr>
        <w:t> </w:t>
      </w:r>
      <w:r>
        <w:rPr/>
        <w:t>pago de los beneficios de inversión</w:t>
      </w:r>
      <w:r>
        <w:rPr>
          <w:spacing w:val="-2"/>
        </w:rPr>
        <w:t> </w:t>
      </w:r>
      <w:r>
        <w:rPr/>
        <w:t>social,</w:t>
      </w:r>
      <w:r>
        <w:rPr>
          <w:spacing w:val="-1"/>
        </w:rPr>
        <w:t> </w:t>
      </w:r>
      <w:r>
        <w:rPr/>
        <w:t>así</w:t>
      </w:r>
      <w:r>
        <w:rPr>
          <w:spacing w:val="-1"/>
        </w:rPr>
        <w:t> </w:t>
      </w:r>
      <w:r>
        <w:rPr/>
        <w:t>como los recursos en cuenta corriente del programa de Empresas Comerciales que por su dinámica tiene ingresos </w:t>
      </w:r>
      <w:r>
        <w:rPr>
          <w:spacing w:val="-2"/>
        </w:rPr>
        <w:t>diariamente.</w:t>
      </w:r>
    </w:p>
    <w:p>
      <w:pPr>
        <w:pStyle w:val="BodyText"/>
        <w:tabs>
          <w:tab w:pos="9489" w:val="left" w:leader="none"/>
        </w:tabs>
        <w:spacing w:before="159"/>
        <w:ind w:left="622"/>
        <w:jc w:val="both"/>
      </w:pPr>
      <w:r>
        <w:rPr>
          <w:color w:val="FFFFFF"/>
          <w:shd w:fill="365F92" w:color="auto" w:val="clear"/>
        </w:rPr>
        <w:t>Información</w:t>
      </w:r>
      <w:r>
        <w:rPr>
          <w:color w:val="FFFFFF"/>
          <w:spacing w:val="-8"/>
          <w:shd w:fill="365F92" w:color="auto" w:val="clear"/>
        </w:rPr>
        <w:t> </w:t>
      </w:r>
      <w:r>
        <w:rPr>
          <w:color w:val="FFFFFF"/>
          <w:shd w:fill="365F92" w:color="auto" w:val="clear"/>
        </w:rPr>
        <w:t>complementaria</w:t>
      </w:r>
      <w:r>
        <w:rPr>
          <w:color w:val="FFFFFF"/>
          <w:spacing w:val="-8"/>
          <w:shd w:fill="365F92" w:color="auto" w:val="clear"/>
        </w:rPr>
        <w:t> </w:t>
      </w:r>
      <w:r>
        <w:rPr>
          <w:color w:val="FFFFFF"/>
          <w:shd w:fill="365F92" w:color="auto" w:val="clear"/>
        </w:rPr>
        <w:t>por</w:t>
      </w:r>
      <w:r>
        <w:rPr>
          <w:color w:val="FFFFFF"/>
          <w:spacing w:val="-7"/>
          <w:shd w:fill="365F92" w:color="auto" w:val="clear"/>
        </w:rPr>
        <w:t> </w:t>
      </w:r>
      <w:r>
        <w:rPr>
          <w:color w:val="FFFFFF"/>
          <w:spacing w:val="-2"/>
          <w:shd w:fill="365F92" w:color="auto" w:val="clear"/>
        </w:rPr>
        <w:t>revelar</w:t>
      </w:r>
      <w:r>
        <w:rPr>
          <w:color w:val="FFFFFF"/>
          <w:shd w:fill="365F92" w:color="auto" w:val="clear"/>
        </w:rPr>
        <w:tab/>
      </w:r>
    </w:p>
    <w:p>
      <w:pPr>
        <w:pStyle w:val="Heading6"/>
        <w:numPr>
          <w:ilvl w:val="0"/>
          <w:numId w:val="73"/>
        </w:numPr>
        <w:tabs>
          <w:tab w:pos="1341" w:val="left" w:leader="none"/>
        </w:tabs>
        <w:spacing w:line="240" w:lineRule="auto" w:before="181" w:after="0"/>
        <w:ind w:left="1341" w:right="0" w:hanging="360"/>
        <w:jc w:val="left"/>
      </w:pPr>
      <w:r>
        <w:rPr>
          <w:u w:val="single"/>
        </w:rPr>
        <w:t>Flujos</w:t>
      </w:r>
      <w:r>
        <w:rPr>
          <w:spacing w:val="-8"/>
          <w:u w:val="single"/>
        </w:rPr>
        <w:t> </w:t>
      </w:r>
      <w:r>
        <w:rPr>
          <w:u w:val="single"/>
        </w:rPr>
        <w:t>de</w:t>
      </w:r>
      <w:r>
        <w:rPr>
          <w:spacing w:val="-3"/>
          <w:u w:val="single"/>
        </w:rPr>
        <w:t> </w:t>
      </w:r>
      <w:r>
        <w:rPr>
          <w:u w:val="single"/>
        </w:rPr>
        <w:t>Efectivo</w:t>
      </w:r>
      <w:r>
        <w:rPr>
          <w:spacing w:val="-5"/>
          <w:u w:val="single"/>
        </w:rPr>
        <w:t> </w:t>
      </w:r>
      <w:r>
        <w:rPr>
          <w:u w:val="single"/>
        </w:rPr>
        <w:t>en</w:t>
      </w:r>
      <w:r>
        <w:rPr>
          <w:spacing w:val="-4"/>
          <w:u w:val="single"/>
        </w:rPr>
        <w:t> </w:t>
      </w:r>
      <w:r>
        <w:rPr>
          <w:u w:val="single"/>
        </w:rPr>
        <w:t>Moneda</w:t>
      </w:r>
      <w:r>
        <w:rPr>
          <w:spacing w:val="-4"/>
          <w:u w:val="single"/>
        </w:rPr>
        <w:t> </w:t>
      </w:r>
      <w:r>
        <w:rPr>
          <w:u w:val="single"/>
        </w:rPr>
        <w:t>Extranjera</w:t>
      </w:r>
      <w:r>
        <w:rPr>
          <w:spacing w:val="-4"/>
          <w:u w:val="single"/>
        </w:rPr>
        <w:t> </w:t>
      </w:r>
      <w:r>
        <w:rPr>
          <w:u w:val="single"/>
        </w:rPr>
        <w:t>(párrafo</w:t>
      </w:r>
      <w:r>
        <w:rPr>
          <w:spacing w:val="-2"/>
          <w:u w:val="single"/>
        </w:rPr>
        <w:t> </w:t>
      </w:r>
      <w:r>
        <w:rPr>
          <w:spacing w:val="-5"/>
          <w:u w:val="single"/>
        </w:rPr>
        <w:t>36)</w:t>
      </w:r>
    </w:p>
    <w:p>
      <w:pPr>
        <w:pStyle w:val="BodyText"/>
        <w:spacing w:before="43"/>
        <w:rPr>
          <w:b/>
        </w:rPr>
      </w:pPr>
    </w:p>
    <w:p>
      <w:pPr>
        <w:pStyle w:val="BodyText"/>
        <w:ind w:left="730"/>
      </w:pPr>
      <w:r>
        <w:rPr>
          <w:spacing w:val="-2"/>
        </w:rPr>
        <w:t>Revelación:</w:t>
      </w:r>
    </w:p>
    <w:p>
      <w:pPr>
        <w:pStyle w:val="BodyText"/>
        <w:spacing w:line="276" w:lineRule="auto" w:before="181"/>
        <w:ind w:left="730" w:right="924"/>
        <w:jc w:val="both"/>
      </w:pPr>
      <w:r>
        <w:rPr/>
        <w:t>De</w:t>
      </w:r>
      <w:r>
        <w:rPr>
          <w:spacing w:val="-7"/>
        </w:rPr>
        <w:t> </w:t>
      </w:r>
      <w:r>
        <w:rPr/>
        <w:t>conformidad</w:t>
      </w:r>
      <w:r>
        <w:rPr>
          <w:spacing w:val="-7"/>
        </w:rPr>
        <w:t> </w:t>
      </w:r>
      <w:r>
        <w:rPr/>
        <w:t>con</w:t>
      </w:r>
      <w:r>
        <w:rPr>
          <w:spacing w:val="-6"/>
        </w:rPr>
        <w:t> </w:t>
      </w:r>
      <w:r>
        <w:rPr/>
        <w:t>lo</w:t>
      </w:r>
      <w:r>
        <w:rPr>
          <w:spacing w:val="-6"/>
        </w:rPr>
        <w:t> </w:t>
      </w:r>
      <w:r>
        <w:rPr/>
        <w:t>establecido</w:t>
      </w:r>
      <w:r>
        <w:rPr>
          <w:spacing w:val="-6"/>
        </w:rPr>
        <w:t> </w:t>
      </w:r>
      <w:r>
        <w:rPr/>
        <w:t>en</w:t>
      </w:r>
      <w:r>
        <w:rPr>
          <w:spacing w:val="-6"/>
        </w:rPr>
        <w:t> </w:t>
      </w:r>
      <w:r>
        <w:rPr/>
        <w:t>el</w:t>
      </w:r>
      <w:r>
        <w:rPr>
          <w:spacing w:val="-7"/>
        </w:rPr>
        <w:t> </w:t>
      </w:r>
      <w:r>
        <w:rPr/>
        <w:t>párrafo</w:t>
      </w:r>
      <w:r>
        <w:rPr>
          <w:spacing w:val="-5"/>
        </w:rPr>
        <w:t> </w:t>
      </w:r>
      <w:r>
        <w:rPr/>
        <w:t>36</w:t>
      </w:r>
      <w:r>
        <w:rPr>
          <w:spacing w:val="-7"/>
        </w:rPr>
        <w:t> </w:t>
      </w:r>
      <w:r>
        <w:rPr/>
        <w:t>de</w:t>
      </w:r>
      <w:r>
        <w:rPr>
          <w:spacing w:val="-6"/>
        </w:rPr>
        <w:t> </w:t>
      </w:r>
      <w:r>
        <w:rPr/>
        <w:t>la</w:t>
      </w:r>
      <w:r>
        <w:rPr>
          <w:spacing w:val="-7"/>
        </w:rPr>
        <w:t> </w:t>
      </w:r>
      <w:r>
        <w:rPr/>
        <w:t>NICSP</w:t>
      </w:r>
      <w:r>
        <w:rPr>
          <w:spacing w:val="-7"/>
        </w:rPr>
        <w:t> </w:t>
      </w:r>
      <w:r>
        <w:rPr/>
        <w:t>2,</w:t>
      </w:r>
      <w:r>
        <w:rPr>
          <w:spacing w:val="-6"/>
        </w:rPr>
        <w:t> </w:t>
      </w:r>
      <w:r>
        <w:rPr/>
        <w:t>los</w:t>
      </w:r>
      <w:r>
        <w:rPr>
          <w:spacing w:val="-5"/>
        </w:rPr>
        <w:t> </w:t>
      </w:r>
      <w:r>
        <w:rPr/>
        <w:t>flujos</w:t>
      </w:r>
      <w:r>
        <w:rPr>
          <w:spacing w:val="-5"/>
        </w:rPr>
        <w:t> </w:t>
      </w:r>
      <w:r>
        <w:rPr/>
        <w:t>de</w:t>
      </w:r>
      <w:r>
        <w:rPr>
          <w:spacing w:val="-8"/>
        </w:rPr>
        <w:t> </w:t>
      </w:r>
      <w:r>
        <w:rPr/>
        <w:t>efectivo</w:t>
      </w:r>
      <w:r>
        <w:rPr>
          <w:spacing w:val="-5"/>
        </w:rPr>
        <w:t> </w:t>
      </w:r>
      <w:r>
        <w:rPr/>
        <w:t>derivados</w:t>
      </w:r>
      <w:r>
        <w:rPr>
          <w:spacing w:val="-5"/>
        </w:rPr>
        <w:t> </w:t>
      </w:r>
      <w:r>
        <w:rPr/>
        <w:t>de transacciones realizadas en</w:t>
      </w:r>
      <w:r>
        <w:rPr>
          <w:spacing w:val="-4"/>
        </w:rPr>
        <w:t> </w:t>
      </w:r>
      <w:r>
        <w:rPr/>
        <w:t>moneda</w:t>
      </w:r>
      <w:r>
        <w:rPr>
          <w:spacing w:val="-1"/>
        </w:rPr>
        <w:t> </w:t>
      </w:r>
      <w:r>
        <w:rPr/>
        <w:t>extranjera</w:t>
      </w:r>
      <w:r>
        <w:rPr>
          <w:spacing w:val="-1"/>
        </w:rPr>
        <w:t> </w:t>
      </w:r>
      <w:r>
        <w:rPr/>
        <w:t>deben convertirse</w:t>
      </w:r>
      <w:r>
        <w:rPr>
          <w:spacing w:val="-4"/>
        </w:rPr>
        <w:t> </w:t>
      </w:r>
      <w:r>
        <w:rPr/>
        <w:t>a</w:t>
      </w:r>
      <w:r>
        <w:rPr>
          <w:spacing w:val="-1"/>
        </w:rPr>
        <w:t> </w:t>
      </w:r>
      <w:r>
        <w:rPr/>
        <w:t>la</w:t>
      </w:r>
      <w:r>
        <w:rPr>
          <w:spacing w:val="-4"/>
        </w:rPr>
        <w:t> </w:t>
      </w:r>
      <w:r>
        <w:rPr/>
        <w:t>moneda</w:t>
      </w:r>
      <w:r>
        <w:rPr>
          <w:spacing w:val="-3"/>
        </w:rPr>
        <w:t> </w:t>
      </w:r>
      <w:r>
        <w:rPr/>
        <w:t>funcional</w:t>
      </w:r>
      <w:r>
        <w:rPr>
          <w:spacing w:val="-1"/>
        </w:rPr>
        <w:t> </w:t>
      </w:r>
      <w:r>
        <w:rPr/>
        <w:t>de</w:t>
      </w:r>
      <w:r>
        <w:rPr>
          <w:spacing w:val="-2"/>
        </w:rPr>
        <w:t> </w:t>
      </w:r>
      <w:r>
        <w:rPr/>
        <w:t>la</w:t>
      </w:r>
      <w:r>
        <w:rPr>
          <w:spacing w:val="-1"/>
        </w:rPr>
        <w:t> </w:t>
      </w:r>
      <w:r>
        <w:rPr/>
        <w:t>entidad aplicando el tipo de cambio vigente a la fecha en que se produjeron dichos flujos.</w:t>
      </w:r>
    </w:p>
    <w:p>
      <w:pPr>
        <w:pStyle w:val="BodyText"/>
        <w:spacing w:before="38"/>
      </w:pPr>
    </w:p>
    <w:p>
      <w:pPr>
        <w:pStyle w:val="BodyText"/>
        <w:spacing w:line="276" w:lineRule="auto"/>
        <w:ind w:left="730" w:right="926"/>
        <w:jc w:val="both"/>
      </w:pPr>
      <w:r>
        <w:rPr/>
        <w:t>Durante el período objeto de presentación, el IMAS registró flujos de efectivo en moneda extranjera asociados principalmente a contratos de arrendamiento, pagos operativos y transferencias vinculadas a proveedores y terceros, denominados en dólares estadounidenses. Estos flujos fueron reconocidos contablemente en colones costarricenses utilizando el tipo de cambio oficial determinado por el sistema electrónico SAP aplicado en los registros al momento de cada transacción.</w:t>
      </w:r>
    </w:p>
    <w:p>
      <w:pPr>
        <w:pStyle w:val="BodyText"/>
        <w:spacing w:before="37"/>
      </w:pPr>
    </w:p>
    <w:p>
      <w:pPr>
        <w:pStyle w:val="BodyText"/>
        <w:spacing w:line="276" w:lineRule="auto"/>
        <w:ind w:left="730" w:right="923"/>
        <w:jc w:val="both"/>
      </w:pPr>
      <w:r>
        <w:rPr/>
        <w:t>Las</w:t>
      </w:r>
      <w:r>
        <w:rPr>
          <w:spacing w:val="-1"/>
        </w:rPr>
        <w:t> </w:t>
      </w:r>
      <w:r>
        <w:rPr/>
        <w:t>diferencias</w:t>
      </w:r>
      <w:r>
        <w:rPr>
          <w:spacing w:val="-1"/>
        </w:rPr>
        <w:t> </w:t>
      </w:r>
      <w:r>
        <w:rPr/>
        <w:t>de</w:t>
      </w:r>
      <w:r>
        <w:rPr>
          <w:spacing w:val="-4"/>
        </w:rPr>
        <w:t> </w:t>
      </w:r>
      <w:r>
        <w:rPr/>
        <w:t>cambio</w:t>
      </w:r>
      <w:r>
        <w:rPr>
          <w:spacing w:val="-2"/>
        </w:rPr>
        <w:t> </w:t>
      </w:r>
      <w:r>
        <w:rPr/>
        <w:t>originadas</w:t>
      </w:r>
      <w:r>
        <w:rPr>
          <w:spacing w:val="-1"/>
        </w:rPr>
        <w:t> </w:t>
      </w:r>
      <w:r>
        <w:rPr/>
        <w:t>por</w:t>
      </w:r>
      <w:r>
        <w:rPr>
          <w:spacing w:val="-2"/>
        </w:rPr>
        <w:t> </w:t>
      </w:r>
      <w:r>
        <w:rPr/>
        <w:t>la</w:t>
      </w:r>
      <w:r>
        <w:rPr>
          <w:spacing w:val="-3"/>
        </w:rPr>
        <w:t> </w:t>
      </w:r>
      <w:r>
        <w:rPr/>
        <w:t>conversión</w:t>
      </w:r>
      <w:r>
        <w:rPr>
          <w:spacing w:val="-4"/>
        </w:rPr>
        <w:t> </w:t>
      </w:r>
      <w:r>
        <w:rPr/>
        <w:t>de</w:t>
      </w:r>
      <w:r>
        <w:rPr>
          <w:spacing w:val="-4"/>
        </w:rPr>
        <w:t> </w:t>
      </w:r>
      <w:r>
        <w:rPr/>
        <w:t>flujos</w:t>
      </w:r>
      <w:r>
        <w:rPr>
          <w:spacing w:val="-1"/>
        </w:rPr>
        <w:t> </w:t>
      </w:r>
      <w:r>
        <w:rPr/>
        <w:t>de</w:t>
      </w:r>
      <w:r>
        <w:rPr>
          <w:spacing w:val="-4"/>
        </w:rPr>
        <w:t> </w:t>
      </w:r>
      <w:r>
        <w:rPr/>
        <w:t>efectivo</w:t>
      </w:r>
      <w:r>
        <w:rPr>
          <w:spacing w:val="-2"/>
        </w:rPr>
        <w:t> </w:t>
      </w:r>
      <w:r>
        <w:rPr/>
        <w:t>en</w:t>
      </w:r>
      <w:r>
        <w:rPr>
          <w:spacing w:val="-2"/>
        </w:rPr>
        <w:t> </w:t>
      </w:r>
      <w:r>
        <w:rPr/>
        <w:t>moneda</w:t>
      </w:r>
      <w:r>
        <w:rPr>
          <w:spacing w:val="-3"/>
        </w:rPr>
        <w:t> </w:t>
      </w:r>
      <w:r>
        <w:rPr/>
        <w:t>extranjera</w:t>
      </w:r>
      <w:r>
        <w:rPr>
          <w:spacing w:val="-3"/>
        </w:rPr>
        <w:t> </w:t>
      </w:r>
      <w:r>
        <w:rPr/>
        <w:t>no se presentan como flujos de efectivo separados dentro del Estado de Flujo de Efectivo, sino que se reconocen en el Estado de Rendimiento Financiero, de conformidad con la normativa contable aplicable. No obstante, dichas diferencias se consideran necesarias para conciliar el saldo de efectivo y equivalentes de efectivo al inicio y al final del período, por lo que a continuación se detalla:</w:t>
      </w:r>
    </w:p>
    <w:p>
      <w:pPr>
        <w:pStyle w:val="BodyText"/>
        <w:spacing w:before="39"/>
      </w:pPr>
    </w:p>
    <w:p>
      <w:pPr>
        <w:spacing w:before="0"/>
        <w:ind w:left="730" w:right="0" w:firstLine="0"/>
        <w:jc w:val="left"/>
        <w:rPr>
          <w:b/>
          <w:sz w:val="22"/>
        </w:rPr>
      </w:pPr>
      <w:r>
        <w:rPr>
          <w:b/>
          <w:sz w:val="22"/>
        </w:rPr>
        <w:t>Conciliación</w:t>
      </w:r>
      <w:r>
        <w:rPr>
          <w:b/>
          <w:spacing w:val="-5"/>
          <w:sz w:val="22"/>
        </w:rPr>
        <w:t> </w:t>
      </w:r>
      <w:r>
        <w:rPr>
          <w:b/>
          <w:sz w:val="22"/>
        </w:rPr>
        <w:t>del</w:t>
      </w:r>
      <w:r>
        <w:rPr>
          <w:b/>
          <w:spacing w:val="-7"/>
          <w:sz w:val="22"/>
        </w:rPr>
        <w:t> </w:t>
      </w:r>
      <w:r>
        <w:rPr>
          <w:b/>
          <w:sz w:val="22"/>
        </w:rPr>
        <w:t>efectivo</w:t>
      </w:r>
      <w:r>
        <w:rPr>
          <w:b/>
          <w:spacing w:val="-4"/>
          <w:sz w:val="22"/>
        </w:rPr>
        <w:t> </w:t>
      </w:r>
      <w:r>
        <w:rPr>
          <w:b/>
          <w:sz w:val="22"/>
        </w:rPr>
        <w:t>y</w:t>
      </w:r>
      <w:r>
        <w:rPr>
          <w:b/>
          <w:spacing w:val="-4"/>
          <w:sz w:val="22"/>
        </w:rPr>
        <w:t> </w:t>
      </w:r>
      <w:r>
        <w:rPr>
          <w:b/>
          <w:sz w:val="22"/>
        </w:rPr>
        <w:t>equivalentes</w:t>
      </w:r>
      <w:r>
        <w:rPr>
          <w:b/>
          <w:spacing w:val="-3"/>
          <w:sz w:val="22"/>
        </w:rPr>
        <w:t> </w:t>
      </w:r>
      <w:r>
        <w:rPr>
          <w:b/>
          <w:sz w:val="22"/>
        </w:rPr>
        <w:t>de</w:t>
      </w:r>
      <w:r>
        <w:rPr>
          <w:b/>
          <w:spacing w:val="-3"/>
          <w:sz w:val="22"/>
        </w:rPr>
        <w:t> </w:t>
      </w:r>
      <w:r>
        <w:rPr>
          <w:b/>
          <w:spacing w:val="-2"/>
          <w:sz w:val="22"/>
        </w:rPr>
        <w:t>efectivo</w:t>
      </w:r>
    </w:p>
    <w:p>
      <w:pPr>
        <w:spacing w:before="37"/>
        <w:ind w:left="730" w:right="0" w:firstLine="0"/>
        <w:jc w:val="left"/>
        <w:rPr>
          <w:b/>
          <w:sz w:val="22"/>
        </w:rPr>
      </w:pPr>
      <w:r>
        <w:rPr>
          <w:b/>
          <w:sz w:val="22"/>
        </w:rPr>
        <w:t>Efecto</w:t>
      </w:r>
      <w:r>
        <w:rPr>
          <w:b/>
          <w:spacing w:val="-3"/>
          <w:sz w:val="22"/>
        </w:rPr>
        <w:t> </w:t>
      </w:r>
      <w:r>
        <w:rPr>
          <w:b/>
          <w:sz w:val="22"/>
        </w:rPr>
        <w:t>de</w:t>
      </w:r>
      <w:r>
        <w:rPr>
          <w:b/>
          <w:spacing w:val="-1"/>
          <w:sz w:val="22"/>
        </w:rPr>
        <w:t> </w:t>
      </w:r>
      <w:r>
        <w:rPr>
          <w:b/>
          <w:sz w:val="22"/>
        </w:rPr>
        <w:t>las</w:t>
      </w:r>
      <w:r>
        <w:rPr>
          <w:b/>
          <w:spacing w:val="-1"/>
          <w:sz w:val="22"/>
        </w:rPr>
        <w:t> </w:t>
      </w:r>
      <w:r>
        <w:rPr>
          <w:b/>
          <w:sz w:val="22"/>
        </w:rPr>
        <w:t>variaciones</w:t>
      </w:r>
      <w:r>
        <w:rPr>
          <w:b/>
          <w:spacing w:val="-4"/>
          <w:sz w:val="22"/>
        </w:rPr>
        <w:t> </w:t>
      </w:r>
      <w:r>
        <w:rPr>
          <w:b/>
          <w:sz w:val="22"/>
        </w:rPr>
        <w:t>en</w:t>
      </w:r>
      <w:r>
        <w:rPr>
          <w:b/>
          <w:spacing w:val="-3"/>
          <w:sz w:val="22"/>
        </w:rPr>
        <w:t> </w:t>
      </w:r>
      <w:r>
        <w:rPr>
          <w:b/>
          <w:sz w:val="22"/>
        </w:rPr>
        <w:t>el</w:t>
      </w:r>
      <w:r>
        <w:rPr>
          <w:b/>
          <w:spacing w:val="-2"/>
          <w:sz w:val="22"/>
        </w:rPr>
        <w:t> </w:t>
      </w:r>
      <w:r>
        <w:rPr>
          <w:b/>
          <w:sz w:val="22"/>
        </w:rPr>
        <w:t>tipo</w:t>
      </w:r>
      <w:r>
        <w:rPr>
          <w:b/>
          <w:spacing w:val="-2"/>
          <w:sz w:val="22"/>
        </w:rPr>
        <w:t> </w:t>
      </w:r>
      <w:r>
        <w:rPr>
          <w:b/>
          <w:sz w:val="22"/>
        </w:rPr>
        <w:t>de</w:t>
      </w:r>
      <w:r>
        <w:rPr>
          <w:b/>
          <w:spacing w:val="-2"/>
          <w:sz w:val="22"/>
        </w:rPr>
        <w:t> </w:t>
      </w:r>
      <w:r>
        <w:rPr>
          <w:b/>
          <w:sz w:val="22"/>
        </w:rPr>
        <w:t>cambio –</w:t>
      </w:r>
      <w:r>
        <w:rPr>
          <w:b/>
          <w:spacing w:val="-5"/>
          <w:sz w:val="22"/>
        </w:rPr>
        <w:t> </w:t>
      </w:r>
      <w:r>
        <w:rPr>
          <w:b/>
          <w:sz w:val="22"/>
        </w:rPr>
        <w:t>NICSP</w:t>
      </w:r>
      <w:r>
        <w:rPr>
          <w:b/>
          <w:spacing w:val="-4"/>
          <w:sz w:val="22"/>
        </w:rPr>
        <w:t> </w:t>
      </w:r>
      <w:r>
        <w:rPr>
          <w:b/>
          <w:sz w:val="22"/>
        </w:rPr>
        <w:t>2,</w:t>
      </w:r>
      <w:r>
        <w:rPr>
          <w:b/>
          <w:spacing w:val="-2"/>
          <w:sz w:val="22"/>
        </w:rPr>
        <w:t> </w:t>
      </w:r>
      <w:r>
        <w:rPr>
          <w:b/>
          <w:sz w:val="22"/>
        </w:rPr>
        <w:t>párrafo</w:t>
      </w:r>
      <w:r>
        <w:rPr>
          <w:b/>
          <w:spacing w:val="-1"/>
          <w:sz w:val="22"/>
        </w:rPr>
        <w:t> </w:t>
      </w:r>
      <w:r>
        <w:rPr>
          <w:b/>
          <w:spacing w:val="-5"/>
          <w:sz w:val="22"/>
        </w:rPr>
        <w:t>36</w:t>
      </w:r>
    </w:p>
    <w:p>
      <w:pPr>
        <w:pStyle w:val="BodyText"/>
        <w:spacing w:before="77"/>
        <w:rPr>
          <w:b/>
        </w:rPr>
      </w:pPr>
    </w:p>
    <w:p>
      <w:pPr>
        <w:spacing w:before="0"/>
        <w:ind w:left="730" w:right="0" w:firstLine="0"/>
        <w:jc w:val="left"/>
        <w:rPr>
          <w:b/>
          <w:sz w:val="22"/>
        </w:rPr>
      </w:pPr>
      <w:r>
        <w:rPr>
          <w:b/>
          <w:spacing w:val="-2"/>
          <w:sz w:val="22"/>
        </w:rPr>
        <w:t>Revelación:</w:t>
      </w:r>
    </w:p>
    <w:p>
      <w:pPr>
        <w:pStyle w:val="BodyText"/>
        <w:spacing w:line="276" w:lineRule="auto" w:before="37"/>
        <w:ind w:left="730" w:right="925"/>
        <w:jc w:val="both"/>
      </w:pPr>
      <w:r>
        <w:rPr/>
        <w:t>De</w:t>
      </w:r>
      <w:r>
        <w:rPr>
          <w:spacing w:val="-1"/>
        </w:rPr>
        <w:t> </w:t>
      </w:r>
      <w:r>
        <w:rPr/>
        <w:t>conformidad</w:t>
      </w:r>
      <w:r>
        <w:rPr>
          <w:spacing w:val="-1"/>
        </w:rPr>
        <w:t> </w:t>
      </w:r>
      <w:r>
        <w:rPr/>
        <w:t>con</w:t>
      </w:r>
      <w:r>
        <w:rPr>
          <w:spacing w:val="-2"/>
        </w:rPr>
        <w:t> </w:t>
      </w:r>
      <w:r>
        <w:rPr/>
        <w:t>la</w:t>
      </w:r>
      <w:r>
        <w:rPr>
          <w:spacing w:val="-1"/>
        </w:rPr>
        <w:t> </w:t>
      </w:r>
      <w:r>
        <w:rPr/>
        <w:t>NICSP</w:t>
      </w:r>
      <w:r>
        <w:rPr>
          <w:spacing w:val="-3"/>
        </w:rPr>
        <w:t> </w:t>
      </w:r>
      <w:r>
        <w:rPr/>
        <w:t>2,</w:t>
      </w:r>
      <w:r>
        <w:rPr>
          <w:spacing w:val="-1"/>
        </w:rPr>
        <w:t> </w:t>
      </w:r>
      <w:r>
        <w:rPr/>
        <w:t>el</w:t>
      </w:r>
      <w:r>
        <w:rPr>
          <w:spacing w:val="-1"/>
        </w:rPr>
        <w:t> </w:t>
      </w:r>
      <w:r>
        <w:rPr/>
        <w:t>efecto de</w:t>
      </w:r>
      <w:r>
        <w:rPr>
          <w:spacing w:val="-2"/>
        </w:rPr>
        <w:t> </w:t>
      </w:r>
      <w:r>
        <w:rPr/>
        <w:t>las variaciones en los</w:t>
      </w:r>
      <w:r>
        <w:rPr>
          <w:spacing w:val="-1"/>
        </w:rPr>
        <w:t> </w:t>
      </w:r>
      <w:r>
        <w:rPr/>
        <w:t>tipos de</w:t>
      </w:r>
      <w:r>
        <w:rPr>
          <w:spacing w:val="-2"/>
        </w:rPr>
        <w:t> </w:t>
      </w:r>
      <w:r>
        <w:rPr/>
        <w:t>cambio sobre</w:t>
      </w:r>
      <w:r>
        <w:rPr>
          <w:spacing w:val="-2"/>
        </w:rPr>
        <w:t> </w:t>
      </w:r>
      <w:r>
        <w:rPr/>
        <w:t>el</w:t>
      </w:r>
      <w:r>
        <w:rPr>
          <w:spacing w:val="-1"/>
        </w:rPr>
        <w:t> </w:t>
      </w:r>
      <w:r>
        <w:rPr/>
        <w:t>efectivo y</w:t>
      </w:r>
      <w:r>
        <w:rPr>
          <w:spacing w:val="-8"/>
        </w:rPr>
        <w:t> </w:t>
      </w:r>
      <w:r>
        <w:rPr/>
        <w:t>equivalentes</w:t>
      </w:r>
      <w:r>
        <w:rPr>
          <w:spacing w:val="-7"/>
        </w:rPr>
        <w:t> </w:t>
      </w:r>
      <w:r>
        <w:rPr/>
        <w:t>de</w:t>
      </w:r>
      <w:r>
        <w:rPr>
          <w:spacing w:val="-6"/>
        </w:rPr>
        <w:t> </w:t>
      </w:r>
      <w:r>
        <w:rPr/>
        <w:t>efectivo</w:t>
      </w:r>
      <w:r>
        <w:rPr>
          <w:spacing w:val="-7"/>
        </w:rPr>
        <w:t> </w:t>
      </w:r>
      <w:r>
        <w:rPr/>
        <w:t>mantenidos</w:t>
      </w:r>
      <w:r>
        <w:rPr>
          <w:spacing w:val="-6"/>
        </w:rPr>
        <w:t> </w:t>
      </w:r>
      <w:r>
        <w:rPr/>
        <w:t>en</w:t>
      </w:r>
      <w:r>
        <w:rPr>
          <w:spacing w:val="-7"/>
        </w:rPr>
        <w:t> </w:t>
      </w:r>
      <w:r>
        <w:rPr/>
        <w:t>moneda</w:t>
      </w:r>
      <w:r>
        <w:rPr>
          <w:spacing w:val="-8"/>
        </w:rPr>
        <w:t> </w:t>
      </w:r>
      <w:r>
        <w:rPr/>
        <w:t>extranjera</w:t>
      </w:r>
      <w:r>
        <w:rPr>
          <w:spacing w:val="-8"/>
        </w:rPr>
        <w:t> </w:t>
      </w:r>
      <w:r>
        <w:rPr/>
        <w:t>no</w:t>
      </w:r>
      <w:r>
        <w:rPr>
          <w:spacing w:val="-6"/>
        </w:rPr>
        <w:t> </w:t>
      </w:r>
      <w:r>
        <w:rPr/>
        <w:t>se</w:t>
      </w:r>
      <w:r>
        <w:rPr>
          <w:spacing w:val="-8"/>
        </w:rPr>
        <w:t> </w:t>
      </w:r>
      <w:r>
        <w:rPr/>
        <w:t>presenta</w:t>
      </w:r>
      <w:r>
        <w:rPr>
          <w:spacing w:val="-7"/>
        </w:rPr>
        <w:t> </w:t>
      </w:r>
      <w:r>
        <w:rPr/>
        <w:t>como</w:t>
      </w:r>
      <w:r>
        <w:rPr>
          <w:spacing w:val="-6"/>
        </w:rPr>
        <w:t> </w:t>
      </w:r>
      <w:r>
        <w:rPr/>
        <w:t>un</w:t>
      </w:r>
      <w:r>
        <w:rPr>
          <w:spacing w:val="-7"/>
        </w:rPr>
        <w:t> </w:t>
      </w:r>
      <w:r>
        <w:rPr/>
        <w:t>flujo</w:t>
      </w:r>
      <w:r>
        <w:rPr>
          <w:spacing w:val="-6"/>
        </w:rPr>
        <w:t> </w:t>
      </w:r>
      <w:r>
        <w:rPr/>
        <w:t>de</w:t>
      </w:r>
      <w:r>
        <w:rPr>
          <w:spacing w:val="-9"/>
        </w:rPr>
        <w:t> </w:t>
      </w:r>
      <w:r>
        <w:rPr/>
        <w:t>efectivo, sino como un ajuste necesario para conciliar el saldo de efectivo y equivalentes de efectivo al inicio y al final del período.</w:t>
      </w:r>
    </w:p>
    <w:p>
      <w:pPr>
        <w:pStyle w:val="BodyText"/>
        <w:spacing w:before="37"/>
      </w:pPr>
    </w:p>
    <w:p>
      <w:pPr>
        <w:pStyle w:val="BodyText"/>
        <w:spacing w:before="1"/>
        <w:ind w:left="730"/>
      </w:pPr>
      <w:r>
        <w:rPr/>
        <w:t>La</w:t>
      </w:r>
      <w:r>
        <w:rPr>
          <w:spacing w:val="-4"/>
        </w:rPr>
        <w:t> </w:t>
      </w:r>
      <w:r>
        <w:rPr/>
        <w:t>conciliación</w:t>
      </w:r>
      <w:r>
        <w:rPr>
          <w:spacing w:val="-3"/>
        </w:rPr>
        <w:t> </w:t>
      </w:r>
      <w:r>
        <w:rPr/>
        <w:t>se</w:t>
      </w:r>
      <w:r>
        <w:rPr>
          <w:spacing w:val="-4"/>
        </w:rPr>
        <w:t> </w:t>
      </w:r>
      <w:r>
        <w:rPr/>
        <w:t>presenta</w:t>
      </w:r>
      <w:r>
        <w:rPr>
          <w:spacing w:val="-6"/>
        </w:rPr>
        <w:t> </w:t>
      </w:r>
      <w:r>
        <w:rPr/>
        <w:t>de</w:t>
      </w:r>
      <w:r>
        <w:rPr>
          <w:spacing w:val="-5"/>
        </w:rPr>
        <w:t> </w:t>
      </w:r>
      <w:r>
        <w:rPr/>
        <w:t>la</w:t>
      </w:r>
      <w:r>
        <w:rPr>
          <w:spacing w:val="-5"/>
        </w:rPr>
        <w:t> </w:t>
      </w:r>
      <w:r>
        <w:rPr/>
        <w:t>siguiente</w:t>
      </w:r>
      <w:r>
        <w:rPr>
          <w:spacing w:val="-2"/>
        </w:rPr>
        <w:t> forma:</w:t>
      </w:r>
    </w:p>
    <w:p>
      <w:pPr>
        <w:pStyle w:val="BodyText"/>
        <w:spacing w:before="73"/>
      </w:pPr>
    </w:p>
    <w:p>
      <w:pPr>
        <w:spacing w:before="1"/>
        <w:ind w:left="730" w:right="0" w:firstLine="0"/>
        <w:jc w:val="left"/>
        <w:rPr>
          <w:b/>
          <w:sz w:val="22"/>
        </w:rPr>
      </w:pPr>
      <w:r>
        <w:rPr>
          <w:b/>
          <w:sz w:val="22"/>
        </w:rPr>
        <w:t>Conciliación</w:t>
      </w:r>
      <w:r>
        <w:rPr>
          <w:b/>
          <w:spacing w:val="-5"/>
          <w:sz w:val="22"/>
        </w:rPr>
        <w:t> </w:t>
      </w:r>
      <w:r>
        <w:rPr>
          <w:b/>
          <w:sz w:val="22"/>
        </w:rPr>
        <w:t>del</w:t>
      </w:r>
      <w:r>
        <w:rPr>
          <w:b/>
          <w:spacing w:val="-7"/>
          <w:sz w:val="22"/>
        </w:rPr>
        <w:t> </w:t>
      </w:r>
      <w:r>
        <w:rPr>
          <w:b/>
          <w:sz w:val="22"/>
        </w:rPr>
        <w:t>efectivo</w:t>
      </w:r>
      <w:r>
        <w:rPr>
          <w:b/>
          <w:spacing w:val="-4"/>
          <w:sz w:val="22"/>
        </w:rPr>
        <w:t> </w:t>
      </w:r>
      <w:r>
        <w:rPr>
          <w:b/>
          <w:sz w:val="22"/>
        </w:rPr>
        <w:t>y</w:t>
      </w:r>
      <w:r>
        <w:rPr>
          <w:b/>
          <w:spacing w:val="-4"/>
          <w:sz w:val="22"/>
        </w:rPr>
        <w:t> </w:t>
      </w:r>
      <w:r>
        <w:rPr>
          <w:b/>
          <w:sz w:val="22"/>
        </w:rPr>
        <w:t>equivalentes</w:t>
      </w:r>
      <w:r>
        <w:rPr>
          <w:b/>
          <w:spacing w:val="-3"/>
          <w:sz w:val="22"/>
        </w:rPr>
        <w:t> </w:t>
      </w:r>
      <w:r>
        <w:rPr>
          <w:b/>
          <w:sz w:val="22"/>
        </w:rPr>
        <w:t>de</w:t>
      </w:r>
      <w:r>
        <w:rPr>
          <w:b/>
          <w:spacing w:val="-3"/>
          <w:sz w:val="22"/>
        </w:rPr>
        <w:t> </w:t>
      </w:r>
      <w:r>
        <w:rPr>
          <w:b/>
          <w:spacing w:val="-2"/>
          <w:sz w:val="22"/>
        </w:rPr>
        <w:t>efectivo</w:t>
      </w:r>
    </w:p>
    <w:p>
      <w:pPr>
        <w:spacing w:before="30"/>
        <w:ind w:left="730" w:right="0" w:firstLine="0"/>
        <w:jc w:val="left"/>
        <w:rPr>
          <w:i/>
          <w:sz w:val="23"/>
        </w:rPr>
      </w:pPr>
      <w:r>
        <w:rPr>
          <w:i/>
          <w:spacing w:val="-4"/>
          <w:sz w:val="23"/>
        </w:rPr>
        <w:t>(NICSP</w:t>
      </w:r>
      <w:r>
        <w:rPr>
          <w:i/>
          <w:spacing w:val="-6"/>
          <w:sz w:val="23"/>
        </w:rPr>
        <w:t> </w:t>
      </w:r>
      <w:r>
        <w:rPr>
          <w:i/>
          <w:spacing w:val="-4"/>
          <w:sz w:val="23"/>
        </w:rPr>
        <w:t>2,</w:t>
      </w:r>
      <w:r>
        <w:rPr>
          <w:i/>
          <w:spacing w:val="-6"/>
          <w:sz w:val="23"/>
        </w:rPr>
        <w:t> </w:t>
      </w:r>
      <w:r>
        <w:rPr>
          <w:i/>
          <w:spacing w:val="-4"/>
          <w:sz w:val="23"/>
        </w:rPr>
        <w:t>párrafos</w:t>
      </w:r>
      <w:r>
        <w:rPr>
          <w:i/>
          <w:spacing w:val="-5"/>
          <w:sz w:val="23"/>
        </w:rPr>
        <w:t> </w:t>
      </w:r>
      <w:r>
        <w:rPr>
          <w:i/>
          <w:spacing w:val="-4"/>
          <w:sz w:val="23"/>
        </w:rPr>
        <w:t>18,</w:t>
      </w:r>
      <w:r>
        <w:rPr>
          <w:i/>
          <w:spacing w:val="-6"/>
          <w:sz w:val="23"/>
        </w:rPr>
        <w:t> </w:t>
      </w:r>
      <w:r>
        <w:rPr>
          <w:i/>
          <w:spacing w:val="-4"/>
          <w:sz w:val="23"/>
        </w:rPr>
        <w:t>45</w:t>
      </w:r>
      <w:r>
        <w:rPr>
          <w:i/>
          <w:spacing w:val="-7"/>
          <w:sz w:val="23"/>
        </w:rPr>
        <w:t> </w:t>
      </w:r>
      <w:r>
        <w:rPr>
          <w:i/>
          <w:spacing w:val="-4"/>
          <w:sz w:val="23"/>
        </w:rPr>
        <w:t>y</w:t>
      </w:r>
      <w:r>
        <w:rPr>
          <w:i/>
          <w:spacing w:val="-8"/>
          <w:sz w:val="23"/>
        </w:rPr>
        <w:t> </w:t>
      </w:r>
      <w:r>
        <w:rPr>
          <w:i/>
          <w:spacing w:val="-5"/>
          <w:sz w:val="23"/>
        </w:rPr>
        <w:t>48)</w:t>
      </w:r>
    </w:p>
    <w:p>
      <w:pPr>
        <w:pStyle w:val="BodyText"/>
        <w:spacing w:before="60"/>
        <w:rPr>
          <w:i/>
          <w:sz w:val="23"/>
        </w:rPr>
      </w:pPr>
    </w:p>
    <w:p>
      <w:pPr>
        <w:pStyle w:val="BodyText"/>
        <w:spacing w:line="276" w:lineRule="auto"/>
        <w:ind w:left="730" w:right="1001"/>
      </w:pPr>
      <w:r>
        <w:rPr/>
        <w:t>La</w:t>
      </w:r>
      <w:r>
        <w:rPr>
          <w:spacing w:val="-3"/>
        </w:rPr>
        <w:t> </w:t>
      </w:r>
      <w:r>
        <w:rPr/>
        <w:t>presente</w:t>
      </w:r>
      <w:r>
        <w:rPr>
          <w:spacing w:val="-2"/>
        </w:rPr>
        <w:t> </w:t>
      </w:r>
      <w:r>
        <w:rPr/>
        <w:t>conciliación</w:t>
      </w:r>
      <w:r>
        <w:rPr>
          <w:spacing w:val="-2"/>
        </w:rPr>
        <w:t> </w:t>
      </w:r>
      <w:r>
        <w:rPr/>
        <w:t>tiene</w:t>
      </w:r>
      <w:r>
        <w:rPr>
          <w:spacing w:val="-3"/>
        </w:rPr>
        <w:t> </w:t>
      </w:r>
      <w:r>
        <w:rPr/>
        <w:t>como</w:t>
      </w:r>
      <w:r>
        <w:rPr>
          <w:spacing w:val="-2"/>
        </w:rPr>
        <w:t> </w:t>
      </w:r>
      <w:r>
        <w:rPr/>
        <w:t>finalidad</w:t>
      </w:r>
      <w:r>
        <w:rPr>
          <w:spacing w:val="-2"/>
        </w:rPr>
        <w:t> </w:t>
      </w:r>
      <w:r>
        <w:rPr/>
        <w:t>vincular</w:t>
      </w:r>
      <w:r>
        <w:rPr>
          <w:spacing w:val="-5"/>
        </w:rPr>
        <w:t> </w:t>
      </w:r>
      <w:r>
        <w:rPr/>
        <w:t>el</w:t>
      </w:r>
      <w:r>
        <w:rPr>
          <w:spacing w:val="-2"/>
        </w:rPr>
        <w:t> </w:t>
      </w:r>
      <w:r>
        <w:rPr/>
        <w:t>resultado</w:t>
      </w:r>
      <w:r>
        <w:rPr>
          <w:spacing w:val="-2"/>
        </w:rPr>
        <w:t> </w:t>
      </w:r>
      <w:r>
        <w:rPr/>
        <w:t>neto</w:t>
      </w:r>
      <w:r>
        <w:rPr>
          <w:spacing w:val="-2"/>
        </w:rPr>
        <w:t> </w:t>
      </w:r>
      <w:r>
        <w:rPr/>
        <w:t>de</w:t>
      </w:r>
      <w:r>
        <w:rPr>
          <w:spacing w:val="-4"/>
        </w:rPr>
        <w:t> </w:t>
      </w:r>
      <w:r>
        <w:rPr/>
        <w:t>los</w:t>
      </w:r>
      <w:r>
        <w:rPr>
          <w:spacing w:val="-4"/>
        </w:rPr>
        <w:t> </w:t>
      </w:r>
      <w:r>
        <w:rPr/>
        <w:t>flujos</w:t>
      </w:r>
      <w:r>
        <w:rPr>
          <w:spacing w:val="-2"/>
        </w:rPr>
        <w:t> </w:t>
      </w:r>
      <w:r>
        <w:rPr/>
        <w:t>de</w:t>
      </w:r>
      <w:r>
        <w:rPr>
          <w:spacing w:val="-4"/>
        </w:rPr>
        <w:t> </w:t>
      </w:r>
      <w:r>
        <w:rPr/>
        <w:t>efectivo</w:t>
      </w:r>
      <w:r>
        <w:rPr>
          <w:spacing w:val="-2"/>
        </w:rPr>
        <w:t> </w:t>
      </w:r>
      <w:r>
        <w:rPr/>
        <w:t>con el saldo de efectivo y equivalentes de efectivo presentado en el Estado de Situación Financiera, de</w:t>
      </w:r>
    </w:p>
    <w:p>
      <w:pPr>
        <w:pStyle w:val="BodyText"/>
        <w:spacing w:after="0" w:line="27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6768">
                <wp:simplePos x="0" y="0"/>
                <wp:positionH relativeFrom="page">
                  <wp:posOffset>9525</wp:posOffset>
                </wp:positionH>
                <wp:positionV relativeFrom="page">
                  <wp:posOffset>297208</wp:posOffset>
                </wp:positionV>
                <wp:extent cx="7762875" cy="9748520"/>
                <wp:effectExtent l="0" t="0" r="0" b="0"/>
                <wp:wrapNone/>
                <wp:docPr id="850" name="Group 850"/>
                <wp:cNvGraphicFramePr>
                  <a:graphicFrameLocks/>
                </wp:cNvGraphicFramePr>
                <a:graphic>
                  <a:graphicData uri="http://schemas.microsoft.com/office/word/2010/wordprocessingGroup">
                    <wpg:wgp>
                      <wpg:cNvPr id="850" name="Group 850"/>
                      <wpg:cNvGrpSpPr/>
                      <wpg:grpSpPr>
                        <a:xfrm>
                          <a:off x="0" y="0"/>
                          <a:ext cx="7762875" cy="9748520"/>
                          <a:chExt cx="7762875" cy="9748520"/>
                        </a:xfrm>
                      </wpg:grpSpPr>
                      <pic:pic>
                        <pic:nvPicPr>
                          <pic:cNvPr id="851" name="Image 851"/>
                          <pic:cNvPicPr/>
                        </pic:nvPicPr>
                        <pic:blipFill>
                          <a:blip r:embed="rId5" cstate="print"/>
                          <a:stretch>
                            <a:fillRect/>
                          </a:stretch>
                        </pic:blipFill>
                        <pic:spPr>
                          <a:xfrm>
                            <a:off x="0" y="0"/>
                            <a:ext cx="7762874" cy="9748489"/>
                          </a:xfrm>
                          <a:prstGeom prst="rect">
                            <a:avLst/>
                          </a:prstGeom>
                        </pic:spPr>
                      </pic:pic>
                      <wps:wsp>
                        <wps:cNvPr id="852" name="Graphic 85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853" name="Image 853"/>
                          <pic:cNvPicPr/>
                        </pic:nvPicPr>
                        <pic:blipFill>
                          <a:blip r:embed="rId105" cstate="print"/>
                          <a:stretch>
                            <a:fillRect/>
                          </a:stretch>
                        </pic:blipFill>
                        <pic:spPr>
                          <a:xfrm>
                            <a:off x="1681860" y="1673577"/>
                            <a:ext cx="4458970" cy="199618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19712" id="docshapegroup825" coordorigin="15,468" coordsize="12225,15352">
                <v:shape style="position:absolute;left:15;top:468;width:12225;height:15352" type="#_x0000_t75" id="docshape826" stroked="false">
                  <v:imagedata r:id="rId5" o:title=""/>
                </v:shape>
                <v:rect style="position:absolute;left:1673;top:2028;width:8897;height:15" id="docshape827" filled="true" fillcolor="#000000" stroked="false">
                  <v:fill type="solid"/>
                </v:rect>
                <v:shape style="position:absolute;left:2663;top:3103;width:7022;height:3144" type="#_x0000_t75" id="docshape828" stroked="false">
                  <v:imagedata r:id="rId105" o:title=""/>
                </v:shape>
                <w10:wrap type="none"/>
              </v:group>
            </w:pict>
          </mc:Fallback>
        </mc:AlternateContent>
      </w:r>
      <w:r>
        <w:rPr>
          <w:color w:val="172951"/>
          <w:sz w:val="20"/>
        </w:rPr>
        <w:t>Pág.</w:t>
      </w:r>
      <w:r>
        <w:rPr>
          <w:color w:val="172951"/>
          <w:spacing w:val="-7"/>
          <w:sz w:val="20"/>
        </w:rPr>
        <w:t> </w:t>
      </w:r>
      <w:r>
        <w:rPr>
          <w:color w:val="172951"/>
          <w:spacing w:val="-5"/>
          <w:sz w:val="20"/>
        </w:rPr>
        <w:t>171</w:t>
      </w:r>
    </w:p>
    <w:p>
      <w:pPr>
        <w:pStyle w:val="BodyText"/>
        <w:spacing w:before="10"/>
        <w:rPr>
          <w:sz w:val="16"/>
        </w:rPr>
      </w:pPr>
      <w:r>
        <w:rPr>
          <w:sz w:val="16"/>
        </w:rPr>
        <mc:AlternateContent>
          <mc:Choice Requires="wps">
            <w:drawing>
              <wp:anchor distT="0" distB="0" distL="0" distR="0" allowOverlap="1" layoutInCell="1" locked="0" behindDoc="1" simplePos="0" relativeHeight="487758848">
                <wp:simplePos x="0" y="0"/>
                <wp:positionH relativeFrom="page">
                  <wp:posOffset>1080820</wp:posOffset>
                </wp:positionH>
                <wp:positionV relativeFrom="paragraph">
                  <wp:posOffset>141144</wp:posOffset>
                </wp:positionV>
                <wp:extent cx="5715000" cy="5071110"/>
                <wp:effectExtent l="0" t="0" r="0" b="0"/>
                <wp:wrapTopAndBottom/>
                <wp:docPr id="854" name="Textbox 854"/>
                <wp:cNvGraphicFramePr>
                  <a:graphicFrameLocks/>
                </wp:cNvGraphicFramePr>
                <a:graphic>
                  <a:graphicData uri="http://schemas.microsoft.com/office/word/2010/wordprocessingShape">
                    <wps:wsp>
                      <wps:cNvPr id="854" name="Textbox 854"/>
                      <wps:cNvSpPr txBox="1"/>
                      <wps:spPr>
                        <a:xfrm>
                          <a:off x="0" y="0"/>
                          <a:ext cx="5715000" cy="5071110"/>
                        </a:xfrm>
                        <a:prstGeom prst="rect">
                          <a:avLst/>
                        </a:prstGeom>
                        <a:ln w="6095">
                          <a:solidFill>
                            <a:srgbClr val="000000"/>
                          </a:solidFill>
                          <a:prstDash val="solid"/>
                        </a:ln>
                      </wps:spPr>
                      <wps:txbx>
                        <w:txbxContent>
                          <w:p>
                            <w:pPr>
                              <w:pStyle w:val="BodyText"/>
                              <w:spacing w:line="278" w:lineRule="auto"/>
                              <w:ind w:left="103" w:right="92"/>
                            </w:pPr>
                            <w:r>
                              <w:rPr/>
                              <w:t>conformidad</w:t>
                            </w:r>
                            <w:r>
                              <w:rPr>
                                <w:spacing w:val="-2"/>
                              </w:rPr>
                              <w:t> </w:t>
                            </w:r>
                            <w:r>
                              <w:rPr/>
                              <w:t>con</w:t>
                            </w:r>
                            <w:r>
                              <w:rPr>
                                <w:spacing w:val="-2"/>
                              </w:rPr>
                              <w:t> </w:t>
                            </w:r>
                            <w:r>
                              <w:rPr/>
                              <w:t>lo</w:t>
                            </w:r>
                            <w:r>
                              <w:rPr>
                                <w:spacing w:val="-2"/>
                              </w:rPr>
                              <w:t> </w:t>
                            </w:r>
                            <w:r>
                              <w:rPr/>
                              <w:t>dispuesto</w:t>
                            </w:r>
                            <w:r>
                              <w:rPr>
                                <w:spacing w:val="-1"/>
                              </w:rPr>
                              <w:t> </w:t>
                            </w:r>
                            <w:r>
                              <w:rPr/>
                              <w:t>en</w:t>
                            </w:r>
                            <w:r>
                              <w:rPr>
                                <w:spacing w:val="-2"/>
                              </w:rPr>
                              <w:t> </w:t>
                            </w:r>
                            <w:r>
                              <w:rPr/>
                              <w:t>la</w:t>
                            </w:r>
                            <w:r>
                              <w:rPr>
                                <w:spacing w:val="-3"/>
                              </w:rPr>
                              <w:t> </w:t>
                            </w:r>
                            <w:r>
                              <w:rPr/>
                              <w:t>NICSP</w:t>
                            </w:r>
                            <w:r>
                              <w:rPr>
                                <w:spacing w:val="-2"/>
                              </w:rPr>
                              <w:t> </w:t>
                            </w:r>
                            <w:r>
                              <w:rPr/>
                              <w:t>2</w:t>
                            </w:r>
                            <w:r>
                              <w:rPr>
                                <w:spacing w:val="-2"/>
                              </w:rPr>
                              <w:t> </w:t>
                            </w:r>
                            <w:r>
                              <w:rPr/>
                              <w:t>–</w:t>
                            </w:r>
                            <w:r>
                              <w:rPr>
                                <w:spacing w:val="-3"/>
                              </w:rPr>
                              <w:t> </w:t>
                            </w:r>
                            <w:r>
                              <w:rPr/>
                              <w:t>Estado</w:t>
                            </w:r>
                            <w:r>
                              <w:rPr>
                                <w:spacing w:val="-4"/>
                              </w:rPr>
                              <w:t> </w:t>
                            </w:r>
                            <w:r>
                              <w:rPr/>
                              <w:t>de</w:t>
                            </w:r>
                            <w:r>
                              <w:rPr>
                                <w:spacing w:val="-4"/>
                              </w:rPr>
                              <w:t> </w:t>
                            </w:r>
                            <w:r>
                              <w:rPr/>
                              <w:t>Flujos</w:t>
                            </w:r>
                            <w:r>
                              <w:rPr>
                                <w:spacing w:val="-1"/>
                              </w:rPr>
                              <w:t> </w:t>
                            </w:r>
                            <w:r>
                              <w:rPr/>
                              <w:t>de</w:t>
                            </w:r>
                            <w:r>
                              <w:rPr>
                                <w:spacing w:val="-4"/>
                              </w:rPr>
                              <w:t> </w:t>
                            </w:r>
                            <w:r>
                              <w:rPr/>
                              <w:t>Efectivo,</w:t>
                            </w:r>
                            <w:r>
                              <w:rPr>
                                <w:spacing w:val="-2"/>
                              </w:rPr>
                              <w:t> </w:t>
                            </w:r>
                            <w:r>
                              <w:rPr/>
                              <w:t>asegurando</w:t>
                            </w:r>
                            <w:r>
                              <w:rPr>
                                <w:spacing w:val="-2"/>
                              </w:rPr>
                              <w:t> </w:t>
                            </w:r>
                            <w:r>
                              <w:rPr/>
                              <w:t>la trazabilidad y consistencia de la información financiera.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3"/>
                            </w:pPr>
                          </w:p>
                          <w:p>
                            <w:pPr>
                              <w:pStyle w:val="BodyText"/>
                              <w:numPr>
                                <w:ilvl w:val="0"/>
                                <w:numId w:val="74"/>
                              </w:numPr>
                              <w:tabs>
                                <w:tab w:pos="337" w:val="left" w:leader="none"/>
                              </w:tabs>
                              <w:spacing w:line="256" w:lineRule="auto" w:before="0" w:after="0"/>
                              <w:ind w:left="103" w:right="152" w:firstLine="0"/>
                              <w:jc w:val="both"/>
                            </w:pPr>
                            <w:r>
                              <w:rPr/>
                              <w:t>La entidad generó un flujo neto positivo en operación por ¢ 14.954.560,32, lo que evidencia capacidad de generar liquidez a partir de las actividades ordinarias.</w:t>
                            </w:r>
                          </w:p>
                          <w:p>
                            <w:pPr>
                              <w:pStyle w:val="BodyText"/>
                              <w:numPr>
                                <w:ilvl w:val="0"/>
                                <w:numId w:val="74"/>
                              </w:numPr>
                              <w:tabs>
                                <w:tab w:pos="304" w:val="left" w:leader="none"/>
                              </w:tabs>
                              <w:spacing w:line="240" w:lineRule="auto" w:before="164" w:after="0"/>
                              <w:ind w:left="304" w:right="0" w:hanging="201"/>
                              <w:jc w:val="both"/>
                            </w:pPr>
                            <w:r>
                              <w:rPr/>
                              <w:t>Las</w:t>
                            </w:r>
                            <w:r>
                              <w:rPr>
                                <w:spacing w:val="-5"/>
                              </w:rPr>
                              <w:t> </w:t>
                            </w:r>
                            <w:r>
                              <w:rPr/>
                              <w:t>actividades</w:t>
                            </w:r>
                            <w:r>
                              <w:rPr>
                                <w:spacing w:val="-3"/>
                              </w:rPr>
                              <w:t> </w:t>
                            </w:r>
                            <w:r>
                              <w:rPr/>
                              <w:t>de</w:t>
                            </w:r>
                            <w:r>
                              <w:rPr>
                                <w:spacing w:val="-5"/>
                              </w:rPr>
                              <w:t> </w:t>
                            </w:r>
                            <w:r>
                              <w:rPr/>
                              <w:t>inversión</w:t>
                            </w:r>
                            <w:r>
                              <w:rPr>
                                <w:spacing w:val="-3"/>
                              </w:rPr>
                              <w:t> </w:t>
                            </w:r>
                            <w:r>
                              <w:rPr/>
                              <w:t>presentaron</w:t>
                            </w:r>
                            <w:r>
                              <w:rPr>
                                <w:spacing w:val="-6"/>
                              </w:rPr>
                              <w:t> </w:t>
                            </w:r>
                            <w:r>
                              <w:rPr/>
                              <w:t>movimiento</w:t>
                            </w:r>
                            <w:r>
                              <w:rPr>
                                <w:spacing w:val="-3"/>
                              </w:rPr>
                              <w:t> </w:t>
                            </w:r>
                            <w:r>
                              <w:rPr/>
                              <w:t>por</w:t>
                            </w:r>
                            <w:r>
                              <w:rPr>
                                <w:spacing w:val="-4"/>
                              </w:rPr>
                              <w:t> </w:t>
                            </w:r>
                            <w:r>
                              <w:rPr/>
                              <w:t>un</w:t>
                            </w:r>
                            <w:r>
                              <w:rPr>
                                <w:spacing w:val="-5"/>
                              </w:rPr>
                              <w:t> </w:t>
                            </w:r>
                            <w:r>
                              <w:rPr/>
                              <w:t>monto</w:t>
                            </w:r>
                            <w:r>
                              <w:rPr>
                                <w:spacing w:val="-3"/>
                              </w:rPr>
                              <w:t> </w:t>
                            </w:r>
                            <w:r>
                              <w:rPr/>
                              <w:t>de</w:t>
                            </w:r>
                            <w:r>
                              <w:rPr>
                                <w:spacing w:val="-6"/>
                              </w:rPr>
                              <w:t> </w:t>
                            </w:r>
                            <w:r>
                              <w:rPr/>
                              <w:t>¢</w:t>
                            </w:r>
                            <w:r>
                              <w:rPr>
                                <w:spacing w:val="-3"/>
                              </w:rPr>
                              <w:t> </w:t>
                            </w:r>
                            <w:r>
                              <w:rPr/>
                              <w:t>-442.305,16</w:t>
                            </w:r>
                            <w:r>
                              <w:rPr>
                                <w:spacing w:val="-5"/>
                              </w:rPr>
                              <w:t> </w:t>
                            </w:r>
                            <w:r>
                              <w:rPr/>
                              <w:t>a</w:t>
                            </w:r>
                            <w:r>
                              <w:rPr>
                                <w:spacing w:val="-4"/>
                              </w:rPr>
                              <w:t> </w:t>
                            </w:r>
                            <w:r>
                              <w:rPr/>
                              <w:t>julio</w:t>
                            </w:r>
                            <w:r>
                              <w:rPr>
                                <w:spacing w:val="-3"/>
                              </w:rPr>
                              <w:t> </w:t>
                            </w:r>
                            <w:r>
                              <w:rPr>
                                <w:spacing w:val="-2"/>
                              </w:rPr>
                              <w:t>2026.</w:t>
                            </w:r>
                          </w:p>
                          <w:p>
                            <w:pPr>
                              <w:pStyle w:val="BodyText"/>
                              <w:numPr>
                                <w:ilvl w:val="0"/>
                                <w:numId w:val="74"/>
                              </w:numPr>
                              <w:tabs>
                                <w:tab w:pos="294" w:val="left" w:leader="none"/>
                              </w:tabs>
                              <w:spacing w:line="259" w:lineRule="auto" w:before="179" w:after="0"/>
                              <w:ind w:left="103" w:right="154" w:firstLine="0"/>
                              <w:jc w:val="both"/>
                            </w:pPr>
                            <w:r>
                              <w:rPr/>
                              <w:t>No</w:t>
                            </w:r>
                            <w:r>
                              <w:rPr>
                                <w:spacing w:val="-10"/>
                              </w:rPr>
                              <w:t> </w:t>
                            </w:r>
                            <w:r>
                              <w:rPr/>
                              <w:t>se</w:t>
                            </w:r>
                            <w:r>
                              <w:rPr>
                                <w:spacing w:val="-12"/>
                              </w:rPr>
                              <w:t> </w:t>
                            </w:r>
                            <w:r>
                              <w:rPr/>
                              <w:t>registraron</w:t>
                            </w:r>
                            <w:r>
                              <w:rPr>
                                <w:spacing w:val="-11"/>
                              </w:rPr>
                              <w:t> </w:t>
                            </w:r>
                            <w:r>
                              <w:rPr/>
                              <w:t>flujos</w:t>
                            </w:r>
                            <w:r>
                              <w:rPr>
                                <w:spacing w:val="-10"/>
                              </w:rPr>
                              <w:t> </w:t>
                            </w:r>
                            <w:r>
                              <w:rPr/>
                              <w:t>de</w:t>
                            </w:r>
                            <w:r>
                              <w:rPr>
                                <w:spacing w:val="-12"/>
                              </w:rPr>
                              <w:t> </w:t>
                            </w:r>
                            <w:r>
                              <w:rPr/>
                              <w:t>financiación</w:t>
                            </w:r>
                            <w:r>
                              <w:rPr>
                                <w:spacing w:val="-11"/>
                              </w:rPr>
                              <w:t> </w:t>
                            </w:r>
                            <w:r>
                              <w:rPr/>
                              <w:t>en</w:t>
                            </w:r>
                            <w:r>
                              <w:rPr>
                                <w:spacing w:val="-11"/>
                              </w:rPr>
                              <w:t> </w:t>
                            </w:r>
                            <w:r>
                              <w:rPr/>
                              <w:t>el</w:t>
                            </w:r>
                            <w:r>
                              <w:rPr>
                                <w:spacing w:val="-11"/>
                              </w:rPr>
                              <w:t> </w:t>
                            </w:r>
                            <w:r>
                              <w:rPr/>
                              <w:t>período,</w:t>
                            </w:r>
                            <w:r>
                              <w:rPr>
                                <w:spacing w:val="-10"/>
                              </w:rPr>
                              <w:t> </w:t>
                            </w:r>
                            <w:r>
                              <w:rPr/>
                              <w:t>por</w:t>
                            </w:r>
                            <w:r>
                              <w:rPr>
                                <w:spacing w:val="-10"/>
                              </w:rPr>
                              <w:t> </w:t>
                            </w:r>
                            <w:r>
                              <w:rPr/>
                              <w:t>lo</w:t>
                            </w:r>
                            <w:r>
                              <w:rPr>
                                <w:spacing w:val="-11"/>
                              </w:rPr>
                              <w:t> </w:t>
                            </w:r>
                            <w:r>
                              <w:rPr/>
                              <w:t>que</w:t>
                            </w:r>
                            <w:r>
                              <w:rPr>
                                <w:spacing w:val="-12"/>
                              </w:rPr>
                              <w:t> </w:t>
                            </w:r>
                            <w:r>
                              <w:rPr/>
                              <w:t>el</w:t>
                            </w:r>
                            <w:r>
                              <w:rPr>
                                <w:spacing w:val="-11"/>
                              </w:rPr>
                              <w:t> </w:t>
                            </w:r>
                            <w:r>
                              <w:rPr/>
                              <w:t>cambio</w:t>
                            </w:r>
                            <w:r>
                              <w:rPr>
                                <w:spacing w:val="-10"/>
                              </w:rPr>
                              <w:t> </w:t>
                            </w:r>
                            <w:r>
                              <w:rPr/>
                              <w:t>de</w:t>
                            </w:r>
                            <w:r>
                              <w:rPr>
                                <w:spacing w:val="-12"/>
                              </w:rPr>
                              <w:t> </w:t>
                            </w:r>
                            <w:r>
                              <w:rPr/>
                              <w:t>efectivo</w:t>
                            </w:r>
                            <w:r>
                              <w:rPr>
                                <w:spacing w:val="-10"/>
                              </w:rPr>
                              <w:t> </w:t>
                            </w:r>
                            <w:r>
                              <w:rPr/>
                              <w:t>no</w:t>
                            </w:r>
                            <w:r>
                              <w:rPr>
                                <w:spacing w:val="-10"/>
                              </w:rPr>
                              <w:t> </w:t>
                            </w:r>
                            <w:r>
                              <w:rPr/>
                              <w:t>se</w:t>
                            </w:r>
                            <w:r>
                              <w:rPr>
                                <w:spacing w:val="-12"/>
                              </w:rPr>
                              <w:t> </w:t>
                            </w:r>
                            <w:r>
                              <w:rPr/>
                              <w:t>explica por endeudamiento o amortizaciones.</w:t>
                            </w:r>
                          </w:p>
                          <w:p>
                            <w:pPr>
                              <w:pStyle w:val="BodyText"/>
                              <w:numPr>
                                <w:ilvl w:val="0"/>
                                <w:numId w:val="74"/>
                              </w:numPr>
                              <w:tabs>
                                <w:tab w:pos="323" w:val="left" w:leader="none"/>
                              </w:tabs>
                              <w:spacing w:line="259" w:lineRule="auto" w:before="161" w:after="0"/>
                              <w:ind w:left="103" w:right="150" w:firstLine="0"/>
                              <w:jc w:val="both"/>
                            </w:pPr>
                            <w:r>
                              <w:rPr/>
                              <w:t>El efecto por diferencias de cambio no realizadas fue de ¢ -22.409,93 y representa un descenso aproximadamente -109,34% del cambio total del efectivo, lo cual sugiere una exposición relevante a partidas en moneda extranjera.</w:t>
                            </w:r>
                          </w:p>
                          <w:p>
                            <w:pPr>
                              <w:pStyle w:val="BodyText"/>
                              <w:numPr>
                                <w:ilvl w:val="0"/>
                                <w:numId w:val="74"/>
                              </w:numPr>
                              <w:tabs>
                                <w:tab w:pos="306" w:val="left" w:leader="none"/>
                              </w:tabs>
                              <w:spacing w:line="259" w:lineRule="auto" w:before="159" w:after="0"/>
                              <w:ind w:left="103" w:right="150" w:firstLine="0"/>
                              <w:jc w:val="both"/>
                            </w:pPr>
                            <w:r>
                              <w:rPr/>
                              <w:t>En</w:t>
                            </w:r>
                            <w:r>
                              <w:rPr>
                                <w:spacing w:val="-1"/>
                              </w:rPr>
                              <w:t> </w:t>
                            </w:r>
                            <w:r>
                              <w:rPr/>
                              <w:t>términos</w:t>
                            </w:r>
                            <w:r>
                              <w:rPr>
                                <w:spacing w:val="-1"/>
                              </w:rPr>
                              <w:t> </w:t>
                            </w:r>
                            <w:r>
                              <w:rPr/>
                              <w:t>relativos,</w:t>
                            </w:r>
                            <w:r>
                              <w:rPr>
                                <w:spacing w:val="-2"/>
                              </w:rPr>
                              <w:t> </w:t>
                            </w:r>
                            <w:r>
                              <w:rPr/>
                              <w:t>el</w:t>
                            </w:r>
                            <w:r>
                              <w:rPr>
                                <w:spacing w:val="-1"/>
                              </w:rPr>
                              <w:t> </w:t>
                            </w:r>
                            <w:r>
                              <w:rPr/>
                              <w:t>flujo de</w:t>
                            </w:r>
                            <w:r>
                              <w:rPr>
                                <w:spacing w:val="-2"/>
                              </w:rPr>
                              <w:t> </w:t>
                            </w:r>
                            <w:r>
                              <w:rPr/>
                              <w:t>operación</w:t>
                            </w:r>
                            <w:r>
                              <w:rPr>
                                <w:spacing w:val="-1"/>
                              </w:rPr>
                              <w:t> </w:t>
                            </w:r>
                            <w:r>
                              <w:rPr/>
                              <w:t>equivale</w:t>
                            </w:r>
                            <w:r>
                              <w:rPr>
                                <w:spacing w:val="-2"/>
                              </w:rPr>
                              <w:t> </w:t>
                            </w:r>
                            <w:r>
                              <w:rPr/>
                              <w:t>a</w:t>
                            </w:r>
                            <w:r>
                              <w:rPr>
                                <w:spacing w:val="-1"/>
                              </w:rPr>
                              <w:t> </w:t>
                            </w:r>
                            <w:r>
                              <w:rPr/>
                              <w:t>un</w:t>
                            </w:r>
                            <w:r>
                              <w:rPr>
                                <w:spacing w:val="-1"/>
                              </w:rPr>
                              <w:t> </w:t>
                            </w:r>
                            <w:r>
                              <w:rPr/>
                              <w:t>descenso aproximadamente</w:t>
                            </w:r>
                            <w:r>
                              <w:rPr>
                                <w:spacing w:val="-1"/>
                              </w:rPr>
                              <w:t> </w:t>
                            </w:r>
                            <w:r>
                              <w:rPr/>
                              <w:t>-31,12%</w:t>
                            </w:r>
                            <w:r>
                              <w:rPr>
                                <w:spacing w:val="-1"/>
                              </w:rPr>
                              <w:t> </w:t>
                            </w:r>
                            <w:r>
                              <w:rPr/>
                              <w:t>del neto por actividades, mientras que las actividades inversión tuvo un incremento de un 96,38% de actividad respecto al periodo anterior.</w:t>
                            </w:r>
                          </w:p>
                        </w:txbxContent>
                      </wps:txbx>
                      <wps:bodyPr wrap="square" lIns="0" tIns="0" rIns="0" bIns="0" rtlCol="0">
                        <a:noAutofit/>
                      </wps:bodyPr>
                    </wps:wsp>
                  </a:graphicData>
                </a:graphic>
              </wp:anchor>
            </w:drawing>
          </mc:Choice>
          <mc:Fallback>
            <w:pict>
              <v:shape style="position:absolute;margin-left:85.103996pt;margin-top:11.11375pt;width:450pt;height:399.3pt;mso-position-horizontal-relative:page;mso-position-vertical-relative:paragraph;z-index:-15557632;mso-wrap-distance-left:0;mso-wrap-distance-right:0" type="#_x0000_t202" id="docshape829" filled="false" stroked="true" strokeweight=".47998pt" strokecolor="#000000">
                <v:textbox inset="0,0,0,0">
                  <w:txbxContent>
                    <w:p>
                      <w:pPr>
                        <w:pStyle w:val="BodyText"/>
                        <w:spacing w:line="278" w:lineRule="auto"/>
                        <w:ind w:left="103" w:right="92"/>
                      </w:pPr>
                      <w:r>
                        <w:rPr/>
                        <w:t>conformidad</w:t>
                      </w:r>
                      <w:r>
                        <w:rPr>
                          <w:spacing w:val="-2"/>
                        </w:rPr>
                        <w:t> </w:t>
                      </w:r>
                      <w:r>
                        <w:rPr/>
                        <w:t>con</w:t>
                      </w:r>
                      <w:r>
                        <w:rPr>
                          <w:spacing w:val="-2"/>
                        </w:rPr>
                        <w:t> </w:t>
                      </w:r>
                      <w:r>
                        <w:rPr/>
                        <w:t>lo</w:t>
                      </w:r>
                      <w:r>
                        <w:rPr>
                          <w:spacing w:val="-2"/>
                        </w:rPr>
                        <w:t> </w:t>
                      </w:r>
                      <w:r>
                        <w:rPr/>
                        <w:t>dispuesto</w:t>
                      </w:r>
                      <w:r>
                        <w:rPr>
                          <w:spacing w:val="-1"/>
                        </w:rPr>
                        <w:t> </w:t>
                      </w:r>
                      <w:r>
                        <w:rPr/>
                        <w:t>en</w:t>
                      </w:r>
                      <w:r>
                        <w:rPr>
                          <w:spacing w:val="-2"/>
                        </w:rPr>
                        <w:t> </w:t>
                      </w:r>
                      <w:r>
                        <w:rPr/>
                        <w:t>la</w:t>
                      </w:r>
                      <w:r>
                        <w:rPr>
                          <w:spacing w:val="-3"/>
                        </w:rPr>
                        <w:t> </w:t>
                      </w:r>
                      <w:r>
                        <w:rPr/>
                        <w:t>NICSP</w:t>
                      </w:r>
                      <w:r>
                        <w:rPr>
                          <w:spacing w:val="-2"/>
                        </w:rPr>
                        <w:t> </w:t>
                      </w:r>
                      <w:r>
                        <w:rPr/>
                        <w:t>2</w:t>
                      </w:r>
                      <w:r>
                        <w:rPr>
                          <w:spacing w:val="-2"/>
                        </w:rPr>
                        <w:t> </w:t>
                      </w:r>
                      <w:r>
                        <w:rPr/>
                        <w:t>–</w:t>
                      </w:r>
                      <w:r>
                        <w:rPr>
                          <w:spacing w:val="-3"/>
                        </w:rPr>
                        <w:t> </w:t>
                      </w:r>
                      <w:r>
                        <w:rPr/>
                        <w:t>Estado</w:t>
                      </w:r>
                      <w:r>
                        <w:rPr>
                          <w:spacing w:val="-4"/>
                        </w:rPr>
                        <w:t> </w:t>
                      </w:r>
                      <w:r>
                        <w:rPr/>
                        <w:t>de</w:t>
                      </w:r>
                      <w:r>
                        <w:rPr>
                          <w:spacing w:val="-4"/>
                        </w:rPr>
                        <w:t> </w:t>
                      </w:r>
                      <w:r>
                        <w:rPr/>
                        <w:t>Flujos</w:t>
                      </w:r>
                      <w:r>
                        <w:rPr>
                          <w:spacing w:val="-1"/>
                        </w:rPr>
                        <w:t> </w:t>
                      </w:r>
                      <w:r>
                        <w:rPr/>
                        <w:t>de</w:t>
                      </w:r>
                      <w:r>
                        <w:rPr>
                          <w:spacing w:val="-4"/>
                        </w:rPr>
                        <w:t> </w:t>
                      </w:r>
                      <w:r>
                        <w:rPr/>
                        <w:t>Efectivo,</w:t>
                      </w:r>
                      <w:r>
                        <w:rPr>
                          <w:spacing w:val="-2"/>
                        </w:rPr>
                        <w:t> </w:t>
                      </w:r>
                      <w:r>
                        <w:rPr/>
                        <w:t>asegurando</w:t>
                      </w:r>
                      <w:r>
                        <w:rPr>
                          <w:spacing w:val="-2"/>
                        </w:rPr>
                        <w:t> </w:t>
                      </w:r>
                      <w:r>
                        <w:rPr/>
                        <w:t>la trazabilidad y consistencia de la información financiera.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3"/>
                      </w:pPr>
                    </w:p>
                    <w:p>
                      <w:pPr>
                        <w:pStyle w:val="BodyText"/>
                        <w:numPr>
                          <w:ilvl w:val="0"/>
                          <w:numId w:val="74"/>
                        </w:numPr>
                        <w:tabs>
                          <w:tab w:pos="337" w:val="left" w:leader="none"/>
                        </w:tabs>
                        <w:spacing w:line="256" w:lineRule="auto" w:before="0" w:after="0"/>
                        <w:ind w:left="103" w:right="152" w:firstLine="0"/>
                        <w:jc w:val="both"/>
                      </w:pPr>
                      <w:r>
                        <w:rPr/>
                        <w:t>La entidad generó un flujo neto positivo en operación por ¢ 14.954.560,32, lo que evidencia capacidad de generar liquidez a partir de las actividades ordinarias.</w:t>
                      </w:r>
                    </w:p>
                    <w:p>
                      <w:pPr>
                        <w:pStyle w:val="BodyText"/>
                        <w:numPr>
                          <w:ilvl w:val="0"/>
                          <w:numId w:val="74"/>
                        </w:numPr>
                        <w:tabs>
                          <w:tab w:pos="304" w:val="left" w:leader="none"/>
                        </w:tabs>
                        <w:spacing w:line="240" w:lineRule="auto" w:before="164" w:after="0"/>
                        <w:ind w:left="304" w:right="0" w:hanging="201"/>
                        <w:jc w:val="both"/>
                      </w:pPr>
                      <w:r>
                        <w:rPr/>
                        <w:t>Las</w:t>
                      </w:r>
                      <w:r>
                        <w:rPr>
                          <w:spacing w:val="-5"/>
                        </w:rPr>
                        <w:t> </w:t>
                      </w:r>
                      <w:r>
                        <w:rPr/>
                        <w:t>actividades</w:t>
                      </w:r>
                      <w:r>
                        <w:rPr>
                          <w:spacing w:val="-3"/>
                        </w:rPr>
                        <w:t> </w:t>
                      </w:r>
                      <w:r>
                        <w:rPr/>
                        <w:t>de</w:t>
                      </w:r>
                      <w:r>
                        <w:rPr>
                          <w:spacing w:val="-5"/>
                        </w:rPr>
                        <w:t> </w:t>
                      </w:r>
                      <w:r>
                        <w:rPr/>
                        <w:t>inversión</w:t>
                      </w:r>
                      <w:r>
                        <w:rPr>
                          <w:spacing w:val="-3"/>
                        </w:rPr>
                        <w:t> </w:t>
                      </w:r>
                      <w:r>
                        <w:rPr/>
                        <w:t>presentaron</w:t>
                      </w:r>
                      <w:r>
                        <w:rPr>
                          <w:spacing w:val="-6"/>
                        </w:rPr>
                        <w:t> </w:t>
                      </w:r>
                      <w:r>
                        <w:rPr/>
                        <w:t>movimiento</w:t>
                      </w:r>
                      <w:r>
                        <w:rPr>
                          <w:spacing w:val="-3"/>
                        </w:rPr>
                        <w:t> </w:t>
                      </w:r>
                      <w:r>
                        <w:rPr/>
                        <w:t>por</w:t>
                      </w:r>
                      <w:r>
                        <w:rPr>
                          <w:spacing w:val="-4"/>
                        </w:rPr>
                        <w:t> </w:t>
                      </w:r>
                      <w:r>
                        <w:rPr/>
                        <w:t>un</w:t>
                      </w:r>
                      <w:r>
                        <w:rPr>
                          <w:spacing w:val="-5"/>
                        </w:rPr>
                        <w:t> </w:t>
                      </w:r>
                      <w:r>
                        <w:rPr/>
                        <w:t>monto</w:t>
                      </w:r>
                      <w:r>
                        <w:rPr>
                          <w:spacing w:val="-3"/>
                        </w:rPr>
                        <w:t> </w:t>
                      </w:r>
                      <w:r>
                        <w:rPr/>
                        <w:t>de</w:t>
                      </w:r>
                      <w:r>
                        <w:rPr>
                          <w:spacing w:val="-6"/>
                        </w:rPr>
                        <w:t> </w:t>
                      </w:r>
                      <w:r>
                        <w:rPr/>
                        <w:t>¢</w:t>
                      </w:r>
                      <w:r>
                        <w:rPr>
                          <w:spacing w:val="-3"/>
                        </w:rPr>
                        <w:t> </w:t>
                      </w:r>
                      <w:r>
                        <w:rPr/>
                        <w:t>-442.305,16</w:t>
                      </w:r>
                      <w:r>
                        <w:rPr>
                          <w:spacing w:val="-5"/>
                        </w:rPr>
                        <w:t> </w:t>
                      </w:r>
                      <w:r>
                        <w:rPr/>
                        <w:t>a</w:t>
                      </w:r>
                      <w:r>
                        <w:rPr>
                          <w:spacing w:val="-4"/>
                        </w:rPr>
                        <w:t> </w:t>
                      </w:r>
                      <w:r>
                        <w:rPr/>
                        <w:t>julio</w:t>
                      </w:r>
                      <w:r>
                        <w:rPr>
                          <w:spacing w:val="-3"/>
                        </w:rPr>
                        <w:t> </w:t>
                      </w:r>
                      <w:r>
                        <w:rPr>
                          <w:spacing w:val="-2"/>
                        </w:rPr>
                        <w:t>2026.</w:t>
                      </w:r>
                    </w:p>
                    <w:p>
                      <w:pPr>
                        <w:pStyle w:val="BodyText"/>
                        <w:numPr>
                          <w:ilvl w:val="0"/>
                          <w:numId w:val="74"/>
                        </w:numPr>
                        <w:tabs>
                          <w:tab w:pos="294" w:val="left" w:leader="none"/>
                        </w:tabs>
                        <w:spacing w:line="259" w:lineRule="auto" w:before="179" w:after="0"/>
                        <w:ind w:left="103" w:right="154" w:firstLine="0"/>
                        <w:jc w:val="both"/>
                      </w:pPr>
                      <w:r>
                        <w:rPr/>
                        <w:t>No</w:t>
                      </w:r>
                      <w:r>
                        <w:rPr>
                          <w:spacing w:val="-10"/>
                        </w:rPr>
                        <w:t> </w:t>
                      </w:r>
                      <w:r>
                        <w:rPr/>
                        <w:t>se</w:t>
                      </w:r>
                      <w:r>
                        <w:rPr>
                          <w:spacing w:val="-12"/>
                        </w:rPr>
                        <w:t> </w:t>
                      </w:r>
                      <w:r>
                        <w:rPr/>
                        <w:t>registraron</w:t>
                      </w:r>
                      <w:r>
                        <w:rPr>
                          <w:spacing w:val="-11"/>
                        </w:rPr>
                        <w:t> </w:t>
                      </w:r>
                      <w:r>
                        <w:rPr/>
                        <w:t>flujos</w:t>
                      </w:r>
                      <w:r>
                        <w:rPr>
                          <w:spacing w:val="-10"/>
                        </w:rPr>
                        <w:t> </w:t>
                      </w:r>
                      <w:r>
                        <w:rPr/>
                        <w:t>de</w:t>
                      </w:r>
                      <w:r>
                        <w:rPr>
                          <w:spacing w:val="-12"/>
                        </w:rPr>
                        <w:t> </w:t>
                      </w:r>
                      <w:r>
                        <w:rPr/>
                        <w:t>financiación</w:t>
                      </w:r>
                      <w:r>
                        <w:rPr>
                          <w:spacing w:val="-11"/>
                        </w:rPr>
                        <w:t> </w:t>
                      </w:r>
                      <w:r>
                        <w:rPr/>
                        <w:t>en</w:t>
                      </w:r>
                      <w:r>
                        <w:rPr>
                          <w:spacing w:val="-11"/>
                        </w:rPr>
                        <w:t> </w:t>
                      </w:r>
                      <w:r>
                        <w:rPr/>
                        <w:t>el</w:t>
                      </w:r>
                      <w:r>
                        <w:rPr>
                          <w:spacing w:val="-11"/>
                        </w:rPr>
                        <w:t> </w:t>
                      </w:r>
                      <w:r>
                        <w:rPr/>
                        <w:t>período,</w:t>
                      </w:r>
                      <w:r>
                        <w:rPr>
                          <w:spacing w:val="-10"/>
                        </w:rPr>
                        <w:t> </w:t>
                      </w:r>
                      <w:r>
                        <w:rPr/>
                        <w:t>por</w:t>
                      </w:r>
                      <w:r>
                        <w:rPr>
                          <w:spacing w:val="-10"/>
                        </w:rPr>
                        <w:t> </w:t>
                      </w:r>
                      <w:r>
                        <w:rPr/>
                        <w:t>lo</w:t>
                      </w:r>
                      <w:r>
                        <w:rPr>
                          <w:spacing w:val="-11"/>
                        </w:rPr>
                        <w:t> </w:t>
                      </w:r>
                      <w:r>
                        <w:rPr/>
                        <w:t>que</w:t>
                      </w:r>
                      <w:r>
                        <w:rPr>
                          <w:spacing w:val="-12"/>
                        </w:rPr>
                        <w:t> </w:t>
                      </w:r>
                      <w:r>
                        <w:rPr/>
                        <w:t>el</w:t>
                      </w:r>
                      <w:r>
                        <w:rPr>
                          <w:spacing w:val="-11"/>
                        </w:rPr>
                        <w:t> </w:t>
                      </w:r>
                      <w:r>
                        <w:rPr/>
                        <w:t>cambio</w:t>
                      </w:r>
                      <w:r>
                        <w:rPr>
                          <w:spacing w:val="-10"/>
                        </w:rPr>
                        <w:t> </w:t>
                      </w:r>
                      <w:r>
                        <w:rPr/>
                        <w:t>de</w:t>
                      </w:r>
                      <w:r>
                        <w:rPr>
                          <w:spacing w:val="-12"/>
                        </w:rPr>
                        <w:t> </w:t>
                      </w:r>
                      <w:r>
                        <w:rPr/>
                        <w:t>efectivo</w:t>
                      </w:r>
                      <w:r>
                        <w:rPr>
                          <w:spacing w:val="-10"/>
                        </w:rPr>
                        <w:t> </w:t>
                      </w:r>
                      <w:r>
                        <w:rPr/>
                        <w:t>no</w:t>
                      </w:r>
                      <w:r>
                        <w:rPr>
                          <w:spacing w:val="-10"/>
                        </w:rPr>
                        <w:t> </w:t>
                      </w:r>
                      <w:r>
                        <w:rPr/>
                        <w:t>se</w:t>
                      </w:r>
                      <w:r>
                        <w:rPr>
                          <w:spacing w:val="-12"/>
                        </w:rPr>
                        <w:t> </w:t>
                      </w:r>
                      <w:r>
                        <w:rPr/>
                        <w:t>explica por endeudamiento o amortizaciones.</w:t>
                      </w:r>
                    </w:p>
                    <w:p>
                      <w:pPr>
                        <w:pStyle w:val="BodyText"/>
                        <w:numPr>
                          <w:ilvl w:val="0"/>
                          <w:numId w:val="74"/>
                        </w:numPr>
                        <w:tabs>
                          <w:tab w:pos="323" w:val="left" w:leader="none"/>
                        </w:tabs>
                        <w:spacing w:line="259" w:lineRule="auto" w:before="161" w:after="0"/>
                        <w:ind w:left="103" w:right="150" w:firstLine="0"/>
                        <w:jc w:val="both"/>
                      </w:pPr>
                      <w:r>
                        <w:rPr/>
                        <w:t>El efecto por diferencias de cambio no realizadas fue de ¢ -22.409,93 y representa un descenso aproximadamente -109,34% del cambio total del efectivo, lo cual sugiere una exposición relevante a partidas en moneda extranjera.</w:t>
                      </w:r>
                    </w:p>
                    <w:p>
                      <w:pPr>
                        <w:pStyle w:val="BodyText"/>
                        <w:numPr>
                          <w:ilvl w:val="0"/>
                          <w:numId w:val="74"/>
                        </w:numPr>
                        <w:tabs>
                          <w:tab w:pos="306" w:val="left" w:leader="none"/>
                        </w:tabs>
                        <w:spacing w:line="259" w:lineRule="auto" w:before="159" w:after="0"/>
                        <w:ind w:left="103" w:right="150" w:firstLine="0"/>
                        <w:jc w:val="both"/>
                      </w:pPr>
                      <w:r>
                        <w:rPr/>
                        <w:t>En</w:t>
                      </w:r>
                      <w:r>
                        <w:rPr>
                          <w:spacing w:val="-1"/>
                        </w:rPr>
                        <w:t> </w:t>
                      </w:r>
                      <w:r>
                        <w:rPr/>
                        <w:t>términos</w:t>
                      </w:r>
                      <w:r>
                        <w:rPr>
                          <w:spacing w:val="-1"/>
                        </w:rPr>
                        <w:t> </w:t>
                      </w:r>
                      <w:r>
                        <w:rPr/>
                        <w:t>relativos,</w:t>
                      </w:r>
                      <w:r>
                        <w:rPr>
                          <w:spacing w:val="-2"/>
                        </w:rPr>
                        <w:t> </w:t>
                      </w:r>
                      <w:r>
                        <w:rPr/>
                        <w:t>el</w:t>
                      </w:r>
                      <w:r>
                        <w:rPr>
                          <w:spacing w:val="-1"/>
                        </w:rPr>
                        <w:t> </w:t>
                      </w:r>
                      <w:r>
                        <w:rPr/>
                        <w:t>flujo de</w:t>
                      </w:r>
                      <w:r>
                        <w:rPr>
                          <w:spacing w:val="-2"/>
                        </w:rPr>
                        <w:t> </w:t>
                      </w:r>
                      <w:r>
                        <w:rPr/>
                        <w:t>operación</w:t>
                      </w:r>
                      <w:r>
                        <w:rPr>
                          <w:spacing w:val="-1"/>
                        </w:rPr>
                        <w:t> </w:t>
                      </w:r>
                      <w:r>
                        <w:rPr/>
                        <w:t>equivale</w:t>
                      </w:r>
                      <w:r>
                        <w:rPr>
                          <w:spacing w:val="-2"/>
                        </w:rPr>
                        <w:t> </w:t>
                      </w:r>
                      <w:r>
                        <w:rPr/>
                        <w:t>a</w:t>
                      </w:r>
                      <w:r>
                        <w:rPr>
                          <w:spacing w:val="-1"/>
                        </w:rPr>
                        <w:t> </w:t>
                      </w:r>
                      <w:r>
                        <w:rPr/>
                        <w:t>un</w:t>
                      </w:r>
                      <w:r>
                        <w:rPr>
                          <w:spacing w:val="-1"/>
                        </w:rPr>
                        <w:t> </w:t>
                      </w:r>
                      <w:r>
                        <w:rPr/>
                        <w:t>descenso aproximadamente</w:t>
                      </w:r>
                      <w:r>
                        <w:rPr>
                          <w:spacing w:val="-1"/>
                        </w:rPr>
                        <w:t> </w:t>
                      </w:r>
                      <w:r>
                        <w:rPr/>
                        <w:t>-31,12%</w:t>
                      </w:r>
                      <w:r>
                        <w:rPr>
                          <w:spacing w:val="-1"/>
                        </w:rPr>
                        <w:t> </w:t>
                      </w:r>
                      <w:r>
                        <w:rPr/>
                        <w:t>del neto por actividades, mientras que las actividades inversión tuvo un incremento de un 96,38% de actividad respecto al periodo anterior.</w:t>
                      </w:r>
                    </w:p>
                  </w:txbxContent>
                </v:textbox>
                <v:stroke dashstyle="solid"/>
                <w10:wrap type="topAndBottom"/>
              </v:shape>
            </w:pict>
          </mc:Fallback>
        </mc:AlternateContent>
      </w:r>
    </w:p>
    <w:p>
      <w:pPr>
        <w:pStyle w:val="BodyText"/>
        <w:spacing w:before="6"/>
      </w:pPr>
    </w:p>
    <w:p>
      <w:pPr>
        <w:pStyle w:val="ListParagraph"/>
        <w:numPr>
          <w:ilvl w:val="0"/>
          <w:numId w:val="73"/>
        </w:numPr>
        <w:tabs>
          <w:tab w:pos="1339" w:val="left" w:leader="none"/>
        </w:tabs>
        <w:spacing w:line="240" w:lineRule="auto" w:before="0" w:after="0"/>
        <w:ind w:left="1339" w:right="0" w:hanging="358"/>
        <w:jc w:val="left"/>
        <w:rPr>
          <w:sz w:val="22"/>
        </w:rPr>
      </w:pPr>
      <w:r>
        <w:rPr>
          <w:sz w:val="22"/>
        </w:rPr>
        <w:t>Otra</w:t>
      </w:r>
      <w:r>
        <w:rPr>
          <w:spacing w:val="-6"/>
          <w:sz w:val="22"/>
        </w:rPr>
        <w:t> </w:t>
      </w:r>
      <w:r>
        <w:rPr>
          <w:sz w:val="22"/>
        </w:rPr>
        <w:t>información:</w:t>
      </w:r>
      <w:r>
        <w:rPr>
          <w:spacing w:val="-6"/>
          <w:sz w:val="22"/>
        </w:rPr>
        <w:t> </w:t>
      </w:r>
      <w:r>
        <w:rPr>
          <w:sz w:val="22"/>
        </w:rPr>
        <w:t>Intereses</w:t>
      </w:r>
      <w:r>
        <w:rPr>
          <w:spacing w:val="-7"/>
          <w:sz w:val="22"/>
        </w:rPr>
        <w:t> </w:t>
      </w:r>
      <w:r>
        <w:rPr>
          <w:sz w:val="22"/>
        </w:rPr>
        <w:t>Recibidos</w:t>
      </w:r>
      <w:r>
        <w:rPr>
          <w:spacing w:val="-5"/>
          <w:sz w:val="22"/>
        </w:rPr>
        <w:t> </w:t>
      </w:r>
      <w:r>
        <w:rPr>
          <w:sz w:val="22"/>
        </w:rPr>
        <w:t>/</w:t>
      </w:r>
      <w:r>
        <w:rPr>
          <w:spacing w:val="-6"/>
          <w:sz w:val="22"/>
        </w:rPr>
        <w:t> </w:t>
      </w:r>
      <w:r>
        <w:rPr>
          <w:sz w:val="22"/>
        </w:rPr>
        <w:t>Pagados,</w:t>
      </w:r>
      <w:r>
        <w:rPr>
          <w:spacing w:val="-6"/>
          <w:sz w:val="22"/>
        </w:rPr>
        <w:t> </w:t>
      </w:r>
      <w:r>
        <w:rPr>
          <w:sz w:val="22"/>
        </w:rPr>
        <w:t>(párrafo</w:t>
      </w:r>
      <w:r>
        <w:rPr>
          <w:spacing w:val="-5"/>
          <w:sz w:val="22"/>
        </w:rPr>
        <w:t> 40)</w:t>
      </w:r>
    </w:p>
    <w:p>
      <w:pPr>
        <w:pStyle w:val="BodyText"/>
        <w:spacing w:before="31"/>
        <w:rPr>
          <w:sz w:val="20"/>
        </w:rPr>
      </w:pPr>
      <w:r>
        <w:rPr>
          <w:sz w:val="20"/>
        </w:rPr>
        <mc:AlternateContent>
          <mc:Choice Requires="wps">
            <w:drawing>
              <wp:anchor distT="0" distB="0" distL="0" distR="0" allowOverlap="1" layoutInCell="1" locked="0" behindDoc="1" simplePos="0" relativeHeight="487759360">
                <wp:simplePos x="0" y="0"/>
                <wp:positionH relativeFrom="page">
                  <wp:posOffset>1080820</wp:posOffset>
                </wp:positionH>
                <wp:positionV relativeFrom="paragraph">
                  <wp:posOffset>182959</wp:posOffset>
                </wp:positionV>
                <wp:extent cx="5715000" cy="1733550"/>
                <wp:effectExtent l="0" t="0" r="0" b="0"/>
                <wp:wrapTopAndBottom/>
                <wp:docPr id="855" name="Textbox 855"/>
                <wp:cNvGraphicFramePr>
                  <a:graphicFrameLocks/>
                </wp:cNvGraphicFramePr>
                <a:graphic>
                  <a:graphicData uri="http://schemas.microsoft.com/office/word/2010/wordprocessingShape">
                    <wps:wsp>
                      <wps:cNvPr id="855" name="Textbox 855"/>
                      <wps:cNvSpPr txBox="1"/>
                      <wps:spPr>
                        <a:xfrm>
                          <a:off x="0" y="0"/>
                          <a:ext cx="5715000" cy="1733550"/>
                        </a:xfrm>
                        <a:prstGeom prst="rect">
                          <a:avLst/>
                        </a:prstGeom>
                        <a:ln w="6095">
                          <a:solidFill>
                            <a:srgbClr val="000000"/>
                          </a:solidFill>
                          <a:prstDash val="solid"/>
                        </a:ln>
                      </wps:spPr>
                      <wps:txbx>
                        <w:txbxContent>
                          <w:p>
                            <w:pPr>
                              <w:pStyle w:val="BodyText"/>
                              <w:spacing w:before="3"/>
                              <w:ind w:left="64"/>
                            </w:pPr>
                            <w:r>
                              <w:rPr>
                                <w:spacing w:val="-2"/>
                              </w:rPr>
                              <w:t>Revelación:</w:t>
                            </w:r>
                          </w:p>
                          <w:p>
                            <w:pPr>
                              <w:pStyle w:val="BodyText"/>
                              <w:spacing w:line="276" w:lineRule="auto" w:before="179"/>
                              <w:ind w:left="64" w:right="64"/>
                              <w:jc w:val="both"/>
                            </w:pPr>
                            <w:r>
                              <w:rPr/>
                              <w:t>De conformidad con lo establecido en el párrafo 40 de la NICSP 2, las entidades del sector público deben revelar por separado los intereses recibidos y los intereses pagados, clasificándolos de manera consistente dentro de las actividades de operación, inversión o financiación, según corresponda a la naturaleza de la entidad.</w:t>
                            </w:r>
                          </w:p>
                          <w:p>
                            <w:pPr>
                              <w:pStyle w:val="BodyText"/>
                              <w:spacing w:before="178"/>
                            </w:pPr>
                          </w:p>
                          <w:p>
                            <w:pPr>
                              <w:pStyle w:val="BodyText"/>
                              <w:spacing w:line="259" w:lineRule="auto" w:before="1"/>
                              <w:ind w:left="64" w:right="123"/>
                              <w:jc w:val="both"/>
                            </w:pPr>
                            <w:r>
                              <w:rPr/>
                              <w:t>En el flujo de efectivo, dentro los cobros de actividades de operación, en ingresos a la propiedad se incluye los intereses recibidos, tanto de cuentas corrientes, como de documentos por cobrar.</w:t>
                            </w:r>
                          </w:p>
                        </w:txbxContent>
                      </wps:txbx>
                      <wps:bodyPr wrap="square" lIns="0" tIns="0" rIns="0" bIns="0" rtlCol="0">
                        <a:noAutofit/>
                      </wps:bodyPr>
                    </wps:wsp>
                  </a:graphicData>
                </a:graphic>
              </wp:anchor>
            </w:drawing>
          </mc:Choice>
          <mc:Fallback>
            <w:pict>
              <v:shape style="position:absolute;margin-left:85.103996pt;margin-top:14.40625pt;width:450pt;height:136.5pt;mso-position-horizontal-relative:page;mso-position-vertical-relative:paragraph;z-index:-15557120;mso-wrap-distance-left:0;mso-wrap-distance-right:0" type="#_x0000_t202" id="docshape830" filled="false" stroked="true" strokeweight=".47998pt" strokecolor="#000000">
                <v:textbox inset="0,0,0,0">
                  <w:txbxContent>
                    <w:p>
                      <w:pPr>
                        <w:pStyle w:val="BodyText"/>
                        <w:spacing w:before="3"/>
                        <w:ind w:left="64"/>
                      </w:pPr>
                      <w:r>
                        <w:rPr>
                          <w:spacing w:val="-2"/>
                        </w:rPr>
                        <w:t>Revelación:</w:t>
                      </w:r>
                    </w:p>
                    <w:p>
                      <w:pPr>
                        <w:pStyle w:val="BodyText"/>
                        <w:spacing w:line="276" w:lineRule="auto" w:before="179"/>
                        <w:ind w:left="64" w:right="64"/>
                        <w:jc w:val="both"/>
                      </w:pPr>
                      <w:r>
                        <w:rPr/>
                        <w:t>De conformidad con lo establecido en el párrafo 40 de la NICSP 2, las entidades del sector público deben revelar por separado los intereses recibidos y los intereses pagados, clasificándolos de manera consistente dentro de las actividades de operación, inversión o financiación, según corresponda a la naturaleza de la entidad.</w:t>
                      </w:r>
                    </w:p>
                    <w:p>
                      <w:pPr>
                        <w:pStyle w:val="BodyText"/>
                        <w:spacing w:before="178"/>
                      </w:pPr>
                    </w:p>
                    <w:p>
                      <w:pPr>
                        <w:pStyle w:val="BodyText"/>
                        <w:spacing w:line="259" w:lineRule="auto" w:before="1"/>
                        <w:ind w:left="64" w:right="123"/>
                        <w:jc w:val="both"/>
                      </w:pPr>
                      <w:r>
                        <w:rPr/>
                        <w:t>En el flujo de efectivo, dentro los cobros de actividades de operación, en ingresos a la propiedad se incluye los intereses recibidos, tanto de cuentas corrientes, como de documentos por cobrar.</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7792">
                <wp:simplePos x="0" y="0"/>
                <wp:positionH relativeFrom="page">
                  <wp:posOffset>9525</wp:posOffset>
                </wp:positionH>
                <wp:positionV relativeFrom="page">
                  <wp:posOffset>297208</wp:posOffset>
                </wp:positionV>
                <wp:extent cx="7762875" cy="9748520"/>
                <wp:effectExtent l="0" t="0" r="0" b="0"/>
                <wp:wrapNone/>
                <wp:docPr id="856" name="Group 856"/>
                <wp:cNvGraphicFramePr>
                  <a:graphicFrameLocks/>
                </wp:cNvGraphicFramePr>
                <a:graphic>
                  <a:graphicData uri="http://schemas.microsoft.com/office/word/2010/wordprocessingGroup">
                    <wpg:wgp>
                      <wpg:cNvPr id="856" name="Group 856"/>
                      <wpg:cNvGrpSpPr/>
                      <wpg:grpSpPr>
                        <a:xfrm>
                          <a:off x="0" y="0"/>
                          <a:ext cx="7762875" cy="9748520"/>
                          <a:chExt cx="7762875" cy="9748520"/>
                        </a:xfrm>
                      </wpg:grpSpPr>
                      <pic:pic>
                        <pic:nvPicPr>
                          <pic:cNvPr id="857" name="Image 857"/>
                          <pic:cNvPicPr/>
                        </pic:nvPicPr>
                        <pic:blipFill>
                          <a:blip r:embed="rId5" cstate="print"/>
                          <a:stretch>
                            <a:fillRect/>
                          </a:stretch>
                        </pic:blipFill>
                        <pic:spPr>
                          <a:xfrm>
                            <a:off x="0" y="0"/>
                            <a:ext cx="7762874" cy="9748489"/>
                          </a:xfrm>
                          <a:prstGeom prst="rect">
                            <a:avLst/>
                          </a:prstGeom>
                        </pic:spPr>
                      </pic:pic>
                      <wps:wsp>
                        <wps:cNvPr id="858" name="Graphic 858"/>
                        <wps:cNvSpPr/>
                        <wps:spPr>
                          <a:xfrm>
                            <a:off x="1053007" y="990837"/>
                            <a:ext cx="5736590" cy="5577205"/>
                          </a:xfrm>
                          <a:custGeom>
                            <a:avLst/>
                            <a:gdLst/>
                            <a:ahLst/>
                            <a:cxnLst/>
                            <a:rect l="l" t="t" r="r" b="b"/>
                            <a:pathLst>
                              <a:path w="5736590" h="5577205">
                                <a:moveTo>
                                  <a:pt x="5649214" y="0"/>
                                </a:moveTo>
                                <a:lnTo>
                                  <a:pt x="0" y="0"/>
                                </a:lnTo>
                                <a:lnTo>
                                  <a:pt x="0" y="9131"/>
                                </a:lnTo>
                                <a:lnTo>
                                  <a:pt x="5649214" y="9131"/>
                                </a:lnTo>
                                <a:lnTo>
                                  <a:pt x="5649214" y="0"/>
                                </a:lnTo>
                                <a:close/>
                              </a:path>
                              <a:path w="5736590" h="5577205">
                                <a:moveTo>
                                  <a:pt x="5736018" y="5570855"/>
                                </a:moveTo>
                                <a:lnTo>
                                  <a:pt x="5729986" y="5570855"/>
                                </a:lnTo>
                                <a:lnTo>
                                  <a:pt x="21336" y="5570855"/>
                                </a:lnTo>
                                <a:lnTo>
                                  <a:pt x="15240" y="5570855"/>
                                </a:lnTo>
                                <a:lnTo>
                                  <a:pt x="15240" y="5576938"/>
                                </a:lnTo>
                                <a:lnTo>
                                  <a:pt x="21336" y="5576938"/>
                                </a:lnTo>
                                <a:lnTo>
                                  <a:pt x="5729935" y="5576938"/>
                                </a:lnTo>
                                <a:lnTo>
                                  <a:pt x="5736018" y="5576938"/>
                                </a:lnTo>
                                <a:lnTo>
                                  <a:pt x="5736018" y="5570855"/>
                                </a:lnTo>
                                <a:close/>
                              </a:path>
                              <a:path w="5736590" h="5577205">
                                <a:moveTo>
                                  <a:pt x="5736018" y="1580375"/>
                                </a:moveTo>
                                <a:lnTo>
                                  <a:pt x="5729986" y="1580375"/>
                                </a:lnTo>
                                <a:lnTo>
                                  <a:pt x="21336" y="1580375"/>
                                </a:lnTo>
                                <a:lnTo>
                                  <a:pt x="15240" y="1580375"/>
                                </a:lnTo>
                                <a:lnTo>
                                  <a:pt x="15240" y="1586471"/>
                                </a:lnTo>
                                <a:lnTo>
                                  <a:pt x="15240" y="5570842"/>
                                </a:lnTo>
                                <a:lnTo>
                                  <a:pt x="21336" y="5570842"/>
                                </a:lnTo>
                                <a:lnTo>
                                  <a:pt x="21336" y="1586471"/>
                                </a:lnTo>
                                <a:lnTo>
                                  <a:pt x="5729935" y="1586471"/>
                                </a:lnTo>
                                <a:lnTo>
                                  <a:pt x="5729935" y="5570842"/>
                                </a:lnTo>
                                <a:lnTo>
                                  <a:pt x="5736018" y="5570842"/>
                                </a:lnTo>
                                <a:lnTo>
                                  <a:pt x="5736018" y="1586471"/>
                                </a:lnTo>
                                <a:lnTo>
                                  <a:pt x="5736018" y="1580375"/>
                                </a:lnTo>
                                <a:close/>
                              </a:path>
                              <a:path w="5736590" h="5577205">
                                <a:moveTo>
                                  <a:pt x="5736018" y="126479"/>
                                </a:moveTo>
                                <a:lnTo>
                                  <a:pt x="5729986" y="126479"/>
                                </a:lnTo>
                                <a:lnTo>
                                  <a:pt x="5729935" y="132575"/>
                                </a:lnTo>
                                <a:lnTo>
                                  <a:pt x="5729935" y="960107"/>
                                </a:lnTo>
                                <a:lnTo>
                                  <a:pt x="21336" y="960107"/>
                                </a:lnTo>
                                <a:lnTo>
                                  <a:pt x="21336" y="132575"/>
                                </a:lnTo>
                                <a:lnTo>
                                  <a:pt x="5729935" y="132575"/>
                                </a:lnTo>
                                <a:lnTo>
                                  <a:pt x="5729935" y="126479"/>
                                </a:lnTo>
                                <a:lnTo>
                                  <a:pt x="21336" y="126479"/>
                                </a:lnTo>
                                <a:lnTo>
                                  <a:pt x="15240" y="126479"/>
                                </a:lnTo>
                                <a:lnTo>
                                  <a:pt x="15240" y="132575"/>
                                </a:lnTo>
                                <a:lnTo>
                                  <a:pt x="15240" y="960107"/>
                                </a:lnTo>
                                <a:lnTo>
                                  <a:pt x="15240" y="966203"/>
                                </a:lnTo>
                                <a:lnTo>
                                  <a:pt x="21336" y="966203"/>
                                </a:lnTo>
                                <a:lnTo>
                                  <a:pt x="5729935" y="966203"/>
                                </a:lnTo>
                                <a:lnTo>
                                  <a:pt x="5736018" y="966203"/>
                                </a:lnTo>
                                <a:lnTo>
                                  <a:pt x="5736018" y="960107"/>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859" name="Image 859"/>
                          <pic:cNvPicPr/>
                        </pic:nvPicPr>
                        <pic:blipFill>
                          <a:blip r:embed="rId106" cstate="print"/>
                          <a:stretch>
                            <a:fillRect/>
                          </a:stretch>
                        </pic:blipFill>
                        <pic:spPr>
                          <a:xfrm>
                            <a:off x="1901443" y="1123794"/>
                            <a:ext cx="4013834" cy="71247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18688" id="docshapegroup831" coordorigin="15,468" coordsize="12225,15352">
                <v:shape style="position:absolute;left:15;top:468;width:12225;height:15352" type="#_x0000_t75" id="docshape832" stroked="false">
                  <v:imagedata r:id="rId5" o:title=""/>
                </v:shape>
                <v:shape style="position:absolute;left:1673;top:2028;width:9034;height:8783" id="docshape833" coordorigin="1673,2028" coordsize="9034,8783" path="m10570,2028l1673,2028,1673,2043,10570,2043,10570,2028xm10706,10801l10697,10801,10697,10801,1707,10801,1697,10801,1697,10811,1707,10811,10697,10811,10697,10811,10706,10811,10706,10801xm10706,4517l10697,4517,10697,4517,1707,4517,1697,4517,1697,4527,1697,10801,1707,10801,1707,4527,10697,4527,10697,10801,10706,10801,10706,4527,10706,4517xm10706,2228l10697,2228,10697,2228,10697,2237,10697,3540,1707,3540,1707,2237,10697,2237,10697,2228,1707,2228,1697,2228,1697,2237,1697,3540,1697,3550,1707,3550,10697,3550,10697,3550,10706,3550,10706,3540,10706,2237,10706,2228xe" filled="true" fillcolor="#000000" stroked="false">
                  <v:path arrowok="t"/>
                  <v:fill type="solid"/>
                </v:shape>
                <v:shape style="position:absolute;left:3009;top:2237;width:6321;height:1122" type="#_x0000_t75" id="docshape834" stroked="false">
                  <v:imagedata r:id="rId106" o:title=""/>
                </v:shape>
                <w10:wrap type="none"/>
              </v:group>
            </w:pict>
          </mc:Fallback>
        </mc:AlternateContent>
      </w:r>
      <w:r>
        <w:rPr>
          <w:color w:val="172951"/>
          <w:sz w:val="20"/>
        </w:rPr>
        <w:t>Pág.</w:t>
      </w:r>
      <w:r>
        <w:rPr>
          <w:color w:val="172951"/>
          <w:spacing w:val="-7"/>
          <w:sz w:val="20"/>
        </w:rPr>
        <w:t> </w:t>
      </w:r>
      <w:r>
        <w:rPr>
          <w:color w:val="172951"/>
          <w:spacing w:val="-5"/>
          <w:sz w:val="20"/>
        </w:rPr>
        <w:t>172</w:t>
      </w:r>
    </w:p>
    <w:p>
      <w:pPr>
        <w:pStyle w:val="BodyText"/>
      </w:pPr>
    </w:p>
    <w:p>
      <w:pPr>
        <w:pStyle w:val="BodyText"/>
      </w:pPr>
    </w:p>
    <w:p>
      <w:pPr>
        <w:pStyle w:val="BodyText"/>
      </w:pPr>
    </w:p>
    <w:p>
      <w:pPr>
        <w:pStyle w:val="BodyText"/>
      </w:pPr>
    </w:p>
    <w:p>
      <w:pPr>
        <w:pStyle w:val="BodyText"/>
      </w:pPr>
    </w:p>
    <w:p>
      <w:pPr>
        <w:pStyle w:val="BodyText"/>
      </w:pPr>
    </w:p>
    <w:p>
      <w:pPr>
        <w:pStyle w:val="BodyText"/>
        <w:spacing w:before="215"/>
      </w:pPr>
    </w:p>
    <w:p>
      <w:pPr>
        <w:pStyle w:val="ListParagraph"/>
        <w:numPr>
          <w:ilvl w:val="0"/>
          <w:numId w:val="73"/>
        </w:numPr>
        <w:tabs>
          <w:tab w:pos="1341" w:val="left" w:leader="none"/>
        </w:tabs>
        <w:spacing w:line="240" w:lineRule="auto" w:before="1" w:after="0"/>
        <w:ind w:left="1341" w:right="0" w:hanging="360"/>
        <w:jc w:val="left"/>
        <w:rPr>
          <w:sz w:val="22"/>
        </w:rPr>
      </w:pPr>
      <w:r>
        <w:rPr>
          <w:sz w:val="22"/>
        </w:rPr>
        <w:t>Conciliación</w:t>
      </w:r>
      <w:r>
        <w:rPr>
          <w:spacing w:val="-7"/>
          <w:sz w:val="22"/>
        </w:rPr>
        <w:t> </w:t>
      </w:r>
      <w:r>
        <w:rPr>
          <w:sz w:val="22"/>
        </w:rPr>
        <w:t>Flujo</w:t>
      </w:r>
      <w:r>
        <w:rPr>
          <w:spacing w:val="-7"/>
          <w:sz w:val="22"/>
        </w:rPr>
        <w:t> </w:t>
      </w:r>
      <w:r>
        <w:rPr>
          <w:sz w:val="22"/>
        </w:rPr>
        <w:t>de</w:t>
      </w:r>
      <w:r>
        <w:rPr>
          <w:spacing w:val="-8"/>
          <w:sz w:val="22"/>
        </w:rPr>
        <w:t> </w:t>
      </w:r>
      <w:r>
        <w:rPr>
          <w:sz w:val="22"/>
        </w:rPr>
        <w:t>efectivo/Estado</w:t>
      </w:r>
      <w:r>
        <w:rPr>
          <w:spacing w:val="-9"/>
          <w:sz w:val="22"/>
        </w:rPr>
        <w:t> </w:t>
      </w:r>
      <w:r>
        <w:rPr>
          <w:sz w:val="22"/>
        </w:rPr>
        <w:t>Resultados</w:t>
      </w:r>
      <w:r>
        <w:rPr>
          <w:spacing w:val="-6"/>
          <w:sz w:val="22"/>
        </w:rPr>
        <w:t> </w:t>
      </w:r>
      <w:r>
        <w:rPr>
          <w:sz w:val="22"/>
        </w:rPr>
        <w:t>(párrafo</w:t>
      </w:r>
      <w:r>
        <w:rPr>
          <w:spacing w:val="-5"/>
          <w:sz w:val="22"/>
        </w:rPr>
        <w:t> </w:t>
      </w:r>
      <w:r>
        <w:rPr>
          <w:spacing w:val="-2"/>
          <w:sz w:val="22"/>
        </w:rPr>
        <w:t>54,56)</w:t>
      </w:r>
    </w:p>
    <w:p>
      <w:pPr>
        <w:pStyle w:val="BodyText"/>
        <w:spacing w:before="42"/>
      </w:pPr>
    </w:p>
    <w:p>
      <w:pPr>
        <w:pStyle w:val="BodyText"/>
        <w:ind w:left="730"/>
      </w:pPr>
      <w:r>
        <w:rPr>
          <w:spacing w:val="-2"/>
        </w:rPr>
        <w:t>Revelación:</w:t>
      </w:r>
    </w:p>
    <w:p>
      <w:pPr>
        <w:pStyle w:val="BodyText"/>
        <w:spacing w:line="276" w:lineRule="auto" w:before="182"/>
        <w:ind w:left="730" w:right="924"/>
        <w:jc w:val="both"/>
      </w:pPr>
      <w:r>
        <w:rPr/>
        <w:t>De</w:t>
      </w:r>
      <w:r>
        <w:rPr>
          <w:spacing w:val="-7"/>
        </w:rPr>
        <w:t> </w:t>
      </w:r>
      <w:r>
        <w:rPr/>
        <w:t>conformidad</w:t>
      </w:r>
      <w:r>
        <w:rPr>
          <w:spacing w:val="-7"/>
        </w:rPr>
        <w:t> </w:t>
      </w:r>
      <w:r>
        <w:rPr/>
        <w:t>con</w:t>
      </w:r>
      <w:r>
        <w:rPr>
          <w:spacing w:val="-6"/>
        </w:rPr>
        <w:t> </w:t>
      </w:r>
      <w:r>
        <w:rPr/>
        <w:t>los</w:t>
      </w:r>
      <w:r>
        <w:rPr>
          <w:spacing w:val="-5"/>
        </w:rPr>
        <w:t> </w:t>
      </w:r>
      <w:r>
        <w:rPr/>
        <w:t>párrafos</w:t>
      </w:r>
      <w:r>
        <w:rPr>
          <w:spacing w:val="-5"/>
        </w:rPr>
        <w:t> </w:t>
      </w:r>
      <w:r>
        <w:rPr/>
        <w:t>54</w:t>
      </w:r>
      <w:r>
        <w:rPr>
          <w:spacing w:val="-7"/>
        </w:rPr>
        <w:t> </w:t>
      </w:r>
      <w:r>
        <w:rPr/>
        <w:t>y</w:t>
      </w:r>
      <w:r>
        <w:rPr>
          <w:spacing w:val="-7"/>
        </w:rPr>
        <w:t> </w:t>
      </w:r>
      <w:r>
        <w:rPr/>
        <w:t>56</w:t>
      </w:r>
      <w:r>
        <w:rPr>
          <w:spacing w:val="-7"/>
        </w:rPr>
        <w:t> </w:t>
      </w:r>
      <w:r>
        <w:rPr/>
        <w:t>de</w:t>
      </w:r>
      <w:r>
        <w:rPr>
          <w:spacing w:val="-8"/>
        </w:rPr>
        <w:t> </w:t>
      </w:r>
      <w:r>
        <w:rPr/>
        <w:t>la</w:t>
      </w:r>
      <w:r>
        <w:rPr>
          <w:spacing w:val="-7"/>
        </w:rPr>
        <w:t> </w:t>
      </w:r>
      <w:r>
        <w:rPr/>
        <w:t>NICSP</w:t>
      </w:r>
      <w:r>
        <w:rPr>
          <w:spacing w:val="-7"/>
        </w:rPr>
        <w:t> </w:t>
      </w:r>
      <w:r>
        <w:rPr/>
        <w:t>2</w:t>
      </w:r>
      <w:r>
        <w:rPr>
          <w:spacing w:val="-7"/>
        </w:rPr>
        <w:t> </w:t>
      </w:r>
      <w:r>
        <w:rPr/>
        <w:t>–</w:t>
      </w:r>
      <w:r>
        <w:rPr>
          <w:spacing w:val="-7"/>
        </w:rPr>
        <w:t> </w:t>
      </w:r>
      <w:r>
        <w:rPr/>
        <w:t>Estado</w:t>
      </w:r>
      <w:r>
        <w:rPr>
          <w:spacing w:val="-5"/>
        </w:rPr>
        <w:t> </w:t>
      </w:r>
      <w:r>
        <w:rPr/>
        <w:t>de</w:t>
      </w:r>
      <w:r>
        <w:rPr>
          <w:spacing w:val="-8"/>
        </w:rPr>
        <w:t> </w:t>
      </w:r>
      <w:r>
        <w:rPr/>
        <w:t>Flujos</w:t>
      </w:r>
      <w:r>
        <w:rPr>
          <w:spacing w:val="-5"/>
        </w:rPr>
        <w:t> </w:t>
      </w:r>
      <w:r>
        <w:rPr/>
        <w:t>de</w:t>
      </w:r>
      <w:r>
        <w:rPr>
          <w:spacing w:val="-8"/>
        </w:rPr>
        <w:t> </w:t>
      </w:r>
      <w:r>
        <w:rPr/>
        <w:t>Efectivo,</w:t>
      </w:r>
      <w:r>
        <w:rPr>
          <w:spacing w:val="-6"/>
        </w:rPr>
        <w:t> </w:t>
      </w:r>
      <w:r>
        <w:rPr/>
        <w:t>el</w:t>
      </w:r>
      <w:r>
        <w:rPr>
          <w:spacing w:val="-7"/>
        </w:rPr>
        <w:t> </w:t>
      </w:r>
      <w:r>
        <w:rPr/>
        <w:t>IMAS,</w:t>
      </w:r>
      <w:r>
        <w:rPr>
          <w:spacing w:val="-6"/>
        </w:rPr>
        <w:t> </w:t>
      </w:r>
      <w:r>
        <w:rPr/>
        <w:t>aun cuando</w:t>
      </w:r>
      <w:r>
        <w:rPr>
          <w:spacing w:val="-9"/>
        </w:rPr>
        <w:t> </w:t>
      </w:r>
      <w:r>
        <w:rPr/>
        <w:t>presenta</w:t>
      </w:r>
      <w:r>
        <w:rPr>
          <w:spacing w:val="-10"/>
        </w:rPr>
        <w:t> </w:t>
      </w:r>
      <w:r>
        <w:rPr/>
        <w:t>los</w:t>
      </w:r>
      <w:r>
        <w:rPr>
          <w:spacing w:val="-9"/>
        </w:rPr>
        <w:t> </w:t>
      </w:r>
      <w:r>
        <w:rPr/>
        <w:t>flujos</w:t>
      </w:r>
      <w:r>
        <w:rPr>
          <w:spacing w:val="-9"/>
        </w:rPr>
        <w:t> </w:t>
      </w:r>
      <w:r>
        <w:rPr/>
        <w:t>de</w:t>
      </w:r>
      <w:r>
        <w:rPr>
          <w:spacing w:val="-11"/>
        </w:rPr>
        <w:t> </w:t>
      </w:r>
      <w:r>
        <w:rPr/>
        <w:t>efectivo</w:t>
      </w:r>
      <w:r>
        <w:rPr>
          <w:spacing w:val="-9"/>
        </w:rPr>
        <w:t> </w:t>
      </w:r>
      <w:r>
        <w:rPr/>
        <w:t>por</w:t>
      </w:r>
      <w:r>
        <w:rPr>
          <w:spacing w:val="-9"/>
        </w:rPr>
        <w:t> </w:t>
      </w:r>
      <w:r>
        <w:rPr/>
        <w:t>actividades</w:t>
      </w:r>
      <w:r>
        <w:rPr>
          <w:spacing w:val="-9"/>
        </w:rPr>
        <w:t> </w:t>
      </w:r>
      <w:r>
        <w:rPr/>
        <w:t>de</w:t>
      </w:r>
      <w:r>
        <w:rPr>
          <w:spacing w:val="-11"/>
        </w:rPr>
        <w:t> </w:t>
      </w:r>
      <w:r>
        <w:rPr/>
        <w:t>operación</w:t>
      </w:r>
      <w:r>
        <w:rPr>
          <w:spacing w:val="-9"/>
        </w:rPr>
        <w:t> </w:t>
      </w:r>
      <w:r>
        <w:rPr/>
        <w:t>mediante</w:t>
      </w:r>
      <w:r>
        <w:rPr>
          <w:spacing w:val="-10"/>
        </w:rPr>
        <w:t> </w:t>
      </w:r>
      <w:r>
        <w:rPr/>
        <w:t>el</w:t>
      </w:r>
      <w:r>
        <w:rPr>
          <w:spacing w:val="-10"/>
        </w:rPr>
        <w:t> </w:t>
      </w:r>
      <w:r>
        <w:rPr/>
        <w:t>método</w:t>
      </w:r>
      <w:r>
        <w:rPr>
          <w:spacing w:val="-9"/>
        </w:rPr>
        <w:t> </w:t>
      </w:r>
      <w:r>
        <w:rPr/>
        <w:t>directo,</w:t>
      </w:r>
      <w:r>
        <w:rPr>
          <w:spacing w:val="-9"/>
        </w:rPr>
        <w:t> </w:t>
      </w:r>
      <w:r>
        <w:rPr/>
        <w:t>revela la siguiente conciliación entre el resultado del período y los flujos netos de efectivo generados por dichas actividades, con el fin de explicar las diferencias derivadas de partidas sin efecto en efectivo y de variaciones en activos y pasivos operativos.</w:t>
      </w:r>
    </w:p>
    <w:p>
      <w:pPr>
        <w:pStyle w:val="BodyText"/>
        <w:spacing w:before="58"/>
        <w:rPr>
          <w:sz w:val="20"/>
        </w:rPr>
      </w:pPr>
    </w:p>
    <w:tbl>
      <w:tblPr>
        <w:tblW w:w="0" w:type="auto"/>
        <w:jc w:val="left"/>
        <w:tblInd w:w="1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7"/>
        <w:gridCol w:w="1704"/>
        <w:gridCol w:w="1118"/>
        <w:gridCol w:w="840"/>
      </w:tblGrid>
      <w:tr>
        <w:trPr>
          <w:trHeight w:val="299" w:hRule="atLeast"/>
        </w:trPr>
        <w:tc>
          <w:tcPr>
            <w:tcW w:w="3337" w:type="dxa"/>
            <w:tcBorders>
              <w:top w:val="single" w:sz="4" w:space="0" w:color="000000"/>
              <w:left w:val="single" w:sz="4" w:space="0" w:color="000000"/>
            </w:tcBorders>
          </w:tcPr>
          <w:p>
            <w:pPr>
              <w:pStyle w:val="TableParagraph"/>
              <w:spacing w:before="15"/>
              <w:ind w:left="16"/>
              <w:rPr>
                <w:rFonts w:ascii="Arial" w:hAnsi="Arial"/>
                <w:b/>
                <w:sz w:val="10"/>
              </w:rPr>
            </w:pPr>
            <w:r>
              <w:rPr>
                <w:rFonts w:ascii="Arial" w:hAnsi="Arial"/>
                <w:b/>
                <w:spacing w:val="-2"/>
                <w:sz w:val="10"/>
                <w:u w:val="single"/>
              </w:rPr>
              <w:t>Flujo</w:t>
            </w:r>
            <w:r>
              <w:rPr>
                <w:rFonts w:ascii="Arial" w:hAnsi="Arial"/>
                <w:b/>
                <w:sz w:val="10"/>
                <w:u w:val="single"/>
              </w:rPr>
              <w:t> </w:t>
            </w:r>
            <w:r>
              <w:rPr>
                <w:rFonts w:ascii="Arial" w:hAnsi="Arial"/>
                <w:b/>
                <w:spacing w:val="-2"/>
                <w:sz w:val="10"/>
                <w:u w:val="single"/>
              </w:rPr>
              <w:t>de</w:t>
            </w:r>
            <w:r>
              <w:rPr>
                <w:rFonts w:ascii="Arial" w:hAnsi="Arial"/>
                <w:b/>
                <w:spacing w:val="1"/>
                <w:sz w:val="10"/>
                <w:u w:val="single"/>
              </w:rPr>
              <w:t> </w:t>
            </w:r>
            <w:r>
              <w:rPr>
                <w:rFonts w:ascii="Arial" w:hAnsi="Arial"/>
                <w:b/>
                <w:spacing w:val="-2"/>
                <w:sz w:val="10"/>
                <w:u w:val="single"/>
              </w:rPr>
              <w:t>efectivo</w:t>
            </w:r>
            <w:r>
              <w:rPr>
                <w:rFonts w:ascii="Arial" w:hAnsi="Arial"/>
                <w:b/>
                <w:spacing w:val="1"/>
                <w:sz w:val="10"/>
                <w:u w:val="single"/>
              </w:rPr>
              <w:t> </w:t>
            </w:r>
            <w:r>
              <w:rPr>
                <w:rFonts w:ascii="Arial" w:hAnsi="Arial"/>
                <w:b/>
                <w:spacing w:val="-2"/>
                <w:sz w:val="10"/>
                <w:u w:val="single"/>
              </w:rPr>
              <w:t>generado</w:t>
            </w:r>
            <w:r>
              <w:rPr>
                <w:rFonts w:ascii="Arial" w:hAnsi="Arial"/>
                <w:b/>
                <w:spacing w:val="1"/>
                <w:sz w:val="10"/>
                <w:u w:val="single"/>
              </w:rPr>
              <w:t> </w:t>
            </w:r>
            <w:r>
              <w:rPr>
                <w:rFonts w:ascii="Arial" w:hAnsi="Arial"/>
                <w:b/>
                <w:spacing w:val="-2"/>
                <w:sz w:val="10"/>
                <w:u w:val="single"/>
              </w:rPr>
              <w:t>por</w:t>
            </w:r>
            <w:r>
              <w:rPr>
                <w:rFonts w:ascii="Arial" w:hAnsi="Arial"/>
                <w:b/>
                <w:spacing w:val="1"/>
                <w:sz w:val="10"/>
                <w:u w:val="single"/>
              </w:rPr>
              <w:t> </w:t>
            </w:r>
            <w:r>
              <w:rPr>
                <w:rFonts w:ascii="Arial" w:hAnsi="Arial"/>
                <w:b/>
                <w:spacing w:val="-2"/>
                <w:sz w:val="10"/>
                <w:u w:val="single"/>
              </w:rPr>
              <w:t>la</w:t>
            </w:r>
            <w:r>
              <w:rPr>
                <w:rFonts w:ascii="Arial" w:hAnsi="Arial"/>
                <w:b/>
                <w:spacing w:val="1"/>
                <w:sz w:val="10"/>
                <w:u w:val="single"/>
              </w:rPr>
              <w:t> </w:t>
            </w:r>
            <w:r>
              <w:rPr>
                <w:rFonts w:ascii="Arial" w:hAnsi="Arial"/>
                <w:b/>
                <w:spacing w:val="-2"/>
                <w:sz w:val="10"/>
                <w:u w:val="single"/>
              </w:rPr>
              <w:t>operación:</w:t>
            </w:r>
          </w:p>
          <w:p>
            <w:pPr>
              <w:pStyle w:val="TableParagraph"/>
              <w:spacing w:before="30"/>
              <w:ind w:left="16"/>
              <w:rPr>
                <w:rFonts w:ascii="Arial"/>
                <w:b/>
                <w:sz w:val="10"/>
              </w:rPr>
            </w:pPr>
            <w:r>
              <w:rPr>
                <w:rFonts w:ascii="Arial"/>
                <w:b/>
                <w:spacing w:val="-2"/>
                <w:sz w:val="10"/>
                <w:u w:val="single"/>
              </w:rPr>
              <w:t>Excedente</w:t>
            </w:r>
            <w:r>
              <w:rPr>
                <w:rFonts w:ascii="Arial"/>
                <w:b/>
                <w:spacing w:val="-1"/>
                <w:sz w:val="10"/>
                <w:u w:val="single"/>
              </w:rPr>
              <w:t> </w:t>
            </w:r>
            <w:r>
              <w:rPr>
                <w:rFonts w:ascii="Arial"/>
                <w:b/>
                <w:spacing w:val="-2"/>
                <w:sz w:val="10"/>
                <w:u w:val="single"/>
              </w:rPr>
              <w:t>del</w:t>
            </w:r>
            <w:r>
              <w:rPr>
                <w:rFonts w:ascii="Arial"/>
                <w:b/>
                <w:spacing w:val="-1"/>
                <w:sz w:val="10"/>
                <w:u w:val="single"/>
              </w:rPr>
              <w:t> </w:t>
            </w:r>
            <w:r>
              <w:rPr>
                <w:rFonts w:ascii="Arial"/>
                <w:b/>
                <w:spacing w:val="-2"/>
                <w:sz w:val="10"/>
                <w:u w:val="single"/>
              </w:rPr>
              <w:t>Periodo</w:t>
            </w:r>
          </w:p>
        </w:tc>
        <w:tc>
          <w:tcPr>
            <w:tcW w:w="1704" w:type="dxa"/>
            <w:tcBorders>
              <w:top w:val="single" w:sz="4" w:space="0" w:color="000000"/>
            </w:tcBorders>
          </w:tcPr>
          <w:p>
            <w:pPr>
              <w:pStyle w:val="TableParagraph"/>
              <w:rPr>
                <w:rFonts w:ascii="Times New Roman"/>
                <w:sz w:val="16"/>
              </w:rPr>
            </w:pPr>
          </w:p>
        </w:tc>
        <w:tc>
          <w:tcPr>
            <w:tcW w:w="1118" w:type="dxa"/>
            <w:tcBorders>
              <w:top w:val="single" w:sz="4" w:space="0" w:color="000000"/>
            </w:tcBorders>
          </w:tcPr>
          <w:p>
            <w:pPr>
              <w:pStyle w:val="TableParagraph"/>
              <w:spacing w:before="24"/>
              <w:rPr>
                <w:sz w:val="11"/>
              </w:rPr>
            </w:pPr>
          </w:p>
          <w:p>
            <w:pPr>
              <w:pStyle w:val="TableParagraph"/>
              <w:spacing w:line="129" w:lineRule="exact"/>
              <w:ind w:right="171"/>
              <w:jc w:val="right"/>
              <w:rPr>
                <w:rFonts w:ascii="Calibri"/>
                <w:sz w:val="11"/>
              </w:rPr>
            </w:pPr>
            <w:r>
              <w:rPr>
                <w:rFonts w:ascii="Calibri"/>
                <w:sz w:val="11"/>
              </w:rPr>
              <w:t>14 521 </w:t>
            </w:r>
            <w:r>
              <w:rPr>
                <w:rFonts w:ascii="Calibri"/>
                <w:spacing w:val="-2"/>
                <w:sz w:val="11"/>
              </w:rPr>
              <w:t>107,15</w:t>
            </w:r>
          </w:p>
        </w:tc>
        <w:tc>
          <w:tcPr>
            <w:tcW w:w="840" w:type="dxa"/>
            <w:vMerge w:val="restart"/>
            <w:tcBorders>
              <w:top w:val="single" w:sz="4" w:space="0" w:color="000000"/>
              <w:right w:val="single" w:sz="4" w:space="0" w:color="000000"/>
            </w:tcBorders>
          </w:tcPr>
          <w:p>
            <w:pPr>
              <w:pStyle w:val="TableParagraph"/>
              <w:rPr>
                <w:rFonts w:ascii="Times New Roman"/>
                <w:sz w:val="16"/>
              </w:rPr>
            </w:pPr>
          </w:p>
        </w:tc>
      </w:tr>
      <w:tr>
        <w:trPr>
          <w:trHeight w:val="217" w:hRule="atLeast"/>
        </w:trPr>
        <w:tc>
          <w:tcPr>
            <w:tcW w:w="3337" w:type="dxa"/>
            <w:tcBorders>
              <w:left w:val="single" w:sz="4" w:space="0" w:color="000000"/>
            </w:tcBorders>
          </w:tcPr>
          <w:p>
            <w:pPr>
              <w:pStyle w:val="TableParagraph"/>
              <w:spacing w:line="130" w:lineRule="exact"/>
              <w:ind w:left="16"/>
              <w:rPr>
                <w:rFonts w:ascii="Calibri"/>
                <w:sz w:val="11"/>
              </w:rPr>
            </w:pPr>
            <w:r>
              <w:rPr>
                <w:rFonts w:ascii="Calibri"/>
                <w:spacing w:val="-2"/>
                <w:sz w:val="11"/>
              </w:rPr>
              <w:t>Ajuste</w:t>
            </w:r>
            <w:r>
              <w:rPr>
                <w:rFonts w:ascii="Calibri"/>
                <w:spacing w:val="7"/>
                <w:sz w:val="11"/>
              </w:rPr>
              <w:t> </w:t>
            </w:r>
            <w:r>
              <w:rPr>
                <w:rFonts w:ascii="Calibri"/>
                <w:spacing w:val="-2"/>
                <w:sz w:val="11"/>
              </w:rPr>
              <w:t>resultados</w:t>
            </w:r>
            <w:r>
              <w:rPr>
                <w:rFonts w:ascii="Calibri"/>
                <w:spacing w:val="8"/>
                <w:sz w:val="11"/>
              </w:rPr>
              <w:t> </w:t>
            </w:r>
            <w:r>
              <w:rPr>
                <w:rFonts w:ascii="Calibri"/>
                <w:spacing w:val="-2"/>
                <w:sz w:val="11"/>
              </w:rPr>
              <w:t>acumulados</w:t>
            </w:r>
          </w:p>
        </w:tc>
        <w:tc>
          <w:tcPr>
            <w:tcW w:w="1704" w:type="dxa"/>
          </w:tcPr>
          <w:p>
            <w:pPr>
              <w:pStyle w:val="TableParagraph"/>
              <w:rPr>
                <w:rFonts w:ascii="Times New Roman"/>
                <w:sz w:val="14"/>
              </w:rPr>
            </w:pPr>
          </w:p>
        </w:tc>
        <w:tc>
          <w:tcPr>
            <w:tcW w:w="1118" w:type="dxa"/>
          </w:tcPr>
          <w:p>
            <w:pPr>
              <w:pStyle w:val="TableParagraph"/>
              <w:spacing w:line="130" w:lineRule="exact"/>
              <w:ind w:right="171"/>
              <w:jc w:val="right"/>
              <w:rPr>
                <w:rFonts w:ascii="Calibri"/>
                <w:sz w:val="11"/>
              </w:rPr>
            </w:pPr>
            <w:r>
              <w:rPr>
                <w:rFonts w:ascii="Calibri"/>
                <w:sz w:val="11"/>
              </w:rPr>
              <w:t>-8</w:t>
            </w:r>
            <w:r>
              <w:rPr>
                <w:rFonts w:ascii="Calibri"/>
                <w:spacing w:val="-1"/>
                <w:sz w:val="11"/>
              </w:rPr>
              <w:t> </w:t>
            </w:r>
            <w:r>
              <w:rPr>
                <w:rFonts w:ascii="Calibri"/>
                <w:sz w:val="11"/>
              </w:rPr>
              <w:t>280</w:t>
            </w:r>
            <w:r>
              <w:rPr>
                <w:rFonts w:ascii="Calibri"/>
                <w:spacing w:val="-1"/>
                <w:sz w:val="11"/>
              </w:rPr>
              <w:t> </w:t>
            </w:r>
            <w:r>
              <w:rPr>
                <w:rFonts w:ascii="Calibri"/>
                <w:spacing w:val="-2"/>
                <w:sz w:val="11"/>
              </w:rPr>
              <w:t>524,63</w:t>
            </w:r>
          </w:p>
        </w:tc>
        <w:tc>
          <w:tcPr>
            <w:tcW w:w="840" w:type="dxa"/>
            <w:vMerge/>
            <w:tcBorders>
              <w:top w:val="nil"/>
              <w:right w:val="single" w:sz="4" w:space="0" w:color="000000"/>
            </w:tcBorders>
          </w:tcPr>
          <w:p>
            <w:pPr>
              <w:rPr>
                <w:sz w:val="2"/>
                <w:szCs w:val="2"/>
              </w:rPr>
            </w:pPr>
          </w:p>
        </w:tc>
      </w:tr>
      <w:tr>
        <w:trPr>
          <w:trHeight w:val="362" w:hRule="atLeast"/>
        </w:trPr>
        <w:tc>
          <w:tcPr>
            <w:tcW w:w="3337" w:type="dxa"/>
            <w:tcBorders>
              <w:left w:val="single" w:sz="4" w:space="0" w:color="000000"/>
            </w:tcBorders>
          </w:tcPr>
          <w:p>
            <w:pPr>
              <w:pStyle w:val="TableParagraph"/>
              <w:spacing w:line="140" w:lineRule="atLeast" w:before="62"/>
              <w:ind w:left="16" w:right="339"/>
              <w:rPr>
                <w:rFonts w:ascii="Calibri" w:hAnsi="Calibri"/>
                <w:sz w:val="11"/>
              </w:rPr>
            </w:pPr>
            <w:r>
              <w:rPr>
                <w:rFonts w:ascii="Calibri" w:hAnsi="Calibri"/>
                <w:sz w:val="11"/>
              </w:rPr>
              <w:t>Ajustar</w:t>
            </w:r>
            <w:r>
              <w:rPr>
                <w:rFonts w:ascii="Calibri" w:hAnsi="Calibri"/>
                <w:spacing w:val="-4"/>
                <w:sz w:val="11"/>
              </w:rPr>
              <w:t> </w:t>
            </w:r>
            <w:r>
              <w:rPr>
                <w:rFonts w:ascii="Calibri" w:hAnsi="Calibri"/>
                <w:sz w:val="11"/>
              </w:rPr>
              <w:t>para</w:t>
            </w:r>
            <w:r>
              <w:rPr>
                <w:rFonts w:ascii="Calibri" w:hAnsi="Calibri"/>
                <w:spacing w:val="-3"/>
                <w:sz w:val="11"/>
              </w:rPr>
              <w:t> </w:t>
            </w:r>
            <w:r>
              <w:rPr>
                <w:rFonts w:ascii="Calibri" w:hAnsi="Calibri"/>
                <w:sz w:val="11"/>
              </w:rPr>
              <w:t>conciliar</w:t>
            </w:r>
            <w:r>
              <w:rPr>
                <w:rFonts w:ascii="Calibri" w:hAnsi="Calibri"/>
                <w:spacing w:val="-4"/>
                <w:sz w:val="11"/>
              </w:rPr>
              <w:t> </w:t>
            </w:r>
            <w:r>
              <w:rPr>
                <w:rFonts w:ascii="Calibri" w:hAnsi="Calibri"/>
                <w:sz w:val="11"/>
              </w:rPr>
              <w:t>el</w:t>
            </w:r>
            <w:r>
              <w:rPr>
                <w:rFonts w:ascii="Calibri" w:hAnsi="Calibri"/>
                <w:spacing w:val="-6"/>
                <w:sz w:val="11"/>
              </w:rPr>
              <w:t> </w:t>
            </w:r>
            <w:r>
              <w:rPr>
                <w:rFonts w:ascii="Calibri" w:hAnsi="Calibri"/>
                <w:sz w:val="11"/>
              </w:rPr>
              <w:t>excedente</w:t>
            </w:r>
            <w:r>
              <w:rPr>
                <w:rFonts w:ascii="Calibri" w:hAnsi="Calibri"/>
                <w:spacing w:val="-6"/>
                <w:sz w:val="11"/>
              </w:rPr>
              <w:t> </w:t>
            </w:r>
            <w:r>
              <w:rPr>
                <w:rFonts w:ascii="Calibri" w:hAnsi="Calibri"/>
                <w:sz w:val="11"/>
              </w:rPr>
              <w:t>con</w:t>
            </w:r>
            <w:r>
              <w:rPr>
                <w:rFonts w:ascii="Calibri" w:hAnsi="Calibri"/>
                <w:spacing w:val="-6"/>
                <w:sz w:val="11"/>
              </w:rPr>
              <w:t> </w:t>
            </w:r>
            <w:r>
              <w:rPr>
                <w:rFonts w:ascii="Calibri" w:hAnsi="Calibri"/>
                <w:sz w:val="11"/>
              </w:rPr>
              <w:t>el</w:t>
            </w:r>
            <w:r>
              <w:rPr>
                <w:rFonts w:ascii="Calibri" w:hAnsi="Calibri"/>
                <w:spacing w:val="-6"/>
                <w:sz w:val="11"/>
              </w:rPr>
              <w:t> </w:t>
            </w:r>
            <w:r>
              <w:rPr>
                <w:rFonts w:ascii="Calibri" w:hAnsi="Calibri"/>
                <w:sz w:val="11"/>
              </w:rPr>
              <w:t>efectivo</w:t>
            </w:r>
            <w:r>
              <w:rPr>
                <w:rFonts w:ascii="Calibri" w:hAnsi="Calibri"/>
                <w:spacing w:val="-3"/>
                <w:sz w:val="11"/>
              </w:rPr>
              <w:t> </w:t>
            </w:r>
            <w:r>
              <w:rPr>
                <w:rFonts w:ascii="Calibri" w:hAnsi="Calibri"/>
                <w:sz w:val="11"/>
              </w:rPr>
              <w:t>neto</w:t>
            </w:r>
            <w:r>
              <w:rPr>
                <w:rFonts w:ascii="Calibri" w:hAnsi="Calibri"/>
                <w:spacing w:val="40"/>
                <w:sz w:val="11"/>
              </w:rPr>
              <w:t> </w:t>
            </w:r>
            <w:r>
              <w:rPr>
                <w:rFonts w:ascii="Calibri" w:hAnsi="Calibri"/>
                <w:sz w:val="11"/>
              </w:rPr>
              <w:t>Depreciación y amortización del periodo</w:t>
            </w:r>
          </w:p>
        </w:tc>
        <w:tc>
          <w:tcPr>
            <w:tcW w:w="1704" w:type="dxa"/>
          </w:tcPr>
          <w:p>
            <w:pPr>
              <w:pStyle w:val="TableParagraph"/>
              <w:rPr>
                <w:rFonts w:ascii="Times New Roman"/>
                <w:sz w:val="16"/>
              </w:rPr>
            </w:pPr>
          </w:p>
        </w:tc>
        <w:tc>
          <w:tcPr>
            <w:tcW w:w="1118" w:type="dxa"/>
          </w:tcPr>
          <w:p>
            <w:pPr>
              <w:pStyle w:val="TableParagraph"/>
              <w:spacing w:before="87"/>
              <w:rPr>
                <w:sz w:val="11"/>
              </w:rPr>
            </w:pPr>
          </w:p>
          <w:p>
            <w:pPr>
              <w:pStyle w:val="TableParagraph"/>
              <w:spacing w:line="129" w:lineRule="exact"/>
              <w:ind w:right="171"/>
              <w:jc w:val="right"/>
              <w:rPr>
                <w:rFonts w:ascii="Calibri"/>
                <w:sz w:val="11"/>
              </w:rPr>
            </w:pPr>
            <w:r>
              <w:rPr>
                <w:rFonts w:ascii="Calibri"/>
                <w:sz w:val="11"/>
              </w:rPr>
              <w:t>552 </w:t>
            </w:r>
            <w:r>
              <w:rPr>
                <w:rFonts w:ascii="Calibri"/>
                <w:spacing w:val="-2"/>
                <w:sz w:val="11"/>
              </w:rPr>
              <w:t>354,78</w:t>
            </w:r>
          </w:p>
        </w:tc>
        <w:tc>
          <w:tcPr>
            <w:tcW w:w="840" w:type="dxa"/>
            <w:vMerge/>
            <w:tcBorders>
              <w:top w:val="nil"/>
              <w:right w:val="single" w:sz="4" w:space="0" w:color="000000"/>
            </w:tcBorders>
          </w:tcPr>
          <w:p>
            <w:pPr>
              <w:rPr>
                <w:sz w:val="2"/>
                <w:szCs w:val="2"/>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Deterioro</w:t>
            </w:r>
            <w:r>
              <w:rPr>
                <w:rFonts w:ascii="Calibri"/>
                <w:spacing w:val="-3"/>
                <w:sz w:val="11"/>
              </w:rPr>
              <w:t> </w:t>
            </w:r>
            <w:r>
              <w:rPr>
                <w:rFonts w:ascii="Calibri"/>
                <w:sz w:val="11"/>
              </w:rPr>
              <w:t>de</w:t>
            </w:r>
            <w:r>
              <w:rPr>
                <w:rFonts w:ascii="Calibri"/>
                <w:spacing w:val="-5"/>
                <w:sz w:val="11"/>
              </w:rPr>
              <w:t> </w:t>
            </w:r>
            <w:r>
              <w:rPr>
                <w:rFonts w:ascii="Calibri"/>
                <w:sz w:val="11"/>
              </w:rPr>
              <w:t>cuentas</w:t>
            </w:r>
            <w:r>
              <w:rPr>
                <w:rFonts w:ascii="Calibri"/>
                <w:spacing w:val="-5"/>
                <w:sz w:val="11"/>
              </w:rPr>
              <w:t> </w:t>
            </w:r>
            <w:r>
              <w:rPr>
                <w:rFonts w:ascii="Calibri"/>
                <w:sz w:val="11"/>
              </w:rPr>
              <w:t>por</w:t>
            </w:r>
            <w:r>
              <w:rPr>
                <w:rFonts w:ascii="Calibri"/>
                <w:spacing w:val="-3"/>
                <w:sz w:val="11"/>
              </w:rPr>
              <w:t> </w:t>
            </w:r>
            <w:r>
              <w:rPr>
                <w:rFonts w:ascii="Calibri"/>
                <w:spacing w:val="-2"/>
                <w:sz w:val="11"/>
              </w:rPr>
              <w:t>cobrar</w:t>
            </w:r>
          </w:p>
        </w:tc>
        <w:tc>
          <w:tcPr>
            <w:tcW w:w="1704" w:type="dxa"/>
          </w:tcPr>
          <w:p>
            <w:pPr>
              <w:pStyle w:val="TableParagraph"/>
              <w:rPr>
                <w:rFonts w:ascii="Times New Roman"/>
                <w:sz w:val="8"/>
              </w:rPr>
            </w:pPr>
          </w:p>
        </w:tc>
        <w:tc>
          <w:tcPr>
            <w:tcW w:w="1118" w:type="dxa"/>
          </w:tcPr>
          <w:p>
            <w:pPr>
              <w:pStyle w:val="TableParagraph"/>
              <w:spacing w:line="125" w:lineRule="exact"/>
              <w:ind w:right="171"/>
              <w:jc w:val="right"/>
              <w:rPr>
                <w:rFonts w:ascii="Calibri"/>
                <w:sz w:val="11"/>
              </w:rPr>
            </w:pPr>
            <w:r>
              <w:rPr>
                <w:rFonts w:ascii="Calibri"/>
                <w:sz w:val="11"/>
              </w:rPr>
              <w:t>469 </w:t>
            </w:r>
            <w:r>
              <w:rPr>
                <w:rFonts w:ascii="Calibri"/>
                <w:spacing w:val="-5"/>
                <w:sz w:val="11"/>
              </w:rPr>
              <w:t>391</w:t>
            </w:r>
          </w:p>
        </w:tc>
        <w:tc>
          <w:tcPr>
            <w:tcW w:w="840" w:type="dxa"/>
            <w:vMerge/>
            <w:tcBorders>
              <w:top w:val="nil"/>
              <w:right w:val="single" w:sz="4" w:space="0" w:color="000000"/>
            </w:tcBorders>
          </w:tcPr>
          <w:p>
            <w:pPr>
              <w:rPr>
                <w:sz w:val="2"/>
                <w:szCs w:val="2"/>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hAnsi="Calibri"/>
                <w:sz w:val="11"/>
              </w:rPr>
            </w:pPr>
            <w:r>
              <w:rPr>
                <w:rFonts w:ascii="Calibri" w:hAnsi="Calibri"/>
                <w:sz w:val="11"/>
              </w:rPr>
              <w:t>Provisión</w:t>
            </w:r>
            <w:r>
              <w:rPr>
                <w:rFonts w:ascii="Calibri" w:hAnsi="Calibri"/>
                <w:spacing w:val="-4"/>
                <w:sz w:val="11"/>
              </w:rPr>
              <w:t> </w:t>
            </w:r>
            <w:r>
              <w:rPr>
                <w:rFonts w:ascii="Calibri" w:hAnsi="Calibri"/>
                <w:sz w:val="11"/>
              </w:rPr>
              <w:t>y</w:t>
            </w:r>
            <w:r>
              <w:rPr>
                <w:rFonts w:ascii="Calibri" w:hAnsi="Calibri"/>
                <w:spacing w:val="-2"/>
                <w:sz w:val="11"/>
              </w:rPr>
              <w:t> </w:t>
            </w:r>
            <w:r>
              <w:rPr>
                <w:rFonts w:ascii="Calibri" w:hAnsi="Calibri"/>
                <w:sz w:val="11"/>
              </w:rPr>
              <w:t>reservas</w:t>
            </w:r>
            <w:r>
              <w:rPr>
                <w:rFonts w:ascii="Calibri" w:hAnsi="Calibri"/>
                <w:spacing w:val="-3"/>
                <w:sz w:val="11"/>
              </w:rPr>
              <w:t> </w:t>
            </w:r>
            <w:r>
              <w:rPr>
                <w:rFonts w:ascii="Calibri" w:hAnsi="Calibri"/>
                <w:spacing w:val="-2"/>
                <w:sz w:val="11"/>
              </w:rPr>
              <w:t>técnicas</w:t>
            </w:r>
          </w:p>
        </w:tc>
        <w:tc>
          <w:tcPr>
            <w:tcW w:w="1704" w:type="dxa"/>
          </w:tcPr>
          <w:p>
            <w:pPr>
              <w:pStyle w:val="TableParagraph"/>
              <w:rPr>
                <w:rFonts w:ascii="Times New Roman"/>
                <w:sz w:val="8"/>
              </w:rPr>
            </w:pPr>
          </w:p>
        </w:tc>
        <w:tc>
          <w:tcPr>
            <w:tcW w:w="1118" w:type="dxa"/>
          </w:tcPr>
          <w:p>
            <w:pPr>
              <w:pStyle w:val="TableParagraph"/>
              <w:spacing w:line="125" w:lineRule="exact"/>
              <w:ind w:right="171"/>
              <w:jc w:val="right"/>
              <w:rPr>
                <w:rFonts w:ascii="Calibri"/>
                <w:sz w:val="11"/>
              </w:rPr>
            </w:pPr>
            <w:r>
              <w:rPr>
                <w:rFonts w:ascii="Calibri"/>
                <w:sz w:val="11"/>
              </w:rPr>
              <w:t>609 </w:t>
            </w:r>
            <w:r>
              <w:rPr>
                <w:rFonts w:ascii="Calibri"/>
                <w:spacing w:val="-5"/>
                <w:sz w:val="11"/>
              </w:rPr>
              <w:t>703</w:t>
            </w:r>
          </w:p>
        </w:tc>
        <w:tc>
          <w:tcPr>
            <w:tcW w:w="840" w:type="dxa"/>
            <w:vMerge/>
            <w:tcBorders>
              <w:top w:val="nil"/>
              <w:right w:val="single" w:sz="4" w:space="0" w:color="000000"/>
            </w:tcBorders>
          </w:tcPr>
          <w:p>
            <w:pPr>
              <w:rPr>
                <w:sz w:val="2"/>
                <w:szCs w:val="2"/>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Perdida</w:t>
            </w:r>
            <w:r>
              <w:rPr>
                <w:rFonts w:ascii="Calibri"/>
                <w:spacing w:val="-4"/>
                <w:sz w:val="11"/>
              </w:rPr>
              <w:t> </w:t>
            </w:r>
            <w:r>
              <w:rPr>
                <w:rFonts w:ascii="Calibri"/>
                <w:sz w:val="11"/>
              </w:rPr>
              <w:t>en</w:t>
            </w:r>
            <w:r>
              <w:rPr>
                <w:rFonts w:ascii="Calibri"/>
                <w:spacing w:val="-5"/>
                <w:sz w:val="11"/>
              </w:rPr>
              <w:t> </w:t>
            </w:r>
            <w:r>
              <w:rPr>
                <w:rFonts w:ascii="Calibri"/>
                <w:sz w:val="11"/>
              </w:rPr>
              <w:t>bajas</w:t>
            </w:r>
            <w:r>
              <w:rPr>
                <w:rFonts w:ascii="Calibri"/>
                <w:spacing w:val="-5"/>
                <w:sz w:val="11"/>
              </w:rPr>
              <w:t> </w:t>
            </w:r>
            <w:r>
              <w:rPr>
                <w:rFonts w:ascii="Calibri"/>
                <w:sz w:val="11"/>
              </w:rPr>
              <w:t>de</w:t>
            </w:r>
            <w:r>
              <w:rPr>
                <w:rFonts w:ascii="Calibri"/>
                <w:spacing w:val="-4"/>
                <w:sz w:val="11"/>
              </w:rPr>
              <w:t> </w:t>
            </w:r>
            <w:r>
              <w:rPr>
                <w:rFonts w:ascii="Calibri"/>
                <w:spacing w:val="-2"/>
                <w:sz w:val="11"/>
              </w:rPr>
              <w:t>activo</w:t>
            </w:r>
          </w:p>
        </w:tc>
        <w:tc>
          <w:tcPr>
            <w:tcW w:w="1704" w:type="dxa"/>
          </w:tcPr>
          <w:p>
            <w:pPr>
              <w:pStyle w:val="TableParagraph"/>
              <w:rPr>
                <w:rFonts w:ascii="Times New Roman"/>
                <w:sz w:val="8"/>
              </w:rPr>
            </w:pPr>
          </w:p>
        </w:tc>
        <w:tc>
          <w:tcPr>
            <w:tcW w:w="1118" w:type="dxa"/>
          </w:tcPr>
          <w:p>
            <w:pPr>
              <w:pStyle w:val="TableParagraph"/>
              <w:spacing w:line="125" w:lineRule="exact"/>
              <w:ind w:right="171"/>
              <w:jc w:val="right"/>
              <w:rPr>
                <w:rFonts w:ascii="Calibri"/>
                <w:sz w:val="11"/>
              </w:rPr>
            </w:pPr>
            <w:r>
              <w:rPr>
                <w:rFonts w:ascii="Calibri"/>
                <w:sz w:val="11"/>
              </w:rPr>
              <w:t>611 </w:t>
            </w:r>
            <w:r>
              <w:rPr>
                <w:rFonts w:ascii="Calibri"/>
                <w:spacing w:val="-2"/>
                <w:sz w:val="11"/>
              </w:rPr>
              <w:t>156,48</w:t>
            </w:r>
          </w:p>
        </w:tc>
        <w:tc>
          <w:tcPr>
            <w:tcW w:w="840" w:type="dxa"/>
            <w:vMerge/>
            <w:tcBorders>
              <w:top w:val="nil"/>
              <w:right w:val="single" w:sz="4" w:space="0" w:color="000000"/>
            </w:tcBorders>
          </w:tcPr>
          <w:p>
            <w:pPr>
              <w:rPr>
                <w:sz w:val="2"/>
                <w:szCs w:val="2"/>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Deterioro</w:t>
            </w:r>
            <w:r>
              <w:rPr>
                <w:rFonts w:ascii="Calibri"/>
                <w:spacing w:val="20"/>
                <w:sz w:val="11"/>
              </w:rPr>
              <w:t> </w:t>
            </w:r>
            <w:r>
              <w:rPr>
                <w:rFonts w:ascii="Calibri"/>
                <w:sz w:val="11"/>
              </w:rPr>
              <w:t>y</w:t>
            </w:r>
            <w:r>
              <w:rPr>
                <w:rFonts w:ascii="Calibri"/>
                <w:spacing w:val="-4"/>
                <w:sz w:val="11"/>
              </w:rPr>
              <w:t> </w:t>
            </w:r>
            <w:r>
              <w:rPr>
                <w:rFonts w:ascii="Calibri"/>
                <w:sz w:val="11"/>
              </w:rPr>
              <w:t>perdidas</w:t>
            </w:r>
            <w:r>
              <w:rPr>
                <w:rFonts w:ascii="Calibri"/>
                <w:spacing w:val="-5"/>
                <w:sz w:val="11"/>
              </w:rPr>
              <w:t> </w:t>
            </w:r>
            <w:r>
              <w:rPr>
                <w:rFonts w:ascii="Calibri"/>
                <w:sz w:val="11"/>
              </w:rPr>
              <w:t>de</w:t>
            </w:r>
            <w:r>
              <w:rPr>
                <w:rFonts w:ascii="Calibri"/>
                <w:spacing w:val="-5"/>
                <w:sz w:val="11"/>
              </w:rPr>
              <w:t> </w:t>
            </w:r>
            <w:r>
              <w:rPr>
                <w:rFonts w:ascii="Calibri"/>
                <w:spacing w:val="-2"/>
                <w:sz w:val="11"/>
              </w:rPr>
              <w:t>inventario</w:t>
            </w:r>
          </w:p>
        </w:tc>
        <w:tc>
          <w:tcPr>
            <w:tcW w:w="1704" w:type="dxa"/>
          </w:tcPr>
          <w:p>
            <w:pPr>
              <w:pStyle w:val="TableParagraph"/>
              <w:rPr>
                <w:rFonts w:ascii="Times New Roman"/>
                <w:sz w:val="8"/>
              </w:rPr>
            </w:pPr>
          </w:p>
        </w:tc>
        <w:tc>
          <w:tcPr>
            <w:tcW w:w="1118" w:type="dxa"/>
          </w:tcPr>
          <w:p>
            <w:pPr>
              <w:pStyle w:val="TableParagraph"/>
              <w:spacing w:line="125" w:lineRule="exact"/>
              <w:ind w:right="171"/>
              <w:jc w:val="right"/>
              <w:rPr>
                <w:rFonts w:ascii="Calibri"/>
                <w:sz w:val="11"/>
              </w:rPr>
            </w:pPr>
            <w:r>
              <w:rPr>
                <w:rFonts w:ascii="Calibri"/>
                <w:sz w:val="11"/>
              </w:rPr>
              <w:t>16 </w:t>
            </w:r>
            <w:r>
              <w:rPr>
                <w:rFonts w:ascii="Calibri"/>
                <w:spacing w:val="-2"/>
                <w:sz w:val="11"/>
              </w:rPr>
              <w:t>440,48</w:t>
            </w:r>
          </w:p>
        </w:tc>
        <w:tc>
          <w:tcPr>
            <w:tcW w:w="840" w:type="dxa"/>
            <w:vMerge/>
            <w:tcBorders>
              <w:top w:val="nil"/>
              <w:right w:val="single" w:sz="4" w:space="0" w:color="000000"/>
            </w:tcBorders>
          </w:tcPr>
          <w:p>
            <w:pPr>
              <w:rPr>
                <w:sz w:val="2"/>
                <w:szCs w:val="2"/>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pacing w:val="-2"/>
                <w:sz w:val="11"/>
              </w:rPr>
              <w:t>Resultados</w:t>
            </w:r>
            <w:r>
              <w:rPr>
                <w:rFonts w:ascii="Calibri"/>
                <w:spacing w:val="7"/>
                <w:sz w:val="11"/>
              </w:rPr>
              <w:t> </w:t>
            </w:r>
            <w:r>
              <w:rPr>
                <w:rFonts w:ascii="Calibri"/>
                <w:spacing w:val="-2"/>
                <w:sz w:val="11"/>
              </w:rPr>
              <w:t>netos</w:t>
            </w:r>
            <w:r>
              <w:rPr>
                <w:rFonts w:ascii="Calibri"/>
                <w:spacing w:val="8"/>
                <w:sz w:val="11"/>
              </w:rPr>
              <w:t> </w:t>
            </w:r>
            <w:r>
              <w:rPr>
                <w:rFonts w:ascii="Calibri"/>
                <w:spacing w:val="-2"/>
                <w:sz w:val="11"/>
              </w:rPr>
              <w:t>diferencial</w:t>
            </w:r>
          </w:p>
        </w:tc>
        <w:tc>
          <w:tcPr>
            <w:tcW w:w="1704" w:type="dxa"/>
          </w:tcPr>
          <w:p>
            <w:pPr>
              <w:pStyle w:val="TableParagraph"/>
              <w:rPr>
                <w:rFonts w:ascii="Times New Roman"/>
                <w:sz w:val="8"/>
              </w:rPr>
            </w:pPr>
          </w:p>
        </w:tc>
        <w:tc>
          <w:tcPr>
            <w:tcW w:w="1118" w:type="dxa"/>
          </w:tcPr>
          <w:p>
            <w:pPr>
              <w:pStyle w:val="TableParagraph"/>
              <w:spacing w:line="125" w:lineRule="exact"/>
              <w:ind w:right="171"/>
              <w:jc w:val="right"/>
              <w:rPr>
                <w:rFonts w:ascii="Calibri"/>
                <w:sz w:val="11"/>
              </w:rPr>
            </w:pPr>
            <w:r>
              <w:rPr>
                <w:rFonts w:ascii="Calibri"/>
                <w:sz w:val="11"/>
              </w:rPr>
              <w:t>199 </w:t>
            </w:r>
            <w:r>
              <w:rPr>
                <w:rFonts w:ascii="Calibri"/>
                <w:spacing w:val="-2"/>
                <w:sz w:val="11"/>
              </w:rPr>
              <w:t>062,15</w:t>
            </w:r>
          </w:p>
        </w:tc>
        <w:tc>
          <w:tcPr>
            <w:tcW w:w="840" w:type="dxa"/>
            <w:vMerge/>
            <w:tcBorders>
              <w:top w:val="nil"/>
              <w:right w:val="single" w:sz="4" w:space="0" w:color="000000"/>
            </w:tcBorders>
          </w:tcPr>
          <w:p>
            <w:pPr>
              <w:rPr>
                <w:sz w:val="2"/>
                <w:szCs w:val="2"/>
              </w:rPr>
            </w:pPr>
          </w:p>
        </w:tc>
      </w:tr>
      <w:tr>
        <w:trPr>
          <w:trHeight w:val="213" w:hRule="atLeast"/>
        </w:trPr>
        <w:tc>
          <w:tcPr>
            <w:tcW w:w="3337" w:type="dxa"/>
            <w:tcBorders>
              <w:left w:val="single" w:sz="4" w:space="0" w:color="000000"/>
            </w:tcBorders>
          </w:tcPr>
          <w:p>
            <w:pPr>
              <w:pStyle w:val="TableParagraph"/>
              <w:spacing w:line="130" w:lineRule="exact"/>
              <w:ind w:left="16"/>
              <w:rPr>
                <w:rFonts w:ascii="Calibri"/>
                <w:sz w:val="11"/>
              </w:rPr>
            </w:pPr>
            <w:r>
              <w:rPr>
                <w:rFonts w:ascii="Calibri"/>
                <w:spacing w:val="-2"/>
                <w:sz w:val="11"/>
              </w:rPr>
              <w:t>Ajustes</w:t>
            </w:r>
            <w:r>
              <w:rPr>
                <w:rFonts w:ascii="Calibri"/>
                <w:spacing w:val="4"/>
                <w:sz w:val="11"/>
              </w:rPr>
              <w:t> </w:t>
            </w:r>
            <w:r>
              <w:rPr>
                <w:rFonts w:ascii="Calibri"/>
                <w:spacing w:val="-2"/>
                <w:sz w:val="11"/>
              </w:rPr>
              <w:t>partidas</w:t>
            </w:r>
            <w:r>
              <w:rPr>
                <w:rFonts w:ascii="Calibri"/>
                <w:spacing w:val="5"/>
                <w:sz w:val="11"/>
              </w:rPr>
              <w:t> </w:t>
            </w:r>
            <w:r>
              <w:rPr>
                <w:rFonts w:ascii="Calibri"/>
                <w:spacing w:val="-2"/>
                <w:sz w:val="11"/>
              </w:rPr>
              <w:t>sin</w:t>
            </w:r>
            <w:r>
              <w:rPr>
                <w:rFonts w:ascii="Calibri"/>
                <w:spacing w:val="5"/>
                <w:sz w:val="11"/>
              </w:rPr>
              <w:t> </w:t>
            </w:r>
            <w:r>
              <w:rPr>
                <w:rFonts w:ascii="Calibri"/>
                <w:spacing w:val="-2"/>
                <w:sz w:val="11"/>
              </w:rPr>
              <w:t>efectivo</w:t>
            </w:r>
          </w:p>
        </w:tc>
        <w:tc>
          <w:tcPr>
            <w:tcW w:w="1704" w:type="dxa"/>
          </w:tcPr>
          <w:p>
            <w:pPr>
              <w:pStyle w:val="TableParagraph"/>
              <w:rPr>
                <w:rFonts w:ascii="Times New Roman"/>
                <w:sz w:val="14"/>
              </w:rPr>
            </w:pPr>
          </w:p>
        </w:tc>
        <w:tc>
          <w:tcPr>
            <w:tcW w:w="1118" w:type="dxa"/>
          </w:tcPr>
          <w:p>
            <w:pPr>
              <w:pStyle w:val="TableParagraph"/>
              <w:spacing w:line="130" w:lineRule="exact"/>
              <w:ind w:right="171"/>
              <w:jc w:val="right"/>
              <w:rPr>
                <w:rFonts w:ascii="Calibri"/>
                <w:sz w:val="11"/>
              </w:rPr>
            </w:pPr>
            <w:r>
              <w:rPr>
                <w:rFonts w:ascii="Calibri"/>
                <w:sz w:val="11"/>
              </w:rPr>
              <w:t>7 365 </w:t>
            </w:r>
            <w:r>
              <w:rPr>
                <w:rFonts w:ascii="Calibri"/>
                <w:spacing w:val="-2"/>
                <w:sz w:val="11"/>
              </w:rPr>
              <w:t>951,95</w:t>
            </w:r>
          </w:p>
        </w:tc>
        <w:tc>
          <w:tcPr>
            <w:tcW w:w="840" w:type="dxa"/>
            <w:vMerge/>
            <w:tcBorders>
              <w:top w:val="nil"/>
              <w:right w:val="single" w:sz="4" w:space="0" w:color="000000"/>
            </w:tcBorders>
          </w:tcPr>
          <w:p>
            <w:pPr>
              <w:rPr>
                <w:sz w:val="2"/>
                <w:szCs w:val="2"/>
              </w:rPr>
            </w:pPr>
          </w:p>
        </w:tc>
      </w:tr>
      <w:tr>
        <w:trPr>
          <w:trHeight w:val="292" w:hRule="atLeast"/>
        </w:trPr>
        <w:tc>
          <w:tcPr>
            <w:tcW w:w="3337" w:type="dxa"/>
            <w:tcBorders>
              <w:left w:val="single" w:sz="4" w:space="0" w:color="000000"/>
            </w:tcBorders>
          </w:tcPr>
          <w:p>
            <w:pPr>
              <w:pStyle w:val="TableParagraph"/>
              <w:spacing w:before="82"/>
              <w:ind w:left="16"/>
              <w:rPr>
                <w:rFonts w:ascii="Arial"/>
                <w:b/>
                <w:sz w:val="10"/>
              </w:rPr>
            </w:pPr>
            <w:r>
              <w:rPr>
                <w:rFonts w:ascii="Arial"/>
                <w:b/>
                <w:spacing w:val="-2"/>
                <w:sz w:val="10"/>
                <w:u w:val="single"/>
              </w:rPr>
              <w:t>Total</w:t>
            </w:r>
            <w:r>
              <w:rPr>
                <w:rFonts w:ascii="Arial"/>
                <w:b/>
                <w:spacing w:val="1"/>
                <w:sz w:val="10"/>
                <w:u w:val="single"/>
              </w:rPr>
              <w:t> </w:t>
            </w:r>
            <w:r>
              <w:rPr>
                <w:rFonts w:ascii="Arial"/>
                <w:b/>
                <w:spacing w:val="-2"/>
                <w:sz w:val="10"/>
                <w:u w:val="single"/>
              </w:rPr>
              <w:t>efectivo</w:t>
            </w:r>
            <w:r>
              <w:rPr>
                <w:rFonts w:ascii="Arial"/>
                <w:b/>
                <w:spacing w:val="2"/>
                <w:sz w:val="10"/>
                <w:u w:val="single"/>
              </w:rPr>
              <w:t> </w:t>
            </w:r>
            <w:r>
              <w:rPr>
                <w:rFonts w:ascii="Arial"/>
                <w:b/>
                <w:spacing w:val="-2"/>
                <w:sz w:val="10"/>
                <w:u w:val="single"/>
              </w:rPr>
              <w:t>generado</w:t>
            </w:r>
            <w:r>
              <w:rPr>
                <w:rFonts w:ascii="Arial"/>
                <w:b/>
                <w:spacing w:val="1"/>
                <w:sz w:val="10"/>
                <w:u w:val="single"/>
              </w:rPr>
              <w:t> </w:t>
            </w:r>
            <w:r>
              <w:rPr>
                <w:rFonts w:ascii="Arial"/>
                <w:b/>
                <w:spacing w:val="-2"/>
                <w:sz w:val="10"/>
                <w:u w:val="single"/>
              </w:rPr>
              <w:t>por</w:t>
            </w:r>
            <w:r>
              <w:rPr>
                <w:rFonts w:ascii="Arial"/>
                <w:b/>
                <w:spacing w:val="3"/>
                <w:sz w:val="10"/>
                <w:u w:val="single"/>
              </w:rPr>
              <w:t> </w:t>
            </w:r>
            <w:r>
              <w:rPr>
                <w:rFonts w:ascii="Arial"/>
                <w:b/>
                <w:spacing w:val="-2"/>
                <w:sz w:val="10"/>
                <w:u w:val="single"/>
              </w:rPr>
              <w:t>los</w:t>
            </w:r>
            <w:r>
              <w:rPr>
                <w:rFonts w:ascii="Arial"/>
                <w:b/>
                <w:spacing w:val="2"/>
                <w:sz w:val="10"/>
                <w:u w:val="single"/>
              </w:rPr>
              <w:t> </w:t>
            </w:r>
            <w:r>
              <w:rPr>
                <w:rFonts w:ascii="Arial"/>
                <w:b/>
                <w:spacing w:val="-2"/>
                <w:sz w:val="10"/>
                <w:u w:val="single"/>
              </w:rPr>
              <w:t>resultados</w:t>
            </w:r>
          </w:p>
        </w:tc>
        <w:tc>
          <w:tcPr>
            <w:tcW w:w="1704" w:type="dxa"/>
          </w:tcPr>
          <w:p>
            <w:pPr>
              <w:pStyle w:val="TableParagraph"/>
              <w:rPr>
                <w:rFonts w:ascii="Times New Roman"/>
                <w:sz w:val="16"/>
              </w:rPr>
            </w:pPr>
          </w:p>
        </w:tc>
        <w:tc>
          <w:tcPr>
            <w:tcW w:w="1118" w:type="dxa"/>
          </w:tcPr>
          <w:p>
            <w:pPr>
              <w:pStyle w:val="TableParagraph"/>
              <w:rPr>
                <w:rFonts w:ascii="Times New Roman"/>
                <w:sz w:val="16"/>
              </w:rPr>
            </w:pPr>
          </w:p>
        </w:tc>
        <w:tc>
          <w:tcPr>
            <w:tcW w:w="840" w:type="dxa"/>
            <w:tcBorders>
              <w:right w:val="single" w:sz="4" w:space="0" w:color="000000"/>
            </w:tcBorders>
          </w:tcPr>
          <w:p>
            <w:pPr>
              <w:pStyle w:val="TableParagraph"/>
              <w:spacing w:before="71"/>
              <w:ind w:right="8"/>
              <w:jc w:val="right"/>
              <w:rPr>
                <w:rFonts w:ascii="Calibri"/>
                <w:sz w:val="11"/>
              </w:rPr>
            </w:pPr>
            <w:r>
              <w:rPr>
                <w:rFonts w:ascii="Calibri"/>
                <w:sz w:val="11"/>
              </w:rPr>
              <w:t>16 064 </w:t>
            </w:r>
            <w:r>
              <w:rPr>
                <w:rFonts w:ascii="Calibri"/>
                <w:spacing w:val="-2"/>
                <w:sz w:val="11"/>
              </w:rPr>
              <w:t>642,13</w:t>
            </w:r>
          </w:p>
        </w:tc>
      </w:tr>
      <w:tr>
        <w:trPr>
          <w:trHeight w:val="362" w:hRule="atLeast"/>
        </w:trPr>
        <w:tc>
          <w:tcPr>
            <w:tcW w:w="3337" w:type="dxa"/>
            <w:tcBorders>
              <w:left w:val="single" w:sz="4" w:space="0" w:color="000000"/>
            </w:tcBorders>
          </w:tcPr>
          <w:p>
            <w:pPr>
              <w:pStyle w:val="TableParagraph"/>
              <w:spacing w:before="68"/>
              <w:ind w:left="16"/>
              <w:rPr>
                <w:rFonts w:ascii="Calibri" w:hAnsi="Calibri"/>
                <w:b/>
                <w:sz w:val="11"/>
              </w:rPr>
            </w:pPr>
            <w:r>
              <w:rPr>
                <w:rFonts w:ascii="Calibri" w:hAnsi="Calibri"/>
                <w:b/>
                <w:sz w:val="11"/>
              </w:rPr>
              <w:t>Incremento o disminución</w:t>
            </w:r>
            <w:r>
              <w:rPr>
                <w:rFonts w:ascii="Calibri" w:hAnsi="Calibri"/>
                <w:b/>
                <w:spacing w:val="1"/>
                <w:sz w:val="11"/>
              </w:rPr>
              <w:t> </w:t>
            </w:r>
            <w:r>
              <w:rPr>
                <w:rFonts w:ascii="Calibri" w:hAnsi="Calibri"/>
                <w:b/>
                <w:sz w:val="11"/>
              </w:rPr>
              <w:t>en activos</w:t>
            </w:r>
            <w:r>
              <w:rPr>
                <w:rFonts w:ascii="Calibri" w:hAnsi="Calibri"/>
                <w:b/>
                <w:spacing w:val="2"/>
                <w:sz w:val="11"/>
              </w:rPr>
              <w:t> </w:t>
            </w:r>
            <w:r>
              <w:rPr>
                <w:rFonts w:ascii="Calibri" w:hAnsi="Calibri"/>
                <w:b/>
                <w:sz w:val="11"/>
              </w:rPr>
              <w:t>o </w:t>
            </w:r>
            <w:r>
              <w:rPr>
                <w:rFonts w:ascii="Calibri" w:hAnsi="Calibri"/>
                <w:b/>
                <w:spacing w:val="-2"/>
                <w:sz w:val="11"/>
              </w:rPr>
              <w:t>pasivos</w:t>
            </w:r>
          </w:p>
          <w:p>
            <w:pPr>
              <w:pStyle w:val="TableParagraph"/>
              <w:spacing w:line="129" w:lineRule="exact" w:before="10"/>
              <w:ind w:left="16"/>
              <w:rPr>
                <w:rFonts w:ascii="Calibri"/>
                <w:sz w:val="11"/>
              </w:rPr>
            </w:pPr>
            <w:r>
              <w:rPr>
                <w:rFonts w:ascii="Calibri"/>
                <w:sz w:val="11"/>
              </w:rPr>
              <w:t>Aumento</w:t>
            </w:r>
            <w:r>
              <w:rPr>
                <w:rFonts w:ascii="Calibri"/>
                <w:spacing w:val="-4"/>
                <w:sz w:val="11"/>
              </w:rPr>
              <w:t> </w:t>
            </w:r>
            <w:r>
              <w:rPr>
                <w:rFonts w:ascii="Calibri"/>
                <w:sz w:val="11"/>
              </w:rPr>
              <w:t>cuentas</w:t>
            </w:r>
            <w:r>
              <w:rPr>
                <w:rFonts w:ascii="Calibri"/>
                <w:spacing w:val="-5"/>
                <w:sz w:val="11"/>
              </w:rPr>
              <w:t> </w:t>
            </w:r>
            <w:r>
              <w:rPr>
                <w:rFonts w:ascii="Calibri"/>
                <w:sz w:val="11"/>
              </w:rPr>
              <w:t>a</w:t>
            </w:r>
            <w:r>
              <w:rPr>
                <w:rFonts w:ascii="Calibri"/>
                <w:spacing w:val="-4"/>
                <w:sz w:val="11"/>
              </w:rPr>
              <w:t> </w:t>
            </w:r>
            <w:r>
              <w:rPr>
                <w:rFonts w:ascii="Calibri"/>
                <w:spacing w:val="-2"/>
                <w:sz w:val="11"/>
              </w:rPr>
              <w:t>cobrar</w:t>
            </w:r>
          </w:p>
        </w:tc>
        <w:tc>
          <w:tcPr>
            <w:tcW w:w="1704" w:type="dxa"/>
          </w:tcPr>
          <w:p>
            <w:pPr>
              <w:pStyle w:val="TableParagraph"/>
              <w:spacing w:before="87"/>
              <w:rPr>
                <w:sz w:val="11"/>
              </w:rPr>
            </w:pPr>
          </w:p>
          <w:p>
            <w:pPr>
              <w:pStyle w:val="TableParagraph"/>
              <w:spacing w:line="129" w:lineRule="exact"/>
              <w:ind w:right="290"/>
              <w:jc w:val="right"/>
              <w:rPr>
                <w:rFonts w:ascii="Calibri"/>
                <w:sz w:val="11"/>
              </w:rPr>
            </w:pPr>
            <w:r>
              <w:rPr>
                <w:rFonts w:ascii="Calibri"/>
                <w:sz w:val="11"/>
              </w:rPr>
              <w:t>-382</w:t>
            </w:r>
            <w:r>
              <w:rPr>
                <w:rFonts w:ascii="Calibri"/>
                <w:spacing w:val="-1"/>
                <w:sz w:val="11"/>
              </w:rPr>
              <w:t> </w:t>
            </w:r>
            <w:r>
              <w:rPr>
                <w:rFonts w:ascii="Calibri"/>
                <w:spacing w:val="-2"/>
                <w:sz w:val="11"/>
              </w:rPr>
              <w:t>577,58</w:t>
            </w:r>
          </w:p>
        </w:tc>
        <w:tc>
          <w:tcPr>
            <w:tcW w:w="1118" w:type="dxa"/>
          </w:tcPr>
          <w:p>
            <w:pPr>
              <w:pStyle w:val="TableParagraph"/>
              <w:rPr>
                <w:rFonts w:ascii="Times New Roman"/>
                <w:sz w:val="16"/>
              </w:rPr>
            </w:pPr>
          </w:p>
        </w:tc>
        <w:tc>
          <w:tcPr>
            <w:tcW w:w="840" w:type="dxa"/>
            <w:tcBorders>
              <w:right w:val="single" w:sz="4" w:space="0" w:color="000000"/>
            </w:tcBorders>
          </w:tcPr>
          <w:p>
            <w:pPr>
              <w:pStyle w:val="TableParagraph"/>
              <w:rPr>
                <w:rFonts w:ascii="Times New Roman"/>
                <w:sz w:val="16"/>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Aumento</w:t>
            </w:r>
            <w:r>
              <w:rPr>
                <w:rFonts w:ascii="Calibri"/>
                <w:spacing w:val="-4"/>
                <w:sz w:val="11"/>
              </w:rPr>
              <w:t> </w:t>
            </w:r>
            <w:r>
              <w:rPr>
                <w:rFonts w:ascii="Calibri"/>
                <w:sz w:val="11"/>
              </w:rPr>
              <w:t>de</w:t>
            </w:r>
            <w:r>
              <w:rPr>
                <w:rFonts w:ascii="Calibri"/>
                <w:spacing w:val="-5"/>
                <w:sz w:val="11"/>
              </w:rPr>
              <w:t> </w:t>
            </w:r>
            <w:r>
              <w:rPr>
                <w:rFonts w:ascii="Calibri"/>
                <w:spacing w:val="-2"/>
                <w:sz w:val="11"/>
              </w:rPr>
              <w:t>inventarios</w:t>
            </w:r>
          </w:p>
        </w:tc>
        <w:tc>
          <w:tcPr>
            <w:tcW w:w="1704" w:type="dxa"/>
          </w:tcPr>
          <w:p>
            <w:pPr>
              <w:pStyle w:val="TableParagraph"/>
              <w:spacing w:line="125" w:lineRule="exact"/>
              <w:ind w:right="290"/>
              <w:jc w:val="right"/>
              <w:rPr>
                <w:rFonts w:ascii="Calibri"/>
                <w:sz w:val="11"/>
              </w:rPr>
            </w:pPr>
            <w:r>
              <w:rPr>
                <w:rFonts w:ascii="Calibri"/>
                <w:sz w:val="11"/>
              </w:rPr>
              <w:t>-494</w:t>
            </w:r>
            <w:r>
              <w:rPr>
                <w:rFonts w:ascii="Calibri"/>
                <w:spacing w:val="-1"/>
                <w:sz w:val="11"/>
              </w:rPr>
              <w:t> </w:t>
            </w:r>
            <w:r>
              <w:rPr>
                <w:rFonts w:ascii="Calibri"/>
                <w:spacing w:val="-2"/>
                <w:sz w:val="11"/>
              </w:rPr>
              <w:t>012,06</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Aumento</w:t>
            </w:r>
            <w:r>
              <w:rPr>
                <w:rFonts w:ascii="Calibri"/>
                <w:spacing w:val="-2"/>
                <w:sz w:val="11"/>
              </w:rPr>
              <w:t> </w:t>
            </w:r>
            <w:r>
              <w:rPr>
                <w:rFonts w:ascii="Calibri"/>
                <w:sz w:val="11"/>
              </w:rPr>
              <w:t>Otros</w:t>
            </w:r>
            <w:r>
              <w:rPr>
                <w:rFonts w:ascii="Calibri"/>
                <w:spacing w:val="-5"/>
                <w:sz w:val="11"/>
              </w:rPr>
              <w:t> </w:t>
            </w:r>
            <w:r>
              <w:rPr>
                <w:rFonts w:ascii="Calibri"/>
                <w:sz w:val="11"/>
              </w:rPr>
              <w:t>cuentas</w:t>
            </w:r>
            <w:r>
              <w:rPr>
                <w:rFonts w:ascii="Calibri"/>
                <w:spacing w:val="-5"/>
                <w:sz w:val="11"/>
              </w:rPr>
              <w:t> </w:t>
            </w:r>
            <w:r>
              <w:rPr>
                <w:rFonts w:ascii="Calibri"/>
                <w:sz w:val="11"/>
              </w:rPr>
              <w:t>por</w:t>
            </w:r>
            <w:r>
              <w:rPr>
                <w:rFonts w:ascii="Calibri"/>
                <w:spacing w:val="-3"/>
                <w:sz w:val="11"/>
              </w:rPr>
              <w:t> </w:t>
            </w:r>
            <w:r>
              <w:rPr>
                <w:rFonts w:ascii="Calibri"/>
                <w:spacing w:val="-2"/>
                <w:sz w:val="11"/>
              </w:rPr>
              <w:t>cobrar</w:t>
            </w:r>
          </w:p>
        </w:tc>
        <w:tc>
          <w:tcPr>
            <w:tcW w:w="1704" w:type="dxa"/>
          </w:tcPr>
          <w:p>
            <w:pPr>
              <w:pStyle w:val="TableParagraph"/>
              <w:spacing w:line="125" w:lineRule="exact"/>
              <w:ind w:right="290"/>
              <w:jc w:val="right"/>
              <w:rPr>
                <w:rFonts w:ascii="Calibri"/>
                <w:sz w:val="11"/>
              </w:rPr>
            </w:pPr>
            <w:r>
              <w:rPr>
                <w:rFonts w:ascii="Calibri"/>
                <w:sz w:val="11"/>
              </w:rPr>
              <w:t>-36</w:t>
            </w:r>
            <w:r>
              <w:rPr>
                <w:rFonts w:ascii="Calibri"/>
                <w:spacing w:val="-2"/>
                <w:sz w:val="11"/>
              </w:rPr>
              <w:t> 095,50</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hAnsi="Calibri"/>
                <w:sz w:val="11"/>
              </w:rPr>
            </w:pPr>
            <w:r>
              <w:rPr>
                <w:rFonts w:ascii="Calibri" w:hAnsi="Calibri"/>
                <w:sz w:val="11"/>
              </w:rPr>
              <w:t>Disminución</w:t>
            </w:r>
            <w:r>
              <w:rPr>
                <w:rFonts w:ascii="Calibri" w:hAnsi="Calibri"/>
                <w:spacing w:val="19"/>
                <w:sz w:val="11"/>
              </w:rPr>
              <w:t> </w:t>
            </w:r>
            <w:r>
              <w:rPr>
                <w:rFonts w:ascii="Calibri" w:hAnsi="Calibri"/>
                <w:sz w:val="11"/>
              </w:rPr>
              <w:t>de</w:t>
            </w:r>
            <w:r>
              <w:rPr>
                <w:rFonts w:ascii="Calibri" w:hAnsi="Calibri"/>
                <w:spacing w:val="-4"/>
                <w:sz w:val="11"/>
              </w:rPr>
              <w:t> </w:t>
            </w:r>
            <w:r>
              <w:rPr>
                <w:rFonts w:ascii="Calibri" w:hAnsi="Calibri"/>
                <w:sz w:val="11"/>
              </w:rPr>
              <w:t>cuentas</w:t>
            </w:r>
            <w:r>
              <w:rPr>
                <w:rFonts w:ascii="Calibri" w:hAnsi="Calibri"/>
                <w:spacing w:val="19"/>
                <w:sz w:val="11"/>
              </w:rPr>
              <w:t> </w:t>
            </w:r>
            <w:r>
              <w:rPr>
                <w:rFonts w:ascii="Calibri" w:hAnsi="Calibri"/>
                <w:sz w:val="11"/>
              </w:rPr>
              <w:t>por</w:t>
            </w:r>
            <w:r>
              <w:rPr>
                <w:rFonts w:ascii="Calibri" w:hAnsi="Calibri"/>
                <w:spacing w:val="-2"/>
                <w:sz w:val="11"/>
              </w:rPr>
              <w:t> </w:t>
            </w:r>
            <w:r>
              <w:rPr>
                <w:rFonts w:ascii="Calibri" w:hAnsi="Calibri"/>
                <w:sz w:val="11"/>
              </w:rPr>
              <w:t>cobrar</w:t>
            </w:r>
            <w:r>
              <w:rPr>
                <w:rFonts w:ascii="Calibri" w:hAnsi="Calibri"/>
                <w:spacing w:val="-2"/>
                <w:sz w:val="11"/>
              </w:rPr>
              <w:t> </w:t>
            </w:r>
            <w:r>
              <w:rPr>
                <w:rFonts w:ascii="Calibri" w:hAnsi="Calibri"/>
                <w:spacing w:val="-5"/>
                <w:sz w:val="11"/>
              </w:rPr>
              <w:t>LP</w:t>
            </w:r>
          </w:p>
        </w:tc>
        <w:tc>
          <w:tcPr>
            <w:tcW w:w="1704" w:type="dxa"/>
          </w:tcPr>
          <w:p>
            <w:pPr>
              <w:pStyle w:val="TableParagraph"/>
              <w:spacing w:line="125" w:lineRule="exact"/>
              <w:ind w:right="290"/>
              <w:jc w:val="right"/>
              <w:rPr>
                <w:rFonts w:ascii="Calibri"/>
                <w:sz w:val="11"/>
              </w:rPr>
            </w:pPr>
            <w:r>
              <w:rPr>
                <w:rFonts w:ascii="Calibri"/>
                <w:sz w:val="11"/>
              </w:rPr>
              <w:t>2</w:t>
            </w:r>
            <w:r>
              <w:rPr>
                <w:rFonts w:ascii="Calibri"/>
                <w:spacing w:val="-1"/>
                <w:sz w:val="11"/>
              </w:rPr>
              <w:t> </w:t>
            </w:r>
            <w:r>
              <w:rPr>
                <w:rFonts w:ascii="Calibri"/>
                <w:spacing w:val="-2"/>
                <w:sz w:val="11"/>
              </w:rPr>
              <w:t>609,07</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pacing w:val="-2"/>
                <w:sz w:val="11"/>
              </w:rPr>
              <w:t>Aumento</w:t>
            </w:r>
            <w:r>
              <w:rPr>
                <w:rFonts w:ascii="Calibri"/>
                <w:spacing w:val="9"/>
                <w:sz w:val="11"/>
              </w:rPr>
              <w:t> </w:t>
            </w:r>
            <w:r>
              <w:rPr>
                <w:rFonts w:ascii="Calibri"/>
                <w:spacing w:val="-2"/>
                <w:sz w:val="11"/>
              </w:rPr>
              <w:t>en</w:t>
            </w:r>
            <w:r>
              <w:rPr>
                <w:rFonts w:ascii="Calibri"/>
                <w:spacing w:val="5"/>
                <w:sz w:val="11"/>
              </w:rPr>
              <w:t> </w:t>
            </w:r>
            <w:r>
              <w:rPr>
                <w:rFonts w:ascii="Calibri"/>
                <w:spacing w:val="-2"/>
                <w:sz w:val="11"/>
              </w:rPr>
              <w:t>inversiones</w:t>
            </w:r>
            <w:r>
              <w:rPr>
                <w:rFonts w:ascii="Calibri"/>
                <w:spacing w:val="5"/>
                <w:sz w:val="11"/>
              </w:rPr>
              <w:t> </w:t>
            </w:r>
            <w:r>
              <w:rPr>
                <w:rFonts w:ascii="Calibri"/>
                <w:spacing w:val="-2"/>
                <w:sz w:val="11"/>
              </w:rPr>
              <w:t>fideicomiso</w:t>
            </w:r>
          </w:p>
        </w:tc>
        <w:tc>
          <w:tcPr>
            <w:tcW w:w="1704" w:type="dxa"/>
          </w:tcPr>
          <w:p>
            <w:pPr>
              <w:pStyle w:val="TableParagraph"/>
              <w:spacing w:line="125" w:lineRule="exact"/>
              <w:ind w:right="290"/>
              <w:jc w:val="right"/>
              <w:rPr>
                <w:rFonts w:ascii="Calibri"/>
                <w:sz w:val="11"/>
              </w:rPr>
            </w:pPr>
            <w:r>
              <w:rPr>
                <w:rFonts w:ascii="Calibri"/>
                <w:sz w:val="11"/>
              </w:rPr>
              <w:t>-400</w:t>
            </w:r>
            <w:r>
              <w:rPr>
                <w:rFonts w:ascii="Calibri"/>
                <w:spacing w:val="-1"/>
                <w:sz w:val="11"/>
              </w:rPr>
              <w:t> </w:t>
            </w:r>
            <w:r>
              <w:rPr>
                <w:rFonts w:ascii="Calibri"/>
                <w:spacing w:val="-2"/>
                <w:sz w:val="11"/>
              </w:rPr>
              <w:t>000,00</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hAnsi="Calibri"/>
                <w:sz w:val="11"/>
              </w:rPr>
            </w:pPr>
            <w:r>
              <w:rPr>
                <w:rFonts w:ascii="Calibri" w:hAnsi="Calibri"/>
                <w:sz w:val="11"/>
              </w:rPr>
              <w:t>Disminución</w:t>
            </w:r>
            <w:r>
              <w:rPr>
                <w:rFonts w:ascii="Calibri" w:hAnsi="Calibri"/>
                <w:spacing w:val="19"/>
                <w:sz w:val="11"/>
              </w:rPr>
              <w:t> </w:t>
            </w:r>
            <w:r>
              <w:rPr>
                <w:rFonts w:ascii="Calibri" w:hAnsi="Calibri"/>
                <w:sz w:val="11"/>
              </w:rPr>
              <w:t>Deudas</w:t>
            </w:r>
            <w:r>
              <w:rPr>
                <w:rFonts w:ascii="Calibri" w:hAnsi="Calibri"/>
                <w:spacing w:val="-3"/>
                <w:sz w:val="11"/>
              </w:rPr>
              <w:t> </w:t>
            </w:r>
            <w:r>
              <w:rPr>
                <w:rFonts w:ascii="Calibri" w:hAnsi="Calibri"/>
                <w:sz w:val="11"/>
              </w:rPr>
              <w:t>comerciales</w:t>
            </w:r>
            <w:r>
              <w:rPr>
                <w:rFonts w:ascii="Calibri" w:hAnsi="Calibri"/>
                <w:spacing w:val="-4"/>
                <w:sz w:val="11"/>
              </w:rPr>
              <w:t> </w:t>
            </w:r>
            <w:r>
              <w:rPr>
                <w:rFonts w:ascii="Calibri" w:hAnsi="Calibri"/>
                <w:sz w:val="11"/>
              </w:rPr>
              <w:t>a</w:t>
            </w:r>
            <w:r>
              <w:rPr>
                <w:rFonts w:ascii="Calibri" w:hAnsi="Calibri"/>
                <w:spacing w:val="-2"/>
                <w:sz w:val="11"/>
              </w:rPr>
              <w:t> </w:t>
            </w:r>
            <w:r>
              <w:rPr>
                <w:rFonts w:ascii="Calibri" w:hAnsi="Calibri"/>
                <w:sz w:val="11"/>
              </w:rPr>
              <w:t>corto </w:t>
            </w:r>
            <w:r>
              <w:rPr>
                <w:rFonts w:ascii="Calibri" w:hAnsi="Calibri"/>
                <w:spacing w:val="-4"/>
                <w:sz w:val="11"/>
              </w:rPr>
              <w:t>plazo</w:t>
            </w:r>
          </w:p>
        </w:tc>
        <w:tc>
          <w:tcPr>
            <w:tcW w:w="1704" w:type="dxa"/>
          </w:tcPr>
          <w:p>
            <w:pPr>
              <w:pStyle w:val="TableParagraph"/>
              <w:spacing w:line="125" w:lineRule="exact"/>
              <w:ind w:right="290"/>
              <w:jc w:val="right"/>
              <w:rPr>
                <w:rFonts w:ascii="Calibri"/>
                <w:sz w:val="11"/>
              </w:rPr>
            </w:pPr>
            <w:r>
              <w:rPr>
                <w:rFonts w:ascii="Calibri"/>
                <w:sz w:val="11"/>
              </w:rPr>
              <w:t>174 </w:t>
            </w:r>
            <w:r>
              <w:rPr>
                <w:rFonts w:ascii="Calibri"/>
                <w:spacing w:val="-2"/>
                <w:sz w:val="11"/>
              </w:rPr>
              <w:t>826,99</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144" w:hRule="atLeast"/>
        </w:trPr>
        <w:tc>
          <w:tcPr>
            <w:tcW w:w="3337" w:type="dxa"/>
            <w:tcBorders>
              <w:left w:val="single" w:sz="4" w:space="0" w:color="000000"/>
            </w:tcBorders>
          </w:tcPr>
          <w:p>
            <w:pPr>
              <w:pStyle w:val="TableParagraph"/>
              <w:spacing w:line="125" w:lineRule="exact"/>
              <w:ind w:left="16"/>
              <w:rPr>
                <w:rFonts w:ascii="Calibri"/>
                <w:sz w:val="11"/>
              </w:rPr>
            </w:pPr>
            <w:r>
              <w:rPr>
                <w:rFonts w:ascii="Calibri"/>
                <w:sz w:val="11"/>
              </w:rPr>
              <w:t>Aumento</w:t>
            </w:r>
            <w:r>
              <w:rPr>
                <w:rFonts w:ascii="Calibri"/>
                <w:spacing w:val="19"/>
                <w:sz w:val="11"/>
              </w:rPr>
              <w:t> </w:t>
            </w:r>
            <w:r>
              <w:rPr>
                <w:rFonts w:ascii="Calibri"/>
                <w:sz w:val="11"/>
              </w:rPr>
              <w:t>Fondos</w:t>
            </w:r>
            <w:r>
              <w:rPr>
                <w:rFonts w:ascii="Calibri"/>
                <w:spacing w:val="-4"/>
                <w:sz w:val="11"/>
              </w:rPr>
              <w:t> </w:t>
            </w:r>
            <w:r>
              <w:rPr>
                <w:rFonts w:ascii="Calibri"/>
                <w:spacing w:val="-2"/>
                <w:sz w:val="11"/>
              </w:rPr>
              <w:t>terceros</w:t>
            </w:r>
          </w:p>
        </w:tc>
        <w:tc>
          <w:tcPr>
            <w:tcW w:w="1704" w:type="dxa"/>
          </w:tcPr>
          <w:p>
            <w:pPr>
              <w:pStyle w:val="TableParagraph"/>
              <w:spacing w:line="125" w:lineRule="exact"/>
              <w:ind w:right="290"/>
              <w:jc w:val="right"/>
              <w:rPr>
                <w:rFonts w:ascii="Calibri"/>
                <w:sz w:val="11"/>
              </w:rPr>
            </w:pPr>
            <w:r>
              <w:rPr>
                <w:rFonts w:ascii="Calibri"/>
                <w:sz w:val="11"/>
              </w:rPr>
              <w:t>25 </w:t>
            </w:r>
            <w:r>
              <w:rPr>
                <w:rFonts w:ascii="Calibri"/>
                <w:spacing w:val="-2"/>
                <w:sz w:val="11"/>
              </w:rPr>
              <w:t>041,48</w:t>
            </w:r>
          </w:p>
        </w:tc>
        <w:tc>
          <w:tcPr>
            <w:tcW w:w="1118" w:type="dxa"/>
          </w:tcPr>
          <w:p>
            <w:pPr>
              <w:pStyle w:val="TableParagraph"/>
              <w:rPr>
                <w:rFonts w:ascii="Times New Roman"/>
                <w:sz w:val="8"/>
              </w:rPr>
            </w:pPr>
          </w:p>
        </w:tc>
        <w:tc>
          <w:tcPr>
            <w:tcW w:w="840" w:type="dxa"/>
            <w:tcBorders>
              <w:right w:val="single" w:sz="4" w:space="0" w:color="000000"/>
            </w:tcBorders>
          </w:tcPr>
          <w:p>
            <w:pPr>
              <w:pStyle w:val="TableParagraph"/>
              <w:rPr>
                <w:rFonts w:ascii="Times New Roman"/>
                <w:sz w:val="8"/>
              </w:rPr>
            </w:pPr>
          </w:p>
        </w:tc>
      </w:tr>
      <w:tr>
        <w:trPr>
          <w:trHeight w:val="363" w:hRule="atLeast"/>
        </w:trPr>
        <w:tc>
          <w:tcPr>
            <w:tcW w:w="3337" w:type="dxa"/>
            <w:tcBorders>
              <w:left w:val="single" w:sz="4" w:space="0" w:color="000000"/>
            </w:tcBorders>
          </w:tcPr>
          <w:p>
            <w:pPr>
              <w:pStyle w:val="TableParagraph"/>
              <w:spacing w:line="130" w:lineRule="exact"/>
              <w:ind w:left="16"/>
              <w:rPr>
                <w:rFonts w:ascii="Calibri" w:hAnsi="Calibri"/>
                <w:sz w:val="11"/>
              </w:rPr>
            </w:pPr>
            <w:r>
              <w:rPr>
                <w:rFonts w:ascii="Calibri" w:hAnsi="Calibri"/>
                <w:sz w:val="11"/>
              </w:rPr>
              <w:t>Disminución</w:t>
            </w:r>
            <w:r>
              <w:rPr>
                <w:rFonts w:ascii="Calibri" w:hAnsi="Calibri"/>
                <w:spacing w:val="15"/>
                <w:sz w:val="11"/>
              </w:rPr>
              <w:t> </w:t>
            </w:r>
            <w:r>
              <w:rPr>
                <w:rFonts w:ascii="Calibri" w:hAnsi="Calibri"/>
                <w:sz w:val="11"/>
              </w:rPr>
              <w:t>Ingresos</w:t>
            </w:r>
            <w:r>
              <w:rPr>
                <w:rFonts w:ascii="Calibri" w:hAnsi="Calibri"/>
                <w:spacing w:val="-5"/>
                <w:sz w:val="11"/>
              </w:rPr>
              <w:t> </w:t>
            </w:r>
            <w:r>
              <w:rPr>
                <w:rFonts w:ascii="Calibri" w:hAnsi="Calibri"/>
                <w:spacing w:val="-2"/>
                <w:sz w:val="11"/>
              </w:rPr>
              <w:t>diferidos</w:t>
            </w:r>
          </w:p>
        </w:tc>
        <w:tc>
          <w:tcPr>
            <w:tcW w:w="1704" w:type="dxa"/>
          </w:tcPr>
          <w:p>
            <w:pPr>
              <w:pStyle w:val="TableParagraph"/>
              <w:spacing w:line="130" w:lineRule="exact"/>
              <w:ind w:right="290"/>
              <w:jc w:val="right"/>
              <w:rPr>
                <w:rFonts w:ascii="Calibri"/>
                <w:sz w:val="11"/>
              </w:rPr>
            </w:pPr>
            <w:r>
              <w:rPr>
                <w:rFonts w:ascii="Calibri"/>
                <w:spacing w:val="-2"/>
                <w:sz w:val="11"/>
              </w:rPr>
              <w:t>125,79</w:t>
            </w:r>
          </w:p>
        </w:tc>
        <w:tc>
          <w:tcPr>
            <w:tcW w:w="1118" w:type="dxa"/>
          </w:tcPr>
          <w:p>
            <w:pPr>
              <w:pStyle w:val="TableParagraph"/>
              <w:rPr>
                <w:rFonts w:ascii="Times New Roman"/>
                <w:sz w:val="16"/>
              </w:rPr>
            </w:pPr>
          </w:p>
        </w:tc>
        <w:tc>
          <w:tcPr>
            <w:tcW w:w="840" w:type="dxa"/>
            <w:tcBorders>
              <w:right w:val="single" w:sz="4" w:space="0" w:color="000000"/>
            </w:tcBorders>
          </w:tcPr>
          <w:p>
            <w:pPr>
              <w:pStyle w:val="TableParagraph"/>
              <w:spacing w:before="14"/>
              <w:rPr>
                <w:sz w:val="11"/>
              </w:rPr>
            </w:pPr>
          </w:p>
          <w:p>
            <w:pPr>
              <w:pStyle w:val="TableParagraph"/>
              <w:spacing w:before="1"/>
              <w:ind w:right="8"/>
              <w:jc w:val="right"/>
              <w:rPr>
                <w:rFonts w:ascii="Calibri"/>
                <w:sz w:val="11"/>
              </w:rPr>
            </w:pPr>
            <w:r>
              <w:rPr>
                <w:rFonts w:ascii="Calibri"/>
                <w:sz w:val="11"/>
              </w:rPr>
              <w:t>-1</w:t>
            </w:r>
            <w:r>
              <w:rPr>
                <w:rFonts w:ascii="Calibri"/>
                <w:spacing w:val="-1"/>
                <w:sz w:val="11"/>
              </w:rPr>
              <w:t> </w:t>
            </w:r>
            <w:r>
              <w:rPr>
                <w:rFonts w:ascii="Calibri"/>
                <w:sz w:val="11"/>
              </w:rPr>
              <w:t>110</w:t>
            </w:r>
            <w:r>
              <w:rPr>
                <w:rFonts w:ascii="Calibri"/>
                <w:spacing w:val="-1"/>
                <w:sz w:val="11"/>
              </w:rPr>
              <w:t> </w:t>
            </w:r>
            <w:r>
              <w:rPr>
                <w:rFonts w:ascii="Calibri"/>
                <w:spacing w:val="-2"/>
                <w:sz w:val="11"/>
              </w:rPr>
              <w:t>081,81</w:t>
            </w:r>
          </w:p>
        </w:tc>
      </w:tr>
      <w:tr>
        <w:trPr>
          <w:trHeight w:val="211" w:hRule="atLeast"/>
        </w:trPr>
        <w:tc>
          <w:tcPr>
            <w:tcW w:w="3337" w:type="dxa"/>
            <w:tcBorders>
              <w:left w:val="single" w:sz="4" w:space="0" w:color="000000"/>
              <w:bottom w:val="single" w:sz="4" w:space="0" w:color="000000"/>
            </w:tcBorders>
          </w:tcPr>
          <w:p>
            <w:pPr>
              <w:pStyle w:val="TableParagraph"/>
              <w:spacing w:line="125" w:lineRule="exact" w:before="66"/>
              <w:ind w:left="16"/>
              <w:rPr>
                <w:rFonts w:ascii="Calibri" w:hAnsi="Calibri"/>
                <w:b/>
                <w:sz w:val="12"/>
              </w:rPr>
            </w:pPr>
            <w:r>
              <w:rPr>
                <w:rFonts w:ascii="Calibri" w:hAnsi="Calibri"/>
                <w:b/>
                <w:sz w:val="12"/>
              </w:rPr>
              <w:t>Flujo</w:t>
            </w:r>
            <w:r>
              <w:rPr>
                <w:rFonts w:ascii="Calibri" w:hAnsi="Calibri"/>
                <w:b/>
                <w:spacing w:val="-3"/>
                <w:sz w:val="12"/>
              </w:rPr>
              <w:t> </w:t>
            </w:r>
            <w:r>
              <w:rPr>
                <w:rFonts w:ascii="Calibri" w:hAnsi="Calibri"/>
                <w:b/>
                <w:sz w:val="12"/>
              </w:rPr>
              <w:t>de</w:t>
            </w:r>
            <w:r>
              <w:rPr>
                <w:rFonts w:ascii="Calibri" w:hAnsi="Calibri"/>
                <w:b/>
                <w:spacing w:val="-4"/>
                <w:sz w:val="12"/>
              </w:rPr>
              <w:t> </w:t>
            </w:r>
            <w:r>
              <w:rPr>
                <w:rFonts w:ascii="Calibri" w:hAnsi="Calibri"/>
                <w:b/>
                <w:sz w:val="12"/>
              </w:rPr>
              <w:t>efectivo</w:t>
            </w:r>
            <w:r>
              <w:rPr>
                <w:rFonts w:ascii="Calibri" w:hAnsi="Calibri"/>
                <w:b/>
                <w:spacing w:val="-2"/>
                <w:sz w:val="12"/>
              </w:rPr>
              <w:t> </w:t>
            </w:r>
            <w:r>
              <w:rPr>
                <w:rFonts w:ascii="Calibri" w:hAnsi="Calibri"/>
                <w:b/>
                <w:sz w:val="12"/>
              </w:rPr>
              <w:t>de</w:t>
            </w:r>
            <w:r>
              <w:rPr>
                <w:rFonts w:ascii="Calibri" w:hAnsi="Calibri"/>
                <w:b/>
                <w:spacing w:val="-4"/>
                <w:sz w:val="12"/>
              </w:rPr>
              <w:t> </w:t>
            </w:r>
            <w:r>
              <w:rPr>
                <w:rFonts w:ascii="Calibri" w:hAnsi="Calibri"/>
                <w:b/>
                <w:sz w:val="12"/>
              </w:rPr>
              <w:t>actividades</w:t>
            </w:r>
            <w:r>
              <w:rPr>
                <w:rFonts w:ascii="Calibri" w:hAnsi="Calibri"/>
                <w:b/>
                <w:spacing w:val="-3"/>
                <w:sz w:val="12"/>
              </w:rPr>
              <w:t> </w:t>
            </w:r>
            <w:r>
              <w:rPr>
                <w:rFonts w:ascii="Calibri" w:hAnsi="Calibri"/>
                <w:b/>
                <w:sz w:val="12"/>
              </w:rPr>
              <w:t>de</w:t>
            </w:r>
            <w:r>
              <w:rPr>
                <w:rFonts w:ascii="Calibri" w:hAnsi="Calibri"/>
                <w:b/>
                <w:spacing w:val="-3"/>
                <w:sz w:val="12"/>
              </w:rPr>
              <w:t> </w:t>
            </w:r>
            <w:r>
              <w:rPr>
                <w:rFonts w:ascii="Calibri" w:hAnsi="Calibri"/>
                <w:b/>
                <w:spacing w:val="-2"/>
                <w:sz w:val="12"/>
              </w:rPr>
              <w:t>operación</w:t>
            </w:r>
          </w:p>
        </w:tc>
        <w:tc>
          <w:tcPr>
            <w:tcW w:w="1704" w:type="dxa"/>
            <w:tcBorders>
              <w:bottom w:val="single" w:sz="4" w:space="0" w:color="000000"/>
            </w:tcBorders>
          </w:tcPr>
          <w:p>
            <w:pPr>
              <w:pStyle w:val="TableParagraph"/>
              <w:rPr>
                <w:rFonts w:ascii="Times New Roman"/>
                <w:sz w:val="14"/>
              </w:rPr>
            </w:pPr>
          </w:p>
        </w:tc>
        <w:tc>
          <w:tcPr>
            <w:tcW w:w="1118" w:type="dxa"/>
            <w:tcBorders>
              <w:bottom w:val="single" w:sz="4" w:space="0" w:color="000000"/>
            </w:tcBorders>
          </w:tcPr>
          <w:p>
            <w:pPr>
              <w:pStyle w:val="TableParagraph"/>
              <w:rPr>
                <w:rFonts w:ascii="Times New Roman"/>
                <w:sz w:val="14"/>
              </w:rPr>
            </w:pPr>
          </w:p>
        </w:tc>
        <w:tc>
          <w:tcPr>
            <w:tcW w:w="840" w:type="dxa"/>
            <w:tcBorders>
              <w:bottom w:val="single" w:sz="4" w:space="0" w:color="000000"/>
              <w:right w:val="single" w:sz="4" w:space="0" w:color="000000"/>
            </w:tcBorders>
          </w:tcPr>
          <w:p>
            <w:pPr>
              <w:pStyle w:val="TableParagraph"/>
              <w:spacing w:line="116" w:lineRule="exact" w:before="76"/>
              <w:ind w:right="8"/>
              <w:jc w:val="right"/>
              <w:rPr>
                <w:rFonts w:ascii="Calibri"/>
                <w:sz w:val="11"/>
              </w:rPr>
            </w:pPr>
            <w:r>
              <w:rPr>
                <w:rFonts w:ascii="Calibri"/>
                <w:sz w:val="11"/>
              </w:rPr>
              <w:t>14 954 </w:t>
            </w:r>
            <w:r>
              <w:rPr>
                <w:rFonts w:ascii="Calibri"/>
                <w:spacing w:val="-2"/>
                <w:sz w:val="11"/>
              </w:rPr>
              <w:t>560,32</w:t>
            </w:r>
          </w:p>
        </w:tc>
      </w:tr>
    </w:tbl>
    <w:p>
      <w:pPr>
        <w:pStyle w:val="BodyText"/>
      </w:pPr>
    </w:p>
    <w:p>
      <w:pPr>
        <w:pStyle w:val="BodyText"/>
        <w:spacing w:before="127"/>
      </w:pPr>
    </w:p>
    <w:p>
      <w:pPr>
        <w:pStyle w:val="ListParagraph"/>
        <w:numPr>
          <w:ilvl w:val="0"/>
          <w:numId w:val="73"/>
        </w:numPr>
        <w:tabs>
          <w:tab w:pos="1340" w:val="left" w:leader="none"/>
        </w:tabs>
        <w:spacing w:line="240" w:lineRule="auto" w:before="0" w:after="0"/>
        <w:ind w:left="1340" w:right="0" w:hanging="359"/>
        <w:jc w:val="left"/>
        <w:rPr>
          <w:sz w:val="22"/>
        </w:rPr>
      </w:pPr>
      <w:r>
        <w:rPr>
          <w:sz w:val="22"/>
        </w:rPr>
        <w:t>Otra</w:t>
      </w:r>
      <w:r>
        <w:rPr>
          <w:spacing w:val="-5"/>
          <w:sz w:val="22"/>
        </w:rPr>
        <w:t> </w:t>
      </w:r>
      <w:r>
        <w:rPr>
          <w:sz w:val="22"/>
        </w:rPr>
        <w:t>información</w:t>
      </w:r>
      <w:r>
        <w:rPr>
          <w:spacing w:val="-4"/>
          <w:sz w:val="22"/>
        </w:rPr>
        <w:t> </w:t>
      </w:r>
      <w:r>
        <w:rPr>
          <w:sz w:val="22"/>
        </w:rPr>
        <w:t>por</w:t>
      </w:r>
      <w:r>
        <w:rPr>
          <w:spacing w:val="-5"/>
          <w:sz w:val="22"/>
        </w:rPr>
        <w:t> </w:t>
      </w:r>
      <w:r>
        <w:rPr>
          <w:sz w:val="22"/>
        </w:rPr>
        <w:t>revelar</w:t>
      </w:r>
      <w:r>
        <w:rPr>
          <w:spacing w:val="-4"/>
          <w:sz w:val="22"/>
        </w:rPr>
        <w:t> </w:t>
      </w:r>
      <w:r>
        <w:rPr>
          <w:sz w:val="22"/>
        </w:rPr>
        <w:t>(párrafo</w:t>
      </w:r>
      <w:r>
        <w:rPr>
          <w:spacing w:val="-3"/>
          <w:sz w:val="22"/>
        </w:rPr>
        <w:t> </w:t>
      </w:r>
      <w:r>
        <w:rPr>
          <w:spacing w:val="-5"/>
          <w:sz w:val="22"/>
        </w:rPr>
        <w:t>59)</w:t>
      </w:r>
    </w:p>
    <w:p>
      <w:pPr>
        <w:pStyle w:val="BodyText"/>
        <w:spacing w:before="34"/>
        <w:rPr>
          <w:sz w:val="20"/>
        </w:rPr>
      </w:pPr>
      <w:r>
        <w:rPr>
          <w:sz w:val="20"/>
        </w:rPr>
        <mc:AlternateContent>
          <mc:Choice Requires="wps">
            <w:drawing>
              <wp:anchor distT="0" distB="0" distL="0" distR="0" allowOverlap="1" layoutInCell="1" locked="0" behindDoc="1" simplePos="0" relativeHeight="487760384">
                <wp:simplePos x="0" y="0"/>
                <wp:positionH relativeFrom="page">
                  <wp:posOffset>1080820</wp:posOffset>
                </wp:positionH>
                <wp:positionV relativeFrom="paragraph">
                  <wp:posOffset>184864</wp:posOffset>
                </wp:positionV>
                <wp:extent cx="5715000" cy="1522730"/>
                <wp:effectExtent l="0" t="0" r="0" b="0"/>
                <wp:wrapTopAndBottom/>
                <wp:docPr id="860" name="Textbox 860"/>
                <wp:cNvGraphicFramePr>
                  <a:graphicFrameLocks/>
                </wp:cNvGraphicFramePr>
                <a:graphic>
                  <a:graphicData uri="http://schemas.microsoft.com/office/word/2010/wordprocessingShape">
                    <wps:wsp>
                      <wps:cNvPr id="860" name="Textbox 860"/>
                      <wps:cNvSpPr txBox="1"/>
                      <wps:spPr>
                        <a:xfrm>
                          <a:off x="0" y="0"/>
                          <a:ext cx="5715000" cy="1522730"/>
                        </a:xfrm>
                        <a:prstGeom prst="rect">
                          <a:avLst/>
                        </a:prstGeom>
                        <a:ln w="6095">
                          <a:solidFill>
                            <a:srgbClr val="000000"/>
                          </a:solidFill>
                          <a:prstDash val="solid"/>
                        </a:ln>
                      </wps:spPr>
                      <wps:txbx>
                        <w:txbxContent>
                          <w:p>
                            <w:pPr>
                              <w:spacing w:before="0"/>
                              <w:ind w:left="103" w:right="0" w:firstLine="0"/>
                              <w:jc w:val="left"/>
                              <w:rPr>
                                <w:b/>
                                <w:sz w:val="22"/>
                              </w:rPr>
                            </w:pPr>
                            <w:r>
                              <w:rPr>
                                <w:b/>
                                <w:spacing w:val="-2"/>
                                <w:sz w:val="22"/>
                                <w:u w:val="single"/>
                              </w:rPr>
                              <w:t>Revelación:</w:t>
                            </w:r>
                          </w:p>
                          <w:p>
                            <w:pPr>
                              <w:spacing w:before="179"/>
                              <w:ind w:left="158" w:right="0" w:firstLine="0"/>
                              <w:jc w:val="left"/>
                              <w:rPr>
                                <w:b/>
                                <w:sz w:val="22"/>
                              </w:rPr>
                            </w:pPr>
                            <w:r>
                              <w:rPr>
                                <w:b/>
                                <w:sz w:val="22"/>
                                <w:u w:val="single"/>
                              </w:rPr>
                              <w:t>Efectivo</w:t>
                            </w:r>
                            <w:r>
                              <w:rPr>
                                <w:b/>
                                <w:spacing w:val="-3"/>
                                <w:sz w:val="22"/>
                                <w:u w:val="single"/>
                              </w:rPr>
                              <w:t> </w:t>
                            </w:r>
                            <w:r>
                              <w:rPr>
                                <w:b/>
                                <w:sz w:val="22"/>
                                <w:u w:val="single"/>
                              </w:rPr>
                              <w:t>y</w:t>
                            </w:r>
                            <w:r>
                              <w:rPr>
                                <w:b/>
                                <w:spacing w:val="-3"/>
                                <w:sz w:val="22"/>
                                <w:u w:val="single"/>
                              </w:rPr>
                              <w:t> </w:t>
                            </w:r>
                            <w:r>
                              <w:rPr>
                                <w:b/>
                                <w:sz w:val="22"/>
                                <w:u w:val="single"/>
                              </w:rPr>
                              <w:t>Equivalentes</w:t>
                            </w:r>
                            <w:r>
                              <w:rPr>
                                <w:b/>
                                <w:spacing w:val="-3"/>
                                <w:sz w:val="22"/>
                                <w:u w:val="single"/>
                              </w:rPr>
                              <w:t> </w:t>
                            </w:r>
                            <w:r>
                              <w:rPr>
                                <w:b/>
                                <w:sz w:val="22"/>
                                <w:u w:val="single"/>
                              </w:rPr>
                              <w:t>al</w:t>
                            </w:r>
                            <w:r>
                              <w:rPr>
                                <w:b/>
                                <w:spacing w:val="-3"/>
                                <w:sz w:val="22"/>
                                <w:u w:val="single"/>
                              </w:rPr>
                              <w:t> </w:t>
                            </w:r>
                            <w:r>
                              <w:rPr>
                                <w:b/>
                                <w:spacing w:val="-2"/>
                                <w:sz w:val="22"/>
                                <w:u w:val="single"/>
                              </w:rPr>
                              <w:t>efectivo</w:t>
                            </w:r>
                          </w:p>
                          <w:p>
                            <w:pPr>
                              <w:pStyle w:val="BodyText"/>
                              <w:spacing w:before="40"/>
                              <w:rPr>
                                <w:b/>
                              </w:rPr>
                            </w:pPr>
                          </w:p>
                          <w:p>
                            <w:pPr>
                              <w:pStyle w:val="BodyText"/>
                              <w:ind w:left="103" w:right="101"/>
                              <w:jc w:val="both"/>
                            </w:pPr>
                            <w:r>
                              <w:rPr/>
                              <w:t>Las</w:t>
                            </w:r>
                            <w:r>
                              <w:rPr>
                                <w:spacing w:val="-11"/>
                              </w:rPr>
                              <w:t> </w:t>
                            </w:r>
                            <w:r>
                              <w:rPr/>
                              <w:t>partidas</w:t>
                            </w:r>
                            <w:r>
                              <w:rPr>
                                <w:spacing w:val="-11"/>
                              </w:rPr>
                              <w:t> </w:t>
                            </w:r>
                            <w:r>
                              <w:rPr/>
                              <w:t>(o</w:t>
                            </w:r>
                            <w:r>
                              <w:rPr>
                                <w:spacing w:val="-13"/>
                              </w:rPr>
                              <w:t> </w:t>
                            </w:r>
                            <w:r>
                              <w:rPr/>
                              <w:t>rubros)</w:t>
                            </w:r>
                            <w:r>
                              <w:rPr>
                                <w:spacing w:val="-12"/>
                              </w:rPr>
                              <w:t> </w:t>
                            </w:r>
                            <w:r>
                              <w:rPr/>
                              <w:t>de</w:t>
                            </w:r>
                            <w:r>
                              <w:rPr>
                                <w:spacing w:val="-13"/>
                              </w:rPr>
                              <w:t> </w:t>
                            </w:r>
                            <w:r>
                              <w:rPr/>
                              <w:t>efectivo</w:t>
                            </w:r>
                            <w:r>
                              <w:rPr>
                                <w:spacing w:val="-11"/>
                              </w:rPr>
                              <w:t> </w:t>
                            </w:r>
                            <w:r>
                              <w:rPr/>
                              <w:t>y</w:t>
                            </w:r>
                            <w:r>
                              <w:rPr>
                                <w:spacing w:val="-13"/>
                              </w:rPr>
                              <w:t> </w:t>
                            </w:r>
                            <w:r>
                              <w:rPr/>
                              <w:t>equivalentes</w:t>
                            </w:r>
                            <w:r>
                              <w:rPr>
                                <w:spacing w:val="-11"/>
                              </w:rPr>
                              <w:t> </w:t>
                            </w:r>
                            <w:r>
                              <w:rPr/>
                              <w:t>al</w:t>
                            </w:r>
                            <w:r>
                              <w:rPr>
                                <w:spacing w:val="-12"/>
                              </w:rPr>
                              <w:t> </w:t>
                            </w:r>
                            <w:r>
                              <w:rPr/>
                              <w:t>efectivo</w:t>
                            </w:r>
                            <w:r>
                              <w:rPr>
                                <w:spacing w:val="-11"/>
                              </w:rPr>
                              <w:t> </w:t>
                            </w:r>
                            <w:r>
                              <w:rPr/>
                              <w:t>se</w:t>
                            </w:r>
                            <w:r>
                              <w:rPr>
                                <w:spacing w:val="-13"/>
                              </w:rPr>
                              <w:t> </w:t>
                            </w:r>
                            <w:r>
                              <w:rPr/>
                              <w:t>componen</w:t>
                            </w:r>
                            <w:r>
                              <w:rPr>
                                <w:spacing w:val="-12"/>
                              </w:rPr>
                              <w:t> </w:t>
                            </w:r>
                            <w:r>
                              <w:rPr/>
                              <w:t>de</w:t>
                            </w:r>
                            <w:r>
                              <w:rPr>
                                <w:spacing w:val="-13"/>
                              </w:rPr>
                              <w:t> </w:t>
                            </w:r>
                            <w:r>
                              <w:rPr/>
                              <w:t>efectivo,</w:t>
                            </w:r>
                            <w:r>
                              <w:rPr>
                                <w:spacing w:val="-11"/>
                              </w:rPr>
                              <w:t> </w:t>
                            </w:r>
                            <w:r>
                              <w:rPr/>
                              <w:t>saldos</w:t>
                            </w:r>
                            <w:r>
                              <w:rPr>
                                <w:spacing w:val="-11"/>
                              </w:rPr>
                              <w:t> </w:t>
                            </w:r>
                            <w:r>
                              <w:rPr/>
                              <w:t>en</w:t>
                            </w:r>
                            <w:r>
                              <w:rPr>
                                <w:spacing w:val="-12"/>
                              </w:rPr>
                              <w:t> </w:t>
                            </w:r>
                            <w:r>
                              <w:rPr/>
                              <w:t>bancos e inversiones en instrumentos del mercado monetario. Se incluye recursos depositados en moneda nacional bajo la forma de cuentas corrientes, en entidades bancarias domiciliadas en el territorio del país, además incluye, la totalidad de los fondos depositados en la Caja Única en moneda nacional a través de la Tesorería Nacional.</w:t>
                            </w:r>
                          </w:p>
                        </w:txbxContent>
                      </wps:txbx>
                      <wps:bodyPr wrap="square" lIns="0" tIns="0" rIns="0" bIns="0" rtlCol="0">
                        <a:noAutofit/>
                      </wps:bodyPr>
                    </wps:wsp>
                  </a:graphicData>
                </a:graphic>
              </wp:anchor>
            </w:drawing>
          </mc:Choice>
          <mc:Fallback>
            <w:pict>
              <v:shape style="position:absolute;margin-left:85.103996pt;margin-top:14.55625pt;width:450pt;height:119.9pt;mso-position-horizontal-relative:page;mso-position-vertical-relative:paragraph;z-index:-15556096;mso-wrap-distance-left:0;mso-wrap-distance-right:0" type="#_x0000_t202" id="docshape835" filled="false" stroked="true" strokeweight=".47998pt" strokecolor="#000000">
                <v:textbox inset="0,0,0,0">
                  <w:txbxContent>
                    <w:p>
                      <w:pPr>
                        <w:spacing w:before="0"/>
                        <w:ind w:left="103" w:right="0" w:firstLine="0"/>
                        <w:jc w:val="left"/>
                        <w:rPr>
                          <w:b/>
                          <w:sz w:val="22"/>
                        </w:rPr>
                      </w:pPr>
                      <w:r>
                        <w:rPr>
                          <w:b/>
                          <w:spacing w:val="-2"/>
                          <w:sz w:val="22"/>
                          <w:u w:val="single"/>
                        </w:rPr>
                        <w:t>Revelación:</w:t>
                      </w:r>
                    </w:p>
                    <w:p>
                      <w:pPr>
                        <w:spacing w:before="179"/>
                        <w:ind w:left="158" w:right="0" w:firstLine="0"/>
                        <w:jc w:val="left"/>
                        <w:rPr>
                          <w:b/>
                          <w:sz w:val="22"/>
                        </w:rPr>
                      </w:pPr>
                      <w:r>
                        <w:rPr>
                          <w:b/>
                          <w:sz w:val="22"/>
                          <w:u w:val="single"/>
                        </w:rPr>
                        <w:t>Efectivo</w:t>
                      </w:r>
                      <w:r>
                        <w:rPr>
                          <w:b/>
                          <w:spacing w:val="-3"/>
                          <w:sz w:val="22"/>
                          <w:u w:val="single"/>
                        </w:rPr>
                        <w:t> </w:t>
                      </w:r>
                      <w:r>
                        <w:rPr>
                          <w:b/>
                          <w:sz w:val="22"/>
                          <w:u w:val="single"/>
                        </w:rPr>
                        <w:t>y</w:t>
                      </w:r>
                      <w:r>
                        <w:rPr>
                          <w:b/>
                          <w:spacing w:val="-3"/>
                          <w:sz w:val="22"/>
                          <w:u w:val="single"/>
                        </w:rPr>
                        <w:t> </w:t>
                      </w:r>
                      <w:r>
                        <w:rPr>
                          <w:b/>
                          <w:sz w:val="22"/>
                          <w:u w:val="single"/>
                        </w:rPr>
                        <w:t>Equivalentes</w:t>
                      </w:r>
                      <w:r>
                        <w:rPr>
                          <w:b/>
                          <w:spacing w:val="-3"/>
                          <w:sz w:val="22"/>
                          <w:u w:val="single"/>
                        </w:rPr>
                        <w:t> </w:t>
                      </w:r>
                      <w:r>
                        <w:rPr>
                          <w:b/>
                          <w:sz w:val="22"/>
                          <w:u w:val="single"/>
                        </w:rPr>
                        <w:t>al</w:t>
                      </w:r>
                      <w:r>
                        <w:rPr>
                          <w:b/>
                          <w:spacing w:val="-3"/>
                          <w:sz w:val="22"/>
                          <w:u w:val="single"/>
                        </w:rPr>
                        <w:t> </w:t>
                      </w:r>
                      <w:r>
                        <w:rPr>
                          <w:b/>
                          <w:spacing w:val="-2"/>
                          <w:sz w:val="22"/>
                          <w:u w:val="single"/>
                        </w:rPr>
                        <w:t>efectivo</w:t>
                      </w:r>
                    </w:p>
                    <w:p>
                      <w:pPr>
                        <w:pStyle w:val="BodyText"/>
                        <w:spacing w:before="40"/>
                        <w:rPr>
                          <w:b/>
                        </w:rPr>
                      </w:pPr>
                    </w:p>
                    <w:p>
                      <w:pPr>
                        <w:pStyle w:val="BodyText"/>
                        <w:ind w:left="103" w:right="101"/>
                        <w:jc w:val="both"/>
                      </w:pPr>
                      <w:r>
                        <w:rPr/>
                        <w:t>Las</w:t>
                      </w:r>
                      <w:r>
                        <w:rPr>
                          <w:spacing w:val="-11"/>
                        </w:rPr>
                        <w:t> </w:t>
                      </w:r>
                      <w:r>
                        <w:rPr/>
                        <w:t>partidas</w:t>
                      </w:r>
                      <w:r>
                        <w:rPr>
                          <w:spacing w:val="-11"/>
                        </w:rPr>
                        <w:t> </w:t>
                      </w:r>
                      <w:r>
                        <w:rPr/>
                        <w:t>(o</w:t>
                      </w:r>
                      <w:r>
                        <w:rPr>
                          <w:spacing w:val="-13"/>
                        </w:rPr>
                        <w:t> </w:t>
                      </w:r>
                      <w:r>
                        <w:rPr/>
                        <w:t>rubros)</w:t>
                      </w:r>
                      <w:r>
                        <w:rPr>
                          <w:spacing w:val="-12"/>
                        </w:rPr>
                        <w:t> </w:t>
                      </w:r>
                      <w:r>
                        <w:rPr/>
                        <w:t>de</w:t>
                      </w:r>
                      <w:r>
                        <w:rPr>
                          <w:spacing w:val="-13"/>
                        </w:rPr>
                        <w:t> </w:t>
                      </w:r>
                      <w:r>
                        <w:rPr/>
                        <w:t>efectivo</w:t>
                      </w:r>
                      <w:r>
                        <w:rPr>
                          <w:spacing w:val="-11"/>
                        </w:rPr>
                        <w:t> </w:t>
                      </w:r>
                      <w:r>
                        <w:rPr/>
                        <w:t>y</w:t>
                      </w:r>
                      <w:r>
                        <w:rPr>
                          <w:spacing w:val="-13"/>
                        </w:rPr>
                        <w:t> </w:t>
                      </w:r>
                      <w:r>
                        <w:rPr/>
                        <w:t>equivalentes</w:t>
                      </w:r>
                      <w:r>
                        <w:rPr>
                          <w:spacing w:val="-11"/>
                        </w:rPr>
                        <w:t> </w:t>
                      </w:r>
                      <w:r>
                        <w:rPr/>
                        <w:t>al</w:t>
                      </w:r>
                      <w:r>
                        <w:rPr>
                          <w:spacing w:val="-12"/>
                        </w:rPr>
                        <w:t> </w:t>
                      </w:r>
                      <w:r>
                        <w:rPr/>
                        <w:t>efectivo</w:t>
                      </w:r>
                      <w:r>
                        <w:rPr>
                          <w:spacing w:val="-11"/>
                        </w:rPr>
                        <w:t> </w:t>
                      </w:r>
                      <w:r>
                        <w:rPr/>
                        <w:t>se</w:t>
                      </w:r>
                      <w:r>
                        <w:rPr>
                          <w:spacing w:val="-13"/>
                        </w:rPr>
                        <w:t> </w:t>
                      </w:r>
                      <w:r>
                        <w:rPr/>
                        <w:t>componen</w:t>
                      </w:r>
                      <w:r>
                        <w:rPr>
                          <w:spacing w:val="-12"/>
                        </w:rPr>
                        <w:t> </w:t>
                      </w:r>
                      <w:r>
                        <w:rPr/>
                        <w:t>de</w:t>
                      </w:r>
                      <w:r>
                        <w:rPr>
                          <w:spacing w:val="-13"/>
                        </w:rPr>
                        <w:t> </w:t>
                      </w:r>
                      <w:r>
                        <w:rPr/>
                        <w:t>efectivo,</w:t>
                      </w:r>
                      <w:r>
                        <w:rPr>
                          <w:spacing w:val="-11"/>
                        </w:rPr>
                        <w:t> </w:t>
                      </w:r>
                      <w:r>
                        <w:rPr/>
                        <w:t>saldos</w:t>
                      </w:r>
                      <w:r>
                        <w:rPr>
                          <w:spacing w:val="-11"/>
                        </w:rPr>
                        <w:t> </w:t>
                      </w:r>
                      <w:r>
                        <w:rPr/>
                        <w:t>en</w:t>
                      </w:r>
                      <w:r>
                        <w:rPr>
                          <w:spacing w:val="-12"/>
                        </w:rPr>
                        <w:t> </w:t>
                      </w:r>
                      <w:r>
                        <w:rPr/>
                        <w:t>bancos e inversiones en instrumentos del mercado monetario. Se incluye recursos depositados en moneda nacional bajo la forma de cuentas corrientes, en entidades bancarias domiciliadas en el territorio del país, además incluye, la totalidad de los fondos depositados en la Caja Única en moneda nacional a través de la Tesorería Nacional.</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698816">
                <wp:simplePos x="0" y="0"/>
                <wp:positionH relativeFrom="page">
                  <wp:posOffset>9525</wp:posOffset>
                </wp:positionH>
                <wp:positionV relativeFrom="page">
                  <wp:posOffset>297208</wp:posOffset>
                </wp:positionV>
                <wp:extent cx="7762875" cy="9748520"/>
                <wp:effectExtent l="0" t="0" r="0" b="0"/>
                <wp:wrapNone/>
                <wp:docPr id="861" name="Group 861"/>
                <wp:cNvGraphicFramePr>
                  <a:graphicFrameLocks/>
                </wp:cNvGraphicFramePr>
                <a:graphic>
                  <a:graphicData uri="http://schemas.microsoft.com/office/word/2010/wordprocessingGroup">
                    <wpg:wgp>
                      <wpg:cNvPr id="861" name="Group 861"/>
                      <wpg:cNvGrpSpPr/>
                      <wpg:grpSpPr>
                        <a:xfrm>
                          <a:off x="0" y="0"/>
                          <a:ext cx="7762875" cy="9748520"/>
                          <a:chExt cx="7762875" cy="9748520"/>
                        </a:xfrm>
                      </wpg:grpSpPr>
                      <pic:pic>
                        <pic:nvPicPr>
                          <pic:cNvPr id="862" name="Image 862"/>
                          <pic:cNvPicPr/>
                        </pic:nvPicPr>
                        <pic:blipFill>
                          <a:blip r:embed="rId5" cstate="print"/>
                          <a:stretch>
                            <a:fillRect/>
                          </a:stretch>
                        </pic:blipFill>
                        <pic:spPr>
                          <a:xfrm>
                            <a:off x="0" y="0"/>
                            <a:ext cx="7762874" cy="9748489"/>
                          </a:xfrm>
                          <a:prstGeom prst="rect">
                            <a:avLst/>
                          </a:prstGeom>
                        </pic:spPr>
                      </pic:pic>
                      <wps:wsp>
                        <wps:cNvPr id="863" name="Graphic 86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864" name="Image 864"/>
                          <pic:cNvPicPr/>
                        </pic:nvPicPr>
                        <pic:blipFill>
                          <a:blip r:embed="rId107" cstate="print"/>
                          <a:stretch>
                            <a:fillRect/>
                          </a:stretch>
                        </pic:blipFill>
                        <pic:spPr>
                          <a:xfrm>
                            <a:off x="1620138" y="2601820"/>
                            <a:ext cx="4614545" cy="121539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617664" id="docshapegroup836" coordorigin="15,468" coordsize="12225,15352">
                <v:shape style="position:absolute;left:15;top:468;width:12225;height:15352" type="#_x0000_t75" id="docshape837" stroked="false">
                  <v:imagedata r:id="rId5" o:title=""/>
                </v:shape>
                <v:rect style="position:absolute;left:1673;top:2028;width:8897;height:15" id="docshape838" filled="true" fillcolor="#000000" stroked="false">
                  <v:fill type="solid"/>
                </v:rect>
                <v:shape style="position:absolute;left:2566;top:4565;width:7267;height:1914" type="#_x0000_t75" id="docshape839" stroked="false">
                  <v:imagedata r:id="rId107" o:title=""/>
                </v:shape>
                <w10:wrap type="none"/>
              </v:group>
            </w:pict>
          </mc:Fallback>
        </mc:AlternateContent>
      </w:r>
      <w:r>
        <w:rPr>
          <w:color w:val="172951"/>
          <w:sz w:val="20"/>
        </w:rPr>
        <w:t>Pág.</w:t>
      </w:r>
      <w:r>
        <w:rPr>
          <w:color w:val="172951"/>
          <w:spacing w:val="-7"/>
          <w:sz w:val="20"/>
        </w:rPr>
        <w:t> </w:t>
      </w:r>
      <w:r>
        <w:rPr>
          <w:color w:val="172951"/>
          <w:spacing w:val="-5"/>
          <w:sz w:val="20"/>
        </w:rPr>
        <w:t>173</w:t>
      </w:r>
    </w:p>
    <w:p>
      <w:pPr>
        <w:pStyle w:val="BodyText"/>
        <w:spacing w:before="10"/>
        <w:rPr>
          <w:sz w:val="16"/>
        </w:rPr>
      </w:pPr>
      <w:r>
        <w:rPr>
          <w:sz w:val="16"/>
        </w:rPr>
        <mc:AlternateContent>
          <mc:Choice Requires="wps">
            <w:drawing>
              <wp:anchor distT="0" distB="0" distL="0" distR="0" allowOverlap="1" layoutInCell="1" locked="0" behindDoc="1" simplePos="0" relativeHeight="487761408">
                <wp:simplePos x="0" y="0"/>
                <wp:positionH relativeFrom="page">
                  <wp:posOffset>1080820</wp:posOffset>
                </wp:positionH>
                <wp:positionV relativeFrom="paragraph">
                  <wp:posOffset>141144</wp:posOffset>
                </wp:positionV>
                <wp:extent cx="5715000" cy="3423285"/>
                <wp:effectExtent l="0" t="0" r="0" b="0"/>
                <wp:wrapTopAndBottom/>
                <wp:docPr id="865" name="Textbox 865"/>
                <wp:cNvGraphicFramePr>
                  <a:graphicFrameLocks/>
                </wp:cNvGraphicFramePr>
                <a:graphic>
                  <a:graphicData uri="http://schemas.microsoft.com/office/word/2010/wordprocessingShape">
                    <wps:wsp>
                      <wps:cNvPr id="865" name="Textbox 865"/>
                      <wps:cNvSpPr txBox="1"/>
                      <wps:spPr>
                        <a:xfrm>
                          <a:off x="0" y="0"/>
                          <a:ext cx="5715000" cy="3423285"/>
                        </a:xfrm>
                        <a:prstGeom prst="rect">
                          <a:avLst/>
                        </a:prstGeom>
                        <a:ln w="6095">
                          <a:solidFill>
                            <a:srgbClr val="000000"/>
                          </a:solidFill>
                          <a:prstDash val="solid"/>
                        </a:ln>
                      </wps:spPr>
                      <wps:txbx>
                        <w:txbxContent>
                          <w:p>
                            <w:pPr>
                              <w:pStyle w:val="BodyText"/>
                              <w:ind w:left="103"/>
                            </w:pPr>
                            <w:r>
                              <w:rPr/>
                              <w:t>La</w:t>
                            </w:r>
                            <w:r>
                              <w:rPr>
                                <w:spacing w:val="37"/>
                              </w:rPr>
                              <w:t> </w:t>
                            </w:r>
                            <w:r>
                              <w:rPr/>
                              <w:t>variación</w:t>
                            </w:r>
                            <w:r>
                              <w:rPr>
                                <w:spacing w:val="38"/>
                              </w:rPr>
                              <w:t> </w:t>
                            </w:r>
                            <w:r>
                              <w:rPr/>
                              <w:t>del</w:t>
                            </w:r>
                            <w:r>
                              <w:rPr>
                                <w:spacing w:val="37"/>
                              </w:rPr>
                              <w:t> </w:t>
                            </w:r>
                            <w:r>
                              <w:rPr/>
                              <w:t>efectivo</w:t>
                            </w:r>
                            <w:r>
                              <w:rPr>
                                <w:spacing w:val="38"/>
                              </w:rPr>
                              <w:t> </w:t>
                            </w:r>
                            <w:r>
                              <w:rPr/>
                              <w:t>con</w:t>
                            </w:r>
                            <w:r>
                              <w:rPr>
                                <w:spacing w:val="38"/>
                              </w:rPr>
                              <w:t> </w:t>
                            </w:r>
                            <w:r>
                              <w:rPr/>
                              <w:t>respecto</w:t>
                            </w:r>
                            <w:r>
                              <w:rPr>
                                <w:spacing w:val="38"/>
                              </w:rPr>
                              <w:t> </w:t>
                            </w:r>
                            <w:r>
                              <w:rPr/>
                              <w:t>al</w:t>
                            </w:r>
                            <w:r>
                              <w:rPr>
                                <w:spacing w:val="37"/>
                              </w:rPr>
                              <w:t> </w:t>
                            </w:r>
                            <w:r>
                              <w:rPr/>
                              <w:t>año</w:t>
                            </w:r>
                            <w:r>
                              <w:rPr>
                                <w:spacing w:val="38"/>
                              </w:rPr>
                              <w:t> </w:t>
                            </w:r>
                            <w:r>
                              <w:rPr/>
                              <w:t>anterior</w:t>
                            </w:r>
                            <w:r>
                              <w:rPr>
                                <w:spacing w:val="37"/>
                              </w:rPr>
                              <w:t> </w:t>
                            </w:r>
                            <w:r>
                              <w:rPr/>
                              <w:t>presenta</w:t>
                            </w:r>
                            <w:r>
                              <w:rPr>
                                <w:spacing w:val="37"/>
                              </w:rPr>
                              <w:t> </w:t>
                            </w:r>
                            <w:r>
                              <w:rPr/>
                              <w:t>un</w:t>
                            </w:r>
                            <w:r>
                              <w:rPr>
                                <w:spacing w:val="37"/>
                              </w:rPr>
                              <w:t> </w:t>
                            </w:r>
                            <w:r>
                              <w:rPr/>
                              <w:t>decremento</w:t>
                            </w:r>
                            <w:r>
                              <w:rPr>
                                <w:spacing w:val="36"/>
                              </w:rPr>
                              <w:t> </w:t>
                            </w:r>
                            <w:r>
                              <w:rPr/>
                              <w:t>del</w:t>
                            </w:r>
                            <w:r>
                              <w:rPr>
                                <w:spacing w:val="40"/>
                              </w:rPr>
                              <w:t> </w:t>
                            </w:r>
                            <w:r>
                              <w:rPr/>
                              <w:t>-14,43%</w:t>
                            </w:r>
                            <w:r>
                              <w:rPr>
                                <w:spacing w:val="37"/>
                              </w:rPr>
                              <w:t> </w:t>
                            </w:r>
                            <w:r>
                              <w:rPr/>
                              <w:t>con respecto al periodo 2025.</w:t>
                            </w:r>
                          </w:p>
                          <w:p>
                            <w:pPr>
                              <w:pStyle w:val="BodyText"/>
                              <w:spacing w:before="161"/>
                              <w:ind w:left="103" w:right="644"/>
                            </w:pPr>
                            <w:r>
                              <w:rPr/>
                              <w:t>En</w:t>
                            </w:r>
                            <w:r>
                              <w:rPr>
                                <w:spacing w:val="-2"/>
                              </w:rPr>
                              <w:t> </w:t>
                            </w:r>
                            <w:r>
                              <w:rPr/>
                              <w:t>cuanto</w:t>
                            </w:r>
                            <w:r>
                              <w:rPr>
                                <w:spacing w:val="-2"/>
                              </w:rPr>
                              <w:t> </w:t>
                            </w:r>
                            <w:r>
                              <w:rPr/>
                              <w:t>al</w:t>
                            </w:r>
                            <w:r>
                              <w:rPr>
                                <w:spacing w:val="-2"/>
                              </w:rPr>
                              <w:t> </w:t>
                            </w:r>
                            <w:r>
                              <w:rPr/>
                              <w:t>efectivo</w:t>
                            </w:r>
                            <w:r>
                              <w:rPr>
                                <w:spacing w:val="-4"/>
                              </w:rPr>
                              <w:t> </w:t>
                            </w:r>
                            <w:r>
                              <w:rPr/>
                              <w:t>se</w:t>
                            </w:r>
                            <w:r>
                              <w:rPr>
                                <w:spacing w:val="-3"/>
                              </w:rPr>
                              <w:t> </w:t>
                            </w:r>
                            <w:r>
                              <w:rPr/>
                              <w:t>mantiene</w:t>
                            </w:r>
                            <w:r>
                              <w:rPr>
                                <w:spacing w:val="-3"/>
                              </w:rPr>
                              <w:t> </w:t>
                            </w:r>
                            <w:r>
                              <w:rPr/>
                              <w:t>distribuido</w:t>
                            </w:r>
                            <w:r>
                              <w:rPr>
                                <w:spacing w:val="-2"/>
                              </w:rPr>
                              <w:t> </w:t>
                            </w:r>
                            <w:r>
                              <w:rPr/>
                              <w:t>en</w:t>
                            </w:r>
                            <w:r>
                              <w:rPr>
                                <w:spacing w:val="-4"/>
                              </w:rPr>
                              <w:t> </w:t>
                            </w:r>
                            <w:r>
                              <w:rPr/>
                              <w:t>sus</w:t>
                            </w:r>
                            <w:r>
                              <w:rPr>
                                <w:spacing w:val="-2"/>
                              </w:rPr>
                              <w:t> </w:t>
                            </w:r>
                            <w:r>
                              <w:rPr/>
                              <w:t>cuentas</w:t>
                            </w:r>
                            <w:r>
                              <w:rPr>
                                <w:spacing w:val="-3"/>
                              </w:rPr>
                              <w:t> </w:t>
                            </w:r>
                            <w:r>
                              <w:rPr/>
                              <w:t>corrientes</w:t>
                            </w:r>
                            <w:r>
                              <w:rPr>
                                <w:spacing w:val="-2"/>
                              </w:rPr>
                              <w:t> </w:t>
                            </w:r>
                            <w:r>
                              <w:rPr/>
                              <w:t>como</w:t>
                            </w:r>
                            <w:r>
                              <w:rPr>
                                <w:spacing w:val="-4"/>
                              </w:rPr>
                              <w:t> </w:t>
                            </w:r>
                            <w:r>
                              <w:rPr/>
                              <w:t>en</w:t>
                            </w:r>
                            <w:r>
                              <w:rPr>
                                <w:spacing w:val="-2"/>
                              </w:rPr>
                              <w:t> </w:t>
                            </w:r>
                            <w:r>
                              <w:rPr/>
                              <w:t>Caja</w:t>
                            </w:r>
                            <w:r>
                              <w:rPr>
                                <w:spacing w:val="-3"/>
                              </w:rPr>
                              <w:t> </w:t>
                            </w:r>
                            <w:r>
                              <w:rPr/>
                              <w:t>Única-Tesorería Nacional.</w:t>
                            </w:r>
                          </w:p>
                          <w:p>
                            <w:pPr>
                              <w:pStyle w:val="BodyText"/>
                              <w:spacing w:before="160"/>
                              <w:ind w:left="103" w:right="99"/>
                              <w:jc w:val="both"/>
                            </w:pPr>
                            <w:r>
                              <w:rPr/>
                              <w:t>Al</w:t>
                            </w:r>
                            <w:r>
                              <w:rPr>
                                <w:spacing w:val="-12"/>
                              </w:rPr>
                              <w:t> </w:t>
                            </w:r>
                            <w:r>
                              <w:rPr/>
                              <w:t>cierre</w:t>
                            </w:r>
                            <w:r>
                              <w:rPr>
                                <w:spacing w:val="-13"/>
                              </w:rPr>
                              <w:t> </w:t>
                            </w:r>
                            <w:r>
                              <w:rPr/>
                              <w:t>de</w:t>
                            </w:r>
                            <w:r>
                              <w:rPr>
                                <w:spacing w:val="-14"/>
                              </w:rPr>
                              <w:t> </w:t>
                            </w:r>
                            <w:r>
                              <w:rPr/>
                              <w:t>julio</w:t>
                            </w:r>
                            <w:r>
                              <w:rPr>
                                <w:spacing w:val="-11"/>
                              </w:rPr>
                              <w:t> </w:t>
                            </w:r>
                            <w:r>
                              <w:rPr/>
                              <w:t>2026</w:t>
                            </w:r>
                            <w:r>
                              <w:rPr>
                                <w:spacing w:val="-13"/>
                              </w:rPr>
                              <w:t> </w:t>
                            </w:r>
                            <w:r>
                              <w:rPr/>
                              <w:t>se</w:t>
                            </w:r>
                            <w:r>
                              <w:rPr>
                                <w:spacing w:val="-13"/>
                              </w:rPr>
                              <w:t> </w:t>
                            </w:r>
                            <w:r>
                              <w:rPr/>
                              <w:t>contó</w:t>
                            </w:r>
                            <w:r>
                              <w:rPr>
                                <w:spacing w:val="-11"/>
                              </w:rPr>
                              <w:t> </w:t>
                            </w:r>
                            <w:r>
                              <w:rPr/>
                              <w:t>con</w:t>
                            </w:r>
                            <w:r>
                              <w:rPr>
                                <w:spacing w:val="-12"/>
                              </w:rPr>
                              <w:t> </w:t>
                            </w:r>
                            <w:r>
                              <w:rPr/>
                              <w:t>el</w:t>
                            </w:r>
                            <w:r>
                              <w:rPr>
                                <w:spacing w:val="-12"/>
                              </w:rPr>
                              <w:t> </w:t>
                            </w:r>
                            <w:r>
                              <w:rPr/>
                              <w:t>efectivo</w:t>
                            </w:r>
                            <w:r>
                              <w:rPr>
                                <w:spacing w:val="-11"/>
                              </w:rPr>
                              <w:t> </w:t>
                            </w:r>
                            <w:r>
                              <w:rPr/>
                              <w:t>necesario</w:t>
                            </w:r>
                            <w:r>
                              <w:rPr>
                                <w:spacing w:val="-13"/>
                              </w:rPr>
                              <w:t> </w:t>
                            </w:r>
                            <w:r>
                              <w:rPr/>
                              <w:t>para</w:t>
                            </w:r>
                            <w:r>
                              <w:rPr>
                                <w:spacing w:val="-12"/>
                              </w:rPr>
                              <w:t> </w:t>
                            </w:r>
                            <w:r>
                              <w:rPr/>
                              <w:t>atender</w:t>
                            </w:r>
                            <w:r>
                              <w:rPr>
                                <w:spacing w:val="-12"/>
                              </w:rPr>
                              <w:t> </w:t>
                            </w:r>
                            <w:r>
                              <w:rPr/>
                              <w:t>los</w:t>
                            </w:r>
                            <w:r>
                              <w:rPr>
                                <w:spacing w:val="-11"/>
                              </w:rPr>
                              <w:t> </w:t>
                            </w:r>
                            <w:r>
                              <w:rPr/>
                              <w:t>compromisos</w:t>
                            </w:r>
                            <w:r>
                              <w:rPr>
                                <w:spacing w:val="-11"/>
                              </w:rPr>
                              <w:t> </w:t>
                            </w:r>
                            <w:r>
                              <w:rPr/>
                              <w:t>institucionales. En lo concerniente a los saldos equivalente de</w:t>
                            </w:r>
                            <w:r>
                              <w:rPr>
                                <w:spacing w:val="-1"/>
                              </w:rPr>
                              <w:t> </w:t>
                            </w:r>
                            <w:r>
                              <w:rPr/>
                              <w:t>efectivo no disponibles, a julio del 2026, se indica que se contó con el efectivo necesario para atender los compromisos institucionales.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4"/>
                            </w:pPr>
                          </w:p>
                          <w:p>
                            <w:pPr>
                              <w:pStyle w:val="BodyText"/>
                              <w:spacing w:line="259" w:lineRule="auto"/>
                              <w:ind w:left="103" w:right="104"/>
                              <w:jc w:val="both"/>
                            </w:pPr>
                            <w:r>
                              <w:rPr/>
                              <w:t>El</w:t>
                            </w:r>
                            <w:r>
                              <w:rPr>
                                <w:spacing w:val="-9"/>
                              </w:rPr>
                              <w:t> </w:t>
                            </w:r>
                            <w:r>
                              <w:rPr/>
                              <w:t>IMAS</w:t>
                            </w:r>
                            <w:r>
                              <w:rPr>
                                <w:spacing w:val="-9"/>
                              </w:rPr>
                              <w:t> </w:t>
                            </w:r>
                            <w:r>
                              <w:rPr/>
                              <w:t>NO</w:t>
                            </w:r>
                            <w:r>
                              <w:rPr>
                                <w:spacing w:val="-10"/>
                              </w:rPr>
                              <w:t> </w:t>
                            </w:r>
                            <w:r>
                              <w:rPr/>
                              <w:t>cuenta</w:t>
                            </w:r>
                            <w:r>
                              <w:rPr>
                                <w:spacing w:val="-8"/>
                              </w:rPr>
                              <w:t> </w:t>
                            </w:r>
                            <w:r>
                              <w:rPr/>
                              <w:t>con</w:t>
                            </w:r>
                            <w:r>
                              <w:rPr>
                                <w:spacing w:val="-10"/>
                              </w:rPr>
                              <w:t> </w:t>
                            </w:r>
                            <w:r>
                              <w:rPr/>
                              <w:t>préstamos</w:t>
                            </w:r>
                            <w:r>
                              <w:rPr>
                                <w:spacing w:val="-9"/>
                              </w:rPr>
                              <w:t> </w:t>
                            </w:r>
                            <w:r>
                              <w:rPr/>
                              <w:t>y</w:t>
                            </w:r>
                            <w:r>
                              <w:rPr>
                                <w:spacing w:val="-9"/>
                              </w:rPr>
                              <w:t> </w:t>
                            </w:r>
                            <w:r>
                              <w:rPr/>
                              <w:t>posee</w:t>
                            </w:r>
                            <w:r>
                              <w:rPr>
                                <w:spacing w:val="-9"/>
                              </w:rPr>
                              <w:t> </w:t>
                            </w:r>
                            <w:r>
                              <w:rPr/>
                              <w:t>una</w:t>
                            </w:r>
                            <w:r>
                              <w:rPr>
                                <w:spacing w:val="-10"/>
                              </w:rPr>
                              <w:t> </w:t>
                            </w:r>
                            <w:r>
                              <w:rPr/>
                              <w:t>posición</w:t>
                            </w:r>
                            <w:r>
                              <w:rPr>
                                <w:spacing w:val="-8"/>
                              </w:rPr>
                              <w:t> </w:t>
                            </w:r>
                            <w:r>
                              <w:rPr/>
                              <w:t>financiera</w:t>
                            </w:r>
                            <w:r>
                              <w:rPr>
                                <w:spacing w:val="-9"/>
                              </w:rPr>
                              <w:t> </w:t>
                            </w:r>
                            <w:r>
                              <w:rPr/>
                              <w:t>y</w:t>
                            </w:r>
                            <w:r>
                              <w:rPr>
                                <w:spacing w:val="-9"/>
                              </w:rPr>
                              <w:t> </w:t>
                            </w:r>
                            <w:r>
                              <w:rPr/>
                              <w:t>liquidez</w:t>
                            </w:r>
                            <w:r>
                              <w:rPr>
                                <w:spacing w:val="-10"/>
                              </w:rPr>
                              <w:t> </w:t>
                            </w:r>
                            <w:r>
                              <w:rPr/>
                              <w:t>que</w:t>
                            </w:r>
                            <w:r>
                              <w:rPr>
                                <w:spacing w:val="-9"/>
                              </w:rPr>
                              <w:t> </w:t>
                            </w:r>
                            <w:r>
                              <w:rPr/>
                              <w:t>le</w:t>
                            </w:r>
                            <w:r>
                              <w:rPr>
                                <w:spacing w:val="-9"/>
                              </w:rPr>
                              <w:t> </w:t>
                            </w:r>
                            <w:r>
                              <w:rPr/>
                              <w:t>permita</w:t>
                            </w:r>
                            <w:r>
                              <w:rPr>
                                <w:spacing w:val="-9"/>
                              </w:rPr>
                              <w:t> </w:t>
                            </w:r>
                            <w:r>
                              <w:rPr/>
                              <w:t>cancelar sus compromisos financieros.</w:t>
                            </w:r>
                          </w:p>
                        </w:txbxContent>
                      </wps:txbx>
                      <wps:bodyPr wrap="square" lIns="0" tIns="0" rIns="0" bIns="0" rtlCol="0">
                        <a:noAutofit/>
                      </wps:bodyPr>
                    </wps:wsp>
                  </a:graphicData>
                </a:graphic>
              </wp:anchor>
            </w:drawing>
          </mc:Choice>
          <mc:Fallback>
            <w:pict>
              <v:shape style="position:absolute;margin-left:85.103996pt;margin-top:11.11375pt;width:450pt;height:269.55pt;mso-position-horizontal-relative:page;mso-position-vertical-relative:paragraph;z-index:-15555072;mso-wrap-distance-left:0;mso-wrap-distance-right:0" type="#_x0000_t202" id="docshape840" filled="false" stroked="true" strokeweight=".47998pt" strokecolor="#000000">
                <v:textbox inset="0,0,0,0">
                  <w:txbxContent>
                    <w:p>
                      <w:pPr>
                        <w:pStyle w:val="BodyText"/>
                        <w:ind w:left="103"/>
                      </w:pPr>
                      <w:r>
                        <w:rPr/>
                        <w:t>La</w:t>
                      </w:r>
                      <w:r>
                        <w:rPr>
                          <w:spacing w:val="37"/>
                        </w:rPr>
                        <w:t> </w:t>
                      </w:r>
                      <w:r>
                        <w:rPr/>
                        <w:t>variación</w:t>
                      </w:r>
                      <w:r>
                        <w:rPr>
                          <w:spacing w:val="38"/>
                        </w:rPr>
                        <w:t> </w:t>
                      </w:r>
                      <w:r>
                        <w:rPr/>
                        <w:t>del</w:t>
                      </w:r>
                      <w:r>
                        <w:rPr>
                          <w:spacing w:val="37"/>
                        </w:rPr>
                        <w:t> </w:t>
                      </w:r>
                      <w:r>
                        <w:rPr/>
                        <w:t>efectivo</w:t>
                      </w:r>
                      <w:r>
                        <w:rPr>
                          <w:spacing w:val="38"/>
                        </w:rPr>
                        <w:t> </w:t>
                      </w:r>
                      <w:r>
                        <w:rPr/>
                        <w:t>con</w:t>
                      </w:r>
                      <w:r>
                        <w:rPr>
                          <w:spacing w:val="38"/>
                        </w:rPr>
                        <w:t> </w:t>
                      </w:r>
                      <w:r>
                        <w:rPr/>
                        <w:t>respecto</w:t>
                      </w:r>
                      <w:r>
                        <w:rPr>
                          <w:spacing w:val="38"/>
                        </w:rPr>
                        <w:t> </w:t>
                      </w:r>
                      <w:r>
                        <w:rPr/>
                        <w:t>al</w:t>
                      </w:r>
                      <w:r>
                        <w:rPr>
                          <w:spacing w:val="37"/>
                        </w:rPr>
                        <w:t> </w:t>
                      </w:r>
                      <w:r>
                        <w:rPr/>
                        <w:t>año</w:t>
                      </w:r>
                      <w:r>
                        <w:rPr>
                          <w:spacing w:val="38"/>
                        </w:rPr>
                        <w:t> </w:t>
                      </w:r>
                      <w:r>
                        <w:rPr/>
                        <w:t>anterior</w:t>
                      </w:r>
                      <w:r>
                        <w:rPr>
                          <w:spacing w:val="37"/>
                        </w:rPr>
                        <w:t> </w:t>
                      </w:r>
                      <w:r>
                        <w:rPr/>
                        <w:t>presenta</w:t>
                      </w:r>
                      <w:r>
                        <w:rPr>
                          <w:spacing w:val="37"/>
                        </w:rPr>
                        <w:t> </w:t>
                      </w:r>
                      <w:r>
                        <w:rPr/>
                        <w:t>un</w:t>
                      </w:r>
                      <w:r>
                        <w:rPr>
                          <w:spacing w:val="37"/>
                        </w:rPr>
                        <w:t> </w:t>
                      </w:r>
                      <w:r>
                        <w:rPr/>
                        <w:t>decremento</w:t>
                      </w:r>
                      <w:r>
                        <w:rPr>
                          <w:spacing w:val="36"/>
                        </w:rPr>
                        <w:t> </w:t>
                      </w:r>
                      <w:r>
                        <w:rPr/>
                        <w:t>del</w:t>
                      </w:r>
                      <w:r>
                        <w:rPr>
                          <w:spacing w:val="40"/>
                        </w:rPr>
                        <w:t> </w:t>
                      </w:r>
                      <w:r>
                        <w:rPr/>
                        <w:t>-14,43%</w:t>
                      </w:r>
                      <w:r>
                        <w:rPr>
                          <w:spacing w:val="37"/>
                        </w:rPr>
                        <w:t> </w:t>
                      </w:r>
                      <w:r>
                        <w:rPr/>
                        <w:t>con respecto al periodo 2025.</w:t>
                      </w:r>
                    </w:p>
                    <w:p>
                      <w:pPr>
                        <w:pStyle w:val="BodyText"/>
                        <w:spacing w:before="161"/>
                        <w:ind w:left="103" w:right="644"/>
                      </w:pPr>
                      <w:r>
                        <w:rPr/>
                        <w:t>En</w:t>
                      </w:r>
                      <w:r>
                        <w:rPr>
                          <w:spacing w:val="-2"/>
                        </w:rPr>
                        <w:t> </w:t>
                      </w:r>
                      <w:r>
                        <w:rPr/>
                        <w:t>cuanto</w:t>
                      </w:r>
                      <w:r>
                        <w:rPr>
                          <w:spacing w:val="-2"/>
                        </w:rPr>
                        <w:t> </w:t>
                      </w:r>
                      <w:r>
                        <w:rPr/>
                        <w:t>al</w:t>
                      </w:r>
                      <w:r>
                        <w:rPr>
                          <w:spacing w:val="-2"/>
                        </w:rPr>
                        <w:t> </w:t>
                      </w:r>
                      <w:r>
                        <w:rPr/>
                        <w:t>efectivo</w:t>
                      </w:r>
                      <w:r>
                        <w:rPr>
                          <w:spacing w:val="-4"/>
                        </w:rPr>
                        <w:t> </w:t>
                      </w:r>
                      <w:r>
                        <w:rPr/>
                        <w:t>se</w:t>
                      </w:r>
                      <w:r>
                        <w:rPr>
                          <w:spacing w:val="-3"/>
                        </w:rPr>
                        <w:t> </w:t>
                      </w:r>
                      <w:r>
                        <w:rPr/>
                        <w:t>mantiene</w:t>
                      </w:r>
                      <w:r>
                        <w:rPr>
                          <w:spacing w:val="-3"/>
                        </w:rPr>
                        <w:t> </w:t>
                      </w:r>
                      <w:r>
                        <w:rPr/>
                        <w:t>distribuido</w:t>
                      </w:r>
                      <w:r>
                        <w:rPr>
                          <w:spacing w:val="-2"/>
                        </w:rPr>
                        <w:t> </w:t>
                      </w:r>
                      <w:r>
                        <w:rPr/>
                        <w:t>en</w:t>
                      </w:r>
                      <w:r>
                        <w:rPr>
                          <w:spacing w:val="-4"/>
                        </w:rPr>
                        <w:t> </w:t>
                      </w:r>
                      <w:r>
                        <w:rPr/>
                        <w:t>sus</w:t>
                      </w:r>
                      <w:r>
                        <w:rPr>
                          <w:spacing w:val="-2"/>
                        </w:rPr>
                        <w:t> </w:t>
                      </w:r>
                      <w:r>
                        <w:rPr/>
                        <w:t>cuentas</w:t>
                      </w:r>
                      <w:r>
                        <w:rPr>
                          <w:spacing w:val="-3"/>
                        </w:rPr>
                        <w:t> </w:t>
                      </w:r>
                      <w:r>
                        <w:rPr/>
                        <w:t>corrientes</w:t>
                      </w:r>
                      <w:r>
                        <w:rPr>
                          <w:spacing w:val="-2"/>
                        </w:rPr>
                        <w:t> </w:t>
                      </w:r>
                      <w:r>
                        <w:rPr/>
                        <w:t>como</w:t>
                      </w:r>
                      <w:r>
                        <w:rPr>
                          <w:spacing w:val="-4"/>
                        </w:rPr>
                        <w:t> </w:t>
                      </w:r>
                      <w:r>
                        <w:rPr/>
                        <w:t>en</w:t>
                      </w:r>
                      <w:r>
                        <w:rPr>
                          <w:spacing w:val="-2"/>
                        </w:rPr>
                        <w:t> </w:t>
                      </w:r>
                      <w:r>
                        <w:rPr/>
                        <w:t>Caja</w:t>
                      </w:r>
                      <w:r>
                        <w:rPr>
                          <w:spacing w:val="-3"/>
                        </w:rPr>
                        <w:t> </w:t>
                      </w:r>
                      <w:r>
                        <w:rPr/>
                        <w:t>Única-Tesorería Nacional.</w:t>
                      </w:r>
                    </w:p>
                    <w:p>
                      <w:pPr>
                        <w:pStyle w:val="BodyText"/>
                        <w:spacing w:before="160"/>
                        <w:ind w:left="103" w:right="99"/>
                        <w:jc w:val="both"/>
                      </w:pPr>
                      <w:r>
                        <w:rPr/>
                        <w:t>Al</w:t>
                      </w:r>
                      <w:r>
                        <w:rPr>
                          <w:spacing w:val="-12"/>
                        </w:rPr>
                        <w:t> </w:t>
                      </w:r>
                      <w:r>
                        <w:rPr/>
                        <w:t>cierre</w:t>
                      </w:r>
                      <w:r>
                        <w:rPr>
                          <w:spacing w:val="-13"/>
                        </w:rPr>
                        <w:t> </w:t>
                      </w:r>
                      <w:r>
                        <w:rPr/>
                        <w:t>de</w:t>
                      </w:r>
                      <w:r>
                        <w:rPr>
                          <w:spacing w:val="-14"/>
                        </w:rPr>
                        <w:t> </w:t>
                      </w:r>
                      <w:r>
                        <w:rPr/>
                        <w:t>julio</w:t>
                      </w:r>
                      <w:r>
                        <w:rPr>
                          <w:spacing w:val="-11"/>
                        </w:rPr>
                        <w:t> </w:t>
                      </w:r>
                      <w:r>
                        <w:rPr/>
                        <w:t>2026</w:t>
                      </w:r>
                      <w:r>
                        <w:rPr>
                          <w:spacing w:val="-13"/>
                        </w:rPr>
                        <w:t> </w:t>
                      </w:r>
                      <w:r>
                        <w:rPr/>
                        <w:t>se</w:t>
                      </w:r>
                      <w:r>
                        <w:rPr>
                          <w:spacing w:val="-13"/>
                        </w:rPr>
                        <w:t> </w:t>
                      </w:r>
                      <w:r>
                        <w:rPr/>
                        <w:t>contó</w:t>
                      </w:r>
                      <w:r>
                        <w:rPr>
                          <w:spacing w:val="-11"/>
                        </w:rPr>
                        <w:t> </w:t>
                      </w:r>
                      <w:r>
                        <w:rPr/>
                        <w:t>con</w:t>
                      </w:r>
                      <w:r>
                        <w:rPr>
                          <w:spacing w:val="-12"/>
                        </w:rPr>
                        <w:t> </w:t>
                      </w:r>
                      <w:r>
                        <w:rPr/>
                        <w:t>el</w:t>
                      </w:r>
                      <w:r>
                        <w:rPr>
                          <w:spacing w:val="-12"/>
                        </w:rPr>
                        <w:t> </w:t>
                      </w:r>
                      <w:r>
                        <w:rPr/>
                        <w:t>efectivo</w:t>
                      </w:r>
                      <w:r>
                        <w:rPr>
                          <w:spacing w:val="-11"/>
                        </w:rPr>
                        <w:t> </w:t>
                      </w:r>
                      <w:r>
                        <w:rPr/>
                        <w:t>necesario</w:t>
                      </w:r>
                      <w:r>
                        <w:rPr>
                          <w:spacing w:val="-13"/>
                        </w:rPr>
                        <w:t> </w:t>
                      </w:r>
                      <w:r>
                        <w:rPr/>
                        <w:t>para</w:t>
                      </w:r>
                      <w:r>
                        <w:rPr>
                          <w:spacing w:val="-12"/>
                        </w:rPr>
                        <w:t> </w:t>
                      </w:r>
                      <w:r>
                        <w:rPr/>
                        <w:t>atender</w:t>
                      </w:r>
                      <w:r>
                        <w:rPr>
                          <w:spacing w:val="-12"/>
                        </w:rPr>
                        <w:t> </w:t>
                      </w:r>
                      <w:r>
                        <w:rPr/>
                        <w:t>los</w:t>
                      </w:r>
                      <w:r>
                        <w:rPr>
                          <w:spacing w:val="-11"/>
                        </w:rPr>
                        <w:t> </w:t>
                      </w:r>
                      <w:r>
                        <w:rPr/>
                        <w:t>compromisos</w:t>
                      </w:r>
                      <w:r>
                        <w:rPr>
                          <w:spacing w:val="-11"/>
                        </w:rPr>
                        <w:t> </w:t>
                      </w:r>
                      <w:r>
                        <w:rPr/>
                        <w:t>institucionales. En lo concerniente a los saldos equivalente de</w:t>
                      </w:r>
                      <w:r>
                        <w:rPr>
                          <w:spacing w:val="-1"/>
                        </w:rPr>
                        <w:t> </w:t>
                      </w:r>
                      <w:r>
                        <w:rPr/>
                        <w:t>efectivo no disponibles, a julio del 2026, se indica que se contó con el efectivo necesario para atender los compromisos institucionales.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4"/>
                      </w:pPr>
                    </w:p>
                    <w:p>
                      <w:pPr>
                        <w:pStyle w:val="BodyText"/>
                        <w:spacing w:line="259" w:lineRule="auto"/>
                        <w:ind w:left="103" w:right="104"/>
                        <w:jc w:val="both"/>
                      </w:pPr>
                      <w:r>
                        <w:rPr/>
                        <w:t>El</w:t>
                      </w:r>
                      <w:r>
                        <w:rPr>
                          <w:spacing w:val="-9"/>
                        </w:rPr>
                        <w:t> </w:t>
                      </w:r>
                      <w:r>
                        <w:rPr/>
                        <w:t>IMAS</w:t>
                      </w:r>
                      <w:r>
                        <w:rPr>
                          <w:spacing w:val="-9"/>
                        </w:rPr>
                        <w:t> </w:t>
                      </w:r>
                      <w:r>
                        <w:rPr/>
                        <w:t>NO</w:t>
                      </w:r>
                      <w:r>
                        <w:rPr>
                          <w:spacing w:val="-10"/>
                        </w:rPr>
                        <w:t> </w:t>
                      </w:r>
                      <w:r>
                        <w:rPr/>
                        <w:t>cuenta</w:t>
                      </w:r>
                      <w:r>
                        <w:rPr>
                          <w:spacing w:val="-8"/>
                        </w:rPr>
                        <w:t> </w:t>
                      </w:r>
                      <w:r>
                        <w:rPr/>
                        <w:t>con</w:t>
                      </w:r>
                      <w:r>
                        <w:rPr>
                          <w:spacing w:val="-10"/>
                        </w:rPr>
                        <w:t> </w:t>
                      </w:r>
                      <w:r>
                        <w:rPr/>
                        <w:t>préstamos</w:t>
                      </w:r>
                      <w:r>
                        <w:rPr>
                          <w:spacing w:val="-9"/>
                        </w:rPr>
                        <w:t> </w:t>
                      </w:r>
                      <w:r>
                        <w:rPr/>
                        <w:t>y</w:t>
                      </w:r>
                      <w:r>
                        <w:rPr>
                          <w:spacing w:val="-9"/>
                        </w:rPr>
                        <w:t> </w:t>
                      </w:r>
                      <w:r>
                        <w:rPr/>
                        <w:t>posee</w:t>
                      </w:r>
                      <w:r>
                        <w:rPr>
                          <w:spacing w:val="-9"/>
                        </w:rPr>
                        <w:t> </w:t>
                      </w:r>
                      <w:r>
                        <w:rPr/>
                        <w:t>una</w:t>
                      </w:r>
                      <w:r>
                        <w:rPr>
                          <w:spacing w:val="-10"/>
                        </w:rPr>
                        <w:t> </w:t>
                      </w:r>
                      <w:r>
                        <w:rPr/>
                        <w:t>posición</w:t>
                      </w:r>
                      <w:r>
                        <w:rPr>
                          <w:spacing w:val="-8"/>
                        </w:rPr>
                        <w:t> </w:t>
                      </w:r>
                      <w:r>
                        <w:rPr/>
                        <w:t>financiera</w:t>
                      </w:r>
                      <w:r>
                        <w:rPr>
                          <w:spacing w:val="-9"/>
                        </w:rPr>
                        <w:t> </w:t>
                      </w:r>
                      <w:r>
                        <w:rPr/>
                        <w:t>y</w:t>
                      </w:r>
                      <w:r>
                        <w:rPr>
                          <w:spacing w:val="-9"/>
                        </w:rPr>
                        <w:t> </w:t>
                      </w:r>
                      <w:r>
                        <w:rPr/>
                        <w:t>liquidez</w:t>
                      </w:r>
                      <w:r>
                        <w:rPr>
                          <w:spacing w:val="-10"/>
                        </w:rPr>
                        <w:t> </w:t>
                      </w:r>
                      <w:r>
                        <w:rPr/>
                        <w:t>que</w:t>
                      </w:r>
                      <w:r>
                        <w:rPr>
                          <w:spacing w:val="-9"/>
                        </w:rPr>
                        <w:t> </w:t>
                      </w:r>
                      <w:r>
                        <w:rPr/>
                        <w:t>le</w:t>
                      </w:r>
                      <w:r>
                        <w:rPr>
                          <w:spacing w:val="-9"/>
                        </w:rPr>
                        <w:t> </w:t>
                      </w:r>
                      <w:r>
                        <w:rPr/>
                        <w:t>permita</w:t>
                      </w:r>
                      <w:r>
                        <w:rPr>
                          <w:spacing w:val="-9"/>
                        </w:rPr>
                        <w:t> </w:t>
                      </w:r>
                      <w:r>
                        <w:rPr/>
                        <w:t>cancelar sus compromisos financieros.</w:t>
                      </w:r>
                    </w:p>
                  </w:txbxContent>
                </v:textbox>
                <v:stroke dashstyle="solid"/>
                <w10:wrap type="topAndBottom"/>
              </v:shape>
            </w:pict>
          </mc:Fallback>
        </mc:AlternateContent>
      </w:r>
    </w:p>
    <w:p>
      <w:pPr>
        <w:pStyle w:val="BodyText"/>
      </w:pPr>
    </w:p>
    <w:p>
      <w:pPr>
        <w:pStyle w:val="BodyText"/>
        <w:spacing w:before="5"/>
      </w:pPr>
    </w:p>
    <w:p>
      <w:pPr>
        <w:pStyle w:val="BodyText"/>
        <w:ind w:left="622"/>
      </w:pPr>
      <w:r>
        <w:rPr/>
        <w:t>NOTAS</w:t>
      </w:r>
      <w:r>
        <w:rPr>
          <w:spacing w:val="-6"/>
        </w:rPr>
        <w:t> </w:t>
      </w:r>
      <w:r>
        <w:rPr/>
        <w:t>DEL</w:t>
      </w:r>
      <w:r>
        <w:rPr>
          <w:spacing w:val="-4"/>
        </w:rPr>
        <w:t> </w:t>
      </w:r>
      <w:r>
        <w:rPr/>
        <w:t>ESTADO</w:t>
      </w:r>
      <w:r>
        <w:rPr>
          <w:spacing w:val="-4"/>
        </w:rPr>
        <w:t> </w:t>
      </w:r>
      <w:r>
        <w:rPr/>
        <w:t>DE</w:t>
      </w:r>
      <w:r>
        <w:rPr>
          <w:spacing w:val="-4"/>
        </w:rPr>
        <w:t> </w:t>
      </w:r>
      <w:r>
        <w:rPr/>
        <w:t>CAMBIOS</w:t>
      </w:r>
      <w:r>
        <w:rPr>
          <w:spacing w:val="-3"/>
        </w:rPr>
        <w:t> </w:t>
      </w:r>
      <w:r>
        <w:rPr/>
        <w:t>EN</w:t>
      </w:r>
      <w:r>
        <w:rPr>
          <w:spacing w:val="-5"/>
        </w:rPr>
        <w:t> </w:t>
      </w:r>
      <w:r>
        <w:rPr/>
        <w:t>EL</w:t>
      </w:r>
      <w:r>
        <w:rPr>
          <w:spacing w:val="-4"/>
        </w:rPr>
        <w:t> </w:t>
      </w:r>
      <w:r>
        <w:rPr/>
        <w:t>PATRIMONIO</w:t>
      </w:r>
      <w:r>
        <w:rPr>
          <w:spacing w:val="-3"/>
        </w:rPr>
        <w:t> </w:t>
      </w:r>
      <w:r>
        <w:rPr>
          <w:spacing w:val="-4"/>
        </w:rPr>
        <w:t>NETO</w:t>
      </w:r>
    </w:p>
    <w:p>
      <w:pPr>
        <w:spacing w:before="42"/>
        <w:ind w:left="622" w:right="0" w:firstLine="0"/>
        <w:jc w:val="left"/>
        <w:rPr>
          <w:b/>
          <w:sz w:val="22"/>
        </w:rPr>
      </w:pPr>
      <w:bookmarkStart w:name="_bookmark141" w:id="142"/>
      <w:bookmarkEnd w:id="142"/>
      <w:r>
        <w:rPr/>
      </w:r>
      <w:r>
        <w:rPr>
          <w:b/>
          <w:sz w:val="22"/>
        </w:rPr>
        <w:t>NOTA</w:t>
      </w:r>
      <w:r>
        <w:rPr>
          <w:b/>
          <w:spacing w:val="-1"/>
          <w:sz w:val="22"/>
        </w:rPr>
        <w:t> </w:t>
      </w:r>
      <w:r>
        <w:rPr>
          <w:b/>
          <w:sz w:val="22"/>
        </w:rPr>
        <w:t>N° </w:t>
      </w:r>
      <w:r>
        <w:rPr>
          <w:b/>
          <w:spacing w:val="-5"/>
          <w:sz w:val="22"/>
        </w:rPr>
        <w:t>84</w:t>
      </w:r>
    </w:p>
    <w:p>
      <w:pPr>
        <w:pStyle w:val="BodyText"/>
        <w:spacing w:before="112"/>
        <w:rPr>
          <w:b/>
        </w:rPr>
      </w:pPr>
    </w:p>
    <w:p>
      <w:pPr>
        <w:pStyle w:val="Heading6"/>
        <w:spacing w:before="1"/>
        <w:ind w:left="622"/>
      </w:pPr>
      <w:r>
        <w:rPr/>
        <w:t>Saldos</w:t>
      </w:r>
      <w:r>
        <w:rPr>
          <w:spacing w:val="-2"/>
        </w:rPr>
        <w:t> </w:t>
      </w:r>
      <w:r>
        <w:rPr/>
        <w:t>del</w:t>
      </w:r>
      <w:r>
        <w:rPr>
          <w:spacing w:val="-2"/>
        </w:rPr>
        <w:t> periodo</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81"/>
        <w:gridCol w:w="574"/>
        <w:gridCol w:w="2127"/>
        <w:gridCol w:w="2127"/>
        <w:gridCol w:w="1054"/>
      </w:tblGrid>
      <w:tr>
        <w:trPr>
          <w:trHeight w:val="311" w:hRule="atLeast"/>
        </w:trPr>
        <w:tc>
          <w:tcPr>
            <w:tcW w:w="3181" w:type="dxa"/>
            <w:vMerge w:val="restart"/>
            <w:shd w:val="clear" w:color="auto" w:fill="365F92"/>
          </w:tcPr>
          <w:p>
            <w:pPr>
              <w:pStyle w:val="TableParagraph"/>
              <w:spacing w:before="105"/>
              <w:ind w:left="69"/>
              <w:rPr>
                <w:b/>
                <w:sz w:val="22"/>
              </w:rPr>
            </w:pPr>
            <w:r>
              <w:rPr>
                <w:b/>
                <w:color w:val="FFFFFF"/>
                <w:spacing w:val="-2"/>
                <w:sz w:val="22"/>
              </w:rPr>
              <w:t>Descripción</w:t>
            </w:r>
          </w:p>
        </w:tc>
        <w:tc>
          <w:tcPr>
            <w:tcW w:w="574" w:type="dxa"/>
            <w:vMerge w:val="restart"/>
            <w:shd w:val="clear" w:color="auto" w:fill="365F92"/>
          </w:tcPr>
          <w:p>
            <w:pPr>
              <w:pStyle w:val="TableParagraph"/>
              <w:spacing w:before="29"/>
              <w:ind w:left="68"/>
              <w:rPr>
                <w:b/>
                <w:sz w:val="22"/>
              </w:rPr>
            </w:pPr>
            <w:r>
              <w:rPr>
                <w:b/>
                <w:color w:val="FFFFFF"/>
                <w:spacing w:val="-4"/>
                <w:sz w:val="22"/>
              </w:rPr>
              <w:t>Nota</w:t>
            </w:r>
          </w:p>
        </w:tc>
        <w:tc>
          <w:tcPr>
            <w:tcW w:w="2127" w:type="dxa"/>
            <w:vMerge w:val="restart"/>
            <w:shd w:val="clear" w:color="auto" w:fill="365F92"/>
          </w:tcPr>
          <w:p>
            <w:pPr>
              <w:pStyle w:val="TableParagraph"/>
              <w:spacing w:before="29"/>
              <w:ind w:left="428"/>
              <w:rPr>
                <w:b/>
                <w:sz w:val="22"/>
              </w:rPr>
            </w:pPr>
            <w:r>
              <w:rPr>
                <w:b/>
                <w:color w:val="FFFFFF"/>
                <w:sz w:val="22"/>
              </w:rPr>
              <w:t>Periodo</w:t>
            </w:r>
            <w:r>
              <w:rPr>
                <w:b/>
                <w:color w:val="FFFFFF"/>
                <w:spacing w:val="-4"/>
                <w:sz w:val="22"/>
              </w:rPr>
              <w:t> </w:t>
            </w:r>
            <w:r>
              <w:rPr>
                <w:b/>
                <w:color w:val="FFFFFF"/>
                <w:spacing w:val="-2"/>
                <w:sz w:val="22"/>
              </w:rPr>
              <w:t>Actual</w:t>
            </w:r>
          </w:p>
        </w:tc>
        <w:tc>
          <w:tcPr>
            <w:tcW w:w="2127" w:type="dxa"/>
            <w:vMerge w:val="restart"/>
            <w:shd w:val="clear" w:color="auto" w:fill="365F92"/>
          </w:tcPr>
          <w:p>
            <w:pPr>
              <w:pStyle w:val="TableParagraph"/>
              <w:spacing w:before="29"/>
              <w:ind w:left="337"/>
              <w:rPr>
                <w:b/>
                <w:sz w:val="22"/>
              </w:rPr>
            </w:pPr>
            <w:r>
              <w:rPr>
                <w:b/>
                <w:color w:val="FFFFFF"/>
                <w:sz w:val="22"/>
              </w:rPr>
              <w:t>Periodo</w:t>
            </w:r>
            <w:r>
              <w:rPr>
                <w:b/>
                <w:color w:val="FFFFFF"/>
                <w:spacing w:val="-4"/>
                <w:sz w:val="22"/>
              </w:rPr>
              <w:t> </w:t>
            </w:r>
            <w:r>
              <w:rPr>
                <w:b/>
                <w:color w:val="FFFFFF"/>
                <w:spacing w:val="-2"/>
                <w:sz w:val="22"/>
              </w:rPr>
              <w:t>Anterior</w:t>
            </w:r>
          </w:p>
        </w:tc>
        <w:tc>
          <w:tcPr>
            <w:tcW w:w="1054" w:type="dxa"/>
            <w:shd w:val="clear" w:color="auto" w:fill="365F92"/>
          </w:tcPr>
          <w:p>
            <w:pPr>
              <w:pStyle w:val="TableParagraph"/>
              <w:spacing w:before="29"/>
              <w:ind w:left="22" w:right="6"/>
              <w:jc w:val="center"/>
              <w:rPr>
                <w:b/>
                <w:sz w:val="22"/>
              </w:rPr>
            </w:pPr>
            <w:r>
              <w:rPr>
                <w:b/>
                <w:color w:val="FFFFFF"/>
                <w:spacing w:val="-2"/>
                <w:sz w:val="22"/>
              </w:rPr>
              <w:t>Diferencia</w:t>
            </w:r>
          </w:p>
        </w:tc>
      </w:tr>
      <w:tr>
        <w:trPr>
          <w:trHeight w:val="311" w:hRule="atLeast"/>
        </w:trPr>
        <w:tc>
          <w:tcPr>
            <w:tcW w:w="3181"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2127" w:type="dxa"/>
            <w:vMerge/>
            <w:tcBorders>
              <w:top w:val="nil"/>
            </w:tcBorders>
            <w:shd w:val="clear" w:color="auto" w:fill="365F92"/>
          </w:tcPr>
          <w:p>
            <w:pPr>
              <w:rPr>
                <w:sz w:val="2"/>
                <w:szCs w:val="2"/>
              </w:rPr>
            </w:pPr>
          </w:p>
        </w:tc>
        <w:tc>
          <w:tcPr>
            <w:tcW w:w="2127" w:type="dxa"/>
            <w:vMerge/>
            <w:tcBorders>
              <w:top w:val="nil"/>
            </w:tcBorders>
            <w:shd w:val="clear" w:color="auto" w:fill="365F92"/>
          </w:tcPr>
          <w:p>
            <w:pPr>
              <w:rPr>
                <w:sz w:val="2"/>
                <w:szCs w:val="2"/>
              </w:rPr>
            </w:pPr>
          </w:p>
        </w:tc>
        <w:tc>
          <w:tcPr>
            <w:tcW w:w="1054" w:type="dxa"/>
            <w:shd w:val="clear" w:color="auto" w:fill="365F92"/>
          </w:tcPr>
          <w:p>
            <w:pPr>
              <w:pStyle w:val="TableParagraph"/>
              <w:spacing w:before="29"/>
              <w:ind w:left="22" w:right="7"/>
              <w:jc w:val="center"/>
              <w:rPr>
                <w:b/>
                <w:sz w:val="22"/>
              </w:rPr>
            </w:pPr>
            <w:r>
              <w:rPr>
                <w:b/>
                <w:color w:val="FFFFFF"/>
                <w:spacing w:val="-10"/>
                <w:sz w:val="22"/>
              </w:rPr>
              <w:t>%</w:t>
            </w:r>
          </w:p>
        </w:tc>
      </w:tr>
      <w:tr>
        <w:trPr>
          <w:trHeight w:val="311" w:hRule="atLeast"/>
        </w:trPr>
        <w:tc>
          <w:tcPr>
            <w:tcW w:w="3181" w:type="dxa"/>
          </w:tcPr>
          <w:p>
            <w:pPr>
              <w:pStyle w:val="TableParagraph"/>
              <w:spacing w:before="29"/>
              <w:ind w:left="69"/>
              <w:rPr>
                <w:b/>
                <w:sz w:val="22"/>
              </w:rPr>
            </w:pPr>
            <w:r>
              <w:rPr>
                <w:b/>
                <w:sz w:val="22"/>
              </w:rPr>
              <w:t>Saldos</w:t>
            </w:r>
            <w:r>
              <w:rPr>
                <w:b/>
                <w:spacing w:val="-2"/>
                <w:sz w:val="22"/>
              </w:rPr>
              <w:t> </w:t>
            </w:r>
            <w:r>
              <w:rPr>
                <w:b/>
                <w:sz w:val="22"/>
              </w:rPr>
              <w:t>del</w:t>
            </w:r>
            <w:r>
              <w:rPr>
                <w:b/>
                <w:spacing w:val="-2"/>
                <w:sz w:val="22"/>
              </w:rPr>
              <w:t> período</w:t>
            </w:r>
          </w:p>
        </w:tc>
        <w:tc>
          <w:tcPr>
            <w:tcW w:w="574" w:type="dxa"/>
          </w:tcPr>
          <w:p>
            <w:pPr>
              <w:pStyle w:val="TableParagraph"/>
              <w:spacing w:before="29"/>
              <w:ind w:left="176"/>
              <w:rPr>
                <w:b/>
                <w:sz w:val="22"/>
              </w:rPr>
            </w:pPr>
            <w:r>
              <w:rPr>
                <w:b/>
                <w:spacing w:val="-5"/>
                <w:sz w:val="22"/>
              </w:rPr>
              <w:t>84</w:t>
            </w:r>
          </w:p>
        </w:tc>
        <w:tc>
          <w:tcPr>
            <w:tcW w:w="2127" w:type="dxa"/>
          </w:tcPr>
          <w:p>
            <w:pPr>
              <w:pStyle w:val="TableParagraph"/>
              <w:spacing w:before="39"/>
              <w:ind w:left="443"/>
              <w:rPr>
                <w:b/>
                <w:sz w:val="20"/>
              </w:rPr>
            </w:pPr>
            <w:r>
              <w:rPr>
                <w:b/>
                <w:sz w:val="20"/>
              </w:rPr>
              <w:t>191</w:t>
            </w:r>
            <w:r>
              <w:rPr>
                <w:b/>
                <w:spacing w:val="-3"/>
                <w:sz w:val="20"/>
              </w:rPr>
              <w:t> </w:t>
            </w:r>
            <w:r>
              <w:rPr>
                <w:b/>
                <w:sz w:val="20"/>
              </w:rPr>
              <w:t>257</w:t>
            </w:r>
            <w:r>
              <w:rPr>
                <w:b/>
                <w:spacing w:val="-3"/>
                <w:sz w:val="20"/>
              </w:rPr>
              <w:t> </w:t>
            </w:r>
            <w:r>
              <w:rPr>
                <w:b/>
                <w:spacing w:val="-2"/>
                <w:sz w:val="20"/>
              </w:rPr>
              <w:t>042,08</w:t>
            </w:r>
          </w:p>
        </w:tc>
        <w:tc>
          <w:tcPr>
            <w:tcW w:w="2127" w:type="dxa"/>
          </w:tcPr>
          <w:p>
            <w:pPr>
              <w:pStyle w:val="TableParagraph"/>
              <w:spacing w:before="39"/>
              <w:ind w:left="445"/>
              <w:rPr>
                <w:b/>
                <w:sz w:val="20"/>
              </w:rPr>
            </w:pPr>
            <w:r>
              <w:rPr>
                <w:b/>
                <w:sz w:val="20"/>
              </w:rPr>
              <w:t>197</w:t>
            </w:r>
            <w:r>
              <w:rPr>
                <w:b/>
                <w:spacing w:val="-3"/>
                <w:sz w:val="20"/>
              </w:rPr>
              <w:t> </w:t>
            </w:r>
            <w:r>
              <w:rPr>
                <w:b/>
                <w:sz w:val="20"/>
              </w:rPr>
              <w:t>751</w:t>
            </w:r>
            <w:r>
              <w:rPr>
                <w:b/>
                <w:spacing w:val="-3"/>
                <w:sz w:val="20"/>
              </w:rPr>
              <w:t> </w:t>
            </w:r>
            <w:r>
              <w:rPr>
                <w:b/>
                <w:spacing w:val="-2"/>
                <w:sz w:val="20"/>
              </w:rPr>
              <w:t>775,97</w:t>
            </w:r>
          </w:p>
        </w:tc>
        <w:tc>
          <w:tcPr>
            <w:tcW w:w="1054" w:type="dxa"/>
          </w:tcPr>
          <w:p>
            <w:pPr>
              <w:pStyle w:val="TableParagraph"/>
              <w:spacing w:before="39"/>
              <w:ind w:left="22" w:right="7"/>
              <w:jc w:val="center"/>
              <w:rPr>
                <w:b/>
                <w:sz w:val="20"/>
              </w:rPr>
            </w:pPr>
            <w:r>
              <w:rPr>
                <w:b/>
                <w:spacing w:val="-2"/>
                <w:sz w:val="20"/>
              </w:rPr>
              <w:t>-3,28%</w:t>
            </w:r>
          </w:p>
        </w:tc>
      </w:tr>
    </w:tbl>
    <w:p>
      <w:pPr>
        <w:pStyle w:val="ListParagraph"/>
        <w:numPr>
          <w:ilvl w:val="0"/>
          <w:numId w:val="57"/>
        </w:numPr>
        <w:tabs>
          <w:tab w:pos="838" w:val="left" w:leader="none"/>
        </w:tabs>
        <w:spacing w:line="240" w:lineRule="auto" w:before="41" w:after="0"/>
        <w:ind w:left="838" w:right="0" w:hanging="216"/>
        <w:jc w:val="left"/>
        <w:rPr>
          <w:color w:val="1F3863"/>
          <w:sz w:val="22"/>
        </w:rPr>
      </w:pPr>
      <w:bookmarkStart w:name="_bookmark142" w:id="143"/>
      <w:bookmarkEnd w:id="143"/>
      <w:r>
        <w:rPr/>
      </w:r>
      <w:r>
        <w:rPr>
          <w:color w:val="1F3863"/>
          <w:spacing w:val="-2"/>
          <w:sz w:val="22"/>
        </w:rPr>
        <w:t>PATRIMONIO</w:t>
      </w:r>
    </w:p>
    <w:p>
      <w:pPr>
        <w:pStyle w:val="Heading5"/>
        <w:numPr>
          <w:ilvl w:val="1"/>
          <w:numId w:val="57"/>
        </w:numPr>
        <w:tabs>
          <w:tab w:pos="946" w:val="left" w:leader="none"/>
        </w:tabs>
        <w:spacing w:line="240" w:lineRule="auto" w:before="164" w:after="0"/>
        <w:ind w:left="946" w:right="0" w:hanging="324"/>
        <w:jc w:val="left"/>
      </w:pPr>
      <w:bookmarkStart w:name="_bookmark143" w:id="144"/>
      <w:bookmarkEnd w:id="144"/>
      <w:r>
        <w:rPr>
          <w:b w:val="0"/>
        </w:rPr>
      </w:r>
      <w:r>
        <w:rPr>
          <w:color w:val="1F3762"/>
        </w:rPr>
        <w:t>PATRIMONIO</w:t>
      </w:r>
      <w:r>
        <w:rPr>
          <w:color w:val="1F3762"/>
          <w:spacing w:val="-7"/>
        </w:rPr>
        <w:t> </w:t>
      </w:r>
      <w:r>
        <w:rPr>
          <w:color w:val="1F3762"/>
          <w:spacing w:val="-2"/>
        </w:rPr>
        <w:t>PUBLICO</w:t>
      </w:r>
    </w:p>
    <w:p>
      <w:pPr>
        <w:pStyle w:val="BodyText"/>
        <w:spacing w:before="115"/>
        <w:rPr>
          <w:b/>
        </w:rPr>
      </w:pPr>
    </w:p>
    <w:p>
      <w:pPr>
        <w:pStyle w:val="Heading6"/>
        <w:spacing w:before="1"/>
        <w:ind w:left="622"/>
      </w:pPr>
      <w:r>
        <w:rPr>
          <w:spacing w:val="-2"/>
          <w:u w:val="single"/>
        </w:rPr>
        <w:t>Capital</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33"/>
        <w:gridCol w:w="1741"/>
        <w:gridCol w:w="644"/>
        <w:gridCol w:w="2161"/>
        <w:gridCol w:w="2161"/>
        <w:gridCol w:w="1198"/>
      </w:tblGrid>
      <w:tr>
        <w:trPr>
          <w:trHeight w:val="323" w:hRule="atLeast"/>
        </w:trPr>
        <w:tc>
          <w:tcPr>
            <w:tcW w:w="1133" w:type="dxa"/>
            <w:vMerge w:val="restart"/>
            <w:shd w:val="clear" w:color="auto" w:fill="365F92"/>
          </w:tcPr>
          <w:p>
            <w:pPr>
              <w:pStyle w:val="TableParagraph"/>
              <w:spacing w:before="128"/>
              <w:ind w:left="69"/>
              <w:rPr>
                <w:b/>
                <w:sz w:val="20"/>
              </w:rPr>
            </w:pPr>
            <w:r>
              <w:rPr>
                <w:b/>
                <w:color w:val="FFFFFF"/>
                <w:spacing w:val="-2"/>
                <w:sz w:val="20"/>
              </w:rPr>
              <w:t>Cuenta</w:t>
            </w:r>
          </w:p>
        </w:tc>
        <w:tc>
          <w:tcPr>
            <w:tcW w:w="1741" w:type="dxa"/>
            <w:vMerge w:val="restart"/>
            <w:shd w:val="clear" w:color="auto" w:fill="365F92"/>
          </w:tcPr>
          <w:p>
            <w:pPr>
              <w:pStyle w:val="TableParagraph"/>
              <w:spacing w:before="217"/>
              <w:ind w:left="385"/>
              <w:rPr>
                <w:b/>
                <w:sz w:val="20"/>
              </w:rPr>
            </w:pPr>
            <w:r>
              <w:rPr>
                <w:b/>
                <w:color w:val="FFFFFF"/>
                <w:spacing w:val="-2"/>
                <w:sz w:val="20"/>
              </w:rPr>
              <w:t>Descripción</w:t>
            </w:r>
          </w:p>
        </w:tc>
        <w:tc>
          <w:tcPr>
            <w:tcW w:w="644" w:type="dxa"/>
            <w:vMerge w:val="restart"/>
            <w:shd w:val="clear" w:color="auto" w:fill="365F92"/>
          </w:tcPr>
          <w:p>
            <w:pPr>
              <w:pStyle w:val="TableParagraph"/>
              <w:spacing w:before="217"/>
              <w:ind w:left="123"/>
              <w:rPr>
                <w:b/>
                <w:sz w:val="20"/>
              </w:rPr>
            </w:pPr>
            <w:r>
              <w:rPr>
                <w:b/>
                <w:color w:val="FFFFFF"/>
                <w:spacing w:val="-4"/>
                <w:sz w:val="20"/>
              </w:rPr>
              <w:t>Nota</w:t>
            </w:r>
          </w:p>
        </w:tc>
        <w:tc>
          <w:tcPr>
            <w:tcW w:w="2161" w:type="dxa"/>
            <w:vMerge w:val="restart"/>
            <w:shd w:val="clear" w:color="auto" w:fill="365F92"/>
          </w:tcPr>
          <w:p>
            <w:pPr>
              <w:pStyle w:val="TableParagraph"/>
              <w:spacing w:before="217"/>
              <w:ind w:left="504"/>
              <w:rPr>
                <w:b/>
                <w:sz w:val="20"/>
              </w:rPr>
            </w:pPr>
            <w:r>
              <w:rPr>
                <w:b/>
                <w:color w:val="FFFFFF"/>
                <w:sz w:val="20"/>
              </w:rPr>
              <w:t>Periodo</w:t>
            </w:r>
            <w:r>
              <w:rPr>
                <w:b/>
                <w:color w:val="FFFFFF"/>
                <w:spacing w:val="-5"/>
                <w:sz w:val="20"/>
              </w:rPr>
              <w:t> </w:t>
            </w:r>
            <w:r>
              <w:rPr>
                <w:b/>
                <w:color w:val="FFFFFF"/>
                <w:spacing w:val="-2"/>
                <w:sz w:val="20"/>
              </w:rPr>
              <w:t>Actual</w:t>
            </w:r>
          </w:p>
        </w:tc>
        <w:tc>
          <w:tcPr>
            <w:tcW w:w="2161" w:type="dxa"/>
            <w:vMerge w:val="restart"/>
            <w:shd w:val="clear" w:color="auto" w:fill="365F92"/>
          </w:tcPr>
          <w:p>
            <w:pPr>
              <w:pStyle w:val="TableParagraph"/>
              <w:spacing w:before="217"/>
              <w:ind w:left="420"/>
              <w:rPr>
                <w:b/>
                <w:sz w:val="20"/>
              </w:rPr>
            </w:pPr>
            <w:r>
              <w:rPr>
                <w:b/>
                <w:color w:val="FFFFFF"/>
                <w:sz w:val="20"/>
              </w:rPr>
              <w:t>Periodo</w:t>
            </w:r>
            <w:r>
              <w:rPr>
                <w:b/>
                <w:color w:val="FFFFFF"/>
                <w:spacing w:val="-5"/>
                <w:sz w:val="20"/>
              </w:rPr>
              <w:t> </w:t>
            </w:r>
            <w:r>
              <w:rPr>
                <w:b/>
                <w:color w:val="FFFFFF"/>
                <w:spacing w:val="-2"/>
                <w:sz w:val="20"/>
              </w:rPr>
              <w:t>Anterior</w:t>
            </w:r>
          </w:p>
        </w:tc>
        <w:tc>
          <w:tcPr>
            <w:tcW w:w="1198" w:type="dxa"/>
            <w:shd w:val="clear" w:color="auto" w:fill="365F92"/>
          </w:tcPr>
          <w:p>
            <w:pPr>
              <w:pStyle w:val="TableParagraph"/>
              <w:spacing w:before="46"/>
              <w:ind w:left="23" w:right="12"/>
              <w:jc w:val="center"/>
              <w:rPr>
                <w:b/>
                <w:sz w:val="20"/>
              </w:rPr>
            </w:pPr>
            <w:r>
              <w:rPr>
                <w:b/>
                <w:color w:val="FFFFFF"/>
                <w:spacing w:val="-2"/>
                <w:sz w:val="20"/>
              </w:rPr>
              <w:t>Diferencia</w:t>
            </w:r>
          </w:p>
        </w:tc>
      </w:tr>
      <w:tr>
        <w:trPr>
          <w:trHeight w:val="323" w:hRule="atLeast"/>
        </w:trPr>
        <w:tc>
          <w:tcPr>
            <w:tcW w:w="1133" w:type="dxa"/>
            <w:vMerge/>
            <w:tcBorders>
              <w:top w:val="nil"/>
            </w:tcBorders>
            <w:shd w:val="clear" w:color="auto" w:fill="365F92"/>
          </w:tcPr>
          <w:p>
            <w:pPr>
              <w:rPr>
                <w:sz w:val="2"/>
                <w:szCs w:val="2"/>
              </w:rPr>
            </w:pPr>
          </w:p>
        </w:tc>
        <w:tc>
          <w:tcPr>
            <w:tcW w:w="1741" w:type="dxa"/>
            <w:vMerge/>
            <w:tcBorders>
              <w:top w:val="nil"/>
            </w:tcBorders>
            <w:shd w:val="clear" w:color="auto" w:fill="365F92"/>
          </w:tcPr>
          <w:p>
            <w:pPr>
              <w:rPr>
                <w:sz w:val="2"/>
                <w:szCs w:val="2"/>
              </w:rPr>
            </w:pPr>
          </w:p>
        </w:tc>
        <w:tc>
          <w:tcPr>
            <w:tcW w:w="644"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1198" w:type="dxa"/>
            <w:shd w:val="clear" w:color="auto" w:fill="365F92"/>
          </w:tcPr>
          <w:p>
            <w:pPr>
              <w:pStyle w:val="TableParagraph"/>
              <w:spacing w:before="46"/>
              <w:ind w:left="23" w:right="13"/>
              <w:jc w:val="center"/>
              <w:rPr>
                <w:sz w:val="20"/>
              </w:rPr>
            </w:pPr>
            <w:r>
              <w:rPr>
                <w:color w:val="FFFFFF"/>
                <w:spacing w:val="-10"/>
                <w:sz w:val="20"/>
              </w:rPr>
              <w:t>%</w:t>
            </w:r>
          </w:p>
        </w:tc>
      </w:tr>
      <w:tr>
        <w:trPr>
          <w:trHeight w:val="325" w:hRule="atLeast"/>
        </w:trPr>
        <w:tc>
          <w:tcPr>
            <w:tcW w:w="1133" w:type="dxa"/>
          </w:tcPr>
          <w:p>
            <w:pPr>
              <w:pStyle w:val="TableParagraph"/>
              <w:spacing w:before="46"/>
              <w:ind w:left="69"/>
              <w:rPr>
                <w:b/>
                <w:sz w:val="20"/>
              </w:rPr>
            </w:pPr>
            <w:r>
              <w:rPr>
                <w:b/>
                <w:spacing w:val="-2"/>
                <w:sz w:val="20"/>
              </w:rPr>
              <w:t>3.1.1.</w:t>
            </w:r>
          </w:p>
        </w:tc>
        <w:tc>
          <w:tcPr>
            <w:tcW w:w="1741" w:type="dxa"/>
          </w:tcPr>
          <w:p>
            <w:pPr>
              <w:pStyle w:val="TableParagraph"/>
              <w:spacing w:before="46"/>
              <w:ind w:left="68"/>
              <w:rPr>
                <w:b/>
                <w:sz w:val="20"/>
              </w:rPr>
            </w:pPr>
            <w:r>
              <w:rPr>
                <w:b/>
                <w:spacing w:val="-2"/>
                <w:sz w:val="20"/>
              </w:rPr>
              <w:t>Capital</w:t>
            </w:r>
          </w:p>
        </w:tc>
        <w:tc>
          <w:tcPr>
            <w:tcW w:w="644" w:type="dxa"/>
          </w:tcPr>
          <w:p>
            <w:pPr>
              <w:pStyle w:val="TableParagraph"/>
              <w:spacing w:before="46"/>
              <w:ind w:left="222"/>
              <w:rPr>
                <w:b/>
                <w:sz w:val="20"/>
              </w:rPr>
            </w:pPr>
            <w:r>
              <w:rPr>
                <w:b/>
                <w:spacing w:val="-5"/>
                <w:sz w:val="20"/>
              </w:rPr>
              <w:t>24</w:t>
            </w:r>
          </w:p>
        </w:tc>
        <w:tc>
          <w:tcPr>
            <w:tcW w:w="2161" w:type="dxa"/>
          </w:tcPr>
          <w:p>
            <w:pPr>
              <w:pStyle w:val="TableParagraph"/>
              <w:spacing w:before="46"/>
              <w:ind w:left="560"/>
              <w:rPr>
                <w:b/>
                <w:sz w:val="20"/>
              </w:rPr>
            </w:pPr>
            <w:r>
              <w:rPr>
                <w:b/>
                <w:sz w:val="20"/>
              </w:rPr>
              <w:t>6</w:t>
            </w:r>
            <w:r>
              <w:rPr>
                <w:b/>
                <w:spacing w:val="-2"/>
                <w:sz w:val="20"/>
              </w:rPr>
              <w:t> </w:t>
            </w:r>
            <w:r>
              <w:rPr>
                <w:b/>
                <w:sz w:val="20"/>
              </w:rPr>
              <w:t>630</w:t>
            </w:r>
            <w:r>
              <w:rPr>
                <w:b/>
                <w:spacing w:val="-2"/>
                <w:sz w:val="20"/>
              </w:rPr>
              <w:t> 461,39</w:t>
            </w:r>
          </w:p>
        </w:tc>
        <w:tc>
          <w:tcPr>
            <w:tcW w:w="2161" w:type="dxa"/>
          </w:tcPr>
          <w:p>
            <w:pPr>
              <w:pStyle w:val="TableParagraph"/>
              <w:spacing w:before="46"/>
              <w:ind w:left="559"/>
              <w:rPr>
                <w:b/>
                <w:sz w:val="20"/>
              </w:rPr>
            </w:pPr>
            <w:r>
              <w:rPr>
                <w:b/>
                <w:sz w:val="20"/>
              </w:rPr>
              <w:t>6</w:t>
            </w:r>
            <w:r>
              <w:rPr>
                <w:b/>
                <w:spacing w:val="-2"/>
                <w:sz w:val="20"/>
              </w:rPr>
              <w:t> </w:t>
            </w:r>
            <w:r>
              <w:rPr>
                <w:b/>
                <w:sz w:val="20"/>
              </w:rPr>
              <w:t>630</w:t>
            </w:r>
            <w:r>
              <w:rPr>
                <w:b/>
                <w:spacing w:val="-2"/>
                <w:sz w:val="20"/>
              </w:rPr>
              <w:t> 461,39</w:t>
            </w:r>
          </w:p>
        </w:tc>
        <w:tc>
          <w:tcPr>
            <w:tcW w:w="1198" w:type="dxa"/>
          </w:tcPr>
          <w:p>
            <w:pPr>
              <w:pStyle w:val="TableParagraph"/>
              <w:spacing w:before="46"/>
              <w:ind w:left="23" w:right="9"/>
              <w:jc w:val="center"/>
              <w:rPr>
                <w:b/>
                <w:sz w:val="20"/>
              </w:rPr>
            </w:pPr>
            <w:r>
              <w:rPr>
                <w:b/>
                <w:spacing w:val="-2"/>
                <w:sz w:val="20"/>
              </w:rPr>
              <w:t>0.00%</w:t>
            </w:r>
          </w:p>
        </w:tc>
      </w:tr>
    </w:tbl>
    <w:p>
      <w:pPr>
        <w:pStyle w:val="BodyText"/>
        <w:spacing w:before="240"/>
        <w:ind w:left="622"/>
      </w:pPr>
      <w:r>
        <w:rPr/>
        <w:t>Detalle</w:t>
      </w:r>
      <w:r>
        <w:rPr>
          <w:spacing w:val="-7"/>
        </w:rPr>
        <w:t> </w:t>
      </w:r>
      <w:r>
        <w:rPr/>
        <w:t>de</w:t>
      </w:r>
      <w:r>
        <w:rPr>
          <w:spacing w:val="-4"/>
        </w:rPr>
        <w:t> </w:t>
      </w:r>
      <w:r>
        <w:rPr>
          <w:spacing w:val="-2"/>
        </w:rPr>
        <w:t>Cuenta</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0352">
                <wp:simplePos x="0" y="0"/>
                <wp:positionH relativeFrom="page">
                  <wp:posOffset>9525</wp:posOffset>
                </wp:positionH>
                <wp:positionV relativeFrom="page">
                  <wp:posOffset>297208</wp:posOffset>
                </wp:positionV>
                <wp:extent cx="7762875" cy="9748520"/>
                <wp:effectExtent l="0" t="0" r="0" b="0"/>
                <wp:wrapNone/>
                <wp:docPr id="866" name="Group 866"/>
                <wp:cNvGraphicFramePr>
                  <a:graphicFrameLocks/>
                </wp:cNvGraphicFramePr>
                <a:graphic>
                  <a:graphicData uri="http://schemas.microsoft.com/office/word/2010/wordprocessingGroup">
                    <wpg:wgp>
                      <wpg:cNvPr id="866" name="Group 866"/>
                      <wpg:cNvGrpSpPr/>
                      <wpg:grpSpPr>
                        <a:xfrm>
                          <a:off x="0" y="0"/>
                          <a:ext cx="7762875" cy="9748520"/>
                          <a:chExt cx="7762875" cy="9748520"/>
                        </a:xfrm>
                      </wpg:grpSpPr>
                      <pic:pic>
                        <pic:nvPicPr>
                          <pic:cNvPr id="867" name="Image 867"/>
                          <pic:cNvPicPr/>
                        </pic:nvPicPr>
                        <pic:blipFill>
                          <a:blip r:embed="rId5" cstate="print"/>
                          <a:stretch>
                            <a:fillRect/>
                          </a:stretch>
                        </pic:blipFill>
                        <pic:spPr>
                          <a:xfrm>
                            <a:off x="0" y="0"/>
                            <a:ext cx="7762874" cy="9748489"/>
                          </a:xfrm>
                          <a:prstGeom prst="rect">
                            <a:avLst/>
                          </a:prstGeom>
                        </pic:spPr>
                      </pic:pic>
                      <wps:wsp>
                        <wps:cNvPr id="868" name="Graphic 86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6128" id="docshapegroup841" coordorigin="15,468" coordsize="12225,15352">
                <v:shape style="position:absolute;left:15;top:468;width:12225;height:15352" type="#_x0000_t75" id="docshape842" stroked="false">
                  <v:imagedata r:id="rId5" o:title=""/>
                </v:shape>
                <v:rect style="position:absolute;left:1673;top:2028;width:8897;height:15" id="docshape84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174</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1"/>
        <w:gridCol w:w="1954"/>
        <w:gridCol w:w="710"/>
        <w:gridCol w:w="2126"/>
        <w:gridCol w:w="2280"/>
        <w:gridCol w:w="1097"/>
      </w:tblGrid>
      <w:tr>
        <w:trPr>
          <w:trHeight w:val="366" w:hRule="atLeast"/>
        </w:trPr>
        <w:tc>
          <w:tcPr>
            <w:tcW w:w="871" w:type="dxa"/>
            <w:vMerge w:val="restart"/>
            <w:shd w:val="clear" w:color="auto" w:fill="365F92"/>
          </w:tcPr>
          <w:p>
            <w:pPr>
              <w:pStyle w:val="TableParagraph"/>
              <w:spacing w:before="171"/>
              <w:ind w:left="69"/>
              <w:rPr>
                <w:b/>
                <w:sz w:val="20"/>
              </w:rPr>
            </w:pPr>
            <w:r>
              <w:rPr>
                <w:b/>
                <w:color w:val="FFFFFF"/>
                <w:spacing w:val="-2"/>
                <w:sz w:val="20"/>
              </w:rPr>
              <w:t>Cuenta</w:t>
            </w:r>
          </w:p>
        </w:tc>
        <w:tc>
          <w:tcPr>
            <w:tcW w:w="1954" w:type="dxa"/>
            <w:vMerge w:val="restart"/>
            <w:shd w:val="clear" w:color="auto" w:fill="365F92"/>
          </w:tcPr>
          <w:p>
            <w:pPr>
              <w:pStyle w:val="TableParagraph"/>
              <w:spacing w:before="32"/>
              <w:rPr>
                <w:sz w:val="20"/>
              </w:rPr>
            </w:pPr>
          </w:p>
          <w:p>
            <w:pPr>
              <w:pStyle w:val="TableParagraph"/>
              <w:ind w:left="494"/>
              <w:rPr>
                <w:b/>
                <w:sz w:val="20"/>
              </w:rPr>
            </w:pPr>
            <w:r>
              <w:rPr>
                <w:b/>
                <w:color w:val="FFFFFF"/>
                <w:spacing w:val="-2"/>
                <w:sz w:val="20"/>
              </w:rPr>
              <w:t>Descripción</w:t>
            </w:r>
          </w:p>
        </w:tc>
        <w:tc>
          <w:tcPr>
            <w:tcW w:w="710" w:type="dxa"/>
            <w:vMerge w:val="restart"/>
            <w:shd w:val="clear" w:color="auto" w:fill="365F92"/>
          </w:tcPr>
          <w:p>
            <w:pPr>
              <w:pStyle w:val="TableParagraph"/>
              <w:spacing w:before="32"/>
              <w:rPr>
                <w:sz w:val="20"/>
              </w:rPr>
            </w:pPr>
          </w:p>
          <w:p>
            <w:pPr>
              <w:pStyle w:val="TableParagraph"/>
              <w:ind w:left="158"/>
              <w:rPr>
                <w:b/>
                <w:sz w:val="20"/>
              </w:rPr>
            </w:pPr>
            <w:r>
              <w:rPr>
                <w:b/>
                <w:color w:val="FFFFFF"/>
                <w:spacing w:val="-4"/>
                <w:sz w:val="20"/>
              </w:rPr>
              <w:t>Nota</w:t>
            </w:r>
          </w:p>
        </w:tc>
        <w:tc>
          <w:tcPr>
            <w:tcW w:w="2126" w:type="dxa"/>
            <w:vMerge w:val="restart"/>
            <w:shd w:val="clear" w:color="auto" w:fill="365F92"/>
          </w:tcPr>
          <w:p>
            <w:pPr>
              <w:pStyle w:val="TableParagraph"/>
              <w:spacing w:before="32"/>
              <w:rPr>
                <w:sz w:val="20"/>
              </w:rPr>
            </w:pPr>
          </w:p>
          <w:p>
            <w:pPr>
              <w:pStyle w:val="TableParagraph"/>
              <w:ind w:left="490"/>
              <w:rPr>
                <w:b/>
                <w:sz w:val="20"/>
              </w:rPr>
            </w:pPr>
            <w:r>
              <w:rPr>
                <w:b/>
                <w:color w:val="FFFFFF"/>
                <w:sz w:val="20"/>
              </w:rPr>
              <w:t>Periodo</w:t>
            </w:r>
            <w:r>
              <w:rPr>
                <w:b/>
                <w:color w:val="FFFFFF"/>
                <w:spacing w:val="-5"/>
                <w:sz w:val="20"/>
              </w:rPr>
              <w:t> </w:t>
            </w:r>
            <w:r>
              <w:rPr>
                <w:b/>
                <w:color w:val="FFFFFF"/>
                <w:spacing w:val="-2"/>
                <w:sz w:val="20"/>
              </w:rPr>
              <w:t>Actual</w:t>
            </w:r>
          </w:p>
        </w:tc>
        <w:tc>
          <w:tcPr>
            <w:tcW w:w="2280" w:type="dxa"/>
            <w:vMerge w:val="restart"/>
            <w:shd w:val="clear" w:color="auto" w:fill="365F92"/>
          </w:tcPr>
          <w:p>
            <w:pPr>
              <w:pStyle w:val="TableParagraph"/>
              <w:spacing w:before="32"/>
              <w:rPr>
                <w:sz w:val="20"/>
              </w:rPr>
            </w:pPr>
          </w:p>
          <w:p>
            <w:pPr>
              <w:pStyle w:val="TableParagraph"/>
              <w:ind w:left="481"/>
              <w:rPr>
                <w:b/>
                <w:sz w:val="20"/>
              </w:rPr>
            </w:pPr>
            <w:r>
              <w:rPr>
                <w:b/>
                <w:color w:val="FFFFFF"/>
                <w:sz w:val="20"/>
              </w:rPr>
              <w:t>Periodo</w:t>
            </w:r>
            <w:r>
              <w:rPr>
                <w:b/>
                <w:color w:val="FFFFFF"/>
                <w:spacing w:val="-5"/>
                <w:sz w:val="20"/>
              </w:rPr>
              <w:t> </w:t>
            </w:r>
            <w:r>
              <w:rPr>
                <w:b/>
                <w:color w:val="FFFFFF"/>
                <w:spacing w:val="-2"/>
                <w:sz w:val="20"/>
              </w:rPr>
              <w:t>Anterior</w:t>
            </w:r>
          </w:p>
        </w:tc>
        <w:tc>
          <w:tcPr>
            <w:tcW w:w="1097" w:type="dxa"/>
            <w:shd w:val="clear" w:color="auto" w:fill="365F92"/>
          </w:tcPr>
          <w:p>
            <w:pPr>
              <w:pStyle w:val="TableParagraph"/>
              <w:spacing w:before="68"/>
              <w:ind w:left="21"/>
              <w:jc w:val="center"/>
              <w:rPr>
                <w:b/>
                <w:sz w:val="20"/>
              </w:rPr>
            </w:pPr>
            <w:r>
              <w:rPr>
                <w:b/>
                <w:color w:val="FFFFFF"/>
                <w:spacing w:val="-2"/>
                <w:sz w:val="20"/>
              </w:rPr>
              <w:t>Diferencia</w:t>
            </w:r>
          </w:p>
        </w:tc>
      </w:tr>
      <w:tr>
        <w:trPr>
          <w:trHeight w:val="364" w:hRule="atLeast"/>
        </w:trPr>
        <w:tc>
          <w:tcPr>
            <w:tcW w:w="871" w:type="dxa"/>
            <w:vMerge/>
            <w:tcBorders>
              <w:top w:val="nil"/>
            </w:tcBorders>
            <w:shd w:val="clear" w:color="auto" w:fill="365F92"/>
          </w:tcPr>
          <w:p>
            <w:pPr>
              <w:rPr>
                <w:sz w:val="2"/>
                <w:szCs w:val="2"/>
              </w:rPr>
            </w:pPr>
          </w:p>
        </w:tc>
        <w:tc>
          <w:tcPr>
            <w:tcW w:w="1954" w:type="dxa"/>
            <w:vMerge/>
            <w:tcBorders>
              <w:top w:val="nil"/>
            </w:tcBorders>
            <w:shd w:val="clear" w:color="auto" w:fill="365F92"/>
          </w:tcPr>
          <w:p>
            <w:pPr>
              <w:rPr>
                <w:sz w:val="2"/>
                <w:szCs w:val="2"/>
              </w:rPr>
            </w:pPr>
          </w:p>
        </w:tc>
        <w:tc>
          <w:tcPr>
            <w:tcW w:w="710" w:type="dxa"/>
            <w:vMerge/>
            <w:tcBorders>
              <w:top w:val="nil"/>
            </w:tcBorders>
            <w:shd w:val="clear" w:color="auto" w:fill="365F92"/>
          </w:tcPr>
          <w:p>
            <w:pPr>
              <w:rPr>
                <w:sz w:val="2"/>
                <w:szCs w:val="2"/>
              </w:rPr>
            </w:pPr>
          </w:p>
        </w:tc>
        <w:tc>
          <w:tcPr>
            <w:tcW w:w="2126" w:type="dxa"/>
            <w:vMerge/>
            <w:tcBorders>
              <w:top w:val="nil"/>
            </w:tcBorders>
            <w:shd w:val="clear" w:color="auto" w:fill="365F92"/>
          </w:tcPr>
          <w:p>
            <w:pPr>
              <w:rPr>
                <w:sz w:val="2"/>
                <w:szCs w:val="2"/>
              </w:rPr>
            </w:pPr>
          </w:p>
        </w:tc>
        <w:tc>
          <w:tcPr>
            <w:tcW w:w="2280" w:type="dxa"/>
            <w:vMerge/>
            <w:tcBorders>
              <w:top w:val="nil"/>
            </w:tcBorders>
            <w:shd w:val="clear" w:color="auto" w:fill="365F92"/>
          </w:tcPr>
          <w:p>
            <w:pPr>
              <w:rPr>
                <w:sz w:val="2"/>
                <w:szCs w:val="2"/>
              </w:rPr>
            </w:pPr>
          </w:p>
        </w:tc>
        <w:tc>
          <w:tcPr>
            <w:tcW w:w="1097" w:type="dxa"/>
            <w:shd w:val="clear" w:color="auto" w:fill="365F92"/>
          </w:tcPr>
          <w:p>
            <w:pPr>
              <w:pStyle w:val="TableParagraph"/>
              <w:spacing w:before="68"/>
              <w:ind w:left="21" w:right="1"/>
              <w:jc w:val="center"/>
              <w:rPr>
                <w:sz w:val="20"/>
              </w:rPr>
            </w:pPr>
            <w:r>
              <w:rPr>
                <w:color w:val="FFFFFF"/>
                <w:spacing w:val="-10"/>
                <w:sz w:val="20"/>
              </w:rPr>
              <w:t>%</w:t>
            </w:r>
          </w:p>
        </w:tc>
      </w:tr>
      <w:tr>
        <w:trPr>
          <w:trHeight w:val="366" w:hRule="atLeast"/>
        </w:trPr>
        <w:tc>
          <w:tcPr>
            <w:tcW w:w="871" w:type="dxa"/>
          </w:tcPr>
          <w:p>
            <w:pPr>
              <w:pStyle w:val="TableParagraph"/>
              <w:spacing w:before="68"/>
              <w:ind w:left="69"/>
              <w:rPr>
                <w:b/>
                <w:sz w:val="20"/>
              </w:rPr>
            </w:pPr>
            <w:r>
              <w:rPr>
                <w:b/>
                <w:spacing w:val="-2"/>
                <w:sz w:val="20"/>
              </w:rPr>
              <w:t>3.1.1.01.</w:t>
            </w:r>
          </w:p>
        </w:tc>
        <w:tc>
          <w:tcPr>
            <w:tcW w:w="1954" w:type="dxa"/>
          </w:tcPr>
          <w:p>
            <w:pPr>
              <w:pStyle w:val="TableParagraph"/>
              <w:spacing w:before="68"/>
              <w:ind w:left="69"/>
              <w:rPr>
                <w:b/>
                <w:sz w:val="20"/>
              </w:rPr>
            </w:pPr>
            <w:r>
              <w:rPr>
                <w:b/>
                <w:sz w:val="20"/>
              </w:rPr>
              <w:t>Capital</w:t>
            </w:r>
            <w:r>
              <w:rPr>
                <w:b/>
                <w:spacing w:val="-6"/>
                <w:sz w:val="20"/>
              </w:rPr>
              <w:t> </w:t>
            </w:r>
            <w:r>
              <w:rPr>
                <w:b/>
                <w:spacing w:val="-2"/>
                <w:sz w:val="20"/>
              </w:rPr>
              <w:t>inicial</w:t>
            </w:r>
          </w:p>
        </w:tc>
        <w:tc>
          <w:tcPr>
            <w:tcW w:w="710" w:type="dxa"/>
          </w:tcPr>
          <w:p>
            <w:pPr>
              <w:pStyle w:val="TableParagraph"/>
              <w:spacing w:before="68"/>
              <w:ind w:left="15"/>
              <w:jc w:val="center"/>
              <w:rPr>
                <w:b/>
                <w:sz w:val="20"/>
              </w:rPr>
            </w:pPr>
            <w:r>
              <w:rPr>
                <w:b/>
                <w:spacing w:val="-5"/>
                <w:sz w:val="20"/>
              </w:rPr>
              <w:t>24</w:t>
            </w:r>
          </w:p>
        </w:tc>
        <w:tc>
          <w:tcPr>
            <w:tcW w:w="2126" w:type="dxa"/>
          </w:tcPr>
          <w:p>
            <w:pPr>
              <w:pStyle w:val="TableParagraph"/>
              <w:spacing w:before="68"/>
              <w:ind w:left="545"/>
              <w:rPr>
                <w:b/>
                <w:sz w:val="20"/>
              </w:rPr>
            </w:pPr>
            <w:r>
              <w:rPr>
                <w:b/>
                <w:sz w:val="20"/>
              </w:rPr>
              <w:t>6</w:t>
            </w:r>
            <w:r>
              <w:rPr>
                <w:b/>
                <w:spacing w:val="-2"/>
                <w:sz w:val="20"/>
              </w:rPr>
              <w:t> </w:t>
            </w:r>
            <w:r>
              <w:rPr>
                <w:b/>
                <w:sz w:val="20"/>
              </w:rPr>
              <w:t>630</w:t>
            </w:r>
            <w:r>
              <w:rPr>
                <w:b/>
                <w:spacing w:val="-2"/>
                <w:sz w:val="20"/>
              </w:rPr>
              <w:t> 461,39</w:t>
            </w:r>
          </w:p>
        </w:tc>
        <w:tc>
          <w:tcPr>
            <w:tcW w:w="2280" w:type="dxa"/>
          </w:tcPr>
          <w:p>
            <w:pPr>
              <w:pStyle w:val="TableParagraph"/>
              <w:spacing w:before="68"/>
              <w:ind w:left="620"/>
              <w:rPr>
                <w:b/>
                <w:sz w:val="20"/>
              </w:rPr>
            </w:pPr>
            <w:r>
              <w:rPr>
                <w:b/>
                <w:sz w:val="20"/>
              </w:rPr>
              <w:t>6</w:t>
            </w:r>
            <w:r>
              <w:rPr>
                <w:b/>
                <w:spacing w:val="-2"/>
                <w:sz w:val="20"/>
              </w:rPr>
              <w:t> </w:t>
            </w:r>
            <w:r>
              <w:rPr>
                <w:b/>
                <w:sz w:val="20"/>
              </w:rPr>
              <w:t>630</w:t>
            </w:r>
            <w:r>
              <w:rPr>
                <w:b/>
                <w:spacing w:val="-2"/>
                <w:sz w:val="20"/>
              </w:rPr>
              <w:t> 461,39</w:t>
            </w:r>
          </w:p>
        </w:tc>
        <w:tc>
          <w:tcPr>
            <w:tcW w:w="1097" w:type="dxa"/>
          </w:tcPr>
          <w:p>
            <w:pPr>
              <w:pStyle w:val="TableParagraph"/>
              <w:spacing w:before="68"/>
              <w:ind w:left="21" w:right="2"/>
              <w:jc w:val="center"/>
              <w:rPr>
                <w:b/>
                <w:sz w:val="20"/>
              </w:rPr>
            </w:pPr>
            <w:r>
              <w:rPr>
                <w:b/>
                <w:spacing w:val="-2"/>
                <w:sz w:val="20"/>
              </w:rPr>
              <w:t>0,00%</w:t>
            </w:r>
          </w:p>
        </w:tc>
      </w:tr>
    </w:tbl>
    <w:p>
      <w:pPr>
        <w:pStyle w:val="BodyText"/>
        <w:spacing w:line="259" w:lineRule="auto"/>
        <w:ind w:left="622" w:right="981" w:firstLine="55"/>
        <w:jc w:val="both"/>
      </w:pPr>
      <w:r>
        <w:rPr/>
        <w:t>La metodología utilizada por el IMAS para el cálculo del Capital Inicial fue la indicada en el</w:t>
      </w:r>
      <w:r>
        <w:rPr>
          <w:spacing w:val="80"/>
        </w:rPr>
        <w:t> </w:t>
      </w:r>
      <w:r>
        <w:rPr/>
        <w:t>oficio DCN-1542-2013 del 18 de diciembre de 2013. El ajuste de resultados acumulados en relación con el total de activos fijos del año 2014.</w:t>
      </w:r>
    </w:p>
    <w:p>
      <w:pPr>
        <w:pStyle w:val="Heading6"/>
        <w:spacing w:before="238"/>
        <w:ind w:left="622"/>
      </w:pPr>
      <w:r>
        <w:rPr>
          <w:spacing w:val="-2"/>
          <w:u w:val="single"/>
        </w:rPr>
        <w:t>Revelación:</w:t>
      </w:r>
    </w:p>
    <w:p>
      <w:pPr>
        <w:pStyle w:val="BodyText"/>
        <w:spacing w:line="259" w:lineRule="auto" w:before="182"/>
        <w:ind w:left="622" w:right="1211"/>
        <w:jc w:val="both"/>
      </w:pPr>
      <w:r>
        <w:rPr/>
        <w:t>La cuenta</w:t>
      </w:r>
      <w:r>
        <w:rPr>
          <w:spacing w:val="-1"/>
        </w:rPr>
        <w:t> </w:t>
      </w:r>
      <w:r>
        <w:rPr/>
        <w:t>Capital inicial, representa el 3,47% del total</w:t>
      </w:r>
      <w:r>
        <w:rPr>
          <w:spacing w:val="-2"/>
        </w:rPr>
        <w:t> </w:t>
      </w:r>
      <w:r>
        <w:rPr/>
        <w:t>del Capital,</w:t>
      </w:r>
      <w:r>
        <w:rPr>
          <w:spacing w:val="-1"/>
        </w:rPr>
        <w:t> </w:t>
      </w:r>
      <w:r>
        <w:rPr/>
        <w:t>que comparado al periodo ante-rior</w:t>
      </w:r>
      <w:r>
        <w:rPr>
          <w:spacing w:val="-2"/>
        </w:rPr>
        <w:t> </w:t>
      </w:r>
      <w:r>
        <w:rPr/>
        <w:t>genera</w:t>
      </w:r>
      <w:r>
        <w:rPr>
          <w:spacing w:val="-3"/>
        </w:rPr>
        <w:t> </w:t>
      </w:r>
      <w:r>
        <w:rPr/>
        <w:t>una</w:t>
      </w:r>
      <w:r>
        <w:rPr>
          <w:spacing w:val="-3"/>
        </w:rPr>
        <w:t> </w:t>
      </w:r>
      <w:r>
        <w:rPr/>
        <w:t>variación</w:t>
      </w:r>
      <w:r>
        <w:rPr>
          <w:spacing w:val="-2"/>
        </w:rPr>
        <w:t> </w:t>
      </w:r>
      <w:r>
        <w:rPr/>
        <w:t>absoluta</w:t>
      </w:r>
      <w:r>
        <w:rPr>
          <w:spacing w:val="-2"/>
        </w:rPr>
        <w:t> </w:t>
      </w:r>
      <w:r>
        <w:rPr/>
        <w:t>de</w:t>
      </w:r>
      <w:r>
        <w:rPr>
          <w:spacing w:val="-1"/>
        </w:rPr>
        <w:t> </w:t>
      </w:r>
      <w:r>
        <w:rPr/>
        <w:t>0</w:t>
      </w:r>
      <w:r>
        <w:rPr>
          <w:spacing w:val="-2"/>
        </w:rPr>
        <w:t> </w:t>
      </w:r>
      <w:r>
        <w:rPr/>
        <w:t>000,00</w:t>
      </w:r>
      <w:r>
        <w:rPr>
          <w:spacing w:val="-3"/>
        </w:rPr>
        <w:t> </w:t>
      </w:r>
      <w:r>
        <w:rPr/>
        <w:t>que</w:t>
      </w:r>
      <w:r>
        <w:rPr>
          <w:spacing w:val="-2"/>
        </w:rPr>
        <w:t> </w:t>
      </w:r>
      <w:r>
        <w:rPr/>
        <w:t>corresponde</w:t>
      </w:r>
      <w:r>
        <w:rPr>
          <w:spacing w:val="-1"/>
        </w:rPr>
        <w:t> </w:t>
      </w:r>
      <w:r>
        <w:rPr/>
        <w:t>a</w:t>
      </w:r>
      <w:r>
        <w:rPr>
          <w:spacing w:val="-3"/>
        </w:rPr>
        <w:t> </w:t>
      </w:r>
      <w:r>
        <w:rPr/>
        <w:t>un</w:t>
      </w:r>
      <w:r>
        <w:rPr>
          <w:spacing w:val="-5"/>
        </w:rPr>
        <w:t> </w:t>
      </w:r>
      <w:r>
        <w:rPr/>
        <w:t>Aumento</w:t>
      </w:r>
      <w:r>
        <w:rPr>
          <w:spacing w:val="-1"/>
        </w:rPr>
        <w:t> </w:t>
      </w:r>
      <w:r>
        <w:rPr/>
        <w:t>del</w:t>
      </w:r>
      <w:r>
        <w:rPr>
          <w:spacing w:val="-5"/>
        </w:rPr>
        <w:t> </w:t>
      </w:r>
      <w:r>
        <w:rPr/>
        <w:t>0,00%</w:t>
      </w:r>
      <w:r>
        <w:rPr>
          <w:spacing w:val="-3"/>
        </w:rPr>
        <w:t> </w:t>
      </w:r>
      <w:r>
        <w:rPr/>
        <w:t>de</w:t>
      </w:r>
      <w:r>
        <w:rPr>
          <w:spacing w:val="-2"/>
        </w:rPr>
        <w:t> </w:t>
      </w:r>
      <w:r>
        <w:rPr/>
        <w:t>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62432">
                <wp:simplePos x="0" y="0"/>
                <wp:positionH relativeFrom="page">
                  <wp:posOffset>1080820</wp:posOffset>
                </wp:positionH>
                <wp:positionV relativeFrom="paragraph">
                  <wp:posOffset>233338</wp:posOffset>
                </wp:positionV>
                <wp:extent cx="5715000" cy="897890"/>
                <wp:effectExtent l="0" t="0" r="0" b="0"/>
                <wp:wrapTopAndBottom/>
                <wp:docPr id="869" name="Textbox 869"/>
                <wp:cNvGraphicFramePr>
                  <a:graphicFrameLocks/>
                </wp:cNvGraphicFramePr>
                <a:graphic>
                  <a:graphicData uri="http://schemas.microsoft.com/office/word/2010/wordprocessingShape">
                    <wps:wsp>
                      <wps:cNvPr id="869" name="Textbox 869"/>
                      <wps:cNvSpPr txBox="1"/>
                      <wps:spPr>
                        <a:xfrm>
                          <a:off x="0" y="0"/>
                          <a:ext cx="5715000" cy="8978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242"/>
                            </w:pPr>
                            <w:r>
                              <w:rPr/>
                              <w:t>La</w:t>
                            </w:r>
                            <w:r>
                              <w:rPr>
                                <w:spacing w:val="-3"/>
                              </w:rPr>
                              <w:t> </w:t>
                            </w:r>
                            <w:r>
                              <w:rPr/>
                              <w:t>metodología</w:t>
                            </w:r>
                            <w:r>
                              <w:rPr>
                                <w:spacing w:val="-3"/>
                              </w:rPr>
                              <w:t> </w:t>
                            </w:r>
                            <w:r>
                              <w:rPr/>
                              <w:t>utilizada</w:t>
                            </w:r>
                            <w:r>
                              <w:rPr>
                                <w:spacing w:val="-3"/>
                              </w:rPr>
                              <w:t> </w:t>
                            </w:r>
                            <w:r>
                              <w:rPr/>
                              <w:t>por</w:t>
                            </w:r>
                            <w:r>
                              <w:rPr>
                                <w:spacing w:val="-2"/>
                              </w:rPr>
                              <w:t> </w:t>
                            </w:r>
                            <w:r>
                              <w:rPr/>
                              <w:t>el</w:t>
                            </w:r>
                            <w:r>
                              <w:rPr>
                                <w:spacing w:val="-2"/>
                              </w:rPr>
                              <w:t> </w:t>
                            </w:r>
                            <w:r>
                              <w:rPr/>
                              <w:t>IMAS</w:t>
                            </w:r>
                            <w:r>
                              <w:rPr>
                                <w:spacing w:val="-1"/>
                              </w:rPr>
                              <w:t> </w:t>
                            </w:r>
                            <w:r>
                              <w:rPr/>
                              <w:t>para</w:t>
                            </w:r>
                            <w:r>
                              <w:rPr>
                                <w:spacing w:val="-3"/>
                              </w:rPr>
                              <w:t> </w:t>
                            </w:r>
                            <w:r>
                              <w:rPr/>
                              <w:t>el</w:t>
                            </w:r>
                            <w:r>
                              <w:rPr>
                                <w:spacing w:val="-2"/>
                              </w:rPr>
                              <w:t> </w:t>
                            </w:r>
                            <w:r>
                              <w:rPr/>
                              <w:t>cálculo</w:t>
                            </w:r>
                            <w:r>
                              <w:rPr>
                                <w:spacing w:val="-2"/>
                              </w:rPr>
                              <w:t> </w:t>
                            </w:r>
                            <w:r>
                              <w:rPr/>
                              <w:t>del</w:t>
                            </w:r>
                            <w:r>
                              <w:rPr>
                                <w:spacing w:val="-2"/>
                              </w:rPr>
                              <w:t> </w:t>
                            </w:r>
                            <w:r>
                              <w:rPr/>
                              <w:t>Capital</w:t>
                            </w:r>
                            <w:r>
                              <w:rPr>
                                <w:spacing w:val="-2"/>
                              </w:rPr>
                              <w:t> </w:t>
                            </w:r>
                            <w:r>
                              <w:rPr/>
                              <w:t>Inicial</w:t>
                            </w:r>
                            <w:r>
                              <w:rPr>
                                <w:spacing w:val="-2"/>
                              </w:rPr>
                              <w:t> </w:t>
                            </w:r>
                            <w:r>
                              <w:rPr/>
                              <w:t>fue</w:t>
                            </w:r>
                            <w:r>
                              <w:rPr>
                                <w:spacing w:val="-4"/>
                              </w:rPr>
                              <w:t> </w:t>
                            </w:r>
                            <w:r>
                              <w:rPr/>
                              <w:t>la</w:t>
                            </w:r>
                            <w:r>
                              <w:rPr>
                                <w:spacing w:val="-4"/>
                              </w:rPr>
                              <w:t> </w:t>
                            </w:r>
                            <w:r>
                              <w:rPr/>
                              <w:t>indicada</w:t>
                            </w:r>
                            <w:r>
                              <w:rPr>
                                <w:spacing w:val="-3"/>
                              </w:rPr>
                              <w:t> </w:t>
                            </w:r>
                            <w:r>
                              <w:rPr/>
                              <w:t>en</w:t>
                            </w:r>
                            <w:r>
                              <w:rPr>
                                <w:spacing w:val="-2"/>
                              </w:rPr>
                              <w:t> </w:t>
                            </w:r>
                            <w:r>
                              <w:rPr/>
                              <w:t>el</w:t>
                            </w:r>
                            <w:r>
                              <w:rPr>
                                <w:spacing w:val="80"/>
                              </w:rPr>
                              <w:t> </w:t>
                            </w:r>
                            <w:r>
                              <w:rPr/>
                              <w:t>oficio DCN-1542-2013 del 18 de diciembre de 2013. El ajuste de resultados acumulados en relación con el total de activos fijos del año 2014.</w:t>
                            </w:r>
                          </w:p>
                        </w:txbxContent>
                      </wps:txbx>
                      <wps:bodyPr wrap="square" lIns="0" tIns="0" rIns="0" bIns="0" rtlCol="0">
                        <a:noAutofit/>
                      </wps:bodyPr>
                    </wps:wsp>
                  </a:graphicData>
                </a:graphic>
              </wp:anchor>
            </w:drawing>
          </mc:Choice>
          <mc:Fallback>
            <w:pict>
              <v:shape style="position:absolute;margin-left:85.103996pt;margin-top:18.373125pt;width:450pt;height:70.7pt;mso-position-horizontal-relative:page;mso-position-vertical-relative:paragraph;z-index:-15554048;mso-wrap-distance-left:0;mso-wrap-distance-right:0" type="#_x0000_t202" id="docshape84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242"/>
                      </w:pPr>
                      <w:r>
                        <w:rPr/>
                        <w:t>La</w:t>
                      </w:r>
                      <w:r>
                        <w:rPr>
                          <w:spacing w:val="-3"/>
                        </w:rPr>
                        <w:t> </w:t>
                      </w:r>
                      <w:r>
                        <w:rPr/>
                        <w:t>metodología</w:t>
                      </w:r>
                      <w:r>
                        <w:rPr>
                          <w:spacing w:val="-3"/>
                        </w:rPr>
                        <w:t> </w:t>
                      </w:r>
                      <w:r>
                        <w:rPr/>
                        <w:t>utilizada</w:t>
                      </w:r>
                      <w:r>
                        <w:rPr>
                          <w:spacing w:val="-3"/>
                        </w:rPr>
                        <w:t> </w:t>
                      </w:r>
                      <w:r>
                        <w:rPr/>
                        <w:t>por</w:t>
                      </w:r>
                      <w:r>
                        <w:rPr>
                          <w:spacing w:val="-2"/>
                        </w:rPr>
                        <w:t> </w:t>
                      </w:r>
                      <w:r>
                        <w:rPr/>
                        <w:t>el</w:t>
                      </w:r>
                      <w:r>
                        <w:rPr>
                          <w:spacing w:val="-2"/>
                        </w:rPr>
                        <w:t> </w:t>
                      </w:r>
                      <w:r>
                        <w:rPr/>
                        <w:t>IMAS</w:t>
                      </w:r>
                      <w:r>
                        <w:rPr>
                          <w:spacing w:val="-1"/>
                        </w:rPr>
                        <w:t> </w:t>
                      </w:r>
                      <w:r>
                        <w:rPr/>
                        <w:t>para</w:t>
                      </w:r>
                      <w:r>
                        <w:rPr>
                          <w:spacing w:val="-3"/>
                        </w:rPr>
                        <w:t> </w:t>
                      </w:r>
                      <w:r>
                        <w:rPr/>
                        <w:t>el</w:t>
                      </w:r>
                      <w:r>
                        <w:rPr>
                          <w:spacing w:val="-2"/>
                        </w:rPr>
                        <w:t> </w:t>
                      </w:r>
                      <w:r>
                        <w:rPr/>
                        <w:t>cálculo</w:t>
                      </w:r>
                      <w:r>
                        <w:rPr>
                          <w:spacing w:val="-2"/>
                        </w:rPr>
                        <w:t> </w:t>
                      </w:r>
                      <w:r>
                        <w:rPr/>
                        <w:t>del</w:t>
                      </w:r>
                      <w:r>
                        <w:rPr>
                          <w:spacing w:val="-2"/>
                        </w:rPr>
                        <w:t> </w:t>
                      </w:r>
                      <w:r>
                        <w:rPr/>
                        <w:t>Capital</w:t>
                      </w:r>
                      <w:r>
                        <w:rPr>
                          <w:spacing w:val="-2"/>
                        </w:rPr>
                        <w:t> </w:t>
                      </w:r>
                      <w:r>
                        <w:rPr/>
                        <w:t>Inicial</w:t>
                      </w:r>
                      <w:r>
                        <w:rPr>
                          <w:spacing w:val="-2"/>
                        </w:rPr>
                        <w:t> </w:t>
                      </w:r>
                      <w:r>
                        <w:rPr/>
                        <w:t>fue</w:t>
                      </w:r>
                      <w:r>
                        <w:rPr>
                          <w:spacing w:val="-4"/>
                        </w:rPr>
                        <w:t> </w:t>
                      </w:r>
                      <w:r>
                        <w:rPr/>
                        <w:t>la</w:t>
                      </w:r>
                      <w:r>
                        <w:rPr>
                          <w:spacing w:val="-4"/>
                        </w:rPr>
                        <w:t> </w:t>
                      </w:r>
                      <w:r>
                        <w:rPr/>
                        <w:t>indicada</w:t>
                      </w:r>
                      <w:r>
                        <w:rPr>
                          <w:spacing w:val="-3"/>
                        </w:rPr>
                        <w:t> </w:t>
                      </w:r>
                      <w:r>
                        <w:rPr/>
                        <w:t>en</w:t>
                      </w:r>
                      <w:r>
                        <w:rPr>
                          <w:spacing w:val="-2"/>
                        </w:rPr>
                        <w:t> </w:t>
                      </w:r>
                      <w:r>
                        <w:rPr/>
                        <w:t>el</w:t>
                      </w:r>
                      <w:r>
                        <w:rPr>
                          <w:spacing w:val="80"/>
                        </w:rPr>
                        <w:t> </w:t>
                      </w:r>
                      <w:r>
                        <w:rPr/>
                        <w:t>oficio DCN-1542-2013 del 18 de diciembre de 2013. El ajuste de resultados acumulados en relación con el total de activos fijos del año 2014.</w:t>
                      </w:r>
                    </w:p>
                  </w:txbxContent>
                </v:textbox>
                <v:stroke dashstyle="solid"/>
                <w10:wrap type="topAndBottom"/>
              </v:shape>
            </w:pict>
          </mc:Fallback>
        </mc:AlternateContent>
      </w:r>
    </w:p>
    <w:p>
      <w:pPr>
        <w:pStyle w:val="BodyText"/>
        <w:rPr>
          <w:sz w:val="20"/>
        </w:rPr>
      </w:pPr>
    </w:p>
    <w:p>
      <w:pPr>
        <w:pStyle w:val="BodyText"/>
        <w:spacing w:before="218"/>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8"/>
        <w:gridCol w:w="2436"/>
        <w:gridCol w:w="581"/>
        <w:gridCol w:w="1958"/>
        <w:gridCol w:w="1961"/>
        <w:gridCol w:w="1087"/>
      </w:tblGrid>
      <w:tr>
        <w:trPr>
          <w:trHeight w:val="311" w:hRule="atLeast"/>
        </w:trPr>
        <w:tc>
          <w:tcPr>
            <w:tcW w:w="938" w:type="dxa"/>
            <w:vMerge w:val="restart"/>
            <w:shd w:val="clear" w:color="auto" w:fill="365F92"/>
          </w:tcPr>
          <w:p>
            <w:pPr>
              <w:pStyle w:val="TableParagraph"/>
              <w:spacing w:before="207"/>
              <w:ind w:left="69"/>
              <w:rPr>
                <w:b/>
                <w:sz w:val="20"/>
              </w:rPr>
            </w:pPr>
            <w:r>
              <w:rPr>
                <w:b/>
                <w:color w:val="FFFFFF"/>
                <w:spacing w:val="-2"/>
                <w:sz w:val="20"/>
              </w:rPr>
              <w:t>Cuenta</w:t>
            </w:r>
          </w:p>
        </w:tc>
        <w:tc>
          <w:tcPr>
            <w:tcW w:w="2436" w:type="dxa"/>
            <w:vMerge w:val="restart"/>
            <w:shd w:val="clear" w:color="auto" w:fill="365F92"/>
          </w:tcPr>
          <w:p>
            <w:pPr>
              <w:pStyle w:val="TableParagraph"/>
              <w:spacing w:before="207"/>
              <w:ind w:left="734"/>
              <w:rPr>
                <w:b/>
                <w:sz w:val="20"/>
              </w:rPr>
            </w:pPr>
            <w:r>
              <w:rPr>
                <w:b/>
                <w:color w:val="FFFFFF"/>
                <w:spacing w:val="-2"/>
                <w:sz w:val="20"/>
              </w:rPr>
              <w:t>Descripción</w:t>
            </w:r>
          </w:p>
        </w:tc>
        <w:tc>
          <w:tcPr>
            <w:tcW w:w="581" w:type="dxa"/>
            <w:vMerge w:val="restart"/>
            <w:shd w:val="clear" w:color="auto" w:fill="365F92"/>
          </w:tcPr>
          <w:p>
            <w:pPr>
              <w:pStyle w:val="TableParagraph"/>
              <w:spacing w:before="207"/>
              <w:ind w:left="91"/>
              <w:rPr>
                <w:b/>
                <w:sz w:val="20"/>
              </w:rPr>
            </w:pPr>
            <w:r>
              <w:rPr>
                <w:b/>
                <w:color w:val="FFFFFF"/>
                <w:spacing w:val="-4"/>
                <w:sz w:val="20"/>
              </w:rPr>
              <w:t>Nota</w:t>
            </w:r>
          </w:p>
        </w:tc>
        <w:tc>
          <w:tcPr>
            <w:tcW w:w="1958" w:type="dxa"/>
            <w:vMerge w:val="restart"/>
            <w:shd w:val="clear" w:color="auto" w:fill="365F92"/>
          </w:tcPr>
          <w:p>
            <w:pPr>
              <w:pStyle w:val="TableParagraph"/>
              <w:spacing w:before="207"/>
              <w:ind w:left="406"/>
              <w:rPr>
                <w:b/>
                <w:sz w:val="20"/>
              </w:rPr>
            </w:pPr>
            <w:r>
              <w:rPr>
                <w:b/>
                <w:color w:val="FFFFFF"/>
                <w:sz w:val="20"/>
              </w:rPr>
              <w:t>Periodo</w:t>
            </w:r>
            <w:r>
              <w:rPr>
                <w:b/>
                <w:color w:val="FFFFFF"/>
                <w:spacing w:val="-5"/>
                <w:sz w:val="20"/>
              </w:rPr>
              <w:t> </w:t>
            </w:r>
            <w:r>
              <w:rPr>
                <w:b/>
                <w:color w:val="FFFFFF"/>
                <w:spacing w:val="-2"/>
                <w:sz w:val="20"/>
              </w:rPr>
              <w:t>Actual</w:t>
            </w:r>
          </w:p>
        </w:tc>
        <w:tc>
          <w:tcPr>
            <w:tcW w:w="1961" w:type="dxa"/>
            <w:vMerge w:val="restart"/>
            <w:shd w:val="clear" w:color="auto" w:fill="365F92"/>
          </w:tcPr>
          <w:p>
            <w:pPr>
              <w:pStyle w:val="TableParagraph"/>
              <w:spacing w:before="207"/>
              <w:ind w:left="323"/>
              <w:rPr>
                <w:b/>
                <w:sz w:val="20"/>
              </w:rPr>
            </w:pPr>
            <w:r>
              <w:rPr>
                <w:b/>
                <w:color w:val="FFFFFF"/>
                <w:sz w:val="20"/>
              </w:rPr>
              <w:t>Periodo</w:t>
            </w:r>
            <w:r>
              <w:rPr>
                <w:b/>
                <w:color w:val="FFFFFF"/>
                <w:spacing w:val="-5"/>
                <w:sz w:val="20"/>
              </w:rPr>
              <w:t> </w:t>
            </w:r>
            <w:r>
              <w:rPr>
                <w:b/>
                <w:color w:val="FFFFFF"/>
                <w:spacing w:val="-2"/>
                <w:sz w:val="20"/>
              </w:rPr>
              <w:t>Anterior</w:t>
            </w:r>
          </w:p>
        </w:tc>
        <w:tc>
          <w:tcPr>
            <w:tcW w:w="1087" w:type="dxa"/>
            <w:shd w:val="clear" w:color="auto" w:fill="365F92"/>
          </w:tcPr>
          <w:p>
            <w:pPr>
              <w:pStyle w:val="TableParagraph"/>
              <w:spacing w:before="41"/>
              <w:ind w:left="18" w:right="2"/>
              <w:jc w:val="center"/>
              <w:rPr>
                <w:b/>
                <w:sz w:val="20"/>
              </w:rPr>
            </w:pPr>
            <w:r>
              <w:rPr>
                <w:b/>
                <w:color w:val="FFFFFF"/>
                <w:spacing w:val="-2"/>
                <w:sz w:val="20"/>
              </w:rPr>
              <w:t>Diferencia</w:t>
            </w:r>
          </w:p>
        </w:tc>
      </w:tr>
      <w:tr>
        <w:trPr>
          <w:trHeight w:val="313" w:hRule="atLeast"/>
        </w:trPr>
        <w:tc>
          <w:tcPr>
            <w:tcW w:w="938" w:type="dxa"/>
            <w:vMerge/>
            <w:tcBorders>
              <w:top w:val="nil"/>
            </w:tcBorders>
            <w:shd w:val="clear" w:color="auto" w:fill="365F92"/>
          </w:tcPr>
          <w:p>
            <w:pPr>
              <w:rPr>
                <w:sz w:val="2"/>
                <w:szCs w:val="2"/>
              </w:rPr>
            </w:pPr>
          </w:p>
        </w:tc>
        <w:tc>
          <w:tcPr>
            <w:tcW w:w="2436" w:type="dxa"/>
            <w:vMerge/>
            <w:tcBorders>
              <w:top w:val="nil"/>
            </w:tcBorders>
            <w:shd w:val="clear" w:color="auto" w:fill="365F92"/>
          </w:tcPr>
          <w:p>
            <w:pPr>
              <w:rPr>
                <w:sz w:val="2"/>
                <w:szCs w:val="2"/>
              </w:rPr>
            </w:pPr>
          </w:p>
        </w:tc>
        <w:tc>
          <w:tcPr>
            <w:tcW w:w="581" w:type="dxa"/>
            <w:vMerge/>
            <w:tcBorders>
              <w:top w:val="nil"/>
            </w:tcBorders>
            <w:shd w:val="clear" w:color="auto" w:fill="365F92"/>
          </w:tcPr>
          <w:p>
            <w:pPr>
              <w:rPr>
                <w:sz w:val="2"/>
                <w:szCs w:val="2"/>
              </w:rPr>
            </w:pPr>
          </w:p>
        </w:tc>
        <w:tc>
          <w:tcPr>
            <w:tcW w:w="1958" w:type="dxa"/>
            <w:vMerge/>
            <w:tcBorders>
              <w:top w:val="nil"/>
            </w:tcBorders>
            <w:shd w:val="clear" w:color="auto" w:fill="365F92"/>
          </w:tcPr>
          <w:p>
            <w:pPr>
              <w:rPr>
                <w:sz w:val="2"/>
                <w:szCs w:val="2"/>
              </w:rPr>
            </w:pPr>
          </w:p>
        </w:tc>
        <w:tc>
          <w:tcPr>
            <w:tcW w:w="1961" w:type="dxa"/>
            <w:vMerge/>
            <w:tcBorders>
              <w:top w:val="nil"/>
            </w:tcBorders>
            <w:shd w:val="clear" w:color="auto" w:fill="365F92"/>
          </w:tcPr>
          <w:p>
            <w:pPr>
              <w:rPr>
                <w:sz w:val="2"/>
                <w:szCs w:val="2"/>
              </w:rPr>
            </w:pPr>
          </w:p>
        </w:tc>
        <w:tc>
          <w:tcPr>
            <w:tcW w:w="1087" w:type="dxa"/>
            <w:shd w:val="clear" w:color="auto" w:fill="365F92"/>
          </w:tcPr>
          <w:p>
            <w:pPr>
              <w:pStyle w:val="TableParagraph"/>
              <w:spacing w:before="41"/>
              <w:ind w:left="18" w:right="3"/>
              <w:jc w:val="center"/>
              <w:rPr>
                <w:sz w:val="20"/>
              </w:rPr>
            </w:pPr>
            <w:r>
              <w:rPr>
                <w:color w:val="FFFFFF"/>
                <w:spacing w:val="-10"/>
                <w:sz w:val="20"/>
              </w:rPr>
              <w:t>%</w:t>
            </w:r>
          </w:p>
        </w:tc>
      </w:tr>
      <w:tr>
        <w:trPr>
          <w:trHeight w:val="311" w:hRule="atLeast"/>
        </w:trPr>
        <w:tc>
          <w:tcPr>
            <w:tcW w:w="938" w:type="dxa"/>
          </w:tcPr>
          <w:p>
            <w:pPr>
              <w:pStyle w:val="TableParagraph"/>
              <w:spacing w:before="41"/>
              <w:ind w:left="69"/>
              <w:rPr>
                <w:b/>
                <w:sz w:val="20"/>
              </w:rPr>
            </w:pPr>
            <w:r>
              <w:rPr>
                <w:b/>
                <w:spacing w:val="-2"/>
                <w:sz w:val="20"/>
              </w:rPr>
              <w:t>3.1.1.02.</w:t>
            </w:r>
          </w:p>
        </w:tc>
        <w:tc>
          <w:tcPr>
            <w:tcW w:w="2436" w:type="dxa"/>
          </w:tcPr>
          <w:p>
            <w:pPr>
              <w:pStyle w:val="TableParagraph"/>
              <w:spacing w:before="41"/>
              <w:ind w:left="69"/>
              <w:rPr>
                <w:b/>
                <w:sz w:val="20"/>
              </w:rPr>
            </w:pPr>
            <w:r>
              <w:rPr>
                <w:b/>
                <w:sz w:val="20"/>
              </w:rPr>
              <w:t>Incorporaciones</w:t>
            </w:r>
            <w:r>
              <w:rPr>
                <w:b/>
                <w:spacing w:val="-6"/>
                <w:sz w:val="20"/>
              </w:rPr>
              <w:t> </w:t>
            </w:r>
            <w:r>
              <w:rPr>
                <w:b/>
                <w:sz w:val="20"/>
              </w:rPr>
              <w:t>al</w:t>
            </w:r>
            <w:r>
              <w:rPr>
                <w:b/>
                <w:spacing w:val="-7"/>
                <w:sz w:val="20"/>
              </w:rPr>
              <w:t> </w:t>
            </w:r>
            <w:r>
              <w:rPr>
                <w:b/>
                <w:spacing w:val="-2"/>
                <w:sz w:val="20"/>
              </w:rPr>
              <w:t>capital</w:t>
            </w:r>
          </w:p>
        </w:tc>
        <w:tc>
          <w:tcPr>
            <w:tcW w:w="581" w:type="dxa"/>
          </w:tcPr>
          <w:p>
            <w:pPr>
              <w:pStyle w:val="TableParagraph"/>
              <w:spacing w:before="41"/>
              <w:ind w:left="190"/>
              <w:rPr>
                <w:b/>
                <w:sz w:val="20"/>
              </w:rPr>
            </w:pPr>
            <w:r>
              <w:rPr>
                <w:b/>
                <w:spacing w:val="-5"/>
                <w:sz w:val="20"/>
              </w:rPr>
              <w:t>24</w:t>
            </w:r>
          </w:p>
        </w:tc>
        <w:tc>
          <w:tcPr>
            <w:tcW w:w="1958" w:type="dxa"/>
          </w:tcPr>
          <w:p>
            <w:pPr>
              <w:pStyle w:val="TableParagraph"/>
              <w:spacing w:before="41"/>
              <w:ind w:left="19"/>
              <w:jc w:val="center"/>
              <w:rPr>
                <w:b/>
                <w:sz w:val="20"/>
              </w:rPr>
            </w:pPr>
            <w:r>
              <w:rPr>
                <w:b/>
                <w:spacing w:val="-4"/>
                <w:sz w:val="20"/>
              </w:rPr>
              <w:t>0,00</w:t>
            </w:r>
          </w:p>
        </w:tc>
        <w:tc>
          <w:tcPr>
            <w:tcW w:w="1961" w:type="dxa"/>
          </w:tcPr>
          <w:p>
            <w:pPr>
              <w:pStyle w:val="TableParagraph"/>
              <w:spacing w:before="41"/>
              <w:ind w:left="18"/>
              <w:jc w:val="center"/>
              <w:rPr>
                <w:b/>
                <w:sz w:val="20"/>
              </w:rPr>
            </w:pPr>
            <w:r>
              <w:rPr>
                <w:b/>
                <w:spacing w:val="-4"/>
                <w:sz w:val="20"/>
              </w:rPr>
              <w:t>0,00</w:t>
            </w:r>
          </w:p>
        </w:tc>
        <w:tc>
          <w:tcPr>
            <w:tcW w:w="1087" w:type="dxa"/>
          </w:tcPr>
          <w:p>
            <w:pPr>
              <w:pStyle w:val="TableParagraph"/>
              <w:spacing w:before="41"/>
              <w:ind w:left="18"/>
              <w:jc w:val="center"/>
              <w:rPr>
                <w:b/>
                <w:sz w:val="20"/>
              </w:rPr>
            </w:pPr>
            <w:r>
              <w:rPr>
                <w:b/>
                <w:spacing w:val="-2"/>
                <w:sz w:val="20"/>
              </w:rPr>
              <w:t>0,00%</w:t>
            </w:r>
          </w:p>
        </w:tc>
      </w:tr>
    </w:tbl>
    <w:p>
      <w:pPr>
        <w:pStyle w:val="BodyText"/>
        <w:rPr>
          <w:sz w:val="20"/>
        </w:rPr>
      </w:pPr>
    </w:p>
    <w:p>
      <w:pPr>
        <w:pStyle w:val="BodyText"/>
        <w:spacing w:before="191"/>
        <w:rPr>
          <w:sz w:val="20"/>
        </w:rPr>
      </w:pPr>
      <w:r>
        <w:rPr>
          <w:sz w:val="20"/>
        </w:rPr>
        <mc:AlternateContent>
          <mc:Choice Requires="wps">
            <w:drawing>
              <wp:anchor distT="0" distB="0" distL="0" distR="0" allowOverlap="1" layoutInCell="1" locked="0" behindDoc="1" simplePos="0" relativeHeight="487762944">
                <wp:simplePos x="0" y="0"/>
                <wp:positionH relativeFrom="page">
                  <wp:posOffset>1080820</wp:posOffset>
                </wp:positionH>
                <wp:positionV relativeFrom="paragraph">
                  <wp:posOffset>285036</wp:posOffset>
                </wp:positionV>
                <wp:extent cx="5715000" cy="553720"/>
                <wp:effectExtent l="0" t="0" r="0" b="0"/>
                <wp:wrapTopAndBottom/>
                <wp:docPr id="870" name="Textbox 870"/>
                <wp:cNvGraphicFramePr>
                  <a:graphicFrameLocks/>
                </wp:cNvGraphicFramePr>
                <a:graphic>
                  <a:graphicData uri="http://schemas.microsoft.com/office/word/2010/wordprocessingShape">
                    <wps:wsp>
                      <wps:cNvPr id="870" name="Textbox 870"/>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2.443781pt;width:450pt;height:43.6pt;mso-position-horizontal-relative:page;mso-position-vertical-relative:paragraph;z-index:-15553536;mso-wrap-distance-left:0;mso-wrap-distance-right:0" type="#_x0000_t202" id="docshape84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44" w:id="145"/>
      <w:bookmarkEnd w:id="145"/>
      <w:r>
        <w:rPr/>
      </w:r>
      <w:r>
        <w:rPr>
          <w:b/>
          <w:sz w:val="22"/>
        </w:rPr>
        <w:t>NOTA</w:t>
      </w:r>
      <w:r>
        <w:rPr>
          <w:b/>
          <w:spacing w:val="-1"/>
          <w:sz w:val="22"/>
        </w:rPr>
        <w:t> </w:t>
      </w:r>
      <w:r>
        <w:rPr>
          <w:b/>
          <w:sz w:val="22"/>
        </w:rPr>
        <w:t>N° </w:t>
      </w:r>
      <w:r>
        <w:rPr>
          <w:b/>
          <w:spacing w:val="-5"/>
          <w:sz w:val="22"/>
        </w:rPr>
        <w:t>85</w:t>
      </w:r>
    </w:p>
    <w:p>
      <w:pPr>
        <w:pStyle w:val="BodyText"/>
        <w:spacing w:before="115"/>
        <w:rPr>
          <w:b/>
        </w:rPr>
      </w:pPr>
    </w:p>
    <w:p>
      <w:pPr>
        <w:pStyle w:val="Heading6"/>
        <w:spacing w:before="1"/>
        <w:ind w:left="622"/>
      </w:pPr>
      <w:r>
        <w:rPr>
          <w:u w:val="single"/>
        </w:rPr>
        <w:t>Transferencias</w:t>
      </w:r>
      <w:r>
        <w:rPr>
          <w:spacing w:val="-4"/>
          <w:u w:val="single"/>
        </w:rPr>
        <w:t> </w:t>
      </w:r>
      <w:r>
        <w:rPr>
          <w:u w:val="single"/>
        </w:rPr>
        <w:t>de</w:t>
      </w:r>
      <w:r>
        <w:rPr>
          <w:spacing w:val="-4"/>
          <w:u w:val="single"/>
        </w:rPr>
        <w:t> </w:t>
      </w:r>
      <w:r>
        <w:rPr>
          <w:spacing w:val="-2"/>
          <w:u w:val="single"/>
        </w:rPr>
        <w:t>capital</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96"/>
        <w:gridCol w:w="1673"/>
        <w:gridCol w:w="631"/>
        <w:gridCol w:w="2117"/>
        <w:gridCol w:w="2120"/>
        <w:gridCol w:w="1177"/>
      </w:tblGrid>
      <w:tr>
        <w:trPr>
          <w:trHeight w:val="316" w:hRule="atLeast"/>
        </w:trPr>
        <w:tc>
          <w:tcPr>
            <w:tcW w:w="1296" w:type="dxa"/>
            <w:vMerge w:val="restart"/>
            <w:shd w:val="clear" w:color="auto" w:fill="365F92"/>
          </w:tcPr>
          <w:p>
            <w:pPr>
              <w:pStyle w:val="TableParagraph"/>
              <w:spacing w:before="123"/>
              <w:ind w:left="69"/>
              <w:rPr>
                <w:b/>
                <w:sz w:val="20"/>
              </w:rPr>
            </w:pPr>
            <w:r>
              <w:rPr>
                <w:b/>
                <w:color w:val="FFFFFF"/>
                <w:spacing w:val="-2"/>
                <w:sz w:val="20"/>
              </w:rPr>
              <w:t>Cuenta</w:t>
            </w:r>
          </w:p>
        </w:tc>
        <w:tc>
          <w:tcPr>
            <w:tcW w:w="1673" w:type="dxa"/>
            <w:vMerge w:val="restart"/>
            <w:shd w:val="clear" w:color="auto" w:fill="365F92"/>
          </w:tcPr>
          <w:p>
            <w:pPr>
              <w:pStyle w:val="TableParagraph"/>
              <w:spacing w:before="212"/>
              <w:ind w:left="355"/>
              <w:rPr>
                <w:b/>
                <w:sz w:val="20"/>
              </w:rPr>
            </w:pPr>
            <w:r>
              <w:rPr>
                <w:b/>
                <w:color w:val="FFFFFF"/>
                <w:spacing w:val="-2"/>
                <w:sz w:val="20"/>
              </w:rPr>
              <w:t>Descripción</w:t>
            </w:r>
          </w:p>
        </w:tc>
        <w:tc>
          <w:tcPr>
            <w:tcW w:w="631" w:type="dxa"/>
            <w:vMerge w:val="restart"/>
            <w:shd w:val="clear" w:color="auto" w:fill="365F92"/>
          </w:tcPr>
          <w:p>
            <w:pPr>
              <w:pStyle w:val="TableParagraph"/>
              <w:spacing w:before="212"/>
              <w:ind w:left="117"/>
              <w:rPr>
                <w:b/>
                <w:sz w:val="20"/>
              </w:rPr>
            </w:pPr>
            <w:r>
              <w:rPr>
                <w:b/>
                <w:color w:val="FFFFFF"/>
                <w:spacing w:val="-4"/>
                <w:sz w:val="20"/>
              </w:rPr>
              <w:t>Nota</w:t>
            </w:r>
          </w:p>
        </w:tc>
        <w:tc>
          <w:tcPr>
            <w:tcW w:w="2117" w:type="dxa"/>
            <w:vMerge w:val="restart"/>
            <w:shd w:val="clear" w:color="auto" w:fill="365F92"/>
          </w:tcPr>
          <w:p>
            <w:pPr>
              <w:pStyle w:val="TableParagraph"/>
              <w:spacing w:before="212"/>
              <w:ind w:left="485"/>
              <w:rPr>
                <w:b/>
                <w:sz w:val="20"/>
              </w:rPr>
            </w:pPr>
            <w:r>
              <w:rPr>
                <w:b/>
                <w:color w:val="FFFFFF"/>
                <w:sz w:val="20"/>
              </w:rPr>
              <w:t>Periodo</w:t>
            </w:r>
            <w:r>
              <w:rPr>
                <w:b/>
                <w:color w:val="FFFFFF"/>
                <w:spacing w:val="-5"/>
                <w:sz w:val="20"/>
              </w:rPr>
              <w:t> </w:t>
            </w:r>
            <w:r>
              <w:rPr>
                <w:b/>
                <w:color w:val="FFFFFF"/>
                <w:spacing w:val="-2"/>
                <w:sz w:val="20"/>
              </w:rPr>
              <w:t>Actual</w:t>
            </w:r>
          </w:p>
        </w:tc>
        <w:tc>
          <w:tcPr>
            <w:tcW w:w="2120" w:type="dxa"/>
            <w:vMerge w:val="restart"/>
            <w:shd w:val="clear" w:color="auto" w:fill="365F92"/>
          </w:tcPr>
          <w:p>
            <w:pPr>
              <w:pStyle w:val="TableParagraph"/>
              <w:spacing w:before="212"/>
              <w:ind w:left="401"/>
              <w:rPr>
                <w:b/>
                <w:sz w:val="20"/>
              </w:rPr>
            </w:pPr>
            <w:r>
              <w:rPr>
                <w:b/>
                <w:color w:val="FFFFFF"/>
                <w:sz w:val="20"/>
              </w:rPr>
              <w:t>Periodo</w:t>
            </w:r>
            <w:r>
              <w:rPr>
                <w:b/>
                <w:color w:val="FFFFFF"/>
                <w:spacing w:val="-5"/>
                <w:sz w:val="20"/>
              </w:rPr>
              <w:t> </w:t>
            </w:r>
            <w:r>
              <w:rPr>
                <w:b/>
                <w:color w:val="FFFFFF"/>
                <w:spacing w:val="-2"/>
                <w:sz w:val="20"/>
              </w:rPr>
              <w:t>Anterior</w:t>
            </w:r>
          </w:p>
        </w:tc>
        <w:tc>
          <w:tcPr>
            <w:tcW w:w="1177" w:type="dxa"/>
            <w:shd w:val="clear" w:color="auto" w:fill="365F92"/>
          </w:tcPr>
          <w:p>
            <w:pPr>
              <w:pStyle w:val="TableParagraph"/>
              <w:spacing w:before="44"/>
              <w:ind w:left="19"/>
              <w:jc w:val="center"/>
              <w:rPr>
                <w:b/>
                <w:sz w:val="20"/>
              </w:rPr>
            </w:pPr>
            <w:r>
              <w:rPr>
                <w:b/>
                <w:color w:val="FFFFFF"/>
                <w:spacing w:val="-2"/>
                <w:sz w:val="20"/>
              </w:rPr>
              <w:t>Diferencia</w:t>
            </w:r>
          </w:p>
        </w:tc>
      </w:tr>
      <w:tr>
        <w:trPr>
          <w:trHeight w:val="316" w:hRule="atLeast"/>
        </w:trPr>
        <w:tc>
          <w:tcPr>
            <w:tcW w:w="1296" w:type="dxa"/>
            <w:vMerge/>
            <w:tcBorders>
              <w:top w:val="nil"/>
            </w:tcBorders>
            <w:shd w:val="clear" w:color="auto" w:fill="365F92"/>
          </w:tcPr>
          <w:p>
            <w:pPr>
              <w:rPr>
                <w:sz w:val="2"/>
                <w:szCs w:val="2"/>
              </w:rPr>
            </w:pPr>
          </w:p>
        </w:tc>
        <w:tc>
          <w:tcPr>
            <w:tcW w:w="1673" w:type="dxa"/>
            <w:vMerge/>
            <w:tcBorders>
              <w:top w:val="nil"/>
            </w:tcBorders>
            <w:shd w:val="clear" w:color="auto" w:fill="365F92"/>
          </w:tcPr>
          <w:p>
            <w:pPr>
              <w:rPr>
                <w:sz w:val="2"/>
                <w:szCs w:val="2"/>
              </w:rPr>
            </w:pPr>
          </w:p>
        </w:tc>
        <w:tc>
          <w:tcPr>
            <w:tcW w:w="631" w:type="dxa"/>
            <w:vMerge/>
            <w:tcBorders>
              <w:top w:val="nil"/>
            </w:tcBorders>
            <w:shd w:val="clear" w:color="auto" w:fill="365F92"/>
          </w:tcPr>
          <w:p>
            <w:pPr>
              <w:rPr>
                <w:sz w:val="2"/>
                <w:szCs w:val="2"/>
              </w:rPr>
            </w:pPr>
          </w:p>
        </w:tc>
        <w:tc>
          <w:tcPr>
            <w:tcW w:w="2117" w:type="dxa"/>
            <w:vMerge/>
            <w:tcBorders>
              <w:top w:val="nil"/>
            </w:tcBorders>
            <w:shd w:val="clear" w:color="auto" w:fill="365F92"/>
          </w:tcPr>
          <w:p>
            <w:pPr>
              <w:rPr>
                <w:sz w:val="2"/>
                <w:szCs w:val="2"/>
              </w:rPr>
            </w:pPr>
          </w:p>
        </w:tc>
        <w:tc>
          <w:tcPr>
            <w:tcW w:w="2120" w:type="dxa"/>
            <w:vMerge/>
            <w:tcBorders>
              <w:top w:val="nil"/>
            </w:tcBorders>
            <w:shd w:val="clear" w:color="auto" w:fill="365F92"/>
          </w:tcPr>
          <w:p>
            <w:pPr>
              <w:rPr>
                <w:sz w:val="2"/>
                <w:szCs w:val="2"/>
              </w:rPr>
            </w:pPr>
          </w:p>
        </w:tc>
        <w:tc>
          <w:tcPr>
            <w:tcW w:w="1177" w:type="dxa"/>
            <w:shd w:val="clear" w:color="auto" w:fill="365F92"/>
          </w:tcPr>
          <w:p>
            <w:pPr>
              <w:pStyle w:val="TableParagraph"/>
              <w:spacing w:before="44"/>
              <w:ind w:left="19" w:right="1"/>
              <w:jc w:val="center"/>
              <w:rPr>
                <w:sz w:val="20"/>
              </w:rPr>
            </w:pPr>
            <w:r>
              <w:rPr>
                <w:color w:val="FFFFFF"/>
                <w:spacing w:val="-10"/>
                <w:sz w:val="20"/>
              </w:rPr>
              <w:t>%</w:t>
            </w:r>
          </w:p>
        </w:tc>
      </w:tr>
      <w:tr>
        <w:trPr>
          <w:trHeight w:val="457" w:hRule="atLeast"/>
        </w:trPr>
        <w:tc>
          <w:tcPr>
            <w:tcW w:w="1296" w:type="dxa"/>
          </w:tcPr>
          <w:p>
            <w:pPr>
              <w:pStyle w:val="TableParagraph"/>
              <w:spacing w:before="113"/>
              <w:ind w:left="69"/>
              <w:rPr>
                <w:b/>
                <w:sz w:val="20"/>
              </w:rPr>
            </w:pPr>
            <w:r>
              <w:rPr>
                <w:b/>
                <w:spacing w:val="-2"/>
                <w:sz w:val="20"/>
              </w:rPr>
              <w:t>3.1.2.</w:t>
            </w:r>
          </w:p>
        </w:tc>
        <w:tc>
          <w:tcPr>
            <w:tcW w:w="1673" w:type="dxa"/>
          </w:tcPr>
          <w:p>
            <w:pPr>
              <w:pStyle w:val="TableParagraph"/>
              <w:spacing w:line="227" w:lineRule="exact"/>
              <w:ind w:left="69"/>
              <w:rPr>
                <w:b/>
                <w:sz w:val="20"/>
              </w:rPr>
            </w:pPr>
            <w:r>
              <w:rPr>
                <w:b/>
                <w:sz w:val="20"/>
              </w:rPr>
              <w:t>Transferencias</w:t>
            </w:r>
            <w:r>
              <w:rPr>
                <w:b/>
                <w:spacing w:val="-10"/>
                <w:sz w:val="20"/>
              </w:rPr>
              <w:t> </w:t>
            </w:r>
            <w:r>
              <w:rPr>
                <w:b/>
                <w:spacing w:val="-5"/>
                <w:sz w:val="20"/>
              </w:rPr>
              <w:t>de</w:t>
            </w:r>
          </w:p>
          <w:p>
            <w:pPr>
              <w:pStyle w:val="TableParagraph"/>
              <w:spacing w:line="211" w:lineRule="exact"/>
              <w:ind w:left="69"/>
              <w:rPr>
                <w:b/>
                <w:sz w:val="20"/>
              </w:rPr>
            </w:pPr>
            <w:r>
              <w:rPr>
                <w:b/>
                <w:spacing w:val="-2"/>
                <w:sz w:val="20"/>
              </w:rPr>
              <w:t>capital</w:t>
            </w:r>
          </w:p>
        </w:tc>
        <w:tc>
          <w:tcPr>
            <w:tcW w:w="631" w:type="dxa"/>
          </w:tcPr>
          <w:p>
            <w:pPr>
              <w:pStyle w:val="TableParagraph"/>
              <w:spacing w:before="113"/>
              <w:ind w:left="215"/>
              <w:rPr>
                <w:b/>
                <w:sz w:val="20"/>
              </w:rPr>
            </w:pPr>
            <w:r>
              <w:rPr>
                <w:b/>
                <w:spacing w:val="-5"/>
                <w:sz w:val="20"/>
              </w:rPr>
              <w:t>25</w:t>
            </w:r>
          </w:p>
        </w:tc>
        <w:tc>
          <w:tcPr>
            <w:tcW w:w="2117" w:type="dxa"/>
          </w:tcPr>
          <w:p>
            <w:pPr>
              <w:pStyle w:val="TableParagraph"/>
              <w:spacing w:before="113"/>
              <w:ind w:left="18"/>
              <w:jc w:val="center"/>
              <w:rPr>
                <w:b/>
                <w:sz w:val="20"/>
              </w:rPr>
            </w:pPr>
            <w:r>
              <w:rPr>
                <w:b/>
                <w:spacing w:val="-4"/>
                <w:sz w:val="20"/>
              </w:rPr>
              <w:t>0,00</w:t>
            </w:r>
          </w:p>
        </w:tc>
        <w:tc>
          <w:tcPr>
            <w:tcW w:w="2120" w:type="dxa"/>
          </w:tcPr>
          <w:p>
            <w:pPr>
              <w:pStyle w:val="TableParagraph"/>
              <w:spacing w:before="113"/>
              <w:ind w:left="16"/>
              <w:jc w:val="center"/>
              <w:rPr>
                <w:b/>
                <w:sz w:val="20"/>
              </w:rPr>
            </w:pPr>
            <w:r>
              <w:rPr>
                <w:b/>
                <w:spacing w:val="-4"/>
                <w:sz w:val="20"/>
              </w:rPr>
              <w:t>0,00</w:t>
            </w:r>
          </w:p>
        </w:tc>
        <w:tc>
          <w:tcPr>
            <w:tcW w:w="1177" w:type="dxa"/>
          </w:tcPr>
          <w:p>
            <w:pPr>
              <w:pStyle w:val="TableParagraph"/>
              <w:spacing w:before="113"/>
              <w:ind w:left="19" w:right="2"/>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2400">
                <wp:simplePos x="0" y="0"/>
                <wp:positionH relativeFrom="page">
                  <wp:posOffset>9525</wp:posOffset>
                </wp:positionH>
                <wp:positionV relativeFrom="page">
                  <wp:posOffset>297208</wp:posOffset>
                </wp:positionV>
                <wp:extent cx="7762875" cy="9748520"/>
                <wp:effectExtent l="0" t="0" r="0" b="0"/>
                <wp:wrapNone/>
                <wp:docPr id="871" name="Group 871"/>
                <wp:cNvGraphicFramePr>
                  <a:graphicFrameLocks/>
                </wp:cNvGraphicFramePr>
                <a:graphic>
                  <a:graphicData uri="http://schemas.microsoft.com/office/word/2010/wordprocessingGroup">
                    <wpg:wgp>
                      <wpg:cNvPr id="871" name="Group 871"/>
                      <wpg:cNvGrpSpPr/>
                      <wpg:grpSpPr>
                        <a:xfrm>
                          <a:off x="0" y="0"/>
                          <a:ext cx="7762875" cy="9748520"/>
                          <a:chExt cx="7762875" cy="9748520"/>
                        </a:xfrm>
                      </wpg:grpSpPr>
                      <pic:pic>
                        <pic:nvPicPr>
                          <pic:cNvPr id="872" name="Image 872"/>
                          <pic:cNvPicPr/>
                        </pic:nvPicPr>
                        <pic:blipFill>
                          <a:blip r:embed="rId5" cstate="print"/>
                          <a:stretch>
                            <a:fillRect/>
                          </a:stretch>
                        </pic:blipFill>
                        <pic:spPr>
                          <a:xfrm>
                            <a:off x="0" y="0"/>
                            <a:ext cx="7762874" cy="9748489"/>
                          </a:xfrm>
                          <a:prstGeom prst="rect">
                            <a:avLst/>
                          </a:prstGeom>
                        </pic:spPr>
                      </pic:pic>
                      <wps:wsp>
                        <wps:cNvPr id="873" name="Graphic 87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4080" id="docshapegroup846" coordorigin="15,468" coordsize="12225,15352">
                <v:shape style="position:absolute;left:15;top:468;width:12225;height:15352" type="#_x0000_t75" id="docshape847" stroked="false">
                  <v:imagedata r:id="rId5" o:title=""/>
                </v:shape>
                <v:rect style="position:absolute;left:1673;top:2028;width:8897;height:15" id="docshape84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175</w:t>
      </w:r>
    </w:p>
    <w:p>
      <w:pPr>
        <w:pStyle w:val="BodyText"/>
        <w:spacing w:before="10"/>
        <w:rPr>
          <w:sz w:val="16"/>
        </w:rPr>
      </w:pPr>
      <w:r>
        <w:rPr>
          <w:sz w:val="16"/>
        </w:rPr>
        <mc:AlternateContent>
          <mc:Choice Requires="wps">
            <w:drawing>
              <wp:anchor distT="0" distB="0" distL="0" distR="0" allowOverlap="1" layoutInCell="1" locked="0" behindDoc="1" simplePos="0" relativeHeight="487763968">
                <wp:simplePos x="0" y="0"/>
                <wp:positionH relativeFrom="page">
                  <wp:posOffset>1080820</wp:posOffset>
                </wp:positionH>
                <wp:positionV relativeFrom="paragraph">
                  <wp:posOffset>141144</wp:posOffset>
                </wp:positionV>
                <wp:extent cx="5715000" cy="554990"/>
                <wp:effectExtent l="0" t="0" r="0" b="0"/>
                <wp:wrapTopAndBottom/>
                <wp:docPr id="874" name="Textbox 874"/>
                <wp:cNvGraphicFramePr>
                  <a:graphicFrameLocks/>
                </wp:cNvGraphicFramePr>
                <a:graphic>
                  <a:graphicData uri="http://schemas.microsoft.com/office/word/2010/wordprocessingShape">
                    <wps:wsp>
                      <wps:cNvPr id="874" name="Textbox 874"/>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552512;mso-wrap-distance-left:0;mso-wrap-distance-right:0" type="#_x0000_t202" id="docshape84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v:textbox>
                <v:stroke dashstyle="solid"/>
                <w10:wrap type="topAndBottom"/>
              </v:shape>
            </w:pict>
          </mc:Fallback>
        </mc:AlternateContent>
      </w:r>
    </w:p>
    <w:p>
      <w:pPr>
        <w:pStyle w:val="BodyText"/>
        <w:spacing w:before="183"/>
      </w:pPr>
    </w:p>
    <w:p>
      <w:pPr>
        <w:spacing w:before="1"/>
        <w:ind w:left="622" w:right="0" w:firstLine="0"/>
        <w:jc w:val="left"/>
        <w:rPr>
          <w:b/>
          <w:sz w:val="22"/>
        </w:rPr>
      </w:pPr>
      <w:bookmarkStart w:name="_bookmark145" w:id="146"/>
      <w:bookmarkEnd w:id="146"/>
      <w:r>
        <w:rPr/>
      </w:r>
      <w:r>
        <w:rPr>
          <w:b/>
          <w:sz w:val="22"/>
        </w:rPr>
        <w:t>NOTA</w:t>
      </w:r>
      <w:r>
        <w:rPr>
          <w:b/>
          <w:spacing w:val="-1"/>
          <w:sz w:val="22"/>
        </w:rPr>
        <w:t> </w:t>
      </w:r>
      <w:r>
        <w:rPr>
          <w:b/>
          <w:sz w:val="22"/>
        </w:rPr>
        <w:t>N° </w:t>
      </w:r>
      <w:r>
        <w:rPr>
          <w:b/>
          <w:spacing w:val="-5"/>
          <w:sz w:val="22"/>
        </w:rPr>
        <w:t>86</w:t>
      </w:r>
    </w:p>
    <w:p>
      <w:pPr>
        <w:pStyle w:val="BodyText"/>
        <w:spacing w:before="114"/>
        <w:rPr>
          <w:b/>
        </w:rPr>
      </w:pPr>
    </w:p>
    <w:p>
      <w:pPr>
        <w:pStyle w:val="Heading6"/>
        <w:spacing w:before="1"/>
        <w:ind w:left="622"/>
      </w:pPr>
      <w:r>
        <w:rPr>
          <w:spacing w:val="-2"/>
          <w:u w:val="single"/>
        </w:rPr>
        <w:t>Reservas</w:t>
      </w:r>
    </w:p>
    <w:p>
      <w:pPr>
        <w:pStyle w:val="BodyText"/>
        <w:spacing w:before="6" w:after="1"/>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54"/>
        <w:gridCol w:w="1520"/>
        <w:gridCol w:w="643"/>
        <w:gridCol w:w="2160"/>
        <w:gridCol w:w="2160"/>
        <w:gridCol w:w="1197"/>
      </w:tblGrid>
      <w:tr>
        <w:trPr>
          <w:trHeight w:val="326" w:hRule="atLeast"/>
        </w:trPr>
        <w:tc>
          <w:tcPr>
            <w:tcW w:w="1354" w:type="dxa"/>
            <w:vMerge w:val="restart"/>
            <w:shd w:val="clear" w:color="auto" w:fill="365F92"/>
          </w:tcPr>
          <w:p>
            <w:pPr>
              <w:pStyle w:val="TableParagraph"/>
              <w:spacing w:before="130"/>
              <w:ind w:left="69"/>
              <w:rPr>
                <w:sz w:val="20"/>
              </w:rPr>
            </w:pPr>
            <w:r>
              <w:rPr>
                <w:spacing w:val="-2"/>
                <w:sz w:val="20"/>
              </w:rPr>
              <w:t>Cuenta</w:t>
            </w:r>
          </w:p>
        </w:tc>
        <w:tc>
          <w:tcPr>
            <w:tcW w:w="1520" w:type="dxa"/>
            <w:vMerge w:val="restart"/>
            <w:shd w:val="clear" w:color="auto" w:fill="365F92"/>
          </w:tcPr>
          <w:p>
            <w:pPr>
              <w:pStyle w:val="TableParagraph"/>
              <w:spacing w:before="220"/>
              <w:ind w:left="275"/>
              <w:rPr>
                <w:sz w:val="20"/>
              </w:rPr>
            </w:pPr>
            <w:r>
              <w:rPr>
                <w:spacing w:val="-2"/>
                <w:sz w:val="20"/>
              </w:rPr>
              <w:t>Descripción</w:t>
            </w:r>
          </w:p>
        </w:tc>
        <w:tc>
          <w:tcPr>
            <w:tcW w:w="643" w:type="dxa"/>
            <w:vMerge w:val="restart"/>
            <w:shd w:val="clear" w:color="auto" w:fill="365F92"/>
          </w:tcPr>
          <w:p>
            <w:pPr>
              <w:pStyle w:val="TableParagraph"/>
              <w:spacing w:before="220"/>
              <w:ind w:left="123"/>
              <w:rPr>
                <w:sz w:val="20"/>
              </w:rPr>
            </w:pPr>
            <w:r>
              <w:rPr>
                <w:spacing w:val="-4"/>
                <w:sz w:val="20"/>
              </w:rPr>
              <w:t>Nota</w:t>
            </w:r>
          </w:p>
        </w:tc>
        <w:tc>
          <w:tcPr>
            <w:tcW w:w="2160" w:type="dxa"/>
            <w:vMerge w:val="restart"/>
            <w:shd w:val="clear" w:color="auto" w:fill="365F92"/>
          </w:tcPr>
          <w:p>
            <w:pPr>
              <w:pStyle w:val="TableParagraph"/>
              <w:spacing w:before="220"/>
              <w:ind w:left="505"/>
              <w:rPr>
                <w:sz w:val="20"/>
              </w:rPr>
            </w:pPr>
            <w:r>
              <w:rPr>
                <w:sz w:val="20"/>
              </w:rPr>
              <w:t>Periodo</w:t>
            </w:r>
            <w:r>
              <w:rPr>
                <w:spacing w:val="-7"/>
                <w:sz w:val="20"/>
              </w:rPr>
              <w:t> </w:t>
            </w:r>
            <w:r>
              <w:rPr>
                <w:spacing w:val="-2"/>
                <w:sz w:val="20"/>
              </w:rPr>
              <w:t>Actual</w:t>
            </w:r>
          </w:p>
        </w:tc>
        <w:tc>
          <w:tcPr>
            <w:tcW w:w="2160" w:type="dxa"/>
            <w:vMerge w:val="restart"/>
            <w:shd w:val="clear" w:color="auto" w:fill="365F92"/>
          </w:tcPr>
          <w:p>
            <w:pPr>
              <w:pStyle w:val="TableParagraph"/>
              <w:spacing w:before="220"/>
              <w:ind w:left="424"/>
              <w:rPr>
                <w:sz w:val="20"/>
              </w:rPr>
            </w:pPr>
            <w:r>
              <w:rPr>
                <w:sz w:val="20"/>
              </w:rPr>
              <w:t>Periodo</w:t>
            </w:r>
            <w:r>
              <w:rPr>
                <w:spacing w:val="-7"/>
                <w:sz w:val="20"/>
              </w:rPr>
              <w:t> </w:t>
            </w:r>
            <w:r>
              <w:rPr>
                <w:spacing w:val="-2"/>
                <w:sz w:val="20"/>
              </w:rPr>
              <w:t>Anterior</w:t>
            </w:r>
          </w:p>
        </w:tc>
        <w:tc>
          <w:tcPr>
            <w:tcW w:w="1197" w:type="dxa"/>
            <w:shd w:val="clear" w:color="auto" w:fill="365F92"/>
          </w:tcPr>
          <w:p>
            <w:pPr>
              <w:pStyle w:val="TableParagraph"/>
              <w:spacing w:before="49"/>
              <w:ind w:left="28" w:right="7"/>
              <w:jc w:val="center"/>
              <w:rPr>
                <w:sz w:val="20"/>
              </w:rPr>
            </w:pPr>
            <w:r>
              <w:rPr>
                <w:spacing w:val="-2"/>
                <w:sz w:val="20"/>
              </w:rPr>
              <w:t>Diferencia</w:t>
            </w:r>
          </w:p>
        </w:tc>
      </w:tr>
      <w:tr>
        <w:trPr>
          <w:trHeight w:val="323" w:hRule="atLeast"/>
        </w:trPr>
        <w:tc>
          <w:tcPr>
            <w:tcW w:w="1354" w:type="dxa"/>
            <w:vMerge/>
            <w:tcBorders>
              <w:top w:val="nil"/>
            </w:tcBorders>
            <w:shd w:val="clear" w:color="auto" w:fill="365F92"/>
          </w:tcPr>
          <w:p>
            <w:pPr>
              <w:rPr>
                <w:sz w:val="2"/>
                <w:szCs w:val="2"/>
              </w:rPr>
            </w:pPr>
          </w:p>
        </w:tc>
        <w:tc>
          <w:tcPr>
            <w:tcW w:w="1520" w:type="dxa"/>
            <w:vMerge/>
            <w:tcBorders>
              <w:top w:val="nil"/>
            </w:tcBorders>
            <w:shd w:val="clear" w:color="auto" w:fill="365F92"/>
          </w:tcPr>
          <w:p>
            <w:pPr>
              <w:rPr>
                <w:sz w:val="2"/>
                <w:szCs w:val="2"/>
              </w:rPr>
            </w:pPr>
          </w:p>
        </w:tc>
        <w:tc>
          <w:tcPr>
            <w:tcW w:w="643"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11"/>
              <w:jc w:val="center"/>
              <w:rPr>
                <w:sz w:val="20"/>
              </w:rPr>
            </w:pPr>
            <w:r>
              <w:rPr>
                <w:spacing w:val="-10"/>
                <w:sz w:val="20"/>
              </w:rPr>
              <w:t>%</w:t>
            </w:r>
          </w:p>
        </w:tc>
      </w:tr>
      <w:tr>
        <w:trPr>
          <w:trHeight w:val="325" w:hRule="atLeast"/>
        </w:trPr>
        <w:tc>
          <w:tcPr>
            <w:tcW w:w="1354" w:type="dxa"/>
          </w:tcPr>
          <w:p>
            <w:pPr>
              <w:pStyle w:val="TableParagraph"/>
              <w:spacing w:before="46"/>
              <w:ind w:left="69"/>
              <w:rPr>
                <w:sz w:val="20"/>
              </w:rPr>
            </w:pPr>
            <w:r>
              <w:rPr>
                <w:spacing w:val="-2"/>
                <w:sz w:val="20"/>
              </w:rPr>
              <w:t>3.1.3.</w:t>
            </w:r>
          </w:p>
        </w:tc>
        <w:tc>
          <w:tcPr>
            <w:tcW w:w="1520" w:type="dxa"/>
          </w:tcPr>
          <w:p>
            <w:pPr>
              <w:pStyle w:val="TableParagraph"/>
              <w:spacing w:before="46"/>
              <w:ind w:left="66"/>
              <w:rPr>
                <w:sz w:val="20"/>
              </w:rPr>
            </w:pPr>
            <w:r>
              <w:rPr>
                <w:spacing w:val="-2"/>
                <w:sz w:val="20"/>
              </w:rPr>
              <w:t>Reservas</w:t>
            </w:r>
          </w:p>
        </w:tc>
        <w:tc>
          <w:tcPr>
            <w:tcW w:w="643" w:type="dxa"/>
          </w:tcPr>
          <w:p>
            <w:pPr>
              <w:pStyle w:val="TableParagraph"/>
              <w:spacing w:before="46"/>
              <w:ind w:left="222"/>
              <w:rPr>
                <w:sz w:val="20"/>
              </w:rPr>
            </w:pPr>
            <w:r>
              <w:rPr>
                <w:spacing w:val="-5"/>
                <w:sz w:val="20"/>
              </w:rPr>
              <w:t>26</w:t>
            </w:r>
          </w:p>
        </w:tc>
        <w:tc>
          <w:tcPr>
            <w:tcW w:w="2160" w:type="dxa"/>
          </w:tcPr>
          <w:p>
            <w:pPr>
              <w:pStyle w:val="TableParagraph"/>
              <w:spacing w:before="46"/>
              <w:ind w:left="71" w:right="55"/>
              <w:jc w:val="center"/>
              <w:rPr>
                <w:b/>
                <w:sz w:val="20"/>
              </w:rPr>
            </w:pPr>
            <w:r>
              <w:rPr>
                <w:b/>
                <w:spacing w:val="-4"/>
                <w:sz w:val="20"/>
              </w:rPr>
              <w:t>0,00</w:t>
            </w:r>
          </w:p>
        </w:tc>
        <w:tc>
          <w:tcPr>
            <w:tcW w:w="2160" w:type="dxa"/>
          </w:tcPr>
          <w:p>
            <w:pPr>
              <w:pStyle w:val="TableParagraph"/>
              <w:spacing w:before="46"/>
              <w:ind w:left="71" w:right="54"/>
              <w:jc w:val="center"/>
              <w:rPr>
                <w:b/>
                <w:sz w:val="20"/>
              </w:rPr>
            </w:pPr>
            <w:r>
              <w:rPr>
                <w:b/>
                <w:spacing w:val="-4"/>
                <w:sz w:val="20"/>
              </w:rPr>
              <w:t>0,00</w:t>
            </w:r>
          </w:p>
        </w:tc>
        <w:tc>
          <w:tcPr>
            <w:tcW w:w="1197" w:type="dxa"/>
          </w:tcPr>
          <w:p>
            <w:pPr>
              <w:pStyle w:val="TableParagraph"/>
              <w:spacing w:before="46"/>
              <w:ind w:left="28" w:right="9"/>
              <w:jc w:val="center"/>
              <w:rPr>
                <w:sz w:val="20"/>
              </w:rPr>
            </w:pPr>
            <w:r>
              <w:rPr>
                <w:spacing w:val="-2"/>
                <w:sz w:val="20"/>
              </w:rPr>
              <w:t>0,00%</w:t>
            </w:r>
          </w:p>
        </w:tc>
      </w:tr>
    </w:tbl>
    <w:p>
      <w:pPr>
        <w:pStyle w:val="BodyText"/>
        <w:spacing w:before="177"/>
        <w:rPr>
          <w:b/>
          <w:sz w:val="20"/>
        </w:rPr>
      </w:pPr>
      <w:r>
        <w:rPr>
          <w:b/>
          <w:sz w:val="20"/>
        </w:rPr>
        <mc:AlternateContent>
          <mc:Choice Requires="wps">
            <w:drawing>
              <wp:anchor distT="0" distB="0" distL="0" distR="0" allowOverlap="1" layoutInCell="1" locked="0" behindDoc="1" simplePos="0" relativeHeight="487764480">
                <wp:simplePos x="0" y="0"/>
                <wp:positionH relativeFrom="page">
                  <wp:posOffset>1080820</wp:posOffset>
                </wp:positionH>
                <wp:positionV relativeFrom="paragraph">
                  <wp:posOffset>275970</wp:posOffset>
                </wp:positionV>
                <wp:extent cx="5715000" cy="554990"/>
                <wp:effectExtent l="0" t="0" r="0" b="0"/>
                <wp:wrapTopAndBottom/>
                <wp:docPr id="875" name="Textbox 875"/>
                <wp:cNvGraphicFramePr>
                  <a:graphicFrameLocks/>
                </wp:cNvGraphicFramePr>
                <a:graphic>
                  <a:graphicData uri="http://schemas.microsoft.com/office/word/2010/wordprocessingShape">
                    <wps:wsp>
                      <wps:cNvPr id="875" name="Textbox 875"/>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1.73pt;width:450pt;height:43.7pt;mso-position-horizontal-relative:page;mso-position-vertical-relative:paragraph;z-index:-15552000;mso-wrap-distance-left:0;mso-wrap-distance-right:0" type="#_x0000_t202" id="docshape85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3"/>
        <w:rPr>
          <w:b/>
        </w:rPr>
      </w:pPr>
    </w:p>
    <w:p>
      <w:pPr>
        <w:spacing w:before="1"/>
        <w:ind w:left="622" w:right="0" w:firstLine="0"/>
        <w:jc w:val="left"/>
        <w:rPr>
          <w:b/>
          <w:sz w:val="22"/>
        </w:rPr>
      </w:pPr>
      <w:bookmarkStart w:name="_bookmark146" w:id="147"/>
      <w:bookmarkEnd w:id="147"/>
      <w:r>
        <w:rPr/>
      </w:r>
      <w:r>
        <w:rPr>
          <w:b/>
          <w:sz w:val="22"/>
        </w:rPr>
        <w:t>NOTA</w:t>
      </w:r>
      <w:r>
        <w:rPr>
          <w:b/>
          <w:spacing w:val="-1"/>
          <w:sz w:val="22"/>
        </w:rPr>
        <w:t> </w:t>
      </w:r>
      <w:r>
        <w:rPr>
          <w:b/>
          <w:sz w:val="22"/>
        </w:rPr>
        <w:t>N° </w:t>
      </w:r>
      <w:r>
        <w:rPr>
          <w:b/>
          <w:spacing w:val="-5"/>
          <w:sz w:val="22"/>
        </w:rPr>
        <w:t>87</w:t>
      </w:r>
    </w:p>
    <w:p>
      <w:pPr>
        <w:pStyle w:val="BodyText"/>
        <w:spacing w:before="114"/>
        <w:rPr>
          <w:b/>
        </w:rPr>
      </w:pPr>
    </w:p>
    <w:p>
      <w:pPr>
        <w:pStyle w:val="Heading6"/>
        <w:spacing w:before="1"/>
        <w:ind w:left="622"/>
      </w:pPr>
      <w:r>
        <w:rPr>
          <w:u w:val="single"/>
        </w:rPr>
        <w:t>Variaciones</w:t>
      </w:r>
      <w:r>
        <w:rPr>
          <w:spacing w:val="-3"/>
          <w:u w:val="single"/>
        </w:rPr>
        <w:t> </w:t>
      </w:r>
      <w:r>
        <w:rPr>
          <w:u w:val="single"/>
        </w:rPr>
        <w:t>no</w:t>
      </w:r>
      <w:r>
        <w:rPr>
          <w:spacing w:val="-4"/>
          <w:u w:val="single"/>
        </w:rPr>
        <w:t> </w:t>
      </w:r>
      <w:r>
        <w:rPr>
          <w:u w:val="single"/>
        </w:rPr>
        <w:t>asignables</w:t>
      </w:r>
      <w:r>
        <w:rPr>
          <w:spacing w:val="-3"/>
          <w:u w:val="single"/>
        </w:rPr>
        <w:t> </w:t>
      </w:r>
      <w:r>
        <w:rPr>
          <w:u w:val="single"/>
        </w:rPr>
        <w:t>a</w:t>
      </w:r>
      <w:r>
        <w:rPr>
          <w:spacing w:val="-6"/>
          <w:u w:val="single"/>
        </w:rPr>
        <w:t> </w:t>
      </w:r>
      <w:r>
        <w:rPr>
          <w:spacing w:val="-2"/>
          <w:u w:val="single"/>
        </w:rPr>
        <w:t>reservas</w:t>
      </w:r>
    </w:p>
    <w:p>
      <w:pPr>
        <w:pStyle w:val="BodyText"/>
        <w:spacing w:before="7"/>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86"/>
        <w:gridCol w:w="2816"/>
        <w:gridCol w:w="566"/>
        <w:gridCol w:w="1560"/>
        <w:gridCol w:w="1670"/>
        <w:gridCol w:w="1207"/>
      </w:tblGrid>
      <w:tr>
        <w:trPr>
          <w:trHeight w:val="268" w:hRule="atLeast"/>
        </w:trPr>
        <w:tc>
          <w:tcPr>
            <w:tcW w:w="1286" w:type="dxa"/>
            <w:vMerge w:val="restart"/>
            <w:shd w:val="clear" w:color="auto" w:fill="365F92"/>
          </w:tcPr>
          <w:p>
            <w:pPr>
              <w:pStyle w:val="TableParagraph"/>
              <w:spacing w:before="73"/>
              <w:ind w:left="69"/>
              <w:rPr>
                <w:b/>
                <w:sz w:val="20"/>
              </w:rPr>
            </w:pPr>
            <w:r>
              <w:rPr>
                <w:b/>
                <w:color w:val="FFFFFF"/>
                <w:spacing w:val="-2"/>
                <w:sz w:val="20"/>
              </w:rPr>
              <w:t>Cuenta</w:t>
            </w:r>
          </w:p>
        </w:tc>
        <w:tc>
          <w:tcPr>
            <w:tcW w:w="2816" w:type="dxa"/>
            <w:vMerge w:val="restart"/>
            <w:shd w:val="clear" w:color="auto" w:fill="365F92"/>
          </w:tcPr>
          <w:p>
            <w:pPr>
              <w:pStyle w:val="TableParagraph"/>
              <w:spacing w:before="161"/>
              <w:ind w:left="926"/>
              <w:rPr>
                <w:b/>
                <w:sz w:val="20"/>
              </w:rPr>
            </w:pPr>
            <w:r>
              <w:rPr>
                <w:b/>
                <w:color w:val="FFFFFF"/>
                <w:spacing w:val="-2"/>
                <w:sz w:val="20"/>
              </w:rPr>
              <w:t>Descripción</w:t>
            </w:r>
          </w:p>
        </w:tc>
        <w:tc>
          <w:tcPr>
            <w:tcW w:w="566" w:type="dxa"/>
            <w:vMerge w:val="restart"/>
            <w:shd w:val="clear" w:color="auto" w:fill="365F92"/>
          </w:tcPr>
          <w:p>
            <w:pPr>
              <w:pStyle w:val="TableParagraph"/>
              <w:spacing w:before="161"/>
              <w:ind w:left="86"/>
              <w:rPr>
                <w:b/>
                <w:sz w:val="20"/>
              </w:rPr>
            </w:pPr>
            <w:r>
              <w:rPr>
                <w:b/>
                <w:color w:val="FFFFFF"/>
                <w:spacing w:val="-4"/>
                <w:sz w:val="20"/>
              </w:rPr>
              <w:t>Nota</w:t>
            </w:r>
          </w:p>
        </w:tc>
        <w:tc>
          <w:tcPr>
            <w:tcW w:w="1560" w:type="dxa"/>
            <w:vMerge w:val="restart"/>
            <w:shd w:val="clear" w:color="auto" w:fill="365F92"/>
          </w:tcPr>
          <w:p>
            <w:pPr>
              <w:pStyle w:val="TableParagraph"/>
              <w:spacing w:before="161"/>
              <w:ind w:left="204"/>
              <w:rPr>
                <w:b/>
                <w:sz w:val="20"/>
              </w:rPr>
            </w:pPr>
            <w:r>
              <w:rPr>
                <w:b/>
                <w:color w:val="FFFFFF"/>
                <w:sz w:val="20"/>
              </w:rPr>
              <w:t>Periodo</w:t>
            </w:r>
            <w:r>
              <w:rPr>
                <w:b/>
                <w:color w:val="FFFFFF"/>
                <w:spacing w:val="-5"/>
                <w:sz w:val="20"/>
              </w:rPr>
              <w:t> </w:t>
            </w:r>
            <w:r>
              <w:rPr>
                <w:b/>
                <w:color w:val="FFFFFF"/>
                <w:spacing w:val="-2"/>
                <w:sz w:val="20"/>
              </w:rPr>
              <w:t>Actual</w:t>
            </w:r>
          </w:p>
        </w:tc>
        <w:tc>
          <w:tcPr>
            <w:tcW w:w="1670" w:type="dxa"/>
            <w:vMerge w:val="restart"/>
            <w:shd w:val="clear" w:color="auto" w:fill="365F92"/>
          </w:tcPr>
          <w:p>
            <w:pPr>
              <w:pStyle w:val="TableParagraph"/>
              <w:spacing w:before="161"/>
              <w:ind w:left="178"/>
              <w:rPr>
                <w:b/>
                <w:sz w:val="20"/>
              </w:rPr>
            </w:pPr>
            <w:r>
              <w:rPr>
                <w:b/>
                <w:color w:val="FFFFFF"/>
                <w:sz w:val="20"/>
              </w:rPr>
              <w:t>Periodo</w:t>
            </w:r>
            <w:r>
              <w:rPr>
                <w:b/>
                <w:color w:val="FFFFFF"/>
                <w:spacing w:val="-5"/>
                <w:sz w:val="20"/>
              </w:rPr>
              <w:t> </w:t>
            </w:r>
            <w:r>
              <w:rPr>
                <w:b/>
                <w:color w:val="FFFFFF"/>
                <w:spacing w:val="-2"/>
                <w:sz w:val="20"/>
              </w:rPr>
              <w:t>Anterior</w:t>
            </w:r>
          </w:p>
        </w:tc>
        <w:tc>
          <w:tcPr>
            <w:tcW w:w="1207" w:type="dxa"/>
            <w:shd w:val="clear" w:color="auto" w:fill="365F92"/>
          </w:tcPr>
          <w:p>
            <w:pPr>
              <w:pStyle w:val="TableParagraph"/>
              <w:spacing w:line="228" w:lineRule="exact" w:before="20"/>
              <w:ind w:left="24" w:right="3"/>
              <w:jc w:val="center"/>
              <w:rPr>
                <w:b/>
                <w:sz w:val="20"/>
              </w:rPr>
            </w:pPr>
            <w:r>
              <w:rPr>
                <w:b/>
                <w:color w:val="FFFFFF"/>
                <w:spacing w:val="-2"/>
                <w:sz w:val="20"/>
              </w:rPr>
              <w:t>Diferencia</w:t>
            </w:r>
          </w:p>
        </w:tc>
      </w:tr>
      <w:tr>
        <w:trPr>
          <w:trHeight w:val="265" w:hRule="atLeast"/>
        </w:trPr>
        <w:tc>
          <w:tcPr>
            <w:tcW w:w="1286" w:type="dxa"/>
            <w:vMerge/>
            <w:tcBorders>
              <w:top w:val="nil"/>
            </w:tcBorders>
            <w:shd w:val="clear" w:color="auto" w:fill="365F92"/>
          </w:tcPr>
          <w:p>
            <w:pPr>
              <w:rPr>
                <w:sz w:val="2"/>
                <w:szCs w:val="2"/>
              </w:rPr>
            </w:pPr>
          </w:p>
        </w:tc>
        <w:tc>
          <w:tcPr>
            <w:tcW w:w="2816" w:type="dxa"/>
            <w:vMerge/>
            <w:tcBorders>
              <w:top w:val="nil"/>
            </w:tcBorders>
            <w:shd w:val="clear" w:color="auto" w:fill="365F92"/>
          </w:tcPr>
          <w:p>
            <w:pPr>
              <w:rPr>
                <w:sz w:val="2"/>
                <w:szCs w:val="2"/>
              </w:rPr>
            </w:pPr>
          </w:p>
        </w:tc>
        <w:tc>
          <w:tcPr>
            <w:tcW w:w="566" w:type="dxa"/>
            <w:vMerge/>
            <w:tcBorders>
              <w:top w:val="nil"/>
            </w:tcBorders>
            <w:shd w:val="clear" w:color="auto" w:fill="365F92"/>
          </w:tcPr>
          <w:p>
            <w:pPr>
              <w:rPr>
                <w:sz w:val="2"/>
                <w:szCs w:val="2"/>
              </w:rPr>
            </w:pPr>
          </w:p>
        </w:tc>
        <w:tc>
          <w:tcPr>
            <w:tcW w:w="1560" w:type="dxa"/>
            <w:vMerge/>
            <w:tcBorders>
              <w:top w:val="nil"/>
            </w:tcBorders>
            <w:shd w:val="clear" w:color="auto" w:fill="365F92"/>
          </w:tcPr>
          <w:p>
            <w:pPr>
              <w:rPr>
                <w:sz w:val="2"/>
                <w:szCs w:val="2"/>
              </w:rPr>
            </w:pPr>
          </w:p>
        </w:tc>
        <w:tc>
          <w:tcPr>
            <w:tcW w:w="1670" w:type="dxa"/>
            <w:vMerge/>
            <w:tcBorders>
              <w:top w:val="nil"/>
            </w:tcBorders>
            <w:shd w:val="clear" w:color="auto" w:fill="365F92"/>
          </w:tcPr>
          <w:p>
            <w:pPr>
              <w:rPr>
                <w:sz w:val="2"/>
                <w:szCs w:val="2"/>
              </w:rPr>
            </w:pPr>
          </w:p>
        </w:tc>
        <w:tc>
          <w:tcPr>
            <w:tcW w:w="1207" w:type="dxa"/>
            <w:shd w:val="clear" w:color="auto" w:fill="365F92"/>
          </w:tcPr>
          <w:p>
            <w:pPr>
              <w:pStyle w:val="TableParagraph"/>
              <w:spacing w:line="228" w:lineRule="exact" w:before="17"/>
              <w:ind w:left="24" w:right="4"/>
              <w:jc w:val="center"/>
              <w:rPr>
                <w:sz w:val="20"/>
              </w:rPr>
            </w:pPr>
            <w:r>
              <w:rPr>
                <w:color w:val="FFFFFF"/>
                <w:spacing w:val="-10"/>
                <w:sz w:val="20"/>
              </w:rPr>
              <w:t>%</w:t>
            </w:r>
          </w:p>
        </w:tc>
      </w:tr>
      <w:tr>
        <w:trPr>
          <w:trHeight w:val="457" w:hRule="atLeast"/>
        </w:trPr>
        <w:tc>
          <w:tcPr>
            <w:tcW w:w="1286" w:type="dxa"/>
          </w:tcPr>
          <w:p>
            <w:pPr>
              <w:pStyle w:val="TableParagraph"/>
              <w:spacing w:before="113"/>
              <w:ind w:left="69"/>
              <w:rPr>
                <w:b/>
                <w:sz w:val="20"/>
              </w:rPr>
            </w:pPr>
            <w:r>
              <w:rPr>
                <w:b/>
                <w:spacing w:val="-2"/>
                <w:sz w:val="20"/>
              </w:rPr>
              <w:t>3.1.4.</w:t>
            </w:r>
          </w:p>
        </w:tc>
        <w:tc>
          <w:tcPr>
            <w:tcW w:w="2816" w:type="dxa"/>
          </w:tcPr>
          <w:p>
            <w:pPr>
              <w:pStyle w:val="TableParagraph"/>
              <w:tabs>
                <w:tab w:pos="1217" w:val="left" w:leader="none"/>
                <w:tab w:pos="1647" w:val="left" w:leader="none"/>
                <w:tab w:pos="2658" w:val="left" w:leader="none"/>
              </w:tabs>
              <w:spacing w:line="227" w:lineRule="exact"/>
              <w:ind w:left="69"/>
              <w:rPr>
                <w:b/>
                <w:sz w:val="20"/>
              </w:rPr>
            </w:pPr>
            <w:r>
              <w:rPr>
                <w:b/>
                <w:spacing w:val="-2"/>
                <w:sz w:val="20"/>
              </w:rPr>
              <w:t>Variaciones</w:t>
            </w:r>
            <w:r>
              <w:rPr>
                <w:b/>
                <w:sz w:val="20"/>
              </w:rPr>
              <w:tab/>
            </w:r>
            <w:r>
              <w:rPr>
                <w:b/>
                <w:spacing w:val="-5"/>
                <w:sz w:val="20"/>
              </w:rPr>
              <w:t>no</w:t>
            </w:r>
            <w:r>
              <w:rPr>
                <w:b/>
                <w:sz w:val="20"/>
              </w:rPr>
              <w:tab/>
            </w:r>
            <w:r>
              <w:rPr>
                <w:b/>
                <w:spacing w:val="-2"/>
                <w:sz w:val="20"/>
              </w:rPr>
              <w:t>asignables</w:t>
            </w:r>
            <w:r>
              <w:rPr>
                <w:b/>
                <w:sz w:val="20"/>
              </w:rPr>
              <w:tab/>
            </w:r>
            <w:r>
              <w:rPr>
                <w:b/>
                <w:spacing w:val="-10"/>
                <w:sz w:val="20"/>
              </w:rPr>
              <w:t>a</w:t>
            </w:r>
          </w:p>
          <w:p>
            <w:pPr>
              <w:pStyle w:val="TableParagraph"/>
              <w:spacing w:line="211" w:lineRule="exact"/>
              <w:ind w:left="69"/>
              <w:rPr>
                <w:b/>
                <w:sz w:val="20"/>
              </w:rPr>
            </w:pPr>
            <w:r>
              <w:rPr>
                <w:b/>
                <w:spacing w:val="-2"/>
                <w:sz w:val="20"/>
              </w:rPr>
              <w:t>reservas</w:t>
            </w:r>
          </w:p>
        </w:tc>
        <w:tc>
          <w:tcPr>
            <w:tcW w:w="566" w:type="dxa"/>
          </w:tcPr>
          <w:p>
            <w:pPr>
              <w:pStyle w:val="TableParagraph"/>
              <w:spacing w:before="113"/>
              <w:ind w:left="184"/>
              <w:rPr>
                <w:b/>
                <w:sz w:val="20"/>
              </w:rPr>
            </w:pPr>
            <w:r>
              <w:rPr>
                <w:b/>
                <w:spacing w:val="-5"/>
                <w:sz w:val="20"/>
              </w:rPr>
              <w:t>27</w:t>
            </w:r>
          </w:p>
        </w:tc>
        <w:tc>
          <w:tcPr>
            <w:tcW w:w="1560" w:type="dxa"/>
          </w:tcPr>
          <w:p>
            <w:pPr>
              <w:pStyle w:val="TableParagraph"/>
              <w:spacing w:before="113"/>
              <w:ind w:left="18"/>
              <w:jc w:val="center"/>
              <w:rPr>
                <w:b/>
                <w:sz w:val="20"/>
              </w:rPr>
            </w:pPr>
            <w:r>
              <w:rPr>
                <w:b/>
                <w:spacing w:val="-4"/>
                <w:sz w:val="20"/>
              </w:rPr>
              <w:t>0,00</w:t>
            </w:r>
          </w:p>
        </w:tc>
        <w:tc>
          <w:tcPr>
            <w:tcW w:w="1670" w:type="dxa"/>
          </w:tcPr>
          <w:p>
            <w:pPr>
              <w:pStyle w:val="TableParagraph"/>
              <w:spacing w:before="113"/>
              <w:ind w:left="20"/>
              <w:jc w:val="center"/>
              <w:rPr>
                <w:b/>
                <w:sz w:val="20"/>
              </w:rPr>
            </w:pPr>
            <w:r>
              <w:rPr>
                <w:b/>
                <w:spacing w:val="-4"/>
                <w:sz w:val="20"/>
              </w:rPr>
              <w:t>0,00</w:t>
            </w:r>
          </w:p>
        </w:tc>
        <w:tc>
          <w:tcPr>
            <w:tcW w:w="1207" w:type="dxa"/>
          </w:tcPr>
          <w:p>
            <w:pPr>
              <w:pStyle w:val="TableParagraph"/>
              <w:spacing w:before="113"/>
              <w:ind w:left="24"/>
              <w:jc w:val="center"/>
              <w:rPr>
                <w:b/>
                <w:sz w:val="20"/>
              </w:rPr>
            </w:pPr>
            <w:r>
              <w:rPr>
                <w:b/>
                <w:spacing w:val="-2"/>
                <w:sz w:val="20"/>
              </w:rPr>
              <w:t>0,00%</w:t>
            </w:r>
          </w:p>
        </w:tc>
      </w:tr>
    </w:tbl>
    <w:p>
      <w:pPr>
        <w:pStyle w:val="BodyText"/>
        <w:rPr>
          <w:b/>
          <w:sz w:val="20"/>
        </w:rPr>
      </w:pPr>
    </w:p>
    <w:p>
      <w:pPr>
        <w:pStyle w:val="BodyText"/>
        <w:spacing w:before="189"/>
        <w:rPr>
          <w:b/>
          <w:sz w:val="20"/>
        </w:rPr>
      </w:pPr>
      <w:r>
        <w:rPr>
          <w:b/>
          <w:sz w:val="20"/>
        </w:rPr>
        <mc:AlternateContent>
          <mc:Choice Requires="wps">
            <w:drawing>
              <wp:anchor distT="0" distB="0" distL="0" distR="0" allowOverlap="1" layoutInCell="1" locked="0" behindDoc="1" simplePos="0" relativeHeight="487764992">
                <wp:simplePos x="0" y="0"/>
                <wp:positionH relativeFrom="page">
                  <wp:posOffset>1080820</wp:posOffset>
                </wp:positionH>
                <wp:positionV relativeFrom="paragraph">
                  <wp:posOffset>283638</wp:posOffset>
                </wp:positionV>
                <wp:extent cx="5715000" cy="553720"/>
                <wp:effectExtent l="0" t="0" r="0" b="0"/>
                <wp:wrapTopAndBottom/>
                <wp:docPr id="876" name="Textbox 876"/>
                <wp:cNvGraphicFramePr>
                  <a:graphicFrameLocks/>
                </wp:cNvGraphicFramePr>
                <a:graphic>
                  <a:graphicData uri="http://schemas.microsoft.com/office/word/2010/wordprocessingShape">
                    <wps:wsp>
                      <wps:cNvPr id="876" name="Textbox 876"/>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2.333765pt;width:450pt;height:43.6pt;mso-position-horizontal-relative:page;mso-position-vertical-relative:paragraph;z-index:-15551488;mso-wrap-distance-left:0;mso-wrap-distance-right:0" type="#_x0000_t202" id="docshape85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spacing w:before="186"/>
        <w:rPr>
          <w:b/>
        </w:rPr>
      </w:pPr>
    </w:p>
    <w:p>
      <w:pPr>
        <w:spacing w:before="1"/>
        <w:ind w:left="622" w:right="0" w:firstLine="0"/>
        <w:jc w:val="left"/>
        <w:rPr>
          <w:b/>
          <w:sz w:val="22"/>
        </w:rPr>
      </w:pPr>
      <w:bookmarkStart w:name="_bookmark147" w:id="148"/>
      <w:bookmarkEnd w:id="148"/>
      <w:r>
        <w:rPr/>
      </w:r>
      <w:r>
        <w:rPr>
          <w:b/>
          <w:sz w:val="22"/>
        </w:rPr>
        <w:t>NOTA</w:t>
      </w:r>
      <w:r>
        <w:rPr>
          <w:b/>
          <w:spacing w:val="-1"/>
          <w:sz w:val="22"/>
        </w:rPr>
        <w:t> </w:t>
      </w:r>
      <w:r>
        <w:rPr>
          <w:b/>
          <w:sz w:val="22"/>
        </w:rPr>
        <w:t>N° </w:t>
      </w:r>
      <w:r>
        <w:rPr>
          <w:b/>
          <w:spacing w:val="-5"/>
          <w:sz w:val="22"/>
        </w:rPr>
        <w:t>88</w:t>
      </w:r>
    </w:p>
    <w:p>
      <w:pPr>
        <w:pStyle w:val="BodyText"/>
        <w:spacing w:before="114"/>
        <w:rPr>
          <w:b/>
        </w:rPr>
      </w:pPr>
    </w:p>
    <w:p>
      <w:pPr>
        <w:pStyle w:val="BodyText"/>
        <w:spacing w:before="1"/>
        <w:ind w:left="622"/>
      </w:pPr>
      <w:r>
        <w:rPr/>
        <w:t>Resultados</w:t>
      </w:r>
      <w:r>
        <w:rPr>
          <w:spacing w:val="-5"/>
        </w:rPr>
        <w:t> </w:t>
      </w:r>
      <w:r>
        <w:rPr>
          <w:spacing w:val="-2"/>
        </w:rPr>
        <w:t>acumulados</w:t>
      </w:r>
    </w:p>
    <w:p>
      <w:pPr>
        <w:pStyle w:val="BodyText"/>
        <w:spacing w:before="6"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835"/>
        <w:gridCol w:w="708"/>
        <w:gridCol w:w="1702"/>
        <w:gridCol w:w="1749"/>
        <w:gridCol w:w="1200"/>
      </w:tblGrid>
      <w:tr>
        <w:trPr>
          <w:trHeight w:val="325" w:hRule="atLeast"/>
        </w:trPr>
        <w:tc>
          <w:tcPr>
            <w:tcW w:w="984" w:type="dxa"/>
            <w:vMerge w:val="restart"/>
            <w:shd w:val="clear" w:color="auto" w:fill="365F92"/>
          </w:tcPr>
          <w:p>
            <w:pPr>
              <w:pStyle w:val="TableParagraph"/>
              <w:spacing w:before="120"/>
              <w:ind w:left="69"/>
              <w:rPr>
                <w:b/>
                <w:sz w:val="22"/>
              </w:rPr>
            </w:pPr>
            <w:r>
              <w:rPr>
                <w:b/>
                <w:spacing w:val="-2"/>
                <w:sz w:val="22"/>
              </w:rPr>
              <w:t>Cuenta</w:t>
            </w:r>
          </w:p>
        </w:tc>
        <w:tc>
          <w:tcPr>
            <w:tcW w:w="2835" w:type="dxa"/>
            <w:vMerge w:val="restart"/>
            <w:shd w:val="clear" w:color="auto" w:fill="365F92"/>
          </w:tcPr>
          <w:p>
            <w:pPr>
              <w:pStyle w:val="TableParagraph"/>
              <w:spacing w:before="209"/>
              <w:ind w:left="888"/>
              <w:rPr>
                <w:b/>
                <w:sz w:val="22"/>
              </w:rPr>
            </w:pPr>
            <w:r>
              <w:rPr>
                <w:b/>
                <w:spacing w:val="-2"/>
                <w:sz w:val="22"/>
              </w:rPr>
              <w:t>Descripción</w:t>
            </w:r>
          </w:p>
        </w:tc>
        <w:tc>
          <w:tcPr>
            <w:tcW w:w="708" w:type="dxa"/>
            <w:vMerge w:val="restart"/>
            <w:shd w:val="clear" w:color="auto" w:fill="365F92"/>
          </w:tcPr>
          <w:p>
            <w:pPr>
              <w:pStyle w:val="TableParagraph"/>
              <w:spacing w:before="209"/>
              <w:ind w:left="136"/>
              <w:rPr>
                <w:b/>
                <w:sz w:val="22"/>
              </w:rPr>
            </w:pPr>
            <w:r>
              <w:rPr>
                <w:b/>
                <w:spacing w:val="-4"/>
                <w:sz w:val="22"/>
              </w:rPr>
              <w:t>Nota</w:t>
            </w:r>
          </w:p>
        </w:tc>
        <w:tc>
          <w:tcPr>
            <w:tcW w:w="1702" w:type="dxa"/>
            <w:vMerge w:val="restart"/>
            <w:shd w:val="clear" w:color="auto" w:fill="365F92"/>
          </w:tcPr>
          <w:p>
            <w:pPr>
              <w:pStyle w:val="TableParagraph"/>
              <w:spacing w:before="209"/>
              <w:ind w:left="218"/>
              <w:rPr>
                <w:b/>
                <w:sz w:val="22"/>
              </w:rPr>
            </w:pPr>
            <w:r>
              <w:rPr>
                <w:b/>
                <w:sz w:val="22"/>
              </w:rPr>
              <w:t>Periodo</w:t>
            </w:r>
            <w:r>
              <w:rPr>
                <w:b/>
                <w:spacing w:val="-4"/>
                <w:sz w:val="22"/>
              </w:rPr>
              <w:t> </w:t>
            </w:r>
            <w:r>
              <w:rPr>
                <w:b/>
                <w:spacing w:val="-2"/>
                <w:sz w:val="22"/>
              </w:rPr>
              <w:t>Actual</w:t>
            </w:r>
          </w:p>
        </w:tc>
        <w:tc>
          <w:tcPr>
            <w:tcW w:w="1749" w:type="dxa"/>
            <w:vMerge w:val="restart"/>
            <w:shd w:val="clear" w:color="auto" w:fill="365F92"/>
          </w:tcPr>
          <w:p>
            <w:pPr>
              <w:pStyle w:val="TableParagraph"/>
              <w:spacing w:before="209"/>
              <w:ind w:left="151"/>
              <w:rPr>
                <w:b/>
                <w:sz w:val="22"/>
              </w:rPr>
            </w:pPr>
            <w:r>
              <w:rPr>
                <w:b/>
                <w:sz w:val="22"/>
              </w:rPr>
              <w:t>Periodo</w:t>
            </w:r>
            <w:r>
              <w:rPr>
                <w:b/>
                <w:spacing w:val="-4"/>
                <w:sz w:val="22"/>
              </w:rPr>
              <w:t> </w:t>
            </w:r>
            <w:r>
              <w:rPr>
                <w:b/>
                <w:spacing w:val="-2"/>
                <w:sz w:val="22"/>
              </w:rPr>
              <w:t>Anterior</w:t>
            </w:r>
          </w:p>
        </w:tc>
        <w:tc>
          <w:tcPr>
            <w:tcW w:w="1200" w:type="dxa"/>
            <w:shd w:val="clear" w:color="auto" w:fill="365F92"/>
          </w:tcPr>
          <w:p>
            <w:pPr>
              <w:pStyle w:val="TableParagraph"/>
              <w:spacing w:before="36"/>
              <w:ind w:left="21" w:right="2"/>
              <w:jc w:val="center"/>
              <w:rPr>
                <w:b/>
                <w:sz w:val="22"/>
              </w:rPr>
            </w:pPr>
            <w:r>
              <w:rPr>
                <w:b/>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749" w:type="dxa"/>
            <w:vMerge/>
            <w:tcBorders>
              <w:top w:val="nil"/>
            </w:tcBorders>
            <w:shd w:val="clear" w:color="auto" w:fill="365F92"/>
          </w:tcPr>
          <w:p>
            <w:pPr>
              <w:rPr>
                <w:sz w:val="2"/>
                <w:szCs w:val="2"/>
              </w:rPr>
            </w:pPr>
          </w:p>
        </w:tc>
        <w:tc>
          <w:tcPr>
            <w:tcW w:w="1200" w:type="dxa"/>
            <w:shd w:val="clear" w:color="auto" w:fill="365F92"/>
          </w:tcPr>
          <w:p>
            <w:pPr>
              <w:pStyle w:val="TableParagraph"/>
              <w:spacing w:before="36"/>
              <w:ind w:left="21" w:right="4"/>
              <w:jc w:val="center"/>
              <w:rPr>
                <w:sz w:val="22"/>
              </w:rPr>
            </w:pPr>
            <w:r>
              <w:rPr>
                <w:color w:val="FFFFFF"/>
                <w:spacing w:val="-10"/>
                <w:sz w:val="22"/>
              </w:rPr>
              <w:t>%</w:t>
            </w:r>
          </w:p>
        </w:tc>
      </w:tr>
      <w:tr>
        <w:trPr>
          <w:trHeight w:val="325" w:hRule="atLeast"/>
        </w:trPr>
        <w:tc>
          <w:tcPr>
            <w:tcW w:w="984" w:type="dxa"/>
          </w:tcPr>
          <w:p>
            <w:pPr>
              <w:pStyle w:val="TableParagraph"/>
              <w:spacing w:before="36"/>
              <w:ind w:left="69"/>
              <w:rPr>
                <w:b/>
                <w:sz w:val="22"/>
              </w:rPr>
            </w:pPr>
            <w:r>
              <w:rPr>
                <w:b/>
                <w:spacing w:val="-2"/>
                <w:sz w:val="22"/>
              </w:rPr>
              <w:t>3.1.5.</w:t>
            </w:r>
          </w:p>
        </w:tc>
        <w:tc>
          <w:tcPr>
            <w:tcW w:w="2835" w:type="dxa"/>
          </w:tcPr>
          <w:p>
            <w:pPr>
              <w:pStyle w:val="TableParagraph"/>
              <w:spacing w:before="36"/>
              <w:ind w:left="69"/>
              <w:rPr>
                <w:b/>
                <w:sz w:val="22"/>
              </w:rPr>
            </w:pPr>
            <w:r>
              <w:rPr>
                <w:b/>
                <w:sz w:val="22"/>
              </w:rPr>
              <w:t>Resultados</w:t>
            </w:r>
            <w:r>
              <w:rPr>
                <w:b/>
                <w:spacing w:val="-4"/>
                <w:sz w:val="22"/>
              </w:rPr>
              <w:t> </w:t>
            </w:r>
            <w:r>
              <w:rPr>
                <w:b/>
                <w:spacing w:val="-2"/>
                <w:sz w:val="22"/>
              </w:rPr>
              <w:t>acumulados</w:t>
            </w:r>
          </w:p>
        </w:tc>
        <w:tc>
          <w:tcPr>
            <w:tcW w:w="708" w:type="dxa"/>
          </w:tcPr>
          <w:p>
            <w:pPr>
              <w:pStyle w:val="TableParagraph"/>
              <w:spacing w:before="36"/>
              <w:ind w:left="244"/>
              <w:rPr>
                <w:b/>
                <w:sz w:val="22"/>
              </w:rPr>
            </w:pPr>
            <w:r>
              <w:rPr>
                <w:b/>
                <w:spacing w:val="-5"/>
                <w:sz w:val="22"/>
              </w:rPr>
              <w:t>28</w:t>
            </w:r>
          </w:p>
        </w:tc>
        <w:tc>
          <w:tcPr>
            <w:tcW w:w="1702" w:type="dxa"/>
          </w:tcPr>
          <w:p>
            <w:pPr>
              <w:pStyle w:val="TableParagraph"/>
              <w:spacing w:before="46"/>
              <w:ind w:left="232"/>
              <w:rPr>
                <w:b/>
                <w:sz w:val="20"/>
              </w:rPr>
            </w:pPr>
            <w:r>
              <w:rPr>
                <w:b/>
                <w:sz w:val="20"/>
              </w:rPr>
              <w:t>184</w:t>
            </w:r>
            <w:r>
              <w:rPr>
                <w:b/>
                <w:spacing w:val="-3"/>
                <w:sz w:val="20"/>
              </w:rPr>
              <w:t> </w:t>
            </w:r>
            <w:r>
              <w:rPr>
                <w:b/>
                <w:sz w:val="20"/>
              </w:rPr>
              <w:t>626</w:t>
            </w:r>
            <w:r>
              <w:rPr>
                <w:b/>
                <w:spacing w:val="-3"/>
                <w:sz w:val="20"/>
              </w:rPr>
              <w:t> </w:t>
            </w:r>
            <w:r>
              <w:rPr>
                <w:b/>
                <w:spacing w:val="-2"/>
                <w:sz w:val="20"/>
              </w:rPr>
              <w:t>580,70</w:t>
            </w:r>
          </w:p>
        </w:tc>
        <w:tc>
          <w:tcPr>
            <w:tcW w:w="1749" w:type="dxa"/>
          </w:tcPr>
          <w:p>
            <w:pPr>
              <w:pStyle w:val="TableParagraph"/>
              <w:spacing w:before="46"/>
              <w:ind w:left="259"/>
              <w:rPr>
                <w:b/>
                <w:sz w:val="20"/>
              </w:rPr>
            </w:pPr>
            <w:r>
              <w:rPr>
                <w:b/>
                <w:sz w:val="20"/>
              </w:rPr>
              <w:t>191</w:t>
            </w:r>
            <w:r>
              <w:rPr>
                <w:b/>
                <w:spacing w:val="-3"/>
                <w:sz w:val="20"/>
              </w:rPr>
              <w:t> </w:t>
            </w:r>
            <w:r>
              <w:rPr>
                <w:b/>
                <w:sz w:val="20"/>
              </w:rPr>
              <w:t>121</w:t>
            </w:r>
            <w:r>
              <w:rPr>
                <w:b/>
                <w:spacing w:val="-3"/>
                <w:sz w:val="20"/>
              </w:rPr>
              <w:t> </w:t>
            </w:r>
            <w:r>
              <w:rPr>
                <w:b/>
                <w:spacing w:val="-2"/>
                <w:sz w:val="20"/>
              </w:rPr>
              <w:t>314,59</w:t>
            </w:r>
          </w:p>
        </w:tc>
        <w:tc>
          <w:tcPr>
            <w:tcW w:w="1200" w:type="dxa"/>
          </w:tcPr>
          <w:p>
            <w:pPr>
              <w:pStyle w:val="TableParagraph"/>
              <w:spacing w:before="46"/>
              <w:ind w:left="21" w:right="3"/>
              <w:jc w:val="center"/>
              <w:rPr>
                <w:b/>
                <w:sz w:val="20"/>
              </w:rPr>
            </w:pPr>
            <w:r>
              <w:rPr>
                <w:b/>
                <w:spacing w:val="-2"/>
                <w:sz w:val="20"/>
              </w:rPr>
              <w:t>-3,40%</w:t>
            </w:r>
          </w:p>
        </w:tc>
      </w:tr>
    </w:tbl>
    <w:p>
      <w:pPr>
        <w:pStyle w:val="BodyText"/>
        <w:spacing w:before="241"/>
        <w:ind w:left="622"/>
      </w:pPr>
      <w:r>
        <w:rPr/>
        <w:t>Detalle</w:t>
      </w:r>
      <w:r>
        <w:rPr>
          <w:spacing w:val="-9"/>
        </w:rPr>
        <w:t> </w:t>
      </w:r>
      <w:r>
        <w:rPr>
          <w:spacing w:val="-2"/>
        </w:rPr>
        <w:t>cuenta:</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2912">
                <wp:simplePos x="0" y="0"/>
                <wp:positionH relativeFrom="page">
                  <wp:posOffset>9525</wp:posOffset>
                </wp:positionH>
                <wp:positionV relativeFrom="page">
                  <wp:posOffset>297208</wp:posOffset>
                </wp:positionV>
                <wp:extent cx="7762875" cy="9748520"/>
                <wp:effectExtent l="0" t="0" r="0" b="0"/>
                <wp:wrapNone/>
                <wp:docPr id="877" name="Group 877"/>
                <wp:cNvGraphicFramePr>
                  <a:graphicFrameLocks/>
                </wp:cNvGraphicFramePr>
                <a:graphic>
                  <a:graphicData uri="http://schemas.microsoft.com/office/word/2010/wordprocessingGroup">
                    <wpg:wgp>
                      <wpg:cNvPr id="877" name="Group 877"/>
                      <wpg:cNvGrpSpPr/>
                      <wpg:grpSpPr>
                        <a:xfrm>
                          <a:off x="0" y="0"/>
                          <a:ext cx="7762875" cy="9748520"/>
                          <a:chExt cx="7762875" cy="9748520"/>
                        </a:xfrm>
                      </wpg:grpSpPr>
                      <pic:pic>
                        <pic:nvPicPr>
                          <pic:cNvPr id="878" name="Image 878"/>
                          <pic:cNvPicPr/>
                        </pic:nvPicPr>
                        <pic:blipFill>
                          <a:blip r:embed="rId5" cstate="print"/>
                          <a:stretch>
                            <a:fillRect/>
                          </a:stretch>
                        </pic:blipFill>
                        <pic:spPr>
                          <a:xfrm>
                            <a:off x="0" y="0"/>
                            <a:ext cx="7762874" cy="9748489"/>
                          </a:xfrm>
                          <a:prstGeom prst="rect">
                            <a:avLst/>
                          </a:prstGeom>
                        </pic:spPr>
                      </pic:pic>
                      <wps:wsp>
                        <wps:cNvPr id="879" name="Graphic 879"/>
                        <wps:cNvSpPr/>
                        <wps:spPr>
                          <a:xfrm>
                            <a:off x="1053007" y="990837"/>
                            <a:ext cx="5969635" cy="7566659"/>
                          </a:xfrm>
                          <a:custGeom>
                            <a:avLst/>
                            <a:gdLst/>
                            <a:ahLst/>
                            <a:cxnLst/>
                            <a:rect l="l" t="t" r="r" b="b"/>
                            <a:pathLst>
                              <a:path w="5969635" h="7566659">
                                <a:moveTo>
                                  <a:pt x="5649214" y="0"/>
                                </a:moveTo>
                                <a:lnTo>
                                  <a:pt x="0" y="0"/>
                                </a:lnTo>
                                <a:lnTo>
                                  <a:pt x="0" y="9131"/>
                                </a:lnTo>
                                <a:lnTo>
                                  <a:pt x="5649214" y="9131"/>
                                </a:lnTo>
                                <a:lnTo>
                                  <a:pt x="5649214" y="0"/>
                                </a:lnTo>
                                <a:close/>
                              </a:path>
                              <a:path w="5969635" h="7566659">
                                <a:moveTo>
                                  <a:pt x="5969190" y="3668636"/>
                                </a:moveTo>
                                <a:lnTo>
                                  <a:pt x="5963158" y="3668636"/>
                                </a:lnTo>
                                <a:lnTo>
                                  <a:pt x="5963107" y="3674732"/>
                                </a:lnTo>
                                <a:lnTo>
                                  <a:pt x="5963107" y="7559992"/>
                                </a:lnTo>
                                <a:lnTo>
                                  <a:pt x="21336" y="7559992"/>
                                </a:lnTo>
                                <a:lnTo>
                                  <a:pt x="21336" y="3674732"/>
                                </a:lnTo>
                                <a:lnTo>
                                  <a:pt x="5963107" y="3674732"/>
                                </a:lnTo>
                                <a:lnTo>
                                  <a:pt x="5963107" y="3668636"/>
                                </a:lnTo>
                                <a:lnTo>
                                  <a:pt x="21336" y="3668636"/>
                                </a:lnTo>
                                <a:lnTo>
                                  <a:pt x="15240" y="3668636"/>
                                </a:lnTo>
                                <a:lnTo>
                                  <a:pt x="15240" y="3674681"/>
                                </a:lnTo>
                                <a:lnTo>
                                  <a:pt x="15240" y="7559992"/>
                                </a:lnTo>
                                <a:lnTo>
                                  <a:pt x="15240" y="7566088"/>
                                </a:lnTo>
                                <a:lnTo>
                                  <a:pt x="21336" y="7566088"/>
                                </a:lnTo>
                                <a:lnTo>
                                  <a:pt x="5963107" y="7566088"/>
                                </a:lnTo>
                                <a:lnTo>
                                  <a:pt x="5969190" y="7566088"/>
                                </a:lnTo>
                                <a:lnTo>
                                  <a:pt x="5969190" y="7559992"/>
                                </a:lnTo>
                                <a:lnTo>
                                  <a:pt x="5969190" y="3674732"/>
                                </a:lnTo>
                                <a:lnTo>
                                  <a:pt x="5969190" y="36686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3568" id="docshapegroup852" coordorigin="15,468" coordsize="12225,15352">
                <v:shape style="position:absolute;left:15;top:468;width:12225;height:15352" type="#_x0000_t75" id="docshape853" stroked="false">
                  <v:imagedata r:id="rId5" o:title=""/>
                </v:shape>
                <v:shape style="position:absolute;left:1673;top:2028;width:9401;height:11916" id="docshape854" coordorigin="1673,2028" coordsize="9401,11916" path="m10570,2028l1673,2028,1673,2043,10570,2043,10570,2028xm11074,7806l11064,7806,11064,7806,11064,7815,11064,13934,1707,13934,1707,7815,11064,7815,11064,7806,1707,7806,1697,7806,1697,7815,1697,7815,1697,13934,1697,13944,1707,13944,11064,13944,11064,13944,11074,13944,11074,13934,11074,7815,11074,7815,11074,7806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176</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835"/>
        <w:gridCol w:w="708"/>
        <w:gridCol w:w="1702"/>
        <w:gridCol w:w="1913"/>
        <w:gridCol w:w="1064"/>
      </w:tblGrid>
      <w:tr>
        <w:trPr>
          <w:trHeight w:val="354" w:hRule="atLeast"/>
        </w:trPr>
        <w:tc>
          <w:tcPr>
            <w:tcW w:w="984" w:type="dxa"/>
            <w:vMerge w:val="restart"/>
            <w:shd w:val="clear" w:color="auto" w:fill="365F92"/>
          </w:tcPr>
          <w:p>
            <w:pPr>
              <w:pStyle w:val="TableParagraph"/>
              <w:spacing w:before="151"/>
              <w:ind w:left="69"/>
              <w:rPr>
                <w:b/>
                <w:sz w:val="22"/>
              </w:rPr>
            </w:pPr>
            <w:r>
              <w:rPr>
                <w:b/>
                <w:spacing w:val="-2"/>
                <w:sz w:val="22"/>
              </w:rPr>
              <w:t>Cuenta</w:t>
            </w:r>
          </w:p>
        </w:tc>
        <w:tc>
          <w:tcPr>
            <w:tcW w:w="2835" w:type="dxa"/>
            <w:vMerge w:val="restart"/>
            <w:shd w:val="clear" w:color="auto" w:fill="365F92"/>
          </w:tcPr>
          <w:p>
            <w:pPr>
              <w:pStyle w:val="TableParagraph"/>
              <w:spacing w:before="240"/>
              <w:ind w:left="888"/>
              <w:rPr>
                <w:b/>
                <w:sz w:val="22"/>
              </w:rPr>
            </w:pPr>
            <w:r>
              <w:rPr>
                <w:b/>
                <w:spacing w:val="-2"/>
                <w:sz w:val="22"/>
              </w:rPr>
              <w:t>Descripción</w:t>
            </w:r>
          </w:p>
        </w:tc>
        <w:tc>
          <w:tcPr>
            <w:tcW w:w="708" w:type="dxa"/>
            <w:vMerge w:val="restart"/>
            <w:shd w:val="clear" w:color="auto" w:fill="365F92"/>
          </w:tcPr>
          <w:p>
            <w:pPr>
              <w:pStyle w:val="TableParagraph"/>
              <w:spacing w:before="240"/>
              <w:ind w:left="136"/>
              <w:rPr>
                <w:b/>
                <w:sz w:val="22"/>
              </w:rPr>
            </w:pPr>
            <w:r>
              <w:rPr>
                <w:b/>
                <w:spacing w:val="-4"/>
                <w:sz w:val="22"/>
              </w:rPr>
              <w:t>Nota</w:t>
            </w:r>
          </w:p>
        </w:tc>
        <w:tc>
          <w:tcPr>
            <w:tcW w:w="1702" w:type="dxa"/>
            <w:vMerge w:val="restart"/>
            <w:shd w:val="clear" w:color="auto" w:fill="365F92"/>
          </w:tcPr>
          <w:p>
            <w:pPr>
              <w:pStyle w:val="TableParagraph"/>
              <w:spacing w:before="240"/>
              <w:ind w:left="218"/>
              <w:rPr>
                <w:b/>
                <w:sz w:val="22"/>
              </w:rPr>
            </w:pPr>
            <w:r>
              <w:rPr>
                <w:b/>
                <w:sz w:val="22"/>
              </w:rPr>
              <w:t>Periodo</w:t>
            </w:r>
            <w:r>
              <w:rPr>
                <w:b/>
                <w:spacing w:val="-4"/>
                <w:sz w:val="22"/>
              </w:rPr>
              <w:t> </w:t>
            </w:r>
            <w:r>
              <w:rPr>
                <w:b/>
                <w:spacing w:val="-2"/>
                <w:sz w:val="22"/>
              </w:rPr>
              <w:t>Actual</w:t>
            </w:r>
          </w:p>
        </w:tc>
        <w:tc>
          <w:tcPr>
            <w:tcW w:w="1913" w:type="dxa"/>
            <w:vMerge w:val="restart"/>
            <w:shd w:val="clear" w:color="auto" w:fill="365F92"/>
          </w:tcPr>
          <w:p>
            <w:pPr>
              <w:pStyle w:val="TableParagraph"/>
              <w:spacing w:before="240"/>
              <w:ind w:left="232"/>
              <w:rPr>
                <w:b/>
                <w:sz w:val="22"/>
              </w:rPr>
            </w:pPr>
            <w:r>
              <w:rPr>
                <w:b/>
                <w:sz w:val="22"/>
              </w:rPr>
              <w:t>Periodo</w:t>
            </w:r>
            <w:r>
              <w:rPr>
                <w:b/>
                <w:spacing w:val="-4"/>
                <w:sz w:val="22"/>
              </w:rPr>
              <w:t> </w:t>
            </w:r>
            <w:r>
              <w:rPr>
                <w:b/>
                <w:spacing w:val="-2"/>
                <w:sz w:val="22"/>
              </w:rPr>
              <w:t>Anterior</w:t>
            </w:r>
          </w:p>
        </w:tc>
        <w:tc>
          <w:tcPr>
            <w:tcW w:w="1064" w:type="dxa"/>
            <w:shd w:val="clear" w:color="auto" w:fill="365F92"/>
          </w:tcPr>
          <w:p>
            <w:pPr>
              <w:pStyle w:val="TableParagraph"/>
              <w:spacing w:before="53"/>
              <w:ind w:left="24" w:right="5"/>
              <w:jc w:val="center"/>
              <w:rPr>
                <w:b/>
                <w:sz w:val="22"/>
              </w:rPr>
            </w:pPr>
            <w:r>
              <w:rPr>
                <w:b/>
                <w:spacing w:val="-2"/>
                <w:sz w:val="22"/>
              </w:rPr>
              <w:t>Diferencia</w:t>
            </w:r>
          </w:p>
        </w:tc>
      </w:tr>
      <w:tr>
        <w:trPr>
          <w:trHeight w:val="354" w:hRule="atLeast"/>
        </w:trPr>
        <w:tc>
          <w:tcPr>
            <w:tcW w:w="984"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913" w:type="dxa"/>
            <w:vMerge/>
            <w:tcBorders>
              <w:top w:val="nil"/>
            </w:tcBorders>
            <w:shd w:val="clear" w:color="auto" w:fill="365F92"/>
          </w:tcPr>
          <w:p>
            <w:pPr>
              <w:rPr>
                <w:sz w:val="2"/>
                <w:szCs w:val="2"/>
              </w:rPr>
            </w:pPr>
          </w:p>
        </w:tc>
        <w:tc>
          <w:tcPr>
            <w:tcW w:w="1064" w:type="dxa"/>
            <w:shd w:val="clear" w:color="auto" w:fill="365F92"/>
          </w:tcPr>
          <w:p>
            <w:pPr>
              <w:pStyle w:val="TableParagraph"/>
              <w:spacing w:before="50"/>
              <w:ind w:left="24" w:right="7"/>
              <w:jc w:val="center"/>
              <w:rPr>
                <w:sz w:val="22"/>
              </w:rPr>
            </w:pPr>
            <w:r>
              <w:rPr>
                <w:spacing w:val="-10"/>
                <w:sz w:val="22"/>
              </w:rPr>
              <w:t>%</w:t>
            </w:r>
          </w:p>
        </w:tc>
      </w:tr>
      <w:tr>
        <w:trPr>
          <w:trHeight w:val="591" w:hRule="atLeast"/>
        </w:trPr>
        <w:tc>
          <w:tcPr>
            <w:tcW w:w="984" w:type="dxa"/>
          </w:tcPr>
          <w:p>
            <w:pPr>
              <w:pStyle w:val="TableParagraph"/>
              <w:spacing w:before="170"/>
              <w:ind w:left="69"/>
              <w:rPr>
                <w:b/>
                <w:sz w:val="22"/>
              </w:rPr>
            </w:pPr>
            <w:r>
              <w:rPr>
                <w:b/>
                <w:spacing w:val="-2"/>
                <w:sz w:val="22"/>
              </w:rPr>
              <w:t>3.1.5.01.</w:t>
            </w:r>
          </w:p>
        </w:tc>
        <w:tc>
          <w:tcPr>
            <w:tcW w:w="2835" w:type="dxa"/>
          </w:tcPr>
          <w:p>
            <w:pPr>
              <w:pStyle w:val="TableParagraph"/>
              <w:tabs>
                <w:tab w:pos="1261" w:val="left" w:leader="none"/>
                <w:tab w:pos="2549" w:val="left" w:leader="none"/>
              </w:tabs>
              <w:spacing w:before="43"/>
              <w:ind w:left="69" w:right="47"/>
              <w:rPr>
                <w:b/>
                <w:sz w:val="22"/>
              </w:rPr>
            </w:pPr>
            <w:r>
              <w:rPr>
                <w:b/>
                <w:spacing w:val="-2"/>
                <w:sz w:val="22"/>
              </w:rPr>
              <w:t>Resultados</w:t>
            </w:r>
            <w:r>
              <w:rPr>
                <w:b/>
                <w:sz w:val="22"/>
              </w:rPr>
              <w:tab/>
            </w:r>
            <w:r>
              <w:rPr>
                <w:b/>
                <w:spacing w:val="-2"/>
                <w:sz w:val="22"/>
              </w:rPr>
              <w:t>acumulados</w:t>
            </w:r>
            <w:r>
              <w:rPr>
                <w:b/>
                <w:sz w:val="22"/>
              </w:rPr>
              <w:tab/>
            </w:r>
            <w:r>
              <w:rPr>
                <w:b/>
                <w:spacing w:val="-6"/>
                <w:sz w:val="22"/>
              </w:rPr>
              <w:t>de </w:t>
            </w:r>
            <w:r>
              <w:rPr>
                <w:b/>
                <w:sz w:val="22"/>
              </w:rPr>
              <w:t>ejercicios anteriores</w:t>
            </w:r>
          </w:p>
        </w:tc>
        <w:tc>
          <w:tcPr>
            <w:tcW w:w="708" w:type="dxa"/>
          </w:tcPr>
          <w:p>
            <w:pPr>
              <w:pStyle w:val="TableParagraph"/>
              <w:spacing w:before="170"/>
              <w:ind w:left="244"/>
              <w:rPr>
                <w:b/>
                <w:sz w:val="22"/>
              </w:rPr>
            </w:pPr>
            <w:r>
              <w:rPr>
                <w:b/>
                <w:spacing w:val="-5"/>
                <w:sz w:val="22"/>
              </w:rPr>
              <w:t>28</w:t>
            </w:r>
          </w:p>
        </w:tc>
        <w:tc>
          <w:tcPr>
            <w:tcW w:w="1702" w:type="dxa"/>
          </w:tcPr>
          <w:p>
            <w:pPr>
              <w:pStyle w:val="TableParagraph"/>
              <w:spacing w:before="181"/>
              <w:ind w:left="232"/>
              <w:rPr>
                <w:b/>
                <w:sz w:val="20"/>
              </w:rPr>
            </w:pPr>
            <w:r>
              <w:rPr>
                <w:b/>
                <w:sz w:val="20"/>
              </w:rPr>
              <w:t>170</w:t>
            </w:r>
            <w:r>
              <w:rPr>
                <w:b/>
                <w:spacing w:val="-3"/>
                <w:sz w:val="20"/>
              </w:rPr>
              <w:t> </w:t>
            </w:r>
            <w:r>
              <w:rPr>
                <w:b/>
                <w:sz w:val="20"/>
              </w:rPr>
              <w:t>105</w:t>
            </w:r>
            <w:r>
              <w:rPr>
                <w:b/>
                <w:spacing w:val="-3"/>
                <w:sz w:val="20"/>
              </w:rPr>
              <w:t> </w:t>
            </w:r>
            <w:r>
              <w:rPr>
                <w:b/>
                <w:spacing w:val="-2"/>
                <w:sz w:val="20"/>
              </w:rPr>
              <w:t>473,54</w:t>
            </w:r>
          </w:p>
        </w:tc>
        <w:tc>
          <w:tcPr>
            <w:tcW w:w="1913" w:type="dxa"/>
          </w:tcPr>
          <w:p>
            <w:pPr>
              <w:pStyle w:val="TableParagraph"/>
              <w:spacing w:before="181"/>
              <w:ind w:left="340"/>
              <w:rPr>
                <w:b/>
                <w:sz w:val="20"/>
              </w:rPr>
            </w:pPr>
            <w:r>
              <w:rPr>
                <w:b/>
                <w:sz w:val="20"/>
              </w:rPr>
              <w:t>168</w:t>
            </w:r>
            <w:r>
              <w:rPr>
                <w:b/>
                <w:spacing w:val="-3"/>
                <w:sz w:val="20"/>
              </w:rPr>
              <w:t> </w:t>
            </w:r>
            <w:r>
              <w:rPr>
                <w:b/>
                <w:sz w:val="20"/>
              </w:rPr>
              <w:t>319</w:t>
            </w:r>
            <w:r>
              <w:rPr>
                <w:b/>
                <w:spacing w:val="-3"/>
                <w:sz w:val="20"/>
              </w:rPr>
              <w:t> </w:t>
            </w:r>
            <w:r>
              <w:rPr>
                <w:b/>
                <w:spacing w:val="-2"/>
                <w:sz w:val="20"/>
              </w:rPr>
              <w:t>682,80</w:t>
            </w:r>
          </w:p>
        </w:tc>
        <w:tc>
          <w:tcPr>
            <w:tcW w:w="1064" w:type="dxa"/>
          </w:tcPr>
          <w:p>
            <w:pPr>
              <w:pStyle w:val="TableParagraph"/>
              <w:spacing w:before="181"/>
              <w:ind w:left="24" w:right="4"/>
              <w:jc w:val="center"/>
              <w:rPr>
                <w:b/>
                <w:sz w:val="20"/>
              </w:rPr>
            </w:pPr>
            <w:r>
              <w:rPr>
                <w:b/>
                <w:spacing w:val="-2"/>
                <w:sz w:val="20"/>
              </w:rPr>
              <w:t>1,06%</w:t>
            </w:r>
          </w:p>
        </w:tc>
      </w:tr>
    </w:tbl>
    <w:p>
      <w:pPr>
        <w:pStyle w:val="BodyText"/>
        <w:rPr>
          <w:sz w:val="20"/>
        </w:rPr>
      </w:pPr>
    </w:p>
    <w:p>
      <w:pPr>
        <w:pStyle w:val="BodyText"/>
        <w:spacing w:before="21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835"/>
        <w:gridCol w:w="708"/>
        <w:gridCol w:w="1702"/>
        <w:gridCol w:w="1922"/>
        <w:gridCol w:w="1054"/>
      </w:tblGrid>
      <w:tr>
        <w:trPr>
          <w:trHeight w:val="325" w:hRule="atLeast"/>
        </w:trPr>
        <w:tc>
          <w:tcPr>
            <w:tcW w:w="984" w:type="dxa"/>
            <w:vMerge w:val="restart"/>
            <w:shd w:val="clear" w:color="auto" w:fill="365F92"/>
          </w:tcPr>
          <w:p>
            <w:pPr>
              <w:pStyle w:val="TableParagraph"/>
              <w:spacing w:before="120"/>
              <w:ind w:left="69"/>
              <w:rPr>
                <w:b/>
                <w:sz w:val="22"/>
              </w:rPr>
            </w:pPr>
            <w:r>
              <w:rPr>
                <w:b/>
                <w:spacing w:val="-2"/>
                <w:sz w:val="22"/>
              </w:rPr>
              <w:t>Cuenta</w:t>
            </w:r>
          </w:p>
        </w:tc>
        <w:tc>
          <w:tcPr>
            <w:tcW w:w="2835" w:type="dxa"/>
            <w:vMerge w:val="restart"/>
            <w:shd w:val="clear" w:color="auto" w:fill="365F92"/>
          </w:tcPr>
          <w:p>
            <w:pPr>
              <w:pStyle w:val="TableParagraph"/>
              <w:spacing w:before="209"/>
              <w:ind w:left="888"/>
              <w:rPr>
                <w:b/>
                <w:sz w:val="22"/>
              </w:rPr>
            </w:pPr>
            <w:r>
              <w:rPr>
                <w:b/>
                <w:spacing w:val="-2"/>
                <w:sz w:val="22"/>
              </w:rPr>
              <w:t>Descripción</w:t>
            </w:r>
          </w:p>
        </w:tc>
        <w:tc>
          <w:tcPr>
            <w:tcW w:w="708" w:type="dxa"/>
            <w:vMerge w:val="restart"/>
            <w:shd w:val="clear" w:color="auto" w:fill="365F92"/>
          </w:tcPr>
          <w:p>
            <w:pPr>
              <w:pStyle w:val="TableParagraph"/>
              <w:spacing w:before="209"/>
              <w:ind w:left="136"/>
              <w:rPr>
                <w:b/>
                <w:sz w:val="22"/>
              </w:rPr>
            </w:pPr>
            <w:r>
              <w:rPr>
                <w:b/>
                <w:spacing w:val="-4"/>
                <w:sz w:val="22"/>
              </w:rPr>
              <w:t>Nota</w:t>
            </w:r>
          </w:p>
        </w:tc>
        <w:tc>
          <w:tcPr>
            <w:tcW w:w="1702" w:type="dxa"/>
            <w:vMerge w:val="restart"/>
            <w:shd w:val="clear" w:color="auto" w:fill="365F92"/>
          </w:tcPr>
          <w:p>
            <w:pPr>
              <w:pStyle w:val="TableParagraph"/>
              <w:spacing w:before="209"/>
              <w:ind w:left="218"/>
              <w:rPr>
                <w:b/>
                <w:sz w:val="22"/>
              </w:rPr>
            </w:pPr>
            <w:r>
              <w:rPr>
                <w:b/>
                <w:sz w:val="22"/>
              </w:rPr>
              <w:t>Periodo</w:t>
            </w:r>
            <w:r>
              <w:rPr>
                <w:b/>
                <w:spacing w:val="-4"/>
                <w:sz w:val="22"/>
              </w:rPr>
              <w:t> </w:t>
            </w:r>
            <w:r>
              <w:rPr>
                <w:b/>
                <w:spacing w:val="-2"/>
                <w:sz w:val="22"/>
              </w:rPr>
              <w:t>Actual</w:t>
            </w:r>
          </w:p>
        </w:tc>
        <w:tc>
          <w:tcPr>
            <w:tcW w:w="1922" w:type="dxa"/>
            <w:vMerge w:val="restart"/>
            <w:shd w:val="clear" w:color="auto" w:fill="365F92"/>
          </w:tcPr>
          <w:p>
            <w:pPr>
              <w:pStyle w:val="TableParagraph"/>
              <w:spacing w:before="209"/>
              <w:ind w:left="237"/>
              <w:rPr>
                <w:b/>
                <w:sz w:val="22"/>
              </w:rPr>
            </w:pPr>
            <w:r>
              <w:rPr>
                <w:b/>
                <w:sz w:val="22"/>
              </w:rPr>
              <w:t>Periodo</w:t>
            </w:r>
            <w:r>
              <w:rPr>
                <w:b/>
                <w:spacing w:val="-4"/>
                <w:sz w:val="22"/>
              </w:rPr>
              <w:t> </w:t>
            </w:r>
            <w:r>
              <w:rPr>
                <w:b/>
                <w:spacing w:val="-2"/>
                <w:sz w:val="22"/>
              </w:rPr>
              <w:t>Anterior</w:t>
            </w:r>
          </w:p>
        </w:tc>
        <w:tc>
          <w:tcPr>
            <w:tcW w:w="1054" w:type="dxa"/>
            <w:shd w:val="clear" w:color="auto" w:fill="365F92"/>
          </w:tcPr>
          <w:p>
            <w:pPr>
              <w:pStyle w:val="TableParagraph"/>
              <w:spacing w:before="36"/>
              <w:ind w:left="22" w:right="2"/>
              <w:jc w:val="center"/>
              <w:rPr>
                <w:b/>
                <w:sz w:val="22"/>
              </w:rPr>
            </w:pPr>
            <w:r>
              <w:rPr>
                <w:b/>
                <w:spacing w:val="-2"/>
                <w:sz w:val="22"/>
              </w:rPr>
              <w:t>Diferencia</w:t>
            </w:r>
          </w:p>
        </w:tc>
      </w:tr>
      <w:tr>
        <w:trPr>
          <w:trHeight w:val="323" w:hRule="atLeast"/>
        </w:trPr>
        <w:tc>
          <w:tcPr>
            <w:tcW w:w="984" w:type="dxa"/>
            <w:vMerge/>
            <w:tcBorders>
              <w:top w:val="nil"/>
            </w:tcBorders>
            <w:shd w:val="clear" w:color="auto" w:fill="365F92"/>
          </w:tcPr>
          <w:p>
            <w:pPr>
              <w:rPr>
                <w:sz w:val="2"/>
                <w:szCs w:val="2"/>
              </w:rPr>
            </w:pPr>
          </w:p>
        </w:tc>
        <w:tc>
          <w:tcPr>
            <w:tcW w:w="2835"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922" w:type="dxa"/>
            <w:vMerge/>
            <w:tcBorders>
              <w:top w:val="nil"/>
            </w:tcBorders>
            <w:shd w:val="clear" w:color="auto" w:fill="365F92"/>
          </w:tcPr>
          <w:p>
            <w:pPr>
              <w:rPr>
                <w:sz w:val="2"/>
                <w:szCs w:val="2"/>
              </w:rPr>
            </w:pPr>
          </w:p>
        </w:tc>
        <w:tc>
          <w:tcPr>
            <w:tcW w:w="1054" w:type="dxa"/>
            <w:shd w:val="clear" w:color="auto" w:fill="365F92"/>
          </w:tcPr>
          <w:p>
            <w:pPr>
              <w:pStyle w:val="TableParagraph"/>
              <w:spacing w:before="36"/>
              <w:ind w:left="22" w:right="3"/>
              <w:jc w:val="center"/>
              <w:rPr>
                <w:sz w:val="22"/>
              </w:rPr>
            </w:pPr>
            <w:r>
              <w:rPr>
                <w:color w:val="FFFFFF"/>
                <w:spacing w:val="-10"/>
                <w:sz w:val="22"/>
              </w:rPr>
              <w:t>%</w:t>
            </w:r>
          </w:p>
        </w:tc>
      </w:tr>
      <w:tr>
        <w:trPr>
          <w:trHeight w:val="325" w:hRule="atLeast"/>
        </w:trPr>
        <w:tc>
          <w:tcPr>
            <w:tcW w:w="984" w:type="dxa"/>
          </w:tcPr>
          <w:p>
            <w:pPr>
              <w:pStyle w:val="TableParagraph"/>
              <w:spacing w:before="36"/>
              <w:ind w:left="69"/>
              <w:rPr>
                <w:b/>
                <w:sz w:val="22"/>
              </w:rPr>
            </w:pPr>
            <w:r>
              <w:rPr>
                <w:b/>
                <w:spacing w:val="-2"/>
                <w:sz w:val="22"/>
              </w:rPr>
              <w:t>3.1.5.02.</w:t>
            </w:r>
          </w:p>
        </w:tc>
        <w:tc>
          <w:tcPr>
            <w:tcW w:w="2835" w:type="dxa"/>
          </w:tcPr>
          <w:p>
            <w:pPr>
              <w:pStyle w:val="TableParagraph"/>
              <w:spacing w:before="36"/>
              <w:ind w:left="69"/>
              <w:rPr>
                <w:b/>
                <w:sz w:val="22"/>
              </w:rPr>
            </w:pPr>
            <w:r>
              <w:rPr>
                <w:b/>
                <w:sz w:val="22"/>
              </w:rPr>
              <w:t>Resultado</w:t>
            </w:r>
            <w:r>
              <w:rPr>
                <w:b/>
                <w:spacing w:val="-3"/>
                <w:sz w:val="22"/>
              </w:rPr>
              <w:t> </w:t>
            </w:r>
            <w:r>
              <w:rPr>
                <w:b/>
                <w:sz w:val="22"/>
              </w:rPr>
              <w:t>del</w:t>
            </w:r>
            <w:r>
              <w:rPr>
                <w:b/>
                <w:spacing w:val="-3"/>
                <w:sz w:val="22"/>
              </w:rPr>
              <w:t> </w:t>
            </w:r>
            <w:r>
              <w:rPr>
                <w:b/>
                <w:spacing w:val="-2"/>
                <w:sz w:val="22"/>
              </w:rPr>
              <w:t>ejercicio</w:t>
            </w:r>
          </w:p>
        </w:tc>
        <w:tc>
          <w:tcPr>
            <w:tcW w:w="708" w:type="dxa"/>
          </w:tcPr>
          <w:p>
            <w:pPr>
              <w:pStyle w:val="TableParagraph"/>
              <w:spacing w:before="36"/>
              <w:ind w:left="244"/>
              <w:rPr>
                <w:b/>
                <w:sz w:val="22"/>
              </w:rPr>
            </w:pPr>
            <w:r>
              <w:rPr>
                <w:b/>
                <w:spacing w:val="-5"/>
                <w:sz w:val="22"/>
              </w:rPr>
              <w:t>28</w:t>
            </w:r>
          </w:p>
        </w:tc>
        <w:tc>
          <w:tcPr>
            <w:tcW w:w="1702" w:type="dxa"/>
          </w:tcPr>
          <w:p>
            <w:pPr>
              <w:pStyle w:val="TableParagraph"/>
              <w:spacing w:before="46"/>
              <w:ind w:left="283"/>
              <w:rPr>
                <w:b/>
                <w:sz w:val="20"/>
              </w:rPr>
            </w:pPr>
            <w:r>
              <w:rPr>
                <w:b/>
                <w:sz w:val="20"/>
              </w:rPr>
              <w:t>14</w:t>
            </w:r>
            <w:r>
              <w:rPr>
                <w:b/>
                <w:spacing w:val="-3"/>
                <w:sz w:val="20"/>
              </w:rPr>
              <w:t> </w:t>
            </w:r>
            <w:r>
              <w:rPr>
                <w:b/>
                <w:sz w:val="20"/>
              </w:rPr>
              <w:t>521</w:t>
            </w:r>
            <w:r>
              <w:rPr>
                <w:b/>
                <w:spacing w:val="-2"/>
                <w:sz w:val="20"/>
              </w:rPr>
              <w:t> 107,15</w:t>
            </w:r>
          </w:p>
        </w:tc>
        <w:tc>
          <w:tcPr>
            <w:tcW w:w="1922" w:type="dxa"/>
          </w:tcPr>
          <w:p>
            <w:pPr>
              <w:pStyle w:val="TableParagraph"/>
              <w:spacing w:before="46"/>
              <w:ind w:left="393"/>
              <w:rPr>
                <w:b/>
                <w:sz w:val="20"/>
              </w:rPr>
            </w:pPr>
            <w:r>
              <w:rPr>
                <w:b/>
                <w:sz w:val="20"/>
              </w:rPr>
              <w:t>22</w:t>
            </w:r>
            <w:r>
              <w:rPr>
                <w:b/>
                <w:spacing w:val="-3"/>
                <w:sz w:val="20"/>
              </w:rPr>
              <w:t> </w:t>
            </w:r>
            <w:r>
              <w:rPr>
                <w:b/>
                <w:sz w:val="20"/>
              </w:rPr>
              <w:t>801</w:t>
            </w:r>
            <w:r>
              <w:rPr>
                <w:b/>
                <w:spacing w:val="-2"/>
                <w:sz w:val="20"/>
              </w:rPr>
              <w:t> 631,78</w:t>
            </w:r>
          </w:p>
        </w:tc>
        <w:tc>
          <w:tcPr>
            <w:tcW w:w="1054" w:type="dxa"/>
          </w:tcPr>
          <w:p>
            <w:pPr>
              <w:pStyle w:val="TableParagraph"/>
              <w:spacing w:before="46"/>
              <w:ind w:left="22"/>
              <w:jc w:val="center"/>
              <w:rPr>
                <w:b/>
                <w:sz w:val="20"/>
              </w:rPr>
            </w:pPr>
            <w:r>
              <w:rPr>
                <w:b/>
                <w:spacing w:val="-2"/>
                <w:sz w:val="20"/>
              </w:rPr>
              <w:t>-36,32%</w:t>
            </w:r>
          </w:p>
        </w:tc>
      </w:tr>
    </w:tbl>
    <w:p>
      <w:pPr>
        <w:pStyle w:val="BodyText"/>
        <w:rPr>
          <w:sz w:val="20"/>
        </w:rPr>
      </w:pPr>
    </w:p>
    <w:p>
      <w:pPr>
        <w:pStyle w:val="BodyText"/>
        <w:rPr>
          <w:sz w:val="20"/>
        </w:rPr>
      </w:pPr>
    </w:p>
    <w:p>
      <w:pPr>
        <w:pStyle w:val="BodyText"/>
        <w:spacing w:before="178"/>
        <w:rPr>
          <w:sz w:val="20"/>
        </w:rPr>
      </w:pPr>
    </w:p>
    <w:p>
      <w:pPr>
        <w:pStyle w:val="Heading6"/>
        <w:spacing w:before="1"/>
        <w:ind w:left="622"/>
        <w:rPr>
          <w:b w:val="0"/>
        </w:rPr>
      </w:pPr>
      <w:r>
        <w:rPr>
          <w:spacing w:val="-2"/>
        </w:rPr>
        <w:t>Revelación</w:t>
      </w:r>
      <w:r>
        <w:rPr>
          <w:b w:val="0"/>
          <w:spacing w:val="-2"/>
        </w:rPr>
        <w:t>:</w:t>
      </w:r>
    </w:p>
    <w:p>
      <w:pPr>
        <w:pStyle w:val="BodyText"/>
        <w:spacing w:before="178"/>
        <w:ind w:left="622" w:right="977"/>
        <w:jc w:val="both"/>
      </w:pPr>
      <w:r>
        <w:rPr/>
        <w:t>La cuenta Resultados acumulados, representa el 96,53% del total del Capital, que comparado al periodo</w:t>
      </w:r>
      <w:r>
        <w:rPr>
          <w:spacing w:val="-7"/>
        </w:rPr>
        <w:t> </w:t>
      </w:r>
      <w:r>
        <w:rPr/>
        <w:t>anterior</w:t>
      </w:r>
      <w:r>
        <w:rPr>
          <w:spacing w:val="-11"/>
        </w:rPr>
        <w:t> </w:t>
      </w:r>
      <w:r>
        <w:rPr/>
        <w:t>genera</w:t>
      </w:r>
      <w:r>
        <w:rPr>
          <w:spacing w:val="-9"/>
        </w:rPr>
        <w:t> </w:t>
      </w:r>
      <w:r>
        <w:rPr/>
        <w:t>una</w:t>
      </w:r>
      <w:r>
        <w:rPr>
          <w:spacing w:val="-9"/>
        </w:rPr>
        <w:t> </w:t>
      </w:r>
      <w:r>
        <w:rPr/>
        <w:t>variación</w:t>
      </w:r>
      <w:r>
        <w:rPr>
          <w:spacing w:val="-8"/>
        </w:rPr>
        <w:t> </w:t>
      </w:r>
      <w:r>
        <w:rPr/>
        <w:t>absoluta</w:t>
      </w:r>
      <w:r>
        <w:rPr>
          <w:spacing w:val="-8"/>
        </w:rPr>
        <w:t> </w:t>
      </w:r>
      <w:r>
        <w:rPr/>
        <w:t>de</w:t>
      </w:r>
      <w:r>
        <w:rPr>
          <w:spacing w:val="-7"/>
        </w:rPr>
        <w:t> </w:t>
      </w:r>
      <w:r>
        <w:rPr/>
        <w:t>¢</w:t>
      </w:r>
      <w:r>
        <w:rPr>
          <w:spacing w:val="-6"/>
        </w:rPr>
        <w:t> </w:t>
      </w:r>
      <w:r>
        <w:rPr/>
        <w:t>-6.494.733,89</w:t>
      </w:r>
      <w:r>
        <w:rPr>
          <w:spacing w:val="-8"/>
        </w:rPr>
        <w:t> </w:t>
      </w:r>
      <w:r>
        <w:rPr/>
        <w:t>que</w:t>
      </w:r>
      <w:r>
        <w:rPr>
          <w:spacing w:val="-7"/>
        </w:rPr>
        <w:t> </w:t>
      </w:r>
      <w:r>
        <w:rPr/>
        <w:t>corresponde</w:t>
      </w:r>
      <w:r>
        <w:rPr>
          <w:spacing w:val="-9"/>
        </w:rPr>
        <w:t> </w:t>
      </w:r>
      <w:r>
        <w:rPr/>
        <w:t>a</w:t>
      </w:r>
      <w:r>
        <w:rPr>
          <w:spacing w:val="-9"/>
        </w:rPr>
        <w:t> </w:t>
      </w:r>
      <w:r>
        <w:rPr/>
        <w:t>una</w:t>
      </w:r>
      <w:r>
        <w:rPr>
          <w:spacing w:val="-9"/>
        </w:rPr>
        <w:t> </w:t>
      </w:r>
      <w:r>
        <w:rPr/>
        <w:t>disminución del-3,40% de recursos disponibles.</w:t>
      </w:r>
    </w:p>
    <w:p>
      <w:pPr>
        <w:pStyle w:val="BodyText"/>
        <w:spacing w:before="192"/>
      </w:pPr>
    </w:p>
    <w:p>
      <w:pPr>
        <w:pStyle w:val="Heading6"/>
        <w:ind w:left="691"/>
        <w:rPr>
          <w:b w:val="0"/>
        </w:rPr>
      </w:pPr>
      <w:r>
        <w:rPr>
          <w:color w:val="1F4E79"/>
          <w:spacing w:val="-2"/>
          <w:u w:val="single" w:color="1F4E79"/>
        </w:rPr>
        <w:t>Revelación</w:t>
      </w:r>
      <w:r>
        <w:rPr>
          <w:b w:val="0"/>
          <w:spacing w:val="-2"/>
          <w:u w:val="none"/>
        </w:rPr>
        <w:t>:</w:t>
      </w:r>
    </w:p>
    <w:p>
      <w:pPr>
        <w:pStyle w:val="BodyText"/>
        <w:spacing w:before="179"/>
        <w:ind w:left="691"/>
        <w:jc w:val="both"/>
      </w:pPr>
      <w:r>
        <w:rPr/>
        <w:t>Detalle</w:t>
      </w:r>
      <w:r>
        <w:rPr>
          <w:spacing w:val="-5"/>
        </w:rPr>
        <w:t> </w:t>
      </w:r>
      <w:r>
        <w:rPr/>
        <w:t>del</w:t>
      </w:r>
      <w:r>
        <w:rPr>
          <w:spacing w:val="-3"/>
        </w:rPr>
        <w:t> </w:t>
      </w:r>
      <w:r>
        <w:rPr/>
        <w:t>movimiento</w:t>
      </w:r>
      <w:r>
        <w:rPr>
          <w:spacing w:val="-1"/>
        </w:rPr>
        <w:t> </w:t>
      </w:r>
      <w:r>
        <w:rPr/>
        <w:t>al</w:t>
      </w:r>
      <w:r>
        <w:rPr>
          <w:spacing w:val="-3"/>
        </w:rPr>
        <w:t> </w:t>
      </w:r>
      <w:r>
        <w:rPr/>
        <w:t>31</w:t>
      </w:r>
      <w:r>
        <w:rPr>
          <w:spacing w:val="-4"/>
        </w:rPr>
        <w:t> </w:t>
      </w:r>
      <w:r>
        <w:rPr/>
        <w:t>de</w:t>
      </w:r>
      <w:r>
        <w:rPr>
          <w:spacing w:val="-4"/>
        </w:rPr>
        <w:t> </w:t>
      </w:r>
      <w:r>
        <w:rPr/>
        <w:t>julio</w:t>
      </w:r>
      <w:r>
        <w:rPr>
          <w:spacing w:val="-3"/>
        </w:rPr>
        <w:t> </w:t>
      </w:r>
      <w:r>
        <w:rPr/>
        <w:t>del</w:t>
      </w:r>
      <w:r>
        <w:rPr>
          <w:spacing w:val="-2"/>
        </w:rPr>
        <w:t> </w:t>
      </w:r>
      <w:r>
        <w:rPr/>
        <w:t>2026</w:t>
      </w:r>
      <w:r>
        <w:rPr>
          <w:spacing w:val="-3"/>
        </w:rPr>
        <w:t> </w:t>
      </w:r>
      <w:r>
        <w:rPr/>
        <w:t>es</w:t>
      </w:r>
      <w:r>
        <w:rPr>
          <w:spacing w:val="-2"/>
        </w:rPr>
        <w:t> </w:t>
      </w:r>
      <w:r>
        <w:rPr/>
        <w:t>el</w:t>
      </w:r>
      <w:r>
        <w:rPr>
          <w:spacing w:val="-2"/>
        </w:rPr>
        <w:t> siguiente:</w:t>
      </w:r>
    </w:p>
    <w:p>
      <w:pPr>
        <w:pStyle w:val="BodyText"/>
        <w:spacing w:before="4"/>
        <w:rPr>
          <w:sz w:val="15"/>
        </w:rPr>
      </w:pPr>
    </w:p>
    <w:tbl>
      <w:tblPr>
        <w:tblW w:w="0" w:type="auto"/>
        <w:jc w:val="left"/>
        <w:tblInd w:w="2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9"/>
        <w:gridCol w:w="1658"/>
        <w:gridCol w:w="1385"/>
      </w:tblGrid>
      <w:tr>
        <w:trPr>
          <w:trHeight w:val="235" w:hRule="atLeast"/>
        </w:trPr>
        <w:tc>
          <w:tcPr>
            <w:tcW w:w="3439" w:type="dxa"/>
            <w:tcBorders>
              <w:top w:val="single" w:sz="2" w:space="0" w:color="000000"/>
              <w:left w:val="single" w:sz="2" w:space="0" w:color="000000"/>
            </w:tcBorders>
          </w:tcPr>
          <w:p>
            <w:pPr>
              <w:pStyle w:val="TableParagraph"/>
              <w:rPr>
                <w:rFonts w:ascii="Times New Roman"/>
                <w:sz w:val="16"/>
              </w:rPr>
            </w:pPr>
          </w:p>
        </w:tc>
        <w:tc>
          <w:tcPr>
            <w:tcW w:w="1658" w:type="dxa"/>
            <w:tcBorders>
              <w:top w:val="single" w:sz="2" w:space="0" w:color="000000"/>
            </w:tcBorders>
          </w:tcPr>
          <w:p>
            <w:pPr>
              <w:pStyle w:val="TableParagraph"/>
              <w:spacing w:line="192" w:lineRule="exact" w:before="23"/>
              <w:ind w:right="120"/>
              <w:jc w:val="center"/>
              <w:rPr>
                <w:rFonts w:ascii="Times New Roman"/>
                <w:b/>
                <w:sz w:val="17"/>
              </w:rPr>
            </w:pPr>
            <w:r>
              <w:rPr>
                <w:rFonts w:ascii="Times New Roman"/>
                <w:b/>
                <w:spacing w:val="-4"/>
                <w:w w:val="105"/>
                <w:sz w:val="17"/>
                <w:u w:val="single"/>
              </w:rPr>
              <w:t>2026</w:t>
            </w:r>
          </w:p>
        </w:tc>
        <w:tc>
          <w:tcPr>
            <w:tcW w:w="1385" w:type="dxa"/>
            <w:tcBorders>
              <w:top w:val="single" w:sz="2" w:space="0" w:color="000000"/>
              <w:right w:val="single" w:sz="4" w:space="0" w:color="000000"/>
            </w:tcBorders>
          </w:tcPr>
          <w:p>
            <w:pPr>
              <w:pStyle w:val="TableParagraph"/>
              <w:spacing w:line="192" w:lineRule="exact" w:before="23"/>
              <w:ind w:left="448"/>
              <w:rPr>
                <w:rFonts w:ascii="Times New Roman"/>
                <w:b/>
                <w:sz w:val="17"/>
              </w:rPr>
            </w:pPr>
            <w:r>
              <w:rPr>
                <w:rFonts w:ascii="Times New Roman"/>
                <w:b/>
                <w:spacing w:val="-4"/>
                <w:w w:val="105"/>
                <w:sz w:val="17"/>
                <w:u w:val="single"/>
              </w:rPr>
              <w:t>2025</w:t>
            </w:r>
          </w:p>
        </w:tc>
      </w:tr>
      <w:tr>
        <w:trPr>
          <w:trHeight w:val="241" w:hRule="atLeast"/>
        </w:trPr>
        <w:tc>
          <w:tcPr>
            <w:tcW w:w="3439" w:type="dxa"/>
            <w:tcBorders>
              <w:left w:val="single" w:sz="2" w:space="0" w:color="000000"/>
            </w:tcBorders>
          </w:tcPr>
          <w:p>
            <w:pPr>
              <w:pStyle w:val="TableParagraph"/>
              <w:spacing w:line="213" w:lineRule="exact" w:before="9"/>
              <w:ind w:left="143"/>
              <w:rPr>
                <w:rFonts w:ascii="Times New Roman"/>
                <w:b/>
                <w:sz w:val="19"/>
              </w:rPr>
            </w:pPr>
            <w:r>
              <w:rPr>
                <w:rFonts w:ascii="Times New Roman"/>
                <w:b/>
                <w:sz w:val="19"/>
              </w:rPr>
              <w:t>Resultado</w:t>
            </w:r>
            <w:r>
              <w:rPr>
                <w:rFonts w:ascii="Times New Roman"/>
                <w:b/>
                <w:spacing w:val="-7"/>
                <w:sz w:val="19"/>
              </w:rPr>
              <w:t> </w:t>
            </w:r>
            <w:r>
              <w:rPr>
                <w:rFonts w:ascii="Times New Roman"/>
                <w:b/>
                <w:sz w:val="19"/>
              </w:rPr>
              <w:t>ejercicios</w:t>
            </w:r>
            <w:r>
              <w:rPr>
                <w:rFonts w:ascii="Times New Roman"/>
                <w:b/>
                <w:spacing w:val="-1"/>
                <w:sz w:val="19"/>
              </w:rPr>
              <w:t> </w:t>
            </w:r>
            <w:r>
              <w:rPr>
                <w:rFonts w:ascii="Times New Roman"/>
                <w:b/>
                <w:spacing w:val="-2"/>
                <w:sz w:val="19"/>
              </w:rPr>
              <w:t>anteriores</w:t>
            </w:r>
          </w:p>
        </w:tc>
        <w:tc>
          <w:tcPr>
            <w:tcW w:w="1658" w:type="dxa"/>
          </w:tcPr>
          <w:p>
            <w:pPr>
              <w:pStyle w:val="TableParagraph"/>
              <w:rPr>
                <w:rFonts w:ascii="Times New Roman"/>
                <w:sz w:val="16"/>
              </w:rPr>
            </w:pPr>
          </w:p>
        </w:tc>
        <w:tc>
          <w:tcPr>
            <w:tcW w:w="1385" w:type="dxa"/>
            <w:tcBorders>
              <w:right w:val="single" w:sz="4" w:space="0" w:color="000000"/>
            </w:tcBorders>
          </w:tcPr>
          <w:p>
            <w:pPr>
              <w:pStyle w:val="TableParagraph"/>
              <w:rPr>
                <w:rFonts w:ascii="Times New Roman"/>
                <w:sz w:val="16"/>
              </w:rPr>
            </w:pPr>
          </w:p>
        </w:tc>
      </w:tr>
      <w:tr>
        <w:trPr>
          <w:trHeight w:val="242" w:hRule="atLeast"/>
        </w:trPr>
        <w:tc>
          <w:tcPr>
            <w:tcW w:w="3439" w:type="dxa"/>
            <w:tcBorders>
              <w:left w:val="single" w:sz="2" w:space="0" w:color="000000"/>
            </w:tcBorders>
          </w:tcPr>
          <w:p>
            <w:pPr>
              <w:pStyle w:val="TableParagraph"/>
              <w:spacing w:line="215" w:lineRule="exact" w:before="7"/>
              <w:ind w:left="143"/>
              <w:rPr>
                <w:rFonts w:ascii="Times New Roman"/>
                <w:sz w:val="19"/>
              </w:rPr>
            </w:pPr>
            <w:r>
              <w:rPr>
                <w:rFonts w:ascii="Times New Roman"/>
                <w:sz w:val="19"/>
              </w:rPr>
              <w:t>a)</w:t>
            </w:r>
            <w:r>
              <w:rPr>
                <w:rFonts w:ascii="Times New Roman"/>
                <w:spacing w:val="-7"/>
                <w:sz w:val="19"/>
              </w:rPr>
              <w:t> </w:t>
            </w:r>
            <w:r>
              <w:rPr>
                <w:rFonts w:ascii="Times New Roman"/>
                <w:sz w:val="19"/>
              </w:rPr>
              <w:t>Resultados</w:t>
            </w:r>
            <w:r>
              <w:rPr>
                <w:rFonts w:ascii="Times New Roman"/>
                <w:spacing w:val="-3"/>
                <w:sz w:val="19"/>
              </w:rPr>
              <w:t> </w:t>
            </w:r>
            <w:r>
              <w:rPr>
                <w:rFonts w:ascii="Times New Roman"/>
                <w:sz w:val="19"/>
              </w:rPr>
              <w:t>de</w:t>
            </w:r>
            <w:r>
              <w:rPr>
                <w:rFonts w:ascii="Times New Roman"/>
                <w:spacing w:val="-8"/>
                <w:sz w:val="19"/>
              </w:rPr>
              <w:t> </w:t>
            </w:r>
            <w:r>
              <w:rPr>
                <w:rFonts w:ascii="Times New Roman"/>
                <w:sz w:val="19"/>
              </w:rPr>
              <w:t>ejercicios</w:t>
            </w:r>
            <w:r>
              <w:rPr>
                <w:rFonts w:ascii="Times New Roman"/>
                <w:spacing w:val="-3"/>
                <w:sz w:val="19"/>
              </w:rPr>
              <w:t> </w:t>
            </w:r>
            <w:r>
              <w:rPr>
                <w:rFonts w:ascii="Times New Roman"/>
                <w:spacing w:val="-2"/>
                <w:sz w:val="19"/>
              </w:rPr>
              <w:t>anteriores</w:t>
            </w:r>
          </w:p>
        </w:tc>
        <w:tc>
          <w:tcPr>
            <w:tcW w:w="1658" w:type="dxa"/>
          </w:tcPr>
          <w:p>
            <w:pPr>
              <w:pStyle w:val="TableParagraph"/>
              <w:spacing w:line="215" w:lineRule="exact" w:before="7"/>
              <w:ind w:right="154"/>
              <w:jc w:val="right"/>
              <w:rPr>
                <w:rFonts w:ascii="Times New Roman"/>
                <w:sz w:val="19"/>
              </w:rPr>
            </w:pPr>
            <w:r>
              <w:rPr>
                <w:rFonts w:ascii="Times New Roman"/>
                <w:sz w:val="19"/>
              </w:rPr>
              <w:t>61 645</w:t>
            </w:r>
            <w:r>
              <w:rPr>
                <w:rFonts w:ascii="Times New Roman"/>
                <w:spacing w:val="1"/>
                <w:sz w:val="19"/>
              </w:rPr>
              <w:t> </w:t>
            </w:r>
            <w:r>
              <w:rPr>
                <w:rFonts w:ascii="Times New Roman"/>
                <w:spacing w:val="-2"/>
                <w:sz w:val="19"/>
              </w:rPr>
              <w:t>121,14</w:t>
            </w:r>
          </w:p>
        </w:tc>
        <w:tc>
          <w:tcPr>
            <w:tcW w:w="1385" w:type="dxa"/>
            <w:tcBorders>
              <w:right w:val="single" w:sz="4" w:space="0" w:color="000000"/>
            </w:tcBorders>
          </w:tcPr>
          <w:p>
            <w:pPr>
              <w:pStyle w:val="TableParagraph"/>
              <w:spacing w:line="215" w:lineRule="exact" w:before="7"/>
              <w:ind w:right="13"/>
              <w:jc w:val="right"/>
              <w:rPr>
                <w:rFonts w:ascii="Times New Roman"/>
                <w:sz w:val="19"/>
              </w:rPr>
            </w:pPr>
            <w:r>
              <w:rPr>
                <w:rFonts w:ascii="Times New Roman"/>
                <w:sz w:val="19"/>
              </w:rPr>
              <w:t>59 859</w:t>
            </w:r>
            <w:r>
              <w:rPr>
                <w:rFonts w:ascii="Times New Roman"/>
                <w:spacing w:val="1"/>
                <w:sz w:val="19"/>
              </w:rPr>
              <w:t> </w:t>
            </w:r>
            <w:r>
              <w:rPr>
                <w:rFonts w:ascii="Times New Roman"/>
                <w:spacing w:val="-2"/>
                <w:sz w:val="19"/>
              </w:rPr>
              <w:t>330,40</w:t>
            </w:r>
          </w:p>
        </w:tc>
      </w:tr>
      <w:tr>
        <w:trPr>
          <w:trHeight w:val="489" w:hRule="atLeast"/>
        </w:trPr>
        <w:tc>
          <w:tcPr>
            <w:tcW w:w="3439" w:type="dxa"/>
            <w:tcBorders>
              <w:left w:val="single" w:sz="2" w:space="0" w:color="000000"/>
            </w:tcBorders>
          </w:tcPr>
          <w:p>
            <w:pPr>
              <w:pStyle w:val="TableParagraph"/>
              <w:spacing w:before="9"/>
              <w:ind w:left="143"/>
              <w:rPr>
                <w:rFonts w:ascii="Times New Roman" w:hAnsi="Times New Roman"/>
                <w:sz w:val="19"/>
              </w:rPr>
            </w:pPr>
            <w:r>
              <w:rPr>
                <w:rFonts w:ascii="Times New Roman" w:hAnsi="Times New Roman"/>
                <w:sz w:val="19"/>
              </w:rPr>
              <w:t>b)</w:t>
            </w:r>
            <w:r>
              <w:rPr>
                <w:rFonts w:ascii="Times New Roman" w:hAnsi="Times New Roman"/>
                <w:spacing w:val="-5"/>
                <w:sz w:val="19"/>
              </w:rPr>
              <w:t> </w:t>
            </w:r>
            <w:r>
              <w:rPr>
                <w:rFonts w:ascii="Times New Roman" w:hAnsi="Times New Roman"/>
                <w:sz w:val="19"/>
              </w:rPr>
              <w:t>Ajustes</w:t>
            </w:r>
            <w:r>
              <w:rPr>
                <w:rFonts w:ascii="Times New Roman" w:hAnsi="Times New Roman"/>
                <w:spacing w:val="-1"/>
                <w:sz w:val="19"/>
              </w:rPr>
              <w:t> </w:t>
            </w:r>
            <w:r>
              <w:rPr>
                <w:rFonts w:ascii="Times New Roman" w:hAnsi="Times New Roman"/>
                <w:sz w:val="19"/>
              </w:rPr>
              <w:t>por</w:t>
            </w:r>
            <w:r>
              <w:rPr>
                <w:rFonts w:ascii="Times New Roman" w:hAnsi="Times New Roman"/>
                <w:spacing w:val="-4"/>
                <w:sz w:val="19"/>
              </w:rPr>
              <w:t> </w:t>
            </w:r>
            <w:r>
              <w:rPr>
                <w:rFonts w:ascii="Times New Roman" w:hAnsi="Times New Roman"/>
                <w:sz w:val="19"/>
              </w:rPr>
              <w:t>reexpresión</w:t>
            </w:r>
            <w:r>
              <w:rPr>
                <w:rFonts w:ascii="Times New Roman" w:hAnsi="Times New Roman"/>
                <w:spacing w:val="-3"/>
                <w:sz w:val="19"/>
              </w:rPr>
              <w:t> </w:t>
            </w:r>
            <w:r>
              <w:rPr>
                <w:rFonts w:ascii="Times New Roman" w:hAnsi="Times New Roman"/>
                <w:sz w:val="19"/>
              </w:rPr>
              <w:t>de</w:t>
            </w:r>
            <w:r>
              <w:rPr>
                <w:rFonts w:ascii="Times New Roman" w:hAnsi="Times New Roman"/>
                <w:spacing w:val="-6"/>
                <w:sz w:val="19"/>
              </w:rPr>
              <w:t> </w:t>
            </w:r>
            <w:r>
              <w:rPr>
                <w:rFonts w:ascii="Times New Roman" w:hAnsi="Times New Roman"/>
                <w:spacing w:val="-2"/>
                <w:sz w:val="19"/>
              </w:rPr>
              <w:t>resultados</w:t>
            </w:r>
          </w:p>
          <w:p>
            <w:pPr>
              <w:pStyle w:val="TableParagraph"/>
              <w:spacing w:line="215" w:lineRule="exact" w:before="27"/>
              <w:ind w:left="143"/>
              <w:rPr>
                <w:rFonts w:ascii="Times New Roman"/>
                <w:sz w:val="19"/>
              </w:rPr>
            </w:pPr>
            <w:r>
              <w:rPr>
                <w:rFonts w:ascii="Times New Roman"/>
                <w:sz w:val="19"/>
              </w:rPr>
              <w:t>de</w:t>
            </w:r>
            <w:r>
              <w:rPr>
                <w:rFonts w:ascii="Times New Roman"/>
                <w:spacing w:val="-3"/>
                <w:sz w:val="19"/>
              </w:rPr>
              <w:t> </w:t>
            </w:r>
            <w:r>
              <w:rPr>
                <w:rFonts w:ascii="Times New Roman"/>
                <w:spacing w:val="-2"/>
                <w:sz w:val="19"/>
              </w:rPr>
              <w:t>ejercicios</w:t>
            </w:r>
          </w:p>
        </w:tc>
        <w:tc>
          <w:tcPr>
            <w:tcW w:w="1658" w:type="dxa"/>
          </w:tcPr>
          <w:p>
            <w:pPr>
              <w:pStyle w:val="TableParagraph"/>
              <w:spacing w:before="130"/>
              <w:ind w:right="154"/>
              <w:jc w:val="right"/>
              <w:rPr>
                <w:rFonts w:ascii="Times New Roman"/>
                <w:sz w:val="19"/>
              </w:rPr>
            </w:pPr>
            <w:r>
              <w:rPr>
                <w:rFonts w:ascii="Times New Roman"/>
                <w:sz w:val="19"/>
              </w:rPr>
              <w:t>107 457</w:t>
            </w:r>
            <w:r>
              <w:rPr>
                <w:rFonts w:ascii="Times New Roman"/>
                <w:spacing w:val="1"/>
                <w:sz w:val="19"/>
              </w:rPr>
              <w:t> </w:t>
            </w:r>
            <w:r>
              <w:rPr>
                <w:rFonts w:ascii="Times New Roman"/>
                <w:spacing w:val="-2"/>
                <w:sz w:val="19"/>
              </w:rPr>
              <w:t>382,39</w:t>
            </w:r>
          </w:p>
        </w:tc>
        <w:tc>
          <w:tcPr>
            <w:tcW w:w="1385" w:type="dxa"/>
            <w:tcBorders>
              <w:right w:val="single" w:sz="4" w:space="0" w:color="000000"/>
            </w:tcBorders>
          </w:tcPr>
          <w:p>
            <w:pPr>
              <w:pStyle w:val="TableParagraph"/>
              <w:spacing w:before="130"/>
              <w:ind w:right="13"/>
              <w:jc w:val="right"/>
              <w:rPr>
                <w:rFonts w:ascii="Times New Roman"/>
                <w:sz w:val="19"/>
              </w:rPr>
            </w:pPr>
            <w:r>
              <w:rPr>
                <w:rFonts w:ascii="Times New Roman"/>
                <w:sz w:val="19"/>
              </w:rPr>
              <w:t>107 457</w:t>
            </w:r>
            <w:r>
              <w:rPr>
                <w:rFonts w:ascii="Times New Roman"/>
                <w:spacing w:val="1"/>
                <w:sz w:val="19"/>
              </w:rPr>
              <w:t> </w:t>
            </w:r>
            <w:r>
              <w:rPr>
                <w:rFonts w:ascii="Times New Roman"/>
                <w:spacing w:val="-2"/>
                <w:sz w:val="19"/>
              </w:rPr>
              <w:t>382,39</w:t>
            </w:r>
          </w:p>
        </w:tc>
      </w:tr>
      <w:tr>
        <w:trPr>
          <w:trHeight w:val="244" w:hRule="atLeast"/>
        </w:trPr>
        <w:tc>
          <w:tcPr>
            <w:tcW w:w="3439" w:type="dxa"/>
            <w:tcBorders>
              <w:left w:val="single" w:sz="2" w:space="0" w:color="000000"/>
            </w:tcBorders>
          </w:tcPr>
          <w:p>
            <w:pPr>
              <w:pStyle w:val="TableParagraph"/>
              <w:spacing w:line="215" w:lineRule="exact" w:before="10"/>
              <w:ind w:left="143"/>
              <w:rPr>
                <w:rFonts w:ascii="Times New Roman" w:hAnsi="Times New Roman"/>
                <w:sz w:val="19"/>
              </w:rPr>
            </w:pPr>
            <w:r>
              <w:rPr>
                <w:rFonts w:ascii="Times New Roman" w:hAnsi="Times New Roman"/>
                <w:sz w:val="19"/>
              </w:rPr>
              <w:t>c)Ajustes</w:t>
            </w:r>
            <w:r>
              <w:rPr>
                <w:rFonts w:ascii="Times New Roman" w:hAnsi="Times New Roman"/>
                <w:spacing w:val="-5"/>
                <w:sz w:val="19"/>
              </w:rPr>
              <w:t> </w:t>
            </w:r>
            <w:r>
              <w:rPr>
                <w:rFonts w:ascii="Times New Roman" w:hAnsi="Times New Roman"/>
                <w:sz w:val="19"/>
              </w:rPr>
              <w:t>por</w:t>
            </w:r>
            <w:r>
              <w:rPr>
                <w:rFonts w:ascii="Times New Roman" w:hAnsi="Times New Roman"/>
                <w:spacing w:val="-8"/>
                <w:sz w:val="19"/>
              </w:rPr>
              <w:t> </w:t>
            </w:r>
            <w:r>
              <w:rPr>
                <w:rFonts w:ascii="Times New Roman" w:hAnsi="Times New Roman"/>
                <w:sz w:val="19"/>
              </w:rPr>
              <w:t>corrección</w:t>
            </w:r>
            <w:r>
              <w:rPr>
                <w:rFonts w:ascii="Times New Roman" w:hAnsi="Times New Roman"/>
                <w:spacing w:val="-6"/>
                <w:sz w:val="19"/>
              </w:rPr>
              <w:t> </w:t>
            </w:r>
            <w:r>
              <w:rPr>
                <w:rFonts w:ascii="Times New Roman" w:hAnsi="Times New Roman"/>
                <w:sz w:val="19"/>
              </w:rPr>
              <w:t>de</w:t>
            </w:r>
            <w:r>
              <w:rPr>
                <w:rFonts w:ascii="Times New Roman" w:hAnsi="Times New Roman"/>
                <w:spacing w:val="-10"/>
                <w:sz w:val="19"/>
              </w:rPr>
              <w:t> </w:t>
            </w:r>
            <w:r>
              <w:rPr>
                <w:rFonts w:ascii="Times New Roman" w:hAnsi="Times New Roman"/>
                <w:spacing w:val="-2"/>
                <w:sz w:val="19"/>
              </w:rPr>
              <w:t>errores</w:t>
            </w:r>
          </w:p>
        </w:tc>
        <w:tc>
          <w:tcPr>
            <w:tcW w:w="1658" w:type="dxa"/>
          </w:tcPr>
          <w:p>
            <w:pPr>
              <w:pStyle w:val="TableParagraph"/>
              <w:spacing w:line="215" w:lineRule="exact" w:before="10"/>
              <w:ind w:right="154"/>
              <w:jc w:val="right"/>
              <w:rPr>
                <w:rFonts w:ascii="Times New Roman"/>
                <w:sz w:val="19"/>
              </w:rPr>
            </w:pPr>
            <w:r>
              <w:rPr>
                <w:rFonts w:ascii="Times New Roman"/>
                <w:sz w:val="19"/>
              </w:rPr>
              <w:t>999 </w:t>
            </w:r>
            <w:r>
              <w:rPr>
                <w:rFonts w:ascii="Times New Roman"/>
                <w:spacing w:val="-2"/>
                <w:sz w:val="19"/>
              </w:rPr>
              <w:t>699,95</w:t>
            </w:r>
          </w:p>
        </w:tc>
        <w:tc>
          <w:tcPr>
            <w:tcW w:w="1385" w:type="dxa"/>
            <w:tcBorders>
              <w:right w:val="single" w:sz="4" w:space="0" w:color="000000"/>
            </w:tcBorders>
          </w:tcPr>
          <w:p>
            <w:pPr>
              <w:pStyle w:val="TableParagraph"/>
              <w:spacing w:line="215" w:lineRule="exact" w:before="10"/>
              <w:ind w:right="13"/>
              <w:jc w:val="right"/>
              <w:rPr>
                <w:rFonts w:ascii="Times New Roman"/>
                <w:sz w:val="19"/>
              </w:rPr>
            </w:pPr>
            <w:r>
              <w:rPr>
                <w:rFonts w:ascii="Times New Roman"/>
                <w:sz w:val="19"/>
              </w:rPr>
              <w:t>999 </w:t>
            </w:r>
            <w:r>
              <w:rPr>
                <w:rFonts w:ascii="Times New Roman"/>
                <w:spacing w:val="-2"/>
                <w:sz w:val="19"/>
              </w:rPr>
              <w:t>699,95</w:t>
            </w:r>
          </w:p>
        </w:tc>
      </w:tr>
      <w:tr>
        <w:trPr>
          <w:trHeight w:val="479" w:hRule="atLeast"/>
        </w:trPr>
        <w:tc>
          <w:tcPr>
            <w:tcW w:w="3439" w:type="dxa"/>
            <w:tcBorders>
              <w:left w:val="single" w:sz="2" w:space="0" w:color="000000"/>
            </w:tcBorders>
          </w:tcPr>
          <w:p>
            <w:pPr>
              <w:pStyle w:val="TableParagraph"/>
              <w:spacing w:before="9"/>
              <w:ind w:left="143"/>
              <w:rPr>
                <w:rFonts w:ascii="Times New Roman" w:hAnsi="Times New Roman"/>
                <w:sz w:val="19"/>
              </w:rPr>
            </w:pPr>
            <w:r>
              <w:rPr>
                <w:rFonts w:ascii="Times New Roman" w:hAnsi="Times New Roman"/>
                <w:sz w:val="19"/>
              </w:rPr>
              <w:t>d)Ajuste</w:t>
            </w:r>
            <w:r>
              <w:rPr>
                <w:rFonts w:ascii="Times New Roman" w:hAnsi="Times New Roman"/>
                <w:spacing w:val="-6"/>
                <w:sz w:val="19"/>
              </w:rPr>
              <w:t> </w:t>
            </w:r>
            <w:r>
              <w:rPr>
                <w:rFonts w:ascii="Times New Roman" w:hAnsi="Times New Roman"/>
                <w:sz w:val="19"/>
              </w:rPr>
              <w:t>por</w:t>
            </w:r>
            <w:r>
              <w:rPr>
                <w:rFonts w:ascii="Times New Roman" w:hAnsi="Times New Roman"/>
                <w:spacing w:val="-3"/>
                <w:sz w:val="19"/>
              </w:rPr>
              <w:t> </w:t>
            </w:r>
            <w:r>
              <w:rPr>
                <w:rFonts w:ascii="Times New Roman" w:hAnsi="Times New Roman"/>
                <w:sz w:val="19"/>
              </w:rPr>
              <w:t>cambios</w:t>
            </w:r>
            <w:r>
              <w:rPr>
                <w:rFonts w:ascii="Times New Roman" w:hAnsi="Times New Roman"/>
                <w:spacing w:val="1"/>
                <w:sz w:val="19"/>
              </w:rPr>
              <w:t> </w:t>
            </w:r>
            <w:r>
              <w:rPr>
                <w:rFonts w:ascii="Times New Roman" w:hAnsi="Times New Roman"/>
                <w:sz w:val="19"/>
              </w:rPr>
              <w:t>en</w:t>
            </w:r>
            <w:r>
              <w:rPr>
                <w:rFonts w:ascii="Times New Roman" w:hAnsi="Times New Roman"/>
                <w:spacing w:val="-2"/>
                <w:sz w:val="19"/>
              </w:rPr>
              <w:t> </w:t>
            </w:r>
            <w:r>
              <w:rPr>
                <w:rFonts w:ascii="Times New Roman" w:hAnsi="Times New Roman"/>
                <w:sz w:val="19"/>
              </w:rPr>
              <w:t>la </w:t>
            </w:r>
            <w:r>
              <w:rPr>
                <w:rFonts w:ascii="Times New Roman" w:hAnsi="Times New Roman"/>
                <w:spacing w:val="-2"/>
                <w:sz w:val="19"/>
              </w:rPr>
              <w:t>política</w:t>
            </w:r>
          </w:p>
        </w:tc>
        <w:tc>
          <w:tcPr>
            <w:tcW w:w="1658" w:type="dxa"/>
            <w:tcBorders>
              <w:bottom w:val="double" w:sz="2" w:space="0" w:color="000000"/>
            </w:tcBorders>
          </w:tcPr>
          <w:p>
            <w:pPr>
              <w:pStyle w:val="TableParagraph"/>
              <w:spacing w:before="9"/>
              <w:ind w:right="154"/>
              <w:jc w:val="right"/>
              <w:rPr>
                <w:rFonts w:ascii="Times New Roman"/>
                <w:sz w:val="19"/>
              </w:rPr>
            </w:pPr>
            <w:r>
              <w:rPr>
                <w:rFonts w:ascii="Times New Roman"/>
                <w:sz w:val="19"/>
              </w:rPr>
              <w:t>3 </w:t>
            </w:r>
            <w:r>
              <w:rPr>
                <w:rFonts w:ascii="Times New Roman"/>
                <w:spacing w:val="-2"/>
                <w:sz w:val="19"/>
              </w:rPr>
              <w:t>270,06</w:t>
            </w:r>
          </w:p>
        </w:tc>
        <w:tc>
          <w:tcPr>
            <w:tcW w:w="1385" w:type="dxa"/>
            <w:tcBorders>
              <w:bottom w:val="double" w:sz="2" w:space="0" w:color="000000"/>
              <w:right w:val="single" w:sz="4" w:space="0" w:color="000000"/>
            </w:tcBorders>
          </w:tcPr>
          <w:p>
            <w:pPr>
              <w:pStyle w:val="TableParagraph"/>
              <w:spacing w:before="9"/>
              <w:ind w:right="13"/>
              <w:jc w:val="right"/>
              <w:rPr>
                <w:rFonts w:ascii="Times New Roman"/>
                <w:sz w:val="19"/>
              </w:rPr>
            </w:pPr>
            <w:r>
              <w:rPr>
                <w:rFonts w:ascii="Times New Roman"/>
                <w:sz w:val="19"/>
              </w:rPr>
              <w:t>3 </w:t>
            </w:r>
            <w:r>
              <w:rPr>
                <w:rFonts w:ascii="Times New Roman"/>
                <w:spacing w:val="-2"/>
                <w:sz w:val="19"/>
              </w:rPr>
              <w:t>270,06</w:t>
            </w:r>
          </w:p>
        </w:tc>
      </w:tr>
      <w:tr>
        <w:trPr>
          <w:trHeight w:val="234" w:hRule="atLeast"/>
        </w:trPr>
        <w:tc>
          <w:tcPr>
            <w:tcW w:w="3439" w:type="dxa"/>
            <w:tcBorders>
              <w:left w:val="single" w:sz="2" w:space="0" w:color="000000"/>
              <w:bottom w:val="single" w:sz="4" w:space="0" w:color="000000"/>
            </w:tcBorders>
          </w:tcPr>
          <w:p>
            <w:pPr>
              <w:pStyle w:val="TableParagraph"/>
              <w:spacing w:line="186" w:lineRule="exact" w:before="28"/>
              <w:ind w:left="10"/>
              <w:jc w:val="center"/>
              <w:rPr>
                <w:rFonts w:ascii="Times New Roman"/>
                <w:b/>
                <w:sz w:val="17"/>
              </w:rPr>
            </w:pPr>
            <w:r>
              <w:rPr>
                <w:rFonts w:ascii="Times New Roman"/>
                <w:b/>
                <w:spacing w:val="-4"/>
                <w:w w:val="105"/>
                <w:sz w:val="17"/>
              </w:rPr>
              <w:t>Total</w:t>
            </w:r>
          </w:p>
        </w:tc>
        <w:tc>
          <w:tcPr>
            <w:tcW w:w="1658" w:type="dxa"/>
            <w:tcBorders>
              <w:top w:val="double" w:sz="2" w:space="0" w:color="000000"/>
              <w:bottom w:val="single" w:sz="4" w:space="0" w:color="000000"/>
            </w:tcBorders>
          </w:tcPr>
          <w:p>
            <w:pPr>
              <w:pStyle w:val="TableParagraph"/>
              <w:spacing w:line="200" w:lineRule="exact" w:before="14"/>
              <w:ind w:right="154"/>
              <w:jc w:val="right"/>
              <w:rPr>
                <w:rFonts w:ascii="Times New Roman"/>
                <w:b/>
                <w:sz w:val="19"/>
              </w:rPr>
            </w:pPr>
            <w:r>
              <w:rPr>
                <w:rFonts w:ascii="Times New Roman"/>
                <w:b/>
                <w:sz w:val="19"/>
                <w:u w:val="single"/>
              </w:rPr>
              <w:t>170 105</w:t>
            </w:r>
            <w:r>
              <w:rPr>
                <w:rFonts w:ascii="Times New Roman"/>
                <w:b/>
                <w:spacing w:val="1"/>
                <w:sz w:val="19"/>
                <w:u w:val="single"/>
              </w:rPr>
              <w:t> </w:t>
            </w:r>
            <w:r>
              <w:rPr>
                <w:rFonts w:ascii="Times New Roman"/>
                <w:b/>
                <w:spacing w:val="-2"/>
                <w:sz w:val="19"/>
                <w:u w:val="single"/>
              </w:rPr>
              <w:t>473,54</w:t>
            </w:r>
          </w:p>
        </w:tc>
        <w:tc>
          <w:tcPr>
            <w:tcW w:w="1385" w:type="dxa"/>
            <w:tcBorders>
              <w:top w:val="double" w:sz="2" w:space="0" w:color="000000"/>
              <w:bottom w:val="single" w:sz="4" w:space="0" w:color="000000"/>
              <w:right w:val="single" w:sz="4" w:space="0" w:color="000000"/>
            </w:tcBorders>
          </w:tcPr>
          <w:p>
            <w:pPr>
              <w:pStyle w:val="TableParagraph"/>
              <w:spacing w:line="200" w:lineRule="exact" w:before="14"/>
              <w:ind w:right="13"/>
              <w:jc w:val="right"/>
              <w:rPr>
                <w:rFonts w:ascii="Times New Roman"/>
                <w:b/>
                <w:sz w:val="19"/>
              </w:rPr>
            </w:pPr>
            <w:r>
              <w:rPr>
                <w:rFonts w:ascii="Times New Roman"/>
                <w:b/>
                <w:sz w:val="19"/>
                <w:u w:val="single"/>
              </w:rPr>
              <w:t>168 319</w:t>
            </w:r>
            <w:r>
              <w:rPr>
                <w:rFonts w:ascii="Times New Roman"/>
                <w:b/>
                <w:spacing w:val="1"/>
                <w:sz w:val="19"/>
                <w:u w:val="single"/>
              </w:rPr>
              <w:t> </w:t>
            </w:r>
            <w:r>
              <w:rPr>
                <w:rFonts w:ascii="Times New Roman"/>
                <w:b/>
                <w:spacing w:val="-2"/>
                <w:sz w:val="19"/>
                <w:u w:val="single"/>
              </w:rPr>
              <w:t>682,80</w:t>
            </w:r>
          </w:p>
        </w:tc>
      </w:tr>
    </w:tbl>
    <w:p>
      <w:pPr>
        <w:pStyle w:val="ListParagraph"/>
        <w:numPr>
          <w:ilvl w:val="2"/>
          <w:numId w:val="57"/>
        </w:numPr>
        <w:tabs>
          <w:tab w:pos="1411" w:val="left" w:leader="none"/>
        </w:tabs>
        <w:spacing w:line="240" w:lineRule="auto" w:before="168" w:after="0"/>
        <w:ind w:left="1411" w:right="0" w:hanging="360"/>
        <w:jc w:val="left"/>
        <w:rPr>
          <w:sz w:val="22"/>
        </w:rPr>
      </w:pPr>
      <w:r>
        <w:rPr>
          <w:sz w:val="22"/>
        </w:rPr>
        <w:t>Resultados</w:t>
      </w:r>
      <w:r>
        <w:rPr>
          <w:spacing w:val="-6"/>
          <w:sz w:val="22"/>
        </w:rPr>
        <w:t> </w:t>
      </w:r>
      <w:r>
        <w:rPr>
          <w:sz w:val="22"/>
        </w:rPr>
        <w:t>acumulados</w:t>
      </w:r>
      <w:r>
        <w:rPr>
          <w:spacing w:val="-5"/>
          <w:sz w:val="22"/>
        </w:rPr>
        <w:t> </w:t>
      </w:r>
      <w:r>
        <w:rPr>
          <w:sz w:val="22"/>
        </w:rPr>
        <w:t>de</w:t>
      </w:r>
      <w:r>
        <w:rPr>
          <w:spacing w:val="-7"/>
          <w:sz w:val="22"/>
        </w:rPr>
        <w:t> </w:t>
      </w:r>
      <w:r>
        <w:rPr>
          <w:sz w:val="22"/>
        </w:rPr>
        <w:t>ejercicios</w:t>
      </w:r>
      <w:r>
        <w:rPr>
          <w:spacing w:val="-4"/>
          <w:sz w:val="22"/>
        </w:rPr>
        <w:t> </w:t>
      </w:r>
      <w:r>
        <w:rPr>
          <w:sz w:val="22"/>
        </w:rPr>
        <w:t>anteriores</w:t>
      </w:r>
      <w:r>
        <w:rPr>
          <w:spacing w:val="-4"/>
          <w:sz w:val="22"/>
        </w:rPr>
        <w:t> </w:t>
      </w:r>
      <w:r>
        <w:rPr>
          <w:sz w:val="22"/>
        </w:rPr>
        <w:t>se</w:t>
      </w:r>
      <w:r>
        <w:rPr>
          <w:spacing w:val="-4"/>
          <w:sz w:val="22"/>
        </w:rPr>
        <w:t> </w:t>
      </w:r>
      <w:r>
        <w:rPr>
          <w:sz w:val="22"/>
        </w:rPr>
        <w:t>componen</w:t>
      </w:r>
      <w:r>
        <w:rPr>
          <w:spacing w:val="-4"/>
          <w:sz w:val="22"/>
        </w:rPr>
        <w:t> </w:t>
      </w:r>
      <w:r>
        <w:rPr>
          <w:sz w:val="22"/>
        </w:rPr>
        <w:t>de</w:t>
      </w:r>
      <w:r>
        <w:rPr>
          <w:spacing w:val="-4"/>
          <w:sz w:val="22"/>
        </w:rPr>
        <w:t> </w:t>
      </w:r>
      <w:r>
        <w:rPr>
          <w:sz w:val="22"/>
        </w:rPr>
        <w:t>la</w:t>
      </w:r>
      <w:r>
        <w:rPr>
          <w:spacing w:val="-7"/>
          <w:sz w:val="22"/>
        </w:rPr>
        <w:t> </w:t>
      </w:r>
      <w:r>
        <w:rPr>
          <w:sz w:val="22"/>
        </w:rPr>
        <w:t>siguiente</w:t>
      </w:r>
      <w:r>
        <w:rPr>
          <w:spacing w:val="-6"/>
          <w:sz w:val="22"/>
        </w:rPr>
        <w:t> </w:t>
      </w:r>
      <w:r>
        <w:rPr>
          <w:spacing w:val="-2"/>
          <w:sz w:val="22"/>
        </w:rPr>
        <w:t>manera:</w:t>
      </w:r>
    </w:p>
    <w:tbl>
      <w:tblPr>
        <w:tblW w:w="0" w:type="auto"/>
        <w:jc w:val="left"/>
        <w:tblInd w:w="2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5"/>
        <w:gridCol w:w="2863"/>
      </w:tblGrid>
      <w:tr>
        <w:trPr>
          <w:trHeight w:val="217" w:hRule="atLeast"/>
        </w:trPr>
        <w:tc>
          <w:tcPr>
            <w:tcW w:w="3415" w:type="dxa"/>
            <w:tcBorders>
              <w:top w:val="single" w:sz="6" w:space="0" w:color="000000"/>
              <w:left w:val="single" w:sz="6" w:space="0" w:color="000000"/>
            </w:tcBorders>
          </w:tcPr>
          <w:p>
            <w:pPr>
              <w:pStyle w:val="TableParagraph"/>
              <w:rPr>
                <w:rFonts w:ascii="Times New Roman"/>
                <w:sz w:val="14"/>
              </w:rPr>
            </w:pPr>
          </w:p>
        </w:tc>
        <w:tc>
          <w:tcPr>
            <w:tcW w:w="2863" w:type="dxa"/>
            <w:tcBorders>
              <w:top w:val="single" w:sz="6" w:space="0" w:color="000000"/>
              <w:bottom w:val="single" w:sz="24" w:space="0" w:color="000000"/>
              <w:right w:val="single" w:sz="12" w:space="0" w:color="000000"/>
            </w:tcBorders>
          </w:tcPr>
          <w:p>
            <w:pPr>
              <w:pStyle w:val="TableParagraph"/>
              <w:tabs>
                <w:tab w:pos="1965" w:val="left" w:leader="none"/>
              </w:tabs>
              <w:spacing w:line="192" w:lineRule="exact" w:before="5"/>
              <w:ind w:left="533"/>
              <w:rPr>
                <w:rFonts w:ascii="Times New Roman"/>
                <w:b/>
                <w:sz w:val="18"/>
              </w:rPr>
            </w:pPr>
            <w:r>
              <w:rPr>
                <w:rFonts w:ascii="Times New Roman"/>
                <w:b/>
                <w:spacing w:val="-4"/>
                <w:sz w:val="18"/>
              </w:rPr>
              <w:t>2026</w:t>
            </w:r>
            <w:r>
              <w:rPr>
                <w:rFonts w:ascii="Times New Roman"/>
                <w:b/>
                <w:sz w:val="18"/>
              </w:rPr>
              <w:tab/>
            </w:r>
            <w:r>
              <w:rPr>
                <w:rFonts w:ascii="Times New Roman"/>
                <w:b/>
                <w:spacing w:val="-4"/>
                <w:sz w:val="18"/>
              </w:rPr>
              <w:t>2025</w:t>
            </w:r>
          </w:p>
        </w:tc>
      </w:tr>
      <w:tr>
        <w:trPr>
          <w:trHeight w:val="238" w:hRule="atLeast"/>
        </w:trPr>
        <w:tc>
          <w:tcPr>
            <w:tcW w:w="3415" w:type="dxa"/>
            <w:tcBorders>
              <w:left w:val="single" w:sz="6" w:space="0" w:color="000000"/>
            </w:tcBorders>
          </w:tcPr>
          <w:p>
            <w:pPr>
              <w:pStyle w:val="TableParagraph"/>
              <w:spacing w:line="192" w:lineRule="exact"/>
              <w:ind w:left="144"/>
              <w:rPr>
                <w:rFonts w:ascii="Times New Roman"/>
                <w:b/>
                <w:sz w:val="19"/>
              </w:rPr>
            </w:pPr>
            <w:r>
              <w:rPr>
                <w:rFonts w:ascii="Times New Roman"/>
                <w:b/>
                <w:sz w:val="19"/>
              </w:rPr>
              <w:t>Resultados</w:t>
            </w:r>
            <w:r>
              <w:rPr>
                <w:rFonts w:ascii="Times New Roman"/>
                <w:b/>
                <w:spacing w:val="11"/>
                <w:sz w:val="19"/>
              </w:rPr>
              <w:t> </w:t>
            </w:r>
            <w:r>
              <w:rPr>
                <w:rFonts w:ascii="Times New Roman"/>
                <w:b/>
                <w:spacing w:val="-2"/>
                <w:sz w:val="19"/>
              </w:rPr>
              <w:t>acumulados</w:t>
            </w:r>
          </w:p>
        </w:tc>
        <w:tc>
          <w:tcPr>
            <w:tcW w:w="2863" w:type="dxa"/>
            <w:tcBorders>
              <w:top w:val="single" w:sz="24" w:space="0" w:color="000000"/>
              <w:right w:val="single" w:sz="12" w:space="0" w:color="000000"/>
            </w:tcBorders>
          </w:tcPr>
          <w:p>
            <w:pPr>
              <w:pStyle w:val="TableParagraph"/>
              <w:rPr>
                <w:rFonts w:ascii="Times New Roman"/>
                <w:sz w:val="16"/>
              </w:rPr>
            </w:pPr>
          </w:p>
        </w:tc>
      </w:tr>
      <w:tr>
        <w:trPr>
          <w:trHeight w:val="260" w:hRule="atLeast"/>
        </w:trPr>
        <w:tc>
          <w:tcPr>
            <w:tcW w:w="3415" w:type="dxa"/>
            <w:tcBorders>
              <w:left w:val="single" w:sz="6" w:space="0" w:color="000000"/>
            </w:tcBorders>
          </w:tcPr>
          <w:p>
            <w:pPr>
              <w:pStyle w:val="TableParagraph"/>
              <w:spacing w:before="2"/>
              <w:ind w:left="144"/>
              <w:rPr>
                <w:rFonts w:ascii="Times New Roman"/>
                <w:sz w:val="19"/>
              </w:rPr>
            </w:pPr>
            <w:r>
              <w:rPr>
                <w:rFonts w:ascii="Times New Roman"/>
                <w:spacing w:val="-4"/>
                <w:sz w:val="19"/>
              </w:rPr>
              <w:t>Saldo</w:t>
            </w:r>
            <w:r>
              <w:rPr>
                <w:rFonts w:ascii="Times New Roman"/>
                <w:spacing w:val="2"/>
                <w:sz w:val="19"/>
              </w:rPr>
              <w:t> </w:t>
            </w:r>
            <w:r>
              <w:rPr>
                <w:rFonts w:ascii="Times New Roman"/>
                <w:spacing w:val="-4"/>
                <w:sz w:val="19"/>
              </w:rPr>
              <w:t>inicial</w:t>
            </w:r>
            <w:r>
              <w:rPr>
                <w:rFonts w:ascii="Times New Roman"/>
                <w:spacing w:val="-16"/>
                <w:sz w:val="19"/>
              </w:rPr>
              <w:t> </w:t>
            </w:r>
            <w:r>
              <w:rPr>
                <w:rFonts w:ascii="Times New Roman"/>
                <w:spacing w:val="-4"/>
                <w:sz w:val="19"/>
              </w:rPr>
              <w:t>al</w:t>
            </w:r>
            <w:r>
              <w:rPr>
                <w:rFonts w:ascii="Times New Roman"/>
                <w:spacing w:val="-16"/>
                <w:sz w:val="19"/>
              </w:rPr>
              <w:t> </w:t>
            </w:r>
            <w:r>
              <w:rPr>
                <w:rFonts w:ascii="Times New Roman"/>
                <w:spacing w:val="-4"/>
                <w:sz w:val="19"/>
              </w:rPr>
              <w:t>31</w:t>
            </w:r>
            <w:r>
              <w:rPr>
                <w:rFonts w:ascii="Times New Roman"/>
                <w:spacing w:val="2"/>
                <w:sz w:val="19"/>
              </w:rPr>
              <w:t> </w:t>
            </w:r>
            <w:r>
              <w:rPr>
                <w:rFonts w:ascii="Times New Roman"/>
                <w:spacing w:val="-4"/>
                <w:sz w:val="19"/>
              </w:rPr>
              <w:t>diciembre</w:t>
            </w:r>
            <w:r>
              <w:rPr>
                <w:rFonts w:ascii="Times New Roman"/>
                <w:spacing w:val="1"/>
                <w:sz w:val="19"/>
              </w:rPr>
              <w:t> </w:t>
            </w:r>
            <w:r>
              <w:rPr>
                <w:rFonts w:ascii="Times New Roman"/>
                <w:spacing w:val="-4"/>
                <w:sz w:val="19"/>
              </w:rPr>
              <w:t>2025-2024</w:t>
            </w:r>
          </w:p>
        </w:tc>
        <w:tc>
          <w:tcPr>
            <w:tcW w:w="2863" w:type="dxa"/>
            <w:tcBorders>
              <w:right w:val="single" w:sz="12" w:space="0" w:color="000000"/>
            </w:tcBorders>
          </w:tcPr>
          <w:p>
            <w:pPr>
              <w:pStyle w:val="TableParagraph"/>
              <w:tabs>
                <w:tab w:pos="1431" w:val="left" w:leader="none"/>
              </w:tabs>
              <w:spacing w:before="2"/>
              <w:ind w:right="-15"/>
              <w:jc w:val="right"/>
              <w:rPr>
                <w:rFonts w:ascii="Times New Roman"/>
                <w:sz w:val="19"/>
              </w:rPr>
            </w:pPr>
            <w:r>
              <w:rPr>
                <w:rFonts w:ascii="Times New Roman"/>
                <w:sz w:val="19"/>
              </w:rPr>
              <w:t>59</w:t>
            </w:r>
            <w:r>
              <w:rPr>
                <w:rFonts w:ascii="Times New Roman"/>
                <w:spacing w:val="3"/>
                <w:sz w:val="19"/>
              </w:rPr>
              <w:t> </w:t>
            </w:r>
            <w:r>
              <w:rPr>
                <w:rFonts w:ascii="Times New Roman"/>
                <w:sz w:val="19"/>
              </w:rPr>
              <w:t>859</w:t>
            </w:r>
            <w:r>
              <w:rPr>
                <w:rFonts w:ascii="Times New Roman"/>
                <w:spacing w:val="3"/>
                <w:sz w:val="19"/>
              </w:rPr>
              <w:t> </w:t>
            </w:r>
            <w:r>
              <w:rPr>
                <w:rFonts w:ascii="Times New Roman"/>
                <w:spacing w:val="-2"/>
                <w:sz w:val="19"/>
              </w:rPr>
              <w:t>330,40</w:t>
            </w:r>
            <w:r>
              <w:rPr>
                <w:rFonts w:ascii="Times New Roman"/>
                <w:sz w:val="19"/>
              </w:rPr>
              <w:tab/>
              <w:t>60</w:t>
            </w:r>
            <w:r>
              <w:rPr>
                <w:rFonts w:ascii="Times New Roman"/>
                <w:spacing w:val="3"/>
                <w:sz w:val="19"/>
              </w:rPr>
              <w:t> </w:t>
            </w:r>
            <w:r>
              <w:rPr>
                <w:rFonts w:ascii="Times New Roman"/>
                <w:sz w:val="19"/>
              </w:rPr>
              <w:t>607</w:t>
            </w:r>
            <w:r>
              <w:rPr>
                <w:rFonts w:ascii="Times New Roman"/>
                <w:spacing w:val="3"/>
                <w:sz w:val="19"/>
              </w:rPr>
              <w:t> </w:t>
            </w:r>
            <w:r>
              <w:rPr>
                <w:rFonts w:ascii="Times New Roman"/>
                <w:spacing w:val="-2"/>
                <w:sz w:val="19"/>
              </w:rPr>
              <w:t>718,30</w:t>
            </w:r>
          </w:p>
        </w:tc>
      </w:tr>
      <w:tr>
        <w:trPr>
          <w:trHeight w:val="254" w:hRule="atLeast"/>
        </w:trPr>
        <w:tc>
          <w:tcPr>
            <w:tcW w:w="3415" w:type="dxa"/>
            <w:tcBorders>
              <w:left w:val="single" w:sz="6" w:space="0" w:color="000000"/>
            </w:tcBorders>
          </w:tcPr>
          <w:p>
            <w:pPr>
              <w:pStyle w:val="TableParagraph"/>
              <w:spacing w:line="215" w:lineRule="exact"/>
              <w:ind w:left="144"/>
              <w:rPr>
                <w:rFonts w:ascii="Times New Roman"/>
                <w:sz w:val="19"/>
              </w:rPr>
            </w:pPr>
            <w:r>
              <w:rPr>
                <w:rFonts w:ascii="Times New Roman"/>
                <w:spacing w:val="-2"/>
                <w:sz w:val="19"/>
              </w:rPr>
              <w:t>Aumento</w:t>
            </w:r>
          </w:p>
        </w:tc>
        <w:tc>
          <w:tcPr>
            <w:tcW w:w="2863" w:type="dxa"/>
            <w:tcBorders>
              <w:right w:val="single" w:sz="12" w:space="0" w:color="000000"/>
            </w:tcBorders>
          </w:tcPr>
          <w:p>
            <w:pPr>
              <w:pStyle w:val="TableParagraph"/>
              <w:tabs>
                <w:tab w:pos="1431" w:val="left" w:leader="none"/>
              </w:tabs>
              <w:spacing w:line="215" w:lineRule="exact"/>
              <w:ind w:right="-15"/>
              <w:jc w:val="right"/>
              <w:rPr>
                <w:rFonts w:ascii="Times New Roman"/>
                <w:sz w:val="19"/>
              </w:rPr>
            </w:pPr>
            <w:r>
              <w:rPr>
                <w:rFonts w:ascii="Times New Roman"/>
                <w:sz w:val="19"/>
              </w:rPr>
              <w:t>3</w:t>
            </w:r>
            <w:r>
              <w:rPr>
                <w:rFonts w:ascii="Times New Roman"/>
                <w:spacing w:val="2"/>
                <w:sz w:val="19"/>
              </w:rPr>
              <w:t> </w:t>
            </w:r>
            <w:r>
              <w:rPr>
                <w:rFonts w:ascii="Times New Roman"/>
                <w:sz w:val="19"/>
              </w:rPr>
              <w:t>240</w:t>
            </w:r>
            <w:r>
              <w:rPr>
                <w:rFonts w:ascii="Times New Roman"/>
                <w:spacing w:val="3"/>
                <w:sz w:val="19"/>
              </w:rPr>
              <w:t> </w:t>
            </w:r>
            <w:r>
              <w:rPr>
                <w:rFonts w:ascii="Times New Roman"/>
                <w:spacing w:val="-2"/>
                <w:sz w:val="19"/>
              </w:rPr>
              <w:t>501,94</w:t>
            </w:r>
            <w:r>
              <w:rPr>
                <w:rFonts w:ascii="Times New Roman"/>
                <w:sz w:val="19"/>
              </w:rPr>
              <w:tab/>
              <w:t>3</w:t>
            </w:r>
            <w:r>
              <w:rPr>
                <w:rFonts w:ascii="Times New Roman"/>
                <w:spacing w:val="2"/>
                <w:sz w:val="19"/>
              </w:rPr>
              <w:t> </w:t>
            </w:r>
            <w:r>
              <w:rPr>
                <w:rFonts w:ascii="Times New Roman"/>
                <w:sz w:val="19"/>
              </w:rPr>
              <w:t>077</w:t>
            </w:r>
            <w:r>
              <w:rPr>
                <w:rFonts w:ascii="Times New Roman"/>
                <w:spacing w:val="3"/>
                <w:sz w:val="19"/>
              </w:rPr>
              <w:t> </w:t>
            </w:r>
            <w:r>
              <w:rPr>
                <w:rFonts w:ascii="Times New Roman"/>
                <w:spacing w:val="-2"/>
                <w:sz w:val="19"/>
              </w:rPr>
              <w:t>802,53</w:t>
            </w:r>
          </w:p>
        </w:tc>
      </w:tr>
      <w:tr>
        <w:trPr>
          <w:trHeight w:val="254" w:hRule="atLeast"/>
        </w:trPr>
        <w:tc>
          <w:tcPr>
            <w:tcW w:w="3415" w:type="dxa"/>
            <w:tcBorders>
              <w:left w:val="single" w:sz="6" w:space="0" w:color="000000"/>
            </w:tcBorders>
          </w:tcPr>
          <w:p>
            <w:pPr>
              <w:pStyle w:val="TableParagraph"/>
              <w:spacing w:line="215" w:lineRule="exact"/>
              <w:ind w:left="144"/>
              <w:rPr>
                <w:rFonts w:ascii="Times New Roman"/>
                <w:sz w:val="19"/>
              </w:rPr>
            </w:pPr>
            <w:r>
              <w:rPr>
                <w:rFonts w:ascii="Times New Roman"/>
                <w:spacing w:val="-2"/>
                <w:sz w:val="19"/>
              </w:rPr>
              <w:t>Disminuciones</w:t>
            </w:r>
          </w:p>
        </w:tc>
        <w:tc>
          <w:tcPr>
            <w:tcW w:w="2863" w:type="dxa"/>
            <w:tcBorders>
              <w:right w:val="single" w:sz="12" w:space="0" w:color="000000"/>
            </w:tcBorders>
          </w:tcPr>
          <w:p>
            <w:pPr>
              <w:pStyle w:val="TableParagraph"/>
              <w:tabs>
                <w:tab w:pos="1431" w:val="left" w:leader="none"/>
              </w:tabs>
              <w:spacing w:line="215" w:lineRule="exact"/>
              <w:ind w:right="-15"/>
              <w:jc w:val="right"/>
              <w:rPr>
                <w:rFonts w:ascii="Times New Roman"/>
                <w:sz w:val="19"/>
              </w:rPr>
            </w:pPr>
            <w:r>
              <w:rPr>
                <w:rFonts w:ascii="Times New Roman"/>
                <w:sz w:val="19"/>
              </w:rPr>
              <w:t>4</w:t>
            </w:r>
            <w:r>
              <w:rPr>
                <w:rFonts w:ascii="Times New Roman"/>
                <w:spacing w:val="2"/>
                <w:sz w:val="19"/>
              </w:rPr>
              <w:t> </w:t>
            </w:r>
            <w:r>
              <w:rPr>
                <w:rFonts w:ascii="Times New Roman"/>
                <w:sz w:val="19"/>
              </w:rPr>
              <w:t>051</w:t>
            </w:r>
            <w:r>
              <w:rPr>
                <w:rFonts w:ascii="Times New Roman"/>
                <w:spacing w:val="3"/>
                <w:sz w:val="19"/>
              </w:rPr>
              <w:t> </w:t>
            </w:r>
            <w:r>
              <w:rPr>
                <w:rFonts w:ascii="Times New Roman"/>
                <w:spacing w:val="-2"/>
                <w:sz w:val="19"/>
              </w:rPr>
              <w:t>280,85</w:t>
            </w:r>
            <w:r>
              <w:rPr>
                <w:rFonts w:ascii="Times New Roman"/>
                <w:sz w:val="19"/>
              </w:rPr>
              <w:tab/>
              <w:t>3</w:t>
            </w:r>
            <w:r>
              <w:rPr>
                <w:rFonts w:ascii="Times New Roman"/>
                <w:spacing w:val="2"/>
                <w:sz w:val="19"/>
              </w:rPr>
              <w:t> </w:t>
            </w:r>
            <w:r>
              <w:rPr>
                <w:rFonts w:ascii="Times New Roman"/>
                <w:sz w:val="19"/>
              </w:rPr>
              <w:t>826</w:t>
            </w:r>
            <w:r>
              <w:rPr>
                <w:rFonts w:ascii="Times New Roman"/>
                <w:spacing w:val="3"/>
                <w:sz w:val="19"/>
              </w:rPr>
              <w:t> </w:t>
            </w:r>
            <w:r>
              <w:rPr>
                <w:rFonts w:ascii="Times New Roman"/>
                <w:spacing w:val="-2"/>
                <w:sz w:val="19"/>
              </w:rPr>
              <w:t>190,43</w:t>
            </w:r>
          </w:p>
        </w:tc>
      </w:tr>
      <w:tr>
        <w:trPr>
          <w:trHeight w:val="254" w:hRule="atLeast"/>
        </w:trPr>
        <w:tc>
          <w:tcPr>
            <w:tcW w:w="3415" w:type="dxa"/>
            <w:tcBorders>
              <w:left w:val="single" w:sz="6" w:space="0" w:color="000000"/>
            </w:tcBorders>
          </w:tcPr>
          <w:p>
            <w:pPr>
              <w:pStyle w:val="TableParagraph"/>
              <w:spacing w:line="215" w:lineRule="exact"/>
              <w:ind w:left="144"/>
              <w:rPr>
                <w:rFonts w:ascii="Times New Roman"/>
                <w:sz w:val="19"/>
              </w:rPr>
            </w:pPr>
            <w:r>
              <w:rPr>
                <w:rFonts w:ascii="Times New Roman"/>
                <w:spacing w:val="-2"/>
                <w:sz w:val="19"/>
              </w:rPr>
              <w:t>Ajuste</w:t>
            </w:r>
            <w:r>
              <w:rPr>
                <w:rFonts w:ascii="Times New Roman"/>
                <w:spacing w:val="29"/>
                <w:sz w:val="19"/>
              </w:rPr>
              <w:t> </w:t>
            </w:r>
            <w:r>
              <w:rPr>
                <w:rFonts w:ascii="Times New Roman"/>
                <w:spacing w:val="-2"/>
                <w:sz w:val="19"/>
              </w:rPr>
              <w:t>Resultado</w:t>
            </w:r>
            <w:r>
              <w:rPr>
                <w:rFonts w:ascii="Times New Roman"/>
                <w:spacing w:val="-7"/>
                <w:sz w:val="19"/>
              </w:rPr>
              <w:t> </w:t>
            </w:r>
            <w:r>
              <w:rPr>
                <w:rFonts w:ascii="Times New Roman"/>
                <w:spacing w:val="-2"/>
                <w:sz w:val="19"/>
              </w:rPr>
              <w:t>del</w:t>
            </w:r>
            <w:r>
              <w:rPr>
                <w:rFonts w:ascii="Times New Roman"/>
                <w:spacing w:val="-17"/>
                <w:sz w:val="19"/>
              </w:rPr>
              <w:t> </w:t>
            </w:r>
            <w:r>
              <w:rPr>
                <w:rFonts w:ascii="Times New Roman"/>
                <w:spacing w:val="-2"/>
                <w:sz w:val="19"/>
              </w:rPr>
              <w:t>periodo</w:t>
            </w:r>
            <w:r>
              <w:rPr>
                <w:rFonts w:ascii="Times New Roman"/>
                <w:spacing w:val="-7"/>
                <w:sz w:val="19"/>
              </w:rPr>
              <w:t> </w:t>
            </w:r>
            <w:r>
              <w:rPr>
                <w:rFonts w:ascii="Times New Roman"/>
                <w:spacing w:val="-4"/>
                <w:sz w:val="19"/>
              </w:rPr>
              <w:t>2024</w:t>
            </w:r>
          </w:p>
        </w:tc>
        <w:tc>
          <w:tcPr>
            <w:tcW w:w="2863" w:type="dxa"/>
            <w:tcBorders>
              <w:right w:val="single" w:sz="12" w:space="0" w:color="000000"/>
            </w:tcBorders>
          </w:tcPr>
          <w:p>
            <w:pPr>
              <w:pStyle w:val="TableParagraph"/>
              <w:spacing w:line="215" w:lineRule="exact"/>
              <w:ind w:right="-15"/>
              <w:jc w:val="right"/>
              <w:rPr>
                <w:rFonts w:ascii="Times New Roman"/>
                <w:sz w:val="19"/>
              </w:rPr>
            </w:pPr>
            <w:r>
              <w:rPr>
                <w:rFonts w:ascii="Times New Roman"/>
                <w:sz w:val="19"/>
              </w:rPr>
              <w:t>5</w:t>
            </w:r>
            <w:r>
              <w:rPr>
                <w:rFonts w:ascii="Times New Roman"/>
                <w:spacing w:val="2"/>
                <w:sz w:val="19"/>
              </w:rPr>
              <w:t> </w:t>
            </w:r>
            <w:r>
              <w:rPr>
                <w:rFonts w:ascii="Times New Roman"/>
                <w:sz w:val="19"/>
              </w:rPr>
              <w:t>905</w:t>
            </w:r>
            <w:r>
              <w:rPr>
                <w:rFonts w:ascii="Times New Roman"/>
                <w:spacing w:val="3"/>
                <w:sz w:val="19"/>
              </w:rPr>
              <w:t> </w:t>
            </w:r>
            <w:r>
              <w:rPr>
                <w:rFonts w:ascii="Times New Roman"/>
                <w:spacing w:val="-2"/>
                <w:sz w:val="19"/>
              </w:rPr>
              <w:t>693,39</w:t>
            </w:r>
          </w:p>
        </w:tc>
      </w:tr>
      <w:tr>
        <w:trPr>
          <w:trHeight w:val="254" w:hRule="atLeast"/>
        </w:trPr>
        <w:tc>
          <w:tcPr>
            <w:tcW w:w="3415" w:type="dxa"/>
            <w:tcBorders>
              <w:left w:val="single" w:sz="6" w:space="0" w:color="000000"/>
            </w:tcBorders>
          </w:tcPr>
          <w:p>
            <w:pPr>
              <w:pStyle w:val="TableParagraph"/>
              <w:spacing w:line="215" w:lineRule="exact"/>
              <w:ind w:left="144"/>
              <w:rPr>
                <w:rFonts w:ascii="Times New Roman"/>
                <w:sz w:val="19"/>
              </w:rPr>
            </w:pPr>
            <w:r>
              <w:rPr>
                <w:rFonts w:ascii="Times New Roman"/>
                <w:spacing w:val="-2"/>
                <w:sz w:val="19"/>
              </w:rPr>
              <w:t>Ajuste</w:t>
            </w:r>
            <w:r>
              <w:rPr>
                <w:rFonts w:ascii="Times New Roman"/>
                <w:spacing w:val="29"/>
                <w:sz w:val="19"/>
              </w:rPr>
              <w:t> </w:t>
            </w:r>
            <w:r>
              <w:rPr>
                <w:rFonts w:ascii="Times New Roman"/>
                <w:spacing w:val="-2"/>
                <w:sz w:val="19"/>
              </w:rPr>
              <w:t>Resultado</w:t>
            </w:r>
            <w:r>
              <w:rPr>
                <w:rFonts w:ascii="Times New Roman"/>
                <w:spacing w:val="-7"/>
                <w:sz w:val="19"/>
              </w:rPr>
              <w:t> </w:t>
            </w:r>
            <w:r>
              <w:rPr>
                <w:rFonts w:ascii="Times New Roman"/>
                <w:spacing w:val="-2"/>
                <w:sz w:val="19"/>
              </w:rPr>
              <w:t>del</w:t>
            </w:r>
            <w:r>
              <w:rPr>
                <w:rFonts w:ascii="Times New Roman"/>
                <w:spacing w:val="-17"/>
                <w:sz w:val="19"/>
              </w:rPr>
              <w:t> </w:t>
            </w:r>
            <w:r>
              <w:rPr>
                <w:rFonts w:ascii="Times New Roman"/>
                <w:spacing w:val="-2"/>
                <w:sz w:val="19"/>
              </w:rPr>
              <w:t>periodo</w:t>
            </w:r>
            <w:r>
              <w:rPr>
                <w:rFonts w:ascii="Times New Roman"/>
                <w:spacing w:val="-7"/>
                <w:sz w:val="19"/>
              </w:rPr>
              <w:t> </w:t>
            </w:r>
            <w:r>
              <w:rPr>
                <w:rFonts w:ascii="Times New Roman"/>
                <w:spacing w:val="-4"/>
                <w:sz w:val="19"/>
              </w:rPr>
              <w:t>2025</w:t>
            </w:r>
          </w:p>
        </w:tc>
        <w:tc>
          <w:tcPr>
            <w:tcW w:w="2863" w:type="dxa"/>
            <w:tcBorders>
              <w:right w:val="single" w:sz="12" w:space="0" w:color="000000"/>
            </w:tcBorders>
          </w:tcPr>
          <w:p>
            <w:pPr>
              <w:pStyle w:val="TableParagraph"/>
              <w:tabs>
                <w:tab w:pos="388" w:val="left" w:leader="none"/>
                <w:tab w:pos="2850" w:val="left" w:leader="none"/>
              </w:tabs>
              <w:spacing w:line="215" w:lineRule="exact"/>
              <w:ind w:right="-29"/>
              <w:jc w:val="right"/>
              <w:rPr>
                <w:rFonts w:ascii="Times New Roman"/>
                <w:sz w:val="19"/>
              </w:rPr>
            </w:pPr>
            <w:r>
              <w:rPr>
                <w:rFonts w:ascii="Times New Roman"/>
                <w:sz w:val="19"/>
                <w:u w:val="single"/>
              </w:rPr>
              <w:tab/>
              <w:t>2</w:t>
            </w:r>
            <w:r>
              <w:rPr>
                <w:rFonts w:ascii="Times New Roman"/>
                <w:spacing w:val="2"/>
                <w:sz w:val="19"/>
                <w:u w:val="single"/>
              </w:rPr>
              <w:t> </w:t>
            </w:r>
            <w:r>
              <w:rPr>
                <w:rFonts w:ascii="Times New Roman"/>
                <w:sz w:val="19"/>
                <w:u w:val="single"/>
              </w:rPr>
              <w:t>596</w:t>
            </w:r>
            <w:r>
              <w:rPr>
                <w:rFonts w:ascii="Times New Roman"/>
                <w:spacing w:val="3"/>
                <w:sz w:val="19"/>
                <w:u w:val="single"/>
              </w:rPr>
              <w:t> </w:t>
            </w:r>
            <w:r>
              <w:rPr>
                <w:rFonts w:ascii="Times New Roman"/>
                <w:spacing w:val="-2"/>
                <w:sz w:val="19"/>
                <w:u w:val="single"/>
              </w:rPr>
              <w:t>569,66</w:t>
            </w:r>
            <w:r>
              <w:rPr>
                <w:rFonts w:ascii="Times New Roman"/>
                <w:sz w:val="19"/>
                <w:u w:val="single"/>
              </w:rPr>
              <w:tab/>
            </w:r>
          </w:p>
        </w:tc>
      </w:tr>
      <w:tr>
        <w:trPr>
          <w:trHeight w:val="223" w:hRule="atLeast"/>
        </w:trPr>
        <w:tc>
          <w:tcPr>
            <w:tcW w:w="3415" w:type="dxa"/>
            <w:tcBorders>
              <w:left w:val="single" w:sz="6" w:space="0" w:color="000000"/>
              <w:bottom w:val="single" w:sz="12" w:space="0" w:color="000000"/>
            </w:tcBorders>
          </w:tcPr>
          <w:p>
            <w:pPr>
              <w:pStyle w:val="TableParagraph"/>
              <w:spacing w:line="198" w:lineRule="exact" w:before="6"/>
              <w:ind w:left="701"/>
              <w:rPr>
                <w:rFonts w:ascii="Times New Roman"/>
                <w:b/>
                <w:sz w:val="18"/>
              </w:rPr>
            </w:pPr>
            <w:r>
              <w:rPr>
                <w:rFonts w:ascii="Times New Roman"/>
                <w:b/>
                <w:sz w:val="18"/>
              </w:rPr>
              <w:t>Saldo</w:t>
            </w:r>
            <w:r>
              <w:rPr>
                <w:rFonts w:ascii="Times New Roman"/>
                <w:b/>
                <w:spacing w:val="1"/>
                <w:sz w:val="18"/>
              </w:rPr>
              <w:t> </w:t>
            </w:r>
            <w:r>
              <w:rPr>
                <w:rFonts w:ascii="Times New Roman"/>
                <w:b/>
                <w:sz w:val="18"/>
              </w:rPr>
              <w:t>al</w:t>
            </w:r>
            <w:r>
              <w:rPr>
                <w:rFonts w:ascii="Times New Roman"/>
                <w:b/>
                <w:spacing w:val="-6"/>
                <w:sz w:val="18"/>
              </w:rPr>
              <w:t> </w:t>
            </w:r>
            <w:r>
              <w:rPr>
                <w:rFonts w:ascii="Times New Roman"/>
                <w:b/>
                <w:sz w:val="18"/>
              </w:rPr>
              <w:t>30</w:t>
            </w:r>
            <w:r>
              <w:rPr>
                <w:rFonts w:ascii="Times New Roman"/>
                <w:b/>
                <w:spacing w:val="1"/>
                <w:sz w:val="18"/>
              </w:rPr>
              <w:t> </w:t>
            </w:r>
            <w:r>
              <w:rPr>
                <w:rFonts w:ascii="Times New Roman"/>
                <w:b/>
                <w:sz w:val="18"/>
              </w:rPr>
              <w:t>de</w:t>
            </w:r>
            <w:r>
              <w:rPr>
                <w:rFonts w:ascii="Times New Roman"/>
                <w:b/>
                <w:spacing w:val="11"/>
                <w:sz w:val="18"/>
              </w:rPr>
              <w:t> </w:t>
            </w:r>
            <w:r>
              <w:rPr>
                <w:rFonts w:ascii="Times New Roman"/>
                <w:b/>
                <w:sz w:val="18"/>
              </w:rPr>
              <w:t>junio</w:t>
            </w:r>
            <w:r>
              <w:rPr>
                <w:rFonts w:ascii="Times New Roman"/>
                <w:b/>
                <w:spacing w:val="43"/>
                <w:sz w:val="18"/>
              </w:rPr>
              <w:t> </w:t>
            </w:r>
            <w:r>
              <w:rPr>
                <w:rFonts w:ascii="Times New Roman"/>
                <w:b/>
                <w:spacing w:val="-4"/>
                <w:sz w:val="18"/>
              </w:rPr>
              <w:t>2026</w:t>
            </w:r>
          </w:p>
        </w:tc>
        <w:tc>
          <w:tcPr>
            <w:tcW w:w="2863" w:type="dxa"/>
            <w:tcBorders>
              <w:bottom w:val="single" w:sz="24" w:space="0" w:color="000000"/>
              <w:right w:val="single" w:sz="12" w:space="0" w:color="000000"/>
            </w:tcBorders>
          </w:tcPr>
          <w:p>
            <w:pPr>
              <w:pStyle w:val="TableParagraph"/>
              <w:tabs>
                <w:tab w:pos="1431" w:val="left" w:leader="none"/>
              </w:tabs>
              <w:spacing w:line="204" w:lineRule="exact"/>
              <w:ind w:right="-15"/>
              <w:jc w:val="right"/>
              <w:rPr>
                <w:rFonts w:ascii="Times New Roman"/>
                <w:b/>
                <w:sz w:val="19"/>
              </w:rPr>
            </w:pPr>
            <w:r>
              <w:rPr>
                <w:rFonts w:ascii="Times New Roman"/>
                <w:b/>
                <w:sz w:val="19"/>
              </w:rPr>
              <w:t>61</w:t>
            </w:r>
            <w:r>
              <w:rPr>
                <w:rFonts w:ascii="Times New Roman"/>
                <w:b/>
                <w:spacing w:val="3"/>
                <w:sz w:val="19"/>
              </w:rPr>
              <w:t> </w:t>
            </w:r>
            <w:r>
              <w:rPr>
                <w:rFonts w:ascii="Times New Roman"/>
                <w:b/>
                <w:sz w:val="19"/>
              </w:rPr>
              <w:t>645</w:t>
            </w:r>
            <w:r>
              <w:rPr>
                <w:rFonts w:ascii="Times New Roman"/>
                <w:b/>
                <w:spacing w:val="3"/>
                <w:sz w:val="19"/>
              </w:rPr>
              <w:t> </w:t>
            </w:r>
            <w:r>
              <w:rPr>
                <w:rFonts w:ascii="Times New Roman"/>
                <w:b/>
                <w:spacing w:val="-2"/>
                <w:sz w:val="19"/>
              </w:rPr>
              <w:t>121,15</w:t>
            </w:r>
            <w:r>
              <w:rPr>
                <w:rFonts w:ascii="Times New Roman"/>
                <w:b/>
                <w:sz w:val="19"/>
              </w:rPr>
              <w:tab/>
              <w:t>59</w:t>
            </w:r>
            <w:r>
              <w:rPr>
                <w:rFonts w:ascii="Times New Roman"/>
                <w:b/>
                <w:spacing w:val="3"/>
                <w:sz w:val="19"/>
              </w:rPr>
              <w:t> </w:t>
            </w:r>
            <w:r>
              <w:rPr>
                <w:rFonts w:ascii="Times New Roman"/>
                <w:b/>
                <w:sz w:val="19"/>
              </w:rPr>
              <w:t>859</w:t>
            </w:r>
            <w:r>
              <w:rPr>
                <w:rFonts w:ascii="Times New Roman"/>
                <w:b/>
                <w:spacing w:val="3"/>
                <w:sz w:val="19"/>
              </w:rPr>
              <w:t> </w:t>
            </w:r>
            <w:r>
              <w:rPr>
                <w:rFonts w:ascii="Times New Roman"/>
                <w:b/>
                <w:spacing w:val="-2"/>
                <w:sz w:val="19"/>
              </w:rPr>
              <w:t>330,40</w:t>
            </w:r>
          </w:p>
        </w:tc>
      </w:tr>
    </w:tbl>
    <w:p>
      <w:pPr>
        <w:pStyle w:val="TableParagraph"/>
        <w:spacing w:after="0" w:line="204" w:lineRule="exact"/>
        <w:jc w:val="right"/>
        <w:rPr>
          <w:rFonts w:ascii="Times New Roman"/>
          <w:b/>
          <w:sz w:val="19"/>
        </w:rPr>
        <w:sectPr>
          <w:pgSz w:w="12240" w:h="15840"/>
          <w:pgMar w:top="1720" w:bottom="280" w:left="1080" w:right="720"/>
        </w:sectPr>
      </w:pPr>
    </w:p>
    <w:p>
      <w:pPr>
        <w:spacing w:before="62"/>
        <w:ind w:left="622" w:right="0" w:firstLine="0"/>
        <w:jc w:val="both"/>
        <w:rPr>
          <w:sz w:val="20"/>
        </w:rPr>
      </w:pPr>
      <w:r>
        <w:rPr>
          <w:sz w:val="20"/>
        </w:rPr>
        <mc:AlternateContent>
          <mc:Choice Requires="wps">
            <w:drawing>
              <wp:anchor distT="0" distB="0" distL="0" distR="0" allowOverlap="1" layoutInCell="1" locked="0" behindDoc="1" simplePos="0" relativeHeight="473703424">
                <wp:simplePos x="0" y="0"/>
                <wp:positionH relativeFrom="page">
                  <wp:posOffset>9525</wp:posOffset>
                </wp:positionH>
                <wp:positionV relativeFrom="page">
                  <wp:posOffset>297208</wp:posOffset>
                </wp:positionV>
                <wp:extent cx="7762875" cy="9748520"/>
                <wp:effectExtent l="0" t="0" r="0" b="0"/>
                <wp:wrapNone/>
                <wp:docPr id="880" name="Group 880"/>
                <wp:cNvGraphicFramePr>
                  <a:graphicFrameLocks/>
                </wp:cNvGraphicFramePr>
                <a:graphic>
                  <a:graphicData uri="http://schemas.microsoft.com/office/word/2010/wordprocessingGroup">
                    <wpg:wgp>
                      <wpg:cNvPr id="880" name="Group 880"/>
                      <wpg:cNvGrpSpPr/>
                      <wpg:grpSpPr>
                        <a:xfrm>
                          <a:off x="0" y="0"/>
                          <a:ext cx="7762875" cy="9748520"/>
                          <a:chExt cx="7762875" cy="9748520"/>
                        </a:xfrm>
                      </wpg:grpSpPr>
                      <pic:pic>
                        <pic:nvPicPr>
                          <pic:cNvPr id="881" name="Image 881"/>
                          <pic:cNvPicPr/>
                        </pic:nvPicPr>
                        <pic:blipFill>
                          <a:blip r:embed="rId5" cstate="print"/>
                          <a:stretch>
                            <a:fillRect/>
                          </a:stretch>
                        </pic:blipFill>
                        <pic:spPr>
                          <a:xfrm>
                            <a:off x="0" y="0"/>
                            <a:ext cx="7762874" cy="9748489"/>
                          </a:xfrm>
                          <a:prstGeom prst="rect">
                            <a:avLst/>
                          </a:prstGeom>
                        </pic:spPr>
                      </pic:pic>
                      <wps:wsp>
                        <wps:cNvPr id="882" name="Graphic 882"/>
                        <wps:cNvSpPr/>
                        <wps:spPr>
                          <a:xfrm>
                            <a:off x="1053007" y="990837"/>
                            <a:ext cx="5969635" cy="7304405"/>
                          </a:xfrm>
                          <a:custGeom>
                            <a:avLst/>
                            <a:gdLst/>
                            <a:ahLst/>
                            <a:cxnLst/>
                            <a:rect l="l" t="t" r="r" b="b"/>
                            <a:pathLst>
                              <a:path w="5969635" h="7304405">
                                <a:moveTo>
                                  <a:pt x="21336" y="132702"/>
                                </a:moveTo>
                                <a:lnTo>
                                  <a:pt x="15240" y="132702"/>
                                </a:lnTo>
                                <a:lnTo>
                                  <a:pt x="15240" y="7297915"/>
                                </a:lnTo>
                                <a:lnTo>
                                  <a:pt x="21336" y="7297915"/>
                                </a:lnTo>
                                <a:lnTo>
                                  <a:pt x="21336" y="132702"/>
                                </a:lnTo>
                                <a:close/>
                              </a:path>
                              <a:path w="5969635" h="7304405">
                                <a:moveTo>
                                  <a:pt x="4613618" y="3588855"/>
                                </a:moveTo>
                                <a:lnTo>
                                  <a:pt x="3661765" y="3588855"/>
                                </a:lnTo>
                                <a:lnTo>
                                  <a:pt x="3661765" y="3597021"/>
                                </a:lnTo>
                                <a:lnTo>
                                  <a:pt x="4613592" y="3597021"/>
                                </a:lnTo>
                                <a:lnTo>
                                  <a:pt x="4613618" y="3588855"/>
                                </a:lnTo>
                                <a:close/>
                              </a:path>
                              <a:path w="5969635" h="7304405">
                                <a:moveTo>
                                  <a:pt x="5649214" y="0"/>
                                </a:moveTo>
                                <a:lnTo>
                                  <a:pt x="0" y="0"/>
                                </a:lnTo>
                                <a:lnTo>
                                  <a:pt x="0" y="9131"/>
                                </a:lnTo>
                                <a:lnTo>
                                  <a:pt x="5649214" y="9131"/>
                                </a:lnTo>
                                <a:lnTo>
                                  <a:pt x="5649214" y="0"/>
                                </a:lnTo>
                                <a:close/>
                              </a:path>
                              <a:path w="5969635" h="7304405">
                                <a:moveTo>
                                  <a:pt x="5969190" y="7297928"/>
                                </a:moveTo>
                                <a:lnTo>
                                  <a:pt x="5963158" y="7297928"/>
                                </a:lnTo>
                                <a:lnTo>
                                  <a:pt x="21336" y="7297928"/>
                                </a:lnTo>
                                <a:lnTo>
                                  <a:pt x="15240" y="7297928"/>
                                </a:lnTo>
                                <a:lnTo>
                                  <a:pt x="15240" y="7304011"/>
                                </a:lnTo>
                                <a:lnTo>
                                  <a:pt x="21336" y="7304011"/>
                                </a:lnTo>
                                <a:lnTo>
                                  <a:pt x="5963107" y="7304011"/>
                                </a:lnTo>
                                <a:lnTo>
                                  <a:pt x="5969190" y="7304011"/>
                                </a:lnTo>
                                <a:lnTo>
                                  <a:pt x="5969190" y="7297928"/>
                                </a:lnTo>
                                <a:close/>
                              </a:path>
                              <a:path w="5969635" h="7304405">
                                <a:moveTo>
                                  <a:pt x="5969190" y="132702"/>
                                </a:moveTo>
                                <a:lnTo>
                                  <a:pt x="5963107" y="132702"/>
                                </a:lnTo>
                                <a:lnTo>
                                  <a:pt x="5963107" y="7297915"/>
                                </a:lnTo>
                                <a:lnTo>
                                  <a:pt x="5969190" y="7297915"/>
                                </a:lnTo>
                                <a:lnTo>
                                  <a:pt x="5969190" y="132702"/>
                                </a:lnTo>
                                <a:close/>
                              </a:path>
                              <a:path w="5969635" h="7304405">
                                <a:moveTo>
                                  <a:pt x="5969190" y="126479"/>
                                </a:moveTo>
                                <a:lnTo>
                                  <a:pt x="5963158" y="126479"/>
                                </a:lnTo>
                                <a:lnTo>
                                  <a:pt x="21336" y="126479"/>
                                </a:lnTo>
                                <a:lnTo>
                                  <a:pt x="15240" y="126479"/>
                                </a:lnTo>
                                <a:lnTo>
                                  <a:pt x="15240" y="132575"/>
                                </a:lnTo>
                                <a:lnTo>
                                  <a:pt x="21336" y="132575"/>
                                </a:lnTo>
                                <a:lnTo>
                                  <a:pt x="5963107" y="132575"/>
                                </a:lnTo>
                                <a:lnTo>
                                  <a:pt x="5969190" y="132575"/>
                                </a:lnTo>
                                <a:lnTo>
                                  <a:pt x="5969190"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3056" id="docshapegroup855" coordorigin="15,468" coordsize="12225,15352">
                <v:shape style="position:absolute;left:15;top:468;width:12225;height:15352" type="#_x0000_t75" id="docshape856" stroked="false">
                  <v:imagedata r:id="rId5" o:title=""/>
                </v:shape>
                <v:shape style="position:absolute;left:1673;top:2028;width:9401;height:11503" id="docshape857" coordorigin="1673,2028" coordsize="9401,11503" path="m1707,2237l1697,2237,1697,13521,1707,13521,1707,2237xm8939,7680l7440,7680,7440,7693,8939,7693,8939,7680xm10570,2028l1673,2028,1673,2043,10570,2043,10570,2028xm11074,13521l11064,13521,11064,13521,1707,13521,1697,13521,1697,13531,1707,13531,11064,13531,11064,13531,11074,13531,11074,13521xm11074,2237l11064,2237,11064,13521,11074,13521,11074,2237xm11074,2228l11064,2228,11064,2228,1707,2228,1697,2228,1697,2237,1707,2237,11064,2237,11064,2237,11074,2237,11074,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177</w:t>
      </w:r>
    </w:p>
    <w:p>
      <w:pPr>
        <w:pStyle w:val="BodyText"/>
        <w:spacing w:before="225"/>
        <w:ind w:left="691" w:right="517"/>
        <w:jc w:val="both"/>
      </w:pPr>
      <w:r>
        <w:rPr/>
        <w:t>Al</w:t>
      </w:r>
      <w:r>
        <w:rPr>
          <w:spacing w:val="-7"/>
        </w:rPr>
        <w:t> </w:t>
      </w:r>
      <w:r>
        <w:rPr/>
        <w:t>31</w:t>
      </w:r>
      <w:r>
        <w:rPr>
          <w:spacing w:val="-8"/>
        </w:rPr>
        <w:t> </w:t>
      </w:r>
      <w:r>
        <w:rPr/>
        <w:t>de</w:t>
      </w:r>
      <w:r>
        <w:rPr>
          <w:spacing w:val="-9"/>
        </w:rPr>
        <w:t> </w:t>
      </w:r>
      <w:r>
        <w:rPr/>
        <w:t>julio</w:t>
      </w:r>
      <w:r>
        <w:rPr>
          <w:spacing w:val="-7"/>
        </w:rPr>
        <w:t> </w:t>
      </w:r>
      <w:r>
        <w:rPr/>
        <w:t>de</w:t>
      </w:r>
      <w:r>
        <w:rPr>
          <w:spacing w:val="-9"/>
        </w:rPr>
        <w:t> </w:t>
      </w:r>
      <w:r>
        <w:rPr/>
        <w:t>2026,</w:t>
      </w:r>
      <w:r>
        <w:rPr>
          <w:spacing w:val="-7"/>
        </w:rPr>
        <w:t> </w:t>
      </w:r>
      <w:r>
        <w:rPr/>
        <w:t>la</w:t>
      </w:r>
      <w:r>
        <w:rPr>
          <w:spacing w:val="-8"/>
        </w:rPr>
        <w:t> </w:t>
      </w:r>
      <w:r>
        <w:rPr/>
        <w:t>cuenta</w:t>
      </w:r>
      <w:r>
        <w:rPr>
          <w:spacing w:val="-7"/>
        </w:rPr>
        <w:t> </w:t>
      </w:r>
      <w:r>
        <w:rPr/>
        <w:t>Resultados</w:t>
      </w:r>
      <w:r>
        <w:rPr>
          <w:spacing w:val="-6"/>
        </w:rPr>
        <w:t> </w:t>
      </w:r>
      <w:r>
        <w:rPr/>
        <w:t>de</w:t>
      </w:r>
      <w:r>
        <w:rPr>
          <w:spacing w:val="-9"/>
        </w:rPr>
        <w:t> </w:t>
      </w:r>
      <w:r>
        <w:rPr/>
        <w:t>ejercicios</w:t>
      </w:r>
      <w:r>
        <w:rPr>
          <w:spacing w:val="-6"/>
        </w:rPr>
        <w:t> </w:t>
      </w:r>
      <w:r>
        <w:rPr/>
        <w:t>anteriores</w:t>
      </w:r>
      <w:r>
        <w:rPr>
          <w:spacing w:val="-6"/>
        </w:rPr>
        <w:t> </w:t>
      </w:r>
      <w:r>
        <w:rPr/>
        <w:t>pasó</w:t>
      </w:r>
      <w:r>
        <w:rPr>
          <w:spacing w:val="-6"/>
        </w:rPr>
        <w:t> </w:t>
      </w:r>
      <w:r>
        <w:rPr/>
        <w:t>de</w:t>
      </w:r>
      <w:r>
        <w:rPr>
          <w:spacing w:val="-5"/>
        </w:rPr>
        <w:t> </w:t>
      </w:r>
      <w:r>
        <w:rPr>
          <w:rFonts w:ascii="Times New Roman" w:hAnsi="Times New Roman"/>
        </w:rPr>
        <w:t>₡</w:t>
      </w:r>
      <w:r>
        <w:rPr/>
        <w:t>59.859.330,40</w:t>
      </w:r>
      <w:r>
        <w:rPr>
          <w:spacing w:val="-8"/>
        </w:rPr>
        <w:t> </w:t>
      </w:r>
      <w:r>
        <w:rPr/>
        <w:t>miles</w:t>
      </w:r>
      <w:r>
        <w:rPr>
          <w:spacing w:val="-6"/>
        </w:rPr>
        <w:t> </w:t>
      </w:r>
      <w:r>
        <w:rPr/>
        <w:t>en</w:t>
      </w:r>
      <w:r>
        <w:rPr>
          <w:spacing w:val="-7"/>
        </w:rPr>
        <w:t> </w:t>
      </w:r>
      <w:r>
        <w:rPr/>
        <w:t>2025 a </w:t>
      </w:r>
      <w:r>
        <w:rPr>
          <w:rFonts w:ascii="Times New Roman" w:hAnsi="Times New Roman"/>
        </w:rPr>
        <w:t>₡</w:t>
      </w:r>
      <w:r>
        <w:rPr/>
        <w:t>61.645.121,15 miles en 2026, para un aumento neto de </w:t>
      </w:r>
      <w:r>
        <w:rPr>
          <w:rFonts w:ascii="Times New Roman" w:hAnsi="Times New Roman"/>
        </w:rPr>
        <w:t>₡</w:t>
      </w:r>
      <w:r>
        <w:rPr/>
        <w:t>1.785.790,74 miles (2,98%). La variación se explica por aumentos de </w:t>
      </w:r>
      <w:r>
        <w:rPr>
          <w:rFonts w:ascii="Times New Roman" w:hAnsi="Times New Roman"/>
        </w:rPr>
        <w:t>₡</w:t>
      </w:r>
      <w:r>
        <w:rPr/>
        <w:t>3.240.501,94 miles y disminuciones de </w:t>
      </w:r>
      <w:r>
        <w:rPr>
          <w:rFonts w:ascii="Times New Roman" w:hAnsi="Times New Roman"/>
        </w:rPr>
        <w:t>₡</w:t>
      </w:r>
      <w:r>
        <w:rPr/>
        <w:t>4.051.280,85 miles del resultado del periodo</w:t>
      </w:r>
      <w:r>
        <w:rPr>
          <w:spacing w:val="-14"/>
        </w:rPr>
        <w:t> </w:t>
      </w:r>
      <w:r>
        <w:rPr/>
        <w:t>2025.</w:t>
      </w:r>
      <w:r>
        <w:rPr>
          <w:spacing w:val="-14"/>
        </w:rPr>
        <w:t> </w:t>
      </w:r>
      <w:r>
        <w:rPr/>
        <w:t>Entre</w:t>
      </w:r>
      <w:r>
        <w:rPr>
          <w:spacing w:val="-14"/>
        </w:rPr>
        <w:t> </w:t>
      </w:r>
      <w:r>
        <w:rPr/>
        <w:t>las</w:t>
      </w:r>
      <w:r>
        <w:rPr>
          <w:spacing w:val="-13"/>
        </w:rPr>
        <w:t> </w:t>
      </w:r>
      <w:r>
        <w:rPr/>
        <w:t>disminuciones</w:t>
      </w:r>
      <w:r>
        <w:rPr>
          <w:spacing w:val="-14"/>
        </w:rPr>
        <w:t> </w:t>
      </w:r>
      <w:r>
        <w:rPr/>
        <w:t>de</w:t>
      </w:r>
      <w:r>
        <w:rPr>
          <w:spacing w:val="-14"/>
        </w:rPr>
        <w:t> </w:t>
      </w:r>
      <w:r>
        <w:rPr/>
        <w:t>la</w:t>
      </w:r>
      <w:r>
        <w:rPr>
          <w:spacing w:val="-14"/>
        </w:rPr>
        <w:t> </w:t>
      </w:r>
      <w:r>
        <w:rPr/>
        <w:t>cuenta</w:t>
      </w:r>
      <w:r>
        <w:rPr>
          <w:spacing w:val="-13"/>
        </w:rPr>
        <w:t> </w:t>
      </w:r>
      <w:r>
        <w:rPr/>
        <w:t>de</w:t>
      </w:r>
      <w:r>
        <w:rPr>
          <w:spacing w:val="-14"/>
        </w:rPr>
        <w:t> </w:t>
      </w:r>
      <w:r>
        <w:rPr/>
        <w:t>Resultados</w:t>
      </w:r>
      <w:r>
        <w:rPr>
          <w:spacing w:val="-14"/>
        </w:rPr>
        <w:t> </w:t>
      </w:r>
      <w:r>
        <w:rPr/>
        <w:t>Acumulados</w:t>
      </w:r>
      <w:r>
        <w:rPr>
          <w:spacing w:val="-14"/>
        </w:rPr>
        <w:t> </w:t>
      </w:r>
      <w:r>
        <w:rPr/>
        <w:t>existen</w:t>
      </w:r>
      <w:r>
        <w:rPr>
          <w:spacing w:val="-13"/>
        </w:rPr>
        <w:t> </w:t>
      </w:r>
      <w:r>
        <w:rPr/>
        <w:t>ajustes</w:t>
      </w:r>
      <w:r>
        <w:rPr>
          <w:spacing w:val="-14"/>
        </w:rPr>
        <w:t> </w:t>
      </w:r>
      <w:r>
        <w:rPr/>
        <w:t>por</w:t>
      </w:r>
      <w:r>
        <w:rPr>
          <w:spacing w:val="-14"/>
        </w:rPr>
        <w:t> </w:t>
      </w:r>
      <w:r>
        <w:rPr/>
        <w:t>un</w:t>
      </w:r>
      <w:r>
        <w:rPr>
          <w:spacing w:val="-14"/>
        </w:rPr>
        <w:t> </w:t>
      </w:r>
      <w:r>
        <w:rPr/>
        <w:t>monto de ¢810.200,44 miles, correspondientes al CETAC producto de la distribución de excedentes de las Empresas Comerciales del IMAS del 2025, así como movimientos inmateriales por ¢465,3 correspondientes</w:t>
      </w:r>
      <w:r>
        <w:rPr>
          <w:spacing w:val="-12"/>
        </w:rPr>
        <w:t> </w:t>
      </w:r>
      <w:r>
        <w:rPr/>
        <w:t>a</w:t>
      </w:r>
      <w:r>
        <w:rPr>
          <w:spacing w:val="-12"/>
        </w:rPr>
        <w:t> </w:t>
      </w:r>
      <w:r>
        <w:rPr/>
        <w:t>ajustes</w:t>
      </w:r>
      <w:r>
        <w:rPr>
          <w:spacing w:val="-12"/>
        </w:rPr>
        <w:t> </w:t>
      </w:r>
      <w:r>
        <w:rPr/>
        <w:t>del</w:t>
      </w:r>
      <w:r>
        <w:rPr>
          <w:spacing w:val="-12"/>
        </w:rPr>
        <w:t> </w:t>
      </w:r>
      <w:r>
        <w:rPr/>
        <w:t>salario</w:t>
      </w:r>
      <w:r>
        <w:rPr>
          <w:spacing w:val="-12"/>
        </w:rPr>
        <w:t> </w:t>
      </w:r>
      <w:r>
        <w:rPr/>
        <w:t>escolar</w:t>
      </w:r>
      <w:r>
        <w:rPr>
          <w:spacing w:val="-12"/>
        </w:rPr>
        <w:t> </w:t>
      </w:r>
      <w:r>
        <w:rPr/>
        <w:t>2025</w:t>
      </w:r>
      <w:r>
        <w:rPr>
          <w:spacing w:val="-13"/>
        </w:rPr>
        <w:t> </w:t>
      </w:r>
      <w:r>
        <w:rPr/>
        <w:t>cancelados</w:t>
      </w:r>
      <w:r>
        <w:rPr>
          <w:spacing w:val="-12"/>
        </w:rPr>
        <w:t> </w:t>
      </w:r>
      <w:r>
        <w:rPr/>
        <w:t>en</w:t>
      </w:r>
      <w:r>
        <w:rPr>
          <w:spacing w:val="-12"/>
        </w:rPr>
        <w:t> </w:t>
      </w:r>
      <w:r>
        <w:rPr/>
        <w:t>enero</w:t>
      </w:r>
      <w:r>
        <w:rPr>
          <w:spacing w:val="-12"/>
        </w:rPr>
        <w:t> </w:t>
      </w:r>
      <w:r>
        <w:rPr/>
        <w:t>2026</w:t>
      </w:r>
      <w:r>
        <w:rPr>
          <w:spacing w:val="-13"/>
        </w:rPr>
        <w:t> </w:t>
      </w:r>
      <w:r>
        <w:rPr/>
        <w:t>y</w:t>
      </w:r>
      <w:r>
        <w:rPr>
          <w:spacing w:val="-13"/>
        </w:rPr>
        <w:t> </w:t>
      </w:r>
      <w:r>
        <w:rPr/>
        <w:t>ajustes</w:t>
      </w:r>
      <w:r>
        <w:rPr>
          <w:spacing w:val="-12"/>
        </w:rPr>
        <w:t> </w:t>
      </w:r>
      <w:r>
        <w:rPr/>
        <w:t>de</w:t>
      </w:r>
      <w:r>
        <w:rPr>
          <w:spacing w:val="-13"/>
        </w:rPr>
        <w:t> </w:t>
      </w:r>
      <w:r>
        <w:rPr/>
        <w:t>cuentas</w:t>
      </w:r>
      <w:r>
        <w:rPr>
          <w:spacing w:val="-13"/>
        </w:rPr>
        <w:t> </w:t>
      </w:r>
      <w:r>
        <w:rPr/>
        <w:t>por</w:t>
      </w:r>
      <w:r>
        <w:rPr>
          <w:spacing w:val="-14"/>
        </w:rPr>
        <w:t> </w:t>
      </w:r>
      <w:r>
        <w:rPr/>
        <w:t>cobrar por ¢52,40 miles.</w:t>
      </w:r>
    </w:p>
    <w:p>
      <w:pPr>
        <w:pStyle w:val="BodyText"/>
      </w:pPr>
    </w:p>
    <w:p>
      <w:pPr>
        <w:pStyle w:val="BodyText"/>
        <w:spacing w:before="72"/>
      </w:pPr>
    </w:p>
    <w:p>
      <w:pPr>
        <w:pStyle w:val="ListParagraph"/>
        <w:numPr>
          <w:ilvl w:val="2"/>
          <w:numId w:val="57"/>
        </w:numPr>
        <w:tabs>
          <w:tab w:pos="1409" w:val="left" w:leader="none"/>
          <w:tab w:pos="1411" w:val="left" w:leader="none"/>
        </w:tabs>
        <w:spacing w:line="240" w:lineRule="auto" w:before="1" w:after="0"/>
        <w:ind w:left="1411" w:right="521" w:hanging="360"/>
        <w:jc w:val="both"/>
        <w:rPr>
          <w:sz w:val="22"/>
        </w:rPr>
      </w:pPr>
      <w:r>
        <w:rPr>
          <w:sz w:val="22"/>
        </w:rPr>
        <w:t>El</w:t>
      </w:r>
      <w:r>
        <w:rPr>
          <w:spacing w:val="-3"/>
          <w:sz w:val="22"/>
        </w:rPr>
        <w:t> </w:t>
      </w:r>
      <w:r>
        <w:rPr>
          <w:sz w:val="22"/>
        </w:rPr>
        <w:t>monto</w:t>
      </w:r>
      <w:r>
        <w:rPr>
          <w:spacing w:val="-6"/>
          <w:sz w:val="22"/>
        </w:rPr>
        <w:t> </w:t>
      </w:r>
      <w:r>
        <w:rPr>
          <w:sz w:val="22"/>
        </w:rPr>
        <w:t>mostrado</w:t>
      </w:r>
      <w:r>
        <w:rPr>
          <w:spacing w:val="-4"/>
          <w:sz w:val="22"/>
        </w:rPr>
        <w:t> </w:t>
      </w:r>
      <w:r>
        <w:rPr>
          <w:sz w:val="22"/>
        </w:rPr>
        <w:t>es</w:t>
      </w:r>
      <w:r>
        <w:rPr>
          <w:spacing w:val="-4"/>
          <w:sz w:val="22"/>
        </w:rPr>
        <w:t> </w:t>
      </w:r>
      <w:r>
        <w:rPr>
          <w:sz w:val="22"/>
        </w:rPr>
        <w:t>producto</w:t>
      </w:r>
      <w:r>
        <w:rPr>
          <w:spacing w:val="-2"/>
          <w:sz w:val="22"/>
        </w:rPr>
        <w:t> </w:t>
      </w:r>
      <w:r>
        <w:rPr>
          <w:sz w:val="22"/>
        </w:rPr>
        <w:t>de</w:t>
      </w:r>
      <w:r>
        <w:rPr>
          <w:spacing w:val="-2"/>
          <w:sz w:val="22"/>
        </w:rPr>
        <w:t> </w:t>
      </w:r>
      <w:r>
        <w:rPr>
          <w:sz w:val="22"/>
        </w:rPr>
        <w:t>la</w:t>
      </w:r>
      <w:r>
        <w:rPr>
          <w:spacing w:val="-6"/>
          <w:sz w:val="22"/>
        </w:rPr>
        <w:t> </w:t>
      </w:r>
      <w:r>
        <w:rPr>
          <w:sz w:val="22"/>
        </w:rPr>
        <w:t>aplicación</w:t>
      </w:r>
      <w:r>
        <w:rPr>
          <w:spacing w:val="-3"/>
          <w:sz w:val="22"/>
        </w:rPr>
        <w:t> </w:t>
      </w:r>
      <w:r>
        <w:rPr>
          <w:sz w:val="22"/>
        </w:rPr>
        <w:t>de</w:t>
      </w:r>
      <w:r>
        <w:rPr>
          <w:spacing w:val="-4"/>
          <w:sz w:val="22"/>
        </w:rPr>
        <w:t> </w:t>
      </w:r>
      <w:r>
        <w:rPr>
          <w:sz w:val="22"/>
        </w:rPr>
        <w:t>la</w:t>
      </w:r>
      <w:r>
        <w:rPr>
          <w:spacing w:val="-6"/>
          <w:sz w:val="22"/>
        </w:rPr>
        <w:t> </w:t>
      </w:r>
      <w:r>
        <w:rPr>
          <w:sz w:val="22"/>
        </w:rPr>
        <w:t>Normas</w:t>
      </w:r>
      <w:r>
        <w:rPr>
          <w:spacing w:val="-2"/>
          <w:sz w:val="22"/>
        </w:rPr>
        <w:t> </w:t>
      </w:r>
      <w:r>
        <w:rPr>
          <w:sz w:val="22"/>
        </w:rPr>
        <w:t>Internacionales</w:t>
      </w:r>
      <w:r>
        <w:rPr>
          <w:spacing w:val="-4"/>
          <w:sz w:val="22"/>
        </w:rPr>
        <w:t> </w:t>
      </w:r>
      <w:r>
        <w:rPr>
          <w:sz w:val="22"/>
        </w:rPr>
        <w:t>de</w:t>
      </w:r>
      <w:r>
        <w:rPr>
          <w:spacing w:val="-6"/>
          <w:sz w:val="22"/>
        </w:rPr>
        <w:t> </w:t>
      </w:r>
      <w:r>
        <w:rPr>
          <w:sz w:val="22"/>
        </w:rPr>
        <w:t>Contabilidad</w:t>
      </w:r>
      <w:r>
        <w:rPr>
          <w:spacing w:val="-3"/>
          <w:sz w:val="22"/>
        </w:rPr>
        <w:t> </w:t>
      </w:r>
      <w:r>
        <w:rPr>
          <w:sz w:val="22"/>
        </w:rPr>
        <w:t>de Sector Publico (NICSP), siendo que durante el periodo 2025 se</w:t>
      </w:r>
      <w:r>
        <w:rPr>
          <w:spacing w:val="80"/>
          <w:sz w:val="22"/>
        </w:rPr>
        <w:t> </w:t>
      </w:r>
      <w:r>
        <w:rPr>
          <w:sz w:val="22"/>
        </w:rPr>
        <w:t>incluye los registros de ajustes contables por la implementación de las NICSP</w:t>
      </w:r>
      <w:r>
        <w:rPr>
          <w:spacing w:val="40"/>
          <w:sz w:val="22"/>
        </w:rPr>
        <w:t> </w:t>
      </w:r>
      <w:r>
        <w:rPr>
          <w:sz w:val="22"/>
        </w:rPr>
        <w:t>17, el ajuste por Re-expresión como parte de cambio de valoración y registro de los terrenos, según NICSP actualizando al valor razonable de los terrenos de programas sociales y terrenos de edificios.</w:t>
      </w:r>
    </w:p>
    <w:p>
      <w:pPr>
        <w:pStyle w:val="BodyText"/>
        <w:spacing w:before="159"/>
      </w:pPr>
    </w:p>
    <w:p>
      <w:pPr>
        <w:pStyle w:val="ListParagraph"/>
        <w:numPr>
          <w:ilvl w:val="2"/>
          <w:numId w:val="57"/>
        </w:numPr>
        <w:tabs>
          <w:tab w:pos="1411" w:val="left" w:leader="none"/>
        </w:tabs>
        <w:spacing w:line="240" w:lineRule="auto" w:before="1" w:after="0"/>
        <w:ind w:left="1411" w:right="522" w:hanging="360"/>
        <w:jc w:val="both"/>
        <w:rPr>
          <w:sz w:val="22"/>
        </w:rPr>
      </w:pPr>
      <w:r>
        <w:rPr>
          <w:sz w:val="22"/>
        </w:rPr>
        <w:t>Durante</w:t>
      </w:r>
      <w:r>
        <w:rPr>
          <w:spacing w:val="-8"/>
          <w:sz w:val="22"/>
        </w:rPr>
        <w:t> </w:t>
      </w:r>
      <w:r>
        <w:rPr>
          <w:sz w:val="22"/>
        </w:rPr>
        <w:t>el</w:t>
      </w:r>
      <w:r>
        <w:rPr>
          <w:spacing w:val="-10"/>
          <w:sz w:val="22"/>
        </w:rPr>
        <w:t> </w:t>
      </w:r>
      <w:r>
        <w:rPr>
          <w:sz w:val="22"/>
        </w:rPr>
        <w:t>periodo</w:t>
      </w:r>
      <w:r>
        <w:rPr>
          <w:spacing w:val="-9"/>
          <w:sz w:val="22"/>
        </w:rPr>
        <w:t> </w:t>
      </w:r>
      <w:r>
        <w:rPr>
          <w:sz w:val="22"/>
        </w:rPr>
        <w:t>2023</w:t>
      </w:r>
      <w:r>
        <w:rPr>
          <w:spacing w:val="-11"/>
          <w:sz w:val="22"/>
        </w:rPr>
        <w:t> </w:t>
      </w:r>
      <w:r>
        <w:rPr>
          <w:sz w:val="22"/>
        </w:rPr>
        <w:t>se</w:t>
      </w:r>
      <w:r>
        <w:rPr>
          <w:spacing w:val="-11"/>
          <w:sz w:val="22"/>
        </w:rPr>
        <w:t> </w:t>
      </w:r>
      <w:r>
        <w:rPr>
          <w:sz w:val="22"/>
        </w:rPr>
        <w:t>realizó</w:t>
      </w:r>
      <w:r>
        <w:rPr>
          <w:spacing w:val="-9"/>
          <w:sz w:val="22"/>
        </w:rPr>
        <w:t> </w:t>
      </w:r>
      <w:r>
        <w:rPr>
          <w:sz w:val="22"/>
        </w:rPr>
        <w:t>la</w:t>
      </w:r>
      <w:r>
        <w:rPr>
          <w:spacing w:val="-11"/>
          <w:sz w:val="22"/>
        </w:rPr>
        <w:t> </w:t>
      </w:r>
      <w:r>
        <w:rPr>
          <w:sz w:val="22"/>
        </w:rPr>
        <w:t>corrección</w:t>
      </w:r>
      <w:r>
        <w:rPr>
          <w:spacing w:val="-9"/>
          <w:sz w:val="22"/>
        </w:rPr>
        <w:t> </w:t>
      </w:r>
      <w:r>
        <w:rPr>
          <w:sz w:val="22"/>
        </w:rPr>
        <w:t>de</w:t>
      </w:r>
      <w:r>
        <w:rPr>
          <w:spacing w:val="-11"/>
          <w:sz w:val="22"/>
        </w:rPr>
        <w:t> </w:t>
      </w:r>
      <w:r>
        <w:rPr>
          <w:sz w:val="22"/>
        </w:rPr>
        <w:t>errores</w:t>
      </w:r>
      <w:r>
        <w:rPr>
          <w:spacing w:val="-11"/>
          <w:sz w:val="22"/>
        </w:rPr>
        <w:t> </w:t>
      </w:r>
      <w:r>
        <w:rPr>
          <w:sz w:val="22"/>
        </w:rPr>
        <w:t>de</w:t>
      </w:r>
      <w:r>
        <w:rPr>
          <w:spacing w:val="-9"/>
          <w:sz w:val="22"/>
        </w:rPr>
        <w:t> </w:t>
      </w:r>
      <w:r>
        <w:rPr>
          <w:sz w:val="22"/>
        </w:rPr>
        <w:t>recálculo</w:t>
      </w:r>
      <w:r>
        <w:rPr>
          <w:spacing w:val="-9"/>
          <w:sz w:val="22"/>
        </w:rPr>
        <w:t> </w:t>
      </w:r>
      <w:r>
        <w:rPr>
          <w:sz w:val="22"/>
        </w:rPr>
        <w:t>de</w:t>
      </w:r>
      <w:r>
        <w:rPr>
          <w:spacing w:val="-8"/>
          <w:sz w:val="22"/>
        </w:rPr>
        <w:t> </w:t>
      </w:r>
      <w:r>
        <w:rPr>
          <w:sz w:val="22"/>
        </w:rPr>
        <w:t>la</w:t>
      </w:r>
      <w:r>
        <w:rPr>
          <w:spacing w:val="-11"/>
          <w:sz w:val="22"/>
        </w:rPr>
        <w:t> </w:t>
      </w:r>
      <w:r>
        <w:rPr>
          <w:sz w:val="22"/>
        </w:rPr>
        <w:t>depreciación</w:t>
      </w:r>
      <w:r>
        <w:rPr>
          <w:spacing w:val="-9"/>
          <w:sz w:val="22"/>
        </w:rPr>
        <w:t> </w:t>
      </w:r>
      <w:r>
        <w:rPr>
          <w:sz w:val="22"/>
        </w:rPr>
        <w:t>y</w:t>
      </w:r>
      <w:r>
        <w:rPr>
          <w:spacing w:val="-11"/>
          <w:sz w:val="22"/>
        </w:rPr>
        <w:t> </w:t>
      </w:r>
      <w:r>
        <w:rPr>
          <w:sz w:val="22"/>
        </w:rPr>
        <w:t>amor-tización acumulada de activos planta y equipo, durante el periodo 2026-2025 no se han determi-nado errores.</w:t>
      </w:r>
    </w:p>
    <w:p>
      <w:pPr>
        <w:pStyle w:val="BodyText"/>
        <w:rPr>
          <w:sz w:val="19"/>
        </w:rPr>
      </w:pPr>
    </w:p>
    <w:p>
      <w:pPr>
        <w:pStyle w:val="BodyText"/>
        <w:spacing w:before="20"/>
        <w:rPr>
          <w:sz w:val="19"/>
        </w:rPr>
      </w:pPr>
    </w:p>
    <w:p>
      <w:pPr>
        <w:tabs>
          <w:tab w:pos="7410" w:val="left" w:leader="none"/>
        </w:tabs>
        <w:spacing w:before="1"/>
        <w:ind w:left="6359" w:right="0" w:firstLine="0"/>
        <w:jc w:val="left"/>
        <w:rPr>
          <w:rFonts w:ascii="Times New Roman"/>
          <w:b/>
          <w:sz w:val="19"/>
        </w:rPr>
      </w:pPr>
      <w:r>
        <w:rPr>
          <w:rFonts w:ascii="Times New Roman"/>
          <w:b/>
          <w:sz w:val="19"/>
          <w:u w:val="thick"/>
        </w:rPr>
        <w:tab/>
      </w:r>
      <w:r>
        <w:rPr>
          <w:rFonts w:ascii="Times New Roman"/>
          <w:b/>
          <w:spacing w:val="-4"/>
          <w:sz w:val="19"/>
          <w:u w:val="thick"/>
        </w:rPr>
        <w:t>2026</w:t>
      </w:r>
    </w:p>
    <w:p>
      <w:pPr>
        <w:spacing w:before="36"/>
        <w:ind w:left="2900" w:right="0" w:firstLine="0"/>
        <w:jc w:val="left"/>
        <w:rPr>
          <w:rFonts w:ascii="Times New Roman" w:hAnsi="Times New Roman"/>
          <w:b/>
          <w:sz w:val="21"/>
        </w:rPr>
      </w:pPr>
      <w:r>
        <w:rPr>
          <w:rFonts w:ascii="Times New Roman" w:hAnsi="Times New Roman"/>
          <w:b/>
          <w:spacing w:val="-6"/>
          <w:sz w:val="21"/>
        </w:rPr>
        <w:t>Ajustes</w:t>
      </w:r>
      <w:r>
        <w:rPr>
          <w:rFonts w:ascii="Times New Roman" w:hAnsi="Times New Roman"/>
          <w:b/>
          <w:spacing w:val="-2"/>
          <w:sz w:val="21"/>
        </w:rPr>
        <w:t> </w:t>
      </w:r>
      <w:r>
        <w:rPr>
          <w:rFonts w:ascii="Times New Roman" w:hAnsi="Times New Roman"/>
          <w:b/>
          <w:spacing w:val="-6"/>
          <w:sz w:val="21"/>
        </w:rPr>
        <w:t>por</w:t>
      </w:r>
      <w:r>
        <w:rPr>
          <w:rFonts w:ascii="Times New Roman" w:hAnsi="Times New Roman"/>
          <w:b/>
          <w:spacing w:val="-16"/>
          <w:sz w:val="21"/>
        </w:rPr>
        <w:t> </w:t>
      </w:r>
      <w:r>
        <w:rPr>
          <w:rFonts w:ascii="Times New Roman" w:hAnsi="Times New Roman"/>
          <w:b/>
          <w:spacing w:val="-6"/>
          <w:sz w:val="21"/>
        </w:rPr>
        <w:t>corrección</w:t>
      </w:r>
      <w:r>
        <w:rPr>
          <w:rFonts w:ascii="Times New Roman" w:hAnsi="Times New Roman"/>
          <w:b/>
          <w:spacing w:val="-14"/>
          <w:sz w:val="21"/>
        </w:rPr>
        <w:t> </w:t>
      </w:r>
      <w:r>
        <w:rPr>
          <w:rFonts w:ascii="Times New Roman" w:hAnsi="Times New Roman"/>
          <w:b/>
          <w:spacing w:val="-6"/>
          <w:sz w:val="21"/>
        </w:rPr>
        <w:t>de</w:t>
      </w:r>
      <w:r>
        <w:rPr>
          <w:rFonts w:ascii="Times New Roman" w:hAnsi="Times New Roman"/>
          <w:b/>
          <w:spacing w:val="5"/>
          <w:sz w:val="21"/>
        </w:rPr>
        <w:t> </w:t>
      </w:r>
      <w:r>
        <w:rPr>
          <w:rFonts w:ascii="Times New Roman" w:hAnsi="Times New Roman"/>
          <w:b/>
          <w:spacing w:val="-6"/>
          <w:sz w:val="21"/>
        </w:rPr>
        <w:t>errores</w:t>
      </w:r>
    </w:p>
    <w:p>
      <w:pPr>
        <w:tabs>
          <w:tab w:pos="4279" w:val="left" w:leader="none"/>
        </w:tabs>
        <w:spacing w:before="46"/>
        <w:ind w:left="282" w:right="0" w:firstLine="0"/>
        <w:jc w:val="center"/>
        <w:rPr>
          <w:rFonts w:ascii="Times New Roman"/>
          <w:sz w:val="21"/>
        </w:rPr>
      </w:pPr>
      <w:r>
        <w:rPr>
          <w:rFonts w:ascii="Times New Roman"/>
          <w:spacing w:val="-10"/>
          <w:sz w:val="21"/>
        </w:rPr>
        <w:t>Saldo</w:t>
      </w:r>
      <w:r>
        <w:rPr>
          <w:rFonts w:ascii="Times New Roman"/>
          <w:spacing w:val="2"/>
          <w:sz w:val="21"/>
        </w:rPr>
        <w:t> </w:t>
      </w:r>
      <w:r>
        <w:rPr>
          <w:rFonts w:ascii="Times New Roman"/>
          <w:spacing w:val="-10"/>
          <w:sz w:val="21"/>
        </w:rPr>
        <w:t>inicial</w:t>
      </w:r>
      <w:r>
        <w:rPr>
          <w:rFonts w:ascii="Times New Roman"/>
          <w:spacing w:val="-17"/>
          <w:sz w:val="21"/>
        </w:rPr>
        <w:t> </w:t>
      </w:r>
      <w:r>
        <w:rPr>
          <w:rFonts w:ascii="Times New Roman"/>
          <w:spacing w:val="-10"/>
          <w:sz w:val="21"/>
        </w:rPr>
        <w:t>al</w:t>
      </w:r>
      <w:r>
        <w:rPr>
          <w:rFonts w:ascii="Times New Roman"/>
          <w:spacing w:val="-17"/>
          <w:sz w:val="21"/>
        </w:rPr>
        <w:t> </w:t>
      </w:r>
      <w:r>
        <w:rPr>
          <w:rFonts w:ascii="Times New Roman"/>
          <w:spacing w:val="-10"/>
          <w:sz w:val="21"/>
        </w:rPr>
        <w:t>31</w:t>
      </w:r>
      <w:r>
        <w:rPr>
          <w:rFonts w:ascii="Times New Roman"/>
          <w:spacing w:val="2"/>
          <w:sz w:val="21"/>
        </w:rPr>
        <w:t> </w:t>
      </w:r>
      <w:r>
        <w:rPr>
          <w:rFonts w:ascii="Times New Roman"/>
          <w:spacing w:val="-10"/>
          <w:sz w:val="21"/>
        </w:rPr>
        <w:t>diciembre</w:t>
      </w:r>
      <w:r>
        <w:rPr>
          <w:rFonts w:ascii="Times New Roman"/>
          <w:spacing w:val="1"/>
          <w:sz w:val="21"/>
        </w:rPr>
        <w:t> </w:t>
      </w:r>
      <w:r>
        <w:rPr>
          <w:rFonts w:ascii="Times New Roman"/>
          <w:spacing w:val="-10"/>
          <w:sz w:val="21"/>
        </w:rPr>
        <w:t>2025</w:t>
      </w:r>
      <w:r>
        <w:rPr>
          <w:rFonts w:ascii="Times New Roman"/>
          <w:sz w:val="21"/>
        </w:rPr>
        <w:tab/>
      </w:r>
      <w:r>
        <w:rPr>
          <w:rFonts w:ascii="Times New Roman"/>
          <w:spacing w:val="-2"/>
          <w:sz w:val="21"/>
        </w:rPr>
        <w:t>999,699.95</w:t>
      </w:r>
    </w:p>
    <w:p>
      <w:pPr>
        <w:tabs>
          <w:tab w:pos="4841" w:val="left" w:leader="none"/>
        </w:tabs>
        <w:spacing w:before="33"/>
        <w:ind w:left="281" w:right="0" w:firstLine="0"/>
        <w:jc w:val="center"/>
        <w:rPr>
          <w:rFonts w:ascii="Times New Roman"/>
          <w:sz w:val="21"/>
        </w:rPr>
      </w:pPr>
      <w:r>
        <w:rPr>
          <w:rFonts w:ascii="Times New Roman"/>
          <w:spacing w:val="-2"/>
          <w:sz w:val="21"/>
        </w:rPr>
        <w:t>Disminuciones</w:t>
      </w:r>
      <w:r>
        <w:rPr>
          <w:rFonts w:ascii="Times New Roman"/>
          <w:sz w:val="21"/>
        </w:rPr>
        <w:tab/>
      </w:r>
      <w:r>
        <w:rPr>
          <w:rFonts w:ascii="Times New Roman"/>
          <w:spacing w:val="-4"/>
          <w:sz w:val="21"/>
        </w:rPr>
        <w:t>0.00</w:t>
      </w:r>
    </w:p>
    <w:p>
      <w:pPr>
        <w:tabs>
          <w:tab w:pos="4841" w:val="left" w:leader="none"/>
        </w:tabs>
        <w:spacing w:before="32"/>
        <w:ind w:left="281" w:right="0" w:firstLine="0"/>
        <w:jc w:val="center"/>
        <w:rPr>
          <w:rFonts w:ascii="Times New Roman"/>
          <w:sz w:val="21"/>
        </w:rPr>
      </w:pPr>
      <w:r>
        <w:rPr>
          <w:rFonts w:ascii="Times New Roman"/>
          <w:spacing w:val="-6"/>
          <w:sz w:val="21"/>
        </w:rPr>
        <w:t>Ajuste</w:t>
      </w:r>
      <w:r>
        <w:rPr>
          <w:rFonts w:ascii="Times New Roman"/>
          <w:spacing w:val="29"/>
          <w:sz w:val="21"/>
        </w:rPr>
        <w:t> </w:t>
      </w:r>
      <w:r>
        <w:rPr>
          <w:rFonts w:ascii="Times New Roman"/>
          <w:spacing w:val="-6"/>
          <w:sz w:val="21"/>
        </w:rPr>
        <w:t>periodo</w:t>
      </w:r>
      <w:r>
        <w:rPr>
          <w:rFonts w:ascii="Times New Roman"/>
          <w:spacing w:val="-7"/>
          <w:sz w:val="21"/>
        </w:rPr>
        <w:t> </w:t>
      </w:r>
      <w:r>
        <w:rPr>
          <w:rFonts w:ascii="Times New Roman"/>
          <w:spacing w:val="-6"/>
          <w:sz w:val="21"/>
        </w:rPr>
        <w:t>2026</w:t>
      </w:r>
      <w:r>
        <w:rPr>
          <w:rFonts w:ascii="Times New Roman"/>
          <w:sz w:val="21"/>
        </w:rPr>
        <w:tab/>
      </w:r>
      <w:r>
        <w:rPr>
          <w:rFonts w:ascii="Times New Roman"/>
          <w:spacing w:val="-4"/>
          <w:sz w:val="21"/>
        </w:rPr>
        <w:t>0.00</w:t>
      </w:r>
    </w:p>
    <w:p>
      <w:pPr>
        <w:pStyle w:val="BodyText"/>
        <w:spacing w:before="65"/>
        <w:rPr>
          <w:rFonts w:ascii="Times New Roman"/>
          <w:sz w:val="21"/>
        </w:rPr>
      </w:pPr>
    </w:p>
    <w:p>
      <w:pPr>
        <w:tabs>
          <w:tab w:pos="6897" w:val="left" w:leader="none"/>
        </w:tabs>
        <w:spacing w:before="0"/>
        <w:ind w:left="4335" w:right="0" w:firstLine="0"/>
        <w:jc w:val="left"/>
        <w:rPr>
          <w:rFonts w:ascii="Times New Roman"/>
          <w:b/>
          <w:sz w:val="21"/>
        </w:rPr>
      </w:pPr>
      <w:r>
        <w:rPr>
          <w:rFonts w:ascii="Times New Roman"/>
          <w:b/>
          <w:spacing w:val="-2"/>
          <w:sz w:val="19"/>
        </w:rPr>
        <w:t>Total</w:t>
      </w:r>
      <w:r>
        <w:rPr>
          <w:rFonts w:ascii="Times New Roman"/>
          <w:b/>
          <w:sz w:val="19"/>
        </w:rPr>
        <w:tab/>
      </w:r>
      <w:r>
        <w:rPr>
          <w:rFonts w:ascii="Times New Roman"/>
          <w:b/>
          <w:spacing w:val="-2"/>
          <w:sz w:val="21"/>
          <w:u w:val="thick"/>
        </w:rPr>
        <w:t>999,699.95</w:t>
      </w:r>
    </w:p>
    <w:p>
      <w:pPr>
        <w:pStyle w:val="BodyText"/>
        <w:rPr>
          <w:rFonts w:ascii="Times New Roman"/>
          <w:b/>
        </w:rPr>
      </w:pPr>
    </w:p>
    <w:p>
      <w:pPr>
        <w:pStyle w:val="BodyText"/>
        <w:spacing w:before="91"/>
        <w:rPr>
          <w:rFonts w:ascii="Times New Roman"/>
          <w:b/>
        </w:rPr>
      </w:pPr>
    </w:p>
    <w:p>
      <w:pPr>
        <w:pStyle w:val="ListParagraph"/>
        <w:numPr>
          <w:ilvl w:val="2"/>
          <w:numId w:val="57"/>
        </w:numPr>
        <w:tabs>
          <w:tab w:pos="1411" w:val="left" w:leader="none"/>
        </w:tabs>
        <w:spacing w:line="259" w:lineRule="auto" w:before="0" w:after="0"/>
        <w:ind w:left="1411" w:right="523" w:hanging="360"/>
        <w:jc w:val="left"/>
        <w:rPr>
          <w:sz w:val="22"/>
        </w:rPr>
      </w:pPr>
      <w:r>
        <w:rPr>
          <w:sz w:val="22"/>
        </w:rPr>
        <w:t>El</w:t>
      </w:r>
      <w:r>
        <w:rPr>
          <w:spacing w:val="-9"/>
          <w:sz w:val="22"/>
        </w:rPr>
        <w:t> </w:t>
      </w:r>
      <w:r>
        <w:rPr>
          <w:sz w:val="22"/>
        </w:rPr>
        <w:t>monto</w:t>
      </w:r>
      <w:r>
        <w:rPr>
          <w:spacing w:val="-9"/>
          <w:sz w:val="22"/>
        </w:rPr>
        <w:t> </w:t>
      </w:r>
      <w:r>
        <w:rPr>
          <w:sz w:val="22"/>
        </w:rPr>
        <w:t>mostrado</w:t>
      </w:r>
      <w:r>
        <w:rPr>
          <w:spacing w:val="-7"/>
          <w:sz w:val="22"/>
        </w:rPr>
        <w:t> </w:t>
      </w:r>
      <w:r>
        <w:rPr>
          <w:sz w:val="22"/>
        </w:rPr>
        <w:t>corresponde</w:t>
      </w:r>
      <w:r>
        <w:rPr>
          <w:spacing w:val="-9"/>
          <w:sz w:val="22"/>
        </w:rPr>
        <w:t> </w:t>
      </w:r>
      <w:r>
        <w:rPr>
          <w:sz w:val="22"/>
        </w:rPr>
        <w:t>a</w:t>
      </w:r>
      <w:r>
        <w:rPr>
          <w:spacing w:val="-9"/>
          <w:sz w:val="22"/>
        </w:rPr>
        <w:t> </w:t>
      </w:r>
      <w:r>
        <w:rPr>
          <w:sz w:val="22"/>
        </w:rPr>
        <w:t>la</w:t>
      </w:r>
      <w:r>
        <w:rPr>
          <w:spacing w:val="-9"/>
          <w:sz w:val="22"/>
        </w:rPr>
        <w:t> </w:t>
      </w:r>
      <w:r>
        <w:rPr>
          <w:sz w:val="22"/>
        </w:rPr>
        <w:t>aplicación</w:t>
      </w:r>
      <w:r>
        <w:rPr>
          <w:spacing w:val="-8"/>
          <w:sz w:val="22"/>
        </w:rPr>
        <w:t> </w:t>
      </w:r>
      <w:r>
        <w:rPr>
          <w:sz w:val="22"/>
        </w:rPr>
        <w:t>de</w:t>
      </w:r>
      <w:r>
        <w:rPr>
          <w:spacing w:val="-9"/>
          <w:sz w:val="22"/>
        </w:rPr>
        <w:t> </w:t>
      </w:r>
      <w:r>
        <w:rPr>
          <w:sz w:val="22"/>
        </w:rPr>
        <w:t>valor</w:t>
      </w:r>
      <w:r>
        <w:rPr>
          <w:spacing w:val="-9"/>
          <w:sz w:val="22"/>
        </w:rPr>
        <w:t> </w:t>
      </w:r>
      <w:r>
        <w:rPr>
          <w:sz w:val="22"/>
        </w:rPr>
        <w:t>residual</w:t>
      </w:r>
      <w:r>
        <w:rPr>
          <w:spacing w:val="-9"/>
          <w:sz w:val="22"/>
        </w:rPr>
        <w:t> </w:t>
      </w:r>
      <w:r>
        <w:rPr>
          <w:sz w:val="22"/>
        </w:rPr>
        <w:t>de</w:t>
      </w:r>
      <w:r>
        <w:rPr>
          <w:spacing w:val="-9"/>
          <w:sz w:val="22"/>
        </w:rPr>
        <w:t> </w:t>
      </w:r>
      <w:r>
        <w:rPr>
          <w:sz w:val="22"/>
        </w:rPr>
        <w:t>¢500</w:t>
      </w:r>
      <w:r>
        <w:rPr>
          <w:spacing w:val="-9"/>
          <w:sz w:val="22"/>
        </w:rPr>
        <w:t> </w:t>
      </w:r>
      <w:r>
        <w:rPr>
          <w:sz w:val="22"/>
        </w:rPr>
        <w:t>en</w:t>
      </w:r>
      <w:r>
        <w:rPr>
          <w:spacing w:val="-8"/>
          <w:sz w:val="22"/>
        </w:rPr>
        <w:t> </w:t>
      </w:r>
      <w:r>
        <w:rPr>
          <w:sz w:val="22"/>
        </w:rPr>
        <w:t>los</w:t>
      </w:r>
      <w:r>
        <w:rPr>
          <w:spacing w:val="-7"/>
          <w:sz w:val="22"/>
        </w:rPr>
        <w:t> </w:t>
      </w:r>
      <w:r>
        <w:rPr>
          <w:sz w:val="22"/>
        </w:rPr>
        <w:t>activos</w:t>
      </w:r>
      <w:r>
        <w:rPr>
          <w:spacing w:val="-7"/>
          <w:sz w:val="22"/>
        </w:rPr>
        <w:t> </w:t>
      </w:r>
      <w:r>
        <w:rPr>
          <w:sz w:val="22"/>
        </w:rPr>
        <w:t>propiedad, planta y equipo, excluyendo los terrenos.</w:t>
      </w:r>
    </w:p>
    <w:p>
      <w:pPr>
        <w:pStyle w:val="BodyText"/>
        <w:spacing w:before="43"/>
        <w:rPr>
          <w:sz w:val="20"/>
        </w:rPr>
      </w:pPr>
    </w:p>
    <w:tbl>
      <w:tblPr>
        <w:tblW w:w="0" w:type="auto"/>
        <w:jc w:val="left"/>
        <w:tblInd w:w="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8"/>
        <w:gridCol w:w="2060"/>
        <w:gridCol w:w="644"/>
        <w:gridCol w:w="2161"/>
        <w:gridCol w:w="2160"/>
        <w:gridCol w:w="1054"/>
      </w:tblGrid>
      <w:tr>
        <w:trPr>
          <w:trHeight w:val="323" w:hRule="atLeast"/>
        </w:trPr>
        <w:tc>
          <w:tcPr>
            <w:tcW w:w="1128" w:type="dxa"/>
            <w:vMerge w:val="restart"/>
            <w:shd w:val="clear" w:color="auto" w:fill="365F92"/>
          </w:tcPr>
          <w:p>
            <w:pPr>
              <w:pStyle w:val="TableParagraph"/>
              <w:spacing w:before="120"/>
              <w:ind w:left="69"/>
              <w:rPr>
                <w:b/>
                <w:sz w:val="22"/>
              </w:rPr>
            </w:pPr>
            <w:r>
              <w:rPr>
                <w:b/>
                <w:spacing w:val="-2"/>
                <w:sz w:val="22"/>
              </w:rPr>
              <w:t>Cuenta</w:t>
            </w:r>
          </w:p>
        </w:tc>
        <w:tc>
          <w:tcPr>
            <w:tcW w:w="2060" w:type="dxa"/>
            <w:vMerge w:val="restart"/>
            <w:shd w:val="clear" w:color="auto" w:fill="365F92"/>
          </w:tcPr>
          <w:p>
            <w:pPr>
              <w:pStyle w:val="TableParagraph"/>
              <w:spacing w:before="209"/>
              <w:ind w:left="499"/>
              <w:rPr>
                <w:b/>
                <w:sz w:val="22"/>
              </w:rPr>
            </w:pPr>
            <w:r>
              <w:rPr>
                <w:b/>
                <w:spacing w:val="-2"/>
                <w:sz w:val="22"/>
              </w:rPr>
              <w:t>Descripción</w:t>
            </w:r>
          </w:p>
        </w:tc>
        <w:tc>
          <w:tcPr>
            <w:tcW w:w="644" w:type="dxa"/>
            <w:vMerge w:val="restart"/>
            <w:shd w:val="clear" w:color="auto" w:fill="365F92"/>
          </w:tcPr>
          <w:p>
            <w:pPr>
              <w:pStyle w:val="TableParagraph"/>
              <w:spacing w:before="209"/>
              <w:ind w:left="104"/>
              <w:rPr>
                <w:b/>
                <w:sz w:val="22"/>
              </w:rPr>
            </w:pPr>
            <w:r>
              <w:rPr>
                <w:b/>
                <w:spacing w:val="-4"/>
                <w:sz w:val="22"/>
              </w:rPr>
              <w:t>Nota</w:t>
            </w:r>
          </w:p>
        </w:tc>
        <w:tc>
          <w:tcPr>
            <w:tcW w:w="2161" w:type="dxa"/>
            <w:vMerge w:val="restart"/>
            <w:shd w:val="clear" w:color="auto" w:fill="365F92"/>
          </w:tcPr>
          <w:p>
            <w:pPr>
              <w:pStyle w:val="TableParagraph"/>
              <w:spacing w:before="209"/>
              <w:ind w:left="447"/>
              <w:rPr>
                <w:b/>
                <w:sz w:val="22"/>
              </w:rPr>
            </w:pPr>
            <w:r>
              <w:rPr>
                <w:b/>
                <w:sz w:val="22"/>
              </w:rPr>
              <w:t>Periodo</w:t>
            </w:r>
            <w:r>
              <w:rPr>
                <w:b/>
                <w:spacing w:val="-4"/>
                <w:sz w:val="22"/>
              </w:rPr>
              <w:t> </w:t>
            </w:r>
            <w:r>
              <w:rPr>
                <w:b/>
                <w:spacing w:val="-2"/>
                <w:sz w:val="22"/>
              </w:rPr>
              <w:t>Actual</w:t>
            </w:r>
          </w:p>
        </w:tc>
        <w:tc>
          <w:tcPr>
            <w:tcW w:w="2160" w:type="dxa"/>
            <w:vMerge w:val="restart"/>
            <w:shd w:val="clear" w:color="auto" w:fill="365F92"/>
          </w:tcPr>
          <w:p>
            <w:pPr>
              <w:pStyle w:val="TableParagraph"/>
              <w:spacing w:before="209"/>
              <w:ind w:left="353"/>
              <w:rPr>
                <w:b/>
                <w:sz w:val="22"/>
              </w:rPr>
            </w:pPr>
            <w:r>
              <w:rPr>
                <w:b/>
                <w:sz w:val="22"/>
              </w:rPr>
              <w:t>Periodo</w:t>
            </w:r>
            <w:r>
              <w:rPr>
                <w:b/>
                <w:spacing w:val="-4"/>
                <w:sz w:val="22"/>
              </w:rPr>
              <w:t> </w:t>
            </w:r>
            <w:r>
              <w:rPr>
                <w:b/>
                <w:spacing w:val="-2"/>
                <w:sz w:val="22"/>
              </w:rPr>
              <w:t>Anterior</w:t>
            </w:r>
          </w:p>
        </w:tc>
        <w:tc>
          <w:tcPr>
            <w:tcW w:w="1054" w:type="dxa"/>
            <w:shd w:val="clear" w:color="auto" w:fill="365F92"/>
          </w:tcPr>
          <w:p>
            <w:pPr>
              <w:pStyle w:val="TableParagraph"/>
              <w:spacing w:before="36"/>
              <w:ind w:left="22" w:right="5"/>
              <w:jc w:val="center"/>
              <w:rPr>
                <w:b/>
                <w:sz w:val="22"/>
              </w:rPr>
            </w:pPr>
            <w:r>
              <w:rPr>
                <w:b/>
                <w:spacing w:val="-2"/>
                <w:sz w:val="22"/>
              </w:rPr>
              <w:t>Diferencia</w:t>
            </w:r>
          </w:p>
        </w:tc>
      </w:tr>
      <w:tr>
        <w:trPr>
          <w:trHeight w:val="326" w:hRule="atLeast"/>
        </w:trPr>
        <w:tc>
          <w:tcPr>
            <w:tcW w:w="1128" w:type="dxa"/>
            <w:vMerge/>
            <w:tcBorders>
              <w:top w:val="nil"/>
            </w:tcBorders>
            <w:shd w:val="clear" w:color="auto" w:fill="365F92"/>
          </w:tcPr>
          <w:p>
            <w:pPr>
              <w:rPr>
                <w:sz w:val="2"/>
                <w:szCs w:val="2"/>
              </w:rPr>
            </w:pPr>
          </w:p>
        </w:tc>
        <w:tc>
          <w:tcPr>
            <w:tcW w:w="2060" w:type="dxa"/>
            <w:vMerge/>
            <w:tcBorders>
              <w:top w:val="nil"/>
            </w:tcBorders>
            <w:shd w:val="clear" w:color="auto" w:fill="365F92"/>
          </w:tcPr>
          <w:p>
            <w:pPr>
              <w:rPr>
                <w:sz w:val="2"/>
                <w:szCs w:val="2"/>
              </w:rPr>
            </w:pPr>
          </w:p>
        </w:tc>
        <w:tc>
          <w:tcPr>
            <w:tcW w:w="644" w:type="dxa"/>
            <w:vMerge/>
            <w:tcBorders>
              <w:top w:val="nil"/>
            </w:tcBorders>
            <w:shd w:val="clear" w:color="auto" w:fill="365F92"/>
          </w:tcPr>
          <w:p>
            <w:pPr>
              <w:rPr>
                <w:sz w:val="2"/>
                <w:szCs w:val="2"/>
              </w:rPr>
            </w:pPr>
          </w:p>
        </w:tc>
        <w:tc>
          <w:tcPr>
            <w:tcW w:w="2161" w:type="dxa"/>
            <w:vMerge/>
            <w:tcBorders>
              <w:top w:val="nil"/>
            </w:tcBorders>
            <w:shd w:val="clear" w:color="auto" w:fill="365F92"/>
          </w:tcPr>
          <w:p>
            <w:pPr>
              <w:rPr>
                <w:sz w:val="2"/>
                <w:szCs w:val="2"/>
              </w:rPr>
            </w:pPr>
          </w:p>
        </w:tc>
        <w:tc>
          <w:tcPr>
            <w:tcW w:w="2160" w:type="dxa"/>
            <w:vMerge/>
            <w:tcBorders>
              <w:top w:val="nil"/>
            </w:tcBorders>
            <w:shd w:val="clear" w:color="auto" w:fill="365F92"/>
          </w:tcPr>
          <w:p>
            <w:pPr>
              <w:rPr>
                <w:sz w:val="2"/>
                <w:szCs w:val="2"/>
              </w:rPr>
            </w:pPr>
          </w:p>
        </w:tc>
        <w:tc>
          <w:tcPr>
            <w:tcW w:w="1054" w:type="dxa"/>
            <w:shd w:val="clear" w:color="auto" w:fill="365F92"/>
          </w:tcPr>
          <w:p>
            <w:pPr>
              <w:pStyle w:val="TableParagraph"/>
              <w:spacing w:before="36"/>
              <w:ind w:left="22" w:right="7"/>
              <w:jc w:val="center"/>
              <w:rPr>
                <w:sz w:val="22"/>
              </w:rPr>
            </w:pPr>
            <w:r>
              <w:rPr>
                <w:color w:val="FFFFFF"/>
                <w:spacing w:val="-10"/>
                <w:sz w:val="22"/>
              </w:rPr>
              <w:t>%</w:t>
            </w:r>
          </w:p>
        </w:tc>
      </w:tr>
      <w:tr>
        <w:trPr>
          <w:trHeight w:val="500" w:hRule="atLeast"/>
        </w:trPr>
        <w:tc>
          <w:tcPr>
            <w:tcW w:w="1128" w:type="dxa"/>
          </w:tcPr>
          <w:p>
            <w:pPr>
              <w:pStyle w:val="TableParagraph"/>
              <w:spacing w:before="125"/>
              <w:ind w:left="69"/>
              <w:rPr>
                <w:b/>
                <w:sz w:val="22"/>
              </w:rPr>
            </w:pPr>
            <w:r>
              <w:rPr>
                <w:b/>
                <w:spacing w:val="-2"/>
                <w:sz w:val="22"/>
              </w:rPr>
              <w:t>3.1.5.02.</w:t>
            </w:r>
          </w:p>
        </w:tc>
        <w:tc>
          <w:tcPr>
            <w:tcW w:w="2060" w:type="dxa"/>
          </w:tcPr>
          <w:p>
            <w:pPr>
              <w:pStyle w:val="TableParagraph"/>
              <w:spacing w:line="250" w:lineRule="exact"/>
              <w:ind w:left="69"/>
              <w:rPr>
                <w:b/>
                <w:sz w:val="22"/>
              </w:rPr>
            </w:pPr>
            <w:r>
              <w:rPr>
                <w:b/>
                <w:sz w:val="22"/>
              </w:rPr>
              <w:t>Resultado</w:t>
            </w:r>
            <w:r>
              <w:rPr>
                <w:b/>
                <w:spacing w:val="-4"/>
                <w:sz w:val="22"/>
              </w:rPr>
              <w:t> </w:t>
            </w:r>
            <w:r>
              <w:rPr>
                <w:b/>
                <w:spacing w:val="-5"/>
                <w:sz w:val="22"/>
              </w:rPr>
              <w:t>del</w:t>
            </w:r>
          </w:p>
          <w:p>
            <w:pPr>
              <w:pStyle w:val="TableParagraph"/>
              <w:spacing w:line="230" w:lineRule="exact"/>
              <w:ind w:left="69"/>
              <w:rPr>
                <w:b/>
                <w:sz w:val="22"/>
              </w:rPr>
            </w:pPr>
            <w:r>
              <w:rPr>
                <w:b/>
                <w:spacing w:val="-2"/>
                <w:sz w:val="22"/>
              </w:rPr>
              <w:t>ejercicio</w:t>
            </w:r>
          </w:p>
        </w:tc>
        <w:tc>
          <w:tcPr>
            <w:tcW w:w="644" w:type="dxa"/>
          </w:tcPr>
          <w:p>
            <w:pPr>
              <w:pStyle w:val="TableParagraph"/>
              <w:spacing w:before="125"/>
              <w:ind w:left="212"/>
              <w:rPr>
                <w:b/>
                <w:sz w:val="22"/>
              </w:rPr>
            </w:pPr>
            <w:r>
              <w:rPr>
                <w:b/>
                <w:spacing w:val="-5"/>
                <w:sz w:val="22"/>
              </w:rPr>
              <w:t>28</w:t>
            </w:r>
          </w:p>
        </w:tc>
        <w:tc>
          <w:tcPr>
            <w:tcW w:w="2161" w:type="dxa"/>
          </w:tcPr>
          <w:p>
            <w:pPr>
              <w:pStyle w:val="TableParagraph"/>
              <w:spacing w:before="135"/>
              <w:ind w:left="512"/>
              <w:rPr>
                <w:b/>
                <w:sz w:val="20"/>
              </w:rPr>
            </w:pPr>
            <w:r>
              <w:rPr>
                <w:b/>
                <w:sz w:val="20"/>
              </w:rPr>
              <w:t>14</w:t>
            </w:r>
            <w:r>
              <w:rPr>
                <w:b/>
                <w:spacing w:val="-3"/>
                <w:sz w:val="20"/>
              </w:rPr>
              <w:t> </w:t>
            </w:r>
            <w:r>
              <w:rPr>
                <w:b/>
                <w:sz w:val="20"/>
              </w:rPr>
              <w:t>521</w:t>
            </w:r>
            <w:r>
              <w:rPr>
                <w:b/>
                <w:spacing w:val="-2"/>
                <w:sz w:val="20"/>
              </w:rPr>
              <w:t> 107,15</w:t>
            </w:r>
          </w:p>
        </w:tc>
        <w:tc>
          <w:tcPr>
            <w:tcW w:w="2160" w:type="dxa"/>
          </w:tcPr>
          <w:p>
            <w:pPr>
              <w:pStyle w:val="TableParagraph"/>
              <w:spacing w:before="135"/>
              <w:ind w:left="512"/>
              <w:rPr>
                <w:b/>
                <w:sz w:val="20"/>
              </w:rPr>
            </w:pPr>
            <w:r>
              <w:rPr>
                <w:b/>
                <w:sz w:val="20"/>
              </w:rPr>
              <w:t>22</w:t>
            </w:r>
            <w:r>
              <w:rPr>
                <w:b/>
                <w:spacing w:val="-3"/>
                <w:sz w:val="20"/>
              </w:rPr>
              <w:t> </w:t>
            </w:r>
            <w:r>
              <w:rPr>
                <w:b/>
                <w:sz w:val="20"/>
              </w:rPr>
              <w:t>801</w:t>
            </w:r>
            <w:r>
              <w:rPr>
                <w:b/>
                <w:spacing w:val="-2"/>
                <w:sz w:val="20"/>
              </w:rPr>
              <w:t> 631,78</w:t>
            </w:r>
          </w:p>
        </w:tc>
        <w:tc>
          <w:tcPr>
            <w:tcW w:w="1054" w:type="dxa"/>
          </w:tcPr>
          <w:p>
            <w:pPr>
              <w:pStyle w:val="TableParagraph"/>
              <w:spacing w:before="135"/>
              <w:ind w:left="22" w:right="4"/>
              <w:jc w:val="center"/>
              <w:rPr>
                <w:b/>
                <w:sz w:val="20"/>
              </w:rPr>
            </w:pPr>
            <w:r>
              <w:rPr>
                <w:b/>
                <w:spacing w:val="-2"/>
                <w:sz w:val="20"/>
              </w:rPr>
              <w:t>-36,32%</w:t>
            </w:r>
          </w:p>
        </w:tc>
      </w:tr>
    </w:tbl>
    <w:p>
      <w:pPr>
        <w:pStyle w:val="BodyText"/>
        <w:spacing w:before="21"/>
      </w:pPr>
    </w:p>
    <w:p>
      <w:pPr>
        <w:pStyle w:val="BodyText"/>
        <w:ind w:left="691" w:right="517"/>
        <w:jc w:val="both"/>
      </w:pPr>
      <w:r>
        <w:rPr/>
        <w:t>La</w:t>
      </w:r>
      <w:r>
        <w:rPr>
          <w:spacing w:val="-3"/>
        </w:rPr>
        <w:t> </w:t>
      </w:r>
      <w:r>
        <w:rPr/>
        <w:t>cuenta</w:t>
      </w:r>
      <w:r>
        <w:rPr>
          <w:spacing w:val="-5"/>
        </w:rPr>
        <w:t> </w:t>
      </w:r>
      <w:r>
        <w:rPr/>
        <w:t>Resultados</w:t>
      </w:r>
      <w:r>
        <w:rPr>
          <w:spacing w:val="-4"/>
        </w:rPr>
        <w:t> </w:t>
      </w:r>
      <w:r>
        <w:rPr/>
        <w:t>acumulados,</w:t>
      </w:r>
      <w:r>
        <w:rPr>
          <w:spacing w:val="-5"/>
        </w:rPr>
        <w:t> </w:t>
      </w:r>
      <w:r>
        <w:rPr/>
        <w:t>representa</w:t>
      </w:r>
      <w:r>
        <w:rPr>
          <w:spacing w:val="-2"/>
        </w:rPr>
        <w:t> </w:t>
      </w:r>
      <w:r>
        <w:rPr/>
        <w:t>el</w:t>
      </w:r>
      <w:r>
        <w:rPr>
          <w:spacing w:val="-2"/>
        </w:rPr>
        <w:t> </w:t>
      </w:r>
      <w:r>
        <w:rPr/>
        <w:t>7,59%</w:t>
      </w:r>
      <w:r>
        <w:rPr>
          <w:spacing w:val="-5"/>
        </w:rPr>
        <w:t> </w:t>
      </w:r>
      <w:r>
        <w:rPr/>
        <w:t>del</w:t>
      </w:r>
      <w:r>
        <w:rPr>
          <w:spacing w:val="-2"/>
        </w:rPr>
        <w:t> </w:t>
      </w:r>
      <w:r>
        <w:rPr/>
        <w:t>total</w:t>
      </w:r>
      <w:r>
        <w:rPr>
          <w:spacing w:val="-2"/>
        </w:rPr>
        <w:t> </w:t>
      </w:r>
      <w:r>
        <w:rPr/>
        <w:t>de</w:t>
      </w:r>
      <w:r>
        <w:rPr>
          <w:spacing w:val="-3"/>
        </w:rPr>
        <w:t> </w:t>
      </w:r>
      <w:r>
        <w:rPr/>
        <w:t>Patrimonio,</w:t>
      </w:r>
      <w:r>
        <w:rPr>
          <w:spacing w:val="-5"/>
        </w:rPr>
        <w:t> </w:t>
      </w:r>
      <w:r>
        <w:rPr/>
        <w:t>que</w:t>
      </w:r>
      <w:r>
        <w:rPr>
          <w:spacing w:val="-6"/>
        </w:rPr>
        <w:t> </w:t>
      </w:r>
      <w:r>
        <w:rPr/>
        <w:t>comparado</w:t>
      </w:r>
      <w:r>
        <w:rPr>
          <w:spacing w:val="-4"/>
        </w:rPr>
        <w:t> </w:t>
      </w:r>
      <w:r>
        <w:rPr/>
        <w:t>al</w:t>
      </w:r>
      <w:r>
        <w:rPr>
          <w:spacing w:val="-2"/>
        </w:rPr>
        <w:t> </w:t>
      </w:r>
      <w:r>
        <w:rPr/>
        <w:t>periodo anterior genera una variación absoluta de ¢ -8.280.524,63 que corresponde a un decremento del -36,32%, producto que, los ingresos disminuyeron (-7,39%), y los egresos en -2,43%, lo que genera la disminución del resultado final del ejercicio.</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3936">
                <wp:simplePos x="0" y="0"/>
                <wp:positionH relativeFrom="page">
                  <wp:posOffset>9525</wp:posOffset>
                </wp:positionH>
                <wp:positionV relativeFrom="page">
                  <wp:posOffset>297208</wp:posOffset>
                </wp:positionV>
                <wp:extent cx="7762875" cy="9748520"/>
                <wp:effectExtent l="0" t="0" r="0" b="0"/>
                <wp:wrapNone/>
                <wp:docPr id="883" name="Group 883"/>
                <wp:cNvGraphicFramePr>
                  <a:graphicFrameLocks/>
                </wp:cNvGraphicFramePr>
                <a:graphic>
                  <a:graphicData uri="http://schemas.microsoft.com/office/word/2010/wordprocessingGroup">
                    <wpg:wgp>
                      <wpg:cNvPr id="883" name="Group 883"/>
                      <wpg:cNvGrpSpPr/>
                      <wpg:grpSpPr>
                        <a:xfrm>
                          <a:off x="0" y="0"/>
                          <a:ext cx="7762875" cy="9748520"/>
                          <a:chExt cx="7762875" cy="9748520"/>
                        </a:xfrm>
                      </wpg:grpSpPr>
                      <pic:pic>
                        <pic:nvPicPr>
                          <pic:cNvPr id="884" name="Image 884"/>
                          <pic:cNvPicPr/>
                        </pic:nvPicPr>
                        <pic:blipFill>
                          <a:blip r:embed="rId5" cstate="print"/>
                          <a:stretch>
                            <a:fillRect/>
                          </a:stretch>
                        </pic:blipFill>
                        <pic:spPr>
                          <a:xfrm>
                            <a:off x="0" y="0"/>
                            <a:ext cx="7762874" cy="9748489"/>
                          </a:xfrm>
                          <a:prstGeom prst="rect">
                            <a:avLst/>
                          </a:prstGeom>
                        </pic:spPr>
                      </pic:pic>
                      <wps:wsp>
                        <wps:cNvPr id="885" name="Graphic 88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2544" id="docshapegroup858" coordorigin="15,468" coordsize="12225,15352">
                <v:shape style="position:absolute;left:15;top:468;width:12225;height:15352" type="#_x0000_t75" id="docshape859" stroked="false">
                  <v:imagedata r:id="rId5" o:title=""/>
                </v:shape>
                <v:rect style="position:absolute;left:1673;top:2028;width:8897;height:15" id="docshape86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178</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3"/>
        <w:gridCol w:w="8024"/>
        <w:gridCol w:w="678"/>
      </w:tblGrid>
      <w:tr>
        <w:trPr>
          <w:trHeight w:val="1856" w:hRule="atLeast"/>
        </w:trPr>
        <w:tc>
          <w:tcPr>
            <w:tcW w:w="663" w:type="dxa"/>
            <w:vMerge w:val="restart"/>
            <w:tcBorders>
              <w:bottom w:val="nil"/>
              <w:right w:val="single" w:sz="2" w:space="0" w:color="000000"/>
            </w:tcBorders>
          </w:tcPr>
          <w:p>
            <w:pPr>
              <w:pStyle w:val="TableParagraph"/>
              <w:rPr>
                <w:rFonts w:ascii="Times New Roman"/>
                <w:sz w:val="20"/>
              </w:rPr>
            </w:pPr>
          </w:p>
        </w:tc>
        <w:tc>
          <w:tcPr>
            <w:tcW w:w="8024" w:type="dxa"/>
            <w:tcBorders>
              <w:top w:val="single" w:sz="6" w:space="0" w:color="000000"/>
              <w:left w:val="single" w:sz="2" w:space="0" w:color="000000"/>
              <w:bottom w:val="nil"/>
            </w:tcBorders>
            <w:shd w:val="clear" w:color="auto" w:fill="FFFFFF"/>
          </w:tcPr>
          <w:p>
            <w:pPr>
              <w:pStyle w:val="TableParagraph"/>
              <w:tabs>
                <w:tab w:pos="5558" w:val="left" w:leader="none"/>
                <w:tab w:pos="6795" w:val="left" w:leader="none"/>
              </w:tabs>
              <w:spacing w:before="121"/>
              <w:ind w:left="4032"/>
              <w:rPr>
                <w:rFonts w:ascii="Times New Roman" w:hAnsi="Times New Roman"/>
                <w:b/>
                <w:sz w:val="18"/>
              </w:rPr>
            </w:pPr>
            <w:r>
              <w:rPr>
                <w:rFonts w:ascii="Times New Roman" w:hAnsi="Times New Roman"/>
                <w:b/>
                <w:spacing w:val="-4"/>
                <w:sz w:val="18"/>
                <w:u w:val="single"/>
              </w:rPr>
              <w:t>2026</w:t>
            </w:r>
            <w:r>
              <w:rPr>
                <w:rFonts w:ascii="Times New Roman" w:hAnsi="Times New Roman"/>
                <w:b/>
                <w:sz w:val="18"/>
                <w:u w:val="none"/>
              </w:rPr>
              <w:tab/>
            </w:r>
            <w:r>
              <w:rPr>
                <w:rFonts w:ascii="Times New Roman" w:hAnsi="Times New Roman"/>
                <w:b/>
                <w:spacing w:val="-4"/>
                <w:sz w:val="18"/>
                <w:u w:val="single"/>
              </w:rPr>
              <w:t>2025</w:t>
            </w:r>
            <w:r>
              <w:rPr>
                <w:rFonts w:ascii="Times New Roman" w:hAnsi="Times New Roman"/>
                <w:b/>
                <w:sz w:val="18"/>
                <w:u w:val="none"/>
              </w:rPr>
              <w:tab/>
            </w:r>
            <w:r>
              <w:rPr>
                <w:rFonts w:ascii="Times New Roman" w:hAnsi="Times New Roman"/>
                <w:b/>
                <w:spacing w:val="-2"/>
                <w:sz w:val="18"/>
                <w:u w:val="single"/>
              </w:rPr>
              <w:t>Variación%</w:t>
            </w:r>
          </w:p>
          <w:p>
            <w:pPr>
              <w:pStyle w:val="TableParagraph"/>
              <w:spacing w:before="131"/>
              <w:ind w:left="144"/>
              <w:rPr>
                <w:rFonts w:ascii="Times New Roman"/>
                <w:b/>
                <w:sz w:val="19"/>
              </w:rPr>
            </w:pPr>
            <w:r>
              <w:rPr>
                <w:rFonts w:ascii="Times New Roman"/>
                <w:b/>
                <w:sz w:val="19"/>
              </w:rPr>
              <w:t>Resultado</w:t>
            </w:r>
            <w:r>
              <w:rPr>
                <w:rFonts w:ascii="Times New Roman"/>
                <w:b/>
                <w:spacing w:val="-7"/>
                <w:sz w:val="19"/>
              </w:rPr>
              <w:t> </w:t>
            </w:r>
            <w:r>
              <w:rPr>
                <w:rFonts w:ascii="Times New Roman"/>
                <w:b/>
                <w:sz w:val="19"/>
              </w:rPr>
              <w:t>del</w:t>
            </w:r>
            <w:r>
              <w:rPr>
                <w:rFonts w:ascii="Times New Roman"/>
                <w:b/>
                <w:spacing w:val="-2"/>
                <w:sz w:val="19"/>
              </w:rPr>
              <w:t> periodo</w:t>
            </w:r>
          </w:p>
          <w:p>
            <w:pPr>
              <w:pStyle w:val="TableParagraph"/>
              <w:tabs>
                <w:tab w:pos="3705" w:val="left" w:leader="none"/>
                <w:tab w:pos="5230" w:val="left" w:leader="none"/>
                <w:tab w:pos="7035" w:val="left" w:leader="none"/>
              </w:tabs>
              <w:spacing w:before="31"/>
              <w:ind w:left="144"/>
              <w:rPr>
                <w:rFonts w:ascii="Times New Roman"/>
                <w:sz w:val="16"/>
              </w:rPr>
            </w:pPr>
            <w:r>
              <w:rPr>
                <w:rFonts w:ascii="Times New Roman"/>
                <w:sz w:val="16"/>
              </w:rPr>
              <w:t>Total</w:t>
            </w:r>
            <w:r>
              <w:rPr>
                <w:rFonts w:ascii="Times New Roman"/>
                <w:spacing w:val="-7"/>
                <w:sz w:val="16"/>
              </w:rPr>
              <w:t> </w:t>
            </w:r>
            <w:r>
              <w:rPr>
                <w:rFonts w:ascii="Times New Roman"/>
                <w:spacing w:val="-2"/>
                <w:sz w:val="16"/>
              </w:rPr>
              <w:t>ingresos</w:t>
            </w:r>
            <w:r>
              <w:rPr>
                <w:rFonts w:ascii="Times New Roman"/>
                <w:sz w:val="16"/>
              </w:rPr>
              <w:tab/>
              <w:t>144</w:t>
            </w:r>
            <w:r>
              <w:rPr>
                <w:rFonts w:ascii="Times New Roman"/>
                <w:spacing w:val="1"/>
                <w:sz w:val="16"/>
              </w:rPr>
              <w:t> </w:t>
            </w:r>
            <w:r>
              <w:rPr>
                <w:rFonts w:ascii="Times New Roman"/>
                <w:sz w:val="16"/>
              </w:rPr>
              <w:t>526</w:t>
            </w:r>
            <w:r>
              <w:rPr>
                <w:rFonts w:ascii="Times New Roman"/>
                <w:spacing w:val="2"/>
                <w:sz w:val="16"/>
              </w:rPr>
              <w:t> </w:t>
            </w:r>
            <w:r>
              <w:rPr>
                <w:rFonts w:ascii="Times New Roman"/>
                <w:spacing w:val="-2"/>
                <w:sz w:val="16"/>
              </w:rPr>
              <w:t>846,57</w:t>
            </w:r>
            <w:r>
              <w:rPr>
                <w:rFonts w:ascii="Times New Roman"/>
                <w:sz w:val="16"/>
              </w:rPr>
              <w:tab/>
              <w:t>156</w:t>
            </w:r>
            <w:r>
              <w:rPr>
                <w:rFonts w:ascii="Times New Roman"/>
                <w:spacing w:val="1"/>
                <w:sz w:val="16"/>
              </w:rPr>
              <w:t> </w:t>
            </w:r>
            <w:r>
              <w:rPr>
                <w:rFonts w:ascii="Times New Roman"/>
                <w:sz w:val="16"/>
              </w:rPr>
              <w:t>051</w:t>
            </w:r>
            <w:r>
              <w:rPr>
                <w:rFonts w:ascii="Times New Roman"/>
                <w:spacing w:val="2"/>
                <w:sz w:val="16"/>
              </w:rPr>
              <w:t> </w:t>
            </w:r>
            <w:r>
              <w:rPr>
                <w:rFonts w:ascii="Times New Roman"/>
                <w:spacing w:val="-2"/>
                <w:sz w:val="16"/>
              </w:rPr>
              <w:t>355,96</w:t>
            </w:r>
            <w:r>
              <w:rPr>
                <w:rFonts w:ascii="Times New Roman"/>
                <w:sz w:val="16"/>
              </w:rPr>
              <w:tab/>
            </w:r>
            <w:r>
              <w:rPr>
                <w:rFonts w:ascii="Times New Roman"/>
                <w:spacing w:val="-7"/>
                <w:sz w:val="16"/>
              </w:rPr>
              <w:t>-</w:t>
            </w:r>
            <w:r>
              <w:rPr>
                <w:rFonts w:ascii="Times New Roman"/>
                <w:spacing w:val="-2"/>
                <w:sz w:val="16"/>
              </w:rPr>
              <w:t>7,39%</w:t>
            </w:r>
          </w:p>
          <w:p>
            <w:pPr>
              <w:pStyle w:val="TableParagraph"/>
              <w:spacing w:before="96"/>
              <w:rPr>
                <w:sz w:val="16"/>
              </w:rPr>
            </w:pPr>
          </w:p>
          <w:p>
            <w:pPr>
              <w:pStyle w:val="TableParagraph"/>
              <w:tabs>
                <w:tab w:pos="3705" w:val="left" w:leader="none"/>
                <w:tab w:pos="5230" w:val="left" w:leader="none"/>
                <w:tab w:pos="7035" w:val="left" w:leader="none"/>
              </w:tabs>
              <w:ind w:left="144"/>
              <w:rPr>
                <w:rFonts w:ascii="Times New Roman"/>
                <w:sz w:val="16"/>
              </w:rPr>
            </w:pPr>
            <w:r>
              <w:rPr>
                <w:rFonts w:ascii="Times New Roman"/>
                <w:sz w:val="16"/>
              </w:rPr>
              <w:t>Total</w:t>
            </w:r>
            <w:r>
              <w:rPr>
                <w:rFonts w:ascii="Times New Roman"/>
                <w:spacing w:val="-7"/>
                <w:sz w:val="16"/>
              </w:rPr>
              <w:t> </w:t>
            </w:r>
            <w:r>
              <w:rPr>
                <w:rFonts w:ascii="Times New Roman"/>
                <w:spacing w:val="-2"/>
                <w:sz w:val="16"/>
              </w:rPr>
              <w:t>egresos</w:t>
            </w:r>
            <w:r>
              <w:rPr>
                <w:rFonts w:ascii="Times New Roman"/>
                <w:sz w:val="16"/>
              </w:rPr>
              <w:tab/>
            </w:r>
            <w:r>
              <w:rPr>
                <w:rFonts w:ascii="Times New Roman"/>
                <w:sz w:val="16"/>
                <w:u w:val="single"/>
              </w:rPr>
              <w:t>130</w:t>
            </w:r>
            <w:r>
              <w:rPr>
                <w:rFonts w:ascii="Times New Roman"/>
                <w:spacing w:val="1"/>
                <w:sz w:val="16"/>
                <w:u w:val="single"/>
              </w:rPr>
              <w:t> </w:t>
            </w:r>
            <w:r>
              <w:rPr>
                <w:rFonts w:ascii="Times New Roman"/>
                <w:sz w:val="16"/>
                <w:u w:val="single"/>
              </w:rPr>
              <w:t>005</w:t>
            </w:r>
            <w:r>
              <w:rPr>
                <w:rFonts w:ascii="Times New Roman"/>
                <w:spacing w:val="2"/>
                <w:sz w:val="16"/>
                <w:u w:val="single"/>
              </w:rPr>
              <w:t> </w:t>
            </w:r>
            <w:r>
              <w:rPr>
                <w:rFonts w:ascii="Times New Roman"/>
                <w:spacing w:val="-2"/>
                <w:sz w:val="16"/>
                <w:u w:val="single"/>
              </w:rPr>
              <w:t>739,41</w:t>
            </w:r>
            <w:r>
              <w:rPr>
                <w:rFonts w:ascii="Times New Roman"/>
                <w:sz w:val="16"/>
                <w:u w:val="none"/>
              </w:rPr>
              <w:tab/>
            </w:r>
            <w:r>
              <w:rPr>
                <w:rFonts w:ascii="Times New Roman"/>
                <w:sz w:val="16"/>
                <w:u w:val="single"/>
              </w:rPr>
              <w:t>133</w:t>
            </w:r>
            <w:r>
              <w:rPr>
                <w:rFonts w:ascii="Times New Roman"/>
                <w:spacing w:val="1"/>
                <w:sz w:val="16"/>
                <w:u w:val="single"/>
              </w:rPr>
              <w:t> </w:t>
            </w:r>
            <w:r>
              <w:rPr>
                <w:rFonts w:ascii="Times New Roman"/>
                <w:sz w:val="16"/>
                <w:u w:val="single"/>
              </w:rPr>
              <w:t>249</w:t>
            </w:r>
            <w:r>
              <w:rPr>
                <w:rFonts w:ascii="Times New Roman"/>
                <w:spacing w:val="2"/>
                <w:sz w:val="16"/>
                <w:u w:val="single"/>
              </w:rPr>
              <w:t> </w:t>
            </w:r>
            <w:r>
              <w:rPr>
                <w:rFonts w:ascii="Times New Roman"/>
                <w:spacing w:val="-2"/>
                <w:sz w:val="16"/>
                <w:u w:val="single"/>
              </w:rPr>
              <w:t>724,18</w:t>
            </w:r>
            <w:r>
              <w:rPr>
                <w:rFonts w:ascii="Times New Roman"/>
                <w:sz w:val="16"/>
                <w:u w:val="none"/>
              </w:rPr>
              <w:tab/>
            </w:r>
            <w:r>
              <w:rPr>
                <w:rFonts w:ascii="Times New Roman"/>
                <w:spacing w:val="-7"/>
                <w:sz w:val="16"/>
                <w:u w:val="none"/>
              </w:rPr>
              <w:t>-</w:t>
            </w:r>
            <w:r>
              <w:rPr>
                <w:rFonts w:ascii="Times New Roman"/>
                <w:spacing w:val="-2"/>
                <w:sz w:val="16"/>
                <w:u w:val="none"/>
              </w:rPr>
              <w:t>2,43%</w:t>
            </w:r>
          </w:p>
          <w:p>
            <w:pPr>
              <w:pStyle w:val="TableParagraph"/>
              <w:spacing w:before="102"/>
              <w:rPr>
                <w:sz w:val="16"/>
              </w:rPr>
            </w:pPr>
          </w:p>
          <w:p>
            <w:pPr>
              <w:pStyle w:val="TableParagraph"/>
              <w:tabs>
                <w:tab w:pos="3691" w:val="left" w:leader="none"/>
                <w:tab w:pos="5216" w:val="left" w:leader="none"/>
                <w:tab w:pos="6939" w:val="left" w:leader="none"/>
              </w:tabs>
              <w:spacing w:line="197" w:lineRule="exact"/>
              <w:ind w:left="875"/>
              <w:rPr>
                <w:rFonts w:ascii="Times New Roman"/>
                <w:b/>
                <w:sz w:val="18"/>
              </w:rPr>
            </w:pPr>
            <w:r>
              <w:rPr>
                <w:rFonts w:ascii="Times New Roman"/>
                <w:b/>
                <w:spacing w:val="-2"/>
                <w:sz w:val="18"/>
              </w:rPr>
              <w:t>Resultado</w:t>
            </w:r>
            <w:r>
              <w:rPr>
                <w:rFonts w:ascii="Times New Roman"/>
                <w:b/>
                <w:spacing w:val="-5"/>
                <w:sz w:val="18"/>
              </w:rPr>
              <w:t> </w:t>
            </w:r>
            <w:r>
              <w:rPr>
                <w:rFonts w:ascii="Times New Roman"/>
                <w:b/>
                <w:spacing w:val="-2"/>
                <w:sz w:val="18"/>
              </w:rPr>
              <w:t>del</w:t>
            </w:r>
            <w:r>
              <w:rPr>
                <w:rFonts w:ascii="Times New Roman"/>
                <w:b/>
                <w:sz w:val="18"/>
              </w:rPr>
              <w:t> </w:t>
            </w:r>
            <w:r>
              <w:rPr>
                <w:rFonts w:ascii="Times New Roman"/>
                <w:b/>
                <w:spacing w:val="-2"/>
                <w:sz w:val="18"/>
              </w:rPr>
              <w:t>ejercicio</w:t>
            </w:r>
            <w:r>
              <w:rPr>
                <w:rFonts w:ascii="Times New Roman"/>
                <w:b/>
                <w:sz w:val="18"/>
              </w:rPr>
              <w:tab/>
            </w:r>
            <w:r>
              <w:rPr>
                <w:rFonts w:ascii="Times New Roman"/>
                <w:b/>
                <w:sz w:val="18"/>
                <w:u w:val="single"/>
              </w:rPr>
              <w:t>14</w:t>
            </w:r>
            <w:r>
              <w:rPr>
                <w:rFonts w:ascii="Times New Roman"/>
                <w:b/>
                <w:spacing w:val="-1"/>
                <w:sz w:val="18"/>
                <w:u w:val="single"/>
              </w:rPr>
              <w:t> </w:t>
            </w:r>
            <w:r>
              <w:rPr>
                <w:rFonts w:ascii="Times New Roman"/>
                <w:b/>
                <w:sz w:val="18"/>
                <w:u w:val="single"/>
              </w:rPr>
              <w:t>521</w:t>
            </w:r>
            <w:r>
              <w:rPr>
                <w:rFonts w:ascii="Times New Roman"/>
                <w:b/>
                <w:spacing w:val="-1"/>
                <w:sz w:val="18"/>
                <w:u w:val="single"/>
              </w:rPr>
              <w:t> </w:t>
            </w:r>
            <w:r>
              <w:rPr>
                <w:rFonts w:ascii="Times New Roman"/>
                <w:b/>
                <w:spacing w:val="-2"/>
                <w:sz w:val="18"/>
                <w:u w:val="single"/>
              </w:rPr>
              <w:t>107,15</w:t>
            </w:r>
            <w:r>
              <w:rPr>
                <w:rFonts w:ascii="Times New Roman"/>
                <w:b/>
                <w:sz w:val="18"/>
                <w:u w:val="none"/>
              </w:rPr>
              <w:tab/>
            </w:r>
            <w:r>
              <w:rPr>
                <w:rFonts w:ascii="Times New Roman"/>
                <w:b/>
                <w:sz w:val="18"/>
                <w:u w:val="single"/>
              </w:rPr>
              <w:t>22</w:t>
            </w:r>
            <w:r>
              <w:rPr>
                <w:rFonts w:ascii="Times New Roman"/>
                <w:b/>
                <w:spacing w:val="-1"/>
                <w:sz w:val="18"/>
                <w:u w:val="single"/>
              </w:rPr>
              <w:t> </w:t>
            </w:r>
            <w:r>
              <w:rPr>
                <w:rFonts w:ascii="Times New Roman"/>
                <w:b/>
                <w:sz w:val="18"/>
                <w:u w:val="single"/>
              </w:rPr>
              <w:t>801</w:t>
            </w:r>
            <w:r>
              <w:rPr>
                <w:rFonts w:ascii="Times New Roman"/>
                <w:b/>
                <w:spacing w:val="-1"/>
                <w:sz w:val="18"/>
                <w:u w:val="single"/>
              </w:rPr>
              <w:t> </w:t>
            </w:r>
            <w:r>
              <w:rPr>
                <w:rFonts w:ascii="Times New Roman"/>
                <w:b/>
                <w:spacing w:val="-2"/>
                <w:sz w:val="18"/>
                <w:u w:val="single"/>
              </w:rPr>
              <w:t>631,78</w:t>
            </w:r>
            <w:r>
              <w:rPr>
                <w:rFonts w:ascii="Times New Roman"/>
                <w:b/>
                <w:sz w:val="18"/>
                <w:u w:val="none"/>
              </w:rPr>
              <w:tab/>
            </w:r>
            <w:r>
              <w:rPr>
                <w:rFonts w:ascii="Times New Roman"/>
                <w:b/>
                <w:spacing w:val="-4"/>
                <w:sz w:val="18"/>
                <w:u w:val="single"/>
              </w:rPr>
              <w:t>-</w:t>
            </w:r>
            <w:r>
              <w:rPr>
                <w:rFonts w:ascii="Times New Roman"/>
                <w:b/>
                <w:spacing w:val="-2"/>
                <w:sz w:val="18"/>
                <w:u w:val="single"/>
              </w:rPr>
              <w:t>36,32%</w:t>
            </w:r>
          </w:p>
        </w:tc>
        <w:tc>
          <w:tcPr>
            <w:tcW w:w="678" w:type="dxa"/>
            <w:vMerge w:val="restart"/>
            <w:tcBorders>
              <w:bottom w:val="nil"/>
            </w:tcBorders>
          </w:tcPr>
          <w:p>
            <w:pPr>
              <w:pStyle w:val="TableParagraph"/>
              <w:rPr>
                <w:rFonts w:ascii="Times New Roman"/>
                <w:sz w:val="20"/>
              </w:rPr>
            </w:pPr>
          </w:p>
        </w:tc>
      </w:tr>
      <w:tr>
        <w:trPr>
          <w:trHeight w:val="226" w:hRule="atLeast"/>
        </w:trPr>
        <w:tc>
          <w:tcPr>
            <w:tcW w:w="663" w:type="dxa"/>
            <w:vMerge/>
            <w:tcBorders>
              <w:top w:val="nil"/>
              <w:bottom w:val="nil"/>
              <w:right w:val="single" w:sz="2" w:space="0" w:color="000000"/>
            </w:tcBorders>
          </w:tcPr>
          <w:p>
            <w:pPr>
              <w:rPr>
                <w:sz w:val="2"/>
                <w:szCs w:val="2"/>
              </w:rPr>
            </w:pPr>
          </w:p>
        </w:tc>
        <w:tc>
          <w:tcPr>
            <w:tcW w:w="8024" w:type="dxa"/>
            <w:tcBorders>
              <w:top w:val="nil"/>
              <w:left w:val="single" w:sz="2" w:space="0" w:color="000000"/>
            </w:tcBorders>
          </w:tcPr>
          <w:p>
            <w:pPr>
              <w:pStyle w:val="TableParagraph"/>
              <w:rPr>
                <w:rFonts w:ascii="Times New Roman"/>
                <w:sz w:val="16"/>
              </w:rPr>
            </w:pPr>
          </w:p>
        </w:tc>
        <w:tc>
          <w:tcPr>
            <w:tcW w:w="678" w:type="dxa"/>
            <w:vMerge/>
            <w:tcBorders>
              <w:top w:val="nil"/>
              <w:bottom w:val="nil"/>
            </w:tcBorders>
          </w:tcPr>
          <w:p>
            <w:pPr>
              <w:rPr>
                <w:sz w:val="2"/>
                <w:szCs w:val="2"/>
              </w:rPr>
            </w:pPr>
          </w:p>
        </w:tc>
      </w:tr>
      <w:tr>
        <w:trPr>
          <w:trHeight w:val="6115" w:hRule="atLeast"/>
        </w:trPr>
        <w:tc>
          <w:tcPr>
            <w:tcW w:w="9365" w:type="dxa"/>
            <w:gridSpan w:val="3"/>
            <w:tcBorders>
              <w:top w:val="nil"/>
            </w:tcBorders>
          </w:tcPr>
          <w:p>
            <w:pPr>
              <w:pStyle w:val="TableParagraph"/>
              <w:spacing w:before="250"/>
              <w:ind w:left="69" w:right="55"/>
              <w:jc w:val="both"/>
              <w:rPr>
                <w:sz w:val="22"/>
              </w:rPr>
            </w:pPr>
            <w:r>
              <w:rPr>
                <w:sz w:val="22"/>
              </w:rPr>
              <w:t>Durante el período 2026, la Institución obtuvo un resultado del ejercicio de </w:t>
            </w:r>
            <w:r>
              <w:rPr>
                <w:rFonts w:ascii="Times New Roman" w:hAnsi="Times New Roman"/>
                <w:sz w:val="22"/>
              </w:rPr>
              <w:t>₡</w:t>
            </w:r>
            <w:r>
              <w:rPr>
                <w:sz w:val="22"/>
              </w:rPr>
              <w:t>14.521,11 millones, cifra inferior</w:t>
            </w:r>
            <w:r>
              <w:rPr>
                <w:spacing w:val="-7"/>
                <w:sz w:val="22"/>
              </w:rPr>
              <w:t> </w:t>
            </w:r>
            <w:r>
              <w:rPr>
                <w:sz w:val="22"/>
              </w:rPr>
              <w:t>en</w:t>
            </w:r>
            <w:r>
              <w:rPr>
                <w:spacing w:val="-7"/>
                <w:sz w:val="22"/>
              </w:rPr>
              <w:t> </w:t>
            </w:r>
            <w:r>
              <w:rPr>
                <w:rFonts w:ascii="Times New Roman" w:hAnsi="Times New Roman"/>
                <w:sz w:val="22"/>
              </w:rPr>
              <w:t>₡</w:t>
            </w:r>
            <w:r>
              <w:rPr>
                <w:rFonts w:ascii="Times New Roman" w:hAnsi="Times New Roman"/>
                <w:spacing w:val="-8"/>
                <w:sz w:val="22"/>
              </w:rPr>
              <w:t> </w:t>
            </w:r>
            <w:r>
              <w:rPr>
                <w:rFonts w:ascii="Times New Roman" w:hAnsi="Times New Roman"/>
                <w:sz w:val="22"/>
              </w:rPr>
              <w:t>8.280,52</w:t>
            </w:r>
            <w:r>
              <w:rPr>
                <w:rFonts w:ascii="Times New Roman" w:hAnsi="Times New Roman"/>
                <w:spacing w:val="-9"/>
                <w:sz w:val="22"/>
              </w:rPr>
              <w:t> </w:t>
            </w:r>
            <w:r>
              <w:rPr>
                <w:sz w:val="22"/>
              </w:rPr>
              <w:t>millones</w:t>
            </w:r>
            <w:r>
              <w:rPr>
                <w:spacing w:val="-6"/>
                <w:sz w:val="22"/>
              </w:rPr>
              <w:t> </w:t>
            </w:r>
            <w:r>
              <w:rPr>
                <w:sz w:val="22"/>
              </w:rPr>
              <w:t>respecto</w:t>
            </w:r>
            <w:r>
              <w:rPr>
                <w:spacing w:val="-6"/>
                <w:sz w:val="22"/>
              </w:rPr>
              <w:t> </w:t>
            </w:r>
            <w:r>
              <w:rPr>
                <w:sz w:val="22"/>
              </w:rPr>
              <w:t>al</w:t>
            </w:r>
            <w:r>
              <w:rPr>
                <w:spacing w:val="-10"/>
                <w:sz w:val="22"/>
              </w:rPr>
              <w:t> </w:t>
            </w:r>
            <w:r>
              <w:rPr>
                <w:sz w:val="22"/>
              </w:rPr>
              <w:t>superávit</w:t>
            </w:r>
            <w:r>
              <w:rPr>
                <w:spacing w:val="-7"/>
                <w:sz w:val="22"/>
              </w:rPr>
              <w:t> </w:t>
            </w:r>
            <w:r>
              <w:rPr>
                <w:sz w:val="22"/>
              </w:rPr>
              <w:t>registrado</w:t>
            </w:r>
            <w:r>
              <w:rPr>
                <w:spacing w:val="-7"/>
                <w:sz w:val="22"/>
              </w:rPr>
              <w:t> </w:t>
            </w:r>
            <w:r>
              <w:rPr>
                <w:sz w:val="22"/>
              </w:rPr>
              <w:t>en</w:t>
            </w:r>
            <w:r>
              <w:rPr>
                <w:spacing w:val="-7"/>
                <w:sz w:val="22"/>
              </w:rPr>
              <w:t> </w:t>
            </w:r>
            <w:r>
              <w:rPr>
                <w:sz w:val="22"/>
              </w:rPr>
              <w:t>2025,</w:t>
            </w:r>
            <w:r>
              <w:rPr>
                <w:spacing w:val="-7"/>
                <w:sz w:val="22"/>
              </w:rPr>
              <w:t> </w:t>
            </w:r>
            <w:r>
              <w:rPr>
                <w:sz w:val="22"/>
              </w:rPr>
              <w:t>equivalente</w:t>
            </w:r>
            <w:r>
              <w:rPr>
                <w:spacing w:val="-10"/>
                <w:sz w:val="22"/>
              </w:rPr>
              <w:t> </w:t>
            </w:r>
            <w:r>
              <w:rPr>
                <w:sz w:val="22"/>
              </w:rPr>
              <w:t>a</w:t>
            </w:r>
            <w:r>
              <w:rPr>
                <w:spacing w:val="-8"/>
                <w:sz w:val="22"/>
              </w:rPr>
              <w:t> </w:t>
            </w:r>
            <w:r>
              <w:rPr>
                <w:sz w:val="22"/>
              </w:rPr>
              <w:t>una</w:t>
            </w:r>
            <w:r>
              <w:rPr>
                <w:spacing w:val="-8"/>
                <w:sz w:val="22"/>
              </w:rPr>
              <w:t> </w:t>
            </w:r>
            <w:r>
              <w:rPr>
                <w:sz w:val="22"/>
              </w:rPr>
              <w:t>disminución</w:t>
            </w:r>
            <w:r>
              <w:rPr>
                <w:spacing w:val="-7"/>
                <w:sz w:val="22"/>
              </w:rPr>
              <w:t> </w:t>
            </w:r>
            <w:r>
              <w:rPr>
                <w:sz w:val="22"/>
              </w:rPr>
              <w:t>del </w:t>
            </w:r>
            <w:r>
              <w:rPr>
                <w:spacing w:val="-2"/>
                <w:sz w:val="22"/>
              </w:rPr>
              <w:t>36,32%.</w:t>
            </w:r>
          </w:p>
          <w:p>
            <w:pPr>
              <w:pStyle w:val="TableParagraph"/>
              <w:spacing w:before="2"/>
              <w:ind w:left="69" w:right="56"/>
              <w:jc w:val="both"/>
              <w:rPr>
                <w:sz w:val="22"/>
              </w:rPr>
            </w:pPr>
            <w:r>
              <w:rPr>
                <w:sz w:val="22"/>
              </w:rPr>
              <w:t>La</w:t>
            </w:r>
            <w:r>
              <w:rPr>
                <w:spacing w:val="-4"/>
                <w:sz w:val="22"/>
              </w:rPr>
              <w:t> </w:t>
            </w:r>
            <w:r>
              <w:rPr>
                <w:sz w:val="22"/>
              </w:rPr>
              <w:t>reducción</w:t>
            </w:r>
            <w:r>
              <w:rPr>
                <w:spacing w:val="-3"/>
                <w:sz w:val="22"/>
              </w:rPr>
              <w:t> </w:t>
            </w:r>
            <w:r>
              <w:rPr>
                <w:sz w:val="22"/>
              </w:rPr>
              <w:t>del</w:t>
            </w:r>
            <w:r>
              <w:rPr>
                <w:spacing w:val="-3"/>
                <w:sz w:val="22"/>
              </w:rPr>
              <w:t> </w:t>
            </w:r>
            <w:r>
              <w:rPr>
                <w:sz w:val="22"/>
              </w:rPr>
              <w:t>resultado</w:t>
            </w:r>
            <w:r>
              <w:rPr>
                <w:spacing w:val="-7"/>
                <w:sz w:val="22"/>
              </w:rPr>
              <w:t> </w:t>
            </w:r>
            <w:r>
              <w:rPr>
                <w:sz w:val="22"/>
              </w:rPr>
              <w:t>del</w:t>
            </w:r>
            <w:r>
              <w:rPr>
                <w:spacing w:val="-3"/>
                <w:sz w:val="22"/>
              </w:rPr>
              <w:t> </w:t>
            </w:r>
            <w:r>
              <w:rPr>
                <w:sz w:val="22"/>
              </w:rPr>
              <w:t>ejercicio</w:t>
            </w:r>
            <w:r>
              <w:rPr>
                <w:spacing w:val="-3"/>
                <w:sz w:val="22"/>
              </w:rPr>
              <w:t> </w:t>
            </w:r>
            <w:r>
              <w:rPr>
                <w:sz w:val="22"/>
              </w:rPr>
              <w:t>se</w:t>
            </w:r>
            <w:r>
              <w:rPr>
                <w:spacing w:val="-4"/>
                <w:sz w:val="22"/>
              </w:rPr>
              <w:t> </w:t>
            </w:r>
            <w:r>
              <w:rPr>
                <w:sz w:val="22"/>
              </w:rPr>
              <w:t>explica</w:t>
            </w:r>
            <w:r>
              <w:rPr>
                <w:spacing w:val="-4"/>
                <w:sz w:val="22"/>
              </w:rPr>
              <w:t> </w:t>
            </w:r>
            <w:r>
              <w:rPr>
                <w:sz w:val="22"/>
              </w:rPr>
              <w:t>principalmente</w:t>
            </w:r>
            <w:r>
              <w:rPr>
                <w:spacing w:val="-3"/>
                <w:sz w:val="22"/>
              </w:rPr>
              <w:t> </w:t>
            </w:r>
            <w:r>
              <w:rPr>
                <w:sz w:val="22"/>
              </w:rPr>
              <w:t>por</w:t>
            </w:r>
            <w:r>
              <w:rPr>
                <w:spacing w:val="-6"/>
                <w:sz w:val="22"/>
              </w:rPr>
              <w:t> </w:t>
            </w:r>
            <w:r>
              <w:rPr>
                <w:sz w:val="22"/>
              </w:rPr>
              <w:t>el</w:t>
            </w:r>
            <w:r>
              <w:rPr>
                <w:spacing w:val="-3"/>
                <w:sz w:val="22"/>
              </w:rPr>
              <w:t> </w:t>
            </w:r>
            <w:r>
              <w:rPr>
                <w:sz w:val="22"/>
              </w:rPr>
              <w:t>comportamiento</w:t>
            </w:r>
            <w:r>
              <w:rPr>
                <w:spacing w:val="-4"/>
                <w:sz w:val="22"/>
              </w:rPr>
              <w:t> </w:t>
            </w:r>
            <w:r>
              <w:rPr>
                <w:sz w:val="22"/>
              </w:rPr>
              <w:t>de</w:t>
            </w:r>
            <w:r>
              <w:rPr>
                <w:spacing w:val="-5"/>
                <w:sz w:val="22"/>
              </w:rPr>
              <w:t> </w:t>
            </w:r>
            <w:r>
              <w:rPr>
                <w:sz w:val="22"/>
              </w:rPr>
              <w:t>los</w:t>
            </w:r>
            <w:r>
              <w:rPr>
                <w:spacing w:val="-2"/>
                <w:sz w:val="22"/>
              </w:rPr>
              <w:t> </w:t>
            </w:r>
            <w:r>
              <w:rPr>
                <w:sz w:val="22"/>
              </w:rPr>
              <w:t>ingresos</w:t>
            </w:r>
            <w:r>
              <w:rPr>
                <w:spacing w:val="-5"/>
                <w:sz w:val="22"/>
              </w:rPr>
              <w:t> </w:t>
            </w:r>
            <w:r>
              <w:rPr>
                <w:sz w:val="22"/>
              </w:rPr>
              <w:t>y </w:t>
            </w:r>
            <w:r>
              <w:rPr>
                <w:spacing w:val="-2"/>
                <w:sz w:val="22"/>
              </w:rPr>
              <w:t>egresos:</w:t>
            </w:r>
          </w:p>
          <w:p>
            <w:pPr>
              <w:pStyle w:val="TableParagraph"/>
              <w:spacing w:line="250" w:lineRule="exact"/>
              <w:ind w:left="69"/>
              <w:rPr>
                <w:sz w:val="22"/>
              </w:rPr>
            </w:pPr>
            <w:r>
              <w:rPr>
                <w:spacing w:val="-2"/>
                <w:sz w:val="22"/>
                <w:u w:val="single"/>
              </w:rPr>
              <w:t>Ingresos</w:t>
            </w:r>
          </w:p>
          <w:p>
            <w:pPr>
              <w:pStyle w:val="TableParagraph"/>
              <w:spacing w:line="262" w:lineRule="exact"/>
              <w:ind w:left="69"/>
              <w:rPr>
                <w:sz w:val="22"/>
              </w:rPr>
            </w:pPr>
            <w:r>
              <w:rPr>
                <w:sz w:val="22"/>
              </w:rPr>
              <w:t>Los</w:t>
            </w:r>
            <w:r>
              <w:rPr>
                <w:spacing w:val="38"/>
                <w:sz w:val="22"/>
              </w:rPr>
              <w:t> </w:t>
            </w:r>
            <w:r>
              <w:rPr>
                <w:sz w:val="22"/>
              </w:rPr>
              <w:t>ingresos</w:t>
            </w:r>
            <w:r>
              <w:rPr>
                <w:spacing w:val="40"/>
                <w:sz w:val="22"/>
              </w:rPr>
              <w:t> </w:t>
            </w:r>
            <w:r>
              <w:rPr>
                <w:sz w:val="22"/>
              </w:rPr>
              <w:t>totales</w:t>
            </w:r>
            <w:r>
              <w:rPr>
                <w:spacing w:val="41"/>
                <w:sz w:val="22"/>
              </w:rPr>
              <w:t> </w:t>
            </w:r>
            <w:r>
              <w:rPr>
                <w:sz w:val="22"/>
              </w:rPr>
              <w:t>ascendieron</w:t>
            </w:r>
            <w:r>
              <w:rPr>
                <w:spacing w:val="39"/>
                <w:sz w:val="22"/>
              </w:rPr>
              <w:t> </w:t>
            </w:r>
            <w:r>
              <w:rPr>
                <w:sz w:val="22"/>
              </w:rPr>
              <w:t>a</w:t>
            </w:r>
            <w:r>
              <w:rPr>
                <w:spacing w:val="40"/>
                <w:sz w:val="22"/>
              </w:rPr>
              <w:t> </w:t>
            </w:r>
            <w:r>
              <w:rPr>
                <w:rFonts w:ascii="Times New Roman" w:hAnsi="Times New Roman"/>
                <w:sz w:val="22"/>
              </w:rPr>
              <w:t>₡</w:t>
            </w:r>
            <w:r>
              <w:rPr>
                <w:sz w:val="22"/>
              </w:rPr>
              <w:t>144.526,85</w:t>
            </w:r>
            <w:r>
              <w:rPr>
                <w:spacing w:val="41"/>
                <w:sz w:val="22"/>
              </w:rPr>
              <w:t> </w:t>
            </w:r>
            <w:r>
              <w:rPr>
                <w:sz w:val="22"/>
              </w:rPr>
              <w:t>millones</w:t>
            </w:r>
            <w:r>
              <w:rPr>
                <w:spacing w:val="40"/>
                <w:sz w:val="22"/>
              </w:rPr>
              <w:t> </w:t>
            </w:r>
            <w:r>
              <w:rPr>
                <w:sz w:val="22"/>
              </w:rPr>
              <w:t>en</w:t>
            </w:r>
            <w:r>
              <w:rPr>
                <w:spacing w:val="40"/>
                <w:sz w:val="22"/>
              </w:rPr>
              <w:t> </w:t>
            </w:r>
            <w:r>
              <w:rPr>
                <w:sz w:val="22"/>
              </w:rPr>
              <w:t>2026,</w:t>
            </w:r>
            <w:r>
              <w:rPr>
                <w:spacing w:val="39"/>
                <w:sz w:val="22"/>
              </w:rPr>
              <w:t> </w:t>
            </w:r>
            <w:r>
              <w:rPr>
                <w:sz w:val="22"/>
              </w:rPr>
              <w:t>mientras</w:t>
            </w:r>
            <w:r>
              <w:rPr>
                <w:spacing w:val="40"/>
                <w:sz w:val="22"/>
              </w:rPr>
              <w:t> </w:t>
            </w:r>
            <w:r>
              <w:rPr>
                <w:sz w:val="22"/>
              </w:rPr>
              <w:t>que</w:t>
            </w:r>
            <w:r>
              <w:rPr>
                <w:spacing w:val="39"/>
                <w:sz w:val="22"/>
              </w:rPr>
              <w:t> </w:t>
            </w:r>
            <w:r>
              <w:rPr>
                <w:sz w:val="22"/>
              </w:rPr>
              <w:t>en</w:t>
            </w:r>
            <w:r>
              <w:rPr>
                <w:spacing w:val="39"/>
                <w:sz w:val="22"/>
              </w:rPr>
              <w:t> </w:t>
            </w:r>
            <w:r>
              <w:rPr>
                <w:sz w:val="22"/>
              </w:rPr>
              <w:t>2025</w:t>
            </w:r>
            <w:r>
              <w:rPr>
                <w:spacing w:val="41"/>
                <w:sz w:val="22"/>
              </w:rPr>
              <w:t> </w:t>
            </w:r>
            <w:r>
              <w:rPr>
                <w:spacing w:val="-2"/>
                <w:sz w:val="22"/>
              </w:rPr>
              <w:t>alcanzaron</w:t>
            </w:r>
          </w:p>
          <w:p>
            <w:pPr>
              <w:pStyle w:val="TableParagraph"/>
              <w:ind w:left="69" w:right="56"/>
              <w:jc w:val="both"/>
              <w:rPr>
                <w:sz w:val="22"/>
              </w:rPr>
            </w:pPr>
            <w:r>
              <w:rPr>
                <w:rFonts w:ascii="Times New Roman" w:hAnsi="Times New Roman"/>
                <w:sz w:val="22"/>
              </w:rPr>
              <w:t>₡</w:t>
            </w:r>
            <w:r>
              <w:rPr>
                <w:sz w:val="22"/>
              </w:rPr>
              <w:t>156.051,36</w:t>
            </w:r>
            <w:r>
              <w:rPr>
                <w:spacing w:val="-6"/>
                <w:sz w:val="22"/>
              </w:rPr>
              <w:t> </w:t>
            </w:r>
            <w:r>
              <w:rPr>
                <w:sz w:val="22"/>
              </w:rPr>
              <w:t>millones,</w:t>
            </w:r>
            <w:r>
              <w:rPr>
                <w:spacing w:val="-6"/>
                <w:sz w:val="22"/>
              </w:rPr>
              <w:t> </w:t>
            </w:r>
            <w:r>
              <w:rPr>
                <w:sz w:val="22"/>
              </w:rPr>
              <w:t>lo</w:t>
            </w:r>
            <w:r>
              <w:rPr>
                <w:spacing w:val="-8"/>
                <w:sz w:val="22"/>
              </w:rPr>
              <w:t> </w:t>
            </w:r>
            <w:r>
              <w:rPr>
                <w:sz w:val="22"/>
              </w:rPr>
              <w:t>que</w:t>
            </w:r>
            <w:r>
              <w:rPr>
                <w:spacing w:val="-7"/>
                <w:sz w:val="22"/>
              </w:rPr>
              <w:t> </w:t>
            </w:r>
            <w:r>
              <w:rPr>
                <w:sz w:val="22"/>
              </w:rPr>
              <w:t>representa</w:t>
            </w:r>
            <w:r>
              <w:rPr>
                <w:spacing w:val="-6"/>
                <w:sz w:val="22"/>
              </w:rPr>
              <w:t> </w:t>
            </w:r>
            <w:r>
              <w:rPr>
                <w:sz w:val="22"/>
              </w:rPr>
              <w:t>una</w:t>
            </w:r>
            <w:r>
              <w:rPr>
                <w:spacing w:val="-6"/>
                <w:sz w:val="22"/>
              </w:rPr>
              <w:t> </w:t>
            </w:r>
            <w:r>
              <w:rPr>
                <w:sz w:val="22"/>
              </w:rPr>
              <w:t>disminución</w:t>
            </w:r>
            <w:r>
              <w:rPr>
                <w:spacing w:val="-5"/>
                <w:sz w:val="22"/>
              </w:rPr>
              <w:t> </w:t>
            </w:r>
            <w:r>
              <w:rPr>
                <w:sz w:val="22"/>
              </w:rPr>
              <w:t>de</w:t>
            </w:r>
            <w:r>
              <w:rPr>
                <w:spacing w:val="-7"/>
                <w:sz w:val="22"/>
              </w:rPr>
              <w:t> </w:t>
            </w:r>
            <w:r>
              <w:rPr>
                <w:rFonts w:ascii="Times New Roman" w:hAnsi="Times New Roman"/>
                <w:sz w:val="22"/>
              </w:rPr>
              <w:t>₡</w:t>
            </w:r>
            <w:r>
              <w:rPr>
                <w:sz w:val="22"/>
              </w:rPr>
              <w:t>11.524,51</w:t>
            </w:r>
            <w:r>
              <w:rPr>
                <w:spacing w:val="-6"/>
                <w:sz w:val="22"/>
              </w:rPr>
              <w:t> </w:t>
            </w:r>
            <w:r>
              <w:rPr>
                <w:sz w:val="22"/>
              </w:rPr>
              <w:t>millones</w:t>
            </w:r>
            <w:r>
              <w:rPr>
                <w:spacing w:val="-7"/>
                <w:sz w:val="22"/>
              </w:rPr>
              <w:t> </w:t>
            </w:r>
            <w:r>
              <w:rPr>
                <w:sz w:val="22"/>
              </w:rPr>
              <w:t>(-7,39%).</w:t>
            </w:r>
            <w:r>
              <w:rPr>
                <w:spacing w:val="-7"/>
                <w:sz w:val="22"/>
              </w:rPr>
              <w:t> </w:t>
            </w:r>
            <w:r>
              <w:rPr>
                <w:sz w:val="22"/>
              </w:rPr>
              <w:t>Esta</w:t>
            </w:r>
            <w:r>
              <w:rPr>
                <w:spacing w:val="-6"/>
                <w:sz w:val="22"/>
              </w:rPr>
              <w:t> </w:t>
            </w:r>
            <w:r>
              <w:rPr>
                <w:sz w:val="22"/>
              </w:rPr>
              <w:t>variación refleja una menor generación o captación de recursos durante el período, constituyéndose en el principal factor que impactó negativamente el resultado del ejercicio.</w:t>
            </w:r>
          </w:p>
          <w:p>
            <w:pPr>
              <w:pStyle w:val="TableParagraph"/>
              <w:spacing w:before="1"/>
              <w:rPr>
                <w:sz w:val="22"/>
              </w:rPr>
            </w:pPr>
          </w:p>
          <w:p>
            <w:pPr>
              <w:pStyle w:val="TableParagraph"/>
              <w:spacing w:line="251" w:lineRule="exact" w:before="1"/>
              <w:ind w:left="69"/>
              <w:rPr>
                <w:sz w:val="22"/>
              </w:rPr>
            </w:pPr>
            <w:r>
              <w:rPr>
                <w:spacing w:val="-2"/>
                <w:sz w:val="22"/>
                <w:u w:val="single"/>
              </w:rPr>
              <w:t>Egresos</w:t>
            </w:r>
          </w:p>
          <w:p>
            <w:pPr>
              <w:pStyle w:val="TableParagraph"/>
              <w:spacing w:line="262" w:lineRule="exact"/>
              <w:ind w:left="69"/>
              <w:rPr>
                <w:sz w:val="22"/>
              </w:rPr>
            </w:pPr>
            <w:r>
              <w:rPr>
                <w:sz w:val="22"/>
              </w:rPr>
              <w:t>Por</w:t>
            </w:r>
            <w:r>
              <w:rPr>
                <w:spacing w:val="52"/>
                <w:sz w:val="22"/>
              </w:rPr>
              <w:t> </w:t>
            </w:r>
            <w:r>
              <w:rPr>
                <w:sz w:val="22"/>
              </w:rPr>
              <w:t>su</w:t>
            </w:r>
            <w:r>
              <w:rPr>
                <w:spacing w:val="53"/>
                <w:sz w:val="22"/>
              </w:rPr>
              <w:t> </w:t>
            </w:r>
            <w:r>
              <w:rPr>
                <w:sz w:val="22"/>
              </w:rPr>
              <w:t>parte,</w:t>
            </w:r>
            <w:r>
              <w:rPr>
                <w:spacing w:val="53"/>
                <w:sz w:val="22"/>
              </w:rPr>
              <w:t> </w:t>
            </w:r>
            <w:r>
              <w:rPr>
                <w:sz w:val="22"/>
              </w:rPr>
              <w:t>los</w:t>
            </w:r>
            <w:r>
              <w:rPr>
                <w:spacing w:val="55"/>
                <w:sz w:val="22"/>
              </w:rPr>
              <w:t> </w:t>
            </w:r>
            <w:r>
              <w:rPr>
                <w:sz w:val="22"/>
              </w:rPr>
              <w:t>egresos</w:t>
            </w:r>
            <w:r>
              <w:rPr>
                <w:spacing w:val="52"/>
                <w:sz w:val="22"/>
              </w:rPr>
              <w:t> </w:t>
            </w:r>
            <w:r>
              <w:rPr>
                <w:sz w:val="22"/>
              </w:rPr>
              <w:t>totales</w:t>
            </w:r>
            <w:r>
              <w:rPr>
                <w:spacing w:val="54"/>
                <w:sz w:val="22"/>
              </w:rPr>
              <w:t> </w:t>
            </w:r>
            <w:r>
              <w:rPr>
                <w:sz w:val="22"/>
              </w:rPr>
              <w:t>registraron</w:t>
            </w:r>
            <w:r>
              <w:rPr>
                <w:spacing w:val="54"/>
                <w:sz w:val="22"/>
              </w:rPr>
              <w:t> </w:t>
            </w:r>
            <w:r>
              <w:rPr>
                <w:sz w:val="22"/>
              </w:rPr>
              <w:t>un</w:t>
            </w:r>
            <w:r>
              <w:rPr>
                <w:spacing w:val="51"/>
                <w:sz w:val="22"/>
              </w:rPr>
              <w:t> </w:t>
            </w:r>
            <w:r>
              <w:rPr>
                <w:sz w:val="22"/>
              </w:rPr>
              <w:t>monto</w:t>
            </w:r>
            <w:r>
              <w:rPr>
                <w:spacing w:val="54"/>
                <w:sz w:val="22"/>
              </w:rPr>
              <w:t> </w:t>
            </w:r>
            <w:r>
              <w:rPr>
                <w:sz w:val="22"/>
              </w:rPr>
              <w:t>de</w:t>
            </w:r>
            <w:r>
              <w:rPr>
                <w:spacing w:val="56"/>
                <w:sz w:val="22"/>
              </w:rPr>
              <w:t> </w:t>
            </w:r>
            <w:r>
              <w:rPr>
                <w:rFonts w:ascii="Times New Roman" w:hAnsi="Times New Roman"/>
                <w:sz w:val="22"/>
              </w:rPr>
              <w:t>₡</w:t>
            </w:r>
            <w:r>
              <w:rPr>
                <w:sz w:val="22"/>
              </w:rPr>
              <w:t>130.005,74</w:t>
            </w:r>
            <w:r>
              <w:rPr>
                <w:spacing w:val="53"/>
                <w:sz w:val="22"/>
              </w:rPr>
              <w:t> </w:t>
            </w:r>
            <w:r>
              <w:rPr>
                <w:sz w:val="22"/>
              </w:rPr>
              <w:t>millones</w:t>
            </w:r>
            <w:r>
              <w:rPr>
                <w:spacing w:val="54"/>
                <w:sz w:val="22"/>
              </w:rPr>
              <w:t> </w:t>
            </w:r>
            <w:r>
              <w:rPr>
                <w:sz w:val="22"/>
              </w:rPr>
              <w:t>en</w:t>
            </w:r>
            <w:r>
              <w:rPr>
                <w:spacing w:val="54"/>
                <w:sz w:val="22"/>
              </w:rPr>
              <w:t> </w:t>
            </w:r>
            <w:r>
              <w:rPr>
                <w:sz w:val="22"/>
              </w:rPr>
              <w:t>2026,</w:t>
            </w:r>
            <w:r>
              <w:rPr>
                <w:spacing w:val="53"/>
                <w:sz w:val="22"/>
              </w:rPr>
              <w:t> </w:t>
            </w:r>
            <w:r>
              <w:rPr>
                <w:sz w:val="22"/>
              </w:rPr>
              <w:t>frente</w:t>
            </w:r>
            <w:r>
              <w:rPr>
                <w:spacing w:val="50"/>
                <w:sz w:val="22"/>
              </w:rPr>
              <w:t> </w:t>
            </w:r>
            <w:r>
              <w:rPr>
                <w:spacing w:val="-10"/>
                <w:sz w:val="22"/>
              </w:rPr>
              <w:t>a</w:t>
            </w:r>
          </w:p>
          <w:p>
            <w:pPr>
              <w:pStyle w:val="TableParagraph"/>
              <w:ind w:left="69" w:right="57"/>
              <w:jc w:val="both"/>
              <w:rPr>
                <w:sz w:val="22"/>
              </w:rPr>
            </w:pPr>
            <w:r>
              <w:rPr>
                <w:rFonts w:ascii="Times New Roman" w:hAnsi="Times New Roman"/>
                <w:sz w:val="22"/>
              </w:rPr>
              <w:t>₡</w:t>
            </w:r>
            <w:r>
              <w:rPr>
                <w:sz w:val="22"/>
              </w:rPr>
              <w:t>133.249,72</w:t>
            </w:r>
            <w:r>
              <w:rPr>
                <w:spacing w:val="-9"/>
                <w:sz w:val="22"/>
              </w:rPr>
              <w:t> </w:t>
            </w:r>
            <w:r>
              <w:rPr>
                <w:sz w:val="22"/>
              </w:rPr>
              <w:t>millones</w:t>
            </w:r>
            <w:r>
              <w:rPr>
                <w:spacing w:val="-7"/>
                <w:sz w:val="22"/>
              </w:rPr>
              <w:t> </w:t>
            </w:r>
            <w:r>
              <w:rPr>
                <w:sz w:val="22"/>
              </w:rPr>
              <w:t>en</w:t>
            </w:r>
            <w:r>
              <w:rPr>
                <w:spacing w:val="-8"/>
                <w:sz w:val="22"/>
              </w:rPr>
              <w:t> </w:t>
            </w:r>
            <w:r>
              <w:rPr>
                <w:sz w:val="22"/>
              </w:rPr>
              <w:t>2025,</w:t>
            </w:r>
            <w:r>
              <w:rPr>
                <w:spacing w:val="-8"/>
                <w:sz w:val="22"/>
              </w:rPr>
              <w:t> </w:t>
            </w:r>
            <w:r>
              <w:rPr>
                <w:sz w:val="22"/>
              </w:rPr>
              <w:t>mostrando</w:t>
            </w:r>
            <w:r>
              <w:rPr>
                <w:spacing w:val="-8"/>
                <w:sz w:val="22"/>
              </w:rPr>
              <w:t> </w:t>
            </w:r>
            <w:r>
              <w:rPr>
                <w:sz w:val="22"/>
              </w:rPr>
              <w:t>una</w:t>
            </w:r>
            <w:r>
              <w:rPr>
                <w:spacing w:val="-9"/>
                <w:sz w:val="22"/>
              </w:rPr>
              <w:t> </w:t>
            </w:r>
            <w:r>
              <w:rPr>
                <w:sz w:val="22"/>
              </w:rPr>
              <w:t>reducción</w:t>
            </w:r>
            <w:r>
              <w:rPr>
                <w:spacing w:val="-8"/>
                <w:sz w:val="22"/>
              </w:rPr>
              <w:t> </w:t>
            </w:r>
            <w:r>
              <w:rPr>
                <w:sz w:val="22"/>
              </w:rPr>
              <w:t>de</w:t>
            </w:r>
            <w:r>
              <w:rPr>
                <w:spacing w:val="-10"/>
                <w:sz w:val="22"/>
              </w:rPr>
              <w:t> </w:t>
            </w:r>
            <w:r>
              <w:rPr>
                <w:rFonts w:ascii="Times New Roman" w:hAnsi="Times New Roman"/>
                <w:sz w:val="22"/>
              </w:rPr>
              <w:t>₡</w:t>
            </w:r>
            <w:r>
              <w:rPr>
                <w:sz w:val="22"/>
              </w:rPr>
              <w:t>3.243,98</w:t>
            </w:r>
            <w:r>
              <w:rPr>
                <w:spacing w:val="-9"/>
                <w:sz w:val="22"/>
              </w:rPr>
              <w:t> </w:t>
            </w:r>
            <w:r>
              <w:rPr>
                <w:sz w:val="22"/>
              </w:rPr>
              <w:t>millones</w:t>
            </w:r>
            <w:r>
              <w:rPr>
                <w:spacing w:val="-7"/>
                <w:sz w:val="22"/>
              </w:rPr>
              <w:t> </w:t>
            </w:r>
            <w:r>
              <w:rPr>
                <w:sz w:val="22"/>
              </w:rPr>
              <w:t>(-2,43%).</w:t>
            </w:r>
            <w:r>
              <w:rPr>
                <w:spacing w:val="-9"/>
                <w:sz w:val="22"/>
              </w:rPr>
              <w:t> </w:t>
            </w:r>
            <w:r>
              <w:rPr>
                <w:sz w:val="22"/>
              </w:rPr>
              <w:t>La</w:t>
            </w:r>
            <w:r>
              <w:rPr>
                <w:spacing w:val="-9"/>
                <w:sz w:val="22"/>
              </w:rPr>
              <w:t> </w:t>
            </w:r>
            <w:r>
              <w:rPr>
                <w:sz w:val="22"/>
              </w:rPr>
              <w:t>disminución de los gastos contribuyó a mitigar parcialmente el efecto de la reducción de los ingresos; sin embargo, el ahorro generado en egresos fue significativamente menor que la disminución observada en los ingresos.</w:t>
            </w:r>
          </w:p>
          <w:p>
            <w:pPr>
              <w:pStyle w:val="TableParagraph"/>
              <w:spacing w:before="1"/>
              <w:rPr>
                <w:sz w:val="22"/>
              </w:rPr>
            </w:pPr>
          </w:p>
          <w:p>
            <w:pPr>
              <w:pStyle w:val="TableParagraph"/>
              <w:spacing w:line="251" w:lineRule="exact"/>
              <w:ind w:left="69"/>
              <w:jc w:val="both"/>
              <w:rPr>
                <w:sz w:val="22"/>
              </w:rPr>
            </w:pPr>
            <w:r>
              <w:rPr>
                <w:sz w:val="22"/>
              </w:rPr>
              <w:t>Resultado</w:t>
            </w:r>
            <w:r>
              <w:rPr>
                <w:spacing w:val="-5"/>
                <w:sz w:val="22"/>
              </w:rPr>
              <w:t> </w:t>
            </w:r>
            <w:r>
              <w:rPr>
                <w:sz w:val="22"/>
              </w:rPr>
              <w:t>del</w:t>
            </w:r>
            <w:r>
              <w:rPr>
                <w:spacing w:val="-3"/>
                <w:sz w:val="22"/>
              </w:rPr>
              <w:t> </w:t>
            </w:r>
            <w:r>
              <w:rPr>
                <w:spacing w:val="-2"/>
                <w:sz w:val="22"/>
              </w:rPr>
              <w:t>ejercicio</w:t>
            </w:r>
          </w:p>
          <w:p>
            <w:pPr>
              <w:pStyle w:val="TableParagraph"/>
              <w:spacing w:line="262" w:lineRule="exact"/>
              <w:ind w:left="69"/>
              <w:jc w:val="both"/>
              <w:rPr>
                <w:sz w:val="22"/>
              </w:rPr>
            </w:pPr>
            <w:r>
              <w:rPr>
                <w:sz w:val="22"/>
              </w:rPr>
              <w:t>Como</w:t>
            </w:r>
            <w:r>
              <w:rPr>
                <w:spacing w:val="27"/>
                <w:sz w:val="22"/>
              </w:rPr>
              <w:t> </w:t>
            </w:r>
            <w:r>
              <w:rPr>
                <w:sz w:val="22"/>
              </w:rPr>
              <w:t>consecuencia</w:t>
            </w:r>
            <w:r>
              <w:rPr>
                <w:spacing w:val="31"/>
                <w:sz w:val="22"/>
              </w:rPr>
              <w:t> </w:t>
            </w:r>
            <w:r>
              <w:rPr>
                <w:sz w:val="22"/>
              </w:rPr>
              <w:t>de</w:t>
            </w:r>
            <w:r>
              <w:rPr>
                <w:spacing w:val="30"/>
                <w:sz w:val="22"/>
              </w:rPr>
              <w:t> </w:t>
            </w:r>
            <w:r>
              <w:rPr>
                <w:sz w:val="22"/>
              </w:rPr>
              <w:t>lo</w:t>
            </w:r>
            <w:r>
              <w:rPr>
                <w:spacing w:val="27"/>
                <w:sz w:val="22"/>
              </w:rPr>
              <w:t> </w:t>
            </w:r>
            <w:r>
              <w:rPr>
                <w:sz w:val="22"/>
              </w:rPr>
              <w:t>anterior,</w:t>
            </w:r>
            <w:r>
              <w:rPr>
                <w:spacing w:val="32"/>
                <w:sz w:val="22"/>
              </w:rPr>
              <w:t> </w:t>
            </w:r>
            <w:r>
              <w:rPr>
                <w:sz w:val="22"/>
              </w:rPr>
              <w:t>el</w:t>
            </w:r>
            <w:r>
              <w:rPr>
                <w:spacing w:val="31"/>
                <w:sz w:val="22"/>
              </w:rPr>
              <w:t> </w:t>
            </w:r>
            <w:r>
              <w:rPr>
                <w:sz w:val="22"/>
              </w:rPr>
              <w:t>resultado</w:t>
            </w:r>
            <w:r>
              <w:rPr>
                <w:spacing w:val="30"/>
                <w:sz w:val="22"/>
              </w:rPr>
              <w:t> </w:t>
            </w:r>
            <w:r>
              <w:rPr>
                <w:sz w:val="22"/>
              </w:rPr>
              <w:t>del</w:t>
            </w:r>
            <w:r>
              <w:rPr>
                <w:spacing w:val="31"/>
                <w:sz w:val="22"/>
              </w:rPr>
              <w:t> </w:t>
            </w:r>
            <w:r>
              <w:rPr>
                <w:sz w:val="22"/>
              </w:rPr>
              <w:t>ejercicio</w:t>
            </w:r>
            <w:r>
              <w:rPr>
                <w:spacing w:val="31"/>
                <w:sz w:val="22"/>
              </w:rPr>
              <w:t> </w:t>
            </w:r>
            <w:r>
              <w:rPr>
                <w:sz w:val="22"/>
              </w:rPr>
              <w:t>pasó</w:t>
            </w:r>
            <w:r>
              <w:rPr>
                <w:spacing w:val="32"/>
                <w:sz w:val="22"/>
              </w:rPr>
              <w:t> </w:t>
            </w:r>
            <w:r>
              <w:rPr>
                <w:sz w:val="22"/>
              </w:rPr>
              <w:t>de</w:t>
            </w:r>
            <w:r>
              <w:rPr>
                <w:spacing w:val="35"/>
                <w:sz w:val="22"/>
              </w:rPr>
              <w:t> </w:t>
            </w:r>
            <w:r>
              <w:rPr>
                <w:rFonts w:ascii="Times New Roman" w:hAnsi="Times New Roman"/>
                <w:sz w:val="22"/>
              </w:rPr>
              <w:t>₡</w:t>
            </w:r>
            <w:r>
              <w:rPr>
                <w:sz w:val="22"/>
              </w:rPr>
              <w:t>22.801,63</w:t>
            </w:r>
            <w:r>
              <w:rPr>
                <w:spacing w:val="31"/>
                <w:sz w:val="22"/>
              </w:rPr>
              <w:t> </w:t>
            </w:r>
            <w:r>
              <w:rPr>
                <w:sz w:val="22"/>
              </w:rPr>
              <w:t>millones</w:t>
            </w:r>
            <w:r>
              <w:rPr>
                <w:spacing w:val="32"/>
                <w:sz w:val="22"/>
              </w:rPr>
              <w:t> </w:t>
            </w:r>
            <w:r>
              <w:rPr>
                <w:sz w:val="22"/>
              </w:rPr>
              <w:t>en</w:t>
            </w:r>
            <w:r>
              <w:rPr>
                <w:spacing w:val="29"/>
                <w:sz w:val="22"/>
              </w:rPr>
              <w:t> </w:t>
            </w:r>
            <w:r>
              <w:rPr>
                <w:sz w:val="22"/>
              </w:rPr>
              <w:t>2025</w:t>
            </w:r>
            <w:r>
              <w:rPr>
                <w:spacing w:val="30"/>
                <w:sz w:val="22"/>
              </w:rPr>
              <w:t> </w:t>
            </w:r>
            <w:r>
              <w:rPr>
                <w:spacing w:val="-10"/>
                <w:sz w:val="22"/>
              </w:rPr>
              <w:t>a</w:t>
            </w:r>
          </w:p>
          <w:p>
            <w:pPr>
              <w:pStyle w:val="TableParagraph"/>
              <w:ind w:left="69" w:right="60"/>
              <w:jc w:val="both"/>
              <w:rPr>
                <w:sz w:val="22"/>
              </w:rPr>
            </w:pPr>
            <w:r>
              <w:rPr>
                <w:rFonts w:ascii="Times New Roman" w:hAnsi="Times New Roman"/>
                <w:sz w:val="22"/>
              </w:rPr>
              <w:t>₡</w:t>
            </w:r>
            <w:r>
              <w:rPr>
                <w:sz w:val="22"/>
              </w:rPr>
              <w:t>14.521,11</w:t>
            </w:r>
            <w:r>
              <w:rPr>
                <w:spacing w:val="-3"/>
                <w:sz w:val="22"/>
              </w:rPr>
              <w:t> </w:t>
            </w:r>
            <w:r>
              <w:rPr>
                <w:sz w:val="22"/>
              </w:rPr>
              <w:t>millones</w:t>
            </w:r>
            <w:r>
              <w:rPr>
                <w:spacing w:val="-2"/>
                <w:sz w:val="22"/>
              </w:rPr>
              <w:t> </w:t>
            </w:r>
            <w:r>
              <w:rPr>
                <w:sz w:val="22"/>
              </w:rPr>
              <w:t>en</w:t>
            </w:r>
            <w:r>
              <w:rPr>
                <w:spacing w:val="-3"/>
                <w:sz w:val="22"/>
              </w:rPr>
              <w:t> </w:t>
            </w:r>
            <w:r>
              <w:rPr>
                <w:sz w:val="22"/>
              </w:rPr>
              <w:t>2026,</w:t>
            </w:r>
            <w:r>
              <w:rPr>
                <w:spacing w:val="-3"/>
                <w:sz w:val="22"/>
              </w:rPr>
              <w:t> </w:t>
            </w:r>
            <w:r>
              <w:rPr>
                <w:sz w:val="22"/>
              </w:rPr>
              <w:t>registrando</w:t>
            </w:r>
            <w:r>
              <w:rPr>
                <w:spacing w:val="-3"/>
                <w:sz w:val="22"/>
              </w:rPr>
              <w:t> </w:t>
            </w:r>
            <w:r>
              <w:rPr>
                <w:sz w:val="22"/>
              </w:rPr>
              <w:t>una</w:t>
            </w:r>
            <w:r>
              <w:rPr>
                <w:spacing w:val="-4"/>
                <w:sz w:val="22"/>
              </w:rPr>
              <w:t> </w:t>
            </w:r>
            <w:r>
              <w:rPr>
                <w:sz w:val="22"/>
              </w:rPr>
              <w:t>disminución</w:t>
            </w:r>
            <w:r>
              <w:rPr>
                <w:spacing w:val="-3"/>
                <w:sz w:val="22"/>
              </w:rPr>
              <w:t> </w:t>
            </w:r>
            <w:r>
              <w:rPr>
                <w:sz w:val="22"/>
              </w:rPr>
              <w:t>de</w:t>
            </w:r>
            <w:r>
              <w:rPr>
                <w:spacing w:val="-5"/>
                <w:sz w:val="22"/>
              </w:rPr>
              <w:t> </w:t>
            </w:r>
            <w:r>
              <w:rPr>
                <w:rFonts w:ascii="Times New Roman" w:hAnsi="Times New Roman"/>
                <w:sz w:val="22"/>
              </w:rPr>
              <w:t>₡</w:t>
            </w:r>
            <w:r>
              <w:rPr>
                <w:sz w:val="22"/>
              </w:rPr>
              <w:t>8.280,52</w:t>
            </w:r>
            <w:r>
              <w:rPr>
                <w:spacing w:val="-3"/>
                <w:sz w:val="22"/>
              </w:rPr>
              <w:t> </w:t>
            </w:r>
            <w:r>
              <w:rPr>
                <w:sz w:val="22"/>
              </w:rPr>
              <w:t>millones,</w:t>
            </w:r>
            <w:r>
              <w:rPr>
                <w:spacing w:val="-6"/>
                <w:sz w:val="22"/>
              </w:rPr>
              <w:t> </w:t>
            </w:r>
            <w:r>
              <w:rPr>
                <w:sz w:val="22"/>
              </w:rPr>
              <w:t>equivalente</w:t>
            </w:r>
            <w:r>
              <w:rPr>
                <w:spacing w:val="-3"/>
                <w:sz w:val="22"/>
              </w:rPr>
              <w:t> </w:t>
            </w:r>
            <w:r>
              <w:rPr>
                <w:sz w:val="22"/>
              </w:rPr>
              <w:t>al</w:t>
            </w:r>
            <w:r>
              <w:rPr>
                <w:spacing w:val="-3"/>
                <w:sz w:val="22"/>
              </w:rPr>
              <w:t> </w:t>
            </w:r>
            <w:r>
              <w:rPr>
                <w:sz w:val="22"/>
              </w:rPr>
              <w:t>36,32%. En términos generales, aunque la Institución logró contener sus egresos durante 2026, la reducción de los ingresos fue más pronunciada que la disminución de los gastos, provocando una contracción significativa</w:t>
            </w:r>
          </w:p>
          <w:p>
            <w:pPr>
              <w:pStyle w:val="TableParagraph"/>
              <w:spacing w:line="231" w:lineRule="exact" w:before="1"/>
              <w:ind w:left="69"/>
              <w:jc w:val="both"/>
              <w:rPr>
                <w:sz w:val="22"/>
              </w:rPr>
            </w:pPr>
            <w:r>
              <w:rPr>
                <w:sz w:val="22"/>
              </w:rPr>
              <w:t>del</w:t>
            </w:r>
            <w:r>
              <w:rPr>
                <w:spacing w:val="-3"/>
                <w:sz w:val="22"/>
              </w:rPr>
              <w:t> </w:t>
            </w:r>
            <w:r>
              <w:rPr>
                <w:sz w:val="22"/>
              </w:rPr>
              <w:t>superávit</w:t>
            </w:r>
            <w:r>
              <w:rPr>
                <w:spacing w:val="-3"/>
                <w:sz w:val="22"/>
              </w:rPr>
              <w:t> </w:t>
            </w:r>
            <w:r>
              <w:rPr>
                <w:sz w:val="22"/>
              </w:rPr>
              <w:t>generado</w:t>
            </w:r>
            <w:r>
              <w:rPr>
                <w:spacing w:val="-2"/>
                <w:sz w:val="22"/>
              </w:rPr>
              <w:t> </w:t>
            </w:r>
            <w:r>
              <w:rPr>
                <w:sz w:val="22"/>
              </w:rPr>
              <w:t>en</w:t>
            </w:r>
            <w:r>
              <w:rPr>
                <w:spacing w:val="-3"/>
                <w:sz w:val="22"/>
              </w:rPr>
              <w:t> </w:t>
            </w:r>
            <w:r>
              <w:rPr>
                <w:sz w:val="22"/>
              </w:rPr>
              <w:t>el</w:t>
            </w:r>
            <w:r>
              <w:rPr>
                <w:spacing w:val="-2"/>
                <w:sz w:val="22"/>
              </w:rPr>
              <w:t> período.</w:t>
            </w:r>
          </w:p>
        </w:tc>
      </w:tr>
    </w:tbl>
    <w:p>
      <w:pPr>
        <w:pStyle w:val="BodyText"/>
        <w:rPr>
          <w:sz w:val="20"/>
        </w:rPr>
      </w:pPr>
    </w:p>
    <w:p>
      <w:pPr>
        <w:pStyle w:val="BodyText"/>
        <w:spacing w:before="202"/>
        <w:rPr>
          <w:sz w:val="20"/>
        </w:rPr>
      </w:pPr>
    </w:p>
    <w:p>
      <w:pPr>
        <w:spacing w:before="1"/>
        <w:ind w:left="622" w:right="0" w:firstLine="0"/>
        <w:jc w:val="left"/>
        <w:rPr>
          <w:b/>
          <w:sz w:val="22"/>
        </w:rPr>
      </w:pPr>
      <w:bookmarkStart w:name="_bookmark148" w:id="149"/>
      <w:bookmarkEnd w:id="149"/>
      <w:r>
        <w:rPr/>
      </w:r>
      <w:r>
        <w:rPr>
          <w:b/>
          <w:sz w:val="22"/>
        </w:rPr>
        <w:t>NOTA</w:t>
      </w:r>
      <w:r>
        <w:rPr>
          <w:b/>
          <w:spacing w:val="-1"/>
          <w:sz w:val="22"/>
        </w:rPr>
        <w:t> </w:t>
      </w:r>
      <w:r>
        <w:rPr>
          <w:b/>
          <w:sz w:val="22"/>
        </w:rPr>
        <w:t>N° </w:t>
      </w:r>
      <w:r>
        <w:rPr>
          <w:b/>
          <w:spacing w:val="-5"/>
          <w:sz w:val="22"/>
        </w:rPr>
        <w:t>89</w:t>
      </w:r>
    </w:p>
    <w:p>
      <w:pPr>
        <w:pStyle w:val="BodyText"/>
        <w:spacing w:before="112"/>
        <w:rPr>
          <w:b/>
        </w:rPr>
      </w:pPr>
    </w:p>
    <w:p>
      <w:pPr>
        <w:pStyle w:val="Heading5"/>
        <w:numPr>
          <w:ilvl w:val="1"/>
          <w:numId w:val="57"/>
        </w:numPr>
        <w:tabs>
          <w:tab w:pos="946" w:val="left" w:leader="none"/>
        </w:tabs>
        <w:spacing w:line="240" w:lineRule="auto" w:before="1" w:after="0"/>
        <w:ind w:left="946" w:right="0" w:hanging="324"/>
        <w:jc w:val="left"/>
      </w:pPr>
      <w:bookmarkStart w:name="_bookmark149" w:id="150"/>
      <w:bookmarkEnd w:id="150"/>
      <w:r>
        <w:rPr>
          <w:b w:val="0"/>
        </w:rPr>
      </w:r>
      <w:r>
        <w:rPr>
          <w:color w:val="1F3762"/>
        </w:rPr>
        <w:t>INTERESES</w:t>
      </w:r>
      <w:r>
        <w:rPr>
          <w:color w:val="1F3762"/>
          <w:spacing w:val="-10"/>
        </w:rPr>
        <w:t> </w:t>
      </w:r>
      <w:r>
        <w:rPr>
          <w:color w:val="1F3762"/>
          <w:spacing w:val="-2"/>
        </w:rPr>
        <w:t>MINORITARIOS</w:t>
      </w:r>
    </w:p>
    <w:p>
      <w:pPr>
        <w:pStyle w:val="BodyText"/>
        <w:spacing w:before="126"/>
        <w:ind w:left="622"/>
      </w:pPr>
      <w:r>
        <w:rPr/>
        <w:t>Intereses</w:t>
      </w:r>
      <w:r>
        <w:rPr>
          <w:spacing w:val="-9"/>
        </w:rPr>
        <w:t> </w:t>
      </w:r>
      <w:r>
        <w:rPr/>
        <w:t>minoritarios</w:t>
      </w:r>
      <w:r>
        <w:rPr>
          <w:spacing w:val="-2"/>
        </w:rPr>
        <w:t> </w:t>
      </w:r>
      <w:r>
        <w:rPr/>
        <w:t>-</w:t>
      </w:r>
      <w:r>
        <w:rPr>
          <w:spacing w:val="-7"/>
        </w:rPr>
        <w:t> </w:t>
      </w:r>
      <w:r>
        <w:rPr/>
        <w:t>Participaciones</w:t>
      </w:r>
      <w:r>
        <w:rPr>
          <w:spacing w:val="-6"/>
        </w:rPr>
        <w:t> </w:t>
      </w:r>
      <w:r>
        <w:rPr/>
        <w:t>en</w:t>
      </w:r>
      <w:r>
        <w:rPr>
          <w:spacing w:val="-7"/>
        </w:rPr>
        <w:t> </w:t>
      </w:r>
      <w:r>
        <w:rPr/>
        <w:t>el</w:t>
      </w:r>
      <w:r>
        <w:rPr>
          <w:spacing w:val="-4"/>
        </w:rPr>
        <w:t> </w:t>
      </w:r>
      <w:r>
        <w:rPr/>
        <w:t>patrimonio</w:t>
      </w:r>
      <w:r>
        <w:rPr>
          <w:spacing w:val="-7"/>
        </w:rPr>
        <w:t> </w:t>
      </w:r>
      <w:r>
        <w:rPr/>
        <w:t>de</w:t>
      </w:r>
      <w:r>
        <w:rPr>
          <w:spacing w:val="-6"/>
        </w:rPr>
        <w:t> </w:t>
      </w:r>
      <w:r>
        <w:rPr/>
        <w:t>entidades</w:t>
      </w:r>
      <w:r>
        <w:rPr>
          <w:spacing w:val="-3"/>
        </w:rPr>
        <w:t> </w:t>
      </w:r>
      <w:r>
        <w:rPr>
          <w:spacing w:val="-2"/>
        </w:rPr>
        <w:t>controladas</w:t>
      </w:r>
    </w:p>
    <w:p>
      <w:pPr>
        <w:pStyle w:val="BodyText"/>
        <w:spacing w:before="10"/>
        <w:rPr>
          <w:sz w:val="13"/>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8"/>
        <w:gridCol w:w="3467"/>
        <w:gridCol w:w="567"/>
        <w:gridCol w:w="1561"/>
        <w:gridCol w:w="1594"/>
        <w:gridCol w:w="1155"/>
      </w:tblGrid>
      <w:tr>
        <w:trPr>
          <w:trHeight w:val="388" w:hRule="atLeast"/>
        </w:trPr>
        <w:tc>
          <w:tcPr>
            <w:tcW w:w="778" w:type="dxa"/>
            <w:vMerge w:val="restart"/>
            <w:shd w:val="clear" w:color="auto" w:fill="365F92"/>
          </w:tcPr>
          <w:p>
            <w:pPr>
              <w:pStyle w:val="TableParagraph"/>
              <w:spacing w:before="205"/>
              <w:ind w:left="69"/>
              <w:rPr>
                <w:sz w:val="20"/>
              </w:rPr>
            </w:pPr>
            <w:r>
              <w:rPr>
                <w:spacing w:val="-2"/>
                <w:sz w:val="20"/>
              </w:rPr>
              <w:t>Cuenta</w:t>
            </w:r>
          </w:p>
        </w:tc>
        <w:tc>
          <w:tcPr>
            <w:tcW w:w="3467" w:type="dxa"/>
            <w:vMerge w:val="restart"/>
            <w:shd w:val="clear" w:color="auto" w:fill="365F92"/>
          </w:tcPr>
          <w:p>
            <w:pPr>
              <w:pStyle w:val="TableParagraph"/>
              <w:spacing w:before="205"/>
              <w:ind w:left="68"/>
              <w:rPr>
                <w:sz w:val="20"/>
              </w:rPr>
            </w:pPr>
            <w:r>
              <w:rPr>
                <w:spacing w:val="-2"/>
                <w:sz w:val="20"/>
              </w:rPr>
              <w:t>Descripción</w:t>
            </w:r>
          </w:p>
        </w:tc>
        <w:tc>
          <w:tcPr>
            <w:tcW w:w="567" w:type="dxa"/>
            <w:vMerge w:val="restart"/>
            <w:shd w:val="clear" w:color="auto" w:fill="365F92"/>
          </w:tcPr>
          <w:p>
            <w:pPr>
              <w:pStyle w:val="TableParagraph"/>
              <w:spacing w:before="205"/>
              <w:ind w:left="68"/>
              <w:rPr>
                <w:sz w:val="20"/>
              </w:rPr>
            </w:pPr>
            <w:r>
              <w:rPr>
                <w:spacing w:val="-4"/>
                <w:sz w:val="20"/>
              </w:rPr>
              <w:t>Nota</w:t>
            </w:r>
          </w:p>
        </w:tc>
        <w:tc>
          <w:tcPr>
            <w:tcW w:w="1561" w:type="dxa"/>
            <w:vMerge w:val="restart"/>
            <w:shd w:val="clear" w:color="auto" w:fill="365F92"/>
          </w:tcPr>
          <w:p>
            <w:pPr>
              <w:pStyle w:val="TableParagraph"/>
              <w:spacing w:before="205"/>
              <w:ind w:left="178"/>
              <w:rPr>
                <w:sz w:val="20"/>
              </w:rPr>
            </w:pPr>
            <w:r>
              <w:rPr>
                <w:sz w:val="20"/>
              </w:rPr>
              <w:t>Periodo</w:t>
            </w:r>
            <w:r>
              <w:rPr>
                <w:spacing w:val="-7"/>
                <w:sz w:val="20"/>
              </w:rPr>
              <w:t> </w:t>
            </w:r>
            <w:r>
              <w:rPr>
                <w:spacing w:val="-2"/>
                <w:sz w:val="20"/>
              </w:rPr>
              <w:t>Actual</w:t>
            </w:r>
          </w:p>
        </w:tc>
        <w:tc>
          <w:tcPr>
            <w:tcW w:w="1594" w:type="dxa"/>
            <w:vMerge w:val="restart"/>
            <w:shd w:val="clear" w:color="auto" w:fill="365F92"/>
          </w:tcPr>
          <w:p>
            <w:pPr>
              <w:pStyle w:val="TableParagraph"/>
              <w:spacing w:before="205"/>
              <w:ind w:left="112"/>
              <w:rPr>
                <w:sz w:val="20"/>
              </w:rPr>
            </w:pPr>
            <w:r>
              <w:rPr>
                <w:sz w:val="20"/>
              </w:rPr>
              <w:t>Periodo</w:t>
            </w:r>
            <w:r>
              <w:rPr>
                <w:spacing w:val="-7"/>
                <w:sz w:val="20"/>
              </w:rPr>
              <w:t> </w:t>
            </w:r>
            <w:r>
              <w:rPr>
                <w:spacing w:val="-2"/>
                <w:sz w:val="20"/>
              </w:rPr>
              <w:t>Anterior</w:t>
            </w:r>
          </w:p>
        </w:tc>
        <w:tc>
          <w:tcPr>
            <w:tcW w:w="1155" w:type="dxa"/>
            <w:shd w:val="clear" w:color="auto" w:fill="365F92"/>
          </w:tcPr>
          <w:p>
            <w:pPr>
              <w:pStyle w:val="TableParagraph"/>
              <w:spacing w:before="1"/>
              <w:ind w:left="158"/>
              <w:rPr>
                <w:sz w:val="20"/>
              </w:rPr>
            </w:pPr>
            <w:r>
              <w:rPr>
                <w:spacing w:val="-2"/>
                <w:sz w:val="20"/>
              </w:rPr>
              <w:t>Diferencia</w:t>
            </w:r>
          </w:p>
        </w:tc>
      </w:tr>
      <w:tr>
        <w:trPr>
          <w:trHeight w:val="390" w:hRule="atLeast"/>
        </w:trPr>
        <w:tc>
          <w:tcPr>
            <w:tcW w:w="778" w:type="dxa"/>
            <w:vMerge/>
            <w:tcBorders>
              <w:top w:val="nil"/>
            </w:tcBorders>
            <w:shd w:val="clear" w:color="auto" w:fill="365F92"/>
          </w:tcPr>
          <w:p>
            <w:pPr>
              <w:rPr>
                <w:sz w:val="2"/>
                <w:szCs w:val="2"/>
              </w:rPr>
            </w:pPr>
          </w:p>
        </w:tc>
        <w:tc>
          <w:tcPr>
            <w:tcW w:w="3467" w:type="dxa"/>
            <w:vMerge/>
            <w:tcBorders>
              <w:top w:val="nil"/>
            </w:tcBorders>
            <w:shd w:val="clear" w:color="auto" w:fill="365F92"/>
          </w:tcPr>
          <w:p>
            <w:pPr>
              <w:rPr>
                <w:sz w:val="2"/>
                <w:szCs w:val="2"/>
              </w:rPr>
            </w:pPr>
          </w:p>
        </w:tc>
        <w:tc>
          <w:tcPr>
            <w:tcW w:w="567" w:type="dxa"/>
            <w:vMerge/>
            <w:tcBorders>
              <w:top w:val="nil"/>
            </w:tcBorders>
            <w:shd w:val="clear" w:color="auto" w:fill="365F92"/>
          </w:tcPr>
          <w:p>
            <w:pPr>
              <w:rPr>
                <w:sz w:val="2"/>
                <w:szCs w:val="2"/>
              </w:rPr>
            </w:pPr>
          </w:p>
        </w:tc>
        <w:tc>
          <w:tcPr>
            <w:tcW w:w="1561" w:type="dxa"/>
            <w:vMerge/>
            <w:tcBorders>
              <w:top w:val="nil"/>
            </w:tcBorders>
            <w:shd w:val="clear" w:color="auto" w:fill="365F92"/>
          </w:tcPr>
          <w:p>
            <w:pPr>
              <w:rPr>
                <w:sz w:val="2"/>
                <w:szCs w:val="2"/>
              </w:rPr>
            </w:pPr>
          </w:p>
        </w:tc>
        <w:tc>
          <w:tcPr>
            <w:tcW w:w="1594" w:type="dxa"/>
            <w:vMerge/>
            <w:tcBorders>
              <w:top w:val="nil"/>
            </w:tcBorders>
            <w:shd w:val="clear" w:color="auto" w:fill="365F92"/>
          </w:tcPr>
          <w:p>
            <w:pPr>
              <w:rPr>
                <w:sz w:val="2"/>
                <w:szCs w:val="2"/>
              </w:rPr>
            </w:pPr>
          </w:p>
        </w:tc>
        <w:tc>
          <w:tcPr>
            <w:tcW w:w="1155" w:type="dxa"/>
            <w:shd w:val="clear" w:color="auto" w:fill="365F92"/>
          </w:tcPr>
          <w:p>
            <w:pPr>
              <w:pStyle w:val="TableParagraph"/>
              <w:spacing w:before="1"/>
              <w:ind w:left="10"/>
              <w:jc w:val="center"/>
              <w:rPr>
                <w:sz w:val="20"/>
              </w:rPr>
            </w:pPr>
            <w:r>
              <w:rPr>
                <w:spacing w:val="-10"/>
                <w:sz w:val="20"/>
              </w:rPr>
              <w:t>%</w:t>
            </w:r>
          </w:p>
        </w:tc>
      </w:tr>
      <w:tr>
        <w:trPr>
          <w:trHeight w:val="615" w:hRule="atLeast"/>
        </w:trPr>
        <w:tc>
          <w:tcPr>
            <w:tcW w:w="778" w:type="dxa"/>
          </w:tcPr>
          <w:p>
            <w:pPr>
              <w:pStyle w:val="TableParagraph"/>
              <w:spacing w:before="111"/>
              <w:ind w:left="69"/>
              <w:rPr>
                <w:sz w:val="20"/>
              </w:rPr>
            </w:pPr>
            <w:r>
              <w:rPr>
                <w:spacing w:val="-2"/>
                <w:sz w:val="20"/>
              </w:rPr>
              <w:t>3.2.1.</w:t>
            </w:r>
          </w:p>
        </w:tc>
        <w:tc>
          <w:tcPr>
            <w:tcW w:w="3467" w:type="dxa"/>
          </w:tcPr>
          <w:p>
            <w:pPr>
              <w:pStyle w:val="TableParagraph"/>
              <w:ind w:left="68"/>
              <w:rPr>
                <w:sz w:val="20"/>
              </w:rPr>
            </w:pPr>
            <w:r>
              <w:rPr>
                <w:sz w:val="20"/>
              </w:rPr>
              <w:t>Intereses</w:t>
            </w:r>
            <w:r>
              <w:rPr>
                <w:spacing w:val="-11"/>
                <w:sz w:val="20"/>
              </w:rPr>
              <w:t> </w:t>
            </w:r>
            <w:r>
              <w:rPr>
                <w:sz w:val="20"/>
              </w:rPr>
              <w:t>minoritarios</w:t>
            </w:r>
            <w:r>
              <w:rPr>
                <w:spacing w:val="-9"/>
                <w:sz w:val="20"/>
              </w:rPr>
              <w:t> </w:t>
            </w:r>
            <w:r>
              <w:rPr>
                <w:sz w:val="20"/>
              </w:rPr>
              <w:t>-</w:t>
            </w:r>
            <w:r>
              <w:rPr>
                <w:spacing w:val="-10"/>
                <w:sz w:val="20"/>
              </w:rPr>
              <w:t> </w:t>
            </w:r>
            <w:r>
              <w:rPr>
                <w:sz w:val="20"/>
              </w:rPr>
              <w:t>Participaciones</w:t>
            </w:r>
            <w:r>
              <w:rPr>
                <w:spacing w:val="-11"/>
                <w:sz w:val="20"/>
              </w:rPr>
              <w:t> </w:t>
            </w:r>
            <w:r>
              <w:rPr>
                <w:sz w:val="20"/>
              </w:rPr>
              <w:t>en el patrimonio de entidades controladas</w:t>
            </w:r>
          </w:p>
        </w:tc>
        <w:tc>
          <w:tcPr>
            <w:tcW w:w="567" w:type="dxa"/>
          </w:tcPr>
          <w:p>
            <w:pPr>
              <w:pStyle w:val="TableParagraph"/>
              <w:spacing w:before="111"/>
              <w:ind w:left="68"/>
              <w:rPr>
                <w:sz w:val="20"/>
              </w:rPr>
            </w:pPr>
            <w:r>
              <w:rPr>
                <w:spacing w:val="-5"/>
                <w:sz w:val="20"/>
              </w:rPr>
              <w:t>29</w:t>
            </w:r>
          </w:p>
        </w:tc>
        <w:tc>
          <w:tcPr>
            <w:tcW w:w="1561" w:type="dxa"/>
          </w:tcPr>
          <w:p>
            <w:pPr>
              <w:pStyle w:val="TableParagraph"/>
              <w:spacing w:before="111"/>
              <w:ind w:left="65" w:right="53"/>
              <w:jc w:val="center"/>
              <w:rPr>
                <w:b/>
                <w:sz w:val="20"/>
              </w:rPr>
            </w:pPr>
            <w:r>
              <w:rPr>
                <w:b/>
                <w:spacing w:val="-4"/>
                <w:sz w:val="20"/>
              </w:rPr>
              <w:t>0,00</w:t>
            </w:r>
          </w:p>
        </w:tc>
        <w:tc>
          <w:tcPr>
            <w:tcW w:w="1594" w:type="dxa"/>
          </w:tcPr>
          <w:p>
            <w:pPr>
              <w:pStyle w:val="TableParagraph"/>
              <w:spacing w:before="111"/>
              <w:ind w:left="12"/>
              <w:jc w:val="center"/>
              <w:rPr>
                <w:b/>
                <w:sz w:val="20"/>
              </w:rPr>
            </w:pPr>
            <w:r>
              <w:rPr>
                <w:b/>
                <w:spacing w:val="-4"/>
                <w:sz w:val="20"/>
              </w:rPr>
              <w:t>0,00</w:t>
            </w:r>
          </w:p>
        </w:tc>
        <w:tc>
          <w:tcPr>
            <w:tcW w:w="1155" w:type="dxa"/>
          </w:tcPr>
          <w:p>
            <w:pPr>
              <w:pStyle w:val="TableParagraph"/>
              <w:spacing w:before="111"/>
              <w:ind w:left="66"/>
              <w:rPr>
                <w:sz w:val="20"/>
              </w:rPr>
            </w:pPr>
            <w:r>
              <w:rPr>
                <w:spacing w:val="-2"/>
                <w:sz w:val="20"/>
              </w:rPr>
              <w:t>0,00%</w:t>
            </w:r>
          </w:p>
        </w:tc>
      </w:tr>
    </w:tbl>
    <w:p>
      <w:pPr>
        <w:pStyle w:val="TableParagraph"/>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5472">
                <wp:simplePos x="0" y="0"/>
                <wp:positionH relativeFrom="page">
                  <wp:posOffset>9525</wp:posOffset>
                </wp:positionH>
                <wp:positionV relativeFrom="page">
                  <wp:posOffset>297208</wp:posOffset>
                </wp:positionV>
                <wp:extent cx="7762875" cy="9748520"/>
                <wp:effectExtent l="0" t="0" r="0" b="0"/>
                <wp:wrapNone/>
                <wp:docPr id="886" name="Group 886"/>
                <wp:cNvGraphicFramePr>
                  <a:graphicFrameLocks/>
                </wp:cNvGraphicFramePr>
                <a:graphic>
                  <a:graphicData uri="http://schemas.microsoft.com/office/word/2010/wordprocessingGroup">
                    <wpg:wgp>
                      <wpg:cNvPr id="886" name="Group 886"/>
                      <wpg:cNvGrpSpPr/>
                      <wpg:grpSpPr>
                        <a:xfrm>
                          <a:off x="0" y="0"/>
                          <a:ext cx="7762875" cy="9748520"/>
                          <a:chExt cx="7762875" cy="9748520"/>
                        </a:xfrm>
                      </wpg:grpSpPr>
                      <pic:pic>
                        <pic:nvPicPr>
                          <pic:cNvPr id="887" name="Image 887"/>
                          <pic:cNvPicPr/>
                        </pic:nvPicPr>
                        <pic:blipFill>
                          <a:blip r:embed="rId5" cstate="print"/>
                          <a:stretch>
                            <a:fillRect/>
                          </a:stretch>
                        </pic:blipFill>
                        <pic:spPr>
                          <a:xfrm>
                            <a:off x="0" y="0"/>
                            <a:ext cx="7762874" cy="9748489"/>
                          </a:xfrm>
                          <a:prstGeom prst="rect">
                            <a:avLst/>
                          </a:prstGeom>
                        </pic:spPr>
                      </pic:pic>
                      <wps:wsp>
                        <wps:cNvPr id="888" name="Graphic 88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11008" id="docshapegroup861" coordorigin="15,468" coordsize="12225,15352">
                <v:shape style="position:absolute;left:15;top:468;width:12225;height:15352" type="#_x0000_t75" id="docshape862" stroked="false">
                  <v:imagedata r:id="rId5" o:title=""/>
                </v:shape>
                <v:rect style="position:absolute;left:1673;top:2028;width:8897;height:15" id="docshape86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179</w:t>
      </w:r>
    </w:p>
    <w:p>
      <w:pPr>
        <w:pStyle w:val="BodyText"/>
        <w:spacing w:before="10"/>
        <w:rPr>
          <w:sz w:val="16"/>
        </w:rPr>
      </w:pPr>
      <w:r>
        <w:rPr>
          <w:sz w:val="16"/>
        </w:rPr>
        <mc:AlternateContent>
          <mc:Choice Requires="wps">
            <w:drawing>
              <wp:anchor distT="0" distB="0" distL="0" distR="0" allowOverlap="1" layoutInCell="1" locked="0" behindDoc="1" simplePos="0" relativeHeight="487767552">
                <wp:simplePos x="0" y="0"/>
                <wp:positionH relativeFrom="page">
                  <wp:posOffset>1080820</wp:posOffset>
                </wp:positionH>
                <wp:positionV relativeFrom="paragraph">
                  <wp:posOffset>141144</wp:posOffset>
                </wp:positionV>
                <wp:extent cx="5715000" cy="541020"/>
                <wp:effectExtent l="0" t="0" r="0" b="0"/>
                <wp:wrapTopAndBottom/>
                <wp:docPr id="889" name="Textbox 889"/>
                <wp:cNvGraphicFramePr>
                  <a:graphicFrameLocks/>
                </wp:cNvGraphicFramePr>
                <a:graphic>
                  <a:graphicData uri="http://schemas.microsoft.com/office/word/2010/wordprocessingShape">
                    <wps:wsp>
                      <wps:cNvPr id="889" name="Textbox 889"/>
                      <wps:cNvSpPr txBox="1"/>
                      <wps:spPr>
                        <a:xfrm>
                          <a:off x="0" y="0"/>
                          <a:ext cx="5715000" cy="5410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11.11375pt;width:450pt;height:42.6pt;mso-position-horizontal-relative:page;mso-position-vertical-relative:paragraph;z-index:-15548928;mso-wrap-distance-left:0;mso-wrap-distance-right:0" type="#_x0000_t202" id="docshape86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2"/>
                        </w:rPr>
                        <w:t> </w:t>
                      </w:r>
                      <w:r>
                        <w:rPr/>
                        <w:t>de</w:t>
                      </w:r>
                      <w:r>
                        <w:rPr>
                          <w:spacing w:val="-3"/>
                        </w:rPr>
                        <w:t> </w:t>
                      </w:r>
                      <w:r>
                        <w:rPr/>
                        <w:t>julio</w:t>
                      </w:r>
                      <w:r>
                        <w:rPr>
                          <w:spacing w:val="-2"/>
                        </w:rPr>
                        <w:t> </w:t>
                      </w:r>
                      <w:r>
                        <w:rPr/>
                        <w:t>2026,</w:t>
                      </w:r>
                      <w:r>
                        <w:rPr>
                          <w:spacing w:val="-2"/>
                        </w:rPr>
                        <w:t> </w:t>
                      </w:r>
                      <w:r>
                        <w:rPr/>
                        <w:t>no</w:t>
                      </w:r>
                      <w:r>
                        <w:rPr>
                          <w:spacing w:val="-2"/>
                        </w:rPr>
                        <w:t> </w:t>
                      </w:r>
                      <w:r>
                        <w:rPr/>
                        <w:t>presenta</w:t>
                      </w:r>
                      <w:r>
                        <w:rPr>
                          <w:spacing w:val="-2"/>
                        </w:rPr>
                        <w:t> </w:t>
                      </w:r>
                      <w:r>
                        <w:rPr/>
                        <w:t>ningún</w:t>
                      </w:r>
                      <w:r>
                        <w:rPr>
                          <w:spacing w:val="-5"/>
                        </w:rPr>
                        <w:t> </w:t>
                      </w:r>
                      <w:r>
                        <w:rPr>
                          <w:spacing w:val="-2"/>
                        </w:rPr>
                        <w:t>movimiento.</w:t>
                      </w:r>
                    </w:p>
                  </w:txbxContent>
                </v:textbox>
                <v:stroke dashstyle="solid"/>
                <w10:wrap type="topAndBottom"/>
              </v:shape>
            </w:pict>
          </mc:Fallback>
        </mc:AlternateContent>
      </w:r>
    </w:p>
    <w:p>
      <w:pPr>
        <w:pStyle w:val="BodyText"/>
        <w:spacing w:before="186"/>
      </w:pPr>
    </w:p>
    <w:p>
      <w:pPr>
        <w:spacing w:before="0"/>
        <w:ind w:left="622" w:right="0" w:firstLine="0"/>
        <w:jc w:val="left"/>
        <w:rPr>
          <w:b/>
          <w:sz w:val="22"/>
        </w:rPr>
      </w:pPr>
      <w:bookmarkStart w:name="_bookmark150" w:id="151"/>
      <w:bookmarkEnd w:id="151"/>
      <w:r>
        <w:rPr/>
      </w:r>
      <w:r>
        <w:rPr>
          <w:b/>
          <w:sz w:val="22"/>
        </w:rPr>
        <w:t>NOTA</w:t>
      </w:r>
      <w:r>
        <w:rPr>
          <w:b/>
          <w:spacing w:val="-1"/>
          <w:sz w:val="22"/>
        </w:rPr>
        <w:t> </w:t>
      </w:r>
      <w:r>
        <w:rPr>
          <w:b/>
          <w:sz w:val="22"/>
        </w:rPr>
        <w:t>N° </w:t>
      </w:r>
      <w:r>
        <w:rPr>
          <w:b/>
          <w:spacing w:val="-5"/>
          <w:sz w:val="22"/>
        </w:rPr>
        <w:t>90</w:t>
      </w:r>
    </w:p>
    <w:p>
      <w:pPr>
        <w:pStyle w:val="BodyText"/>
        <w:spacing w:before="115"/>
        <w:rPr>
          <w:b/>
        </w:rPr>
      </w:pPr>
    </w:p>
    <w:p>
      <w:pPr>
        <w:pStyle w:val="BodyText"/>
        <w:ind w:left="622"/>
      </w:pPr>
      <w:r>
        <w:rPr/>
        <w:t>Intereses</w:t>
      </w:r>
      <w:r>
        <w:rPr>
          <w:spacing w:val="-8"/>
        </w:rPr>
        <w:t> </w:t>
      </w:r>
      <w:r>
        <w:rPr/>
        <w:t>minoritarios</w:t>
      </w:r>
      <w:r>
        <w:rPr>
          <w:spacing w:val="-2"/>
        </w:rPr>
        <w:t> </w:t>
      </w:r>
      <w:r>
        <w:rPr/>
        <w:t>–</w:t>
      </w:r>
      <w:r>
        <w:rPr>
          <w:spacing w:val="-6"/>
        </w:rPr>
        <w:t> </w:t>
      </w:r>
      <w:r>
        <w:rPr>
          <w:spacing w:val="-2"/>
        </w:rPr>
        <w:t>Evolución</w:t>
      </w:r>
    </w:p>
    <w:p>
      <w:pPr>
        <w:pStyle w:val="BodyText"/>
        <w:spacing w:before="7"/>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75"/>
        <w:gridCol w:w="2302"/>
        <w:gridCol w:w="708"/>
        <w:gridCol w:w="1843"/>
        <w:gridCol w:w="1607"/>
        <w:gridCol w:w="1197"/>
      </w:tblGrid>
      <w:tr>
        <w:trPr>
          <w:trHeight w:val="325" w:hRule="atLeast"/>
        </w:trPr>
        <w:tc>
          <w:tcPr>
            <w:tcW w:w="1375" w:type="dxa"/>
            <w:vMerge w:val="restart"/>
            <w:shd w:val="clear" w:color="auto" w:fill="365F92"/>
          </w:tcPr>
          <w:p>
            <w:pPr>
              <w:pStyle w:val="TableParagraph"/>
              <w:spacing w:before="130"/>
              <w:ind w:left="69"/>
              <w:rPr>
                <w:b/>
                <w:sz w:val="20"/>
              </w:rPr>
            </w:pPr>
            <w:r>
              <w:rPr>
                <w:b/>
                <w:color w:val="FFFFFF"/>
                <w:spacing w:val="-2"/>
                <w:sz w:val="20"/>
              </w:rPr>
              <w:t>Cuenta</w:t>
            </w:r>
          </w:p>
        </w:tc>
        <w:tc>
          <w:tcPr>
            <w:tcW w:w="2302" w:type="dxa"/>
            <w:vMerge w:val="restart"/>
            <w:shd w:val="clear" w:color="auto" w:fill="365F92"/>
          </w:tcPr>
          <w:p>
            <w:pPr>
              <w:pStyle w:val="TableParagraph"/>
              <w:spacing w:before="220"/>
              <w:ind w:left="669"/>
              <w:rPr>
                <w:b/>
                <w:sz w:val="20"/>
              </w:rPr>
            </w:pPr>
            <w:r>
              <w:rPr>
                <w:b/>
                <w:color w:val="FFFFFF"/>
                <w:spacing w:val="-2"/>
                <w:sz w:val="20"/>
              </w:rPr>
              <w:t>Descripción</w:t>
            </w:r>
          </w:p>
        </w:tc>
        <w:tc>
          <w:tcPr>
            <w:tcW w:w="708" w:type="dxa"/>
            <w:vMerge w:val="restart"/>
            <w:shd w:val="clear" w:color="auto" w:fill="365F92"/>
          </w:tcPr>
          <w:p>
            <w:pPr>
              <w:pStyle w:val="TableParagraph"/>
              <w:spacing w:before="220"/>
              <w:ind w:left="158"/>
              <w:rPr>
                <w:b/>
                <w:sz w:val="20"/>
              </w:rPr>
            </w:pPr>
            <w:r>
              <w:rPr>
                <w:b/>
                <w:color w:val="FFFFFF"/>
                <w:spacing w:val="-4"/>
                <w:sz w:val="20"/>
              </w:rPr>
              <w:t>Nota</w:t>
            </w:r>
          </w:p>
        </w:tc>
        <w:tc>
          <w:tcPr>
            <w:tcW w:w="1843" w:type="dxa"/>
            <w:vMerge w:val="restart"/>
            <w:shd w:val="clear" w:color="auto" w:fill="365F92"/>
          </w:tcPr>
          <w:p>
            <w:pPr>
              <w:pStyle w:val="TableParagraph"/>
              <w:spacing w:before="220"/>
              <w:ind w:left="345"/>
              <w:rPr>
                <w:b/>
                <w:sz w:val="20"/>
              </w:rPr>
            </w:pPr>
            <w:r>
              <w:rPr>
                <w:b/>
                <w:color w:val="FFFFFF"/>
                <w:sz w:val="20"/>
              </w:rPr>
              <w:t>Periodo</w:t>
            </w:r>
            <w:r>
              <w:rPr>
                <w:b/>
                <w:color w:val="FFFFFF"/>
                <w:spacing w:val="-5"/>
                <w:sz w:val="20"/>
              </w:rPr>
              <w:t> </w:t>
            </w:r>
            <w:r>
              <w:rPr>
                <w:b/>
                <w:color w:val="FFFFFF"/>
                <w:spacing w:val="-2"/>
                <w:sz w:val="20"/>
              </w:rPr>
              <w:t>Actual</w:t>
            </w:r>
          </w:p>
        </w:tc>
        <w:tc>
          <w:tcPr>
            <w:tcW w:w="1607" w:type="dxa"/>
            <w:vMerge w:val="restart"/>
            <w:shd w:val="clear" w:color="auto" w:fill="365F92"/>
          </w:tcPr>
          <w:p>
            <w:pPr>
              <w:pStyle w:val="TableParagraph"/>
              <w:spacing w:before="220"/>
              <w:ind w:left="147"/>
              <w:rPr>
                <w:b/>
                <w:sz w:val="20"/>
              </w:rPr>
            </w:pPr>
            <w:r>
              <w:rPr>
                <w:b/>
                <w:color w:val="FFFFFF"/>
                <w:sz w:val="20"/>
              </w:rPr>
              <w:t>Periodo</w:t>
            </w:r>
            <w:r>
              <w:rPr>
                <w:b/>
                <w:color w:val="FFFFFF"/>
                <w:spacing w:val="-5"/>
                <w:sz w:val="20"/>
              </w:rPr>
              <w:t> </w:t>
            </w:r>
            <w:r>
              <w:rPr>
                <w:b/>
                <w:color w:val="FFFFFF"/>
                <w:spacing w:val="-2"/>
                <w:sz w:val="20"/>
              </w:rPr>
              <w:t>Anterior</w:t>
            </w:r>
          </w:p>
        </w:tc>
        <w:tc>
          <w:tcPr>
            <w:tcW w:w="1197" w:type="dxa"/>
            <w:shd w:val="clear" w:color="auto" w:fill="365F92"/>
          </w:tcPr>
          <w:p>
            <w:pPr>
              <w:pStyle w:val="TableParagraph"/>
              <w:spacing w:before="46"/>
              <w:ind w:left="28" w:right="6"/>
              <w:jc w:val="center"/>
              <w:rPr>
                <w:b/>
                <w:sz w:val="20"/>
              </w:rPr>
            </w:pPr>
            <w:r>
              <w:rPr>
                <w:b/>
                <w:color w:val="FFFFFF"/>
                <w:spacing w:val="-2"/>
                <w:sz w:val="20"/>
              </w:rPr>
              <w:t>Diferencia</w:t>
            </w:r>
          </w:p>
        </w:tc>
      </w:tr>
      <w:tr>
        <w:trPr>
          <w:trHeight w:val="323" w:hRule="atLeast"/>
        </w:trPr>
        <w:tc>
          <w:tcPr>
            <w:tcW w:w="1375" w:type="dxa"/>
            <w:vMerge/>
            <w:tcBorders>
              <w:top w:val="nil"/>
            </w:tcBorders>
            <w:shd w:val="clear" w:color="auto" w:fill="365F92"/>
          </w:tcPr>
          <w:p>
            <w:pPr>
              <w:rPr>
                <w:sz w:val="2"/>
                <w:szCs w:val="2"/>
              </w:rPr>
            </w:pPr>
          </w:p>
        </w:tc>
        <w:tc>
          <w:tcPr>
            <w:tcW w:w="2302" w:type="dxa"/>
            <w:vMerge/>
            <w:tcBorders>
              <w:top w:val="nil"/>
            </w:tcBorders>
            <w:shd w:val="clear" w:color="auto" w:fill="365F92"/>
          </w:tcPr>
          <w:p>
            <w:pPr>
              <w:rPr>
                <w:sz w:val="2"/>
                <w:szCs w:val="2"/>
              </w:rPr>
            </w:pPr>
          </w:p>
        </w:tc>
        <w:tc>
          <w:tcPr>
            <w:tcW w:w="708" w:type="dxa"/>
            <w:vMerge/>
            <w:tcBorders>
              <w:top w:val="nil"/>
            </w:tcBorders>
            <w:shd w:val="clear" w:color="auto" w:fill="365F92"/>
          </w:tcPr>
          <w:p>
            <w:pPr>
              <w:rPr>
                <w:sz w:val="2"/>
                <w:szCs w:val="2"/>
              </w:rPr>
            </w:pPr>
          </w:p>
        </w:tc>
        <w:tc>
          <w:tcPr>
            <w:tcW w:w="1843" w:type="dxa"/>
            <w:vMerge/>
            <w:tcBorders>
              <w:top w:val="nil"/>
            </w:tcBorders>
            <w:shd w:val="clear" w:color="auto" w:fill="365F92"/>
          </w:tcPr>
          <w:p>
            <w:pPr>
              <w:rPr>
                <w:sz w:val="2"/>
                <w:szCs w:val="2"/>
              </w:rPr>
            </w:pPr>
          </w:p>
        </w:tc>
        <w:tc>
          <w:tcPr>
            <w:tcW w:w="1607" w:type="dxa"/>
            <w:vMerge/>
            <w:tcBorders>
              <w:top w:val="nil"/>
            </w:tcBorders>
            <w:shd w:val="clear" w:color="auto" w:fill="365F92"/>
          </w:tcPr>
          <w:p>
            <w:pPr>
              <w:rPr>
                <w:sz w:val="2"/>
                <w:szCs w:val="2"/>
              </w:rPr>
            </w:pPr>
          </w:p>
        </w:tc>
        <w:tc>
          <w:tcPr>
            <w:tcW w:w="1197" w:type="dxa"/>
            <w:shd w:val="clear" w:color="auto" w:fill="365F92"/>
          </w:tcPr>
          <w:p>
            <w:pPr>
              <w:pStyle w:val="TableParagraph"/>
              <w:spacing w:before="46"/>
              <w:ind w:left="28" w:right="7"/>
              <w:jc w:val="center"/>
              <w:rPr>
                <w:sz w:val="20"/>
              </w:rPr>
            </w:pPr>
            <w:r>
              <w:rPr>
                <w:color w:val="FFFFFF"/>
                <w:spacing w:val="-10"/>
                <w:sz w:val="20"/>
              </w:rPr>
              <w:t>%</w:t>
            </w:r>
          </w:p>
        </w:tc>
      </w:tr>
      <w:tr>
        <w:trPr>
          <w:trHeight w:val="457" w:hRule="atLeast"/>
        </w:trPr>
        <w:tc>
          <w:tcPr>
            <w:tcW w:w="1375" w:type="dxa"/>
          </w:tcPr>
          <w:p>
            <w:pPr>
              <w:pStyle w:val="TableParagraph"/>
              <w:spacing w:before="113"/>
              <w:ind w:left="69"/>
              <w:rPr>
                <w:b/>
                <w:sz w:val="20"/>
              </w:rPr>
            </w:pPr>
            <w:r>
              <w:rPr>
                <w:b/>
                <w:spacing w:val="-2"/>
                <w:sz w:val="20"/>
              </w:rPr>
              <w:t>3.2.2.</w:t>
            </w:r>
          </w:p>
        </w:tc>
        <w:tc>
          <w:tcPr>
            <w:tcW w:w="2302" w:type="dxa"/>
          </w:tcPr>
          <w:p>
            <w:pPr>
              <w:pStyle w:val="TableParagraph"/>
              <w:spacing w:line="227" w:lineRule="exact"/>
              <w:ind w:left="69"/>
              <w:rPr>
                <w:b/>
                <w:sz w:val="20"/>
              </w:rPr>
            </w:pPr>
            <w:r>
              <w:rPr>
                <w:b/>
                <w:sz w:val="20"/>
              </w:rPr>
              <w:t>Intereses</w:t>
            </w:r>
            <w:r>
              <w:rPr>
                <w:b/>
                <w:spacing w:val="-8"/>
                <w:sz w:val="20"/>
              </w:rPr>
              <w:t> </w:t>
            </w:r>
            <w:r>
              <w:rPr>
                <w:b/>
                <w:sz w:val="20"/>
              </w:rPr>
              <w:t>minoritarios</w:t>
            </w:r>
            <w:r>
              <w:rPr>
                <w:b/>
                <w:spacing w:val="-6"/>
                <w:sz w:val="20"/>
              </w:rPr>
              <w:t> </w:t>
            </w:r>
            <w:r>
              <w:rPr>
                <w:b/>
                <w:spacing w:val="-10"/>
                <w:sz w:val="20"/>
              </w:rPr>
              <w:t>-</w:t>
            </w:r>
          </w:p>
          <w:p>
            <w:pPr>
              <w:pStyle w:val="TableParagraph"/>
              <w:spacing w:line="211" w:lineRule="exact"/>
              <w:ind w:left="69"/>
              <w:rPr>
                <w:b/>
                <w:sz w:val="20"/>
              </w:rPr>
            </w:pPr>
            <w:r>
              <w:rPr>
                <w:b/>
                <w:spacing w:val="-2"/>
                <w:sz w:val="20"/>
              </w:rPr>
              <w:t>Evolución</w:t>
            </w:r>
          </w:p>
        </w:tc>
        <w:tc>
          <w:tcPr>
            <w:tcW w:w="708" w:type="dxa"/>
          </w:tcPr>
          <w:p>
            <w:pPr>
              <w:pStyle w:val="TableParagraph"/>
              <w:spacing w:before="113"/>
              <w:ind w:left="18"/>
              <w:jc w:val="center"/>
              <w:rPr>
                <w:b/>
                <w:sz w:val="20"/>
              </w:rPr>
            </w:pPr>
            <w:r>
              <w:rPr>
                <w:b/>
                <w:spacing w:val="-5"/>
                <w:sz w:val="20"/>
              </w:rPr>
              <w:t>30</w:t>
            </w:r>
          </w:p>
        </w:tc>
        <w:tc>
          <w:tcPr>
            <w:tcW w:w="1843" w:type="dxa"/>
          </w:tcPr>
          <w:p>
            <w:pPr>
              <w:pStyle w:val="TableParagraph"/>
              <w:spacing w:before="113"/>
              <w:ind w:left="18"/>
              <w:jc w:val="center"/>
              <w:rPr>
                <w:b/>
                <w:sz w:val="20"/>
              </w:rPr>
            </w:pPr>
            <w:r>
              <w:rPr>
                <w:b/>
                <w:spacing w:val="-4"/>
                <w:sz w:val="20"/>
              </w:rPr>
              <w:t>0,00</w:t>
            </w:r>
          </w:p>
        </w:tc>
        <w:tc>
          <w:tcPr>
            <w:tcW w:w="1607" w:type="dxa"/>
          </w:tcPr>
          <w:p>
            <w:pPr>
              <w:pStyle w:val="TableParagraph"/>
              <w:spacing w:before="113"/>
              <w:ind w:left="20"/>
              <w:jc w:val="center"/>
              <w:rPr>
                <w:b/>
                <w:sz w:val="20"/>
              </w:rPr>
            </w:pPr>
            <w:r>
              <w:rPr>
                <w:b/>
                <w:spacing w:val="-4"/>
                <w:sz w:val="20"/>
              </w:rPr>
              <w:t>0,00</w:t>
            </w:r>
          </w:p>
        </w:tc>
        <w:tc>
          <w:tcPr>
            <w:tcW w:w="1197" w:type="dxa"/>
          </w:tcPr>
          <w:p>
            <w:pPr>
              <w:pStyle w:val="TableParagraph"/>
              <w:spacing w:before="113"/>
              <w:ind w:left="28" w:right="3"/>
              <w:jc w:val="center"/>
              <w:rPr>
                <w:b/>
                <w:sz w:val="20"/>
              </w:rPr>
            </w:pPr>
            <w:r>
              <w:rPr>
                <w:b/>
                <w:spacing w:val="-2"/>
                <w:sz w:val="20"/>
              </w:rPr>
              <w:t>0,00%</w:t>
            </w:r>
          </w:p>
        </w:tc>
      </w:tr>
    </w:tbl>
    <w:p>
      <w:pPr>
        <w:pStyle w:val="BodyText"/>
        <w:rPr>
          <w:sz w:val="20"/>
        </w:rPr>
      </w:pPr>
    </w:p>
    <w:p>
      <w:pPr>
        <w:pStyle w:val="BodyText"/>
        <w:spacing w:before="166"/>
        <w:rPr>
          <w:sz w:val="20"/>
        </w:rPr>
      </w:pPr>
      <w:r>
        <w:rPr>
          <w:sz w:val="20"/>
        </w:rPr>
        <mc:AlternateContent>
          <mc:Choice Requires="wps">
            <w:drawing>
              <wp:anchor distT="0" distB="0" distL="0" distR="0" allowOverlap="1" layoutInCell="1" locked="0" behindDoc="1" simplePos="0" relativeHeight="487768064">
                <wp:simplePos x="0" y="0"/>
                <wp:positionH relativeFrom="page">
                  <wp:posOffset>1080820</wp:posOffset>
                </wp:positionH>
                <wp:positionV relativeFrom="paragraph">
                  <wp:posOffset>268906</wp:posOffset>
                </wp:positionV>
                <wp:extent cx="5715000" cy="541020"/>
                <wp:effectExtent l="0" t="0" r="0" b="0"/>
                <wp:wrapTopAndBottom/>
                <wp:docPr id="890" name="Textbox 890"/>
                <wp:cNvGraphicFramePr>
                  <a:graphicFrameLocks/>
                </wp:cNvGraphicFramePr>
                <a:graphic>
                  <a:graphicData uri="http://schemas.microsoft.com/office/word/2010/wordprocessingShape">
                    <wps:wsp>
                      <wps:cNvPr id="890" name="Textbox 890"/>
                      <wps:cNvSpPr txBox="1"/>
                      <wps:spPr>
                        <a:xfrm>
                          <a:off x="0" y="0"/>
                          <a:ext cx="5715000" cy="5410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wps:txbx>
                      <wps:bodyPr wrap="square" lIns="0" tIns="0" rIns="0" bIns="0" rtlCol="0">
                        <a:noAutofit/>
                      </wps:bodyPr>
                    </wps:wsp>
                  </a:graphicData>
                </a:graphic>
              </wp:anchor>
            </w:drawing>
          </mc:Choice>
          <mc:Fallback>
            <w:pict>
              <v:shape style="position:absolute;margin-left:85.103996pt;margin-top:21.173771pt;width:450pt;height:42.6pt;mso-position-horizontal-relative:page;mso-position-vertical-relative:paragraph;z-index:-15548416;mso-wrap-distance-left:0;mso-wrap-distance-right:0" type="#_x0000_t202" id="docshape86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2"/>
                        </w:rPr>
                        <w:t> </w:t>
                      </w:r>
                      <w:r>
                        <w:rPr/>
                        <w:t>31</w:t>
                      </w:r>
                      <w:r>
                        <w:rPr>
                          <w:spacing w:val="-2"/>
                        </w:rPr>
                        <w:t> </w:t>
                      </w:r>
                      <w:r>
                        <w:rPr/>
                        <w:t>de</w:t>
                      </w:r>
                      <w:r>
                        <w:rPr>
                          <w:spacing w:val="-3"/>
                        </w:rPr>
                        <w:t> </w:t>
                      </w:r>
                      <w:r>
                        <w:rPr/>
                        <w:t>julio</w:t>
                      </w:r>
                      <w:r>
                        <w:rPr>
                          <w:spacing w:val="-1"/>
                        </w:rPr>
                        <w:t> </w:t>
                      </w:r>
                      <w:r>
                        <w:rPr/>
                        <w:t>2026,</w:t>
                      </w:r>
                      <w:r>
                        <w:rPr>
                          <w:spacing w:val="-2"/>
                        </w:rPr>
                        <w:t> </w:t>
                      </w:r>
                      <w:r>
                        <w:rPr/>
                        <w:t>la</w:t>
                      </w:r>
                      <w:r>
                        <w:rPr>
                          <w:spacing w:val="-4"/>
                        </w:rPr>
                        <w:t> </w:t>
                      </w:r>
                      <w:r>
                        <w:rPr/>
                        <w:t>cuenta</w:t>
                      </w:r>
                      <w:r>
                        <w:rPr>
                          <w:spacing w:val="-1"/>
                        </w:rPr>
                        <w:t> </w:t>
                      </w:r>
                      <w:r>
                        <w:rPr/>
                        <w:t>no</w:t>
                      </w:r>
                      <w:r>
                        <w:rPr>
                          <w:spacing w:val="-2"/>
                        </w:rPr>
                        <w:t> </w:t>
                      </w:r>
                      <w:r>
                        <w:rPr/>
                        <w:t>presenta</w:t>
                      </w:r>
                      <w:r>
                        <w:rPr>
                          <w:spacing w:val="-5"/>
                        </w:rPr>
                        <w:t> </w:t>
                      </w:r>
                      <w:r>
                        <w:rPr/>
                        <w:t>ningún</w:t>
                      </w:r>
                      <w:r>
                        <w:rPr>
                          <w:spacing w:val="-4"/>
                        </w:rPr>
                        <w:t> </w:t>
                      </w:r>
                      <w:r>
                        <w:rPr>
                          <w:spacing w:val="-2"/>
                        </w:rPr>
                        <w:t>movimiento.</w:t>
                      </w:r>
                    </w:p>
                  </w:txbxContent>
                </v:textbox>
                <v:stroke dashstyle="solid"/>
                <w10:wrap type="topAndBottom"/>
              </v:shape>
            </w:pict>
          </mc:Fallback>
        </mc:AlternateContent>
      </w:r>
    </w:p>
    <w:p>
      <w:pPr>
        <w:pStyle w:val="BodyText"/>
      </w:pPr>
    </w:p>
    <w:p>
      <w:pPr>
        <w:pStyle w:val="BodyText"/>
        <w:spacing w:before="185"/>
      </w:pPr>
    </w:p>
    <w:p>
      <w:pPr>
        <w:spacing w:line="400" w:lineRule="auto" w:before="0"/>
        <w:ind w:left="622" w:right="1488" w:firstLine="1087"/>
        <w:jc w:val="left"/>
        <w:rPr>
          <w:b/>
          <w:sz w:val="22"/>
        </w:rPr>
      </w:pPr>
      <w:bookmarkStart w:name="_bookmark151" w:id="152"/>
      <w:bookmarkEnd w:id="152"/>
      <w:r>
        <w:rPr/>
      </w:r>
      <w:r>
        <w:rPr>
          <w:b/>
          <w:color w:val="1F3863"/>
          <w:sz w:val="22"/>
        </w:rPr>
        <w:t>NOTAS</w:t>
      </w:r>
      <w:r>
        <w:rPr>
          <w:b/>
          <w:color w:val="1F3863"/>
          <w:spacing w:val="-4"/>
          <w:sz w:val="22"/>
        </w:rPr>
        <w:t> </w:t>
      </w:r>
      <w:r>
        <w:rPr>
          <w:b/>
          <w:color w:val="1F3863"/>
          <w:sz w:val="22"/>
        </w:rPr>
        <w:t>DEL</w:t>
      </w:r>
      <w:r>
        <w:rPr>
          <w:b/>
          <w:color w:val="1F3863"/>
          <w:spacing w:val="-5"/>
          <w:sz w:val="22"/>
        </w:rPr>
        <w:t> </w:t>
      </w:r>
      <w:r>
        <w:rPr>
          <w:b/>
          <w:color w:val="1F3863"/>
          <w:sz w:val="22"/>
        </w:rPr>
        <w:t>ESTADO</w:t>
      </w:r>
      <w:r>
        <w:rPr>
          <w:b/>
          <w:color w:val="1F3863"/>
          <w:spacing w:val="-5"/>
          <w:sz w:val="22"/>
        </w:rPr>
        <w:t> </w:t>
      </w:r>
      <w:r>
        <w:rPr>
          <w:b/>
          <w:color w:val="1F3863"/>
          <w:sz w:val="22"/>
        </w:rPr>
        <w:t>DE</w:t>
      </w:r>
      <w:r>
        <w:rPr>
          <w:b/>
          <w:color w:val="1F3863"/>
          <w:spacing w:val="-6"/>
          <w:sz w:val="22"/>
        </w:rPr>
        <w:t> </w:t>
      </w:r>
      <w:r>
        <w:rPr>
          <w:b/>
          <w:color w:val="1F3863"/>
          <w:sz w:val="22"/>
        </w:rPr>
        <w:t>SITUACIÓN</w:t>
      </w:r>
      <w:r>
        <w:rPr>
          <w:b/>
          <w:color w:val="1F3863"/>
          <w:spacing w:val="-4"/>
          <w:sz w:val="22"/>
        </w:rPr>
        <w:t> </w:t>
      </w:r>
      <w:r>
        <w:rPr>
          <w:b/>
          <w:color w:val="1F3863"/>
          <w:sz w:val="22"/>
        </w:rPr>
        <w:t>Y</w:t>
      </w:r>
      <w:r>
        <w:rPr>
          <w:b/>
          <w:color w:val="1F3863"/>
          <w:spacing w:val="-6"/>
          <w:sz w:val="22"/>
        </w:rPr>
        <w:t> </w:t>
      </w:r>
      <w:r>
        <w:rPr>
          <w:b/>
          <w:color w:val="1F3863"/>
          <w:sz w:val="22"/>
        </w:rPr>
        <w:t>EVOLUCIÓN</w:t>
      </w:r>
      <w:r>
        <w:rPr>
          <w:b/>
          <w:color w:val="1F3863"/>
          <w:spacing w:val="-4"/>
          <w:sz w:val="22"/>
        </w:rPr>
        <w:t> </w:t>
      </w:r>
      <w:r>
        <w:rPr>
          <w:b/>
          <w:color w:val="1F3863"/>
          <w:sz w:val="22"/>
        </w:rPr>
        <w:t>DE</w:t>
      </w:r>
      <w:r>
        <w:rPr>
          <w:b/>
          <w:color w:val="1F3863"/>
          <w:spacing w:val="-6"/>
          <w:sz w:val="22"/>
        </w:rPr>
        <w:t> </w:t>
      </w:r>
      <w:r>
        <w:rPr>
          <w:b/>
          <w:color w:val="1F3863"/>
          <w:sz w:val="22"/>
        </w:rPr>
        <w:t>BIENES </w:t>
      </w:r>
      <w:bookmarkStart w:name="_bookmark152" w:id="153"/>
      <w:bookmarkEnd w:id="153"/>
      <w:r>
        <w:rPr>
          <w:b/>
          <w:color w:val="1F3863"/>
          <w:sz w:val="22"/>
        </w:rPr>
      </w:r>
      <w:r>
        <w:rPr>
          <w:b/>
          <w:sz w:val="22"/>
        </w:rPr>
        <w:t>NOTA N° 91</w:t>
      </w:r>
    </w:p>
    <w:p>
      <w:pPr>
        <w:pStyle w:val="Heading6"/>
        <w:spacing w:before="194"/>
        <w:ind w:left="622"/>
      </w:pPr>
      <w:r>
        <w:rPr>
          <w:u w:val="single"/>
        </w:rPr>
        <w:t>Bienes</w:t>
      </w:r>
      <w:r>
        <w:rPr>
          <w:spacing w:val="-2"/>
          <w:u w:val="single"/>
        </w:rPr>
        <w:t> </w:t>
      </w:r>
      <w:r>
        <w:rPr>
          <w:u w:val="single"/>
        </w:rPr>
        <w:t>no</w:t>
      </w:r>
      <w:r>
        <w:rPr>
          <w:spacing w:val="-2"/>
          <w:u w:val="single"/>
        </w:rPr>
        <w:t> concesionados</w:t>
      </w:r>
    </w:p>
    <w:p>
      <w:pPr>
        <w:pStyle w:val="BodyText"/>
        <w:spacing w:before="9"/>
        <w:rPr>
          <w:b/>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0"/>
        <w:gridCol w:w="2168"/>
        <w:gridCol w:w="572"/>
        <w:gridCol w:w="1824"/>
        <w:gridCol w:w="2031"/>
        <w:gridCol w:w="1186"/>
      </w:tblGrid>
      <w:tr>
        <w:trPr>
          <w:trHeight w:val="342" w:hRule="atLeast"/>
        </w:trPr>
        <w:tc>
          <w:tcPr>
            <w:tcW w:w="1320" w:type="dxa"/>
            <w:vMerge w:val="restart"/>
            <w:shd w:val="clear" w:color="auto" w:fill="365F92"/>
          </w:tcPr>
          <w:p>
            <w:pPr>
              <w:pStyle w:val="TableParagraph"/>
              <w:spacing w:before="137"/>
              <w:ind w:left="69"/>
              <w:rPr>
                <w:b/>
                <w:sz w:val="22"/>
              </w:rPr>
            </w:pPr>
            <w:r>
              <w:rPr>
                <w:b/>
                <w:color w:val="FFFFFF"/>
                <w:spacing w:val="-2"/>
                <w:sz w:val="22"/>
              </w:rPr>
              <w:t>Cuenta</w:t>
            </w:r>
          </w:p>
        </w:tc>
        <w:tc>
          <w:tcPr>
            <w:tcW w:w="2168" w:type="dxa"/>
            <w:vMerge w:val="restart"/>
            <w:shd w:val="clear" w:color="auto" w:fill="365F92"/>
          </w:tcPr>
          <w:p>
            <w:pPr>
              <w:pStyle w:val="TableParagraph"/>
              <w:spacing w:before="225"/>
              <w:ind w:left="552"/>
              <w:rPr>
                <w:b/>
                <w:sz w:val="22"/>
              </w:rPr>
            </w:pPr>
            <w:r>
              <w:rPr>
                <w:b/>
                <w:color w:val="FFFFFF"/>
                <w:spacing w:val="-2"/>
                <w:sz w:val="22"/>
              </w:rPr>
              <w:t>Descripción</w:t>
            </w:r>
          </w:p>
        </w:tc>
        <w:tc>
          <w:tcPr>
            <w:tcW w:w="572" w:type="dxa"/>
            <w:vMerge w:val="restart"/>
            <w:shd w:val="clear" w:color="auto" w:fill="365F92"/>
          </w:tcPr>
          <w:p>
            <w:pPr>
              <w:pStyle w:val="TableParagraph"/>
              <w:spacing w:before="225"/>
              <w:ind w:left="68"/>
              <w:rPr>
                <w:b/>
                <w:sz w:val="22"/>
              </w:rPr>
            </w:pPr>
            <w:r>
              <w:rPr>
                <w:b/>
                <w:color w:val="FFFFFF"/>
                <w:spacing w:val="-4"/>
                <w:sz w:val="22"/>
              </w:rPr>
              <w:t>Nota</w:t>
            </w:r>
          </w:p>
        </w:tc>
        <w:tc>
          <w:tcPr>
            <w:tcW w:w="1824" w:type="dxa"/>
            <w:vMerge w:val="restart"/>
            <w:shd w:val="clear" w:color="auto" w:fill="365F92"/>
          </w:tcPr>
          <w:p>
            <w:pPr>
              <w:pStyle w:val="TableParagraph"/>
              <w:spacing w:before="225"/>
              <w:ind w:left="277"/>
              <w:rPr>
                <w:b/>
                <w:sz w:val="22"/>
              </w:rPr>
            </w:pPr>
            <w:r>
              <w:rPr>
                <w:b/>
                <w:color w:val="FFFFFF"/>
                <w:sz w:val="22"/>
              </w:rPr>
              <w:t>Periodo</w:t>
            </w:r>
            <w:r>
              <w:rPr>
                <w:b/>
                <w:color w:val="FFFFFF"/>
                <w:spacing w:val="-4"/>
                <w:sz w:val="22"/>
              </w:rPr>
              <w:t> </w:t>
            </w:r>
            <w:r>
              <w:rPr>
                <w:b/>
                <w:color w:val="FFFFFF"/>
                <w:spacing w:val="-2"/>
                <w:sz w:val="22"/>
              </w:rPr>
              <w:t>Actual</w:t>
            </w:r>
          </w:p>
        </w:tc>
        <w:tc>
          <w:tcPr>
            <w:tcW w:w="2031" w:type="dxa"/>
            <w:vMerge w:val="restart"/>
            <w:shd w:val="clear" w:color="auto" w:fill="365F92"/>
          </w:tcPr>
          <w:p>
            <w:pPr>
              <w:pStyle w:val="TableParagraph"/>
              <w:spacing w:before="225"/>
              <w:ind w:left="289"/>
              <w:rPr>
                <w:b/>
                <w:sz w:val="22"/>
              </w:rPr>
            </w:pPr>
            <w:r>
              <w:rPr>
                <w:b/>
                <w:color w:val="FFFFFF"/>
                <w:sz w:val="22"/>
              </w:rPr>
              <w:t>Periodo</w:t>
            </w:r>
            <w:r>
              <w:rPr>
                <w:b/>
                <w:color w:val="FFFFFF"/>
                <w:spacing w:val="-4"/>
                <w:sz w:val="22"/>
              </w:rPr>
              <w:t> </w:t>
            </w:r>
            <w:r>
              <w:rPr>
                <w:b/>
                <w:color w:val="FFFFFF"/>
                <w:spacing w:val="-2"/>
                <w:sz w:val="22"/>
              </w:rPr>
              <w:t>Anterior</w:t>
            </w:r>
          </w:p>
        </w:tc>
        <w:tc>
          <w:tcPr>
            <w:tcW w:w="1186" w:type="dxa"/>
            <w:shd w:val="clear" w:color="auto" w:fill="365F92"/>
          </w:tcPr>
          <w:p>
            <w:pPr>
              <w:pStyle w:val="TableParagraph"/>
              <w:spacing w:before="45"/>
              <w:ind w:left="18" w:right="3"/>
              <w:jc w:val="center"/>
              <w:rPr>
                <w:b/>
                <w:sz w:val="22"/>
              </w:rPr>
            </w:pPr>
            <w:r>
              <w:rPr>
                <w:b/>
                <w:color w:val="FFFFFF"/>
                <w:spacing w:val="-2"/>
                <w:sz w:val="22"/>
              </w:rPr>
              <w:t>Diferencia</w:t>
            </w:r>
          </w:p>
        </w:tc>
      </w:tr>
      <w:tr>
        <w:trPr>
          <w:trHeight w:val="340" w:hRule="atLeast"/>
        </w:trPr>
        <w:tc>
          <w:tcPr>
            <w:tcW w:w="1320" w:type="dxa"/>
            <w:vMerge/>
            <w:tcBorders>
              <w:top w:val="nil"/>
            </w:tcBorders>
            <w:shd w:val="clear" w:color="auto" w:fill="365F92"/>
          </w:tcPr>
          <w:p>
            <w:pPr>
              <w:rPr>
                <w:sz w:val="2"/>
                <w:szCs w:val="2"/>
              </w:rPr>
            </w:pPr>
          </w:p>
        </w:tc>
        <w:tc>
          <w:tcPr>
            <w:tcW w:w="2168" w:type="dxa"/>
            <w:vMerge/>
            <w:tcBorders>
              <w:top w:val="nil"/>
            </w:tcBorders>
            <w:shd w:val="clear" w:color="auto" w:fill="365F92"/>
          </w:tcPr>
          <w:p>
            <w:pPr>
              <w:rPr>
                <w:sz w:val="2"/>
                <w:szCs w:val="2"/>
              </w:rPr>
            </w:pPr>
          </w:p>
        </w:tc>
        <w:tc>
          <w:tcPr>
            <w:tcW w:w="572" w:type="dxa"/>
            <w:vMerge/>
            <w:tcBorders>
              <w:top w:val="nil"/>
            </w:tcBorders>
            <w:shd w:val="clear" w:color="auto" w:fill="365F92"/>
          </w:tcPr>
          <w:p>
            <w:pPr>
              <w:rPr>
                <w:sz w:val="2"/>
                <w:szCs w:val="2"/>
              </w:rPr>
            </w:pPr>
          </w:p>
        </w:tc>
        <w:tc>
          <w:tcPr>
            <w:tcW w:w="1824" w:type="dxa"/>
            <w:vMerge/>
            <w:tcBorders>
              <w:top w:val="nil"/>
            </w:tcBorders>
            <w:shd w:val="clear" w:color="auto" w:fill="365F92"/>
          </w:tcPr>
          <w:p>
            <w:pPr>
              <w:rPr>
                <w:sz w:val="2"/>
                <w:szCs w:val="2"/>
              </w:rPr>
            </w:pPr>
          </w:p>
        </w:tc>
        <w:tc>
          <w:tcPr>
            <w:tcW w:w="2031" w:type="dxa"/>
            <w:vMerge/>
            <w:tcBorders>
              <w:top w:val="nil"/>
            </w:tcBorders>
            <w:shd w:val="clear" w:color="auto" w:fill="365F92"/>
          </w:tcPr>
          <w:p>
            <w:pPr>
              <w:rPr>
                <w:sz w:val="2"/>
                <w:szCs w:val="2"/>
              </w:rPr>
            </w:pPr>
          </w:p>
        </w:tc>
        <w:tc>
          <w:tcPr>
            <w:tcW w:w="1186" w:type="dxa"/>
            <w:shd w:val="clear" w:color="auto" w:fill="365F92"/>
          </w:tcPr>
          <w:p>
            <w:pPr>
              <w:pStyle w:val="TableParagraph"/>
              <w:spacing w:before="45"/>
              <w:ind w:left="18"/>
              <w:jc w:val="center"/>
              <w:rPr>
                <w:sz w:val="22"/>
              </w:rPr>
            </w:pPr>
            <w:r>
              <w:rPr>
                <w:color w:val="FFFFFF"/>
                <w:spacing w:val="-10"/>
                <w:sz w:val="22"/>
              </w:rPr>
              <w:t>%</w:t>
            </w:r>
          </w:p>
        </w:tc>
      </w:tr>
      <w:tr>
        <w:trPr>
          <w:trHeight w:val="503" w:hRule="atLeast"/>
        </w:trPr>
        <w:tc>
          <w:tcPr>
            <w:tcW w:w="1320" w:type="dxa"/>
          </w:tcPr>
          <w:p>
            <w:pPr>
              <w:pStyle w:val="TableParagraph"/>
              <w:spacing w:before="127"/>
              <w:ind w:left="69"/>
              <w:rPr>
                <w:b/>
                <w:sz w:val="22"/>
              </w:rPr>
            </w:pPr>
            <w:r>
              <w:rPr>
                <w:b/>
                <w:spacing w:val="-2"/>
                <w:sz w:val="22"/>
              </w:rPr>
              <w:t>1.2.5.</w:t>
            </w:r>
          </w:p>
        </w:tc>
        <w:tc>
          <w:tcPr>
            <w:tcW w:w="2168" w:type="dxa"/>
          </w:tcPr>
          <w:p>
            <w:pPr>
              <w:pStyle w:val="TableParagraph"/>
              <w:tabs>
                <w:tab w:pos="1869" w:val="left" w:leader="none"/>
              </w:tabs>
              <w:ind w:left="69"/>
              <w:rPr>
                <w:b/>
                <w:sz w:val="22"/>
              </w:rPr>
            </w:pPr>
            <w:r>
              <w:rPr>
                <w:b/>
                <w:spacing w:val="-2"/>
                <w:sz w:val="22"/>
              </w:rPr>
              <w:t>Bienes</w:t>
            </w:r>
            <w:r>
              <w:rPr>
                <w:b/>
                <w:sz w:val="22"/>
              </w:rPr>
              <w:tab/>
            </w:r>
            <w:r>
              <w:rPr>
                <w:b/>
                <w:spacing w:val="-5"/>
                <w:sz w:val="22"/>
              </w:rPr>
              <w:t>no</w:t>
            </w:r>
          </w:p>
          <w:p>
            <w:pPr>
              <w:pStyle w:val="TableParagraph"/>
              <w:spacing w:line="231" w:lineRule="exact" w:before="1"/>
              <w:ind w:left="69"/>
              <w:rPr>
                <w:b/>
                <w:sz w:val="22"/>
              </w:rPr>
            </w:pPr>
            <w:r>
              <w:rPr>
                <w:b/>
                <w:spacing w:val="-2"/>
                <w:sz w:val="22"/>
              </w:rPr>
              <w:t>concesionados</w:t>
            </w:r>
          </w:p>
        </w:tc>
        <w:tc>
          <w:tcPr>
            <w:tcW w:w="572" w:type="dxa"/>
          </w:tcPr>
          <w:p>
            <w:pPr>
              <w:pStyle w:val="TableParagraph"/>
              <w:spacing w:before="127"/>
              <w:ind w:left="176"/>
              <w:rPr>
                <w:b/>
                <w:sz w:val="22"/>
              </w:rPr>
            </w:pPr>
            <w:r>
              <w:rPr>
                <w:b/>
                <w:spacing w:val="-5"/>
                <w:sz w:val="22"/>
              </w:rPr>
              <w:t>10</w:t>
            </w:r>
          </w:p>
        </w:tc>
        <w:tc>
          <w:tcPr>
            <w:tcW w:w="1824" w:type="dxa"/>
          </w:tcPr>
          <w:p>
            <w:pPr>
              <w:pStyle w:val="TableParagraph"/>
              <w:spacing w:before="137"/>
              <w:ind w:left="294"/>
              <w:rPr>
                <w:b/>
                <w:sz w:val="20"/>
              </w:rPr>
            </w:pPr>
            <w:r>
              <w:rPr>
                <w:b/>
                <w:sz w:val="20"/>
              </w:rPr>
              <w:t>138</w:t>
            </w:r>
            <w:r>
              <w:rPr>
                <w:b/>
                <w:spacing w:val="-3"/>
                <w:sz w:val="20"/>
              </w:rPr>
              <w:t> </w:t>
            </w:r>
            <w:r>
              <w:rPr>
                <w:b/>
                <w:sz w:val="20"/>
              </w:rPr>
              <w:t>588</w:t>
            </w:r>
            <w:r>
              <w:rPr>
                <w:b/>
                <w:spacing w:val="-3"/>
                <w:sz w:val="20"/>
              </w:rPr>
              <w:t> </w:t>
            </w:r>
            <w:r>
              <w:rPr>
                <w:b/>
                <w:spacing w:val="-2"/>
                <w:sz w:val="20"/>
              </w:rPr>
              <w:t>898,47</w:t>
            </w:r>
          </w:p>
        </w:tc>
        <w:tc>
          <w:tcPr>
            <w:tcW w:w="2031" w:type="dxa"/>
          </w:tcPr>
          <w:p>
            <w:pPr>
              <w:pStyle w:val="TableParagraph"/>
              <w:spacing w:before="137"/>
              <w:ind w:left="397"/>
              <w:rPr>
                <w:b/>
                <w:sz w:val="20"/>
              </w:rPr>
            </w:pPr>
            <w:r>
              <w:rPr>
                <w:b/>
                <w:sz w:val="20"/>
              </w:rPr>
              <w:t>139</w:t>
            </w:r>
            <w:r>
              <w:rPr>
                <w:b/>
                <w:spacing w:val="-3"/>
                <w:sz w:val="20"/>
              </w:rPr>
              <w:t> </w:t>
            </w:r>
            <w:r>
              <w:rPr>
                <w:b/>
                <w:sz w:val="20"/>
              </w:rPr>
              <w:t>453</w:t>
            </w:r>
            <w:r>
              <w:rPr>
                <w:b/>
                <w:spacing w:val="-3"/>
                <w:sz w:val="20"/>
              </w:rPr>
              <w:t> </w:t>
            </w:r>
            <w:r>
              <w:rPr>
                <w:b/>
                <w:spacing w:val="-2"/>
                <w:sz w:val="20"/>
              </w:rPr>
              <w:t>935,88</w:t>
            </w:r>
          </w:p>
        </w:tc>
        <w:tc>
          <w:tcPr>
            <w:tcW w:w="1186" w:type="dxa"/>
          </w:tcPr>
          <w:p>
            <w:pPr>
              <w:pStyle w:val="TableParagraph"/>
              <w:spacing w:before="137"/>
              <w:ind w:left="18"/>
              <w:jc w:val="center"/>
              <w:rPr>
                <w:b/>
                <w:sz w:val="20"/>
              </w:rPr>
            </w:pPr>
            <w:r>
              <w:rPr>
                <w:b/>
                <w:spacing w:val="-2"/>
                <w:sz w:val="20"/>
              </w:rPr>
              <w:t>-0,62%</w:t>
            </w:r>
          </w:p>
        </w:tc>
      </w:tr>
    </w:tbl>
    <w:p>
      <w:pPr>
        <w:spacing w:before="0"/>
        <w:ind w:left="622" w:right="0" w:firstLine="0"/>
        <w:jc w:val="left"/>
        <w:rPr>
          <w:b/>
          <w:sz w:val="22"/>
        </w:rPr>
      </w:pPr>
      <w:r>
        <w:rPr>
          <w:b/>
          <w:spacing w:val="-2"/>
          <w:sz w:val="22"/>
        </w:rPr>
        <w:t>Revelación:</w:t>
      </w:r>
    </w:p>
    <w:p>
      <w:pPr>
        <w:pStyle w:val="BodyText"/>
        <w:spacing w:line="259" w:lineRule="auto" w:before="20"/>
        <w:ind w:left="622" w:right="860"/>
      </w:pPr>
      <w:r>
        <w:rPr/>
        <w:t>La</w:t>
      </w:r>
      <w:r>
        <w:rPr>
          <w:spacing w:val="28"/>
        </w:rPr>
        <w:t> </w:t>
      </w:r>
      <w:r>
        <w:rPr/>
        <w:t>cuenta</w:t>
      </w:r>
      <w:r>
        <w:rPr>
          <w:spacing w:val="26"/>
        </w:rPr>
        <w:t> </w:t>
      </w:r>
      <w:r>
        <w:rPr/>
        <w:t>Bienes</w:t>
      </w:r>
      <w:r>
        <w:rPr>
          <w:spacing w:val="30"/>
        </w:rPr>
        <w:t> </w:t>
      </w:r>
      <w:r>
        <w:rPr/>
        <w:t>no</w:t>
      </w:r>
      <w:r>
        <w:rPr>
          <w:spacing w:val="27"/>
        </w:rPr>
        <w:t> </w:t>
      </w:r>
      <w:r>
        <w:rPr/>
        <w:t>concesionados,</w:t>
      </w:r>
      <w:r>
        <w:rPr>
          <w:spacing w:val="29"/>
        </w:rPr>
        <w:t> </w:t>
      </w:r>
      <w:r>
        <w:rPr/>
        <w:t>representa</w:t>
      </w:r>
      <w:r>
        <w:rPr>
          <w:spacing w:val="28"/>
        </w:rPr>
        <w:t> </w:t>
      </w:r>
      <w:r>
        <w:rPr/>
        <w:t>el</w:t>
      </w:r>
      <w:r>
        <w:rPr>
          <w:spacing w:val="32"/>
        </w:rPr>
        <w:t> </w:t>
      </w:r>
      <w:r>
        <w:rPr/>
        <w:t>69,43%</w:t>
      </w:r>
      <w:r>
        <w:rPr>
          <w:spacing w:val="28"/>
        </w:rPr>
        <w:t> </w:t>
      </w:r>
      <w:r>
        <w:rPr/>
        <w:t>del</w:t>
      </w:r>
      <w:r>
        <w:rPr>
          <w:spacing w:val="28"/>
        </w:rPr>
        <w:t> </w:t>
      </w:r>
      <w:r>
        <w:rPr/>
        <w:t>total</w:t>
      </w:r>
      <w:r>
        <w:rPr>
          <w:spacing w:val="28"/>
        </w:rPr>
        <w:t> </w:t>
      </w:r>
      <w:r>
        <w:rPr/>
        <w:t>del</w:t>
      </w:r>
      <w:r>
        <w:rPr>
          <w:spacing w:val="26"/>
        </w:rPr>
        <w:t> </w:t>
      </w:r>
      <w:r>
        <w:rPr/>
        <w:t>Activo,</w:t>
      </w:r>
      <w:r>
        <w:rPr>
          <w:spacing w:val="27"/>
        </w:rPr>
        <w:t> </w:t>
      </w:r>
      <w:r>
        <w:rPr/>
        <w:t>que</w:t>
      </w:r>
      <w:r>
        <w:rPr>
          <w:spacing w:val="29"/>
        </w:rPr>
        <w:t> </w:t>
      </w:r>
      <w:r>
        <w:rPr/>
        <w:t>comparado</w:t>
      </w:r>
      <w:r>
        <w:rPr>
          <w:spacing w:val="29"/>
        </w:rPr>
        <w:t> </w:t>
      </w:r>
      <w:r>
        <w:rPr/>
        <w:t>al periodo</w:t>
      </w:r>
      <w:r>
        <w:rPr>
          <w:spacing w:val="-10"/>
        </w:rPr>
        <w:t> </w:t>
      </w:r>
      <w:r>
        <w:rPr/>
        <w:t>anterior</w:t>
      </w:r>
      <w:r>
        <w:rPr>
          <w:spacing w:val="-9"/>
        </w:rPr>
        <w:t> </w:t>
      </w:r>
      <w:r>
        <w:rPr/>
        <w:t>genera</w:t>
      </w:r>
      <w:r>
        <w:rPr>
          <w:spacing w:val="-10"/>
        </w:rPr>
        <w:t> </w:t>
      </w:r>
      <w:r>
        <w:rPr/>
        <w:t>una</w:t>
      </w:r>
      <w:r>
        <w:rPr>
          <w:spacing w:val="-12"/>
        </w:rPr>
        <w:t> </w:t>
      </w:r>
      <w:r>
        <w:rPr/>
        <w:t>variación</w:t>
      </w:r>
      <w:r>
        <w:rPr>
          <w:spacing w:val="-9"/>
        </w:rPr>
        <w:t> </w:t>
      </w:r>
      <w:r>
        <w:rPr/>
        <w:t>absoluta</w:t>
      </w:r>
      <w:r>
        <w:rPr>
          <w:spacing w:val="-9"/>
        </w:rPr>
        <w:t> </w:t>
      </w:r>
      <w:r>
        <w:rPr/>
        <w:t>de</w:t>
      </w:r>
      <w:r>
        <w:rPr>
          <w:spacing w:val="-5"/>
        </w:rPr>
        <w:t> </w:t>
      </w:r>
      <w:r>
        <w:rPr/>
        <w:t>-865.037,41</w:t>
      </w:r>
      <w:r>
        <w:rPr>
          <w:spacing w:val="-10"/>
        </w:rPr>
        <w:t> </w:t>
      </w:r>
      <w:r>
        <w:rPr/>
        <w:t>que</w:t>
      </w:r>
      <w:r>
        <w:rPr>
          <w:spacing w:val="-8"/>
        </w:rPr>
        <w:t> </w:t>
      </w:r>
      <w:r>
        <w:rPr/>
        <w:t>corresponde</w:t>
      </w:r>
      <w:r>
        <w:rPr>
          <w:spacing w:val="-8"/>
        </w:rPr>
        <w:t> </w:t>
      </w:r>
      <w:r>
        <w:rPr/>
        <w:t>a</w:t>
      </w:r>
      <w:r>
        <w:rPr>
          <w:spacing w:val="-10"/>
        </w:rPr>
        <w:t> </w:t>
      </w:r>
      <w:r>
        <w:rPr/>
        <w:t>una</w:t>
      </w:r>
      <w:r>
        <w:rPr>
          <w:spacing w:val="-10"/>
        </w:rPr>
        <w:t> </w:t>
      </w:r>
      <w:r>
        <w:rPr/>
        <w:t>disminución</w:t>
      </w:r>
      <w:r>
        <w:rPr>
          <w:spacing w:val="-8"/>
        </w:rPr>
        <w:t> </w:t>
      </w:r>
      <w:r>
        <w:rPr>
          <w:spacing w:val="-5"/>
        </w:rPr>
        <w:t>del</w:t>
      </w:r>
    </w:p>
    <w:p>
      <w:pPr>
        <w:pStyle w:val="BodyText"/>
        <w:spacing w:before="1"/>
        <w:ind w:left="622"/>
      </w:pPr>
      <w:r>
        <w:rPr/>
        <w:t>-0,62%</w:t>
      </w:r>
      <w:r>
        <w:rPr>
          <w:spacing w:val="-4"/>
        </w:rPr>
        <w:t> </w:t>
      </w:r>
      <w:r>
        <w:rPr/>
        <w:t>de</w:t>
      </w:r>
      <w:r>
        <w:rPr>
          <w:spacing w:val="-3"/>
        </w:rPr>
        <w:t> </w:t>
      </w:r>
      <w:r>
        <w:rPr/>
        <w:t>recursos</w:t>
      </w:r>
      <w:r>
        <w:rPr>
          <w:spacing w:val="-3"/>
        </w:rPr>
        <w:t> </w:t>
      </w:r>
      <w:r>
        <w:rPr>
          <w:spacing w:val="-2"/>
        </w:rPr>
        <w:t>disponibles.</w:t>
      </w:r>
    </w:p>
    <w:p>
      <w:pPr>
        <w:pStyle w:val="BodyText"/>
        <w:spacing w:before="38"/>
      </w:pPr>
    </w:p>
    <w:p>
      <w:pPr>
        <w:pStyle w:val="BodyText"/>
        <w:ind w:left="622"/>
      </w:pPr>
      <w:r>
        <w:rPr/>
        <w:t>Al</w:t>
      </w:r>
      <w:r>
        <w:rPr>
          <w:spacing w:val="-4"/>
        </w:rPr>
        <w:t> </w:t>
      </w:r>
      <w:r>
        <w:rPr/>
        <w:t>31</w:t>
      </w:r>
      <w:r>
        <w:rPr>
          <w:spacing w:val="-2"/>
        </w:rPr>
        <w:t> </w:t>
      </w:r>
      <w:r>
        <w:rPr/>
        <w:t>de</w:t>
      </w:r>
      <w:r>
        <w:rPr>
          <w:spacing w:val="-3"/>
        </w:rPr>
        <w:t> </w:t>
      </w:r>
      <w:r>
        <w:rPr/>
        <w:t>julio</w:t>
      </w:r>
      <w:r>
        <w:rPr>
          <w:spacing w:val="-1"/>
        </w:rPr>
        <w:t> </w:t>
      </w:r>
      <w:r>
        <w:rPr/>
        <w:t>2026</w:t>
      </w:r>
      <w:r>
        <w:rPr>
          <w:spacing w:val="-4"/>
        </w:rPr>
        <w:t> </w:t>
      </w:r>
      <w:r>
        <w:rPr/>
        <w:t>y</w:t>
      </w:r>
      <w:r>
        <w:rPr>
          <w:spacing w:val="-3"/>
        </w:rPr>
        <w:t> </w:t>
      </w:r>
      <w:r>
        <w:rPr/>
        <w:t>2025</w:t>
      </w:r>
      <w:r>
        <w:rPr>
          <w:spacing w:val="-3"/>
        </w:rPr>
        <w:t> </w:t>
      </w:r>
      <w:r>
        <w:rPr/>
        <w:t>la</w:t>
      </w:r>
      <w:r>
        <w:rPr>
          <w:spacing w:val="-2"/>
        </w:rPr>
        <w:t> </w:t>
      </w:r>
      <w:r>
        <w:rPr/>
        <w:t>cuenta</w:t>
      </w:r>
      <w:r>
        <w:rPr>
          <w:spacing w:val="-2"/>
        </w:rPr>
        <w:t> </w:t>
      </w:r>
      <w:r>
        <w:rPr/>
        <w:t>se</w:t>
      </w:r>
      <w:r>
        <w:rPr>
          <w:spacing w:val="-3"/>
        </w:rPr>
        <w:t> </w:t>
      </w:r>
      <w:r>
        <w:rPr/>
        <w:t>detalla</w:t>
      </w:r>
      <w:r>
        <w:rPr>
          <w:spacing w:val="-3"/>
        </w:rPr>
        <w:t> </w:t>
      </w:r>
      <w:r>
        <w:rPr/>
        <w:t>de</w:t>
      </w:r>
      <w:r>
        <w:rPr>
          <w:spacing w:val="-4"/>
        </w:rPr>
        <w:t> </w:t>
      </w:r>
      <w:r>
        <w:rPr/>
        <w:t>la</w:t>
      </w:r>
      <w:r>
        <w:rPr>
          <w:spacing w:val="-4"/>
        </w:rPr>
        <w:t> </w:t>
      </w:r>
      <w:r>
        <w:rPr/>
        <w:t>siguiente</w:t>
      </w:r>
      <w:r>
        <w:rPr>
          <w:spacing w:val="-1"/>
        </w:rPr>
        <w:t> </w:t>
      </w:r>
      <w:r>
        <w:rPr>
          <w:spacing w:val="-2"/>
        </w:rPr>
        <w:t>manera:</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7008">
                <wp:simplePos x="0" y="0"/>
                <wp:positionH relativeFrom="page">
                  <wp:posOffset>9525</wp:posOffset>
                </wp:positionH>
                <wp:positionV relativeFrom="page">
                  <wp:posOffset>297208</wp:posOffset>
                </wp:positionV>
                <wp:extent cx="7762875" cy="9748520"/>
                <wp:effectExtent l="0" t="0" r="0" b="0"/>
                <wp:wrapNone/>
                <wp:docPr id="891" name="Group 891"/>
                <wp:cNvGraphicFramePr>
                  <a:graphicFrameLocks/>
                </wp:cNvGraphicFramePr>
                <a:graphic>
                  <a:graphicData uri="http://schemas.microsoft.com/office/word/2010/wordprocessingGroup">
                    <wpg:wgp>
                      <wpg:cNvPr id="891" name="Group 891"/>
                      <wpg:cNvGrpSpPr/>
                      <wpg:grpSpPr>
                        <a:xfrm>
                          <a:off x="0" y="0"/>
                          <a:ext cx="7762875" cy="9748520"/>
                          <a:chExt cx="7762875" cy="9748520"/>
                        </a:xfrm>
                      </wpg:grpSpPr>
                      <pic:pic>
                        <pic:nvPicPr>
                          <pic:cNvPr id="892" name="Image 892"/>
                          <pic:cNvPicPr/>
                        </pic:nvPicPr>
                        <pic:blipFill>
                          <a:blip r:embed="rId5" cstate="print"/>
                          <a:stretch>
                            <a:fillRect/>
                          </a:stretch>
                        </pic:blipFill>
                        <pic:spPr>
                          <a:xfrm>
                            <a:off x="0" y="0"/>
                            <a:ext cx="7762874" cy="9748489"/>
                          </a:xfrm>
                          <a:prstGeom prst="rect">
                            <a:avLst/>
                          </a:prstGeom>
                        </pic:spPr>
                      </pic:pic>
                      <wps:wsp>
                        <wps:cNvPr id="893" name="Graphic 89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9472" id="docshapegroup866" coordorigin="15,468" coordsize="12225,15352">
                <v:shape style="position:absolute;left:15;top:468;width:12225;height:15352" type="#_x0000_t75" id="docshape867" stroked="false">
                  <v:imagedata r:id="rId5" o:title=""/>
                </v:shape>
                <v:rect style="position:absolute;left:1673;top:2028;width:8897;height:15" id="docshape86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180</w:t>
      </w:r>
    </w:p>
    <w:p>
      <w:pPr>
        <w:pStyle w:val="BodyText"/>
        <w:spacing w:before="1"/>
        <w:rPr>
          <w:sz w:val="19"/>
        </w:rPr>
      </w:pPr>
    </w:p>
    <w:tbl>
      <w:tblPr>
        <w:tblW w:w="0" w:type="auto"/>
        <w:jc w:val="left"/>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8"/>
        <w:gridCol w:w="3640"/>
        <w:gridCol w:w="684"/>
        <w:gridCol w:w="1206"/>
        <w:gridCol w:w="1206"/>
      </w:tblGrid>
      <w:tr>
        <w:trPr>
          <w:trHeight w:val="242" w:hRule="atLeast"/>
        </w:trPr>
        <w:tc>
          <w:tcPr>
            <w:tcW w:w="1778" w:type="dxa"/>
            <w:shd w:val="clear" w:color="auto" w:fill="365F92"/>
          </w:tcPr>
          <w:p>
            <w:pPr>
              <w:pStyle w:val="TableParagraph"/>
              <w:spacing w:line="213" w:lineRule="exact" w:before="9"/>
              <w:ind w:left="25"/>
              <w:rPr>
                <w:rFonts w:ascii="Arial Narrow"/>
                <w:b/>
                <w:sz w:val="20"/>
              </w:rPr>
            </w:pPr>
            <w:r>
              <w:rPr>
                <w:rFonts w:ascii="Arial Narrow"/>
                <w:b/>
                <w:color w:val="FFFFFF"/>
                <w:spacing w:val="-2"/>
                <w:sz w:val="20"/>
              </w:rPr>
              <w:t>1.2.5.</w:t>
            </w:r>
          </w:p>
        </w:tc>
        <w:tc>
          <w:tcPr>
            <w:tcW w:w="3640" w:type="dxa"/>
            <w:shd w:val="clear" w:color="auto" w:fill="365F92"/>
          </w:tcPr>
          <w:p>
            <w:pPr>
              <w:pStyle w:val="TableParagraph"/>
              <w:spacing w:line="213" w:lineRule="exact" w:before="9"/>
              <w:ind w:left="25"/>
              <w:rPr>
                <w:rFonts w:ascii="Arial Narrow"/>
                <w:b/>
                <w:sz w:val="20"/>
              </w:rPr>
            </w:pPr>
            <w:r>
              <w:rPr>
                <w:rFonts w:ascii="Arial Narrow"/>
                <w:b/>
                <w:color w:val="FFFFFF"/>
                <w:sz w:val="20"/>
              </w:rPr>
              <w:t>Bienes no</w:t>
            </w:r>
            <w:r>
              <w:rPr>
                <w:rFonts w:ascii="Arial Narrow"/>
                <w:b/>
                <w:color w:val="FFFFFF"/>
                <w:spacing w:val="3"/>
                <w:sz w:val="20"/>
              </w:rPr>
              <w:t> </w:t>
            </w:r>
            <w:r>
              <w:rPr>
                <w:rFonts w:ascii="Arial Narrow"/>
                <w:b/>
                <w:color w:val="FFFFFF"/>
                <w:spacing w:val="-2"/>
                <w:sz w:val="20"/>
              </w:rPr>
              <w:t>concesionados</w:t>
            </w:r>
          </w:p>
        </w:tc>
        <w:tc>
          <w:tcPr>
            <w:tcW w:w="684" w:type="dxa"/>
            <w:shd w:val="clear" w:color="auto" w:fill="365F92"/>
          </w:tcPr>
          <w:p>
            <w:pPr>
              <w:pStyle w:val="TableParagraph"/>
              <w:spacing w:line="213" w:lineRule="exact" w:before="9"/>
              <w:ind w:left="13"/>
              <w:jc w:val="center"/>
              <w:rPr>
                <w:rFonts w:ascii="Arial Narrow"/>
                <w:sz w:val="20"/>
              </w:rPr>
            </w:pPr>
            <w:r>
              <w:rPr>
                <w:rFonts w:ascii="Arial Narrow"/>
                <w:color w:val="FFFFFF"/>
                <w:spacing w:val="-5"/>
                <w:sz w:val="20"/>
              </w:rPr>
              <w:t>10</w:t>
            </w:r>
          </w:p>
        </w:tc>
        <w:tc>
          <w:tcPr>
            <w:tcW w:w="1206" w:type="dxa"/>
            <w:shd w:val="clear" w:color="auto" w:fill="365F92"/>
          </w:tcPr>
          <w:p>
            <w:pPr>
              <w:pStyle w:val="TableParagraph"/>
              <w:spacing w:line="213" w:lineRule="exact" w:before="9"/>
              <w:ind w:left="18" w:right="3"/>
              <w:jc w:val="center"/>
              <w:rPr>
                <w:rFonts w:ascii="Arial Narrow"/>
                <w:sz w:val="20"/>
              </w:rPr>
            </w:pPr>
            <w:r>
              <w:rPr>
                <w:rFonts w:ascii="Arial Narrow"/>
                <w:color w:val="FFFFFF"/>
                <w:sz w:val="20"/>
              </w:rPr>
              <w:t>138</w:t>
            </w:r>
            <w:r>
              <w:rPr>
                <w:rFonts w:ascii="Arial Narrow"/>
                <w:color w:val="FFFFFF"/>
                <w:spacing w:val="-4"/>
                <w:sz w:val="20"/>
              </w:rPr>
              <w:t> </w:t>
            </w:r>
            <w:r>
              <w:rPr>
                <w:rFonts w:ascii="Arial Narrow"/>
                <w:color w:val="FFFFFF"/>
                <w:sz w:val="20"/>
              </w:rPr>
              <w:t>588</w:t>
            </w:r>
            <w:r>
              <w:rPr>
                <w:rFonts w:ascii="Arial Narrow"/>
                <w:color w:val="FFFFFF"/>
                <w:spacing w:val="-4"/>
                <w:sz w:val="20"/>
              </w:rPr>
              <w:t> </w:t>
            </w:r>
            <w:r>
              <w:rPr>
                <w:rFonts w:ascii="Arial Narrow"/>
                <w:color w:val="FFFFFF"/>
                <w:spacing w:val="-2"/>
                <w:sz w:val="20"/>
              </w:rPr>
              <w:t>898,47</w:t>
            </w:r>
          </w:p>
        </w:tc>
        <w:tc>
          <w:tcPr>
            <w:tcW w:w="1206" w:type="dxa"/>
            <w:shd w:val="clear" w:color="auto" w:fill="365F92"/>
          </w:tcPr>
          <w:p>
            <w:pPr>
              <w:pStyle w:val="TableParagraph"/>
              <w:spacing w:line="213" w:lineRule="exact" w:before="9"/>
              <w:ind w:left="18" w:right="1"/>
              <w:jc w:val="center"/>
              <w:rPr>
                <w:rFonts w:ascii="Arial Narrow"/>
                <w:sz w:val="20"/>
              </w:rPr>
            </w:pPr>
            <w:r>
              <w:rPr>
                <w:rFonts w:ascii="Arial Narrow"/>
                <w:color w:val="FFFFFF"/>
                <w:sz w:val="20"/>
              </w:rPr>
              <w:t>139</w:t>
            </w:r>
            <w:r>
              <w:rPr>
                <w:rFonts w:ascii="Arial Narrow"/>
                <w:color w:val="FFFFFF"/>
                <w:spacing w:val="-4"/>
                <w:sz w:val="20"/>
              </w:rPr>
              <w:t> </w:t>
            </w:r>
            <w:r>
              <w:rPr>
                <w:rFonts w:ascii="Arial Narrow"/>
                <w:color w:val="FFFFFF"/>
                <w:sz w:val="20"/>
              </w:rPr>
              <w:t>453</w:t>
            </w:r>
            <w:r>
              <w:rPr>
                <w:rFonts w:ascii="Arial Narrow"/>
                <w:color w:val="FFFFFF"/>
                <w:spacing w:val="-4"/>
                <w:sz w:val="20"/>
              </w:rPr>
              <w:t> </w:t>
            </w:r>
            <w:r>
              <w:rPr>
                <w:rFonts w:ascii="Arial Narrow"/>
                <w:color w:val="FFFFFF"/>
                <w:spacing w:val="-2"/>
                <w:sz w:val="20"/>
              </w:rPr>
              <w:t>935,88</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1.2.5.01.</w:t>
            </w:r>
          </w:p>
        </w:tc>
        <w:tc>
          <w:tcPr>
            <w:tcW w:w="3640" w:type="dxa"/>
          </w:tcPr>
          <w:p>
            <w:pPr>
              <w:pStyle w:val="TableParagraph"/>
              <w:spacing w:line="213" w:lineRule="exact" w:before="9"/>
              <w:ind w:left="25"/>
              <w:rPr>
                <w:rFonts w:ascii="Arial Narrow"/>
                <w:sz w:val="20"/>
              </w:rPr>
            </w:pPr>
            <w:r>
              <w:rPr>
                <w:rFonts w:ascii="Arial Narrow"/>
                <w:sz w:val="20"/>
              </w:rPr>
              <w:t>Propiedades,</w:t>
            </w:r>
            <w:r>
              <w:rPr>
                <w:rFonts w:ascii="Arial Narrow"/>
                <w:spacing w:val="-6"/>
                <w:sz w:val="20"/>
              </w:rPr>
              <w:t> </w:t>
            </w:r>
            <w:r>
              <w:rPr>
                <w:rFonts w:ascii="Arial Narrow"/>
                <w:sz w:val="20"/>
              </w:rPr>
              <w:t>planta</w:t>
            </w:r>
            <w:r>
              <w:rPr>
                <w:rFonts w:ascii="Arial Narrow"/>
                <w:spacing w:val="-7"/>
                <w:sz w:val="20"/>
              </w:rPr>
              <w:t> </w:t>
            </w:r>
            <w:r>
              <w:rPr>
                <w:rFonts w:ascii="Arial Narrow"/>
                <w:sz w:val="20"/>
              </w:rPr>
              <w:t>y</w:t>
            </w:r>
            <w:r>
              <w:rPr>
                <w:rFonts w:ascii="Arial Narrow"/>
                <w:spacing w:val="-5"/>
                <w:sz w:val="20"/>
              </w:rPr>
              <w:t> </w:t>
            </w:r>
            <w:r>
              <w:rPr>
                <w:rFonts w:ascii="Arial Narrow"/>
                <w:sz w:val="20"/>
              </w:rPr>
              <w:t>equipos</w:t>
            </w:r>
            <w:r>
              <w:rPr>
                <w:rFonts w:ascii="Arial Narrow"/>
                <w:spacing w:val="-5"/>
                <w:sz w:val="20"/>
              </w:rPr>
              <w:t> </w:t>
            </w:r>
            <w:r>
              <w:rPr>
                <w:rFonts w:ascii="Arial Narrow"/>
                <w:spacing w:val="-2"/>
                <w:sz w:val="20"/>
              </w:rPr>
              <w:t>explotados</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z w:val="20"/>
              </w:rPr>
              <w:t>136</w:t>
            </w:r>
            <w:r>
              <w:rPr>
                <w:rFonts w:ascii="Arial Narrow"/>
                <w:spacing w:val="-4"/>
                <w:sz w:val="20"/>
              </w:rPr>
              <w:t> </w:t>
            </w:r>
            <w:r>
              <w:rPr>
                <w:rFonts w:ascii="Arial Narrow"/>
                <w:sz w:val="20"/>
              </w:rPr>
              <w:t>505</w:t>
            </w:r>
            <w:r>
              <w:rPr>
                <w:rFonts w:ascii="Arial Narrow"/>
                <w:spacing w:val="-4"/>
                <w:sz w:val="20"/>
              </w:rPr>
              <w:t> </w:t>
            </w:r>
            <w:r>
              <w:rPr>
                <w:rFonts w:ascii="Arial Narrow"/>
                <w:spacing w:val="-2"/>
                <w:sz w:val="20"/>
              </w:rPr>
              <w:t>128,50</w:t>
            </w:r>
          </w:p>
        </w:tc>
        <w:tc>
          <w:tcPr>
            <w:tcW w:w="1206" w:type="dxa"/>
          </w:tcPr>
          <w:p>
            <w:pPr>
              <w:pStyle w:val="TableParagraph"/>
              <w:spacing w:line="213" w:lineRule="exact" w:before="9"/>
              <w:ind w:left="18" w:right="1"/>
              <w:jc w:val="center"/>
              <w:rPr>
                <w:rFonts w:ascii="Arial Narrow"/>
                <w:sz w:val="20"/>
              </w:rPr>
            </w:pPr>
            <w:r>
              <w:rPr>
                <w:rFonts w:ascii="Arial Narrow"/>
                <w:sz w:val="20"/>
              </w:rPr>
              <w:t>137</w:t>
            </w:r>
            <w:r>
              <w:rPr>
                <w:rFonts w:ascii="Arial Narrow"/>
                <w:spacing w:val="-4"/>
                <w:sz w:val="20"/>
              </w:rPr>
              <w:t> </w:t>
            </w:r>
            <w:r>
              <w:rPr>
                <w:rFonts w:ascii="Arial Narrow"/>
                <w:sz w:val="20"/>
              </w:rPr>
              <w:t>759</w:t>
            </w:r>
            <w:r>
              <w:rPr>
                <w:rFonts w:ascii="Arial Narrow"/>
                <w:spacing w:val="-4"/>
                <w:sz w:val="20"/>
              </w:rPr>
              <w:t> </w:t>
            </w:r>
            <w:r>
              <w:rPr>
                <w:rFonts w:ascii="Arial Narrow"/>
                <w:spacing w:val="-2"/>
                <w:sz w:val="20"/>
              </w:rPr>
              <w:t>939,97</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1.2.5.02.</w:t>
            </w:r>
          </w:p>
        </w:tc>
        <w:tc>
          <w:tcPr>
            <w:tcW w:w="3640" w:type="dxa"/>
          </w:tcPr>
          <w:p>
            <w:pPr>
              <w:pStyle w:val="TableParagraph"/>
              <w:spacing w:line="213" w:lineRule="exact" w:before="9"/>
              <w:ind w:left="25"/>
              <w:rPr>
                <w:rFonts w:ascii="Arial Narrow" w:hAnsi="Arial Narrow"/>
                <w:sz w:val="20"/>
              </w:rPr>
            </w:pPr>
            <w:r>
              <w:rPr>
                <w:rFonts w:ascii="Arial Narrow" w:hAnsi="Arial Narrow"/>
                <w:sz w:val="20"/>
              </w:rPr>
              <w:t>Propiedades</w:t>
            </w:r>
            <w:r>
              <w:rPr>
                <w:rFonts w:ascii="Arial Narrow" w:hAnsi="Arial Narrow"/>
                <w:spacing w:val="-7"/>
                <w:sz w:val="20"/>
              </w:rPr>
              <w:t> </w:t>
            </w:r>
            <w:r>
              <w:rPr>
                <w:rFonts w:ascii="Arial Narrow" w:hAnsi="Arial Narrow"/>
                <w:sz w:val="20"/>
              </w:rPr>
              <w:t>de</w:t>
            </w:r>
            <w:r>
              <w:rPr>
                <w:rFonts w:ascii="Arial Narrow" w:hAnsi="Arial Narrow"/>
                <w:spacing w:val="-10"/>
                <w:sz w:val="20"/>
              </w:rPr>
              <w:t> </w:t>
            </w:r>
            <w:r>
              <w:rPr>
                <w:rFonts w:ascii="Arial Narrow" w:hAnsi="Arial Narrow"/>
                <w:spacing w:val="-2"/>
                <w:sz w:val="20"/>
              </w:rPr>
              <w:t>inversión</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pacing w:val="-4"/>
                <w:sz w:val="20"/>
              </w:rPr>
              <w:t>0,00</w:t>
            </w:r>
          </w:p>
        </w:tc>
        <w:tc>
          <w:tcPr>
            <w:tcW w:w="1206" w:type="dxa"/>
          </w:tcPr>
          <w:p>
            <w:pPr>
              <w:pStyle w:val="TableParagraph"/>
              <w:spacing w:line="213" w:lineRule="exact" w:before="9"/>
              <w:ind w:left="18"/>
              <w:jc w:val="center"/>
              <w:rPr>
                <w:rFonts w:ascii="Arial Narrow"/>
                <w:sz w:val="20"/>
              </w:rPr>
            </w:pPr>
            <w:r>
              <w:rPr>
                <w:rFonts w:ascii="Arial Narrow"/>
                <w:spacing w:val="-4"/>
                <w:sz w:val="20"/>
              </w:rPr>
              <w:t>0,00</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1.2.5.03.</w:t>
            </w:r>
          </w:p>
        </w:tc>
        <w:tc>
          <w:tcPr>
            <w:tcW w:w="3640" w:type="dxa"/>
          </w:tcPr>
          <w:p>
            <w:pPr>
              <w:pStyle w:val="TableParagraph"/>
              <w:spacing w:line="213" w:lineRule="exact" w:before="9"/>
              <w:ind w:left="25"/>
              <w:rPr>
                <w:rFonts w:ascii="Arial Narrow" w:hAnsi="Arial Narrow"/>
                <w:sz w:val="20"/>
              </w:rPr>
            </w:pPr>
            <w:r>
              <w:rPr>
                <w:rFonts w:ascii="Arial Narrow" w:hAnsi="Arial Narrow"/>
                <w:sz w:val="20"/>
              </w:rPr>
              <w:t>Activos</w:t>
            </w:r>
            <w:r>
              <w:rPr>
                <w:rFonts w:ascii="Arial Narrow" w:hAnsi="Arial Narrow"/>
                <w:spacing w:val="-3"/>
                <w:sz w:val="20"/>
              </w:rPr>
              <w:t> </w:t>
            </w:r>
            <w:r>
              <w:rPr>
                <w:rFonts w:ascii="Arial Narrow" w:hAnsi="Arial Narrow"/>
                <w:sz w:val="20"/>
              </w:rPr>
              <w:t>biológicos</w:t>
            </w:r>
            <w:r>
              <w:rPr>
                <w:rFonts w:ascii="Arial Narrow" w:hAnsi="Arial Narrow"/>
                <w:spacing w:val="-3"/>
                <w:sz w:val="20"/>
              </w:rPr>
              <w:t> </w:t>
            </w:r>
            <w:r>
              <w:rPr>
                <w:rFonts w:ascii="Arial Narrow" w:hAnsi="Arial Narrow"/>
                <w:sz w:val="20"/>
              </w:rPr>
              <w:t>no</w:t>
            </w:r>
            <w:r>
              <w:rPr>
                <w:rFonts w:ascii="Arial Narrow" w:hAnsi="Arial Narrow"/>
                <w:spacing w:val="-5"/>
                <w:sz w:val="20"/>
              </w:rPr>
              <w:t> </w:t>
            </w:r>
            <w:r>
              <w:rPr>
                <w:rFonts w:ascii="Arial Narrow" w:hAnsi="Arial Narrow"/>
                <w:spacing w:val="-2"/>
                <w:sz w:val="20"/>
              </w:rPr>
              <w:t>concesionados</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pacing w:val="-4"/>
                <w:sz w:val="20"/>
              </w:rPr>
              <w:t>0,00</w:t>
            </w:r>
          </w:p>
        </w:tc>
        <w:tc>
          <w:tcPr>
            <w:tcW w:w="1206" w:type="dxa"/>
          </w:tcPr>
          <w:p>
            <w:pPr>
              <w:pStyle w:val="TableParagraph"/>
              <w:spacing w:line="213" w:lineRule="exact" w:before="9"/>
              <w:ind w:left="18"/>
              <w:jc w:val="center"/>
              <w:rPr>
                <w:rFonts w:ascii="Arial Narrow"/>
                <w:sz w:val="20"/>
              </w:rPr>
            </w:pPr>
            <w:r>
              <w:rPr>
                <w:rFonts w:ascii="Arial Narrow"/>
                <w:spacing w:val="-4"/>
                <w:sz w:val="20"/>
              </w:rPr>
              <w:t>0,00</w:t>
            </w:r>
          </w:p>
        </w:tc>
      </w:tr>
      <w:tr>
        <w:trPr>
          <w:trHeight w:val="494" w:hRule="atLeast"/>
        </w:trPr>
        <w:tc>
          <w:tcPr>
            <w:tcW w:w="1778" w:type="dxa"/>
          </w:tcPr>
          <w:p>
            <w:pPr>
              <w:pStyle w:val="TableParagraph"/>
              <w:spacing w:before="135"/>
              <w:ind w:left="25"/>
              <w:rPr>
                <w:rFonts w:ascii="Arial Narrow"/>
                <w:sz w:val="20"/>
              </w:rPr>
            </w:pPr>
            <w:r>
              <w:rPr>
                <w:rFonts w:ascii="Arial Narrow"/>
                <w:spacing w:val="-2"/>
                <w:sz w:val="20"/>
              </w:rPr>
              <w:t>1.2.5.04.</w:t>
            </w:r>
          </w:p>
        </w:tc>
        <w:tc>
          <w:tcPr>
            <w:tcW w:w="3640" w:type="dxa"/>
          </w:tcPr>
          <w:p>
            <w:pPr>
              <w:pStyle w:val="TableParagraph"/>
              <w:spacing w:before="9"/>
              <w:ind w:left="25"/>
              <w:rPr>
                <w:rFonts w:ascii="Arial Narrow"/>
                <w:sz w:val="20"/>
              </w:rPr>
            </w:pPr>
            <w:r>
              <w:rPr>
                <w:rFonts w:ascii="Arial Narrow"/>
                <w:sz w:val="20"/>
              </w:rPr>
              <w:t>Bienes</w:t>
            </w:r>
            <w:r>
              <w:rPr>
                <w:rFonts w:ascii="Arial Narrow"/>
                <w:spacing w:val="-2"/>
                <w:sz w:val="20"/>
              </w:rPr>
              <w:t> </w:t>
            </w:r>
            <w:r>
              <w:rPr>
                <w:rFonts w:ascii="Arial Narrow"/>
                <w:sz w:val="20"/>
              </w:rPr>
              <w:t>de</w:t>
            </w:r>
            <w:r>
              <w:rPr>
                <w:rFonts w:ascii="Arial Narrow"/>
                <w:spacing w:val="-4"/>
                <w:sz w:val="20"/>
              </w:rPr>
              <w:t> </w:t>
            </w:r>
            <w:r>
              <w:rPr>
                <w:rFonts w:ascii="Arial Narrow"/>
                <w:sz w:val="20"/>
              </w:rPr>
              <w:t>infraestructura</w:t>
            </w:r>
            <w:r>
              <w:rPr>
                <w:rFonts w:ascii="Arial Narrow"/>
                <w:spacing w:val="-4"/>
                <w:sz w:val="20"/>
              </w:rPr>
              <w:t> </w:t>
            </w:r>
            <w:r>
              <w:rPr>
                <w:rFonts w:ascii="Arial Narrow"/>
                <w:sz w:val="20"/>
              </w:rPr>
              <w:t>y</w:t>
            </w:r>
            <w:r>
              <w:rPr>
                <w:rFonts w:ascii="Arial Narrow"/>
                <w:spacing w:val="-1"/>
                <w:sz w:val="20"/>
              </w:rPr>
              <w:t> </w:t>
            </w:r>
            <w:r>
              <w:rPr>
                <w:rFonts w:ascii="Arial Narrow"/>
                <w:sz w:val="20"/>
              </w:rPr>
              <w:t>de</w:t>
            </w:r>
            <w:r>
              <w:rPr>
                <w:rFonts w:ascii="Arial Narrow"/>
                <w:spacing w:val="-4"/>
                <w:sz w:val="20"/>
              </w:rPr>
              <w:t> </w:t>
            </w:r>
            <w:r>
              <w:rPr>
                <w:rFonts w:ascii="Arial Narrow"/>
                <w:sz w:val="20"/>
              </w:rPr>
              <w:t>beneficio</w:t>
            </w:r>
            <w:r>
              <w:rPr>
                <w:rFonts w:ascii="Arial Narrow"/>
                <w:spacing w:val="-4"/>
                <w:sz w:val="20"/>
              </w:rPr>
              <w:t> </w:t>
            </w:r>
            <w:r>
              <w:rPr>
                <w:rFonts w:ascii="Arial Narrow"/>
                <w:sz w:val="20"/>
              </w:rPr>
              <w:t>y</w:t>
            </w:r>
            <w:r>
              <w:rPr>
                <w:rFonts w:ascii="Arial Narrow"/>
                <w:spacing w:val="-1"/>
                <w:sz w:val="20"/>
              </w:rPr>
              <w:t> </w:t>
            </w:r>
            <w:r>
              <w:rPr>
                <w:rFonts w:ascii="Arial Narrow"/>
                <w:spacing w:val="-5"/>
                <w:sz w:val="20"/>
              </w:rPr>
              <w:t>uso</w:t>
            </w:r>
          </w:p>
          <w:p>
            <w:pPr>
              <w:pStyle w:val="TableParagraph"/>
              <w:spacing w:line="213" w:lineRule="exact" w:before="22"/>
              <w:ind w:left="25"/>
              <w:rPr>
                <w:rFonts w:ascii="Arial Narrow" w:hAnsi="Arial Narrow"/>
                <w:sz w:val="20"/>
              </w:rPr>
            </w:pPr>
            <w:r>
              <w:rPr>
                <w:rFonts w:ascii="Arial Narrow" w:hAnsi="Arial Narrow"/>
                <w:sz w:val="20"/>
              </w:rPr>
              <w:t>público</w:t>
            </w:r>
            <w:r>
              <w:rPr>
                <w:rFonts w:ascii="Arial Narrow" w:hAnsi="Arial Narrow"/>
                <w:spacing w:val="-5"/>
                <w:sz w:val="20"/>
              </w:rPr>
              <w:t> </w:t>
            </w:r>
            <w:r>
              <w:rPr>
                <w:rFonts w:ascii="Arial Narrow" w:hAnsi="Arial Narrow"/>
                <w:sz w:val="20"/>
              </w:rPr>
              <w:t>en</w:t>
            </w:r>
            <w:r>
              <w:rPr>
                <w:rFonts w:ascii="Arial Narrow" w:hAnsi="Arial Narrow"/>
                <w:spacing w:val="-5"/>
                <w:sz w:val="20"/>
              </w:rPr>
              <w:t> </w:t>
            </w:r>
            <w:r>
              <w:rPr>
                <w:rFonts w:ascii="Arial Narrow" w:hAnsi="Arial Narrow"/>
                <w:spacing w:val="-2"/>
                <w:sz w:val="20"/>
              </w:rPr>
              <w:t>servicio</w:t>
            </w:r>
          </w:p>
        </w:tc>
        <w:tc>
          <w:tcPr>
            <w:tcW w:w="684" w:type="dxa"/>
          </w:tcPr>
          <w:p>
            <w:pPr>
              <w:pStyle w:val="TableParagraph"/>
              <w:rPr>
                <w:rFonts w:ascii="Times New Roman"/>
                <w:sz w:val="20"/>
              </w:rPr>
            </w:pPr>
          </w:p>
        </w:tc>
        <w:tc>
          <w:tcPr>
            <w:tcW w:w="1206" w:type="dxa"/>
          </w:tcPr>
          <w:p>
            <w:pPr>
              <w:pStyle w:val="TableParagraph"/>
              <w:spacing w:before="135"/>
              <w:ind w:left="18" w:right="3"/>
              <w:jc w:val="center"/>
              <w:rPr>
                <w:rFonts w:ascii="Arial Narrow"/>
                <w:sz w:val="20"/>
              </w:rPr>
            </w:pPr>
            <w:r>
              <w:rPr>
                <w:rFonts w:ascii="Arial Narrow"/>
                <w:spacing w:val="-4"/>
                <w:sz w:val="20"/>
              </w:rPr>
              <w:t>0,00</w:t>
            </w:r>
          </w:p>
        </w:tc>
        <w:tc>
          <w:tcPr>
            <w:tcW w:w="1206" w:type="dxa"/>
          </w:tcPr>
          <w:p>
            <w:pPr>
              <w:pStyle w:val="TableParagraph"/>
              <w:spacing w:before="135"/>
              <w:ind w:left="18"/>
              <w:jc w:val="center"/>
              <w:rPr>
                <w:rFonts w:ascii="Arial Narrow"/>
                <w:sz w:val="20"/>
              </w:rPr>
            </w:pPr>
            <w:r>
              <w:rPr>
                <w:rFonts w:ascii="Arial Narrow"/>
                <w:spacing w:val="-4"/>
                <w:sz w:val="20"/>
              </w:rPr>
              <w:t>0,00</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1.2.5.05.</w:t>
            </w:r>
          </w:p>
        </w:tc>
        <w:tc>
          <w:tcPr>
            <w:tcW w:w="3640" w:type="dxa"/>
          </w:tcPr>
          <w:p>
            <w:pPr>
              <w:pStyle w:val="TableParagraph"/>
              <w:spacing w:line="213" w:lineRule="exact" w:before="9"/>
              <w:ind w:left="25"/>
              <w:rPr>
                <w:rFonts w:ascii="Arial Narrow" w:hAnsi="Arial Narrow"/>
                <w:sz w:val="20"/>
              </w:rPr>
            </w:pPr>
            <w:r>
              <w:rPr>
                <w:rFonts w:ascii="Arial Narrow" w:hAnsi="Arial Narrow"/>
                <w:sz w:val="20"/>
              </w:rPr>
              <w:t>Bienes</w:t>
            </w:r>
            <w:r>
              <w:rPr>
                <w:rFonts w:ascii="Arial Narrow" w:hAnsi="Arial Narrow"/>
                <w:spacing w:val="-2"/>
                <w:sz w:val="20"/>
              </w:rPr>
              <w:t> </w:t>
            </w:r>
            <w:r>
              <w:rPr>
                <w:rFonts w:ascii="Arial Narrow" w:hAnsi="Arial Narrow"/>
                <w:sz w:val="20"/>
              </w:rPr>
              <w:t>históricos</w:t>
            </w:r>
            <w:r>
              <w:rPr>
                <w:rFonts w:ascii="Arial Narrow" w:hAnsi="Arial Narrow"/>
                <w:spacing w:val="-2"/>
                <w:sz w:val="20"/>
              </w:rPr>
              <w:t> </w:t>
            </w:r>
            <w:r>
              <w:rPr>
                <w:rFonts w:ascii="Arial Narrow" w:hAnsi="Arial Narrow"/>
                <w:sz w:val="20"/>
              </w:rPr>
              <w:t>y</w:t>
            </w:r>
            <w:r>
              <w:rPr>
                <w:rFonts w:ascii="Arial Narrow" w:hAnsi="Arial Narrow"/>
                <w:spacing w:val="-1"/>
                <w:sz w:val="20"/>
              </w:rPr>
              <w:t> </w:t>
            </w:r>
            <w:r>
              <w:rPr>
                <w:rFonts w:ascii="Arial Narrow" w:hAnsi="Arial Narrow"/>
                <w:spacing w:val="-2"/>
                <w:sz w:val="20"/>
              </w:rPr>
              <w:t>culturales</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z w:val="20"/>
              </w:rPr>
              <w:t>27</w:t>
            </w:r>
            <w:r>
              <w:rPr>
                <w:rFonts w:ascii="Arial Narrow"/>
                <w:spacing w:val="-2"/>
                <w:sz w:val="20"/>
              </w:rPr>
              <w:t> 696,47</w:t>
            </w:r>
          </w:p>
        </w:tc>
        <w:tc>
          <w:tcPr>
            <w:tcW w:w="1206" w:type="dxa"/>
          </w:tcPr>
          <w:p>
            <w:pPr>
              <w:pStyle w:val="TableParagraph"/>
              <w:spacing w:line="213" w:lineRule="exact" w:before="9"/>
              <w:ind w:left="18"/>
              <w:jc w:val="center"/>
              <w:rPr>
                <w:rFonts w:ascii="Arial Narrow"/>
                <w:sz w:val="20"/>
              </w:rPr>
            </w:pPr>
            <w:r>
              <w:rPr>
                <w:rFonts w:ascii="Arial Narrow"/>
                <w:sz w:val="20"/>
              </w:rPr>
              <w:t>27</w:t>
            </w:r>
            <w:r>
              <w:rPr>
                <w:rFonts w:ascii="Arial Narrow"/>
                <w:spacing w:val="-2"/>
                <w:sz w:val="20"/>
              </w:rPr>
              <w:t> 696,47</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1.2.5.06.</w:t>
            </w:r>
          </w:p>
        </w:tc>
        <w:tc>
          <w:tcPr>
            <w:tcW w:w="3640" w:type="dxa"/>
          </w:tcPr>
          <w:p>
            <w:pPr>
              <w:pStyle w:val="TableParagraph"/>
              <w:spacing w:line="213" w:lineRule="exact" w:before="9"/>
              <w:ind w:left="25"/>
              <w:rPr>
                <w:rFonts w:ascii="Arial Narrow" w:hAnsi="Arial Narrow"/>
                <w:sz w:val="20"/>
              </w:rPr>
            </w:pPr>
            <w:r>
              <w:rPr>
                <w:rFonts w:ascii="Arial Narrow" w:hAnsi="Arial Narrow"/>
                <w:sz w:val="20"/>
              </w:rPr>
              <w:t>Recursos</w:t>
            </w:r>
            <w:r>
              <w:rPr>
                <w:rFonts w:ascii="Arial Narrow" w:hAnsi="Arial Narrow"/>
                <w:spacing w:val="-3"/>
                <w:sz w:val="20"/>
              </w:rPr>
              <w:t> </w:t>
            </w:r>
            <w:r>
              <w:rPr>
                <w:rFonts w:ascii="Arial Narrow" w:hAnsi="Arial Narrow"/>
                <w:sz w:val="20"/>
              </w:rPr>
              <w:t>naturales</w:t>
            </w:r>
            <w:r>
              <w:rPr>
                <w:rFonts w:ascii="Arial Narrow" w:hAnsi="Arial Narrow"/>
                <w:spacing w:val="-2"/>
                <w:sz w:val="20"/>
              </w:rPr>
              <w:t> </w:t>
            </w:r>
            <w:r>
              <w:rPr>
                <w:rFonts w:ascii="Arial Narrow" w:hAnsi="Arial Narrow"/>
                <w:sz w:val="20"/>
              </w:rPr>
              <w:t>en</w:t>
            </w:r>
            <w:r>
              <w:rPr>
                <w:rFonts w:ascii="Arial Narrow" w:hAnsi="Arial Narrow"/>
                <w:spacing w:val="-5"/>
                <w:sz w:val="20"/>
              </w:rPr>
              <w:t> </w:t>
            </w:r>
            <w:r>
              <w:rPr>
                <w:rFonts w:ascii="Arial Narrow" w:hAnsi="Arial Narrow"/>
                <w:spacing w:val="-2"/>
                <w:sz w:val="20"/>
              </w:rPr>
              <w:t>explotación</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pacing w:val="-4"/>
                <w:sz w:val="20"/>
              </w:rPr>
              <w:t>0,00</w:t>
            </w:r>
          </w:p>
        </w:tc>
        <w:tc>
          <w:tcPr>
            <w:tcW w:w="1206" w:type="dxa"/>
          </w:tcPr>
          <w:p>
            <w:pPr>
              <w:pStyle w:val="TableParagraph"/>
              <w:spacing w:line="213" w:lineRule="exact" w:before="9"/>
              <w:ind w:left="18"/>
              <w:jc w:val="center"/>
              <w:rPr>
                <w:rFonts w:ascii="Arial Narrow"/>
                <w:sz w:val="20"/>
              </w:rPr>
            </w:pPr>
            <w:r>
              <w:rPr>
                <w:rFonts w:ascii="Arial Narrow"/>
                <w:spacing w:val="-4"/>
                <w:sz w:val="20"/>
              </w:rPr>
              <w:t>0,00</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1.2.5.07.</w:t>
            </w:r>
          </w:p>
        </w:tc>
        <w:tc>
          <w:tcPr>
            <w:tcW w:w="3640" w:type="dxa"/>
          </w:tcPr>
          <w:p>
            <w:pPr>
              <w:pStyle w:val="TableParagraph"/>
              <w:spacing w:line="213" w:lineRule="exact" w:before="9"/>
              <w:ind w:left="25"/>
              <w:rPr>
                <w:rFonts w:ascii="Arial Narrow" w:hAnsi="Arial Narrow"/>
                <w:sz w:val="20"/>
              </w:rPr>
            </w:pPr>
            <w:r>
              <w:rPr>
                <w:rFonts w:ascii="Arial Narrow" w:hAnsi="Arial Narrow"/>
                <w:sz w:val="20"/>
              </w:rPr>
              <w:t>Recursos</w:t>
            </w:r>
            <w:r>
              <w:rPr>
                <w:rFonts w:ascii="Arial Narrow" w:hAnsi="Arial Narrow"/>
                <w:spacing w:val="-3"/>
                <w:sz w:val="20"/>
              </w:rPr>
              <w:t> </w:t>
            </w:r>
            <w:r>
              <w:rPr>
                <w:rFonts w:ascii="Arial Narrow" w:hAnsi="Arial Narrow"/>
                <w:sz w:val="20"/>
              </w:rPr>
              <w:t>naturales</w:t>
            </w:r>
            <w:r>
              <w:rPr>
                <w:rFonts w:ascii="Arial Narrow" w:hAnsi="Arial Narrow"/>
                <w:spacing w:val="-2"/>
                <w:sz w:val="20"/>
              </w:rPr>
              <w:t> </w:t>
            </w:r>
            <w:r>
              <w:rPr>
                <w:rFonts w:ascii="Arial Narrow" w:hAnsi="Arial Narrow"/>
                <w:sz w:val="20"/>
              </w:rPr>
              <w:t>en</w:t>
            </w:r>
            <w:r>
              <w:rPr>
                <w:rFonts w:ascii="Arial Narrow" w:hAnsi="Arial Narrow"/>
                <w:spacing w:val="-5"/>
                <w:sz w:val="20"/>
              </w:rPr>
              <w:t> </w:t>
            </w:r>
            <w:r>
              <w:rPr>
                <w:rFonts w:ascii="Arial Narrow" w:hAnsi="Arial Narrow"/>
                <w:spacing w:val="-2"/>
                <w:sz w:val="20"/>
              </w:rPr>
              <w:t>conservación</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3"/>
              <w:jc w:val="center"/>
              <w:rPr>
                <w:rFonts w:ascii="Arial Narrow"/>
                <w:sz w:val="20"/>
              </w:rPr>
            </w:pPr>
            <w:r>
              <w:rPr>
                <w:rFonts w:ascii="Arial Narrow"/>
                <w:spacing w:val="-4"/>
                <w:sz w:val="20"/>
              </w:rPr>
              <w:t>0,00</w:t>
            </w:r>
          </w:p>
        </w:tc>
        <w:tc>
          <w:tcPr>
            <w:tcW w:w="1206" w:type="dxa"/>
          </w:tcPr>
          <w:p>
            <w:pPr>
              <w:pStyle w:val="TableParagraph"/>
              <w:spacing w:line="213" w:lineRule="exact" w:before="9"/>
              <w:ind w:left="18"/>
              <w:jc w:val="center"/>
              <w:rPr>
                <w:rFonts w:ascii="Arial Narrow"/>
                <w:sz w:val="20"/>
              </w:rPr>
            </w:pPr>
            <w:r>
              <w:rPr>
                <w:rFonts w:ascii="Arial Narrow"/>
                <w:spacing w:val="-4"/>
                <w:sz w:val="20"/>
              </w:rPr>
              <w:t>0,00</w:t>
            </w:r>
          </w:p>
        </w:tc>
      </w:tr>
      <w:tr>
        <w:trPr>
          <w:trHeight w:val="242" w:hRule="atLeast"/>
        </w:trPr>
        <w:tc>
          <w:tcPr>
            <w:tcW w:w="1778" w:type="dxa"/>
          </w:tcPr>
          <w:p>
            <w:pPr>
              <w:pStyle w:val="TableParagraph"/>
              <w:spacing w:line="213" w:lineRule="exact" w:before="9"/>
              <w:ind w:left="25"/>
              <w:rPr>
                <w:rFonts w:ascii="Arial Narrow"/>
                <w:sz w:val="20"/>
              </w:rPr>
            </w:pPr>
            <w:r>
              <w:rPr>
                <w:rFonts w:ascii="Arial Narrow"/>
                <w:spacing w:val="-2"/>
                <w:sz w:val="20"/>
              </w:rPr>
              <w:t>1.2.5.08.</w:t>
            </w:r>
          </w:p>
        </w:tc>
        <w:tc>
          <w:tcPr>
            <w:tcW w:w="3640" w:type="dxa"/>
          </w:tcPr>
          <w:p>
            <w:pPr>
              <w:pStyle w:val="TableParagraph"/>
              <w:spacing w:line="213" w:lineRule="exact" w:before="9"/>
              <w:ind w:left="25"/>
              <w:rPr>
                <w:rFonts w:ascii="Arial Narrow"/>
                <w:sz w:val="20"/>
              </w:rPr>
            </w:pPr>
            <w:r>
              <w:rPr>
                <w:rFonts w:ascii="Arial Narrow"/>
                <w:sz w:val="20"/>
              </w:rPr>
              <w:t>Bienes</w:t>
            </w:r>
            <w:r>
              <w:rPr>
                <w:rFonts w:ascii="Arial Narrow"/>
                <w:spacing w:val="-6"/>
                <w:sz w:val="20"/>
              </w:rPr>
              <w:t> </w:t>
            </w:r>
            <w:r>
              <w:rPr>
                <w:rFonts w:ascii="Arial Narrow"/>
                <w:sz w:val="20"/>
              </w:rPr>
              <w:t>intangibles</w:t>
            </w:r>
            <w:r>
              <w:rPr>
                <w:rFonts w:ascii="Arial Narrow"/>
                <w:spacing w:val="-5"/>
                <w:sz w:val="20"/>
              </w:rPr>
              <w:t> </w:t>
            </w:r>
            <w:r>
              <w:rPr>
                <w:rFonts w:ascii="Arial Narrow"/>
                <w:sz w:val="20"/>
              </w:rPr>
              <w:t>no</w:t>
            </w:r>
            <w:r>
              <w:rPr>
                <w:rFonts w:ascii="Arial Narrow"/>
                <w:spacing w:val="-8"/>
                <w:sz w:val="20"/>
              </w:rPr>
              <w:t> </w:t>
            </w:r>
            <w:r>
              <w:rPr>
                <w:rFonts w:ascii="Arial Narrow"/>
                <w:spacing w:val="-2"/>
                <w:sz w:val="20"/>
              </w:rPr>
              <w:t>concesionados</w:t>
            </w:r>
          </w:p>
        </w:tc>
        <w:tc>
          <w:tcPr>
            <w:tcW w:w="684" w:type="dxa"/>
          </w:tcPr>
          <w:p>
            <w:pPr>
              <w:pStyle w:val="TableParagraph"/>
              <w:rPr>
                <w:rFonts w:ascii="Times New Roman"/>
                <w:sz w:val="16"/>
              </w:rPr>
            </w:pPr>
          </w:p>
        </w:tc>
        <w:tc>
          <w:tcPr>
            <w:tcW w:w="1206" w:type="dxa"/>
          </w:tcPr>
          <w:p>
            <w:pPr>
              <w:pStyle w:val="TableParagraph"/>
              <w:spacing w:line="213" w:lineRule="exact" w:before="9"/>
              <w:ind w:left="18" w:right="9"/>
              <w:jc w:val="center"/>
              <w:rPr>
                <w:rFonts w:ascii="Arial Narrow"/>
                <w:sz w:val="20"/>
              </w:rPr>
            </w:pPr>
            <w:r>
              <w:rPr>
                <w:rFonts w:ascii="Arial Narrow"/>
                <w:sz w:val="20"/>
              </w:rPr>
              <w:t>351</w:t>
            </w:r>
            <w:r>
              <w:rPr>
                <w:rFonts w:ascii="Arial Narrow"/>
                <w:spacing w:val="-4"/>
                <w:sz w:val="20"/>
              </w:rPr>
              <w:t> </w:t>
            </w:r>
            <w:r>
              <w:rPr>
                <w:rFonts w:ascii="Arial Narrow"/>
                <w:spacing w:val="-2"/>
                <w:sz w:val="20"/>
              </w:rPr>
              <w:t>354,46</w:t>
            </w:r>
          </w:p>
        </w:tc>
        <w:tc>
          <w:tcPr>
            <w:tcW w:w="1206" w:type="dxa"/>
          </w:tcPr>
          <w:p>
            <w:pPr>
              <w:pStyle w:val="TableParagraph"/>
              <w:spacing w:line="213" w:lineRule="exact" w:before="9"/>
              <w:ind w:left="18" w:right="7"/>
              <w:jc w:val="center"/>
              <w:rPr>
                <w:rFonts w:ascii="Arial Narrow"/>
                <w:sz w:val="20"/>
              </w:rPr>
            </w:pPr>
            <w:r>
              <w:rPr>
                <w:rFonts w:ascii="Arial Narrow"/>
                <w:sz w:val="20"/>
              </w:rPr>
              <w:t>460</w:t>
            </w:r>
            <w:r>
              <w:rPr>
                <w:rFonts w:ascii="Arial Narrow"/>
                <w:spacing w:val="-4"/>
                <w:sz w:val="20"/>
              </w:rPr>
              <w:t> </w:t>
            </w:r>
            <w:r>
              <w:rPr>
                <w:rFonts w:ascii="Arial Narrow"/>
                <w:spacing w:val="-2"/>
                <w:sz w:val="20"/>
              </w:rPr>
              <w:t>388,89</w:t>
            </w:r>
          </w:p>
        </w:tc>
      </w:tr>
      <w:tr>
        <w:trPr>
          <w:trHeight w:val="494" w:hRule="atLeast"/>
        </w:trPr>
        <w:tc>
          <w:tcPr>
            <w:tcW w:w="1778" w:type="dxa"/>
          </w:tcPr>
          <w:p>
            <w:pPr>
              <w:pStyle w:val="TableParagraph"/>
              <w:spacing w:before="135"/>
              <w:ind w:left="25"/>
              <w:rPr>
                <w:rFonts w:ascii="Arial Narrow"/>
                <w:sz w:val="20"/>
              </w:rPr>
            </w:pPr>
            <w:r>
              <w:rPr>
                <w:rFonts w:ascii="Arial Narrow"/>
                <w:spacing w:val="-2"/>
                <w:sz w:val="20"/>
              </w:rPr>
              <w:t>1.2.5.99.</w:t>
            </w:r>
          </w:p>
        </w:tc>
        <w:tc>
          <w:tcPr>
            <w:tcW w:w="3640" w:type="dxa"/>
          </w:tcPr>
          <w:p>
            <w:pPr>
              <w:pStyle w:val="TableParagraph"/>
              <w:spacing w:before="9"/>
              <w:ind w:left="25"/>
              <w:rPr>
                <w:rFonts w:ascii="Arial Narrow"/>
                <w:sz w:val="20"/>
              </w:rPr>
            </w:pPr>
            <w:r>
              <w:rPr>
                <w:rFonts w:ascii="Arial Narrow"/>
                <w:sz w:val="20"/>
              </w:rPr>
              <w:t>Bienes</w:t>
            </w:r>
            <w:r>
              <w:rPr>
                <w:rFonts w:ascii="Arial Narrow"/>
                <w:spacing w:val="-4"/>
                <w:sz w:val="20"/>
              </w:rPr>
              <w:t> </w:t>
            </w:r>
            <w:r>
              <w:rPr>
                <w:rFonts w:ascii="Arial Narrow"/>
                <w:sz w:val="20"/>
              </w:rPr>
              <w:t>no</w:t>
            </w:r>
            <w:r>
              <w:rPr>
                <w:rFonts w:ascii="Arial Narrow"/>
                <w:spacing w:val="-7"/>
                <w:sz w:val="20"/>
              </w:rPr>
              <w:t> </w:t>
            </w:r>
            <w:r>
              <w:rPr>
                <w:rFonts w:ascii="Arial Narrow"/>
                <w:sz w:val="20"/>
              </w:rPr>
              <w:t>concesionados</w:t>
            </w:r>
            <w:r>
              <w:rPr>
                <w:rFonts w:ascii="Arial Narrow"/>
                <w:spacing w:val="-3"/>
                <w:sz w:val="20"/>
              </w:rPr>
              <w:t> </w:t>
            </w:r>
            <w:r>
              <w:rPr>
                <w:rFonts w:ascii="Arial Narrow"/>
                <w:sz w:val="20"/>
              </w:rPr>
              <w:t>en</w:t>
            </w:r>
            <w:r>
              <w:rPr>
                <w:rFonts w:ascii="Arial Narrow"/>
                <w:spacing w:val="-7"/>
                <w:sz w:val="20"/>
              </w:rPr>
              <w:t> </w:t>
            </w:r>
            <w:r>
              <w:rPr>
                <w:rFonts w:ascii="Arial Narrow"/>
                <w:sz w:val="20"/>
              </w:rPr>
              <w:t>proceso</w:t>
            </w:r>
            <w:r>
              <w:rPr>
                <w:rFonts w:ascii="Arial Narrow"/>
                <w:spacing w:val="-6"/>
                <w:sz w:val="20"/>
              </w:rPr>
              <w:t> </w:t>
            </w:r>
            <w:r>
              <w:rPr>
                <w:rFonts w:ascii="Arial Narrow"/>
                <w:spacing w:val="-5"/>
                <w:sz w:val="20"/>
              </w:rPr>
              <w:t>de</w:t>
            </w:r>
          </w:p>
          <w:p>
            <w:pPr>
              <w:pStyle w:val="TableParagraph"/>
              <w:spacing w:line="213" w:lineRule="exact" w:before="22"/>
              <w:ind w:left="25"/>
              <w:rPr>
                <w:rFonts w:ascii="Arial Narrow" w:hAnsi="Arial Narrow"/>
                <w:sz w:val="20"/>
              </w:rPr>
            </w:pPr>
            <w:r>
              <w:rPr>
                <w:rFonts w:ascii="Arial Narrow" w:hAnsi="Arial Narrow"/>
                <w:spacing w:val="-2"/>
                <w:sz w:val="20"/>
              </w:rPr>
              <w:t>producción</w:t>
            </w:r>
          </w:p>
        </w:tc>
        <w:tc>
          <w:tcPr>
            <w:tcW w:w="684" w:type="dxa"/>
          </w:tcPr>
          <w:p>
            <w:pPr>
              <w:pStyle w:val="TableParagraph"/>
              <w:rPr>
                <w:rFonts w:ascii="Times New Roman"/>
                <w:sz w:val="20"/>
              </w:rPr>
            </w:pPr>
          </w:p>
        </w:tc>
        <w:tc>
          <w:tcPr>
            <w:tcW w:w="1206" w:type="dxa"/>
          </w:tcPr>
          <w:p>
            <w:pPr>
              <w:pStyle w:val="TableParagraph"/>
              <w:spacing w:before="135"/>
              <w:ind w:left="18" w:right="3"/>
              <w:jc w:val="center"/>
              <w:rPr>
                <w:rFonts w:ascii="Arial Narrow"/>
                <w:sz w:val="20"/>
              </w:rPr>
            </w:pPr>
            <w:r>
              <w:rPr>
                <w:rFonts w:ascii="Arial Narrow"/>
                <w:sz w:val="20"/>
              </w:rPr>
              <w:t>1</w:t>
            </w:r>
            <w:r>
              <w:rPr>
                <w:rFonts w:ascii="Arial Narrow"/>
                <w:spacing w:val="-2"/>
                <w:sz w:val="20"/>
              </w:rPr>
              <w:t> </w:t>
            </w:r>
            <w:r>
              <w:rPr>
                <w:rFonts w:ascii="Arial Narrow"/>
                <w:sz w:val="20"/>
              </w:rPr>
              <w:t>704</w:t>
            </w:r>
            <w:r>
              <w:rPr>
                <w:rFonts w:ascii="Arial Narrow"/>
                <w:spacing w:val="-2"/>
                <w:sz w:val="20"/>
              </w:rPr>
              <w:t> 719,05</w:t>
            </w:r>
          </w:p>
        </w:tc>
        <w:tc>
          <w:tcPr>
            <w:tcW w:w="1206" w:type="dxa"/>
          </w:tcPr>
          <w:p>
            <w:pPr>
              <w:pStyle w:val="TableParagraph"/>
              <w:spacing w:before="135"/>
              <w:ind w:left="18" w:right="1"/>
              <w:jc w:val="center"/>
              <w:rPr>
                <w:rFonts w:ascii="Arial Narrow"/>
                <w:sz w:val="20"/>
              </w:rPr>
            </w:pPr>
            <w:r>
              <w:rPr>
                <w:rFonts w:ascii="Arial Narrow"/>
                <w:sz w:val="20"/>
              </w:rPr>
              <w:t>1</w:t>
            </w:r>
            <w:r>
              <w:rPr>
                <w:rFonts w:ascii="Arial Narrow"/>
                <w:spacing w:val="-2"/>
                <w:sz w:val="20"/>
              </w:rPr>
              <w:t> </w:t>
            </w:r>
            <w:r>
              <w:rPr>
                <w:rFonts w:ascii="Arial Narrow"/>
                <w:sz w:val="20"/>
              </w:rPr>
              <w:t>205</w:t>
            </w:r>
            <w:r>
              <w:rPr>
                <w:rFonts w:ascii="Arial Narrow"/>
                <w:spacing w:val="-2"/>
                <w:sz w:val="20"/>
              </w:rPr>
              <w:t> 910,56</w:t>
            </w:r>
          </w:p>
        </w:tc>
      </w:tr>
    </w:tbl>
    <w:p>
      <w:pPr>
        <w:pStyle w:val="BodyText"/>
        <w:spacing w:before="39"/>
        <w:rPr>
          <w:sz w:val="20"/>
        </w:rPr>
      </w:pPr>
      <w:r>
        <w:rPr>
          <w:sz w:val="20"/>
        </w:rPr>
        <mc:AlternateContent>
          <mc:Choice Requires="wps">
            <w:drawing>
              <wp:anchor distT="0" distB="0" distL="0" distR="0" allowOverlap="1" layoutInCell="1" locked="0" behindDoc="1" simplePos="0" relativeHeight="487769088">
                <wp:simplePos x="0" y="0"/>
                <wp:positionH relativeFrom="page">
                  <wp:posOffset>1080820</wp:posOffset>
                </wp:positionH>
                <wp:positionV relativeFrom="paragraph">
                  <wp:posOffset>188655</wp:posOffset>
                </wp:positionV>
                <wp:extent cx="5715000" cy="3107690"/>
                <wp:effectExtent l="0" t="0" r="0" b="0"/>
                <wp:wrapTopAndBottom/>
                <wp:docPr id="894" name="Textbox 894"/>
                <wp:cNvGraphicFramePr>
                  <a:graphicFrameLocks/>
                </wp:cNvGraphicFramePr>
                <a:graphic>
                  <a:graphicData uri="http://schemas.microsoft.com/office/word/2010/wordprocessingShape">
                    <wps:wsp>
                      <wps:cNvPr id="894" name="Textbox 894"/>
                      <wps:cNvSpPr txBox="1"/>
                      <wps:spPr>
                        <a:xfrm>
                          <a:off x="0" y="0"/>
                          <a:ext cx="5715000" cy="31076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before="2"/>
                              <w:rPr>
                                <w:b/>
                              </w:rPr>
                            </w:pPr>
                          </w:p>
                          <w:p>
                            <w:pPr>
                              <w:pStyle w:val="BodyText"/>
                              <w:ind w:left="103"/>
                            </w:pPr>
                            <w:r>
                              <w:rPr/>
                              <w:t>La</w:t>
                            </w:r>
                            <w:r>
                              <w:rPr>
                                <w:spacing w:val="-5"/>
                              </w:rPr>
                              <w:t> </w:t>
                            </w:r>
                            <w:r>
                              <w:rPr/>
                              <w:t>NICSP</w:t>
                            </w:r>
                            <w:r>
                              <w:rPr>
                                <w:spacing w:val="-4"/>
                              </w:rPr>
                              <w:t> </w:t>
                            </w:r>
                            <w:r>
                              <w:rPr/>
                              <w:t>17</w:t>
                            </w:r>
                            <w:r>
                              <w:rPr>
                                <w:spacing w:val="-5"/>
                              </w:rPr>
                              <w:t> </w:t>
                            </w:r>
                            <w:r>
                              <w:rPr/>
                              <w:t>define</w:t>
                            </w:r>
                            <w:r>
                              <w:rPr>
                                <w:spacing w:val="-4"/>
                              </w:rPr>
                              <w:t> </w:t>
                            </w:r>
                            <w:r>
                              <w:rPr/>
                              <w:t>la</w:t>
                            </w:r>
                            <w:r>
                              <w:rPr>
                                <w:spacing w:val="-6"/>
                              </w:rPr>
                              <w:t> </w:t>
                            </w:r>
                            <w:r>
                              <w:rPr/>
                              <w:t>propiedad,</w:t>
                            </w:r>
                            <w:r>
                              <w:rPr>
                                <w:spacing w:val="-4"/>
                              </w:rPr>
                              <w:t> </w:t>
                            </w:r>
                            <w:r>
                              <w:rPr/>
                              <w:t>planta</w:t>
                            </w:r>
                            <w:r>
                              <w:rPr>
                                <w:spacing w:val="-4"/>
                              </w:rPr>
                              <w:t> </w:t>
                            </w:r>
                            <w:r>
                              <w:rPr/>
                              <w:t>y</w:t>
                            </w:r>
                            <w:r>
                              <w:rPr>
                                <w:spacing w:val="-5"/>
                              </w:rPr>
                              <w:t> </w:t>
                            </w:r>
                            <w:r>
                              <w:rPr/>
                              <w:t>equipo</w:t>
                            </w:r>
                            <w:r>
                              <w:rPr>
                                <w:spacing w:val="-4"/>
                              </w:rPr>
                              <w:t> </w:t>
                            </w:r>
                            <w:r>
                              <w:rPr/>
                              <w:t>como</w:t>
                            </w:r>
                            <w:r>
                              <w:rPr>
                                <w:spacing w:val="-4"/>
                              </w:rPr>
                              <w:t> </w:t>
                            </w:r>
                            <w:r>
                              <w:rPr/>
                              <w:t>“activos</w:t>
                            </w:r>
                            <w:r>
                              <w:rPr>
                                <w:spacing w:val="-4"/>
                              </w:rPr>
                              <w:t> </w:t>
                            </w:r>
                            <w:r>
                              <w:rPr/>
                              <w:t>tangibles</w:t>
                            </w:r>
                            <w:r>
                              <w:rPr>
                                <w:spacing w:val="-5"/>
                              </w:rPr>
                              <w:t> </w:t>
                            </w:r>
                            <w:r>
                              <w:rPr>
                                <w:spacing w:val="-4"/>
                              </w:rPr>
                              <w:t>que:</w:t>
                            </w:r>
                          </w:p>
                          <w:p>
                            <w:pPr>
                              <w:pStyle w:val="BodyText"/>
                              <w:numPr>
                                <w:ilvl w:val="0"/>
                                <w:numId w:val="75"/>
                              </w:numPr>
                              <w:tabs>
                                <w:tab w:pos="435" w:val="left" w:leader="none"/>
                              </w:tabs>
                              <w:spacing w:line="256" w:lineRule="auto" w:before="20" w:after="0"/>
                              <w:ind w:left="103" w:right="102" w:firstLine="55"/>
                              <w:jc w:val="left"/>
                            </w:pPr>
                            <w:r>
                              <w:rPr/>
                              <w:t>están en</w:t>
                            </w:r>
                            <w:r>
                              <w:rPr>
                                <w:spacing w:val="-2"/>
                              </w:rPr>
                              <w:t> </w:t>
                            </w:r>
                            <w:r>
                              <w:rPr/>
                              <w:t>poder de</w:t>
                            </w:r>
                            <w:r>
                              <w:rPr>
                                <w:spacing w:val="-2"/>
                              </w:rPr>
                              <w:t> </w:t>
                            </w:r>
                            <w:r>
                              <w:rPr/>
                              <w:t>una</w:t>
                            </w:r>
                            <w:r>
                              <w:rPr>
                                <w:spacing w:val="-3"/>
                              </w:rPr>
                              <w:t> </w:t>
                            </w:r>
                            <w:r>
                              <w:rPr/>
                              <w:t>entidad</w:t>
                            </w:r>
                            <w:r>
                              <w:rPr>
                                <w:spacing w:val="-1"/>
                              </w:rPr>
                              <w:t> </w:t>
                            </w:r>
                            <w:r>
                              <w:rPr/>
                              <w:t>para</w:t>
                            </w:r>
                            <w:r>
                              <w:rPr>
                                <w:spacing w:val="-1"/>
                              </w:rPr>
                              <w:t> </w:t>
                            </w:r>
                            <w:r>
                              <w:rPr/>
                              <w:t>su</w:t>
                            </w:r>
                            <w:r>
                              <w:rPr>
                                <w:spacing w:val="-2"/>
                              </w:rPr>
                              <w:t> </w:t>
                            </w:r>
                            <w:r>
                              <w:rPr/>
                              <w:t>uso en la</w:t>
                            </w:r>
                            <w:r>
                              <w:rPr>
                                <w:spacing w:val="-1"/>
                              </w:rPr>
                              <w:t> </w:t>
                            </w:r>
                            <w:r>
                              <w:rPr/>
                              <w:t>producción o el</w:t>
                            </w:r>
                            <w:r>
                              <w:rPr>
                                <w:spacing w:val="-2"/>
                              </w:rPr>
                              <w:t> </w:t>
                            </w:r>
                            <w:r>
                              <w:rPr/>
                              <w:t>suministro de</w:t>
                            </w:r>
                            <w:r>
                              <w:rPr>
                                <w:spacing w:val="-3"/>
                              </w:rPr>
                              <w:t> </w:t>
                            </w:r>
                            <w:r>
                              <w:rPr/>
                              <w:t>bienes y</w:t>
                            </w:r>
                            <w:r>
                              <w:rPr>
                                <w:spacing w:val="-1"/>
                              </w:rPr>
                              <w:t> </w:t>
                            </w:r>
                            <w:r>
                              <w:rPr/>
                              <w:t>servicios, para arrendarlos a terceros, o para fines administrativos; y</w:t>
                            </w:r>
                          </w:p>
                          <w:p>
                            <w:pPr>
                              <w:pStyle w:val="BodyText"/>
                              <w:numPr>
                                <w:ilvl w:val="0"/>
                                <w:numId w:val="75"/>
                              </w:numPr>
                              <w:tabs>
                                <w:tab w:pos="398" w:val="left" w:leader="none"/>
                              </w:tabs>
                              <w:spacing w:line="240" w:lineRule="auto" w:before="3" w:after="0"/>
                              <w:ind w:left="398" w:right="0" w:hanging="295"/>
                              <w:jc w:val="left"/>
                            </w:pPr>
                            <w:r>
                              <w:rPr/>
                              <w:t>se</w:t>
                            </w:r>
                            <w:r>
                              <w:rPr>
                                <w:spacing w:val="-4"/>
                              </w:rPr>
                              <w:t> </w:t>
                            </w:r>
                            <w:r>
                              <w:rPr/>
                              <w:t>espera</w:t>
                            </w:r>
                            <w:r>
                              <w:rPr>
                                <w:spacing w:val="-4"/>
                              </w:rPr>
                              <w:t> </w:t>
                            </w:r>
                            <w:r>
                              <w:rPr/>
                              <w:t>serán</w:t>
                            </w:r>
                            <w:r>
                              <w:rPr>
                                <w:spacing w:val="-3"/>
                              </w:rPr>
                              <w:t> </w:t>
                            </w:r>
                            <w:r>
                              <w:rPr/>
                              <w:t>utilizados</w:t>
                            </w:r>
                            <w:r>
                              <w:rPr>
                                <w:spacing w:val="-3"/>
                              </w:rPr>
                              <w:t> </w:t>
                            </w:r>
                            <w:r>
                              <w:rPr/>
                              <w:t>durante</w:t>
                            </w:r>
                            <w:r>
                              <w:rPr>
                                <w:spacing w:val="-5"/>
                              </w:rPr>
                              <w:t> </w:t>
                            </w:r>
                            <w:r>
                              <w:rPr/>
                              <w:t>más</w:t>
                            </w:r>
                            <w:r>
                              <w:rPr>
                                <w:spacing w:val="-3"/>
                              </w:rPr>
                              <w:t> </w:t>
                            </w:r>
                            <w:r>
                              <w:rPr/>
                              <w:t>de</w:t>
                            </w:r>
                            <w:r>
                              <w:rPr>
                                <w:spacing w:val="-4"/>
                              </w:rPr>
                              <w:t> </w:t>
                            </w:r>
                            <w:r>
                              <w:rPr/>
                              <w:t>un</w:t>
                            </w:r>
                            <w:r>
                              <w:rPr>
                                <w:spacing w:val="-3"/>
                              </w:rPr>
                              <w:t> </w:t>
                            </w:r>
                            <w:r>
                              <w:rPr/>
                              <w:t>periodo</w:t>
                            </w:r>
                            <w:r>
                              <w:rPr>
                                <w:spacing w:val="-3"/>
                              </w:rPr>
                              <w:t> </w:t>
                            </w:r>
                            <w:r>
                              <w:rPr>
                                <w:spacing w:val="-2"/>
                              </w:rPr>
                              <w:t>contable”.</w:t>
                            </w:r>
                          </w:p>
                          <w:p>
                            <w:pPr>
                              <w:pStyle w:val="BodyText"/>
                              <w:spacing w:before="41"/>
                            </w:pPr>
                          </w:p>
                          <w:p>
                            <w:pPr>
                              <w:pStyle w:val="BodyText"/>
                              <w:spacing w:line="259" w:lineRule="auto"/>
                              <w:ind w:left="103" w:right="104"/>
                              <w:jc w:val="both"/>
                            </w:pPr>
                            <w:r>
                              <w:rPr/>
                              <w:t>Los elementos de propiedad, planta y equipo son reconocidos como activos si, y solo si, es probable que los beneficios económicos futuros o el potencial de servicio asociado</w:t>
                            </w:r>
                            <w:r>
                              <w:rPr>
                                <w:spacing w:val="-1"/>
                              </w:rPr>
                              <w:t> </w:t>
                            </w:r>
                            <w:r>
                              <w:rPr/>
                              <w:t>con</w:t>
                            </w:r>
                            <w:r>
                              <w:rPr>
                                <w:spacing w:val="-1"/>
                              </w:rPr>
                              <w:t> </w:t>
                            </w:r>
                            <w:r>
                              <w:rPr/>
                              <w:t>el elemento fluirá para la entidad, y el costo o el valor razonable del elemento puede ser medido confiablemente.</w:t>
                            </w:r>
                          </w:p>
                          <w:p>
                            <w:pPr>
                              <w:pStyle w:val="BodyText"/>
                              <w:spacing w:line="259" w:lineRule="auto"/>
                              <w:ind w:left="103" w:right="104"/>
                              <w:jc w:val="both"/>
                            </w:pPr>
                            <w:r>
                              <w:rPr/>
                              <w:t>El</w:t>
                            </w:r>
                            <w:r>
                              <w:rPr>
                                <w:spacing w:val="-1"/>
                              </w:rPr>
                              <w:t> </w:t>
                            </w:r>
                            <w:r>
                              <w:rPr/>
                              <w:t>reconocimiento inicial</w:t>
                            </w:r>
                            <w:r>
                              <w:rPr>
                                <w:spacing w:val="-1"/>
                              </w:rPr>
                              <w:t> </w:t>
                            </w:r>
                            <w:r>
                              <w:rPr/>
                              <w:t>es al</w:t>
                            </w:r>
                            <w:r>
                              <w:rPr>
                                <w:spacing w:val="-1"/>
                              </w:rPr>
                              <w:t> </w:t>
                            </w:r>
                            <w:r>
                              <w:rPr/>
                              <w:t>costo, el</w:t>
                            </w:r>
                            <w:r>
                              <w:rPr>
                                <w:spacing w:val="-1"/>
                              </w:rPr>
                              <w:t> </w:t>
                            </w:r>
                            <w:r>
                              <w:rPr/>
                              <w:t>cual</w:t>
                            </w:r>
                            <w:r>
                              <w:rPr>
                                <w:spacing w:val="-1"/>
                              </w:rPr>
                              <w:t> </w:t>
                            </w:r>
                            <w:r>
                              <w:rPr/>
                              <w:t>incluye</w:t>
                            </w:r>
                            <w:r>
                              <w:rPr>
                                <w:spacing w:val="-1"/>
                              </w:rPr>
                              <w:t> </w:t>
                            </w:r>
                            <w:r>
                              <w:rPr/>
                              <w:t>todos los costos</w:t>
                            </w:r>
                            <w:r>
                              <w:rPr>
                                <w:spacing w:val="-1"/>
                              </w:rPr>
                              <w:t> </w:t>
                            </w:r>
                            <w:r>
                              <w:rPr/>
                              <w:t>necesarios para</w:t>
                            </w:r>
                            <w:r>
                              <w:rPr>
                                <w:spacing w:val="-1"/>
                              </w:rPr>
                              <w:t> </w:t>
                            </w:r>
                            <w:r>
                              <w:rPr/>
                              <w:t>conseguir</w:t>
                            </w:r>
                            <w:r>
                              <w:rPr>
                                <w:spacing w:val="-3"/>
                              </w:rPr>
                              <w:t> </w:t>
                            </w:r>
                            <w:r>
                              <w:rPr/>
                              <w:t>que</w:t>
                            </w:r>
                            <w:r>
                              <w:rPr>
                                <w:spacing w:val="-1"/>
                              </w:rPr>
                              <w:t> </w:t>
                            </w:r>
                            <w:r>
                              <w:rPr/>
                              <w:t>el activo esté</w:t>
                            </w:r>
                            <w:r>
                              <w:rPr>
                                <w:spacing w:val="-3"/>
                              </w:rPr>
                              <w:t> </w:t>
                            </w:r>
                            <w:r>
                              <w:rPr/>
                              <w:t>listo para</w:t>
                            </w:r>
                            <w:r>
                              <w:rPr>
                                <w:spacing w:val="-3"/>
                              </w:rPr>
                              <w:t> </w:t>
                            </w:r>
                            <w:r>
                              <w:rPr/>
                              <w:t>el</w:t>
                            </w:r>
                            <w:r>
                              <w:rPr>
                                <w:spacing w:val="-1"/>
                              </w:rPr>
                              <w:t> </w:t>
                            </w:r>
                            <w:r>
                              <w:rPr/>
                              <w:t>uso</w:t>
                            </w:r>
                            <w:r>
                              <w:rPr>
                                <w:spacing w:val="-2"/>
                              </w:rPr>
                              <w:t> </w:t>
                            </w:r>
                            <w:r>
                              <w:rPr/>
                              <w:t>que</w:t>
                            </w:r>
                            <w:r>
                              <w:rPr>
                                <w:spacing w:val="-4"/>
                              </w:rPr>
                              <w:t> </w:t>
                            </w:r>
                            <w:r>
                              <w:rPr/>
                              <w:t>se</w:t>
                            </w:r>
                            <w:r>
                              <w:rPr>
                                <w:spacing w:val="-1"/>
                              </w:rPr>
                              <w:t> </w:t>
                            </w:r>
                            <w:r>
                              <w:rPr/>
                              <w:t>tiene</w:t>
                            </w:r>
                            <w:r>
                              <w:rPr>
                                <w:spacing w:val="-1"/>
                              </w:rPr>
                              <w:t> </w:t>
                            </w:r>
                            <w:r>
                              <w:rPr/>
                              <w:t>la</w:t>
                            </w:r>
                            <w:r>
                              <w:rPr>
                                <w:spacing w:val="-1"/>
                              </w:rPr>
                              <w:t> </w:t>
                            </w:r>
                            <w:r>
                              <w:rPr/>
                              <w:t>intención darle.</w:t>
                            </w:r>
                            <w:r>
                              <w:rPr>
                                <w:spacing w:val="-1"/>
                              </w:rPr>
                              <w:t> </w:t>
                            </w:r>
                            <w:r>
                              <w:rPr/>
                              <w:t>Cuando</w:t>
                            </w:r>
                            <w:r>
                              <w:rPr>
                                <w:spacing w:val="-2"/>
                              </w:rPr>
                              <w:t> </w:t>
                            </w:r>
                            <w:r>
                              <w:rPr/>
                              <w:t>un activo es adquirido sin costo,</w:t>
                            </w:r>
                            <w:r>
                              <w:rPr>
                                <w:spacing w:val="-5"/>
                              </w:rPr>
                              <w:t> </w:t>
                            </w:r>
                            <w:r>
                              <w:rPr/>
                              <w:t>o por un costo nominal, su costo es su valor razonable a la fecha de adquisición.</w:t>
                            </w:r>
                          </w:p>
                          <w:p>
                            <w:pPr>
                              <w:pStyle w:val="BodyText"/>
                              <w:spacing w:line="259" w:lineRule="auto"/>
                              <w:ind w:left="103" w:right="103"/>
                              <w:jc w:val="both"/>
                            </w:pPr>
                            <w:r>
                              <w:rPr/>
                              <w:t>Las</w:t>
                            </w:r>
                            <w:r>
                              <w:rPr>
                                <w:spacing w:val="-1"/>
                              </w:rPr>
                              <w:t> </w:t>
                            </w:r>
                            <w:r>
                              <w:rPr/>
                              <w:t>piezas</w:t>
                            </w:r>
                            <w:r>
                              <w:rPr>
                                <w:spacing w:val="-2"/>
                              </w:rPr>
                              <w:t> </w:t>
                            </w:r>
                            <w:r>
                              <w:rPr/>
                              <w:t>de</w:t>
                            </w:r>
                            <w:r>
                              <w:rPr>
                                <w:spacing w:val="-3"/>
                              </w:rPr>
                              <w:t> </w:t>
                            </w:r>
                            <w:r>
                              <w:rPr/>
                              <w:t>repuesto</w:t>
                            </w:r>
                            <w:r>
                              <w:rPr>
                                <w:spacing w:val="-1"/>
                              </w:rPr>
                              <w:t> </w:t>
                            </w:r>
                            <w:r>
                              <w:rPr/>
                              <w:t>importantes</w:t>
                            </w:r>
                            <w:r>
                              <w:rPr>
                                <w:spacing w:val="-1"/>
                              </w:rPr>
                              <w:t> </w:t>
                            </w:r>
                            <w:r>
                              <w:rPr/>
                              <w:t>y</w:t>
                            </w:r>
                            <w:r>
                              <w:rPr>
                                <w:spacing w:val="-3"/>
                              </w:rPr>
                              <w:t> </w:t>
                            </w:r>
                            <w:r>
                              <w:rPr/>
                              <w:t>el</w:t>
                            </w:r>
                            <w:r>
                              <w:rPr>
                                <w:spacing w:val="-2"/>
                              </w:rPr>
                              <w:t> </w:t>
                            </w:r>
                            <w:r>
                              <w:rPr/>
                              <w:t>equipo</w:t>
                            </w:r>
                            <w:r>
                              <w:rPr>
                                <w:spacing w:val="-2"/>
                              </w:rPr>
                              <w:t> </w:t>
                            </w:r>
                            <w:r>
                              <w:rPr/>
                              <w:t>de</w:t>
                            </w:r>
                            <w:r>
                              <w:rPr>
                                <w:spacing w:val="-4"/>
                              </w:rPr>
                              <w:t> </w:t>
                            </w:r>
                            <w:r>
                              <w:rPr/>
                              <w:t>mantenimiento</w:t>
                            </w:r>
                            <w:r>
                              <w:rPr>
                                <w:spacing w:val="-1"/>
                              </w:rPr>
                              <w:t> </w:t>
                            </w:r>
                            <w:r>
                              <w:rPr/>
                              <w:t>permanente,</w:t>
                            </w:r>
                            <w:r>
                              <w:rPr>
                                <w:spacing w:val="-2"/>
                              </w:rPr>
                              <w:t> </w:t>
                            </w:r>
                            <w:r>
                              <w:rPr/>
                              <w:t>que</w:t>
                            </w:r>
                            <w:r>
                              <w:rPr>
                                <w:spacing w:val="-3"/>
                              </w:rPr>
                              <w:t> </w:t>
                            </w:r>
                            <w:r>
                              <w:rPr/>
                              <w:t>la</w:t>
                            </w:r>
                            <w:r>
                              <w:rPr>
                                <w:spacing w:val="-4"/>
                              </w:rPr>
                              <w:t> </w:t>
                            </w:r>
                            <w:r>
                              <w:rPr/>
                              <w:t>entidad</w:t>
                            </w:r>
                            <w:r>
                              <w:rPr>
                                <w:spacing w:val="-1"/>
                              </w:rPr>
                              <w:t> </w:t>
                            </w:r>
                            <w:r>
                              <w:rPr/>
                              <w:t>espere utilizar durante más de un periodo, se califican como elementos de propiedades, planta y equipo.</w:t>
                            </w:r>
                          </w:p>
                        </w:txbxContent>
                      </wps:txbx>
                      <wps:bodyPr wrap="square" lIns="0" tIns="0" rIns="0" bIns="0" rtlCol="0">
                        <a:noAutofit/>
                      </wps:bodyPr>
                    </wps:wsp>
                  </a:graphicData>
                </a:graphic>
              </wp:anchor>
            </w:drawing>
          </mc:Choice>
          <mc:Fallback>
            <w:pict>
              <v:shape style="position:absolute;margin-left:85.103996pt;margin-top:14.854783pt;width:450pt;height:244.7pt;mso-position-horizontal-relative:page;mso-position-vertical-relative:paragraph;z-index:-15547392;mso-wrap-distance-left:0;mso-wrap-distance-right:0" type="#_x0000_t202" id="docshape86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color w:val="FFFFFF"/>
                          <w:spacing w:val="-2"/>
                          <w:sz w:val="22"/>
                          <w:u w:val="single" w:color="FFFFFF"/>
                          <w:shd w:fill="00008A" w:color="auto" w:val="clear"/>
                        </w:rPr>
                        <w:t>Reconocimiento:</w:t>
                      </w:r>
                    </w:p>
                    <w:p>
                      <w:pPr>
                        <w:pStyle w:val="BodyText"/>
                        <w:spacing w:before="2"/>
                        <w:rPr>
                          <w:b/>
                        </w:rPr>
                      </w:pPr>
                    </w:p>
                    <w:p>
                      <w:pPr>
                        <w:pStyle w:val="BodyText"/>
                        <w:ind w:left="103"/>
                      </w:pPr>
                      <w:r>
                        <w:rPr/>
                        <w:t>La</w:t>
                      </w:r>
                      <w:r>
                        <w:rPr>
                          <w:spacing w:val="-5"/>
                        </w:rPr>
                        <w:t> </w:t>
                      </w:r>
                      <w:r>
                        <w:rPr/>
                        <w:t>NICSP</w:t>
                      </w:r>
                      <w:r>
                        <w:rPr>
                          <w:spacing w:val="-4"/>
                        </w:rPr>
                        <w:t> </w:t>
                      </w:r>
                      <w:r>
                        <w:rPr/>
                        <w:t>17</w:t>
                      </w:r>
                      <w:r>
                        <w:rPr>
                          <w:spacing w:val="-5"/>
                        </w:rPr>
                        <w:t> </w:t>
                      </w:r>
                      <w:r>
                        <w:rPr/>
                        <w:t>define</w:t>
                      </w:r>
                      <w:r>
                        <w:rPr>
                          <w:spacing w:val="-4"/>
                        </w:rPr>
                        <w:t> </w:t>
                      </w:r>
                      <w:r>
                        <w:rPr/>
                        <w:t>la</w:t>
                      </w:r>
                      <w:r>
                        <w:rPr>
                          <w:spacing w:val="-6"/>
                        </w:rPr>
                        <w:t> </w:t>
                      </w:r>
                      <w:r>
                        <w:rPr/>
                        <w:t>propiedad,</w:t>
                      </w:r>
                      <w:r>
                        <w:rPr>
                          <w:spacing w:val="-4"/>
                        </w:rPr>
                        <w:t> </w:t>
                      </w:r>
                      <w:r>
                        <w:rPr/>
                        <w:t>planta</w:t>
                      </w:r>
                      <w:r>
                        <w:rPr>
                          <w:spacing w:val="-4"/>
                        </w:rPr>
                        <w:t> </w:t>
                      </w:r>
                      <w:r>
                        <w:rPr/>
                        <w:t>y</w:t>
                      </w:r>
                      <w:r>
                        <w:rPr>
                          <w:spacing w:val="-5"/>
                        </w:rPr>
                        <w:t> </w:t>
                      </w:r>
                      <w:r>
                        <w:rPr/>
                        <w:t>equipo</w:t>
                      </w:r>
                      <w:r>
                        <w:rPr>
                          <w:spacing w:val="-4"/>
                        </w:rPr>
                        <w:t> </w:t>
                      </w:r>
                      <w:r>
                        <w:rPr/>
                        <w:t>como</w:t>
                      </w:r>
                      <w:r>
                        <w:rPr>
                          <w:spacing w:val="-4"/>
                        </w:rPr>
                        <w:t> </w:t>
                      </w:r>
                      <w:r>
                        <w:rPr/>
                        <w:t>“activos</w:t>
                      </w:r>
                      <w:r>
                        <w:rPr>
                          <w:spacing w:val="-4"/>
                        </w:rPr>
                        <w:t> </w:t>
                      </w:r>
                      <w:r>
                        <w:rPr/>
                        <w:t>tangibles</w:t>
                      </w:r>
                      <w:r>
                        <w:rPr>
                          <w:spacing w:val="-5"/>
                        </w:rPr>
                        <w:t> </w:t>
                      </w:r>
                      <w:r>
                        <w:rPr>
                          <w:spacing w:val="-4"/>
                        </w:rPr>
                        <w:t>que:</w:t>
                      </w:r>
                    </w:p>
                    <w:p>
                      <w:pPr>
                        <w:pStyle w:val="BodyText"/>
                        <w:numPr>
                          <w:ilvl w:val="0"/>
                          <w:numId w:val="75"/>
                        </w:numPr>
                        <w:tabs>
                          <w:tab w:pos="435" w:val="left" w:leader="none"/>
                        </w:tabs>
                        <w:spacing w:line="256" w:lineRule="auto" w:before="20" w:after="0"/>
                        <w:ind w:left="103" w:right="102" w:firstLine="55"/>
                        <w:jc w:val="left"/>
                      </w:pPr>
                      <w:r>
                        <w:rPr/>
                        <w:t>están en</w:t>
                      </w:r>
                      <w:r>
                        <w:rPr>
                          <w:spacing w:val="-2"/>
                        </w:rPr>
                        <w:t> </w:t>
                      </w:r>
                      <w:r>
                        <w:rPr/>
                        <w:t>poder de</w:t>
                      </w:r>
                      <w:r>
                        <w:rPr>
                          <w:spacing w:val="-2"/>
                        </w:rPr>
                        <w:t> </w:t>
                      </w:r>
                      <w:r>
                        <w:rPr/>
                        <w:t>una</w:t>
                      </w:r>
                      <w:r>
                        <w:rPr>
                          <w:spacing w:val="-3"/>
                        </w:rPr>
                        <w:t> </w:t>
                      </w:r>
                      <w:r>
                        <w:rPr/>
                        <w:t>entidad</w:t>
                      </w:r>
                      <w:r>
                        <w:rPr>
                          <w:spacing w:val="-1"/>
                        </w:rPr>
                        <w:t> </w:t>
                      </w:r>
                      <w:r>
                        <w:rPr/>
                        <w:t>para</w:t>
                      </w:r>
                      <w:r>
                        <w:rPr>
                          <w:spacing w:val="-1"/>
                        </w:rPr>
                        <w:t> </w:t>
                      </w:r>
                      <w:r>
                        <w:rPr/>
                        <w:t>su</w:t>
                      </w:r>
                      <w:r>
                        <w:rPr>
                          <w:spacing w:val="-2"/>
                        </w:rPr>
                        <w:t> </w:t>
                      </w:r>
                      <w:r>
                        <w:rPr/>
                        <w:t>uso en la</w:t>
                      </w:r>
                      <w:r>
                        <w:rPr>
                          <w:spacing w:val="-1"/>
                        </w:rPr>
                        <w:t> </w:t>
                      </w:r>
                      <w:r>
                        <w:rPr/>
                        <w:t>producción o el</w:t>
                      </w:r>
                      <w:r>
                        <w:rPr>
                          <w:spacing w:val="-2"/>
                        </w:rPr>
                        <w:t> </w:t>
                      </w:r>
                      <w:r>
                        <w:rPr/>
                        <w:t>suministro de</w:t>
                      </w:r>
                      <w:r>
                        <w:rPr>
                          <w:spacing w:val="-3"/>
                        </w:rPr>
                        <w:t> </w:t>
                      </w:r>
                      <w:r>
                        <w:rPr/>
                        <w:t>bienes y</w:t>
                      </w:r>
                      <w:r>
                        <w:rPr>
                          <w:spacing w:val="-1"/>
                        </w:rPr>
                        <w:t> </w:t>
                      </w:r>
                      <w:r>
                        <w:rPr/>
                        <w:t>servicios, para arrendarlos a terceros, o para fines administrativos; y</w:t>
                      </w:r>
                    </w:p>
                    <w:p>
                      <w:pPr>
                        <w:pStyle w:val="BodyText"/>
                        <w:numPr>
                          <w:ilvl w:val="0"/>
                          <w:numId w:val="75"/>
                        </w:numPr>
                        <w:tabs>
                          <w:tab w:pos="398" w:val="left" w:leader="none"/>
                        </w:tabs>
                        <w:spacing w:line="240" w:lineRule="auto" w:before="3" w:after="0"/>
                        <w:ind w:left="398" w:right="0" w:hanging="295"/>
                        <w:jc w:val="left"/>
                      </w:pPr>
                      <w:r>
                        <w:rPr/>
                        <w:t>se</w:t>
                      </w:r>
                      <w:r>
                        <w:rPr>
                          <w:spacing w:val="-4"/>
                        </w:rPr>
                        <w:t> </w:t>
                      </w:r>
                      <w:r>
                        <w:rPr/>
                        <w:t>espera</w:t>
                      </w:r>
                      <w:r>
                        <w:rPr>
                          <w:spacing w:val="-4"/>
                        </w:rPr>
                        <w:t> </w:t>
                      </w:r>
                      <w:r>
                        <w:rPr/>
                        <w:t>serán</w:t>
                      </w:r>
                      <w:r>
                        <w:rPr>
                          <w:spacing w:val="-3"/>
                        </w:rPr>
                        <w:t> </w:t>
                      </w:r>
                      <w:r>
                        <w:rPr/>
                        <w:t>utilizados</w:t>
                      </w:r>
                      <w:r>
                        <w:rPr>
                          <w:spacing w:val="-3"/>
                        </w:rPr>
                        <w:t> </w:t>
                      </w:r>
                      <w:r>
                        <w:rPr/>
                        <w:t>durante</w:t>
                      </w:r>
                      <w:r>
                        <w:rPr>
                          <w:spacing w:val="-5"/>
                        </w:rPr>
                        <w:t> </w:t>
                      </w:r>
                      <w:r>
                        <w:rPr/>
                        <w:t>más</w:t>
                      </w:r>
                      <w:r>
                        <w:rPr>
                          <w:spacing w:val="-3"/>
                        </w:rPr>
                        <w:t> </w:t>
                      </w:r>
                      <w:r>
                        <w:rPr/>
                        <w:t>de</w:t>
                      </w:r>
                      <w:r>
                        <w:rPr>
                          <w:spacing w:val="-4"/>
                        </w:rPr>
                        <w:t> </w:t>
                      </w:r>
                      <w:r>
                        <w:rPr/>
                        <w:t>un</w:t>
                      </w:r>
                      <w:r>
                        <w:rPr>
                          <w:spacing w:val="-3"/>
                        </w:rPr>
                        <w:t> </w:t>
                      </w:r>
                      <w:r>
                        <w:rPr/>
                        <w:t>periodo</w:t>
                      </w:r>
                      <w:r>
                        <w:rPr>
                          <w:spacing w:val="-3"/>
                        </w:rPr>
                        <w:t> </w:t>
                      </w:r>
                      <w:r>
                        <w:rPr>
                          <w:spacing w:val="-2"/>
                        </w:rPr>
                        <w:t>contable”.</w:t>
                      </w:r>
                    </w:p>
                    <w:p>
                      <w:pPr>
                        <w:pStyle w:val="BodyText"/>
                        <w:spacing w:before="41"/>
                      </w:pPr>
                    </w:p>
                    <w:p>
                      <w:pPr>
                        <w:pStyle w:val="BodyText"/>
                        <w:spacing w:line="259" w:lineRule="auto"/>
                        <w:ind w:left="103" w:right="104"/>
                        <w:jc w:val="both"/>
                      </w:pPr>
                      <w:r>
                        <w:rPr/>
                        <w:t>Los elementos de propiedad, planta y equipo son reconocidos como activos si, y solo si, es probable que los beneficios económicos futuros o el potencial de servicio asociado</w:t>
                      </w:r>
                      <w:r>
                        <w:rPr>
                          <w:spacing w:val="-1"/>
                        </w:rPr>
                        <w:t> </w:t>
                      </w:r>
                      <w:r>
                        <w:rPr/>
                        <w:t>con</w:t>
                      </w:r>
                      <w:r>
                        <w:rPr>
                          <w:spacing w:val="-1"/>
                        </w:rPr>
                        <w:t> </w:t>
                      </w:r>
                      <w:r>
                        <w:rPr/>
                        <w:t>el elemento fluirá para la entidad, y el costo o el valor razonable del elemento puede ser medido confiablemente.</w:t>
                      </w:r>
                    </w:p>
                    <w:p>
                      <w:pPr>
                        <w:pStyle w:val="BodyText"/>
                        <w:spacing w:line="259" w:lineRule="auto"/>
                        <w:ind w:left="103" w:right="104"/>
                        <w:jc w:val="both"/>
                      </w:pPr>
                      <w:r>
                        <w:rPr/>
                        <w:t>El</w:t>
                      </w:r>
                      <w:r>
                        <w:rPr>
                          <w:spacing w:val="-1"/>
                        </w:rPr>
                        <w:t> </w:t>
                      </w:r>
                      <w:r>
                        <w:rPr/>
                        <w:t>reconocimiento inicial</w:t>
                      </w:r>
                      <w:r>
                        <w:rPr>
                          <w:spacing w:val="-1"/>
                        </w:rPr>
                        <w:t> </w:t>
                      </w:r>
                      <w:r>
                        <w:rPr/>
                        <w:t>es al</w:t>
                      </w:r>
                      <w:r>
                        <w:rPr>
                          <w:spacing w:val="-1"/>
                        </w:rPr>
                        <w:t> </w:t>
                      </w:r>
                      <w:r>
                        <w:rPr/>
                        <w:t>costo, el</w:t>
                      </w:r>
                      <w:r>
                        <w:rPr>
                          <w:spacing w:val="-1"/>
                        </w:rPr>
                        <w:t> </w:t>
                      </w:r>
                      <w:r>
                        <w:rPr/>
                        <w:t>cual</w:t>
                      </w:r>
                      <w:r>
                        <w:rPr>
                          <w:spacing w:val="-1"/>
                        </w:rPr>
                        <w:t> </w:t>
                      </w:r>
                      <w:r>
                        <w:rPr/>
                        <w:t>incluye</w:t>
                      </w:r>
                      <w:r>
                        <w:rPr>
                          <w:spacing w:val="-1"/>
                        </w:rPr>
                        <w:t> </w:t>
                      </w:r>
                      <w:r>
                        <w:rPr/>
                        <w:t>todos los costos</w:t>
                      </w:r>
                      <w:r>
                        <w:rPr>
                          <w:spacing w:val="-1"/>
                        </w:rPr>
                        <w:t> </w:t>
                      </w:r>
                      <w:r>
                        <w:rPr/>
                        <w:t>necesarios para</w:t>
                      </w:r>
                      <w:r>
                        <w:rPr>
                          <w:spacing w:val="-1"/>
                        </w:rPr>
                        <w:t> </w:t>
                      </w:r>
                      <w:r>
                        <w:rPr/>
                        <w:t>conseguir</w:t>
                      </w:r>
                      <w:r>
                        <w:rPr>
                          <w:spacing w:val="-3"/>
                        </w:rPr>
                        <w:t> </w:t>
                      </w:r>
                      <w:r>
                        <w:rPr/>
                        <w:t>que</w:t>
                      </w:r>
                      <w:r>
                        <w:rPr>
                          <w:spacing w:val="-1"/>
                        </w:rPr>
                        <w:t> </w:t>
                      </w:r>
                      <w:r>
                        <w:rPr/>
                        <w:t>el activo esté</w:t>
                      </w:r>
                      <w:r>
                        <w:rPr>
                          <w:spacing w:val="-3"/>
                        </w:rPr>
                        <w:t> </w:t>
                      </w:r>
                      <w:r>
                        <w:rPr/>
                        <w:t>listo para</w:t>
                      </w:r>
                      <w:r>
                        <w:rPr>
                          <w:spacing w:val="-3"/>
                        </w:rPr>
                        <w:t> </w:t>
                      </w:r>
                      <w:r>
                        <w:rPr/>
                        <w:t>el</w:t>
                      </w:r>
                      <w:r>
                        <w:rPr>
                          <w:spacing w:val="-1"/>
                        </w:rPr>
                        <w:t> </w:t>
                      </w:r>
                      <w:r>
                        <w:rPr/>
                        <w:t>uso</w:t>
                      </w:r>
                      <w:r>
                        <w:rPr>
                          <w:spacing w:val="-2"/>
                        </w:rPr>
                        <w:t> </w:t>
                      </w:r>
                      <w:r>
                        <w:rPr/>
                        <w:t>que</w:t>
                      </w:r>
                      <w:r>
                        <w:rPr>
                          <w:spacing w:val="-4"/>
                        </w:rPr>
                        <w:t> </w:t>
                      </w:r>
                      <w:r>
                        <w:rPr/>
                        <w:t>se</w:t>
                      </w:r>
                      <w:r>
                        <w:rPr>
                          <w:spacing w:val="-1"/>
                        </w:rPr>
                        <w:t> </w:t>
                      </w:r>
                      <w:r>
                        <w:rPr/>
                        <w:t>tiene</w:t>
                      </w:r>
                      <w:r>
                        <w:rPr>
                          <w:spacing w:val="-1"/>
                        </w:rPr>
                        <w:t> </w:t>
                      </w:r>
                      <w:r>
                        <w:rPr/>
                        <w:t>la</w:t>
                      </w:r>
                      <w:r>
                        <w:rPr>
                          <w:spacing w:val="-1"/>
                        </w:rPr>
                        <w:t> </w:t>
                      </w:r>
                      <w:r>
                        <w:rPr/>
                        <w:t>intención darle.</w:t>
                      </w:r>
                      <w:r>
                        <w:rPr>
                          <w:spacing w:val="-1"/>
                        </w:rPr>
                        <w:t> </w:t>
                      </w:r>
                      <w:r>
                        <w:rPr/>
                        <w:t>Cuando</w:t>
                      </w:r>
                      <w:r>
                        <w:rPr>
                          <w:spacing w:val="-2"/>
                        </w:rPr>
                        <w:t> </w:t>
                      </w:r>
                      <w:r>
                        <w:rPr/>
                        <w:t>un activo es adquirido sin costo,</w:t>
                      </w:r>
                      <w:r>
                        <w:rPr>
                          <w:spacing w:val="-5"/>
                        </w:rPr>
                        <w:t> </w:t>
                      </w:r>
                      <w:r>
                        <w:rPr/>
                        <w:t>o por un costo nominal, su costo es su valor razonable a la fecha de adquisición.</w:t>
                      </w:r>
                    </w:p>
                    <w:p>
                      <w:pPr>
                        <w:pStyle w:val="BodyText"/>
                        <w:spacing w:line="259" w:lineRule="auto"/>
                        <w:ind w:left="103" w:right="103"/>
                        <w:jc w:val="both"/>
                      </w:pPr>
                      <w:r>
                        <w:rPr/>
                        <w:t>Las</w:t>
                      </w:r>
                      <w:r>
                        <w:rPr>
                          <w:spacing w:val="-1"/>
                        </w:rPr>
                        <w:t> </w:t>
                      </w:r>
                      <w:r>
                        <w:rPr/>
                        <w:t>piezas</w:t>
                      </w:r>
                      <w:r>
                        <w:rPr>
                          <w:spacing w:val="-2"/>
                        </w:rPr>
                        <w:t> </w:t>
                      </w:r>
                      <w:r>
                        <w:rPr/>
                        <w:t>de</w:t>
                      </w:r>
                      <w:r>
                        <w:rPr>
                          <w:spacing w:val="-3"/>
                        </w:rPr>
                        <w:t> </w:t>
                      </w:r>
                      <w:r>
                        <w:rPr/>
                        <w:t>repuesto</w:t>
                      </w:r>
                      <w:r>
                        <w:rPr>
                          <w:spacing w:val="-1"/>
                        </w:rPr>
                        <w:t> </w:t>
                      </w:r>
                      <w:r>
                        <w:rPr/>
                        <w:t>importantes</w:t>
                      </w:r>
                      <w:r>
                        <w:rPr>
                          <w:spacing w:val="-1"/>
                        </w:rPr>
                        <w:t> </w:t>
                      </w:r>
                      <w:r>
                        <w:rPr/>
                        <w:t>y</w:t>
                      </w:r>
                      <w:r>
                        <w:rPr>
                          <w:spacing w:val="-3"/>
                        </w:rPr>
                        <w:t> </w:t>
                      </w:r>
                      <w:r>
                        <w:rPr/>
                        <w:t>el</w:t>
                      </w:r>
                      <w:r>
                        <w:rPr>
                          <w:spacing w:val="-2"/>
                        </w:rPr>
                        <w:t> </w:t>
                      </w:r>
                      <w:r>
                        <w:rPr/>
                        <w:t>equipo</w:t>
                      </w:r>
                      <w:r>
                        <w:rPr>
                          <w:spacing w:val="-2"/>
                        </w:rPr>
                        <w:t> </w:t>
                      </w:r>
                      <w:r>
                        <w:rPr/>
                        <w:t>de</w:t>
                      </w:r>
                      <w:r>
                        <w:rPr>
                          <w:spacing w:val="-4"/>
                        </w:rPr>
                        <w:t> </w:t>
                      </w:r>
                      <w:r>
                        <w:rPr/>
                        <w:t>mantenimiento</w:t>
                      </w:r>
                      <w:r>
                        <w:rPr>
                          <w:spacing w:val="-1"/>
                        </w:rPr>
                        <w:t> </w:t>
                      </w:r>
                      <w:r>
                        <w:rPr/>
                        <w:t>permanente,</w:t>
                      </w:r>
                      <w:r>
                        <w:rPr>
                          <w:spacing w:val="-2"/>
                        </w:rPr>
                        <w:t> </w:t>
                      </w:r>
                      <w:r>
                        <w:rPr/>
                        <w:t>que</w:t>
                      </w:r>
                      <w:r>
                        <w:rPr>
                          <w:spacing w:val="-3"/>
                        </w:rPr>
                        <w:t> </w:t>
                      </w:r>
                      <w:r>
                        <w:rPr/>
                        <w:t>la</w:t>
                      </w:r>
                      <w:r>
                        <w:rPr>
                          <w:spacing w:val="-4"/>
                        </w:rPr>
                        <w:t> </w:t>
                      </w:r>
                      <w:r>
                        <w:rPr/>
                        <w:t>entidad</w:t>
                      </w:r>
                      <w:r>
                        <w:rPr>
                          <w:spacing w:val="-1"/>
                        </w:rPr>
                        <w:t> </w:t>
                      </w:r>
                      <w:r>
                        <w:rPr/>
                        <w:t>espere utilizar durante más de un periodo, se califican como elementos de propiedades, planta y equipo.</w:t>
                      </w:r>
                    </w:p>
                  </w:txbxContent>
                </v:textbox>
                <v:stroke dashstyle="solid"/>
                <w10:wrap type="topAndBottom"/>
              </v:shape>
            </w:pict>
          </mc:Fallback>
        </mc:AlternateContent>
      </w:r>
    </w:p>
    <w:p>
      <w:pPr>
        <w:pStyle w:val="BodyText"/>
        <w:spacing w:before="200"/>
        <w:rPr>
          <w:sz w:val="20"/>
        </w:rPr>
      </w:pPr>
    </w:p>
    <w:p>
      <w:pPr>
        <w:spacing w:before="0"/>
        <w:ind w:left="622" w:right="0" w:firstLine="0"/>
        <w:jc w:val="left"/>
        <w:rPr>
          <w:b/>
          <w:i/>
          <w:sz w:val="23"/>
        </w:rPr>
      </w:pPr>
      <w:bookmarkStart w:name="_bookmark153" w:id="154"/>
      <w:bookmarkEnd w:id="154"/>
      <w:r>
        <w:rPr/>
      </w:r>
      <w:r>
        <w:rPr>
          <w:b/>
          <w:spacing w:val="-2"/>
          <w:sz w:val="22"/>
        </w:rPr>
        <w:t>Revelación</w:t>
      </w:r>
      <w:r>
        <w:rPr>
          <w:b/>
          <w:spacing w:val="-9"/>
          <w:sz w:val="22"/>
        </w:rPr>
        <w:t> </w:t>
      </w:r>
      <w:r>
        <w:rPr>
          <w:b/>
          <w:spacing w:val="-2"/>
          <w:sz w:val="22"/>
        </w:rPr>
        <w:t>NICSP</w:t>
      </w:r>
      <w:r>
        <w:rPr>
          <w:b/>
          <w:spacing w:val="-6"/>
          <w:sz w:val="22"/>
        </w:rPr>
        <w:t> </w:t>
      </w:r>
      <w:r>
        <w:rPr>
          <w:b/>
          <w:spacing w:val="-2"/>
          <w:sz w:val="22"/>
        </w:rPr>
        <w:t>17</w:t>
      </w:r>
      <w:r>
        <w:rPr>
          <w:b/>
          <w:spacing w:val="-6"/>
          <w:sz w:val="22"/>
        </w:rPr>
        <w:t> </w:t>
      </w:r>
      <w:r>
        <w:rPr>
          <w:b/>
          <w:i/>
          <w:spacing w:val="-2"/>
          <w:sz w:val="23"/>
        </w:rPr>
        <w:t>Propiedad,</w:t>
      </w:r>
      <w:r>
        <w:rPr>
          <w:b/>
          <w:i/>
          <w:spacing w:val="-9"/>
          <w:sz w:val="23"/>
        </w:rPr>
        <w:t> </w:t>
      </w:r>
      <w:r>
        <w:rPr>
          <w:b/>
          <w:i/>
          <w:spacing w:val="-2"/>
          <w:sz w:val="23"/>
        </w:rPr>
        <w:t>Planta</w:t>
      </w:r>
      <w:r>
        <w:rPr>
          <w:b/>
          <w:i/>
          <w:spacing w:val="-10"/>
          <w:sz w:val="23"/>
        </w:rPr>
        <w:t> </w:t>
      </w:r>
      <w:r>
        <w:rPr>
          <w:b/>
          <w:i/>
          <w:spacing w:val="-2"/>
          <w:sz w:val="23"/>
        </w:rPr>
        <w:t>y</w:t>
      </w:r>
      <w:r>
        <w:rPr>
          <w:b/>
          <w:i/>
          <w:spacing w:val="-10"/>
          <w:sz w:val="23"/>
        </w:rPr>
        <w:t> </w:t>
      </w:r>
      <w:r>
        <w:rPr>
          <w:b/>
          <w:i/>
          <w:spacing w:val="-2"/>
          <w:sz w:val="23"/>
        </w:rPr>
        <w:t>Equipo</w:t>
      </w:r>
    </w:p>
    <w:p>
      <w:pPr>
        <w:pStyle w:val="ListParagraph"/>
        <w:numPr>
          <w:ilvl w:val="2"/>
          <w:numId w:val="57"/>
        </w:numPr>
        <w:tabs>
          <w:tab w:pos="1341" w:val="left" w:leader="none"/>
        </w:tabs>
        <w:spacing w:line="240" w:lineRule="auto" w:before="123" w:after="0"/>
        <w:ind w:left="1341" w:right="0" w:hanging="360"/>
        <w:jc w:val="left"/>
        <w:rPr>
          <w:sz w:val="22"/>
        </w:rPr>
      </w:pPr>
      <w:r>
        <w:rPr>
          <w:sz w:val="22"/>
          <w:u w:val="single"/>
        </w:rPr>
        <w:t>Bienes</w:t>
      </w:r>
      <w:r>
        <w:rPr>
          <w:spacing w:val="-10"/>
          <w:sz w:val="22"/>
          <w:u w:val="single"/>
        </w:rPr>
        <w:t> </w:t>
      </w:r>
      <w:r>
        <w:rPr>
          <w:sz w:val="22"/>
          <w:u w:val="single"/>
        </w:rPr>
        <w:t>Contemplados</w:t>
      </w:r>
      <w:r>
        <w:rPr>
          <w:spacing w:val="-6"/>
          <w:sz w:val="22"/>
          <w:u w:val="single"/>
        </w:rPr>
        <w:t> </w:t>
      </w:r>
      <w:r>
        <w:rPr>
          <w:sz w:val="22"/>
          <w:u w:val="single"/>
        </w:rPr>
        <w:t>(Párrafo</w:t>
      </w:r>
      <w:r>
        <w:rPr>
          <w:spacing w:val="-6"/>
          <w:sz w:val="22"/>
          <w:u w:val="single"/>
        </w:rPr>
        <w:t> </w:t>
      </w:r>
      <w:r>
        <w:rPr>
          <w:spacing w:val="-5"/>
          <w:sz w:val="22"/>
          <w:u w:val="single"/>
        </w:rPr>
        <w:t>13)</w:t>
      </w:r>
    </w:p>
    <w:p>
      <w:pPr>
        <w:pStyle w:val="BodyText"/>
        <w:spacing w:before="32"/>
        <w:rPr>
          <w:sz w:val="20"/>
        </w:rPr>
      </w:pPr>
      <w:r>
        <w:rPr>
          <w:sz w:val="20"/>
        </w:rPr>
        <mc:AlternateContent>
          <mc:Choice Requires="wps">
            <w:drawing>
              <wp:anchor distT="0" distB="0" distL="0" distR="0" allowOverlap="1" layoutInCell="1" locked="0" behindDoc="1" simplePos="0" relativeHeight="487769600">
                <wp:simplePos x="0" y="0"/>
                <wp:positionH relativeFrom="page">
                  <wp:posOffset>1080820</wp:posOffset>
                </wp:positionH>
                <wp:positionV relativeFrom="paragraph">
                  <wp:posOffset>183594</wp:posOffset>
                </wp:positionV>
                <wp:extent cx="5715000" cy="1510665"/>
                <wp:effectExtent l="0" t="0" r="0" b="0"/>
                <wp:wrapTopAndBottom/>
                <wp:docPr id="895" name="Textbox 895"/>
                <wp:cNvGraphicFramePr>
                  <a:graphicFrameLocks/>
                </wp:cNvGraphicFramePr>
                <a:graphic>
                  <a:graphicData uri="http://schemas.microsoft.com/office/word/2010/wordprocessingShape">
                    <wps:wsp>
                      <wps:cNvPr id="895" name="Textbox 895"/>
                      <wps:cNvSpPr txBox="1"/>
                      <wps:spPr>
                        <a:xfrm>
                          <a:off x="0" y="0"/>
                          <a:ext cx="5715000" cy="151066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Los</w:t>
                            </w:r>
                            <w:r>
                              <w:rPr>
                                <w:spacing w:val="-4"/>
                              </w:rPr>
                              <w:t> </w:t>
                            </w:r>
                            <w:r>
                              <w:rPr/>
                              <w:t>activos</w:t>
                            </w:r>
                            <w:r>
                              <w:rPr>
                                <w:spacing w:val="-4"/>
                              </w:rPr>
                              <w:t> </w:t>
                            </w:r>
                            <w:r>
                              <w:rPr/>
                              <w:t>contemplados</w:t>
                            </w:r>
                            <w:r>
                              <w:rPr>
                                <w:spacing w:val="-3"/>
                              </w:rPr>
                              <w:t> </w:t>
                            </w:r>
                            <w:r>
                              <w:rPr/>
                              <w:t>como</w:t>
                            </w:r>
                            <w:r>
                              <w:rPr>
                                <w:spacing w:val="-4"/>
                              </w:rPr>
                              <w:t> </w:t>
                            </w:r>
                            <w:r>
                              <w:rPr/>
                              <w:t>propiedades,</w:t>
                            </w:r>
                            <w:r>
                              <w:rPr>
                                <w:spacing w:val="-5"/>
                              </w:rPr>
                              <w:t> </w:t>
                            </w:r>
                            <w:r>
                              <w:rPr/>
                              <w:t>planta</w:t>
                            </w:r>
                            <w:r>
                              <w:rPr>
                                <w:spacing w:val="-4"/>
                              </w:rPr>
                              <w:t> </w:t>
                            </w:r>
                            <w:r>
                              <w:rPr/>
                              <w:t>y</w:t>
                            </w:r>
                            <w:r>
                              <w:rPr>
                                <w:spacing w:val="-6"/>
                              </w:rPr>
                              <w:t> </w:t>
                            </w:r>
                            <w:r>
                              <w:rPr/>
                              <w:t>equipo</w:t>
                            </w:r>
                            <w:r>
                              <w:rPr>
                                <w:spacing w:val="-4"/>
                              </w:rPr>
                              <w:t> </w:t>
                            </w:r>
                            <w:r>
                              <w:rPr/>
                              <w:t>del</w:t>
                            </w:r>
                            <w:r>
                              <w:rPr>
                                <w:spacing w:val="-5"/>
                              </w:rPr>
                              <w:t> </w:t>
                            </w:r>
                            <w:r>
                              <w:rPr/>
                              <w:t>IMAS,</w:t>
                            </w:r>
                            <w:r>
                              <w:rPr>
                                <w:spacing w:val="-4"/>
                              </w:rPr>
                              <w:t> </w:t>
                            </w:r>
                            <w:r>
                              <w:rPr/>
                              <w:t>entre</w:t>
                            </w:r>
                            <w:r>
                              <w:rPr>
                                <w:spacing w:val="-7"/>
                              </w:rPr>
                              <w:t> </w:t>
                            </w:r>
                            <w:r>
                              <w:rPr/>
                              <w:t>otros</w:t>
                            </w:r>
                            <w:r>
                              <w:rPr>
                                <w:spacing w:val="-6"/>
                              </w:rPr>
                              <w:t> </w:t>
                            </w:r>
                            <w:r>
                              <w:rPr>
                                <w:spacing w:val="-4"/>
                              </w:rPr>
                              <w:t>son:</w:t>
                            </w:r>
                          </w:p>
                          <w:p>
                            <w:pPr>
                              <w:pStyle w:val="BodyText"/>
                              <w:numPr>
                                <w:ilvl w:val="0"/>
                                <w:numId w:val="76"/>
                              </w:numPr>
                              <w:tabs>
                                <w:tab w:pos="823" w:val="left" w:leader="none"/>
                              </w:tabs>
                              <w:spacing w:line="250" w:lineRule="exact" w:before="179" w:after="0"/>
                              <w:ind w:left="823" w:right="0" w:hanging="360"/>
                              <w:jc w:val="left"/>
                            </w:pPr>
                            <w:r>
                              <w:rPr/>
                              <w:t>tierras</w:t>
                            </w:r>
                            <w:r>
                              <w:rPr>
                                <w:spacing w:val="-3"/>
                              </w:rPr>
                              <w:t> </w:t>
                            </w:r>
                            <w:r>
                              <w:rPr/>
                              <w:t>y</w:t>
                            </w:r>
                            <w:r>
                              <w:rPr>
                                <w:spacing w:val="-1"/>
                              </w:rPr>
                              <w:t> </w:t>
                            </w:r>
                            <w:r>
                              <w:rPr>
                                <w:spacing w:val="-2"/>
                              </w:rPr>
                              <w:t>terrenos;</w:t>
                            </w:r>
                          </w:p>
                          <w:p>
                            <w:pPr>
                              <w:pStyle w:val="BodyText"/>
                              <w:numPr>
                                <w:ilvl w:val="0"/>
                                <w:numId w:val="76"/>
                              </w:numPr>
                              <w:tabs>
                                <w:tab w:pos="821" w:val="left" w:leader="none"/>
                              </w:tabs>
                              <w:spacing w:line="250" w:lineRule="exact" w:before="0" w:after="0"/>
                              <w:ind w:left="821" w:right="0" w:hanging="358"/>
                              <w:jc w:val="left"/>
                            </w:pPr>
                            <w:r>
                              <w:rPr/>
                              <w:t>edificios</w:t>
                            </w:r>
                            <w:r>
                              <w:rPr>
                                <w:spacing w:val="-5"/>
                              </w:rPr>
                              <w:t> </w:t>
                            </w:r>
                            <w:r>
                              <w:rPr>
                                <w:spacing w:val="-2"/>
                              </w:rPr>
                              <w:t>operativos;</w:t>
                            </w:r>
                          </w:p>
                          <w:p>
                            <w:pPr>
                              <w:pStyle w:val="BodyText"/>
                              <w:numPr>
                                <w:ilvl w:val="0"/>
                                <w:numId w:val="76"/>
                              </w:numPr>
                              <w:tabs>
                                <w:tab w:pos="823" w:val="left" w:leader="none"/>
                              </w:tabs>
                              <w:spacing w:line="240" w:lineRule="auto" w:before="1" w:after="0"/>
                              <w:ind w:left="823" w:right="0" w:hanging="360"/>
                              <w:jc w:val="left"/>
                            </w:pPr>
                            <w:r>
                              <w:rPr/>
                              <w:t>maquinaria</w:t>
                            </w:r>
                            <w:r>
                              <w:rPr>
                                <w:spacing w:val="-5"/>
                              </w:rPr>
                              <w:t> </w:t>
                            </w:r>
                            <w:r>
                              <w:rPr/>
                              <w:t>y</w:t>
                            </w:r>
                            <w:r>
                              <w:rPr>
                                <w:spacing w:val="-8"/>
                              </w:rPr>
                              <w:t> </w:t>
                            </w:r>
                            <w:r>
                              <w:rPr/>
                              <w:t>equipos</w:t>
                            </w:r>
                            <w:r>
                              <w:rPr>
                                <w:spacing w:val="-2"/>
                              </w:rPr>
                              <w:t> </w:t>
                            </w:r>
                            <w:r>
                              <w:rPr/>
                              <w:t>para</w:t>
                            </w:r>
                            <w:r>
                              <w:rPr>
                                <w:spacing w:val="-5"/>
                              </w:rPr>
                              <w:t> </w:t>
                            </w:r>
                            <w:r>
                              <w:rPr/>
                              <w:t>la</w:t>
                            </w:r>
                            <w:r>
                              <w:rPr>
                                <w:spacing w:val="-4"/>
                              </w:rPr>
                              <w:t> </w:t>
                            </w:r>
                            <w:r>
                              <w:rPr>
                                <w:spacing w:val="-2"/>
                              </w:rPr>
                              <w:t>producción;</w:t>
                            </w:r>
                          </w:p>
                          <w:p>
                            <w:pPr>
                              <w:pStyle w:val="BodyText"/>
                              <w:numPr>
                                <w:ilvl w:val="0"/>
                                <w:numId w:val="76"/>
                              </w:numPr>
                              <w:tabs>
                                <w:tab w:pos="822" w:val="left" w:leader="none"/>
                              </w:tabs>
                              <w:spacing w:line="250" w:lineRule="exact" w:before="1" w:after="0"/>
                              <w:ind w:left="822" w:right="0" w:hanging="359"/>
                              <w:jc w:val="left"/>
                            </w:pPr>
                            <w:r>
                              <w:rPr/>
                              <w:t>equipos</w:t>
                            </w:r>
                            <w:r>
                              <w:rPr>
                                <w:spacing w:val="-3"/>
                              </w:rPr>
                              <w:t> </w:t>
                            </w:r>
                            <w:r>
                              <w:rPr/>
                              <w:t>de</w:t>
                            </w:r>
                            <w:r>
                              <w:rPr>
                                <w:spacing w:val="-2"/>
                              </w:rPr>
                              <w:t> transporte,</w:t>
                            </w:r>
                          </w:p>
                          <w:p>
                            <w:pPr>
                              <w:pStyle w:val="BodyText"/>
                              <w:numPr>
                                <w:ilvl w:val="0"/>
                                <w:numId w:val="76"/>
                              </w:numPr>
                              <w:tabs>
                                <w:tab w:pos="822" w:val="left" w:leader="none"/>
                              </w:tabs>
                              <w:spacing w:line="250" w:lineRule="exact" w:before="0" w:after="0"/>
                              <w:ind w:left="822" w:right="0" w:hanging="359"/>
                              <w:jc w:val="left"/>
                            </w:pPr>
                            <w:r>
                              <w:rPr/>
                              <w:t>equipos</w:t>
                            </w:r>
                            <w:r>
                              <w:rPr>
                                <w:spacing w:val="-3"/>
                              </w:rPr>
                              <w:t> </w:t>
                            </w:r>
                            <w:r>
                              <w:rPr/>
                              <w:t>de</w:t>
                            </w:r>
                            <w:r>
                              <w:rPr>
                                <w:spacing w:val="-2"/>
                              </w:rPr>
                              <w:t> </w:t>
                            </w:r>
                            <w:r>
                              <w:rPr/>
                              <w:t>tracción</w:t>
                            </w:r>
                            <w:r>
                              <w:rPr>
                                <w:spacing w:val="-3"/>
                              </w:rPr>
                              <w:t> </w:t>
                            </w:r>
                            <w:r>
                              <w:rPr/>
                              <w:t>y</w:t>
                            </w:r>
                            <w:r>
                              <w:rPr>
                                <w:spacing w:val="-4"/>
                              </w:rPr>
                              <w:t> </w:t>
                            </w:r>
                            <w:r>
                              <w:rPr>
                                <w:spacing w:val="-2"/>
                              </w:rPr>
                              <w:t>elevación,</w:t>
                            </w:r>
                          </w:p>
                          <w:p>
                            <w:pPr>
                              <w:pStyle w:val="BodyText"/>
                              <w:numPr>
                                <w:ilvl w:val="0"/>
                                <w:numId w:val="76"/>
                              </w:numPr>
                              <w:tabs>
                                <w:tab w:pos="823" w:val="left" w:leader="none"/>
                              </w:tabs>
                              <w:spacing w:line="240" w:lineRule="auto" w:before="1" w:after="0"/>
                              <w:ind w:left="823" w:right="0" w:hanging="360"/>
                              <w:jc w:val="left"/>
                            </w:pPr>
                            <w:r>
                              <w:rPr/>
                              <w:t>equipos</w:t>
                            </w:r>
                            <w:r>
                              <w:rPr>
                                <w:spacing w:val="-3"/>
                              </w:rPr>
                              <w:t> </w:t>
                            </w:r>
                            <w:r>
                              <w:rPr/>
                              <w:t>de</w:t>
                            </w:r>
                            <w:r>
                              <w:rPr>
                                <w:spacing w:val="-2"/>
                              </w:rPr>
                              <w:t> comunicación,</w:t>
                            </w:r>
                          </w:p>
                        </w:txbxContent>
                      </wps:txbx>
                      <wps:bodyPr wrap="square" lIns="0" tIns="0" rIns="0" bIns="0" rtlCol="0">
                        <a:noAutofit/>
                      </wps:bodyPr>
                    </wps:wsp>
                  </a:graphicData>
                </a:graphic>
              </wp:anchor>
            </w:drawing>
          </mc:Choice>
          <mc:Fallback>
            <w:pict>
              <v:shape style="position:absolute;margin-left:85.103996pt;margin-top:14.45625pt;width:450pt;height:118.95pt;mso-position-horizontal-relative:page;mso-position-vertical-relative:paragraph;z-index:-15546880;mso-wrap-distance-left:0;mso-wrap-distance-right:0" type="#_x0000_t202" id="docshape87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Los</w:t>
                      </w:r>
                      <w:r>
                        <w:rPr>
                          <w:spacing w:val="-4"/>
                        </w:rPr>
                        <w:t> </w:t>
                      </w:r>
                      <w:r>
                        <w:rPr/>
                        <w:t>activos</w:t>
                      </w:r>
                      <w:r>
                        <w:rPr>
                          <w:spacing w:val="-4"/>
                        </w:rPr>
                        <w:t> </w:t>
                      </w:r>
                      <w:r>
                        <w:rPr/>
                        <w:t>contemplados</w:t>
                      </w:r>
                      <w:r>
                        <w:rPr>
                          <w:spacing w:val="-3"/>
                        </w:rPr>
                        <w:t> </w:t>
                      </w:r>
                      <w:r>
                        <w:rPr/>
                        <w:t>como</w:t>
                      </w:r>
                      <w:r>
                        <w:rPr>
                          <w:spacing w:val="-4"/>
                        </w:rPr>
                        <w:t> </w:t>
                      </w:r>
                      <w:r>
                        <w:rPr/>
                        <w:t>propiedades,</w:t>
                      </w:r>
                      <w:r>
                        <w:rPr>
                          <w:spacing w:val="-5"/>
                        </w:rPr>
                        <w:t> </w:t>
                      </w:r>
                      <w:r>
                        <w:rPr/>
                        <w:t>planta</w:t>
                      </w:r>
                      <w:r>
                        <w:rPr>
                          <w:spacing w:val="-4"/>
                        </w:rPr>
                        <w:t> </w:t>
                      </w:r>
                      <w:r>
                        <w:rPr/>
                        <w:t>y</w:t>
                      </w:r>
                      <w:r>
                        <w:rPr>
                          <w:spacing w:val="-6"/>
                        </w:rPr>
                        <w:t> </w:t>
                      </w:r>
                      <w:r>
                        <w:rPr/>
                        <w:t>equipo</w:t>
                      </w:r>
                      <w:r>
                        <w:rPr>
                          <w:spacing w:val="-4"/>
                        </w:rPr>
                        <w:t> </w:t>
                      </w:r>
                      <w:r>
                        <w:rPr/>
                        <w:t>del</w:t>
                      </w:r>
                      <w:r>
                        <w:rPr>
                          <w:spacing w:val="-5"/>
                        </w:rPr>
                        <w:t> </w:t>
                      </w:r>
                      <w:r>
                        <w:rPr/>
                        <w:t>IMAS,</w:t>
                      </w:r>
                      <w:r>
                        <w:rPr>
                          <w:spacing w:val="-4"/>
                        </w:rPr>
                        <w:t> </w:t>
                      </w:r>
                      <w:r>
                        <w:rPr/>
                        <w:t>entre</w:t>
                      </w:r>
                      <w:r>
                        <w:rPr>
                          <w:spacing w:val="-7"/>
                        </w:rPr>
                        <w:t> </w:t>
                      </w:r>
                      <w:r>
                        <w:rPr/>
                        <w:t>otros</w:t>
                      </w:r>
                      <w:r>
                        <w:rPr>
                          <w:spacing w:val="-6"/>
                        </w:rPr>
                        <w:t> </w:t>
                      </w:r>
                      <w:r>
                        <w:rPr>
                          <w:spacing w:val="-4"/>
                        </w:rPr>
                        <w:t>son:</w:t>
                      </w:r>
                    </w:p>
                    <w:p>
                      <w:pPr>
                        <w:pStyle w:val="BodyText"/>
                        <w:numPr>
                          <w:ilvl w:val="0"/>
                          <w:numId w:val="76"/>
                        </w:numPr>
                        <w:tabs>
                          <w:tab w:pos="823" w:val="left" w:leader="none"/>
                        </w:tabs>
                        <w:spacing w:line="250" w:lineRule="exact" w:before="179" w:after="0"/>
                        <w:ind w:left="823" w:right="0" w:hanging="360"/>
                        <w:jc w:val="left"/>
                      </w:pPr>
                      <w:r>
                        <w:rPr/>
                        <w:t>tierras</w:t>
                      </w:r>
                      <w:r>
                        <w:rPr>
                          <w:spacing w:val="-3"/>
                        </w:rPr>
                        <w:t> </w:t>
                      </w:r>
                      <w:r>
                        <w:rPr/>
                        <w:t>y</w:t>
                      </w:r>
                      <w:r>
                        <w:rPr>
                          <w:spacing w:val="-1"/>
                        </w:rPr>
                        <w:t> </w:t>
                      </w:r>
                      <w:r>
                        <w:rPr>
                          <w:spacing w:val="-2"/>
                        </w:rPr>
                        <w:t>terrenos;</w:t>
                      </w:r>
                    </w:p>
                    <w:p>
                      <w:pPr>
                        <w:pStyle w:val="BodyText"/>
                        <w:numPr>
                          <w:ilvl w:val="0"/>
                          <w:numId w:val="76"/>
                        </w:numPr>
                        <w:tabs>
                          <w:tab w:pos="821" w:val="left" w:leader="none"/>
                        </w:tabs>
                        <w:spacing w:line="250" w:lineRule="exact" w:before="0" w:after="0"/>
                        <w:ind w:left="821" w:right="0" w:hanging="358"/>
                        <w:jc w:val="left"/>
                      </w:pPr>
                      <w:r>
                        <w:rPr/>
                        <w:t>edificios</w:t>
                      </w:r>
                      <w:r>
                        <w:rPr>
                          <w:spacing w:val="-5"/>
                        </w:rPr>
                        <w:t> </w:t>
                      </w:r>
                      <w:r>
                        <w:rPr>
                          <w:spacing w:val="-2"/>
                        </w:rPr>
                        <w:t>operativos;</w:t>
                      </w:r>
                    </w:p>
                    <w:p>
                      <w:pPr>
                        <w:pStyle w:val="BodyText"/>
                        <w:numPr>
                          <w:ilvl w:val="0"/>
                          <w:numId w:val="76"/>
                        </w:numPr>
                        <w:tabs>
                          <w:tab w:pos="823" w:val="left" w:leader="none"/>
                        </w:tabs>
                        <w:spacing w:line="240" w:lineRule="auto" w:before="1" w:after="0"/>
                        <w:ind w:left="823" w:right="0" w:hanging="360"/>
                        <w:jc w:val="left"/>
                      </w:pPr>
                      <w:r>
                        <w:rPr/>
                        <w:t>maquinaria</w:t>
                      </w:r>
                      <w:r>
                        <w:rPr>
                          <w:spacing w:val="-5"/>
                        </w:rPr>
                        <w:t> </w:t>
                      </w:r>
                      <w:r>
                        <w:rPr/>
                        <w:t>y</w:t>
                      </w:r>
                      <w:r>
                        <w:rPr>
                          <w:spacing w:val="-8"/>
                        </w:rPr>
                        <w:t> </w:t>
                      </w:r>
                      <w:r>
                        <w:rPr/>
                        <w:t>equipos</w:t>
                      </w:r>
                      <w:r>
                        <w:rPr>
                          <w:spacing w:val="-2"/>
                        </w:rPr>
                        <w:t> </w:t>
                      </w:r>
                      <w:r>
                        <w:rPr/>
                        <w:t>para</w:t>
                      </w:r>
                      <w:r>
                        <w:rPr>
                          <w:spacing w:val="-5"/>
                        </w:rPr>
                        <w:t> </w:t>
                      </w:r>
                      <w:r>
                        <w:rPr/>
                        <w:t>la</w:t>
                      </w:r>
                      <w:r>
                        <w:rPr>
                          <w:spacing w:val="-4"/>
                        </w:rPr>
                        <w:t> </w:t>
                      </w:r>
                      <w:r>
                        <w:rPr>
                          <w:spacing w:val="-2"/>
                        </w:rPr>
                        <w:t>producción;</w:t>
                      </w:r>
                    </w:p>
                    <w:p>
                      <w:pPr>
                        <w:pStyle w:val="BodyText"/>
                        <w:numPr>
                          <w:ilvl w:val="0"/>
                          <w:numId w:val="76"/>
                        </w:numPr>
                        <w:tabs>
                          <w:tab w:pos="822" w:val="left" w:leader="none"/>
                        </w:tabs>
                        <w:spacing w:line="250" w:lineRule="exact" w:before="1" w:after="0"/>
                        <w:ind w:left="822" w:right="0" w:hanging="359"/>
                        <w:jc w:val="left"/>
                      </w:pPr>
                      <w:r>
                        <w:rPr/>
                        <w:t>equipos</w:t>
                      </w:r>
                      <w:r>
                        <w:rPr>
                          <w:spacing w:val="-3"/>
                        </w:rPr>
                        <w:t> </w:t>
                      </w:r>
                      <w:r>
                        <w:rPr/>
                        <w:t>de</w:t>
                      </w:r>
                      <w:r>
                        <w:rPr>
                          <w:spacing w:val="-2"/>
                        </w:rPr>
                        <w:t> transporte,</w:t>
                      </w:r>
                    </w:p>
                    <w:p>
                      <w:pPr>
                        <w:pStyle w:val="BodyText"/>
                        <w:numPr>
                          <w:ilvl w:val="0"/>
                          <w:numId w:val="76"/>
                        </w:numPr>
                        <w:tabs>
                          <w:tab w:pos="822" w:val="left" w:leader="none"/>
                        </w:tabs>
                        <w:spacing w:line="250" w:lineRule="exact" w:before="0" w:after="0"/>
                        <w:ind w:left="822" w:right="0" w:hanging="359"/>
                        <w:jc w:val="left"/>
                      </w:pPr>
                      <w:r>
                        <w:rPr/>
                        <w:t>equipos</w:t>
                      </w:r>
                      <w:r>
                        <w:rPr>
                          <w:spacing w:val="-3"/>
                        </w:rPr>
                        <w:t> </w:t>
                      </w:r>
                      <w:r>
                        <w:rPr/>
                        <w:t>de</w:t>
                      </w:r>
                      <w:r>
                        <w:rPr>
                          <w:spacing w:val="-2"/>
                        </w:rPr>
                        <w:t> </w:t>
                      </w:r>
                      <w:r>
                        <w:rPr/>
                        <w:t>tracción</w:t>
                      </w:r>
                      <w:r>
                        <w:rPr>
                          <w:spacing w:val="-3"/>
                        </w:rPr>
                        <w:t> </w:t>
                      </w:r>
                      <w:r>
                        <w:rPr/>
                        <w:t>y</w:t>
                      </w:r>
                      <w:r>
                        <w:rPr>
                          <w:spacing w:val="-4"/>
                        </w:rPr>
                        <w:t> </w:t>
                      </w:r>
                      <w:r>
                        <w:rPr>
                          <w:spacing w:val="-2"/>
                        </w:rPr>
                        <w:t>elevación,</w:t>
                      </w:r>
                    </w:p>
                    <w:p>
                      <w:pPr>
                        <w:pStyle w:val="BodyText"/>
                        <w:numPr>
                          <w:ilvl w:val="0"/>
                          <w:numId w:val="76"/>
                        </w:numPr>
                        <w:tabs>
                          <w:tab w:pos="823" w:val="left" w:leader="none"/>
                        </w:tabs>
                        <w:spacing w:line="240" w:lineRule="auto" w:before="1" w:after="0"/>
                        <w:ind w:left="823" w:right="0" w:hanging="360"/>
                        <w:jc w:val="left"/>
                      </w:pPr>
                      <w:r>
                        <w:rPr/>
                        <w:t>equipos</w:t>
                      </w:r>
                      <w:r>
                        <w:rPr>
                          <w:spacing w:val="-3"/>
                        </w:rPr>
                        <w:t> </w:t>
                      </w:r>
                      <w:r>
                        <w:rPr/>
                        <w:t>de</w:t>
                      </w:r>
                      <w:r>
                        <w:rPr>
                          <w:spacing w:val="-2"/>
                        </w:rPr>
                        <w:t> comunicación,</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09568">
                <wp:simplePos x="0" y="0"/>
                <wp:positionH relativeFrom="page">
                  <wp:posOffset>9525</wp:posOffset>
                </wp:positionH>
                <wp:positionV relativeFrom="page">
                  <wp:posOffset>297208</wp:posOffset>
                </wp:positionV>
                <wp:extent cx="7762875" cy="9748520"/>
                <wp:effectExtent l="0" t="0" r="0" b="0"/>
                <wp:wrapNone/>
                <wp:docPr id="896" name="Group 896"/>
                <wp:cNvGraphicFramePr>
                  <a:graphicFrameLocks/>
                </wp:cNvGraphicFramePr>
                <a:graphic>
                  <a:graphicData uri="http://schemas.microsoft.com/office/word/2010/wordprocessingGroup">
                    <wpg:wgp>
                      <wpg:cNvPr id="896" name="Group 896"/>
                      <wpg:cNvGrpSpPr/>
                      <wpg:grpSpPr>
                        <a:xfrm>
                          <a:off x="0" y="0"/>
                          <a:ext cx="7762875" cy="9748520"/>
                          <a:chExt cx="7762875" cy="9748520"/>
                        </a:xfrm>
                      </wpg:grpSpPr>
                      <pic:pic>
                        <pic:nvPicPr>
                          <pic:cNvPr id="897" name="Image 897"/>
                          <pic:cNvPicPr/>
                        </pic:nvPicPr>
                        <pic:blipFill>
                          <a:blip r:embed="rId5" cstate="print"/>
                          <a:stretch>
                            <a:fillRect/>
                          </a:stretch>
                        </pic:blipFill>
                        <pic:spPr>
                          <a:xfrm>
                            <a:off x="0" y="0"/>
                            <a:ext cx="7762874" cy="9748489"/>
                          </a:xfrm>
                          <a:prstGeom prst="rect">
                            <a:avLst/>
                          </a:prstGeom>
                        </pic:spPr>
                      </pic:pic>
                      <wps:wsp>
                        <wps:cNvPr id="898" name="Graphic 89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6912" id="docshapegroup871" coordorigin="15,468" coordsize="12225,15352">
                <v:shape style="position:absolute;left:15;top:468;width:12225;height:15352" type="#_x0000_t75" id="docshape872" stroked="false">
                  <v:imagedata r:id="rId5" o:title=""/>
                </v:shape>
                <v:rect style="position:absolute;left:1673;top:2028;width:8897;height:15" id="docshape87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181</w:t>
      </w:r>
    </w:p>
    <w:p>
      <w:pPr>
        <w:pStyle w:val="BodyText"/>
        <w:spacing w:before="10"/>
        <w:rPr>
          <w:sz w:val="16"/>
        </w:rPr>
      </w:pPr>
      <w:r>
        <w:rPr>
          <w:sz w:val="16"/>
        </w:rPr>
        <mc:AlternateContent>
          <mc:Choice Requires="wps">
            <w:drawing>
              <wp:anchor distT="0" distB="0" distL="0" distR="0" allowOverlap="1" layoutInCell="1" locked="0" behindDoc="1" simplePos="0" relativeHeight="487770624">
                <wp:simplePos x="0" y="0"/>
                <wp:positionH relativeFrom="page">
                  <wp:posOffset>1080820</wp:posOffset>
                </wp:positionH>
                <wp:positionV relativeFrom="paragraph">
                  <wp:posOffset>141144</wp:posOffset>
                </wp:positionV>
                <wp:extent cx="5715000" cy="1077595"/>
                <wp:effectExtent l="0" t="0" r="0" b="0"/>
                <wp:wrapTopAndBottom/>
                <wp:docPr id="899" name="Textbox 899"/>
                <wp:cNvGraphicFramePr>
                  <a:graphicFrameLocks/>
                </wp:cNvGraphicFramePr>
                <a:graphic>
                  <a:graphicData uri="http://schemas.microsoft.com/office/word/2010/wordprocessingShape">
                    <wps:wsp>
                      <wps:cNvPr id="899" name="Textbox 899"/>
                      <wps:cNvSpPr txBox="1"/>
                      <wps:spPr>
                        <a:xfrm>
                          <a:off x="0" y="0"/>
                          <a:ext cx="5715000" cy="1077595"/>
                        </a:xfrm>
                        <a:prstGeom prst="rect">
                          <a:avLst/>
                        </a:prstGeom>
                        <a:ln w="6095">
                          <a:solidFill>
                            <a:srgbClr val="000000"/>
                          </a:solidFill>
                          <a:prstDash val="solid"/>
                        </a:ln>
                      </wps:spPr>
                      <wps:txbx>
                        <w:txbxContent>
                          <w:p>
                            <w:pPr>
                              <w:pStyle w:val="BodyText"/>
                              <w:numPr>
                                <w:ilvl w:val="0"/>
                                <w:numId w:val="77"/>
                              </w:numPr>
                              <w:tabs>
                                <w:tab w:pos="823" w:val="left" w:leader="none"/>
                              </w:tabs>
                              <w:spacing w:line="240" w:lineRule="auto" w:before="0" w:after="0"/>
                              <w:ind w:left="823" w:right="0" w:hanging="360"/>
                              <w:jc w:val="left"/>
                            </w:pPr>
                            <w:r>
                              <w:rPr/>
                              <w:t>equipos</w:t>
                            </w:r>
                            <w:r>
                              <w:rPr>
                                <w:spacing w:val="-3"/>
                              </w:rPr>
                              <w:t> </w:t>
                            </w:r>
                            <w:r>
                              <w:rPr/>
                              <w:t>de</w:t>
                            </w:r>
                            <w:r>
                              <w:rPr>
                                <w:spacing w:val="-5"/>
                              </w:rPr>
                              <w:t> </w:t>
                            </w:r>
                            <w:r>
                              <w:rPr>
                                <w:spacing w:val="-2"/>
                              </w:rPr>
                              <w:t>oficina,</w:t>
                            </w:r>
                          </w:p>
                          <w:p>
                            <w:pPr>
                              <w:pStyle w:val="BodyText"/>
                              <w:numPr>
                                <w:ilvl w:val="0"/>
                                <w:numId w:val="77"/>
                              </w:numPr>
                              <w:tabs>
                                <w:tab w:pos="822" w:val="left" w:leader="none"/>
                              </w:tabs>
                              <w:spacing w:line="250" w:lineRule="exact" w:before="1" w:after="0"/>
                              <w:ind w:left="822" w:right="0" w:hanging="359"/>
                              <w:jc w:val="left"/>
                            </w:pPr>
                            <w:r>
                              <w:rPr/>
                              <w:t>equipos</w:t>
                            </w:r>
                            <w:r>
                              <w:rPr>
                                <w:spacing w:val="-3"/>
                              </w:rPr>
                              <w:t> </w:t>
                            </w:r>
                            <w:r>
                              <w:rPr/>
                              <w:t>de</w:t>
                            </w:r>
                            <w:r>
                              <w:rPr>
                                <w:spacing w:val="-2"/>
                              </w:rPr>
                              <w:t> computación,</w:t>
                            </w:r>
                          </w:p>
                          <w:p>
                            <w:pPr>
                              <w:pStyle w:val="BodyText"/>
                              <w:numPr>
                                <w:ilvl w:val="0"/>
                                <w:numId w:val="77"/>
                              </w:numPr>
                              <w:tabs>
                                <w:tab w:pos="823" w:val="left" w:leader="none"/>
                              </w:tabs>
                              <w:spacing w:line="240" w:lineRule="auto" w:before="0" w:after="0"/>
                              <w:ind w:left="823" w:right="156" w:hanging="360"/>
                              <w:jc w:val="left"/>
                            </w:pPr>
                            <w:r>
                              <w:rPr/>
                              <w:t>equipos</w:t>
                            </w:r>
                            <w:r>
                              <w:rPr>
                                <w:spacing w:val="-5"/>
                              </w:rPr>
                              <w:t> </w:t>
                            </w:r>
                            <w:r>
                              <w:rPr/>
                              <w:t>sanitarios</w:t>
                            </w:r>
                            <w:r>
                              <w:rPr>
                                <w:spacing w:val="-2"/>
                              </w:rPr>
                              <w:t> </w:t>
                            </w:r>
                            <w:r>
                              <w:rPr/>
                              <w:t>y</w:t>
                            </w:r>
                            <w:r>
                              <w:rPr>
                                <w:spacing w:val="-4"/>
                              </w:rPr>
                              <w:t> </w:t>
                            </w:r>
                            <w:r>
                              <w:rPr/>
                              <w:t>de</w:t>
                            </w:r>
                            <w:r>
                              <w:rPr>
                                <w:spacing w:val="-2"/>
                              </w:rPr>
                              <w:t> </w:t>
                            </w:r>
                            <w:r>
                              <w:rPr/>
                              <w:t>laboratorios</w:t>
                            </w:r>
                            <w:r>
                              <w:rPr>
                                <w:spacing w:val="-5"/>
                              </w:rPr>
                              <w:t> </w:t>
                            </w:r>
                            <w:r>
                              <w:rPr/>
                              <w:t>e</w:t>
                            </w:r>
                            <w:r>
                              <w:rPr>
                                <w:spacing w:val="-2"/>
                              </w:rPr>
                              <w:t> </w:t>
                            </w:r>
                            <w:r>
                              <w:rPr/>
                              <w:t>investigación,</w:t>
                            </w:r>
                            <w:r>
                              <w:rPr>
                                <w:spacing w:val="-5"/>
                              </w:rPr>
                              <w:t> </w:t>
                            </w:r>
                            <w:r>
                              <w:rPr/>
                              <w:t>educativos</w:t>
                            </w:r>
                            <w:r>
                              <w:rPr>
                                <w:spacing w:val="-2"/>
                              </w:rPr>
                              <w:t> </w:t>
                            </w:r>
                            <w:r>
                              <w:rPr/>
                              <w:t>y</w:t>
                            </w:r>
                            <w:r>
                              <w:rPr>
                                <w:spacing w:val="-4"/>
                              </w:rPr>
                              <w:t> </w:t>
                            </w:r>
                            <w:r>
                              <w:rPr/>
                              <w:t>deportivos,</w:t>
                            </w:r>
                            <w:r>
                              <w:rPr>
                                <w:spacing w:val="-6"/>
                              </w:rPr>
                              <w:t> </w:t>
                            </w:r>
                            <w:r>
                              <w:rPr/>
                              <w:t>de</w:t>
                            </w:r>
                            <w:r>
                              <w:rPr>
                                <w:spacing w:val="-5"/>
                              </w:rPr>
                              <w:t> </w:t>
                            </w:r>
                            <w:r>
                              <w:rPr/>
                              <w:t>seguridad</w:t>
                            </w:r>
                            <w:r>
                              <w:rPr>
                                <w:spacing w:val="-3"/>
                              </w:rPr>
                              <w:t> </w:t>
                            </w:r>
                            <w:r>
                              <w:rPr/>
                              <w:t>or-den, vigilancia y control público;</w:t>
                            </w:r>
                          </w:p>
                          <w:p>
                            <w:pPr>
                              <w:pStyle w:val="BodyText"/>
                              <w:numPr>
                                <w:ilvl w:val="0"/>
                                <w:numId w:val="77"/>
                              </w:numPr>
                              <w:tabs>
                                <w:tab w:pos="823" w:val="left" w:leader="none"/>
                              </w:tabs>
                              <w:spacing w:line="251" w:lineRule="exact" w:before="0" w:after="0"/>
                              <w:ind w:left="823" w:right="0" w:hanging="360"/>
                              <w:jc w:val="left"/>
                            </w:pPr>
                            <w:r>
                              <w:rPr/>
                              <w:t>maquinarias,</w:t>
                            </w:r>
                            <w:r>
                              <w:rPr>
                                <w:spacing w:val="-10"/>
                              </w:rPr>
                              <w:t> </w:t>
                            </w:r>
                            <w:r>
                              <w:rPr/>
                              <w:t>equipos</w:t>
                            </w:r>
                            <w:r>
                              <w:rPr>
                                <w:spacing w:val="-5"/>
                              </w:rPr>
                              <w:t> </w:t>
                            </w:r>
                            <w:r>
                              <w:rPr/>
                              <w:t>y</w:t>
                            </w:r>
                            <w:r>
                              <w:rPr>
                                <w:spacing w:val="-10"/>
                              </w:rPr>
                              <w:t> </w:t>
                            </w:r>
                            <w:r>
                              <w:rPr/>
                              <w:t>mobiliarios</w:t>
                            </w:r>
                            <w:r>
                              <w:rPr>
                                <w:spacing w:val="-5"/>
                              </w:rPr>
                              <w:t> </w:t>
                            </w:r>
                            <w:r>
                              <w:rPr>
                                <w:spacing w:val="-2"/>
                              </w:rPr>
                              <w:t>diversos;</w:t>
                            </w:r>
                          </w:p>
                        </w:txbxContent>
                      </wps:txbx>
                      <wps:bodyPr wrap="square" lIns="0" tIns="0" rIns="0" bIns="0" rtlCol="0">
                        <a:noAutofit/>
                      </wps:bodyPr>
                    </wps:wsp>
                  </a:graphicData>
                </a:graphic>
              </wp:anchor>
            </w:drawing>
          </mc:Choice>
          <mc:Fallback>
            <w:pict>
              <v:shape style="position:absolute;margin-left:85.103996pt;margin-top:11.11375pt;width:450pt;height:84.85pt;mso-position-horizontal-relative:page;mso-position-vertical-relative:paragraph;z-index:-15545856;mso-wrap-distance-left:0;mso-wrap-distance-right:0" type="#_x0000_t202" id="docshape874" filled="false" stroked="true" strokeweight=".47998pt" strokecolor="#000000">
                <v:textbox inset="0,0,0,0">
                  <w:txbxContent>
                    <w:p>
                      <w:pPr>
                        <w:pStyle w:val="BodyText"/>
                        <w:numPr>
                          <w:ilvl w:val="0"/>
                          <w:numId w:val="77"/>
                        </w:numPr>
                        <w:tabs>
                          <w:tab w:pos="823" w:val="left" w:leader="none"/>
                        </w:tabs>
                        <w:spacing w:line="240" w:lineRule="auto" w:before="0" w:after="0"/>
                        <w:ind w:left="823" w:right="0" w:hanging="360"/>
                        <w:jc w:val="left"/>
                      </w:pPr>
                      <w:r>
                        <w:rPr/>
                        <w:t>equipos</w:t>
                      </w:r>
                      <w:r>
                        <w:rPr>
                          <w:spacing w:val="-3"/>
                        </w:rPr>
                        <w:t> </w:t>
                      </w:r>
                      <w:r>
                        <w:rPr/>
                        <w:t>de</w:t>
                      </w:r>
                      <w:r>
                        <w:rPr>
                          <w:spacing w:val="-5"/>
                        </w:rPr>
                        <w:t> </w:t>
                      </w:r>
                      <w:r>
                        <w:rPr>
                          <w:spacing w:val="-2"/>
                        </w:rPr>
                        <w:t>oficina,</w:t>
                      </w:r>
                    </w:p>
                    <w:p>
                      <w:pPr>
                        <w:pStyle w:val="BodyText"/>
                        <w:numPr>
                          <w:ilvl w:val="0"/>
                          <w:numId w:val="77"/>
                        </w:numPr>
                        <w:tabs>
                          <w:tab w:pos="822" w:val="left" w:leader="none"/>
                        </w:tabs>
                        <w:spacing w:line="250" w:lineRule="exact" w:before="1" w:after="0"/>
                        <w:ind w:left="822" w:right="0" w:hanging="359"/>
                        <w:jc w:val="left"/>
                      </w:pPr>
                      <w:r>
                        <w:rPr/>
                        <w:t>equipos</w:t>
                      </w:r>
                      <w:r>
                        <w:rPr>
                          <w:spacing w:val="-3"/>
                        </w:rPr>
                        <w:t> </w:t>
                      </w:r>
                      <w:r>
                        <w:rPr/>
                        <w:t>de</w:t>
                      </w:r>
                      <w:r>
                        <w:rPr>
                          <w:spacing w:val="-2"/>
                        </w:rPr>
                        <w:t> computación,</w:t>
                      </w:r>
                    </w:p>
                    <w:p>
                      <w:pPr>
                        <w:pStyle w:val="BodyText"/>
                        <w:numPr>
                          <w:ilvl w:val="0"/>
                          <w:numId w:val="77"/>
                        </w:numPr>
                        <w:tabs>
                          <w:tab w:pos="823" w:val="left" w:leader="none"/>
                        </w:tabs>
                        <w:spacing w:line="240" w:lineRule="auto" w:before="0" w:after="0"/>
                        <w:ind w:left="823" w:right="156" w:hanging="360"/>
                        <w:jc w:val="left"/>
                      </w:pPr>
                      <w:r>
                        <w:rPr/>
                        <w:t>equipos</w:t>
                      </w:r>
                      <w:r>
                        <w:rPr>
                          <w:spacing w:val="-5"/>
                        </w:rPr>
                        <w:t> </w:t>
                      </w:r>
                      <w:r>
                        <w:rPr/>
                        <w:t>sanitarios</w:t>
                      </w:r>
                      <w:r>
                        <w:rPr>
                          <w:spacing w:val="-2"/>
                        </w:rPr>
                        <w:t> </w:t>
                      </w:r>
                      <w:r>
                        <w:rPr/>
                        <w:t>y</w:t>
                      </w:r>
                      <w:r>
                        <w:rPr>
                          <w:spacing w:val="-4"/>
                        </w:rPr>
                        <w:t> </w:t>
                      </w:r>
                      <w:r>
                        <w:rPr/>
                        <w:t>de</w:t>
                      </w:r>
                      <w:r>
                        <w:rPr>
                          <w:spacing w:val="-2"/>
                        </w:rPr>
                        <w:t> </w:t>
                      </w:r>
                      <w:r>
                        <w:rPr/>
                        <w:t>laboratorios</w:t>
                      </w:r>
                      <w:r>
                        <w:rPr>
                          <w:spacing w:val="-5"/>
                        </w:rPr>
                        <w:t> </w:t>
                      </w:r>
                      <w:r>
                        <w:rPr/>
                        <w:t>e</w:t>
                      </w:r>
                      <w:r>
                        <w:rPr>
                          <w:spacing w:val="-2"/>
                        </w:rPr>
                        <w:t> </w:t>
                      </w:r>
                      <w:r>
                        <w:rPr/>
                        <w:t>investigación,</w:t>
                      </w:r>
                      <w:r>
                        <w:rPr>
                          <w:spacing w:val="-5"/>
                        </w:rPr>
                        <w:t> </w:t>
                      </w:r>
                      <w:r>
                        <w:rPr/>
                        <w:t>educativos</w:t>
                      </w:r>
                      <w:r>
                        <w:rPr>
                          <w:spacing w:val="-2"/>
                        </w:rPr>
                        <w:t> </w:t>
                      </w:r>
                      <w:r>
                        <w:rPr/>
                        <w:t>y</w:t>
                      </w:r>
                      <w:r>
                        <w:rPr>
                          <w:spacing w:val="-4"/>
                        </w:rPr>
                        <w:t> </w:t>
                      </w:r>
                      <w:r>
                        <w:rPr/>
                        <w:t>deportivos,</w:t>
                      </w:r>
                      <w:r>
                        <w:rPr>
                          <w:spacing w:val="-6"/>
                        </w:rPr>
                        <w:t> </w:t>
                      </w:r>
                      <w:r>
                        <w:rPr/>
                        <w:t>de</w:t>
                      </w:r>
                      <w:r>
                        <w:rPr>
                          <w:spacing w:val="-5"/>
                        </w:rPr>
                        <w:t> </w:t>
                      </w:r>
                      <w:r>
                        <w:rPr/>
                        <w:t>seguridad</w:t>
                      </w:r>
                      <w:r>
                        <w:rPr>
                          <w:spacing w:val="-3"/>
                        </w:rPr>
                        <w:t> </w:t>
                      </w:r>
                      <w:r>
                        <w:rPr/>
                        <w:t>or-den, vigilancia y control público;</w:t>
                      </w:r>
                    </w:p>
                    <w:p>
                      <w:pPr>
                        <w:pStyle w:val="BodyText"/>
                        <w:numPr>
                          <w:ilvl w:val="0"/>
                          <w:numId w:val="77"/>
                        </w:numPr>
                        <w:tabs>
                          <w:tab w:pos="823" w:val="left" w:leader="none"/>
                        </w:tabs>
                        <w:spacing w:line="251" w:lineRule="exact" w:before="0" w:after="0"/>
                        <w:ind w:left="823" w:right="0" w:hanging="360"/>
                        <w:jc w:val="left"/>
                      </w:pPr>
                      <w:r>
                        <w:rPr/>
                        <w:t>maquinarias,</w:t>
                      </w:r>
                      <w:r>
                        <w:rPr>
                          <w:spacing w:val="-10"/>
                        </w:rPr>
                        <w:t> </w:t>
                      </w:r>
                      <w:r>
                        <w:rPr/>
                        <w:t>equipos</w:t>
                      </w:r>
                      <w:r>
                        <w:rPr>
                          <w:spacing w:val="-5"/>
                        </w:rPr>
                        <w:t> </w:t>
                      </w:r>
                      <w:r>
                        <w:rPr/>
                        <w:t>y</w:t>
                      </w:r>
                      <w:r>
                        <w:rPr>
                          <w:spacing w:val="-10"/>
                        </w:rPr>
                        <w:t> </w:t>
                      </w:r>
                      <w:r>
                        <w:rPr/>
                        <w:t>mobiliarios</w:t>
                      </w:r>
                      <w:r>
                        <w:rPr>
                          <w:spacing w:val="-5"/>
                        </w:rPr>
                        <w:t> </w:t>
                      </w:r>
                      <w:r>
                        <w:rPr>
                          <w:spacing w:val="-2"/>
                        </w:rPr>
                        <w:t>diversos;</w:t>
                      </w:r>
                    </w:p>
                  </w:txbxContent>
                </v:textbox>
                <v:stroke dashstyle="solid"/>
                <w10:wrap type="topAndBottom"/>
              </v:shape>
            </w:pict>
          </mc:Fallback>
        </mc:AlternateContent>
      </w:r>
    </w:p>
    <w:p>
      <w:pPr>
        <w:pStyle w:val="BodyText"/>
        <w:spacing w:before="3"/>
      </w:pPr>
    </w:p>
    <w:p>
      <w:pPr>
        <w:pStyle w:val="ListParagraph"/>
        <w:numPr>
          <w:ilvl w:val="2"/>
          <w:numId w:val="57"/>
        </w:numPr>
        <w:tabs>
          <w:tab w:pos="1339" w:val="left" w:leader="none"/>
        </w:tabs>
        <w:spacing w:line="240" w:lineRule="auto" w:before="1" w:after="0"/>
        <w:ind w:left="1339" w:right="0" w:hanging="358"/>
        <w:jc w:val="left"/>
        <w:rPr>
          <w:sz w:val="22"/>
        </w:rPr>
      </w:pPr>
      <w:r>
        <w:rPr>
          <w:sz w:val="22"/>
          <w:u w:val="single"/>
        </w:rPr>
        <w:t>Infraestructuras</w:t>
      </w:r>
      <w:r>
        <w:rPr>
          <w:spacing w:val="-7"/>
          <w:sz w:val="22"/>
          <w:u w:val="single"/>
        </w:rPr>
        <w:t> </w:t>
      </w:r>
      <w:r>
        <w:rPr>
          <w:sz w:val="22"/>
          <w:u w:val="single"/>
        </w:rPr>
        <w:t>(Párrafo</w:t>
      </w:r>
      <w:r>
        <w:rPr>
          <w:spacing w:val="-6"/>
          <w:sz w:val="22"/>
          <w:u w:val="single"/>
        </w:rPr>
        <w:t> </w:t>
      </w:r>
      <w:r>
        <w:rPr>
          <w:spacing w:val="-5"/>
          <w:sz w:val="22"/>
          <w:u w:val="single"/>
        </w:rPr>
        <w:t>21)</w:t>
      </w:r>
    </w:p>
    <w:p>
      <w:pPr>
        <w:pStyle w:val="BodyText"/>
        <w:spacing w:before="33"/>
        <w:rPr>
          <w:sz w:val="20"/>
        </w:rPr>
      </w:pPr>
      <w:r>
        <w:rPr>
          <w:sz w:val="20"/>
        </w:rPr>
        <mc:AlternateContent>
          <mc:Choice Requires="wps">
            <w:drawing>
              <wp:anchor distT="0" distB="0" distL="0" distR="0" allowOverlap="1" layoutInCell="1" locked="0" behindDoc="1" simplePos="0" relativeHeight="487771136">
                <wp:simplePos x="0" y="0"/>
                <wp:positionH relativeFrom="page">
                  <wp:posOffset>1080820</wp:posOffset>
                </wp:positionH>
                <wp:positionV relativeFrom="paragraph">
                  <wp:posOffset>184737</wp:posOffset>
                </wp:positionV>
                <wp:extent cx="5715000" cy="541655"/>
                <wp:effectExtent l="0" t="0" r="0" b="0"/>
                <wp:wrapTopAndBottom/>
                <wp:docPr id="900" name="Textbox 900"/>
                <wp:cNvGraphicFramePr>
                  <a:graphicFrameLocks/>
                </wp:cNvGraphicFramePr>
                <a:graphic>
                  <a:graphicData uri="http://schemas.microsoft.com/office/word/2010/wordprocessingShape">
                    <wps:wsp>
                      <wps:cNvPr id="900" name="Textbox 900"/>
                      <wps:cNvSpPr txBox="1"/>
                      <wps:spPr>
                        <a:xfrm>
                          <a:off x="0" y="0"/>
                          <a:ext cx="5715000" cy="54165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4"/>
                              </w:rPr>
                              <w:t> </w:t>
                            </w:r>
                            <w:r>
                              <w:rPr/>
                              <w:t>cuenta</w:t>
                            </w:r>
                            <w:r>
                              <w:rPr>
                                <w:spacing w:val="-3"/>
                              </w:rPr>
                              <w:t> </w:t>
                            </w:r>
                            <w:r>
                              <w:rPr/>
                              <w:t>con</w:t>
                            </w:r>
                            <w:r>
                              <w:rPr>
                                <w:spacing w:val="-3"/>
                              </w:rPr>
                              <w:t> </w:t>
                            </w:r>
                            <w:r>
                              <w:rPr/>
                              <w:t>activos</w:t>
                            </w:r>
                            <w:r>
                              <w:rPr>
                                <w:spacing w:val="-2"/>
                              </w:rPr>
                              <w:t> </w:t>
                            </w:r>
                            <w:r>
                              <w:rPr/>
                              <w:t>denominados</w:t>
                            </w:r>
                            <w:r>
                              <w:rPr>
                                <w:spacing w:val="-2"/>
                              </w:rPr>
                              <w:t> infraestructuras.</w:t>
                            </w:r>
                          </w:p>
                        </w:txbxContent>
                      </wps:txbx>
                      <wps:bodyPr wrap="square" lIns="0" tIns="0" rIns="0" bIns="0" rtlCol="0">
                        <a:noAutofit/>
                      </wps:bodyPr>
                    </wps:wsp>
                  </a:graphicData>
                </a:graphic>
              </wp:anchor>
            </w:drawing>
          </mc:Choice>
          <mc:Fallback>
            <w:pict>
              <v:shape style="position:absolute;margin-left:85.103996pt;margin-top:14.546245pt;width:450pt;height:42.65pt;mso-position-horizontal-relative:page;mso-position-vertical-relative:paragraph;z-index:-15545344;mso-wrap-distance-left:0;mso-wrap-distance-right:0" type="#_x0000_t202" id="docshape87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4"/>
                        </w:rPr>
                        <w:t> </w:t>
                      </w:r>
                      <w:r>
                        <w:rPr/>
                        <w:t>cuenta</w:t>
                      </w:r>
                      <w:r>
                        <w:rPr>
                          <w:spacing w:val="-3"/>
                        </w:rPr>
                        <w:t> </w:t>
                      </w:r>
                      <w:r>
                        <w:rPr/>
                        <w:t>con</w:t>
                      </w:r>
                      <w:r>
                        <w:rPr>
                          <w:spacing w:val="-3"/>
                        </w:rPr>
                        <w:t> </w:t>
                      </w:r>
                      <w:r>
                        <w:rPr/>
                        <w:t>activos</w:t>
                      </w:r>
                      <w:r>
                        <w:rPr>
                          <w:spacing w:val="-2"/>
                        </w:rPr>
                        <w:t> </w:t>
                      </w:r>
                      <w:r>
                        <w:rPr/>
                        <w:t>denominados</w:t>
                      </w:r>
                      <w:r>
                        <w:rPr>
                          <w:spacing w:val="-2"/>
                        </w:rPr>
                        <w:t> infraestructuras.</w:t>
                      </w:r>
                    </w:p>
                  </w:txbxContent>
                </v:textbox>
                <v:stroke dashstyle="solid"/>
                <w10:wrap type="topAndBottom"/>
              </v:shape>
            </w:pict>
          </mc:Fallback>
        </mc:AlternateContent>
      </w:r>
    </w:p>
    <w:p>
      <w:pPr>
        <w:pStyle w:val="BodyText"/>
        <w:spacing w:before="6"/>
      </w:pPr>
    </w:p>
    <w:p>
      <w:pPr>
        <w:pStyle w:val="ListParagraph"/>
        <w:numPr>
          <w:ilvl w:val="2"/>
          <w:numId w:val="57"/>
        </w:numPr>
        <w:tabs>
          <w:tab w:pos="1341" w:val="left" w:leader="none"/>
        </w:tabs>
        <w:spacing w:line="240" w:lineRule="auto" w:before="0" w:after="0"/>
        <w:ind w:left="1341" w:right="0" w:hanging="360"/>
        <w:jc w:val="left"/>
        <w:rPr>
          <w:sz w:val="22"/>
        </w:rPr>
      </w:pPr>
      <w:r>
        <w:rPr>
          <w:sz w:val="22"/>
          <w:u w:val="single"/>
        </w:rPr>
        <w:t>Método</w:t>
      </w:r>
      <w:r>
        <w:rPr>
          <w:spacing w:val="-7"/>
          <w:sz w:val="22"/>
          <w:u w:val="single"/>
        </w:rPr>
        <w:t> </w:t>
      </w:r>
      <w:r>
        <w:rPr>
          <w:sz w:val="22"/>
          <w:u w:val="single"/>
        </w:rPr>
        <w:t>de</w:t>
      </w:r>
      <w:r>
        <w:rPr>
          <w:spacing w:val="-6"/>
          <w:sz w:val="22"/>
          <w:u w:val="single"/>
        </w:rPr>
        <w:t> </w:t>
      </w:r>
      <w:r>
        <w:rPr>
          <w:sz w:val="22"/>
          <w:u w:val="single"/>
        </w:rPr>
        <w:t>Depreciación</w:t>
      </w:r>
      <w:r>
        <w:rPr>
          <w:spacing w:val="-7"/>
          <w:sz w:val="22"/>
          <w:u w:val="single"/>
        </w:rPr>
        <w:t> </w:t>
      </w:r>
      <w:r>
        <w:rPr>
          <w:sz w:val="22"/>
          <w:u w:val="single"/>
        </w:rPr>
        <w:t>(Párrafo</w:t>
      </w:r>
      <w:r>
        <w:rPr>
          <w:spacing w:val="-5"/>
          <w:sz w:val="22"/>
          <w:u w:val="single"/>
        </w:rPr>
        <w:t> </w:t>
      </w:r>
      <w:r>
        <w:rPr>
          <w:sz w:val="22"/>
          <w:u w:val="single"/>
        </w:rPr>
        <w:t>76-77-</w:t>
      </w:r>
      <w:r>
        <w:rPr>
          <w:spacing w:val="-5"/>
          <w:sz w:val="22"/>
          <w:u w:val="single"/>
        </w:rPr>
        <w:t>90)</w:t>
      </w:r>
    </w:p>
    <w:p>
      <w:pPr>
        <w:pStyle w:val="BodyText"/>
        <w:spacing w:before="31"/>
        <w:rPr>
          <w:sz w:val="20"/>
        </w:rPr>
      </w:pPr>
      <w:r>
        <w:rPr>
          <w:sz w:val="20"/>
        </w:rPr>
        <mc:AlternateContent>
          <mc:Choice Requires="wps">
            <w:drawing>
              <wp:anchor distT="0" distB="0" distL="0" distR="0" allowOverlap="1" layoutInCell="1" locked="0" behindDoc="1" simplePos="0" relativeHeight="487771648">
                <wp:simplePos x="0" y="0"/>
                <wp:positionH relativeFrom="page">
                  <wp:posOffset>1080820</wp:posOffset>
                </wp:positionH>
                <wp:positionV relativeFrom="paragraph">
                  <wp:posOffset>183467</wp:posOffset>
                </wp:positionV>
                <wp:extent cx="5715000" cy="3932554"/>
                <wp:effectExtent l="0" t="0" r="0" b="0"/>
                <wp:wrapTopAndBottom/>
                <wp:docPr id="901" name="Textbox 901"/>
                <wp:cNvGraphicFramePr>
                  <a:graphicFrameLocks/>
                </wp:cNvGraphicFramePr>
                <a:graphic>
                  <a:graphicData uri="http://schemas.microsoft.com/office/word/2010/wordprocessingShape">
                    <wps:wsp>
                      <wps:cNvPr id="901" name="Textbox 901"/>
                      <wps:cNvSpPr txBox="1"/>
                      <wps:spPr>
                        <a:xfrm>
                          <a:off x="0" y="0"/>
                          <a:ext cx="5715000" cy="3932554"/>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sz w:val="22"/>
                              </w:rPr>
                              <w:t>Método</w:t>
                            </w:r>
                            <w:r>
                              <w:rPr>
                                <w:b/>
                                <w:spacing w:val="-3"/>
                                <w:sz w:val="22"/>
                              </w:rPr>
                              <w:t> </w:t>
                            </w:r>
                            <w:r>
                              <w:rPr>
                                <w:b/>
                                <w:sz w:val="22"/>
                              </w:rPr>
                              <w:t>de</w:t>
                            </w:r>
                            <w:r>
                              <w:rPr>
                                <w:b/>
                                <w:spacing w:val="-2"/>
                                <w:sz w:val="22"/>
                              </w:rPr>
                              <w:t> depreciación:</w:t>
                            </w:r>
                          </w:p>
                          <w:p>
                            <w:pPr>
                              <w:pStyle w:val="BodyText"/>
                              <w:spacing w:before="251"/>
                              <w:ind w:left="103" w:right="101"/>
                              <w:jc w:val="both"/>
                            </w:pPr>
                            <w:r>
                              <w:rPr/>
                              <w:t>El</w:t>
                            </w:r>
                            <w:r>
                              <w:rPr>
                                <w:spacing w:val="-6"/>
                              </w:rPr>
                              <w:t> </w:t>
                            </w:r>
                            <w:r>
                              <w:rPr/>
                              <w:t>método</w:t>
                            </w:r>
                            <w:r>
                              <w:rPr>
                                <w:spacing w:val="-5"/>
                              </w:rPr>
                              <w:t> </w:t>
                            </w:r>
                            <w:r>
                              <w:rPr/>
                              <w:t>de</w:t>
                            </w:r>
                            <w:r>
                              <w:rPr>
                                <w:spacing w:val="-9"/>
                              </w:rPr>
                              <w:t> </w:t>
                            </w:r>
                            <w:r>
                              <w:rPr/>
                              <w:t>depreciación</w:t>
                            </w:r>
                            <w:r>
                              <w:rPr>
                                <w:spacing w:val="-7"/>
                              </w:rPr>
                              <w:t> </w:t>
                            </w:r>
                            <w:r>
                              <w:rPr/>
                              <w:t>utilizado</w:t>
                            </w:r>
                            <w:r>
                              <w:rPr>
                                <w:spacing w:val="-5"/>
                              </w:rPr>
                              <w:t> </w:t>
                            </w:r>
                            <w:r>
                              <w:rPr/>
                              <w:t>para</w:t>
                            </w:r>
                            <w:r>
                              <w:rPr>
                                <w:spacing w:val="-6"/>
                              </w:rPr>
                              <w:t> </w:t>
                            </w:r>
                            <w:r>
                              <w:rPr/>
                              <w:t>los</w:t>
                            </w:r>
                            <w:r>
                              <w:rPr>
                                <w:spacing w:val="-6"/>
                              </w:rPr>
                              <w:t> </w:t>
                            </w:r>
                            <w:r>
                              <w:rPr/>
                              <w:t>activos</w:t>
                            </w:r>
                            <w:r>
                              <w:rPr>
                                <w:spacing w:val="-5"/>
                              </w:rPr>
                              <w:t> </w:t>
                            </w:r>
                            <w:r>
                              <w:rPr/>
                              <w:t>es</w:t>
                            </w:r>
                            <w:r>
                              <w:rPr>
                                <w:spacing w:val="-6"/>
                              </w:rPr>
                              <w:t> </w:t>
                            </w:r>
                            <w:r>
                              <w:rPr/>
                              <w:t>Línea</w:t>
                            </w:r>
                            <w:r>
                              <w:rPr>
                                <w:spacing w:val="-6"/>
                              </w:rPr>
                              <w:t> </w:t>
                            </w:r>
                            <w:r>
                              <w:rPr/>
                              <w:t>Recta,</w:t>
                            </w:r>
                            <w:r>
                              <w:rPr>
                                <w:spacing w:val="-6"/>
                              </w:rPr>
                              <w:t> </w:t>
                            </w:r>
                            <w:r>
                              <w:rPr/>
                              <w:t>y</w:t>
                            </w:r>
                            <w:r>
                              <w:rPr>
                                <w:spacing w:val="-8"/>
                              </w:rPr>
                              <w:t> </w:t>
                            </w:r>
                            <w:r>
                              <w:rPr/>
                              <w:t>se</w:t>
                            </w:r>
                            <w:r>
                              <w:rPr>
                                <w:spacing w:val="-6"/>
                              </w:rPr>
                              <w:t> </w:t>
                            </w:r>
                            <w:r>
                              <w:rPr/>
                              <w:t>deprecian</w:t>
                            </w:r>
                            <w:r>
                              <w:rPr>
                                <w:spacing w:val="-7"/>
                              </w:rPr>
                              <w:t> </w:t>
                            </w:r>
                            <w:r>
                              <w:rPr/>
                              <w:t>a</w:t>
                            </w:r>
                            <w:r>
                              <w:rPr>
                                <w:spacing w:val="-6"/>
                              </w:rPr>
                              <w:t> </w:t>
                            </w:r>
                            <w:r>
                              <w:rPr/>
                              <w:t>partir</w:t>
                            </w:r>
                            <w:r>
                              <w:rPr>
                                <w:spacing w:val="-6"/>
                              </w:rPr>
                              <w:t> </w:t>
                            </w:r>
                            <w:r>
                              <w:rPr/>
                              <w:t>del</w:t>
                            </w:r>
                            <w:r>
                              <w:rPr>
                                <w:spacing w:val="-6"/>
                              </w:rPr>
                              <w:t> </w:t>
                            </w:r>
                            <w:r>
                              <w:rPr/>
                              <w:t>primer día hábil del mes siguiente. A la fecha que se informa no existen importes de las compensaciones de terceros</w:t>
                            </w:r>
                            <w:r>
                              <w:rPr>
                                <w:spacing w:val="-4"/>
                              </w:rPr>
                              <w:t> </w:t>
                            </w:r>
                            <w:r>
                              <w:rPr/>
                              <w:t>que</w:t>
                            </w:r>
                            <w:r>
                              <w:rPr>
                                <w:spacing w:val="-4"/>
                              </w:rPr>
                              <w:t> </w:t>
                            </w:r>
                            <w:r>
                              <w:rPr/>
                              <w:t>se</w:t>
                            </w:r>
                            <w:r>
                              <w:rPr>
                                <w:spacing w:val="-3"/>
                              </w:rPr>
                              <w:t> </w:t>
                            </w:r>
                            <w:r>
                              <w:rPr/>
                              <w:t>incluyen</w:t>
                            </w:r>
                            <w:r>
                              <w:rPr>
                                <w:spacing w:val="-2"/>
                              </w:rPr>
                              <w:t> </w:t>
                            </w:r>
                            <w:r>
                              <w:rPr/>
                              <w:t>en</w:t>
                            </w:r>
                            <w:r>
                              <w:rPr>
                                <w:spacing w:val="-4"/>
                              </w:rPr>
                              <w:t> </w:t>
                            </w:r>
                            <w:r>
                              <w:rPr/>
                              <w:t>el</w:t>
                            </w:r>
                            <w:r>
                              <w:rPr>
                                <w:spacing w:val="-2"/>
                              </w:rPr>
                              <w:t> </w:t>
                            </w:r>
                            <w:r>
                              <w:rPr/>
                              <w:t>resultado</w:t>
                            </w:r>
                            <w:r>
                              <w:rPr>
                                <w:spacing w:val="-2"/>
                              </w:rPr>
                              <w:t> </w:t>
                            </w:r>
                            <w:r>
                              <w:rPr/>
                              <w:t>(ahorro</w:t>
                            </w:r>
                            <w:r>
                              <w:rPr>
                                <w:spacing w:val="-4"/>
                              </w:rPr>
                              <w:t> </w:t>
                            </w:r>
                            <w:r>
                              <w:rPr/>
                              <w:t>o</w:t>
                            </w:r>
                            <w:r>
                              <w:rPr>
                                <w:spacing w:val="-2"/>
                              </w:rPr>
                              <w:t> </w:t>
                            </w:r>
                            <w:r>
                              <w:rPr/>
                              <w:t>desahorro)</w:t>
                            </w:r>
                            <w:r>
                              <w:rPr>
                                <w:spacing w:val="-5"/>
                              </w:rPr>
                              <w:t> </w:t>
                            </w:r>
                            <w:r>
                              <w:rPr/>
                              <w:t>por</w:t>
                            </w:r>
                            <w:r>
                              <w:rPr>
                                <w:spacing w:val="-2"/>
                              </w:rPr>
                              <w:t> </w:t>
                            </w:r>
                            <w:r>
                              <w:rPr/>
                              <w:t>elementos</w:t>
                            </w:r>
                            <w:r>
                              <w:rPr>
                                <w:spacing w:val="-1"/>
                              </w:rPr>
                              <w:t> </w:t>
                            </w:r>
                            <w:r>
                              <w:rPr/>
                              <w:t>de</w:t>
                            </w:r>
                            <w:r>
                              <w:rPr>
                                <w:spacing w:val="-4"/>
                              </w:rPr>
                              <w:t> </w:t>
                            </w:r>
                            <w:r>
                              <w:rPr/>
                              <w:t>propiedades,</w:t>
                            </w:r>
                            <w:r>
                              <w:rPr>
                                <w:spacing w:val="-2"/>
                              </w:rPr>
                              <w:t> </w:t>
                            </w:r>
                            <w:r>
                              <w:rPr/>
                              <w:t>planta</w:t>
                            </w:r>
                            <w:r>
                              <w:rPr>
                                <w:spacing w:val="-2"/>
                              </w:rPr>
                              <w:t> </w:t>
                            </w:r>
                            <w:r>
                              <w:rPr/>
                              <w:t>y equipo cuyo valor se hubiera deteriorado, se hubieran perdido o se hubieran retirado.</w:t>
                            </w:r>
                          </w:p>
                          <w:p>
                            <w:pPr>
                              <w:pStyle w:val="BodyText"/>
                            </w:pPr>
                          </w:p>
                          <w:p>
                            <w:pPr>
                              <w:pStyle w:val="BodyText"/>
                              <w:ind w:left="103" w:right="151"/>
                              <w:jc w:val="both"/>
                            </w:pPr>
                            <w:r>
                              <w:rPr/>
                              <w:t>Los</w:t>
                            </w:r>
                            <w:r>
                              <w:rPr>
                                <w:spacing w:val="-8"/>
                              </w:rPr>
                              <w:t> </w:t>
                            </w:r>
                            <w:r>
                              <w:rPr/>
                              <w:t>gastos</w:t>
                            </w:r>
                            <w:r>
                              <w:rPr>
                                <w:spacing w:val="-6"/>
                              </w:rPr>
                              <w:t> </w:t>
                            </w:r>
                            <w:r>
                              <w:rPr/>
                              <w:t>por</w:t>
                            </w:r>
                            <w:r>
                              <w:rPr>
                                <w:spacing w:val="-7"/>
                              </w:rPr>
                              <w:t> </w:t>
                            </w:r>
                            <w:r>
                              <w:rPr/>
                              <w:t>depreciación</w:t>
                            </w:r>
                            <w:r>
                              <w:rPr>
                                <w:spacing w:val="-9"/>
                              </w:rPr>
                              <w:t> </w:t>
                            </w:r>
                            <w:r>
                              <w:rPr/>
                              <w:t>de</w:t>
                            </w:r>
                            <w:r>
                              <w:rPr>
                                <w:spacing w:val="-9"/>
                              </w:rPr>
                              <w:t> </w:t>
                            </w:r>
                            <w:r>
                              <w:rPr/>
                              <w:t>los</w:t>
                            </w:r>
                            <w:r>
                              <w:rPr>
                                <w:spacing w:val="-6"/>
                              </w:rPr>
                              <w:t> </w:t>
                            </w:r>
                            <w:r>
                              <w:rPr/>
                              <w:t>activos</w:t>
                            </w:r>
                            <w:r>
                              <w:rPr>
                                <w:spacing w:val="-6"/>
                              </w:rPr>
                              <w:t> </w:t>
                            </w:r>
                            <w:r>
                              <w:rPr/>
                              <w:t>se</w:t>
                            </w:r>
                            <w:r>
                              <w:rPr>
                                <w:spacing w:val="-8"/>
                              </w:rPr>
                              <w:t> </w:t>
                            </w:r>
                            <w:r>
                              <w:rPr/>
                              <w:t>calculan</w:t>
                            </w:r>
                            <w:r>
                              <w:rPr>
                                <w:spacing w:val="-7"/>
                              </w:rPr>
                              <w:t> </w:t>
                            </w:r>
                            <w:r>
                              <w:rPr/>
                              <w:t>por</w:t>
                            </w:r>
                            <w:r>
                              <w:rPr>
                                <w:spacing w:val="-7"/>
                              </w:rPr>
                              <w:t> </w:t>
                            </w:r>
                            <w:r>
                              <w:rPr/>
                              <w:t>el</w:t>
                            </w:r>
                            <w:r>
                              <w:rPr>
                                <w:spacing w:val="-8"/>
                              </w:rPr>
                              <w:t> </w:t>
                            </w:r>
                            <w:r>
                              <w:rPr/>
                              <w:t>método</w:t>
                            </w:r>
                            <w:r>
                              <w:rPr>
                                <w:spacing w:val="-7"/>
                              </w:rPr>
                              <w:t> </w:t>
                            </w:r>
                            <w:r>
                              <w:rPr/>
                              <w:t>de</w:t>
                            </w:r>
                            <w:r>
                              <w:rPr>
                                <w:spacing w:val="-9"/>
                              </w:rPr>
                              <w:t> </w:t>
                            </w:r>
                            <w:r>
                              <w:rPr/>
                              <w:t>línea</w:t>
                            </w:r>
                            <w:r>
                              <w:rPr>
                                <w:spacing w:val="-8"/>
                              </w:rPr>
                              <w:t> </w:t>
                            </w:r>
                            <w:r>
                              <w:rPr/>
                              <w:t>recta</w:t>
                            </w:r>
                            <w:r>
                              <w:rPr>
                                <w:spacing w:val="-8"/>
                              </w:rPr>
                              <w:t> </w:t>
                            </w:r>
                            <w:r>
                              <w:rPr/>
                              <w:t>con</w:t>
                            </w:r>
                            <w:r>
                              <w:rPr>
                                <w:spacing w:val="-7"/>
                              </w:rPr>
                              <w:t> </w:t>
                            </w:r>
                            <w:r>
                              <w:rPr/>
                              <w:t>base</w:t>
                            </w:r>
                            <w:r>
                              <w:rPr>
                                <w:spacing w:val="-8"/>
                              </w:rPr>
                              <w:t> </w:t>
                            </w:r>
                            <w:r>
                              <w:rPr/>
                              <w:t>en</w:t>
                            </w:r>
                            <w:r>
                              <w:rPr>
                                <w:spacing w:val="-7"/>
                              </w:rPr>
                              <w:t> </w:t>
                            </w:r>
                            <w:r>
                              <w:rPr/>
                              <w:t>la</w:t>
                            </w:r>
                            <w:r>
                              <w:rPr>
                                <w:spacing w:val="-8"/>
                              </w:rPr>
                              <w:t> </w:t>
                            </w:r>
                            <w:r>
                              <w:rPr/>
                              <w:t>vida útil estimada.</w:t>
                            </w:r>
                          </w:p>
                          <w:p>
                            <w:pPr>
                              <w:pStyle w:val="BodyText"/>
                              <w:spacing w:before="1"/>
                            </w:pPr>
                          </w:p>
                          <w:p>
                            <w:pPr>
                              <w:pStyle w:val="BodyText"/>
                              <w:ind w:left="103" w:right="101"/>
                              <w:jc w:val="both"/>
                            </w:pPr>
                            <w:r>
                              <w:rPr/>
                              <w:t>La</w:t>
                            </w:r>
                            <w:r>
                              <w:rPr>
                                <w:spacing w:val="-1"/>
                              </w:rPr>
                              <w:t> </w:t>
                            </w:r>
                            <w:r>
                              <w:rPr/>
                              <w:t>depreciación se</w:t>
                            </w:r>
                            <w:r>
                              <w:rPr>
                                <w:spacing w:val="-1"/>
                              </w:rPr>
                              <w:t> </w:t>
                            </w:r>
                            <w:r>
                              <w:rPr/>
                              <w:t>registra</w:t>
                            </w:r>
                            <w:r>
                              <w:rPr>
                                <w:spacing w:val="-2"/>
                              </w:rPr>
                              <w:t> </w:t>
                            </w:r>
                            <w:r>
                              <w:rPr/>
                              <w:t>en forma</w:t>
                            </w:r>
                            <w:r>
                              <w:rPr>
                                <w:spacing w:val="-2"/>
                              </w:rPr>
                              <w:t> </w:t>
                            </w:r>
                            <w:r>
                              <w:rPr/>
                              <w:t>genérica</w:t>
                            </w:r>
                            <w:r>
                              <w:rPr>
                                <w:spacing w:val="-1"/>
                              </w:rPr>
                              <w:t> </w:t>
                            </w:r>
                            <w:r>
                              <w:rPr/>
                              <w:t>a</w:t>
                            </w:r>
                            <w:r>
                              <w:rPr>
                                <w:spacing w:val="-1"/>
                              </w:rPr>
                              <w:t> </w:t>
                            </w:r>
                            <w:r>
                              <w:rPr/>
                              <w:t>la</w:t>
                            </w:r>
                            <w:r>
                              <w:rPr>
                                <w:spacing w:val="-1"/>
                              </w:rPr>
                              <w:t> </w:t>
                            </w:r>
                            <w:r>
                              <w:rPr/>
                              <w:t>tasa</w:t>
                            </w:r>
                            <w:r>
                              <w:rPr>
                                <w:spacing w:val="-2"/>
                              </w:rPr>
                              <w:t> </w:t>
                            </w:r>
                            <w:r>
                              <w:rPr/>
                              <w:t>necesaria</w:t>
                            </w:r>
                            <w:r>
                              <w:rPr>
                                <w:spacing w:val="-1"/>
                              </w:rPr>
                              <w:t> </w:t>
                            </w:r>
                            <w:r>
                              <w:rPr/>
                              <w:t>para</w:t>
                            </w:r>
                            <w:r>
                              <w:rPr>
                                <w:spacing w:val="-1"/>
                              </w:rPr>
                              <w:t> </w:t>
                            </w:r>
                            <w:r>
                              <w:rPr/>
                              <w:t>amortizar el</w:t>
                            </w:r>
                            <w:r>
                              <w:rPr>
                                <w:spacing w:val="-2"/>
                              </w:rPr>
                              <w:t> </w:t>
                            </w:r>
                            <w:r>
                              <w:rPr/>
                              <w:t>costo</w:t>
                            </w:r>
                            <w:r>
                              <w:rPr>
                                <w:spacing w:val="-2"/>
                              </w:rPr>
                              <w:t> </w:t>
                            </w:r>
                            <w:r>
                              <w:rPr/>
                              <w:t>según</w:t>
                            </w:r>
                            <w:r>
                              <w:rPr>
                                <w:spacing w:val="-2"/>
                              </w:rPr>
                              <w:t> </w:t>
                            </w:r>
                            <w:r>
                              <w:rPr/>
                              <w:t>su</w:t>
                            </w:r>
                            <w:r>
                              <w:rPr>
                                <w:spacing w:val="-2"/>
                              </w:rPr>
                              <w:t> </w:t>
                            </w:r>
                            <w:r>
                              <w:rPr/>
                              <w:t>vida útil</w:t>
                            </w:r>
                            <w:r>
                              <w:rPr>
                                <w:spacing w:val="-3"/>
                              </w:rPr>
                              <w:t> </w:t>
                            </w:r>
                            <w:r>
                              <w:rPr/>
                              <w:t>estimada</w:t>
                            </w:r>
                            <w:r>
                              <w:rPr>
                                <w:spacing w:val="-3"/>
                              </w:rPr>
                              <w:t> </w:t>
                            </w:r>
                            <w:r>
                              <w:rPr/>
                              <w:t>(50</w:t>
                            </w:r>
                            <w:r>
                              <w:rPr>
                                <w:spacing w:val="-3"/>
                              </w:rPr>
                              <w:t> </w:t>
                            </w:r>
                            <w:r>
                              <w:rPr/>
                              <w:t>años</w:t>
                            </w:r>
                            <w:r>
                              <w:rPr>
                                <w:spacing w:val="-4"/>
                              </w:rPr>
                              <w:t> </w:t>
                            </w:r>
                            <w:r>
                              <w:rPr/>
                              <w:t>para</w:t>
                            </w:r>
                            <w:r>
                              <w:rPr>
                                <w:spacing w:val="-5"/>
                              </w:rPr>
                              <w:t> </w:t>
                            </w:r>
                            <w:r>
                              <w:rPr/>
                              <w:t>edificios,</w:t>
                            </w:r>
                            <w:r>
                              <w:rPr>
                                <w:spacing w:val="-2"/>
                              </w:rPr>
                              <w:t> </w:t>
                            </w:r>
                            <w:r>
                              <w:rPr/>
                              <w:t>10</w:t>
                            </w:r>
                            <w:r>
                              <w:rPr>
                                <w:spacing w:val="-3"/>
                              </w:rPr>
                              <w:t> </w:t>
                            </w:r>
                            <w:r>
                              <w:rPr/>
                              <w:t>años</w:t>
                            </w:r>
                            <w:r>
                              <w:rPr>
                                <w:spacing w:val="-1"/>
                              </w:rPr>
                              <w:t> </w:t>
                            </w:r>
                            <w:r>
                              <w:rPr/>
                              <w:t>para</w:t>
                            </w:r>
                            <w:r>
                              <w:rPr>
                                <w:spacing w:val="-5"/>
                              </w:rPr>
                              <w:t> </w:t>
                            </w:r>
                            <w:r>
                              <w:rPr/>
                              <w:t>mobiliario</w:t>
                            </w:r>
                            <w:r>
                              <w:rPr>
                                <w:spacing w:val="-2"/>
                              </w:rPr>
                              <w:t> </w:t>
                            </w:r>
                            <w:r>
                              <w:rPr/>
                              <w:t>y</w:t>
                            </w:r>
                            <w:r>
                              <w:rPr>
                                <w:spacing w:val="-3"/>
                              </w:rPr>
                              <w:t> </w:t>
                            </w:r>
                            <w:r>
                              <w:rPr/>
                              <w:t>equipo</w:t>
                            </w:r>
                            <w:r>
                              <w:rPr>
                                <w:spacing w:val="-2"/>
                              </w:rPr>
                              <w:t> </w:t>
                            </w:r>
                            <w:r>
                              <w:rPr/>
                              <w:t>y</w:t>
                            </w:r>
                            <w:r>
                              <w:rPr>
                                <w:spacing w:val="-3"/>
                              </w:rPr>
                              <w:t> </w:t>
                            </w:r>
                            <w:r>
                              <w:rPr/>
                              <w:t>vehículos,</w:t>
                            </w:r>
                            <w:r>
                              <w:rPr>
                                <w:spacing w:val="-7"/>
                              </w:rPr>
                              <w:t> </w:t>
                            </w:r>
                            <w:r>
                              <w:rPr/>
                              <w:t>7</w:t>
                            </w:r>
                            <w:r>
                              <w:rPr>
                                <w:spacing w:val="-2"/>
                              </w:rPr>
                              <w:t> </w:t>
                            </w:r>
                            <w:r>
                              <w:rPr/>
                              <w:t>años</w:t>
                            </w:r>
                            <w:r>
                              <w:rPr>
                                <w:spacing w:val="-4"/>
                              </w:rPr>
                              <w:t> </w:t>
                            </w:r>
                            <w:r>
                              <w:rPr/>
                              <w:t>maquinaria y 5 años para equipo de cómputo). Los ajustes activos o por capitalización de costos se registran por la vida útil restante.</w:t>
                            </w:r>
                          </w:p>
                          <w:p>
                            <w:pPr>
                              <w:pStyle w:val="BodyText"/>
                              <w:spacing w:before="160"/>
                              <w:ind w:left="103" w:right="102"/>
                              <w:jc w:val="both"/>
                            </w:pPr>
                            <w:r>
                              <w:rPr/>
                              <w:t>Si bien la norma párrafo 77 establece la revisión del método de depreciación aplicado a un activo, como</w:t>
                            </w:r>
                            <w:r>
                              <w:rPr>
                                <w:spacing w:val="-2"/>
                              </w:rPr>
                              <w:t> </w:t>
                            </w:r>
                            <w:r>
                              <w:rPr/>
                              <w:t>mínimo, en</w:t>
                            </w:r>
                            <w:r>
                              <w:rPr>
                                <w:spacing w:val="-2"/>
                              </w:rPr>
                              <w:t> </w:t>
                            </w:r>
                            <w:r>
                              <w:rPr/>
                              <w:t>cada</w:t>
                            </w:r>
                            <w:r>
                              <w:rPr>
                                <w:spacing w:val="-1"/>
                              </w:rPr>
                              <w:t> </w:t>
                            </w:r>
                            <w:r>
                              <w:rPr/>
                              <w:t>fecha</w:t>
                            </w:r>
                            <w:r>
                              <w:rPr>
                                <w:spacing w:val="-1"/>
                              </w:rPr>
                              <w:t> </w:t>
                            </w:r>
                            <w:r>
                              <w:rPr/>
                              <w:t>de</w:t>
                            </w:r>
                            <w:r>
                              <w:rPr>
                                <w:spacing w:val="-2"/>
                              </w:rPr>
                              <w:t> </w:t>
                            </w:r>
                            <w:r>
                              <w:rPr/>
                              <w:t>presentación</w:t>
                            </w:r>
                            <w:r>
                              <w:rPr>
                                <w:spacing w:val="-2"/>
                              </w:rPr>
                              <w:t> </w:t>
                            </w:r>
                            <w:r>
                              <w:rPr/>
                              <w:t>anual</w:t>
                            </w:r>
                            <w:r>
                              <w:rPr>
                                <w:spacing w:val="-1"/>
                              </w:rPr>
                              <w:t> </w:t>
                            </w:r>
                            <w:r>
                              <w:rPr/>
                              <w:t>y,</w:t>
                            </w:r>
                            <w:r>
                              <w:rPr>
                                <w:spacing w:val="-2"/>
                              </w:rPr>
                              <w:t> </w:t>
                            </w:r>
                            <w:r>
                              <w:rPr/>
                              <w:t>si</w:t>
                            </w:r>
                            <w:r>
                              <w:rPr>
                                <w:spacing w:val="-3"/>
                              </w:rPr>
                              <w:t> </w:t>
                            </w:r>
                            <w:r>
                              <w:rPr/>
                              <w:t>hubiera</w:t>
                            </w:r>
                            <w:r>
                              <w:rPr>
                                <w:spacing w:val="-1"/>
                              </w:rPr>
                              <w:t> </w:t>
                            </w:r>
                            <w:r>
                              <w:rPr/>
                              <w:t>habido un</w:t>
                            </w:r>
                            <w:r>
                              <w:rPr>
                                <w:spacing w:val="-2"/>
                              </w:rPr>
                              <w:t> </w:t>
                            </w:r>
                            <w:r>
                              <w:rPr/>
                              <w:t>cambio</w:t>
                            </w:r>
                            <w:r>
                              <w:rPr>
                                <w:spacing w:val="-2"/>
                              </w:rPr>
                              <w:t> </w:t>
                            </w:r>
                            <w:r>
                              <w:rPr/>
                              <w:t>significativo</w:t>
                            </w:r>
                            <w:r>
                              <w:rPr>
                                <w:spacing w:val="-2"/>
                              </w:rPr>
                              <w:t> </w:t>
                            </w:r>
                            <w:r>
                              <w:rPr/>
                              <w:t>en el patrón esperado de consumo de los beneficios económicos o potencial de servicio futuros incorporados</w:t>
                            </w:r>
                            <w:r>
                              <w:rPr>
                                <w:spacing w:val="-6"/>
                              </w:rPr>
                              <w:t> </w:t>
                            </w:r>
                            <w:r>
                              <w:rPr/>
                              <w:t>al</w:t>
                            </w:r>
                            <w:r>
                              <w:rPr>
                                <w:spacing w:val="-8"/>
                              </w:rPr>
                              <w:t> </w:t>
                            </w:r>
                            <w:r>
                              <w:rPr/>
                              <w:t>activo,</w:t>
                            </w:r>
                            <w:r>
                              <w:rPr>
                                <w:spacing w:val="-9"/>
                              </w:rPr>
                              <w:t> </w:t>
                            </w:r>
                            <w:r>
                              <w:rPr/>
                              <w:t>se</w:t>
                            </w:r>
                            <w:r>
                              <w:rPr>
                                <w:spacing w:val="-8"/>
                              </w:rPr>
                              <w:t> </w:t>
                            </w:r>
                            <w:r>
                              <w:rPr/>
                              <w:t>cambiará</w:t>
                            </w:r>
                            <w:r>
                              <w:rPr>
                                <w:spacing w:val="-8"/>
                              </w:rPr>
                              <w:t> </w:t>
                            </w:r>
                            <w:r>
                              <w:rPr/>
                              <w:t>para</w:t>
                            </w:r>
                            <w:r>
                              <w:rPr>
                                <w:spacing w:val="-8"/>
                              </w:rPr>
                              <w:t> </w:t>
                            </w:r>
                            <w:r>
                              <w:rPr/>
                              <w:t>reflejar</w:t>
                            </w:r>
                            <w:r>
                              <w:rPr>
                                <w:spacing w:val="-7"/>
                              </w:rPr>
                              <w:t> </w:t>
                            </w:r>
                            <w:r>
                              <w:rPr/>
                              <w:t>el</w:t>
                            </w:r>
                            <w:r>
                              <w:rPr>
                                <w:spacing w:val="-8"/>
                              </w:rPr>
                              <w:t> </w:t>
                            </w:r>
                            <w:r>
                              <w:rPr/>
                              <w:t>nuevo</w:t>
                            </w:r>
                            <w:r>
                              <w:rPr>
                                <w:spacing w:val="-6"/>
                              </w:rPr>
                              <w:t> </w:t>
                            </w:r>
                            <w:r>
                              <w:rPr/>
                              <w:t>patrón.</w:t>
                            </w:r>
                            <w:r>
                              <w:rPr>
                                <w:spacing w:val="-8"/>
                              </w:rPr>
                              <w:t> </w:t>
                            </w:r>
                            <w:r>
                              <w:rPr/>
                              <w:t>Dicho</w:t>
                            </w:r>
                            <w:r>
                              <w:rPr>
                                <w:spacing w:val="-6"/>
                              </w:rPr>
                              <w:t> </w:t>
                            </w:r>
                            <w:r>
                              <w:rPr/>
                              <w:t>cambio</w:t>
                            </w:r>
                            <w:r>
                              <w:rPr>
                                <w:spacing w:val="-9"/>
                              </w:rPr>
                              <w:t> </w:t>
                            </w:r>
                            <w:r>
                              <w:rPr/>
                              <w:t>se</w:t>
                            </w:r>
                            <w:r>
                              <w:rPr>
                                <w:spacing w:val="-8"/>
                              </w:rPr>
                              <w:t> </w:t>
                            </w:r>
                            <w:r>
                              <w:rPr/>
                              <w:t>contabilizará</w:t>
                            </w:r>
                            <w:r>
                              <w:rPr>
                                <w:spacing w:val="-8"/>
                              </w:rPr>
                              <w:t> </w:t>
                            </w:r>
                            <w:r>
                              <w:rPr/>
                              <w:t>como un</w:t>
                            </w:r>
                            <w:r>
                              <w:rPr>
                                <w:spacing w:val="-14"/>
                              </w:rPr>
                              <w:t> </w:t>
                            </w:r>
                            <w:r>
                              <w:rPr/>
                              <w:t>cambio</w:t>
                            </w:r>
                            <w:r>
                              <w:rPr>
                                <w:spacing w:val="-12"/>
                              </w:rPr>
                              <w:t> </w:t>
                            </w:r>
                            <w:r>
                              <w:rPr/>
                              <w:t>en</w:t>
                            </w:r>
                            <w:r>
                              <w:rPr>
                                <w:spacing w:val="-12"/>
                              </w:rPr>
                              <w:t> </w:t>
                            </w:r>
                            <w:r>
                              <w:rPr/>
                              <w:t>una</w:t>
                            </w:r>
                            <w:r>
                              <w:rPr>
                                <w:spacing w:val="-14"/>
                              </w:rPr>
                              <w:t> </w:t>
                            </w:r>
                            <w:r>
                              <w:rPr/>
                              <w:t>estimación</w:t>
                            </w:r>
                            <w:r>
                              <w:rPr>
                                <w:spacing w:val="-12"/>
                              </w:rPr>
                              <w:t> </w:t>
                            </w:r>
                            <w:r>
                              <w:rPr/>
                              <w:t>contable,</w:t>
                            </w:r>
                            <w:r>
                              <w:rPr>
                                <w:spacing w:val="-12"/>
                              </w:rPr>
                              <w:t> </w:t>
                            </w:r>
                            <w:r>
                              <w:rPr/>
                              <w:t>de</w:t>
                            </w:r>
                            <w:r>
                              <w:rPr>
                                <w:spacing w:val="-13"/>
                              </w:rPr>
                              <w:t> </w:t>
                            </w:r>
                            <w:r>
                              <w:rPr/>
                              <w:t>acuerdo</w:t>
                            </w:r>
                            <w:r>
                              <w:rPr>
                                <w:spacing w:val="-11"/>
                              </w:rPr>
                              <w:t> </w:t>
                            </w:r>
                            <w:r>
                              <w:rPr/>
                              <w:t>con</w:t>
                            </w:r>
                            <w:r>
                              <w:rPr>
                                <w:spacing w:val="-14"/>
                              </w:rPr>
                              <w:t> </w:t>
                            </w:r>
                            <w:r>
                              <w:rPr/>
                              <w:t>la</w:t>
                            </w:r>
                            <w:r>
                              <w:rPr>
                                <w:spacing w:val="-12"/>
                              </w:rPr>
                              <w:t> </w:t>
                            </w:r>
                            <w:r>
                              <w:rPr/>
                              <w:t>NICSP</w:t>
                            </w:r>
                            <w:r>
                              <w:rPr>
                                <w:spacing w:val="-12"/>
                              </w:rPr>
                              <w:t> </w:t>
                            </w:r>
                            <w:r>
                              <w:rPr/>
                              <w:t>3.</w:t>
                            </w:r>
                            <w:r>
                              <w:rPr>
                                <w:spacing w:val="-14"/>
                              </w:rPr>
                              <w:t> </w:t>
                            </w:r>
                            <w:r>
                              <w:rPr/>
                              <w:t>La</w:t>
                            </w:r>
                            <w:r>
                              <w:rPr>
                                <w:spacing w:val="-14"/>
                              </w:rPr>
                              <w:t> </w:t>
                            </w:r>
                            <w:r>
                              <w:rPr/>
                              <w:t>política</w:t>
                            </w:r>
                            <w:r>
                              <w:rPr>
                                <w:spacing w:val="-12"/>
                              </w:rPr>
                              <w:t> </w:t>
                            </w:r>
                            <w:r>
                              <w:rPr/>
                              <w:t>contable</w:t>
                            </w:r>
                            <w:r>
                              <w:rPr>
                                <w:spacing w:val="-13"/>
                              </w:rPr>
                              <w:t> </w:t>
                            </w:r>
                            <w:r>
                              <w:rPr/>
                              <w:t>general</w:t>
                            </w:r>
                            <w:r>
                              <w:rPr>
                                <w:spacing w:val="-12"/>
                              </w:rPr>
                              <w:t> </w:t>
                            </w:r>
                            <w:r>
                              <w:rPr/>
                              <w:t>5.36.1 establece de carácter general la aplicación del método lineal de depreciación.</w:t>
                            </w:r>
                          </w:p>
                        </w:txbxContent>
                      </wps:txbx>
                      <wps:bodyPr wrap="square" lIns="0" tIns="0" rIns="0" bIns="0" rtlCol="0">
                        <a:noAutofit/>
                      </wps:bodyPr>
                    </wps:wsp>
                  </a:graphicData>
                </a:graphic>
              </wp:anchor>
            </w:drawing>
          </mc:Choice>
          <mc:Fallback>
            <w:pict>
              <v:shape style="position:absolute;margin-left:85.103996pt;margin-top:14.446265pt;width:450pt;height:309.650pt;mso-position-horizontal-relative:page;mso-position-vertical-relative:paragraph;z-index:-15544832;mso-wrap-distance-left:0;mso-wrap-distance-right:0" type="#_x0000_t202" id="docshape87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sz w:val="22"/>
                        </w:rPr>
                        <w:t>Método</w:t>
                      </w:r>
                      <w:r>
                        <w:rPr>
                          <w:b/>
                          <w:spacing w:val="-3"/>
                          <w:sz w:val="22"/>
                        </w:rPr>
                        <w:t> </w:t>
                      </w:r>
                      <w:r>
                        <w:rPr>
                          <w:b/>
                          <w:sz w:val="22"/>
                        </w:rPr>
                        <w:t>de</w:t>
                      </w:r>
                      <w:r>
                        <w:rPr>
                          <w:b/>
                          <w:spacing w:val="-2"/>
                          <w:sz w:val="22"/>
                        </w:rPr>
                        <w:t> depreciación:</w:t>
                      </w:r>
                    </w:p>
                    <w:p>
                      <w:pPr>
                        <w:pStyle w:val="BodyText"/>
                        <w:spacing w:before="251"/>
                        <w:ind w:left="103" w:right="101"/>
                        <w:jc w:val="both"/>
                      </w:pPr>
                      <w:r>
                        <w:rPr/>
                        <w:t>El</w:t>
                      </w:r>
                      <w:r>
                        <w:rPr>
                          <w:spacing w:val="-6"/>
                        </w:rPr>
                        <w:t> </w:t>
                      </w:r>
                      <w:r>
                        <w:rPr/>
                        <w:t>método</w:t>
                      </w:r>
                      <w:r>
                        <w:rPr>
                          <w:spacing w:val="-5"/>
                        </w:rPr>
                        <w:t> </w:t>
                      </w:r>
                      <w:r>
                        <w:rPr/>
                        <w:t>de</w:t>
                      </w:r>
                      <w:r>
                        <w:rPr>
                          <w:spacing w:val="-9"/>
                        </w:rPr>
                        <w:t> </w:t>
                      </w:r>
                      <w:r>
                        <w:rPr/>
                        <w:t>depreciación</w:t>
                      </w:r>
                      <w:r>
                        <w:rPr>
                          <w:spacing w:val="-7"/>
                        </w:rPr>
                        <w:t> </w:t>
                      </w:r>
                      <w:r>
                        <w:rPr/>
                        <w:t>utilizado</w:t>
                      </w:r>
                      <w:r>
                        <w:rPr>
                          <w:spacing w:val="-5"/>
                        </w:rPr>
                        <w:t> </w:t>
                      </w:r>
                      <w:r>
                        <w:rPr/>
                        <w:t>para</w:t>
                      </w:r>
                      <w:r>
                        <w:rPr>
                          <w:spacing w:val="-6"/>
                        </w:rPr>
                        <w:t> </w:t>
                      </w:r>
                      <w:r>
                        <w:rPr/>
                        <w:t>los</w:t>
                      </w:r>
                      <w:r>
                        <w:rPr>
                          <w:spacing w:val="-6"/>
                        </w:rPr>
                        <w:t> </w:t>
                      </w:r>
                      <w:r>
                        <w:rPr/>
                        <w:t>activos</w:t>
                      </w:r>
                      <w:r>
                        <w:rPr>
                          <w:spacing w:val="-5"/>
                        </w:rPr>
                        <w:t> </w:t>
                      </w:r>
                      <w:r>
                        <w:rPr/>
                        <w:t>es</w:t>
                      </w:r>
                      <w:r>
                        <w:rPr>
                          <w:spacing w:val="-6"/>
                        </w:rPr>
                        <w:t> </w:t>
                      </w:r>
                      <w:r>
                        <w:rPr/>
                        <w:t>Línea</w:t>
                      </w:r>
                      <w:r>
                        <w:rPr>
                          <w:spacing w:val="-6"/>
                        </w:rPr>
                        <w:t> </w:t>
                      </w:r>
                      <w:r>
                        <w:rPr/>
                        <w:t>Recta,</w:t>
                      </w:r>
                      <w:r>
                        <w:rPr>
                          <w:spacing w:val="-6"/>
                        </w:rPr>
                        <w:t> </w:t>
                      </w:r>
                      <w:r>
                        <w:rPr/>
                        <w:t>y</w:t>
                      </w:r>
                      <w:r>
                        <w:rPr>
                          <w:spacing w:val="-8"/>
                        </w:rPr>
                        <w:t> </w:t>
                      </w:r>
                      <w:r>
                        <w:rPr/>
                        <w:t>se</w:t>
                      </w:r>
                      <w:r>
                        <w:rPr>
                          <w:spacing w:val="-6"/>
                        </w:rPr>
                        <w:t> </w:t>
                      </w:r>
                      <w:r>
                        <w:rPr/>
                        <w:t>deprecian</w:t>
                      </w:r>
                      <w:r>
                        <w:rPr>
                          <w:spacing w:val="-7"/>
                        </w:rPr>
                        <w:t> </w:t>
                      </w:r>
                      <w:r>
                        <w:rPr/>
                        <w:t>a</w:t>
                      </w:r>
                      <w:r>
                        <w:rPr>
                          <w:spacing w:val="-6"/>
                        </w:rPr>
                        <w:t> </w:t>
                      </w:r>
                      <w:r>
                        <w:rPr/>
                        <w:t>partir</w:t>
                      </w:r>
                      <w:r>
                        <w:rPr>
                          <w:spacing w:val="-6"/>
                        </w:rPr>
                        <w:t> </w:t>
                      </w:r>
                      <w:r>
                        <w:rPr/>
                        <w:t>del</w:t>
                      </w:r>
                      <w:r>
                        <w:rPr>
                          <w:spacing w:val="-6"/>
                        </w:rPr>
                        <w:t> </w:t>
                      </w:r>
                      <w:r>
                        <w:rPr/>
                        <w:t>primer día hábil del mes siguiente. A la fecha que se informa no existen importes de las compensaciones de terceros</w:t>
                      </w:r>
                      <w:r>
                        <w:rPr>
                          <w:spacing w:val="-4"/>
                        </w:rPr>
                        <w:t> </w:t>
                      </w:r>
                      <w:r>
                        <w:rPr/>
                        <w:t>que</w:t>
                      </w:r>
                      <w:r>
                        <w:rPr>
                          <w:spacing w:val="-4"/>
                        </w:rPr>
                        <w:t> </w:t>
                      </w:r>
                      <w:r>
                        <w:rPr/>
                        <w:t>se</w:t>
                      </w:r>
                      <w:r>
                        <w:rPr>
                          <w:spacing w:val="-3"/>
                        </w:rPr>
                        <w:t> </w:t>
                      </w:r>
                      <w:r>
                        <w:rPr/>
                        <w:t>incluyen</w:t>
                      </w:r>
                      <w:r>
                        <w:rPr>
                          <w:spacing w:val="-2"/>
                        </w:rPr>
                        <w:t> </w:t>
                      </w:r>
                      <w:r>
                        <w:rPr/>
                        <w:t>en</w:t>
                      </w:r>
                      <w:r>
                        <w:rPr>
                          <w:spacing w:val="-4"/>
                        </w:rPr>
                        <w:t> </w:t>
                      </w:r>
                      <w:r>
                        <w:rPr/>
                        <w:t>el</w:t>
                      </w:r>
                      <w:r>
                        <w:rPr>
                          <w:spacing w:val="-2"/>
                        </w:rPr>
                        <w:t> </w:t>
                      </w:r>
                      <w:r>
                        <w:rPr/>
                        <w:t>resultado</w:t>
                      </w:r>
                      <w:r>
                        <w:rPr>
                          <w:spacing w:val="-2"/>
                        </w:rPr>
                        <w:t> </w:t>
                      </w:r>
                      <w:r>
                        <w:rPr/>
                        <w:t>(ahorro</w:t>
                      </w:r>
                      <w:r>
                        <w:rPr>
                          <w:spacing w:val="-4"/>
                        </w:rPr>
                        <w:t> </w:t>
                      </w:r>
                      <w:r>
                        <w:rPr/>
                        <w:t>o</w:t>
                      </w:r>
                      <w:r>
                        <w:rPr>
                          <w:spacing w:val="-2"/>
                        </w:rPr>
                        <w:t> </w:t>
                      </w:r>
                      <w:r>
                        <w:rPr/>
                        <w:t>desahorro)</w:t>
                      </w:r>
                      <w:r>
                        <w:rPr>
                          <w:spacing w:val="-5"/>
                        </w:rPr>
                        <w:t> </w:t>
                      </w:r>
                      <w:r>
                        <w:rPr/>
                        <w:t>por</w:t>
                      </w:r>
                      <w:r>
                        <w:rPr>
                          <w:spacing w:val="-2"/>
                        </w:rPr>
                        <w:t> </w:t>
                      </w:r>
                      <w:r>
                        <w:rPr/>
                        <w:t>elementos</w:t>
                      </w:r>
                      <w:r>
                        <w:rPr>
                          <w:spacing w:val="-1"/>
                        </w:rPr>
                        <w:t> </w:t>
                      </w:r>
                      <w:r>
                        <w:rPr/>
                        <w:t>de</w:t>
                      </w:r>
                      <w:r>
                        <w:rPr>
                          <w:spacing w:val="-4"/>
                        </w:rPr>
                        <w:t> </w:t>
                      </w:r>
                      <w:r>
                        <w:rPr/>
                        <w:t>propiedades,</w:t>
                      </w:r>
                      <w:r>
                        <w:rPr>
                          <w:spacing w:val="-2"/>
                        </w:rPr>
                        <w:t> </w:t>
                      </w:r>
                      <w:r>
                        <w:rPr/>
                        <w:t>planta</w:t>
                      </w:r>
                      <w:r>
                        <w:rPr>
                          <w:spacing w:val="-2"/>
                        </w:rPr>
                        <w:t> </w:t>
                      </w:r>
                      <w:r>
                        <w:rPr/>
                        <w:t>y equipo cuyo valor se hubiera deteriorado, se hubieran perdido o se hubieran retirado.</w:t>
                      </w:r>
                    </w:p>
                    <w:p>
                      <w:pPr>
                        <w:pStyle w:val="BodyText"/>
                      </w:pPr>
                    </w:p>
                    <w:p>
                      <w:pPr>
                        <w:pStyle w:val="BodyText"/>
                        <w:ind w:left="103" w:right="151"/>
                        <w:jc w:val="both"/>
                      </w:pPr>
                      <w:r>
                        <w:rPr/>
                        <w:t>Los</w:t>
                      </w:r>
                      <w:r>
                        <w:rPr>
                          <w:spacing w:val="-8"/>
                        </w:rPr>
                        <w:t> </w:t>
                      </w:r>
                      <w:r>
                        <w:rPr/>
                        <w:t>gastos</w:t>
                      </w:r>
                      <w:r>
                        <w:rPr>
                          <w:spacing w:val="-6"/>
                        </w:rPr>
                        <w:t> </w:t>
                      </w:r>
                      <w:r>
                        <w:rPr/>
                        <w:t>por</w:t>
                      </w:r>
                      <w:r>
                        <w:rPr>
                          <w:spacing w:val="-7"/>
                        </w:rPr>
                        <w:t> </w:t>
                      </w:r>
                      <w:r>
                        <w:rPr/>
                        <w:t>depreciación</w:t>
                      </w:r>
                      <w:r>
                        <w:rPr>
                          <w:spacing w:val="-9"/>
                        </w:rPr>
                        <w:t> </w:t>
                      </w:r>
                      <w:r>
                        <w:rPr/>
                        <w:t>de</w:t>
                      </w:r>
                      <w:r>
                        <w:rPr>
                          <w:spacing w:val="-9"/>
                        </w:rPr>
                        <w:t> </w:t>
                      </w:r>
                      <w:r>
                        <w:rPr/>
                        <w:t>los</w:t>
                      </w:r>
                      <w:r>
                        <w:rPr>
                          <w:spacing w:val="-6"/>
                        </w:rPr>
                        <w:t> </w:t>
                      </w:r>
                      <w:r>
                        <w:rPr/>
                        <w:t>activos</w:t>
                      </w:r>
                      <w:r>
                        <w:rPr>
                          <w:spacing w:val="-6"/>
                        </w:rPr>
                        <w:t> </w:t>
                      </w:r>
                      <w:r>
                        <w:rPr/>
                        <w:t>se</w:t>
                      </w:r>
                      <w:r>
                        <w:rPr>
                          <w:spacing w:val="-8"/>
                        </w:rPr>
                        <w:t> </w:t>
                      </w:r>
                      <w:r>
                        <w:rPr/>
                        <w:t>calculan</w:t>
                      </w:r>
                      <w:r>
                        <w:rPr>
                          <w:spacing w:val="-7"/>
                        </w:rPr>
                        <w:t> </w:t>
                      </w:r>
                      <w:r>
                        <w:rPr/>
                        <w:t>por</w:t>
                      </w:r>
                      <w:r>
                        <w:rPr>
                          <w:spacing w:val="-7"/>
                        </w:rPr>
                        <w:t> </w:t>
                      </w:r>
                      <w:r>
                        <w:rPr/>
                        <w:t>el</w:t>
                      </w:r>
                      <w:r>
                        <w:rPr>
                          <w:spacing w:val="-8"/>
                        </w:rPr>
                        <w:t> </w:t>
                      </w:r>
                      <w:r>
                        <w:rPr/>
                        <w:t>método</w:t>
                      </w:r>
                      <w:r>
                        <w:rPr>
                          <w:spacing w:val="-7"/>
                        </w:rPr>
                        <w:t> </w:t>
                      </w:r>
                      <w:r>
                        <w:rPr/>
                        <w:t>de</w:t>
                      </w:r>
                      <w:r>
                        <w:rPr>
                          <w:spacing w:val="-9"/>
                        </w:rPr>
                        <w:t> </w:t>
                      </w:r>
                      <w:r>
                        <w:rPr/>
                        <w:t>línea</w:t>
                      </w:r>
                      <w:r>
                        <w:rPr>
                          <w:spacing w:val="-8"/>
                        </w:rPr>
                        <w:t> </w:t>
                      </w:r>
                      <w:r>
                        <w:rPr/>
                        <w:t>recta</w:t>
                      </w:r>
                      <w:r>
                        <w:rPr>
                          <w:spacing w:val="-8"/>
                        </w:rPr>
                        <w:t> </w:t>
                      </w:r>
                      <w:r>
                        <w:rPr/>
                        <w:t>con</w:t>
                      </w:r>
                      <w:r>
                        <w:rPr>
                          <w:spacing w:val="-7"/>
                        </w:rPr>
                        <w:t> </w:t>
                      </w:r>
                      <w:r>
                        <w:rPr/>
                        <w:t>base</w:t>
                      </w:r>
                      <w:r>
                        <w:rPr>
                          <w:spacing w:val="-8"/>
                        </w:rPr>
                        <w:t> </w:t>
                      </w:r>
                      <w:r>
                        <w:rPr/>
                        <w:t>en</w:t>
                      </w:r>
                      <w:r>
                        <w:rPr>
                          <w:spacing w:val="-7"/>
                        </w:rPr>
                        <w:t> </w:t>
                      </w:r>
                      <w:r>
                        <w:rPr/>
                        <w:t>la</w:t>
                      </w:r>
                      <w:r>
                        <w:rPr>
                          <w:spacing w:val="-8"/>
                        </w:rPr>
                        <w:t> </w:t>
                      </w:r>
                      <w:r>
                        <w:rPr/>
                        <w:t>vida útil estimada.</w:t>
                      </w:r>
                    </w:p>
                    <w:p>
                      <w:pPr>
                        <w:pStyle w:val="BodyText"/>
                        <w:spacing w:before="1"/>
                      </w:pPr>
                    </w:p>
                    <w:p>
                      <w:pPr>
                        <w:pStyle w:val="BodyText"/>
                        <w:ind w:left="103" w:right="101"/>
                        <w:jc w:val="both"/>
                      </w:pPr>
                      <w:r>
                        <w:rPr/>
                        <w:t>La</w:t>
                      </w:r>
                      <w:r>
                        <w:rPr>
                          <w:spacing w:val="-1"/>
                        </w:rPr>
                        <w:t> </w:t>
                      </w:r>
                      <w:r>
                        <w:rPr/>
                        <w:t>depreciación se</w:t>
                      </w:r>
                      <w:r>
                        <w:rPr>
                          <w:spacing w:val="-1"/>
                        </w:rPr>
                        <w:t> </w:t>
                      </w:r>
                      <w:r>
                        <w:rPr/>
                        <w:t>registra</w:t>
                      </w:r>
                      <w:r>
                        <w:rPr>
                          <w:spacing w:val="-2"/>
                        </w:rPr>
                        <w:t> </w:t>
                      </w:r>
                      <w:r>
                        <w:rPr/>
                        <w:t>en forma</w:t>
                      </w:r>
                      <w:r>
                        <w:rPr>
                          <w:spacing w:val="-2"/>
                        </w:rPr>
                        <w:t> </w:t>
                      </w:r>
                      <w:r>
                        <w:rPr/>
                        <w:t>genérica</w:t>
                      </w:r>
                      <w:r>
                        <w:rPr>
                          <w:spacing w:val="-1"/>
                        </w:rPr>
                        <w:t> </w:t>
                      </w:r>
                      <w:r>
                        <w:rPr/>
                        <w:t>a</w:t>
                      </w:r>
                      <w:r>
                        <w:rPr>
                          <w:spacing w:val="-1"/>
                        </w:rPr>
                        <w:t> </w:t>
                      </w:r>
                      <w:r>
                        <w:rPr/>
                        <w:t>la</w:t>
                      </w:r>
                      <w:r>
                        <w:rPr>
                          <w:spacing w:val="-1"/>
                        </w:rPr>
                        <w:t> </w:t>
                      </w:r>
                      <w:r>
                        <w:rPr/>
                        <w:t>tasa</w:t>
                      </w:r>
                      <w:r>
                        <w:rPr>
                          <w:spacing w:val="-2"/>
                        </w:rPr>
                        <w:t> </w:t>
                      </w:r>
                      <w:r>
                        <w:rPr/>
                        <w:t>necesaria</w:t>
                      </w:r>
                      <w:r>
                        <w:rPr>
                          <w:spacing w:val="-1"/>
                        </w:rPr>
                        <w:t> </w:t>
                      </w:r>
                      <w:r>
                        <w:rPr/>
                        <w:t>para</w:t>
                      </w:r>
                      <w:r>
                        <w:rPr>
                          <w:spacing w:val="-1"/>
                        </w:rPr>
                        <w:t> </w:t>
                      </w:r>
                      <w:r>
                        <w:rPr/>
                        <w:t>amortizar el</w:t>
                      </w:r>
                      <w:r>
                        <w:rPr>
                          <w:spacing w:val="-2"/>
                        </w:rPr>
                        <w:t> </w:t>
                      </w:r>
                      <w:r>
                        <w:rPr/>
                        <w:t>costo</w:t>
                      </w:r>
                      <w:r>
                        <w:rPr>
                          <w:spacing w:val="-2"/>
                        </w:rPr>
                        <w:t> </w:t>
                      </w:r>
                      <w:r>
                        <w:rPr/>
                        <w:t>según</w:t>
                      </w:r>
                      <w:r>
                        <w:rPr>
                          <w:spacing w:val="-2"/>
                        </w:rPr>
                        <w:t> </w:t>
                      </w:r>
                      <w:r>
                        <w:rPr/>
                        <w:t>su</w:t>
                      </w:r>
                      <w:r>
                        <w:rPr>
                          <w:spacing w:val="-2"/>
                        </w:rPr>
                        <w:t> </w:t>
                      </w:r>
                      <w:r>
                        <w:rPr/>
                        <w:t>vida útil</w:t>
                      </w:r>
                      <w:r>
                        <w:rPr>
                          <w:spacing w:val="-3"/>
                        </w:rPr>
                        <w:t> </w:t>
                      </w:r>
                      <w:r>
                        <w:rPr/>
                        <w:t>estimada</w:t>
                      </w:r>
                      <w:r>
                        <w:rPr>
                          <w:spacing w:val="-3"/>
                        </w:rPr>
                        <w:t> </w:t>
                      </w:r>
                      <w:r>
                        <w:rPr/>
                        <w:t>(50</w:t>
                      </w:r>
                      <w:r>
                        <w:rPr>
                          <w:spacing w:val="-3"/>
                        </w:rPr>
                        <w:t> </w:t>
                      </w:r>
                      <w:r>
                        <w:rPr/>
                        <w:t>años</w:t>
                      </w:r>
                      <w:r>
                        <w:rPr>
                          <w:spacing w:val="-4"/>
                        </w:rPr>
                        <w:t> </w:t>
                      </w:r>
                      <w:r>
                        <w:rPr/>
                        <w:t>para</w:t>
                      </w:r>
                      <w:r>
                        <w:rPr>
                          <w:spacing w:val="-5"/>
                        </w:rPr>
                        <w:t> </w:t>
                      </w:r>
                      <w:r>
                        <w:rPr/>
                        <w:t>edificios,</w:t>
                      </w:r>
                      <w:r>
                        <w:rPr>
                          <w:spacing w:val="-2"/>
                        </w:rPr>
                        <w:t> </w:t>
                      </w:r>
                      <w:r>
                        <w:rPr/>
                        <w:t>10</w:t>
                      </w:r>
                      <w:r>
                        <w:rPr>
                          <w:spacing w:val="-3"/>
                        </w:rPr>
                        <w:t> </w:t>
                      </w:r>
                      <w:r>
                        <w:rPr/>
                        <w:t>años</w:t>
                      </w:r>
                      <w:r>
                        <w:rPr>
                          <w:spacing w:val="-1"/>
                        </w:rPr>
                        <w:t> </w:t>
                      </w:r>
                      <w:r>
                        <w:rPr/>
                        <w:t>para</w:t>
                      </w:r>
                      <w:r>
                        <w:rPr>
                          <w:spacing w:val="-5"/>
                        </w:rPr>
                        <w:t> </w:t>
                      </w:r>
                      <w:r>
                        <w:rPr/>
                        <w:t>mobiliario</w:t>
                      </w:r>
                      <w:r>
                        <w:rPr>
                          <w:spacing w:val="-2"/>
                        </w:rPr>
                        <w:t> </w:t>
                      </w:r>
                      <w:r>
                        <w:rPr/>
                        <w:t>y</w:t>
                      </w:r>
                      <w:r>
                        <w:rPr>
                          <w:spacing w:val="-3"/>
                        </w:rPr>
                        <w:t> </w:t>
                      </w:r>
                      <w:r>
                        <w:rPr/>
                        <w:t>equipo</w:t>
                      </w:r>
                      <w:r>
                        <w:rPr>
                          <w:spacing w:val="-2"/>
                        </w:rPr>
                        <w:t> </w:t>
                      </w:r>
                      <w:r>
                        <w:rPr/>
                        <w:t>y</w:t>
                      </w:r>
                      <w:r>
                        <w:rPr>
                          <w:spacing w:val="-3"/>
                        </w:rPr>
                        <w:t> </w:t>
                      </w:r>
                      <w:r>
                        <w:rPr/>
                        <w:t>vehículos,</w:t>
                      </w:r>
                      <w:r>
                        <w:rPr>
                          <w:spacing w:val="-7"/>
                        </w:rPr>
                        <w:t> </w:t>
                      </w:r>
                      <w:r>
                        <w:rPr/>
                        <w:t>7</w:t>
                      </w:r>
                      <w:r>
                        <w:rPr>
                          <w:spacing w:val="-2"/>
                        </w:rPr>
                        <w:t> </w:t>
                      </w:r>
                      <w:r>
                        <w:rPr/>
                        <w:t>años</w:t>
                      </w:r>
                      <w:r>
                        <w:rPr>
                          <w:spacing w:val="-4"/>
                        </w:rPr>
                        <w:t> </w:t>
                      </w:r>
                      <w:r>
                        <w:rPr/>
                        <w:t>maquinaria y 5 años para equipo de cómputo). Los ajustes activos o por capitalización de costos se registran por la vida útil restante.</w:t>
                      </w:r>
                    </w:p>
                    <w:p>
                      <w:pPr>
                        <w:pStyle w:val="BodyText"/>
                        <w:spacing w:before="160"/>
                        <w:ind w:left="103" w:right="102"/>
                        <w:jc w:val="both"/>
                      </w:pPr>
                      <w:r>
                        <w:rPr/>
                        <w:t>Si bien la norma párrafo 77 establece la revisión del método de depreciación aplicado a un activo, como</w:t>
                      </w:r>
                      <w:r>
                        <w:rPr>
                          <w:spacing w:val="-2"/>
                        </w:rPr>
                        <w:t> </w:t>
                      </w:r>
                      <w:r>
                        <w:rPr/>
                        <w:t>mínimo, en</w:t>
                      </w:r>
                      <w:r>
                        <w:rPr>
                          <w:spacing w:val="-2"/>
                        </w:rPr>
                        <w:t> </w:t>
                      </w:r>
                      <w:r>
                        <w:rPr/>
                        <w:t>cada</w:t>
                      </w:r>
                      <w:r>
                        <w:rPr>
                          <w:spacing w:val="-1"/>
                        </w:rPr>
                        <w:t> </w:t>
                      </w:r>
                      <w:r>
                        <w:rPr/>
                        <w:t>fecha</w:t>
                      </w:r>
                      <w:r>
                        <w:rPr>
                          <w:spacing w:val="-1"/>
                        </w:rPr>
                        <w:t> </w:t>
                      </w:r>
                      <w:r>
                        <w:rPr/>
                        <w:t>de</w:t>
                      </w:r>
                      <w:r>
                        <w:rPr>
                          <w:spacing w:val="-2"/>
                        </w:rPr>
                        <w:t> </w:t>
                      </w:r>
                      <w:r>
                        <w:rPr/>
                        <w:t>presentación</w:t>
                      </w:r>
                      <w:r>
                        <w:rPr>
                          <w:spacing w:val="-2"/>
                        </w:rPr>
                        <w:t> </w:t>
                      </w:r>
                      <w:r>
                        <w:rPr/>
                        <w:t>anual</w:t>
                      </w:r>
                      <w:r>
                        <w:rPr>
                          <w:spacing w:val="-1"/>
                        </w:rPr>
                        <w:t> </w:t>
                      </w:r>
                      <w:r>
                        <w:rPr/>
                        <w:t>y,</w:t>
                      </w:r>
                      <w:r>
                        <w:rPr>
                          <w:spacing w:val="-2"/>
                        </w:rPr>
                        <w:t> </w:t>
                      </w:r>
                      <w:r>
                        <w:rPr/>
                        <w:t>si</w:t>
                      </w:r>
                      <w:r>
                        <w:rPr>
                          <w:spacing w:val="-3"/>
                        </w:rPr>
                        <w:t> </w:t>
                      </w:r>
                      <w:r>
                        <w:rPr/>
                        <w:t>hubiera</w:t>
                      </w:r>
                      <w:r>
                        <w:rPr>
                          <w:spacing w:val="-1"/>
                        </w:rPr>
                        <w:t> </w:t>
                      </w:r>
                      <w:r>
                        <w:rPr/>
                        <w:t>habido un</w:t>
                      </w:r>
                      <w:r>
                        <w:rPr>
                          <w:spacing w:val="-2"/>
                        </w:rPr>
                        <w:t> </w:t>
                      </w:r>
                      <w:r>
                        <w:rPr/>
                        <w:t>cambio</w:t>
                      </w:r>
                      <w:r>
                        <w:rPr>
                          <w:spacing w:val="-2"/>
                        </w:rPr>
                        <w:t> </w:t>
                      </w:r>
                      <w:r>
                        <w:rPr/>
                        <w:t>significativo</w:t>
                      </w:r>
                      <w:r>
                        <w:rPr>
                          <w:spacing w:val="-2"/>
                        </w:rPr>
                        <w:t> </w:t>
                      </w:r>
                      <w:r>
                        <w:rPr/>
                        <w:t>en el patrón esperado de consumo de los beneficios económicos o potencial de servicio futuros incorporados</w:t>
                      </w:r>
                      <w:r>
                        <w:rPr>
                          <w:spacing w:val="-6"/>
                        </w:rPr>
                        <w:t> </w:t>
                      </w:r>
                      <w:r>
                        <w:rPr/>
                        <w:t>al</w:t>
                      </w:r>
                      <w:r>
                        <w:rPr>
                          <w:spacing w:val="-8"/>
                        </w:rPr>
                        <w:t> </w:t>
                      </w:r>
                      <w:r>
                        <w:rPr/>
                        <w:t>activo,</w:t>
                      </w:r>
                      <w:r>
                        <w:rPr>
                          <w:spacing w:val="-9"/>
                        </w:rPr>
                        <w:t> </w:t>
                      </w:r>
                      <w:r>
                        <w:rPr/>
                        <w:t>se</w:t>
                      </w:r>
                      <w:r>
                        <w:rPr>
                          <w:spacing w:val="-8"/>
                        </w:rPr>
                        <w:t> </w:t>
                      </w:r>
                      <w:r>
                        <w:rPr/>
                        <w:t>cambiará</w:t>
                      </w:r>
                      <w:r>
                        <w:rPr>
                          <w:spacing w:val="-8"/>
                        </w:rPr>
                        <w:t> </w:t>
                      </w:r>
                      <w:r>
                        <w:rPr/>
                        <w:t>para</w:t>
                      </w:r>
                      <w:r>
                        <w:rPr>
                          <w:spacing w:val="-8"/>
                        </w:rPr>
                        <w:t> </w:t>
                      </w:r>
                      <w:r>
                        <w:rPr/>
                        <w:t>reflejar</w:t>
                      </w:r>
                      <w:r>
                        <w:rPr>
                          <w:spacing w:val="-7"/>
                        </w:rPr>
                        <w:t> </w:t>
                      </w:r>
                      <w:r>
                        <w:rPr/>
                        <w:t>el</w:t>
                      </w:r>
                      <w:r>
                        <w:rPr>
                          <w:spacing w:val="-8"/>
                        </w:rPr>
                        <w:t> </w:t>
                      </w:r>
                      <w:r>
                        <w:rPr/>
                        <w:t>nuevo</w:t>
                      </w:r>
                      <w:r>
                        <w:rPr>
                          <w:spacing w:val="-6"/>
                        </w:rPr>
                        <w:t> </w:t>
                      </w:r>
                      <w:r>
                        <w:rPr/>
                        <w:t>patrón.</w:t>
                      </w:r>
                      <w:r>
                        <w:rPr>
                          <w:spacing w:val="-8"/>
                        </w:rPr>
                        <w:t> </w:t>
                      </w:r>
                      <w:r>
                        <w:rPr/>
                        <w:t>Dicho</w:t>
                      </w:r>
                      <w:r>
                        <w:rPr>
                          <w:spacing w:val="-6"/>
                        </w:rPr>
                        <w:t> </w:t>
                      </w:r>
                      <w:r>
                        <w:rPr/>
                        <w:t>cambio</w:t>
                      </w:r>
                      <w:r>
                        <w:rPr>
                          <w:spacing w:val="-9"/>
                        </w:rPr>
                        <w:t> </w:t>
                      </w:r>
                      <w:r>
                        <w:rPr/>
                        <w:t>se</w:t>
                      </w:r>
                      <w:r>
                        <w:rPr>
                          <w:spacing w:val="-8"/>
                        </w:rPr>
                        <w:t> </w:t>
                      </w:r>
                      <w:r>
                        <w:rPr/>
                        <w:t>contabilizará</w:t>
                      </w:r>
                      <w:r>
                        <w:rPr>
                          <w:spacing w:val="-8"/>
                        </w:rPr>
                        <w:t> </w:t>
                      </w:r>
                      <w:r>
                        <w:rPr/>
                        <w:t>como un</w:t>
                      </w:r>
                      <w:r>
                        <w:rPr>
                          <w:spacing w:val="-14"/>
                        </w:rPr>
                        <w:t> </w:t>
                      </w:r>
                      <w:r>
                        <w:rPr/>
                        <w:t>cambio</w:t>
                      </w:r>
                      <w:r>
                        <w:rPr>
                          <w:spacing w:val="-12"/>
                        </w:rPr>
                        <w:t> </w:t>
                      </w:r>
                      <w:r>
                        <w:rPr/>
                        <w:t>en</w:t>
                      </w:r>
                      <w:r>
                        <w:rPr>
                          <w:spacing w:val="-12"/>
                        </w:rPr>
                        <w:t> </w:t>
                      </w:r>
                      <w:r>
                        <w:rPr/>
                        <w:t>una</w:t>
                      </w:r>
                      <w:r>
                        <w:rPr>
                          <w:spacing w:val="-14"/>
                        </w:rPr>
                        <w:t> </w:t>
                      </w:r>
                      <w:r>
                        <w:rPr/>
                        <w:t>estimación</w:t>
                      </w:r>
                      <w:r>
                        <w:rPr>
                          <w:spacing w:val="-12"/>
                        </w:rPr>
                        <w:t> </w:t>
                      </w:r>
                      <w:r>
                        <w:rPr/>
                        <w:t>contable,</w:t>
                      </w:r>
                      <w:r>
                        <w:rPr>
                          <w:spacing w:val="-12"/>
                        </w:rPr>
                        <w:t> </w:t>
                      </w:r>
                      <w:r>
                        <w:rPr/>
                        <w:t>de</w:t>
                      </w:r>
                      <w:r>
                        <w:rPr>
                          <w:spacing w:val="-13"/>
                        </w:rPr>
                        <w:t> </w:t>
                      </w:r>
                      <w:r>
                        <w:rPr/>
                        <w:t>acuerdo</w:t>
                      </w:r>
                      <w:r>
                        <w:rPr>
                          <w:spacing w:val="-11"/>
                        </w:rPr>
                        <w:t> </w:t>
                      </w:r>
                      <w:r>
                        <w:rPr/>
                        <w:t>con</w:t>
                      </w:r>
                      <w:r>
                        <w:rPr>
                          <w:spacing w:val="-14"/>
                        </w:rPr>
                        <w:t> </w:t>
                      </w:r>
                      <w:r>
                        <w:rPr/>
                        <w:t>la</w:t>
                      </w:r>
                      <w:r>
                        <w:rPr>
                          <w:spacing w:val="-12"/>
                        </w:rPr>
                        <w:t> </w:t>
                      </w:r>
                      <w:r>
                        <w:rPr/>
                        <w:t>NICSP</w:t>
                      </w:r>
                      <w:r>
                        <w:rPr>
                          <w:spacing w:val="-12"/>
                        </w:rPr>
                        <w:t> </w:t>
                      </w:r>
                      <w:r>
                        <w:rPr/>
                        <w:t>3.</w:t>
                      </w:r>
                      <w:r>
                        <w:rPr>
                          <w:spacing w:val="-14"/>
                        </w:rPr>
                        <w:t> </w:t>
                      </w:r>
                      <w:r>
                        <w:rPr/>
                        <w:t>La</w:t>
                      </w:r>
                      <w:r>
                        <w:rPr>
                          <w:spacing w:val="-14"/>
                        </w:rPr>
                        <w:t> </w:t>
                      </w:r>
                      <w:r>
                        <w:rPr/>
                        <w:t>política</w:t>
                      </w:r>
                      <w:r>
                        <w:rPr>
                          <w:spacing w:val="-12"/>
                        </w:rPr>
                        <w:t> </w:t>
                      </w:r>
                      <w:r>
                        <w:rPr/>
                        <w:t>contable</w:t>
                      </w:r>
                      <w:r>
                        <w:rPr>
                          <w:spacing w:val="-13"/>
                        </w:rPr>
                        <w:t> </w:t>
                      </w:r>
                      <w:r>
                        <w:rPr/>
                        <w:t>general</w:t>
                      </w:r>
                      <w:r>
                        <w:rPr>
                          <w:spacing w:val="-12"/>
                        </w:rPr>
                        <w:t> </w:t>
                      </w:r>
                      <w:r>
                        <w:rPr/>
                        <w:t>5.36.1 establece de carácter general la aplicación del método lineal de depreciación.</w:t>
                      </w:r>
                    </w:p>
                  </w:txbxContent>
                </v:textbox>
                <v:stroke dashstyle="solid"/>
                <w10:wrap type="topAndBottom"/>
              </v:shape>
            </w:pict>
          </mc:Fallback>
        </mc:AlternateContent>
      </w:r>
    </w:p>
    <w:p>
      <w:pPr>
        <w:pStyle w:val="BodyText"/>
        <w:spacing w:before="183"/>
      </w:pPr>
    </w:p>
    <w:p>
      <w:pPr>
        <w:pStyle w:val="ListParagraph"/>
        <w:numPr>
          <w:ilvl w:val="2"/>
          <w:numId w:val="57"/>
        </w:numPr>
        <w:tabs>
          <w:tab w:pos="1340" w:val="left" w:leader="none"/>
        </w:tabs>
        <w:spacing w:line="240" w:lineRule="auto" w:before="1" w:after="0"/>
        <w:ind w:left="1340" w:right="0" w:hanging="359"/>
        <w:jc w:val="left"/>
        <w:rPr>
          <w:sz w:val="22"/>
        </w:rPr>
      </w:pPr>
      <w:r>
        <w:rPr>
          <w:sz w:val="22"/>
          <w:u w:val="single"/>
        </w:rPr>
        <w:t>Valor</w:t>
      </w:r>
      <w:r>
        <w:rPr>
          <w:spacing w:val="-3"/>
          <w:sz w:val="22"/>
          <w:u w:val="single"/>
        </w:rPr>
        <w:t> </w:t>
      </w:r>
      <w:r>
        <w:rPr>
          <w:sz w:val="22"/>
          <w:u w:val="single"/>
        </w:rPr>
        <w:t>Residual</w:t>
      </w:r>
      <w:r>
        <w:rPr>
          <w:spacing w:val="-3"/>
          <w:sz w:val="22"/>
          <w:u w:val="single"/>
        </w:rPr>
        <w:t> </w:t>
      </w:r>
      <w:r>
        <w:rPr>
          <w:sz w:val="22"/>
          <w:u w:val="single"/>
        </w:rPr>
        <w:t>y</w:t>
      </w:r>
      <w:r>
        <w:rPr>
          <w:spacing w:val="-4"/>
          <w:sz w:val="22"/>
          <w:u w:val="single"/>
        </w:rPr>
        <w:t> </w:t>
      </w:r>
      <w:r>
        <w:rPr>
          <w:sz w:val="22"/>
          <w:u w:val="single"/>
        </w:rPr>
        <w:t>Vida</w:t>
      </w:r>
      <w:r>
        <w:rPr>
          <w:spacing w:val="-4"/>
          <w:sz w:val="22"/>
          <w:u w:val="single"/>
        </w:rPr>
        <w:t> </w:t>
      </w:r>
      <w:r>
        <w:rPr>
          <w:sz w:val="22"/>
          <w:u w:val="single"/>
        </w:rPr>
        <w:t>Útil</w:t>
      </w:r>
      <w:r>
        <w:rPr>
          <w:spacing w:val="-4"/>
          <w:sz w:val="22"/>
          <w:u w:val="single"/>
        </w:rPr>
        <w:t> </w:t>
      </w:r>
      <w:r>
        <w:rPr>
          <w:sz w:val="22"/>
          <w:u w:val="single"/>
        </w:rPr>
        <w:t>(Párrafo</w:t>
      </w:r>
      <w:r>
        <w:rPr>
          <w:spacing w:val="-1"/>
          <w:sz w:val="22"/>
          <w:u w:val="single"/>
        </w:rPr>
        <w:t> </w:t>
      </w:r>
      <w:r>
        <w:rPr>
          <w:sz w:val="22"/>
          <w:u w:val="single"/>
        </w:rPr>
        <w:t>67-</w:t>
      </w:r>
      <w:r>
        <w:rPr>
          <w:spacing w:val="-5"/>
          <w:sz w:val="22"/>
          <w:u w:val="single"/>
        </w:rPr>
        <w:t>88)</w:t>
      </w:r>
    </w:p>
    <w:p>
      <w:pPr>
        <w:pStyle w:val="BodyText"/>
        <w:spacing w:before="33"/>
        <w:rPr>
          <w:sz w:val="20"/>
        </w:rPr>
      </w:pPr>
      <w:r>
        <w:rPr>
          <w:sz w:val="20"/>
        </w:rPr>
        <mc:AlternateContent>
          <mc:Choice Requires="wps">
            <w:drawing>
              <wp:anchor distT="0" distB="0" distL="0" distR="0" allowOverlap="1" layoutInCell="1" locked="0" behindDoc="1" simplePos="0" relativeHeight="487772160">
                <wp:simplePos x="0" y="0"/>
                <wp:positionH relativeFrom="page">
                  <wp:posOffset>1080820</wp:posOffset>
                </wp:positionH>
                <wp:positionV relativeFrom="paragraph">
                  <wp:posOffset>184229</wp:posOffset>
                </wp:positionV>
                <wp:extent cx="5715000" cy="279400"/>
                <wp:effectExtent l="0" t="0" r="0" b="0"/>
                <wp:wrapTopAndBottom/>
                <wp:docPr id="902" name="Textbox 902"/>
                <wp:cNvGraphicFramePr>
                  <a:graphicFrameLocks/>
                </wp:cNvGraphicFramePr>
                <a:graphic>
                  <a:graphicData uri="http://schemas.microsoft.com/office/word/2010/wordprocessingShape">
                    <wps:wsp>
                      <wps:cNvPr id="902" name="Textbox 902"/>
                      <wps:cNvSpPr txBox="1"/>
                      <wps:spPr>
                        <a:xfrm>
                          <a:off x="0" y="0"/>
                          <a:ext cx="5715000" cy="27940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txbxContent>
                      </wps:txbx>
                      <wps:bodyPr wrap="square" lIns="0" tIns="0" rIns="0" bIns="0" rtlCol="0">
                        <a:noAutofit/>
                      </wps:bodyPr>
                    </wps:wsp>
                  </a:graphicData>
                </a:graphic>
              </wp:anchor>
            </w:drawing>
          </mc:Choice>
          <mc:Fallback>
            <w:pict>
              <v:shape style="position:absolute;margin-left:85.103996pt;margin-top:14.50625pt;width:450pt;height:22pt;mso-position-horizontal-relative:page;mso-position-vertical-relative:paragraph;z-index:-15544320;mso-wrap-distance-left:0;mso-wrap-distance-right:0" type="#_x0000_t202" id="docshape87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1616">
                <wp:simplePos x="0" y="0"/>
                <wp:positionH relativeFrom="page">
                  <wp:posOffset>9525</wp:posOffset>
                </wp:positionH>
                <wp:positionV relativeFrom="page">
                  <wp:posOffset>297208</wp:posOffset>
                </wp:positionV>
                <wp:extent cx="7762875" cy="9748520"/>
                <wp:effectExtent l="0" t="0" r="0" b="0"/>
                <wp:wrapNone/>
                <wp:docPr id="903" name="Group 903"/>
                <wp:cNvGraphicFramePr>
                  <a:graphicFrameLocks/>
                </wp:cNvGraphicFramePr>
                <a:graphic>
                  <a:graphicData uri="http://schemas.microsoft.com/office/word/2010/wordprocessingGroup">
                    <wpg:wgp>
                      <wpg:cNvPr id="903" name="Group 903"/>
                      <wpg:cNvGrpSpPr/>
                      <wpg:grpSpPr>
                        <a:xfrm>
                          <a:off x="0" y="0"/>
                          <a:ext cx="7762875" cy="9748520"/>
                          <a:chExt cx="7762875" cy="9748520"/>
                        </a:xfrm>
                      </wpg:grpSpPr>
                      <pic:pic>
                        <pic:nvPicPr>
                          <pic:cNvPr id="904" name="Image 904"/>
                          <pic:cNvPicPr/>
                        </pic:nvPicPr>
                        <pic:blipFill>
                          <a:blip r:embed="rId5" cstate="print"/>
                          <a:stretch>
                            <a:fillRect/>
                          </a:stretch>
                        </pic:blipFill>
                        <pic:spPr>
                          <a:xfrm>
                            <a:off x="0" y="0"/>
                            <a:ext cx="7762874" cy="9748489"/>
                          </a:xfrm>
                          <a:prstGeom prst="rect">
                            <a:avLst/>
                          </a:prstGeom>
                        </pic:spPr>
                      </pic:pic>
                      <wps:wsp>
                        <wps:cNvPr id="905" name="Graphic 90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4864" id="docshapegroup878" coordorigin="15,468" coordsize="12225,15352">
                <v:shape style="position:absolute;left:15;top:468;width:12225;height:15352" type="#_x0000_t75" id="docshape879" stroked="false">
                  <v:imagedata r:id="rId5" o:title=""/>
                </v:shape>
                <v:rect style="position:absolute;left:1673;top:2028;width:8897;height:15" id="docshape88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182</w:t>
      </w:r>
    </w:p>
    <w:p>
      <w:pPr>
        <w:pStyle w:val="BodyText"/>
        <w:spacing w:before="10"/>
        <w:rPr>
          <w:sz w:val="16"/>
        </w:rPr>
      </w:pPr>
      <w:r>
        <w:rPr>
          <w:sz w:val="16"/>
        </w:rPr>
        <mc:AlternateContent>
          <mc:Choice Requires="wps">
            <w:drawing>
              <wp:anchor distT="0" distB="0" distL="0" distR="0" allowOverlap="1" layoutInCell="1" locked="0" behindDoc="1" simplePos="0" relativeHeight="487773184">
                <wp:simplePos x="0" y="0"/>
                <wp:positionH relativeFrom="page">
                  <wp:posOffset>1080820</wp:posOffset>
                </wp:positionH>
                <wp:positionV relativeFrom="paragraph">
                  <wp:posOffset>141144</wp:posOffset>
                </wp:positionV>
                <wp:extent cx="5715000" cy="841375"/>
                <wp:effectExtent l="0" t="0" r="0" b="0"/>
                <wp:wrapTopAndBottom/>
                <wp:docPr id="906" name="Textbox 906"/>
                <wp:cNvGraphicFramePr>
                  <a:graphicFrameLocks/>
                </wp:cNvGraphicFramePr>
                <a:graphic>
                  <a:graphicData uri="http://schemas.microsoft.com/office/word/2010/wordprocessingShape">
                    <wps:wsp>
                      <wps:cNvPr id="906" name="Textbox 906"/>
                      <wps:cNvSpPr txBox="1"/>
                      <wps:spPr>
                        <a:xfrm>
                          <a:off x="0" y="0"/>
                          <a:ext cx="5715000" cy="841375"/>
                        </a:xfrm>
                        <a:prstGeom prst="rect">
                          <a:avLst/>
                        </a:prstGeom>
                        <a:ln w="6095">
                          <a:solidFill>
                            <a:srgbClr val="000000"/>
                          </a:solidFill>
                          <a:prstDash val="solid"/>
                        </a:ln>
                      </wps:spPr>
                      <wps:txbx>
                        <w:txbxContent>
                          <w:p>
                            <w:pPr>
                              <w:pStyle w:val="BodyText"/>
                              <w:spacing w:line="259" w:lineRule="auto"/>
                              <w:ind w:left="103"/>
                            </w:pPr>
                            <w:r>
                              <w:rPr/>
                              <w:t>Los</w:t>
                            </w:r>
                            <w:r>
                              <w:rPr>
                                <w:spacing w:val="-14"/>
                              </w:rPr>
                              <w:t> </w:t>
                            </w:r>
                            <w:r>
                              <w:rPr/>
                              <w:t>activos</w:t>
                            </w:r>
                            <w:r>
                              <w:rPr>
                                <w:spacing w:val="-14"/>
                              </w:rPr>
                              <w:t> </w:t>
                            </w:r>
                            <w:r>
                              <w:rPr/>
                              <w:t>propiedad,</w:t>
                            </w:r>
                            <w:r>
                              <w:rPr>
                                <w:spacing w:val="-14"/>
                              </w:rPr>
                              <w:t> </w:t>
                            </w:r>
                            <w:r>
                              <w:rPr/>
                              <w:t>planta</w:t>
                            </w:r>
                            <w:r>
                              <w:rPr>
                                <w:spacing w:val="-13"/>
                              </w:rPr>
                              <w:t> </w:t>
                            </w:r>
                            <w:r>
                              <w:rPr/>
                              <w:t>y</w:t>
                            </w:r>
                            <w:r>
                              <w:rPr>
                                <w:spacing w:val="-14"/>
                              </w:rPr>
                              <w:t> </w:t>
                            </w:r>
                            <w:r>
                              <w:rPr/>
                              <w:t>equipo</w:t>
                            </w:r>
                            <w:r>
                              <w:rPr>
                                <w:spacing w:val="-13"/>
                              </w:rPr>
                              <w:t> </w:t>
                            </w:r>
                            <w:r>
                              <w:rPr/>
                              <w:t>cuentan</w:t>
                            </w:r>
                            <w:r>
                              <w:rPr>
                                <w:spacing w:val="-14"/>
                              </w:rPr>
                              <w:t> </w:t>
                            </w:r>
                            <w:r>
                              <w:rPr/>
                              <w:t>con</w:t>
                            </w:r>
                            <w:r>
                              <w:rPr>
                                <w:spacing w:val="-13"/>
                              </w:rPr>
                              <w:t> </w:t>
                            </w:r>
                            <w:r>
                              <w:rPr/>
                              <w:t>valor</w:t>
                            </w:r>
                            <w:r>
                              <w:rPr>
                                <w:spacing w:val="-14"/>
                              </w:rPr>
                              <w:t> </w:t>
                            </w:r>
                            <w:r>
                              <w:rPr/>
                              <w:t>residual</w:t>
                            </w:r>
                            <w:r>
                              <w:rPr>
                                <w:spacing w:val="-14"/>
                              </w:rPr>
                              <w:t> </w:t>
                            </w:r>
                            <w:r>
                              <w:rPr/>
                              <w:t>de</w:t>
                            </w:r>
                            <w:r>
                              <w:rPr>
                                <w:spacing w:val="-14"/>
                              </w:rPr>
                              <w:t> </w:t>
                            </w:r>
                            <w:r>
                              <w:rPr/>
                              <w:t>¢</w:t>
                            </w:r>
                            <w:r>
                              <w:rPr>
                                <w:spacing w:val="-12"/>
                              </w:rPr>
                              <w:t> </w:t>
                            </w:r>
                            <w:r>
                              <w:rPr/>
                              <w:t>500,</w:t>
                            </w:r>
                            <w:r>
                              <w:rPr>
                                <w:spacing w:val="-14"/>
                              </w:rPr>
                              <w:t> </w:t>
                            </w:r>
                            <w:r>
                              <w:rPr/>
                              <w:t>a</w:t>
                            </w:r>
                            <w:r>
                              <w:rPr>
                                <w:spacing w:val="-11"/>
                              </w:rPr>
                              <w:t> </w:t>
                            </w:r>
                            <w:r>
                              <w:rPr/>
                              <w:t>excepción</w:t>
                            </w:r>
                            <w:r>
                              <w:rPr>
                                <w:spacing w:val="-14"/>
                              </w:rPr>
                              <w:t> </w:t>
                            </w:r>
                            <w:r>
                              <w:rPr/>
                              <w:t>de</w:t>
                            </w:r>
                            <w:r>
                              <w:rPr>
                                <w:spacing w:val="-14"/>
                              </w:rPr>
                              <w:t> </w:t>
                            </w:r>
                            <w:r>
                              <w:rPr/>
                              <w:t>los</w:t>
                            </w:r>
                            <w:r>
                              <w:rPr>
                                <w:spacing w:val="-12"/>
                              </w:rPr>
                              <w:t> </w:t>
                            </w:r>
                            <w:r>
                              <w:rPr/>
                              <w:t>terrenos que no se deprecian.</w:t>
                            </w:r>
                          </w:p>
                          <w:p>
                            <w:pPr>
                              <w:pStyle w:val="BodyText"/>
                              <w:spacing w:before="18"/>
                            </w:pPr>
                          </w:p>
                          <w:p>
                            <w:pPr>
                              <w:pStyle w:val="BodyText"/>
                              <w:ind w:left="103"/>
                            </w:pPr>
                            <w:r>
                              <w:rPr/>
                              <w:t>No</w:t>
                            </w:r>
                            <w:r>
                              <w:rPr>
                                <w:spacing w:val="-3"/>
                              </w:rPr>
                              <w:t> </w:t>
                            </w:r>
                            <w:r>
                              <w:rPr/>
                              <w:t>se</w:t>
                            </w:r>
                            <w:r>
                              <w:rPr>
                                <w:spacing w:val="-3"/>
                              </w:rPr>
                              <w:t> </w:t>
                            </w:r>
                            <w:r>
                              <w:rPr/>
                              <w:t>han</w:t>
                            </w:r>
                            <w:r>
                              <w:rPr>
                                <w:spacing w:val="-3"/>
                              </w:rPr>
                              <w:t> </w:t>
                            </w:r>
                            <w:r>
                              <w:rPr/>
                              <w:t>realizado</w:t>
                            </w:r>
                            <w:r>
                              <w:rPr>
                                <w:spacing w:val="-3"/>
                              </w:rPr>
                              <w:t> </w:t>
                            </w:r>
                            <w:r>
                              <w:rPr/>
                              <w:t>cambios</w:t>
                            </w:r>
                            <w:r>
                              <w:rPr>
                                <w:spacing w:val="-2"/>
                              </w:rPr>
                              <w:t> </w:t>
                            </w:r>
                            <w:r>
                              <w:rPr/>
                              <w:t>en</w:t>
                            </w:r>
                            <w:r>
                              <w:rPr>
                                <w:spacing w:val="-3"/>
                              </w:rPr>
                              <w:t> </w:t>
                            </w:r>
                            <w:r>
                              <w:rPr/>
                              <w:t>la</w:t>
                            </w:r>
                            <w:r>
                              <w:rPr>
                                <w:spacing w:val="-3"/>
                              </w:rPr>
                              <w:t> </w:t>
                            </w:r>
                            <w:r>
                              <w:rPr/>
                              <w:t>estimación</w:t>
                            </w:r>
                            <w:r>
                              <w:rPr>
                                <w:spacing w:val="-3"/>
                              </w:rPr>
                              <w:t> </w:t>
                            </w:r>
                            <w:r>
                              <w:rPr/>
                              <w:t>contable</w:t>
                            </w:r>
                            <w:r>
                              <w:rPr>
                                <w:spacing w:val="-3"/>
                              </w:rPr>
                              <w:t> </w:t>
                            </w:r>
                            <w:r>
                              <w:rPr/>
                              <w:t>de</w:t>
                            </w:r>
                            <w:r>
                              <w:rPr>
                                <w:spacing w:val="-4"/>
                              </w:rPr>
                              <w:t> </w:t>
                            </w:r>
                            <w:r>
                              <w:rPr/>
                              <w:t>los</w:t>
                            </w:r>
                            <w:r>
                              <w:rPr>
                                <w:spacing w:val="-2"/>
                              </w:rPr>
                              <w:t> </w:t>
                            </w:r>
                            <w:r>
                              <w:rPr/>
                              <w:t>activos</w:t>
                            </w:r>
                            <w:r>
                              <w:rPr>
                                <w:spacing w:val="-2"/>
                              </w:rPr>
                              <w:t> </w:t>
                            </w:r>
                            <w:r>
                              <w:rPr/>
                              <w:t>que</w:t>
                            </w:r>
                            <w:r>
                              <w:rPr>
                                <w:spacing w:val="-4"/>
                              </w:rPr>
                              <w:t> </w:t>
                            </w:r>
                            <w:r>
                              <w:rPr/>
                              <w:t>tenga</w:t>
                            </w:r>
                            <w:r>
                              <w:rPr>
                                <w:spacing w:val="-3"/>
                              </w:rPr>
                              <w:t> </w:t>
                            </w:r>
                            <w:r>
                              <w:rPr/>
                              <w:t>una</w:t>
                            </w:r>
                            <w:r>
                              <w:rPr>
                                <w:spacing w:val="-6"/>
                              </w:rPr>
                              <w:t> </w:t>
                            </w:r>
                            <w:r>
                              <w:rPr/>
                              <w:t>incidencia significativa en el periodo actual o que vaya a tenerla en periodos siguientes.</w:t>
                            </w:r>
                          </w:p>
                        </w:txbxContent>
                      </wps:txbx>
                      <wps:bodyPr wrap="square" lIns="0" tIns="0" rIns="0" bIns="0" rtlCol="0">
                        <a:noAutofit/>
                      </wps:bodyPr>
                    </wps:wsp>
                  </a:graphicData>
                </a:graphic>
              </wp:anchor>
            </w:drawing>
          </mc:Choice>
          <mc:Fallback>
            <w:pict>
              <v:shape style="position:absolute;margin-left:85.103996pt;margin-top:11.11375pt;width:450pt;height:66.25pt;mso-position-horizontal-relative:page;mso-position-vertical-relative:paragraph;z-index:-15543296;mso-wrap-distance-left:0;mso-wrap-distance-right:0" type="#_x0000_t202" id="docshape881" filled="false" stroked="true" strokeweight=".47998pt" strokecolor="#000000">
                <v:textbox inset="0,0,0,0">
                  <w:txbxContent>
                    <w:p>
                      <w:pPr>
                        <w:pStyle w:val="BodyText"/>
                        <w:spacing w:line="259" w:lineRule="auto"/>
                        <w:ind w:left="103"/>
                      </w:pPr>
                      <w:r>
                        <w:rPr/>
                        <w:t>Los</w:t>
                      </w:r>
                      <w:r>
                        <w:rPr>
                          <w:spacing w:val="-14"/>
                        </w:rPr>
                        <w:t> </w:t>
                      </w:r>
                      <w:r>
                        <w:rPr/>
                        <w:t>activos</w:t>
                      </w:r>
                      <w:r>
                        <w:rPr>
                          <w:spacing w:val="-14"/>
                        </w:rPr>
                        <w:t> </w:t>
                      </w:r>
                      <w:r>
                        <w:rPr/>
                        <w:t>propiedad,</w:t>
                      </w:r>
                      <w:r>
                        <w:rPr>
                          <w:spacing w:val="-14"/>
                        </w:rPr>
                        <w:t> </w:t>
                      </w:r>
                      <w:r>
                        <w:rPr/>
                        <w:t>planta</w:t>
                      </w:r>
                      <w:r>
                        <w:rPr>
                          <w:spacing w:val="-13"/>
                        </w:rPr>
                        <w:t> </w:t>
                      </w:r>
                      <w:r>
                        <w:rPr/>
                        <w:t>y</w:t>
                      </w:r>
                      <w:r>
                        <w:rPr>
                          <w:spacing w:val="-14"/>
                        </w:rPr>
                        <w:t> </w:t>
                      </w:r>
                      <w:r>
                        <w:rPr/>
                        <w:t>equipo</w:t>
                      </w:r>
                      <w:r>
                        <w:rPr>
                          <w:spacing w:val="-13"/>
                        </w:rPr>
                        <w:t> </w:t>
                      </w:r>
                      <w:r>
                        <w:rPr/>
                        <w:t>cuentan</w:t>
                      </w:r>
                      <w:r>
                        <w:rPr>
                          <w:spacing w:val="-14"/>
                        </w:rPr>
                        <w:t> </w:t>
                      </w:r>
                      <w:r>
                        <w:rPr/>
                        <w:t>con</w:t>
                      </w:r>
                      <w:r>
                        <w:rPr>
                          <w:spacing w:val="-13"/>
                        </w:rPr>
                        <w:t> </w:t>
                      </w:r>
                      <w:r>
                        <w:rPr/>
                        <w:t>valor</w:t>
                      </w:r>
                      <w:r>
                        <w:rPr>
                          <w:spacing w:val="-14"/>
                        </w:rPr>
                        <w:t> </w:t>
                      </w:r>
                      <w:r>
                        <w:rPr/>
                        <w:t>residual</w:t>
                      </w:r>
                      <w:r>
                        <w:rPr>
                          <w:spacing w:val="-14"/>
                        </w:rPr>
                        <w:t> </w:t>
                      </w:r>
                      <w:r>
                        <w:rPr/>
                        <w:t>de</w:t>
                      </w:r>
                      <w:r>
                        <w:rPr>
                          <w:spacing w:val="-14"/>
                        </w:rPr>
                        <w:t> </w:t>
                      </w:r>
                      <w:r>
                        <w:rPr/>
                        <w:t>¢</w:t>
                      </w:r>
                      <w:r>
                        <w:rPr>
                          <w:spacing w:val="-12"/>
                        </w:rPr>
                        <w:t> </w:t>
                      </w:r>
                      <w:r>
                        <w:rPr/>
                        <w:t>500,</w:t>
                      </w:r>
                      <w:r>
                        <w:rPr>
                          <w:spacing w:val="-14"/>
                        </w:rPr>
                        <w:t> </w:t>
                      </w:r>
                      <w:r>
                        <w:rPr/>
                        <w:t>a</w:t>
                      </w:r>
                      <w:r>
                        <w:rPr>
                          <w:spacing w:val="-11"/>
                        </w:rPr>
                        <w:t> </w:t>
                      </w:r>
                      <w:r>
                        <w:rPr/>
                        <w:t>excepción</w:t>
                      </w:r>
                      <w:r>
                        <w:rPr>
                          <w:spacing w:val="-14"/>
                        </w:rPr>
                        <w:t> </w:t>
                      </w:r>
                      <w:r>
                        <w:rPr/>
                        <w:t>de</w:t>
                      </w:r>
                      <w:r>
                        <w:rPr>
                          <w:spacing w:val="-14"/>
                        </w:rPr>
                        <w:t> </w:t>
                      </w:r>
                      <w:r>
                        <w:rPr/>
                        <w:t>los</w:t>
                      </w:r>
                      <w:r>
                        <w:rPr>
                          <w:spacing w:val="-12"/>
                        </w:rPr>
                        <w:t> </w:t>
                      </w:r>
                      <w:r>
                        <w:rPr/>
                        <w:t>terrenos que no se deprecian.</w:t>
                      </w:r>
                    </w:p>
                    <w:p>
                      <w:pPr>
                        <w:pStyle w:val="BodyText"/>
                        <w:spacing w:before="18"/>
                      </w:pPr>
                    </w:p>
                    <w:p>
                      <w:pPr>
                        <w:pStyle w:val="BodyText"/>
                        <w:ind w:left="103"/>
                      </w:pPr>
                      <w:r>
                        <w:rPr/>
                        <w:t>No</w:t>
                      </w:r>
                      <w:r>
                        <w:rPr>
                          <w:spacing w:val="-3"/>
                        </w:rPr>
                        <w:t> </w:t>
                      </w:r>
                      <w:r>
                        <w:rPr/>
                        <w:t>se</w:t>
                      </w:r>
                      <w:r>
                        <w:rPr>
                          <w:spacing w:val="-3"/>
                        </w:rPr>
                        <w:t> </w:t>
                      </w:r>
                      <w:r>
                        <w:rPr/>
                        <w:t>han</w:t>
                      </w:r>
                      <w:r>
                        <w:rPr>
                          <w:spacing w:val="-3"/>
                        </w:rPr>
                        <w:t> </w:t>
                      </w:r>
                      <w:r>
                        <w:rPr/>
                        <w:t>realizado</w:t>
                      </w:r>
                      <w:r>
                        <w:rPr>
                          <w:spacing w:val="-3"/>
                        </w:rPr>
                        <w:t> </w:t>
                      </w:r>
                      <w:r>
                        <w:rPr/>
                        <w:t>cambios</w:t>
                      </w:r>
                      <w:r>
                        <w:rPr>
                          <w:spacing w:val="-2"/>
                        </w:rPr>
                        <w:t> </w:t>
                      </w:r>
                      <w:r>
                        <w:rPr/>
                        <w:t>en</w:t>
                      </w:r>
                      <w:r>
                        <w:rPr>
                          <w:spacing w:val="-3"/>
                        </w:rPr>
                        <w:t> </w:t>
                      </w:r>
                      <w:r>
                        <w:rPr/>
                        <w:t>la</w:t>
                      </w:r>
                      <w:r>
                        <w:rPr>
                          <w:spacing w:val="-3"/>
                        </w:rPr>
                        <w:t> </w:t>
                      </w:r>
                      <w:r>
                        <w:rPr/>
                        <w:t>estimación</w:t>
                      </w:r>
                      <w:r>
                        <w:rPr>
                          <w:spacing w:val="-3"/>
                        </w:rPr>
                        <w:t> </w:t>
                      </w:r>
                      <w:r>
                        <w:rPr/>
                        <w:t>contable</w:t>
                      </w:r>
                      <w:r>
                        <w:rPr>
                          <w:spacing w:val="-3"/>
                        </w:rPr>
                        <w:t> </w:t>
                      </w:r>
                      <w:r>
                        <w:rPr/>
                        <w:t>de</w:t>
                      </w:r>
                      <w:r>
                        <w:rPr>
                          <w:spacing w:val="-4"/>
                        </w:rPr>
                        <w:t> </w:t>
                      </w:r>
                      <w:r>
                        <w:rPr/>
                        <w:t>los</w:t>
                      </w:r>
                      <w:r>
                        <w:rPr>
                          <w:spacing w:val="-2"/>
                        </w:rPr>
                        <w:t> </w:t>
                      </w:r>
                      <w:r>
                        <w:rPr/>
                        <w:t>activos</w:t>
                      </w:r>
                      <w:r>
                        <w:rPr>
                          <w:spacing w:val="-2"/>
                        </w:rPr>
                        <w:t> </w:t>
                      </w:r>
                      <w:r>
                        <w:rPr/>
                        <w:t>que</w:t>
                      </w:r>
                      <w:r>
                        <w:rPr>
                          <w:spacing w:val="-4"/>
                        </w:rPr>
                        <w:t> </w:t>
                      </w:r>
                      <w:r>
                        <w:rPr/>
                        <w:t>tenga</w:t>
                      </w:r>
                      <w:r>
                        <w:rPr>
                          <w:spacing w:val="-3"/>
                        </w:rPr>
                        <w:t> </w:t>
                      </w:r>
                      <w:r>
                        <w:rPr/>
                        <w:t>una</w:t>
                      </w:r>
                      <w:r>
                        <w:rPr>
                          <w:spacing w:val="-6"/>
                        </w:rPr>
                        <w:t> </w:t>
                      </w:r>
                      <w:r>
                        <w:rPr/>
                        <w:t>incidencia significativa en el periodo actual o que vaya a tenerla en periodos siguientes.</w:t>
                      </w:r>
                    </w:p>
                  </w:txbxContent>
                </v:textbox>
                <v:stroke dashstyle="solid"/>
                <w10:wrap type="topAndBottom"/>
              </v:shape>
            </w:pict>
          </mc:Fallback>
        </mc:AlternateContent>
      </w:r>
    </w:p>
    <w:p>
      <w:pPr>
        <w:pStyle w:val="BodyText"/>
        <w:spacing w:before="6"/>
      </w:pPr>
    </w:p>
    <w:p>
      <w:pPr>
        <w:pStyle w:val="ListParagraph"/>
        <w:numPr>
          <w:ilvl w:val="2"/>
          <w:numId w:val="57"/>
        </w:numPr>
        <w:tabs>
          <w:tab w:pos="1340" w:val="left" w:leader="none"/>
        </w:tabs>
        <w:spacing w:line="240" w:lineRule="auto" w:before="0" w:after="0"/>
        <w:ind w:left="1340" w:right="0" w:hanging="359"/>
        <w:jc w:val="left"/>
        <w:rPr>
          <w:sz w:val="22"/>
        </w:rPr>
      </w:pPr>
      <w:r>
        <w:rPr>
          <w:sz w:val="22"/>
          <w:u w:val="single"/>
        </w:rPr>
        <w:t>Clases</w:t>
      </w:r>
      <w:r>
        <w:rPr>
          <w:spacing w:val="-4"/>
          <w:sz w:val="22"/>
          <w:u w:val="single"/>
        </w:rPr>
        <w:t> </w:t>
      </w:r>
      <w:r>
        <w:rPr>
          <w:sz w:val="22"/>
          <w:u w:val="single"/>
        </w:rPr>
        <w:t>de</w:t>
      </w:r>
      <w:r>
        <w:rPr>
          <w:spacing w:val="-3"/>
          <w:sz w:val="22"/>
          <w:u w:val="single"/>
        </w:rPr>
        <w:t> </w:t>
      </w:r>
      <w:r>
        <w:rPr>
          <w:sz w:val="22"/>
          <w:u w:val="single"/>
        </w:rPr>
        <w:t>Activos</w:t>
      </w:r>
      <w:r>
        <w:rPr>
          <w:spacing w:val="-3"/>
          <w:sz w:val="22"/>
          <w:u w:val="single"/>
        </w:rPr>
        <w:t> </w:t>
      </w:r>
      <w:r>
        <w:rPr>
          <w:sz w:val="22"/>
          <w:u w:val="single"/>
        </w:rPr>
        <w:t>(Párrafo</w:t>
      </w:r>
      <w:r>
        <w:rPr>
          <w:spacing w:val="-3"/>
          <w:sz w:val="22"/>
          <w:u w:val="single"/>
        </w:rPr>
        <w:t> </w:t>
      </w:r>
      <w:r>
        <w:rPr>
          <w:spacing w:val="-5"/>
          <w:sz w:val="22"/>
          <w:u w:val="single"/>
        </w:rPr>
        <w:t>88)</w:t>
      </w:r>
    </w:p>
    <w:p>
      <w:pPr>
        <w:pStyle w:val="BodyText"/>
        <w:spacing w:before="31"/>
        <w:rPr>
          <w:sz w:val="20"/>
        </w:rPr>
      </w:pPr>
      <w:r>
        <w:rPr>
          <w:sz w:val="20"/>
        </w:rPr>
        <mc:AlternateContent>
          <mc:Choice Requires="wps">
            <w:drawing>
              <wp:anchor distT="0" distB="0" distL="0" distR="0" allowOverlap="1" layoutInCell="1" locked="0" behindDoc="1" simplePos="0" relativeHeight="487773696">
                <wp:simplePos x="0" y="0"/>
                <wp:positionH relativeFrom="page">
                  <wp:posOffset>1080820</wp:posOffset>
                </wp:positionH>
                <wp:positionV relativeFrom="paragraph">
                  <wp:posOffset>183467</wp:posOffset>
                </wp:positionV>
                <wp:extent cx="5715000" cy="2581275"/>
                <wp:effectExtent l="0" t="0" r="0" b="0"/>
                <wp:wrapTopAndBottom/>
                <wp:docPr id="907" name="Textbox 907"/>
                <wp:cNvGraphicFramePr>
                  <a:graphicFrameLocks/>
                </wp:cNvGraphicFramePr>
                <a:graphic>
                  <a:graphicData uri="http://schemas.microsoft.com/office/word/2010/wordprocessingShape">
                    <wps:wsp>
                      <wps:cNvPr id="907" name="Textbox 907"/>
                      <wps:cNvSpPr txBox="1"/>
                      <wps:spPr>
                        <a:xfrm>
                          <a:off x="0" y="0"/>
                          <a:ext cx="5715000" cy="258127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Los</w:t>
                            </w:r>
                            <w:r>
                              <w:rPr>
                                <w:spacing w:val="-4"/>
                              </w:rPr>
                              <w:t> </w:t>
                            </w:r>
                            <w:r>
                              <w:rPr/>
                              <w:t>activos</w:t>
                            </w:r>
                            <w:r>
                              <w:rPr>
                                <w:spacing w:val="-4"/>
                              </w:rPr>
                              <w:t> </w:t>
                            </w:r>
                            <w:r>
                              <w:rPr/>
                              <w:t>contemplados</w:t>
                            </w:r>
                            <w:r>
                              <w:rPr>
                                <w:spacing w:val="-3"/>
                              </w:rPr>
                              <w:t> </w:t>
                            </w:r>
                            <w:r>
                              <w:rPr/>
                              <w:t>como</w:t>
                            </w:r>
                            <w:r>
                              <w:rPr>
                                <w:spacing w:val="-4"/>
                              </w:rPr>
                              <w:t> </w:t>
                            </w:r>
                            <w:r>
                              <w:rPr/>
                              <w:t>propiedades,</w:t>
                            </w:r>
                            <w:r>
                              <w:rPr>
                                <w:spacing w:val="-5"/>
                              </w:rPr>
                              <w:t> </w:t>
                            </w:r>
                            <w:r>
                              <w:rPr/>
                              <w:t>planta</w:t>
                            </w:r>
                            <w:r>
                              <w:rPr>
                                <w:spacing w:val="-4"/>
                              </w:rPr>
                              <w:t> </w:t>
                            </w:r>
                            <w:r>
                              <w:rPr/>
                              <w:t>y</w:t>
                            </w:r>
                            <w:r>
                              <w:rPr>
                                <w:spacing w:val="-6"/>
                              </w:rPr>
                              <w:t> </w:t>
                            </w:r>
                            <w:r>
                              <w:rPr/>
                              <w:t>equipo</w:t>
                            </w:r>
                            <w:r>
                              <w:rPr>
                                <w:spacing w:val="-4"/>
                              </w:rPr>
                              <w:t> </w:t>
                            </w:r>
                            <w:r>
                              <w:rPr/>
                              <w:t>del</w:t>
                            </w:r>
                            <w:r>
                              <w:rPr>
                                <w:spacing w:val="-5"/>
                              </w:rPr>
                              <w:t> </w:t>
                            </w:r>
                            <w:r>
                              <w:rPr/>
                              <w:t>IMAS,</w:t>
                            </w:r>
                            <w:r>
                              <w:rPr>
                                <w:spacing w:val="-4"/>
                              </w:rPr>
                              <w:t> </w:t>
                            </w:r>
                            <w:r>
                              <w:rPr/>
                              <w:t>entre</w:t>
                            </w:r>
                            <w:r>
                              <w:rPr>
                                <w:spacing w:val="-7"/>
                              </w:rPr>
                              <w:t> </w:t>
                            </w:r>
                            <w:r>
                              <w:rPr/>
                              <w:t>otros</w:t>
                            </w:r>
                            <w:r>
                              <w:rPr>
                                <w:spacing w:val="-6"/>
                              </w:rPr>
                              <w:t> </w:t>
                            </w:r>
                            <w:r>
                              <w:rPr>
                                <w:spacing w:val="-4"/>
                              </w:rPr>
                              <w:t>son:</w:t>
                            </w:r>
                          </w:p>
                          <w:p>
                            <w:pPr>
                              <w:pStyle w:val="BodyText"/>
                              <w:numPr>
                                <w:ilvl w:val="0"/>
                                <w:numId w:val="78"/>
                              </w:numPr>
                              <w:tabs>
                                <w:tab w:pos="823" w:val="left" w:leader="none"/>
                              </w:tabs>
                              <w:spacing w:line="240" w:lineRule="auto" w:before="179" w:after="0"/>
                              <w:ind w:left="823" w:right="0" w:hanging="360"/>
                              <w:jc w:val="left"/>
                            </w:pPr>
                            <w:r>
                              <w:rPr/>
                              <w:t>tierras</w:t>
                            </w:r>
                            <w:r>
                              <w:rPr>
                                <w:spacing w:val="-3"/>
                              </w:rPr>
                              <w:t> </w:t>
                            </w:r>
                            <w:r>
                              <w:rPr/>
                              <w:t>y</w:t>
                            </w:r>
                            <w:r>
                              <w:rPr>
                                <w:spacing w:val="-1"/>
                              </w:rPr>
                              <w:t> </w:t>
                            </w:r>
                            <w:r>
                              <w:rPr>
                                <w:spacing w:val="-2"/>
                              </w:rPr>
                              <w:t>terrenos;</w:t>
                            </w:r>
                          </w:p>
                          <w:p>
                            <w:pPr>
                              <w:pStyle w:val="BodyText"/>
                              <w:numPr>
                                <w:ilvl w:val="0"/>
                                <w:numId w:val="78"/>
                              </w:numPr>
                              <w:tabs>
                                <w:tab w:pos="821" w:val="left" w:leader="none"/>
                              </w:tabs>
                              <w:spacing w:line="250" w:lineRule="exact" w:before="1" w:after="0"/>
                              <w:ind w:left="821" w:right="0" w:hanging="358"/>
                              <w:jc w:val="left"/>
                            </w:pPr>
                            <w:r>
                              <w:rPr/>
                              <w:t>edificios</w:t>
                            </w:r>
                            <w:r>
                              <w:rPr>
                                <w:spacing w:val="-5"/>
                              </w:rPr>
                              <w:t> </w:t>
                            </w:r>
                            <w:r>
                              <w:rPr>
                                <w:spacing w:val="-2"/>
                              </w:rPr>
                              <w:t>operativos;</w:t>
                            </w:r>
                          </w:p>
                          <w:p>
                            <w:pPr>
                              <w:pStyle w:val="BodyText"/>
                              <w:numPr>
                                <w:ilvl w:val="0"/>
                                <w:numId w:val="78"/>
                              </w:numPr>
                              <w:tabs>
                                <w:tab w:pos="823" w:val="left" w:leader="none"/>
                              </w:tabs>
                              <w:spacing w:line="250" w:lineRule="exact" w:before="0" w:after="0"/>
                              <w:ind w:left="823" w:right="0" w:hanging="360"/>
                              <w:jc w:val="left"/>
                            </w:pPr>
                            <w:r>
                              <w:rPr/>
                              <w:t>maquinaria</w:t>
                            </w:r>
                            <w:r>
                              <w:rPr>
                                <w:spacing w:val="-5"/>
                              </w:rPr>
                              <w:t> </w:t>
                            </w:r>
                            <w:r>
                              <w:rPr/>
                              <w:t>y</w:t>
                            </w:r>
                            <w:r>
                              <w:rPr>
                                <w:spacing w:val="-8"/>
                              </w:rPr>
                              <w:t> </w:t>
                            </w:r>
                            <w:r>
                              <w:rPr/>
                              <w:t>equipos</w:t>
                            </w:r>
                            <w:r>
                              <w:rPr>
                                <w:spacing w:val="-2"/>
                              </w:rPr>
                              <w:t> </w:t>
                            </w:r>
                            <w:r>
                              <w:rPr/>
                              <w:t>para</w:t>
                            </w:r>
                            <w:r>
                              <w:rPr>
                                <w:spacing w:val="-5"/>
                              </w:rPr>
                              <w:t> </w:t>
                            </w:r>
                            <w:r>
                              <w:rPr/>
                              <w:t>la</w:t>
                            </w:r>
                            <w:r>
                              <w:rPr>
                                <w:spacing w:val="-4"/>
                              </w:rPr>
                              <w:t> </w:t>
                            </w:r>
                            <w:r>
                              <w:rPr>
                                <w:spacing w:val="-2"/>
                              </w:rPr>
                              <w:t>producción;</w:t>
                            </w:r>
                          </w:p>
                          <w:p>
                            <w:pPr>
                              <w:pStyle w:val="BodyText"/>
                              <w:numPr>
                                <w:ilvl w:val="0"/>
                                <w:numId w:val="78"/>
                              </w:numPr>
                              <w:tabs>
                                <w:tab w:pos="822" w:val="left" w:leader="none"/>
                              </w:tabs>
                              <w:spacing w:line="250" w:lineRule="exact" w:before="1" w:after="0"/>
                              <w:ind w:left="822" w:right="0" w:hanging="359"/>
                              <w:jc w:val="left"/>
                            </w:pPr>
                            <w:r>
                              <w:rPr/>
                              <w:t>equipos</w:t>
                            </w:r>
                            <w:r>
                              <w:rPr>
                                <w:spacing w:val="-3"/>
                              </w:rPr>
                              <w:t> </w:t>
                            </w:r>
                            <w:r>
                              <w:rPr/>
                              <w:t>de</w:t>
                            </w:r>
                            <w:r>
                              <w:rPr>
                                <w:spacing w:val="-2"/>
                              </w:rPr>
                              <w:t> transporte,</w:t>
                            </w:r>
                          </w:p>
                          <w:p>
                            <w:pPr>
                              <w:pStyle w:val="BodyText"/>
                              <w:numPr>
                                <w:ilvl w:val="0"/>
                                <w:numId w:val="78"/>
                              </w:numPr>
                              <w:tabs>
                                <w:tab w:pos="822" w:val="left" w:leader="none"/>
                              </w:tabs>
                              <w:spacing w:line="250" w:lineRule="exact" w:before="0" w:after="0"/>
                              <w:ind w:left="822" w:right="0" w:hanging="359"/>
                              <w:jc w:val="left"/>
                            </w:pPr>
                            <w:r>
                              <w:rPr/>
                              <w:t>equipos</w:t>
                            </w:r>
                            <w:r>
                              <w:rPr>
                                <w:spacing w:val="-3"/>
                              </w:rPr>
                              <w:t> </w:t>
                            </w:r>
                            <w:r>
                              <w:rPr/>
                              <w:t>de</w:t>
                            </w:r>
                            <w:r>
                              <w:rPr>
                                <w:spacing w:val="-2"/>
                              </w:rPr>
                              <w:t> </w:t>
                            </w:r>
                            <w:r>
                              <w:rPr/>
                              <w:t>tracción</w:t>
                            </w:r>
                            <w:r>
                              <w:rPr>
                                <w:spacing w:val="-3"/>
                              </w:rPr>
                              <w:t> </w:t>
                            </w:r>
                            <w:r>
                              <w:rPr/>
                              <w:t>y</w:t>
                            </w:r>
                            <w:r>
                              <w:rPr>
                                <w:spacing w:val="-4"/>
                              </w:rPr>
                              <w:t> </w:t>
                            </w:r>
                            <w:r>
                              <w:rPr>
                                <w:spacing w:val="-2"/>
                              </w:rPr>
                              <w:t>elevación,</w:t>
                            </w:r>
                          </w:p>
                          <w:p>
                            <w:pPr>
                              <w:pStyle w:val="BodyText"/>
                              <w:numPr>
                                <w:ilvl w:val="0"/>
                                <w:numId w:val="78"/>
                              </w:numPr>
                              <w:tabs>
                                <w:tab w:pos="823" w:val="left" w:leader="none"/>
                              </w:tabs>
                              <w:spacing w:line="250" w:lineRule="exact" w:before="1" w:after="0"/>
                              <w:ind w:left="823" w:right="0" w:hanging="360"/>
                              <w:jc w:val="left"/>
                            </w:pPr>
                            <w:r>
                              <w:rPr/>
                              <w:t>equipos</w:t>
                            </w:r>
                            <w:r>
                              <w:rPr>
                                <w:spacing w:val="-3"/>
                              </w:rPr>
                              <w:t> </w:t>
                            </w:r>
                            <w:r>
                              <w:rPr/>
                              <w:t>de</w:t>
                            </w:r>
                            <w:r>
                              <w:rPr>
                                <w:spacing w:val="-2"/>
                              </w:rPr>
                              <w:t> comunicación,</w:t>
                            </w:r>
                          </w:p>
                          <w:p>
                            <w:pPr>
                              <w:pStyle w:val="BodyText"/>
                              <w:numPr>
                                <w:ilvl w:val="0"/>
                                <w:numId w:val="78"/>
                              </w:numPr>
                              <w:tabs>
                                <w:tab w:pos="823" w:val="left" w:leader="none"/>
                              </w:tabs>
                              <w:spacing w:line="250" w:lineRule="exact" w:before="0" w:after="0"/>
                              <w:ind w:left="823" w:right="0" w:hanging="360"/>
                              <w:jc w:val="left"/>
                            </w:pPr>
                            <w:r>
                              <w:rPr/>
                              <w:t>equipos</w:t>
                            </w:r>
                            <w:r>
                              <w:rPr>
                                <w:spacing w:val="-3"/>
                              </w:rPr>
                              <w:t> </w:t>
                            </w:r>
                            <w:r>
                              <w:rPr/>
                              <w:t>de</w:t>
                            </w:r>
                            <w:r>
                              <w:rPr>
                                <w:spacing w:val="-5"/>
                              </w:rPr>
                              <w:t> </w:t>
                            </w:r>
                            <w:r>
                              <w:rPr>
                                <w:spacing w:val="-2"/>
                              </w:rPr>
                              <w:t>oficina,</w:t>
                            </w:r>
                          </w:p>
                          <w:p>
                            <w:pPr>
                              <w:pStyle w:val="BodyText"/>
                              <w:numPr>
                                <w:ilvl w:val="0"/>
                                <w:numId w:val="78"/>
                              </w:numPr>
                              <w:tabs>
                                <w:tab w:pos="822" w:val="left" w:leader="none"/>
                              </w:tabs>
                              <w:spacing w:line="250" w:lineRule="exact" w:before="1" w:after="0"/>
                              <w:ind w:left="822" w:right="0" w:hanging="359"/>
                              <w:jc w:val="left"/>
                            </w:pPr>
                            <w:r>
                              <w:rPr/>
                              <w:t>equipos</w:t>
                            </w:r>
                            <w:r>
                              <w:rPr>
                                <w:spacing w:val="-3"/>
                              </w:rPr>
                              <w:t> </w:t>
                            </w:r>
                            <w:r>
                              <w:rPr/>
                              <w:t>de</w:t>
                            </w:r>
                            <w:r>
                              <w:rPr>
                                <w:spacing w:val="-2"/>
                              </w:rPr>
                              <w:t> computación,</w:t>
                            </w:r>
                          </w:p>
                          <w:p>
                            <w:pPr>
                              <w:pStyle w:val="BodyText"/>
                              <w:numPr>
                                <w:ilvl w:val="0"/>
                                <w:numId w:val="78"/>
                              </w:numPr>
                              <w:tabs>
                                <w:tab w:pos="823" w:val="left" w:leader="none"/>
                              </w:tabs>
                              <w:spacing w:line="240" w:lineRule="auto" w:before="0" w:after="0"/>
                              <w:ind w:left="823" w:right="156" w:hanging="360"/>
                              <w:jc w:val="left"/>
                            </w:pPr>
                            <w:r>
                              <w:rPr/>
                              <w:t>equipos</w:t>
                            </w:r>
                            <w:r>
                              <w:rPr>
                                <w:spacing w:val="-5"/>
                              </w:rPr>
                              <w:t> </w:t>
                            </w:r>
                            <w:r>
                              <w:rPr/>
                              <w:t>sanitarios</w:t>
                            </w:r>
                            <w:r>
                              <w:rPr>
                                <w:spacing w:val="-2"/>
                              </w:rPr>
                              <w:t> </w:t>
                            </w:r>
                            <w:r>
                              <w:rPr/>
                              <w:t>y</w:t>
                            </w:r>
                            <w:r>
                              <w:rPr>
                                <w:spacing w:val="-4"/>
                              </w:rPr>
                              <w:t> </w:t>
                            </w:r>
                            <w:r>
                              <w:rPr/>
                              <w:t>de</w:t>
                            </w:r>
                            <w:r>
                              <w:rPr>
                                <w:spacing w:val="-2"/>
                              </w:rPr>
                              <w:t> </w:t>
                            </w:r>
                            <w:r>
                              <w:rPr/>
                              <w:t>laboratorios</w:t>
                            </w:r>
                            <w:r>
                              <w:rPr>
                                <w:spacing w:val="-5"/>
                              </w:rPr>
                              <w:t> </w:t>
                            </w:r>
                            <w:r>
                              <w:rPr/>
                              <w:t>e</w:t>
                            </w:r>
                            <w:r>
                              <w:rPr>
                                <w:spacing w:val="-2"/>
                              </w:rPr>
                              <w:t> </w:t>
                            </w:r>
                            <w:r>
                              <w:rPr/>
                              <w:t>investigación,</w:t>
                            </w:r>
                            <w:r>
                              <w:rPr>
                                <w:spacing w:val="-5"/>
                              </w:rPr>
                              <w:t> </w:t>
                            </w:r>
                            <w:r>
                              <w:rPr/>
                              <w:t>educativos</w:t>
                            </w:r>
                            <w:r>
                              <w:rPr>
                                <w:spacing w:val="-2"/>
                              </w:rPr>
                              <w:t> </w:t>
                            </w:r>
                            <w:r>
                              <w:rPr/>
                              <w:t>y</w:t>
                            </w:r>
                            <w:r>
                              <w:rPr>
                                <w:spacing w:val="-4"/>
                              </w:rPr>
                              <w:t> </w:t>
                            </w:r>
                            <w:r>
                              <w:rPr/>
                              <w:t>deportivos,</w:t>
                            </w:r>
                            <w:r>
                              <w:rPr>
                                <w:spacing w:val="-6"/>
                              </w:rPr>
                              <w:t> </w:t>
                            </w:r>
                            <w:r>
                              <w:rPr/>
                              <w:t>de</w:t>
                            </w:r>
                            <w:r>
                              <w:rPr>
                                <w:spacing w:val="-5"/>
                              </w:rPr>
                              <w:t> </w:t>
                            </w:r>
                            <w:r>
                              <w:rPr/>
                              <w:t>seguridad</w:t>
                            </w:r>
                            <w:r>
                              <w:rPr>
                                <w:spacing w:val="-3"/>
                              </w:rPr>
                              <w:t> </w:t>
                            </w:r>
                            <w:r>
                              <w:rPr/>
                              <w:t>or-den, vigilancia y control público;</w:t>
                            </w:r>
                          </w:p>
                          <w:p>
                            <w:pPr>
                              <w:pStyle w:val="BodyText"/>
                              <w:numPr>
                                <w:ilvl w:val="0"/>
                                <w:numId w:val="78"/>
                              </w:numPr>
                              <w:tabs>
                                <w:tab w:pos="823" w:val="left" w:leader="none"/>
                              </w:tabs>
                              <w:spacing w:line="240" w:lineRule="auto" w:before="1" w:after="0"/>
                              <w:ind w:left="823" w:right="0" w:hanging="360"/>
                              <w:jc w:val="left"/>
                            </w:pPr>
                            <w:r>
                              <w:rPr/>
                              <w:t>maquinarias,</w:t>
                            </w:r>
                            <w:r>
                              <w:rPr>
                                <w:spacing w:val="-10"/>
                              </w:rPr>
                              <w:t> </w:t>
                            </w:r>
                            <w:r>
                              <w:rPr/>
                              <w:t>equipos</w:t>
                            </w:r>
                            <w:r>
                              <w:rPr>
                                <w:spacing w:val="-5"/>
                              </w:rPr>
                              <w:t> </w:t>
                            </w:r>
                            <w:r>
                              <w:rPr/>
                              <w:t>y</w:t>
                            </w:r>
                            <w:r>
                              <w:rPr>
                                <w:spacing w:val="-10"/>
                              </w:rPr>
                              <w:t> </w:t>
                            </w:r>
                            <w:r>
                              <w:rPr/>
                              <w:t>mobiliarios</w:t>
                            </w:r>
                            <w:r>
                              <w:rPr>
                                <w:spacing w:val="-5"/>
                              </w:rPr>
                              <w:t> </w:t>
                            </w:r>
                            <w:r>
                              <w:rPr>
                                <w:spacing w:val="-2"/>
                              </w:rPr>
                              <w:t>diversos;</w:t>
                            </w:r>
                          </w:p>
                        </w:txbxContent>
                      </wps:txbx>
                      <wps:bodyPr wrap="square" lIns="0" tIns="0" rIns="0" bIns="0" rtlCol="0">
                        <a:noAutofit/>
                      </wps:bodyPr>
                    </wps:wsp>
                  </a:graphicData>
                </a:graphic>
              </wp:anchor>
            </w:drawing>
          </mc:Choice>
          <mc:Fallback>
            <w:pict>
              <v:shape style="position:absolute;margin-left:85.103996pt;margin-top:14.44625pt;width:450pt;height:203.25pt;mso-position-horizontal-relative:page;mso-position-vertical-relative:paragraph;z-index:-15542784;mso-wrap-distance-left:0;mso-wrap-distance-right:0" type="#_x0000_t202" id="docshape88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Los</w:t>
                      </w:r>
                      <w:r>
                        <w:rPr>
                          <w:spacing w:val="-4"/>
                        </w:rPr>
                        <w:t> </w:t>
                      </w:r>
                      <w:r>
                        <w:rPr/>
                        <w:t>activos</w:t>
                      </w:r>
                      <w:r>
                        <w:rPr>
                          <w:spacing w:val="-4"/>
                        </w:rPr>
                        <w:t> </w:t>
                      </w:r>
                      <w:r>
                        <w:rPr/>
                        <w:t>contemplados</w:t>
                      </w:r>
                      <w:r>
                        <w:rPr>
                          <w:spacing w:val="-3"/>
                        </w:rPr>
                        <w:t> </w:t>
                      </w:r>
                      <w:r>
                        <w:rPr/>
                        <w:t>como</w:t>
                      </w:r>
                      <w:r>
                        <w:rPr>
                          <w:spacing w:val="-4"/>
                        </w:rPr>
                        <w:t> </w:t>
                      </w:r>
                      <w:r>
                        <w:rPr/>
                        <w:t>propiedades,</w:t>
                      </w:r>
                      <w:r>
                        <w:rPr>
                          <w:spacing w:val="-5"/>
                        </w:rPr>
                        <w:t> </w:t>
                      </w:r>
                      <w:r>
                        <w:rPr/>
                        <w:t>planta</w:t>
                      </w:r>
                      <w:r>
                        <w:rPr>
                          <w:spacing w:val="-4"/>
                        </w:rPr>
                        <w:t> </w:t>
                      </w:r>
                      <w:r>
                        <w:rPr/>
                        <w:t>y</w:t>
                      </w:r>
                      <w:r>
                        <w:rPr>
                          <w:spacing w:val="-6"/>
                        </w:rPr>
                        <w:t> </w:t>
                      </w:r>
                      <w:r>
                        <w:rPr/>
                        <w:t>equipo</w:t>
                      </w:r>
                      <w:r>
                        <w:rPr>
                          <w:spacing w:val="-4"/>
                        </w:rPr>
                        <w:t> </w:t>
                      </w:r>
                      <w:r>
                        <w:rPr/>
                        <w:t>del</w:t>
                      </w:r>
                      <w:r>
                        <w:rPr>
                          <w:spacing w:val="-5"/>
                        </w:rPr>
                        <w:t> </w:t>
                      </w:r>
                      <w:r>
                        <w:rPr/>
                        <w:t>IMAS,</w:t>
                      </w:r>
                      <w:r>
                        <w:rPr>
                          <w:spacing w:val="-4"/>
                        </w:rPr>
                        <w:t> </w:t>
                      </w:r>
                      <w:r>
                        <w:rPr/>
                        <w:t>entre</w:t>
                      </w:r>
                      <w:r>
                        <w:rPr>
                          <w:spacing w:val="-7"/>
                        </w:rPr>
                        <w:t> </w:t>
                      </w:r>
                      <w:r>
                        <w:rPr/>
                        <w:t>otros</w:t>
                      </w:r>
                      <w:r>
                        <w:rPr>
                          <w:spacing w:val="-6"/>
                        </w:rPr>
                        <w:t> </w:t>
                      </w:r>
                      <w:r>
                        <w:rPr>
                          <w:spacing w:val="-4"/>
                        </w:rPr>
                        <w:t>son:</w:t>
                      </w:r>
                    </w:p>
                    <w:p>
                      <w:pPr>
                        <w:pStyle w:val="BodyText"/>
                        <w:numPr>
                          <w:ilvl w:val="0"/>
                          <w:numId w:val="78"/>
                        </w:numPr>
                        <w:tabs>
                          <w:tab w:pos="823" w:val="left" w:leader="none"/>
                        </w:tabs>
                        <w:spacing w:line="240" w:lineRule="auto" w:before="179" w:after="0"/>
                        <w:ind w:left="823" w:right="0" w:hanging="360"/>
                        <w:jc w:val="left"/>
                      </w:pPr>
                      <w:r>
                        <w:rPr/>
                        <w:t>tierras</w:t>
                      </w:r>
                      <w:r>
                        <w:rPr>
                          <w:spacing w:val="-3"/>
                        </w:rPr>
                        <w:t> </w:t>
                      </w:r>
                      <w:r>
                        <w:rPr/>
                        <w:t>y</w:t>
                      </w:r>
                      <w:r>
                        <w:rPr>
                          <w:spacing w:val="-1"/>
                        </w:rPr>
                        <w:t> </w:t>
                      </w:r>
                      <w:r>
                        <w:rPr>
                          <w:spacing w:val="-2"/>
                        </w:rPr>
                        <w:t>terrenos;</w:t>
                      </w:r>
                    </w:p>
                    <w:p>
                      <w:pPr>
                        <w:pStyle w:val="BodyText"/>
                        <w:numPr>
                          <w:ilvl w:val="0"/>
                          <w:numId w:val="78"/>
                        </w:numPr>
                        <w:tabs>
                          <w:tab w:pos="821" w:val="left" w:leader="none"/>
                        </w:tabs>
                        <w:spacing w:line="250" w:lineRule="exact" w:before="1" w:after="0"/>
                        <w:ind w:left="821" w:right="0" w:hanging="358"/>
                        <w:jc w:val="left"/>
                      </w:pPr>
                      <w:r>
                        <w:rPr/>
                        <w:t>edificios</w:t>
                      </w:r>
                      <w:r>
                        <w:rPr>
                          <w:spacing w:val="-5"/>
                        </w:rPr>
                        <w:t> </w:t>
                      </w:r>
                      <w:r>
                        <w:rPr>
                          <w:spacing w:val="-2"/>
                        </w:rPr>
                        <w:t>operativos;</w:t>
                      </w:r>
                    </w:p>
                    <w:p>
                      <w:pPr>
                        <w:pStyle w:val="BodyText"/>
                        <w:numPr>
                          <w:ilvl w:val="0"/>
                          <w:numId w:val="78"/>
                        </w:numPr>
                        <w:tabs>
                          <w:tab w:pos="823" w:val="left" w:leader="none"/>
                        </w:tabs>
                        <w:spacing w:line="250" w:lineRule="exact" w:before="0" w:after="0"/>
                        <w:ind w:left="823" w:right="0" w:hanging="360"/>
                        <w:jc w:val="left"/>
                      </w:pPr>
                      <w:r>
                        <w:rPr/>
                        <w:t>maquinaria</w:t>
                      </w:r>
                      <w:r>
                        <w:rPr>
                          <w:spacing w:val="-5"/>
                        </w:rPr>
                        <w:t> </w:t>
                      </w:r>
                      <w:r>
                        <w:rPr/>
                        <w:t>y</w:t>
                      </w:r>
                      <w:r>
                        <w:rPr>
                          <w:spacing w:val="-8"/>
                        </w:rPr>
                        <w:t> </w:t>
                      </w:r>
                      <w:r>
                        <w:rPr/>
                        <w:t>equipos</w:t>
                      </w:r>
                      <w:r>
                        <w:rPr>
                          <w:spacing w:val="-2"/>
                        </w:rPr>
                        <w:t> </w:t>
                      </w:r>
                      <w:r>
                        <w:rPr/>
                        <w:t>para</w:t>
                      </w:r>
                      <w:r>
                        <w:rPr>
                          <w:spacing w:val="-5"/>
                        </w:rPr>
                        <w:t> </w:t>
                      </w:r>
                      <w:r>
                        <w:rPr/>
                        <w:t>la</w:t>
                      </w:r>
                      <w:r>
                        <w:rPr>
                          <w:spacing w:val="-4"/>
                        </w:rPr>
                        <w:t> </w:t>
                      </w:r>
                      <w:r>
                        <w:rPr>
                          <w:spacing w:val="-2"/>
                        </w:rPr>
                        <w:t>producción;</w:t>
                      </w:r>
                    </w:p>
                    <w:p>
                      <w:pPr>
                        <w:pStyle w:val="BodyText"/>
                        <w:numPr>
                          <w:ilvl w:val="0"/>
                          <w:numId w:val="78"/>
                        </w:numPr>
                        <w:tabs>
                          <w:tab w:pos="822" w:val="left" w:leader="none"/>
                        </w:tabs>
                        <w:spacing w:line="250" w:lineRule="exact" w:before="1" w:after="0"/>
                        <w:ind w:left="822" w:right="0" w:hanging="359"/>
                        <w:jc w:val="left"/>
                      </w:pPr>
                      <w:r>
                        <w:rPr/>
                        <w:t>equipos</w:t>
                      </w:r>
                      <w:r>
                        <w:rPr>
                          <w:spacing w:val="-3"/>
                        </w:rPr>
                        <w:t> </w:t>
                      </w:r>
                      <w:r>
                        <w:rPr/>
                        <w:t>de</w:t>
                      </w:r>
                      <w:r>
                        <w:rPr>
                          <w:spacing w:val="-2"/>
                        </w:rPr>
                        <w:t> transporte,</w:t>
                      </w:r>
                    </w:p>
                    <w:p>
                      <w:pPr>
                        <w:pStyle w:val="BodyText"/>
                        <w:numPr>
                          <w:ilvl w:val="0"/>
                          <w:numId w:val="78"/>
                        </w:numPr>
                        <w:tabs>
                          <w:tab w:pos="822" w:val="left" w:leader="none"/>
                        </w:tabs>
                        <w:spacing w:line="250" w:lineRule="exact" w:before="0" w:after="0"/>
                        <w:ind w:left="822" w:right="0" w:hanging="359"/>
                        <w:jc w:val="left"/>
                      </w:pPr>
                      <w:r>
                        <w:rPr/>
                        <w:t>equipos</w:t>
                      </w:r>
                      <w:r>
                        <w:rPr>
                          <w:spacing w:val="-3"/>
                        </w:rPr>
                        <w:t> </w:t>
                      </w:r>
                      <w:r>
                        <w:rPr/>
                        <w:t>de</w:t>
                      </w:r>
                      <w:r>
                        <w:rPr>
                          <w:spacing w:val="-2"/>
                        </w:rPr>
                        <w:t> </w:t>
                      </w:r>
                      <w:r>
                        <w:rPr/>
                        <w:t>tracción</w:t>
                      </w:r>
                      <w:r>
                        <w:rPr>
                          <w:spacing w:val="-3"/>
                        </w:rPr>
                        <w:t> </w:t>
                      </w:r>
                      <w:r>
                        <w:rPr/>
                        <w:t>y</w:t>
                      </w:r>
                      <w:r>
                        <w:rPr>
                          <w:spacing w:val="-4"/>
                        </w:rPr>
                        <w:t> </w:t>
                      </w:r>
                      <w:r>
                        <w:rPr>
                          <w:spacing w:val="-2"/>
                        </w:rPr>
                        <w:t>elevación,</w:t>
                      </w:r>
                    </w:p>
                    <w:p>
                      <w:pPr>
                        <w:pStyle w:val="BodyText"/>
                        <w:numPr>
                          <w:ilvl w:val="0"/>
                          <w:numId w:val="78"/>
                        </w:numPr>
                        <w:tabs>
                          <w:tab w:pos="823" w:val="left" w:leader="none"/>
                        </w:tabs>
                        <w:spacing w:line="250" w:lineRule="exact" w:before="1" w:after="0"/>
                        <w:ind w:left="823" w:right="0" w:hanging="360"/>
                        <w:jc w:val="left"/>
                      </w:pPr>
                      <w:r>
                        <w:rPr/>
                        <w:t>equipos</w:t>
                      </w:r>
                      <w:r>
                        <w:rPr>
                          <w:spacing w:val="-3"/>
                        </w:rPr>
                        <w:t> </w:t>
                      </w:r>
                      <w:r>
                        <w:rPr/>
                        <w:t>de</w:t>
                      </w:r>
                      <w:r>
                        <w:rPr>
                          <w:spacing w:val="-2"/>
                        </w:rPr>
                        <w:t> comunicación,</w:t>
                      </w:r>
                    </w:p>
                    <w:p>
                      <w:pPr>
                        <w:pStyle w:val="BodyText"/>
                        <w:numPr>
                          <w:ilvl w:val="0"/>
                          <w:numId w:val="78"/>
                        </w:numPr>
                        <w:tabs>
                          <w:tab w:pos="823" w:val="left" w:leader="none"/>
                        </w:tabs>
                        <w:spacing w:line="250" w:lineRule="exact" w:before="0" w:after="0"/>
                        <w:ind w:left="823" w:right="0" w:hanging="360"/>
                        <w:jc w:val="left"/>
                      </w:pPr>
                      <w:r>
                        <w:rPr/>
                        <w:t>equipos</w:t>
                      </w:r>
                      <w:r>
                        <w:rPr>
                          <w:spacing w:val="-3"/>
                        </w:rPr>
                        <w:t> </w:t>
                      </w:r>
                      <w:r>
                        <w:rPr/>
                        <w:t>de</w:t>
                      </w:r>
                      <w:r>
                        <w:rPr>
                          <w:spacing w:val="-5"/>
                        </w:rPr>
                        <w:t> </w:t>
                      </w:r>
                      <w:r>
                        <w:rPr>
                          <w:spacing w:val="-2"/>
                        </w:rPr>
                        <w:t>oficina,</w:t>
                      </w:r>
                    </w:p>
                    <w:p>
                      <w:pPr>
                        <w:pStyle w:val="BodyText"/>
                        <w:numPr>
                          <w:ilvl w:val="0"/>
                          <w:numId w:val="78"/>
                        </w:numPr>
                        <w:tabs>
                          <w:tab w:pos="822" w:val="left" w:leader="none"/>
                        </w:tabs>
                        <w:spacing w:line="250" w:lineRule="exact" w:before="1" w:after="0"/>
                        <w:ind w:left="822" w:right="0" w:hanging="359"/>
                        <w:jc w:val="left"/>
                      </w:pPr>
                      <w:r>
                        <w:rPr/>
                        <w:t>equipos</w:t>
                      </w:r>
                      <w:r>
                        <w:rPr>
                          <w:spacing w:val="-3"/>
                        </w:rPr>
                        <w:t> </w:t>
                      </w:r>
                      <w:r>
                        <w:rPr/>
                        <w:t>de</w:t>
                      </w:r>
                      <w:r>
                        <w:rPr>
                          <w:spacing w:val="-2"/>
                        </w:rPr>
                        <w:t> computación,</w:t>
                      </w:r>
                    </w:p>
                    <w:p>
                      <w:pPr>
                        <w:pStyle w:val="BodyText"/>
                        <w:numPr>
                          <w:ilvl w:val="0"/>
                          <w:numId w:val="78"/>
                        </w:numPr>
                        <w:tabs>
                          <w:tab w:pos="823" w:val="left" w:leader="none"/>
                        </w:tabs>
                        <w:spacing w:line="240" w:lineRule="auto" w:before="0" w:after="0"/>
                        <w:ind w:left="823" w:right="156" w:hanging="360"/>
                        <w:jc w:val="left"/>
                      </w:pPr>
                      <w:r>
                        <w:rPr/>
                        <w:t>equipos</w:t>
                      </w:r>
                      <w:r>
                        <w:rPr>
                          <w:spacing w:val="-5"/>
                        </w:rPr>
                        <w:t> </w:t>
                      </w:r>
                      <w:r>
                        <w:rPr/>
                        <w:t>sanitarios</w:t>
                      </w:r>
                      <w:r>
                        <w:rPr>
                          <w:spacing w:val="-2"/>
                        </w:rPr>
                        <w:t> </w:t>
                      </w:r>
                      <w:r>
                        <w:rPr/>
                        <w:t>y</w:t>
                      </w:r>
                      <w:r>
                        <w:rPr>
                          <w:spacing w:val="-4"/>
                        </w:rPr>
                        <w:t> </w:t>
                      </w:r>
                      <w:r>
                        <w:rPr/>
                        <w:t>de</w:t>
                      </w:r>
                      <w:r>
                        <w:rPr>
                          <w:spacing w:val="-2"/>
                        </w:rPr>
                        <w:t> </w:t>
                      </w:r>
                      <w:r>
                        <w:rPr/>
                        <w:t>laboratorios</w:t>
                      </w:r>
                      <w:r>
                        <w:rPr>
                          <w:spacing w:val="-5"/>
                        </w:rPr>
                        <w:t> </w:t>
                      </w:r>
                      <w:r>
                        <w:rPr/>
                        <w:t>e</w:t>
                      </w:r>
                      <w:r>
                        <w:rPr>
                          <w:spacing w:val="-2"/>
                        </w:rPr>
                        <w:t> </w:t>
                      </w:r>
                      <w:r>
                        <w:rPr/>
                        <w:t>investigación,</w:t>
                      </w:r>
                      <w:r>
                        <w:rPr>
                          <w:spacing w:val="-5"/>
                        </w:rPr>
                        <w:t> </w:t>
                      </w:r>
                      <w:r>
                        <w:rPr/>
                        <w:t>educativos</w:t>
                      </w:r>
                      <w:r>
                        <w:rPr>
                          <w:spacing w:val="-2"/>
                        </w:rPr>
                        <w:t> </w:t>
                      </w:r>
                      <w:r>
                        <w:rPr/>
                        <w:t>y</w:t>
                      </w:r>
                      <w:r>
                        <w:rPr>
                          <w:spacing w:val="-4"/>
                        </w:rPr>
                        <w:t> </w:t>
                      </w:r>
                      <w:r>
                        <w:rPr/>
                        <w:t>deportivos,</w:t>
                      </w:r>
                      <w:r>
                        <w:rPr>
                          <w:spacing w:val="-6"/>
                        </w:rPr>
                        <w:t> </w:t>
                      </w:r>
                      <w:r>
                        <w:rPr/>
                        <w:t>de</w:t>
                      </w:r>
                      <w:r>
                        <w:rPr>
                          <w:spacing w:val="-5"/>
                        </w:rPr>
                        <w:t> </w:t>
                      </w:r>
                      <w:r>
                        <w:rPr/>
                        <w:t>seguridad</w:t>
                      </w:r>
                      <w:r>
                        <w:rPr>
                          <w:spacing w:val="-3"/>
                        </w:rPr>
                        <w:t> </w:t>
                      </w:r>
                      <w:r>
                        <w:rPr/>
                        <w:t>or-den, vigilancia y control público;</w:t>
                      </w:r>
                    </w:p>
                    <w:p>
                      <w:pPr>
                        <w:pStyle w:val="BodyText"/>
                        <w:numPr>
                          <w:ilvl w:val="0"/>
                          <w:numId w:val="78"/>
                        </w:numPr>
                        <w:tabs>
                          <w:tab w:pos="823" w:val="left" w:leader="none"/>
                        </w:tabs>
                        <w:spacing w:line="240" w:lineRule="auto" w:before="1" w:after="0"/>
                        <w:ind w:left="823" w:right="0" w:hanging="360"/>
                        <w:jc w:val="left"/>
                      </w:pPr>
                      <w:r>
                        <w:rPr/>
                        <w:t>maquinarias,</w:t>
                      </w:r>
                      <w:r>
                        <w:rPr>
                          <w:spacing w:val="-10"/>
                        </w:rPr>
                        <w:t> </w:t>
                      </w:r>
                      <w:r>
                        <w:rPr/>
                        <w:t>equipos</w:t>
                      </w:r>
                      <w:r>
                        <w:rPr>
                          <w:spacing w:val="-5"/>
                        </w:rPr>
                        <w:t> </w:t>
                      </w:r>
                      <w:r>
                        <w:rPr/>
                        <w:t>y</w:t>
                      </w:r>
                      <w:r>
                        <w:rPr>
                          <w:spacing w:val="-10"/>
                        </w:rPr>
                        <w:t> </w:t>
                      </w:r>
                      <w:r>
                        <w:rPr/>
                        <w:t>mobiliarios</w:t>
                      </w:r>
                      <w:r>
                        <w:rPr>
                          <w:spacing w:val="-5"/>
                        </w:rPr>
                        <w:t> </w:t>
                      </w:r>
                      <w:r>
                        <w:rPr>
                          <w:spacing w:val="-2"/>
                        </w:rPr>
                        <w:t>diversos;</w:t>
                      </w:r>
                    </w:p>
                  </w:txbxContent>
                </v:textbox>
                <v:stroke dashstyle="solid"/>
                <w10:wrap type="topAndBottom"/>
              </v:shape>
            </w:pict>
          </mc:Fallback>
        </mc:AlternateContent>
      </w:r>
    </w:p>
    <w:p>
      <w:pPr>
        <w:pStyle w:val="BodyText"/>
        <w:spacing w:before="6"/>
      </w:pPr>
    </w:p>
    <w:p>
      <w:pPr>
        <w:pStyle w:val="ListParagraph"/>
        <w:numPr>
          <w:ilvl w:val="2"/>
          <w:numId w:val="57"/>
        </w:numPr>
        <w:tabs>
          <w:tab w:pos="1341" w:val="left" w:leader="none"/>
        </w:tabs>
        <w:spacing w:line="240" w:lineRule="auto" w:before="0" w:after="0"/>
        <w:ind w:left="1341" w:right="0" w:hanging="360"/>
        <w:jc w:val="left"/>
        <w:rPr>
          <w:sz w:val="22"/>
        </w:rPr>
      </w:pPr>
      <w:r>
        <w:rPr>
          <w:sz w:val="22"/>
          <w:u w:val="single"/>
        </w:rPr>
        <w:t>Bases</w:t>
      </w:r>
      <w:r>
        <w:rPr>
          <w:spacing w:val="-4"/>
          <w:sz w:val="22"/>
          <w:u w:val="single"/>
        </w:rPr>
        <w:t> </w:t>
      </w:r>
      <w:r>
        <w:rPr>
          <w:sz w:val="22"/>
          <w:u w:val="single"/>
        </w:rPr>
        <w:t>de</w:t>
      </w:r>
      <w:r>
        <w:rPr>
          <w:spacing w:val="-5"/>
          <w:sz w:val="22"/>
          <w:u w:val="single"/>
        </w:rPr>
        <w:t> </w:t>
      </w:r>
      <w:r>
        <w:rPr>
          <w:sz w:val="22"/>
          <w:u w:val="single"/>
        </w:rPr>
        <w:t>medición</w:t>
      </w:r>
      <w:r>
        <w:rPr>
          <w:spacing w:val="-4"/>
          <w:sz w:val="22"/>
          <w:u w:val="single"/>
        </w:rPr>
        <w:t> </w:t>
      </w:r>
      <w:r>
        <w:rPr>
          <w:sz w:val="22"/>
          <w:u w:val="single"/>
        </w:rPr>
        <w:t>(Párrafo</w:t>
      </w:r>
      <w:r>
        <w:rPr>
          <w:spacing w:val="-5"/>
          <w:sz w:val="22"/>
          <w:u w:val="single"/>
        </w:rPr>
        <w:t> 88)</w:t>
      </w:r>
    </w:p>
    <w:p>
      <w:pPr>
        <w:pStyle w:val="BodyText"/>
        <w:spacing w:before="31"/>
        <w:rPr>
          <w:sz w:val="20"/>
        </w:rPr>
      </w:pPr>
      <w:r>
        <w:rPr>
          <w:sz w:val="20"/>
        </w:rPr>
        <mc:AlternateContent>
          <mc:Choice Requires="wps">
            <w:drawing>
              <wp:anchor distT="0" distB="0" distL="0" distR="0" allowOverlap="1" layoutInCell="1" locked="0" behindDoc="1" simplePos="0" relativeHeight="487774208">
                <wp:simplePos x="0" y="0"/>
                <wp:positionH relativeFrom="page">
                  <wp:posOffset>1080820</wp:posOffset>
                </wp:positionH>
                <wp:positionV relativeFrom="paragraph">
                  <wp:posOffset>183467</wp:posOffset>
                </wp:positionV>
                <wp:extent cx="5715000" cy="2408555"/>
                <wp:effectExtent l="0" t="0" r="0" b="0"/>
                <wp:wrapTopAndBottom/>
                <wp:docPr id="908" name="Textbox 908"/>
                <wp:cNvGraphicFramePr>
                  <a:graphicFrameLocks/>
                </wp:cNvGraphicFramePr>
                <a:graphic>
                  <a:graphicData uri="http://schemas.microsoft.com/office/word/2010/wordprocessingShape">
                    <wps:wsp>
                      <wps:cNvPr id="908" name="Textbox 908"/>
                      <wps:cNvSpPr txBox="1"/>
                      <wps:spPr>
                        <a:xfrm>
                          <a:off x="0" y="0"/>
                          <a:ext cx="5715000" cy="240855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sz w:val="22"/>
                              </w:rPr>
                            </w:pPr>
                            <w:r>
                              <w:rPr>
                                <w:b/>
                                <w:sz w:val="22"/>
                              </w:rPr>
                              <w:t>Bases de</w:t>
                            </w:r>
                            <w:r>
                              <w:rPr>
                                <w:b/>
                                <w:spacing w:val="-2"/>
                                <w:sz w:val="22"/>
                              </w:rPr>
                              <w:t> medición</w:t>
                            </w:r>
                            <w:r>
                              <w:rPr>
                                <w:spacing w:val="-2"/>
                                <w:sz w:val="22"/>
                              </w:rPr>
                              <w:t>:</w:t>
                            </w:r>
                          </w:p>
                          <w:p>
                            <w:pPr>
                              <w:pStyle w:val="BodyText"/>
                              <w:spacing w:before="160"/>
                              <w:ind w:left="103"/>
                            </w:pPr>
                            <w:r>
                              <w:rPr/>
                              <w:t>De conformidad con la política 1.98 todo elemento de</w:t>
                            </w:r>
                            <w:r>
                              <w:rPr>
                                <w:spacing w:val="-2"/>
                              </w:rPr>
                              <w:t> </w:t>
                            </w:r>
                            <w:r>
                              <w:rPr/>
                              <w:t>propiedades, planta y equipo, que cumpla las condiciones para ser reconocido como un activo, se medirá por su costo.</w:t>
                            </w:r>
                          </w:p>
                          <w:p>
                            <w:pPr>
                              <w:pStyle w:val="BodyText"/>
                              <w:spacing w:before="160"/>
                              <w:ind w:left="103"/>
                            </w:pPr>
                            <w:r>
                              <w:rPr/>
                              <w:t>Cuando</w:t>
                            </w:r>
                            <w:r>
                              <w:rPr>
                                <w:spacing w:val="-8"/>
                              </w:rPr>
                              <w:t> </w:t>
                            </w:r>
                            <w:r>
                              <w:rPr/>
                              <w:t>se</w:t>
                            </w:r>
                            <w:r>
                              <w:rPr>
                                <w:spacing w:val="-7"/>
                              </w:rPr>
                              <w:t> </w:t>
                            </w:r>
                            <w:r>
                              <w:rPr/>
                              <w:t>adquiere</w:t>
                            </w:r>
                            <w:r>
                              <w:rPr>
                                <w:spacing w:val="-7"/>
                              </w:rPr>
                              <w:t> </w:t>
                            </w:r>
                            <w:r>
                              <w:rPr/>
                              <w:t>un</w:t>
                            </w:r>
                            <w:r>
                              <w:rPr>
                                <w:spacing w:val="-6"/>
                              </w:rPr>
                              <w:t> </w:t>
                            </w:r>
                            <w:r>
                              <w:rPr/>
                              <w:t>activo</w:t>
                            </w:r>
                            <w:r>
                              <w:rPr>
                                <w:spacing w:val="-6"/>
                              </w:rPr>
                              <w:t> </w:t>
                            </w:r>
                            <w:r>
                              <w:rPr/>
                              <w:t>a</w:t>
                            </w:r>
                            <w:r>
                              <w:rPr>
                                <w:spacing w:val="-7"/>
                              </w:rPr>
                              <w:t> </w:t>
                            </w:r>
                            <w:r>
                              <w:rPr/>
                              <w:t>través</w:t>
                            </w:r>
                            <w:r>
                              <w:rPr>
                                <w:spacing w:val="-6"/>
                              </w:rPr>
                              <w:t> </w:t>
                            </w:r>
                            <w:r>
                              <w:rPr/>
                              <w:t>de</w:t>
                            </w:r>
                            <w:r>
                              <w:rPr>
                                <w:spacing w:val="-8"/>
                              </w:rPr>
                              <w:t> </w:t>
                            </w:r>
                            <w:r>
                              <w:rPr/>
                              <w:t>una</w:t>
                            </w:r>
                            <w:r>
                              <w:rPr>
                                <w:spacing w:val="-7"/>
                              </w:rPr>
                              <w:t> </w:t>
                            </w:r>
                            <w:r>
                              <w:rPr/>
                              <w:t>transacción</w:t>
                            </w:r>
                            <w:r>
                              <w:rPr>
                                <w:spacing w:val="-6"/>
                              </w:rPr>
                              <w:t> </w:t>
                            </w:r>
                            <w:r>
                              <w:rPr/>
                              <w:t>sin</w:t>
                            </w:r>
                            <w:r>
                              <w:rPr>
                                <w:spacing w:val="-6"/>
                              </w:rPr>
                              <w:t> </w:t>
                            </w:r>
                            <w:r>
                              <w:rPr/>
                              <w:t>contraprestación,</w:t>
                            </w:r>
                            <w:r>
                              <w:rPr>
                                <w:spacing w:val="-8"/>
                              </w:rPr>
                              <w:t> </w:t>
                            </w:r>
                            <w:r>
                              <w:rPr/>
                              <w:t>su</w:t>
                            </w:r>
                            <w:r>
                              <w:rPr>
                                <w:spacing w:val="-6"/>
                              </w:rPr>
                              <w:t> </w:t>
                            </w:r>
                            <w:r>
                              <w:rPr/>
                              <w:t>costo</w:t>
                            </w:r>
                            <w:r>
                              <w:rPr>
                                <w:spacing w:val="-7"/>
                              </w:rPr>
                              <w:t> </w:t>
                            </w:r>
                            <w:r>
                              <w:rPr/>
                              <w:t>se</w:t>
                            </w:r>
                            <w:r>
                              <w:rPr>
                                <w:spacing w:val="-7"/>
                              </w:rPr>
                              <w:t> </w:t>
                            </w:r>
                            <w:r>
                              <w:rPr/>
                              <w:t>medirá</w:t>
                            </w:r>
                            <w:r>
                              <w:rPr>
                                <w:spacing w:val="-7"/>
                              </w:rPr>
                              <w:t> </w:t>
                            </w:r>
                            <w:r>
                              <w:rPr/>
                              <w:t>a</w:t>
                            </w:r>
                            <w:r>
                              <w:rPr>
                                <w:spacing w:val="-7"/>
                              </w:rPr>
                              <w:t> </w:t>
                            </w:r>
                            <w:r>
                              <w:rPr/>
                              <w:t>su valor razonable en la fecha de adquisición.</w:t>
                            </w:r>
                          </w:p>
                          <w:p>
                            <w:pPr>
                              <w:pStyle w:val="BodyText"/>
                              <w:spacing w:before="158"/>
                              <w:ind w:left="103" w:right="103"/>
                              <w:jc w:val="both"/>
                            </w:pPr>
                            <w:r>
                              <w:rPr/>
                              <w:t>De</w:t>
                            </w:r>
                            <w:r>
                              <w:rPr>
                                <w:spacing w:val="-6"/>
                              </w:rPr>
                              <w:t> </w:t>
                            </w:r>
                            <w:r>
                              <w:rPr/>
                              <w:t>conformidad</w:t>
                            </w:r>
                            <w:r>
                              <w:rPr>
                                <w:spacing w:val="-5"/>
                              </w:rPr>
                              <w:t> </w:t>
                            </w:r>
                            <w:r>
                              <w:rPr/>
                              <w:t>con</w:t>
                            </w:r>
                            <w:r>
                              <w:rPr>
                                <w:spacing w:val="-4"/>
                              </w:rPr>
                              <w:t> </w:t>
                            </w:r>
                            <w:r>
                              <w:rPr/>
                              <w:t>la</w:t>
                            </w:r>
                            <w:r>
                              <w:rPr>
                                <w:spacing w:val="-6"/>
                              </w:rPr>
                              <w:t> </w:t>
                            </w:r>
                            <w:r>
                              <w:rPr/>
                              <w:t>política</w:t>
                            </w:r>
                            <w:r>
                              <w:rPr>
                                <w:spacing w:val="-5"/>
                              </w:rPr>
                              <w:t> </w:t>
                            </w:r>
                            <w:r>
                              <w:rPr/>
                              <w:t>general</w:t>
                            </w:r>
                            <w:r>
                              <w:rPr>
                                <w:spacing w:val="-5"/>
                              </w:rPr>
                              <w:t> </w:t>
                            </w:r>
                            <w:r>
                              <w:rPr/>
                              <w:t>1.101.1,</w:t>
                            </w:r>
                            <w:r>
                              <w:rPr>
                                <w:spacing w:val="-5"/>
                              </w:rPr>
                              <w:t> </w:t>
                            </w:r>
                            <w:r>
                              <w:rPr/>
                              <w:t>en</w:t>
                            </w:r>
                            <w:r>
                              <w:rPr>
                                <w:spacing w:val="-4"/>
                              </w:rPr>
                              <w:t> </w:t>
                            </w:r>
                            <w:r>
                              <w:rPr/>
                              <w:t>los</w:t>
                            </w:r>
                            <w:r>
                              <w:rPr>
                                <w:spacing w:val="-4"/>
                              </w:rPr>
                              <w:t> </w:t>
                            </w:r>
                            <w:r>
                              <w:rPr/>
                              <w:t>ejercicios</w:t>
                            </w:r>
                            <w:r>
                              <w:rPr>
                                <w:spacing w:val="-4"/>
                              </w:rPr>
                              <w:t> </w:t>
                            </w:r>
                            <w:r>
                              <w:rPr/>
                              <w:t>posteriores</w:t>
                            </w:r>
                            <w:r>
                              <w:rPr>
                                <w:spacing w:val="-4"/>
                              </w:rPr>
                              <w:t> </w:t>
                            </w:r>
                            <w:r>
                              <w:rPr/>
                              <w:t>a</w:t>
                            </w:r>
                            <w:r>
                              <w:rPr>
                                <w:spacing w:val="-5"/>
                              </w:rPr>
                              <w:t> </w:t>
                            </w:r>
                            <w:r>
                              <w:rPr/>
                              <w:t>la</w:t>
                            </w:r>
                            <w:r>
                              <w:rPr>
                                <w:spacing w:val="-6"/>
                              </w:rPr>
                              <w:t> </w:t>
                            </w:r>
                            <w:r>
                              <w:rPr/>
                              <w:t>inicial,</w:t>
                            </w:r>
                            <w:r>
                              <w:rPr>
                                <w:spacing w:val="-5"/>
                              </w:rPr>
                              <w:t> </w:t>
                            </w:r>
                            <w:r>
                              <w:rPr/>
                              <w:t>los</w:t>
                            </w:r>
                            <w:r>
                              <w:rPr>
                                <w:spacing w:val="-4"/>
                              </w:rPr>
                              <w:t> </w:t>
                            </w:r>
                            <w:r>
                              <w:rPr/>
                              <w:t>elementos de propiedades, planta y equipo, que cumplan las condiciones para ser reconocidos como un activo, podrán ser medidos por el Modelo de Costo.</w:t>
                            </w:r>
                          </w:p>
                          <w:p>
                            <w:pPr>
                              <w:pStyle w:val="BodyText"/>
                              <w:spacing w:line="259" w:lineRule="auto" w:before="163"/>
                              <w:ind w:left="103" w:right="101"/>
                              <w:jc w:val="both"/>
                            </w:pPr>
                            <w:r>
                              <w:rPr/>
                              <w:t>Las</w:t>
                            </w:r>
                            <w:r>
                              <w:rPr>
                                <w:spacing w:val="-11"/>
                              </w:rPr>
                              <w:t> </w:t>
                            </w:r>
                            <w:r>
                              <w:rPr/>
                              <w:t>reparaciones</w:t>
                            </w:r>
                            <w:r>
                              <w:rPr>
                                <w:spacing w:val="-13"/>
                              </w:rPr>
                              <w:t> </w:t>
                            </w:r>
                            <w:r>
                              <w:rPr/>
                              <w:t>o</w:t>
                            </w:r>
                            <w:r>
                              <w:rPr>
                                <w:spacing w:val="-11"/>
                              </w:rPr>
                              <w:t> </w:t>
                            </w:r>
                            <w:r>
                              <w:rPr/>
                              <w:t>los</w:t>
                            </w:r>
                            <w:r>
                              <w:rPr>
                                <w:spacing w:val="-11"/>
                              </w:rPr>
                              <w:t> </w:t>
                            </w:r>
                            <w:r>
                              <w:rPr/>
                              <w:t>costos</w:t>
                            </w:r>
                            <w:r>
                              <w:rPr>
                                <w:spacing w:val="-11"/>
                              </w:rPr>
                              <w:t> </w:t>
                            </w:r>
                            <w:r>
                              <w:rPr/>
                              <w:t>derivados</w:t>
                            </w:r>
                            <w:r>
                              <w:rPr>
                                <w:spacing w:val="-11"/>
                              </w:rPr>
                              <w:t> </w:t>
                            </w:r>
                            <w:r>
                              <w:rPr/>
                              <w:t>del</w:t>
                            </w:r>
                            <w:r>
                              <w:rPr>
                                <w:spacing w:val="-12"/>
                              </w:rPr>
                              <w:t> </w:t>
                            </w:r>
                            <w:r>
                              <w:rPr/>
                              <w:t>mantenimiento</w:t>
                            </w:r>
                            <w:r>
                              <w:rPr>
                                <w:spacing w:val="-11"/>
                              </w:rPr>
                              <w:t> </w:t>
                            </w:r>
                            <w:r>
                              <w:rPr/>
                              <w:t>diario</w:t>
                            </w:r>
                            <w:r>
                              <w:rPr>
                                <w:spacing w:val="-13"/>
                              </w:rPr>
                              <w:t> </w:t>
                            </w:r>
                            <w:r>
                              <w:rPr/>
                              <w:t>que</w:t>
                            </w:r>
                            <w:r>
                              <w:rPr>
                                <w:spacing w:val="-13"/>
                              </w:rPr>
                              <w:t> </w:t>
                            </w:r>
                            <w:r>
                              <w:rPr/>
                              <w:t>no</w:t>
                            </w:r>
                            <w:r>
                              <w:rPr>
                                <w:spacing w:val="-11"/>
                              </w:rPr>
                              <w:t> </w:t>
                            </w:r>
                            <w:r>
                              <w:rPr/>
                              <w:t>extienden</w:t>
                            </w:r>
                            <w:r>
                              <w:rPr>
                                <w:spacing w:val="-14"/>
                              </w:rPr>
                              <w:t> </w:t>
                            </w:r>
                            <w:r>
                              <w:rPr/>
                              <w:t>la</w:t>
                            </w:r>
                            <w:r>
                              <w:rPr>
                                <w:spacing w:val="-13"/>
                              </w:rPr>
                              <w:t> </w:t>
                            </w:r>
                            <w:r>
                              <w:rPr/>
                              <w:t>vida</w:t>
                            </w:r>
                            <w:r>
                              <w:rPr>
                                <w:spacing w:val="-13"/>
                              </w:rPr>
                              <w:t> </w:t>
                            </w:r>
                            <w:r>
                              <w:rPr/>
                              <w:t>útil</w:t>
                            </w:r>
                            <w:r>
                              <w:rPr>
                                <w:spacing w:val="-13"/>
                              </w:rPr>
                              <w:t> </w:t>
                            </w:r>
                            <w:r>
                              <w:rPr/>
                              <w:t>de</w:t>
                            </w:r>
                            <w:r>
                              <w:rPr>
                                <w:spacing w:val="-13"/>
                              </w:rPr>
                              <w:t> </w:t>
                            </w:r>
                            <w:r>
                              <w:rPr/>
                              <w:t>estos activos se cargan a los resultados.</w:t>
                            </w:r>
                          </w:p>
                        </w:txbxContent>
                      </wps:txbx>
                      <wps:bodyPr wrap="square" lIns="0" tIns="0" rIns="0" bIns="0" rtlCol="0">
                        <a:noAutofit/>
                      </wps:bodyPr>
                    </wps:wsp>
                  </a:graphicData>
                </a:graphic>
              </wp:anchor>
            </w:drawing>
          </mc:Choice>
          <mc:Fallback>
            <w:pict>
              <v:shape style="position:absolute;margin-left:85.103996pt;margin-top:14.44625pt;width:450pt;height:189.65pt;mso-position-horizontal-relative:page;mso-position-vertical-relative:paragraph;z-index:-15542272;mso-wrap-distance-left:0;mso-wrap-distance-right:0" type="#_x0000_t202" id="docshape88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sz w:val="22"/>
                        </w:rPr>
                      </w:pPr>
                      <w:r>
                        <w:rPr>
                          <w:b/>
                          <w:sz w:val="22"/>
                        </w:rPr>
                        <w:t>Bases de</w:t>
                      </w:r>
                      <w:r>
                        <w:rPr>
                          <w:b/>
                          <w:spacing w:val="-2"/>
                          <w:sz w:val="22"/>
                        </w:rPr>
                        <w:t> medición</w:t>
                      </w:r>
                      <w:r>
                        <w:rPr>
                          <w:spacing w:val="-2"/>
                          <w:sz w:val="22"/>
                        </w:rPr>
                        <w:t>:</w:t>
                      </w:r>
                    </w:p>
                    <w:p>
                      <w:pPr>
                        <w:pStyle w:val="BodyText"/>
                        <w:spacing w:before="160"/>
                        <w:ind w:left="103"/>
                      </w:pPr>
                      <w:r>
                        <w:rPr/>
                        <w:t>De conformidad con la política 1.98 todo elemento de</w:t>
                      </w:r>
                      <w:r>
                        <w:rPr>
                          <w:spacing w:val="-2"/>
                        </w:rPr>
                        <w:t> </w:t>
                      </w:r>
                      <w:r>
                        <w:rPr/>
                        <w:t>propiedades, planta y equipo, que cumpla las condiciones para ser reconocido como un activo, se medirá por su costo.</w:t>
                      </w:r>
                    </w:p>
                    <w:p>
                      <w:pPr>
                        <w:pStyle w:val="BodyText"/>
                        <w:spacing w:before="160"/>
                        <w:ind w:left="103"/>
                      </w:pPr>
                      <w:r>
                        <w:rPr/>
                        <w:t>Cuando</w:t>
                      </w:r>
                      <w:r>
                        <w:rPr>
                          <w:spacing w:val="-8"/>
                        </w:rPr>
                        <w:t> </w:t>
                      </w:r>
                      <w:r>
                        <w:rPr/>
                        <w:t>se</w:t>
                      </w:r>
                      <w:r>
                        <w:rPr>
                          <w:spacing w:val="-7"/>
                        </w:rPr>
                        <w:t> </w:t>
                      </w:r>
                      <w:r>
                        <w:rPr/>
                        <w:t>adquiere</w:t>
                      </w:r>
                      <w:r>
                        <w:rPr>
                          <w:spacing w:val="-7"/>
                        </w:rPr>
                        <w:t> </w:t>
                      </w:r>
                      <w:r>
                        <w:rPr/>
                        <w:t>un</w:t>
                      </w:r>
                      <w:r>
                        <w:rPr>
                          <w:spacing w:val="-6"/>
                        </w:rPr>
                        <w:t> </w:t>
                      </w:r>
                      <w:r>
                        <w:rPr/>
                        <w:t>activo</w:t>
                      </w:r>
                      <w:r>
                        <w:rPr>
                          <w:spacing w:val="-6"/>
                        </w:rPr>
                        <w:t> </w:t>
                      </w:r>
                      <w:r>
                        <w:rPr/>
                        <w:t>a</w:t>
                      </w:r>
                      <w:r>
                        <w:rPr>
                          <w:spacing w:val="-7"/>
                        </w:rPr>
                        <w:t> </w:t>
                      </w:r>
                      <w:r>
                        <w:rPr/>
                        <w:t>través</w:t>
                      </w:r>
                      <w:r>
                        <w:rPr>
                          <w:spacing w:val="-6"/>
                        </w:rPr>
                        <w:t> </w:t>
                      </w:r>
                      <w:r>
                        <w:rPr/>
                        <w:t>de</w:t>
                      </w:r>
                      <w:r>
                        <w:rPr>
                          <w:spacing w:val="-8"/>
                        </w:rPr>
                        <w:t> </w:t>
                      </w:r>
                      <w:r>
                        <w:rPr/>
                        <w:t>una</w:t>
                      </w:r>
                      <w:r>
                        <w:rPr>
                          <w:spacing w:val="-7"/>
                        </w:rPr>
                        <w:t> </w:t>
                      </w:r>
                      <w:r>
                        <w:rPr/>
                        <w:t>transacción</w:t>
                      </w:r>
                      <w:r>
                        <w:rPr>
                          <w:spacing w:val="-6"/>
                        </w:rPr>
                        <w:t> </w:t>
                      </w:r>
                      <w:r>
                        <w:rPr/>
                        <w:t>sin</w:t>
                      </w:r>
                      <w:r>
                        <w:rPr>
                          <w:spacing w:val="-6"/>
                        </w:rPr>
                        <w:t> </w:t>
                      </w:r>
                      <w:r>
                        <w:rPr/>
                        <w:t>contraprestación,</w:t>
                      </w:r>
                      <w:r>
                        <w:rPr>
                          <w:spacing w:val="-8"/>
                        </w:rPr>
                        <w:t> </w:t>
                      </w:r>
                      <w:r>
                        <w:rPr/>
                        <w:t>su</w:t>
                      </w:r>
                      <w:r>
                        <w:rPr>
                          <w:spacing w:val="-6"/>
                        </w:rPr>
                        <w:t> </w:t>
                      </w:r>
                      <w:r>
                        <w:rPr/>
                        <w:t>costo</w:t>
                      </w:r>
                      <w:r>
                        <w:rPr>
                          <w:spacing w:val="-7"/>
                        </w:rPr>
                        <w:t> </w:t>
                      </w:r>
                      <w:r>
                        <w:rPr/>
                        <w:t>se</w:t>
                      </w:r>
                      <w:r>
                        <w:rPr>
                          <w:spacing w:val="-7"/>
                        </w:rPr>
                        <w:t> </w:t>
                      </w:r>
                      <w:r>
                        <w:rPr/>
                        <w:t>medirá</w:t>
                      </w:r>
                      <w:r>
                        <w:rPr>
                          <w:spacing w:val="-7"/>
                        </w:rPr>
                        <w:t> </w:t>
                      </w:r>
                      <w:r>
                        <w:rPr/>
                        <w:t>a</w:t>
                      </w:r>
                      <w:r>
                        <w:rPr>
                          <w:spacing w:val="-7"/>
                        </w:rPr>
                        <w:t> </w:t>
                      </w:r>
                      <w:r>
                        <w:rPr/>
                        <w:t>su valor razonable en la fecha de adquisición.</w:t>
                      </w:r>
                    </w:p>
                    <w:p>
                      <w:pPr>
                        <w:pStyle w:val="BodyText"/>
                        <w:spacing w:before="158"/>
                        <w:ind w:left="103" w:right="103"/>
                        <w:jc w:val="both"/>
                      </w:pPr>
                      <w:r>
                        <w:rPr/>
                        <w:t>De</w:t>
                      </w:r>
                      <w:r>
                        <w:rPr>
                          <w:spacing w:val="-6"/>
                        </w:rPr>
                        <w:t> </w:t>
                      </w:r>
                      <w:r>
                        <w:rPr/>
                        <w:t>conformidad</w:t>
                      </w:r>
                      <w:r>
                        <w:rPr>
                          <w:spacing w:val="-5"/>
                        </w:rPr>
                        <w:t> </w:t>
                      </w:r>
                      <w:r>
                        <w:rPr/>
                        <w:t>con</w:t>
                      </w:r>
                      <w:r>
                        <w:rPr>
                          <w:spacing w:val="-4"/>
                        </w:rPr>
                        <w:t> </w:t>
                      </w:r>
                      <w:r>
                        <w:rPr/>
                        <w:t>la</w:t>
                      </w:r>
                      <w:r>
                        <w:rPr>
                          <w:spacing w:val="-6"/>
                        </w:rPr>
                        <w:t> </w:t>
                      </w:r>
                      <w:r>
                        <w:rPr/>
                        <w:t>política</w:t>
                      </w:r>
                      <w:r>
                        <w:rPr>
                          <w:spacing w:val="-5"/>
                        </w:rPr>
                        <w:t> </w:t>
                      </w:r>
                      <w:r>
                        <w:rPr/>
                        <w:t>general</w:t>
                      </w:r>
                      <w:r>
                        <w:rPr>
                          <w:spacing w:val="-5"/>
                        </w:rPr>
                        <w:t> </w:t>
                      </w:r>
                      <w:r>
                        <w:rPr/>
                        <w:t>1.101.1,</w:t>
                      </w:r>
                      <w:r>
                        <w:rPr>
                          <w:spacing w:val="-5"/>
                        </w:rPr>
                        <w:t> </w:t>
                      </w:r>
                      <w:r>
                        <w:rPr/>
                        <w:t>en</w:t>
                      </w:r>
                      <w:r>
                        <w:rPr>
                          <w:spacing w:val="-4"/>
                        </w:rPr>
                        <w:t> </w:t>
                      </w:r>
                      <w:r>
                        <w:rPr/>
                        <w:t>los</w:t>
                      </w:r>
                      <w:r>
                        <w:rPr>
                          <w:spacing w:val="-4"/>
                        </w:rPr>
                        <w:t> </w:t>
                      </w:r>
                      <w:r>
                        <w:rPr/>
                        <w:t>ejercicios</w:t>
                      </w:r>
                      <w:r>
                        <w:rPr>
                          <w:spacing w:val="-4"/>
                        </w:rPr>
                        <w:t> </w:t>
                      </w:r>
                      <w:r>
                        <w:rPr/>
                        <w:t>posteriores</w:t>
                      </w:r>
                      <w:r>
                        <w:rPr>
                          <w:spacing w:val="-4"/>
                        </w:rPr>
                        <w:t> </w:t>
                      </w:r>
                      <w:r>
                        <w:rPr/>
                        <w:t>a</w:t>
                      </w:r>
                      <w:r>
                        <w:rPr>
                          <w:spacing w:val="-5"/>
                        </w:rPr>
                        <w:t> </w:t>
                      </w:r>
                      <w:r>
                        <w:rPr/>
                        <w:t>la</w:t>
                      </w:r>
                      <w:r>
                        <w:rPr>
                          <w:spacing w:val="-6"/>
                        </w:rPr>
                        <w:t> </w:t>
                      </w:r>
                      <w:r>
                        <w:rPr/>
                        <w:t>inicial,</w:t>
                      </w:r>
                      <w:r>
                        <w:rPr>
                          <w:spacing w:val="-5"/>
                        </w:rPr>
                        <w:t> </w:t>
                      </w:r>
                      <w:r>
                        <w:rPr/>
                        <w:t>los</w:t>
                      </w:r>
                      <w:r>
                        <w:rPr>
                          <w:spacing w:val="-4"/>
                        </w:rPr>
                        <w:t> </w:t>
                      </w:r>
                      <w:r>
                        <w:rPr/>
                        <w:t>elementos de propiedades, planta y equipo, que cumplan las condiciones para ser reconocidos como un activo, podrán ser medidos por el Modelo de Costo.</w:t>
                      </w:r>
                    </w:p>
                    <w:p>
                      <w:pPr>
                        <w:pStyle w:val="BodyText"/>
                        <w:spacing w:line="259" w:lineRule="auto" w:before="163"/>
                        <w:ind w:left="103" w:right="101"/>
                        <w:jc w:val="both"/>
                      </w:pPr>
                      <w:r>
                        <w:rPr/>
                        <w:t>Las</w:t>
                      </w:r>
                      <w:r>
                        <w:rPr>
                          <w:spacing w:val="-11"/>
                        </w:rPr>
                        <w:t> </w:t>
                      </w:r>
                      <w:r>
                        <w:rPr/>
                        <w:t>reparaciones</w:t>
                      </w:r>
                      <w:r>
                        <w:rPr>
                          <w:spacing w:val="-13"/>
                        </w:rPr>
                        <w:t> </w:t>
                      </w:r>
                      <w:r>
                        <w:rPr/>
                        <w:t>o</w:t>
                      </w:r>
                      <w:r>
                        <w:rPr>
                          <w:spacing w:val="-11"/>
                        </w:rPr>
                        <w:t> </w:t>
                      </w:r>
                      <w:r>
                        <w:rPr/>
                        <w:t>los</w:t>
                      </w:r>
                      <w:r>
                        <w:rPr>
                          <w:spacing w:val="-11"/>
                        </w:rPr>
                        <w:t> </w:t>
                      </w:r>
                      <w:r>
                        <w:rPr/>
                        <w:t>costos</w:t>
                      </w:r>
                      <w:r>
                        <w:rPr>
                          <w:spacing w:val="-11"/>
                        </w:rPr>
                        <w:t> </w:t>
                      </w:r>
                      <w:r>
                        <w:rPr/>
                        <w:t>derivados</w:t>
                      </w:r>
                      <w:r>
                        <w:rPr>
                          <w:spacing w:val="-11"/>
                        </w:rPr>
                        <w:t> </w:t>
                      </w:r>
                      <w:r>
                        <w:rPr/>
                        <w:t>del</w:t>
                      </w:r>
                      <w:r>
                        <w:rPr>
                          <w:spacing w:val="-12"/>
                        </w:rPr>
                        <w:t> </w:t>
                      </w:r>
                      <w:r>
                        <w:rPr/>
                        <w:t>mantenimiento</w:t>
                      </w:r>
                      <w:r>
                        <w:rPr>
                          <w:spacing w:val="-11"/>
                        </w:rPr>
                        <w:t> </w:t>
                      </w:r>
                      <w:r>
                        <w:rPr/>
                        <w:t>diario</w:t>
                      </w:r>
                      <w:r>
                        <w:rPr>
                          <w:spacing w:val="-13"/>
                        </w:rPr>
                        <w:t> </w:t>
                      </w:r>
                      <w:r>
                        <w:rPr/>
                        <w:t>que</w:t>
                      </w:r>
                      <w:r>
                        <w:rPr>
                          <w:spacing w:val="-13"/>
                        </w:rPr>
                        <w:t> </w:t>
                      </w:r>
                      <w:r>
                        <w:rPr/>
                        <w:t>no</w:t>
                      </w:r>
                      <w:r>
                        <w:rPr>
                          <w:spacing w:val="-11"/>
                        </w:rPr>
                        <w:t> </w:t>
                      </w:r>
                      <w:r>
                        <w:rPr/>
                        <w:t>extienden</w:t>
                      </w:r>
                      <w:r>
                        <w:rPr>
                          <w:spacing w:val="-14"/>
                        </w:rPr>
                        <w:t> </w:t>
                      </w:r>
                      <w:r>
                        <w:rPr/>
                        <w:t>la</w:t>
                      </w:r>
                      <w:r>
                        <w:rPr>
                          <w:spacing w:val="-13"/>
                        </w:rPr>
                        <w:t> </w:t>
                      </w:r>
                      <w:r>
                        <w:rPr/>
                        <w:t>vida</w:t>
                      </w:r>
                      <w:r>
                        <w:rPr>
                          <w:spacing w:val="-13"/>
                        </w:rPr>
                        <w:t> </w:t>
                      </w:r>
                      <w:r>
                        <w:rPr/>
                        <w:t>útil</w:t>
                      </w:r>
                      <w:r>
                        <w:rPr>
                          <w:spacing w:val="-13"/>
                        </w:rPr>
                        <w:t> </w:t>
                      </w:r>
                      <w:r>
                        <w:rPr/>
                        <w:t>de</w:t>
                      </w:r>
                      <w:r>
                        <w:rPr>
                          <w:spacing w:val="-13"/>
                        </w:rPr>
                        <w:t> </w:t>
                      </w:r>
                      <w:r>
                        <w:rPr/>
                        <w:t>estos activos se cargan a los resultados.</w:t>
                      </w:r>
                    </w:p>
                  </w:txbxContent>
                </v:textbox>
                <v:stroke dashstyle="solid"/>
                <w10:wrap type="topAndBottom"/>
              </v:shape>
            </w:pict>
          </mc:Fallback>
        </mc:AlternateContent>
      </w:r>
    </w:p>
    <w:p>
      <w:pPr>
        <w:pStyle w:val="BodyText"/>
        <w:spacing w:before="183"/>
      </w:pPr>
    </w:p>
    <w:p>
      <w:pPr>
        <w:pStyle w:val="ListParagraph"/>
        <w:numPr>
          <w:ilvl w:val="2"/>
          <w:numId w:val="57"/>
        </w:numPr>
        <w:tabs>
          <w:tab w:pos="1341" w:val="left" w:leader="none"/>
        </w:tabs>
        <w:spacing w:line="240" w:lineRule="auto" w:before="1" w:after="0"/>
        <w:ind w:left="1341" w:right="0" w:hanging="360"/>
        <w:jc w:val="left"/>
        <w:rPr>
          <w:sz w:val="22"/>
        </w:rPr>
      </w:pPr>
      <w:r>
        <w:rPr>
          <w:sz w:val="22"/>
          <w:u w:val="single"/>
        </w:rPr>
        <w:t>métodos</w:t>
      </w:r>
      <w:r>
        <w:rPr>
          <w:spacing w:val="-6"/>
          <w:sz w:val="22"/>
          <w:u w:val="single"/>
        </w:rPr>
        <w:t> </w:t>
      </w:r>
      <w:r>
        <w:rPr>
          <w:sz w:val="22"/>
          <w:u w:val="single"/>
        </w:rPr>
        <w:t>de</w:t>
      </w:r>
      <w:r>
        <w:rPr>
          <w:spacing w:val="-5"/>
          <w:sz w:val="22"/>
          <w:u w:val="single"/>
        </w:rPr>
        <w:t> </w:t>
      </w:r>
      <w:r>
        <w:rPr>
          <w:sz w:val="22"/>
          <w:u w:val="single"/>
        </w:rPr>
        <w:t>depreciación</w:t>
      </w:r>
      <w:r>
        <w:rPr>
          <w:spacing w:val="-5"/>
          <w:sz w:val="22"/>
          <w:u w:val="single"/>
        </w:rPr>
        <w:t> </w:t>
      </w:r>
      <w:r>
        <w:rPr>
          <w:sz w:val="22"/>
          <w:u w:val="single"/>
        </w:rPr>
        <w:t>(Párrafo</w:t>
      </w:r>
      <w:r>
        <w:rPr>
          <w:spacing w:val="-5"/>
          <w:sz w:val="22"/>
          <w:u w:val="single"/>
        </w:rPr>
        <w:t> 88)</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2640">
                <wp:simplePos x="0" y="0"/>
                <wp:positionH relativeFrom="page">
                  <wp:posOffset>9525</wp:posOffset>
                </wp:positionH>
                <wp:positionV relativeFrom="page">
                  <wp:posOffset>297208</wp:posOffset>
                </wp:positionV>
                <wp:extent cx="7762875" cy="9748520"/>
                <wp:effectExtent l="0" t="0" r="0" b="0"/>
                <wp:wrapNone/>
                <wp:docPr id="909" name="Group 909"/>
                <wp:cNvGraphicFramePr>
                  <a:graphicFrameLocks/>
                </wp:cNvGraphicFramePr>
                <a:graphic>
                  <a:graphicData uri="http://schemas.microsoft.com/office/word/2010/wordprocessingGroup">
                    <wpg:wgp>
                      <wpg:cNvPr id="909" name="Group 909"/>
                      <wpg:cNvGrpSpPr/>
                      <wpg:grpSpPr>
                        <a:xfrm>
                          <a:off x="0" y="0"/>
                          <a:ext cx="7762875" cy="9748520"/>
                          <a:chExt cx="7762875" cy="9748520"/>
                        </a:xfrm>
                      </wpg:grpSpPr>
                      <pic:pic>
                        <pic:nvPicPr>
                          <pic:cNvPr id="910" name="Image 910"/>
                          <pic:cNvPicPr/>
                        </pic:nvPicPr>
                        <pic:blipFill>
                          <a:blip r:embed="rId5" cstate="print"/>
                          <a:stretch>
                            <a:fillRect/>
                          </a:stretch>
                        </pic:blipFill>
                        <pic:spPr>
                          <a:xfrm>
                            <a:off x="0" y="0"/>
                            <a:ext cx="7762874" cy="9748489"/>
                          </a:xfrm>
                          <a:prstGeom prst="rect">
                            <a:avLst/>
                          </a:prstGeom>
                        </pic:spPr>
                      </pic:pic>
                      <wps:wsp>
                        <wps:cNvPr id="911" name="Graphic 911"/>
                        <wps:cNvSpPr/>
                        <wps:spPr>
                          <a:xfrm>
                            <a:off x="1053007" y="990837"/>
                            <a:ext cx="5923915" cy="7797800"/>
                          </a:xfrm>
                          <a:custGeom>
                            <a:avLst/>
                            <a:gdLst/>
                            <a:ahLst/>
                            <a:cxnLst/>
                            <a:rect l="l" t="t" r="r" b="b"/>
                            <a:pathLst>
                              <a:path w="5923915" h="7797800">
                                <a:moveTo>
                                  <a:pt x="5649214" y="0"/>
                                </a:moveTo>
                                <a:lnTo>
                                  <a:pt x="0" y="0"/>
                                </a:lnTo>
                                <a:lnTo>
                                  <a:pt x="0" y="9131"/>
                                </a:lnTo>
                                <a:lnTo>
                                  <a:pt x="5649214" y="9131"/>
                                </a:lnTo>
                                <a:lnTo>
                                  <a:pt x="5649214" y="0"/>
                                </a:lnTo>
                                <a:close/>
                              </a:path>
                              <a:path w="5923915" h="7797800">
                                <a:moveTo>
                                  <a:pt x="5923483" y="7791653"/>
                                </a:moveTo>
                                <a:lnTo>
                                  <a:pt x="5917438" y="7791653"/>
                                </a:lnTo>
                                <a:lnTo>
                                  <a:pt x="21336" y="7791653"/>
                                </a:lnTo>
                                <a:lnTo>
                                  <a:pt x="15240" y="7791653"/>
                                </a:lnTo>
                                <a:lnTo>
                                  <a:pt x="15240" y="7797736"/>
                                </a:lnTo>
                                <a:lnTo>
                                  <a:pt x="21336" y="7797736"/>
                                </a:lnTo>
                                <a:lnTo>
                                  <a:pt x="5917387" y="7797736"/>
                                </a:lnTo>
                                <a:lnTo>
                                  <a:pt x="5923483" y="7797736"/>
                                </a:lnTo>
                                <a:lnTo>
                                  <a:pt x="5923483" y="7791653"/>
                                </a:lnTo>
                                <a:close/>
                              </a:path>
                              <a:path w="5923915" h="7797800">
                                <a:moveTo>
                                  <a:pt x="5923483" y="2190356"/>
                                </a:moveTo>
                                <a:lnTo>
                                  <a:pt x="5917438" y="2190356"/>
                                </a:lnTo>
                                <a:lnTo>
                                  <a:pt x="21336" y="2190356"/>
                                </a:lnTo>
                                <a:lnTo>
                                  <a:pt x="15240" y="2190356"/>
                                </a:lnTo>
                                <a:lnTo>
                                  <a:pt x="15240" y="2196401"/>
                                </a:lnTo>
                                <a:lnTo>
                                  <a:pt x="15240" y="7791640"/>
                                </a:lnTo>
                                <a:lnTo>
                                  <a:pt x="21336" y="7791640"/>
                                </a:lnTo>
                                <a:lnTo>
                                  <a:pt x="21336" y="2196452"/>
                                </a:lnTo>
                                <a:lnTo>
                                  <a:pt x="5917387" y="2196452"/>
                                </a:lnTo>
                                <a:lnTo>
                                  <a:pt x="5917387" y="7791640"/>
                                </a:lnTo>
                                <a:lnTo>
                                  <a:pt x="5923483" y="7791640"/>
                                </a:lnTo>
                                <a:lnTo>
                                  <a:pt x="5923483" y="2196452"/>
                                </a:lnTo>
                                <a:lnTo>
                                  <a:pt x="5923483" y="219035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3840" id="docshapegroup884" coordorigin="15,468" coordsize="12225,15352">
                <v:shape style="position:absolute;left:15;top:468;width:12225;height:15352" type="#_x0000_t75" id="docshape885" stroked="false">
                  <v:imagedata r:id="rId5" o:title=""/>
                </v:shape>
                <v:shape style="position:absolute;left:1673;top:2028;width:9329;height:12280" id="docshape886" coordorigin="1673,2028" coordsize="9329,12280" path="m10570,2028l1673,2028,1673,2043,10570,2043,10570,2028xm11002,14299l10992,14299,10992,14299,1707,14299,1697,14299,1697,14308,1707,14308,10992,14308,10992,14308,11002,14308,11002,14299xm11002,5478l10992,5478,10992,5478,1707,5478,1697,5478,1697,5487,1697,5487,1697,14299,1707,14299,1707,5487,10992,5487,10992,14299,11002,14299,11002,5487,11002,5487,11002,547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183</w:t>
      </w:r>
    </w:p>
    <w:p>
      <w:pPr>
        <w:pStyle w:val="BodyText"/>
        <w:spacing w:before="10"/>
        <w:rPr>
          <w:sz w:val="16"/>
        </w:rPr>
      </w:pPr>
      <w:r>
        <w:rPr>
          <w:sz w:val="16"/>
        </w:rPr>
        <mc:AlternateContent>
          <mc:Choice Requires="wps">
            <w:drawing>
              <wp:anchor distT="0" distB="0" distL="0" distR="0" allowOverlap="1" layoutInCell="1" locked="0" behindDoc="1" simplePos="0" relativeHeight="487775232">
                <wp:simplePos x="0" y="0"/>
                <wp:positionH relativeFrom="page">
                  <wp:posOffset>1080820</wp:posOffset>
                </wp:positionH>
                <wp:positionV relativeFrom="paragraph">
                  <wp:posOffset>141144</wp:posOffset>
                </wp:positionV>
                <wp:extent cx="5715000" cy="1318260"/>
                <wp:effectExtent l="0" t="0" r="0" b="0"/>
                <wp:wrapTopAndBottom/>
                <wp:docPr id="912" name="Textbox 912"/>
                <wp:cNvGraphicFramePr>
                  <a:graphicFrameLocks/>
                </wp:cNvGraphicFramePr>
                <a:graphic>
                  <a:graphicData uri="http://schemas.microsoft.com/office/word/2010/wordprocessingShape">
                    <wps:wsp>
                      <wps:cNvPr id="912" name="Textbox 912"/>
                      <wps:cNvSpPr txBox="1"/>
                      <wps:spPr>
                        <a:xfrm>
                          <a:off x="0" y="0"/>
                          <a:ext cx="5715000" cy="131826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sz w:val="22"/>
                              </w:rPr>
                              <w:t>Método</w:t>
                            </w:r>
                            <w:r>
                              <w:rPr>
                                <w:b/>
                                <w:spacing w:val="-3"/>
                                <w:sz w:val="22"/>
                              </w:rPr>
                              <w:t> </w:t>
                            </w:r>
                            <w:r>
                              <w:rPr>
                                <w:b/>
                                <w:sz w:val="22"/>
                              </w:rPr>
                              <w:t>de</w:t>
                            </w:r>
                            <w:r>
                              <w:rPr>
                                <w:b/>
                                <w:spacing w:val="-2"/>
                                <w:sz w:val="22"/>
                              </w:rPr>
                              <w:t> depreciación:</w:t>
                            </w:r>
                          </w:p>
                          <w:p>
                            <w:pPr>
                              <w:pStyle w:val="BodyText"/>
                              <w:spacing w:before="2"/>
                              <w:rPr>
                                <w:b/>
                              </w:rPr>
                            </w:pPr>
                          </w:p>
                          <w:p>
                            <w:pPr>
                              <w:pStyle w:val="BodyText"/>
                              <w:spacing w:line="259" w:lineRule="auto"/>
                              <w:ind w:left="103" w:right="644"/>
                            </w:pPr>
                            <w:r>
                              <w:rPr/>
                              <w:t>El</w:t>
                            </w:r>
                            <w:r>
                              <w:rPr>
                                <w:spacing w:val="-2"/>
                              </w:rPr>
                              <w:t> </w:t>
                            </w:r>
                            <w:r>
                              <w:rPr/>
                              <w:t>método</w:t>
                            </w:r>
                            <w:r>
                              <w:rPr>
                                <w:spacing w:val="-4"/>
                              </w:rPr>
                              <w:t> </w:t>
                            </w:r>
                            <w:r>
                              <w:rPr/>
                              <w:t>de</w:t>
                            </w:r>
                            <w:r>
                              <w:rPr>
                                <w:spacing w:val="-4"/>
                              </w:rPr>
                              <w:t> </w:t>
                            </w:r>
                            <w:r>
                              <w:rPr/>
                              <w:t>depreciación</w:t>
                            </w:r>
                            <w:r>
                              <w:rPr>
                                <w:spacing w:val="-2"/>
                              </w:rPr>
                              <w:t> </w:t>
                            </w:r>
                            <w:r>
                              <w:rPr/>
                              <w:t>utilizado</w:t>
                            </w:r>
                            <w:r>
                              <w:rPr>
                                <w:spacing w:val="-2"/>
                              </w:rPr>
                              <w:t> </w:t>
                            </w:r>
                            <w:r>
                              <w:rPr/>
                              <w:t>para</w:t>
                            </w:r>
                            <w:r>
                              <w:rPr>
                                <w:spacing w:val="-3"/>
                              </w:rPr>
                              <w:t> </w:t>
                            </w:r>
                            <w:r>
                              <w:rPr/>
                              <w:t>los</w:t>
                            </w:r>
                            <w:r>
                              <w:rPr>
                                <w:spacing w:val="-1"/>
                              </w:rPr>
                              <w:t> </w:t>
                            </w:r>
                            <w:r>
                              <w:rPr/>
                              <w:t>activos</w:t>
                            </w:r>
                            <w:r>
                              <w:rPr>
                                <w:spacing w:val="-1"/>
                              </w:rPr>
                              <w:t> </w:t>
                            </w:r>
                            <w:r>
                              <w:rPr/>
                              <w:t>es</w:t>
                            </w:r>
                            <w:r>
                              <w:rPr>
                                <w:spacing w:val="-4"/>
                              </w:rPr>
                              <w:t> </w:t>
                            </w:r>
                            <w:r>
                              <w:rPr/>
                              <w:t>Línea</w:t>
                            </w:r>
                            <w:r>
                              <w:rPr>
                                <w:spacing w:val="-3"/>
                              </w:rPr>
                              <w:t> </w:t>
                            </w:r>
                            <w:r>
                              <w:rPr/>
                              <w:t>Recta,</w:t>
                            </w:r>
                            <w:r>
                              <w:rPr>
                                <w:spacing w:val="-2"/>
                              </w:rPr>
                              <w:t> </w:t>
                            </w:r>
                            <w:r>
                              <w:rPr/>
                              <w:t>y</w:t>
                            </w:r>
                            <w:r>
                              <w:rPr>
                                <w:spacing w:val="-3"/>
                              </w:rPr>
                              <w:t> </w:t>
                            </w:r>
                            <w:r>
                              <w:rPr/>
                              <w:t>se</w:t>
                            </w:r>
                            <w:r>
                              <w:rPr>
                                <w:spacing w:val="-3"/>
                              </w:rPr>
                              <w:t> </w:t>
                            </w:r>
                            <w:r>
                              <w:rPr/>
                              <w:t>deprecian</w:t>
                            </w:r>
                            <w:r>
                              <w:rPr>
                                <w:spacing w:val="-2"/>
                              </w:rPr>
                              <w:t> </w:t>
                            </w:r>
                            <w:r>
                              <w:rPr/>
                              <w:t>a</w:t>
                            </w:r>
                            <w:r>
                              <w:rPr>
                                <w:spacing w:val="-2"/>
                              </w:rPr>
                              <w:t> </w:t>
                            </w:r>
                            <w:r>
                              <w:rPr/>
                              <w:t>partir</w:t>
                            </w:r>
                            <w:r>
                              <w:rPr>
                                <w:spacing w:val="-2"/>
                              </w:rPr>
                              <w:t> </w:t>
                            </w:r>
                            <w:r>
                              <w:rPr/>
                              <w:t>del primer día hábil del mes siguiente.</w:t>
                            </w:r>
                          </w:p>
                        </w:txbxContent>
                      </wps:txbx>
                      <wps:bodyPr wrap="square" lIns="0" tIns="0" rIns="0" bIns="0" rtlCol="0">
                        <a:noAutofit/>
                      </wps:bodyPr>
                    </wps:wsp>
                  </a:graphicData>
                </a:graphic>
              </wp:anchor>
            </w:drawing>
          </mc:Choice>
          <mc:Fallback>
            <w:pict>
              <v:shape style="position:absolute;margin-left:85.103996pt;margin-top:11.11375pt;width:450pt;height:103.8pt;mso-position-horizontal-relative:page;mso-position-vertical-relative:paragraph;z-index:-15541248;mso-wrap-distance-left:0;mso-wrap-distance-right:0" type="#_x0000_t202" id="docshape88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79"/>
                        <w:ind w:left="103" w:right="0" w:firstLine="0"/>
                        <w:jc w:val="left"/>
                        <w:rPr>
                          <w:b/>
                          <w:sz w:val="22"/>
                        </w:rPr>
                      </w:pPr>
                      <w:r>
                        <w:rPr>
                          <w:b/>
                          <w:sz w:val="22"/>
                        </w:rPr>
                        <w:t>Método</w:t>
                      </w:r>
                      <w:r>
                        <w:rPr>
                          <w:b/>
                          <w:spacing w:val="-3"/>
                          <w:sz w:val="22"/>
                        </w:rPr>
                        <w:t> </w:t>
                      </w:r>
                      <w:r>
                        <w:rPr>
                          <w:b/>
                          <w:sz w:val="22"/>
                        </w:rPr>
                        <w:t>de</w:t>
                      </w:r>
                      <w:r>
                        <w:rPr>
                          <w:b/>
                          <w:spacing w:val="-2"/>
                          <w:sz w:val="22"/>
                        </w:rPr>
                        <w:t> depreciación:</w:t>
                      </w:r>
                    </w:p>
                    <w:p>
                      <w:pPr>
                        <w:pStyle w:val="BodyText"/>
                        <w:spacing w:before="2"/>
                        <w:rPr>
                          <w:b/>
                        </w:rPr>
                      </w:pPr>
                    </w:p>
                    <w:p>
                      <w:pPr>
                        <w:pStyle w:val="BodyText"/>
                        <w:spacing w:line="259" w:lineRule="auto"/>
                        <w:ind w:left="103" w:right="644"/>
                      </w:pPr>
                      <w:r>
                        <w:rPr/>
                        <w:t>El</w:t>
                      </w:r>
                      <w:r>
                        <w:rPr>
                          <w:spacing w:val="-2"/>
                        </w:rPr>
                        <w:t> </w:t>
                      </w:r>
                      <w:r>
                        <w:rPr/>
                        <w:t>método</w:t>
                      </w:r>
                      <w:r>
                        <w:rPr>
                          <w:spacing w:val="-4"/>
                        </w:rPr>
                        <w:t> </w:t>
                      </w:r>
                      <w:r>
                        <w:rPr/>
                        <w:t>de</w:t>
                      </w:r>
                      <w:r>
                        <w:rPr>
                          <w:spacing w:val="-4"/>
                        </w:rPr>
                        <w:t> </w:t>
                      </w:r>
                      <w:r>
                        <w:rPr/>
                        <w:t>depreciación</w:t>
                      </w:r>
                      <w:r>
                        <w:rPr>
                          <w:spacing w:val="-2"/>
                        </w:rPr>
                        <w:t> </w:t>
                      </w:r>
                      <w:r>
                        <w:rPr/>
                        <w:t>utilizado</w:t>
                      </w:r>
                      <w:r>
                        <w:rPr>
                          <w:spacing w:val="-2"/>
                        </w:rPr>
                        <w:t> </w:t>
                      </w:r>
                      <w:r>
                        <w:rPr/>
                        <w:t>para</w:t>
                      </w:r>
                      <w:r>
                        <w:rPr>
                          <w:spacing w:val="-3"/>
                        </w:rPr>
                        <w:t> </w:t>
                      </w:r>
                      <w:r>
                        <w:rPr/>
                        <w:t>los</w:t>
                      </w:r>
                      <w:r>
                        <w:rPr>
                          <w:spacing w:val="-1"/>
                        </w:rPr>
                        <w:t> </w:t>
                      </w:r>
                      <w:r>
                        <w:rPr/>
                        <w:t>activos</w:t>
                      </w:r>
                      <w:r>
                        <w:rPr>
                          <w:spacing w:val="-1"/>
                        </w:rPr>
                        <w:t> </w:t>
                      </w:r>
                      <w:r>
                        <w:rPr/>
                        <w:t>es</w:t>
                      </w:r>
                      <w:r>
                        <w:rPr>
                          <w:spacing w:val="-4"/>
                        </w:rPr>
                        <w:t> </w:t>
                      </w:r>
                      <w:r>
                        <w:rPr/>
                        <w:t>Línea</w:t>
                      </w:r>
                      <w:r>
                        <w:rPr>
                          <w:spacing w:val="-3"/>
                        </w:rPr>
                        <w:t> </w:t>
                      </w:r>
                      <w:r>
                        <w:rPr/>
                        <w:t>Recta,</w:t>
                      </w:r>
                      <w:r>
                        <w:rPr>
                          <w:spacing w:val="-2"/>
                        </w:rPr>
                        <w:t> </w:t>
                      </w:r>
                      <w:r>
                        <w:rPr/>
                        <w:t>y</w:t>
                      </w:r>
                      <w:r>
                        <w:rPr>
                          <w:spacing w:val="-3"/>
                        </w:rPr>
                        <w:t> </w:t>
                      </w:r>
                      <w:r>
                        <w:rPr/>
                        <w:t>se</w:t>
                      </w:r>
                      <w:r>
                        <w:rPr>
                          <w:spacing w:val="-3"/>
                        </w:rPr>
                        <w:t> </w:t>
                      </w:r>
                      <w:r>
                        <w:rPr/>
                        <w:t>deprecian</w:t>
                      </w:r>
                      <w:r>
                        <w:rPr>
                          <w:spacing w:val="-2"/>
                        </w:rPr>
                        <w:t> </w:t>
                      </w:r>
                      <w:r>
                        <w:rPr/>
                        <w:t>a</w:t>
                      </w:r>
                      <w:r>
                        <w:rPr>
                          <w:spacing w:val="-2"/>
                        </w:rPr>
                        <w:t> </w:t>
                      </w:r>
                      <w:r>
                        <w:rPr/>
                        <w:t>partir</w:t>
                      </w:r>
                      <w:r>
                        <w:rPr>
                          <w:spacing w:val="-2"/>
                        </w:rPr>
                        <w:t> </w:t>
                      </w:r>
                      <w:r>
                        <w:rPr/>
                        <w:t>del primer día hábil del mes siguiente.</w:t>
                      </w:r>
                    </w:p>
                  </w:txbxContent>
                </v:textbox>
                <v:stroke dashstyle="solid"/>
                <w10:wrap type="topAndBottom"/>
              </v:shape>
            </w:pict>
          </mc:Fallback>
        </mc:AlternateContent>
      </w:r>
    </w:p>
    <w:p>
      <w:pPr>
        <w:pStyle w:val="BodyText"/>
        <w:spacing w:before="6"/>
      </w:pPr>
    </w:p>
    <w:p>
      <w:pPr>
        <w:pStyle w:val="ListParagraph"/>
        <w:numPr>
          <w:ilvl w:val="2"/>
          <w:numId w:val="57"/>
        </w:numPr>
        <w:tabs>
          <w:tab w:pos="1342" w:val="left" w:leader="none"/>
        </w:tabs>
        <w:spacing w:line="350" w:lineRule="auto" w:before="0" w:after="0"/>
        <w:ind w:left="1342" w:right="1017" w:hanging="360"/>
        <w:jc w:val="left"/>
        <w:rPr>
          <w:i/>
          <w:sz w:val="23"/>
        </w:rPr>
      </w:pPr>
      <w:r>
        <w:rPr>
          <w:sz w:val="22"/>
          <w:u w:val="single"/>
        </w:rPr>
        <w:t>Conciliación</w:t>
      </w:r>
      <w:r>
        <w:rPr>
          <w:spacing w:val="-3"/>
          <w:sz w:val="22"/>
          <w:u w:val="single"/>
        </w:rPr>
        <w:t> </w:t>
      </w:r>
      <w:r>
        <w:rPr>
          <w:sz w:val="22"/>
          <w:u w:val="single"/>
        </w:rPr>
        <w:t>del</w:t>
      </w:r>
      <w:r>
        <w:rPr>
          <w:spacing w:val="-3"/>
          <w:sz w:val="22"/>
          <w:u w:val="single"/>
        </w:rPr>
        <w:t> </w:t>
      </w:r>
      <w:r>
        <w:rPr>
          <w:sz w:val="22"/>
          <w:u w:val="single"/>
        </w:rPr>
        <w:t>Importe</w:t>
      </w:r>
      <w:r>
        <w:rPr>
          <w:spacing w:val="-2"/>
          <w:sz w:val="22"/>
          <w:u w:val="single"/>
        </w:rPr>
        <w:t> </w:t>
      </w:r>
      <w:r>
        <w:rPr>
          <w:sz w:val="22"/>
          <w:u w:val="single"/>
        </w:rPr>
        <w:t>bruto</w:t>
      </w:r>
      <w:r>
        <w:rPr>
          <w:spacing w:val="-5"/>
          <w:sz w:val="22"/>
          <w:u w:val="single"/>
        </w:rPr>
        <w:t> </w:t>
      </w:r>
      <w:r>
        <w:rPr>
          <w:sz w:val="22"/>
          <w:u w:val="single"/>
        </w:rPr>
        <w:t>en</w:t>
      </w:r>
      <w:r>
        <w:rPr>
          <w:spacing w:val="-3"/>
          <w:sz w:val="22"/>
          <w:u w:val="single"/>
        </w:rPr>
        <w:t> </w:t>
      </w:r>
      <w:r>
        <w:rPr>
          <w:sz w:val="22"/>
          <w:u w:val="single"/>
        </w:rPr>
        <w:t>libros</w:t>
      </w:r>
      <w:r>
        <w:rPr>
          <w:spacing w:val="-2"/>
          <w:sz w:val="22"/>
          <w:u w:val="single"/>
        </w:rPr>
        <w:t> </w:t>
      </w:r>
      <w:r>
        <w:rPr>
          <w:sz w:val="22"/>
          <w:u w:val="single"/>
        </w:rPr>
        <w:t>de</w:t>
      </w:r>
      <w:r>
        <w:rPr>
          <w:spacing w:val="-2"/>
          <w:sz w:val="22"/>
          <w:u w:val="single"/>
        </w:rPr>
        <w:t> </w:t>
      </w:r>
      <w:r>
        <w:rPr>
          <w:sz w:val="22"/>
          <w:u w:val="single"/>
        </w:rPr>
        <w:t>Propiedades,</w:t>
      </w:r>
      <w:r>
        <w:rPr>
          <w:spacing w:val="-3"/>
          <w:sz w:val="22"/>
          <w:u w:val="single"/>
        </w:rPr>
        <w:t> </w:t>
      </w:r>
      <w:r>
        <w:rPr>
          <w:sz w:val="22"/>
          <w:u w:val="single"/>
        </w:rPr>
        <w:t>Planta</w:t>
      </w:r>
      <w:r>
        <w:rPr>
          <w:spacing w:val="-3"/>
          <w:sz w:val="22"/>
          <w:u w:val="single"/>
        </w:rPr>
        <w:t> </w:t>
      </w:r>
      <w:r>
        <w:rPr>
          <w:sz w:val="22"/>
          <w:u w:val="single"/>
        </w:rPr>
        <w:t>y</w:t>
      </w:r>
      <w:r>
        <w:rPr>
          <w:spacing w:val="-4"/>
          <w:sz w:val="22"/>
          <w:u w:val="single"/>
        </w:rPr>
        <w:t> </w:t>
      </w:r>
      <w:r>
        <w:rPr>
          <w:sz w:val="22"/>
          <w:u w:val="single"/>
        </w:rPr>
        <w:t>Equipo</w:t>
      </w:r>
      <w:r>
        <w:rPr>
          <w:spacing w:val="-3"/>
          <w:sz w:val="22"/>
          <w:u w:val="single"/>
        </w:rPr>
        <w:t> </w:t>
      </w:r>
      <w:r>
        <w:rPr>
          <w:sz w:val="22"/>
          <w:u w:val="single"/>
        </w:rPr>
        <w:t>(Párrafo</w:t>
      </w:r>
      <w:r>
        <w:rPr>
          <w:spacing w:val="-5"/>
          <w:sz w:val="22"/>
          <w:u w:val="single"/>
        </w:rPr>
        <w:t> </w:t>
      </w:r>
      <w:r>
        <w:rPr>
          <w:sz w:val="22"/>
          <w:u w:val="single"/>
        </w:rPr>
        <w:t>88,</w:t>
      </w:r>
      <w:r>
        <w:rPr>
          <w:spacing w:val="-3"/>
          <w:sz w:val="22"/>
          <w:u w:val="single"/>
        </w:rPr>
        <w:t> </w:t>
      </w:r>
      <w:r>
        <w:rPr>
          <w:sz w:val="22"/>
          <w:u w:val="single"/>
        </w:rPr>
        <w:t>inciso</w:t>
      </w:r>
      <w:r>
        <w:rPr>
          <w:sz w:val="22"/>
          <w:u w:val="none"/>
        </w:rPr>
        <w:t> </w:t>
      </w:r>
      <w:r>
        <w:rPr>
          <w:sz w:val="22"/>
          <w:u w:val="single"/>
        </w:rPr>
        <w:t>e) </w:t>
      </w:r>
      <w:r>
        <w:rPr>
          <w:i/>
          <w:sz w:val="23"/>
          <w:u w:val="single"/>
        </w:rPr>
        <w:t>cuadro anexo</w:t>
      </w:r>
    </w:p>
    <w:p>
      <w:pPr>
        <w:pStyle w:val="Heading6"/>
        <w:spacing w:before="173"/>
        <w:ind w:left="730"/>
        <w:rPr>
          <w:b w:val="0"/>
        </w:rPr>
      </w:pPr>
      <w:r>
        <w:rPr>
          <w:color w:val="1F4E79"/>
          <w:spacing w:val="-2"/>
          <w:u w:val="single" w:color="1F4E79"/>
        </w:rPr>
        <w:t>Revelación</w:t>
      </w:r>
      <w:r>
        <w:rPr>
          <w:b w:val="0"/>
          <w:spacing w:val="-2"/>
          <w:u w:val="none"/>
        </w:rPr>
        <w:t>:</w:t>
      </w:r>
    </w:p>
    <w:p>
      <w:pPr>
        <w:pStyle w:val="BodyText"/>
        <w:spacing w:line="259" w:lineRule="auto" w:before="181"/>
        <w:ind w:left="730" w:right="635"/>
        <w:jc w:val="both"/>
      </w:pPr>
      <w:r>
        <w:rPr/>
        <w:t>El siguiente cuadro muestra la evolución del costo histórico de los activos fijos, clasificados por tipo de bien (terreno, edificios, equipo, vehículos, etc.), considerando retiros y deterioros ocurridos durante el periodo, sin registro de nuevas adiciones:</w:t>
      </w:r>
    </w:p>
    <w:p>
      <w:pPr>
        <w:pStyle w:val="BodyText"/>
        <w:spacing w:before="5" w:after="1"/>
        <w:rPr>
          <w:sz w:val="13"/>
        </w:rPr>
      </w:pPr>
    </w:p>
    <w:tbl>
      <w:tblPr>
        <w:tblW w:w="0" w:type="auto"/>
        <w:jc w:val="left"/>
        <w:tblInd w:w="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8"/>
        <w:gridCol w:w="237"/>
        <w:gridCol w:w="843"/>
        <w:gridCol w:w="182"/>
        <w:gridCol w:w="712"/>
        <w:gridCol w:w="146"/>
        <w:gridCol w:w="733"/>
        <w:gridCol w:w="210"/>
        <w:gridCol w:w="809"/>
        <w:gridCol w:w="178"/>
        <w:gridCol w:w="678"/>
        <w:gridCol w:w="200"/>
        <w:gridCol w:w="693"/>
        <w:gridCol w:w="152"/>
        <w:gridCol w:w="826"/>
      </w:tblGrid>
      <w:tr>
        <w:trPr>
          <w:trHeight w:val="754" w:hRule="atLeast"/>
        </w:trPr>
        <w:tc>
          <w:tcPr>
            <w:tcW w:w="8167" w:type="dxa"/>
            <w:gridSpan w:val="15"/>
            <w:tcBorders>
              <w:top w:val="single" w:sz="4" w:space="0" w:color="000000"/>
              <w:left w:val="single" w:sz="4" w:space="0" w:color="000000"/>
              <w:bottom w:val="double" w:sz="2" w:space="0" w:color="000000"/>
              <w:right w:val="single" w:sz="4" w:space="0" w:color="000000"/>
            </w:tcBorders>
          </w:tcPr>
          <w:p>
            <w:pPr>
              <w:pStyle w:val="TableParagraph"/>
              <w:tabs>
                <w:tab w:pos="5602" w:val="left" w:leader="none"/>
              </w:tabs>
              <w:spacing w:line="185" w:lineRule="exact" w:before="5"/>
              <w:ind w:left="3748"/>
              <w:rPr>
                <w:rFonts w:ascii="Times New Roman"/>
                <w:b/>
                <w:sz w:val="12"/>
              </w:rPr>
            </w:pPr>
            <w:r>
              <w:rPr>
                <w:rFonts w:ascii="Times New Roman"/>
                <w:b/>
                <w:spacing w:val="-2"/>
                <w:position w:val="8"/>
                <w:sz w:val="12"/>
              </w:rPr>
              <w:t>Equipo</w:t>
            </w:r>
            <w:r>
              <w:rPr>
                <w:rFonts w:ascii="Times New Roman"/>
                <w:b/>
                <w:spacing w:val="2"/>
                <w:position w:val="8"/>
                <w:sz w:val="12"/>
              </w:rPr>
              <w:t> </w:t>
            </w:r>
            <w:r>
              <w:rPr>
                <w:rFonts w:ascii="Times New Roman"/>
                <w:b/>
                <w:spacing w:val="-10"/>
                <w:position w:val="8"/>
                <w:sz w:val="12"/>
              </w:rPr>
              <w:t>y</w:t>
            </w:r>
            <w:r>
              <w:rPr>
                <w:rFonts w:ascii="Times New Roman"/>
                <w:b/>
                <w:position w:val="8"/>
                <w:sz w:val="12"/>
              </w:rPr>
              <w:tab/>
            </w:r>
            <w:r>
              <w:rPr>
                <w:rFonts w:ascii="Times New Roman"/>
                <w:b/>
                <w:spacing w:val="-2"/>
                <w:sz w:val="12"/>
              </w:rPr>
              <w:t>Equipo</w:t>
            </w:r>
            <w:r>
              <w:rPr>
                <w:rFonts w:ascii="Times New Roman"/>
                <w:b/>
                <w:spacing w:val="2"/>
                <w:sz w:val="12"/>
              </w:rPr>
              <w:t> </w:t>
            </w:r>
            <w:r>
              <w:rPr>
                <w:rFonts w:ascii="Times New Roman"/>
                <w:b/>
                <w:spacing w:val="-5"/>
                <w:sz w:val="12"/>
              </w:rPr>
              <w:t>de</w:t>
            </w:r>
          </w:p>
          <w:p>
            <w:pPr>
              <w:pStyle w:val="TableParagraph"/>
              <w:tabs>
                <w:tab w:pos="5593" w:val="left" w:leader="none"/>
                <w:tab w:pos="6457" w:val="left" w:leader="none"/>
              </w:tabs>
              <w:spacing w:line="153" w:lineRule="auto"/>
              <w:ind w:left="3637"/>
              <w:rPr>
                <w:rFonts w:ascii="Times New Roman"/>
                <w:b/>
                <w:sz w:val="12"/>
              </w:rPr>
            </w:pPr>
            <w:r>
              <w:rPr>
                <w:rFonts w:ascii="Times New Roman"/>
                <w:b/>
                <w:spacing w:val="-2"/>
                <w:position w:val="1"/>
                <w:sz w:val="12"/>
              </w:rPr>
              <w:t>mobiliario</w:t>
            </w:r>
            <w:r>
              <w:rPr>
                <w:rFonts w:ascii="Times New Roman"/>
                <w:b/>
                <w:spacing w:val="9"/>
                <w:position w:val="1"/>
                <w:sz w:val="12"/>
              </w:rPr>
              <w:t> </w:t>
            </w:r>
            <w:r>
              <w:rPr>
                <w:rFonts w:ascii="Times New Roman"/>
                <w:b/>
                <w:spacing w:val="-5"/>
                <w:position w:val="1"/>
                <w:sz w:val="12"/>
              </w:rPr>
              <w:t>de</w:t>
            </w:r>
            <w:r>
              <w:rPr>
                <w:rFonts w:ascii="Times New Roman"/>
                <w:b/>
                <w:position w:val="1"/>
                <w:sz w:val="12"/>
              </w:rPr>
              <w:tab/>
            </w:r>
            <w:r>
              <w:rPr>
                <w:rFonts w:ascii="Times New Roman"/>
                <w:b/>
                <w:spacing w:val="-2"/>
                <w:position w:val="-6"/>
                <w:sz w:val="12"/>
              </w:rPr>
              <w:t>seguridad,</w:t>
            </w:r>
            <w:r>
              <w:rPr>
                <w:rFonts w:ascii="Times New Roman"/>
                <w:b/>
                <w:position w:val="-6"/>
                <w:sz w:val="12"/>
              </w:rPr>
              <w:tab/>
            </w:r>
            <w:r>
              <w:rPr>
                <w:rFonts w:ascii="Times New Roman"/>
                <w:b/>
                <w:spacing w:val="-2"/>
                <w:sz w:val="12"/>
              </w:rPr>
              <w:t>Maquinaria</w:t>
            </w:r>
            <w:r>
              <w:rPr>
                <w:rFonts w:ascii="Times New Roman"/>
                <w:b/>
                <w:spacing w:val="8"/>
                <w:sz w:val="12"/>
              </w:rPr>
              <w:t> </w:t>
            </w:r>
            <w:r>
              <w:rPr>
                <w:rFonts w:ascii="Times New Roman"/>
                <w:b/>
                <w:spacing w:val="-10"/>
                <w:sz w:val="12"/>
              </w:rPr>
              <w:t>y</w:t>
            </w:r>
          </w:p>
          <w:p>
            <w:pPr>
              <w:pStyle w:val="TableParagraph"/>
              <w:tabs>
                <w:tab w:pos="1833" w:val="left" w:leader="none"/>
                <w:tab w:pos="2666" w:val="left" w:leader="none"/>
              </w:tabs>
              <w:spacing w:line="156" w:lineRule="auto"/>
              <w:ind w:right="1354"/>
              <w:jc w:val="right"/>
              <w:rPr>
                <w:rFonts w:ascii="Times New Roman"/>
                <w:b/>
                <w:sz w:val="12"/>
              </w:rPr>
            </w:pPr>
            <w:r>
              <w:rPr>
                <w:rFonts w:ascii="Times New Roman"/>
                <w:b/>
                <w:spacing w:val="-2"/>
                <w:position w:val="1"/>
                <w:sz w:val="12"/>
              </w:rPr>
              <w:t>oficina,</w:t>
            </w:r>
            <w:r>
              <w:rPr>
                <w:rFonts w:ascii="Times New Roman"/>
                <w:b/>
                <w:position w:val="1"/>
                <w:sz w:val="12"/>
              </w:rPr>
              <w:tab/>
            </w:r>
            <w:r>
              <w:rPr>
                <w:rFonts w:ascii="Times New Roman"/>
                <w:b/>
                <w:spacing w:val="-2"/>
                <w:position w:val="-6"/>
                <w:sz w:val="12"/>
              </w:rPr>
              <w:t>sanitario,</w:t>
            </w:r>
            <w:r>
              <w:rPr>
                <w:rFonts w:ascii="Times New Roman"/>
                <w:b/>
                <w:position w:val="-6"/>
                <w:sz w:val="12"/>
              </w:rPr>
              <w:tab/>
            </w:r>
            <w:r>
              <w:rPr>
                <w:rFonts w:ascii="Times New Roman"/>
                <w:b/>
                <w:spacing w:val="-2"/>
                <w:sz w:val="12"/>
              </w:rPr>
              <w:t>equipo</w:t>
            </w:r>
          </w:p>
          <w:p>
            <w:pPr>
              <w:pStyle w:val="TableParagraph"/>
              <w:tabs>
                <w:tab w:pos="2037" w:val="left" w:leader="none"/>
                <w:tab w:pos="2874" w:val="left" w:leader="none"/>
              </w:tabs>
              <w:spacing w:line="153" w:lineRule="auto"/>
              <w:ind w:right="1321"/>
              <w:jc w:val="right"/>
              <w:rPr>
                <w:rFonts w:ascii="Times New Roman" w:hAnsi="Times New Roman"/>
                <w:b/>
                <w:sz w:val="12"/>
              </w:rPr>
            </w:pPr>
            <w:r>
              <w:rPr>
                <w:rFonts w:ascii="Times New Roman" w:hAnsi="Times New Roman"/>
                <w:b/>
                <w:spacing w:val="-2"/>
                <w:position w:val="1"/>
                <w:sz w:val="12"/>
              </w:rPr>
              <w:t>comunicación</w:t>
            </w:r>
            <w:r>
              <w:rPr>
                <w:rFonts w:ascii="Times New Roman" w:hAnsi="Times New Roman"/>
                <w:b/>
                <w:spacing w:val="6"/>
                <w:position w:val="1"/>
                <w:sz w:val="12"/>
              </w:rPr>
              <w:t> </w:t>
            </w:r>
            <w:r>
              <w:rPr>
                <w:rFonts w:ascii="Times New Roman" w:hAnsi="Times New Roman"/>
                <w:b/>
                <w:spacing w:val="-10"/>
                <w:position w:val="1"/>
                <w:sz w:val="12"/>
              </w:rPr>
              <w:t>y</w:t>
            </w:r>
            <w:r>
              <w:rPr>
                <w:rFonts w:ascii="Times New Roman" w:hAnsi="Times New Roman"/>
                <w:b/>
                <w:position w:val="1"/>
                <w:sz w:val="12"/>
              </w:rPr>
              <w:tab/>
            </w:r>
            <w:r>
              <w:rPr>
                <w:rFonts w:ascii="Times New Roman" w:hAnsi="Times New Roman"/>
                <w:b/>
                <w:spacing w:val="-2"/>
                <w:position w:val="-6"/>
                <w:sz w:val="12"/>
              </w:rPr>
              <w:t>educional</w:t>
            </w:r>
            <w:r>
              <w:rPr>
                <w:rFonts w:ascii="Times New Roman" w:hAnsi="Times New Roman"/>
                <w:b/>
                <w:position w:val="-6"/>
                <w:sz w:val="12"/>
              </w:rPr>
              <w:tab/>
            </w:r>
            <w:r>
              <w:rPr>
                <w:rFonts w:ascii="Times New Roman" w:hAnsi="Times New Roman"/>
                <w:b/>
                <w:spacing w:val="-2"/>
                <w:sz w:val="12"/>
              </w:rPr>
              <w:t>diverso</w:t>
            </w:r>
          </w:p>
          <w:p>
            <w:pPr>
              <w:pStyle w:val="TableParagraph"/>
              <w:tabs>
                <w:tab w:pos="2734" w:val="left" w:leader="none"/>
                <w:tab w:pos="3649" w:val="left" w:leader="none"/>
                <w:tab w:pos="4507" w:val="left" w:leader="none"/>
                <w:tab w:pos="7427" w:val="left" w:leader="none"/>
              </w:tabs>
              <w:spacing w:line="92" w:lineRule="exact"/>
              <w:ind w:left="1801"/>
              <w:rPr>
                <w:rFonts w:ascii="Times New Roman" w:hAnsi="Times New Roman"/>
                <w:b/>
                <w:sz w:val="12"/>
              </w:rPr>
            </w:pPr>
            <w:r>
              <w:rPr>
                <w:rFonts w:ascii="Times New Roman" w:hAnsi="Times New Roman"/>
                <w:b/>
                <w:spacing w:val="-2"/>
                <w:sz w:val="12"/>
              </w:rPr>
              <w:t>Terreno</w:t>
            </w:r>
            <w:r>
              <w:rPr>
                <w:rFonts w:ascii="Times New Roman" w:hAnsi="Times New Roman"/>
                <w:b/>
                <w:sz w:val="12"/>
              </w:rPr>
              <w:tab/>
            </w:r>
            <w:r>
              <w:rPr>
                <w:rFonts w:ascii="Times New Roman" w:hAnsi="Times New Roman"/>
                <w:b/>
                <w:spacing w:val="-2"/>
                <w:sz w:val="12"/>
              </w:rPr>
              <w:t>Edificios</w:t>
            </w:r>
            <w:r>
              <w:rPr>
                <w:rFonts w:ascii="Times New Roman" w:hAnsi="Times New Roman"/>
                <w:b/>
                <w:sz w:val="12"/>
              </w:rPr>
              <w:tab/>
            </w:r>
            <w:r>
              <w:rPr>
                <w:rFonts w:ascii="Times New Roman" w:hAnsi="Times New Roman"/>
                <w:b/>
                <w:spacing w:val="-2"/>
                <w:position w:val="1"/>
                <w:sz w:val="12"/>
              </w:rPr>
              <w:t>computación</w:t>
            </w:r>
            <w:r>
              <w:rPr>
                <w:rFonts w:ascii="Times New Roman" w:hAnsi="Times New Roman"/>
                <w:b/>
                <w:position w:val="1"/>
                <w:sz w:val="12"/>
              </w:rPr>
              <w:tab/>
            </w:r>
            <w:r>
              <w:rPr>
                <w:rFonts w:ascii="Times New Roman" w:hAnsi="Times New Roman"/>
                <w:b/>
                <w:spacing w:val="-2"/>
                <w:sz w:val="12"/>
              </w:rPr>
              <w:t>Vehículos</w:t>
            </w:r>
            <w:r>
              <w:rPr>
                <w:rFonts w:ascii="Times New Roman" w:hAnsi="Times New Roman"/>
                <w:b/>
                <w:sz w:val="12"/>
              </w:rPr>
              <w:tab/>
            </w:r>
            <w:r>
              <w:rPr>
                <w:rFonts w:ascii="Times New Roman" w:hAnsi="Times New Roman"/>
                <w:b/>
                <w:spacing w:val="-2"/>
                <w:sz w:val="12"/>
              </w:rPr>
              <w:t>Total</w:t>
            </w:r>
          </w:p>
        </w:tc>
      </w:tr>
      <w:tr>
        <w:trPr>
          <w:trHeight w:val="107" w:hRule="atLeast"/>
        </w:trPr>
        <w:tc>
          <w:tcPr>
            <w:tcW w:w="1568" w:type="dxa"/>
            <w:tcBorders>
              <w:top w:val="double" w:sz="2" w:space="0" w:color="000000"/>
              <w:left w:val="single" w:sz="4" w:space="0" w:color="000000"/>
            </w:tcBorders>
          </w:tcPr>
          <w:p>
            <w:pPr>
              <w:pStyle w:val="TableParagraph"/>
              <w:spacing w:line="87" w:lineRule="exact"/>
              <w:ind w:left="16"/>
              <w:rPr>
                <w:rFonts w:ascii="Times New Roman"/>
                <w:b/>
                <w:sz w:val="11"/>
              </w:rPr>
            </w:pPr>
            <w:r>
              <w:rPr>
                <w:rFonts w:ascii="Times New Roman"/>
                <w:b/>
                <w:spacing w:val="-2"/>
                <w:sz w:val="11"/>
              </w:rPr>
              <w:t>Costo:</w:t>
            </w:r>
          </w:p>
        </w:tc>
        <w:tc>
          <w:tcPr>
            <w:tcW w:w="237" w:type="dxa"/>
            <w:tcBorders>
              <w:top w:val="double" w:sz="2" w:space="0" w:color="000000"/>
            </w:tcBorders>
          </w:tcPr>
          <w:p>
            <w:pPr>
              <w:pStyle w:val="TableParagraph"/>
              <w:rPr>
                <w:rFonts w:ascii="Times New Roman"/>
                <w:sz w:val="4"/>
              </w:rPr>
            </w:pPr>
          </w:p>
        </w:tc>
        <w:tc>
          <w:tcPr>
            <w:tcW w:w="843" w:type="dxa"/>
            <w:tcBorders>
              <w:top w:val="double" w:sz="2" w:space="0" w:color="000000"/>
            </w:tcBorders>
          </w:tcPr>
          <w:p>
            <w:pPr>
              <w:pStyle w:val="TableParagraph"/>
              <w:rPr>
                <w:rFonts w:ascii="Times New Roman"/>
                <w:sz w:val="4"/>
              </w:rPr>
            </w:pPr>
          </w:p>
        </w:tc>
        <w:tc>
          <w:tcPr>
            <w:tcW w:w="182" w:type="dxa"/>
            <w:tcBorders>
              <w:top w:val="double" w:sz="2" w:space="0" w:color="000000"/>
            </w:tcBorders>
          </w:tcPr>
          <w:p>
            <w:pPr>
              <w:pStyle w:val="TableParagraph"/>
              <w:rPr>
                <w:rFonts w:ascii="Times New Roman"/>
                <w:sz w:val="4"/>
              </w:rPr>
            </w:pPr>
          </w:p>
        </w:tc>
        <w:tc>
          <w:tcPr>
            <w:tcW w:w="712" w:type="dxa"/>
            <w:tcBorders>
              <w:top w:val="double" w:sz="2" w:space="0" w:color="000000"/>
            </w:tcBorders>
          </w:tcPr>
          <w:p>
            <w:pPr>
              <w:pStyle w:val="TableParagraph"/>
              <w:rPr>
                <w:rFonts w:ascii="Times New Roman"/>
                <w:sz w:val="4"/>
              </w:rPr>
            </w:pPr>
          </w:p>
        </w:tc>
        <w:tc>
          <w:tcPr>
            <w:tcW w:w="146" w:type="dxa"/>
            <w:tcBorders>
              <w:top w:val="double" w:sz="2" w:space="0" w:color="000000"/>
            </w:tcBorders>
          </w:tcPr>
          <w:p>
            <w:pPr>
              <w:pStyle w:val="TableParagraph"/>
              <w:rPr>
                <w:rFonts w:ascii="Times New Roman"/>
                <w:sz w:val="4"/>
              </w:rPr>
            </w:pPr>
          </w:p>
        </w:tc>
        <w:tc>
          <w:tcPr>
            <w:tcW w:w="733" w:type="dxa"/>
            <w:tcBorders>
              <w:top w:val="double" w:sz="2" w:space="0" w:color="000000"/>
            </w:tcBorders>
          </w:tcPr>
          <w:p>
            <w:pPr>
              <w:pStyle w:val="TableParagraph"/>
              <w:rPr>
                <w:rFonts w:ascii="Times New Roman"/>
                <w:sz w:val="4"/>
              </w:rPr>
            </w:pPr>
          </w:p>
        </w:tc>
        <w:tc>
          <w:tcPr>
            <w:tcW w:w="210" w:type="dxa"/>
            <w:tcBorders>
              <w:top w:val="double" w:sz="2" w:space="0" w:color="000000"/>
            </w:tcBorders>
          </w:tcPr>
          <w:p>
            <w:pPr>
              <w:pStyle w:val="TableParagraph"/>
              <w:rPr>
                <w:rFonts w:ascii="Times New Roman"/>
                <w:sz w:val="4"/>
              </w:rPr>
            </w:pPr>
          </w:p>
        </w:tc>
        <w:tc>
          <w:tcPr>
            <w:tcW w:w="809" w:type="dxa"/>
            <w:tcBorders>
              <w:top w:val="double" w:sz="2" w:space="0" w:color="000000"/>
            </w:tcBorders>
          </w:tcPr>
          <w:p>
            <w:pPr>
              <w:pStyle w:val="TableParagraph"/>
              <w:rPr>
                <w:rFonts w:ascii="Times New Roman"/>
                <w:sz w:val="4"/>
              </w:rPr>
            </w:pPr>
          </w:p>
        </w:tc>
        <w:tc>
          <w:tcPr>
            <w:tcW w:w="178" w:type="dxa"/>
            <w:tcBorders>
              <w:top w:val="double" w:sz="2" w:space="0" w:color="000000"/>
            </w:tcBorders>
          </w:tcPr>
          <w:p>
            <w:pPr>
              <w:pStyle w:val="TableParagraph"/>
              <w:rPr>
                <w:rFonts w:ascii="Times New Roman"/>
                <w:sz w:val="4"/>
              </w:rPr>
            </w:pPr>
          </w:p>
        </w:tc>
        <w:tc>
          <w:tcPr>
            <w:tcW w:w="678" w:type="dxa"/>
            <w:tcBorders>
              <w:top w:val="double" w:sz="2" w:space="0" w:color="000000"/>
            </w:tcBorders>
          </w:tcPr>
          <w:p>
            <w:pPr>
              <w:pStyle w:val="TableParagraph"/>
              <w:rPr>
                <w:rFonts w:ascii="Times New Roman"/>
                <w:sz w:val="4"/>
              </w:rPr>
            </w:pPr>
          </w:p>
        </w:tc>
        <w:tc>
          <w:tcPr>
            <w:tcW w:w="200" w:type="dxa"/>
            <w:tcBorders>
              <w:top w:val="double" w:sz="2" w:space="0" w:color="000000"/>
            </w:tcBorders>
          </w:tcPr>
          <w:p>
            <w:pPr>
              <w:pStyle w:val="TableParagraph"/>
              <w:rPr>
                <w:rFonts w:ascii="Times New Roman"/>
                <w:sz w:val="4"/>
              </w:rPr>
            </w:pPr>
          </w:p>
        </w:tc>
        <w:tc>
          <w:tcPr>
            <w:tcW w:w="693" w:type="dxa"/>
            <w:tcBorders>
              <w:top w:val="double" w:sz="2" w:space="0" w:color="000000"/>
            </w:tcBorders>
          </w:tcPr>
          <w:p>
            <w:pPr>
              <w:pStyle w:val="TableParagraph"/>
              <w:rPr>
                <w:rFonts w:ascii="Times New Roman"/>
                <w:sz w:val="4"/>
              </w:rPr>
            </w:pPr>
          </w:p>
        </w:tc>
        <w:tc>
          <w:tcPr>
            <w:tcW w:w="152" w:type="dxa"/>
            <w:tcBorders>
              <w:top w:val="double" w:sz="2" w:space="0" w:color="000000"/>
            </w:tcBorders>
          </w:tcPr>
          <w:p>
            <w:pPr>
              <w:pStyle w:val="TableParagraph"/>
              <w:rPr>
                <w:rFonts w:ascii="Times New Roman"/>
                <w:sz w:val="4"/>
              </w:rPr>
            </w:pPr>
          </w:p>
        </w:tc>
        <w:tc>
          <w:tcPr>
            <w:tcW w:w="826" w:type="dxa"/>
            <w:tcBorders>
              <w:top w:val="double" w:sz="2" w:space="0" w:color="000000"/>
              <w:right w:val="single" w:sz="4" w:space="0" w:color="000000"/>
            </w:tcBorders>
          </w:tcPr>
          <w:p>
            <w:pPr>
              <w:pStyle w:val="TableParagraph"/>
              <w:rPr>
                <w:rFonts w:ascii="Times New Roman"/>
                <w:sz w:val="4"/>
              </w:rPr>
            </w:pPr>
          </w:p>
        </w:tc>
      </w:tr>
      <w:tr>
        <w:trPr>
          <w:trHeight w:val="146" w:hRule="atLeast"/>
        </w:trPr>
        <w:tc>
          <w:tcPr>
            <w:tcW w:w="1568" w:type="dxa"/>
            <w:tcBorders>
              <w:left w:val="single" w:sz="4" w:space="0" w:color="000000"/>
            </w:tcBorders>
          </w:tcPr>
          <w:p>
            <w:pPr>
              <w:pStyle w:val="TableParagraph"/>
              <w:spacing w:line="119" w:lineRule="exact" w:before="7"/>
              <w:ind w:left="16"/>
              <w:rPr>
                <w:rFonts w:ascii="Times New Roman"/>
                <w:sz w:val="11"/>
              </w:rPr>
            </w:pPr>
            <w:r>
              <w:rPr>
                <w:rFonts w:ascii="Times New Roman"/>
                <w:sz w:val="11"/>
              </w:rPr>
              <w:t>Al</w:t>
            </w:r>
            <w:r>
              <w:rPr>
                <w:rFonts w:ascii="Times New Roman"/>
                <w:spacing w:val="-7"/>
                <w:sz w:val="11"/>
              </w:rPr>
              <w:t> </w:t>
            </w:r>
            <w:r>
              <w:rPr>
                <w:rFonts w:ascii="Times New Roman"/>
                <w:sz w:val="11"/>
              </w:rPr>
              <w:t>31</w:t>
            </w:r>
            <w:r>
              <w:rPr>
                <w:rFonts w:ascii="Times New Roman"/>
                <w:spacing w:val="-5"/>
                <w:sz w:val="11"/>
              </w:rPr>
              <w:t> </w:t>
            </w:r>
            <w:r>
              <w:rPr>
                <w:rFonts w:ascii="Times New Roman"/>
                <w:sz w:val="11"/>
              </w:rPr>
              <w:t>de</w:t>
            </w:r>
            <w:r>
              <w:rPr>
                <w:rFonts w:ascii="Times New Roman"/>
                <w:spacing w:val="-6"/>
                <w:sz w:val="11"/>
              </w:rPr>
              <w:t> </w:t>
            </w:r>
            <w:r>
              <w:rPr>
                <w:rFonts w:ascii="Times New Roman"/>
                <w:sz w:val="11"/>
              </w:rPr>
              <w:t>diciembre</w:t>
            </w:r>
            <w:r>
              <w:rPr>
                <w:rFonts w:ascii="Times New Roman"/>
                <w:spacing w:val="-5"/>
                <w:sz w:val="11"/>
              </w:rPr>
              <w:t> </w:t>
            </w:r>
            <w:r>
              <w:rPr>
                <w:rFonts w:ascii="Times New Roman"/>
                <w:sz w:val="11"/>
              </w:rPr>
              <w:t>de</w:t>
            </w:r>
            <w:r>
              <w:rPr>
                <w:rFonts w:ascii="Times New Roman"/>
                <w:spacing w:val="-6"/>
                <w:sz w:val="11"/>
              </w:rPr>
              <w:t> </w:t>
            </w:r>
            <w:r>
              <w:rPr>
                <w:rFonts w:ascii="Times New Roman"/>
                <w:spacing w:val="-4"/>
                <w:sz w:val="11"/>
              </w:rPr>
              <w:t>2025</w:t>
            </w:r>
          </w:p>
        </w:tc>
        <w:tc>
          <w:tcPr>
            <w:tcW w:w="237" w:type="dxa"/>
          </w:tcPr>
          <w:p>
            <w:pPr>
              <w:pStyle w:val="TableParagraph"/>
              <w:rPr>
                <w:rFonts w:ascii="Times New Roman"/>
                <w:sz w:val="8"/>
              </w:rPr>
            </w:pPr>
          </w:p>
        </w:tc>
        <w:tc>
          <w:tcPr>
            <w:tcW w:w="843" w:type="dxa"/>
          </w:tcPr>
          <w:p>
            <w:pPr>
              <w:pStyle w:val="TableParagraph"/>
              <w:spacing w:line="121" w:lineRule="exact" w:before="5"/>
              <w:ind w:right="47"/>
              <w:jc w:val="right"/>
              <w:rPr>
                <w:rFonts w:ascii="Calibri"/>
                <w:b/>
                <w:sz w:val="11"/>
              </w:rPr>
            </w:pPr>
            <w:r>
              <w:rPr>
                <w:rFonts w:ascii="Calibri"/>
                <w:b/>
                <w:sz w:val="11"/>
              </w:rPr>
              <w:t>126 796</w:t>
            </w:r>
            <w:r>
              <w:rPr>
                <w:rFonts w:ascii="Calibri"/>
                <w:b/>
                <w:spacing w:val="1"/>
                <w:sz w:val="11"/>
              </w:rPr>
              <w:t> </w:t>
            </w:r>
            <w:r>
              <w:rPr>
                <w:rFonts w:ascii="Calibri"/>
                <w:b/>
                <w:spacing w:val="-2"/>
                <w:sz w:val="11"/>
              </w:rPr>
              <w:t>329,90</w:t>
            </w:r>
          </w:p>
        </w:tc>
        <w:tc>
          <w:tcPr>
            <w:tcW w:w="182" w:type="dxa"/>
          </w:tcPr>
          <w:p>
            <w:pPr>
              <w:pStyle w:val="TableParagraph"/>
              <w:rPr>
                <w:rFonts w:ascii="Times New Roman"/>
                <w:sz w:val="8"/>
              </w:rPr>
            </w:pPr>
          </w:p>
        </w:tc>
        <w:tc>
          <w:tcPr>
            <w:tcW w:w="712" w:type="dxa"/>
          </w:tcPr>
          <w:p>
            <w:pPr>
              <w:pStyle w:val="TableParagraph"/>
              <w:spacing w:line="121" w:lineRule="exact" w:before="5"/>
              <w:ind w:right="50"/>
              <w:jc w:val="right"/>
              <w:rPr>
                <w:rFonts w:ascii="Calibri"/>
                <w:b/>
                <w:sz w:val="11"/>
              </w:rPr>
            </w:pPr>
            <w:r>
              <w:rPr>
                <w:rFonts w:ascii="Calibri"/>
                <w:b/>
                <w:sz w:val="11"/>
              </w:rPr>
              <w:t>9 397 </w:t>
            </w:r>
            <w:r>
              <w:rPr>
                <w:rFonts w:ascii="Calibri"/>
                <w:b/>
                <w:spacing w:val="-2"/>
                <w:sz w:val="11"/>
              </w:rPr>
              <w:t>811,02</w:t>
            </w:r>
          </w:p>
        </w:tc>
        <w:tc>
          <w:tcPr>
            <w:tcW w:w="146" w:type="dxa"/>
          </w:tcPr>
          <w:p>
            <w:pPr>
              <w:pStyle w:val="TableParagraph"/>
              <w:rPr>
                <w:rFonts w:ascii="Times New Roman"/>
                <w:sz w:val="8"/>
              </w:rPr>
            </w:pPr>
          </w:p>
        </w:tc>
        <w:tc>
          <w:tcPr>
            <w:tcW w:w="733" w:type="dxa"/>
          </w:tcPr>
          <w:p>
            <w:pPr>
              <w:pStyle w:val="TableParagraph"/>
              <w:spacing w:line="121" w:lineRule="exact" w:before="5"/>
              <w:ind w:right="47"/>
              <w:jc w:val="right"/>
              <w:rPr>
                <w:rFonts w:ascii="Calibri"/>
                <w:b/>
                <w:sz w:val="11"/>
              </w:rPr>
            </w:pPr>
            <w:r>
              <w:rPr>
                <w:rFonts w:ascii="Calibri"/>
                <w:b/>
                <w:sz w:val="11"/>
              </w:rPr>
              <w:t>5 581 </w:t>
            </w:r>
            <w:r>
              <w:rPr>
                <w:rFonts w:ascii="Calibri"/>
                <w:b/>
                <w:spacing w:val="-2"/>
                <w:sz w:val="11"/>
              </w:rPr>
              <w:t>556,64</w:t>
            </w:r>
          </w:p>
        </w:tc>
        <w:tc>
          <w:tcPr>
            <w:tcW w:w="210" w:type="dxa"/>
          </w:tcPr>
          <w:p>
            <w:pPr>
              <w:pStyle w:val="TableParagraph"/>
              <w:rPr>
                <w:rFonts w:ascii="Times New Roman"/>
                <w:sz w:val="8"/>
              </w:rPr>
            </w:pPr>
          </w:p>
        </w:tc>
        <w:tc>
          <w:tcPr>
            <w:tcW w:w="809" w:type="dxa"/>
          </w:tcPr>
          <w:p>
            <w:pPr>
              <w:pStyle w:val="TableParagraph"/>
              <w:spacing w:line="121" w:lineRule="exact" w:before="5"/>
              <w:ind w:right="54"/>
              <w:jc w:val="right"/>
              <w:rPr>
                <w:rFonts w:ascii="Calibri"/>
                <w:b/>
                <w:sz w:val="11"/>
              </w:rPr>
            </w:pPr>
            <w:r>
              <w:rPr>
                <w:rFonts w:ascii="Calibri"/>
                <w:b/>
                <w:sz w:val="11"/>
              </w:rPr>
              <w:t>1 999 </w:t>
            </w:r>
            <w:r>
              <w:rPr>
                <w:rFonts w:ascii="Calibri"/>
                <w:b/>
                <w:spacing w:val="-2"/>
                <w:sz w:val="11"/>
              </w:rPr>
              <w:t>856,53</w:t>
            </w:r>
          </w:p>
        </w:tc>
        <w:tc>
          <w:tcPr>
            <w:tcW w:w="178" w:type="dxa"/>
          </w:tcPr>
          <w:p>
            <w:pPr>
              <w:pStyle w:val="TableParagraph"/>
              <w:rPr>
                <w:rFonts w:ascii="Times New Roman"/>
                <w:sz w:val="8"/>
              </w:rPr>
            </w:pPr>
          </w:p>
        </w:tc>
        <w:tc>
          <w:tcPr>
            <w:tcW w:w="678" w:type="dxa"/>
          </w:tcPr>
          <w:p>
            <w:pPr>
              <w:pStyle w:val="TableParagraph"/>
              <w:spacing w:line="121" w:lineRule="exact" w:before="5"/>
              <w:ind w:right="43"/>
              <w:jc w:val="right"/>
              <w:rPr>
                <w:rFonts w:ascii="Calibri"/>
                <w:b/>
                <w:sz w:val="11"/>
              </w:rPr>
            </w:pPr>
            <w:r>
              <w:rPr>
                <w:rFonts w:ascii="Calibri"/>
                <w:b/>
                <w:sz w:val="11"/>
              </w:rPr>
              <w:t>168 </w:t>
            </w:r>
            <w:r>
              <w:rPr>
                <w:rFonts w:ascii="Calibri"/>
                <w:b/>
                <w:spacing w:val="-2"/>
                <w:sz w:val="11"/>
              </w:rPr>
              <w:t>135,10</w:t>
            </w:r>
          </w:p>
        </w:tc>
        <w:tc>
          <w:tcPr>
            <w:tcW w:w="200" w:type="dxa"/>
          </w:tcPr>
          <w:p>
            <w:pPr>
              <w:pStyle w:val="TableParagraph"/>
              <w:rPr>
                <w:rFonts w:ascii="Times New Roman"/>
                <w:sz w:val="8"/>
              </w:rPr>
            </w:pPr>
          </w:p>
        </w:tc>
        <w:tc>
          <w:tcPr>
            <w:tcW w:w="693" w:type="dxa"/>
          </w:tcPr>
          <w:p>
            <w:pPr>
              <w:pStyle w:val="TableParagraph"/>
              <w:spacing w:line="121" w:lineRule="exact" w:before="5"/>
              <w:ind w:right="39"/>
              <w:jc w:val="right"/>
              <w:rPr>
                <w:rFonts w:ascii="Calibri"/>
                <w:b/>
                <w:sz w:val="11"/>
              </w:rPr>
            </w:pPr>
            <w:r>
              <w:rPr>
                <w:rFonts w:ascii="Calibri"/>
                <w:b/>
                <w:sz w:val="11"/>
              </w:rPr>
              <w:t>481 </w:t>
            </w:r>
            <w:r>
              <w:rPr>
                <w:rFonts w:ascii="Calibri"/>
                <w:b/>
                <w:spacing w:val="-2"/>
                <w:sz w:val="11"/>
              </w:rPr>
              <w:t>075,57</w:t>
            </w:r>
          </w:p>
        </w:tc>
        <w:tc>
          <w:tcPr>
            <w:tcW w:w="152" w:type="dxa"/>
          </w:tcPr>
          <w:p>
            <w:pPr>
              <w:pStyle w:val="TableParagraph"/>
              <w:rPr>
                <w:rFonts w:ascii="Times New Roman"/>
                <w:sz w:val="8"/>
              </w:rPr>
            </w:pPr>
          </w:p>
        </w:tc>
        <w:tc>
          <w:tcPr>
            <w:tcW w:w="826" w:type="dxa"/>
            <w:tcBorders>
              <w:right w:val="single" w:sz="4" w:space="0" w:color="000000"/>
            </w:tcBorders>
          </w:tcPr>
          <w:p>
            <w:pPr>
              <w:pStyle w:val="TableParagraph"/>
              <w:spacing w:line="116" w:lineRule="exact" w:before="10"/>
              <w:ind w:left="111"/>
              <w:jc w:val="center"/>
              <w:rPr>
                <w:rFonts w:ascii="Times New Roman"/>
                <w:b/>
                <w:sz w:val="11"/>
              </w:rPr>
            </w:pPr>
            <w:r>
              <w:rPr>
                <w:rFonts w:ascii="Times New Roman"/>
                <w:b/>
                <w:sz w:val="11"/>
              </w:rPr>
              <w:t>144</w:t>
            </w:r>
            <w:r>
              <w:rPr>
                <w:rFonts w:ascii="Times New Roman"/>
                <w:b/>
                <w:spacing w:val="3"/>
                <w:sz w:val="11"/>
              </w:rPr>
              <w:t> </w:t>
            </w:r>
            <w:r>
              <w:rPr>
                <w:rFonts w:ascii="Times New Roman"/>
                <w:b/>
                <w:sz w:val="11"/>
              </w:rPr>
              <w:t>424</w:t>
            </w:r>
            <w:r>
              <w:rPr>
                <w:rFonts w:ascii="Times New Roman"/>
                <w:b/>
                <w:spacing w:val="4"/>
                <w:sz w:val="11"/>
              </w:rPr>
              <w:t> </w:t>
            </w:r>
            <w:r>
              <w:rPr>
                <w:rFonts w:ascii="Times New Roman"/>
                <w:b/>
                <w:spacing w:val="-2"/>
                <w:sz w:val="11"/>
              </w:rPr>
              <w:t>764,76</w:t>
            </w:r>
          </w:p>
        </w:tc>
      </w:tr>
      <w:tr>
        <w:trPr>
          <w:trHeight w:val="144" w:hRule="atLeast"/>
        </w:trPr>
        <w:tc>
          <w:tcPr>
            <w:tcW w:w="1568" w:type="dxa"/>
            <w:tcBorders>
              <w:left w:val="single" w:sz="4" w:space="0" w:color="000000"/>
            </w:tcBorders>
          </w:tcPr>
          <w:p>
            <w:pPr>
              <w:pStyle w:val="TableParagraph"/>
              <w:spacing w:line="119" w:lineRule="exact" w:before="5"/>
              <w:ind w:left="16"/>
              <w:rPr>
                <w:rFonts w:ascii="Times New Roman"/>
                <w:sz w:val="11"/>
              </w:rPr>
            </w:pPr>
            <w:r>
              <w:rPr>
                <w:rFonts w:ascii="Times New Roman"/>
                <w:spacing w:val="-2"/>
                <w:sz w:val="11"/>
              </w:rPr>
              <w:t>Adiciones</w:t>
            </w:r>
          </w:p>
        </w:tc>
        <w:tc>
          <w:tcPr>
            <w:tcW w:w="237" w:type="dxa"/>
          </w:tcPr>
          <w:p>
            <w:pPr>
              <w:pStyle w:val="TableParagraph"/>
              <w:rPr>
                <w:rFonts w:ascii="Times New Roman"/>
                <w:sz w:val="8"/>
              </w:rPr>
            </w:pPr>
          </w:p>
        </w:tc>
        <w:tc>
          <w:tcPr>
            <w:tcW w:w="843" w:type="dxa"/>
          </w:tcPr>
          <w:p>
            <w:pPr>
              <w:pStyle w:val="TableParagraph"/>
              <w:spacing w:line="121" w:lineRule="exact" w:before="3"/>
              <w:ind w:right="158"/>
              <w:jc w:val="right"/>
              <w:rPr>
                <w:rFonts w:ascii="Calibri"/>
                <w:sz w:val="11"/>
              </w:rPr>
            </w:pPr>
            <w:r>
              <w:rPr>
                <w:rFonts w:ascii="Calibri"/>
                <w:spacing w:val="-10"/>
                <w:sz w:val="11"/>
              </w:rPr>
              <w:t>-</w:t>
            </w:r>
          </w:p>
        </w:tc>
        <w:tc>
          <w:tcPr>
            <w:tcW w:w="182" w:type="dxa"/>
          </w:tcPr>
          <w:p>
            <w:pPr>
              <w:pStyle w:val="TableParagraph"/>
              <w:rPr>
                <w:rFonts w:ascii="Times New Roman"/>
                <w:sz w:val="8"/>
              </w:rPr>
            </w:pPr>
          </w:p>
        </w:tc>
        <w:tc>
          <w:tcPr>
            <w:tcW w:w="712" w:type="dxa"/>
          </w:tcPr>
          <w:p>
            <w:pPr>
              <w:pStyle w:val="TableParagraph"/>
              <w:spacing w:line="121" w:lineRule="exact" w:before="3"/>
              <w:ind w:right="48"/>
              <w:jc w:val="right"/>
              <w:rPr>
                <w:rFonts w:ascii="Calibri"/>
                <w:sz w:val="11"/>
              </w:rPr>
            </w:pPr>
            <w:r>
              <w:rPr>
                <w:rFonts w:ascii="Calibri"/>
                <w:spacing w:val="-2"/>
                <w:sz w:val="11"/>
              </w:rPr>
              <w:t>--</w:t>
            </w:r>
            <w:r>
              <w:rPr>
                <w:rFonts w:ascii="Calibri"/>
                <w:spacing w:val="-10"/>
                <w:sz w:val="11"/>
              </w:rPr>
              <w:t>-</w:t>
            </w:r>
          </w:p>
        </w:tc>
        <w:tc>
          <w:tcPr>
            <w:tcW w:w="146" w:type="dxa"/>
          </w:tcPr>
          <w:p>
            <w:pPr>
              <w:pStyle w:val="TableParagraph"/>
              <w:rPr>
                <w:rFonts w:ascii="Times New Roman"/>
                <w:sz w:val="8"/>
              </w:rPr>
            </w:pPr>
          </w:p>
        </w:tc>
        <w:tc>
          <w:tcPr>
            <w:tcW w:w="733" w:type="dxa"/>
          </w:tcPr>
          <w:p>
            <w:pPr>
              <w:pStyle w:val="TableParagraph"/>
              <w:spacing w:line="121" w:lineRule="exact" w:before="3"/>
              <w:ind w:right="46"/>
              <w:jc w:val="right"/>
              <w:rPr>
                <w:rFonts w:ascii="Calibri"/>
                <w:sz w:val="11"/>
              </w:rPr>
            </w:pPr>
            <w:r>
              <w:rPr>
                <w:rFonts w:ascii="Calibri"/>
                <w:sz w:val="11"/>
              </w:rPr>
              <w:t>150 </w:t>
            </w:r>
            <w:r>
              <w:rPr>
                <w:rFonts w:ascii="Calibri"/>
                <w:spacing w:val="-2"/>
                <w:sz w:val="11"/>
              </w:rPr>
              <w:t>351,67</w:t>
            </w:r>
          </w:p>
        </w:tc>
        <w:tc>
          <w:tcPr>
            <w:tcW w:w="210" w:type="dxa"/>
          </w:tcPr>
          <w:p>
            <w:pPr>
              <w:pStyle w:val="TableParagraph"/>
              <w:rPr>
                <w:rFonts w:ascii="Times New Roman"/>
                <w:sz w:val="8"/>
              </w:rPr>
            </w:pPr>
          </w:p>
        </w:tc>
        <w:tc>
          <w:tcPr>
            <w:tcW w:w="809" w:type="dxa"/>
          </w:tcPr>
          <w:p>
            <w:pPr>
              <w:pStyle w:val="TableParagraph"/>
              <w:spacing w:line="121" w:lineRule="exact" w:before="3"/>
              <w:ind w:right="54"/>
              <w:jc w:val="right"/>
              <w:rPr>
                <w:rFonts w:ascii="Calibri"/>
                <w:sz w:val="11"/>
              </w:rPr>
            </w:pPr>
            <w:r>
              <w:rPr>
                <w:rFonts w:ascii="Calibri"/>
                <w:sz w:val="11"/>
              </w:rPr>
              <w:t>12 </w:t>
            </w:r>
            <w:r>
              <w:rPr>
                <w:rFonts w:ascii="Calibri"/>
                <w:spacing w:val="-2"/>
                <w:sz w:val="11"/>
              </w:rPr>
              <w:t>752,05</w:t>
            </w:r>
          </w:p>
        </w:tc>
        <w:tc>
          <w:tcPr>
            <w:tcW w:w="178" w:type="dxa"/>
          </w:tcPr>
          <w:p>
            <w:pPr>
              <w:pStyle w:val="TableParagraph"/>
              <w:rPr>
                <w:rFonts w:ascii="Times New Roman"/>
                <w:sz w:val="8"/>
              </w:rPr>
            </w:pPr>
          </w:p>
        </w:tc>
        <w:tc>
          <w:tcPr>
            <w:tcW w:w="678" w:type="dxa"/>
          </w:tcPr>
          <w:p>
            <w:pPr>
              <w:pStyle w:val="TableParagraph"/>
              <w:spacing w:line="121" w:lineRule="exact" w:before="3"/>
              <w:ind w:right="155"/>
              <w:jc w:val="right"/>
              <w:rPr>
                <w:rFonts w:ascii="Calibri"/>
                <w:sz w:val="11"/>
              </w:rPr>
            </w:pPr>
            <w:r>
              <w:rPr>
                <w:rFonts w:ascii="Calibri"/>
                <w:spacing w:val="-10"/>
                <w:sz w:val="11"/>
              </w:rPr>
              <w:t>-</w:t>
            </w:r>
          </w:p>
        </w:tc>
        <w:tc>
          <w:tcPr>
            <w:tcW w:w="200" w:type="dxa"/>
          </w:tcPr>
          <w:p>
            <w:pPr>
              <w:pStyle w:val="TableParagraph"/>
              <w:rPr>
                <w:rFonts w:ascii="Times New Roman"/>
                <w:sz w:val="8"/>
              </w:rPr>
            </w:pPr>
          </w:p>
        </w:tc>
        <w:tc>
          <w:tcPr>
            <w:tcW w:w="693" w:type="dxa"/>
          </w:tcPr>
          <w:p>
            <w:pPr>
              <w:pStyle w:val="TableParagraph"/>
              <w:spacing w:line="121" w:lineRule="exact" w:before="3"/>
              <w:ind w:right="39"/>
              <w:jc w:val="right"/>
              <w:rPr>
                <w:rFonts w:ascii="Calibri"/>
                <w:sz w:val="11"/>
              </w:rPr>
            </w:pPr>
            <w:r>
              <w:rPr>
                <w:rFonts w:ascii="Calibri"/>
                <w:spacing w:val="-2"/>
                <w:sz w:val="11"/>
              </w:rPr>
              <w:t>595,92</w:t>
            </w:r>
          </w:p>
        </w:tc>
        <w:tc>
          <w:tcPr>
            <w:tcW w:w="152" w:type="dxa"/>
          </w:tcPr>
          <w:p>
            <w:pPr>
              <w:pStyle w:val="TableParagraph"/>
              <w:rPr>
                <w:rFonts w:ascii="Times New Roman"/>
                <w:sz w:val="8"/>
              </w:rPr>
            </w:pPr>
          </w:p>
        </w:tc>
        <w:tc>
          <w:tcPr>
            <w:tcW w:w="826" w:type="dxa"/>
            <w:tcBorders>
              <w:right w:val="single" w:sz="4" w:space="0" w:color="000000"/>
            </w:tcBorders>
          </w:tcPr>
          <w:p>
            <w:pPr>
              <w:pStyle w:val="TableParagraph"/>
              <w:spacing w:line="119" w:lineRule="exact" w:before="5"/>
              <w:ind w:left="310"/>
              <w:jc w:val="center"/>
              <w:rPr>
                <w:rFonts w:ascii="Times New Roman"/>
                <w:sz w:val="11"/>
              </w:rPr>
            </w:pPr>
            <w:r>
              <w:rPr>
                <w:rFonts w:ascii="Times New Roman"/>
                <w:sz w:val="11"/>
              </w:rPr>
              <w:t>163</w:t>
            </w:r>
            <w:r>
              <w:rPr>
                <w:rFonts w:ascii="Times New Roman"/>
                <w:spacing w:val="3"/>
                <w:sz w:val="11"/>
              </w:rPr>
              <w:t> </w:t>
            </w:r>
            <w:r>
              <w:rPr>
                <w:rFonts w:ascii="Times New Roman"/>
                <w:spacing w:val="-2"/>
                <w:sz w:val="11"/>
              </w:rPr>
              <w:t>699,65</w:t>
            </w:r>
          </w:p>
        </w:tc>
      </w:tr>
      <w:tr>
        <w:trPr>
          <w:trHeight w:val="144" w:hRule="atLeast"/>
        </w:trPr>
        <w:tc>
          <w:tcPr>
            <w:tcW w:w="1568" w:type="dxa"/>
            <w:tcBorders>
              <w:left w:val="single" w:sz="4" w:space="0" w:color="000000"/>
            </w:tcBorders>
          </w:tcPr>
          <w:p>
            <w:pPr>
              <w:pStyle w:val="TableParagraph"/>
              <w:spacing w:line="119" w:lineRule="exact" w:before="5"/>
              <w:ind w:left="16"/>
              <w:rPr>
                <w:rFonts w:ascii="Times New Roman"/>
                <w:sz w:val="11"/>
              </w:rPr>
            </w:pPr>
            <w:r>
              <w:rPr>
                <w:rFonts w:ascii="Times New Roman"/>
                <w:spacing w:val="-2"/>
                <w:sz w:val="11"/>
              </w:rPr>
              <w:t>Deterioro</w:t>
            </w:r>
            <w:r>
              <w:rPr>
                <w:rFonts w:ascii="Times New Roman"/>
                <w:spacing w:val="6"/>
                <w:sz w:val="11"/>
              </w:rPr>
              <w:t> </w:t>
            </w:r>
            <w:r>
              <w:rPr>
                <w:rFonts w:ascii="Times New Roman"/>
                <w:spacing w:val="-2"/>
                <w:sz w:val="11"/>
              </w:rPr>
              <w:t>acumulado</w:t>
            </w:r>
          </w:p>
        </w:tc>
        <w:tc>
          <w:tcPr>
            <w:tcW w:w="237" w:type="dxa"/>
          </w:tcPr>
          <w:p>
            <w:pPr>
              <w:pStyle w:val="TableParagraph"/>
              <w:spacing w:line="121" w:lineRule="exact" w:before="3"/>
              <w:ind w:left="42"/>
              <w:rPr>
                <w:rFonts w:ascii="Calibri"/>
                <w:sz w:val="11"/>
              </w:rPr>
            </w:pPr>
            <w:r>
              <w:rPr>
                <w:rFonts w:ascii="Calibri"/>
                <w:spacing w:val="-10"/>
                <w:sz w:val="11"/>
              </w:rPr>
              <w:t>-</w:t>
            </w:r>
          </w:p>
        </w:tc>
        <w:tc>
          <w:tcPr>
            <w:tcW w:w="843" w:type="dxa"/>
          </w:tcPr>
          <w:p>
            <w:pPr>
              <w:pStyle w:val="TableParagraph"/>
              <w:spacing w:line="121" w:lineRule="exact" w:before="3"/>
              <w:ind w:right="46"/>
              <w:jc w:val="right"/>
              <w:rPr>
                <w:rFonts w:ascii="Calibri"/>
                <w:sz w:val="11"/>
              </w:rPr>
            </w:pPr>
            <w:r>
              <w:rPr>
                <w:rFonts w:ascii="Calibri"/>
                <w:sz w:val="11"/>
              </w:rPr>
              <w:t>32 </w:t>
            </w:r>
            <w:r>
              <w:rPr>
                <w:rFonts w:ascii="Calibri"/>
                <w:spacing w:val="-2"/>
                <w:sz w:val="11"/>
              </w:rPr>
              <w:t>335,53</w:t>
            </w:r>
          </w:p>
        </w:tc>
        <w:tc>
          <w:tcPr>
            <w:tcW w:w="182" w:type="dxa"/>
          </w:tcPr>
          <w:p>
            <w:pPr>
              <w:pStyle w:val="TableParagraph"/>
              <w:spacing w:line="121" w:lineRule="exact" w:before="3"/>
              <w:ind w:right="101"/>
              <w:jc w:val="center"/>
              <w:rPr>
                <w:rFonts w:ascii="Calibri"/>
                <w:sz w:val="11"/>
              </w:rPr>
            </w:pPr>
            <w:r>
              <w:rPr>
                <w:rFonts w:ascii="Calibri"/>
                <w:spacing w:val="-10"/>
                <w:sz w:val="11"/>
              </w:rPr>
              <w:t>-</w:t>
            </w:r>
          </w:p>
        </w:tc>
        <w:tc>
          <w:tcPr>
            <w:tcW w:w="712" w:type="dxa"/>
          </w:tcPr>
          <w:p>
            <w:pPr>
              <w:pStyle w:val="TableParagraph"/>
              <w:spacing w:line="121" w:lineRule="exact" w:before="3"/>
              <w:ind w:right="49"/>
              <w:jc w:val="right"/>
              <w:rPr>
                <w:rFonts w:ascii="Calibri"/>
                <w:sz w:val="11"/>
              </w:rPr>
            </w:pPr>
            <w:r>
              <w:rPr>
                <w:rFonts w:ascii="Calibri"/>
                <w:sz w:val="11"/>
              </w:rPr>
              <w:t>31 </w:t>
            </w:r>
            <w:r>
              <w:rPr>
                <w:rFonts w:ascii="Calibri"/>
                <w:spacing w:val="-2"/>
                <w:sz w:val="11"/>
              </w:rPr>
              <w:t>104,00</w:t>
            </w:r>
          </w:p>
        </w:tc>
        <w:tc>
          <w:tcPr>
            <w:tcW w:w="146" w:type="dxa"/>
          </w:tcPr>
          <w:p>
            <w:pPr>
              <w:pStyle w:val="TableParagraph"/>
              <w:rPr>
                <w:rFonts w:ascii="Times New Roman"/>
                <w:sz w:val="8"/>
              </w:rPr>
            </w:pPr>
          </w:p>
        </w:tc>
        <w:tc>
          <w:tcPr>
            <w:tcW w:w="733" w:type="dxa"/>
          </w:tcPr>
          <w:p>
            <w:pPr>
              <w:pStyle w:val="TableParagraph"/>
              <w:rPr>
                <w:rFonts w:ascii="Times New Roman"/>
                <w:sz w:val="8"/>
              </w:rPr>
            </w:pPr>
          </w:p>
        </w:tc>
        <w:tc>
          <w:tcPr>
            <w:tcW w:w="210" w:type="dxa"/>
          </w:tcPr>
          <w:p>
            <w:pPr>
              <w:pStyle w:val="TableParagraph"/>
              <w:rPr>
                <w:rFonts w:ascii="Times New Roman"/>
                <w:sz w:val="8"/>
              </w:rPr>
            </w:pPr>
          </w:p>
        </w:tc>
        <w:tc>
          <w:tcPr>
            <w:tcW w:w="809" w:type="dxa"/>
          </w:tcPr>
          <w:p>
            <w:pPr>
              <w:pStyle w:val="TableParagraph"/>
              <w:rPr>
                <w:rFonts w:ascii="Times New Roman"/>
                <w:sz w:val="8"/>
              </w:rPr>
            </w:pPr>
          </w:p>
        </w:tc>
        <w:tc>
          <w:tcPr>
            <w:tcW w:w="178" w:type="dxa"/>
          </w:tcPr>
          <w:p>
            <w:pPr>
              <w:pStyle w:val="TableParagraph"/>
              <w:rPr>
                <w:rFonts w:ascii="Times New Roman"/>
                <w:sz w:val="8"/>
              </w:rPr>
            </w:pPr>
          </w:p>
        </w:tc>
        <w:tc>
          <w:tcPr>
            <w:tcW w:w="678" w:type="dxa"/>
          </w:tcPr>
          <w:p>
            <w:pPr>
              <w:pStyle w:val="TableParagraph"/>
              <w:rPr>
                <w:rFonts w:ascii="Times New Roman"/>
                <w:sz w:val="8"/>
              </w:rPr>
            </w:pPr>
          </w:p>
        </w:tc>
        <w:tc>
          <w:tcPr>
            <w:tcW w:w="200" w:type="dxa"/>
          </w:tcPr>
          <w:p>
            <w:pPr>
              <w:pStyle w:val="TableParagraph"/>
              <w:rPr>
                <w:rFonts w:ascii="Times New Roman"/>
                <w:sz w:val="8"/>
              </w:rPr>
            </w:pPr>
          </w:p>
        </w:tc>
        <w:tc>
          <w:tcPr>
            <w:tcW w:w="693" w:type="dxa"/>
          </w:tcPr>
          <w:p>
            <w:pPr>
              <w:pStyle w:val="TableParagraph"/>
              <w:rPr>
                <w:rFonts w:ascii="Times New Roman"/>
                <w:sz w:val="8"/>
              </w:rPr>
            </w:pPr>
          </w:p>
        </w:tc>
        <w:tc>
          <w:tcPr>
            <w:tcW w:w="152" w:type="dxa"/>
          </w:tcPr>
          <w:p>
            <w:pPr>
              <w:pStyle w:val="TableParagraph"/>
              <w:rPr>
                <w:rFonts w:ascii="Times New Roman"/>
                <w:sz w:val="8"/>
              </w:rPr>
            </w:pPr>
          </w:p>
        </w:tc>
        <w:tc>
          <w:tcPr>
            <w:tcW w:w="826" w:type="dxa"/>
            <w:tcBorders>
              <w:right w:val="single" w:sz="4" w:space="0" w:color="000000"/>
            </w:tcBorders>
          </w:tcPr>
          <w:p>
            <w:pPr>
              <w:pStyle w:val="TableParagraph"/>
              <w:spacing w:line="119" w:lineRule="exact" w:before="5"/>
              <w:ind w:left="295" w:right="-15"/>
              <w:jc w:val="center"/>
              <w:rPr>
                <w:rFonts w:ascii="Times New Roman"/>
                <w:sz w:val="11"/>
              </w:rPr>
            </w:pPr>
            <w:r>
              <w:rPr>
                <w:rFonts w:ascii="Times New Roman"/>
                <w:sz w:val="11"/>
              </w:rPr>
              <w:t>(63</w:t>
            </w:r>
            <w:r>
              <w:rPr>
                <w:rFonts w:ascii="Times New Roman"/>
                <w:spacing w:val="1"/>
                <w:sz w:val="11"/>
              </w:rPr>
              <w:t> </w:t>
            </w:r>
            <w:r>
              <w:rPr>
                <w:rFonts w:ascii="Times New Roman"/>
                <w:spacing w:val="-2"/>
                <w:sz w:val="11"/>
              </w:rPr>
              <w:t>439,53)</w:t>
            </w:r>
          </w:p>
        </w:tc>
      </w:tr>
      <w:tr>
        <w:trPr>
          <w:trHeight w:val="144" w:hRule="atLeast"/>
        </w:trPr>
        <w:tc>
          <w:tcPr>
            <w:tcW w:w="1568" w:type="dxa"/>
            <w:tcBorders>
              <w:left w:val="single" w:sz="4" w:space="0" w:color="000000"/>
            </w:tcBorders>
          </w:tcPr>
          <w:p>
            <w:pPr>
              <w:pStyle w:val="TableParagraph"/>
              <w:spacing w:line="119" w:lineRule="exact" w:before="5"/>
              <w:ind w:left="16"/>
              <w:rPr>
                <w:rFonts w:ascii="Times New Roman"/>
                <w:sz w:val="11"/>
              </w:rPr>
            </w:pPr>
            <w:r>
              <w:rPr>
                <w:rFonts w:ascii="Times New Roman"/>
                <w:spacing w:val="-2"/>
                <w:sz w:val="11"/>
              </w:rPr>
              <w:t>Retiros</w:t>
            </w:r>
          </w:p>
        </w:tc>
        <w:tc>
          <w:tcPr>
            <w:tcW w:w="237" w:type="dxa"/>
          </w:tcPr>
          <w:p>
            <w:pPr>
              <w:pStyle w:val="TableParagraph"/>
              <w:spacing w:line="121" w:lineRule="exact" w:before="3"/>
              <w:ind w:left="33"/>
              <w:rPr>
                <w:rFonts w:ascii="Calibri"/>
                <w:sz w:val="11"/>
              </w:rPr>
            </w:pPr>
            <w:r>
              <w:rPr>
                <w:rFonts w:ascii="Calibri"/>
                <w:spacing w:val="-10"/>
                <w:sz w:val="11"/>
              </w:rPr>
              <w:t>-</w:t>
            </w:r>
          </w:p>
        </w:tc>
        <w:tc>
          <w:tcPr>
            <w:tcW w:w="843" w:type="dxa"/>
          </w:tcPr>
          <w:p>
            <w:pPr>
              <w:pStyle w:val="TableParagraph"/>
              <w:spacing w:line="121" w:lineRule="exact" w:before="3"/>
              <w:ind w:right="47"/>
              <w:jc w:val="right"/>
              <w:rPr>
                <w:rFonts w:ascii="Calibri"/>
                <w:sz w:val="11"/>
              </w:rPr>
            </w:pPr>
            <w:r>
              <w:rPr>
                <w:rFonts w:ascii="Calibri"/>
                <w:sz w:val="11"/>
              </w:rPr>
              <w:t>989 </w:t>
            </w:r>
            <w:r>
              <w:rPr>
                <w:rFonts w:ascii="Calibri"/>
                <w:spacing w:val="-2"/>
                <w:sz w:val="11"/>
              </w:rPr>
              <w:t>060,44</w:t>
            </w:r>
          </w:p>
        </w:tc>
        <w:tc>
          <w:tcPr>
            <w:tcW w:w="182" w:type="dxa"/>
          </w:tcPr>
          <w:p>
            <w:pPr>
              <w:pStyle w:val="TableParagraph"/>
              <w:spacing w:line="121" w:lineRule="exact" w:before="3"/>
              <w:ind w:right="101"/>
              <w:jc w:val="center"/>
              <w:rPr>
                <w:rFonts w:ascii="Calibri"/>
                <w:sz w:val="11"/>
              </w:rPr>
            </w:pPr>
            <w:r>
              <w:rPr>
                <w:rFonts w:ascii="Calibri"/>
                <w:spacing w:val="-10"/>
                <w:sz w:val="11"/>
              </w:rPr>
              <w:t>-</w:t>
            </w:r>
          </w:p>
        </w:tc>
        <w:tc>
          <w:tcPr>
            <w:tcW w:w="712" w:type="dxa"/>
          </w:tcPr>
          <w:p>
            <w:pPr>
              <w:pStyle w:val="TableParagraph"/>
              <w:spacing w:line="121" w:lineRule="exact" w:before="3"/>
              <w:ind w:right="49"/>
              <w:jc w:val="right"/>
              <w:rPr>
                <w:rFonts w:ascii="Calibri"/>
                <w:sz w:val="11"/>
              </w:rPr>
            </w:pPr>
            <w:r>
              <w:rPr>
                <w:rFonts w:ascii="Calibri"/>
                <w:sz w:val="11"/>
              </w:rPr>
              <w:t>30 </w:t>
            </w:r>
            <w:r>
              <w:rPr>
                <w:rFonts w:ascii="Calibri"/>
                <w:spacing w:val="-2"/>
                <w:sz w:val="11"/>
              </w:rPr>
              <w:t>225,00</w:t>
            </w:r>
          </w:p>
        </w:tc>
        <w:tc>
          <w:tcPr>
            <w:tcW w:w="146" w:type="dxa"/>
          </w:tcPr>
          <w:p>
            <w:pPr>
              <w:pStyle w:val="TableParagraph"/>
              <w:spacing w:line="121" w:lineRule="exact" w:before="3"/>
              <w:ind w:left="25"/>
              <w:rPr>
                <w:rFonts w:ascii="Calibri"/>
                <w:sz w:val="11"/>
              </w:rPr>
            </w:pPr>
            <w:r>
              <w:rPr>
                <w:rFonts w:ascii="Calibri"/>
                <w:spacing w:val="-10"/>
                <w:sz w:val="11"/>
              </w:rPr>
              <w:t>-</w:t>
            </w:r>
          </w:p>
        </w:tc>
        <w:tc>
          <w:tcPr>
            <w:tcW w:w="733" w:type="dxa"/>
          </w:tcPr>
          <w:p>
            <w:pPr>
              <w:pStyle w:val="TableParagraph"/>
              <w:spacing w:line="121" w:lineRule="exact" w:before="3"/>
              <w:ind w:right="46"/>
              <w:jc w:val="right"/>
              <w:rPr>
                <w:rFonts w:ascii="Calibri"/>
                <w:sz w:val="11"/>
              </w:rPr>
            </w:pPr>
            <w:r>
              <w:rPr>
                <w:rFonts w:ascii="Calibri"/>
                <w:sz w:val="11"/>
              </w:rPr>
              <w:t>419 </w:t>
            </w:r>
            <w:r>
              <w:rPr>
                <w:rFonts w:ascii="Calibri"/>
                <w:spacing w:val="-2"/>
                <w:sz w:val="11"/>
              </w:rPr>
              <w:t>347,10</w:t>
            </w:r>
          </w:p>
        </w:tc>
        <w:tc>
          <w:tcPr>
            <w:tcW w:w="210" w:type="dxa"/>
          </w:tcPr>
          <w:p>
            <w:pPr>
              <w:pStyle w:val="TableParagraph"/>
              <w:spacing w:line="121" w:lineRule="exact" w:before="3"/>
              <w:ind w:left="21"/>
              <w:rPr>
                <w:rFonts w:ascii="Calibri"/>
                <w:sz w:val="11"/>
              </w:rPr>
            </w:pPr>
            <w:r>
              <w:rPr>
                <w:rFonts w:ascii="Calibri"/>
                <w:spacing w:val="-10"/>
                <w:sz w:val="11"/>
              </w:rPr>
              <w:t>-</w:t>
            </w:r>
          </w:p>
        </w:tc>
        <w:tc>
          <w:tcPr>
            <w:tcW w:w="809" w:type="dxa"/>
          </w:tcPr>
          <w:p>
            <w:pPr>
              <w:pStyle w:val="TableParagraph"/>
              <w:spacing w:line="121" w:lineRule="exact" w:before="3"/>
              <w:ind w:right="54"/>
              <w:jc w:val="right"/>
              <w:rPr>
                <w:rFonts w:ascii="Calibri"/>
                <w:sz w:val="11"/>
              </w:rPr>
            </w:pPr>
            <w:r>
              <w:rPr>
                <w:rFonts w:ascii="Calibri"/>
                <w:sz w:val="11"/>
              </w:rPr>
              <w:t>12 </w:t>
            </w:r>
            <w:r>
              <w:rPr>
                <w:rFonts w:ascii="Calibri"/>
                <w:spacing w:val="-2"/>
                <w:sz w:val="11"/>
              </w:rPr>
              <w:t>081,31</w:t>
            </w:r>
          </w:p>
        </w:tc>
        <w:tc>
          <w:tcPr>
            <w:tcW w:w="178" w:type="dxa"/>
          </w:tcPr>
          <w:p>
            <w:pPr>
              <w:pStyle w:val="TableParagraph"/>
              <w:spacing w:line="121" w:lineRule="exact" w:before="3"/>
              <w:ind w:left="32"/>
              <w:rPr>
                <w:rFonts w:ascii="Calibri"/>
                <w:sz w:val="11"/>
              </w:rPr>
            </w:pPr>
            <w:r>
              <w:rPr>
                <w:rFonts w:ascii="Calibri"/>
                <w:spacing w:val="-10"/>
                <w:sz w:val="11"/>
              </w:rPr>
              <w:t>-</w:t>
            </w:r>
          </w:p>
        </w:tc>
        <w:tc>
          <w:tcPr>
            <w:tcW w:w="678" w:type="dxa"/>
          </w:tcPr>
          <w:p>
            <w:pPr>
              <w:pStyle w:val="TableParagraph"/>
              <w:spacing w:line="121" w:lineRule="exact" w:before="3"/>
              <w:ind w:right="43"/>
              <w:jc w:val="right"/>
              <w:rPr>
                <w:rFonts w:ascii="Calibri"/>
                <w:sz w:val="11"/>
              </w:rPr>
            </w:pPr>
            <w:r>
              <w:rPr>
                <w:rFonts w:ascii="Calibri"/>
                <w:spacing w:val="-2"/>
                <w:sz w:val="11"/>
              </w:rPr>
              <w:t>169,00</w:t>
            </w:r>
          </w:p>
        </w:tc>
        <w:tc>
          <w:tcPr>
            <w:tcW w:w="200" w:type="dxa"/>
          </w:tcPr>
          <w:p>
            <w:pPr>
              <w:pStyle w:val="TableParagraph"/>
              <w:spacing w:line="121" w:lineRule="exact" w:before="3"/>
              <w:ind w:right="83"/>
              <w:jc w:val="center"/>
              <w:rPr>
                <w:rFonts w:ascii="Calibri"/>
                <w:sz w:val="11"/>
              </w:rPr>
            </w:pPr>
            <w:r>
              <w:rPr>
                <w:rFonts w:ascii="Calibri"/>
                <w:spacing w:val="-10"/>
                <w:sz w:val="11"/>
              </w:rPr>
              <w:t>-</w:t>
            </w:r>
          </w:p>
        </w:tc>
        <w:tc>
          <w:tcPr>
            <w:tcW w:w="693" w:type="dxa"/>
          </w:tcPr>
          <w:p>
            <w:pPr>
              <w:pStyle w:val="TableParagraph"/>
              <w:spacing w:line="121" w:lineRule="exact" w:before="3"/>
              <w:ind w:right="39"/>
              <w:jc w:val="right"/>
              <w:rPr>
                <w:rFonts w:ascii="Calibri"/>
                <w:sz w:val="11"/>
              </w:rPr>
            </w:pPr>
            <w:r>
              <w:rPr>
                <w:rFonts w:ascii="Calibri"/>
                <w:sz w:val="11"/>
              </w:rPr>
              <w:t>3</w:t>
            </w:r>
            <w:r>
              <w:rPr>
                <w:rFonts w:ascii="Calibri"/>
                <w:spacing w:val="-1"/>
                <w:sz w:val="11"/>
              </w:rPr>
              <w:t> </w:t>
            </w:r>
            <w:r>
              <w:rPr>
                <w:rFonts w:ascii="Calibri"/>
                <w:spacing w:val="-2"/>
                <w:sz w:val="11"/>
              </w:rPr>
              <w:t>761,73</w:t>
            </w:r>
          </w:p>
        </w:tc>
        <w:tc>
          <w:tcPr>
            <w:tcW w:w="152" w:type="dxa"/>
          </w:tcPr>
          <w:p>
            <w:pPr>
              <w:pStyle w:val="TableParagraph"/>
              <w:rPr>
                <w:rFonts w:ascii="Times New Roman"/>
                <w:sz w:val="8"/>
              </w:rPr>
            </w:pPr>
          </w:p>
        </w:tc>
        <w:tc>
          <w:tcPr>
            <w:tcW w:w="826" w:type="dxa"/>
            <w:tcBorders>
              <w:right w:val="single" w:sz="4" w:space="0" w:color="000000"/>
            </w:tcBorders>
          </w:tcPr>
          <w:p>
            <w:pPr>
              <w:pStyle w:val="TableParagraph"/>
              <w:spacing w:line="119" w:lineRule="exact" w:before="5"/>
              <w:ind w:left="154" w:right="-15"/>
              <w:jc w:val="center"/>
              <w:rPr>
                <w:rFonts w:ascii="Times New Roman"/>
                <w:sz w:val="11"/>
              </w:rPr>
            </w:pPr>
            <w:r>
              <w:rPr>
                <w:rFonts w:ascii="Times New Roman"/>
                <w:sz w:val="11"/>
              </w:rPr>
              <w:t>(1</w:t>
            </w:r>
            <w:r>
              <w:rPr>
                <w:rFonts w:ascii="Times New Roman"/>
                <w:spacing w:val="1"/>
                <w:sz w:val="11"/>
              </w:rPr>
              <w:t> </w:t>
            </w:r>
            <w:r>
              <w:rPr>
                <w:rFonts w:ascii="Times New Roman"/>
                <w:sz w:val="11"/>
              </w:rPr>
              <w:t>454</w:t>
            </w:r>
            <w:r>
              <w:rPr>
                <w:rFonts w:ascii="Times New Roman"/>
                <w:spacing w:val="2"/>
                <w:sz w:val="11"/>
              </w:rPr>
              <w:t> </w:t>
            </w:r>
            <w:r>
              <w:rPr>
                <w:rFonts w:ascii="Times New Roman"/>
                <w:spacing w:val="-2"/>
                <w:sz w:val="11"/>
              </w:rPr>
              <w:t>644,57)</w:t>
            </w:r>
          </w:p>
        </w:tc>
      </w:tr>
      <w:tr>
        <w:trPr>
          <w:trHeight w:val="137" w:hRule="atLeast"/>
        </w:trPr>
        <w:tc>
          <w:tcPr>
            <w:tcW w:w="1568" w:type="dxa"/>
            <w:tcBorders>
              <w:left w:val="single" w:sz="4" w:space="0" w:color="000000"/>
            </w:tcBorders>
          </w:tcPr>
          <w:p>
            <w:pPr>
              <w:pStyle w:val="TableParagraph"/>
              <w:spacing w:line="112" w:lineRule="exact" w:before="5"/>
              <w:ind w:left="16"/>
              <w:rPr>
                <w:rFonts w:ascii="Times New Roman"/>
                <w:sz w:val="11"/>
              </w:rPr>
            </w:pPr>
            <w:r>
              <w:rPr>
                <w:rFonts w:ascii="Times New Roman"/>
                <w:spacing w:val="-2"/>
                <w:sz w:val="11"/>
              </w:rPr>
              <w:t>Ajustes</w:t>
            </w:r>
          </w:p>
        </w:tc>
        <w:tc>
          <w:tcPr>
            <w:tcW w:w="237" w:type="dxa"/>
            <w:tcBorders>
              <w:bottom w:val="single" w:sz="2" w:space="0" w:color="000000"/>
            </w:tcBorders>
          </w:tcPr>
          <w:p>
            <w:pPr>
              <w:pStyle w:val="TableParagraph"/>
              <w:rPr>
                <w:rFonts w:ascii="Times New Roman"/>
                <w:sz w:val="8"/>
              </w:rPr>
            </w:pPr>
          </w:p>
        </w:tc>
        <w:tc>
          <w:tcPr>
            <w:tcW w:w="843" w:type="dxa"/>
            <w:tcBorders>
              <w:bottom w:val="single" w:sz="2" w:space="0" w:color="000000"/>
            </w:tcBorders>
          </w:tcPr>
          <w:p>
            <w:pPr>
              <w:pStyle w:val="TableParagraph"/>
              <w:spacing w:line="114" w:lineRule="exact" w:before="3"/>
              <w:ind w:right="47"/>
              <w:jc w:val="right"/>
              <w:rPr>
                <w:rFonts w:ascii="Calibri"/>
                <w:sz w:val="11"/>
              </w:rPr>
            </w:pPr>
            <w:r>
              <w:rPr>
                <w:rFonts w:ascii="Calibri"/>
                <w:sz w:val="11"/>
              </w:rPr>
              <w:t>416 </w:t>
            </w:r>
            <w:r>
              <w:rPr>
                <w:rFonts w:ascii="Calibri"/>
                <w:spacing w:val="-2"/>
                <w:sz w:val="11"/>
              </w:rPr>
              <w:t>271,03</w:t>
            </w:r>
          </w:p>
        </w:tc>
        <w:tc>
          <w:tcPr>
            <w:tcW w:w="182" w:type="dxa"/>
            <w:tcBorders>
              <w:bottom w:val="single" w:sz="2" w:space="0" w:color="000000"/>
            </w:tcBorders>
          </w:tcPr>
          <w:p>
            <w:pPr>
              <w:pStyle w:val="TableParagraph"/>
              <w:rPr>
                <w:rFonts w:ascii="Times New Roman"/>
                <w:sz w:val="8"/>
              </w:rPr>
            </w:pPr>
          </w:p>
        </w:tc>
        <w:tc>
          <w:tcPr>
            <w:tcW w:w="712" w:type="dxa"/>
            <w:tcBorders>
              <w:bottom w:val="single" w:sz="2" w:space="0" w:color="000000"/>
            </w:tcBorders>
          </w:tcPr>
          <w:p>
            <w:pPr>
              <w:pStyle w:val="TableParagraph"/>
              <w:spacing w:line="114" w:lineRule="exact" w:before="3"/>
              <w:ind w:right="161"/>
              <w:jc w:val="right"/>
              <w:rPr>
                <w:rFonts w:ascii="Calibri"/>
                <w:sz w:val="11"/>
              </w:rPr>
            </w:pPr>
            <w:r>
              <w:rPr>
                <w:rFonts w:ascii="Calibri"/>
                <w:spacing w:val="-10"/>
                <w:sz w:val="11"/>
              </w:rPr>
              <w:t>-</w:t>
            </w:r>
          </w:p>
        </w:tc>
        <w:tc>
          <w:tcPr>
            <w:tcW w:w="146" w:type="dxa"/>
            <w:tcBorders>
              <w:bottom w:val="single" w:sz="2" w:space="0" w:color="000000"/>
            </w:tcBorders>
          </w:tcPr>
          <w:p>
            <w:pPr>
              <w:pStyle w:val="TableParagraph"/>
              <w:rPr>
                <w:rFonts w:ascii="Times New Roman"/>
                <w:sz w:val="8"/>
              </w:rPr>
            </w:pPr>
          </w:p>
        </w:tc>
        <w:tc>
          <w:tcPr>
            <w:tcW w:w="733" w:type="dxa"/>
            <w:tcBorders>
              <w:bottom w:val="single" w:sz="2" w:space="0" w:color="000000"/>
            </w:tcBorders>
          </w:tcPr>
          <w:p>
            <w:pPr>
              <w:pStyle w:val="TableParagraph"/>
              <w:spacing w:line="114" w:lineRule="exact" w:before="3"/>
              <w:ind w:right="46"/>
              <w:jc w:val="right"/>
              <w:rPr>
                <w:rFonts w:ascii="Calibri"/>
                <w:sz w:val="11"/>
              </w:rPr>
            </w:pPr>
            <w:r>
              <w:rPr>
                <w:rFonts w:ascii="Calibri"/>
                <w:sz w:val="11"/>
              </w:rPr>
              <w:t>1</w:t>
            </w:r>
            <w:r>
              <w:rPr>
                <w:rFonts w:ascii="Calibri"/>
                <w:spacing w:val="-1"/>
                <w:sz w:val="11"/>
              </w:rPr>
              <w:t> </w:t>
            </w:r>
            <w:r>
              <w:rPr>
                <w:rFonts w:ascii="Calibri"/>
                <w:spacing w:val="-2"/>
                <w:sz w:val="11"/>
              </w:rPr>
              <w:t>371,92</w:t>
            </w:r>
          </w:p>
        </w:tc>
        <w:tc>
          <w:tcPr>
            <w:tcW w:w="210" w:type="dxa"/>
            <w:tcBorders>
              <w:bottom w:val="single" w:sz="2" w:space="0" w:color="000000"/>
            </w:tcBorders>
          </w:tcPr>
          <w:p>
            <w:pPr>
              <w:pStyle w:val="TableParagraph"/>
              <w:rPr>
                <w:rFonts w:ascii="Times New Roman"/>
                <w:sz w:val="8"/>
              </w:rPr>
            </w:pPr>
          </w:p>
        </w:tc>
        <w:tc>
          <w:tcPr>
            <w:tcW w:w="809" w:type="dxa"/>
            <w:tcBorders>
              <w:bottom w:val="single" w:sz="2" w:space="0" w:color="000000"/>
            </w:tcBorders>
          </w:tcPr>
          <w:p>
            <w:pPr>
              <w:pStyle w:val="TableParagraph"/>
              <w:spacing w:line="114" w:lineRule="exact" w:before="3"/>
              <w:ind w:right="52"/>
              <w:jc w:val="right"/>
              <w:rPr>
                <w:rFonts w:ascii="Calibri"/>
                <w:sz w:val="11"/>
              </w:rPr>
            </w:pPr>
            <w:r>
              <w:rPr>
                <w:rFonts w:ascii="Calibri"/>
                <w:spacing w:val="-2"/>
                <w:sz w:val="11"/>
              </w:rPr>
              <w:t>--</w:t>
            </w:r>
            <w:r>
              <w:rPr>
                <w:rFonts w:ascii="Calibri"/>
                <w:spacing w:val="-10"/>
                <w:sz w:val="11"/>
              </w:rPr>
              <w:t>-</w:t>
            </w:r>
          </w:p>
        </w:tc>
        <w:tc>
          <w:tcPr>
            <w:tcW w:w="178" w:type="dxa"/>
            <w:tcBorders>
              <w:bottom w:val="single" w:sz="2" w:space="0" w:color="000000"/>
            </w:tcBorders>
          </w:tcPr>
          <w:p>
            <w:pPr>
              <w:pStyle w:val="TableParagraph"/>
              <w:rPr>
                <w:rFonts w:ascii="Times New Roman"/>
                <w:sz w:val="8"/>
              </w:rPr>
            </w:pPr>
          </w:p>
        </w:tc>
        <w:tc>
          <w:tcPr>
            <w:tcW w:w="678" w:type="dxa"/>
            <w:tcBorders>
              <w:bottom w:val="single" w:sz="2" w:space="0" w:color="000000"/>
            </w:tcBorders>
          </w:tcPr>
          <w:p>
            <w:pPr>
              <w:pStyle w:val="TableParagraph"/>
              <w:rPr>
                <w:rFonts w:ascii="Times New Roman"/>
                <w:sz w:val="8"/>
              </w:rPr>
            </w:pPr>
          </w:p>
        </w:tc>
        <w:tc>
          <w:tcPr>
            <w:tcW w:w="200" w:type="dxa"/>
            <w:tcBorders>
              <w:bottom w:val="single" w:sz="2" w:space="0" w:color="000000"/>
            </w:tcBorders>
          </w:tcPr>
          <w:p>
            <w:pPr>
              <w:pStyle w:val="TableParagraph"/>
              <w:spacing w:line="114" w:lineRule="exact" w:before="3"/>
              <w:ind w:right="112"/>
              <w:jc w:val="center"/>
              <w:rPr>
                <w:rFonts w:ascii="Calibri"/>
                <w:sz w:val="11"/>
              </w:rPr>
            </w:pPr>
            <w:r>
              <w:rPr>
                <w:rFonts w:ascii="Calibri"/>
                <w:spacing w:val="-10"/>
                <w:sz w:val="11"/>
              </w:rPr>
              <w:t>-</w:t>
            </w:r>
          </w:p>
        </w:tc>
        <w:tc>
          <w:tcPr>
            <w:tcW w:w="693" w:type="dxa"/>
            <w:tcBorders>
              <w:bottom w:val="single" w:sz="2" w:space="0" w:color="000000"/>
            </w:tcBorders>
          </w:tcPr>
          <w:p>
            <w:pPr>
              <w:pStyle w:val="TableParagraph"/>
              <w:spacing w:line="114" w:lineRule="exact" w:before="3"/>
              <w:ind w:right="39"/>
              <w:jc w:val="right"/>
              <w:rPr>
                <w:rFonts w:ascii="Calibri"/>
                <w:sz w:val="11"/>
              </w:rPr>
            </w:pPr>
            <w:r>
              <w:rPr>
                <w:rFonts w:ascii="Calibri"/>
                <w:spacing w:val="-2"/>
                <w:sz w:val="11"/>
              </w:rPr>
              <w:t>595,92</w:t>
            </w:r>
          </w:p>
        </w:tc>
        <w:tc>
          <w:tcPr>
            <w:tcW w:w="152" w:type="dxa"/>
            <w:tcBorders>
              <w:bottom w:val="single" w:sz="2" w:space="0" w:color="000000"/>
            </w:tcBorders>
          </w:tcPr>
          <w:p>
            <w:pPr>
              <w:pStyle w:val="TableParagraph"/>
              <w:rPr>
                <w:rFonts w:ascii="Times New Roman"/>
                <w:sz w:val="8"/>
              </w:rPr>
            </w:pPr>
          </w:p>
        </w:tc>
        <w:tc>
          <w:tcPr>
            <w:tcW w:w="826" w:type="dxa"/>
            <w:tcBorders>
              <w:bottom w:val="single" w:sz="2" w:space="0" w:color="000000"/>
              <w:right w:val="single" w:sz="4" w:space="0" w:color="000000"/>
            </w:tcBorders>
          </w:tcPr>
          <w:p>
            <w:pPr>
              <w:pStyle w:val="TableParagraph"/>
              <w:spacing w:line="112" w:lineRule="exact" w:before="5"/>
              <w:ind w:left="310"/>
              <w:jc w:val="center"/>
              <w:rPr>
                <w:rFonts w:ascii="Times New Roman"/>
                <w:sz w:val="11"/>
              </w:rPr>
            </w:pPr>
            <w:r>
              <w:rPr>
                <w:rFonts w:ascii="Times New Roman"/>
                <w:sz w:val="11"/>
              </w:rPr>
              <w:t>417</w:t>
            </w:r>
            <w:r>
              <w:rPr>
                <w:rFonts w:ascii="Times New Roman"/>
                <w:spacing w:val="3"/>
                <w:sz w:val="11"/>
              </w:rPr>
              <w:t> </w:t>
            </w:r>
            <w:r>
              <w:rPr>
                <w:rFonts w:ascii="Times New Roman"/>
                <w:spacing w:val="-2"/>
                <w:sz w:val="11"/>
              </w:rPr>
              <w:t>047,03</w:t>
            </w:r>
          </w:p>
        </w:tc>
      </w:tr>
      <w:tr>
        <w:trPr>
          <w:trHeight w:val="138" w:hRule="atLeast"/>
        </w:trPr>
        <w:tc>
          <w:tcPr>
            <w:tcW w:w="1568" w:type="dxa"/>
            <w:tcBorders>
              <w:left w:val="single" w:sz="4" w:space="0" w:color="000000"/>
            </w:tcBorders>
          </w:tcPr>
          <w:p>
            <w:pPr>
              <w:pStyle w:val="TableParagraph"/>
              <w:spacing w:line="108" w:lineRule="exact" w:before="11"/>
              <w:ind w:left="16"/>
              <w:rPr>
                <w:rFonts w:ascii="Times New Roman"/>
                <w:b/>
                <w:sz w:val="11"/>
              </w:rPr>
            </w:pPr>
            <w:r>
              <w:rPr>
                <w:rFonts w:ascii="Times New Roman"/>
                <w:b/>
                <w:sz w:val="11"/>
              </w:rPr>
              <w:t>Al</w:t>
            </w:r>
            <w:r>
              <w:rPr>
                <w:rFonts w:ascii="Times New Roman"/>
                <w:b/>
                <w:spacing w:val="-2"/>
                <w:sz w:val="11"/>
              </w:rPr>
              <w:t> </w:t>
            </w:r>
            <w:r>
              <w:rPr>
                <w:rFonts w:ascii="Times New Roman"/>
                <w:b/>
                <w:sz w:val="11"/>
              </w:rPr>
              <w:t>31</w:t>
            </w:r>
            <w:r>
              <w:rPr>
                <w:rFonts w:ascii="Times New Roman"/>
                <w:b/>
                <w:spacing w:val="1"/>
                <w:sz w:val="11"/>
              </w:rPr>
              <w:t> </w:t>
            </w:r>
            <w:r>
              <w:rPr>
                <w:rFonts w:ascii="Times New Roman"/>
                <w:b/>
                <w:sz w:val="11"/>
              </w:rPr>
              <w:t>de</w:t>
            </w:r>
            <w:r>
              <w:rPr>
                <w:rFonts w:ascii="Times New Roman"/>
                <w:b/>
                <w:spacing w:val="-1"/>
                <w:sz w:val="11"/>
              </w:rPr>
              <w:t> </w:t>
            </w:r>
            <w:r>
              <w:rPr>
                <w:rFonts w:ascii="Times New Roman"/>
                <w:b/>
                <w:sz w:val="11"/>
              </w:rPr>
              <w:t>julio</w:t>
            </w:r>
            <w:r>
              <w:rPr>
                <w:rFonts w:ascii="Times New Roman"/>
                <w:b/>
                <w:spacing w:val="25"/>
                <w:sz w:val="11"/>
              </w:rPr>
              <w:t> </w:t>
            </w:r>
            <w:r>
              <w:rPr>
                <w:rFonts w:ascii="Times New Roman"/>
                <w:b/>
                <w:spacing w:val="-4"/>
                <w:sz w:val="11"/>
              </w:rPr>
              <w:t>2026</w:t>
            </w:r>
          </w:p>
        </w:tc>
        <w:tc>
          <w:tcPr>
            <w:tcW w:w="237" w:type="dxa"/>
            <w:tcBorders>
              <w:top w:val="single" w:sz="2" w:space="0" w:color="000000"/>
              <w:bottom w:val="single" w:sz="4" w:space="0" w:color="000000"/>
            </w:tcBorders>
          </w:tcPr>
          <w:p>
            <w:pPr>
              <w:pStyle w:val="TableParagraph"/>
              <w:rPr>
                <w:rFonts w:ascii="Times New Roman"/>
                <w:sz w:val="8"/>
              </w:rPr>
            </w:pPr>
          </w:p>
        </w:tc>
        <w:tc>
          <w:tcPr>
            <w:tcW w:w="843" w:type="dxa"/>
            <w:tcBorders>
              <w:top w:val="single" w:sz="2" w:space="0" w:color="000000"/>
              <w:bottom w:val="single" w:sz="4" w:space="0" w:color="000000"/>
            </w:tcBorders>
          </w:tcPr>
          <w:p>
            <w:pPr>
              <w:pStyle w:val="TableParagraph"/>
              <w:spacing w:line="108" w:lineRule="exact" w:before="11"/>
              <w:ind w:right="14"/>
              <w:jc w:val="right"/>
              <w:rPr>
                <w:rFonts w:ascii="Times New Roman"/>
                <w:b/>
                <w:sz w:val="11"/>
              </w:rPr>
            </w:pPr>
            <w:r>
              <w:rPr>
                <w:rFonts w:ascii="Times New Roman"/>
                <w:b/>
                <w:sz w:val="11"/>
              </w:rPr>
              <w:t>126</w:t>
            </w:r>
            <w:r>
              <w:rPr>
                <w:rFonts w:ascii="Times New Roman"/>
                <w:b/>
                <w:spacing w:val="3"/>
                <w:sz w:val="11"/>
              </w:rPr>
              <w:t> </w:t>
            </w:r>
            <w:r>
              <w:rPr>
                <w:rFonts w:ascii="Times New Roman"/>
                <w:b/>
                <w:sz w:val="11"/>
              </w:rPr>
              <w:t>191</w:t>
            </w:r>
            <w:r>
              <w:rPr>
                <w:rFonts w:ascii="Times New Roman"/>
                <w:b/>
                <w:spacing w:val="4"/>
                <w:sz w:val="11"/>
              </w:rPr>
              <w:t> </w:t>
            </w:r>
            <w:r>
              <w:rPr>
                <w:rFonts w:ascii="Times New Roman"/>
                <w:b/>
                <w:spacing w:val="-2"/>
                <w:sz w:val="11"/>
              </w:rPr>
              <w:t>204,96</w:t>
            </w:r>
          </w:p>
        </w:tc>
        <w:tc>
          <w:tcPr>
            <w:tcW w:w="182" w:type="dxa"/>
            <w:tcBorders>
              <w:top w:val="single" w:sz="2" w:space="0" w:color="000000"/>
              <w:bottom w:val="single" w:sz="4" w:space="0" w:color="000000"/>
            </w:tcBorders>
          </w:tcPr>
          <w:p>
            <w:pPr>
              <w:pStyle w:val="TableParagraph"/>
              <w:rPr>
                <w:rFonts w:ascii="Times New Roman"/>
                <w:sz w:val="8"/>
              </w:rPr>
            </w:pPr>
          </w:p>
        </w:tc>
        <w:tc>
          <w:tcPr>
            <w:tcW w:w="712" w:type="dxa"/>
            <w:tcBorders>
              <w:top w:val="single" w:sz="2" w:space="0" w:color="000000"/>
              <w:bottom w:val="single" w:sz="4" w:space="0" w:color="000000"/>
            </w:tcBorders>
          </w:tcPr>
          <w:p>
            <w:pPr>
              <w:pStyle w:val="TableParagraph"/>
              <w:spacing w:line="108" w:lineRule="exact" w:before="11"/>
              <w:ind w:right="17"/>
              <w:jc w:val="right"/>
              <w:rPr>
                <w:rFonts w:ascii="Times New Roman"/>
                <w:b/>
                <w:sz w:val="11"/>
              </w:rPr>
            </w:pPr>
            <w:r>
              <w:rPr>
                <w:rFonts w:ascii="Times New Roman"/>
                <w:b/>
                <w:sz w:val="11"/>
              </w:rPr>
              <w:t>9</w:t>
            </w:r>
            <w:r>
              <w:rPr>
                <w:rFonts w:ascii="Times New Roman"/>
                <w:b/>
                <w:spacing w:val="2"/>
                <w:sz w:val="11"/>
              </w:rPr>
              <w:t> </w:t>
            </w:r>
            <w:r>
              <w:rPr>
                <w:rFonts w:ascii="Times New Roman"/>
                <w:b/>
                <w:sz w:val="11"/>
              </w:rPr>
              <w:t>336</w:t>
            </w:r>
            <w:r>
              <w:rPr>
                <w:rFonts w:ascii="Times New Roman"/>
                <w:b/>
                <w:spacing w:val="2"/>
                <w:sz w:val="11"/>
              </w:rPr>
              <w:t> </w:t>
            </w:r>
            <w:r>
              <w:rPr>
                <w:rFonts w:ascii="Times New Roman"/>
                <w:b/>
                <w:spacing w:val="-2"/>
                <w:sz w:val="11"/>
              </w:rPr>
              <w:t>482,02</w:t>
            </w:r>
          </w:p>
        </w:tc>
        <w:tc>
          <w:tcPr>
            <w:tcW w:w="146" w:type="dxa"/>
            <w:tcBorders>
              <w:top w:val="single" w:sz="2" w:space="0" w:color="000000"/>
              <w:bottom w:val="single" w:sz="4" w:space="0" w:color="000000"/>
            </w:tcBorders>
          </w:tcPr>
          <w:p>
            <w:pPr>
              <w:pStyle w:val="TableParagraph"/>
              <w:rPr>
                <w:rFonts w:ascii="Times New Roman"/>
                <w:sz w:val="8"/>
              </w:rPr>
            </w:pPr>
          </w:p>
        </w:tc>
        <w:tc>
          <w:tcPr>
            <w:tcW w:w="733" w:type="dxa"/>
            <w:tcBorders>
              <w:top w:val="single" w:sz="2" w:space="0" w:color="000000"/>
              <w:bottom w:val="single" w:sz="4" w:space="0" w:color="000000"/>
            </w:tcBorders>
          </w:tcPr>
          <w:p>
            <w:pPr>
              <w:pStyle w:val="TableParagraph"/>
              <w:spacing w:line="108" w:lineRule="exact" w:before="11"/>
              <w:ind w:right="14"/>
              <w:jc w:val="right"/>
              <w:rPr>
                <w:rFonts w:ascii="Times New Roman"/>
                <w:b/>
                <w:sz w:val="11"/>
              </w:rPr>
            </w:pPr>
            <w:r>
              <w:rPr>
                <w:rFonts w:ascii="Times New Roman"/>
                <w:b/>
                <w:sz w:val="11"/>
              </w:rPr>
              <w:t>5</w:t>
            </w:r>
            <w:r>
              <w:rPr>
                <w:rFonts w:ascii="Times New Roman"/>
                <w:b/>
                <w:spacing w:val="2"/>
                <w:sz w:val="11"/>
              </w:rPr>
              <w:t> </w:t>
            </w:r>
            <w:r>
              <w:rPr>
                <w:rFonts w:ascii="Times New Roman"/>
                <w:b/>
                <w:sz w:val="11"/>
              </w:rPr>
              <w:t>313</w:t>
            </w:r>
            <w:r>
              <w:rPr>
                <w:rFonts w:ascii="Times New Roman"/>
                <w:b/>
                <w:spacing w:val="2"/>
                <w:sz w:val="11"/>
              </w:rPr>
              <w:t> </w:t>
            </w:r>
            <w:r>
              <w:rPr>
                <w:rFonts w:ascii="Times New Roman"/>
                <w:b/>
                <w:spacing w:val="-2"/>
                <w:sz w:val="11"/>
              </w:rPr>
              <w:t>933,14</w:t>
            </w:r>
          </w:p>
        </w:tc>
        <w:tc>
          <w:tcPr>
            <w:tcW w:w="210" w:type="dxa"/>
            <w:tcBorders>
              <w:top w:val="single" w:sz="2" w:space="0" w:color="000000"/>
              <w:bottom w:val="single" w:sz="4" w:space="0" w:color="000000"/>
            </w:tcBorders>
          </w:tcPr>
          <w:p>
            <w:pPr>
              <w:pStyle w:val="TableParagraph"/>
              <w:rPr>
                <w:rFonts w:ascii="Times New Roman"/>
                <w:sz w:val="8"/>
              </w:rPr>
            </w:pPr>
          </w:p>
        </w:tc>
        <w:tc>
          <w:tcPr>
            <w:tcW w:w="809" w:type="dxa"/>
            <w:tcBorders>
              <w:top w:val="single" w:sz="2" w:space="0" w:color="000000"/>
              <w:bottom w:val="single" w:sz="4" w:space="0" w:color="000000"/>
            </w:tcBorders>
          </w:tcPr>
          <w:p>
            <w:pPr>
              <w:pStyle w:val="TableParagraph"/>
              <w:spacing w:line="108" w:lineRule="exact" w:before="11"/>
              <w:ind w:right="22"/>
              <w:jc w:val="right"/>
              <w:rPr>
                <w:rFonts w:ascii="Times New Roman"/>
                <w:b/>
                <w:sz w:val="11"/>
              </w:rPr>
            </w:pPr>
            <w:r>
              <w:rPr>
                <w:rFonts w:ascii="Times New Roman"/>
                <w:b/>
                <w:sz w:val="11"/>
              </w:rPr>
              <w:t>2</w:t>
            </w:r>
            <w:r>
              <w:rPr>
                <w:rFonts w:ascii="Times New Roman"/>
                <w:b/>
                <w:spacing w:val="2"/>
                <w:sz w:val="11"/>
              </w:rPr>
              <w:t> </w:t>
            </w:r>
            <w:r>
              <w:rPr>
                <w:rFonts w:ascii="Times New Roman"/>
                <w:b/>
                <w:sz w:val="11"/>
              </w:rPr>
              <w:t>000</w:t>
            </w:r>
            <w:r>
              <w:rPr>
                <w:rFonts w:ascii="Times New Roman"/>
                <w:b/>
                <w:spacing w:val="2"/>
                <w:sz w:val="11"/>
              </w:rPr>
              <w:t> </w:t>
            </w:r>
            <w:r>
              <w:rPr>
                <w:rFonts w:ascii="Times New Roman"/>
                <w:b/>
                <w:spacing w:val="-2"/>
                <w:sz w:val="11"/>
              </w:rPr>
              <w:t>527,27</w:t>
            </w:r>
          </w:p>
        </w:tc>
        <w:tc>
          <w:tcPr>
            <w:tcW w:w="178" w:type="dxa"/>
            <w:tcBorders>
              <w:top w:val="single" w:sz="2" w:space="0" w:color="000000"/>
              <w:bottom w:val="single" w:sz="4" w:space="0" w:color="000000"/>
            </w:tcBorders>
          </w:tcPr>
          <w:p>
            <w:pPr>
              <w:pStyle w:val="TableParagraph"/>
              <w:rPr>
                <w:rFonts w:ascii="Times New Roman"/>
                <w:sz w:val="8"/>
              </w:rPr>
            </w:pPr>
          </w:p>
        </w:tc>
        <w:tc>
          <w:tcPr>
            <w:tcW w:w="678" w:type="dxa"/>
            <w:tcBorders>
              <w:top w:val="single" w:sz="2" w:space="0" w:color="000000"/>
              <w:bottom w:val="single" w:sz="4" w:space="0" w:color="000000"/>
            </w:tcBorders>
          </w:tcPr>
          <w:p>
            <w:pPr>
              <w:pStyle w:val="TableParagraph"/>
              <w:spacing w:line="108" w:lineRule="exact" w:before="11"/>
              <w:ind w:right="10"/>
              <w:jc w:val="right"/>
              <w:rPr>
                <w:rFonts w:ascii="Times New Roman"/>
                <w:b/>
                <w:sz w:val="11"/>
              </w:rPr>
            </w:pPr>
            <w:r>
              <w:rPr>
                <w:rFonts w:ascii="Times New Roman"/>
                <w:b/>
                <w:sz w:val="11"/>
              </w:rPr>
              <w:t>167</w:t>
            </w:r>
            <w:r>
              <w:rPr>
                <w:rFonts w:ascii="Times New Roman"/>
                <w:b/>
                <w:spacing w:val="3"/>
                <w:sz w:val="11"/>
              </w:rPr>
              <w:t> </w:t>
            </w:r>
            <w:r>
              <w:rPr>
                <w:rFonts w:ascii="Times New Roman"/>
                <w:b/>
                <w:spacing w:val="-2"/>
                <w:sz w:val="11"/>
              </w:rPr>
              <w:t>966,10</w:t>
            </w:r>
          </w:p>
        </w:tc>
        <w:tc>
          <w:tcPr>
            <w:tcW w:w="200" w:type="dxa"/>
            <w:tcBorders>
              <w:top w:val="single" w:sz="2" w:space="0" w:color="000000"/>
              <w:bottom w:val="single" w:sz="4" w:space="0" w:color="000000"/>
            </w:tcBorders>
          </w:tcPr>
          <w:p>
            <w:pPr>
              <w:pStyle w:val="TableParagraph"/>
              <w:rPr>
                <w:rFonts w:ascii="Times New Roman"/>
                <w:sz w:val="8"/>
              </w:rPr>
            </w:pPr>
          </w:p>
        </w:tc>
        <w:tc>
          <w:tcPr>
            <w:tcW w:w="693" w:type="dxa"/>
            <w:tcBorders>
              <w:top w:val="single" w:sz="2" w:space="0" w:color="000000"/>
              <w:bottom w:val="single" w:sz="4" w:space="0" w:color="000000"/>
            </w:tcBorders>
          </w:tcPr>
          <w:p>
            <w:pPr>
              <w:pStyle w:val="TableParagraph"/>
              <w:spacing w:line="108" w:lineRule="exact" w:before="11"/>
              <w:ind w:right="6"/>
              <w:jc w:val="right"/>
              <w:rPr>
                <w:rFonts w:ascii="Times New Roman"/>
                <w:b/>
                <w:sz w:val="11"/>
              </w:rPr>
            </w:pPr>
            <w:r>
              <w:rPr>
                <w:rFonts w:ascii="Times New Roman"/>
                <w:b/>
                <w:sz w:val="11"/>
              </w:rPr>
              <w:t>477</w:t>
            </w:r>
            <w:r>
              <w:rPr>
                <w:rFonts w:ascii="Times New Roman"/>
                <w:b/>
                <w:spacing w:val="3"/>
                <w:sz w:val="11"/>
              </w:rPr>
              <w:t> </w:t>
            </w:r>
            <w:r>
              <w:rPr>
                <w:rFonts w:ascii="Times New Roman"/>
                <w:b/>
                <w:spacing w:val="-2"/>
                <w:sz w:val="11"/>
              </w:rPr>
              <w:t>313,84</w:t>
            </w:r>
          </w:p>
        </w:tc>
        <w:tc>
          <w:tcPr>
            <w:tcW w:w="152" w:type="dxa"/>
            <w:tcBorders>
              <w:top w:val="single" w:sz="2" w:space="0" w:color="000000"/>
              <w:bottom w:val="single" w:sz="4" w:space="0" w:color="000000"/>
            </w:tcBorders>
          </w:tcPr>
          <w:p>
            <w:pPr>
              <w:pStyle w:val="TableParagraph"/>
              <w:rPr>
                <w:rFonts w:ascii="Times New Roman"/>
                <w:sz w:val="8"/>
              </w:rPr>
            </w:pPr>
          </w:p>
        </w:tc>
        <w:tc>
          <w:tcPr>
            <w:tcW w:w="826" w:type="dxa"/>
            <w:tcBorders>
              <w:top w:val="single" w:sz="2" w:space="0" w:color="000000"/>
              <w:bottom w:val="single" w:sz="4" w:space="0" w:color="000000"/>
              <w:right w:val="single" w:sz="4" w:space="0" w:color="000000"/>
            </w:tcBorders>
          </w:tcPr>
          <w:p>
            <w:pPr>
              <w:pStyle w:val="TableParagraph"/>
              <w:spacing w:line="108" w:lineRule="exact" w:before="11"/>
              <w:ind w:left="111"/>
              <w:jc w:val="center"/>
              <w:rPr>
                <w:rFonts w:ascii="Times New Roman"/>
                <w:b/>
                <w:sz w:val="11"/>
              </w:rPr>
            </w:pPr>
            <w:r>
              <w:rPr>
                <w:rFonts w:ascii="Times New Roman"/>
                <w:b/>
                <w:sz w:val="11"/>
              </w:rPr>
              <w:t>143</w:t>
            </w:r>
            <w:r>
              <w:rPr>
                <w:rFonts w:ascii="Times New Roman"/>
                <w:b/>
                <w:spacing w:val="3"/>
                <w:sz w:val="11"/>
              </w:rPr>
              <w:t> </w:t>
            </w:r>
            <w:r>
              <w:rPr>
                <w:rFonts w:ascii="Times New Roman"/>
                <w:b/>
                <w:sz w:val="11"/>
              </w:rPr>
              <w:t>487</w:t>
            </w:r>
            <w:r>
              <w:rPr>
                <w:rFonts w:ascii="Times New Roman"/>
                <w:b/>
                <w:spacing w:val="4"/>
                <w:sz w:val="11"/>
              </w:rPr>
              <w:t> </w:t>
            </w:r>
            <w:r>
              <w:rPr>
                <w:rFonts w:ascii="Times New Roman"/>
                <w:b/>
                <w:spacing w:val="-2"/>
                <w:sz w:val="11"/>
              </w:rPr>
              <w:t>427,33</w:t>
            </w:r>
          </w:p>
        </w:tc>
      </w:tr>
      <w:tr>
        <w:trPr>
          <w:trHeight w:val="231" w:hRule="atLeast"/>
        </w:trPr>
        <w:tc>
          <w:tcPr>
            <w:tcW w:w="1568" w:type="dxa"/>
            <w:tcBorders>
              <w:left w:val="single" w:sz="4" w:space="0" w:color="000000"/>
            </w:tcBorders>
          </w:tcPr>
          <w:p>
            <w:pPr>
              <w:pStyle w:val="TableParagraph"/>
              <w:spacing w:before="67"/>
              <w:ind w:left="16"/>
              <w:rPr>
                <w:rFonts w:ascii="Times New Roman" w:hAnsi="Times New Roman"/>
                <w:b/>
                <w:sz w:val="11"/>
              </w:rPr>
            </w:pPr>
            <w:r>
              <w:rPr>
                <w:rFonts w:ascii="Times New Roman" w:hAnsi="Times New Roman"/>
                <w:b/>
                <w:sz w:val="11"/>
              </w:rPr>
              <w:t>Depreciación</w:t>
            </w:r>
            <w:r>
              <w:rPr>
                <w:rFonts w:ascii="Times New Roman" w:hAnsi="Times New Roman"/>
                <w:b/>
                <w:spacing w:val="-7"/>
                <w:sz w:val="11"/>
              </w:rPr>
              <w:t> </w:t>
            </w:r>
            <w:r>
              <w:rPr>
                <w:rFonts w:ascii="Times New Roman" w:hAnsi="Times New Roman"/>
                <w:b/>
                <w:spacing w:val="-2"/>
                <w:sz w:val="11"/>
              </w:rPr>
              <w:t>acumulada:</w:t>
            </w:r>
          </w:p>
        </w:tc>
        <w:tc>
          <w:tcPr>
            <w:tcW w:w="237" w:type="dxa"/>
            <w:tcBorders>
              <w:top w:val="single" w:sz="4" w:space="0" w:color="000000"/>
            </w:tcBorders>
          </w:tcPr>
          <w:p>
            <w:pPr>
              <w:pStyle w:val="TableParagraph"/>
              <w:rPr>
                <w:rFonts w:ascii="Times New Roman"/>
                <w:sz w:val="16"/>
              </w:rPr>
            </w:pPr>
          </w:p>
        </w:tc>
        <w:tc>
          <w:tcPr>
            <w:tcW w:w="843" w:type="dxa"/>
            <w:tcBorders>
              <w:top w:val="single" w:sz="4" w:space="0" w:color="000000"/>
            </w:tcBorders>
          </w:tcPr>
          <w:p>
            <w:pPr>
              <w:pStyle w:val="TableParagraph"/>
              <w:rPr>
                <w:rFonts w:ascii="Times New Roman"/>
                <w:sz w:val="16"/>
              </w:rPr>
            </w:pPr>
          </w:p>
        </w:tc>
        <w:tc>
          <w:tcPr>
            <w:tcW w:w="182" w:type="dxa"/>
            <w:tcBorders>
              <w:top w:val="single" w:sz="4" w:space="0" w:color="000000"/>
            </w:tcBorders>
          </w:tcPr>
          <w:p>
            <w:pPr>
              <w:pStyle w:val="TableParagraph"/>
              <w:rPr>
                <w:rFonts w:ascii="Times New Roman"/>
                <w:sz w:val="16"/>
              </w:rPr>
            </w:pPr>
          </w:p>
        </w:tc>
        <w:tc>
          <w:tcPr>
            <w:tcW w:w="712" w:type="dxa"/>
            <w:tcBorders>
              <w:top w:val="single" w:sz="4" w:space="0" w:color="000000"/>
            </w:tcBorders>
          </w:tcPr>
          <w:p>
            <w:pPr>
              <w:pStyle w:val="TableParagraph"/>
              <w:rPr>
                <w:rFonts w:ascii="Times New Roman"/>
                <w:sz w:val="16"/>
              </w:rPr>
            </w:pPr>
          </w:p>
        </w:tc>
        <w:tc>
          <w:tcPr>
            <w:tcW w:w="146" w:type="dxa"/>
            <w:tcBorders>
              <w:top w:val="single" w:sz="4" w:space="0" w:color="000000"/>
            </w:tcBorders>
          </w:tcPr>
          <w:p>
            <w:pPr>
              <w:pStyle w:val="TableParagraph"/>
              <w:rPr>
                <w:rFonts w:ascii="Times New Roman"/>
                <w:sz w:val="16"/>
              </w:rPr>
            </w:pPr>
          </w:p>
        </w:tc>
        <w:tc>
          <w:tcPr>
            <w:tcW w:w="733" w:type="dxa"/>
            <w:tcBorders>
              <w:top w:val="single" w:sz="4" w:space="0" w:color="000000"/>
            </w:tcBorders>
          </w:tcPr>
          <w:p>
            <w:pPr>
              <w:pStyle w:val="TableParagraph"/>
              <w:rPr>
                <w:rFonts w:ascii="Times New Roman"/>
                <w:sz w:val="16"/>
              </w:rPr>
            </w:pPr>
          </w:p>
        </w:tc>
        <w:tc>
          <w:tcPr>
            <w:tcW w:w="210" w:type="dxa"/>
            <w:tcBorders>
              <w:top w:val="single" w:sz="4" w:space="0" w:color="000000"/>
            </w:tcBorders>
          </w:tcPr>
          <w:p>
            <w:pPr>
              <w:pStyle w:val="TableParagraph"/>
              <w:rPr>
                <w:rFonts w:ascii="Times New Roman"/>
                <w:sz w:val="16"/>
              </w:rPr>
            </w:pPr>
          </w:p>
        </w:tc>
        <w:tc>
          <w:tcPr>
            <w:tcW w:w="809" w:type="dxa"/>
            <w:tcBorders>
              <w:top w:val="single" w:sz="4" w:space="0" w:color="000000"/>
            </w:tcBorders>
          </w:tcPr>
          <w:p>
            <w:pPr>
              <w:pStyle w:val="TableParagraph"/>
              <w:rPr>
                <w:rFonts w:ascii="Times New Roman"/>
                <w:sz w:val="16"/>
              </w:rPr>
            </w:pPr>
          </w:p>
        </w:tc>
        <w:tc>
          <w:tcPr>
            <w:tcW w:w="178" w:type="dxa"/>
            <w:tcBorders>
              <w:top w:val="single" w:sz="4" w:space="0" w:color="000000"/>
            </w:tcBorders>
          </w:tcPr>
          <w:p>
            <w:pPr>
              <w:pStyle w:val="TableParagraph"/>
              <w:rPr>
                <w:rFonts w:ascii="Times New Roman"/>
                <w:sz w:val="16"/>
              </w:rPr>
            </w:pPr>
          </w:p>
        </w:tc>
        <w:tc>
          <w:tcPr>
            <w:tcW w:w="678" w:type="dxa"/>
            <w:tcBorders>
              <w:top w:val="single" w:sz="4" w:space="0" w:color="000000"/>
            </w:tcBorders>
          </w:tcPr>
          <w:p>
            <w:pPr>
              <w:pStyle w:val="TableParagraph"/>
              <w:rPr>
                <w:rFonts w:ascii="Times New Roman"/>
                <w:sz w:val="16"/>
              </w:rPr>
            </w:pPr>
          </w:p>
        </w:tc>
        <w:tc>
          <w:tcPr>
            <w:tcW w:w="200" w:type="dxa"/>
            <w:tcBorders>
              <w:top w:val="single" w:sz="4" w:space="0" w:color="000000"/>
            </w:tcBorders>
          </w:tcPr>
          <w:p>
            <w:pPr>
              <w:pStyle w:val="TableParagraph"/>
              <w:rPr>
                <w:rFonts w:ascii="Times New Roman"/>
                <w:sz w:val="16"/>
              </w:rPr>
            </w:pPr>
          </w:p>
        </w:tc>
        <w:tc>
          <w:tcPr>
            <w:tcW w:w="693" w:type="dxa"/>
            <w:tcBorders>
              <w:top w:val="single" w:sz="4" w:space="0" w:color="000000"/>
            </w:tcBorders>
          </w:tcPr>
          <w:p>
            <w:pPr>
              <w:pStyle w:val="TableParagraph"/>
              <w:rPr>
                <w:rFonts w:ascii="Times New Roman"/>
                <w:sz w:val="16"/>
              </w:rPr>
            </w:pPr>
          </w:p>
        </w:tc>
        <w:tc>
          <w:tcPr>
            <w:tcW w:w="152" w:type="dxa"/>
            <w:tcBorders>
              <w:top w:val="single" w:sz="4" w:space="0" w:color="000000"/>
            </w:tcBorders>
          </w:tcPr>
          <w:p>
            <w:pPr>
              <w:pStyle w:val="TableParagraph"/>
              <w:rPr>
                <w:rFonts w:ascii="Times New Roman"/>
                <w:sz w:val="16"/>
              </w:rPr>
            </w:pPr>
          </w:p>
        </w:tc>
        <w:tc>
          <w:tcPr>
            <w:tcW w:w="826" w:type="dxa"/>
            <w:tcBorders>
              <w:top w:val="single" w:sz="4" w:space="0" w:color="000000"/>
              <w:right w:val="single" w:sz="4" w:space="0" w:color="000000"/>
            </w:tcBorders>
          </w:tcPr>
          <w:p>
            <w:pPr>
              <w:pStyle w:val="TableParagraph"/>
              <w:rPr>
                <w:rFonts w:ascii="Times New Roman"/>
                <w:sz w:val="16"/>
              </w:rPr>
            </w:pPr>
          </w:p>
        </w:tc>
      </w:tr>
      <w:tr>
        <w:trPr>
          <w:trHeight w:val="173" w:hRule="atLeast"/>
        </w:trPr>
        <w:tc>
          <w:tcPr>
            <w:tcW w:w="1568" w:type="dxa"/>
            <w:tcBorders>
              <w:left w:val="single" w:sz="4" w:space="0" w:color="000000"/>
            </w:tcBorders>
          </w:tcPr>
          <w:p>
            <w:pPr>
              <w:pStyle w:val="TableParagraph"/>
              <w:spacing w:line="119" w:lineRule="exact" w:before="34"/>
              <w:ind w:left="16"/>
              <w:rPr>
                <w:rFonts w:ascii="Times New Roman"/>
                <w:sz w:val="11"/>
              </w:rPr>
            </w:pPr>
            <w:r>
              <w:rPr>
                <w:rFonts w:ascii="Times New Roman"/>
                <w:sz w:val="11"/>
              </w:rPr>
              <w:t>Al</w:t>
            </w:r>
            <w:r>
              <w:rPr>
                <w:rFonts w:ascii="Times New Roman"/>
                <w:spacing w:val="-7"/>
                <w:sz w:val="11"/>
              </w:rPr>
              <w:t> </w:t>
            </w:r>
            <w:r>
              <w:rPr>
                <w:rFonts w:ascii="Times New Roman"/>
                <w:sz w:val="11"/>
              </w:rPr>
              <w:t>31</w:t>
            </w:r>
            <w:r>
              <w:rPr>
                <w:rFonts w:ascii="Times New Roman"/>
                <w:spacing w:val="-5"/>
                <w:sz w:val="11"/>
              </w:rPr>
              <w:t> </w:t>
            </w:r>
            <w:r>
              <w:rPr>
                <w:rFonts w:ascii="Times New Roman"/>
                <w:sz w:val="11"/>
              </w:rPr>
              <w:t>de</w:t>
            </w:r>
            <w:r>
              <w:rPr>
                <w:rFonts w:ascii="Times New Roman"/>
                <w:spacing w:val="-6"/>
                <w:sz w:val="11"/>
              </w:rPr>
              <w:t> </w:t>
            </w:r>
            <w:r>
              <w:rPr>
                <w:rFonts w:ascii="Times New Roman"/>
                <w:sz w:val="11"/>
              </w:rPr>
              <w:t>diciembre</w:t>
            </w:r>
            <w:r>
              <w:rPr>
                <w:rFonts w:ascii="Times New Roman"/>
                <w:spacing w:val="-5"/>
                <w:sz w:val="11"/>
              </w:rPr>
              <w:t> </w:t>
            </w:r>
            <w:r>
              <w:rPr>
                <w:rFonts w:ascii="Times New Roman"/>
                <w:sz w:val="11"/>
              </w:rPr>
              <w:t>de</w:t>
            </w:r>
            <w:r>
              <w:rPr>
                <w:rFonts w:ascii="Times New Roman"/>
                <w:spacing w:val="-6"/>
                <w:sz w:val="11"/>
              </w:rPr>
              <w:t> </w:t>
            </w:r>
            <w:r>
              <w:rPr>
                <w:rFonts w:ascii="Times New Roman"/>
                <w:spacing w:val="-4"/>
                <w:sz w:val="11"/>
              </w:rPr>
              <w:t>2025</w:t>
            </w:r>
          </w:p>
        </w:tc>
        <w:tc>
          <w:tcPr>
            <w:tcW w:w="237" w:type="dxa"/>
          </w:tcPr>
          <w:p>
            <w:pPr>
              <w:pStyle w:val="TableParagraph"/>
              <w:spacing w:line="121" w:lineRule="exact" w:before="32"/>
              <w:ind w:left="54"/>
              <w:rPr>
                <w:rFonts w:ascii="Calibri"/>
                <w:b/>
                <w:sz w:val="11"/>
              </w:rPr>
            </w:pPr>
            <w:r>
              <w:rPr>
                <w:rFonts w:ascii="Calibri"/>
                <w:b/>
                <w:spacing w:val="-2"/>
                <w:sz w:val="11"/>
              </w:rPr>
              <w:t>--</w:t>
            </w:r>
            <w:r>
              <w:rPr>
                <w:rFonts w:ascii="Calibri"/>
                <w:b/>
                <w:spacing w:val="-10"/>
                <w:sz w:val="11"/>
              </w:rPr>
              <w:t>-</w:t>
            </w:r>
          </w:p>
        </w:tc>
        <w:tc>
          <w:tcPr>
            <w:tcW w:w="843" w:type="dxa"/>
          </w:tcPr>
          <w:p>
            <w:pPr>
              <w:pStyle w:val="TableParagraph"/>
              <w:rPr>
                <w:rFonts w:ascii="Times New Roman"/>
                <w:sz w:val="10"/>
              </w:rPr>
            </w:pPr>
          </w:p>
        </w:tc>
        <w:tc>
          <w:tcPr>
            <w:tcW w:w="182" w:type="dxa"/>
          </w:tcPr>
          <w:p>
            <w:pPr>
              <w:pStyle w:val="TableParagraph"/>
              <w:rPr>
                <w:rFonts w:ascii="Times New Roman"/>
                <w:sz w:val="10"/>
              </w:rPr>
            </w:pPr>
          </w:p>
        </w:tc>
        <w:tc>
          <w:tcPr>
            <w:tcW w:w="712" w:type="dxa"/>
          </w:tcPr>
          <w:p>
            <w:pPr>
              <w:pStyle w:val="TableParagraph"/>
              <w:spacing w:line="121" w:lineRule="exact" w:before="32"/>
              <w:ind w:right="50"/>
              <w:jc w:val="right"/>
              <w:rPr>
                <w:rFonts w:ascii="Calibri"/>
                <w:b/>
                <w:sz w:val="11"/>
              </w:rPr>
            </w:pPr>
            <w:r>
              <w:rPr>
                <w:rFonts w:ascii="Calibri"/>
                <w:b/>
                <w:sz w:val="11"/>
              </w:rPr>
              <w:t>1 477 </w:t>
            </w:r>
            <w:r>
              <w:rPr>
                <w:rFonts w:ascii="Calibri"/>
                <w:b/>
                <w:spacing w:val="-2"/>
                <w:sz w:val="11"/>
              </w:rPr>
              <w:t>479,05</w:t>
            </w:r>
          </w:p>
        </w:tc>
        <w:tc>
          <w:tcPr>
            <w:tcW w:w="146" w:type="dxa"/>
          </w:tcPr>
          <w:p>
            <w:pPr>
              <w:pStyle w:val="TableParagraph"/>
              <w:rPr>
                <w:rFonts w:ascii="Times New Roman"/>
                <w:sz w:val="10"/>
              </w:rPr>
            </w:pPr>
          </w:p>
        </w:tc>
        <w:tc>
          <w:tcPr>
            <w:tcW w:w="733" w:type="dxa"/>
          </w:tcPr>
          <w:p>
            <w:pPr>
              <w:pStyle w:val="TableParagraph"/>
              <w:spacing w:line="121" w:lineRule="exact" w:before="32"/>
              <w:ind w:right="47"/>
              <w:jc w:val="right"/>
              <w:rPr>
                <w:rFonts w:ascii="Calibri"/>
                <w:b/>
                <w:sz w:val="11"/>
              </w:rPr>
            </w:pPr>
            <w:r>
              <w:rPr>
                <w:rFonts w:ascii="Calibri"/>
                <w:b/>
                <w:sz w:val="11"/>
              </w:rPr>
              <w:t>3 752 </w:t>
            </w:r>
            <w:r>
              <w:rPr>
                <w:rFonts w:ascii="Calibri"/>
                <w:b/>
                <w:spacing w:val="-2"/>
                <w:sz w:val="11"/>
              </w:rPr>
              <w:t>183,83</w:t>
            </w:r>
          </w:p>
        </w:tc>
        <w:tc>
          <w:tcPr>
            <w:tcW w:w="210" w:type="dxa"/>
          </w:tcPr>
          <w:p>
            <w:pPr>
              <w:pStyle w:val="TableParagraph"/>
              <w:rPr>
                <w:rFonts w:ascii="Times New Roman"/>
                <w:sz w:val="10"/>
              </w:rPr>
            </w:pPr>
          </w:p>
        </w:tc>
        <w:tc>
          <w:tcPr>
            <w:tcW w:w="809" w:type="dxa"/>
          </w:tcPr>
          <w:p>
            <w:pPr>
              <w:pStyle w:val="TableParagraph"/>
              <w:spacing w:line="121" w:lineRule="exact" w:before="32"/>
              <w:ind w:right="54"/>
              <w:jc w:val="right"/>
              <w:rPr>
                <w:rFonts w:ascii="Calibri"/>
                <w:b/>
                <w:sz w:val="11"/>
              </w:rPr>
            </w:pPr>
            <w:r>
              <w:rPr>
                <w:rFonts w:ascii="Calibri"/>
                <w:b/>
                <w:sz w:val="11"/>
              </w:rPr>
              <w:t>1 234 </w:t>
            </w:r>
            <w:r>
              <w:rPr>
                <w:rFonts w:ascii="Calibri"/>
                <w:b/>
                <w:spacing w:val="-2"/>
                <w:sz w:val="11"/>
              </w:rPr>
              <w:t>385,14</w:t>
            </w:r>
          </w:p>
        </w:tc>
        <w:tc>
          <w:tcPr>
            <w:tcW w:w="178" w:type="dxa"/>
          </w:tcPr>
          <w:p>
            <w:pPr>
              <w:pStyle w:val="TableParagraph"/>
              <w:rPr>
                <w:rFonts w:ascii="Times New Roman"/>
                <w:sz w:val="10"/>
              </w:rPr>
            </w:pPr>
          </w:p>
        </w:tc>
        <w:tc>
          <w:tcPr>
            <w:tcW w:w="678" w:type="dxa"/>
          </w:tcPr>
          <w:p>
            <w:pPr>
              <w:pStyle w:val="TableParagraph"/>
              <w:spacing w:line="121" w:lineRule="exact" w:before="32"/>
              <w:ind w:right="43"/>
              <w:jc w:val="right"/>
              <w:rPr>
                <w:rFonts w:ascii="Calibri"/>
                <w:b/>
                <w:sz w:val="11"/>
              </w:rPr>
            </w:pPr>
            <w:r>
              <w:rPr>
                <w:rFonts w:ascii="Calibri"/>
                <w:b/>
                <w:sz w:val="11"/>
              </w:rPr>
              <w:t>107 </w:t>
            </w:r>
            <w:r>
              <w:rPr>
                <w:rFonts w:ascii="Calibri"/>
                <w:b/>
                <w:spacing w:val="-2"/>
                <w:sz w:val="11"/>
              </w:rPr>
              <w:t>250,80</w:t>
            </w:r>
          </w:p>
        </w:tc>
        <w:tc>
          <w:tcPr>
            <w:tcW w:w="200" w:type="dxa"/>
          </w:tcPr>
          <w:p>
            <w:pPr>
              <w:pStyle w:val="TableParagraph"/>
              <w:rPr>
                <w:rFonts w:ascii="Times New Roman"/>
                <w:sz w:val="10"/>
              </w:rPr>
            </w:pPr>
          </w:p>
        </w:tc>
        <w:tc>
          <w:tcPr>
            <w:tcW w:w="693" w:type="dxa"/>
          </w:tcPr>
          <w:p>
            <w:pPr>
              <w:pStyle w:val="TableParagraph"/>
              <w:spacing w:line="121" w:lineRule="exact" w:before="32"/>
              <w:ind w:right="39"/>
              <w:jc w:val="right"/>
              <w:rPr>
                <w:rFonts w:ascii="Calibri"/>
                <w:b/>
                <w:sz w:val="11"/>
              </w:rPr>
            </w:pPr>
            <w:r>
              <w:rPr>
                <w:rFonts w:ascii="Calibri"/>
                <w:b/>
                <w:sz w:val="11"/>
              </w:rPr>
              <w:t>330 </w:t>
            </w:r>
            <w:r>
              <w:rPr>
                <w:rFonts w:ascii="Calibri"/>
                <w:b/>
                <w:spacing w:val="-2"/>
                <w:sz w:val="11"/>
              </w:rPr>
              <w:t>951,69</w:t>
            </w:r>
          </w:p>
        </w:tc>
        <w:tc>
          <w:tcPr>
            <w:tcW w:w="152" w:type="dxa"/>
          </w:tcPr>
          <w:p>
            <w:pPr>
              <w:pStyle w:val="TableParagraph"/>
              <w:rPr>
                <w:rFonts w:ascii="Times New Roman"/>
                <w:sz w:val="10"/>
              </w:rPr>
            </w:pPr>
          </w:p>
        </w:tc>
        <w:tc>
          <w:tcPr>
            <w:tcW w:w="826" w:type="dxa"/>
            <w:tcBorders>
              <w:right w:val="single" w:sz="4" w:space="0" w:color="000000"/>
            </w:tcBorders>
          </w:tcPr>
          <w:p>
            <w:pPr>
              <w:pStyle w:val="TableParagraph"/>
              <w:spacing w:line="116" w:lineRule="exact" w:before="37"/>
              <w:ind w:left="225"/>
              <w:jc w:val="center"/>
              <w:rPr>
                <w:rFonts w:ascii="Times New Roman"/>
                <w:b/>
                <w:sz w:val="11"/>
              </w:rPr>
            </w:pPr>
            <w:r>
              <w:rPr>
                <w:rFonts w:ascii="Times New Roman"/>
                <w:b/>
                <w:sz w:val="11"/>
              </w:rPr>
              <w:t>6</w:t>
            </w:r>
            <w:r>
              <w:rPr>
                <w:rFonts w:ascii="Times New Roman"/>
                <w:b/>
                <w:spacing w:val="2"/>
                <w:sz w:val="11"/>
              </w:rPr>
              <w:t> </w:t>
            </w:r>
            <w:r>
              <w:rPr>
                <w:rFonts w:ascii="Times New Roman"/>
                <w:b/>
                <w:sz w:val="11"/>
              </w:rPr>
              <w:t>902</w:t>
            </w:r>
            <w:r>
              <w:rPr>
                <w:rFonts w:ascii="Times New Roman"/>
                <w:b/>
                <w:spacing w:val="2"/>
                <w:sz w:val="11"/>
              </w:rPr>
              <w:t> </w:t>
            </w:r>
            <w:r>
              <w:rPr>
                <w:rFonts w:ascii="Times New Roman"/>
                <w:b/>
                <w:spacing w:val="-2"/>
                <w:sz w:val="11"/>
              </w:rPr>
              <w:t>250,51</w:t>
            </w:r>
          </w:p>
        </w:tc>
      </w:tr>
      <w:tr>
        <w:trPr>
          <w:trHeight w:val="144" w:hRule="atLeast"/>
        </w:trPr>
        <w:tc>
          <w:tcPr>
            <w:tcW w:w="1568" w:type="dxa"/>
            <w:tcBorders>
              <w:left w:val="single" w:sz="4" w:space="0" w:color="000000"/>
            </w:tcBorders>
          </w:tcPr>
          <w:p>
            <w:pPr>
              <w:pStyle w:val="TableParagraph"/>
              <w:spacing w:line="119" w:lineRule="exact" w:before="5"/>
              <w:ind w:left="16"/>
              <w:rPr>
                <w:rFonts w:ascii="Times New Roman" w:hAnsi="Times New Roman"/>
                <w:sz w:val="11"/>
              </w:rPr>
            </w:pPr>
            <w:r>
              <w:rPr>
                <w:rFonts w:ascii="Times New Roman" w:hAnsi="Times New Roman"/>
                <w:sz w:val="11"/>
              </w:rPr>
              <w:t>Gasto</w:t>
            </w:r>
            <w:r>
              <w:rPr>
                <w:rFonts w:ascii="Times New Roman" w:hAnsi="Times New Roman"/>
                <w:spacing w:val="-7"/>
                <w:sz w:val="11"/>
              </w:rPr>
              <w:t> </w:t>
            </w:r>
            <w:r>
              <w:rPr>
                <w:rFonts w:ascii="Times New Roman" w:hAnsi="Times New Roman"/>
                <w:sz w:val="11"/>
              </w:rPr>
              <w:t>por</w:t>
            </w:r>
            <w:r>
              <w:rPr>
                <w:rFonts w:ascii="Times New Roman" w:hAnsi="Times New Roman"/>
                <w:spacing w:val="-6"/>
                <w:sz w:val="11"/>
              </w:rPr>
              <w:t> </w:t>
            </w:r>
            <w:r>
              <w:rPr>
                <w:rFonts w:ascii="Times New Roman" w:hAnsi="Times New Roman"/>
                <w:spacing w:val="-2"/>
                <w:sz w:val="11"/>
              </w:rPr>
              <w:t>depreciación</w:t>
            </w:r>
          </w:p>
        </w:tc>
        <w:tc>
          <w:tcPr>
            <w:tcW w:w="237" w:type="dxa"/>
          </w:tcPr>
          <w:p>
            <w:pPr>
              <w:pStyle w:val="TableParagraph"/>
              <w:spacing w:line="121" w:lineRule="exact" w:before="3"/>
              <w:ind w:left="54"/>
              <w:rPr>
                <w:rFonts w:ascii="Calibri"/>
                <w:sz w:val="11"/>
              </w:rPr>
            </w:pPr>
            <w:r>
              <w:rPr>
                <w:rFonts w:ascii="Calibri"/>
                <w:spacing w:val="-2"/>
                <w:sz w:val="11"/>
              </w:rPr>
              <w:t>--</w:t>
            </w:r>
            <w:r>
              <w:rPr>
                <w:rFonts w:ascii="Calibri"/>
                <w:spacing w:val="-10"/>
                <w:sz w:val="11"/>
              </w:rPr>
              <w:t>-</w:t>
            </w:r>
          </w:p>
        </w:tc>
        <w:tc>
          <w:tcPr>
            <w:tcW w:w="843" w:type="dxa"/>
          </w:tcPr>
          <w:p>
            <w:pPr>
              <w:pStyle w:val="TableParagraph"/>
              <w:rPr>
                <w:rFonts w:ascii="Times New Roman"/>
                <w:sz w:val="8"/>
              </w:rPr>
            </w:pPr>
          </w:p>
        </w:tc>
        <w:tc>
          <w:tcPr>
            <w:tcW w:w="182" w:type="dxa"/>
          </w:tcPr>
          <w:p>
            <w:pPr>
              <w:pStyle w:val="TableParagraph"/>
              <w:rPr>
                <w:rFonts w:ascii="Times New Roman"/>
                <w:sz w:val="8"/>
              </w:rPr>
            </w:pPr>
          </w:p>
        </w:tc>
        <w:tc>
          <w:tcPr>
            <w:tcW w:w="712" w:type="dxa"/>
          </w:tcPr>
          <w:p>
            <w:pPr>
              <w:pStyle w:val="TableParagraph"/>
              <w:spacing w:line="121" w:lineRule="exact" w:before="3"/>
              <w:ind w:right="49"/>
              <w:jc w:val="right"/>
              <w:rPr>
                <w:rFonts w:ascii="Calibri"/>
                <w:sz w:val="11"/>
              </w:rPr>
            </w:pPr>
            <w:r>
              <w:rPr>
                <w:rFonts w:ascii="Calibri"/>
                <w:sz w:val="11"/>
              </w:rPr>
              <w:t>72 </w:t>
            </w:r>
            <w:r>
              <w:rPr>
                <w:rFonts w:ascii="Calibri"/>
                <w:spacing w:val="-2"/>
                <w:sz w:val="11"/>
              </w:rPr>
              <w:t>857,20</w:t>
            </w:r>
          </w:p>
        </w:tc>
        <w:tc>
          <w:tcPr>
            <w:tcW w:w="146" w:type="dxa"/>
          </w:tcPr>
          <w:p>
            <w:pPr>
              <w:pStyle w:val="TableParagraph"/>
              <w:rPr>
                <w:rFonts w:ascii="Times New Roman"/>
                <w:sz w:val="8"/>
              </w:rPr>
            </w:pPr>
          </w:p>
        </w:tc>
        <w:tc>
          <w:tcPr>
            <w:tcW w:w="733" w:type="dxa"/>
          </w:tcPr>
          <w:p>
            <w:pPr>
              <w:pStyle w:val="TableParagraph"/>
              <w:spacing w:line="121" w:lineRule="exact" w:before="3"/>
              <w:ind w:right="46"/>
              <w:jc w:val="right"/>
              <w:rPr>
                <w:rFonts w:ascii="Calibri"/>
                <w:sz w:val="11"/>
              </w:rPr>
            </w:pPr>
            <w:r>
              <w:rPr>
                <w:rFonts w:ascii="Calibri"/>
                <w:sz w:val="11"/>
              </w:rPr>
              <w:t>348 </w:t>
            </w:r>
            <w:r>
              <w:rPr>
                <w:rFonts w:ascii="Calibri"/>
                <w:spacing w:val="-2"/>
                <w:sz w:val="11"/>
              </w:rPr>
              <w:t>507,44</w:t>
            </w:r>
          </w:p>
        </w:tc>
        <w:tc>
          <w:tcPr>
            <w:tcW w:w="210" w:type="dxa"/>
          </w:tcPr>
          <w:p>
            <w:pPr>
              <w:pStyle w:val="TableParagraph"/>
              <w:rPr>
                <w:rFonts w:ascii="Times New Roman"/>
                <w:sz w:val="8"/>
              </w:rPr>
            </w:pPr>
          </w:p>
        </w:tc>
        <w:tc>
          <w:tcPr>
            <w:tcW w:w="809" w:type="dxa"/>
          </w:tcPr>
          <w:p>
            <w:pPr>
              <w:pStyle w:val="TableParagraph"/>
              <w:spacing w:line="121" w:lineRule="exact" w:before="3"/>
              <w:ind w:right="54"/>
              <w:jc w:val="right"/>
              <w:rPr>
                <w:rFonts w:ascii="Calibri"/>
                <w:sz w:val="11"/>
              </w:rPr>
            </w:pPr>
            <w:r>
              <w:rPr>
                <w:rFonts w:ascii="Calibri"/>
                <w:sz w:val="11"/>
              </w:rPr>
              <w:t>56 </w:t>
            </w:r>
            <w:r>
              <w:rPr>
                <w:rFonts w:ascii="Calibri"/>
                <w:spacing w:val="-2"/>
                <w:sz w:val="11"/>
              </w:rPr>
              <w:t>626,66</w:t>
            </w:r>
          </w:p>
        </w:tc>
        <w:tc>
          <w:tcPr>
            <w:tcW w:w="178" w:type="dxa"/>
          </w:tcPr>
          <w:p>
            <w:pPr>
              <w:pStyle w:val="TableParagraph"/>
              <w:rPr>
                <w:rFonts w:ascii="Times New Roman"/>
                <w:sz w:val="8"/>
              </w:rPr>
            </w:pPr>
          </w:p>
        </w:tc>
        <w:tc>
          <w:tcPr>
            <w:tcW w:w="678" w:type="dxa"/>
          </w:tcPr>
          <w:p>
            <w:pPr>
              <w:pStyle w:val="TableParagraph"/>
              <w:spacing w:line="121" w:lineRule="exact" w:before="3"/>
              <w:ind w:right="43"/>
              <w:jc w:val="right"/>
              <w:rPr>
                <w:rFonts w:ascii="Calibri"/>
                <w:sz w:val="11"/>
              </w:rPr>
            </w:pPr>
            <w:r>
              <w:rPr>
                <w:rFonts w:ascii="Calibri"/>
                <w:sz w:val="11"/>
              </w:rPr>
              <w:t>9</w:t>
            </w:r>
            <w:r>
              <w:rPr>
                <w:rFonts w:ascii="Calibri"/>
                <w:spacing w:val="-1"/>
                <w:sz w:val="11"/>
              </w:rPr>
              <w:t> </w:t>
            </w:r>
            <w:r>
              <w:rPr>
                <w:rFonts w:ascii="Calibri"/>
                <w:spacing w:val="-2"/>
                <w:sz w:val="11"/>
              </w:rPr>
              <w:t>483,55</w:t>
            </w:r>
          </w:p>
        </w:tc>
        <w:tc>
          <w:tcPr>
            <w:tcW w:w="200" w:type="dxa"/>
          </w:tcPr>
          <w:p>
            <w:pPr>
              <w:pStyle w:val="TableParagraph"/>
              <w:rPr>
                <w:rFonts w:ascii="Times New Roman"/>
                <w:sz w:val="8"/>
              </w:rPr>
            </w:pPr>
          </w:p>
        </w:tc>
        <w:tc>
          <w:tcPr>
            <w:tcW w:w="693" w:type="dxa"/>
          </w:tcPr>
          <w:p>
            <w:pPr>
              <w:pStyle w:val="TableParagraph"/>
              <w:spacing w:line="121" w:lineRule="exact" w:before="3"/>
              <w:ind w:right="39"/>
              <w:jc w:val="right"/>
              <w:rPr>
                <w:rFonts w:ascii="Calibri"/>
                <w:sz w:val="11"/>
              </w:rPr>
            </w:pPr>
            <w:r>
              <w:rPr>
                <w:rFonts w:ascii="Calibri"/>
                <w:sz w:val="11"/>
              </w:rPr>
              <w:t>19 </w:t>
            </w:r>
            <w:r>
              <w:rPr>
                <w:rFonts w:ascii="Calibri"/>
                <w:spacing w:val="-2"/>
                <w:sz w:val="11"/>
              </w:rPr>
              <w:t>790,55</w:t>
            </w:r>
          </w:p>
        </w:tc>
        <w:tc>
          <w:tcPr>
            <w:tcW w:w="152" w:type="dxa"/>
          </w:tcPr>
          <w:p>
            <w:pPr>
              <w:pStyle w:val="TableParagraph"/>
              <w:rPr>
                <w:rFonts w:ascii="Times New Roman"/>
                <w:sz w:val="8"/>
              </w:rPr>
            </w:pPr>
          </w:p>
        </w:tc>
        <w:tc>
          <w:tcPr>
            <w:tcW w:w="826" w:type="dxa"/>
            <w:tcBorders>
              <w:right w:val="single" w:sz="4" w:space="0" w:color="000000"/>
            </w:tcBorders>
          </w:tcPr>
          <w:p>
            <w:pPr>
              <w:pStyle w:val="TableParagraph"/>
              <w:spacing w:line="121" w:lineRule="exact" w:before="3"/>
              <w:ind w:left="247"/>
              <w:jc w:val="center"/>
              <w:rPr>
                <w:rFonts w:ascii="Calibri"/>
                <w:sz w:val="11"/>
              </w:rPr>
            </w:pPr>
            <w:r>
              <w:rPr>
                <w:rFonts w:ascii="Calibri"/>
                <w:sz w:val="11"/>
              </w:rPr>
              <w:t>507 </w:t>
            </w:r>
            <w:r>
              <w:rPr>
                <w:rFonts w:ascii="Calibri"/>
                <w:spacing w:val="-2"/>
                <w:sz w:val="11"/>
              </w:rPr>
              <w:t>265,39</w:t>
            </w:r>
          </w:p>
        </w:tc>
      </w:tr>
      <w:tr>
        <w:trPr>
          <w:trHeight w:val="137" w:hRule="atLeast"/>
        </w:trPr>
        <w:tc>
          <w:tcPr>
            <w:tcW w:w="1568" w:type="dxa"/>
            <w:tcBorders>
              <w:left w:val="single" w:sz="4" w:space="0" w:color="000000"/>
            </w:tcBorders>
          </w:tcPr>
          <w:p>
            <w:pPr>
              <w:pStyle w:val="TableParagraph"/>
              <w:spacing w:line="112" w:lineRule="exact" w:before="5"/>
              <w:ind w:left="16"/>
              <w:rPr>
                <w:rFonts w:ascii="Times New Roman"/>
                <w:sz w:val="11"/>
              </w:rPr>
            </w:pPr>
            <w:r>
              <w:rPr>
                <w:rFonts w:ascii="Times New Roman"/>
                <w:spacing w:val="-2"/>
                <w:sz w:val="11"/>
              </w:rPr>
              <w:t>Retiros</w:t>
            </w:r>
          </w:p>
        </w:tc>
        <w:tc>
          <w:tcPr>
            <w:tcW w:w="237" w:type="dxa"/>
            <w:tcBorders>
              <w:bottom w:val="single" w:sz="2" w:space="0" w:color="000000"/>
            </w:tcBorders>
          </w:tcPr>
          <w:p>
            <w:pPr>
              <w:pStyle w:val="TableParagraph"/>
              <w:spacing w:line="114" w:lineRule="exact" w:before="3"/>
              <w:ind w:left="21"/>
              <w:rPr>
                <w:rFonts w:ascii="Calibri"/>
                <w:sz w:val="11"/>
              </w:rPr>
            </w:pPr>
            <w:r>
              <w:rPr>
                <w:rFonts w:ascii="Calibri"/>
                <w:spacing w:val="-2"/>
                <w:sz w:val="11"/>
              </w:rPr>
              <w:t>--</w:t>
            </w:r>
            <w:r>
              <w:rPr>
                <w:rFonts w:ascii="Calibri"/>
                <w:spacing w:val="-10"/>
                <w:sz w:val="11"/>
              </w:rPr>
              <w:t>-</w:t>
            </w:r>
          </w:p>
        </w:tc>
        <w:tc>
          <w:tcPr>
            <w:tcW w:w="843" w:type="dxa"/>
            <w:tcBorders>
              <w:bottom w:val="single" w:sz="2" w:space="0" w:color="000000"/>
            </w:tcBorders>
          </w:tcPr>
          <w:p>
            <w:pPr>
              <w:pStyle w:val="TableParagraph"/>
              <w:rPr>
                <w:rFonts w:ascii="Times New Roman"/>
                <w:sz w:val="8"/>
              </w:rPr>
            </w:pPr>
          </w:p>
        </w:tc>
        <w:tc>
          <w:tcPr>
            <w:tcW w:w="182" w:type="dxa"/>
            <w:tcBorders>
              <w:bottom w:val="single" w:sz="2" w:space="0" w:color="000000"/>
            </w:tcBorders>
          </w:tcPr>
          <w:p>
            <w:pPr>
              <w:pStyle w:val="TableParagraph"/>
              <w:spacing w:line="114" w:lineRule="exact" w:before="3"/>
              <w:ind w:right="42"/>
              <w:jc w:val="center"/>
              <w:rPr>
                <w:rFonts w:ascii="Calibri"/>
                <w:sz w:val="11"/>
              </w:rPr>
            </w:pPr>
            <w:r>
              <w:rPr>
                <w:rFonts w:ascii="Calibri"/>
                <w:spacing w:val="-2"/>
                <w:sz w:val="11"/>
              </w:rPr>
              <w:t>--</w:t>
            </w:r>
            <w:r>
              <w:rPr>
                <w:rFonts w:ascii="Calibri"/>
                <w:spacing w:val="-10"/>
                <w:sz w:val="11"/>
              </w:rPr>
              <w:t>-</w:t>
            </w:r>
          </w:p>
        </w:tc>
        <w:tc>
          <w:tcPr>
            <w:tcW w:w="712" w:type="dxa"/>
            <w:tcBorders>
              <w:bottom w:val="single" w:sz="2" w:space="0" w:color="000000"/>
            </w:tcBorders>
          </w:tcPr>
          <w:p>
            <w:pPr>
              <w:pStyle w:val="TableParagraph"/>
              <w:rPr>
                <w:rFonts w:ascii="Times New Roman"/>
                <w:sz w:val="8"/>
              </w:rPr>
            </w:pPr>
          </w:p>
        </w:tc>
        <w:tc>
          <w:tcPr>
            <w:tcW w:w="146" w:type="dxa"/>
            <w:tcBorders>
              <w:bottom w:val="single" w:sz="2" w:space="0" w:color="000000"/>
            </w:tcBorders>
          </w:tcPr>
          <w:p>
            <w:pPr>
              <w:pStyle w:val="TableParagraph"/>
              <w:rPr>
                <w:rFonts w:ascii="Times New Roman"/>
                <w:sz w:val="8"/>
              </w:rPr>
            </w:pPr>
          </w:p>
        </w:tc>
        <w:tc>
          <w:tcPr>
            <w:tcW w:w="733" w:type="dxa"/>
            <w:tcBorders>
              <w:bottom w:val="single" w:sz="2" w:space="0" w:color="000000"/>
            </w:tcBorders>
          </w:tcPr>
          <w:p>
            <w:pPr>
              <w:pStyle w:val="TableParagraph"/>
              <w:spacing w:line="114" w:lineRule="exact" w:before="3"/>
              <w:ind w:right="13"/>
              <w:jc w:val="right"/>
              <w:rPr>
                <w:rFonts w:ascii="Calibri"/>
                <w:sz w:val="11"/>
              </w:rPr>
            </w:pPr>
            <w:r>
              <w:rPr>
                <w:rFonts w:ascii="Calibri"/>
                <w:sz w:val="11"/>
              </w:rPr>
              <w:t>-411</w:t>
            </w:r>
            <w:r>
              <w:rPr>
                <w:rFonts w:ascii="Calibri"/>
                <w:spacing w:val="-1"/>
                <w:sz w:val="11"/>
              </w:rPr>
              <w:t> </w:t>
            </w:r>
            <w:r>
              <w:rPr>
                <w:rFonts w:ascii="Calibri"/>
                <w:spacing w:val="-2"/>
                <w:sz w:val="11"/>
              </w:rPr>
              <w:t>712,50</w:t>
            </w:r>
          </w:p>
        </w:tc>
        <w:tc>
          <w:tcPr>
            <w:tcW w:w="210" w:type="dxa"/>
            <w:tcBorders>
              <w:bottom w:val="single" w:sz="2" w:space="0" w:color="000000"/>
            </w:tcBorders>
          </w:tcPr>
          <w:p>
            <w:pPr>
              <w:pStyle w:val="TableParagraph"/>
              <w:rPr>
                <w:rFonts w:ascii="Times New Roman"/>
                <w:sz w:val="8"/>
              </w:rPr>
            </w:pPr>
          </w:p>
        </w:tc>
        <w:tc>
          <w:tcPr>
            <w:tcW w:w="809" w:type="dxa"/>
            <w:tcBorders>
              <w:bottom w:val="single" w:sz="2" w:space="0" w:color="000000"/>
            </w:tcBorders>
          </w:tcPr>
          <w:p>
            <w:pPr>
              <w:pStyle w:val="TableParagraph"/>
              <w:spacing w:line="114" w:lineRule="exact" w:before="3"/>
              <w:ind w:right="21"/>
              <w:jc w:val="right"/>
              <w:rPr>
                <w:rFonts w:ascii="Calibri"/>
                <w:sz w:val="11"/>
              </w:rPr>
            </w:pPr>
            <w:r>
              <w:rPr>
                <w:rFonts w:ascii="Calibri"/>
                <w:sz w:val="11"/>
              </w:rPr>
              <w:t>-12</w:t>
            </w:r>
            <w:r>
              <w:rPr>
                <w:rFonts w:ascii="Calibri"/>
                <w:spacing w:val="-2"/>
                <w:sz w:val="11"/>
              </w:rPr>
              <w:t> 080,81</w:t>
            </w:r>
          </w:p>
        </w:tc>
        <w:tc>
          <w:tcPr>
            <w:tcW w:w="178" w:type="dxa"/>
            <w:tcBorders>
              <w:bottom w:val="single" w:sz="2" w:space="0" w:color="000000"/>
            </w:tcBorders>
          </w:tcPr>
          <w:p>
            <w:pPr>
              <w:pStyle w:val="TableParagraph"/>
              <w:rPr>
                <w:rFonts w:ascii="Times New Roman"/>
                <w:sz w:val="8"/>
              </w:rPr>
            </w:pPr>
          </w:p>
        </w:tc>
        <w:tc>
          <w:tcPr>
            <w:tcW w:w="678" w:type="dxa"/>
            <w:tcBorders>
              <w:bottom w:val="single" w:sz="2" w:space="0" w:color="000000"/>
            </w:tcBorders>
          </w:tcPr>
          <w:p>
            <w:pPr>
              <w:pStyle w:val="TableParagraph"/>
              <w:spacing w:line="114" w:lineRule="exact" w:before="3"/>
              <w:ind w:right="9"/>
              <w:jc w:val="right"/>
              <w:rPr>
                <w:rFonts w:ascii="Calibri"/>
                <w:sz w:val="11"/>
              </w:rPr>
            </w:pPr>
            <w:r>
              <w:rPr>
                <w:rFonts w:ascii="Calibri"/>
                <w:spacing w:val="-2"/>
                <w:sz w:val="11"/>
              </w:rPr>
              <w:t>-168,50</w:t>
            </w:r>
          </w:p>
        </w:tc>
        <w:tc>
          <w:tcPr>
            <w:tcW w:w="200" w:type="dxa"/>
            <w:tcBorders>
              <w:bottom w:val="single" w:sz="2" w:space="0" w:color="000000"/>
            </w:tcBorders>
          </w:tcPr>
          <w:p>
            <w:pPr>
              <w:pStyle w:val="TableParagraph"/>
              <w:rPr>
                <w:rFonts w:ascii="Times New Roman"/>
                <w:sz w:val="8"/>
              </w:rPr>
            </w:pPr>
          </w:p>
        </w:tc>
        <w:tc>
          <w:tcPr>
            <w:tcW w:w="693" w:type="dxa"/>
            <w:tcBorders>
              <w:bottom w:val="single" w:sz="2" w:space="0" w:color="000000"/>
            </w:tcBorders>
          </w:tcPr>
          <w:p>
            <w:pPr>
              <w:pStyle w:val="TableParagraph"/>
              <w:spacing w:line="114" w:lineRule="exact" w:before="3"/>
              <w:ind w:right="7"/>
              <w:jc w:val="right"/>
              <w:rPr>
                <w:rFonts w:ascii="Calibri"/>
                <w:sz w:val="11"/>
              </w:rPr>
            </w:pPr>
            <w:r>
              <w:rPr>
                <w:rFonts w:ascii="Calibri"/>
                <w:sz w:val="11"/>
              </w:rPr>
              <w:t>-3</w:t>
            </w:r>
            <w:r>
              <w:rPr>
                <w:rFonts w:ascii="Calibri"/>
                <w:spacing w:val="-3"/>
                <w:sz w:val="11"/>
              </w:rPr>
              <w:t> </w:t>
            </w:r>
            <w:r>
              <w:rPr>
                <w:rFonts w:ascii="Calibri"/>
                <w:spacing w:val="-2"/>
                <w:sz w:val="11"/>
              </w:rPr>
              <w:t>255,26</w:t>
            </w:r>
          </w:p>
        </w:tc>
        <w:tc>
          <w:tcPr>
            <w:tcW w:w="152" w:type="dxa"/>
            <w:tcBorders>
              <w:bottom w:val="single" w:sz="2" w:space="0" w:color="000000"/>
            </w:tcBorders>
          </w:tcPr>
          <w:p>
            <w:pPr>
              <w:pStyle w:val="TableParagraph"/>
              <w:spacing w:line="114" w:lineRule="exact" w:before="3"/>
              <w:ind w:left="26"/>
              <w:rPr>
                <w:rFonts w:ascii="Calibri"/>
                <w:sz w:val="11"/>
              </w:rPr>
            </w:pPr>
            <w:r>
              <w:rPr>
                <w:rFonts w:ascii="Calibri"/>
                <w:spacing w:val="-10"/>
                <w:sz w:val="11"/>
              </w:rPr>
              <w:t>-</w:t>
            </w:r>
          </w:p>
        </w:tc>
        <w:tc>
          <w:tcPr>
            <w:tcW w:w="826" w:type="dxa"/>
            <w:tcBorders>
              <w:bottom w:val="single" w:sz="2" w:space="0" w:color="000000"/>
              <w:right w:val="single" w:sz="4" w:space="0" w:color="000000"/>
            </w:tcBorders>
          </w:tcPr>
          <w:p>
            <w:pPr>
              <w:pStyle w:val="TableParagraph"/>
              <w:spacing w:line="114" w:lineRule="exact" w:before="3"/>
              <w:ind w:left="247"/>
              <w:jc w:val="center"/>
              <w:rPr>
                <w:rFonts w:ascii="Calibri"/>
                <w:sz w:val="11"/>
              </w:rPr>
            </w:pPr>
            <w:r>
              <w:rPr>
                <w:rFonts w:ascii="Calibri"/>
                <w:sz w:val="11"/>
              </w:rPr>
              <w:t>427 </w:t>
            </w:r>
            <w:r>
              <w:rPr>
                <w:rFonts w:ascii="Calibri"/>
                <w:spacing w:val="-2"/>
                <w:sz w:val="11"/>
              </w:rPr>
              <w:t>217,07</w:t>
            </w:r>
          </w:p>
        </w:tc>
      </w:tr>
      <w:tr>
        <w:trPr>
          <w:trHeight w:val="140" w:hRule="atLeast"/>
        </w:trPr>
        <w:tc>
          <w:tcPr>
            <w:tcW w:w="1568" w:type="dxa"/>
            <w:tcBorders>
              <w:left w:val="single" w:sz="4" w:space="0" w:color="000000"/>
              <w:bottom w:val="single" w:sz="4" w:space="0" w:color="000000"/>
            </w:tcBorders>
          </w:tcPr>
          <w:p>
            <w:pPr>
              <w:pStyle w:val="TableParagraph"/>
              <w:spacing w:line="109" w:lineRule="exact" w:before="10"/>
              <w:ind w:left="642"/>
              <w:rPr>
                <w:rFonts w:ascii="Times New Roman" w:hAnsi="Times New Roman"/>
                <w:b/>
                <w:sz w:val="11"/>
              </w:rPr>
            </w:pPr>
            <w:r>
              <w:rPr>
                <w:rFonts w:ascii="Times New Roman" w:hAnsi="Times New Roman"/>
                <w:b/>
                <w:sz w:val="11"/>
              </w:rPr>
              <w:t>Total,</w:t>
            </w:r>
            <w:r>
              <w:rPr>
                <w:rFonts w:ascii="Times New Roman" w:hAnsi="Times New Roman"/>
                <w:b/>
                <w:spacing w:val="-3"/>
                <w:sz w:val="11"/>
              </w:rPr>
              <w:t> </w:t>
            </w:r>
            <w:r>
              <w:rPr>
                <w:rFonts w:ascii="Times New Roman" w:hAnsi="Times New Roman"/>
                <w:b/>
                <w:spacing w:val="-2"/>
                <w:sz w:val="11"/>
              </w:rPr>
              <w:t>depreciación</w:t>
            </w:r>
          </w:p>
        </w:tc>
        <w:tc>
          <w:tcPr>
            <w:tcW w:w="237" w:type="dxa"/>
            <w:tcBorders>
              <w:top w:val="single" w:sz="2" w:space="0" w:color="000000"/>
              <w:bottom w:val="single" w:sz="2" w:space="0" w:color="000000"/>
            </w:tcBorders>
          </w:tcPr>
          <w:p>
            <w:pPr>
              <w:pStyle w:val="TableParagraph"/>
              <w:rPr>
                <w:rFonts w:ascii="Times New Roman"/>
                <w:sz w:val="8"/>
              </w:rPr>
            </w:pPr>
          </w:p>
        </w:tc>
        <w:tc>
          <w:tcPr>
            <w:tcW w:w="843" w:type="dxa"/>
            <w:tcBorders>
              <w:top w:val="single" w:sz="2" w:space="0" w:color="000000"/>
              <w:bottom w:val="single" w:sz="2" w:space="0" w:color="000000"/>
            </w:tcBorders>
          </w:tcPr>
          <w:p>
            <w:pPr>
              <w:pStyle w:val="TableParagraph"/>
              <w:spacing w:line="109" w:lineRule="exact" w:before="10"/>
              <w:ind w:right="12"/>
              <w:jc w:val="right"/>
              <w:rPr>
                <w:rFonts w:ascii="Times New Roman"/>
                <w:b/>
                <w:sz w:val="11"/>
              </w:rPr>
            </w:pPr>
            <w:r>
              <w:rPr>
                <w:rFonts w:ascii="Times New Roman"/>
                <w:b/>
                <w:spacing w:val="-2"/>
                <w:sz w:val="11"/>
              </w:rPr>
              <w:t>--</w:t>
            </w:r>
            <w:r>
              <w:rPr>
                <w:rFonts w:ascii="Times New Roman"/>
                <w:b/>
                <w:spacing w:val="-10"/>
                <w:sz w:val="11"/>
              </w:rPr>
              <w:t>-</w:t>
            </w:r>
          </w:p>
        </w:tc>
        <w:tc>
          <w:tcPr>
            <w:tcW w:w="182" w:type="dxa"/>
            <w:tcBorders>
              <w:top w:val="single" w:sz="2" w:space="0" w:color="000000"/>
              <w:bottom w:val="single" w:sz="2" w:space="0" w:color="000000"/>
            </w:tcBorders>
          </w:tcPr>
          <w:p>
            <w:pPr>
              <w:pStyle w:val="TableParagraph"/>
              <w:rPr>
                <w:rFonts w:ascii="Times New Roman"/>
                <w:sz w:val="8"/>
              </w:rPr>
            </w:pPr>
          </w:p>
        </w:tc>
        <w:tc>
          <w:tcPr>
            <w:tcW w:w="712" w:type="dxa"/>
            <w:tcBorders>
              <w:top w:val="single" w:sz="2" w:space="0" w:color="000000"/>
              <w:bottom w:val="single" w:sz="2" w:space="0" w:color="000000"/>
            </w:tcBorders>
          </w:tcPr>
          <w:p>
            <w:pPr>
              <w:pStyle w:val="TableParagraph"/>
              <w:spacing w:line="109" w:lineRule="exact" w:before="10"/>
              <w:ind w:right="17"/>
              <w:jc w:val="right"/>
              <w:rPr>
                <w:rFonts w:ascii="Times New Roman"/>
                <w:b/>
                <w:sz w:val="11"/>
              </w:rPr>
            </w:pPr>
            <w:r>
              <w:rPr>
                <w:rFonts w:ascii="Times New Roman"/>
                <w:b/>
                <w:sz w:val="11"/>
              </w:rPr>
              <w:t>1</w:t>
            </w:r>
            <w:r>
              <w:rPr>
                <w:rFonts w:ascii="Times New Roman"/>
                <w:b/>
                <w:spacing w:val="2"/>
                <w:sz w:val="11"/>
              </w:rPr>
              <w:t> </w:t>
            </w:r>
            <w:r>
              <w:rPr>
                <w:rFonts w:ascii="Times New Roman"/>
                <w:b/>
                <w:sz w:val="11"/>
              </w:rPr>
              <w:t>550</w:t>
            </w:r>
            <w:r>
              <w:rPr>
                <w:rFonts w:ascii="Times New Roman"/>
                <w:b/>
                <w:spacing w:val="2"/>
                <w:sz w:val="11"/>
              </w:rPr>
              <w:t> </w:t>
            </w:r>
            <w:r>
              <w:rPr>
                <w:rFonts w:ascii="Times New Roman"/>
                <w:b/>
                <w:spacing w:val="-2"/>
                <w:sz w:val="11"/>
              </w:rPr>
              <w:t>336,26</w:t>
            </w:r>
          </w:p>
        </w:tc>
        <w:tc>
          <w:tcPr>
            <w:tcW w:w="146" w:type="dxa"/>
            <w:tcBorders>
              <w:top w:val="single" w:sz="2" w:space="0" w:color="000000"/>
              <w:bottom w:val="single" w:sz="2" w:space="0" w:color="000000"/>
            </w:tcBorders>
          </w:tcPr>
          <w:p>
            <w:pPr>
              <w:pStyle w:val="TableParagraph"/>
              <w:rPr>
                <w:rFonts w:ascii="Times New Roman"/>
                <w:sz w:val="8"/>
              </w:rPr>
            </w:pPr>
          </w:p>
        </w:tc>
        <w:tc>
          <w:tcPr>
            <w:tcW w:w="733" w:type="dxa"/>
            <w:tcBorders>
              <w:top w:val="single" w:sz="2" w:space="0" w:color="000000"/>
              <w:bottom w:val="single" w:sz="2" w:space="0" w:color="000000"/>
            </w:tcBorders>
          </w:tcPr>
          <w:p>
            <w:pPr>
              <w:pStyle w:val="TableParagraph"/>
              <w:spacing w:line="109" w:lineRule="exact" w:before="10"/>
              <w:ind w:right="14"/>
              <w:jc w:val="right"/>
              <w:rPr>
                <w:rFonts w:ascii="Times New Roman"/>
                <w:b/>
                <w:sz w:val="11"/>
              </w:rPr>
            </w:pPr>
            <w:r>
              <w:rPr>
                <w:rFonts w:ascii="Times New Roman"/>
                <w:b/>
                <w:sz w:val="11"/>
              </w:rPr>
              <w:t>3</w:t>
            </w:r>
            <w:r>
              <w:rPr>
                <w:rFonts w:ascii="Times New Roman"/>
                <w:b/>
                <w:spacing w:val="2"/>
                <w:sz w:val="11"/>
              </w:rPr>
              <w:t> </w:t>
            </w:r>
            <w:r>
              <w:rPr>
                <w:rFonts w:ascii="Times New Roman"/>
                <w:b/>
                <w:sz w:val="11"/>
              </w:rPr>
              <w:t>688</w:t>
            </w:r>
            <w:r>
              <w:rPr>
                <w:rFonts w:ascii="Times New Roman"/>
                <w:b/>
                <w:spacing w:val="2"/>
                <w:sz w:val="11"/>
              </w:rPr>
              <w:t> </w:t>
            </w:r>
            <w:r>
              <w:rPr>
                <w:rFonts w:ascii="Times New Roman"/>
                <w:b/>
                <w:spacing w:val="-2"/>
                <w:sz w:val="11"/>
              </w:rPr>
              <w:t>978,77</w:t>
            </w:r>
          </w:p>
        </w:tc>
        <w:tc>
          <w:tcPr>
            <w:tcW w:w="210" w:type="dxa"/>
            <w:tcBorders>
              <w:top w:val="single" w:sz="2" w:space="0" w:color="000000"/>
              <w:bottom w:val="single" w:sz="2" w:space="0" w:color="000000"/>
            </w:tcBorders>
          </w:tcPr>
          <w:p>
            <w:pPr>
              <w:pStyle w:val="TableParagraph"/>
              <w:rPr>
                <w:rFonts w:ascii="Times New Roman"/>
                <w:sz w:val="8"/>
              </w:rPr>
            </w:pPr>
          </w:p>
        </w:tc>
        <w:tc>
          <w:tcPr>
            <w:tcW w:w="809" w:type="dxa"/>
            <w:tcBorders>
              <w:top w:val="single" w:sz="2" w:space="0" w:color="000000"/>
              <w:bottom w:val="single" w:sz="2" w:space="0" w:color="000000"/>
            </w:tcBorders>
          </w:tcPr>
          <w:p>
            <w:pPr>
              <w:pStyle w:val="TableParagraph"/>
              <w:spacing w:line="109" w:lineRule="exact" w:before="10"/>
              <w:ind w:right="22"/>
              <w:jc w:val="right"/>
              <w:rPr>
                <w:rFonts w:ascii="Times New Roman"/>
                <w:b/>
                <w:sz w:val="11"/>
              </w:rPr>
            </w:pPr>
            <w:r>
              <w:rPr>
                <w:rFonts w:ascii="Times New Roman"/>
                <w:b/>
                <w:sz w:val="11"/>
              </w:rPr>
              <w:t>1</w:t>
            </w:r>
            <w:r>
              <w:rPr>
                <w:rFonts w:ascii="Times New Roman"/>
                <w:b/>
                <w:spacing w:val="2"/>
                <w:sz w:val="11"/>
              </w:rPr>
              <w:t> </w:t>
            </w:r>
            <w:r>
              <w:rPr>
                <w:rFonts w:ascii="Times New Roman"/>
                <w:b/>
                <w:sz w:val="11"/>
              </w:rPr>
              <w:t>278</w:t>
            </w:r>
            <w:r>
              <w:rPr>
                <w:rFonts w:ascii="Times New Roman"/>
                <w:b/>
                <w:spacing w:val="2"/>
                <w:sz w:val="11"/>
              </w:rPr>
              <w:t> </w:t>
            </w:r>
            <w:r>
              <w:rPr>
                <w:rFonts w:ascii="Times New Roman"/>
                <w:b/>
                <w:spacing w:val="-2"/>
                <w:sz w:val="11"/>
              </w:rPr>
              <w:t>930,99</w:t>
            </w:r>
          </w:p>
        </w:tc>
        <w:tc>
          <w:tcPr>
            <w:tcW w:w="178" w:type="dxa"/>
            <w:tcBorders>
              <w:top w:val="single" w:sz="2" w:space="0" w:color="000000"/>
              <w:bottom w:val="single" w:sz="2" w:space="0" w:color="000000"/>
            </w:tcBorders>
          </w:tcPr>
          <w:p>
            <w:pPr>
              <w:pStyle w:val="TableParagraph"/>
              <w:rPr>
                <w:rFonts w:ascii="Times New Roman"/>
                <w:sz w:val="8"/>
              </w:rPr>
            </w:pPr>
          </w:p>
        </w:tc>
        <w:tc>
          <w:tcPr>
            <w:tcW w:w="678" w:type="dxa"/>
            <w:tcBorders>
              <w:top w:val="single" w:sz="2" w:space="0" w:color="000000"/>
              <w:bottom w:val="single" w:sz="2" w:space="0" w:color="000000"/>
            </w:tcBorders>
          </w:tcPr>
          <w:p>
            <w:pPr>
              <w:pStyle w:val="TableParagraph"/>
              <w:spacing w:line="109" w:lineRule="exact" w:before="10"/>
              <w:ind w:right="11"/>
              <w:jc w:val="right"/>
              <w:rPr>
                <w:rFonts w:ascii="Times New Roman"/>
                <w:b/>
                <w:sz w:val="11"/>
              </w:rPr>
            </w:pPr>
            <w:r>
              <w:rPr>
                <w:rFonts w:ascii="Times New Roman"/>
                <w:b/>
                <w:sz w:val="11"/>
              </w:rPr>
              <w:t>116</w:t>
            </w:r>
            <w:r>
              <w:rPr>
                <w:rFonts w:ascii="Times New Roman"/>
                <w:b/>
                <w:spacing w:val="3"/>
                <w:sz w:val="11"/>
              </w:rPr>
              <w:t> </w:t>
            </w:r>
            <w:r>
              <w:rPr>
                <w:rFonts w:ascii="Times New Roman"/>
                <w:b/>
                <w:spacing w:val="-2"/>
                <w:sz w:val="11"/>
              </w:rPr>
              <w:t>565,85</w:t>
            </w:r>
          </w:p>
        </w:tc>
        <w:tc>
          <w:tcPr>
            <w:tcW w:w="200" w:type="dxa"/>
            <w:tcBorders>
              <w:top w:val="single" w:sz="2" w:space="0" w:color="000000"/>
              <w:bottom w:val="single" w:sz="2" w:space="0" w:color="000000"/>
            </w:tcBorders>
          </w:tcPr>
          <w:p>
            <w:pPr>
              <w:pStyle w:val="TableParagraph"/>
              <w:rPr>
                <w:rFonts w:ascii="Times New Roman"/>
                <w:sz w:val="8"/>
              </w:rPr>
            </w:pPr>
          </w:p>
        </w:tc>
        <w:tc>
          <w:tcPr>
            <w:tcW w:w="693" w:type="dxa"/>
            <w:tcBorders>
              <w:top w:val="single" w:sz="2" w:space="0" w:color="000000"/>
              <w:bottom w:val="single" w:sz="2" w:space="0" w:color="000000"/>
            </w:tcBorders>
          </w:tcPr>
          <w:p>
            <w:pPr>
              <w:pStyle w:val="TableParagraph"/>
              <w:spacing w:line="109" w:lineRule="exact" w:before="10"/>
              <w:ind w:right="7"/>
              <w:jc w:val="right"/>
              <w:rPr>
                <w:rFonts w:ascii="Times New Roman"/>
                <w:b/>
                <w:sz w:val="11"/>
              </w:rPr>
            </w:pPr>
            <w:r>
              <w:rPr>
                <w:rFonts w:ascii="Times New Roman"/>
                <w:b/>
                <w:sz w:val="11"/>
              </w:rPr>
              <w:t>347</w:t>
            </w:r>
            <w:r>
              <w:rPr>
                <w:rFonts w:ascii="Times New Roman"/>
                <w:b/>
                <w:spacing w:val="3"/>
                <w:sz w:val="11"/>
              </w:rPr>
              <w:t> </w:t>
            </w:r>
            <w:r>
              <w:rPr>
                <w:rFonts w:ascii="Times New Roman"/>
                <w:b/>
                <w:spacing w:val="-2"/>
                <w:sz w:val="11"/>
              </w:rPr>
              <w:t>486,97</w:t>
            </w:r>
          </w:p>
        </w:tc>
        <w:tc>
          <w:tcPr>
            <w:tcW w:w="152" w:type="dxa"/>
            <w:tcBorders>
              <w:top w:val="single" w:sz="2" w:space="0" w:color="000000"/>
              <w:bottom w:val="single" w:sz="2" w:space="0" w:color="000000"/>
            </w:tcBorders>
          </w:tcPr>
          <w:p>
            <w:pPr>
              <w:pStyle w:val="TableParagraph"/>
              <w:rPr>
                <w:rFonts w:ascii="Times New Roman"/>
                <w:sz w:val="8"/>
              </w:rPr>
            </w:pPr>
          </w:p>
        </w:tc>
        <w:tc>
          <w:tcPr>
            <w:tcW w:w="826" w:type="dxa"/>
            <w:tcBorders>
              <w:top w:val="single" w:sz="2" w:space="0" w:color="000000"/>
              <w:bottom w:val="single" w:sz="2" w:space="0" w:color="000000"/>
              <w:right w:val="single" w:sz="4" w:space="0" w:color="000000"/>
            </w:tcBorders>
          </w:tcPr>
          <w:p>
            <w:pPr>
              <w:pStyle w:val="TableParagraph"/>
              <w:spacing w:line="109" w:lineRule="exact" w:before="10"/>
              <w:ind w:left="225"/>
              <w:jc w:val="center"/>
              <w:rPr>
                <w:rFonts w:ascii="Times New Roman"/>
                <w:b/>
                <w:sz w:val="11"/>
              </w:rPr>
            </w:pPr>
            <w:r>
              <w:rPr>
                <w:rFonts w:ascii="Times New Roman"/>
                <w:b/>
                <w:sz w:val="11"/>
              </w:rPr>
              <w:t>6</w:t>
            </w:r>
            <w:r>
              <w:rPr>
                <w:rFonts w:ascii="Times New Roman"/>
                <w:b/>
                <w:spacing w:val="2"/>
                <w:sz w:val="11"/>
              </w:rPr>
              <w:t> </w:t>
            </w:r>
            <w:r>
              <w:rPr>
                <w:rFonts w:ascii="Times New Roman"/>
                <w:b/>
                <w:sz w:val="11"/>
              </w:rPr>
              <w:t>982</w:t>
            </w:r>
            <w:r>
              <w:rPr>
                <w:rFonts w:ascii="Times New Roman"/>
                <w:b/>
                <w:spacing w:val="2"/>
                <w:sz w:val="11"/>
              </w:rPr>
              <w:t> </w:t>
            </w:r>
            <w:r>
              <w:rPr>
                <w:rFonts w:ascii="Times New Roman"/>
                <w:b/>
                <w:spacing w:val="-2"/>
                <w:sz w:val="11"/>
              </w:rPr>
              <w:t>298,83</w:t>
            </w:r>
          </w:p>
        </w:tc>
      </w:tr>
      <w:tr>
        <w:trPr>
          <w:trHeight w:val="296" w:hRule="atLeast"/>
        </w:trPr>
        <w:tc>
          <w:tcPr>
            <w:tcW w:w="1568" w:type="dxa"/>
            <w:tcBorders>
              <w:top w:val="single" w:sz="4" w:space="0" w:color="000000"/>
              <w:left w:val="single" w:sz="4" w:space="0" w:color="000000"/>
              <w:bottom w:val="single" w:sz="4" w:space="0" w:color="000000"/>
            </w:tcBorders>
          </w:tcPr>
          <w:p>
            <w:pPr>
              <w:pStyle w:val="TableParagraph"/>
              <w:spacing w:before="90"/>
              <w:ind w:left="8"/>
              <w:jc w:val="center"/>
              <w:rPr>
                <w:rFonts w:ascii="Times New Roman"/>
                <w:b/>
                <w:sz w:val="11"/>
              </w:rPr>
            </w:pPr>
            <w:r>
              <w:rPr>
                <w:rFonts w:ascii="Times New Roman"/>
                <w:b/>
                <w:sz w:val="11"/>
              </w:rPr>
              <w:t>Total,</w:t>
            </w:r>
            <w:r>
              <w:rPr>
                <w:rFonts w:ascii="Times New Roman"/>
                <w:b/>
                <w:spacing w:val="-3"/>
                <w:sz w:val="11"/>
              </w:rPr>
              <w:t> </w:t>
            </w:r>
            <w:r>
              <w:rPr>
                <w:rFonts w:ascii="Times New Roman"/>
                <w:b/>
                <w:spacing w:val="-4"/>
                <w:sz w:val="11"/>
              </w:rPr>
              <w:t>neto</w:t>
            </w:r>
          </w:p>
        </w:tc>
        <w:tc>
          <w:tcPr>
            <w:tcW w:w="237" w:type="dxa"/>
            <w:tcBorders>
              <w:top w:val="single" w:sz="2" w:space="0" w:color="000000"/>
              <w:bottom w:val="single" w:sz="4" w:space="0" w:color="000000"/>
            </w:tcBorders>
          </w:tcPr>
          <w:p>
            <w:pPr>
              <w:pStyle w:val="TableParagraph"/>
              <w:rPr>
                <w:rFonts w:ascii="Times New Roman"/>
                <w:sz w:val="16"/>
              </w:rPr>
            </w:pPr>
          </w:p>
        </w:tc>
        <w:tc>
          <w:tcPr>
            <w:tcW w:w="843" w:type="dxa"/>
            <w:tcBorders>
              <w:top w:val="single" w:sz="2" w:space="0" w:color="000000"/>
              <w:bottom w:val="single" w:sz="4" w:space="0" w:color="000000"/>
            </w:tcBorders>
          </w:tcPr>
          <w:p>
            <w:pPr>
              <w:pStyle w:val="TableParagraph"/>
              <w:spacing w:before="90"/>
              <w:ind w:right="14"/>
              <w:jc w:val="right"/>
              <w:rPr>
                <w:rFonts w:ascii="Times New Roman"/>
                <w:b/>
                <w:sz w:val="11"/>
              </w:rPr>
            </w:pPr>
            <w:r>
              <w:rPr>
                <w:rFonts w:ascii="Times New Roman"/>
                <w:b/>
                <w:sz w:val="11"/>
              </w:rPr>
              <w:t>126</w:t>
            </w:r>
            <w:r>
              <w:rPr>
                <w:rFonts w:ascii="Times New Roman"/>
                <w:b/>
                <w:spacing w:val="3"/>
                <w:sz w:val="11"/>
              </w:rPr>
              <w:t> </w:t>
            </w:r>
            <w:r>
              <w:rPr>
                <w:rFonts w:ascii="Times New Roman"/>
                <w:b/>
                <w:sz w:val="11"/>
              </w:rPr>
              <w:t>191</w:t>
            </w:r>
            <w:r>
              <w:rPr>
                <w:rFonts w:ascii="Times New Roman"/>
                <w:b/>
                <w:spacing w:val="4"/>
                <w:sz w:val="11"/>
              </w:rPr>
              <w:t> </w:t>
            </w:r>
            <w:r>
              <w:rPr>
                <w:rFonts w:ascii="Times New Roman"/>
                <w:b/>
                <w:spacing w:val="-2"/>
                <w:sz w:val="11"/>
              </w:rPr>
              <w:t>204,96</w:t>
            </w:r>
          </w:p>
        </w:tc>
        <w:tc>
          <w:tcPr>
            <w:tcW w:w="182" w:type="dxa"/>
            <w:tcBorders>
              <w:top w:val="single" w:sz="2" w:space="0" w:color="000000"/>
              <w:bottom w:val="single" w:sz="4" w:space="0" w:color="000000"/>
            </w:tcBorders>
          </w:tcPr>
          <w:p>
            <w:pPr>
              <w:pStyle w:val="TableParagraph"/>
              <w:rPr>
                <w:rFonts w:ascii="Times New Roman"/>
                <w:sz w:val="16"/>
              </w:rPr>
            </w:pPr>
          </w:p>
        </w:tc>
        <w:tc>
          <w:tcPr>
            <w:tcW w:w="712" w:type="dxa"/>
            <w:tcBorders>
              <w:top w:val="single" w:sz="2" w:space="0" w:color="000000"/>
              <w:bottom w:val="single" w:sz="4" w:space="0" w:color="000000"/>
            </w:tcBorders>
          </w:tcPr>
          <w:p>
            <w:pPr>
              <w:pStyle w:val="TableParagraph"/>
              <w:spacing w:before="90"/>
              <w:ind w:right="17"/>
              <w:jc w:val="right"/>
              <w:rPr>
                <w:rFonts w:ascii="Times New Roman"/>
                <w:b/>
                <w:sz w:val="11"/>
              </w:rPr>
            </w:pPr>
            <w:r>
              <w:rPr>
                <w:rFonts w:ascii="Times New Roman"/>
                <w:b/>
                <w:sz w:val="11"/>
              </w:rPr>
              <w:t>7</w:t>
            </w:r>
            <w:r>
              <w:rPr>
                <w:rFonts w:ascii="Times New Roman"/>
                <w:b/>
                <w:spacing w:val="2"/>
                <w:sz w:val="11"/>
              </w:rPr>
              <w:t> </w:t>
            </w:r>
            <w:r>
              <w:rPr>
                <w:rFonts w:ascii="Times New Roman"/>
                <w:b/>
                <w:sz w:val="11"/>
              </w:rPr>
              <w:t>786</w:t>
            </w:r>
            <w:r>
              <w:rPr>
                <w:rFonts w:ascii="Times New Roman"/>
                <w:b/>
                <w:spacing w:val="2"/>
                <w:sz w:val="11"/>
              </w:rPr>
              <w:t> </w:t>
            </w:r>
            <w:r>
              <w:rPr>
                <w:rFonts w:ascii="Times New Roman"/>
                <w:b/>
                <w:spacing w:val="-2"/>
                <w:sz w:val="11"/>
              </w:rPr>
              <w:t>145,77</w:t>
            </w:r>
          </w:p>
        </w:tc>
        <w:tc>
          <w:tcPr>
            <w:tcW w:w="146" w:type="dxa"/>
            <w:tcBorders>
              <w:top w:val="single" w:sz="2" w:space="0" w:color="000000"/>
              <w:bottom w:val="single" w:sz="4" w:space="0" w:color="000000"/>
            </w:tcBorders>
          </w:tcPr>
          <w:p>
            <w:pPr>
              <w:pStyle w:val="TableParagraph"/>
              <w:rPr>
                <w:rFonts w:ascii="Times New Roman"/>
                <w:sz w:val="16"/>
              </w:rPr>
            </w:pPr>
          </w:p>
        </w:tc>
        <w:tc>
          <w:tcPr>
            <w:tcW w:w="733" w:type="dxa"/>
            <w:tcBorders>
              <w:top w:val="single" w:sz="2" w:space="0" w:color="000000"/>
              <w:bottom w:val="single" w:sz="4" w:space="0" w:color="000000"/>
            </w:tcBorders>
          </w:tcPr>
          <w:p>
            <w:pPr>
              <w:pStyle w:val="TableParagraph"/>
              <w:spacing w:before="90"/>
              <w:ind w:right="14"/>
              <w:jc w:val="right"/>
              <w:rPr>
                <w:rFonts w:ascii="Times New Roman"/>
                <w:b/>
                <w:sz w:val="11"/>
              </w:rPr>
            </w:pPr>
            <w:r>
              <w:rPr>
                <w:rFonts w:ascii="Times New Roman"/>
                <w:b/>
                <w:sz w:val="11"/>
              </w:rPr>
              <w:t>1</w:t>
            </w:r>
            <w:r>
              <w:rPr>
                <w:rFonts w:ascii="Times New Roman"/>
                <w:b/>
                <w:spacing w:val="2"/>
                <w:sz w:val="11"/>
              </w:rPr>
              <w:t> </w:t>
            </w:r>
            <w:r>
              <w:rPr>
                <w:rFonts w:ascii="Times New Roman"/>
                <w:b/>
                <w:sz w:val="11"/>
              </w:rPr>
              <w:t>624</w:t>
            </w:r>
            <w:r>
              <w:rPr>
                <w:rFonts w:ascii="Times New Roman"/>
                <w:b/>
                <w:spacing w:val="2"/>
                <w:sz w:val="11"/>
              </w:rPr>
              <w:t> </w:t>
            </w:r>
            <w:r>
              <w:rPr>
                <w:rFonts w:ascii="Times New Roman"/>
                <w:b/>
                <w:spacing w:val="-2"/>
                <w:sz w:val="11"/>
              </w:rPr>
              <w:t>954,38</w:t>
            </w:r>
          </w:p>
        </w:tc>
        <w:tc>
          <w:tcPr>
            <w:tcW w:w="210" w:type="dxa"/>
            <w:tcBorders>
              <w:top w:val="single" w:sz="2" w:space="0" w:color="000000"/>
              <w:bottom w:val="single" w:sz="4" w:space="0" w:color="000000"/>
            </w:tcBorders>
          </w:tcPr>
          <w:p>
            <w:pPr>
              <w:pStyle w:val="TableParagraph"/>
              <w:rPr>
                <w:rFonts w:ascii="Times New Roman"/>
                <w:sz w:val="16"/>
              </w:rPr>
            </w:pPr>
          </w:p>
        </w:tc>
        <w:tc>
          <w:tcPr>
            <w:tcW w:w="809" w:type="dxa"/>
            <w:tcBorders>
              <w:top w:val="single" w:sz="2" w:space="0" w:color="000000"/>
              <w:bottom w:val="single" w:sz="4" w:space="0" w:color="000000"/>
            </w:tcBorders>
          </w:tcPr>
          <w:p>
            <w:pPr>
              <w:pStyle w:val="TableParagraph"/>
              <w:spacing w:before="90"/>
              <w:ind w:right="21"/>
              <w:jc w:val="right"/>
              <w:rPr>
                <w:rFonts w:ascii="Times New Roman"/>
                <w:b/>
                <w:sz w:val="11"/>
              </w:rPr>
            </w:pPr>
            <w:r>
              <w:rPr>
                <w:rFonts w:ascii="Times New Roman"/>
                <w:b/>
                <w:sz w:val="11"/>
              </w:rPr>
              <w:t>721</w:t>
            </w:r>
            <w:r>
              <w:rPr>
                <w:rFonts w:ascii="Times New Roman"/>
                <w:b/>
                <w:spacing w:val="3"/>
                <w:sz w:val="11"/>
              </w:rPr>
              <w:t> </w:t>
            </w:r>
            <w:r>
              <w:rPr>
                <w:rFonts w:ascii="Times New Roman"/>
                <w:b/>
                <w:spacing w:val="-2"/>
                <w:sz w:val="11"/>
              </w:rPr>
              <w:t>596,29</w:t>
            </w:r>
          </w:p>
        </w:tc>
        <w:tc>
          <w:tcPr>
            <w:tcW w:w="178" w:type="dxa"/>
            <w:tcBorders>
              <w:top w:val="single" w:sz="2" w:space="0" w:color="000000"/>
              <w:bottom w:val="single" w:sz="4" w:space="0" w:color="000000"/>
            </w:tcBorders>
          </w:tcPr>
          <w:p>
            <w:pPr>
              <w:pStyle w:val="TableParagraph"/>
              <w:rPr>
                <w:rFonts w:ascii="Times New Roman"/>
                <w:sz w:val="16"/>
              </w:rPr>
            </w:pPr>
          </w:p>
        </w:tc>
        <w:tc>
          <w:tcPr>
            <w:tcW w:w="678" w:type="dxa"/>
            <w:tcBorders>
              <w:top w:val="single" w:sz="2" w:space="0" w:color="000000"/>
              <w:bottom w:val="single" w:sz="4" w:space="0" w:color="000000"/>
            </w:tcBorders>
          </w:tcPr>
          <w:p>
            <w:pPr>
              <w:pStyle w:val="TableParagraph"/>
              <w:spacing w:before="90"/>
              <w:ind w:right="10"/>
              <w:jc w:val="right"/>
              <w:rPr>
                <w:rFonts w:ascii="Times New Roman"/>
                <w:b/>
                <w:sz w:val="11"/>
              </w:rPr>
            </w:pPr>
            <w:r>
              <w:rPr>
                <w:rFonts w:ascii="Times New Roman"/>
                <w:b/>
                <w:sz w:val="11"/>
              </w:rPr>
              <w:t>51</w:t>
            </w:r>
            <w:r>
              <w:rPr>
                <w:rFonts w:ascii="Times New Roman"/>
                <w:b/>
                <w:spacing w:val="2"/>
                <w:sz w:val="11"/>
              </w:rPr>
              <w:t> </w:t>
            </w:r>
            <w:r>
              <w:rPr>
                <w:rFonts w:ascii="Times New Roman"/>
                <w:b/>
                <w:spacing w:val="-2"/>
                <w:sz w:val="11"/>
              </w:rPr>
              <w:t>400,25</w:t>
            </w:r>
          </w:p>
        </w:tc>
        <w:tc>
          <w:tcPr>
            <w:tcW w:w="200" w:type="dxa"/>
            <w:tcBorders>
              <w:top w:val="single" w:sz="2" w:space="0" w:color="000000"/>
              <w:bottom w:val="single" w:sz="4" w:space="0" w:color="000000"/>
            </w:tcBorders>
          </w:tcPr>
          <w:p>
            <w:pPr>
              <w:pStyle w:val="TableParagraph"/>
              <w:rPr>
                <w:rFonts w:ascii="Times New Roman"/>
                <w:sz w:val="16"/>
              </w:rPr>
            </w:pPr>
          </w:p>
        </w:tc>
        <w:tc>
          <w:tcPr>
            <w:tcW w:w="693" w:type="dxa"/>
            <w:tcBorders>
              <w:top w:val="single" w:sz="2" w:space="0" w:color="000000"/>
              <w:bottom w:val="single" w:sz="4" w:space="0" w:color="000000"/>
            </w:tcBorders>
          </w:tcPr>
          <w:p>
            <w:pPr>
              <w:pStyle w:val="TableParagraph"/>
              <w:spacing w:before="90"/>
              <w:ind w:right="6"/>
              <w:jc w:val="right"/>
              <w:rPr>
                <w:rFonts w:ascii="Times New Roman"/>
                <w:b/>
                <w:sz w:val="11"/>
              </w:rPr>
            </w:pPr>
            <w:r>
              <w:rPr>
                <w:rFonts w:ascii="Times New Roman"/>
                <w:b/>
                <w:sz w:val="11"/>
              </w:rPr>
              <w:t>129</w:t>
            </w:r>
            <w:r>
              <w:rPr>
                <w:rFonts w:ascii="Times New Roman"/>
                <w:b/>
                <w:spacing w:val="3"/>
                <w:sz w:val="11"/>
              </w:rPr>
              <w:t> </w:t>
            </w:r>
            <w:r>
              <w:rPr>
                <w:rFonts w:ascii="Times New Roman"/>
                <w:b/>
                <w:spacing w:val="-2"/>
                <w:sz w:val="11"/>
              </w:rPr>
              <w:t>826,87</w:t>
            </w:r>
          </w:p>
        </w:tc>
        <w:tc>
          <w:tcPr>
            <w:tcW w:w="152" w:type="dxa"/>
            <w:tcBorders>
              <w:top w:val="single" w:sz="2" w:space="0" w:color="000000"/>
              <w:bottom w:val="single" w:sz="4" w:space="0" w:color="000000"/>
            </w:tcBorders>
          </w:tcPr>
          <w:p>
            <w:pPr>
              <w:pStyle w:val="TableParagraph"/>
              <w:rPr>
                <w:rFonts w:ascii="Times New Roman"/>
                <w:sz w:val="16"/>
              </w:rPr>
            </w:pPr>
          </w:p>
        </w:tc>
        <w:tc>
          <w:tcPr>
            <w:tcW w:w="826" w:type="dxa"/>
            <w:tcBorders>
              <w:top w:val="single" w:sz="2" w:space="0" w:color="000000"/>
              <w:bottom w:val="single" w:sz="4" w:space="0" w:color="000000"/>
              <w:right w:val="single" w:sz="4" w:space="0" w:color="000000"/>
            </w:tcBorders>
          </w:tcPr>
          <w:p>
            <w:pPr>
              <w:pStyle w:val="TableParagraph"/>
              <w:spacing w:before="90"/>
              <w:ind w:left="111"/>
              <w:jc w:val="center"/>
              <w:rPr>
                <w:rFonts w:ascii="Times New Roman"/>
                <w:b/>
                <w:sz w:val="11"/>
              </w:rPr>
            </w:pPr>
            <w:r>
              <w:rPr>
                <w:rFonts w:ascii="Times New Roman"/>
                <w:b/>
                <w:sz w:val="11"/>
              </w:rPr>
              <w:t>136</w:t>
            </w:r>
            <w:r>
              <w:rPr>
                <w:rFonts w:ascii="Times New Roman"/>
                <w:b/>
                <w:spacing w:val="3"/>
                <w:sz w:val="11"/>
              </w:rPr>
              <w:t> </w:t>
            </w:r>
            <w:r>
              <w:rPr>
                <w:rFonts w:ascii="Times New Roman"/>
                <w:b/>
                <w:sz w:val="11"/>
              </w:rPr>
              <w:t>505</w:t>
            </w:r>
            <w:r>
              <w:rPr>
                <w:rFonts w:ascii="Times New Roman"/>
                <w:b/>
                <w:spacing w:val="4"/>
                <w:sz w:val="11"/>
              </w:rPr>
              <w:t> </w:t>
            </w:r>
            <w:r>
              <w:rPr>
                <w:rFonts w:ascii="Times New Roman"/>
                <w:b/>
                <w:spacing w:val="-2"/>
                <w:sz w:val="11"/>
              </w:rPr>
              <w:t>128,50</w:t>
            </w:r>
          </w:p>
        </w:tc>
      </w:tr>
    </w:tbl>
    <w:p>
      <w:pPr>
        <w:pStyle w:val="BodyText"/>
        <w:spacing w:line="259" w:lineRule="auto" w:before="185"/>
        <w:ind w:left="730" w:right="627"/>
        <w:jc w:val="both"/>
      </w:pPr>
      <w:r>
        <w:rPr/>
        <w:t>Al</w:t>
      </w:r>
      <w:r>
        <w:rPr>
          <w:spacing w:val="-11"/>
        </w:rPr>
        <w:t> </w:t>
      </w:r>
      <w:r>
        <w:rPr/>
        <w:t>cierre</w:t>
      </w:r>
      <w:r>
        <w:rPr>
          <w:spacing w:val="-12"/>
        </w:rPr>
        <w:t> </w:t>
      </w:r>
      <w:r>
        <w:rPr/>
        <w:t>de</w:t>
      </w:r>
      <w:r>
        <w:rPr>
          <w:spacing w:val="-12"/>
        </w:rPr>
        <w:t> </w:t>
      </w:r>
      <w:r>
        <w:rPr/>
        <w:t>diciembre</w:t>
      </w:r>
      <w:r>
        <w:rPr>
          <w:spacing w:val="-12"/>
        </w:rPr>
        <w:t> </w:t>
      </w:r>
      <w:r>
        <w:rPr/>
        <w:t>de</w:t>
      </w:r>
      <w:r>
        <w:rPr>
          <w:spacing w:val="-12"/>
        </w:rPr>
        <w:t> </w:t>
      </w:r>
      <w:r>
        <w:rPr/>
        <w:t>2025,</w:t>
      </w:r>
      <w:r>
        <w:rPr>
          <w:spacing w:val="-11"/>
        </w:rPr>
        <w:t> </w:t>
      </w:r>
      <w:r>
        <w:rPr/>
        <w:t>el</w:t>
      </w:r>
      <w:r>
        <w:rPr>
          <w:spacing w:val="-11"/>
        </w:rPr>
        <w:t> </w:t>
      </w:r>
      <w:r>
        <w:rPr/>
        <w:t>costo</w:t>
      </w:r>
      <w:r>
        <w:rPr>
          <w:spacing w:val="-10"/>
        </w:rPr>
        <w:t> </w:t>
      </w:r>
      <w:r>
        <w:rPr/>
        <w:t>total</w:t>
      </w:r>
      <w:r>
        <w:rPr>
          <w:spacing w:val="-12"/>
        </w:rPr>
        <w:t> </w:t>
      </w:r>
      <w:r>
        <w:rPr/>
        <w:t>de</w:t>
      </w:r>
      <w:r>
        <w:rPr>
          <w:spacing w:val="-12"/>
        </w:rPr>
        <w:t> </w:t>
      </w:r>
      <w:r>
        <w:rPr/>
        <w:t>Propiedad,</w:t>
      </w:r>
      <w:r>
        <w:rPr>
          <w:spacing w:val="-11"/>
        </w:rPr>
        <w:t> </w:t>
      </w:r>
      <w:r>
        <w:rPr/>
        <w:t>Planta</w:t>
      </w:r>
      <w:r>
        <w:rPr>
          <w:spacing w:val="-11"/>
        </w:rPr>
        <w:t> </w:t>
      </w:r>
      <w:r>
        <w:rPr/>
        <w:t>y</w:t>
      </w:r>
      <w:r>
        <w:rPr>
          <w:spacing w:val="-12"/>
        </w:rPr>
        <w:t> </w:t>
      </w:r>
      <w:r>
        <w:rPr/>
        <w:t>Equipo</w:t>
      </w:r>
      <w:r>
        <w:rPr>
          <w:spacing w:val="-10"/>
        </w:rPr>
        <w:t> </w:t>
      </w:r>
      <w:r>
        <w:rPr/>
        <w:t>ascendía</w:t>
      </w:r>
      <w:r>
        <w:rPr>
          <w:spacing w:val="-11"/>
        </w:rPr>
        <w:t> </w:t>
      </w:r>
      <w:r>
        <w:rPr/>
        <w:t>a:</w:t>
      </w:r>
      <w:r>
        <w:rPr>
          <w:spacing w:val="-10"/>
        </w:rPr>
        <w:t> </w:t>
      </w:r>
      <w:r>
        <w:rPr>
          <w:rFonts w:ascii="Times New Roman" w:hAnsi="Times New Roman"/>
        </w:rPr>
        <w:t>₡</w:t>
      </w:r>
      <w:r>
        <w:rPr/>
        <w:t>144</w:t>
      </w:r>
      <w:r>
        <w:rPr>
          <w:spacing w:val="-11"/>
        </w:rPr>
        <w:t> </w:t>
      </w:r>
      <w:r>
        <w:rPr/>
        <w:t>424</w:t>
      </w:r>
      <w:r>
        <w:rPr>
          <w:spacing w:val="-11"/>
        </w:rPr>
        <w:t> </w:t>
      </w:r>
      <w:r>
        <w:rPr/>
        <w:t>764,76, distribuido</w:t>
      </w:r>
      <w:r>
        <w:rPr>
          <w:spacing w:val="-14"/>
        </w:rPr>
        <w:t> </w:t>
      </w:r>
      <w:r>
        <w:rPr/>
        <w:t>principalmente</w:t>
      </w:r>
      <w:r>
        <w:rPr>
          <w:spacing w:val="-13"/>
        </w:rPr>
        <w:t> </w:t>
      </w:r>
      <w:r>
        <w:rPr/>
        <w:t>en:</w:t>
      </w:r>
      <w:r>
        <w:rPr>
          <w:spacing w:val="-14"/>
        </w:rPr>
        <w:t> </w:t>
      </w:r>
      <w:r>
        <w:rPr/>
        <w:t>Terrenos:</w:t>
      </w:r>
      <w:r>
        <w:rPr>
          <w:spacing w:val="-12"/>
        </w:rPr>
        <w:t> </w:t>
      </w:r>
      <w:r>
        <w:rPr>
          <w:rFonts w:ascii="Times New Roman" w:hAnsi="Times New Roman"/>
        </w:rPr>
        <w:t>₡</w:t>
      </w:r>
      <w:r>
        <w:rPr/>
        <w:t>126</w:t>
      </w:r>
      <w:r>
        <w:rPr>
          <w:spacing w:val="-13"/>
        </w:rPr>
        <w:t> </w:t>
      </w:r>
      <w:r>
        <w:rPr/>
        <w:t>796</w:t>
      </w:r>
      <w:r>
        <w:rPr>
          <w:spacing w:val="-14"/>
        </w:rPr>
        <w:t> </w:t>
      </w:r>
      <w:r>
        <w:rPr/>
        <w:t>329,90,</w:t>
      </w:r>
      <w:r>
        <w:rPr>
          <w:spacing w:val="-13"/>
        </w:rPr>
        <w:t> </w:t>
      </w:r>
      <w:r>
        <w:rPr/>
        <w:t>Edificios:</w:t>
      </w:r>
      <w:r>
        <w:rPr>
          <w:spacing w:val="-13"/>
        </w:rPr>
        <w:t> </w:t>
      </w:r>
      <w:r>
        <w:rPr>
          <w:rFonts w:ascii="Times New Roman" w:hAnsi="Times New Roman"/>
        </w:rPr>
        <w:t>₡</w:t>
      </w:r>
      <w:r>
        <w:rPr/>
        <w:t>9</w:t>
      </w:r>
      <w:r>
        <w:rPr>
          <w:spacing w:val="-13"/>
        </w:rPr>
        <w:t> </w:t>
      </w:r>
      <w:r>
        <w:rPr/>
        <w:t>397</w:t>
      </w:r>
      <w:r>
        <w:rPr>
          <w:spacing w:val="-13"/>
        </w:rPr>
        <w:t> </w:t>
      </w:r>
      <w:r>
        <w:rPr/>
        <w:t>811,02,</w:t>
      </w:r>
      <w:r>
        <w:rPr>
          <w:spacing w:val="-13"/>
        </w:rPr>
        <w:t> </w:t>
      </w:r>
      <w:r>
        <w:rPr/>
        <w:t>Equipo</w:t>
      </w:r>
      <w:r>
        <w:rPr>
          <w:spacing w:val="-14"/>
        </w:rPr>
        <w:t> </w:t>
      </w:r>
      <w:r>
        <w:rPr/>
        <w:t>y</w:t>
      </w:r>
      <w:r>
        <w:rPr>
          <w:spacing w:val="-14"/>
        </w:rPr>
        <w:t> </w:t>
      </w:r>
      <w:r>
        <w:rPr/>
        <w:t>mobiliario de</w:t>
      </w:r>
      <w:r>
        <w:rPr>
          <w:spacing w:val="-14"/>
        </w:rPr>
        <w:t> </w:t>
      </w:r>
      <w:r>
        <w:rPr/>
        <w:t>oficina,</w:t>
      </w:r>
      <w:r>
        <w:rPr>
          <w:spacing w:val="-14"/>
        </w:rPr>
        <w:t> </w:t>
      </w:r>
      <w:r>
        <w:rPr/>
        <w:t>comunicación</w:t>
      </w:r>
      <w:r>
        <w:rPr>
          <w:spacing w:val="-14"/>
        </w:rPr>
        <w:t> </w:t>
      </w:r>
      <w:r>
        <w:rPr/>
        <w:t>y</w:t>
      </w:r>
      <w:r>
        <w:rPr>
          <w:spacing w:val="-13"/>
        </w:rPr>
        <w:t> </w:t>
      </w:r>
      <w:r>
        <w:rPr/>
        <w:t>computación:</w:t>
      </w:r>
      <w:r>
        <w:rPr>
          <w:spacing w:val="-14"/>
        </w:rPr>
        <w:t> </w:t>
      </w:r>
      <w:r>
        <w:rPr>
          <w:rFonts w:ascii="Times New Roman" w:hAnsi="Times New Roman"/>
        </w:rPr>
        <w:t>₡</w:t>
      </w:r>
      <w:r>
        <w:rPr/>
        <w:t>5</w:t>
      </w:r>
      <w:r>
        <w:rPr>
          <w:spacing w:val="-14"/>
        </w:rPr>
        <w:t> </w:t>
      </w:r>
      <w:r>
        <w:rPr/>
        <w:t>581</w:t>
      </w:r>
      <w:r>
        <w:rPr>
          <w:spacing w:val="-14"/>
        </w:rPr>
        <w:t> </w:t>
      </w:r>
      <w:r>
        <w:rPr/>
        <w:t>556,64,</w:t>
      </w:r>
      <w:r>
        <w:rPr>
          <w:spacing w:val="-13"/>
        </w:rPr>
        <w:t> </w:t>
      </w:r>
      <w:r>
        <w:rPr/>
        <w:t>Vehículos:</w:t>
      </w:r>
      <w:r>
        <w:rPr>
          <w:spacing w:val="-14"/>
        </w:rPr>
        <w:t> </w:t>
      </w:r>
      <w:r>
        <w:rPr>
          <w:rFonts w:ascii="Times New Roman" w:hAnsi="Times New Roman"/>
        </w:rPr>
        <w:t>₡</w:t>
      </w:r>
      <w:r>
        <w:rPr/>
        <w:t>1</w:t>
      </w:r>
      <w:r>
        <w:rPr>
          <w:spacing w:val="-14"/>
        </w:rPr>
        <w:t> </w:t>
      </w:r>
      <w:r>
        <w:rPr/>
        <w:t>999</w:t>
      </w:r>
      <w:r>
        <w:rPr>
          <w:spacing w:val="-14"/>
        </w:rPr>
        <w:t> </w:t>
      </w:r>
      <w:r>
        <w:rPr/>
        <w:t>856,53,</w:t>
      </w:r>
      <w:r>
        <w:rPr>
          <w:spacing w:val="-11"/>
        </w:rPr>
        <w:t> </w:t>
      </w:r>
      <w:r>
        <w:rPr/>
        <w:t>Equipo</w:t>
      </w:r>
      <w:r>
        <w:rPr>
          <w:spacing w:val="-13"/>
        </w:rPr>
        <w:t> </w:t>
      </w:r>
      <w:r>
        <w:rPr/>
        <w:t>de</w:t>
      </w:r>
      <w:r>
        <w:rPr>
          <w:spacing w:val="-14"/>
        </w:rPr>
        <w:t> </w:t>
      </w:r>
      <w:r>
        <w:rPr/>
        <w:t>seguridad, sanitario y educacional: </w:t>
      </w:r>
      <w:r>
        <w:rPr>
          <w:rFonts w:ascii="Times New Roman" w:hAnsi="Times New Roman"/>
        </w:rPr>
        <w:t>₡</w:t>
      </w:r>
      <w:r>
        <w:rPr/>
        <w:t>168 135,10 y Maquinaria y equipo diverso: </w:t>
      </w:r>
      <w:r>
        <w:rPr>
          <w:rFonts w:ascii="Times New Roman" w:hAnsi="Times New Roman"/>
        </w:rPr>
        <w:t>₡</w:t>
      </w:r>
      <w:r>
        <w:rPr/>
        <w:t>481 075,57, estos montos representan el costo histórico bruto antes de ajustes del periodo.</w:t>
      </w:r>
    </w:p>
    <w:p>
      <w:pPr>
        <w:pStyle w:val="BodyText"/>
        <w:spacing w:line="259" w:lineRule="auto" w:before="159"/>
        <w:ind w:left="730" w:right="630"/>
        <w:jc w:val="both"/>
      </w:pPr>
      <w:r>
        <w:rPr/>
        <w:t>Durante</w:t>
      </w:r>
      <w:r>
        <w:rPr>
          <w:spacing w:val="-2"/>
        </w:rPr>
        <w:t> </w:t>
      </w:r>
      <w:r>
        <w:rPr/>
        <w:t>el</w:t>
      </w:r>
      <w:r>
        <w:rPr>
          <w:spacing w:val="-2"/>
        </w:rPr>
        <w:t> </w:t>
      </w:r>
      <w:r>
        <w:rPr/>
        <w:t>periodo</w:t>
      </w:r>
      <w:r>
        <w:rPr>
          <w:spacing w:val="-2"/>
        </w:rPr>
        <w:t> </w:t>
      </w:r>
      <w:r>
        <w:rPr/>
        <w:t>2026,</w:t>
      </w:r>
      <w:r>
        <w:rPr>
          <w:spacing w:val="-2"/>
        </w:rPr>
        <w:t> </w:t>
      </w:r>
      <w:r>
        <w:rPr/>
        <w:t>el</w:t>
      </w:r>
      <w:r>
        <w:rPr>
          <w:spacing w:val="-1"/>
        </w:rPr>
        <w:t> </w:t>
      </w:r>
      <w:r>
        <w:rPr/>
        <w:t>grupo</w:t>
      </w:r>
      <w:r>
        <w:rPr>
          <w:spacing w:val="-2"/>
        </w:rPr>
        <w:t> </w:t>
      </w:r>
      <w:r>
        <w:rPr/>
        <w:t>presenta</w:t>
      </w:r>
      <w:r>
        <w:rPr>
          <w:spacing w:val="-2"/>
        </w:rPr>
        <w:t> </w:t>
      </w:r>
      <w:r>
        <w:rPr/>
        <w:t>un</w:t>
      </w:r>
      <w:r>
        <w:rPr>
          <w:spacing w:val="-2"/>
        </w:rPr>
        <w:t> </w:t>
      </w:r>
      <w:r>
        <w:rPr/>
        <w:t>valor</w:t>
      </w:r>
      <w:r>
        <w:rPr>
          <w:spacing w:val="-2"/>
        </w:rPr>
        <w:t> </w:t>
      </w:r>
      <w:r>
        <w:rPr/>
        <w:t>bruto</w:t>
      </w:r>
      <w:r>
        <w:rPr>
          <w:spacing w:val="-2"/>
        </w:rPr>
        <w:t> </w:t>
      </w:r>
      <w:r>
        <w:rPr/>
        <w:t>al</w:t>
      </w:r>
      <w:r>
        <w:rPr>
          <w:spacing w:val="-2"/>
        </w:rPr>
        <w:t> </w:t>
      </w:r>
      <w:r>
        <w:rPr/>
        <w:t>cierre</w:t>
      </w:r>
      <w:r>
        <w:rPr>
          <w:spacing w:val="-4"/>
        </w:rPr>
        <w:t> </w:t>
      </w:r>
      <w:r>
        <w:rPr/>
        <w:t>de</w:t>
      </w:r>
      <w:r>
        <w:rPr>
          <w:spacing w:val="-3"/>
        </w:rPr>
        <w:t> </w:t>
      </w:r>
      <w:r>
        <w:rPr>
          <w:rFonts w:ascii="Times New Roman" w:hAnsi="Times New Roman"/>
        </w:rPr>
        <w:t>₡</w:t>
      </w:r>
      <w:r>
        <w:rPr/>
        <w:t>143.487.427,33</w:t>
      </w:r>
      <w:r>
        <w:rPr>
          <w:spacing w:val="-3"/>
        </w:rPr>
        <w:t> </w:t>
      </w:r>
      <w:r>
        <w:rPr/>
        <w:t>miles</w:t>
      </w:r>
      <w:r>
        <w:rPr>
          <w:spacing w:val="-1"/>
        </w:rPr>
        <w:t> </w:t>
      </w:r>
      <w:r>
        <w:rPr/>
        <w:t>y</w:t>
      </w:r>
      <w:r>
        <w:rPr>
          <w:spacing w:val="-3"/>
        </w:rPr>
        <w:t> </w:t>
      </w:r>
      <w:r>
        <w:rPr/>
        <w:t>un</w:t>
      </w:r>
      <w:r>
        <w:rPr>
          <w:spacing w:val="-2"/>
        </w:rPr>
        <w:t> </w:t>
      </w:r>
      <w:r>
        <w:rPr/>
        <w:t>valor residual</w:t>
      </w:r>
      <w:r>
        <w:rPr>
          <w:spacing w:val="-8"/>
        </w:rPr>
        <w:t> </w:t>
      </w:r>
      <w:r>
        <w:rPr/>
        <w:t>de</w:t>
      </w:r>
      <w:r>
        <w:rPr>
          <w:spacing w:val="-9"/>
        </w:rPr>
        <w:t> </w:t>
      </w:r>
      <w:r>
        <w:rPr>
          <w:rFonts w:ascii="Times New Roman" w:hAnsi="Times New Roman"/>
        </w:rPr>
        <w:t>₡</w:t>
      </w:r>
      <w:r>
        <w:rPr/>
        <w:t>136.505.128,50</w:t>
      </w:r>
      <w:r>
        <w:rPr>
          <w:spacing w:val="-8"/>
        </w:rPr>
        <w:t> </w:t>
      </w:r>
      <w:r>
        <w:rPr/>
        <w:t>miles.</w:t>
      </w:r>
      <w:r>
        <w:rPr>
          <w:spacing w:val="-8"/>
        </w:rPr>
        <w:t> </w:t>
      </w:r>
      <w:r>
        <w:rPr/>
        <w:t>Representa</w:t>
      </w:r>
      <w:r>
        <w:rPr>
          <w:spacing w:val="-7"/>
        </w:rPr>
        <w:t> </w:t>
      </w:r>
      <w:r>
        <w:rPr/>
        <w:t>aproximadamente</w:t>
      </w:r>
      <w:r>
        <w:rPr>
          <w:spacing w:val="-8"/>
        </w:rPr>
        <w:t> </w:t>
      </w:r>
      <w:r>
        <w:rPr/>
        <w:t>el</w:t>
      </w:r>
      <w:r>
        <w:rPr>
          <w:spacing w:val="-8"/>
        </w:rPr>
        <w:t> </w:t>
      </w:r>
      <w:r>
        <w:rPr/>
        <w:t>98,50</w:t>
      </w:r>
      <w:r>
        <w:rPr>
          <w:spacing w:val="-8"/>
        </w:rPr>
        <w:t> </w:t>
      </w:r>
      <w:r>
        <w:rPr/>
        <w:t>%</w:t>
      </w:r>
      <w:r>
        <w:rPr>
          <w:spacing w:val="-7"/>
        </w:rPr>
        <w:t> </w:t>
      </w:r>
      <w:r>
        <w:rPr/>
        <w:t>del</w:t>
      </w:r>
      <w:r>
        <w:rPr>
          <w:spacing w:val="-8"/>
        </w:rPr>
        <w:t> </w:t>
      </w:r>
      <w:r>
        <w:rPr/>
        <w:t>valor</w:t>
      </w:r>
      <w:r>
        <w:rPr>
          <w:spacing w:val="-7"/>
        </w:rPr>
        <w:t> </w:t>
      </w:r>
      <w:r>
        <w:rPr/>
        <w:t>neto</w:t>
      </w:r>
      <w:r>
        <w:rPr>
          <w:spacing w:val="-6"/>
        </w:rPr>
        <w:t> </w:t>
      </w:r>
      <w:r>
        <w:rPr/>
        <w:t>reportado,</w:t>
      </w:r>
      <w:r>
        <w:rPr>
          <w:spacing w:val="-7"/>
        </w:rPr>
        <w:t> </w:t>
      </w:r>
      <w:r>
        <w:rPr/>
        <w:t>lo que evidencia una concentración muy alta del patrimonio institucional en este grupo.</w:t>
      </w:r>
    </w:p>
    <w:p>
      <w:pPr>
        <w:pStyle w:val="BodyText"/>
        <w:spacing w:line="412" w:lineRule="auto" w:before="159"/>
        <w:ind w:left="730" w:right="1001"/>
      </w:pPr>
      <w:r>
        <w:rPr/>
        <w:t>Se</w:t>
      </w:r>
      <w:r>
        <w:rPr>
          <w:spacing w:val="-4"/>
        </w:rPr>
        <w:t> </w:t>
      </w:r>
      <w:r>
        <w:rPr/>
        <w:t>registran</w:t>
      </w:r>
      <w:r>
        <w:rPr>
          <w:spacing w:val="-3"/>
        </w:rPr>
        <w:t> </w:t>
      </w:r>
      <w:r>
        <w:rPr/>
        <w:t>adiciones</w:t>
      </w:r>
      <w:r>
        <w:rPr>
          <w:spacing w:val="-2"/>
        </w:rPr>
        <w:t> </w:t>
      </w:r>
      <w:r>
        <w:rPr/>
        <w:t>en</w:t>
      </w:r>
      <w:r>
        <w:rPr>
          <w:spacing w:val="-3"/>
        </w:rPr>
        <w:t> </w:t>
      </w:r>
      <w:r>
        <w:rPr/>
        <w:t>vehículos,</w:t>
      </w:r>
      <w:r>
        <w:rPr>
          <w:spacing w:val="-3"/>
        </w:rPr>
        <w:t> </w:t>
      </w:r>
      <w:r>
        <w:rPr/>
        <w:t>equipos</w:t>
      </w:r>
      <w:r>
        <w:rPr>
          <w:spacing w:val="-2"/>
        </w:rPr>
        <w:t> </w:t>
      </w:r>
      <w:r>
        <w:rPr/>
        <w:t>de</w:t>
      </w:r>
      <w:r>
        <w:rPr>
          <w:spacing w:val="-5"/>
        </w:rPr>
        <w:t> </w:t>
      </w:r>
      <w:r>
        <w:rPr/>
        <w:t>computación</w:t>
      </w:r>
      <w:r>
        <w:rPr>
          <w:spacing w:val="-2"/>
        </w:rPr>
        <w:t> </w:t>
      </w:r>
      <w:r>
        <w:rPr/>
        <w:t>y</w:t>
      </w:r>
      <w:r>
        <w:rPr>
          <w:spacing w:val="-4"/>
        </w:rPr>
        <w:t> </w:t>
      </w:r>
      <w:r>
        <w:rPr/>
        <w:t>maquinaria</w:t>
      </w:r>
      <w:r>
        <w:rPr>
          <w:spacing w:val="-4"/>
        </w:rPr>
        <w:t> </w:t>
      </w:r>
      <w:r>
        <w:rPr/>
        <w:t>y</w:t>
      </w:r>
      <w:r>
        <w:rPr>
          <w:spacing w:val="-4"/>
        </w:rPr>
        <w:t> </w:t>
      </w:r>
      <w:r>
        <w:rPr/>
        <w:t>equipo</w:t>
      </w:r>
      <w:r>
        <w:rPr>
          <w:spacing w:val="-5"/>
        </w:rPr>
        <w:t> </w:t>
      </w:r>
      <w:r>
        <w:rPr/>
        <w:t>diverso. </w:t>
      </w:r>
      <w:r>
        <w:rPr>
          <w:u w:val="single"/>
        </w:rPr>
        <w:t>Deterioro acumulado</w:t>
      </w:r>
    </w:p>
    <w:p>
      <w:pPr>
        <w:pStyle w:val="BodyText"/>
        <w:spacing w:line="405" w:lineRule="auto"/>
        <w:ind w:left="730" w:right="3682"/>
      </w:pPr>
      <w:r>
        <w:rPr/>
        <w:t>Se</w:t>
      </w:r>
      <w:r>
        <w:rPr>
          <w:spacing w:val="-4"/>
        </w:rPr>
        <w:t> </w:t>
      </w:r>
      <w:r>
        <w:rPr/>
        <w:t>reconoce</w:t>
      </w:r>
      <w:r>
        <w:rPr>
          <w:spacing w:val="-5"/>
        </w:rPr>
        <w:t> </w:t>
      </w:r>
      <w:r>
        <w:rPr/>
        <w:t>un</w:t>
      </w:r>
      <w:r>
        <w:rPr>
          <w:spacing w:val="-6"/>
        </w:rPr>
        <w:t> </w:t>
      </w:r>
      <w:r>
        <w:rPr/>
        <w:t>deterioro</w:t>
      </w:r>
      <w:r>
        <w:rPr>
          <w:spacing w:val="-3"/>
        </w:rPr>
        <w:t> </w:t>
      </w:r>
      <w:r>
        <w:rPr/>
        <w:t>acumulado</w:t>
      </w:r>
      <w:r>
        <w:rPr>
          <w:spacing w:val="-3"/>
        </w:rPr>
        <w:t> </w:t>
      </w:r>
      <w:r>
        <w:rPr/>
        <w:t>por</w:t>
      </w:r>
      <w:r>
        <w:rPr>
          <w:spacing w:val="-3"/>
        </w:rPr>
        <w:t> </w:t>
      </w:r>
      <w:r>
        <w:rPr/>
        <w:t>un</w:t>
      </w:r>
      <w:r>
        <w:rPr>
          <w:spacing w:val="-6"/>
        </w:rPr>
        <w:t> </w:t>
      </w:r>
      <w:r>
        <w:rPr/>
        <w:t>total</w:t>
      </w:r>
      <w:r>
        <w:rPr>
          <w:spacing w:val="-4"/>
        </w:rPr>
        <w:t> </w:t>
      </w:r>
      <w:r>
        <w:rPr/>
        <w:t>de:</w:t>
      </w:r>
      <w:r>
        <w:rPr>
          <w:spacing w:val="-3"/>
        </w:rPr>
        <w:t> </w:t>
      </w:r>
      <w:r>
        <w:rPr>
          <w:rFonts w:ascii="Times New Roman" w:hAnsi="Times New Roman"/>
        </w:rPr>
        <w:t>₡</w:t>
      </w:r>
      <w:r>
        <w:rPr/>
        <w:t>63</w:t>
      </w:r>
      <w:r>
        <w:rPr>
          <w:spacing w:val="-5"/>
        </w:rPr>
        <w:t> </w:t>
      </w:r>
      <w:r>
        <w:rPr/>
        <w:t>439,53 Distribuido en:</w:t>
      </w:r>
    </w:p>
    <w:p>
      <w:pPr>
        <w:pStyle w:val="BodyText"/>
        <w:spacing w:after="0" w:line="405"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3152">
                <wp:simplePos x="0" y="0"/>
                <wp:positionH relativeFrom="page">
                  <wp:posOffset>9525</wp:posOffset>
                </wp:positionH>
                <wp:positionV relativeFrom="page">
                  <wp:posOffset>297208</wp:posOffset>
                </wp:positionV>
                <wp:extent cx="7762875" cy="9748520"/>
                <wp:effectExtent l="0" t="0" r="0" b="0"/>
                <wp:wrapNone/>
                <wp:docPr id="913" name="Group 913"/>
                <wp:cNvGraphicFramePr>
                  <a:graphicFrameLocks/>
                </wp:cNvGraphicFramePr>
                <a:graphic>
                  <a:graphicData uri="http://schemas.microsoft.com/office/word/2010/wordprocessingGroup">
                    <wpg:wgp>
                      <wpg:cNvPr id="913" name="Group 913"/>
                      <wpg:cNvGrpSpPr/>
                      <wpg:grpSpPr>
                        <a:xfrm>
                          <a:off x="0" y="0"/>
                          <a:ext cx="7762875" cy="9748520"/>
                          <a:chExt cx="7762875" cy="9748520"/>
                        </a:xfrm>
                      </wpg:grpSpPr>
                      <pic:pic>
                        <pic:nvPicPr>
                          <pic:cNvPr id="914" name="Image 914"/>
                          <pic:cNvPicPr/>
                        </pic:nvPicPr>
                        <pic:blipFill>
                          <a:blip r:embed="rId5" cstate="print"/>
                          <a:stretch>
                            <a:fillRect/>
                          </a:stretch>
                        </pic:blipFill>
                        <pic:spPr>
                          <a:xfrm>
                            <a:off x="0" y="0"/>
                            <a:ext cx="7762874" cy="9748489"/>
                          </a:xfrm>
                          <a:prstGeom prst="rect">
                            <a:avLst/>
                          </a:prstGeom>
                        </pic:spPr>
                      </pic:pic>
                      <wps:wsp>
                        <wps:cNvPr id="915" name="Graphic 915"/>
                        <wps:cNvSpPr/>
                        <wps:spPr>
                          <a:xfrm>
                            <a:off x="1053007" y="990837"/>
                            <a:ext cx="5923915" cy="6502400"/>
                          </a:xfrm>
                          <a:custGeom>
                            <a:avLst/>
                            <a:gdLst/>
                            <a:ahLst/>
                            <a:cxnLst/>
                            <a:rect l="l" t="t" r="r" b="b"/>
                            <a:pathLst>
                              <a:path w="5923915" h="6502400">
                                <a:moveTo>
                                  <a:pt x="21336" y="132702"/>
                                </a:moveTo>
                                <a:lnTo>
                                  <a:pt x="15240" y="132702"/>
                                </a:lnTo>
                                <a:lnTo>
                                  <a:pt x="15240" y="6496291"/>
                                </a:lnTo>
                                <a:lnTo>
                                  <a:pt x="21336" y="6496291"/>
                                </a:lnTo>
                                <a:lnTo>
                                  <a:pt x="21336" y="132702"/>
                                </a:lnTo>
                                <a:close/>
                              </a:path>
                              <a:path w="5923915" h="6502400">
                                <a:moveTo>
                                  <a:pt x="92964" y="701154"/>
                                </a:moveTo>
                                <a:lnTo>
                                  <a:pt x="86868" y="701154"/>
                                </a:lnTo>
                                <a:lnTo>
                                  <a:pt x="86868" y="2187308"/>
                                </a:lnTo>
                                <a:lnTo>
                                  <a:pt x="92964" y="2187308"/>
                                </a:lnTo>
                                <a:lnTo>
                                  <a:pt x="92964" y="701154"/>
                                </a:lnTo>
                                <a:close/>
                              </a:path>
                              <a:path w="5923915" h="6502400">
                                <a:moveTo>
                                  <a:pt x="5649214" y="0"/>
                                </a:moveTo>
                                <a:lnTo>
                                  <a:pt x="0" y="0"/>
                                </a:lnTo>
                                <a:lnTo>
                                  <a:pt x="0" y="9131"/>
                                </a:lnTo>
                                <a:lnTo>
                                  <a:pt x="5649214" y="9131"/>
                                </a:lnTo>
                                <a:lnTo>
                                  <a:pt x="5649214" y="0"/>
                                </a:lnTo>
                                <a:close/>
                              </a:path>
                              <a:path w="5923915" h="6502400">
                                <a:moveTo>
                                  <a:pt x="5851842" y="2187321"/>
                                </a:moveTo>
                                <a:lnTo>
                                  <a:pt x="5845810" y="2187321"/>
                                </a:lnTo>
                                <a:lnTo>
                                  <a:pt x="92964" y="2187321"/>
                                </a:lnTo>
                                <a:lnTo>
                                  <a:pt x="86868" y="2187321"/>
                                </a:lnTo>
                                <a:lnTo>
                                  <a:pt x="86868" y="2193404"/>
                                </a:lnTo>
                                <a:lnTo>
                                  <a:pt x="92964" y="2193404"/>
                                </a:lnTo>
                                <a:lnTo>
                                  <a:pt x="5845759" y="2193404"/>
                                </a:lnTo>
                                <a:lnTo>
                                  <a:pt x="5851842" y="2193404"/>
                                </a:lnTo>
                                <a:lnTo>
                                  <a:pt x="5851842" y="2187321"/>
                                </a:lnTo>
                                <a:close/>
                              </a:path>
                              <a:path w="5923915" h="6502400">
                                <a:moveTo>
                                  <a:pt x="5851842" y="701154"/>
                                </a:moveTo>
                                <a:lnTo>
                                  <a:pt x="5845759" y="701154"/>
                                </a:lnTo>
                                <a:lnTo>
                                  <a:pt x="5845759" y="2187308"/>
                                </a:lnTo>
                                <a:lnTo>
                                  <a:pt x="5851842" y="2187308"/>
                                </a:lnTo>
                                <a:lnTo>
                                  <a:pt x="5851842" y="701154"/>
                                </a:lnTo>
                                <a:close/>
                              </a:path>
                              <a:path w="5923915" h="6502400">
                                <a:moveTo>
                                  <a:pt x="5851842" y="694931"/>
                                </a:moveTo>
                                <a:lnTo>
                                  <a:pt x="5845810" y="694931"/>
                                </a:lnTo>
                                <a:lnTo>
                                  <a:pt x="92964" y="694931"/>
                                </a:lnTo>
                                <a:lnTo>
                                  <a:pt x="86868" y="694931"/>
                                </a:lnTo>
                                <a:lnTo>
                                  <a:pt x="86868" y="701027"/>
                                </a:lnTo>
                                <a:lnTo>
                                  <a:pt x="92964" y="701027"/>
                                </a:lnTo>
                                <a:lnTo>
                                  <a:pt x="5845759" y="701027"/>
                                </a:lnTo>
                                <a:lnTo>
                                  <a:pt x="5851842" y="701027"/>
                                </a:lnTo>
                                <a:lnTo>
                                  <a:pt x="5851842" y="694931"/>
                                </a:lnTo>
                                <a:close/>
                              </a:path>
                              <a:path w="5923915" h="6502400">
                                <a:moveTo>
                                  <a:pt x="5923483" y="6496304"/>
                                </a:moveTo>
                                <a:lnTo>
                                  <a:pt x="5917438" y="6496304"/>
                                </a:lnTo>
                                <a:lnTo>
                                  <a:pt x="21336" y="6496304"/>
                                </a:lnTo>
                                <a:lnTo>
                                  <a:pt x="15240" y="6496304"/>
                                </a:lnTo>
                                <a:lnTo>
                                  <a:pt x="15240" y="6502387"/>
                                </a:lnTo>
                                <a:lnTo>
                                  <a:pt x="21336" y="6502387"/>
                                </a:lnTo>
                                <a:lnTo>
                                  <a:pt x="5917387" y="6502387"/>
                                </a:lnTo>
                                <a:lnTo>
                                  <a:pt x="5923483" y="6502387"/>
                                </a:lnTo>
                                <a:lnTo>
                                  <a:pt x="5923483" y="6496304"/>
                                </a:lnTo>
                                <a:close/>
                              </a:path>
                              <a:path w="5923915" h="6502400">
                                <a:moveTo>
                                  <a:pt x="5923483" y="132702"/>
                                </a:moveTo>
                                <a:lnTo>
                                  <a:pt x="5917387" y="132702"/>
                                </a:lnTo>
                                <a:lnTo>
                                  <a:pt x="5917387" y="6496291"/>
                                </a:lnTo>
                                <a:lnTo>
                                  <a:pt x="5923483" y="6496291"/>
                                </a:lnTo>
                                <a:lnTo>
                                  <a:pt x="5923483" y="132702"/>
                                </a:lnTo>
                                <a:close/>
                              </a:path>
                              <a:path w="5923915" h="6502400">
                                <a:moveTo>
                                  <a:pt x="5923483" y="126479"/>
                                </a:moveTo>
                                <a:lnTo>
                                  <a:pt x="5917438" y="126479"/>
                                </a:lnTo>
                                <a:lnTo>
                                  <a:pt x="21336" y="126479"/>
                                </a:lnTo>
                                <a:lnTo>
                                  <a:pt x="15240" y="126479"/>
                                </a:lnTo>
                                <a:lnTo>
                                  <a:pt x="15240" y="132575"/>
                                </a:lnTo>
                                <a:lnTo>
                                  <a:pt x="21336" y="132575"/>
                                </a:lnTo>
                                <a:lnTo>
                                  <a:pt x="5917387" y="132575"/>
                                </a:lnTo>
                                <a:lnTo>
                                  <a:pt x="5923483" y="132575"/>
                                </a:lnTo>
                                <a:lnTo>
                                  <a:pt x="5923483"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3328" id="docshapegroup888" coordorigin="15,468" coordsize="12225,15352">
                <v:shape style="position:absolute;left:15;top:468;width:12225;height:15352" type="#_x0000_t75" id="docshape889" stroked="false">
                  <v:imagedata r:id="rId5" o:title=""/>
                </v:shape>
                <v:shape style="position:absolute;left:1673;top:2028;width:9329;height:10240" id="docshape890" coordorigin="1673,2028" coordsize="9329,10240" path="m1707,2237l1697,2237,1697,12259,1707,12259,1707,2237xm1820,3133l1810,3133,1810,5473,1820,5473,1820,3133xm10570,2028l1673,2028,1673,2043,10570,2043,10570,2028xm10889,5473l10879,5473,10879,5473,1820,5473,1810,5473,1810,5483,1820,5483,10879,5483,10879,5483,10889,5483,10889,5473xm10889,3133l10879,3133,10879,5473,10889,5473,10889,3133xm10889,3123l10879,3123,10879,3123,1820,3123,1810,3123,1810,3132,1820,3132,10879,3132,10879,3132,10889,3132,10889,3123xm11002,12259l10992,12259,10992,12259,1707,12259,1697,12259,1697,12268,1707,12268,10992,12268,10992,12268,11002,12268,11002,12259xm11002,2237l10992,2237,10992,12259,11002,12259,11002,2237xm11002,2228l10992,2228,10992,2228,1707,2228,1697,2228,1697,2237,1707,2237,10992,2237,10992,2237,11002,2237,11002,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184</w:t>
      </w:r>
    </w:p>
    <w:p>
      <w:pPr>
        <w:pStyle w:val="BodyText"/>
        <w:spacing w:before="228"/>
        <w:ind w:left="730"/>
      </w:pPr>
      <w:r>
        <w:rPr/>
        <w:t>Terrenos:</w:t>
      </w:r>
      <w:r>
        <w:rPr>
          <w:spacing w:val="-4"/>
        </w:rPr>
        <w:t> </w:t>
      </w:r>
      <w:r>
        <w:rPr>
          <w:rFonts w:ascii="Times New Roman" w:hAnsi="Times New Roman"/>
        </w:rPr>
        <w:t>₡</w:t>
      </w:r>
      <w:r>
        <w:rPr/>
        <w:t>32</w:t>
      </w:r>
      <w:r>
        <w:rPr>
          <w:spacing w:val="-3"/>
        </w:rPr>
        <w:t> </w:t>
      </w:r>
      <w:r>
        <w:rPr>
          <w:spacing w:val="-2"/>
        </w:rPr>
        <w:t>335,53</w:t>
      </w:r>
    </w:p>
    <w:p>
      <w:pPr>
        <w:pStyle w:val="BodyText"/>
        <w:spacing w:before="181"/>
        <w:ind w:left="730"/>
      </w:pPr>
      <w:r>
        <w:rPr/>
        <w:t>Edificios:</w:t>
      </w:r>
      <w:r>
        <w:rPr>
          <w:spacing w:val="-5"/>
        </w:rPr>
        <w:t> </w:t>
      </w:r>
      <w:r>
        <w:rPr>
          <w:rFonts w:ascii="Times New Roman" w:hAnsi="Times New Roman"/>
        </w:rPr>
        <w:t>₡</w:t>
      </w:r>
      <w:r>
        <w:rPr/>
        <w:t>31</w:t>
      </w:r>
      <w:r>
        <w:rPr>
          <w:spacing w:val="-4"/>
        </w:rPr>
        <w:t> </w:t>
      </w:r>
      <w:r>
        <w:rPr>
          <w:spacing w:val="-2"/>
        </w:rPr>
        <w:t>104,00</w:t>
      </w:r>
    </w:p>
    <w:p>
      <w:pPr>
        <w:pStyle w:val="BodyText"/>
        <w:spacing w:before="189"/>
        <w:ind w:left="842" w:right="546"/>
      </w:pPr>
      <w:r>
        <w:rPr/>
        <w:t>Las propiedades que presentan deterioro son las siguientes, durante el año 2026 el importe bruto en libros no ha variado.</w:t>
      </w:r>
    </w:p>
    <w:tbl>
      <w:tblPr>
        <w:tblW w:w="0" w:type="auto"/>
        <w:jc w:val="left"/>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5"/>
        <w:gridCol w:w="655"/>
        <w:gridCol w:w="672"/>
        <w:gridCol w:w="655"/>
        <w:gridCol w:w="655"/>
        <w:gridCol w:w="655"/>
        <w:gridCol w:w="975"/>
        <w:gridCol w:w="655"/>
        <w:gridCol w:w="753"/>
        <w:gridCol w:w="974"/>
        <w:gridCol w:w="793"/>
        <w:gridCol w:w="728"/>
      </w:tblGrid>
      <w:tr>
        <w:trPr>
          <w:trHeight w:val="645" w:hRule="atLeast"/>
        </w:trPr>
        <w:tc>
          <w:tcPr>
            <w:tcW w:w="655" w:type="dxa"/>
            <w:shd w:val="clear" w:color="auto" w:fill="D9D9D9"/>
          </w:tcPr>
          <w:p>
            <w:pPr>
              <w:pStyle w:val="TableParagraph"/>
              <w:spacing w:line="268" w:lineRule="auto" w:before="7"/>
              <w:ind w:left="240" w:hanging="205"/>
              <w:rPr>
                <w:rFonts w:ascii="Calibri"/>
                <w:b/>
                <w:sz w:val="12"/>
              </w:rPr>
            </w:pPr>
            <w:r>
              <w:rPr>
                <w:rFonts w:ascii="Calibri"/>
                <w:b/>
                <w:spacing w:val="-2"/>
                <w:sz w:val="12"/>
              </w:rPr>
              <w:t>Expediente</w:t>
            </w:r>
            <w:r>
              <w:rPr>
                <w:rFonts w:ascii="Calibri"/>
                <w:b/>
                <w:spacing w:val="40"/>
                <w:sz w:val="12"/>
              </w:rPr>
              <w:t> </w:t>
            </w:r>
            <w:r>
              <w:rPr>
                <w:rFonts w:ascii="Calibri"/>
                <w:b/>
                <w:spacing w:val="-4"/>
                <w:sz w:val="12"/>
              </w:rPr>
              <w:t>No.</w:t>
            </w:r>
          </w:p>
        </w:tc>
        <w:tc>
          <w:tcPr>
            <w:tcW w:w="655" w:type="dxa"/>
            <w:shd w:val="clear" w:color="auto" w:fill="D9D9D9"/>
          </w:tcPr>
          <w:p>
            <w:pPr>
              <w:pStyle w:val="TableParagraph"/>
              <w:spacing w:before="7"/>
              <w:ind w:right="24"/>
              <w:jc w:val="right"/>
              <w:rPr>
                <w:rFonts w:ascii="Calibri"/>
                <w:b/>
                <w:sz w:val="12"/>
              </w:rPr>
            </w:pPr>
            <w:r>
              <w:rPr>
                <w:rFonts w:ascii="Calibri"/>
                <w:b/>
                <w:sz w:val="12"/>
              </w:rPr>
              <w:t>Nuevo</w:t>
            </w:r>
            <w:r>
              <w:rPr>
                <w:rFonts w:ascii="Calibri"/>
                <w:b/>
                <w:spacing w:val="3"/>
                <w:sz w:val="12"/>
              </w:rPr>
              <w:t> </w:t>
            </w:r>
            <w:r>
              <w:rPr>
                <w:rFonts w:ascii="Calibri"/>
                <w:b/>
                <w:spacing w:val="-4"/>
                <w:sz w:val="12"/>
              </w:rPr>
              <w:t>#Act</w:t>
            </w:r>
          </w:p>
        </w:tc>
        <w:tc>
          <w:tcPr>
            <w:tcW w:w="672" w:type="dxa"/>
            <w:shd w:val="clear" w:color="auto" w:fill="D9D9D9"/>
          </w:tcPr>
          <w:p>
            <w:pPr>
              <w:pStyle w:val="TableParagraph"/>
              <w:spacing w:line="268" w:lineRule="auto" w:before="7"/>
              <w:ind w:left="52" w:right="46" w:firstLine="139"/>
              <w:rPr>
                <w:rFonts w:ascii="Calibri"/>
                <w:b/>
                <w:sz w:val="12"/>
              </w:rPr>
            </w:pPr>
            <w:r>
              <w:rPr>
                <w:rFonts w:ascii="Calibri"/>
                <w:b/>
                <w:spacing w:val="-2"/>
                <w:sz w:val="12"/>
              </w:rPr>
              <w:t>Costo</w:t>
            </w:r>
            <w:r>
              <w:rPr>
                <w:rFonts w:ascii="Calibri"/>
                <w:b/>
                <w:spacing w:val="40"/>
                <w:sz w:val="12"/>
              </w:rPr>
              <w:t> </w:t>
            </w:r>
            <w:r>
              <w:rPr>
                <w:rFonts w:ascii="Calibri"/>
                <w:b/>
                <w:sz w:val="12"/>
              </w:rPr>
              <w:t>historico</w:t>
            </w:r>
            <w:r>
              <w:rPr>
                <w:rFonts w:ascii="Calibri"/>
                <w:b/>
                <w:spacing w:val="-7"/>
                <w:sz w:val="12"/>
              </w:rPr>
              <w:t> </w:t>
            </w:r>
            <w:r>
              <w:rPr>
                <w:rFonts w:ascii="Calibri"/>
                <w:b/>
                <w:sz w:val="12"/>
              </w:rPr>
              <w:t>al</w:t>
            </w:r>
            <w:r>
              <w:rPr>
                <w:rFonts w:ascii="Calibri"/>
                <w:b/>
                <w:spacing w:val="40"/>
                <w:sz w:val="12"/>
              </w:rPr>
              <w:t> </w:t>
            </w:r>
            <w:r>
              <w:rPr>
                <w:rFonts w:ascii="Calibri"/>
                <w:b/>
                <w:sz w:val="12"/>
              </w:rPr>
              <w:t>31</w:t>
            </w:r>
            <w:r>
              <w:rPr>
                <w:rFonts w:ascii="Calibri"/>
                <w:b/>
                <w:spacing w:val="-8"/>
                <w:sz w:val="12"/>
              </w:rPr>
              <w:t> </w:t>
            </w:r>
            <w:r>
              <w:rPr>
                <w:rFonts w:ascii="Calibri"/>
                <w:b/>
                <w:sz w:val="12"/>
              </w:rPr>
              <w:t>dic</w:t>
            </w:r>
            <w:r>
              <w:rPr>
                <w:rFonts w:ascii="Calibri"/>
                <w:b/>
                <w:spacing w:val="-6"/>
                <w:sz w:val="12"/>
              </w:rPr>
              <w:t> </w:t>
            </w:r>
            <w:r>
              <w:rPr>
                <w:rFonts w:ascii="Calibri"/>
                <w:b/>
                <w:spacing w:val="-4"/>
                <w:sz w:val="12"/>
              </w:rPr>
              <w:t>2017</w:t>
            </w:r>
          </w:p>
        </w:tc>
        <w:tc>
          <w:tcPr>
            <w:tcW w:w="655" w:type="dxa"/>
            <w:shd w:val="clear" w:color="auto" w:fill="D9D9D9"/>
          </w:tcPr>
          <w:p>
            <w:pPr>
              <w:pStyle w:val="TableParagraph"/>
              <w:spacing w:before="7"/>
              <w:ind w:left="191"/>
              <w:rPr>
                <w:rFonts w:ascii="Calibri"/>
                <w:b/>
                <w:sz w:val="12"/>
              </w:rPr>
            </w:pPr>
            <w:r>
              <w:rPr>
                <w:rFonts w:ascii="Calibri"/>
                <w:b/>
                <w:spacing w:val="-2"/>
                <w:sz w:val="12"/>
              </w:rPr>
              <w:t>Finca</w:t>
            </w:r>
          </w:p>
        </w:tc>
        <w:tc>
          <w:tcPr>
            <w:tcW w:w="655" w:type="dxa"/>
            <w:shd w:val="clear" w:color="auto" w:fill="D9D9D9"/>
          </w:tcPr>
          <w:p>
            <w:pPr>
              <w:pStyle w:val="TableParagraph"/>
              <w:spacing w:before="7"/>
              <w:ind w:left="142"/>
              <w:rPr>
                <w:rFonts w:ascii="Calibri"/>
                <w:b/>
                <w:sz w:val="12"/>
              </w:rPr>
            </w:pPr>
            <w:r>
              <w:rPr>
                <w:rFonts w:ascii="Calibri"/>
                <w:b/>
                <w:spacing w:val="-2"/>
                <w:sz w:val="12"/>
              </w:rPr>
              <w:t>distrito</w:t>
            </w:r>
          </w:p>
        </w:tc>
        <w:tc>
          <w:tcPr>
            <w:tcW w:w="655" w:type="dxa"/>
            <w:shd w:val="clear" w:color="auto" w:fill="D9D9D9"/>
          </w:tcPr>
          <w:p>
            <w:pPr>
              <w:pStyle w:val="TableParagraph"/>
              <w:spacing w:before="7"/>
              <w:ind w:left="36"/>
              <w:rPr>
                <w:rFonts w:ascii="Calibri"/>
                <w:b/>
                <w:sz w:val="12"/>
              </w:rPr>
            </w:pPr>
            <w:r>
              <w:rPr>
                <w:rFonts w:ascii="Calibri"/>
                <w:b/>
                <w:spacing w:val="-2"/>
                <w:sz w:val="12"/>
              </w:rPr>
              <w:t>codigo_zon</w:t>
            </w:r>
          </w:p>
        </w:tc>
        <w:tc>
          <w:tcPr>
            <w:tcW w:w="975" w:type="dxa"/>
            <w:shd w:val="clear" w:color="auto" w:fill="D9D9D9"/>
          </w:tcPr>
          <w:p>
            <w:pPr>
              <w:pStyle w:val="TableParagraph"/>
              <w:spacing w:before="7"/>
              <w:ind w:left="151"/>
              <w:rPr>
                <w:rFonts w:ascii="Calibri"/>
                <w:b/>
                <w:sz w:val="12"/>
              </w:rPr>
            </w:pPr>
            <w:r>
              <w:rPr>
                <w:rFonts w:ascii="Calibri"/>
                <w:b/>
                <w:spacing w:val="-2"/>
                <w:sz w:val="12"/>
              </w:rPr>
              <w:t>valor_urbano</w:t>
            </w:r>
          </w:p>
        </w:tc>
        <w:tc>
          <w:tcPr>
            <w:tcW w:w="655" w:type="dxa"/>
            <w:shd w:val="clear" w:color="auto" w:fill="D9D9D9"/>
          </w:tcPr>
          <w:p>
            <w:pPr>
              <w:pStyle w:val="TableParagraph"/>
              <w:spacing w:before="7"/>
              <w:ind w:right="43"/>
              <w:jc w:val="right"/>
              <w:rPr>
                <w:rFonts w:ascii="Calibri"/>
                <w:b/>
                <w:sz w:val="12"/>
              </w:rPr>
            </w:pPr>
            <w:r>
              <w:rPr>
                <w:rFonts w:ascii="Calibri"/>
                <w:b/>
                <w:spacing w:val="-2"/>
                <w:sz w:val="12"/>
              </w:rPr>
              <w:t>valor_rural</w:t>
            </w:r>
          </w:p>
        </w:tc>
        <w:tc>
          <w:tcPr>
            <w:tcW w:w="753" w:type="dxa"/>
            <w:shd w:val="clear" w:color="auto" w:fill="D9D9D9"/>
          </w:tcPr>
          <w:p>
            <w:pPr>
              <w:pStyle w:val="TableParagraph"/>
              <w:spacing w:line="268" w:lineRule="auto" w:before="7"/>
              <w:ind w:left="1"/>
              <w:jc w:val="center"/>
              <w:rPr>
                <w:rFonts w:ascii="Calibri"/>
                <w:b/>
                <w:sz w:val="12"/>
              </w:rPr>
            </w:pPr>
            <w:r>
              <w:rPr>
                <w:rFonts w:ascii="Calibri"/>
                <w:b/>
                <w:sz w:val="12"/>
              </w:rPr>
              <w:t>Area</w:t>
            </w:r>
            <w:r>
              <w:rPr>
                <w:rFonts w:ascii="Calibri"/>
                <w:b/>
                <w:spacing w:val="-7"/>
                <w:sz w:val="12"/>
              </w:rPr>
              <w:t> </w:t>
            </w:r>
            <w:r>
              <w:rPr>
                <w:rFonts w:ascii="Calibri"/>
                <w:b/>
                <w:sz w:val="12"/>
              </w:rPr>
              <w:t>Registral</w:t>
            </w:r>
            <w:r>
              <w:rPr>
                <w:rFonts w:ascii="Calibri"/>
                <w:b/>
                <w:spacing w:val="40"/>
                <w:sz w:val="12"/>
              </w:rPr>
              <w:t> </w:t>
            </w:r>
            <w:r>
              <w:rPr>
                <w:rFonts w:ascii="Calibri"/>
                <w:b/>
                <w:spacing w:val="-2"/>
                <w:sz w:val="12"/>
              </w:rPr>
              <w:t>(metros</w:t>
            </w:r>
            <w:r>
              <w:rPr>
                <w:rFonts w:ascii="Calibri"/>
                <w:b/>
                <w:spacing w:val="40"/>
                <w:sz w:val="12"/>
              </w:rPr>
              <w:t> </w:t>
            </w:r>
            <w:r>
              <w:rPr>
                <w:rFonts w:ascii="Calibri"/>
                <w:b/>
                <w:spacing w:val="-2"/>
                <w:sz w:val="12"/>
              </w:rPr>
              <w:t>cuadrados)</w:t>
            </w:r>
          </w:p>
        </w:tc>
        <w:tc>
          <w:tcPr>
            <w:tcW w:w="974" w:type="dxa"/>
            <w:shd w:val="clear" w:color="auto" w:fill="D9D9D9"/>
          </w:tcPr>
          <w:p>
            <w:pPr>
              <w:pStyle w:val="TableParagraph"/>
              <w:spacing w:before="116"/>
              <w:rPr>
                <w:sz w:val="12"/>
              </w:rPr>
            </w:pPr>
          </w:p>
          <w:p>
            <w:pPr>
              <w:pStyle w:val="TableParagraph"/>
              <w:spacing w:before="1"/>
              <w:ind w:right="23"/>
              <w:jc w:val="right"/>
              <w:rPr>
                <w:rFonts w:ascii="Calibri"/>
                <w:b/>
                <w:sz w:val="12"/>
              </w:rPr>
            </w:pPr>
            <w:r>
              <w:rPr>
                <w:rFonts w:ascii="Calibri"/>
                <w:b/>
                <w:spacing w:val="-2"/>
                <w:sz w:val="12"/>
              </w:rPr>
              <w:t>VALOR</w:t>
            </w:r>
            <w:r>
              <w:rPr>
                <w:rFonts w:ascii="Calibri"/>
                <w:b/>
                <w:spacing w:val="1"/>
                <w:sz w:val="12"/>
              </w:rPr>
              <w:t> </w:t>
            </w:r>
            <w:r>
              <w:rPr>
                <w:rFonts w:ascii="Calibri"/>
                <w:b/>
                <w:spacing w:val="-2"/>
                <w:sz w:val="12"/>
              </w:rPr>
              <w:t>ESTIMADO</w:t>
            </w:r>
          </w:p>
        </w:tc>
        <w:tc>
          <w:tcPr>
            <w:tcW w:w="793" w:type="dxa"/>
            <w:shd w:val="clear" w:color="auto" w:fill="D9D9D9"/>
          </w:tcPr>
          <w:p>
            <w:pPr>
              <w:pStyle w:val="TableParagraph"/>
              <w:spacing w:line="268" w:lineRule="auto" w:before="7"/>
              <w:ind w:left="267" w:hanging="213"/>
              <w:rPr>
                <w:rFonts w:ascii="Calibri"/>
                <w:b/>
                <w:sz w:val="12"/>
              </w:rPr>
            </w:pPr>
            <w:r>
              <w:rPr>
                <w:rFonts w:ascii="Calibri"/>
                <w:b/>
                <w:sz w:val="12"/>
              </w:rPr>
              <w:t>Deterioro</w:t>
            </w:r>
            <w:r>
              <w:rPr>
                <w:rFonts w:ascii="Calibri"/>
                <w:b/>
                <w:spacing w:val="-7"/>
                <w:sz w:val="12"/>
              </w:rPr>
              <w:t> </w:t>
            </w:r>
            <w:r>
              <w:rPr>
                <w:rFonts w:ascii="Calibri"/>
                <w:b/>
                <w:sz w:val="12"/>
              </w:rPr>
              <w:t>del</w:t>
            </w:r>
            <w:r>
              <w:rPr>
                <w:rFonts w:ascii="Calibri"/>
                <w:b/>
                <w:spacing w:val="40"/>
                <w:sz w:val="12"/>
              </w:rPr>
              <w:t> </w:t>
            </w:r>
            <w:r>
              <w:rPr>
                <w:rFonts w:ascii="Calibri"/>
                <w:b/>
                <w:spacing w:val="-2"/>
                <w:sz w:val="12"/>
              </w:rPr>
              <w:t>valor</w:t>
            </w:r>
          </w:p>
        </w:tc>
        <w:tc>
          <w:tcPr>
            <w:tcW w:w="728" w:type="dxa"/>
            <w:shd w:val="clear" w:color="auto" w:fill="D9D9D9"/>
          </w:tcPr>
          <w:p>
            <w:pPr>
              <w:pStyle w:val="TableParagraph"/>
              <w:spacing w:line="268" w:lineRule="auto" w:before="7"/>
              <w:ind w:left="228" w:right="132" w:hanging="74"/>
              <w:rPr>
                <w:rFonts w:ascii="Calibri"/>
                <w:b/>
                <w:sz w:val="12"/>
              </w:rPr>
            </w:pPr>
            <w:r>
              <w:rPr>
                <w:rFonts w:ascii="Calibri"/>
                <w:b/>
                <w:sz w:val="12"/>
              </w:rPr>
              <w:t>Valor</w:t>
            </w:r>
            <w:r>
              <w:rPr>
                <w:rFonts w:ascii="Calibri"/>
                <w:b/>
                <w:spacing w:val="-7"/>
                <w:sz w:val="12"/>
              </w:rPr>
              <w:t> </w:t>
            </w:r>
            <w:r>
              <w:rPr>
                <w:rFonts w:ascii="Calibri"/>
                <w:b/>
                <w:sz w:val="12"/>
              </w:rPr>
              <w:t>en</w:t>
            </w:r>
            <w:r>
              <w:rPr>
                <w:rFonts w:ascii="Calibri"/>
                <w:b/>
                <w:spacing w:val="40"/>
                <w:sz w:val="12"/>
              </w:rPr>
              <w:t> </w:t>
            </w:r>
            <w:r>
              <w:rPr>
                <w:rFonts w:ascii="Calibri"/>
                <w:b/>
                <w:spacing w:val="-2"/>
                <w:sz w:val="12"/>
              </w:rPr>
              <w:t>libros</w:t>
            </w:r>
          </w:p>
        </w:tc>
      </w:tr>
      <w:tr>
        <w:trPr>
          <w:trHeight w:val="153" w:hRule="atLeast"/>
        </w:trPr>
        <w:tc>
          <w:tcPr>
            <w:tcW w:w="655" w:type="dxa"/>
          </w:tcPr>
          <w:p>
            <w:pPr>
              <w:pStyle w:val="TableParagraph"/>
              <w:spacing w:line="96" w:lineRule="exact" w:before="37"/>
              <w:ind w:left="34"/>
              <w:jc w:val="center"/>
              <w:rPr>
                <w:rFonts w:ascii="Arial"/>
                <w:sz w:val="9"/>
              </w:rPr>
            </w:pPr>
            <w:r>
              <w:rPr>
                <w:rFonts w:ascii="Arial"/>
                <w:sz w:val="9"/>
              </w:rPr>
              <w:t>7-</w:t>
            </w:r>
            <w:r>
              <w:rPr>
                <w:rFonts w:ascii="Arial"/>
                <w:spacing w:val="-5"/>
                <w:sz w:val="9"/>
              </w:rPr>
              <w:t>65</w:t>
            </w:r>
          </w:p>
        </w:tc>
        <w:tc>
          <w:tcPr>
            <w:tcW w:w="655" w:type="dxa"/>
          </w:tcPr>
          <w:p>
            <w:pPr>
              <w:pStyle w:val="TableParagraph"/>
              <w:spacing w:line="96" w:lineRule="exact" w:before="37"/>
              <w:ind w:left="159"/>
              <w:rPr>
                <w:rFonts w:ascii="Arial"/>
                <w:sz w:val="9"/>
              </w:rPr>
            </w:pPr>
            <w:r>
              <w:rPr>
                <w:rFonts w:ascii="Arial"/>
                <w:spacing w:val="-2"/>
                <w:sz w:val="9"/>
              </w:rPr>
              <w:t>2000235</w:t>
            </w:r>
          </w:p>
        </w:tc>
        <w:tc>
          <w:tcPr>
            <w:tcW w:w="672" w:type="dxa"/>
          </w:tcPr>
          <w:p>
            <w:pPr>
              <w:pStyle w:val="TableParagraph"/>
              <w:spacing w:line="96" w:lineRule="exact" w:before="37"/>
              <w:ind w:left="124"/>
              <w:jc w:val="center"/>
              <w:rPr>
                <w:rFonts w:ascii="Arial"/>
                <w:sz w:val="9"/>
              </w:rPr>
            </w:pPr>
            <w:r>
              <w:rPr>
                <w:rFonts w:ascii="Arial"/>
                <w:sz w:val="9"/>
              </w:rPr>
              <w:t>1</w:t>
            </w:r>
            <w:r>
              <w:rPr>
                <w:rFonts w:ascii="Arial"/>
                <w:spacing w:val="-6"/>
                <w:sz w:val="9"/>
              </w:rPr>
              <w:t> </w:t>
            </w:r>
            <w:r>
              <w:rPr>
                <w:rFonts w:ascii="Arial"/>
                <w:sz w:val="9"/>
              </w:rPr>
              <w:t>310</w:t>
            </w:r>
            <w:r>
              <w:rPr>
                <w:rFonts w:ascii="Arial"/>
                <w:spacing w:val="-4"/>
                <w:sz w:val="9"/>
              </w:rPr>
              <w:t> </w:t>
            </w:r>
            <w:r>
              <w:rPr>
                <w:rFonts w:ascii="Arial"/>
                <w:spacing w:val="-2"/>
                <w:sz w:val="9"/>
              </w:rPr>
              <w:t>000,00</w:t>
            </w:r>
          </w:p>
        </w:tc>
        <w:tc>
          <w:tcPr>
            <w:tcW w:w="655" w:type="dxa"/>
          </w:tcPr>
          <w:p>
            <w:pPr>
              <w:pStyle w:val="TableParagraph"/>
              <w:spacing w:line="96" w:lineRule="exact" w:before="37"/>
              <w:ind w:left="241"/>
              <w:rPr>
                <w:rFonts w:ascii="Arial"/>
                <w:sz w:val="9"/>
              </w:rPr>
            </w:pPr>
            <w:r>
              <w:rPr>
                <w:rFonts w:ascii="Arial"/>
                <w:sz w:val="9"/>
              </w:rPr>
              <w:t>96</w:t>
            </w:r>
            <w:r>
              <w:rPr>
                <w:rFonts w:ascii="Arial"/>
                <w:spacing w:val="-4"/>
                <w:sz w:val="9"/>
              </w:rPr>
              <w:t> </w:t>
            </w:r>
            <w:r>
              <w:rPr>
                <w:rFonts w:ascii="Arial"/>
                <w:spacing w:val="-2"/>
                <w:sz w:val="9"/>
              </w:rPr>
              <w:t>325,00</w:t>
            </w:r>
          </w:p>
        </w:tc>
        <w:tc>
          <w:tcPr>
            <w:tcW w:w="655" w:type="dxa"/>
          </w:tcPr>
          <w:p>
            <w:pPr>
              <w:pStyle w:val="TableParagraph"/>
              <w:spacing w:line="96" w:lineRule="exact" w:before="37"/>
              <w:ind w:right="7"/>
              <w:jc w:val="right"/>
              <w:rPr>
                <w:rFonts w:ascii="Arial"/>
                <w:sz w:val="9"/>
              </w:rPr>
            </w:pPr>
            <w:r>
              <w:rPr>
                <w:rFonts w:ascii="Arial"/>
                <w:sz w:val="9"/>
              </w:rPr>
              <w:t>70</w:t>
            </w:r>
            <w:r>
              <w:rPr>
                <w:rFonts w:ascii="Arial"/>
                <w:spacing w:val="-4"/>
                <w:sz w:val="9"/>
              </w:rPr>
              <w:t> </w:t>
            </w:r>
            <w:r>
              <w:rPr>
                <w:rFonts w:ascii="Arial"/>
                <w:spacing w:val="-2"/>
                <w:sz w:val="9"/>
              </w:rPr>
              <w:t>604,00</w:t>
            </w:r>
          </w:p>
        </w:tc>
        <w:tc>
          <w:tcPr>
            <w:tcW w:w="655" w:type="dxa"/>
          </w:tcPr>
          <w:p>
            <w:pPr>
              <w:pStyle w:val="TableParagraph"/>
              <w:spacing w:line="96" w:lineRule="exact" w:before="37"/>
              <w:ind w:left="20"/>
              <w:rPr>
                <w:rFonts w:ascii="Arial"/>
                <w:sz w:val="9"/>
              </w:rPr>
            </w:pPr>
            <w:r>
              <w:rPr>
                <w:rFonts w:ascii="Arial"/>
                <w:spacing w:val="-2"/>
                <w:sz w:val="9"/>
              </w:rPr>
              <w:t>R03/U03</w:t>
            </w:r>
          </w:p>
        </w:tc>
        <w:tc>
          <w:tcPr>
            <w:tcW w:w="975" w:type="dxa"/>
          </w:tcPr>
          <w:p>
            <w:pPr>
              <w:pStyle w:val="TableParagraph"/>
              <w:spacing w:line="96" w:lineRule="exact" w:before="37"/>
              <w:ind w:right="7"/>
              <w:jc w:val="right"/>
              <w:rPr>
                <w:rFonts w:ascii="Arial"/>
                <w:sz w:val="9"/>
              </w:rPr>
            </w:pPr>
            <w:r>
              <w:rPr>
                <w:rFonts w:ascii="Arial"/>
                <w:sz w:val="9"/>
              </w:rPr>
              <w:t>3</w:t>
            </w:r>
            <w:r>
              <w:rPr>
                <w:rFonts w:ascii="Arial"/>
                <w:spacing w:val="-4"/>
                <w:sz w:val="9"/>
              </w:rPr>
              <w:t> </w:t>
            </w:r>
            <w:r>
              <w:rPr>
                <w:rFonts w:ascii="Arial"/>
                <w:spacing w:val="-2"/>
                <w:sz w:val="9"/>
              </w:rPr>
              <w:t>600,00</w:t>
            </w:r>
          </w:p>
        </w:tc>
        <w:tc>
          <w:tcPr>
            <w:tcW w:w="655" w:type="dxa"/>
          </w:tcPr>
          <w:p>
            <w:pPr>
              <w:pStyle w:val="TableParagraph"/>
              <w:spacing w:line="96" w:lineRule="exact" w:before="37"/>
              <w:ind w:right="7"/>
              <w:jc w:val="right"/>
              <w:rPr>
                <w:rFonts w:ascii="Arial"/>
                <w:sz w:val="9"/>
              </w:rPr>
            </w:pPr>
            <w:r>
              <w:rPr>
                <w:rFonts w:ascii="Arial"/>
                <w:sz w:val="9"/>
              </w:rPr>
              <w:t>1</w:t>
            </w:r>
            <w:r>
              <w:rPr>
                <w:rFonts w:ascii="Arial"/>
                <w:spacing w:val="-4"/>
                <w:sz w:val="9"/>
              </w:rPr>
              <w:t> </w:t>
            </w:r>
            <w:r>
              <w:rPr>
                <w:rFonts w:ascii="Arial"/>
                <w:spacing w:val="-2"/>
                <w:sz w:val="9"/>
              </w:rPr>
              <w:t>600,00</w:t>
            </w:r>
          </w:p>
        </w:tc>
        <w:tc>
          <w:tcPr>
            <w:tcW w:w="753" w:type="dxa"/>
          </w:tcPr>
          <w:p>
            <w:pPr>
              <w:pStyle w:val="TableParagraph"/>
              <w:spacing w:line="96" w:lineRule="exact" w:before="37"/>
              <w:ind w:right="7"/>
              <w:jc w:val="right"/>
              <w:rPr>
                <w:rFonts w:ascii="Arial"/>
                <w:sz w:val="9"/>
              </w:rPr>
            </w:pPr>
            <w:r>
              <w:rPr>
                <w:rFonts w:ascii="Arial"/>
                <w:spacing w:val="-2"/>
                <w:sz w:val="9"/>
              </w:rPr>
              <w:t>180,63</w:t>
            </w:r>
          </w:p>
        </w:tc>
        <w:tc>
          <w:tcPr>
            <w:tcW w:w="974" w:type="dxa"/>
          </w:tcPr>
          <w:p>
            <w:pPr>
              <w:pStyle w:val="TableParagraph"/>
              <w:spacing w:line="96" w:lineRule="exact" w:before="37"/>
              <w:ind w:right="6"/>
              <w:jc w:val="right"/>
              <w:rPr>
                <w:rFonts w:ascii="Arial"/>
                <w:sz w:val="9"/>
              </w:rPr>
            </w:pPr>
            <w:r>
              <w:rPr>
                <w:rFonts w:ascii="Arial"/>
                <w:sz w:val="9"/>
              </w:rPr>
              <w:t>650</w:t>
            </w:r>
            <w:r>
              <w:rPr>
                <w:rFonts w:ascii="Arial"/>
                <w:spacing w:val="-8"/>
                <w:sz w:val="9"/>
              </w:rPr>
              <w:t> </w:t>
            </w:r>
            <w:r>
              <w:rPr>
                <w:rFonts w:ascii="Arial"/>
                <w:spacing w:val="-2"/>
                <w:sz w:val="9"/>
              </w:rPr>
              <w:t>268,00</w:t>
            </w:r>
          </w:p>
        </w:tc>
        <w:tc>
          <w:tcPr>
            <w:tcW w:w="793" w:type="dxa"/>
          </w:tcPr>
          <w:p>
            <w:pPr>
              <w:pStyle w:val="TableParagraph"/>
              <w:spacing w:line="96" w:lineRule="exact" w:before="37"/>
              <w:ind w:right="4"/>
              <w:jc w:val="right"/>
              <w:rPr>
                <w:rFonts w:ascii="Arial"/>
                <w:sz w:val="9"/>
              </w:rPr>
            </w:pPr>
            <w:r>
              <w:rPr>
                <w:rFonts w:ascii="Arial"/>
                <w:sz w:val="9"/>
              </w:rPr>
              <w:t>659</w:t>
            </w:r>
            <w:r>
              <w:rPr>
                <w:rFonts w:ascii="Arial"/>
                <w:spacing w:val="-8"/>
                <w:sz w:val="9"/>
              </w:rPr>
              <w:t> </w:t>
            </w:r>
            <w:r>
              <w:rPr>
                <w:rFonts w:ascii="Arial"/>
                <w:spacing w:val="-2"/>
                <w:sz w:val="9"/>
              </w:rPr>
              <w:t>732,00</w:t>
            </w:r>
          </w:p>
        </w:tc>
        <w:tc>
          <w:tcPr>
            <w:tcW w:w="728" w:type="dxa"/>
          </w:tcPr>
          <w:p>
            <w:pPr>
              <w:pStyle w:val="TableParagraph"/>
              <w:spacing w:line="96" w:lineRule="exact" w:before="37"/>
              <w:ind w:right="4"/>
              <w:jc w:val="right"/>
              <w:rPr>
                <w:rFonts w:ascii="Arial"/>
                <w:sz w:val="9"/>
              </w:rPr>
            </w:pPr>
            <w:r>
              <w:rPr>
                <w:rFonts w:ascii="Arial"/>
                <w:sz w:val="9"/>
              </w:rPr>
              <w:t>650</w:t>
            </w:r>
            <w:r>
              <w:rPr>
                <w:rFonts w:ascii="Arial"/>
                <w:spacing w:val="-8"/>
                <w:sz w:val="9"/>
              </w:rPr>
              <w:t> </w:t>
            </w:r>
            <w:r>
              <w:rPr>
                <w:rFonts w:ascii="Arial"/>
                <w:spacing w:val="-2"/>
                <w:sz w:val="9"/>
              </w:rPr>
              <w:t>268,00</w:t>
            </w:r>
          </w:p>
        </w:tc>
      </w:tr>
      <w:tr>
        <w:trPr>
          <w:trHeight w:val="153" w:hRule="atLeast"/>
        </w:trPr>
        <w:tc>
          <w:tcPr>
            <w:tcW w:w="655" w:type="dxa"/>
          </w:tcPr>
          <w:p>
            <w:pPr>
              <w:pStyle w:val="TableParagraph"/>
              <w:spacing w:line="96" w:lineRule="exact" w:before="37"/>
              <w:ind w:left="34"/>
              <w:jc w:val="center"/>
              <w:rPr>
                <w:rFonts w:ascii="Arial"/>
                <w:sz w:val="9"/>
              </w:rPr>
            </w:pPr>
            <w:r>
              <w:rPr>
                <w:rFonts w:ascii="Arial"/>
                <w:sz w:val="9"/>
              </w:rPr>
              <w:t>7-</w:t>
            </w:r>
            <w:r>
              <w:rPr>
                <w:rFonts w:ascii="Arial"/>
                <w:spacing w:val="-5"/>
                <w:sz w:val="9"/>
              </w:rPr>
              <w:t>63</w:t>
            </w:r>
          </w:p>
        </w:tc>
        <w:tc>
          <w:tcPr>
            <w:tcW w:w="655" w:type="dxa"/>
          </w:tcPr>
          <w:p>
            <w:pPr>
              <w:pStyle w:val="TableParagraph"/>
              <w:spacing w:line="96" w:lineRule="exact" w:before="37"/>
              <w:ind w:left="159"/>
              <w:rPr>
                <w:rFonts w:ascii="Arial"/>
                <w:sz w:val="9"/>
              </w:rPr>
            </w:pPr>
            <w:r>
              <w:rPr>
                <w:rFonts w:ascii="Arial"/>
                <w:spacing w:val="-2"/>
                <w:sz w:val="9"/>
              </w:rPr>
              <w:t>2000299</w:t>
            </w:r>
          </w:p>
        </w:tc>
        <w:tc>
          <w:tcPr>
            <w:tcW w:w="672" w:type="dxa"/>
          </w:tcPr>
          <w:p>
            <w:pPr>
              <w:pStyle w:val="TableParagraph"/>
              <w:spacing w:line="96" w:lineRule="exact" w:before="37"/>
              <w:ind w:left="124"/>
              <w:jc w:val="center"/>
              <w:rPr>
                <w:rFonts w:ascii="Arial"/>
                <w:sz w:val="9"/>
              </w:rPr>
            </w:pPr>
            <w:r>
              <w:rPr>
                <w:rFonts w:ascii="Arial"/>
                <w:sz w:val="9"/>
              </w:rPr>
              <w:t>1</w:t>
            </w:r>
            <w:r>
              <w:rPr>
                <w:rFonts w:ascii="Arial"/>
                <w:spacing w:val="-6"/>
                <w:sz w:val="9"/>
              </w:rPr>
              <w:t> </w:t>
            </w:r>
            <w:r>
              <w:rPr>
                <w:rFonts w:ascii="Arial"/>
                <w:sz w:val="9"/>
              </w:rPr>
              <w:t>230</w:t>
            </w:r>
            <w:r>
              <w:rPr>
                <w:rFonts w:ascii="Arial"/>
                <w:spacing w:val="-4"/>
                <w:sz w:val="9"/>
              </w:rPr>
              <w:t> </w:t>
            </w:r>
            <w:r>
              <w:rPr>
                <w:rFonts w:ascii="Arial"/>
                <w:spacing w:val="-2"/>
                <w:sz w:val="9"/>
              </w:rPr>
              <w:t>000,00</w:t>
            </w:r>
          </w:p>
        </w:tc>
        <w:tc>
          <w:tcPr>
            <w:tcW w:w="655" w:type="dxa"/>
          </w:tcPr>
          <w:p>
            <w:pPr>
              <w:pStyle w:val="TableParagraph"/>
              <w:spacing w:line="96" w:lineRule="exact" w:before="37"/>
              <w:ind w:left="241"/>
              <w:rPr>
                <w:rFonts w:ascii="Arial"/>
                <w:sz w:val="9"/>
              </w:rPr>
            </w:pPr>
            <w:r>
              <w:rPr>
                <w:rFonts w:ascii="Arial"/>
                <w:sz w:val="9"/>
              </w:rPr>
              <w:t>96</w:t>
            </w:r>
            <w:r>
              <w:rPr>
                <w:rFonts w:ascii="Arial"/>
                <w:spacing w:val="-4"/>
                <w:sz w:val="9"/>
              </w:rPr>
              <w:t> </w:t>
            </w:r>
            <w:r>
              <w:rPr>
                <w:rFonts w:ascii="Arial"/>
                <w:spacing w:val="-2"/>
                <w:sz w:val="9"/>
              </w:rPr>
              <w:t>207,00</w:t>
            </w:r>
          </w:p>
        </w:tc>
        <w:tc>
          <w:tcPr>
            <w:tcW w:w="655" w:type="dxa"/>
          </w:tcPr>
          <w:p>
            <w:pPr>
              <w:pStyle w:val="TableParagraph"/>
              <w:spacing w:line="96" w:lineRule="exact" w:before="37"/>
              <w:ind w:right="7"/>
              <w:jc w:val="right"/>
              <w:rPr>
                <w:rFonts w:ascii="Arial"/>
                <w:sz w:val="9"/>
              </w:rPr>
            </w:pPr>
            <w:r>
              <w:rPr>
                <w:rFonts w:ascii="Arial"/>
                <w:sz w:val="9"/>
              </w:rPr>
              <w:t>70</w:t>
            </w:r>
            <w:r>
              <w:rPr>
                <w:rFonts w:ascii="Arial"/>
                <w:spacing w:val="-4"/>
                <w:sz w:val="9"/>
              </w:rPr>
              <w:t> </w:t>
            </w:r>
            <w:r>
              <w:rPr>
                <w:rFonts w:ascii="Arial"/>
                <w:spacing w:val="-2"/>
                <w:sz w:val="9"/>
              </w:rPr>
              <w:t>502,00</w:t>
            </w:r>
          </w:p>
        </w:tc>
        <w:tc>
          <w:tcPr>
            <w:tcW w:w="655" w:type="dxa"/>
          </w:tcPr>
          <w:p>
            <w:pPr>
              <w:pStyle w:val="TableParagraph"/>
              <w:spacing w:line="96" w:lineRule="exact" w:before="37"/>
              <w:ind w:left="20"/>
              <w:rPr>
                <w:rFonts w:ascii="Arial"/>
                <w:sz w:val="9"/>
              </w:rPr>
            </w:pPr>
            <w:r>
              <w:rPr>
                <w:rFonts w:ascii="Arial"/>
                <w:spacing w:val="-5"/>
                <w:sz w:val="9"/>
              </w:rPr>
              <w:t>U18</w:t>
            </w:r>
          </w:p>
        </w:tc>
        <w:tc>
          <w:tcPr>
            <w:tcW w:w="975" w:type="dxa"/>
          </w:tcPr>
          <w:p>
            <w:pPr>
              <w:pStyle w:val="TableParagraph"/>
              <w:spacing w:line="96" w:lineRule="exact" w:before="37"/>
              <w:ind w:right="7"/>
              <w:jc w:val="right"/>
              <w:rPr>
                <w:rFonts w:ascii="Arial"/>
                <w:sz w:val="9"/>
              </w:rPr>
            </w:pPr>
            <w:r>
              <w:rPr>
                <w:rFonts w:ascii="Arial"/>
                <w:sz w:val="9"/>
              </w:rPr>
              <w:t>5</w:t>
            </w:r>
            <w:r>
              <w:rPr>
                <w:rFonts w:ascii="Arial"/>
                <w:spacing w:val="-4"/>
                <w:sz w:val="9"/>
              </w:rPr>
              <w:t> </w:t>
            </w:r>
            <w:r>
              <w:rPr>
                <w:rFonts w:ascii="Arial"/>
                <w:spacing w:val="-2"/>
                <w:sz w:val="9"/>
              </w:rPr>
              <w:t>500,00</w:t>
            </w:r>
          </w:p>
        </w:tc>
        <w:tc>
          <w:tcPr>
            <w:tcW w:w="655" w:type="dxa"/>
          </w:tcPr>
          <w:p>
            <w:pPr>
              <w:pStyle w:val="TableParagraph"/>
              <w:spacing w:line="96" w:lineRule="exact" w:before="37"/>
              <w:ind w:right="7"/>
              <w:jc w:val="right"/>
              <w:rPr>
                <w:rFonts w:ascii="Arial"/>
                <w:sz w:val="9"/>
              </w:rPr>
            </w:pPr>
            <w:r>
              <w:rPr>
                <w:rFonts w:ascii="Arial"/>
                <w:spacing w:val="-4"/>
                <w:sz w:val="9"/>
              </w:rPr>
              <w:t>0,00</w:t>
            </w:r>
          </w:p>
        </w:tc>
        <w:tc>
          <w:tcPr>
            <w:tcW w:w="753" w:type="dxa"/>
          </w:tcPr>
          <w:p>
            <w:pPr>
              <w:pStyle w:val="TableParagraph"/>
              <w:spacing w:line="96" w:lineRule="exact" w:before="37"/>
              <w:ind w:right="7"/>
              <w:jc w:val="right"/>
              <w:rPr>
                <w:rFonts w:ascii="Arial"/>
                <w:sz w:val="9"/>
              </w:rPr>
            </w:pPr>
            <w:r>
              <w:rPr>
                <w:rFonts w:ascii="Arial"/>
                <w:spacing w:val="-2"/>
                <w:sz w:val="9"/>
              </w:rPr>
              <w:t>140,00</w:t>
            </w:r>
          </w:p>
        </w:tc>
        <w:tc>
          <w:tcPr>
            <w:tcW w:w="974" w:type="dxa"/>
          </w:tcPr>
          <w:p>
            <w:pPr>
              <w:pStyle w:val="TableParagraph"/>
              <w:spacing w:line="96" w:lineRule="exact" w:before="37"/>
              <w:ind w:right="6"/>
              <w:jc w:val="right"/>
              <w:rPr>
                <w:rFonts w:ascii="Arial"/>
                <w:sz w:val="9"/>
              </w:rPr>
            </w:pPr>
            <w:r>
              <w:rPr>
                <w:rFonts w:ascii="Arial"/>
                <w:sz w:val="9"/>
              </w:rPr>
              <w:t>770</w:t>
            </w:r>
            <w:r>
              <w:rPr>
                <w:rFonts w:ascii="Arial"/>
                <w:spacing w:val="-8"/>
                <w:sz w:val="9"/>
              </w:rPr>
              <w:t> </w:t>
            </w:r>
            <w:r>
              <w:rPr>
                <w:rFonts w:ascii="Arial"/>
                <w:spacing w:val="-2"/>
                <w:sz w:val="9"/>
              </w:rPr>
              <w:t>000,00</w:t>
            </w:r>
          </w:p>
        </w:tc>
        <w:tc>
          <w:tcPr>
            <w:tcW w:w="793" w:type="dxa"/>
          </w:tcPr>
          <w:p>
            <w:pPr>
              <w:pStyle w:val="TableParagraph"/>
              <w:spacing w:line="96" w:lineRule="exact" w:before="37"/>
              <w:ind w:right="4"/>
              <w:jc w:val="right"/>
              <w:rPr>
                <w:rFonts w:ascii="Arial"/>
                <w:sz w:val="9"/>
              </w:rPr>
            </w:pPr>
            <w:r>
              <w:rPr>
                <w:rFonts w:ascii="Arial"/>
                <w:sz w:val="9"/>
              </w:rPr>
              <w:t>460</w:t>
            </w:r>
            <w:r>
              <w:rPr>
                <w:rFonts w:ascii="Arial"/>
                <w:spacing w:val="-8"/>
                <w:sz w:val="9"/>
              </w:rPr>
              <w:t> </w:t>
            </w:r>
            <w:r>
              <w:rPr>
                <w:rFonts w:ascii="Arial"/>
                <w:spacing w:val="-2"/>
                <w:sz w:val="9"/>
              </w:rPr>
              <w:t>000,00</w:t>
            </w:r>
          </w:p>
        </w:tc>
        <w:tc>
          <w:tcPr>
            <w:tcW w:w="728" w:type="dxa"/>
          </w:tcPr>
          <w:p>
            <w:pPr>
              <w:pStyle w:val="TableParagraph"/>
              <w:spacing w:line="96" w:lineRule="exact" w:before="37"/>
              <w:ind w:right="4"/>
              <w:jc w:val="right"/>
              <w:rPr>
                <w:rFonts w:ascii="Arial"/>
                <w:sz w:val="9"/>
              </w:rPr>
            </w:pPr>
            <w:r>
              <w:rPr>
                <w:rFonts w:ascii="Arial"/>
                <w:sz w:val="9"/>
              </w:rPr>
              <w:t>770</w:t>
            </w:r>
            <w:r>
              <w:rPr>
                <w:rFonts w:ascii="Arial"/>
                <w:spacing w:val="-8"/>
                <w:sz w:val="9"/>
              </w:rPr>
              <w:t> </w:t>
            </w:r>
            <w:r>
              <w:rPr>
                <w:rFonts w:ascii="Arial"/>
                <w:spacing w:val="-2"/>
                <w:sz w:val="9"/>
              </w:rPr>
              <w:t>000,00</w:t>
            </w:r>
          </w:p>
        </w:tc>
      </w:tr>
      <w:tr>
        <w:trPr>
          <w:trHeight w:val="153" w:hRule="atLeast"/>
        </w:trPr>
        <w:tc>
          <w:tcPr>
            <w:tcW w:w="655" w:type="dxa"/>
            <w:tcBorders>
              <w:left w:val="single" w:sz="4" w:space="0" w:color="DFDFDF"/>
              <w:bottom w:val="single" w:sz="4" w:space="0" w:color="DFDFDF"/>
              <w:right w:val="single" w:sz="4" w:space="0" w:color="DFDFDF"/>
            </w:tcBorders>
          </w:tcPr>
          <w:p>
            <w:pPr>
              <w:pStyle w:val="TableParagraph"/>
              <w:spacing w:line="96" w:lineRule="exact" w:before="37"/>
              <w:ind w:left="34" w:right="17"/>
              <w:jc w:val="center"/>
              <w:rPr>
                <w:rFonts w:ascii="Arial"/>
                <w:sz w:val="9"/>
              </w:rPr>
            </w:pPr>
            <w:r>
              <w:rPr>
                <w:rFonts w:ascii="Arial"/>
                <w:sz w:val="9"/>
              </w:rPr>
              <w:t>1-</w:t>
            </w:r>
            <w:r>
              <w:rPr>
                <w:rFonts w:ascii="Arial"/>
                <w:spacing w:val="-5"/>
                <w:sz w:val="9"/>
              </w:rPr>
              <w:t>396</w:t>
            </w:r>
          </w:p>
        </w:tc>
        <w:tc>
          <w:tcPr>
            <w:tcW w:w="655" w:type="dxa"/>
            <w:tcBorders>
              <w:left w:val="single" w:sz="4" w:space="0" w:color="DFDFDF"/>
              <w:bottom w:val="single" w:sz="4" w:space="0" w:color="DFDFDF"/>
            </w:tcBorders>
          </w:tcPr>
          <w:p>
            <w:pPr>
              <w:pStyle w:val="TableParagraph"/>
              <w:spacing w:line="126" w:lineRule="exact" w:before="7"/>
              <w:ind w:right="9"/>
              <w:jc w:val="right"/>
              <w:rPr>
                <w:rFonts w:ascii="Calibri"/>
                <w:sz w:val="12"/>
              </w:rPr>
            </w:pPr>
            <w:r>
              <w:rPr>
                <w:rFonts w:ascii="Calibri"/>
                <w:spacing w:val="-2"/>
                <w:sz w:val="12"/>
              </w:rPr>
              <w:t>54000000</w:t>
            </w:r>
          </w:p>
        </w:tc>
        <w:tc>
          <w:tcPr>
            <w:tcW w:w="672" w:type="dxa"/>
          </w:tcPr>
          <w:p>
            <w:pPr>
              <w:pStyle w:val="TableParagraph"/>
              <w:spacing w:line="96" w:lineRule="exact" w:before="37"/>
              <w:ind w:left="25"/>
              <w:jc w:val="center"/>
              <w:rPr>
                <w:rFonts w:ascii="Arial"/>
                <w:sz w:val="9"/>
              </w:rPr>
            </w:pPr>
            <w:r>
              <w:rPr>
                <w:rFonts w:ascii="Arial"/>
                <w:sz w:val="9"/>
              </w:rPr>
              <w:t>108</w:t>
            </w:r>
            <w:r>
              <w:rPr>
                <w:rFonts w:ascii="Arial"/>
                <w:spacing w:val="-8"/>
                <w:sz w:val="9"/>
              </w:rPr>
              <w:t> </w:t>
            </w:r>
            <w:r>
              <w:rPr>
                <w:rFonts w:ascii="Arial"/>
                <w:sz w:val="9"/>
              </w:rPr>
              <w:t>864</w:t>
            </w:r>
            <w:r>
              <w:rPr>
                <w:rFonts w:ascii="Arial"/>
                <w:spacing w:val="-6"/>
                <w:sz w:val="9"/>
              </w:rPr>
              <w:t> </w:t>
            </w:r>
            <w:r>
              <w:rPr>
                <w:rFonts w:ascii="Arial"/>
                <w:spacing w:val="-2"/>
                <w:sz w:val="9"/>
              </w:rPr>
              <w:t>000,00</w:t>
            </w:r>
          </w:p>
        </w:tc>
        <w:tc>
          <w:tcPr>
            <w:tcW w:w="655" w:type="dxa"/>
          </w:tcPr>
          <w:p>
            <w:pPr>
              <w:pStyle w:val="TableParagraph"/>
              <w:spacing w:line="96" w:lineRule="exact" w:before="37"/>
              <w:ind w:left="191"/>
              <w:rPr>
                <w:rFonts w:ascii="Arial"/>
                <w:sz w:val="9"/>
              </w:rPr>
            </w:pPr>
            <w:r>
              <w:rPr>
                <w:rFonts w:ascii="Arial"/>
                <w:sz w:val="9"/>
              </w:rPr>
              <w:t>126</w:t>
            </w:r>
            <w:r>
              <w:rPr>
                <w:rFonts w:ascii="Arial"/>
                <w:spacing w:val="-8"/>
                <w:sz w:val="9"/>
              </w:rPr>
              <w:t> </w:t>
            </w:r>
            <w:r>
              <w:rPr>
                <w:rFonts w:ascii="Arial"/>
                <w:spacing w:val="-2"/>
                <w:sz w:val="9"/>
              </w:rPr>
              <w:t>312,00</w:t>
            </w:r>
          </w:p>
        </w:tc>
        <w:tc>
          <w:tcPr>
            <w:tcW w:w="655" w:type="dxa"/>
          </w:tcPr>
          <w:p>
            <w:pPr>
              <w:pStyle w:val="TableParagraph"/>
              <w:spacing w:line="96" w:lineRule="exact" w:before="37"/>
              <w:ind w:right="7"/>
              <w:jc w:val="right"/>
              <w:rPr>
                <w:rFonts w:ascii="Arial"/>
                <w:sz w:val="9"/>
              </w:rPr>
            </w:pPr>
            <w:r>
              <w:rPr>
                <w:rFonts w:ascii="Arial"/>
                <w:sz w:val="9"/>
              </w:rPr>
              <w:t>10</w:t>
            </w:r>
            <w:r>
              <w:rPr>
                <w:rFonts w:ascii="Arial"/>
                <w:spacing w:val="-4"/>
                <w:sz w:val="9"/>
              </w:rPr>
              <w:t> </w:t>
            </w:r>
            <w:r>
              <w:rPr>
                <w:rFonts w:ascii="Arial"/>
                <w:spacing w:val="-2"/>
                <w:sz w:val="9"/>
              </w:rPr>
              <w:t>104,00</w:t>
            </w:r>
          </w:p>
        </w:tc>
        <w:tc>
          <w:tcPr>
            <w:tcW w:w="655" w:type="dxa"/>
          </w:tcPr>
          <w:p>
            <w:pPr>
              <w:pStyle w:val="TableParagraph"/>
              <w:spacing w:line="96" w:lineRule="exact" w:before="37"/>
              <w:ind w:left="20"/>
              <w:rPr>
                <w:rFonts w:ascii="Arial"/>
                <w:sz w:val="9"/>
              </w:rPr>
            </w:pPr>
            <w:r>
              <w:rPr>
                <w:rFonts w:ascii="Arial"/>
                <w:spacing w:val="-5"/>
                <w:sz w:val="9"/>
              </w:rPr>
              <w:t>U04</w:t>
            </w:r>
          </w:p>
        </w:tc>
        <w:tc>
          <w:tcPr>
            <w:tcW w:w="975" w:type="dxa"/>
          </w:tcPr>
          <w:p>
            <w:pPr>
              <w:pStyle w:val="TableParagraph"/>
              <w:spacing w:line="96" w:lineRule="exact" w:before="37"/>
              <w:ind w:right="7"/>
              <w:jc w:val="right"/>
              <w:rPr>
                <w:rFonts w:ascii="Arial"/>
                <w:sz w:val="9"/>
              </w:rPr>
            </w:pPr>
            <w:r>
              <w:rPr>
                <w:rFonts w:ascii="Arial"/>
                <w:sz w:val="9"/>
              </w:rPr>
              <w:t>135</w:t>
            </w:r>
            <w:r>
              <w:rPr>
                <w:rFonts w:ascii="Arial"/>
                <w:spacing w:val="-8"/>
                <w:sz w:val="9"/>
              </w:rPr>
              <w:t> </w:t>
            </w:r>
            <w:r>
              <w:rPr>
                <w:rFonts w:ascii="Arial"/>
                <w:spacing w:val="-2"/>
                <w:sz w:val="9"/>
              </w:rPr>
              <w:t>000,00</w:t>
            </w:r>
          </w:p>
        </w:tc>
        <w:tc>
          <w:tcPr>
            <w:tcW w:w="655" w:type="dxa"/>
          </w:tcPr>
          <w:p>
            <w:pPr>
              <w:pStyle w:val="TableParagraph"/>
              <w:spacing w:line="96" w:lineRule="exact" w:before="37"/>
              <w:ind w:right="7"/>
              <w:jc w:val="right"/>
              <w:rPr>
                <w:rFonts w:ascii="Arial"/>
                <w:sz w:val="9"/>
              </w:rPr>
            </w:pPr>
            <w:r>
              <w:rPr>
                <w:rFonts w:ascii="Arial"/>
                <w:spacing w:val="-4"/>
                <w:sz w:val="9"/>
              </w:rPr>
              <w:t>0,00</w:t>
            </w:r>
          </w:p>
        </w:tc>
        <w:tc>
          <w:tcPr>
            <w:tcW w:w="753" w:type="dxa"/>
          </w:tcPr>
          <w:p>
            <w:pPr>
              <w:pStyle w:val="TableParagraph"/>
              <w:spacing w:line="96" w:lineRule="exact" w:before="37"/>
              <w:ind w:right="7"/>
              <w:jc w:val="right"/>
              <w:rPr>
                <w:rFonts w:ascii="Arial"/>
                <w:sz w:val="9"/>
              </w:rPr>
            </w:pPr>
            <w:r>
              <w:rPr>
                <w:rFonts w:ascii="Arial"/>
                <w:spacing w:val="-2"/>
                <w:sz w:val="9"/>
              </w:rPr>
              <w:t>576,00</w:t>
            </w:r>
          </w:p>
        </w:tc>
        <w:tc>
          <w:tcPr>
            <w:tcW w:w="974" w:type="dxa"/>
          </w:tcPr>
          <w:p>
            <w:pPr>
              <w:pStyle w:val="TableParagraph"/>
              <w:spacing w:line="96" w:lineRule="exact" w:before="37"/>
              <w:ind w:right="6"/>
              <w:jc w:val="right"/>
              <w:rPr>
                <w:rFonts w:ascii="Arial"/>
                <w:sz w:val="9"/>
              </w:rPr>
            </w:pPr>
            <w:r>
              <w:rPr>
                <w:rFonts w:ascii="Arial"/>
                <w:sz w:val="9"/>
              </w:rPr>
              <w:t>77</w:t>
            </w:r>
            <w:r>
              <w:rPr>
                <w:rFonts w:ascii="Arial"/>
                <w:spacing w:val="-5"/>
                <w:sz w:val="9"/>
              </w:rPr>
              <w:t> </w:t>
            </w:r>
            <w:r>
              <w:rPr>
                <w:rFonts w:ascii="Arial"/>
                <w:sz w:val="9"/>
              </w:rPr>
              <w:t>760</w:t>
            </w:r>
            <w:r>
              <w:rPr>
                <w:rFonts w:ascii="Arial"/>
                <w:spacing w:val="-5"/>
                <w:sz w:val="9"/>
              </w:rPr>
              <w:t> </w:t>
            </w:r>
            <w:r>
              <w:rPr>
                <w:rFonts w:ascii="Arial"/>
                <w:spacing w:val="-2"/>
                <w:sz w:val="9"/>
              </w:rPr>
              <w:t>000,00</w:t>
            </w:r>
          </w:p>
        </w:tc>
        <w:tc>
          <w:tcPr>
            <w:tcW w:w="793" w:type="dxa"/>
          </w:tcPr>
          <w:p>
            <w:pPr>
              <w:pStyle w:val="TableParagraph"/>
              <w:spacing w:line="96" w:lineRule="exact" w:before="37"/>
              <w:ind w:right="5"/>
              <w:jc w:val="right"/>
              <w:rPr>
                <w:rFonts w:ascii="Arial"/>
                <w:sz w:val="9"/>
              </w:rPr>
            </w:pPr>
            <w:r>
              <w:rPr>
                <w:rFonts w:ascii="Arial"/>
                <w:sz w:val="9"/>
              </w:rPr>
              <w:t>31</w:t>
            </w:r>
            <w:r>
              <w:rPr>
                <w:rFonts w:ascii="Arial"/>
                <w:spacing w:val="-5"/>
                <w:sz w:val="9"/>
              </w:rPr>
              <w:t> </w:t>
            </w:r>
            <w:r>
              <w:rPr>
                <w:rFonts w:ascii="Arial"/>
                <w:sz w:val="9"/>
              </w:rPr>
              <w:t>104</w:t>
            </w:r>
            <w:r>
              <w:rPr>
                <w:rFonts w:ascii="Arial"/>
                <w:spacing w:val="-5"/>
                <w:sz w:val="9"/>
              </w:rPr>
              <w:t> </w:t>
            </w:r>
            <w:r>
              <w:rPr>
                <w:rFonts w:ascii="Arial"/>
                <w:spacing w:val="-2"/>
                <w:sz w:val="9"/>
              </w:rPr>
              <w:t>000,00</w:t>
            </w:r>
          </w:p>
        </w:tc>
        <w:tc>
          <w:tcPr>
            <w:tcW w:w="728" w:type="dxa"/>
          </w:tcPr>
          <w:p>
            <w:pPr>
              <w:pStyle w:val="TableParagraph"/>
              <w:spacing w:line="96" w:lineRule="exact" w:before="37"/>
              <w:ind w:right="4"/>
              <w:jc w:val="right"/>
              <w:rPr>
                <w:rFonts w:ascii="Arial"/>
                <w:sz w:val="9"/>
              </w:rPr>
            </w:pPr>
            <w:r>
              <w:rPr>
                <w:rFonts w:ascii="Arial"/>
                <w:sz w:val="9"/>
              </w:rPr>
              <w:t>77</w:t>
            </w:r>
            <w:r>
              <w:rPr>
                <w:rFonts w:ascii="Arial"/>
                <w:spacing w:val="-5"/>
                <w:sz w:val="9"/>
              </w:rPr>
              <w:t> </w:t>
            </w:r>
            <w:r>
              <w:rPr>
                <w:rFonts w:ascii="Arial"/>
                <w:sz w:val="9"/>
              </w:rPr>
              <w:t>760</w:t>
            </w:r>
            <w:r>
              <w:rPr>
                <w:rFonts w:ascii="Arial"/>
                <w:spacing w:val="-5"/>
                <w:sz w:val="9"/>
              </w:rPr>
              <w:t> </w:t>
            </w:r>
            <w:r>
              <w:rPr>
                <w:rFonts w:ascii="Arial"/>
                <w:spacing w:val="-2"/>
                <w:sz w:val="9"/>
              </w:rPr>
              <w:t>000,00</w:t>
            </w:r>
          </w:p>
        </w:tc>
      </w:tr>
      <w:tr>
        <w:trPr>
          <w:trHeight w:val="151" w:hRule="atLeast"/>
        </w:trPr>
        <w:tc>
          <w:tcPr>
            <w:tcW w:w="655" w:type="dxa"/>
            <w:tcBorders>
              <w:top w:val="single" w:sz="4" w:space="0" w:color="DFDFDF"/>
              <w:left w:val="single" w:sz="4" w:space="0" w:color="DFDFDF"/>
              <w:bottom w:val="single" w:sz="4" w:space="0" w:color="DFDFDF"/>
              <w:right w:val="single" w:sz="4" w:space="0" w:color="DFDFDF"/>
            </w:tcBorders>
          </w:tcPr>
          <w:p>
            <w:pPr>
              <w:pStyle w:val="TableParagraph"/>
              <w:spacing w:line="94" w:lineRule="exact" w:before="37"/>
              <w:ind w:left="34" w:right="17"/>
              <w:jc w:val="center"/>
              <w:rPr>
                <w:rFonts w:ascii="Arial"/>
                <w:sz w:val="9"/>
              </w:rPr>
            </w:pPr>
            <w:r>
              <w:rPr>
                <w:rFonts w:ascii="Arial"/>
                <w:sz w:val="9"/>
              </w:rPr>
              <w:t>4-</w:t>
            </w:r>
            <w:r>
              <w:rPr>
                <w:rFonts w:ascii="Arial"/>
                <w:spacing w:val="-10"/>
                <w:sz w:val="9"/>
              </w:rPr>
              <w:t>2</w:t>
            </w:r>
          </w:p>
        </w:tc>
        <w:tc>
          <w:tcPr>
            <w:tcW w:w="655" w:type="dxa"/>
            <w:tcBorders>
              <w:top w:val="single" w:sz="4" w:space="0" w:color="DFDFDF"/>
              <w:left w:val="single" w:sz="4" w:space="0" w:color="DFDFDF"/>
              <w:bottom w:val="single" w:sz="4" w:space="0" w:color="DFDFDF"/>
            </w:tcBorders>
          </w:tcPr>
          <w:p>
            <w:pPr>
              <w:pStyle w:val="TableParagraph"/>
              <w:spacing w:line="94" w:lineRule="exact" w:before="37"/>
              <w:ind w:left="159"/>
              <w:rPr>
                <w:rFonts w:ascii="Arial"/>
                <w:b/>
                <w:sz w:val="9"/>
              </w:rPr>
            </w:pPr>
            <w:r>
              <w:rPr>
                <w:rFonts w:ascii="Arial"/>
                <w:b/>
                <w:spacing w:val="-2"/>
                <w:sz w:val="9"/>
              </w:rPr>
              <w:t>2000591</w:t>
            </w:r>
          </w:p>
        </w:tc>
        <w:tc>
          <w:tcPr>
            <w:tcW w:w="672" w:type="dxa"/>
            <w:tcBorders>
              <w:bottom w:val="single" w:sz="6" w:space="0" w:color="888888"/>
            </w:tcBorders>
          </w:tcPr>
          <w:p>
            <w:pPr>
              <w:pStyle w:val="TableParagraph"/>
              <w:spacing w:line="94" w:lineRule="exact" w:before="37"/>
              <w:ind w:left="124"/>
              <w:jc w:val="center"/>
              <w:rPr>
                <w:rFonts w:ascii="Arial"/>
                <w:sz w:val="9"/>
              </w:rPr>
            </w:pPr>
            <w:r>
              <w:rPr>
                <w:rFonts w:ascii="Arial"/>
                <w:sz w:val="9"/>
              </w:rPr>
              <w:t>3</w:t>
            </w:r>
            <w:r>
              <w:rPr>
                <w:rFonts w:ascii="Arial"/>
                <w:spacing w:val="-6"/>
                <w:sz w:val="9"/>
              </w:rPr>
              <w:t> </w:t>
            </w:r>
            <w:r>
              <w:rPr>
                <w:rFonts w:ascii="Arial"/>
                <w:sz w:val="9"/>
              </w:rPr>
              <w:t>948</w:t>
            </w:r>
            <w:r>
              <w:rPr>
                <w:rFonts w:ascii="Arial"/>
                <w:spacing w:val="-4"/>
                <w:sz w:val="9"/>
              </w:rPr>
              <w:t> </w:t>
            </w:r>
            <w:r>
              <w:rPr>
                <w:rFonts w:ascii="Arial"/>
                <w:spacing w:val="-2"/>
                <w:sz w:val="9"/>
              </w:rPr>
              <w:t>799,00</w:t>
            </w:r>
          </w:p>
        </w:tc>
        <w:tc>
          <w:tcPr>
            <w:tcW w:w="655" w:type="dxa"/>
            <w:tcBorders>
              <w:bottom w:val="single" w:sz="6" w:space="0" w:color="888888"/>
            </w:tcBorders>
          </w:tcPr>
          <w:p>
            <w:pPr>
              <w:pStyle w:val="TableParagraph"/>
              <w:spacing w:line="94" w:lineRule="exact" w:before="37"/>
              <w:ind w:left="241"/>
              <w:rPr>
                <w:rFonts w:ascii="Arial"/>
                <w:sz w:val="9"/>
              </w:rPr>
            </w:pPr>
            <w:r>
              <w:rPr>
                <w:rFonts w:ascii="Arial"/>
                <w:sz w:val="9"/>
              </w:rPr>
              <w:t>58</w:t>
            </w:r>
            <w:r>
              <w:rPr>
                <w:rFonts w:ascii="Arial"/>
                <w:spacing w:val="-4"/>
                <w:sz w:val="9"/>
              </w:rPr>
              <w:t> </w:t>
            </w:r>
            <w:r>
              <w:rPr>
                <w:rFonts w:ascii="Arial"/>
                <w:spacing w:val="-2"/>
                <w:sz w:val="9"/>
              </w:rPr>
              <w:t>653,00</w:t>
            </w:r>
          </w:p>
        </w:tc>
        <w:tc>
          <w:tcPr>
            <w:tcW w:w="655" w:type="dxa"/>
          </w:tcPr>
          <w:p>
            <w:pPr>
              <w:pStyle w:val="TableParagraph"/>
              <w:spacing w:line="94" w:lineRule="exact" w:before="37"/>
              <w:ind w:left="20"/>
              <w:rPr>
                <w:rFonts w:ascii="Arial"/>
                <w:sz w:val="9"/>
              </w:rPr>
            </w:pPr>
            <w:r>
              <w:rPr>
                <w:rFonts w:ascii="Arial"/>
                <w:spacing w:val="-2"/>
                <w:sz w:val="9"/>
              </w:rPr>
              <w:t>41001</w:t>
            </w:r>
          </w:p>
        </w:tc>
        <w:tc>
          <w:tcPr>
            <w:tcW w:w="655" w:type="dxa"/>
          </w:tcPr>
          <w:p>
            <w:pPr>
              <w:pStyle w:val="TableParagraph"/>
              <w:spacing w:line="94" w:lineRule="exact" w:before="37"/>
              <w:ind w:left="20"/>
              <w:rPr>
                <w:rFonts w:ascii="Arial"/>
                <w:sz w:val="9"/>
              </w:rPr>
            </w:pPr>
            <w:r>
              <w:rPr>
                <w:rFonts w:ascii="Arial"/>
                <w:spacing w:val="-2"/>
                <w:sz w:val="9"/>
              </w:rPr>
              <w:t>R25/U25</w:t>
            </w:r>
          </w:p>
        </w:tc>
        <w:tc>
          <w:tcPr>
            <w:tcW w:w="975" w:type="dxa"/>
          </w:tcPr>
          <w:p>
            <w:pPr>
              <w:pStyle w:val="TableParagraph"/>
              <w:spacing w:line="94" w:lineRule="exact" w:before="37"/>
              <w:ind w:right="7"/>
              <w:jc w:val="right"/>
              <w:rPr>
                <w:rFonts w:ascii="Arial"/>
                <w:sz w:val="9"/>
              </w:rPr>
            </w:pPr>
            <w:r>
              <w:rPr>
                <w:rFonts w:ascii="Arial"/>
                <w:sz w:val="9"/>
              </w:rPr>
              <w:t>2</w:t>
            </w:r>
            <w:r>
              <w:rPr>
                <w:rFonts w:ascii="Arial"/>
                <w:spacing w:val="-4"/>
                <w:sz w:val="9"/>
              </w:rPr>
              <w:t> </w:t>
            </w:r>
            <w:r>
              <w:rPr>
                <w:rFonts w:ascii="Arial"/>
                <w:spacing w:val="-2"/>
                <w:sz w:val="9"/>
              </w:rPr>
              <w:t>500,00</w:t>
            </w:r>
          </w:p>
        </w:tc>
        <w:tc>
          <w:tcPr>
            <w:tcW w:w="655" w:type="dxa"/>
          </w:tcPr>
          <w:p>
            <w:pPr>
              <w:pStyle w:val="TableParagraph"/>
              <w:spacing w:line="94" w:lineRule="exact" w:before="37"/>
              <w:ind w:right="7"/>
              <w:jc w:val="right"/>
              <w:rPr>
                <w:rFonts w:ascii="Arial"/>
                <w:sz w:val="9"/>
              </w:rPr>
            </w:pPr>
            <w:r>
              <w:rPr>
                <w:rFonts w:ascii="Arial"/>
                <w:spacing w:val="-2"/>
                <w:sz w:val="9"/>
              </w:rPr>
              <w:t>450,00</w:t>
            </w:r>
          </w:p>
        </w:tc>
        <w:tc>
          <w:tcPr>
            <w:tcW w:w="753" w:type="dxa"/>
          </w:tcPr>
          <w:p>
            <w:pPr>
              <w:pStyle w:val="TableParagraph"/>
              <w:spacing w:line="94" w:lineRule="exact" w:before="37"/>
              <w:ind w:right="7"/>
              <w:jc w:val="right"/>
              <w:rPr>
                <w:rFonts w:ascii="Arial"/>
                <w:sz w:val="9"/>
              </w:rPr>
            </w:pPr>
            <w:r>
              <w:rPr>
                <w:rFonts w:ascii="Arial"/>
                <w:spacing w:val="-2"/>
                <w:sz w:val="9"/>
              </w:rPr>
              <w:t>100,00</w:t>
            </w:r>
          </w:p>
        </w:tc>
        <w:tc>
          <w:tcPr>
            <w:tcW w:w="974" w:type="dxa"/>
          </w:tcPr>
          <w:p>
            <w:pPr>
              <w:pStyle w:val="TableParagraph"/>
              <w:spacing w:line="94" w:lineRule="exact" w:before="37"/>
              <w:ind w:right="6"/>
              <w:jc w:val="right"/>
              <w:rPr>
                <w:rFonts w:ascii="Arial"/>
                <w:sz w:val="9"/>
              </w:rPr>
            </w:pPr>
            <w:r>
              <w:rPr>
                <w:rFonts w:ascii="Arial"/>
                <w:sz w:val="9"/>
              </w:rPr>
              <w:t>250</w:t>
            </w:r>
            <w:r>
              <w:rPr>
                <w:rFonts w:ascii="Arial"/>
                <w:spacing w:val="-8"/>
                <w:sz w:val="9"/>
              </w:rPr>
              <w:t> </w:t>
            </w:r>
            <w:r>
              <w:rPr>
                <w:rFonts w:ascii="Arial"/>
                <w:spacing w:val="-2"/>
                <w:sz w:val="9"/>
              </w:rPr>
              <w:t>000,00</w:t>
            </w:r>
          </w:p>
        </w:tc>
        <w:tc>
          <w:tcPr>
            <w:tcW w:w="793" w:type="dxa"/>
          </w:tcPr>
          <w:p>
            <w:pPr>
              <w:pStyle w:val="TableParagraph"/>
              <w:spacing w:line="94" w:lineRule="exact" w:before="37"/>
              <w:ind w:right="4"/>
              <w:jc w:val="right"/>
              <w:rPr>
                <w:rFonts w:ascii="Arial"/>
                <w:sz w:val="9"/>
              </w:rPr>
            </w:pPr>
            <w:r>
              <w:rPr>
                <w:rFonts w:ascii="Arial"/>
                <w:sz w:val="9"/>
              </w:rPr>
              <w:t>3</w:t>
            </w:r>
            <w:r>
              <w:rPr>
                <w:rFonts w:ascii="Arial"/>
                <w:spacing w:val="-6"/>
                <w:sz w:val="9"/>
              </w:rPr>
              <w:t> </w:t>
            </w:r>
            <w:r>
              <w:rPr>
                <w:rFonts w:ascii="Arial"/>
                <w:sz w:val="9"/>
              </w:rPr>
              <w:t>698</w:t>
            </w:r>
            <w:r>
              <w:rPr>
                <w:rFonts w:ascii="Arial"/>
                <w:spacing w:val="-4"/>
                <w:sz w:val="9"/>
              </w:rPr>
              <w:t> </w:t>
            </w:r>
            <w:r>
              <w:rPr>
                <w:rFonts w:ascii="Arial"/>
                <w:spacing w:val="-2"/>
                <w:sz w:val="9"/>
              </w:rPr>
              <w:t>799,00</w:t>
            </w:r>
          </w:p>
        </w:tc>
        <w:tc>
          <w:tcPr>
            <w:tcW w:w="728" w:type="dxa"/>
          </w:tcPr>
          <w:p>
            <w:pPr>
              <w:pStyle w:val="TableParagraph"/>
              <w:spacing w:line="94" w:lineRule="exact" w:before="37"/>
              <w:ind w:right="4"/>
              <w:jc w:val="right"/>
              <w:rPr>
                <w:rFonts w:ascii="Arial"/>
                <w:sz w:val="9"/>
              </w:rPr>
            </w:pPr>
            <w:r>
              <w:rPr>
                <w:rFonts w:ascii="Arial"/>
                <w:sz w:val="9"/>
              </w:rPr>
              <w:t>250</w:t>
            </w:r>
            <w:r>
              <w:rPr>
                <w:rFonts w:ascii="Arial"/>
                <w:spacing w:val="-8"/>
                <w:sz w:val="9"/>
              </w:rPr>
              <w:t> </w:t>
            </w:r>
            <w:r>
              <w:rPr>
                <w:rFonts w:ascii="Arial"/>
                <w:spacing w:val="-2"/>
                <w:sz w:val="9"/>
              </w:rPr>
              <w:t>000,00</w:t>
            </w:r>
          </w:p>
        </w:tc>
      </w:tr>
      <w:tr>
        <w:trPr>
          <w:trHeight w:val="151" w:hRule="atLeast"/>
        </w:trPr>
        <w:tc>
          <w:tcPr>
            <w:tcW w:w="655" w:type="dxa"/>
            <w:tcBorders>
              <w:top w:val="single" w:sz="4" w:space="0" w:color="DFDFDF"/>
              <w:left w:val="single" w:sz="4" w:space="0" w:color="DFDFDF"/>
              <w:bottom w:val="single" w:sz="4" w:space="0" w:color="DFDFDF"/>
              <w:right w:val="single" w:sz="4" w:space="0" w:color="DFDFDF"/>
            </w:tcBorders>
          </w:tcPr>
          <w:p>
            <w:pPr>
              <w:pStyle w:val="TableParagraph"/>
              <w:spacing w:line="96" w:lineRule="exact" w:before="35"/>
              <w:ind w:left="34"/>
              <w:jc w:val="center"/>
              <w:rPr>
                <w:rFonts w:ascii="Arial"/>
                <w:sz w:val="9"/>
              </w:rPr>
            </w:pPr>
            <w:r>
              <w:rPr>
                <w:rFonts w:ascii="Arial"/>
                <w:sz w:val="9"/>
              </w:rPr>
              <w:t>4-</w:t>
            </w:r>
            <w:r>
              <w:rPr>
                <w:rFonts w:ascii="Arial"/>
                <w:spacing w:val="-5"/>
                <w:sz w:val="9"/>
              </w:rPr>
              <w:t>66</w:t>
            </w:r>
          </w:p>
        </w:tc>
        <w:tc>
          <w:tcPr>
            <w:tcW w:w="655" w:type="dxa"/>
            <w:tcBorders>
              <w:top w:val="single" w:sz="4" w:space="0" w:color="DFDFDF"/>
              <w:left w:val="single" w:sz="4" w:space="0" w:color="DFDFDF"/>
              <w:bottom w:val="single" w:sz="4" w:space="0" w:color="DFDFDF"/>
            </w:tcBorders>
          </w:tcPr>
          <w:p>
            <w:pPr>
              <w:pStyle w:val="TableParagraph"/>
              <w:spacing w:line="96" w:lineRule="exact" w:before="35"/>
              <w:ind w:left="134"/>
              <w:rPr>
                <w:rFonts w:ascii="Arial"/>
                <w:b/>
                <w:sz w:val="9"/>
              </w:rPr>
            </w:pPr>
            <w:r>
              <w:rPr>
                <w:rFonts w:ascii="Arial"/>
                <w:b/>
                <w:spacing w:val="-2"/>
                <w:sz w:val="9"/>
              </w:rPr>
              <w:t>54000002</w:t>
            </w:r>
          </w:p>
        </w:tc>
        <w:tc>
          <w:tcPr>
            <w:tcW w:w="672" w:type="dxa"/>
            <w:tcBorders>
              <w:top w:val="single" w:sz="6" w:space="0" w:color="888888"/>
            </w:tcBorders>
          </w:tcPr>
          <w:p>
            <w:pPr>
              <w:pStyle w:val="TableParagraph"/>
              <w:spacing w:line="96" w:lineRule="exact" w:before="35"/>
              <w:ind w:left="75"/>
              <w:jc w:val="center"/>
              <w:rPr>
                <w:rFonts w:ascii="Arial"/>
                <w:sz w:val="9"/>
              </w:rPr>
            </w:pPr>
            <w:r>
              <w:rPr>
                <w:rFonts w:ascii="Arial"/>
                <w:sz w:val="9"/>
              </w:rPr>
              <w:t>53</w:t>
            </w:r>
            <w:r>
              <w:rPr>
                <w:rFonts w:ascii="Arial"/>
                <w:spacing w:val="-5"/>
                <w:sz w:val="9"/>
              </w:rPr>
              <w:t> </w:t>
            </w:r>
            <w:r>
              <w:rPr>
                <w:rFonts w:ascii="Arial"/>
                <w:sz w:val="9"/>
              </w:rPr>
              <w:t>017</w:t>
            </w:r>
            <w:r>
              <w:rPr>
                <w:rFonts w:ascii="Arial"/>
                <w:spacing w:val="-5"/>
                <w:sz w:val="9"/>
              </w:rPr>
              <w:t> </w:t>
            </w:r>
            <w:r>
              <w:rPr>
                <w:rFonts w:ascii="Arial"/>
                <w:spacing w:val="-2"/>
                <w:sz w:val="9"/>
              </w:rPr>
              <w:t>000,00</w:t>
            </w:r>
          </w:p>
        </w:tc>
        <w:tc>
          <w:tcPr>
            <w:tcW w:w="655" w:type="dxa"/>
            <w:tcBorders>
              <w:top w:val="single" w:sz="6" w:space="0" w:color="888888"/>
            </w:tcBorders>
          </w:tcPr>
          <w:p>
            <w:pPr>
              <w:pStyle w:val="TableParagraph"/>
              <w:spacing w:line="96" w:lineRule="exact" w:before="35"/>
              <w:ind w:left="191"/>
              <w:rPr>
                <w:rFonts w:ascii="Arial"/>
                <w:sz w:val="9"/>
              </w:rPr>
            </w:pPr>
            <w:r>
              <w:rPr>
                <w:rFonts w:ascii="Arial"/>
                <w:sz w:val="9"/>
              </w:rPr>
              <w:t>240</w:t>
            </w:r>
            <w:r>
              <w:rPr>
                <w:rFonts w:ascii="Arial"/>
                <w:spacing w:val="-8"/>
                <w:sz w:val="9"/>
              </w:rPr>
              <w:t> </w:t>
            </w:r>
            <w:r>
              <w:rPr>
                <w:rFonts w:ascii="Arial"/>
                <w:spacing w:val="-2"/>
                <w:sz w:val="9"/>
              </w:rPr>
              <w:t>778,00</w:t>
            </w:r>
          </w:p>
        </w:tc>
        <w:tc>
          <w:tcPr>
            <w:tcW w:w="655" w:type="dxa"/>
          </w:tcPr>
          <w:p>
            <w:pPr>
              <w:pStyle w:val="TableParagraph"/>
              <w:spacing w:line="96" w:lineRule="exact" w:before="35"/>
              <w:ind w:left="20"/>
              <w:rPr>
                <w:rFonts w:ascii="Arial"/>
                <w:sz w:val="9"/>
              </w:rPr>
            </w:pPr>
            <w:r>
              <w:rPr>
                <w:rFonts w:ascii="Arial"/>
                <w:spacing w:val="-2"/>
                <w:sz w:val="9"/>
              </w:rPr>
              <w:t>41001</w:t>
            </w:r>
          </w:p>
        </w:tc>
        <w:tc>
          <w:tcPr>
            <w:tcW w:w="655" w:type="dxa"/>
          </w:tcPr>
          <w:p>
            <w:pPr>
              <w:pStyle w:val="TableParagraph"/>
              <w:spacing w:line="96" w:lineRule="exact" w:before="35"/>
              <w:ind w:left="20"/>
              <w:rPr>
                <w:rFonts w:ascii="Arial"/>
                <w:sz w:val="9"/>
              </w:rPr>
            </w:pPr>
            <w:r>
              <w:rPr>
                <w:rFonts w:ascii="Arial"/>
                <w:spacing w:val="-5"/>
                <w:sz w:val="9"/>
              </w:rPr>
              <w:t>U01</w:t>
            </w:r>
          </w:p>
        </w:tc>
        <w:tc>
          <w:tcPr>
            <w:tcW w:w="975" w:type="dxa"/>
          </w:tcPr>
          <w:p>
            <w:pPr>
              <w:pStyle w:val="TableParagraph"/>
              <w:spacing w:line="96" w:lineRule="exact" w:before="35"/>
              <w:ind w:right="7"/>
              <w:jc w:val="right"/>
              <w:rPr>
                <w:rFonts w:ascii="Arial"/>
                <w:sz w:val="9"/>
              </w:rPr>
            </w:pPr>
            <w:r>
              <w:rPr>
                <w:rFonts w:ascii="Arial"/>
                <w:sz w:val="9"/>
              </w:rPr>
              <w:t>75</w:t>
            </w:r>
            <w:r>
              <w:rPr>
                <w:rFonts w:ascii="Arial"/>
                <w:spacing w:val="-4"/>
                <w:sz w:val="9"/>
              </w:rPr>
              <w:t> </w:t>
            </w:r>
            <w:r>
              <w:rPr>
                <w:rFonts w:ascii="Arial"/>
                <w:spacing w:val="-2"/>
                <w:sz w:val="9"/>
              </w:rPr>
              <w:t>000,00</w:t>
            </w:r>
          </w:p>
        </w:tc>
        <w:tc>
          <w:tcPr>
            <w:tcW w:w="655" w:type="dxa"/>
          </w:tcPr>
          <w:p>
            <w:pPr>
              <w:pStyle w:val="TableParagraph"/>
              <w:spacing w:line="96" w:lineRule="exact" w:before="35"/>
              <w:ind w:right="7"/>
              <w:jc w:val="right"/>
              <w:rPr>
                <w:rFonts w:ascii="Arial"/>
                <w:sz w:val="9"/>
              </w:rPr>
            </w:pPr>
            <w:r>
              <w:rPr>
                <w:rFonts w:ascii="Arial"/>
                <w:spacing w:val="-4"/>
                <w:sz w:val="9"/>
              </w:rPr>
              <w:t>0,00</w:t>
            </w:r>
          </w:p>
        </w:tc>
        <w:tc>
          <w:tcPr>
            <w:tcW w:w="753" w:type="dxa"/>
          </w:tcPr>
          <w:p>
            <w:pPr>
              <w:pStyle w:val="TableParagraph"/>
              <w:spacing w:line="96" w:lineRule="exact" w:before="35"/>
              <w:ind w:right="7"/>
              <w:jc w:val="right"/>
              <w:rPr>
                <w:rFonts w:ascii="Arial"/>
                <w:sz w:val="9"/>
              </w:rPr>
            </w:pPr>
            <w:r>
              <w:rPr>
                <w:rFonts w:ascii="Arial"/>
                <w:spacing w:val="-2"/>
                <w:sz w:val="9"/>
              </w:rPr>
              <w:t>340,00</w:t>
            </w:r>
          </w:p>
        </w:tc>
        <w:tc>
          <w:tcPr>
            <w:tcW w:w="974" w:type="dxa"/>
          </w:tcPr>
          <w:p>
            <w:pPr>
              <w:pStyle w:val="TableParagraph"/>
              <w:spacing w:line="96" w:lineRule="exact" w:before="35"/>
              <w:ind w:right="6"/>
              <w:jc w:val="right"/>
              <w:rPr>
                <w:rFonts w:ascii="Arial"/>
                <w:sz w:val="9"/>
              </w:rPr>
            </w:pPr>
            <w:r>
              <w:rPr>
                <w:rFonts w:ascii="Arial"/>
                <w:sz w:val="9"/>
              </w:rPr>
              <w:t>25</w:t>
            </w:r>
            <w:r>
              <w:rPr>
                <w:rFonts w:ascii="Arial"/>
                <w:spacing w:val="-5"/>
                <w:sz w:val="9"/>
              </w:rPr>
              <w:t> </w:t>
            </w:r>
            <w:r>
              <w:rPr>
                <w:rFonts w:ascii="Arial"/>
                <w:sz w:val="9"/>
              </w:rPr>
              <w:t>500</w:t>
            </w:r>
            <w:r>
              <w:rPr>
                <w:rFonts w:ascii="Arial"/>
                <w:spacing w:val="-5"/>
                <w:sz w:val="9"/>
              </w:rPr>
              <w:t> </w:t>
            </w:r>
            <w:r>
              <w:rPr>
                <w:rFonts w:ascii="Arial"/>
                <w:spacing w:val="-2"/>
                <w:sz w:val="9"/>
              </w:rPr>
              <w:t>000,00</w:t>
            </w:r>
          </w:p>
        </w:tc>
        <w:tc>
          <w:tcPr>
            <w:tcW w:w="793" w:type="dxa"/>
          </w:tcPr>
          <w:p>
            <w:pPr>
              <w:pStyle w:val="TableParagraph"/>
              <w:spacing w:line="96" w:lineRule="exact" w:before="35"/>
              <w:ind w:right="5"/>
              <w:jc w:val="right"/>
              <w:rPr>
                <w:rFonts w:ascii="Arial"/>
                <w:sz w:val="9"/>
              </w:rPr>
            </w:pPr>
            <w:r>
              <w:rPr>
                <w:rFonts w:ascii="Arial"/>
                <w:sz w:val="9"/>
              </w:rPr>
              <w:t>27</w:t>
            </w:r>
            <w:r>
              <w:rPr>
                <w:rFonts w:ascii="Arial"/>
                <w:spacing w:val="-5"/>
                <w:sz w:val="9"/>
              </w:rPr>
              <w:t> </w:t>
            </w:r>
            <w:r>
              <w:rPr>
                <w:rFonts w:ascii="Arial"/>
                <w:sz w:val="9"/>
              </w:rPr>
              <w:t>517</w:t>
            </w:r>
            <w:r>
              <w:rPr>
                <w:rFonts w:ascii="Arial"/>
                <w:spacing w:val="-5"/>
                <w:sz w:val="9"/>
              </w:rPr>
              <w:t> </w:t>
            </w:r>
            <w:r>
              <w:rPr>
                <w:rFonts w:ascii="Arial"/>
                <w:spacing w:val="-2"/>
                <w:sz w:val="9"/>
              </w:rPr>
              <w:t>000,00</w:t>
            </w:r>
          </w:p>
        </w:tc>
        <w:tc>
          <w:tcPr>
            <w:tcW w:w="728" w:type="dxa"/>
          </w:tcPr>
          <w:p>
            <w:pPr>
              <w:pStyle w:val="TableParagraph"/>
              <w:spacing w:line="96" w:lineRule="exact" w:before="35"/>
              <w:ind w:right="4"/>
              <w:jc w:val="right"/>
              <w:rPr>
                <w:rFonts w:ascii="Arial"/>
                <w:sz w:val="9"/>
              </w:rPr>
            </w:pPr>
            <w:r>
              <w:rPr>
                <w:rFonts w:ascii="Arial"/>
                <w:sz w:val="9"/>
              </w:rPr>
              <w:t>25</w:t>
            </w:r>
            <w:r>
              <w:rPr>
                <w:rFonts w:ascii="Arial"/>
                <w:spacing w:val="-5"/>
                <w:sz w:val="9"/>
              </w:rPr>
              <w:t> </w:t>
            </w:r>
            <w:r>
              <w:rPr>
                <w:rFonts w:ascii="Arial"/>
                <w:sz w:val="9"/>
              </w:rPr>
              <w:t>500</w:t>
            </w:r>
            <w:r>
              <w:rPr>
                <w:rFonts w:ascii="Arial"/>
                <w:spacing w:val="-5"/>
                <w:sz w:val="9"/>
              </w:rPr>
              <w:t> </w:t>
            </w:r>
            <w:r>
              <w:rPr>
                <w:rFonts w:ascii="Arial"/>
                <w:spacing w:val="-2"/>
                <w:sz w:val="9"/>
              </w:rPr>
              <w:t>000,00</w:t>
            </w:r>
          </w:p>
        </w:tc>
      </w:tr>
      <w:tr>
        <w:trPr>
          <w:trHeight w:val="162" w:hRule="atLeast"/>
        </w:trPr>
        <w:tc>
          <w:tcPr>
            <w:tcW w:w="655" w:type="dxa"/>
            <w:tcBorders>
              <w:top w:val="single" w:sz="4" w:space="0" w:color="DFDFDF"/>
              <w:left w:val="single" w:sz="4" w:space="0" w:color="DFDFDF"/>
              <w:bottom w:val="single" w:sz="4" w:space="0" w:color="DFDFDF"/>
              <w:right w:val="single" w:sz="4" w:space="0" w:color="DFDFDF"/>
            </w:tcBorders>
          </w:tcPr>
          <w:p>
            <w:pPr>
              <w:pStyle w:val="TableParagraph"/>
              <w:rPr>
                <w:rFonts w:ascii="Times New Roman"/>
                <w:sz w:val="10"/>
              </w:rPr>
            </w:pPr>
          </w:p>
        </w:tc>
        <w:tc>
          <w:tcPr>
            <w:tcW w:w="655" w:type="dxa"/>
            <w:tcBorders>
              <w:top w:val="single" w:sz="4" w:space="0" w:color="DFDFDF"/>
              <w:left w:val="single" w:sz="4" w:space="0" w:color="DFDFDF"/>
              <w:bottom w:val="single" w:sz="4" w:space="0" w:color="DFDFDF"/>
              <w:right w:val="single" w:sz="4" w:space="0" w:color="DFDFDF"/>
            </w:tcBorders>
          </w:tcPr>
          <w:p>
            <w:pPr>
              <w:pStyle w:val="TableParagraph"/>
              <w:rPr>
                <w:rFonts w:ascii="Times New Roman"/>
                <w:sz w:val="10"/>
              </w:rPr>
            </w:pPr>
          </w:p>
        </w:tc>
        <w:tc>
          <w:tcPr>
            <w:tcW w:w="672"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655"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655"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655"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975"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655"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753"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974" w:type="dxa"/>
            <w:tcBorders>
              <w:left w:val="single" w:sz="4" w:space="0" w:color="DFDFDF"/>
              <w:bottom w:val="single" w:sz="4" w:space="0" w:color="DFDFDF"/>
              <w:right w:val="single" w:sz="4" w:space="0" w:color="DFDFDF"/>
            </w:tcBorders>
          </w:tcPr>
          <w:p>
            <w:pPr>
              <w:pStyle w:val="TableParagraph"/>
              <w:rPr>
                <w:rFonts w:ascii="Times New Roman"/>
                <w:sz w:val="10"/>
              </w:rPr>
            </w:pPr>
          </w:p>
        </w:tc>
        <w:tc>
          <w:tcPr>
            <w:tcW w:w="793" w:type="dxa"/>
            <w:tcBorders>
              <w:left w:val="single" w:sz="4" w:space="0" w:color="DFDFDF"/>
              <w:right w:val="single" w:sz="4" w:space="0" w:color="DFDFDF"/>
            </w:tcBorders>
          </w:tcPr>
          <w:p>
            <w:pPr>
              <w:pStyle w:val="TableParagraph"/>
              <w:spacing w:line="134" w:lineRule="exact" w:before="7"/>
              <w:jc w:val="right"/>
              <w:rPr>
                <w:rFonts w:ascii="Calibri" w:hAnsi="Calibri"/>
                <w:b/>
                <w:sz w:val="12"/>
              </w:rPr>
            </w:pPr>
            <w:r>
              <w:rPr>
                <w:rFonts w:ascii="Calibri" w:hAnsi="Calibri"/>
                <w:b/>
                <w:spacing w:val="-4"/>
                <w:sz w:val="12"/>
              </w:rPr>
              <w:t>₡63</w:t>
            </w:r>
            <w:r>
              <w:rPr>
                <w:rFonts w:ascii="Calibri" w:hAnsi="Calibri"/>
                <w:b/>
                <w:spacing w:val="-3"/>
                <w:sz w:val="12"/>
              </w:rPr>
              <w:t> </w:t>
            </w:r>
            <w:r>
              <w:rPr>
                <w:rFonts w:ascii="Calibri" w:hAnsi="Calibri"/>
                <w:b/>
                <w:spacing w:val="-4"/>
                <w:sz w:val="12"/>
              </w:rPr>
              <w:t>439</w:t>
            </w:r>
            <w:r>
              <w:rPr>
                <w:rFonts w:ascii="Calibri" w:hAnsi="Calibri"/>
                <w:b/>
                <w:spacing w:val="-2"/>
                <w:sz w:val="12"/>
              </w:rPr>
              <w:t> </w:t>
            </w:r>
            <w:r>
              <w:rPr>
                <w:rFonts w:ascii="Calibri" w:hAnsi="Calibri"/>
                <w:b/>
                <w:spacing w:val="-4"/>
                <w:sz w:val="12"/>
              </w:rPr>
              <w:t>531,00</w:t>
            </w:r>
          </w:p>
        </w:tc>
        <w:tc>
          <w:tcPr>
            <w:tcW w:w="728" w:type="dxa"/>
            <w:tcBorders>
              <w:left w:val="single" w:sz="4" w:space="0" w:color="DFDFDF"/>
              <w:bottom w:val="single" w:sz="4" w:space="0" w:color="DFDFDF"/>
              <w:right w:val="single" w:sz="4" w:space="0" w:color="DFDFDF"/>
            </w:tcBorders>
          </w:tcPr>
          <w:p>
            <w:pPr>
              <w:pStyle w:val="TableParagraph"/>
              <w:rPr>
                <w:rFonts w:ascii="Times New Roman"/>
                <w:sz w:val="10"/>
              </w:rPr>
            </w:pPr>
          </w:p>
        </w:tc>
      </w:tr>
    </w:tbl>
    <w:p>
      <w:pPr>
        <w:pStyle w:val="BodyText"/>
      </w:pPr>
    </w:p>
    <w:p>
      <w:pPr>
        <w:pStyle w:val="BodyText"/>
        <w:spacing w:before="122"/>
      </w:pPr>
    </w:p>
    <w:p>
      <w:pPr>
        <w:pStyle w:val="BodyText"/>
        <w:spacing w:line="259" w:lineRule="auto" w:before="1"/>
        <w:ind w:left="730" w:right="628"/>
        <w:jc w:val="both"/>
      </w:pPr>
      <w:r>
        <w:rPr/>
        <w:t>Este</w:t>
      </w:r>
      <w:r>
        <w:rPr>
          <w:spacing w:val="-3"/>
        </w:rPr>
        <w:t> </w:t>
      </w:r>
      <w:r>
        <w:rPr/>
        <w:t>deterioro</w:t>
      </w:r>
      <w:r>
        <w:rPr>
          <w:spacing w:val="-2"/>
        </w:rPr>
        <w:t> </w:t>
      </w:r>
      <w:r>
        <w:rPr/>
        <w:t>corresponde</w:t>
      </w:r>
      <w:r>
        <w:rPr>
          <w:spacing w:val="-4"/>
        </w:rPr>
        <w:t> </w:t>
      </w:r>
      <w:r>
        <w:rPr/>
        <w:t>a</w:t>
      </w:r>
      <w:r>
        <w:rPr>
          <w:spacing w:val="-3"/>
        </w:rPr>
        <w:t> </w:t>
      </w:r>
      <w:r>
        <w:rPr/>
        <w:t>ajustes</w:t>
      </w:r>
      <w:r>
        <w:rPr>
          <w:spacing w:val="-1"/>
        </w:rPr>
        <w:t> </w:t>
      </w:r>
      <w:r>
        <w:rPr/>
        <w:t>por</w:t>
      </w:r>
      <w:r>
        <w:rPr>
          <w:spacing w:val="-2"/>
        </w:rPr>
        <w:t> </w:t>
      </w:r>
      <w:r>
        <w:rPr/>
        <w:t>pérdida</w:t>
      </w:r>
      <w:r>
        <w:rPr>
          <w:spacing w:val="-3"/>
        </w:rPr>
        <w:t> </w:t>
      </w:r>
      <w:r>
        <w:rPr/>
        <w:t>de</w:t>
      </w:r>
      <w:r>
        <w:rPr>
          <w:spacing w:val="-4"/>
        </w:rPr>
        <w:t> </w:t>
      </w:r>
      <w:r>
        <w:rPr/>
        <w:t>valor</w:t>
      </w:r>
      <w:r>
        <w:rPr>
          <w:spacing w:val="-2"/>
        </w:rPr>
        <w:t> </w:t>
      </w:r>
      <w:r>
        <w:rPr/>
        <w:t>reconocidos</w:t>
      </w:r>
      <w:r>
        <w:rPr>
          <w:spacing w:val="-1"/>
        </w:rPr>
        <w:t> </w:t>
      </w:r>
      <w:r>
        <w:rPr/>
        <w:t>conforme</w:t>
      </w:r>
      <w:r>
        <w:rPr>
          <w:spacing w:val="-3"/>
        </w:rPr>
        <w:t> </w:t>
      </w:r>
      <w:r>
        <w:rPr/>
        <w:t>a</w:t>
      </w:r>
      <w:r>
        <w:rPr>
          <w:spacing w:val="-3"/>
        </w:rPr>
        <w:t> </w:t>
      </w:r>
      <w:r>
        <w:rPr/>
        <w:t>la</w:t>
      </w:r>
      <w:r>
        <w:rPr>
          <w:spacing w:val="-4"/>
        </w:rPr>
        <w:t> </w:t>
      </w:r>
      <w:r>
        <w:rPr/>
        <w:t>normativa</w:t>
      </w:r>
      <w:r>
        <w:rPr>
          <w:spacing w:val="-3"/>
        </w:rPr>
        <w:t> </w:t>
      </w:r>
      <w:r>
        <w:rPr/>
        <w:t>contable aplicable (NICSP), reduciendo el valor recuperable de estos activos. No afecta resultados del periodo como gasto nuevo, sino que ajusta el valor del activo.</w:t>
      </w:r>
    </w:p>
    <w:p>
      <w:pPr>
        <w:pStyle w:val="BodyText"/>
        <w:spacing w:before="159"/>
        <w:ind w:left="730"/>
      </w:pPr>
      <w:r>
        <w:rPr>
          <w:u w:val="single"/>
        </w:rPr>
        <w:t>Retiros</w:t>
      </w:r>
      <w:r>
        <w:rPr>
          <w:spacing w:val="-4"/>
          <w:u w:val="single"/>
        </w:rPr>
        <w:t> </w:t>
      </w:r>
      <w:r>
        <w:rPr>
          <w:u w:val="single"/>
        </w:rPr>
        <w:t>de</w:t>
      </w:r>
      <w:r>
        <w:rPr>
          <w:spacing w:val="-3"/>
          <w:u w:val="single"/>
        </w:rPr>
        <w:t> </w:t>
      </w:r>
      <w:r>
        <w:rPr>
          <w:spacing w:val="-2"/>
          <w:u w:val="single"/>
        </w:rPr>
        <w:t>activos</w:t>
      </w:r>
    </w:p>
    <w:p>
      <w:pPr>
        <w:pStyle w:val="BodyText"/>
        <w:spacing w:line="256" w:lineRule="auto" w:before="181"/>
        <w:ind w:left="730" w:right="628"/>
        <w:jc w:val="both"/>
      </w:pPr>
      <w:r>
        <w:rPr/>
        <w:t>El movimiento bruto neto fue negativo en </w:t>
      </w:r>
      <w:r>
        <w:rPr>
          <w:rFonts w:ascii="Times New Roman" w:hAnsi="Times New Roman"/>
        </w:rPr>
        <w:t>₡</w:t>
      </w:r>
      <w:r>
        <w:rPr/>
        <w:t>873.897,90 miles, equivalente a una reducción aproximada del 0,61 % respecto al saldo inicial del grupo.</w:t>
      </w:r>
    </w:p>
    <w:p>
      <w:pPr>
        <w:pStyle w:val="BodyText"/>
        <w:spacing w:before="164"/>
        <w:ind w:left="730"/>
      </w:pPr>
      <w:r>
        <w:rPr/>
        <w:t>Los</w:t>
      </w:r>
      <w:r>
        <w:rPr>
          <w:spacing w:val="-6"/>
        </w:rPr>
        <w:t> </w:t>
      </w:r>
      <w:r>
        <w:rPr/>
        <w:t>movimientos</w:t>
      </w:r>
      <w:r>
        <w:rPr>
          <w:spacing w:val="-6"/>
        </w:rPr>
        <w:t> </w:t>
      </w:r>
      <w:r>
        <w:rPr/>
        <w:t>negativos</w:t>
      </w:r>
      <w:r>
        <w:rPr>
          <w:spacing w:val="-7"/>
        </w:rPr>
        <w:t> </w:t>
      </w:r>
      <w:r>
        <w:rPr/>
        <w:t>más</w:t>
      </w:r>
      <w:r>
        <w:rPr>
          <w:spacing w:val="-3"/>
        </w:rPr>
        <w:t> </w:t>
      </w:r>
      <w:r>
        <w:rPr/>
        <w:t>importantes</w:t>
      </w:r>
      <w:r>
        <w:rPr>
          <w:spacing w:val="-7"/>
        </w:rPr>
        <w:t> </w:t>
      </w:r>
      <w:r>
        <w:rPr/>
        <w:t>se</w:t>
      </w:r>
      <w:r>
        <w:rPr>
          <w:spacing w:val="-5"/>
        </w:rPr>
        <w:t> </w:t>
      </w:r>
      <w:r>
        <w:rPr/>
        <w:t>ubican</w:t>
      </w:r>
      <w:r>
        <w:rPr>
          <w:spacing w:val="-6"/>
        </w:rPr>
        <w:t> </w:t>
      </w:r>
      <w:r>
        <w:rPr>
          <w:spacing w:val="-5"/>
        </w:rPr>
        <w:t>en:</w:t>
      </w:r>
    </w:p>
    <w:p>
      <w:pPr>
        <w:pStyle w:val="ListParagraph"/>
        <w:numPr>
          <w:ilvl w:val="0"/>
          <w:numId w:val="79"/>
        </w:numPr>
        <w:tabs>
          <w:tab w:pos="1437" w:val="left" w:leader="none"/>
        </w:tabs>
        <w:spacing w:line="240" w:lineRule="auto" w:before="179" w:after="0"/>
        <w:ind w:left="1437" w:right="0" w:hanging="707"/>
        <w:jc w:val="left"/>
        <w:rPr>
          <w:sz w:val="22"/>
        </w:rPr>
      </w:pPr>
      <w:r>
        <w:rPr>
          <w:sz w:val="22"/>
        </w:rPr>
        <w:t>Tierras</w:t>
      </w:r>
      <w:r>
        <w:rPr>
          <w:spacing w:val="-4"/>
          <w:sz w:val="22"/>
        </w:rPr>
        <w:t> </w:t>
      </w:r>
      <w:r>
        <w:rPr>
          <w:sz w:val="22"/>
        </w:rPr>
        <w:t>y</w:t>
      </w:r>
      <w:r>
        <w:rPr>
          <w:spacing w:val="-6"/>
          <w:sz w:val="22"/>
        </w:rPr>
        <w:t> </w:t>
      </w:r>
      <w:r>
        <w:rPr>
          <w:sz w:val="22"/>
        </w:rPr>
        <w:t>terrenos:</w:t>
      </w:r>
      <w:r>
        <w:rPr>
          <w:spacing w:val="-5"/>
          <w:sz w:val="22"/>
        </w:rPr>
        <w:t> </w:t>
      </w:r>
      <w:r>
        <w:rPr>
          <w:rFonts w:ascii="Times New Roman" w:hAnsi="Times New Roman"/>
          <w:sz w:val="22"/>
        </w:rPr>
        <w:t>₡</w:t>
      </w:r>
      <w:r>
        <w:rPr>
          <w:sz w:val="22"/>
        </w:rPr>
        <w:t>(572.789,41)</w:t>
      </w:r>
      <w:r>
        <w:rPr>
          <w:spacing w:val="-4"/>
          <w:sz w:val="22"/>
        </w:rPr>
        <w:t> </w:t>
      </w:r>
      <w:r>
        <w:rPr>
          <w:spacing w:val="-2"/>
          <w:sz w:val="22"/>
        </w:rPr>
        <w:t>miles.</w:t>
      </w:r>
    </w:p>
    <w:p>
      <w:pPr>
        <w:pStyle w:val="ListParagraph"/>
        <w:numPr>
          <w:ilvl w:val="0"/>
          <w:numId w:val="79"/>
        </w:numPr>
        <w:tabs>
          <w:tab w:pos="1437" w:val="left" w:leader="none"/>
        </w:tabs>
        <w:spacing w:line="240" w:lineRule="auto" w:before="182" w:after="0"/>
        <w:ind w:left="1437" w:right="0" w:hanging="707"/>
        <w:jc w:val="left"/>
        <w:rPr>
          <w:sz w:val="22"/>
        </w:rPr>
      </w:pPr>
      <w:r>
        <w:rPr>
          <w:sz w:val="22"/>
        </w:rPr>
        <w:t>Equipos</w:t>
      </w:r>
      <w:r>
        <w:rPr>
          <w:spacing w:val="-8"/>
          <w:sz w:val="22"/>
        </w:rPr>
        <w:t> </w:t>
      </w:r>
      <w:r>
        <w:rPr>
          <w:sz w:val="22"/>
        </w:rPr>
        <w:t>para</w:t>
      </w:r>
      <w:r>
        <w:rPr>
          <w:spacing w:val="-8"/>
          <w:sz w:val="22"/>
        </w:rPr>
        <w:t> </w:t>
      </w:r>
      <w:r>
        <w:rPr>
          <w:sz w:val="22"/>
        </w:rPr>
        <w:t>computación:</w:t>
      </w:r>
      <w:r>
        <w:rPr>
          <w:spacing w:val="-9"/>
          <w:sz w:val="22"/>
        </w:rPr>
        <w:t> </w:t>
      </w:r>
      <w:r>
        <w:rPr>
          <w:rFonts w:ascii="Times New Roman" w:hAnsi="Times New Roman"/>
          <w:sz w:val="22"/>
        </w:rPr>
        <w:t>₡</w:t>
      </w:r>
      <w:r>
        <w:rPr>
          <w:sz w:val="22"/>
        </w:rPr>
        <w:t>(219.784,96)</w:t>
      </w:r>
      <w:r>
        <w:rPr>
          <w:spacing w:val="-6"/>
          <w:sz w:val="22"/>
        </w:rPr>
        <w:t> </w:t>
      </w:r>
      <w:r>
        <w:rPr>
          <w:spacing w:val="-2"/>
          <w:sz w:val="22"/>
        </w:rPr>
        <w:t>miles.</w:t>
      </w:r>
    </w:p>
    <w:p>
      <w:pPr>
        <w:pStyle w:val="ListParagraph"/>
        <w:numPr>
          <w:ilvl w:val="0"/>
          <w:numId w:val="79"/>
        </w:numPr>
        <w:tabs>
          <w:tab w:pos="1437" w:val="left" w:leader="none"/>
        </w:tabs>
        <w:spacing w:line="240" w:lineRule="auto" w:before="179" w:after="0"/>
        <w:ind w:left="1437" w:right="0" w:hanging="707"/>
        <w:jc w:val="left"/>
        <w:rPr>
          <w:sz w:val="22"/>
        </w:rPr>
      </w:pPr>
      <w:r>
        <w:rPr>
          <w:sz w:val="22"/>
        </w:rPr>
        <w:t>Equipos</w:t>
      </w:r>
      <w:r>
        <w:rPr>
          <w:spacing w:val="-5"/>
          <w:sz w:val="22"/>
        </w:rPr>
        <w:t> </w:t>
      </w:r>
      <w:r>
        <w:rPr>
          <w:sz w:val="22"/>
        </w:rPr>
        <w:t>y</w:t>
      </w:r>
      <w:r>
        <w:rPr>
          <w:spacing w:val="-7"/>
          <w:sz w:val="22"/>
        </w:rPr>
        <w:t> </w:t>
      </w:r>
      <w:r>
        <w:rPr>
          <w:sz w:val="22"/>
        </w:rPr>
        <w:t>mobiliario</w:t>
      </w:r>
      <w:r>
        <w:rPr>
          <w:spacing w:val="-6"/>
          <w:sz w:val="22"/>
        </w:rPr>
        <w:t> </w:t>
      </w:r>
      <w:r>
        <w:rPr>
          <w:sz w:val="22"/>
        </w:rPr>
        <w:t>de</w:t>
      </w:r>
      <w:r>
        <w:rPr>
          <w:spacing w:val="-7"/>
          <w:sz w:val="22"/>
        </w:rPr>
        <w:t> </w:t>
      </w:r>
      <w:r>
        <w:rPr>
          <w:sz w:val="22"/>
        </w:rPr>
        <w:t>oficina:</w:t>
      </w:r>
      <w:r>
        <w:rPr>
          <w:spacing w:val="-6"/>
          <w:sz w:val="22"/>
        </w:rPr>
        <w:t> </w:t>
      </w:r>
      <w:r>
        <w:rPr>
          <w:rFonts w:ascii="Times New Roman" w:hAnsi="Times New Roman"/>
          <w:sz w:val="22"/>
        </w:rPr>
        <w:t>₡</w:t>
      </w:r>
      <w:r>
        <w:rPr>
          <w:sz w:val="22"/>
        </w:rPr>
        <w:t>(37.256,65)</w:t>
      </w:r>
      <w:r>
        <w:rPr>
          <w:spacing w:val="-5"/>
          <w:sz w:val="22"/>
        </w:rPr>
        <w:t> </w:t>
      </w:r>
      <w:r>
        <w:rPr>
          <w:spacing w:val="-2"/>
          <w:sz w:val="22"/>
        </w:rPr>
        <w:t>miles.</w:t>
      </w:r>
    </w:p>
    <w:p>
      <w:pPr>
        <w:pStyle w:val="ListParagraph"/>
        <w:numPr>
          <w:ilvl w:val="0"/>
          <w:numId w:val="79"/>
        </w:numPr>
        <w:tabs>
          <w:tab w:pos="1437" w:val="left" w:leader="none"/>
        </w:tabs>
        <w:spacing w:line="240" w:lineRule="auto" w:before="179" w:after="0"/>
        <w:ind w:left="1437" w:right="0" w:hanging="707"/>
        <w:jc w:val="left"/>
        <w:rPr>
          <w:sz w:val="22"/>
        </w:rPr>
      </w:pPr>
      <w:r>
        <w:rPr>
          <w:sz w:val="22"/>
        </w:rPr>
        <w:t>Edificios:</w:t>
      </w:r>
      <w:r>
        <w:rPr>
          <w:spacing w:val="-8"/>
          <w:sz w:val="22"/>
        </w:rPr>
        <w:t> </w:t>
      </w:r>
      <w:r>
        <w:rPr>
          <w:rFonts w:ascii="Times New Roman" w:hAnsi="Times New Roman"/>
          <w:sz w:val="22"/>
        </w:rPr>
        <w:t>₡</w:t>
      </w:r>
      <w:r>
        <w:rPr>
          <w:sz w:val="22"/>
        </w:rPr>
        <w:t>(30.225,00)</w:t>
      </w:r>
      <w:r>
        <w:rPr>
          <w:spacing w:val="-7"/>
          <w:sz w:val="22"/>
        </w:rPr>
        <w:t> </w:t>
      </w:r>
      <w:r>
        <w:rPr>
          <w:spacing w:val="-2"/>
          <w:sz w:val="22"/>
        </w:rPr>
        <w:t>miles.</w:t>
      </w:r>
    </w:p>
    <w:p>
      <w:pPr>
        <w:pStyle w:val="ListParagraph"/>
        <w:numPr>
          <w:ilvl w:val="0"/>
          <w:numId w:val="79"/>
        </w:numPr>
        <w:tabs>
          <w:tab w:pos="1437" w:val="left" w:leader="none"/>
        </w:tabs>
        <w:spacing w:line="240" w:lineRule="auto" w:before="182" w:after="0"/>
        <w:ind w:left="1437" w:right="0" w:hanging="707"/>
        <w:jc w:val="left"/>
        <w:rPr>
          <w:sz w:val="22"/>
        </w:rPr>
      </w:pPr>
      <w:r>
        <w:rPr>
          <w:sz w:val="22"/>
        </w:rPr>
        <w:t>Equipos</w:t>
      </w:r>
      <w:r>
        <w:rPr>
          <w:spacing w:val="-6"/>
          <w:sz w:val="22"/>
        </w:rPr>
        <w:t> </w:t>
      </w:r>
      <w:r>
        <w:rPr>
          <w:sz w:val="22"/>
        </w:rPr>
        <w:t>de</w:t>
      </w:r>
      <w:r>
        <w:rPr>
          <w:spacing w:val="-9"/>
          <w:sz w:val="22"/>
        </w:rPr>
        <w:t> </w:t>
      </w:r>
      <w:r>
        <w:rPr>
          <w:sz w:val="22"/>
        </w:rPr>
        <w:t>comunicación:</w:t>
      </w:r>
      <w:r>
        <w:rPr>
          <w:spacing w:val="-8"/>
          <w:sz w:val="22"/>
        </w:rPr>
        <w:t> </w:t>
      </w:r>
      <w:r>
        <w:rPr>
          <w:rFonts w:ascii="Times New Roman" w:hAnsi="Times New Roman"/>
          <w:sz w:val="22"/>
        </w:rPr>
        <w:t>₡</w:t>
      </w:r>
      <w:r>
        <w:rPr>
          <w:sz w:val="22"/>
        </w:rPr>
        <w:t>(10.581,89)</w:t>
      </w:r>
      <w:r>
        <w:rPr>
          <w:spacing w:val="-6"/>
          <w:sz w:val="22"/>
        </w:rPr>
        <w:t> </w:t>
      </w:r>
      <w:r>
        <w:rPr>
          <w:spacing w:val="-2"/>
          <w:sz w:val="22"/>
        </w:rPr>
        <w:t>miles.</w:t>
      </w:r>
    </w:p>
    <w:p>
      <w:pPr>
        <w:pStyle w:val="BodyText"/>
        <w:spacing w:line="259" w:lineRule="auto" w:before="179"/>
        <w:ind w:left="730" w:right="630"/>
        <w:jc w:val="both"/>
      </w:pPr>
      <w:r>
        <w:rPr/>
        <w:t>En</w:t>
      </w:r>
      <w:r>
        <w:rPr>
          <w:spacing w:val="-10"/>
        </w:rPr>
        <w:t> </w:t>
      </w:r>
      <w:r>
        <w:rPr/>
        <w:t>sentido</w:t>
      </w:r>
      <w:r>
        <w:rPr>
          <w:spacing w:val="-10"/>
        </w:rPr>
        <w:t> </w:t>
      </w:r>
      <w:r>
        <w:rPr/>
        <w:t>contrario,</w:t>
      </w:r>
      <w:r>
        <w:rPr>
          <w:spacing w:val="-10"/>
        </w:rPr>
        <w:t> </w:t>
      </w:r>
      <w:r>
        <w:rPr/>
        <w:t>los</w:t>
      </w:r>
      <w:r>
        <w:rPr>
          <w:spacing w:val="-9"/>
        </w:rPr>
        <w:t> </w:t>
      </w:r>
      <w:r>
        <w:rPr/>
        <w:t>equipos</w:t>
      </w:r>
      <w:r>
        <w:rPr>
          <w:spacing w:val="-9"/>
        </w:rPr>
        <w:t> </w:t>
      </w:r>
      <w:r>
        <w:rPr/>
        <w:t>de</w:t>
      </w:r>
      <w:r>
        <w:rPr>
          <w:spacing w:val="-12"/>
        </w:rPr>
        <w:t> </w:t>
      </w:r>
      <w:r>
        <w:rPr/>
        <w:t>transporte</w:t>
      </w:r>
      <w:r>
        <w:rPr>
          <w:spacing w:val="-11"/>
        </w:rPr>
        <w:t> </w:t>
      </w:r>
      <w:r>
        <w:rPr/>
        <w:t>presentan</w:t>
      </w:r>
      <w:r>
        <w:rPr>
          <w:spacing w:val="-10"/>
        </w:rPr>
        <w:t> </w:t>
      </w:r>
      <w:r>
        <w:rPr/>
        <w:t>un</w:t>
      </w:r>
      <w:r>
        <w:rPr>
          <w:spacing w:val="-10"/>
        </w:rPr>
        <w:t> </w:t>
      </w:r>
      <w:r>
        <w:rPr/>
        <w:t>movimiento</w:t>
      </w:r>
      <w:r>
        <w:rPr>
          <w:spacing w:val="-10"/>
        </w:rPr>
        <w:t> </w:t>
      </w:r>
      <w:r>
        <w:rPr/>
        <w:t>neto</w:t>
      </w:r>
      <w:r>
        <w:rPr>
          <w:spacing w:val="-9"/>
        </w:rPr>
        <w:t> </w:t>
      </w:r>
      <w:r>
        <w:rPr/>
        <w:t>positivo</w:t>
      </w:r>
      <w:r>
        <w:rPr>
          <w:spacing w:val="-10"/>
        </w:rPr>
        <w:t> </w:t>
      </w:r>
      <w:r>
        <w:rPr/>
        <w:t>de</w:t>
      </w:r>
      <w:r>
        <w:rPr>
          <w:spacing w:val="-9"/>
        </w:rPr>
        <w:t> </w:t>
      </w:r>
      <w:r>
        <w:rPr>
          <w:rFonts w:ascii="Times New Roman" w:hAnsi="Times New Roman"/>
        </w:rPr>
        <w:t>₡</w:t>
      </w:r>
      <w:r>
        <w:rPr/>
        <w:t>670,74</w:t>
      </w:r>
      <w:r>
        <w:rPr>
          <w:spacing w:val="-11"/>
        </w:rPr>
        <w:t> </w:t>
      </w:r>
      <w:r>
        <w:rPr/>
        <w:t>miles, originado por altas de </w:t>
      </w:r>
      <w:r>
        <w:rPr>
          <w:rFonts w:ascii="Times New Roman" w:hAnsi="Times New Roman"/>
        </w:rPr>
        <w:t>₡</w:t>
      </w:r>
      <w:r>
        <w:rPr/>
        <w:t>12.752,05 miles y bajas de </w:t>
      </w:r>
      <w:r>
        <w:rPr>
          <w:rFonts w:ascii="Times New Roman" w:hAnsi="Times New Roman"/>
        </w:rPr>
        <w:t>₡</w:t>
      </w:r>
      <w:r>
        <w:rPr/>
        <w:t>12.081,31 miles.</w:t>
      </w:r>
    </w:p>
    <w:p>
      <w:pPr>
        <w:pStyle w:val="BodyText"/>
        <w:spacing w:before="159"/>
        <w:ind w:left="730"/>
      </w:pPr>
      <w:r>
        <w:rPr>
          <w:spacing w:val="-2"/>
          <w:u w:val="single"/>
        </w:rPr>
        <w:t>Ajustes</w:t>
      </w:r>
    </w:p>
    <w:p>
      <w:pPr>
        <w:pStyle w:val="BodyText"/>
        <w:spacing w:before="182"/>
        <w:ind w:left="730"/>
      </w:pPr>
      <w:r>
        <w:rPr/>
        <w:t>No</w:t>
      </w:r>
      <w:r>
        <w:rPr>
          <w:spacing w:val="-5"/>
        </w:rPr>
        <w:t> </w:t>
      </w:r>
      <w:r>
        <w:rPr/>
        <w:t>se</w:t>
      </w:r>
      <w:r>
        <w:rPr>
          <w:spacing w:val="-5"/>
        </w:rPr>
        <w:t> </w:t>
      </w:r>
      <w:r>
        <w:rPr/>
        <w:t>registraron</w:t>
      </w:r>
      <w:r>
        <w:rPr>
          <w:spacing w:val="-4"/>
        </w:rPr>
        <w:t> </w:t>
      </w:r>
      <w:r>
        <w:rPr/>
        <w:t>ajustes</w:t>
      </w:r>
      <w:r>
        <w:rPr>
          <w:spacing w:val="-4"/>
        </w:rPr>
        <w:t> </w:t>
      </w:r>
      <w:r>
        <w:rPr/>
        <w:t>adicionales</w:t>
      </w:r>
      <w:r>
        <w:rPr>
          <w:spacing w:val="-3"/>
        </w:rPr>
        <w:t> </w:t>
      </w:r>
      <w:r>
        <w:rPr/>
        <w:t>al</w:t>
      </w:r>
      <w:r>
        <w:rPr>
          <w:spacing w:val="-4"/>
        </w:rPr>
        <w:t> </w:t>
      </w:r>
      <w:r>
        <w:rPr/>
        <w:t>costo</w:t>
      </w:r>
      <w:r>
        <w:rPr>
          <w:spacing w:val="-4"/>
        </w:rPr>
        <w:t> </w:t>
      </w:r>
      <w:r>
        <w:rPr/>
        <w:t>de</w:t>
      </w:r>
      <w:r>
        <w:rPr>
          <w:spacing w:val="-6"/>
        </w:rPr>
        <w:t> </w:t>
      </w:r>
      <w:r>
        <w:rPr/>
        <w:t>los</w:t>
      </w:r>
      <w:r>
        <w:rPr>
          <w:spacing w:val="-3"/>
        </w:rPr>
        <w:t> </w:t>
      </w:r>
      <w:r>
        <w:rPr/>
        <w:t>activos</w:t>
      </w:r>
      <w:r>
        <w:rPr>
          <w:spacing w:val="-4"/>
        </w:rPr>
        <w:t> </w:t>
      </w:r>
      <w:r>
        <w:rPr/>
        <w:t>durante</w:t>
      </w:r>
      <w:r>
        <w:rPr>
          <w:spacing w:val="-4"/>
        </w:rPr>
        <w:t> </w:t>
      </w:r>
      <w:r>
        <w:rPr/>
        <w:t>el</w:t>
      </w:r>
      <w:r>
        <w:rPr>
          <w:spacing w:val="-4"/>
        </w:rPr>
        <w:t> </w:t>
      </w:r>
      <w:r>
        <w:rPr>
          <w:spacing w:val="-2"/>
        </w:rPr>
        <w:t>periodo.</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3664">
                <wp:simplePos x="0" y="0"/>
                <wp:positionH relativeFrom="page">
                  <wp:posOffset>9525</wp:posOffset>
                </wp:positionH>
                <wp:positionV relativeFrom="page">
                  <wp:posOffset>297208</wp:posOffset>
                </wp:positionV>
                <wp:extent cx="7762875" cy="9748520"/>
                <wp:effectExtent l="0" t="0" r="0" b="0"/>
                <wp:wrapNone/>
                <wp:docPr id="916" name="Group 916"/>
                <wp:cNvGraphicFramePr>
                  <a:graphicFrameLocks/>
                </wp:cNvGraphicFramePr>
                <a:graphic>
                  <a:graphicData uri="http://schemas.microsoft.com/office/word/2010/wordprocessingGroup">
                    <wpg:wgp>
                      <wpg:cNvPr id="916" name="Group 916"/>
                      <wpg:cNvGrpSpPr/>
                      <wpg:grpSpPr>
                        <a:xfrm>
                          <a:off x="0" y="0"/>
                          <a:ext cx="7762875" cy="9748520"/>
                          <a:chExt cx="7762875" cy="9748520"/>
                        </a:xfrm>
                      </wpg:grpSpPr>
                      <pic:pic>
                        <pic:nvPicPr>
                          <pic:cNvPr id="917" name="Image 917"/>
                          <pic:cNvPicPr/>
                        </pic:nvPicPr>
                        <pic:blipFill>
                          <a:blip r:embed="rId5" cstate="print"/>
                          <a:stretch>
                            <a:fillRect/>
                          </a:stretch>
                        </pic:blipFill>
                        <pic:spPr>
                          <a:xfrm>
                            <a:off x="0" y="0"/>
                            <a:ext cx="7762874" cy="9748489"/>
                          </a:xfrm>
                          <a:prstGeom prst="rect">
                            <a:avLst/>
                          </a:prstGeom>
                        </pic:spPr>
                      </pic:pic>
                      <wps:wsp>
                        <wps:cNvPr id="918" name="Graphic 918"/>
                        <wps:cNvSpPr/>
                        <wps:spPr>
                          <a:xfrm>
                            <a:off x="1053007" y="990837"/>
                            <a:ext cx="5736590" cy="7858759"/>
                          </a:xfrm>
                          <a:custGeom>
                            <a:avLst/>
                            <a:gdLst/>
                            <a:ahLst/>
                            <a:cxnLst/>
                            <a:rect l="l" t="t" r="r" b="b"/>
                            <a:pathLst>
                              <a:path w="5736590" h="7858759">
                                <a:moveTo>
                                  <a:pt x="21336" y="474027"/>
                                </a:moveTo>
                                <a:lnTo>
                                  <a:pt x="15240" y="474027"/>
                                </a:lnTo>
                                <a:lnTo>
                                  <a:pt x="15240" y="7852600"/>
                                </a:lnTo>
                                <a:lnTo>
                                  <a:pt x="21336" y="7852600"/>
                                </a:lnTo>
                                <a:lnTo>
                                  <a:pt x="21336" y="474027"/>
                                </a:lnTo>
                                <a:close/>
                              </a:path>
                              <a:path w="5736590" h="7858759">
                                <a:moveTo>
                                  <a:pt x="5649214" y="0"/>
                                </a:moveTo>
                                <a:lnTo>
                                  <a:pt x="0" y="0"/>
                                </a:lnTo>
                                <a:lnTo>
                                  <a:pt x="0" y="9131"/>
                                </a:lnTo>
                                <a:lnTo>
                                  <a:pt x="5649214" y="9131"/>
                                </a:lnTo>
                                <a:lnTo>
                                  <a:pt x="5649214" y="0"/>
                                </a:lnTo>
                                <a:close/>
                              </a:path>
                              <a:path w="5736590" h="7858759">
                                <a:moveTo>
                                  <a:pt x="5736018" y="7852613"/>
                                </a:moveTo>
                                <a:lnTo>
                                  <a:pt x="5729986" y="7852613"/>
                                </a:lnTo>
                                <a:lnTo>
                                  <a:pt x="21336" y="7852613"/>
                                </a:lnTo>
                                <a:lnTo>
                                  <a:pt x="15240" y="7852613"/>
                                </a:lnTo>
                                <a:lnTo>
                                  <a:pt x="15240" y="7858696"/>
                                </a:lnTo>
                                <a:lnTo>
                                  <a:pt x="21336" y="7858696"/>
                                </a:lnTo>
                                <a:lnTo>
                                  <a:pt x="5729935" y="7858696"/>
                                </a:lnTo>
                                <a:lnTo>
                                  <a:pt x="5736018" y="7858696"/>
                                </a:lnTo>
                                <a:lnTo>
                                  <a:pt x="5736018" y="7852613"/>
                                </a:lnTo>
                                <a:close/>
                              </a:path>
                              <a:path w="5736590" h="7858759">
                                <a:moveTo>
                                  <a:pt x="5736018" y="474027"/>
                                </a:moveTo>
                                <a:lnTo>
                                  <a:pt x="5729935" y="474027"/>
                                </a:lnTo>
                                <a:lnTo>
                                  <a:pt x="5729935" y="7852600"/>
                                </a:lnTo>
                                <a:lnTo>
                                  <a:pt x="5736018" y="7852600"/>
                                </a:lnTo>
                                <a:lnTo>
                                  <a:pt x="5736018" y="474027"/>
                                </a:lnTo>
                                <a:close/>
                              </a:path>
                              <a:path w="5736590" h="7858759">
                                <a:moveTo>
                                  <a:pt x="5736018" y="467855"/>
                                </a:moveTo>
                                <a:lnTo>
                                  <a:pt x="5729986" y="467855"/>
                                </a:lnTo>
                                <a:lnTo>
                                  <a:pt x="21336" y="467855"/>
                                </a:lnTo>
                                <a:lnTo>
                                  <a:pt x="15240" y="467855"/>
                                </a:lnTo>
                                <a:lnTo>
                                  <a:pt x="15240" y="473951"/>
                                </a:lnTo>
                                <a:lnTo>
                                  <a:pt x="21336" y="473951"/>
                                </a:lnTo>
                                <a:lnTo>
                                  <a:pt x="5729935" y="473951"/>
                                </a:lnTo>
                                <a:lnTo>
                                  <a:pt x="5736018" y="473951"/>
                                </a:lnTo>
                                <a:lnTo>
                                  <a:pt x="5736018" y="4678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2816" id="docshapegroup891" coordorigin="15,468" coordsize="12225,15352">
                <v:shape style="position:absolute;left:15;top:468;width:12225;height:15352" type="#_x0000_t75" id="docshape892" stroked="false">
                  <v:imagedata r:id="rId5" o:title=""/>
                </v:shape>
                <v:shape style="position:absolute;left:1673;top:2028;width:9034;height:12376" id="docshape893" coordorigin="1673,2028" coordsize="9034,12376" path="m1707,2775l1697,2775,1697,14395,1707,14395,1707,2775xm10570,2028l1673,2028,1673,2043,10570,2043,10570,2028xm10706,14395l10697,14395,10697,14395,1707,14395,1697,14395,1697,14404,1707,14404,10697,14404,10697,14404,10706,14404,10706,14395xm10706,2775l10697,2775,10697,14395,10706,14395,10706,2775xm10706,2765l10697,2765,10697,2765,1707,2765,1697,2765,1697,2775,1707,2775,10697,2775,10697,2775,10706,2775,10706,2765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185</w:t>
      </w:r>
    </w:p>
    <w:p>
      <w:pPr>
        <w:pStyle w:val="ListParagraph"/>
        <w:numPr>
          <w:ilvl w:val="0"/>
          <w:numId w:val="80"/>
        </w:numPr>
        <w:tabs>
          <w:tab w:pos="1341" w:val="left" w:leader="none"/>
        </w:tabs>
        <w:spacing w:line="240" w:lineRule="auto" w:before="218" w:after="0"/>
        <w:ind w:left="1341" w:right="0" w:hanging="360"/>
        <w:jc w:val="left"/>
        <w:rPr>
          <w:sz w:val="22"/>
        </w:rPr>
      </w:pPr>
      <w:r>
        <w:rPr>
          <w:sz w:val="22"/>
          <w:u w:val="single"/>
        </w:rPr>
        <w:t>Depreciación</w:t>
      </w:r>
      <w:r>
        <w:rPr>
          <w:spacing w:val="-10"/>
          <w:sz w:val="22"/>
          <w:u w:val="single"/>
        </w:rPr>
        <w:t> </w:t>
      </w:r>
      <w:r>
        <w:rPr>
          <w:sz w:val="22"/>
          <w:u w:val="single"/>
        </w:rPr>
        <w:t>Acumulada</w:t>
      </w:r>
      <w:r>
        <w:rPr>
          <w:spacing w:val="-8"/>
          <w:sz w:val="22"/>
          <w:u w:val="single"/>
        </w:rPr>
        <w:t> </w:t>
      </w:r>
      <w:r>
        <w:rPr>
          <w:sz w:val="22"/>
          <w:u w:val="single"/>
        </w:rPr>
        <w:t>(Párrafo</w:t>
      </w:r>
      <w:r>
        <w:rPr>
          <w:spacing w:val="-4"/>
          <w:sz w:val="22"/>
          <w:u w:val="single"/>
        </w:rPr>
        <w:t> </w:t>
      </w:r>
      <w:r>
        <w:rPr>
          <w:spacing w:val="-5"/>
          <w:sz w:val="22"/>
          <w:u w:val="single"/>
        </w:rPr>
        <w:t>88)</w:t>
      </w:r>
    </w:p>
    <w:p>
      <w:pPr>
        <w:pStyle w:val="BodyText"/>
        <w:spacing w:before="45"/>
      </w:pPr>
    </w:p>
    <w:p>
      <w:pPr>
        <w:pStyle w:val="Heading6"/>
        <w:ind w:left="730"/>
        <w:rPr>
          <w:b w:val="0"/>
        </w:rPr>
      </w:pPr>
      <w:r>
        <w:rPr>
          <w:color w:val="1F4E79"/>
          <w:spacing w:val="-2"/>
          <w:u w:val="single" w:color="1F4E79"/>
        </w:rPr>
        <w:t>Revelación</w:t>
      </w:r>
      <w:r>
        <w:rPr>
          <w:b w:val="0"/>
          <w:spacing w:val="-2"/>
          <w:u w:val="none"/>
        </w:rPr>
        <w:t>:</w:t>
      </w:r>
    </w:p>
    <w:p>
      <w:pPr>
        <w:pStyle w:val="BodyText"/>
        <w:spacing w:line="259" w:lineRule="auto" w:before="179"/>
        <w:ind w:left="730" w:right="924"/>
        <w:jc w:val="both"/>
      </w:pPr>
      <w:r>
        <w:rPr/>
        <w:t>El siguiente cuadro complementa el análisis del costo histórico de los activos fijos, mostrando la evolución de la depreciación acumulada entre el 31 de diciembre de 2025 y el 31 de julio 2026, así como su impacto en el valor neto en libros.</w:t>
      </w:r>
    </w:p>
    <w:p>
      <w:pPr>
        <w:pStyle w:val="BodyText"/>
        <w:spacing w:line="259" w:lineRule="auto" w:before="161"/>
        <w:ind w:left="730" w:right="923"/>
        <w:jc w:val="both"/>
      </w:pPr>
      <w:r>
        <w:rPr/>
        <w:t>Saldo</w:t>
      </w:r>
      <w:r>
        <w:rPr>
          <w:spacing w:val="-14"/>
        </w:rPr>
        <w:t> </w:t>
      </w:r>
      <w:r>
        <w:rPr/>
        <w:t>de</w:t>
      </w:r>
      <w:r>
        <w:rPr>
          <w:spacing w:val="-14"/>
        </w:rPr>
        <w:t> </w:t>
      </w:r>
      <w:r>
        <w:rPr/>
        <w:t>depreciación</w:t>
      </w:r>
      <w:r>
        <w:rPr>
          <w:spacing w:val="-14"/>
        </w:rPr>
        <w:t> </w:t>
      </w:r>
      <w:r>
        <w:rPr/>
        <w:t>acumulada</w:t>
      </w:r>
      <w:r>
        <w:rPr>
          <w:spacing w:val="-13"/>
        </w:rPr>
        <w:t> </w:t>
      </w:r>
      <w:r>
        <w:rPr/>
        <w:t>al</w:t>
      </w:r>
      <w:r>
        <w:rPr>
          <w:spacing w:val="-14"/>
        </w:rPr>
        <w:t> </w:t>
      </w:r>
      <w:r>
        <w:rPr/>
        <w:t>31</w:t>
      </w:r>
      <w:r>
        <w:rPr>
          <w:spacing w:val="-14"/>
        </w:rPr>
        <w:t> </w:t>
      </w:r>
      <w:r>
        <w:rPr/>
        <w:t>de</w:t>
      </w:r>
      <w:r>
        <w:rPr>
          <w:spacing w:val="-14"/>
        </w:rPr>
        <w:t> </w:t>
      </w:r>
      <w:r>
        <w:rPr/>
        <w:t>diciembre</w:t>
      </w:r>
      <w:r>
        <w:rPr>
          <w:spacing w:val="-13"/>
        </w:rPr>
        <w:t> </w:t>
      </w:r>
      <w:r>
        <w:rPr/>
        <w:t>de</w:t>
      </w:r>
      <w:r>
        <w:rPr>
          <w:spacing w:val="-14"/>
        </w:rPr>
        <w:t> </w:t>
      </w:r>
      <w:r>
        <w:rPr/>
        <w:t>2025,</w:t>
      </w:r>
      <w:r>
        <w:rPr>
          <w:spacing w:val="-14"/>
        </w:rPr>
        <w:t> </w:t>
      </w:r>
      <w:r>
        <w:rPr/>
        <w:t>distribuida</w:t>
      </w:r>
      <w:r>
        <w:rPr>
          <w:spacing w:val="-14"/>
        </w:rPr>
        <w:t> </w:t>
      </w:r>
      <w:r>
        <w:rPr/>
        <w:t>principalmente</w:t>
      </w:r>
      <w:r>
        <w:rPr>
          <w:spacing w:val="-13"/>
        </w:rPr>
        <w:t> </w:t>
      </w:r>
      <w:r>
        <w:rPr/>
        <w:t>en:</w:t>
      </w:r>
      <w:r>
        <w:rPr>
          <w:spacing w:val="-14"/>
        </w:rPr>
        <w:t> </w:t>
      </w:r>
      <w:r>
        <w:rPr/>
        <w:t>Edificios, Equipo y mobiliario de oficina, comunicación y computación, Vehículos, Equipo de seguridad, sanitario</w:t>
      </w:r>
      <w:r>
        <w:rPr>
          <w:spacing w:val="-2"/>
        </w:rPr>
        <w:t> </w:t>
      </w:r>
      <w:r>
        <w:rPr/>
        <w:t>y</w:t>
      </w:r>
      <w:r>
        <w:rPr>
          <w:spacing w:val="-3"/>
        </w:rPr>
        <w:t> </w:t>
      </w:r>
      <w:r>
        <w:rPr/>
        <w:t>educacional</w:t>
      </w:r>
      <w:r>
        <w:rPr>
          <w:spacing w:val="-3"/>
        </w:rPr>
        <w:t> </w:t>
      </w:r>
      <w:r>
        <w:rPr/>
        <w:t>y</w:t>
      </w:r>
      <w:r>
        <w:rPr>
          <w:spacing w:val="-3"/>
        </w:rPr>
        <w:t> </w:t>
      </w:r>
      <w:r>
        <w:rPr/>
        <w:t>Maquinaria</w:t>
      </w:r>
      <w:r>
        <w:rPr>
          <w:spacing w:val="-3"/>
        </w:rPr>
        <w:t> </w:t>
      </w:r>
      <w:r>
        <w:rPr/>
        <w:t>y</w:t>
      </w:r>
      <w:r>
        <w:rPr>
          <w:spacing w:val="-3"/>
        </w:rPr>
        <w:t> </w:t>
      </w:r>
      <w:r>
        <w:rPr/>
        <w:t>equipo</w:t>
      </w:r>
      <w:r>
        <w:rPr>
          <w:spacing w:val="-2"/>
        </w:rPr>
        <w:t> </w:t>
      </w:r>
      <w:r>
        <w:rPr/>
        <w:t>diverso.</w:t>
      </w:r>
      <w:r>
        <w:rPr>
          <w:spacing w:val="-3"/>
        </w:rPr>
        <w:t> </w:t>
      </w:r>
      <w:r>
        <w:rPr/>
        <w:t>Este</w:t>
      </w:r>
      <w:r>
        <w:rPr>
          <w:spacing w:val="-3"/>
        </w:rPr>
        <w:t> </w:t>
      </w:r>
      <w:r>
        <w:rPr/>
        <w:t>saldo</w:t>
      </w:r>
      <w:r>
        <w:rPr>
          <w:spacing w:val="-2"/>
        </w:rPr>
        <w:t> </w:t>
      </w:r>
      <w:r>
        <w:rPr/>
        <w:t>refleja</w:t>
      </w:r>
      <w:r>
        <w:rPr>
          <w:spacing w:val="-3"/>
        </w:rPr>
        <w:t> </w:t>
      </w:r>
      <w:r>
        <w:rPr/>
        <w:t>el</w:t>
      </w:r>
      <w:r>
        <w:rPr>
          <w:spacing w:val="-2"/>
        </w:rPr>
        <w:t> </w:t>
      </w:r>
      <w:r>
        <w:rPr/>
        <w:t>desgaste</w:t>
      </w:r>
      <w:r>
        <w:rPr>
          <w:spacing w:val="-6"/>
        </w:rPr>
        <w:t> </w:t>
      </w:r>
      <w:r>
        <w:rPr/>
        <w:t>sistemático</w:t>
      </w:r>
      <w:r>
        <w:rPr>
          <w:spacing w:val="-2"/>
        </w:rPr>
        <w:t> </w:t>
      </w:r>
      <w:r>
        <w:rPr/>
        <w:t>de</w:t>
      </w:r>
      <w:r>
        <w:rPr>
          <w:spacing w:val="-4"/>
        </w:rPr>
        <w:t> </w:t>
      </w:r>
      <w:r>
        <w:rPr/>
        <w:t>los activos conforme al método de línea recta, aplicado de acuerdo con su vida útil estimada, en cumplimiento de las NICSP y la normativa contable vigente del sector público.</w:t>
      </w:r>
    </w:p>
    <w:p>
      <w:pPr>
        <w:pStyle w:val="BodyText"/>
        <w:spacing w:before="158"/>
        <w:ind w:left="730"/>
      </w:pPr>
      <w:r>
        <w:rPr/>
        <w:t>Al</w:t>
      </w:r>
      <w:r>
        <w:rPr>
          <w:spacing w:val="-5"/>
        </w:rPr>
        <w:t> </w:t>
      </w:r>
      <w:r>
        <w:rPr/>
        <w:t>cierre</w:t>
      </w:r>
      <w:r>
        <w:rPr>
          <w:spacing w:val="-5"/>
        </w:rPr>
        <w:t> </w:t>
      </w:r>
      <w:r>
        <w:rPr/>
        <w:t>de</w:t>
      </w:r>
      <w:r>
        <w:rPr>
          <w:spacing w:val="-5"/>
        </w:rPr>
        <w:t> </w:t>
      </w:r>
      <w:r>
        <w:rPr/>
        <w:t>julio</w:t>
      </w:r>
      <w:r>
        <w:rPr>
          <w:spacing w:val="-2"/>
        </w:rPr>
        <w:t> </w:t>
      </w:r>
      <w:r>
        <w:rPr/>
        <w:t>2026,</w:t>
      </w:r>
      <w:r>
        <w:rPr>
          <w:spacing w:val="-3"/>
        </w:rPr>
        <w:t> </w:t>
      </w:r>
      <w:r>
        <w:rPr/>
        <w:t>la</w:t>
      </w:r>
      <w:r>
        <w:rPr>
          <w:spacing w:val="-4"/>
        </w:rPr>
        <w:t> </w:t>
      </w:r>
      <w:r>
        <w:rPr/>
        <w:t>depreciación</w:t>
      </w:r>
      <w:r>
        <w:rPr>
          <w:spacing w:val="-3"/>
        </w:rPr>
        <w:t> </w:t>
      </w:r>
      <w:r>
        <w:rPr/>
        <w:t>acumulada</w:t>
      </w:r>
      <w:r>
        <w:rPr>
          <w:spacing w:val="-3"/>
        </w:rPr>
        <w:t> </w:t>
      </w:r>
      <w:r>
        <w:rPr/>
        <w:t>total</w:t>
      </w:r>
      <w:r>
        <w:rPr>
          <w:spacing w:val="-4"/>
        </w:rPr>
        <w:t> </w:t>
      </w:r>
      <w:r>
        <w:rPr/>
        <w:t>ascendió</w:t>
      </w:r>
      <w:r>
        <w:rPr>
          <w:spacing w:val="-3"/>
        </w:rPr>
        <w:t> </w:t>
      </w:r>
      <w:r>
        <w:rPr/>
        <w:t>a:</w:t>
      </w:r>
      <w:r>
        <w:rPr>
          <w:spacing w:val="-3"/>
        </w:rPr>
        <w:t> </w:t>
      </w:r>
      <w:r>
        <w:rPr>
          <w:rFonts w:ascii="Times New Roman" w:hAnsi="Times New Roman"/>
          <w:spacing w:val="-2"/>
        </w:rPr>
        <w:t>₡</w:t>
      </w:r>
      <w:r>
        <w:rPr>
          <w:spacing w:val="-2"/>
        </w:rPr>
        <w:t>6.982.298,83</w:t>
      </w:r>
    </w:p>
    <w:p>
      <w:pPr>
        <w:pStyle w:val="BodyText"/>
        <w:spacing w:before="5"/>
        <w:rPr>
          <w:sz w:val="15"/>
        </w:rPr>
      </w:pPr>
    </w:p>
    <w:tbl>
      <w:tblPr>
        <w:tblW w:w="0" w:type="auto"/>
        <w:jc w:val="left"/>
        <w:tblInd w:w="1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6"/>
        <w:gridCol w:w="251"/>
        <w:gridCol w:w="826"/>
        <w:gridCol w:w="181"/>
        <w:gridCol w:w="817"/>
        <w:gridCol w:w="945"/>
        <w:gridCol w:w="978"/>
        <w:gridCol w:w="881"/>
        <w:gridCol w:w="736"/>
        <w:gridCol w:w="153"/>
        <w:gridCol w:w="827"/>
      </w:tblGrid>
      <w:tr>
        <w:trPr>
          <w:trHeight w:val="231" w:hRule="atLeast"/>
        </w:trPr>
        <w:tc>
          <w:tcPr>
            <w:tcW w:w="1566" w:type="dxa"/>
            <w:tcBorders>
              <w:left w:val="single" w:sz="4" w:space="0" w:color="000000"/>
            </w:tcBorders>
          </w:tcPr>
          <w:p>
            <w:pPr>
              <w:pStyle w:val="TableParagraph"/>
              <w:spacing w:before="67"/>
              <w:ind w:left="16"/>
              <w:rPr>
                <w:rFonts w:ascii="Times New Roman" w:hAnsi="Times New Roman"/>
                <w:b/>
                <w:sz w:val="11"/>
              </w:rPr>
            </w:pPr>
            <w:r>
              <w:rPr>
                <w:rFonts w:ascii="Times New Roman" w:hAnsi="Times New Roman"/>
                <w:b/>
                <w:sz w:val="11"/>
              </w:rPr>
              <w:t>Depreciación</w:t>
            </w:r>
            <w:r>
              <w:rPr>
                <w:rFonts w:ascii="Times New Roman" w:hAnsi="Times New Roman"/>
                <w:b/>
                <w:spacing w:val="-7"/>
                <w:sz w:val="11"/>
              </w:rPr>
              <w:t> </w:t>
            </w:r>
            <w:r>
              <w:rPr>
                <w:rFonts w:ascii="Times New Roman" w:hAnsi="Times New Roman"/>
                <w:b/>
                <w:spacing w:val="-2"/>
                <w:sz w:val="11"/>
              </w:rPr>
              <w:t>acumulada:</w:t>
            </w:r>
          </w:p>
        </w:tc>
        <w:tc>
          <w:tcPr>
            <w:tcW w:w="251" w:type="dxa"/>
            <w:tcBorders>
              <w:top w:val="single" w:sz="4" w:space="0" w:color="000000"/>
            </w:tcBorders>
          </w:tcPr>
          <w:p>
            <w:pPr>
              <w:pStyle w:val="TableParagraph"/>
              <w:rPr>
                <w:rFonts w:ascii="Times New Roman"/>
                <w:sz w:val="16"/>
              </w:rPr>
            </w:pPr>
          </w:p>
        </w:tc>
        <w:tc>
          <w:tcPr>
            <w:tcW w:w="826" w:type="dxa"/>
            <w:tcBorders>
              <w:top w:val="single" w:sz="4" w:space="0" w:color="000000"/>
            </w:tcBorders>
          </w:tcPr>
          <w:p>
            <w:pPr>
              <w:pStyle w:val="TableParagraph"/>
              <w:rPr>
                <w:rFonts w:ascii="Times New Roman"/>
                <w:sz w:val="16"/>
              </w:rPr>
            </w:pPr>
          </w:p>
        </w:tc>
        <w:tc>
          <w:tcPr>
            <w:tcW w:w="181" w:type="dxa"/>
            <w:tcBorders>
              <w:top w:val="single" w:sz="4" w:space="0" w:color="000000"/>
            </w:tcBorders>
          </w:tcPr>
          <w:p>
            <w:pPr>
              <w:pStyle w:val="TableParagraph"/>
              <w:rPr>
                <w:rFonts w:ascii="Times New Roman"/>
                <w:sz w:val="16"/>
              </w:rPr>
            </w:pPr>
          </w:p>
        </w:tc>
        <w:tc>
          <w:tcPr>
            <w:tcW w:w="817" w:type="dxa"/>
            <w:tcBorders>
              <w:top w:val="single" w:sz="4" w:space="0" w:color="000000"/>
            </w:tcBorders>
          </w:tcPr>
          <w:p>
            <w:pPr>
              <w:pStyle w:val="TableParagraph"/>
              <w:rPr>
                <w:rFonts w:ascii="Times New Roman"/>
                <w:sz w:val="16"/>
              </w:rPr>
            </w:pPr>
          </w:p>
        </w:tc>
        <w:tc>
          <w:tcPr>
            <w:tcW w:w="945" w:type="dxa"/>
            <w:tcBorders>
              <w:top w:val="single" w:sz="4" w:space="0" w:color="000000"/>
            </w:tcBorders>
          </w:tcPr>
          <w:p>
            <w:pPr>
              <w:pStyle w:val="TableParagraph"/>
              <w:rPr>
                <w:rFonts w:ascii="Times New Roman"/>
                <w:sz w:val="16"/>
              </w:rPr>
            </w:pPr>
          </w:p>
        </w:tc>
        <w:tc>
          <w:tcPr>
            <w:tcW w:w="978" w:type="dxa"/>
            <w:tcBorders>
              <w:top w:val="single" w:sz="4" w:space="0" w:color="000000"/>
            </w:tcBorders>
          </w:tcPr>
          <w:p>
            <w:pPr>
              <w:pStyle w:val="TableParagraph"/>
              <w:rPr>
                <w:rFonts w:ascii="Times New Roman"/>
                <w:sz w:val="16"/>
              </w:rPr>
            </w:pPr>
          </w:p>
        </w:tc>
        <w:tc>
          <w:tcPr>
            <w:tcW w:w="881" w:type="dxa"/>
            <w:tcBorders>
              <w:top w:val="single" w:sz="4" w:space="0" w:color="000000"/>
            </w:tcBorders>
          </w:tcPr>
          <w:p>
            <w:pPr>
              <w:pStyle w:val="TableParagraph"/>
              <w:rPr>
                <w:rFonts w:ascii="Times New Roman"/>
                <w:sz w:val="16"/>
              </w:rPr>
            </w:pPr>
          </w:p>
        </w:tc>
        <w:tc>
          <w:tcPr>
            <w:tcW w:w="736" w:type="dxa"/>
            <w:tcBorders>
              <w:top w:val="single" w:sz="4" w:space="0" w:color="000000"/>
            </w:tcBorders>
          </w:tcPr>
          <w:p>
            <w:pPr>
              <w:pStyle w:val="TableParagraph"/>
              <w:rPr>
                <w:rFonts w:ascii="Times New Roman"/>
                <w:sz w:val="16"/>
              </w:rPr>
            </w:pPr>
          </w:p>
        </w:tc>
        <w:tc>
          <w:tcPr>
            <w:tcW w:w="153" w:type="dxa"/>
            <w:tcBorders>
              <w:top w:val="single" w:sz="4" w:space="0" w:color="000000"/>
            </w:tcBorders>
          </w:tcPr>
          <w:p>
            <w:pPr>
              <w:pStyle w:val="TableParagraph"/>
              <w:rPr>
                <w:rFonts w:ascii="Times New Roman"/>
                <w:sz w:val="16"/>
              </w:rPr>
            </w:pPr>
          </w:p>
        </w:tc>
        <w:tc>
          <w:tcPr>
            <w:tcW w:w="827" w:type="dxa"/>
            <w:tcBorders>
              <w:top w:val="single" w:sz="4" w:space="0" w:color="000000"/>
              <w:right w:val="single" w:sz="4" w:space="0" w:color="000000"/>
            </w:tcBorders>
          </w:tcPr>
          <w:p>
            <w:pPr>
              <w:pStyle w:val="TableParagraph"/>
              <w:rPr>
                <w:rFonts w:ascii="Times New Roman"/>
                <w:sz w:val="16"/>
              </w:rPr>
            </w:pPr>
          </w:p>
        </w:tc>
      </w:tr>
      <w:tr>
        <w:trPr>
          <w:trHeight w:val="173" w:hRule="atLeast"/>
        </w:trPr>
        <w:tc>
          <w:tcPr>
            <w:tcW w:w="1566" w:type="dxa"/>
            <w:tcBorders>
              <w:left w:val="single" w:sz="4" w:space="0" w:color="000000"/>
            </w:tcBorders>
          </w:tcPr>
          <w:p>
            <w:pPr>
              <w:pStyle w:val="TableParagraph"/>
              <w:spacing w:line="119" w:lineRule="exact" w:before="34"/>
              <w:ind w:left="16"/>
              <w:rPr>
                <w:rFonts w:ascii="Times New Roman"/>
                <w:sz w:val="11"/>
              </w:rPr>
            </w:pPr>
            <w:r>
              <w:rPr>
                <w:rFonts w:ascii="Times New Roman"/>
                <w:sz w:val="11"/>
              </w:rPr>
              <w:t>Al</w:t>
            </w:r>
            <w:r>
              <w:rPr>
                <w:rFonts w:ascii="Times New Roman"/>
                <w:spacing w:val="-7"/>
                <w:sz w:val="11"/>
              </w:rPr>
              <w:t> </w:t>
            </w:r>
            <w:r>
              <w:rPr>
                <w:rFonts w:ascii="Times New Roman"/>
                <w:sz w:val="11"/>
              </w:rPr>
              <w:t>31</w:t>
            </w:r>
            <w:r>
              <w:rPr>
                <w:rFonts w:ascii="Times New Roman"/>
                <w:spacing w:val="-5"/>
                <w:sz w:val="11"/>
              </w:rPr>
              <w:t> </w:t>
            </w:r>
            <w:r>
              <w:rPr>
                <w:rFonts w:ascii="Times New Roman"/>
                <w:sz w:val="11"/>
              </w:rPr>
              <w:t>de</w:t>
            </w:r>
            <w:r>
              <w:rPr>
                <w:rFonts w:ascii="Times New Roman"/>
                <w:spacing w:val="-6"/>
                <w:sz w:val="11"/>
              </w:rPr>
              <w:t> </w:t>
            </w:r>
            <w:r>
              <w:rPr>
                <w:rFonts w:ascii="Times New Roman"/>
                <w:sz w:val="11"/>
              </w:rPr>
              <w:t>diciembre</w:t>
            </w:r>
            <w:r>
              <w:rPr>
                <w:rFonts w:ascii="Times New Roman"/>
                <w:spacing w:val="-5"/>
                <w:sz w:val="11"/>
              </w:rPr>
              <w:t> </w:t>
            </w:r>
            <w:r>
              <w:rPr>
                <w:rFonts w:ascii="Times New Roman"/>
                <w:sz w:val="11"/>
              </w:rPr>
              <w:t>de</w:t>
            </w:r>
            <w:r>
              <w:rPr>
                <w:rFonts w:ascii="Times New Roman"/>
                <w:spacing w:val="-6"/>
                <w:sz w:val="11"/>
              </w:rPr>
              <w:t> </w:t>
            </w:r>
            <w:r>
              <w:rPr>
                <w:rFonts w:ascii="Times New Roman"/>
                <w:spacing w:val="-4"/>
                <w:sz w:val="11"/>
              </w:rPr>
              <w:t>2025</w:t>
            </w:r>
          </w:p>
        </w:tc>
        <w:tc>
          <w:tcPr>
            <w:tcW w:w="251" w:type="dxa"/>
          </w:tcPr>
          <w:p>
            <w:pPr>
              <w:pStyle w:val="TableParagraph"/>
              <w:spacing w:line="121" w:lineRule="exact" w:before="32"/>
              <w:ind w:left="54"/>
              <w:rPr>
                <w:rFonts w:ascii="Calibri"/>
                <w:b/>
                <w:sz w:val="11"/>
              </w:rPr>
            </w:pPr>
            <w:r>
              <w:rPr>
                <w:rFonts w:ascii="Calibri"/>
                <w:b/>
                <w:spacing w:val="-2"/>
                <w:sz w:val="11"/>
              </w:rPr>
              <w:t>--</w:t>
            </w:r>
            <w:r>
              <w:rPr>
                <w:rFonts w:ascii="Calibri"/>
                <w:b/>
                <w:spacing w:val="-10"/>
                <w:sz w:val="11"/>
              </w:rPr>
              <w:t>-</w:t>
            </w:r>
          </w:p>
        </w:tc>
        <w:tc>
          <w:tcPr>
            <w:tcW w:w="826" w:type="dxa"/>
          </w:tcPr>
          <w:p>
            <w:pPr>
              <w:pStyle w:val="TableParagraph"/>
              <w:rPr>
                <w:rFonts w:ascii="Times New Roman"/>
                <w:sz w:val="10"/>
              </w:rPr>
            </w:pPr>
          </w:p>
        </w:tc>
        <w:tc>
          <w:tcPr>
            <w:tcW w:w="181" w:type="dxa"/>
          </w:tcPr>
          <w:p>
            <w:pPr>
              <w:pStyle w:val="TableParagraph"/>
              <w:rPr>
                <w:rFonts w:ascii="Times New Roman"/>
                <w:sz w:val="10"/>
              </w:rPr>
            </w:pPr>
          </w:p>
        </w:tc>
        <w:tc>
          <w:tcPr>
            <w:tcW w:w="817" w:type="dxa"/>
          </w:tcPr>
          <w:p>
            <w:pPr>
              <w:pStyle w:val="TableParagraph"/>
              <w:spacing w:line="121" w:lineRule="exact" w:before="32"/>
              <w:ind w:right="153"/>
              <w:jc w:val="right"/>
              <w:rPr>
                <w:rFonts w:ascii="Calibri"/>
                <w:b/>
                <w:sz w:val="11"/>
              </w:rPr>
            </w:pPr>
            <w:r>
              <w:rPr>
                <w:rFonts w:ascii="Calibri"/>
                <w:b/>
                <w:sz w:val="11"/>
              </w:rPr>
              <w:t>1 477 </w:t>
            </w:r>
            <w:r>
              <w:rPr>
                <w:rFonts w:ascii="Calibri"/>
                <w:b/>
                <w:spacing w:val="-2"/>
                <w:sz w:val="11"/>
              </w:rPr>
              <w:t>479,05</w:t>
            </w:r>
          </w:p>
        </w:tc>
        <w:tc>
          <w:tcPr>
            <w:tcW w:w="945" w:type="dxa"/>
          </w:tcPr>
          <w:p>
            <w:pPr>
              <w:pStyle w:val="TableParagraph"/>
              <w:spacing w:line="121" w:lineRule="exact" w:before="32"/>
              <w:ind w:left="33" w:right="115"/>
              <w:jc w:val="center"/>
              <w:rPr>
                <w:rFonts w:ascii="Calibri"/>
                <w:b/>
                <w:sz w:val="11"/>
              </w:rPr>
            </w:pPr>
            <w:r>
              <w:rPr>
                <w:rFonts w:ascii="Calibri"/>
                <w:b/>
                <w:sz w:val="11"/>
              </w:rPr>
              <w:t>3 752 </w:t>
            </w:r>
            <w:r>
              <w:rPr>
                <w:rFonts w:ascii="Calibri"/>
                <w:b/>
                <w:spacing w:val="-2"/>
                <w:sz w:val="11"/>
              </w:rPr>
              <w:t>183,83</w:t>
            </w:r>
          </w:p>
        </w:tc>
        <w:tc>
          <w:tcPr>
            <w:tcW w:w="978" w:type="dxa"/>
          </w:tcPr>
          <w:p>
            <w:pPr>
              <w:pStyle w:val="TableParagraph"/>
              <w:spacing w:line="121" w:lineRule="exact" w:before="32"/>
              <w:ind w:left="13"/>
              <w:jc w:val="center"/>
              <w:rPr>
                <w:rFonts w:ascii="Calibri"/>
                <w:b/>
                <w:sz w:val="11"/>
              </w:rPr>
            </w:pPr>
            <w:r>
              <w:rPr>
                <w:rFonts w:ascii="Calibri"/>
                <w:b/>
                <w:sz w:val="11"/>
              </w:rPr>
              <w:t>1 234 </w:t>
            </w:r>
            <w:r>
              <w:rPr>
                <w:rFonts w:ascii="Calibri"/>
                <w:b/>
                <w:spacing w:val="-2"/>
                <w:sz w:val="11"/>
              </w:rPr>
              <w:t>385,14</w:t>
            </w:r>
          </w:p>
        </w:tc>
        <w:tc>
          <w:tcPr>
            <w:tcW w:w="881" w:type="dxa"/>
          </w:tcPr>
          <w:p>
            <w:pPr>
              <w:pStyle w:val="TableParagraph"/>
              <w:spacing w:line="121" w:lineRule="exact" w:before="32"/>
              <w:ind w:right="200"/>
              <w:jc w:val="right"/>
              <w:rPr>
                <w:rFonts w:ascii="Calibri"/>
                <w:b/>
                <w:sz w:val="11"/>
              </w:rPr>
            </w:pPr>
            <w:r>
              <w:rPr>
                <w:rFonts w:ascii="Calibri"/>
                <w:b/>
                <w:sz w:val="11"/>
              </w:rPr>
              <w:t>107 </w:t>
            </w:r>
            <w:r>
              <w:rPr>
                <w:rFonts w:ascii="Calibri"/>
                <w:b/>
                <w:spacing w:val="-2"/>
                <w:sz w:val="11"/>
              </w:rPr>
              <w:t>250,80</w:t>
            </w:r>
          </w:p>
        </w:tc>
        <w:tc>
          <w:tcPr>
            <w:tcW w:w="736" w:type="dxa"/>
          </w:tcPr>
          <w:p>
            <w:pPr>
              <w:pStyle w:val="TableParagraph"/>
              <w:spacing w:line="121" w:lineRule="exact" w:before="32"/>
              <w:ind w:right="40"/>
              <w:jc w:val="right"/>
              <w:rPr>
                <w:rFonts w:ascii="Calibri"/>
                <w:b/>
                <w:sz w:val="11"/>
              </w:rPr>
            </w:pPr>
            <w:r>
              <w:rPr>
                <w:rFonts w:ascii="Calibri"/>
                <w:b/>
                <w:sz w:val="11"/>
              </w:rPr>
              <w:t>330 </w:t>
            </w:r>
            <w:r>
              <w:rPr>
                <w:rFonts w:ascii="Calibri"/>
                <w:b/>
                <w:spacing w:val="-2"/>
                <w:sz w:val="11"/>
              </w:rPr>
              <w:t>951,69</w:t>
            </w:r>
          </w:p>
        </w:tc>
        <w:tc>
          <w:tcPr>
            <w:tcW w:w="153" w:type="dxa"/>
          </w:tcPr>
          <w:p>
            <w:pPr>
              <w:pStyle w:val="TableParagraph"/>
              <w:rPr>
                <w:rFonts w:ascii="Times New Roman"/>
                <w:sz w:val="10"/>
              </w:rPr>
            </w:pPr>
          </w:p>
        </w:tc>
        <w:tc>
          <w:tcPr>
            <w:tcW w:w="827" w:type="dxa"/>
            <w:tcBorders>
              <w:right w:val="single" w:sz="4" w:space="0" w:color="000000"/>
            </w:tcBorders>
          </w:tcPr>
          <w:p>
            <w:pPr>
              <w:pStyle w:val="TableParagraph"/>
              <w:spacing w:line="116" w:lineRule="exact" w:before="37"/>
              <w:ind w:right="2"/>
              <w:jc w:val="right"/>
              <w:rPr>
                <w:rFonts w:ascii="Times New Roman"/>
                <w:b/>
                <w:sz w:val="11"/>
              </w:rPr>
            </w:pPr>
            <w:r>
              <w:rPr>
                <w:rFonts w:ascii="Times New Roman"/>
                <w:b/>
                <w:sz w:val="11"/>
              </w:rPr>
              <w:t>6</w:t>
            </w:r>
            <w:r>
              <w:rPr>
                <w:rFonts w:ascii="Times New Roman"/>
                <w:b/>
                <w:spacing w:val="2"/>
                <w:sz w:val="11"/>
              </w:rPr>
              <w:t> </w:t>
            </w:r>
            <w:r>
              <w:rPr>
                <w:rFonts w:ascii="Times New Roman"/>
                <w:b/>
                <w:sz w:val="11"/>
              </w:rPr>
              <w:t>902</w:t>
            </w:r>
            <w:r>
              <w:rPr>
                <w:rFonts w:ascii="Times New Roman"/>
                <w:b/>
                <w:spacing w:val="2"/>
                <w:sz w:val="11"/>
              </w:rPr>
              <w:t> </w:t>
            </w:r>
            <w:r>
              <w:rPr>
                <w:rFonts w:ascii="Times New Roman"/>
                <w:b/>
                <w:spacing w:val="-2"/>
                <w:sz w:val="11"/>
              </w:rPr>
              <w:t>250,51</w:t>
            </w:r>
          </w:p>
        </w:tc>
      </w:tr>
      <w:tr>
        <w:trPr>
          <w:trHeight w:val="144" w:hRule="atLeast"/>
        </w:trPr>
        <w:tc>
          <w:tcPr>
            <w:tcW w:w="1566" w:type="dxa"/>
            <w:tcBorders>
              <w:left w:val="single" w:sz="4" w:space="0" w:color="000000"/>
            </w:tcBorders>
          </w:tcPr>
          <w:p>
            <w:pPr>
              <w:pStyle w:val="TableParagraph"/>
              <w:spacing w:line="119" w:lineRule="exact" w:before="5"/>
              <w:ind w:left="16"/>
              <w:rPr>
                <w:rFonts w:ascii="Times New Roman" w:hAnsi="Times New Roman"/>
                <w:sz w:val="11"/>
              </w:rPr>
            </w:pPr>
            <w:r>
              <w:rPr>
                <w:rFonts w:ascii="Times New Roman" w:hAnsi="Times New Roman"/>
                <w:sz w:val="11"/>
              </w:rPr>
              <w:t>Gasto</w:t>
            </w:r>
            <w:r>
              <w:rPr>
                <w:rFonts w:ascii="Times New Roman" w:hAnsi="Times New Roman"/>
                <w:spacing w:val="-7"/>
                <w:sz w:val="11"/>
              </w:rPr>
              <w:t> </w:t>
            </w:r>
            <w:r>
              <w:rPr>
                <w:rFonts w:ascii="Times New Roman" w:hAnsi="Times New Roman"/>
                <w:sz w:val="11"/>
              </w:rPr>
              <w:t>por</w:t>
            </w:r>
            <w:r>
              <w:rPr>
                <w:rFonts w:ascii="Times New Roman" w:hAnsi="Times New Roman"/>
                <w:spacing w:val="-6"/>
                <w:sz w:val="11"/>
              </w:rPr>
              <w:t> </w:t>
            </w:r>
            <w:r>
              <w:rPr>
                <w:rFonts w:ascii="Times New Roman" w:hAnsi="Times New Roman"/>
                <w:spacing w:val="-2"/>
                <w:sz w:val="11"/>
              </w:rPr>
              <w:t>depreciación</w:t>
            </w:r>
          </w:p>
        </w:tc>
        <w:tc>
          <w:tcPr>
            <w:tcW w:w="251" w:type="dxa"/>
          </w:tcPr>
          <w:p>
            <w:pPr>
              <w:pStyle w:val="TableParagraph"/>
              <w:spacing w:line="121" w:lineRule="exact" w:before="3"/>
              <w:ind w:left="54"/>
              <w:rPr>
                <w:rFonts w:ascii="Calibri"/>
                <w:sz w:val="11"/>
              </w:rPr>
            </w:pPr>
            <w:r>
              <w:rPr>
                <w:rFonts w:ascii="Calibri"/>
                <w:spacing w:val="-2"/>
                <w:sz w:val="11"/>
              </w:rPr>
              <w:t>--</w:t>
            </w:r>
            <w:r>
              <w:rPr>
                <w:rFonts w:ascii="Calibri"/>
                <w:spacing w:val="-10"/>
                <w:sz w:val="11"/>
              </w:rPr>
              <w:t>-</w:t>
            </w:r>
          </w:p>
        </w:tc>
        <w:tc>
          <w:tcPr>
            <w:tcW w:w="826" w:type="dxa"/>
          </w:tcPr>
          <w:p>
            <w:pPr>
              <w:pStyle w:val="TableParagraph"/>
              <w:rPr>
                <w:rFonts w:ascii="Times New Roman"/>
                <w:sz w:val="8"/>
              </w:rPr>
            </w:pPr>
          </w:p>
        </w:tc>
        <w:tc>
          <w:tcPr>
            <w:tcW w:w="181" w:type="dxa"/>
          </w:tcPr>
          <w:p>
            <w:pPr>
              <w:pStyle w:val="TableParagraph"/>
              <w:rPr>
                <w:rFonts w:ascii="Times New Roman"/>
                <w:sz w:val="8"/>
              </w:rPr>
            </w:pPr>
          </w:p>
        </w:tc>
        <w:tc>
          <w:tcPr>
            <w:tcW w:w="817" w:type="dxa"/>
          </w:tcPr>
          <w:p>
            <w:pPr>
              <w:pStyle w:val="TableParagraph"/>
              <w:spacing w:line="121" w:lineRule="exact" w:before="3"/>
              <w:ind w:right="153"/>
              <w:jc w:val="right"/>
              <w:rPr>
                <w:rFonts w:ascii="Calibri"/>
                <w:sz w:val="11"/>
              </w:rPr>
            </w:pPr>
            <w:r>
              <w:rPr>
                <w:rFonts w:ascii="Calibri"/>
                <w:sz w:val="11"/>
              </w:rPr>
              <w:t>72 </w:t>
            </w:r>
            <w:r>
              <w:rPr>
                <w:rFonts w:ascii="Calibri"/>
                <w:spacing w:val="-2"/>
                <w:sz w:val="11"/>
              </w:rPr>
              <w:t>857,20</w:t>
            </w:r>
          </w:p>
        </w:tc>
        <w:tc>
          <w:tcPr>
            <w:tcW w:w="945" w:type="dxa"/>
          </w:tcPr>
          <w:p>
            <w:pPr>
              <w:pStyle w:val="TableParagraph"/>
              <w:spacing w:line="121" w:lineRule="exact" w:before="3"/>
              <w:ind w:left="82" w:right="82"/>
              <w:jc w:val="center"/>
              <w:rPr>
                <w:rFonts w:ascii="Calibri"/>
                <w:sz w:val="11"/>
              </w:rPr>
            </w:pPr>
            <w:r>
              <w:rPr>
                <w:rFonts w:ascii="Calibri"/>
                <w:sz w:val="11"/>
              </w:rPr>
              <w:t>348 </w:t>
            </w:r>
            <w:r>
              <w:rPr>
                <w:rFonts w:ascii="Calibri"/>
                <w:spacing w:val="-2"/>
                <w:sz w:val="11"/>
              </w:rPr>
              <w:t>507,44</w:t>
            </w:r>
          </w:p>
        </w:tc>
        <w:tc>
          <w:tcPr>
            <w:tcW w:w="978" w:type="dxa"/>
          </w:tcPr>
          <w:p>
            <w:pPr>
              <w:pStyle w:val="TableParagraph"/>
              <w:spacing w:line="121" w:lineRule="exact" w:before="3"/>
              <w:ind w:left="187" w:right="33"/>
              <w:jc w:val="center"/>
              <w:rPr>
                <w:rFonts w:ascii="Calibri"/>
                <w:sz w:val="11"/>
              </w:rPr>
            </w:pPr>
            <w:r>
              <w:rPr>
                <w:rFonts w:ascii="Calibri"/>
                <w:sz w:val="11"/>
              </w:rPr>
              <w:t>56 </w:t>
            </w:r>
            <w:r>
              <w:rPr>
                <w:rFonts w:ascii="Calibri"/>
                <w:spacing w:val="-2"/>
                <w:sz w:val="11"/>
              </w:rPr>
              <w:t>626,66</w:t>
            </w:r>
          </w:p>
        </w:tc>
        <w:tc>
          <w:tcPr>
            <w:tcW w:w="881" w:type="dxa"/>
          </w:tcPr>
          <w:p>
            <w:pPr>
              <w:pStyle w:val="TableParagraph"/>
              <w:spacing w:line="121" w:lineRule="exact" w:before="3"/>
              <w:ind w:right="199"/>
              <w:jc w:val="right"/>
              <w:rPr>
                <w:rFonts w:ascii="Calibri"/>
                <w:sz w:val="11"/>
              </w:rPr>
            </w:pPr>
            <w:r>
              <w:rPr>
                <w:rFonts w:ascii="Calibri"/>
                <w:sz w:val="11"/>
              </w:rPr>
              <w:t>9</w:t>
            </w:r>
            <w:r>
              <w:rPr>
                <w:rFonts w:ascii="Calibri"/>
                <w:spacing w:val="-1"/>
                <w:sz w:val="11"/>
              </w:rPr>
              <w:t> </w:t>
            </w:r>
            <w:r>
              <w:rPr>
                <w:rFonts w:ascii="Calibri"/>
                <w:spacing w:val="-2"/>
                <w:sz w:val="11"/>
              </w:rPr>
              <w:t>483,55</w:t>
            </w:r>
          </w:p>
        </w:tc>
        <w:tc>
          <w:tcPr>
            <w:tcW w:w="736" w:type="dxa"/>
          </w:tcPr>
          <w:p>
            <w:pPr>
              <w:pStyle w:val="TableParagraph"/>
              <w:spacing w:line="121" w:lineRule="exact" w:before="3"/>
              <w:ind w:right="39"/>
              <w:jc w:val="right"/>
              <w:rPr>
                <w:rFonts w:ascii="Calibri"/>
                <w:sz w:val="11"/>
              </w:rPr>
            </w:pPr>
            <w:r>
              <w:rPr>
                <w:rFonts w:ascii="Calibri"/>
                <w:sz w:val="11"/>
              </w:rPr>
              <w:t>19 </w:t>
            </w:r>
            <w:r>
              <w:rPr>
                <w:rFonts w:ascii="Calibri"/>
                <w:spacing w:val="-2"/>
                <w:sz w:val="11"/>
              </w:rPr>
              <w:t>790,55</w:t>
            </w:r>
          </w:p>
        </w:tc>
        <w:tc>
          <w:tcPr>
            <w:tcW w:w="153" w:type="dxa"/>
          </w:tcPr>
          <w:p>
            <w:pPr>
              <w:pStyle w:val="TableParagraph"/>
              <w:rPr>
                <w:rFonts w:ascii="Times New Roman"/>
                <w:sz w:val="8"/>
              </w:rPr>
            </w:pPr>
          </w:p>
        </w:tc>
        <w:tc>
          <w:tcPr>
            <w:tcW w:w="827" w:type="dxa"/>
            <w:tcBorders>
              <w:right w:val="single" w:sz="4" w:space="0" w:color="000000"/>
            </w:tcBorders>
          </w:tcPr>
          <w:p>
            <w:pPr>
              <w:pStyle w:val="TableParagraph"/>
              <w:spacing w:line="121" w:lineRule="exact" w:before="3"/>
              <w:ind w:right="35"/>
              <w:jc w:val="right"/>
              <w:rPr>
                <w:rFonts w:ascii="Calibri"/>
                <w:sz w:val="11"/>
              </w:rPr>
            </w:pPr>
            <w:r>
              <w:rPr>
                <w:rFonts w:ascii="Calibri"/>
                <w:sz w:val="11"/>
              </w:rPr>
              <w:t>507 </w:t>
            </w:r>
            <w:r>
              <w:rPr>
                <w:rFonts w:ascii="Calibri"/>
                <w:spacing w:val="-2"/>
                <w:sz w:val="11"/>
              </w:rPr>
              <w:t>265,39</w:t>
            </w:r>
          </w:p>
        </w:tc>
      </w:tr>
      <w:tr>
        <w:trPr>
          <w:trHeight w:val="137" w:hRule="atLeast"/>
        </w:trPr>
        <w:tc>
          <w:tcPr>
            <w:tcW w:w="1566" w:type="dxa"/>
            <w:tcBorders>
              <w:left w:val="single" w:sz="4" w:space="0" w:color="000000"/>
            </w:tcBorders>
          </w:tcPr>
          <w:p>
            <w:pPr>
              <w:pStyle w:val="TableParagraph"/>
              <w:spacing w:line="112" w:lineRule="exact" w:before="5"/>
              <w:ind w:left="16"/>
              <w:rPr>
                <w:rFonts w:ascii="Times New Roman"/>
                <w:sz w:val="11"/>
              </w:rPr>
            </w:pPr>
            <w:r>
              <w:rPr>
                <w:rFonts w:ascii="Times New Roman"/>
                <w:spacing w:val="-2"/>
                <w:sz w:val="11"/>
              </w:rPr>
              <w:t>Retiros</w:t>
            </w:r>
          </w:p>
        </w:tc>
        <w:tc>
          <w:tcPr>
            <w:tcW w:w="251" w:type="dxa"/>
            <w:tcBorders>
              <w:bottom w:val="single" w:sz="2" w:space="0" w:color="000000"/>
            </w:tcBorders>
          </w:tcPr>
          <w:p>
            <w:pPr>
              <w:pStyle w:val="TableParagraph"/>
              <w:spacing w:line="114" w:lineRule="exact" w:before="3"/>
              <w:ind w:left="21"/>
              <w:rPr>
                <w:rFonts w:ascii="Calibri"/>
                <w:sz w:val="11"/>
              </w:rPr>
            </w:pPr>
            <w:r>
              <w:rPr>
                <w:rFonts w:ascii="Calibri"/>
                <w:spacing w:val="-2"/>
                <w:sz w:val="11"/>
              </w:rPr>
              <w:t>--</w:t>
            </w:r>
            <w:r>
              <w:rPr>
                <w:rFonts w:ascii="Calibri"/>
                <w:spacing w:val="-10"/>
                <w:sz w:val="11"/>
              </w:rPr>
              <w:t>-</w:t>
            </w:r>
          </w:p>
        </w:tc>
        <w:tc>
          <w:tcPr>
            <w:tcW w:w="826" w:type="dxa"/>
            <w:tcBorders>
              <w:bottom w:val="single" w:sz="2" w:space="0" w:color="000000"/>
            </w:tcBorders>
          </w:tcPr>
          <w:p>
            <w:pPr>
              <w:pStyle w:val="TableParagraph"/>
              <w:rPr>
                <w:rFonts w:ascii="Times New Roman"/>
                <w:sz w:val="8"/>
              </w:rPr>
            </w:pPr>
          </w:p>
        </w:tc>
        <w:tc>
          <w:tcPr>
            <w:tcW w:w="181" w:type="dxa"/>
            <w:tcBorders>
              <w:bottom w:val="single" w:sz="2" w:space="0" w:color="000000"/>
            </w:tcBorders>
          </w:tcPr>
          <w:p>
            <w:pPr>
              <w:pStyle w:val="TableParagraph"/>
              <w:spacing w:line="114" w:lineRule="exact" w:before="3"/>
              <w:ind w:left="20"/>
              <w:rPr>
                <w:rFonts w:ascii="Calibri"/>
                <w:sz w:val="11"/>
              </w:rPr>
            </w:pPr>
            <w:r>
              <w:rPr>
                <w:rFonts w:ascii="Calibri"/>
                <w:spacing w:val="-2"/>
                <w:sz w:val="11"/>
              </w:rPr>
              <w:t>--</w:t>
            </w:r>
            <w:r>
              <w:rPr>
                <w:rFonts w:ascii="Calibri"/>
                <w:spacing w:val="-10"/>
                <w:sz w:val="11"/>
              </w:rPr>
              <w:t>-</w:t>
            </w:r>
          </w:p>
        </w:tc>
        <w:tc>
          <w:tcPr>
            <w:tcW w:w="817" w:type="dxa"/>
            <w:tcBorders>
              <w:bottom w:val="single" w:sz="2" w:space="0" w:color="000000"/>
            </w:tcBorders>
          </w:tcPr>
          <w:p>
            <w:pPr>
              <w:pStyle w:val="TableParagraph"/>
              <w:rPr>
                <w:rFonts w:ascii="Times New Roman"/>
                <w:sz w:val="8"/>
              </w:rPr>
            </w:pPr>
          </w:p>
        </w:tc>
        <w:tc>
          <w:tcPr>
            <w:tcW w:w="945" w:type="dxa"/>
            <w:tcBorders>
              <w:bottom w:val="single" w:sz="2" w:space="0" w:color="000000"/>
            </w:tcBorders>
          </w:tcPr>
          <w:p>
            <w:pPr>
              <w:pStyle w:val="TableParagraph"/>
              <w:spacing w:line="114" w:lineRule="exact" w:before="3"/>
              <w:ind w:left="115" w:right="82"/>
              <w:jc w:val="center"/>
              <w:rPr>
                <w:rFonts w:ascii="Calibri"/>
                <w:sz w:val="11"/>
              </w:rPr>
            </w:pPr>
            <w:r>
              <w:rPr>
                <w:rFonts w:ascii="Calibri"/>
                <w:sz w:val="11"/>
              </w:rPr>
              <w:t>-411</w:t>
            </w:r>
            <w:r>
              <w:rPr>
                <w:rFonts w:ascii="Calibri"/>
                <w:spacing w:val="-1"/>
                <w:sz w:val="11"/>
              </w:rPr>
              <w:t> </w:t>
            </w:r>
            <w:r>
              <w:rPr>
                <w:rFonts w:ascii="Calibri"/>
                <w:spacing w:val="-2"/>
                <w:sz w:val="11"/>
              </w:rPr>
              <w:t>712,50</w:t>
            </w:r>
          </w:p>
        </w:tc>
        <w:tc>
          <w:tcPr>
            <w:tcW w:w="978" w:type="dxa"/>
            <w:tcBorders>
              <w:bottom w:val="single" w:sz="2" w:space="0" w:color="000000"/>
            </w:tcBorders>
          </w:tcPr>
          <w:p>
            <w:pPr>
              <w:pStyle w:val="TableParagraph"/>
              <w:spacing w:line="114" w:lineRule="exact" w:before="3"/>
              <w:ind w:left="187"/>
              <w:jc w:val="center"/>
              <w:rPr>
                <w:rFonts w:ascii="Calibri"/>
                <w:sz w:val="11"/>
              </w:rPr>
            </w:pPr>
            <w:r>
              <w:rPr>
                <w:rFonts w:ascii="Calibri"/>
                <w:sz w:val="11"/>
              </w:rPr>
              <w:t>-12</w:t>
            </w:r>
            <w:r>
              <w:rPr>
                <w:rFonts w:ascii="Calibri"/>
                <w:spacing w:val="-2"/>
                <w:sz w:val="11"/>
              </w:rPr>
              <w:t> 080,81</w:t>
            </w:r>
          </w:p>
        </w:tc>
        <w:tc>
          <w:tcPr>
            <w:tcW w:w="881" w:type="dxa"/>
            <w:tcBorders>
              <w:bottom w:val="single" w:sz="2" w:space="0" w:color="000000"/>
            </w:tcBorders>
          </w:tcPr>
          <w:p>
            <w:pPr>
              <w:pStyle w:val="TableParagraph"/>
              <w:spacing w:line="114" w:lineRule="exact" w:before="3"/>
              <w:ind w:right="166"/>
              <w:jc w:val="right"/>
              <w:rPr>
                <w:rFonts w:ascii="Calibri"/>
                <w:sz w:val="11"/>
              </w:rPr>
            </w:pPr>
            <w:r>
              <w:rPr>
                <w:rFonts w:ascii="Calibri"/>
                <w:spacing w:val="-2"/>
                <w:sz w:val="11"/>
              </w:rPr>
              <w:t>-168,50</w:t>
            </w:r>
          </w:p>
        </w:tc>
        <w:tc>
          <w:tcPr>
            <w:tcW w:w="736" w:type="dxa"/>
            <w:tcBorders>
              <w:bottom w:val="single" w:sz="2" w:space="0" w:color="000000"/>
            </w:tcBorders>
          </w:tcPr>
          <w:p>
            <w:pPr>
              <w:pStyle w:val="TableParagraph"/>
              <w:spacing w:line="114" w:lineRule="exact" w:before="3"/>
              <w:ind w:right="6"/>
              <w:jc w:val="right"/>
              <w:rPr>
                <w:rFonts w:ascii="Calibri"/>
                <w:sz w:val="11"/>
              </w:rPr>
            </w:pPr>
            <w:r>
              <w:rPr>
                <w:rFonts w:ascii="Calibri"/>
                <w:sz w:val="11"/>
              </w:rPr>
              <w:t>-3</w:t>
            </w:r>
            <w:r>
              <w:rPr>
                <w:rFonts w:ascii="Calibri"/>
                <w:spacing w:val="-3"/>
                <w:sz w:val="11"/>
              </w:rPr>
              <w:t> </w:t>
            </w:r>
            <w:r>
              <w:rPr>
                <w:rFonts w:ascii="Calibri"/>
                <w:spacing w:val="-2"/>
                <w:sz w:val="11"/>
              </w:rPr>
              <w:t>255,26</w:t>
            </w:r>
          </w:p>
        </w:tc>
        <w:tc>
          <w:tcPr>
            <w:tcW w:w="153" w:type="dxa"/>
            <w:tcBorders>
              <w:bottom w:val="single" w:sz="2" w:space="0" w:color="000000"/>
            </w:tcBorders>
          </w:tcPr>
          <w:p>
            <w:pPr>
              <w:pStyle w:val="TableParagraph"/>
              <w:spacing w:line="114" w:lineRule="exact" w:before="3"/>
              <w:ind w:left="25"/>
              <w:rPr>
                <w:rFonts w:ascii="Calibri"/>
                <w:sz w:val="11"/>
              </w:rPr>
            </w:pPr>
            <w:r>
              <w:rPr>
                <w:rFonts w:ascii="Calibri"/>
                <w:spacing w:val="-10"/>
                <w:sz w:val="11"/>
              </w:rPr>
              <w:t>-</w:t>
            </w:r>
          </w:p>
        </w:tc>
        <w:tc>
          <w:tcPr>
            <w:tcW w:w="827" w:type="dxa"/>
            <w:tcBorders>
              <w:bottom w:val="single" w:sz="2" w:space="0" w:color="000000"/>
              <w:right w:val="single" w:sz="4" w:space="0" w:color="000000"/>
            </w:tcBorders>
          </w:tcPr>
          <w:p>
            <w:pPr>
              <w:pStyle w:val="TableParagraph"/>
              <w:spacing w:line="114" w:lineRule="exact" w:before="3"/>
              <w:ind w:right="35"/>
              <w:jc w:val="right"/>
              <w:rPr>
                <w:rFonts w:ascii="Calibri"/>
                <w:sz w:val="11"/>
              </w:rPr>
            </w:pPr>
            <w:r>
              <w:rPr>
                <w:rFonts w:ascii="Calibri"/>
                <w:sz w:val="11"/>
              </w:rPr>
              <w:t>427 </w:t>
            </w:r>
            <w:r>
              <w:rPr>
                <w:rFonts w:ascii="Calibri"/>
                <w:spacing w:val="-2"/>
                <w:sz w:val="11"/>
              </w:rPr>
              <w:t>217,07</w:t>
            </w:r>
          </w:p>
        </w:tc>
      </w:tr>
      <w:tr>
        <w:trPr>
          <w:trHeight w:val="115" w:hRule="atLeast"/>
        </w:trPr>
        <w:tc>
          <w:tcPr>
            <w:tcW w:w="1566" w:type="dxa"/>
            <w:tcBorders>
              <w:left w:val="single" w:sz="4" w:space="0" w:color="000000"/>
              <w:bottom w:val="single" w:sz="4" w:space="0" w:color="000000"/>
            </w:tcBorders>
          </w:tcPr>
          <w:p>
            <w:pPr>
              <w:pStyle w:val="TableParagraph"/>
              <w:spacing w:line="84" w:lineRule="exact" w:before="11"/>
              <w:ind w:left="641"/>
              <w:rPr>
                <w:rFonts w:ascii="Times New Roman" w:hAnsi="Times New Roman"/>
                <w:b/>
                <w:sz w:val="11"/>
              </w:rPr>
            </w:pPr>
            <w:r>
              <w:rPr>
                <w:rFonts w:ascii="Times New Roman" w:hAnsi="Times New Roman"/>
                <w:b/>
                <w:sz w:val="11"/>
              </w:rPr>
              <w:t>Total,</w:t>
            </w:r>
            <w:r>
              <w:rPr>
                <w:rFonts w:ascii="Times New Roman" w:hAnsi="Times New Roman"/>
                <w:b/>
                <w:spacing w:val="-3"/>
                <w:sz w:val="11"/>
              </w:rPr>
              <w:t> </w:t>
            </w:r>
            <w:r>
              <w:rPr>
                <w:rFonts w:ascii="Times New Roman" w:hAnsi="Times New Roman"/>
                <w:b/>
                <w:spacing w:val="-2"/>
                <w:sz w:val="11"/>
              </w:rPr>
              <w:t>depreciación</w:t>
            </w:r>
          </w:p>
        </w:tc>
        <w:tc>
          <w:tcPr>
            <w:tcW w:w="251" w:type="dxa"/>
            <w:tcBorders>
              <w:top w:val="single" w:sz="2" w:space="0" w:color="000000"/>
              <w:bottom w:val="single" w:sz="2" w:space="0" w:color="000000"/>
            </w:tcBorders>
          </w:tcPr>
          <w:p>
            <w:pPr>
              <w:pStyle w:val="TableParagraph"/>
              <w:rPr>
                <w:rFonts w:ascii="Times New Roman"/>
                <w:sz w:val="6"/>
              </w:rPr>
            </w:pPr>
          </w:p>
        </w:tc>
        <w:tc>
          <w:tcPr>
            <w:tcW w:w="826" w:type="dxa"/>
            <w:tcBorders>
              <w:top w:val="single" w:sz="2" w:space="0" w:color="000000"/>
              <w:bottom w:val="single" w:sz="2" w:space="0" w:color="000000"/>
            </w:tcBorders>
          </w:tcPr>
          <w:p>
            <w:pPr>
              <w:pStyle w:val="TableParagraph"/>
              <w:spacing w:line="84" w:lineRule="exact" w:before="11"/>
              <w:ind w:right="10"/>
              <w:jc w:val="right"/>
              <w:rPr>
                <w:rFonts w:ascii="Times New Roman"/>
                <w:b/>
                <w:sz w:val="11"/>
              </w:rPr>
            </w:pPr>
            <w:r>
              <w:rPr>
                <w:rFonts w:ascii="Times New Roman"/>
                <w:b/>
                <w:spacing w:val="-2"/>
                <w:sz w:val="11"/>
              </w:rPr>
              <w:t>--</w:t>
            </w:r>
            <w:r>
              <w:rPr>
                <w:rFonts w:ascii="Times New Roman"/>
                <w:b/>
                <w:spacing w:val="-10"/>
                <w:sz w:val="11"/>
              </w:rPr>
              <w:t>-</w:t>
            </w:r>
          </w:p>
        </w:tc>
        <w:tc>
          <w:tcPr>
            <w:tcW w:w="181" w:type="dxa"/>
            <w:tcBorders>
              <w:top w:val="single" w:sz="2" w:space="0" w:color="000000"/>
              <w:bottom w:val="single" w:sz="2" w:space="0" w:color="000000"/>
            </w:tcBorders>
          </w:tcPr>
          <w:p>
            <w:pPr>
              <w:pStyle w:val="TableParagraph"/>
              <w:rPr>
                <w:rFonts w:ascii="Times New Roman"/>
                <w:sz w:val="6"/>
              </w:rPr>
            </w:pPr>
          </w:p>
        </w:tc>
        <w:tc>
          <w:tcPr>
            <w:tcW w:w="817" w:type="dxa"/>
            <w:tcBorders>
              <w:top w:val="single" w:sz="2" w:space="0" w:color="000000"/>
              <w:bottom w:val="single" w:sz="2" w:space="0" w:color="000000"/>
            </w:tcBorders>
          </w:tcPr>
          <w:p>
            <w:pPr>
              <w:pStyle w:val="TableParagraph"/>
              <w:spacing w:line="84" w:lineRule="exact" w:before="11"/>
              <w:ind w:right="121"/>
              <w:jc w:val="right"/>
              <w:rPr>
                <w:rFonts w:ascii="Times New Roman"/>
                <w:b/>
                <w:sz w:val="11"/>
              </w:rPr>
            </w:pPr>
            <w:r>
              <w:rPr>
                <w:rFonts w:ascii="Times New Roman"/>
                <w:b/>
                <w:sz w:val="11"/>
              </w:rPr>
              <w:t>1</w:t>
            </w:r>
            <w:r>
              <w:rPr>
                <w:rFonts w:ascii="Times New Roman"/>
                <w:b/>
                <w:spacing w:val="2"/>
                <w:sz w:val="11"/>
              </w:rPr>
              <w:t> </w:t>
            </w:r>
            <w:r>
              <w:rPr>
                <w:rFonts w:ascii="Times New Roman"/>
                <w:b/>
                <w:sz w:val="11"/>
              </w:rPr>
              <w:t>550</w:t>
            </w:r>
            <w:r>
              <w:rPr>
                <w:rFonts w:ascii="Times New Roman"/>
                <w:b/>
                <w:spacing w:val="2"/>
                <w:sz w:val="11"/>
              </w:rPr>
              <w:t> </w:t>
            </w:r>
            <w:r>
              <w:rPr>
                <w:rFonts w:ascii="Times New Roman"/>
                <w:b/>
                <w:spacing w:val="-2"/>
                <w:sz w:val="11"/>
              </w:rPr>
              <w:t>336,26</w:t>
            </w:r>
          </w:p>
        </w:tc>
        <w:tc>
          <w:tcPr>
            <w:tcW w:w="945" w:type="dxa"/>
            <w:tcBorders>
              <w:top w:val="single" w:sz="2" w:space="0" w:color="000000"/>
              <w:bottom w:val="single" w:sz="2" w:space="0" w:color="000000"/>
            </w:tcBorders>
          </w:tcPr>
          <w:p>
            <w:pPr>
              <w:pStyle w:val="TableParagraph"/>
              <w:spacing w:line="84" w:lineRule="exact" w:before="11"/>
              <w:ind w:left="63" w:right="82"/>
              <w:jc w:val="center"/>
              <w:rPr>
                <w:rFonts w:ascii="Times New Roman"/>
                <w:b/>
                <w:sz w:val="11"/>
              </w:rPr>
            </w:pPr>
            <w:r>
              <w:rPr>
                <w:rFonts w:ascii="Times New Roman"/>
                <w:b/>
                <w:sz w:val="11"/>
              </w:rPr>
              <w:t>3</w:t>
            </w:r>
            <w:r>
              <w:rPr>
                <w:rFonts w:ascii="Times New Roman"/>
                <w:b/>
                <w:spacing w:val="2"/>
                <w:sz w:val="11"/>
              </w:rPr>
              <w:t> </w:t>
            </w:r>
            <w:r>
              <w:rPr>
                <w:rFonts w:ascii="Times New Roman"/>
                <w:b/>
                <w:sz w:val="11"/>
              </w:rPr>
              <w:t>688</w:t>
            </w:r>
            <w:r>
              <w:rPr>
                <w:rFonts w:ascii="Times New Roman"/>
                <w:b/>
                <w:spacing w:val="2"/>
                <w:sz w:val="11"/>
              </w:rPr>
              <w:t> </w:t>
            </w:r>
            <w:r>
              <w:rPr>
                <w:rFonts w:ascii="Times New Roman"/>
                <w:b/>
                <w:spacing w:val="-2"/>
                <w:sz w:val="11"/>
              </w:rPr>
              <w:t>978,77</w:t>
            </w:r>
          </w:p>
        </w:tc>
        <w:tc>
          <w:tcPr>
            <w:tcW w:w="978" w:type="dxa"/>
            <w:tcBorders>
              <w:top w:val="single" w:sz="2" w:space="0" w:color="000000"/>
              <w:bottom w:val="single" w:sz="2" w:space="0" w:color="000000"/>
            </w:tcBorders>
          </w:tcPr>
          <w:p>
            <w:pPr>
              <w:pStyle w:val="TableParagraph"/>
              <w:spacing w:line="84" w:lineRule="exact" w:before="11"/>
              <w:ind w:left="187" w:right="112"/>
              <w:jc w:val="center"/>
              <w:rPr>
                <w:rFonts w:ascii="Times New Roman"/>
                <w:b/>
                <w:sz w:val="11"/>
              </w:rPr>
            </w:pPr>
            <w:r>
              <w:rPr>
                <w:rFonts w:ascii="Times New Roman"/>
                <w:b/>
                <w:sz w:val="11"/>
              </w:rPr>
              <w:t>1</w:t>
            </w:r>
            <w:r>
              <w:rPr>
                <w:rFonts w:ascii="Times New Roman"/>
                <w:b/>
                <w:spacing w:val="2"/>
                <w:sz w:val="11"/>
              </w:rPr>
              <w:t> </w:t>
            </w:r>
            <w:r>
              <w:rPr>
                <w:rFonts w:ascii="Times New Roman"/>
                <w:b/>
                <w:sz w:val="11"/>
              </w:rPr>
              <w:t>278</w:t>
            </w:r>
            <w:r>
              <w:rPr>
                <w:rFonts w:ascii="Times New Roman"/>
                <w:b/>
                <w:spacing w:val="2"/>
                <w:sz w:val="11"/>
              </w:rPr>
              <w:t> </w:t>
            </w:r>
            <w:r>
              <w:rPr>
                <w:rFonts w:ascii="Times New Roman"/>
                <w:b/>
                <w:spacing w:val="-2"/>
                <w:sz w:val="11"/>
              </w:rPr>
              <w:t>930,99</w:t>
            </w:r>
          </w:p>
        </w:tc>
        <w:tc>
          <w:tcPr>
            <w:tcW w:w="881" w:type="dxa"/>
            <w:tcBorders>
              <w:top w:val="single" w:sz="2" w:space="0" w:color="000000"/>
              <w:bottom w:val="single" w:sz="24" w:space="0" w:color="000000"/>
            </w:tcBorders>
          </w:tcPr>
          <w:p>
            <w:pPr>
              <w:pStyle w:val="TableParagraph"/>
              <w:spacing w:line="84" w:lineRule="exact" w:before="11"/>
              <w:ind w:right="167"/>
              <w:jc w:val="right"/>
              <w:rPr>
                <w:rFonts w:ascii="Times New Roman"/>
                <w:b/>
                <w:sz w:val="11"/>
              </w:rPr>
            </w:pPr>
            <w:r>
              <w:rPr>
                <w:rFonts w:ascii="Times New Roman"/>
                <w:b/>
                <w:sz w:val="11"/>
              </w:rPr>
              <w:t>116</w:t>
            </w:r>
            <w:r>
              <w:rPr>
                <w:rFonts w:ascii="Times New Roman"/>
                <w:b/>
                <w:spacing w:val="3"/>
                <w:sz w:val="11"/>
              </w:rPr>
              <w:t> </w:t>
            </w:r>
            <w:r>
              <w:rPr>
                <w:rFonts w:ascii="Times New Roman"/>
                <w:b/>
                <w:spacing w:val="-2"/>
                <w:sz w:val="11"/>
              </w:rPr>
              <w:t>565,85</w:t>
            </w:r>
          </w:p>
        </w:tc>
        <w:tc>
          <w:tcPr>
            <w:tcW w:w="736" w:type="dxa"/>
            <w:tcBorders>
              <w:top w:val="single" w:sz="2" w:space="0" w:color="000000"/>
              <w:bottom w:val="single" w:sz="2" w:space="0" w:color="000000"/>
            </w:tcBorders>
          </w:tcPr>
          <w:p>
            <w:pPr>
              <w:pStyle w:val="TableParagraph"/>
              <w:spacing w:line="84" w:lineRule="exact" w:before="11"/>
              <w:ind w:right="7"/>
              <w:jc w:val="right"/>
              <w:rPr>
                <w:rFonts w:ascii="Times New Roman"/>
                <w:b/>
                <w:sz w:val="11"/>
              </w:rPr>
            </w:pPr>
            <w:r>
              <w:rPr>
                <w:rFonts w:ascii="Times New Roman"/>
                <w:b/>
                <w:sz w:val="11"/>
              </w:rPr>
              <w:t>347</w:t>
            </w:r>
            <w:r>
              <w:rPr>
                <w:rFonts w:ascii="Times New Roman"/>
                <w:b/>
                <w:spacing w:val="3"/>
                <w:sz w:val="11"/>
              </w:rPr>
              <w:t> </w:t>
            </w:r>
            <w:r>
              <w:rPr>
                <w:rFonts w:ascii="Times New Roman"/>
                <w:b/>
                <w:spacing w:val="-2"/>
                <w:sz w:val="11"/>
              </w:rPr>
              <w:t>486,97</w:t>
            </w:r>
          </w:p>
        </w:tc>
        <w:tc>
          <w:tcPr>
            <w:tcW w:w="153" w:type="dxa"/>
            <w:tcBorders>
              <w:top w:val="single" w:sz="2" w:space="0" w:color="000000"/>
              <w:bottom w:val="single" w:sz="2" w:space="0" w:color="000000"/>
            </w:tcBorders>
          </w:tcPr>
          <w:p>
            <w:pPr>
              <w:pStyle w:val="TableParagraph"/>
              <w:rPr>
                <w:rFonts w:ascii="Times New Roman"/>
                <w:sz w:val="6"/>
              </w:rPr>
            </w:pPr>
          </w:p>
        </w:tc>
        <w:tc>
          <w:tcPr>
            <w:tcW w:w="827" w:type="dxa"/>
            <w:tcBorders>
              <w:top w:val="single" w:sz="2" w:space="0" w:color="000000"/>
              <w:bottom w:val="single" w:sz="2" w:space="0" w:color="000000"/>
              <w:right w:val="single" w:sz="4" w:space="0" w:color="000000"/>
            </w:tcBorders>
          </w:tcPr>
          <w:p>
            <w:pPr>
              <w:pStyle w:val="TableParagraph"/>
              <w:spacing w:line="84" w:lineRule="exact" w:before="11"/>
              <w:ind w:right="2"/>
              <w:jc w:val="right"/>
              <w:rPr>
                <w:rFonts w:ascii="Times New Roman"/>
                <w:b/>
                <w:sz w:val="11"/>
              </w:rPr>
            </w:pPr>
            <w:r>
              <w:rPr>
                <w:rFonts w:ascii="Times New Roman"/>
                <w:b/>
                <w:sz w:val="11"/>
              </w:rPr>
              <w:t>6</w:t>
            </w:r>
            <w:r>
              <w:rPr>
                <w:rFonts w:ascii="Times New Roman"/>
                <w:b/>
                <w:spacing w:val="2"/>
                <w:sz w:val="11"/>
              </w:rPr>
              <w:t> </w:t>
            </w:r>
            <w:r>
              <w:rPr>
                <w:rFonts w:ascii="Times New Roman"/>
                <w:b/>
                <w:sz w:val="11"/>
              </w:rPr>
              <w:t>982</w:t>
            </w:r>
            <w:r>
              <w:rPr>
                <w:rFonts w:ascii="Times New Roman"/>
                <w:b/>
                <w:spacing w:val="2"/>
                <w:sz w:val="11"/>
              </w:rPr>
              <w:t> </w:t>
            </w:r>
            <w:r>
              <w:rPr>
                <w:rFonts w:ascii="Times New Roman"/>
                <w:b/>
                <w:spacing w:val="-2"/>
                <w:sz w:val="11"/>
              </w:rPr>
              <w:t>298,83</w:t>
            </w:r>
          </w:p>
        </w:tc>
      </w:tr>
      <w:tr>
        <w:trPr>
          <w:trHeight w:val="270" w:hRule="atLeast"/>
        </w:trPr>
        <w:tc>
          <w:tcPr>
            <w:tcW w:w="1566" w:type="dxa"/>
            <w:tcBorders>
              <w:top w:val="single" w:sz="4" w:space="0" w:color="000000"/>
              <w:left w:val="single" w:sz="4" w:space="0" w:color="000000"/>
              <w:bottom w:val="single" w:sz="4" w:space="0" w:color="000000"/>
            </w:tcBorders>
          </w:tcPr>
          <w:p>
            <w:pPr>
              <w:pStyle w:val="TableParagraph"/>
              <w:spacing w:before="64"/>
              <w:ind w:left="8"/>
              <w:jc w:val="center"/>
              <w:rPr>
                <w:rFonts w:ascii="Times New Roman"/>
                <w:b/>
                <w:sz w:val="11"/>
              </w:rPr>
            </w:pPr>
            <w:r>
              <w:rPr>
                <w:rFonts w:ascii="Times New Roman"/>
                <w:b/>
                <w:sz w:val="11"/>
              </w:rPr>
              <w:t>Total,</w:t>
            </w:r>
            <w:r>
              <w:rPr>
                <w:rFonts w:ascii="Times New Roman"/>
                <w:b/>
                <w:spacing w:val="-3"/>
                <w:sz w:val="11"/>
              </w:rPr>
              <w:t> </w:t>
            </w:r>
            <w:r>
              <w:rPr>
                <w:rFonts w:ascii="Times New Roman"/>
                <w:b/>
                <w:spacing w:val="-4"/>
                <w:sz w:val="11"/>
              </w:rPr>
              <w:t>neto</w:t>
            </w:r>
          </w:p>
        </w:tc>
        <w:tc>
          <w:tcPr>
            <w:tcW w:w="251" w:type="dxa"/>
            <w:tcBorders>
              <w:top w:val="single" w:sz="2" w:space="0" w:color="000000"/>
              <w:bottom w:val="single" w:sz="4" w:space="0" w:color="000000"/>
            </w:tcBorders>
          </w:tcPr>
          <w:p>
            <w:pPr>
              <w:pStyle w:val="TableParagraph"/>
              <w:rPr>
                <w:rFonts w:ascii="Times New Roman"/>
                <w:sz w:val="20"/>
              </w:rPr>
            </w:pPr>
          </w:p>
        </w:tc>
        <w:tc>
          <w:tcPr>
            <w:tcW w:w="826" w:type="dxa"/>
            <w:tcBorders>
              <w:top w:val="single" w:sz="2" w:space="0" w:color="000000"/>
              <w:bottom w:val="single" w:sz="4" w:space="0" w:color="000000"/>
            </w:tcBorders>
          </w:tcPr>
          <w:p>
            <w:pPr>
              <w:pStyle w:val="TableParagraph"/>
              <w:spacing w:before="64"/>
              <w:ind w:right="12"/>
              <w:jc w:val="right"/>
              <w:rPr>
                <w:rFonts w:ascii="Times New Roman"/>
                <w:b/>
                <w:sz w:val="11"/>
              </w:rPr>
            </w:pPr>
            <w:r>
              <w:rPr>
                <w:rFonts w:ascii="Times New Roman"/>
                <w:b/>
                <w:sz w:val="11"/>
              </w:rPr>
              <w:t>126</w:t>
            </w:r>
            <w:r>
              <w:rPr>
                <w:rFonts w:ascii="Times New Roman"/>
                <w:b/>
                <w:spacing w:val="3"/>
                <w:sz w:val="11"/>
              </w:rPr>
              <w:t> </w:t>
            </w:r>
            <w:r>
              <w:rPr>
                <w:rFonts w:ascii="Times New Roman"/>
                <w:b/>
                <w:sz w:val="11"/>
              </w:rPr>
              <w:t>191</w:t>
            </w:r>
            <w:r>
              <w:rPr>
                <w:rFonts w:ascii="Times New Roman"/>
                <w:b/>
                <w:spacing w:val="4"/>
                <w:sz w:val="11"/>
              </w:rPr>
              <w:t> </w:t>
            </w:r>
            <w:r>
              <w:rPr>
                <w:rFonts w:ascii="Times New Roman"/>
                <w:b/>
                <w:spacing w:val="-2"/>
                <w:sz w:val="11"/>
              </w:rPr>
              <w:t>204,96</w:t>
            </w:r>
          </w:p>
        </w:tc>
        <w:tc>
          <w:tcPr>
            <w:tcW w:w="181" w:type="dxa"/>
            <w:tcBorders>
              <w:top w:val="single" w:sz="2" w:space="0" w:color="000000"/>
              <w:bottom w:val="single" w:sz="4" w:space="0" w:color="000000"/>
            </w:tcBorders>
          </w:tcPr>
          <w:p>
            <w:pPr>
              <w:pStyle w:val="TableParagraph"/>
              <w:rPr>
                <w:rFonts w:ascii="Times New Roman"/>
                <w:sz w:val="20"/>
              </w:rPr>
            </w:pPr>
          </w:p>
        </w:tc>
        <w:tc>
          <w:tcPr>
            <w:tcW w:w="817" w:type="dxa"/>
            <w:tcBorders>
              <w:top w:val="single" w:sz="2" w:space="0" w:color="000000"/>
              <w:bottom w:val="single" w:sz="4" w:space="0" w:color="000000"/>
            </w:tcBorders>
          </w:tcPr>
          <w:p>
            <w:pPr>
              <w:pStyle w:val="TableParagraph"/>
              <w:spacing w:before="64"/>
              <w:ind w:right="120"/>
              <w:jc w:val="right"/>
              <w:rPr>
                <w:rFonts w:ascii="Times New Roman"/>
                <w:b/>
                <w:sz w:val="11"/>
              </w:rPr>
            </w:pPr>
            <w:r>
              <w:rPr>
                <w:rFonts w:ascii="Times New Roman"/>
                <w:b/>
                <w:sz w:val="11"/>
              </w:rPr>
              <w:t>7</w:t>
            </w:r>
            <w:r>
              <w:rPr>
                <w:rFonts w:ascii="Times New Roman"/>
                <w:b/>
                <w:spacing w:val="2"/>
                <w:sz w:val="11"/>
              </w:rPr>
              <w:t> </w:t>
            </w:r>
            <w:r>
              <w:rPr>
                <w:rFonts w:ascii="Times New Roman"/>
                <w:b/>
                <w:sz w:val="11"/>
              </w:rPr>
              <w:t>786</w:t>
            </w:r>
            <w:r>
              <w:rPr>
                <w:rFonts w:ascii="Times New Roman"/>
                <w:b/>
                <w:spacing w:val="2"/>
                <w:sz w:val="11"/>
              </w:rPr>
              <w:t> </w:t>
            </w:r>
            <w:r>
              <w:rPr>
                <w:rFonts w:ascii="Times New Roman"/>
                <w:b/>
                <w:spacing w:val="-2"/>
                <w:sz w:val="11"/>
              </w:rPr>
              <w:t>145,77</w:t>
            </w:r>
          </w:p>
        </w:tc>
        <w:tc>
          <w:tcPr>
            <w:tcW w:w="945" w:type="dxa"/>
            <w:tcBorders>
              <w:top w:val="single" w:sz="2" w:space="0" w:color="000000"/>
              <w:bottom w:val="single" w:sz="4" w:space="0" w:color="000000"/>
            </w:tcBorders>
          </w:tcPr>
          <w:p>
            <w:pPr>
              <w:pStyle w:val="TableParagraph"/>
              <w:spacing w:before="64"/>
              <w:ind w:left="63" w:right="82"/>
              <w:jc w:val="center"/>
              <w:rPr>
                <w:rFonts w:ascii="Times New Roman"/>
                <w:b/>
                <w:sz w:val="11"/>
              </w:rPr>
            </w:pPr>
            <w:r>
              <w:rPr>
                <w:rFonts w:ascii="Times New Roman"/>
                <w:b/>
                <w:sz w:val="11"/>
              </w:rPr>
              <w:t>1</w:t>
            </w:r>
            <w:r>
              <w:rPr>
                <w:rFonts w:ascii="Times New Roman"/>
                <w:b/>
                <w:spacing w:val="2"/>
                <w:sz w:val="11"/>
              </w:rPr>
              <w:t> </w:t>
            </w:r>
            <w:r>
              <w:rPr>
                <w:rFonts w:ascii="Times New Roman"/>
                <w:b/>
                <w:sz w:val="11"/>
              </w:rPr>
              <w:t>624</w:t>
            </w:r>
            <w:r>
              <w:rPr>
                <w:rFonts w:ascii="Times New Roman"/>
                <w:b/>
                <w:spacing w:val="2"/>
                <w:sz w:val="11"/>
              </w:rPr>
              <w:t> </w:t>
            </w:r>
            <w:r>
              <w:rPr>
                <w:rFonts w:ascii="Times New Roman"/>
                <w:b/>
                <w:spacing w:val="-2"/>
                <w:sz w:val="11"/>
              </w:rPr>
              <w:t>954,38</w:t>
            </w:r>
          </w:p>
        </w:tc>
        <w:tc>
          <w:tcPr>
            <w:tcW w:w="978" w:type="dxa"/>
            <w:tcBorders>
              <w:top w:val="single" w:sz="2" w:space="0" w:color="000000"/>
              <w:bottom w:val="single" w:sz="4" w:space="0" w:color="000000"/>
            </w:tcBorders>
          </w:tcPr>
          <w:p>
            <w:pPr>
              <w:pStyle w:val="TableParagraph"/>
              <w:spacing w:before="64"/>
              <w:ind w:left="187" w:right="28"/>
              <w:jc w:val="center"/>
              <w:rPr>
                <w:rFonts w:ascii="Times New Roman"/>
                <w:b/>
                <w:sz w:val="11"/>
              </w:rPr>
            </w:pPr>
            <w:r>
              <w:rPr>
                <w:rFonts w:ascii="Times New Roman"/>
                <w:b/>
                <w:sz w:val="11"/>
              </w:rPr>
              <w:t>721</w:t>
            </w:r>
            <w:r>
              <w:rPr>
                <w:rFonts w:ascii="Times New Roman"/>
                <w:b/>
                <w:spacing w:val="3"/>
                <w:sz w:val="11"/>
              </w:rPr>
              <w:t> </w:t>
            </w:r>
            <w:r>
              <w:rPr>
                <w:rFonts w:ascii="Times New Roman"/>
                <w:b/>
                <w:spacing w:val="-2"/>
                <w:sz w:val="11"/>
              </w:rPr>
              <w:t>596,29</w:t>
            </w:r>
          </w:p>
        </w:tc>
        <w:tc>
          <w:tcPr>
            <w:tcW w:w="881" w:type="dxa"/>
            <w:tcBorders>
              <w:top w:val="single" w:sz="24" w:space="0" w:color="000000"/>
              <w:bottom w:val="single" w:sz="4" w:space="0" w:color="000000"/>
            </w:tcBorders>
          </w:tcPr>
          <w:p>
            <w:pPr>
              <w:pStyle w:val="TableParagraph"/>
              <w:spacing w:before="64"/>
              <w:ind w:right="167"/>
              <w:jc w:val="right"/>
              <w:rPr>
                <w:rFonts w:ascii="Times New Roman"/>
                <w:b/>
                <w:sz w:val="11"/>
              </w:rPr>
            </w:pPr>
            <w:r>
              <w:rPr>
                <w:rFonts w:ascii="Times New Roman"/>
                <w:b/>
                <w:sz w:val="11"/>
              </w:rPr>
              <w:t>51</w:t>
            </w:r>
            <w:r>
              <w:rPr>
                <w:rFonts w:ascii="Times New Roman"/>
                <w:b/>
                <w:spacing w:val="2"/>
                <w:sz w:val="11"/>
              </w:rPr>
              <w:t> </w:t>
            </w:r>
            <w:r>
              <w:rPr>
                <w:rFonts w:ascii="Times New Roman"/>
                <w:b/>
                <w:spacing w:val="-2"/>
                <w:sz w:val="11"/>
              </w:rPr>
              <w:t>400,25</w:t>
            </w:r>
          </w:p>
        </w:tc>
        <w:tc>
          <w:tcPr>
            <w:tcW w:w="736" w:type="dxa"/>
            <w:tcBorders>
              <w:top w:val="single" w:sz="2" w:space="0" w:color="000000"/>
              <w:bottom w:val="single" w:sz="4" w:space="0" w:color="000000"/>
            </w:tcBorders>
          </w:tcPr>
          <w:p>
            <w:pPr>
              <w:pStyle w:val="TableParagraph"/>
              <w:spacing w:before="64"/>
              <w:ind w:right="7"/>
              <w:jc w:val="right"/>
              <w:rPr>
                <w:rFonts w:ascii="Times New Roman"/>
                <w:b/>
                <w:sz w:val="11"/>
              </w:rPr>
            </w:pPr>
            <w:r>
              <w:rPr>
                <w:rFonts w:ascii="Times New Roman"/>
                <w:b/>
                <w:sz w:val="11"/>
              </w:rPr>
              <w:t>129</w:t>
            </w:r>
            <w:r>
              <w:rPr>
                <w:rFonts w:ascii="Times New Roman"/>
                <w:b/>
                <w:spacing w:val="3"/>
                <w:sz w:val="11"/>
              </w:rPr>
              <w:t> </w:t>
            </w:r>
            <w:r>
              <w:rPr>
                <w:rFonts w:ascii="Times New Roman"/>
                <w:b/>
                <w:spacing w:val="-2"/>
                <w:sz w:val="11"/>
              </w:rPr>
              <w:t>826,87</w:t>
            </w:r>
          </w:p>
        </w:tc>
        <w:tc>
          <w:tcPr>
            <w:tcW w:w="153" w:type="dxa"/>
            <w:tcBorders>
              <w:top w:val="single" w:sz="2" w:space="0" w:color="000000"/>
              <w:bottom w:val="single" w:sz="4" w:space="0" w:color="000000"/>
            </w:tcBorders>
          </w:tcPr>
          <w:p>
            <w:pPr>
              <w:pStyle w:val="TableParagraph"/>
              <w:rPr>
                <w:rFonts w:ascii="Times New Roman"/>
                <w:sz w:val="20"/>
              </w:rPr>
            </w:pPr>
          </w:p>
        </w:tc>
        <w:tc>
          <w:tcPr>
            <w:tcW w:w="827" w:type="dxa"/>
            <w:tcBorders>
              <w:top w:val="single" w:sz="2" w:space="0" w:color="000000"/>
              <w:bottom w:val="single" w:sz="4" w:space="0" w:color="000000"/>
              <w:right w:val="single" w:sz="4" w:space="0" w:color="000000"/>
            </w:tcBorders>
          </w:tcPr>
          <w:p>
            <w:pPr>
              <w:pStyle w:val="TableParagraph"/>
              <w:spacing w:before="64"/>
              <w:ind w:right="2"/>
              <w:jc w:val="right"/>
              <w:rPr>
                <w:rFonts w:ascii="Times New Roman"/>
                <w:b/>
                <w:sz w:val="11"/>
              </w:rPr>
            </w:pPr>
            <w:r>
              <w:rPr>
                <w:rFonts w:ascii="Times New Roman"/>
                <w:b/>
                <w:sz w:val="11"/>
              </w:rPr>
              <w:t>136</w:t>
            </w:r>
            <w:r>
              <w:rPr>
                <w:rFonts w:ascii="Times New Roman"/>
                <w:b/>
                <w:spacing w:val="3"/>
                <w:sz w:val="11"/>
              </w:rPr>
              <w:t> </w:t>
            </w:r>
            <w:r>
              <w:rPr>
                <w:rFonts w:ascii="Times New Roman"/>
                <w:b/>
                <w:sz w:val="11"/>
              </w:rPr>
              <w:t>505</w:t>
            </w:r>
            <w:r>
              <w:rPr>
                <w:rFonts w:ascii="Times New Roman"/>
                <w:b/>
                <w:spacing w:val="4"/>
                <w:sz w:val="11"/>
              </w:rPr>
              <w:t> </w:t>
            </w:r>
            <w:r>
              <w:rPr>
                <w:rFonts w:ascii="Times New Roman"/>
                <w:b/>
                <w:spacing w:val="-2"/>
                <w:sz w:val="11"/>
              </w:rPr>
              <w:t>128,50</w:t>
            </w:r>
          </w:p>
        </w:tc>
      </w:tr>
    </w:tbl>
    <w:p>
      <w:pPr>
        <w:pStyle w:val="BodyText"/>
        <w:spacing w:before="179"/>
        <w:ind w:left="730"/>
      </w:pPr>
      <w:r>
        <w:rPr/>
        <w:t>Durante</w:t>
      </w:r>
      <w:r>
        <w:rPr>
          <w:spacing w:val="-4"/>
        </w:rPr>
        <w:t> </w:t>
      </w:r>
      <w:r>
        <w:rPr/>
        <w:t>el</w:t>
      </w:r>
      <w:r>
        <w:rPr>
          <w:spacing w:val="-3"/>
        </w:rPr>
        <w:t> </w:t>
      </w:r>
      <w:r>
        <w:rPr/>
        <w:t>periodo</w:t>
      </w:r>
      <w:r>
        <w:rPr>
          <w:spacing w:val="-3"/>
        </w:rPr>
        <w:t> </w:t>
      </w:r>
      <w:r>
        <w:rPr/>
        <w:t>2026</w:t>
      </w:r>
      <w:r>
        <w:rPr>
          <w:spacing w:val="-6"/>
        </w:rPr>
        <w:t> </w:t>
      </w:r>
      <w:r>
        <w:rPr/>
        <w:t>el</w:t>
      </w:r>
      <w:r>
        <w:rPr>
          <w:spacing w:val="-3"/>
        </w:rPr>
        <w:t> </w:t>
      </w:r>
      <w:r>
        <w:rPr/>
        <w:t>movimiento</w:t>
      </w:r>
      <w:r>
        <w:rPr>
          <w:spacing w:val="-5"/>
        </w:rPr>
        <w:t> </w:t>
      </w:r>
      <w:r>
        <w:rPr/>
        <w:t>se</w:t>
      </w:r>
      <w:r>
        <w:rPr>
          <w:spacing w:val="-4"/>
        </w:rPr>
        <w:t> </w:t>
      </w:r>
      <w:r>
        <w:rPr/>
        <w:t>explica</w:t>
      </w:r>
      <w:r>
        <w:rPr>
          <w:spacing w:val="-4"/>
        </w:rPr>
        <w:t> por:</w:t>
      </w:r>
    </w:p>
    <w:p>
      <w:pPr>
        <w:pStyle w:val="ListParagraph"/>
        <w:numPr>
          <w:ilvl w:val="0"/>
          <w:numId w:val="79"/>
        </w:numPr>
        <w:tabs>
          <w:tab w:pos="1437" w:val="left" w:leader="none"/>
        </w:tabs>
        <w:spacing w:line="240" w:lineRule="auto" w:before="179" w:after="0"/>
        <w:ind w:left="1437" w:right="0" w:hanging="707"/>
        <w:jc w:val="left"/>
        <w:rPr>
          <w:sz w:val="22"/>
        </w:rPr>
      </w:pPr>
      <w:r>
        <w:rPr>
          <w:sz w:val="22"/>
        </w:rPr>
        <w:t>Depreciación</w:t>
      </w:r>
      <w:r>
        <w:rPr>
          <w:spacing w:val="-9"/>
          <w:sz w:val="22"/>
        </w:rPr>
        <w:t> </w:t>
      </w:r>
      <w:r>
        <w:rPr>
          <w:sz w:val="22"/>
        </w:rPr>
        <w:t>y</w:t>
      </w:r>
      <w:r>
        <w:rPr>
          <w:spacing w:val="-7"/>
          <w:sz w:val="22"/>
        </w:rPr>
        <w:t> </w:t>
      </w:r>
      <w:r>
        <w:rPr>
          <w:sz w:val="22"/>
        </w:rPr>
        <w:t>amortización</w:t>
      </w:r>
      <w:r>
        <w:rPr>
          <w:spacing w:val="-6"/>
          <w:sz w:val="22"/>
        </w:rPr>
        <w:t> </w:t>
      </w:r>
      <w:r>
        <w:rPr>
          <w:sz w:val="22"/>
        </w:rPr>
        <w:t>del</w:t>
      </w:r>
      <w:r>
        <w:rPr>
          <w:spacing w:val="-7"/>
          <w:sz w:val="22"/>
        </w:rPr>
        <w:t> </w:t>
      </w:r>
      <w:r>
        <w:rPr>
          <w:sz w:val="22"/>
        </w:rPr>
        <w:t>ejercicio:</w:t>
      </w:r>
      <w:r>
        <w:rPr>
          <w:spacing w:val="-6"/>
          <w:sz w:val="22"/>
        </w:rPr>
        <w:t> </w:t>
      </w:r>
      <w:r>
        <w:rPr>
          <w:rFonts w:ascii="Times New Roman" w:hAnsi="Times New Roman"/>
          <w:sz w:val="22"/>
        </w:rPr>
        <w:t>₡</w:t>
      </w:r>
      <w:r>
        <w:rPr>
          <w:sz w:val="22"/>
        </w:rPr>
        <w:t>507.265,39</w:t>
      </w:r>
      <w:r>
        <w:rPr>
          <w:spacing w:val="-4"/>
          <w:sz w:val="22"/>
        </w:rPr>
        <w:t> </w:t>
      </w:r>
      <w:r>
        <w:rPr>
          <w:spacing w:val="-2"/>
          <w:sz w:val="22"/>
        </w:rPr>
        <w:t>miles.</w:t>
      </w:r>
    </w:p>
    <w:p>
      <w:pPr>
        <w:pStyle w:val="ListParagraph"/>
        <w:numPr>
          <w:ilvl w:val="0"/>
          <w:numId w:val="79"/>
        </w:numPr>
        <w:tabs>
          <w:tab w:pos="1437" w:val="left" w:leader="none"/>
        </w:tabs>
        <w:spacing w:line="240" w:lineRule="auto" w:before="182" w:after="0"/>
        <w:ind w:left="1437" w:right="0" w:hanging="707"/>
        <w:jc w:val="left"/>
        <w:rPr>
          <w:sz w:val="22"/>
        </w:rPr>
      </w:pPr>
      <w:r>
        <w:rPr>
          <w:sz w:val="22"/>
        </w:rPr>
        <w:t>Eliminación</w:t>
      </w:r>
      <w:r>
        <w:rPr>
          <w:spacing w:val="-6"/>
          <w:sz w:val="22"/>
        </w:rPr>
        <w:t> </w:t>
      </w:r>
      <w:r>
        <w:rPr>
          <w:sz w:val="22"/>
        </w:rPr>
        <w:t>de</w:t>
      </w:r>
      <w:r>
        <w:rPr>
          <w:spacing w:val="-6"/>
          <w:sz w:val="22"/>
        </w:rPr>
        <w:t> </w:t>
      </w:r>
      <w:r>
        <w:rPr>
          <w:sz w:val="22"/>
        </w:rPr>
        <w:t>depreciación</w:t>
      </w:r>
      <w:r>
        <w:rPr>
          <w:spacing w:val="-5"/>
          <w:sz w:val="22"/>
        </w:rPr>
        <w:t> </w:t>
      </w:r>
      <w:r>
        <w:rPr>
          <w:sz w:val="22"/>
        </w:rPr>
        <w:t>asociada</w:t>
      </w:r>
      <w:r>
        <w:rPr>
          <w:spacing w:val="-6"/>
          <w:sz w:val="22"/>
        </w:rPr>
        <w:t> </w:t>
      </w:r>
      <w:r>
        <w:rPr>
          <w:sz w:val="22"/>
        </w:rPr>
        <w:t>a</w:t>
      </w:r>
      <w:r>
        <w:rPr>
          <w:spacing w:val="-6"/>
          <w:sz w:val="22"/>
        </w:rPr>
        <w:t> </w:t>
      </w:r>
      <w:r>
        <w:rPr>
          <w:sz w:val="22"/>
        </w:rPr>
        <w:t>bajas:</w:t>
      </w:r>
      <w:r>
        <w:rPr>
          <w:spacing w:val="-5"/>
          <w:sz w:val="22"/>
        </w:rPr>
        <w:t> </w:t>
      </w:r>
      <w:r>
        <w:rPr>
          <w:rFonts w:ascii="Times New Roman" w:hAnsi="Times New Roman"/>
          <w:sz w:val="22"/>
        </w:rPr>
        <w:t>₡</w:t>
      </w:r>
      <w:r>
        <w:rPr>
          <w:sz w:val="22"/>
        </w:rPr>
        <w:t>427.217,07</w:t>
      </w:r>
      <w:r>
        <w:rPr>
          <w:spacing w:val="-5"/>
          <w:sz w:val="22"/>
        </w:rPr>
        <w:t> </w:t>
      </w:r>
      <w:r>
        <w:rPr>
          <w:spacing w:val="-2"/>
          <w:sz w:val="22"/>
        </w:rPr>
        <w:t>miles.</w:t>
      </w:r>
    </w:p>
    <w:p>
      <w:pPr>
        <w:pStyle w:val="BodyText"/>
        <w:spacing w:line="259" w:lineRule="auto" w:before="179"/>
        <w:ind w:left="730" w:firstLine="55"/>
      </w:pPr>
      <w:r>
        <w:rPr/>
        <w:t>Luego</w:t>
      </w:r>
      <w:r>
        <w:rPr>
          <w:spacing w:val="40"/>
        </w:rPr>
        <w:t> </w:t>
      </w:r>
      <w:r>
        <w:rPr/>
        <w:t>de</w:t>
      </w:r>
      <w:r>
        <w:rPr>
          <w:spacing w:val="40"/>
        </w:rPr>
        <w:t> </w:t>
      </w:r>
      <w:r>
        <w:rPr/>
        <w:t>considerar:</w:t>
      </w:r>
      <w:r>
        <w:rPr>
          <w:spacing w:val="40"/>
        </w:rPr>
        <w:t> </w:t>
      </w:r>
      <w:r>
        <w:rPr/>
        <w:t>El</w:t>
      </w:r>
      <w:r>
        <w:rPr>
          <w:spacing w:val="40"/>
        </w:rPr>
        <w:t> </w:t>
      </w:r>
      <w:r>
        <w:rPr/>
        <w:t>saldo</w:t>
      </w:r>
      <w:r>
        <w:rPr>
          <w:spacing w:val="40"/>
        </w:rPr>
        <w:t> </w:t>
      </w:r>
      <w:r>
        <w:rPr/>
        <w:t>inicial,</w:t>
      </w:r>
      <w:r>
        <w:rPr>
          <w:spacing w:val="40"/>
        </w:rPr>
        <w:t> </w:t>
      </w:r>
      <w:r>
        <w:rPr/>
        <w:t>el</w:t>
      </w:r>
      <w:r>
        <w:rPr>
          <w:spacing w:val="40"/>
        </w:rPr>
        <w:t> </w:t>
      </w:r>
      <w:r>
        <w:rPr/>
        <w:t>gasto</w:t>
      </w:r>
      <w:r>
        <w:rPr>
          <w:spacing w:val="40"/>
        </w:rPr>
        <w:t> </w:t>
      </w:r>
      <w:r>
        <w:rPr/>
        <w:t>por</w:t>
      </w:r>
      <w:r>
        <w:rPr>
          <w:spacing w:val="40"/>
        </w:rPr>
        <w:t> </w:t>
      </w:r>
      <w:r>
        <w:rPr/>
        <w:t>depreciación</w:t>
      </w:r>
      <w:r>
        <w:rPr>
          <w:spacing w:val="40"/>
        </w:rPr>
        <w:t> </w:t>
      </w:r>
      <w:r>
        <w:rPr/>
        <w:t>del</w:t>
      </w:r>
      <w:r>
        <w:rPr>
          <w:spacing w:val="40"/>
        </w:rPr>
        <w:t> </w:t>
      </w:r>
      <w:r>
        <w:rPr/>
        <w:t>período,</w:t>
      </w:r>
      <w:r>
        <w:rPr>
          <w:spacing w:val="40"/>
        </w:rPr>
        <w:t> </w:t>
      </w:r>
      <w:r>
        <w:rPr/>
        <w:t>y</w:t>
      </w:r>
      <w:r>
        <w:rPr>
          <w:spacing w:val="40"/>
        </w:rPr>
        <w:t> </w:t>
      </w:r>
      <w:r>
        <w:rPr/>
        <w:t>la</w:t>
      </w:r>
      <w:r>
        <w:rPr>
          <w:spacing w:val="40"/>
        </w:rPr>
        <w:t> </w:t>
      </w:r>
      <w:r>
        <w:rPr/>
        <w:t>reversión</w:t>
      </w:r>
      <w:r>
        <w:rPr>
          <w:spacing w:val="40"/>
        </w:rPr>
        <w:t> </w:t>
      </w:r>
      <w:r>
        <w:rPr/>
        <w:t>de depreciación</w:t>
      </w:r>
      <w:r>
        <w:rPr>
          <w:spacing w:val="16"/>
        </w:rPr>
        <w:t> </w:t>
      </w:r>
      <w:r>
        <w:rPr/>
        <w:t>asociada</w:t>
      </w:r>
      <w:r>
        <w:rPr>
          <w:spacing w:val="15"/>
        </w:rPr>
        <w:t> </w:t>
      </w:r>
      <w:r>
        <w:rPr/>
        <w:t>a</w:t>
      </w:r>
      <w:r>
        <w:rPr>
          <w:spacing w:val="15"/>
        </w:rPr>
        <w:t> </w:t>
      </w:r>
      <w:r>
        <w:rPr/>
        <w:t>los</w:t>
      </w:r>
      <w:r>
        <w:rPr>
          <w:spacing w:val="17"/>
        </w:rPr>
        <w:t> </w:t>
      </w:r>
      <w:r>
        <w:rPr/>
        <w:t>retiros,</w:t>
      </w:r>
      <w:r>
        <w:rPr>
          <w:spacing w:val="16"/>
        </w:rPr>
        <w:t> </w:t>
      </w:r>
      <w:r>
        <w:rPr/>
        <w:t>la</w:t>
      </w:r>
      <w:r>
        <w:rPr>
          <w:spacing w:val="14"/>
        </w:rPr>
        <w:t> </w:t>
      </w:r>
      <w:r>
        <w:rPr/>
        <w:t>depreciación</w:t>
      </w:r>
      <w:r>
        <w:rPr>
          <w:spacing w:val="16"/>
        </w:rPr>
        <w:t> </w:t>
      </w:r>
      <w:r>
        <w:rPr/>
        <w:t>acumulada</w:t>
      </w:r>
      <w:r>
        <w:rPr>
          <w:spacing w:val="16"/>
        </w:rPr>
        <w:t> </w:t>
      </w:r>
      <w:r>
        <w:rPr/>
        <w:t>total</w:t>
      </w:r>
      <w:r>
        <w:rPr>
          <w:spacing w:val="19"/>
        </w:rPr>
        <w:t> </w:t>
      </w:r>
      <w:r>
        <w:rPr/>
        <w:t>al</w:t>
      </w:r>
      <w:r>
        <w:rPr>
          <w:spacing w:val="15"/>
        </w:rPr>
        <w:t> </w:t>
      </w:r>
      <w:r>
        <w:rPr/>
        <w:t>31</w:t>
      </w:r>
      <w:r>
        <w:rPr>
          <w:spacing w:val="14"/>
        </w:rPr>
        <w:t> </w:t>
      </w:r>
      <w:r>
        <w:rPr/>
        <w:t>de</w:t>
      </w:r>
      <w:r>
        <w:rPr>
          <w:spacing w:val="14"/>
        </w:rPr>
        <w:t> </w:t>
      </w:r>
      <w:r>
        <w:rPr/>
        <w:t>julio</w:t>
      </w:r>
      <w:r>
        <w:rPr>
          <w:spacing w:val="18"/>
        </w:rPr>
        <w:t> </w:t>
      </w:r>
      <w:r>
        <w:rPr/>
        <w:t>2026</w:t>
      </w:r>
      <w:r>
        <w:rPr>
          <w:spacing w:val="14"/>
        </w:rPr>
        <w:t> </w:t>
      </w:r>
      <w:r>
        <w:rPr/>
        <w:t>asciende</w:t>
      </w:r>
      <w:r>
        <w:rPr>
          <w:spacing w:val="15"/>
        </w:rPr>
        <w:t> </w:t>
      </w:r>
      <w:r>
        <w:rPr>
          <w:spacing w:val="-5"/>
        </w:rPr>
        <w:t>a:</w:t>
      </w:r>
    </w:p>
    <w:p>
      <w:pPr>
        <w:pStyle w:val="BodyText"/>
        <w:ind w:left="730"/>
      </w:pPr>
      <w:r>
        <w:rPr>
          <w:spacing w:val="-2"/>
        </w:rPr>
        <w:t>¢6.982.298,83.</w:t>
      </w:r>
    </w:p>
    <w:p>
      <w:pPr>
        <w:pStyle w:val="BodyText"/>
        <w:spacing w:line="259" w:lineRule="auto" w:before="179"/>
        <w:ind w:left="730" w:right="860"/>
      </w:pPr>
      <w:r>
        <w:rPr/>
        <w:t>Este</w:t>
      </w:r>
      <w:r>
        <w:rPr>
          <w:spacing w:val="-4"/>
        </w:rPr>
        <w:t> </w:t>
      </w:r>
      <w:r>
        <w:rPr/>
        <w:t>saldo</w:t>
      </w:r>
      <w:r>
        <w:rPr>
          <w:spacing w:val="-5"/>
        </w:rPr>
        <w:t> </w:t>
      </w:r>
      <w:r>
        <w:rPr/>
        <w:t>refleja</w:t>
      </w:r>
      <w:r>
        <w:rPr>
          <w:spacing w:val="-4"/>
        </w:rPr>
        <w:t> </w:t>
      </w:r>
      <w:r>
        <w:rPr/>
        <w:t>adecuadamente</w:t>
      </w:r>
      <w:r>
        <w:rPr>
          <w:spacing w:val="-3"/>
        </w:rPr>
        <w:t> </w:t>
      </w:r>
      <w:r>
        <w:rPr/>
        <w:t>el</w:t>
      </w:r>
      <w:r>
        <w:rPr>
          <w:spacing w:val="-3"/>
        </w:rPr>
        <w:t> </w:t>
      </w:r>
      <w:r>
        <w:rPr/>
        <w:t>desgaste</w:t>
      </w:r>
      <w:r>
        <w:rPr>
          <w:spacing w:val="-4"/>
        </w:rPr>
        <w:t> </w:t>
      </w:r>
      <w:r>
        <w:rPr/>
        <w:t>acumulado</w:t>
      </w:r>
      <w:r>
        <w:rPr>
          <w:spacing w:val="-3"/>
        </w:rPr>
        <w:t> </w:t>
      </w:r>
      <w:r>
        <w:rPr/>
        <w:t>de</w:t>
      </w:r>
      <w:r>
        <w:rPr>
          <w:spacing w:val="-5"/>
        </w:rPr>
        <w:t> </w:t>
      </w:r>
      <w:r>
        <w:rPr/>
        <w:t>los</w:t>
      </w:r>
      <w:r>
        <w:rPr>
          <w:spacing w:val="-2"/>
        </w:rPr>
        <w:t> </w:t>
      </w:r>
      <w:r>
        <w:rPr/>
        <w:t>activos</w:t>
      </w:r>
      <w:r>
        <w:rPr>
          <w:spacing w:val="-5"/>
        </w:rPr>
        <w:t> </w:t>
      </w:r>
      <w:r>
        <w:rPr/>
        <w:t>que</w:t>
      </w:r>
      <w:r>
        <w:rPr>
          <w:spacing w:val="-5"/>
        </w:rPr>
        <w:t> </w:t>
      </w:r>
      <w:r>
        <w:rPr/>
        <w:t>permanecen</w:t>
      </w:r>
      <w:r>
        <w:rPr>
          <w:spacing w:val="-3"/>
        </w:rPr>
        <w:t> </w:t>
      </w:r>
      <w:r>
        <w:rPr/>
        <w:t>en</w:t>
      </w:r>
      <w:r>
        <w:rPr>
          <w:spacing w:val="-3"/>
        </w:rPr>
        <w:t> </w:t>
      </w:r>
      <w:r>
        <w:rPr/>
        <w:t>operación al cierre del período.</w:t>
      </w:r>
    </w:p>
    <w:p>
      <w:pPr>
        <w:pStyle w:val="BodyText"/>
      </w:pPr>
    </w:p>
    <w:p>
      <w:pPr>
        <w:pStyle w:val="BodyText"/>
        <w:spacing w:before="89"/>
      </w:pPr>
    </w:p>
    <w:p>
      <w:pPr>
        <w:pStyle w:val="BodyText"/>
        <w:ind w:left="730"/>
      </w:pPr>
      <w:r>
        <w:rPr>
          <w:u w:val="single"/>
        </w:rPr>
        <w:t>Retiros</w:t>
      </w:r>
      <w:r>
        <w:rPr>
          <w:spacing w:val="-2"/>
          <w:u w:val="single"/>
        </w:rPr>
        <w:t> </w:t>
      </w:r>
      <w:r>
        <w:rPr>
          <w:u w:val="single"/>
        </w:rPr>
        <w:t>asociados</w:t>
      </w:r>
      <w:r>
        <w:rPr>
          <w:spacing w:val="-2"/>
          <w:u w:val="single"/>
        </w:rPr>
        <w:t> </w:t>
      </w:r>
      <w:r>
        <w:rPr>
          <w:u w:val="single"/>
        </w:rPr>
        <w:t>a</w:t>
      </w:r>
      <w:r>
        <w:rPr>
          <w:spacing w:val="-4"/>
          <w:u w:val="single"/>
        </w:rPr>
        <w:t> </w:t>
      </w:r>
      <w:r>
        <w:rPr>
          <w:u w:val="single"/>
        </w:rPr>
        <w:t>la</w:t>
      </w:r>
      <w:r>
        <w:rPr>
          <w:spacing w:val="-4"/>
          <w:u w:val="single"/>
        </w:rPr>
        <w:t> </w:t>
      </w:r>
      <w:r>
        <w:rPr>
          <w:spacing w:val="-2"/>
          <w:u w:val="single"/>
        </w:rPr>
        <w:t>depreciación</w:t>
      </w:r>
    </w:p>
    <w:p>
      <w:pPr>
        <w:pStyle w:val="BodyText"/>
        <w:spacing w:line="259" w:lineRule="auto" w:before="181"/>
        <w:ind w:left="730" w:right="1001"/>
      </w:pPr>
      <w:r>
        <w:rPr/>
        <w:t>Como</w:t>
      </w:r>
      <w:r>
        <w:rPr>
          <w:spacing w:val="-2"/>
        </w:rPr>
        <w:t> </w:t>
      </w:r>
      <w:r>
        <w:rPr/>
        <w:t>consecuencia</w:t>
      </w:r>
      <w:r>
        <w:rPr>
          <w:spacing w:val="-3"/>
        </w:rPr>
        <w:t> </w:t>
      </w:r>
      <w:r>
        <w:rPr/>
        <w:t>de</w:t>
      </w:r>
      <w:r>
        <w:rPr>
          <w:spacing w:val="-4"/>
        </w:rPr>
        <w:t> </w:t>
      </w:r>
      <w:r>
        <w:rPr/>
        <w:t>los</w:t>
      </w:r>
      <w:r>
        <w:rPr>
          <w:spacing w:val="-4"/>
        </w:rPr>
        <w:t> </w:t>
      </w:r>
      <w:r>
        <w:rPr/>
        <w:t>retiros</w:t>
      </w:r>
      <w:r>
        <w:rPr>
          <w:spacing w:val="-1"/>
        </w:rPr>
        <w:t> </w:t>
      </w:r>
      <w:r>
        <w:rPr/>
        <w:t>definitivos</w:t>
      </w:r>
      <w:r>
        <w:rPr>
          <w:spacing w:val="-1"/>
        </w:rPr>
        <w:t> </w:t>
      </w:r>
      <w:r>
        <w:rPr/>
        <w:t>de</w:t>
      </w:r>
      <w:r>
        <w:rPr>
          <w:spacing w:val="-4"/>
        </w:rPr>
        <w:t> </w:t>
      </w:r>
      <w:r>
        <w:rPr/>
        <w:t>activos</w:t>
      </w:r>
      <w:r>
        <w:rPr>
          <w:spacing w:val="-4"/>
        </w:rPr>
        <w:t> </w:t>
      </w:r>
      <w:r>
        <w:rPr/>
        <w:t>registrados</w:t>
      </w:r>
      <w:r>
        <w:rPr>
          <w:spacing w:val="-1"/>
        </w:rPr>
        <w:t> </w:t>
      </w:r>
      <w:r>
        <w:rPr/>
        <w:t>en</w:t>
      </w:r>
      <w:r>
        <w:rPr>
          <w:spacing w:val="-2"/>
        </w:rPr>
        <w:t> </w:t>
      </w:r>
      <w:r>
        <w:rPr/>
        <w:t>el</w:t>
      </w:r>
      <w:r>
        <w:rPr>
          <w:spacing w:val="-2"/>
        </w:rPr>
        <w:t> </w:t>
      </w:r>
      <w:r>
        <w:rPr/>
        <w:t>período,</w:t>
      </w:r>
      <w:r>
        <w:rPr>
          <w:spacing w:val="-4"/>
        </w:rPr>
        <w:t> </w:t>
      </w:r>
      <w:r>
        <w:rPr/>
        <w:t>se</w:t>
      </w:r>
      <w:r>
        <w:rPr>
          <w:spacing w:val="-3"/>
        </w:rPr>
        <w:t> </w:t>
      </w:r>
      <w:r>
        <w:rPr/>
        <w:t>procedió</w:t>
      </w:r>
      <w:r>
        <w:rPr>
          <w:spacing w:val="-2"/>
        </w:rPr>
        <w:t> </w:t>
      </w:r>
      <w:r>
        <w:rPr/>
        <w:t>a</w:t>
      </w:r>
      <w:r>
        <w:rPr>
          <w:spacing w:val="-3"/>
        </w:rPr>
        <w:t> </w:t>
      </w:r>
      <w:r>
        <w:rPr/>
        <w:t>dar de baja la depreciación acumulada asociada a dichos bienes, por un monto total de: ¢427.217,07.</w:t>
      </w:r>
    </w:p>
    <w:p>
      <w:pPr>
        <w:pStyle w:val="BodyText"/>
        <w:spacing w:line="259" w:lineRule="auto" w:before="159"/>
        <w:ind w:left="730" w:right="924"/>
        <w:jc w:val="both"/>
      </w:pPr>
      <w:r>
        <w:rPr/>
        <w:t>Este</w:t>
      </w:r>
      <w:r>
        <w:rPr>
          <w:spacing w:val="-6"/>
        </w:rPr>
        <w:t> </w:t>
      </w:r>
      <w:r>
        <w:rPr/>
        <w:t>ajuste</w:t>
      </w:r>
      <w:r>
        <w:rPr>
          <w:spacing w:val="-9"/>
        </w:rPr>
        <w:t> </w:t>
      </w:r>
      <w:r>
        <w:rPr/>
        <w:t>evita</w:t>
      </w:r>
      <w:r>
        <w:rPr>
          <w:spacing w:val="-6"/>
        </w:rPr>
        <w:t> </w:t>
      </w:r>
      <w:r>
        <w:rPr/>
        <w:t>la</w:t>
      </w:r>
      <w:r>
        <w:rPr>
          <w:spacing w:val="-7"/>
        </w:rPr>
        <w:t> </w:t>
      </w:r>
      <w:r>
        <w:rPr/>
        <w:t>sobrevaloración</w:t>
      </w:r>
      <w:r>
        <w:rPr>
          <w:spacing w:val="-5"/>
        </w:rPr>
        <w:t> </w:t>
      </w:r>
      <w:r>
        <w:rPr/>
        <w:t>de</w:t>
      </w:r>
      <w:r>
        <w:rPr>
          <w:spacing w:val="-7"/>
        </w:rPr>
        <w:t> </w:t>
      </w:r>
      <w:r>
        <w:rPr/>
        <w:t>la</w:t>
      </w:r>
      <w:r>
        <w:rPr>
          <w:spacing w:val="-7"/>
        </w:rPr>
        <w:t> </w:t>
      </w:r>
      <w:r>
        <w:rPr/>
        <w:t>depreciación</w:t>
      </w:r>
      <w:r>
        <w:rPr>
          <w:spacing w:val="-5"/>
        </w:rPr>
        <w:t> </w:t>
      </w:r>
      <w:r>
        <w:rPr/>
        <w:t>acumulada</w:t>
      </w:r>
      <w:r>
        <w:rPr>
          <w:spacing w:val="-7"/>
        </w:rPr>
        <w:t> </w:t>
      </w:r>
      <w:r>
        <w:rPr/>
        <w:t>y</w:t>
      </w:r>
      <w:r>
        <w:rPr>
          <w:spacing w:val="-7"/>
        </w:rPr>
        <w:t> </w:t>
      </w:r>
      <w:r>
        <w:rPr/>
        <w:t>es</w:t>
      </w:r>
      <w:r>
        <w:rPr>
          <w:spacing w:val="-7"/>
        </w:rPr>
        <w:t> </w:t>
      </w:r>
      <w:r>
        <w:rPr/>
        <w:t>consistente</w:t>
      </w:r>
      <w:r>
        <w:rPr>
          <w:spacing w:val="-6"/>
        </w:rPr>
        <w:t> </w:t>
      </w:r>
      <w:r>
        <w:rPr/>
        <w:t>con</w:t>
      </w:r>
      <w:r>
        <w:rPr>
          <w:spacing w:val="-5"/>
        </w:rPr>
        <w:t> </w:t>
      </w:r>
      <w:r>
        <w:rPr/>
        <w:t>la</w:t>
      </w:r>
      <w:r>
        <w:rPr>
          <w:spacing w:val="-7"/>
        </w:rPr>
        <w:t> </w:t>
      </w:r>
      <w:r>
        <w:rPr/>
        <w:t>baja</w:t>
      </w:r>
      <w:r>
        <w:rPr>
          <w:spacing w:val="-6"/>
        </w:rPr>
        <w:t> </w:t>
      </w:r>
      <w:r>
        <w:rPr/>
        <w:t>del</w:t>
      </w:r>
      <w:r>
        <w:rPr>
          <w:spacing w:val="-6"/>
        </w:rPr>
        <w:t> </w:t>
      </w:r>
      <w:r>
        <w:rPr/>
        <w:t>costo histórico explicada en el cuadro de movimiento del costo. En términos contables, los retiros afectan simultáneamente: El costo del activo, y la depreciación acumulada relacionada, manteniendo la razonabilidad del valor neto en libros.</w:t>
      </w:r>
    </w:p>
    <w:p>
      <w:pPr>
        <w:pStyle w:val="BodyText"/>
        <w:spacing w:before="160"/>
        <w:ind w:left="730"/>
      </w:pPr>
      <w:r>
        <w:rPr>
          <w:u w:val="single"/>
        </w:rPr>
        <w:t>Valor</w:t>
      </w:r>
      <w:r>
        <w:rPr>
          <w:spacing w:val="-2"/>
          <w:u w:val="single"/>
        </w:rPr>
        <w:t> </w:t>
      </w:r>
      <w:r>
        <w:rPr>
          <w:u w:val="single"/>
        </w:rPr>
        <w:t>neto</w:t>
      </w:r>
      <w:r>
        <w:rPr>
          <w:spacing w:val="-1"/>
          <w:u w:val="single"/>
        </w:rPr>
        <w:t> </w:t>
      </w:r>
      <w:r>
        <w:rPr>
          <w:u w:val="single"/>
        </w:rPr>
        <w:t>en</w:t>
      </w:r>
      <w:r>
        <w:rPr>
          <w:spacing w:val="-1"/>
          <w:u w:val="single"/>
        </w:rPr>
        <w:t> </w:t>
      </w:r>
      <w:r>
        <w:rPr>
          <w:spacing w:val="-2"/>
          <w:u w:val="single"/>
        </w:rPr>
        <w:t>libros</w:t>
      </w:r>
    </w:p>
    <w:p>
      <w:pPr>
        <w:pStyle w:val="BodyText"/>
        <w:spacing w:line="256" w:lineRule="auto" w:before="181"/>
        <w:ind w:left="730" w:right="1001"/>
      </w:pPr>
      <w:r>
        <w:rPr/>
        <w:t>Como resultado del comportamiento conjunto del costo histórico y la depreciación acumulada, el</w:t>
      </w:r>
      <w:r>
        <w:rPr>
          <w:spacing w:val="80"/>
        </w:rPr>
        <w:t> </w:t>
      </w:r>
      <w:r>
        <w:rPr/>
        <w:t>valor neto de Propiedad, Planta y Equipo al 31 de julio 2026 es de: ¢136.505.128,50</w:t>
      </w:r>
    </w:p>
    <w:p>
      <w:pPr>
        <w:pStyle w:val="BodyText"/>
        <w:spacing w:after="0" w:line="25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5200">
                <wp:simplePos x="0" y="0"/>
                <wp:positionH relativeFrom="page">
                  <wp:posOffset>9525</wp:posOffset>
                </wp:positionH>
                <wp:positionV relativeFrom="page">
                  <wp:posOffset>297208</wp:posOffset>
                </wp:positionV>
                <wp:extent cx="7762875" cy="9748520"/>
                <wp:effectExtent l="0" t="0" r="0" b="0"/>
                <wp:wrapNone/>
                <wp:docPr id="919" name="Group 919"/>
                <wp:cNvGraphicFramePr>
                  <a:graphicFrameLocks/>
                </wp:cNvGraphicFramePr>
                <a:graphic>
                  <a:graphicData uri="http://schemas.microsoft.com/office/word/2010/wordprocessingGroup">
                    <wpg:wgp>
                      <wpg:cNvPr id="919" name="Group 919"/>
                      <wpg:cNvGrpSpPr/>
                      <wpg:grpSpPr>
                        <a:xfrm>
                          <a:off x="0" y="0"/>
                          <a:ext cx="7762875" cy="9748520"/>
                          <a:chExt cx="7762875" cy="9748520"/>
                        </a:xfrm>
                      </wpg:grpSpPr>
                      <pic:pic>
                        <pic:nvPicPr>
                          <pic:cNvPr id="920" name="Image 920"/>
                          <pic:cNvPicPr/>
                        </pic:nvPicPr>
                        <pic:blipFill>
                          <a:blip r:embed="rId5" cstate="print"/>
                          <a:stretch>
                            <a:fillRect/>
                          </a:stretch>
                        </pic:blipFill>
                        <pic:spPr>
                          <a:xfrm>
                            <a:off x="0" y="0"/>
                            <a:ext cx="7762874" cy="9748489"/>
                          </a:xfrm>
                          <a:prstGeom prst="rect">
                            <a:avLst/>
                          </a:prstGeom>
                        </pic:spPr>
                      </pic:pic>
                      <wps:wsp>
                        <wps:cNvPr id="921" name="Graphic 92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601280" id="docshapegroup894" coordorigin="15,468" coordsize="12225,15352">
                <v:shape style="position:absolute;left:15;top:468;width:12225;height:15352" type="#_x0000_t75" id="docshape895" stroked="false">
                  <v:imagedata r:id="rId5" o:title=""/>
                </v:shape>
                <v:rect style="position:absolute;left:1673;top:2028;width:8897;height:15" id="docshape89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186</w:t>
      </w:r>
    </w:p>
    <w:p>
      <w:pPr>
        <w:pStyle w:val="BodyText"/>
        <w:spacing w:before="10"/>
        <w:rPr>
          <w:sz w:val="16"/>
        </w:rPr>
      </w:pPr>
      <w:r>
        <w:rPr>
          <w:sz w:val="16"/>
        </w:rPr>
        <mc:AlternateContent>
          <mc:Choice Requires="wps">
            <w:drawing>
              <wp:anchor distT="0" distB="0" distL="0" distR="0" allowOverlap="1" layoutInCell="1" locked="0" behindDoc="1" simplePos="0" relativeHeight="487777280">
                <wp:simplePos x="0" y="0"/>
                <wp:positionH relativeFrom="page">
                  <wp:posOffset>1080820</wp:posOffset>
                </wp:positionH>
                <wp:positionV relativeFrom="paragraph">
                  <wp:posOffset>141144</wp:posOffset>
                </wp:positionV>
                <wp:extent cx="5715000" cy="2701290"/>
                <wp:effectExtent l="0" t="0" r="0" b="0"/>
                <wp:wrapTopAndBottom/>
                <wp:docPr id="922" name="Textbox 922"/>
                <wp:cNvGraphicFramePr>
                  <a:graphicFrameLocks/>
                </wp:cNvGraphicFramePr>
                <a:graphic>
                  <a:graphicData uri="http://schemas.microsoft.com/office/word/2010/wordprocessingShape">
                    <wps:wsp>
                      <wps:cNvPr id="922" name="Textbox 922"/>
                      <wps:cNvSpPr txBox="1"/>
                      <wps:spPr>
                        <a:xfrm>
                          <a:off x="0" y="0"/>
                          <a:ext cx="5715000" cy="2701290"/>
                        </a:xfrm>
                        <a:prstGeom prst="rect">
                          <a:avLst/>
                        </a:prstGeom>
                        <a:ln w="6095">
                          <a:solidFill>
                            <a:srgbClr val="000000"/>
                          </a:solidFill>
                          <a:prstDash val="solid"/>
                        </a:ln>
                      </wps:spPr>
                      <wps:txbx>
                        <w:txbxContent>
                          <w:p>
                            <w:pPr>
                              <w:pStyle w:val="BodyText"/>
                              <w:spacing w:line="259" w:lineRule="auto"/>
                              <w:ind w:left="103" w:right="101"/>
                              <w:jc w:val="both"/>
                            </w:pPr>
                            <w:r>
                              <w:rPr/>
                              <w:t>Este</w:t>
                            </w:r>
                            <w:r>
                              <w:rPr>
                                <w:spacing w:val="-14"/>
                              </w:rPr>
                              <w:t> </w:t>
                            </w:r>
                            <w:r>
                              <w:rPr/>
                              <w:t>monto</w:t>
                            </w:r>
                            <w:r>
                              <w:rPr>
                                <w:spacing w:val="-13"/>
                              </w:rPr>
                              <w:t> </w:t>
                            </w:r>
                            <w:r>
                              <w:rPr/>
                              <w:t>representa</w:t>
                            </w:r>
                            <w:r>
                              <w:rPr>
                                <w:spacing w:val="-12"/>
                              </w:rPr>
                              <w:t> </w:t>
                            </w:r>
                            <w:r>
                              <w:rPr/>
                              <w:t>el</w:t>
                            </w:r>
                            <w:r>
                              <w:rPr>
                                <w:spacing w:val="-13"/>
                              </w:rPr>
                              <w:t> </w:t>
                            </w:r>
                            <w:r>
                              <w:rPr/>
                              <w:t>valor</w:t>
                            </w:r>
                            <w:r>
                              <w:rPr>
                                <w:spacing w:val="-13"/>
                              </w:rPr>
                              <w:t> </w:t>
                            </w:r>
                            <w:r>
                              <w:rPr/>
                              <w:t>contable</w:t>
                            </w:r>
                            <w:r>
                              <w:rPr>
                                <w:spacing w:val="-14"/>
                              </w:rPr>
                              <w:t> </w:t>
                            </w:r>
                            <w:r>
                              <w:rPr/>
                              <w:t>de</w:t>
                            </w:r>
                            <w:r>
                              <w:rPr>
                                <w:spacing w:val="-13"/>
                              </w:rPr>
                              <w:t> </w:t>
                            </w:r>
                            <w:r>
                              <w:rPr/>
                              <w:t>los</w:t>
                            </w:r>
                            <w:r>
                              <w:rPr>
                                <w:spacing w:val="-12"/>
                              </w:rPr>
                              <w:t> </w:t>
                            </w:r>
                            <w:r>
                              <w:rPr/>
                              <w:t>activos</w:t>
                            </w:r>
                            <w:r>
                              <w:rPr>
                                <w:spacing w:val="-12"/>
                              </w:rPr>
                              <w:t> </w:t>
                            </w:r>
                            <w:r>
                              <w:rPr/>
                              <w:t>fijos</w:t>
                            </w:r>
                            <w:r>
                              <w:rPr>
                                <w:spacing w:val="-12"/>
                              </w:rPr>
                              <w:t> </w:t>
                            </w:r>
                            <w:r>
                              <w:rPr/>
                              <w:t>disponibles</w:t>
                            </w:r>
                            <w:r>
                              <w:rPr>
                                <w:spacing w:val="-12"/>
                              </w:rPr>
                              <w:t> </w:t>
                            </w:r>
                            <w:r>
                              <w:rPr/>
                              <w:t>para</w:t>
                            </w:r>
                            <w:r>
                              <w:rPr>
                                <w:spacing w:val="-13"/>
                              </w:rPr>
                              <w:t> </w:t>
                            </w:r>
                            <w:r>
                              <w:rPr/>
                              <w:t>la</w:t>
                            </w:r>
                            <w:r>
                              <w:rPr>
                                <w:spacing w:val="-14"/>
                              </w:rPr>
                              <w:t> </w:t>
                            </w:r>
                            <w:r>
                              <w:rPr/>
                              <w:t>operación,</w:t>
                            </w:r>
                            <w:r>
                              <w:rPr>
                                <w:spacing w:val="-12"/>
                              </w:rPr>
                              <w:t> </w:t>
                            </w:r>
                            <w:r>
                              <w:rPr/>
                              <w:t>y</w:t>
                            </w:r>
                            <w:r>
                              <w:rPr>
                                <w:spacing w:val="-14"/>
                              </w:rPr>
                              <w:t> </w:t>
                            </w:r>
                            <w:r>
                              <w:rPr/>
                              <w:t>su</w:t>
                            </w:r>
                            <w:r>
                              <w:rPr>
                                <w:spacing w:val="-12"/>
                              </w:rPr>
                              <w:t> </w:t>
                            </w:r>
                            <w:r>
                              <w:rPr/>
                              <w:t>variación respecto</w:t>
                            </w:r>
                            <w:r>
                              <w:rPr>
                                <w:spacing w:val="-11"/>
                              </w:rPr>
                              <w:t> </w:t>
                            </w:r>
                            <w:r>
                              <w:rPr/>
                              <w:t>al</w:t>
                            </w:r>
                            <w:r>
                              <w:rPr>
                                <w:spacing w:val="-12"/>
                              </w:rPr>
                              <w:t> </w:t>
                            </w:r>
                            <w:r>
                              <w:rPr/>
                              <w:t>cierre</w:t>
                            </w:r>
                            <w:r>
                              <w:rPr>
                                <w:spacing w:val="-13"/>
                              </w:rPr>
                              <w:t> </w:t>
                            </w:r>
                            <w:r>
                              <w:rPr/>
                              <w:t>de</w:t>
                            </w:r>
                            <w:r>
                              <w:rPr>
                                <w:spacing w:val="-13"/>
                              </w:rPr>
                              <w:t> </w:t>
                            </w:r>
                            <w:r>
                              <w:rPr/>
                              <w:t>diciembre</w:t>
                            </w:r>
                            <w:r>
                              <w:rPr>
                                <w:spacing w:val="-13"/>
                              </w:rPr>
                              <w:t> </w:t>
                            </w:r>
                            <w:r>
                              <w:rPr/>
                              <w:t>2025</w:t>
                            </w:r>
                            <w:r>
                              <w:rPr>
                                <w:spacing w:val="-13"/>
                              </w:rPr>
                              <w:t> </w:t>
                            </w:r>
                            <w:r>
                              <w:rPr/>
                              <w:t>se</w:t>
                            </w:r>
                            <w:r>
                              <w:rPr>
                                <w:spacing w:val="-13"/>
                              </w:rPr>
                              <w:t> </w:t>
                            </w:r>
                            <w:r>
                              <w:rPr/>
                              <w:t>explica</w:t>
                            </w:r>
                            <w:r>
                              <w:rPr>
                                <w:spacing w:val="-12"/>
                              </w:rPr>
                              <w:t> </w:t>
                            </w:r>
                            <w:r>
                              <w:rPr/>
                              <w:t>por:</w:t>
                            </w:r>
                            <w:r>
                              <w:rPr>
                                <w:spacing w:val="-13"/>
                              </w:rPr>
                              <w:t> </w:t>
                            </w:r>
                            <w:r>
                              <w:rPr/>
                              <w:t>Bajas</w:t>
                            </w:r>
                            <w:r>
                              <w:rPr>
                                <w:spacing w:val="-11"/>
                              </w:rPr>
                              <w:t> </w:t>
                            </w:r>
                            <w:r>
                              <w:rPr/>
                              <w:t>de</w:t>
                            </w:r>
                            <w:r>
                              <w:rPr>
                                <w:spacing w:val="-13"/>
                              </w:rPr>
                              <w:t> </w:t>
                            </w:r>
                            <w:r>
                              <w:rPr/>
                              <w:t>activos</w:t>
                            </w:r>
                            <w:r>
                              <w:rPr>
                                <w:spacing w:val="-10"/>
                              </w:rPr>
                              <w:t> </w:t>
                            </w:r>
                            <w:r>
                              <w:rPr/>
                              <w:t>(retiros),</w:t>
                            </w:r>
                            <w:r>
                              <w:rPr>
                                <w:spacing w:val="-12"/>
                              </w:rPr>
                              <w:t> </w:t>
                            </w:r>
                            <w:r>
                              <w:rPr/>
                              <w:t>reconocimiento</w:t>
                            </w:r>
                            <w:r>
                              <w:rPr>
                                <w:spacing w:val="-11"/>
                              </w:rPr>
                              <w:t> </w:t>
                            </w:r>
                            <w:r>
                              <w:rPr/>
                              <w:t>del</w:t>
                            </w:r>
                            <w:r>
                              <w:rPr>
                                <w:spacing w:val="-12"/>
                              </w:rPr>
                              <w:t> </w:t>
                            </w:r>
                            <w:r>
                              <w:rPr/>
                              <w:t>gasto por depreciación del período, ausencia de nuevas inversiones en activos fijos.</w:t>
                            </w:r>
                          </w:p>
                          <w:p>
                            <w:pPr>
                              <w:pStyle w:val="BodyText"/>
                              <w:spacing w:before="162"/>
                              <w:ind w:left="103"/>
                              <w:jc w:val="both"/>
                            </w:pPr>
                            <w:r>
                              <w:rPr>
                                <w:u w:val="single"/>
                              </w:rPr>
                              <w:t>Conclusión</w:t>
                            </w:r>
                            <w:r>
                              <w:rPr>
                                <w:spacing w:val="-6"/>
                                <w:u w:val="single"/>
                              </w:rPr>
                              <w:t> </w:t>
                            </w:r>
                            <w:r>
                              <w:rPr>
                                <w:u w:val="single"/>
                              </w:rPr>
                              <w:t>integrada</w:t>
                            </w:r>
                            <w:r>
                              <w:rPr>
                                <w:spacing w:val="-4"/>
                                <w:u w:val="single"/>
                              </w:rPr>
                              <w:t> </w:t>
                            </w:r>
                            <w:r>
                              <w:rPr>
                                <w:u w:val="single"/>
                              </w:rPr>
                              <w:t>(costo</w:t>
                            </w:r>
                            <w:r>
                              <w:rPr>
                                <w:spacing w:val="-6"/>
                                <w:u w:val="single"/>
                              </w:rPr>
                              <w:t> </w:t>
                            </w:r>
                            <w:r>
                              <w:rPr>
                                <w:u w:val="single"/>
                              </w:rPr>
                              <w:t>+</w:t>
                            </w:r>
                            <w:r>
                              <w:rPr>
                                <w:spacing w:val="-3"/>
                                <w:u w:val="single"/>
                              </w:rPr>
                              <w:t> </w:t>
                            </w:r>
                            <w:r>
                              <w:rPr>
                                <w:spacing w:val="-2"/>
                                <w:u w:val="single"/>
                              </w:rPr>
                              <w:t>depreciación)</w:t>
                            </w:r>
                          </w:p>
                          <w:p>
                            <w:pPr>
                              <w:pStyle w:val="BodyText"/>
                              <w:spacing w:before="178"/>
                              <w:ind w:left="103"/>
                              <w:jc w:val="both"/>
                            </w:pPr>
                            <w:r>
                              <w:rPr/>
                              <w:t>Del</w:t>
                            </w:r>
                            <w:r>
                              <w:rPr>
                                <w:spacing w:val="-4"/>
                              </w:rPr>
                              <w:t> </w:t>
                            </w:r>
                            <w:r>
                              <w:rPr/>
                              <w:t>análisis</w:t>
                            </w:r>
                            <w:r>
                              <w:rPr>
                                <w:spacing w:val="-3"/>
                              </w:rPr>
                              <w:t> </w:t>
                            </w:r>
                            <w:r>
                              <w:rPr/>
                              <w:t>conjunto</w:t>
                            </w:r>
                            <w:r>
                              <w:rPr>
                                <w:spacing w:val="-3"/>
                              </w:rPr>
                              <w:t> </w:t>
                            </w:r>
                            <w:r>
                              <w:rPr/>
                              <w:t>de</w:t>
                            </w:r>
                            <w:r>
                              <w:rPr>
                                <w:spacing w:val="-6"/>
                              </w:rPr>
                              <w:t> </w:t>
                            </w:r>
                            <w:r>
                              <w:rPr/>
                              <w:t>ambos</w:t>
                            </w:r>
                            <w:r>
                              <w:rPr>
                                <w:spacing w:val="-2"/>
                              </w:rPr>
                              <w:t> </w:t>
                            </w:r>
                            <w:r>
                              <w:rPr/>
                              <w:t>cuadros</w:t>
                            </w:r>
                            <w:r>
                              <w:rPr>
                                <w:spacing w:val="-5"/>
                              </w:rPr>
                              <w:t> </w:t>
                            </w:r>
                            <w:r>
                              <w:rPr/>
                              <w:t>se</w:t>
                            </w:r>
                            <w:r>
                              <w:rPr>
                                <w:spacing w:val="-4"/>
                              </w:rPr>
                              <w:t> </w:t>
                            </w:r>
                            <w:r>
                              <w:rPr/>
                              <w:t>concluye</w:t>
                            </w:r>
                            <w:r>
                              <w:rPr>
                                <w:spacing w:val="-4"/>
                              </w:rPr>
                              <w:t> que:</w:t>
                            </w:r>
                          </w:p>
                          <w:p>
                            <w:pPr>
                              <w:pStyle w:val="BodyText"/>
                              <w:numPr>
                                <w:ilvl w:val="0"/>
                                <w:numId w:val="81"/>
                              </w:numPr>
                              <w:tabs>
                                <w:tab w:pos="823" w:val="left" w:leader="none"/>
                              </w:tabs>
                              <w:spacing w:line="256" w:lineRule="auto" w:before="180" w:after="0"/>
                              <w:ind w:left="823" w:right="102" w:hanging="360"/>
                              <w:jc w:val="both"/>
                            </w:pPr>
                            <w:r>
                              <w:rPr/>
                              <w:t>La</w:t>
                            </w:r>
                            <w:r>
                              <w:rPr>
                                <w:spacing w:val="-6"/>
                              </w:rPr>
                              <w:t> </w:t>
                            </w:r>
                            <w:r>
                              <w:rPr/>
                              <w:t>disminución</w:t>
                            </w:r>
                            <w:r>
                              <w:rPr>
                                <w:spacing w:val="-7"/>
                              </w:rPr>
                              <w:t> </w:t>
                            </w:r>
                            <w:r>
                              <w:rPr/>
                              <w:t>del</w:t>
                            </w:r>
                            <w:r>
                              <w:rPr>
                                <w:spacing w:val="-8"/>
                              </w:rPr>
                              <w:t> </w:t>
                            </w:r>
                            <w:r>
                              <w:rPr/>
                              <w:t>activo</w:t>
                            </w:r>
                            <w:r>
                              <w:rPr>
                                <w:spacing w:val="-6"/>
                              </w:rPr>
                              <w:t> </w:t>
                            </w:r>
                            <w:r>
                              <w:rPr/>
                              <w:t>no</w:t>
                            </w:r>
                            <w:r>
                              <w:rPr>
                                <w:spacing w:val="-4"/>
                              </w:rPr>
                              <w:t> </w:t>
                            </w:r>
                            <w:r>
                              <w:rPr/>
                              <w:t>corriente</w:t>
                            </w:r>
                            <w:r>
                              <w:rPr>
                                <w:spacing w:val="-5"/>
                              </w:rPr>
                              <w:t> </w:t>
                            </w:r>
                            <w:r>
                              <w:rPr/>
                              <w:t>durante</w:t>
                            </w:r>
                            <w:r>
                              <w:rPr>
                                <w:spacing w:val="-5"/>
                              </w:rPr>
                              <w:t> </w:t>
                            </w:r>
                            <w:r>
                              <w:rPr/>
                              <w:t>el</w:t>
                            </w:r>
                            <w:r>
                              <w:rPr>
                                <w:spacing w:val="-8"/>
                              </w:rPr>
                              <w:t> </w:t>
                            </w:r>
                            <w:r>
                              <w:rPr/>
                              <w:t>período</w:t>
                            </w:r>
                            <w:r>
                              <w:rPr>
                                <w:spacing w:val="-4"/>
                              </w:rPr>
                              <w:t> </w:t>
                            </w:r>
                            <w:r>
                              <w:rPr/>
                              <w:t>no</w:t>
                            </w:r>
                            <w:r>
                              <w:rPr>
                                <w:spacing w:val="-6"/>
                              </w:rPr>
                              <w:t> </w:t>
                            </w:r>
                            <w:r>
                              <w:rPr/>
                              <w:t>obedece</w:t>
                            </w:r>
                            <w:r>
                              <w:rPr>
                                <w:spacing w:val="-4"/>
                              </w:rPr>
                              <w:t> </w:t>
                            </w:r>
                            <w:r>
                              <w:rPr/>
                              <w:t>a</w:t>
                            </w:r>
                            <w:r>
                              <w:rPr>
                                <w:spacing w:val="-8"/>
                              </w:rPr>
                              <w:t> </w:t>
                            </w:r>
                            <w:r>
                              <w:rPr/>
                              <w:t>un</w:t>
                            </w:r>
                            <w:r>
                              <w:rPr>
                                <w:spacing w:val="-7"/>
                              </w:rPr>
                              <w:t> </w:t>
                            </w:r>
                            <w:r>
                              <w:rPr/>
                              <w:t>proceso</w:t>
                            </w:r>
                            <w:r>
                              <w:rPr>
                                <w:spacing w:val="-6"/>
                              </w:rPr>
                              <w:t> </w:t>
                            </w:r>
                            <w:r>
                              <w:rPr/>
                              <w:t>de</w:t>
                            </w:r>
                            <w:r>
                              <w:rPr>
                                <w:spacing w:val="-6"/>
                              </w:rPr>
                              <w:t> </w:t>
                            </w:r>
                            <w:r>
                              <w:rPr/>
                              <w:t>desin-versión estratégica, sino a una depuración contable normal del parque de activos.</w:t>
                            </w:r>
                          </w:p>
                          <w:p>
                            <w:pPr>
                              <w:pStyle w:val="BodyText"/>
                              <w:numPr>
                                <w:ilvl w:val="0"/>
                                <w:numId w:val="81"/>
                              </w:numPr>
                              <w:tabs>
                                <w:tab w:pos="823" w:val="left" w:leader="none"/>
                              </w:tabs>
                              <w:spacing w:line="259" w:lineRule="auto" w:before="4" w:after="0"/>
                              <w:ind w:left="823" w:right="104" w:hanging="360"/>
                              <w:jc w:val="both"/>
                            </w:pPr>
                            <w:r>
                              <w:rPr/>
                              <w:t>El</w:t>
                            </w:r>
                            <w:r>
                              <w:rPr>
                                <w:spacing w:val="-7"/>
                              </w:rPr>
                              <w:t> </w:t>
                            </w:r>
                            <w:r>
                              <w:rPr/>
                              <w:t>comportamiento</w:t>
                            </w:r>
                            <w:r>
                              <w:rPr>
                                <w:spacing w:val="-8"/>
                              </w:rPr>
                              <w:t> </w:t>
                            </w:r>
                            <w:r>
                              <w:rPr/>
                              <w:t>del</w:t>
                            </w:r>
                            <w:r>
                              <w:rPr>
                                <w:spacing w:val="-7"/>
                              </w:rPr>
                              <w:t> </w:t>
                            </w:r>
                            <w:r>
                              <w:rPr/>
                              <w:t>rubro</w:t>
                            </w:r>
                            <w:r>
                              <w:rPr>
                                <w:spacing w:val="-8"/>
                              </w:rPr>
                              <w:t> </w:t>
                            </w:r>
                            <w:r>
                              <w:rPr/>
                              <w:t>es</w:t>
                            </w:r>
                            <w:r>
                              <w:rPr>
                                <w:spacing w:val="-8"/>
                              </w:rPr>
                              <w:t> </w:t>
                            </w:r>
                            <w:r>
                              <w:rPr/>
                              <w:t>consistente</w:t>
                            </w:r>
                            <w:r>
                              <w:rPr>
                                <w:spacing w:val="-6"/>
                              </w:rPr>
                              <w:t> </w:t>
                            </w:r>
                            <w:r>
                              <w:rPr/>
                              <w:t>con</w:t>
                            </w:r>
                            <w:r>
                              <w:rPr>
                                <w:spacing w:val="-9"/>
                              </w:rPr>
                              <w:t> </w:t>
                            </w:r>
                            <w:r>
                              <w:rPr/>
                              <w:t>un</w:t>
                            </w:r>
                            <w:r>
                              <w:rPr>
                                <w:spacing w:val="-9"/>
                              </w:rPr>
                              <w:t> </w:t>
                            </w:r>
                            <w:r>
                              <w:rPr/>
                              <w:t>escenario</w:t>
                            </w:r>
                            <w:r>
                              <w:rPr>
                                <w:spacing w:val="-6"/>
                              </w:rPr>
                              <w:t> </w:t>
                            </w:r>
                            <w:r>
                              <w:rPr/>
                              <w:t>de</w:t>
                            </w:r>
                            <w:r>
                              <w:rPr>
                                <w:spacing w:val="-8"/>
                              </w:rPr>
                              <w:t> </w:t>
                            </w:r>
                            <w:r>
                              <w:rPr/>
                              <w:t>estabilidad</w:t>
                            </w:r>
                            <w:r>
                              <w:rPr>
                                <w:spacing w:val="-7"/>
                              </w:rPr>
                              <w:t> </w:t>
                            </w:r>
                            <w:r>
                              <w:rPr/>
                              <w:t>operativa,</w:t>
                            </w:r>
                            <w:r>
                              <w:rPr>
                                <w:spacing w:val="-7"/>
                              </w:rPr>
                              <w:t> </w:t>
                            </w:r>
                            <w:r>
                              <w:rPr/>
                              <w:t>donde no se realizan nuevas adquisiciones y la variación responde al consumo del activo y a bajas </w:t>
                            </w:r>
                            <w:r>
                              <w:rPr>
                                <w:spacing w:val="-2"/>
                              </w:rPr>
                              <w:t>selectivas.</w:t>
                            </w:r>
                          </w:p>
                          <w:p>
                            <w:pPr>
                              <w:pStyle w:val="BodyText"/>
                              <w:numPr>
                                <w:ilvl w:val="0"/>
                                <w:numId w:val="81"/>
                              </w:numPr>
                              <w:tabs>
                                <w:tab w:pos="823" w:val="left" w:leader="none"/>
                              </w:tabs>
                              <w:spacing w:line="259" w:lineRule="auto" w:before="0" w:after="0"/>
                              <w:ind w:left="823" w:right="101" w:hanging="360"/>
                              <w:jc w:val="both"/>
                            </w:pPr>
                            <w:r>
                              <w:rPr/>
                              <w:t>El</w:t>
                            </w:r>
                            <w:r>
                              <w:rPr>
                                <w:spacing w:val="-14"/>
                              </w:rPr>
                              <w:t> </w:t>
                            </w:r>
                            <w:r>
                              <w:rPr/>
                              <w:t>tratamiento</w:t>
                            </w:r>
                            <w:r>
                              <w:rPr>
                                <w:spacing w:val="-14"/>
                              </w:rPr>
                              <w:t> </w:t>
                            </w:r>
                            <w:r>
                              <w:rPr/>
                              <w:t>contable</w:t>
                            </w:r>
                            <w:r>
                              <w:rPr>
                                <w:spacing w:val="-14"/>
                              </w:rPr>
                              <w:t> </w:t>
                            </w:r>
                            <w:r>
                              <w:rPr/>
                              <w:t>aplicado</w:t>
                            </w:r>
                            <w:r>
                              <w:rPr>
                                <w:spacing w:val="-12"/>
                              </w:rPr>
                              <w:t> </w:t>
                            </w:r>
                            <w:r>
                              <w:rPr/>
                              <w:t>es</w:t>
                            </w:r>
                            <w:r>
                              <w:rPr>
                                <w:spacing w:val="-14"/>
                              </w:rPr>
                              <w:t> </w:t>
                            </w:r>
                            <w:r>
                              <w:rPr/>
                              <w:t>congruente</w:t>
                            </w:r>
                            <w:r>
                              <w:rPr>
                                <w:spacing w:val="-12"/>
                              </w:rPr>
                              <w:t> </w:t>
                            </w:r>
                            <w:r>
                              <w:rPr/>
                              <w:t>con</w:t>
                            </w:r>
                            <w:r>
                              <w:rPr>
                                <w:spacing w:val="-13"/>
                              </w:rPr>
                              <w:t> </w:t>
                            </w:r>
                            <w:r>
                              <w:rPr/>
                              <w:t>las</w:t>
                            </w:r>
                            <w:r>
                              <w:rPr>
                                <w:spacing w:val="-14"/>
                              </w:rPr>
                              <w:t> </w:t>
                            </w:r>
                            <w:r>
                              <w:rPr/>
                              <w:t>NICSP17,</w:t>
                            </w:r>
                            <w:r>
                              <w:rPr>
                                <w:spacing w:val="-13"/>
                              </w:rPr>
                              <w:t> </w:t>
                            </w:r>
                            <w:r>
                              <w:rPr/>
                              <w:t>la</w:t>
                            </w:r>
                            <w:r>
                              <w:rPr>
                                <w:spacing w:val="-14"/>
                              </w:rPr>
                              <w:t> </w:t>
                            </w:r>
                            <w:r>
                              <w:rPr/>
                              <w:t>normativa</w:t>
                            </w:r>
                            <w:r>
                              <w:rPr>
                                <w:spacing w:val="-14"/>
                              </w:rPr>
                              <w:t> </w:t>
                            </w:r>
                            <w:r>
                              <w:rPr/>
                              <w:t>de</w:t>
                            </w:r>
                            <w:r>
                              <w:rPr>
                                <w:spacing w:val="-14"/>
                              </w:rPr>
                              <w:t> </w:t>
                            </w:r>
                            <w:r>
                              <w:rPr/>
                              <w:t>la</w:t>
                            </w:r>
                            <w:r>
                              <w:rPr>
                                <w:spacing w:val="-13"/>
                              </w:rPr>
                              <w:t> </w:t>
                            </w:r>
                            <w:r>
                              <w:rPr/>
                              <w:t>Dirección General</w:t>
                            </w:r>
                            <w:r>
                              <w:rPr>
                                <w:spacing w:val="-2"/>
                              </w:rPr>
                              <w:t> </w:t>
                            </w:r>
                            <w:r>
                              <w:rPr/>
                              <w:t>de</w:t>
                            </w:r>
                            <w:r>
                              <w:rPr>
                                <w:spacing w:val="-3"/>
                              </w:rPr>
                              <w:t> </w:t>
                            </w:r>
                            <w:r>
                              <w:rPr/>
                              <w:t>Contabilidad</w:t>
                            </w:r>
                            <w:r>
                              <w:rPr>
                                <w:spacing w:val="-2"/>
                              </w:rPr>
                              <w:t> </w:t>
                            </w:r>
                            <w:r>
                              <w:rPr/>
                              <w:t>Nacional,</w:t>
                            </w:r>
                            <w:r>
                              <w:rPr>
                                <w:spacing w:val="-1"/>
                              </w:rPr>
                              <w:t> </w:t>
                            </w:r>
                            <w:r>
                              <w:rPr/>
                              <w:t>y</w:t>
                            </w:r>
                            <w:r>
                              <w:rPr>
                                <w:spacing w:val="-2"/>
                              </w:rPr>
                              <w:t> </w:t>
                            </w:r>
                            <w:r>
                              <w:rPr/>
                              <w:t>las revelaciones incluidas en</w:t>
                            </w:r>
                            <w:r>
                              <w:rPr>
                                <w:spacing w:val="-1"/>
                              </w:rPr>
                              <w:t> </w:t>
                            </w:r>
                            <w:r>
                              <w:rPr/>
                              <w:t>los Estados Financieros de julio 2026.</w:t>
                            </w:r>
                          </w:p>
                        </w:txbxContent>
                      </wps:txbx>
                      <wps:bodyPr wrap="square" lIns="0" tIns="0" rIns="0" bIns="0" rtlCol="0">
                        <a:noAutofit/>
                      </wps:bodyPr>
                    </wps:wsp>
                  </a:graphicData>
                </a:graphic>
              </wp:anchor>
            </w:drawing>
          </mc:Choice>
          <mc:Fallback>
            <w:pict>
              <v:shape style="position:absolute;margin-left:85.103996pt;margin-top:11.11375pt;width:450pt;height:212.7pt;mso-position-horizontal-relative:page;mso-position-vertical-relative:paragraph;z-index:-15539200;mso-wrap-distance-left:0;mso-wrap-distance-right:0" type="#_x0000_t202" id="docshape897" filled="false" stroked="true" strokeweight=".47998pt" strokecolor="#000000">
                <v:textbox inset="0,0,0,0">
                  <w:txbxContent>
                    <w:p>
                      <w:pPr>
                        <w:pStyle w:val="BodyText"/>
                        <w:spacing w:line="259" w:lineRule="auto"/>
                        <w:ind w:left="103" w:right="101"/>
                        <w:jc w:val="both"/>
                      </w:pPr>
                      <w:r>
                        <w:rPr/>
                        <w:t>Este</w:t>
                      </w:r>
                      <w:r>
                        <w:rPr>
                          <w:spacing w:val="-14"/>
                        </w:rPr>
                        <w:t> </w:t>
                      </w:r>
                      <w:r>
                        <w:rPr/>
                        <w:t>monto</w:t>
                      </w:r>
                      <w:r>
                        <w:rPr>
                          <w:spacing w:val="-13"/>
                        </w:rPr>
                        <w:t> </w:t>
                      </w:r>
                      <w:r>
                        <w:rPr/>
                        <w:t>representa</w:t>
                      </w:r>
                      <w:r>
                        <w:rPr>
                          <w:spacing w:val="-12"/>
                        </w:rPr>
                        <w:t> </w:t>
                      </w:r>
                      <w:r>
                        <w:rPr/>
                        <w:t>el</w:t>
                      </w:r>
                      <w:r>
                        <w:rPr>
                          <w:spacing w:val="-13"/>
                        </w:rPr>
                        <w:t> </w:t>
                      </w:r>
                      <w:r>
                        <w:rPr/>
                        <w:t>valor</w:t>
                      </w:r>
                      <w:r>
                        <w:rPr>
                          <w:spacing w:val="-13"/>
                        </w:rPr>
                        <w:t> </w:t>
                      </w:r>
                      <w:r>
                        <w:rPr/>
                        <w:t>contable</w:t>
                      </w:r>
                      <w:r>
                        <w:rPr>
                          <w:spacing w:val="-14"/>
                        </w:rPr>
                        <w:t> </w:t>
                      </w:r>
                      <w:r>
                        <w:rPr/>
                        <w:t>de</w:t>
                      </w:r>
                      <w:r>
                        <w:rPr>
                          <w:spacing w:val="-13"/>
                        </w:rPr>
                        <w:t> </w:t>
                      </w:r>
                      <w:r>
                        <w:rPr/>
                        <w:t>los</w:t>
                      </w:r>
                      <w:r>
                        <w:rPr>
                          <w:spacing w:val="-12"/>
                        </w:rPr>
                        <w:t> </w:t>
                      </w:r>
                      <w:r>
                        <w:rPr/>
                        <w:t>activos</w:t>
                      </w:r>
                      <w:r>
                        <w:rPr>
                          <w:spacing w:val="-12"/>
                        </w:rPr>
                        <w:t> </w:t>
                      </w:r>
                      <w:r>
                        <w:rPr/>
                        <w:t>fijos</w:t>
                      </w:r>
                      <w:r>
                        <w:rPr>
                          <w:spacing w:val="-12"/>
                        </w:rPr>
                        <w:t> </w:t>
                      </w:r>
                      <w:r>
                        <w:rPr/>
                        <w:t>disponibles</w:t>
                      </w:r>
                      <w:r>
                        <w:rPr>
                          <w:spacing w:val="-12"/>
                        </w:rPr>
                        <w:t> </w:t>
                      </w:r>
                      <w:r>
                        <w:rPr/>
                        <w:t>para</w:t>
                      </w:r>
                      <w:r>
                        <w:rPr>
                          <w:spacing w:val="-13"/>
                        </w:rPr>
                        <w:t> </w:t>
                      </w:r>
                      <w:r>
                        <w:rPr/>
                        <w:t>la</w:t>
                      </w:r>
                      <w:r>
                        <w:rPr>
                          <w:spacing w:val="-14"/>
                        </w:rPr>
                        <w:t> </w:t>
                      </w:r>
                      <w:r>
                        <w:rPr/>
                        <w:t>operación,</w:t>
                      </w:r>
                      <w:r>
                        <w:rPr>
                          <w:spacing w:val="-12"/>
                        </w:rPr>
                        <w:t> </w:t>
                      </w:r>
                      <w:r>
                        <w:rPr/>
                        <w:t>y</w:t>
                      </w:r>
                      <w:r>
                        <w:rPr>
                          <w:spacing w:val="-14"/>
                        </w:rPr>
                        <w:t> </w:t>
                      </w:r>
                      <w:r>
                        <w:rPr/>
                        <w:t>su</w:t>
                      </w:r>
                      <w:r>
                        <w:rPr>
                          <w:spacing w:val="-12"/>
                        </w:rPr>
                        <w:t> </w:t>
                      </w:r>
                      <w:r>
                        <w:rPr/>
                        <w:t>variación respecto</w:t>
                      </w:r>
                      <w:r>
                        <w:rPr>
                          <w:spacing w:val="-11"/>
                        </w:rPr>
                        <w:t> </w:t>
                      </w:r>
                      <w:r>
                        <w:rPr/>
                        <w:t>al</w:t>
                      </w:r>
                      <w:r>
                        <w:rPr>
                          <w:spacing w:val="-12"/>
                        </w:rPr>
                        <w:t> </w:t>
                      </w:r>
                      <w:r>
                        <w:rPr/>
                        <w:t>cierre</w:t>
                      </w:r>
                      <w:r>
                        <w:rPr>
                          <w:spacing w:val="-13"/>
                        </w:rPr>
                        <w:t> </w:t>
                      </w:r>
                      <w:r>
                        <w:rPr/>
                        <w:t>de</w:t>
                      </w:r>
                      <w:r>
                        <w:rPr>
                          <w:spacing w:val="-13"/>
                        </w:rPr>
                        <w:t> </w:t>
                      </w:r>
                      <w:r>
                        <w:rPr/>
                        <w:t>diciembre</w:t>
                      </w:r>
                      <w:r>
                        <w:rPr>
                          <w:spacing w:val="-13"/>
                        </w:rPr>
                        <w:t> </w:t>
                      </w:r>
                      <w:r>
                        <w:rPr/>
                        <w:t>2025</w:t>
                      </w:r>
                      <w:r>
                        <w:rPr>
                          <w:spacing w:val="-13"/>
                        </w:rPr>
                        <w:t> </w:t>
                      </w:r>
                      <w:r>
                        <w:rPr/>
                        <w:t>se</w:t>
                      </w:r>
                      <w:r>
                        <w:rPr>
                          <w:spacing w:val="-13"/>
                        </w:rPr>
                        <w:t> </w:t>
                      </w:r>
                      <w:r>
                        <w:rPr/>
                        <w:t>explica</w:t>
                      </w:r>
                      <w:r>
                        <w:rPr>
                          <w:spacing w:val="-12"/>
                        </w:rPr>
                        <w:t> </w:t>
                      </w:r>
                      <w:r>
                        <w:rPr/>
                        <w:t>por:</w:t>
                      </w:r>
                      <w:r>
                        <w:rPr>
                          <w:spacing w:val="-13"/>
                        </w:rPr>
                        <w:t> </w:t>
                      </w:r>
                      <w:r>
                        <w:rPr/>
                        <w:t>Bajas</w:t>
                      </w:r>
                      <w:r>
                        <w:rPr>
                          <w:spacing w:val="-11"/>
                        </w:rPr>
                        <w:t> </w:t>
                      </w:r>
                      <w:r>
                        <w:rPr/>
                        <w:t>de</w:t>
                      </w:r>
                      <w:r>
                        <w:rPr>
                          <w:spacing w:val="-13"/>
                        </w:rPr>
                        <w:t> </w:t>
                      </w:r>
                      <w:r>
                        <w:rPr/>
                        <w:t>activos</w:t>
                      </w:r>
                      <w:r>
                        <w:rPr>
                          <w:spacing w:val="-10"/>
                        </w:rPr>
                        <w:t> </w:t>
                      </w:r>
                      <w:r>
                        <w:rPr/>
                        <w:t>(retiros),</w:t>
                      </w:r>
                      <w:r>
                        <w:rPr>
                          <w:spacing w:val="-12"/>
                        </w:rPr>
                        <w:t> </w:t>
                      </w:r>
                      <w:r>
                        <w:rPr/>
                        <w:t>reconocimiento</w:t>
                      </w:r>
                      <w:r>
                        <w:rPr>
                          <w:spacing w:val="-11"/>
                        </w:rPr>
                        <w:t> </w:t>
                      </w:r>
                      <w:r>
                        <w:rPr/>
                        <w:t>del</w:t>
                      </w:r>
                      <w:r>
                        <w:rPr>
                          <w:spacing w:val="-12"/>
                        </w:rPr>
                        <w:t> </w:t>
                      </w:r>
                      <w:r>
                        <w:rPr/>
                        <w:t>gasto por depreciación del período, ausencia de nuevas inversiones en activos fijos.</w:t>
                      </w:r>
                    </w:p>
                    <w:p>
                      <w:pPr>
                        <w:pStyle w:val="BodyText"/>
                        <w:spacing w:before="162"/>
                        <w:ind w:left="103"/>
                        <w:jc w:val="both"/>
                      </w:pPr>
                      <w:r>
                        <w:rPr>
                          <w:u w:val="single"/>
                        </w:rPr>
                        <w:t>Conclusión</w:t>
                      </w:r>
                      <w:r>
                        <w:rPr>
                          <w:spacing w:val="-6"/>
                          <w:u w:val="single"/>
                        </w:rPr>
                        <w:t> </w:t>
                      </w:r>
                      <w:r>
                        <w:rPr>
                          <w:u w:val="single"/>
                        </w:rPr>
                        <w:t>integrada</w:t>
                      </w:r>
                      <w:r>
                        <w:rPr>
                          <w:spacing w:val="-4"/>
                          <w:u w:val="single"/>
                        </w:rPr>
                        <w:t> </w:t>
                      </w:r>
                      <w:r>
                        <w:rPr>
                          <w:u w:val="single"/>
                        </w:rPr>
                        <w:t>(costo</w:t>
                      </w:r>
                      <w:r>
                        <w:rPr>
                          <w:spacing w:val="-6"/>
                          <w:u w:val="single"/>
                        </w:rPr>
                        <w:t> </w:t>
                      </w:r>
                      <w:r>
                        <w:rPr>
                          <w:u w:val="single"/>
                        </w:rPr>
                        <w:t>+</w:t>
                      </w:r>
                      <w:r>
                        <w:rPr>
                          <w:spacing w:val="-3"/>
                          <w:u w:val="single"/>
                        </w:rPr>
                        <w:t> </w:t>
                      </w:r>
                      <w:r>
                        <w:rPr>
                          <w:spacing w:val="-2"/>
                          <w:u w:val="single"/>
                        </w:rPr>
                        <w:t>depreciación)</w:t>
                      </w:r>
                    </w:p>
                    <w:p>
                      <w:pPr>
                        <w:pStyle w:val="BodyText"/>
                        <w:spacing w:before="178"/>
                        <w:ind w:left="103"/>
                        <w:jc w:val="both"/>
                      </w:pPr>
                      <w:r>
                        <w:rPr/>
                        <w:t>Del</w:t>
                      </w:r>
                      <w:r>
                        <w:rPr>
                          <w:spacing w:val="-4"/>
                        </w:rPr>
                        <w:t> </w:t>
                      </w:r>
                      <w:r>
                        <w:rPr/>
                        <w:t>análisis</w:t>
                      </w:r>
                      <w:r>
                        <w:rPr>
                          <w:spacing w:val="-3"/>
                        </w:rPr>
                        <w:t> </w:t>
                      </w:r>
                      <w:r>
                        <w:rPr/>
                        <w:t>conjunto</w:t>
                      </w:r>
                      <w:r>
                        <w:rPr>
                          <w:spacing w:val="-3"/>
                        </w:rPr>
                        <w:t> </w:t>
                      </w:r>
                      <w:r>
                        <w:rPr/>
                        <w:t>de</w:t>
                      </w:r>
                      <w:r>
                        <w:rPr>
                          <w:spacing w:val="-6"/>
                        </w:rPr>
                        <w:t> </w:t>
                      </w:r>
                      <w:r>
                        <w:rPr/>
                        <w:t>ambos</w:t>
                      </w:r>
                      <w:r>
                        <w:rPr>
                          <w:spacing w:val="-2"/>
                        </w:rPr>
                        <w:t> </w:t>
                      </w:r>
                      <w:r>
                        <w:rPr/>
                        <w:t>cuadros</w:t>
                      </w:r>
                      <w:r>
                        <w:rPr>
                          <w:spacing w:val="-5"/>
                        </w:rPr>
                        <w:t> </w:t>
                      </w:r>
                      <w:r>
                        <w:rPr/>
                        <w:t>se</w:t>
                      </w:r>
                      <w:r>
                        <w:rPr>
                          <w:spacing w:val="-4"/>
                        </w:rPr>
                        <w:t> </w:t>
                      </w:r>
                      <w:r>
                        <w:rPr/>
                        <w:t>concluye</w:t>
                      </w:r>
                      <w:r>
                        <w:rPr>
                          <w:spacing w:val="-4"/>
                        </w:rPr>
                        <w:t> que:</w:t>
                      </w:r>
                    </w:p>
                    <w:p>
                      <w:pPr>
                        <w:pStyle w:val="BodyText"/>
                        <w:numPr>
                          <w:ilvl w:val="0"/>
                          <w:numId w:val="81"/>
                        </w:numPr>
                        <w:tabs>
                          <w:tab w:pos="823" w:val="left" w:leader="none"/>
                        </w:tabs>
                        <w:spacing w:line="256" w:lineRule="auto" w:before="180" w:after="0"/>
                        <w:ind w:left="823" w:right="102" w:hanging="360"/>
                        <w:jc w:val="both"/>
                      </w:pPr>
                      <w:r>
                        <w:rPr/>
                        <w:t>La</w:t>
                      </w:r>
                      <w:r>
                        <w:rPr>
                          <w:spacing w:val="-6"/>
                        </w:rPr>
                        <w:t> </w:t>
                      </w:r>
                      <w:r>
                        <w:rPr/>
                        <w:t>disminución</w:t>
                      </w:r>
                      <w:r>
                        <w:rPr>
                          <w:spacing w:val="-7"/>
                        </w:rPr>
                        <w:t> </w:t>
                      </w:r>
                      <w:r>
                        <w:rPr/>
                        <w:t>del</w:t>
                      </w:r>
                      <w:r>
                        <w:rPr>
                          <w:spacing w:val="-8"/>
                        </w:rPr>
                        <w:t> </w:t>
                      </w:r>
                      <w:r>
                        <w:rPr/>
                        <w:t>activo</w:t>
                      </w:r>
                      <w:r>
                        <w:rPr>
                          <w:spacing w:val="-6"/>
                        </w:rPr>
                        <w:t> </w:t>
                      </w:r>
                      <w:r>
                        <w:rPr/>
                        <w:t>no</w:t>
                      </w:r>
                      <w:r>
                        <w:rPr>
                          <w:spacing w:val="-4"/>
                        </w:rPr>
                        <w:t> </w:t>
                      </w:r>
                      <w:r>
                        <w:rPr/>
                        <w:t>corriente</w:t>
                      </w:r>
                      <w:r>
                        <w:rPr>
                          <w:spacing w:val="-5"/>
                        </w:rPr>
                        <w:t> </w:t>
                      </w:r>
                      <w:r>
                        <w:rPr/>
                        <w:t>durante</w:t>
                      </w:r>
                      <w:r>
                        <w:rPr>
                          <w:spacing w:val="-5"/>
                        </w:rPr>
                        <w:t> </w:t>
                      </w:r>
                      <w:r>
                        <w:rPr/>
                        <w:t>el</w:t>
                      </w:r>
                      <w:r>
                        <w:rPr>
                          <w:spacing w:val="-8"/>
                        </w:rPr>
                        <w:t> </w:t>
                      </w:r>
                      <w:r>
                        <w:rPr/>
                        <w:t>período</w:t>
                      </w:r>
                      <w:r>
                        <w:rPr>
                          <w:spacing w:val="-4"/>
                        </w:rPr>
                        <w:t> </w:t>
                      </w:r>
                      <w:r>
                        <w:rPr/>
                        <w:t>no</w:t>
                      </w:r>
                      <w:r>
                        <w:rPr>
                          <w:spacing w:val="-6"/>
                        </w:rPr>
                        <w:t> </w:t>
                      </w:r>
                      <w:r>
                        <w:rPr/>
                        <w:t>obedece</w:t>
                      </w:r>
                      <w:r>
                        <w:rPr>
                          <w:spacing w:val="-4"/>
                        </w:rPr>
                        <w:t> </w:t>
                      </w:r>
                      <w:r>
                        <w:rPr/>
                        <w:t>a</w:t>
                      </w:r>
                      <w:r>
                        <w:rPr>
                          <w:spacing w:val="-8"/>
                        </w:rPr>
                        <w:t> </w:t>
                      </w:r>
                      <w:r>
                        <w:rPr/>
                        <w:t>un</w:t>
                      </w:r>
                      <w:r>
                        <w:rPr>
                          <w:spacing w:val="-7"/>
                        </w:rPr>
                        <w:t> </w:t>
                      </w:r>
                      <w:r>
                        <w:rPr/>
                        <w:t>proceso</w:t>
                      </w:r>
                      <w:r>
                        <w:rPr>
                          <w:spacing w:val="-6"/>
                        </w:rPr>
                        <w:t> </w:t>
                      </w:r>
                      <w:r>
                        <w:rPr/>
                        <w:t>de</w:t>
                      </w:r>
                      <w:r>
                        <w:rPr>
                          <w:spacing w:val="-6"/>
                        </w:rPr>
                        <w:t> </w:t>
                      </w:r>
                      <w:r>
                        <w:rPr/>
                        <w:t>desin-versión estratégica, sino a una depuración contable normal del parque de activos.</w:t>
                      </w:r>
                    </w:p>
                    <w:p>
                      <w:pPr>
                        <w:pStyle w:val="BodyText"/>
                        <w:numPr>
                          <w:ilvl w:val="0"/>
                          <w:numId w:val="81"/>
                        </w:numPr>
                        <w:tabs>
                          <w:tab w:pos="823" w:val="left" w:leader="none"/>
                        </w:tabs>
                        <w:spacing w:line="259" w:lineRule="auto" w:before="4" w:after="0"/>
                        <w:ind w:left="823" w:right="104" w:hanging="360"/>
                        <w:jc w:val="both"/>
                      </w:pPr>
                      <w:r>
                        <w:rPr/>
                        <w:t>El</w:t>
                      </w:r>
                      <w:r>
                        <w:rPr>
                          <w:spacing w:val="-7"/>
                        </w:rPr>
                        <w:t> </w:t>
                      </w:r>
                      <w:r>
                        <w:rPr/>
                        <w:t>comportamiento</w:t>
                      </w:r>
                      <w:r>
                        <w:rPr>
                          <w:spacing w:val="-8"/>
                        </w:rPr>
                        <w:t> </w:t>
                      </w:r>
                      <w:r>
                        <w:rPr/>
                        <w:t>del</w:t>
                      </w:r>
                      <w:r>
                        <w:rPr>
                          <w:spacing w:val="-7"/>
                        </w:rPr>
                        <w:t> </w:t>
                      </w:r>
                      <w:r>
                        <w:rPr/>
                        <w:t>rubro</w:t>
                      </w:r>
                      <w:r>
                        <w:rPr>
                          <w:spacing w:val="-8"/>
                        </w:rPr>
                        <w:t> </w:t>
                      </w:r>
                      <w:r>
                        <w:rPr/>
                        <w:t>es</w:t>
                      </w:r>
                      <w:r>
                        <w:rPr>
                          <w:spacing w:val="-8"/>
                        </w:rPr>
                        <w:t> </w:t>
                      </w:r>
                      <w:r>
                        <w:rPr/>
                        <w:t>consistente</w:t>
                      </w:r>
                      <w:r>
                        <w:rPr>
                          <w:spacing w:val="-6"/>
                        </w:rPr>
                        <w:t> </w:t>
                      </w:r>
                      <w:r>
                        <w:rPr/>
                        <w:t>con</w:t>
                      </w:r>
                      <w:r>
                        <w:rPr>
                          <w:spacing w:val="-9"/>
                        </w:rPr>
                        <w:t> </w:t>
                      </w:r>
                      <w:r>
                        <w:rPr/>
                        <w:t>un</w:t>
                      </w:r>
                      <w:r>
                        <w:rPr>
                          <w:spacing w:val="-9"/>
                        </w:rPr>
                        <w:t> </w:t>
                      </w:r>
                      <w:r>
                        <w:rPr/>
                        <w:t>escenario</w:t>
                      </w:r>
                      <w:r>
                        <w:rPr>
                          <w:spacing w:val="-6"/>
                        </w:rPr>
                        <w:t> </w:t>
                      </w:r>
                      <w:r>
                        <w:rPr/>
                        <w:t>de</w:t>
                      </w:r>
                      <w:r>
                        <w:rPr>
                          <w:spacing w:val="-8"/>
                        </w:rPr>
                        <w:t> </w:t>
                      </w:r>
                      <w:r>
                        <w:rPr/>
                        <w:t>estabilidad</w:t>
                      </w:r>
                      <w:r>
                        <w:rPr>
                          <w:spacing w:val="-7"/>
                        </w:rPr>
                        <w:t> </w:t>
                      </w:r>
                      <w:r>
                        <w:rPr/>
                        <w:t>operativa,</w:t>
                      </w:r>
                      <w:r>
                        <w:rPr>
                          <w:spacing w:val="-7"/>
                        </w:rPr>
                        <w:t> </w:t>
                      </w:r>
                      <w:r>
                        <w:rPr/>
                        <w:t>donde no se realizan nuevas adquisiciones y la variación responde al consumo del activo y a bajas </w:t>
                      </w:r>
                      <w:r>
                        <w:rPr>
                          <w:spacing w:val="-2"/>
                        </w:rPr>
                        <w:t>selectivas.</w:t>
                      </w:r>
                    </w:p>
                    <w:p>
                      <w:pPr>
                        <w:pStyle w:val="BodyText"/>
                        <w:numPr>
                          <w:ilvl w:val="0"/>
                          <w:numId w:val="81"/>
                        </w:numPr>
                        <w:tabs>
                          <w:tab w:pos="823" w:val="left" w:leader="none"/>
                        </w:tabs>
                        <w:spacing w:line="259" w:lineRule="auto" w:before="0" w:after="0"/>
                        <w:ind w:left="823" w:right="101" w:hanging="360"/>
                        <w:jc w:val="both"/>
                      </w:pPr>
                      <w:r>
                        <w:rPr/>
                        <w:t>El</w:t>
                      </w:r>
                      <w:r>
                        <w:rPr>
                          <w:spacing w:val="-14"/>
                        </w:rPr>
                        <w:t> </w:t>
                      </w:r>
                      <w:r>
                        <w:rPr/>
                        <w:t>tratamiento</w:t>
                      </w:r>
                      <w:r>
                        <w:rPr>
                          <w:spacing w:val="-14"/>
                        </w:rPr>
                        <w:t> </w:t>
                      </w:r>
                      <w:r>
                        <w:rPr/>
                        <w:t>contable</w:t>
                      </w:r>
                      <w:r>
                        <w:rPr>
                          <w:spacing w:val="-14"/>
                        </w:rPr>
                        <w:t> </w:t>
                      </w:r>
                      <w:r>
                        <w:rPr/>
                        <w:t>aplicado</w:t>
                      </w:r>
                      <w:r>
                        <w:rPr>
                          <w:spacing w:val="-12"/>
                        </w:rPr>
                        <w:t> </w:t>
                      </w:r>
                      <w:r>
                        <w:rPr/>
                        <w:t>es</w:t>
                      </w:r>
                      <w:r>
                        <w:rPr>
                          <w:spacing w:val="-14"/>
                        </w:rPr>
                        <w:t> </w:t>
                      </w:r>
                      <w:r>
                        <w:rPr/>
                        <w:t>congruente</w:t>
                      </w:r>
                      <w:r>
                        <w:rPr>
                          <w:spacing w:val="-12"/>
                        </w:rPr>
                        <w:t> </w:t>
                      </w:r>
                      <w:r>
                        <w:rPr/>
                        <w:t>con</w:t>
                      </w:r>
                      <w:r>
                        <w:rPr>
                          <w:spacing w:val="-13"/>
                        </w:rPr>
                        <w:t> </w:t>
                      </w:r>
                      <w:r>
                        <w:rPr/>
                        <w:t>las</w:t>
                      </w:r>
                      <w:r>
                        <w:rPr>
                          <w:spacing w:val="-14"/>
                        </w:rPr>
                        <w:t> </w:t>
                      </w:r>
                      <w:r>
                        <w:rPr/>
                        <w:t>NICSP17,</w:t>
                      </w:r>
                      <w:r>
                        <w:rPr>
                          <w:spacing w:val="-13"/>
                        </w:rPr>
                        <w:t> </w:t>
                      </w:r>
                      <w:r>
                        <w:rPr/>
                        <w:t>la</w:t>
                      </w:r>
                      <w:r>
                        <w:rPr>
                          <w:spacing w:val="-14"/>
                        </w:rPr>
                        <w:t> </w:t>
                      </w:r>
                      <w:r>
                        <w:rPr/>
                        <w:t>normativa</w:t>
                      </w:r>
                      <w:r>
                        <w:rPr>
                          <w:spacing w:val="-14"/>
                        </w:rPr>
                        <w:t> </w:t>
                      </w:r>
                      <w:r>
                        <w:rPr/>
                        <w:t>de</w:t>
                      </w:r>
                      <w:r>
                        <w:rPr>
                          <w:spacing w:val="-14"/>
                        </w:rPr>
                        <w:t> </w:t>
                      </w:r>
                      <w:r>
                        <w:rPr/>
                        <w:t>la</w:t>
                      </w:r>
                      <w:r>
                        <w:rPr>
                          <w:spacing w:val="-13"/>
                        </w:rPr>
                        <w:t> </w:t>
                      </w:r>
                      <w:r>
                        <w:rPr/>
                        <w:t>Dirección General</w:t>
                      </w:r>
                      <w:r>
                        <w:rPr>
                          <w:spacing w:val="-2"/>
                        </w:rPr>
                        <w:t> </w:t>
                      </w:r>
                      <w:r>
                        <w:rPr/>
                        <w:t>de</w:t>
                      </w:r>
                      <w:r>
                        <w:rPr>
                          <w:spacing w:val="-3"/>
                        </w:rPr>
                        <w:t> </w:t>
                      </w:r>
                      <w:r>
                        <w:rPr/>
                        <w:t>Contabilidad</w:t>
                      </w:r>
                      <w:r>
                        <w:rPr>
                          <w:spacing w:val="-2"/>
                        </w:rPr>
                        <w:t> </w:t>
                      </w:r>
                      <w:r>
                        <w:rPr/>
                        <w:t>Nacional,</w:t>
                      </w:r>
                      <w:r>
                        <w:rPr>
                          <w:spacing w:val="-1"/>
                        </w:rPr>
                        <w:t> </w:t>
                      </w:r>
                      <w:r>
                        <w:rPr/>
                        <w:t>y</w:t>
                      </w:r>
                      <w:r>
                        <w:rPr>
                          <w:spacing w:val="-2"/>
                        </w:rPr>
                        <w:t> </w:t>
                      </w:r>
                      <w:r>
                        <w:rPr/>
                        <w:t>las revelaciones incluidas en</w:t>
                      </w:r>
                      <w:r>
                        <w:rPr>
                          <w:spacing w:val="-1"/>
                        </w:rPr>
                        <w:t> </w:t>
                      </w:r>
                      <w:r>
                        <w:rPr/>
                        <w:t>los Estados Financieros de julio 2026.</w:t>
                      </w:r>
                    </w:p>
                  </w:txbxContent>
                </v:textbox>
                <v:stroke dashstyle="solid"/>
                <w10:wrap type="topAndBottom"/>
              </v:shape>
            </w:pict>
          </mc:Fallback>
        </mc:AlternateContent>
      </w:r>
    </w:p>
    <w:p>
      <w:pPr>
        <w:pStyle w:val="BodyText"/>
      </w:pPr>
    </w:p>
    <w:p>
      <w:pPr>
        <w:pStyle w:val="BodyText"/>
      </w:pPr>
    </w:p>
    <w:p>
      <w:pPr>
        <w:pStyle w:val="BodyText"/>
        <w:spacing w:before="6"/>
      </w:pPr>
    </w:p>
    <w:p>
      <w:pPr>
        <w:pStyle w:val="ListParagraph"/>
        <w:numPr>
          <w:ilvl w:val="0"/>
          <w:numId w:val="80"/>
        </w:numPr>
        <w:tabs>
          <w:tab w:pos="1341" w:val="left" w:leader="none"/>
        </w:tabs>
        <w:spacing w:line="240" w:lineRule="auto" w:before="0" w:after="0"/>
        <w:ind w:left="1341" w:right="0" w:hanging="360"/>
        <w:jc w:val="left"/>
        <w:rPr>
          <w:sz w:val="22"/>
        </w:rPr>
      </w:pPr>
      <w:r>
        <w:rPr>
          <w:sz w:val="22"/>
          <w:u w:val="single"/>
        </w:rPr>
        <w:t>Vida</w:t>
      </w:r>
      <w:r>
        <w:rPr>
          <w:spacing w:val="-4"/>
          <w:sz w:val="22"/>
          <w:u w:val="single"/>
        </w:rPr>
        <w:t> </w:t>
      </w:r>
      <w:r>
        <w:rPr>
          <w:sz w:val="22"/>
          <w:u w:val="single"/>
        </w:rPr>
        <w:t>útil</w:t>
      </w:r>
      <w:r>
        <w:rPr>
          <w:spacing w:val="-4"/>
          <w:sz w:val="22"/>
          <w:u w:val="single"/>
        </w:rPr>
        <w:t> </w:t>
      </w:r>
      <w:r>
        <w:rPr>
          <w:sz w:val="22"/>
          <w:u w:val="single"/>
        </w:rPr>
        <w:t>(Párrafo</w:t>
      </w:r>
      <w:r>
        <w:rPr>
          <w:spacing w:val="-2"/>
          <w:sz w:val="22"/>
          <w:u w:val="single"/>
        </w:rPr>
        <w:t> </w:t>
      </w:r>
      <w:r>
        <w:rPr>
          <w:spacing w:val="-5"/>
          <w:sz w:val="22"/>
          <w:u w:val="single"/>
        </w:rPr>
        <w:t>88)</w:t>
      </w:r>
    </w:p>
    <w:p>
      <w:pPr>
        <w:pStyle w:val="BodyText"/>
        <w:spacing w:before="31"/>
        <w:rPr>
          <w:sz w:val="20"/>
        </w:rPr>
      </w:pPr>
      <w:r>
        <w:rPr>
          <w:sz w:val="20"/>
        </w:rPr>
        <mc:AlternateContent>
          <mc:Choice Requires="wps">
            <w:drawing>
              <wp:anchor distT="0" distB="0" distL="0" distR="0" allowOverlap="1" layoutInCell="1" locked="0" behindDoc="1" simplePos="0" relativeHeight="487777792">
                <wp:simplePos x="0" y="0"/>
                <wp:positionH relativeFrom="page">
                  <wp:posOffset>1080820</wp:posOffset>
                </wp:positionH>
                <wp:positionV relativeFrom="paragraph">
                  <wp:posOffset>182959</wp:posOffset>
                </wp:positionV>
                <wp:extent cx="5715000" cy="701675"/>
                <wp:effectExtent l="0" t="0" r="0" b="0"/>
                <wp:wrapTopAndBottom/>
                <wp:docPr id="923" name="Textbox 923"/>
                <wp:cNvGraphicFramePr>
                  <a:graphicFrameLocks/>
                </wp:cNvGraphicFramePr>
                <a:graphic>
                  <a:graphicData uri="http://schemas.microsoft.com/office/word/2010/wordprocessingShape">
                    <wps:wsp>
                      <wps:cNvPr id="923" name="Textbox 923"/>
                      <wps:cNvSpPr txBox="1"/>
                      <wps:spPr>
                        <a:xfrm>
                          <a:off x="0" y="0"/>
                          <a:ext cx="5715000" cy="701675"/>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644"/>
                            </w:pPr>
                            <w:r>
                              <w:rPr/>
                              <w:t>El</w:t>
                            </w:r>
                            <w:r>
                              <w:rPr>
                                <w:spacing w:val="-2"/>
                              </w:rPr>
                              <w:t> </w:t>
                            </w:r>
                            <w:r>
                              <w:rPr/>
                              <w:t>IMAS</w:t>
                            </w:r>
                            <w:r>
                              <w:rPr>
                                <w:spacing w:val="-1"/>
                              </w:rPr>
                              <w:t> </w:t>
                            </w:r>
                            <w:r>
                              <w:rPr/>
                              <w:t>cuenta</w:t>
                            </w:r>
                            <w:r>
                              <w:rPr>
                                <w:spacing w:val="-2"/>
                              </w:rPr>
                              <w:t> </w:t>
                            </w:r>
                            <w:r>
                              <w:rPr/>
                              <w:t>con</w:t>
                            </w:r>
                            <w:r>
                              <w:rPr>
                                <w:spacing w:val="-2"/>
                              </w:rPr>
                              <w:t> </w:t>
                            </w:r>
                            <w:r>
                              <w:rPr/>
                              <w:t>un</w:t>
                            </w:r>
                            <w:r>
                              <w:rPr>
                                <w:spacing w:val="-5"/>
                              </w:rPr>
                              <w:t> </w:t>
                            </w:r>
                            <w:r>
                              <w:rPr/>
                              <w:t>sistema</w:t>
                            </w:r>
                            <w:r>
                              <w:rPr>
                                <w:spacing w:val="-3"/>
                              </w:rPr>
                              <w:t> </w:t>
                            </w:r>
                            <w:r>
                              <w:rPr/>
                              <w:t>informático</w:t>
                            </w:r>
                            <w:r>
                              <w:rPr>
                                <w:spacing w:val="-4"/>
                              </w:rPr>
                              <w:t> </w:t>
                            </w:r>
                            <w:r>
                              <w:rPr/>
                              <w:t>del</w:t>
                            </w:r>
                            <w:r>
                              <w:rPr>
                                <w:spacing w:val="-2"/>
                              </w:rPr>
                              <w:t> </w:t>
                            </w:r>
                            <w:r>
                              <w:rPr/>
                              <w:t>control</w:t>
                            </w:r>
                            <w:r>
                              <w:rPr>
                                <w:spacing w:val="-2"/>
                              </w:rPr>
                              <w:t> </w:t>
                            </w:r>
                            <w:r>
                              <w:rPr/>
                              <w:t>financiero</w:t>
                            </w:r>
                            <w:r>
                              <w:rPr>
                                <w:spacing w:val="-2"/>
                              </w:rPr>
                              <w:t> </w:t>
                            </w:r>
                            <w:r>
                              <w:rPr/>
                              <w:t>de</w:t>
                            </w:r>
                            <w:r>
                              <w:rPr>
                                <w:spacing w:val="-4"/>
                              </w:rPr>
                              <w:t> </w:t>
                            </w:r>
                            <w:r>
                              <w:rPr/>
                              <w:t>sus</w:t>
                            </w:r>
                            <w:r>
                              <w:rPr>
                                <w:spacing w:val="-1"/>
                              </w:rPr>
                              <w:t> </w:t>
                            </w:r>
                            <w:r>
                              <w:rPr/>
                              <w:t>activos,</w:t>
                            </w:r>
                            <w:r>
                              <w:rPr>
                                <w:spacing w:val="-5"/>
                              </w:rPr>
                              <w:t> </w:t>
                            </w:r>
                            <w:r>
                              <w:rPr/>
                              <w:t>se</w:t>
                            </w:r>
                            <w:r>
                              <w:rPr>
                                <w:spacing w:val="-3"/>
                              </w:rPr>
                              <w:t> </w:t>
                            </w:r>
                            <w:r>
                              <w:rPr/>
                              <w:t>realizó</w:t>
                            </w:r>
                            <w:r>
                              <w:rPr>
                                <w:spacing w:val="-1"/>
                              </w:rPr>
                              <w:t> </w:t>
                            </w:r>
                            <w:r>
                              <w:rPr/>
                              <w:t>un análisis de la estimación de vida útil utilizando el anexo No.1 de la Directriz CN-001-2009</w:t>
                            </w:r>
                          </w:p>
                        </w:txbxContent>
                      </wps:txbx>
                      <wps:bodyPr wrap="square" lIns="0" tIns="0" rIns="0" bIns="0" rtlCol="0">
                        <a:noAutofit/>
                      </wps:bodyPr>
                    </wps:wsp>
                  </a:graphicData>
                </a:graphic>
              </wp:anchor>
            </w:drawing>
          </mc:Choice>
          <mc:Fallback>
            <w:pict>
              <v:shape style="position:absolute;margin-left:85.103996pt;margin-top:14.40625pt;width:450pt;height:55.25pt;mso-position-horizontal-relative:page;mso-position-vertical-relative:paragraph;z-index:-15538688;mso-wrap-distance-left:0;mso-wrap-distance-right:0" type="#_x0000_t202" id="docshape898"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644"/>
                      </w:pPr>
                      <w:r>
                        <w:rPr/>
                        <w:t>El</w:t>
                      </w:r>
                      <w:r>
                        <w:rPr>
                          <w:spacing w:val="-2"/>
                        </w:rPr>
                        <w:t> </w:t>
                      </w:r>
                      <w:r>
                        <w:rPr/>
                        <w:t>IMAS</w:t>
                      </w:r>
                      <w:r>
                        <w:rPr>
                          <w:spacing w:val="-1"/>
                        </w:rPr>
                        <w:t> </w:t>
                      </w:r>
                      <w:r>
                        <w:rPr/>
                        <w:t>cuenta</w:t>
                      </w:r>
                      <w:r>
                        <w:rPr>
                          <w:spacing w:val="-2"/>
                        </w:rPr>
                        <w:t> </w:t>
                      </w:r>
                      <w:r>
                        <w:rPr/>
                        <w:t>con</w:t>
                      </w:r>
                      <w:r>
                        <w:rPr>
                          <w:spacing w:val="-2"/>
                        </w:rPr>
                        <w:t> </w:t>
                      </w:r>
                      <w:r>
                        <w:rPr/>
                        <w:t>un</w:t>
                      </w:r>
                      <w:r>
                        <w:rPr>
                          <w:spacing w:val="-5"/>
                        </w:rPr>
                        <w:t> </w:t>
                      </w:r>
                      <w:r>
                        <w:rPr/>
                        <w:t>sistema</w:t>
                      </w:r>
                      <w:r>
                        <w:rPr>
                          <w:spacing w:val="-3"/>
                        </w:rPr>
                        <w:t> </w:t>
                      </w:r>
                      <w:r>
                        <w:rPr/>
                        <w:t>informático</w:t>
                      </w:r>
                      <w:r>
                        <w:rPr>
                          <w:spacing w:val="-4"/>
                        </w:rPr>
                        <w:t> </w:t>
                      </w:r>
                      <w:r>
                        <w:rPr/>
                        <w:t>del</w:t>
                      </w:r>
                      <w:r>
                        <w:rPr>
                          <w:spacing w:val="-2"/>
                        </w:rPr>
                        <w:t> </w:t>
                      </w:r>
                      <w:r>
                        <w:rPr/>
                        <w:t>control</w:t>
                      </w:r>
                      <w:r>
                        <w:rPr>
                          <w:spacing w:val="-2"/>
                        </w:rPr>
                        <w:t> </w:t>
                      </w:r>
                      <w:r>
                        <w:rPr/>
                        <w:t>financiero</w:t>
                      </w:r>
                      <w:r>
                        <w:rPr>
                          <w:spacing w:val="-2"/>
                        </w:rPr>
                        <w:t> </w:t>
                      </w:r>
                      <w:r>
                        <w:rPr/>
                        <w:t>de</w:t>
                      </w:r>
                      <w:r>
                        <w:rPr>
                          <w:spacing w:val="-4"/>
                        </w:rPr>
                        <w:t> </w:t>
                      </w:r>
                      <w:r>
                        <w:rPr/>
                        <w:t>sus</w:t>
                      </w:r>
                      <w:r>
                        <w:rPr>
                          <w:spacing w:val="-1"/>
                        </w:rPr>
                        <w:t> </w:t>
                      </w:r>
                      <w:r>
                        <w:rPr/>
                        <w:t>activos,</w:t>
                      </w:r>
                      <w:r>
                        <w:rPr>
                          <w:spacing w:val="-5"/>
                        </w:rPr>
                        <w:t> </w:t>
                      </w:r>
                      <w:r>
                        <w:rPr/>
                        <w:t>se</w:t>
                      </w:r>
                      <w:r>
                        <w:rPr>
                          <w:spacing w:val="-3"/>
                        </w:rPr>
                        <w:t> </w:t>
                      </w:r>
                      <w:r>
                        <w:rPr/>
                        <w:t>realizó</w:t>
                      </w:r>
                      <w:r>
                        <w:rPr>
                          <w:spacing w:val="-1"/>
                        </w:rPr>
                        <w:t> </w:t>
                      </w:r>
                      <w:r>
                        <w:rPr/>
                        <w:t>un análisis de la estimación de vida útil utilizando el anexo No.1 de la Directriz CN-001-2009</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6736">
                <wp:simplePos x="0" y="0"/>
                <wp:positionH relativeFrom="page">
                  <wp:posOffset>9525</wp:posOffset>
                </wp:positionH>
                <wp:positionV relativeFrom="page">
                  <wp:posOffset>297208</wp:posOffset>
                </wp:positionV>
                <wp:extent cx="7762875" cy="9748520"/>
                <wp:effectExtent l="0" t="0" r="0" b="0"/>
                <wp:wrapNone/>
                <wp:docPr id="924" name="Group 924"/>
                <wp:cNvGraphicFramePr>
                  <a:graphicFrameLocks/>
                </wp:cNvGraphicFramePr>
                <a:graphic>
                  <a:graphicData uri="http://schemas.microsoft.com/office/word/2010/wordprocessingGroup">
                    <wpg:wgp>
                      <wpg:cNvPr id="924" name="Group 924"/>
                      <wpg:cNvGrpSpPr/>
                      <wpg:grpSpPr>
                        <a:xfrm>
                          <a:off x="0" y="0"/>
                          <a:ext cx="7762875" cy="9748520"/>
                          <a:chExt cx="7762875" cy="9748520"/>
                        </a:xfrm>
                      </wpg:grpSpPr>
                      <pic:pic>
                        <pic:nvPicPr>
                          <pic:cNvPr id="925" name="Image 925"/>
                          <pic:cNvPicPr/>
                        </pic:nvPicPr>
                        <pic:blipFill>
                          <a:blip r:embed="rId5" cstate="print"/>
                          <a:stretch>
                            <a:fillRect/>
                          </a:stretch>
                        </pic:blipFill>
                        <pic:spPr>
                          <a:xfrm>
                            <a:off x="0" y="0"/>
                            <a:ext cx="7762874" cy="9748489"/>
                          </a:xfrm>
                          <a:prstGeom prst="rect">
                            <a:avLst/>
                          </a:prstGeom>
                        </pic:spPr>
                      </pic:pic>
                      <wps:wsp>
                        <wps:cNvPr id="926" name="Graphic 92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9744" id="docshapegroup899" coordorigin="15,468" coordsize="12225,15352">
                <v:shape style="position:absolute;left:15;top:468;width:12225;height:15352" type="#_x0000_t75" id="docshape900" stroked="false">
                  <v:imagedata r:id="rId5" o:title=""/>
                </v:shape>
                <v:rect style="position:absolute;left:1673;top:2028;width:8897;height:15" id="docshape90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187</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6"/>
        <w:gridCol w:w="912"/>
        <w:gridCol w:w="3427"/>
        <w:gridCol w:w="1562"/>
        <w:gridCol w:w="776"/>
        <w:gridCol w:w="1248"/>
        <w:gridCol w:w="541"/>
      </w:tblGrid>
      <w:tr>
        <w:trPr>
          <w:trHeight w:val="506" w:hRule="atLeast"/>
        </w:trPr>
        <w:tc>
          <w:tcPr>
            <w:tcW w:w="536" w:type="dxa"/>
            <w:vMerge w:val="restart"/>
            <w:tcBorders>
              <w:bottom w:val="nil"/>
              <w:right w:val="single" w:sz="6" w:space="0" w:color="000000"/>
            </w:tcBorders>
          </w:tcPr>
          <w:p>
            <w:pPr>
              <w:pStyle w:val="TableParagraph"/>
              <w:rPr>
                <w:rFonts w:ascii="Times New Roman"/>
                <w:sz w:val="14"/>
              </w:rPr>
            </w:pPr>
          </w:p>
        </w:tc>
        <w:tc>
          <w:tcPr>
            <w:tcW w:w="912" w:type="dxa"/>
            <w:tcBorders>
              <w:top w:val="single" w:sz="8" w:space="0" w:color="000000"/>
              <w:left w:val="single" w:sz="6" w:space="0" w:color="000000"/>
              <w:right w:val="single" w:sz="6" w:space="0" w:color="000000"/>
            </w:tcBorders>
          </w:tcPr>
          <w:p>
            <w:pPr>
              <w:pStyle w:val="TableParagraph"/>
              <w:spacing w:line="273" w:lineRule="auto" w:before="3"/>
              <w:ind w:left="33"/>
              <w:rPr>
                <w:rFonts w:ascii="Georgia"/>
                <w:b/>
                <w:sz w:val="8"/>
              </w:rPr>
            </w:pPr>
            <w:r>
              <w:rPr>
                <w:rFonts w:ascii="Georgia"/>
                <w:b/>
                <w:w w:val="170"/>
                <w:sz w:val="8"/>
              </w:rPr>
              <w:t>No</w:t>
            </w:r>
            <w:r>
              <w:rPr>
                <w:rFonts w:ascii="Georgia"/>
                <w:b/>
                <w:spacing w:val="-1"/>
                <w:w w:val="170"/>
                <w:sz w:val="8"/>
              </w:rPr>
              <w:t> </w:t>
            </w:r>
            <w:r>
              <w:rPr>
                <w:rFonts w:ascii="Georgia"/>
                <w:b/>
                <w:w w:val="170"/>
                <w:sz w:val="8"/>
              </w:rPr>
              <w:t>cta</w:t>
            </w:r>
            <w:r>
              <w:rPr>
                <w:rFonts w:ascii="Georgia"/>
                <w:b/>
                <w:spacing w:val="-5"/>
                <w:w w:val="170"/>
                <w:sz w:val="8"/>
              </w:rPr>
              <w:t> </w:t>
            </w:r>
            <w:r>
              <w:rPr>
                <w:rFonts w:ascii="Georgia"/>
                <w:b/>
                <w:w w:val="170"/>
                <w:sz w:val="8"/>
              </w:rPr>
              <w:t>SAP</w:t>
            </w:r>
            <w:r>
              <w:rPr>
                <w:rFonts w:ascii="Georgia"/>
                <w:b/>
                <w:spacing w:val="40"/>
                <w:w w:val="170"/>
                <w:sz w:val="8"/>
              </w:rPr>
              <w:t> </w:t>
            </w:r>
            <w:r>
              <w:rPr>
                <w:rFonts w:ascii="Georgia"/>
                <w:b/>
                <w:spacing w:val="-2"/>
                <w:w w:val="170"/>
                <w:sz w:val="8"/>
              </w:rPr>
              <w:t>(probable)</w:t>
            </w:r>
          </w:p>
        </w:tc>
        <w:tc>
          <w:tcPr>
            <w:tcW w:w="3427" w:type="dxa"/>
            <w:tcBorders>
              <w:top w:val="single" w:sz="8" w:space="0" w:color="000000"/>
              <w:left w:val="single" w:sz="6" w:space="0" w:color="000000"/>
              <w:right w:val="single" w:sz="6" w:space="0" w:color="000000"/>
            </w:tcBorders>
          </w:tcPr>
          <w:p>
            <w:pPr>
              <w:pStyle w:val="TableParagraph"/>
              <w:spacing w:before="3"/>
              <w:ind w:left="33"/>
              <w:rPr>
                <w:rFonts w:ascii="Georgia" w:hAnsi="Georgia"/>
                <w:b/>
                <w:sz w:val="8"/>
              </w:rPr>
            </w:pPr>
            <w:r>
              <w:rPr>
                <w:rFonts w:ascii="Georgia" w:hAnsi="Georgia"/>
                <w:b/>
                <w:spacing w:val="-2"/>
                <w:w w:val="170"/>
                <w:sz w:val="8"/>
              </w:rPr>
              <w:t>Descripción</w:t>
            </w:r>
          </w:p>
        </w:tc>
        <w:tc>
          <w:tcPr>
            <w:tcW w:w="1562" w:type="dxa"/>
            <w:tcBorders>
              <w:top w:val="single" w:sz="8" w:space="0" w:color="000000"/>
              <w:left w:val="single" w:sz="6" w:space="0" w:color="000000"/>
              <w:right w:val="single" w:sz="6" w:space="0" w:color="000000"/>
            </w:tcBorders>
          </w:tcPr>
          <w:p>
            <w:pPr>
              <w:pStyle w:val="TableParagraph"/>
              <w:spacing w:line="273" w:lineRule="auto" w:before="3"/>
              <w:ind w:left="33" w:right="47"/>
              <w:rPr>
                <w:rFonts w:ascii="Georgia" w:hAnsi="Georgia"/>
                <w:b/>
                <w:sz w:val="8"/>
              </w:rPr>
            </w:pPr>
            <w:r>
              <w:rPr>
                <w:rFonts w:ascii="Georgia" w:hAnsi="Georgia"/>
                <w:b/>
                <w:w w:val="170"/>
                <w:sz w:val="8"/>
              </w:rPr>
              <w:t>Método</w:t>
            </w:r>
            <w:r>
              <w:rPr>
                <w:rFonts w:ascii="Georgia" w:hAnsi="Georgia"/>
                <w:b/>
                <w:w w:val="170"/>
                <w:sz w:val="8"/>
              </w:rPr>
              <w:t> de</w:t>
            </w:r>
            <w:r>
              <w:rPr>
                <w:rFonts w:ascii="Georgia" w:hAnsi="Georgia"/>
                <w:b/>
                <w:spacing w:val="40"/>
                <w:w w:val="170"/>
                <w:sz w:val="8"/>
              </w:rPr>
              <w:t> </w:t>
            </w:r>
            <w:r>
              <w:rPr>
                <w:rFonts w:ascii="Georgia" w:hAnsi="Georgia"/>
                <w:b/>
                <w:spacing w:val="-2"/>
                <w:w w:val="170"/>
                <w:sz w:val="8"/>
              </w:rPr>
              <w:t>Valoración</w:t>
            </w:r>
          </w:p>
        </w:tc>
        <w:tc>
          <w:tcPr>
            <w:tcW w:w="776" w:type="dxa"/>
            <w:tcBorders>
              <w:top w:val="single" w:sz="8" w:space="0" w:color="000000"/>
              <w:left w:val="single" w:sz="6" w:space="0" w:color="000000"/>
              <w:right w:val="single" w:sz="6" w:space="0" w:color="000000"/>
            </w:tcBorders>
          </w:tcPr>
          <w:p>
            <w:pPr>
              <w:pStyle w:val="TableParagraph"/>
              <w:spacing w:line="273" w:lineRule="auto" w:before="3"/>
              <w:ind w:left="33"/>
              <w:rPr>
                <w:rFonts w:ascii="Georgia" w:hAnsi="Georgia"/>
                <w:b/>
                <w:sz w:val="8"/>
              </w:rPr>
            </w:pPr>
            <w:r>
              <w:rPr>
                <w:rFonts w:ascii="Georgia" w:hAnsi="Georgia"/>
                <w:b/>
                <w:w w:val="170"/>
                <w:sz w:val="8"/>
              </w:rPr>
              <w:t>Vida</w:t>
            </w:r>
            <w:r>
              <w:rPr>
                <w:rFonts w:ascii="Georgia" w:hAnsi="Georgia"/>
                <w:b/>
                <w:spacing w:val="-9"/>
                <w:w w:val="170"/>
                <w:sz w:val="8"/>
              </w:rPr>
              <w:t> </w:t>
            </w:r>
            <w:r>
              <w:rPr>
                <w:rFonts w:ascii="Georgia" w:hAnsi="Georgia"/>
                <w:b/>
                <w:w w:val="170"/>
                <w:sz w:val="8"/>
              </w:rPr>
              <w:t>Útil</w:t>
            </w:r>
            <w:r>
              <w:rPr>
                <w:rFonts w:ascii="Georgia" w:hAnsi="Georgia"/>
                <w:b/>
                <w:spacing w:val="40"/>
                <w:w w:val="170"/>
                <w:sz w:val="8"/>
              </w:rPr>
              <w:t> </w:t>
            </w:r>
            <w:r>
              <w:rPr>
                <w:rFonts w:ascii="Georgia" w:hAnsi="Georgia"/>
                <w:b/>
                <w:spacing w:val="-2"/>
                <w:w w:val="170"/>
                <w:sz w:val="8"/>
              </w:rPr>
              <w:t>Génerica</w:t>
            </w:r>
          </w:p>
        </w:tc>
        <w:tc>
          <w:tcPr>
            <w:tcW w:w="1248" w:type="dxa"/>
            <w:tcBorders>
              <w:top w:val="single" w:sz="8" w:space="0" w:color="000000"/>
              <w:left w:val="single" w:sz="6" w:space="0" w:color="000000"/>
              <w:right w:val="single" w:sz="6" w:space="0" w:color="000000"/>
            </w:tcBorders>
          </w:tcPr>
          <w:p>
            <w:pPr>
              <w:pStyle w:val="TableParagraph"/>
              <w:spacing w:line="273" w:lineRule="auto" w:before="3"/>
              <w:ind w:left="33" w:right="45"/>
              <w:rPr>
                <w:rFonts w:ascii="Georgia"/>
                <w:b/>
                <w:sz w:val="8"/>
              </w:rPr>
            </w:pPr>
            <w:r>
              <w:rPr>
                <w:rFonts w:ascii="Georgia"/>
                <w:b/>
                <w:w w:val="170"/>
                <w:sz w:val="8"/>
              </w:rPr>
              <w:t>Valores</w:t>
            </w:r>
            <w:r>
              <w:rPr>
                <w:rFonts w:ascii="Georgia"/>
                <w:b/>
                <w:spacing w:val="-7"/>
                <w:w w:val="170"/>
                <w:sz w:val="8"/>
              </w:rPr>
              <w:t> </w:t>
            </w:r>
            <w:r>
              <w:rPr>
                <w:rFonts w:ascii="Georgia"/>
                <w:b/>
                <w:w w:val="170"/>
                <w:sz w:val="8"/>
              </w:rPr>
              <w:t>de</w:t>
            </w:r>
            <w:r>
              <w:rPr>
                <w:rFonts w:ascii="Georgia"/>
                <w:b/>
                <w:spacing w:val="40"/>
                <w:w w:val="170"/>
                <w:sz w:val="8"/>
              </w:rPr>
              <w:t> </w:t>
            </w:r>
            <w:r>
              <w:rPr>
                <w:rFonts w:ascii="Georgia"/>
                <w:b/>
                <w:spacing w:val="-2"/>
                <w:w w:val="170"/>
                <w:sz w:val="8"/>
              </w:rPr>
              <w:t>origen</w:t>
            </w:r>
          </w:p>
        </w:tc>
        <w:tc>
          <w:tcPr>
            <w:tcW w:w="541" w:type="dxa"/>
            <w:vMerge w:val="restart"/>
            <w:tcBorders>
              <w:left w:val="single" w:sz="6" w:space="0" w:color="000000"/>
              <w:bottom w:val="nil"/>
            </w:tcBorders>
          </w:tcPr>
          <w:p>
            <w:pPr>
              <w:pStyle w:val="TableParagraph"/>
              <w:rPr>
                <w:rFonts w:ascii="Times New Roman"/>
                <w:sz w:val="14"/>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0201</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Edificios</w:t>
            </w:r>
            <w:r>
              <w:rPr>
                <w:rFonts w:ascii="Georgia" w:hAnsi="Georgia"/>
                <w:spacing w:val="16"/>
                <w:w w:val="170"/>
                <w:sz w:val="8"/>
              </w:rPr>
              <w:t> </w:t>
            </w:r>
            <w:r>
              <w:rPr>
                <w:rFonts w:ascii="Georgia" w:hAnsi="Georgia"/>
                <w:w w:val="170"/>
                <w:sz w:val="8"/>
              </w:rPr>
              <w:t>de</w:t>
            </w:r>
            <w:r>
              <w:rPr>
                <w:rFonts w:ascii="Georgia" w:hAnsi="Georgia"/>
                <w:spacing w:val="23"/>
                <w:w w:val="170"/>
                <w:sz w:val="8"/>
              </w:rPr>
              <w:t> </w:t>
            </w:r>
            <w:r>
              <w:rPr>
                <w:rFonts w:ascii="Georgia" w:hAnsi="Georgia"/>
                <w:w w:val="170"/>
                <w:sz w:val="8"/>
              </w:rPr>
              <w:t>oficinas</w:t>
            </w:r>
            <w:r>
              <w:rPr>
                <w:rFonts w:ascii="Georgia" w:hAnsi="Georgia"/>
                <w:spacing w:val="16"/>
                <w:w w:val="170"/>
                <w:sz w:val="8"/>
              </w:rPr>
              <w:t> </w:t>
            </w:r>
            <w:r>
              <w:rPr>
                <w:rFonts w:ascii="Georgia" w:hAnsi="Georgia"/>
                <w:w w:val="170"/>
                <w:sz w:val="8"/>
              </w:rPr>
              <w:t>y</w:t>
            </w:r>
            <w:r>
              <w:rPr>
                <w:rFonts w:ascii="Georgia" w:hAnsi="Georgia"/>
                <w:spacing w:val="35"/>
                <w:w w:val="170"/>
                <w:sz w:val="8"/>
              </w:rPr>
              <w:t> </w:t>
            </w:r>
            <w:r>
              <w:rPr>
                <w:rFonts w:ascii="Georgia" w:hAnsi="Georgia"/>
                <w:w w:val="170"/>
                <w:sz w:val="8"/>
              </w:rPr>
              <w:t>atención</w:t>
            </w:r>
            <w:r>
              <w:rPr>
                <w:rFonts w:ascii="Georgia" w:hAnsi="Georgia"/>
                <w:spacing w:val="17"/>
                <w:w w:val="170"/>
                <w:sz w:val="8"/>
              </w:rPr>
              <w:t> </w:t>
            </w:r>
            <w:r>
              <w:rPr>
                <w:rFonts w:ascii="Georgia" w:hAnsi="Georgia"/>
                <w:w w:val="170"/>
                <w:sz w:val="8"/>
              </w:rPr>
              <w:t>al</w:t>
            </w:r>
            <w:r>
              <w:rPr>
                <w:rFonts w:ascii="Georgia" w:hAnsi="Georgia"/>
                <w:spacing w:val="15"/>
                <w:w w:val="170"/>
                <w:sz w:val="8"/>
              </w:rPr>
              <w:t> </w:t>
            </w:r>
            <w:r>
              <w:rPr>
                <w:rFonts w:ascii="Georgia" w:hAnsi="Georgia"/>
                <w:spacing w:val="-2"/>
                <w:w w:val="170"/>
                <w:sz w:val="8"/>
              </w:rPr>
              <w:t>público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2"/>
              <w:jc w:val="right"/>
              <w:rPr>
                <w:rFonts w:ascii="Georgia"/>
                <w:sz w:val="8"/>
              </w:rPr>
            </w:pPr>
            <w:r>
              <w:rPr>
                <w:rFonts w:ascii="Georgia"/>
                <w:spacing w:val="-5"/>
                <w:w w:val="170"/>
                <w:sz w:val="8"/>
              </w:rPr>
              <w:t>50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7"/>
                <w:w w:val="170"/>
                <w:sz w:val="8"/>
              </w:rPr>
              <w:t> </w:t>
            </w:r>
            <w:r>
              <w:rPr>
                <w:rFonts w:ascii="Georgia"/>
                <w:i/>
                <w:spacing w:val="2"/>
                <w:w w:val="170"/>
                <w:sz w:val="8"/>
              </w:rPr>
              <w:t>2501</w:t>
            </w:r>
            <w:r>
              <w:rPr>
                <w:rFonts w:ascii="Georgia"/>
                <w:i/>
                <w:spacing w:val="-6"/>
                <w:w w:val="170"/>
                <w:sz w:val="8"/>
              </w:rPr>
              <w:t> </w:t>
            </w:r>
            <w:r>
              <w:rPr>
                <w:rFonts w:ascii="Georgia"/>
                <w:i/>
                <w:spacing w:val="2"/>
                <w:w w:val="170"/>
                <w:sz w:val="8"/>
              </w:rPr>
              <w:t>0201</w:t>
            </w:r>
            <w:r>
              <w:rPr>
                <w:rFonts w:ascii="Georgia"/>
                <w:i/>
                <w:spacing w:val="-6"/>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0204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Bodegas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2"/>
              <w:jc w:val="right"/>
              <w:rPr>
                <w:rFonts w:ascii="Georgia"/>
                <w:sz w:val="8"/>
              </w:rPr>
            </w:pPr>
            <w:r>
              <w:rPr>
                <w:rFonts w:ascii="Georgia"/>
                <w:spacing w:val="-5"/>
                <w:w w:val="170"/>
                <w:sz w:val="8"/>
              </w:rPr>
              <w:t>50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02041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0205</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Locales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2"/>
              <w:jc w:val="right"/>
              <w:rPr>
                <w:rFonts w:ascii="Georgia"/>
                <w:sz w:val="8"/>
              </w:rPr>
            </w:pPr>
            <w:r>
              <w:rPr>
                <w:rFonts w:ascii="Georgia"/>
                <w:spacing w:val="-5"/>
                <w:w w:val="170"/>
                <w:sz w:val="8"/>
              </w:rPr>
              <w:t>50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02051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0207</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Bibliotecas</w:t>
            </w:r>
            <w:r>
              <w:rPr>
                <w:rFonts w:ascii="Georgia" w:hAnsi="Georgia"/>
                <w:spacing w:val="21"/>
                <w:w w:val="170"/>
                <w:sz w:val="8"/>
              </w:rPr>
              <w:t> </w:t>
            </w:r>
            <w:r>
              <w:rPr>
                <w:rFonts w:ascii="Georgia" w:hAnsi="Georgia"/>
                <w:w w:val="170"/>
                <w:sz w:val="8"/>
              </w:rPr>
              <w:t>y</w:t>
            </w:r>
            <w:r>
              <w:rPr>
                <w:rFonts w:ascii="Georgia" w:hAnsi="Georgia"/>
                <w:spacing w:val="42"/>
                <w:w w:val="170"/>
                <w:sz w:val="8"/>
              </w:rPr>
              <w:t> </w:t>
            </w:r>
            <w:r>
              <w:rPr>
                <w:rFonts w:ascii="Georgia" w:hAnsi="Georgia"/>
                <w:w w:val="170"/>
                <w:sz w:val="8"/>
              </w:rPr>
              <w:t>centros</w:t>
            </w:r>
            <w:r>
              <w:rPr>
                <w:rFonts w:ascii="Georgia" w:hAnsi="Georgia"/>
                <w:spacing w:val="21"/>
                <w:w w:val="170"/>
                <w:sz w:val="8"/>
              </w:rPr>
              <w:t> </w:t>
            </w:r>
            <w:r>
              <w:rPr>
                <w:rFonts w:ascii="Georgia" w:hAnsi="Georgia"/>
                <w:w w:val="170"/>
                <w:sz w:val="8"/>
              </w:rPr>
              <w:t>de</w:t>
            </w:r>
            <w:r>
              <w:rPr>
                <w:rFonts w:ascii="Georgia" w:hAnsi="Georgia"/>
                <w:spacing w:val="28"/>
                <w:w w:val="170"/>
                <w:sz w:val="8"/>
              </w:rPr>
              <w:t> </w:t>
            </w:r>
            <w:r>
              <w:rPr>
                <w:rFonts w:ascii="Georgia" w:hAnsi="Georgia"/>
                <w:spacing w:val="-2"/>
                <w:w w:val="170"/>
                <w:sz w:val="8"/>
              </w:rPr>
              <w:t>información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2"/>
              <w:jc w:val="right"/>
              <w:rPr>
                <w:rFonts w:ascii="Georgia"/>
                <w:sz w:val="8"/>
              </w:rPr>
            </w:pPr>
            <w:r>
              <w:rPr>
                <w:rFonts w:ascii="Georgia"/>
                <w:spacing w:val="-5"/>
                <w:w w:val="170"/>
                <w:sz w:val="8"/>
              </w:rPr>
              <w:t>50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7"/>
                <w:w w:val="170"/>
                <w:sz w:val="8"/>
              </w:rPr>
              <w:t> </w:t>
            </w:r>
            <w:r>
              <w:rPr>
                <w:rFonts w:ascii="Georgia"/>
                <w:i/>
                <w:spacing w:val="2"/>
                <w:w w:val="170"/>
                <w:sz w:val="8"/>
              </w:rPr>
              <w:t>2501</w:t>
            </w:r>
            <w:r>
              <w:rPr>
                <w:rFonts w:ascii="Georgia"/>
                <w:i/>
                <w:spacing w:val="-6"/>
                <w:w w:val="170"/>
                <w:sz w:val="8"/>
              </w:rPr>
              <w:t> </w:t>
            </w:r>
            <w:r>
              <w:rPr>
                <w:rFonts w:ascii="Georgia"/>
                <w:i/>
                <w:spacing w:val="2"/>
                <w:w w:val="170"/>
                <w:sz w:val="8"/>
              </w:rPr>
              <w:t>0207</w:t>
            </w:r>
            <w:r>
              <w:rPr>
                <w:rFonts w:ascii="Georgia"/>
                <w:i/>
                <w:spacing w:val="-5"/>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0299</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Otros</w:t>
            </w:r>
            <w:r>
              <w:rPr>
                <w:rFonts w:ascii="Georgia"/>
                <w:spacing w:val="14"/>
                <w:w w:val="170"/>
                <w:sz w:val="8"/>
              </w:rPr>
              <w:t> </w:t>
            </w:r>
            <w:r>
              <w:rPr>
                <w:rFonts w:ascii="Georgia"/>
                <w:spacing w:val="-2"/>
                <w:w w:val="170"/>
                <w:sz w:val="8"/>
              </w:rPr>
              <w:t>edificios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2"/>
              <w:jc w:val="right"/>
              <w:rPr>
                <w:rFonts w:ascii="Georgia"/>
                <w:sz w:val="8"/>
              </w:rPr>
            </w:pPr>
            <w:r>
              <w:rPr>
                <w:rFonts w:ascii="Georgia"/>
                <w:spacing w:val="-5"/>
                <w:w w:val="170"/>
                <w:sz w:val="8"/>
              </w:rPr>
              <w:t>50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4"/>
                <w:w w:val="170"/>
                <w:sz w:val="8"/>
              </w:rPr>
              <w:t>02991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0301</w:t>
            </w:r>
          </w:p>
        </w:tc>
        <w:tc>
          <w:tcPr>
            <w:tcW w:w="3427"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Maquinaria</w:t>
            </w:r>
            <w:r>
              <w:rPr>
                <w:rFonts w:ascii="Georgia" w:hAnsi="Georgia"/>
                <w:spacing w:val="19"/>
                <w:w w:val="170"/>
                <w:sz w:val="8"/>
              </w:rPr>
              <w:t> </w:t>
            </w:r>
            <w:r>
              <w:rPr>
                <w:rFonts w:ascii="Georgia" w:hAnsi="Georgia"/>
                <w:w w:val="170"/>
                <w:sz w:val="8"/>
              </w:rPr>
              <w:t>para</w:t>
            </w:r>
            <w:r>
              <w:rPr>
                <w:rFonts w:ascii="Georgia" w:hAnsi="Georgia"/>
                <w:spacing w:val="19"/>
                <w:w w:val="170"/>
                <w:sz w:val="8"/>
              </w:rPr>
              <w:t> </w:t>
            </w:r>
            <w:r>
              <w:rPr>
                <w:rFonts w:ascii="Georgia" w:hAnsi="Georgia"/>
                <w:w w:val="170"/>
                <w:sz w:val="8"/>
              </w:rPr>
              <w:t>la</w:t>
            </w:r>
            <w:r>
              <w:rPr>
                <w:rFonts w:ascii="Georgia" w:hAnsi="Georgia"/>
                <w:spacing w:val="19"/>
                <w:w w:val="170"/>
                <w:sz w:val="8"/>
              </w:rPr>
              <w:t> </w:t>
            </w:r>
            <w:r>
              <w:rPr>
                <w:rFonts w:ascii="Georgia" w:hAnsi="Georgia"/>
                <w:spacing w:val="-2"/>
                <w:w w:val="170"/>
                <w:sz w:val="8"/>
              </w:rPr>
              <w:t>construcción</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50"/>
              <w:jc w:val="right"/>
              <w:rPr>
                <w:rFonts w:ascii="Georgia"/>
                <w:sz w:val="8"/>
              </w:rPr>
            </w:pPr>
            <w:r>
              <w:rPr>
                <w:rFonts w:ascii="Georgia"/>
                <w:spacing w:val="-10"/>
                <w:w w:val="170"/>
                <w:sz w:val="8"/>
              </w:rPr>
              <w:t>7</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spacing w:val="2"/>
                <w:w w:val="170"/>
                <w:sz w:val="8"/>
              </w:rPr>
              <w:t>1</w:t>
            </w:r>
            <w:r>
              <w:rPr>
                <w:rFonts w:ascii="Georgia"/>
                <w:i/>
                <w:spacing w:val="-6"/>
                <w:w w:val="170"/>
                <w:sz w:val="8"/>
              </w:rPr>
              <w:t> </w:t>
            </w:r>
            <w:r>
              <w:rPr>
                <w:rFonts w:ascii="Georgia"/>
                <w:i/>
                <w:spacing w:val="2"/>
                <w:w w:val="170"/>
                <w:sz w:val="8"/>
              </w:rPr>
              <w:t>2501</w:t>
            </w:r>
            <w:r>
              <w:rPr>
                <w:rFonts w:ascii="Georgia"/>
                <w:i/>
                <w:spacing w:val="-6"/>
                <w:w w:val="170"/>
                <w:sz w:val="8"/>
              </w:rPr>
              <w:t> </w:t>
            </w:r>
            <w:r>
              <w:rPr>
                <w:rFonts w:ascii="Georgia"/>
                <w:i/>
                <w:spacing w:val="2"/>
                <w:w w:val="170"/>
                <w:sz w:val="8"/>
              </w:rPr>
              <w:t>0301</w:t>
            </w:r>
            <w:r>
              <w:rPr>
                <w:rFonts w:ascii="Georgia"/>
                <w:i/>
                <w:spacing w:val="-6"/>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0302</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Generadores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0303</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Planta</w:t>
            </w:r>
            <w:r>
              <w:rPr>
                <w:rFonts w:ascii="Georgia" w:hAnsi="Georgia"/>
                <w:spacing w:val="16"/>
                <w:w w:val="170"/>
                <w:sz w:val="8"/>
              </w:rPr>
              <w:t> </w:t>
            </w:r>
            <w:r>
              <w:rPr>
                <w:rFonts w:ascii="Georgia" w:hAnsi="Georgia"/>
                <w:spacing w:val="-2"/>
                <w:w w:val="170"/>
                <w:sz w:val="8"/>
              </w:rPr>
              <w:t>eléctrica</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Hornos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0305</w:t>
            </w:r>
          </w:p>
        </w:tc>
        <w:tc>
          <w:tcPr>
            <w:tcW w:w="3427"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Equipos</w:t>
            </w:r>
            <w:r>
              <w:rPr>
                <w:rFonts w:ascii="Georgia"/>
                <w:spacing w:val="20"/>
                <w:w w:val="170"/>
                <w:sz w:val="8"/>
              </w:rPr>
              <w:t> </w:t>
            </w:r>
            <w:r>
              <w:rPr>
                <w:rFonts w:ascii="Georgia"/>
                <w:w w:val="170"/>
                <w:sz w:val="8"/>
              </w:rPr>
              <w:t>para</w:t>
            </w:r>
            <w:r>
              <w:rPr>
                <w:rFonts w:ascii="Georgia"/>
                <w:spacing w:val="23"/>
                <w:w w:val="170"/>
                <w:sz w:val="8"/>
              </w:rPr>
              <w:t> </w:t>
            </w:r>
            <w:r>
              <w:rPr>
                <w:rFonts w:ascii="Georgia"/>
                <w:w w:val="170"/>
                <w:sz w:val="8"/>
              </w:rPr>
              <w:t>proceso</w:t>
            </w:r>
            <w:r>
              <w:rPr>
                <w:rFonts w:ascii="Georgia"/>
                <w:spacing w:val="31"/>
                <w:w w:val="170"/>
                <w:sz w:val="8"/>
              </w:rPr>
              <w:t> </w:t>
            </w:r>
            <w:r>
              <w:rPr>
                <w:rFonts w:ascii="Georgia"/>
                <w:w w:val="170"/>
                <w:sz w:val="8"/>
              </w:rPr>
              <w:t>de</w:t>
            </w:r>
            <w:r>
              <w:rPr>
                <w:rFonts w:ascii="Georgia"/>
                <w:spacing w:val="28"/>
                <w:w w:val="170"/>
                <w:sz w:val="8"/>
              </w:rPr>
              <w:t> </w:t>
            </w:r>
            <w:r>
              <w:rPr>
                <w:rFonts w:ascii="Georgia"/>
                <w:spacing w:val="-2"/>
                <w:w w:val="170"/>
                <w:sz w:val="8"/>
              </w:rPr>
              <w:t>alimentos</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03051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0306</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23"/>
                <w:w w:val="170"/>
                <w:sz w:val="8"/>
              </w:rPr>
              <w:t> </w:t>
            </w:r>
            <w:r>
              <w:rPr>
                <w:rFonts w:ascii="Georgia" w:hAnsi="Georgia"/>
                <w:spacing w:val="-2"/>
                <w:w w:val="170"/>
                <w:sz w:val="8"/>
              </w:rPr>
              <w:t>hidráulicos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50"/>
              <w:jc w:val="right"/>
              <w:rPr>
                <w:rFonts w:ascii="Georgia"/>
                <w:sz w:val="8"/>
              </w:rPr>
            </w:pPr>
            <w:r>
              <w:rPr>
                <w:rFonts w:ascii="Georgia"/>
                <w:spacing w:val="-10"/>
                <w:w w:val="170"/>
                <w:sz w:val="8"/>
              </w:rPr>
              <w:t>7</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03061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0308</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4"/>
                <w:w w:val="170"/>
                <w:sz w:val="8"/>
              </w:rPr>
              <w:t> </w:t>
            </w:r>
            <w:r>
              <w:rPr>
                <w:rFonts w:ascii="Georgia" w:hAnsi="Georgia"/>
                <w:w w:val="170"/>
                <w:sz w:val="8"/>
              </w:rPr>
              <w:t>de</w:t>
            </w:r>
            <w:r>
              <w:rPr>
                <w:rFonts w:ascii="Georgia" w:hAnsi="Georgia"/>
                <w:spacing w:val="20"/>
                <w:w w:val="170"/>
                <w:sz w:val="8"/>
              </w:rPr>
              <w:t> </w:t>
            </w:r>
            <w:r>
              <w:rPr>
                <w:rFonts w:ascii="Georgia" w:hAnsi="Georgia"/>
                <w:spacing w:val="-2"/>
                <w:w w:val="170"/>
                <w:sz w:val="8"/>
              </w:rPr>
              <w:t>medición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03081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2"/>
                <w:w w:val="170"/>
                <w:sz w:val="8"/>
              </w:rPr>
              <w:t>501</w:t>
            </w:r>
            <w:r>
              <w:rPr>
                <w:rFonts w:ascii="Georgia"/>
                <w:spacing w:val="-5"/>
                <w:w w:val="170"/>
                <w:sz w:val="8"/>
              </w:rPr>
              <w:t> </w:t>
            </w:r>
            <w:r>
              <w:rPr>
                <w:rFonts w:ascii="Georgia"/>
                <w:spacing w:val="2"/>
                <w:w w:val="170"/>
                <w:sz w:val="8"/>
              </w:rPr>
              <w:t>031</w:t>
            </w:r>
            <w:r>
              <w:rPr>
                <w:rFonts w:ascii="Georgia"/>
                <w:spacing w:val="-6"/>
                <w:w w:val="170"/>
                <w:sz w:val="8"/>
              </w:rPr>
              <w:t> </w:t>
            </w:r>
            <w:r>
              <w:rPr>
                <w:rFonts w:ascii="Georgia"/>
                <w:spacing w:val="-10"/>
                <w:w w:val="170"/>
                <w:sz w:val="8"/>
              </w:rPr>
              <w:t>0</w:t>
            </w:r>
          </w:p>
        </w:tc>
        <w:tc>
          <w:tcPr>
            <w:tcW w:w="3427"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Mo</w:t>
            </w:r>
            <w:r>
              <w:rPr>
                <w:rFonts w:ascii="Georgia"/>
                <w:spacing w:val="-24"/>
                <w:w w:val="170"/>
                <w:sz w:val="8"/>
              </w:rPr>
              <w:t> </w:t>
            </w:r>
            <w:r>
              <w:rPr>
                <w:rFonts w:ascii="Georgia"/>
                <w:spacing w:val="-2"/>
                <w:w w:val="170"/>
                <w:sz w:val="8"/>
              </w:rPr>
              <w:t>tores</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spacing w:val="2"/>
                <w:w w:val="170"/>
                <w:sz w:val="8"/>
              </w:rPr>
              <w:t>1</w:t>
            </w:r>
            <w:r>
              <w:rPr>
                <w:rFonts w:ascii="Georgia"/>
                <w:i/>
                <w:spacing w:val="-9"/>
                <w:w w:val="170"/>
                <w:sz w:val="8"/>
              </w:rPr>
              <w:t> </w:t>
            </w:r>
            <w:r>
              <w:rPr>
                <w:rFonts w:ascii="Georgia"/>
                <w:i/>
                <w:spacing w:val="2"/>
                <w:w w:val="170"/>
                <w:sz w:val="8"/>
              </w:rPr>
              <w:t>2501</w:t>
            </w:r>
            <w:r>
              <w:rPr>
                <w:rFonts w:ascii="Georgia"/>
                <w:i/>
                <w:spacing w:val="-9"/>
                <w:w w:val="170"/>
                <w:sz w:val="8"/>
              </w:rPr>
              <w:t> </w:t>
            </w:r>
            <w:r>
              <w:rPr>
                <w:rFonts w:ascii="Georgia"/>
                <w:i/>
                <w:spacing w:val="2"/>
                <w:w w:val="170"/>
                <w:sz w:val="8"/>
              </w:rPr>
              <w:t>031</w:t>
            </w:r>
            <w:r>
              <w:rPr>
                <w:rFonts w:ascii="Georgia"/>
                <w:i/>
                <w:spacing w:val="-8"/>
                <w:w w:val="170"/>
                <w:sz w:val="8"/>
              </w:rPr>
              <w:t> </w:t>
            </w:r>
            <w:r>
              <w:rPr>
                <w:rFonts w:ascii="Georgia"/>
                <w:i/>
                <w:spacing w:val="-5"/>
                <w:w w:val="170"/>
                <w:sz w:val="8"/>
              </w:rPr>
              <w:t>01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0399</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Otras</w:t>
            </w:r>
            <w:r>
              <w:rPr>
                <w:rFonts w:ascii="Georgia" w:hAnsi="Georgia"/>
                <w:spacing w:val="17"/>
                <w:w w:val="170"/>
                <w:sz w:val="8"/>
              </w:rPr>
              <w:t> </w:t>
            </w:r>
            <w:r>
              <w:rPr>
                <w:rFonts w:ascii="Georgia" w:hAnsi="Georgia"/>
                <w:w w:val="170"/>
                <w:sz w:val="8"/>
              </w:rPr>
              <w:t>maquinarias</w:t>
            </w:r>
            <w:r>
              <w:rPr>
                <w:rFonts w:ascii="Georgia" w:hAnsi="Georgia"/>
                <w:spacing w:val="17"/>
                <w:w w:val="170"/>
                <w:sz w:val="8"/>
              </w:rPr>
              <w:t> </w:t>
            </w:r>
            <w:r>
              <w:rPr>
                <w:rFonts w:ascii="Georgia" w:hAnsi="Georgia"/>
                <w:w w:val="170"/>
                <w:sz w:val="8"/>
              </w:rPr>
              <w:t>y</w:t>
            </w:r>
            <w:r>
              <w:rPr>
                <w:rFonts w:ascii="Georgia" w:hAnsi="Georgia"/>
                <w:spacing w:val="35"/>
                <w:w w:val="170"/>
                <w:sz w:val="8"/>
              </w:rPr>
              <w:t> </w:t>
            </w:r>
            <w:r>
              <w:rPr>
                <w:rFonts w:ascii="Georgia" w:hAnsi="Georgia"/>
                <w:w w:val="170"/>
                <w:sz w:val="8"/>
              </w:rPr>
              <w:t>equipos</w:t>
            </w:r>
            <w:r>
              <w:rPr>
                <w:rFonts w:ascii="Georgia" w:hAnsi="Georgia"/>
                <w:spacing w:val="18"/>
                <w:w w:val="170"/>
                <w:sz w:val="8"/>
              </w:rPr>
              <w:t> </w:t>
            </w:r>
            <w:r>
              <w:rPr>
                <w:rFonts w:ascii="Georgia" w:hAnsi="Georgia"/>
                <w:w w:val="170"/>
                <w:sz w:val="8"/>
              </w:rPr>
              <w:t>para</w:t>
            </w:r>
            <w:r>
              <w:rPr>
                <w:rFonts w:ascii="Georgia" w:hAnsi="Georgia"/>
                <w:spacing w:val="18"/>
                <w:w w:val="170"/>
                <w:sz w:val="8"/>
              </w:rPr>
              <w:t> </w:t>
            </w:r>
            <w:r>
              <w:rPr>
                <w:rFonts w:ascii="Georgia" w:hAnsi="Georgia"/>
                <w:w w:val="170"/>
                <w:sz w:val="8"/>
              </w:rPr>
              <w:t>la</w:t>
            </w:r>
            <w:r>
              <w:rPr>
                <w:rFonts w:ascii="Georgia" w:hAnsi="Georgia"/>
                <w:spacing w:val="18"/>
                <w:w w:val="170"/>
                <w:sz w:val="8"/>
              </w:rPr>
              <w:t> </w:t>
            </w:r>
            <w:r>
              <w:rPr>
                <w:rFonts w:ascii="Georgia" w:hAnsi="Georgia"/>
                <w:spacing w:val="-2"/>
                <w:w w:val="170"/>
                <w:sz w:val="8"/>
              </w:rPr>
              <w:t>producción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03991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0401</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Mo</w:t>
            </w:r>
            <w:r>
              <w:rPr>
                <w:rFonts w:ascii="Georgia"/>
                <w:spacing w:val="-24"/>
                <w:w w:val="170"/>
                <w:sz w:val="8"/>
              </w:rPr>
              <w:t> </w:t>
            </w:r>
            <w:r>
              <w:rPr>
                <w:rFonts w:ascii="Georgia"/>
                <w:spacing w:val="-2"/>
                <w:w w:val="170"/>
                <w:sz w:val="8"/>
              </w:rPr>
              <w:t>tocicletas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7"/>
                <w:w w:val="170"/>
                <w:sz w:val="8"/>
              </w:rPr>
              <w:t> </w:t>
            </w:r>
            <w:r>
              <w:rPr>
                <w:rFonts w:ascii="Georgia"/>
                <w:i/>
                <w:spacing w:val="2"/>
                <w:w w:val="170"/>
                <w:sz w:val="8"/>
              </w:rPr>
              <w:t>2501</w:t>
            </w:r>
            <w:r>
              <w:rPr>
                <w:rFonts w:ascii="Georgia"/>
                <w:i/>
                <w:spacing w:val="-7"/>
                <w:w w:val="170"/>
                <w:sz w:val="8"/>
              </w:rPr>
              <w:t> </w:t>
            </w:r>
            <w:r>
              <w:rPr>
                <w:rFonts w:ascii="Georgia"/>
                <w:i/>
                <w:spacing w:val="2"/>
                <w:w w:val="170"/>
                <w:sz w:val="8"/>
              </w:rPr>
              <w:t>0401</w:t>
            </w:r>
            <w:r>
              <w:rPr>
                <w:rFonts w:ascii="Georgia"/>
                <w:i/>
                <w:spacing w:val="-6"/>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0402</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V</w:t>
            </w:r>
            <w:r>
              <w:rPr>
                <w:rFonts w:ascii="Georgia" w:hAnsi="Georgia"/>
                <w:spacing w:val="-20"/>
                <w:w w:val="170"/>
                <w:sz w:val="8"/>
              </w:rPr>
              <w:t> </w:t>
            </w:r>
            <w:r>
              <w:rPr>
                <w:rFonts w:ascii="Georgia" w:hAnsi="Georgia"/>
                <w:spacing w:val="-2"/>
                <w:w w:val="170"/>
                <w:sz w:val="8"/>
              </w:rPr>
              <w:t>ehículos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4"/>
                <w:w w:val="170"/>
                <w:sz w:val="8"/>
              </w:rPr>
              <w:t>04021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0403</w:t>
            </w:r>
          </w:p>
        </w:tc>
        <w:tc>
          <w:tcPr>
            <w:tcW w:w="3427"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Equipos</w:t>
            </w:r>
            <w:r>
              <w:rPr>
                <w:rFonts w:ascii="Georgia" w:hAnsi="Georgia"/>
                <w:spacing w:val="19"/>
                <w:w w:val="170"/>
                <w:sz w:val="8"/>
              </w:rPr>
              <w:t> </w:t>
            </w:r>
            <w:r>
              <w:rPr>
                <w:rFonts w:ascii="Georgia" w:hAnsi="Georgia"/>
                <w:w w:val="170"/>
                <w:sz w:val="8"/>
              </w:rPr>
              <w:t>de</w:t>
            </w:r>
            <w:r>
              <w:rPr>
                <w:rFonts w:ascii="Georgia" w:hAnsi="Georgia"/>
                <w:spacing w:val="27"/>
                <w:w w:val="170"/>
                <w:sz w:val="8"/>
              </w:rPr>
              <w:t> </w:t>
            </w:r>
            <w:r>
              <w:rPr>
                <w:rFonts w:ascii="Georgia" w:hAnsi="Georgia"/>
                <w:w w:val="170"/>
                <w:sz w:val="8"/>
              </w:rPr>
              <w:t>transporte</w:t>
            </w:r>
            <w:r>
              <w:rPr>
                <w:rFonts w:ascii="Georgia" w:hAnsi="Georgia"/>
                <w:spacing w:val="26"/>
                <w:w w:val="170"/>
                <w:sz w:val="8"/>
              </w:rPr>
              <w:t> </w:t>
            </w:r>
            <w:r>
              <w:rPr>
                <w:rFonts w:ascii="Georgia" w:hAnsi="Georgia"/>
                <w:w w:val="170"/>
                <w:sz w:val="8"/>
              </w:rPr>
              <w:t>y</w:t>
            </w:r>
            <w:r>
              <w:rPr>
                <w:rFonts w:ascii="Georgia" w:hAnsi="Georgia"/>
                <w:spacing w:val="40"/>
                <w:w w:val="170"/>
                <w:sz w:val="8"/>
              </w:rPr>
              <w:t> </w:t>
            </w:r>
            <w:r>
              <w:rPr>
                <w:rFonts w:ascii="Georgia" w:hAnsi="Georgia"/>
                <w:w w:val="170"/>
                <w:sz w:val="8"/>
              </w:rPr>
              <w:t>tracción</w:t>
            </w:r>
            <w:r>
              <w:rPr>
                <w:rFonts w:ascii="Georgia" w:hAnsi="Georgia"/>
                <w:spacing w:val="19"/>
                <w:w w:val="170"/>
                <w:sz w:val="8"/>
              </w:rPr>
              <w:t> </w:t>
            </w:r>
            <w:r>
              <w:rPr>
                <w:rFonts w:ascii="Georgia" w:hAnsi="Georgia"/>
                <w:w w:val="170"/>
                <w:sz w:val="8"/>
              </w:rPr>
              <w:t>marítima</w:t>
            </w:r>
            <w:r>
              <w:rPr>
                <w:rFonts w:ascii="Georgia" w:hAnsi="Georgia"/>
                <w:spacing w:val="22"/>
                <w:w w:val="170"/>
                <w:sz w:val="8"/>
              </w:rPr>
              <w:t> </w:t>
            </w:r>
            <w:r>
              <w:rPr>
                <w:rFonts w:ascii="Georgia" w:hAnsi="Georgia"/>
                <w:w w:val="170"/>
                <w:sz w:val="8"/>
              </w:rPr>
              <w:t>y</w:t>
            </w:r>
            <w:r>
              <w:rPr>
                <w:rFonts w:ascii="Georgia" w:hAnsi="Georgia"/>
                <w:spacing w:val="39"/>
                <w:w w:val="170"/>
                <w:sz w:val="8"/>
              </w:rPr>
              <w:t> </w:t>
            </w:r>
            <w:r>
              <w:rPr>
                <w:rFonts w:ascii="Georgia" w:hAnsi="Georgia"/>
                <w:w w:val="170"/>
                <w:sz w:val="8"/>
              </w:rPr>
              <w:t>fluv</w:t>
            </w:r>
            <w:r>
              <w:rPr>
                <w:rFonts w:ascii="Georgia" w:hAnsi="Georgia"/>
                <w:spacing w:val="-9"/>
                <w:w w:val="170"/>
                <w:sz w:val="8"/>
              </w:rPr>
              <w:t> </w:t>
            </w:r>
            <w:r>
              <w:rPr>
                <w:rFonts w:ascii="Georgia" w:hAnsi="Georgia"/>
                <w:spacing w:val="-5"/>
                <w:w w:val="170"/>
                <w:sz w:val="8"/>
              </w:rPr>
              <w:t>ial</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4"/>
                <w:w w:val="170"/>
                <w:sz w:val="8"/>
              </w:rPr>
              <w:t>04031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0499</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Otros</w:t>
            </w:r>
            <w:r>
              <w:rPr>
                <w:rFonts w:ascii="Georgia"/>
                <w:spacing w:val="18"/>
                <w:w w:val="170"/>
                <w:sz w:val="8"/>
              </w:rPr>
              <w:t> </w:t>
            </w:r>
            <w:r>
              <w:rPr>
                <w:rFonts w:ascii="Georgia"/>
                <w:w w:val="170"/>
                <w:sz w:val="8"/>
              </w:rPr>
              <w:t>equipos</w:t>
            </w:r>
            <w:r>
              <w:rPr>
                <w:rFonts w:ascii="Georgia"/>
                <w:spacing w:val="18"/>
                <w:w w:val="170"/>
                <w:sz w:val="8"/>
              </w:rPr>
              <w:t> </w:t>
            </w:r>
            <w:r>
              <w:rPr>
                <w:rFonts w:ascii="Georgia"/>
                <w:w w:val="170"/>
                <w:sz w:val="8"/>
              </w:rPr>
              <w:t>de</w:t>
            </w:r>
            <w:r>
              <w:rPr>
                <w:rFonts w:ascii="Georgia"/>
                <w:spacing w:val="25"/>
                <w:w w:val="170"/>
                <w:sz w:val="8"/>
              </w:rPr>
              <w:t> </w:t>
            </w:r>
            <w:r>
              <w:rPr>
                <w:rFonts w:ascii="Georgia"/>
                <w:spacing w:val="-2"/>
                <w:w w:val="170"/>
                <w:sz w:val="8"/>
              </w:rPr>
              <w:t>transporte</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04991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0501</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A</w:t>
            </w:r>
            <w:r>
              <w:rPr>
                <w:rFonts w:ascii="Georgia"/>
                <w:spacing w:val="-18"/>
                <w:w w:val="170"/>
                <w:sz w:val="8"/>
              </w:rPr>
              <w:t> </w:t>
            </w:r>
            <w:r>
              <w:rPr>
                <w:rFonts w:ascii="Georgia"/>
                <w:w w:val="170"/>
                <w:sz w:val="8"/>
              </w:rPr>
              <w:t>ntenas</w:t>
            </w:r>
            <w:r>
              <w:rPr>
                <w:rFonts w:ascii="Georgia"/>
                <w:spacing w:val="9"/>
                <w:w w:val="170"/>
                <w:sz w:val="8"/>
              </w:rPr>
              <w:t> </w:t>
            </w:r>
            <w:r>
              <w:rPr>
                <w:rFonts w:ascii="Georgia"/>
                <w:w w:val="170"/>
                <w:sz w:val="8"/>
              </w:rPr>
              <w:t>y</w:t>
            </w:r>
            <w:r>
              <w:rPr>
                <w:rFonts w:ascii="Georgia"/>
                <w:spacing w:val="26"/>
                <w:w w:val="170"/>
                <w:sz w:val="8"/>
              </w:rPr>
              <w:t> </w:t>
            </w:r>
            <w:r>
              <w:rPr>
                <w:rFonts w:ascii="Georgia"/>
                <w:spacing w:val="-2"/>
                <w:w w:val="170"/>
                <w:sz w:val="8"/>
              </w:rPr>
              <w:t>radares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26"/>
              <w:jc w:val="right"/>
              <w:rPr>
                <w:rFonts w:ascii="Georgia"/>
                <w:sz w:val="8"/>
              </w:rPr>
            </w:pPr>
            <w:r>
              <w:rPr>
                <w:rFonts w:ascii="Georgia"/>
                <w:spacing w:val="-5"/>
                <w:w w:val="170"/>
                <w:sz w:val="8"/>
              </w:rPr>
              <w:t>20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5"/>
                <w:w w:val="170"/>
                <w:sz w:val="8"/>
              </w:rPr>
              <w:t> </w:t>
            </w:r>
            <w:r>
              <w:rPr>
                <w:rFonts w:ascii="Georgia"/>
                <w:i/>
                <w:spacing w:val="2"/>
                <w:w w:val="170"/>
                <w:sz w:val="8"/>
              </w:rPr>
              <w:t>2501</w:t>
            </w:r>
            <w:r>
              <w:rPr>
                <w:rFonts w:ascii="Georgia"/>
                <w:i/>
                <w:spacing w:val="-5"/>
                <w:w w:val="170"/>
                <w:sz w:val="8"/>
              </w:rPr>
              <w:t> </w:t>
            </w:r>
            <w:r>
              <w:rPr>
                <w:rFonts w:ascii="Georgia"/>
                <w:i/>
                <w:spacing w:val="2"/>
                <w:w w:val="170"/>
                <w:sz w:val="8"/>
              </w:rPr>
              <w:t>0501</w:t>
            </w:r>
            <w:r>
              <w:rPr>
                <w:rFonts w:ascii="Georgia"/>
                <w:i/>
                <w:spacing w:val="-5"/>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0502</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4"/>
                <w:w w:val="170"/>
                <w:sz w:val="8"/>
              </w:rPr>
              <w:t> </w:t>
            </w:r>
            <w:r>
              <w:rPr>
                <w:rFonts w:ascii="Georgia" w:hAnsi="Georgia"/>
                <w:w w:val="170"/>
                <w:sz w:val="8"/>
              </w:rPr>
              <w:t>de</w:t>
            </w:r>
            <w:r>
              <w:rPr>
                <w:rFonts w:ascii="Georgia" w:hAnsi="Georgia"/>
                <w:spacing w:val="20"/>
                <w:w w:val="170"/>
                <w:sz w:val="8"/>
              </w:rPr>
              <w:t> </w:t>
            </w:r>
            <w:r>
              <w:rPr>
                <w:rFonts w:ascii="Georgia" w:hAnsi="Georgia"/>
                <w:spacing w:val="-2"/>
                <w:w w:val="170"/>
                <w:sz w:val="8"/>
              </w:rPr>
              <w:t>telefonía</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4"/>
                <w:w w:val="170"/>
                <w:sz w:val="8"/>
              </w:rPr>
              <w:t>05021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0503</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30"/>
                <w:w w:val="170"/>
                <w:sz w:val="8"/>
              </w:rPr>
              <w:t> </w:t>
            </w:r>
            <w:r>
              <w:rPr>
                <w:rFonts w:ascii="Georgia" w:hAnsi="Georgia"/>
                <w:w w:val="170"/>
                <w:sz w:val="8"/>
              </w:rPr>
              <w:t>de</w:t>
            </w:r>
            <w:r>
              <w:rPr>
                <w:rFonts w:ascii="Georgia" w:hAnsi="Georgia"/>
                <w:spacing w:val="38"/>
                <w:w w:val="170"/>
                <w:sz w:val="8"/>
              </w:rPr>
              <w:t> </w:t>
            </w:r>
            <w:r>
              <w:rPr>
                <w:rFonts w:ascii="Georgia" w:hAnsi="Georgia"/>
                <w:spacing w:val="-2"/>
                <w:w w:val="170"/>
                <w:sz w:val="8"/>
              </w:rPr>
              <w:t>radiocomunicación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4"/>
                <w:w w:val="170"/>
                <w:sz w:val="8"/>
              </w:rPr>
              <w:t>05031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0504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Equipos</w:t>
            </w:r>
            <w:r>
              <w:rPr>
                <w:rFonts w:ascii="Georgia"/>
                <w:spacing w:val="9"/>
                <w:w w:val="170"/>
                <w:sz w:val="8"/>
              </w:rPr>
              <w:t> </w:t>
            </w:r>
            <w:r>
              <w:rPr>
                <w:rFonts w:ascii="Georgia"/>
                <w:w w:val="170"/>
                <w:sz w:val="8"/>
              </w:rPr>
              <w:t>de</w:t>
            </w:r>
            <w:r>
              <w:rPr>
                <w:rFonts w:ascii="Georgia"/>
                <w:spacing w:val="15"/>
                <w:w w:val="170"/>
                <w:sz w:val="8"/>
              </w:rPr>
              <w:t> </w:t>
            </w:r>
            <w:r>
              <w:rPr>
                <w:rFonts w:ascii="Georgia"/>
                <w:w w:val="170"/>
                <w:sz w:val="8"/>
              </w:rPr>
              <w:t>audio</w:t>
            </w:r>
            <w:r>
              <w:rPr>
                <w:rFonts w:ascii="Georgia"/>
                <w:spacing w:val="18"/>
                <w:w w:val="170"/>
                <w:sz w:val="8"/>
              </w:rPr>
              <w:t> </w:t>
            </w:r>
            <w:r>
              <w:rPr>
                <w:rFonts w:ascii="Georgia"/>
                <w:w w:val="170"/>
                <w:sz w:val="8"/>
              </w:rPr>
              <w:t>y</w:t>
            </w:r>
            <w:r>
              <w:rPr>
                <w:rFonts w:ascii="Georgia"/>
                <w:spacing w:val="26"/>
                <w:w w:val="170"/>
                <w:sz w:val="8"/>
              </w:rPr>
              <w:t> </w:t>
            </w:r>
            <w:r>
              <w:rPr>
                <w:rFonts w:ascii="Georgia"/>
                <w:w w:val="170"/>
                <w:sz w:val="8"/>
              </w:rPr>
              <w:t>v</w:t>
            </w:r>
            <w:r>
              <w:rPr>
                <w:rFonts w:ascii="Georgia"/>
                <w:spacing w:val="-14"/>
                <w:w w:val="170"/>
                <w:sz w:val="8"/>
              </w:rPr>
              <w:t> </w:t>
            </w:r>
            <w:r>
              <w:rPr>
                <w:rFonts w:ascii="Georgia"/>
                <w:spacing w:val="-4"/>
                <w:w w:val="170"/>
                <w:sz w:val="8"/>
              </w:rPr>
              <w:t>ideo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05041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0599</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Otros</w:t>
            </w:r>
            <w:r>
              <w:rPr>
                <w:rFonts w:ascii="Georgia" w:hAnsi="Georgia"/>
                <w:spacing w:val="18"/>
                <w:w w:val="170"/>
                <w:sz w:val="8"/>
              </w:rPr>
              <w:t> </w:t>
            </w:r>
            <w:r>
              <w:rPr>
                <w:rFonts w:ascii="Georgia" w:hAnsi="Georgia"/>
                <w:w w:val="170"/>
                <w:sz w:val="8"/>
              </w:rPr>
              <w:t>equipos</w:t>
            </w:r>
            <w:r>
              <w:rPr>
                <w:rFonts w:ascii="Georgia" w:hAnsi="Georgia"/>
                <w:spacing w:val="18"/>
                <w:w w:val="170"/>
                <w:sz w:val="8"/>
              </w:rPr>
              <w:t> </w:t>
            </w:r>
            <w:r>
              <w:rPr>
                <w:rFonts w:ascii="Georgia" w:hAnsi="Georgia"/>
                <w:w w:val="170"/>
                <w:sz w:val="8"/>
              </w:rPr>
              <w:t>de</w:t>
            </w:r>
            <w:r>
              <w:rPr>
                <w:rFonts w:ascii="Georgia" w:hAnsi="Georgia"/>
                <w:spacing w:val="25"/>
                <w:w w:val="170"/>
                <w:sz w:val="8"/>
              </w:rPr>
              <w:t> </w:t>
            </w:r>
            <w:r>
              <w:rPr>
                <w:rFonts w:ascii="Georgia" w:hAnsi="Georgia"/>
                <w:spacing w:val="-2"/>
                <w:w w:val="170"/>
                <w:sz w:val="8"/>
              </w:rPr>
              <w:t>comunicación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05991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0601</w:t>
            </w:r>
          </w:p>
        </w:tc>
        <w:tc>
          <w:tcPr>
            <w:tcW w:w="3427"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A</w:t>
            </w:r>
            <w:r>
              <w:rPr>
                <w:rFonts w:ascii="Georgia"/>
                <w:spacing w:val="-11"/>
                <w:w w:val="170"/>
                <w:sz w:val="8"/>
              </w:rPr>
              <w:t> </w:t>
            </w:r>
            <w:r>
              <w:rPr>
                <w:rFonts w:ascii="Georgia"/>
                <w:w w:val="170"/>
                <w:sz w:val="8"/>
              </w:rPr>
              <w:t>rchiv</w:t>
            </w:r>
            <w:r>
              <w:rPr>
                <w:rFonts w:ascii="Georgia"/>
                <w:spacing w:val="-6"/>
                <w:w w:val="170"/>
                <w:sz w:val="8"/>
              </w:rPr>
              <w:t> </w:t>
            </w:r>
            <w:r>
              <w:rPr>
                <w:rFonts w:ascii="Georgia"/>
                <w:w w:val="170"/>
                <w:sz w:val="8"/>
              </w:rPr>
              <w:t>adores,</w:t>
            </w:r>
            <w:r>
              <w:rPr>
                <w:rFonts w:ascii="Georgia"/>
                <w:spacing w:val="30"/>
                <w:w w:val="170"/>
                <w:sz w:val="8"/>
              </w:rPr>
              <w:t> </w:t>
            </w:r>
            <w:r>
              <w:rPr>
                <w:rFonts w:ascii="Georgia"/>
                <w:w w:val="170"/>
                <w:sz w:val="8"/>
              </w:rPr>
              <w:t>bibliotecas</w:t>
            </w:r>
            <w:r>
              <w:rPr>
                <w:rFonts w:ascii="Georgia"/>
                <w:spacing w:val="28"/>
                <w:w w:val="170"/>
                <w:sz w:val="8"/>
              </w:rPr>
              <w:t> </w:t>
            </w:r>
            <w:r>
              <w:rPr>
                <w:rFonts w:ascii="Georgia"/>
                <w:w w:val="170"/>
                <w:sz w:val="8"/>
              </w:rPr>
              <w:t>y</w:t>
            </w:r>
            <w:r>
              <w:rPr>
                <w:rFonts w:ascii="Georgia"/>
                <w:spacing w:val="51"/>
                <w:w w:val="170"/>
                <w:sz w:val="8"/>
              </w:rPr>
              <w:t> </w:t>
            </w:r>
            <w:r>
              <w:rPr>
                <w:rFonts w:ascii="Georgia"/>
                <w:spacing w:val="-2"/>
                <w:w w:val="170"/>
                <w:sz w:val="8"/>
              </w:rPr>
              <w:t>armarios</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spacing w:val="2"/>
                <w:w w:val="170"/>
                <w:sz w:val="8"/>
              </w:rPr>
              <w:t>1</w:t>
            </w:r>
            <w:r>
              <w:rPr>
                <w:rFonts w:ascii="Georgia"/>
                <w:i/>
                <w:spacing w:val="-7"/>
                <w:w w:val="170"/>
                <w:sz w:val="8"/>
              </w:rPr>
              <w:t> </w:t>
            </w:r>
            <w:r>
              <w:rPr>
                <w:rFonts w:ascii="Georgia"/>
                <w:i/>
                <w:spacing w:val="2"/>
                <w:w w:val="170"/>
                <w:sz w:val="8"/>
              </w:rPr>
              <w:t>2501</w:t>
            </w:r>
            <w:r>
              <w:rPr>
                <w:rFonts w:ascii="Georgia"/>
                <w:i/>
                <w:spacing w:val="-7"/>
                <w:w w:val="170"/>
                <w:sz w:val="8"/>
              </w:rPr>
              <w:t> </w:t>
            </w:r>
            <w:r>
              <w:rPr>
                <w:rFonts w:ascii="Georgia"/>
                <w:i/>
                <w:spacing w:val="2"/>
                <w:w w:val="170"/>
                <w:sz w:val="8"/>
              </w:rPr>
              <w:t>0601</w:t>
            </w:r>
            <w:r>
              <w:rPr>
                <w:rFonts w:ascii="Georgia"/>
                <w:i/>
                <w:spacing w:val="-6"/>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0602</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Mesas</w:t>
            </w:r>
            <w:r>
              <w:rPr>
                <w:rFonts w:ascii="Georgia"/>
                <w:spacing w:val="6"/>
                <w:w w:val="170"/>
                <w:sz w:val="8"/>
              </w:rPr>
              <w:t> </w:t>
            </w:r>
            <w:r>
              <w:rPr>
                <w:rFonts w:ascii="Georgia"/>
                <w:w w:val="170"/>
                <w:sz w:val="8"/>
              </w:rPr>
              <w:t>y</w:t>
            </w:r>
            <w:r>
              <w:rPr>
                <w:rFonts w:ascii="Georgia"/>
                <w:spacing w:val="22"/>
                <w:w w:val="170"/>
                <w:sz w:val="8"/>
              </w:rPr>
              <w:t> </w:t>
            </w:r>
            <w:r>
              <w:rPr>
                <w:rFonts w:ascii="Georgia"/>
                <w:spacing w:val="-2"/>
                <w:w w:val="170"/>
                <w:sz w:val="8"/>
              </w:rPr>
              <w:t>escritorios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06021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0603</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Sillas</w:t>
            </w:r>
            <w:r>
              <w:rPr>
                <w:rFonts w:ascii="Georgia"/>
                <w:spacing w:val="3"/>
                <w:w w:val="170"/>
                <w:sz w:val="8"/>
              </w:rPr>
              <w:t> </w:t>
            </w:r>
            <w:r>
              <w:rPr>
                <w:rFonts w:ascii="Georgia"/>
                <w:w w:val="170"/>
                <w:sz w:val="8"/>
              </w:rPr>
              <w:t>y</w:t>
            </w:r>
            <w:r>
              <w:rPr>
                <w:rFonts w:ascii="Georgia"/>
                <w:spacing w:val="17"/>
                <w:w w:val="170"/>
                <w:sz w:val="8"/>
              </w:rPr>
              <w:t> </w:t>
            </w:r>
            <w:r>
              <w:rPr>
                <w:rFonts w:ascii="Georgia"/>
                <w:spacing w:val="-2"/>
                <w:w w:val="170"/>
                <w:sz w:val="8"/>
              </w:rPr>
              <w:t>bancos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06031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Fotocopiadoras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06041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0605</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2"/>
                <w:w w:val="170"/>
                <w:sz w:val="8"/>
              </w:rPr>
              <w:t> </w:t>
            </w:r>
            <w:r>
              <w:rPr>
                <w:rFonts w:ascii="Georgia" w:hAnsi="Georgia"/>
                <w:w w:val="170"/>
                <w:sz w:val="8"/>
              </w:rPr>
              <w:t>de</w:t>
            </w:r>
            <w:r>
              <w:rPr>
                <w:rFonts w:ascii="Georgia" w:hAnsi="Georgia"/>
                <w:spacing w:val="17"/>
                <w:w w:val="170"/>
                <w:sz w:val="8"/>
              </w:rPr>
              <w:t> </w:t>
            </w:r>
            <w:r>
              <w:rPr>
                <w:rFonts w:ascii="Georgia" w:hAnsi="Georgia"/>
                <w:w w:val="170"/>
                <w:sz w:val="8"/>
              </w:rPr>
              <w:t>v</w:t>
            </w:r>
            <w:r>
              <w:rPr>
                <w:rFonts w:ascii="Georgia" w:hAnsi="Georgia"/>
                <w:spacing w:val="-13"/>
                <w:w w:val="170"/>
                <w:sz w:val="8"/>
              </w:rPr>
              <w:t> </w:t>
            </w:r>
            <w:r>
              <w:rPr>
                <w:rFonts w:ascii="Georgia" w:hAnsi="Georgia"/>
                <w:spacing w:val="-2"/>
                <w:w w:val="170"/>
                <w:sz w:val="8"/>
              </w:rPr>
              <w:t>entilación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06051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0699</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Otros</w:t>
            </w:r>
            <w:r>
              <w:rPr>
                <w:rFonts w:ascii="Georgia"/>
                <w:spacing w:val="15"/>
                <w:w w:val="170"/>
                <w:sz w:val="8"/>
              </w:rPr>
              <w:t> </w:t>
            </w:r>
            <w:r>
              <w:rPr>
                <w:rFonts w:ascii="Georgia"/>
                <w:w w:val="170"/>
                <w:sz w:val="8"/>
              </w:rPr>
              <w:t>equipos</w:t>
            </w:r>
            <w:r>
              <w:rPr>
                <w:rFonts w:ascii="Georgia"/>
                <w:spacing w:val="16"/>
                <w:w w:val="170"/>
                <w:sz w:val="8"/>
              </w:rPr>
              <w:t> </w:t>
            </w:r>
            <w:r>
              <w:rPr>
                <w:rFonts w:ascii="Georgia"/>
                <w:w w:val="170"/>
                <w:sz w:val="8"/>
              </w:rPr>
              <w:t>y</w:t>
            </w:r>
            <w:r>
              <w:rPr>
                <w:rFonts w:ascii="Georgia"/>
                <w:spacing w:val="34"/>
                <w:w w:val="170"/>
                <w:sz w:val="8"/>
              </w:rPr>
              <w:t> </w:t>
            </w:r>
            <w:r>
              <w:rPr>
                <w:rFonts w:ascii="Georgia"/>
                <w:spacing w:val="-2"/>
                <w:w w:val="170"/>
                <w:sz w:val="8"/>
              </w:rPr>
              <w:t>mobiliario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06991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01</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Computadoras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7"/>
                <w:w w:val="170"/>
                <w:sz w:val="8"/>
              </w:rPr>
              <w:t> </w:t>
            </w:r>
            <w:r>
              <w:rPr>
                <w:rFonts w:ascii="Georgia"/>
                <w:i/>
                <w:w w:val="170"/>
                <w:sz w:val="8"/>
              </w:rPr>
              <w:t>07</w:t>
            </w:r>
            <w:r>
              <w:rPr>
                <w:rFonts w:ascii="Georgia"/>
                <w:i/>
                <w:spacing w:val="-5"/>
                <w:w w:val="170"/>
                <w:sz w:val="8"/>
              </w:rPr>
              <w:t> </w:t>
            </w:r>
            <w:r>
              <w:rPr>
                <w:rFonts w:ascii="Georgia"/>
                <w:i/>
                <w:w w:val="170"/>
                <w:sz w:val="8"/>
              </w:rPr>
              <w:t>01</w:t>
            </w:r>
            <w:r>
              <w:rPr>
                <w:rFonts w:ascii="Georgia"/>
                <w:i/>
                <w:spacing w:val="-7"/>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02</w:t>
            </w:r>
          </w:p>
        </w:tc>
        <w:tc>
          <w:tcPr>
            <w:tcW w:w="3427"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2"/>
                <w:w w:val="170"/>
                <w:sz w:val="8"/>
              </w:rPr>
              <w:t>Impresoras</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6"/>
                <w:w w:val="170"/>
                <w:sz w:val="8"/>
              </w:rPr>
              <w:t> </w:t>
            </w:r>
            <w:r>
              <w:rPr>
                <w:rFonts w:ascii="Georgia"/>
                <w:i/>
                <w:w w:val="170"/>
                <w:sz w:val="8"/>
              </w:rPr>
              <w:t>07</w:t>
            </w:r>
            <w:r>
              <w:rPr>
                <w:rFonts w:ascii="Georgia"/>
                <w:i/>
                <w:spacing w:val="-4"/>
                <w:w w:val="170"/>
                <w:sz w:val="8"/>
              </w:rPr>
              <w:t> </w:t>
            </w:r>
            <w:r>
              <w:rPr>
                <w:rFonts w:ascii="Georgia"/>
                <w:i/>
                <w:spacing w:val="-5"/>
                <w:w w:val="170"/>
                <w:sz w:val="8"/>
              </w:rPr>
              <w:t>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03</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Mo</w:t>
            </w:r>
            <w:r>
              <w:rPr>
                <w:rFonts w:ascii="Georgia"/>
                <w:spacing w:val="-24"/>
                <w:w w:val="170"/>
                <w:sz w:val="8"/>
              </w:rPr>
              <w:t> </w:t>
            </w:r>
            <w:r>
              <w:rPr>
                <w:rFonts w:ascii="Georgia"/>
                <w:spacing w:val="-5"/>
                <w:w w:val="170"/>
                <w:sz w:val="8"/>
              </w:rPr>
              <w:t>dem</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6"/>
                <w:w w:val="170"/>
                <w:sz w:val="8"/>
              </w:rPr>
              <w:t> </w:t>
            </w:r>
            <w:r>
              <w:rPr>
                <w:rFonts w:ascii="Georgia"/>
                <w:i/>
                <w:w w:val="170"/>
                <w:sz w:val="8"/>
              </w:rPr>
              <w:t>07</w:t>
            </w:r>
            <w:r>
              <w:rPr>
                <w:rFonts w:ascii="Georgia"/>
                <w:i/>
                <w:spacing w:val="-4"/>
                <w:w w:val="170"/>
                <w:sz w:val="8"/>
              </w:rPr>
              <w:t> </w:t>
            </w:r>
            <w:r>
              <w:rPr>
                <w:rFonts w:ascii="Georgia"/>
                <w:i/>
                <w:spacing w:val="-5"/>
                <w:w w:val="170"/>
                <w:sz w:val="8"/>
              </w:rPr>
              <w:t>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Mo</w:t>
            </w:r>
            <w:r>
              <w:rPr>
                <w:rFonts w:ascii="Georgia"/>
                <w:spacing w:val="-24"/>
                <w:w w:val="170"/>
                <w:sz w:val="8"/>
              </w:rPr>
              <w:t> </w:t>
            </w:r>
            <w:r>
              <w:rPr>
                <w:rFonts w:ascii="Georgia"/>
                <w:spacing w:val="-2"/>
                <w:w w:val="170"/>
                <w:sz w:val="8"/>
              </w:rPr>
              <w:t>nitores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6"/>
                <w:w w:val="170"/>
                <w:sz w:val="8"/>
              </w:rPr>
              <w:t> </w:t>
            </w:r>
            <w:r>
              <w:rPr>
                <w:rFonts w:ascii="Georgia"/>
                <w:i/>
                <w:w w:val="170"/>
                <w:sz w:val="8"/>
              </w:rPr>
              <w:t>07</w:t>
            </w:r>
            <w:r>
              <w:rPr>
                <w:rFonts w:ascii="Georgia"/>
                <w:i/>
                <w:spacing w:val="-4"/>
                <w:w w:val="170"/>
                <w:sz w:val="8"/>
              </w:rPr>
              <w:t> </w:t>
            </w:r>
            <w:r>
              <w:rPr>
                <w:rFonts w:ascii="Georgia"/>
                <w:i/>
                <w:spacing w:val="-5"/>
                <w:w w:val="170"/>
                <w:sz w:val="8"/>
              </w:rPr>
              <w:t>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05</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5"/>
                <w:w w:val="170"/>
                <w:sz w:val="8"/>
              </w:rPr>
              <w:t>UPS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6"/>
                <w:w w:val="170"/>
                <w:sz w:val="8"/>
              </w:rPr>
              <w:t> </w:t>
            </w:r>
            <w:r>
              <w:rPr>
                <w:rFonts w:ascii="Georgia"/>
                <w:i/>
                <w:w w:val="170"/>
                <w:sz w:val="8"/>
              </w:rPr>
              <w:t>07</w:t>
            </w:r>
            <w:r>
              <w:rPr>
                <w:rFonts w:ascii="Georgia"/>
                <w:i/>
                <w:spacing w:val="-4"/>
                <w:w w:val="170"/>
                <w:sz w:val="8"/>
              </w:rPr>
              <w:t> </w:t>
            </w:r>
            <w:r>
              <w:rPr>
                <w:rFonts w:ascii="Georgia"/>
                <w:i/>
                <w:spacing w:val="-5"/>
                <w:w w:val="170"/>
                <w:sz w:val="8"/>
              </w:rPr>
              <w:t>051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501</w:t>
            </w:r>
            <w:r>
              <w:rPr>
                <w:rFonts w:ascii="Georgia"/>
                <w:spacing w:val="-8"/>
                <w:w w:val="170"/>
                <w:sz w:val="8"/>
              </w:rPr>
              <w:t> </w:t>
            </w:r>
            <w:r>
              <w:rPr>
                <w:rFonts w:ascii="Georgia"/>
                <w:w w:val="170"/>
                <w:sz w:val="8"/>
              </w:rPr>
              <w:t>07</w:t>
            </w:r>
            <w:r>
              <w:rPr>
                <w:rFonts w:ascii="Georgia"/>
                <w:spacing w:val="12"/>
                <w:w w:val="170"/>
                <w:sz w:val="8"/>
              </w:rPr>
              <w:t> </w:t>
            </w:r>
            <w:r>
              <w:rPr>
                <w:rFonts w:ascii="Georgia"/>
                <w:spacing w:val="-5"/>
                <w:w w:val="170"/>
                <w:sz w:val="8"/>
              </w:rPr>
              <w:t>99</w:t>
            </w:r>
          </w:p>
        </w:tc>
        <w:tc>
          <w:tcPr>
            <w:tcW w:w="3427"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Otros</w:t>
            </w:r>
            <w:r>
              <w:rPr>
                <w:rFonts w:ascii="Georgia" w:hAnsi="Georgia"/>
                <w:spacing w:val="18"/>
                <w:w w:val="170"/>
                <w:sz w:val="8"/>
              </w:rPr>
              <w:t> </w:t>
            </w:r>
            <w:r>
              <w:rPr>
                <w:rFonts w:ascii="Georgia" w:hAnsi="Georgia"/>
                <w:w w:val="170"/>
                <w:sz w:val="8"/>
              </w:rPr>
              <w:t>equipos</w:t>
            </w:r>
            <w:r>
              <w:rPr>
                <w:rFonts w:ascii="Georgia" w:hAnsi="Georgia"/>
                <w:spacing w:val="18"/>
                <w:w w:val="170"/>
                <w:sz w:val="8"/>
              </w:rPr>
              <w:t> </w:t>
            </w:r>
            <w:r>
              <w:rPr>
                <w:rFonts w:ascii="Georgia" w:hAnsi="Georgia"/>
                <w:w w:val="170"/>
                <w:sz w:val="8"/>
              </w:rPr>
              <w:t>de</w:t>
            </w:r>
            <w:r>
              <w:rPr>
                <w:rFonts w:ascii="Georgia" w:hAnsi="Georgia"/>
                <w:spacing w:val="25"/>
                <w:w w:val="170"/>
                <w:sz w:val="8"/>
              </w:rPr>
              <w:t> </w:t>
            </w:r>
            <w:r>
              <w:rPr>
                <w:rFonts w:ascii="Georgia" w:hAnsi="Georgia"/>
                <w:spacing w:val="-2"/>
                <w:w w:val="170"/>
                <w:sz w:val="8"/>
              </w:rPr>
              <w:t>cómputo</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6"/>
                <w:w w:val="170"/>
                <w:sz w:val="8"/>
              </w:rPr>
              <w:t> </w:t>
            </w:r>
            <w:r>
              <w:rPr>
                <w:rFonts w:ascii="Georgia"/>
                <w:i/>
                <w:w w:val="170"/>
                <w:sz w:val="8"/>
              </w:rPr>
              <w:t>07</w:t>
            </w:r>
            <w:r>
              <w:rPr>
                <w:rFonts w:ascii="Georgia"/>
                <w:i/>
                <w:spacing w:val="-4"/>
                <w:w w:val="170"/>
                <w:sz w:val="8"/>
              </w:rPr>
              <w:t> </w:t>
            </w:r>
            <w:r>
              <w:rPr>
                <w:rFonts w:ascii="Georgia"/>
                <w:i/>
                <w:spacing w:val="-5"/>
                <w:w w:val="170"/>
                <w:sz w:val="8"/>
              </w:rPr>
              <w:t>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0801</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24"/>
                <w:w w:val="170"/>
                <w:sz w:val="8"/>
              </w:rPr>
              <w:t> </w:t>
            </w:r>
            <w:r>
              <w:rPr>
                <w:rFonts w:ascii="Georgia" w:hAnsi="Georgia"/>
                <w:w w:val="170"/>
                <w:sz w:val="8"/>
              </w:rPr>
              <w:t>e</w:t>
            </w:r>
            <w:r>
              <w:rPr>
                <w:rFonts w:ascii="Georgia" w:hAnsi="Georgia"/>
                <w:spacing w:val="31"/>
                <w:w w:val="170"/>
                <w:sz w:val="8"/>
              </w:rPr>
              <w:t> </w:t>
            </w:r>
            <w:r>
              <w:rPr>
                <w:rFonts w:ascii="Georgia" w:hAnsi="Georgia"/>
                <w:w w:val="170"/>
                <w:sz w:val="8"/>
              </w:rPr>
              <w:t>instrumental</w:t>
            </w:r>
            <w:r>
              <w:rPr>
                <w:rFonts w:ascii="Georgia" w:hAnsi="Georgia"/>
                <w:spacing w:val="22"/>
                <w:w w:val="170"/>
                <w:sz w:val="8"/>
              </w:rPr>
              <w:t> </w:t>
            </w:r>
            <w:r>
              <w:rPr>
                <w:rFonts w:ascii="Georgia" w:hAnsi="Georgia"/>
                <w:spacing w:val="-2"/>
                <w:w w:val="170"/>
                <w:sz w:val="8"/>
              </w:rPr>
              <w:t>médico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8"/>
                <w:w w:val="170"/>
                <w:sz w:val="8"/>
              </w:rPr>
              <w:t> </w:t>
            </w:r>
            <w:r>
              <w:rPr>
                <w:rFonts w:ascii="Georgia"/>
                <w:i/>
                <w:spacing w:val="2"/>
                <w:w w:val="170"/>
                <w:sz w:val="8"/>
              </w:rPr>
              <w:t>2501</w:t>
            </w:r>
            <w:r>
              <w:rPr>
                <w:rFonts w:ascii="Georgia"/>
                <w:i/>
                <w:spacing w:val="-8"/>
                <w:w w:val="170"/>
                <w:sz w:val="8"/>
              </w:rPr>
              <w:t> </w:t>
            </w:r>
            <w:r>
              <w:rPr>
                <w:rFonts w:ascii="Georgia"/>
                <w:i/>
                <w:spacing w:val="2"/>
                <w:w w:val="170"/>
                <w:sz w:val="8"/>
              </w:rPr>
              <w:t>0801</w:t>
            </w:r>
            <w:r>
              <w:rPr>
                <w:rFonts w:ascii="Georgia"/>
                <w:i/>
                <w:spacing w:val="-8"/>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0802</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Equipos</w:t>
            </w:r>
            <w:r>
              <w:rPr>
                <w:rFonts w:ascii="Georgia"/>
                <w:spacing w:val="14"/>
                <w:w w:val="170"/>
                <w:sz w:val="8"/>
              </w:rPr>
              <w:t> </w:t>
            </w:r>
            <w:r>
              <w:rPr>
                <w:rFonts w:ascii="Georgia"/>
                <w:w w:val="170"/>
                <w:sz w:val="8"/>
              </w:rPr>
              <w:t>de</w:t>
            </w:r>
            <w:r>
              <w:rPr>
                <w:rFonts w:ascii="Georgia"/>
                <w:spacing w:val="20"/>
                <w:w w:val="170"/>
                <w:sz w:val="8"/>
              </w:rPr>
              <w:t> </w:t>
            </w:r>
            <w:r>
              <w:rPr>
                <w:rFonts w:ascii="Georgia"/>
                <w:spacing w:val="-2"/>
                <w:w w:val="170"/>
                <w:sz w:val="8"/>
              </w:rPr>
              <w:t>laboratorio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08021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0803</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4"/>
                <w:w w:val="170"/>
                <w:sz w:val="8"/>
              </w:rPr>
              <w:t> </w:t>
            </w:r>
            <w:r>
              <w:rPr>
                <w:rFonts w:ascii="Georgia" w:hAnsi="Georgia"/>
                <w:w w:val="170"/>
                <w:sz w:val="8"/>
              </w:rPr>
              <w:t>de</w:t>
            </w:r>
            <w:r>
              <w:rPr>
                <w:rFonts w:ascii="Georgia" w:hAnsi="Georgia"/>
                <w:spacing w:val="20"/>
                <w:w w:val="170"/>
                <w:sz w:val="8"/>
              </w:rPr>
              <w:t> </w:t>
            </w:r>
            <w:r>
              <w:rPr>
                <w:rFonts w:ascii="Georgia" w:hAnsi="Georgia"/>
                <w:spacing w:val="-2"/>
                <w:w w:val="170"/>
                <w:sz w:val="8"/>
              </w:rPr>
              <w:t>medición</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08031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0899</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Otros</w:t>
            </w:r>
            <w:r>
              <w:rPr>
                <w:rFonts w:ascii="Georgia"/>
                <w:spacing w:val="17"/>
                <w:w w:val="170"/>
                <w:sz w:val="8"/>
              </w:rPr>
              <w:t> </w:t>
            </w:r>
            <w:r>
              <w:rPr>
                <w:rFonts w:ascii="Georgia"/>
                <w:w w:val="170"/>
                <w:sz w:val="8"/>
              </w:rPr>
              <w:t>equipos</w:t>
            </w:r>
            <w:r>
              <w:rPr>
                <w:rFonts w:ascii="Georgia"/>
                <w:spacing w:val="18"/>
                <w:w w:val="170"/>
                <w:sz w:val="8"/>
              </w:rPr>
              <w:t> </w:t>
            </w:r>
            <w:r>
              <w:rPr>
                <w:rFonts w:ascii="Georgia"/>
                <w:w w:val="170"/>
                <w:sz w:val="8"/>
              </w:rPr>
              <w:t>sanitarios</w:t>
            </w:r>
            <w:r>
              <w:rPr>
                <w:rFonts w:ascii="Georgia"/>
                <w:spacing w:val="18"/>
                <w:w w:val="170"/>
                <w:sz w:val="8"/>
              </w:rPr>
              <w:t> </w:t>
            </w:r>
            <w:r>
              <w:rPr>
                <w:rFonts w:ascii="Georgia"/>
                <w:w w:val="170"/>
                <w:sz w:val="8"/>
              </w:rPr>
              <w:t>y</w:t>
            </w:r>
            <w:r>
              <w:rPr>
                <w:rFonts w:ascii="Georgia"/>
                <w:spacing w:val="37"/>
                <w:w w:val="170"/>
                <w:sz w:val="8"/>
              </w:rPr>
              <w:t> </w:t>
            </w:r>
            <w:r>
              <w:rPr>
                <w:rFonts w:ascii="Georgia"/>
                <w:w w:val="170"/>
                <w:sz w:val="8"/>
              </w:rPr>
              <w:t>de</w:t>
            </w:r>
            <w:r>
              <w:rPr>
                <w:rFonts w:ascii="Georgia"/>
                <w:spacing w:val="24"/>
                <w:w w:val="170"/>
                <w:sz w:val="8"/>
              </w:rPr>
              <w:t> </w:t>
            </w:r>
            <w:r>
              <w:rPr>
                <w:rFonts w:ascii="Georgia"/>
                <w:spacing w:val="-2"/>
                <w:w w:val="170"/>
                <w:sz w:val="8"/>
              </w:rPr>
              <w:t>laboratorio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08991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0901</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Pizarras</w:t>
            </w:r>
            <w:r>
              <w:rPr>
                <w:rFonts w:ascii="Georgia"/>
                <w:spacing w:val="11"/>
                <w:w w:val="170"/>
                <w:sz w:val="8"/>
              </w:rPr>
              <w:t> </w:t>
            </w:r>
            <w:r>
              <w:rPr>
                <w:rFonts w:ascii="Georgia"/>
                <w:w w:val="170"/>
                <w:sz w:val="8"/>
              </w:rPr>
              <w:t>y</w:t>
            </w:r>
            <w:r>
              <w:rPr>
                <w:rFonts w:ascii="Georgia"/>
                <w:spacing w:val="27"/>
                <w:w w:val="170"/>
                <w:sz w:val="8"/>
              </w:rPr>
              <w:t> </w:t>
            </w:r>
            <w:r>
              <w:rPr>
                <w:rFonts w:ascii="Georgia"/>
                <w:spacing w:val="-2"/>
                <w:w w:val="170"/>
                <w:sz w:val="8"/>
              </w:rPr>
              <w:t>rotafolios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spacing w:val="2"/>
                <w:w w:val="170"/>
                <w:sz w:val="8"/>
              </w:rPr>
              <w:t>1</w:t>
            </w:r>
            <w:r>
              <w:rPr>
                <w:rFonts w:ascii="Georgia"/>
                <w:i/>
                <w:spacing w:val="-7"/>
                <w:w w:val="170"/>
                <w:sz w:val="8"/>
              </w:rPr>
              <w:t> </w:t>
            </w:r>
            <w:r>
              <w:rPr>
                <w:rFonts w:ascii="Georgia"/>
                <w:i/>
                <w:spacing w:val="2"/>
                <w:w w:val="170"/>
                <w:sz w:val="8"/>
              </w:rPr>
              <w:t>2501</w:t>
            </w:r>
            <w:r>
              <w:rPr>
                <w:rFonts w:ascii="Georgia"/>
                <w:i/>
                <w:spacing w:val="-7"/>
                <w:w w:val="170"/>
                <w:sz w:val="8"/>
              </w:rPr>
              <w:t> </w:t>
            </w:r>
            <w:r>
              <w:rPr>
                <w:rFonts w:ascii="Georgia"/>
                <w:i/>
                <w:spacing w:val="2"/>
                <w:w w:val="170"/>
                <w:sz w:val="8"/>
              </w:rPr>
              <w:t>0901</w:t>
            </w:r>
            <w:r>
              <w:rPr>
                <w:rFonts w:ascii="Georgia"/>
                <w:i/>
                <w:spacing w:val="-6"/>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0904</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2"/>
                <w:w w:val="170"/>
                <w:sz w:val="8"/>
              </w:rPr>
              <w:t>Enciclopedias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09041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501</w:t>
            </w:r>
            <w:r>
              <w:rPr>
                <w:rFonts w:ascii="Georgia"/>
                <w:spacing w:val="-8"/>
                <w:w w:val="170"/>
                <w:sz w:val="8"/>
              </w:rPr>
              <w:t> </w:t>
            </w:r>
            <w:r>
              <w:rPr>
                <w:rFonts w:ascii="Georgia"/>
                <w:w w:val="170"/>
                <w:sz w:val="8"/>
              </w:rPr>
              <w:t>1</w:t>
            </w:r>
            <w:r>
              <w:rPr>
                <w:rFonts w:ascii="Georgia"/>
                <w:spacing w:val="-9"/>
                <w:w w:val="170"/>
                <w:sz w:val="8"/>
              </w:rPr>
              <w:t> </w:t>
            </w:r>
            <w:r>
              <w:rPr>
                <w:rFonts w:ascii="Georgia"/>
                <w:spacing w:val="-5"/>
                <w:w w:val="170"/>
                <w:sz w:val="8"/>
              </w:rPr>
              <w:t>001</w:t>
            </w:r>
          </w:p>
        </w:tc>
        <w:tc>
          <w:tcPr>
            <w:tcW w:w="3427"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Equipos</w:t>
            </w:r>
            <w:r>
              <w:rPr>
                <w:rFonts w:ascii="Georgia" w:hAnsi="Georgia"/>
                <w:spacing w:val="32"/>
                <w:w w:val="170"/>
                <w:sz w:val="8"/>
              </w:rPr>
              <w:t> </w:t>
            </w:r>
            <w:r>
              <w:rPr>
                <w:rFonts w:ascii="Georgia" w:hAnsi="Georgia"/>
                <w:w w:val="170"/>
                <w:sz w:val="8"/>
              </w:rPr>
              <w:t>de</w:t>
            </w:r>
            <w:r>
              <w:rPr>
                <w:rFonts w:ascii="Georgia" w:hAnsi="Georgia"/>
                <w:spacing w:val="40"/>
                <w:w w:val="170"/>
                <w:sz w:val="8"/>
              </w:rPr>
              <w:t> </w:t>
            </w:r>
            <w:r>
              <w:rPr>
                <w:rFonts w:ascii="Georgia" w:hAnsi="Georgia"/>
                <w:w w:val="170"/>
                <w:sz w:val="8"/>
              </w:rPr>
              <w:t>protección</w:t>
            </w:r>
            <w:r>
              <w:rPr>
                <w:rFonts w:ascii="Georgia" w:hAnsi="Georgia"/>
                <w:spacing w:val="33"/>
                <w:w w:val="170"/>
                <w:sz w:val="8"/>
              </w:rPr>
              <w:t> </w:t>
            </w:r>
            <w:r>
              <w:rPr>
                <w:rFonts w:ascii="Georgia" w:hAnsi="Georgia"/>
                <w:w w:val="170"/>
                <w:sz w:val="8"/>
              </w:rPr>
              <w:t>contra</w:t>
            </w:r>
            <w:r>
              <w:rPr>
                <w:rFonts w:ascii="Georgia" w:hAnsi="Georgia"/>
                <w:spacing w:val="34"/>
                <w:w w:val="170"/>
                <w:sz w:val="8"/>
              </w:rPr>
              <w:t> </w:t>
            </w:r>
            <w:r>
              <w:rPr>
                <w:rFonts w:ascii="Georgia" w:hAnsi="Georgia"/>
                <w:spacing w:val="-2"/>
                <w:w w:val="170"/>
                <w:sz w:val="8"/>
              </w:rPr>
              <w:t>incendios</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20"/>
              <w:jc w:val="right"/>
              <w:rPr>
                <w:rFonts w:ascii="Georgia"/>
                <w:sz w:val="8"/>
              </w:rPr>
            </w:pPr>
            <w:r>
              <w:rPr>
                <w:rFonts w:ascii="Georgia"/>
                <w:spacing w:val="-5"/>
                <w:w w:val="170"/>
                <w:sz w:val="8"/>
              </w:rPr>
              <w:t>15</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7"/>
                <w:w w:val="170"/>
                <w:sz w:val="8"/>
              </w:rPr>
              <w:t> </w:t>
            </w:r>
            <w:r>
              <w:rPr>
                <w:rFonts w:ascii="Georgia"/>
                <w:i/>
                <w:w w:val="170"/>
                <w:sz w:val="8"/>
              </w:rPr>
              <w:t>2501</w:t>
            </w:r>
            <w:r>
              <w:rPr>
                <w:rFonts w:ascii="Georgia"/>
                <w:i/>
                <w:spacing w:val="-7"/>
                <w:w w:val="170"/>
                <w:sz w:val="8"/>
              </w:rPr>
              <w:t> </w:t>
            </w:r>
            <w:r>
              <w:rPr>
                <w:rFonts w:ascii="Georgia"/>
                <w:i/>
                <w:w w:val="170"/>
                <w:sz w:val="8"/>
              </w:rPr>
              <w:t>1</w:t>
            </w:r>
            <w:r>
              <w:rPr>
                <w:rFonts w:ascii="Georgia"/>
                <w:i/>
                <w:spacing w:val="-6"/>
                <w:w w:val="170"/>
                <w:sz w:val="8"/>
              </w:rPr>
              <w:t> </w:t>
            </w:r>
            <w:r>
              <w:rPr>
                <w:rFonts w:ascii="Georgia"/>
                <w:i/>
                <w:w w:val="170"/>
                <w:sz w:val="8"/>
              </w:rPr>
              <w:t>001</w:t>
            </w:r>
            <w:r>
              <w:rPr>
                <w:rFonts w:ascii="Georgia"/>
                <w:i/>
                <w:spacing w:val="-7"/>
                <w:w w:val="170"/>
                <w:sz w:val="8"/>
              </w:rPr>
              <w:t> </w:t>
            </w:r>
            <w:r>
              <w:rPr>
                <w:rFonts w:ascii="Georgia"/>
                <w:i/>
                <w:spacing w:val="-10"/>
                <w:w w:val="170"/>
                <w:sz w:val="8"/>
              </w:rPr>
              <w:t>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501</w:t>
            </w:r>
            <w:r>
              <w:rPr>
                <w:rFonts w:ascii="Georgia"/>
                <w:spacing w:val="-8"/>
                <w:w w:val="170"/>
                <w:sz w:val="8"/>
              </w:rPr>
              <w:t> </w:t>
            </w:r>
            <w:r>
              <w:rPr>
                <w:rFonts w:ascii="Georgia"/>
                <w:w w:val="170"/>
                <w:sz w:val="8"/>
              </w:rPr>
              <w:t>1</w:t>
            </w:r>
            <w:r>
              <w:rPr>
                <w:rFonts w:ascii="Georgia"/>
                <w:spacing w:val="-9"/>
                <w:w w:val="170"/>
                <w:sz w:val="8"/>
              </w:rPr>
              <w:t> </w:t>
            </w:r>
            <w:r>
              <w:rPr>
                <w:rFonts w:ascii="Georgia"/>
                <w:spacing w:val="-5"/>
                <w:w w:val="170"/>
                <w:sz w:val="8"/>
              </w:rPr>
              <w:t>002</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Sistemas</w:t>
            </w:r>
            <w:r>
              <w:rPr>
                <w:rFonts w:ascii="Georgia"/>
                <w:spacing w:val="13"/>
                <w:w w:val="170"/>
                <w:sz w:val="8"/>
              </w:rPr>
              <w:t> </w:t>
            </w:r>
            <w:r>
              <w:rPr>
                <w:rFonts w:ascii="Georgia"/>
                <w:w w:val="170"/>
                <w:sz w:val="8"/>
              </w:rPr>
              <w:t>de</w:t>
            </w:r>
            <w:r>
              <w:rPr>
                <w:rFonts w:ascii="Georgia"/>
                <w:spacing w:val="19"/>
                <w:w w:val="170"/>
                <w:sz w:val="8"/>
              </w:rPr>
              <w:t> </w:t>
            </w:r>
            <w:r>
              <w:rPr>
                <w:rFonts w:ascii="Georgia"/>
                <w:w w:val="170"/>
                <w:sz w:val="8"/>
              </w:rPr>
              <w:t>alarmas</w:t>
            </w:r>
            <w:r>
              <w:rPr>
                <w:rFonts w:ascii="Georgia"/>
                <w:spacing w:val="13"/>
                <w:w w:val="170"/>
                <w:sz w:val="8"/>
              </w:rPr>
              <w:t> </w:t>
            </w:r>
            <w:r>
              <w:rPr>
                <w:rFonts w:ascii="Georgia"/>
                <w:w w:val="170"/>
                <w:sz w:val="8"/>
              </w:rPr>
              <w:t>y</w:t>
            </w:r>
            <w:r>
              <w:rPr>
                <w:rFonts w:ascii="Georgia"/>
                <w:spacing w:val="31"/>
                <w:w w:val="170"/>
                <w:sz w:val="8"/>
              </w:rPr>
              <w:t> </w:t>
            </w:r>
            <w:r>
              <w:rPr>
                <w:rFonts w:ascii="Georgia"/>
                <w:spacing w:val="-2"/>
                <w:w w:val="170"/>
                <w:sz w:val="8"/>
              </w:rPr>
              <w:t>seguridad</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1"/>
              <w:jc w:val="right"/>
              <w:rPr>
                <w:rFonts w:ascii="Georgia"/>
                <w:sz w:val="8"/>
              </w:rPr>
            </w:pPr>
            <w:r>
              <w:rPr>
                <w:rFonts w:ascii="Georgia"/>
                <w:spacing w:val="-10"/>
                <w:w w:val="170"/>
                <w:sz w:val="8"/>
              </w:rPr>
              <w:t>3</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10"/>
                <w:w w:val="170"/>
                <w:sz w:val="8"/>
              </w:rPr>
              <w:t> </w:t>
            </w:r>
            <w:r>
              <w:rPr>
                <w:rFonts w:ascii="Georgia"/>
                <w:i/>
                <w:w w:val="170"/>
                <w:sz w:val="8"/>
              </w:rPr>
              <w:t>2501</w:t>
            </w:r>
            <w:r>
              <w:rPr>
                <w:rFonts w:ascii="Georgia"/>
                <w:i/>
                <w:spacing w:val="-9"/>
                <w:w w:val="170"/>
                <w:sz w:val="8"/>
              </w:rPr>
              <w:t> </w:t>
            </w:r>
            <w:r>
              <w:rPr>
                <w:rFonts w:ascii="Georgia"/>
                <w:i/>
                <w:w w:val="170"/>
                <w:sz w:val="8"/>
              </w:rPr>
              <w:t>1</w:t>
            </w:r>
            <w:r>
              <w:rPr>
                <w:rFonts w:ascii="Georgia"/>
                <w:i/>
                <w:spacing w:val="-9"/>
                <w:w w:val="170"/>
                <w:sz w:val="8"/>
              </w:rPr>
              <w:t> </w:t>
            </w:r>
            <w:r>
              <w:rPr>
                <w:rFonts w:ascii="Georgia"/>
                <w:i/>
                <w:spacing w:val="-4"/>
                <w:w w:val="170"/>
                <w:sz w:val="8"/>
              </w:rPr>
              <w:t>0021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w w:val="170"/>
                <w:sz w:val="8"/>
              </w:rPr>
              <w:t>501</w:t>
            </w:r>
            <w:r>
              <w:rPr>
                <w:rFonts w:ascii="Georgia"/>
                <w:spacing w:val="-8"/>
                <w:w w:val="170"/>
                <w:sz w:val="8"/>
              </w:rPr>
              <w:t> </w:t>
            </w:r>
            <w:r>
              <w:rPr>
                <w:rFonts w:ascii="Georgia"/>
                <w:w w:val="170"/>
                <w:sz w:val="8"/>
              </w:rPr>
              <w:t>1</w:t>
            </w:r>
            <w:r>
              <w:rPr>
                <w:rFonts w:ascii="Georgia"/>
                <w:spacing w:val="-9"/>
                <w:w w:val="170"/>
                <w:sz w:val="8"/>
              </w:rPr>
              <w:t> </w:t>
            </w:r>
            <w:r>
              <w:rPr>
                <w:rFonts w:ascii="Georgia"/>
                <w:spacing w:val="-5"/>
                <w:w w:val="170"/>
                <w:sz w:val="8"/>
              </w:rPr>
              <w:t>099</w:t>
            </w:r>
          </w:p>
        </w:tc>
        <w:tc>
          <w:tcPr>
            <w:tcW w:w="3427" w:type="dxa"/>
            <w:tcBorders>
              <w:left w:val="single" w:sz="6" w:space="0" w:color="000000"/>
              <w:right w:val="single" w:sz="6" w:space="0" w:color="000000"/>
            </w:tcBorders>
          </w:tcPr>
          <w:p>
            <w:pPr>
              <w:pStyle w:val="TableParagraph"/>
              <w:spacing w:line="88" w:lineRule="exact" w:before="4"/>
              <w:ind w:left="33" w:right="-44"/>
              <w:rPr>
                <w:rFonts w:ascii="Georgia"/>
                <w:sz w:val="8"/>
              </w:rPr>
            </w:pPr>
            <w:r>
              <w:rPr>
                <w:rFonts w:ascii="Georgia"/>
                <w:w w:val="170"/>
                <w:sz w:val="8"/>
              </w:rPr>
              <w:t>Otros</w:t>
            </w:r>
            <w:r>
              <w:rPr>
                <w:rFonts w:ascii="Georgia"/>
                <w:spacing w:val="20"/>
                <w:w w:val="170"/>
                <w:sz w:val="8"/>
              </w:rPr>
              <w:t> </w:t>
            </w:r>
            <w:r>
              <w:rPr>
                <w:rFonts w:ascii="Georgia"/>
                <w:w w:val="170"/>
                <w:sz w:val="8"/>
              </w:rPr>
              <w:t>equipos</w:t>
            </w:r>
            <w:r>
              <w:rPr>
                <w:rFonts w:ascii="Georgia"/>
                <w:spacing w:val="20"/>
                <w:w w:val="170"/>
                <w:sz w:val="8"/>
              </w:rPr>
              <w:t> </w:t>
            </w:r>
            <w:r>
              <w:rPr>
                <w:rFonts w:ascii="Georgia"/>
                <w:w w:val="170"/>
                <w:sz w:val="8"/>
              </w:rPr>
              <w:t>de</w:t>
            </w:r>
            <w:r>
              <w:rPr>
                <w:rFonts w:ascii="Georgia"/>
                <w:spacing w:val="26"/>
                <w:w w:val="170"/>
                <w:sz w:val="8"/>
              </w:rPr>
              <w:t> </w:t>
            </w:r>
            <w:r>
              <w:rPr>
                <w:rFonts w:ascii="Georgia"/>
                <w:w w:val="170"/>
                <w:sz w:val="8"/>
              </w:rPr>
              <w:t>seguridad,</w:t>
            </w:r>
            <w:r>
              <w:rPr>
                <w:rFonts w:ascii="Georgia"/>
                <w:spacing w:val="22"/>
                <w:w w:val="170"/>
                <w:sz w:val="8"/>
              </w:rPr>
              <w:t> </w:t>
            </w:r>
            <w:r>
              <w:rPr>
                <w:rFonts w:ascii="Georgia"/>
                <w:w w:val="170"/>
                <w:sz w:val="8"/>
              </w:rPr>
              <w:t>orden,</w:t>
            </w:r>
            <w:r>
              <w:rPr>
                <w:rFonts w:ascii="Georgia"/>
                <w:spacing w:val="21"/>
                <w:w w:val="170"/>
                <w:sz w:val="8"/>
              </w:rPr>
              <w:t> </w:t>
            </w:r>
            <w:r>
              <w:rPr>
                <w:rFonts w:ascii="Georgia"/>
                <w:w w:val="170"/>
                <w:sz w:val="8"/>
              </w:rPr>
              <w:t>v</w:t>
            </w:r>
            <w:r>
              <w:rPr>
                <w:rFonts w:ascii="Georgia"/>
                <w:spacing w:val="-9"/>
                <w:w w:val="170"/>
                <w:sz w:val="8"/>
              </w:rPr>
              <w:t> </w:t>
            </w:r>
            <w:r>
              <w:rPr>
                <w:rFonts w:ascii="Georgia"/>
                <w:w w:val="170"/>
                <w:sz w:val="8"/>
              </w:rPr>
              <w:t>igilancia</w:t>
            </w:r>
            <w:r>
              <w:rPr>
                <w:rFonts w:ascii="Georgia"/>
                <w:spacing w:val="22"/>
                <w:w w:val="170"/>
                <w:sz w:val="8"/>
              </w:rPr>
              <w:t> </w:t>
            </w:r>
            <w:r>
              <w:rPr>
                <w:rFonts w:ascii="Georgia"/>
                <w:w w:val="170"/>
                <w:sz w:val="8"/>
              </w:rPr>
              <w:t>y</w:t>
            </w:r>
            <w:r>
              <w:rPr>
                <w:rFonts w:ascii="Georgia"/>
                <w:spacing w:val="40"/>
                <w:w w:val="170"/>
                <w:sz w:val="8"/>
              </w:rPr>
              <w:t> </w:t>
            </w:r>
            <w:r>
              <w:rPr>
                <w:rFonts w:ascii="Georgia"/>
                <w:spacing w:val="-4"/>
                <w:w w:val="170"/>
                <w:sz w:val="8"/>
              </w:rPr>
              <w:t>contr</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10"/>
                <w:w w:val="170"/>
                <w:sz w:val="8"/>
              </w:rPr>
              <w:t> </w:t>
            </w:r>
            <w:r>
              <w:rPr>
                <w:rFonts w:ascii="Georgia"/>
                <w:i/>
                <w:w w:val="170"/>
                <w:sz w:val="8"/>
              </w:rPr>
              <w:t>2501</w:t>
            </w:r>
            <w:r>
              <w:rPr>
                <w:rFonts w:ascii="Georgia"/>
                <w:i/>
                <w:spacing w:val="-9"/>
                <w:w w:val="170"/>
                <w:sz w:val="8"/>
              </w:rPr>
              <w:t> </w:t>
            </w:r>
            <w:r>
              <w:rPr>
                <w:rFonts w:ascii="Georgia"/>
                <w:i/>
                <w:w w:val="170"/>
                <w:sz w:val="8"/>
              </w:rPr>
              <w:t>1</w:t>
            </w:r>
            <w:r>
              <w:rPr>
                <w:rFonts w:ascii="Georgia"/>
                <w:i/>
                <w:spacing w:val="-9"/>
                <w:w w:val="170"/>
                <w:sz w:val="8"/>
              </w:rPr>
              <w:t> </w:t>
            </w:r>
            <w:r>
              <w:rPr>
                <w:rFonts w:ascii="Georgia"/>
                <w:i/>
                <w:spacing w:val="-4"/>
                <w:w w:val="170"/>
                <w:sz w:val="8"/>
              </w:rPr>
              <w:t>0991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9902</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8"/>
                <w:w w:val="170"/>
                <w:sz w:val="8"/>
              </w:rPr>
              <w:t> </w:t>
            </w:r>
            <w:r>
              <w:rPr>
                <w:rFonts w:ascii="Georgia" w:hAnsi="Georgia"/>
                <w:w w:val="170"/>
                <w:sz w:val="8"/>
              </w:rPr>
              <w:t>y</w:t>
            </w:r>
            <w:r>
              <w:rPr>
                <w:rFonts w:ascii="Georgia" w:hAnsi="Georgia"/>
                <w:spacing w:val="37"/>
                <w:w w:val="170"/>
                <w:sz w:val="8"/>
              </w:rPr>
              <w:t> </w:t>
            </w:r>
            <w:r>
              <w:rPr>
                <w:rFonts w:ascii="Georgia" w:hAnsi="Georgia"/>
                <w:w w:val="170"/>
                <w:sz w:val="8"/>
              </w:rPr>
              <w:t>mobiliario</w:t>
            </w:r>
            <w:r>
              <w:rPr>
                <w:rFonts w:ascii="Georgia" w:hAnsi="Georgia"/>
                <w:spacing w:val="29"/>
                <w:w w:val="170"/>
                <w:sz w:val="8"/>
              </w:rPr>
              <w:t> </w:t>
            </w:r>
            <w:r>
              <w:rPr>
                <w:rFonts w:ascii="Georgia" w:hAnsi="Georgia"/>
                <w:spacing w:val="-2"/>
                <w:w w:val="170"/>
                <w:sz w:val="8"/>
              </w:rPr>
              <w:t>doméstico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99021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9903</w:t>
            </w:r>
          </w:p>
        </w:tc>
        <w:tc>
          <w:tcPr>
            <w:tcW w:w="3427"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Equipos</w:t>
            </w:r>
            <w:r>
              <w:rPr>
                <w:rFonts w:ascii="Georgia" w:hAnsi="Georgia"/>
                <w:spacing w:val="17"/>
                <w:w w:val="170"/>
                <w:sz w:val="8"/>
              </w:rPr>
              <w:t> </w:t>
            </w:r>
            <w:r>
              <w:rPr>
                <w:rFonts w:ascii="Georgia" w:hAnsi="Georgia"/>
                <w:w w:val="170"/>
                <w:sz w:val="8"/>
              </w:rPr>
              <w:t>fotográfico</w:t>
            </w:r>
            <w:r>
              <w:rPr>
                <w:rFonts w:ascii="Georgia" w:hAnsi="Georgia"/>
                <w:spacing w:val="28"/>
                <w:w w:val="170"/>
                <w:sz w:val="8"/>
              </w:rPr>
              <w:t> </w:t>
            </w:r>
            <w:r>
              <w:rPr>
                <w:rFonts w:ascii="Georgia" w:hAnsi="Georgia"/>
                <w:w w:val="170"/>
                <w:sz w:val="8"/>
              </w:rPr>
              <w:t>y</w:t>
            </w:r>
            <w:r>
              <w:rPr>
                <w:rFonts w:ascii="Georgia" w:hAnsi="Georgia"/>
                <w:spacing w:val="37"/>
                <w:w w:val="170"/>
                <w:sz w:val="8"/>
              </w:rPr>
              <w:t> </w:t>
            </w:r>
            <w:r>
              <w:rPr>
                <w:rFonts w:ascii="Georgia" w:hAnsi="Georgia"/>
                <w:w w:val="170"/>
                <w:sz w:val="8"/>
              </w:rPr>
              <w:t>de</w:t>
            </w:r>
            <w:r>
              <w:rPr>
                <w:rFonts w:ascii="Georgia" w:hAnsi="Georgia"/>
                <w:spacing w:val="25"/>
                <w:w w:val="170"/>
                <w:sz w:val="8"/>
              </w:rPr>
              <w:t> </w:t>
            </w:r>
            <w:r>
              <w:rPr>
                <w:rFonts w:ascii="Georgia" w:hAnsi="Georgia"/>
                <w:w w:val="170"/>
                <w:sz w:val="8"/>
              </w:rPr>
              <w:t>rev</w:t>
            </w:r>
            <w:r>
              <w:rPr>
                <w:rFonts w:ascii="Georgia" w:hAnsi="Georgia"/>
                <w:spacing w:val="-11"/>
                <w:w w:val="170"/>
                <w:sz w:val="8"/>
              </w:rPr>
              <w:t> </w:t>
            </w:r>
            <w:r>
              <w:rPr>
                <w:rFonts w:ascii="Georgia" w:hAnsi="Georgia"/>
                <w:spacing w:val="-2"/>
                <w:w w:val="170"/>
                <w:sz w:val="8"/>
              </w:rPr>
              <w:t>elado</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35"/>
              <w:jc w:val="right"/>
              <w:rPr>
                <w:rFonts w:ascii="Georgia"/>
                <w:sz w:val="8"/>
              </w:rPr>
            </w:pPr>
            <w:r>
              <w:rPr>
                <w:rFonts w:ascii="Georgia"/>
                <w:spacing w:val="-10"/>
                <w:w w:val="170"/>
                <w:sz w:val="8"/>
              </w:rPr>
              <w:t>5</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99031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4"/>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9904</w:t>
            </w:r>
          </w:p>
        </w:tc>
        <w:tc>
          <w:tcPr>
            <w:tcW w:w="3427"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Equipos</w:t>
            </w:r>
            <w:r>
              <w:rPr>
                <w:rFonts w:ascii="Georgia" w:hAnsi="Georgia"/>
                <w:spacing w:val="15"/>
                <w:w w:val="170"/>
                <w:sz w:val="8"/>
              </w:rPr>
              <w:t> </w:t>
            </w:r>
            <w:r>
              <w:rPr>
                <w:rFonts w:ascii="Georgia" w:hAnsi="Georgia"/>
                <w:w w:val="170"/>
                <w:sz w:val="8"/>
              </w:rPr>
              <w:t>y</w:t>
            </w:r>
            <w:r>
              <w:rPr>
                <w:rFonts w:ascii="Georgia" w:hAnsi="Georgia"/>
                <w:spacing w:val="33"/>
                <w:w w:val="170"/>
                <w:sz w:val="8"/>
              </w:rPr>
              <w:t> </w:t>
            </w:r>
            <w:r>
              <w:rPr>
                <w:rFonts w:ascii="Georgia" w:hAnsi="Georgia"/>
                <w:w w:val="170"/>
                <w:sz w:val="8"/>
              </w:rPr>
              <w:t>mobiliario</w:t>
            </w:r>
            <w:r>
              <w:rPr>
                <w:rFonts w:ascii="Georgia" w:hAnsi="Georgia"/>
                <w:spacing w:val="25"/>
                <w:w w:val="170"/>
                <w:sz w:val="8"/>
              </w:rPr>
              <w:t> </w:t>
            </w:r>
            <w:r>
              <w:rPr>
                <w:rFonts w:ascii="Georgia" w:hAnsi="Georgia"/>
                <w:w w:val="170"/>
                <w:sz w:val="8"/>
              </w:rPr>
              <w:t>de</w:t>
            </w:r>
            <w:r>
              <w:rPr>
                <w:rFonts w:ascii="Georgia" w:hAnsi="Georgia"/>
                <w:spacing w:val="21"/>
                <w:w w:val="170"/>
                <w:sz w:val="8"/>
              </w:rPr>
              <w:t> </w:t>
            </w:r>
            <w:r>
              <w:rPr>
                <w:rFonts w:ascii="Georgia" w:hAnsi="Georgia"/>
                <w:w w:val="170"/>
                <w:sz w:val="8"/>
              </w:rPr>
              <w:t>ingeniería</w:t>
            </w:r>
            <w:r>
              <w:rPr>
                <w:rFonts w:ascii="Georgia" w:hAnsi="Georgia"/>
                <w:spacing w:val="16"/>
                <w:w w:val="170"/>
                <w:sz w:val="8"/>
              </w:rPr>
              <w:t> </w:t>
            </w:r>
            <w:r>
              <w:rPr>
                <w:rFonts w:ascii="Georgia" w:hAnsi="Georgia"/>
                <w:w w:val="170"/>
                <w:sz w:val="8"/>
              </w:rPr>
              <w:t>y</w:t>
            </w:r>
            <w:r>
              <w:rPr>
                <w:rFonts w:ascii="Georgia" w:hAnsi="Georgia"/>
                <w:spacing w:val="34"/>
                <w:w w:val="170"/>
                <w:sz w:val="8"/>
              </w:rPr>
              <w:t> </w:t>
            </w:r>
            <w:r>
              <w:rPr>
                <w:rFonts w:ascii="Georgia" w:hAnsi="Georgia"/>
                <w:spacing w:val="-2"/>
                <w:w w:val="170"/>
                <w:sz w:val="8"/>
              </w:rPr>
              <w:t>dibujo</w:t>
            </w:r>
          </w:p>
        </w:tc>
        <w:tc>
          <w:tcPr>
            <w:tcW w:w="1562" w:type="dxa"/>
            <w:tcBorders>
              <w:left w:val="single" w:sz="6" w:space="0" w:color="000000"/>
              <w:right w:val="single" w:sz="6" w:space="0" w:color="000000"/>
            </w:tcBorders>
          </w:tcPr>
          <w:p>
            <w:pPr>
              <w:pStyle w:val="TableParagraph"/>
              <w:spacing w:line="88" w:lineRule="exact" w:before="4"/>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4"/>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4"/>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99041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spacing w:val="4"/>
                <w:w w:val="170"/>
                <w:sz w:val="8"/>
              </w:rPr>
              <w:t>501</w:t>
            </w:r>
            <w:r>
              <w:rPr>
                <w:rFonts w:ascii="Georgia"/>
                <w:spacing w:val="-10"/>
                <w:w w:val="170"/>
                <w:sz w:val="8"/>
              </w:rPr>
              <w:t> </w:t>
            </w:r>
            <w:r>
              <w:rPr>
                <w:rFonts w:ascii="Georgia"/>
                <w:spacing w:val="-4"/>
                <w:w w:val="170"/>
                <w:sz w:val="8"/>
              </w:rPr>
              <w:t>9999</w:t>
            </w:r>
          </w:p>
        </w:tc>
        <w:tc>
          <w:tcPr>
            <w:tcW w:w="3427" w:type="dxa"/>
            <w:tcBorders>
              <w:left w:val="single" w:sz="6" w:space="0" w:color="000000"/>
              <w:right w:val="single" w:sz="6" w:space="0" w:color="000000"/>
            </w:tcBorders>
          </w:tcPr>
          <w:p>
            <w:pPr>
              <w:pStyle w:val="TableParagraph"/>
              <w:spacing w:line="88" w:lineRule="exact" w:before="3"/>
              <w:ind w:left="33"/>
              <w:rPr>
                <w:rFonts w:ascii="Georgia"/>
                <w:sz w:val="8"/>
              </w:rPr>
            </w:pPr>
            <w:r>
              <w:rPr>
                <w:rFonts w:ascii="Georgia"/>
                <w:w w:val="170"/>
                <w:sz w:val="8"/>
              </w:rPr>
              <w:t>Otras</w:t>
            </w:r>
            <w:r>
              <w:rPr>
                <w:rFonts w:ascii="Georgia"/>
                <w:spacing w:val="25"/>
                <w:w w:val="170"/>
                <w:sz w:val="8"/>
              </w:rPr>
              <w:t> </w:t>
            </w:r>
            <w:r>
              <w:rPr>
                <w:rFonts w:ascii="Georgia"/>
                <w:w w:val="170"/>
                <w:sz w:val="8"/>
              </w:rPr>
              <w:t>maquinarias,</w:t>
            </w:r>
            <w:r>
              <w:rPr>
                <w:rFonts w:ascii="Georgia"/>
                <w:spacing w:val="27"/>
                <w:w w:val="170"/>
                <w:sz w:val="8"/>
              </w:rPr>
              <w:t> </w:t>
            </w:r>
            <w:r>
              <w:rPr>
                <w:rFonts w:ascii="Georgia"/>
                <w:w w:val="170"/>
                <w:sz w:val="8"/>
              </w:rPr>
              <w:t>equipos</w:t>
            </w:r>
            <w:r>
              <w:rPr>
                <w:rFonts w:ascii="Georgia"/>
                <w:spacing w:val="25"/>
                <w:w w:val="170"/>
                <w:sz w:val="8"/>
              </w:rPr>
              <w:t> </w:t>
            </w:r>
            <w:r>
              <w:rPr>
                <w:rFonts w:ascii="Georgia"/>
                <w:w w:val="170"/>
                <w:sz w:val="8"/>
              </w:rPr>
              <w:t>y</w:t>
            </w:r>
            <w:r>
              <w:rPr>
                <w:rFonts w:ascii="Georgia"/>
                <w:spacing w:val="48"/>
                <w:w w:val="170"/>
                <w:sz w:val="8"/>
              </w:rPr>
              <w:t> </w:t>
            </w:r>
            <w:r>
              <w:rPr>
                <w:rFonts w:ascii="Georgia"/>
                <w:w w:val="170"/>
                <w:sz w:val="8"/>
              </w:rPr>
              <w:t>mobiliarios</w:t>
            </w:r>
            <w:r>
              <w:rPr>
                <w:rFonts w:ascii="Georgia"/>
                <w:spacing w:val="25"/>
                <w:w w:val="170"/>
                <w:sz w:val="8"/>
              </w:rPr>
              <w:t> </w:t>
            </w:r>
            <w:r>
              <w:rPr>
                <w:rFonts w:ascii="Georgia"/>
                <w:w w:val="170"/>
                <w:sz w:val="8"/>
              </w:rPr>
              <w:t>div</w:t>
            </w:r>
            <w:r>
              <w:rPr>
                <w:rFonts w:ascii="Georgia"/>
                <w:spacing w:val="-7"/>
                <w:w w:val="170"/>
                <w:sz w:val="8"/>
              </w:rPr>
              <w:t> </w:t>
            </w:r>
            <w:r>
              <w:rPr>
                <w:rFonts w:ascii="Georgia"/>
                <w:spacing w:val="-4"/>
                <w:w w:val="170"/>
                <w:sz w:val="8"/>
              </w:rPr>
              <w:t>ersos</w:t>
            </w:r>
          </w:p>
        </w:tc>
        <w:tc>
          <w:tcPr>
            <w:tcW w:w="1562" w:type="dxa"/>
            <w:tcBorders>
              <w:left w:val="single" w:sz="6" w:space="0" w:color="000000"/>
              <w:right w:val="single" w:sz="6" w:space="0" w:color="000000"/>
            </w:tcBorders>
          </w:tcPr>
          <w:p>
            <w:pPr>
              <w:pStyle w:val="TableParagraph"/>
              <w:spacing w:line="88" w:lineRule="exact" w:before="3"/>
              <w:ind w:left="33"/>
              <w:rPr>
                <w:rFonts w:ascii="Georgia" w:hAnsi="Georgia"/>
                <w:sz w:val="8"/>
              </w:rPr>
            </w:pPr>
            <w:r>
              <w:rPr>
                <w:rFonts w:ascii="Georgia" w:hAnsi="Georgia"/>
                <w:w w:val="170"/>
                <w:sz w:val="8"/>
              </w:rPr>
              <w:t>Línea</w:t>
            </w:r>
            <w:r>
              <w:rPr>
                <w:rFonts w:ascii="Georgia" w:hAnsi="Georgia"/>
                <w:spacing w:val="14"/>
                <w:w w:val="170"/>
                <w:sz w:val="8"/>
              </w:rPr>
              <w:t> </w:t>
            </w:r>
            <w:r>
              <w:rPr>
                <w:rFonts w:ascii="Georgia" w:hAnsi="Georgia"/>
                <w:spacing w:val="-2"/>
                <w:w w:val="170"/>
                <w:sz w:val="8"/>
              </w:rPr>
              <w:t>Recta</w:t>
            </w:r>
          </w:p>
        </w:tc>
        <w:tc>
          <w:tcPr>
            <w:tcW w:w="776" w:type="dxa"/>
            <w:tcBorders>
              <w:left w:val="single" w:sz="6" w:space="0" w:color="000000"/>
              <w:right w:val="single" w:sz="6" w:space="0" w:color="000000"/>
            </w:tcBorders>
          </w:tcPr>
          <w:p>
            <w:pPr>
              <w:pStyle w:val="TableParagraph"/>
              <w:spacing w:line="88" w:lineRule="exact" w:before="3"/>
              <w:ind w:right="19"/>
              <w:jc w:val="right"/>
              <w:rPr>
                <w:rFonts w:ascii="Georgia"/>
                <w:sz w:val="8"/>
              </w:rPr>
            </w:pPr>
            <w:r>
              <w:rPr>
                <w:rFonts w:ascii="Georgia"/>
                <w:spacing w:val="-5"/>
                <w:w w:val="170"/>
                <w:sz w:val="8"/>
              </w:rPr>
              <w:t>10</w:t>
            </w:r>
            <w:r>
              <w:rPr>
                <w:rFonts w:ascii="Georgia"/>
                <w:spacing w:val="40"/>
                <w:w w:val="170"/>
                <w:sz w:val="8"/>
              </w:rPr>
              <w:t> </w:t>
            </w:r>
          </w:p>
        </w:tc>
        <w:tc>
          <w:tcPr>
            <w:tcW w:w="1248" w:type="dxa"/>
            <w:tcBorders>
              <w:left w:val="single" w:sz="6" w:space="0" w:color="000000"/>
              <w:right w:val="single" w:sz="6" w:space="0" w:color="000000"/>
            </w:tcBorders>
          </w:tcPr>
          <w:p>
            <w:pPr>
              <w:pStyle w:val="TableParagraph"/>
              <w:spacing w:line="88" w:lineRule="exact" w:before="3"/>
              <w:ind w:left="33"/>
              <w:rPr>
                <w:rFonts w:ascii="Georgia"/>
                <w:i/>
                <w:sz w:val="8"/>
              </w:rPr>
            </w:pPr>
            <w:r>
              <w:rPr>
                <w:rFonts w:ascii="Georgia"/>
                <w:i/>
                <w:w w:val="170"/>
                <w:sz w:val="8"/>
              </w:rPr>
              <w:t>1</w:t>
            </w:r>
            <w:r>
              <w:rPr>
                <w:rFonts w:ascii="Georgia"/>
                <w:i/>
                <w:spacing w:val="-5"/>
                <w:w w:val="170"/>
                <w:sz w:val="8"/>
              </w:rPr>
              <w:t> </w:t>
            </w:r>
            <w:r>
              <w:rPr>
                <w:rFonts w:ascii="Georgia"/>
                <w:i/>
                <w:w w:val="170"/>
                <w:sz w:val="8"/>
              </w:rPr>
              <w:t>2501</w:t>
            </w:r>
            <w:r>
              <w:rPr>
                <w:rFonts w:ascii="Georgia"/>
                <w:i/>
                <w:spacing w:val="-5"/>
                <w:w w:val="170"/>
                <w:sz w:val="8"/>
              </w:rPr>
              <w:t> </w:t>
            </w:r>
            <w:r>
              <w:rPr>
                <w:rFonts w:ascii="Georgia"/>
                <w:i/>
                <w:spacing w:val="-2"/>
                <w:w w:val="170"/>
                <w:sz w:val="8"/>
              </w:rPr>
              <w:t>99991</w:t>
            </w: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left w:val="single" w:sz="6" w:space="0" w:color="DFDFDF"/>
              <w:bottom w:val="single" w:sz="4" w:space="0" w:color="DFDFDF"/>
              <w:right w:val="single" w:sz="6" w:space="0" w:color="000000"/>
            </w:tcBorders>
          </w:tcPr>
          <w:p>
            <w:pPr>
              <w:pStyle w:val="TableParagraph"/>
              <w:rPr>
                <w:rFonts w:ascii="Times New Roman"/>
                <w:sz w:val="6"/>
              </w:rPr>
            </w:pPr>
          </w:p>
        </w:tc>
        <w:tc>
          <w:tcPr>
            <w:tcW w:w="5765" w:type="dxa"/>
            <w:gridSpan w:val="3"/>
            <w:tcBorders>
              <w:left w:val="single" w:sz="6" w:space="0" w:color="000000"/>
              <w:bottom w:val="single" w:sz="4" w:space="0" w:color="DFDFDF"/>
              <w:right w:val="single" w:sz="6" w:space="0" w:color="DFDFDF"/>
            </w:tcBorders>
          </w:tcPr>
          <w:p>
            <w:pPr>
              <w:pStyle w:val="TableParagraph"/>
              <w:spacing w:line="88" w:lineRule="exact" w:before="4"/>
              <w:ind w:left="33"/>
              <w:rPr>
                <w:rFonts w:ascii="Georgia" w:hAnsi="Georgia"/>
                <w:sz w:val="8"/>
              </w:rPr>
            </w:pPr>
            <w:r>
              <w:rPr>
                <w:rFonts w:ascii="Georgia" w:hAnsi="Georgia"/>
                <w:w w:val="170"/>
                <w:sz w:val="8"/>
              </w:rPr>
              <w:t>**</w:t>
            </w:r>
            <w:r>
              <w:rPr>
                <w:rFonts w:ascii="Georgia" w:hAnsi="Georgia"/>
                <w:spacing w:val="22"/>
                <w:w w:val="170"/>
                <w:sz w:val="8"/>
              </w:rPr>
              <w:t> </w:t>
            </w:r>
            <w:r>
              <w:rPr>
                <w:rFonts w:ascii="Georgia" w:hAnsi="Georgia"/>
                <w:w w:val="170"/>
                <w:sz w:val="8"/>
              </w:rPr>
              <w:t>Los</w:t>
            </w:r>
            <w:r>
              <w:rPr>
                <w:rFonts w:ascii="Georgia" w:hAnsi="Georgia"/>
                <w:spacing w:val="16"/>
                <w:w w:val="170"/>
                <w:sz w:val="8"/>
              </w:rPr>
              <w:t> </w:t>
            </w:r>
            <w:r>
              <w:rPr>
                <w:rFonts w:ascii="Georgia" w:hAnsi="Georgia"/>
                <w:w w:val="170"/>
                <w:sz w:val="8"/>
              </w:rPr>
              <w:t>activ</w:t>
            </w:r>
            <w:r>
              <w:rPr>
                <w:rFonts w:ascii="Georgia" w:hAnsi="Georgia"/>
                <w:spacing w:val="-11"/>
                <w:w w:val="170"/>
                <w:sz w:val="8"/>
              </w:rPr>
              <w:t> </w:t>
            </w:r>
            <w:r>
              <w:rPr>
                <w:rFonts w:ascii="Georgia" w:hAnsi="Georgia"/>
                <w:w w:val="170"/>
                <w:sz w:val="8"/>
              </w:rPr>
              <w:t>os</w:t>
            </w:r>
            <w:r>
              <w:rPr>
                <w:rFonts w:ascii="Georgia" w:hAnsi="Georgia"/>
                <w:spacing w:val="16"/>
                <w:w w:val="170"/>
                <w:sz w:val="8"/>
              </w:rPr>
              <w:t> </w:t>
            </w:r>
            <w:r>
              <w:rPr>
                <w:rFonts w:ascii="Georgia" w:hAnsi="Georgia"/>
                <w:w w:val="170"/>
                <w:sz w:val="8"/>
              </w:rPr>
              <w:t>pueden</w:t>
            </w:r>
            <w:r>
              <w:rPr>
                <w:rFonts w:ascii="Georgia" w:hAnsi="Georgia"/>
                <w:spacing w:val="16"/>
                <w:w w:val="170"/>
                <w:sz w:val="8"/>
              </w:rPr>
              <w:t> </w:t>
            </w:r>
            <w:r>
              <w:rPr>
                <w:rFonts w:ascii="Georgia" w:hAnsi="Georgia"/>
                <w:w w:val="170"/>
                <w:sz w:val="8"/>
              </w:rPr>
              <w:t>presentar</w:t>
            </w:r>
            <w:r>
              <w:rPr>
                <w:rFonts w:ascii="Georgia" w:hAnsi="Georgia"/>
                <w:spacing w:val="20"/>
                <w:w w:val="170"/>
                <w:sz w:val="8"/>
              </w:rPr>
              <w:t> </w:t>
            </w:r>
            <w:r>
              <w:rPr>
                <w:rFonts w:ascii="Georgia" w:hAnsi="Georgia"/>
                <w:w w:val="170"/>
                <w:sz w:val="8"/>
              </w:rPr>
              <w:t>v</w:t>
            </w:r>
            <w:r>
              <w:rPr>
                <w:rFonts w:ascii="Georgia" w:hAnsi="Georgia"/>
                <w:spacing w:val="-11"/>
                <w:w w:val="170"/>
                <w:sz w:val="8"/>
              </w:rPr>
              <w:t> </w:t>
            </w:r>
            <w:r>
              <w:rPr>
                <w:rFonts w:ascii="Georgia" w:hAnsi="Georgia"/>
                <w:w w:val="170"/>
                <w:sz w:val="8"/>
              </w:rPr>
              <w:t>aríación</w:t>
            </w:r>
            <w:r>
              <w:rPr>
                <w:rFonts w:ascii="Georgia" w:hAnsi="Georgia"/>
                <w:spacing w:val="16"/>
                <w:w w:val="170"/>
                <w:sz w:val="8"/>
              </w:rPr>
              <w:t> </w:t>
            </w:r>
            <w:r>
              <w:rPr>
                <w:rFonts w:ascii="Georgia" w:hAnsi="Georgia"/>
                <w:w w:val="170"/>
                <w:sz w:val="8"/>
              </w:rPr>
              <w:t>de</w:t>
            </w:r>
            <w:r>
              <w:rPr>
                <w:rFonts w:ascii="Georgia" w:hAnsi="Georgia"/>
                <w:spacing w:val="22"/>
                <w:w w:val="170"/>
                <w:sz w:val="8"/>
              </w:rPr>
              <w:t> </w:t>
            </w:r>
            <w:r>
              <w:rPr>
                <w:rFonts w:ascii="Georgia" w:hAnsi="Georgia"/>
                <w:w w:val="170"/>
                <w:sz w:val="8"/>
              </w:rPr>
              <w:t>la</w:t>
            </w:r>
            <w:r>
              <w:rPr>
                <w:rFonts w:ascii="Georgia" w:hAnsi="Georgia"/>
                <w:spacing w:val="17"/>
                <w:w w:val="170"/>
                <w:sz w:val="8"/>
              </w:rPr>
              <w:t> </w:t>
            </w:r>
            <w:r>
              <w:rPr>
                <w:rFonts w:ascii="Georgia" w:hAnsi="Georgia"/>
                <w:w w:val="170"/>
                <w:sz w:val="8"/>
              </w:rPr>
              <w:t>v</w:t>
            </w:r>
            <w:r>
              <w:rPr>
                <w:rFonts w:ascii="Georgia" w:hAnsi="Georgia"/>
                <w:spacing w:val="-11"/>
                <w:w w:val="170"/>
                <w:sz w:val="8"/>
              </w:rPr>
              <w:t> </w:t>
            </w:r>
            <w:r>
              <w:rPr>
                <w:rFonts w:ascii="Georgia" w:hAnsi="Georgia"/>
                <w:w w:val="170"/>
                <w:sz w:val="8"/>
              </w:rPr>
              <w:t>ida</w:t>
            </w:r>
            <w:r>
              <w:rPr>
                <w:rFonts w:ascii="Georgia" w:hAnsi="Georgia"/>
                <w:spacing w:val="17"/>
                <w:w w:val="170"/>
                <w:sz w:val="8"/>
              </w:rPr>
              <w:t> </w:t>
            </w:r>
            <w:r>
              <w:rPr>
                <w:rFonts w:ascii="Georgia" w:hAnsi="Georgia"/>
                <w:w w:val="170"/>
                <w:sz w:val="8"/>
              </w:rPr>
              <w:t>útil</w:t>
            </w:r>
            <w:r>
              <w:rPr>
                <w:rFonts w:ascii="Georgia" w:hAnsi="Georgia"/>
                <w:spacing w:val="15"/>
                <w:w w:val="170"/>
                <w:sz w:val="8"/>
              </w:rPr>
              <w:t> </w:t>
            </w:r>
            <w:r>
              <w:rPr>
                <w:rFonts w:ascii="Georgia" w:hAnsi="Georgia"/>
                <w:w w:val="170"/>
                <w:sz w:val="8"/>
              </w:rPr>
              <w:t>de</w:t>
            </w:r>
            <w:r>
              <w:rPr>
                <w:rFonts w:ascii="Georgia" w:hAnsi="Georgia"/>
                <w:spacing w:val="22"/>
                <w:w w:val="170"/>
                <w:sz w:val="8"/>
              </w:rPr>
              <w:t> </w:t>
            </w:r>
            <w:r>
              <w:rPr>
                <w:rFonts w:ascii="Georgia" w:hAnsi="Georgia"/>
                <w:w w:val="170"/>
                <w:sz w:val="8"/>
              </w:rPr>
              <w:t>acuerdo</w:t>
            </w:r>
            <w:r>
              <w:rPr>
                <w:rFonts w:ascii="Georgia" w:hAnsi="Georgia"/>
                <w:spacing w:val="25"/>
                <w:w w:val="170"/>
                <w:sz w:val="8"/>
              </w:rPr>
              <w:t> </w:t>
            </w:r>
            <w:r>
              <w:rPr>
                <w:rFonts w:ascii="Georgia" w:hAnsi="Georgia"/>
                <w:w w:val="170"/>
                <w:sz w:val="8"/>
              </w:rPr>
              <w:t>a</w:t>
            </w:r>
            <w:r>
              <w:rPr>
                <w:rFonts w:ascii="Georgia" w:hAnsi="Georgia"/>
                <w:spacing w:val="18"/>
                <w:w w:val="170"/>
                <w:sz w:val="8"/>
              </w:rPr>
              <w:t> </w:t>
            </w:r>
            <w:r>
              <w:rPr>
                <w:rFonts w:ascii="Georgia" w:hAnsi="Georgia"/>
                <w:w w:val="170"/>
                <w:sz w:val="8"/>
              </w:rPr>
              <w:t>sus</w:t>
            </w:r>
            <w:r>
              <w:rPr>
                <w:rFonts w:ascii="Georgia" w:hAnsi="Georgia"/>
                <w:spacing w:val="15"/>
                <w:w w:val="170"/>
                <w:sz w:val="8"/>
              </w:rPr>
              <w:t> </w:t>
            </w:r>
            <w:r>
              <w:rPr>
                <w:rFonts w:ascii="Georgia" w:hAnsi="Georgia"/>
                <w:spacing w:val="-2"/>
                <w:w w:val="170"/>
                <w:sz w:val="8"/>
              </w:rPr>
              <w:t>capacidades</w:t>
            </w:r>
          </w:p>
        </w:tc>
        <w:tc>
          <w:tcPr>
            <w:tcW w:w="1248" w:type="dxa"/>
            <w:tcBorders>
              <w:left w:val="single" w:sz="6" w:space="0" w:color="DFDFDF"/>
              <w:bottom w:val="single" w:sz="4" w:space="0" w:color="DFDFDF"/>
              <w:right w:val="single" w:sz="6" w:space="0" w:color="DFDFDF"/>
            </w:tcBorders>
          </w:tcPr>
          <w:p>
            <w:pPr>
              <w:pStyle w:val="TableParagraph"/>
              <w:rPr>
                <w:rFonts w:ascii="Times New Roman"/>
                <w:sz w:val="6"/>
              </w:rPr>
            </w:pPr>
          </w:p>
        </w:tc>
        <w:tc>
          <w:tcPr>
            <w:tcW w:w="541" w:type="dxa"/>
            <w:vMerge/>
            <w:tcBorders>
              <w:top w:val="nil"/>
              <w:left w:val="single" w:sz="6" w:space="0" w:color="000000"/>
              <w:bottom w:val="nil"/>
            </w:tcBorders>
          </w:tcPr>
          <w:p>
            <w:pPr>
              <w:rPr>
                <w:sz w:val="2"/>
                <w:szCs w:val="2"/>
              </w:rPr>
            </w:pPr>
          </w:p>
        </w:tc>
      </w:tr>
      <w:tr>
        <w:trPr>
          <w:trHeight w:val="111" w:hRule="atLeast"/>
        </w:trPr>
        <w:tc>
          <w:tcPr>
            <w:tcW w:w="536" w:type="dxa"/>
            <w:vMerge/>
            <w:tcBorders>
              <w:top w:val="nil"/>
              <w:bottom w:val="nil"/>
              <w:right w:val="single" w:sz="6" w:space="0" w:color="000000"/>
            </w:tcBorders>
          </w:tcPr>
          <w:p>
            <w:pPr>
              <w:rPr>
                <w:sz w:val="2"/>
                <w:szCs w:val="2"/>
              </w:rPr>
            </w:pPr>
          </w:p>
        </w:tc>
        <w:tc>
          <w:tcPr>
            <w:tcW w:w="912" w:type="dxa"/>
            <w:tcBorders>
              <w:top w:val="single" w:sz="4" w:space="0" w:color="DFDFDF"/>
              <w:left w:val="single" w:sz="6" w:space="0" w:color="DFDFDF"/>
              <w:bottom w:val="single" w:sz="4" w:space="0" w:color="DFDFDF"/>
              <w:right w:val="single" w:sz="6" w:space="0" w:color="000000"/>
            </w:tcBorders>
          </w:tcPr>
          <w:p>
            <w:pPr>
              <w:pStyle w:val="TableParagraph"/>
              <w:spacing w:before="5"/>
              <w:rPr>
                <w:sz w:val="10"/>
              </w:rPr>
            </w:pPr>
          </w:p>
          <w:p>
            <w:pPr>
              <w:pStyle w:val="TableParagraph"/>
              <w:spacing w:line="20" w:lineRule="exact"/>
              <w:ind w:left="903" w:right="-72"/>
              <w:rPr>
                <w:sz w:val="2"/>
              </w:rPr>
            </w:pPr>
            <w:r>
              <w:rPr>
                <w:sz w:val="2"/>
              </w:rPr>
              <mc:AlternateContent>
                <mc:Choice Requires="wps">
                  <w:drawing>
                    <wp:inline distT="0" distB="0" distL="0" distR="0">
                      <wp:extent cx="6985" cy="4445"/>
                      <wp:effectExtent l="0" t="0" r="0" b="0"/>
                      <wp:docPr id="927" name="Group 927"/>
                      <wp:cNvGraphicFramePr>
                        <a:graphicFrameLocks/>
                      </wp:cNvGraphicFramePr>
                      <a:graphic>
                        <a:graphicData uri="http://schemas.microsoft.com/office/word/2010/wordprocessingGroup">
                          <wpg:wgp>
                            <wpg:cNvPr id="927" name="Group 927"/>
                            <wpg:cNvGrpSpPr/>
                            <wpg:grpSpPr>
                              <a:xfrm>
                                <a:off x="0" y="0"/>
                                <a:ext cx="6985" cy="4445"/>
                                <a:chExt cx="6985" cy="4445"/>
                              </a:xfrm>
                            </wpg:grpSpPr>
                            <wps:wsp>
                              <wps:cNvPr id="928" name="Graphic 928"/>
                              <wps:cNvSpPr/>
                              <wps:spPr>
                                <a:xfrm>
                                  <a:off x="0" y="0"/>
                                  <a:ext cx="6985" cy="4445"/>
                                </a:xfrm>
                                <a:custGeom>
                                  <a:avLst/>
                                  <a:gdLst/>
                                  <a:ahLst/>
                                  <a:cxnLst/>
                                  <a:rect l="l" t="t" r="r" b="b"/>
                                  <a:pathLst>
                                    <a:path w="6985" h="4445">
                                      <a:moveTo>
                                        <a:pt x="0" y="1927"/>
                                      </a:moveTo>
                                      <a:lnTo>
                                        <a:pt x="973" y="564"/>
                                      </a:lnTo>
                                      <a:lnTo>
                                        <a:pt x="3323" y="0"/>
                                      </a:lnTo>
                                      <a:lnTo>
                                        <a:pt x="5673" y="564"/>
                                      </a:lnTo>
                                      <a:lnTo>
                                        <a:pt x="6646" y="1927"/>
                                      </a:lnTo>
                                      <a:lnTo>
                                        <a:pt x="5673" y="3290"/>
                                      </a:lnTo>
                                      <a:lnTo>
                                        <a:pt x="3323" y="3855"/>
                                      </a:lnTo>
                                      <a:lnTo>
                                        <a:pt x="973" y="3290"/>
                                      </a:lnTo>
                                      <a:lnTo>
                                        <a:pt x="0" y="1927"/>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style="width:.550pt;height:.35pt;mso-position-horizontal-relative:char;mso-position-vertical-relative:line" id="docshapegroup902" coordorigin="0,0" coordsize="11,7">
                      <v:shape style="position:absolute;left:0;top:0;width:11;height:7" id="docshape903" coordorigin="0,0" coordsize="11,7" path="m0,3l2,1,5,0,9,1,10,3,9,5,5,6,2,5,0,3xe" filled="true" fillcolor="#dfdfdf" stroked="false">
                        <v:path arrowok="t"/>
                        <v:fill type="solid"/>
                      </v:shape>
                    </v:group>
                  </w:pict>
                </mc:Fallback>
              </mc:AlternateContent>
            </w:r>
            <w:r>
              <w:rPr>
                <w:sz w:val="2"/>
              </w:rPr>
            </w:r>
          </w:p>
        </w:tc>
        <w:tc>
          <w:tcPr>
            <w:tcW w:w="3427" w:type="dxa"/>
            <w:tcBorders>
              <w:top w:val="single" w:sz="4" w:space="0" w:color="DFDFDF"/>
              <w:left w:val="single" w:sz="6" w:space="0" w:color="000000"/>
              <w:bottom w:val="single" w:sz="4" w:space="0" w:color="DFDFDF"/>
              <w:right w:val="single" w:sz="6" w:space="0" w:color="000000"/>
            </w:tcBorders>
          </w:tcPr>
          <w:p>
            <w:pPr>
              <w:pStyle w:val="TableParagraph"/>
              <w:spacing w:line="88" w:lineRule="exact" w:before="3"/>
              <w:ind w:left="33"/>
              <w:rPr>
                <w:rFonts w:ascii="Georgia"/>
                <w:sz w:val="8"/>
              </w:rPr>
            </w:pPr>
            <w:r>
              <w:rPr>
                <w:rFonts w:ascii="Georgia"/>
                <w:w w:val="170"/>
                <w:sz w:val="8"/>
              </w:rPr>
              <w:t>Fuente:</w:t>
            </w:r>
            <w:r>
              <w:rPr>
                <w:rFonts w:ascii="Georgia"/>
                <w:spacing w:val="52"/>
                <w:w w:val="170"/>
                <w:sz w:val="8"/>
              </w:rPr>
              <w:t> </w:t>
            </w:r>
            <w:r>
              <w:rPr>
                <w:rFonts w:ascii="Georgia"/>
                <w:w w:val="170"/>
                <w:sz w:val="8"/>
              </w:rPr>
              <w:t>Sistema</w:t>
            </w:r>
            <w:r>
              <w:rPr>
                <w:rFonts w:ascii="Georgia"/>
                <w:spacing w:val="17"/>
                <w:w w:val="170"/>
                <w:sz w:val="8"/>
              </w:rPr>
              <w:t> </w:t>
            </w:r>
            <w:r>
              <w:rPr>
                <w:rFonts w:ascii="Georgia"/>
                <w:w w:val="170"/>
                <w:sz w:val="8"/>
              </w:rPr>
              <w:t>SA</w:t>
            </w:r>
            <w:r>
              <w:rPr>
                <w:rFonts w:ascii="Georgia"/>
                <w:spacing w:val="-16"/>
                <w:w w:val="170"/>
                <w:sz w:val="8"/>
              </w:rPr>
              <w:t> </w:t>
            </w:r>
            <w:r>
              <w:rPr>
                <w:rFonts w:ascii="Georgia"/>
                <w:spacing w:val="-10"/>
                <w:w w:val="170"/>
                <w:sz w:val="8"/>
              </w:rPr>
              <w:t>P</w:t>
            </w:r>
          </w:p>
        </w:tc>
        <w:tc>
          <w:tcPr>
            <w:tcW w:w="1562" w:type="dxa"/>
            <w:tcBorders>
              <w:top w:val="single" w:sz="4" w:space="0" w:color="DFDFDF"/>
              <w:left w:val="single" w:sz="6" w:space="0" w:color="000000"/>
              <w:bottom w:val="single" w:sz="4" w:space="0" w:color="DFDFDF"/>
              <w:right w:val="single" w:sz="6" w:space="0" w:color="DFDFDF"/>
            </w:tcBorders>
          </w:tcPr>
          <w:p>
            <w:pPr>
              <w:pStyle w:val="TableParagraph"/>
              <w:spacing w:before="5"/>
              <w:rPr>
                <w:sz w:val="10"/>
              </w:rPr>
            </w:pPr>
          </w:p>
          <w:p>
            <w:pPr>
              <w:pStyle w:val="TableParagraph"/>
              <w:spacing w:line="20" w:lineRule="exact"/>
              <w:ind w:left="-9"/>
              <w:rPr>
                <w:sz w:val="2"/>
              </w:rPr>
            </w:pPr>
            <w:r>
              <w:rPr>
                <w:sz w:val="2"/>
              </w:rPr>
              <mc:AlternateContent>
                <mc:Choice Requires="wps">
                  <w:drawing>
                    <wp:inline distT="0" distB="0" distL="0" distR="0">
                      <wp:extent cx="6985" cy="4445"/>
                      <wp:effectExtent l="0" t="0" r="0" b="0"/>
                      <wp:docPr id="929" name="Group 929"/>
                      <wp:cNvGraphicFramePr>
                        <a:graphicFrameLocks/>
                      </wp:cNvGraphicFramePr>
                      <a:graphic>
                        <a:graphicData uri="http://schemas.microsoft.com/office/word/2010/wordprocessingGroup">
                          <wpg:wgp>
                            <wpg:cNvPr id="929" name="Group 929"/>
                            <wpg:cNvGrpSpPr/>
                            <wpg:grpSpPr>
                              <a:xfrm>
                                <a:off x="0" y="0"/>
                                <a:ext cx="6985" cy="4445"/>
                                <a:chExt cx="6985" cy="4445"/>
                              </a:xfrm>
                            </wpg:grpSpPr>
                            <wps:wsp>
                              <wps:cNvPr id="930" name="Graphic 930"/>
                              <wps:cNvSpPr/>
                              <wps:spPr>
                                <a:xfrm>
                                  <a:off x="0" y="0"/>
                                  <a:ext cx="6985" cy="4445"/>
                                </a:xfrm>
                                <a:custGeom>
                                  <a:avLst/>
                                  <a:gdLst/>
                                  <a:ahLst/>
                                  <a:cxnLst/>
                                  <a:rect l="l" t="t" r="r" b="b"/>
                                  <a:pathLst>
                                    <a:path w="6985" h="4445">
                                      <a:moveTo>
                                        <a:pt x="0" y="1927"/>
                                      </a:moveTo>
                                      <a:lnTo>
                                        <a:pt x="973" y="564"/>
                                      </a:lnTo>
                                      <a:lnTo>
                                        <a:pt x="3323" y="0"/>
                                      </a:lnTo>
                                      <a:lnTo>
                                        <a:pt x="5673" y="564"/>
                                      </a:lnTo>
                                      <a:lnTo>
                                        <a:pt x="6646" y="1927"/>
                                      </a:lnTo>
                                      <a:lnTo>
                                        <a:pt x="5673" y="3290"/>
                                      </a:lnTo>
                                      <a:lnTo>
                                        <a:pt x="3323" y="3855"/>
                                      </a:lnTo>
                                      <a:lnTo>
                                        <a:pt x="973" y="3290"/>
                                      </a:lnTo>
                                      <a:lnTo>
                                        <a:pt x="0" y="1927"/>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style="width:.550pt;height:.35pt;mso-position-horizontal-relative:char;mso-position-vertical-relative:line" id="docshapegroup904" coordorigin="0,0" coordsize="11,7">
                      <v:shape style="position:absolute;left:0;top:0;width:11;height:7" id="docshape905" coordorigin="0,0" coordsize="11,7" path="m0,3l2,1,5,0,9,1,10,3,9,5,5,6,2,5,0,3xe" filled="true" fillcolor="#dfdfdf" stroked="false">
                        <v:path arrowok="t"/>
                        <v:fill type="solid"/>
                      </v:shape>
                    </v:group>
                  </w:pict>
                </mc:Fallback>
              </mc:AlternateContent>
            </w:r>
            <w:r>
              <w:rPr>
                <w:sz w:val="2"/>
              </w:rPr>
            </w:r>
          </w:p>
        </w:tc>
        <w:tc>
          <w:tcPr>
            <w:tcW w:w="776" w:type="dxa"/>
            <w:tcBorders>
              <w:top w:val="single" w:sz="4" w:space="0" w:color="DFDFDF"/>
              <w:left w:val="single" w:sz="6" w:space="0" w:color="DFDFDF"/>
              <w:bottom w:val="single" w:sz="4" w:space="0" w:color="DFDFDF"/>
              <w:right w:val="single" w:sz="6" w:space="0" w:color="DFDFDF"/>
            </w:tcBorders>
          </w:tcPr>
          <w:p>
            <w:pPr>
              <w:pStyle w:val="TableParagraph"/>
              <w:rPr>
                <w:rFonts w:ascii="Times New Roman"/>
                <w:sz w:val="6"/>
              </w:rPr>
            </w:pPr>
          </w:p>
        </w:tc>
        <w:tc>
          <w:tcPr>
            <w:tcW w:w="1248" w:type="dxa"/>
            <w:tcBorders>
              <w:top w:val="single" w:sz="4" w:space="0" w:color="DFDFDF"/>
              <w:left w:val="single" w:sz="6" w:space="0" w:color="DFDFDF"/>
              <w:bottom w:val="single" w:sz="4" w:space="0" w:color="DFDFDF"/>
              <w:right w:val="single" w:sz="6" w:space="0" w:color="DFDFDF"/>
            </w:tcBorders>
          </w:tcPr>
          <w:p>
            <w:pPr>
              <w:pStyle w:val="TableParagraph"/>
              <w:rPr>
                <w:rFonts w:ascii="Times New Roman"/>
                <w:sz w:val="6"/>
              </w:rPr>
            </w:pPr>
          </w:p>
        </w:tc>
        <w:tc>
          <w:tcPr>
            <w:tcW w:w="541" w:type="dxa"/>
            <w:vMerge/>
            <w:tcBorders>
              <w:top w:val="nil"/>
              <w:left w:val="single" w:sz="6" w:space="0" w:color="000000"/>
              <w:bottom w:val="nil"/>
            </w:tcBorders>
          </w:tcPr>
          <w:p>
            <w:pPr>
              <w:rPr>
                <w:sz w:val="2"/>
                <w:szCs w:val="2"/>
              </w:rPr>
            </w:pPr>
          </w:p>
        </w:tc>
      </w:tr>
      <w:tr>
        <w:trPr>
          <w:trHeight w:val="152" w:hRule="atLeast"/>
        </w:trPr>
        <w:tc>
          <w:tcPr>
            <w:tcW w:w="9002" w:type="dxa"/>
            <w:gridSpan w:val="7"/>
            <w:tcBorders>
              <w:top w:val="nil"/>
            </w:tcBorders>
          </w:tcPr>
          <w:p>
            <w:pPr>
              <w:pStyle w:val="TableParagraph"/>
              <w:rPr>
                <w:rFonts w:ascii="Times New Roman"/>
                <w:sz w:val="8"/>
              </w:rPr>
            </w:pPr>
          </w:p>
        </w:tc>
      </w:tr>
    </w:tbl>
    <w:p>
      <w:pPr>
        <w:pStyle w:val="BodyText"/>
        <w:rPr>
          <w:sz w:val="20"/>
        </w:rPr>
      </w:pPr>
    </w:p>
    <w:p>
      <w:pPr>
        <w:pStyle w:val="BodyText"/>
        <w:rPr>
          <w:sz w:val="20"/>
        </w:rPr>
      </w:pPr>
    </w:p>
    <w:p>
      <w:pPr>
        <w:pStyle w:val="BodyText"/>
        <w:spacing w:before="24"/>
        <w:rPr>
          <w:sz w:val="20"/>
        </w:rPr>
      </w:pPr>
    </w:p>
    <w:p>
      <w:pPr>
        <w:pStyle w:val="ListParagraph"/>
        <w:numPr>
          <w:ilvl w:val="0"/>
          <w:numId w:val="80"/>
        </w:numPr>
        <w:tabs>
          <w:tab w:pos="1340" w:val="left" w:leader="none"/>
        </w:tabs>
        <w:spacing w:line="240" w:lineRule="auto" w:before="0" w:after="0"/>
        <w:ind w:left="1340" w:right="0" w:hanging="359"/>
        <w:jc w:val="left"/>
        <w:rPr>
          <w:sz w:val="22"/>
        </w:rPr>
      </w:pPr>
      <w:r>
        <w:rPr>
          <w:sz w:val="22"/>
          <w:u w:val="single"/>
        </w:rPr>
        <w:t>Gasto</w:t>
      </w:r>
      <w:r>
        <w:rPr>
          <w:spacing w:val="-7"/>
          <w:sz w:val="22"/>
          <w:u w:val="single"/>
        </w:rPr>
        <w:t> </w:t>
      </w:r>
      <w:r>
        <w:rPr>
          <w:sz w:val="22"/>
          <w:u w:val="single"/>
        </w:rPr>
        <w:t>por</w:t>
      </w:r>
      <w:r>
        <w:rPr>
          <w:spacing w:val="-4"/>
          <w:sz w:val="22"/>
          <w:u w:val="single"/>
        </w:rPr>
        <w:t> </w:t>
      </w:r>
      <w:r>
        <w:rPr>
          <w:sz w:val="22"/>
          <w:u w:val="single"/>
        </w:rPr>
        <w:t>Depreciación</w:t>
      </w:r>
      <w:r>
        <w:rPr>
          <w:spacing w:val="-5"/>
          <w:sz w:val="22"/>
          <w:u w:val="single"/>
        </w:rPr>
        <w:t> </w:t>
      </w:r>
      <w:r>
        <w:rPr>
          <w:sz w:val="22"/>
          <w:u w:val="single"/>
        </w:rPr>
        <w:t>(Párrafo</w:t>
      </w:r>
      <w:r>
        <w:rPr>
          <w:spacing w:val="-4"/>
          <w:sz w:val="22"/>
          <w:u w:val="single"/>
        </w:rPr>
        <w:t> </w:t>
      </w:r>
      <w:r>
        <w:rPr>
          <w:sz w:val="22"/>
          <w:u w:val="single"/>
        </w:rPr>
        <w:t>64-</w:t>
      </w:r>
      <w:r>
        <w:rPr>
          <w:spacing w:val="-5"/>
          <w:sz w:val="22"/>
          <w:u w:val="single"/>
        </w:rPr>
        <w:t>65)</w:t>
      </w:r>
    </w:p>
    <w:p>
      <w:pPr>
        <w:pStyle w:val="BodyText"/>
        <w:spacing w:before="55" w:after="1"/>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9"/>
        <w:gridCol w:w="6891"/>
        <w:gridCol w:w="730"/>
        <w:gridCol w:w="717"/>
      </w:tblGrid>
      <w:tr>
        <w:trPr>
          <w:trHeight w:val="931" w:hRule="atLeast"/>
        </w:trPr>
        <w:tc>
          <w:tcPr>
            <w:tcW w:w="8997" w:type="dxa"/>
            <w:gridSpan w:val="4"/>
            <w:tcBorders>
              <w:bottom w:val="nil"/>
            </w:tcBorders>
          </w:tcPr>
          <w:p>
            <w:pPr>
              <w:pStyle w:val="TableParagraph"/>
              <w:ind w:left="69"/>
              <w:rPr>
                <w:sz w:val="22"/>
              </w:rPr>
            </w:pPr>
            <w:r>
              <w:rPr>
                <w:b/>
                <w:color w:val="1F4E79"/>
                <w:spacing w:val="-2"/>
                <w:sz w:val="22"/>
                <w:u w:val="single" w:color="1F4E79"/>
              </w:rPr>
              <w:t>Revelación</w:t>
            </w:r>
            <w:r>
              <w:rPr>
                <w:spacing w:val="-2"/>
                <w:sz w:val="22"/>
                <w:u w:val="none"/>
              </w:rPr>
              <w:t>:</w:t>
            </w:r>
          </w:p>
          <w:p>
            <w:pPr>
              <w:pStyle w:val="TableParagraph"/>
              <w:spacing w:line="250" w:lineRule="atLeast" w:before="158"/>
              <w:ind w:left="69" w:right="163"/>
              <w:rPr>
                <w:sz w:val="22"/>
              </w:rPr>
            </w:pPr>
            <w:r>
              <w:rPr>
                <w:sz w:val="22"/>
              </w:rPr>
              <w:t>El</w:t>
            </w:r>
            <w:r>
              <w:rPr>
                <w:spacing w:val="-2"/>
                <w:sz w:val="22"/>
              </w:rPr>
              <w:t> </w:t>
            </w:r>
            <w:r>
              <w:rPr>
                <w:sz w:val="22"/>
              </w:rPr>
              <w:t>gasto</w:t>
            </w:r>
            <w:r>
              <w:rPr>
                <w:spacing w:val="-4"/>
                <w:sz w:val="22"/>
              </w:rPr>
              <w:t> </w:t>
            </w:r>
            <w:r>
              <w:rPr>
                <w:sz w:val="22"/>
              </w:rPr>
              <w:t>se</w:t>
            </w:r>
            <w:r>
              <w:rPr>
                <w:spacing w:val="-3"/>
                <w:sz w:val="22"/>
              </w:rPr>
              <w:t> </w:t>
            </w:r>
            <w:r>
              <w:rPr>
                <w:sz w:val="22"/>
              </w:rPr>
              <w:t>revela</w:t>
            </w:r>
            <w:r>
              <w:rPr>
                <w:spacing w:val="-4"/>
                <w:sz w:val="22"/>
              </w:rPr>
              <w:t> </w:t>
            </w:r>
            <w:r>
              <w:rPr>
                <w:sz w:val="22"/>
              </w:rPr>
              <w:t>en</w:t>
            </w:r>
            <w:r>
              <w:rPr>
                <w:spacing w:val="-2"/>
                <w:sz w:val="22"/>
              </w:rPr>
              <w:t> </w:t>
            </w:r>
            <w:r>
              <w:rPr>
                <w:sz w:val="22"/>
              </w:rPr>
              <w:t>la</w:t>
            </w:r>
            <w:r>
              <w:rPr>
                <w:spacing w:val="-3"/>
                <w:sz w:val="22"/>
              </w:rPr>
              <w:t> </w:t>
            </w:r>
            <w:r>
              <w:rPr>
                <w:sz w:val="22"/>
              </w:rPr>
              <w:t>nota</w:t>
            </w:r>
            <w:r>
              <w:rPr>
                <w:spacing w:val="-5"/>
                <w:sz w:val="22"/>
              </w:rPr>
              <w:t> </w:t>
            </w:r>
            <w:r>
              <w:rPr>
                <w:sz w:val="22"/>
              </w:rPr>
              <w:t>No62,</w:t>
            </w:r>
            <w:r>
              <w:rPr>
                <w:spacing w:val="-2"/>
                <w:sz w:val="22"/>
              </w:rPr>
              <w:t> </w:t>
            </w:r>
            <w:r>
              <w:rPr>
                <w:sz w:val="22"/>
              </w:rPr>
              <w:t>los</w:t>
            </w:r>
            <w:r>
              <w:rPr>
                <w:spacing w:val="-3"/>
                <w:sz w:val="22"/>
              </w:rPr>
              <w:t> </w:t>
            </w:r>
            <w:r>
              <w:rPr>
                <w:sz w:val="22"/>
              </w:rPr>
              <w:t>gastos</w:t>
            </w:r>
            <w:r>
              <w:rPr>
                <w:spacing w:val="-1"/>
                <w:sz w:val="22"/>
              </w:rPr>
              <w:t> </w:t>
            </w:r>
            <w:r>
              <w:rPr>
                <w:sz w:val="22"/>
              </w:rPr>
              <w:t>por</w:t>
            </w:r>
            <w:r>
              <w:rPr>
                <w:spacing w:val="-2"/>
                <w:sz w:val="22"/>
              </w:rPr>
              <w:t> </w:t>
            </w:r>
            <w:r>
              <w:rPr>
                <w:sz w:val="22"/>
              </w:rPr>
              <w:t>depreciación</w:t>
            </w:r>
            <w:r>
              <w:rPr>
                <w:spacing w:val="-2"/>
                <w:sz w:val="22"/>
              </w:rPr>
              <w:t> </w:t>
            </w:r>
            <w:r>
              <w:rPr>
                <w:sz w:val="22"/>
              </w:rPr>
              <w:t>de</w:t>
            </w:r>
            <w:r>
              <w:rPr>
                <w:spacing w:val="-4"/>
                <w:sz w:val="22"/>
              </w:rPr>
              <w:t> </w:t>
            </w:r>
            <w:r>
              <w:rPr>
                <w:sz w:val="22"/>
              </w:rPr>
              <w:t>los</w:t>
            </w:r>
            <w:r>
              <w:rPr>
                <w:spacing w:val="-1"/>
                <w:sz w:val="22"/>
              </w:rPr>
              <w:t> </w:t>
            </w:r>
            <w:r>
              <w:rPr>
                <w:sz w:val="22"/>
              </w:rPr>
              <w:t>activos</w:t>
            </w:r>
            <w:r>
              <w:rPr>
                <w:spacing w:val="-4"/>
                <w:sz w:val="22"/>
              </w:rPr>
              <w:t> </w:t>
            </w:r>
            <w:r>
              <w:rPr>
                <w:sz w:val="22"/>
              </w:rPr>
              <w:t>se</w:t>
            </w:r>
            <w:r>
              <w:rPr>
                <w:spacing w:val="-3"/>
                <w:sz w:val="22"/>
              </w:rPr>
              <w:t> </w:t>
            </w:r>
            <w:r>
              <w:rPr>
                <w:sz w:val="22"/>
              </w:rPr>
              <w:t>calculan</w:t>
            </w:r>
            <w:r>
              <w:rPr>
                <w:spacing w:val="-2"/>
                <w:sz w:val="22"/>
              </w:rPr>
              <w:t> </w:t>
            </w:r>
            <w:r>
              <w:rPr>
                <w:sz w:val="22"/>
              </w:rPr>
              <w:t>por</w:t>
            </w:r>
            <w:r>
              <w:rPr>
                <w:spacing w:val="-2"/>
                <w:sz w:val="22"/>
              </w:rPr>
              <w:t> </w:t>
            </w:r>
            <w:r>
              <w:rPr>
                <w:sz w:val="22"/>
              </w:rPr>
              <w:t>el método de línea recta con base en la vida útil estimada.</w:t>
            </w:r>
          </w:p>
        </w:tc>
      </w:tr>
      <w:tr>
        <w:trPr>
          <w:trHeight w:val="314" w:hRule="atLeast"/>
        </w:trPr>
        <w:tc>
          <w:tcPr>
            <w:tcW w:w="659" w:type="dxa"/>
            <w:vMerge w:val="restart"/>
            <w:tcBorders>
              <w:top w:val="nil"/>
              <w:right w:val="single" w:sz="2" w:space="0" w:color="000000"/>
            </w:tcBorders>
          </w:tcPr>
          <w:p>
            <w:pPr>
              <w:pStyle w:val="TableParagraph"/>
              <w:rPr>
                <w:rFonts w:ascii="Times New Roman"/>
                <w:sz w:val="14"/>
              </w:rPr>
            </w:pPr>
          </w:p>
        </w:tc>
        <w:tc>
          <w:tcPr>
            <w:tcW w:w="6891" w:type="dxa"/>
            <w:tcBorders>
              <w:top w:val="single" w:sz="2" w:space="0" w:color="000000"/>
              <w:left w:val="single" w:sz="2" w:space="0" w:color="000000"/>
              <w:bottom w:val="nil"/>
              <w:right w:val="nil"/>
            </w:tcBorders>
            <w:shd w:val="clear" w:color="auto" w:fill="FFFFFF"/>
          </w:tcPr>
          <w:p>
            <w:pPr>
              <w:pStyle w:val="TableParagraph"/>
              <w:spacing w:before="24"/>
              <w:ind w:left="1766"/>
              <w:rPr>
                <w:b/>
                <w:sz w:val="15"/>
              </w:rPr>
            </w:pPr>
            <w:r>
              <w:rPr>
                <w:b/>
                <w:w w:val="105"/>
                <w:sz w:val="15"/>
              </w:rPr>
              <w:t>CONSUMO</w:t>
            </w:r>
            <w:r>
              <w:rPr>
                <w:b/>
                <w:spacing w:val="15"/>
                <w:w w:val="105"/>
                <w:sz w:val="15"/>
              </w:rPr>
              <w:t> </w:t>
            </w:r>
            <w:r>
              <w:rPr>
                <w:b/>
                <w:w w:val="105"/>
                <w:sz w:val="15"/>
              </w:rPr>
              <w:t>DE</w:t>
            </w:r>
            <w:r>
              <w:rPr>
                <w:b/>
                <w:spacing w:val="15"/>
                <w:w w:val="105"/>
                <w:sz w:val="15"/>
              </w:rPr>
              <w:t> </w:t>
            </w:r>
            <w:r>
              <w:rPr>
                <w:b/>
                <w:w w:val="105"/>
                <w:sz w:val="15"/>
              </w:rPr>
              <w:t>BIENES</w:t>
            </w:r>
            <w:r>
              <w:rPr>
                <w:b/>
                <w:spacing w:val="14"/>
                <w:w w:val="105"/>
                <w:sz w:val="15"/>
              </w:rPr>
              <w:t> </w:t>
            </w:r>
            <w:r>
              <w:rPr>
                <w:b/>
                <w:w w:val="105"/>
                <w:sz w:val="15"/>
              </w:rPr>
              <w:t>DISTINTOS</w:t>
            </w:r>
            <w:r>
              <w:rPr>
                <w:b/>
                <w:spacing w:val="14"/>
                <w:w w:val="105"/>
                <w:sz w:val="15"/>
              </w:rPr>
              <w:t> </w:t>
            </w:r>
            <w:r>
              <w:rPr>
                <w:b/>
                <w:w w:val="105"/>
                <w:sz w:val="15"/>
              </w:rPr>
              <w:t>DE</w:t>
            </w:r>
            <w:r>
              <w:rPr>
                <w:b/>
                <w:spacing w:val="15"/>
                <w:w w:val="105"/>
                <w:sz w:val="15"/>
              </w:rPr>
              <w:t> </w:t>
            </w:r>
            <w:r>
              <w:rPr>
                <w:b/>
                <w:spacing w:val="-2"/>
                <w:w w:val="105"/>
                <w:sz w:val="15"/>
              </w:rPr>
              <w:t>INVENTARIOS</w:t>
            </w:r>
          </w:p>
        </w:tc>
        <w:tc>
          <w:tcPr>
            <w:tcW w:w="730" w:type="dxa"/>
            <w:tcBorders>
              <w:top w:val="single" w:sz="2" w:space="0" w:color="000000"/>
              <w:left w:val="nil"/>
              <w:bottom w:val="nil"/>
            </w:tcBorders>
            <w:shd w:val="clear" w:color="auto" w:fill="FFFFFF"/>
          </w:tcPr>
          <w:p>
            <w:pPr>
              <w:pStyle w:val="TableParagraph"/>
              <w:rPr>
                <w:rFonts w:ascii="Times New Roman"/>
                <w:sz w:val="14"/>
              </w:rPr>
            </w:pPr>
          </w:p>
        </w:tc>
        <w:tc>
          <w:tcPr>
            <w:tcW w:w="717" w:type="dxa"/>
            <w:vMerge w:val="restart"/>
            <w:tcBorders>
              <w:top w:val="nil"/>
            </w:tcBorders>
          </w:tcPr>
          <w:p>
            <w:pPr>
              <w:pStyle w:val="TableParagraph"/>
              <w:rPr>
                <w:rFonts w:ascii="Times New Roman"/>
                <w:sz w:val="14"/>
              </w:rPr>
            </w:pPr>
          </w:p>
        </w:tc>
      </w:tr>
      <w:tr>
        <w:trPr>
          <w:trHeight w:val="277"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587" w:val="left" w:leader="none"/>
                <w:tab w:pos="5331" w:val="left" w:leader="none"/>
                <w:tab w:pos="5947" w:val="left" w:leader="none"/>
                <w:tab w:pos="6754" w:val="left" w:leader="none"/>
              </w:tabs>
              <w:spacing w:line="153" w:lineRule="exact" w:before="104"/>
              <w:ind w:left="4165"/>
              <w:rPr>
                <w:b/>
                <w:sz w:val="15"/>
              </w:rPr>
            </w:pPr>
            <w:r>
              <w:rPr>
                <w:b/>
                <w:sz w:val="15"/>
              </w:rPr>
              <mc:AlternateContent>
                <mc:Choice Requires="wps">
                  <w:drawing>
                    <wp:anchor distT="0" distB="0" distL="0" distR="0" allowOverlap="1" layoutInCell="1" locked="0" behindDoc="1" simplePos="0" relativeHeight="473717248">
                      <wp:simplePos x="0" y="0"/>
                      <wp:positionH relativeFrom="column">
                        <wp:posOffset>2643238</wp:posOffset>
                      </wp:positionH>
                      <wp:positionV relativeFrom="paragraph">
                        <wp:posOffset>50850</wp:posOffset>
                      </wp:positionV>
                      <wp:extent cx="40640" cy="40640"/>
                      <wp:effectExtent l="0" t="0" r="0" b="0"/>
                      <wp:wrapNone/>
                      <wp:docPr id="931" name="Group 931"/>
                      <wp:cNvGraphicFramePr>
                        <a:graphicFrameLocks/>
                      </wp:cNvGraphicFramePr>
                      <a:graphic>
                        <a:graphicData uri="http://schemas.microsoft.com/office/word/2010/wordprocessingGroup">
                          <wpg:wgp>
                            <wpg:cNvPr id="931" name="Group 931"/>
                            <wpg:cNvGrpSpPr/>
                            <wpg:grpSpPr>
                              <a:xfrm>
                                <a:off x="0" y="0"/>
                                <a:ext cx="40640" cy="40640"/>
                                <a:chExt cx="40640" cy="40640"/>
                              </a:xfrm>
                            </wpg:grpSpPr>
                            <wps:wsp>
                              <wps:cNvPr id="932" name="Graphic 932"/>
                              <wps:cNvSpPr/>
                              <wps:spPr>
                                <a:xfrm>
                                  <a:off x="1340" y="1339"/>
                                  <a:ext cx="38100" cy="1270"/>
                                </a:xfrm>
                                <a:custGeom>
                                  <a:avLst/>
                                  <a:gdLst/>
                                  <a:ahLst/>
                                  <a:cxnLst/>
                                  <a:rect l="l" t="t" r="r" b="b"/>
                                  <a:pathLst>
                                    <a:path w="38100" h="0">
                                      <a:moveTo>
                                        <a:pt x="0" y="0"/>
                                      </a:moveTo>
                                      <a:lnTo>
                                        <a:pt x="37530" y="0"/>
                                      </a:lnTo>
                                    </a:path>
                                  </a:pathLst>
                                </a:custGeom>
                                <a:ln w="2679">
                                  <a:solidFill>
                                    <a:srgbClr val="008000"/>
                                  </a:solidFill>
                                  <a:prstDash val="solid"/>
                                </a:ln>
                              </wps:spPr>
                              <wps:bodyPr wrap="square" lIns="0" tIns="0" rIns="0" bIns="0" rtlCol="0">
                                <a:prstTxWarp prst="textNoShape">
                                  <a:avLst/>
                                </a:prstTxWarp>
                                <a:noAutofit/>
                              </wps:bodyPr>
                            </wps:wsp>
                            <wps:wsp>
                              <wps:cNvPr id="933" name="Graphic 933"/>
                              <wps:cNvSpPr/>
                              <wps:spPr>
                                <a:xfrm>
                                  <a:off x="0" y="0"/>
                                  <a:ext cx="40640" cy="3175"/>
                                </a:xfrm>
                                <a:custGeom>
                                  <a:avLst/>
                                  <a:gdLst/>
                                  <a:ahLst/>
                                  <a:cxnLst/>
                                  <a:rect l="l" t="t" r="r" b="b"/>
                                  <a:pathLst>
                                    <a:path w="40640" h="3175">
                                      <a:moveTo>
                                        <a:pt x="40211" y="0"/>
                                      </a:moveTo>
                                      <a:lnTo>
                                        <a:pt x="0" y="0"/>
                                      </a:lnTo>
                                      <a:lnTo>
                                        <a:pt x="0" y="2679"/>
                                      </a:lnTo>
                                      <a:lnTo>
                                        <a:pt x="40211" y="2679"/>
                                      </a:lnTo>
                                      <a:lnTo>
                                        <a:pt x="40211" y="0"/>
                                      </a:lnTo>
                                      <a:close/>
                                    </a:path>
                                  </a:pathLst>
                                </a:custGeom>
                                <a:solidFill>
                                  <a:srgbClr val="008000"/>
                                </a:solidFill>
                              </wps:spPr>
                              <wps:bodyPr wrap="square" lIns="0" tIns="0" rIns="0" bIns="0" rtlCol="0">
                                <a:prstTxWarp prst="textNoShape">
                                  <a:avLst/>
                                </a:prstTxWarp>
                                <a:noAutofit/>
                              </wps:bodyPr>
                            </wps:wsp>
                            <wps:wsp>
                              <wps:cNvPr id="934" name="Graphic 934"/>
                              <wps:cNvSpPr/>
                              <wps:spPr>
                                <a:xfrm>
                                  <a:off x="1340" y="4019"/>
                                  <a:ext cx="34925" cy="1270"/>
                                </a:xfrm>
                                <a:custGeom>
                                  <a:avLst/>
                                  <a:gdLst/>
                                  <a:ahLst/>
                                  <a:cxnLst/>
                                  <a:rect l="l" t="t" r="r" b="b"/>
                                  <a:pathLst>
                                    <a:path w="34925" h="0">
                                      <a:moveTo>
                                        <a:pt x="0" y="0"/>
                                      </a:moveTo>
                                      <a:lnTo>
                                        <a:pt x="34850" y="0"/>
                                      </a:lnTo>
                                    </a:path>
                                  </a:pathLst>
                                </a:custGeom>
                                <a:ln w="2679">
                                  <a:solidFill>
                                    <a:srgbClr val="008000"/>
                                  </a:solidFill>
                                  <a:prstDash val="solid"/>
                                </a:ln>
                              </wps:spPr>
                              <wps:bodyPr wrap="square" lIns="0" tIns="0" rIns="0" bIns="0" rtlCol="0">
                                <a:prstTxWarp prst="textNoShape">
                                  <a:avLst/>
                                </a:prstTxWarp>
                                <a:noAutofit/>
                              </wps:bodyPr>
                            </wps:wsp>
                            <wps:wsp>
                              <wps:cNvPr id="935" name="Graphic 935"/>
                              <wps:cNvSpPr/>
                              <wps:spPr>
                                <a:xfrm>
                                  <a:off x="0" y="2679"/>
                                  <a:ext cx="38100" cy="3175"/>
                                </a:xfrm>
                                <a:custGeom>
                                  <a:avLst/>
                                  <a:gdLst/>
                                  <a:ahLst/>
                                  <a:cxnLst/>
                                  <a:rect l="l" t="t" r="r" b="b"/>
                                  <a:pathLst>
                                    <a:path w="38100" h="3175">
                                      <a:moveTo>
                                        <a:pt x="37530" y="0"/>
                                      </a:moveTo>
                                      <a:lnTo>
                                        <a:pt x="0" y="0"/>
                                      </a:lnTo>
                                      <a:lnTo>
                                        <a:pt x="0" y="2679"/>
                                      </a:lnTo>
                                      <a:lnTo>
                                        <a:pt x="37530" y="2679"/>
                                      </a:lnTo>
                                      <a:lnTo>
                                        <a:pt x="37530" y="0"/>
                                      </a:lnTo>
                                      <a:close/>
                                    </a:path>
                                  </a:pathLst>
                                </a:custGeom>
                                <a:solidFill>
                                  <a:srgbClr val="008000"/>
                                </a:solidFill>
                              </wps:spPr>
                              <wps:bodyPr wrap="square" lIns="0" tIns="0" rIns="0" bIns="0" rtlCol="0">
                                <a:prstTxWarp prst="textNoShape">
                                  <a:avLst/>
                                </a:prstTxWarp>
                                <a:noAutofit/>
                              </wps:bodyPr>
                            </wps:wsp>
                            <wps:wsp>
                              <wps:cNvPr id="936" name="Graphic 936"/>
                              <wps:cNvSpPr/>
                              <wps:spPr>
                                <a:xfrm>
                                  <a:off x="1340" y="6698"/>
                                  <a:ext cx="32384" cy="1270"/>
                                </a:xfrm>
                                <a:custGeom>
                                  <a:avLst/>
                                  <a:gdLst/>
                                  <a:ahLst/>
                                  <a:cxnLst/>
                                  <a:rect l="l" t="t" r="r" b="b"/>
                                  <a:pathLst>
                                    <a:path w="32384" h="0">
                                      <a:moveTo>
                                        <a:pt x="0" y="0"/>
                                      </a:moveTo>
                                      <a:lnTo>
                                        <a:pt x="32169" y="0"/>
                                      </a:lnTo>
                                    </a:path>
                                  </a:pathLst>
                                </a:custGeom>
                                <a:ln w="2679">
                                  <a:solidFill>
                                    <a:srgbClr val="008000"/>
                                  </a:solidFill>
                                  <a:prstDash val="solid"/>
                                </a:ln>
                              </wps:spPr>
                              <wps:bodyPr wrap="square" lIns="0" tIns="0" rIns="0" bIns="0" rtlCol="0">
                                <a:prstTxWarp prst="textNoShape">
                                  <a:avLst/>
                                </a:prstTxWarp>
                                <a:noAutofit/>
                              </wps:bodyPr>
                            </wps:wsp>
                            <wps:wsp>
                              <wps:cNvPr id="937" name="Graphic 937"/>
                              <wps:cNvSpPr/>
                              <wps:spPr>
                                <a:xfrm>
                                  <a:off x="0" y="5358"/>
                                  <a:ext cx="34925" cy="3175"/>
                                </a:xfrm>
                                <a:custGeom>
                                  <a:avLst/>
                                  <a:gdLst/>
                                  <a:ahLst/>
                                  <a:cxnLst/>
                                  <a:rect l="l" t="t" r="r" b="b"/>
                                  <a:pathLst>
                                    <a:path w="34925" h="3175">
                                      <a:moveTo>
                                        <a:pt x="34850" y="0"/>
                                      </a:moveTo>
                                      <a:lnTo>
                                        <a:pt x="0" y="0"/>
                                      </a:lnTo>
                                      <a:lnTo>
                                        <a:pt x="0" y="2679"/>
                                      </a:lnTo>
                                      <a:lnTo>
                                        <a:pt x="34850" y="2679"/>
                                      </a:lnTo>
                                      <a:lnTo>
                                        <a:pt x="34850" y="0"/>
                                      </a:lnTo>
                                      <a:close/>
                                    </a:path>
                                  </a:pathLst>
                                </a:custGeom>
                                <a:solidFill>
                                  <a:srgbClr val="008000"/>
                                </a:solidFill>
                              </wps:spPr>
                              <wps:bodyPr wrap="square" lIns="0" tIns="0" rIns="0" bIns="0" rtlCol="0">
                                <a:prstTxWarp prst="textNoShape">
                                  <a:avLst/>
                                </a:prstTxWarp>
                                <a:noAutofit/>
                              </wps:bodyPr>
                            </wps:wsp>
                            <wps:wsp>
                              <wps:cNvPr id="938" name="Graphic 938"/>
                              <wps:cNvSpPr/>
                              <wps:spPr>
                                <a:xfrm>
                                  <a:off x="1340" y="9377"/>
                                  <a:ext cx="29845" cy="1270"/>
                                </a:xfrm>
                                <a:custGeom>
                                  <a:avLst/>
                                  <a:gdLst/>
                                  <a:ahLst/>
                                  <a:cxnLst/>
                                  <a:rect l="l" t="t" r="r" b="b"/>
                                  <a:pathLst>
                                    <a:path w="29845" h="0">
                                      <a:moveTo>
                                        <a:pt x="0" y="0"/>
                                      </a:moveTo>
                                      <a:lnTo>
                                        <a:pt x="29488" y="0"/>
                                      </a:lnTo>
                                    </a:path>
                                  </a:pathLst>
                                </a:custGeom>
                                <a:ln w="2679">
                                  <a:solidFill>
                                    <a:srgbClr val="008000"/>
                                  </a:solidFill>
                                  <a:prstDash val="solid"/>
                                </a:ln>
                              </wps:spPr>
                              <wps:bodyPr wrap="square" lIns="0" tIns="0" rIns="0" bIns="0" rtlCol="0">
                                <a:prstTxWarp prst="textNoShape">
                                  <a:avLst/>
                                </a:prstTxWarp>
                                <a:noAutofit/>
                              </wps:bodyPr>
                            </wps:wsp>
                            <wps:wsp>
                              <wps:cNvPr id="939" name="Graphic 939"/>
                              <wps:cNvSpPr/>
                              <wps:spPr>
                                <a:xfrm>
                                  <a:off x="0" y="8038"/>
                                  <a:ext cx="32384" cy="3175"/>
                                </a:xfrm>
                                <a:custGeom>
                                  <a:avLst/>
                                  <a:gdLst/>
                                  <a:ahLst/>
                                  <a:cxnLst/>
                                  <a:rect l="l" t="t" r="r" b="b"/>
                                  <a:pathLst>
                                    <a:path w="32384" h="3175">
                                      <a:moveTo>
                                        <a:pt x="32169" y="0"/>
                                      </a:moveTo>
                                      <a:lnTo>
                                        <a:pt x="0" y="0"/>
                                      </a:lnTo>
                                      <a:lnTo>
                                        <a:pt x="0" y="2679"/>
                                      </a:lnTo>
                                      <a:lnTo>
                                        <a:pt x="32169" y="2679"/>
                                      </a:lnTo>
                                      <a:lnTo>
                                        <a:pt x="32169" y="0"/>
                                      </a:lnTo>
                                      <a:close/>
                                    </a:path>
                                  </a:pathLst>
                                </a:custGeom>
                                <a:solidFill>
                                  <a:srgbClr val="008000"/>
                                </a:solidFill>
                              </wps:spPr>
                              <wps:bodyPr wrap="square" lIns="0" tIns="0" rIns="0" bIns="0" rtlCol="0">
                                <a:prstTxWarp prst="textNoShape">
                                  <a:avLst/>
                                </a:prstTxWarp>
                                <a:noAutofit/>
                              </wps:bodyPr>
                            </wps:wsp>
                            <wps:wsp>
                              <wps:cNvPr id="940" name="Graphic 940"/>
                              <wps:cNvSpPr/>
                              <wps:spPr>
                                <a:xfrm>
                                  <a:off x="1340" y="12057"/>
                                  <a:ext cx="27305" cy="1270"/>
                                </a:xfrm>
                                <a:custGeom>
                                  <a:avLst/>
                                  <a:gdLst/>
                                  <a:ahLst/>
                                  <a:cxnLst/>
                                  <a:rect l="l" t="t" r="r" b="b"/>
                                  <a:pathLst>
                                    <a:path w="27305" h="0">
                                      <a:moveTo>
                                        <a:pt x="0" y="0"/>
                                      </a:moveTo>
                                      <a:lnTo>
                                        <a:pt x="26807" y="0"/>
                                      </a:lnTo>
                                    </a:path>
                                  </a:pathLst>
                                </a:custGeom>
                                <a:ln w="2679">
                                  <a:solidFill>
                                    <a:srgbClr val="008000"/>
                                  </a:solidFill>
                                  <a:prstDash val="solid"/>
                                </a:ln>
                              </wps:spPr>
                              <wps:bodyPr wrap="square" lIns="0" tIns="0" rIns="0" bIns="0" rtlCol="0">
                                <a:prstTxWarp prst="textNoShape">
                                  <a:avLst/>
                                </a:prstTxWarp>
                                <a:noAutofit/>
                              </wps:bodyPr>
                            </wps:wsp>
                            <wps:wsp>
                              <wps:cNvPr id="941" name="Graphic 941"/>
                              <wps:cNvSpPr/>
                              <wps:spPr>
                                <a:xfrm>
                                  <a:off x="0" y="10717"/>
                                  <a:ext cx="29845" cy="3175"/>
                                </a:xfrm>
                                <a:custGeom>
                                  <a:avLst/>
                                  <a:gdLst/>
                                  <a:ahLst/>
                                  <a:cxnLst/>
                                  <a:rect l="l" t="t" r="r" b="b"/>
                                  <a:pathLst>
                                    <a:path w="29845" h="3175">
                                      <a:moveTo>
                                        <a:pt x="29488" y="0"/>
                                      </a:moveTo>
                                      <a:lnTo>
                                        <a:pt x="0" y="0"/>
                                      </a:lnTo>
                                      <a:lnTo>
                                        <a:pt x="0" y="2679"/>
                                      </a:lnTo>
                                      <a:lnTo>
                                        <a:pt x="29488" y="2679"/>
                                      </a:lnTo>
                                      <a:lnTo>
                                        <a:pt x="29488" y="0"/>
                                      </a:lnTo>
                                      <a:close/>
                                    </a:path>
                                  </a:pathLst>
                                </a:custGeom>
                                <a:solidFill>
                                  <a:srgbClr val="008000"/>
                                </a:solidFill>
                              </wps:spPr>
                              <wps:bodyPr wrap="square" lIns="0" tIns="0" rIns="0" bIns="0" rtlCol="0">
                                <a:prstTxWarp prst="textNoShape">
                                  <a:avLst/>
                                </a:prstTxWarp>
                                <a:noAutofit/>
                              </wps:bodyPr>
                            </wps:wsp>
                            <wps:wsp>
                              <wps:cNvPr id="942" name="Graphic 942"/>
                              <wps:cNvSpPr/>
                              <wps:spPr>
                                <a:xfrm>
                                  <a:off x="1340" y="14736"/>
                                  <a:ext cx="24130" cy="1270"/>
                                </a:xfrm>
                                <a:custGeom>
                                  <a:avLst/>
                                  <a:gdLst/>
                                  <a:ahLst/>
                                  <a:cxnLst/>
                                  <a:rect l="l" t="t" r="r" b="b"/>
                                  <a:pathLst>
                                    <a:path w="24130" h="0">
                                      <a:moveTo>
                                        <a:pt x="0" y="0"/>
                                      </a:moveTo>
                                      <a:lnTo>
                                        <a:pt x="24126" y="0"/>
                                      </a:lnTo>
                                    </a:path>
                                  </a:pathLst>
                                </a:custGeom>
                                <a:ln w="2679">
                                  <a:solidFill>
                                    <a:srgbClr val="008000"/>
                                  </a:solidFill>
                                  <a:prstDash val="solid"/>
                                </a:ln>
                              </wps:spPr>
                              <wps:bodyPr wrap="square" lIns="0" tIns="0" rIns="0" bIns="0" rtlCol="0">
                                <a:prstTxWarp prst="textNoShape">
                                  <a:avLst/>
                                </a:prstTxWarp>
                                <a:noAutofit/>
                              </wps:bodyPr>
                            </wps:wsp>
                            <wps:wsp>
                              <wps:cNvPr id="943" name="Graphic 943"/>
                              <wps:cNvSpPr/>
                              <wps:spPr>
                                <a:xfrm>
                                  <a:off x="0" y="13397"/>
                                  <a:ext cx="27305" cy="3175"/>
                                </a:xfrm>
                                <a:custGeom>
                                  <a:avLst/>
                                  <a:gdLst/>
                                  <a:ahLst/>
                                  <a:cxnLst/>
                                  <a:rect l="l" t="t" r="r" b="b"/>
                                  <a:pathLst>
                                    <a:path w="27305" h="3175">
                                      <a:moveTo>
                                        <a:pt x="26807" y="0"/>
                                      </a:moveTo>
                                      <a:lnTo>
                                        <a:pt x="0" y="0"/>
                                      </a:lnTo>
                                      <a:lnTo>
                                        <a:pt x="0" y="2679"/>
                                      </a:lnTo>
                                      <a:lnTo>
                                        <a:pt x="26807" y="2679"/>
                                      </a:lnTo>
                                      <a:lnTo>
                                        <a:pt x="26807" y="0"/>
                                      </a:lnTo>
                                      <a:close/>
                                    </a:path>
                                  </a:pathLst>
                                </a:custGeom>
                                <a:solidFill>
                                  <a:srgbClr val="008000"/>
                                </a:solidFill>
                              </wps:spPr>
                              <wps:bodyPr wrap="square" lIns="0" tIns="0" rIns="0" bIns="0" rtlCol="0">
                                <a:prstTxWarp prst="textNoShape">
                                  <a:avLst/>
                                </a:prstTxWarp>
                                <a:noAutofit/>
                              </wps:bodyPr>
                            </wps:wsp>
                            <wps:wsp>
                              <wps:cNvPr id="944" name="Graphic 944"/>
                              <wps:cNvSpPr/>
                              <wps:spPr>
                                <a:xfrm>
                                  <a:off x="1340" y="17416"/>
                                  <a:ext cx="21590" cy="1270"/>
                                </a:xfrm>
                                <a:custGeom>
                                  <a:avLst/>
                                  <a:gdLst/>
                                  <a:ahLst/>
                                  <a:cxnLst/>
                                  <a:rect l="l" t="t" r="r" b="b"/>
                                  <a:pathLst>
                                    <a:path w="21590" h="0">
                                      <a:moveTo>
                                        <a:pt x="0" y="0"/>
                                      </a:moveTo>
                                      <a:lnTo>
                                        <a:pt x="21446" y="0"/>
                                      </a:lnTo>
                                    </a:path>
                                  </a:pathLst>
                                </a:custGeom>
                                <a:ln w="2679">
                                  <a:solidFill>
                                    <a:srgbClr val="008000"/>
                                  </a:solidFill>
                                  <a:prstDash val="solid"/>
                                </a:ln>
                              </wps:spPr>
                              <wps:bodyPr wrap="square" lIns="0" tIns="0" rIns="0" bIns="0" rtlCol="0">
                                <a:prstTxWarp prst="textNoShape">
                                  <a:avLst/>
                                </a:prstTxWarp>
                                <a:noAutofit/>
                              </wps:bodyPr>
                            </wps:wsp>
                            <wps:wsp>
                              <wps:cNvPr id="945" name="Graphic 945"/>
                              <wps:cNvSpPr/>
                              <wps:spPr>
                                <a:xfrm>
                                  <a:off x="0" y="16076"/>
                                  <a:ext cx="24130" cy="3175"/>
                                </a:xfrm>
                                <a:custGeom>
                                  <a:avLst/>
                                  <a:gdLst/>
                                  <a:ahLst/>
                                  <a:cxnLst/>
                                  <a:rect l="l" t="t" r="r" b="b"/>
                                  <a:pathLst>
                                    <a:path w="24130" h="3175">
                                      <a:moveTo>
                                        <a:pt x="24126" y="0"/>
                                      </a:moveTo>
                                      <a:lnTo>
                                        <a:pt x="0" y="0"/>
                                      </a:lnTo>
                                      <a:lnTo>
                                        <a:pt x="0" y="2679"/>
                                      </a:lnTo>
                                      <a:lnTo>
                                        <a:pt x="24126" y="2679"/>
                                      </a:lnTo>
                                      <a:lnTo>
                                        <a:pt x="24126" y="0"/>
                                      </a:lnTo>
                                      <a:close/>
                                    </a:path>
                                  </a:pathLst>
                                </a:custGeom>
                                <a:solidFill>
                                  <a:srgbClr val="008000"/>
                                </a:solidFill>
                              </wps:spPr>
                              <wps:bodyPr wrap="square" lIns="0" tIns="0" rIns="0" bIns="0" rtlCol="0">
                                <a:prstTxWarp prst="textNoShape">
                                  <a:avLst/>
                                </a:prstTxWarp>
                                <a:noAutofit/>
                              </wps:bodyPr>
                            </wps:wsp>
                            <wps:wsp>
                              <wps:cNvPr id="946" name="Graphic 946"/>
                              <wps:cNvSpPr/>
                              <wps:spPr>
                                <a:xfrm>
                                  <a:off x="1340" y="20095"/>
                                  <a:ext cx="19050" cy="1270"/>
                                </a:xfrm>
                                <a:custGeom>
                                  <a:avLst/>
                                  <a:gdLst/>
                                  <a:ahLst/>
                                  <a:cxnLst/>
                                  <a:rect l="l" t="t" r="r" b="b"/>
                                  <a:pathLst>
                                    <a:path w="19050" h="0">
                                      <a:moveTo>
                                        <a:pt x="0" y="0"/>
                                      </a:moveTo>
                                      <a:lnTo>
                                        <a:pt x="18765" y="0"/>
                                      </a:lnTo>
                                    </a:path>
                                  </a:pathLst>
                                </a:custGeom>
                                <a:ln w="2679">
                                  <a:solidFill>
                                    <a:srgbClr val="008000"/>
                                  </a:solidFill>
                                  <a:prstDash val="solid"/>
                                </a:ln>
                              </wps:spPr>
                              <wps:bodyPr wrap="square" lIns="0" tIns="0" rIns="0" bIns="0" rtlCol="0">
                                <a:prstTxWarp prst="textNoShape">
                                  <a:avLst/>
                                </a:prstTxWarp>
                                <a:noAutofit/>
                              </wps:bodyPr>
                            </wps:wsp>
                            <wps:wsp>
                              <wps:cNvPr id="947" name="Graphic 947"/>
                              <wps:cNvSpPr/>
                              <wps:spPr>
                                <a:xfrm>
                                  <a:off x="0" y="18755"/>
                                  <a:ext cx="21590" cy="3175"/>
                                </a:xfrm>
                                <a:custGeom>
                                  <a:avLst/>
                                  <a:gdLst/>
                                  <a:ahLst/>
                                  <a:cxnLst/>
                                  <a:rect l="l" t="t" r="r" b="b"/>
                                  <a:pathLst>
                                    <a:path w="21590" h="3175">
                                      <a:moveTo>
                                        <a:pt x="21446" y="0"/>
                                      </a:moveTo>
                                      <a:lnTo>
                                        <a:pt x="0" y="0"/>
                                      </a:lnTo>
                                      <a:lnTo>
                                        <a:pt x="0" y="2679"/>
                                      </a:lnTo>
                                      <a:lnTo>
                                        <a:pt x="21446" y="2679"/>
                                      </a:lnTo>
                                      <a:lnTo>
                                        <a:pt x="21446" y="0"/>
                                      </a:lnTo>
                                      <a:close/>
                                    </a:path>
                                  </a:pathLst>
                                </a:custGeom>
                                <a:solidFill>
                                  <a:srgbClr val="008000"/>
                                </a:solidFill>
                              </wps:spPr>
                              <wps:bodyPr wrap="square" lIns="0" tIns="0" rIns="0" bIns="0" rtlCol="0">
                                <a:prstTxWarp prst="textNoShape">
                                  <a:avLst/>
                                </a:prstTxWarp>
                                <a:noAutofit/>
                              </wps:bodyPr>
                            </wps:wsp>
                            <wps:wsp>
                              <wps:cNvPr id="948" name="Graphic 948"/>
                              <wps:cNvSpPr/>
                              <wps:spPr>
                                <a:xfrm>
                                  <a:off x="1340" y="22774"/>
                                  <a:ext cx="16510" cy="1270"/>
                                </a:xfrm>
                                <a:custGeom>
                                  <a:avLst/>
                                  <a:gdLst/>
                                  <a:ahLst/>
                                  <a:cxnLst/>
                                  <a:rect l="l" t="t" r="r" b="b"/>
                                  <a:pathLst>
                                    <a:path w="16510" h="0">
                                      <a:moveTo>
                                        <a:pt x="0" y="0"/>
                                      </a:moveTo>
                                      <a:lnTo>
                                        <a:pt x="16084" y="0"/>
                                      </a:lnTo>
                                    </a:path>
                                  </a:pathLst>
                                </a:custGeom>
                                <a:ln w="2679">
                                  <a:solidFill>
                                    <a:srgbClr val="008000"/>
                                  </a:solidFill>
                                  <a:prstDash val="solid"/>
                                </a:ln>
                              </wps:spPr>
                              <wps:bodyPr wrap="square" lIns="0" tIns="0" rIns="0" bIns="0" rtlCol="0">
                                <a:prstTxWarp prst="textNoShape">
                                  <a:avLst/>
                                </a:prstTxWarp>
                                <a:noAutofit/>
                              </wps:bodyPr>
                            </wps:wsp>
                            <wps:wsp>
                              <wps:cNvPr id="949" name="Graphic 949"/>
                              <wps:cNvSpPr/>
                              <wps:spPr>
                                <a:xfrm>
                                  <a:off x="0" y="21435"/>
                                  <a:ext cx="19050" cy="3175"/>
                                </a:xfrm>
                                <a:custGeom>
                                  <a:avLst/>
                                  <a:gdLst/>
                                  <a:ahLst/>
                                  <a:cxnLst/>
                                  <a:rect l="l" t="t" r="r" b="b"/>
                                  <a:pathLst>
                                    <a:path w="19050" h="3175">
                                      <a:moveTo>
                                        <a:pt x="18765" y="0"/>
                                      </a:moveTo>
                                      <a:lnTo>
                                        <a:pt x="0" y="0"/>
                                      </a:lnTo>
                                      <a:lnTo>
                                        <a:pt x="0" y="2679"/>
                                      </a:lnTo>
                                      <a:lnTo>
                                        <a:pt x="18765" y="2679"/>
                                      </a:lnTo>
                                      <a:lnTo>
                                        <a:pt x="18765" y="0"/>
                                      </a:lnTo>
                                      <a:close/>
                                    </a:path>
                                  </a:pathLst>
                                </a:custGeom>
                                <a:solidFill>
                                  <a:srgbClr val="008000"/>
                                </a:solidFill>
                              </wps:spPr>
                              <wps:bodyPr wrap="square" lIns="0" tIns="0" rIns="0" bIns="0" rtlCol="0">
                                <a:prstTxWarp prst="textNoShape">
                                  <a:avLst/>
                                </a:prstTxWarp>
                                <a:noAutofit/>
                              </wps:bodyPr>
                            </wps:wsp>
                            <wps:wsp>
                              <wps:cNvPr id="950" name="Graphic 950"/>
                              <wps:cNvSpPr/>
                              <wps:spPr>
                                <a:xfrm>
                                  <a:off x="1340" y="25454"/>
                                  <a:ext cx="13970" cy="1270"/>
                                </a:xfrm>
                                <a:custGeom>
                                  <a:avLst/>
                                  <a:gdLst/>
                                  <a:ahLst/>
                                  <a:cxnLst/>
                                  <a:rect l="l" t="t" r="r" b="b"/>
                                  <a:pathLst>
                                    <a:path w="13970" h="0">
                                      <a:moveTo>
                                        <a:pt x="0" y="0"/>
                                      </a:moveTo>
                                      <a:lnTo>
                                        <a:pt x="13403" y="0"/>
                                      </a:lnTo>
                                    </a:path>
                                  </a:pathLst>
                                </a:custGeom>
                                <a:ln w="2679">
                                  <a:solidFill>
                                    <a:srgbClr val="008000"/>
                                  </a:solidFill>
                                  <a:prstDash val="solid"/>
                                </a:ln>
                              </wps:spPr>
                              <wps:bodyPr wrap="square" lIns="0" tIns="0" rIns="0" bIns="0" rtlCol="0">
                                <a:prstTxWarp prst="textNoShape">
                                  <a:avLst/>
                                </a:prstTxWarp>
                                <a:noAutofit/>
                              </wps:bodyPr>
                            </wps:wsp>
                            <wps:wsp>
                              <wps:cNvPr id="951" name="Graphic 951"/>
                              <wps:cNvSpPr/>
                              <wps:spPr>
                                <a:xfrm>
                                  <a:off x="0" y="24114"/>
                                  <a:ext cx="16510" cy="3175"/>
                                </a:xfrm>
                                <a:custGeom>
                                  <a:avLst/>
                                  <a:gdLst/>
                                  <a:ahLst/>
                                  <a:cxnLst/>
                                  <a:rect l="l" t="t" r="r" b="b"/>
                                  <a:pathLst>
                                    <a:path w="16510" h="3175">
                                      <a:moveTo>
                                        <a:pt x="16084" y="0"/>
                                      </a:moveTo>
                                      <a:lnTo>
                                        <a:pt x="0" y="0"/>
                                      </a:lnTo>
                                      <a:lnTo>
                                        <a:pt x="0" y="2679"/>
                                      </a:lnTo>
                                      <a:lnTo>
                                        <a:pt x="16084" y="2679"/>
                                      </a:lnTo>
                                      <a:lnTo>
                                        <a:pt x="16084" y="0"/>
                                      </a:lnTo>
                                      <a:close/>
                                    </a:path>
                                  </a:pathLst>
                                </a:custGeom>
                                <a:solidFill>
                                  <a:srgbClr val="008000"/>
                                </a:solidFill>
                              </wps:spPr>
                              <wps:bodyPr wrap="square" lIns="0" tIns="0" rIns="0" bIns="0" rtlCol="0">
                                <a:prstTxWarp prst="textNoShape">
                                  <a:avLst/>
                                </a:prstTxWarp>
                                <a:noAutofit/>
                              </wps:bodyPr>
                            </wps:wsp>
                            <wps:wsp>
                              <wps:cNvPr id="952" name="Graphic 952"/>
                              <wps:cNvSpPr/>
                              <wps:spPr>
                                <a:xfrm>
                                  <a:off x="1340" y="28133"/>
                                  <a:ext cx="10795" cy="1270"/>
                                </a:xfrm>
                                <a:custGeom>
                                  <a:avLst/>
                                  <a:gdLst/>
                                  <a:ahLst/>
                                  <a:cxnLst/>
                                  <a:rect l="l" t="t" r="r" b="b"/>
                                  <a:pathLst>
                                    <a:path w="10795" h="0">
                                      <a:moveTo>
                                        <a:pt x="0" y="0"/>
                                      </a:moveTo>
                                      <a:lnTo>
                                        <a:pt x="10723" y="0"/>
                                      </a:lnTo>
                                    </a:path>
                                  </a:pathLst>
                                </a:custGeom>
                                <a:ln w="2679">
                                  <a:solidFill>
                                    <a:srgbClr val="008000"/>
                                  </a:solidFill>
                                  <a:prstDash val="solid"/>
                                </a:ln>
                              </wps:spPr>
                              <wps:bodyPr wrap="square" lIns="0" tIns="0" rIns="0" bIns="0" rtlCol="0">
                                <a:prstTxWarp prst="textNoShape">
                                  <a:avLst/>
                                </a:prstTxWarp>
                                <a:noAutofit/>
                              </wps:bodyPr>
                            </wps:wsp>
                            <wps:wsp>
                              <wps:cNvPr id="953" name="Graphic 953"/>
                              <wps:cNvSpPr/>
                              <wps:spPr>
                                <a:xfrm>
                                  <a:off x="0" y="26794"/>
                                  <a:ext cx="13970" cy="3175"/>
                                </a:xfrm>
                                <a:custGeom>
                                  <a:avLst/>
                                  <a:gdLst/>
                                  <a:ahLst/>
                                  <a:cxnLst/>
                                  <a:rect l="l" t="t" r="r" b="b"/>
                                  <a:pathLst>
                                    <a:path w="13970" h="3175">
                                      <a:moveTo>
                                        <a:pt x="13403" y="0"/>
                                      </a:moveTo>
                                      <a:lnTo>
                                        <a:pt x="0" y="0"/>
                                      </a:lnTo>
                                      <a:lnTo>
                                        <a:pt x="0" y="2679"/>
                                      </a:lnTo>
                                      <a:lnTo>
                                        <a:pt x="13403" y="2679"/>
                                      </a:lnTo>
                                      <a:lnTo>
                                        <a:pt x="13403" y="0"/>
                                      </a:lnTo>
                                      <a:close/>
                                    </a:path>
                                  </a:pathLst>
                                </a:custGeom>
                                <a:solidFill>
                                  <a:srgbClr val="008000"/>
                                </a:solidFill>
                              </wps:spPr>
                              <wps:bodyPr wrap="square" lIns="0" tIns="0" rIns="0" bIns="0" rtlCol="0">
                                <a:prstTxWarp prst="textNoShape">
                                  <a:avLst/>
                                </a:prstTxWarp>
                                <a:noAutofit/>
                              </wps:bodyPr>
                            </wps:wsp>
                            <wps:wsp>
                              <wps:cNvPr id="954" name="Graphic 954"/>
                              <wps:cNvSpPr/>
                              <wps:spPr>
                                <a:xfrm>
                                  <a:off x="1340" y="30813"/>
                                  <a:ext cx="8255" cy="1270"/>
                                </a:xfrm>
                                <a:custGeom>
                                  <a:avLst/>
                                  <a:gdLst/>
                                  <a:ahLst/>
                                  <a:cxnLst/>
                                  <a:rect l="l" t="t" r="r" b="b"/>
                                  <a:pathLst>
                                    <a:path w="8255" h="0">
                                      <a:moveTo>
                                        <a:pt x="0" y="0"/>
                                      </a:moveTo>
                                      <a:lnTo>
                                        <a:pt x="8042" y="0"/>
                                      </a:lnTo>
                                    </a:path>
                                  </a:pathLst>
                                </a:custGeom>
                                <a:ln w="2679">
                                  <a:solidFill>
                                    <a:srgbClr val="008000"/>
                                  </a:solidFill>
                                  <a:prstDash val="solid"/>
                                </a:ln>
                              </wps:spPr>
                              <wps:bodyPr wrap="square" lIns="0" tIns="0" rIns="0" bIns="0" rtlCol="0">
                                <a:prstTxWarp prst="textNoShape">
                                  <a:avLst/>
                                </a:prstTxWarp>
                                <a:noAutofit/>
                              </wps:bodyPr>
                            </wps:wsp>
                            <wps:wsp>
                              <wps:cNvPr id="955" name="Graphic 955"/>
                              <wps:cNvSpPr/>
                              <wps:spPr>
                                <a:xfrm>
                                  <a:off x="0" y="29473"/>
                                  <a:ext cx="10795" cy="3175"/>
                                </a:xfrm>
                                <a:custGeom>
                                  <a:avLst/>
                                  <a:gdLst/>
                                  <a:ahLst/>
                                  <a:cxnLst/>
                                  <a:rect l="l" t="t" r="r" b="b"/>
                                  <a:pathLst>
                                    <a:path w="10795" h="3175">
                                      <a:moveTo>
                                        <a:pt x="10723" y="0"/>
                                      </a:moveTo>
                                      <a:lnTo>
                                        <a:pt x="0" y="0"/>
                                      </a:lnTo>
                                      <a:lnTo>
                                        <a:pt x="0" y="2679"/>
                                      </a:lnTo>
                                      <a:lnTo>
                                        <a:pt x="10723" y="2679"/>
                                      </a:lnTo>
                                      <a:lnTo>
                                        <a:pt x="10723" y="0"/>
                                      </a:lnTo>
                                      <a:close/>
                                    </a:path>
                                  </a:pathLst>
                                </a:custGeom>
                                <a:solidFill>
                                  <a:srgbClr val="008000"/>
                                </a:solidFill>
                              </wps:spPr>
                              <wps:bodyPr wrap="square" lIns="0" tIns="0" rIns="0" bIns="0" rtlCol="0">
                                <a:prstTxWarp prst="textNoShape">
                                  <a:avLst/>
                                </a:prstTxWarp>
                                <a:noAutofit/>
                              </wps:bodyPr>
                            </wps:wsp>
                            <wps:wsp>
                              <wps:cNvPr id="956" name="Graphic 956"/>
                              <wps:cNvSpPr/>
                              <wps:spPr>
                                <a:xfrm>
                                  <a:off x="1340" y="33492"/>
                                  <a:ext cx="5715" cy="1270"/>
                                </a:xfrm>
                                <a:custGeom>
                                  <a:avLst/>
                                  <a:gdLst/>
                                  <a:ahLst/>
                                  <a:cxnLst/>
                                  <a:rect l="l" t="t" r="r" b="b"/>
                                  <a:pathLst>
                                    <a:path w="5715" h="0">
                                      <a:moveTo>
                                        <a:pt x="0" y="0"/>
                                      </a:moveTo>
                                      <a:lnTo>
                                        <a:pt x="5361" y="0"/>
                                      </a:lnTo>
                                    </a:path>
                                  </a:pathLst>
                                </a:custGeom>
                                <a:ln w="2679">
                                  <a:solidFill>
                                    <a:srgbClr val="008000"/>
                                  </a:solidFill>
                                  <a:prstDash val="solid"/>
                                </a:ln>
                              </wps:spPr>
                              <wps:bodyPr wrap="square" lIns="0" tIns="0" rIns="0" bIns="0" rtlCol="0">
                                <a:prstTxWarp prst="textNoShape">
                                  <a:avLst/>
                                </a:prstTxWarp>
                                <a:noAutofit/>
                              </wps:bodyPr>
                            </wps:wsp>
                            <wps:wsp>
                              <wps:cNvPr id="957" name="Graphic 957"/>
                              <wps:cNvSpPr/>
                              <wps:spPr>
                                <a:xfrm>
                                  <a:off x="0" y="32152"/>
                                  <a:ext cx="8255" cy="3175"/>
                                </a:xfrm>
                                <a:custGeom>
                                  <a:avLst/>
                                  <a:gdLst/>
                                  <a:ahLst/>
                                  <a:cxnLst/>
                                  <a:rect l="l" t="t" r="r" b="b"/>
                                  <a:pathLst>
                                    <a:path w="8255" h="3175">
                                      <a:moveTo>
                                        <a:pt x="8042" y="0"/>
                                      </a:moveTo>
                                      <a:lnTo>
                                        <a:pt x="0" y="0"/>
                                      </a:lnTo>
                                      <a:lnTo>
                                        <a:pt x="0" y="2679"/>
                                      </a:lnTo>
                                      <a:lnTo>
                                        <a:pt x="8042" y="2679"/>
                                      </a:lnTo>
                                      <a:lnTo>
                                        <a:pt x="8042" y="0"/>
                                      </a:lnTo>
                                      <a:close/>
                                    </a:path>
                                  </a:pathLst>
                                </a:custGeom>
                                <a:solidFill>
                                  <a:srgbClr val="008000"/>
                                </a:solidFill>
                              </wps:spPr>
                              <wps:bodyPr wrap="square" lIns="0" tIns="0" rIns="0" bIns="0" rtlCol="0">
                                <a:prstTxWarp prst="textNoShape">
                                  <a:avLst/>
                                </a:prstTxWarp>
                                <a:noAutofit/>
                              </wps:bodyPr>
                            </wps:wsp>
                            <wps:wsp>
                              <wps:cNvPr id="958" name="Graphic 958"/>
                              <wps:cNvSpPr/>
                              <wps:spPr>
                                <a:xfrm>
                                  <a:off x="1340" y="36171"/>
                                  <a:ext cx="3175" cy="1270"/>
                                </a:xfrm>
                                <a:custGeom>
                                  <a:avLst/>
                                  <a:gdLst/>
                                  <a:ahLst/>
                                  <a:cxnLst/>
                                  <a:rect l="l" t="t" r="r" b="b"/>
                                  <a:pathLst>
                                    <a:path w="3175" h="0">
                                      <a:moveTo>
                                        <a:pt x="0" y="0"/>
                                      </a:moveTo>
                                      <a:lnTo>
                                        <a:pt x="2680" y="0"/>
                                      </a:lnTo>
                                    </a:path>
                                  </a:pathLst>
                                </a:custGeom>
                                <a:ln w="2679">
                                  <a:solidFill>
                                    <a:srgbClr val="008000"/>
                                  </a:solidFill>
                                  <a:prstDash val="solid"/>
                                </a:ln>
                              </wps:spPr>
                              <wps:bodyPr wrap="square" lIns="0" tIns="0" rIns="0" bIns="0" rtlCol="0">
                                <a:prstTxWarp prst="textNoShape">
                                  <a:avLst/>
                                </a:prstTxWarp>
                                <a:noAutofit/>
                              </wps:bodyPr>
                            </wps:wsp>
                            <wps:wsp>
                              <wps:cNvPr id="959" name="Graphic 959"/>
                              <wps:cNvSpPr/>
                              <wps:spPr>
                                <a:xfrm>
                                  <a:off x="-7" y="34839"/>
                                  <a:ext cx="5715" cy="5715"/>
                                </a:xfrm>
                                <a:custGeom>
                                  <a:avLst/>
                                  <a:gdLst/>
                                  <a:ahLst/>
                                  <a:cxnLst/>
                                  <a:rect l="l" t="t" r="r" b="b"/>
                                  <a:pathLst>
                                    <a:path w="5715" h="5715">
                                      <a:moveTo>
                                        <a:pt x="5359" y="0"/>
                                      </a:moveTo>
                                      <a:lnTo>
                                        <a:pt x="0" y="0"/>
                                      </a:lnTo>
                                      <a:lnTo>
                                        <a:pt x="0" y="2679"/>
                                      </a:lnTo>
                                      <a:lnTo>
                                        <a:pt x="0" y="5359"/>
                                      </a:lnTo>
                                      <a:lnTo>
                                        <a:pt x="2679" y="5359"/>
                                      </a:lnTo>
                                      <a:lnTo>
                                        <a:pt x="2679" y="2679"/>
                                      </a:lnTo>
                                      <a:lnTo>
                                        <a:pt x="5359" y="2679"/>
                                      </a:lnTo>
                                      <a:lnTo>
                                        <a:pt x="5359"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style="position:absolute;margin-left:208.129044pt;margin-top:4.003963pt;width:3.2pt;height:3.2pt;mso-position-horizontal-relative:column;mso-position-vertical-relative:paragraph;z-index:-29599232" id="docshapegroup906" coordorigin="4163,80" coordsize="64,64">
                      <v:line style="position:absolute" from="4165,82" to="4224,82" stroked="true" strokeweight=".210977pt" strokecolor="#008000">
                        <v:stroke dashstyle="solid"/>
                      </v:line>
                      <v:rect style="position:absolute;left:4162;top:80;width:64;height:5" id="docshape907" filled="true" fillcolor="#008000" stroked="false">
                        <v:fill type="solid"/>
                      </v:rect>
                      <v:line style="position:absolute" from="4165,86" to="4220,86" stroked="true" strokeweight=".210977pt" strokecolor="#008000">
                        <v:stroke dashstyle="solid"/>
                      </v:line>
                      <v:rect style="position:absolute;left:4162;top:84;width:60;height:5" id="docshape908" filled="true" fillcolor="#008000" stroked="false">
                        <v:fill type="solid"/>
                      </v:rect>
                      <v:line style="position:absolute" from="4165,91" to="4215,91" stroked="true" strokeweight=".210977pt" strokecolor="#008000">
                        <v:stroke dashstyle="solid"/>
                      </v:line>
                      <v:rect style="position:absolute;left:4162;top:88;width:55;height:5" id="docshape909" filled="true" fillcolor="#008000" stroked="false">
                        <v:fill type="solid"/>
                      </v:rect>
                      <v:line style="position:absolute" from="4165,95" to="4211,95" stroked="true" strokeweight=".210977pt" strokecolor="#008000">
                        <v:stroke dashstyle="solid"/>
                      </v:line>
                      <v:rect style="position:absolute;left:4162;top:92;width:51;height:5" id="docshape910" filled="true" fillcolor="#008000" stroked="false">
                        <v:fill type="solid"/>
                      </v:rect>
                      <v:line style="position:absolute" from="4165,99" to="4207,99" stroked="true" strokeweight=".210977pt" strokecolor="#008000">
                        <v:stroke dashstyle="solid"/>
                      </v:line>
                      <v:rect style="position:absolute;left:4162;top:96;width:47;height:5" id="docshape911" filled="true" fillcolor="#008000" stroked="false">
                        <v:fill type="solid"/>
                      </v:rect>
                      <v:line style="position:absolute" from="4165,103" to="4203,103" stroked="true" strokeweight=".210977pt" strokecolor="#008000">
                        <v:stroke dashstyle="solid"/>
                      </v:line>
                      <v:rect style="position:absolute;left:4162;top:101;width:43;height:5" id="docshape912" filled="true" fillcolor="#008000" stroked="false">
                        <v:fill type="solid"/>
                      </v:rect>
                      <v:line style="position:absolute" from="4165,108" to="4198,108" stroked="true" strokeweight=".210977pt" strokecolor="#008000">
                        <v:stroke dashstyle="solid"/>
                      </v:line>
                      <v:rect style="position:absolute;left:4162;top:105;width:38;height:5" id="docshape913" filled="true" fillcolor="#008000" stroked="false">
                        <v:fill type="solid"/>
                      </v:rect>
                      <v:line style="position:absolute" from="4165,112" to="4194,112" stroked="true" strokeweight=".210977pt" strokecolor="#008000">
                        <v:stroke dashstyle="solid"/>
                      </v:line>
                      <v:rect style="position:absolute;left:4162;top:109;width:34;height:5" id="docshape914" filled="true" fillcolor="#008000" stroked="false">
                        <v:fill type="solid"/>
                      </v:rect>
                      <v:line style="position:absolute" from="4165,116" to="4190,116" stroked="true" strokeweight=".210977pt" strokecolor="#008000">
                        <v:stroke dashstyle="solid"/>
                      </v:line>
                      <v:rect style="position:absolute;left:4162;top:113;width:30;height:5" id="docshape915" filled="true" fillcolor="#008000" stroked="false">
                        <v:fill type="solid"/>
                      </v:rect>
                      <v:line style="position:absolute" from="4165,120" to="4186,120" stroked="true" strokeweight=".210977pt" strokecolor="#008000">
                        <v:stroke dashstyle="solid"/>
                      </v:line>
                      <v:rect style="position:absolute;left:4162;top:118;width:26;height:5" id="docshape916" filled="true" fillcolor="#008000" stroked="false">
                        <v:fill type="solid"/>
                      </v:rect>
                      <v:line style="position:absolute" from="4165,124" to="4182,124" stroked="true" strokeweight=".210977pt" strokecolor="#008000">
                        <v:stroke dashstyle="solid"/>
                      </v:line>
                      <v:rect style="position:absolute;left:4162;top:122;width:22;height:5" id="docshape917" filled="true" fillcolor="#008000" stroked="false">
                        <v:fill type="solid"/>
                      </v:rect>
                      <v:line style="position:absolute" from="4165,129" to="4177,129" stroked="true" strokeweight=".210977pt" strokecolor="#008000">
                        <v:stroke dashstyle="solid"/>
                      </v:line>
                      <v:rect style="position:absolute;left:4162;top:126;width:17;height:5" id="docshape918" filled="true" fillcolor="#008000" stroked="false">
                        <v:fill type="solid"/>
                      </v:rect>
                      <v:line style="position:absolute" from="4165,133" to="4173,133" stroked="true" strokeweight=".210977pt" strokecolor="#008000">
                        <v:stroke dashstyle="solid"/>
                      </v:line>
                      <v:rect style="position:absolute;left:4162;top:130;width:13;height:5" id="docshape919" filled="true" fillcolor="#008000" stroked="false">
                        <v:fill type="solid"/>
                      </v:rect>
                      <v:line style="position:absolute" from="4165,137" to="4169,137" stroked="true" strokeweight=".210977pt" strokecolor="#008000">
                        <v:stroke dashstyle="solid"/>
                      </v:line>
                      <v:shape style="position:absolute;left:4162;top:134;width:9;height:9" id="docshape920" coordorigin="4163,135" coordsize="9,9" path="m4171,135l4163,135,4163,139,4163,143,4167,143,4167,139,4171,139,4171,135xe" filled="true" fillcolor="#008000" stroked="false">
                        <v:path arrowok="t"/>
                        <v:fill type="solid"/>
                      </v:shape>
                      <w10:wrap type="none"/>
                    </v:group>
                  </w:pict>
                </mc:Fallback>
              </mc:AlternateContent>
            </w:r>
            <w:r>
              <w:rPr>
                <w:b/>
                <w:sz w:val="15"/>
              </w:rPr>
              <mc:AlternateContent>
                <mc:Choice Requires="wps">
                  <w:drawing>
                    <wp:anchor distT="0" distB="0" distL="0" distR="0" allowOverlap="1" layoutInCell="1" locked="0" behindDoc="1" simplePos="0" relativeHeight="473717760">
                      <wp:simplePos x="0" y="0"/>
                      <wp:positionH relativeFrom="column">
                        <wp:posOffset>3466681</wp:posOffset>
                      </wp:positionH>
                      <wp:positionV relativeFrom="paragraph">
                        <wp:posOffset>50850</wp:posOffset>
                      </wp:positionV>
                      <wp:extent cx="40640" cy="40640"/>
                      <wp:effectExtent l="0" t="0" r="0" b="0"/>
                      <wp:wrapNone/>
                      <wp:docPr id="960" name="Group 960"/>
                      <wp:cNvGraphicFramePr>
                        <a:graphicFrameLocks/>
                      </wp:cNvGraphicFramePr>
                      <a:graphic>
                        <a:graphicData uri="http://schemas.microsoft.com/office/word/2010/wordprocessingGroup">
                          <wpg:wgp>
                            <wpg:cNvPr id="960" name="Group 960"/>
                            <wpg:cNvGrpSpPr/>
                            <wpg:grpSpPr>
                              <a:xfrm>
                                <a:off x="0" y="0"/>
                                <a:ext cx="40640" cy="40640"/>
                                <a:chExt cx="40640" cy="40640"/>
                              </a:xfrm>
                            </wpg:grpSpPr>
                            <wps:wsp>
                              <wps:cNvPr id="961" name="Graphic 961"/>
                              <wps:cNvSpPr/>
                              <wps:spPr>
                                <a:xfrm>
                                  <a:off x="1340" y="1339"/>
                                  <a:ext cx="38100" cy="1270"/>
                                </a:xfrm>
                                <a:custGeom>
                                  <a:avLst/>
                                  <a:gdLst/>
                                  <a:ahLst/>
                                  <a:cxnLst/>
                                  <a:rect l="l" t="t" r="r" b="b"/>
                                  <a:pathLst>
                                    <a:path w="38100" h="0">
                                      <a:moveTo>
                                        <a:pt x="0" y="0"/>
                                      </a:moveTo>
                                      <a:lnTo>
                                        <a:pt x="37530" y="0"/>
                                      </a:lnTo>
                                    </a:path>
                                  </a:pathLst>
                                </a:custGeom>
                                <a:ln w="2679">
                                  <a:solidFill>
                                    <a:srgbClr val="008000"/>
                                  </a:solidFill>
                                  <a:prstDash val="solid"/>
                                </a:ln>
                              </wps:spPr>
                              <wps:bodyPr wrap="square" lIns="0" tIns="0" rIns="0" bIns="0" rtlCol="0">
                                <a:prstTxWarp prst="textNoShape">
                                  <a:avLst/>
                                </a:prstTxWarp>
                                <a:noAutofit/>
                              </wps:bodyPr>
                            </wps:wsp>
                            <wps:wsp>
                              <wps:cNvPr id="962" name="Graphic 962"/>
                              <wps:cNvSpPr/>
                              <wps:spPr>
                                <a:xfrm>
                                  <a:off x="0" y="0"/>
                                  <a:ext cx="40640" cy="3175"/>
                                </a:xfrm>
                                <a:custGeom>
                                  <a:avLst/>
                                  <a:gdLst/>
                                  <a:ahLst/>
                                  <a:cxnLst/>
                                  <a:rect l="l" t="t" r="r" b="b"/>
                                  <a:pathLst>
                                    <a:path w="40640" h="3175">
                                      <a:moveTo>
                                        <a:pt x="40211" y="0"/>
                                      </a:moveTo>
                                      <a:lnTo>
                                        <a:pt x="0" y="0"/>
                                      </a:lnTo>
                                      <a:lnTo>
                                        <a:pt x="0" y="2679"/>
                                      </a:lnTo>
                                      <a:lnTo>
                                        <a:pt x="40211" y="2679"/>
                                      </a:lnTo>
                                      <a:lnTo>
                                        <a:pt x="40211" y="0"/>
                                      </a:lnTo>
                                      <a:close/>
                                    </a:path>
                                  </a:pathLst>
                                </a:custGeom>
                                <a:solidFill>
                                  <a:srgbClr val="008000"/>
                                </a:solidFill>
                              </wps:spPr>
                              <wps:bodyPr wrap="square" lIns="0" tIns="0" rIns="0" bIns="0" rtlCol="0">
                                <a:prstTxWarp prst="textNoShape">
                                  <a:avLst/>
                                </a:prstTxWarp>
                                <a:noAutofit/>
                              </wps:bodyPr>
                            </wps:wsp>
                            <wps:wsp>
                              <wps:cNvPr id="963" name="Graphic 963"/>
                              <wps:cNvSpPr/>
                              <wps:spPr>
                                <a:xfrm>
                                  <a:off x="1340" y="4019"/>
                                  <a:ext cx="34925" cy="1270"/>
                                </a:xfrm>
                                <a:custGeom>
                                  <a:avLst/>
                                  <a:gdLst/>
                                  <a:ahLst/>
                                  <a:cxnLst/>
                                  <a:rect l="l" t="t" r="r" b="b"/>
                                  <a:pathLst>
                                    <a:path w="34925" h="0">
                                      <a:moveTo>
                                        <a:pt x="0" y="0"/>
                                      </a:moveTo>
                                      <a:lnTo>
                                        <a:pt x="34850" y="0"/>
                                      </a:lnTo>
                                    </a:path>
                                  </a:pathLst>
                                </a:custGeom>
                                <a:ln w="2679">
                                  <a:solidFill>
                                    <a:srgbClr val="008000"/>
                                  </a:solidFill>
                                  <a:prstDash val="solid"/>
                                </a:ln>
                              </wps:spPr>
                              <wps:bodyPr wrap="square" lIns="0" tIns="0" rIns="0" bIns="0" rtlCol="0">
                                <a:prstTxWarp prst="textNoShape">
                                  <a:avLst/>
                                </a:prstTxWarp>
                                <a:noAutofit/>
                              </wps:bodyPr>
                            </wps:wsp>
                            <wps:wsp>
                              <wps:cNvPr id="964" name="Graphic 964"/>
                              <wps:cNvSpPr/>
                              <wps:spPr>
                                <a:xfrm>
                                  <a:off x="0" y="2679"/>
                                  <a:ext cx="38100" cy="3175"/>
                                </a:xfrm>
                                <a:custGeom>
                                  <a:avLst/>
                                  <a:gdLst/>
                                  <a:ahLst/>
                                  <a:cxnLst/>
                                  <a:rect l="l" t="t" r="r" b="b"/>
                                  <a:pathLst>
                                    <a:path w="38100" h="3175">
                                      <a:moveTo>
                                        <a:pt x="37530" y="0"/>
                                      </a:moveTo>
                                      <a:lnTo>
                                        <a:pt x="0" y="0"/>
                                      </a:lnTo>
                                      <a:lnTo>
                                        <a:pt x="0" y="2679"/>
                                      </a:lnTo>
                                      <a:lnTo>
                                        <a:pt x="37530" y="2679"/>
                                      </a:lnTo>
                                      <a:lnTo>
                                        <a:pt x="37530" y="0"/>
                                      </a:lnTo>
                                      <a:close/>
                                    </a:path>
                                  </a:pathLst>
                                </a:custGeom>
                                <a:solidFill>
                                  <a:srgbClr val="008000"/>
                                </a:solidFill>
                              </wps:spPr>
                              <wps:bodyPr wrap="square" lIns="0" tIns="0" rIns="0" bIns="0" rtlCol="0">
                                <a:prstTxWarp prst="textNoShape">
                                  <a:avLst/>
                                </a:prstTxWarp>
                                <a:noAutofit/>
                              </wps:bodyPr>
                            </wps:wsp>
                            <wps:wsp>
                              <wps:cNvPr id="965" name="Graphic 965"/>
                              <wps:cNvSpPr/>
                              <wps:spPr>
                                <a:xfrm>
                                  <a:off x="1340" y="6698"/>
                                  <a:ext cx="32384" cy="1270"/>
                                </a:xfrm>
                                <a:custGeom>
                                  <a:avLst/>
                                  <a:gdLst/>
                                  <a:ahLst/>
                                  <a:cxnLst/>
                                  <a:rect l="l" t="t" r="r" b="b"/>
                                  <a:pathLst>
                                    <a:path w="32384" h="0">
                                      <a:moveTo>
                                        <a:pt x="0" y="0"/>
                                      </a:moveTo>
                                      <a:lnTo>
                                        <a:pt x="32169" y="0"/>
                                      </a:lnTo>
                                    </a:path>
                                  </a:pathLst>
                                </a:custGeom>
                                <a:ln w="2679">
                                  <a:solidFill>
                                    <a:srgbClr val="008000"/>
                                  </a:solidFill>
                                  <a:prstDash val="solid"/>
                                </a:ln>
                              </wps:spPr>
                              <wps:bodyPr wrap="square" lIns="0" tIns="0" rIns="0" bIns="0" rtlCol="0">
                                <a:prstTxWarp prst="textNoShape">
                                  <a:avLst/>
                                </a:prstTxWarp>
                                <a:noAutofit/>
                              </wps:bodyPr>
                            </wps:wsp>
                            <wps:wsp>
                              <wps:cNvPr id="966" name="Graphic 966"/>
                              <wps:cNvSpPr/>
                              <wps:spPr>
                                <a:xfrm>
                                  <a:off x="0" y="5358"/>
                                  <a:ext cx="34925" cy="3175"/>
                                </a:xfrm>
                                <a:custGeom>
                                  <a:avLst/>
                                  <a:gdLst/>
                                  <a:ahLst/>
                                  <a:cxnLst/>
                                  <a:rect l="l" t="t" r="r" b="b"/>
                                  <a:pathLst>
                                    <a:path w="34925" h="3175">
                                      <a:moveTo>
                                        <a:pt x="34850" y="0"/>
                                      </a:moveTo>
                                      <a:lnTo>
                                        <a:pt x="0" y="0"/>
                                      </a:lnTo>
                                      <a:lnTo>
                                        <a:pt x="0" y="2679"/>
                                      </a:lnTo>
                                      <a:lnTo>
                                        <a:pt x="34850" y="2679"/>
                                      </a:lnTo>
                                      <a:lnTo>
                                        <a:pt x="34850" y="0"/>
                                      </a:lnTo>
                                      <a:close/>
                                    </a:path>
                                  </a:pathLst>
                                </a:custGeom>
                                <a:solidFill>
                                  <a:srgbClr val="008000"/>
                                </a:solidFill>
                              </wps:spPr>
                              <wps:bodyPr wrap="square" lIns="0" tIns="0" rIns="0" bIns="0" rtlCol="0">
                                <a:prstTxWarp prst="textNoShape">
                                  <a:avLst/>
                                </a:prstTxWarp>
                                <a:noAutofit/>
                              </wps:bodyPr>
                            </wps:wsp>
                            <wps:wsp>
                              <wps:cNvPr id="967" name="Graphic 967"/>
                              <wps:cNvSpPr/>
                              <wps:spPr>
                                <a:xfrm>
                                  <a:off x="1340" y="9377"/>
                                  <a:ext cx="29845" cy="1270"/>
                                </a:xfrm>
                                <a:custGeom>
                                  <a:avLst/>
                                  <a:gdLst/>
                                  <a:ahLst/>
                                  <a:cxnLst/>
                                  <a:rect l="l" t="t" r="r" b="b"/>
                                  <a:pathLst>
                                    <a:path w="29845" h="0">
                                      <a:moveTo>
                                        <a:pt x="0" y="0"/>
                                      </a:moveTo>
                                      <a:lnTo>
                                        <a:pt x="29488" y="0"/>
                                      </a:lnTo>
                                    </a:path>
                                  </a:pathLst>
                                </a:custGeom>
                                <a:ln w="2679">
                                  <a:solidFill>
                                    <a:srgbClr val="008000"/>
                                  </a:solidFill>
                                  <a:prstDash val="solid"/>
                                </a:ln>
                              </wps:spPr>
                              <wps:bodyPr wrap="square" lIns="0" tIns="0" rIns="0" bIns="0" rtlCol="0">
                                <a:prstTxWarp prst="textNoShape">
                                  <a:avLst/>
                                </a:prstTxWarp>
                                <a:noAutofit/>
                              </wps:bodyPr>
                            </wps:wsp>
                            <wps:wsp>
                              <wps:cNvPr id="968" name="Graphic 968"/>
                              <wps:cNvSpPr/>
                              <wps:spPr>
                                <a:xfrm>
                                  <a:off x="0" y="8038"/>
                                  <a:ext cx="32384" cy="3175"/>
                                </a:xfrm>
                                <a:custGeom>
                                  <a:avLst/>
                                  <a:gdLst/>
                                  <a:ahLst/>
                                  <a:cxnLst/>
                                  <a:rect l="l" t="t" r="r" b="b"/>
                                  <a:pathLst>
                                    <a:path w="32384" h="3175">
                                      <a:moveTo>
                                        <a:pt x="32169" y="0"/>
                                      </a:moveTo>
                                      <a:lnTo>
                                        <a:pt x="0" y="0"/>
                                      </a:lnTo>
                                      <a:lnTo>
                                        <a:pt x="0" y="2679"/>
                                      </a:lnTo>
                                      <a:lnTo>
                                        <a:pt x="32169" y="2679"/>
                                      </a:lnTo>
                                      <a:lnTo>
                                        <a:pt x="32169" y="0"/>
                                      </a:lnTo>
                                      <a:close/>
                                    </a:path>
                                  </a:pathLst>
                                </a:custGeom>
                                <a:solidFill>
                                  <a:srgbClr val="008000"/>
                                </a:solidFill>
                              </wps:spPr>
                              <wps:bodyPr wrap="square" lIns="0" tIns="0" rIns="0" bIns="0" rtlCol="0">
                                <a:prstTxWarp prst="textNoShape">
                                  <a:avLst/>
                                </a:prstTxWarp>
                                <a:noAutofit/>
                              </wps:bodyPr>
                            </wps:wsp>
                            <wps:wsp>
                              <wps:cNvPr id="969" name="Graphic 969"/>
                              <wps:cNvSpPr/>
                              <wps:spPr>
                                <a:xfrm>
                                  <a:off x="1340" y="12057"/>
                                  <a:ext cx="27305" cy="1270"/>
                                </a:xfrm>
                                <a:custGeom>
                                  <a:avLst/>
                                  <a:gdLst/>
                                  <a:ahLst/>
                                  <a:cxnLst/>
                                  <a:rect l="l" t="t" r="r" b="b"/>
                                  <a:pathLst>
                                    <a:path w="27305" h="0">
                                      <a:moveTo>
                                        <a:pt x="0" y="0"/>
                                      </a:moveTo>
                                      <a:lnTo>
                                        <a:pt x="26807" y="0"/>
                                      </a:lnTo>
                                    </a:path>
                                  </a:pathLst>
                                </a:custGeom>
                                <a:ln w="2679">
                                  <a:solidFill>
                                    <a:srgbClr val="008000"/>
                                  </a:solidFill>
                                  <a:prstDash val="solid"/>
                                </a:ln>
                              </wps:spPr>
                              <wps:bodyPr wrap="square" lIns="0" tIns="0" rIns="0" bIns="0" rtlCol="0">
                                <a:prstTxWarp prst="textNoShape">
                                  <a:avLst/>
                                </a:prstTxWarp>
                                <a:noAutofit/>
                              </wps:bodyPr>
                            </wps:wsp>
                            <wps:wsp>
                              <wps:cNvPr id="970" name="Graphic 970"/>
                              <wps:cNvSpPr/>
                              <wps:spPr>
                                <a:xfrm>
                                  <a:off x="0" y="10717"/>
                                  <a:ext cx="29845" cy="3175"/>
                                </a:xfrm>
                                <a:custGeom>
                                  <a:avLst/>
                                  <a:gdLst/>
                                  <a:ahLst/>
                                  <a:cxnLst/>
                                  <a:rect l="l" t="t" r="r" b="b"/>
                                  <a:pathLst>
                                    <a:path w="29845" h="3175">
                                      <a:moveTo>
                                        <a:pt x="29488" y="0"/>
                                      </a:moveTo>
                                      <a:lnTo>
                                        <a:pt x="0" y="0"/>
                                      </a:lnTo>
                                      <a:lnTo>
                                        <a:pt x="0" y="2679"/>
                                      </a:lnTo>
                                      <a:lnTo>
                                        <a:pt x="29488" y="2679"/>
                                      </a:lnTo>
                                      <a:lnTo>
                                        <a:pt x="29488" y="0"/>
                                      </a:lnTo>
                                      <a:close/>
                                    </a:path>
                                  </a:pathLst>
                                </a:custGeom>
                                <a:solidFill>
                                  <a:srgbClr val="008000"/>
                                </a:solidFill>
                              </wps:spPr>
                              <wps:bodyPr wrap="square" lIns="0" tIns="0" rIns="0" bIns="0" rtlCol="0">
                                <a:prstTxWarp prst="textNoShape">
                                  <a:avLst/>
                                </a:prstTxWarp>
                                <a:noAutofit/>
                              </wps:bodyPr>
                            </wps:wsp>
                            <wps:wsp>
                              <wps:cNvPr id="971" name="Graphic 971"/>
                              <wps:cNvSpPr/>
                              <wps:spPr>
                                <a:xfrm>
                                  <a:off x="1340" y="14736"/>
                                  <a:ext cx="24130" cy="1270"/>
                                </a:xfrm>
                                <a:custGeom>
                                  <a:avLst/>
                                  <a:gdLst/>
                                  <a:ahLst/>
                                  <a:cxnLst/>
                                  <a:rect l="l" t="t" r="r" b="b"/>
                                  <a:pathLst>
                                    <a:path w="24130" h="0">
                                      <a:moveTo>
                                        <a:pt x="0" y="0"/>
                                      </a:moveTo>
                                      <a:lnTo>
                                        <a:pt x="24126" y="0"/>
                                      </a:lnTo>
                                    </a:path>
                                  </a:pathLst>
                                </a:custGeom>
                                <a:ln w="2679">
                                  <a:solidFill>
                                    <a:srgbClr val="008000"/>
                                  </a:solidFill>
                                  <a:prstDash val="solid"/>
                                </a:ln>
                              </wps:spPr>
                              <wps:bodyPr wrap="square" lIns="0" tIns="0" rIns="0" bIns="0" rtlCol="0">
                                <a:prstTxWarp prst="textNoShape">
                                  <a:avLst/>
                                </a:prstTxWarp>
                                <a:noAutofit/>
                              </wps:bodyPr>
                            </wps:wsp>
                            <wps:wsp>
                              <wps:cNvPr id="972" name="Graphic 972"/>
                              <wps:cNvSpPr/>
                              <wps:spPr>
                                <a:xfrm>
                                  <a:off x="0" y="13397"/>
                                  <a:ext cx="27305" cy="3175"/>
                                </a:xfrm>
                                <a:custGeom>
                                  <a:avLst/>
                                  <a:gdLst/>
                                  <a:ahLst/>
                                  <a:cxnLst/>
                                  <a:rect l="l" t="t" r="r" b="b"/>
                                  <a:pathLst>
                                    <a:path w="27305" h="3175">
                                      <a:moveTo>
                                        <a:pt x="26807" y="0"/>
                                      </a:moveTo>
                                      <a:lnTo>
                                        <a:pt x="0" y="0"/>
                                      </a:lnTo>
                                      <a:lnTo>
                                        <a:pt x="0" y="2679"/>
                                      </a:lnTo>
                                      <a:lnTo>
                                        <a:pt x="26807" y="2679"/>
                                      </a:lnTo>
                                      <a:lnTo>
                                        <a:pt x="26807" y="0"/>
                                      </a:lnTo>
                                      <a:close/>
                                    </a:path>
                                  </a:pathLst>
                                </a:custGeom>
                                <a:solidFill>
                                  <a:srgbClr val="008000"/>
                                </a:solidFill>
                              </wps:spPr>
                              <wps:bodyPr wrap="square" lIns="0" tIns="0" rIns="0" bIns="0" rtlCol="0">
                                <a:prstTxWarp prst="textNoShape">
                                  <a:avLst/>
                                </a:prstTxWarp>
                                <a:noAutofit/>
                              </wps:bodyPr>
                            </wps:wsp>
                            <wps:wsp>
                              <wps:cNvPr id="973" name="Graphic 973"/>
                              <wps:cNvSpPr/>
                              <wps:spPr>
                                <a:xfrm>
                                  <a:off x="1340" y="17416"/>
                                  <a:ext cx="21590" cy="1270"/>
                                </a:xfrm>
                                <a:custGeom>
                                  <a:avLst/>
                                  <a:gdLst/>
                                  <a:ahLst/>
                                  <a:cxnLst/>
                                  <a:rect l="l" t="t" r="r" b="b"/>
                                  <a:pathLst>
                                    <a:path w="21590" h="0">
                                      <a:moveTo>
                                        <a:pt x="0" y="0"/>
                                      </a:moveTo>
                                      <a:lnTo>
                                        <a:pt x="21446" y="0"/>
                                      </a:lnTo>
                                    </a:path>
                                  </a:pathLst>
                                </a:custGeom>
                                <a:ln w="2679">
                                  <a:solidFill>
                                    <a:srgbClr val="008000"/>
                                  </a:solidFill>
                                  <a:prstDash val="solid"/>
                                </a:ln>
                              </wps:spPr>
                              <wps:bodyPr wrap="square" lIns="0" tIns="0" rIns="0" bIns="0" rtlCol="0">
                                <a:prstTxWarp prst="textNoShape">
                                  <a:avLst/>
                                </a:prstTxWarp>
                                <a:noAutofit/>
                              </wps:bodyPr>
                            </wps:wsp>
                            <wps:wsp>
                              <wps:cNvPr id="974" name="Graphic 974"/>
                              <wps:cNvSpPr/>
                              <wps:spPr>
                                <a:xfrm>
                                  <a:off x="0" y="16076"/>
                                  <a:ext cx="24130" cy="3175"/>
                                </a:xfrm>
                                <a:custGeom>
                                  <a:avLst/>
                                  <a:gdLst/>
                                  <a:ahLst/>
                                  <a:cxnLst/>
                                  <a:rect l="l" t="t" r="r" b="b"/>
                                  <a:pathLst>
                                    <a:path w="24130" h="3175">
                                      <a:moveTo>
                                        <a:pt x="24126" y="0"/>
                                      </a:moveTo>
                                      <a:lnTo>
                                        <a:pt x="0" y="0"/>
                                      </a:lnTo>
                                      <a:lnTo>
                                        <a:pt x="0" y="2679"/>
                                      </a:lnTo>
                                      <a:lnTo>
                                        <a:pt x="24126" y="2679"/>
                                      </a:lnTo>
                                      <a:lnTo>
                                        <a:pt x="24126" y="0"/>
                                      </a:lnTo>
                                      <a:close/>
                                    </a:path>
                                  </a:pathLst>
                                </a:custGeom>
                                <a:solidFill>
                                  <a:srgbClr val="008000"/>
                                </a:solidFill>
                              </wps:spPr>
                              <wps:bodyPr wrap="square" lIns="0" tIns="0" rIns="0" bIns="0" rtlCol="0">
                                <a:prstTxWarp prst="textNoShape">
                                  <a:avLst/>
                                </a:prstTxWarp>
                                <a:noAutofit/>
                              </wps:bodyPr>
                            </wps:wsp>
                            <wps:wsp>
                              <wps:cNvPr id="975" name="Graphic 975"/>
                              <wps:cNvSpPr/>
                              <wps:spPr>
                                <a:xfrm>
                                  <a:off x="1340" y="20095"/>
                                  <a:ext cx="19050" cy="1270"/>
                                </a:xfrm>
                                <a:custGeom>
                                  <a:avLst/>
                                  <a:gdLst/>
                                  <a:ahLst/>
                                  <a:cxnLst/>
                                  <a:rect l="l" t="t" r="r" b="b"/>
                                  <a:pathLst>
                                    <a:path w="19050" h="0">
                                      <a:moveTo>
                                        <a:pt x="0" y="0"/>
                                      </a:moveTo>
                                      <a:lnTo>
                                        <a:pt x="18765" y="0"/>
                                      </a:lnTo>
                                    </a:path>
                                  </a:pathLst>
                                </a:custGeom>
                                <a:ln w="2679">
                                  <a:solidFill>
                                    <a:srgbClr val="008000"/>
                                  </a:solidFill>
                                  <a:prstDash val="solid"/>
                                </a:ln>
                              </wps:spPr>
                              <wps:bodyPr wrap="square" lIns="0" tIns="0" rIns="0" bIns="0" rtlCol="0">
                                <a:prstTxWarp prst="textNoShape">
                                  <a:avLst/>
                                </a:prstTxWarp>
                                <a:noAutofit/>
                              </wps:bodyPr>
                            </wps:wsp>
                            <wps:wsp>
                              <wps:cNvPr id="976" name="Graphic 976"/>
                              <wps:cNvSpPr/>
                              <wps:spPr>
                                <a:xfrm>
                                  <a:off x="0" y="18755"/>
                                  <a:ext cx="21590" cy="3175"/>
                                </a:xfrm>
                                <a:custGeom>
                                  <a:avLst/>
                                  <a:gdLst/>
                                  <a:ahLst/>
                                  <a:cxnLst/>
                                  <a:rect l="l" t="t" r="r" b="b"/>
                                  <a:pathLst>
                                    <a:path w="21590" h="3175">
                                      <a:moveTo>
                                        <a:pt x="21446" y="0"/>
                                      </a:moveTo>
                                      <a:lnTo>
                                        <a:pt x="0" y="0"/>
                                      </a:lnTo>
                                      <a:lnTo>
                                        <a:pt x="0" y="2679"/>
                                      </a:lnTo>
                                      <a:lnTo>
                                        <a:pt x="21446" y="2679"/>
                                      </a:lnTo>
                                      <a:lnTo>
                                        <a:pt x="21446" y="0"/>
                                      </a:lnTo>
                                      <a:close/>
                                    </a:path>
                                  </a:pathLst>
                                </a:custGeom>
                                <a:solidFill>
                                  <a:srgbClr val="008000"/>
                                </a:solidFill>
                              </wps:spPr>
                              <wps:bodyPr wrap="square" lIns="0" tIns="0" rIns="0" bIns="0" rtlCol="0">
                                <a:prstTxWarp prst="textNoShape">
                                  <a:avLst/>
                                </a:prstTxWarp>
                                <a:noAutofit/>
                              </wps:bodyPr>
                            </wps:wsp>
                            <wps:wsp>
                              <wps:cNvPr id="977" name="Graphic 977"/>
                              <wps:cNvSpPr/>
                              <wps:spPr>
                                <a:xfrm>
                                  <a:off x="1340" y="22774"/>
                                  <a:ext cx="16510" cy="1270"/>
                                </a:xfrm>
                                <a:custGeom>
                                  <a:avLst/>
                                  <a:gdLst/>
                                  <a:ahLst/>
                                  <a:cxnLst/>
                                  <a:rect l="l" t="t" r="r" b="b"/>
                                  <a:pathLst>
                                    <a:path w="16510" h="0">
                                      <a:moveTo>
                                        <a:pt x="0" y="0"/>
                                      </a:moveTo>
                                      <a:lnTo>
                                        <a:pt x="16084" y="0"/>
                                      </a:lnTo>
                                    </a:path>
                                  </a:pathLst>
                                </a:custGeom>
                                <a:ln w="2679">
                                  <a:solidFill>
                                    <a:srgbClr val="008000"/>
                                  </a:solidFill>
                                  <a:prstDash val="solid"/>
                                </a:ln>
                              </wps:spPr>
                              <wps:bodyPr wrap="square" lIns="0" tIns="0" rIns="0" bIns="0" rtlCol="0">
                                <a:prstTxWarp prst="textNoShape">
                                  <a:avLst/>
                                </a:prstTxWarp>
                                <a:noAutofit/>
                              </wps:bodyPr>
                            </wps:wsp>
                            <wps:wsp>
                              <wps:cNvPr id="978" name="Graphic 978"/>
                              <wps:cNvSpPr/>
                              <wps:spPr>
                                <a:xfrm>
                                  <a:off x="0" y="21435"/>
                                  <a:ext cx="19050" cy="3175"/>
                                </a:xfrm>
                                <a:custGeom>
                                  <a:avLst/>
                                  <a:gdLst/>
                                  <a:ahLst/>
                                  <a:cxnLst/>
                                  <a:rect l="l" t="t" r="r" b="b"/>
                                  <a:pathLst>
                                    <a:path w="19050" h="3175">
                                      <a:moveTo>
                                        <a:pt x="18765" y="0"/>
                                      </a:moveTo>
                                      <a:lnTo>
                                        <a:pt x="0" y="0"/>
                                      </a:lnTo>
                                      <a:lnTo>
                                        <a:pt x="0" y="2679"/>
                                      </a:lnTo>
                                      <a:lnTo>
                                        <a:pt x="18765" y="2679"/>
                                      </a:lnTo>
                                      <a:lnTo>
                                        <a:pt x="18765" y="0"/>
                                      </a:lnTo>
                                      <a:close/>
                                    </a:path>
                                  </a:pathLst>
                                </a:custGeom>
                                <a:solidFill>
                                  <a:srgbClr val="008000"/>
                                </a:solidFill>
                              </wps:spPr>
                              <wps:bodyPr wrap="square" lIns="0" tIns="0" rIns="0" bIns="0" rtlCol="0">
                                <a:prstTxWarp prst="textNoShape">
                                  <a:avLst/>
                                </a:prstTxWarp>
                                <a:noAutofit/>
                              </wps:bodyPr>
                            </wps:wsp>
                            <wps:wsp>
                              <wps:cNvPr id="979" name="Graphic 979"/>
                              <wps:cNvSpPr/>
                              <wps:spPr>
                                <a:xfrm>
                                  <a:off x="1340" y="25454"/>
                                  <a:ext cx="13970" cy="1270"/>
                                </a:xfrm>
                                <a:custGeom>
                                  <a:avLst/>
                                  <a:gdLst/>
                                  <a:ahLst/>
                                  <a:cxnLst/>
                                  <a:rect l="l" t="t" r="r" b="b"/>
                                  <a:pathLst>
                                    <a:path w="13970" h="0">
                                      <a:moveTo>
                                        <a:pt x="0" y="0"/>
                                      </a:moveTo>
                                      <a:lnTo>
                                        <a:pt x="13403" y="0"/>
                                      </a:lnTo>
                                    </a:path>
                                  </a:pathLst>
                                </a:custGeom>
                                <a:ln w="2679">
                                  <a:solidFill>
                                    <a:srgbClr val="008000"/>
                                  </a:solidFill>
                                  <a:prstDash val="solid"/>
                                </a:ln>
                              </wps:spPr>
                              <wps:bodyPr wrap="square" lIns="0" tIns="0" rIns="0" bIns="0" rtlCol="0">
                                <a:prstTxWarp prst="textNoShape">
                                  <a:avLst/>
                                </a:prstTxWarp>
                                <a:noAutofit/>
                              </wps:bodyPr>
                            </wps:wsp>
                            <wps:wsp>
                              <wps:cNvPr id="980" name="Graphic 980"/>
                              <wps:cNvSpPr/>
                              <wps:spPr>
                                <a:xfrm>
                                  <a:off x="0" y="24114"/>
                                  <a:ext cx="16510" cy="3175"/>
                                </a:xfrm>
                                <a:custGeom>
                                  <a:avLst/>
                                  <a:gdLst/>
                                  <a:ahLst/>
                                  <a:cxnLst/>
                                  <a:rect l="l" t="t" r="r" b="b"/>
                                  <a:pathLst>
                                    <a:path w="16510" h="3175">
                                      <a:moveTo>
                                        <a:pt x="16084" y="0"/>
                                      </a:moveTo>
                                      <a:lnTo>
                                        <a:pt x="0" y="0"/>
                                      </a:lnTo>
                                      <a:lnTo>
                                        <a:pt x="0" y="2679"/>
                                      </a:lnTo>
                                      <a:lnTo>
                                        <a:pt x="16084" y="2679"/>
                                      </a:lnTo>
                                      <a:lnTo>
                                        <a:pt x="16084" y="0"/>
                                      </a:lnTo>
                                      <a:close/>
                                    </a:path>
                                  </a:pathLst>
                                </a:custGeom>
                                <a:solidFill>
                                  <a:srgbClr val="008000"/>
                                </a:solidFill>
                              </wps:spPr>
                              <wps:bodyPr wrap="square" lIns="0" tIns="0" rIns="0" bIns="0" rtlCol="0">
                                <a:prstTxWarp prst="textNoShape">
                                  <a:avLst/>
                                </a:prstTxWarp>
                                <a:noAutofit/>
                              </wps:bodyPr>
                            </wps:wsp>
                            <wps:wsp>
                              <wps:cNvPr id="981" name="Graphic 981"/>
                              <wps:cNvSpPr/>
                              <wps:spPr>
                                <a:xfrm>
                                  <a:off x="1340" y="28133"/>
                                  <a:ext cx="10795" cy="1270"/>
                                </a:xfrm>
                                <a:custGeom>
                                  <a:avLst/>
                                  <a:gdLst/>
                                  <a:ahLst/>
                                  <a:cxnLst/>
                                  <a:rect l="l" t="t" r="r" b="b"/>
                                  <a:pathLst>
                                    <a:path w="10795" h="0">
                                      <a:moveTo>
                                        <a:pt x="0" y="0"/>
                                      </a:moveTo>
                                      <a:lnTo>
                                        <a:pt x="10723" y="0"/>
                                      </a:lnTo>
                                    </a:path>
                                  </a:pathLst>
                                </a:custGeom>
                                <a:ln w="2679">
                                  <a:solidFill>
                                    <a:srgbClr val="008000"/>
                                  </a:solidFill>
                                  <a:prstDash val="solid"/>
                                </a:ln>
                              </wps:spPr>
                              <wps:bodyPr wrap="square" lIns="0" tIns="0" rIns="0" bIns="0" rtlCol="0">
                                <a:prstTxWarp prst="textNoShape">
                                  <a:avLst/>
                                </a:prstTxWarp>
                                <a:noAutofit/>
                              </wps:bodyPr>
                            </wps:wsp>
                            <wps:wsp>
                              <wps:cNvPr id="982" name="Graphic 982"/>
                              <wps:cNvSpPr/>
                              <wps:spPr>
                                <a:xfrm>
                                  <a:off x="0" y="26794"/>
                                  <a:ext cx="13970" cy="3175"/>
                                </a:xfrm>
                                <a:custGeom>
                                  <a:avLst/>
                                  <a:gdLst/>
                                  <a:ahLst/>
                                  <a:cxnLst/>
                                  <a:rect l="l" t="t" r="r" b="b"/>
                                  <a:pathLst>
                                    <a:path w="13970" h="3175">
                                      <a:moveTo>
                                        <a:pt x="13403" y="0"/>
                                      </a:moveTo>
                                      <a:lnTo>
                                        <a:pt x="0" y="0"/>
                                      </a:lnTo>
                                      <a:lnTo>
                                        <a:pt x="0" y="2679"/>
                                      </a:lnTo>
                                      <a:lnTo>
                                        <a:pt x="13403" y="2679"/>
                                      </a:lnTo>
                                      <a:lnTo>
                                        <a:pt x="13403" y="0"/>
                                      </a:lnTo>
                                      <a:close/>
                                    </a:path>
                                  </a:pathLst>
                                </a:custGeom>
                                <a:solidFill>
                                  <a:srgbClr val="008000"/>
                                </a:solidFill>
                              </wps:spPr>
                              <wps:bodyPr wrap="square" lIns="0" tIns="0" rIns="0" bIns="0" rtlCol="0">
                                <a:prstTxWarp prst="textNoShape">
                                  <a:avLst/>
                                </a:prstTxWarp>
                                <a:noAutofit/>
                              </wps:bodyPr>
                            </wps:wsp>
                            <wps:wsp>
                              <wps:cNvPr id="983" name="Graphic 983"/>
                              <wps:cNvSpPr/>
                              <wps:spPr>
                                <a:xfrm>
                                  <a:off x="1340" y="30813"/>
                                  <a:ext cx="8255" cy="1270"/>
                                </a:xfrm>
                                <a:custGeom>
                                  <a:avLst/>
                                  <a:gdLst/>
                                  <a:ahLst/>
                                  <a:cxnLst/>
                                  <a:rect l="l" t="t" r="r" b="b"/>
                                  <a:pathLst>
                                    <a:path w="8255" h="0">
                                      <a:moveTo>
                                        <a:pt x="0" y="0"/>
                                      </a:moveTo>
                                      <a:lnTo>
                                        <a:pt x="8042" y="0"/>
                                      </a:lnTo>
                                    </a:path>
                                  </a:pathLst>
                                </a:custGeom>
                                <a:ln w="2679">
                                  <a:solidFill>
                                    <a:srgbClr val="008000"/>
                                  </a:solidFill>
                                  <a:prstDash val="solid"/>
                                </a:ln>
                              </wps:spPr>
                              <wps:bodyPr wrap="square" lIns="0" tIns="0" rIns="0" bIns="0" rtlCol="0">
                                <a:prstTxWarp prst="textNoShape">
                                  <a:avLst/>
                                </a:prstTxWarp>
                                <a:noAutofit/>
                              </wps:bodyPr>
                            </wps:wsp>
                            <wps:wsp>
                              <wps:cNvPr id="984" name="Graphic 984"/>
                              <wps:cNvSpPr/>
                              <wps:spPr>
                                <a:xfrm>
                                  <a:off x="0" y="29473"/>
                                  <a:ext cx="10795" cy="3175"/>
                                </a:xfrm>
                                <a:custGeom>
                                  <a:avLst/>
                                  <a:gdLst/>
                                  <a:ahLst/>
                                  <a:cxnLst/>
                                  <a:rect l="l" t="t" r="r" b="b"/>
                                  <a:pathLst>
                                    <a:path w="10795" h="3175">
                                      <a:moveTo>
                                        <a:pt x="10723" y="0"/>
                                      </a:moveTo>
                                      <a:lnTo>
                                        <a:pt x="0" y="0"/>
                                      </a:lnTo>
                                      <a:lnTo>
                                        <a:pt x="0" y="2679"/>
                                      </a:lnTo>
                                      <a:lnTo>
                                        <a:pt x="10723" y="2679"/>
                                      </a:lnTo>
                                      <a:lnTo>
                                        <a:pt x="10723" y="0"/>
                                      </a:lnTo>
                                      <a:close/>
                                    </a:path>
                                  </a:pathLst>
                                </a:custGeom>
                                <a:solidFill>
                                  <a:srgbClr val="008000"/>
                                </a:solidFill>
                              </wps:spPr>
                              <wps:bodyPr wrap="square" lIns="0" tIns="0" rIns="0" bIns="0" rtlCol="0">
                                <a:prstTxWarp prst="textNoShape">
                                  <a:avLst/>
                                </a:prstTxWarp>
                                <a:noAutofit/>
                              </wps:bodyPr>
                            </wps:wsp>
                            <wps:wsp>
                              <wps:cNvPr id="985" name="Graphic 985"/>
                              <wps:cNvSpPr/>
                              <wps:spPr>
                                <a:xfrm>
                                  <a:off x="1340" y="33492"/>
                                  <a:ext cx="5715" cy="1270"/>
                                </a:xfrm>
                                <a:custGeom>
                                  <a:avLst/>
                                  <a:gdLst/>
                                  <a:ahLst/>
                                  <a:cxnLst/>
                                  <a:rect l="l" t="t" r="r" b="b"/>
                                  <a:pathLst>
                                    <a:path w="5715" h="0">
                                      <a:moveTo>
                                        <a:pt x="0" y="0"/>
                                      </a:moveTo>
                                      <a:lnTo>
                                        <a:pt x="5361" y="0"/>
                                      </a:lnTo>
                                    </a:path>
                                  </a:pathLst>
                                </a:custGeom>
                                <a:ln w="2679">
                                  <a:solidFill>
                                    <a:srgbClr val="008000"/>
                                  </a:solidFill>
                                  <a:prstDash val="solid"/>
                                </a:ln>
                              </wps:spPr>
                              <wps:bodyPr wrap="square" lIns="0" tIns="0" rIns="0" bIns="0" rtlCol="0">
                                <a:prstTxWarp prst="textNoShape">
                                  <a:avLst/>
                                </a:prstTxWarp>
                                <a:noAutofit/>
                              </wps:bodyPr>
                            </wps:wsp>
                            <wps:wsp>
                              <wps:cNvPr id="986" name="Graphic 986"/>
                              <wps:cNvSpPr/>
                              <wps:spPr>
                                <a:xfrm>
                                  <a:off x="0" y="32152"/>
                                  <a:ext cx="8255" cy="3175"/>
                                </a:xfrm>
                                <a:custGeom>
                                  <a:avLst/>
                                  <a:gdLst/>
                                  <a:ahLst/>
                                  <a:cxnLst/>
                                  <a:rect l="l" t="t" r="r" b="b"/>
                                  <a:pathLst>
                                    <a:path w="8255" h="3175">
                                      <a:moveTo>
                                        <a:pt x="8042" y="0"/>
                                      </a:moveTo>
                                      <a:lnTo>
                                        <a:pt x="0" y="0"/>
                                      </a:lnTo>
                                      <a:lnTo>
                                        <a:pt x="0" y="2679"/>
                                      </a:lnTo>
                                      <a:lnTo>
                                        <a:pt x="8042" y="2679"/>
                                      </a:lnTo>
                                      <a:lnTo>
                                        <a:pt x="8042" y="0"/>
                                      </a:lnTo>
                                      <a:close/>
                                    </a:path>
                                  </a:pathLst>
                                </a:custGeom>
                                <a:solidFill>
                                  <a:srgbClr val="008000"/>
                                </a:solidFill>
                              </wps:spPr>
                              <wps:bodyPr wrap="square" lIns="0" tIns="0" rIns="0" bIns="0" rtlCol="0">
                                <a:prstTxWarp prst="textNoShape">
                                  <a:avLst/>
                                </a:prstTxWarp>
                                <a:noAutofit/>
                              </wps:bodyPr>
                            </wps:wsp>
                            <wps:wsp>
                              <wps:cNvPr id="987" name="Graphic 987"/>
                              <wps:cNvSpPr/>
                              <wps:spPr>
                                <a:xfrm>
                                  <a:off x="1340" y="36171"/>
                                  <a:ext cx="3175" cy="1270"/>
                                </a:xfrm>
                                <a:custGeom>
                                  <a:avLst/>
                                  <a:gdLst/>
                                  <a:ahLst/>
                                  <a:cxnLst/>
                                  <a:rect l="l" t="t" r="r" b="b"/>
                                  <a:pathLst>
                                    <a:path w="3175" h="0">
                                      <a:moveTo>
                                        <a:pt x="0" y="0"/>
                                      </a:moveTo>
                                      <a:lnTo>
                                        <a:pt x="2680" y="0"/>
                                      </a:lnTo>
                                    </a:path>
                                  </a:pathLst>
                                </a:custGeom>
                                <a:ln w="2679">
                                  <a:solidFill>
                                    <a:srgbClr val="008000"/>
                                  </a:solidFill>
                                  <a:prstDash val="solid"/>
                                </a:ln>
                              </wps:spPr>
                              <wps:bodyPr wrap="square" lIns="0" tIns="0" rIns="0" bIns="0" rtlCol="0">
                                <a:prstTxWarp prst="textNoShape">
                                  <a:avLst/>
                                </a:prstTxWarp>
                                <a:noAutofit/>
                              </wps:bodyPr>
                            </wps:wsp>
                            <wps:wsp>
                              <wps:cNvPr id="988" name="Graphic 988"/>
                              <wps:cNvSpPr/>
                              <wps:spPr>
                                <a:xfrm>
                                  <a:off x="-7" y="34839"/>
                                  <a:ext cx="5715" cy="5715"/>
                                </a:xfrm>
                                <a:custGeom>
                                  <a:avLst/>
                                  <a:gdLst/>
                                  <a:ahLst/>
                                  <a:cxnLst/>
                                  <a:rect l="l" t="t" r="r" b="b"/>
                                  <a:pathLst>
                                    <a:path w="5715" h="5715">
                                      <a:moveTo>
                                        <a:pt x="5359" y="0"/>
                                      </a:moveTo>
                                      <a:lnTo>
                                        <a:pt x="0" y="0"/>
                                      </a:lnTo>
                                      <a:lnTo>
                                        <a:pt x="0" y="2679"/>
                                      </a:lnTo>
                                      <a:lnTo>
                                        <a:pt x="0" y="5359"/>
                                      </a:lnTo>
                                      <a:lnTo>
                                        <a:pt x="2679" y="5359"/>
                                      </a:lnTo>
                                      <a:lnTo>
                                        <a:pt x="2679" y="2679"/>
                                      </a:lnTo>
                                      <a:lnTo>
                                        <a:pt x="5359" y="2679"/>
                                      </a:lnTo>
                                      <a:lnTo>
                                        <a:pt x="5359"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style="position:absolute;margin-left:272.967072pt;margin-top:4.003963pt;width:3.2pt;height:3.2pt;mso-position-horizontal-relative:column;mso-position-vertical-relative:paragraph;z-index:-29598720" id="docshapegroup921" coordorigin="5459,80" coordsize="64,64">
                      <v:line style="position:absolute" from="5461,82" to="5521,82" stroked="true" strokeweight=".210977pt" strokecolor="#008000">
                        <v:stroke dashstyle="solid"/>
                      </v:line>
                      <v:rect style="position:absolute;left:5459;top:80;width:64;height:5" id="docshape922" filled="true" fillcolor="#008000" stroked="false">
                        <v:fill type="solid"/>
                      </v:rect>
                      <v:line style="position:absolute" from="5461,86" to="5516,86" stroked="true" strokeweight=".210977pt" strokecolor="#008000">
                        <v:stroke dashstyle="solid"/>
                      </v:line>
                      <v:rect style="position:absolute;left:5459;top:84;width:60;height:5" id="docshape923" filled="true" fillcolor="#008000" stroked="false">
                        <v:fill type="solid"/>
                      </v:rect>
                      <v:line style="position:absolute" from="5461,91" to="5512,91" stroked="true" strokeweight=".210977pt" strokecolor="#008000">
                        <v:stroke dashstyle="solid"/>
                      </v:line>
                      <v:rect style="position:absolute;left:5459;top:88;width:55;height:5" id="docshape924" filled="true" fillcolor="#008000" stroked="false">
                        <v:fill type="solid"/>
                      </v:rect>
                      <v:line style="position:absolute" from="5461,95" to="5508,95" stroked="true" strokeweight=".210977pt" strokecolor="#008000">
                        <v:stroke dashstyle="solid"/>
                      </v:line>
                      <v:rect style="position:absolute;left:5459;top:92;width:51;height:5" id="docshape925" filled="true" fillcolor="#008000" stroked="false">
                        <v:fill type="solid"/>
                      </v:rect>
                      <v:line style="position:absolute" from="5461,99" to="5504,99" stroked="true" strokeweight=".210977pt" strokecolor="#008000">
                        <v:stroke dashstyle="solid"/>
                      </v:line>
                      <v:rect style="position:absolute;left:5459;top:96;width:47;height:5" id="docshape926" filled="true" fillcolor="#008000" stroked="false">
                        <v:fill type="solid"/>
                      </v:rect>
                      <v:line style="position:absolute" from="5461,103" to="5499,103" stroked="true" strokeweight=".210977pt" strokecolor="#008000">
                        <v:stroke dashstyle="solid"/>
                      </v:line>
                      <v:rect style="position:absolute;left:5459;top:101;width:43;height:5" id="docshape927" filled="true" fillcolor="#008000" stroked="false">
                        <v:fill type="solid"/>
                      </v:rect>
                      <v:line style="position:absolute" from="5461,108" to="5495,108" stroked="true" strokeweight=".210977pt" strokecolor="#008000">
                        <v:stroke dashstyle="solid"/>
                      </v:line>
                      <v:rect style="position:absolute;left:5459;top:105;width:38;height:5" id="docshape928" filled="true" fillcolor="#008000" stroked="false">
                        <v:fill type="solid"/>
                      </v:rect>
                      <v:line style="position:absolute" from="5461,112" to="5491,112" stroked="true" strokeweight=".210977pt" strokecolor="#008000">
                        <v:stroke dashstyle="solid"/>
                      </v:line>
                      <v:rect style="position:absolute;left:5459;top:109;width:34;height:5" id="docshape929" filled="true" fillcolor="#008000" stroked="false">
                        <v:fill type="solid"/>
                      </v:rect>
                      <v:line style="position:absolute" from="5461,116" to="5487,116" stroked="true" strokeweight=".210977pt" strokecolor="#008000">
                        <v:stroke dashstyle="solid"/>
                      </v:line>
                      <v:rect style="position:absolute;left:5459;top:113;width:30;height:5" id="docshape930" filled="true" fillcolor="#008000" stroked="false">
                        <v:fill type="solid"/>
                      </v:rect>
                      <v:line style="position:absolute" from="5461,120" to="5483,120" stroked="true" strokeweight=".210977pt" strokecolor="#008000">
                        <v:stroke dashstyle="solid"/>
                      </v:line>
                      <v:rect style="position:absolute;left:5459;top:118;width:26;height:5" id="docshape931" filled="true" fillcolor="#008000" stroked="false">
                        <v:fill type="solid"/>
                      </v:rect>
                      <v:line style="position:absolute" from="5461,124" to="5478,124" stroked="true" strokeweight=".210977pt" strokecolor="#008000">
                        <v:stroke dashstyle="solid"/>
                      </v:line>
                      <v:rect style="position:absolute;left:5459;top:122;width:22;height:5" id="docshape932" filled="true" fillcolor="#008000" stroked="false">
                        <v:fill type="solid"/>
                      </v:rect>
                      <v:line style="position:absolute" from="5461,129" to="5474,129" stroked="true" strokeweight=".210977pt" strokecolor="#008000">
                        <v:stroke dashstyle="solid"/>
                      </v:line>
                      <v:rect style="position:absolute;left:5459;top:126;width:17;height:5" id="docshape933" filled="true" fillcolor="#008000" stroked="false">
                        <v:fill type="solid"/>
                      </v:rect>
                      <v:line style="position:absolute" from="5461,133" to="5470,133" stroked="true" strokeweight=".210977pt" strokecolor="#008000">
                        <v:stroke dashstyle="solid"/>
                      </v:line>
                      <v:rect style="position:absolute;left:5459;top:130;width:13;height:5" id="docshape934" filled="true" fillcolor="#008000" stroked="false">
                        <v:fill type="solid"/>
                      </v:rect>
                      <v:line style="position:absolute" from="5461,137" to="5466,137" stroked="true" strokeweight=".210977pt" strokecolor="#008000">
                        <v:stroke dashstyle="solid"/>
                      </v:line>
                      <v:shape style="position:absolute;left:5459;top:134;width:9;height:9" id="docshape935" coordorigin="5459,135" coordsize="9,9" path="m5468,135l5459,135,5459,139,5459,143,5464,143,5464,139,5468,139,5468,135xe" filled="true" fillcolor="#008000" stroked="false">
                        <v:path arrowok="t"/>
                        <v:fill type="solid"/>
                      </v:shape>
                      <w10:wrap type="none"/>
                    </v:group>
                  </w:pict>
                </mc:Fallback>
              </mc:AlternateContent>
            </w:r>
            <w:r>
              <w:rPr>
                <w:b/>
                <w:sz w:val="15"/>
                <w:u w:val="single"/>
              </w:rPr>
              <w:tab/>
            </w:r>
            <w:r>
              <w:rPr>
                <w:b/>
                <w:spacing w:val="-4"/>
                <w:w w:val="105"/>
                <w:sz w:val="15"/>
                <w:u w:val="single"/>
              </w:rPr>
              <w:t>2026</w:t>
            </w:r>
            <w:r>
              <w:rPr>
                <w:b/>
                <w:sz w:val="15"/>
                <w:u w:val="single"/>
              </w:rPr>
              <w:tab/>
            </w:r>
            <w:r>
              <w:rPr>
                <w:b/>
                <w:spacing w:val="93"/>
                <w:sz w:val="15"/>
                <w:u w:val="none"/>
              </w:rPr>
              <w:t> </w:t>
            </w:r>
            <w:r>
              <w:rPr>
                <w:b/>
                <w:sz w:val="15"/>
                <w:u w:val="single"/>
              </w:rPr>
              <w:tab/>
            </w:r>
            <w:r>
              <w:rPr>
                <w:b/>
                <w:spacing w:val="-4"/>
                <w:w w:val="105"/>
                <w:sz w:val="15"/>
                <w:u w:val="single"/>
              </w:rPr>
              <w:t>2025</w:t>
            </w:r>
            <w:r>
              <w:rPr>
                <w:b/>
                <w:sz w:val="15"/>
                <w:u w:val="single"/>
              </w:rPr>
              <w:tab/>
            </w:r>
          </w:p>
        </w:tc>
        <w:tc>
          <w:tcPr>
            <w:tcW w:w="730" w:type="dxa"/>
            <w:tcBorders>
              <w:top w:val="nil"/>
              <w:left w:val="nil"/>
              <w:bottom w:val="double" w:sz="2" w:space="0" w:color="000000"/>
            </w:tcBorders>
            <w:shd w:val="clear" w:color="auto" w:fill="FFFFFF"/>
          </w:tcPr>
          <w:p>
            <w:pPr>
              <w:pStyle w:val="TableParagraph"/>
              <w:spacing w:line="153" w:lineRule="exact" w:before="104"/>
              <w:ind w:left="18"/>
              <w:jc w:val="center"/>
              <w:rPr>
                <w:b/>
                <w:sz w:val="15"/>
              </w:rPr>
            </w:pPr>
            <w:r>
              <w:rPr>
                <w:b/>
                <w:spacing w:val="-10"/>
                <w:w w:val="105"/>
                <w:sz w:val="15"/>
              </w:rPr>
              <w:t>%</w:t>
            </w:r>
          </w:p>
        </w:tc>
        <w:tc>
          <w:tcPr>
            <w:tcW w:w="717" w:type="dxa"/>
            <w:vMerge/>
            <w:tcBorders>
              <w:top w:val="nil"/>
            </w:tcBorders>
          </w:tcPr>
          <w:p>
            <w:pPr>
              <w:rPr>
                <w:sz w:val="2"/>
                <w:szCs w:val="2"/>
              </w:rPr>
            </w:pPr>
          </w:p>
        </w:tc>
      </w:tr>
      <w:tr>
        <w:trPr>
          <w:trHeight w:val="21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5073" w:val="left" w:leader="none"/>
                <w:tab w:pos="6496" w:val="left" w:leader="none"/>
              </w:tabs>
              <w:spacing w:line="170" w:lineRule="exact" w:before="23"/>
              <w:ind w:left="25"/>
              <w:rPr>
                <w:sz w:val="15"/>
              </w:rPr>
            </w:pPr>
            <w:r>
              <w:rPr>
                <w:b/>
                <w:w w:val="105"/>
                <w:sz w:val="15"/>
              </w:rPr>
              <w:t>Depreciaciones</w:t>
            </w:r>
            <w:r>
              <w:rPr>
                <w:b/>
                <w:spacing w:val="21"/>
                <w:w w:val="105"/>
                <w:sz w:val="15"/>
              </w:rPr>
              <w:t> </w:t>
            </w:r>
            <w:r>
              <w:rPr>
                <w:b/>
                <w:w w:val="105"/>
                <w:sz w:val="15"/>
              </w:rPr>
              <w:t>de</w:t>
            </w:r>
            <w:r>
              <w:rPr>
                <w:b/>
                <w:spacing w:val="24"/>
                <w:w w:val="105"/>
                <w:sz w:val="15"/>
              </w:rPr>
              <w:t> </w:t>
            </w:r>
            <w:r>
              <w:rPr>
                <w:b/>
                <w:w w:val="105"/>
                <w:sz w:val="15"/>
              </w:rPr>
              <w:t>propiedades,</w:t>
            </w:r>
            <w:r>
              <w:rPr>
                <w:b/>
                <w:spacing w:val="23"/>
                <w:w w:val="105"/>
                <w:sz w:val="15"/>
              </w:rPr>
              <w:t> </w:t>
            </w:r>
            <w:r>
              <w:rPr>
                <w:b/>
                <w:w w:val="105"/>
                <w:sz w:val="15"/>
              </w:rPr>
              <w:t>planta</w:t>
            </w:r>
            <w:r>
              <w:rPr>
                <w:b/>
                <w:spacing w:val="23"/>
                <w:w w:val="105"/>
                <w:sz w:val="15"/>
              </w:rPr>
              <w:t> </w:t>
            </w:r>
            <w:r>
              <w:rPr>
                <w:b/>
                <w:w w:val="105"/>
                <w:sz w:val="15"/>
              </w:rPr>
              <w:t>y</w:t>
            </w:r>
            <w:r>
              <w:rPr>
                <w:b/>
                <w:spacing w:val="20"/>
                <w:w w:val="105"/>
                <w:sz w:val="15"/>
              </w:rPr>
              <w:t> </w:t>
            </w:r>
            <w:r>
              <w:rPr>
                <w:b/>
                <w:spacing w:val="-4"/>
                <w:w w:val="105"/>
                <w:sz w:val="15"/>
              </w:rPr>
              <w:t>equip</w:t>
            </w:r>
            <w:r>
              <w:rPr>
                <w:b/>
                <w:sz w:val="15"/>
              </w:rPr>
              <w:tab/>
            </w:r>
            <w:r>
              <w:rPr>
                <w:spacing w:val="-10"/>
                <w:w w:val="105"/>
                <w:sz w:val="15"/>
              </w:rPr>
              <w:t>-</w:t>
            </w:r>
            <w:r>
              <w:rPr>
                <w:sz w:val="15"/>
              </w:rPr>
              <w:tab/>
            </w:r>
            <w:r>
              <w:rPr>
                <w:spacing w:val="-12"/>
                <w:w w:val="105"/>
                <w:sz w:val="15"/>
              </w:rPr>
              <w:t>-</w:t>
            </w:r>
          </w:p>
        </w:tc>
        <w:tc>
          <w:tcPr>
            <w:tcW w:w="730" w:type="dxa"/>
            <w:tcBorders>
              <w:top w:val="double" w:sz="2" w:space="0" w:color="000000"/>
              <w:left w:val="nil"/>
              <w:bottom w:val="nil"/>
            </w:tcBorders>
            <w:shd w:val="clear" w:color="auto" w:fill="FFFFFF"/>
          </w:tcPr>
          <w:p>
            <w:pPr>
              <w:pStyle w:val="TableParagraph"/>
              <w:rPr>
                <w:rFonts w:ascii="Times New Roman"/>
                <w:sz w:val="14"/>
              </w:rPr>
            </w:pP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655" w:val="left" w:leader="none"/>
                <w:tab w:pos="6078" w:val="left" w:leader="none"/>
              </w:tabs>
              <w:spacing w:line="169" w:lineRule="exact" w:before="3"/>
              <w:ind w:left="25"/>
              <w:rPr>
                <w:sz w:val="15"/>
              </w:rPr>
            </w:pPr>
            <w:r>
              <w:rPr>
                <w:spacing w:val="-2"/>
                <w:w w:val="105"/>
                <w:sz w:val="15"/>
              </w:rPr>
              <w:t>Depreciaciones</w:t>
            </w:r>
            <w:r>
              <w:rPr>
                <w:spacing w:val="4"/>
                <w:w w:val="105"/>
                <w:sz w:val="15"/>
              </w:rPr>
              <w:t> </w:t>
            </w:r>
            <w:r>
              <w:rPr>
                <w:spacing w:val="-2"/>
                <w:w w:val="105"/>
                <w:sz w:val="15"/>
              </w:rPr>
              <w:t>de</w:t>
            </w:r>
            <w:r>
              <w:rPr>
                <w:spacing w:val="5"/>
                <w:w w:val="105"/>
                <w:sz w:val="15"/>
              </w:rPr>
              <w:t> </w:t>
            </w:r>
            <w:r>
              <w:rPr>
                <w:spacing w:val="-2"/>
                <w:w w:val="105"/>
                <w:sz w:val="15"/>
              </w:rPr>
              <w:t>edificios</w:t>
            </w:r>
            <w:r>
              <w:rPr>
                <w:sz w:val="15"/>
              </w:rPr>
              <w:tab/>
            </w:r>
            <w:r>
              <w:rPr>
                <w:w w:val="105"/>
                <w:sz w:val="15"/>
              </w:rPr>
              <w:t>72</w:t>
            </w:r>
            <w:r>
              <w:rPr>
                <w:spacing w:val="-7"/>
                <w:w w:val="105"/>
                <w:sz w:val="15"/>
              </w:rPr>
              <w:t> </w:t>
            </w:r>
            <w:r>
              <w:rPr>
                <w:spacing w:val="-2"/>
                <w:w w:val="105"/>
                <w:sz w:val="15"/>
              </w:rPr>
              <w:t>857,20</w:t>
            </w:r>
            <w:r>
              <w:rPr>
                <w:sz w:val="15"/>
              </w:rPr>
              <w:tab/>
            </w:r>
            <w:r>
              <w:rPr>
                <w:w w:val="105"/>
                <w:sz w:val="15"/>
              </w:rPr>
              <w:t>72</w:t>
            </w:r>
            <w:r>
              <w:rPr>
                <w:spacing w:val="-7"/>
                <w:w w:val="105"/>
                <w:sz w:val="15"/>
              </w:rPr>
              <w:t> </w:t>
            </w:r>
            <w:r>
              <w:rPr>
                <w:spacing w:val="-2"/>
                <w:w w:val="105"/>
                <w:sz w:val="15"/>
              </w:rPr>
              <w:t>857,20</w:t>
            </w:r>
          </w:p>
        </w:tc>
        <w:tc>
          <w:tcPr>
            <w:tcW w:w="730" w:type="dxa"/>
            <w:tcBorders>
              <w:top w:val="nil"/>
              <w:left w:val="nil"/>
              <w:bottom w:val="nil"/>
            </w:tcBorders>
            <w:shd w:val="clear" w:color="auto" w:fill="FFFFFF"/>
          </w:tcPr>
          <w:p>
            <w:pPr>
              <w:pStyle w:val="TableParagraph"/>
              <w:spacing w:line="169" w:lineRule="exact" w:before="3"/>
              <w:ind w:right="6"/>
              <w:jc w:val="right"/>
              <w:rPr>
                <w:sz w:val="15"/>
              </w:rPr>
            </w:pPr>
            <w:r>
              <w:rPr>
                <w:spacing w:val="-2"/>
                <w:w w:val="105"/>
                <w:sz w:val="15"/>
              </w:rPr>
              <w:t>0,00%</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731" w:val="left" w:leader="none"/>
                <w:tab w:pos="6154" w:val="left" w:leader="none"/>
              </w:tabs>
              <w:spacing w:line="169" w:lineRule="exact" w:before="3"/>
              <w:ind w:left="25"/>
              <w:rPr>
                <w:sz w:val="15"/>
              </w:rPr>
            </w:pPr>
            <w:r>
              <w:rPr>
                <w:w w:val="105"/>
                <w:sz w:val="15"/>
              </w:rPr>
              <w:t>Depreciaciones</w:t>
            </w:r>
            <w:r>
              <w:rPr>
                <w:spacing w:val="-10"/>
                <w:w w:val="105"/>
                <w:sz w:val="15"/>
              </w:rPr>
              <w:t> </w:t>
            </w:r>
            <w:r>
              <w:rPr>
                <w:w w:val="105"/>
                <w:sz w:val="15"/>
              </w:rPr>
              <w:t>de</w:t>
            </w:r>
            <w:r>
              <w:rPr>
                <w:spacing w:val="-9"/>
                <w:w w:val="105"/>
                <w:sz w:val="15"/>
              </w:rPr>
              <w:t> </w:t>
            </w:r>
            <w:r>
              <w:rPr>
                <w:w w:val="105"/>
                <w:sz w:val="15"/>
              </w:rPr>
              <w:t>maquinaria</w:t>
            </w:r>
            <w:r>
              <w:rPr>
                <w:spacing w:val="-8"/>
                <w:w w:val="105"/>
                <w:sz w:val="15"/>
              </w:rPr>
              <w:t> </w:t>
            </w:r>
            <w:r>
              <w:rPr>
                <w:w w:val="105"/>
                <w:sz w:val="15"/>
              </w:rPr>
              <w:t>y</w:t>
            </w:r>
            <w:r>
              <w:rPr>
                <w:spacing w:val="-10"/>
                <w:w w:val="105"/>
                <w:sz w:val="15"/>
              </w:rPr>
              <w:t> </w:t>
            </w:r>
            <w:r>
              <w:rPr>
                <w:spacing w:val="-2"/>
                <w:w w:val="105"/>
                <w:sz w:val="15"/>
              </w:rPr>
              <w:t>equipos</w:t>
            </w:r>
            <w:r>
              <w:rPr>
                <w:sz w:val="15"/>
              </w:rPr>
              <w:tab/>
            </w:r>
            <w:r>
              <w:rPr>
                <w:w w:val="105"/>
                <w:sz w:val="15"/>
              </w:rPr>
              <w:t>5</w:t>
            </w:r>
            <w:r>
              <w:rPr>
                <w:spacing w:val="-4"/>
                <w:w w:val="105"/>
                <w:sz w:val="15"/>
              </w:rPr>
              <w:t> </w:t>
            </w:r>
            <w:r>
              <w:rPr>
                <w:spacing w:val="-2"/>
                <w:w w:val="105"/>
                <w:sz w:val="15"/>
              </w:rPr>
              <w:t>511,00</w:t>
            </w:r>
            <w:r>
              <w:rPr>
                <w:sz w:val="15"/>
              </w:rPr>
              <w:tab/>
            </w:r>
            <w:r>
              <w:rPr>
                <w:w w:val="105"/>
                <w:sz w:val="15"/>
              </w:rPr>
              <w:t>5</w:t>
            </w:r>
            <w:r>
              <w:rPr>
                <w:spacing w:val="-4"/>
                <w:w w:val="105"/>
                <w:sz w:val="15"/>
              </w:rPr>
              <w:t> </w:t>
            </w:r>
            <w:r>
              <w:rPr>
                <w:spacing w:val="-2"/>
                <w:w w:val="105"/>
                <w:sz w:val="15"/>
              </w:rPr>
              <w:t>511,00</w:t>
            </w:r>
          </w:p>
        </w:tc>
        <w:tc>
          <w:tcPr>
            <w:tcW w:w="730" w:type="dxa"/>
            <w:tcBorders>
              <w:top w:val="nil"/>
              <w:left w:val="nil"/>
              <w:bottom w:val="nil"/>
            </w:tcBorders>
            <w:shd w:val="clear" w:color="auto" w:fill="FFFFFF"/>
          </w:tcPr>
          <w:p>
            <w:pPr>
              <w:pStyle w:val="TableParagraph"/>
              <w:spacing w:line="169" w:lineRule="exact" w:before="3"/>
              <w:ind w:right="6"/>
              <w:jc w:val="right"/>
              <w:rPr>
                <w:sz w:val="15"/>
              </w:rPr>
            </w:pPr>
            <w:r>
              <w:rPr>
                <w:spacing w:val="-2"/>
                <w:w w:val="105"/>
                <w:sz w:val="15"/>
              </w:rPr>
              <w:t>0,00%</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655" w:val="left" w:leader="none"/>
                <w:tab w:pos="6078" w:val="left" w:leader="none"/>
              </w:tabs>
              <w:spacing w:line="170" w:lineRule="exact" w:before="3"/>
              <w:ind w:left="25"/>
              <w:rPr>
                <w:sz w:val="15"/>
              </w:rPr>
            </w:pPr>
            <w:r>
              <w:rPr>
                <w:w w:val="105"/>
                <w:sz w:val="15"/>
              </w:rPr>
              <w:t>Depreciaciones</w:t>
            </w:r>
            <w:r>
              <w:rPr>
                <w:spacing w:val="-10"/>
                <w:w w:val="105"/>
                <w:sz w:val="15"/>
              </w:rPr>
              <w:t> </w:t>
            </w:r>
            <w:r>
              <w:rPr>
                <w:w w:val="105"/>
                <w:sz w:val="15"/>
              </w:rPr>
              <w:t>de</w:t>
            </w:r>
            <w:r>
              <w:rPr>
                <w:spacing w:val="-10"/>
                <w:w w:val="105"/>
                <w:sz w:val="15"/>
              </w:rPr>
              <w:t> </w:t>
            </w:r>
            <w:r>
              <w:rPr>
                <w:w w:val="105"/>
                <w:sz w:val="15"/>
              </w:rPr>
              <w:t>equipos</w:t>
            </w:r>
            <w:r>
              <w:rPr>
                <w:spacing w:val="-10"/>
                <w:w w:val="105"/>
                <w:sz w:val="15"/>
              </w:rPr>
              <w:t> </w:t>
            </w:r>
            <w:r>
              <w:rPr>
                <w:w w:val="105"/>
                <w:sz w:val="15"/>
              </w:rPr>
              <w:t>de</w:t>
            </w:r>
            <w:r>
              <w:rPr>
                <w:spacing w:val="-10"/>
                <w:w w:val="105"/>
                <w:sz w:val="15"/>
              </w:rPr>
              <w:t> </w:t>
            </w:r>
            <w:r>
              <w:rPr>
                <w:w w:val="105"/>
                <w:sz w:val="15"/>
              </w:rPr>
              <w:t>transporte,</w:t>
            </w:r>
            <w:r>
              <w:rPr>
                <w:spacing w:val="-9"/>
                <w:w w:val="105"/>
                <w:sz w:val="15"/>
              </w:rPr>
              <w:t> </w:t>
            </w:r>
            <w:r>
              <w:rPr>
                <w:spacing w:val="-2"/>
                <w:w w:val="105"/>
                <w:sz w:val="15"/>
              </w:rPr>
              <w:t>tracción</w:t>
            </w:r>
            <w:r>
              <w:rPr>
                <w:sz w:val="15"/>
              </w:rPr>
              <w:tab/>
            </w:r>
            <w:r>
              <w:rPr>
                <w:w w:val="105"/>
                <w:sz w:val="15"/>
              </w:rPr>
              <w:t>56</w:t>
            </w:r>
            <w:r>
              <w:rPr>
                <w:spacing w:val="-7"/>
                <w:w w:val="105"/>
                <w:sz w:val="15"/>
              </w:rPr>
              <w:t> </w:t>
            </w:r>
            <w:r>
              <w:rPr>
                <w:spacing w:val="-2"/>
                <w:w w:val="105"/>
                <w:sz w:val="15"/>
              </w:rPr>
              <w:t>626,66</w:t>
            </w:r>
            <w:r>
              <w:rPr>
                <w:sz w:val="15"/>
              </w:rPr>
              <w:tab/>
            </w:r>
            <w:r>
              <w:rPr>
                <w:w w:val="105"/>
                <w:sz w:val="15"/>
              </w:rPr>
              <w:t>54</w:t>
            </w:r>
            <w:r>
              <w:rPr>
                <w:spacing w:val="-7"/>
                <w:w w:val="105"/>
                <w:sz w:val="15"/>
              </w:rPr>
              <w:t> </w:t>
            </w:r>
            <w:r>
              <w:rPr>
                <w:spacing w:val="-2"/>
                <w:w w:val="105"/>
                <w:sz w:val="15"/>
              </w:rPr>
              <w:t>118,70</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w w:val="105"/>
                <w:sz w:val="15"/>
              </w:rPr>
              <w:t>4,63%</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655" w:val="left" w:leader="none"/>
                <w:tab w:pos="6078" w:val="left" w:leader="none"/>
              </w:tabs>
              <w:spacing w:line="170" w:lineRule="exact" w:before="3"/>
              <w:ind w:left="25"/>
              <w:rPr>
                <w:sz w:val="15"/>
              </w:rPr>
            </w:pPr>
            <w:r>
              <w:rPr>
                <w:w w:val="105"/>
                <w:sz w:val="15"/>
              </w:rPr>
              <w:t>Depreciaciones</w:t>
            </w:r>
            <w:r>
              <w:rPr>
                <w:spacing w:val="-10"/>
                <w:w w:val="105"/>
                <w:sz w:val="15"/>
              </w:rPr>
              <w:t> </w:t>
            </w:r>
            <w:r>
              <w:rPr>
                <w:w w:val="105"/>
                <w:sz w:val="15"/>
              </w:rPr>
              <w:t>de</w:t>
            </w:r>
            <w:r>
              <w:rPr>
                <w:spacing w:val="-9"/>
                <w:w w:val="105"/>
                <w:sz w:val="15"/>
              </w:rPr>
              <w:t> </w:t>
            </w:r>
            <w:r>
              <w:rPr>
                <w:w w:val="105"/>
                <w:sz w:val="15"/>
              </w:rPr>
              <w:t>equipos</w:t>
            </w:r>
            <w:r>
              <w:rPr>
                <w:spacing w:val="-9"/>
                <w:w w:val="105"/>
                <w:sz w:val="15"/>
              </w:rPr>
              <w:t> </w:t>
            </w:r>
            <w:r>
              <w:rPr>
                <w:w w:val="105"/>
                <w:sz w:val="15"/>
              </w:rPr>
              <w:t>de</w:t>
            </w:r>
            <w:r>
              <w:rPr>
                <w:spacing w:val="-9"/>
                <w:w w:val="105"/>
                <w:sz w:val="15"/>
              </w:rPr>
              <w:t> </w:t>
            </w:r>
            <w:r>
              <w:rPr>
                <w:spacing w:val="-2"/>
                <w:w w:val="105"/>
                <w:sz w:val="15"/>
              </w:rPr>
              <w:t>comunicación</w:t>
            </w:r>
            <w:r>
              <w:rPr>
                <w:sz w:val="15"/>
              </w:rPr>
              <w:tab/>
            </w:r>
            <w:r>
              <w:rPr>
                <w:w w:val="105"/>
                <w:sz w:val="15"/>
              </w:rPr>
              <w:t>12</w:t>
            </w:r>
            <w:r>
              <w:rPr>
                <w:spacing w:val="-7"/>
                <w:w w:val="105"/>
                <w:sz w:val="15"/>
              </w:rPr>
              <w:t> </w:t>
            </w:r>
            <w:r>
              <w:rPr>
                <w:spacing w:val="-2"/>
                <w:w w:val="105"/>
                <w:sz w:val="15"/>
              </w:rPr>
              <w:t>653,26</w:t>
            </w:r>
            <w:r>
              <w:rPr>
                <w:sz w:val="15"/>
              </w:rPr>
              <w:tab/>
            </w:r>
            <w:r>
              <w:rPr>
                <w:w w:val="105"/>
                <w:sz w:val="15"/>
              </w:rPr>
              <w:t>11</w:t>
            </w:r>
            <w:r>
              <w:rPr>
                <w:spacing w:val="-7"/>
                <w:w w:val="105"/>
                <w:sz w:val="15"/>
              </w:rPr>
              <w:t> </w:t>
            </w:r>
            <w:r>
              <w:rPr>
                <w:spacing w:val="-2"/>
                <w:w w:val="105"/>
                <w:sz w:val="15"/>
              </w:rPr>
              <w:t>318,35</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w w:val="105"/>
                <w:sz w:val="15"/>
              </w:rPr>
              <w:t>11,79%</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655" w:val="left" w:leader="none"/>
                <w:tab w:pos="6078" w:val="left" w:leader="none"/>
              </w:tabs>
              <w:spacing w:line="170" w:lineRule="exact" w:before="3"/>
              <w:ind w:left="25"/>
              <w:rPr>
                <w:sz w:val="15"/>
              </w:rPr>
            </w:pPr>
            <w:r>
              <w:rPr>
                <w:w w:val="105"/>
                <w:sz w:val="15"/>
              </w:rPr>
              <w:t>Depreciaciones</w:t>
            </w:r>
            <w:r>
              <w:rPr>
                <w:spacing w:val="-9"/>
                <w:w w:val="105"/>
                <w:sz w:val="15"/>
              </w:rPr>
              <w:t> </w:t>
            </w:r>
            <w:r>
              <w:rPr>
                <w:w w:val="105"/>
                <w:sz w:val="15"/>
              </w:rPr>
              <w:t>de</w:t>
            </w:r>
            <w:r>
              <w:rPr>
                <w:spacing w:val="-7"/>
                <w:w w:val="105"/>
                <w:sz w:val="15"/>
              </w:rPr>
              <w:t> </w:t>
            </w:r>
            <w:r>
              <w:rPr>
                <w:w w:val="105"/>
                <w:sz w:val="15"/>
              </w:rPr>
              <w:t>equipos</w:t>
            </w:r>
            <w:r>
              <w:rPr>
                <w:spacing w:val="-9"/>
                <w:w w:val="105"/>
                <w:sz w:val="15"/>
              </w:rPr>
              <w:t> </w:t>
            </w:r>
            <w:r>
              <w:rPr>
                <w:w w:val="105"/>
                <w:sz w:val="15"/>
              </w:rPr>
              <w:t>y</w:t>
            </w:r>
            <w:r>
              <w:rPr>
                <w:spacing w:val="-10"/>
                <w:w w:val="105"/>
                <w:sz w:val="15"/>
              </w:rPr>
              <w:t> </w:t>
            </w:r>
            <w:r>
              <w:rPr>
                <w:w w:val="105"/>
                <w:sz w:val="15"/>
              </w:rPr>
              <w:t>mobiliario</w:t>
            </w:r>
            <w:r>
              <w:rPr>
                <w:spacing w:val="-9"/>
                <w:w w:val="105"/>
                <w:sz w:val="15"/>
              </w:rPr>
              <w:t> </w:t>
            </w:r>
            <w:r>
              <w:rPr>
                <w:w w:val="105"/>
                <w:sz w:val="15"/>
              </w:rPr>
              <w:t>de</w:t>
            </w:r>
            <w:r>
              <w:rPr>
                <w:spacing w:val="-7"/>
                <w:w w:val="105"/>
                <w:sz w:val="15"/>
              </w:rPr>
              <w:t> </w:t>
            </w:r>
            <w:r>
              <w:rPr>
                <w:spacing w:val="-2"/>
                <w:w w:val="105"/>
                <w:sz w:val="15"/>
              </w:rPr>
              <w:t>oficina</w:t>
            </w:r>
            <w:r>
              <w:rPr>
                <w:sz w:val="15"/>
              </w:rPr>
              <w:tab/>
            </w:r>
            <w:r>
              <w:rPr>
                <w:w w:val="105"/>
                <w:sz w:val="15"/>
              </w:rPr>
              <w:t>50</w:t>
            </w:r>
            <w:r>
              <w:rPr>
                <w:spacing w:val="-7"/>
                <w:w w:val="105"/>
                <w:sz w:val="15"/>
              </w:rPr>
              <w:t> </w:t>
            </w:r>
            <w:r>
              <w:rPr>
                <w:spacing w:val="-2"/>
                <w:w w:val="105"/>
                <w:sz w:val="15"/>
              </w:rPr>
              <w:t>667,34</w:t>
            </w:r>
            <w:r>
              <w:rPr>
                <w:sz w:val="15"/>
              </w:rPr>
              <w:tab/>
            </w:r>
            <w:r>
              <w:rPr>
                <w:w w:val="105"/>
                <w:sz w:val="15"/>
              </w:rPr>
              <w:t>53</w:t>
            </w:r>
            <w:r>
              <w:rPr>
                <w:spacing w:val="-7"/>
                <w:w w:val="105"/>
                <w:sz w:val="15"/>
              </w:rPr>
              <w:t> </w:t>
            </w:r>
            <w:r>
              <w:rPr>
                <w:spacing w:val="-2"/>
                <w:w w:val="105"/>
                <w:sz w:val="15"/>
              </w:rPr>
              <w:t>781,30</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sz w:val="15"/>
              </w:rPr>
              <w:t>-5,79%</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579" w:val="left" w:leader="none"/>
                <w:tab w:pos="6002" w:val="left" w:leader="none"/>
              </w:tabs>
              <w:spacing w:line="170" w:lineRule="exact" w:before="3"/>
              <w:ind w:left="25"/>
              <w:rPr>
                <w:sz w:val="15"/>
              </w:rPr>
            </w:pPr>
            <w:r>
              <w:rPr>
                <w:w w:val="105"/>
                <w:sz w:val="15"/>
              </w:rPr>
              <w:t>Depreciaciones</w:t>
            </w:r>
            <w:r>
              <w:rPr>
                <w:spacing w:val="-10"/>
                <w:w w:val="105"/>
                <w:sz w:val="15"/>
              </w:rPr>
              <w:t> </w:t>
            </w:r>
            <w:r>
              <w:rPr>
                <w:w w:val="105"/>
                <w:sz w:val="15"/>
              </w:rPr>
              <w:t>de</w:t>
            </w:r>
            <w:r>
              <w:rPr>
                <w:spacing w:val="-9"/>
                <w:w w:val="105"/>
                <w:sz w:val="15"/>
              </w:rPr>
              <w:t> </w:t>
            </w:r>
            <w:r>
              <w:rPr>
                <w:w w:val="105"/>
                <w:sz w:val="15"/>
              </w:rPr>
              <w:t>equipos</w:t>
            </w:r>
            <w:r>
              <w:rPr>
                <w:spacing w:val="-10"/>
                <w:w w:val="105"/>
                <w:sz w:val="15"/>
              </w:rPr>
              <w:t> </w:t>
            </w:r>
            <w:r>
              <w:rPr>
                <w:w w:val="105"/>
                <w:sz w:val="15"/>
              </w:rPr>
              <w:t>para</w:t>
            </w:r>
            <w:r>
              <w:rPr>
                <w:spacing w:val="-9"/>
                <w:w w:val="105"/>
                <w:sz w:val="15"/>
              </w:rPr>
              <w:t> </w:t>
            </w:r>
            <w:r>
              <w:rPr>
                <w:spacing w:val="-2"/>
                <w:w w:val="105"/>
                <w:sz w:val="15"/>
              </w:rPr>
              <w:t>computación</w:t>
            </w:r>
            <w:r>
              <w:rPr>
                <w:sz w:val="15"/>
              </w:rPr>
              <w:tab/>
            </w:r>
            <w:r>
              <w:rPr>
                <w:w w:val="105"/>
                <w:sz w:val="15"/>
              </w:rPr>
              <w:t>285</w:t>
            </w:r>
            <w:r>
              <w:rPr>
                <w:spacing w:val="-8"/>
                <w:w w:val="105"/>
                <w:sz w:val="15"/>
              </w:rPr>
              <w:t> </w:t>
            </w:r>
            <w:r>
              <w:rPr>
                <w:spacing w:val="-2"/>
                <w:w w:val="105"/>
                <w:sz w:val="15"/>
              </w:rPr>
              <w:t>186,83</w:t>
            </w:r>
            <w:r>
              <w:rPr>
                <w:sz w:val="15"/>
              </w:rPr>
              <w:tab/>
            </w:r>
            <w:r>
              <w:rPr>
                <w:w w:val="105"/>
                <w:sz w:val="15"/>
              </w:rPr>
              <w:t>267</w:t>
            </w:r>
            <w:r>
              <w:rPr>
                <w:spacing w:val="-8"/>
                <w:w w:val="105"/>
                <w:sz w:val="15"/>
              </w:rPr>
              <w:t> </w:t>
            </w:r>
            <w:r>
              <w:rPr>
                <w:spacing w:val="-2"/>
                <w:w w:val="105"/>
                <w:sz w:val="15"/>
              </w:rPr>
              <w:t>541,99</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w w:val="105"/>
                <w:sz w:val="15"/>
              </w:rPr>
              <w:t>6,60%</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731" w:val="left" w:leader="none"/>
                <w:tab w:pos="6269" w:val="left" w:leader="none"/>
              </w:tabs>
              <w:spacing w:line="169" w:lineRule="exact" w:before="3"/>
              <w:ind w:left="25"/>
              <w:rPr>
                <w:sz w:val="15"/>
              </w:rPr>
            </w:pPr>
            <w:r>
              <w:rPr>
                <w:w w:val="105"/>
                <w:sz w:val="15"/>
              </w:rPr>
              <w:t>Depreciaciones</w:t>
            </w:r>
            <w:r>
              <w:rPr>
                <w:spacing w:val="-10"/>
                <w:w w:val="105"/>
                <w:sz w:val="15"/>
              </w:rPr>
              <w:t> </w:t>
            </w:r>
            <w:r>
              <w:rPr>
                <w:w w:val="105"/>
                <w:sz w:val="15"/>
              </w:rPr>
              <w:t>de</w:t>
            </w:r>
            <w:r>
              <w:rPr>
                <w:spacing w:val="-10"/>
                <w:w w:val="105"/>
                <w:sz w:val="15"/>
              </w:rPr>
              <w:t> </w:t>
            </w:r>
            <w:r>
              <w:rPr>
                <w:w w:val="105"/>
                <w:sz w:val="15"/>
              </w:rPr>
              <w:t>equipos</w:t>
            </w:r>
            <w:r>
              <w:rPr>
                <w:spacing w:val="-10"/>
                <w:w w:val="105"/>
                <w:sz w:val="15"/>
              </w:rPr>
              <w:t> </w:t>
            </w:r>
            <w:r>
              <w:rPr>
                <w:w w:val="105"/>
                <w:sz w:val="15"/>
              </w:rPr>
              <w:t>sanitario,</w:t>
            </w:r>
            <w:r>
              <w:rPr>
                <w:spacing w:val="-9"/>
                <w:w w:val="105"/>
                <w:sz w:val="15"/>
              </w:rPr>
              <w:t> </w:t>
            </w:r>
            <w:r>
              <w:rPr>
                <w:w w:val="105"/>
                <w:sz w:val="15"/>
              </w:rPr>
              <w:t>de</w:t>
            </w:r>
            <w:r>
              <w:rPr>
                <w:spacing w:val="-9"/>
                <w:w w:val="105"/>
                <w:sz w:val="15"/>
              </w:rPr>
              <w:t> </w:t>
            </w:r>
            <w:r>
              <w:rPr>
                <w:spacing w:val="-2"/>
                <w:w w:val="105"/>
                <w:sz w:val="15"/>
              </w:rPr>
              <w:t>laboratorio</w:t>
            </w:r>
            <w:r>
              <w:rPr>
                <w:sz w:val="15"/>
              </w:rPr>
              <w:tab/>
            </w:r>
            <w:r>
              <w:rPr>
                <w:w w:val="105"/>
                <w:sz w:val="15"/>
              </w:rPr>
              <w:t>1</w:t>
            </w:r>
            <w:r>
              <w:rPr>
                <w:spacing w:val="-4"/>
                <w:w w:val="105"/>
                <w:sz w:val="15"/>
              </w:rPr>
              <w:t> </w:t>
            </w:r>
            <w:r>
              <w:rPr>
                <w:spacing w:val="-2"/>
                <w:w w:val="105"/>
                <w:sz w:val="15"/>
              </w:rPr>
              <w:t>351,28</w:t>
            </w:r>
            <w:r>
              <w:rPr>
                <w:sz w:val="15"/>
              </w:rPr>
              <w:tab/>
            </w:r>
            <w:r>
              <w:rPr>
                <w:spacing w:val="-2"/>
                <w:w w:val="105"/>
                <w:sz w:val="15"/>
              </w:rPr>
              <w:t>350,62</w:t>
            </w:r>
          </w:p>
        </w:tc>
        <w:tc>
          <w:tcPr>
            <w:tcW w:w="730" w:type="dxa"/>
            <w:tcBorders>
              <w:top w:val="nil"/>
              <w:left w:val="nil"/>
              <w:bottom w:val="nil"/>
            </w:tcBorders>
            <w:shd w:val="clear" w:color="auto" w:fill="FFFFFF"/>
          </w:tcPr>
          <w:p>
            <w:pPr>
              <w:pStyle w:val="TableParagraph"/>
              <w:spacing w:line="169" w:lineRule="exact" w:before="3"/>
              <w:ind w:right="6"/>
              <w:jc w:val="right"/>
              <w:rPr>
                <w:sz w:val="15"/>
              </w:rPr>
            </w:pPr>
            <w:r>
              <w:rPr>
                <w:spacing w:val="-2"/>
                <w:w w:val="105"/>
                <w:sz w:val="15"/>
              </w:rPr>
              <w:t>285,40%</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845" w:val="left" w:leader="none"/>
                <w:tab w:pos="6345" w:val="left" w:leader="none"/>
              </w:tabs>
              <w:spacing w:line="170" w:lineRule="exact" w:before="3"/>
              <w:ind w:left="25"/>
              <w:rPr>
                <w:sz w:val="15"/>
              </w:rPr>
            </w:pPr>
            <w:r>
              <w:rPr>
                <w:w w:val="105"/>
                <w:sz w:val="15"/>
              </w:rPr>
              <w:t>Depreciaciones</w:t>
            </w:r>
            <w:r>
              <w:rPr>
                <w:spacing w:val="-10"/>
                <w:w w:val="105"/>
                <w:sz w:val="15"/>
              </w:rPr>
              <w:t> </w:t>
            </w:r>
            <w:r>
              <w:rPr>
                <w:w w:val="105"/>
                <w:sz w:val="15"/>
              </w:rPr>
              <w:t>de</w:t>
            </w:r>
            <w:r>
              <w:rPr>
                <w:spacing w:val="-8"/>
                <w:w w:val="105"/>
                <w:sz w:val="15"/>
              </w:rPr>
              <w:t> </w:t>
            </w:r>
            <w:r>
              <w:rPr>
                <w:w w:val="105"/>
                <w:sz w:val="15"/>
              </w:rPr>
              <w:t>equipos</w:t>
            </w:r>
            <w:r>
              <w:rPr>
                <w:spacing w:val="-9"/>
                <w:w w:val="105"/>
                <w:sz w:val="15"/>
              </w:rPr>
              <w:t> </w:t>
            </w:r>
            <w:r>
              <w:rPr>
                <w:w w:val="105"/>
                <w:sz w:val="15"/>
              </w:rPr>
              <w:t>y</w:t>
            </w:r>
            <w:r>
              <w:rPr>
                <w:spacing w:val="-10"/>
                <w:w w:val="105"/>
                <w:sz w:val="15"/>
              </w:rPr>
              <w:t> </w:t>
            </w:r>
            <w:r>
              <w:rPr>
                <w:w w:val="105"/>
                <w:sz w:val="15"/>
              </w:rPr>
              <w:t>mobiliario</w:t>
            </w:r>
            <w:r>
              <w:rPr>
                <w:spacing w:val="-10"/>
                <w:w w:val="105"/>
                <w:sz w:val="15"/>
              </w:rPr>
              <w:t> </w:t>
            </w:r>
            <w:r>
              <w:rPr>
                <w:spacing w:val="-2"/>
                <w:w w:val="105"/>
                <w:sz w:val="15"/>
              </w:rPr>
              <w:t>educaciona</w:t>
            </w:r>
            <w:r>
              <w:rPr>
                <w:sz w:val="15"/>
              </w:rPr>
              <w:tab/>
            </w:r>
            <w:r>
              <w:rPr>
                <w:spacing w:val="-2"/>
                <w:w w:val="105"/>
                <w:sz w:val="15"/>
              </w:rPr>
              <w:t>102,27</w:t>
            </w:r>
            <w:r>
              <w:rPr>
                <w:sz w:val="15"/>
              </w:rPr>
              <w:tab/>
            </w:r>
            <w:r>
              <w:rPr>
                <w:spacing w:val="-2"/>
                <w:w w:val="105"/>
                <w:sz w:val="15"/>
              </w:rPr>
              <w:t>62,03</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w w:val="105"/>
                <w:sz w:val="15"/>
              </w:rPr>
              <w:t>64,88%</w:t>
            </w:r>
          </w:p>
        </w:tc>
        <w:tc>
          <w:tcPr>
            <w:tcW w:w="717" w:type="dxa"/>
            <w:vMerge/>
            <w:tcBorders>
              <w:top w:val="nil"/>
            </w:tcBorders>
          </w:tcPr>
          <w:p>
            <w:pPr>
              <w:rPr>
                <w:sz w:val="2"/>
                <w:szCs w:val="2"/>
              </w:rPr>
            </w:pPr>
          </w:p>
        </w:tc>
      </w:tr>
      <w:tr>
        <w:trPr>
          <w:trHeight w:val="192"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731" w:val="left" w:leader="none"/>
                <w:tab w:pos="6154" w:val="left" w:leader="none"/>
              </w:tabs>
              <w:spacing w:line="170" w:lineRule="exact" w:before="3"/>
              <w:ind w:left="25"/>
              <w:rPr>
                <w:sz w:val="15"/>
              </w:rPr>
            </w:pPr>
            <w:r>
              <w:rPr>
                <w:spacing w:val="-2"/>
                <w:w w:val="105"/>
                <w:sz w:val="15"/>
              </w:rPr>
              <w:t>Depreciaciones</w:t>
            </w:r>
            <w:r>
              <w:rPr>
                <w:spacing w:val="2"/>
                <w:w w:val="105"/>
                <w:sz w:val="15"/>
              </w:rPr>
              <w:t> </w:t>
            </w:r>
            <w:r>
              <w:rPr>
                <w:spacing w:val="-2"/>
                <w:w w:val="105"/>
                <w:sz w:val="15"/>
              </w:rPr>
              <w:t>de</w:t>
            </w:r>
            <w:r>
              <w:rPr>
                <w:spacing w:val="4"/>
                <w:w w:val="105"/>
                <w:sz w:val="15"/>
              </w:rPr>
              <w:t> </w:t>
            </w:r>
            <w:r>
              <w:rPr>
                <w:spacing w:val="-2"/>
                <w:w w:val="105"/>
                <w:sz w:val="15"/>
              </w:rPr>
              <w:t>equipos</w:t>
            </w:r>
            <w:r>
              <w:rPr>
                <w:spacing w:val="2"/>
                <w:w w:val="105"/>
                <w:sz w:val="15"/>
              </w:rPr>
              <w:t> </w:t>
            </w:r>
            <w:r>
              <w:rPr>
                <w:spacing w:val="-2"/>
                <w:w w:val="105"/>
                <w:sz w:val="15"/>
              </w:rPr>
              <w:t>de</w:t>
            </w:r>
            <w:r>
              <w:rPr>
                <w:spacing w:val="4"/>
                <w:w w:val="105"/>
                <w:sz w:val="15"/>
              </w:rPr>
              <w:t> </w:t>
            </w:r>
            <w:r>
              <w:rPr>
                <w:spacing w:val="-2"/>
                <w:w w:val="105"/>
                <w:sz w:val="15"/>
              </w:rPr>
              <w:t>seguridad,</w:t>
            </w:r>
            <w:r>
              <w:rPr>
                <w:spacing w:val="4"/>
                <w:w w:val="105"/>
                <w:sz w:val="15"/>
              </w:rPr>
              <w:t> </w:t>
            </w:r>
            <w:r>
              <w:rPr>
                <w:spacing w:val="-2"/>
                <w:w w:val="105"/>
                <w:sz w:val="15"/>
              </w:rPr>
              <w:t>orden,</w:t>
            </w:r>
            <w:r>
              <w:rPr>
                <w:spacing w:val="4"/>
                <w:w w:val="105"/>
                <w:sz w:val="15"/>
              </w:rPr>
              <w:t> </w:t>
            </w:r>
            <w:r>
              <w:rPr>
                <w:spacing w:val="-2"/>
                <w:w w:val="105"/>
                <w:sz w:val="15"/>
              </w:rPr>
              <w:t>vigilancia</w:t>
            </w:r>
            <w:r>
              <w:rPr>
                <w:sz w:val="15"/>
              </w:rPr>
              <w:tab/>
            </w:r>
            <w:r>
              <w:rPr>
                <w:w w:val="105"/>
                <w:sz w:val="15"/>
              </w:rPr>
              <w:t>8</w:t>
            </w:r>
            <w:r>
              <w:rPr>
                <w:spacing w:val="-4"/>
                <w:w w:val="105"/>
                <w:sz w:val="15"/>
              </w:rPr>
              <w:t> </w:t>
            </w:r>
            <w:r>
              <w:rPr>
                <w:spacing w:val="-2"/>
                <w:w w:val="105"/>
                <w:sz w:val="15"/>
              </w:rPr>
              <w:t>030,00</w:t>
            </w:r>
            <w:r>
              <w:rPr>
                <w:sz w:val="15"/>
              </w:rPr>
              <w:tab/>
            </w:r>
            <w:r>
              <w:rPr>
                <w:w w:val="105"/>
                <w:sz w:val="15"/>
              </w:rPr>
              <w:t>8</w:t>
            </w:r>
            <w:r>
              <w:rPr>
                <w:spacing w:val="-4"/>
                <w:w w:val="105"/>
                <w:sz w:val="15"/>
              </w:rPr>
              <w:t> </w:t>
            </w:r>
            <w:r>
              <w:rPr>
                <w:spacing w:val="-2"/>
                <w:w w:val="105"/>
                <w:sz w:val="15"/>
              </w:rPr>
              <w:t>072,02</w:t>
            </w:r>
          </w:p>
        </w:tc>
        <w:tc>
          <w:tcPr>
            <w:tcW w:w="730" w:type="dxa"/>
            <w:tcBorders>
              <w:top w:val="nil"/>
              <w:left w:val="nil"/>
              <w:bottom w:val="nil"/>
            </w:tcBorders>
            <w:shd w:val="clear" w:color="auto" w:fill="FFFFFF"/>
          </w:tcPr>
          <w:p>
            <w:pPr>
              <w:pStyle w:val="TableParagraph"/>
              <w:spacing w:line="170" w:lineRule="exact" w:before="3"/>
              <w:ind w:right="6"/>
              <w:jc w:val="right"/>
              <w:rPr>
                <w:sz w:val="15"/>
              </w:rPr>
            </w:pPr>
            <w:r>
              <w:rPr>
                <w:spacing w:val="-2"/>
                <w:sz w:val="15"/>
              </w:rPr>
              <w:t>-0,52%</w:t>
            </w:r>
          </w:p>
        </w:tc>
        <w:tc>
          <w:tcPr>
            <w:tcW w:w="717" w:type="dxa"/>
            <w:vMerge/>
            <w:tcBorders>
              <w:top w:val="nil"/>
            </w:tcBorders>
          </w:tcPr>
          <w:p>
            <w:pPr>
              <w:rPr>
                <w:sz w:val="2"/>
                <w:szCs w:val="2"/>
              </w:rPr>
            </w:pPr>
          </w:p>
        </w:tc>
      </w:tr>
      <w:tr>
        <w:trPr>
          <w:trHeight w:val="174"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nil"/>
              <w:right w:val="nil"/>
            </w:tcBorders>
            <w:shd w:val="clear" w:color="auto" w:fill="FFFFFF"/>
          </w:tcPr>
          <w:p>
            <w:pPr>
              <w:pStyle w:val="TableParagraph"/>
              <w:tabs>
                <w:tab w:pos="4160" w:val="left" w:leader="none"/>
                <w:tab w:pos="4655" w:val="left" w:leader="none"/>
                <w:tab w:pos="6078" w:val="left" w:leader="none"/>
              </w:tabs>
              <w:spacing w:line="152" w:lineRule="exact" w:before="3"/>
              <w:ind w:left="25"/>
              <w:rPr>
                <w:sz w:val="15"/>
              </w:rPr>
            </w:pPr>
            <w:r>
              <w:rPr>
                <w:w w:val="105"/>
                <w:sz w:val="15"/>
              </w:rPr>
              <w:t>Depreciaciones</w:t>
            </w:r>
            <w:r>
              <w:rPr>
                <w:spacing w:val="-10"/>
                <w:w w:val="105"/>
                <w:sz w:val="15"/>
              </w:rPr>
              <w:t> </w:t>
            </w:r>
            <w:r>
              <w:rPr>
                <w:w w:val="105"/>
                <w:sz w:val="15"/>
              </w:rPr>
              <w:t>de</w:t>
            </w:r>
            <w:r>
              <w:rPr>
                <w:spacing w:val="-10"/>
                <w:w w:val="105"/>
                <w:sz w:val="15"/>
              </w:rPr>
              <w:t> </w:t>
            </w:r>
            <w:r>
              <w:rPr>
                <w:w w:val="105"/>
                <w:sz w:val="15"/>
              </w:rPr>
              <w:t>maquinarias,</w:t>
            </w:r>
            <w:r>
              <w:rPr>
                <w:spacing w:val="-9"/>
                <w:w w:val="105"/>
                <w:sz w:val="15"/>
              </w:rPr>
              <w:t> </w:t>
            </w:r>
            <w:r>
              <w:rPr>
                <w:w w:val="105"/>
                <w:sz w:val="15"/>
              </w:rPr>
              <w:t>equipos</w:t>
            </w:r>
            <w:r>
              <w:rPr>
                <w:spacing w:val="-10"/>
                <w:w w:val="105"/>
                <w:sz w:val="15"/>
              </w:rPr>
              <w:t> </w:t>
            </w:r>
            <w:r>
              <w:rPr>
                <w:w w:val="105"/>
                <w:sz w:val="15"/>
              </w:rPr>
              <w:t>y</w:t>
            </w:r>
            <w:r>
              <w:rPr>
                <w:spacing w:val="-9"/>
                <w:w w:val="105"/>
                <w:sz w:val="15"/>
              </w:rPr>
              <w:t> </w:t>
            </w:r>
            <w:r>
              <w:rPr>
                <w:spacing w:val="-2"/>
                <w:w w:val="105"/>
                <w:sz w:val="15"/>
              </w:rPr>
              <w:t>mobiliario</w:t>
            </w:r>
            <w:r>
              <w:rPr>
                <w:sz w:val="15"/>
              </w:rPr>
              <w:tab/>
            </w:r>
            <w:r>
              <w:rPr>
                <w:sz w:val="15"/>
                <w:u w:val="single"/>
              </w:rPr>
              <w:tab/>
            </w:r>
            <w:r>
              <w:rPr>
                <w:w w:val="105"/>
                <w:sz w:val="15"/>
                <w:u w:val="single"/>
              </w:rPr>
              <w:t>14 279,55</w:t>
            </w:r>
            <w:r>
              <w:rPr>
                <w:spacing w:val="33"/>
                <w:w w:val="105"/>
                <w:sz w:val="15"/>
                <w:u w:val="single"/>
              </w:rPr>
              <w:t> </w:t>
            </w:r>
            <w:r>
              <w:rPr>
                <w:spacing w:val="84"/>
                <w:w w:val="105"/>
                <w:sz w:val="15"/>
                <w:u w:val="none"/>
              </w:rPr>
              <w:t> </w:t>
            </w:r>
            <w:r>
              <w:rPr>
                <w:sz w:val="15"/>
                <w:u w:val="single"/>
              </w:rPr>
              <w:tab/>
            </w:r>
            <w:r>
              <w:rPr>
                <w:w w:val="105"/>
                <w:sz w:val="15"/>
                <w:u w:val="single"/>
              </w:rPr>
              <w:t>13</w:t>
            </w:r>
            <w:r>
              <w:rPr>
                <w:spacing w:val="-7"/>
                <w:w w:val="105"/>
                <w:sz w:val="15"/>
                <w:u w:val="single"/>
              </w:rPr>
              <w:t> </w:t>
            </w:r>
            <w:r>
              <w:rPr>
                <w:spacing w:val="-2"/>
                <w:w w:val="105"/>
                <w:sz w:val="15"/>
                <w:u w:val="single"/>
              </w:rPr>
              <w:t>372,18</w:t>
            </w:r>
            <w:r>
              <w:rPr>
                <w:spacing w:val="80"/>
                <w:w w:val="105"/>
                <w:sz w:val="15"/>
                <w:u w:val="single"/>
              </w:rPr>
              <w:t> </w:t>
            </w:r>
          </w:p>
        </w:tc>
        <w:tc>
          <w:tcPr>
            <w:tcW w:w="730" w:type="dxa"/>
            <w:tcBorders>
              <w:top w:val="nil"/>
              <w:left w:val="nil"/>
              <w:bottom w:val="single" w:sz="2" w:space="0" w:color="000000"/>
            </w:tcBorders>
            <w:shd w:val="clear" w:color="auto" w:fill="FFFFFF"/>
          </w:tcPr>
          <w:p>
            <w:pPr>
              <w:pStyle w:val="TableParagraph"/>
              <w:spacing w:line="152" w:lineRule="exact" w:before="3"/>
              <w:ind w:right="6"/>
              <w:jc w:val="right"/>
              <w:rPr>
                <w:sz w:val="15"/>
              </w:rPr>
            </w:pPr>
            <w:r>
              <w:rPr>
                <w:spacing w:val="-2"/>
                <w:w w:val="105"/>
                <w:sz w:val="15"/>
              </w:rPr>
              <w:t>6,79%</w:t>
            </w:r>
          </w:p>
        </w:tc>
        <w:tc>
          <w:tcPr>
            <w:tcW w:w="717" w:type="dxa"/>
            <w:vMerge/>
            <w:tcBorders>
              <w:top w:val="nil"/>
            </w:tcBorders>
          </w:tcPr>
          <w:p>
            <w:pPr>
              <w:rPr>
                <w:sz w:val="2"/>
                <w:szCs w:val="2"/>
              </w:rPr>
            </w:pPr>
          </w:p>
        </w:tc>
      </w:tr>
      <w:tr>
        <w:trPr>
          <w:trHeight w:val="186" w:hRule="atLeast"/>
        </w:trPr>
        <w:tc>
          <w:tcPr>
            <w:tcW w:w="659" w:type="dxa"/>
            <w:vMerge/>
            <w:tcBorders>
              <w:top w:val="nil"/>
              <w:right w:val="single" w:sz="2" w:space="0" w:color="000000"/>
            </w:tcBorders>
          </w:tcPr>
          <w:p>
            <w:pPr>
              <w:rPr>
                <w:sz w:val="2"/>
                <w:szCs w:val="2"/>
              </w:rPr>
            </w:pPr>
          </w:p>
        </w:tc>
        <w:tc>
          <w:tcPr>
            <w:tcW w:w="6891" w:type="dxa"/>
            <w:tcBorders>
              <w:top w:val="nil"/>
              <w:left w:val="single" w:sz="2" w:space="0" w:color="000000"/>
              <w:bottom w:val="thickThinMediumGap" w:sz="2" w:space="0" w:color="000000"/>
              <w:right w:val="nil"/>
            </w:tcBorders>
            <w:shd w:val="clear" w:color="auto" w:fill="FFFFFF"/>
          </w:tcPr>
          <w:p>
            <w:pPr>
              <w:pStyle w:val="TableParagraph"/>
              <w:tabs>
                <w:tab w:pos="4532" w:val="left" w:leader="none"/>
                <w:tab w:pos="5956" w:val="left" w:leader="none"/>
              </w:tabs>
              <w:spacing w:line="145" w:lineRule="exact" w:before="21"/>
              <w:ind w:left="25"/>
              <w:rPr>
                <w:b/>
                <w:sz w:val="15"/>
              </w:rPr>
            </w:pPr>
            <w:r>
              <w:rPr>
                <w:b/>
                <w:w w:val="105"/>
                <w:sz w:val="15"/>
              </w:rPr>
              <w:t>Total</w:t>
            </w:r>
            <w:r>
              <w:rPr>
                <w:b/>
                <w:spacing w:val="21"/>
                <w:w w:val="105"/>
                <w:sz w:val="15"/>
              </w:rPr>
              <w:t> </w:t>
            </w:r>
            <w:r>
              <w:rPr>
                <w:b/>
                <w:w w:val="105"/>
                <w:sz w:val="15"/>
              </w:rPr>
              <w:t>Depreciaciones</w:t>
            </w:r>
            <w:r>
              <w:rPr>
                <w:b/>
                <w:spacing w:val="21"/>
                <w:w w:val="105"/>
                <w:sz w:val="15"/>
              </w:rPr>
              <w:t> </w:t>
            </w:r>
            <w:r>
              <w:rPr>
                <w:b/>
                <w:w w:val="105"/>
                <w:sz w:val="15"/>
              </w:rPr>
              <w:t>de</w:t>
            </w:r>
            <w:r>
              <w:rPr>
                <w:b/>
                <w:spacing w:val="22"/>
                <w:w w:val="105"/>
                <w:sz w:val="15"/>
              </w:rPr>
              <w:t> </w:t>
            </w:r>
            <w:r>
              <w:rPr>
                <w:b/>
                <w:w w:val="105"/>
                <w:sz w:val="15"/>
              </w:rPr>
              <w:t>propiedades,</w:t>
            </w:r>
            <w:r>
              <w:rPr>
                <w:b/>
                <w:spacing w:val="23"/>
                <w:w w:val="105"/>
                <w:sz w:val="15"/>
              </w:rPr>
              <w:t> </w:t>
            </w:r>
            <w:r>
              <w:rPr>
                <w:b/>
                <w:w w:val="105"/>
                <w:sz w:val="15"/>
              </w:rPr>
              <w:t>planta</w:t>
            </w:r>
            <w:r>
              <w:rPr>
                <w:b/>
                <w:spacing w:val="22"/>
                <w:w w:val="105"/>
                <w:sz w:val="15"/>
              </w:rPr>
              <w:t> </w:t>
            </w:r>
            <w:r>
              <w:rPr>
                <w:b/>
                <w:w w:val="105"/>
                <w:sz w:val="15"/>
              </w:rPr>
              <w:t>y</w:t>
            </w:r>
            <w:r>
              <w:rPr>
                <w:b/>
                <w:spacing w:val="18"/>
                <w:w w:val="105"/>
                <w:sz w:val="15"/>
              </w:rPr>
              <w:t> </w:t>
            </w:r>
            <w:r>
              <w:rPr>
                <w:b/>
                <w:spacing w:val="-2"/>
                <w:w w:val="105"/>
                <w:sz w:val="15"/>
              </w:rPr>
              <w:t>equipo</w:t>
            </w:r>
            <w:r>
              <w:rPr>
                <w:b/>
                <w:sz w:val="15"/>
              </w:rPr>
              <w:tab/>
            </w:r>
            <w:r>
              <w:rPr>
                <w:b/>
                <w:w w:val="105"/>
                <w:sz w:val="15"/>
              </w:rPr>
              <w:t>507</w:t>
            </w:r>
            <w:r>
              <w:rPr>
                <w:b/>
                <w:spacing w:val="9"/>
                <w:w w:val="105"/>
                <w:sz w:val="15"/>
              </w:rPr>
              <w:t> </w:t>
            </w:r>
            <w:r>
              <w:rPr>
                <w:b/>
                <w:spacing w:val="-2"/>
                <w:w w:val="105"/>
                <w:sz w:val="15"/>
              </w:rPr>
              <w:t>265,39</w:t>
            </w:r>
            <w:r>
              <w:rPr>
                <w:b/>
                <w:sz w:val="15"/>
              </w:rPr>
              <w:tab/>
            </w:r>
            <w:r>
              <w:rPr>
                <w:b/>
                <w:w w:val="105"/>
                <w:sz w:val="15"/>
              </w:rPr>
              <w:t>486</w:t>
            </w:r>
            <w:r>
              <w:rPr>
                <w:b/>
                <w:spacing w:val="9"/>
                <w:w w:val="105"/>
                <w:sz w:val="15"/>
              </w:rPr>
              <w:t> </w:t>
            </w:r>
            <w:r>
              <w:rPr>
                <w:b/>
                <w:spacing w:val="-2"/>
                <w:w w:val="105"/>
                <w:sz w:val="15"/>
              </w:rPr>
              <w:t>985,39</w:t>
            </w:r>
          </w:p>
        </w:tc>
        <w:tc>
          <w:tcPr>
            <w:tcW w:w="730" w:type="dxa"/>
            <w:tcBorders>
              <w:top w:val="single" w:sz="2" w:space="0" w:color="000000"/>
              <w:left w:val="nil"/>
              <w:bottom w:val="thickThinMediumGap" w:sz="2" w:space="0" w:color="000000"/>
            </w:tcBorders>
            <w:shd w:val="clear" w:color="auto" w:fill="FFFFFF"/>
          </w:tcPr>
          <w:p>
            <w:pPr>
              <w:pStyle w:val="TableParagraph"/>
              <w:spacing w:line="145" w:lineRule="exact" w:before="21"/>
              <w:ind w:right="11"/>
              <w:jc w:val="right"/>
              <w:rPr>
                <w:b/>
                <w:sz w:val="15"/>
              </w:rPr>
            </w:pPr>
            <w:r>
              <w:rPr>
                <w:b/>
                <w:spacing w:val="-2"/>
                <w:w w:val="105"/>
                <w:sz w:val="15"/>
              </w:rPr>
              <w:t>4,16%</w:t>
            </w:r>
          </w:p>
        </w:tc>
        <w:tc>
          <w:tcPr>
            <w:tcW w:w="717" w:type="dxa"/>
            <w:vMerge/>
            <w:tcBorders>
              <w:top w:val="nil"/>
            </w:tcBorders>
          </w:tcPr>
          <w:p>
            <w:pPr>
              <w:rPr>
                <w:sz w:val="2"/>
                <w:szCs w:val="2"/>
              </w:rPr>
            </w:pPr>
          </w:p>
        </w:tc>
      </w:tr>
    </w:tbl>
    <w:p>
      <w:pPr>
        <w:spacing w:after="0"/>
        <w:rPr>
          <w:sz w:val="2"/>
          <w:szCs w:val="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8784">
                <wp:simplePos x="0" y="0"/>
                <wp:positionH relativeFrom="page">
                  <wp:posOffset>9525</wp:posOffset>
                </wp:positionH>
                <wp:positionV relativeFrom="page">
                  <wp:posOffset>297208</wp:posOffset>
                </wp:positionV>
                <wp:extent cx="7762875" cy="9748520"/>
                <wp:effectExtent l="0" t="0" r="0" b="0"/>
                <wp:wrapNone/>
                <wp:docPr id="989" name="Group 989"/>
                <wp:cNvGraphicFramePr>
                  <a:graphicFrameLocks/>
                </wp:cNvGraphicFramePr>
                <a:graphic>
                  <a:graphicData uri="http://schemas.microsoft.com/office/word/2010/wordprocessingGroup">
                    <wpg:wgp>
                      <wpg:cNvPr id="989" name="Group 989"/>
                      <wpg:cNvGrpSpPr/>
                      <wpg:grpSpPr>
                        <a:xfrm>
                          <a:off x="0" y="0"/>
                          <a:ext cx="7762875" cy="9748520"/>
                          <a:chExt cx="7762875" cy="9748520"/>
                        </a:xfrm>
                      </wpg:grpSpPr>
                      <pic:pic>
                        <pic:nvPicPr>
                          <pic:cNvPr id="990" name="Image 990"/>
                          <pic:cNvPicPr/>
                        </pic:nvPicPr>
                        <pic:blipFill>
                          <a:blip r:embed="rId5" cstate="print"/>
                          <a:stretch>
                            <a:fillRect/>
                          </a:stretch>
                        </pic:blipFill>
                        <pic:spPr>
                          <a:xfrm>
                            <a:off x="0" y="0"/>
                            <a:ext cx="7762874" cy="9748489"/>
                          </a:xfrm>
                          <a:prstGeom prst="rect">
                            <a:avLst/>
                          </a:prstGeom>
                        </pic:spPr>
                      </pic:pic>
                      <wps:wsp>
                        <wps:cNvPr id="991" name="Graphic 99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7696" id="docshapegroup936" coordorigin="15,468" coordsize="12225,15352">
                <v:shape style="position:absolute;left:15;top:468;width:12225;height:15352" type="#_x0000_t75" id="docshape937" stroked="false">
                  <v:imagedata r:id="rId5" o:title=""/>
                </v:shape>
                <v:rect style="position:absolute;left:1673;top:2028;width:8897;height:15" id="docshape93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188</w:t>
      </w:r>
    </w:p>
    <w:p>
      <w:pPr>
        <w:pStyle w:val="BodyText"/>
        <w:spacing w:before="10"/>
        <w:rPr>
          <w:sz w:val="16"/>
        </w:rPr>
      </w:pPr>
      <w:r>
        <w:rPr>
          <w:sz w:val="16"/>
        </w:rPr>
        <mc:AlternateContent>
          <mc:Choice Requires="wps">
            <w:drawing>
              <wp:anchor distT="0" distB="0" distL="0" distR="0" allowOverlap="1" layoutInCell="1" locked="0" behindDoc="1" simplePos="0" relativeHeight="487781376">
                <wp:simplePos x="0" y="0"/>
                <wp:positionH relativeFrom="page">
                  <wp:posOffset>1080820</wp:posOffset>
                </wp:positionH>
                <wp:positionV relativeFrom="paragraph">
                  <wp:posOffset>141144</wp:posOffset>
                </wp:positionV>
                <wp:extent cx="5715000" cy="1891664"/>
                <wp:effectExtent l="0" t="0" r="0" b="0"/>
                <wp:wrapTopAndBottom/>
                <wp:docPr id="992" name="Textbox 992"/>
                <wp:cNvGraphicFramePr>
                  <a:graphicFrameLocks/>
                </wp:cNvGraphicFramePr>
                <a:graphic>
                  <a:graphicData uri="http://schemas.microsoft.com/office/word/2010/wordprocessingShape">
                    <wps:wsp>
                      <wps:cNvPr id="992" name="Textbox 992"/>
                      <wps:cNvSpPr txBox="1"/>
                      <wps:spPr>
                        <a:xfrm>
                          <a:off x="0" y="0"/>
                          <a:ext cx="5715000" cy="1891664"/>
                        </a:xfrm>
                        <a:prstGeom prst="rect">
                          <a:avLst/>
                        </a:prstGeom>
                        <a:ln w="6095">
                          <a:solidFill>
                            <a:srgbClr val="000000"/>
                          </a:solidFill>
                          <a:prstDash val="solid"/>
                        </a:ln>
                      </wps:spPr>
                      <wps:txbx>
                        <w:txbxContent>
                          <w:p>
                            <w:pPr>
                              <w:pStyle w:val="BodyText"/>
                              <w:spacing w:before="181"/>
                            </w:pPr>
                          </w:p>
                          <w:p>
                            <w:pPr>
                              <w:pStyle w:val="BodyText"/>
                              <w:ind w:left="64"/>
                            </w:pPr>
                            <w:r>
                              <w:rPr>
                                <w:u w:val="single"/>
                              </w:rPr>
                              <w:t>Gasto</w:t>
                            </w:r>
                            <w:r>
                              <w:rPr>
                                <w:spacing w:val="-4"/>
                                <w:u w:val="single"/>
                              </w:rPr>
                              <w:t> </w:t>
                            </w:r>
                            <w:r>
                              <w:rPr>
                                <w:u w:val="single"/>
                              </w:rPr>
                              <w:t>por</w:t>
                            </w:r>
                            <w:r>
                              <w:rPr>
                                <w:spacing w:val="-4"/>
                                <w:u w:val="single"/>
                              </w:rPr>
                              <w:t> </w:t>
                            </w:r>
                            <w:r>
                              <w:rPr>
                                <w:u w:val="single"/>
                              </w:rPr>
                              <w:t>depreciación</w:t>
                            </w:r>
                            <w:r>
                              <w:rPr>
                                <w:spacing w:val="-4"/>
                                <w:u w:val="single"/>
                              </w:rPr>
                              <w:t> </w:t>
                            </w:r>
                            <w:r>
                              <w:rPr>
                                <w:u w:val="single"/>
                              </w:rPr>
                              <w:t>del</w:t>
                            </w:r>
                            <w:r>
                              <w:rPr>
                                <w:spacing w:val="-3"/>
                                <w:u w:val="single"/>
                              </w:rPr>
                              <w:t> </w:t>
                            </w:r>
                            <w:r>
                              <w:rPr>
                                <w:spacing w:val="-2"/>
                                <w:u w:val="single"/>
                              </w:rPr>
                              <w:t>período</w:t>
                            </w:r>
                          </w:p>
                          <w:p>
                            <w:pPr>
                              <w:pStyle w:val="BodyText"/>
                              <w:spacing w:line="259" w:lineRule="auto" w:before="179"/>
                              <w:ind w:left="64"/>
                            </w:pPr>
                            <w:r>
                              <w:rPr/>
                              <w:t>Durante</w:t>
                            </w:r>
                            <w:r>
                              <w:rPr>
                                <w:spacing w:val="-4"/>
                              </w:rPr>
                              <w:t> </w:t>
                            </w:r>
                            <w:r>
                              <w:rPr/>
                              <w:t>el</w:t>
                            </w:r>
                            <w:r>
                              <w:rPr>
                                <w:spacing w:val="-4"/>
                              </w:rPr>
                              <w:t> </w:t>
                            </w:r>
                            <w:r>
                              <w:rPr/>
                              <w:t>período</w:t>
                            </w:r>
                            <w:r>
                              <w:rPr>
                                <w:spacing w:val="-4"/>
                              </w:rPr>
                              <w:t> </w:t>
                            </w:r>
                            <w:r>
                              <w:rPr/>
                              <w:t>comprendido</w:t>
                            </w:r>
                            <w:r>
                              <w:rPr>
                                <w:spacing w:val="-4"/>
                              </w:rPr>
                              <w:t> </w:t>
                            </w:r>
                            <w:r>
                              <w:rPr/>
                              <w:t>entre</w:t>
                            </w:r>
                            <w:r>
                              <w:rPr>
                                <w:spacing w:val="-4"/>
                              </w:rPr>
                              <w:t> </w:t>
                            </w:r>
                            <w:r>
                              <w:rPr/>
                              <w:t>enero</w:t>
                            </w:r>
                            <w:r>
                              <w:rPr>
                                <w:spacing w:val="-4"/>
                              </w:rPr>
                              <w:t> </w:t>
                            </w:r>
                            <w:r>
                              <w:rPr/>
                              <w:t>a</w:t>
                            </w:r>
                            <w:r>
                              <w:rPr>
                                <w:spacing w:val="-4"/>
                              </w:rPr>
                              <w:t> </w:t>
                            </w:r>
                            <w:r>
                              <w:rPr/>
                              <w:t>julio</w:t>
                            </w:r>
                            <w:r>
                              <w:rPr>
                                <w:spacing w:val="-4"/>
                              </w:rPr>
                              <w:t> </w:t>
                            </w:r>
                            <w:r>
                              <w:rPr/>
                              <w:t>del</w:t>
                            </w:r>
                            <w:r>
                              <w:rPr>
                                <w:spacing w:val="-4"/>
                              </w:rPr>
                              <w:t> </w:t>
                            </w:r>
                            <w:r>
                              <w:rPr/>
                              <w:t>2026,</w:t>
                            </w:r>
                            <w:r>
                              <w:rPr>
                                <w:spacing w:val="-4"/>
                              </w:rPr>
                              <w:t> </w:t>
                            </w:r>
                            <w:r>
                              <w:rPr/>
                              <w:t>se</w:t>
                            </w:r>
                            <w:r>
                              <w:rPr>
                                <w:spacing w:val="-5"/>
                              </w:rPr>
                              <w:t> </w:t>
                            </w:r>
                            <w:r>
                              <w:rPr/>
                              <w:t>reconoció</w:t>
                            </w:r>
                            <w:r>
                              <w:rPr>
                                <w:spacing w:val="-4"/>
                              </w:rPr>
                              <w:t> </w:t>
                            </w:r>
                            <w:r>
                              <w:rPr/>
                              <w:t>un</w:t>
                            </w:r>
                            <w:r>
                              <w:rPr>
                                <w:spacing w:val="-4"/>
                              </w:rPr>
                              <w:t> </w:t>
                            </w:r>
                            <w:r>
                              <w:rPr/>
                              <w:t>gasto</w:t>
                            </w:r>
                            <w:r>
                              <w:rPr>
                                <w:spacing w:val="-4"/>
                              </w:rPr>
                              <w:t> </w:t>
                            </w:r>
                            <w:r>
                              <w:rPr/>
                              <w:t>por</w:t>
                            </w:r>
                            <w:r>
                              <w:rPr>
                                <w:spacing w:val="-4"/>
                              </w:rPr>
                              <w:t> </w:t>
                            </w:r>
                            <w:r>
                              <w:rPr/>
                              <w:t>depreciación por un total de: ¢507.265,39</w:t>
                            </w:r>
                          </w:p>
                          <w:p>
                            <w:pPr>
                              <w:pStyle w:val="BodyText"/>
                              <w:spacing w:line="259" w:lineRule="auto" w:before="161"/>
                              <w:ind w:left="64"/>
                            </w:pPr>
                            <w:r>
                              <w:rPr/>
                              <w:t>Este gasto se distribuye entre las distintas clases de activos y corresponde al reconocimiento periódico del consumo del potencial de servicio de los bienes que continúan en uso.</w:t>
                            </w:r>
                          </w:p>
                          <w:p>
                            <w:pPr>
                              <w:pStyle w:val="BodyText"/>
                              <w:spacing w:line="259" w:lineRule="auto" w:before="159"/>
                              <w:ind w:left="64"/>
                            </w:pPr>
                            <w:r>
                              <w:rPr/>
                              <w:t>El</w:t>
                            </w:r>
                            <w:r>
                              <w:rPr>
                                <w:spacing w:val="-8"/>
                              </w:rPr>
                              <w:t> </w:t>
                            </w:r>
                            <w:r>
                              <w:rPr/>
                              <w:t>registro</w:t>
                            </w:r>
                            <w:r>
                              <w:rPr>
                                <w:spacing w:val="-6"/>
                              </w:rPr>
                              <w:t> </w:t>
                            </w:r>
                            <w:r>
                              <w:rPr/>
                              <w:t>del</w:t>
                            </w:r>
                            <w:r>
                              <w:rPr>
                                <w:spacing w:val="-8"/>
                              </w:rPr>
                              <w:t> </w:t>
                            </w:r>
                            <w:r>
                              <w:rPr/>
                              <w:t>gasto</w:t>
                            </w:r>
                            <w:r>
                              <w:rPr>
                                <w:spacing w:val="-6"/>
                              </w:rPr>
                              <w:t> </w:t>
                            </w:r>
                            <w:r>
                              <w:rPr/>
                              <w:t>por</w:t>
                            </w:r>
                            <w:r>
                              <w:rPr>
                                <w:spacing w:val="-7"/>
                              </w:rPr>
                              <w:t> </w:t>
                            </w:r>
                            <w:r>
                              <w:rPr/>
                              <w:t>depreciación</w:t>
                            </w:r>
                            <w:r>
                              <w:rPr>
                                <w:spacing w:val="-7"/>
                              </w:rPr>
                              <w:t> </w:t>
                            </w:r>
                            <w:r>
                              <w:rPr/>
                              <w:t>explica,</w:t>
                            </w:r>
                            <w:r>
                              <w:rPr>
                                <w:spacing w:val="-7"/>
                              </w:rPr>
                              <w:t> </w:t>
                            </w:r>
                            <w:r>
                              <w:rPr/>
                              <w:t>junto</w:t>
                            </w:r>
                            <w:r>
                              <w:rPr>
                                <w:spacing w:val="-6"/>
                              </w:rPr>
                              <w:t> </w:t>
                            </w:r>
                            <w:r>
                              <w:rPr/>
                              <w:t>con</w:t>
                            </w:r>
                            <w:r>
                              <w:rPr>
                                <w:spacing w:val="-9"/>
                              </w:rPr>
                              <w:t> </w:t>
                            </w:r>
                            <w:r>
                              <w:rPr/>
                              <w:t>las</w:t>
                            </w:r>
                            <w:r>
                              <w:rPr>
                                <w:spacing w:val="-6"/>
                              </w:rPr>
                              <w:t> </w:t>
                            </w:r>
                            <w:r>
                              <w:rPr/>
                              <w:t>bajas</w:t>
                            </w:r>
                            <w:r>
                              <w:rPr>
                                <w:spacing w:val="-6"/>
                              </w:rPr>
                              <w:t> </w:t>
                            </w:r>
                            <w:r>
                              <w:rPr/>
                              <w:t>de</w:t>
                            </w:r>
                            <w:r>
                              <w:rPr>
                                <w:spacing w:val="-9"/>
                              </w:rPr>
                              <w:t> </w:t>
                            </w:r>
                            <w:r>
                              <w:rPr/>
                              <w:t>activos,</w:t>
                            </w:r>
                            <w:r>
                              <w:rPr>
                                <w:spacing w:val="-7"/>
                              </w:rPr>
                              <w:t> </w:t>
                            </w:r>
                            <w:r>
                              <w:rPr/>
                              <w:t>la</w:t>
                            </w:r>
                            <w:r>
                              <w:rPr>
                                <w:spacing w:val="-8"/>
                              </w:rPr>
                              <w:t> </w:t>
                            </w:r>
                            <w:r>
                              <w:rPr/>
                              <w:t>disminución</w:t>
                            </w:r>
                            <w:r>
                              <w:rPr>
                                <w:spacing w:val="-7"/>
                              </w:rPr>
                              <w:t> </w:t>
                            </w:r>
                            <w:r>
                              <w:rPr/>
                              <w:t>del</w:t>
                            </w:r>
                            <w:r>
                              <w:rPr>
                                <w:spacing w:val="-8"/>
                              </w:rPr>
                              <w:t> </w:t>
                            </w:r>
                            <w:r>
                              <w:rPr/>
                              <w:t>valor</w:t>
                            </w:r>
                            <w:r>
                              <w:rPr>
                                <w:spacing w:val="-7"/>
                              </w:rPr>
                              <w:t> </w:t>
                            </w:r>
                            <w:r>
                              <w:rPr/>
                              <w:t>en libros del rubro de Propiedad, Planta y Equipo durante el período.</w:t>
                            </w:r>
                          </w:p>
                        </w:txbxContent>
                      </wps:txbx>
                      <wps:bodyPr wrap="square" lIns="0" tIns="0" rIns="0" bIns="0" rtlCol="0">
                        <a:noAutofit/>
                      </wps:bodyPr>
                    </wps:wsp>
                  </a:graphicData>
                </a:graphic>
              </wp:anchor>
            </w:drawing>
          </mc:Choice>
          <mc:Fallback>
            <w:pict>
              <v:shape style="position:absolute;margin-left:85.103996pt;margin-top:11.11375pt;width:450pt;height:148.950pt;mso-position-horizontal-relative:page;mso-position-vertical-relative:paragraph;z-index:-15535104;mso-wrap-distance-left:0;mso-wrap-distance-right:0" type="#_x0000_t202" id="docshape939" filled="false" stroked="true" strokeweight=".47998pt" strokecolor="#000000">
                <v:textbox inset="0,0,0,0">
                  <w:txbxContent>
                    <w:p>
                      <w:pPr>
                        <w:pStyle w:val="BodyText"/>
                        <w:spacing w:before="181"/>
                      </w:pPr>
                    </w:p>
                    <w:p>
                      <w:pPr>
                        <w:pStyle w:val="BodyText"/>
                        <w:ind w:left="64"/>
                      </w:pPr>
                      <w:r>
                        <w:rPr>
                          <w:u w:val="single"/>
                        </w:rPr>
                        <w:t>Gasto</w:t>
                      </w:r>
                      <w:r>
                        <w:rPr>
                          <w:spacing w:val="-4"/>
                          <w:u w:val="single"/>
                        </w:rPr>
                        <w:t> </w:t>
                      </w:r>
                      <w:r>
                        <w:rPr>
                          <w:u w:val="single"/>
                        </w:rPr>
                        <w:t>por</w:t>
                      </w:r>
                      <w:r>
                        <w:rPr>
                          <w:spacing w:val="-4"/>
                          <w:u w:val="single"/>
                        </w:rPr>
                        <w:t> </w:t>
                      </w:r>
                      <w:r>
                        <w:rPr>
                          <w:u w:val="single"/>
                        </w:rPr>
                        <w:t>depreciación</w:t>
                      </w:r>
                      <w:r>
                        <w:rPr>
                          <w:spacing w:val="-4"/>
                          <w:u w:val="single"/>
                        </w:rPr>
                        <w:t> </w:t>
                      </w:r>
                      <w:r>
                        <w:rPr>
                          <w:u w:val="single"/>
                        </w:rPr>
                        <w:t>del</w:t>
                      </w:r>
                      <w:r>
                        <w:rPr>
                          <w:spacing w:val="-3"/>
                          <w:u w:val="single"/>
                        </w:rPr>
                        <w:t> </w:t>
                      </w:r>
                      <w:r>
                        <w:rPr>
                          <w:spacing w:val="-2"/>
                          <w:u w:val="single"/>
                        </w:rPr>
                        <w:t>período</w:t>
                      </w:r>
                    </w:p>
                    <w:p>
                      <w:pPr>
                        <w:pStyle w:val="BodyText"/>
                        <w:spacing w:line="259" w:lineRule="auto" w:before="179"/>
                        <w:ind w:left="64"/>
                      </w:pPr>
                      <w:r>
                        <w:rPr/>
                        <w:t>Durante</w:t>
                      </w:r>
                      <w:r>
                        <w:rPr>
                          <w:spacing w:val="-4"/>
                        </w:rPr>
                        <w:t> </w:t>
                      </w:r>
                      <w:r>
                        <w:rPr/>
                        <w:t>el</w:t>
                      </w:r>
                      <w:r>
                        <w:rPr>
                          <w:spacing w:val="-4"/>
                        </w:rPr>
                        <w:t> </w:t>
                      </w:r>
                      <w:r>
                        <w:rPr/>
                        <w:t>período</w:t>
                      </w:r>
                      <w:r>
                        <w:rPr>
                          <w:spacing w:val="-4"/>
                        </w:rPr>
                        <w:t> </w:t>
                      </w:r>
                      <w:r>
                        <w:rPr/>
                        <w:t>comprendido</w:t>
                      </w:r>
                      <w:r>
                        <w:rPr>
                          <w:spacing w:val="-4"/>
                        </w:rPr>
                        <w:t> </w:t>
                      </w:r>
                      <w:r>
                        <w:rPr/>
                        <w:t>entre</w:t>
                      </w:r>
                      <w:r>
                        <w:rPr>
                          <w:spacing w:val="-4"/>
                        </w:rPr>
                        <w:t> </w:t>
                      </w:r>
                      <w:r>
                        <w:rPr/>
                        <w:t>enero</w:t>
                      </w:r>
                      <w:r>
                        <w:rPr>
                          <w:spacing w:val="-4"/>
                        </w:rPr>
                        <w:t> </w:t>
                      </w:r>
                      <w:r>
                        <w:rPr/>
                        <w:t>a</w:t>
                      </w:r>
                      <w:r>
                        <w:rPr>
                          <w:spacing w:val="-4"/>
                        </w:rPr>
                        <w:t> </w:t>
                      </w:r>
                      <w:r>
                        <w:rPr/>
                        <w:t>julio</w:t>
                      </w:r>
                      <w:r>
                        <w:rPr>
                          <w:spacing w:val="-4"/>
                        </w:rPr>
                        <w:t> </w:t>
                      </w:r>
                      <w:r>
                        <w:rPr/>
                        <w:t>del</w:t>
                      </w:r>
                      <w:r>
                        <w:rPr>
                          <w:spacing w:val="-4"/>
                        </w:rPr>
                        <w:t> </w:t>
                      </w:r>
                      <w:r>
                        <w:rPr/>
                        <w:t>2026,</w:t>
                      </w:r>
                      <w:r>
                        <w:rPr>
                          <w:spacing w:val="-4"/>
                        </w:rPr>
                        <w:t> </w:t>
                      </w:r>
                      <w:r>
                        <w:rPr/>
                        <w:t>se</w:t>
                      </w:r>
                      <w:r>
                        <w:rPr>
                          <w:spacing w:val="-5"/>
                        </w:rPr>
                        <w:t> </w:t>
                      </w:r>
                      <w:r>
                        <w:rPr/>
                        <w:t>reconoció</w:t>
                      </w:r>
                      <w:r>
                        <w:rPr>
                          <w:spacing w:val="-4"/>
                        </w:rPr>
                        <w:t> </w:t>
                      </w:r>
                      <w:r>
                        <w:rPr/>
                        <w:t>un</w:t>
                      </w:r>
                      <w:r>
                        <w:rPr>
                          <w:spacing w:val="-4"/>
                        </w:rPr>
                        <w:t> </w:t>
                      </w:r>
                      <w:r>
                        <w:rPr/>
                        <w:t>gasto</w:t>
                      </w:r>
                      <w:r>
                        <w:rPr>
                          <w:spacing w:val="-4"/>
                        </w:rPr>
                        <w:t> </w:t>
                      </w:r>
                      <w:r>
                        <w:rPr/>
                        <w:t>por</w:t>
                      </w:r>
                      <w:r>
                        <w:rPr>
                          <w:spacing w:val="-4"/>
                        </w:rPr>
                        <w:t> </w:t>
                      </w:r>
                      <w:r>
                        <w:rPr/>
                        <w:t>depreciación por un total de: ¢507.265,39</w:t>
                      </w:r>
                    </w:p>
                    <w:p>
                      <w:pPr>
                        <w:pStyle w:val="BodyText"/>
                        <w:spacing w:line="259" w:lineRule="auto" w:before="161"/>
                        <w:ind w:left="64"/>
                      </w:pPr>
                      <w:r>
                        <w:rPr/>
                        <w:t>Este gasto se distribuye entre las distintas clases de activos y corresponde al reconocimiento periódico del consumo del potencial de servicio de los bienes que continúan en uso.</w:t>
                      </w:r>
                    </w:p>
                    <w:p>
                      <w:pPr>
                        <w:pStyle w:val="BodyText"/>
                        <w:spacing w:line="259" w:lineRule="auto" w:before="159"/>
                        <w:ind w:left="64"/>
                      </w:pPr>
                      <w:r>
                        <w:rPr/>
                        <w:t>El</w:t>
                      </w:r>
                      <w:r>
                        <w:rPr>
                          <w:spacing w:val="-8"/>
                        </w:rPr>
                        <w:t> </w:t>
                      </w:r>
                      <w:r>
                        <w:rPr/>
                        <w:t>registro</w:t>
                      </w:r>
                      <w:r>
                        <w:rPr>
                          <w:spacing w:val="-6"/>
                        </w:rPr>
                        <w:t> </w:t>
                      </w:r>
                      <w:r>
                        <w:rPr/>
                        <w:t>del</w:t>
                      </w:r>
                      <w:r>
                        <w:rPr>
                          <w:spacing w:val="-8"/>
                        </w:rPr>
                        <w:t> </w:t>
                      </w:r>
                      <w:r>
                        <w:rPr/>
                        <w:t>gasto</w:t>
                      </w:r>
                      <w:r>
                        <w:rPr>
                          <w:spacing w:val="-6"/>
                        </w:rPr>
                        <w:t> </w:t>
                      </w:r>
                      <w:r>
                        <w:rPr/>
                        <w:t>por</w:t>
                      </w:r>
                      <w:r>
                        <w:rPr>
                          <w:spacing w:val="-7"/>
                        </w:rPr>
                        <w:t> </w:t>
                      </w:r>
                      <w:r>
                        <w:rPr/>
                        <w:t>depreciación</w:t>
                      </w:r>
                      <w:r>
                        <w:rPr>
                          <w:spacing w:val="-7"/>
                        </w:rPr>
                        <w:t> </w:t>
                      </w:r>
                      <w:r>
                        <w:rPr/>
                        <w:t>explica,</w:t>
                      </w:r>
                      <w:r>
                        <w:rPr>
                          <w:spacing w:val="-7"/>
                        </w:rPr>
                        <w:t> </w:t>
                      </w:r>
                      <w:r>
                        <w:rPr/>
                        <w:t>junto</w:t>
                      </w:r>
                      <w:r>
                        <w:rPr>
                          <w:spacing w:val="-6"/>
                        </w:rPr>
                        <w:t> </w:t>
                      </w:r>
                      <w:r>
                        <w:rPr/>
                        <w:t>con</w:t>
                      </w:r>
                      <w:r>
                        <w:rPr>
                          <w:spacing w:val="-9"/>
                        </w:rPr>
                        <w:t> </w:t>
                      </w:r>
                      <w:r>
                        <w:rPr/>
                        <w:t>las</w:t>
                      </w:r>
                      <w:r>
                        <w:rPr>
                          <w:spacing w:val="-6"/>
                        </w:rPr>
                        <w:t> </w:t>
                      </w:r>
                      <w:r>
                        <w:rPr/>
                        <w:t>bajas</w:t>
                      </w:r>
                      <w:r>
                        <w:rPr>
                          <w:spacing w:val="-6"/>
                        </w:rPr>
                        <w:t> </w:t>
                      </w:r>
                      <w:r>
                        <w:rPr/>
                        <w:t>de</w:t>
                      </w:r>
                      <w:r>
                        <w:rPr>
                          <w:spacing w:val="-9"/>
                        </w:rPr>
                        <w:t> </w:t>
                      </w:r>
                      <w:r>
                        <w:rPr/>
                        <w:t>activos,</w:t>
                      </w:r>
                      <w:r>
                        <w:rPr>
                          <w:spacing w:val="-7"/>
                        </w:rPr>
                        <w:t> </w:t>
                      </w:r>
                      <w:r>
                        <w:rPr/>
                        <w:t>la</w:t>
                      </w:r>
                      <w:r>
                        <w:rPr>
                          <w:spacing w:val="-8"/>
                        </w:rPr>
                        <w:t> </w:t>
                      </w:r>
                      <w:r>
                        <w:rPr/>
                        <w:t>disminución</w:t>
                      </w:r>
                      <w:r>
                        <w:rPr>
                          <w:spacing w:val="-7"/>
                        </w:rPr>
                        <w:t> </w:t>
                      </w:r>
                      <w:r>
                        <w:rPr/>
                        <w:t>del</w:t>
                      </w:r>
                      <w:r>
                        <w:rPr>
                          <w:spacing w:val="-8"/>
                        </w:rPr>
                        <w:t> </w:t>
                      </w:r>
                      <w:r>
                        <w:rPr/>
                        <w:t>valor</w:t>
                      </w:r>
                      <w:r>
                        <w:rPr>
                          <w:spacing w:val="-7"/>
                        </w:rPr>
                        <w:t> </w:t>
                      </w:r>
                      <w:r>
                        <w:rPr/>
                        <w:t>en libros del rubro de Propiedad, Planta y Equipo durante el período.</w:t>
                      </w:r>
                    </w:p>
                  </w:txbxContent>
                </v:textbox>
                <v:stroke dashstyle="solid"/>
                <w10:wrap type="topAndBottom"/>
              </v:shape>
            </w:pict>
          </mc:Fallback>
        </mc:AlternateContent>
      </w:r>
    </w:p>
    <w:p>
      <w:pPr>
        <w:pStyle w:val="BodyText"/>
        <w:spacing w:before="3"/>
      </w:pPr>
    </w:p>
    <w:p>
      <w:pPr>
        <w:pStyle w:val="ListParagraph"/>
        <w:numPr>
          <w:ilvl w:val="0"/>
          <w:numId w:val="80"/>
        </w:numPr>
        <w:tabs>
          <w:tab w:pos="1341" w:val="left" w:leader="none"/>
        </w:tabs>
        <w:spacing w:line="240" w:lineRule="auto" w:before="1" w:after="0"/>
        <w:ind w:left="1341" w:right="0" w:hanging="360"/>
        <w:jc w:val="left"/>
        <w:rPr>
          <w:sz w:val="22"/>
        </w:rPr>
      </w:pPr>
      <w:r>
        <w:rPr>
          <w:sz w:val="22"/>
          <w:u w:val="single"/>
        </w:rPr>
        <w:t>Compromisos</w:t>
      </w:r>
      <w:r>
        <w:rPr>
          <w:spacing w:val="-9"/>
          <w:sz w:val="22"/>
          <w:u w:val="single"/>
        </w:rPr>
        <w:t> </w:t>
      </w:r>
      <w:r>
        <w:rPr>
          <w:sz w:val="22"/>
          <w:u w:val="single"/>
        </w:rPr>
        <w:t>Contractuales</w:t>
      </w:r>
      <w:r>
        <w:rPr>
          <w:spacing w:val="-8"/>
          <w:sz w:val="22"/>
          <w:u w:val="single"/>
        </w:rPr>
        <w:t> </w:t>
      </w:r>
      <w:r>
        <w:rPr>
          <w:sz w:val="22"/>
          <w:u w:val="single"/>
        </w:rPr>
        <w:t>(Párrafo</w:t>
      </w:r>
      <w:r>
        <w:rPr>
          <w:spacing w:val="-9"/>
          <w:sz w:val="22"/>
          <w:u w:val="single"/>
        </w:rPr>
        <w:t> </w:t>
      </w:r>
      <w:r>
        <w:rPr>
          <w:spacing w:val="-5"/>
          <w:sz w:val="22"/>
          <w:u w:val="single"/>
        </w:rPr>
        <w:t>89)</w:t>
      </w:r>
    </w:p>
    <w:p>
      <w:pPr>
        <w:pStyle w:val="BodyText"/>
        <w:spacing w:before="58"/>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2"/>
        <w:gridCol w:w="1305"/>
        <w:gridCol w:w="1277"/>
        <w:gridCol w:w="4675"/>
        <w:gridCol w:w="870"/>
      </w:tblGrid>
      <w:tr>
        <w:trPr>
          <w:trHeight w:val="1703" w:hRule="atLeast"/>
        </w:trPr>
        <w:tc>
          <w:tcPr>
            <w:tcW w:w="8999" w:type="dxa"/>
            <w:gridSpan w:val="5"/>
            <w:tcBorders>
              <w:bottom w:val="nil"/>
            </w:tcBorders>
          </w:tcPr>
          <w:p>
            <w:pPr>
              <w:pStyle w:val="TableParagraph"/>
              <w:ind w:left="107"/>
              <w:rPr>
                <w:sz w:val="22"/>
              </w:rPr>
            </w:pPr>
            <w:r>
              <w:rPr>
                <w:b/>
                <w:color w:val="1F4E79"/>
                <w:spacing w:val="-2"/>
                <w:sz w:val="22"/>
                <w:u w:val="single" w:color="1F4E79"/>
              </w:rPr>
              <w:t>Revelación</w:t>
            </w:r>
            <w:r>
              <w:rPr>
                <w:spacing w:val="-2"/>
                <w:sz w:val="22"/>
                <w:u w:val="none"/>
              </w:rPr>
              <w:t>:</w:t>
            </w:r>
          </w:p>
          <w:p>
            <w:pPr>
              <w:pStyle w:val="TableParagraph"/>
              <w:spacing w:before="179"/>
              <w:ind w:left="107"/>
              <w:jc w:val="both"/>
              <w:rPr>
                <w:sz w:val="22"/>
              </w:rPr>
            </w:pPr>
            <w:r>
              <w:rPr>
                <w:b/>
                <w:sz w:val="22"/>
              </w:rPr>
              <w:t>Activos</w:t>
            </w:r>
            <w:r>
              <w:rPr>
                <w:b/>
                <w:spacing w:val="-4"/>
                <w:sz w:val="22"/>
              </w:rPr>
              <w:t> </w:t>
            </w:r>
            <w:r>
              <w:rPr>
                <w:b/>
                <w:sz w:val="22"/>
              </w:rPr>
              <w:t>en</w:t>
            </w:r>
            <w:r>
              <w:rPr>
                <w:b/>
                <w:spacing w:val="-2"/>
                <w:sz w:val="22"/>
              </w:rPr>
              <w:t> </w:t>
            </w:r>
            <w:r>
              <w:rPr>
                <w:b/>
                <w:sz w:val="22"/>
              </w:rPr>
              <w:t>préstamo</w:t>
            </w:r>
            <w:r>
              <w:rPr>
                <w:b/>
                <w:spacing w:val="-2"/>
                <w:sz w:val="22"/>
              </w:rPr>
              <w:t> </w:t>
            </w:r>
            <w:r>
              <w:rPr>
                <w:b/>
                <w:sz w:val="22"/>
              </w:rPr>
              <w:t>a</w:t>
            </w:r>
            <w:r>
              <w:rPr>
                <w:b/>
                <w:spacing w:val="-3"/>
                <w:sz w:val="22"/>
              </w:rPr>
              <w:t> </w:t>
            </w:r>
            <w:r>
              <w:rPr>
                <w:b/>
                <w:sz w:val="22"/>
              </w:rPr>
              <w:t>otras</w:t>
            </w:r>
            <w:r>
              <w:rPr>
                <w:b/>
                <w:spacing w:val="-4"/>
                <w:sz w:val="22"/>
              </w:rPr>
              <w:t> </w:t>
            </w:r>
            <w:r>
              <w:rPr>
                <w:b/>
                <w:sz w:val="22"/>
              </w:rPr>
              <w:t>entidades </w:t>
            </w:r>
            <w:r>
              <w:rPr>
                <w:b/>
                <w:spacing w:val="-2"/>
                <w:sz w:val="22"/>
              </w:rPr>
              <w:t>públicas</w:t>
            </w:r>
            <w:r>
              <w:rPr>
                <w:spacing w:val="-2"/>
                <w:sz w:val="22"/>
              </w:rPr>
              <w:t>.</w:t>
            </w:r>
          </w:p>
          <w:p>
            <w:pPr>
              <w:pStyle w:val="TableParagraph"/>
              <w:spacing w:before="20"/>
              <w:ind w:left="107" w:right="97"/>
              <w:jc w:val="both"/>
              <w:rPr>
                <w:sz w:val="22"/>
              </w:rPr>
            </w:pPr>
            <w:r>
              <w:rPr>
                <w:sz w:val="22"/>
              </w:rPr>
              <w:t>La partida de terrenos incluye las siguientes propiedades con restricciones de titularidad, ya que, si bien se encuentran a nombre de la Institución, su uso y control le corresponde a tercero, por cuanto la normativa impide el traspaso correspondiente:</w:t>
            </w:r>
          </w:p>
        </w:tc>
      </w:tr>
      <w:tr>
        <w:trPr>
          <w:trHeight w:val="251" w:hRule="atLeast"/>
        </w:trPr>
        <w:tc>
          <w:tcPr>
            <w:tcW w:w="872" w:type="dxa"/>
            <w:vMerge w:val="restart"/>
            <w:tcBorders>
              <w:top w:val="nil"/>
            </w:tcBorders>
          </w:tcPr>
          <w:p>
            <w:pPr>
              <w:pStyle w:val="TableParagraph"/>
              <w:rPr>
                <w:rFonts w:ascii="Times New Roman"/>
                <w:sz w:val="22"/>
              </w:rPr>
            </w:pPr>
          </w:p>
        </w:tc>
        <w:tc>
          <w:tcPr>
            <w:tcW w:w="1305" w:type="dxa"/>
          </w:tcPr>
          <w:p>
            <w:pPr>
              <w:pStyle w:val="TableParagraph"/>
              <w:spacing w:line="231" w:lineRule="exact"/>
              <w:ind w:left="241"/>
              <w:rPr>
                <w:b/>
                <w:sz w:val="22"/>
              </w:rPr>
            </w:pPr>
            <w:r>
              <w:rPr>
                <w:b/>
                <w:spacing w:val="-2"/>
                <w:sz w:val="22"/>
              </w:rPr>
              <w:t>Provincia</w:t>
            </w:r>
          </w:p>
        </w:tc>
        <w:tc>
          <w:tcPr>
            <w:tcW w:w="1277" w:type="dxa"/>
          </w:tcPr>
          <w:p>
            <w:pPr>
              <w:pStyle w:val="TableParagraph"/>
              <w:spacing w:line="231" w:lineRule="exact"/>
              <w:ind w:left="220"/>
              <w:rPr>
                <w:b/>
                <w:sz w:val="22"/>
              </w:rPr>
            </w:pPr>
            <w:r>
              <w:rPr>
                <w:b/>
                <w:sz w:val="22"/>
              </w:rPr>
              <w:t>Folio</w:t>
            </w:r>
            <w:r>
              <w:rPr>
                <w:b/>
                <w:spacing w:val="-3"/>
                <w:sz w:val="22"/>
              </w:rPr>
              <w:t> </w:t>
            </w:r>
            <w:r>
              <w:rPr>
                <w:b/>
                <w:spacing w:val="-4"/>
                <w:sz w:val="22"/>
              </w:rPr>
              <w:t>real</w:t>
            </w:r>
          </w:p>
        </w:tc>
        <w:tc>
          <w:tcPr>
            <w:tcW w:w="4675" w:type="dxa"/>
          </w:tcPr>
          <w:p>
            <w:pPr>
              <w:pStyle w:val="TableParagraph"/>
              <w:spacing w:line="231" w:lineRule="exact"/>
              <w:ind w:left="10"/>
              <w:jc w:val="center"/>
              <w:rPr>
                <w:b/>
                <w:sz w:val="22"/>
              </w:rPr>
            </w:pPr>
            <w:r>
              <w:rPr>
                <w:b/>
                <w:spacing w:val="-2"/>
                <w:sz w:val="22"/>
              </w:rPr>
              <w:t>observación</w:t>
            </w:r>
          </w:p>
        </w:tc>
        <w:tc>
          <w:tcPr>
            <w:tcW w:w="870" w:type="dxa"/>
            <w:vMerge w:val="restart"/>
            <w:tcBorders>
              <w:top w:val="nil"/>
            </w:tcBorders>
          </w:tcPr>
          <w:p>
            <w:pPr>
              <w:pStyle w:val="TableParagraph"/>
              <w:rPr>
                <w:rFonts w:ascii="Times New Roman"/>
                <w:sz w:val="22"/>
              </w:rPr>
            </w:pPr>
          </w:p>
        </w:tc>
      </w:tr>
      <w:tr>
        <w:trPr>
          <w:trHeight w:val="3571" w:hRule="atLeast"/>
        </w:trPr>
        <w:tc>
          <w:tcPr>
            <w:tcW w:w="872" w:type="dxa"/>
            <w:vMerge/>
            <w:tcBorders>
              <w:top w:val="nil"/>
            </w:tcBorders>
          </w:tcPr>
          <w:p>
            <w:pPr>
              <w:rPr>
                <w:sz w:val="2"/>
                <w:szCs w:val="2"/>
              </w:rPr>
            </w:pPr>
          </w:p>
        </w:tc>
        <w:tc>
          <w:tcPr>
            <w:tcW w:w="1305" w:type="dxa"/>
          </w:tcPr>
          <w:p>
            <w:pPr>
              <w:pStyle w:val="TableParagraph"/>
              <w:ind w:left="104"/>
              <w:rPr>
                <w:sz w:val="22"/>
              </w:rPr>
            </w:pPr>
            <w:r>
              <w:rPr>
                <w:sz w:val="22"/>
              </w:rPr>
              <w:t>San</w:t>
            </w:r>
            <w:r>
              <w:rPr>
                <w:spacing w:val="-1"/>
                <w:sz w:val="22"/>
              </w:rPr>
              <w:t> </w:t>
            </w:r>
            <w:r>
              <w:rPr>
                <w:spacing w:val="-4"/>
                <w:sz w:val="22"/>
              </w:rPr>
              <w:t>José</w:t>
            </w:r>
          </w:p>
        </w:tc>
        <w:tc>
          <w:tcPr>
            <w:tcW w:w="1277" w:type="dxa"/>
          </w:tcPr>
          <w:p>
            <w:pPr>
              <w:pStyle w:val="TableParagraph"/>
              <w:ind w:left="108"/>
              <w:rPr>
                <w:sz w:val="22"/>
              </w:rPr>
            </w:pPr>
            <w:r>
              <w:rPr>
                <w:spacing w:val="-2"/>
                <w:sz w:val="22"/>
              </w:rPr>
              <w:t>1-199399</w:t>
            </w:r>
          </w:p>
        </w:tc>
        <w:tc>
          <w:tcPr>
            <w:tcW w:w="4675" w:type="dxa"/>
          </w:tcPr>
          <w:p>
            <w:pPr>
              <w:pStyle w:val="TableParagraph"/>
              <w:tabs>
                <w:tab w:pos="4052" w:val="left" w:leader="none"/>
              </w:tabs>
              <w:spacing w:line="259" w:lineRule="auto"/>
              <w:ind w:left="105" w:right="94"/>
              <w:jc w:val="both"/>
              <w:rPr>
                <w:sz w:val="22"/>
              </w:rPr>
            </w:pPr>
            <w:r>
              <w:rPr>
                <w:sz w:val="22"/>
              </w:rPr>
              <w:t>Convenio de comodato entre el IMAS y el Ministerio de Salud. Firmado el 07 noviembre 2017.</w:t>
            </w:r>
            <w:r>
              <w:rPr>
                <w:spacing w:val="-14"/>
                <w:sz w:val="22"/>
              </w:rPr>
              <w:t> </w:t>
            </w:r>
            <w:r>
              <w:rPr>
                <w:sz w:val="22"/>
              </w:rPr>
              <w:t>Aprobado</w:t>
            </w:r>
            <w:r>
              <w:rPr>
                <w:spacing w:val="-14"/>
                <w:sz w:val="22"/>
              </w:rPr>
              <w:t> </w:t>
            </w:r>
            <w:r>
              <w:rPr>
                <w:sz w:val="22"/>
              </w:rPr>
              <w:t>por</w:t>
            </w:r>
            <w:r>
              <w:rPr>
                <w:spacing w:val="-14"/>
                <w:sz w:val="22"/>
              </w:rPr>
              <w:t> </w:t>
            </w:r>
            <w:r>
              <w:rPr>
                <w:sz w:val="22"/>
              </w:rPr>
              <w:t>Acuerdo</w:t>
            </w:r>
            <w:r>
              <w:rPr>
                <w:spacing w:val="-13"/>
                <w:sz w:val="22"/>
              </w:rPr>
              <w:t> </w:t>
            </w:r>
            <w:r>
              <w:rPr>
                <w:sz w:val="22"/>
              </w:rPr>
              <w:t>de</w:t>
            </w:r>
            <w:r>
              <w:rPr>
                <w:spacing w:val="-14"/>
                <w:sz w:val="22"/>
              </w:rPr>
              <w:t> </w:t>
            </w:r>
            <w:r>
              <w:rPr>
                <w:sz w:val="22"/>
              </w:rPr>
              <w:t>Consejo</w:t>
            </w:r>
            <w:r>
              <w:rPr>
                <w:spacing w:val="-14"/>
                <w:sz w:val="22"/>
              </w:rPr>
              <w:t> </w:t>
            </w:r>
            <w:r>
              <w:rPr>
                <w:sz w:val="22"/>
              </w:rPr>
              <w:t>Directivo 503-11-2017.Convenio</w:t>
            </w:r>
            <w:r>
              <w:rPr>
                <w:spacing w:val="-8"/>
                <w:sz w:val="22"/>
              </w:rPr>
              <w:t> </w:t>
            </w:r>
            <w:r>
              <w:rPr>
                <w:sz w:val="22"/>
              </w:rPr>
              <w:t>de</w:t>
            </w:r>
            <w:r>
              <w:rPr>
                <w:spacing w:val="-10"/>
                <w:sz w:val="22"/>
              </w:rPr>
              <w:t> </w:t>
            </w:r>
            <w:r>
              <w:rPr>
                <w:sz w:val="22"/>
              </w:rPr>
              <w:t>comodato</w:t>
            </w:r>
            <w:r>
              <w:rPr>
                <w:spacing w:val="-7"/>
                <w:sz w:val="22"/>
              </w:rPr>
              <w:t> </w:t>
            </w:r>
            <w:r>
              <w:rPr>
                <w:sz w:val="22"/>
              </w:rPr>
              <w:t>establece</w:t>
            </w:r>
            <w:r>
              <w:rPr>
                <w:spacing w:val="-10"/>
                <w:sz w:val="22"/>
              </w:rPr>
              <w:t> </w:t>
            </w:r>
            <w:r>
              <w:rPr>
                <w:sz w:val="22"/>
              </w:rPr>
              <w:t>para el</w:t>
            </w:r>
            <w:r>
              <w:rPr>
                <w:spacing w:val="-12"/>
                <w:sz w:val="22"/>
              </w:rPr>
              <w:t> </w:t>
            </w:r>
            <w:r>
              <w:rPr>
                <w:sz w:val="22"/>
              </w:rPr>
              <w:t>préstamo</w:t>
            </w:r>
            <w:r>
              <w:rPr>
                <w:spacing w:val="-11"/>
                <w:sz w:val="22"/>
              </w:rPr>
              <w:t> </w:t>
            </w:r>
            <w:r>
              <w:rPr>
                <w:sz w:val="22"/>
              </w:rPr>
              <w:t>de</w:t>
            </w:r>
            <w:r>
              <w:rPr>
                <w:spacing w:val="-12"/>
                <w:sz w:val="22"/>
              </w:rPr>
              <w:t> </w:t>
            </w:r>
            <w:r>
              <w:rPr>
                <w:sz w:val="22"/>
              </w:rPr>
              <w:t>un</w:t>
            </w:r>
            <w:r>
              <w:rPr>
                <w:spacing w:val="-13"/>
                <w:sz w:val="22"/>
              </w:rPr>
              <w:t> </w:t>
            </w:r>
            <w:r>
              <w:rPr>
                <w:sz w:val="22"/>
              </w:rPr>
              <w:t>área</w:t>
            </w:r>
            <w:r>
              <w:rPr>
                <w:spacing w:val="-12"/>
                <w:sz w:val="22"/>
              </w:rPr>
              <w:t> </w:t>
            </w:r>
            <w:r>
              <w:rPr>
                <w:sz w:val="22"/>
              </w:rPr>
              <w:t>de</w:t>
            </w:r>
            <w:r>
              <w:rPr>
                <w:spacing w:val="-12"/>
                <w:sz w:val="22"/>
              </w:rPr>
              <w:t> </w:t>
            </w:r>
            <w:r>
              <w:rPr>
                <w:sz w:val="22"/>
              </w:rPr>
              <w:t>2.152</w:t>
            </w:r>
            <w:r>
              <w:rPr>
                <w:spacing w:val="-12"/>
                <w:sz w:val="22"/>
              </w:rPr>
              <w:t> </w:t>
            </w:r>
            <w:r>
              <w:rPr>
                <w:sz w:val="22"/>
              </w:rPr>
              <w:t>m2,</w:t>
            </w:r>
            <w:r>
              <w:rPr>
                <w:spacing w:val="-13"/>
                <w:sz w:val="22"/>
              </w:rPr>
              <w:t> </w:t>
            </w:r>
            <w:r>
              <w:rPr>
                <w:sz w:val="22"/>
              </w:rPr>
              <w:t>que</w:t>
            </w:r>
            <w:r>
              <w:rPr>
                <w:spacing w:val="-12"/>
                <w:sz w:val="22"/>
              </w:rPr>
              <w:t> </w:t>
            </w:r>
            <w:r>
              <w:rPr>
                <w:sz w:val="22"/>
              </w:rPr>
              <w:t>representa el</w:t>
            </w:r>
            <w:r>
              <w:rPr>
                <w:spacing w:val="-2"/>
                <w:sz w:val="22"/>
              </w:rPr>
              <w:t> </w:t>
            </w:r>
            <w:r>
              <w:rPr>
                <w:sz w:val="22"/>
              </w:rPr>
              <w:t>10,16%</w:t>
            </w:r>
            <w:r>
              <w:rPr>
                <w:spacing w:val="-1"/>
                <w:sz w:val="22"/>
              </w:rPr>
              <w:t> </w:t>
            </w:r>
            <w:r>
              <w:rPr>
                <w:sz w:val="22"/>
              </w:rPr>
              <w:t>del</w:t>
            </w:r>
            <w:r>
              <w:rPr>
                <w:spacing w:val="-2"/>
                <w:sz w:val="22"/>
              </w:rPr>
              <w:t> </w:t>
            </w:r>
            <w:r>
              <w:rPr>
                <w:sz w:val="22"/>
              </w:rPr>
              <w:t>total</w:t>
            </w:r>
            <w:r>
              <w:rPr>
                <w:spacing w:val="-2"/>
                <w:sz w:val="22"/>
              </w:rPr>
              <w:t> </w:t>
            </w:r>
            <w:r>
              <w:rPr>
                <w:sz w:val="22"/>
              </w:rPr>
              <w:t>de</w:t>
            </w:r>
            <w:r>
              <w:rPr>
                <w:spacing w:val="-3"/>
                <w:sz w:val="22"/>
              </w:rPr>
              <w:t> </w:t>
            </w:r>
            <w:r>
              <w:rPr>
                <w:sz w:val="22"/>
              </w:rPr>
              <w:t>metros registrales de</w:t>
            </w:r>
            <w:r>
              <w:rPr>
                <w:spacing w:val="-3"/>
                <w:sz w:val="22"/>
              </w:rPr>
              <w:t> </w:t>
            </w:r>
            <w:r>
              <w:rPr>
                <w:sz w:val="22"/>
              </w:rPr>
              <w:t>la</w:t>
            </w:r>
            <w:r>
              <w:rPr>
                <w:spacing w:val="-2"/>
                <w:sz w:val="22"/>
              </w:rPr>
              <w:t> </w:t>
            </w:r>
            <w:r>
              <w:rPr>
                <w:sz w:val="22"/>
              </w:rPr>
              <w:t>finca, en el terreno prestado se ubica el</w:t>
              <w:tab/>
            </w:r>
            <w:r>
              <w:rPr>
                <w:spacing w:val="-4"/>
                <w:sz w:val="22"/>
              </w:rPr>
              <w:t>CEN-</w:t>
            </w:r>
            <w:r>
              <w:rPr>
                <w:sz w:val="22"/>
              </w:rPr>
              <w:t>CINAI de Cristo Rey.</w:t>
            </w:r>
          </w:p>
          <w:p>
            <w:pPr>
              <w:pStyle w:val="TableParagraph"/>
              <w:spacing w:line="259" w:lineRule="auto" w:before="160"/>
              <w:ind w:left="105" w:right="95"/>
              <w:jc w:val="both"/>
              <w:rPr>
                <w:sz w:val="22"/>
              </w:rPr>
            </w:pPr>
            <w:r>
              <w:rPr>
                <w:sz w:val="22"/>
              </w:rPr>
              <w:t>El</w:t>
            </w:r>
            <w:r>
              <w:rPr>
                <w:spacing w:val="-6"/>
                <w:sz w:val="22"/>
              </w:rPr>
              <w:t> </w:t>
            </w:r>
            <w:r>
              <w:rPr>
                <w:sz w:val="22"/>
              </w:rPr>
              <w:t>contrato</w:t>
            </w:r>
            <w:r>
              <w:rPr>
                <w:spacing w:val="-7"/>
                <w:sz w:val="22"/>
              </w:rPr>
              <w:t> </w:t>
            </w:r>
            <w:r>
              <w:rPr>
                <w:sz w:val="22"/>
              </w:rPr>
              <w:t>tiene</w:t>
            </w:r>
            <w:r>
              <w:rPr>
                <w:spacing w:val="-7"/>
                <w:sz w:val="22"/>
              </w:rPr>
              <w:t> </w:t>
            </w:r>
            <w:r>
              <w:rPr>
                <w:sz w:val="22"/>
              </w:rPr>
              <w:t>una</w:t>
            </w:r>
            <w:r>
              <w:rPr>
                <w:spacing w:val="-6"/>
                <w:sz w:val="22"/>
              </w:rPr>
              <w:t> </w:t>
            </w:r>
            <w:r>
              <w:rPr>
                <w:sz w:val="22"/>
              </w:rPr>
              <w:t>vigencia</w:t>
            </w:r>
            <w:r>
              <w:rPr>
                <w:spacing w:val="-7"/>
                <w:sz w:val="22"/>
              </w:rPr>
              <w:t> </w:t>
            </w:r>
            <w:r>
              <w:rPr>
                <w:sz w:val="22"/>
              </w:rPr>
              <w:t>de</w:t>
            </w:r>
            <w:r>
              <w:rPr>
                <w:spacing w:val="-7"/>
                <w:sz w:val="22"/>
              </w:rPr>
              <w:t> </w:t>
            </w:r>
            <w:r>
              <w:rPr>
                <w:sz w:val="22"/>
              </w:rPr>
              <w:t>quince</w:t>
            </w:r>
            <w:r>
              <w:rPr>
                <w:spacing w:val="-7"/>
                <w:sz w:val="22"/>
              </w:rPr>
              <w:t> </w:t>
            </w:r>
            <w:r>
              <w:rPr>
                <w:sz w:val="22"/>
              </w:rPr>
              <w:t>(15)</w:t>
            </w:r>
            <w:r>
              <w:rPr>
                <w:spacing w:val="80"/>
                <w:sz w:val="22"/>
              </w:rPr>
              <w:t> </w:t>
            </w:r>
            <w:r>
              <w:rPr>
                <w:sz w:val="22"/>
              </w:rPr>
              <w:t>años, contados a partir de su firma y prorrogable automáticamente por el mismo periodo hasta un máximo de tres veces.</w:t>
            </w:r>
          </w:p>
        </w:tc>
        <w:tc>
          <w:tcPr>
            <w:tcW w:w="870" w:type="dxa"/>
            <w:vMerge/>
            <w:tcBorders>
              <w:top w:val="nil"/>
            </w:tcBorders>
          </w:tcPr>
          <w:p>
            <w:pPr>
              <w:rPr>
                <w:sz w:val="2"/>
                <w:szCs w:val="2"/>
              </w:rPr>
            </w:pPr>
          </w:p>
        </w:tc>
      </w:tr>
      <w:tr>
        <w:trPr>
          <w:trHeight w:val="2829" w:hRule="atLeast"/>
        </w:trPr>
        <w:tc>
          <w:tcPr>
            <w:tcW w:w="872" w:type="dxa"/>
            <w:vMerge/>
            <w:tcBorders>
              <w:top w:val="nil"/>
            </w:tcBorders>
          </w:tcPr>
          <w:p>
            <w:pPr>
              <w:rPr>
                <w:sz w:val="2"/>
                <w:szCs w:val="2"/>
              </w:rPr>
            </w:pPr>
          </w:p>
        </w:tc>
        <w:tc>
          <w:tcPr>
            <w:tcW w:w="1305" w:type="dxa"/>
            <w:tcBorders>
              <w:bottom w:val="double" w:sz="4" w:space="0" w:color="000000"/>
            </w:tcBorders>
          </w:tcPr>
          <w:p>
            <w:pPr>
              <w:pStyle w:val="TableParagraph"/>
              <w:spacing w:line="249" w:lineRule="exact"/>
              <w:ind w:left="104"/>
              <w:rPr>
                <w:sz w:val="22"/>
              </w:rPr>
            </w:pPr>
            <w:r>
              <w:rPr>
                <w:sz w:val="22"/>
              </w:rPr>
              <w:t>San</w:t>
            </w:r>
            <w:r>
              <w:rPr>
                <w:spacing w:val="-1"/>
                <w:sz w:val="22"/>
              </w:rPr>
              <w:t> </w:t>
            </w:r>
            <w:r>
              <w:rPr>
                <w:spacing w:val="-4"/>
                <w:sz w:val="22"/>
              </w:rPr>
              <w:t>José</w:t>
            </w:r>
          </w:p>
        </w:tc>
        <w:tc>
          <w:tcPr>
            <w:tcW w:w="1277" w:type="dxa"/>
            <w:tcBorders>
              <w:bottom w:val="double" w:sz="4" w:space="0" w:color="000000"/>
            </w:tcBorders>
          </w:tcPr>
          <w:p>
            <w:pPr>
              <w:pStyle w:val="TableParagraph"/>
              <w:spacing w:line="249" w:lineRule="exact"/>
              <w:ind w:left="108"/>
              <w:rPr>
                <w:sz w:val="22"/>
              </w:rPr>
            </w:pPr>
            <w:r>
              <w:rPr>
                <w:spacing w:val="-2"/>
                <w:sz w:val="22"/>
              </w:rPr>
              <w:t>1-527014</w:t>
            </w:r>
          </w:p>
        </w:tc>
        <w:tc>
          <w:tcPr>
            <w:tcW w:w="4675" w:type="dxa"/>
            <w:tcBorders>
              <w:bottom w:val="double" w:sz="4" w:space="0" w:color="000000"/>
            </w:tcBorders>
          </w:tcPr>
          <w:p>
            <w:pPr>
              <w:pStyle w:val="TableParagraph"/>
              <w:spacing w:line="259" w:lineRule="auto" w:before="1"/>
              <w:ind w:left="105" w:right="92"/>
              <w:jc w:val="both"/>
              <w:rPr>
                <w:sz w:val="22"/>
              </w:rPr>
            </w:pPr>
            <w:r>
              <w:rPr>
                <w:sz w:val="22"/>
              </w:rPr>
              <w:t>Convenio</w:t>
            </w:r>
            <w:r>
              <w:rPr>
                <w:spacing w:val="-11"/>
                <w:sz w:val="22"/>
              </w:rPr>
              <w:t> </w:t>
            </w:r>
            <w:r>
              <w:rPr>
                <w:sz w:val="22"/>
              </w:rPr>
              <w:t>de</w:t>
            </w:r>
            <w:r>
              <w:rPr>
                <w:spacing w:val="-13"/>
                <w:sz w:val="22"/>
              </w:rPr>
              <w:t> </w:t>
            </w:r>
            <w:r>
              <w:rPr>
                <w:sz w:val="22"/>
              </w:rPr>
              <w:t>comodato</w:t>
            </w:r>
            <w:r>
              <w:rPr>
                <w:spacing w:val="-11"/>
                <w:sz w:val="22"/>
              </w:rPr>
              <w:t> </w:t>
            </w:r>
            <w:r>
              <w:rPr>
                <w:sz w:val="22"/>
              </w:rPr>
              <w:t>entre</w:t>
            </w:r>
            <w:r>
              <w:rPr>
                <w:spacing w:val="-13"/>
                <w:sz w:val="22"/>
              </w:rPr>
              <w:t> </w:t>
            </w:r>
            <w:r>
              <w:rPr>
                <w:sz w:val="22"/>
              </w:rPr>
              <w:t>el</w:t>
            </w:r>
            <w:r>
              <w:rPr>
                <w:spacing w:val="-12"/>
                <w:sz w:val="22"/>
              </w:rPr>
              <w:t> </w:t>
            </w:r>
            <w:r>
              <w:rPr>
                <w:sz w:val="22"/>
              </w:rPr>
              <w:t>IMAS</w:t>
            </w:r>
            <w:r>
              <w:rPr>
                <w:spacing w:val="-11"/>
                <w:sz w:val="22"/>
              </w:rPr>
              <w:t> </w:t>
            </w:r>
            <w:r>
              <w:rPr>
                <w:sz w:val="22"/>
              </w:rPr>
              <w:t>el</w:t>
            </w:r>
            <w:r>
              <w:rPr>
                <w:spacing w:val="-12"/>
                <w:sz w:val="22"/>
              </w:rPr>
              <w:t> </w:t>
            </w:r>
            <w:r>
              <w:rPr>
                <w:sz w:val="22"/>
              </w:rPr>
              <w:t>Ministerio de Salud y el Comité de CEN CINAI la Uruca. Firmado el 17</w:t>
            </w:r>
            <w:r>
              <w:rPr>
                <w:spacing w:val="-1"/>
                <w:sz w:val="22"/>
              </w:rPr>
              <w:t> </w:t>
            </w:r>
            <w:r>
              <w:rPr>
                <w:sz w:val="22"/>
              </w:rPr>
              <w:t>mayo 2018.</w:t>
            </w:r>
            <w:r>
              <w:rPr>
                <w:spacing w:val="-1"/>
                <w:sz w:val="22"/>
              </w:rPr>
              <w:t> </w:t>
            </w:r>
            <w:r>
              <w:rPr>
                <w:sz w:val="22"/>
              </w:rPr>
              <w:t>Aprobado por</w:t>
            </w:r>
            <w:r>
              <w:rPr>
                <w:spacing w:val="-2"/>
                <w:sz w:val="22"/>
              </w:rPr>
              <w:t> </w:t>
            </w:r>
            <w:r>
              <w:rPr>
                <w:sz w:val="22"/>
              </w:rPr>
              <w:t>Acuerdo de Consejo Directivo 131-4-2018.Convenio de comodato</w:t>
            </w:r>
            <w:r>
              <w:rPr>
                <w:spacing w:val="-3"/>
                <w:sz w:val="22"/>
              </w:rPr>
              <w:t> </w:t>
            </w:r>
            <w:r>
              <w:rPr>
                <w:sz w:val="22"/>
              </w:rPr>
              <w:t>establece</w:t>
            </w:r>
            <w:r>
              <w:rPr>
                <w:spacing w:val="-6"/>
                <w:sz w:val="22"/>
              </w:rPr>
              <w:t> </w:t>
            </w:r>
            <w:r>
              <w:rPr>
                <w:sz w:val="22"/>
              </w:rPr>
              <w:t>para</w:t>
            </w:r>
            <w:r>
              <w:rPr>
                <w:spacing w:val="-5"/>
                <w:sz w:val="22"/>
              </w:rPr>
              <w:t> </w:t>
            </w:r>
            <w:r>
              <w:rPr>
                <w:sz w:val="22"/>
              </w:rPr>
              <w:t>el</w:t>
            </w:r>
            <w:r>
              <w:rPr>
                <w:spacing w:val="-3"/>
                <w:sz w:val="22"/>
              </w:rPr>
              <w:t> </w:t>
            </w:r>
            <w:r>
              <w:rPr>
                <w:sz w:val="22"/>
              </w:rPr>
              <w:t>préstamo</w:t>
            </w:r>
            <w:r>
              <w:rPr>
                <w:spacing w:val="-4"/>
                <w:sz w:val="22"/>
              </w:rPr>
              <w:t> </w:t>
            </w:r>
            <w:r>
              <w:rPr>
                <w:sz w:val="22"/>
              </w:rPr>
              <w:t>de</w:t>
            </w:r>
            <w:r>
              <w:rPr>
                <w:spacing w:val="-6"/>
                <w:sz w:val="22"/>
              </w:rPr>
              <w:t> </w:t>
            </w:r>
            <w:r>
              <w:rPr>
                <w:sz w:val="22"/>
              </w:rPr>
              <w:t>un</w:t>
            </w:r>
            <w:r>
              <w:rPr>
                <w:spacing w:val="-4"/>
                <w:sz w:val="22"/>
              </w:rPr>
              <w:t> </w:t>
            </w:r>
            <w:r>
              <w:rPr>
                <w:sz w:val="22"/>
              </w:rPr>
              <w:t>área</w:t>
            </w:r>
            <w:r>
              <w:rPr>
                <w:spacing w:val="-5"/>
                <w:sz w:val="22"/>
              </w:rPr>
              <w:t> </w:t>
            </w:r>
            <w:r>
              <w:rPr>
                <w:sz w:val="22"/>
              </w:rPr>
              <w:t>de 187 m2, que representa el 0,05% del total metros registrales</w:t>
            </w:r>
            <w:r>
              <w:rPr>
                <w:spacing w:val="-14"/>
                <w:sz w:val="22"/>
              </w:rPr>
              <w:t> </w:t>
            </w:r>
            <w:r>
              <w:rPr>
                <w:sz w:val="22"/>
              </w:rPr>
              <w:t>de</w:t>
            </w:r>
            <w:r>
              <w:rPr>
                <w:spacing w:val="-14"/>
                <w:sz w:val="22"/>
              </w:rPr>
              <w:t> </w:t>
            </w:r>
            <w:r>
              <w:rPr>
                <w:sz w:val="22"/>
              </w:rPr>
              <w:t>la</w:t>
            </w:r>
            <w:r>
              <w:rPr>
                <w:spacing w:val="-14"/>
                <w:sz w:val="22"/>
              </w:rPr>
              <w:t> </w:t>
            </w:r>
            <w:r>
              <w:rPr>
                <w:sz w:val="22"/>
              </w:rPr>
              <w:t>finca,</w:t>
            </w:r>
            <w:r>
              <w:rPr>
                <w:spacing w:val="-13"/>
                <w:sz w:val="22"/>
              </w:rPr>
              <w:t> </w:t>
            </w:r>
            <w:r>
              <w:rPr>
                <w:sz w:val="22"/>
              </w:rPr>
              <w:t>en</w:t>
            </w:r>
            <w:r>
              <w:rPr>
                <w:spacing w:val="-14"/>
                <w:sz w:val="22"/>
              </w:rPr>
              <w:t> </w:t>
            </w:r>
            <w:r>
              <w:rPr>
                <w:sz w:val="22"/>
              </w:rPr>
              <w:t>el</w:t>
            </w:r>
            <w:r>
              <w:rPr>
                <w:spacing w:val="-14"/>
                <w:sz w:val="22"/>
              </w:rPr>
              <w:t> </w:t>
            </w:r>
            <w:r>
              <w:rPr>
                <w:sz w:val="22"/>
              </w:rPr>
              <w:t>terreno</w:t>
            </w:r>
            <w:r>
              <w:rPr>
                <w:spacing w:val="-14"/>
                <w:sz w:val="22"/>
              </w:rPr>
              <w:t> </w:t>
            </w:r>
            <w:r>
              <w:rPr>
                <w:sz w:val="22"/>
              </w:rPr>
              <w:t>prestado</w:t>
            </w:r>
            <w:r>
              <w:rPr>
                <w:spacing w:val="-13"/>
                <w:sz w:val="22"/>
              </w:rPr>
              <w:t> </w:t>
            </w:r>
            <w:r>
              <w:rPr>
                <w:sz w:val="22"/>
              </w:rPr>
              <w:t>se</w:t>
            </w:r>
            <w:r>
              <w:rPr>
                <w:spacing w:val="-14"/>
                <w:sz w:val="22"/>
              </w:rPr>
              <w:t> </w:t>
            </w:r>
            <w:r>
              <w:rPr>
                <w:sz w:val="22"/>
              </w:rPr>
              <w:t>ubica el CEN-CINAI de Cristo Rey.</w:t>
            </w:r>
          </w:p>
          <w:p>
            <w:pPr>
              <w:pStyle w:val="TableParagraph"/>
              <w:spacing w:line="250" w:lineRule="exact" w:before="140"/>
              <w:ind w:left="105" w:right="96"/>
              <w:jc w:val="both"/>
              <w:rPr>
                <w:sz w:val="22"/>
              </w:rPr>
            </w:pPr>
            <w:r>
              <w:rPr>
                <w:sz w:val="22"/>
              </w:rPr>
              <w:t>El contrato tiene una vigencia de cinco (5)</w:t>
            </w:r>
            <w:r>
              <w:rPr>
                <w:spacing w:val="80"/>
                <w:sz w:val="22"/>
              </w:rPr>
              <w:t> </w:t>
            </w:r>
            <w:r>
              <w:rPr>
                <w:sz w:val="22"/>
              </w:rPr>
              <w:t>años, contados</w:t>
            </w:r>
            <w:r>
              <w:rPr>
                <w:spacing w:val="78"/>
                <w:w w:val="150"/>
                <w:sz w:val="22"/>
              </w:rPr>
              <w:t> </w:t>
            </w:r>
            <w:r>
              <w:rPr>
                <w:sz w:val="22"/>
              </w:rPr>
              <w:t>a</w:t>
            </w:r>
            <w:r>
              <w:rPr>
                <w:spacing w:val="78"/>
                <w:w w:val="150"/>
                <w:sz w:val="22"/>
              </w:rPr>
              <w:t> </w:t>
            </w:r>
            <w:r>
              <w:rPr>
                <w:sz w:val="22"/>
              </w:rPr>
              <w:t>partir</w:t>
            </w:r>
            <w:r>
              <w:rPr>
                <w:spacing w:val="77"/>
                <w:w w:val="150"/>
                <w:sz w:val="22"/>
              </w:rPr>
              <w:t> </w:t>
            </w:r>
            <w:r>
              <w:rPr>
                <w:sz w:val="22"/>
              </w:rPr>
              <w:t>de</w:t>
            </w:r>
            <w:r>
              <w:rPr>
                <w:spacing w:val="77"/>
                <w:w w:val="150"/>
                <w:sz w:val="22"/>
              </w:rPr>
              <w:t> </w:t>
            </w:r>
            <w:r>
              <w:rPr>
                <w:sz w:val="22"/>
              </w:rPr>
              <w:t>su</w:t>
            </w:r>
            <w:r>
              <w:rPr>
                <w:spacing w:val="76"/>
                <w:w w:val="150"/>
                <w:sz w:val="22"/>
              </w:rPr>
              <w:t> </w:t>
            </w:r>
            <w:r>
              <w:rPr>
                <w:sz w:val="22"/>
              </w:rPr>
              <w:t>firma</w:t>
            </w:r>
            <w:r>
              <w:rPr>
                <w:spacing w:val="77"/>
                <w:w w:val="150"/>
                <w:sz w:val="22"/>
              </w:rPr>
              <w:t> </w:t>
            </w:r>
            <w:r>
              <w:rPr>
                <w:sz w:val="22"/>
              </w:rPr>
              <w:t>y</w:t>
            </w:r>
            <w:r>
              <w:rPr>
                <w:spacing w:val="77"/>
                <w:w w:val="150"/>
                <w:sz w:val="22"/>
              </w:rPr>
              <w:t> </w:t>
            </w:r>
            <w:r>
              <w:rPr>
                <w:spacing w:val="-2"/>
                <w:sz w:val="22"/>
              </w:rPr>
              <w:t>prorrogable</w:t>
            </w:r>
          </w:p>
        </w:tc>
        <w:tc>
          <w:tcPr>
            <w:tcW w:w="870" w:type="dxa"/>
            <w:vMerge/>
            <w:tcBorders>
              <w:top w:val="nil"/>
            </w:tcBorders>
          </w:tcPr>
          <w:p>
            <w:pPr>
              <w:rPr>
                <w:sz w:val="2"/>
                <w:szCs w:val="2"/>
              </w:rPr>
            </w:pPr>
          </w:p>
        </w:tc>
      </w:tr>
    </w:tbl>
    <w:p>
      <w:pPr>
        <w:spacing w:after="0"/>
        <w:rPr>
          <w:sz w:val="2"/>
          <w:szCs w:val="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19296">
                <wp:simplePos x="0" y="0"/>
                <wp:positionH relativeFrom="page">
                  <wp:posOffset>9525</wp:posOffset>
                </wp:positionH>
                <wp:positionV relativeFrom="page">
                  <wp:posOffset>297208</wp:posOffset>
                </wp:positionV>
                <wp:extent cx="7762875" cy="9748520"/>
                <wp:effectExtent l="0" t="0" r="0" b="0"/>
                <wp:wrapNone/>
                <wp:docPr id="993" name="Group 993"/>
                <wp:cNvGraphicFramePr>
                  <a:graphicFrameLocks/>
                </wp:cNvGraphicFramePr>
                <a:graphic>
                  <a:graphicData uri="http://schemas.microsoft.com/office/word/2010/wordprocessingGroup">
                    <wpg:wgp>
                      <wpg:cNvPr id="993" name="Group 993"/>
                      <wpg:cNvGrpSpPr/>
                      <wpg:grpSpPr>
                        <a:xfrm>
                          <a:off x="0" y="0"/>
                          <a:ext cx="7762875" cy="9748520"/>
                          <a:chExt cx="7762875" cy="9748520"/>
                        </a:xfrm>
                      </wpg:grpSpPr>
                      <pic:pic>
                        <pic:nvPicPr>
                          <pic:cNvPr id="994" name="Image 994"/>
                          <pic:cNvPicPr/>
                        </pic:nvPicPr>
                        <pic:blipFill>
                          <a:blip r:embed="rId5" cstate="print"/>
                          <a:stretch>
                            <a:fillRect/>
                          </a:stretch>
                        </pic:blipFill>
                        <pic:spPr>
                          <a:xfrm>
                            <a:off x="0" y="0"/>
                            <a:ext cx="7762874" cy="9748489"/>
                          </a:xfrm>
                          <a:prstGeom prst="rect">
                            <a:avLst/>
                          </a:prstGeom>
                        </pic:spPr>
                      </pic:pic>
                      <wps:wsp>
                        <wps:cNvPr id="995" name="Graphic 99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7184" id="docshapegroup940" coordorigin="15,468" coordsize="12225,15352">
                <v:shape style="position:absolute;left:15;top:468;width:12225;height:15352" type="#_x0000_t75" id="docshape941" stroked="false">
                  <v:imagedata r:id="rId5" o:title=""/>
                </v:shape>
                <v:rect style="position:absolute;left:1673;top:2028;width:8897;height:15" id="docshape94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189</w:t>
      </w:r>
    </w:p>
    <w:p>
      <w:pPr>
        <w:pStyle w:val="BodyText"/>
        <w:spacing w:before="7"/>
        <w:rPr>
          <w:sz w:val="18"/>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9"/>
        <w:gridCol w:w="1309"/>
        <w:gridCol w:w="1277"/>
        <w:gridCol w:w="4679"/>
        <w:gridCol w:w="867"/>
      </w:tblGrid>
      <w:tr>
        <w:trPr>
          <w:trHeight w:val="508" w:hRule="atLeast"/>
        </w:trPr>
        <w:tc>
          <w:tcPr>
            <w:tcW w:w="869" w:type="dxa"/>
            <w:vMerge w:val="restart"/>
          </w:tcPr>
          <w:p>
            <w:pPr>
              <w:pStyle w:val="TableParagraph"/>
              <w:rPr>
                <w:rFonts w:ascii="Times New Roman"/>
                <w:sz w:val="22"/>
              </w:rPr>
            </w:pPr>
          </w:p>
        </w:tc>
        <w:tc>
          <w:tcPr>
            <w:tcW w:w="1309" w:type="dxa"/>
            <w:tcBorders>
              <w:top w:val="single" w:sz="8" w:space="0" w:color="000000"/>
            </w:tcBorders>
          </w:tcPr>
          <w:p>
            <w:pPr>
              <w:pStyle w:val="TableParagraph"/>
              <w:rPr>
                <w:rFonts w:ascii="Times New Roman"/>
                <w:sz w:val="22"/>
              </w:rPr>
            </w:pPr>
          </w:p>
        </w:tc>
        <w:tc>
          <w:tcPr>
            <w:tcW w:w="1277" w:type="dxa"/>
            <w:tcBorders>
              <w:top w:val="single" w:sz="8" w:space="0" w:color="000000"/>
            </w:tcBorders>
          </w:tcPr>
          <w:p>
            <w:pPr>
              <w:pStyle w:val="TableParagraph"/>
              <w:rPr>
                <w:rFonts w:ascii="Times New Roman"/>
                <w:sz w:val="22"/>
              </w:rPr>
            </w:pPr>
          </w:p>
        </w:tc>
        <w:tc>
          <w:tcPr>
            <w:tcW w:w="4679" w:type="dxa"/>
            <w:tcBorders>
              <w:top w:val="single" w:sz="8" w:space="0" w:color="000000"/>
            </w:tcBorders>
          </w:tcPr>
          <w:p>
            <w:pPr>
              <w:pStyle w:val="TableParagraph"/>
              <w:spacing w:line="250" w:lineRule="atLeast"/>
              <w:ind w:left="104"/>
              <w:rPr>
                <w:sz w:val="22"/>
              </w:rPr>
            </w:pPr>
            <w:r>
              <w:rPr>
                <w:sz w:val="22"/>
              </w:rPr>
              <w:t>automáticamente</w:t>
            </w:r>
            <w:r>
              <w:rPr>
                <w:spacing w:val="32"/>
                <w:sz w:val="22"/>
              </w:rPr>
              <w:t> </w:t>
            </w:r>
            <w:r>
              <w:rPr>
                <w:sz w:val="22"/>
              </w:rPr>
              <w:t>por</w:t>
            </w:r>
            <w:r>
              <w:rPr>
                <w:spacing w:val="33"/>
                <w:sz w:val="22"/>
              </w:rPr>
              <w:t> </w:t>
            </w:r>
            <w:r>
              <w:rPr>
                <w:sz w:val="22"/>
              </w:rPr>
              <w:t>el</w:t>
            </w:r>
            <w:r>
              <w:rPr>
                <w:spacing w:val="32"/>
                <w:sz w:val="22"/>
              </w:rPr>
              <w:t> </w:t>
            </w:r>
            <w:r>
              <w:rPr>
                <w:sz w:val="22"/>
              </w:rPr>
              <w:t>mismo</w:t>
            </w:r>
            <w:r>
              <w:rPr>
                <w:spacing w:val="34"/>
                <w:sz w:val="22"/>
              </w:rPr>
              <w:t> </w:t>
            </w:r>
            <w:r>
              <w:rPr>
                <w:sz w:val="22"/>
              </w:rPr>
              <w:t>periodo</w:t>
            </w:r>
            <w:r>
              <w:rPr>
                <w:spacing w:val="33"/>
                <w:sz w:val="22"/>
              </w:rPr>
              <w:t> </w:t>
            </w:r>
            <w:r>
              <w:rPr>
                <w:sz w:val="22"/>
              </w:rPr>
              <w:t>hasta</w:t>
            </w:r>
            <w:r>
              <w:rPr>
                <w:spacing w:val="33"/>
                <w:sz w:val="22"/>
              </w:rPr>
              <w:t> </w:t>
            </w:r>
            <w:r>
              <w:rPr>
                <w:sz w:val="22"/>
              </w:rPr>
              <w:t>un máximo de tres veces.</w:t>
            </w:r>
          </w:p>
        </w:tc>
        <w:tc>
          <w:tcPr>
            <w:tcW w:w="867" w:type="dxa"/>
            <w:vMerge w:val="restart"/>
          </w:tcPr>
          <w:p>
            <w:pPr>
              <w:pStyle w:val="TableParagraph"/>
              <w:rPr>
                <w:rFonts w:ascii="Times New Roman"/>
                <w:sz w:val="22"/>
              </w:rPr>
            </w:pPr>
          </w:p>
        </w:tc>
      </w:tr>
      <w:tr>
        <w:trPr>
          <w:trHeight w:val="3568" w:hRule="atLeast"/>
        </w:trPr>
        <w:tc>
          <w:tcPr>
            <w:tcW w:w="869" w:type="dxa"/>
            <w:vMerge/>
            <w:tcBorders>
              <w:top w:val="nil"/>
            </w:tcBorders>
          </w:tcPr>
          <w:p>
            <w:pPr>
              <w:rPr>
                <w:sz w:val="2"/>
                <w:szCs w:val="2"/>
              </w:rPr>
            </w:pPr>
          </w:p>
        </w:tc>
        <w:tc>
          <w:tcPr>
            <w:tcW w:w="1309" w:type="dxa"/>
          </w:tcPr>
          <w:p>
            <w:pPr>
              <w:pStyle w:val="TableParagraph"/>
              <w:spacing w:line="249" w:lineRule="exact"/>
              <w:ind w:left="107"/>
              <w:rPr>
                <w:sz w:val="22"/>
              </w:rPr>
            </w:pPr>
            <w:r>
              <w:rPr>
                <w:sz w:val="22"/>
              </w:rPr>
              <w:t>San</w:t>
            </w:r>
            <w:r>
              <w:rPr>
                <w:spacing w:val="-1"/>
                <w:sz w:val="22"/>
              </w:rPr>
              <w:t> </w:t>
            </w:r>
            <w:r>
              <w:rPr>
                <w:spacing w:val="-4"/>
                <w:sz w:val="22"/>
              </w:rPr>
              <w:t>José</w:t>
            </w:r>
          </w:p>
        </w:tc>
        <w:tc>
          <w:tcPr>
            <w:tcW w:w="1277" w:type="dxa"/>
          </w:tcPr>
          <w:p>
            <w:pPr>
              <w:pStyle w:val="TableParagraph"/>
              <w:spacing w:line="249" w:lineRule="exact"/>
              <w:ind w:left="107"/>
              <w:rPr>
                <w:sz w:val="22"/>
              </w:rPr>
            </w:pPr>
            <w:r>
              <w:rPr>
                <w:spacing w:val="-2"/>
                <w:sz w:val="22"/>
              </w:rPr>
              <w:t>1-527015</w:t>
            </w:r>
          </w:p>
        </w:tc>
        <w:tc>
          <w:tcPr>
            <w:tcW w:w="4679" w:type="dxa"/>
          </w:tcPr>
          <w:p>
            <w:pPr>
              <w:pStyle w:val="TableParagraph"/>
              <w:spacing w:line="259" w:lineRule="auto"/>
              <w:ind w:left="104" w:right="98"/>
              <w:jc w:val="both"/>
              <w:rPr>
                <w:sz w:val="22"/>
              </w:rPr>
            </w:pPr>
            <w:r>
              <w:rPr>
                <w:sz w:val="22"/>
              </w:rPr>
              <w:t>Convenio</w:t>
            </w:r>
            <w:r>
              <w:rPr>
                <w:spacing w:val="-7"/>
                <w:sz w:val="22"/>
              </w:rPr>
              <w:t> </w:t>
            </w:r>
            <w:r>
              <w:rPr>
                <w:sz w:val="22"/>
              </w:rPr>
              <w:t>de</w:t>
            </w:r>
            <w:r>
              <w:rPr>
                <w:spacing w:val="-8"/>
                <w:sz w:val="22"/>
              </w:rPr>
              <w:t> </w:t>
            </w:r>
            <w:r>
              <w:rPr>
                <w:sz w:val="22"/>
              </w:rPr>
              <w:t>comodato</w:t>
            </w:r>
            <w:r>
              <w:rPr>
                <w:spacing w:val="-8"/>
                <w:sz w:val="22"/>
              </w:rPr>
              <w:t> </w:t>
            </w:r>
            <w:r>
              <w:rPr>
                <w:sz w:val="22"/>
              </w:rPr>
              <w:t>entre</w:t>
            </w:r>
            <w:r>
              <w:rPr>
                <w:spacing w:val="-8"/>
                <w:sz w:val="22"/>
              </w:rPr>
              <w:t> </w:t>
            </w:r>
            <w:r>
              <w:rPr>
                <w:sz w:val="22"/>
              </w:rPr>
              <w:t>el</w:t>
            </w:r>
            <w:r>
              <w:rPr>
                <w:spacing w:val="-7"/>
                <w:sz w:val="22"/>
              </w:rPr>
              <w:t> </w:t>
            </w:r>
            <w:r>
              <w:rPr>
                <w:sz w:val="22"/>
              </w:rPr>
              <w:t>IMAS</w:t>
            </w:r>
            <w:r>
              <w:rPr>
                <w:spacing w:val="-7"/>
                <w:sz w:val="22"/>
              </w:rPr>
              <w:t> </w:t>
            </w:r>
            <w:r>
              <w:rPr>
                <w:sz w:val="22"/>
              </w:rPr>
              <w:t>y</w:t>
            </w:r>
            <w:r>
              <w:rPr>
                <w:spacing w:val="-8"/>
                <w:sz w:val="22"/>
              </w:rPr>
              <w:t> </w:t>
            </w:r>
            <w:r>
              <w:rPr>
                <w:sz w:val="22"/>
              </w:rPr>
              <w:t>el</w:t>
            </w:r>
            <w:r>
              <w:rPr>
                <w:spacing w:val="-7"/>
                <w:sz w:val="22"/>
              </w:rPr>
              <w:t> </w:t>
            </w:r>
            <w:r>
              <w:rPr>
                <w:sz w:val="22"/>
              </w:rPr>
              <w:t>Instituto Costarricense de Electricidad ICE. Firmado el 23 de abril del año 2018. Aprobado por Acuerdo de Consejo Directivo 153-04-2018.Convenio de comodato</w:t>
            </w:r>
            <w:r>
              <w:rPr>
                <w:spacing w:val="-3"/>
                <w:sz w:val="22"/>
              </w:rPr>
              <w:t> </w:t>
            </w:r>
            <w:r>
              <w:rPr>
                <w:sz w:val="22"/>
              </w:rPr>
              <w:t>establece</w:t>
            </w:r>
            <w:r>
              <w:rPr>
                <w:spacing w:val="-4"/>
                <w:sz w:val="22"/>
              </w:rPr>
              <w:t> </w:t>
            </w:r>
            <w:r>
              <w:rPr>
                <w:sz w:val="22"/>
              </w:rPr>
              <w:t>para</w:t>
            </w:r>
            <w:r>
              <w:rPr>
                <w:spacing w:val="-4"/>
                <w:sz w:val="22"/>
              </w:rPr>
              <w:t> </w:t>
            </w:r>
            <w:r>
              <w:rPr>
                <w:sz w:val="22"/>
              </w:rPr>
              <w:t>el</w:t>
            </w:r>
            <w:r>
              <w:rPr>
                <w:spacing w:val="-3"/>
                <w:sz w:val="22"/>
              </w:rPr>
              <w:t> </w:t>
            </w:r>
            <w:r>
              <w:rPr>
                <w:sz w:val="22"/>
              </w:rPr>
              <w:t>préstamo</w:t>
            </w:r>
            <w:r>
              <w:rPr>
                <w:spacing w:val="-3"/>
                <w:sz w:val="22"/>
              </w:rPr>
              <w:t> </w:t>
            </w:r>
            <w:r>
              <w:rPr>
                <w:sz w:val="22"/>
              </w:rPr>
              <w:t>de</w:t>
            </w:r>
            <w:r>
              <w:rPr>
                <w:spacing w:val="-4"/>
                <w:sz w:val="22"/>
              </w:rPr>
              <w:t> </w:t>
            </w:r>
            <w:r>
              <w:rPr>
                <w:sz w:val="22"/>
              </w:rPr>
              <w:t>un</w:t>
            </w:r>
            <w:r>
              <w:rPr>
                <w:spacing w:val="-4"/>
                <w:sz w:val="22"/>
              </w:rPr>
              <w:t> </w:t>
            </w:r>
            <w:r>
              <w:rPr>
                <w:sz w:val="22"/>
              </w:rPr>
              <w:t>área</w:t>
            </w:r>
            <w:r>
              <w:rPr>
                <w:spacing w:val="-3"/>
                <w:sz w:val="22"/>
              </w:rPr>
              <w:t> </w:t>
            </w:r>
            <w:r>
              <w:rPr>
                <w:spacing w:val="-5"/>
                <w:sz w:val="22"/>
              </w:rPr>
              <w:t>de</w:t>
            </w:r>
          </w:p>
          <w:p>
            <w:pPr>
              <w:pStyle w:val="TableParagraph"/>
              <w:spacing w:line="259" w:lineRule="auto"/>
              <w:ind w:left="104" w:right="98"/>
              <w:jc w:val="both"/>
              <w:rPr>
                <w:sz w:val="22"/>
              </w:rPr>
            </w:pPr>
            <w:r>
              <w:rPr>
                <w:sz w:val="22"/>
              </w:rPr>
              <w:t>16 m2, para mantener equipo de telecomunicaciones</w:t>
            </w:r>
            <w:r>
              <w:rPr>
                <w:spacing w:val="-12"/>
                <w:sz w:val="22"/>
              </w:rPr>
              <w:t> </w:t>
            </w:r>
            <w:r>
              <w:rPr>
                <w:sz w:val="22"/>
              </w:rPr>
              <w:t>que</w:t>
            </w:r>
            <w:r>
              <w:rPr>
                <w:spacing w:val="-14"/>
                <w:sz w:val="22"/>
              </w:rPr>
              <w:t> </w:t>
            </w:r>
            <w:r>
              <w:rPr>
                <w:sz w:val="22"/>
              </w:rPr>
              <w:t>representa</w:t>
            </w:r>
            <w:r>
              <w:rPr>
                <w:spacing w:val="-10"/>
                <w:sz w:val="22"/>
              </w:rPr>
              <w:t> </w:t>
            </w:r>
            <w:r>
              <w:rPr>
                <w:sz w:val="22"/>
              </w:rPr>
              <w:t>el</w:t>
            </w:r>
            <w:r>
              <w:rPr>
                <w:spacing w:val="-12"/>
                <w:sz w:val="22"/>
              </w:rPr>
              <w:t> </w:t>
            </w:r>
            <w:r>
              <w:rPr>
                <w:sz w:val="22"/>
              </w:rPr>
              <w:t>0,7%</w:t>
            </w:r>
            <w:r>
              <w:rPr>
                <w:spacing w:val="-11"/>
                <w:sz w:val="22"/>
              </w:rPr>
              <w:t> </w:t>
            </w:r>
            <w:r>
              <w:rPr>
                <w:sz w:val="22"/>
              </w:rPr>
              <w:t>del</w:t>
            </w:r>
            <w:r>
              <w:rPr>
                <w:spacing w:val="-12"/>
                <w:sz w:val="22"/>
              </w:rPr>
              <w:t> </w:t>
            </w:r>
            <w:r>
              <w:rPr>
                <w:sz w:val="22"/>
              </w:rPr>
              <w:t>total metros registrales de la finca.</w:t>
            </w:r>
          </w:p>
          <w:p>
            <w:pPr>
              <w:pStyle w:val="TableParagraph"/>
              <w:spacing w:line="259" w:lineRule="auto" w:before="158"/>
              <w:ind w:left="104" w:right="100"/>
              <w:jc w:val="both"/>
              <w:rPr>
                <w:sz w:val="22"/>
              </w:rPr>
            </w:pPr>
            <w:r>
              <w:rPr>
                <w:sz w:val="22"/>
              </w:rPr>
              <w:t>El contrato tiene una vigencia de diez (10) años, contados a partir de su firma y prorrogable automáticamente por el mismo periodo hasta un máximo de tres veces.</w:t>
            </w:r>
          </w:p>
        </w:tc>
        <w:tc>
          <w:tcPr>
            <w:tcW w:w="867" w:type="dxa"/>
            <w:vMerge/>
            <w:tcBorders>
              <w:top w:val="nil"/>
            </w:tcBorders>
          </w:tcPr>
          <w:p>
            <w:pPr>
              <w:rPr>
                <w:sz w:val="2"/>
                <w:szCs w:val="2"/>
              </w:rPr>
            </w:pPr>
          </w:p>
        </w:tc>
      </w:tr>
      <w:tr>
        <w:trPr>
          <w:trHeight w:val="3300" w:hRule="atLeast"/>
        </w:trPr>
        <w:tc>
          <w:tcPr>
            <w:tcW w:w="869" w:type="dxa"/>
            <w:vMerge/>
            <w:tcBorders>
              <w:top w:val="nil"/>
            </w:tcBorders>
          </w:tcPr>
          <w:p>
            <w:pPr>
              <w:rPr>
                <w:sz w:val="2"/>
                <w:szCs w:val="2"/>
              </w:rPr>
            </w:pPr>
          </w:p>
        </w:tc>
        <w:tc>
          <w:tcPr>
            <w:tcW w:w="1309" w:type="dxa"/>
          </w:tcPr>
          <w:p>
            <w:pPr>
              <w:pStyle w:val="TableParagraph"/>
              <w:ind w:left="107"/>
              <w:rPr>
                <w:sz w:val="22"/>
              </w:rPr>
            </w:pPr>
            <w:r>
              <w:rPr>
                <w:sz w:val="22"/>
              </w:rPr>
              <w:t>San</w:t>
            </w:r>
            <w:r>
              <w:rPr>
                <w:spacing w:val="-1"/>
                <w:sz w:val="22"/>
              </w:rPr>
              <w:t> </w:t>
            </w:r>
            <w:r>
              <w:rPr>
                <w:spacing w:val="-4"/>
                <w:sz w:val="22"/>
              </w:rPr>
              <w:t>José</w:t>
            </w:r>
          </w:p>
        </w:tc>
        <w:tc>
          <w:tcPr>
            <w:tcW w:w="1277" w:type="dxa"/>
          </w:tcPr>
          <w:p>
            <w:pPr>
              <w:pStyle w:val="TableParagraph"/>
              <w:ind w:left="107"/>
              <w:rPr>
                <w:sz w:val="22"/>
              </w:rPr>
            </w:pPr>
            <w:r>
              <w:rPr>
                <w:spacing w:val="-2"/>
                <w:sz w:val="22"/>
              </w:rPr>
              <w:t>1-527015</w:t>
            </w:r>
          </w:p>
        </w:tc>
        <w:tc>
          <w:tcPr>
            <w:tcW w:w="4679" w:type="dxa"/>
          </w:tcPr>
          <w:p>
            <w:pPr>
              <w:pStyle w:val="TableParagraph"/>
              <w:spacing w:line="259" w:lineRule="auto"/>
              <w:ind w:left="104" w:right="97"/>
              <w:jc w:val="both"/>
              <w:rPr>
                <w:sz w:val="22"/>
              </w:rPr>
            </w:pPr>
            <w:r>
              <w:rPr>
                <w:sz w:val="22"/>
              </w:rPr>
              <w:t>Convenio</w:t>
            </w:r>
            <w:r>
              <w:rPr>
                <w:spacing w:val="-3"/>
                <w:sz w:val="22"/>
              </w:rPr>
              <w:t> </w:t>
            </w:r>
            <w:r>
              <w:rPr>
                <w:sz w:val="22"/>
              </w:rPr>
              <w:t>de</w:t>
            </w:r>
            <w:r>
              <w:rPr>
                <w:spacing w:val="-5"/>
                <w:sz w:val="22"/>
              </w:rPr>
              <w:t> </w:t>
            </w:r>
            <w:r>
              <w:rPr>
                <w:sz w:val="22"/>
              </w:rPr>
              <w:t>comodato</w:t>
            </w:r>
            <w:r>
              <w:rPr>
                <w:spacing w:val="-2"/>
                <w:sz w:val="22"/>
              </w:rPr>
              <w:t> </w:t>
            </w:r>
            <w:r>
              <w:rPr>
                <w:sz w:val="22"/>
              </w:rPr>
              <w:t>entre</w:t>
            </w:r>
            <w:r>
              <w:rPr>
                <w:spacing w:val="-4"/>
                <w:sz w:val="22"/>
              </w:rPr>
              <w:t> </w:t>
            </w:r>
            <w:r>
              <w:rPr>
                <w:sz w:val="22"/>
              </w:rPr>
              <w:t>el</w:t>
            </w:r>
            <w:r>
              <w:rPr>
                <w:spacing w:val="-4"/>
                <w:sz w:val="22"/>
              </w:rPr>
              <w:t> </w:t>
            </w:r>
            <w:r>
              <w:rPr>
                <w:sz w:val="22"/>
              </w:rPr>
              <w:t>IMAS</w:t>
            </w:r>
            <w:r>
              <w:rPr>
                <w:spacing w:val="-4"/>
                <w:sz w:val="22"/>
              </w:rPr>
              <w:t> </w:t>
            </w:r>
            <w:r>
              <w:rPr>
                <w:sz w:val="22"/>
              </w:rPr>
              <w:t>y</w:t>
            </w:r>
            <w:r>
              <w:rPr>
                <w:spacing w:val="-4"/>
                <w:sz w:val="22"/>
              </w:rPr>
              <w:t> </w:t>
            </w:r>
            <w:r>
              <w:rPr>
                <w:sz w:val="22"/>
              </w:rPr>
              <w:t>Ministerio de Seguridad Pública. Firmado el 24 de setiembre del año 2021. Aprobado por Acuerdo de Consejo Directivo 282-09-2021.Convenio de comodato establece para el préstamo de un área de 82 m2, para Delegación Distrital de Fuerza Pública, que representa el 0,035% del total metros registrales de la finca.</w:t>
            </w:r>
          </w:p>
          <w:p>
            <w:pPr>
              <w:pStyle w:val="TableParagraph"/>
              <w:spacing w:line="259" w:lineRule="auto" w:before="160"/>
              <w:ind w:left="104" w:right="101"/>
              <w:jc w:val="both"/>
              <w:rPr>
                <w:sz w:val="22"/>
              </w:rPr>
            </w:pPr>
            <w:r>
              <w:rPr>
                <w:sz w:val="22"/>
              </w:rPr>
              <w:t>El contrato tiene una vigencia de cinco (5) años, contados a partir de su firma y prorrogable por un periodo adicional de 5 años.</w:t>
            </w:r>
          </w:p>
        </w:tc>
        <w:tc>
          <w:tcPr>
            <w:tcW w:w="867" w:type="dxa"/>
            <w:vMerge/>
            <w:tcBorders>
              <w:top w:val="nil"/>
            </w:tcBorders>
          </w:tcPr>
          <w:p>
            <w:pPr>
              <w:rPr>
                <w:sz w:val="2"/>
                <w:szCs w:val="2"/>
              </w:rPr>
            </w:pPr>
          </w:p>
        </w:tc>
      </w:tr>
      <w:tr>
        <w:trPr>
          <w:trHeight w:val="3060" w:hRule="atLeast"/>
        </w:trPr>
        <w:tc>
          <w:tcPr>
            <w:tcW w:w="869" w:type="dxa"/>
            <w:vMerge/>
            <w:tcBorders>
              <w:top w:val="nil"/>
            </w:tcBorders>
          </w:tcPr>
          <w:p>
            <w:pPr>
              <w:rPr>
                <w:sz w:val="2"/>
                <w:szCs w:val="2"/>
              </w:rPr>
            </w:pPr>
          </w:p>
        </w:tc>
        <w:tc>
          <w:tcPr>
            <w:tcW w:w="1309" w:type="dxa"/>
          </w:tcPr>
          <w:p>
            <w:pPr>
              <w:pStyle w:val="TableParagraph"/>
              <w:ind w:left="107"/>
              <w:rPr>
                <w:sz w:val="22"/>
              </w:rPr>
            </w:pPr>
            <w:r>
              <w:rPr>
                <w:sz w:val="22"/>
              </w:rPr>
              <w:t>San</w:t>
            </w:r>
            <w:r>
              <w:rPr>
                <w:spacing w:val="-1"/>
                <w:sz w:val="22"/>
              </w:rPr>
              <w:t> </w:t>
            </w:r>
            <w:r>
              <w:rPr>
                <w:spacing w:val="-4"/>
                <w:sz w:val="22"/>
              </w:rPr>
              <w:t>José</w:t>
            </w:r>
          </w:p>
        </w:tc>
        <w:tc>
          <w:tcPr>
            <w:tcW w:w="1277" w:type="dxa"/>
          </w:tcPr>
          <w:p>
            <w:pPr>
              <w:pStyle w:val="TableParagraph"/>
              <w:ind w:left="107"/>
              <w:rPr>
                <w:sz w:val="22"/>
              </w:rPr>
            </w:pPr>
            <w:r>
              <w:rPr>
                <w:spacing w:val="-2"/>
                <w:sz w:val="22"/>
              </w:rPr>
              <w:t>1-98162</w:t>
            </w:r>
          </w:p>
        </w:tc>
        <w:tc>
          <w:tcPr>
            <w:tcW w:w="4679" w:type="dxa"/>
          </w:tcPr>
          <w:p>
            <w:pPr>
              <w:pStyle w:val="TableParagraph"/>
              <w:spacing w:line="259" w:lineRule="auto"/>
              <w:ind w:left="104" w:right="99"/>
              <w:jc w:val="both"/>
              <w:rPr>
                <w:sz w:val="22"/>
              </w:rPr>
            </w:pPr>
            <w:r>
              <w:rPr>
                <w:sz w:val="22"/>
              </w:rPr>
              <w:t>Convenio</w:t>
            </w:r>
            <w:r>
              <w:rPr>
                <w:spacing w:val="-7"/>
                <w:sz w:val="22"/>
              </w:rPr>
              <w:t> </w:t>
            </w:r>
            <w:r>
              <w:rPr>
                <w:sz w:val="22"/>
              </w:rPr>
              <w:t>de</w:t>
            </w:r>
            <w:r>
              <w:rPr>
                <w:spacing w:val="-8"/>
                <w:sz w:val="22"/>
              </w:rPr>
              <w:t> </w:t>
            </w:r>
            <w:r>
              <w:rPr>
                <w:sz w:val="22"/>
              </w:rPr>
              <w:t>comodato</w:t>
            </w:r>
            <w:r>
              <w:rPr>
                <w:spacing w:val="-9"/>
                <w:sz w:val="22"/>
              </w:rPr>
              <w:t> </w:t>
            </w:r>
            <w:r>
              <w:rPr>
                <w:sz w:val="22"/>
              </w:rPr>
              <w:t>entre</w:t>
            </w:r>
            <w:r>
              <w:rPr>
                <w:spacing w:val="-8"/>
                <w:sz w:val="22"/>
              </w:rPr>
              <w:t> </w:t>
            </w:r>
            <w:r>
              <w:rPr>
                <w:sz w:val="22"/>
              </w:rPr>
              <w:t>el</w:t>
            </w:r>
            <w:r>
              <w:rPr>
                <w:spacing w:val="-8"/>
                <w:sz w:val="22"/>
              </w:rPr>
              <w:t> </w:t>
            </w:r>
            <w:r>
              <w:rPr>
                <w:sz w:val="22"/>
              </w:rPr>
              <w:t>IMAS</w:t>
            </w:r>
            <w:r>
              <w:rPr>
                <w:spacing w:val="-7"/>
                <w:sz w:val="22"/>
              </w:rPr>
              <w:t> </w:t>
            </w:r>
            <w:r>
              <w:rPr>
                <w:sz w:val="22"/>
              </w:rPr>
              <w:t>y</w:t>
            </w:r>
            <w:r>
              <w:rPr>
                <w:spacing w:val="-8"/>
                <w:sz w:val="22"/>
              </w:rPr>
              <w:t> </w:t>
            </w:r>
            <w:r>
              <w:rPr>
                <w:sz w:val="22"/>
              </w:rPr>
              <w:t>el</w:t>
            </w:r>
            <w:r>
              <w:rPr>
                <w:spacing w:val="-8"/>
                <w:sz w:val="22"/>
              </w:rPr>
              <w:t> </w:t>
            </w:r>
            <w:r>
              <w:rPr>
                <w:sz w:val="22"/>
              </w:rPr>
              <w:t>Instituto Nacional</w:t>
            </w:r>
            <w:r>
              <w:rPr>
                <w:spacing w:val="-9"/>
                <w:sz w:val="22"/>
              </w:rPr>
              <w:t> </w:t>
            </w:r>
            <w:r>
              <w:rPr>
                <w:sz w:val="22"/>
              </w:rPr>
              <w:t>de</w:t>
            </w:r>
            <w:r>
              <w:rPr>
                <w:spacing w:val="-9"/>
                <w:sz w:val="22"/>
              </w:rPr>
              <w:t> </w:t>
            </w:r>
            <w:r>
              <w:rPr>
                <w:sz w:val="22"/>
              </w:rPr>
              <w:t>Aprendizaje.</w:t>
            </w:r>
            <w:r>
              <w:rPr>
                <w:spacing w:val="-9"/>
                <w:sz w:val="22"/>
              </w:rPr>
              <w:t> </w:t>
            </w:r>
            <w:r>
              <w:rPr>
                <w:sz w:val="22"/>
              </w:rPr>
              <w:t>Firmado</w:t>
            </w:r>
            <w:r>
              <w:rPr>
                <w:spacing w:val="-10"/>
                <w:sz w:val="22"/>
              </w:rPr>
              <w:t> </w:t>
            </w:r>
            <w:r>
              <w:rPr>
                <w:sz w:val="22"/>
              </w:rPr>
              <w:t>el</w:t>
            </w:r>
            <w:r>
              <w:rPr>
                <w:spacing w:val="-8"/>
                <w:sz w:val="22"/>
              </w:rPr>
              <w:t> </w:t>
            </w:r>
            <w:r>
              <w:rPr>
                <w:sz w:val="22"/>
              </w:rPr>
              <w:t>18</w:t>
            </w:r>
            <w:r>
              <w:rPr>
                <w:spacing w:val="-9"/>
                <w:sz w:val="22"/>
              </w:rPr>
              <w:t> </w:t>
            </w:r>
            <w:r>
              <w:rPr>
                <w:sz w:val="22"/>
              </w:rPr>
              <w:t>de</w:t>
            </w:r>
            <w:r>
              <w:rPr>
                <w:spacing w:val="-9"/>
                <w:sz w:val="22"/>
              </w:rPr>
              <w:t> </w:t>
            </w:r>
            <w:r>
              <w:rPr>
                <w:sz w:val="22"/>
              </w:rPr>
              <w:t>octubre 2021.</w:t>
            </w:r>
            <w:r>
              <w:rPr>
                <w:spacing w:val="-14"/>
                <w:sz w:val="22"/>
              </w:rPr>
              <w:t> </w:t>
            </w:r>
            <w:r>
              <w:rPr>
                <w:sz w:val="22"/>
              </w:rPr>
              <w:t>Aprobado</w:t>
            </w:r>
            <w:r>
              <w:rPr>
                <w:spacing w:val="-14"/>
                <w:sz w:val="22"/>
              </w:rPr>
              <w:t> </w:t>
            </w:r>
            <w:r>
              <w:rPr>
                <w:sz w:val="22"/>
              </w:rPr>
              <w:t>por</w:t>
            </w:r>
            <w:r>
              <w:rPr>
                <w:spacing w:val="-14"/>
                <w:sz w:val="22"/>
              </w:rPr>
              <w:t> </w:t>
            </w:r>
            <w:r>
              <w:rPr>
                <w:sz w:val="22"/>
              </w:rPr>
              <w:t>Acuerdo</w:t>
            </w:r>
            <w:r>
              <w:rPr>
                <w:spacing w:val="-13"/>
                <w:sz w:val="22"/>
              </w:rPr>
              <w:t> </w:t>
            </w:r>
            <w:r>
              <w:rPr>
                <w:sz w:val="22"/>
              </w:rPr>
              <w:t>de</w:t>
            </w:r>
            <w:r>
              <w:rPr>
                <w:spacing w:val="-14"/>
                <w:sz w:val="22"/>
              </w:rPr>
              <w:t> </w:t>
            </w:r>
            <w:r>
              <w:rPr>
                <w:sz w:val="22"/>
              </w:rPr>
              <w:t>Consejo</w:t>
            </w:r>
            <w:r>
              <w:rPr>
                <w:spacing w:val="-14"/>
                <w:sz w:val="22"/>
              </w:rPr>
              <w:t> </w:t>
            </w:r>
            <w:r>
              <w:rPr>
                <w:sz w:val="22"/>
              </w:rPr>
              <w:t>Directivo 315-10-2021.CL-0131-2021.</w:t>
            </w:r>
            <w:r>
              <w:rPr>
                <w:spacing w:val="71"/>
                <w:w w:val="150"/>
                <w:sz w:val="22"/>
              </w:rPr>
              <w:t>   </w:t>
            </w:r>
            <w:r>
              <w:rPr>
                <w:sz w:val="22"/>
              </w:rPr>
              <w:t>Convenio</w:t>
            </w:r>
            <w:r>
              <w:rPr>
                <w:spacing w:val="71"/>
                <w:w w:val="150"/>
                <w:sz w:val="22"/>
              </w:rPr>
              <w:t>   </w:t>
            </w:r>
            <w:r>
              <w:rPr>
                <w:spacing w:val="-5"/>
                <w:sz w:val="22"/>
              </w:rPr>
              <w:t>de</w:t>
            </w:r>
          </w:p>
          <w:p>
            <w:pPr>
              <w:pStyle w:val="TableParagraph"/>
              <w:spacing w:line="259" w:lineRule="auto"/>
              <w:ind w:left="104" w:right="98"/>
              <w:jc w:val="both"/>
              <w:rPr>
                <w:sz w:val="22"/>
              </w:rPr>
            </w:pPr>
            <w:r>
              <w:rPr>
                <w:sz w:val="22"/>
              </w:rPr>
              <w:t>comodato</w:t>
            </w:r>
            <w:r>
              <w:rPr>
                <w:spacing w:val="-3"/>
                <w:sz w:val="22"/>
              </w:rPr>
              <w:t> </w:t>
            </w:r>
            <w:r>
              <w:rPr>
                <w:sz w:val="22"/>
              </w:rPr>
              <w:t>establece</w:t>
            </w:r>
            <w:r>
              <w:rPr>
                <w:spacing w:val="-6"/>
                <w:sz w:val="22"/>
              </w:rPr>
              <w:t> </w:t>
            </w:r>
            <w:r>
              <w:rPr>
                <w:sz w:val="22"/>
              </w:rPr>
              <w:t>para</w:t>
            </w:r>
            <w:r>
              <w:rPr>
                <w:spacing w:val="-5"/>
                <w:sz w:val="22"/>
              </w:rPr>
              <w:t> </w:t>
            </w:r>
            <w:r>
              <w:rPr>
                <w:sz w:val="22"/>
              </w:rPr>
              <w:t>el</w:t>
            </w:r>
            <w:r>
              <w:rPr>
                <w:spacing w:val="-3"/>
                <w:sz w:val="22"/>
              </w:rPr>
              <w:t> </w:t>
            </w:r>
            <w:r>
              <w:rPr>
                <w:sz w:val="22"/>
              </w:rPr>
              <w:t>préstamo</w:t>
            </w:r>
            <w:r>
              <w:rPr>
                <w:spacing w:val="-4"/>
                <w:sz w:val="22"/>
              </w:rPr>
              <w:t> </w:t>
            </w:r>
            <w:r>
              <w:rPr>
                <w:sz w:val="22"/>
              </w:rPr>
              <w:t>de</w:t>
            </w:r>
            <w:r>
              <w:rPr>
                <w:spacing w:val="-6"/>
                <w:sz w:val="22"/>
              </w:rPr>
              <w:t> </w:t>
            </w:r>
            <w:r>
              <w:rPr>
                <w:sz w:val="22"/>
              </w:rPr>
              <w:t>un</w:t>
            </w:r>
            <w:r>
              <w:rPr>
                <w:spacing w:val="-4"/>
                <w:sz w:val="22"/>
              </w:rPr>
              <w:t> </w:t>
            </w:r>
            <w:r>
              <w:rPr>
                <w:sz w:val="22"/>
              </w:rPr>
              <w:t>área</w:t>
            </w:r>
            <w:r>
              <w:rPr>
                <w:spacing w:val="-5"/>
                <w:sz w:val="22"/>
              </w:rPr>
              <w:t> </w:t>
            </w:r>
            <w:r>
              <w:rPr>
                <w:sz w:val="22"/>
              </w:rPr>
              <w:t>de 1.701,56 m2, que representa el 7,15% del total metros registrales de la finca.</w:t>
            </w:r>
          </w:p>
          <w:p>
            <w:pPr>
              <w:pStyle w:val="TableParagraph"/>
              <w:spacing w:before="158"/>
              <w:ind w:left="104" w:right="98"/>
              <w:jc w:val="both"/>
              <w:rPr>
                <w:sz w:val="22"/>
              </w:rPr>
            </w:pPr>
            <w:r>
              <w:rPr>
                <w:sz w:val="22"/>
              </w:rPr>
              <w:t>El</w:t>
            </w:r>
            <w:r>
              <w:rPr>
                <w:spacing w:val="-14"/>
                <w:sz w:val="22"/>
              </w:rPr>
              <w:t> </w:t>
            </w:r>
            <w:r>
              <w:rPr>
                <w:sz w:val="22"/>
              </w:rPr>
              <w:t>contrato</w:t>
            </w:r>
            <w:r>
              <w:rPr>
                <w:spacing w:val="-14"/>
                <w:sz w:val="22"/>
              </w:rPr>
              <w:t> </w:t>
            </w:r>
            <w:r>
              <w:rPr>
                <w:sz w:val="22"/>
              </w:rPr>
              <w:t>tiene</w:t>
            </w:r>
            <w:r>
              <w:rPr>
                <w:spacing w:val="-14"/>
                <w:sz w:val="22"/>
              </w:rPr>
              <w:t> </w:t>
            </w:r>
            <w:r>
              <w:rPr>
                <w:sz w:val="22"/>
              </w:rPr>
              <w:t>una</w:t>
            </w:r>
            <w:r>
              <w:rPr>
                <w:spacing w:val="-13"/>
                <w:sz w:val="22"/>
              </w:rPr>
              <w:t> </w:t>
            </w:r>
            <w:r>
              <w:rPr>
                <w:sz w:val="22"/>
              </w:rPr>
              <w:t>vigencia</w:t>
            </w:r>
            <w:r>
              <w:rPr>
                <w:spacing w:val="-14"/>
                <w:sz w:val="22"/>
              </w:rPr>
              <w:t> </w:t>
            </w:r>
            <w:r>
              <w:rPr>
                <w:sz w:val="22"/>
              </w:rPr>
              <w:t>de</w:t>
            </w:r>
            <w:r>
              <w:rPr>
                <w:spacing w:val="-14"/>
                <w:sz w:val="22"/>
              </w:rPr>
              <w:t> </w:t>
            </w:r>
            <w:r>
              <w:rPr>
                <w:sz w:val="22"/>
              </w:rPr>
              <w:t>diez</w:t>
            </w:r>
            <w:r>
              <w:rPr>
                <w:spacing w:val="-14"/>
                <w:sz w:val="22"/>
              </w:rPr>
              <w:t> </w:t>
            </w:r>
            <w:r>
              <w:rPr>
                <w:sz w:val="22"/>
              </w:rPr>
              <w:t>(10)</w:t>
            </w:r>
            <w:r>
              <w:rPr>
                <w:spacing w:val="-13"/>
                <w:sz w:val="22"/>
              </w:rPr>
              <w:t> </w:t>
            </w:r>
            <w:r>
              <w:rPr>
                <w:sz w:val="22"/>
              </w:rPr>
              <w:t>años,</w:t>
            </w:r>
            <w:r>
              <w:rPr>
                <w:spacing w:val="-14"/>
                <w:sz w:val="22"/>
              </w:rPr>
              <w:t> </w:t>
            </w:r>
            <w:r>
              <w:rPr>
                <w:sz w:val="22"/>
              </w:rPr>
              <w:t>con-tados</w:t>
            </w:r>
            <w:r>
              <w:rPr>
                <w:spacing w:val="-1"/>
                <w:sz w:val="22"/>
              </w:rPr>
              <w:t> </w:t>
            </w:r>
            <w:r>
              <w:rPr>
                <w:sz w:val="22"/>
              </w:rPr>
              <w:t>a</w:t>
            </w:r>
            <w:r>
              <w:rPr>
                <w:spacing w:val="-2"/>
                <w:sz w:val="22"/>
              </w:rPr>
              <w:t> </w:t>
            </w:r>
            <w:r>
              <w:rPr>
                <w:sz w:val="22"/>
              </w:rPr>
              <w:t>partir</w:t>
            </w:r>
            <w:r>
              <w:rPr>
                <w:spacing w:val="-1"/>
                <w:sz w:val="22"/>
              </w:rPr>
              <w:t> </w:t>
            </w:r>
            <w:r>
              <w:rPr>
                <w:sz w:val="22"/>
              </w:rPr>
              <w:t>de</w:t>
            </w:r>
            <w:r>
              <w:rPr>
                <w:spacing w:val="-3"/>
                <w:sz w:val="22"/>
              </w:rPr>
              <w:t> </w:t>
            </w:r>
            <w:r>
              <w:rPr>
                <w:sz w:val="22"/>
              </w:rPr>
              <w:t>su</w:t>
            </w:r>
            <w:r>
              <w:rPr>
                <w:spacing w:val="-1"/>
                <w:sz w:val="22"/>
              </w:rPr>
              <w:t> </w:t>
            </w:r>
            <w:r>
              <w:rPr>
                <w:sz w:val="22"/>
              </w:rPr>
              <w:t>firma</w:t>
            </w:r>
            <w:r>
              <w:rPr>
                <w:spacing w:val="-2"/>
                <w:sz w:val="22"/>
              </w:rPr>
              <w:t> </w:t>
            </w:r>
            <w:r>
              <w:rPr>
                <w:sz w:val="22"/>
              </w:rPr>
              <w:t>y</w:t>
            </w:r>
            <w:r>
              <w:rPr>
                <w:spacing w:val="-4"/>
                <w:sz w:val="22"/>
              </w:rPr>
              <w:t> </w:t>
            </w:r>
            <w:r>
              <w:rPr>
                <w:sz w:val="22"/>
              </w:rPr>
              <w:t>prorrogable</w:t>
            </w:r>
            <w:r>
              <w:rPr>
                <w:spacing w:val="-3"/>
                <w:sz w:val="22"/>
              </w:rPr>
              <w:t> </w:t>
            </w:r>
            <w:r>
              <w:rPr>
                <w:sz w:val="22"/>
              </w:rPr>
              <w:t>automática-mente</w:t>
            </w:r>
            <w:r>
              <w:rPr>
                <w:spacing w:val="13"/>
                <w:sz w:val="22"/>
              </w:rPr>
              <w:t> </w:t>
            </w:r>
            <w:r>
              <w:rPr>
                <w:sz w:val="22"/>
              </w:rPr>
              <w:t>por</w:t>
            </w:r>
            <w:r>
              <w:rPr>
                <w:spacing w:val="15"/>
                <w:sz w:val="22"/>
              </w:rPr>
              <w:t> </w:t>
            </w:r>
            <w:r>
              <w:rPr>
                <w:sz w:val="22"/>
              </w:rPr>
              <w:t>el</w:t>
            </w:r>
            <w:r>
              <w:rPr>
                <w:spacing w:val="13"/>
                <w:sz w:val="22"/>
              </w:rPr>
              <w:t> </w:t>
            </w:r>
            <w:r>
              <w:rPr>
                <w:sz w:val="22"/>
              </w:rPr>
              <w:t>mismo</w:t>
            </w:r>
            <w:r>
              <w:rPr>
                <w:spacing w:val="15"/>
                <w:sz w:val="22"/>
              </w:rPr>
              <w:t> </w:t>
            </w:r>
            <w:r>
              <w:rPr>
                <w:sz w:val="22"/>
              </w:rPr>
              <w:t>periodo</w:t>
            </w:r>
            <w:r>
              <w:rPr>
                <w:spacing w:val="15"/>
                <w:sz w:val="22"/>
              </w:rPr>
              <w:t> </w:t>
            </w:r>
            <w:r>
              <w:rPr>
                <w:sz w:val="22"/>
              </w:rPr>
              <w:t>hasta</w:t>
            </w:r>
            <w:r>
              <w:rPr>
                <w:spacing w:val="13"/>
                <w:sz w:val="22"/>
              </w:rPr>
              <w:t> </w:t>
            </w:r>
            <w:r>
              <w:rPr>
                <w:sz w:val="22"/>
              </w:rPr>
              <w:t>un</w:t>
            </w:r>
            <w:r>
              <w:rPr>
                <w:spacing w:val="14"/>
                <w:sz w:val="22"/>
              </w:rPr>
              <w:t> </w:t>
            </w:r>
            <w:r>
              <w:rPr>
                <w:sz w:val="22"/>
              </w:rPr>
              <w:t>máximo</w:t>
            </w:r>
            <w:r>
              <w:rPr>
                <w:spacing w:val="15"/>
                <w:sz w:val="22"/>
              </w:rPr>
              <w:t> </w:t>
            </w:r>
            <w:r>
              <w:rPr>
                <w:spacing w:val="-5"/>
                <w:sz w:val="22"/>
              </w:rPr>
              <w:t>de</w:t>
            </w:r>
          </w:p>
          <w:p>
            <w:pPr>
              <w:pStyle w:val="TableParagraph"/>
              <w:spacing w:line="231" w:lineRule="exact" w:before="1"/>
              <w:ind w:left="104"/>
              <w:jc w:val="both"/>
              <w:rPr>
                <w:sz w:val="22"/>
              </w:rPr>
            </w:pPr>
            <w:r>
              <w:rPr>
                <w:sz w:val="22"/>
              </w:rPr>
              <w:t>tres</w:t>
            </w:r>
            <w:r>
              <w:rPr>
                <w:spacing w:val="-2"/>
                <w:sz w:val="22"/>
              </w:rPr>
              <w:t> veces.</w:t>
            </w:r>
          </w:p>
        </w:tc>
        <w:tc>
          <w:tcPr>
            <w:tcW w:w="867" w:type="dxa"/>
            <w:vMerge/>
            <w:tcBorders>
              <w:top w:val="nil"/>
            </w:tcBorders>
          </w:tcPr>
          <w:p>
            <w:pPr>
              <w:rPr>
                <w:sz w:val="2"/>
                <w:szCs w:val="2"/>
              </w:rPr>
            </w:pPr>
          </w:p>
        </w:tc>
      </w:tr>
      <w:tr>
        <w:trPr>
          <w:trHeight w:val="1518" w:hRule="atLeast"/>
        </w:trPr>
        <w:tc>
          <w:tcPr>
            <w:tcW w:w="869" w:type="dxa"/>
            <w:vMerge/>
            <w:tcBorders>
              <w:top w:val="nil"/>
            </w:tcBorders>
          </w:tcPr>
          <w:p>
            <w:pPr>
              <w:rPr>
                <w:sz w:val="2"/>
                <w:szCs w:val="2"/>
              </w:rPr>
            </w:pPr>
          </w:p>
        </w:tc>
        <w:tc>
          <w:tcPr>
            <w:tcW w:w="1309" w:type="dxa"/>
            <w:tcBorders>
              <w:bottom w:val="single" w:sz="8" w:space="0" w:color="000000"/>
            </w:tcBorders>
          </w:tcPr>
          <w:p>
            <w:pPr>
              <w:pStyle w:val="TableParagraph"/>
              <w:ind w:left="107"/>
              <w:rPr>
                <w:sz w:val="22"/>
              </w:rPr>
            </w:pPr>
            <w:r>
              <w:rPr>
                <w:sz w:val="22"/>
              </w:rPr>
              <w:t>San</w:t>
            </w:r>
            <w:r>
              <w:rPr>
                <w:spacing w:val="-1"/>
                <w:sz w:val="22"/>
              </w:rPr>
              <w:t> </w:t>
            </w:r>
            <w:r>
              <w:rPr>
                <w:spacing w:val="-4"/>
                <w:sz w:val="22"/>
              </w:rPr>
              <w:t>José</w:t>
            </w:r>
          </w:p>
        </w:tc>
        <w:tc>
          <w:tcPr>
            <w:tcW w:w="1277" w:type="dxa"/>
            <w:tcBorders>
              <w:bottom w:val="single" w:sz="8" w:space="0" w:color="000000"/>
            </w:tcBorders>
          </w:tcPr>
          <w:p>
            <w:pPr>
              <w:pStyle w:val="TableParagraph"/>
              <w:ind w:left="107"/>
              <w:rPr>
                <w:sz w:val="22"/>
              </w:rPr>
            </w:pPr>
            <w:r>
              <w:rPr>
                <w:spacing w:val="-2"/>
                <w:sz w:val="22"/>
              </w:rPr>
              <w:t>1-527015</w:t>
            </w:r>
          </w:p>
        </w:tc>
        <w:tc>
          <w:tcPr>
            <w:tcW w:w="4679" w:type="dxa"/>
            <w:tcBorders>
              <w:bottom w:val="single" w:sz="8" w:space="0" w:color="000000"/>
            </w:tcBorders>
          </w:tcPr>
          <w:p>
            <w:pPr>
              <w:pStyle w:val="TableParagraph"/>
              <w:spacing w:line="259" w:lineRule="auto"/>
              <w:ind w:left="104" w:right="100"/>
              <w:jc w:val="both"/>
              <w:rPr>
                <w:sz w:val="22"/>
              </w:rPr>
            </w:pPr>
            <w:r>
              <w:rPr>
                <w:sz w:val="22"/>
              </w:rPr>
              <w:t>Convenio de comodato entre el IMAS y la Fundación</w:t>
            </w:r>
            <w:r>
              <w:rPr>
                <w:spacing w:val="-2"/>
                <w:sz w:val="22"/>
              </w:rPr>
              <w:t> </w:t>
            </w:r>
            <w:r>
              <w:rPr>
                <w:sz w:val="22"/>
              </w:rPr>
              <w:t>SIFAIS</w:t>
            </w:r>
            <w:r>
              <w:rPr>
                <w:spacing w:val="-1"/>
                <w:sz w:val="22"/>
              </w:rPr>
              <w:t> </w:t>
            </w:r>
            <w:r>
              <w:rPr>
                <w:sz w:val="22"/>
              </w:rPr>
              <w:t>(Sistema</w:t>
            </w:r>
            <w:r>
              <w:rPr>
                <w:spacing w:val="-2"/>
                <w:sz w:val="22"/>
              </w:rPr>
              <w:t> </w:t>
            </w:r>
            <w:r>
              <w:rPr>
                <w:sz w:val="22"/>
              </w:rPr>
              <w:t>Integral de</w:t>
            </w:r>
            <w:r>
              <w:rPr>
                <w:spacing w:val="-1"/>
                <w:sz w:val="22"/>
              </w:rPr>
              <w:t> </w:t>
            </w:r>
            <w:r>
              <w:rPr>
                <w:sz w:val="22"/>
              </w:rPr>
              <w:t>Formación Artística</w:t>
            </w:r>
            <w:r>
              <w:rPr>
                <w:spacing w:val="-5"/>
                <w:sz w:val="22"/>
              </w:rPr>
              <w:t> </w:t>
            </w:r>
            <w:r>
              <w:rPr>
                <w:sz w:val="22"/>
              </w:rPr>
              <w:t>para</w:t>
            </w:r>
            <w:r>
              <w:rPr>
                <w:spacing w:val="-5"/>
                <w:sz w:val="22"/>
              </w:rPr>
              <w:t> </w:t>
            </w:r>
            <w:r>
              <w:rPr>
                <w:sz w:val="22"/>
              </w:rPr>
              <w:t>la</w:t>
            </w:r>
            <w:r>
              <w:rPr>
                <w:spacing w:val="-6"/>
                <w:sz w:val="22"/>
              </w:rPr>
              <w:t> </w:t>
            </w:r>
            <w:r>
              <w:rPr>
                <w:sz w:val="22"/>
              </w:rPr>
              <w:t>Inclusión</w:t>
            </w:r>
            <w:r>
              <w:rPr>
                <w:spacing w:val="-4"/>
                <w:sz w:val="22"/>
              </w:rPr>
              <w:t> </w:t>
            </w:r>
            <w:r>
              <w:rPr>
                <w:sz w:val="22"/>
              </w:rPr>
              <w:t>Social).</w:t>
            </w:r>
            <w:r>
              <w:rPr>
                <w:spacing w:val="-6"/>
                <w:sz w:val="22"/>
              </w:rPr>
              <w:t> </w:t>
            </w:r>
            <w:r>
              <w:rPr>
                <w:sz w:val="22"/>
              </w:rPr>
              <w:t>Firmado</w:t>
            </w:r>
            <w:r>
              <w:rPr>
                <w:spacing w:val="-4"/>
                <w:sz w:val="22"/>
              </w:rPr>
              <w:t> </w:t>
            </w:r>
            <w:r>
              <w:rPr>
                <w:sz w:val="22"/>
              </w:rPr>
              <w:t>el</w:t>
            </w:r>
            <w:r>
              <w:rPr>
                <w:spacing w:val="-4"/>
                <w:sz w:val="22"/>
              </w:rPr>
              <w:t> </w:t>
            </w:r>
            <w:r>
              <w:rPr>
                <w:sz w:val="22"/>
              </w:rPr>
              <w:t>06</w:t>
            </w:r>
            <w:r>
              <w:rPr>
                <w:spacing w:val="-4"/>
                <w:sz w:val="22"/>
              </w:rPr>
              <w:t> </w:t>
            </w:r>
            <w:r>
              <w:rPr>
                <w:sz w:val="22"/>
              </w:rPr>
              <w:t>de mayo del año 2022. Aprobado por Acuerdo de Consejo Directivo 147-05-2022.CL-0021-2022.</w:t>
            </w:r>
          </w:p>
        </w:tc>
        <w:tc>
          <w:tcPr>
            <w:tcW w:w="867" w:type="dxa"/>
            <w:vMerge/>
            <w:tcBorders>
              <w:top w:val="nil"/>
            </w:tcBorders>
          </w:tcPr>
          <w:p>
            <w:pPr>
              <w:rPr>
                <w:sz w:val="2"/>
                <w:szCs w:val="2"/>
              </w:rPr>
            </w:pPr>
          </w:p>
        </w:tc>
      </w:tr>
    </w:tbl>
    <w:p>
      <w:pPr>
        <w:spacing w:after="0"/>
        <w:rPr>
          <w:sz w:val="2"/>
          <w:szCs w:val="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0320">
                <wp:simplePos x="0" y="0"/>
                <wp:positionH relativeFrom="page">
                  <wp:posOffset>9525</wp:posOffset>
                </wp:positionH>
                <wp:positionV relativeFrom="page">
                  <wp:posOffset>297208</wp:posOffset>
                </wp:positionV>
                <wp:extent cx="7762875" cy="9748520"/>
                <wp:effectExtent l="0" t="0" r="0" b="0"/>
                <wp:wrapNone/>
                <wp:docPr id="996" name="Group 996"/>
                <wp:cNvGraphicFramePr>
                  <a:graphicFrameLocks/>
                </wp:cNvGraphicFramePr>
                <a:graphic>
                  <a:graphicData uri="http://schemas.microsoft.com/office/word/2010/wordprocessingGroup">
                    <wpg:wgp>
                      <wpg:cNvPr id="996" name="Group 996"/>
                      <wpg:cNvGrpSpPr/>
                      <wpg:grpSpPr>
                        <a:xfrm>
                          <a:off x="0" y="0"/>
                          <a:ext cx="7762875" cy="9748520"/>
                          <a:chExt cx="7762875" cy="9748520"/>
                        </a:xfrm>
                      </wpg:grpSpPr>
                      <pic:pic>
                        <pic:nvPicPr>
                          <pic:cNvPr id="997" name="Image 997"/>
                          <pic:cNvPicPr/>
                        </pic:nvPicPr>
                        <pic:blipFill>
                          <a:blip r:embed="rId5" cstate="print"/>
                          <a:stretch>
                            <a:fillRect/>
                          </a:stretch>
                        </pic:blipFill>
                        <pic:spPr>
                          <a:xfrm>
                            <a:off x="0" y="0"/>
                            <a:ext cx="7762874" cy="9748489"/>
                          </a:xfrm>
                          <a:prstGeom prst="rect">
                            <a:avLst/>
                          </a:prstGeom>
                        </pic:spPr>
                      </pic:pic>
                      <wps:wsp>
                        <wps:cNvPr id="998" name="Graphic 99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6160" id="docshapegroup943" coordorigin="15,468" coordsize="12225,15352">
                <v:shape style="position:absolute;left:15;top:468;width:12225;height:15352" type="#_x0000_t75" id="docshape944" stroked="false">
                  <v:imagedata r:id="rId5" o:title=""/>
                </v:shape>
                <v:rect style="position:absolute;left:1673;top:2028;width:8897;height:15" id="docshape94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190</w:t>
      </w:r>
    </w:p>
    <w:p>
      <w:pPr>
        <w:pStyle w:val="BodyText"/>
        <w:spacing w:before="7"/>
        <w:rPr>
          <w:sz w:val="18"/>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9"/>
        <w:gridCol w:w="1309"/>
        <w:gridCol w:w="1277"/>
        <w:gridCol w:w="4679"/>
        <w:gridCol w:w="867"/>
      </w:tblGrid>
      <w:tr>
        <w:trPr>
          <w:trHeight w:val="2252" w:hRule="atLeast"/>
        </w:trPr>
        <w:tc>
          <w:tcPr>
            <w:tcW w:w="869" w:type="dxa"/>
            <w:tcBorders>
              <w:bottom w:val="nil"/>
            </w:tcBorders>
          </w:tcPr>
          <w:p>
            <w:pPr>
              <w:pStyle w:val="TableParagraph"/>
              <w:rPr>
                <w:rFonts w:ascii="Times New Roman"/>
                <w:sz w:val="22"/>
              </w:rPr>
            </w:pPr>
          </w:p>
        </w:tc>
        <w:tc>
          <w:tcPr>
            <w:tcW w:w="1309" w:type="dxa"/>
            <w:tcBorders>
              <w:top w:val="single" w:sz="8" w:space="0" w:color="000000"/>
            </w:tcBorders>
          </w:tcPr>
          <w:p>
            <w:pPr>
              <w:pStyle w:val="TableParagraph"/>
              <w:rPr>
                <w:rFonts w:ascii="Times New Roman"/>
                <w:sz w:val="22"/>
              </w:rPr>
            </w:pPr>
          </w:p>
        </w:tc>
        <w:tc>
          <w:tcPr>
            <w:tcW w:w="1277" w:type="dxa"/>
            <w:tcBorders>
              <w:top w:val="single" w:sz="8" w:space="0" w:color="000000"/>
            </w:tcBorders>
          </w:tcPr>
          <w:p>
            <w:pPr>
              <w:pStyle w:val="TableParagraph"/>
              <w:rPr>
                <w:rFonts w:ascii="Times New Roman"/>
                <w:sz w:val="22"/>
              </w:rPr>
            </w:pPr>
          </w:p>
        </w:tc>
        <w:tc>
          <w:tcPr>
            <w:tcW w:w="4679" w:type="dxa"/>
            <w:tcBorders>
              <w:top w:val="single" w:sz="8" w:space="0" w:color="000000"/>
            </w:tcBorders>
          </w:tcPr>
          <w:p>
            <w:pPr>
              <w:pStyle w:val="TableParagraph"/>
              <w:spacing w:line="259" w:lineRule="auto" w:before="7"/>
              <w:ind w:left="104" w:right="100"/>
              <w:jc w:val="both"/>
              <w:rPr>
                <w:sz w:val="22"/>
              </w:rPr>
            </w:pPr>
            <w:r>
              <w:rPr>
                <w:sz w:val="22"/>
              </w:rPr>
              <w:t>Convenio de comodato establece para el préstamo y construcción de un edificio, un área de 928 m2, que representa el 0,40% del total metros registrales de la finca.</w:t>
            </w:r>
          </w:p>
          <w:p>
            <w:pPr>
              <w:pStyle w:val="TableParagraph"/>
              <w:spacing w:before="157"/>
              <w:ind w:left="104" w:right="100"/>
              <w:jc w:val="both"/>
              <w:rPr>
                <w:sz w:val="22"/>
              </w:rPr>
            </w:pPr>
            <w:r>
              <w:rPr>
                <w:sz w:val="22"/>
              </w:rPr>
              <w:t>El contrato tiene una vigencia de treinta (30) años, contados a partir del 13 de agosto del 2013 y pro-rrogable</w:t>
            </w:r>
            <w:r>
              <w:rPr>
                <w:spacing w:val="-14"/>
                <w:sz w:val="22"/>
              </w:rPr>
              <w:t> </w:t>
            </w:r>
            <w:r>
              <w:rPr>
                <w:sz w:val="22"/>
              </w:rPr>
              <w:t>por</w:t>
            </w:r>
            <w:r>
              <w:rPr>
                <w:spacing w:val="-14"/>
                <w:sz w:val="22"/>
              </w:rPr>
              <w:t> </w:t>
            </w:r>
            <w:r>
              <w:rPr>
                <w:sz w:val="22"/>
              </w:rPr>
              <w:t>solicitud</w:t>
            </w:r>
            <w:r>
              <w:rPr>
                <w:spacing w:val="-14"/>
                <w:sz w:val="22"/>
              </w:rPr>
              <w:t> </w:t>
            </w:r>
            <w:r>
              <w:rPr>
                <w:sz w:val="22"/>
              </w:rPr>
              <w:t>expresa</w:t>
            </w:r>
            <w:r>
              <w:rPr>
                <w:spacing w:val="-12"/>
                <w:sz w:val="22"/>
              </w:rPr>
              <w:t> </w:t>
            </w:r>
            <w:r>
              <w:rPr>
                <w:sz w:val="22"/>
              </w:rPr>
              <w:t>de</w:t>
            </w:r>
            <w:r>
              <w:rPr>
                <w:spacing w:val="-14"/>
                <w:sz w:val="22"/>
              </w:rPr>
              <w:t> </w:t>
            </w:r>
            <w:r>
              <w:rPr>
                <w:sz w:val="22"/>
              </w:rPr>
              <w:t>la</w:t>
            </w:r>
            <w:r>
              <w:rPr>
                <w:spacing w:val="-14"/>
                <w:sz w:val="22"/>
              </w:rPr>
              <w:t> </w:t>
            </w:r>
            <w:r>
              <w:rPr>
                <w:sz w:val="22"/>
              </w:rPr>
              <w:t>parte</w:t>
            </w:r>
            <w:r>
              <w:rPr>
                <w:spacing w:val="-13"/>
                <w:sz w:val="22"/>
              </w:rPr>
              <w:t> </w:t>
            </w:r>
            <w:r>
              <w:rPr>
                <w:spacing w:val="-2"/>
                <w:sz w:val="22"/>
              </w:rPr>
              <w:t>interesada,</w:t>
            </w:r>
          </w:p>
          <w:p>
            <w:pPr>
              <w:pStyle w:val="TableParagraph"/>
              <w:spacing w:line="231" w:lineRule="exact" w:before="1"/>
              <w:ind w:left="104"/>
              <w:jc w:val="both"/>
              <w:rPr>
                <w:sz w:val="22"/>
              </w:rPr>
            </w:pPr>
            <w:r>
              <w:rPr>
                <w:sz w:val="22"/>
              </w:rPr>
              <w:t>previa</w:t>
            </w:r>
            <w:r>
              <w:rPr>
                <w:spacing w:val="-5"/>
                <w:sz w:val="22"/>
              </w:rPr>
              <w:t> </w:t>
            </w:r>
            <w:r>
              <w:rPr>
                <w:sz w:val="22"/>
              </w:rPr>
              <w:t>aprobación</w:t>
            </w:r>
            <w:r>
              <w:rPr>
                <w:spacing w:val="-4"/>
                <w:sz w:val="22"/>
              </w:rPr>
              <w:t> </w:t>
            </w:r>
            <w:r>
              <w:rPr>
                <w:sz w:val="22"/>
              </w:rPr>
              <w:t>del</w:t>
            </w:r>
            <w:r>
              <w:rPr>
                <w:spacing w:val="-4"/>
                <w:sz w:val="22"/>
              </w:rPr>
              <w:t> </w:t>
            </w:r>
            <w:r>
              <w:rPr>
                <w:sz w:val="22"/>
              </w:rPr>
              <w:t>Consejo</w:t>
            </w:r>
            <w:r>
              <w:rPr>
                <w:spacing w:val="-3"/>
                <w:sz w:val="22"/>
              </w:rPr>
              <w:t> </w:t>
            </w:r>
            <w:r>
              <w:rPr>
                <w:spacing w:val="-2"/>
                <w:sz w:val="22"/>
              </w:rPr>
              <w:t>Directivo.</w:t>
            </w:r>
          </w:p>
        </w:tc>
        <w:tc>
          <w:tcPr>
            <w:tcW w:w="867" w:type="dxa"/>
            <w:tcBorders>
              <w:bottom w:val="nil"/>
            </w:tcBorders>
          </w:tcPr>
          <w:p>
            <w:pPr>
              <w:pStyle w:val="TableParagraph"/>
              <w:rPr>
                <w:rFonts w:ascii="Times New Roman"/>
                <w:sz w:val="22"/>
              </w:rPr>
            </w:pPr>
          </w:p>
        </w:tc>
      </w:tr>
      <w:tr>
        <w:trPr>
          <w:trHeight w:val="4709" w:hRule="atLeast"/>
        </w:trPr>
        <w:tc>
          <w:tcPr>
            <w:tcW w:w="9001" w:type="dxa"/>
            <w:gridSpan w:val="5"/>
            <w:tcBorders>
              <w:top w:val="nil"/>
            </w:tcBorders>
          </w:tcPr>
          <w:p>
            <w:pPr>
              <w:pStyle w:val="TableParagraph"/>
              <w:spacing w:before="126"/>
              <w:rPr>
                <w:sz w:val="22"/>
              </w:rPr>
            </w:pPr>
          </w:p>
          <w:p>
            <w:pPr>
              <w:pStyle w:val="TableParagraph"/>
              <w:ind w:left="107"/>
              <w:jc w:val="both"/>
              <w:rPr>
                <w:b/>
                <w:sz w:val="22"/>
              </w:rPr>
            </w:pPr>
            <w:r>
              <w:rPr>
                <w:b/>
                <w:sz w:val="22"/>
              </w:rPr>
              <w:t>Activos</w:t>
            </w:r>
            <w:r>
              <w:rPr>
                <w:b/>
                <w:spacing w:val="-7"/>
                <w:sz w:val="22"/>
              </w:rPr>
              <w:t> </w:t>
            </w:r>
            <w:r>
              <w:rPr>
                <w:b/>
                <w:sz w:val="22"/>
              </w:rPr>
              <w:t>en</w:t>
            </w:r>
            <w:r>
              <w:rPr>
                <w:b/>
                <w:spacing w:val="-3"/>
                <w:sz w:val="22"/>
              </w:rPr>
              <w:t> </w:t>
            </w:r>
            <w:r>
              <w:rPr>
                <w:b/>
                <w:sz w:val="22"/>
              </w:rPr>
              <w:t>pérdida</w:t>
            </w:r>
            <w:r>
              <w:rPr>
                <w:b/>
                <w:spacing w:val="-4"/>
                <w:sz w:val="22"/>
              </w:rPr>
              <w:t> </w:t>
            </w:r>
            <w:r>
              <w:rPr>
                <w:b/>
                <w:sz w:val="22"/>
              </w:rPr>
              <w:t>de</w:t>
            </w:r>
            <w:r>
              <w:rPr>
                <w:b/>
                <w:spacing w:val="-3"/>
                <w:sz w:val="22"/>
              </w:rPr>
              <w:t> </w:t>
            </w:r>
            <w:r>
              <w:rPr>
                <w:b/>
                <w:sz w:val="22"/>
              </w:rPr>
              <w:t>control</w:t>
            </w:r>
            <w:r>
              <w:rPr>
                <w:b/>
                <w:spacing w:val="-3"/>
                <w:sz w:val="22"/>
              </w:rPr>
              <w:t> </w:t>
            </w:r>
            <w:r>
              <w:rPr>
                <w:b/>
                <w:sz w:val="22"/>
              </w:rPr>
              <w:t>(apropiación</w:t>
            </w:r>
            <w:r>
              <w:rPr>
                <w:b/>
                <w:spacing w:val="-3"/>
                <w:sz w:val="22"/>
              </w:rPr>
              <w:t> </w:t>
            </w:r>
            <w:r>
              <w:rPr>
                <w:b/>
                <w:sz w:val="22"/>
              </w:rPr>
              <w:t>indebida</w:t>
            </w:r>
            <w:r>
              <w:rPr>
                <w:b/>
                <w:spacing w:val="-4"/>
                <w:sz w:val="22"/>
              </w:rPr>
              <w:t> </w:t>
            </w:r>
            <w:r>
              <w:rPr>
                <w:b/>
                <w:sz w:val="22"/>
              </w:rPr>
              <w:t>por</w:t>
            </w:r>
            <w:r>
              <w:rPr>
                <w:b/>
                <w:spacing w:val="-3"/>
                <w:sz w:val="22"/>
              </w:rPr>
              <w:t> </w:t>
            </w:r>
            <w:r>
              <w:rPr>
                <w:b/>
                <w:spacing w:val="-2"/>
                <w:sz w:val="22"/>
              </w:rPr>
              <w:t>terceros)</w:t>
            </w:r>
          </w:p>
          <w:p>
            <w:pPr>
              <w:pStyle w:val="TableParagraph"/>
              <w:spacing w:line="259" w:lineRule="auto" w:before="21"/>
              <w:ind w:left="107" w:right="97"/>
              <w:jc w:val="both"/>
              <w:rPr>
                <w:sz w:val="22"/>
              </w:rPr>
            </w:pPr>
            <w:r>
              <w:rPr>
                <w:sz w:val="22"/>
              </w:rPr>
              <w:t>De conformidad con Área Desarrollo Socio Productivo y Comunal del IMAS, No se cuenta con información que permita determinar ocupación precarista, ya que los terrenos propiedad del IMAS están destinados al desarrollo de proyectos de vivienda de interés social, en los cuales no necesariamente se puede</w:t>
            </w:r>
            <w:r>
              <w:rPr>
                <w:spacing w:val="-1"/>
                <w:sz w:val="22"/>
              </w:rPr>
              <w:t> </w:t>
            </w:r>
            <w:r>
              <w:rPr>
                <w:sz w:val="22"/>
              </w:rPr>
              <w:t>considerar como una</w:t>
            </w:r>
            <w:r>
              <w:rPr>
                <w:spacing w:val="-2"/>
                <w:sz w:val="22"/>
              </w:rPr>
              <w:t> </w:t>
            </w:r>
            <w:r>
              <w:rPr>
                <w:sz w:val="22"/>
              </w:rPr>
              <w:t>ocupación precarista. Sin embargo,</w:t>
            </w:r>
            <w:r>
              <w:rPr>
                <w:spacing w:val="-1"/>
                <w:sz w:val="22"/>
              </w:rPr>
              <w:t> </w:t>
            </w:r>
            <w:r>
              <w:rPr>
                <w:sz w:val="22"/>
              </w:rPr>
              <w:t>si se conoce</w:t>
            </w:r>
            <w:r>
              <w:rPr>
                <w:spacing w:val="-1"/>
                <w:sz w:val="22"/>
              </w:rPr>
              <w:t> </w:t>
            </w:r>
            <w:r>
              <w:rPr>
                <w:sz w:val="22"/>
              </w:rPr>
              <w:t>de</w:t>
            </w:r>
            <w:r>
              <w:rPr>
                <w:spacing w:val="-1"/>
                <w:sz w:val="22"/>
              </w:rPr>
              <w:t> </w:t>
            </w:r>
            <w:r>
              <w:rPr>
                <w:sz w:val="22"/>
              </w:rPr>
              <w:t>la existencia de espacios dentro de estos proyectos en donde, sí se presenta una ocupación de estas características, normalmente en las zonas donde no es posible o autorizada por los entes reguladores de</w:t>
            </w:r>
            <w:r>
              <w:rPr>
                <w:spacing w:val="-3"/>
                <w:sz w:val="22"/>
              </w:rPr>
              <w:t> </w:t>
            </w:r>
            <w:r>
              <w:rPr>
                <w:sz w:val="22"/>
              </w:rPr>
              <w:t>la</w:t>
            </w:r>
            <w:r>
              <w:rPr>
                <w:spacing w:val="-3"/>
                <w:sz w:val="22"/>
              </w:rPr>
              <w:t> </w:t>
            </w:r>
            <w:r>
              <w:rPr>
                <w:sz w:val="22"/>
              </w:rPr>
              <w:t>materia urbana,</w:t>
            </w:r>
            <w:r>
              <w:rPr>
                <w:spacing w:val="-1"/>
                <w:sz w:val="22"/>
              </w:rPr>
              <w:t> </w:t>
            </w:r>
            <w:r>
              <w:rPr>
                <w:sz w:val="22"/>
              </w:rPr>
              <w:t>como</w:t>
            </w:r>
            <w:r>
              <w:rPr>
                <w:spacing w:val="-3"/>
                <w:sz w:val="22"/>
              </w:rPr>
              <w:t> </w:t>
            </w:r>
            <w:r>
              <w:rPr>
                <w:sz w:val="22"/>
              </w:rPr>
              <w:t>zonas de</w:t>
            </w:r>
            <w:r>
              <w:rPr>
                <w:spacing w:val="-3"/>
                <w:sz w:val="22"/>
              </w:rPr>
              <w:t> </w:t>
            </w:r>
            <w:r>
              <w:rPr>
                <w:sz w:val="22"/>
              </w:rPr>
              <w:t>protección</w:t>
            </w:r>
            <w:r>
              <w:rPr>
                <w:spacing w:val="-1"/>
                <w:sz w:val="22"/>
              </w:rPr>
              <w:t> </w:t>
            </w:r>
            <w:r>
              <w:rPr>
                <w:sz w:val="22"/>
              </w:rPr>
              <w:t>de</w:t>
            </w:r>
            <w:r>
              <w:rPr>
                <w:spacing w:val="-3"/>
                <w:sz w:val="22"/>
              </w:rPr>
              <w:t> </w:t>
            </w:r>
            <w:r>
              <w:rPr>
                <w:sz w:val="22"/>
              </w:rPr>
              <w:t>ríos y</w:t>
            </w:r>
            <w:r>
              <w:rPr>
                <w:spacing w:val="-2"/>
                <w:sz w:val="22"/>
              </w:rPr>
              <w:t> </w:t>
            </w:r>
            <w:r>
              <w:rPr>
                <w:sz w:val="22"/>
              </w:rPr>
              <w:t>quebradas,</w:t>
            </w:r>
            <w:r>
              <w:rPr>
                <w:spacing w:val="-1"/>
                <w:sz w:val="22"/>
              </w:rPr>
              <w:t> </w:t>
            </w:r>
            <w:r>
              <w:rPr>
                <w:sz w:val="22"/>
              </w:rPr>
              <w:t>terrenos con</w:t>
            </w:r>
            <w:r>
              <w:rPr>
                <w:spacing w:val="-1"/>
                <w:sz w:val="22"/>
              </w:rPr>
              <w:t> </w:t>
            </w:r>
            <w:r>
              <w:rPr>
                <w:sz w:val="22"/>
              </w:rPr>
              <w:t>destino</w:t>
            </w:r>
            <w:r>
              <w:rPr>
                <w:spacing w:val="-1"/>
                <w:sz w:val="22"/>
              </w:rPr>
              <w:t> </w:t>
            </w:r>
            <w:r>
              <w:rPr>
                <w:sz w:val="22"/>
              </w:rPr>
              <w:t>específico, entre otros.</w:t>
            </w:r>
          </w:p>
          <w:p>
            <w:pPr>
              <w:pStyle w:val="TableParagraph"/>
              <w:spacing w:before="17"/>
              <w:rPr>
                <w:sz w:val="22"/>
              </w:rPr>
            </w:pPr>
          </w:p>
          <w:p>
            <w:pPr>
              <w:pStyle w:val="TableParagraph"/>
              <w:spacing w:line="259" w:lineRule="auto"/>
              <w:ind w:left="107" w:right="100"/>
              <w:jc w:val="both"/>
              <w:rPr>
                <w:sz w:val="22"/>
              </w:rPr>
            </w:pPr>
            <w:r>
              <w:rPr>
                <w:sz w:val="22"/>
              </w:rPr>
              <w:t>Tampoco se</w:t>
            </w:r>
            <w:r>
              <w:rPr>
                <w:spacing w:val="-1"/>
                <w:sz w:val="22"/>
              </w:rPr>
              <w:t> </w:t>
            </w:r>
            <w:r>
              <w:rPr>
                <w:sz w:val="22"/>
              </w:rPr>
              <w:t>conoce</w:t>
            </w:r>
            <w:r>
              <w:rPr>
                <w:spacing w:val="-2"/>
                <w:sz w:val="22"/>
              </w:rPr>
              <w:t> </w:t>
            </w:r>
            <w:r>
              <w:rPr>
                <w:sz w:val="22"/>
              </w:rPr>
              <w:t>de</w:t>
            </w:r>
            <w:r>
              <w:rPr>
                <w:spacing w:val="-2"/>
                <w:sz w:val="22"/>
              </w:rPr>
              <w:t> </w:t>
            </w:r>
            <w:r>
              <w:rPr>
                <w:sz w:val="22"/>
              </w:rPr>
              <w:t>procesos de</w:t>
            </w:r>
            <w:r>
              <w:rPr>
                <w:spacing w:val="-2"/>
                <w:sz w:val="22"/>
              </w:rPr>
              <w:t> </w:t>
            </w:r>
            <w:r>
              <w:rPr>
                <w:sz w:val="22"/>
              </w:rPr>
              <w:t>reclamación de</w:t>
            </w:r>
            <w:r>
              <w:rPr>
                <w:spacing w:val="-2"/>
                <w:sz w:val="22"/>
              </w:rPr>
              <w:t> </w:t>
            </w:r>
            <w:r>
              <w:rPr>
                <w:sz w:val="22"/>
              </w:rPr>
              <w:t>tierras a</w:t>
            </w:r>
            <w:r>
              <w:rPr>
                <w:spacing w:val="-1"/>
                <w:sz w:val="22"/>
              </w:rPr>
              <w:t> </w:t>
            </w:r>
            <w:r>
              <w:rPr>
                <w:sz w:val="22"/>
              </w:rPr>
              <w:t>nivel</w:t>
            </w:r>
            <w:r>
              <w:rPr>
                <w:spacing w:val="-1"/>
                <w:sz w:val="22"/>
              </w:rPr>
              <w:t> </w:t>
            </w:r>
            <w:r>
              <w:rPr>
                <w:sz w:val="22"/>
              </w:rPr>
              <w:t>jurídico, en el</w:t>
            </w:r>
            <w:r>
              <w:rPr>
                <w:spacing w:val="-1"/>
                <w:sz w:val="22"/>
              </w:rPr>
              <w:t> </w:t>
            </w:r>
            <w:r>
              <w:rPr>
                <w:sz w:val="22"/>
              </w:rPr>
              <w:t>entendido de</w:t>
            </w:r>
            <w:r>
              <w:rPr>
                <w:spacing w:val="-2"/>
                <w:sz w:val="22"/>
              </w:rPr>
              <w:t> </w:t>
            </w:r>
            <w:r>
              <w:rPr>
                <w:sz w:val="22"/>
              </w:rPr>
              <w:t>que</w:t>
            </w:r>
            <w:r>
              <w:rPr>
                <w:spacing w:val="-1"/>
                <w:sz w:val="22"/>
              </w:rPr>
              <w:t> </w:t>
            </w:r>
            <w:r>
              <w:rPr>
                <w:sz w:val="22"/>
              </w:rPr>
              <w:t>la ocupación “precarista” carece de sustento legal para su reclamación.</w:t>
            </w:r>
          </w:p>
          <w:p>
            <w:pPr>
              <w:pStyle w:val="TableParagraph"/>
              <w:spacing w:before="21"/>
              <w:rPr>
                <w:sz w:val="22"/>
              </w:rPr>
            </w:pPr>
          </w:p>
          <w:p>
            <w:pPr>
              <w:pStyle w:val="TableParagraph"/>
              <w:ind w:left="107"/>
              <w:jc w:val="both"/>
              <w:rPr>
                <w:sz w:val="22"/>
              </w:rPr>
            </w:pPr>
            <w:r>
              <w:rPr>
                <w:sz w:val="22"/>
              </w:rPr>
              <w:t>A</w:t>
            </w:r>
            <w:r>
              <w:rPr>
                <w:spacing w:val="-1"/>
                <w:sz w:val="22"/>
              </w:rPr>
              <w:t> </w:t>
            </w:r>
            <w:r>
              <w:rPr>
                <w:sz w:val="22"/>
              </w:rPr>
              <w:t>la fecha que se informa</w:t>
            </w:r>
            <w:r>
              <w:rPr>
                <w:spacing w:val="1"/>
                <w:sz w:val="22"/>
              </w:rPr>
              <w:t> </w:t>
            </w:r>
            <w:r>
              <w:rPr>
                <w:sz w:val="22"/>
              </w:rPr>
              <w:t>no</w:t>
            </w:r>
            <w:r>
              <w:rPr>
                <w:spacing w:val="2"/>
                <w:sz w:val="22"/>
              </w:rPr>
              <w:t> </w:t>
            </w:r>
            <w:r>
              <w:rPr>
                <w:sz w:val="22"/>
              </w:rPr>
              <w:t>existen</w:t>
            </w:r>
            <w:r>
              <w:rPr>
                <w:spacing w:val="1"/>
                <w:sz w:val="22"/>
              </w:rPr>
              <w:t> </w:t>
            </w:r>
            <w:r>
              <w:rPr>
                <w:sz w:val="22"/>
              </w:rPr>
              <w:t>importes</w:t>
            </w:r>
            <w:r>
              <w:rPr>
                <w:spacing w:val="2"/>
                <w:sz w:val="22"/>
              </w:rPr>
              <w:t> </w:t>
            </w:r>
            <w:r>
              <w:rPr>
                <w:sz w:val="22"/>
              </w:rPr>
              <w:t>de las</w:t>
            </w:r>
            <w:r>
              <w:rPr>
                <w:spacing w:val="2"/>
                <w:sz w:val="22"/>
              </w:rPr>
              <w:t> </w:t>
            </w:r>
            <w:r>
              <w:rPr>
                <w:sz w:val="22"/>
              </w:rPr>
              <w:t>compensaciones</w:t>
            </w:r>
            <w:r>
              <w:rPr>
                <w:spacing w:val="2"/>
                <w:sz w:val="22"/>
              </w:rPr>
              <w:t> </w:t>
            </w:r>
            <w:r>
              <w:rPr>
                <w:sz w:val="22"/>
              </w:rPr>
              <w:t>de terceros</w:t>
            </w:r>
            <w:r>
              <w:rPr>
                <w:spacing w:val="2"/>
                <w:sz w:val="22"/>
              </w:rPr>
              <w:t> </w:t>
            </w:r>
            <w:r>
              <w:rPr>
                <w:sz w:val="22"/>
              </w:rPr>
              <w:t>que se incluyen</w:t>
            </w:r>
            <w:r>
              <w:rPr>
                <w:spacing w:val="1"/>
                <w:sz w:val="22"/>
              </w:rPr>
              <w:t> </w:t>
            </w:r>
            <w:r>
              <w:rPr>
                <w:spacing w:val="-5"/>
                <w:sz w:val="22"/>
              </w:rPr>
              <w:t>en</w:t>
            </w:r>
          </w:p>
          <w:p>
            <w:pPr>
              <w:pStyle w:val="TableParagraph"/>
              <w:spacing w:line="270" w:lineRule="atLeast"/>
              <w:ind w:left="107" w:right="95"/>
              <w:jc w:val="both"/>
              <w:rPr>
                <w:sz w:val="22"/>
              </w:rPr>
            </w:pPr>
            <w:r>
              <w:rPr>
                <w:sz w:val="22"/>
              </w:rPr>
              <w:t>el</w:t>
            </w:r>
            <w:r>
              <w:rPr>
                <w:spacing w:val="-13"/>
                <w:sz w:val="22"/>
              </w:rPr>
              <w:t> </w:t>
            </w:r>
            <w:r>
              <w:rPr>
                <w:sz w:val="22"/>
              </w:rPr>
              <w:t>resultado</w:t>
            </w:r>
            <w:r>
              <w:rPr>
                <w:spacing w:val="-11"/>
                <w:sz w:val="22"/>
              </w:rPr>
              <w:t> </w:t>
            </w:r>
            <w:r>
              <w:rPr>
                <w:sz w:val="22"/>
              </w:rPr>
              <w:t>(ahorro</w:t>
            </w:r>
            <w:r>
              <w:rPr>
                <w:spacing w:val="-13"/>
                <w:sz w:val="22"/>
              </w:rPr>
              <w:t> </w:t>
            </w:r>
            <w:r>
              <w:rPr>
                <w:sz w:val="22"/>
              </w:rPr>
              <w:t>o</w:t>
            </w:r>
            <w:r>
              <w:rPr>
                <w:spacing w:val="-11"/>
                <w:sz w:val="22"/>
              </w:rPr>
              <w:t> </w:t>
            </w:r>
            <w:r>
              <w:rPr>
                <w:sz w:val="22"/>
              </w:rPr>
              <w:t>desahorro)</w:t>
            </w:r>
            <w:r>
              <w:rPr>
                <w:spacing w:val="-14"/>
                <w:sz w:val="22"/>
              </w:rPr>
              <w:t> </w:t>
            </w:r>
            <w:r>
              <w:rPr>
                <w:sz w:val="22"/>
              </w:rPr>
              <w:t>por</w:t>
            </w:r>
            <w:r>
              <w:rPr>
                <w:spacing w:val="-14"/>
                <w:sz w:val="22"/>
              </w:rPr>
              <w:t> </w:t>
            </w:r>
            <w:r>
              <w:rPr>
                <w:sz w:val="22"/>
              </w:rPr>
              <w:t>elementos</w:t>
            </w:r>
            <w:r>
              <w:rPr>
                <w:spacing w:val="-11"/>
                <w:sz w:val="22"/>
              </w:rPr>
              <w:t> </w:t>
            </w:r>
            <w:r>
              <w:rPr>
                <w:sz w:val="22"/>
              </w:rPr>
              <w:t>de</w:t>
            </w:r>
            <w:r>
              <w:rPr>
                <w:spacing w:val="-13"/>
                <w:sz w:val="22"/>
              </w:rPr>
              <w:t> </w:t>
            </w:r>
            <w:r>
              <w:rPr>
                <w:sz w:val="22"/>
              </w:rPr>
              <w:t>propiedades,</w:t>
            </w:r>
            <w:r>
              <w:rPr>
                <w:spacing w:val="-12"/>
                <w:sz w:val="22"/>
              </w:rPr>
              <w:t> </w:t>
            </w:r>
            <w:r>
              <w:rPr>
                <w:sz w:val="22"/>
              </w:rPr>
              <w:t>planta</w:t>
            </w:r>
            <w:r>
              <w:rPr>
                <w:spacing w:val="-12"/>
                <w:sz w:val="22"/>
              </w:rPr>
              <w:t> </w:t>
            </w:r>
            <w:r>
              <w:rPr>
                <w:sz w:val="22"/>
              </w:rPr>
              <w:t>y</w:t>
            </w:r>
            <w:r>
              <w:rPr>
                <w:spacing w:val="-13"/>
                <w:sz w:val="22"/>
              </w:rPr>
              <w:t> </w:t>
            </w:r>
            <w:r>
              <w:rPr>
                <w:sz w:val="22"/>
              </w:rPr>
              <w:t>equipo</w:t>
            </w:r>
            <w:r>
              <w:rPr>
                <w:spacing w:val="-11"/>
                <w:sz w:val="22"/>
              </w:rPr>
              <w:t> </w:t>
            </w:r>
            <w:r>
              <w:rPr>
                <w:sz w:val="22"/>
              </w:rPr>
              <w:t>cuyo</w:t>
            </w:r>
            <w:r>
              <w:rPr>
                <w:spacing w:val="-11"/>
                <w:sz w:val="22"/>
              </w:rPr>
              <w:t> </w:t>
            </w:r>
            <w:r>
              <w:rPr>
                <w:sz w:val="22"/>
              </w:rPr>
              <w:t>valor</w:t>
            </w:r>
            <w:r>
              <w:rPr>
                <w:spacing w:val="-14"/>
                <w:sz w:val="22"/>
              </w:rPr>
              <w:t> </w:t>
            </w:r>
            <w:r>
              <w:rPr>
                <w:sz w:val="22"/>
              </w:rPr>
              <w:t>se</w:t>
            </w:r>
            <w:r>
              <w:rPr>
                <w:spacing w:val="-13"/>
                <w:sz w:val="22"/>
              </w:rPr>
              <w:t> </w:t>
            </w:r>
            <w:r>
              <w:rPr>
                <w:sz w:val="22"/>
              </w:rPr>
              <w:t>hubiera deteriorado, se hubieran perdido o se hubieran retirado.</w:t>
            </w:r>
          </w:p>
        </w:tc>
      </w:tr>
    </w:tbl>
    <w:p>
      <w:pPr>
        <w:pStyle w:val="BodyText"/>
        <w:spacing w:before="25"/>
        <w:rPr>
          <w:sz w:val="20"/>
        </w:rPr>
      </w:pPr>
    </w:p>
    <w:p>
      <w:pPr>
        <w:pStyle w:val="ListParagraph"/>
        <w:numPr>
          <w:ilvl w:val="0"/>
          <w:numId w:val="80"/>
        </w:numPr>
        <w:tabs>
          <w:tab w:pos="1339" w:val="left" w:leader="none"/>
        </w:tabs>
        <w:spacing w:line="240" w:lineRule="auto" w:before="0" w:after="0"/>
        <w:ind w:left="1339" w:right="0" w:hanging="358"/>
        <w:jc w:val="left"/>
        <w:rPr>
          <w:sz w:val="22"/>
        </w:rPr>
      </w:pPr>
      <w:r>
        <w:rPr>
          <w:sz w:val="22"/>
          <w:u w:val="single"/>
        </w:rPr>
        <w:t>Otra</w:t>
      </w:r>
      <w:r>
        <w:rPr>
          <w:spacing w:val="-5"/>
          <w:sz w:val="22"/>
          <w:u w:val="single"/>
        </w:rPr>
        <w:t> </w:t>
      </w:r>
      <w:r>
        <w:rPr>
          <w:sz w:val="22"/>
          <w:u w:val="single"/>
        </w:rPr>
        <w:t>información</w:t>
      </w:r>
      <w:r>
        <w:rPr>
          <w:spacing w:val="-4"/>
          <w:sz w:val="22"/>
          <w:u w:val="single"/>
        </w:rPr>
        <w:t> </w:t>
      </w:r>
      <w:r>
        <w:rPr>
          <w:sz w:val="22"/>
          <w:u w:val="single"/>
        </w:rPr>
        <w:t>por</w:t>
      </w:r>
      <w:r>
        <w:rPr>
          <w:spacing w:val="-4"/>
          <w:sz w:val="22"/>
          <w:u w:val="single"/>
        </w:rPr>
        <w:t> </w:t>
      </w:r>
      <w:r>
        <w:rPr>
          <w:spacing w:val="-2"/>
          <w:sz w:val="22"/>
          <w:u w:val="single"/>
        </w:rPr>
        <w:t>revelar</w:t>
      </w:r>
    </w:p>
    <w:p>
      <w:pPr>
        <w:pStyle w:val="BodyText"/>
        <w:spacing w:before="31"/>
        <w:rPr>
          <w:sz w:val="20"/>
        </w:rPr>
      </w:pPr>
      <w:r>
        <w:rPr>
          <w:sz w:val="20"/>
        </w:rPr>
        <mc:AlternateContent>
          <mc:Choice Requires="wps">
            <w:drawing>
              <wp:anchor distT="0" distB="0" distL="0" distR="0" allowOverlap="1" layoutInCell="1" locked="0" behindDoc="1" simplePos="0" relativeHeight="487782912">
                <wp:simplePos x="0" y="0"/>
                <wp:positionH relativeFrom="page">
                  <wp:posOffset>1080820</wp:posOffset>
                </wp:positionH>
                <wp:positionV relativeFrom="paragraph">
                  <wp:posOffset>183348</wp:posOffset>
                </wp:positionV>
                <wp:extent cx="5715000" cy="1543050"/>
                <wp:effectExtent l="0" t="0" r="0" b="0"/>
                <wp:wrapTopAndBottom/>
                <wp:docPr id="999" name="Textbox 999"/>
                <wp:cNvGraphicFramePr>
                  <a:graphicFrameLocks/>
                </wp:cNvGraphicFramePr>
                <a:graphic>
                  <a:graphicData uri="http://schemas.microsoft.com/office/word/2010/wordprocessingShape">
                    <wps:wsp>
                      <wps:cNvPr id="999" name="Textbox 999"/>
                      <wps:cNvSpPr txBox="1"/>
                      <wps:spPr>
                        <a:xfrm>
                          <a:off x="0" y="0"/>
                          <a:ext cx="5715000" cy="154305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No</w:t>
                            </w:r>
                            <w:r>
                              <w:rPr>
                                <w:spacing w:val="-3"/>
                              </w:rPr>
                              <w:t> </w:t>
                            </w:r>
                            <w:r>
                              <w:rPr/>
                              <w:t>se</w:t>
                            </w:r>
                            <w:r>
                              <w:rPr>
                                <w:spacing w:val="-2"/>
                              </w:rPr>
                              <w:t> </w:t>
                            </w:r>
                            <w:r>
                              <w:rPr/>
                              <w:t>ha</w:t>
                            </w:r>
                            <w:r>
                              <w:rPr>
                                <w:spacing w:val="-3"/>
                              </w:rPr>
                              <w:t> </w:t>
                            </w:r>
                            <w:r>
                              <w:rPr/>
                              <w:t>realizado</w:t>
                            </w:r>
                            <w:r>
                              <w:rPr>
                                <w:spacing w:val="-2"/>
                              </w:rPr>
                              <w:t> revaluación.</w:t>
                            </w:r>
                          </w:p>
                          <w:p>
                            <w:pPr>
                              <w:pStyle w:val="BodyText"/>
                              <w:spacing w:before="160"/>
                              <w:ind w:left="103" w:right="100"/>
                              <w:jc w:val="both"/>
                              <w:rPr>
                                <w:b/>
                              </w:rPr>
                            </w:pPr>
                            <w:r>
                              <w:rPr/>
                              <w:t>El importe en libros de los elementos planta y equipo que, estando totalmente depreciados, se encuentran</w:t>
                            </w:r>
                            <w:r>
                              <w:rPr>
                                <w:spacing w:val="-7"/>
                              </w:rPr>
                              <w:t> </w:t>
                            </w:r>
                            <w:r>
                              <w:rPr/>
                              <w:t>en</w:t>
                            </w:r>
                            <w:r>
                              <w:rPr>
                                <w:spacing w:val="-7"/>
                              </w:rPr>
                              <w:t> </w:t>
                            </w:r>
                            <w:r>
                              <w:rPr/>
                              <w:t>uso,</w:t>
                            </w:r>
                            <w:r>
                              <w:rPr>
                                <w:spacing w:val="-7"/>
                              </w:rPr>
                              <w:t> </w:t>
                            </w:r>
                            <w:r>
                              <w:rPr/>
                              <w:t>aproximadamente</w:t>
                            </w:r>
                            <w:r>
                              <w:rPr>
                                <w:spacing w:val="-8"/>
                              </w:rPr>
                              <w:t> </w:t>
                            </w:r>
                            <w:r>
                              <w:rPr/>
                              <w:t>3.700</w:t>
                            </w:r>
                            <w:r>
                              <w:rPr>
                                <w:spacing w:val="-7"/>
                              </w:rPr>
                              <w:t> </w:t>
                            </w:r>
                            <w:r>
                              <w:rPr/>
                              <w:t>ascienden</w:t>
                            </w:r>
                            <w:r>
                              <w:rPr>
                                <w:spacing w:val="-7"/>
                              </w:rPr>
                              <w:t> </w:t>
                            </w:r>
                            <w:r>
                              <w:rPr/>
                              <w:t>a</w:t>
                            </w:r>
                            <w:r>
                              <w:rPr>
                                <w:spacing w:val="-6"/>
                              </w:rPr>
                              <w:t> </w:t>
                            </w:r>
                            <w:r>
                              <w:rPr/>
                              <w:t>un</w:t>
                            </w:r>
                            <w:r>
                              <w:rPr>
                                <w:spacing w:val="-7"/>
                              </w:rPr>
                              <w:t> </w:t>
                            </w:r>
                            <w:r>
                              <w:rPr/>
                              <w:t>monto</w:t>
                            </w:r>
                            <w:r>
                              <w:rPr>
                                <w:spacing w:val="-6"/>
                              </w:rPr>
                              <w:t> </w:t>
                            </w:r>
                            <w:r>
                              <w:rPr/>
                              <w:t>de</w:t>
                            </w:r>
                            <w:r>
                              <w:rPr>
                                <w:spacing w:val="-9"/>
                              </w:rPr>
                              <w:t> </w:t>
                            </w:r>
                            <w:r>
                              <w:rPr/>
                              <w:t>¢</w:t>
                            </w:r>
                            <w:r>
                              <w:rPr>
                                <w:spacing w:val="-6"/>
                              </w:rPr>
                              <w:t> </w:t>
                            </w:r>
                            <w:r>
                              <w:rPr/>
                              <w:t>1.656.500,27</w:t>
                            </w:r>
                            <w:r>
                              <w:rPr>
                                <w:spacing w:val="-7"/>
                              </w:rPr>
                              <w:t> </w:t>
                            </w:r>
                            <w:r>
                              <w:rPr/>
                              <w:t>al</w:t>
                            </w:r>
                            <w:r>
                              <w:rPr>
                                <w:spacing w:val="-8"/>
                              </w:rPr>
                              <w:t> </w:t>
                            </w:r>
                            <w:r>
                              <w:rPr/>
                              <w:t>valor</w:t>
                            </w:r>
                            <w:r>
                              <w:rPr>
                                <w:spacing w:val="-7"/>
                              </w:rPr>
                              <w:t> </w:t>
                            </w:r>
                            <w:r>
                              <w:rPr/>
                              <w:t>residual de los mismos, se muestran en el </w:t>
                            </w:r>
                            <w:r>
                              <w:rPr>
                                <w:b/>
                              </w:rPr>
                              <w:t>Anexo No.9</w:t>
                            </w:r>
                          </w:p>
                          <w:p>
                            <w:pPr>
                              <w:pStyle w:val="BodyText"/>
                              <w:spacing w:before="160"/>
                              <w:ind w:left="103" w:right="103"/>
                              <w:jc w:val="both"/>
                            </w:pPr>
                            <w:r>
                              <w:rPr/>
                              <w:t>Al</w:t>
                            </w:r>
                            <w:r>
                              <w:rPr>
                                <w:spacing w:val="-1"/>
                              </w:rPr>
                              <w:t> </w:t>
                            </w:r>
                            <w:r>
                              <w:rPr/>
                              <w:t>31</w:t>
                            </w:r>
                            <w:r>
                              <w:rPr>
                                <w:spacing w:val="-1"/>
                              </w:rPr>
                              <w:t> </w:t>
                            </w:r>
                            <w:r>
                              <w:rPr/>
                              <w:t>de</w:t>
                            </w:r>
                            <w:r>
                              <w:rPr>
                                <w:spacing w:val="-3"/>
                              </w:rPr>
                              <w:t> </w:t>
                            </w:r>
                            <w:r>
                              <w:rPr/>
                              <w:t>julio</w:t>
                            </w:r>
                            <w:r>
                              <w:rPr>
                                <w:spacing w:val="-3"/>
                              </w:rPr>
                              <w:t> </w:t>
                            </w:r>
                            <w:r>
                              <w:rPr/>
                              <w:t>2026</w:t>
                            </w:r>
                            <w:r>
                              <w:rPr>
                                <w:spacing w:val="-1"/>
                              </w:rPr>
                              <w:t> </w:t>
                            </w:r>
                            <w:r>
                              <w:rPr/>
                              <w:t>no existe</w:t>
                            </w:r>
                            <w:r>
                              <w:rPr>
                                <w:spacing w:val="-2"/>
                              </w:rPr>
                              <w:t> </w:t>
                            </w:r>
                            <w:r>
                              <w:rPr/>
                              <w:t>algún</w:t>
                            </w:r>
                            <w:r>
                              <w:rPr>
                                <w:spacing w:val="-1"/>
                              </w:rPr>
                              <w:t> </w:t>
                            </w:r>
                            <w:r>
                              <w:rPr/>
                              <w:t>importe</w:t>
                            </w:r>
                            <w:r>
                              <w:rPr>
                                <w:spacing w:val="-5"/>
                              </w:rPr>
                              <w:t> </w:t>
                            </w:r>
                            <w:r>
                              <w:rPr/>
                              <w:t>en</w:t>
                            </w:r>
                            <w:r>
                              <w:rPr>
                                <w:spacing w:val="-1"/>
                              </w:rPr>
                              <w:t> </w:t>
                            </w:r>
                            <w:r>
                              <w:rPr/>
                              <w:t>libros</w:t>
                            </w:r>
                            <w:r>
                              <w:rPr>
                                <w:spacing w:val="-2"/>
                              </w:rPr>
                              <w:t> </w:t>
                            </w:r>
                            <w:r>
                              <w:rPr/>
                              <w:t>de</w:t>
                            </w:r>
                            <w:r>
                              <w:rPr>
                                <w:spacing w:val="-3"/>
                              </w:rPr>
                              <w:t> </w:t>
                            </w:r>
                            <w:r>
                              <w:rPr/>
                              <w:t>los</w:t>
                            </w:r>
                            <w:r>
                              <w:rPr>
                                <w:spacing w:val="-2"/>
                              </w:rPr>
                              <w:t> </w:t>
                            </w:r>
                            <w:r>
                              <w:rPr/>
                              <w:t>elementos</w:t>
                            </w:r>
                            <w:r>
                              <w:rPr>
                                <w:spacing w:val="-2"/>
                              </w:rPr>
                              <w:t> </w:t>
                            </w:r>
                            <w:r>
                              <w:rPr/>
                              <w:t>componentes de</w:t>
                            </w:r>
                            <w:r>
                              <w:rPr>
                                <w:spacing w:val="-3"/>
                              </w:rPr>
                              <w:t> </w:t>
                            </w:r>
                            <w:r>
                              <w:rPr/>
                              <w:t>propiedades, planta y equipo que, retirados de su uso activo, se mantengan para disponer de ellos.</w:t>
                            </w:r>
                          </w:p>
                        </w:txbxContent>
                      </wps:txbx>
                      <wps:bodyPr wrap="square" lIns="0" tIns="0" rIns="0" bIns="0" rtlCol="0">
                        <a:noAutofit/>
                      </wps:bodyPr>
                    </wps:wsp>
                  </a:graphicData>
                </a:graphic>
              </wp:anchor>
            </w:drawing>
          </mc:Choice>
          <mc:Fallback>
            <w:pict>
              <v:shape style="position:absolute;margin-left:85.103996pt;margin-top:14.436885pt;width:450pt;height:121.5pt;mso-position-horizontal-relative:page;mso-position-vertical-relative:paragraph;z-index:-15533568;mso-wrap-distance-left:0;mso-wrap-distance-right:0" type="#_x0000_t202" id="docshape946"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No</w:t>
                      </w:r>
                      <w:r>
                        <w:rPr>
                          <w:spacing w:val="-3"/>
                        </w:rPr>
                        <w:t> </w:t>
                      </w:r>
                      <w:r>
                        <w:rPr/>
                        <w:t>se</w:t>
                      </w:r>
                      <w:r>
                        <w:rPr>
                          <w:spacing w:val="-2"/>
                        </w:rPr>
                        <w:t> </w:t>
                      </w:r>
                      <w:r>
                        <w:rPr/>
                        <w:t>ha</w:t>
                      </w:r>
                      <w:r>
                        <w:rPr>
                          <w:spacing w:val="-3"/>
                        </w:rPr>
                        <w:t> </w:t>
                      </w:r>
                      <w:r>
                        <w:rPr/>
                        <w:t>realizado</w:t>
                      </w:r>
                      <w:r>
                        <w:rPr>
                          <w:spacing w:val="-2"/>
                        </w:rPr>
                        <w:t> revaluación.</w:t>
                      </w:r>
                    </w:p>
                    <w:p>
                      <w:pPr>
                        <w:pStyle w:val="BodyText"/>
                        <w:spacing w:before="160"/>
                        <w:ind w:left="103" w:right="100"/>
                        <w:jc w:val="both"/>
                        <w:rPr>
                          <w:b/>
                        </w:rPr>
                      </w:pPr>
                      <w:r>
                        <w:rPr/>
                        <w:t>El importe en libros de los elementos planta y equipo que, estando totalmente depreciados, se encuentran</w:t>
                      </w:r>
                      <w:r>
                        <w:rPr>
                          <w:spacing w:val="-7"/>
                        </w:rPr>
                        <w:t> </w:t>
                      </w:r>
                      <w:r>
                        <w:rPr/>
                        <w:t>en</w:t>
                      </w:r>
                      <w:r>
                        <w:rPr>
                          <w:spacing w:val="-7"/>
                        </w:rPr>
                        <w:t> </w:t>
                      </w:r>
                      <w:r>
                        <w:rPr/>
                        <w:t>uso,</w:t>
                      </w:r>
                      <w:r>
                        <w:rPr>
                          <w:spacing w:val="-7"/>
                        </w:rPr>
                        <w:t> </w:t>
                      </w:r>
                      <w:r>
                        <w:rPr/>
                        <w:t>aproximadamente</w:t>
                      </w:r>
                      <w:r>
                        <w:rPr>
                          <w:spacing w:val="-8"/>
                        </w:rPr>
                        <w:t> </w:t>
                      </w:r>
                      <w:r>
                        <w:rPr/>
                        <w:t>3.700</w:t>
                      </w:r>
                      <w:r>
                        <w:rPr>
                          <w:spacing w:val="-7"/>
                        </w:rPr>
                        <w:t> </w:t>
                      </w:r>
                      <w:r>
                        <w:rPr/>
                        <w:t>ascienden</w:t>
                      </w:r>
                      <w:r>
                        <w:rPr>
                          <w:spacing w:val="-7"/>
                        </w:rPr>
                        <w:t> </w:t>
                      </w:r>
                      <w:r>
                        <w:rPr/>
                        <w:t>a</w:t>
                      </w:r>
                      <w:r>
                        <w:rPr>
                          <w:spacing w:val="-6"/>
                        </w:rPr>
                        <w:t> </w:t>
                      </w:r>
                      <w:r>
                        <w:rPr/>
                        <w:t>un</w:t>
                      </w:r>
                      <w:r>
                        <w:rPr>
                          <w:spacing w:val="-7"/>
                        </w:rPr>
                        <w:t> </w:t>
                      </w:r>
                      <w:r>
                        <w:rPr/>
                        <w:t>monto</w:t>
                      </w:r>
                      <w:r>
                        <w:rPr>
                          <w:spacing w:val="-6"/>
                        </w:rPr>
                        <w:t> </w:t>
                      </w:r>
                      <w:r>
                        <w:rPr/>
                        <w:t>de</w:t>
                      </w:r>
                      <w:r>
                        <w:rPr>
                          <w:spacing w:val="-9"/>
                        </w:rPr>
                        <w:t> </w:t>
                      </w:r>
                      <w:r>
                        <w:rPr/>
                        <w:t>¢</w:t>
                      </w:r>
                      <w:r>
                        <w:rPr>
                          <w:spacing w:val="-6"/>
                        </w:rPr>
                        <w:t> </w:t>
                      </w:r>
                      <w:r>
                        <w:rPr/>
                        <w:t>1.656.500,27</w:t>
                      </w:r>
                      <w:r>
                        <w:rPr>
                          <w:spacing w:val="-7"/>
                        </w:rPr>
                        <w:t> </w:t>
                      </w:r>
                      <w:r>
                        <w:rPr/>
                        <w:t>al</w:t>
                      </w:r>
                      <w:r>
                        <w:rPr>
                          <w:spacing w:val="-8"/>
                        </w:rPr>
                        <w:t> </w:t>
                      </w:r>
                      <w:r>
                        <w:rPr/>
                        <w:t>valor</w:t>
                      </w:r>
                      <w:r>
                        <w:rPr>
                          <w:spacing w:val="-7"/>
                        </w:rPr>
                        <w:t> </w:t>
                      </w:r>
                      <w:r>
                        <w:rPr/>
                        <w:t>residual de los mismos, se muestran en el </w:t>
                      </w:r>
                      <w:r>
                        <w:rPr>
                          <w:b/>
                        </w:rPr>
                        <w:t>Anexo No.9</w:t>
                      </w:r>
                    </w:p>
                    <w:p>
                      <w:pPr>
                        <w:pStyle w:val="BodyText"/>
                        <w:spacing w:before="160"/>
                        <w:ind w:left="103" w:right="103"/>
                        <w:jc w:val="both"/>
                      </w:pPr>
                      <w:r>
                        <w:rPr/>
                        <w:t>Al</w:t>
                      </w:r>
                      <w:r>
                        <w:rPr>
                          <w:spacing w:val="-1"/>
                        </w:rPr>
                        <w:t> </w:t>
                      </w:r>
                      <w:r>
                        <w:rPr/>
                        <w:t>31</w:t>
                      </w:r>
                      <w:r>
                        <w:rPr>
                          <w:spacing w:val="-1"/>
                        </w:rPr>
                        <w:t> </w:t>
                      </w:r>
                      <w:r>
                        <w:rPr/>
                        <w:t>de</w:t>
                      </w:r>
                      <w:r>
                        <w:rPr>
                          <w:spacing w:val="-3"/>
                        </w:rPr>
                        <w:t> </w:t>
                      </w:r>
                      <w:r>
                        <w:rPr/>
                        <w:t>julio</w:t>
                      </w:r>
                      <w:r>
                        <w:rPr>
                          <w:spacing w:val="-3"/>
                        </w:rPr>
                        <w:t> </w:t>
                      </w:r>
                      <w:r>
                        <w:rPr/>
                        <w:t>2026</w:t>
                      </w:r>
                      <w:r>
                        <w:rPr>
                          <w:spacing w:val="-1"/>
                        </w:rPr>
                        <w:t> </w:t>
                      </w:r>
                      <w:r>
                        <w:rPr/>
                        <w:t>no existe</w:t>
                      </w:r>
                      <w:r>
                        <w:rPr>
                          <w:spacing w:val="-2"/>
                        </w:rPr>
                        <w:t> </w:t>
                      </w:r>
                      <w:r>
                        <w:rPr/>
                        <w:t>algún</w:t>
                      </w:r>
                      <w:r>
                        <w:rPr>
                          <w:spacing w:val="-1"/>
                        </w:rPr>
                        <w:t> </w:t>
                      </w:r>
                      <w:r>
                        <w:rPr/>
                        <w:t>importe</w:t>
                      </w:r>
                      <w:r>
                        <w:rPr>
                          <w:spacing w:val="-5"/>
                        </w:rPr>
                        <w:t> </w:t>
                      </w:r>
                      <w:r>
                        <w:rPr/>
                        <w:t>en</w:t>
                      </w:r>
                      <w:r>
                        <w:rPr>
                          <w:spacing w:val="-1"/>
                        </w:rPr>
                        <w:t> </w:t>
                      </w:r>
                      <w:r>
                        <w:rPr/>
                        <w:t>libros</w:t>
                      </w:r>
                      <w:r>
                        <w:rPr>
                          <w:spacing w:val="-2"/>
                        </w:rPr>
                        <w:t> </w:t>
                      </w:r>
                      <w:r>
                        <w:rPr/>
                        <w:t>de</w:t>
                      </w:r>
                      <w:r>
                        <w:rPr>
                          <w:spacing w:val="-3"/>
                        </w:rPr>
                        <w:t> </w:t>
                      </w:r>
                      <w:r>
                        <w:rPr/>
                        <w:t>los</w:t>
                      </w:r>
                      <w:r>
                        <w:rPr>
                          <w:spacing w:val="-2"/>
                        </w:rPr>
                        <w:t> </w:t>
                      </w:r>
                      <w:r>
                        <w:rPr/>
                        <w:t>elementos</w:t>
                      </w:r>
                      <w:r>
                        <w:rPr>
                          <w:spacing w:val="-2"/>
                        </w:rPr>
                        <w:t> </w:t>
                      </w:r>
                      <w:r>
                        <w:rPr/>
                        <w:t>componentes de</w:t>
                      </w:r>
                      <w:r>
                        <w:rPr>
                          <w:spacing w:val="-3"/>
                        </w:rPr>
                        <w:t> </w:t>
                      </w:r>
                      <w:r>
                        <w:rPr/>
                        <w:t>propiedades, planta y equipo que, retirados de su uso activo, se mantengan para disponer de ellos.</w:t>
                      </w:r>
                    </w:p>
                  </w:txbxContent>
                </v:textbox>
                <v:stroke dashstyle="solid"/>
                <w10:wrap type="topAndBottom"/>
              </v:shape>
            </w:pict>
          </mc:Fallback>
        </mc:AlternateContent>
      </w:r>
    </w:p>
    <w:p>
      <w:pPr>
        <w:pStyle w:val="BodyText"/>
        <w:spacing w:before="183"/>
      </w:pPr>
    </w:p>
    <w:p>
      <w:pPr>
        <w:pStyle w:val="Heading6"/>
        <w:spacing w:before="1"/>
        <w:ind w:left="622"/>
      </w:pPr>
      <w:r>
        <w:rPr>
          <w:spacing w:val="-2"/>
        </w:rPr>
        <w:t>Detalle:</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0832">
                <wp:simplePos x="0" y="0"/>
                <wp:positionH relativeFrom="page">
                  <wp:posOffset>9525</wp:posOffset>
                </wp:positionH>
                <wp:positionV relativeFrom="page">
                  <wp:posOffset>297208</wp:posOffset>
                </wp:positionV>
                <wp:extent cx="7762875" cy="9748520"/>
                <wp:effectExtent l="0" t="0" r="0" b="0"/>
                <wp:wrapNone/>
                <wp:docPr id="1000" name="Group 1000"/>
                <wp:cNvGraphicFramePr>
                  <a:graphicFrameLocks/>
                </wp:cNvGraphicFramePr>
                <a:graphic>
                  <a:graphicData uri="http://schemas.microsoft.com/office/word/2010/wordprocessingGroup">
                    <wpg:wgp>
                      <wpg:cNvPr id="1000" name="Group 1000"/>
                      <wpg:cNvGrpSpPr/>
                      <wpg:grpSpPr>
                        <a:xfrm>
                          <a:off x="0" y="0"/>
                          <a:ext cx="7762875" cy="9748520"/>
                          <a:chExt cx="7762875" cy="9748520"/>
                        </a:xfrm>
                      </wpg:grpSpPr>
                      <pic:pic>
                        <pic:nvPicPr>
                          <pic:cNvPr id="1001" name="Image 1001"/>
                          <pic:cNvPicPr/>
                        </pic:nvPicPr>
                        <pic:blipFill>
                          <a:blip r:embed="rId5" cstate="print"/>
                          <a:stretch>
                            <a:fillRect/>
                          </a:stretch>
                        </pic:blipFill>
                        <pic:spPr>
                          <a:xfrm>
                            <a:off x="0" y="0"/>
                            <a:ext cx="7762874" cy="9748489"/>
                          </a:xfrm>
                          <a:prstGeom prst="rect">
                            <a:avLst/>
                          </a:prstGeom>
                        </pic:spPr>
                      </pic:pic>
                      <wps:wsp>
                        <wps:cNvPr id="1002" name="Graphic 1002"/>
                        <wps:cNvSpPr/>
                        <wps:spPr>
                          <a:xfrm>
                            <a:off x="1053007" y="990837"/>
                            <a:ext cx="5736590" cy="7182484"/>
                          </a:xfrm>
                          <a:custGeom>
                            <a:avLst/>
                            <a:gdLst/>
                            <a:ahLst/>
                            <a:cxnLst/>
                            <a:rect l="l" t="t" r="r" b="b"/>
                            <a:pathLst>
                              <a:path w="5736590" h="7182484">
                                <a:moveTo>
                                  <a:pt x="5649214" y="0"/>
                                </a:moveTo>
                                <a:lnTo>
                                  <a:pt x="0" y="0"/>
                                </a:lnTo>
                                <a:lnTo>
                                  <a:pt x="0" y="9131"/>
                                </a:lnTo>
                                <a:lnTo>
                                  <a:pt x="5649214" y="9131"/>
                                </a:lnTo>
                                <a:lnTo>
                                  <a:pt x="5649214" y="0"/>
                                </a:lnTo>
                                <a:close/>
                              </a:path>
                              <a:path w="5736590" h="7182484">
                                <a:moveTo>
                                  <a:pt x="5736018" y="2345804"/>
                                </a:moveTo>
                                <a:lnTo>
                                  <a:pt x="5729986" y="2345804"/>
                                </a:lnTo>
                                <a:lnTo>
                                  <a:pt x="5729935" y="2351900"/>
                                </a:lnTo>
                                <a:lnTo>
                                  <a:pt x="5729935" y="7175995"/>
                                </a:lnTo>
                                <a:lnTo>
                                  <a:pt x="21336" y="7175995"/>
                                </a:lnTo>
                                <a:lnTo>
                                  <a:pt x="21336" y="2351900"/>
                                </a:lnTo>
                                <a:lnTo>
                                  <a:pt x="5729935" y="2351900"/>
                                </a:lnTo>
                                <a:lnTo>
                                  <a:pt x="5729935" y="2345804"/>
                                </a:lnTo>
                                <a:lnTo>
                                  <a:pt x="21336" y="2345804"/>
                                </a:lnTo>
                                <a:lnTo>
                                  <a:pt x="15240" y="2345804"/>
                                </a:lnTo>
                                <a:lnTo>
                                  <a:pt x="15240" y="2351900"/>
                                </a:lnTo>
                                <a:lnTo>
                                  <a:pt x="15240" y="7175995"/>
                                </a:lnTo>
                                <a:lnTo>
                                  <a:pt x="15240" y="7182091"/>
                                </a:lnTo>
                                <a:lnTo>
                                  <a:pt x="21336" y="7182091"/>
                                </a:lnTo>
                                <a:lnTo>
                                  <a:pt x="5729935" y="7182091"/>
                                </a:lnTo>
                                <a:lnTo>
                                  <a:pt x="5736018" y="7182091"/>
                                </a:lnTo>
                                <a:lnTo>
                                  <a:pt x="5736018" y="7175995"/>
                                </a:lnTo>
                                <a:lnTo>
                                  <a:pt x="5736018" y="2351900"/>
                                </a:lnTo>
                                <a:lnTo>
                                  <a:pt x="5736018" y="234580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5648" id="docshapegroup947" coordorigin="15,468" coordsize="12225,15352">
                <v:shape style="position:absolute;left:15;top:468;width:12225;height:15352" type="#_x0000_t75" id="docshape948" stroked="false">
                  <v:imagedata r:id="rId5" o:title=""/>
                </v:shape>
                <v:shape style="position:absolute;left:1673;top:2028;width:9034;height:11311" id="docshape949" coordorigin="1673,2028" coordsize="9034,11311" path="m10570,2028l1673,2028,1673,2043,10570,2043,10570,2028xm10706,5723l10697,5723,10697,5723,10697,5732,10697,13329,1707,13329,1707,5732,10697,5732,10697,5723,1707,5723,1697,5723,1697,5732,1697,13329,1697,13339,1707,13339,10697,13339,10697,13339,10706,13339,10706,13329,10706,5732,10706,5723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191</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34"/>
        <w:gridCol w:w="2303"/>
        <w:gridCol w:w="709"/>
        <w:gridCol w:w="1702"/>
        <w:gridCol w:w="1892"/>
        <w:gridCol w:w="1198"/>
      </w:tblGrid>
      <w:tr>
        <w:trPr>
          <w:trHeight w:val="325" w:hRule="atLeast"/>
        </w:trPr>
        <w:tc>
          <w:tcPr>
            <w:tcW w:w="1234" w:type="dxa"/>
            <w:vMerge w:val="restart"/>
            <w:shd w:val="clear" w:color="auto" w:fill="365F92"/>
          </w:tcPr>
          <w:p>
            <w:pPr>
              <w:pStyle w:val="TableParagraph"/>
              <w:spacing w:before="120"/>
              <w:ind w:left="69"/>
              <w:rPr>
                <w:b/>
                <w:sz w:val="22"/>
              </w:rPr>
            </w:pPr>
            <w:r>
              <w:rPr>
                <w:b/>
                <w:color w:val="FFFFFF"/>
                <w:spacing w:val="-2"/>
                <w:sz w:val="22"/>
              </w:rPr>
              <w:t>Cuenta</w:t>
            </w:r>
          </w:p>
        </w:tc>
        <w:tc>
          <w:tcPr>
            <w:tcW w:w="2303" w:type="dxa"/>
            <w:vMerge w:val="restart"/>
            <w:shd w:val="clear" w:color="auto" w:fill="365F92"/>
          </w:tcPr>
          <w:p>
            <w:pPr>
              <w:pStyle w:val="TableParagraph"/>
              <w:spacing w:before="209"/>
              <w:ind w:left="618"/>
              <w:rPr>
                <w:b/>
                <w:sz w:val="22"/>
              </w:rPr>
            </w:pPr>
            <w:r>
              <w:rPr>
                <w:b/>
                <w:color w:val="FFFFFF"/>
                <w:spacing w:val="-2"/>
                <w:sz w:val="22"/>
              </w:rPr>
              <w:t>Descripción</w:t>
            </w:r>
          </w:p>
        </w:tc>
        <w:tc>
          <w:tcPr>
            <w:tcW w:w="709" w:type="dxa"/>
            <w:vMerge w:val="restart"/>
            <w:shd w:val="clear" w:color="auto" w:fill="365F92"/>
          </w:tcPr>
          <w:p>
            <w:pPr>
              <w:pStyle w:val="TableParagraph"/>
              <w:spacing w:before="209"/>
              <w:ind w:left="135"/>
              <w:rPr>
                <w:b/>
                <w:sz w:val="22"/>
              </w:rPr>
            </w:pPr>
            <w:r>
              <w:rPr>
                <w:b/>
                <w:color w:val="FFFFFF"/>
                <w:spacing w:val="-4"/>
                <w:sz w:val="22"/>
              </w:rPr>
              <w:t>Nota</w:t>
            </w:r>
          </w:p>
        </w:tc>
        <w:tc>
          <w:tcPr>
            <w:tcW w:w="1702" w:type="dxa"/>
            <w:vMerge w:val="restart"/>
            <w:shd w:val="clear" w:color="auto" w:fill="365F92"/>
          </w:tcPr>
          <w:p>
            <w:pPr>
              <w:pStyle w:val="TableParagraph"/>
              <w:spacing w:before="209"/>
              <w:ind w:left="216"/>
              <w:rPr>
                <w:b/>
                <w:sz w:val="22"/>
              </w:rPr>
            </w:pPr>
            <w:r>
              <w:rPr>
                <w:b/>
                <w:color w:val="FFFFFF"/>
                <w:sz w:val="22"/>
              </w:rPr>
              <w:t>Periodo</w:t>
            </w:r>
            <w:r>
              <w:rPr>
                <w:b/>
                <w:color w:val="FFFFFF"/>
                <w:spacing w:val="-4"/>
                <w:sz w:val="22"/>
              </w:rPr>
              <w:t> </w:t>
            </w:r>
            <w:r>
              <w:rPr>
                <w:b/>
                <w:color w:val="FFFFFF"/>
                <w:spacing w:val="-2"/>
                <w:sz w:val="22"/>
              </w:rPr>
              <w:t>Actual</w:t>
            </w:r>
          </w:p>
        </w:tc>
        <w:tc>
          <w:tcPr>
            <w:tcW w:w="1892" w:type="dxa"/>
            <w:vMerge w:val="restart"/>
            <w:shd w:val="clear" w:color="auto" w:fill="365F92"/>
          </w:tcPr>
          <w:p>
            <w:pPr>
              <w:pStyle w:val="TableParagraph"/>
              <w:spacing w:before="209"/>
              <w:ind w:left="218"/>
              <w:rPr>
                <w:b/>
                <w:sz w:val="22"/>
              </w:rPr>
            </w:pPr>
            <w:r>
              <w:rPr>
                <w:b/>
                <w:color w:val="FFFFFF"/>
                <w:sz w:val="22"/>
              </w:rPr>
              <w:t>Periodo</w:t>
            </w:r>
            <w:r>
              <w:rPr>
                <w:b/>
                <w:color w:val="FFFFFF"/>
                <w:spacing w:val="-4"/>
                <w:sz w:val="22"/>
              </w:rPr>
              <w:t> </w:t>
            </w:r>
            <w:r>
              <w:rPr>
                <w:b/>
                <w:color w:val="FFFFFF"/>
                <w:spacing w:val="-2"/>
                <w:sz w:val="22"/>
              </w:rPr>
              <w:t>Anterior</w:t>
            </w:r>
          </w:p>
        </w:tc>
        <w:tc>
          <w:tcPr>
            <w:tcW w:w="1198" w:type="dxa"/>
            <w:shd w:val="clear" w:color="auto" w:fill="365F92"/>
          </w:tcPr>
          <w:p>
            <w:pPr>
              <w:pStyle w:val="TableParagraph"/>
              <w:spacing w:before="36"/>
              <w:ind w:left="23" w:right="10"/>
              <w:jc w:val="center"/>
              <w:rPr>
                <w:b/>
                <w:sz w:val="22"/>
              </w:rPr>
            </w:pPr>
            <w:r>
              <w:rPr>
                <w:b/>
                <w:color w:val="FFFFFF"/>
                <w:spacing w:val="-2"/>
                <w:sz w:val="22"/>
              </w:rPr>
              <w:t>Diferencia</w:t>
            </w:r>
          </w:p>
        </w:tc>
      </w:tr>
      <w:tr>
        <w:trPr>
          <w:trHeight w:val="323" w:hRule="atLeast"/>
        </w:trPr>
        <w:tc>
          <w:tcPr>
            <w:tcW w:w="1234" w:type="dxa"/>
            <w:vMerge/>
            <w:tcBorders>
              <w:top w:val="nil"/>
            </w:tcBorders>
            <w:shd w:val="clear" w:color="auto" w:fill="365F92"/>
          </w:tcPr>
          <w:p>
            <w:pPr>
              <w:rPr>
                <w:sz w:val="2"/>
                <w:szCs w:val="2"/>
              </w:rPr>
            </w:pPr>
          </w:p>
        </w:tc>
        <w:tc>
          <w:tcPr>
            <w:tcW w:w="2303" w:type="dxa"/>
            <w:vMerge/>
            <w:tcBorders>
              <w:top w:val="nil"/>
            </w:tcBorders>
            <w:shd w:val="clear" w:color="auto" w:fill="365F92"/>
          </w:tcPr>
          <w:p>
            <w:pPr>
              <w:rPr>
                <w:sz w:val="2"/>
                <w:szCs w:val="2"/>
              </w:rPr>
            </w:pPr>
          </w:p>
        </w:tc>
        <w:tc>
          <w:tcPr>
            <w:tcW w:w="709" w:type="dxa"/>
            <w:vMerge/>
            <w:tcBorders>
              <w:top w:val="nil"/>
            </w:tcBorders>
            <w:shd w:val="clear" w:color="auto" w:fill="365F92"/>
          </w:tcPr>
          <w:p>
            <w:pPr>
              <w:rPr>
                <w:sz w:val="2"/>
                <w:szCs w:val="2"/>
              </w:rPr>
            </w:pPr>
          </w:p>
        </w:tc>
        <w:tc>
          <w:tcPr>
            <w:tcW w:w="1702" w:type="dxa"/>
            <w:vMerge/>
            <w:tcBorders>
              <w:top w:val="nil"/>
            </w:tcBorders>
            <w:shd w:val="clear" w:color="auto" w:fill="365F92"/>
          </w:tcPr>
          <w:p>
            <w:pPr>
              <w:rPr>
                <w:sz w:val="2"/>
                <w:szCs w:val="2"/>
              </w:rPr>
            </w:pPr>
          </w:p>
        </w:tc>
        <w:tc>
          <w:tcPr>
            <w:tcW w:w="1892" w:type="dxa"/>
            <w:vMerge/>
            <w:tcBorders>
              <w:top w:val="nil"/>
            </w:tcBorders>
            <w:shd w:val="clear" w:color="auto" w:fill="365F92"/>
          </w:tcPr>
          <w:p>
            <w:pPr>
              <w:rPr>
                <w:sz w:val="2"/>
                <w:szCs w:val="2"/>
              </w:rPr>
            </w:pPr>
          </w:p>
        </w:tc>
        <w:tc>
          <w:tcPr>
            <w:tcW w:w="1198" w:type="dxa"/>
            <w:shd w:val="clear" w:color="auto" w:fill="365F92"/>
          </w:tcPr>
          <w:p>
            <w:pPr>
              <w:pStyle w:val="TableParagraph"/>
              <w:spacing w:before="36"/>
              <w:ind w:left="23" w:right="11"/>
              <w:jc w:val="center"/>
              <w:rPr>
                <w:sz w:val="22"/>
              </w:rPr>
            </w:pPr>
            <w:r>
              <w:rPr>
                <w:color w:val="FFFFFF"/>
                <w:spacing w:val="-10"/>
                <w:sz w:val="22"/>
              </w:rPr>
              <w:t>%</w:t>
            </w:r>
          </w:p>
        </w:tc>
      </w:tr>
      <w:tr>
        <w:trPr>
          <w:trHeight w:val="503" w:hRule="atLeast"/>
        </w:trPr>
        <w:tc>
          <w:tcPr>
            <w:tcW w:w="1234" w:type="dxa"/>
          </w:tcPr>
          <w:p>
            <w:pPr>
              <w:pStyle w:val="TableParagraph"/>
              <w:spacing w:before="125"/>
              <w:ind w:left="69"/>
              <w:rPr>
                <w:b/>
                <w:sz w:val="22"/>
              </w:rPr>
            </w:pPr>
            <w:r>
              <w:rPr>
                <w:b/>
                <w:spacing w:val="-2"/>
                <w:sz w:val="22"/>
              </w:rPr>
              <w:t>1.2.5.01.</w:t>
            </w:r>
          </w:p>
        </w:tc>
        <w:tc>
          <w:tcPr>
            <w:tcW w:w="2303" w:type="dxa"/>
          </w:tcPr>
          <w:p>
            <w:pPr>
              <w:pStyle w:val="TableParagraph"/>
              <w:spacing w:line="250" w:lineRule="exact"/>
              <w:ind w:left="66"/>
              <w:rPr>
                <w:b/>
                <w:sz w:val="22"/>
              </w:rPr>
            </w:pPr>
            <w:r>
              <w:rPr>
                <w:b/>
                <w:sz w:val="22"/>
              </w:rPr>
              <w:t>Propiedades,</w:t>
            </w:r>
            <w:r>
              <w:rPr>
                <w:b/>
                <w:spacing w:val="-5"/>
                <w:sz w:val="22"/>
              </w:rPr>
              <w:t> </w:t>
            </w:r>
            <w:r>
              <w:rPr>
                <w:b/>
                <w:sz w:val="22"/>
              </w:rPr>
              <w:t>planta</w:t>
            </w:r>
            <w:r>
              <w:rPr>
                <w:b/>
                <w:spacing w:val="-5"/>
                <w:sz w:val="22"/>
              </w:rPr>
              <w:t> </w:t>
            </w:r>
            <w:r>
              <w:rPr>
                <w:b/>
                <w:spacing w:val="-10"/>
                <w:sz w:val="22"/>
              </w:rPr>
              <w:t>y</w:t>
            </w:r>
          </w:p>
          <w:p>
            <w:pPr>
              <w:pStyle w:val="TableParagraph"/>
              <w:spacing w:line="233" w:lineRule="exact"/>
              <w:ind w:left="66"/>
              <w:rPr>
                <w:b/>
                <w:sz w:val="22"/>
              </w:rPr>
            </w:pPr>
            <w:r>
              <w:rPr>
                <w:b/>
                <w:sz w:val="22"/>
              </w:rPr>
              <w:t>equipos</w:t>
            </w:r>
            <w:r>
              <w:rPr>
                <w:b/>
                <w:spacing w:val="-5"/>
                <w:sz w:val="22"/>
              </w:rPr>
              <w:t> </w:t>
            </w:r>
            <w:r>
              <w:rPr>
                <w:b/>
                <w:spacing w:val="-2"/>
                <w:sz w:val="22"/>
              </w:rPr>
              <w:t>explotados</w:t>
            </w:r>
          </w:p>
        </w:tc>
        <w:tc>
          <w:tcPr>
            <w:tcW w:w="709" w:type="dxa"/>
          </w:tcPr>
          <w:p>
            <w:pPr>
              <w:pStyle w:val="TableParagraph"/>
              <w:spacing w:before="125"/>
              <w:ind w:left="13"/>
              <w:jc w:val="center"/>
              <w:rPr>
                <w:b/>
                <w:sz w:val="22"/>
              </w:rPr>
            </w:pPr>
            <w:r>
              <w:rPr>
                <w:b/>
                <w:spacing w:val="-5"/>
                <w:sz w:val="22"/>
              </w:rPr>
              <w:t>10</w:t>
            </w:r>
          </w:p>
        </w:tc>
        <w:tc>
          <w:tcPr>
            <w:tcW w:w="1702" w:type="dxa"/>
          </w:tcPr>
          <w:p>
            <w:pPr>
              <w:pStyle w:val="TableParagraph"/>
              <w:spacing w:before="135"/>
              <w:ind w:left="230"/>
              <w:rPr>
                <w:b/>
                <w:sz w:val="20"/>
              </w:rPr>
            </w:pPr>
            <w:r>
              <w:rPr>
                <w:b/>
                <w:sz w:val="20"/>
              </w:rPr>
              <w:t>136</w:t>
            </w:r>
            <w:r>
              <w:rPr>
                <w:b/>
                <w:spacing w:val="-3"/>
                <w:sz w:val="20"/>
              </w:rPr>
              <w:t> </w:t>
            </w:r>
            <w:r>
              <w:rPr>
                <w:b/>
                <w:sz w:val="20"/>
              </w:rPr>
              <w:t>505</w:t>
            </w:r>
            <w:r>
              <w:rPr>
                <w:b/>
                <w:spacing w:val="-3"/>
                <w:sz w:val="20"/>
              </w:rPr>
              <w:t> </w:t>
            </w:r>
            <w:r>
              <w:rPr>
                <w:b/>
                <w:spacing w:val="-2"/>
                <w:sz w:val="20"/>
              </w:rPr>
              <w:t>128,50</w:t>
            </w:r>
          </w:p>
        </w:tc>
        <w:tc>
          <w:tcPr>
            <w:tcW w:w="1892" w:type="dxa"/>
          </w:tcPr>
          <w:p>
            <w:pPr>
              <w:pStyle w:val="TableParagraph"/>
              <w:spacing w:before="135"/>
              <w:ind w:left="326"/>
              <w:rPr>
                <w:b/>
                <w:sz w:val="20"/>
              </w:rPr>
            </w:pPr>
            <w:r>
              <w:rPr>
                <w:b/>
                <w:sz w:val="20"/>
              </w:rPr>
              <w:t>137</w:t>
            </w:r>
            <w:r>
              <w:rPr>
                <w:b/>
                <w:spacing w:val="-3"/>
                <w:sz w:val="20"/>
              </w:rPr>
              <w:t> </w:t>
            </w:r>
            <w:r>
              <w:rPr>
                <w:b/>
                <w:sz w:val="20"/>
              </w:rPr>
              <w:t>759</w:t>
            </w:r>
            <w:r>
              <w:rPr>
                <w:b/>
                <w:spacing w:val="-3"/>
                <w:sz w:val="20"/>
              </w:rPr>
              <w:t> </w:t>
            </w:r>
            <w:r>
              <w:rPr>
                <w:b/>
                <w:spacing w:val="-2"/>
                <w:sz w:val="20"/>
              </w:rPr>
              <w:t>939,97</w:t>
            </w:r>
          </w:p>
        </w:tc>
        <w:tc>
          <w:tcPr>
            <w:tcW w:w="1198" w:type="dxa"/>
          </w:tcPr>
          <w:p>
            <w:pPr>
              <w:pStyle w:val="TableParagraph"/>
              <w:spacing w:before="135"/>
              <w:ind w:left="23" w:right="11"/>
              <w:jc w:val="center"/>
              <w:rPr>
                <w:b/>
                <w:sz w:val="20"/>
              </w:rPr>
            </w:pPr>
            <w:r>
              <w:rPr>
                <w:b/>
                <w:spacing w:val="-2"/>
                <w:sz w:val="20"/>
              </w:rPr>
              <w:t>-0,91%</w:t>
            </w:r>
          </w:p>
        </w:tc>
      </w:tr>
    </w:tbl>
    <w:p>
      <w:pPr>
        <w:pStyle w:val="BodyText"/>
        <w:spacing w:before="202"/>
        <w:rPr>
          <w:sz w:val="20"/>
        </w:rPr>
      </w:pPr>
    </w:p>
    <w:p>
      <w:pPr>
        <w:pStyle w:val="Heading6"/>
        <w:ind w:left="622"/>
      </w:pPr>
      <w:r>
        <w:rPr>
          <w:spacing w:val="-2"/>
        </w:rPr>
        <w:t>Revelación:</w:t>
      </w:r>
    </w:p>
    <w:p>
      <w:pPr>
        <w:pStyle w:val="BodyText"/>
        <w:spacing w:line="259" w:lineRule="auto" w:before="181"/>
        <w:ind w:left="622" w:right="975"/>
        <w:jc w:val="both"/>
      </w:pPr>
      <w:r>
        <w:rPr/>
        <w:t>La cuenta Propiedades, planta y equipos explotados, representa el 68,39% del total del Activo, que comparado</w:t>
      </w:r>
      <w:r>
        <w:rPr>
          <w:spacing w:val="-12"/>
        </w:rPr>
        <w:t> </w:t>
      </w:r>
      <w:r>
        <w:rPr/>
        <w:t>al</w:t>
      </w:r>
      <w:r>
        <w:rPr>
          <w:spacing w:val="-13"/>
        </w:rPr>
        <w:t> </w:t>
      </w:r>
      <w:r>
        <w:rPr/>
        <w:t>periodo</w:t>
      </w:r>
      <w:r>
        <w:rPr>
          <w:spacing w:val="-12"/>
        </w:rPr>
        <w:t> </w:t>
      </w:r>
      <w:r>
        <w:rPr/>
        <w:t>anterior</w:t>
      </w:r>
      <w:r>
        <w:rPr>
          <w:spacing w:val="-13"/>
        </w:rPr>
        <w:t> </w:t>
      </w:r>
      <w:r>
        <w:rPr/>
        <w:t>genera</w:t>
      </w:r>
      <w:r>
        <w:rPr>
          <w:spacing w:val="-13"/>
        </w:rPr>
        <w:t> </w:t>
      </w:r>
      <w:r>
        <w:rPr/>
        <w:t>una</w:t>
      </w:r>
      <w:r>
        <w:rPr>
          <w:spacing w:val="-13"/>
        </w:rPr>
        <w:t> </w:t>
      </w:r>
      <w:r>
        <w:rPr/>
        <w:t>variación</w:t>
      </w:r>
      <w:r>
        <w:rPr>
          <w:spacing w:val="-13"/>
        </w:rPr>
        <w:t> </w:t>
      </w:r>
      <w:r>
        <w:rPr/>
        <w:t>absoluta</w:t>
      </w:r>
      <w:r>
        <w:rPr>
          <w:spacing w:val="-13"/>
        </w:rPr>
        <w:t> </w:t>
      </w:r>
      <w:r>
        <w:rPr/>
        <w:t>de</w:t>
      </w:r>
      <w:r>
        <w:rPr>
          <w:spacing w:val="-12"/>
        </w:rPr>
        <w:t> </w:t>
      </w:r>
      <w:r>
        <w:rPr/>
        <w:t>¢-1.254.811,47</w:t>
      </w:r>
      <w:r>
        <w:rPr>
          <w:spacing w:val="-14"/>
        </w:rPr>
        <w:t> </w:t>
      </w:r>
      <w:r>
        <w:rPr/>
        <w:t>que</w:t>
      </w:r>
      <w:r>
        <w:rPr>
          <w:spacing w:val="-12"/>
        </w:rPr>
        <w:t> </w:t>
      </w:r>
      <w:r>
        <w:rPr/>
        <w:t>corresponde</w:t>
      </w:r>
      <w:r>
        <w:rPr>
          <w:spacing w:val="-12"/>
        </w:rPr>
        <w:t> </w:t>
      </w:r>
      <w:r>
        <w:rPr/>
        <w:t>a</w:t>
      </w:r>
      <w:r>
        <w:rPr>
          <w:spacing w:val="-13"/>
        </w:rPr>
        <w:t> </w:t>
      </w:r>
      <w:r>
        <w:rPr/>
        <w:t>una </w:t>
      </w:r>
      <w:r>
        <w:rPr>
          <w:spacing w:val="-2"/>
        </w:rPr>
        <w:t>disminución</w:t>
      </w:r>
      <w:r>
        <w:rPr>
          <w:spacing w:val="-8"/>
        </w:rPr>
        <w:t> </w:t>
      </w:r>
      <w:r>
        <w:rPr>
          <w:spacing w:val="-2"/>
        </w:rPr>
        <w:t>del</w:t>
      </w:r>
      <w:r>
        <w:rPr>
          <w:spacing w:val="-5"/>
        </w:rPr>
        <w:t> </w:t>
      </w:r>
      <w:r>
        <w:rPr>
          <w:spacing w:val="-2"/>
        </w:rPr>
        <w:t>-0,91%</w:t>
      </w:r>
      <w:r>
        <w:rPr>
          <w:spacing w:val="-5"/>
        </w:rPr>
        <w:t> </w:t>
      </w:r>
      <w:r>
        <w:rPr>
          <w:spacing w:val="-2"/>
        </w:rPr>
        <w:t>de</w:t>
      </w:r>
      <w:r>
        <w:rPr>
          <w:spacing w:val="-4"/>
        </w:rPr>
        <w:t> </w:t>
      </w:r>
      <w:r>
        <w:rPr>
          <w:spacing w:val="-2"/>
        </w:rPr>
        <w:t>recursos</w:t>
      </w:r>
      <w:r>
        <w:rPr>
          <w:spacing w:val="-4"/>
        </w:rPr>
        <w:t> </w:t>
      </w:r>
      <w:r>
        <w:rPr>
          <w:spacing w:val="-2"/>
        </w:rPr>
        <w:t>disponibles,</w:t>
      </w:r>
      <w:r>
        <w:rPr>
          <w:spacing w:val="-5"/>
        </w:rPr>
        <w:t> </w:t>
      </w:r>
      <w:r>
        <w:rPr>
          <w:spacing w:val="-2"/>
        </w:rPr>
        <w:t>producto</w:t>
      </w:r>
      <w:r>
        <w:rPr>
          <w:spacing w:val="-4"/>
        </w:rPr>
        <w:t> </w:t>
      </w:r>
      <w:r>
        <w:rPr>
          <w:spacing w:val="-2"/>
        </w:rPr>
        <w:t>de</w:t>
      </w:r>
      <w:r>
        <w:rPr>
          <w:spacing w:val="-6"/>
        </w:rPr>
        <w:t> </w:t>
      </w:r>
      <w:r>
        <w:rPr>
          <w:spacing w:val="-2"/>
        </w:rPr>
        <w:t>la</w:t>
      </w:r>
      <w:r>
        <w:rPr>
          <w:spacing w:val="-6"/>
        </w:rPr>
        <w:t> </w:t>
      </w:r>
      <w:r>
        <w:rPr>
          <w:spacing w:val="-2"/>
        </w:rPr>
        <w:t>baja</w:t>
      </w:r>
      <w:r>
        <w:rPr>
          <w:spacing w:val="-6"/>
        </w:rPr>
        <w:t> </w:t>
      </w:r>
      <w:r>
        <w:rPr>
          <w:spacing w:val="-2"/>
        </w:rPr>
        <w:t>de</w:t>
      </w:r>
      <w:r>
        <w:rPr>
          <w:spacing w:val="-6"/>
        </w:rPr>
        <w:t> </w:t>
      </w:r>
      <w:r>
        <w:rPr>
          <w:spacing w:val="-2"/>
        </w:rPr>
        <w:t>bienes</w:t>
      </w:r>
      <w:r>
        <w:rPr>
          <w:spacing w:val="-4"/>
        </w:rPr>
        <w:t> </w:t>
      </w:r>
      <w:r>
        <w:rPr>
          <w:spacing w:val="-2"/>
        </w:rPr>
        <w:t>por</w:t>
      </w:r>
      <w:r>
        <w:rPr>
          <w:spacing w:val="-5"/>
        </w:rPr>
        <w:t> </w:t>
      </w:r>
      <w:r>
        <w:rPr>
          <w:spacing w:val="-2"/>
        </w:rPr>
        <w:t>desuso</w:t>
      </w:r>
      <w:r>
        <w:rPr>
          <w:spacing w:val="-4"/>
        </w:rPr>
        <w:t> </w:t>
      </w:r>
      <w:r>
        <w:rPr>
          <w:spacing w:val="-2"/>
        </w:rPr>
        <w:t>o</w:t>
      </w:r>
      <w:r>
        <w:rPr>
          <w:spacing w:val="-4"/>
        </w:rPr>
        <w:t> </w:t>
      </w:r>
      <w:r>
        <w:rPr>
          <w:spacing w:val="-2"/>
        </w:rPr>
        <w:t>mal</w:t>
      </w:r>
      <w:r>
        <w:rPr>
          <w:spacing w:val="-8"/>
        </w:rPr>
        <w:t> </w:t>
      </w:r>
      <w:r>
        <w:rPr>
          <w:spacing w:val="-2"/>
        </w:rPr>
        <w:t>estado.</w:t>
      </w:r>
    </w:p>
    <w:p>
      <w:pPr>
        <w:pStyle w:val="BodyText"/>
      </w:pPr>
    </w:p>
    <w:p>
      <w:pPr>
        <w:pStyle w:val="BodyText"/>
        <w:spacing w:before="99"/>
      </w:pPr>
    </w:p>
    <w:p>
      <w:pPr>
        <w:pStyle w:val="Heading6"/>
        <w:ind w:left="730"/>
        <w:rPr>
          <w:b w:val="0"/>
        </w:rPr>
      </w:pPr>
      <w:r>
        <w:rPr>
          <w:color w:val="1F4E79"/>
          <w:spacing w:val="-2"/>
          <w:u w:val="single" w:color="1F4E79"/>
        </w:rPr>
        <w:t>Revelación</w:t>
      </w:r>
      <w:r>
        <w:rPr>
          <w:b w:val="0"/>
          <w:spacing w:val="-2"/>
          <w:u w:val="none"/>
        </w:rPr>
        <w:t>:</w:t>
      </w:r>
    </w:p>
    <w:p>
      <w:pPr>
        <w:pStyle w:val="BodyText"/>
        <w:spacing w:line="250" w:lineRule="exact" w:before="179"/>
        <w:ind w:left="730"/>
        <w:jc w:val="both"/>
      </w:pPr>
      <w:r>
        <w:rPr>
          <w:u w:val="single"/>
        </w:rPr>
        <w:t>Umbrales</w:t>
      </w:r>
      <w:r>
        <w:rPr>
          <w:spacing w:val="-2"/>
          <w:u w:val="single"/>
        </w:rPr>
        <w:t> </w:t>
      </w:r>
      <w:r>
        <w:rPr>
          <w:u w:val="single"/>
        </w:rPr>
        <w:t>de</w:t>
      </w:r>
      <w:r>
        <w:rPr>
          <w:spacing w:val="-3"/>
          <w:u w:val="single"/>
        </w:rPr>
        <w:t> </w:t>
      </w:r>
      <w:r>
        <w:rPr>
          <w:spacing w:val="-2"/>
          <w:u w:val="single"/>
        </w:rPr>
        <w:t>reconocimiento</w:t>
      </w:r>
      <w:r>
        <w:rPr>
          <w:spacing w:val="80"/>
          <w:u w:val="single"/>
        </w:rPr>
        <w:t> </w:t>
      </w:r>
    </w:p>
    <w:p>
      <w:pPr>
        <w:pStyle w:val="BodyText"/>
        <w:ind w:left="730" w:right="925"/>
        <w:jc w:val="both"/>
      </w:pPr>
      <w:r>
        <w:rPr/>
        <w:t>Cada</w:t>
      </w:r>
      <w:r>
        <w:rPr>
          <w:spacing w:val="-7"/>
        </w:rPr>
        <w:t> </w:t>
      </w:r>
      <w:r>
        <w:rPr/>
        <w:t>entidad</w:t>
      </w:r>
      <w:r>
        <w:rPr>
          <w:spacing w:val="-7"/>
        </w:rPr>
        <w:t> </w:t>
      </w:r>
      <w:r>
        <w:rPr/>
        <w:t>tiene</w:t>
      </w:r>
      <w:r>
        <w:rPr>
          <w:spacing w:val="-7"/>
        </w:rPr>
        <w:t> </w:t>
      </w:r>
      <w:r>
        <w:rPr/>
        <w:t>que</w:t>
      </w:r>
      <w:r>
        <w:rPr>
          <w:spacing w:val="-7"/>
        </w:rPr>
        <w:t> </w:t>
      </w:r>
      <w:r>
        <w:rPr/>
        <w:t>determinar</w:t>
      </w:r>
      <w:r>
        <w:rPr>
          <w:spacing w:val="-6"/>
        </w:rPr>
        <w:t> </w:t>
      </w:r>
      <w:r>
        <w:rPr/>
        <w:t>el</w:t>
      </w:r>
      <w:r>
        <w:rPr>
          <w:spacing w:val="-7"/>
        </w:rPr>
        <w:t> </w:t>
      </w:r>
      <w:r>
        <w:rPr/>
        <w:t>valor</w:t>
      </w:r>
      <w:r>
        <w:rPr>
          <w:spacing w:val="-6"/>
        </w:rPr>
        <w:t> </w:t>
      </w:r>
      <w:r>
        <w:rPr/>
        <w:t>por</w:t>
      </w:r>
      <w:r>
        <w:rPr>
          <w:spacing w:val="-6"/>
        </w:rPr>
        <w:t> </w:t>
      </w:r>
      <w:r>
        <w:rPr/>
        <w:t>encima</w:t>
      </w:r>
      <w:r>
        <w:rPr>
          <w:spacing w:val="-9"/>
        </w:rPr>
        <w:t> </w:t>
      </w:r>
      <w:r>
        <w:rPr/>
        <w:t>del</w:t>
      </w:r>
      <w:r>
        <w:rPr>
          <w:spacing w:val="-7"/>
        </w:rPr>
        <w:t> </w:t>
      </w:r>
      <w:r>
        <w:rPr/>
        <w:t>cual</w:t>
      </w:r>
      <w:r>
        <w:rPr>
          <w:spacing w:val="-7"/>
        </w:rPr>
        <w:t> </w:t>
      </w:r>
      <w:r>
        <w:rPr/>
        <w:t>los</w:t>
      </w:r>
      <w:r>
        <w:rPr>
          <w:spacing w:val="-5"/>
        </w:rPr>
        <w:t> </w:t>
      </w:r>
      <w:r>
        <w:rPr/>
        <w:t>activos</w:t>
      </w:r>
      <w:r>
        <w:rPr>
          <w:spacing w:val="-5"/>
        </w:rPr>
        <w:t> </w:t>
      </w:r>
      <w:r>
        <w:rPr/>
        <w:t>se</w:t>
      </w:r>
      <w:r>
        <w:rPr>
          <w:spacing w:val="-7"/>
        </w:rPr>
        <w:t> </w:t>
      </w:r>
      <w:r>
        <w:rPr/>
        <w:t>capitalizan</w:t>
      </w:r>
      <w:r>
        <w:rPr>
          <w:spacing w:val="-6"/>
        </w:rPr>
        <w:t> </w:t>
      </w:r>
      <w:r>
        <w:rPr/>
        <w:t>y</w:t>
      </w:r>
      <w:r>
        <w:rPr>
          <w:spacing w:val="-7"/>
        </w:rPr>
        <w:t> </w:t>
      </w:r>
      <w:r>
        <w:rPr/>
        <w:t>se</w:t>
      </w:r>
      <w:r>
        <w:rPr>
          <w:spacing w:val="-7"/>
        </w:rPr>
        <w:t> </w:t>
      </w:r>
      <w:r>
        <w:rPr/>
        <w:t>informan en los estados financieros.</w:t>
      </w:r>
    </w:p>
    <w:p>
      <w:pPr>
        <w:pStyle w:val="BodyText"/>
        <w:ind w:left="730" w:right="926"/>
        <w:jc w:val="both"/>
      </w:pPr>
      <w:r>
        <w:rPr/>
        <w:t>Cuando</w:t>
      </w:r>
      <w:r>
        <w:rPr>
          <w:spacing w:val="-12"/>
        </w:rPr>
        <w:t> </w:t>
      </w:r>
      <w:r>
        <w:rPr/>
        <w:t>una</w:t>
      </w:r>
      <w:r>
        <w:rPr>
          <w:spacing w:val="-11"/>
        </w:rPr>
        <w:t> </w:t>
      </w:r>
      <w:r>
        <w:rPr/>
        <w:t>entidad</w:t>
      </w:r>
      <w:r>
        <w:rPr>
          <w:spacing w:val="-11"/>
        </w:rPr>
        <w:t> </w:t>
      </w:r>
      <w:r>
        <w:rPr/>
        <w:t>establece</w:t>
      </w:r>
      <w:r>
        <w:rPr>
          <w:spacing w:val="-12"/>
        </w:rPr>
        <w:t> </w:t>
      </w:r>
      <w:r>
        <w:rPr/>
        <w:t>un</w:t>
      </w:r>
      <w:r>
        <w:rPr>
          <w:spacing w:val="-10"/>
        </w:rPr>
        <w:t> </w:t>
      </w:r>
      <w:r>
        <w:rPr/>
        <w:t>umbral</w:t>
      </w:r>
      <w:r>
        <w:rPr>
          <w:spacing w:val="-11"/>
        </w:rPr>
        <w:t> </w:t>
      </w:r>
      <w:r>
        <w:rPr/>
        <w:t>de</w:t>
      </w:r>
      <w:r>
        <w:rPr>
          <w:spacing w:val="-12"/>
        </w:rPr>
        <w:t> </w:t>
      </w:r>
      <w:r>
        <w:rPr/>
        <w:t>capitalización,</w:t>
      </w:r>
      <w:r>
        <w:rPr>
          <w:spacing w:val="-10"/>
        </w:rPr>
        <w:t> </w:t>
      </w:r>
      <w:r>
        <w:rPr/>
        <w:t>los</w:t>
      </w:r>
      <w:r>
        <w:rPr>
          <w:spacing w:val="-12"/>
        </w:rPr>
        <w:t> </w:t>
      </w:r>
      <w:r>
        <w:rPr/>
        <w:t>activos</w:t>
      </w:r>
      <w:r>
        <w:rPr>
          <w:spacing w:val="-10"/>
        </w:rPr>
        <w:t> </w:t>
      </w:r>
      <w:r>
        <w:rPr/>
        <w:t>por</w:t>
      </w:r>
      <w:r>
        <w:rPr>
          <w:spacing w:val="-11"/>
        </w:rPr>
        <w:t> </w:t>
      </w:r>
      <w:r>
        <w:rPr/>
        <w:t>debajo</w:t>
      </w:r>
      <w:r>
        <w:rPr>
          <w:spacing w:val="-10"/>
        </w:rPr>
        <w:t> </w:t>
      </w:r>
      <w:r>
        <w:rPr/>
        <w:t>del</w:t>
      </w:r>
      <w:r>
        <w:rPr>
          <w:spacing w:val="-11"/>
        </w:rPr>
        <w:t> </w:t>
      </w:r>
      <w:r>
        <w:rPr/>
        <w:t>umbral</w:t>
      </w:r>
      <w:r>
        <w:rPr>
          <w:spacing w:val="-11"/>
        </w:rPr>
        <w:t> </w:t>
      </w:r>
      <w:r>
        <w:rPr/>
        <w:t>relevante se reflejan como gastos en el periodo de compra y los activos por encima del umbral se reconocen como activos en el estado de situación financiera.</w:t>
      </w:r>
    </w:p>
    <w:p>
      <w:pPr>
        <w:pStyle w:val="BodyText"/>
        <w:spacing w:before="1"/>
      </w:pPr>
    </w:p>
    <w:p>
      <w:pPr>
        <w:pStyle w:val="BodyText"/>
        <w:ind w:left="730" w:right="919"/>
        <w:jc w:val="both"/>
      </w:pPr>
      <w:r>
        <w:rPr/>
        <w:t>El</w:t>
      </w:r>
      <w:r>
        <w:rPr>
          <w:spacing w:val="-9"/>
        </w:rPr>
        <w:t> </w:t>
      </w:r>
      <w:r>
        <w:rPr/>
        <w:t>IMAS</w:t>
      </w:r>
      <w:r>
        <w:rPr>
          <w:spacing w:val="-7"/>
        </w:rPr>
        <w:t> </w:t>
      </w:r>
      <w:r>
        <w:rPr/>
        <w:t>definió</w:t>
      </w:r>
      <w:r>
        <w:rPr>
          <w:spacing w:val="-7"/>
        </w:rPr>
        <w:t> </w:t>
      </w:r>
      <w:r>
        <w:rPr/>
        <w:t>el</w:t>
      </w:r>
      <w:r>
        <w:rPr>
          <w:spacing w:val="-9"/>
        </w:rPr>
        <w:t> </w:t>
      </w:r>
      <w:r>
        <w:rPr/>
        <w:t>umbral</w:t>
      </w:r>
      <w:r>
        <w:rPr>
          <w:spacing w:val="-10"/>
        </w:rPr>
        <w:t> </w:t>
      </w:r>
      <w:r>
        <w:rPr/>
        <w:t>de</w:t>
      </w:r>
      <w:r>
        <w:rPr>
          <w:spacing w:val="-10"/>
        </w:rPr>
        <w:t> </w:t>
      </w:r>
      <w:r>
        <w:rPr/>
        <w:t>reconocimiento</w:t>
      </w:r>
      <w:r>
        <w:rPr>
          <w:spacing w:val="-7"/>
        </w:rPr>
        <w:t> </w:t>
      </w:r>
      <w:r>
        <w:rPr/>
        <w:t>con</w:t>
      </w:r>
      <w:r>
        <w:rPr>
          <w:spacing w:val="-8"/>
        </w:rPr>
        <w:t> </w:t>
      </w:r>
      <w:r>
        <w:rPr/>
        <w:t>la</w:t>
      </w:r>
      <w:r>
        <w:rPr>
          <w:spacing w:val="-9"/>
        </w:rPr>
        <w:t> </w:t>
      </w:r>
      <w:r>
        <w:rPr/>
        <w:t>Resolución</w:t>
      </w:r>
      <w:r>
        <w:rPr>
          <w:spacing w:val="-10"/>
        </w:rPr>
        <w:t> </w:t>
      </w:r>
      <w:r>
        <w:rPr/>
        <w:t>Administrativa</w:t>
      </w:r>
      <w:r>
        <w:rPr>
          <w:spacing w:val="-9"/>
        </w:rPr>
        <w:t> </w:t>
      </w:r>
      <w:r>
        <w:rPr/>
        <w:t>IMAS-SGSA-RESO-0008-2023,</w:t>
      </w:r>
      <w:r>
        <w:rPr>
          <w:spacing w:val="-5"/>
        </w:rPr>
        <w:t> </w:t>
      </w:r>
      <w:r>
        <w:rPr/>
        <w:t>que</w:t>
      </w:r>
      <w:r>
        <w:rPr>
          <w:spacing w:val="-6"/>
        </w:rPr>
        <w:t> </w:t>
      </w:r>
      <w:r>
        <w:rPr/>
        <w:t>en</w:t>
      </w:r>
      <w:r>
        <w:rPr>
          <w:spacing w:val="-4"/>
        </w:rPr>
        <w:t> </w:t>
      </w:r>
      <w:r>
        <w:rPr/>
        <w:t>el</w:t>
      </w:r>
      <w:r>
        <w:rPr>
          <w:spacing w:val="-5"/>
        </w:rPr>
        <w:t> </w:t>
      </w:r>
      <w:r>
        <w:rPr/>
        <w:t>Por</w:t>
      </w:r>
      <w:r>
        <w:rPr>
          <w:spacing w:val="-7"/>
        </w:rPr>
        <w:t> </w:t>
      </w:r>
      <w:r>
        <w:rPr/>
        <w:t>Tanto</w:t>
      </w:r>
      <w:r>
        <w:rPr>
          <w:spacing w:val="-4"/>
        </w:rPr>
        <w:t> </w:t>
      </w:r>
      <w:r>
        <w:rPr/>
        <w:t>5</w:t>
      </w:r>
      <w:r>
        <w:rPr>
          <w:spacing w:val="-8"/>
        </w:rPr>
        <w:t> </w:t>
      </w:r>
      <w:r>
        <w:rPr/>
        <w:t>estableció</w:t>
      </w:r>
      <w:r>
        <w:rPr>
          <w:spacing w:val="-6"/>
        </w:rPr>
        <w:t> </w:t>
      </w:r>
      <w:r>
        <w:rPr/>
        <w:t>que</w:t>
      </w:r>
      <w:r>
        <w:rPr>
          <w:spacing w:val="-8"/>
        </w:rPr>
        <w:t> </w:t>
      </w:r>
      <w:r>
        <w:rPr/>
        <w:t>serán</w:t>
      </w:r>
      <w:r>
        <w:rPr>
          <w:spacing w:val="-9"/>
        </w:rPr>
        <w:t> </w:t>
      </w:r>
      <w:r>
        <w:rPr/>
        <w:t>reconocidos</w:t>
      </w:r>
      <w:r>
        <w:rPr>
          <w:spacing w:val="-4"/>
        </w:rPr>
        <w:t> </w:t>
      </w:r>
      <w:r>
        <w:rPr/>
        <w:t>como</w:t>
      </w:r>
      <w:r>
        <w:rPr>
          <w:spacing w:val="-6"/>
        </w:rPr>
        <w:t> </w:t>
      </w:r>
      <w:r>
        <w:rPr/>
        <w:t>activos</w:t>
      </w:r>
      <w:r>
        <w:rPr>
          <w:spacing w:val="-5"/>
        </w:rPr>
        <w:t> </w:t>
      </w:r>
      <w:r>
        <w:rPr/>
        <w:t>cuyo</w:t>
      </w:r>
      <w:r>
        <w:rPr>
          <w:spacing w:val="-4"/>
        </w:rPr>
        <w:t> </w:t>
      </w:r>
      <w:r>
        <w:rPr/>
        <w:t>valor</w:t>
      </w:r>
      <w:r>
        <w:rPr>
          <w:spacing w:val="-7"/>
        </w:rPr>
        <w:t> </w:t>
      </w:r>
      <w:r>
        <w:rPr/>
        <w:t>se</w:t>
      </w:r>
      <w:r>
        <w:rPr>
          <w:spacing w:val="-8"/>
        </w:rPr>
        <w:t> </w:t>
      </w:r>
      <w:r>
        <w:rPr/>
        <w:t>mayor a ¢ 150.000.</w:t>
      </w:r>
    </w:p>
    <w:p>
      <w:pPr>
        <w:pStyle w:val="BodyText"/>
        <w:spacing w:before="160"/>
      </w:pPr>
    </w:p>
    <w:p>
      <w:pPr>
        <w:pStyle w:val="ListParagraph"/>
        <w:numPr>
          <w:ilvl w:val="0"/>
          <w:numId w:val="82"/>
        </w:numPr>
        <w:tabs>
          <w:tab w:pos="890" w:val="left" w:leader="none"/>
        </w:tabs>
        <w:spacing w:line="240" w:lineRule="auto" w:before="0" w:after="0"/>
        <w:ind w:left="890" w:right="0" w:hanging="160"/>
        <w:jc w:val="left"/>
        <w:rPr>
          <w:sz w:val="20"/>
        </w:rPr>
      </w:pPr>
      <w:r>
        <w:rPr>
          <w:sz w:val="22"/>
          <w:u w:val="single"/>
        </w:rPr>
        <w:t>Tierras</w:t>
      </w:r>
      <w:r>
        <w:rPr>
          <w:spacing w:val="-5"/>
          <w:sz w:val="22"/>
          <w:u w:val="single"/>
        </w:rPr>
        <w:t> </w:t>
      </w:r>
      <w:r>
        <w:rPr>
          <w:sz w:val="22"/>
          <w:u w:val="single"/>
        </w:rPr>
        <w:t>y</w:t>
      </w:r>
      <w:r>
        <w:rPr>
          <w:spacing w:val="-3"/>
          <w:sz w:val="22"/>
          <w:u w:val="single"/>
        </w:rPr>
        <w:t> </w:t>
      </w:r>
      <w:r>
        <w:rPr>
          <w:spacing w:val="-2"/>
          <w:sz w:val="22"/>
          <w:u w:val="single"/>
        </w:rPr>
        <w:t>terrenos</w:t>
      </w:r>
    </w:p>
    <w:p>
      <w:pPr>
        <w:pStyle w:val="BodyText"/>
        <w:spacing w:before="160"/>
        <w:ind w:left="730"/>
        <w:jc w:val="both"/>
      </w:pPr>
      <w:r>
        <w:rPr/>
        <w:t>El</w:t>
      </w:r>
      <w:r>
        <w:rPr>
          <w:spacing w:val="-5"/>
        </w:rPr>
        <w:t> </w:t>
      </w:r>
      <w:r>
        <w:rPr/>
        <w:t>98,50%</w:t>
      </w:r>
      <w:r>
        <w:rPr>
          <w:spacing w:val="-2"/>
        </w:rPr>
        <w:t> </w:t>
      </w:r>
      <w:r>
        <w:rPr/>
        <w:t>de</w:t>
      </w:r>
      <w:r>
        <w:rPr>
          <w:spacing w:val="-3"/>
        </w:rPr>
        <w:t> </w:t>
      </w:r>
      <w:r>
        <w:rPr/>
        <w:t>la</w:t>
      </w:r>
      <w:r>
        <w:rPr>
          <w:spacing w:val="-4"/>
        </w:rPr>
        <w:t> </w:t>
      </w:r>
      <w:r>
        <w:rPr/>
        <w:t>partida</w:t>
      </w:r>
      <w:r>
        <w:rPr>
          <w:spacing w:val="-3"/>
        </w:rPr>
        <w:t> </w:t>
      </w:r>
      <w:r>
        <w:rPr/>
        <w:t>propiedad,</w:t>
      </w:r>
      <w:r>
        <w:rPr>
          <w:spacing w:val="-3"/>
        </w:rPr>
        <w:t> </w:t>
      </w:r>
      <w:r>
        <w:rPr/>
        <w:t>planta</w:t>
      </w:r>
      <w:r>
        <w:rPr>
          <w:spacing w:val="-2"/>
        </w:rPr>
        <w:t> </w:t>
      </w:r>
      <w:r>
        <w:rPr/>
        <w:t>y</w:t>
      </w:r>
      <w:r>
        <w:rPr>
          <w:spacing w:val="-3"/>
        </w:rPr>
        <w:t> </w:t>
      </w:r>
      <w:r>
        <w:rPr/>
        <w:t>equipo</w:t>
      </w:r>
      <w:r>
        <w:rPr>
          <w:spacing w:val="-2"/>
        </w:rPr>
        <w:t> </w:t>
      </w:r>
      <w:r>
        <w:rPr/>
        <w:t>la</w:t>
      </w:r>
      <w:r>
        <w:rPr>
          <w:spacing w:val="-3"/>
        </w:rPr>
        <w:t> </w:t>
      </w:r>
      <w:r>
        <w:rPr/>
        <w:t>compone</w:t>
      </w:r>
      <w:r>
        <w:rPr>
          <w:spacing w:val="-4"/>
        </w:rPr>
        <w:t> </w:t>
      </w:r>
      <w:r>
        <w:rPr/>
        <w:t>la</w:t>
      </w:r>
      <w:r>
        <w:rPr>
          <w:spacing w:val="-4"/>
        </w:rPr>
        <w:t> </w:t>
      </w:r>
      <w:r>
        <w:rPr/>
        <w:t>cuenta</w:t>
      </w:r>
      <w:r>
        <w:rPr>
          <w:spacing w:val="-2"/>
        </w:rPr>
        <w:t> </w:t>
      </w:r>
      <w:r>
        <w:rPr/>
        <w:t>de</w:t>
      </w:r>
      <w:r>
        <w:rPr>
          <w:spacing w:val="-4"/>
        </w:rPr>
        <w:t> </w:t>
      </w:r>
      <w:r>
        <w:rPr/>
        <w:t>tierra</w:t>
      </w:r>
      <w:r>
        <w:rPr>
          <w:spacing w:val="-3"/>
        </w:rPr>
        <w:t> </w:t>
      </w:r>
      <w:r>
        <w:rPr/>
        <w:t>y</w:t>
      </w:r>
      <w:r>
        <w:rPr>
          <w:spacing w:val="-3"/>
        </w:rPr>
        <w:t> </w:t>
      </w:r>
      <w:r>
        <w:rPr>
          <w:spacing w:val="-2"/>
        </w:rPr>
        <w:t>terrenos.</w:t>
      </w:r>
    </w:p>
    <w:p>
      <w:pPr>
        <w:pStyle w:val="BodyText"/>
        <w:spacing w:before="159"/>
        <w:ind w:left="730" w:right="926"/>
        <w:jc w:val="both"/>
      </w:pPr>
      <w:r>
        <w:rPr/>
        <w:t>El IMAS cuenta con dos tipos de terrenos:</w:t>
      </w:r>
      <w:r>
        <w:rPr>
          <w:spacing w:val="40"/>
        </w:rPr>
        <w:t> </w:t>
      </w:r>
      <w:r>
        <w:rPr/>
        <w:t>los terrenos donde se ubican los edificios de oficinas administrativas, así como los terrenos distribuidos en todo el país correspondientes para proyectos sociales, valorados al costo histórico, cuya titularidad se encuentra a nombre del IMAS.</w:t>
      </w:r>
      <w:r>
        <w:rPr>
          <w:spacing w:val="40"/>
        </w:rPr>
        <w:t> </w:t>
      </w:r>
      <w:r>
        <w:rPr/>
        <w:t>Aunque la Norma</w:t>
      </w:r>
      <w:r>
        <w:rPr>
          <w:spacing w:val="-7"/>
        </w:rPr>
        <w:t> </w:t>
      </w:r>
      <w:r>
        <w:rPr/>
        <w:t>NICSP</w:t>
      </w:r>
      <w:r>
        <w:rPr>
          <w:spacing w:val="-7"/>
        </w:rPr>
        <w:t> </w:t>
      </w:r>
      <w:r>
        <w:rPr/>
        <w:t>17</w:t>
      </w:r>
      <w:r>
        <w:rPr>
          <w:spacing w:val="-7"/>
        </w:rPr>
        <w:t> </w:t>
      </w:r>
      <w:r>
        <w:rPr/>
        <w:t>solicita</w:t>
      </w:r>
      <w:r>
        <w:rPr>
          <w:spacing w:val="-6"/>
        </w:rPr>
        <w:t> </w:t>
      </w:r>
      <w:r>
        <w:rPr/>
        <w:t>el</w:t>
      </w:r>
      <w:r>
        <w:rPr>
          <w:spacing w:val="-7"/>
        </w:rPr>
        <w:t> </w:t>
      </w:r>
      <w:r>
        <w:rPr/>
        <w:t>registro</w:t>
      </w:r>
      <w:r>
        <w:rPr>
          <w:spacing w:val="-8"/>
        </w:rPr>
        <w:t> </w:t>
      </w:r>
      <w:r>
        <w:rPr/>
        <w:t>separado,</w:t>
      </w:r>
      <w:r>
        <w:rPr>
          <w:spacing w:val="-6"/>
        </w:rPr>
        <w:t> </w:t>
      </w:r>
      <w:r>
        <w:rPr/>
        <w:t>se</w:t>
      </w:r>
      <w:r>
        <w:rPr>
          <w:spacing w:val="-7"/>
        </w:rPr>
        <w:t> </w:t>
      </w:r>
      <w:r>
        <w:rPr/>
        <w:t>aclara</w:t>
      </w:r>
      <w:r>
        <w:rPr>
          <w:spacing w:val="-7"/>
        </w:rPr>
        <w:t> </w:t>
      </w:r>
      <w:r>
        <w:rPr/>
        <w:t>que</w:t>
      </w:r>
      <w:r>
        <w:rPr>
          <w:spacing w:val="-7"/>
        </w:rPr>
        <w:t> </w:t>
      </w:r>
      <w:r>
        <w:rPr/>
        <w:t>la</w:t>
      </w:r>
      <w:r>
        <w:rPr>
          <w:spacing w:val="-7"/>
        </w:rPr>
        <w:t> </w:t>
      </w:r>
      <w:r>
        <w:rPr/>
        <w:t>partida</w:t>
      </w:r>
      <w:r>
        <w:rPr>
          <w:spacing w:val="-7"/>
        </w:rPr>
        <w:t> </w:t>
      </w:r>
      <w:r>
        <w:rPr/>
        <w:t>de</w:t>
      </w:r>
      <w:r>
        <w:rPr>
          <w:spacing w:val="-8"/>
        </w:rPr>
        <w:t> </w:t>
      </w:r>
      <w:r>
        <w:rPr/>
        <w:t>edificios</w:t>
      </w:r>
      <w:r>
        <w:rPr>
          <w:spacing w:val="-5"/>
        </w:rPr>
        <w:t> </w:t>
      </w:r>
      <w:r>
        <w:rPr/>
        <w:t>incluye</w:t>
      </w:r>
      <w:r>
        <w:rPr>
          <w:spacing w:val="-7"/>
        </w:rPr>
        <w:t> </w:t>
      </w:r>
      <w:r>
        <w:rPr/>
        <w:t>los</w:t>
      </w:r>
      <w:r>
        <w:rPr>
          <w:spacing w:val="-5"/>
        </w:rPr>
        <w:t> </w:t>
      </w:r>
      <w:r>
        <w:rPr/>
        <w:t>terrenos donde están los edificios de oficinas administrativas.</w:t>
      </w:r>
    </w:p>
    <w:p>
      <w:pPr>
        <w:pStyle w:val="BodyText"/>
        <w:spacing w:before="159"/>
        <w:ind w:left="730" w:right="1119"/>
        <w:jc w:val="both"/>
      </w:pPr>
      <w:r>
        <w:rPr/>
        <w:t>Todos los terrenos están registrados en el Registro Público y</w:t>
      </w:r>
      <w:r>
        <w:rPr>
          <w:spacing w:val="-1"/>
        </w:rPr>
        <w:t> </w:t>
      </w:r>
      <w:r>
        <w:rPr/>
        <w:t>cada</w:t>
      </w:r>
      <w:r>
        <w:rPr>
          <w:spacing w:val="-1"/>
        </w:rPr>
        <w:t> </w:t>
      </w:r>
      <w:r>
        <w:rPr/>
        <w:t>año se</w:t>
      </w:r>
      <w:r>
        <w:rPr>
          <w:spacing w:val="-1"/>
        </w:rPr>
        <w:t> </w:t>
      </w:r>
      <w:r>
        <w:rPr/>
        <w:t>hace</w:t>
      </w:r>
      <w:r>
        <w:rPr>
          <w:spacing w:val="-2"/>
        </w:rPr>
        <w:t> </w:t>
      </w:r>
      <w:r>
        <w:rPr/>
        <w:t>una</w:t>
      </w:r>
      <w:r>
        <w:rPr>
          <w:spacing w:val="-1"/>
        </w:rPr>
        <w:t> </w:t>
      </w:r>
      <w:r>
        <w:rPr/>
        <w:t>conciliación.</w:t>
      </w:r>
      <w:r>
        <w:rPr>
          <w:spacing w:val="-1"/>
        </w:rPr>
        <w:t> </w:t>
      </w:r>
      <w:r>
        <w:rPr/>
        <w:t>La Institución</w:t>
      </w:r>
      <w:r>
        <w:rPr>
          <w:spacing w:val="-3"/>
        </w:rPr>
        <w:t> </w:t>
      </w:r>
      <w:r>
        <w:rPr/>
        <w:t>cuenta</w:t>
      </w:r>
      <w:r>
        <w:rPr>
          <w:spacing w:val="-3"/>
        </w:rPr>
        <w:t> </w:t>
      </w:r>
      <w:r>
        <w:rPr/>
        <w:t>con</w:t>
      </w:r>
      <w:r>
        <w:rPr>
          <w:spacing w:val="-3"/>
        </w:rPr>
        <w:t> </w:t>
      </w:r>
      <w:r>
        <w:rPr/>
        <w:t>auxiliares</w:t>
      </w:r>
      <w:r>
        <w:rPr>
          <w:spacing w:val="-2"/>
        </w:rPr>
        <w:t> </w:t>
      </w:r>
      <w:r>
        <w:rPr/>
        <w:t>debidamente</w:t>
      </w:r>
      <w:r>
        <w:rPr>
          <w:spacing w:val="-3"/>
        </w:rPr>
        <w:t> </w:t>
      </w:r>
      <w:r>
        <w:rPr/>
        <w:t>conciliados</w:t>
      </w:r>
      <w:r>
        <w:rPr>
          <w:spacing w:val="-2"/>
        </w:rPr>
        <w:t> </w:t>
      </w:r>
      <w:r>
        <w:rPr/>
        <w:t>con</w:t>
      </w:r>
      <w:r>
        <w:rPr>
          <w:spacing w:val="-3"/>
        </w:rPr>
        <w:t> </w:t>
      </w:r>
      <w:r>
        <w:rPr/>
        <w:t>el</w:t>
      </w:r>
      <w:r>
        <w:rPr>
          <w:spacing w:val="-3"/>
        </w:rPr>
        <w:t> </w:t>
      </w:r>
      <w:r>
        <w:rPr/>
        <w:t>Registro</w:t>
      </w:r>
      <w:r>
        <w:rPr>
          <w:spacing w:val="-4"/>
        </w:rPr>
        <w:t> </w:t>
      </w:r>
      <w:r>
        <w:rPr/>
        <w:t>de</w:t>
      </w:r>
      <w:r>
        <w:rPr>
          <w:spacing w:val="-5"/>
        </w:rPr>
        <w:t> </w:t>
      </w:r>
      <w:r>
        <w:rPr/>
        <w:t>la</w:t>
      </w:r>
      <w:r>
        <w:rPr>
          <w:spacing w:val="-5"/>
        </w:rPr>
        <w:t> </w:t>
      </w:r>
      <w:r>
        <w:rPr/>
        <w:t>Propiedad,</w:t>
      </w:r>
      <w:r>
        <w:rPr>
          <w:spacing w:val="-3"/>
        </w:rPr>
        <w:t> </w:t>
      </w:r>
      <w:r>
        <w:rPr/>
        <w:t>pero</w:t>
      </w:r>
      <w:r>
        <w:rPr>
          <w:spacing w:val="-3"/>
        </w:rPr>
        <w:t> </w:t>
      </w:r>
      <w:r>
        <w:rPr/>
        <w:t>no se cuenta con un detalle descriptivo de ocupación.</w:t>
      </w:r>
    </w:p>
    <w:p>
      <w:pPr>
        <w:pStyle w:val="BodyText"/>
        <w:spacing w:before="3"/>
      </w:pPr>
    </w:p>
    <w:p>
      <w:pPr>
        <w:pStyle w:val="BodyText"/>
        <w:spacing w:line="250" w:lineRule="exact"/>
        <w:ind w:left="730"/>
        <w:jc w:val="both"/>
      </w:pPr>
      <w:r>
        <w:rPr/>
        <w:t>Al</w:t>
      </w:r>
      <w:r>
        <w:rPr>
          <w:spacing w:val="74"/>
        </w:rPr>
        <w:t> </w:t>
      </w:r>
      <w:r>
        <w:rPr/>
        <w:t>31</w:t>
      </w:r>
      <w:r>
        <w:rPr>
          <w:spacing w:val="76"/>
        </w:rPr>
        <w:t> </w:t>
      </w:r>
      <w:r>
        <w:rPr/>
        <w:t>de</w:t>
      </w:r>
      <w:r>
        <w:rPr>
          <w:spacing w:val="74"/>
        </w:rPr>
        <w:t> </w:t>
      </w:r>
      <w:r>
        <w:rPr/>
        <w:t>julio</w:t>
      </w:r>
      <w:r>
        <w:rPr>
          <w:spacing w:val="77"/>
        </w:rPr>
        <w:t> </w:t>
      </w:r>
      <w:r>
        <w:rPr/>
        <w:t>2026</w:t>
      </w:r>
      <w:r>
        <w:rPr>
          <w:spacing w:val="75"/>
        </w:rPr>
        <w:t> </w:t>
      </w:r>
      <w:r>
        <w:rPr/>
        <w:t>y</w:t>
      </w:r>
      <w:r>
        <w:rPr>
          <w:spacing w:val="76"/>
        </w:rPr>
        <w:t> </w:t>
      </w:r>
      <w:r>
        <w:rPr/>
        <w:t>2025,</w:t>
      </w:r>
      <w:r>
        <w:rPr>
          <w:spacing w:val="76"/>
        </w:rPr>
        <w:t> </w:t>
      </w:r>
      <w:r>
        <w:rPr/>
        <w:t>los</w:t>
      </w:r>
      <w:r>
        <w:rPr>
          <w:spacing w:val="77"/>
        </w:rPr>
        <w:t> </w:t>
      </w:r>
      <w:r>
        <w:rPr/>
        <w:t>terrenos</w:t>
      </w:r>
      <w:r>
        <w:rPr>
          <w:spacing w:val="76"/>
        </w:rPr>
        <w:t> </w:t>
      </w:r>
      <w:r>
        <w:rPr/>
        <w:t>para</w:t>
      </w:r>
      <w:r>
        <w:rPr>
          <w:spacing w:val="76"/>
        </w:rPr>
        <w:t> </w:t>
      </w:r>
      <w:r>
        <w:rPr/>
        <w:t>proyectos</w:t>
      </w:r>
      <w:r>
        <w:rPr>
          <w:spacing w:val="75"/>
        </w:rPr>
        <w:t> </w:t>
      </w:r>
      <w:r>
        <w:rPr/>
        <w:t>sociales</w:t>
      </w:r>
      <w:r>
        <w:rPr>
          <w:spacing w:val="77"/>
        </w:rPr>
        <w:t> </w:t>
      </w:r>
      <w:r>
        <w:rPr/>
        <w:t>ascienden</w:t>
      </w:r>
      <w:r>
        <w:rPr>
          <w:spacing w:val="77"/>
        </w:rPr>
        <w:t> </w:t>
      </w:r>
      <w:r>
        <w:rPr/>
        <w:t>a</w:t>
      </w:r>
      <w:r>
        <w:rPr>
          <w:spacing w:val="75"/>
        </w:rPr>
        <w:t> </w:t>
      </w:r>
      <w:r>
        <w:rPr/>
        <w:t>la</w:t>
      </w:r>
      <w:r>
        <w:rPr>
          <w:spacing w:val="75"/>
        </w:rPr>
        <w:t> </w:t>
      </w:r>
      <w:r>
        <w:rPr/>
        <w:t>suma</w:t>
      </w:r>
      <w:r>
        <w:rPr>
          <w:spacing w:val="76"/>
        </w:rPr>
        <w:t> </w:t>
      </w:r>
      <w:r>
        <w:rPr>
          <w:spacing w:val="-5"/>
        </w:rPr>
        <w:t>de</w:t>
      </w:r>
    </w:p>
    <w:p>
      <w:pPr>
        <w:pStyle w:val="BodyText"/>
        <w:ind w:left="730" w:right="928"/>
        <w:jc w:val="both"/>
      </w:pPr>
      <w:r>
        <w:rPr/>
        <w:t>¢126.191.204,95 (¢127.268.877,25 en el 2025) y corresponde a terrenos adquiridos por el IMAS o donados por instituciones gubernamentales al IMAS, para la atención de los diferentes programas sociales que mantienen vigentes.</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1344">
                <wp:simplePos x="0" y="0"/>
                <wp:positionH relativeFrom="page">
                  <wp:posOffset>9525</wp:posOffset>
                </wp:positionH>
                <wp:positionV relativeFrom="page">
                  <wp:posOffset>297208</wp:posOffset>
                </wp:positionV>
                <wp:extent cx="7762875" cy="9748520"/>
                <wp:effectExtent l="0" t="0" r="0" b="0"/>
                <wp:wrapNone/>
                <wp:docPr id="1003" name="Group 1003"/>
                <wp:cNvGraphicFramePr>
                  <a:graphicFrameLocks/>
                </wp:cNvGraphicFramePr>
                <a:graphic>
                  <a:graphicData uri="http://schemas.microsoft.com/office/word/2010/wordprocessingGroup">
                    <wpg:wgp>
                      <wpg:cNvPr id="1003" name="Group 1003"/>
                      <wpg:cNvGrpSpPr/>
                      <wpg:grpSpPr>
                        <a:xfrm>
                          <a:off x="0" y="0"/>
                          <a:ext cx="7762875" cy="9748520"/>
                          <a:chExt cx="7762875" cy="9748520"/>
                        </a:xfrm>
                      </wpg:grpSpPr>
                      <pic:pic>
                        <pic:nvPicPr>
                          <pic:cNvPr id="1004" name="Image 1004"/>
                          <pic:cNvPicPr/>
                        </pic:nvPicPr>
                        <pic:blipFill>
                          <a:blip r:embed="rId5" cstate="print"/>
                          <a:stretch>
                            <a:fillRect/>
                          </a:stretch>
                        </pic:blipFill>
                        <pic:spPr>
                          <a:xfrm>
                            <a:off x="0" y="0"/>
                            <a:ext cx="7762874" cy="9748489"/>
                          </a:xfrm>
                          <a:prstGeom prst="rect">
                            <a:avLst/>
                          </a:prstGeom>
                        </pic:spPr>
                      </pic:pic>
                      <wps:wsp>
                        <wps:cNvPr id="1005" name="Graphic 100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5136" id="docshapegroup950" coordorigin="15,468" coordsize="12225,15352">
                <v:shape style="position:absolute;left:15;top:468;width:12225;height:15352" type="#_x0000_t75" id="docshape951" stroked="false">
                  <v:imagedata r:id="rId5" o:title=""/>
                </v:shape>
                <v:rect style="position:absolute;left:1673;top:2028;width:8897;height:15" id="docshape95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192</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02"/>
        <w:gridCol w:w="903"/>
      </w:tblGrid>
      <w:tr>
        <w:trPr>
          <w:trHeight w:val="2524" w:hRule="atLeast"/>
        </w:trPr>
        <w:tc>
          <w:tcPr>
            <w:tcW w:w="895" w:type="dxa"/>
            <w:tcBorders>
              <w:bottom w:val="nil"/>
              <w:right w:val="single" w:sz="2" w:space="0" w:color="000000"/>
            </w:tcBorders>
          </w:tcPr>
          <w:p>
            <w:pPr>
              <w:pStyle w:val="TableParagraph"/>
              <w:rPr>
                <w:rFonts w:ascii="Times New Roman"/>
                <w:sz w:val="18"/>
              </w:rPr>
            </w:pPr>
          </w:p>
        </w:tc>
        <w:tc>
          <w:tcPr>
            <w:tcW w:w="7202" w:type="dxa"/>
            <w:tcBorders>
              <w:top w:val="single" w:sz="6" w:space="0" w:color="000000"/>
              <w:left w:val="single" w:sz="2" w:space="0" w:color="000000"/>
            </w:tcBorders>
          </w:tcPr>
          <w:p>
            <w:pPr>
              <w:pStyle w:val="TableParagraph"/>
              <w:tabs>
                <w:tab w:pos="6347" w:val="left" w:leader="none"/>
              </w:tabs>
              <w:spacing w:before="23"/>
              <w:ind w:left="4389"/>
              <w:rPr>
                <w:rFonts w:ascii="Times New Roman"/>
                <w:b/>
                <w:sz w:val="17"/>
              </w:rPr>
            </w:pPr>
            <w:r>
              <w:rPr>
                <w:rFonts w:ascii="Times New Roman"/>
                <w:b/>
                <w:spacing w:val="-4"/>
                <w:w w:val="105"/>
                <w:sz w:val="17"/>
                <w:u w:val="single"/>
              </w:rPr>
              <w:t>2026</w:t>
            </w:r>
            <w:r>
              <w:rPr>
                <w:rFonts w:ascii="Times New Roman"/>
                <w:b/>
                <w:sz w:val="17"/>
                <w:u w:val="none"/>
              </w:rPr>
              <w:tab/>
            </w:r>
            <w:r>
              <w:rPr>
                <w:rFonts w:ascii="Times New Roman"/>
                <w:b/>
                <w:spacing w:val="-4"/>
                <w:w w:val="105"/>
                <w:sz w:val="17"/>
                <w:u w:val="single"/>
              </w:rPr>
              <w:t>2025</w:t>
            </w:r>
          </w:p>
          <w:p>
            <w:pPr>
              <w:pStyle w:val="TableParagraph"/>
              <w:spacing w:before="38"/>
              <w:ind w:left="28"/>
              <w:rPr>
                <w:rFonts w:ascii="Arial"/>
                <w:b/>
                <w:sz w:val="16"/>
              </w:rPr>
            </w:pPr>
            <w:r>
              <w:rPr>
                <w:rFonts w:ascii="Arial"/>
                <w:b/>
                <w:spacing w:val="-2"/>
                <w:sz w:val="16"/>
              </w:rPr>
              <w:t>Tierras</w:t>
            </w:r>
            <w:r>
              <w:rPr>
                <w:rFonts w:ascii="Arial"/>
                <w:b/>
                <w:spacing w:val="-5"/>
                <w:sz w:val="16"/>
              </w:rPr>
              <w:t> </w:t>
            </w:r>
            <w:r>
              <w:rPr>
                <w:rFonts w:ascii="Arial"/>
                <w:b/>
                <w:spacing w:val="-2"/>
                <w:sz w:val="16"/>
              </w:rPr>
              <w:t>y</w:t>
            </w:r>
            <w:r>
              <w:rPr>
                <w:rFonts w:ascii="Arial"/>
                <w:b/>
                <w:sz w:val="16"/>
              </w:rPr>
              <w:t> </w:t>
            </w:r>
            <w:r>
              <w:rPr>
                <w:rFonts w:ascii="Arial"/>
                <w:b/>
                <w:spacing w:val="-2"/>
                <w:sz w:val="16"/>
              </w:rPr>
              <w:t>terrenos</w:t>
            </w:r>
            <w:r>
              <w:rPr>
                <w:rFonts w:ascii="Arial"/>
                <w:b/>
                <w:spacing w:val="-5"/>
                <w:sz w:val="16"/>
              </w:rPr>
              <w:t> </w:t>
            </w:r>
            <w:r>
              <w:rPr>
                <w:rFonts w:ascii="Arial"/>
                <w:b/>
                <w:spacing w:val="-2"/>
                <w:sz w:val="16"/>
              </w:rPr>
              <w:t>libres</w:t>
            </w:r>
            <w:r>
              <w:rPr>
                <w:rFonts w:ascii="Arial"/>
                <w:b/>
                <w:spacing w:val="-5"/>
                <w:sz w:val="16"/>
              </w:rPr>
              <w:t> </w:t>
            </w:r>
            <w:r>
              <w:rPr>
                <w:rFonts w:ascii="Arial"/>
                <w:b/>
                <w:spacing w:val="-2"/>
                <w:sz w:val="16"/>
              </w:rPr>
              <w:t>de</w:t>
            </w:r>
            <w:r>
              <w:rPr>
                <w:rFonts w:ascii="Arial"/>
                <w:b/>
                <w:spacing w:val="-5"/>
                <w:sz w:val="16"/>
              </w:rPr>
              <w:t> </w:t>
            </w:r>
            <w:r>
              <w:rPr>
                <w:rFonts w:ascii="Arial"/>
                <w:b/>
                <w:spacing w:val="-2"/>
                <w:sz w:val="16"/>
              </w:rPr>
              <w:t>mejoras</w:t>
            </w:r>
          </w:p>
          <w:p>
            <w:pPr>
              <w:pStyle w:val="TableParagraph"/>
              <w:tabs>
                <w:tab w:pos="4662" w:val="left" w:leader="none"/>
                <w:tab w:pos="6596" w:val="left" w:leader="none"/>
              </w:tabs>
              <w:spacing w:before="34"/>
              <w:ind w:left="28"/>
              <w:rPr>
                <w:rFonts w:ascii="Calibri" w:hAnsi="Calibri"/>
                <w:sz w:val="17"/>
              </w:rPr>
            </w:pPr>
            <w:r>
              <w:rPr>
                <w:rFonts w:ascii="Arial" w:hAnsi="Arial"/>
                <w:spacing w:val="-4"/>
                <w:sz w:val="16"/>
              </w:rPr>
              <w:t>Terrenos</w:t>
            </w:r>
            <w:r>
              <w:rPr>
                <w:rFonts w:ascii="Arial" w:hAnsi="Arial"/>
                <w:spacing w:val="4"/>
                <w:sz w:val="16"/>
              </w:rPr>
              <w:t> </w:t>
            </w:r>
            <w:r>
              <w:rPr>
                <w:rFonts w:ascii="Arial" w:hAnsi="Arial"/>
                <w:spacing w:val="-4"/>
                <w:sz w:val="16"/>
              </w:rPr>
              <w:t>para</w:t>
            </w:r>
            <w:r>
              <w:rPr>
                <w:rFonts w:ascii="Arial" w:hAnsi="Arial"/>
                <w:spacing w:val="-6"/>
                <w:sz w:val="16"/>
              </w:rPr>
              <w:t> </w:t>
            </w:r>
            <w:r>
              <w:rPr>
                <w:rFonts w:ascii="Arial" w:hAnsi="Arial"/>
                <w:spacing w:val="-4"/>
                <w:sz w:val="16"/>
              </w:rPr>
              <w:t>construcción</w:t>
            </w:r>
            <w:r>
              <w:rPr>
                <w:rFonts w:ascii="Arial" w:hAnsi="Arial"/>
                <w:sz w:val="16"/>
              </w:rPr>
              <w:t> </w:t>
            </w:r>
            <w:r>
              <w:rPr>
                <w:rFonts w:ascii="Arial" w:hAnsi="Arial"/>
                <w:spacing w:val="-4"/>
                <w:sz w:val="16"/>
              </w:rPr>
              <w:t>de</w:t>
            </w:r>
            <w:r>
              <w:rPr>
                <w:rFonts w:ascii="Arial" w:hAnsi="Arial"/>
                <w:spacing w:val="-5"/>
                <w:sz w:val="16"/>
              </w:rPr>
              <w:t> </w:t>
            </w:r>
            <w:r>
              <w:rPr>
                <w:rFonts w:ascii="Arial" w:hAnsi="Arial"/>
                <w:spacing w:val="-4"/>
                <w:sz w:val="16"/>
              </w:rPr>
              <w:t>edificios</w:t>
            </w:r>
            <w:r>
              <w:rPr>
                <w:rFonts w:ascii="Arial" w:hAnsi="Arial"/>
                <w:sz w:val="16"/>
              </w:rPr>
              <w:tab/>
            </w:r>
            <w:r>
              <w:rPr>
                <w:rFonts w:ascii="Arial" w:hAnsi="Arial"/>
                <w:spacing w:val="-2"/>
                <w:sz w:val="16"/>
              </w:rPr>
              <w:t>432</w:t>
            </w:r>
            <w:r>
              <w:rPr>
                <w:rFonts w:ascii="Arial" w:hAnsi="Arial"/>
                <w:spacing w:val="-8"/>
                <w:sz w:val="16"/>
              </w:rPr>
              <w:t> </w:t>
            </w:r>
            <w:r>
              <w:rPr>
                <w:rFonts w:ascii="Arial" w:hAnsi="Arial"/>
                <w:spacing w:val="-5"/>
                <w:sz w:val="16"/>
              </w:rPr>
              <w:t>407</w:t>
            </w:r>
            <w:r>
              <w:rPr>
                <w:rFonts w:ascii="Arial" w:hAnsi="Arial"/>
                <w:sz w:val="16"/>
              </w:rPr>
              <w:tab/>
            </w:r>
            <w:r>
              <w:rPr>
                <w:rFonts w:ascii="Calibri" w:hAnsi="Calibri"/>
                <w:sz w:val="17"/>
              </w:rPr>
              <w:t>432</w:t>
            </w:r>
            <w:r>
              <w:rPr>
                <w:rFonts w:ascii="Calibri" w:hAnsi="Calibri"/>
                <w:spacing w:val="10"/>
                <w:sz w:val="17"/>
              </w:rPr>
              <w:t> </w:t>
            </w:r>
            <w:r>
              <w:rPr>
                <w:rFonts w:ascii="Calibri" w:hAnsi="Calibri"/>
                <w:spacing w:val="-5"/>
                <w:sz w:val="17"/>
              </w:rPr>
              <w:t>407</w:t>
            </w:r>
          </w:p>
          <w:p>
            <w:pPr>
              <w:pStyle w:val="TableParagraph"/>
              <w:tabs>
                <w:tab w:pos="4695" w:val="left" w:leader="none"/>
                <w:tab w:pos="6634" w:val="left" w:leader="none"/>
              </w:tabs>
              <w:spacing w:before="23"/>
              <w:ind w:left="28"/>
              <w:rPr>
                <w:rFonts w:ascii="Calibri" w:hAnsi="Calibri"/>
                <w:sz w:val="17"/>
              </w:rPr>
            </w:pPr>
            <w:r>
              <w:rPr>
                <w:rFonts w:ascii="Arial" w:hAnsi="Arial"/>
                <w:spacing w:val="-4"/>
                <w:sz w:val="16"/>
              </w:rPr>
              <w:t>Pérdidas</w:t>
            </w:r>
            <w:r>
              <w:rPr>
                <w:rFonts w:ascii="Arial" w:hAnsi="Arial"/>
                <w:spacing w:val="-3"/>
                <w:sz w:val="16"/>
              </w:rPr>
              <w:t> </w:t>
            </w:r>
            <w:r>
              <w:rPr>
                <w:rFonts w:ascii="Arial" w:hAnsi="Arial"/>
                <w:spacing w:val="-4"/>
                <w:sz w:val="16"/>
              </w:rPr>
              <w:t>por deterioro</w:t>
            </w:r>
            <w:r>
              <w:rPr>
                <w:rFonts w:ascii="Arial" w:hAnsi="Arial"/>
                <w:sz w:val="16"/>
              </w:rPr>
              <w:tab/>
            </w:r>
            <w:r>
              <w:rPr>
                <w:rFonts w:ascii="Arial" w:hAnsi="Arial"/>
                <w:spacing w:val="-2"/>
                <w:sz w:val="16"/>
              </w:rPr>
              <w:t>-27</w:t>
            </w:r>
            <w:r>
              <w:rPr>
                <w:rFonts w:ascii="Arial" w:hAnsi="Arial"/>
                <w:spacing w:val="-6"/>
                <w:sz w:val="16"/>
              </w:rPr>
              <w:t> </w:t>
            </w:r>
            <w:r>
              <w:rPr>
                <w:rFonts w:ascii="Arial" w:hAnsi="Arial"/>
                <w:spacing w:val="-5"/>
                <w:sz w:val="16"/>
              </w:rPr>
              <w:t>517</w:t>
            </w:r>
            <w:r>
              <w:rPr>
                <w:rFonts w:ascii="Arial" w:hAnsi="Arial"/>
                <w:sz w:val="16"/>
              </w:rPr>
              <w:tab/>
            </w:r>
            <w:r>
              <w:rPr>
                <w:rFonts w:ascii="Calibri" w:hAnsi="Calibri"/>
                <w:sz w:val="17"/>
              </w:rPr>
              <w:t>-27</w:t>
            </w:r>
            <w:r>
              <w:rPr>
                <w:rFonts w:ascii="Calibri" w:hAnsi="Calibri"/>
                <w:spacing w:val="6"/>
                <w:sz w:val="17"/>
              </w:rPr>
              <w:t> </w:t>
            </w:r>
            <w:r>
              <w:rPr>
                <w:rFonts w:ascii="Calibri" w:hAnsi="Calibri"/>
                <w:spacing w:val="-5"/>
                <w:sz w:val="17"/>
              </w:rPr>
              <w:t>517</w:t>
            </w:r>
          </w:p>
          <w:p>
            <w:pPr>
              <w:pStyle w:val="TableParagraph"/>
              <w:tabs>
                <w:tab w:pos="4662" w:val="left" w:leader="none"/>
                <w:tab w:pos="6596" w:val="left" w:leader="none"/>
              </w:tabs>
              <w:spacing w:before="22"/>
              <w:ind w:left="28"/>
              <w:rPr>
                <w:rFonts w:ascii="Calibri" w:hAnsi="Calibri"/>
                <w:b/>
                <w:sz w:val="17"/>
              </w:rPr>
            </w:pPr>
            <w:r>
              <w:rPr>
                <w:rFonts w:ascii="Arial" w:hAnsi="Arial"/>
                <w:b/>
                <w:spacing w:val="-2"/>
                <w:sz w:val="16"/>
              </w:rPr>
              <w:t>Total</w:t>
            </w:r>
            <w:r>
              <w:rPr>
                <w:rFonts w:ascii="Arial" w:hAnsi="Arial"/>
                <w:b/>
                <w:spacing w:val="-6"/>
                <w:sz w:val="16"/>
              </w:rPr>
              <w:t> </w:t>
            </w:r>
            <w:r>
              <w:rPr>
                <w:rFonts w:ascii="Arial" w:hAnsi="Arial"/>
                <w:b/>
                <w:spacing w:val="-2"/>
                <w:sz w:val="16"/>
              </w:rPr>
              <w:t>Terrenos</w:t>
            </w:r>
            <w:r>
              <w:rPr>
                <w:rFonts w:ascii="Arial" w:hAnsi="Arial"/>
                <w:b/>
                <w:spacing w:val="-6"/>
                <w:sz w:val="16"/>
              </w:rPr>
              <w:t> </w:t>
            </w:r>
            <w:r>
              <w:rPr>
                <w:rFonts w:ascii="Arial" w:hAnsi="Arial"/>
                <w:b/>
                <w:spacing w:val="-2"/>
                <w:sz w:val="16"/>
              </w:rPr>
              <w:t>para</w:t>
            </w:r>
            <w:r>
              <w:rPr>
                <w:rFonts w:ascii="Arial" w:hAnsi="Arial"/>
                <w:b/>
                <w:spacing w:val="-7"/>
                <w:sz w:val="16"/>
              </w:rPr>
              <w:t> </w:t>
            </w:r>
            <w:r>
              <w:rPr>
                <w:rFonts w:ascii="Arial" w:hAnsi="Arial"/>
                <w:b/>
                <w:spacing w:val="-2"/>
                <w:sz w:val="16"/>
              </w:rPr>
              <w:t>construcción</w:t>
            </w:r>
            <w:r>
              <w:rPr>
                <w:rFonts w:ascii="Arial" w:hAnsi="Arial"/>
                <w:b/>
                <w:spacing w:val="-5"/>
                <w:sz w:val="16"/>
              </w:rPr>
              <w:t> </w:t>
            </w:r>
            <w:r>
              <w:rPr>
                <w:rFonts w:ascii="Arial" w:hAnsi="Arial"/>
                <w:b/>
                <w:spacing w:val="-2"/>
                <w:sz w:val="16"/>
              </w:rPr>
              <w:t>de</w:t>
            </w:r>
            <w:r>
              <w:rPr>
                <w:rFonts w:ascii="Arial" w:hAnsi="Arial"/>
                <w:b/>
                <w:spacing w:val="-6"/>
                <w:sz w:val="16"/>
              </w:rPr>
              <w:t> </w:t>
            </w:r>
            <w:r>
              <w:rPr>
                <w:rFonts w:ascii="Arial" w:hAnsi="Arial"/>
                <w:b/>
                <w:spacing w:val="-2"/>
                <w:sz w:val="16"/>
              </w:rPr>
              <w:t>edificios</w:t>
            </w:r>
            <w:r>
              <w:rPr>
                <w:rFonts w:ascii="Arial" w:hAnsi="Arial"/>
                <w:b/>
                <w:sz w:val="16"/>
              </w:rPr>
              <w:tab/>
            </w:r>
            <w:r>
              <w:rPr>
                <w:rFonts w:ascii="Arial" w:hAnsi="Arial"/>
                <w:b/>
                <w:spacing w:val="-2"/>
                <w:sz w:val="16"/>
              </w:rPr>
              <w:t>404</w:t>
            </w:r>
            <w:r>
              <w:rPr>
                <w:rFonts w:ascii="Arial" w:hAnsi="Arial"/>
                <w:b/>
                <w:spacing w:val="-8"/>
                <w:sz w:val="16"/>
              </w:rPr>
              <w:t> </w:t>
            </w:r>
            <w:r>
              <w:rPr>
                <w:rFonts w:ascii="Arial" w:hAnsi="Arial"/>
                <w:b/>
                <w:spacing w:val="-5"/>
                <w:sz w:val="16"/>
              </w:rPr>
              <w:t>890</w:t>
            </w:r>
            <w:r>
              <w:rPr>
                <w:rFonts w:ascii="Arial" w:hAnsi="Arial"/>
                <w:b/>
                <w:sz w:val="16"/>
              </w:rPr>
              <w:tab/>
            </w:r>
            <w:r>
              <w:rPr>
                <w:rFonts w:ascii="Calibri" w:hAnsi="Calibri"/>
                <w:b/>
                <w:sz w:val="17"/>
              </w:rPr>
              <w:t>404</w:t>
            </w:r>
            <w:r>
              <w:rPr>
                <w:rFonts w:ascii="Calibri" w:hAnsi="Calibri"/>
                <w:b/>
                <w:spacing w:val="10"/>
                <w:sz w:val="17"/>
              </w:rPr>
              <w:t> </w:t>
            </w:r>
            <w:r>
              <w:rPr>
                <w:rFonts w:ascii="Calibri" w:hAnsi="Calibri"/>
                <w:b/>
                <w:spacing w:val="-5"/>
                <w:sz w:val="17"/>
              </w:rPr>
              <w:t>890</w:t>
            </w:r>
          </w:p>
          <w:p>
            <w:pPr>
              <w:pStyle w:val="TableParagraph"/>
              <w:spacing w:before="82"/>
              <w:rPr>
                <w:sz w:val="16"/>
              </w:rPr>
            </w:pPr>
          </w:p>
          <w:p>
            <w:pPr>
              <w:pStyle w:val="TableParagraph"/>
              <w:ind w:left="28"/>
              <w:jc w:val="both"/>
              <w:rPr>
                <w:rFonts w:ascii="Arial"/>
                <w:b/>
                <w:sz w:val="16"/>
              </w:rPr>
            </w:pPr>
            <w:r>
              <w:rPr>
                <w:rFonts w:ascii="Arial"/>
                <w:b/>
                <w:spacing w:val="-2"/>
                <w:sz w:val="16"/>
              </w:rPr>
              <w:t>Otras</w:t>
            </w:r>
            <w:r>
              <w:rPr>
                <w:rFonts w:ascii="Arial"/>
                <w:b/>
                <w:spacing w:val="-6"/>
                <w:sz w:val="16"/>
              </w:rPr>
              <w:t> </w:t>
            </w:r>
            <w:r>
              <w:rPr>
                <w:rFonts w:ascii="Arial"/>
                <w:b/>
                <w:spacing w:val="-2"/>
                <w:sz w:val="16"/>
              </w:rPr>
              <w:t>tierras</w:t>
            </w:r>
            <w:r>
              <w:rPr>
                <w:rFonts w:ascii="Arial"/>
                <w:b/>
                <w:spacing w:val="-6"/>
                <w:sz w:val="16"/>
              </w:rPr>
              <w:t> </w:t>
            </w:r>
            <w:r>
              <w:rPr>
                <w:rFonts w:ascii="Arial"/>
                <w:b/>
                <w:spacing w:val="-2"/>
                <w:sz w:val="16"/>
              </w:rPr>
              <w:t>y terrenos</w:t>
            </w:r>
            <w:r>
              <w:rPr>
                <w:rFonts w:ascii="Arial"/>
                <w:b/>
                <w:spacing w:val="-6"/>
                <w:sz w:val="16"/>
              </w:rPr>
              <w:t> </w:t>
            </w:r>
            <w:r>
              <w:rPr>
                <w:rFonts w:ascii="Arial"/>
                <w:b/>
                <w:spacing w:val="-2"/>
                <w:sz w:val="16"/>
              </w:rPr>
              <w:t>libres</w:t>
            </w:r>
            <w:r>
              <w:rPr>
                <w:rFonts w:ascii="Arial"/>
                <w:b/>
                <w:spacing w:val="-6"/>
                <w:sz w:val="16"/>
              </w:rPr>
              <w:t> </w:t>
            </w:r>
            <w:r>
              <w:rPr>
                <w:rFonts w:ascii="Arial"/>
                <w:b/>
                <w:spacing w:val="-2"/>
                <w:sz w:val="16"/>
              </w:rPr>
              <w:t>de</w:t>
            </w:r>
            <w:r>
              <w:rPr>
                <w:rFonts w:ascii="Arial"/>
                <w:b/>
                <w:spacing w:val="-5"/>
                <w:sz w:val="16"/>
              </w:rPr>
              <w:t> </w:t>
            </w:r>
            <w:r>
              <w:rPr>
                <w:rFonts w:ascii="Arial"/>
                <w:b/>
                <w:spacing w:val="-2"/>
                <w:sz w:val="16"/>
              </w:rPr>
              <w:t>mejoras</w:t>
            </w:r>
          </w:p>
          <w:p>
            <w:pPr>
              <w:pStyle w:val="TableParagraph"/>
              <w:tabs>
                <w:tab w:pos="4049" w:val="left" w:leader="none"/>
                <w:tab w:pos="6007" w:val="left" w:leader="none"/>
              </w:tabs>
              <w:spacing w:before="34"/>
              <w:ind w:left="28"/>
              <w:jc w:val="both"/>
              <w:rPr>
                <w:rFonts w:ascii="Calibri"/>
                <w:sz w:val="17"/>
              </w:rPr>
            </w:pPr>
            <w:r>
              <w:rPr>
                <w:rFonts w:ascii="Arial"/>
                <w:spacing w:val="-4"/>
                <w:sz w:val="16"/>
              </w:rPr>
              <w:t>Tierras</w:t>
            </w:r>
            <w:r>
              <w:rPr>
                <w:rFonts w:ascii="Arial"/>
                <w:spacing w:val="-6"/>
                <w:sz w:val="16"/>
              </w:rPr>
              <w:t> </w:t>
            </w:r>
            <w:r>
              <w:rPr>
                <w:rFonts w:ascii="Arial"/>
                <w:spacing w:val="-4"/>
                <w:sz w:val="16"/>
              </w:rPr>
              <w:t>y</w:t>
            </w:r>
            <w:r>
              <w:rPr>
                <w:rFonts w:ascii="Arial"/>
                <w:spacing w:val="-9"/>
                <w:sz w:val="16"/>
              </w:rPr>
              <w:t> </w:t>
            </w:r>
            <w:r>
              <w:rPr>
                <w:rFonts w:ascii="Arial"/>
                <w:spacing w:val="-4"/>
                <w:sz w:val="16"/>
              </w:rPr>
              <w:t>terrenos</w:t>
            </w:r>
            <w:r>
              <w:rPr>
                <w:rFonts w:ascii="Arial"/>
                <w:spacing w:val="-2"/>
                <w:sz w:val="16"/>
              </w:rPr>
              <w:t> </w:t>
            </w:r>
            <w:r>
              <w:rPr>
                <w:rFonts w:ascii="Arial"/>
                <w:spacing w:val="-4"/>
                <w:sz w:val="16"/>
              </w:rPr>
              <w:t>libres</w:t>
            </w:r>
            <w:r>
              <w:rPr>
                <w:rFonts w:ascii="Arial"/>
                <w:spacing w:val="-2"/>
                <w:sz w:val="16"/>
              </w:rPr>
              <w:t> </w:t>
            </w:r>
            <w:r>
              <w:rPr>
                <w:rFonts w:ascii="Arial"/>
                <w:spacing w:val="-4"/>
                <w:sz w:val="16"/>
              </w:rPr>
              <w:t>mejorasValores</w:t>
            </w:r>
            <w:r>
              <w:rPr>
                <w:rFonts w:ascii="Arial"/>
                <w:spacing w:val="-2"/>
                <w:sz w:val="16"/>
              </w:rPr>
              <w:t> </w:t>
            </w:r>
            <w:r>
              <w:rPr>
                <w:rFonts w:ascii="Arial"/>
                <w:spacing w:val="-4"/>
                <w:sz w:val="16"/>
              </w:rPr>
              <w:t>de</w:t>
            </w:r>
            <w:r>
              <w:rPr>
                <w:rFonts w:ascii="Arial"/>
                <w:spacing w:val="-9"/>
                <w:sz w:val="16"/>
              </w:rPr>
              <w:t> </w:t>
            </w:r>
            <w:r>
              <w:rPr>
                <w:rFonts w:ascii="Arial"/>
                <w:spacing w:val="-4"/>
                <w:sz w:val="16"/>
              </w:rPr>
              <w:t>origen</w:t>
            </w:r>
            <w:r>
              <w:rPr>
                <w:rFonts w:ascii="Arial"/>
                <w:sz w:val="16"/>
              </w:rPr>
              <w:tab/>
            </w:r>
            <w:r>
              <w:rPr>
                <w:rFonts w:ascii="Calibri"/>
                <w:sz w:val="17"/>
              </w:rPr>
              <w:t>125</w:t>
            </w:r>
            <w:r>
              <w:rPr>
                <w:rFonts w:ascii="Calibri"/>
                <w:spacing w:val="10"/>
                <w:sz w:val="17"/>
              </w:rPr>
              <w:t> </w:t>
            </w:r>
            <w:r>
              <w:rPr>
                <w:rFonts w:ascii="Calibri"/>
                <w:sz w:val="17"/>
              </w:rPr>
              <w:t>791</w:t>
            </w:r>
            <w:r>
              <w:rPr>
                <w:rFonts w:ascii="Calibri"/>
                <w:spacing w:val="10"/>
                <w:sz w:val="17"/>
              </w:rPr>
              <w:t> </w:t>
            </w:r>
            <w:r>
              <w:rPr>
                <w:rFonts w:ascii="Calibri"/>
                <w:spacing w:val="-2"/>
                <w:sz w:val="17"/>
              </w:rPr>
              <w:t>133,49</w:t>
            </w:r>
            <w:r>
              <w:rPr>
                <w:rFonts w:ascii="Calibri"/>
                <w:sz w:val="17"/>
              </w:rPr>
              <w:tab/>
              <w:t>126</w:t>
            </w:r>
            <w:r>
              <w:rPr>
                <w:rFonts w:ascii="Calibri"/>
                <w:spacing w:val="10"/>
                <w:sz w:val="17"/>
              </w:rPr>
              <w:t> </w:t>
            </w:r>
            <w:r>
              <w:rPr>
                <w:rFonts w:ascii="Calibri"/>
                <w:sz w:val="17"/>
              </w:rPr>
              <w:t>868</w:t>
            </w:r>
            <w:r>
              <w:rPr>
                <w:rFonts w:ascii="Calibri"/>
                <w:spacing w:val="10"/>
                <w:sz w:val="17"/>
              </w:rPr>
              <w:t> </w:t>
            </w:r>
            <w:r>
              <w:rPr>
                <w:rFonts w:ascii="Calibri"/>
                <w:spacing w:val="-2"/>
                <w:sz w:val="17"/>
              </w:rPr>
              <w:t>805,78</w:t>
            </w:r>
          </w:p>
          <w:p>
            <w:pPr>
              <w:pStyle w:val="TableParagraph"/>
              <w:tabs>
                <w:tab w:pos="3896" w:val="left" w:leader="none"/>
                <w:tab w:pos="4040" w:val="left" w:leader="none"/>
                <w:tab w:pos="4490" w:val="left" w:leader="none"/>
                <w:tab w:pos="5854" w:val="left" w:leader="none"/>
                <w:tab w:pos="5997" w:val="left" w:leader="none"/>
                <w:tab w:pos="6447" w:val="left" w:leader="none"/>
              </w:tabs>
              <w:spacing w:line="230" w:lineRule="exact"/>
              <w:ind w:left="28" w:right="-15"/>
              <w:jc w:val="both"/>
              <w:rPr>
                <w:rFonts w:ascii="Calibri" w:hAnsi="Calibri"/>
                <w:b/>
                <w:sz w:val="17"/>
              </w:rPr>
            </w:pPr>
            <w:r>
              <w:rPr>
                <w:rFonts w:ascii="Arial" w:hAnsi="Arial"/>
                <w:sz w:val="16"/>
              </w:rPr>
              <w:t>Pérdidas por deterioro</w:t>
              <w:tab/>
              <w:tab/>
              <w:tab/>
            </w:r>
            <w:r>
              <w:rPr>
                <w:rFonts w:ascii="Calibri" w:hAnsi="Calibri"/>
                <w:sz w:val="17"/>
              </w:rPr>
              <w:t>(4</w:t>
            </w:r>
            <w:r>
              <w:rPr>
                <w:rFonts w:ascii="Calibri" w:hAnsi="Calibri"/>
                <w:spacing w:val="-2"/>
                <w:sz w:val="17"/>
              </w:rPr>
              <w:t> </w:t>
            </w:r>
            <w:r>
              <w:rPr>
                <w:rFonts w:ascii="Calibri" w:hAnsi="Calibri"/>
                <w:sz w:val="17"/>
              </w:rPr>
              <w:t>818,53)</w:t>
              <w:tab/>
              <w:tab/>
              <w:tab/>
              <w:t>(4</w:t>
            </w:r>
            <w:r>
              <w:rPr>
                <w:rFonts w:ascii="Calibri" w:hAnsi="Calibri"/>
                <w:spacing w:val="-2"/>
                <w:sz w:val="17"/>
              </w:rPr>
              <w:t> </w:t>
            </w:r>
            <w:r>
              <w:rPr>
                <w:rFonts w:ascii="Calibri" w:hAnsi="Calibri"/>
                <w:sz w:val="17"/>
              </w:rPr>
              <w:t>818,53)</w:t>
            </w:r>
            <w:r>
              <w:rPr>
                <w:rFonts w:ascii="Calibri" w:hAnsi="Calibri"/>
                <w:spacing w:val="40"/>
                <w:sz w:val="17"/>
              </w:rPr>
              <w:t> </w:t>
            </w:r>
            <w:r>
              <w:rPr>
                <w:rFonts w:ascii="Arial" w:hAnsi="Arial"/>
                <w:b/>
                <w:sz w:val="16"/>
              </w:rPr>
              <w:t>Total Otras tierras y terrenos libres de mejo</w:t>
              <w:tab/>
            </w:r>
            <w:r>
              <w:rPr>
                <w:rFonts w:ascii="Calibri" w:hAnsi="Calibri"/>
                <w:b/>
                <w:spacing w:val="80"/>
                <w:sz w:val="17"/>
                <w:u w:val="single"/>
              </w:rPr>
              <w:t> </w:t>
            </w:r>
            <w:r>
              <w:rPr>
                <w:rFonts w:ascii="Calibri" w:hAnsi="Calibri"/>
                <w:b/>
                <w:sz w:val="17"/>
                <w:u w:val="single"/>
              </w:rPr>
              <w:t>125 786 314,95</w:t>
            </w:r>
            <w:r>
              <w:rPr>
                <w:rFonts w:ascii="Calibri" w:hAnsi="Calibri"/>
                <w:b/>
                <w:spacing w:val="40"/>
                <w:sz w:val="17"/>
                <w:u w:val="single"/>
              </w:rPr>
              <w:t> </w:t>
            </w:r>
            <w:r>
              <w:rPr>
                <w:rFonts w:ascii="Calibri" w:hAnsi="Calibri"/>
                <w:b/>
                <w:sz w:val="17"/>
                <w:u w:val="none"/>
              </w:rPr>
              <w:tab/>
            </w:r>
            <w:r>
              <w:rPr>
                <w:rFonts w:ascii="Calibri" w:hAnsi="Calibri"/>
                <w:b/>
                <w:spacing w:val="40"/>
                <w:sz w:val="17"/>
                <w:u w:val="single"/>
              </w:rPr>
              <w:t> </w:t>
            </w:r>
            <w:r>
              <w:rPr>
                <w:rFonts w:ascii="Calibri" w:hAnsi="Calibri"/>
                <w:b/>
                <w:sz w:val="17"/>
                <w:u w:val="single"/>
              </w:rPr>
              <w:t>126 863 987,25 </w:t>
            </w:r>
            <w:r>
              <w:rPr>
                <w:rFonts w:ascii="Calibri" w:hAnsi="Calibri"/>
                <w:b/>
                <w:spacing w:val="40"/>
                <w:sz w:val="17"/>
                <w:u w:val="none"/>
              </w:rPr>
              <w:t> </w:t>
            </w:r>
            <w:r>
              <w:rPr>
                <w:rFonts w:ascii="Arial" w:hAnsi="Arial"/>
                <w:b/>
                <w:sz w:val="16"/>
                <w:u w:val="none"/>
              </w:rPr>
              <w:t>Total Tierras y terrenos</w:t>
              <w:tab/>
              <w:tab/>
            </w:r>
            <w:r>
              <w:rPr>
                <w:rFonts w:ascii="Calibri" w:hAnsi="Calibri"/>
                <w:b/>
                <w:sz w:val="17"/>
                <w:u w:val="none"/>
              </w:rPr>
              <w:t>126 191 204,95</w:t>
              <w:tab/>
              <w:tab/>
              <w:t>127 268 877,25</w:t>
            </w:r>
          </w:p>
        </w:tc>
        <w:tc>
          <w:tcPr>
            <w:tcW w:w="903" w:type="dxa"/>
            <w:tcBorders>
              <w:bottom w:val="nil"/>
            </w:tcBorders>
          </w:tcPr>
          <w:p>
            <w:pPr>
              <w:pStyle w:val="TableParagraph"/>
              <w:rPr>
                <w:rFonts w:ascii="Times New Roman"/>
                <w:sz w:val="18"/>
              </w:rPr>
            </w:pPr>
          </w:p>
        </w:tc>
      </w:tr>
      <w:tr>
        <w:trPr>
          <w:trHeight w:val="4692" w:hRule="atLeast"/>
        </w:trPr>
        <w:tc>
          <w:tcPr>
            <w:tcW w:w="9000" w:type="dxa"/>
            <w:gridSpan w:val="3"/>
            <w:tcBorders>
              <w:top w:val="nil"/>
            </w:tcBorders>
          </w:tcPr>
          <w:p>
            <w:pPr>
              <w:pStyle w:val="TableParagraph"/>
              <w:spacing w:before="11"/>
              <w:rPr>
                <w:sz w:val="22"/>
              </w:rPr>
            </w:pPr>
          </w:p>
          <w:p>
            <w:pPr>
              <w:pStyle w:val="TableParagraph"/>
              <w:ind w:left="107" w:right="97"/>
              <w:jc w:val="both"/>
              <w:rPr>
                <w:sz w:val="22"/>
              </w:rPr>
            </w:pPr>
            <w:r>
              <w:rPr>
                <w:sz w:val="22"/>
              </w:rPr>
              <w:t>Los</w:t>
            </w:r>
            <w:r>
              <w:rPr>
                <w:spacing w:val="-10"/>
                <w:sz w:val="22"/>
              </w:rPr>
              <w:t> </w:t>
            </w:r>
            <w:r>
              <w:rPr>
                <w:sz w:val="22"/>
              </w:rPr>
              <w:t>terrenos</w:t>
            </w:r>
            <w:r>
              <w:rPr>
                <w:spacing w:val="-13"/>
                <w:sz w:val="22"/>
              </w:rPr>
              <w:t> </w:t>
            </w:r>
            <w:r>
              <w:rPr>
                <w:sz w:val="22"/>
              </w:rPr>
              <w:t>son</w:t>
            </w:r>
            <w:r>
              <w:rPr>
                <w:spacing w:val="-12"/>
                <w:sz w:val="22"/>
              </w:rPr>
              <w:t> </w:t>
            </w:r>
            <w:r>
              <w:rPr>
                <w:sz w:val="22"/>
              </w:rPr>
              <w:t>donados</w:t>
            </w:r>
            <w:r>
              <w:rPr>
                <w:spacing w:val="-11"/>
                <w:sz w:val="22"/>
              </w:rPr>
              <w:t> </w:t>
            </w:r>
            <w:r>
              <w:rPr>
                <w:sz w:val="22"/>
              </w:rPr>
              <w:t>y</w:t>
            </w:r>
            <w:r>
              <w:rPr>
                <w:spacing w:val="-13"/>
                <w:sz w:val="22"/>
              </w:rPr>
              <w:t> </w:t>
            </w:r>
            <w:r>
              <w:rPr>
                <w:sz w:val="22"/>
              </w:rPr>
              <w:t>traspasados</w:t>
            </w:r>
            <w:r>
              <w:rPr>
                <w:spacing w:val="-11"/>
                <w:sz w:val="22"/>
              </w:rPr>
              <w:t> </w:t>
            </w:r>
            <w:r>
              <w:rPr>
                <w:sz w:val="22"/>
              </w:rPr>
              <w:t>a</w:t>
            </w:r>
            <w:r>
              <w:rPr>
                <w:spacing w:val="-12"/>
                <w:sz w:val="22"/>
              </w:rPr>
              <w:t> </w:t>
            </w:r>
            <w:r>
              <w:rPr>
                <w:sz w:val="22"/>
              </w:rPr>
              <w:t>los</w:t>
            </w:r>
            <w:r>
              <w:rPr>
                <w:spacing w:val="-11"/>
                <w:sz w:val="22"/>
              </w:rPr>
              <w:t> </w:t>
            </w:r>
            <w:r>
              <w:rPr>
                <w:sz w:val="22"/>
              </w:rPr>
              <w:t>beneficiarios</w:t>
            </w:r>
            <w:r>
              <w:rPr>
                <w:spacing w:val="-13"/>
                <w:sz w:val="22"/>
              </w:rPr>
              <w:t> </w:t>
            </w:r>
            <w:r>
              <w:rPr>
                <w:sz w:val="22"/>
              </w:rPr>
              <w:t>que</w:t>
            </w:r>
            <w:r>
              <w:rPr>
                <w:spacing w:val="-13"/>
                <w:sz w:val="22"/>
              </w:rPr>
              <w:t> </w:t>
            </w:r>
            <w:r>
              <w:rPr>
                <w:sz w:val="22"/>
              </w:rPr>
              <w:t>cumplan</w:t>
            </w:r>
            <w:r>
              <w:rPr>
                <w:spacing w:val="-12"/>
                <w:sz w:val="22"/>
              </w:rPr>
              <w:t> </w:t>
            </w:r>
            <w:r>
              <w:rPr>
                <w:sz w:val="22"/>
              </w:rPr>
              <w:t>con</w:t>
            </w:r>
            <w:r>
              <w:rPr>
                <w:spacing w:val="-11"/>
                <w:sz w:val="22"/>
              </w:rPr>
              <w:t> </w:t>
            </w:r>
            <w:r>
              <w:rPr>
                <w:sz w:val="22"/>
              </w:rPr>
              <w:t>los</w:t>
            </w:r>
            <w:r>
              <w:rPr>
                <w:spacing w:val="-11"/>
                <w:sz w:val="22"/>
              </w:rPr>
              <w:t> </w:t>
            </w:r>
            <w:r>
              <w:rPr>
                <w:sz w:val="22"/>
              </w:rPr>
              <w:t>requisitos</w:t>
            </w:r>
            <w:r>
              <w:rPr>
                <w:spacing w:val="-11"/>
                <w:sz w:val="22"/>
              </w:rPr>
              <w:t> </w:t>
            </w:r>
            <w:r>
              <w:rPr>
                <w:sz w:val="22"/>
              </w:rPr>
              <w:t>establecidos por el IMAS, la cual disminuyó un 0,85% con respecto al 2025. Los terrenos están reflejados por su </w:t>
            </w:r>
            <w:r>
              <w:rPr>
                <w:spacing w:val="-2"/>
                <w:sz w:val="22"/>
              </w:rPr>
              <w:t>valor</w:t>
            </w:r>
            <w:r>
              <w:rPr>
                <w:spacing w:val="-8"/>
                <w:sz w:val="22"/>
              </w:rPr>
              <w:t> </w:t>
            </w:r>
            <w:r>
              <w:rPr>
                <w:spacing w:val="-2"/>
                <w:sz w:val="22"/>
              </w:rPr>
              <w:t>razonable</w:t>
            </w:r>
            <w:r>
              <w:rPr>
                <w:spacing w:val="-7"/>
                <w:sz w:val="22"/>
              </w:rPr>
              <w:t> </w:t>
            </w:r>
            <w:r>
              <w:rPr>
                <w:spacing w:val="-2"/>
                <w:sz w:val="22"/>
              </w:rPr>
              <w:t>tal</w:t>
            </w:r>
            <w:r>
              <w:rPr>
                <w:spacing w:val="-7"/>
                <w:sz w:val="22"/>
              </w:rPr>
              <w:t> </w:t>
            </w:r>
            <w:r>
              <w:rPr>
                <w:spacing w:val="-2"/>
                <w:sz w:val="22"/>
              </w:rPr>
              <w:t>y</w:t>
            </w:r>
            <w:r>
              <w:rPr>
                <w:spacing w:val="-6"/>
                <w:sz w:val="22"/>
              </w:rPr>
              <w:t> </w:t>
            </w:r>
            <w:r>
              <w:rPr>
                <w:spacing w:val="-2"/>
                <w:sz w:val="22"/>
              </w:rPr>
              <w:t>como</w:t>
            </w:r>
            <w:r>
              <w:rPr>
                <w:spacing w:val="-4"/>
                <w:sz w:val="22"/>
              </w:rPr>
              <w:t> </w:t>
            </w:r>
            <w:r>
              <w:rPr>
                <w:spacing w:val="-2"/>
                <w:sz w:val="22"/>
              </w:rPr>
              <w:t>lo</w:t>
            </w:r>
            <w:r>
              <w:rPr>
                <w:spacing w:val="-8"/>
                <w:sz w:val="22"/>
              </w:rPr>
              <w:t> </w:t>
            </w:r>
            <w:r>
              <w:rPr>
                <w:spacing w:val="-2"/>
                <w:sz w:val="22"/>
              </w:rPr>
              <w:t>ha</w:t>
            </w:r>
            <w:r>
              <w:rPr>
                <w:spacing w:val="-6"/>
                <w:sz w:val="22"/>
              </w:rPr>
              <w:t> </w:t>
            </w:r>
            <w:r>
              <w:rPr>
                <w:spacing w:val="-2"/>
                <w:sz w:val="22"/>
              </w:rPr>
              <w:t>determinado</w:t>
            </w:r>
            <w:r>
              <w:rPr>
                <w:spacing w:val="-7"/>
                <w:sz w:val="22"/>
              </w:rPr>
              <w:t> </w:t>
            </w:r>
            <w:r>
              <w:rPr>
                <w:spacing w:val="-2"/>
                <w:sz w:val="22"/>
              </w:rPr>
              <w:t>por</w:t>
            </w:r>
            <w:r>
              <w:rPr>
                <w:spacing w:val="-6"/>
                <w:sz w:val="22"/>
              </w:rPr>
              <w:t> </w:t>
            </w:r>
            <w:r>
              <w:rPr>
                <w:spacing w:val="-2"/>
                <w:sz w:val="22"/>
              </w:rPr>
              <w:t>valor</w:t>
            </w:r>
            <w:r>
              <w:rPr>
                <w:spacing w:val="-5"/>
                <w:sz w:val="22"/>
              </w:rPr>
              <w:t> </w:t>
            </w:r>
            <w:r>
              <w:rPr>
                <w:spacing w:val="-2"/>
                <w:sz w:val="22"/>
              </w:rPr>
              <w:t>zonas</w:t>
            </w:r>
            <w:r>
              <w:rPr>
                <w:spacing w:val="-7"/>
                <w:sz w:val="22"/>
              </w:rPr>
              <w:t> </w:t>
            </w:r>
            <w:r>
              <w:rPr>
                <w:spacing w:val="-2"/>
                <w:sz w:val="22"/>
              </w:rPr>
              <w:t>homogéneas</w:t>
            </w:r>
            <w:r>
              <w:rPr>
                <w:spacing w:val="-5"/>
                <w:sz w:val="22"/>
              </w:rPr>
              <w:t> </w:t>
            </w:r>
            <w:r>
              <w:rPr>
                <w:spacing w:val="-2"/>
                <w:sz w:val="22"/>
              </w:rPr>
              <w:t>del</w:t>
            </w:r>
            <w:r>
              <w:rPr>
                <w:spacing w:val="-6"/>
                <w:sz w:val="22"/>
              </w:rPr>
              <w:t> </w:t>
            </w:r>
            <w:r>
              <w:rPr>
                <w:spacing w:val="-2"/>
                <w:sz w:val="22"/>
              </w:rPr>
              <w:t>Ministerio</w:t>
            </w:r>
            <w:r>
              <w:rPr>
                <w:spacing w:val="-4"/>
                <w:sz w:val="22"/>
              </w:rPr>
              <w:t> </w:t>
            </w:r>
            <w:r>
              <w:rPr>
                <w:spacing w:val="-2"/>
                <w:sz w:val="22"/>
              </w:rPr>
              <w:t>de</w:t>
            </w:r>
            <w:r>
              <w:rPr>
                <w:spacing w:val="-7"/>
                <w:sz w:val="22"/>
              </w:rPr>
              <w:t> </w:t>
            </w:r>
            <w:r>
              <w:rPr>
                <w:spacing w:val="-2"/>
                <w:sz w:val="22"/>
              </w:rPr>
              <w:t>Hacienda.</w:t>
            </w:r>
          </w:p>
          <w:p>
            <w:pPr>
              <w:pStyle w:val="TableParagraph"/>
              <w:spacing w:before="250"/>
              <w:ind w:left="107" w:right="94"/>
              <w:jc w:val="both"/>
              <w:rPr>
                <w:sz w:val="22"/>
              </w:rPr>
            </w:pPr>
            <w:r>
              <w:rPr>
                <w:sz w:val="22"/>
              </w:rPr>
              <w:t>En</w:t>
            </w:r>
            <w:r>
              <w:rPr>
                <w:spacing w:val="-14"/>
                <w:sz w:val="22"/>
              </w:rPr>
              <w:t> </w:t>
            </w:r>
            <w:r>
              <w:rPr>
                <w:sz w:val="22"/>
              </w:rPr>
              <w:t>forma</w:t>
            </w:r>
            <w:r>
              <w:rPr>
                <w:spacing w:val="-14"/>
                <w:sz w:val="22"/>
              </w:rPr>
              <w:t> </w:t>
            </w:r>
            <w:r>
              <w:rPr>
                <w:sz w:val="22"/>
              </w:rPr>
              <w:t>general,</w:t>
            </w:r>
            <w:r>
              <w:rPr>
                <w:spacing w:val="-14"/>
                <w:sz w:val="22"/>
              </w:rPr>
              <w:t> </w:t>
            </w:r>
            <w:r>
              <w:rPr>
                <w:sz w:val="22"/>
              </w:rPr>
              <w:t>la</w:t>
            </w:r>
            <w:r>
              <w:rPr>
                <w:spacing w:val="-13"/>
                <w:sz w:val="22"/>
              </w:rPr>
              <w:t> </w:t>
            </w:r>
            <w:r>
              <w:rPr>
                <w:sz w:val="22"/>
              </w:rPr>
              <w:t>totalidad</w:t>
            </w:r>
            <w:r>
              <w:rPr>
                <w:spacing w:val="-14"/>
                <w:sz w:val="22"/>
              </w:rPr>
              <w:t> </w:t>
            </w:r>
            <w:r>
              <w:rPr>
                <w:sz w:val="22"/>
              </w:rPr>
              <w:t>de</w:t>
            </w:r>
            <w:r>
              <w:rPr>
                <w:spacing w:val="-14"/>
                <w:sz w:val="22"/>
              </w:rPr>
              <w:t> </w:t>
            </w:r>
            <w:r>
              <w:rPr>
                <w:sz w:val="22"/>
              </w:rPr>
              <w:t>terrenos</w:t>
            </w:r>
            <w:r>
              <w:rPr>
                <w:spacing w:val="-13"/>
                <w:sz w:val="22"/>
              </w:rPr>
              <w:t> </w:t>
            </w:r>
            <w:r>
              <w:rPr>
                <w:sz w:val="22"/>
              </w:rPr>
              <w:t>institucionales,</w:t>
            </w:r>
            <w:r>
              <w:rPr>
                <w:spacing w:val="-14"/>
                <w:sz w:val="22"/>
              </w:rPr>
              <w:t> </w:t>
            </w:r>
            <w:r>
              <w:rPr>
                <w:sz w:val="22"/>
              </w:rPr>
              <w:t>corresponden</w:t>
            </w:r>
            <w:r>
              <w:rPr>
                <w:spacing w:val="-14"/>
                <w:sz w:val="22"/>
              </w:rPr>
              <w:t> </w:t>
            </w:r>
            <w:r>
              <w:rPr>
                <w:sz w:val="22"/>
              </w:rPr>
              <w:t>a</w:t>
            </w:r>
            <w:r>
              <w:rPr>
                <w:spacing w:val="-12"/>
                <w:sz w:val="22"/>
              </w:rPr>
              <w:t> </w:t>
            </w:r>
            <w:r>
              <w:rPr>
                <w:sz w:val="22"/>
              </w:rPr>
              <w:t>997</w:t>
            </w:r>
            <w:r>
              <w:rPr>
                <w:spacing w:val="-14"/>
                <w:sz w:val="22"/>
              </w:rPr>
              <w:t> </w:t>
            </w:r>
            <w:r>
              <w:rPr>
                <w:sz w:val="22"/>
              </w:rPr>
              <w:t>fincas</w:t>
            </w:r>
            <w:r>
              <w:rPr>
                <w:spacing w:val="-13"/>
                <w:sz w:val="22"/>
              </w:rPr>
              <w:t> </w:t>
            </w:r>
            <w:r>
              <w:rPr>
                <w:sz w:val="22"/>
              </w:rPr>
              <w:t>aproximadamente distribuidos de la siguiente manera por provincia, incluyendo los terrenos de oficinas.</w:t>
            </w:r>
          </w:p>
        </w:tc>
      </w:tr>
    </w:tbl>
    <w:p>
      <w:pPr>
        <w:pStyle w:val="BodyText"/>
        <w:spacing w:before="20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gridCol w:w="2377"/>
        <w:gridCol w:w="589"/>
        <w:gridCol w:w="1981"/>
        <w:gridCol w:w="1979"/>
        <w:gridCol w:w="1100"/>
      </w:tblGrid>
      <w:tr>
        <w:trPr>
          <w:trHeight w:val="299" w:hRule="atLeast"/>
        </w:trPr>
        <w:tc>
          <w:tcPr>
            <w:tcW w:w="1032" w:type="dxa"/>
            <w:vMerge w:val="restart"/>
            <w:shd w:val="clear" w:color="auto" w:fill="365F92"/>
          </w:tcPr>
          <w:p>
            <w:pPr>
              <w:pStyle w:val="TableParagraph"/>
              <w:spacing w:before="182"/>
              <w:ind w:left="69"/>
              <w:rPr>
                <w:b/>
                <w:sz w:val="22"/>
              </w:rPr>
            </w:pPr>
            <w:r>
              <w:rPr>
                <w:b/>
                <w:color w:val="FFFFFF"/>
                <w:spacing w:val="-2"/>
                <w:sz w:val="22"/>
              </w:rPr>
              <w:t>Cuenta</w:t>
            </w:r>
          </w:p>
        </w:tc>
        <w:tc>
          <w:tcPr>
            <w:tcW w:w="2377" w:type="dxa"/>
            <w:vMerge w:val="restart"/>
            <w:shd w:val="clear" w:color="auto" w:fill="365F92"/>
          </w:tcPr>
          <w:p>
            <w:pPr>
              <w:pStyle w:val="TableParagraph"/>
              <w:spacing w:before="182"/>
              <w:ind w:left="657"/>
              <w:rPr>
                <w:b/>
                <w:sz w:val="22"/>
              </w:rPr>
            </w:pPr>
            <w:r>
              <w:rPr>
                <w:b/>
                <w:color w:val="FFFFFF"/>
                <w:spacing w:val="-2"/>
                <w:sz w:val="22"/>
              </w:rPr>
              <w:t>Descripción</w:t>
            </w:r>
          </w:p>
        </w:tc>
        <w:tc>
          <w:tcPr>
            <w:tcW w:w="589" w:type="dxa"/>
            <w:vMerge w:val="restart"/>
            <w:shd w:val="clear" w:color="auto" w:fill="365F92"/>
          </w:tcPr>
          <w:p>
            <w:pPr>
              <w:pStyle w:val="TableParagraph"/>
              <w:spacing w:before="182"/>
              <w:ind w:left="75"/>
              <w:rPr>
                <w:b/>
                <w:sz w:val="22"/>
              </w:rPr>
            </w:pPr>
            <w:r>
              <w:rPr>
                <w:b/>
                <w:color w:val="FFFFFF"/>
                <w:spacing w:val="-4"/>
                <w:sz w:val="22"/>
              </w:rPr>
              <w:t>Nota</w:t>
            </w:r>
          </w:p>
        </w:tc>
        <w:tc>
          <w:tcPr>
            <w:tcW w:w="1981" w:type="dxa"/>
            <w:vMerge w:val="restart"/>
            <w:shd w:val="clear" w:color="auto" w:fill="365F92"/>
          </w:tcPr>
          <w:p>
            <w:pPr>
              <w:pStyle w:val="TableParagraph"/>
              <w:spacing w:before="182"/>
              <w:ind w:left="356"/>
              <w:rPr>
                <w:b/>
                <w:sz w:val="22"/>
              </w:rPr>
            </w:pPr>
            <w:r>
              <w:rPr>
                <w:b/>
                <w:color w:val="FFFFFF"/>
                <w:sz w:val="22"/>
              </w:rPr>
              <w:t>Periodo</w:t>
            </w:r>
            <w:r>
              <w:rPr>
                <w:b/>
                <w:color w:val="FFFFFF"/>
                <w:spacing w:val="-4"/>
                <w:sz w:val="22"/>
              </w:rPr>
              <w:t> </w:t>
            </w:r>
            <w:r>
              <w:rPr>
                <w:b/>
                <w:color w:val="FFFFFF"/>
                <w:spacing w:val="-2"/>
                <w:sz w:val="22"/>
              </w:rPr>
              <w:t>Actual</w:t>
            </w:r>
          </w:p>
        </w:tc>
        <w:tc>
          <w:tcPr>
            <w:tcW w:w="1979" w:type="dxa"/>
            <w:vMerge w:val="restart"/>
            <w:shd w:val="clear" w:color="auto" w:fill="365F92"/>
          </w:tcPr>
          <w:p>
            <w:pPr>
              <w:pStyle w:val="TableParagraph"/>
              <w:spacing w:before="182"/>
              <w:ind w:left="262"/>
              <w:rPr>
                <w:b/>
                <w:sz w:val="22"/>
              </w:rPr>
            </w:pPr>
            <w:r>
              <w:rPr>
                <w:b/>
                <w:color w:val="FFFFFF"/>
                <w:sz w:val="22"/>
              </w:rPr>
              <w:t>Periodo</w:t>
            </w:r>
            <w:r>
              <w:rPr>
                <w:b/>
                <w:color w:val="FFFFFF"/>
                <w:spacing w:val="-4"/>
                <w:sz w:val="22"/>
              </w:rPr>
              <w:t> </w:t>
            </w:r>
            <w:r>
              <w:rPr>
                <w:b/>
                <w:color w:val="FFFFFF"/>
                <w:spacing w:val="-2"/>
                <w:sz w:val="22"/>
              </w:rPr>
              <w:t>Anterior</w:t>
            </w:r>
          </w:p>
        </w:tc>
        <w:tc>
          <w:tcPr>
            <w:tcW w:w="1100" w:type="dxa"/>
            <w:shd w:val="clear" w:color="auto" w:fill="365F92"/>
          </w:tcPr>
          <w:p>
            <w:pPr>
              <w:pStyle w:val="TableParagraph"/>
              <w:spacing w:before="24"/>
              <w:ind w:left="13" w:right="3"/>
              <w:jc w:val="center"/>
              <w:rPr>
                <w:b/>
                <w:sz w:val="22"/>
              </w:rPr>
            </w:pPr>
            <w:r>
              <w:rPr>
                <w:b/>
                <w:color w:val="FFFFFF"/>
                <w:spacing w:val="-2"/>
                <w:sz w:val="22"/>
              </w:rPr>
              <w:t>Diferencia</w:t>
            </w:r>
          </w:p>
        </w:tc>
      </w:tr>
      <w:tr>
        <w:trPr>
          <w:trHeight w:val="299" w:hRule="atLeast"/>
        </w:trPr>
        <w:tc>
          <w:tcPr>
            <w:tcW w:w="1032" w:type="dxa"/>
            <w:vMerge/>
            <w:tcBorders>
              <w:top w:val="nil"/>
            </w:tcBorders>
            <w:shd w:val="clear" w:color="auto" w:fill="365F92"/>
          </w:tcPr>
          <w:p>
            <w:pPr>
              <w:rPr>
                <w:sz w:val="2"/>
                <w:szCs w:val="2"/>
              </w:rPr>
            </w:pPr>
          </w:p>
        </w:tc>
        <w:tc>
          <w:tcPr>
            <w:tcW w:w="2377" w:type="dxa"/>
            <w:vMerge/>
            <w:tcBorders>
              <w:top w:val="nil"/>
            </w:tcBorders>
            <w:shd w:val="clear" w:color="auto" w:fill="365F92"/>
          </w:tcPr>
          <w:p>
            <w:pPr>
              <w:rPr>
                <w:sz w:val="2"/>
                <w:szCs w:val="2"/>
              </w:rPr>
            </w:pPr>
          </w:p>
        </w:tc>
        <w:tc>
          <w:tcPr>
            <w:tcW w:w="589" w:type="dxa"/>
            <w:vMerge/>
            <w:tcBorders>
              <w:top w:val="nil"/>
            </w:tcBorders>
            <w:shd w:val="clear" w:color="auto" w:fill="365F92"/>
          </w:tcPr>
          <w:p>
            <w:pPr>
              <w:rPr>
                <w:sz w:val="2"/>
                <w:szCs w:val="2"/>
              </w:rPr>
            </w:pPr>
          </w:p>
        </w:tc>
        <w:tc>
          <w:tcPr>
            <w:tcW w:w="1981" w:type="dxa"/>
            <w:vMerge/>
            <w:tcBorders>
              <w:top w:val="nil"/>
            </w:tcBorders>
            <w:shd w:val="clear" w:color="auto" w:fill="365F92"/>
          </w:tcPr>
          <w:p>
            <w:pPr>
              <w:rPr>
                <w:sz w:val="2"/>
                <w:szCs w:val="2"/>
              </w:rPr>
            </w:pPr>
          </w:p>
        </w:tc>
        <w:tc>
          <w:tcPr>
            <w:tcW w:w="1979" w:type="dxa"/>
            <w:vMerge/>
            <w:tcBorders>
              <w:top w:val="nil"/>
            </w:tcBorders>
            <w:shd w:val="clear" w:color="auto" w:fill="365F92"/>
          </w:tcPr>
          <w:p>
            <w:pPr>
              <w:rPr>
                <w:sz w:val="2"/>
                <w:szCs w:val="2"/>
              </w:rPr>
            </w:pPr>
          </w:p>
        </w:tc>
        <w:tc>
          <w:tcPr>
            <w:tcW w:w="1100" w:type="dxa"/>
            <w:shd w:val="clear" w:color="auto" w:fill="365F92"/>
          </w:tcPr>
          <w:p>
            <w:pPr>
              <w:pStyle w:val="TableParagraph"/>
              <w:spacing w:before="24"/>
              <w:ind w:left="13"/>
              <w:jc w:val="center"/>
              <w:rPr>
                <w:sz w:val="22"/>
              </w:rPr>
            </w:pPr>
            <w:r>
              <w:rPr>
                <w:color w:val="FFFFFF"/>
                <w:spacing w:val="-10"/>
                <w:sz w:val="22"/>
              </w:rPr>
              <w:t>%</w:t>
            </w:r>
          </w:p>
        </w:tc>
      </w:tr>
      <w:tr>
        <w:trPr>
          <w:trHeight w:val="301" w:hRule="atLeast"/>
        </w:trPr>
        <w:tc>
          <w:tcPr>
            <w:tcW w:w="1032" w:type="dxa"/>
          </w:tcPr>
          <w:p>
            <w:pPr>
              <w:pStyle w:val="TableParagraph"/>
              <w:spacing w:before="24"/>
              <w:ind w:left="69"/>
              <w:rPr>
                <w:b/>
                <w:sz w:val="22"/>
              </w:rPr>
            </w:pPr>
            <w:r>
              <w:rPr>
                <w:b/>
                <w:spacing w:val="-2"/>
                <w:sz w:val="22"/>
              </w:rPr>
              <w:t>1.2.5.02.</w:t>
            </w:r>
          </w:p>
        </w:tc>
        <w:tc>
          <w:tcPr>
            <w:tcW w:w="2377" w:type="dxa"/>
          </w:tcPr>
          <w:p>
            <w:pPr>
              <w:pStyle w:val="TableParagraph"/>
              <w:spacing w:before="24"/>
              <w:ind w:left="69"/>
              <w:rPr>
                <w:b/>
                <w:sz w:val="22"/>
              </w:rPr>
            </w:pPr>
            <w:r>
              <w:rPr>
                <w:b/>
                <w:sz w:val="22"/>
              </w:rPr>
              <w:t>Propiedades</w:t>
            </w:r>
            <w:r>
              <w:rPr>
                <w:b/>
                <w:spacing w:val="-4"/>
                <w:sz w:val="22"/>
              </w:rPr>
              <w:t> </w:t>
            </w:r>
            <w:r>
              <w:rPr>
                <w:b/>
                <w:sz w:val="22"/>
              </w:rPr>
              <w:t>de</w:t>
            </w:r>
            <w:r>
              <w:rPr>
                <w:b/>
                <w:spacing w:val="-3"/>
                <w:sz w:val="22"/>
              </w:rPr>
              <w:t> </w:t>
            </w:r>
            <w:r>
              <w:rPr>
                <w:b/>
                <w:spacing w:val="-2"/>
                <w:sz w:val="22"/>
              </w:rPr>
              <w:t>inversión</w:t>
            </w:r>
          </w:p>
        </w:tc>
        <w:tc>
          <w:tcPr>
            <w:tcW w:w="589" w:type="dxa"/>
          </w:tcPr>
          <w:p>
            <w:pPr>
              <w:pStyle w:val="TableParagraph"/>
              <w:spacing w:before="24"/>
              <w:ind w:left="183"/>
              <w:rPr>
                <w:b/>
                <w:sz w:val="22"/>
              </w:rPr>
            </w:pPr>
            <w:r>
              <w:rPr>
                <w:b/>
                <w:spacing w:val="-5"/>
                <w:sz w:val="22"/>
              </w:rPr>
              <w:t>10</w:t>
            </w:r>
          </w:p>
        </w:tc>
        <w:tc>
          <w:tcPr>
            <w:tcW w:w="1981" w:type="dxa"/>
          </w:tcPr>
          <w:p>
            <w:pPr>
              <w:pStyle w:val="TableParagraph"/>
              <w:spacing w:before="37"/>
              <w:ind w:left="37" w:right="27"/>
              <w:jc w:val="center"/>
              <w:rPr>
                <w:b/>
                <w:sz w:val="20"/>
              </w:rPr>
            </w:pPr>
            <w:r>
              <w:rPr>
                <w:b/>
                <w:spacing w:val="-4"/>
                <w:sz w:val="20"/>
              </w:rPr>
              <w:t>0,00</w:t>
            </w:r>
          </w:p>
        </w:tc>
        <w:tc>
          <w:tcPr>
            <w:tcW w:w="1979" w:type="dxa"/>
          </w:tcPr>
          <w:p>
            <w:pPr>
              <w:pStyle w:val="TableParagraph"/>
              <w:spacing w:before="37"/>
              <w:ind w:left="39" w:right="27"/>
              <w:jc w:val="center"/>
              <w:rPr>
                <w:b/>
                <w:sz w:val="20"/>
              </w:rPr>
            </w:pPr>
            <w:r>
              <w:rPr>
                <w:b/>
                <w:spacing w:val="-4"/>
                <w:sz w:val="20"/>
              </w:rPr>
              <w:t>0,00</w:t>
            </w:r>
          </w:p>
        </w:tc>
        <w:tc>
          <w:tcPr>
            <w:tcW w:w="1100" w:type="dxa"/>
          </w:tcPr>
          <w:p>
            <w:pPr>
              <w:pStyle w:val="TableParagraph"/>
              <w:spacing w:before="37"/>
              <w:ind w:left="13" w:right="2"/>
              <w:jc w:val="center"/>
              <w:rPr>
                <w:b/>
                <w:sz w:val="20"/>
              </w:rPr>
            </w:pPr>
            <w:r>
              <w:rPr>
                <w:b/>
                <w:spacing w:val="-2"/>
                <w:sz w:val="20"/>
              </w:rPr>
              <w:t>0,00%</w:t>
            </w:r>
          </w:p>
        </w:tc>
      </w:tr>
    </w:tbl>
    <w:p>
      <w:pPr>
        <w:pStyle w:val="BodyText"/>
        <w:spacing w:before="204"/>
        <w:rPr>
          <w:sz w:val="20"/>
        </w:rPr>
      </w:pPr>
    </w:p>
    <w:p>
      <w:pPr>
        <w:pStyle w:val="BodyText"/>
        <w:ind w:left="622"/>
      </w:pPr>
      <w:r>
        <w:rPr/>
        <mc:AlternateContent>
          <mc:Choice Requires="wps">
            <w:drawing>
              <wp:anchor distT="0" distB="0" distL="0" distR="0" allowOverlap="1" layoutInCell="1" locked="0" behindDoc="0" simplePos="0" relativeHeight="15925760">
                <wp:simplePos x="0" y="0"/>
                <wp:positionH relativeFrom="page">
                  <wp:posOffset>1409699</wp:posOffset>
                </wp:positionH>
                <wp:positionV relativeFrom="paragraph">
                  <wp:posOffset>-2713892</wp:posOffset>
                </wp:positionV>
                <wp:extent cx="5055235" cy="1094104"/>
                <wp:effectExtent l="0" t="0" r="0" b="0"/>
                <wp:wrapNone/>
                <wp:docPr id="1006" name="Textbox 1006"/>
                <wp:cNvGraphicFramePr>
                  <a:graphicFrameLocks/>
                </wp:cNvGraphicFramePr>
                <a:graphic>
                  <a:graphicData uri="http://schemas.microsoft.com/office/word/2010/wordprocessingShape">
                    <wps:wsp>
                      <wps:cNvPr id="1006" name="Textbox 1006"/>
                      <wps:cNvSpPr txBox="1"/>
                      <wps:spPr>
                        <a:xfrm>
                          <a:off x="0" y="0"/>
                          <a:ext cx="5055235" cy="1094104"/>
                        </a:xfrm>
                        <a:prstGeom prst="rect">
                          <a:avLst/>
                        </a:prstGeom>
                      </wps:spPr>
                      <wps:txbx>
                        <w:txbxContent>
                          <w:tbl>
                            <w:tblPr>
                              <w:tblW w:w="0" w:type="auto"/>
                              <w:jc w:val="left"/>
                              <w:tblInd w:w="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07"/>
                              <w:gridCol w:w="1459"/>
                              <w:gridCol w:w="1459"/>
                              <w:gridCol w:w="1123"/>
                              <w:gridCol w:w="1199"/>
                              <w:gridCol w:w="1795"/>
                            </w:tblGrid>
                            <w:tr>
                              <w:trPr>
                                <w:trHeight w:val="167" w:hRule="atLeast"/>
                              </w:trPr>
                              <w:tc>
                                <w:tcPr>
                                  <w:tcW w:w="7842" w:type="dxa"/>
                                  <w:gridSpan w:val="6"/>
                                  <w:tcBorders>
                                    <w:top w:val="nil"/>
                                    <w:right w:val="nil"/>
                                  </w:tcBorders>
                                  <w:shd w:val="clear" w:color="auto" w:fill="D9D9D9"/>
                                </w:tcPr>
                                <w:p>
                                  <w:pPr>
                                    <w:pStyle w:val="TableParagraph"/>
                                    <w:spacing w:line="140" w:lineRule="exact" w:before="7"/>
                                    <w:jc w:val="center"/>
                                    <w:rPr>
                                      <w:rFonts w:ascii="Arial"/>
                                      <w:b/>
                                      <w:sz w:val="14"/>
                                    </w:rPr>
                                  </w:pPr>
                                  <w:r>
                                    <w:rPr>
                                      <w:rFonts w:ascii="Arial"/>
                                      <w:b/>
                                      <w:spacing w:val="-2"/>
                                      <w:sz w:val="14"/>
                                    </w:rPr>
                                    <w:t>Valor</w:t>
                                  </w:r>
                                  <w:r>
                                    <w:rPr>
                                      <w:rFonts w:ascii="Arial"/>
                                      <w:b/>
                                      <w:spacing w:val="1"/>
                                      <w:sz w:val="14"/>
                                    </w:rPr>
                                    <w:t> </w:t>
                                  </w:r>
                                  <w:r>
                                    <w:rPr>
                                      <w:rFonts w:ascii="Arial"/>
                                      <w:b/>
                                      <w:spacing w:val="-2"/>
                                      <w:sz w:val="14"/>
                                    </w:rPr>
                                    <w:t>contable</w:t>
                                  </w:r>
                                  <w:r>
                                    <w:rPr>
                                      <w:rFonts w:ascii="Arial"/>
                                      <w:b/>
                                      <w:spacing w:val="-1"/>
                                      <w:sz w:val="14"/>
                                    </w:rPr>
                                    <w:t> </w:t>
                                  </w:r>
                                  <w:r>
                                    <w:rPr>
                                      <w:rFonts w:ascii="Arial"/>
                                      <w:b/>
                                      <w:spacing w:val="-2"/>
                                      <w:sz w:val="14"/>
                                    </w:rPr>
                                    <w:t>de</w:t>
                                  </w:r>
                                  <w:r>
                                    <w:rPr>
                                      <w:rFonts w:ascii="Arial"/>
                                      <w:b/>
                                      <w:sz w:val="14"/>
                                    </w:rPr>
                                    <w:t> </w:t>
                                  </w:r>
                                  <w:r>
                                    <w:rPr>
                                      <w:rFonts w:ascii="Arial"/>
                                      <w:b/>
                                      <w:spacing w:val="-2"/>
                                      <w:sz w:val="14"/>
                                    </w:rPr>
                                    <w:t>terrenos</w:t>
                                  </w:r>
                                  <w:r>
                                    <w:rPr>
                                      <w:rFonts w:ascii="Arial"/>
                                      <w:b/>
                                      <w:spacing w:val="-1"/>
                                      <w:sz w:val="14"/>
                                    </w:rPr>
                                    <w:t> </w:t>
                                  </w:r>
                                  <w:r>
                                    <w:rPr>
                                      <w:rFonts w:ascii="Arial"/>
                                      <w:b/>
                                      <w:spacing w:val="-2"/>
                                      <w:sz w:val="14"/>
                                    </w:rPr>
                                    <w:t>IMAS</w:t>
                                  </w:r>
                                  <w:r>
                                    <w:rPr>
                                      <w:rFonts w:ascii="Arial"/>
                                      <w:b/>
                                      <w:spacing w:val="1"/>
                                      <w:sz w:val="14"/>
                                    </w:rPr>
                                    <w:t> </w:t>
                                  </w:r>
                                  <w:r>
                                    <w:rPr>
                                      <w:rFonts w:ascii="Arial"/>
                                      <w:b/>
                                      <w:spacing w:val="-4"/>
                                      <w:sz w:val="14"/>
                                    </w:rPr>
                                    <w:t>2026</w:t>
                                  </w:r>
                                </w:p>
                              </w:tc>
                            </w:tr>
                            <w:tr>
                              <w:trPr>
                                <w:trHeight w:val="166" w:hRule="atLeast"/>
                              </w:trPr>
                              <w:tc>
                                <w:tcPr>
                                  <w:tcW w:w="807" w:type="dxa"/>
                                  <w:shd w:val="clear" w:color="auto" w:fill="D9D9D9"/>
                                </w:tcPr>
                                <w:p>
                                  <w:pPr>
                                    <w:pStyle w:val="TableParagraph"/>
                                    <w:spacing w:line="140" w:lineRule="exact" w:before="6"/>
                                    <w:ind w:left="13" w:right="9"/>
                                    <w:jc w:val="center"/>
                                    <w:rPr>
                                      <w:rFonts w:ascii="Arial"/>
                                      <w:b/>
                                      <w:sz w:val="14"/>
                                    </w:rPr>
                                  </w:pPr>
                                  <w:r>
                                    <w:rPr>
                                      <w:rFonts w:ascii="Arial"/>
                                      <w:b/>
                                      <w:spacing w:val="-2"/>
                                      <w:sz w:val="14"/>
                                    </w:rPr>
                                    <w:t>Provincia</w:t>
                                  </w:r>
                                </w:p>
                              </w:tc>
                              <w:tc>
                                <w:tcPr>
                                  <w:tcW w:w="1459" w:type="dxa"/>
                                  <w:shd w:val="clear" w:color="auto" w:fill="D9D9D9"/>
                                </w:tcPr>
                                <w:p>
                                  <w:pPr>
                                    <w:pStyle w:val="TableParagraph"/>
                                    <w:spacing w:line="140" w:lineRule="exact" w:before="6"/>
                                    <w:ind w:left="270"/>
                                    <w:rPr>
                                      <w:rFonts w:ascii="Arial"/>
                                      <w:b/>
                                      <w:sz w:val="14"/>
                                    </w:rPr>
                                  </w:pPr>
                                  <w:r>
                                    <w:rPr>
                                      <w:rFonts w:ascii="Arial"/>
                                      <w:b/>
                                      <w:sz w:val="14"/>
                                    </w:rPr>
                                    <w:t>Valor</w:t>
                                  </w:r>
                                  <w:r>
                                    <w:rPr>
                                      <w:rFonts w:ascii="Arial"/>
                                      <w:b/>
                                      <w:spacing w:val="-10"/>
                                      <w:sz w:val="14"/>
                                    </w:rPr>
                                    <w:t> </w:t>
                                  </w:r>
                                  <w:r>
                                    <w:rPr>
                                      <w:rFonts w:ascii="Arial"/>
                                      <w:b/>
                                      <w:spacing w:val="-2"/>
                                      <w:sz w:val="14"/>
                                    </w:rPr>
                                    <w:t>DIC2025</w:t>
                                  </w:r>
                                </w:p>
                              </w:tc>
                              <w:tc>
                                <w:tcPr>
                                  <w:tcW w:w="1459" w:type="dxa"/>
                                  <w:shd w:val="clear" w:color="auto" w:fill="D9D9D9"/>
                                </w:tcPr>
                                <w:p>
                                  <w:pPr>
                                    <w:pStyle w:val="TableParagraph"/>
                                    <w:spacing w:line="140" w:lineRule="exact" w:before="6"/>
                                    <w:ind w:left="315"/>
                                    <w:rPr>
                                      <w:rFonts w:ascii="Arial" w:hAnsi="Arial"/>
                                      <w:b/>
                                      <w:sz w:val="14"/>
                                    </w:rPr>
                                  </w:pPr>
                                  <w:r>
                                    <w:rPr>
                                      <w:rFonts w:ascii="Arial" w:hAnsi="Arial"/>
                                      <w:b/>
                                      <w:spacing w:val="-2"/>
                                      <w:sz w:val="14"/>
                                    </w:rPr>
                                    <w:t>Segregación</w:t>
                                  </w:r>
                                </w:p>
                              </w:tc>
                              <w:tc>
                                <w:tcPr>
                                  <w:tcW w:w="1123" w:type="dxa"/>
                                  <w:shd w:val="clear" w:color="auto" w:fill="D9D9D9"/>
                                </w:tcPr>
                                <w:p>
                                  <w:pPr>
                                    <w:pStyle w:val="TableParagraph"/>
                                    <w:spacing w:line="140" w:lineRule="exact" w:before="6"/>
                                    <w:jc w:val="center"/>
                                    <w:rPr>
                                      <w:rFonts w:ascii="Arial"/>
                                      <w:b/>
                                      <w:sz w:val="14"/>
                                    </w:rPr>
                                  </w:pPr>
                                  <w:r>
                                    <w:rPr>
                                      <w:rFonts w:ascii="Arial"/>
                                      <w:b/>
                                      <w:spacing w:val="-2"/>
                                      <w:sz w:val="14"/>
                                    </w:rPr>
                                    <w:t>altas</w:t>
                                  </w:r>
                                </w:p>
                              </w:tc>
                              <w:tc>
                                <w:tcPr>
                                  <w:tcW w:w="1199" w:type="dxa"/>
                                  <w:shd w:val="clear" w:color="auto" w:fill="D9D9D9"/>
                                </w:tcPr>
                                <w:p>
                                  <w:pPr>
                                    <w:pStyle w:val="TableParagraph"/>
                                    <w:spacing w:line="140" w:lineRule="exact" w:before="6"/>
                                    <w:ind w:left="30"/>
                                    <w:jc w:val="center"/>
                                    <w:rPr>
                                      <w:rFonts w:ascii="Arial"/>
                                      <w:b/>
                                      <w:sz w:val="14"/>
                                    </w:rPr>
                                  </w:pPr>
                                  <w:r>
                                    <w:rPr>
                                      <w:rFonts w:ascii="Arial"/>
                                      <w:b/>
                                      <w:spacing w:val="-2"/>
                                      <w:sz w:val="14"/>
                                    </w:rPr>
                                    <w:t>Bajas</w:t>
                                  </w:r>
                                </w:p>
                              </w:tc>
                              <w:tc>
                                <w:tcPr>
                                  <w:tcW w:w="1795" w:type="dxa"/>
                                  <w:shd w:val="clear" w:color="auto" w:fill="D9D9D9"/>
                                </w:tcPr>
                                <w:p>
                                  <w:pPr>
                                    <w:pStyle w:val="TableParagraph"/>
                                    <w:spacing w:line="140" w:lineRule="exact" w:before="6"/>
                                    <w:ind w:left="504"/>
                                    <w:rPr>
                                      <w:rFonts w:ascii="Arial"/>
                                      <w:b/>
                                      <w:sz w:val="14"/>
                                    </w:rPr>
                                  </w:pPr>
                                  <w:r>
                                    <w:rPr>
                                      <w:rFonts w:ascii="Arial"/>
                                      <w:b/>
                                      <w:sz w:val="14"/>
                                    </w:rPr>
                                    <w:t>Saldo</w:t>
                                  </w:r>
                                  <w:r>
                                    <w:rPr>
                                      <w:rFonts w:ascii="Arial"/>
                                      <w:b/>
                                      <w:spacing w:val="25"/>
                                      <w:sz w:val="14"/>
                                    </w:rPr>
                                    <w:t> </w:t>
                                  </w:r>
                                  <w:r>
                                    <w:rPr>
                                      <w:rFonts w:ascii="Arial"/>
                                      <w:b/>
                                      <w:spacing w:val="-2"/>
                                      <w:sz w:val="14"/>
                                    </w:rPr>
                                    <w:t>Julio</w:t>
                                  </w:r>
                                </w:p>
                              </w:tc>
                            </w:tr>
                            <w:tr>
                              <w:trPr>
                                <w:trHeight w:val="167" w:hRule="atLeast"/>
                              </w:trPr>
                              <w:tc>
                                <w:tcPr>
                                  <w:tcW w:w="807" w:type="dxa"/>
                                  <w:tcBorders>
                                    <w:left w:val="single" w:sz="2" w:space="0" w:color="DFDFDF"/>
                                    <w:bottom w:val="single" w:sz="2" w:space="0" w:color="DFDFDF"/>
                                    <w:right w:val="single" w:sz="2" w:space="0" w:color="DFDFDF"/>
                                  </w:tcBorders>
                                </w:tcPr>
                                <w:p>
                                  <w:pPr>
                                    <w:pStyle w:val="TableParagraph"/>
                                    <w:spacing w:line="141" w:lineRule="exact" w:before="6"/>
                                    <w:ind w:left="13"/>
                                    <w:jc w:val="center"/>
                                    <w:rPr>
                                      <w:rFonts w:ascii="Arial" w:hAnsi="Arial"/>
                                      <w:sz w:val="14"/>
                                    </w:rPr>
                                  </w:pPr>
                                  <w:r>
                                    <w:rPr>
                                      <w:rFonts w:ascii="Arial" w:hAnsi="Arial"/>
                                      <w:spacing w:val="-2"/>
                                      <w:sz w:val="14"/>
                                    </w:rPr>
                                    <w:t>San</w:t>
                                  </w:r>
                                  <w:r>
                                    <w:rPr>
                                      <w:rFonts w:ascii="Arial" w:hAnsi="Arial"/>
                                      <w:spacing w:val="-8"/>
                                      <w:sz w:val="14"/>
                                    </w:rPr>
                                    <w:t> </w:t>
                                  </w:r>
                                  <w:r>
                                    <w:rPr>
                                      <w:rFonts w:ascii="Arial" w:hAnsi="Arial"/>
                                      <w:spacing w:val="-4"/>
                                      <w:sz w:val="14"/>
                                    </w:rPr>
                                    <w:t>José</w:t>
                                  </w:r>
                                </w:p>
                              </w:tc>
                              <w:tc>
                                <w:tcPr>
                                  <w:tcW w:w="1459" w:type="dxa"/>
                                  <w:tcBorders>
                                    <w:left w:val="single" w:sz="2" w:space="0" w:color="DFDFDF"/>
                                    <w:bottom w:val="single" w:sz="2" w:space="0" w:color="DFDFDF"/>
                                    <w:right w:val="single" w:sz="2" w:space="0" w:color="DFDFDF"/>
                                  </w:tcBorders>
                                </w:tcPr>
                                <w:p>
                                  <w:pPr>
                                    <w:pStyle w:val="TableParagraph"/>
                                    <w:spacing w:line="141" w:lineRule="exact" w:before="6"/>
                                    <w:ind w:left="253"/>
                                    <w:rPr>
                                      <w:rFonts w:ascii="Arial"/>
                                      <w:sz w:val="14"/>
                                    </w:rPr>
                                  </w:pPr>
                                  <w:r>
                                    <w:rPr>
                                      <w:rFonts w:ascii="Arial"/>
                                      <w:sz w:val="14"/>
                                    </w:rPr>
                                    <w:t>61</w:t>
                                  </w:r>
                                  <w:r>
                                    <w:rPr>
                                      <w:rFonts w:ascii="Arial"/>
                                      <w:spacing w:val="-9"/>
                                      <w:sz w:val="14"/>
                                    </w:rPr>
                                    <w:t> </w:t>
                                  </w:r>
                                  <w:r>
                                    <w:rPr>
                                      <w:rFonts w:ascii="Arial"/>
                                      <w:sz w:val="14"/>
                                    </w:rPr>
                                    <w:t>839</w:t>
                                  </w:r>
                                  <w:r>
                                    <w:rPr>
                                      <w:rFonts w:ascii="Arial"/>
                                      <w:spacing w:val="-8"/>
                                      <w:sz w:val="14"/>
                                    </w:rPr>
                                    <w:t> </w:t>
                                  </w:r>
                                  <w:r>
                                    <w:rPr>
                                      <w:rFonts w:ascii="Arial"/>
                                      <w:sz w:val="14"/>
                                    </w:rPr>
                                    <w:t>695</w:t>
                                  </w:r>
                                  <w:r>
                                    <w:rPr>
                                      <w:rFonts w:ascii="Arial"/>
                                      <w:spacing w:val="-9"/>
                                      <w:sz w:val="14"/>
                                    </w:rPr>
                                    <w:t> </w:t>
                                  </w:r>
                                  <w:r>
                                    <w:rPr>
                                      <w:rFonts w:ascii="Arial"/>
                                      <w:spacing w:val="-2"/>
                                      <w:sz w:val="14"/>
                                    </w:rPr>
                                    <w:t>212,90</w:t>
                                  </w:r>
                                </w:p>
                              </w:tc>
                              <w:tc>
                                <w:tcPr>
                                  <w:tcW w:w="1459" w:type="dxa"/>
                                  <w:tcBorders>
                                    <w:left w:val="single" w:sz="2" w:space="0" w:color="DFDFDF"/>
                                    <w:bottom w:val="single" w:sz="2" w:space="0" w:color="DFDFDF"/>
                                    <w:right w:val="single" w:sz="2" w:space="0" w:color="DFDFDF"/>
                                  </w:tcBorders>
                                </w:tcPr>
                                <w:p>
                                  <w:pPr>
                                    <w:pStyle w:val="TableParagraph"/>
                                    <w:spacing w:line="141" w:lineRule="exact" w:before="6"/>
                                    <w:ind w:right="17"/>
                                    <w:jc w:val="right"/>
                                    <w:rPr>
                                      <w:rFonts w:ascii="Arial"/>
                                      <w:sz w:val="14"/>
                                    </w:rPr>
                                  </w:pPr>
                                  <w:r>
                                    <w:rPr>
                                      <w:rFonts w:ascii="Arial"/>
                                      <w:sz w:val="14"/>
                                    </w:rPr>
                                    <w:t>282</w:t>
                                  </w:r>
                                  <w:r>
                                    <w:rPr>
                                      <w:rFonts w:ascii="Arial"/>
                                      <w:spacing w:val="-10"/>
                                      <w:sz w:val="14"/>
                                    </w:rPr>
                                    <w:t> </w:t>
                                  </w:r>
                                  <w:r>
                                    <w:rPr>
                                      <w:rFonts w:ascii="Arial"/>
                                      <w:sz w:val="14"/>
                                    </w:rPr>
                                    <w:t>698</w:t>
                                  </w:r>
                                  <w:r>
                                    <w:rPr>
                                      <w:rFonts w:ascii="Arial"/>
                                      <w:spacing w:val="-9"/>
                                      <w:sz w:val="14"/>
                                    </w:rPr>
                                    <w:t> </w:t>
                                  </w:r>
                                  <w:r>
                                    <w:rPr>
                                      <w:rFonts w:ascii="Arial"/>
                                      <w:spacing w:val="-5"/>
                                      <w:sz w:val="14"/>
                                    </w:rPr>
                                    <w:t>350</w:t>
                                  </w:r>
                                </w:p>
                              </w:tc>
                              <w:tc>
                                <w:tcPr>
                                  <w:tcW w:w="1123" w:type="dxa"/>
                                  <w:tcBorders>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left w:val="single" w:sz="2" w:space="0" w:color="DFDFDF"/>
                                    <w:bottom w:val="single" w:sz="2" w:space="0" w:color="DFDFDF"/>
                                    <w:right w:val="single" w:sz="2" w:space="0" w:color="DFDFDF"/>
                                  </w:tcBorders>
                                </w:tcPr>
                                <w:p>
                                  <w:pPr>
                                    <w:pStyle w:val="TableParagraph"/>
                                    <w:spacing w:line="141" w:lineRule="exact" w:before="6"/>
                                    <w:ind w:right="66"/>
                                    <w:jc w:val="right"/>
                                    <w:rPr>
                                      <w:rFonts w:ascii="Arial"/>
                                      <w:sz w:val="14"/>
                                    </w:rPr>
                                  </w:pPr>
                                  <w:r>
                                    <w:rPr>
                                      <w:rFonts w:ascii="Arial"/>
                                      <w:sz w:val="14"/>
                                    </w:rPr>
                                    <w:t>45</w:t>
                                  </w:r>
                                  <w:r>
                                    <w:rPr>
                                      <w:rFonts w:ascii="Arial"/>
                                      <w:spacing w:val="-8"/>
                                      <w:sz w:val="14"/>
                                    </w:rPr>
                                    <w:t> </w:t>
                                  </w:r>
                                  <w:r>
                                    <w:rPr>
                                      <w:rFonts w:ascii="Arial"/>
                                      <w:sz w:val="14"/>
                                    </w:rPr>
                                    <w:t>184</w:t>
                                  </w:r>
                                  <w:r>
                                    <w:rPr>
                                      <w:rFonts w:ascii="Arial"/>
                                      <w:spacing w:val="-8"/>
                                      <w:sz w:val="14"/>
                                    </w:rPr>
                                    <w:t> </w:t>
                                  </w:r>
                                  <w:r>
                                    <w:rPr>
                                      <w:rFonts w:ascii="Arial"/>
                                      <w:spacing w:val="-5"/>
                                      <w:sz w:val="14"/>
                                    </w:rPr>
                                    <w:t>700</w:t>
                                  </w:r>
                                </w:p>
                              </w:tc>
                              <w:tc>
                                <w:tcPr>
                                  <w:tcW w:w="1795" w:type="dxa"/>
                                  <w:tcBorders>
                                    <w:left w:val="single" w:sz="2" w:space="0" w:color="DFDFDF"/>
                                    <w:bottom w:val="single" w:sz="2" w:space="0" w:color="DFDFDF"/>
                                    <w:right w:val="single" w:sz="2" w:space="0" w:color="DFDFDF"/>
                                  </w:tcBorders>
                                </w:tcPr>
                                <w:p>
                                  <w:pPr>
                                    <w:pStyle w:val="TableParagraph"/>
                                    <w:spacing w:line="141" w:lineRule="exact" w:before="6"/>
                                    <w:ind w:right="68"/>
                                    <w:jc w:val="right"/>
                                    <w:rPr>
                                      <w:rFonts w:ascii="Arial"/>
                                      <w:sz w:val="14"/>
                                    </w:rPr>
                                  </w:pPr>
                                  <w:r>
                                    <w:rPr>
                                      <w:rFonts w:ascii="Arial"/>
                                      <w:sz w:val="14"/>
                                    </w:rPr>
                                    <w:t>61</w:t>
                                  </w:r>
                                  <w:r>
                                    <w:rPr>
                                      <w:rFonts w:ascii="Arial"/>
                                      <w:spacing w:val="-9"/>
                                      <w:sz w:val="14"/>
                                    </w:rPr>
                                    <w:t> </w:t>
                                  </w:r>
                                  <w:r>
                                    <w:rPr>
                                      <w:rFonts w:ascii="Arial"/>
                                      <w:sz w:val="14"/>
                                    </w:rPr>
                                    <w:t>511</w:t>
                                  </w:r>
                                  <w:r>
                                    <w:rPr>
                                      <w:rFonts w:ascii="Arial"/>
                                      <w:spacing w:val="-8"/>
                                      <w:sz w:val="14"/>
                                    </w:rPr>
                                    <w:t> </w:t>
                                  </w:r>
                                  <w:r>
                                    <w:rPr>
                                      <w:rFonts w:ascii="Arial"/>
                                      <w:sz w:val="14"/>
                                    </w:rPr>
                                    <w:t>812</w:t>
                                  </w:r>
                                  <w:r>
                                    <w:rPr>
                                      <w:rFonts w:ascii="Arial"/>
                                      <w:spacing w:val="-9"/>
                                      <w:sz w:val="14"/>
                                    </w:rPr>
                                    <w:t> </w:t>
                                  </w:r>
                                  <w:r>
                                    <w:rPr>
                                      <w:rFonts w:ascii="Arial"/>
                                      <w:spacing w:val="-2"/>
                                      <w:sz w:val="14"/>
                                    </w:rPr>
                                    <w:t>162,90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jc w:val="center"/>
                                    <w:rPr>
                                      <w:rFonts w:ascii="Arial"/>
                                      <w:sz w:val="14"/>
                                    </w:rPr>
                                  </w:pPr>
                                  <w:r>
                                    <w:rPr>
                                      <w:rFonts w:ascii="Arial"/>
                                      <w:spacing w:val="-2"/>
                                      <w:sz w:val="14"/>
                                    </w:rPr>
                                    <w:t>Alajuela</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10</w:t>
                                  </w:r>
                                  <w:r>
                                    <w:rPr>
                                      <w:rFonts w:ascii="Arial"/>
                                      <w:spacing w:val="-9"/>
                                      <w:sz w:val="14"/>
                                    </w:rPr>
                                    <w:t> </w:t>
                                  </w:r>
                                  <w:r>
                                    <w:rPr>
                                      <w:rFonts w:ascii="Arial"/>
                                      <w:sz w:val="14"/>
                                    </w:rPr>
                                    <w:t>908</w:t>
                                  </w:r>
                                  <w:r>
                                    <w:rPr>
                                      <w:rFonts w:ascii="Arial"/>
                                      <w:spacing w:val="-8"/>
                                      <w:sz w:val="14"/>
                                    </w:rPr>
                                    <w:t> </w:t>
                                  </w:r>
                                  <w:r>
                                    <w:rPr>
                                      <w:rFonts w:ascii="Arial"/>
                                      <w:sz w:val="14"/>
                                    </w:rPr>
                                    <w:t>807</w:t>
                                  </w:r>
                                  <w:r>
                                    <w:rPr>
                                      <w:rFonts w:ascii="Arial"/>
                                      <w:spacing w:val="-9"/>
                                      <w:sz w:val="14"/>
                                    </w:rPr>
                                    <w:t> </w:t>
                                  </w:r>
                                  <w:r>
                                    <w:rPr>
                                      <w:rFonts w:ascii="Arial"/>
                                      <w:spacing w:val="-2"/>
                                      <w:sz w:val="14"/>
                                    </w:rPr>
                                    <w:t>466,00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19</w:t>
                                  </w:r>
                                  <w:r>
                                    <w:rPr>
                                      <w:rFonts w:ascii="Arial"/>
                                      <w:spacing w:val="-8"/>
                                      <w:sz w:val="14"/>
                                    </w:rPr>
                                    <w:t> </w:t>
                                  </w:r>
                                  <w:r>
                                    <w:rPr>
                                      <w:rFonts w:ascii="Arial"/>
                                      <w:sz w:val="14"/>
                                    </w:rPr>
                                    <w:t>143</w:t>
                                  </w:r>
                                  <w:r>
                                    <w:rPr>
                                      <w:rFonts w:ascii="Arial"/>
                                      <w:spacing w:val="-8"/>
                                      <w:sz w:val="14"/>
                                    </w:rPr>
                                    <w:t> </w:t>
                                  </w:r>
                                  <w:r>
                                    <w:rPr>
                                      <w:rFonts w:ascii="Arial"/>
                                      <w:spacing w:val="-5"/>
                                      <w:sz w:val="14"/>
                                    </w:rPr>
                                    <w:t>600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40</w:t>
                                  </w:r>
                                  <w:r>
                                    <w:rPr>
                                      <w:rFonts w:ascii="Arial"/>
                                      <w:spacing w:val="-8"/>
                                      <w:sz w:val="14"/>
                                    </w:rPr>
                                    <w:t> </w:t>
                                  </w:r>
                                  <w:r>
                                    <w:rPr>
                                      <w:rFonts w:ascii="Arial"/>
                                      <w:sz w:val="14"/>
                                    </w:rPr>
                                    <w:t>122</w:t>
                                  </w:r>
                                  <w:r>
                                    <w:rPr>
                                      <w:rFonts w:ascii="Arial"/>
                                      <w:spacing w:val="-8"/>
                                      <w:sz w:val="14"/>
                                    </w:rPr>
                                    <w:t> </w:t>
                                  </w:r>
                                  <w:r>
                                    <w:rPr>
                                      <w:rFonts w:ascii="Arial"/>
                                      <w:spacing w:val="-5"/>
                                      <w:sz w:val="14"/>
                                    </w:rPr>
                                    <w:t>400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10</w:t>
                                  </w:r>
                                  <w:r>
                                    <w:rPr>
                                      <w:rFonts w:ascii="Arial"/>
                                      <w:spacing w:val="-9"/>
                                      <w:sz w:val="14"/>
                                    </w:rPr>
                                    <w:t> </w:t>
                                  </w:r>
                                  <w:r>
                                    <w:rPr>
                                      <w:rFonts w:ascii="Arial"/>
                                      <w:sz w:val="14"/>
                                    </w:rPr>
                                    <w:t>849</w:t>
                                  </w:r>
                                  <w:r>
                                    <w:rPr>
                                      <w:rFonts w:ascii="Arial"/>
                                      <w:spacing w:val="-8"/>
                                      <w:sz w:val="14"/>
                                    </w:rPr>
                                    <w:t> </w:t>
                                  </w:r>
                                  <w:r>
                                    <w:rPr>
                                      <w:rFonts w:ascii="Arial"/>
                                      <w:sz w:val="14"/>
                                    </w:rPr>
                                    <w:t>541</w:t>
                                  </w:r>
                                  <w:r>
                                    <w:rPr>
                                      <w:rFonts w:ascii="Arial"/>
                                      <w:spacing w:val="-9"/>
                                      <w:sz w:val="14"/>
                                    </w:rPr>
                                    <w:t> </w:t>
                                  </w:r>
                                  <w:r>
                                    <w:rPr>
                                      <w:rFonts w:ascii="Arial"/>
                                      <w:spacing w:val="-2"/>
                                      <w:sz w:val="14"/>
                                    </w:rPr>
                                    <w:t>466,00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Cartago</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14</w:t>
                                  </w:r>
                                  <w:r>
                                    <w:rPr>
                                      <w:rFonts w:ascii="Arial"/>
                                      <w:spacing w:val="-9"/>
                                      <w:sz w:val="14"/>
                                    </w:rPr>
                                    <w:t> </w:t>
                                  </w:r>
                                  <w:r>
                                    <w:rPr>
                                      <w:rFonts w:ascii="Arial"/>
                                      <w:sz w:val="14"/>
                                    </w:rPr>
                                    <w:t>917</w:t>
                                  </w:r>
                                  <w:r>
                                    <w:rPr>
                                      <w:rFonts w:ascii="Arial"/>
                                      <w:spacing w:val="-8"/>
                                      <w:sz w:val="14"/>
                                    </w:rPr>
                                    <w:t> </w:t>
                                  </w:r>
                                  <w:r>
                                    <w:rPr>
                                      <w:rFonts w:ascii="Arial"/>
                                      <w:sz w:val="14"/>
                                    </w:rPr>
                                    <w:t>822</w:t>
                                  </w:r>
                                  <w:r>
                                    <w:rPr>
                                      <w:rFonts w:ascii="Arial"/>
                                      <w:spacing w:val="-9"/>
                                      <w:sz w:val="14"/>
                                    </w:rPr>
                                    <w:t> </w:t>
                                  </w:r>
                                  <w:r>
                                    <w:rPr>
                                      <w:rFonts w:ascii="Arial"/>
                                      <w:spacing w:val="-2"/>
                                      <w:sz w:val="14"/>
                                    </w:rPr>
                                    <w:t>401,20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23</w:t>
                                  </w:r>
                                  <w:r>
                                    <w:rPr>
                                      <w:rFonts w:ascii="Arial"/>
                                      <w:spacing w:val="-8"/>
                                      <w:sz w:val="14"/>
                                    </w:rPr>
                                    <w:t> </w:t>
                                  </w:r>
                                  <w:r>
                                    <w:rPr>
                                      <w:rFonts w:ascii="Arial"/>
                                      <w:sz w:val="14"/>
                                    </w:rPr>
                                    <w:t>870</w:t>
                                  </w:r>
                                  <w:r>
                                    <w:rPr>
                                      <w:rFonts w:ascii="Arial"/>
                                      <w:spacing w:val="-8"/>
                                      <w:sz w:val="14"/>
                                    </w:rPr>
                                    <w:t> </w:t>
                                  </w:r>
                                  <w:r>
                                    <w:rPr>
                                      <w:rFonts w:ascii="Arial"/>
                                      <w:spacing w:val="-5"/>
                                      <w:sz w:val="14"/>
                                    </w:rPr>
                                    <w:t>550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30</w:t>
                                  </w:r>
                                  <w:r>
                                    <w:rPr>
                                      <w:rFonts w:ascii="Arial"/>
                                      <w:spacing w:val="-8"/>
                                      <w:sz w:val="14"/>
                                    </w:rPr>
                                    <w:t> </w:t>
                                  </w:r>
                                  <w:r>
                                    <w:rPr>
                                      <w:rFonts w:ascii="Arial"/>
                                      <w:sz w:val="14"/>
                                    </w:rPr>
                                    <w:t>122</w:t>
                                  </w:r>
                                  <w:r>
                                    <w:rPr>
                                      <w:rFonts w:ascii="Arial"/>
                                      <w:spacing w:val="-8"/>
                                      <w:sz w:val="14"/>
                                    </w:rPr>
                                    <w:t> </w:t>
                                  </w:r>
                                  <w:r>
                                    <w:rPr>
                                      <w:rFonts w:ascii="Arial"/>
                                      <w:spacing w:val="-5"/>
                                      <w:sz w:val="14"/>
                                    </w:rPr>
                                    <w:t>300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14</w:t>
                                  </w:r>
                                  <w:r>
                                    <w:rPr>
                                      <w:rFonts w:ascii="Arial"/>
                                      <w:spacing w:val="-9"/>
                                      <w:sz w:val="14"/>
                                    </w:rPr>
                                    <w:t> </w:t>
                                  </w:r>
                                  <w:r>
                                    <w:rPr>
                                      <w:rFonts w:ascii="Arial"/>
                                      <w:sz w:val="14"/>
                                    </w:rPr>
                                    <w:t>863</w:t>
                                  </w:r>
                                  <w:r>
                                    <w:rPr>
                                      <w:rFonts w:ascii="Arial"/>
                                      <w:spacing w:val="-8"/>
                                      <w:sz w:val="14"/>
                                    </w:rPr>
                                    <w:t> </w:t>
                                  </w:r>
                                  <w:r>
                                    <w:rPr>
                                      <w:rFonts w:ascii="Arial"/>
                                      <w:sz w:val="14"/>
                                    </w:rPr>
                                    <w:t>829</w:t>
                                  </w:r>
                                  <w:r>
                                    <w:rPr>
                                      <w:rFonts w:ascii="Arial"/>
                                      <w:spacing w:val="-9"/>
                                      <w:sz w:val="14"/>
                                    </w:rPr>
                                    <w:t> </w:t>
                                  </w:r>
                                  <w:r>
                                    <w:rPr>
                                      <w:rFonts w:ascii="Arial"/>
                                      <w:spacing w:val="-2"/>
                                      <w:sz w:val="14"/>
                                    </w:rPr>
                                    <w:t>551,20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Heredia</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329"/>
                                    <w:rPr>
                                      <w:rFonts w:ascii="Arial"/>
                                      <w:sz w:val="14"/>
                                    </w:rPr>
                                  </w:pPr>
                                  <w:r>
                                    <w:rPr>
                                      <w:rFonts w:ascii="Arial"/>
                                      <w:sz w:val="14"/>
                                    </w:rPr>
                                    <w:t>6</w:t>
                                  </w:r>
                                  <w:r>
                                    <w:rPr>
                                      <w:rFonts w:ascii="Arial"/>
                                      <w:spacing w:val="-8"/>
                                      <w:sz w:val="14"/>
                                    </w:rPr>
                                    <w:t> </w:t>
                                  </w:r>
                                  <w:r>
                                    <w:rPr>
                                      <w:rFonts w:ascii="Arial"/>
                                      <w:sz w:val="14"/>
                                    </w:rPr>
                                    <w:t>108</w:t>
                                  </w:r>
                                  <w:r>
                                    <w:rPr>
                                      <w:rFonts w:ascii="Arial"/>
                                      <w:spacing w:val="-7"/>
                                      <w:sz w:val="14"/>
                                    </w:rPr>
                                    <w:t> </w:t>
                                  </w:r>
                                  <w:r>
                                    <w:rPr>
                                      <w:rFonts w:ascii="Arial"/>
                                      <w:sz w:val="14"/>
                                    </w:rPr>
                                    <w:t>248</w:t>
                                  </w:r>
                                  <w:r>
                                    <w:rPr>
                                      <w:rFonts w:ascii="Arial"/>
                                      <w:spacing w:val="-8"/>
                                      <w:sz w:val="14"/>
                                    </w:rPr>
                                    <w:t> </w:t>
                                  </w:r>
                                  <w:r>
                                    <w:rPr>
                                      <w:rFonts w:ascii="Arial"/>
                                      <w:spacing w:val="-2"/>
                                      <w:sz w:val="14"/>
                                    </w:rPr>
                                    <w:t>482,00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426</w:t>
                                  </w:r>
                                  <w:r>
                                    <w:rPr>
                                      <w:rFonts w:ascii="Arial"/>
                                      <w:spacing w:val="-10"/>
                                      <w:sz w:val="14"/>
                                    </w:rPr>
                                    <w:t> </w:t>
                                  </w:r>
                                  <w:r>
                                    <w:rPr>
                                      <w:rFonts w:ascii="Arial"/>
                                      <w:sz w:val="14"/>
                                    </w:rPr>
                                    <w:t>298</w:t>
                                  </w:r>
                                  <w:r>
                                    <w:rPr>
                                      <w:rFonts w:ascii="Arial"/>
                                      <w:spacing w:val="-9"/>
                                      <w:sz w:val="14"/>
                                    </w:rPr>
                                    <w:t> </w:t>
                                  </w:r>
                                  <w:r>
                                    <w:rPr>
                                      <w:rFonts w:ascii="Arial"/>
                                      <w:spacing w:val="-5"/>
                                      <w:sz w:val="14"/>
                                    </w:rPr>
                                    <w:t>546</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5"/>
                                    <w:jc w:val="right"/>
                                    <w:rPr>
                                      <w:rFonts w:ascii="Arial"/>
                                      <w:sz w:val="14"/>
                                    </w:rPr>
                                  </w:pPr>
                                  <w:r>
                                    <w:rPr>
                                      <w:rFonts w:ascii="Arial"/>
                                      <w:sz w:val="14"/>
                                    </w:rPr>
                                    <w:t>413</w:t>
                                  </w:r>
                                  <w:r>
                                    <w:rPr>
                                      <w:rFonts w:ascii="Arial"/>
                                      <w:spacing w:val="-10"/>
                                      <w:sz w:val="14"/>
                                    </w:rPr>
                                    <w:t> </w:t>
                                  </w:r>
                                  <w:r>
                                    <w:rPr>
                                      <w:rFonts w:ascii="Arial"/>
                                      <w:sz w:val="14"/>
                                    </w:rPr>
                                    <w:t>309</w:t>
                                  </w:r>
                                  <w:r>
                                    <w:rPr>
                                      <w:rFonts w:ascii="Arial"/>
                                      <w:spacing w:val="-9"/>
                                      <w:sz w:val="14"/>
                                    </w:rPr>
                                    <w:t> </w:t>
                                  </w:r>
                                  <w:r>
                                    <w:rPr>
                                      <w:rFonts w:ascii="Arial"/>
                                      <w:spacing w:val="-5"/>
                                      <w:sz w:val="14"/>
                                    </w:rPr>
                                    <w:t>115</w:t>
                                  </w: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18</w:t>
                                  </w:r>
                                  <w:r>
                                    <w:rPr>
                                      <w:rFonts w:ascii="Arial"/>
                                      <w:spacing w:val="-8"/>
                                      <w:sz w:val="14"/>
                                    </w:rPr>
                                    <w:t> </w:t>
                                  </w:r>
                                  <w:r>
                                    <w:rPr>
                                      <w:rFonts w:ascii="Arial"/>
                                      <w:sz w:val="14"/>
                                    </w:rPr>
                                    <w:t>381</w:t>
                                  </w:r>
                                  <w:r>
                                    <w:rPr>
                                      <w:rFonts w:ascii="Arial"/>
                                      <w:spacing w:val="-8"/>
                                      <w:sz w:val="14"/>
                                    </w:rPr>
                                    <w:t> </w:t>
                                  </w:r>
                                  <w:r>
                                    <w:rPr>
                                      <w:rFonts w:ascii="Arial"/>
                                      <w:spacing w:val="-5"/>
                                      <w:sz w:val="14"/>
                                    </w:rPr>
                                    <w:t>130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7"/>
                                    <w:jc w:val="right"/>
                                    <w:rPr>
                                      <w:rFonts w:ascii="Arial"/>
                                      <w:sz w:val="14"/>
                                    </w:rPr>
                                  </w:pPr>
                                  <w:r>
                                    <w:rPr>
                                      <w:rFonts w:ascii="Arial"/>
                                      <w:sz w:val="14"/>
                                    </w:rPr>
                                    <w:t>6</w:t>
                                  </w:r>
                                  <w:r>
                                    <w:rPr>
                                      <w:rFonts w:ascii="Arial"/>
                                      <w:spacing w:val="-8"/>
                                      <w:sz w:val="14"/>
                                    </w:rPr>
                                    <w:t> </w:t>
                                  </w:r>
                                  <w:r>
                                    <w:rPr>
                                      <w:rFonts w:ascii="Arial"/>
                                      <w:sz w:val="14"/>
                                    </w:rPr>
                                    <w:t>076</w:t>
                                  </w:r>
                                  <w:r>
                                    <w:rPr>
                                      <w:rFonts w:ascii="Arial"/>
                                      <w:spacing w:val="-7"/>
                                      <w:sz w:val="14"/>
                                    </w:rPr>
                                    <w:t> </w:t>
                                  </w:r>
                                  <w:r>
                                    <w:rPr>
                                      <w:rFonts w:ascii="Arial"/>
                                      <w:sz w:val="14"/>
                                    </w:rPr>
                                    <w:t>877</w:t>
                                  </w:r>
                                  <w:r>
                                    <w:rPr>
                                      <w:rFonts w:ascii="Arial"/>
                                      <w:spacing w:val="-8"/>
                                      <w:sz w:val="14"/>
                                    </w:rPr>
                                    <w:t> </w:t>
                                  </w:r>
                                  <w:r>
                                    <w:rPr>
                                      <w:rFonts w:ascii="Arial"/>
                                      <w:spacing w:val="-2"/>
                                      <w:sz w:val="14"/>
                                    </w:rPr>
                                    <w:t>921,05</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Guanacaste</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329"/>
                                    <w:rPr>
                                      <w:rFonts w:ascii="Arial"/>
                                      <w:sz w:val="14"/>
                                    </w:rPr>
                                  </w:pPr>
                                  <w:r>
                                    <w:rPr>
                                      <w:rFonts w:ascii="Arial"/>
                                      <w:sz w:val="14"/>
                                    </w:rPr>
                                    <w:t>4</w:t>
                                  </w:r>
                                  <w:r>
                                    <w:rPr>
                                      <w:rFonts w:ascii="Arial"/>
                                      <w:spacing w:val="-8"/>
                                      <w:sz w:val="14"/>
                                    </w:rPr>
                                    <w:t> </w:t>
                                  </w:r>
                                  <w:r>
                                    <w:rPr>
                                      <w:rFonts w:ascii="Arial"/>
                                      <w:sz w:val="14"/>
                                    </w:rPr>
                                    <w:t>474</w:t>
                                  </w:r>
                                  <w:r>
                                    <w:rPr>
                                      <w:rFonts w:ascii="Arial"/>
                                      <w:spacing w:val="-7"/>
                                      <w:sz w:val="14"/>
                                    </w:rPr>
                                    <w:t> </w:t>
                                  </w:r>
                                  <w:r>
                                    <w:rPr>
                                      <w:rFonts w:ascii="Arial"/>
                                      <w:sz w:val="14"/>
                                    </w:rPr>
                                    <w:t>405</w:t>
                                  </w:r>
                                  <w:r>
                                    <w:rPr>
                                      <w:rFonts w:ascii="Arial"/>
                                      <w:spacing w:val="-8"/>
                                      <w:sz w:val="14"/>
                                    </w:rPr>
                                    <w:t> </w:t>
                                  </w:r>
                                  <w:r>
                                    <w:rPr>
                                      <w:rFonts w:ascii="Arial"/>
                                      <w:spacing w:val="-2"/>
                                      <w:sz w:val="14"/>
                                    </w:rPr>
                                    <w:t>640,00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21</w:t>
                                  </w:r>
                                  <w:r>
                                    <w:rPr>
                                      <w:rFonts w:ascii="Arial"/>
                                      <w:spacing w:val="-8"/>
                                      <w:sz w:val="14"/>
                                    </w:rPr>
                                    <w:t> </w:t>
                                  </w:r>
                                  <w:r>
                                    <w:rPr>
                                      <w:rFonts w:ascii="Arial"/>
                                      <w:sz w:val="14"/>
                                    </w:rPr>
                                    <w:t>019</w:t>
                                  </w:r>
                                  <w:r>
                                    <w:rPr>
                                      <w:rFonts w:ascii="Arial"/>
                                      <w:spacing w:val="-8"/>
                                      <w:sz w:val="14"/>
                                    </w:rPr>
                                    <w:t> </w:t>
                                  </w:r>
                                  <w:r>
                                    <w:rPr>
                                      <w:rFonts w:ascii="Arial"/>
                                      <w:spacing w:val="-5"/>
                                      <w:sz w:val="14"/>
                                    </w:rPr>
                                    <w:t>200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55</w:t>
                                  </w:r>
                                  <w:r>
                                    <w:rPr>
                                      <w:rFonts w:ascii="Arial"/>
                                      <w:spacing w:val="-8"/>
                                      <w:sz w:val="14"/>
                                    </w:rPr>
                                    <w:t> </w:t>
                                  </w:r>
                                  <w:r>
                                    <w:rPr>
                                      <w:rFonts w:ascii="Arial"/>
                                      <w:sz w:val="14"/>
                                    </w:rPr>
                                    <w:t>192</w:t>
                                  </w:r>
                                  <w:r>
                                    <w:rPr>
                                      <w:rFonts w:ascii="Arial"/>
                                      <w:spacing w:val="-8"/>
                                      <w:sz w:val="14"/>
                                    </w:rPr>
                                    <w:t> </w:t>
                                  </w:r>
                                  <w:r>
                                    <w:rPr>
                                      <w:rFonts w:ascii="Arial"/>
                                      <w:spacing w:val="-5"/>
                                      <w:sz w:val="14"/>
                                    </w:rPr>
                                    <w:t>600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7"/>
                                    <w:jc w:val="right"/>
                                    <w:rPr>
                                      <w:rFonts w:ascii="Arial"/>
                                      <w:sz w:val="14"/>
                                    </w:rPr>
                                  </w:pPr>
                                  <w:r>
                                    <w:rPr>
                                      <w:rFonts w:ascii="Arial"/>
                                      <w:sz w:val="14"/>
                                    </w:rPr>
                                    <w:t>4</w:t>
                                  </w:r>
                                  <w:r>
                                    <w:rPr>
                                      <w:rFonts w:ascii="Arial"/>
                                      <w:spacing w:val="-8"/>
                                      <w:sz w:val="14"/>
                                    </w:rPr>
                                    <w:t> </w:t>
                                  </w:r>
                                  <w:r>
                                    <w:rPr>
                                      <w:rFonts w:ascii="Arial"/>
                                      <w:sz w:val="14"/>
                                    </w:rPr>
                                    <w:t>398</w:t>
                                  </w:r>
                                  <w:r>
                                    <w:rPr>
                                      <w:rFonts w:ascii="Arial"/>
                                      <w:spacing w:val="-7"/>
                                      <w:sz w:val="14"/>
                                    </w:rPr>
                                    <w:t> </w:t>
                                  </w:r>
                                  <w:r>
                                    <w:rPr>
                                      <w:rFonts w:ascii="Arial"/>
                                      <w:sz w:val="14"/>
                                    </w:rPr>
                                    <w:t>193</w:t>
                                  </w:r>
                                  <w:r>
                                    <w:rPr>
                                      <w:rFonts w:ascii="Arial"/>
                                      <w:spacing w:val="-8"/>
                                      <w:sz w:val="14"/>
                                    </w:rPr>
                                    <w:t> </w:t>
                                  </w:r>
                                  <w:r>
                                    <w:rPr>
                                      <w:rFonts w:ascii="Arial"/>
                                      <w:spacing w:val="-2"/>
                                      <w:sz w:val="14"/>
                                    </w:rPr>
                                    <w:t>840,00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8"/>
                                    <w:jc w:val="center"/>
                                    <w:rPr>
                                      <w:rFonts w:ascii="Arial"/>
                                      <w:sz w:val="14"/>
                                    </w:rPr>
                                  </w:pPr>
                                  <w:r>
                                    <w:rPr>
                                      <w:rFonts w:ascii="Arial"/>
                                      <w:spacing w:val="-2"/>
                                      <w:sz w:val="14"/>
                                    </w:rPr>
                                    <w:t>Puntarenas</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15</w:t>
                                  </w:r>
                                  <w:r>
                                    <w:rPr>
                                      <w:rFonts w:ascii="Arial"/>
                                      <w:spacing w:val="-9"/>
                                      <w:sz w:val="14"/>
                                    </w:rPr>
                                    <w:t> </w:t>
                                  </w:r>
                                  <w:r>
                                    <w:rPr>
                                      <w:rFonts w:ascii="Arial"/>
                                      <w:sz w:val="14"/>
                                    </w:rPr>
                                    <w:t>723</w:t>
                                  </w:r>
                                  <w:r>
                                    <w:rPr>
                                      <w:rFonts w:ascii="Arial"/>
                                      <w:spacing w:val="-8"/>
                                      <w:sz w:val="14"/>
                                    </w:rPr>
                                    <w:t> </w:t>
                                  </w:r>
                                  <w:r>
                                    <w:rPr>
                                      <w:rFonts w:ascii="Arial"/>
                                      <w:sz w:val="14"/>
                                    </w:rPr>
                                    <w:t>340</w:t>
                                  </w:r>
                                  <w:r>
                                    <w:rPr>
                                      <w:rFonts w:ascii="Arial"/>
                                      <w:spacing w:val="-9"/>
                                      <w:sz w:val="14"/>
                                    </w:rPr>
                                    <w:t> </w:t>
                                  </w:r>
                                  <w:r>
                                    <w:rPr>
                                      <w:rFonts w:ascii="Arial"/>
                                      <w:spacing w:val="-2"/>
                                      <w:sz w:val="14"/>
                                    </w:rPr>
                                    <w:t>069,90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11</w:t>
                                  </w:r>
                                  <w:r>
                                    <w:rPr>
                                      <w:rFonts w:ascii="Arial"/>
                                      <w:spacing w:val="-8"/>
                                      <w:sz w:val="14"/>
                                    </w:rPr>
                                    <w:t> </w:t>
                                  </w:r>
                                  <w:r>
                                    <w:rPr>
                                      <w:rFonts w:ascii="Arial"/>
                                      <w:sz w:val="14"/>
                                    </w:rPr>
                                    <w:t>843</w:t>
                                  </w:r>
                                  <w:r>
                                    <w:rPr>
                                      <w:rFonts w:ascii="Arial"/>
                                      <w:spacing w:val="-8"/>
                                      <w:sz w:val="14"/>
                                    </w:rPr>
                                    <w:t> </w:t>
                                  </w:r>
                                  <w:r>
                                    <w:rPr>
                                      <w:rFonts w:ascii="Arial"/>
                                      <w:spacing w:val="-5"/>
                                      <w:sz w:val="14"/>
                                    </w:rPr>
                                    <w:t>510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4"/>
                                    <w:jc w:val="right"/>
                                    <w:rPr>
                                      <w:rFonts w:ascii="Arial"/>
                                      <w:sz w:val="14"/>
                                    </w:rPr>
                                  </w:pPr>
                                  <w:r>
                                    <w:rPr>
                                      <w:rFonts w:ascii="Arial"/>
                                      <w:sz w:val="14"/>
                                    </w:rPr>
                                    <w:t>2</w:t>
                                  </w:r>
                                  <w:r>
                                    <w:rPr>
                                      <w:rFonts w:ascii="Arial"/>
                                      <w:spacing w:val="-7"/>
                                      <w:sz w:val="14"/>
                                    </w:rPr>
                                    <w:t> </w:t>
                                  </w:r>
                                  <w:r>
                                    <w:rPr>
                                      <w:rFonts w:ascii="Arial"/>
                                      <w:sz w:val="14"/>
                                    </w:rPr>
                                    <w:t>961</w:t>
                                  </w:r>
                                  <w:r>
                                    <w:rPr>
                                      <w:rFonts w:ascii="Arial"/>
                                      <w:spacing w:val="-7"/>
                                      <w:sz w:val="14"/>
                                    </w:rPr>
                                    <w:t> </w:t>
                                  </w:r>
                                  <w:r>
                                    <w:rPr>
                                      <w:rFonts w:ascii="Arial"/>
                                      <w:spacing w:val="-5"/>
                                      <w:sz w:val="14"/>
                                    </w:rPr>
                                    <w:t>910</w:t>
                                  </w: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3</w:t>
                                  </w:r>
                                  <w:r>
                                    <w:rPr>
                                      <w:rFonts w:ascii="Arial"/>
                                      <w:spacing w:val="-7"/>
                                      <w:sz w:val="14"/>
                                    </w:rPr>
                                    <w:t> </w:t>
                                  </w:r>
                                  <w:r>
                                    <w:rPr>
                                      <w:rFonts w:ascii="Arial"/>
                                      <w:sz w:val="14"/>
                                    </w:rPr>
                                    <w:t>449</w:t>
                                  </w:r>
                                  <w:r>
                                    <w:rPr>
                                      <w:rFonts w:ascii="Arial"/>
                                      <w:spacing w:val="-7"/>
                                      <w:sz w:val="14"/>
                                    </w:rPr>
                                    <w:t> </w:t>
                                  </w:r>
                                  <w:r>
                                    <w:rPr>
                                      <w:rFonts w:ascii="Arial"/>
                                      <w:spacing w:val="-5"/>
                                      <w:sz w:val="14"/>
                                    </w:rPr>
                                    <w:t>480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15</w:t>
                                  </w:r>
                                  <w:r>
                                    <w:rPr>
                                      <w:rFonts w:ascii="Arial"/>
                                      <w:spacing w:val="-9"/>
                                      <w:sz w:val="14"/>
                                    </w:rPr>
                                    <w:t> </w:t>
                                  </w:r>
                                  <w:r>
                                    <w:rPr>
                                      <w:rFonts w:ascii="Arial"/>
                                      <w:sz w:val="14"/>
                                    </w:rPr>
                                    <w:t>711</w:t>
                                  </w:r>
                                  <w:r>
                                    <w:rPr>
                                      <w:rFonts w:ascii="Arial"/>
                                      <w:spacing w:val="-8"/>
                                      <w:sz w:val="14"/>
                                    </w:rPr>
                                    <w:t> </w:t>
                                  </w:r>
                                  <w:r>
                                    <w:rPr>
                                      <w:rFonts w:ascii="Arial"/>
                                      <w:sz w:val="14"/>
                                    </w:rPr>
                                    <w:t>008</w:t>
                                  </w:r>
                                  <w:r>
                                    <w:rPr>
                                      <w:rFonts w:ascii="Arial"/>
                                      <w:spacing w:val="-9"/>
                                      <w:sz w:val="14"/>
                                    </w:rPr>
                                    <w:t> </w:t>
                                  </w:r>
                                  <w:r>
                                    <w:rPr>
                                      <w:rFonts w:ascii="Arial"/>
                                      <w:spacing w:val="-2"/>
                                      <w:sz w:val="14"/>
                                    </w:rPr>
                                    <w:t>989,90</w:t>
                                  </w:r>
                                </w:p>
                              </w:tc>
                            </w:tr>
                            <w:tr>
                              <w:trPr>
                                <w:trHeight w:val="167" w:hRule="atLeast"/>
                              </w:trPr>
                              <w:tc>
                                <w:tcPr>
                                  <w:tcW w:w="807" w:type="dxa"/>
                                  <w:tcBorders>
                                    <w:top w:val="single" w:sz="2" w:space="0" w:color="DFDFDF"/>
                                    <w:left w:val="single" w:sz="2" w:space="0" w:color="DFDFDF"/>
                                    <w:right w:val="single" w:sz="2" w:space="0" w:color="DFDFDF"/>
                                  </w:tcBorders>
                                </w:tcPr>
                                <w:p>
                                  <w:pPr>
                                    <w:pStyle w:val="TableParagraph"/>
                                    <w:spacing w:line="141" w:lineRule="exact" w:before="6"/>
                                    <w:ind w:left="13" w:right="8"/>
                                    <w:jc w:val="center"/>
                                    <w:rPr>
                                      <w:rFonts w:ascii="Arial"/>
                                      <w:sz w:val="14"/>
                                    </w:rPr>
                                  </w:pPr>
                                  <w:r>
                                    <w:rPr>
                                      <w:rFonts w:ascii="Arial"/>
                                      <w:spacing w:val="-2"/>
                                      <w:sz w:val="14"/>
                                    </w:rPr>
                                    <w:t>Limon</w:t>
                                  </w:r>
                                </w:p>
                              </w:tc>
                              <w:tc>
                                <w:tcPr>
                                  <w:tcW w:w="1459" w:type="dxa"/>
                                  <w:tcBorders>
                                    <w:top w:val="single" w:sz="2" w:space="0" w:color="DFDFDF"/>
                                    <w:left w:val="single" w:sz="2" w:space="0" w:color="DFDFDF"/>
                                    <w:right w:val="single" w:sz="2" w:space="0" w:color="DFDFDF"/>
                                  </w:tcBorders>
                                </w:tcPr>
                                <w:p>
                                  <w:pPr>
                                    <w:pStyle w:val="TableParagraph"/>
                                    <w:spacing w:line="141" w:lineRule="exact" w:before="6"/>
                                    <w:ind w:left="253"/>
                                    <w:rPr>
                                      <w:rFonts w:ascii="Arial"/>
                                      <w:sz w:val="14"/>
                                    </w:rPr>
                                  </w:pPr>
                                  <w:r>
                                    <w:rPr>
                                      <w:rFonts w:ascii="Arial"/>
                                      <w:sz w:val="14"/>
                                    </w:rPr>
                                    <w:t>16</w:t>
                                  </w:r>
                                  <w:r>
                                    <w:rPr>
                                      <w:rFonts w:ascii="Arial"/>
                                      <w:spacing w:val="-9"/>
                                      <w:sz w:val="14"/>
                                    </w:rPr>
                                    <w:t> </w:t>
                                  </w:r>
                                  <w:r>
                                    <w:rPr>
                                      <w:rFonts w:ascii="Arial"/>
                                      <w:sz w:val="14"/>
                                    </w:rPr>
                                    <w:t>838</w:t>
                                  </w:r>
                                  <w:r>
                                    <w:rPr>
                                      <w:rFonts w:ascii="Arial"/>
                                      <w:spacing w:val="-8"/>
                                      <w:sz w:val="14"/>
                                    </w:rPr>
                                    <w:t> </w:t>
                                  </w:r>
                                  <w:r>
                                    <w:rPr>
                                      <w:rFonts w:ascii="Arial"/>
                                      <w:sz w:val="14"/>
                                    </w:rPr>
                                    <w:t>755</w:t>
                                  </w:r>
                                  <w:r>
                                    <w:rPr>
                                      <w:rFonts w:ascii="Arial"/>
                                      <w:spacing w:val="-9"/>
                                      <w:sz w:val="14"/>
                                    </w:rPr>
                                    <w:t> </w:t>
                                  </w:r>
                                  <w:r>
                                    <w:rPr>
                                      <w:rFonts w:ascii="Arial"/>
                                      <w:spacing w:val="-2"/>
                                      <w:sz w:val="14"/>
                                    </w:rPr>
                                    <w:t>284,00</w:t>
                                  </w:r>
                                </w:p>
                              </w:tc>
                              <w:tc>
                                <w:tcPr>
                                  <w:tcW w:w="1459" w:type="dxa"/>
                                  <w:tcBorders>
                                    <w:top w:val="single" w:sz="2" w:space="0" w:color="DFDFDF"/>
                                    <w:left w:val="single" w:sz="2" w:space="0" w:color="DFDFDF"/>
                                    <w:right w:val="single" w:sz="2" w:space="0" w:color="DFDFDF"/>
                                  </w:tcBorders>
                                </w:tcPr>
                                <w:p>
                                  <w:pPr>
                                    <w:pStyle w:val="TableParagraph"/>
                                    <w:spacing w:line="141" w:lineRule="exact" w:before="6"/>
                                    <w:ind w:right="17"/>
                                    <w:jc w:val="right"/>
                                    <w:rPr>
                                      <w:rFonts w:ascii="Arial"/>
                                      <w:sz w:val="14"/>
                                    </w:rPr>
                                  </w:pPr>
                                  <w:r>
                                    <w:rPr>
                                      <w:rFonts w:ascii="Arial"/>
                                      <w:sz w:val="14"/>
                                    </w:rPr>
                                    <w:t>41</w:t>
                                  </w:r>
                                  <w:r>
                                    <w:rPr>
                                      <w:rFonts w:ascii="Arial"/>
                                      <w:spacing w:val="-8"/>
                                      <w:sz w:val="14"/>
                                    </w:rPr>
                                    <w:t> </w:t>
                                  </w:r>
                                  <w:r>
                                    <w:rPr>
                                      <w:rFonts w:ascii="Arial"/>
                                      <w:sz w:val="14"/>
                                    </w:rPr>
                                    <w:t>959</w:t>
                                  </w:r>
                                  <w:r>
                                    <w:rPr>
                                      <w:rFonts w:ascii="Arial"/>
                                      <w:spacing w:val="-8"/>
                                      <w:sz w:val="14"/>
                                    </w:rPr>
                                    <w:t> </w:t>
                                  </w:r>
                                  <w:r>
                                    <w:rPr>
                                      <w:rFonts w:ascii="Arial"/>
                                      <w:spacing w:val="-5"/>
                                      <w:sz w:val="14"/>
                                    </w:rPr>
                                    <w:t>070</w:t>
                                  </w:r>
                                </w:p>
                              </w:tc>
                              <w:tc>
                                <w:tcPr>
                                  <w:tcW w:w="1123" w:type="dxa"/>
                                  <w:tcBorders>
                                    <w:top w:val="single" w:sz="2" w:space="0" w:color="DFDFDF"/>
                                    <w:left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right w:val="single" w:sz="2" w:space="0" w:color="DFDFDF"/>
                                  </w:tcBorders>
                                </w:tcPr>
                                <w:p>
                                  <w:pPr>
                                    <w:pStyle w:val="TableParagraph"/>
                                    <w:rPr>
                                      <w:rFonts w:ascii="Times New Roman"/>
                                      <w:sz w:val="10"/>
                                    </w:rPr>
                                  </w:pPr>
                                </w:p>
                              </w:tc>
                              <w:tc>
                                <w:tcPr>
                                  <w:tcW w:w="1795" w:type="dxa"/>
                                  <w:tcBorders>
                                    <w:top w:val="single" w:sz="2" w:space="0" w:color="DFDFDF"/>
                                    <w:left w:val="single" w:sz="2" w:space="0" w:color="DFDFDF"/>
                                    <w:right w:val="single" w:sz="2" w:space="0" w:color="DFDFDF"/>
                                  </w:tcBorders>
                                </w:tcPr>
                                <w:p>
                                  <w:pPr>
                                    <w:pStyle w:val="TableParagraph"/>
                                    <w:spacing w:line="141" w:lineRule="exact" w:before="6"/>
                                    <w:ind w:right="68"/>
                                    <w:jc w:val="right"/>
                                    <w:rPr>
                                      <w:rFonts w:ascii="Arial"/>
                                      <w:sz w:val="14"/>
                                    </w:rPr>
                                  </w:pPr>
                                  <w:r>
                                    <w:rPr>
                                      <w:rFonts w:ascii="Arial"/>
                                      <w:sz w:val="14"/>
                                    </w:rPr>
                                    <w:t>16</w:t>
                                  </w:r>
                                  <w:r>
                                    <w:rPr>
                                      <w:rFonts w:ascii="Arial"/>
                                      <w:spacing w:val="-9"/>
                                      <w:sz w:val="14"/>
                                    </w:rPr>
                                    <w:t> </w:t>
                                  </w:r>
                                  <w:r>
                                    <w:rPr>
                                      <w:rFonts w:ascii="Arial"/>
                                      <w:sz w:val="14"/>
                                    </w:rPr>
                                    <w:t>796</w:t>
                                  </w:r>
                                  <w:r>
                                    <w:rPr>
                                      <w:rFonts w:ascii="Arial"/>
                                      <w:spacing w:val="-8"/>
                                      <w:sz w:val="14"/>
                                    </w:rPr>
                                    <w:t> </w:t>
                                  </w:r>
                                  <w:r>
                                    <w:rPr>
                                      <w:rFonts w:ascii="Arial"/>
                                      <w:sz w:val="14"/>
                                    </w:rPr>
                                    <w:t>796</w:t>
                                  </w:r>
                                  <w:r>
                                    <w:rPr>
                                      <w:rFonts w:ascii="Arial"/>
                                      <w:spacing w:val="-9"/>
                                      <w:sz w:val="14"/>
                                    </w:rPr>
                                    <w:t> </w:t>
                                  </w:r>
                                  <w:r>
                                    <w:rPr>
                                      <w:rFonts w:ascii="Arial"/>
                                      <w:spacing w:val="-2"/>
                                      <w:sz w:val="14"/>
                                    </w:rPr>
                                    <w:t>214,00</w:t>
                                  </w:r>
                                </w:p>
                              </w:tc>
                            </w:tr>
                            <w:tr>
                              <w:trPr>
                                <w:trHeight w:val="166" w:hRule="atLeast"/>
                              </w:trPr>
                              <w:tc>
                                <w:tcPr>
                                  <w:tcW w:w="807" w:type="dxa"/>
                                  <w:tcBorders>
                                    <w:left w:val="nil"/>
                                    <w:bottom w:val="double" w:sz="2" w:space="0" w:color="000000"/>
                                    <w:right w:val="nil"/>
                                  </w:tcBorders>
                                  <w:shd w:val="clear" w:color="auto" w:fill="D9D9D9"/>
                                </w:tcPr>
                                <w:p>
                                  <w:pPr>
                                    <w:pStyle w:val="TableParagraph"/>
                                    <w:spacing w:line="139" w:lineRule="exact" w:before="6"/>
                                    <w:ind w:left="5"/>
                                    <w:jc w:val="center"/>
                                    <w:rPr>
                                      <w:rFonts w:ascii="Arial"/>
                                      <w:b/>
                                      <w:sz w:val="14"/>
                                    </w:rPr>
                                  </w:pPr>
                                  <w:r>
                                    <w:rPr>
                                      <w:rFonts w:ascii="Arial"/>
                                      <w:b/>
                                      <w:spacing w:val="-2"/>
                                      <w:sz w:val="14"/>
                                    </w:rPr>
                                    <w:t>Totales</w:t>
                                  </w:r>
                                </w:p>
                              </w:tc>
                              <w:tc>
                                <w:tcPr>
                                  <w:tcW w:w="1459" w:type="dxa"/>
                                  <w:tcBorders>
                                    <w:left w:val="nil"/>
                                    <w:bottom w:val="double" w:sz="2" w:space="0" w:color="000000"/>
                                    <w:right w:val="nil"/>
                                  </w:tcBorders>
                                  <w:shd w:val="clear" w:color="auto" w:fill="D9D9D9"/>
                                </w:tcPr>
                                <w:p>
                                  <w:pPr>
                                    <w:pStyle w:val="TableParagraph"/>
                                    <w:spacing w:line="139" w:lineRule="exact" w:before="6"/>
                                    <w:ind w:left="415"/>
                                    <w:rPr>
                                      <w:rFonts w:ascii="Arial"/>
                                      <w:b/>
                                      <w:sz w:val="14"/>
                                    </w:rPr>
                                  </w:pPr>
                                  <w:r>
                                    <w:rPr>
                                      <w:rFonts w:ascii="Arial"/>
                                      <w:b/>
                                      <w:sz w:val="14"/>
                                    </w:rPr>
                                    <w:t>130</w:t>
                                  </w:r>
                                  <w:r>
                                    <w:rPr>
                                      <w:rFonts w:ascii="Arial"/>
                                      <w:b/>
                                      <w:spacing w:val="-12"/>
                                      <w:sz w:val="14"/>
                                    </w:rPr>
                                    <w:t> </w:t>
                                  </w:r>
                                  <w:r>
                                    <w:rPr>
                                      <w:rFonts w:ascii="Arial"/>
                                      <w:b/>
                                      <w:sz w:val="14"/>
                                    </w:rPr>
                                    <w:t>811</w:t>
                                  </w:r>
                                  <w:r>
                                    <w:rPr>
                                      <w:rFonts w:ascii="Arial"/>
                                      <w:b/>
                                      <w:spacing w:val="-9"/>
                                      <w:sz w:val="14"/>
                                    </w:rPr>
                                    <w:t> </w:t>
                                  </w:r>
                                  <w:r>
                                    <w:rPr>
                                      <w:rFonts w:ascii="Arial"/>
                                      <w:b/>
                                      <w:sz w:val="14"/>
                                    </w:rPr>
                                    <w:t>074</w:t>
                                  </w:r>
                                  <w:r>
                                    <w:rPr>
                                      <w:rFonts w:ascii="Arial"/>
                                      <w:b/>
                                      <w:spacing w:val="-9"/>
                                      <w:sz w:val="14"/>
                                    </w:rPr>
                                    <w:t> </w:t>
                                  </w:r>
                                  <w:r>
                                    <w:rPr>
                                      <w:rFonts w:ascii="Arial"/>
                                      <w:b/>
                                      <w:spacing w:val="-5"/>
                                      <w:sz w:val="14"/>
                                    </w:rPr>
                                    <w:t>556</w:t>
                                  </w:r>
                                </w:p>
                              </w:tc>
                              <w:tc>
                                <w:tcPr>
                                  <w:tcW w:w="1459" w:type="dxa"/>
                                  <w:tcBorders>
                                    <w:left w:val="nil"/>
                                    <w:bottom w:val="double" w:sz="2" w:space="0" w:color="000000"/>
                                    <w:right w:val="nil"/>
                                  </w:tcBorders>
                                  <w:shd w:val="clear" w:color="auto" w:fill="D9D9D9"/>
                                </w:tcPr>
                                <w:p>
                                  <w:pPr>
                                    <w:pStyle w:val="TableParagraph"/>
                                    <w:spacing w:line="139" w:lineRule="exact" w:before="6"/>
                                    <w:ind w:right="20"/>
                                    <w:jc w:val="right"/>
                                    <w:rPr>
                                      <w:rFonts w:ascii="Arial"/>
                                      <w:b/>
                                      <w:sz w:val="14"/>
                                    </w:rPr>
                                  </w:pPr>
                                  <w:r>
                                    <w:rPr>
                                      <w:rFonts w:ascii="Arial"/>
                                      <w:b/>
                                      <w:sz w:val="14"/>
                                    </w:rPr>
                                    <w:t>826</w:t>
                                  </w:r>
                                  <w:r>
                                    <w:rPr>
                                      <w:rFonts w:ascii="Arial"/>
                                      <w:b/>
                                      <w:spacing w:val="-10"/>
                                      <w:sz w:val="14"/>
                                    </w:rPr>
                                    <w:t> </w:t>
                                  </w:r>
                                  <w:r>
                                    <w:rPr>
                                      <w:rFonts w:ascii="Arial"/>
                                      <w:b/>
                                      <w:sz w:val="14"/>
                                    </w:rPr>
                                    <w:t>832</w:t>
                                  </w:r>
                                  <w:r>
                                    <w:rPr>
                                      <w:rFonts w:ascii="Arial"/>
                                      <w:b/>
                                      <w:spacing w:val="-9"/>
                                      <w:sz w:val="14"/>
                                    </w:rPr>
                                    <w:t> </w:t>
                                  </w:r>
                                  <w:r>
                                    <w:rPr>
                                      <w:rFonts w:ascii="Arial"/>
                                      <w:b/>
                                      <w:spacing w:val="-5"/>
                                      <w:sz w:val="14"/>
                                    </w:rPr>
                                    <w:t>826</w:t>
                                  </w:r>
                                </w:p>
                              </w:tc>
                              <w:tc>
                                <w:tcPr>
                                  <w:tcW w:w="1123" w:type="dxa"/>
                                  <w:tcBorders>
                                    <w:left w:val="nil"/>
                                    <w:bottom w:val="double" w:sz="2" w:space="0" w:color="000000"/>
                                    <w:right w:val="nil"/>
                                  </w:tcBorders>
                                  <w:shd w:val="clear" w:color="auto" w:fill="D9D9D9"/>
                                </w:tcPr>
                                <w:p>
                                  <w:pPr>
                                    <w:pStyle w:val="TableParagraph"/>
                                    <w:spacing w:line="139" w:lineRule="exact" w:before="6"/>
                                    <w:ind w:right="21"/>
                                    <w:jc w:val="right"/>
                                    <w:rPr>
                                      <w:rFonts w:ascii="Arial"/>
                                      <w:b/>
                                      <w:sz w:val="14"/>
                                    </w:rPr>
                                  </w:pPr>
                                  <w:r>
                                    <w:rPr>
                                      <w:rFonts w:ascii="Arial"/>
                                      <w:b/>
                                      <w:sz w:val="14"/>
                                    </w:rPr>
                                    <w:t>416</w:t>
                                  </w:r>
                                  <w:r>
                                    <w:rPr>
                                      <w:rFonts w:ascii="Arial"/>
                                      <w:b/>
                                      <w:spacing w:val="-10"/>
                                      <w:sz w:val="14"/>
                                    </w:rPr>
                                    <w:t> </w:t>
                                  </w:r>
                                  <w:r>
                                    <w:rPr>
                                      <w:rFonts w:ascii="Arial"/>
                                      <w:b/>
                                      <w:sz w:val="14"/>
                                    </w:rPr>
                                    <w:t>271</w:t>
                                  </w:r>
                                  <w:r>
                                    <w:rPr>
                                      <w:rFonts w:ascii="Arial"/>
                                      <w:b/>
                                      <w:spacing w:val="-9"/>
                                      <w:sz w:val="14"/>
                                    </w:rPr>
                                    <w:t> </w:t>
                                  </w:r>
                                  <w:r>
                                    <w:rPr>
                                      <w:rFonts w:ascii="Arial"/>
                                      <w:b/>
                                      <w:spacing w:val="-5"/>
                                      <w:sz w:val="14"/>
                                    </w:rPr>
                                    <w:t>025</w:t>
                                  </w:r>
                                </w:p>
                              </w:tc>
                              <w:tc>
                                <w:tcPr>
                                  <w:tcW w:w="1199" w:type="dxa"/>
                                  <w:tcBorders>
                                    <w:left w:val="nil"/>
                                    <w:bottom w:val="double" w:sz="2" w:space="0" w:color="000000"/>
                                    <w:right w:val="nil"/>
                                  </w:tcBorders>
                                  <w:shd w:val="clear" w:color="auto" w:fill="D9D9D9"/>
                                </w:tcPr>
                                <w:p>
                                  <w:pPr>
                                    <w:pStyle w:val="TableParagraph"/>
                                    <w:spacing w:line="139" w:lineRule="exact" w:before="6"/>
                                    <w:ind w:right="69"/>
                                    <w:jc w:val="right"/>
                                    <w:rPr>
                                      <w:rFonts w:ascii="Arial"/>
                                      <w:b/>
                                      <w:sz w:val="14"/>
                                    </w:rPr>
                                  </w:pPr>
                                  <w:r>
                                    <w:rPr>
                                      <w:rFonts w:ascii="Arial"/>
                                      <w:b/>
                                      <w:sz w:val="14"/>
                                    </w:rPr>
                                    <w:t>192</w:t>
                                  </w:r>
                                  <w:r>
                                    <w:rPr>
                                      <w:rFonts w:ascii="Arial"/>
                                      <w:b/>
                                      <w:spacing w:val="-10"/>
                                      <w:sz w:val="14"/>
                                    </w:rPr>
                                    <w:t> </w:t>
                                  </w:r>
                                  <w:r>
                                    <w:rPr>
                                      <w:rFonts w:ascii="Arial"/>
                                      <w:b/>
                                      <w:sz w:val="14"/>
                                    </w:rPr>
                                    <w:t>452</w:t>
                                  </w:r>
                                  <w:r>
                                    <w:rPr>
                                      <w:rFonts w:ascii="Arial"/>
                                      <w:b/>
                                      <w:spacing w:val="-9"/>
                                      <w:sz w:val="14"/>
                                    </w:rPr>
                                    <w:t> </w:t>
                                  </w:r>
                                  <w:r>
                                    <w:rPr>
                                      <w:rFonts w:ascii="Arial"/>
                                      <w:b/>
                                      <w:spacing w:val="-2"/>
                                      <w:sz w:val="14"/>
                                    </w:rPr>
                                    <w:t>610,0</w:t>
                                  </w:r>
                                </w:p>
                              </w:tc>
                              <w:tc>
                                <w:tcPr>
                                  <w:tcW w:w="1795" w:type="dxa"/>
                                  <w:tcBorders>
                                    <w:left w:val="nil"/>
                                    <w:bottom w:val="double" w:sz="2" w:space="0" w:color="000000"/>
                                    <w:right w:val="nil"/>
                                  </w:tcBorders>
                                  <w:shd w:val="clear" w:color="auto" w:fill="D9D9D9"/>
                                </w:tcPr>
                                <w:p>
                                  <w:pPr>
                                    <w:pStyle w:val="TableParagraph"/>
                                    <w:spacing w:line="139" w:lineRule="exact" w:before="6"/>
                                    <w:ind w:right="24"/>
                                    <w:jc w:val="right"/>
                                    <w:rPr>
                                      <w:rFonts w:ascii="Arial"/>
                                      <w:b/>
                                      <w:sz w:val="14"/>
                                    </w:rPr>
                                  </w:pPr>
                                  <w:r>
                                    <w:rPr>
                                      <w:rFonts w:ascii="Arial"/>
                                      <w:b/>
                                      <w:sz w:val="14"/>
                                    </w:rPr>
                                    <w:t>130</w:t>
                                  </w:r>
                                  <w:r>
                                    <w:rPr>
                                      <w:rFonts w:ascii="Arial"/>
                                      <w:b/>
                                      <w:spacing w:val="-12"/>
                                      <w:sz w:val="14"/>
                                    </w:rPr>
                                    <w:t> </w:t>
                                  </w:r>
                                  <w:r>
                                    <w:rPr>
                                      <w:rFonts w:ascii="Arial"/>
                                      <w:b/>
                                      <w:sz w:val="14"/>
                                    </w:rPr>
                                    <w:t>208</w:t>
                                  </w:r>
                                  <w:r>
                                    <w:rPr>
                                      <w:rFonts w:ascii="Arial"/>
                                      <w:b/>
                                      <w:spacing w:val="-9"/>
                                      <w:sz w:val="14"/>
                                    </w:rPr>
                                    <w:t> </w:t>
                                  </w:r>
                                  <w:r>
                                    <w:rPr>
                                      <w:rFonts w:ascii="Arial"/>
                                      <w:b/>
                                      <w:sz w:val="14"/>
                                    </w:rPr>
                                    <w:t>060</w:t>
                                  </w:r>
                                  <w:r>
                                    <w:rPr>
                                      <w:rFonts w:ascii="Arial"/>
                                      <w:b/>
                                      <w:spacing w:val="-9"/>
                                      <w:sz w:val="14"/>
                                    </w:rPr>
                                    <w:t> </w:t>
                                  </w:r>
                                  <w:r>
                                    <w:rPr>
                                      <w:rFonts w:ascii="Arial"/>
                                      <w:b/>
                                      <w:spacing w:val="-2"/>
                                      <w:sz w:val="14"/>
                                    </w:rPr>
                                    <w:t>145,05</w:t>
                                  </w:r>
                                </w:p>
                              </w:tc>
                            </w:tr>
                          </w:tbl>
                          <w:p>
                            <w:pPr>
                              <w:pStyle w:val="BodyText"/>
                            </w:pPr>
                          </w:p>
                        </w:txbxContent>
                      </wps:txbx>
                      <wps:bodyPr wrap="square" lIns="0" tIns="0" rIns="0" bIns="0" rtlCol="0">
                        <a:noAutofit/>
                      </wps:bodyPr>
                    </wps:wsp>
                  </a:graphicData>
                </a:graphic>
              </wp:anchor>
            </w:drawing>
          </mc:Choice>
          <mc:Fallback>
            <w:pict>
              <v:shape style="position:absolute;margin-left:110.999969pt;margin-top:-213.692337pt;width:398.05pt;height:86.15pt;mso-position-horizontal-relative:page;mso-position-vertical-relative:paragraph;z-index:15925760" type="#_x0000_t202" id="docshape953" filled="false" stroked="false">
                <v:textbox inset="0,0,0,0">
                  <w:txbxContent>
                    <w:tbl>
                      <w:tblPr>
                        <w:tblW w:w="0" w:type="auto"/>
                        <w:jc w:val="left"/>
                        <w:tblInd w:w="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07"/>
                        <w:gridCol w:w="1459"/>
                        <w:gridCol w:w="1459"/>
                        <w:gridCol w:w="1123"/>
                        <w:gridCol w:w="1199"/>
                        <w:gridCol w:w="1795"/>
                      </w:tblGrid>
                      <w:tr>
                        <w:trPr>
                          <w:trHeight w:val="167" w:hRule="atLeast"/>
                        </w:trPr>
                        <w:tc>
                          <w:tcPr>
                            <w:tcW w:w="7842" w:type="dxa"/>
                            <w:gridSpan w:val="6"/>
                            <w:tcBorders>
                              <w:top w:val="nil"/>
                              <w:right w:val="nil"/>
                            </w:tcBorders>
                            <w:shd w:val="clear" w:color="auto" w:fill="D9D9D9"/>
                          </w:tcPr>
                          <w:p>
                            <w:pPr>
                              <w:pStyle w:val="TableParagraph"/>
                              <w:spacing w:line="140" w:lineRule="exact" w:before="7"/>
                              <w:jc w:val="center"/>
                              <w:rPr>
                                <w:rFonts w:ascii="Arial"/>
                                <w:b/>
                                <w:sz w:val="14"/>
                              </w:rPr>
                            </w:pPr>
                            <w:r>
                              <w:rPr>
                                <w:rFonts w:ascii="Arial"/>
                                <w:b/>
                                <w:spacing w:val="-2"/>
                                <w:sz w:val="14"/>
                              </w:rPr>
                              <w:t>Valor</w:t>
                            </w:r>
                            <w:r>
                              <w:rPr>
                                <w:rFonts w:ascii="Arial"/>
                                <w:b/>
                                <w:spacing w:val="1"/>
                                <w:sz w:val="14"/>
                              </w:rPr>
                              <w:t> </w:t>
                            </w:r>
                            <w:r>
                              <w:rPr>
                                <w:rFonts w:ascii="Arial"/>
                                <w:b/>
                                <w:spacing w:val="-2"/>
                                <w:sz w:val="14"/>
                              </w:rPr>
                              <w:t>contable</w:t>
                            </w:r>
                            <w:r>
                              <w:rPr>
                                <w:rFonts w:ascii="Arial"/>
                                <w:b/>
                                <w:spacing w:val="-1"/>
                                <w:sz w:val="14"/>
                              </w:rPr>
                              <w:t> </w:t>
                            </w:r>
                            <w:r>
                              <w:rPr>
                                <w:rFonts w:ascii="Arial"/>
                                <w:b/>
                                <w:spacing w:val="-2"/>
                                <w:sz w:val="14"/>
                              </w:rPr>
                              <w:t>de</w:t>
                            </w:r>
                            <w:r>
                              <w:rPr>
                                <w:rFonts w:ascii="Arial"/>
                                <w:b/>
                                <w:sz w:val="14"/>
                              </w:rPr>
                              <w:t> </w:t>
                            </w:r>
                            <w:r>
                              <w:rPr>
                                <w:rFonts w:ascii="Arial"/>
                                <w:b/>
                                <w:spacing w:val="-2"/>
                                <w:sz w:val="14"/>
                              </w:rPr>
                              <w:t>terrenos</w:t>
                            </w:r>
                            <w:r>
                              <w:rPr>
                                <w:rFonts w:ascii="Arial"/>
                                <w:b/>
                                <w:spacing w:val="-1"/>
                                <w:sz w:val="14"/>
                              </w:rPr>
                              <w:t> </w:t>
                            </w:r>
                            <w:r>
                              <w:rPr>
                                <w:rFonts w:ascii="Arial"/>
                                <w:b/>
                                <w:spacing w:val="-2"/>
                                <w:sz w:val="14"/>
                              </w:rPr>
                              <w:t>IMAS</w:t>
                            </w:r>
                            <w:r>
                              <w:rPr>
                                <w:rFonts w:ascii="Arial"/>
                                <w:b/>
                                <w:spacing w:val="1"/>
                                <w:sz w:val="14"/>
                              </w:rPr>
                              <w:t> </w:t>
                            </w:r>
                            <w:r>
                              <w:rPr>
                                <w:rFonts w:ascii="Arial"/>
                                <w:b/>
                                <w:spacing w:val="-4"/>
                                <w:sz w:val="14"/>
                              </w:rPr>
                              <w:t>2026</w:t>
                            </w:r>
                          </w:p>
                        </w:tc>
                      </w:tr>
                      <w:tr>
                        <w:trPr>
                          <w:trHeight w:val="166" w:hRule="atLeast"/>
                        </w:trPr>
                        <w:tc>
                          <w:tcPr>
                            <w:tcW w:w="807" w:type="dxa"/>
                            <w:shd w:val="clear" w:color="auto" w:fill="D9D9D9"/>
                          </w:tcPr>
                          <w:p>
                            <w:pPr>
                              <w:pStyle w:val="TableParagraph"/>
                              <w:spacing w:line="140" w:lineRule="exact" w:before="6"/>
                              <w:ind w:left="13" w:right="9"/>
                              <w:jc w:val="center"/>
                              <w:rPr>
                                <w:rFonts w:ascii="Arial"/>
                                <w:b/>
                                <w:sz w:val="14"/>
                              </w:rPr>
                            </w:pPr>
                            <w:r>
                              <w:rPr>
                                <w:rFonts w:ascii="Arial"/>
                                <w:b/>
                                <w:spacing w:val="-2"/>
                                <w:sz w:val="14"/>
                              </w:rPr>
                              <w:t>Provincia</w:t>
                            </w:r>
                          </w:p>
                        </w:tc>
                        <w:tc>
                          <w:tcPr>
                            <w:tcW w:w="1459" w:type="dxa"/>
                            <w:shd w:val="clear" w:color="auto" w:fill="D9D9D9"/>
                          </w:tcPr>
                          <w:p>
                            <w:pPr>
                              <w:pStyle w:val="TableParagraph"/>
                              <w:spacing w:line="140" w:lineRule="exact" w:before="6"/>
                              <w:ind w:left="270"/>
                              <w:rPr>
                                <w:rFonts w:ascii="Arial"/>
                                <w:b/>
                                <w:sz w:val="14"/>
                              </w:rPr>
                            </w:pPr>
                            <w:r>
                              <w:rPr>
                                <w:rFonts w:ascii="Arial"/>
                                <w:b/>
                                <w:sz w:val="14"/>
                              </w:rPr>
                              <w:t>Valor</w:t>
                            </w:r>
                            <w:r>
                              <w:rPr>
                                <w:rFonts w:ascii="Arial"/>
                                <w:b/>
                                <w:spacing w:val="-10"/>
                                <w:sz w:val="14"/>
                              </w:rPr>
                              <w:t> </w:t>
                            </w:r>
                            <w:r>
                              <w:rPr>
                                <w:rFonts w:ascii="Arial"/>
                                <w:b/>
                                <w:spacing w:val="-2"/>
                                <w:sz w:val="14"/>
                              </w:rPr>
                              <w:t>DIC2025</w:t>
                            </w:r>
                          </w:p>
                        </w:tc>
                        <w:tc>
                          <w:tcPr>
                            <w:tcW w:w="1459" w:type="dxa"/>
                            <w:shd w:val="clear" w:color="auto" w:fill="D9D9D9"/>
                          </w:tcPr>
                          <w:p>
                            <w:pPr>
                              <w:pStyle w:val="TableParagraph"/>
                              <w:spacing w:line="140" w:lineRule="exact" w:before="6"/>
                              <w:ind w:left="315"/>
                              <w:rPr>
                                <w:rFonts w:ascii="Arial" w:hAnsi="Arial"/>
                                <w:b/>
                                <w:sz w:val="14"/>
                              </w:rPr>
                            </w:pPr>
                            <w:r>
                              <w:rPr>
                                <w:rFonts w:ascii="Arial" w:hAnsi="Arial"/>
                                <w:b/>
                                <w:spacing w:val="-2"/>
                                <w:sz w:val="14"/>
                              </w:rPr>
                              <w:t>Segregación</w:t>
                            </w:r>
                          </w:p>
                        </w:tc>
                        <w:tc>
                          <w:tcPr>
                            <w:tcW w:w="1123" w:type="dxa"/>
                            <w:shd w:val="clear" w:color="auto" w:fill="D9D9D9"/>
                          </w:tcPr>
                          <w:p>
                            <w:pPr>
                              <w:pStyle w:val="TableParagraph"/>
                              <w:spacing w:line="140" w:lineRule="exact" w:before="6"/>
                              <w:jc w:val="center"/>
                              <w:rPr>
                                <w:rFonts w:ascii="Arial"/>
                                <w:b/>
                                <w:sz w:val="14"/>
                              </w:rPr>
                            </w:pPr>
                            <w:r>
                              <w:rPr>
                                <w:rFonts w:ascii="Arial"/>
                                <w:b/>
                                <w:spacing w:val="-2"/>
                                <w:sz w:val="14"/>
                              </w:rPr>
                              <w:t>altas</w:t>
                            </w:r>
                          </w:p>
                        </w:tc>
                        <w:tc>
                          <w:tcPr>
                            <w:tcW w:w="1199" w:type="dxa"/>
                            <w:shd w:val="clear" w:color="auto" w:fill="D9D9D9"/>
                          </w:tcPr>
                          <w:p>
                            <w:pPr>
                              <w:pStyle w:val="TableParagraph"/>
                              <w:spacing w:line="140" w:lineRule="exact" w:before="6"/>
                              <w:ind w:left="30"/>
                              <w:jc w:val="center"/>
                              <w:rPr>
                                <w:rFonts w:ascii="Arial"/>
                                <w:b/>
                                <w:sz w:val="14"/>
                              </w:rPr>
                            </w:pPr>
                            <w:r>
                              <w:rPr>
                                <w:rFonts w:ascii="Arial"/>
                                <w:b/>
                                <w:spacing w:val="-2"/>
                                <w:sz w:val="14"/>
                              </w:rPr>
                              <w:t>Bajas</w:t>
                            </w:r>
                          </w:p>
                        </w:tc>
                        <w:tc>
                          <w:tcPr>
                            <w:tcW w:w="1795" w:type="dxa"/>
                            <w:shd w:val="clear" w:color="auto" w:fill="D9D9D9"/>
                          </w:tcPr>
                          <w:p>
                            <w:pPr>
                              <w:pStyle w:val="TableParagraph"/>
                              <w:spacing w:line="140" w:lineRule="exact" w:before="6"/>
                              <w:ind w:left="504"/>
                              <w:rPr>
                                <w:rFonts w:ascii="Arial"/>
                                <w:b/>
                                <w:sz w:val="14"/>
                              </w:rPr>
                            </w:pPr>
                            <w:r>
                              <w:rPr>
                                <w:rFonts w:ascii="Arial"/>
                                <w:b/>
                                <w:sz w:val="14"/>
                              </w:rPr>
                              <w:t>Saldo</w:t>
                            </w:r>
                            <w:r>
                              <w:rPr>
                                <w:rFonts w:ascii="Arial"/>
                                <w:b/>
                                <w:spacing w:val="25"/>
                                <w:sz w:val="14"/>
                              </w:rPr>
                              <w:t> </w:t>
                            </w:r>
                            <w:r>
                              <w:rPr>
                                <w:rFonts w:ascii="Arial"/>
                                <w:b/>
                                <w:spacing w:val="-2"/>
                                <w:sz w:val="14"/>
                              </w:rPr>
                              <w:t>Julio</w:t>
                            </w:r>
                          </w:p>
                        </w:tc>
                      </w:tr>
                      <w:tr>
                        <w:trPr>
                          <w:trHeight w:val="167" w:hRule="atLeast"/>
                        </w:trPr>
                        <w:tc>
                          <w:tcPr>
                            <w:tcW w:w="807" w:type="dxa"/>
                            <w:tcBorders>
                              <w:left w:val="single" w:sz="2" w:space="0" w:color="DFDFDF"/>
                              <w:bottom w:val="single" w:sz="2" w:space="0" w:color="DFDFDF"/>
                              <w:right w:val="single" w:sz="2" w:space="0" w:color="DFDFDF"/>
                            </w:tcBorders>
                          </w:tcPr>
                          <w:p>
                            <w:pPr>
                              <w:pStyle w:val="TableParagraph"/>
                              <w:spacing w:line="141" w:lineRule="exact" w:before="6"/>
                              <w:ind w:left="13"/>
                              <w:jc w:val="center"/>
                              <w:rPr>
                                <w:rFonts w:ascii="Arial" w:hAnsi="Arial"/>
                                <w:sz w:val="14"/>
                              </w:rPr>
                            </w:pPr>
                            <w:r>
                              <w:rPr>
                                <w:rFonts w:ascii="Arial" w:hAnsi="Arial"/>
                                <w:spacing w:val="-2"/>
                                <w:sz w:val="14"/>
                              </w:rPr>
                              <w:t>San</w:t>
                            </w:r>
                            <w:r>
                              <w:rPr>
                                <w:rFonts w:ascii="Arial" w:hAnsi="Arial"/>
                                <w:spacing w:val="-8"/>
                                <w:sz w:val="14"/>
                              </w:rPr>
                              <w:t> </w:t>
                            </w:r>
                            <w:r>
                              <w:rPr>
                                <w:rFonts w:ascii="Arial" w:hAnsi="Arial"/>
                                <w:spacing w:val="-4"/>
                                <w:sz w:val="14"/>
                              </w:rPr>
                              <w:t>José</w:t>
                            </w:r>
                          </w:p>
                        </w:tc>
                        <w:tc>
                          <w:tcPr>
                            <w:tcW w:w="1459" w:type="dxa"/>
                            <w:tcBorders>
                              <w:left w:val="single" w:sz="2" w:space="0" w:color="DFDFDF"/>
                              <w:bottom w:val="single" w:sz="2" w:space="0" w:color="DFDFDF"/>
                              <w:right w:val="single" w:sz="2" w:space="0" w:color="DFDFDF"/>
                            </w:tcBorders>
                          </w:tcPr>
                          <w:p>
                            <w:pPr>
                              <w:pStyle w:val="TableParagraph"/>
                              <w:spacing w:line="141" w:lineRule="exact" w:before="6"/>
                              <w:ind w:left="253"/>
                              <w:rPr>
                                <w:rFonts w:ascii="Arial"/>
                                <w:sz w:val="14"/>
                              </w:rPr>
                            </w:pPr>
                            <w:r>
                              <w:rPr>
                                <w:rFonts w:ascii="Arial"/>
                                <w:sz w:val="14"/>
                              </w:rPr>
                              <w:t>61</w:t>
                            </w:r>
                            <w:r>
                              <w:rPr>
                                <w:rFonts w:ascii="Arial"/>
                                <w:spacing w:val="-9"/>
                                <w:sz w:val="14"/>
                              </w:rPr>
                              <w:t> </w:t>
                            </w:r>
                            <w:r>
                              <w:rPr>
                                <w:rFonts w:ascii="Arial"/>
                                <w:sz w:val="14"/>
                              </w:rPr>
                              <w:t>839</w:t>
                            </w:r>
                            <w:r>
                              <w:rPr>
                                <w:rFonts w:ascii="Arial"/>
                                <w:spacing w:val="-8"/>
                                <w:sz w:val="14"/>
                              </w:rPr>
                              <w:t> </w:t>
                            </w:r>
                            <w:r>
                              <w:rPr>
                                <w:rFonts w:ascii="Arial"/>
                                <w:sz w:val="14"/>
                              </w:rPr>
                              <w:t>695</w:t>
                            </w:r>
                            <w:r>
                              <w:rPr>
                                <w:rFonts w:ascii="Arial"/>
                                <w:spacing w:val="-9"/>
                                <w:sz w:val="14"/>
                              </w:rPr>
                              <w:t> </w:t>
                            </w:r>
                            <w:r>
                              <w:rPr>
                                <w:rFonts w:ascii="Arial"/>
                                <w:spacing w:val="-2"/>
                                <w:sz w:val="14"/>
                              </w:rPr>
                              <w:t>212,90</w:t>
                            </w:r>
                          </w:p>
                        </w:tc>
                        <w:tc>
                          <w:tcPr>
                            <w:tcW w:w="1459" w:type="dxa"/>
                            <w:tcBorders>
                              <w:left w:val="single" w:sz="2" w:space="0" w:color="DFDFDF"/>
                              <w:bottom w:val="single" w:sz="2" w:space="0" w:color="DFDFDF"/>
                              <w:right w:val="single" w:sz="2" w:space="0" w:color="DFDFDF"/>
                            </w:tcBorders>
                          </w:tcPr>
                          <w:p>
                            <w:pPr>
                              <w:pStyle w:val="TableParagraph"/>
                              <w:spacing w:line="141" w:lineRule="exact" w:before="6"/>
                              <w:ind w:right="17"/>
                              <w:jc w:val="right"/>
                              <w:rPr>
                                <w:rFonts w:ascii="Arial"/>
                                <w:sz w:val="14"/>
                              </w:rPr>
                            </w:pPr>
                            <w:r>
                              <w:rPr>
                                <w:rFonts w:ascii="Arial"/>
                                <w:sz w:val="14"/>
                              </w:rPr>
                              <w:t>282</w:t>
                            </w:r>
                            <w:r>
                              <w:rPr>
                                <w:rFonts w:ascii="Arial"/>
                                <w:spacing w:val="-10"/>
                                <w:sz w:val="14"/>
                              </w:rPr>
                              <w:t> </w:t>
                            </w:r>
                            <w:r>
                              <w:rPr>
                                <w:rFonts w:ascii="Arial"/>
                                <w:sz w:val="14"/>
                              </w:rPr>
                              <w:t>698</w:t>
                            </w:r>
                            <w:r>
                              <w:rPr>
                                <w:rFonts w:ascii="Arial"/>
                                <w:spacing w:val="-9"/>
                                <w:sz w:val="14"/>
                              </w:rPr>
                              <w:t> </w:t>
                            </w:r>
                            <w:r>
                              <w:rPr>
                                <w:rFonts w:ascii="Arial"/>
                                <w:spacing w:val="-5"/>
                                <w:sz w:val="14"/>
                              </w:rPr>
                              <w:t>350</w:t>
                            </w:r>
                          </w:p>
                        </w:tc>
                        <w:tc>
                          <w:tcPr>
                            <w:tcW w:w="1123" w:type="dxa"/>
                            <w:tcBorders>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left w:val="single" w:sz="2" w:space="0" w:color="DFDFDF"/>
                              <w:bottom w:val="single" w:sz="2" w:space="0" w:color="DFDFDF"/>
                              <w:right w:val="single" w:sz="2" w:space="0" w:color="DFDFDF"/>
                            </w:tcBorders>
                          </w:tcPr>
                          <w:p>
                            <w:pPr>
                              <w:pStyle w:val="TableParagraph"/>
                              <w:spacing w:line="141" w:lineRule="exact" w:before="6"/>
                              <w:ind w:right="66"/>
                              <w:jc w:val="right"/>
                              <w:rPr>
                                <w:rFonts w:ascii="Arial"/>
                                <w:sz w:val="14"/>
                              </w:rPr>
                            </w:pPr>
                            <w:r>
                              <w:rPr>
                                <w:rFonts w:ascii="Arial"/>
                                <w:sz w:val="14"/>
                              </w:rPr>
                              <w:t>45</w:t>
                            </w:r>
                            <w:r>
                              <w:rPr>
                                <w:rFonts w:ascii="Arial"/>
                                <w:spacing w:val="-8"/>
                                <w:sz w:val="14"/>
                              </w:rPr>
                              <w:t> </w:t>
                            </w:r>
                            <w:r>
                              <w:rPr>
                                <w:rFonts w:ascii="Arial"/>
                                <w:sz w:val="14"/>
                              </w:rPr>
                              <w:t>184</w:t>
                            </w:r>
                            <w:r>
                              <w:rPr>
                                <w:rFonts w:ascii="Arial"/>
                                <w:spacing w:val="-8"/>
                                <w:sz w:val="14"/>
                              </w:rPr>
                              <w:t> </w:t>
                            </w:r>
                            <w:r>
                              <w:rPr>
                                <w:rFonts w:ascii="Arial"/>
                                <w:spacing w:val="-5"/>
                                <w:sz w:val="14"/>
                              </w:rPr>
                              <w:t>700</w:t>
                            </w:r>
                          </w:p>
                        </w:tc>
                        <w:tc>
                          <w:tcPr>
                            <w:tcW w:w="1795" w:type="dxa"/>
                            <w:tcBorders>
                              <w:left w:val="single" w:sz="2" w:space="0" w:color="DFDFDF"/>
                              <w:bottom w:val="single" w:sz="2" w:space="0" w:color="DFDFDF"/>
                              <w:right w:val="single" w:sz="2" w:space="0" w:color="DFDFDF"/>
                            </w:tcBorders>
                          </w:tcPr>
                          <w:p>
                            <w:pPr>
                              <w:pStyle w:val="TableParagraph"/>
                              <w:spacing w:line="141" w:lineRule="exact" w:before="6"/>
                              <w:ind w:right="68"/>
                              <w:jc w:val="right"/>
                              <w:rPr>
                                <w:rFonts w:ascii="Arial"/>
                                <w:sz w:val="14"/>
                              </w:rPr>
                            </w:pPr>
                            <w:r>
                              <w:rPr>
                                <w:rFonts w:ascii="Arial"/>
                                <w:sz w:val="14"/>
                              </w:rPr>
                              <w:t>61</w:t>
                            </w:r>
                            <w:r>
                              <w:rPr>
                                <w:rFonts w:ascii="Arial"/>
                                <w:spacing w:val="-9"/>
                                <w:sz w:val="14"/>
                              </w:rPr>
                              <w:t> </w:t>
                            </w:r>
                            <w:r>
                              <w:rPr>
                                <w:rFonts w:ascii="Arial"/>
                                <w:sz w:val="14"/>
                              </w:rPr>
                              <w:t>511</w:t>
                            </w:r>
                            <w:r>
                              <w:rPr>
                                <w:rFonts w:ascii="Arial"/>
                                <w:spacing w:val="-8"/>
                                <w:sz w:val="14"/>
                              </w:rPr>
                              <w:t> </w:t>
                            </w:r>
                            <w:r>
                              <w:rPr>
                                <w:rFonts w:ascii="Arial"/>
                                <w:sz w:val="14"/>
                              </w:rPr>
                              <w:t>812</w:t>
                            </w:r>
                            <w:r>
                              <w:rPr>
                                <w:rFonts w:ascii="Arial"/>
                                <w:spacing w:val="-9"/>
                                <w:sz w:val="14"/>
                              </w:rPr>
                              <w:t> </w:t>
                            </w:r>
                            <w:r>
                              <w:rPr>
                                <w:rFonts w:ascii="Arial"/>
                                <w:spacing w:val="-2"/>
                                <w:sz w:val="14"/>
                              </w:rPr>
                              <w:t>162,90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jc w:val="center"/>
                              <w:rPr>
                                <w:rFonts w:ascii="Arial"/>
                                <w:sz w:val="14"/>
                              </w:rPr>
                            </w:pPr>
                            <w:r>
                              <w:rPr>
                                <w:rFonts w:ascii="Arial"/>
                                <w:spacing w:val="-2"/>
                                <w:sz w:val="14"/>
                              </w:rPr>
                              <w:t>Alajuela</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10</w:t>
                            </w:r>
                            <w:r>
                              <w:rPr>
                                <w:rFonts w:ascii="Arial"/>
                                <w:spacing w:val="-9"/>
                                <w:sz w:val="14"/>
                              </w:rPr>
                              <w:t> </w:t>
                            </w:r>
                            <w:r>
                              <w:rPr>
                                <w:rFonts w:ascii="Arial"/>
                                <w:sz w:val="14"/>
                              </w:rPr>
                              <w:t>908</w:t>
                            </w:r>
                            <w:r>
                              <w:rPr>
                                <w:rFonts w:ascii="Arial"/>
                                <w:spacing w:val="-8"/>
                                <w:sz w:val="14"/>
                              </w:rPr>
                              <w:t> </w:t>
                            </w:r>
                            <w:r>
                              <w:rPr>
                                <w:rFonts w:ascii="Arial"/>
                                <w:sz w:val="14"/>
                              </w:rPr>
                              <w:t>807</w:t>
                            </w:r>
                            <w:r>
                              <w:rPr>
                                <w:rFonts w:ascii="Arial"/>
                                <w:spacing w:val="-9"/>
                                <w:sz w:val="14"/>
                              </w:rPr>
                              <w:t> </w:t>
                            </w:r>
                            <w:r>
                              <w:rPr>
                                <w:rFonts w:ascii="Arial"/>
                                <w:spacing w:val="-2"/>
                                <w:sz w:val="14"/>
                              </w:rPr>
                              <w:t>466,00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19</w:t>
                            </w:r>
                            <w:r>
                              <w:rPr>
                                <w:rFonts w:ascii="Arial"/>
                                <w:spacing w:val="-8"/>
                                <w:sz w:val="14"/>
                              </w:rPr>
                              <w:t> </w:t>
                            </w:r>
                            <w:r>
                              <w:rPr>
                                <w:rFonts w:ascii="Arial"/>
                                <w:sz w:val="14"/>
                              </w:rPr>
                              <w:t>143</w:t>
                            </w:r>
                            <w:r>
                              <w:rPr>
                                <w:rFonts w:ascii="Arial"/>
                                <w:spacing w:val="-8"/>
                                <w:sz w:val="14"/>
                              </w:rPr>
                              <w:t> </w:t>
                            </w:r>
                            <w:r>
                              <w:rPr>
                                <w:rFonts w:ascii="Arial"/>
                                <w:spacing w:val="-5"/>
                                <w:sz w:val="14"/>
                              </w:rPr>
                              <w:t>600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40</w:t>
                            </w:r>
                            <w:r>
                              <w:rPr>
                                <w:rFonts w:ascii="Arial"/>
                                <w:spacing w:val="-8"/>
                                <w:sz w:val="14"/>
                              </w:rPr>
                              <w:t> </w:t>
                            </w:r>
                            <w:r>
                              <w:rPr>
                                <w:rFonts w:ascii="Arial"/>
                                <w:sz w:val="14"/>
                              </w:rPr>
                              <w:t>122</w:t>
                            </w:r>
                            <w:r>
                              <w:rPr>
                                <w:rFonts w:ascii="Arial"/>
                                <w:spacing w:val="-8"/>
                                <w:sz w:val="14"/>
                              </w:rPr>
                              <w:t> </w:t>
                            </w:r>
                            <w:r>
                              <w:rPr>
                                <w:rFonts w:ascii="Arial"/>
                                <w:spacing w:val="-5"/>
                                <w:sz w:val="14"/>
                              </w:rPr>
                              <w:t>400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10</w:t>
                            </w:r>
                            <w:r>
                              <w:rPr>
                                <w:rFonts w:ascii="Arial"/>
                                <w:spacing w:val="-9"/>
                                <w:sz w:val="14"/>
                              </w:rPr>
                              <w:t> </w:t>
                            </w:r>
                            <w:r>
                              <w:rPr>
                                <w:rFonts w:ascii="Arial"/>
                                <w:sz w:val="14"/>
                              </w:rPr>
                              <w:t>849</w:t>
                            </w:r>
                            <w:r>
                              <w:rPr>
                                <w:rFonts w:ascii="Arial"/>
                                <w:spacing w:val="-8"/>
                                <w:sz w:val="14"/>
                              </w:rPr>
                              <w:t> </w:t>
                            </w:r>
                            <w:r>
                              <w:rPr>
                                <w:rFonts w:ascii="Arial"/>
                                <w:sz w:val="14"/>
                              </w:rPr>
                              <w:t>541</w:t>
                            </w:r>
                            <w:r>
                              <w:rPr>
                                <w:rFonts w:ascii="Arial"/>
                                <w:spacing w:val="-9"/>
                                <w:sz w:val="14"/>
                              </w:rPr>
                              <w:t> </w:t>
                            </w:r>
                            <w:r>
                              <w:rPr>
                                <w:rFonts w:ascii="Arial"/>
                                <w:spacing w:val="-2"/>
                                <w:sz w:val="14"/>
                              </w:rPr>
                              <w:t>466,00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Cartago</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14</w:t>
                            </w:r>
                            <w:r>
                              <w:rPr>
                                <w:rFonts w:ascii="Arial"/>
                                <w:spacing w:val="-9"/>
                                <w:sz w:val="14"/>
                              </w:rPr>
                              <w:t> </w:t>
                            </w:r>
                            <w:r>
                              <w:rPr>
                                <w:rFonts w:ascii="Arial"/>
                                <w:sz w:val="14"/>
                              </w:rPr>
                              <w:t>917</w:t>
                            </w:r>
                            <w:r>
                              <w:rPr>
                                <w:rFonts w:ascii="Arial"/>
                                <w:spacing w:val="-8"/>
                                <w:sz w:val="14"/>
                              </w:rPr>
                              <w:t> </w:t>
                            </w:r>
                            <w:r>
                              <w:rPr>
                                <w:rFonts w:ascii="Arial"/>
                                <w:sz w:val="14"/>
                              </w:rPr>
                              <w:t>822</w:t>
                            </w:r>
                            <w:r>
                              <w:rPr>
                                <w:rFonts w:ascii="Arial"/>
                                <w:spacing w:val="-9"/>
                                <w:sz w:val="14"/>
                              </w:rPr>
                              <w:t> </w:t>
                            </w:r>
                            <w:r>
                              <w:rPr>
                                <w:rFonts w:ascii="Arial"/>
                                <w:spacing w:val="-2"/>
                                <w:sz w:val="14"/>
                              </w:rPr>
                              <w:t>401,20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23</w:t>
                            </w:r>
                            <w:r>
                              <w:rPr>
                                <w:rFonts w:ascii="Arial"/>
                                <w:spacing w:val="-8"/>
                                <w:sz w:val="14"/>
                              </w:rPr>
                              <w:t> </w:t>
                            </w:r>
                            <w:r>
                              <w:rPr>
                                <w:rFonts w:ascii="Arial"/>
                                <w:sz w:val="14"/>
                              </w:rPr>
                              <w:t>870</w:t>
                            </w:r>
                            <w:r>
                              <w:rPr>
                                <w:rFonts w:ascii="Arial"/>
                                <w:spacing w:val="-8"/>
                                <w:sz w:val="14"/>
                              </w:rPr>
                              <w:t> </w:t>
                            </w:r>
                            <w:r>
                              <w:rPr>
                                <w:rFonts w:ascii="Arial"/>
                                <w:spacing w:val="-5"/>
                                <w:sz w:val="14"/>
                              </w:rPr>
                              <w:t>550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30</w:t>
                            </w:r>
                            <w:r>
                              <w:rPr>
                                <w:rFonts w:ascii="Arial"/>
                                <w:spacing w:val="-8"/>
                                <w:sz w:val="14"/>
                              </w:rPr>
                              <w:t> </w:t>
                            </w:r>
                            <w:r>
                              <w:rPr>
                                <w:rFonts w:ascii="Arial"/>
                                <w:sz w:val="14"/>
                              </w:rPr>
                              <w:t>122</w:t>
                            </w:r>
                            <w:r>
                              <w:rPr>
                                <w:rFonts w:ascii="Arial"/>
                                <w:spacing w:val="-8"/>
                                <w:sz w:val="14"/>
                              </w:rPr>
                              <w:t> </w:t>
                            </w:r>
                            <w:r>
                              <w:rPr>
                                <w:rFonts w:ascii="Arial"/>
                                <w:spacing w:val="-5"/>
                                <w:sz w:val="14"/>
                              </w:rPr>
                              <w:t>300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14</w:t>
                            </w:r>
                            <w:r>
                              <w:rPr>
                                <w:rFonts w:ascii="Arial"/>
                                <w:spacing w:val="-9"/>
                                <w:sz w:val="14"/>
                              </w:rPr>
                              <w:t> </w:t>
                            </w:r>
                            <w:r>
                              <w:rPr>
                                <w:rFonts w:ascii="Arial"/>
                                <w:sz w:val="14"/>
                              </w:rPr>
                              <w:t>863</w:t>
                            </w:r>
                            <w:r>
                              <w:rPr>
                                <w:rFonts w:ascii="Arial"/>
                                <w:spacing w:val="-8"/>
                                <w:sz w:val="14"/>
                              </w:rPr>
                              <w:t> </w:t>
                            </w:r>
                            <w:r>
                              <w:rPr>
                                <w:rFonts w:ascii="Arial"/>
                                <w:sz w:val="14"/>
                              </w:rPr>
                              <w:t>829</w:t>
                            </w:r>
                            <w:r>
                              <w:rPr>
                                <w:rFonts w:ascii="Arial"/>
                                <w:spacing w:val="-9"/>
                                <w:sz w:val="14"/>
                              </w:rPr>
                              <w:t> </w:t>
                            </w:r>
                            <w:r>
                              <w:rPr>
                                <w:rFonts w:ascii="Arial"/>
                                <w:spacing w:val="-2"/>
                                <w:sz w:val="14"/>
                              </w:rPr>
                              <w:t>551,20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Heredia</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329"/>
                              <w:rPr>
                                <w:rFonts w:ascii="Arial"/>
                                <w:sz w:val="14"/>
                              </w:rPr>
                            </w:pPr>
                            <w:r>
                              <w:rPr>
                                <w:rFonts w:ascii="Arial"/>
                                <w:sz w:val="14"/>
                              </w:rPr>
                              <w:t>6</w:t>
                            </w:r>
                            <w:r>
                              <w:rPr>
                                <w:rFonts w:ascii="Arial"/>
                                <w:spacing w:val="-8"/>
                                <w:sz w:val="14"/>
                              </w:rPr>
                              <w:t> </w:t>
                            </w:r>
                            <w:r>
                              <w:rPr>
                                <w:rFonts w:ascii="Arial"/>
                                <w:sz w:val="14"/>
                              </w:rPr>
                              <w:t>108</w:t>
                            </w:r>
                            <w:r>
                              <w:rPr>
                                <w:rFonts w:ascii="Arial"/>
                                <w:spacing w:val="-7"/>
                                <w:sz w:val="14"/>
                              </w:rPr>
                              <w:t> </w:t>
                            </w:r>
                            <w:r>
                              <w:rPr>
                                <w:rFonts w:ascii="Arial"/>
                                <w:sz w:val="14"/>
                              </w:rPr>
                              <w:t>248</w:t>
                            </w:r>
                            <w:r>
                              <w:rPr>
                                <w:rFonts w:ascii="Arial"/>
                                <w:spacing w:val="-8"/>
                                <w:sz w:val="14"/>
                              </w:rPr>
                              <w:t> </w:t>
                            </w:r>
                            <w:r>
                              <w:rPr>
                                <w:rFonts w:ascii="Arial"/>
                                <w:spacing w:val="-2"/>
                                <w:sz w:val="14"/>
                              </w:rPr>
                              <w:t>482,00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426</w:t>
                            </w:r>
                            <w:r>
                              <w:rPr>
                                <w:rFonts w:ascii="Arial"/>
                                <w:spacing w:val="-10"/>
                                <w:sz w:val="14"/>
                              </w:rPr>
                              <w:t> </w:t>
                            </w:r>
                            <w:r>
                              <w:rPr>
                                <w:rFonts w:ascii="Arial"/>
                                <w:sz w:val="14"/>
                              </w:rPr>
                              <w:t>298</w:t>
                            </w:r>
                            <w:r>
                              <w:rPr>
                                <w:rFonts w:ascii="Arial"/>
                                <w:spacing w:val="-9"/>
                                <w:sz w:val="14"/>
                              </w:rPr>
                              <w:t> </w:t>
                            </w:r>
                            <w:r>
                              <w:rPr>
                                <w:rFonts w:ascii="Arial"/>
                                <w:spacing w:val="-5"/>
                                <w:sz w:val="14"/>
                              </w:rPr>
                              <w:t>546</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5"/>
                              <w:jc w:val="right"/>
                              <w:rPr>
                                <w:rFonts w:ascii="Arial"/>
                                <w:sz w:val="14"/>
                              </w:rPr>
                            </w:pPr>
                            <w:r>
                              <w:rPr>
                                <w:rFonts w:ascii="Arial"/>
                                <w:sz w:val="14"/>
                              </w:rPr>
                              <w:t>413</w:t>
                            </w:r>
                            <w:r>
                              <w:rPr>
                                <w:rFonts w:ascii="Arial"/>
                                <w:spacing w:val="-10"/>
                                <w:sz w:val="14"/>
                              </w:rPr>
                              <w:t> </w:t>
                            </w:r>
                            <w:r>
                              <w:rPr>
                                <w:rFonts w:ascii="Arial"/>
                                <w:sz w:val="14"/>
                              </w:rPr>
                              <w:t>309</w:t>
                            </w:r>
                            <w:r>
                              <w:rPr>
                                <w:rFonts w:ascii="Arial"/>
                                <w:spacing w:val="-9"/>
                                <w:sz w:val="14"/>
                              </w:rPr>
                              <w:t> </w:t>
                            </w:r>
                            <w:r>
                              <w:rPr>
                                <w:rFonts w:ascii="Arial"/>
                                <w:spacing w:val="-5"/>
                                <w:sz w:val="14"/>
                              </w:rPr>
                              <w:t>115</w:t>
                            </w: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18</w:t>
                            </w:r>
                            <w:r>
                              <w:rPr>
                                <w:rFonts w:ascii="Arial"/>
                                <w:spacing w:val="-8"/>
                                <w:sz w:val="14"/>
                              </w:rPr>
                              <w:t> </w:t>
                            </w:r>
                            <w:r>
                              <w:rPr>
                                <w:rFonts w:ascii="Arial"/>
                                <w:sz w:val="14"/>
                              </w:rPr>
                              <w:t>381</w:t>
                            </w:r>
                            <w:r>
                              <w:rPr>
                                <w:rFonts w:ascii="Arial"/>
                                <w:spacing w:val="-8"/>
                                <w:sz w:val="14"/>
                              </w:rPr>
                              <w:t> </w:t>
                            </w:r>
                            <w:r>
                              <w:rPr>
                                <w:rFonts w:ascii="Arial"/>
                                <w:spacing w:val="-5"/>
                                <w:sz w:val="14"/>
                              </w:rPr>
                              <w:t>130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7"/>
                              <w:jc w:val="right"/>
                              <w:rPr>
                                <w:rFonts w:ascii="Arial"/>
                                <w:sz w:val="14"/>
                              </w:rPr>
                            </w:pPr>
                            <w:r>
                              <w:rPr>
                                <w:rFonts w:ascii="Arial"/>
                                <w:sz w:val="14"/>
                              </w:rPr>
                              <w:t>6</w:t>
                            </w:r>
                            <w:r>
                              <w:rPr>
                                <w:rFonts w:ascii="Arial"/>
                                <w:spacing w:val="-8"/>
                                <w:sz w:val="14"/>
                              </w:rPr>
                              <w:t> </w:t>
                            </w:r>
                            <w:r>
                              <w:rPr>
                                <w:rFonts w:ascii="Arial"/>
                                <w:sz w:val="14"/>
                              </w:rPr>
                              <w:t>076</w:t>
                            </w:r>
                            <w:r>
                              <w:rPr>
                                <w:rFonts w:ascii="Arial"/>
                                <w:spacing w:val="-7"/>
                                <w:sz w:val="14"/>
                              </w:rPr>
                              <w:t> </w:t>
                            </w:r>
                            <w:r>
                              <w:rPr>
                                <w:rFonts w:ascii="Arial"/>
                                <w:sz w:val="14"/>
                              </w:rPr>
                              <w:t>877</w:t>
                            </w:r>
                            <w:r>
                              <w:rPr>
                                <w:rFonts w:ascii="Arial"/>
                                <w:spacing w:val="-8"/>
                                <w:sz w:val="14"/>
                              </w:rPr>
                              <w:t> </w:t>
                            </w:r>
                            <w:r>
                              <w:rPr>
                                <w:rFonts w:ascii="Arial"/>
                                <w:spacing w:val="-2"/>
                                <w:sz w:val="14"/>
                              </w:rPr>
                              <w:t>921,05</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4"/>
                              <w:jc w:val="center"/>
                              <w:rPr>
                                <w:rFonts w:ascii="Arial"/>
                                <w:sz w:val="14"/>
                              </w:rPr>
                            </w:pPr>
                            <w:r>
                              <w:rPr>
                                <w:rFonts w:ascii="Arial"/>
                                <w:spacing w:val="-2"/>
                                <w:sz w:val="14"/>
                              </w:rPr>
                              <w:t>Guanacaste</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329"/>
                              <w:rPr>
                                <w:rFonts w:ascii="Arial"/>
                                <w:sz w:val="14"/>
                              </w:rPr>
                            </w:pPr>
                            <w:r>
                              <w:rPr>
                                <w:rFonts w:ascii="Arial"/>
                                <w:sz w:val="14"/>
                              </w:rPr>
                              <w:t>4</w:t>
                            </w:r>
                            <w:r>
                              <w:rPr>
                                <w:rFonts w:ascii="Arial"/>
                                <w:spacing w:val="-8"/>
                                <w:sz w:val="14"/>
                              </w:rPr>
                              <w:t> </w:t>
                            </w:r>
                            <w:r>
                              <w:rPr>
                                <w:rFonts w:ascii="Arial"/>
                                <w:sz w:val="14"/>
                              </w:rPr>
                              <w:t>474</w:t>
                            </w:r>
                            <w:r>
                              <w:rPr>
                                <w:rFonts w:ascii="Arial"/>
                                <w:spacing w:val="-7"/>
                                <w:sz w:val="14"/>
                              </w:rPr>
                              <w:t> </w:t>
                            </w:r>
                            <w:r>
                              <w:rPr>
                                <w:rFonts w:ascii="Arial"/>
                                <w:sz w:val="14"/>
                              </w:rPr>
                              <w:t>405</w:t>
                            </w:r>
                            <w:r>
                              <w:rPr>
                                <w:rFonts w:ascii="Arial"/>
                                <w:spacing w:val="-8"/>
                                <w:sz w:val="14"/>
                              </w:rPr>
                              <w:t> </w:t>
                            </w:r>
                            <w:r>
                              <w:rPr>
                                <w:rFonts w:ascii="Arial"/>
                                <w:spacing w:val="-2"/>
                                <w:sz w:val="14"/>
                              </w:rPr>
                              <w:t>640,00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21</w:t>
                            </w:r>
                            <w:r>
                              <w:rPr>
                                <w:rFonts w:ascii="Arial"/>
                                <w:spacing w:val="-8"/>
                                <w:sz w:val="14"/>
                              </w:rPr>
                              <w:t> </w:t>
                            </w:r>
                            <w:r>
                              <w:rPr>
                                <w:rFonts w:ascii="Arial"/>
                                <w:sz w:val="14"/>
                              </w:rPr>
                              <w:t>019</w:t>
                            </w:r>
                            <w:r>
                              <w:rPr>
                                <w:rFonts w:ascii="Arial"/>
                                <w:spacing w:val="-8"/>
                                <w:sz w:val="14"/>
                              </w:rPr>
                              <w:t> </w:t>
                            </w:r>
                            <w:r>
                              <w:rPr>
                                <w:rFonts w:ascii="Arial"/>
                                <w:spacing w:val="-5"/>
                                <w:sz w:val="14"/>
                              </w:rPr>
                              <w:t>200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55</w:t>
                            </w:r>
                            <w:r>
                              <w:rPr>
                                <w:rFonts w:ascii="Arial"/>
                                <w:spacing w:val="-8"/>
                                <w:sz w:val="14"/>
                              </w:rPr>
                              <w:t> </w:t>
                            </w:r>
                            <w:r>
                              <w:rPr>
                                <w:rFonts w:ascii="Arial"/>
                                <w:sz w:val="14"/>
                              </w:rPr>
                              <w:t>192</w:t>
                            </w:r>
                            <w:r>
                              <w:rPr>
                                <w:rFonts w:ascii="Arial"/>
                                <w:spacing w:val="-8"/>
                                <w:sz w:val="14"/>
                              </w:rPr>
                              <w:t> </w:t>
                            </w:r>
                            <w:r>
                              <w:rPr>
                                <w:rFonts w:ascii="Arial"/>
                                <w:spacing w:val="-5"/>
                                <w:sz w:val="14"/>
                              </w:rPr>
                              <w:t>600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7"/>
                              <w:jc w:val="right"/>
                              <w:rPr>
                                <w:rFonts w:ascii="Arial"/>
                                <w:sz w:val="14"/>
                              </w:rPr>
                            </w:pPr>
                            <w:r>
                              <w:rPr>
                                <w:rFonts w:ascii="Arial"/>
                                <w:sz w:val="14"/>
                              </w:rPr>
                              <w:t>4</w:t>
                            </w:r>
                            <w:r>
                              <w:rPr>
                                <w:rFonts w:ascii="Arial"/>
                                <w:spacing w:val="-8"/>
                                <w:sz w:val="14"/>
                              </w:rPr>
                              <w:t> </w:t>
                            </w:r>
                            <w:r>
                              <w:rPr>
                                <w:rFonts w:ascii="Arial"/>
                                <w:sz w:val="14"/>
                              </w:rPr>
                              <w:t>398</w:t>
                            </w:r>
                            <w:r>
                              <w:rPr>
                                <w:rFonts w:ascii="Arial"/>
                                <w:spacing w:val="-7"/>
                                <w:sz w:val="14"/>
                              </w:rPr>
                              <w:t> </w:t>
                            </w:r>
                            <w:r>
                              <w:rPr>
                                <w:rFonts w:ascii="Arial"/>
                                <w:sz w:val="14"/>
                              </w:rPr>
                              <w:t>193</w:t>
                            </w:r>
                            <w:r>
                              <w:rPr>
                                <w:rFonts w:ascii="Arial"/>
                                <w:spacing w:val="-8"/>
                                <w:sz w:val="14"/>
                              </w:rPr>
                              <w:t> </w:t>
                            </w:r>
                            <w:r>
                              <w:rPr>
                                <w:rFonts w:ascii="Arial"/>
                                <w:spacing w:val="-2"/>
                                <w:sz w:val="14"/>
                              </w:rPr>
                              <w:t>840,00</w:t>
                            </w:r>
                          </w:p>
                        </w:tc>
                      </w:tr>
                      <w:tr>
                        <w:trPr>
                          <w:trHeight w:val="166" w:hRule="atLeast"/>
                        </w:trPr>
                        <w:tc>
                          <w:tcPr>
                            <w:tcW w:w="807"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13" w:right="8"/>
                              <w:jc w:val="center"/>
                              <w:rPr>
                                <w:rFonts w:ascii="Arial"/>
                                <w:sz w:val="14"/>
                              </w:rPr>
                            </w:pPr>
                            <w:r>
                              <w:rPr>
                                <w:rFonts w:ascii="Arial"/>
                                <w:spacing w:val="-2"/>
                                <w:sz w:val="14"/>
                              </w:rPr>
                              <w:t>Puntarenas</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left="253"/>
                              <w:rPr>
                                <w:rFonts w:ascii="Arial"/>
                                <w:sz w:val="14"/>
                              </w:rPr>
                            </w:pPr>
                            <w:r>
                              <w:rPr>
                                <w:rFonts w:ascii="Arial"/>
                                <w:sz w:val="14"/>
                              </w:rPr>
                              <w:t>15</w:t>
                            </w:r>
                            <w:r>
                              <w:rPr>
                                <w:rFonts w:ascii="Arial"/>
                                <w:spacing w:val="-9"/>
                                <w:sz w:val="14"/>
                              </w:rPr>
                              <w:t> </w:t>
                            </w:r>
                            <w:r>
                              <w:rPr>
                                <w:rFonts w:ascii="Arial"/>
                                <w:sz w:val="14"/>
                              </w:rPr>
                              <w:t>723</w:t>
                            </w:r>
                            <w:r>
                              <w:rPr>
                                <w:rFonts w:ascii="Arial"/>
                                <w:spacing w:val="-8"/>
                                <w:sz w:val="14"/>
                              </w:rPr>
                              <w:t> </w:t>
                            </w:r>
                            <w:r>
                              <w:rPr>
                                <w:rFonts w:ascii="Arial"/>
                                <w:sz w:val="14"/>
                              </w:rPr>
                              <w:t>340</w:t>
                            </w:r>
                            <w:r>
                              <w:rPr>
                                <w:rFonts w:ascii="Arial"/>
                                <w:spacing w:val="-9"/>
                                <w:sz w:val="14"/>
                              </w:rPr>
                              <w:t> </w:t>
                            </w:r>
                            <w:r>
                              <w:rPr>
                                <w:rFonts w:ascii="Arial"/>
                                <w:spacing w:val="-2"/>
                                <w:sz w:val="14"/>
                              </w:rPr>
                              <w:t>069,90</w:t>
                            </w:r>
                          </w:p>
                        </w:tc>
                        <w:tc>
                          <w:tcPr>
                            <w:tcW w:w="145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17"/>
                              <w:jc w:val="right"/>
                              <w:rPr>
                                <w:rFonts w:ascii="Arial"/>
                                <w:sz w:val="14"/>
                              </w:rPr>
                            </w:pPr>
                            <w:r>
                              <w:rPr>
                                <w:rFonts w:ascii="Arial"/>
                                <w:sz w:val="14"/>
                              </w:rPr>
                              <w:t>11</w:t>
                            </w:r>
                            <w:r>
                              <w:rPr>
                                <w:rFonts w:ascii="Arial"/>
                                <w:spacing w:val="-8"/>
                                <w:sz w:val="14"/>
                              </w:rPr>
                              <w:t> </w:t>
                            </w:r>
                            <w:r>
                              <w:rPr>
                                <w:rFonts w:ascii="Arial"/>
                                <w:sz w:val="14"/>
                              </w:rPr>
                              <w:t>843</w:t>
                            </w:r>
                            <w:r>
                              <w:rPr>
                                <w:rFonts w:ascii="Arial"/>
                                <w:spacing w:val="-8"/>
                                <w:sz w:val="14"/>
                              </w:rPr>
                              <w:t> </w:t>
                            </w:r>
                            <w:r>
                              <w:rPr>
                                <w:rFonts w:ascii="Arial"/>
                                <w:spacing w:val="-5"/>
                                <w:sz w:val="14"/>
                              </w:rPr>
                              <w:t>510</w:t>
                            </w:r>
                          </w:p>
                        </w:tc>
                        <w:tc>
                          <w:tcPr>
                            <w:tcW w:w="1123"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4"/>
                              <w:jc w:val="right"/>
                              <w:rPr>
                                <w:rFonts w:ascii="Arial"/>
                                <w:sz w:val="14"/>
                              </w:rPr>
                            </w:pPr>
                            <w:r>
                              <w:rPr>
                                <w:rFonts w:ascii="Arial"/>
                                <w:sz w:val="14"/>
                              </w:rPr>
                              <w:t>2</w:t>
                            </w:r>
                            <w:r>
                              <w:rPr>
                                <w:rFonts w:ascii="Arial"/>
                                <w:spacing w:val="-7"/>
                                <w:sz w:val="14"/>
                              </w:rPr>
                              <w:t> </w:t>
                            </w:r>
                            <w:r>
                              <w:rPr>
                                <w:rFonts w:ascii="Arial"/>
                                <w:sz w:val="14"/>
                              </w:rPr>
                              <w:t>961</w:t>
                            </w:r>
                            <w:r>
                              <w:rPr>
                                <w:rFonts w:ascii="Arial"/>
                                <w:spacing w:val="-7"/>
                                <w:sz w:val="14"/>
                              </w:rPr>
                              <w:t> </w:t>
                            </w:r>
                            <w:r>
                              <w:rPr>
                                <w:rFonts w:ascii="Arial"/>
                                <w:spacing w:val="-5"/>
                                <w:sz w:val="14"/>
                              </w:rPr>
                              <w:t>910</w:t>
                            </w:r>
                          </w:p>
                        </w:tc>
                        <w:tc>
                          <w:tcPr>
                            <w:tcW w:w="1199"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6"/>
                              <w:jc w:val="right"/>
                              <w:rPr>
                                <w:rFonts w:ascii="Arial"/>
                                <w:sz w:val="14"/>
                              </w:rPr>
                            </w:pPr>
                            <w:r>
                              <w:rPr>
                                <w:rFonts w:ascii="Arial"/>
                                <w:sz w:val="14"/>
                              </w:rPr>
                              <w:t>3</w:t>
                            </w:r>
                            <w:r>
                              <w:rPr>
                                <w:rFonts w:ascii="Arial"/>
                                <w:spacing w:val="-7"/>
                                <w:sz w:val="14"/>
                              </w:rPr>
                              <w:t> </w:t>
                            </w:r>
                            <w:r>
                              <w:rPr>
                                <w:rFonts w:ascii="Arial"/>
                                <w:sz w:val="14"/>
                              </w:rPr>
                              <w:t>449</w:t>
                            </w:r>
                            <w:r>
                              <w:rPr>
                                <w:rFonts w:ascii="Arial"/>
                                <w:spacing w:val="-7"/>
                                <w:sz w:val="14"/>
                              </w:rPr>
                              <w:t> </w:t>
                            </w:r>
                            <w:r>
                              <w:rPr>
                                <w:rFonts w:ascii="Arial"/>
                                <w:spacing w:val="-5"/>
                                <w:sz w:val="14"/>
                              </w:rPr>
                              <w:t>480</w:t>
                            </w:r>
                          </w:p>
                        </w:tc>
                        <w:tc>
                          <w:tcPr>
                            <w:tcW w:w="1795" w:type="dxa"/>
                            <w:tcBorders>
                              <w:top w:val="single" w:sz="2" w:space="0" w:color="DFDFDF"/>
                              <w:left w:val="single" w:sz="2" w:space="0" w:color="DFDFDF"/>
                              <w:bottom w:val="single" w:sz="2" w:space="0" w:color="DFDFDF"/>
                              <w:right w:val="single" w:sz="2" w:space="0" w:color="DFDFDF"/>
                            </w:tcBorders>
                          </w:tcPr>
                          <w:p>
                            <w:pPr>
                              <w:pStyle w:val="TableParagraph"/>
                              <w:spacing w:line="140" w:lineRule="exact" w:before="6"/>
                              <w:ind w:right="68"/>
                              <w:jc w:val="right"/>
                              <w:rPr>
                                <w:rFonts w:ascii="Arial"/>
                                <w:sz w:val="14"/>
                              </w:rPr>
                            </w:pPr>
                            <w:r>
                              <w:rPr>
                                <w:rFonts w:ascii="Arial"/>
                                <w:sz w:val="14"/>
                              </w:rPr>
                              <w:t>15</w:t>
                            </w:r>
                            <w:r>
                              <w:rPr>
                                <w:rFonts w:ascii="Arial"/>
                                <w:spacing w:val="-9"/>
                                <w:sz w:val="14"/>
                              </w:rPr>
                              <w:t> </w:t>
                            </w:r>
                            <w:r>
                              <w:rPr>
                                <w:rFonts w:ascii="Arial"/>
                                <w:sz w:val="14"/>
                              </w:rPr>
                              <w:t>711</w:t>
                            </w:r>
                            <w:r>
                              <w:rPr>
                                <w:rFonts w:ascii="Arial"/>
                                <w:spacing w:val="-8"/>
                                <w:sz w:val="14"/>
                              </w:rPr>
                              <w:t> </w:t>
                            </w:r>
                            <w:r>
                              <w:rPr>
                                <w:rFonts w:ascii="Arial"/>
                                <w:sz w:val="14"/>
                              </w:rPr>
                              <w:t>008</w:t>
                            </w:r>
                            <w:r>
                              <w:rPr>
                                <w:rFonts w:ascii="Arial"/>
                                <w:spacing w:val="-9"/>
                                <w:sz w:val="14"/>
                              </w:rPr>
                              <w:t> </w:t>
                            </w:r>
                            <w:r>
                              <w:rPr>
                                <w:rFonts w:ascii="Arial"/>
                                <w:spacing w:val="-2"/>
                                <w:sz w:val="14"/>
                              </w:rPr>
                              <w:t>989,90</w:t>
                            </w:r>
                          </w:p>
                        </w:tc>
                      </w:tr>
                      <w:tr>
                        <w:trPr>
                          <w:trHeight w:val="167" w:hRule="atLeast"/>
                        </w:trPr>
                        <w:tc>
                          <w:tcPr>
                            <w:tcW w:w="807" w:type="dxa"/>
                            <w:tcBorders>
                              <w:top w:val="single" w:sz="2" w:space="0" w:color="DFDFDF"/>
                              <w:left w:val="single" w:sz="2" w:space="0" w:color="DFDFDF"/>
                              <w:right w:val="single" w:sz="2" w:space="0" w:color="DFDFDF"/>
                            </w:tcBorders>
                          </w:tcPr>
                          <w:p>
                            <w:pPr>
                              <w:pStyle w:val="TableParagraph"/>
                              <w:spacing w:line="141" w:lineRule="exact" w:before="6"/>
                              <w:ind w:left="13" w:right="8"/>
                              <w:jc w:val="center"/>
                              <w:rPr>
                                <w:rFonts w:ascii="Arial"/>
                                <w:sz w:val="14"/>
                              </w:rPr>
                            </w:pPr>
                            <w:r>
                              <w:rPr>
                                <w:rFonts w:ascii="Arial"/>
                                <w:spacing w:val="-2"/>
                                <w:sz w:val="14"/>
                              </w:rPr>
                              <w:t>Limon</w:t>
                            </w:r>
                          </w:p>
                        </w:tc>
                        <w:tc>
                          <w:tcPr>
                            <w:tcW w:w="1459" w:type="dxa"/>
                            <w:tcBorders>
                              <w:top w:val="single" w:sz="2" w:space="0" w:color="DFDFDF"/>
                              <w:left w:val="single" w:sz="2" w:space="0" w:color="DFDFDF"/>
                              <w:right w:val="single" w:sz="2" w:space="0" w:color="DFDFDF"/>
                            </w:tcBorders>
                          </w:tcPr>
                          <w:p>
                            <w:pPr>
                              <w:pStyle w:val="TableParagraph"/>
                              <w:spacing w:line="141" w:lineRule="exact" w:before="6"/>
                              <w:ind w:left="253"/>
                              <w:rPr>
                                <w:rFonts w:ascii="Arial"/>
                                <w:sz w:val="14"/>
                              </w:rPr>
                            </w:pPr>
                            <w:r>
                              <w:rPr>
                                <w:rFonts w:ascii="Arial"/>
                                <w:sz w:val="14"/>
                              </w:rPr>
                              <w:t>16</w:t>
                            </w:r>
                            <w:r>
                              <w:rPr>
                                <w:rFonts w:ascii="Arial"/>
                                <w:spacing w:val="-9"/>
                                <w:sz w:val="14"/>
                              </w:rPr>
                              <w:t> </w:t>
                            </w:r>
                            <w:r>
                              <w:rPr>
                                <w:rFonts w:ascii="Arial"/>
                                <w:sz w:val="14"/>
                              </w:rPr>
                              <w:t>838</w:t>
                            </w:r>
                            <w:r>
                              <w:rPr>
                                <w:rFonts w:ascii="Arial"/>
                                <w:spacing w:val="-8"/>
                                <w:sz w:val="14"/>
                              </w:rPr>
                              <w:t> </w:t>
                            </w:r>
                            <w:r>
                              <w:rPr>
                                <w:rFonts w:ascii="Arial"/>
                                <w:sz w:val="14"/>
                              </w:rPr>
                              <w:t>755</w:t>
                            </w:r>
                            <w:r>
                              <w:rPr>
                                <w:rFonts w:ascii="Arial"/>
                                <w:spacing w:val="-9"/>
                                <w:sz w:val="14"/>
                              </w:rPr>
                              <w:t> </w:t>
                            </w:r>
                            <w:r>
                              <w:rPr>
                                <w:rFonts w:ascii="Arial"/>
                                <w:spacing w:val="-2"/>
                                <w:sz w:val="14"/>
                              </w:rPr>
                              <w:t>284,00</w:t>
                            </w:r>
                          </w:p>
                        </w:tc>
                        <w:tc>
                          <w:tcPr>
                            <w:tcW w:w="1459" w:type="dxa"/>
                            <w:tcBorders>
                              <w:top w:val="single" w:sz="2" w:space="0" w:color="DFDFDF"/>
                              <w:left w:val="single" w:sz="2" w:space="0" w:color="DFDFDF"/>
                              <w:right w:val="single" w:sz="2" w:space="0" w:color="DFDFDF"/>
                            </w:tcBorders>
                          </w:tcPr>
                          <w:p>
                            <w:pPr>
                              <w:pStyle w:val="TableParagraph"/>
                              <w:spacing w:line="141" w:lineRule="exact" w:before="6"/>
                              <w:ind w:right="17"/>
                              <w:jc w:val="right"/>
                              <w:rPr>
                                <w:rFonts w:ascii="Arial"/>
                                <w:sz w:val="14"/>
                              </w:rPr>
                            </w:pPr>
                            <w:r>
                              <w:rPr>
                                <w:rFonts w:ascii="Arial"/>
                                <w:sz w:val="14"/>
                              </w:rPr>
                              <w:t>41</w:t>
                            </w:r>
                            <w:r>
                              <w:rPr>
                                <w:rFonts w:ascii="Arial"/>
                                <w:spacing w:val="-8"/>
                                <w:sz w:val="14"/>
                              </w:rPr>
                              <w:t> </w:t>
                            </w:r>
                            <w:r>
                              <w:rPr>
                                <w:rFonts w:ascii="Arial"/>
                                <w:sz w:val="14"/>
                              </w:rPr>
                              <w:t>959</w:t>
                            </w:r>
                            <w:r>
                              <w:rPr>
                                <w:rFonts w:ascii="Arial"/>
                                <w:spacing w:val="-8"/>
                                <w:sz w:val="14"/>
                              </w:rPr>
                              <w:t> </w:t>
                            </w:r>
                            <w:r>
                              <w:rPr>
                                <w:rFonts w:ascii="Arial"/>
                                <w:spacing w:val="-5"/>
                                <w:sz w:val="14"/>
                              </w:rPr>
                              <w:t>070</w:t>
                            </w:r>
                          </w:p>
                        </w:tc>
                        <w:tc>
                          <w:tcPr>
                            <w:tcW w:w="1123" w:type="dxa"/>
                            <w:tcBorders>
                              <w:top w:val="single" w:sz="2" w:space="0" w:color="DFDFDF"/>
                              <w:left w:val="single" w:sz="2" w:space="0" w:color="DFDFDF"/>
                              <w:right w:val="single" w:sz="2" w:space="0" w:color="DFDFDF"/>
                            </w:tcBorders>
                          </w:tcPr>
                          <w:p>
                            <w:pPr>
                              <w:pStyle w:val="TableParagraph"/>
                              <w:rPr>
                                <w:rFonts w:ascii="Times New Roman"/>
                                <w:sz w:val="10"/>
                              </w:rPr>
                            </w:pPr>
                          </w:p>
                        </w:tc>
                        <w:tc>
                          <w:tcPr>
                            <w:tcW w:w="1199" w:type="dxa"/>
                            <w:tcBorders>
                              <w:top w:val="single" w:sz="2" w:space="0" w:color="DFDFDF"/>
                              <w:left w:val="single" w:sz="2" w:space="0" w:color="DFDFDF"/>
                              <w:right w:val="single" w:sz="2" w:space="0" w:color="DFDFDF"/>
                            </w:tcBorders>
                          </w:tcPr>
                          <w:p>
                            <w:pPr>
                              <w:pStyle w:val="TableParagraph"/>
                              <w:rPr>
                                <w:rFonts w:ascii="Times New Roman"/>
                                <w:sz w:val="10"/>
                              </w:rPr>
                            </w:pPr>
                          </w:p>
                        </w:tc>
                        <w:tc>
                          <w:tcPr>
                            <w:tcW w:w="1795" w:type="dxa"/>
                            <w:tcBorders>
                              <w:top w:val="single" w:sz="2" w:space="0" w:color="DFDFDF"/>
                              <w:left w:val="single" w:sz="2" w:space="0" w:color="DFDFDF"/>
                              <w:right w:val="single" w:sz="2" w:space="0" w:color="DFDFDF"/>
                            </w:tcBorders>
                          </w:tcPr>
                          <w:p>
                            <w:pPr>
                              <w:pStyle w:val="TableParagraph"/>
                              <w:spacing w:line="141" w:lineRule="exact" w:before="6"/>
                              <w:ind w:right="68"/>
                              <w:jc w:val="right"/>
                              <w:rPr>
                                <w:rFonts w:ascii="Arial"/>
                                <w:sz w:val="14"/>
                              </w:rPr>
                            </w:pPr>
                            <w:r>
                              <w:rPr>
                                <w:rFonts w:ascii="Arial"/>
                                <w:sz w:val="14"/>
                              </w:rPr>
                              <w:t>16</w:t>
                            </w:r>
                            <w:r>
                              <w:rPr>
                                <w:rFonts w:ascii="Arial"/>
                                <w:spacing w:val="-9"/>
                                <w:sz w:val="14"/>
                              </w:rPr>
                              <w:t> </w:t>
                            </w:r>
                            <w:r>
                              <w:rPr>
                                <w:rFonts w:ascii="Arial"/>
                                <w:sz w:val="14"/>
                              </w:rPr>
                              <w:t>796</w:t>
                            </w:r>
                            <w:r>
                              <w:rPr>
                                <w:rFonts w:ascii="Arial"/>
                                <w:spacing w:val="-8"/>
                                <w:sz w:val="14"/>
                              </w:rPr>
                              <w:t> </w:t>
                            </w:r>
                            <w:r>
                              <w:rPr>
                                <w:rFonts w:ascii="Arial"/>
                                <w:sz w:val="14"/>
                              </w:rPr>
                              <w:t>796</w:t>
                            </w:r>
                            <w:r>
                              <w:rPr>
                                <w:rFonts w:ascii="Arial"/>
                                <w:spacing w:val="-9"/>
                                <w:sz w:val="14"/>
                              </w:rPr>
                              <w:t> </w:t>
                            </w:r>
                            <w:r>
                              <w:rPr>
                                <w:rFonts w:ascii="Arial"/>
                                <w:spacing w:val="-2"/>
                                <w:sz w:val="14"/>
                              </w:rPr>
                              <w:t>214,00</w:t>
                            </w:r>
                          </w:p>
                        </w:tc>
                      </w:tr>
                      <w:tr>
                        <w:trPr>
                          <w:trHeight w:val="166" w:hRule="atLeast"/>
                        </w:trPr>
                        <w:tc>
                          <w:tcPr>
                            <w:tcW w:w="807" w:type="dxa"/>
                            <w:tcBorders>
                              <w:left w:val="nil"/>
                              <w:bottom w:val="double" w:sz="2" w:space="0" w:color="000000"/>
                              <w:right w:val="nil"/>
                            </w:tcBorders>
                            <w:shd w:val="clear" w:color="auto" w:fill="D9D9D9"/>
                          </w:tcPr>
                          <w:p>
                            <w:pPr>
                              <w:pStyle w:val="TableParagraph"/>
                              <w:spacing w:line="139" w:lineRule="exact" w:before="6"/>
                              <w:ind w:left="5"/>
                              <w:jc w:val="center"/>
                              <w:rPr>
                                <w:rFonts w:ascii="Arial"/>
                                <w:b/>
                                <w:sz w:val="14"/>
                              </w:rPr>
                            </w:pPr>
                            <w:r>
                              <w:rPr>
                                <w:rFonts w:ascii="Arial"/>
                                <w:b/>
                                <w:spacing w:val="-2"/>
                                <w:sz w:val="14"/>
                              </w:rPr>
                              <w:t>Totales</w:t>
                            </w:r>
                          </w:p>
                        </w:tc>
                        <w:tc>
                          <w:tcPr>
                            <w:tcW w:w="1459" w:type="dxa"/>
                            <w:tcBorders>
                              <w:left w:val="nil"/>
                              <w:bottom w:val="double" w:sz="2" w:space="0" w:color="000000"/>
                              <w:right w:val="nil"/>
                            </w:tcBorders>
                            <w:shd w:val="clear" w:color="auto" w:fill="D9D9D9"/>
                          </w:tcPr>
                          <w:p>
                            <w:pPr>
                              <w:pStyle w:val="TableParagraph"/>
                              <w:spacing w:line="139" w:lineRule="exact" w:before="6"/>
                              <w:ind w:left="415"/>
                              <w:rPr>
                                <w:rFonts w:ascii="Arial"/>
                                <w:b/>
                                <w:sz w:val="14"/>
                              </w:rPr>
                            </w:pPr>
                            <w:r>
                              <w:rPr>
                                <w:rFonts w:ascii="Arial"/>
                                <w:b/>
                                <w:sz w:val="14"/>
                              </w:rPr>
                              <w:t>130</w:t>
                            </w:r>
                            <w:r>
                              <w:rPr>
                                <w:rFonts w:ascii="Arial"/>
                                <w:b/>
                                <w:spacing w:val="-12"/>
                                <w:sz w:val="14"/>
                              </w:rPr>
                              <w:t> </w:t>
                            </w:r>
                            <w:r>
                              <w:rPr>
                                <w:rFonts w:ascii="Arial"/>
                                <w:b/>
                                <w:sz w:val="14"/>
                              </w:rPr>
                              <w:t>811</w:t>
                            </w:r>
                            <w:r>
                              <w:rPr>
                                <w:rFonts w:ascii="Arial"/>
                                <w:b/>
                                <w:spacing w:val="-9"/>
                                <w:sz w:val="14"/>
                              </w:rPr>
                              <w:t> </w:t>
                            </w:r>
                            <w:r>
                              <w:rPr>
                                <w:rFonts w:ascii="Arial"/>
                                <w:b/>
                                <w:sz w:val="14"/>
                              </w:rPr>
                              <w:t>074</w:t>
                            </w:r>
                            <w:r>
                              <w:rPr>
                                <w:rFonts w:ascii="Arial"/>
                                <w:b/>
                                <w:spacing w:val="-9"/>
                                <w:sz w:val="14"/>
                              </w:rPr>
                              <w:t> </w:t>
                            </w:r>
                            <w:r>
                              <w:rPr>
                                <w:rFonts w:ascii="Arial"/>
                                <w:b/>
                                <w:spacing w:val="-5"/>
                                <w:sz w:val="14"/>
                              </w:rPr>
                              <w:t>556</w:t>
                            </w:r>
                          </w:p>
                        </w:tc>
                        <w:tc>
                          <w:tcPr>
                            <w:tcW w:w="1459" w:type="dxa"/>
                            <w:tcBorders>
                              <w:left w:val="nil"/>
                              <w:bottom w:val="double" w:sz="2" w:space="0" w:color="000000"/>
                              <w:right w:val="nil"/>
                            </w:tcBorders>
                            <w:shd w:val="clear" w:color="auto" w:fill="D9D9D9"/>
                          </w:tcPr>
                          <w:p>
                            <w:pPr>
                              <w:pStyle w:val="TableParagraph"/>
                              <w:spacing w:line="139" w:lineRule="exact" w:before="6"/>
                              <w:ind w:right="20"/>
                              <w:jc w:val="right"/>
                              <w:rPr>
                                <w:rFonts w:ascii="Arial"/>
                                <w:b/>
                                <w:sz w:val="14"/>
                              </w:rPr>
                            </w:pPr>
                            <w:r>
                              <w:rPr>
                                <w:rFonts w:ascii="Arial"/>
                                <w:b/>
                                <w:sz w:val="14"/>
                              </w:rPr>
                              <w:t>826</w:t>
                            </w:r>
                            <w:r>
                              <w:rPr>
                                <w:rFonts w:ascii="Arial"/>
                                <w:b/>
                                <w:spacing w:val="-10"/>
                                <w:sz w:val="14"/>
                              </w:rPr>
                              <w:t> </w:t>
                            </w:r>
                            <w:r>
                              <w:rPr>
                                <w:rFonts w:ascii="Arial"/>
                                <w:b/>
                                <w:sz w:val="14"/>
                              </w:rPr>
                              <w:t>832</w:t>
                            </w:r>
                            <w:r>
                              <w:rPr>
                                <w:rFonts w:ascii="Arial"/>
                                <w:b/>
                                <w:spacing w:val="-9"/>
                                <w:sz w:val="14"/>
                              </w:rPr>
                              <w:t> </w:t>
                            </w:r>
                            <w:r>
                              <w:rPr>
                                <w:rFonts w:ascii="Arial"/>
                                <w:b/>
                                <w:spacing w:val="-5"/>
                                <w:sz w:val="14"/>
                              </w:rPr>
                              <w:t>826</w:t>
                            </w:r>
                          </w:p>
                        </w:tc>
                        <w:tc>
                          <w:tcPr>
                            <w:tcW w:w="1123" w:type="dxa"/>
                            <w:tcBorders>
                              <w:left w:val="nil"/>
                              <w:bottom w:val="double" w:sz="2" w:space="0" w:color="000000"/>
                              <w:right w:val="nil"/>
                            </w:tcBorders>
                            <w:shd w:val="clear" w:color="auto" w:fill="D9D9D9"/>
                          </w:tcPr>
                          <w:p>
                            <w:pPr>
                              <w:pStyle w:val="TableParagraph"/>
                              <w:spacing w:line="139" w:lineRule="exact" w:before="6"/>
                              <w:ind w:right="21"/>
                              <w:jc w:val="right"/>
                              <w:rPr>
                                <w:rFonts w:ascii="Arial"/>
                                <w:b/>
                                <w:sz w:val="14"/>
                              </w:rPr>
                            </w:pPr>
                            <w:r>
                              <w:rPr>
                                <w:rFonts w:ascii="Arial"/>
                                <w:b/>
                                <w:sz w:val="14"/>
                              </w:rPr>
                              <w:t>416</w:t>
                            </w:r>
                            <w:r>
                              <w:rPr>
                                <w:rFonts w:ascii="Arial"/>
                                <w:b/>
                                <w:spacing w:val="-10"/>
                                <w:sz w:val="14"/>
                              </w:rPr>
                              <w:t> </w:t>
                            </w:r>
                            <w:r>
                              <w:rPr>
                                <w:rFonts w:ascii="Arial"/>
                                <w:b/>
                                <w:sz w:val="14"/>
                              </w:rPr>
                              <w:t>271</w:t>
                            </w:r>
                            <w:r>
                              <w:rPr>
                                <w:rFonts w:ascii="Arial"/>
                                <w:b/>
                                <w:spacing w:val="-9"/>
                                <w:sz w:val="14"/>
                              </w:rPr>
                              <w:t> </w:t>
                            </w:r>
                            <w:r>
                              <w:rPr>
                                <w:rFonts w:ascii="Arial"/>
                                <w:b/>
                                <w:spacing w:val="-5"/>
                                <w:sz w:val="14"/>
                              </w:rPr>
                              <w:t>025</w:t>
                            </w:r>
                          </w:p>
                        </w:tc>
                        <w:tc>
                          <w:tcPr>
                            <w:tcW w:w="1199" w:type="dxa"/>
                            <w:tcBorders>
                              <w:left w:val="nil"/>
                              <w:bottom w:val="double" w:sz="2" w:space="0" w:color="000000"/>
                              <w:right w:val="nil"/>
                            </w:tcBorders>
                            <w:shd w:val="clear" w:color="auto" w:fill="D9D9D9"/>
                          </w:tcPr>
                          <w:p>
                            <w:pPr>
                              <w:pStyle w:val="TableParagraph"/>
                              <w:spacing w:line="139" w:lineRule="exact" w:before="6"/>
                              <w:ind w:right="69"/>
                              <w:jc w:val="right"/>
                              <w:rPr>
                                <w:rFonts w:ascii="Arial"/>
                                <w:b/>
                                <w:sz w:val="14"/>
                              </w:rPr>
                            </w:pPr>
                            <w:r>
                              <w:rPr>
                                <w:rFonts w:ascii="Arial"/>
                                <w:b/>
                                <w:sz w:val="14"/>
                              </w:rPr>
                              <w:t>192</w:t>
                            </w:r>
                            <w:r>
                              <w:rPr>
                                <w:rFonts w:ascii="Arial"/>
                                <w:b/>
                                <w:spacing w:val="-10"/>
                                <w:sz w:val="14"/>
                              </w:rPr>
                              <w:t> </w:t>
                            </w:r>
                            <w:r>
                              <w:rPr>
                                <w:rFonts w:ascii="Arial"/>
                                <w:b/>
                                <w:sz w:val="14"/>
                              </w:rPr>
                              <w:t>452</w:t>
                            </w:r>
                            <w:r>
                              <w:rPr>
                                <w:rFonts w:ascii="Arial"/>
                                <w:b/>
                                <w:spacing w:val="-9"/>
                                <w:sz w:val="14"/>
                              </w:rPr>
                              <w:t> </w:t>
                            </w:r>
                            <w:r>
                              <w:rPr>
                                <w:rFonts w:ascii="Arial"/>
                                <w:b/>
                                <w:spacing w:val="-2"/>
                                <w:sz w:val="14"/>
                              </w:rPr>
                              <w:t>610,0</w:t>
                            </w:r>
                          </w:p>
                        </w:tc>
                        <w:tc>
                          <w:tcPr>
                            <w:tcW w:w="1795" w:type="dxa"/>
                            <w:tcBorders>
                              <w:left w:val="nil"/>
                              <w:bottom w:val="double" w:sz="2" w:space="0" w:color="000000"/>
                              <w:right w:val="nil"/>
                            </w:tcBorders>
                            <w:shd w:val="clear" w:color="auto" w:fill="D9D9D9"/>
                          </w:tcPr>
                          <w:p>
                            <w:pPr>
                              <w:pStyle w:val="TableParagraph"/>
                              <w:spacing w:line="139" w:lineRule="exact" w:before="6"/>
                              <w:ind w:right="24"/>
                              <w:jc w:val="right"/>
                              <w:rPr>
                                <w:rFonts w:ascii="Arial"/>
                                <w:b/>
                                <w:sz w:val="14"/>
                              </w:rPr>
                            </w:pPr>
                            <w:r>
                              <w:rPr>
                                <w:rFonts w:ascii="Arial"/>
                                <w:b/>
                                <w:sz w:val="14"/>
                              </w:rPr>
                              <w:t>130</w:t>
                            </w:r>
                            <w:r>
                              <w:rPr>
                                <w:rFonts w:ascii="Arial"/>
                                <w:b/>
                                <w:spacing w:val="-12"/>
                                <w:sz w:val="14"/>
                              </w:rPr>
                              <w:t> </w:t>
                            </w:r>
                            <w:r>
                              <w:rPr>
                                <w:rFonts w:ascii="Arial"/>
                                <w:b/>
                                <w:sz w:val="14"/>
                              </w:rPr>
                              <w:t>208</w:t>
                            </w:r>
                            <w:r>
                              <w:rPr>
                                <w:rFonts w:ascii="Arial"/>
                                <w:b/>
                                <w:spacing w:val="-9"/>
                                <w:sz w:val="14"/>
                              </w:rPr>
                              <w:t> </w:t>
                            </w:r>
                            <w:r>
                              <w:rPr>
                                <w:rFonts w:ascii="Arial"/>
                                <w:b/>
                                <w:sz w:val="14"/>
                              </w:rPr>
                              <w:t>060</w:t>
                            </w:r>
                            <w:r>
                              <w:rPr>
                                <w:rFonts w:ascii="Arial"/>
                                <w:b/>
                                <w:spacing w:val="-9"/>
                                <w:sz w:val="14"/>
                              </w:rPr>
                              <w:t> </w:t>
                            </w:r>
                            <w:r>
                              <w:rPr>
                                <w:rFonts w:ascii="Arial"/>
                                <w:b/>
                                <w:spacing w:val="-2"/>
                                <w:sz w:val="14"/>
                              </w:rPr>
                              <w:t>145,05</w:t>
                            </w:r>
                          </w:p>
                        </w:tc>
                      </w:tr>
                    </w:tbl>
                    <w:p>
                      <w:pPr>
                        <w:pStyle w:val="BodyText"/>
                      </w:pPr>
                    </w:p>
                  </w:txbxContent>
                </v:textbox>
                <w10:wrap type="none"/>
              </v:shape>
            </w:pict>
          </mc:Fallback>
        </mc:AlternateContent>
      </w:r>
      <w:r>
        <w:rPr/>
        <w:t>Base </w:t>
      </w:r>
      <w:r>
        <w:rPr>
          <w:spacing w:val="-2"/>
        </w:rPr>
        <w:t>Contable</w:t>
      </w:r>
    </w:p>
    <w:p>
      <w:pPr>
        <w:pStyle w:val="BodyText"/>
        <w:spacing w:before="160"/>
        <w:ind w:left="622"/>
      </w:pPr>
      <w:r>
        <w:rPr/>
        <w:t>Marque</w:t>
      </w:r>
      <w:r>
        <w:rPr>
          <w:spacing w:val="-3"/>
        </w:rPr>
        <w:t> </w:t>
      </w:r>
      <w:r>
        <w:rPr/>
        <w:t>con</w:t>
      </w:r>
      <w:r>
        <w:rPr>
          <w:spacing w:val="-3"/>
        </w:rPr>
        <w:t> </w:t>
      </w:r>
      <w:r>
        <w:rPr/>
        <w:t>1,</w:t>
      </w:r>
      <w:r>
        <w:rPr>
          <w:spacing w:val="-1"/>
        </w:rPr>
        <w:t> </w:t>
      </w:r>
      <w:r>
        <w:rPr/>
        <w:t>si </w:t>
      </w:r>
      <w:r>
        <w:rPr>
          <w:spacing w:val="-2"/>
        </w:rPr>
        <w:t>cumple</w:t>
      </w:r>
    </w:p>
    <w:p>
      <w:pPr>
        <w:pStyle w:val="BodyText"/>
        <w:spacing w:before="11"/>
        <w:rPr>
          <w:sz w:val="13"/>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02"/>
        <w:gridCol w:w="825"/>
      </w:tblGrid>
      <w:tr>
        <w:trPr>
          <w:trHeight w:val="323" w:hRule="atLeast"/>
        </w:trPr>
        <w:tc>
          <w:tcPr>
            <w:tcW w:w="6402" w:type="dxa"/>
          </w:tcPr>
          <w:p>
            <w:pPr>
              <w:pStyle w:val="TableParagraph"/>
              <w:spacing w:before="36"/>
              <w:ind w:left="69"/>
              <w:rPr>
                <w:sz w:val="22"/>
              </w:rPr>
            </w:pPr>
            <w:r>
              <w:rPr>
                <w:sz w:val="22"/>
              </w:rPr>
              <w:t>Propiedades</w:t>
            </w:r>
            <w:r>
              <w:rPr>
                <w:spacing w:val="-6"/>
                <w:sz w:val="22"/>
              </w:rPr>
              <w:t> </w:t>
            </w:r>
            <w:r>
              <w:rPr>
                <w:sz w:val="22"/>
              </w:rPr>
              <w:t>están</w:t>
            </w:r>
            <w:r>
              <w:rPr>
                <w:spacing w:val="-7"/>
                <w:sz w:val="22"/>
              </w:rPr>
              <w:t> </w:t>
            </w:r>
            <w:r>
              <w:rPr>
                <w:sz w:val="22"/>
              </w:rPr>
              <w:t>debidamente</w:t>
            </w:r>
            <w:r>
              <w:rPr>
                <w:spacing w:val="-7"/>
                <w:sz w:val="22"/>
              </w:rPr>
              <w:t> </w:t>
            </w:r>
            <w:r>
              <w:rPr>
                <w:sz w:val="22"/>
              </w:rPr>
              <w:t>registrados</w:t>
            </w:r>
            <w:r>
              <w:rPr>
                <w:spacing w:val="-6"/>
                <w:sz w:val="22"/>
              </w:rPr>
              <w:t> </w:t>
            </w:r>
            <w:r>
              <w:rPr>
                <w:sz w:val="22"/>
              </w:rPr>
              <w:t>en</w:t>
            </w:r>
            <w:r>
              <w:rPr>
                <w:spacing w:val="-8"/>
                <w:sz w:val="22"/>
              </w:rPr>
              <w:t> </w:t>
            </w:r>
            <w:r>
              <w:rPr>
                <w:sz w:val="22"/>
              </w:rPr>
              <w:t>Registro</w:t>
            </w:r>
            <w:r>
              <w:rPr>
                <w:spacing w:val="-8"/>
                <w:sz w:val="22"/>
              </w:rPr>
              <w:t> </w:t>
            </w:r>
            <w:r>
              <w:rPr>
                <w:spacing w:val="-2"/>
                <w:sz w:val="22"/>
              </w:rPr>
              <w:t>Nacional</w:t>
            </w:r>
          </w:p>
        </w:tc>
        <w:tc>
          <w:tcPr>
            <w:tcW w:w="825" w:type="dxa"/>
          </w:tcPr>
          <w:p>
            <w:pPr>
              <w:pStyle w:val="TableParagraph"/>
              <w:rPr>
                <w:rFonts w:ascii="Times New Roman"/>
                <w:sz w:val="18"/>
              </w:rPr>
            </w:pPr>
          </w:p>
        </w:tc>
      </w:tr>
      <w:tr>
        <w:trPr>
          <w:trHeight w:val="323" w:hRule="atLeast"/>
        </w:trPr>
        <w:tc>
          <w:tcPr>
            <w:tcW w:w="6402" w:type="dxa"/>
          </w:tcPr>
          <w:p>
            <w:pPr>
              <w:pStyle w:val="TableParagraph"/>
              <w:spacing w:before="36"/>
              <w:ind w:left="69"/>
              <w:rPr>
                <w:sz w:val="22"/>
              </w:rPr>
            </w:pPr>
            <w:r>
              <w:rPr>
                <w:sz w:val="22"/>
              </w:rPr>
              <w:t>Propiedades</w:t>
            </w:r>
            <w:r>
              <w:rPr>
                <w:spacing w:val="-5"/>
                <w:sz w:val="22"/>
              </w:rPr>
              <w:t> </w:t>
            </w:r>
            <w:r>
              <w:rPr>
                <w:sz w:val="22"/>
              </w:rPr>
              <w:t>cuentan</w:t>
            </w:r>
            <w:r>
              <w:rPr>
                <w:spacing w:val="-4"/>
                <w:sz w:val="22"/>
              </w:rPr>
              <w:t> </w:t>
            </w:r>
            <w:r>
              <w:rPr>
                <w:sz w:val="22"/>
              </w:rPr>
              <w:t>con</w:t>
            </w:r>
            <w:r>
              <w:rPr>
                <w:spacing w:val="-5"/>
                <w:sz w:val="22"/>
              </w:rPr>
              <w:t> </w:t>
            </w:r>
            <w:r>
              <w:rPr>
                <w:sz w:val="22"/>
              </w:rPr>
              <w:t>planos</w:t>
            </w:r>
            <w:r>
              <w:rPr>
                <w:spacing w:val="-4"/>
                <w:sz w:val="22"/>
              </w:rPr>
              <w:t> </w:t>
            </w:r>
            <w:r>
              <w:rPr>
                <w:spacing w:val="-2"/>
                <w:sz w:val="22"/>
              </w:rPr>
              <w:t>inscritos</w:t>
            </w:r>
          </w:p>
        </w:tc>
        <w:tc>
          <w:tcPr>
            <w:tcW w:w="825" w:type="dxa"/>
          </w:tcPr>
          <w:p>
            <w:pPr>
              <w:pStyle w:val="TableParagraph"/>
              <w:rPr>
                <w:rFonts w:ascii="Times New Roman"/>
                <w:sz w:val="18"/>
              </w:rPr>
            </w:pPr>
          </w:p>
        </w:tc>
      </w:tr>
      <w:tr>
        <w:trPr>
          <w:trHeight w:val="323" w:hRule="atLeast"/>
        </w:trPr>
        <w:tc>
          <w:tcPr>
            <w:tcW w:w="6402" w:type="dxa"/>
          </w:tcPr>
          <w:p>
            <w:pPr>
              <w:pStyle w:val="TableParagraph"/>
              <w:spacing w:before="36"/>
              <w:ind w:left="69"/>
              <w:rPr>
                <w:sz w:val="22"/>
              </w:rPr>
            </w:pPr>
            <w:r>
              <w:rPr>
                <w:sz w:val="22"/>
              </w:rPr>
              <w:t>Se</w:t>
            </w:r>
            <w:r>
              <w:rPr>
                <w:spacing w:val="-4"/>
                <w:sz w:val="22"/>
              </w:rPr>
              <w:t> </w:t>
            </w:r>
            <w:r>
              <w:rPr>
                <w:sz w:val="22"/>
              </w:rPr>
              <w:t>tiene</w:t>
            </w:r>
            <w:r>
              <w:rPr>
                <w:spacing w:val="-3"/>
                <w:sz w:val="22"/>
              </w:rPr>
              <w:t> </w:t>
            </w:r>
            <w:r>
              <w:rPr>
                <w:sz w:val="22"/>
              </w:rPr>
              <w:t>control</w:t>
            </w:r>
            <w:r>
              <w:rPr>
                <w:spacing w:val="-2"/>
                <w:sz w:val="22"/>
              </w:rPr>
              <w:t> </w:t>
            </w:r>
            <w:r>
              <w:rPr>
                <w:sz w:val="22"/>
              </w:rPr>
              <w:t>con</w:t>
            </w:r>
            <w:r>
              <w:rPr>
                <w:spacing w:val="-2"/>
                <w:sz w:val="22"/>
              </w:rPr>
              <w:t> </w:t>
            </w:r>
            <w:r>
              <w:rPr>
                <w:sz w:val="22"/>
              </w:rPr>
              <w:t>el</w:t>
            </w:r>
            <w:r>
              <w:rPr>
                <w:spacing w:val="-2"/>
                <w:sz w:val="22"/>
              </w:rPr>
              <w:t> </w:t>
            </w:r>
            <w:r>
              <w:rPr>
                <w:sz w:val="22"/>
              </w:rPr>
              <w:t>uso</w:t>
            </w:r>
            <w:r>
              <w:rPr>
                <w:spacing w:val="-4"/>
                <w:sz w:val="22"/>
              </w:rPr>
              <w:t> </w:t>
            </w:r>
            <w:r>
              <w:rPr>
                <w:sz w:val="22"/>
              </w:rPr>
              <w:t>de</w:t>
            </w:r>
            <w:r>
              <w:rPr>
                <w:spacing w:val="-4"/>
                <w:sz w:val="22"/>
              </w:rPr>
              <w:t> </w:t>
            </w:r>
            <w:r>
              <w:rPr>
                <w:sz w:val="22"/>
              </w:rPr>
              <w:t>las</w:t>
            </w:r>
            <w:r>
              <w:rPr>
                <w:spacing w:val="-1"/>
                <w:sz w:val="22"/>
              </w:rPr>
              <w:t> </w:t>
            </w:r>
            <w:r>
              <w:rPr>
                <w:spacing w:val="-2"/>
                <w:sz w:val="22"/>
              </w:rPr>
              <w:t>Propiedades</w:t>
            </w:r>
          </w:p>
        </w:tc>
        <w:tc>
          <w:tcPr>
            <w:tcW w:w="825" w:type="dxa"/>
          </w:tcPr>
          <w:p>
            <w:pPr>
              <w:pStyle w:val="TableParagraph"/>
              <w:rPr>
                <w:rFonts w:ascii="Times New Roman"/>
                <w:sz w:val="18"/>
              </w:rPr>
            </w:pPr>
          </w:p>
        </w:tc>
      </w:tr>
      <w:tr>
        <w:trPr>
          <w:trHeight w:val="325" w:hRule="atLeast"/>
        </w:trPr>
        <w:tc>
          <w:tcPr>
            <w:tcW w:w="6402" w:type="dxa"/>
          </w:tcPr>
          <w:p>
            <w:pPr>
              <w:pStyle w:val="TableParagraph"/>
              <w:spacing w:before="36"/>
              <w:ind w:left="69"/>
              <w:rPr>
                <w:sz w:val="22"/>
              </w:rPr>
            </w:pPr>
            <w:r>
              <w:rPr>
                <w:sz w:val="22"/>
              </w:rPr>
              <w:t>Se</w:t>
            </w:r>
            <w:r>
              <w:rPr>
                <w:spacing w:val="-6"/>
                <w:sz w:val="22"/>
              </w:rPr>
              <w:t> </w:t>
            </w:r>
            <w:r>
              <w:rPr>
                <w:sz w:val="22"/>
              </w:rPr>
              <w:t>tiene</w:t>
            </w:r>
            <w:r>
              <w:rPr>
                <w:spacing w:val="-5"/>
                <w:sz w:val="22"/>
              </w:rPr>
              <w:t> </w:t>
            </w:r>
            <w:r>
              <w:rPr>
                <w:sz w:val="22"/>
              </w:rPr>
              <w:t>Propiedades</w:t>
            </w:r>
            <w:r>
              <w:rPr>
                <w:spacing w:val="-4"/>
                <w:sz w:val="22"/>
              </w:rPr>
              <w:t> </w:t>
            </w:r>
            <w:r>
              <w:rPr>
                <w:sz w:val="22"/>
              </w:rPr>
              <w:t>ocupados</w:t>
            </w:r>
            <w:r>
              <w:rPr>
                <w:spacing w:val="-3"/>
                <w:sz w:val="22"/>
              </w:rPr>
              <w:t> </w:t>
            </w:r>
            <w:r>
              <w:rPr>
                <w:spacing w:val="-2"/>
                <w:sz w:val="22"/>
              </w:rPr>
              <w:t>ilegalmente.</w:t>
            </w:r>
          </w:p>
        </w:tc>
        <w:tc>
          <w:tcPr>
            <w:tcW w:w="825" w:type="dxa"/>
          </w:tcPr>
          <w:p>
            <w:pPr>
              <w:pStyle w:val="TableParagraph"/>
              <w:rPr>
                <w:rFonts w:ascii="Times New Roman"/>
                <w:sz w:val="18"/>
              </w:rPr>
            </w:pPr>
          </w:p>
        </w:tc>
      </w:tr>
    </w:tbl>
    <w:p>
      <w:pPr>
        <w:pStyle w:val="Heading6"/>
        <w:spacing w:before="243"/>
        <w:ind w:left="622"/>
      </w:pPr>
      <w:r>
        <w:rPr>
          <w:spacing w:val="-2"/>
        </w:rPr>
        <w:t>Revelación:</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4416">
                <wp:simplePos x="0" y="0"/>
                <wp:positionH relativeFrom="page">
                  <wp:posOffset>9525</wp:posOffset>
                </wp:positionH>
                <wp:positionV relativeFrom="page">
                  <wp:posOffset>297208</wp:posOffset>
                </wp:positionV>
                <wp:extent cx="7762875" cy="9748520"/>
                <wp:effectExtent l="0" t="0" r="0" b="0"/>
                <wp:wrapNone/>
                <wp:docPr id="1007" name="Group 1007"/>
                <wp:cNvGraphicFramePr>
                  <a:graphicFrameLocks/>
                </wp:cNvGraphicFramePr>
                <a:graphic>
                  <a:graphicData uri="http://schemas.microsoft.com/office/word/2010/wordprocessingGroup">
                    <wpg:wgp>
                      <wpg:cNvPr id="1007" name="Group 1007"/>
                      <wpg:cNvGrpSpPr/>
                      <wpg:grpSpPr>
                        <a:xfrm>
                          <a:off x="0" y="0"/>
                          <a:ext cx="7762875" cy="9748520"/>
                          <a:chExt cx="7762875" cy="9748520"/>
                        </a:xfrm>
                      </wpg:grpSpPr>
                      <pic:pic>
                        <pic:nvPicPr>
                          <pic:cNvPr id="1008" name="Image 1008"/>
                          <pic:cNvPicPr/>
                        </pic:nvPicPr>
                        <pic:blipFill>
                          <a:blip r:embed="rId5" cstate="print"/>
                          <a:stretch>
                            <a:fillRect/>
                          </a:stretch>
                        </pic:blipFill>
                        <pic:spPr>
                          <a:xfrm>
                            <a:off x="0" y="0"/>
                            <a:ext cx="7762874" cy="9748489"/>
                          </a:xfrm>
                          <a:prstGeom prst="rect">
                            <a:avLst/>
                          </a:prstGeom>
                        </pic:spPr>
                      </pic:pic>
                      <wps:wsp>
                        <wps:cNvPr id="1009" name="Graphic 100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92064" id="docshapegroup954" coordorigin="15,468" coordsize="12225,15352">
                <v:shape style="position:absolute;left:15;top:468;width:12225;height:15352" type="#_x0000_t75" id="docshape955" stroked="false">
                  <v:imagedata r:id="rId5" o:title=""/>
                </v:shape>
                <v:rect style="position:absolute;left:1673;top:2028;width:8897;height:15" id="docshape95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193</w:t>
      </w:r>
    </w:p>
    <w:p>
      <w:pPr>
        <w:pStyle w:val="BodyText"/>
        <w:spacing w:line="259" w:lineRule="auto" w:before="218"/>
        <w:ind w:left="622" w:right="979"/>
        <w:jc w:val="both"/>
      </w:pPr>
      <w:r>
        <w:rPr>
          <w:spacing w:val="-2"/>
        </w:rPr>
        <w:t>La</w:t>
      </w:r>
      <w:r>
        <w:rPr>
          <w:spacing w:val="-5"/>
        </w:rPr>
        <w:t> </w:t>
      </w:r>
      <w:r>
        <w:rPr>
          <w:spacing w:val="-2"/>
        </w:rPr>
        <w:t>cuenta</w:t>
      </w:r>
      <w:r>
        <w:rPr>
          <w:spacing w:val="-5"/>
        </w:rPr>
        <w:t> </w:t>
      </w:r>
      <w:r>
        <w:rPr>
          <w:spacing w:val="-2"/>
        </w:rPr>
        <w:t>Propiedades</w:t>
      </w:r>
      <w:r>
        <w:rPr>
          <w:spacing w:val="-4"/>
        </w:rPr>
        <w:t> </w:t>
      </w:r>
      <w:r>
        <w:rPr>
          <w:spacing w:val="-2"/>
        </w:rPr>
        <w:t>de</w:t>
      </w:r>
      <w:r>
        <w:rPr>
          <w:spacing w:val="-4"/>
        </w:rPr>
        <w:t> </w:t>
      </w:r>
      <w:r>
        <w:rPr>
          <w:spacing w:val="-2"/>
        </w:rPr>
        <w:t>inversión,</w:t>
      </w:r>
      <w:r>
        <w:rPr>
          <w:spacing w:val="-4"/>
        </w:rPr>
        <w:t> </w:t>
      </w:r>
      <w:r>
        <w:rPr>
          <w:spacing w:val="-2"/>
        </w:rPr>
        <w:t>representa</w:t>
      </w:r>
      <w:r>
        <w:rPr>
          <w:spacing w:val="-5"/>
        </w:rPr>
        <w:t> </w:t>
      </w:r>
      <w:r>
        <w:rPr>
          <w:spacing w:val="-2"/>
        </w:rPr>
        <w:t>el</w:t>
      </w:r>
      <w:r>
        <w:rPr>
          <w:spacing w:val="-5"/>
        </w:rPr>
        <w:t> </w:t>
      </w:r>
      <w:r>
        <w:rPr>
          <w:spacing w:val="-2"/>
        </w:rPr>
        <w:t>0,00%</w:t>
      </w:r>
      <w:r>
        <w:rPr>
          <w:spacing w:val="-5"/>
        </w:rPr>
        <w:t> </w:t>
      </w:r>
      <w:r>
        <w:rPr>
          <w:spacing w:val="-2"/>
        </w:rPr>
        <w:t>del</w:t>
      </w:r>
      <w:r>
        <w:rPr>
          <w:spacing w:val="-5"/>
        </w:rPr>
        <w:t> </w:t>
      </w:r>
      <w:r>
        <w:rPr>
          <w:spacing w:val="-2"/>
        </w:rPr>
        <w:t>total</w:t>
      </w:r>
      <w:r>
        <w:rPr>
          <w:spacing w:val="-6"/>
        </w:rPr>
        <w:t> </w:t>
      </w:r>
      <w:r>
        <w:rPr>
          <w:spacing w:val="-2"/>
        </w:rPr>
        <w:t>del</w:t>
      </w:r>
      <w:r>
        <w:rPr>
          <w:spacing w:val="-5"/>
        </w:rPr>
        <w:t> </w:t>
      </w:r>
      <w:r>
        <w:rPr>
          <w:spacing w:val="-2"/>
        </w:rPr>
        <w:t>Activo,</w:t>
      </w:r>
      <w:r>
        <w:rPr>
          <w:spacing w:val="-4"/>
        </w:rPr>
        <w:t> </w:t>
      </w:r>
      <w:r>
        <w:rPr>
          <w:spacing w:val="-2"/>
        </w:rPr>
        <w:t>que</w:t>
      </w:r>
      <w:r>
        <w:rPr>
          <w:spacing w:val="-6"/>
        </w:rPr>
        <w:t> </w:t>
      </w:r>
      <w:r>
        <w:rPr>
          <w:spacing w:val="-2"/>
        </w:rPr>
        <w:t>comparado</w:t>
      </w:r>
      <w:r>
        <w:rPr>
          <w:spacing w:val="-4"/>
        </w:rPr>
        <w:t> </w:t>
      </w:r>
      <w:r>
        <w:rPr>
          <w:spacing w:val="-2"/>
        </w:rPr>
        <w:t>al</w:t>
      </w:r>
      <w:r>
        <w:rPr>
          <w:spacing w:val="-5"/>
        </w:rPr>
        <w:t> </w:t>
      </w:r>
      <w:r>
        <w:rPr>
          <w:spacing w:val="-2"/>
        </w:rPr>
        <w:t>periodo </w:t>
      </w:r>
      <w:r>
        <w:rPr/>
        <w:t>anterior genera una variación absoluta de 0 000,00 que corresponde a un Aumento del 0,00% de recursos disponibles.</w:t>
      </w:r>
    </w:p>
    <w:p>
      <w:pPr>
        <w:pStyle w:val="BodyText"/>
        <w:rPr>
          <w:sz w:val="20"/>
        </w:rPr>
      </w:pPr>
    </w:p>
    <w:p>
      <w:pPr>
        <w:pStyle w:val="BodyText"/>
        <w:spacing w:before="124"/>
        <w:rPr>
          <w:sz w:val="20"/>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
        <w:gridCol w:w="2442"/>
        <w:gridCol w:w="1482"/>
        <w:gridCol w:w="4960"/>
      </w:tblGrid>
      <w:tr>
        <w:trPr>
          <w:trHeight w:val="431" w:hRule="atLeast"/>
        </w:trPr>
        <w:tc>
          <w:tcPr>
            <w:tcW w:w="9002" w:type="dxa"/>
            <w:gridSpan w:val="4"/>
            <w:tcBorders>
              <w:bottom w:val="nil"/>
            </w:tcBorders>
          </w:tcPr>
          <w:p>
            <w:pPr>
              <w:pStyle w:val="TableParagraph"/>
              <w:ind w:left="107"/>
              <w:rPr>
                <w:sz w:val="22"/>
              </w:rPr>
            </w:pPr>
            <w:r>
              <w:rPr>
                <w:b/>
                <w:color w:val="1F4E79"/>
                <w:spacing w:val="-2"/>
                <w:sz w:val="22"/>
                <w:u w:val="single" w:color="1F4E79"/>
              </w:rPr>
              <w:t>Revelación</w:t>
            </w:r>
            <w:r>
              <w:rPr>
                <w:spacing w:val="-2"/>
                <w:sz w:val="22"/>
                <w:u w:val="none"/>
              </w:rPr>
              <w:t>:</w:t>
            </w:r>
          </w:p>
        </w:tc>
      </w:tr>
      <w:tr>
        <w:trPr>
          <w:trHeight w:val="428" w:hRule="atLeast"/>
        </w:trPr>
        <w:tc>
          <w:tcPr>
            <w:tcW w:w="118" w:type="dxa"/>
            <w:tcBorders>
              <w:top w:val="nil"/>
              <w:bottom w:val="nil"/>
              <w:right w:val="single" w:sz="8" w:space="0" w:color="000000"/>
            </w:tcBorders>
          </w:tcPr>
          <w:p>
            <w:pPr>
              <w:pStyle w:val="TableParagraph"/>
              <w:rPr>
                <w:rFonts w:ascii="Times New Roman"/>
                <w:sz w:val="22"/>
              </w:rPr>
            </w:pPr>
          </w:p>
        </w:tc>
        <w:tc>
          <w:tcPr>
            <w:tcW w:w="2442" w:type="dxa"/>
            <w:tcBorders>
              <w:top w:val="single" w:sz="8" w:space="0" w:color="000000"/>
              <w:left w:val="single" w:sz="8" w:space="0" w:color="000000"/>
              <w:bottom w:val="single" w:sz="8" w:space="0" w:color="000000"/>
              <w:right w:val="single" w:sz="8" w:space="0" w:color="000000"/>
            </w:tcBorders>
            <w:shd w:val="clear" w:color="auto" w:fill="17365D"/>
          </w:tcPr>
          <w:p>
            <w:pPr>
              <w:pStyle w:val="TableParagraph"/>
              <w:ind w:left="63"/>
              <w:rPr>
                <w:sz w:val="22"/>
              </w:rPr>
            </w:pPr>
            <w:r>
              <w:rPr>
                <w:color w:val="FFFFFF"/>
                <w:spacing w:val="-2"/>
                <w:sz w:val="22"/>
              </w:rPr>
              <w:t>Aplica</w:t>
            </w:r>
          </w:p>
        </w:tc>
        <w:tc>
          <w:tcPr>
            <w:tcW w:w="1482" w:type="dxa"/>
            <w:tcBorders>
              <w:left w:val="single" w:sz="8" w:space="0" w:color="000000"/>
            </w:tcBorders>
          </w:tcPr>
          <w:p>
            <w:pPr>
              <w:pStyle w:val="TableParagraph"/>
              <w:spacing w:line="231" w:lineRule="exact" w:before="177"/>
              <w:ind w:right="1"/>
              <w:jc w:val="center"/>
              <w:rPr>
                <w:sz w:val="22"/>
              </w:rPr>
            </w:pPr>
            <w:r>
              <w:rPr>
                <w:spacing w:val="-5"/>
                <w:sz w:val="22"/>
              </w:rPr>
              <w:t>NO</w:t>
            </w:r>
          </w:p>
        </w:tc>
        <w:tc>
          <w:tcPr>
            <w:tcW w:w="4960" w:type="dxa"/>
            <w:vMerge w:val="restart"/>
            <w:tcBorders>
              <w:top w:val="nil"/>
            </w:tcBorders>
          </w:tcPr>
          <w:p>
            <w:pPr>
              <w:pStyle w:val="TableParagraph"/>
              <w:rPr>
                <w:rFonts w:ascii="Times New Roman"/>
                <w:sz w:val="22"/>
              </w:rPr>
            </w:pPr>
          </w:p>
        </w:tc>
      </w:tr>
      <w:tr>
        <w:trPr>
          <w:trHeight w:val="359" w:hRule="atLeast"/>
        </w:trPr>
        <w:tc>
          <w:tcPr>
            <w:tcW w:w="118" w:type="dxa"/>
            <w:tcBorders>
              <w:top w:val="nil"/>
              <w:right w:val="single" w:sz="8" w:space="0" w:color="000000"/>
            </w:tcBorders>
          </w:tcPr>
          <w:p>
            <w:pPr>
              <w:pStyle w:val="TableParagraph"/>
              <w:rPr>
                <w:rFonts w:ascii="Times New Roman"/>
                <w:sz w:val="22"/>
              </w:rPr>
            </w:pPr>
          </w:p>
        </w:tc>
        <w:tc>
          <w:tcPr>
            <w:tcW w:w="2442" w:type="dxa"/>
            <w:tcBorders>
              <w:top w:val="single" w:sz="8" w:space="0" w:color="000000"/>
              <w:left w:val="single" w:sz="8" w:space="0" w:color="000000"/>
              <w:bottom w:val="single" w:sz="12" w:space="0" w:color="000000"/>
              <w:right w:val="single" w:sz="8" w:space="0" w:color="000000"/>
            </w:tcBorders>
            <w:shd w:val="clear" w:color="auto" w:fill="17365D"/>
          </w:tcPr>
          <w:p>
            <w:pPr>
              <w:pStyle w:val="TableParagraph"/>
              <w:spacing w:before="50"/>
              <w:ind w:left="63"/>
              <w:rPr>
                <w:sz w:val="22"/>
              </w:rPr>
            </w:pPr>
            <w:r>
              <w:rPr>
                <w:color w:val="FFFFFF"/>
                <w:sz w:val="22"/>
              </w:rPr>
              <w:t>Porcentaje</w:t>
            </w:r>
            <w:r>
              <w:rPr>
                <w:color w:val="FFFFFF"/>
                <w:spacing w:val="-8"/>
                <w:sz w:val="22"/>
              </w:rPr>
              <w:t> </w:t>
            </w:r>
            <w:r>
              <w:rPr>
                <w:color w:val="FFFFFF"/>
                <w:spacing w:val="-2"/>
                <w:sz w:val="22"/>
              </w:rPr>
              <w:t>Avance</w:t>
            </w:r>
          </w:p>
        </w:tc>
        <w:tc>
          <w:tcPr>
            <w:tcW w:w="1482" w:type="dxa"/>
            <w:tcBorders>
              <w:left w:val="single" w:sz="8" w:space="0" w:color="000000"/>
              <w:bottom w:val="double" w:sz="4" w:space="0" w:color="000000"/>
            </w:tcBorders>
          </w:tcPr>
          <w:p>
            <w:pPr>
              <w:pStyle w:val="TableParagraph"/>
              <w:spacing w:line="240" w:lineRule="exact" w:before="98"/>
              <w:ind w:left="1" w:right="1"/>
              <w:jc w:val="center"/>
              <w:rPr>
                <w:sz w:val="22"/>
              </w:rPr>
            </w:pPr>
            <w:r>
              <w:rPr>
                <w:spacing w:val="-2"/>
                <w:sz w:val="22"/>
              </w:rPr>
              <w:t>0,00%</w:t>
            </w:r>
          </w:p>
        </w:tc>
        <w:tc>
          <w:tcPr>
            <w:tcW w:w="4960" w:type="dxa"/>
            <w:vMerge/>
            <w:tcBorders>
              <w:top w:val="nil"/>
            </w:tcBorders>
          </w:tcPr>
          <w:p>
            <w:pPr>
              <w:rPr>
                <w:sz w:val="2"/>
                <w:szCs w:val="2"/>
              </w:rPr>
            </w:pPr>
          </w:p>
        </w:tc>
      </w:tr>
    </w:tbl>
    <w:p>
      <w:pPr>
        <w:pStyle w:val="BodyText"/>
      </w:pPr>
    </w:p>
    <w:p>
      <w:pPr>
        <w:pStyle w:val="BodyText"/>
      </w:pPr>
    </w:p>
    <w:p>
      <w:pPr>
        <w:pStyle w:val="BodyText"/>
        <w:spacing w:before="110"/>
      </w:pPr>
    </w:p>
    <w:p>
      <w:pPr>
        <w:pStyle w:val="Heading6"/>
        <w:tabs>
          <w:tab w:pos="9489" w:val="left" w:leader="none"/>
        </w:tabs>
        <w:ind w:left="622"/>
      </w:pPr>
      <w:r>
        <w:rPr>
          <w:color w:val="FFFFFF"/>
          <w:shd w:fill="365F92" w:color="auto" w:val="clear"/>
        </w:rPr>
        <w:t>Información</w:t>
      </w:r>
      <w:r>
        <w:rPr>
          <w:color w:val="FFFFFF"/>
          <w:spacing w:val="-4"/>
          <w:shd w:fill="365F92" w:color="auto" w:val="clear"/>
        </w:rPr>
        <w:t> </w:t>
      </w:r>
      <w:r>
        <w:rPr>
          <w:color w:val="FFFFFF"/>
          <w:shd w:fill="365F92" w:color="auto" w:val="clear"/>
        </w:rPr>
        <w:t>a</w:t>
      </w:r>
      <w:r>
        <w:rPr>
          <w:color w:val="FFFFFF"/>
          <w:spacing w:val="-4"/>
          <w:shd w:fill="365F92" w:color="auto" w:val="clear"/>
        </w:rPr>
        <w:t> </w:t>
      </w:r>
      <w:r>
        <w:rPr>
          <w:color w:val="FFFFFF"/>
          <w:shd w:fill="365F92" w:color="auto" w:val="clear"/>
        </w:rPr>
        <w:t>revelar</w:t>
      </w:r>
      <w:r>
        <w:rPr>
          <w:color w:val="FFFFFF"/>
          <w:spacing w:val="-2"/>
          <w:shd w:fill="365F92" w:color="auto" w:val="clear"/>
        </w:rPr>
        <w:t> </w:t>
      </w:r>
      <w:r>
        <w:rPr>
          <w:color w:val="FFFFFF"/>
          <w:shd w:fill="365F92" w:color="auto" w:val="clear"/>
        </w:rPr>
        <w:t>-</w:t>
      </w:r>
      <w:r>
        <w:rPr>
          <w:color w:val="FFFFFF"/>
          <w:spacing w:val="-5"/>
          <w:shd w:fill="365F92" w:color="auto" w:val="clear"/>
        </w:rPr>
        <w:t> </w:t>
      </w:r>
      <w:r>
        <w:rPr>
          <w:color w:val="FFFFFF"/>
          <w:shd w:fill="365F92" w:color="auto" w:val="clear"/>
        </w:rPr>
        <w:t>Propiedades</w:t>
      </w:r>
      <w:r>
        <w:rPr>
          <w:color w:val="FFFFFF"/>
          <w:spacing w:val="-3"/>
          <w:shd w:fill="365F92" w:color="auto" w:val="clear"/>
        </w:rPr>
        <w:t> </w:t>
      </w:r>
      <w:r>
        <w:rPr>
          <w:color w:val="FFFFFF"/>
          <w:shd w:fill="365F92" w:color="auto" w:val="clear"/>
        </w:rPr>
        <w:t>de</w:t>
      </w:r>
      <w:r>
        <w:rPr>
          <w:color w:val="FFFFFF"/>
          <w:spacing w:val="-2"/>
          <w:shd w:fill="365F92" w:color="auto" w:val="clear"/>
        </w:rPr>
        <w:t> </w:t>
      </w:r>
      <w:r>
        <w:rPr>
          <w:color w:val="FFFFFF"/>
          <w:shd w:fill="365F92" w:color="auto" w:val="clear"/>
        </w:rPr>
        <w:t>Inversión</w:t>
      </w:r>
      <w:r>
        <w:rPr>
          <w:color w:val="FFFFFF"/>
          <w:spacing w:val="-6"/>
          <w:shd w:fill="365F92" w:color="auto" w:val="clear"/>
        </w:rPr>
        <w:t> </w:t>
      </w:r>
      <w:r>
        <w:rPr>
          <w:color w:val="FFFFFF"/>
          <w:shd w:fill="365F92" w:color="auto" w:val="clear"/>
        </w:rPr>
        <w:t>NICPS</w:t>
      </w:r>
      <w:r>
        <w:rPr>
          <w:color w:val="FFFFFF"/>
          <w:spacing w:val="-3"/>
          <w:shd w:fill="365F92" w:color="auto" w:val="clear"/>
        </w:rPr>
        <w:t> </w:t>
      </w:r>
      <w:r>
        <w:rPr>
          <w:color w:val="FFFFFF"/>
          <w:spacing w:val="-5"/>
          <w:shd w:fill="365F92" w:color="auto" w:val="clear"/>
        </w:rPr>
        <w:t>16</w:t>
      </w:r>
      <w:r>
        <w:rPr>
          <w:color w:val="FFFFFF"/>
          <w:shd w:fill="365F92" w:color="auto" w:val="clear"/>
        </w:rPr>
        <w:tab/>
      </w:r>
    </w:p>
    <w:p>
      <w:pPr>
        <w:pStyle w:val="ListParagraph"/>
        <w:numPr>
          <w:ilvl w:val="1"/>
          <w:numId w:val="82"/>
        </w:numPr>
        <w:tabs>
          <w:tab w:pos="1341" w:val="left" w:leader="none"/>
        </w:tabs>
        <w:spacing w:line="240" w:lineRule="auto" w:before="181" w:after="0"/>
        <w:ind w:left="1341" w:right="0" w:hanging="360"/>
        <w:jc w:val="left"/>
        <w:rPr>
          <w:sz w:val="22"/>
        </w:rPr>
      </w:pPr>
      <w:r>
        <w:rPr>
          <w:sz w:val="22"/>
          <w:u w:val="single"/>
        </w:rPr>
        <w:t>Bienes</w:t>
      </w:r>
      <w:r>
        <w:rPr>
          <w:spacing w:val="-5"/>
          <w:sz w:val="22"/>
          <w:u w:val="single"/>
        </w:rPr>
        <w:t> </w:t>
      </w:r>
      <w:r>
        <w:rPr>
          <w:sz w:val="22"/>
          <w:u w:val="single"/>
        </w:rPr>
        <w:t>imputados</w:t>
      </w:r>
      <w:r>
        <w:rPr>
          <w:spacing w:val="-4"/>
          <w:sz w:val="22"/>
          <w:u w:val="single"/>
        </w:rPr>
        <w:t> </w:t>
      </w:r>
      <w:r>
        <w:rPr>
          <w:sz w:val="22"/>
          <w:u w:val="single"/>
        </w:rPr>
        <w:t>a</w:t>
      </w:r>
      <w:r>
        <w:rPr>
          <w:spacing w:val="-6"/>
          <w:sz w:val="22"/>
          <w:u w:val="single"/>
        </w:rPr>
        <w:t> </w:t>
      </w:r>
      <w:r>
        <w:rPr>
          <w:sz w:val="22"/>
          <w:u w:val="single"/>
        </w:rPr>
        <w:t>propiedades</w:t>
      </w:r>
      <w:r>
        <w:rPr>
          <w:spacing w:val="-4"/>
          <w:sz w:val="22"/>
          <w:u w:val="single"/>
        </w:rPr>
        <w:t> </w:t>
      </w:r>
      <w:r>
        <w:rPr>
          <w:sz w:val="22"/>
          <w:u w:val="single"/>
        </w:rPr>
        <w:t>de</w:t>
      </w:r>
      <w:r>
        <w:rPr>
          <w:spacing w:val="-4"/>
          <w:sz w:val="22"/>
          <w:u w:val="single"/>
        </w:rPr>
        <w:t> </w:t>
      </w:r>
      <w:r>
        <w:rPr>
          <w:sz w:val="22"/>
          <w:u w:val="single"/>
        </w:rPr>
        <w:t>inversión</w:t>
      </w:r>
      <w:r>
        <w:rPr>
          <w:spacing w:val="-5"/>
          <w:sz w:val="22"/>
          <w:u w:val="single"/>
        </w:rPr>
        <w:t> </w:t>
      </w:r>
      <w:r>
        <w:rPr>
          <w:sz w:val="22"/>
          <w:u w:val="single"/>
        </w:rPr>
        <w:t>(párrafo</w:t>
      </w:r>
      <w:r>
        <w:rPr>
          <w:spacing w:val="-4"/>
          <w:sz w:val="22"/>
          <w:u w:val="single"/>
        </w:rPr>
        <w:t> </w:t>
      </w:r>
      <w:r>
        <w:rPr>
          <w:spacing w:val="-5"/>
          <w:sz w:val="22"/>
          <w:u w:val="single"/>
        </w:rPr>
        <w:t>12)</w:t>
      </w:r>
    </w:p>
    <w:p>
      <w:pPr>
        <w:pStyle w:val="BodyText"/>
        <w:spacing w:before="31"/>
        <w:rPr>
          <w:sz w:val="20"/>
        </w:rPr>
      </w:pPr>
      <w:r>
        <w:rPr>
          <w:sz w:val="20"/>
        </w:rPr>
        <mc:AlternateContent>
          <mc:Choice Requires="wps">
            <w:drawing>
              <wp:anchor distT="0" distB="0" distL="0" distR="0" allowOverlap="1" layoutInCell="1" locked="0" behindDoc="1" simplePos="0" relativeHeight="487785472">
                <wp:simplePos x="0" y="0"/>
                <wp:positionH relativeFrom="page">
                  <wp:posOffset>1080820</wp:posOffset>
                </wp:positionH>
                <wp:positionV relativeFrom="paragraph">
                  <wp:posOffset>183459</wp:posOffset>
                </wp:positionV>
                <wp:extent cx="5715000" cy="554990"/>
                <wp:effectExtent l="0" t="0" r="0" b="0"/>
                <wp:wrapTopAndBottom/>
                <wp:docPr id="1010" name="Textbox 1010"/>
                <wp:cNvGraphicFramePr>
                  <a:graphicFrameLocks/>
                </wp:cNvGraphicFramePr>
                <a:graphic>
                  <a:graphicData uri="http://schemas.microsoft.com/office/word/2010/wordprocessingShape">
                    <wps:wsp>
                      <wps:cNvPr id="1010" name="Textbox 1010"/>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4.445625pt;width:450pt;height:43.7pt;mso-position-horizontal-relative:page;mso-position-vertical-relative:paragraph;z-index:-15531008;mso-wrap-distance-left:0;mso-wrap-distance-right:0" type="#_x0000_t202" id="docshape95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3"/>
      </w:pPr>
    </w:p>
    <w:p>
      <w:pPr>
        <w:pStyle w:val="ListParagraph"/>
        <w:numPr>
          <w:ilvl w:val="1"/>
          <w:numId w:val="82"/>
        </w:numPr>
        <w:tabs>
          <w:tab w:pos="1339" w:val="left" w:leader="none"/>
        </w:tabs>
        <w:spacing w:line="240" w:lineRule="auto" w:before="1" w:after="0"/>
        <w:ind w:left="1339" w:right="0" w:hanging="358"/>
        <w:jc w:val="left"/>
        <w:rPr>
          <w:sz w:val="22"/>
        </w:rPr>
      </w:pPr>
      <w:r>
        <w:rPr>
          <w:sz w:val="22"/>
          <w:u w:val="single"/>
        </w:rPr>
        <w:t>Propiedades</w:t>
      </w:r>
      <w:r>
        <w:rPr>
          <w:spacing w:val="-7"/>
          <w:sz w:val="22"/>
          <w:u w:val="single"/>
        </w:rPr>
        <w:t> </w:t>
      </w:r>
      <w:r>
        <w:rPr>
          <w:sz w:val="22"/>
          <w:u w:val="single"/>
        </w:rPr>
        <w:t>con</w:t>
      </w:r>
      <w:r>
        <w:rPr>
          <w:spacing w:val="-6"/>
          <w:sz w:val="22"/>
          <w:u w:val="single"/>
        </w:rPr>
        <w:t> </w:t>
      </w:r>
      <w:r>
        <w:rPr>
          <w:sz w:val="22"/>
          <w:u w:val="single"/>
        </w:rPr>
        <w:t>doble</w:t>
      </w:r>
      <w:r>
        <w:rPr>
          <w:spacing w:val="-4"/>
          <w:sz w:val="22"/>
          <w:u w:val="single"/>
        </w:rPr>
        <w:t> </w:t>
      </w:r>
      <w:r>
        <w:rPr>
          <w:sz w:val="22"/>
          <w:u w:val="single"/>
        </w:rPr>
        <w:t>destino</w:t>
      </w:r>
      <w:r>
        <w:rPr>
          <w:spacing w:val="-6"/>
          <w:sz w:val="22"/>
          <w:u w:val="single"/>
        </w:rPr>
        <w:t> </w:t>
      </w:r>
      <w:r>
        <w:rPr>
          <w:sz w:val="22"/>
          <w:u w:val="single"/>
        </w:rPr>
        <w:t>(párrafo</w:t>
      </w:r>
      <w:r>
        <w:rPr>
          <w:spacing w:val="-5"/>
          <w:sz w:val="22"/>
          <w:u w:val="single"/>
        </w:rPr>
        <w:t> 14)</w:t>
      </w:r>
    </w:p>
    <w:p>
      <w:pPr>
        <w:pStyle w:val="BodyText"/>
        <w:spacing w:before="34"/>
        <w:rPr>
          <w:sz w:val="20"/>
        </w:rPr>
      </w:pPr>
      <w:r>
        <w:rPr>
          <w:sz w:val="20"/>
        </w:rPr>
        <mc:AlternateContent>
          <mc:Choice Requires="wps">
            <w:drawing>
              <wp:anchor distT="0" distB="0" distL="0" distR="0" allowOverlap="1" layoutInCell="1" locked="0" behindDoc="1" simplePos="0" relativeHeight="487785984">
                <wp:simplePos x="0" y="0"/>
                <wp:positionH relativeFrom="page">
                  <wp:posOffset>1080820</wp:posOffset>
                </wp:positionH>
                <wp:positionV relativeFrom="paragraph">
                  <wp:posOffset>184991</wp:posOffset>
                </wp:positionV>
                <wp:extent cx="5715000" cy="553720"/>
                <wp:effectExtent l="0" t="0" r="0" b="0"/>
                <wp:wrapTopAndBottom/>
                <wp:docPr id="1011" name="Textbox 1011"/>
                <wp:cNvGraphicFramePr>
                  <a:graphicFrameLocks/>
                </wp:cNvGraphicFramePr>
                <a:graphic>
                  <a:graphicData uri="http://schemas.microsoft.com/office/word/2010/wordprocessingShape">
                    <wps:wsp>
                      <wps:cNvPr id="1011" name="Textbox 1011"/>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4.566265pt;width:450pt;height:43.6pt;mso-position-horizontal-relative:page;mso-position-vertical-relative:paragraph;z-index:-15530496;mso-wrap-distance-left:0;mso-wrap-distance-right:0" type="#_x0000_t202" id="docshape95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186"/>
      </w:pPr>
    </w:p>
    <w:p>
      <w:pPr>
        <w:pStyle w:val="ListParagraph"/>
        <w:numPr>
          <w:ilvl w:val="1"/>
          <w:numId w:val="82"/>
        </w:numPr>
        <w:tabs>
          <w:tab w:pos="1341" w:val="left" w:leader="none"/>
        </w:tabs>
        <w:spacing w:line="240" w:lineRule="auto" w:before="0" w:after="0"/>
        <w:ind w:left="1341" w:right="0" w:hanging="360"/>
        <w:jc w:val="left"/>
        <w:rPr>
          <w:sz w:val="22"/>
        </w:rPr>
      </w:pPr>
      <w:r>
        <w:rPr>
          <w:sz w:val="22"/>
          <w:u w:val="single"/>
        </w:rPr>
        <w:t>Juicio</w:t>
      </w:r>
      <w:r>
        <w:rPr>
          <w:spacing w:val="-7"/>
          <w:sz w:val="22"/>
          <w:u w:val="single"/>
        </w:rPr>
        <w:t> </w:t>
      </w:r>
      <w:r>
        <w:rPr>
          <w:sz w:val="22"/>
          <w:u w:val="single"/>
        </w:rPr>
        <w:t>profesional</w:t>
      </w:r>
      <w:r>
        <w:rPr>
          <w:spacing w:val="-6"/>
          <w:sz w:val="22"/>
          <w:u w:val="single"/>
        </w:rPr>
        <w:t> </w:t>
      </w:r>
      <w:r>
        <w:rPr>
          <w:sz w:val="22"/>
          <w:u w:val="single"/>
        </w:rPr>
        <w:t>(párrafo</w:t>
      </w:r>
      <w:r>
        <w:rPr>
          <w:spacing w:val="-6"/>
          <w:sz w:val="22"/>
          <w:u w:val="single"/>
        </w:rPr>
        <w:t> </w:t>
      </w:r>
      <w:r>
        <w:rPr>
          <w:spacing w:val="-5"/>
          <w:sz w:val="22"/>
          <w:u w:val="single"/>
        </w:rPr>
        <w:t>18)</w:t>
      </w:r>
    </w:p>
    <w:p>
      <w:pPr>
        <w:pStyle w:val="BodyText"/>
        <w:spacing w:before="31"/>
        <w:rPr>
          <w:sz w:val="20"/>
        </w:rPr>
      </w:pPr>
      <w:r>
        <w:rPr>
          <w:sz w:val="20"/>
        </w:rPr>
        <mc:AlternateContent>
          <mc:Choice Requires="wps">
            <w:drawing>
              <wp:anchor distT="0" distB="0" distL="0" distR="0" allowOverlap="1" layoutInCell="1" locked="0" behindDoc="1" simplePos="0" relativeHeight="487786496">
                <wp:simplePos x="0" y="0"/>
                <wp:positionH relativeFrom="page">
                  <wp:posOffset>1080820</wp:posOffset>
                </wp:positionH>
                <wp:positionV relativeFrom="paragraph">
                  <wp:posOffset>183467</wp:posOffset>
                </wp:positionV>
                <wp:extent cx="5715000" cy="553720"/>
                <wp:effectExtent l="0" t="0" r="0" b="0"/>
                <wp:wrapTopAndBottom/>
                <wp:docPr id="1012" name="Textbox 1012"/>
                <wp:cNvGraphicFramePr>
                  <a:graphicFrameLocks/>
                </wp:cNvGraphicFramePr>
                <a:graphic>
                  <a:graphicData uri="http://schemas.microsoft.com/office/word/2010/wordprocessingShape">
                    <wps:wsp>
                      <wps:cNvPr id="1012" name="Textbox 1012"/>
                      <wps:cNvSpPr txBox="1"/>
                      <wps:spPr>
                        <a:xfrm>
                          <a:off x="0" y="0"/>
                          <a:ext cx="5715000" cy="553720"/>
                        </a:xfrm>
                        <a:prstGeom prst="rect">
                          <a:avLst/>
                        </a:prstGeom>
                        <a:ln w="6095">
                          <a:solidFill>
                            <a:srgbClr val="000000"/>
                          </a:solidFill>
                          <a:prstDash val="solid"/>
                        </a:ln>
                      </wps:spPr>
                      <wps:txbx>
                        <w:txbxContent>
                          <w:p>
                            <w:pPr>
                              <w:spacing w:line="412" w:lineRule="auto" w:before="0"/>
                              <w:ind w:left="103" w:right="7297" w:firstLine="0"/>
                              <w:jc w:val="left"/>
                              <w:rPr>
                                <w:sz w:val="22"/>
                              </w:rPr>
                            </w:pPr>
                            <w:r>
                              <w:rPr>
                                <w:b/>
                                <w:color w:val="1F4E79"/>
                                <w:spacing w:val="-2"/>
                                <w:sz w:val="22"/>
                                <w:u w:val="single" w:color="1F4E79"/>
                              </w:rPr>
                              <w:t>Revelación</w:t>
                            </w:r>
                            <w:r>
                              <w:rPr>
                                <w:spacing w:val="-2"/>
                                <w:sz w:val="22"/>
                                <w:u w:val="none"/>
                              </w:rPr>
                              <w:t>: </w:t>
                            </w:r>
                            <w:r>
                              <w:rPr>
                                <w:sz w:val="22"/>
                                <w:u w:val="none"/>
                              </w:rPr>
                              <w:t>Norma</w:t>
                            </w:r>
                            <w:r>
                              <w:rPr>
                                <w:spacing w:val="-14"/>
                                <w:sz w:val="22"/>
                                <w:u w:val="none"/>
                              </w:rPr>
                              <w:t> </w:t>
                            </w:r>
                            <w:r>
                              <w:rPr>
                                <w:sz w:val="22"/>
                                <w:u w:val="none"/>
                              </w:rPr>
                              <w:t>no</w:t>
                            </w:r>
                            <w:r>
                              <w:rPr>
                                <w:spacing w:val="-14"/>
                                <w:sz w:val="22"/>
                                <w:u w:val="none"/>
                              </w:rPr>
                              <w:t> </w:t>
                            </w:r>
                            <w:r>
                              <w:rPr>
                                <w:sz w:val="22"/>
                                <w:u w:val="none"/>
                              </w:rPr>
                              <w:t>aplica</w:t>
                            </w:r>
                          </w:p>
                        </w:txbxContent>
                      </wps:txbx>
                      <wps:bodyPr wrap="square" lIns="0" tIns="0" rIns="0" bIns="0" rtlCol="0">
                        <a:noAutofit/>
                      </wps:bodyPr>
                    </wps:wsp>
                  </a:graphicData>
                </a:graphic>
              </wp:anchor>
            </w:drawing>
          </mc:Choice>
          <mc:Fallback>
            <w:pict>
              <v:shape style="position:absolute;margin-left:85.103996pt;margin-top:14.44625pt;width:450pt;height:43.6pt;mso-position-horizontal-relative:page;mso-position-vertical-relative:paragraph;z-index:-15529984;mso-wrap-distance-left:0;mso-wrap-distance-right:0" type="#_x0000_t202" id="docshape959" filled="false" stroked="true" strokeweight=".47998pt" strokecolor="#000000">
                <v:textbox inset="0,0,0,0">
                  <w:txbxContent>
                    <w:p>
                      <w:pPr>
                        <w:spacing w:line="412" w:lineRule="auto" w:before="0"/>
                        <w:ind w:left="103" w:right="7297" w:firstLine="0"/>
                        <w:jc w:val="left"/>
                        <w:rPr>
                          <w:sz w:val="22"/>
                        </w:rPr>
                      </w:pPr>
                      <w:r>
                        <w:rPr>
                          <w:b/>
                          <w:color w:val="1F4E79"/>
                          <w:spacing w:val="-2"/>
                          <w:sz w:val="22"/>
                          <w:u w:val="single" w:color="1F4E79"/>
                        </w:rPr>
                        <w:t>Revelación</w:t>
                      </w:r>
                      <w:r>
                        <w:rPr>
                          <w:spacing w:val="-2"/>
                          <w:sz w:val="22"/>
                          <w:u w:val="none"/>
                        </w:rPr>
                        <w:t>: </w:t>
                      </w:r>
                      <w:r>
                        <w:rPr>
                          <w:sz w:val="22"/>
                          <w:u w:val="none"/>
                        </w:rPr>
                        <w:t>Norma</w:t>
                      </w:r>
                      <w:r>
                        <w:rPr>
                          <w:spacing w:val="-14"/>
                          <w:sz w:val="22"/>
                          <w:u w:val="none"/>
                        </w:rPr>
                        <w:t> </w:t>
                      </w:r>
                      <w:r>
                        <w:rPr>
                          <w:sz w:val="22"/>
                          <w:u w:val="none"/>
                        </w:rPr>
                        <w:t>no</w:t>
                      </w:r>
                      <w:r>
                        <w:rPr>
                          <w:spacing w:val="-14"/>
                          <w:sz w:val="22"/>
                          <w:u w:val="none"/>
                        </w:rPr>
                        <w:t> </w:t>
                      </w:r>
                      <w:r>
                        <w:rPr>
                          <w:sz w:val="22"/>
                          <w:u w:val="none"/>
                        </w:rPr>
                        <w:t>aplica</w:t>
                      </w:r>
                    </w:p>
                  </w:txbxContent>
                </v:textbox>
                <v:stroke dashstyle="solid"/>
                <w10:wrap type="topAndBottom"/>
              </v:shape>
            </w:pict>
          </mc:Fallback>
        </mc:AlternateContent>
      </w:r>
    </w:p>
    <w:p>
      <w:pPr>
        <w:pStyle w:val="BodyText"/>
      </w:pPr>
    </w:p>
    <w:p>
      <w:pPr>
        <w:pStyle w:val="BodyText"/>
      </w:pPr>
    </w:p>
    <w:p>
      <w:pPr>
        <w:pStyle w:val="BodyText"/>
        <w:spacing w:before="6"/>
      </w:pPr>
    </w:p>
    <w:p>
      <w:pPr>
        <w:pStyle w:val="ListParagraph"/>
        <w:numPr>
          <w:ilvl w:val="1"/>
          <w:numId w:val="82"/>
        </w:numPr>
        <w:tabs>
          <w:tab w:pos="1340" w:val="left" w:leader="none"/>
        </w:tabs>
        <w:spacing w:line="240" w:lineRule="auto" w:before="0" w:after="0"/>
        <w:ind w:left="1340" w:right="0" w:hanging="359"/>
        <w:jc w:val="left"/>
        <w:rPr>
          <w:sz w:val="22"/>
        </w:rPr>
      </w:pPr>
      <w:r>
        <w:rPr>
          <w:sz w:val="22"/>
          <w:u w:val="single"/>
        </w:rPr>
        <w:t>Reconocimiento</w:t>
      </w:r>
      <w:r>
        <w:rPr>
          <w:spacing w:val="-7"/>
          <w:sz w:val="22"/>
          <w:u w:val="single"/>
        </w:rPr>
        <w:t> </w:t>
      </w:r>
      <w:r>
        <w:rPr>
          <w:sz w:val="22"/>
          <w:u w:val="single"/>
        </w:rPr>
        <w:t>de</w:t>
      </w:r>
      <w:r>
        <w:rPr>
          <w:spacing w:val="-6"/>
          <w:sz w:val="22"/>
          <w:u w:val="single"/>
        </w:rPr>
        <w:t> </w:t>
      </w:r>
      <w:r>
        <w:rPr>
          <w:sz w:val="22"/>
          <w:u w:val="single"/>
        </w:rPr>
        <w:t>propiedades</w:t>
      </w:r>
      <w:r>
        <w:rPr>
          <w:spacing w:val="-5"/>
          <w:sz w:val="22"/>
          <w:u w:val="single"/>
        </w:rPr>
        <w:t> </w:t>
      </w:r>
      <w:r>
        <w:rPr>
          <w:sz w:val="22"/>
          <w:u w:val="single"/>
        </w:rPr>
        <w:t>de</w:t>
      </w:r>
      <w:r>
        <w:rPr>
          <w:spacing w:val="-5"/>
          <w:sz w:val="22"/>
          <w:u w:val="single"/>
        </w:rPr>
        <w:t> </w:t>
      </w:r>
      <w:r>
        <w:rPr>
          <w:sz w:val="22"/>
          <w:u w:val="single"/>
        </w:rPr>
        <w:t>inversión</w:t>
      </w:r>
      <w:r>
        <w:rPr>
          <w:spacing w:val="-6"/>
          <w:sz w:val="22"/>
          <w:u w:val="single"/>
        </w:rPr>
        <w:t> </w:t>
      </w:r>
      <w:r>
        <w:rPr>
          <w:sz w:val="22"/>
          <w:u w:val="single"/>
        </w:rPr>
        <w:t>(párrafo</w:t>
      </w:r>
      <w:r>
        <w:rPr>
          <w:spacing w:val="-5"/>
          <w:sz w:val="22"/>
          <w:u w:val="single"/>
        </w:rPr>
        <w:t> 20)</w:t>
      </w:r>
    </w:p>
    <w:p>
      <w:pPr>
        <w:pStyle w:val="BodyText"/>
        <w:spacing w:before="34"/>
        <w:rPr>
          <w:sz w:val="20"/>
        </w:rPr>
      </w:pPr>
      <w:r>
        <w:rPr>
          <w:sz w:val="20"/>
        </w:rPr>
        <mc:AlternateContent>
          <mc:Choice Requires="wps">
            <w:drawing>
              <wp:anchor distT="0" distB="0" distL="0" distR="0" allowOverlap="1" layoutInCell="1" locked="0" behindDoc="1" simplePos="0" relativeHeight="487787008">
                <wp:simplePos x="0" y="0"/>
                <wp:positionH relativeFrom="page">
                  <wp:posOffset>1080820</wp:posOffset>
                </wp:positionH>
                <wp:positionV relativeFrom="paragraph">
                  <wp:posOffset>185197</wp:posOffset>
                </wp:positionV>
                <wp:extent cx="5715000" cy="553720"/>
                <wp:effectExtent l="0" t="0" r="0" b="0"/>
                <wp:wrapTopAndBottom/>
                <wp:docPr id="1013" name="Textbox 1013"/>
                <wp:cNvGraphicFramePr>
                  <a:graphicFrameLocks/>
                </wp:cNvGraphicFramePr>
                <a:graphic>
                  <a:graphicData uri="http://schemas.microsoft.com/office/word/2010/wordprocessingShape">
                    <wps:wsp>
                      <wps:cNvPr id="1013" name="Textbox 1013"/>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4.5825pt;width:450pt;height:43.6pt;mso-position-horizontal-relative:page;mso-position-vertical-relative:paragraph;z-index:-15529472;mso-wrap-distance-left:0;mso-wrap-distance-right:0" type="#_x0000_t202" id="docshape96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3"/>
      </w:pPr>
    </w:p>
    <w:p>
      <w:pPr>
        <w:pStyle w:val="ListParagraph"/>
        <w:numPr>
          <w:ilvl w:val="1"/>
          <w:numId w:val="82"/>
        </w:numPr>
        <w:tabs>
          <w:tab w:pos="1340" w:val="left" w:leader="none"/>
        </w:tabs>
        <w:spacing w:line="240" w:lineRule="auto" w:before="1" w:after="0"/>
        <w:ind w:left="1340" w:right="0" w:hanging="359"/>
        <w:jc w:val="left"/>
        <w:rPr>
          <w:sz w:val="22"/>
        </w:rPr>
      </w:pPr>
      <w:r>
        <w:rPr>
          <w:sz w:val="22"/>
          <w:u w:val="single"/>
        </w:rPr>
        <w:t>Medición</w:t>
      </w:r>
      <w:r>
        <w:rPr>
          <w:spacing w:val="-5"/>
          <w:sz w:val="22"/>
          <w:u w:val="single"/>
        </w:rPr>
        <w:t> </w:t>
      </w:r>
      <w:r>
        <w:rPr>
          <w:sz w:val="22"/>
          <w:u w:val="single"/>
        </w:rPr>
        <w:t>posterior</w:t>
      </w:r>
      <w:r>
        <w:rPr>
          <w:spacing w:val="-5"/>
          <w:sz w:val="22"/>
          <w:u w:val="single"/>
        </w:rPr>
        <w:t> </w:t>
      </w:r>
      <w:r>
        <w:rPr>
          <w:sz w:val="22"/>
          <w:u w:val="single"/>
        </w:rPr>
        <w:t>al</w:t>
      </w:r>
      <w:r>
        <w:rPr>
          <w:spacing w:val="-4"/>
          <w:sz w:val="22"/>
          <w:u w:val="single"/>
        </w:rPr>
        <w:t> </w:t>
      </w:r>
      <w:r>
        <w:rPr>
          <w:sz w:val="22"/>
          <w:u w:val="single"/>
        </w:rPr>
        <w:t>inicio</w:t>
      </w:r>
      <w:r>
        <w:rPr>
          <w:spacing w:val="-7"/>
          <w:sz w:val="22"/>
          <w:u w:val="single"/>
        </w:rPr>
        <w:t> </w:t>
      </w:r>
      <w:r>
        <w:rPr>
          <w:sz w:val="22"/>
          <w:u w:val="single"/>
        </w:rPr>
        <w:t>(párrafo</w:t>
      </w:r>
      <w:r>
        <w:rPr>
          <w:spacing w:val="-3"/>
          <w:sz w:val="22"/>
          <w:u w:val="single"/>
        </w:rPr>
        <w:t> </w:t>
      </w:r>
      <w:r>
        <w:rPr>
          <w:spacing w:val="-5"/>
          <w:sz w:val="22"/>
          <w:u w:val="single"/>
        </w:rPr>
        <w:t>39)</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7488">
                <wp:simplePos x="0" y="0"/>
                <wp:positionH relativeFrom="page">
                  <wp:posOffset>9525</wp:posOffset>
                </wp:positionH>
                <wp:positionV relativeFrom="page">
                  <wp:posOffset>297208</wp:posOffset>
                </wp:positionV>
                <wp:extent cx="7762875" cy="9748520"/>
                <wp:effectExtent l="0" t="0" r="0" b="0"/>
                <wp:wrapNone/>
                <wp:docPr id="1014" name="Group 1014"/>
                <wp:cNvGraphicFramePr>
                  <a:graphicFrameLocks/>
                </wp:cNvGraphicFramePr>
                <a:graphic>
                  <a:graphicData uri="http://schemas.microsoft.com/office/word/2010/wordprocessingGroup">
                    <wpg:wgp>
                      <wpg:cNvPr id="1014" name="Group 1014"/>
                      <wpg:cNvGrpSpPr/>
                      <wpg:grpSpPr>
                        <a:xfrm>
                          <a:off x="0" y="0"/>
                          <a:ext cx="7762875" cy="9748520"/>
                          <a:chExt cx="7762875" cy="9748520"/>
                        </a:xfrm>
                      </wpg:grpSpPr>
                      <pic:pic>
                        <pic:nvPicPr>
                          <pic:cNvPr id="1015" name="Image 1015"/>
                          <pic:cNvPicPr/>
                        </pic:nvPicPr>
                        <pic:blipFill>
                          <a:blip r:embed="rId5" cstate="print"/>
                          <a:stretch>
                            <a:fillRect/>
                          </a:stretch>
                        </pic:blipFill>
                        <pic:spPr>
                          <a:xfrm>
                            <a:off x="0" y="0"/>
                            <a:ext cx="7762874" cy="9748489"/>
                          </a:xfrm>
                          <a:prstGeom prst="rect">
                            <a:avLst/>
                          </a:prstGeom>
                        </pic:spPr>
                      </pic:pic>
                      <wps:wsp>
                        <wps:cNvPr id="1016" name="Graphic 101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8992" id="docshapegroup961" coordorigin="15,468" coordsize="12225,15352">
                <v:shape style="position:absolute;left:15;top:468;width:12225;height:15352" type="#_x0000_t75" id="docshape962" stroked="false">
                  <v:imagedata r:id="rId5" o:title=""/>
                </v:shape>
                <v:rect style="position:absolute;left:1673;top:2028;width:8897;height:15" id="docshape96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194</w:t>
      </w:r>
    </w:p>
    <w:p>
      <w:pPr>
        <w:pStyle w:val="BodyText"/>
        <w:spacing w:before="10"/>
        <w:rPr>
          <w:sz w:val="16"/>
        </w:rPr>
      </w:pPr>
      <w:r>
        <w:rPr>
          <w:sz w:val="16"/>
        </w:rPr>
        <mc:AlternateContent>
          <mc:Choice Requires="wps">
            <w:drawing>
              <wp:anchor distT="0" distB="0" distL="0" distR="0" allowOverlap="1" layoutInCell="1" locked="0" behindDoc="1" simplePos="0" relativeHeight="487788032">
                <wp:simplePos x="0" y="0"/>
                <wp:positionH relativeFrom="page">
                  <wp:posOffset>1080820</wp:posOffset>
                </wp:positionH>
                <wp:positionV relativeFrom="paragraph">
                  <wp:posOffset>141144</wp:posOffset>
                </wp:positionV>
                <wp:extent cx="5715000" cy="554990"/>
                <wp:effectExtent l="0" t="0" r="0" b="0"/>
                <wp:wrapTopAndBottom/>
                <wp:docPr id="1017" name="Textbox 1017"/>
                <wp:cNvGraphicFramePr>
                  <a:graphicFrameLocks/>
                </wp:cNvGraphicFramePr>
                <a:graphic>
                  <a:graphicData uri="http://schemas.microsoft.com/office/word/2010/wordprocessingShape">
                    <wps:wsp>
                      <wps:cNvPr id="1017" name="Textbox 1017"/>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1.11375pt;width:450pt;height:43.7pt;mso-position-horizontal-relative:page;mso-position-vertical-relative:paragraph;z-index:-15528448;mso-wrap-distance-left:0;mso-wrap-distance-right:0" type="#_x0000_t202" id="docshape96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pPr>
    </w:p>
    <w:p>
      <w:pPr>
        <w:pStyle w:val="BodyText"/>
        <w:spacing w:before="5"/>
      </w:pPr>
    </w:p>
    <w:p>
      <w:pPr>
        <w:pStyle w:val="ListParagraph"/>
        <w:numPr>
          <w:ilvl w:val="1"/>
          <w:numId w:val="82"/>
        </w:numPr>
        <w:tabs>
          <w:tab w:pos="1341" w:val="left" w:leader="none"/>
        </w:tabs>
        <w:spacing w:line="240" w:lineRule="auto" w:before="0" w:after="0"/>
        <w:ind w:left="1341" w:right="0" w:hanging="360"/>
        <w:jc w:val="left"/>
        <w:rPr>
          <w:sz w:val="22"/>
        </w:rPr>
      </w:pPr>
      <w:r>
        <w:rPr>
          <w:sz w:val="22"/>
          <w:u w:val="single"/>
        </w:rPr>
        <w:t>Información</w:t>
      </w:r>
      <w:r>
        <w:rPr>
          <w:spacing w:val="-5"/>
          <w:sz w:val="22"/>
          <w:u w:val="single"/>
        </w:rPr>
        <w:t> </w:t>
      </w:r>
      <w:r>
        <w:rPr>
          <w:sz w:val="22"/>
          <w:u w:val="single"/>
        </w:rPr>
        <w:t>para</w:t>
      </w:r>
      <w:r>
        <w:rPr>
          <w:spacing w:val="-8"/>
          <w:sz w:val="22"/>
          <w:u w:val="single"/>
        </w:rPr>
        <w:t> </w:t>
      </w:r>
      <w:r>
        <w:rPr>
          <w:sz w:val="22"/>
          <w:u w:val="single"/>
        </w:rPr>
        <w:t>revelar</w:t>
      </w:r>
      <w:r>
        <w:rPr>
          <w:spacing w:val="-4"/>
          <w:sz w:val="22"/>
          <w:u w:val="single"/>
        </w:rPr>
        <w:t> </w:t>
      </w:r>
      <w:r>
        <w:rPr>
          <w:sz w:val="22"/>
          <w:u w:val="single"/>
        </w:rPr>
        <w:t>general</w:t>
      </w:r>
      <w:r>
        <w:rPr>
          <w:spacing w:val="-5"/>
          <w:sz w:val="22"/>
          <w:u w:val="single"/>
        </w:rPr>
        <w:t> </w:t>
      </w:r>
      <w:r>
        <w:rPr>
          <w:sz w:val="22"/>
          <w:u w:val="single"/>
        </w:rPr>
        <w:t>(párrafo</w:t>
      </w:r>
      <w:r>
        <w:rPr>
          <w:spacing w:val="-4"/>
          <w:sz w:val="22"/>
          <w:u w:val="single"/>
        </w:rPr>
        <w:t> </w:t>
      </w:r>
      <w:r>
        <w:rPr>
          <w:spacing w:val="-5"/>
          <w:sz w:val="22"/>
          <w:u w:val="single"/>
        </w:rPr>
        <w:t>86)</w:t>
      </w:r>
    </w:p>
    <w:p>
      <w:pPr>
        <w:pStyle w:val="BodyText"/>
        <w:spacing w:before="31"/>
        <w:rPr>
          <w:sz w:val="20"/>
        </w:rPr>
      </w:pPr>
      <w:r>
        <w:rPr>
          <w:sz w:val="20"/>
        </w:rPr>
        <mc:AlternateContent>
          <mc:Choice Requires="wps">
            <w:drawing>
              <wp:anchor distT="0" distB="0" distL="0" distR="0" allowOverlap="1" layoutInCell="1" locked="0" behindDoc="1" simplePos="0" relativeHeight="487788544">
                <wp:simplePos x="0" y="0"/>
                <wp:positionH relativeFrom="page">
                  <wp:posOffset>1080820</wp:posOffset>
                </wp:positionH>
                <wp:positionV relativeFrom="paragraph">
                  <wp:posOffset>183253</wp:posOffset>
                </wp:positionV>
                <wp:extent cx="5715000" cy="555625"/>
                <wp:effectExtent l="0" t="0" r="0" b="0"/>
                <wp:wrapTopAndBottom/>
                <wp:docPr id="1018" name="Textbox 1018"/>
                <wp:cNvGraphicFramePr>
                  <a:graphicFrameLocks/>
                </wp:cNvGraphicFramePr>
                <a:graphic>
                  <a:graphicData uri="http://schemas.microsoft.com/office/word/2010/wordprocessingShape">
                    <wps:wsp>
                      <wps:cNvPr id="1018" name="Textbox 1018"/>
                      <wps:cNvSpPr txBox="1"/>
                      <wps:spPr>
                        <a:xfrm>
                          <a:off x="0" y="0"/>
                          <a:ext cx="5715000" cy="55562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4.42938pt;width:450pt;height:43.75pt;mso-position-horizontal-relative:page;mso-position-vertical-relative:paragraph;z-index:-15527936;mso-wrap-distance-left:0;mso-wrap-distance-right:0" type="#_x0000_t202" id="docshape96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3"/>
      </w:pPr>
    </w:p>
    <w:p>
      <w:pPr>
        <w:pStyle w:val="ListParagraph"/>
        <w:numPr>
          <w:ilvl w:val="1"/>
          <w:numId w:val="82"/>
        </w:numPr>
        <w:tabs>
          <w:tab w:pos="1341" w:val="left" w:leader="none"/>
        </w:tabs>
        <w:spacing w:line="240" w:lineRule="auto" w:before="1" w:after="0"/>
        <w:ind w:left="1341" w:right="0" w:hanging="360"/>
        <w:jc w:val="left"/>
        <w:rPr>
          <w:sz w:val="22"/>
        </w:rPr>
      </w:pPr>
      <w:r>
        <w:rPr>
          <w:sz w:val="22"/>
          <w:u w:val="single"/>
        </w:rPr>
        <w:t>Información</w:t>
      </w:r>
      <w:r>
        <w:rPr>
          <w:spacing w:val="-4"/>
          <w:sz w:val="22"/>
          <w:u w:val="single"/>
        </w:rPr>
        <w:t> </w:t>
      </w:r>
      <w:r>
        <w:rPr>
          <w:sz w:val="22"/>
          <w:u w:val="single"/>
        </w:rPr>
        <w:t>para</w:t>
      </w:r>
      <w:r>
        <w:rPr>
          <w:spacing w:val="-7"/>
          <w:sz w:val="22"/>
          <w:u w:val="single"/>
        </w:rPr>
        <w:t> </w:t>
      </w:r>
      <w:r>
        <w:rPr>
          <w:sz w:val="22"/>
          <w:u w:val="single"/>
        </w:rPr>
        <w:t>revelar</w:t>
      </w:r>
      <w:r>
        <w:rPr>
          <w:spacing w:val="-4"/>
          <w:sz w:val="22"/>
          <w:u w:val="single"/>
        </w:rPr>
        <w:t> </w:t>
      </w:r>
      <w:r>
        <w:rPr>
          <w:sz w:val="22"/>
          <w:u w:val="single"/>
        </w:rPr>
        <w:t>sobre</w:t>
      </w:r>
      <w:r>
        <w:rPr>
          <w:spacing w:val="-6"/>
          <w:sz w:val="22"/>
          <w:u w:val="single"/>
        </w:rPr>
        <w:t> </w:t>
      </w:r>
      <w:r>
        <w:rPr>
          <w:sz w:val="22"/>
          <w:u w:val="single"/>
        </w:rPr>
        <w:t>el</w:t>
      </w:r>
      <w:r>
        <w:rPr>
          <w:spacing w:val="-4"/>
          <w:sz w:val="22"/>
          <w:u w:val="single"/>
        </w:rPr>
        <w:t> </w:t>
      </w:r>
      <w:r>
        <w:rPr>
          <w:sz w:val="22"/>
          <w:u w:val="single"/>
        </w:rPr>
        <w:t>método</w:t>
      </w:r>
      <w:r>
        <w:rPr>
          <w:spacing w:val="-4"/>
          <w:sz w:val="22"/>
          <w:u w:val="single"/>
        </w:rPr>
        <w:t> </w:t>
      </w:r>
      <w:r>
        <w:rPr>
          <w:sz w:val="22"/>
          <w:u w:val="single"/>
        </w:rPr>
        <w:t>de</w:t>
      </w:r>
      <w:r>
        <w:rPr>
          <w:spacing w:val="-3"/>
          <w:sz w:val="22"/>
          <w:u w:val="single"/>
        </w:rPr>
        <w:t> </w:t>
      </w:r>
      <w:r>
        <w:rPr>
          <w:sz w:val="22"/>
          <w:u w:val="single"/>
        </w:rPr>
        <w:t>costo</w:t>
      </w:r>
      <w:r>
        <w:rPr>
          <w:spacing w:val="-4"/>
          <w:sz w:val="22"/>
          <w:u w:val="single"/>
        </w:rPr>
        <w:t> </w:t>
      </w:r>
      <w:r>
        <w:rPr>
          <w:sz w:val="22"/>
          <w:u w:val="single"/>
        </w:rPr>
        <w:t>(párrafos</w:t>
      </w:r>
      <w:r>
        <w:rPr>
          <w:spacing w:val="-2"/>
          <w:sz w:val="22"/>
          <w:u w:val="single"/>
        </w:rPr>
        <w:t> </w:t>
      </w:r>
      <w:r>
        <w:rPr>
          <w:spacing w:val="-5"/>
          <w:sz w:val="22"/>
          <w:u w:val="single"/>
        </w:rPr>
        <w:t>90)</w:t>
      </w:r>
    </w:p>
    <w:p>
      <w:pPr>
        <w:pStyle w:val="BodyText"/>
        <w:rPr>
          <w:sz w:val="20"/>
        </w:rPr>
      </w:pPr>
    </w:p>
    <w:p>
      <w:pPr>
        <w:pStyle w:val="BodyText"/>
        <w:spacing w:before="180"/>
        <w:rPr>
          <w:sz w:val="20"/>
        </w:rPr>
      </w:pPr>
      <w:r>
        <w:rPr>
          <w:sz w:val="20"/>
        </w:rPr>
        <mc:AlternateContent>
          <mc:Choice Requires="wps">
            <w:drawing>
              <wp:anchor distT="0" distB="0" distL="0" distR="0" allowOverlap="1" layoutInCell="1" locked="0" behindDoc="1" simplePos="0" relativeHeight="487789056">
                <wp:simplePos x="0" y="0"/>
                <wp:positionH relativeFrom="page">
                  <wp:posOffset>1080820</wp:posOffset>
                </wp:positionH>
                <wp:positionV relativeFrom="paragraph">
                  <wp:posOffset>277622</wp:posOffset>
                </wp:positionV>
                <wp:extent cx="5715000" cy="554990"/>
                <wp:effectExtent l="0" t="0" r="0" b="0"/>
                <wp:wrapTopAndBottom/>
                <wp:docPr id="1019" name="Textbox 1019"/>
                <wp:cNvGraphicFramePr>
                  <a:graphicFrameLocks/>
                </wp:cNvGraphicFramePr>
                <a:graphic>
                  <a:graphicData uri="http://schemas.microsoft.com/office/word/2010/wordprocessingShape">
                    <wps:wsp>
                      <wps:cNvPr id="1019" name="Textbox 1019"/>
                      <wps:cNvSpPr txBox="1"/>
                      <wps:spPr>
                        <a:xfrm>
                          <a:off x="0" y="0"/>
                          <a:ext cx="5715000" cy="55499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21.860016pt;width:450pt;height:43.7pt;mso-position-horizontal-relative:page;mso-position-vertical-relative:paragraph;z-index:-15527424;mso-wrap-distance-left:0;mso-wrap-distance-right:0" type="#_x0000_t202" id="docshape966"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3"/>
      </w:pPr>
    </w:p>
    <w:p>
      <w:pPr>
        <w:pStyle w:val="ListParagraph"/>
        <w:numPr>
          <w:ilvl w:val="1"/>
          <w:numId w:val="82"/>
        </w:numPr>
        <w:tabs>
          <w:tab w:pos="1340" w:val="left" w:leader="none"/>
        </w:tabs>
        <w:spacing w:line="240" w:lineRule="auto" w:before="1" w:after="0"/>
        <w:ind w:left="1340" w:right="0" w:hanging="359"/>
        <w:jc w:val="left"/>
        <w:rPr>
          <w:sz w:val="22"/>
        </w:rPr>
      </w:pPr>
      <w:r>
        <w:rPr>
          <w:sz w:val="22"/>
          <w:u w:val="single"/>
        </w:rPr>
        <w:t>Información</w:t>
      </w:r>
      <w:r>
        <w:rPr>
          <w:spacing w:val="-6"/>
          <w:sz w:val="22"/>
          <w:u w:val="single"/>
        </w:rPr>
        <w:t> </w:t>
      </w:r>
      <w:r>
        <w:rPr>
          <w:sz w:val="22"/>
          <w:u w:val="single"/>
        </w:rPr>
        <w:t>por</w:t>
      </w:r>
      <w:r>
        <w:rPr>
          <w:spacing w:val="-3"/>
          <w:sz w:val="22"/>
          <w:u w:val="single"/>
        </w:rPr>
        <w:t> </w:t>
      </w:r>
      <w:r>
        <w:rPr>
          <w:sz w:val="22"/>
          <w:u w:val="single"/>
        </w:rPr>
        <w:t>revelar</w:t>
      </w:r>
      <w:r>
        <w:rPr>
          <w:spacing w:val="-3"/>
          <w:sz w:val="22"/>
          <w:u w:val="single"/>
        </w:rPr>
        <w:t> </w:t>
      </w:r>
      <w:r>
        <w:rPr>
          <w:sz w:val="22"/>
          <w:u w:val="single"/>
        </w:rPr>
        <w:t>sobre</w:t>
      </w:r>
      <w:r>
        <w:rPr>
          <w:spacing w:val="-5"/>
          <w:sz w:val="22"/>
          <w:u w:val="single"/>
        </w:rPr>
        <w:t> </w:t>
      </w:r>
      <w:r>
        <w:rPr>
          <w:sz w:val="22"/>
          <w:u w:val="single"/>
        </w:rPr>
        <w:t>el</w:t>
      </w:r>
      <w:r>
        <w:rPr>
          <w:spacing w:val="-3"/>
          <w:sz w:val="22"/>
          <w:u w:val="single"/>
        </w:rPr>
        <w:t> </w:t>
      </w:r>
      <w:r>
        <w:rPr>
          <w:sz w:val="22"/>
          <w:u w:val="single"/>
        </w:rPr>
        <w:t>método</w:t>
      </w:r>
      <w:r>
        <w:rPr>
          <w:spacing w:val="-3"/>
          <w:sz w:val="22"/>
          <w:u w:val="single"/>
        </w:rPr>
        <w:t> </w:t>
      </w:r>
      <w:r>
        <w:rPr>
          <w:sz w:val="22"/>
          <w:u w:val="single"/>
        </w:rPr>
        <w:t>de</w:t>
      </w:r>
      <w:r>
        <w:rPr>
          <w:spacing w:val="-2"/>
          <w:sz w:val="22"/>
          <w:u w:val="single"/>
        </w:rPr>
        <w:t> </w:t>
      </w:r>
      <w:r>
        <w:rPr>
          <w:sz w:val="22"/>
          <w:u w:val="single"/>
        </w:rPr>
        <w:t>valor</w:t>
      </w:r>
      <w:r>
        <w:rPr>
          <w:spacing w:val="-5"/>
          <w:sz w:val="22"/>
          <w:u w:val="single"/>
        </w:rPr>
        <w:t> </w:t>
      </w:r>
      <w:r>
        <w:rPr>
          <w:sz w:val="22"/>
          <w:u w:val="single"/>
        </w:rPr>
        <w:t>razonable (párrafo</w:t>
      </w:r>
      <w:r>
        <w:rPr>
          <w:spacing w:val="-4"/>
          <w:sz w:val="22"/>
          <w:u w:val="single"/>
        </w:rPr>
        <w:t> </w:t>
      </w:r>
      <w:r>
        <w:rPr>
          <w:sz w:val="22"/>
          <w:u w:val="single"/>
        </w:rPr>
        <w:t>87</w:t>
      </w:r>
      <w:r>
        <w:rPr>
          <w:spacing w:val="-5"/>
          <w:sz w:val="22"/>
          <w:u w:val="single"/>
        </w:rPr>
        <w:t> </w:t>
      </w:r>
      <w:r>
        <w:rPr>
          <w:sz w:val="22"/>
          <w:u w:val="single"/>
        </w:rPr>
        <w:t>a</w:t>
      </w:r>
      <w:r>
        <w:rPr>
          <w:spacing w:val="-4"/>
          <w:sz w:val="22"/>
          <w:u w:val="single"/>
        </w:rPr>
        <w:t> </w:t>
      </w:r>
      <w:r>
        <w:rPr>
          <w:spacing w:val="-5"/>
          <w:sz w:val="22"/>
          <w:u w:val="single"/>
        </w:rPr>
        <w:t>89)</w:t>
      </w:r>
    </w:p>
    <w:p>
      <w:pPr>
        <w:pStyle w:val="BodyText"/>
        <w:spacing w:before="33"/>
        <w:rPr>
          <w:sz w:val="20"/>
        </w:rPr>
      </w:pPr>
      <w:r>
        <w:rPr>
          <w:sz w:val="20"/>
        </w:rPr>
        <mc:AlternateContent>
          <mc:Choice Requires="wps">
            <w:drawing>
              <wp:anchor distT="0" distB="0" distL="0" distR="0" allowOverlap="1" layoutInCell="1" locked="0" behindDoc="1" simplePos="0" relativeHeight="487789568">
                <wp:simplePos x="0" y="0"/>
                <wp:positionH relativeFrom="page">
                  <wp:posOffset>1080820</wp:posOffset>
                </wp:positionH>
                <wp:positionV relativeFrom="paragraph">
                  <wp:posOffset>184737</wp:posOffset>
                </wp:positionV>
                <wp:extent cx="5715000" cy="553720"/>
                <wp:effectExtent l="0" t="0" r="0" b="0"/>
                <wp:wrapTopAndBottom/>
                <wp:docPr id="1020" name="Textbox 1020"/>
                <wp:cNvGraphicFramePr>
                  <a:graphicFrameLocks/>
                </wp:cNvGraphicFramePr>
                <a:graphic>
                  <a:graphicData uri="http://schemas.microsoft.com/office/word/2010/wordprocessingShape">
                    <wps:wsp>
                      <wps:cNvPr id="1020" name="Textbox 1020"/>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wps:txbx>
                      <wps:bodyPr wrap="square" lIns="0" tIns="0" rIns="0" bIns="0" rtlCol="0">
                        <a:noAutofit/>
                      </wps:bodyPr>
                    </wps:wsp>
                  </a:graphicData>
                </a:graphic>
              </wp:anchor>
            </w:drawing>
          </mc:Choice>
          <mc:Fallback>
            <w:pict>
              <v:shape style="position:absolute;margin-left:85.103996pt;margin-top:14.54625pt;width:450pt;height:43.6pt;mso-position-horizontal-relative:page;mso-position-vertical-relative:paragraph;z-index:-15526912;mso-wrap-distance-left:0;mso-wrap-distance-right:0" type="#_x0000_t202" id="docshape96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2"/>
                        <w:ind w:left="103"/>
                      </w:pPr>
                      <w:r>
                        <w:rPr/>
                        <w:t>No</w:t>
                      </w:r>
                      <w:r>
                        <w:rPr>
                          <w:spacing w:val="-4"/>
                        </w:rPr>
                        <w:t> </w:t>
                      </w:r>
                      <w:r>
                        <w:rPr/>
                        <w:t>se</w:t>
                      </w:r>
                      <w:r>
                        <w:rPr>
                          <w:spacing w:val="-5"/>
                        </w:rPr>
                        <w:t> </w:t>
                      </w:r>
                      <w:r>
                        <w:rPr/>
                        <w:t>cuenta</w:t>
                      </w:r>
                      <w:r>
                        <w:rPr>
                          <w:spacing w:val="-4"/>
                        </w:rPr>
                        <w:t> </w:t>
                      </w:r>
                      <w:r>
                        <w:rPr/>
                        <w:t>con</w:t>
                      </w:r>
                      <w:r>
                        <w:rPr>
                          <w:spacing w:val="-4"/>
                        </w:rPr>
                        <w:t> </w:t>
                      </w:r>
                      <w:r>
                        <w:rPr/>
                        <w:t>bienes</w:t>
                      </w:r>
                      <w:r>
                        <w:rPr>
                          <w:spacing w:val="-3"/>
                        </w:rPr>
                        <w:t> </w:t>
                      </w:r>
                      <w:r>
                        <w:rPr/>
                        <w:t>imputados</w:t>
                      </w:r>
                      <w:r>
                        <w:rPr>
                          <w:spacing w:val="-3"/>
                        </w:rPr>
                        <w:t> </w:t>
                      </w:r>
                      <w:r>
                        <w:rPr/>
                        <w:t>como</w:t>
                      </w:r>
                      <w:r>
                        <w:rPr>
                          <w:spacing w:val="-4"/>
                        </w:rPr>
                        <w:t> </w:t>
                      </w:r>
                      <w:r>
                        <w:rPr/>
                        <w:t>propiedades</w:t>
                      </w:r>
                      <w:r>
                        <w:rPr>
                          <w:spacing w:val="-3"/>
                        </w:rPr>
                        <w:t> </w:t>
                      </w:r>
                      <w:r>
                        <w:rPr/>
                        <w:t>de</w:t>
                      </w:r>
                      <w:r>
                        <w:rPr>
                          <w:spacing w:val="-5"/>
                        </w:rPr>
                        <w:t> </w:t>
                      </w:r>
                      <w:r>
                        <w:rPr>
                          <w:spacing w:val="-2"/>
                        </w:rPr>
                        <w:t>inversión.</w:t>
                      </w:r>
                    </w:p>
                  </w:txbxContent>
                </v:textbox>
                <v:stroke dashstyle="solid"/>
                <w10:wrap type="topAndBottom"/>
              </v:shape>
            </w:pict>
          </mc:Fallback>
        </mc:AlternateContent>
      </w:r>
    </w:p>
    <w:p>
      <w:pPr>
        <w:pStyle w:val="BodyText"/>
        <w:spacing w:before="6"/>
      </w:pPr>
    </w:p>
    <w:p>
      <w:pPr>
        <w:pStyle w:val="ListParagraph"/>
        <w:numPr>
          <w:ilvl w:val="1"/>
          <w:numId w:val="82"/>
        </w:numPr>
        <w:tabs>
          <w:tab w:pos="1341" w:val="left" w:leader="none"/>
        </w:tabs>
        <w:spacing w:line="240" w:lineRule="auto" w:before="0" w:after="0"/>
        <w:ind w:left="1341" w:right="0" w:hanging="360"/>
        <w:jc w:val="left"/>
        <w:rPr>
          <w:sz w:val="22"/>
        </w:rPr>
      </w:pPr>
      <w:r>
        <w:rPr>
          <w:sz w:val="22"/>
          <w:u w:val="single"/>
        </w:rPr>
        <w:t>Otra</w:t>
      </w:r>
      <w:r>
        <w:rPr>
          <w:spacing w:val="-5"/>
          <w:sz w:val="22"/>
          <w:u w:val="single"/>
        </w:rPr>
        <w:t> </w:t>
      </w:r>
      <w:r>
        <w:rPr>
          <w:sz w:val="22"/>
          <w:u w:val="single"/>
        </w:rPr>
        <w:t>información</w:t>
      </w:r>
      <w:r>
        <w:rPr>
          <w:spacing w:val="-4"/>
          <w:sz w:val="22"/>
          <w:u w:val="single"/>
        </w:rPr>
        <w:t> </w:t>
      </w:r>
      <w:r>
        <w:rPr>
          <w:sz w:val="22"/>
          <w:u w:val="single"/>
        </w:rPr>
        <w:t>por</w:t>
      </w:r>
      <w:r>
        <w:rPr>
          <w:spacing w:val="-4"/>
          <w:sz w:val="22"/>
          <w:u w:val="single"/>
        </w:rPr>
        <w:t> </w:t>
      </w:r>
      <w:r>
        <w:rPr>
          <w:spacing w:val="-2"/>
          <w:sz w:val="22"/>
          <w:u w:val="single"/>
        </w:rPr>
        <w:t>revelar</w:t>
      </w:r>
    </w:p>
    <w:p>
      <w:pPr>
        <w:pStyle w:val="BodyText"/>
        <w:spacing w:before="31"/>
        <w:rPr>
          <w:sz w:val="20"/>
        </w:rPr>
      </w:pPr>
      <w:r>
        <w:rPr>
          <w:sz w:val="20"/>
        </w:rPr>
        <mc:AlternateContent>
          <mc:Choice Requires="wps">
            <w:drawing>
              <wp:anchor distT="0" distB="0" distL="0" distR="0" allowOverlap="1" layoutInCell="1" locked="0" behindDoc="1" simplePos="0" relativeHeight="487790080">
                <wp:simplePos x="0" y="0"/>
                <wp:positionH relativeFrom="page">
                  <wp:posOffset>1080820</wp:posOffset>
                </wp:positionH>
                <wp:positionV relativeFrom="paragraph">
                  <wp:posOffset>183467</wp:posOffset>
                </wp:positionV>
                <wp:extent cx="5715000" cy="859790"/>
                <wp:effectExtent l="0" t="0" r="0" b="0"/>
                <wp:wrapTopAndBottom/>
                <wp:docPr id="1021" name="Textbox 1021"/>
                <wp:cNvGraphicFramePr>
                  <a:graphicFrameLocks/>
                </wp:cNvGraphicFramePr>
                <a:graphic>
                  <a:graphicData uri="http://schemas.microsoft.com/office/word/2010/wordprocessingShape">
                    <wps:wsp>
                      <wps:cNvPr id="1021" name="Textbox 1021"/>
                      <wps:cNvSpPr txBox="1"/>
                      <wps:spPr>
                        <a:xfrm>
                          <a:off x="0" y="0"/>
                          <a:ext cx="5715000" cy="8597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35"/>
                            </w:pPr>
                            <w:r>
                              <w:rPr/>
                              <w:t>La Norma no es aplicable, por cuanto la Institución no posee terrenos o edificios, que en su</w:t>
                            </w:r>
                            <w:r>
                              <w:rPr>
                                <w:spacing w:val="40"/>
                              </w:rPr>
                              <w:t> </w:t>
                            </w:r>
                            <w:r>
                              <w:rPr/>
                              <w:t>totalidad</w:t>
                            </w:r>
                            <w:r>
                              <w:rPr>
                                <w:spacing w:val="-1"/>
                              </w:rPr>
                              <w:t> </w:t>
                            </w:r>
                            <w:r>
                              <w:rPr/>
                              <w:t>o</w:t>
                            </w:r>
                            <w:r>
                              <w:rPr>
                                <w:spacing w:val="-2"/>
                              </w:rPr>
                              <w:t> </w:t>
                            </w:r>
                            <w:r>
                              <w:rPr/>
                              <w:t>en</w:t>
                            </w:r>
                            <w:r>
                              <w:rPr>
                                <w:spacing w:val="-1"/>
                              </w:rPr>
                              <w:t> </w:t>
                            </w:r>
                            <w:r>
                              <w:rPr/>
                              <w:t>parte,</w:t>
                            </w:r>
                            <w:r>
                              <w:rPr>
                                <w:spacing w:val="-4"/>
                              </w:rPr>
                              <w:t> </w:t>
                            </w:r>
                            <w:r>
                              <w:rPr/>
                              <w:t>o</w:t>
                            </w:r>
                            <w:r>
                              <w:rPr>
                                <w:spacing w:val="-1"/>
                              </w:rPr>
                              <w:t> </w:t>
                            </w:r>
                            <w:r>
                              <w:rPr/>
                              <w:t>ambos,</w:t>
                            </w:r>
                            <w:r>
                              <w:rPr>
                                <w:spacing w:val="-4"/>
                              </w:rPr>
                              <w:t> </w:t>
                            </w:r>
                            <w:r>
                              <w:rPr/>
                              <w:t>se</w:t>
                            </w:r>
                            <w:r>
                              <w:rPr>
                                <w:spacing w:val="-2"/>
                              </w:rPr>
                              <w:t> </w:t>
                            </w:r>
                            <w:r>
                              <w:rPr/>
                              <w:t>tengan</w:t>
                            </w:r>
                            <w:r>
                              <w:rPr>
                                <w:spacing w:val="-1"/>
                              </w:rPr>
                              <w:t> </w:t>
                            </w:r>
                            <w:r>
                              <w:rPr/>
                              <w:t>para</w:t>
                            </w:r>
                            <w:r>
                              <w:rPr>
                                <w:spacing w:val="-4"/>
                              </w:rPr>
                              <w:t> </w:t>
                            </w:r>
                            <w:r>
                              <w:rPr/>
                              <w:t>obtener</w:t>
                            </w:r>
                            <w:r>
                              <w:rPr>
                                <w:spacing w:val="-1"/>
                              </w:rPr>
                              <w:t> </w:t>
                            </w:r>
                            <w:r>
                              <w:rPr/>
                              <w:t>rentas</w:t>
                            </w:r>
                            <w:r>
                              <w:rPr>
                                <w:spacing w:val="-2"/>
                              </w:rPr>
                              <w:t> </w:t>
                            </w:r>
                            <w:r>
                              <w:rPr/>
                              <w:t>o</w:t>
                            </w:r>
                            <w:r>
                              <w:rPr>
                                <w:spacing w:val="-1"/>
                              </w:rPr>
                              <w:t> </w:t>
                            </w:r>
                            <w:r>
                              <w:rPr/>
                              <w:t>plusvalías</w:t>
                            </w:r>
                            <w:r>
                              <w:rPr>
                                <w:spacing w:val="-1"/>
                              </w:rPr>
                              <w:t> </w:t>
                            </w:r>
                            <w:r>
                              <w:rPr/>
                              <w:t>o</w:t>
                            </w:r>
                            <w:r>
                              <w:rPr>
                                <w:spacing w:val="-3"/>
                              </w:rPr>
                              <w:t> </w:t>
                            </w:r>
                            <w:r>
                              <w:rPr/>
                              <w:t>ambas,</w:t>
                            </w:r>
                            <w:r>
                              <w:rPr>
                                <w:spacing w:val="-4"/>
                              </w:rPr>
                              <w:t> </w:t>
                            </w:r>
                            <w:r>
                              <w:rPr/>
                              <w:t>en</w:t>
                            </w:r>
                            <w:r>
                              <w:rPr>
                                <w:spacing w:val="-1"/>
                              </w:rPr>
                              <w:t> </w:t>
                            </w:r>
                            <w:r>
                              <w:rPr/>
                              <w:t>lugar</w:t>
                            </w:r>
                            <w:r>
                              <w:rPr>
                                <w:spacing w:val="-2"/>
                              </w:rPr>
                              <w:t> </w:t>
                            </w:r>
                            <w:r>
                              <w:rPr/>
                              <w:t>de</w:t>
                            </w:r>
                            <w:r>
                              <w:rPr>
                                <w:spacing w:val="-2"/>
                              </w:rPr>
                              <w:t> </w:t>
                            </w:r>
                            <w:r>
                              <w:rPr/>
                              <w:t>para</w:t>
                            </w:r>
                            <w:r>
                              <w:rPr>
                                <w:spacing w:val="-2"/>
                              </w:rPr>
                              <w:t> </w:t>
                            </w:r>
                            <w:r>
                              <w:rPr/>
                              <w:t>su uso en la prestación de servicios o bien para fines administrativos.</w:t>
                            </w:r>
                          </w:p>
                        </w:txbxContent>
                      </wps:txbx>
                      <wps:bodyPr wrap="square" lIns="0" tIns="0" rIns="0" bIns="0" rtlCol="0">
                        <a:noAutofit/>
                      </wps:bodyPr>
                    </wps:wsp>
                  </a:graphicData>
                </a:graphic>
              </wp:anchor>
            </w:drawing>
          </mc:Choice>
          <mc:Fallback>
            <w:pict>
              <v:shape style="position:absolute;margin-left:85.103996pt;margin-top:14.44625pt;width:450pt;height:67.7pt;mso-position-horizontal-relative:page;mso-position-vertical-relative:paragraph;z-index:-15526400;mso-wrap-distance-left:0;mso-wrap-distance-right:0" type="#_x0000_t202" id="docshape96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right="135"/>
                      </w:pPr>
                      <w:r>
                        <w:rPr/>
                        <w:t>La Norma no es aplicable, por cuanto la Institución no posee terrenos o edificios, que en su</w:t>
                      </w:r>
                      <w:r>
                        <w:rPr>
                          <w:spacing w:val="40"/>
                        </w:rPr>
                        <w:t> </w:t>
                      </w:r>
                      <w:r>
                        <w:rPr/>
                        <w:t>totalidad</w:t>
                      </w:r>
                      <w:r>
                        <w:rPr>
                          <w:spacing w:val="-1"/>
                        </w:rPr>
                        <w:t> </w:t>
                      </w:r>
                      <w:r>
                        <w:rPr/>
                        <w:t>o</w:t>
                      </w:r>
                      <w:r>
                        <w:rPr>
                          <w:spacing w:val="-2"/>
                        </w:rPr>
                        <w:t> </w:t>
                      </w:r>
                      <w:r>
                        <w:rPr/>
                        <w:t>en</w:t>
                      </w:r>
                      <w:r>
                        <w:rPr>
                          <w:spacing w:val="-1"/>
                        </w:rPr>
                        <w:t> </w:t>
                      </w:r>
                      <w:r>
                        <w:rPr/>
                        <w:t>parte,</w:t>
                      </w:r>
                      <w:r>
                        <w:rPr>
                          <w:spacing w:val="-4"/>
                        </w:rPr>
                        <w:t> </w:t>
                      </w:r>
                      <w:r>
                        <w:rPr/>
                        <w:t>o</w:t>
                      </w:r>
                      <w:r>
                        <w:rPr>
                          <w:spacing w:val="-1"/>
                        </w:rPr>
                        <w:t> </w:t>
                      </w:r>
                      <w:r>
                        <w:rPr/>
                        <w:t>ambos,</w:t>
                      </w:r>
                      <w:r>
                        <w:rPr>
                          <w:spacing w:val="-4"/>
                        </w:rPr>
                        <w:t> </w:t>
                      </w:r>
                      <w:r>
                        <w:rPr/>
                        <w:t>se</w:t>
                      </w:r>
                      <w:r>
                        <w:rPr>
                          <w:spacing w:val="-2"/>
                        </w:rPr>
                        <w:t> </w:t>
                      </w:r>
                      <w:r>
                        <w:rPr/>
                        <w:t>tengan</w:t>
                      </w:r>
                      <w:r>
                        <w:rPr>
                          <w:spacing w:val="-1"/>
                        </w:rPr>
                        <w:t> </w:t>
                      </w:r>
                      <w:r>
                        <w:rPr/>
                        <w:t>para</w:t>
                      </w:r>
                      <w:r>
                        <w:rPr>
                          <w:spacing w:val="-4"/>
                        </w:rPr>
                        <w:t> </w:t>
                      </w:r>
                      <w:r>
                        <w:rPr/>
                        <w:t>obtener</w:t>
                      </w:r>
                      <w:r>
                        <w:rPr>
                          <w:spacing w:val="-1"/>
                        </w:rPr>
                        <w:t> </w:t>
                      </w:r>
                      <w:r>
                        <w:rPr/>
                        <w:t>rentas</w:t>
                      </w:r>
                      <w:r>
                        <w:rPr>
                          <w:spacing w:val="-2"/>
                        </w:rPr>
                        <w:t> </w:t>
                      </w:r>
                      <w:r>
                        <w:rPr/>
                        <w:t>o</w:t>
                      </w:r>
                      <w:r>
                        <w:rPr>
                          <w:spacing w:val="-1"/>
                        </w:rPr>
                        <w:t> </w:t>
                      </w:r>
                      <w:r>
                        <w:rPr/>
                        <w:t>plusvalías</w:t>
                      </w:r>
                      <w:r>
                        <w:rPr>
                          <w:spacing w:val="-1"/>
                        </w:rPr>
                        <w:t> </w:t>
                      </w:r>
                      <w:r>
                        <w:rPr/>
                        <w:t>o</w:t>
                      </w:r>
                      <w:r>
                        <w:rPr>
                          <w:spacing w:val="-3"/>
                        </w:rPr>
                        <w:t> </w:t>
                      </w:r>
                      <w:r>
                        <w:rPr/>
                        <w:t>ambas,</w:t>
                      </w:r>
                      <w:r>
                        <w:rPr>
                          <w:spacing w:val="-4"/>
                        </w:rPr>
                        <w:t> </w:t>
                      </w:r>
                      <w:r>
                        <w:rPr/>
                        <w:t>en</w:t>
                      </w:r>
                      <w:r>
                        <w:rPr>
                          <w:spacing w:val="-1"/>
                        </w:rPr>
                        <w:t> </w:t>
                      </w:r>
                      <w:r>
                        <w:rPr/>
                        <w:t>lugar</w:t>
                      </w:r>
                      <w:r>
                        <w:rPr>
                          <w:spacing w:val="-2"/>
                        </w:rPr>
                        <w:t> </w:t>
                      </w:r>
                      <w:r>
                        <w:rPr/>
                        <w:t>de</w:t>
                      </w:r>
                      <w:r>
                        <w:rPr>
                          <w:spacing w:val="-2"/>
                        </w:rPr>
                        <w:t> </w:t>
                      </w:r>
                      <w:r>
                        <w:rPr/>
                        <w:t>para</w:t>
                      </w:r>
                      <w:r>
                        <w:rPr>
                          <w:spacing w:val="-2"/>
                        </w:rPr>
                        <w:t> </w:t>
                      </w:r>
                      <w:r>
                        <w:rPr/>
                        <w:t>su uso en la prestación de servicios o bien para fines administrativos.</w:t>
                      </w:r>
                    </w:p>
                  </w:txbxContent>
                </v:textbox>
                <v:stroke dashstyle="solid"/>
                <w10:wrap type="topAndBottom"/>
              </v:shape>
            </w:pict>
          </mc:Fallback>
        </mc:AlternateContent>
      </w:r>
    </w:p>
    <w:p>
      <w:pPr>
        <w:pStyle w:val="BodyText"/>
        <w:rPr>
          <w:sz w:val="20"/>
        </w:rPr>
      </w:pPr>
    </w:p>
    <w:p>
      <w:pPr>
        <w:pStyle w:val="BodyText"/>
        <w:rPr>
          <w:sz w:val="20"/>
        </w:rPr>
      </w:pPr>
    </w:p>
    <w:p>
      <w:pPr>
        <w:pStyle w:val="BodyText"/>
        <w:spacing w:before="182"/>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53"/>
        <w:gridCol w:w="2622"/>
        <w:gridCol w:w="575"/>
        <w:gridCol w:w="2020"/>
        <w:gridCol w:w="2022"/>
        <w:gridCol w:w="1055"/>
      </w:tblGrid>
      <w:tr>
        <w:trPr>
          <w:trHeight w:val="342" w:hRule="atLeast"/>
        </w:trPr>
        <w:tc>
          <w:tcPr>
            <w:tcW w:w="953" w:type="dxa"/>
            <w:vMerge w:val="restart"/>
            <w:shd w:val="clear" w:color="auto" w:fill="365F92"/>
          </w:tcPr>
          <w:p>
            <w:pPr>
              <w:pStyle w:val="TableParagraph"/>
              <w:spacing w:before="225"/>
              <w:ind w:left="69"/>
              <w:rPr>
                <w:b/>
                <w:sz w:val="22"/>
              </w:rPr>
            </w:pPr>
            <w:r>
              <w:rPr>
                <w:b/>
                <w:color w:val="FFFFFF"/>
                <w:spacing w:val="-2"/>
                <w:sz w:val="22"/>
              </w:rPr>
              <w:t>Cuenta</w:t>
            </w:r>
          </w:p>
        </w:tc>
        <w:tc>
          <w:tcPr>
            <w:tcW w:w="2622" w:type="dxa"/>
            <w:vMerge w:val="restart"/>
            <w:shd w:val="clear" w:color="auto" w:fill="365F92"/>
          </w:tcPr>
          <w:p>
            <w:pPr>
              <w:pStyle w:val="TableParagraph"/>
              <w:spacing w:before="225"/>
              <w:ind w:left="779"/>
              <w:rPr>
                <w:b/>
                <w:sz w:val="22"/>
              </w:rPr>
            </w:pPr>
            <w:r>
              <w:rPr>
                <w:b/>
                <w:color w:val="FFFFFF"/>
                <w:spacing w:val="-2"/>
                <w:sz w:val="22"/>
              </w:rPr>
              <w:t>Descripción</w:t>
            </w:r>
          </w:p>
        </w:tc>
        <w:tc>
          <w:tcPr>
            <w:tcW w:w="575" w:type="dxa"/>
            <w:vMerge w:val="restart"/>
            <w:shd w:val="clear" w:color="auto" w:fill="365F92"/>
          </w:tcPr>
          <w:p>
            <w:pPr>
              <w:pStyle w:val="TableParagraph"/>
              <w:spacing w:before="225"/>
              <w:ind w:left="68"/>
              <w:rPr>
                <w:b/>
                <w:sz w:val="22"/>
              </w:rPr>
            </w:pPr>
            <w:r>
              <w:rPr>
                <w:b/>
                <w:color w:val="FFFFFF"/>
                <w:spacing w:val="-4"/>
                <w:sz w:val="22"/>
              </w:rPr>
              <w:t>Nota</w:t>
            </w:r>
          </w:p>
        </w:tc>
        <w:tc>
          <w:tcPr>
            <w:tcW w:w="2020" w:type="dxa"/>
            <w:vMerge w:val="restart"/>
            <w:shd w:val="clear" w:color="auto" w:fill="365F92"/>
          </w:tcPr>
          <w:p>
            <w:pPr>
              <w:pStyle w:val="TableParagraph"/>
              <w:spacing w:before="225"/>
              <w:ind w:left="374"/>
              <w:rPr>
                <w:b/>
                <w:sz w:val="22"/>
              </w:rPr>
            </w:pPr>
            <w:r>
              <w:rPr>
                <w:b/>
                <w:color w:val="FFFFFF"/>
                <w:sz w:val="22"/>
              </w:rPr>
              <w:t>Periodo</w:t>
            </w:r>
            <w:r>
              <w:rPr>
                <w:b/>
                <w:color w:val="FFFFFF"/>
                <w:spacing w:val="-4"/>
                <w:sz w:val="22"/>
              </w:rPr>
              <w:t> </w:t>
            </w:r>
            <w:r>
              <w:rPr>
                <w:b/>
                <w:color w:val="FFFFFF"/>
                <w:spacing w:val="-2"/>
                <w:sz w:val="22"/>
              </w:rPr>
              <w:t>Actual</w:t>
            </w:r>
          </w:p>
        </w:tc>
        <w:tc>
          <w:tcPr>
            <w:tcW w:w="2022" w:type="dxa"/>
            <w:vMerge w:val="restart"/>
            <w:shd w:val="clear" w:color="auto" w:fill="365F92"/>
          </w:tcPr>
          <w:p>
            <w:pPr>
              <w:pStyle w:val="TableParagraph"/>
              <w:spacing w:before="225"/>
              <w:ind w:left="282"/>
              <w:rPr>
                <w:b/>
                <w:sz w:val="22"/>
              </w:rPr>
            </w:pPr>
            <w:r>
              <w:rPr>
                <w:b/>
                <w:color w:val="FFFFFF"/>
                <w:sz w:val="22"/>
              </w:rPr>
              <w:t>Periodo</w:t>
            </w:r>
            <w:r>
              <w:rPr>
                <w:b/>
                <w:color w:val="FFFFFF"/>
                <w:spacing w:val="-4"/>
                <w:sz w:val="22"/>
              </w:rPr>
              <w:t> </w:t>
            </w:r>
            <w:r>
              <w:rPr>
                <w:b/>
                <w:color w:val="FFFFFF"/>
                <w:spacing w:val="-2"/>
                <w:sz w:val="22"/>
              </w:rPr>
              <w:t>Anterior</w:t>
            </w:r>
          </w:p>
        </w:tc>
        <w:tc>
          <w:tcPr>
            <w:tcW w:w="1055" w:type="dxa"/>
            <w:shd w:val="clear" w:color="auto" w:fill="365F92"/>
          </w:tcPr>
          <w:p>
            <w:pPr>
              <w:pStyle w:val="TableParagraph"/>
              <w:spacing w:before="45"/>
              <w:ind w:left="11" w:right="1"/>
              <w:jc w:val="center"/>
              <w:rPr>
                <w:b/>
                <w:sz w:val="22"/>
              </w:rPr>
            </w:pPr>
            <w:r>
              <w:rPr>
                <w:b/>
                <w:color w:val="FFFFFF"/>
                <w:spacing w:val="-2"/>
                <w:sz w:val="22"/>
              </w:rPr>
              <w:t>Diferencia</w:t>
            </w:r>
          </w:p>
        </w:tc>
      </w:tr>
      <w:tr>
        <w:trPr>
          <w:trHeight w:val="340" w:hRule="atLeast"/>
        </w:trPr>
        <w:tc>
          <w:tcPr>
            <w:tcW w:w="953" w:type="dxa"/>
            <w:vMerge/>
            <w:tcBorders>
              <w:top w:val="nil"/>
            </w:tcBorders>
            <w:shd w:val="clear" w:color="auto" w:fill="365F92"/>
          </w:tcPr>
          <w:p>
            <w:pPr>
              <w:rPr>
                <w:sz w:val="2"/>
                <w:szCs w:val="2"/>
              </w:rPr>
            </w:pPr>
          </w:p>
        </w:tc>
        <w:tc>
          <w:tcPr>
            <w:tcW w:w="2622" w:type="dxa"/>
            <w:vMerge/>
            <w:tcBorders>
              <w:top w:val="nil"/>
            </w:tcBorders>
            <w:shd w:val="clear" w:color="auto" w:fill="365F92"/>
          </w:tcPr>
          <w:p>
            <w:pPr>
              <w:rPr>
                <w:sz w:val="2"/>
                <w:szCs w:val="2"/>
              </w:rPr>
            </w:pPr>
          </w:p>
        </w:tc>
        <w:tc>
          <w:tcPr>
            <w:tcW w:w="575" w:type="dxa"/>
            <w:vMerge/>
            <w:tcBorders>
              <w:top w:val="nil"/>
            </w:tcBorders>
            <w:shd w:val="clear" w:color="auto" w:fill="365F92"/>
          </w:tcPr>
          <w:p>
            <w:pPr>
              <w:rPr>
                <w:sz w:val="2"/>
                <w:szCs w:val="2"/>
              </w:rPr>
            </w:pPr>
          </w:p>
        </w:tc>
        <w:tc>
          <w:tcPr>
            <w:tcW w:w="2020" w:type="dxa"/>
            <w:vMerge/>
            <w:tcBorders>
              <w:top w:val="nil"/>
            </w:tcBorders>
            <w:shd w:val="clear" w:color="auto" w:fill="365F92"/>
          </w:tcPr>
          <w:p>
            <w:pPr>
              <w:rPr>
                <w:sz w:val="2"/>
                <w:szCs w:val="2"/>
              </w:rPr>
            </w:pPr>
          </w:p>
        </w:tc>
        <w:tc>
          <w:tcPr>
            <w:tcW w:w="2022" w:type="dxa"/>
            <w:vMerge/>
            <w:tcBorders>
              <w:top w:val="nil"/>
            </w:tcBorders>
            <w:shd w:val="clear" w:color="auto" w:fill="365F92"/>
          </w:tcPr>
          <w:p>
            <w:pPr>
              <w:rPr>
                <w:sz w:val="2"/>
                <w:szCs w:val="2"/>
              </w:rPr>
            </w:pPr>
          </w:p>
        </w:tc>
        <w:tc>
          <w:tcPr>
            <w:tcW w:w="1055" w:type="dxa"/>
            <w:shd w:val="clear" w:color="auto" w:fill="365F92"/>
          </w:tcPr>
          <w:p>
            <w:pPr>
              <w:pStyle w:val="TableParagraph"/>
              <w:spacing w:before="45"/>
              <w:ind w:left="11" w:right="3"/>
              <w:jc w:val="center"/>
              <w:rPr>
                <w:sz w:val="22"/>
              </w:rPr>
            </w:pPr>
            <w:r>
              <w:rPr>
                <w:color w:val="FFFFFF"/>
                <w:spacing w:val="-10"/>
                <w:sz w:val="22"/>
              </w:rPr>
              <w:t>%</w:t>
            </w:r>
          </w:p>
        </w:tc>
      </w:tr>
      <w:tr>
        <w:trPr>
          <w:trHeight w:val="503" w:hRule="atLeast"/>
        </w:trPr>
        <w:tc>
          <w:tcPr>
            <w:tcW w:w="953" w:type="dxa"/>
          </w:tcPr>
          <w:p>
            <w:pPr>
              <w:pStyle w:val="TableParagraph"/>
              <w:spacing w:before="125"/>
              <w:ind w:left="69"/>
              <w:rPr>
                <w:b/>
                <w:sz w:val="22"/>
              </w:rPr>
            </w:pPr>
            <w:r>
              <w:rPr>
                <w:b/>
                <w:spacing w:val="-2"/>
                <w:sz w:val="22"/>
              </w:rPr>
              <w:t>1.2.5.03.</w:t>
            </w:r>
          </w:p>
        </w:tc>
        <w:tc>
          <w:tcPr>
            <w:tcW w:w="2622" w:type="dxa"/>
          </w:tcPr>
          <w:p>
            <w:pPr>
              <w:pStyle w:val="TableParagraph"/>
              <w:ind w:left="68"/>
              <w:rPr>
                <w:b/>
                <w:sz w:val="22"/>
              </w:rPr>
            </w:pPr>
            <w:r>
              <w:rPr>
                <w:b/>
                <w:sz w:val="22"/>
              </w:rPr>
              <w:t>Activos</w:t>
            </w:r>
            <w:r>
              <w:rPr>
                <w:b/>
                <w:spacing w:val="-4"/>
                <w:sz w:val="22"/>
              </w:rPr>
              <w:t> </w:t>
            </w:r>
            <w:r>
              <w:rPr>
                <w:b/>
                <w:sz w:val="22"/>
              </w:rPr>
              <w:t>biológicos</w:t>
            </w:r>
            <w:r>
              <w:rPr>
                <w:b/>
                <w:spacing w:val="-4"/>
                <w:sz w:val="22"/>
              </w:rPr>
              <w:t> </w:t>
            </w:r>
            <w:r>
              <w:rPr>
                <w:b/>
                <w:spacing w:val="-5"/>
                <w:sz w:val="22"/>
              </w:rPr>
              <w:t>no</w:t>
            </w:r>
          </w:p>
          <w:p>
            <w:pPr>
              <w:pStyle w:val="TableParagraph"/>
              <w:spacing w:line="231" w:lineRule="exact" w:before="1"/>
              <w:ind w:left="68"/>
              <w:rPr>
                <w:b/>
                <w:sz w:val="22"/>
              </w:rPr>
            </w:pPr>
            <w:r>
              <w:rPr>
                <w:b/>
                <w:spacing w:val="-2"/>
                <w:sz w:val="22"/>
              </w:rPr>
              <w:t>concesionados</w:t>
            </w:r>
          </w:p>
        </w:tc>
        <w:tc>
          <w:tcPr>
            <w:tcW w:w="575" w:type="dxa"/>
          </w:tcPr>
          <w:p>
            <w:pPr>
              <w:pStyle w:val="TableParagraph"/>
              <w:spacing w:before="125"/>
              <w:ind w:left="176"/>
              <w:rPr>
                <w:b/>
                <w:sz w:val="22"/>
              </w:rPr>
            </w:pPr>
            <w:r>
              <w:rPr>
                <w:b/>
                <w:spacing w:val="-5"/>
                <w:sz w:val="22"/>
              </w:rPr>
              <w:t>10</w:t>
            </w:r>
          </w:p>
        </w:tc>
        <w:tc>
          <w:tcPr>
            <w:tcW w:w="2020" w:type="dxa"/>
          </w:tcPr>
          <w:p>
            <w:pPr>
              <w:pStyle w:val="TableParagraph"/>
              <w:spacing w:before="125"/>
              <w:ind w:left="14"/>
              <w:jc w:val="center"/>
              <w:rPr>
                <w:b/>
                <w:sz w:val="22"/>
              </w:rPr>
            </w:pPr>
            <w:r>
              <w:rPr>
                <w:b/>
                <w:spacing w:val="-4"/>
                <w:sz w:val="22"/>
              </w:rPr>
              <w:t>0,00</w:t>
            </w:r>
          </w:p>
        </w:tc>
        <w:tc>
          <w:tcPr>
            <w:tcW w:w="2022" w:type="dxa"/>
          </w:tcPr>
          <w:p>
            <w:pPr>
              <w:pStyle w:val="TableParagraph"/>
              <w:spacing w:before="125"/>
              <w:ind w:left="10"/>
              <w:jc w:val="center"/>
              <w:rPr>
                <w:b/>
                <w:sz w:val="22"/>
              </w:rPr>
            </w:pPr>
            <w:r>
              <w:rPr>
                <w:b/>
                <w:spacing w:val="-4"/>
                <w:sz w:val="22"/>
              </w:rPr>
              <w:t>0,00</w:t>
            </w:r>
          </w:p>
        </w:tc>
        <w:tc>
          <w:tcPr>
            <w:tcW w:w="1055" w:type="dxa"/>
          </w:tcPr>
          <w:p>
            <w:pPr>
              <w:pStyle w:val="TableParagraph"/>
              <w:spacing w:before="125"/>
              <w:ind w:left="11"/>
              <w:jc w:val="center"/>
              <w:rPr>
                <w:b/>
                <w:sz w:val="22"/>
              </w:rPr>
            </w:pPr>
            <w:r>
              <w:rPr>
                <w:b/>
                <w:spacing w:val="-2"/>
                <w:sz w:val="22"/>
              </w:rPr>
              <w:t>0,00%</w:t>
            </w:r>
          </w:p>
        </w:tc>
      </w:tr>
    </w:tbl>
    <w:p>
      <w:pPr>
        <w:pStyle w:val="Heading6"/>
        <w:spacing w:before="240"/>
        <w:ind w:left="622"/>
      </w:pPr>
      <w:r>
        <w:rPr>
          <w:spacing w:val="-2"/>
        </w:rPr>
        <w:t>Revelación:</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29024">
                <wp:simplePos x="0" y="0"/>
                <wp:positionH relativeFrom="page">
                  <wp:posOffset>9525</wp:posOffset>
                </wp:positionH>
                <wp:positionV relativeFrom="page">
                  <wp:posOffset>297208</wp:posOffset>
                </wp:positionV>
                <wp:extent cx="7762875" cy="9748520"/>
                <wp:effectExtent l="0" t="0" r="0" b="0"/>
                <wp:wrapNone/>
                <wp:docPr id="1022" name="Group 1022"/>
                <wp:cNvGraphicFramePr>
                  <a:graphicFrameLocks/>
                </wp:cNvGraphicFramePr>
                <a:graphic>
                  <a:graphicData uri="http://schemas.microsoft.com/office/word/2010/wordprocessingGroup">
                    <wpg:wgp>
                      <wpg:cNvPr id="1022" name="Group 1022"/>
                      <wpg:cNvGrpSpPr/>
                      <wpg:grpSpPr>
                        <a:xfrm>
                          <a:off x="0" y="0"/>
                          <a:ext cx="7762875" cy="9748520"/>
                          <a:chExt cx="7762875" cy="9748520"/>
                        </a:xfrm>
                      </wpg:grpSpPr>
                      <pic:pic>
                        <pic:nvPicPr>
                          <pic:cNvPr id="1023" name="Image 1023"/>
                          <pic:cNvPicPr/>
                        </pic:nvPicPr>
                        <pic:blipFill>
                          <a:blip r:embed="rId5" cstate="print"/>
                          <a:stretch>
                            <a:fillRect/>
                          </a:stretch>
                        </pic:blipFill>
                        <pic:spPr>
                          <a:xfrm>
                            <a:off x="0" y="0"/>
                            <a:ext cx="7762874" cy="9748489"/>
                          </a:xfrm>
                          <a:prstGeom prst="rect">
                            <a:avLst/>
                          </a:prstGeom>
                        </pic:spPr>
                      </pic:pic>
                      <wps:wsp>
                        <wps:cNvPr id="1024" name="Graphic 102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7456" id="docshapegroup969" coordorigin="15,468" coordsize="12225,15352">
                <v:shape style="position:absolute;left:15;top:468;width:12225;height:15352" type="#_x0000_t75" id="docshape970" stroked="false">
                  <v:imagedata r:id="rId5" o:title=""/>
                </v:shape>
                <v:rect style="position:absolute;left:1673;top:2028;width:8897;height:15" id="docshape97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195</w:t>
      </w:r>
    </w:p>
    <w:p>
      <w:pPr>
        <w:pStyle w:val="BodyText"/>
        <w:spacing w:line="259" w:lineRule="auto" w:before="218"/>
        <w:ind w:left="622" w:right="1001"/>
      </w:pPr>
      <w:r>
        <w:rPr/>
        <w:t>La</w:t>
      </w:r>
      <w:r>
        <w:rPr>
          <w:spacing w:val="-4"/>
        </w:rPr>
        <w:t> </w:t>
      </w:r>
      <w:r>
        <w:rPr/>
        <w:t>cuenta</w:t>
      </w:r>
      <w:r>
        <w:rPr>
          <w:spacing w:val="-5"/>
        </w:rPr>
        <w:t> </w:t>
      </w:r>
      <w:r>
        <w:rPr/>
        <w:t>Activos</w:t>
      </w:r>
      <w:r>
        <w:rPr>
          <w:spacing w:val="-2"/>
        </w:rPr>
        <w:t> </w:t>
      </w:r>
      <w:r>
        <w:rPr/>
        <w:t>biológicos</w:t>
      </w:r>
      <w:r>
        <w:rPr>
          <w:spacing w:val="-2"/>
        </w:rPr>
        <w:t> </w:t>
      </w:r>
      <w:r>
        <w:rPr/>
        <w:t>no</w:t>
      </w:r>
      <w:r>
        <w:rPr>
          <w:spacing w:val="-3"/>
        </w:rPr>
        <w:t> </w:t>
      </w:r>
      <w:r>
        <w:rPr/>
        <w:t>concesionados,</w:t>
      </w:r>
      <w:r>
        <w:rPr>
          <w:spacing w:val="-3"/>
        </w:rPr>
        <w:t> </w:t>
      </w:r>
      <w:r>
        <w:rPr/>
        <w:t>representa</w:t>
      </w:r>
      <w:r>
        <w:rPr>
          <w:spacing w:val="-3"/>
        </w:rPr>
        <w:t> </w:t>
      </w:r>
      <w:r>
        <w:rPr/>
        <w:t>el</w:t>
      </w:r>
      <w:r>
        <w:rPr>
          <w:spacing w:val="-3"/>
        </w:rPr>
        <w:t> </w:t>
      </w:r>
      <w:r>
        <w:rPr/>
        <w:t>0,00%</w:t>
      </w:r>
      <w:r>
        <w:rPr>
          <w:spacing w:val="-3"/>
        </w:rPr>
        <w:t> </w:t>
      </w:r>
      <w:r>
        <w:rPr/>
        <w:t>del</w:t>
      </w:r>
      <w:r>
        <w:rPr>
          <w:spacing w:val="-3"/>
        </w:rPr>
        <w:t> </w:t>
      </w:r>
      <w:r>
        <w:rPr/>
        <w:t>total</w:t>
      </w:r>
      <w:r>
        <w:rPr>
          <w:spacing w:val="-4"/>
        </w:rPr>
        <w:t> </w:t>
      </w:r>
      <w:r>
        <w:rPr/>
        <w:t>del</w:t>
      </w:r>
      <w:r>
        <w:rPr>
          <w:spacing w:val="-5"/>
        </w:rPr>
        <w:t> </w:t>
      </w:r>
      <w:r>
        <w:rPr/>
        <w:t>Activo,</w:t>
      </w:r>
      <w:r>
        <w:rPr>
          <w:spacing w:val="-3"/>
        </w:rPr>
        <w:t> </w:t>
      </w:r>
      <w:r>
        <w:rPr/>
        <w:t>que</w:t>
      </w:r>
      <w:r>
        <w:rPr>
          <w:spacing w:val="-3"/>
        </w:rPr>
        <w:t> </w:t>
      </w:r>
      <w:r>
        <w:rPr/>
        <w:t>compa-rado al periodo anterior genera una variación absoluta de 0 000,00 que corresponde a un Aumento del 0,00% de recursos disponibles.</w: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791104">
                <wp:simplePos x="0" y="0"/>
                <wp:positionH relativeFrom="page">
                  <wp:posOffset>1080820</wp:posOffset>
                </wp:positionH>
                <wp:positionV relativeFrom="paragraph">
                  <wp:posOffset>233116</wp:posOffset>
                </wp:positionV>
                <wp:extent cx="5715000" cy="553720"/>
                <wp:effectExtent l="0" t="0" r="0" b="0"/>
                <wp:wrapTopAndBottom/>
                <wp:docPr id="1025" name="Textbox 1025"/>
                <wp:cNvGraphicFramePr>
                  <a:graphicFrameLocks/>
                </wp:cNvGraphicFramePr>
                <a:graphic>
                  <a:graphicData uri="http://schemas.microsoft.com/office/word/2010/wordprocessingShape">
                    <wps:wsp>
                      <wps:cNvPr id="1025" name="Textbox 1025"/>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18.355625pt;width:450pt;height:43.6pt;mso-position-horizontal-relative:page;mso-position-vertical-relative:paragraph;z-index:-15525376;mso-wrap-distance-left:0;mso-wrap-distance-right:0" type="#_x0000_t202" id="docshape97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spacing w:before="186"/>
      </w:pPr>
    </w:p>
    <w:p>
      <w:pPr>
        <w:pStyle w:val="Heading6"/>
        <w:tabs>
          <w:tab w:pos="9489" w:val="left" w:leader="none"/>
        </w:tabs>
        <w:spacing w:before="1"/>
        <w:ind w:left="622"/>
      </w:pPr>
      <w:r>
        <w:rPr>
          <w:color w:val="FFFFFF"/>
          <w:shd w:fill="365F92" w:color="auto" w:val="clear"/>
        </w:rPr>
        <w:t>Información</w:t>
      </w:r>
      <w:r>
        <w:rPr>
          <w:color w:val="FFFFFF"/>
          <w:spacing w:val="-5"/>
          <w:shd w:fill="365F92" w:color="auto" w:val="clear"/>
        </w:rPr>
        <w:t> </w:t>
      </w:r>
      <w:r>
        <w:rPr>
          <w:color w:val="FFFFFF"/>
          <w:shd w:fill="365F92" w:color="auto" w:val="clear"/>
        </w:rPr>
        <w:t>a</w:t>
      </w:r>
      <w:r>
        <w:rPr>
          <w:color w:val="FFFFFF"/>
          <w:spacing w:val="-2"/>
          <w:shd w:fill="365F92" w:color="auto" w:val="clear"/>
        </w:rPr>
        <w:t> </w:t>
      </w:r>
      <w:r>
        <w:rPr>
          <w:color w:val="FFFFFF"/>
          <w:shd w:fill="365F92" w:color="auto" w:val="clear"/>
        </w:rPr>
        <w:t>revelar</w:t>
      </w:r>
      <w:r>
        <w:rPr>
          <w:color w:val="FFFFFF"/>
          <w:spacing w:val="-1"/>
          <w:shd w:fill="365F92" w:color="auto" w:val="clear"/>
        </w:rPr>
        <w:t> </w:t>
      </w:r>
      <w:r>
        <w:rPr>
          <w:color w:val="FFFFFF"/>
          <w:shd w:fill="365F92" w:color="auto" w:val="clear"/>
        </w:rPr>
        <w:t>-</w:t>
      </w:r>
      <w:r>
        <w:rPr>
          <w:color w:val="FFFFFF"/>
          <w:spacing w:val="-3"/>
          <w:shd w:fill="365F92" w:color="auto" w:val="clear"/>
        </w:rPr>
        <w:t> </w:t>
      </w:r>
      <w:r>
        <w:rPr>
          <w:color w:val="FFFFFF"/>
          <w:shd w:fill="365F92" w:color="auto" w:val="clear"/>
        </w:rPr>
        <w:t>Agricultura</w:t>
      </w:r>
      <w:r>
        <w:rPr>
          <w:color w:val="FFFFFF"/>
          <w:spacing w:val="-3"/>
          <w:shd w:fill="365F92" w:color="auto" w:val="clear"/>
        </w:rPr>
        <w:t> </w:t>
      </w:r>
      <w:r>
        <w:rPr>
          <w:color w:val="FFFFFF"/>
          <w:shd w:fill="365F92" w:color="auto" w:val="clear"/>
        </w:rPr>
        <w:t>NICSP</w:t>
      </w:r>
      <w:r>
        <w:rPr>
          <w:color w:val="FFFFFF"/>
          <w:spacing w:val="-2"/>
          <w:shd w:fill="365F92" w:color="auto" w:val="clear"/>
        </w:rPr>
        <w:t> </w:t>
      </w:r>
      <w:r>
        <w:rPr>
          <w:color w:val="FFFFFF"/>
          <w:shd w:fill="365F92" w:color="auto" w:val="clear"/>
        </w:rPr>
        <w:t>27</w:t>
      </w:r>
      <w:r>
        <w:rPr>
          <w:color w:val="FFFFFF"/>
          <w:spacing w:val="-2"/>
          <w:shd w:fill="365F92" w:color="auto" w:val="clear"/>
        </w:rPr>
        <w:t> </w:t>
      </w:r>
      <w:r>
        <w:rPr>
          <w:color w:val="FFFFFF"/>
          <w:shd w:fill="365F92" w:color="auto" w:val="clear"/>
        </w:rPr>
        <w:t>(párrafos</w:t>
      </w:r>
      <w:r>
        <w:rPr>
          <w:color w:val="FFFFFF"/>
          <w:spacing w:val="-4"/>
          <w:shd w:fill="365F92" w:color="auto" w:val="clear"/>
        </w:rPr>
        <w:t> </w:t>
      </w:r>
      <w:r>
        <w:rPr>
          <w:color w:val="FFFFFF"/>
          <w:shd w:fill="365F92" w:color="auto" w:val="clear"/>
        </w:rPr>
        <w:t>38,</w:t>
      </w:r>
      <w:r>
        <w:rPr>
          <w:color w:val="FFFFFF"/>
          <w:spacing w:val="-2"/>
          <w:shd w:fill="365F92" w:color="auto" w:val="clear"/>
        </w:rPr>
        <w:t> </w:t>
      </w:r>
      <w:r>
        <w:rPr>
          <w:color w:val="FFFFFF"/>
          <w:shd w:fill="365F92" w:color="auto" w:val="clear"/>
        </w:rPr>
        <w:t>39,</w:t>
      </w:r>
      <w:r>
        <w:rPr>
          <w:color w:val="FFFFFF"/>
          <w:spacing w:val="-2"/>
          <w:shd w:fill="365F92" w:color="auto" w:val="clear"/>
        </w:rPr>
        <w:t> </w:t>
      </w:r>
      <w:r>
        <w:rPr>
          <w:color w:val="FFFFFF"/>
          <w:shd w:fill="365F92" w:color="auto" w:val="clear"/>
        </w:rPr>
        <w:t>44</w:t>
      </w:r>
      <w:r>
        <w:rPr>
          <w:color w:val="FFFFFF"/>
          <w:spacing w:val="-1"/>
          <w:shd w:fill="365F92" w:color="auto" w:val="clear"/>
        </w:rPr>
        <w:t> </w:t>
      </w:r>
      <w:r>
        <w:rPr>
          <w:color w:val="FFFFFF"/>
          <w:shd w:fill="365F92" w:color="auto" w:val="clear"/>
        </w:rPr>
        <w:t>a</w:t>
      </w:r>
      <w:r>
        <w:rPr>
          <w:color w:val="FFFFFF"/>
          <w:spacing w:val="-3"/>
          <w:shd w:fill="365F92" w:color="auto" w:val="clear"/>
        </w:rPr>
        <w:t> </w:t>
      </w:r>
      <w:r>
        <w:rPr>
          <w:color w:val="FFFFFF"/>
          <w:shd w:fill="365F92" w:color="auto" w:val="clear"/>
        </w:rPr>
        <w:t>48,</w:t>
      </w:r>
      <w:r>
        <w:rPr>
          <w:color w:val="FFFFFF"/>
          <w:spacing w:val="-2"/>
          <w:shd w:fill="365F92" w:color="auto" w:val="clear"/>
        </w:rPr>
        <w:t> </w:t>
      </w:r>
      <w:r>
        <w:rPr>
          <w:color w:val="FFFFFF"/>
          <w:shd w:fill="365F92" w:color="auto" w:val="clear"/>
        </w:rPr>
        <w:t>52</w:t>
      </w:r>
      <w:r>
        <w:rPr>
          <w:color w:val="FFFFFF"/>
          <w:spacing w:val="-3"/>
          <w:shd w:fill="365F92" w:color="auto" w:val="clear"/>
        </w:rPr>
        <w:t> </w:t>
      </w:r>
      <w:r>
        <w:rPr>
          <w:color w:val="FFFFFF"/>
          <w:shd w:fill="365F92" w:color="auto" w:val="clear"/>
        </w:rPr>
        <w:t>a</w:t>
      </w:r>
      <w:r>
        <w:rPr>
          <w:color w:val="FFFFFF"/>
          <w:spacing w:val="-3"/>
          <w:shd w:fill="365F92" w:color="auto" w:val="clear"/>
        </w:rPr>
        <w:t> </w:t>
      </w:r>
      <w:r>
        <w:rPr>
          <w:color w:val="FFFFFF"/>
          <w:spacing w:val="-5"/>
          <w:shd w:fill="365F92" w:color="auto" w:val="clear"/>
        </w:rPr>
        <w:t>54)</w:t>
      </w:r>
      <w:r>
        <w:rPr>
          <w:color w:val="FFFFFF"/>
          <w:shd w:fill="365F92" w:color="auto" w:val="clear"/>
        </w:rPr>
        <w:tab/>
      </w:r>
    </w:p>
    <w:p>
      <w:pPr>
        <w:pStyle w:val="BodyText"/>
        <w:spacing w:before="2"/>
        <w:rPr>
          <w:b/>
          <w:sz w:val="15"/>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
        <w:gridCol w:w="2442"/>
        <w:gridCol w:w="1482"/>
        <w:gridCol w:w="4960"/>
      </w:tblGrid>
      <w:tr>
        <w:trPr>
          <w:trHeight w:val="431" w:hRule="atLeast"/>
        </w:trPr>
        <w:tc>
          <w:tcPr>
            <w:tcW w:w="9002" w:type="dxa"/>
            <w:gridSpan w:val="4"/>
            <w:tcBorders>
              <w:bottom w:val="nil"/>
            </w:tcBorders>
          </w:tcPr>
          <w:p>
            <w:pPr>
              <w:pStyle w:val="TableParagraph"/>
              <w:ind w:left="107"/>
              <w:rPr>
                <w:sz w:val="22"/>
              </w:rPr>
            </w:pPr>
            <w:r>
              <w:rPr>
                <w:b/>
                <w:color w:val="1F4E79"/>
                <w:spacing w:val="-2"/>
                <w:sz w:val="22"/>
                <w:u w:val="single" w:color="1F4E79"/>
              </w:rPr>
              <w:t>Revelación</w:t>
            </w:r>
            <w:r>
              <w:rPr>
                <w:spacing w:val="-2"/>
                <w:sz w:val="22"/>
                <w:u w:val="none"/>
              </w:rPr>
              <w:t>:</w:t>
            </w:r>
          </w:p>
        </w:tc>
      </w:tr>
      <w:tr>
        <w:trPr>
          <w:trHeight w:val="431" w:hRule="atLeast"/>
        </w:trPr>
        <w:tc>
          <w:tcPr>
            <w:tcW w:w="118" w:type="dxa"/>
            <w:tcBorders>
              <w:top w:val="nil"/>
              <w:bottom w:val="nil"/>
              <w:right w:val="single" w:sz="8" w:space="0" w:color="000000"/>
            </w:tcBorders>
          </w:tcPr>
          <w:p>
            <w:pPr>
              <w:pStyle w:val="TableParagraph"/>
              <w:rPr>
                <w:rFonts w:ascii="Times New Roman"/>
                <w:sz w:val="20"/>
              </w:rPr>
            </w:pPr>
          </w:p>
        </w:tc>
        <w:tc>
          <w:tcPr>
            <w:tcW w:w="2442" w:type="dxa"/>
            <w:tcBorders>
              <w:top w:val="single" w:sz="8" w:space="0" w:color="000000"/>
              <w:left w:val="single" w:sz="8" w:space="0" w:color="000000"/>
              <w:bottom w:val="single" w:sz="8" w:space="0" w:color="000000"/>
              <w:right w:val="single" w:sz="8" w:space="0" w:color="000000"/>
            </w:tcBorders>
            <w:shd w:val="clear" w:color="auto" w:fill="17365D"/>
          </w:tcPr>
          <w:p>
            <w:pPr>
              <w:pStyle w:val="TableParagraph"/>
              <w:ind w:left="63"/>
              <w:rPr>
                <w:sz w:val="22"/>
              </w:rPr>
            </w:pPr>
            <w:r>
              <w:rPr>
                <w:color w:val="FFFFFF"/>
                <w:spacing w:val="-2"/>
                <w:sz w:val="22"/>
              </w:rPr>
              <w:t>Aplica</w:t>
            </w:r>
          </w:p>
        </w:tc>
        <w:tc>
          <w:tcPr>
            <w:tcW w:w="1482" w:type="dxa"/>
            <w:tcBorders>
              <w:left w:val="single" w:sz="8" w:space="0" w:color="000000"/>
            </w:tcBorders>
          </w:tcPr>
          <w:p>
            <w:pPr>
              <w:pStyle w:val="TableParagraph"/>
              <w:spacing w:line="231" w:lineRule="exact" w:before="180"/>
              <w:ind w:right="1"/>
              <w:jc w:val="center"/>
              <w:rPr>
                <w:sz w:val="22"/>
              </w:rPr>
            </w:pPr>
            <w:r>
              <w:rPr>
                <w:spacing w:val="-5"/>
                <w:sz w:val="22"/>
              </w:rPr>
              <w:t>NO</w:t>
            </w:r>
          </w:p>
        </w:tc>
        <w:tc>
          <w:tcPr>
            <w:tcW w:w="4960" w:type="dxa"/>
            <w:vMerge w:val="restart"/>
            <w:tcBorders>
              <w:top w:val="nil"/>
            </w:tcBorders>
          </w:tcPr>
          <w:p>
            <w:pPr>
              <w:pStyle w:val="TableParagraph"/>
              <w:rPr>
                <w:rFonts w:ascii="Times New Roman"/>
                <w:sz w:val="20"/>
              </w:rPr>
            </w:pPr>
          </w:p>
        </w:tc>
      </w:tr>
      <w:tr>
        <w:trPr>
          <w:trHeight w:val="349" w:hRule="atLeast"/>
        </w:trPr>
        <w:tc>
          <w:tcPr>
            <w:tcW w:w="118" w:type="dxa"/>
            <w:tcBorders>
              <w:top w:val="nil"/>
              <w:right w:val="single" w:sz="8" w:space="0" w:color="000000"/>
            </w:tcBorders>
          </w:tcPr>
          <w:p>
            <w:pPr>
              <w:pStyle w:val="TableParagraph"/>
              <w:rPr>
                <w:rFonts w:ascii="Times New Roman"/>
                <w:sz w:val="20"/>
              </w:rPr>
            </w:pPr>
          </w:p>
        </w:tc>
        <w:tc>
          <w:tcPr>
            <w:tcW w:w="2442" w:type="dxa"/>
            <w:tcBorders>
              <w:top w:val="single" w:sz="8" w:space="0" w:color="000000"/>
              <w:left w:val="single" w:sz="8" w:space="0" w:color="000000"/>
              <w:bottom w:val="thinThickMediumGap" w:sz="4" w:space="0" w:color="000000"/>
              <w:right w:val="single" w:sz="8" w:space="0" w:color="000000"/>
            </w:tcBorders>
            <w:shd w:val="clear" w:color="auto" w:fill="17365D"/>
          </w:tcPr>
          <w:p>
            <w:pPr>
              <w:pStyle w:val="TableParagraph"/>
              <w:spacing w:before="48"/>
              <w:ind w:left="63"/>
              <w:rPr>
                <w:sz w:val="22"/>
              </w:rPr>
            </w:pPr>
            <w:r>
              <w:rPr>
                <w:color w:val="FFFFFF"/>
                <w:sz w:val="22"/>
              </w:rPr>
              <w:t>Porcentaje</w:t>
            </w:r>
            <w:r>
              <w:rPr>
                <w:color w:val="FFFFFF"/>
                <w:spacing w:val="-8"/>
                <w:sz w:val="22"/>
              </w:rPr>
              <w:t> </w:t>
            </w:r>
            <w:r>
              <w:rPr>
                <w:color w:val="FFFFFF"/>
                <w:spacing w:val="-2"/>
                <w:sz w:val="22"/>
              </w:rPr>
              <w:t>Avance</w:t>
            </w:r>
          </w:p>
        </w:tc>
        <w:tc>
          <w:tcPr>
            <w:tcW w:w="1482" w:type="dxa"/>
            <w:tcBorders>
              <w:left w:val="single" w:sz="8" w:space="0" w:color="000000"/>
              <w:bottom w:val="double" w:sz="4" w:space="0" w:color="000000"/>
            </w:tcBorders>
          </w:tcPr>
          <w:p>
            <w:pPr>
              <w:pStyle w:val="TableParagraph"/>
              <w:spacing w:line="233" w:lineRule="exact" w:before="96"/>
              <w:ind w:left="1" w:right="1"/>
              <w:jc w:val="center"/>
              <w:rPr>
                <w:sz w:val="22"/>
              </w:rPr>
            </w:pPr>
            <w:r>
              <w:rPr>
                <w:spacing w:val="-2"/>
                <w:sz w:val="22"/>
              </w:rPr>
              <w:t>0,00%</w:t>
            </w:r>
          </w:p>
        </w:tc>
        <w:tc>
          <w:tcPr>
            <w:tcW w:w="4960" w:type="dxa"/>
            <w:vMerge/>
            <w:tcBorders>
              <w:top w:val="nil"/>
            </w:tcBorders>
          </w:tcPr>
          <w:p>
            <w:pPr>
              <w:rPr>
                <w:sz w:val="2"/>
                <w:szCs w:val="2"/>
              </w:rPr>
            </w:pPr>
          </w:p>
        </w:tc>
      </w:tr>
    </w:tbl>
    <w:p>
      <w:pPr>
        <w:pStyle w:val="BodyText"/>
        <w:rPr>
          <w:b/>
          <w:sz w:val="20"/>
        </w:rPr>
      </w:pPr>
    </w:p>
    <w:p>
      <w:pPr>
        <w:pStyle w:val="BodyText"/>
        <w:rPr>
          <w:b/>
          <w:sz w:val="20"/>
        </w:rPr>
      </w:pPr>
    </w:p>
    <w:p>
      <w:pPr>
        <w:pStyle w:val="BodyText"/>
        <w:rPr>
          <w:b/>
          <w:sz w:val="20"/>
        </w:rPr>
      </w:pPr>
    </w:p>
    <w:p>
      <w:pPr>
        <w:pStyle w:val="BodyText"/>
        <w:spacing w:before="13"/>
        <w:rPr>
          <w:b/>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3"/>
        <w:gridCol w:w="3013"/>
        <w:gridCol w:w="571"/>
        <w:gridCol w:w="1844"/>
        <w:gridCol w:w="1781"/>
        <w:gridCol w:w="1054"/>
      </w:tblGrid>
      <w:tr>
        <w:trPr>
          <w:trHeight w:val="303" w:hRule="atLeast"/>
        </w:trPr>
        <w:tc>
          <w:tcPr>
            <w:tcW w:w="943" w:type="dxa"/>
            <w:vMerge w:val="restart"/>
            <w:shd w:val="clear" w:color="auto" w:fill="365F92"/>
          </w:tcPr>
          <w:p>
            <w:pPr>
              <w:pStyle w:val="TableParagraph"/>
              <w:spacing w:before="187"/>
              <w:ind w:left="69"/>
              <w:rPr>
                <w:b/>
                <w:sz w:val="22"/>
              </w:rPr>
            </w:pPr>
            <w:r>
              <w:rPr>
                <w:b/>
                <w:color w:val="FFFFFF"/>
                <w:spacing w:val="-2"/>
                <w:sz w:val="22"/>
              </w:rPr>
              <w:t>Cuenta</w:t>
            </w:r>
          </w:p>
        </w:tc>
        <w:tc>
          <w:tcPr>
            <w:tcW w:w="3013" w:type="dxa"/>
            <w:vMerge w:val="restart"/>
            <w:shd w:val="clear" w:color="auto" w:fill="365F92"/>
          </w:tcPr>
          <w:p>
            <w:pPr>
              <w:pStyle w:val="TableParagraph"/>
              <w:spacing w:before="187"/>
              <w:ind w:left="974"/>
              <w:rPr>
                <w:b/>
                <w:sz w:val="22"/>
              </w:rPr>
            </w:pPr>
            <w:r>
              <w:rPr>
                <w:b/>
                <w:color w:val="FFFFFF"/>
                <w:spacing w:val="-2"/>
                <w:sz w:val="22"/>
              </w:rPr>
              <w:t>Descripción</w:t>
            </w:r>
          </w:p>
        </w:tc>
        <w:tc>
          <w:tcPr>
            <w:tcW w:w="571" w:type="dxa"/>
            <w:vMerge w:val="restart"/>
            <w:shd w:val="clear" w:color="auto" w:fill="365F92"/>
          </w:tcPr>
          <w:p>
            <w:pPr>
              <w:pStyle w:val="TableParagraph"/>
              <w:spacing w:before="187"/>
              <w:ind w:left="69"/>
              <w:rPr>
                <w:b/>
                <w:sz w:val="22"/>
              </w:rPr>
            </w:pPr>
            <w:r>
              <w:rPr>
                <w:b/>
                <w:color w:val="FFFFFF"/>
                <w:spacing w:val="-4"/>
                <w:sz w:val="22"/>
              </w:rPr>
              <w:t>Nota</w:t>
            </w:r>
          </w:p>
        </w:tc>
        <w:tc>
          <w:tcPr>
            <w:tcW w:w="1844" w:type="dxa"/>
            <w:vMerge w:val="restart"/>
            <w:shd w:val="clear" w:color="auto" w:fill="365F92"/>
          </w:tcPr>
          <w:p>
            <w:pPr>
              <w:pStyle w:val="TableParagraph"/>
              <w:spacing w:before="187"/>
              <w:ind w:left="290"/>
              <w:rPr>
                <w:b/>
                <w:sz w:val="22"/>
              </w:rPr>
            </w:pPr>
            <w:r>
              <w:rPr>
                <w:b/>
                <w:color w:val="FFFFFF"/>
                <w:sz w:val="22"/>
              </w:rPr>
              <w:t>Periodo</w:t>
            </w:r>
            <w:r>
              <w:rPr>
                <w:b/>
                <w:color w:val="FFFFFF"/>
                <w:spacing w:val="-4"/>
                <w:sz w:val="22"/>
              </w:rPr>
              <w:t> </w:t>
            </w:r>
            <w:r>
              <w:rPr>
                <w:b/>
                <w:color w:val="FFFFFF"/>
                <w:spacing w:val="-2"/>
                <w:sz w:val="22"/>
              </w:rPr>
              <w:t>Actual</w:t>
            </w:r>
          </w:p>
        </w:tc>
        <w:tc>
          <w:tcPr>
            <w:tcW w:w="1781" w:type="dxa"/>
            <w:vMerge w:val="restart"/>
            <w:shd w:val="clear" w:color="auto" w:fill="365F92"/>
          </w:tcPr>
          <w:p>
            <w:pPr>
              <w:pStyle w:val="TableParagraph"/>
              <w:spacing w:before="187"/>
              <w:ind w:left="165"/>
              <w:rPr>
                <w:b/>
                <w:sz w:val="22"/>
              </w:rPr>
            </w:pPr>
            <w:r>
              <w:rPr>
                <w:b/>
                <w:color w:val="FFFFFF"/>
                <w:sz w:val="22"/>
              </w:rPr>
              <w:t>Periodo</w:t>
            </w:r>
            <w:r>
              <w:rPr>
                <w:b/>
                <w:color w:val="FFFFFF"/>
                <w:spacing w:val="-4"/>
                <w:sz w:val="22"/>
              </w:rPr>
              <w:t> </w:t>
            </w:r>
            <w:r>
              <w:rPr>
                <w:b/>
                <w:color w:val="FFFFFF"/>
                <w:spacing w:val="-2"/>
                <w:sz w:val="22"/>
              </w:rPr>
              <w:t>Anterior</w:t>
            </w:r>
          </w:p>
        </w:tc>
        <w:tc>
          <w:tcPr>
            <w:tcW w:w="1054" w:type="dxa"/>
            <w:shd w:val="clear" w:color="auto" w:fill="365F92"/>
          </w:tcPr>
          <w:p>
            <w:pPr>
              <w:pStyle w:val="TableParagraph"/>
              <w:spacing w:before="26"/>
              <w:ind w:left="22" w:right="4"/>
              <w:jc w:val="center"/>
              <w:rPr>
                <w:b/>
                <w:sz w:val="22"/>
              </w:rPr>
            </w:pPr>
            <w:r>
              <w:rPr>
                <w:b/>
                <w:color w:val="FFFFFF"/>
                <w:spacing w:val="-2"/>
                <w:sz w:val="22"/>
              </w:rPr>
              <w:t>Diferencia</w:t>
            </w:r>
          </w:p>
        </w:tc>
      </w:tr>
      <w:tr>
        <w:trPr>
          <w:trHeight w:val="303" w:hRule="atLeast"/>
        </w:trPr>
        <w:tc>
          <w:tcPr>
            <w:tcW w:w="943" w:type="dxa"/>
            <w:vMerge/>
            <w:tcBorders>
              <w:top w:val="nil"/>
            </w:tcBorders>
            <w:shd w:val="clear" w:color="auto" w:fill="365F92"/>
          </w:tcPr>
          <w:p>
            <w:pPr>
              <w:rPr>
                <w:sz w:val="2"/>
                <w:szCs w:val="2"/>
              </w:rPr>
            </w:pPr>
          </w:p>
        </w:tc>
        <w:tc>
          <w:tcPr>
            <w:tcW w:w="3013" w:type="dxa"/>
            <w:vMerge/>
            <w:tcBorders>
              <w:top w:val="nil"/>
            </w:tcBorders>
            <w:shd w:val="clear" w:color="auto" w:fill="365F92"/>
          </w:tcPr>
          <w:p>
            <w:pPr>
              <w:rPr>
                <w:sz w:val="2"/>
                <w:szCs w:val="2"/>
              </w:rPr>
            </w:pPr>
          </w:p>
        </w:tc>
        <w:tc>
          <w:tcPr>
            <w:tcW w:w="571" w:type="dxa"/>
            <w:vMerge/>
            <w:tcBorders>
              <w:top w:val="nil"/>
            </w:tcBorders>
            <w:shd w:val="clear" w:color="auto" w:fill="365F92"/>
          </w:tcPr>
          <w:p>
            <w:pPr>
              <w:rPr>
                <w:sz w:val="2"/>
                <w:szCs w:val="2"/>
              </w:rPr>
            </w:pPr>
          </w:p>
        </w:tc>
        <w:tc>
          <w:tcPr>
            <w:tcW w:w="1844" w:type="dxa"/>
            <w:vMerge/>
            <w:tcBorders>
              <w:top w:val="nil"/>
            </w:tcBorders>
            <w:shd w:val="clear" w:color="auto" w:fill="365F92"/>
          </w:tcPr>
          <w:p>
            <w:pPr>
              <w:rPr>
                <w:sz w:val="2"/>
                <w:szCs w:val="2"/>
              </w:rPr>
            </w:pPr>
          </w:p>
        </w:tc>
        <w:tc>
          <w:tcPr>
            <w:tcW w:w="1781" w:type="dxa"/>
            <w:vMerge/>
            <w:tcBorders>
              <w:top w:val="nil"/>
            </w:tcBorders>
            <w:shd w:val="clear" w:color="auto" w:fill="365F92"/>
          </w:tcPr>
          <w:p>
            <w:pPr>
              <w:rPr>
                <w:sz w:val="2"/>
                <w:szCs w:val="2"/>
              </w:rPr>
            </w:pPr>
          </w:p>
        </w:tc>
        <w:tc>
          <w:tcPr>
            <w:tcW w:w="1054" w:type="dxa"/>
            <w:shd w:val="clear" w:color="auto" w:fill="365F92"/>
          </w:tcPr>
          <w:p>
            <w:pPr>
              <w:pStyle w:val="TableParagraph"/>
              <w:spacing w:before="26"/>
              <w:ind w:left="22" w:right="5"/>
              <w:jc w:val="center"/>
              <w:rPr>
                <w:sz w:val="22"/>
              </w:rPr>
            </w:pPr>
            <w:r>
              <w:rPr>
                <w:color w:val="FFFFFF"/>
                <w:spacing w:val="-10"/>
                <w:sz w:val="22"/>
              </w:rPr>
              <w:t>%</w:t>
            </w:r>
          </w:p>
        </w:tc>
      </w:tr>
      <w:tr>
        <w:trPr>
          <w:trHeight w:val="508" w:hRule="atLeast"/>
        </w:trPr>
        <w:tc>
          <w:tcPr>
            <w:tcW w:w="943" w:type="dxa"/>
          </w:tcPr>
          <w:p>
            <w:pPr>
              <w:pStyle w:val="TableParagraph"/>
              <w:spacing w:before="138"/>
              <w:ind w:left="69"/>
              <w:rPr>
                <w:b/>
                <w:sz w:val="20"/>
              </w:rPr>
            </w:pPr>
            <w:r>
              <w:rPr>
                <w:b/>
                <w:spacing w:val="-2"/>
                <w:sz w:val="20"/>
              </w:rPr>
              <w:t>1.2.5.04.</w:t>
            </w:r>
          </w:p>
        </w:tc>
        <w:tc>
          <w:tcPr>
            <w:tcW w:w="3013" w:type="dxa"/>
          </w:tcPr>
          <w:p>
            <w:pPr>
              <w:pStyle w:val="TableParagraph"/>
              <w:spacing w:before="25"/>
              <w:ind w:left="69"/>
              <w:rPr>
                <w:b/>
                <w:sz w:val="20"/>
              </w:rPr>
            </w:pPr>
            <w:r>
              <w:rPr>
                <w:b/>
                <w:sz w:val="20"/>
              </w:rPr>
              <w:t>Bienes de infraestructura y de beneficio</w:t>
            </w:r>
            <w:r>
              <w:rPr>
                <w:b/>
                <w:spacing w:val="-9"/>
                <w:sz w:val="20"/>
              </w:rPr>
              <w:t> </w:t>
            </w:r>
            <w:r>
              <w:rPr>
                <w:b/>
                <w:sz w:val="20"/>
              </w:rPr>
              <w:t>y</w:t>
            </w:r>
            <w:r>
              <w:rPr>
                <w:b/>
                <w:spacing w:val="-7"/>
                <w:sz w:val="20"/>
              </w:rPr>
              <w:t> </w:t>
            </w:r>
            <w:r>
              <w:rPr>
                <w:b/>
                <w:sz w:val="20"/>
              </w:rPr>
              <w:t>uso</w:t>
            </w:r>
            <w:r>
              <w:rPr>
                <w:b/>
                <w:spacing w:val="-8"/>
                <w:sz w:val="20"/>
              </w:rPr>
              <w:t> </w:t>
            </w:r>
            <w:r>
              <w:rPr>
                <w:b/>
                <w:sz w:val="20"/>
              </w:rPr>
              <w:t>público</w:t>
            </w:r>
            <w:r>
              <w:rPr>
                <w:b/>
                <w:spacing w:val="-8"/>
                <w:sz w:val="20"/>
              </w:rPr>
              <w:t> </w:t>
            </w:r>
            <w:r>
              <w:rPr>
                <w:b/>
                <w:sz w:val="20"/>
              </w:rPr>
              <w:t>en</w:t>
            </w:r>
            <w:r>
              <w:rPr>
                <w:b/>
                <w:spacing w:val="-7"/>
                <w:sz w:val="20"/>
              </w:rPr>
              <w:t> </w:t>
            </w:r>
            <w:r>
              <w:rPr>
                <w:b/>
                <w:sz w:val="20"/>
              </w:rPr>
              <w:t>servicio</w:t>
            </w:r>
          </w:p>
        </w:tc>
        <w:tc>
          <w:tcPr>
            <w:tcW w:w="571" w:type="dxa"/>
          </w:tcPr>
          <w:p>
            <w:pPr>
              <w:pStyle w:val="TableParagraph"/>
              <w:spacing w:before="138"/>
              <w:ind w:left="186"/>
              <w:rPr>
                <w:b/>
                <w:sz w:val="20"/>
              </w:rPr>
            </w:pPr>
            <w:r>
              <w:rPr>
                <w:b/>
                <w:spacing w:val="-5"/>
                <w:sz w:val="20"/>
              </w:rPr>
              <w:t>10</w:t>
            </w:r>
          </w:p>
        </w:tc>
        <w:tc>
          <w:tcPr>
            <w:tcW w:w="1844" w:type="dxa"/>
          </w:tcPr>
          <w:p>
            <w:pPr>
              <w:pStyle w:val="TableParagraph"/>
              <w:spacing w:before="138"/>
              <w:ind w:left="69"/>
              <w:jc w:val="center"/>
              <w:rPr>
                <w:b/>
                <w:sz w:val="20"/>
              </w:rPr>
            </w:pPr>
            <w:r>
              <w:rPr>
                <w:b/>
                <w:spacing w:val="-4"/>
                <w:sz w:val="20"/>
              </w:rPr>
              <w:t>0,00</w:t>
            </w:r>
          </w:p>
        </w:tc>
        <w:tc>
          <w:tcPr>
            <w:tcW w:w="1781" w:type="dxa"/>
          </w:tcPr>
          <w:p>
            <w:pPr>
              <w:pStyle w:val="TableParagraph"/>
              <w:spacing w:before="138"/>
              <w:ind w:left="16"/>
              <w:jc w:val="center"/>
              <w:rPr>
                <w:b/>
                <w:sz w:val="20"/>
              </w:rPr>
            </w:pPr>
            <w:r>
              <w:rPr>
                <w:b/>
                <w:spacing w:val="-4"/>
                <w:sz w:val="20"/>
              </w:rPr>
              <w:t>0,00</w:t>
            </w:r>
          </w:p>
        </w:tc>
        <w:tc>
          <w:tcPr>
            <w:tcW w:w="1054" w:type="dxa"/>
          </w:tcPr>
          <w:p>
            <w:pPr>
              <w:pStyle w:val="TableParagraph"/>
              <w:spacing w:before="138"/>
              <w:ind w:left="22" w:right="3"/>
              <w:jc w:val="center"/>
              <w:rPr>
                <w:b/>
                <w:sz w:val="20"/>
              </w:rPr>
            </w:pPr>
            <w:r>
              <w:rPr>
                <w:b/>
                <w:spacing w:val="-2"/>
                <w:sz w:val="20"/>
              </w:rPr>
              <w:t>0,00%</w:t>
            </w:r>
          </w:p>
        </w:tc>
      </w:tr>
    </w:tbl>
    <w:p>
      <w:pPr>
        <w:spacing w:before="242"/>
        <w:ind w:left="622" w:right="0" w:firstLine="0"/>
        <w:jc w:val="left"/>
        <w:rPr>
          <w:sz w:val="22"/>
        </w:rPr>
      </w:pPr>
      <w:r>
        <w:rPr>
          <w:b/>
          <w:spacing w:val="-2"/>
          <w:sz w:val="22"/>
        </w:rPr>
        <w:t>Revelación</w:t>
      </w:r>
      <w:r>
        <w:rPr>
          <w:spacing w:val="-2"/>
          <w:sz w:val="22"/>
        </w:rPr>
        <w:t>:</w:t>
      </w:r>
    </w:p>
    <w:p>
      <w:pPr>
        <w:pStyle w:val="BodyText"/>
        <w:spacing w:line="259" w:lineRule="auto" w:before="178"/>
        <w:ind w:left="622" w:right="981"/>
        <w:jc w:val="both"/>
      </w:pPr>
      <w:r>
        <w:rPr/>
        <w:t>La cuenta Bienes de infraestructura y de beneficio y uso público en servicio, representa el 0,00% del total del Activo, que comparado al periodo anterior genera una variación absoluta de 0 000,00 que corresponde a un Aumento del 0,00% de recursos disponibles.</w:t>
      </w: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791616">
                <wp:simplePos x="0" y="0"/>
                <wp:positionH relativeFrom="page">
                  <wp:posOffset>1080820</wp:posOffset>
                </wp:positionH>
                <wp:positionV relativeFrom="paragraph">
                  <wp:posOffset>233616</wp:posOffset>
                </wp:positionV>
                <wp:extent cx="5715000" cy="553720"/>
                <wp:effectExtent l="0" t="0" r="0" b="0"/>
                <wp:wrapTopAndBottom/>
                <wp:docPr id="1026" name="Textbox 1026"/>
                <wp:cNvGraphicFramePr>
                  <a:graphicFrameLocks/>
                </wp:cNvGraphicFramePr>
                <a:graphic>
                  <a:graphicData uri="http://schemas.microsoft.com/office/word/2010/wordprocessingShape">
                    <wps:wsp>
                      <wps:cNvPr id="1026" name="Textbox 1026"/>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18.39497pt;width:450pt;height:43.6pt;mso-position-horizontal-relative:page;mso-position-vertical-relative:paragraph;z-index:-15524864;mso-wrap-distance-left:0;mso-wrap-distance-right:0" type="#_x0000_t202" id="docshape973"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220"/>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9"/>
        <w:gridCol w:w="2362"/>
        <w:gridCol w:w="588"/>
        <w:gridCol w:w="1977"/>
        <w:gridCol w:w="1975"/>
        <w:gridCol w:w="1096"/>
      </w:tblGrid>
      <w:tr>
        <w:trPr>
          <w:trHeight w:val="325" w:hRule="atLeast"/>
        </w:trPr>
        <w:tc>
          <w:tcPr>
            <w:tcW w:w="1039" w:type="dxa"/>
            <w:vMerge w:val="restart"/>
            <w:shd w:val="clear" w:color="auto" w:fill="365F92"/>
          </w:tcPr>
          <w:p>
            <w:pPr>
              <w:pStyle w:val="TableParagraph"/>
              <w:spacing w:before="209"/>
              <w:ind w:left="69"/>
              <w:rPr>
                <w:b/>
                <w:sz w:val="22"/>
              </w:rPr>
            </w:pPr>
            <w:r>
              <w:rPr>
                <w:b/>
                <w:color w:val="FFFFFF"/>
                <w:spacing w:val="-2"/>
                <w:sz w:val="22"/>
              </w:rPr>
              <w:t>Cuenta</w:t>
            </w:r>
          </w:p>
        </w:tc>
        <w:tc>
          <w:tcPr>
            <w:tcW w:w="2362" w:type="dxa"/>
            <w:vMerge w:val="restart"/>
            <w:shd w:val="clear" w:color="auto" w:fill="365F92"/>
          </w:tcPr>
          <w:p>
            <w:pPr>
              <w:pStyle w:val="TableParagraph"/>
              <w:spacing w:before="209"/>
              <w:ind w:left="650"/>
              <w:rPr>
                <w:b/>
                <w:sz w:val="22"/>
              </w:rPr>
            </w:pPr>
            <w:r>
              <w:rPr>
                <w:b/>
                <w:color w:val="FFFFFF"/>
                <w:spacing w:val="-2"/>
                <w:sz w:val="22"/>
              </w:rPr>
              <w:t>Descripción</w:t>
            </w:r>
          </w:p>
        </w:tc>
        <w:tc>
          <w:tcPr>
            <w:tcW w:w="588" w:type="dxa"/>
            <w:vMerge w:val="restart"/>
            <w:shd w:val="clear" w:color="auto" w:fill="365F92"/>
          </w:tcPr>
          <w:p>
            <w:pPr>
              <w:pStyle w:val="TableParagraph"/>
              <w:spacing w:before="209"/>
              <w:ind w:left="76"/>
              <w:rPr>
                <w:b/>
                <w:sz w:val="22"/>
              </w:rPr>
            </w:pPr>
            <w:r>
              <w:rPr>
                <w:b/>
                <w:color w:val="FFFFFF"/>
                <w:spacing w:val="-4"/>
                <w:sz w:val="22"/>
              </w:rPr>
              <w:t>Nota</w:t>
            </w:r>
          </w:p>
        </w:tc>
        <w:tc>
          <w:tcPr>
            <w:tcW w:w="1977" w:type="dxa"/>
            <w:vMerge w:val="restart"/>
            <w:shd w:val="clear" w:color="auto" w:fill="365F92"/>
          </w:tcPr>
          <w:p>
            <w:pPr>
              <w:pStyle w:val="TableParagraph"/>
              <w:spacing w:before="209"/>
              <w:ind w:left="355"/>
              <w:rPr>
                <w:b/>
                <w:sz w:val="22"/>
              </w:rPr>
            </w:pPr>
            <w:r>
              <w:rPr>
                <w:b/>
                <w:color w:val="FFFFFF"/>
                <w:sz w:val="22"/>
              </w:rPr>
              <w:t>Periodo</w:t>
            </w:r>
            <w:r>
              <w:rPr>
                <w:b/>
                <w:color w:val="FFFFFF"/>
                <w:spacing w:val="-4"/>
                <w:sz w:val="22"/>
              </w:rPr>
              <w:t> </w:t>
            </w:r>
            <w:r>
              <w:rPr>
                <w:b/>
                <w:color w:val="FFFFFF"/>
                <w:spacing w:val="-2"/>
                <w:sz w:val="22"/>
              </w:rPr>
              <w:t>Actual</w:t>
            </w:r>
          </w:p>
        </w:tc>
        <w:tc>
          <w:tcPr>
            <w:tcW w:w="1975" w:type="dxa"/>
            <w:vMerge w:val="restart"/>
            <w:shd w:val="clear" w:color="auto" w:fill="365F92"/>
          </w:tcPr>
          <w:p>
            <w:pPr>
              <w:pStyle w:val="TableParagraph"/>
              <w:spacing w:before="209"/>
              <w:ind w:left="265"/>
              <w:rPr>
                <w:b/>
                <w:sz w:val="22"/>
              </w:rPr>
            </w:pPr>
            <w:r>
              <w:rPr>
                <w:b/>
                <w:color w:val="FFFFFF"/>
                <w:sz w:val="22"/>
              </w:rPr>
              <w:t>Periodo</w:t>
            </w:r>
            <w:r>
              <w:rPr>
                <w:b/>
                <w:color w:val="FFFFFF"/>
                <w:spacing w:val="-4"/>
                <w:sz w:val="22"/>
              </w:rPr>
              <w:t> </w:t>
            </w:r>
            <w:r>
              <w:rPr>
                <w:b/>
                <w:color w:val="FFFFFF"/>
                <w:spacing w:val="-2"/>
                <w:sz w:val="22"/>
              </w:rPr>
              <w:t>Anterior</w:t>
            </w:r>
          </w:p>
        </w:tc>
        <w:tc>
          <w:tcPr>
            <w:tcW w:w="1096" w:type="dxa"/>
            <w:shd w:val="clear" w:color="auto" w:fill="365F92"/>
          </w:tcPr>
          <w:p>
            <w:pPr>
              <w:pStyle w:val="TableParagraph"/>
              <w:spacing w:before="36"/>
              <w:ind w:left="25" w:right="1"/>
              <w:jc w:val="center"/>
              <w:rPr>
                <w:b/>
                <w:sz w:val="22"/>
              </w:rPr>
            </w:pPr>
            <w:r>
              <w:rPr>
                <w:b/>
                <w:color w:val="FFFFFF"/>
                <w:spacing w:val="-2"/>
                <w:sz w:val="22"/>
              </w:rPr>
              <w:t>Diferencia</w:t>
            </w:r>
          </w:p>
        </w:tc>
      </w:tr>
      <w:tr>
        <w:trPr>
          <w:trHeight w:val="323" w:hRule="atLeast"/>
        </w:trPr>
        <w:tc>
          <w:tcPr>
            <w:tcW w:w="1039" w:type="dxa"/>
            <w:vMerge/>
            <w:tcBorders>
              <w:top w:val="nil"/>
            </w:tcBorders>
            <w:shd w:val="clear" w:color="auto" w:fill="365F92"/>
          </w:tcPr>
          <w:p>
            <w:pPr>
              <w:rPr>
                <w:sz w:val="2"/>
                <w:szCs w:val="2"/>
              </w:rPr>
            </w:pPr>
          </w:p>
        </w:tc>
        <w:tc>
          <w:tcPr>
            <w:tcW w:w="2362" w:type="dxa"/>
            <w:vMerge/>
            <w:tcBorders>
              <w:top w:val="nil"/>
            </w:tcBorders>
            <w:shd w:val="clear" w:color="auto" w:fill="365F92"/>
          </w:tcPr>
          <w:p>
            <w:pPr>
              <w:rPr>
                <w:sz w:val="2"/>
                <w:szCs w:val="2"/>
              </w:rPr>
            </w:pPr>
          </w:p>
        </w:tc>
        <w:tc>
          <w:tcPr>
            <w:tcW w:w="588" w:type="dxa"/>
            <w:vMerge/>
            <w:tcBorders>
              <w:top w:val="nil"/>
            </w:tcBorders>
            <w:shd w:val="clear" w:color="auto" w:fill="365F92"/>
          </w:tcPr>
          <w:p>
            <w:pPr>
              <w:rPr>
                <w:sz w:val="2"/>
                <w:szCs w:val="2"/>
              </w:rPr>
            </w:pPr>
          </w:p>
        </w:tc>
        <w:tc>
          <w:tcPr>
            <w:tcW w:w="1977" w:type="dxa"/>
            <w:vMerge/>
            <w:tcBorders>
              <w:top w:val="nil"/>
            </w:tcBorders>
            <w:shd w:val="clear" w:color="auto" w:fill="365F92"/>
          </w:tcPr>
          <w:p>
            <w:pPr>
              <w:rPr>
                <w:sz w:val="2"/>
                <w:szCs w:val="2"/>
              </w:rPr>
            </w:pPr>
          </w:p>
        </w:tc>
        <w:tc>
          <w:tcPr>
            <w:tcW w:w="1975" w:type="dxa"/>
            <w:vMerge/>
            <w:tcBorders>
              <w:top w:val="nil"/>
            </w:tcBorders>
            <w:shd w:val="clear" w:color="auto" w:fill="365F92"/>
          </w:tcPr>
          <w:p>
            <w:pPr>
              <w:rPr>
                <w:sz w:val="2"/>
                <w:szCs w:val="2"/>
              </w:rPr>
            </w:pPr>
          </w:p>
        </w:tc>
        <w:tc>
          <w:tcPr>
            <w:tcW w:w="1096" w:type="dxa"/>
            <w:shd w:val="clear" w:color="auto" w:fill="365F92"/>
          </w:tcPr>
          <w:p>
            <w:pPr>
              <w:pStyle w:val="TableParagraph"/>
              <w:spacing w:before="36"/>
              <w:ind w:left="25" w:right="3"/>
              <w:jc w:val="center"/>
              <w:rPr>
                <w:sz w:val="22"/>
              </w:rPr>
            </w:pPr>
            <w:r>
              <w:rPr>
                <w:color w:val="FFFFFF"/>
                <w:spacing w:val="-10"/>
                <w:sz w:val="22"/>
              </w:rPr>
              <w:t>%</w:t>
            </w:r>
          </w:p>
        </w:tc>
      </w:tr>
      <w:tr>
        <w:trPr>
          <w:trHeight w:val="503" w:hRule="atLeast"/>
        </w:trPr>
        <w:tc>
          <w:tcPr>
            <w:tcW w:w="1039" w:type="dxa"/>
          </w:tcPr>
          <w:p>
            <w:pPr>
              <w:pStyle w:val="TableParagraph"/>
              <w:spacing w:before="127"/>
              <w:ind w:left="69"/>
              <w:rPr>
                <w:b/>
                <w:sz w:val="22"/>
              </w:rPr>
            </w:pPr>
            <w:r>
              <w:rPr>
                <w:b/>
                <w:spacing w:val="-2"/>
                <w:sz w:val="22"/>
              </w:rPr>
              <w:t>1.2.5.05.</w:t>
            </w:r>
          </w:p>
        </w:tc>
        <w:tc>
          <w:tcPr>
            <w:tcW w:w="2362" w:type="dxa"/>
          </w:tcPr>
          <w:p>
            <w:pPr>
              <w:pStyle w:val="TableParagraph"/>
              <w:ind w:left="69"/>
              <w:rPr>
                <w:b/>
                <w:sz w:val="22"/>
              </w:rPr>
            </w:pPr>
            <w:r>
              <w:rPr>
                <w:b/>
                <w:sz w:val="22"/>
              </w:rPr>
              <w:t>Bienes</w:t>
            </w:r>
            <w:r>
              <w:rPr>
                <w:b/>
                <w:spacing w:val="-5"/>
                <w:sz w:val="22"/>
              </w:rPr>
              <w:t> </w:t>
            </w:r>
            <w:r>
              <w:rPr>
                <w:b/>
                <w:sz w:val="22"/>
              </w:rPr>
              <w:t>históricos</w:t>
            </w:r>
            <w:r>
              <w:rPr>
                <w:b/>
                <w:spacing w:val="-4"/>
                <w:sz w:val="22"/>
              </w:rPr>
              <w:t> </w:t>
            </w:r>
            <w:r>
              <w:rPr>
                <w:b/>
                <w:spacing w:val="-10"/>
                <w:sz w:val="22"/>
              </w:rPr>
              <w:t>y</w:t>
            </w:r>
          </w:p>
          <w:p>
            <w:pPr>
              <w:pStyle w:val="TableParagraph"/>
              <w:spacing w:line="231" w:lineRule="exact" w:before="1"/>
              <w:ind w:left="69"/>
              <w:rPr>
                <w:b/>
                <w:sz w:val="22"/>
              </w:rPr>
            </w:pPr>
            <w:r>
              <w:rPr>
                <w:b/>
                <w:spacing w:val="-2"/>
                <w:sz w:val="22"/>
              </w:rPr>
              <w:t>culturales</w:t>
            </w:r>
          </w:p>
        </w:tc>
        <w:tc>
          <w:tcPr>
            <w:tcW w:w="588" w:type="dxa"/>
          </w:tcPr>
          <w:p>
            <w:pPr>
              <w:pStyle w:val="TableParagraph"/>
              <w:spacing w:before="127"/>
              <w:ind w:left="184"/>
              <w:rPr>
                <w:b/>
                <w:sz w:val="22"/>
              </w:rPr>
            </w:pPr>
            <w:r>
              <w:rPr>
                <w:b/>
                <w:spacing w:val="-5"/>
                <w:sz w:val="22"/>
              </w:rPr>
              <w:t>10</w:t>
            </w:r>
          </w:p>
        </w:tc>
        <w:tc>
          <w:tcPr>
            <w:tcW w:w="1977" w:type="dxa"/>
          </w:tcPr>
          <w:p>
            <w:pPr>
              <w:pStyle w:val="TableParagraph"/>
              <w:spacing w:before="127"/>
              <w:ind w:left="554"/>
              <w:rPr>
                <w:b/>
                <w:sz w:val="22"/>
              </w:rPr>
            </w:pPr>
            <w:r>
              <w:rPr>
                <w:b/>
                <w:sz w:val="22"/>
              </w:rPr>
              <w:t>27</w:t>
            </w:r>
            <w:r>
              <w:rPr>
                <w:b/>
                <w:spacing w:val="-2"/>
                <w:sz w:val="22"/>
              </w:rPr>
              <w:t> 696,47</w:t>
            </w:r>
          </w:p>
        </w:tc>
        <w:tc>
          <w:tcPr>
            <w:tcW w:w="1975" w:type="dxa"/>
          </w:tcPr>
          <w:p>
            <w:pPr>
              <w:pStyle w:val="TableParagraph"/>
              <w:spacing w:before="127"/>
              <w:ind w:left="555"/>
              <w:rPr>
                <w:b/>
                <w:sz w:val="22"/>
              </w:rPr>
            </w:pPr>
            <w:r>
              <w:rPr>
                <w:b/>
                <w:sz w:val="22"/>
              </w:rPr>
              <w:t>27</w:t>
            </w:r>
            <w:r>
              <w:rPr>
                <w:b/>
                <w:spacing w:val="-2"/>
                <w:sz w:val="22"/>
              </w:rPr>
              <w:t> 696,47</w:t>
            </w:r>
          </w:p>
        </w:tc>
        <w:tc>
          <w:tcPr>
            <w:tcW w:w="1096" w:type="dxa"/>
          </w:tcPr>
          <w:p>
            <w:pPr>
              <w:pStyle w:val="TableParagraph"/>
              <w:spacing w:before="127"/>
              <w:ind w:left="25"/>
              <w:jc w:val="center"/>
              <w:rPr>
                <w:b/>
                <w:sz w:val="22"/>
              </w:rPr>
            </w:pPr>
            <w:r>
              <w:rPr>
                <w:b/>
                <w:spacing w:val="-2"/>
                <w:sz w:val="22"/>
              </w:rPr>
              <w:t>0,00%</w:t>
            </w:r>
          </w:p>
        </w:tc>
      </w:tr>
    </w:tbl>
    <w:p>
      <w:pPr>
        <w:pStyle w:val="Heading6"/>
        <w:spacing w:before="240"/>
        <w:ind w:left="622"/>
      </w:pPr>
      <w:r>
        <w:rPr>
          <w:spacing w:val="-2"/>
        </w:rPr>
        <w:t>Revelación:</w:t>
      </w:r>
    </w:p>
    <w:p>
      <w:pPr>
        <w:pStyle w:val="Heading6"/>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1072">
                <wp:simplePos x="0" y="0"/>
                <wp:positionH relativeFrom="page">
                  <wp:posOffset>9525</wp:posOffset>
                </wp:positionH>
                <wp:positionV relativeFrom="page">
                  <wp:posOffset>297208</wp:posOffset>
                </wp:positionV>
                <wp:extent cx="7762875" cy="9748520"/>
                <wp:effectExtent l="0" t="0" r="0" b="0"/>
                <wp:wrapNone/>
                <wp:docPr id="1027" name="Group 1027"/>
                <wp:cNvGraphicFramePr>
                  <a:graphicFrameLocks/>
                </wp:cNvGraphicFramePr>
                <a:graphic>
                  <a:graphicData uri="http://schemas.microsoft.com/office/word/2010/wordprocessingGroup">
                    <wpg:wgp>
                      <wpg:cNvPr id="1027" name="Group 1027"/>
                      <wpg:cNvGrpSpPr/>
                      <wpg:grpSpPr>
                        <a:xfrm>
                          <a:off x="0" y="0"/>
                          <a:ext cx="7762875" cy="9748520"/>
                          <a:chExt cx="7762875" cy="9748520"/>
                        </a:xfrm>
                      </wpg:grpSpPr>
                      <pic:pic>
                        <pic:nvPicPr>
                          <pic:cNvPr id="1028" name="Image 1028"/>
                          <pic:cNvPicPr/>
                        </pic:nvPicPr>
                        <pic:blipFill>
                          <a:blip r:embed="rId5" cstate="print"/>
                          <a:stretch>
                            <a:fillRect/>
                          </a:stretch>
                        </pic:blipFill>
                        <pic:spPr>
                          <a:xfrm>
                            <a:off x="0" y="0"/>
                            <a:ext cx="7762874" cy="9748489"/>
                          </a:xfrm>
                          <a:prstGeom prst="rect">
                            <a:avLst/>
                          </a:prstGeom>
                        </pic:spPr>
                      </pic:pic>
                      <wps:wsp>
                        <wps:cNvPr id="1029" name="Graphic 102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5408" id="docshapegroup974" coordorigin="15,468" coordsize="12225,15352">
                <v:shape style="position:absolute;left:15;top:468;width:12225;height:15352" type="#_x0000_t75" id="docshape975" stroked="false">
                  <v:imagedata r:id="rId5" o:title=""/>
                </v:shape>
                <v:rect style="position:absolute;left:1673;top:2028;width:8897;height:15" id="docshape976"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196</w:t>
      </w:r>
    </w:p>
    <w:p>
      <w:pPr>
        <w:pStyle w:val="BodyText"/>
        <w:rPr>
          <w:sz w:val="20"/>
        </w:rPr>
      </w:pPr>
    </w:p>
    <w:p>
      <w:pPr>
        <w:pStyle w:val="BodyText"/>
        <w:spacing w:before="169"/>
        <w:rPr>
          <w:sz w:val="20"/>
        </w:rPr>
      </w:pPr>
      <w:r>
        <w:rPr>
          <w:sz w:val="20"/>
        </w:rPr>
        <mc:AlternateContent>
          <mc:Choice Requires="wps">
            <w:drawing>
              <wp:anchor distT="0" distB="0" distL="0" distR="0" allowOverlap="1" layoutInCell="1" locked="0" behindDoc="1" simplePos="0" relativeHeight="487792640">
                <wp:simplePos x="0" y="0"/>
                <wp:positionH relativeFrom="page">
                  <wp:posOffset>1080820</wp:posOffset>
                </wp:positionH>
                <wp:positionV relativeFrom="paragraph">
                  <wp:posOffset>270605</wp:posOffset>
                </wp:positionV>
                <wp:extent cx="5715000" cy="451484"/>
                <wp:effectExtent l="0" t="0" r="0" b="0"/>
                <wp:wrapTopAndBottom/>
                <wp:docPr id="1030" name="Textbox 1030"/>
                <wp:cNvGraphicFramePr>
                  <a:graphicFrameLocks/>
                </wp:cNvGraphicFramePr>
                <a:graphic>
                  <a:graphicData uri="http://schemas.microsoft.com/office/word/2010/wordprocessingShape">
                    <wps:wsp>
                      <wps:cNvPr id="1030" name="Textbox 1030"/>
                      <wps:cNvSpPr txBox="1"/>
                      <wps:spPr>
                        <a:xfrm>
                          <a:off x="0" y="0"/>
                          <a:ext cx="5715000" cy="451484"/>
                        </a:xfrm>
                        <a:prstGeom prst="rect">
                          <a:avLst/>
                        </a:prstGeom>
                        <a:ln w="6095">
                          <a:solidFill>
                            <a:srgbClr val="000000"/>
                          </a:solidFill>
                          <a:prstDash val="solid"/>
                        </a:ln>
                      </wps:spPr>
                      <wps:txbx>
                        <w:txbxContent>
                          <w:p>
                            <w:pPr>
                              <w:pStyle w:val="BodyText"/>
                              <w:spacing w:line="259" w:lineRule="auto"/>
                              <w:ind w:left="103"/>
                              <w:rPr>
                                <w:b/>
                              </w:rPr>
                            </w:pPr>
                            <w:r>
                              <w:rPr/>
                              <w:t>El</w:t>
                            </w:r>
                            <w:r>
                              <w:rPr>
                                <w:spacing w:val="-2"/>
                              </w:rPr>
                              <w:t> </w:t>
                            </w:r>
                            <w:r>
                              <w:rPr/>
                              <w:t>IMAS</w:t>
                            </w:r>
                            <w:r>
                              <w:rPr>
                                <w:spacing w:val="-1"/>
                              </w:rPr>
                              <w:t> </w:t>
                            </w:r>
                            <w:r>
                              <w:rPr/>
                              <w:t>tiene</w:t>
                            </w:r>
                            <w:r>
                              <w:rPr>
                                <w:spacing w:val="-3"/>
                              </w:rPr>
                              <w:t> </w:t>
                            </w:r>
                            <w:r>
                              <w:rPr/>
                              <w:t>registrado</w:t>
                            </w:r>
                            <w:r>
                              <w:rPr>
                                <w:spacing w:val="-2"/>
                              </w:rPr>
                              <w:t> </w:t>
                            </w:r>
                            <w:r>
                              <w:rPr/>
                              <w:t>bienes</w:t>
                            </w:r>
                            <w:r>
                              <w:rPr>
                                <w:spacing w:val="-1"/>
                              </w:rPr>
                              <w:t> </w:t>
                            </w:r>
                            <w:r>
                              <w:rPr/>
                              <w:t>de</w:t>
                            </w:r>
                            <w:r>
                              <w:rPr>
                                <w:spacing w:val="-4"/>
                              </w:rPr>
                              <w:t> </w:t>
                            </w:r>
                            <w:r>
                              <w:rPr/>
                              <w:t>valor</w:t>
                            </w:r>
                            <w:r>
                              <w:rPr>
                                <w:spacing w:val="-2"/>
                              </w:rPr>
                              <w:t> </w:t>
                            </w:r>
                            <w:r>
                              <w:rPr/>
                              <w:t>artístico</w:t>
                            </w:r>
                            <w:r>
                              <w:rPr>
                                <w:spacing w:val="-2"/>
                              </w:rPr>
                              <w:t> </w:t>
                            </w:r>
                            <w:r>
                              <w:rPr/>
                              <w:t>y</w:t>
                            </w:r>
                            <w:r>
                              <w:rPr>
                                <w:spacing w:val="-3"/>
                              </w:rPr>
                              <w:t> </w:t>
                            </w:r>
                            <w:r>
                              <w:rPr/>
                              <w:t>cultural,</w:t>
                            </w:r>
                            <w:r>
                              <w:rPr>
                                <w:spacing w:val="-2"/>
                              </w:rPr>
                              <w:t> </w:t>
                            </w:r>
                            <w:r>
                              <w:rPr/>
                              <w:t>correspondiente</w:t>
                            </w:r>
                            <w:r>
                              <w:rPr>
                                <w:spacing w:val="-2"/>
                              </w:rPr>
                              <w:t> </w:t>
                            </w:r>
                            <w:r>
                              <w:rPr/>
                              <w:t>a</w:t>
                            </w:r>
                            <w:r>
                              <w:rPr>
                                <w:spacing w:val="-4"/>
                              </w:rPr>
                              <w:t> </w:t>
                            </w:r>
                            <w:r>
                              <w:rPr/>
                              <w:t>obras</w:t>
                            </w:r>
                            <w:r>
                              <w:rPr>
                                <w:spacing w:val="-1"/>
                              </w:rPr>
                              <w:t> </w:t>
                            </w:r>
                            <w:r>
                              <w:rPr/>
                              <w:t>de</w:t>
                            </w:r>
                            <w:r>
                              <w:rPr>
                                <w:spacing w:val="-4"/>
                              </w:rPr>
                              <w:t> </w:t>
                            </w:r>
                            <w:r>
                              <w:rPr/>
                              <w:t>arte</w:t>
                            </w:r>
                            <w:r>
                              <w:rPr>
                                <w:spacing w:val="-3"/>
                              </w:rPr>
                              <w:t> </w:t>
                            </w:r>
                            <w:r>
                              <w:rPr/>
                              <w:t>y esculturas, las mismas no se deprecian, se muestran en el </w:t>
                            </w:r>
                            <w:r>
                              <w:rPr>
                                <w:b/>
                              </w:rPr>
                              <w:t>Anexo No.10</w:t>
                            </w:r>
                          </w:p>
                        </w:txbxContent>
                      </wps:txbx>
                      <wps:bodyPr wrap="square" lIns="0" tIns="0" rIns="0" bIns="0" rtlCol="0">
                        <a:noAutofit/>
                      </wps:bodyPr>
                    </wps:wsp>
                  </a:graphicData>
                </a:graphic>
              </wp:anchor>
            </w:drawing>
          </mc:Choice>
          <mc:Fallback>
            <w:pict>
              <v:shape style="position:absolute;margin-left:85.103996pt;margin-top:21.307495pt;width:450pt;height:35.550pt;mso-position-horizontal-relative:page;mso-position-vertical-relative:paragraph;z-index:-15523840;mso-wrap-distance-left:0;mso-wrap-distance-right:0" type="#_x0000_t202" id="docshape977" filled="false" stroked="true" strokeweight=".47998pt" strokecolor="#000000">
                <v:textbox inset="0,0,0,0">
                  <w:txbxContent>
                    <w:p>
                      <w:pPr>
                        <w:pStyle w:val="BodyText"/>
                        <w:spacing w:line="259" w:lineRule="auto"/>
                        <w:ind w:left="103"/>
                        <w:rPr>
                          <w:b/>
                        </w:rPr>
                      </w:pPr>
                      <w:r>
                        <w:rPr/>
                        <w:t>El</w:t>
                      </w:r>
                      <w:r>
                        <w:rPr>
                          <w:spacing w:val="-2"/>
                        </w:rPr>
                        <w:t> </w:t>
                      </w:r>
                      <w:r>
                        <w:rPr/>
                        <w:t>IMAS</w:t>
                      </w:r>
                      <w:r>
                        <w:rPr>
                          <w:spacing w:val="-1"/>
                        </w:rPr>
                        <w:t> </w:t>
                      </w:r>
                      <w:r>
                        <w:rPr/>
                        <w:t>tiene</w:t>
                      </w:r>
                      <w:r>
                        <w:rPr>
                          <w:spacing w:val="-3"/>
                        </w:rPr>
                        <w:t> </w:t>
                      </w:r>
                      <w:r>
                        <w:rPr/>
                        <w:t>registrado</w:t>
                      </w:r>
                      <w:r>
                        <w:rPr>
                          <w:spacing w:val="-2"/>
                        </w:rPr>
                        <w:t> </w:t>
                      </w:r>
                      <w:r>
                        <w:rPr/>
                        <w:t>bienes</w:t>
                      </w:r>
                      <w:r>
                        <w:rPr>
                          <w:spacing w:val="-1"/>
                        </w:rPr>
                        <w:t> </w:t>
                      </w:r>
                      <w:r>
                        <w:rPr/>
                        <w:t>de</w:t>
                      </w:r>
                      <w:r>
                        <w:rPr>
                          <w:spacing w:val="-4"/>
                        </w:rPr>
                        <w:t> </w:t>
                      </w:r>
                      <w:r>
                        <w:rPr/>
                        <w:t>valor</w:t>
                      </w:r>
                      <w:r>
                        <w:rPr>
                          <w:spacing w:val="-2"/>
                        </w:rPr>
                        <w:t> </w:t>
                      </w:r>
                      <w:r>
                        <w:rPr/>
                        <w:t>artístico</w:t>
                      </w:r>
                      <w:r>
                        <w:rPr>
                          <w:spacing w:val="-2"/>
                        </w:rPr>
                        <w:t> </w:t>
                      </w:r>
                      <w:r>
                        <w:rPr/>
                        <w:t>y</w:t>
                      </w:r>
                      <w:r>
                        <w:rPr>
                          <w:spacing w:val="-3"/>
                        </w:rPr>
                        <w:t> </w:t>
                      </w:r>
                      <w:r>
                        <w:rPr/>
                        <w:t>cultural,</w:t>
                      </w:r>
                      <w:r>
                        <w:rPr>
                          <w:spacing w:val="-2"/>
                        </w:rPr>
                        <w:t> </w:t>
                      </w:r>
                      <w:r>
                        <w:rPr/>
                        <w:t>correspondiente</w:t>
                      </w:r>
                      <w:r>
                        <w:rPr>
                          <w:spacing w:val="-2"/>
                        </w:rPr>
                        <w:t> </w:t>
                      </w:r>
                      <w:r>
                        <w:rPr/>
                        <w:t>a</w:t>
                      </w:r>
                      <w:r>
                        <w:rPr>
                          <w:spacing w:val="-4"/>
                        </w:rPr>
                        <w:t> </w:t>
                      </w:r>
                      <w:r>
                        <w:rPr/>
                        <w:t>obras</w:t>
                      </w:r>
                      <w:r>
                        <w:rPr>
                          <w:spacing w:val="-1"/>
                        </w:rPr>
                        <w:t> </w:t>
                      </w:r>
                      <w:r>
                        <w:rPr/>
                        <w:t>de</w:t>
                      </w:r>
                      <w:r>
                        <w:rPr>
                          <w:spacing w:val="-4"/>
                        </w:rPr>
                        <w:t> </w:t>
                      </w:r>
                      <w:r>
                        <w:rPr/>
                        <w:t>arte</w:t>
                      </w:r>
                      <w:r>
                        <w:rPr>
                          <w:spacing w:val="-3"/>
                        </w:rPr>
                        <w:t> </w:t>
                      </w:r>
                      <w:r>
                        <w:rPr/>
                        <w:t>y esculturas, las mismas no se deprecian, se muestran en el </w:t>
                      </w:r>
                      <w:r>
                        <w:rPr>
                          <w:b/>
                        </w:rPr>
                        <w:t>Anexo No.10</w:t>
                      </w:r>
                    </w:p>
                  </w:txbxContent>
                </v:textbox>
                <v:stroke dashstyle="solid"/>
                <w10:wrap type="topAndBottom"/>
              </v:shape>
            </w:pict>
          </mc:Fallback>
        </mc:AlternateContent>
      </w:r>
    </w:p>
    <w:p>
      <w:pPr>
        <w:pStyle w:val="BodyText"/>
        <w:rPr>
          <w:sz w:val="20"/>
        </w:rPr>
      </w:pPr>
    </w:p>
    <w:p>
      <w:pPr>
        <w:pStyle w:val="BodyText"/>
        <w:spacing w:before="196"/>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
        <w:gridCol w:w="2355"/>
        <w:gridCol w:w="584"/>
        <w:gridCol w:w="1968"/>
        <w:gridCol w:w="1969"/>
        <w:gridCol w:w="1093"/>
      </w:tblGrid>
      <w:tr>
        <w:trPr>
          <w:trHeight w:val="323" w:hRule="atLeast"/>
        </w:trPr>
        <w:tc>
          <w:tcPr>
            <w:tcW w:w="1034" w:type="dxa"/>
            <w:vMerge w:val="restart"/>
            <w:shd w:val="clear" w:color="auto" w:fill="365F92"/>
          </w:tcPr>
          <w:p>
            <w:pPr>
              <w:pStyle w:val="TableParagraph"/>
              <w:spacing w:before="219"/>
              <w:ind w:left="69"/>
              <w:rPr>
                <w:b/>
                <w:sz w:val="20"/>
              </w:rPr>
            </w:pPr>
            <w:r>
              <w:rPr>
                <w:b/>
                <w:color w:val="FFFFFF"/>
                <w:spacing w:val="-2"/>
                <w:sz w:val="20"/>
              </w:rPr>
              <w:t>Cuenta</w:t>
            </w:r>
          </w:p>
        </w:tc>
        <w:tc>
          <w:tcPr>
            <w:tcW w:w="2355" w:type="dxa"/>
            <w:vMerge w:val="restart"/>
            <w:shd w:val="clear" w:color="auto" w:fill="365F92"/>
          </w:tcPr>
          <w:p>
            <w:pPr>
              <w:pStyle w:val="TableParagraph"/>
              <w:spacing w:before="219"/>
              <w:ind w:left="694"/>
              <w:rPr>
                <w:b/>
                <w:sz w:val="20"/>
              </w:rPr>
            </w:pPr>
            <w:r>
              <w:rPr>
                <w:b/>
                <w:color w:val="FFFFFF"/>
                <w:spacing w:val="-2"/>
                <w:sz w:val="20"/>
              </w:rPr>
              <w:t>Descripción</w:t>
            </w:r>
          </w:p>
        </w:tc>
        <w:tc>
          <w:tcPr>
            <w:tcW w:w="584" w:type="dxa"/>
            <w:vMerge w:val="restart"/>
            <w:shd w:val="clear" w:color="auto" w:fill="365F92"/>
          </w:tcPr>
          <w:p>
            <w:pPr>
              <w:pStyle w:val="TableParagraph"/>
              <w:spacing w:before="219"/>
              <w:ind w:left="95"/>
              <w:rPr>
                <w:b/>
                <w:sz w:val="20"/>
              </w:rPr>
            </w:pPr>
            <w:r>
              <w:rPr>
                <w:b/>
                <w:color w:val="FFFFFF"/>
                <w:spacing w:val="-4"/>
                <w:sz w:val="20"/>
              </w:rPr>
              <w:t>Nota</w:t>
            </w:r>
          </w:p>
        </w:tc>
        <w:tc>
          <w:tcPr>
            <w:tcW w:w="1968" w:type="dxa"/>
            <w:vMerge w:val="restart"/>
            <w:shd w:val="clear" w:color="auto" w:fill="365F92"/>
          </w:tcPr>
          <w:p>
            <w:pPr>
              <w:pStyle w:val="TableParagraph"/>
              <w:spacing w:before="219"/>
              <w:ind w:left="409"/>
              <w:rPr>
                <w:b/>
                <w:sz w:val="20"/>
              </w:rPr>
            </w:pPr>
            <w:r>
              <w:rPr>
                <w:b/>
                <w:color w:val="FFFFFF"/>
                <w:sz w:val="20"/>
              </w:rPr>
              <w:t>Periodo</w:t>
            </w:r>
            <w:r>
              <w:rPr>
                <w:b/>
                <w:color w:val="FFFFFF"/>
                <w:spacing w:val="-5"/>
                <w:sz w:val="20"/>
              </w:rPr>
              <w:t> </w:t>
            </w:r>
            <w:r>
              <w:rPr>
                <w:b/>
                <w:color w:val="FFFFFF"/>
                <w:spacing w:val="-2"/>
                <w:sz w:val="20"/>
              </w:rPr>
              <w:t>Actual</w:t>
            </w:r>
          </w:p>
        </w:tc>
        <w:tc>
          <w:tcPr>
            <w:tcW w:w="1969" w:type="dxa"/>
            <w:vMerge w:val="restart"/>
            <w:shd w:val="clear" w:color="auto" w:fill="365F92"/>
          </w:tcPr>
          <w:p>
            <w:pPr>
              <w:pStyle w:val="TableParagraph"/>
              <w:spacing w:before="219"/>
              <w:ind w:left="326"/>
              <w:rPr>
                <w:b/>
                <w:sz w:val="20"/>
              </w:rPr>
            </w:pPr>
            <w:r>
              <w:rPr>
                <w:b/>
                <w:color w:val="FFFFFF"/>
                <w:sz w:val="20"/>
              </w:rPr>
              <w:t>Periodo</w:t>
            </w:r>
            <w:r>
              <w:rPr>
                <w:b/>
                <w:color w:val="FFFFFF"/>
                <w:spacing w:val="-5"/>
                <w:sz w:val="20"/>
              </w:rPr>
              <w:t> </w:t>
            </w:r>
            <w:r>
              <w:rPr>
                <w:b/>
                <w:color w:val="FFFFFF"/>
                <w:spacing w:val="-2"/>
                <w:sz w:val="20"/>
              </w:rPr>
              <w:t>Anterior</w:t>
            </w:r>
          </w:p>
        </w:tc>
        <w:tc>
          <w:tcPr>
            <w:tcW w:w="1093" w:type="dxa"/>
            <w:shd w:val="clear" w:color="auto" w:fill="365F92"/>
          </w:tcPr>
          <w:p>
            <w:pPr>
              <w:pStyle w:val="TableParagraph"/>
              <w:spacing w:before="46"/>
              <w:ind w:left="55" w:right="40"/>
              <w:jc w:val="center"/>
              <w:rPr>
                <w:b/>
                <w:sz w:val="20"/>
              </w:rPr>
            </w:pPr>
            <w:r>
              <w:rPr>
                <w:b/>
                <w:color w:val="FFFFFF"/>
                <w:spacing w:val="-2"/>
                <w:sz w:val="20"/>
              </w:rPr>
              <w:t>Diferencia</w:t>
            </w:r>
          </w:p>
        </w:tc>
      </w:tr>
      <w:tr>
        <w:trPr>
          <w:trHeight w:val="325" w:hRule="atLeast"/>
        </w:trPr>
        <w:tc>
          <w:tcPr>
            <w:tcW w:w="1034" w:type="dxa"/>
            <w:vMerge/>
            <w:tcBorders>
              <w:top w:val="nil"/>
            </w:tcBorders>
            <w:shd w:val="clear" w:color="auto" w:fill="365F92"/>
          </w:tcPr>
          <w:p>
            <w:pPr>
              <w:rPr>
                <w:sz w:val="2"/>
                <w:szCs w:val="2"/>
              </w:rPr>
            </w:pPr>
          </w:p>
        </w:tc>
        <w:tc>
          <w:tcPr>
            <w:tcW w:w="2355" w:type="dxa"/>
            <w:vMerge/>
            <w:tcBorders>
              <w:top w:val="nil"/>
            </w:tcBorders>
            <w:shd w:val="clear" w:color="auto" w:fill="365F92"/>
          </w:tcPr>
          <w:p>
            <w:pPr>
              <w:rPr>
                <w:sz w:val="2"/>
                <w:szCs w:val="2"/>
              </w:rPr>
            </w:pPr>
          </w:p>
        </w:tc>
        <w:tc>
          <w:tcPr>
            <w:tcW w:w="584" w:type="dxa"/>
            <w:vMerge/>
            <w:tcBorders>
              <w:top w:val="nil"/>
            </w:tcBorders>
            <w:shd w:val="clear" w:color="auto" w:fill="365F92"/>
          </w:tcPr>
          <w:p>
            <w:pPr>
              <w:rPr>
                <w:sz w:val="2"/>
                <w:szCs w:val="2"/>
              </w:rPr>
            </w:pPr>
          </w:p>
        </w:tc>
        <w:tc>
          <w:tcPr>
            <w:tcW w:w="1968" w:type="dxa"/>
            <w:vMerge/>
            <w:tcBorders>
              <w:top w:val="nil"/>
            </w:tcBorders>
            <w:shd w:val="clear" w:color="auto" w:fill="365F92"/>
          </w:tcPr>
          <w:p>
            <w:pPr>
              <w:rPr>
                <w:sz w:val="2"/>
                <w:szCs w:val="2"/>
              </w:rPr>
            </w:pPr>
          </w:p>
        </w:tc>
        <w:tc>
          <w:tcPr>
            <w:tcW w:w="1969" w:type="dxa"/>
            <w:vMerge/>
            <w:tcBorders>
              <w:top w:val="nil"/>
            </w:tcBorders>
            <w:shd w:val="clear" w:color="auto" w:fill="365F92"/>
          </w:tcPr>
          <w:p>
            <w:pPr>
              <w:rPr>
                <w:sz w:val="2"/>
                <w:szCs w:val="2"/>
              </w:rPr>
            </w:pPr>
          </w:p>
        </w:tc>
        <w:tc>
          <w:tcPr>
            <w:tcW w:w="1093" w:type="dxa"/>
            <w:shd w:val="clear" w:color="auto" w:fill="365F92"/>
          </w:tcPr>
          <w:p>
            <w:pPr>
              <w:pStyle w:val="TableParagraph"/>
              <w:spacing w:before="49"/>
              <w:ind w:left="55" w:right="41"/>
              <w:jc w:val="center"/>
              <w:rPr>
                <w:sz w:val="20"/>
              </w:rPr>
            </w:pPr>
            <w:r>
              <w:rPr>
                <w:color w:val="FFFFFF"/>
                <w:spacing w:val="-10"/>
                <w:sz w:val="20"/>
              </w:rPr>
              <w:t>%</w:t>
            </w:r>
          </w:p>
        </w:tc>
      </w:tr>
      <w:tr>
        <w:trPr>
          <w:trHeight w:val="458" w:hRule="atLeast"/>
        </w:trPr>
        <w:tc>
          <w:tcPr>
            <w:tcW w:w="1034" w:type="dxa"/>
          </w:tcPr>
          <w:p>
            <w:pPr>
              <w:pStyle w:val="TableParagraph"/>
              <w:spacing w:before="114"/>
              <w:ind w:left="69"/>
              <w:rPr>
                <w:b/>
                <w:sz w:val="20"/>
              </w:rPr>
            </w:pPr>
            <w:r>
              <w:rPr>
                <w:b/>
                <w:spacing w:val="-2"/>
                <w:sz w:val="20"/>
              </w:rPr>
              <w:t>1.2.5.06.</w:t>
            </w:r>
          </w:p>
        </w:tc>
        <w:tc>
          <w:tcPr>
            <w:tcW w:w="2355" w:type="dxa"/>
          </w:tcPr>
          <w:p>
            <w:pPr>
              <w:pStyle w:val="TableParagraph"/>
              <w:spacing w:line="230" w:lineRule="atLeast"/>
              <w:ind w:left="67"/>
              <w:rPr>
                <w:b/>
                <w:sz w:val="20"/>
              </w:rPr>
            </w:pPr>
            <w:r>
              <w:rPr>
                <w:b/>
                <w:sz w:val="20"/>
              </w:rPr>
              <w:t>Recursos</w:t>
            </w:r>
            <w:r>
              <w:rPr>
                <w:b/>
                <w:spacing w:val="-13"/>
                <w:sz w:val="20"/>
              </w:rPr>
              <w:t> </w:t>
            </w:r>
            <w:r>
              <w:rPr>
                <w:b/>
                <w:sz w:val="20"/>
              </w:rPr>
              <w:t>naturales</w:t>
            </w:r>
            <w:r>
              <w:rPr>
                <w:b/>
                <w:spacing w:val="-12"/>
                <w:sz w:val="20"/>
              </w:rPr>
              <w:t> </w:t>
            </w:r>
            <w:r>
              <w:rPr>
                <w:b/>
                <w:sz w:val="20"/>
              </w:rPr>
              <w:t>en </w:t>
            </w:r>
            <w:r>
              <w:rPr>
                <w:b/>
                <w:spacing w:val="-2"/>
                <w:sz w:val="20"/>
              </w:rPr>
              <w:t>explotación</w:t>
            </w:r>
          </w:p>
        </w:tc>
        <w:tc>
          <w:tcPr>
            <w:tcW w:w="584" w:type="dxa"/>
          </w:tcPr>
          <w:p>
            <w:pPr>
              <w:pStyle w:val="TableParagraph"/>
              <w:spacing w:before="114"/>
              <w:ind w:left="191"/>
              <w:rPr>
                <w:b/>
                <w:sz w:val="20"/>
              </w:rPr>
            </w:pPr>
            <w:r>
              <w:rPr>
                <w:b/>
                <w:spacing w:val="-5"/>
                <w:sz w:val="20"/>
              </w:rPr>
              <w:t>10</w:t>
            </w:r>
          </w:p>
        </w:tc>
        <w:tc>
          <w:tcPr>
            <w:tcW w:w="1968" w:type="dxa"/>
          </w:tcPr>
          <w:p>
            <w:pPr>
              <w:pStyle w:val="TableParagraph"/>
              <w:spacing w:before="114"/>
              <w:ind w:left="16"/>
              <w:jc w:val="center"/>
              <w:rPr>
                <w:b/>
                <w:sz w:val="20"/>
              </w:rPr>
            </w:pPr>
            <w:r>
              <w:rPr>
                <w:b/>
                <w:spacing w:val="-4"/>
                <w:sz w:val="20"/>
              </w:rPr>
              <w:t>0,00</w:t>
            </w:r>
          </w:p>
        </w:tc>
        <w:tc>
          <w:tcPr>
            <w:tcW w:w="1969" w:type="dxa"/>
          </w:tcPr>
          <w:p>
            <w:pPr>
              <w:pStyle w:val="TableParagraph"/>
              <w:spacing w:before="114"/>
              <w:ind w:left="15"/>
              <w:jc w:val="center"/>
              <w:rPr>
                <w:b/>
                <w:sz w:val="20"/>
              </w:rPr>
            </w:pPr>
            <w:r>
              <w:rPr>
                <w:b/>
                <w:spacing w:val="-4"/>
                <w:sz w:val="20"/>
              </w:rPr>
              <w:t>0,00</w:t>
            </w:r>
          </w:p>
        </w:tc>
        <w:tc>
          <w:tcPr>
            <w:tcW w:w="1093" w:type="dxa"/>
          </w:tcPr>
          <w:p>
            <w:pPr>
              <w:pStyle w:val="TableParagraph"/>
              <w:spacing w:before="114"/>
              <w:ind w:left="55" w:right="38"/>
              <w:jc w:val="center"/>
              <w:rPr>
                <w:b/>
                <w:sz w:val="20"/>
              </w:rPr>
            </w:pPr>
            <w:r>
              <w:rPr>
                <w:b/>
                <w:spacing w:val="-2"/>
                <w:sz w:val="20"/>
              </w:rPr>
              <w:t>0,00%</w:t>
            </w:r>
          </w:p>
        </w:tc>
      </w:tr>
    </w:tbl>
    <w:p>
      <w:pPr>
        <w:pStyle w:val="BodyText"/>
        <w:rPr>
          <w:sz w:val="20"/>
        </w:rPr>
      </w:pPr>
    </w:p>
    <w:p>
      <w:pPr>
        <w:pStyle w:val="BodyText"/>
        <w:spacing w:before="165"/>
        <w:rPr>
          <w:sz w:val="20"/>
        </w:rPr>
      </w:pPr>
      <w:r>
        <w:rPr>
          <w:sz w:val="20"/>
        </w:rPr>
        <mc:AlternateContent>
          <mc:Choice Requires="wps">
            <w:drawing>
              <wp:anchor distT="0" distB="0" distL="0" distR="0" allowOverlap="1" layoutInCell="1" locked="0" behindDoc="1" simplePos="0" relativeHeight="487793152">
                <wp:simplePos x="0" y="0"/>
                <wp:positionH relativeFrom="page">
                  <wp:posOffset>1080820</wp:posOffset>
                </wp:positionH>
                <wp:positionV relativeFrom="paragraph">
                  <wp:posOffset>268271</wp:posOffset>
                </wp:positionV>
                <wp:extent cx="5715000" cy="538480"/>
                <wp:effectExtent l="0" t="0" r="0" b="0"/>
                <wp:wrapTopAndBottom/>
                <wp:docPr id="1031" name="Textbox 1031"/>
                <wp:cNvGraphicFramePr>
                  <a:graphicFrameLocks/>
                </wp:cNvGraphicFramePr>
                <a:graphic>
                  <a:graphicData uri="http://schemas.microsoft.com/office/word/2010/wordprocessingShape">
                    <wps:wsp>
                      <wps:cNvPr id="1031" name="Textbox 1031"/>
                      <wps:cNvSpPr txBox="1"/>
                      <wps:spPr>
                        <a:xfrm>
                          <a:off x="0" y="0"/>
                          <a:ext cx="5715000" cy="538480"/>
                        </a:xfrm>
                        <a:prstGeom prst="rect">
                          <a:avLst/>
                        </a:prstGeom>
                        <a:ln w="6095">
                          <a:solidFill>
                            <a:srgbClr val="000000"/>
                          </a:solidFill>
                          <a:prstDash val="solid"/>
                        </a:ln>
                      </wps:spPr>
                      <wps:txbx>
                        <w:txbxContent>
                          <w:p>
                            <w:pPr>
                              <w:spacing w:line="227" w:lineRule="exact" w:before="0"/>
                              <w:ind w:left="103" w:right="0" w:firstLine="0"/>
                              <w:jc w:val="left"/>
                              <w:rPr>
                                <w:sz w:val="20"/>
                              </w:rPr>
                            </w:pPr>
                            <w:r>
                              <w:rPr>
                                <w:b/>
                                <w:color w:val="1F4E79"/>
                                <w:spacing w:val="-2"/>
                                <w:sz w:val="20"/>
                                <w:u w:val="single" w:color="1F4E79"/>
                              </w:rPr>
                              <w:t>Revelación</w:t>
                            </w:r>
                            <w:r>
                              <w:rPr>
                                <w:spacing w:val="-2"/>
                                <w:sz w:val="20"/>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1.123751pt;width:450pt;height:42.4pt;mso-position-horizontal-relative:page;mso-position-vertical-relative:paragraph;z-index:-15523328;mso-wrap-distance-left:0;mso-wrap-distance-right:0" type="#_x0000_t202" id="docshape978" filled="false" stroked="true" strokeweight=".47998pt" strokecolor="#000000">
                <v:textbox inset="0,0,0,0">
                  <w:txbxContent>
                    <w:p>
                      <w:pPr>
                        <w:spacing w:line="227" w:lineRule="exact" w:before="0"/>
                        <w:ind w:left="103" w:right="0" w:firstLine="0"/>
                        <w:jc w:val="left"/>
                        <w:rPr>
                          <w:sz w:val="20"/>
                        </w:rPr>
                      </w:pPr>
                      <w:r>
                        <w:rPr>
                          <w:b/>
                          <w:color w:val="1F4E79"/>
                          <w:spacing w:val="-2"/>
                          <w:sz w:val="20"/>
                          <w:u w:val="single" w:color="1F4E79"/>
                        </w:rPr>
                        <w:t>Revelación</w:t>
                      </w:r>
                      <w:r>
                        <w:rPr>
                          <w:spacing w:val="-2"/>
                          <w:sz w:val="20"/>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196"/>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
        <w:gridCol w:w="2431"/>
        <w:gridCol w:w="597"/>
        <w:gridCol w:w="2011"/>
        <w:gridCol w:w="2010"/>
        <w:gridCol w:w="1115"/>
      </w:tblGrid>
      <w:tr>
        <w:trPr>
          <w:trHeight w:val="296" w:hRule="atLeast"/>
        </w:trPr>
        <w:tc>
          <w:tcPr>
            <w:tcW w:w="1034" w:type="dxa"/>
            <w:vMerge w:val="restart"/>
            <w:shd w:val="clear" w:color="auto" w:fill="365F92"/>
          </w:tcPr>
          <w:p>
            <w:pPr>
              <w:pStyle w:val="TableParagraph"/>
              <w:spacing w:before="190"/>
              <w:ind w:left="69"/>
              <w:rPr>
                <w:b/>
                <w:sz w:val="20"/>
              </w:rPr>
            </w:pPr>
            <w:r>
              <w:rPr>
                <w:b/>
                <w:color w:val="FFFFFF"/>
                <w:spacing w:val="-2"/>
                <w:sz w:val="20"/>
              </w:rPr>
              <w:t>Cuenta</w:t>
            </w:r>
          </w:p>
        </w:tc>
        <w:tc>
          <w:tcPr>
            <w:tcW w:w="2431" w:type="dxa"/>
            <w:vMerge w:val="restart"/>
            <w:shd w:val="clear" w:color="auto" w:fill="365F92"/>
          </w:tcPr>
          <w:p>
            <w:pPr>
              <w:pStyle w:val="TableParagraph"/>
              <w:spacing w:before="190"/>
              <w:ind w:left="732"/>
              <w:rPr>
                <w:b/>
                <w:sz w:val="20"/>
              </w:rPr>
            </w:pPr>
            <w:r>
              <w:rPr>
                <w:b/>
                <w:color w:val="FFFFFF"/>
                <w:spacing w:val="-2"/>
                <w:sz w:val="20"/>
              </w:rPr>
              <w:t>Descripción</w:t>
            </w:r>
          </w:p>
        </w:tc>
        <w:tc>
          <w:tcPr>
            <w:tcW w:w="597" w:type="dxa"/>
            <w:vMerge w:val="restart"/>
            <w:shd w:val="clear" w:color="auto" w:fill="365F92"/>
          </w:tcPr>
          <w:p>
            <w:pPr>
              <w:pStyle w:val="TableParagraph"/>
              <w:spacing w:before="190"/>
              <w:ind w:left="101"/>
              <w:rPr>
                <w:b/>
                <w:sz w:val="20"/>
              </w:rPr>
            </w:pPr>
            <w:r>
              <w:rPr>
                <w:b/>
                <w:color w:val="FFFFFF"/>
                <w:spacing w:val="-4"/>
                <w:sz w:val="20"/>
              </w:rPr>
              <w:t>Nota</w:t>
            </w:r>
          </w:p>
        </w:tc>
        <w:tc>
          <w:tcPr>
            <w:tcW w:w="2011" w:type="dxa"/>
            <w:vMerge w:val="restart"/>
            <w:shd w:val="clear" w:color="auto" w:fill="365F92"/>
          </w:tcPr>
          <w:p>
            <w:pPr>
              <w:pStyle w:val="TableParagraph"/>
              <w:spacing w:before="190"/>
              <w:ind w:left="433"/>
              <w:rPr>
                <w:b/>
                <w:sz w:val="20"/>
              </w:rPr>
            </w:pPr>
            <w:r>
              <w:rPr>
                <w:b/>
                <w:color w:val="FFFFFF"/>
                <w:sz w:val="20"/>
              </w:rPr>
              <w:t>Periodo</w:t>
            </w:r>
            <w:r>
              <w:rPr>
                <w:b/>
                <w:color w:val="FFFFFF"/>
                <w:spacing w:val="-5"/>
                <w:sz w:val="20"/>
              </w:rPr>
              <w:t> </w:t>
            </w:r>
            <w:r>
              <w:rPr>
                <w:b/>
                <w:color w:val="FFFFFF"/>
                <w:spacing w:val="-2"/>
                <w:sz w:val="20"/>
              </w:rPr>
              <w:t>Actual</w:t>
            </w:r>
          </w:p>
        </w:tc>
        <w:tc>
          <w:tcPr>
            <w:tcW w:w="2010" w:type="dxa"/>
            <w:vMerge w:val="restart"/>
            <w:shd w:val="clear" w:color="auto" w:fill="365F92"/>
          </w:tcPr>
          <w:p>
            <w:pPr>
              <w:pStyle w:val="TableParagraph"/>
              <w:spacing w:before="190"/>
              <w:ind w:left="350"/>
              <w:rPr>
                <w:b/>
                <w:sz w:val="20"/>
              </w:rPr>
            </w:pPr>
            <w:r>
              <w:rPr>
                <w:b/>
                <w:color w:val="FFFFFF"/>
                <w:sz w:val="20"/>
              </w:rPr>
              <w:t>Periodo</w:t>
            </w:r>
            <w:r>
              <w:rPr>
                <w:b/>
                <w:color w:val="FFFFFF"/>
                <w:spacing w:val="-5"/>
                <w:sz w:val="20"/>
              </w:rPr>
              <w:t> </w:t>
            </w:r>
            <w:r>
              <w:rPr>
                <w:b/>
                <w:color w:val="FFFFFF"/>
                <w:spacing w:val="-2"/>
                <w:sz w:val="20"/>
              </w:rPr>
              <w:t>Anterior</w:t>
            </w:r>
          </w:p>
        </w:tc>
        <w:tc>
          <w:tcPr>
            <w:tcW w:w="1115" w:type="dxa"/>
            <w:shd w:val="clear" w:color="auto" w:fill="365F92"/>
          </w:tcPr>
          <w:p>
            <w:pPr>
              <w:pStyle w:val="TableParagraph"/>
              <w:spacing w:before="32"/>
              <w:ind w:left="29" w:right="3"/>
              <w:jc w:val="center"/>
              <w:rPr>
                <w:b/>
                <w:sz w:val="20"/>
              </w:rPr>
            </w:pPr>
            <w:r>
              <w:rPr>
                <w:b/>
                <w:color w:val="FFFFFF"/>
                <w:spacing w:val="-2"/>
                <w:sz w:val="20"/>
              </w:rPr>
              <w:t>Diferencia</w:t>
            </w:r>
          </w:p>
        </w:tc>
      </w:tr>
      <w:tr>
        <w:trPr>
          <w:trHeight w:val="296" w:hRule="atLeast"/>
        </w:trPr>
        <w:tc>
          <w:tcPr>
            <w:tcW w:w="1034" w:type="dxa"/>
            <w:vMerge/>
            <w:tcBorders>
              <w:top w:val="nil"/>
            </w:tcBorders>
            <w:shd w:val="clear" w:color="auto" w:fill="365F92"/>
          </w:tcPr>
          <w:p>
            <w:pPr>
              <w:rPr>
                <w:sz w:val="2"/>
                <w:szCs w:val="2"/>
              </w:rPr>
            </w:pPr>
          </w:p>
        </w:tc>
        <w:tc>
          <w:tcPr>
            <w:tcW w:w="2431" w:type="dxa"/>
            <w:vMerge/>
            <w:tcBorders>
              <w:top w:val="nil"/>
            </w:tcBorders>
            <w:shd w:val="clear" w:color="auto" w:fill="365F92"/>
          </w:tcPr>
          <w:p>
            <w:pPr>
              <w:rPr>
                <w:sz w:val="2"/>
                <w:szCs w:val="2"/>
              </w:rPr>
            </w:pPr>
          </w:p>
        </w:tc>
        <w:tc>
          <w:tcPr>
            <w:tcW w:w="597" w:type="dxa"/>
            <w:vMerge/>
            <w:tcBorders>
              <w:top w:val="nil"/>
            </w:tcBorders>
            <w:shd w:val="clear" w:color="auto" w:fill="365F92"/>
          </w:tcPr>
          <w:p>
            <w:pPr>
              <w:rPr>
                <w:sz w:val="2"/>
                <w:szCs w:val="2"/>
              </w:rPr>
            </w:pPr>
          </w:p>
        </w:tc>
        <w:tc>
          <w:tcPr>
            <w:tcW w:w="2011" w:type="dxa"/>
            <w:vMerge/>
            <w:tcBorders>
              <w:top w:val="nil"/>
            </w:tcBorders>
            <w:shd w:val="clear" w:color="auto" w:fill="365F92"/>
          </w:tcPr>
          <w:p>
            <w:pPr>
              <w:rPr>
                <w:sz w:val="2"/>
                <w:szCs w:val="2"/>
              </w:rPr>
            </w:pPr>
          </w:p>
        </w:tc>
        <w:tc>
          <w:tcPr>
            <w:tcW w:w="2010" w:type="dxa"/>
            <w:vMerge/>
            <w:tcBorders>
              <w:top w:val="nil"/>
            </w:tcBorders>
            <w:shd w:val="clear" w:color="auto" w:fill="365F92"/>
          </w:tcPr>
          <w:p>
            <w:pPr>
              <w:rPr>
                <w:sz w:val="2"/>
                <w:szCs w:val="2"/>
              </w:rPr>
            </w:pPr>
          </w:p>
        </w:tc>
        <w:tc>
          <w:tcPr>
            <w:tcW w:w="1115" w:type="dxa"/>
            <w:shd w:val="clear" w:color="auto" w:fill="365F92"/>
          </w:tcPr>
          <w:p>
            <w:pPr>
              <w:pStyle w:val="TableParagraph"/>
              <w:spacing w:before="32"/>
              <w:ind w:left="29" w:right="4"/>
              <w:jc w:val="center"/>
              <w:rPr>
                <w:sz w:val="20"/>
              </w:rPr>
            </w:pPr>
            <w:r>
              <w:rPr>
                <w:color w:val="FFFFFF"/>
                <w:spacing w:val="-10"/>
                <w:sz w:val="20"/>
              </w:rPr>
              <w:t>%</w:t>
            </w:r>
          </w:p>
        </w:tc>
      </w:tr>
      <w:tr>
        <w:trPr>
          <w:trHeight w:val="455" w:hRule="atLeast"/>
        </w:trPr>
        <w:tc>
          <w:tcPr>
            <w:tcW w:w="1034" w:type="dxa"/>
          </w:tcPr>
          <w:p>
            <w:pPr>
              <w:pStyle w:val="TableParagraph"/>
              <w:spacing w:before="114"/>
              <w:ind w:left="69"/>
              <w:rPr>
                <w:b/>
                <w:sz w:val="20"/>
              </w:rPr>
            </w:pPr>
            <w:r>
              <w:rPr>
                <w:b/>
                <w:spacing w:val="-2"/>
                <w:sz w:val="20"/>
              </w:rPr>
              <w:t>1.2.5.07.</w:t>
            </w:r>
          </w:p>
        </w:tc>
        <w:tc>
          <w:tcPr>
            <w:tcW w:w="2431" w:type="dxa"/>
          </w:tcPr>
          <w:p>
            <w:pPr>
              <w:pStyle w:val="TableParagraph"/>
              <w:spacing w:line="227" w:lineRule="exact"/>
              <w:ind w:left="69"/>
              <w:rPr>
                <w:b/>
                <w:sz w:val="20"/>
              </w:rPr>
            </w:pPr>
            <w:r>
              <w:rPr>
                <w:b/>
                <w:sz w:val="20"/>
              </w:rPr>
              <w:t>Recursos</w:t>
            </w:r>
            <w:r>
              <w:rPr>
                <w:b/>
                <w:spacing w:val="-8"/>
                <w:sz w:val="20"/>
              </w:rPr>
              <w:t> </w:t>
            </w:r>
            <w:r>
              <w:rPr>
                <w:b/>
                <w:sz w:val="20"/>
              </w:rPr>
              <w:t>naturales</w:t>
            </w:r>
            <w:r>
              <w:rPr>
                <w:b/>
                <w:spacing w:val="-5"/>
                <w:sz w:val="20"/>
              </w:rPr>
              <w:t> en</w:t>
            </w:r>
          </w:p>
          <w:p>
            <w:pPr>
              <w:pStyle w:val="TableParagraph"/>
              <w:spacing w:line="209" w:lineRule="exact"/>
              <w:ind w:left="69"/>
              <w:rPr>
                <w:b/>
                <w:sz w:val="20"/>
              </w:rPr>
            </w:pPr>
            <w:r>
              <w:rPr>
                <w:b/>
                <w:spacing w:val="-2"/>
                <w:sz w:val="20"/>
              </w:rPr>
              <w:t>conservación</w:t>
            </w:r>
          </w:p>
        </w:tc>
        <w:tc>
          <w:tcPr>
            <w:tcW w:w="597" w:type="dxa"/>
          </w:tcPr>
          <w:p>
            <w:pPr>
              <w:pStyle w:val="TableParagraph"/>
              <w:spacing w:before="114"/>
              <w:ind w:left="197"/>
              <w:rPr>
                <w:b/>
                <w:sz w:val="20"/>
              </w:rPr>
            </w:pPr>
            <w:r>
              <w:rPr>
                <w:b/>
                <w:spacing w:val="-5"/>
                <w:sz w:val="20"/>
              </w:rPr>
              <w:t>10</w:t>
            </w:r>
          </w:p>
        </w:tc>
        <w:tc>
          <w:tcPr>
            <w:tcW w:w="2011" w:type="dxa"/>
          </w:tcPr>
          <w:p>
            <w:pPr>
              <w:pStyle w:val="TableParagraph"/>
              <w:spacing w:before="114"/>
              <w:ind w:left="21"/>
              <w:jc w:val="center"/>
              <w:rPr>
                <w:b/>
                <w:sz w:val="20"/>
              </w:rPr>
            </w:pPr>
            <w:r>
              <w:rPr>
                <w:b/>
                <w:spacing w:val="-4"/>
                <w:sz w:val="20"/>
              </w:rPr>
              <w:t>0,00</w:t>
            </w:r>
          </w:p>
        </w:tc>
        <w:tc>
          <w:tcPr>
            <w:tcW w:w="2010" w:type="dxa"/>
          </w:tcPr>
          <w:p>
            <w:pPr>
              <w:pStyle w:val="TableParagraph"/>
              <w:spacing w:before="114"/>
              <w:ind w:left="23"/>
              <w:jc w:val="center"/>
              <w:rPr>
                <w:b/>
                <w:sz w:val="20"/>
              </w:rPr>
            </w:pPr>
            <w:r>
              <w:rPr>
                <w:b/>
                <w:spacing w:val="-4"/>
                <w:sz w:val="20"/>
              </w:rPr>
              <w:t>0,00</w:t>
            </w:r>
          </w:p>
        </w:tc>
        <w:tc>
          <w:tcPr>
            <w:tcW w:w="1115" w:type="dxa"/>
          </w:tcPr>
          <w:p>
            <w:pPr>
              <w:pStyle w:val="TableParagraph"/>
              <w:spacing w:before="114"/>
              <w:ind w:left="29"/>
              <w:jc w:val="center"/>
              <w:rPr>
                <w:b/>
                <w:sz w:val="20"/>
              </w:rPr>
            </w:pPr>
            <w:r>
              <w:rPr>
                <w:b/>
                <w:spacing w:val="-2"/>
                <w:sz w:val="20"/>
              </w:rPr>
              <w:t>0,00%</w:t>
            </w:r>
          </w:p>
        </w:tc>
      </w:tr>
    </w:tbl>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793664">
                <wp:simplePos x="0" y="0"/>
                <wp:positionH relativeFrom="page">
                  <wp:posOffset>1080820</wp:posOffset>
                </wp:positionH>
                <wp:positionV relativeFrom="paragraph">
                  <wp:posOffset>285797</wp:posOffset>
                </wp:positionV>
                <wp:extent cx="5715000" cy="553720"/>
                <wp:effectExtent l="0" t="0" r="0" b="0"/>
                <wp:wrapTopAndBottom/>
                <wp:docPr id="1032" name="Textbox 1032"/>
                <wp:cNvGraphicFramePr>
                  <a:graphicFrameLocks/>
                </wp:cNvGraphicFramePr>
                <a:graphic>
                  <a:graphicData uri="http://schemas.microsoft.com/office/word/2010/wordprocessingShape">
                    <wps:wsp>
                      <wps:cNvPr id="1032" name="Textbox 1032"/>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2.503735pt;width:450pt;height:43.6pt;mso-position-horizontal-relative:page;mso-position-vertical-relative:paragraph;z-index:-15522816;mso-wrap-distance-left:0;mso-wrap-distance-right:0" type="#_x0000_t202" id="docshape97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220"/>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
        <w:gridCol w:w="2347"/>
        <w:gridCol w:w="585"/>
        <w:gridCol w:w="1965"/>
        <w:gridCol w:w="1966"/>
        <w:gridCol w:w="1090"/>
      </w:tblGrid>
      <w:tr>
        <w:trPr>
          <w:trHeight w:val="332" w:hRule="atLeast"/>
        </w:trPr>
        <w:tc>
          <w:tcPr>
            <w:tcW w:w="1034" w:type="dxa"/>
            <w:vMerge w:val="restart"/>
            <w:shd w:val="clear" w:color="auto" w:fill="365F92"/>
          </w:tcPr>
          <w:p>
            <w:pPr>
              <w:pStyle w:val="TableParagraph"/>
              <w:spacing w:before="216"/>
              <w:ind w:left="69"/>
              <w:rPr>
                <w:b/>
                <w:sz w:val="22"/>
              </w:rPr>
            </w:pPr>
            <w:r>
              <w:rPr>
                <w:b/>
                <w:color w:val="FFFFFF"/>
                <w:spacing w:val="-2"/>
                <w:sz w:val="22"/>
              </w:rPr>
              <w:t>Cuenta</w:t>
            </w:r>
          </w:p>
        </w:tc>
        <w:tc>
          <w:tcPr>
            <w:tcW w:w="2347" w:type="dxa"/>
            <w:vMerge w:val="restart"/>
            <w:shd w:val="clear" w:color="auto" w:fill="365F92"/>
          </w:tcPr>
          <w:p>
            <w:pPr>
              <w:pStyle w:val="TableParagraph"/>
              <w:spacing w:before="216"/>
              <w:ind w:left="641"/>
              <w:rPr>
                <w:b/>
                <w:sz w:val="22"/>
              </w:rPr>
            </w:pPr>
            <w:r>
              <w:rPr>
                <w:b/>
                <w:color w:val="FFFFFF"/>
                <w:spacing w:val="-2"/>
                <w:sz w:val="22"/>
              </w:rPr>
              <w:t>Descripción</w:t>
            </w:r>
          </w:p>
        </w:tc>
        <w:tc>
          <w:tcPr>
            <w:tcW w:w="585" w:type="dxa"/>
            <w:vMerge w:val="restart"/>
            <w:shd w:val="clear" w:color="auto" w:fill="365F92"/>
          </w:tcPr>
          <w:p>
            <w:pPr>
              <w:pStyle w:val="TableParagraph"/>
              <w:spacing w:before="216"/>
              <w:ind w:left="75"/>
              <w:rPr>
                <w:b/>
                <w:sz w:val="22"/>
              </w:rPr>
            </w:pPr>
            <w:r>
              <w:rPr>
                <w:b/>
                <w:color w:val="FFFFFF"/>
                <w:spacing w:val="-4"/>
                <w:sz w:val="22"/>
              </w:rPr>
              <w:t>Nota</w:t>
            </w:r>
          </w:p>
        </w:tc>
        <w:tc>
          <w:tcPr>
            <w:tcW w:w="1965" w:type="dxa"/>
            <w:vMerge w:val="restart"/>
            <w:shd w:val="clear" w:color="auto" w:fill="365F92"/>
          </w:tcPr>
          <w:p>
            <w:pPr>
              <w:pStyle w:val="TableParagraph"/>
              <w:spacing w:before="216"/>
              <w:ind w:left="352"/>
              <w:rPr>
                <w:b/>
                <w:sz w:val="22"/>
              </w:rPr>
            </w:pPr>
            <w:r>
              <w:rPr>
                <w:b/>
                <w:color w:val="FFFFFF"/>
                <w:sz w:val="22"/>
              </w:rPr>
              <w:t>Periodo</w:t>
            </w:r>
            <w:r>
              <w:rPr>
                <w:b/>
                <w:color w:val="FFFFFF"/>
                <w:spacing w:val="-4"/>
                <w:sz w:val="22"/>
              </w:rPr>
              <w:t> </w:t>
            </w:r>
            <w:r>
              <w:rPr>
                <w:b/>
                <w:color w:val="FFFFFF"/>
                <w:spacing w:val="-2"/>
                <w:sz w:val="22"/>
              </w:rPr>
              <w:t>Actual</w:t>
            </w:r>
          </w:p>
        </w:tc>
        <w:tc>
          <w:tcPr>
            <w:tcW w:w="1966" w:type="dxa"/>
            <w:vMerge w:val="restart"/>
            <w:shd w:val="clear" w:color="auto" w:fill="365F92"/>
          </w:tcPr>
          <w:p>
            <w:pPr>
              <w:pStyle w:val="TableParagraph"/>
              <w:spacing w:before="216"/>
              <w:ind w:left="259"/>
              <w:rPr>
                <w:b/>
                <w:sz w:val="22"/>
              </w:rPr>
            </w:pPr>
            <w:r>
              <w:rPr>
                <w:b/>
                <w:color w:val="FFFFFF"/>
                <w:sz w:val="22"/>
              </w:rPr>
              <w:t>Periodo</w:t>
            </w:r>
            <w:r>
              <w:rPr>
                <w:b/>
                <w:color w:val="FFFFFF"/>
                <w:spacing w:val="-4"/>
                <w:sz w:val="22"/>
              </w:rPr>
              <w:t> </w:t>
            </w:r>
            <w:r>
              <w:rPr>
                <w:b/>
                <w:color w:val="FFFFFF"/>
                <w:spacing w:val="-2"/>
                <w:sz w:val="22"/>
              </w:rPr>
              <w:t>Anterior</w:t>
            </w:r>
          </w:p>
        </w:tc>
        <w:tc>
          <w:tcPr>
            <w:tcW w:w="1090" w:type="dxa"/>
            <w:shd w:val="clear" w:color="auto" w:fill="365F92"/>
          </w:tcPr>
          <w:p>
            <w:pPr>
              <w:pStyle w:val="TableParagraph"/>
              <w:spacing w:before="41"/>
              <w:ind w:left="25" w:right="3"/>
              <w:jc w:val="center"/>
              <w:rPr>
                <w:b/>
                <w:sz w:val="22"/>
              </w:rPr>
            </w:pPr>
            <w:r>
              <w:rPr>
                <w:b/>
                <w:color w:val="FFFFFF"/>
                <w:spacing w:val="-2"/>
                <w:sz w:val="22"/>
              </w:rPr>
              <w:t>Diferencia</w:t>
            </w:r>
          </w:p>
        </w:tc>
      </w:tr>
      <w:tr>
        <w:trPr>
          <w:trHeight w:val="332" w:hRule="atLeast"/>
        </w:trPr>
        <w:tc>
          <w:tcPr>
            <w:tcW w:w="1034" w:type="dxa"/>
            <w:vMerge/>
            <w:tcBorders>
              <w:top w:val="nil"/>
            </w:tcBorders>
            <w:shd w:val="clear" w:color="auto" w:fill="365F92"/>
          </w:tcPr>
          <w:p>
            <w:pPr>
              <w:rPr>
                <w:sz w:val="2"/>
                <w:szCs w:val="2"/>
              </w:rPr>
            </w:pPr>
          </w:p>
        </w:tc>
        <w:tc>
          <w:tcPr>
            <w:tcW w:w="2347" w:type="dxa"/>
            <w:vMerge/>
            <w:tcBorders>
              <w:top w:val="nil"/>
            </w:tcBorders>
            <w:shd w:val="clear" w:color="auto" w:fill="365F92"/>
          </w:tcPr>
          <w:p>
            <w:pPr>
              <w:rPr>
                <w:sz w:val="2"/>
                <w:szCs w:val="2"/>
              </w:rPr>
            </w:pPr>
          </w:p>
        </w:tc>
        <w:tc>
          <w:tcPr>
            <w:tcW w:w="585" w:type="dxa"/>
            <w:vMerge/>
            <w:tcBorders>
              <w:top w:val="nil"/>
            </w:tcBorders>
            <w:shd w:val="clear" w:color="auto" w:fill="365F92"/>
          </w:tcPr>
          <w:p>
            <w:pPr>
              <w:rPr>
                <w:sz w:val="2"/>
                <w:szCs w:val="2"/>
              </w:rPr>
            </w:pPr>
          </w:p>
        </w:tc>
        <w:tc>
          <w:tcPr>
            <w:tcW w:w="1965" w:type="dxa"/>
            <w:vMerge/>
            <w:tcBorders>
              <w:top w:val="nil"/>
            </w:tcBorders>
            <w:shd w:val="clear" w:color="auto" w:fill="365F92"/>
          </w:tcPr>
          <w:p>
            <w:pPr>
              <w:rPr>
                <w:sz w:val="2"/>
                <w:szCs w:val="2"/>
              </w:rPr>
            </w:pPr>
          </w:p>
        </w:tc>
        <w:tc>
          <w:tcPr>
            <w:tcW w:w="1966" w:type="dxa"/>
            <w:vMerge/>
            <w:tcBorders>
              <w:top w:val="nil"/>
            </w:tcBorders>
            <w:shd w:val="clear" w:color="auto" w:fill="365F92"/>
          </w:tcPr>
          <w:p>
            <w:pPr>
              <w:rPr>
                <w:sz w:val="2"/>
                <w:szCs w:val="2"/>
              </w:rPr>
            </w:pPr>
          </w:p>
        </w:tc>
        <w:tc>
          <w:tcPr>
            <w:tcW w:w="1090" w:type="dxa"/>
            <w:shd w:val="clear" w:color="auto" w:fill="365F92"/>
          </w:tcPr>
          <w:p>
            <w:pPr>
              <w:pStyle w:val="TableParagraph"/>
              <w:spacing w:before="41"/>
              <w:ind w:left="25"/>
              <w:jc w:val="center"/>
              <w:rPr>
                <w:sz w:val="22"/>
              </w:rPr>
            </w:pPr>
            <w:r>
              <w:rPr>
                <w:color w:val="FFFFFF"/>
                <w:spacing w:val="-10"/>
                <w:sz w:val="22"/>
              </w:rPr>
              <w:t>%</w:t>
            </w:r>
          </w:p>
        </w:tc>
      </w:tr>
      <w:tr>
        <w:trPr>
          <w:trHeight w:val="503" w:hRule="atLeast"/>
        </w:trPr>
        <w:tc>
          <w:tcPr>
            <w:tcW w:w="1034" w:type="dxa"/>
          </w:tcPr>
          <w:p>
            <w:pPr>
              <w:pStyle w:val="TableParagraph"/>
              <w:spacing w:before="125"/>
              <w:ind w:left="69"/>
              <w:rPr>
                <w:b/>
                <w:sz w:val="22"/>
              </w:rPr>
            </w:pPr>
            <w:r>
              <w:rPr>
                <w:b/>
                <w:spacing w:val="-2"/>
                <w:sz w:val="22"/>
              </w:rPr>
              <w:t>1.2.5.08.</w:t>
            </w:r>
          </w:p>
        </w:tc>
        <w:tc>
          <w:tcPr>
            <w:tcW w:w="2347" w:type="dxa"/>
          </w:tcPr>
          <w:p>
            <w:pPr>
              <w:pStyle w:val="TableParagraph"/>
              <w:spacing w:line="251" w:lineRule="exact"/>
              <w:ind w:left="67"/>
              <w:rPr>
                <w:b/>
                <w:sz w:val="22"/>
              </w:rPr>
            </w:pPr>
            <w:r>
              <w:rPr>
                <w:b/>
                <w:sz w:val="22"/>
              </w:rPr>
              <w:t>Bienes</w:t>
            </w:r>
            <w:r>
              <w:rPr>
                <w:b/>
                <w:spacing w:val="-5"/>
                <w:sz w:val="22"/>
              </w:rPr>
              <w:t> </w:t>
            </w:r>
            <w:r>
              <w:rPr>
                <w:b/>
                <w:sz w:val="22"/>
              </w:rPr>
              <w:t>intangibles</w:t>
            </w:r>
            <w:r>
              <w:rPr>
                <w:b/>
                <w:spacing w:val="-6"/>
                <w:sz w:val="22"/>
              </w:rPr>
              <w:t> </w:t>
            </w:r>
            <w:r>
              <w:rPr>
                <w:b/>
                <w:spacing w:val="-5"/>
                <w:sz w:val="22"/>
              </w:rPr>
              <w:t>no</w:t>
            </w:r>
          </w:p>
          <w:p>
            <w:pPr>
              <w:pStyle w:val="TableParagraph"/>
              <w:spacing w:line="233" w:lineRule="exact"/>
              <w:ind w:left="67"/>
              <w:rPr>
                <w:b/>
                <w:sz w:val="22"/>
              </w:rPr>
            </w:pPr>
            <w:r>
              <w:rPr>
                <w:b/>
                <w:spacing w:val="-2"/>
                <w:sz w:val="22"/>
              </w:rPr>
              <w:t>concesionados</w:t>
            </w:r>
          </w:p>
        </w:tc>
        <w:tc>
          <w:tcPr>
            <w:tcW w:w="585" w:type="dxa"/>
          </w:tcPr>
          <w:p>
            <w:pPr>
              <w:pStyle w:val="TableParagraph"/>
              <w:spacing w:before="125"/>
              <w:ind w:left="183"/>
              <w:rPr>
                <w:b/>
                <w:sz w:val="22"/>
              </w:rPr>
            </w:pPr>
            <w:r>
              <w:rPr>
                <w:b/>
                <w:spacing w:val="-5"/>
                <w:sz w:val="22"/>
              </w:rPr>
              <w:t>10</w:t>
            </w:r>
          </w:p>
        </w:tc>
        <w:tc>
          <w:tcPr>
            <w:tcW w:w="1965" w:type="dxa"/>
          </w:tcPr>
          <w:p>
            <w:pPr>
              <w:pStyle w:val="TableParagraph"/>
              <w:spacing w:before="136"/>
              <w:ind w:left="539"/>
              <w:rPr>
                <w:b/>
                <w:sz w:val="20"/>
              </w:rPr>
            </w:pPr>
            <w:r>
              <w:rPr>
                <w:b/>
                <w:sz w:val="20"/>
              </w:rPr>
              <w:t>351</w:t>
            </w:r>
            <w:r>
              <w:rPr>
                <w:b/>
                <w:spacing w:val="-3"/>
                <w:sz w:val="20"/>
              </w:rPr>
              <w:t> </w:t>
            </w:r>
            <w:r>
              <w:rPr>
                <w:b/>
                <w:spacing w:val="-2"/>
                <w:sz w:val="20"/>
              </w:rPr>
              <w:t>354,46</w:t>
            </w:r>
          </w:p>
        </w:tc>
        <w:tc>
          <w:tcPr>
            <w:tcW w:w="1966" w:type="dxa"/>
          </w:tcPr>
          <w:p>
            <w:pPr>
              <w:pStyle w:val="TableParagraph"/>
              <w:spacing w:before="136"/>
              <w:ind w:left="540"/>
              <w:rPr>
                <w:b/>
                <w:sz w:val="20"/>
              </w:rPr>
            </w:pPr>
            <w:r>
              <w:rPr>
                <w:b/>
                <w:sz w:val="20"/>
              </w:rPr>
              <w:t>460</w:t>
            </w:r>
            <w:r>
              <w:rPr>
                <w:b/>
                <w:spacing w:val="-3"/>
                <w:sz w:val="20"/>
              </w:rPr>
              <w:t> </w:t>
            </w:r>
            <w:r>
              <w:rPr>
                <w:b/>
                <w:spacing w:val="-2"/>
                <w:sz w:val="20"/>
              </w:rPr>
              <w:t>388,89</w:t>
            </w:r>
          </w:p>
        </w:tc>
        <w:tc>
          <w:tcPr>
            <w:tcW w:w="1090" w:type="dxa"/>
          </w:tcPr>
          <w:p>
            <w:pPr>
              <w:pStyle w:val="TableParagraph"/>
              <w:spacing w:before="136"/>
              <w:ind w:left="25" w:right="2"/>
              <w:jc w:val="center"/>
              <w:rPr>
                <w:b/>
                <w:sz w:val="20"/>
              </w:rPr>
            </w:pPr>
            <w:r>
              <w:rPr>
                <w:b/>
                <w:spacing w:val="-2"/>
                <w:sz w:val="20"/>
              </w:rPr>
              <w:t>-23,68%</w:t>
            </w:r>
          </w:p>
        </w:tc>
      </w:tr>
    </w:tbl>
    <w:p>
      <w:pPr>
        <w:pStyle w:val="BodyText"/>
      </w:pPr>
    </w:p>
    <w:p>
      <w:pPr>
        <w:pStyle w:val="BodyText"/>
        <w:spacing w:before="249"/>
      </w:pPr>
    </w:p>
    <w:p>
      <w:pPr>
        <w:pStyle w:val="Heading6"/>
        <w:ind w:left="622"/>
      </w:pPr>
      <w:r>
        <w:rPr>
          <w:spacing w:val="-2"/>
        </w:rPr>
        <w:t>Revelación:</w:t>
      </w:r>
    </w:p>
    <w:p>
      <w:pPr>
        <w:pStyle w:val="BodyText"/>
        <w:spacing w:before="181"/>
        <w:ind w:left="622" w:right="975" w:firstLine="55"/>
        <w:jc w:val="both"/>
      </w:pPr>
      <w:r>
        <w:rPr/>
        <w:t>La cuenta Bienes intangibles no concesionados, representa el 0,18% del total del Activo, que comparado al periodo anterior genera una variación absoluta de -109.034,43 que corresponde a una disminución del -23,68% de recursos disponibles, producto de la conclusión de amortización.</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1584">
                <wp:simplePos x="0" y="0"/>
                <wp:positionH relativeFrom="page">
                  <wp:posOffset>9525</wp:posOffset>
                </wp:positionH>
                <wp:positionV relativeFrom="page">
                  <wp:posOffset>297208</wp:posOffset>
                </wp:positionV>
                <wp:extent cx="7762875" cy="9748520"/>
                <wp:effectExtent l="0" t="0" r="0" b="0"/>
                <wp:wrapNone/>
                <wp:docPr id="1033" name="Group 1033"/>
                <wp:cNvGraphicFramePr>
                  <a:graphicFrameLocks/>
                </wp:cNvGraphicFramePr>
                <a:graphic>
                  <a:graphicData uri="http://schemas.microsoft.com/office/word/2010/wordprocessingGroup">
                    <wpg:wgp>
                      <wpg:cNvPr id="1033" name="Group 1033"/>
                      <wpg:cNvGrpSpPr/>
                      <wpg:grpSpPr>
                        <a:xfrm>
                          <a:off x="0" y="0"/>
                          <a:ext cx="7762875" cy="9748520"/>
                          <a:chExt cx="7762875" cy="9748520"/>
                        </a:xfrm>
                      </wpg:grpSpPr>
                      <pic:pic>
                        <pic:nvPicPr>
                          <pic:cNvPr id="1034" name="Image 1034"/>
                          <pic:cNvPicPr/>
                        </pic:nvPicPr>
                        <pic:blipFill>
                          <a:blip r:embed="rId5" cstate="print"/>
                          <a:stretch>
                            <a:fillRect/>
                          </a:stretch>
                        </pic:blipFill>
                        <pic:spPr>
                          <a:xfrm>
                            <a:off x="0" y="0"/>
                            <a:ext cx="7762874" cy="9748489"/>
                          </a:xfrm>
                          <a:prstGeom prst="rect">
                            <a:avLst/>
                          </a:prstGeom>
                        </pic:spPr>
                      </pic:pic>
                      <wps:wsp>
                        <wps:cNvPr id="1035" name="Graphic 1035"/>
                        <wps:cNvSpPr/>
                        <wps:spPr>
                          <a:xfrm>
                            <a:off x="1053007" y="990837"/>
                            <a:ext cx="5736590" cy="7597140"/>
                          </a:xfrm>
                          <a:custGeom>
                            <a:avLst/>
                            <a:gdLst/>
                            <a:ahLst/>
                            <a:cxnLst/>
                            <a:rect l="l" t="t" r="r" b="b"/>
                            <a:pathLst>
                              <a:path w="5736590" h="7597140">
                                <a:moveTo>
                                  <a:pt x="21336" y="132651"/>
                                </a:moveTo>
                                <a:lnTo>
                                  <a:pt x="15240" y="132651"/>
                                </a:lnTo>
                                <a:lnTo>
                                  <a:pt x="15240" y="7590472"/>
                                </a:lnTo>
                                <a:lnTo>
                                  <a:pt x="21336" y="7590472"/>
                                </a:lnTo>
                                <a:lnTo>
                                  <a:pt x="21336" y="132651"/>
                                </a:lnTo>
                                <a:close/>
                              </a:path>
                              <a:path w="5736590" h="7597140">
                                <a:moveTo>
                                  <a:pt x="5649214" y="0"/>
                                </a:moveTo>
                                <a:lnTo>
                                  <a:pt x="0" y="0"/>
                                </a:lnTo>
                                <a:lnTo>
                                  <a:pt x="0" y="9131"/>
                                </a:lnTo>
                                <a:lnTo>
                                  <a:pt x="5649214" y="9131"/>
                                </a:lnTo>
                                <a:lnTo>
                                  <a:pt x="5649214" y="0"/>
                                </a:lnTo>
                                <a:close/>
                              </a:path>
                              <a:path w="5736590" h="7597140">
                                <a:moveTo>
                                  <a:pt x="5736018" y="7590485"/>
                                </a:moveTo>
                                <a:lnTo>
                                  <a:pt x="5729986" y="7590485"/>
                                </a:lnTo>
                                <a:lnTo>
                                  <a:pt x="21336" y="7590485"/>
                                </a:lnTo>
                                <a:lnTo>
                                  <a:pt x="15240" y="7590485"/>
                                </a:lnTo>
                                <a:lnTo>
                                  <a:pt x="15240" y="7596568"/>
                                </a:lnTo>
                                <a:lnTo>
                                  <a:pt x="21336" y="7596568"/>
                                </a:lnTo>
                                <a:lnTo>
                                  <a:pt x="5729935" y="7596568"/>
                                </a:lnTo>
                                <a:lnTo>
                                  <a:pt x="5736018" y="7596568"/>
                                </a:lnTo>
                                <a:lnTo>
                                  <a:pt x="5736018" y="7590485"/>
                                </a:lnTo>
                                <a:close/>
                              </a:path>
                              <a:path w="5736590" h="7597140">
                                <a:moveTo>
                                  <a:pt x="5736018" y="132651"/>
                                </a:moveTo>
                                <a:lnTo>
                                  <a:pt x="5729935" y="132651"/>
                                </a:lnTo>
                                <a:lnTo>
                                  <a:pt x="5729935" y="7590472"/>
                                </a:lnTo>
                                <a:lnTo>
                                  <a:pt x="5736018" y="7590472"/>
                                </a:lnTo>
                                <a:lnTo>
                                  <a:pt x="5736018" y="132651"/>
                                </a:lnTo>
                                <a:close/>
                              </a:path>
                              <a:path w="5736590" h="759714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4896" id="docshapegroup980" coordorigin="15,468" coordsize="12225,15352">
                <v:shape style="position:absolute;left:15;top:468;width:12225;height:15352" type="#_x0000_t75" id="docshape981" stroked="false">
                  <v:imagedata r:id="rId5" o:title=""/>
                </v:shape>
                <v:shape style="position:absolute;left:1673;top:2028;width:9034;height:11964" id="docshape982" coordorigin="1673,2028" coordsize="9034,11964" path="m1707,2237l1697,2237,1697,13982,1707,13982,1707,2237xm10570,2028l1673,2028,1673,2043,10570,2043,10570,2028xm10706,13982l10697,13982,10697,13982,1707,13982,1697,13982,1697,13992,1707,13992,10697,13992,10697,13992,10706,13992,10706,13982xm10706,2237l10697,2237,10697,13982,10706,13982,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197</w:t>
      </w:r>
    </w:p>
    <w:p>
      <w:pPr>
        <w:pStyle w:val="BodyText"/>
        <w:spacing w:before="216"/>
      </w:pPr>
    </w:p>
    <w:p>
      <w:pPr>
        <w:pStyle w:val="BodyText"/>
        <w:ind w:left="691"/>
      </w:pPr>
      <w:r>
        <w:rPr>
          <w:spacing w:val="-2"/>
        </w:rPr>
        <w:t>Revelación:</w:t>
      </w:r>
    </w:p>
    <w:p>
      <w:pPr>
        <w:pStyle w:val="BodyText"/>
        <w:spacing w:before="9"/>
      </w:pPr>
    </w:p>
    <w:p>
      <w:pPr>
        <w:pStyle w:val="Heading6"/>
        <w:spacing w:before="1"/>
        <w:ind w:left="691"/>
      </w:pPr>
      <w:r>
        <w:rPr>
          <w:spacing w:val="-2"/>
        </w:rPr>
        <w:t>Reconocimiento:</w:t>
      </w:r>
    </w:p>
    <w:p>
      <w:pPr>
        <w:pStyle w:val="BodyText"/>
        <w:spacing w:before="238"/>
        <w:ind w:left="691"/>
      </w:pPr>
      <w:r>
        <w:rPr/>
        <w:t>Un</w:t>
      </w:r>
      <w:r>
        <w:rPr>
          <w:spacing w:val="-3"/>
        </w:rPr>
        <w:t> </w:t>
      </w:r>
      <w:r>
        <w:rPr/>
        <w:t>activo</w:t>
      </w:r>
      <w:r>
        <w:rPr>
          <w:spacing w:val="-2"/>
        </w:rPr>
        <w:t> </w:t>
      </w:r>
      <w:r>
        <w:rPr/>
        <w:t>intangible</w:t>
      </w:r>
      <w:r>
        <w:rPr>
          <w:spacing w:val="-3"/>
        </w:rPr>
        <w:t> </w:t>
      </w:r>
      <w:r>
        <w:rPr/>
        <w:t>se</w:t>
      </w:r>
      <w:r>
        <w:rPr>
          <w:spacing w:val="-3"/>
        </w:rPr>
        <w:t> </w:t>
      </w:r>
      <w:r>
        <w:rPr/>
        <w:t>reconoce</w:t>
      </w:r>
      <w:r>
        <w:rPr>
          <w:spacing w:val="-4"/>
        </w:rPr>
        <w:t> </w:t>
      </w:r>
      <w:r>
        <w:rPr/>
        <w:t>sí,</w:t>
      </w:r>
      <w:r>
        <w:rPr>
          <w:spacing w:val="-2"/>
        </w:rPr>
        <w:t> </w:t>
      </w:r>
      <w:r>
        <w:rPr/>
        <w:t>y</w:t>
      </w:r>
      <w:r>
        <w:rPr>
          <w:spacing w:val="-4"/>
        </w:rPr>
        <w:t> </w:t>
      </w:r>
      <w:r>
        <w:rPr/>
        <w:t>solo</w:t>
      </w:r>
      <w:r>
        <w:rPr>
          <w:spacing w:val="-4"/>
        </w:rPr>
        <w:t> </w:t>
      </w:r>
      <w:r>
        <w:rPr>
          <w:spacing w:val="-5"/>
        </w:rPr>
        <w:t>si:</w:t>
      </w:r>
    </w:p>
    <w:p>
      <w:pPr>
        <w:pStyle w:val="ListParagraph"/>
        <w:numPr>
          <w:ilvl w:val="0"/>
          <w:numId w:val="83"/>
        </w:numPr>
        <w:tabs>
          <w:tab w:pos="967" w:val="left" w:leader="none"/>
        </w:tabs>
        <w:spacing w:line="240" w:lineRule="auto" w:before="1" w:after="0"/>
        <w:ind w:left="691" w:right="1052" w:firstLine="0"/>
        <w:jc w:val="left"/>
        <w:rPr>
          <w:sz w:val="22"/>
        </w:rPr>
      </w:pPr>
      <w:r>
        <w:rPr>
          <w:sz w:val="22"/>
        </w:rPr>
        <w:t>es</w:t>
      </w:r>
      <w:r>
        <w:rPr>
          <w:spacing w:val="-1"/>
          <w:sz w:val="22"/>
        </w:rPr>
        <w:t> </w:t>
      </w:r>
      <w:r>
        <w:rPr>
          <w:sz w:val="22"/>
        </w:rPr>
        <w:t>probable</w:t>
      </w:r>
      <w:r>
        <w:rPr>
          <w:spacing w:val="-4"/>
          <w:sz w:val="22"/>
        </w:rPr>
        <w:t> </w:t>
      </w:r>
      <w:r>
        <w:rPr>
          <w:sz w:val="22"/>
        </w:rPr>
        <w:t>que</w:t>
      </w:r>
      <w:r>
        <w:rPr>
          <w:spacing w:val="-4"/>
          <w:sz w:val="22"/>
        </w:rPr>
        <w:t> </w:t>
      </w:r>
      <w:r>
        <w:rPr>
          <w:sz w:val="22"/>
        </w:rPr>
        <w:t>los</w:t>
      </w:r>
      <w:r>
        <w:rPr>
          <w:spacing w:val="-1"/>
          <w:sz w:val="22"/>
        </w:rPr>
        <w:t> </w:t>
      </w:r>
      <w:r>
        <w:rPr>
          <w:sz w:val="22"/>
        </w:rPr>
        <w:t>beneficios</w:t>
      </w:r>
      <w:r>
        <w:rPr>
          <w:spacing w:val="-1"/>
          <w:sz w:val="22"/>
        </w:rPr>
        <w:t> </w:t>
      </w:r>
      <w:r>
        <w:rPr>
          <w:sz w:val="22"/>
        </w:rPr>
        <w:t>económicos</w:t>
      </w:r>
      <w:r>
        <w:rPr>
          <w:spacing w:val="-4"/>
          <w:sz w:val="22"/>
        </w:rPr>
        <w:t> </w:t>
      </w:r>
      <w:r>
        <w:rPr>
          <w:sz w:val="22"/>
        </w:rPr>
        <w:t>o</w:t>
      </w:r>
      <w:r>
        <w:rPr>
          <w:spacing w:val="-2"/>
          <w:sz w:val="22"/>
        </w:rPr>
        <w:t> </w:t>
      </w:r>
      <w:r>
        <w:rPr>
          <w:sz w:val="22"/>
        </w:rPr>
        <w:t>potencial</w:t>
      </w:r>
      <w:r>
        <w:rPr>
          <w:spacing w:val="-2"/>
          <w:sz w:val="22"/>
        </w:rPr>
        <w:t> </w:t>
      </w:r>
      <w:r>
        <w:rPr>
          <w:sz w:val="22"/>
        </w:rPr>
        <w:t>de</w:t>
      </w:r>
      <w:r>
        <w:rPr>
          <w:spacing w:val="-3"/>
          <w:sz w:val="22"/>
        </w:rPr>
        <w:t> </w:t>
      </w:r>
      <w:r>
        <w:rPr>
          <w:sz w:val="22"/>
        </w:rPr>
        <w:t>servicio</w:t>
      </w:r>
      <w:r>
        <w:rPr>
          <w:spacing w:val="-2"/>
          <w:sz w:val="22"/>
        </w:rPr>
        <w:t> </w:t>
      </w:r>
      <w:r>
        <w:rPr>
          <w:sz w:val="22"/>
        </w:rPr>
        <w:t>futuros</w:t>
      </w:r>
      <w:r>
        <w:rPr>
          <w:spacing w:val="-4"/>
          <w:sz w:val="22"/>
        </w:rPr>
        <w:t> </w:t>
      </w:r>
      <w:r>
        <w:rPr>
          <w:sz w:val="22"/>
        </w:rPr>
        <w:t>que</w:t>
      </w:r>
      <w:r>
        <w:rPr>
          <w:spacing w:val="-4"/>
          <w:sz w:val="22"/>
        </w:rPr>
        <w:t> </w:t>
      </w:r>
      <w:r>
        <w:rPr>
          <w:sz w:val="22"/>
        </w:rPr>
        <w:t>se</w:t>
      </w:r>
      <w:r>
        <w:rPr>
          <w:spacing w:val="-6"/>
          <w:sz w:val="22"/>
        </w:rPr>
        <w:t> </w:t>
      </w:r>
      <w:r>
        <w:rPr>
          <w:sz w:val="22"/>
        </w:rPr>
        <w:t>han</w:t>
      </w:r>
      <w:r>
        <w:rPr>
          <w:spacing w:val="-2"/>
          <w:sz w:val="22"/>
        </w:rPr>
        <w:t> </w:t>
      </w:r>
      <w:r>
        <w:rPr>
          <w:sz w:val="22"/>
        </w:rPr>
        <w:t>atribuido</w:t>
      </w:r>
      <w:r>
        <w:rPr>
          <w:spacing w:val="-2"/>
          <w:sz w:val="22"/>
        </w:rPr>
        <w:t> </w:t>
      </w:r>
      <w:r>
        <w:rPr>
          <w:sz w:val="22"/>
        </w:rPr>
        <w:t>al mismo fluyan a la entidad; y</w:t>
      </w:r>
    </w:p>
    <w:p>
      <w:pPr>
        <w:pStyle w:val="ListParagraph"/>
        <w:numPr>
          <w:ilvl w:val="0"/>
          <w:numId w:val="83"/>
        </w:numPr>
        <w:tabs>
          <w:tab w:pos="933" w:val="left" w:leader="none"/>
        </w:tabs>
        <w:spacing w:line="240" w:lineRule="auto" w:before="240" w:after="0"/>
        <w:ind w:left="933" w:right="0" w:hanging="242"/>
        <w:jc w:val="left"/>
        <w:rPr>
          <w:sz w:val="22"/>
        </w:rPr>
      </w:pPr>
      <w:r>
        <w:rPr>
          <w:sz w:val="22"/>
        </w:rPr>
        <w:t>el</w:t>
      </w:r>
      <w:r>
        <w:rPr>
          <w:spacing w:val="-3"/>
          <w:sz w:val="22"/>
        </w:rPr>
        <w:t> </w:t>
      </w:r>
      <w:r>
        <w:rPr>
          <w:sz w:val="22"/>
        </w:rPr>
        <w:t>valor</w:t>
      </w:r>
      <w:r>
        <w:rPr>
          <w:spacing w:val="-2"/>
          <w:sz w:val="22"/>
        </w:rPr>
        <w:t> </w:t>
      </w:r>
      <w:r>
        <w:rPr>
          <w:sz w:val="22"/>
        </w:rPr>
        <w:t>razonable</w:t>
      </w:r>
      <w:r>
        <w:rPr>
          <w:spacing w:val="-4"/>
          <w:sz w:val="22"/>
        </w:rPr>
        <w:t> </w:t>
      </w:r>
      <w:r>
        <w:rPr>
          <w:sz w:val="22"/>
        </w:rPr>
        <w:t>o</w:t>
      </w:r>
      <w:r>
        <w:rPr>
          <w:spacing w:val="-2"/>
          <w:sz w:val="22"/>
        </w:rPr>
        <w:t> </w:t>
      </w:r>
      <w:r>
        <w:rPr>
          <w:sz w:val="22"/>
        </w:rPr>
        <w:t>el</w:t>
      </w:r>
      <w:r>
        <w:rPr>
          <w:spacing w:val="-3"/>
          <w:sz w:val="22"/>
        </w:rPr>
        <w:t> </w:t>
      </w:r>
      <w:r>
        <w:rPr>
          <w:sz w:val="22"/>
        </w:rPr>
        <w:t>costo</w:t>
      </w:r>
      <w:r>
        <w:rPr>
          <w:spacing w:val="-1"/>
          <w:sz w:val="22"/>
        </w:rPr>
        <w:t> </w:t>
      </w:r>
      <w:r>
        <w:rPr>
          <w:sz w:val="22"/>
        </w:rPr>
        <w:t>del</w:t>
      </w:r>
      <w:r>
        <w:rPr>
          <w:spacing w:val="-2"/>
          <w:sz w:val="22"/>
        </w:rPr>
        <w:t> </w:t>
      </w:r>
      <w:r>
        <w:rPr>
          <w:sz w:val="22"/>
        </w:rPr>
        <w:t>activo</w:t>
      </w:r>
      <w:r>
        <w:rPr>
          <w:spacing w:val="-3"/>
          <w:sz w:val="22"/>
        </w:rPr>
        <w:t> </w:t>
      </w:r>
      <w:r>
        <w:rPr>
          <w:sz w:val="22"/>
        </w:rPr>
        <w:t>puede</w:t>
      </w:r>
      <w:r>
        <w:rPr>
          <w:spacing w:val="-6"/>
          <w:sz w:val="22"/>
        </w:rPr>
        <w:t> </w:t>
      </w:r>
      <w:r>
        <w:rPr>
          <w:sz w:val="22"/>
        </w:rPr>
        <w:t>ser</w:t>
      </w:r>
      <w:r>
        <w:rPr>
          <w:spacing w:val="-2"/>
          <w:sz w:val="22"/>
        </w:rPr>
        <w:t> </w:t>
      </w:r>
      <w:r>
        <w:rPr>
          <w:sz w:val="22"/>
        </w:rPr>
        <w:t>medidos</w:t>
      </w:r>
      <w:r>
        <w:rPr>
          <w:spacing w:val="-2"/>
          <w:sz w:val="22"/>
        </w:rPr>
        <w:t> </w:t>
      </w:r>
      <w:r>
        <w:rPr>
          <w:sz w:val="22"/>
        </w:rPr>
        <w:t>de</w:t>
      </w:r>
      <w:r>
        <w:rPr>
          <w:spacing w:val="-4"/>
          <w:sz w:val="22"/>
        </w:rPr>
        <w:t> </w:t>
      </w:r>
      <w:r>
        <w:rPr>
          <w:sz w:val="22"/>
        </w:rPr>
        <w:t>forma</w:t>
      </w:r>
      <w:r>
        <w:rPr>
          <w:spacing w:val="-5"/>
          <w:sz w:val="22"/>
        </w:rPr>
        <w:t> </w:t>
      </w:r>
      <w:r>
        <w:rPr>
          <w:spacing w:val="-2"/>
          <w:sz w:val="22"/>
        </w:rPr>
        <w:t>fiable.</w:t>
      </w:r>
    </w:p>
    <w:p>
      <w:pPr>
        <w:pStyle w:val="BodyText"/>
        <w:spacing w:before="242"/>
        <w:ind w:left="691" w:right="1001"/>
      </w:pPr>
      <w:r>
        <w:rPr/>
        <w:t>Para</w:t>
      </w:r>
      <w:r>
        <w:rPr>
          <w:spacing w:val="-4"/>
        </w:rPr>
        <w:t> </w:t>
      </w:r>
      <w:r>
        <w:rPr/>
        <w:t>evaluar</w:t>
      </w:r>
      <w:r>
        <w:rPr>
          <w:spacing w:val="-3"/>
        </w:rPr>
        <w:t> </w:t>
      </w:r>
      <w:r>
        <w:rPr/>
        <w:t>si</w:t>
      </w:r>
      <w:r>
        <w:rPr>
          <w:spacing w:val="-3"/>
        </w:rPr>
        <w:t> </w:t>
      </w:r>
      <w:r>
        <w:rPr/>
        <w:t>un</w:t>
      </w:r>
      <w:r>
        <w:rPr>
          <w:spacing w:val="-3"/>
        </w:rPr>
        <w:t> </w:t>
      </w:r>
      <w:r>
        <w:rPr/>
        <w:t>activo</w:t>
      </w:r>
      <w:r>
        <w:rPr>
          <w:spacing w:val="-3"/>
        </w:rPr>
        <w:t> </w:t>
      </w:r>
      <w:r>
        <w:rPr/>
        <w:t>intangible</w:t>
      </w:r>
      <w:r>
        <w:rPr>
          <w:spacing w:val="-4"/>
        </w:rPr>
        <w:t> </w:t>
      </w:r>
      <w:r>
        <w:rPr/>
        <w:t>generado</w:t>
      </w:r>
      <w:r>
        <w:rPr>
          <w:spacing w:val="-3"/>
        </w:rPr>
        <w:t> </w:t>
      </w:r>
      <w:r>
        <w:rPr/>
        <w:t>internamente</w:t>
      </w:r>
      <w:r>
        <w:rPr>
          <w:spacing w:val="-3"/>
        </w:rPr>
        <w:t> </w:t>
      </w:r>
      <w:r>
        <w:rPr/>
        <w:t>cumple</w:t>
      </w:r>
      <w:r>
        <w:rPr>
          <w:spacing w:val="-4"/>
        </w:rPr>
        <w:t> </w:t>
      </w:r>
      <w:r>
        <w:rPr/>
        <w:t>los</w:t>
      </w:r>
      <w:r>
        <w:rPr>
          <w:spacing w:val="-2"/>
        </w:rPr>
        <w:t> </w:t>
      </w:r>
      <w:r>
        <w:rPr/>
        <w:t>criterios</w:t>
      </w:r>
      <w:r>
        <w:rPr>
          <w:spacing w:val="-2"/>
        </w:rPr>
        <w:t> </w:t>
      </w:r>
      <w:r>
        <w:rPr/>
        <w:t>para</w:t>
      </w:r>
      <w:r>
        <w:rPr>
          <w:spacing w:val="-4"/>
        </w:rPr>
        <w:t> </w:t>
      </w:r>
      <w:r>
        <w:rPr/>
        <w:t>su reconocimiento, se clasifica la generación del activo en:</w:t>
      </w:r>
    </w:p>
    <w:p>
      <w:pPr>
        <w:pStyle w:val="ListParagraph"/>
        <w:numPr>
          <w:ilvl w:val="0"/>
          <w:numId w:val="84"/>
        </w:numPr>
        <w:tabs>
          <w:tab w:pos="989" w:val="left" w:leader="none"/>
        </w:tabs>
        <w:spacing w:line="250" w:lineRule="exact" w:before="0" w:after="0"/>
        <w:ind w:left="989" w:right="0" w:hanging="298"/>
        <w:jc w:val="left"/>
        <w:rPr>
          <w:sz w:val="22"/>
        </w:rPr>
      </w:pPr>
      <w:r>
        <w:rPr>
          <w:sz w:val="22"/>
        </w:rPr>
        <w:t>fase</w:t>
      </w:r>
      <w:r>
        <w:rPr>
          <w:spacing w:val="-5"/>
          <w:sz w:val="22"/>
        </w:rPr>
        <w:t> </w:t>
      </w:r>
      <w:r>
        <w:rPr>
          <w:sz w:val="22"/>
        </w:rPr>
        <w:t>de</w:t>
      </w:r>
      <w:r>
        <w:rPr>
          <w:spacing w:val="-5"/>
          <w:sz w:val="22"/>
        </w:rPr>
        <w:t> </w:t>
      </w:r>
      <w:r>
        <w:rPr>
          <w:sz w:val="22"/>
        </w:rPr>
        <w:t>investigación,</w:t>
      </w:r>
      <w:r>
        <w:rPr>
          <w:spacing w:val="-4"/>
          <w:sz w:val="22"/>
        </w:rPr>
        <w:t> </w:t>
      </w:r>
      <w:r>
        <w:rPr>
          <w:spacing w:val="-10"/>
          <w:sz w:val="22"/>
        </w:rPr>
        <w:t>y</w:t>
      </w:r>
    </w:p>
    <w:p>
      <w:pPr>
        <w:pStyle w:val="ListParagraph"/>
        <w:numPr>
          <w:ilvl w:val="0"/>
          <w:numId w:val="84"/>
        </w:numPr>
        <w:tabs>
          <w:tab w:pos="973" w:val="left" w:leader="none"/>
        </w:tabs>
        <w:spacing w:line="250" w:lineRule="exact" w:before="0" w:after="0"/>
        <w:ind w:left="973" w:right="0" w:hanging="282"/>
        <w:jc w:val="left"/>
        <w:rPr>
          <w:sz w:val="22"/>
        </w:rPr>
      </w:pPr>
      <w:r>
        <w:rPr>
          <w:sz w:val="22"/>
        </w:rPr>
        <w:t>fase</w:t>
      </w:r>
      <w:r>
        <w:rPr>
          <w:spacing w:val="-1"/>
          <w:sz w:val="22"/>
        </w:rPr>
        <w:t> </w:t>
      </w:r>
      <w:r>
        <w:rPr>
          <w:sz w:val="22"/>
        </w:rPr>
        <w:t>de</w:t>
      </w:r>
      <w:r>
        <w:rPr>
          <w:spacing w:val="-2"/>
          <w:sz w:val="22"/>
        </w:rPr>
        <w:t> desarrollo.</w:t>
      </w:r>
    </w:p>
    <w:p>
      <w:pPr>
        <w:pStyle w:val="BodyText"/>
        <w:spacing w:before="241"/>
        <w:ind w:left="691" w:right="1001"/>
      </w:pPr>
      <w:r>
        <w:rPr/>
        <w:t>No</w:t>
      </w:r>
      <w:r>
        <w:rPr>
          <w:spacing w:val="-2"/>
        </w:rPr>
        <w:t> </w:t>
      </w:r>
      <w:r>
        <w:rPr/>
        <w:t>se</w:t>
      </w:r>
      <w:r>
        <w:rPr>
          <w:spacing w:val="-3"/>
        </w:rPr>
        <w:t> </w:t>
      </w:r>
      <w:r>
        <w:rPr/>
        <w:t>reconocen</w:t>
      </w:r>
      <w:r>
        <w:rPr>
          <w:spacing w:val="-2"/>
        </w:rPr>
        <w:t> </w:t>
      </w:r>
      <w:r>
        <w:rPr/>
        <w:t>activos</w:t>
      </w:r>
      <w:r>
        <w:rPr>
          <w:spacing w:val="-1"/>
        </w:rPr>
        <w:t> </w:t>
      </w:r>
      <w:r>
        <w:rPr/>
        <w:t>intangibles</w:t>
      </w:r>
      <w:r>
        <w:rPr>
          <w:spacing w:val="-1"/>
        </w:rPr>
        <w:t> </w:t>
      </w:r>
      <w:r>
        <w:rPr/>
        <w:t>surgidos</w:t>
      </w:r>
      <w:r>
        <w:rPr>
          <w:spacing w:val="-1"/>
        </w:rPr>
        <w:t> </w:t>
      </w:r>
      <w:r>
        <w:rPr/>
        <w:t>de</w:t>
      </w:r>
      <w:r>
        <w:rPr>
          <w:spacing w:val="-4"/>
        </w:rPr>
        <w:t> </w:t>
      </w:r>
      <w:r>
        <w:rPr/>
        <w:t>la</w:t>
      </w:r>
      <w:r>
        <w:rPr>
          <w:spacing w:val="-4"/>
        </w:rPr>
        <w:t> </w:t>
      </w:r>
      <w:r>
        <w:rPr/>
        <w:t>investigación</w:t>
      </w:r>
      <w:r>
        <w:rPr>
          <w:spacing w:val="-2"/>
        </w:rPr>
        <w:t> </w:t>
      </w:r>
      <w:r>
        <w:rPr/>
        <w:t>(o</w:t>
      </w:r>
      <w:r>
        <w:rPr>
          <w:spacing w:val="-1"/>
        </w:rPr>
        <w:t> </w:t>
      </w:r>
      <w:r>
        <w:rPr/>
        <w:t>de</w:t>
      </w:r>
      <w:r>
        <w:rPr>
          <w:spacing w:val="-4"/>
        </w:rPr>
        <w:t> </w:t>
      </w:r>
      <w:r>
        <w:rPr/>
        <w:t>la</w:t>
      </w:r>
      <w:r>
        <w:rPr>
          <w:spacing w:val="-4"/>
        </w:rPr>
        <w:t> </w:t>
      </w:r>
      <w:r>
        <w:rPr/>
        <w:t>fase</w:t>
      </w:r>
      <w:r>
        <w:rPr>
          <w:spacing w:val="-3"/>
        </w:rPr>
        <w:t> </w:t>
      </w:r>
      <w:r>
        <w:rPr/>
        <w:t>de</w:t>
      </w:r>
      <w:r>
        <w:rPr>
          <w:spacing w:val="-4"/>
        </w:rPr>
        <w:t> </w:t>
      </w:r>
      <w:r>
        <w:rPr/>
        <w:t>investigación</w:t>
      </w:r>
      <w:r>
        <w:rPr>
          <w:spacing w:val="-2"/>
        </w:rPr>
        <w:t> </w:t>
      </w:r>
      <w:r>
        <w:rPr/>
        <w:t>en proyectos internos).</w:t>
      </w:r>
    </w:p>
    <w:p>
      <w:pPr>
        <w:pStyle w:val="BodyText"/>
        <w:spacing w:before="240"/>
        <w:ind w:left="691" w:right="860"/>
      </w:pPr>
      <w:r>
        <w:rPr/>
        <w:t>Los</w:t>
      </w:r>
      <w:r>
        <w:rPr>
          <w:spacing w:val="-1"/>
        </w:rPr>
        <w:t> </w:t>
      </w:r>
      <w:r>
        <w:rPr/>
        <w:t>desembolsos</w:t>
      </w:r>
      <w:r>
        <w:rPr>
          <w:spacing w:val="-1"/>
        </w:rPr>
        <w:t> </w:t>
      </w:r>
      <w:r>
        <w:rPr/>
        <w:t>por</w:t>
      </w:r>
      <w:r>
        <w:rPr>
          <w:spacing w:val="-2"/>
        </w:rPr>
        <w:t> </w:t>
      </w:r>
      <w:r>
        <w:rPr/>
        <w:t>investigación</w:t>
      </w:r>
      <w:r>
        <w:rPr>
          <w:spacing w:val="-2"/>
        </w:rPr>
        <w:t> </w:t>
      </w:r>
      <w:r>
        <w:rPr/>
        <w:t>(o</w:t>
      </w:r>
      <w:r>
        <w:rPr>
          <w:spacing w:val="-1"/>
        </w:rPr>
        <w:t> </w:t>
      </w:r>
      <w:r>
        <w:rPr/>
        <w:t>en</w:t>
      </w:r>
      <w:r>
        <w:rPr>
          <w:spacing w:val="-2"/>
        </w:rPr>
        <w:t> </w:t>
      </w:r>
      <w:r>
        <w:rPr/>
        <w:t>la</w:t>
      </w:r>
      <w:r>
        <w:rPr>
          <w:spacing w:val="-3"/>
        </w:rPr>
        <w:t> </w:t>
      </w:r>
      <w:r>
        <w:rPr/>
        <w:t>fase</w:t>
      </w:r>
      <w:r>
        <w:rPr>
          <w:spacing w:val="-3"/>
        </w:rPr>
        <w:t> </w:t>
      </w:r>
      <w:r>
        <w:rPr/>
        <w:t>de</w:t>
      </w:r>
      <w:r>
        <w:rPr>
          <w:spacing w:val="-4"/>
        </w:rPr>
        <w:t> </w:t>
      </w:r>
      <w:r>
        <w:rPr/>
        <w:t>investigación,</w:t>
      </w:r>
      <w:r>
        <w:rPr>
          <w:spacing w:val="-2"/>
        </w:rPr>
        <w:t> </w:t>
      </w:r>
      <w:r>
        <w:rPr/>
        <w:t>en</w:t>
      </w:r>
      <w:r>
        <w:rPr>
          <w:spacing w:val="-4"/>
        </w:rPr>
        <w:t> </w:t>
      </w:r>
      <w:r>
        <w:rPr/>
        <w:t>el</w:t>
      </w:r>
      <w:r>
        <w:rPr>
          <w:spacing w:val="-2"/>
        </w:rPr>
        <w:t> </w:t>
      </w:r>
      <w:r>
        <w:rPr/>
        <w:t>caso</w:t>
      </w:r>
      <w:r>
        <w:rPr>
          <w:spacing w:val="-2"/>
        </w:rPr>
        <w:t> </w:t>
      </w:r>
      <w:r>
        <w:rPr/>
        <w:t>de</w:t>
      </w:r>
      <w:r>
        <w:rPr>
          <w:spacing w:val="-4"/>
        </w:rPr>
        <w:t> </w:t>
      </w:r>
      <w:r>
        <w:rPr/>
        <w:t>proyectos</w:t>
      </w:r>
      <w:r>
        <w:rPr>
          <w:spacing w:val="-1"/>
        </w:rPr>
        <w:t> </w:t>
      </w:r>
      <w:r>
        <w:rPr/>
        <w:t>internos),</w:t>
      </w:r>
      <w:r>
        <w:rPr>
          <w:spacing w:val="-2"/>
        </w:rPr>
        <w:t> </w:t>
      </w:r>
      <w:r>
        <w:rPr/>
        <w:t>se reconocen como gastos del periodo en el que se incurran.</w:t>
      </w:r>
    </w:p>
    <w:p>
      <w:pPr>
        <w:pStyle w:val="BodyText"/>
        <w:spacing w:before="239"/>
        <w:ind w:left="691" w:right="1001"/>
      </w:pPr>
      <w:r>
        <w:rPr/>
        <w:t>Un</w:t>
      </w:r>
      <w:r>
        <w:rPr>
          <w:spacing w:val="-2"/>
        </w:rPr>
        <w:t> </w:t>
      </w:r>
      <w:r>
        <w:rPr/>
        <w:t>activo</w:t>
      </w:r>
      <w:r>
        <w:rPr>
          <w:spacing w:val="-2"/>
        </w:rPr>
        <w:t> </w:t>
      </w:r>
      <w:r>
        <w:rPr/>
        <w:t>intangible</w:t>
      </w:r>
      <w:r>
        <w:rPr>
          <w:spacing w:val="-3"/>
        </w:rPr>
        <w:t> </w:t>
      </w:r>
      <w:r>
        <w:rPr/>
        <w:t>surgido</w:t>
      </w:r>
      <w:r>
        <w:rPr>
          <w:spacing w:val="-4"/>
        </w:rPr>
        <w:t> </w:t>
      </w:r>
      <w:r>
        <w:rPr/>
        <w:t>del</w:t>
      </w:r>
      <w:r>
        <w:rPr>
          <w:spacing w:val="-2"/>
        </w:rPr>
        <w:t> </w:t>
      </w:r>
      <w:r>
        <w:rPr/>
        <w:t>desarrollo</w:t>
      </w:r>
      <w:r>
        <w:rPr>
          <w:spacing w:val="-2"/>
        </w:rPr>
        <w:t> </w:t>
      </w:r>
      <w:r>
        <w:rPr/>
        <w:t>(o</w:t>
      </w:r>
      <w:r>
        <w:rPr>
          <w:spacing w:val="-4"/>
        </w:rPr>
        <w:t> </w:t>
      </w:r>
      <w:r>
        <w:rPr/>
        <w:t>de</w:t>
      </w:r>
      <w:r>
        <w:rPr>
          <w:spacing w:val="-4"/>
        </w:rPr>
        <w:t> </w:t>
      </w:r>
      <w:r>
        <w:rPr/>
        <w:t>la</w:t>
      </w:r>
      <w:r>
        <w:rPr>
          <w:spacing w:val="-4"/>
        </w:rPr>
        <w:t> </w:t>
      </w:r>
      <w:r>
        <w:rPr/>
        <w:t>fase</w:t>
      </w:r>
      <w:r>
        <w:rPr>
          <w:spacing w:val="-6"/>
        </w:rPr>
        <w:t> </w:t>
      </w:r>
      <w:r>
        <w:rPr/>
        <w:t>de</w:t>
      </w:r>
      <w:r>
        <w:rPr>
          <w:spacing w:val="-4"/>
        </w:rPr>
        <w:t> </w:t>
      </w:r>
      <w:r>
        <w:rPr/>
        <w:t>desarrollo</w:t>
      </w:r>
      <w:r>
        <w:rPr>
          <w:spacing w:val="-2"/>
        </w:rPr>
        <w:t> </w:t>
      </w:r>
      <w:r>
        <w:rPr/>
        <w:t>en</w:t>
      </w:r>
      <w:r>
        <w:rPr>
          <w:spacing w:val="-2"/>
        </w:rPr>
        <w:t> </w:t>
      </w:r>
      <w:r>
        <w:rPr/>
        <w:t>un</w:t>
      </w:r>
      <w:r>
        <w:rPr>
          <w:spacing w:val="-2"/>
        </w:rPr>
        <w:t> </w:t>
      </w:r>
      <w:r>
        <w:rPr/>
        <w:t>proyecto</w:t>
      </w:r>
      <w:r>
        <w:rPr>
          <w:spacing w:val="-2"/>
        </w:rPr>
        <w:t> </w:t>
      </w:r>
      <w:r>
        <w:rPr/>
        <w:t>interno),</w:t>
      </w:r>
      <w:r>
        <w:rPr>
          <w:spacing w:val="-4"/>
        </w:rPr>
        <w:t> </w:t>
      </w:r>
      <w:r>
        <w:rPr/>
        <w:t>se reconoce sí, y solo si,</w:t>
      </w:r>
    </w:p>
    <w:p>
      <w:pPr>
        <w:pStyle w:val="ListParagraph"/>
        <w:numPr>
          <w:ilvl w:val="0"/>
          <w:numId w:val="85"/>
        </w:numPr>
        <w:tabs>
          <w:tab w:pos="967" w:val="left" w:leader="none"/>
        </w:tabs>
        <w:spacing w:line="240" w:lineRule="auto" w:before="0" w:after="0"/>
        <w:ind w:left="691" w:right="991" w:firstLine="0"/>
        <w:jc w:val="left"/>
        <w:rPr>
          <w:sz w:val="22"/>
        </w:rPr>
      </w:pPr>
      <w:r>
        <w:rPr>
          <w:sz w:val="22"/>
        </w:rPr>
        <w:t>la</w:t>
      </w:r>
      <w:r>
        <w:rPr>
          <w:spacing w:val="-3"/>
          <w:sz w:val="22"/>
        </w:rPr>
        <w:t> </w:t>
      </w:r>
      <w:r>
        <w:rPr>
          <w:sz w:val="22"/>
        </w:rPr>
        <w:t>viabilidad</w:t>
      </w:r>
      <w:r>
        <w:rPr>
          <w:spacing w:val="-2"/>
          <w:sz w:val="22"/>
        </w:rPr>
        <w:t> </w:t>
      </w:r>
      <w:r>
        <w:rPr>
          <w:sz w:val="22"/>
        </w:rPr>
        <w:t>técnica</w:t>
      </w:r>
      <w:r>
        <w:rPr>
          <w:spacing w:val="-4"/>
          <w:sz w:val="22"/>
        </w:rPr>
        <w:t> </w:t>
      </w:r>
      <w:r>
        <w:rPr>
          <w:sz w:val="22"/>
        </w:rPr>
        <w:t>de</w:t>
      </w:r>
      <w:r>
        <w:rPr>
          <w:spacing w:val="-3"/>
          <w:sz w:val="22"/>
        </w:rPr>
        <w:t> </w:t>
      </w:r>
      <w:r>
        <w:rPr>
          <w:sz w:val="22"/>
        </w:rPr>
        <w:t>completar</w:t>
      </w:r>
      <w:r>
        <w:rPr>
          <w:spacing w:val="-2"/>
          <w:sz w:val="22"/>
        </w:rPr>
        <w:t> </w:t>
      </w:r>
      <w:r>
        <w:rPr>
          <w:sz w:val="22"/>
        </w:rPr>
        <w:t>el</w:t>
      </w:r>
      <w:r>
        <w:rPr>
          <w:spacing w:val="-2"/>
          <w:sz w:val="22"/>
        </w:rPr>
        <w:t> </w:t>
      </w:r>
      <w:r>
        <w:rPr>
          <w:sz w:val="22"/>
        </w:rPr>
        <w:t>activo</w:t>
      </w:r>
      <w:r>
        <w:rPr>
          <w:spacing w:val="-2"/>
          <w:sz w:val="22"/>
        </w:rPr>
        <w:t> </w:t>
      </w:r>
      <w:r>
        <w:rPr>
          <w:sz w:val="22"/>
        </w:rPr>
        <w:t>intangible</w:t>
      </w:r>
      <w:r>
        <w:rPr>
          <w:spacing w:val="-3"/>
          <w:sz w:val="22"/>
        </w:rPr>
        <w:t> </w:t>
      </w:r>
      <w:r>
        <w:rPr>
          <w:sz w:val="22"/>
        </w:rPr>
        <w:t>de</w:t>
      </w:r>
      <w:r>
        <w:rPr>
          <w:spacing w:val="-4"/>
          <w:sz w:val="22"/>
        </w:rPr>
        <w:t> </w:t>
      </w:r>
      <w:r>
        <w:rPr>
          <w:sz w:val="22"/>
        </w:rPr>
        <w:t>forma</w:t>
      </w:r>
      <w:r>
        <w:rPr>
          <w:spacing w:val="-3"/>
          <w:sz w:val="22"/>
        </w:rPr>
        <w:t> </w:t>
      </w:r>
      <w:r>
        <w:rPr>
          <w:sz w:val="22"/>
        </w:rPr>
        <w:t>que</w:t>
      </w:r>
      <w:r>
        <w:rPr>
          <w:spacing w:val="-4"/>
          <w:sz w:val="22"/>
        </w:rPr>
        <w:t> </w:t>
      </w:r>
      <w:r>
        <w:rPr>
          <w:sz w:val="22"/>
        </w:rPr>
        <w:t>pueda</w:t>
      </w:r>
      <w:r>
        <w:rPr>
          <w:spacing w:val="-3"/>
          <w:sz w:val="22"/>
        </w:rPr>
        <w:t> </w:t>
      </w:r>
      <w:r>
        <w:rPr>
          <w:sz w:val="22"/>
        </w:rPr>
        <w:t>estar</w:t>
      </w:r>
      <w:r>
        <w:rPr>
          <w:spacing w:val="-2"/>
          <w:sz w:val="22"/>
        </w:rPr>
        <w:t> </w:t>
      </w:r>
      <w:r>
        <w:rPr>
          <w:sz w:val="22"/>
        </w:rPr>
        <w:t>disponible</w:t>
      </w:r>
      <w:r>
        <w:rPr>
          <w:spacing w:val="-4"/>
          <w:sz w:val="22"/>
        </w:rPr>
        <w:t> </w:t>
      </w:r>
      <w:r>
        <w:rPr>
          <w:sz w:val="22"/>
        </w:rPr>
        <w:t>para</w:t>
      </w:r>
      <w:r>
        <w:rPr>
          <w:spacing w:val="-3"/>
          <w:sz w:val="22"/>
        </w:rPr>
        <w:t> </w:t>
      </w:r>
      <w:r>
        <w:rPr>
          <w:sz w:val="22"/>
        </w:rPr>
        <w:t>su utilización o su venta;</w:t>
      </w:r>
    </w:p>
    <w:p>
      <w:pPr>
        <w:pStyle w:val="ListParagraph"/>
        <w:numPr>
          <w:ilvl w:val="0"/>
          <w:numId w:val="85"/>
        </w:numPr>
        <w:tabs>
          <w:tab w:pos="986" w:val="left" w:leader="none"/>
        </w:tabs>
        <w:spacing w:line="251" w:lineRule="exact" w:before="0" w:after="0"/>
        <w:ind w:left="986" w:right="0" w:hanging="295"/>
        <w:jc w:val="left"/>
        <w:rPr>
          <w:sz w:val="22"/>
        </w:rPr>
      </w:pPr>
      <w:r>
        <w:rPr>
          <w:sz w:val="22"/>
        </w:rPr>
        <w:t>su</w:t>
      </w:r>
      <w:r>
        <w:rPr>
          <w:spacing w:val="-6"/>
          <w:sz w:val="22"/>
        </w:rPr>
        <w:t> </w:t>
      </w:r>
      <w:r>
        <w:rPr>
          <w:sz w:val="22"/>
        </w:rPr>
        <w:t>intención</w:t>
      </w:r>
      <w:r>
        <w:rPr>
          <w:spacing w:val="-3"/>
          <w:sz w:val="22"/>
        </w:rPr>
        <w:t> </w:t>
      </w:r>
      <w:r>
        <w:rPr>
          <w:sz w:val="22"/>
        </w:rPr>
        <w:t>de</w:t>
      </w:r>
      <w:r>
        <w:rPr>
          <w:spacing w:val="-6"/>
          <w:sz w:val="22"/>
        </w:rPr>
        <w:t> </w:t>
      </w:r>
      <w:r>
        <w:rPr>
          <w:sz w:val="22"/>
        </w:rPr>
        <w:t>completar</w:t>
      </w:r>
      <w:r>
        <w:rPr>
          <w:spacing w:val="-3"/>
          <w:sz w:val="22"/>
        </w:rPr>
        <w:t> </w:t>
      </w:r>
      <w:r>
        <w:rPr>
          <w:sz w:val="22"/>
        </w:rPr>
        <w:t>el</w:t>
      </w:r>
      <w:r>
        <w:rPr>
          <w:spacing w:val="-3"/>
          <w:sz w:val="22"/>
        </w:rPr>
        <w:t> </w:t>
      </w:r>
      <w:r>
        <w:rPr>
          <w:sz w:val="22"/>
        </w:rPr>
        <w:t>activo</w:t>
      </w:r>
      <w:r>
        <w:rPr>
          <w:spacing w:val="-4"/>
          <w:sz w:val="22"/>
        </w:rPr>
        <w:t> </w:t>
      </w:r>
      <w:r>
        <w:rPr>
          <w:sz w:val="22"/>
        </w:rPr>
        <w:t>intangible</w:t>
      </w:r>
      <w:r>
        <w:rPr>
          <w:spacing w:val="-4"/>
          <w:sz w:val="22"/>
        </w:rPr>
        <w:t> </w:t>
      </w:r>
      <w:r>
        <w:rPr>
          <w:sz w:val="22"/>
        </w:rPr>
        <w:t>y</w:t>
      </w:r>
      <w:r>
        <w:rPr>
          <w:spacing w:val="-5"/>
          <w:sz w:val="22"/>
        </w:rPr>
        <w:t> </w:t>
      </w:r>
      <w:r>
        <w:rPr>
          <w:sz w:val="22"/>
        </w:rPr>
        <w:t>usarlo</w:t>
      </w:r>
      <w:r>
        <w:rPr>
          <w:spacing w:val="-3"/>
          <w:sz w:val="22"/>
        </w:rPr>
        <w:t> </w:t>
      </w:r>
      <w:r>
        <w:rPr>
          <w:sz w:val="22"/>
        </w:rPr>
        <w:t>o</w:t>
      </w:r>
      <w:r>
        <w:rPr>
          <w:spacing w:val="-3"/>
          <w:sz w:val="22"/>
        </w:rPr>
        <w:t> </w:t>
      </w:r>
      <w:r>
        <w:rPr>
          <w:spacing w:val="-2"/>
          <w:sz w:val="22"/>
        </w:rPr>
        <w:t>venderlo;</w:t>
      </w:r>
    </w:p>
    <w:p>
      <w:pPr>
        <w:pStyle w:val="ListParagraph"/>
        <w:numPr>
          <w:ilvl w:val="0"/>
          <w:numId w:val="85"/>
        </w:numPr>
        <w:tabs>
          <w:tab w:pos="965" w:val="left" w:leader="none"/>
        </w:tabs>
        <w:spacing w:line="250" w:lineRule="exact" w:before="1" w:after="0"/>
        <w:ind w:left="965" w:right="0" w:hanging="274"/>
        <w:jc w:val="left"/>
        <w:rPr>
          <w:sz w:val="22"/>
        </w:rPr>
      </w:pPr>
      <w:r>
        <w:rPr>
          <w:sz w:val="22"/>
        </w:rPr>
        <w:t>su</w:t>
      </w:r>
      <w:r>
        <w:rPr>
          <w:spacing w:val="-4"/>
          <w:sz w:val="22"/>
        </w:rPr>
        <w:t> </w:t>
      </w:r>
      <w:r>
        <w:rPr>
          <w:sz w:val="22"/>
        </w:rPr>
        <w:t>capacidad</w:t>
      </w:r>
      <w:r>
        <w:rPr>
          <w:spacing w:val="-4"/>
          <w:sz w:val="22"/>
        </w:rPr>
        <w:t> </w:t>
      </w:r>
      <w:r>
        <w:rPr>
          <w:sz w:val="22"/>
        </w:rPr>
        <w:t>para</w:t>
      </w:r>
      <w:r>
        <w:rPr>
          <w:spacing w:val="-4"/>
          <w:sz w:val="22"/>
        </w:rPr>
        <w:t> </w:t>
      </w:r>
      <w:r>
        <w:rPr>
          <w:sz w:val="22"/>
        </w:rPr>
        <w:t>utilizar</w:t>
      </w:r>
      <w:r>
        <w:rPr>
          <w:spacing w:val="-4"/>
          <w:sz w:val="22"/>
        </w:rPr>
        <w:t> </w:t>
      </w:r>
      <w:r>
        <w:rPr>
          <w:sz w:val="22"/>
        </w:rPr>
        <w:t>o</w:t>
      </w:r>
      <w:r>
        <w:rPr>
          <w:spacing w:val="-4"/>
          <w:sz w:val="22"/>
        </w:rPr>
        <w:t> </w:t>
      </w:r>
      <w:r>
        <w:rPr>
          <w:sz w:val="22"/>
        </w:rPr>
        <w:t>vender</w:t>
      </w:r>
      <w:r>
        <w:rPr>
          <w:spacing w:val="-3"/>
          <w:sz w:val="22"/>
        </w:rPr>
        <w:t> </w:t>
      </w:r>
      <w:r>
        <w:rPr>
          <w:sz w:val="22"/>
        </w:rPr>
        <w:t>el</w:t>
      </w:r>
      <w:r>
        <w:rPr>
          <w:spacing w:val="-4"/>
          <w:sz w:val="22"/>
        </w:rPr>
        <w:t> </w:t>
      </w:r>
      <w:r>
        <w:rPr>
          <w:sz w:val="22"/>
        </w:rPr>
        <w:t>activo</w:t>
      </w:r>
      <w:r>
        <w:rPr>
          <w:spacing w:val="-3"/>
          <w:sz w:val="22"/>
        </w:rPr>
        <w:t> </w:t>
      </w:r>
      <w:r>
        <w:rPr>
          <w:spacing w:val="-2"/>
          <w:sz w:val="22"/>
        </w:rPr>
        <w:t>intangible;</w:t>
      </w:r>
    </w:p>
    <w:p>
      <w:pPr>
        <w:pStyle w:val="ListParagraph"/>
        <w:numPr>
          <w:ilvl w:val="0"/>
          <w:numId w:val="85"/>
        </w:numPr>
        <w:tabs>
          <w:tab w:pos="989" w:val="left" w:leader="none"/>
        </w:tabs>
        <w:spacing w:line="240" w:lineRule="auto" w:before="0" w:after="0"/>
        <w:ind w:left="691" w:right="907" w:firstLine="0"/>
        <w:jc w:val="left"/>
        <w:rPr>
          <w:sz w:val="22"/>
        </w:rPr>
      </w:pPr>
      <w:r>
        <w:rPr>
          <w:sz w:val="22"/>
        </w:rPr>
        <w:t>la</w:t>
      </w:r>
      <w:r>
        <w:rPr>
          <w:spacing w:val="-3"/>
          <w:sz w:val="22"/>
        </w:rPr>
        <w:t> </w:t>
      </w:r>
      <w:r>
        <w:rPr>
          <w:sz w:val="22"/>
        </w:rPr>
        <w:t>forma</w:t>
      </w:r>
      <w:r>
        <w:rPr>
          <w:spacing w:val="-3"/>
          <w:sz w:val="22"/>
        </w:rPr>
        <w:t> </w:t>
      </w:r>
      <w:r>
        <w:rPr>
          <w:sz w:val="22"/>
        </w:rPr>
        <w:t>en</w:t>
      </w:r>
      <w:r>
        <w:rPr>
          <w:spacing w:val="-2"/>
          <w:sz w:val="22"/>
        </w:rPr>
        <w:t> </w:t>
      </w:r>
      <w:r>
        <w:rPr>
          <w:sz w:val="22"/>
        </w:rPr>
        <w:t>que</w:t>
      </w:r>
      <w:r>
        <w:rPr>
          <w:spacing w:val="-4"/>
          <w:sz w:val="22"/>
        </w:rPr>
        <w:t> </w:t>
      </w:r>
      <w:r>
        <w:rPr>
          <w:sz w:val="22"/>
        </w:rPr>
        <w:t>el</w:t>
      </w:r>
      <w:r>
        <w:rPr>
          <w:spacing w:val="-2"/>
          <w:sz w:val="22"/>
        </w:rPr>
        <w:t> </w:t>
      </w:r>
      <w:r>
        <w:rPr>
          <w:sz w:val="22"/>
        </w:rPr>
        <w:t>activo</w:t>
      </w:r>
      <w:r>
        <w:rPr>
          <w:spacing w:val="-4"/>
          <w:sz w:val="22"/>
        </w:rPr>
        <w:t> </w:t>
      </w:r>
      <w:r>
        <w:rPr>
          <w:sz w:val="22"/>
        </w:rPr>
        <w:t>intangible</w:t>
      </w:r>
      <w:r>
        <w:rPr>
          <w:spacing w:val="-3"/>
          <w:sz w:val="22"/>
        </w:rPr>
        <w:t> </w:t>
      </w:r>
      <w:r>
        <w:rPr>
          <w:sz w:val="22"/>
        </w:rPr>
        <w:t>vaya</w:t>
      </w:r>
      <w:r>
        <w:rPr>
          <w:spacing w:val="-3"/>
          <w:sz w:val="22"/>
        </w:rPr>
        <w:t> </w:t>
      </w:r>
      <w:r>
        <w:rPr>
          <w:sz w:val="22"/>
        </w:rPr>
        <w:t>a</w:t>
      </w:r>
      <w:r>
        <w:rPr>
          <w:spacing w:val="-3"/>
          <w:sz w:val="22"/>
        </w:rPr>
        <w:t> </w:t>
      </w:r>
      <w:r>
        <w:rPr>
          <w:sz w:val="22"/>
        </w:rPr>
        <w:t>generar</w:t>
      </w:r>
      <w:r>
        <w:rPr>
          <w:spacing w:val="-2"/>
          <w:sz w:val="22"/>
        </w:rPr>
        <w:t> </w:t>
      </w:r>
      <w:r>
        <w:rPr>
          <w:sz w:val="22"/>
        </w:rPr>
        <w:t>probables</w:t>
      </w:r>
      <w:r>
        <w:rPr>
          <w:spacing w:val="-1"/>
          <w:sz w:val="22"/>
        </w:rPr>
        <w:t> </w:t>
      </w:r>
      <w:r>
        <w:rPr>
          <w:sz w:val="22"/>
        </w:rPr>
        <w:t>beneficios</w:t>
      </w:r>
      <w:r>
        <w:rPr>
          <w:spacing w:val="-1"/>
          <w:sz w:val="22"/>
        </w:rPr>
        <w:t> </w:t>
      </w:r>
      <w:r>
        <w:rPr>
          <w:sz w:val="22"/>
        </w:rPr>
        <w:t>económicos</w:t>
      </w:r>
      <w:r>
        <w:rPr>
          <w:spacing w:val="-4"/>
          <w:sz w:val="22"/>
        </w:rPr>
        <w:t> </w:t>
      </w:r>
      <w:r>
        <w:rPr>
          <w:sz w:val="22"/>
        </w:rPr>
        <w:t>o</w:t>
      </w:r>
      <w:r>
        <w:rPr>
          <w:spacing w:val="-2"/>
          <w:sz w:val="22"/>
        </w:rPr>
        <w:t> </w:t>
      </w:r>
      <w:r>
        <w:rPr>
          <w:sz w:val="22"/>
        </w:rPr>
        <w:t>potencial</w:t>
      </w:r>
      <w:r>
        <w:rPr>
          <w:spacing w:val="-2"/>
          <w:sz w:val="22"/>
        </w:rPr>
        <w:t> </w:t>
      </w:r>
      <w:r>
        <w:rPr>
          <w:sz w:val="22"/>
        </w:rPr>
        <w:t>de servicio futuros</w:t>
      </w:r>
    </w:p>
    <w:p>
      <w:pPr>
        <w:pStyle w:val="ListParagraph"/>
        <w:numPr>
          <w:ilvl w:val="0"/>
          <w:numId w:val="85"/>
        </w:numPr>
        <w:tabs>
          <w:tab w:pos="973" w:val="left" w:leader="none"/>
        </w:tabs>
        <w:spacing w:line="240" w:lineRule="auto" w:before="2" w:after="0"/>
        <w:ind w:left="691" w:right="1014" w:firstLine="0"/>
        <w:jc w:val="left"/>
        <w:rPr>
          <w:sz w:val="22"/>
        </w:rPr>
      </w:pPr>
      <w:r>
        <w:rPr>
          <w:sz w:val="22"/>
        </w:rPr>
        <w:t>la</w:t>
      </w:r>
      <w:r>
        <w:rPr>
          <w:spacing w:val="-3"/>
          <w:sz w:val="22"/>
        </w:rPr>
        <w:t> </w:t>
      </w:r>
      <w:r>
        <w:rPr>
          <w:sz w:val="22"/>
        </w:rPr>
        <w:t>disponibilidad</w:t>
      </w:r>
      <w:r>
        <w:rPr>
          <w:spacing w:val="-2"/>
          <w:sz w:val="22"/>
        </w:rPr>
        <w:t> </w:t>
      </w:r>
      <w:r>
        <w:rPr>
          <w:sz w:val="22"/>
        </w:rPr>
        <w:t>de</w:t>
      </w:r>
      <w:r>
        <w:rPr>
          <w:spacing w:val="-3"/>
          <w:sz w:val="22"/>
        </w:rPr>
        <w:t> </w:t>
      </w:r>
      <w:r>
        <w:rPr>
          <w:sz w:val="22"/>
        </w:rPr>
        <w:t>los</w:t>
      </w:r>
      <w:r>
        <w:rPr>
          <w:spacing w:val="-1"/>
          <w:sz w:val="22"/>
        </w:rPr>
        <w:t> </w:t>
      </w:r>
      <w:r>
        <w:rPr>
          <w:sz w:val="22"/>
        </w:rPr>
        <w:t>recursos</w:t>
      </w:r>
      <w:r>
        <w:rPr>
          <w:spacing w:val="-4"/>
          <w:sz w:val="22"/>
        </w:rPr>
        <w:t> </w:t>
      </w:r>
      <w:r>
        <w:rPr>
          <w:sz w:val="22"/>
        </w:rPr>
        <w:t>técnicos,</w:t>
      </w:r>
      <w:r>
        <w:rPr>
          <w:spacing w:val="-2"/>
          <w:sz w:val="22"/>
        </w:rPr>
        <w:t> </w:t>
      </w:r>
      <w:r>
        <w:rPr>
          <w:sz w:val="22"/>
        </w:rPr>
        <w:t>financieros</w:t>
      </w:r>
      <w:r>
        <w:rPr>
          <w:spacing w:val="-1"/>
          <w:sz w:val="22"/>
        </w:rPr>
        <w:t> </w:t>
      </w:r>
      <w:r>
        <w:rPr>
          <w:sz w:val="22"/>
        </w:rPr>
        <w:t>o</w:t>
      </w:r>
      <w:r>
        <w:rPr>
          <w:spacing w:val="-2"/>
          <w:sz w:val="22"/>
        </w:rPr>
        <w:t> </w:t>
      </w:r>
      <w:r>
        <w:rPr>
          <w:sz w:val="22"/>
        </w:rPr>
        <w:t>de</w:t>
      </w:r>
      <w:r>
        <w:rPr>
          <w:spacing w:val="-6"/>
          <w:sz w:val="22"/>
        </w:rPr>
        <w:t> </w:t>
      </w:r>
      <w:r>
        <w:rPr>
          <w:sz w:val="22"/>
        </w:rPr>
        <w:t>otro</w:t>
      </w:r>
      <w:r>
        <w:rPr>
          <w:spacing w:val="-2"/>
          <w:sz w:val="22"/>
        </w:rPr>
        <w:t> </w:t>
      </w:r>
      <w:r>
        <w:rPr>
          <w:sz w:val="22"/>
        </w:rPr>
        <w:t>tipo</w:t>
      </w:r>
      <w:r>
        <w:rPr>
          <w:spacing w:val="-2"/>
          <w:sz w:val="22"/>
        </w:rPr>
        <w:t> </w:t>
      </w:r>
      <w:r>
        <w:rPr>
          <w:sz w:val="22"/>
        </w:rPr>
        <w:t>adecuados,</w:t>
      </w:r>
      <w:r>
        <w:rPr>
          <w:spacing w:val="-5"/>
          <w:sz w:val="22"/>
        </w:rPr>
        <w:t> </w:t>
      </w:r>
      <w:r>
        <w:rPr>
          <w:sz w:val="22"/>
        </w:rPr>
        <w:t>para</w:t>
      </w:r>
      <w:r>
        <w:rPr>
          <w:spacing w:val="-3"/>
          <w:sz w:val="22"/>
        </w:rPr>
        <w:t> </w:t>
      </w:r>
      <w:r>
        <w:rPr>
          <w:sz w:val="22"/>
        </w:rPr>
        <w:t>completar</w:t>
      </w:r>
      <w:r>
        <w:rPr>
          <w:spacing w:val="-2"/>
          <w:sz w:val="22"/>
        </w:rPr>
        <w:t> </w:t>
      </w:r>
      <w:r>
        <w:rPr>
          <w:sz w:val="22"/>
        </w:rPr>
        <w:t>el desarrollo y para utilizar o vender el activo intangible, y</w:t>
      </w:r>
    </w:p>
    <w:p>
      <w:pPr>
        <w:pStyle w:val="ListParagraph"/>
        <w:numPr>
          <w:ilvl w:val="0"/>
          <w:numId w:val="85"/>
        </w:numPr>
        <w:tabs>
          <w:tab w:pos="937" w:val="left" w:leader="none"/>
        </w:tabs>
        <w:spacing w:line="240" w:lineRule="auto" w:before="0" w:after="0"/>
        <w:ind w:left="691" w:right="1094" w:firstLine="0"/>
        <w:jc w:val="left"/>
        <w:rPr>
          <w:sz w:val="22"/>
        </w:rPr>
      </w:pPr>
      <w:r>
        <w:rPr>
          <w:sz w:val="22"/>
        </w:rPr>
        <w:t>su</w:t>
      </w:r>
      <w:r>
        <w:rPr>
          <w:spacing w:val="-2"/>
          <w:sz w:val="22"/>
        </w:rPr>
        <w:t> </w:t>
      </w:r>
      <w:r>
        <w:rPr>
          <w:sz w:val="22"/>
        </w:rPr>
        <w:t>capacidad</w:t>
      </w:r>
      <w:r>
        <w:rPr>
          <w:spacing w:val="-2"/>
          <w:sz w:val="22"/>
        </w:rPr>
        <w:t> </w:t>
      </w:r>
      <w:r>
        <w:rPr>
          <w:sz w:val="22"/>
        </w:rPr>
        <w:t>para</w:t>
      </w:r>
      <w:r>
        <w:rPr>
          <w:spacing w:val="-3"/>
          <w:sz w:val="22"/>
        </w:rPr>
        <w:t> </w:t>
      </w:r>
      <w:r>
        <w:rPr>
          <w:sz w:val="22"/>
        </w:rPr>
        <w:t>medir,</w:t>
      </w:r>
      <w:r>
        <w:rPr>
          <w:spacing w:val="-5"/>
          <w:sz w:val="22"/>
        </w:rPr>
        <w:t> </w:t>
      </w:r>
      <w:r>
        <w:rPr>
          <w:sz w:val="22"/>
        </w:rPr>
        <w:t>de</w:t>
      </w:r>
      <w:r>
        <w:rPr>
          <w:spacing w:val="-4"/>
          <w:sz w:val="22"/>
        </w:rPr>
        <w:t> </w:t>
      </w:r>
      <w:r>
        <w:rPr>
          <w:sz w:val="22"/>
        </w:rPr>
        <w:t>forma</w:t>
      </w:r>
      <w:r>
        <w:rPr>
          <w:spacing w:val="-3"/>
          <w:sz w:val="22"/>
        </w:rPr>
        <w:t> </w:t>
      </w:r>
      <w:r>
        <w:rPr>
          <w:sz w:val="22"/>
        </w:rPr>
        <w:t>fiable,</w:t>
      </w:r>
      <w:r>
        <w:rPr>
          <w:spacing w:val="-2"/>
          <w:sz w:val="22"/>
        </w:rPr>
        <w:t> </w:t>
      </w:r>
      <w:r>
        <w:rPr>
          <w:sz w:val="22"/>
        </w:rPr>
        <w:t>el</w:t>
      </w:r>
      <w:r>
        <w:rPr>
          <w:spacing w:val="-2"/>
          <w:sz w:val="22"/>
        </w:rPr>
        <w:t> </w:t>
      </w:r>
      <w:r>
        <w:rPr>
          <w:sz w:val="22"/>
        </w:rPr>
        <w:t>desembolso</w:t>
      </w:r>
      <w:r>
        <w:rPr>
          <w:spacing w:val="-4"/>
          <w:sz w:val="22"/>
        </w:rPr>
        <w:t> </w:t>
      </w:r>
      <w:r>
        <w:rPr>
          <w:sz w:val="22"/>
        </w:rPr>
        <w:t>atribuible</w:t>
      </w:r>
      <w:r>
        <w:rPr>
          <w:spacing w:val="-4"/>
          <w:sz w:val="22"/>
        </w:rPr>
        <w:t> </w:t>
      </w:r>
      <w:r>
        <w:rPr>
          <w:sz w:val="22"/>
        </w:rPr>
        <w:t>al</w:t>
      </w:r>
      <w:r>
        <w:rPr>
          <w:spacing w:val="-2"/>
          <w:sz w:val="22"/>
        </w:rPr>
        <w:t> </w:t>
      </w:r>
      <w:r>
        <w:rPr>
          <w:sz w:val="22"/>
        </w:rPr>
        <w:t>activo</w:t>
      </w:r>
      <w:r>
        <w:rPr>
          <w:spacing w:val="-2"/>
          <w:sz w:val="22"/>
        </w:rPr>
        <w:t> </w:t>
      </w:r>
      <w:r>
        <w:rPr>
          <w:sz w:val="22"/>
        </w:rPr>
        <w:t>intangible</w:t>
      </w:r>
      <w:r>
        <w:rPr>
          <w:spacing w:val="-3"/>
          <w:sz w:val="22"/>
        </w:rPr>
        <w:t> </w:t>
      </w:r>
      <w:r>
        <w:rPr>
          <w:sz w:val="22"/>
        </w:rPr>
        <w:t>durante</w:t>
      </w:r>
      <w:r>
        <w:rPr>
          <w:spacing w:val="-2"/>
          <w:sz w:val="22"/>
        </w:rPr>
        <w:t> </w:t>
      </w:r>
      <w:r>
        <w:rPr>
          <w:sz w:val="22"/>
        </w:rPr>
        <w:t>su </w:t>
      </w:r>
      <w:r>
        <w:rPr>
          <w:spacing w:val="-2"/>
          <w:sz w:val="22"/>
        </w:rPr>
        <w:t>desarrollo.</w:t>
      </w:r>
    </w:p>
    <w:p>
      <w:pPr>
        <w:pStyle w:val="BodyText"/>
        <w:spacing w:before="239"/>
        <w:ind w:left="691" w:right="1001"/>
      </w:pPr>
      <w:r>
        <w:rPr/>
        <w:t>Se</w:t>
      </w:r>
      <w:r>
        <w:rPr>
          <w:spacing w:val="-4"/>
        </w:rPr>
        <w:t> </w:t>
      </w:r>
      <w:r>
        <w:rPr/>
        <w:t>reconoce</w:t>
      </w:r>
      <w:r>
        <w:rPr>
          <w:spacing w:val="-5"/>
        </w:rPr>
        <w:t> </w:t>
      </w:r>
      <w:r>
        <w:rPr/>
        <w:t>las</w:t>
      </w:r>
      <w:r>
        <w:rPr>
          <w:spacing w:val="-5"/>
        </w:rPr>
        <w:t> </w:t>
      </w:r>
      <w:r>
        <w:rPr/>
        <w:t>marcas</w:t>
      </w:r>
      <w:r>
        <w:rPr>
          <w:spacing w:val="-5"/>
        </w:rPr>
        <w:t> </w:t>
      </w:r>
      <w:r>
        <w:rPr/>
        <w:t>generadas</w:t>
      </w:r>
      <w:r>
        <w:rPr>
          <w:spacing w:val="-2"/>
        </w:rPr>
        <w:t> </w:t>
      </w:r>
      <w:r>
        <w:rPr/>
        <w:t>internamente,</w:t>
      </w:r>
      <w:r>
        <w:rPr>
          <w:spacing w:val="-3"/>
        </w:rPr>
        <w:t> </w:t>
      </w:r>
      <w:r>
        <w:rPr/>
        <w:t>las</w:t>
      </w:r>
      <w:r>
        <w:rPr>
          <w:spacing w:val="-2"/>
        </w:rPr>
        <w:t> </w:t>
      </w:r>
      <w:r>
        <w:rPr/>
        <w:t>cabeceras,</w:t>
      </w:r>
      <w:r>
        <w:rPr>
          <w:spacing w:val="-3"/>
        </w:rPr>
        <w:t> </w:t>
      </w:r>
      <w:r>
        <w:rPr/>
        <w:t>los</w:t>
      </w:r>
      <w:r>
        <w:rPr>
          <w:spacing w:val="-2"/>
        </w:rPr>
        <w:t> </w:t>
      </w:r>
      <w:r>
        <w:rPr/>
        <w:t>títulos</w:t>
      </w:r>
      <w:r>
        <w:rPr>
          <w:spacing w:val="-2"/>
        </w:rPr>
        <w:t> </w:t>
      </w:r>
      <w:r>
        <w:rPr/>
        <w:t>de</w:t>
      </w:r>
      <w:r>
        <w:rPr>
          <w:spacing w:val="-5"/>
        </w:rPr>
        <w:t> </w:t>
      </w:r>
      <w:r>
        <w:rPr/>
        <w:t>publicación,</w:t>
      </w:r>
      <w:r>
        <w:rPr>
          <w:spacing w:val="-3"/>
        </w:rPr>
        <w:t> </w:t>
      </w:r>
      <w:r>
        <w:rPr/>
        <w:t>las</w:t>
      </w:r>
      <w:r>
        <w:rPr>
          <w:spacing w:val="-2"/>
        </w:rPr>
        <w:t> </w:t>
      </w:r>
      <w:r>
        <w:rPr/>
        <w:t>listas</w:t>
      </w:r>
      <w:r>
        <w:rPr>
          <w:spacing w:val="-2"/>
        </w:rPr>
        <w:t> </w:t>
      </w:r>
      <w:r>
        <w:rPr/>
        <w:t>de usuarios de un servicio y los elementos similares en sustancia a los activos intangibles.</w:t>
      </w:r>
    </w:p>
    <w:p>
      <w:pPr>
        <w:pStyle w:val="Heading6"/>
        <w:spacing w:before="241"/>
        <w:ind w:left="691"/>
      </w:pPr>
      <w:r>
        <w:rPr>
          <w:spacing w:val="-2"/>
        </w:rPr>
        <w:t>Medición:</w:t>
      </w:r>
    </w:p>
    <w:p>
      <w:pPr>
        <w:pStyle w:val="BodyText"/>
        <w:spacing w:line="259" w:lineRule="auto" w:before="241"/>
        <w:ind w:left="691" w:right="1053"/>
        <w:jc w:val="both"/>
      </w:pPr>
      <w:r>
        <w:rPr/>
        <w:t>Los activos intangibles</w:t>
      </w:r>
      <w:r>
        <w:rPr>
          <w:spacing w:val="-3"/>
        </w:rPr>
        <w:t> </w:t>
      </w:r>
      <w:r>
        <w:rPr/>
        <w:t>se</w:t>
      </w:r>
      <w:r>
        <w:rPr>
          <w:spacing w:val="-2"/>
        </w:rPr>
        <w:t> </w:t>
      </w:r>
      <w:r>
        <w:rPr/>
        <w:t>miden</w:t>
      </w:r>
      <w:r>
        <w:rPr>
          <w:spacing w:val="-1"/>
        </w:rPr>
        <w:t> </w:t>
      </w:r>
      <w:r>
        <w:rPr/>
        <w:t>inicialmente</w:t>
      </w:r>
      <w:r>
        <w:rPr>
          <w:spacing w:val="-1"/>
        </w:rPr>
        <w:t> </w:t>
      </w:r>
      <w:r>
        <w:rPr/>
        <w:t>por</w:t>
      </w:r>
      <w:r>
        <w:rPr>
          <w:spacing w:val="-1"/>
        </w:rPr>
        <w:t> </w:t>
      </w:r>
      <w:r>
        <w:rPr/>
        <w:t>su</w:t>
      </w:r>
      <w:r>
        <w:rPr>
          <w:spacing w:val="-1"/>
        </w:rPr>
        <w:t> </w:t>
      </w:r>
      <w:r>
        <w:rPr/>
        <w:t>costo,</w:t>
      </w:r>
      <w:r>
        <w:rPr>
          <w:spacing w:val="-1"/>
        </w:rPr>
        <w:t> </w:t>
      </w:r>
      <w:r>
        <w:rPr/>
        <w:t>y</w:t>
      </w:r>
      <w:r>
        <w:rPr>
          <w:spacing w:val="-2"/>
        </w:rPr>
        <w:t> </w:t>
      </w:r>
      <w:r>
        <w:rPr/>
        <w:t>si</w:t>
      </w:r>
      <w:r>
        <w:rPr>
          <w:spacing w:val="-4"/>
        </w:rPr>
        <w:t> </w:t>
      </w:r>
      <w:r>
        <w:rPr/>
        <w:t>se</w:t>
      </w:r>
      <w:r>
        <w:rPr>
          <w:spacing w:val="-2"/>
        </w:rPr>
        <w:t> </w:t>
      </w:r>
      <w:r>
        <w:rPr/>
        <w:t>adquiere</w:t>
      </w:r>
      <w:r>
        <w:rPr>
          <w:spacing w:val="-3"/>
        </w:rPr>
        <w:t> </w:t>
      </w:r>
      <w:r>
        <w:rPr/>
        <w:t>través de</w:t>
      </w:r>
      <w:r>
        <w:rPr>
          <w:spacing w:val="-5"/>
        </w:rPr>
        <w:t> </w:t>
      </w:r>
      <w:r>
        <w:rPr/>
        <w:t>una</w:t>
      </w:r>
      <w:r>
        <w:rPr>
          <w:spacing w:val="-2"/>
        </w:rPr>
        <w:t> </w:t>
      </w:r>
      <w:r>
        <w:rPr/>
        <w:t>transacción sin</w:t>
      </w:r>
      <w:r>
        <w:rPr>
          <w:spacing w:val="-2"/>
        </w:rPr>
        <w:t> </w:t>
      </w:r>
      <w:r>
        <w:rPr/>
        <w:t>contraprestación,</w:t>
      </w:r>
      <w:r>
        <w:rPr>
          <w:spacing w:val="-2"/>
        </w:rPr>
        <w:t> </w:t>
      </w:r>
      <w:r>
        <w:rPr/>
        <w:t>su</w:t>
      </w:r>
      <w:r>
        <w:rPr>
          <w:spacing w:val="-2"/>
        </w:rPr>
        <w:t> </w:t>
      </w:r>
      <w:r>
        <w:rPr/>
        <w:t>costo</w:t>
      </w:r>
      <w:r>
        <w:rPr>
          <w:spacing w:val="-2"/>
        </w:rPr>
        <w:t> </w:t>
      </w:r>
      <w:r>
        <w:rPr/>
        <w:t>inicial</w:t>
      </w:r>
      <w:r>
        <w:rPr>
          <w:spacing w:val="-2"/>
        </w:rPr>
        <w:t> </w:t>
      </w:r>
      <w:r>
        <w:rPr/>
        <w:t>en</w:t>
      </w:r>
      <w:r>
        <w:rPr>
          <w:spacing w:val="-2"/>
        </w:rPr>
        <w:t> </w:t>
      </w:r>
      <w:r>
        <w:rPr/>
        <w:t>la</w:t>
      </w:r>
      <w:r>
        <w:rPr>
          <w:spacing w:val="-3"/>
        </w:rPr>
        <w:t> </w:t>
      </w:r>
      <w:r>
        <w:rPr/>
        <w:t>fecha</w:t>
      </w:r>
      <w:r>
        <w:rPr>
          <w:spacing w:val="-3"/>
        </w:rPr>
        <w:t> </w:t>
      </w:r>
      <w:r>
        <w:rPr/>
        <w:t>de</w:t>
      </w:r>
      <w:r>
        <w:rPr>
          <w:spacing w:val="-4"/>
        </w:rPr>
        <w:t> </w:t>
      </w:r>
      <w:r>
        <w:rPr/>
        <w:t>adquisición</w:t>
      </w:r>
      <w:r>
        <w:rPr>
          <w:spacing w:val="-2"/>
        </w:rPr>
        <w:t> </w:t>
      </w:r>
      <w:r>
        <w:rPr/>
        <w:t>se</w:t>
      </w:r>
      <w:r>
        <w:rPr>
          <w:spacing w:val="-6"/>
        </w:rPr>
        <w:t> </w:t>
      </w:r>
      <w:r>
        <w:rPr/>
        <w:t>medirá</w:t>
      </w:r>
      <w:r>
        <w:rPr>
          <w:spacing w:val="-3"/>
        </w:rPr>
        <w:t> </w:t>
      </w:r>
      <w:r>
        <w:rPr/>
        <w:t>a</w:t>
      </w:r>
      <w:r>
        <w:rPr>
          <w:spacing w:val="-3"/>
        </w:rPr>
        <w:t> </w:t>
      </w:r>
      <w:r>
        <w:rPr/>
        <w:t>su</w:t>
      </w:r>
      <w:r>
        <w:rPr>
          <w:spacing w:val="-2"/>
        </w:rPr>
        <w:t> </w:t>
      </w:r>
      <w:r>
        <w:rPr/>
        <w:t>valor</w:t>
      </w:r>
      <w:r>
        <w:rPr>
          <w:spacing w:val="-7"/>
        </w:rPr>
        <w:t> </w:t>
      </w:r>
      <w:r>
        <w:rPr/>
        <w:t>razonable</w:t>
      </w:r>
      <w:r>
        <w:rPr>
          <w:spacing w:val="-4"/>
        </w:rPr>
        <w:t> </w:t>
      </w:r>
      <w:r>
        <w:rPr/>
        <w:t>en</w:t>
      </w:r>
      <w:r>
        <w:rPr>
          <w:spacing w:val="-2"/>
        </w:rPr>
        <w:t> </w:t>
      </w:r>
      <w:r>
        <w:rPr/>
        <w:t>esa </w:t>
      </w:r>
      <w:r>
        <w:rPr>
          <w:spacing w:val="-2"/>
        </w:rPr>
        <w:t>fecha.</w:t>
      </w:r>
    </w:p>
    <w:p>
      <w:pPr>
        <w:pStyle w:val="BodyText"/>
        <w:spacing w:before="238"/>
        <w:ind w:left="691" w:right="944"/>
      </w:pPr>
      <w:r>
        <w:rPr/>
        <w:t>Con</w:t>
      </w:r>
      <w:r>
        <w:rPr>
          <w:spacing w:val="-4"/>
        </w:rPr>
        <w:t> </w:t>
      </w:r>
      <w:r>
        <w:rPr/>
        <w:t>posterioridad</w:t>
      </w:r>
      <w:r>
        <w:rPr>
          <w:spacing w:val="-2"/>
        </w:rPr>
        <w:t> </w:t>
      </w:r>
      <w:r>
        <w:rPr/>
        <w:t>a</w:t>
      </w:r>
      <w:r>
        <w:rPr>
          <w:spacing w:val="-3"/>
        </w:rPr>
        <w:t> </w:t>
      </w:r>
      <w:r>
        <w:rPr/>
        <w:t>su</w:t>
      </w:r>
      <w:r>
        <w:rPr>
          <w:spacing w:val="-2"/>
        </w:rPr>
        <w:t> </w:t>
      </w:r>
      <w:r>
        <w:rPr/>
        <w:t>reconocimiento</w:t>
      </w:r>
      <w:r>
        <w:rPr>
          <w:spacing w:val="-2"/>
        </w:rPr>
        <w:t> </w:t>
      </w:r>
      <w:r>
        <w:rPr/>
        <w:t>inicial,</w:t>
      </w:r>
      <w:r>
        <w:rPr>
          <w:spacing w:val="-2"/>
        </w:rPr>
        <w:t> </w:t>
      </w:r>
      <w:r>
        <w:rPr/>
        <w:t>un</w:t>
      </w:r>
      <w:r>
        <w:rPr>
          <w:spacing w:val="-2"/>
        </w:rPr>
        <w:t> </w:t>
      </w:r>
      <w:r>
        <w:rPr/>
        <w:t>activo</w:t>
      </w:r>
      <w:r>
        <w:rPr>
          <w:spacing w:val="-4"/>
        </w:rPr>
        <w:t> </w:t>
      </w:r>
      <w:r>
        <w:rPr/>
        <w:t>intangible</w:t>
      </w:r>
      <w:r>
        <w:rPr>
          <w:spacing w:val="-3"/>
        </w:rPr>
        <w:t> </w:t>
      </w:r>
      <w:r>
        <w:rPr/>
        <w:t>se</w:t>
      </w:r>
      <w:r>
        <w:rPr>
          <w:spacing w:val="-3"/>
        </w:rPr>
        <w:t> </w:t>
      </w:r>
      <w:r>
        <w:rPr/>
        <w:t>registrará</w:t>
      </w:r>
      <w:r>
        <w:rPr>
          <w:spacing w:val="-3"/>
        </w:rPr>
        <w:t> </w:t>
      </w:r>
      <w:r>
        <w:rPr/>
        <w:t>por</w:t>
      </w:r>
      <w:r>
        <w:rPr>
          <w:spacing w:val="-5"/>
        </w:rPr>
        <w:t> </w:t>
      </w:r>
      <w:r>
        <w:rPr/>
        <w:t>su</w:t>
      </w:r>
      <w:r>
        <w:rPr>
          <w:spacing w:val="-2"/>
        </w:rPr>
        <w:t> </w:t>
      </w:r>
      <w:r>
        <w:rPr/>
        <w:t>costo</w:t>
      </w:r>
      <w:r>
        <w:rPr>
          <w:spacing w:val="-2"/>
        </w:rPr>
        <w:t> </w:t>
      </w:r>
      <w:r>
        <w:rPr/>
        <w:t>menos</w:t>
      </w:r>
      <w:r>
        <w:rPr>
          <w:spacing w:val="-4"/>
        </w:rPr>
        <w:t> </w:t>
      </w:r>
      <w:r>
        <w:rPr/>
        <w:t>la amortización acumulada y el importe de las pérdidas por deterioro del valor acumuladas en el modelo del costo.</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2608">
                <wp:simplePos x="0" y="0"/>
                <wp:positionH relativeFrom="page">
                  <wp:posOffset>9525</wp:posOffset>
                </wp:positionH>
                <wp:positionV relativeFrom="page">
                  <wp:posOffset>297208</wp:posOffset>
                </wp:positionV>
                <wp:extent cx="7762875" cy="9748520"/>
                <wp:effectExtent l="0" t="0" r="0" b="0"/>
                <wp:wrapNone/>
                <wp:docPr id="1036" name="Group 1036"/>
                <wp:cNvGraphicFramePr>
                  <a:graphicFrameLocks/>
                </wp:cNvGraphicFramePr>
                <a:graphic>
                  <a:graphicData uri="http://schemas.microsoft.com/office/word/2010/wordprocessingGroup">
                    <wpg:wgp>
                      <wpg:cNvPr id="1036" name="Group 1036"/>
                      <wpg:cNvGrpSpPr/>
                      <wpg:grpSpPr>
                        <a:xfrm>
                          <a:off x="0" y="0"/>
                          <a:ext cx="7762875" cy="9748520"/>
                          <a:chExt cx="7762875" cy="9748520"/>
                        </a:xfrm>
                      </wpg:grpSpPr>
                      <pic:pic>
                        <pic:nvPicPr>
                          <pic:cNvPr id="1037" name="Image 1037"/>
                          <pic:cNvPicPr/>
                        </pic:nvPicPr>
                        <pic:blipFill>
                          <a:blip r:embed="rId5" cstate="print"/>
                          <a:stretch>
                            <a:fillRect/>
                          </a:stretch>
                        </pic:blipFill>
                        <pic:spPr>
                          <a:xfrm>
                            <a:off x="0" y="0"/>
                            <a:ext cx="7762874" cy="9748489"/>
                          </a:xfrm>
                          <a:prstGeom prst="rect">
                            <a:avLst/>
                          </a:prstGeom>
                        </pic:spPr>
                      </pic:pic>
                      <wps:wsp>
                        <wps:cNvPr id="1038" name="Graphic 1038"/>
                        <wps:cNvSpPr/>
                        <wps:spPr>
                          <a:xfrm>
                            <a:off x="1053007" y="990837"/>
                            <a:ext cx="6225540" cy="6402070"/>
                          </a:xfrm>
                          <a:custGeom>
                            <a:avLst/>
                            <a:gdLst/>
                            <a:ahLst/>
                            <a:cxnLst/>
                            <a:rect l="l" t="t" r="r" b="b"/>
                            <a:pathLst>
                              <a:path w="6225540" h="6402070">
                                <a:moveTo>
                                  <a:pt x="5649214" y="0"/>
                                </a:moveTo>
                                <a:lnTo>
                                  <a:pt x="0" y="0"/>
                                </a:lnTo>
                                <a:lnTo>
                                  <a:pt x="0" y="9131"/>
                                </a:lnTo>
                                <a:lnTo>
                                  <a:pt x="5649214" y="9131"/>
                                </a:lnTo>
                                <a:lnTo>
                                  <a:pt x="5649214" y="0"/>
                                </a:lnTo>
                                <a:close/>
                              </a:path>
                              <a:path w="6225540" h="6402070">
                                <a:moveTo>
                                  <a:pt x="6225235" y="989203"/>
                                </a:moveTo>
                                <a:lnTo>
                                  <a:pt x="6219139" y="989203"/>
                                </a:lnTo>
                                <a:lnTo>
                                  <a:pt x="6219139" y="6395707"/>
                                </a:lnTo>
                                <a:lnTo>
                                  <a:pt x="21336" y="6395707"/>
                                </a:lnTo>
                                <a:lnTo>
                                  <a:pt x="21336" y="989203"/>
                                </a:lnTo>
                                <a:lnTo>
                                  <a:pt x="15240" y="989203"/>
                                </a:lnTo>
                                <a:lnTo>
                                  <a:pt x="15240" y="6395707"/>
                                </a:lnTo>
                                <a:lnTo>
                                  <a:pt x="15240" y="6401803"/>
                                </a:lnTo>
                                <a:lnTo>
                                  <a:pt x="21336" y="6401803"/>
                                </a:lnTo>
                                <a:lnTo>
                                  <a:pt x="6219139" y="6401803"/>
                                </a:lnTo>
                                <a:lnTo>
                                  <a:pt x="6225235" y="6401803"/>
                                </a:lnTo>
                                <a:lnTo>
                                  <a:pt x="6225235" y="6395707"/>
                                </a:lnTo>
                                <a:lnTo>
                                  <a:pt x="6225235" y="989203"/>
                                </a:lnTo>
                                <a:close/>
                              </a:path>
                              <a:path w="6225540" h="6402070">
                                <a:moveTo>
                                  <a:pt x="6225235" y="982967"/>
                                </a:moveTo>
                                <a:lnTo>
                                  <a:pt x="6219190" y="982967"/>
                                </a:lnTo>
                                <a:lnTo>
                                  <a:pt x="21336" y="982967"/>
                                </a:lnTo>
                                <a:lnTo>
                                  <a:pt x="15240" y="982967"/>
                                </a:lnTo>
                                <a:lnTo>
                                  <a:pt x="15240" y="989063"/>
                                </a:lnTo>
                                <a:lnTo>
                                  <a:pt x="21336" y="989063"/>
                                </a:lnTo>
                                <a:lnTo>
                                  <a:pt x="6219139" y="989063"/>
                                </a:lnTo>
                                <a:lnTo>
                                  <a:pt x="6225235" y="989063"/>
                                </a:lnTo>
                                <a:lnTo>
                                  <a:pt x="6225235" y="98296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3872" id="docshapegroup983" coordorigin="15,468" coordsize="12225,15352">
                <v:shape style="position:absolute;left:15;top:468;width:12225;height:15352" type="#_x0000_t75" id="docshape984" stroked="false">
                  <v:imagedata r:id="rId5" o:title=""/>
                </v:shape>
                <v:shape style="position:absolute;left:1673;top:2028;width:9804;height:10082" id="docshape985" coordorigin="1673,2028" coordsize="9804,10082" path="m10570,2028l1673,2028,1673,2043,10570,2043,10570,2028xm11477,3586l11467,3586,11467,12100,1707,12100,1707,3586,1697,3586,1697,12100,1697,12110,1707,12110,11467,12110,11467,12110,11477,12110,11477,12100,11477,3586xm11477,3576l11467,3576,11467,3576,1707,3576,1697,3576,1697,3586,1707,3586,11467,3586,11467,3586,11477,3586,11477,3576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198</w:t>
      </w:r>
    </w:p>
    <w:p>
      <w:pPr>
        <w:pStyle w:val="BodyText"/>
        <w:spacing w:before="10"/>
        <w:rPr>
          <w:sz w:val="16"/>
        </w:rPr>
      </w:pPr>
      <w:r>
        <w:rPr>
          <w:sz w:val="16"/>
        </w:rPr>
        <mc:AlternateContent>
          <mc:Choice Requires="wps">
            <w:drawing>
              <wp:anchor distT="0" distB="0" distL="0" distR="0" allowOverlap="1" layoutInCell="1" locked="0" behindDoc="1" simplePos="0" relativeHeight="487795200">
                <wp:simplePos x="0" y="0"/>
                <wp:positionH relativeFrom="page">
                  <wp:posOffset>1080820</wp:posOffset>
                </wp:positionH>
                <wp:positionV relativeFrom="paragraph">
                  <wp:posOffset>141144</wp:posOffset>
                </wp:positionV>
                <wp:extent cx="5715000" cy="433070"/>
                <wp:effectExtent l="0" t="0" r="0" b="0"/>
                <wp:wrapTopAndBottom/>
                <wp:docPr id="1039" name="Textbox 1039"/>
                <wp:cNvGraphicFramePr>
                  <a:graphicFrameLocks/>
                </wp:cNvGraphicFramePr>
                <a:graphic>
                  <a:graphicData uri="http://schemas.microsoft.com/office/word/2010/wordprocessingShape">
                    <wps:wsp>
                      <wps:cNvPr id="1039" name="Textbox 1039"/>
                      <wps:cNvSpPr txBox="1"/>
                      <wps:spPr>
                        <a:xfrm>
                          <a:off x="0" y="0"/>
                          <a:ext cx="5715000" cy="433070"/>
                        </a:xfrm>
                        <a:prstGeom prst="rect">
                          <a:avLst/>
                        </a:prstGeom>
                        <a:ln w="6095">
                          <a:solidFill>
                            <a:srgbClr val="000000"/>
                          </a:solidFill>
                          <a:prstDash val="solid"/>
                        </a:ln>
                      </wps:spPr>
                      <wps:txbx>
                        <w:txbxContent>
                          <w:p>
                            <w:pPr>
                              <w:pStyle w:val="BodyText"/>
                              <w:spacing w:before="240"/>
                              <w:ind w:left="64"/>
                            </w:pPr>
                            <w:r>
                              <w:rPr/>
                              <w:t>Las</w:t>
                            </w:r>
                            <w:r>
                              <w:rPr>
                                <w:spacing w:val="-4"/>
                              </w:rPr>
                              <w:t> </w:t>
                            </w:r>
                            <w:r>
                              <w:rPr/>
                              <w:t>Políticas</w:t>
                            </w:r>
                            <w:r>
                              <w:rPr>
                                <w:spacing w:val="-6"/>
                              </w:rPr>
                              <w:t> </w:t>
                            </w:r>
                            <w:r>
                              <w:rPr/>
                              <w:t>Contables</w:t>
                            </w:r>
                            <w:r>
                              <w:rPr>
                                <w:spacing w:val="-3"/>
                              </w:rPr>
                              <w:t> </w:t>
                            </w:r>
                            <w:r>
                              <w:rPr/>
                              <w:t>aplicables</w:t>
                            </w:r>
                            <w:r>
                              <w:rPr>
                                <w:spacing w:val="-4"/>
                              </w:rPr>
                              <w:t> </w:t>
                            </w:r>
                            <w:r>
                              <w:rPr/>
                              <w:t>se</w:t>
                            </w:r>
                            <w:r>
                              <w:rPr>
                                <w:spacing w:val="-5"/>
                              </w:rPr>
                              <w:t> </w:t>
                            </w:r>
                            <w:r>
                              <w:rPr/>
                              <w:t>muestran</w:t>
                            </w:r>
                            <w:r>
                              <w:rPr>
                                <w:spacing w:val="-4"/>
                              </w:rPr>
                              <w:t> </w:t>
                            </w:r>
                            <w:r>
                              <w:rPr/>
                              <w:t>en</w:t>
                            </w:r>
                            <w:r>
                              <w:rPr>
                                <w:spacing w:val="-5"/>
                              </w:rPr>
                              <w:t> </w:t>
                            </w:r>
                            <w:r>
                              <w:rPr/>
                              <w:t>el</w:t>
                            </w:r>
                            <w:r>
                              <w:rPr>
                                <w:spacing w:val="-3"/>
                              </w:rPr>
                              <w:t> </w:t>
                            </w:r>
                            <w:r>
                              <w:rPr/>
                              <w:t>Anexo</w:t>
                            </w:r>
                            <w:r>
                              <w:rPr>
                                <w:spacing w:val="-4"/>
                              </w:rPr>
                              <w:t> </w:t>
                            </w:r>
                            <w:r>
                              <w:rPr>
                                <w:spacing w:val="-2"/>
                              </w:rPr>
                              <w:t>No.3.</w:t>
                            </w:r>
                          </w:p>
                        </w:txbxContent>
                      </wps:txbx>
                      <wps:bodyPr wrap="square" lIns="0" tIns="0" rIns="0" bIns="0" rtlCol="0">
                        <a:noAutofit/>
                      </wps:bodyPr>
                    </wps:wsp>
                  </a:graphicData>
                </a:graphic>
              </wp:anchor>
            </w:drawing>
          </mc:Choice>
          <mc:Fallback>
            <w:pict>
              <v:shape style="position:absolute;margin-left:85.103996pt;margin-top:11.11375pt;width:450pt;height:34.1pt;mso-position-horizontal-relative:page;mso-position-vertical-relative:paragraph;z-index:-15521280;mso-wrap-distance-left:0;mso-wrap-distance-right:0" type="#_x0000_t202" id="docshape986" filled="false" stroked="true" strokeweight=".47998pt" strokecolor="#000000">
                <v:textbox inset="0,0,0,0">
                  <w:txbxContent>
                    <w:p>
                      <w:pPr>
                        <w:pStyle w:val="BodyText"/>
                        <w:spacing w:before="240"/>
                        <w:ind w:left="64"/>
                      </w:pPr>
                      <w:r>
                        <w:rPr/>
                        <w:t>Las</w:t>
                      </w:r>
                      <w:r>
                        <w:rPr>
                          <w:spacing w:val="-4"/>
                        </w:rPr>
                        <w:t> </w:t>
                      </w:r>
                      <w:r>
                        <w:rPr/>
                        <w:t>Políticas</w:t>
                      </w:r>
                      <w:r>
                        <w:rPr>
                          <w:spacing w:val="-6"/>
                        </w:rPr>
                        <w:t> </w:t>
                      </w:r>
                      <w:r>
                        <w:rPr/>
                        <w:t>Contables</w:t>
                      </w:r>
                      <w:r>
                        <w:rPr>
                          <w:spacing w:val="-3"/>
                        </w:rPr>
                        <w:t> </w:t>
                      </w:r>
                      <w:r>
                        <w:rPr/>
                        <w:t>aplicables</w:t>
                      </w:r>
                      <w:r>
                        <w:rPr>
                          <w:spacing w:val="-4"/>
                        </w:rPr>
                        <w:t> </w:t>
                      </w:r>
                      <w:r>
                        <w:rPr/>
                        <w:t>se</w:t>
                      </w:r>
                      <w:r>
                        <w:rPr>
                          <w:spacing w:val="-5"/>
                        </w:rPr>
                        <w:t> </w:t>
                      </w:r>
                      <w:r>
                        <w:rPr/>
                        <w:t>muestran</w:t>
                      </w:r>
                      <w:r>
                        <w:rPr>
                          <w:spacing w:val="-4"/>
                        </w:rPr>
                        <w:t> </w:t>
                      </w:r>
                      <w:r>
                        <w:rPr/>
                        <w:t>en</w:t>
                      </w:r>
                      <w:r>
                        <w:rPr>
                          <w:spacing w:val="-5"/>
                        </w:rPr>
                        <w:t> </w:t>
                      </w:r>
                      <w:r>
                        <w:rPr/>
                        <w:t>el</w:t>
                      </w:r>
                      <w:r>
                        <w:rPr>
                          <w:spacing w:val="-3"/>
                        </w:rPr>
                        <w:t> </w:t>
                      </w:r>
                      <w:r>
                        <w:rPr/>
                        <w:t>Anexo</w:t>
                      </w:r>
                      <w:r>
                        <w:rPr>
                          <w:spacing w:val="-4"/>
                        </w:rPr>
                        <w:t> </w:t>
                      </w:r>
                      <w:r>
                        <w:rPr>
                          <w:spacing w:val="-2"/>
                        </w:rPr>
                        <w:t>No.3.</w:t>
                      </w:r>
                    </w:p>
                  </w:txbxContent>
                </v:textbox>
                <v:stroke dashstyle="solid"/>
                <w10:wrap type="topAndBottom"/>
              </v:shape>
            </w:pict>
          </mc:Fallback>
        </mc:AlternateContent>
      </w:r>
    </w:p>
    <w:p>
      <w:pPr>
        <w:spacing w:before="37"/>
        <w:ind w:left="622" w:right="0" w:firstLine="0"/>
        <w:jc w:val="left"/>
        <w:rPr>
          <w:b/>
          <w:i/>
          <w:sz w:val="23"/>
        </w:rPr>
      </w:pPr>
      <w:bookmarkStart w:name="_bookmark154" w:id="155"/>
      <w:bookmarkEnd w:id="155"/>
      <w:r>
        <w:rPr/>
      </w:r>
      <w:r>
        <w:rPr>
          <w:b/>
          <w:sz w:val="22"/>
        </w:rPr>
        <w:t>Revelación</w:t>
      </w:r>
      <w:r>
        <w:rPr>
          <w:b/>
          <w:spacing w:val="-14"/>
          <w:sz w:val="22"/>
        </w:rPr>
        <w:t> </w:t>
      </w:r>
      <w:r>
        <w:rPr>
          <w:b/>
          <w:sz w:val="22"/>
        </w:rPr>
        <w:t>NICSP</w:t>
      </w:r>
      <w:r>
        <w:rPr>
          <w:b/>
          <w:spacing w:val="-14"/>
          <w:sz w:val="22"/>
        </w:rPr>
        <w:t> </w:t>
      </w:r>
      <w:r>
        <w:rPr>
          <w:b/>
          <w:sz w:val="22"/>
        </w:rPr>
        <w:t>31</w:t>
      </w:r>
      <w:r>
        <w:rPr>
          <w:b/>
          <w:spacing w:val="-11"/>
          <w:sz w:val="22"/>
        </w:rPr>
        <w:t> </w:t>
      </w:r>
      <w:r>
        <w:rPr>
          <w:b/>
          <w:i/>
          <w:sz w:val="23"/>
        </w:rPr>
        <w:t>Activos</w:t>
      </w:r>
      <w:r>
        <w:rPr>
          <w:b/>
          <w:i/>
          <w:spacing w:val="-15"/>
          <w:sz w:val="23"/>
        </w:rPr>
        <w:t> </w:t>
      </w:r>
      <w:r>
        <w:rPr>
          <w:b/>
          <w:i/>
          <w:spacing w:val="-2"/>
          <w:sz w:val="23"/>
        </w:rPr>
        <w:t>Intangibles</w:t>
      </w:r>
    </w:p>
    <w:p>
      <w:pPr>
        <w:pStyle w:val="BodyText"/>
        <w:spacing w:before="110"/>
        <w:rPr>
          <w:b/>
          <w:i/>
          <w:sz w:val="23"/>
        </w:rPr>
      </w:pPr>
    </w:p>
    <w:p>
      <w:pPr>
        <w:pStyle w:val="Heading6"/>
        <w:spacing w:before="1"/>
        <w:ind w:left="730"/>
        <w:rPr>
          <w:b w:val="0"/>
        </w:rPr>
      </w:pPr>
      <w:r>
        <w:rPr>
          <w:color w:val="1F4E79"/>
          <w:spacing w:val="-2"/>
          <w:u w:val="single" w:color="1F4E79"/>
        </w:rPr>
        <w:t>Revelación</w:t>
      </w:r>
      <w:r>
        <w:rPr>
          <w:b w:val="0"/>
          <w:spacing w:val="-2"/>
          <w:u w:val="none"/>
        </w:rPr>
        <w:t>:</w:t>
      </w:r>
    </w:p>
    <w:p>
      <w:pPr>
        <w:pStyle w:val="ListParagraph"/>
        <w:numPr>
          <w:ilvl w:val="1"/>
          <w:numId w:val="85"/>
        </w:numPr>
        <w:tabs>
          <w:tab w:pos="1450" w:val="left" w:leader="none"/>
        </w:tabs>
        <w:spacing w:line="240" w:lineRule="auto" w:before="178" w:after="0"/>
        <w:ind w:left="1450" w:right="156" w:hanging="360"/>
        <w:jc w:val="left"/>
        <w:rPr>
          <w:sz w:val="22"/>
        </w:rPr>
      </w:pPr>
      <w:r>
        <w:rPr>
          <w:sz w:val="22"/>
        </w:rPr>
        <w:t>Las</w:t>
      </w:r>
      <w:r>
        <w:rPr>
          <w:spacing w:val="-10"/>
          <w:sz w:val="22"/>
        </w:rPr>
        <w:t> </w:t>
      </w:r>
      <w:r>
        <w:rPr>
          <w:sz w:val="22"/>
        </w:rPr>
        <w:t>vidas</w:t>
      </w:r>
      <w:r>
        <w:rPr>
          <w:spacing w:val="-10"/>
          <w:sz w:val="22"/>
        </w:rPr>
        <w:t> </w:t>
      </w:r>
      <w:r>
        <w:rPr>
          <w:sz w:val="22"/>
        </w:rPr>
        <w:t>útiles</w:t>
      </w:r>
      <w:r>
        <w:rPr>
          <w:spacing w:val="-12"/>
          <w:sz w:val="22"/>
        </w:rPr>
        <w:t> </w:t>
      </w:r>
      <w:r>
        <w:rPr>
          <w:sz w:val="22"/>
        </w:rPr>
        <w:t>de</w:t>
      </w:r>
      <w:r>
        <w:rPr>
          <w:spacing w:val="-10"/>
          <w:sz w:val="22"/>
        </w:rPr>
        <w:t> </w:t>
      </w:r>
      <w:r>
        <w:rPr>
          <w:sz w:val="22"/>
        </w:rPr>
        <w:t>los</w:t>
      </w:r>
      <w:r>
        <w:rPr>
          <w:spacing w:val="-10"/>
          <w:sz w:val="22"/>
        </w:rPr>
        <w:t> </w:t>
      </w:r>
      <w:r>
        <w:rPr>
          <w:sz w:val="22"/>
        </w:rPr>
        <w:t>activos</w:t>
      </w:r>
      <w:r>
        <w:rPr>
          <w:spacing w:val="-10"/>
          <w:sz w:val="22"/>
        </w:rPr>
        <w:t> </w:t>
      </w:r>
      <w:r>
        <w:rPr>
          <w:sz w:val="22"/>
        </w:rPr>
        <w:t>registrados</w:t>
      </w:r>
      <w:r>
        <w:rPr>
          <w:spacing w:val="-10"/>
          <w:sz w:val="22"/>
        </w:rPr>
        <w:t> </w:t>
      </w:r>
      <w:r>
        <w:rPr>
          <w:sz w:val="22"/>
        </w:rPr>
        <w:t>son</w:t>
      </w:r>
      <w:r>
        <w:rPr>
          <w:spacing w:val="-13"/>
          <w:sz w:val="22"/>
        </w:rPr>
        <w:t> </w:t>
      </w:r>
      <w:r>
        <w:rPr>
          <w:sz w:val="22"/>
        </w:rPr>
        <w:t>finitas.</w:t>
      </w:r>
      <w:r>
        <w:rPr>
          <w:spacing w:val="-10"/>
          <w:sz w:val="22"/>
        </w:rPr>
        <w:t> </w:t>
      </w:r>
      <w:r>
        <w:rPr>
          <w:sz w:val="22"/>
        </w:rPr>
        <w:t>Los</w:t>
      </w:r>
      <w:r>
        <w:rPr>
          <w:spacing w:val="-12"/>
          <w:sz w:val="22"/>
        </w:rPr>
        <w:t> </w:t>
      </w:r>
      <w:r>
        <w:rPr>
          <w:sz w:val="22"/>
        </w:rPr>
        <w:t>programas</w:t>
      </w:r>
      <w:r>
        <w:rPr>
          <w:spacing w:val="-12"/>
          <w:sz w:val="22"/>
        </w:rPr>
        <w:t> </w:t>
      </w:r>
      <w:r>
        <w:rPr>
          <w:sz w:val="22"/>
        </w:rPr>
        <w:t>generados</w:t>
      </w:r>
      <w:r>
        <w:rPr>
          <w:spacing w:val="-10"/>
          <w:sz w:val="22"/>
        </w:rPr>
        <w:t> </w:t>
      </w:r>
      <w:r>
        <w:rPr>
          <w:sz w:val="22"/>
        </w:rPr>
        <w:t>internamente</w:t>
      </w:r>
      <w:r>
        <w:rPr>
          <w:spacing w:val="-11"/>
          <w:sz w:val="22"/>
        </w:rPr>
        <w:t> </w:t>
      </w:r>
      <w:r>
        <w:rPr>
          <w:sz w:val="22"/>
        </w:rPr>
        <w:t>tienen</w:t>
      </w:r>
      <w:r>
        <w:rPr>
          <w:spacing w:val="-10"/>
          <w:sz w:val="22"/>
        </w:rPr>
        <w:t> </w:t>
      </w:r>
      <w:r>
        <w:rPr>
          <w:sz w:val="22"/>
        </w:rPr>
        <w:t>una vida útil indefinida.</w:t>
      </w:r>
    </w:p>
    <w:p>
      <w:pPr>
        <w:pStyle w:val="ListParagraph"/>
        <w:numPr>
          <w:ilvl w:val="1"/>
          <w:numId w:val="85"/>
        </w:numPr>
        <w:tabs>
          <w:tab w:pos="1448" w:val="left" w:leader="none"/>
        </w:tabs>
        <w:spacing w:line="251" w:lineRule="exact" w:before="0" w:after="0"/>
        <w:ind w:left="1448" w:right="0" w:hanging="358"/>
        <w:jc w:val="left"/>
        <w:rPr>
          <w:sz w:val="22"/>
        </w:rPr>
      </w:pPr>
      <w:r>
        <w:rPr>
          <w:sz w:val="22"/>
        </w:rPr>
        <w:t>La</w:t>
      </w:r>
      <w:r>
        <w:rPr>
          <w:spacing w:val="-4"/>
          <w:sz w:val="22"/>
        </w:rPr>
        <w:t> </w:t>
      </w:r>
      <w:r>
        <w:rPr>
          <w:sz w:val="22"/>
        </w:rPr>
        <w:t>tasa</w:t>
      </w:r>
      <w:r>
        <w:rPr>
          <w:spacing w:val="-3"/>
          <w:sz w:val="22"/>
        </w:rPr>
        <w:t> </w:t>
      </w:r>
      <w:r>
        <w:rPr>
          <w:sz w:val="22"/>
        </w:rPr>
        <w:t>de</w:t>
      </w:r>
      <w:r>
        <w:rPr>
          <w:spacing w:val="-2"/>
          <w:sz w:val="22"/>
        </w:rPr>
        <w:t> </w:t>
      </w:r>
      <w:r>
        <w:rPr>
          <w:sz w:val="22"/>
        </w:rPr>
        <w:t>amortización</w:t>
      </w:r>
      <w:r>
        <w:rPr>
          <w:spacing w:val="-4"/>
          <w:sz w:val="22"/>
        </w:rPr>
        <w:t> </w:t>
      </w:r>
      <w:r>
        <w:rPr>
          <w:sz w:val="22"/>
        </w:rPr>
        <w:t>es</w:t>
      </w:r>
      <w:r>
        <w:rPr>
          <w:spacing w:val="-4"/>
          <w:sz w:val="22"/>
        </w:rPr>
        <w:t> </w:t>
      </w:r>
      <w:r>
        <w:rPr>
          <w:sz w:val="22"/>
        </w:rPr>
        <w:t>de</w:t>
      </w:r>
      <w:r>
        <w:rPr>
          <w:spacing w:val="-2"/>
          <w:sz w:val="22"/>
        </w:rPr>
        <w:t> </w:t>
      </w:r>
      <w:r>
        <w:rPr>
          <w:sz w:val="22"/>
        </w:rPr>
        <w:t>3</w:t>
      </w:r>
      <w:r>
        <w:rPr>
          <w:spacing w:val="-2"/>
          <w:sz w:val="22"/>
        </w:rPr>
        <w:t> </w:t>
      </w:r>
      <w:r>
        <w:rPr>
          <w:sz w:val="22"/>
        </w:rPr>
        <w:t>años</w:t>
      </w:r>
      <w:r>
        <w:rPr>
          <w:spacing w:val="-1"/>
          <w:sz w:val="22"/>
        </w:rPr>
        <w:t> </w:t>
      </w:r>
      <w:r>
        <w:rPr>
          <w:sz w:val="22"/>
        </w:rPr>
        <w:t>y</w:t>
      </w:r>
      <w:r>
        <w:rPr>
          <w:spacing w:val="-6"/>
          <w:sz w:val="22"/>
        </w:rPr>
        <w:t> </w:t>
      </w:r>
      <w:r>
        <w:rPr>
          <w:sz w:val="22"/>
        </w:rPr>
        <w:t>es</w:t>
      </w:r>
      <w:r>
        <w:rPr>
          <w:spacing w:val="-1"/>
          <w:sz w:val="22"/>
        </w:rPr>
        <w:t> </w:t>
      </w:r>
      <w:r>
        <w:rPr>
          <w:sz w:val="22"/>
        </w:rPr>
        <w:t>calculada</w:t>
      </w:r>
      <w:r>
        <w:rPr>
          <w:spacing w:val="-3"/>
          <w:sz w:val="22"/>
        </w:rPr>
        <w:t> </w:t>
      </w:r>
      <w:r>
        <w:rPr>
          <w:sz w:val="22"/>
        </w:rPr>
        <w:t>por</w:t>
      </w:r>
      <w:r>
        <w:rPr>
          <w:spacing w:val="-4"/>
          <w:sz w:val="22"/>
        </w:rPr>
        <w:t> </w:t>
      </w:r>
      <w:r>
        <w:rPr>
          <w:sz w:val="22"/>
        </w:rPr>
        <w:t>el</w:t>
      </w:r>
      <w:r>
        <w:rPr>
          <w:spacing w:val="-2"/>
          <w:sz w:val="22"/>
        </w:rPr>
        <w:t> </w:t>
      </w:r>
      <w:r>
        <w:rPr>
          <w:sz w:val="22"/>
        </w:rPr>
        <w:t>método</w:t>
      </w:r>
      <w:r>
        <w:rPr>
          <w:spacing w:val="-2"/>
          <w:sz w:val="22"/>
        </w:rPr>
        <w:t> </w:t>
      </w:r>
      <w:r>
        <w:rPr>
          <w:sz w:val="22"/>
        </w:rPr>
        <w:t>de</w:t>
      </w:r>
      <w:r>
        <w:rPr>
          <w:spacing w:val="-1"/>
          <w:sz w:val="22"/>
        </w:rPr>
        <w:t> </w:t>
      </w:r>
      <w:r>
        <w:rPr>
          <w:sz w:val="22"/>
        </w:rPr>
        <w:t>línea</w:t>
      </w:r>
      <w:r>
        <w:rPr>
          <w:spacing w:val="-3"/>
          <w:sz w:val="22"/>
        </w:rPr>
        <w:t> </w:t>
      </w:r>
      <w:r>
        <w:rPr>
          <w:spacing w:val="-2"/>
          <w:sz w:val="22"/>
        </w:rPr>
        <w:t>recta.</w:t>
      </w:r>
    </w:p>
    <w:p>
      <w:pPr>
        <w:pStyle w:val="BodyText"/>
      </w:pPr>
    </w:p>
    <w:p>
      <w:pPr>
        <w:pStyle w:val="ListParagraph"/>
        <w:numPr>
          <w:ilvl w:val="1"/>
          <w:numId w:val="85"/>
        </w:numPr>
        <w:tabs>
          <w:tab w:pos="1450" w:val="left" w:leader="none"/>
        </w:tabs>
        <w:spacing w:line="240" w:lineRule="auto" w:before="1" w:after="0"/>
        <w:ind w:left="1450" w:right="156" w:hanging="360"/>
        <w:jc w:val="left"/>
        <w:rPr>
          <w:sz w:val="22"/>
        </w:rPr>
      </w:pPr>
      <w:r>
        <w:rPr>
          <w:sz w:val="22"/>
        </w:rPr>
        <w:t>el</w:t>
      </w:r>
      <w:r>
        <w:rPr>
          <w:spacing w:val="-14"/>
          <w:sz w:val="22"/>
        </w:rPr>
        <w:t> </w:t>
      </w:r>
      <w:r>
        <w:rPr>
          <w:sz w:val="22"/>
        </w:rPr>
        <w:t>importe</w:t>
      </w:r>
      <w:r>
        <w:rPr>
          <w:spacing w:val="-14"/>
          <w:sz w:val="22"/>
        </w:rPr>
        <w:t> </w:t>
      </w:r>
      <w:r>
        <w:rPr>
          <w:sz w:val="22"/>
        </w:rPr>
        <w:t>en</w:t>
      </w:r>
      <w:r>
        <w:rPr>
          <w:spacing w:val="-14"/>
          <w:sz w:val="22"/>
        </w:rPr>
        <w:t> </w:t>
      </w:r>
      <w:r>
        <w:rPr>
          <w:sz w:val="22"/>
        </w:rPr>
        <w:t>libros</w:t>
      </w:r>
      <w:r>
        <w:rPr>
          <w:spacing w:val="-13"/>
          <w:sz w:val="22"/>
        </w:rPr>
        <w:t> </w:t>
      </w:r>
      <w:r>
        <w:rPr>
          <w:sz w:val="22"/>
        </w:rPr>
        <w:t>bruto</w:t>
      </w:r>
      <w:r>
        <w:rPr>
          <w:spacing w:val="-14"/>
          <w:sz w:val="22"/>
        </w:rPr>
        <w:t> </w:t>
      </w:r>
      <w:r>
        <w:rPr>
          <w:sz w:val="22"/>
        </w:rPr>
        <w:t>y</w:t>
      </w:r>
      <w:r>
        <w:rPr>
          <w:spacing w:val="-14"/>
          <w:sz w:val="22"/>
        </w:rPr>
        <w:t> </w:t>
      </w:r>
      <w:r>
        <w:rPr>
          <w:sz w:val="22"/>
        </w:rPr>
        <w:t>la</w:t>
      </w:r>
      <w:r>
        <w:rPr>
          <w:spacing w:val="-14"/>
          <w:sz w:val="22"/>
        </w:rPr>
        <w:t> </w:t>
      </w:r>
      <w:r>
        <w:rPr>
          <w:sz w:val="22"/>
        </w:rPr>
        <w:t>amortización</w:t>
      </w:r>
      <w:r>
        <w:rPr>
          <w:spacing w:val="-13"/>
          <w:sz w:val="22"/>
        </w:rPr>
        <w:t> </w:t>
      </w:r>
      <w:r>
        <w:rPr>
          <w:sz w:val="22"/>
        </w:rPr>
        <w:t>acumulada</w:t>
      </w:r>
      <w:r>
        <w:rPr>
          <w:spacing w:val="-14"/>
          <w:sz w:val="22"/>
        </w:rPr>
        <w:t> </w:t>
      </w:r>
      <w:r>
        <w:rPr>
          <w:sz w:val="22"/>
        </w:rPr>
        <w:t>(junto</w:t>
      </w:r>
      <w:r>
        <w:rPr>
          <w:spacing w:val="-14"/>
          <w:sz w:val="22"/>
        </w:rPr>
        <w:t> </w:t>
      </w:r>
      <w:r>
        <w:rPr>
          <w:sz w:val="22"/>
        </w:rPr>
        <w:t>con</w:t>
      </w:r>
      <w:r>
        <w:rPr>
          <w:spacing w:val="-14"/>
          <w:sz w:val="22"/>
        </w:rPr>
        <w:t> </w:t>
      </w:r>
      <w:r>
        <w:rPr>
          <w:sz w:val="22"/>
        </w:rPr>
        <w:t>el</w:t>
      </w:r>
      <w:r>
        <w:rPr>
          <w:spacing w:val="-14"/>
          <w:sz w:val="22"/>
        </w:rPr>
        <w:t> </w:t>
      </w:r>
      <w:r>
        <w:rPr>
          <w:sz w:val="22"/>
        </w:rPr>
        <w:t>importe</w:t>
      </w:r>
      <w:r>
        <w:rPr>
          <w:spacing w:val="-13"/>
          <w:sz w:val="22"/>
        </w:rPr>
        <w:t> </w:t>
      </w:r>
      <w:r>
        <w:rPr>
          <w:sz w:val="22"/>
        </w:rPr>
        <w:t>acumulado</w:t>
      </w:r>
      <w:r>
        <w:rPr>
          <w:spacing w:val="-14"/>
          <w:sz w:val="22"/>
        </w:rPr>
        <w:t> </w:t>
      </w:r>
      <w:r>
        <w:rPr>
          <w:sz w:val="22"/>
        </w:rPr>
        <w:t>de</w:t>
      </w:r>
      <w:r>
        <w:rPr>
          <w:spacing w:val="-14"/>
          <w:sz w:val="22"/>
        </w:rPr>
        <w:t> </w:t>
      </w:r>
      <w:r>
        <w:rPr>
          <w:sz w:val="22"/>
        </w:rPr>
        <w:t>las</w:t>
      </w:r>
      <w:r>
        <w:rPr>
          <w:spacing w:val="-14"/>
          <w:sz w:val="22"/>
        </w:rPr>
        <w:t> </w:t>
      </w:r>
      <w:r>
        <w:rPr>
          <w:sz w:val="22"/>
        </w:rPr>
        <w:t>pérdidas por deterioro del valor), tanto al principio como al final de cada periodo se muestra a continuación:</w:t>
      </w:r>
    </w:p>
    <w:p>
      <w:pPr>
        <w:pStyle w:val="BodyText"/>
        <w:spacing w:before="24"/>
        <w:rPr>
          <w:sz w:val="20"/>
        </w:rPr>
      </w:pPr>
    </w:p>
    <w:tbl>
      <w:tblPr>
        <w:tblW w:w="0" w:type="auto"/>
        <w:jc w:val="left"/>
        <w:tblInd w:w="2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9"/>
        <w:gridCol w:w="1994"/>
        <w:gridCol w:w="1704"/>
      </w:tblGrid>
      <w:tr>
        <w:trPr>
          <w:trHeight w:val="478" w:hRule="atLeast"/>
        </w:trPr>
        <w:tc>
          <w:tcPr>
            <w:tcW w:w="7357" w:type="dxa"/>
            <w:gridSpan w:val="3"/>
            <w:tcBorders>
              <w:top w:val="single" w:sz="2" w:space="0" w:color="000000"/>
              <w:left w:val="single" w:sz="2" w:space="0" w:color="000000"/>
              <w:right w:val="single" w:sz="4" w:space="0" w:color="000000"/>
            </w:tcBorders>
          </w:tcPr>
          <w:p>
            <w:pPr>
              <w:pStyle w:val="TableParagraph"/>
              <w:tabs>
                <w:tab w:pos="3350" w:val="left" w:leader="none"/>
                <w:tab w:pos="4017" w:val="left" w:leader="none"/>
                <w:tab w:pos="6436" w:val="left" w:leader="none"/>
                <w:tab w:pos="7351" w:val="left" w:leader="none"/>
              </w:tabs>
              <w:spacing w:before="15"/>
              <w:ind w:left="26" w:right="-15"/>
              <w:rPr>
                <w:rFonts w:ascii="Calibri"/>
                <w:b/>
                <w:sz w:val="17"/>
              </w:rPr>
            </w:pPr>
            <w:r>
              <w:rPr>
                <w:rFonts w:ascii="Calibri"/>
                <w:b/>
                <w:w w:val="105"/>
                <w:sz w:val="17"/>
              </w:rPr>
              <w:t>Bienes</w:t>
            </w:r>
            <w:r>
              <w:rPr>
                <w:rFonts w:ascii="Calibri"/>
                <w:b/>
                <w:spacing w:val="-7"/>
                <w:w w:val="105"/>
                <w:sz w:val="17"/>
              </w:rPr>
              <w:t> </w:t>
            </w:r>
            <w:r>
              <w:rPr>
                <w:rFonts w:ascii="Calibri"/>
                <w:b/>
                <w:spacing w:val="-2"/>
                <w:w w:val="105"/>
                <w:sz w:val="17"/>
              </w:rPr>
              <w:t>intangibles</w:t>
            </w:r>
            <w:r>
              <w:rPr>
                <w:rFonts w:ascii="Calibri"/>
                <w:b/>
                <w:sz w:val="17"/>
              </w:rPr>
              <w:tab/>
            </w:r>
            <w:r>
              <w:rPr>
                <w:rFonts w:ascii="Calibri"/>
                <w:b/>
                <w:sz w:val="17"/>
                <w:u w:val="single"/>
              </w:rPr>
              <w:tab/>
            </w:r>
            <w:r>
              <w:rPr>
                <w:rFonts w:ascii="Calibri"/>
                <w:b/>
                <w:spacing w:val="-4"/>
                <w:w w:val="105"/>
                <w:sz w:val="17"/>
                <w:u w:val="single"/>
              </w:rPr>
              <w:t>2025</w:t>
            </w:r>
            <w:r>
              <w:rPr>
                <w:rFonts w:ascii="Calibri"/>
                <w:b/>
                <w:sz w:val="17"/>
                <w:u w:val="single"/>
              </w:rPr>
              <w:tab/>
            </w:r>
            <w:r>
              <w:rPr>
                <w:rFonts w:ascii="Calibri"/>
                <w:b/>
                <w:spacing w:val="-4"/>
                <w:w w:val="105"/>
                <w:sz w:val="17"/>
                <w:u w:val="single"/>
              </w:rPr>
              <w:t>2024</w:t>
            </w:r>
            <w:r>
              <w:rPr>
                <w:rFonts w:ascii="Calibri"/>
                <w:b/>
                <w:sz w:val="17"/>
                <w:u w:val="single"/>
              </w:rPr>
              <w:tab/>
            </w:r>
          </w:p>
          <w:p>
            <w:pPr>
              <w:pStyle w:val="TableParagraph"/>
              <w:spacing w:before="23"/>
              <w:ind w:left="26"/>
              <w:rPr>
                <w:rFonts w:ascii="Calibri"/>
                <w:b/>
                <w:sz w:val="17"/>
              </w:rPr>
            </w:pPr>
            <w:r>
              <w:rPr>
                <w:rFonts w:ascii="Calibri"/>
                <w:b/>
                <w:w w:val="105"/>
                <w:sz w:val="17"/>
              </w:rPr>
              <w:t>Patentes</w:t>
            </w:r>
            <w:r>
              <w:rPr>
                <w:rFonts w:ascii="Calibri"/>
                <w:b/>
                <w:spacing w:val="-9"/>
                <w:w w:val="105"/>
                <w:sz w:val="17"/>
              </w:rPr>
              <w:t> </w:t>
            </w:r>
            <w:r>
              <w:rPr>
                <w:rFonts w:ascii="Calibri"/>
                <w:b/>
                <w:w w:val="105"/>
                <w:sz w:val="17"/>
              </w:rPr>
              <w:t>y</w:t>
            </w:r>
            <w:r>
              <w:rPr>
                <w:rFonts w:ascii="Calibri"/>
                <w:b/>
                <w:spacing w:val="-8"/>
                <w:w w:val="105"/>
                <w:sz w:val="17"/>
              </w:rPr>
              <w:t> </w:t>
            </w:r>
            <w:r>
              <w:rPr>
                <w:rFonts w:ascii="Calibri"/>
                <w:b/>
                <w:w w:val="105"/>
                <w:sz w:val="17"/>
              </w:rPr>
              <w:t>marcas</w:t>
            </w:r>
            <w:r>
              <w:rPr>
                <w:rFonts w:ascii="Calibri"/>
                <w:b/>
                <w:spacing w:val="-8"/>
                <w:w w:val="105"/>
                <w:sz w:val="17"/>
              </w:rPr>
              <w:t> </w:t>
            </w:r>
            <w:r>
              <w:rPr>
                <w:rFonts w:ascii="Calibri"/>
                <w:b/>
                <w:spacing w:val="-2"/>
                <w:w w:val="105"/>
                <w:sz w:val="17"/>
              </w:rPr>
              <w:t>registradas</w:t>
            </w:r>
          </w:p>
        </w:tc>
      </w:tr>
      <w:tr>
        <w:trPr>
          <w:trHeight w:val="229"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spacing w:val="-2"/>
                <w:w w:val="105"/>
                <w:sz w:val="17"/>
              </w:rPr>
              <w:t>Patentes</w:t>
            </w:r>
            <w:r>
              <w:rPr>
                <w:rFonts w:ascii="Calibri"/>
                <w:spacing w:val="-4"/>
                <w:w w:val="105"/>
                <w:sz w:val="17"/>
              </w:rPr>
              <w:t> </w:t>
            </w:r>
            <w:r>
              <w:rPr>
                <w:rFonts w:ascii="Calibri"/>
                <w:spacing w:val="-2"/>
                <w:w w:val="105"/>
                <w:sz w:val="17"/>
              </w:rPr>
              <w:t>y</w:t>
            </w:r>
            <w:r>
              <w:rPr>
                <w:rFonts w:ascii="Calibri"/>
                <w:w w:val="105"/>
                <w:sz w:val="17"/>
              </w:rPr>
              <w:t> </w:t>
            </w:r>
            <w:r>
              <w:rPr>
                <w:rFonts w:ascii="Calibri"/>
                <w:spacing w:val="-2"/>
                <w:w w:val="105"/>
                <w:sz w:val="17"/>
              </w:rPr>
              <w:t>marcas</w:t>
            </w:r>
            <w:r>
              <w:rPr>
                <w:rFonts w:ascii="Calibri"/>
                <w:spacing w:val="-3"/>
                <w:w w:val="105"/>
                <w:sz w:val="17"/>
              </w:rPr>
              <w:t> </w:t>
            </w:r>
            <w:r>
              <w:rPr>
                <w:rFonts w:ascii="Calibri"/>
                <w:spacing w:val="-2"/>
                <w:w w:val="105"/>
                <w:sz w:val="17"/>
              </w:rPr>
              <w:t>registradas</w:t>
            </w:r>
            <w:r>
              <w:rPr>
                <w:rFonts w:ascii="Calibri"/>
                <w:spacing w:val="-4"/>
                <w:w w:val="105"/>
                <w:sz w:val="17"/>
              </w:rPr>
              <w:t> </w:t>
            </w:r>
            <w:r>
              <w:rPr>
                <w:rFonts w:ascii="Calibri"/>
                <w:spacing w:val="-2"/>
                <w:w w:val="105"/>
                <w:sz w:val="17"/>
              </w:rPr>
              <w:t>Valores</w:t>
            </w:r>
            <w:r>
              <w:rPr>
                <w:rFonts w:ascii="Calibri"/>
                <w:spacing w:val="-3"/>
                <w:w w:val="105"/>
                <w:sz w:val="17"/>
              </w:rPr>
              <w:t> </w:t>
            </w:r>
            <w:r>
              <w:rPr>
                <w:rFonts w:ascii="Calibri"/>
                <w:spacing w:val="-2"/>
                <w:w w:val="105"/>
                <w:sz w:val="17"/>
              </w:rPr>
              <w:t>de</w:t>
            </w:r>
            <w:r>
              <w:rPr>
                <w:rFonts w:ascii="Calibri"/>
                <w:spacing w:val="-3"/>
                <w:w w:val="105"/>
                <w:sz w:val="17"/>
              </w:rPr>
              <w:t> </w:t>
            </w:r>
            <w:r>
              <w:rPr>
                <w:rFonts w:ascii="Calibri"/>
                <w:spacing w:val="-2"/>
                <w:w w:val="105"/>
                <w:sz w:val="17"/>
              </w:rPr>
              <w:t>orige</w:t>
            </w:r>
          </w:p>
        </w:tc>
        <w:tc>
          <w:tcPr>
            <w:tcW w:w="1994" w:type="dxa"/>
          </w:tcPr>
          <w:p>
            <w:pPr>
              <w:pStyle w:val="TableParagraph"/>
              <w:spacing w:line="205" w:lineRule="exact"/>
              <w:ind w:left="209" w:right="212"/>
              <w:jc w:val="center"/>
              <w:rPr>
                <w:rFonts w:ascii="Calibri"/>
                <w:sz w:val="17"/>
              </w:rPr>
            </w:pPr>
            <w:r>
              <w:rPr>
                <w:rFonts w:ascii="Calibri"/>
                <w:w w:val="105"/>
                <w:sz w:val="17"/>
              </w:rPr>
              <w:t>2</w:t>
            </w:r>
            <w:r>
              <w:rPr>
                <w:rFonts w:ascii="Calibri"/>
                <w:spacing w:val="-3"/>
                <w:w w:val="105"/>
                <w:sz w:val="17"/>
              </w:rPr>
              <w:t> </w:t>
            </w:r>
            <w:r>
              <w:rPr>
                <w:rFonts w:ascii="Calibri"/>
                <w:spacing w:val="-2"/>
                <w:w w:val="105"/>
                <w:sz w:val="17"/>
              </w:rPr>
              <w:t>324,00</w:t>
            </w:r>
          </w:p>
        </w:tc>
        <w:tc>
          <w:tcPr>
            <w:tcW w:w="1704" w:type="dxa"/>
            <w:tcBorders>
              <w:right w:val="single" w:sz="4" w:space="0" w:color="000000"/>
            </w:tcBorders>
          </w:tcPr>
          <w:p>
            <w:pPr>
              <w:pStyle w:val="TableParagraph"/>
              <w:spacing w:line="205" w:lineRule="exact"/>
              <w:ind w:right="70"/>
              <w:jc w:val="right"/>
              <w:rPr>
                <w:rFonts w:ascii="Calibri"/>
                <w:sz w:val="17"/>
              </w:rPr>
            </w:pPr>
            <w:r>
              <w:rPr>
                <w:rFonts w:ascii="Calibri"/>
                <w:w w:val="105"/>
                <w:sz w:val="17"/>
              </w:rPr>
              <w:t>2</w:t>
            </w:r>
            <w:r>
              <w:rPr>
                <w:rFonts w:ascii="Calibri"/>
                <w:spacing w:val="-3"/>
                <w:w w:val="105"/>
                <w:sz w:val="17"/>
              </w:rPr>
              <w:t> </w:t>
            </w:r>
            <w:r>
              <w:rPr>
                <w:rFonts w:ascii="Calibri"/>
                <w:spacing w:val="-2"/>
                <w:w w:val="105"/>
                <w:sz w:val="17"/>
              </w:rPr>
              <w:t>324,00</w:t>
            </w:r>
          </w:p>
        </w:tc>
      </w:tr>
      <w:tr>
        <w:trPr>
          <w:trHeight w:val="230"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sz w:val="17"/>
              </w:rPr>
              <w:t>Amortizaciones</w:t>
            </w:r>
            <w:r>
              <w:rPr>
                <w:rFonts w:ascii="Calibri"/>
                <w:spacing w:val="27"/>
                <w:sz w:val="17"/>
              </w:rPr>
              <w:t> </w:t>
            </w:r>
            <w:r>
              <w:rPr>
                <w:rFonts w:ascii="Calibri"/>
                <w:spacing w:val="-2"/>
                <w:sz w:val="17"/>
              </w:rPr>
              <w:t>acumuladas</w:t>
            </w:r>
          </w:p>
        </w:tc>
        <w:tc>
          <w:tcPr>
            <w:tcW w:w="1994" w:type="dxa"/>
          </w:tcPr>
          <w:p>
            <w:pPr>
              <w:pStyle w:val="TableParagraph"/>
              <w:spacing w:line="205" w:lineRule="exact"/>
              <w:ind w:right="630"/>
              <w:jc w:val="right"/>
              <w:rPr>
                <w:rFonts w:ascii="Calibri"/>
                <w:sz w:val="17"/>
              </w:rPr>
            </w:pPr>
            <w:r>
              <w:rPr>
                <w:rFonts w:ascii="Calibri"/>
                <w:w w:val="105"/>
                <w:sz w:val="17"/>
              </w:rPr>
              <w:t>(2</w:t>
            </w:r>
            <w:r>
              <w:rPr>
                <w:rFonts w:ascii="Calibri"/>
                <w:spacing w:val="-6"/>
                <w:w w:val="105"/>
                <w:sz w:val="17"/>
              </w:rPr>
              <w:t> </w:t>
            </w:r>
            <w:r>
              <w:rPr>
                <w:rFonts w:ascii="Calibri"/>
                <w:spacing w:val="-2"/>
                <w:w w:val="105"/>
                <w:sz w:val="17"/>
              </w:rPr>
              <w:t>324,00)</w:t>
            </w:r>
          </w:p>
        </w:tc>
        <w:tc>
          <w:tcPr>
            <w:tcW w:w="1704" w:type="dxa"/>
            <w:tcBorders>
              <w:right w:val="single" w:sz="4" w:space="0" w:color="000000"/>
            </w:tcBorders>
          </w:tcPr>
          <w:p>
            <w:pPr>
              <w:pStyle w:val="TableParagraph"/>
              <w:spacing w:line="205" w:lineRule="exact"/>
              <w:ind w:right="15"/>
              <w:jc w:val="right"/>
              <w:rPr>
                <w:rFonts w:ascii="Calibri"/>
                <w:sz w:val="17"/>
              </w:rPr>
            </w:pPr>
            <w:r>
              <w:rPr>
                <w:rFonts w:ascii="Calibri"/>
                <w:w w:val="105"/>
                <w:sz w:val="17"/>
              </w:rPr>
              <w:t>(2</w:t>
            </w:r>
            <w:r>
              <w:rPr>
                <w:rFonts w:ascii="Calibri"/>
                <w:spacing w:val="-6"/>
                <w:w w:val="105"/>
                <w:sz w:val="17"/>
              </w:rPr>
              <w:t> </w:t>
            </w:r>
            <w:r>
              <w:rPr>
                <w:rFonts w:ascii="Calibri"/>
                <w:spacing w:val="-2"/>
                <w:w w:val="105"/>
                <w:sz w:val="17"/>
              </w:rPr>
              <w:t>324,00)</w:t>
            </w:r>
          </w:p>
        </w:tc>
      </w:tr>
      <w:tr>
        <w:trPr>
          <w:trHeight w:val="230" w:hRule="atLeast"/>
        </w:trPr>
        <w:tc>
          <w:tcPr>
            <w:tcW w:w="3659" w:type="dxa"/>
            <w:tcBorders>
              <w:left w:val="single" w:sz="2" w:space="0" w:color="000000"/>
            </w:tcBorders>
          </w:tcPr>
          <w:p>
            <w:pPr>
              <w:pStyle w:val="TableParagraph"/>
              <w:spacing w:line="205" w:lineRule="exact"/>
              <w:ind w:left="26"/>
              <w:rPr>
                <w:rFonts w:ascii="Calibri"/>
                <w:b/>
                <w:sz w:val="17"/>
              </w:rPr>
            </w:pPr>
            <w:r>
              <w:rPr>
                <w:rFonts w:ascii="Calibri"/>
                <w:b/>
                <w:w w:val="105"/>
                <w:sz w:val="17"/>
              </w:rPr>
              <w:t>Total</w:t>
            </w:r>
            <w:r>
              <w:rPr>
                <w:rFonts w:ascii="Calibri"/>
                <w:b/>
                <w:spacing w:val="-10"/>
                <w:w w:val="105"/>
                <w:sz w:val="17"/>
              </w:rPr>
              <w:t> </w:t>
            </w:r>
            <w:r>
              <w:rPr>
                <w:rFonts w:ascii="Calibri"/>
                <w:b/>
                <w:w w:val="105"/>
                <w:sz w:val="17"/>
              </w:rPr>
              <w:t>Patentes</w:t>
            </w:r>
            <w:r>
              <w:rPr>
                <w:rFonts w:ascii="Calibri"/>
                <w:b/>
                <w:spacing w:val="-9"/>
                <w:w w:val="105"/>
                <w:sz w:val="17"/>
              </w:rPr>
              <w:t> </w:t>
            </w:r>
            <w:r>
              <w:rPr>
                <w:rFonts w:ascii="Calibri"/>
                <w:b/>
                <w:w w:val="105"/>
                <w:sz w:val="17"/>
              </w:rPr>
              <w:t>y</w:t>
            </w:r>
            <w:r>
              <w:rPr>
                <w:rFonts w:ascii="Calibri"/>
                <w:b/>
                <w:spacing w:val="-8"/>
                <w:w w:val="105"/>
                <w:sz w:val="17"/>
              </w:rPr>
              <w:t> </w:t>
            </w:r>
            <w:r>
              <w:rPr>
                <w:rFonts w:ascii="Calibri"/>
                <w:b/>
                <w:w w:val="105"/>
                <w:sz w:val="17"/>
              </w:rPr>
              <w:t>marcas</w:t>
            </w:r>
            <w:r>
              <w:rPr>
                <w:rFonts w:ascii="Calibri"/>
                <w:b/>
                <w:spacing w:val="-9"/>
                <w:w w:val="105"/>
                <w:sz w:val="17"/>
              </w:rPr>
              <w:t> </w:t>
            </w:r>
            <w:r>
              <w:rPr>
                <w:rFonts w:ascii="Calibri"/>
                <w:b/>
                <w:spacing w:val="-2"/>
                <w:w w:val="105"/>
                <w:sz w:val="17"/>
              </w:rPr>
              <w:t>registradas</w:t>
            </w:r>
          </w:p>
        </w:tc>
        <w:tc>
          <w:tcPr>
            <w:tcW w:w="1994" w:type="dxa"/>
          </w:tcPr>
          <w:p>
            <w:pPr>
              <w:pStyle w:val="TableParagraph"/>
              <w:spacing w:line="205" w:lineRule="exact"/>
              <w:ind w:left="212" w:right="3"/>
              <w:jc w:val="center"/>
              <w:rPr>
                <w:rFonts w:ascii="Calibri"/>
                <w:sz w:val="17"/>
              </w:rPr>
            </w:pPr>
            <w:r>
              <w:rPr>
                <w:rFonts w:ascii="Calibri"/>
                <w:spacing w:val="-10"/>
                <w:w w:val="105"/>
                <w:sz w:val="17"/>
              </w:rPr>
              <w:t>-</w:t>
            </w:r>
          </w:p>
        </w:tc>
        <w:tc>
          <w:tcPr>
            <w:tcW w:w="1704" w:type="dxa"/>
            <w:tcBorders>
              <w:right w:val="single" w:sz="4" w:space="0" w:color="000000"/>
            </w:tcBorders>
          </w:tcPr>
          <w:p>
            <w:pPr>
              <w:pStyle w:val="TableParagraph"/>
              <w:spacing w:line="205" w:lineRule="exact"/>
              <w:ind w:right="248"/>
              <w:jc w:val="right"/>
              <w:rPr>
                <w:rFonts w:ascii="Calibri"/>
                <w:sz w:val="17"/>
              </w:rPr>
            </w:pPr>
            <w:r>
              <w:rPr>
                <w:rFonts w:ascii="Calibri"/>
                <w:spacing w:val="-10"/>
                <w:w w:val="105"/>
                <w:sz w:val="17"/>
              </w:rPr>
              <w:t>-</w:t>
            </w:r>
          </w:p>
        </w:tc>
      </w:tr>
      <w:tr>
        <w:trPr>
          <w:trHeight w:val="230" w:hRule="atLeast"/>
        </w:trPr>
        <w:tc>
          <w:tcPr>
            <w:tcW w:w="3659" w:type="dxa"/>
            <w:tcBorders>
              <w:left w:val="single" w:sz="2" w:space="0" w:color="000000"/>
            </w:tcBorders>
          </w:tcPr>
          <w:p>
            <w:pPr>
              <w:pStyle w:val="TableParagraph"/>
              <w:spacing w:line="205" w:lineRule="exact"/>
              <w:ind w:left="26"/>
              <w:rPr>
                <w:rFonts w:ascii="Calibri"/>
                <w:b/>
                <w:sz w:val="17"/>
              </w:rPr>
            </w:pPr>
            <w:r>
              <w:rPr>
                <w:rFonts w:ascii="Calibri"/>
                <w:b/>
                <w:w w:val="105"/>
                <w:sz w:val="17"/>
              </w:rPr>
              <w:t>Software</w:t>
            </w:r>
            <w:r>
              <w:rPr>
                <w:rFonts w:ascii="Calibri"/>
                <w:b/>
                <w:spacing w:val="-8"/>
                <w:w w:val="105"/>
                <w:sz w:val="17"/>
              </w:rPr>
              <w:t> </w:t>
            </w:r>
            <w:r>
              <w:rPr>
                <w:rFonts w:ascii="Calibri"/>
                <w:b/>
                <w:w w:val="105"/>
                <w:sz w:val="17"/>
              </w:rPr>
              <w:t>y</w:t>
            </w:r>
            <w:r>
              <w:rPr>
                <w:rFonts w:ascii="Calibri"/>
                <w:b/>
                <w:spacing w:val="-7"/>
                <w:w w:val="105"/>
                <w:sz w:val="17"/>
              </w:rPr>
              <w:t> </w:t>
            </w:r>
            <w:r>
              <w:rPr>
                <w:rFonts w:ascii="Calibri"/>
                <w:b/>
                <w:spacing w:val="-2"/>
                <w:w w:val="105"/>
                <w:sz w:val="17"/>
              </w:rPr>
              <w:t>programas</w:t>
            </w:r>
          </w:p>
        </w:tc>
        <w:tc>
          <w:tcPr>
            <w:tcW w:w="1994" w:type="dxa"/>
          </w:tcPr>
          <w:p>
            <w:pPr>
              <w:pStyle w:val="TableParagraph"/>
              <w:rPr>
                <w:rFonts w:ascii="Times New Roman"/>
                <w:sz w:val="16"/>
              </w:rPr>
            </w:pPr>
          </w:p>
        </w:tc>
        <w:tc>
          <w:tcPr>
            <w:tcW w:w="1704" w:type="dxa"/>
            <w:tcBorders>
              <w:right w:val="single" w:sz="4" w:space="0" w:color="000000"/>
            </w:tcBorders>
          </w:tcPr>
          <w:p>
            <w:pPr>
              <w:pStyle w:val="TableParagraph"/>
              <w:rPr>
                <w:rFonts w:ascii="Times New Roman"/>
                <w:sz w:val="16"/>
              </w:rPr>
            </w:pPr>
          </w:p>
        </w:tc>
      </w:tr>
      <w:tr>
        <w:trPr>
          <w:trHeight w:val="230"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spacing w:val="-2"/>
                <w:w w:val="105"/>
                <w:sz w:val="17"/>
              </w:rPr>
              <w:t>Valores</w:t>
            </w:r>
            <w:r>
              <w:rPr>
                <w:rFonts w:ascii="Calibri"/>
                <w:spacing w:val="-4"/>
                <w:w w:val="105"/>
                <w:sz w:val="17"/>
              </w:rPr>
              <w:t> </w:t>
            </w:r>
            <w:r>
              <w:rPr>
                <w:rFonts w:ascii="Calibri"/>
                <w:spacing w:val="-2"/>
                <w:w w:val="105"/>
                <w:sz w:val="17"/>
              </w:rPr>
              <w:t>de</w:t>
            </w:r>
            <w:r>
              <w:rPr>
                <w:rFonts w:ascii="Calibri"/>
                <w:spacing w:val="-4"/>
                <w:w w:val="105"/>
                <w:sz w:val="17"/>
              </w:rPr>
              <w:t> </w:t>
            </w:r>
            <w:r>
              <w:rPr>
                <w:rFonts w:ascii="Calibri"/>
                <w:spacing w:val="-2"/>
                <w:w w:val="105"/>
                <w:sz w:val="17"/>
              </w:rPr>
              <w:t>Origen</w:t>
            </w:r>
            <w:r>
              <w:rPr>
                <w:rFonts w:ascii="Calibri"/>
                <w:spacing w:val="-4"/>
                <w:w w:val="105"/>
                <w:sz w:val="17"/>
              </w:rPr>
              <w:t> </w:t>
            </w:r>
            <w:r>
              <w:rPr>
                <w:rFonts w:ascii="Calibri"/>
                <w:spacing w:val="-2"/>
                <w:w w:val="105"/>
                <w:sz w:val="17"/>
              </w:rPr>
              <w:t>Software</w:t>
            </w:r>
          </w:p>
        </w:tc>
        <w:tc>
          <w:tcPr>
            <w:tcW w:w="1994" w:type="dxa"/>
          </w:tcPr>
          <w:p>
            <w:pPr>
              <w:pStyle w:val="TableParagraph"/>
              <w:spacing w:line="205" w:lineRule="exact"/>
              <w:ind w:left="370"/>
              <w:rPr>
                <w:rFonts w:ascii="Calibri"/>
                <w:sz w:val="17"/>
              </w:rPr>
            </w:pPr>
            <w:r>
              <w:rPr>
                <w:rFonts w:ascii="Calibri"/>
                <w:w w:val="105"/>
                <w:sz w:val="17"/>
              </w:rPr>
              <w:t>2</w:t>
            </w:r>
            <w:r>
              <w:rPr>
                <w:rFonts w:ascii="Calibri"/>
                <w:spacing w:val="-4"/>
                <w:w w:val="105"/>
                <w:sz w:val="17"/>
              </w:rPr>
              <w:t> </w:t>
            </w:r>
            <w:r>
              <w:rPr>
                <w:rFonts w:ascii="Calibri"/>
                <w:w w:val="105"/>
                <w:sz w:val="17"/>
              </w:rPr>
              <w:t>033</w:t>
            </w:r>
            <w:r>
              <w:rPr>
                <w:rFonts w:ascii="Calibri"/>
                <w:spacing w:val="-4"/>
                <w:w w:val="105"/>
                <w:sz w:val="17"/>
              </w:rPr>
              <w:t> </w:t>
            </w:r>
            <w:r>
              <w:rPr>
                <w:rFonts w:ascii="Calibri"/>
                <w:spacing w:val="-2"/>
                <w:w w:val="105"/>
                <w:sz w:val="17"/>
              </w:rPr>
              <w:t>955,11</w:t>
            </w:r>
          </w:p>
        </w:tc>
        <w:tc>
          <w:tcPr>
            <w:tcW w:w="1704" w:type="dxa"/>
            <w:tcBorders>
              <w:right w:val="single" w:sz="4" w:space="0" w:color="000000"/>
            </w:tcBorders>
          </w:tcPr>
          <w:p>
            <w:pPr>
              <w:pStyle w:val="TableParagraph"/>
              <w:spacing w:line="205" w:lineRule="exact"/>
              <w:ind w:right="71"/>
              <w:jc w:val="right"/>
              <w:rPr>
                <w:rFonts w:ascii="Calibri"/>
                <w:sz w:val="17"/>
              </w:rPr>
            </w:pPr>
            <w:r>
              <w:rPr>
                <w:rFonts w:ascii="Calibri"/>
                <w:w w:val="105"/>
                <w:sz w:val="17"/>
              </w:rPr>
              <w:t>2</w:t>
            </w:r>
            <w:r>
              <w:rPr>
                <w:rFonts w:ascii="Calibri"/>
                <w:spacing w:val="-4"/>
                <w:w w:val="105"/>
                <w:sz w:val="17"/>
              </w:rPr>
              <w:t> </w:t>
            </w:r>
            <w:r>
              <w:rPr>
                <w:rFonts w:ascii="Calibri"/>
                <w:w w:val="105"/>
                <w:sz w:val="17"/>
              </w:rPr>
              <w:t>033</w:t>
            </w:r>
            <w:r>
              <w:rPr>
                <w:rFonts w:ascii="Calibri"/>
                <w:spacing w:val="-4"/>
                <w:w w:val="105"/>
                <w:sz w:val="17"/>
              </w:rPr>
              <w:t> </w:t>
            </w:r>
            <w:r>
              <w:rPr>
                <w:rFonts w:ascii="Calibri"/>
                <w:spacing w:val="-2"/>
                <w:w w:val="105"/>
                <w:sz w:val="17"/>
              </w:rPr>
              <w:t>400,53</w:t>
            </w:r>
          </w:p>
        </w:tc>
      </w:tr>
      <w:tr>
        <w:trPr>
          <w:trHeight w:val="229"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sz w:val="17"/>
              </w:rPr>
              <w:t>Amortizaciones</w:t>
            </w:r>
            <w:r>
              <w:rPr>
                <w:rFonts w:ascii="Calibri"/>
                <w:spacing w:val="23"/>
                <w:sz w:val="17"/>
              </w:rPr>
              <w:t> </w:t>
            </w:r>
            <w:r>
              <w:rPr>
                <w:rFonts w:ascii="Calibri"/>
                <w:sz w:val="17"/>
              </w:rPr>
              <w:t>acumuladas</w:t>
            </w:r>
            <w:r>
              <w:rPr>
                <w:rFonts w:ascii="Calibri"/>
                <w:spacing w:val="24"/>
                <w:sz w:val="17"/>
              </w:rPr>
              <w:t> </w:t>
            </w:r>
            <w:r>
              <w:rPr>
                <w:rFonts w:ascii="Calibri"/>
                <w:spacing w:val="-10"/>
                <w:sz w:val="17"/>
              </w:rPr>
              <w:t>*</w:t>
            </w:r>
          </w:p>
        </w:tc>
        <w:tc>
          <w:tcPr>
            <w:tcW w:w="1994" w:type="dxa"/>
          </w:tcPr>
          <w:p>
            <w:pPr>
              <w:pStyle w:val="TableParagraph"/>
              <w:spacing w:line="205" w:lineRule="exact"/>
              <w:ind w:left="317"/>
              <w:rPr>
                <w:rFonts w:ascii="Calibri"/>
                <w:sz w:val="17"/>
              </w:rPr>
            </w:pPr>
            <w:r>
              <w:rPr>
                <w:rFonts w:ascii="Calibri"/>
                <w:w w:val="105"/>
                <w:sz w:val="17"/>
              </w:rPr>
              <w:t>(1</w:t>
            </w:r>
            <w:r>
              <w:rPr>
                <w:rFonts w:ascii="Calibri"/>
                <w:spacing w:val="-5"/>
                <w:w w:val="105"/>
                <w:sz w:val="17"/>
              </w:rPr>
              <w:t> </w:t>
            </w:r>
            <w:r>
              <w:rPr>
                <w:rFonts w:ascii="Calibri"/>
                <w:w w:val="105"/>
                <w:sz w:val="17"/>
              </w:rPr>
              <w:t>682</w:t>
            </w:r>
            <w:r>
              <w:rPr>
                <w:rFonts w:ascii="Calibri"/>
                <w:spacing w:val="-5"/>
                <w:w w:val="105"/>
                <w:sz w:val="17"/>
              </w:rPr>
              <w:t> </w:t>
            </w:r>
            <w:r>
              <w:rPr>
                <w:rFonts w:ascii="Calibri"/>
                <w:spacing w:val="-2"/>
                <w:w w:val="105"/>
                <w:sz w:val="17"/>
              </w:rPr>
              <w:t>600,65)</w:t>
            </w:r>
          </w:p>
        </w:tc>
        <w:tc>
          <w:tcPr>
            <w:tcW w:w="1704" w:type="dxa"/>
            <w:tcBorders>
              <w:right w:val="single" w:sz="4" w:space="0" w:color="000000"/>
            </w:tcBorders>
          </w:tcPr>
          <w:p>
            <w:pPr>
              <w:pStyle w:val="TableParagraph"/>
              <w:spacing w:line="205" w:lineRule="exact"/>
              <w:ind w:right="16"/>
              <w:jc w:val="right"/>
              <w:rPr>
                <w:rFonts w:ascii="Calibri"/>
                <w:sz w:val="17"/>
              </w:rPr>
            </w:pPr>
            <w:r>
              <w:rPr>
                <w:rFonts w:ascii="Calibri"/>
                <w:w w:val="105"/>
                <w:sz w:val="17"/>
              </w:rPr>
              <w:t>(1</w:t>
            </w:r>
            <w:r>
              <w:rPr>
                <w:rFonts w:ascii="Calibri"/>
                <w:spacing w:val="-5"/>
                <w:w w:val="105"/>
                <w:sz w:val="17"/>
              </w:rPr>
              <w:t> </w:t>
            </w:r>
            <w:r>
              <w:rPr>
                <w:rFonts w:ascii="Calibri"/>
                <w:w w:val="105"/>
                <w:sz w:val="17"/>
              </w:rPr>
              <w:t>573</w:t>
            </w:r>
            <w:r>
              <w:rPr>
                <w:rFonts w:ascii="Calibri"/>
                <w:spacing w:val="-5"/>
                <w:w w:val="105"/>
                <w:sz w:val="17"/>
              </w:rPr>
              <w:t> </w:t>
            </w:r>
            <w:r>
              <w:rPr>
                <w:rFonts w:ascii="Calibri"/>
                <w:spacing w:val="-2"/>
                <w:w w:val="105"/>
                <w:sz w:val="17"/>
              </w:rPr>
              <w:t>292,51)</w:t>
            </w:r>
          </w:p>
        </w:tc>
      </w:tr>
      <w:tr>
        <w:trPr>
          <w:trHeight w:val="229" w:hRule="atLeast"/>
        </w:trPr>
        <w:tc>
          <w:tcPr>
            <w:tcW w:w="3659" w:type="dxa"/>
            <w:tcBorders>
              <w:left w:val="single" w:sz="2" w:space="0" w:color="000000"/>
            </w:tcBorders>
          </w:tcPr>
          <w:p>
            <w:pPr>
              <w:pStyle w:val="TableParagraph"/>
              <w:spacing w:line="205" w:lineRule="exact"/>
              <w:ind w:left="26"/>
              <w:rPr>
                <w:rFonts w:ascii="Calibri"/>
                <w:b/>
                <w:sz w:val="17"/>
              </w:rPr>
            </w:pPr>
            <w:r>
              <w:rPr>
                <w:rFonts w:ascii="Calibri"/>
                <w:b/>
                <w:w w:val="105"/>
                <w:sz w:val="17"/>
              </w:rPr>
              <w:t>Total</w:t>
            </w:r>
            <w:r>
              <w:rPr>
                <w:rFonts w:ascii="Calibri"/>
                <w:b/>
                <w:spacing w:val="-10"/>
                <w:w w:val="105"/>
                <w:sz w:val="17"/>
              </w:rPr>
              <w:t> </w:t>
            </w:r>
            <w:r>
              <w:rPr>
                <w:rFonts w:ascii="Calibri"/>
                <w:b/>
                <w:w w:val="105"/>
                <w:sz w:val="17"/>
              </w:rPr>
              <w:t>Software</w:t>
            </w:r>
            <w:r>
              <w:rPr>
                <w:rFonts w:ascii="Calibri"/>
                <w:b/>
                <w:spacing w:val="-7"/>
                <w:w w:val="105"/>
                <w:sz w:val="17"/>
              </w:rPr>
              <w:t> </w:t>
            </w:r>
            <w:r>
              <w:rPr>
                <w:rFonts w:ascii="Calibri"/>
                <w:b/>
                <w:w w:val="105"/>
                <w:sz w:val="17"/>
              </w:rPr>
              <w:t>y</w:t>
            </w:r>
            <w:r>
              <w:rPr>
                <w:rFonts w:ascii="Calibri"/>
                <w:b/>
                <w:spacing w:val="-8"/>
                <w:w w:val="105"/>
                <w:sz w:val="17"/>
              </w:rPr>
              <w:t> </w:t>
            </w:r>
            <w:r>
              <w:rPr>
                <w:rFonts w:ascii="Calibri"/>
                <w:b/>
                <w:spacing w:val="-2"/>
                <w:w w:val="105"/>
                <w:sz w:val="17"/>
              </w:rPr>
              <w:t>programas</w:t>
            </w:r>
          </w:p>
        </w:tc>
        <w:tc>
          <w:tcPr>
            <w:tcW w:w="1994" w:type="dxa"/>
          </w:tcPr>
          <w:p>
            <w:pPr>
              <w:pStyle w:val="TableParagraph"/>
              <w:spacing w:line="205" w:lineRule="exact"/>
              <w:ind w:left="499"/>
              <w:rPr>
                <w:rFonts w:ascii="Calibri"/>
                <w:sz w:val="17"/>
              </w:rPr>
            </w:pPr>
            <w:r>
              <w:rPr>
                <w:rFonts w:ascii="Calibri"/>
                <w:w w:val="105"/>
                <w:sz w:val="17"/>
              </w:rPr>
              <w:t>351</w:t>
            </w:r>
            <w:r>
              <w:rPr>
                <w:rFonts w:ascii="Calibri"/>
                <w:spacing w:val="-5"/>
                <w:w w:val="105"/>
                <w:sz w:val="17"/>
              </w:rPr>
              <w:t> </w:t>
            </w:r>
            <w:r>
              <w:rPr>
                <w:rFonts w:ascii="Calibri"/>
                <w:spacing w:val="-2"/>
                <w:w w:val="105"/>
                <w:sz w:val="17"/>
              </w:rPr>
              <w:t>354,46</w:t>
            </w:r>
          </w:p>
        </w:tc>
        <w:tc>
          <w:tcPr>
            <w:tcW w:w="1704" w:type="dxa"/>
            <w:tcBorders>
              <w:right w:val="single" w:sz="4" w:space="0" w:color="000000"/>
            </w:tcBorders>
          </w:tcPr>
          <w:p>
            <w:pPr>
              <w:pStyle w:val="TableParagraph"/>
              <w:spacing w:line="205" w:lineRule="exact"/>
              <w:ind w:right="70"/>
              <w:jc w:val="right"/>
              <w:rPr>
                <w:rFonts w:ascii="Calibri"/>
                <w:sz w:val="17"/>
              </w:rPr>
            </w:pPr>
            <w:r>
              <w:rPr>
                <w:rFonts w:ascii="Calibri"/>
                <w:w w:val="105"/>
                <w:sz w:val="17"/>
              </w:rPr>
              <w:t>460</w:t>
            </w:r>
            <w:r>
              <w:rPr>
                <w:rFonts w:ascii="Calibri"/>
                <w:spacing w:val="-5"/>
                <w:w w:val="105"/>
                <w:sz w:val="17"/>
              </w:rPr>
              <w:t> </w:t>
            </w:r>
            <w:r>
              <w:rPr>
                <w:rFonts w:ascii="Calibri"/>
                <w:spacing w:val="-2"/>
                <w:w w:val="105"/>
                <w:sz w:val="17"/>
              </w:rPr>
              <w:t>108,02</w:t>
            </w:r>
          </w:p>
        </w:tc>
      </w:tr>
      <w:tr>
        <w:trPr>
          <w:trHeight w:val="230" w:hRule="atLeast"/>
        </w:trPr>
        <w:tc>
          <w:tcPr>
            <w:tcW w:w="3659" w:type="dxa"/>
            <w:tcBorders>
              <w:left w:val="single" w:sz="2" w:space="0" w:color="000000"/>
            </w:tcBorders>
          </w:tcPr>
          <w:p>
            <w:pPr>
              <w:pStyle w:val="TableParagraph"/>
              <w:spacing w:line="205" w:lineRule="exact"/>
              <w:ind w:left="26"/>
              <w:rPr>
                <w:rFonts w:ascii="Calibri"/>
                <w:b/>
                <w:sz w:val="17"/>
              </w:rPr>
            </w:pPr>
            <w:r>
              <w:rPr>
                <w:rFonts w:ascii="Calibri"/>
                <w:b/>
                <w:w w:val="105"/>
                <w:sz w:val="17"/>
              </w:rPr>
              <w:t>Otros</w:t>
            </w:r>
            <w:r>
              <w:rPr>
                <w:rFonts w:ascii="Calibri"/>
                <w:b/>
                <w:spacing w:val="-7"/>
                <w:w w:val="105"/>
                <w:sz w:val="17"/>
              </w:rPr>
              <w:t> </w:t>
            </w:r>
            <w:r>
              <w:rPr>
                <w:rFonts w:ascii="Calibri"/>
                <w:b/>
                <w:w w:val="105"/>
                <w:sz w:val="17"/>
              </w:rPr>
              <w:t>bienes</w:t>
            </w:r>
            <w:r>
              <w:rPr>
                <w:rFonts w:ascii="Calibri"/>
                <w:b/>
                <w:spacing w:val="-7"/>
                <w:w w:val="105"/>
                <w:sz w:val="17"/>
              </w:rPr>
              <w:t> </w:t>
            </w:r>
            <w:r>
              <w:rPr>
                <w:rFonts w:ascii="Calibri"/>
                <w:b/>
                <w:spacing w:val="-2"/>
                <w:w w:val="105"/>
                <w:sz w:val="17"/>
              </w:rPr>
              <w:t>intangibles</w:t>
            </w:r>
          </w:p>
        </w:tc>
        <w:tc>
          <w:tcPr>
            <w:tcW w:w="1994" w:type="dxa"/>
          </w:tcPr>
          <w:p>
            <w:pPr>
              <w:pStyle w:val="TableParagraph"/>
              <w:rPr>
                <w:rFonts w:ascii="Times New Roman"/>
                <w:sz w:val="16"/>
              </w:rPr>
            </w:pPr>
          </w:p>
        </w:tc>
        <w:tc>
          <w:tcPr>
            <w:tcW w:w="1704" w:type="dxa"/>
            <w:tcBorders>
              <w:right w:val="single" w:sz="4" w:space="0" w:color="000000"/>
            </w:tcBorders>
          </w:tcPr>
          <w:p>
            <w:pPr>
              <w:pStyle w:val="TableParagraph"/>
              <w:rPr>
                <w:rFonts w:ascii="Times New Roman"/>
                <w:sz w:val="16"/>
              </w:rPr>
            </w:pPr>
          </w:p>
        </w:tc>
      </w:tr>
      <w:tr>
        <w:trPr>
          <w:trHeight w:val="230"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w w:val="105"/>
                <w:sz w:val="17"/>
              </w:rPr>
              <w:t>Otros</w:t>
            </w:r>
            <w:r>
              <w:rPr>
                <w:rFonts w:ascii="Calibri"/>
                <w:spacing w:val="-11"/>
                <w:w w:val="105"/>
                <w:sz w:val="17"/>
              </w:rPr>
              <w:t> </w:t>
            </w:r>
            <w:r>
              <w:rPr>
                <w:rFonts w:ascii="Calibri"/>
                <w:w w:val="105"/>
                <w:sz w:val="17"/>
              </w:rPr>
              <w:t>Biens</w:t>
            </w:r>
            <w:r>
              <w:rPr>
                <w:rFonts w:ascii="Calibri"/>
                <w:spacing w:val="-10"/>
                <w:w w:val="105"/>
                <w:sz w:val="17"/>
              </w:rPr>
              <w:t> </w:t>
            </w:r>
            <w:r>
              <w:rPr>
                <w:rFonts w:ascii="Calibri"/>
                <w:w w:val="105"/>
                <w:sz w:val="17"/>
              </w:rPr>
              <w:t>intangib</w:t>
            </w:r>
            <w:r>
              <w:rPr>
                <w:rFonts w:ascii="Calibri"/>
                <w:spacing w:val="77"/>
                <w:w w:val="105"/>
                <w:sz w:val="17"/>
              </w:rPr>
              <w:t> </w:t>
            </w:r>
            <w:r>
              <w:rPr>
                <w:rFonts w:ascii="Calibri"/>
                <w:w w:val="105"/>
                <w:sz w:val="17"/>
              </w:rPr>
              <w:t>Valores</w:t>
            </w:r>
            <w:r>
              <w:rPr>
                <w:rFonts w:ascii="Calibri"/>
                <w:spacing w:val="-10"/>
                <w:w w:val="105"/>
                <w:sz w:val="17"/>
              </w:rPr>
              <w:t> </w:t>
            </w:r>
            <w:r>
              <w:rPr>
                <w:rFonts w:ascii="Calibri"/>
                <w:w w:val="105"/>
                <w:sz w:val="17"/>
              </w:rPr>
              <w:t>de</w:t>
            </w:r>
            <w:r>
              <w:rPr>
                <w:rFonts w:ascii="Calibri"/>
                <w:spacing w:val="-10"/>
                <w:w w:val="105"/>
                <w:sz w:val="17"/>
              </w:rPr>
              <w:t> </w:t>
            </w:r>
            <w:r>
              <w:rPr>
                <w:rFonts w:ascii="Calibri"/>
                <w:spacing w:val="-2"/>
                <w:w w:val="105"/>
                <w:sz w:val="17"/>
              </w:rPr>
              <w:t>origen</w:t>
            </w:r>
          </w:p>
        </w:tc>
        <w:tc>
          <w:tcPr>
            <w:tcW w:w="1994" w:type="dxa"/>
          </w:tcPr>
          <w:p>
            <w:pPr>
              <w:pStyle w:val="TableParagraph"/>
              <w:spacing w:line="205" w:lineRule="exact"/>
              <w:ind w:left="590"/>
              <w:rPr>
                <w:rFonts w:ascii="Calibri"/>
                <w:sz w:val="17"/>
              </w:rPr>
            </w:pPr>
            <w:r>
              <w:rPr>
                <w:rFonts w:ascii="Calibri"/>
                <w:w w:val="105"/>
                <w:sz w:val="17"/>
              </w:rPr>
              <w:t>81</w:t>
            </w:r>
            <w:r>
              <w:rPr>
                <w:rFonts w:ascii="Calibri"/>
                <w:spacing w:val="-4"/>
                <w:w w:val="105"/>
                <w:sz w:val="17"/>
              </w:rPr>
              <w:t> </w:t>
            </w:r>
            <w:r>
              <w:rPr>
                <w:rFonts w:ascii="Calibri"/>
                <w:spacing w:val="-2"/>
                <w:w w:val="105"/>
                <w:sz w:val="17"/>
              </w:rPr>
              <w:t>578,37</w:t>
            </w:r>
          </w:p>
        </w:tc>
        <w:tc>
          <w:tcPr>
            <w:tcW w:w="1704" w:type="dxa"/>
            <w:tcBorders>
              <w:right w:val="single" w:sz="4" w:space="0" w:color="000000"/>
            </w:tcBorders>
          </w:tcPr>
          <w:p>
            <w:pPr>
              <w:pStyle w:val="TableParagraph"/>
              <w:spacing w:line="205" w:lineRule="exact"/>
              <w:ind w:right="70"/>
              <w:jc w:val="right"/>
              <w:rPr>
                <w:rFonts w:ascii="Calibri"/>
                <w:sz w:val="17"/>
              </w:rPr>
            </w:pPr>
            <w:r>
              <w:rPr>
                <w:rFonts w:ascii="Calibri"/>
                <w:w w:val="105"/>
                <w:sz w:val="17"/>
              </w:rPr>
              <w:t>81</w:t>
            </w:r>
            <w:r>
              <w:rPr>
                <w:rFonts w:ascii="Calibri"/>
                <w:spacing w:val="-4"/>
                <w:w w:val="105"/>
                <w:sz w:val="17"/>
              </w:rPr>
              <w:t> </w:t>
            </w:r>
            <w:r>
              <w:rPr>
                <w:rFonts w:ascii="Calibri"/>
                <w:spacing w:val="-2"/>
                <w:w w:val="105"/>
                <w:sz w:val="17"/>
              </w:rPr>
              <w:t>578,37</w:t>
            </w:r>
          </w:p>
        </w:tc>
      </w:tr>
      <w:tr>
        <w:trPr>
          <w:trHeight w:val="230" w:hRule="atLeast"/>
        </w:trPr>
        <w:tc>
          <w:tcPr>
            <w:tcW w:w="3659" w:type="dxa"/>
            <w:tcBorders>
              <w:left w:val="single" w:sz="2" w:space="0" w:color="000000"/>
            </w:tcBorders>
          </w:tcPr>
          <w:p>
            <w:pPr>
              <w:pStyle w:val="TableParagraph"/>
              <w:spacing w:line="205" w:lineRule="exact"/>
              <w:ind w:left="26"/>
              <w:rPr>
                <w:rFonts w:ascii="Calibri"/>
                <w:sz w:val="17"/>
              </w:rPr>
            </w:pPr>
            <w:r>
              <w:rPr>
                <w:rFonts w:ascii="Calibri"/>
                <w:sz w:val="17"/>
              </w:rPr>
              <w:t>Amortizaciones</w:t>
            </w:r>
            <w:r>
              <w:rPr>
                <w:rFonts w:ascii="Calibri"/>
                <w:spacing w:val="23"/>
                <w:sz w:val="17"/>
              </w:rPr>
              <w:t> </w:t>
            </w:r>
            <w:r>
              <w:rPr>
                <w:rFonts w:ascii="Calibri"/>
                <w:sz w:val="17"/>
              </w:rPr>
              <w:t>acumuladas</w:t>
            </w:r>
            <w:r>
              <w:rPr>
                <w:rFonts w:ascii="Calibri"/>
                <w:spacing w:val="24"/>
                <w:sz w:val="17"/>
              </w:rPr>
              <w:t> </w:t>
            </w:r>
            <w:r>
              <w:rPr>
                <w:rFonts w:ascii="Calibri"/>
                <w:spacing w:val="-10"/>
                <w:sz w:val="17"/>
              </w:rPr>
              <w:t>*</w:t>
            </w:r>
          </w:p>
        </w:tc>
        <w:tc>
          <w:tcPr>
            <w:tcW w:w="1994" w:type="dxa"/>
          </w:tcPr>
          <w:p>
            <w:pPr>
              <w:pStyle w:val="TableParagraph"/>
              <w:spacing w:line="205" w:lineRule="exact"/>
              <w:ind w:right="632"/>
              <w:jc w:val="right"/>
              <w:rPr>
                <w:rFonts w:ascii="Calibri"/>
                <w:sz w:val="17"/>
              </w:rPr>
            </w:pPr>
            <w:r>
              <w:rPr>
                <w:rFonts w:ascii="Calibri"/>
                <w:w w:val="105"/>
                <w:sz w:val="17"/>
              </w:rPr>
              <w:t>(81</w:t>
            </w:r>
            <w:r>
              <w:rPr>
                <w:rFonts w:ascii="Calibri"/>
                <w:spacing w:val="-7"/>
                <w:w w:val="105"/>
                <w:sz w:val="17"/>
              </w:rPr>
              <w:t> </w:t>
            </w:r>
            <w:r>
              <w:rPr>
                <w:rFonts w:ascii="Calibri"/>
                <w:spacing w:val="-2"/>
                <w:w w:val="105"/>
                <w:sz w:val="17"/>
              </w:rPr>
              <w:t>578,37)</w:t>
            </w:r>
          </w:p>
        </w:tc>
        <w:tc>
          <w:tcPr>
            <w:tcW w:w="1704" w:type="dxa"/>
            <w:tcBorders>
              <w:right w:val="single" w:sz="4" w:space="0" w:color="000000"/>
            </w:tcBorders>
          </w:tcPr>
          <w:p>
            <w:pPr>
              <w:pStyle w:val="TableParagraph"/>
              <w:spacing w:line="205" w:lineRule="exact"/>
              <w:ind w:right="15"/>
              <w:jc w:val="right"/>
              <w:rPr>
                <w:rFonts w:ascii="Calibri"/>
                <w:sz w:val="17"/>
              </w:rPr>
            </w:pPr>
            <w:r>
              <w:rPr>
                <w:rFonts w:ascii="Calibri"/>
                <w:w w:val="105"/>
                <w:sz w:val="17"/>
              </w:rPr>
              <w:t>(81</w:t>
            </w:r>
            <w:r>
              <w:rPr>
                <w:rFonts w:ascii="Calibri"/>
                <w:spacing w:val="-7"/>
                <w:w w:val="105"/>
                <w:sz w:val="17"/>
              </w:rPr>
              <w:t> </w:t>
            </w:r>
            <w:r>
              <w:rPr>
                <w:rFonts w:ascii="Calibri"/>
                <w:spacing w:val="-2"/>
                <w:w w:val="105"/>
                <w:sz w:val="17"/>
              </w:rPr>
              <w:t>297,50)</w:t>
            </w:r>
          </w:p>
        </w:tc>
      </w:tr>
      <w:tr>
        <w:trPr>
          <w:trHeight w:val="437" w:hRule="atLeast"/>
        </w:trPr>
        <w:tc>
          <w:tcPr>
            <w:tcW w:w="7357" w:type="dxa"/>
            <w:gridSpan w:val="3"/>
            <w:tcBorders>
              <w:left w:val="single" w:sz="2" w:space="0" w:color="000000"/>
              <w:bottom w:val="single" w:sz="4" w:space="0" w:color="000000"/>
              <w:right w:val="single" w:sz="4" w:space="0" w:color="000000"/>
            </w:tcBorders>
          </w:tcPr>
          <w:p>
            <w:pPr>
              <w:pStyle w:val="TableParagraph"/>
              <w:tabs>
                <w:tab w:pos="3324" w:val="left" w:leader="none"/>
                <w:tab w:pos="4704" w:val="left" w:leader="none"/>
                <w:tab w:pos="6755" w:val="left" w:leader="none"/>
              </w:tabs>
              <w:spacing w:line="205" w:lineRule="exact"/>
              <w:ind w:right="-15"/>
              <w:jc w:val="right"/>
              <w:rPr>
                <w:rFonts w:ascii="Calibri"/>
                <w:sz w:val="17"/>
              </w:rPr>
            </w:pPr>
            <w:r>
              <w:rPr>
                <w:rFonts w:ascii="Calibri"/>
                <w:b/>
                <w:w w:val="105"/>
                <w:sz w:val="17"/>
              </w:rPr>
              <w:t>Total</w:t>
            </w:r>
            <w:r>
              <w:rPr>
                <w:rFonts w:ascii="Calibri"/>
                <w:b/>
                <w:spacing w:val="-9"/>
                <w:w w:val="105"/>
                <w:sz w:val="17"/>
              </w:rPr>
              <w:t> </w:t>
            </w:r>
            <w:r>
              <w:rPr>
                <w:rFonts w:ascii="Calibri"/>
                <w:b/>
                <w:w w:val="105"/>
                <w:sz w:val="17"/>
              </w:rPr>
              <w:t>Otros</w:t>
            </w:r>
            <w:r>
              <w:rPr>
                <w:rFonts w:ascii="Calibri"/>
                <w:b/>
                <w:spacing w:val="-8"/>
                <w:w w:val="105"/>
                <w:sz w:val="17"/>
              </w:rPr>
              <w:t> </w:t>
            </w:r>
            <w:r>
              <w:rPr>
                <w:rFonts w:ascii="Calibri"/>
                <w:b/>
                <w:w w:val="105"/>
                <w:sz w:val="17"/>
              </w:rPr>
              <w:t>bienes</w:t>
            </w:r>
            <w:r>
              <w:rPr>
                <w:rFonts w:ascii="Calibri"/>
                <w:b/>
                <w:spacing w:val="-7"/>
                <w:w w:val="105"/>
                <w:sz w:val="17"/>
              </w:rPr>
              <w:t> </w:t>
            </w:r>
            <w:r>
              <w:rPr>
                <w:rFonts w:ascii="Calibri"/>
                <w:b/>
                <w:spacing w:val="-2"/>
                <w:w w:val="105"/>
                <w:sz w:val="17"/>
              </w:rPr>
              <w:t>intangibles</w:t>
            </w:r>
            <w:r>
              <w:rPr>
                <w:rFonts w:ascii="Calibri"/>
                <w:b/>
                <w:sz w:val="17"/>
              </w:rPr>
              <w:tab/>
            </w:r>
            <w:r>
              <w:rPr>
                <w:rFonts w:ascii="Calibri"/>
                <w:sz w:val="17"/>
                <w:u w:val="single"/>
              </w:rPr>
              <w:tab/>
            </w:r>
            <w:r>
              <w:rPr>
                <w:rFonts w:ascii="Calibri"/>
                <w:spacing w:val="-10"/>
                <w:w w:val="105"/>
                <w:sz w:val="17"/>
                <w:u w:val="single"/>
              </w:rPr>
              <w:t>-</w:t>
            </w:r>
            <w:r>
              <w:rPr>
                <w:rFonts w:ascii="Calibri"/>
                <w:sz w:val="17"/>
                <w:u w:val="single"/>
              </w:rPr>
              <w:tab/>
            </w:r>
            <w:r>
              <w:rPr>
                <w:rFonts w:ascii="Calibri"/>
                <w:spacing w:val="-2"/>
                <w:w w:val="105"/>
                <w:sz w:val="17"/>
                <w:u w:val="single"/>
              </w:rPr>
              <w:t>280,87</w:t>
            </w:r>
            <w:r>
              <w:rPr>
                <w:rFonts w:ascii="Calibri"/>
                <w:spacing w:val="80"/>
                <w:w w:val="105"/>
                <w:sz w:val="17"/>
                <w:u w:val="single"/>
              </w:rPr>
              <w:t> </w:t>
            </w:r>
          </w:p>
          <w:p>
            <w:pPr>
              <w:pStyle w:val="TableParagraph"/>
              <w:tabs>
                <w:tab w:pos="3348" w:val="left" w:leader="none"/>
                <w:tab w:pos="5663" w:val="left" w:leader="none"/>
              </w:tabs>
              <w:spacing w:line="190" w:lineRule="exact" w:before="22"/>
              <w:ind w:right="75"/>
              <w:jc w:val="right"/>
              <w:rPr>
                <w:rFonts w:ascii="Calibri"/>
                <w:b/>
                <w:sz w:val="17"/>
              </w:rPr>
            </w:pPr>
            <w:r>
              <w:rPr>
                <w:rFonts w:ascii="Calibri"/>
                <w:b/>
                <w:w w:val="105"/>
                <w:sz w:val="17"/>
              </w:rPr>
              <w:t>Total</w:t>
            </w:r>
            <w:r>
              <w:rPr>
                <w:rFonts w:ascii="Calibri"/>
                <w:b/>
                <w:spacing w:val="-9"/>
                <w:w w:val="105"/>
                <w:sz w:val="17"/>
              </w:rPr>
              <w:t> </w:t>
            </w:r>
            <w:r>
              <w:rPr>
                <w:rFonts w:ascii="Calibri"/>
                <w:b/>
                <w:w w:val="105"/>
                <w:sz w:val="17"/>
              </w:rPr>
              <w:t>Bienes</w:t>
            </w:r>
            <w:r>
              <w:rPr>
                <w:rFonts w:ascii="Calibri"/>
                <w:b/>
                <w:spacing w:val="-9"/>
                <w:w w:val="105"/>
                <w:sz w:val="17"/>
              </w:rPr>
              <w:t> </w:t>
            </w:r>
            <w:r>
              <w:rPr>
                <w:rFonts w:ascii="Calibri"/>
                <w:b/>
                <w:spacing w:val="-2"/>
                <w:w w:val="105"/>
                <w:sz w:val="17"/>
              </w:rPr>
              <w:t>intangibles</w:t>
            </w:r>
            <w:r>
              <w:rPr>
                <w:rFonts w:ascii="Calibri"/>
                <w:b/>
                <w:sz w:val="17"/>
              </w:rPr>
              <w:tab/>
            </w:r>
            <w:r>
              <w:rPr>
                <w:rFonts w:ascii="Calibri"/>
                <w:b/>
                <w:w w:val="105"/>
                <w:sz w:val="17"/>
              </w:rPr>
              <w:t>351</w:t>
            </w:r>
            <w:r>
              <w:rPr>
                <w:rFonts w:ascii="Calibri"/>
                <w:b/>
                <w:spacing w:val="-5"/>
                <w:w w:val="105"/>
                <w:sz w:val="17"/>
              </w:rPr>
              <w:t> </w:t>
            </w:r>
            <w:r>
              <w:rPr>
                <w:rFonts w:ascii="Calibri"/>
                <w:b/>
                <w:spacing w:val="-2"/>
                <w:w w:val="105"/>
                <w:sz w:val="17"/>
              </w:rPr>
              <w:t>354,46</w:t>
            </w:r>
            <w:r>
              <w:rPr>
                <w:rFonts w:ascii="Calibri"/>
                <w:b/>
                <w:sz w:val="17"/>
              </w:rPr>
              <w:tab/>
            </w:r>
            <w:r>
              <w:rPr>
                <w:rFonts w:ascii="Calibri"/>
                <w:b/>
                <w:w w:val="105"/>
                <w:sz w:val="17"/>
              </w:rPr>
              <w:t>460</w:t>
            </w:r>
            <w:r>
              <w:rPr>
                <w:rFonts w:ascii="Calibri"/>
                <w:b/>
                <w:spacing w:val="-5"/>
                <w:w w:val="105"/>
                <w:sz w:val="17"/>
              </w:rPr>
              <w:t> </w:t>
            </w:r>
            <w:r>
              <w:rPr>
                <w:rFonts w:ascii="Calibri"/>
                <w:b/>
                <w:spacing w:val="-2"/>
                <w:w w:val="105"/>
                <w:sz w:val="17"/>
              </w:rPr>
              <w:t>388,89</w:t>
            </w:r>
          </w:p>
        </w:tc>
      </w:tr>
    </w:tbl>
    <w:p>
      <w:pPr>
        <w:pStyle w:val="BodyText"/>
        <w:spacing w:before="190"/>
      </w:pPr>
    </w:p>
    <w:p>
      <w:pPr>
        <w:pStyle w:val="ListParagraph"/>
        <w:numPr>
          <w:ilvl w:val="1"/>
          <w:numId w:val="85"/>
        </w:numPr>
        <w:tabs>
          <w:tab w:pos="1450" w:val="left" w:leader="none"/>
        </w:tabs>
        <w:spacing w:line="240" w:lineRule="auto" w:before="0" w:after="0"/>
        <w:ind w:left="1450" w:right="306" w:hanging="360"/>
        <w:jc w:val="left"/>
        <w:rPr>
          <w:sz w:val="22"/>
        </w:rPr>
      </w:pPr>
      <w:r>
        <w:rPr>
          <w:sz w:val="22"/>
        </w:rPr>
        <w:t>la</w:t>
      </w:r>
      <w:r>
        <w:rPr>
          <w:spacing w:val="-4"/>
          <w:sz w:val="22"/>
        </w:rPr>
        <w:t> </w:t>
      </w:r>
      <w:r>
        <w:rPr>
          <w:sz w:val="22"/>
        </w:rPr>
        <w:t>partida</w:t>
      </w:r>
      <w:r>
        <w:rPr>
          <w:spacing w:val="-3"/>
          <w:sz w:val="22"/>
        </w:rPr>
        <w:t> </w:t>
      </w:r>
      <w:r>
        <w:rPr>
          <w:sz w:val="22"/>
        </w:rPr>
        <w:t>o</w:t>
      </w:r>
      <w:r>
        <w:rPr>
          <w:spacing w:val="-2"/>
          <w:sz w:val="22"/>
        </w:rPr>
        <w:t> </w:t>
      </w:r>
      <w:r>
        <w:rPr>
          <w:sz w:val="22"/>
        </w:rPr>
        <w:t>partidas</w:t>
      </w:r>
      <w:r>
        <w:rPr>
          <w:spacing w:val="-1"/>
          <w:sz w:val="22"/>
        </w:rPr>
        <w:t> </w:t>
      </w:r>
      <w:r>
        <w:rPr>
          <w:sz w:val="22"/>
        </w:rPr>
        <w:t>del</w:t>
      </w:r>
      <w:r>
        <w:rPr>
          <w:spacing w:val="-2"/>
          <w:sz w:val="22"/>
        </w:rPr>
        <w:t> </w:t>
      </w:r>
      <w:r>
        <w:rPr>
          <w:sz w:val="22"/>
        </w:rPr>
        <w:t>estado</w:t>
      </w:r>
      <w:r>
        <w:rPr>
          <w:spacing w:val="-2"/>
          <w:sz w:val="22"/>
        </w:rPr>
        <w:t> </w:t>
      </w:r>
      <w:r>
        <w:rPr>
          <w:sz w:val="22"/>
        </w:rPr>
        <w:t>de</w:t>
      </w:r>
      <w:r>
        <w:rPr>
          <w:spacing w:val="-1"/>
          <w:sz w:val="22"/>
        </w:rPr>
        <w:t> </w:t>
      </w:r>
      <w:r>
        <w:rPr>
          <w:sz w:val="22"/>
        </w:rPr>
        <w:t>rendimiento</w:t>
      </w:r>
      <w:r>
        <w:rPr>
          <w:spacing w:val="-3"/>
          <w:sz w:val="22"/>
        </w:rPr>
        <w:t> </w:t>
      </w:r>
      <w:r>
        <w:rPr>
          <w:sz w:val="22"/>
        </w:rPr>
        <w:t>financiero</w:t>
      </w:r>
      <w:r>
        <w:rPr>
          <w:spacing w:val="-2"/>
          <w:sz w:val="22"/>
        </w:rPr>
        <w:t> </w:t>
      </w:r>
      <w:r>
        <w:rPr>
          <w:sz w:val="22"/>
        </w:rPr>
        <w:t>en</w:t>
      </w:r>
      <w:r>
        <w:rPr>
          <w:spacing w:val="-2"/>
          <w:sz w:val="22"/>
        </w:rPr>
        <w:t> </w:t>
      </w:r>
      <w:r>
        <w:rPr>
          <w:sz w:val="22"/>
        </w:rPr>
        <w:t>las</w:t>
      </w:r>
      <w:r>
        <w:rPr>
          <w:spacing w:val="-4"/>
          <w:sz w:val="22"/>
        </w:rPr>
        <w:t> </w:t>
      </w:r>
      <w:r>
        <w:rPr>
          <w:sz w:val="22"/>
        </w:rPr>
        <w:t>que</w:t>
      </w:r>
      <w:r>
        <w:rPr>
          <w:spacing w:val="-4"/>
          <w:sz w:val="22"/>
        </w:rPr>
        <w:t> </w:t>
      </w:r>
      <w:r>
        <w:rPr>
          <w:sz w:val="22"/>
        </w:rPr>
        <w:t>esté</w:t>
      </w:r>
      <w:r>
        <w:rPr>
          <w:spacing w:val="-1"/>
          <w:sz w:val="22"/>
        </w:rPr>
        <w:t> </w:t>
      </w:r>
      <w:r>
        <w:rPr>
          <w:sz w:val="22"/>
        </w:rPr>
        <w:t>incluida</w:t>
      </w:r>
      <w:r>
        <w:rPr>
          <w:spacing w:val="-3"/>
          <w:sz w:val="22"/>
        </w:rPr>
        <w:t> </w:t>
      </w:r>
      <w:r>
        <w:rPr>
          <w:sz w:val="22"/>
        </w:rPr>
        <w:t>la</w:t>
      </w:r>
      <w:r>
        <w:rPr>
          <w:spacing w:val="-4"/>
          <w:sz w:val="22"/>
        </w:rPr>
        <w:t> </w:t>
      </w:r>
      <w:r>
        <w:rPr>
          <w:sz w:val="22"/>
        </w:rPr>
        <w:t>amortización</w:t>
      </w:r>
      <w:r>
        <w:rPr>
          <w:spacing w:val="-2"/>
          <w:sz w:val="22"/>
        </w:rPr>
        <w:t> </w:t>
      </w:r>
      <w:r>
        <w:rPr>
          <w:sz w:val="22"/>
        </w:rPr>
        <w:t>de los activos intangibles;</w:t>
      </w:r>
    </w:p>
    <w:p>
      <w:pPr>
        <w:pStyle w:val="BodyText"/>
        <w:spacing w:before="23"/>
        <w:rPr>
          <w:sz w:val="20"/>
        </w:rPr>
      </w:pPr>
    </w:p>
    <w:tbl>
      <w:tblPr>
        <w:tblW w:w="0" w:type="auto"/>
        <w:jc w:val="left"/>
        <w:tblInd w:w="1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5"/>
        <w:gridCol w:w="3930"/>
        <w:gridCol w:w="421"/>
        <w:gridCol w:w="1417"/>
        <w:gridCol w:w="1417"/>
        <w:gridCol w:w="779"/>
      </w:tblGrid>
      <w:tr>
        <w:trPr>
          <w:trHeight w:val="238" w:hRule="atLeast"/>
        </w:trPr>
        <w:tc>
          <w:tcPr>
            <w:tcW w:w="855" w:type="dxa"/>
            <w:shd w:val="clear" w:color="auto" w:fill="365F92"/>
          </w:tcPr>
          <w:p>
            <w:pPr>
              <w:pStyle w:val="TableParagraph"/>
              <w:spacing w:before="26"/>
              <w:ind w:left="30"/>
              <w:rPr>
                <w:rFonts w:ascii="Arial Narrow"/>
                <w:b/>
                <w:sz w:val="16"/>
              </w:rPr>
            </w:pPr>
            <w:r>
              <w:rPr>
                <w:rFonts w:ascii="Arial Narrow"/>
                <w:b/>
                <w:color w:val="FFFFFF"/>
                <w:spacing w:val="-2"/>
                <w:w w:val="110"/>
                <w:sz w:val="16"/>
              </w:rPr>
              <w:t>5.1.4.</w:t>
            </w:r>
          </w:p>
        </w:tc>
        <w:tc>
          <w:tcPr>
            <w:tcW w:w="3930" w:type="dxa"/>
            <w:shd w:val="clear" w:color="auto" w:fill="365F92"/>
          </w:tcPr>
          <w:p>
            <w:pPr>
              <w:pStyle w:val="TableParagraph"/>
              <w:spacing w:before="26"/>
              <w:ind w:left="30"/>
              <w:rPr>
                <w:rFonts w:ascii="Arial Narrow"/>
                <w:b/>
                <w:sz w:val="16"/>
              </w:rPr>
            </w:pPr>
            <w:r>
              <w:rPr>
                <w:rFonts w:ascii="Arial Narrow"/>
                <w:b/>
                <w:color w:val="FFFFFF"/>
                <w:sz w:val="16"/>
              </w:rPr>
              <w:t>Consumo</w:t>
            </w:r>
            <w:r>
              <w:rPr>
                <w:rFonts w:ascii="Arial Narrow"/>
                <w:b/>
                <w:color w:val="FFFFFF"/>
                <w:spacing w:val="33"/>
                <w:sz w:val="16"/>
              </w:rPr>
              <w:t> </w:t>
            </w:r>
            <w:r>
              <w:rPr>
                <w:rFonts w:ascii="Arial Narrow"/>
                <w:b/>
                <w:color w:val="FFFFFF"/>
                <w:sz w:val="16"/>
              </w:rPr>
              <w:t>de</w:t>
            </w:r>
            <w:r>
              <w:rPr>
                <w:rFonts w:ascii="Arial Narrow"/>
                <w:b/>
                <w:color w:val="FFFFFF"/>
                <w:spacing w:val="24"/>
                <w:sz w:val="16"/>
              </w:rPr>
              <w:t> </w:t>
            </w:r>
            <w:r>
              <w:rPr>
                <w:rFonts w:ascii="Arial Narrow"/>
                <w:b/>
                <w:color w:val="FFFFFF"/>
                <w:sz w:val="16"/>
              </w:rPr>
              <w:t>bienes</w:t>
            </w:r>
            <w:r>
              <w:rPr>
                <w:rFonts w:ascii="Arial Narrow"/>
                <w:b/>
                <w:color w:val="FFFFFF"/>
                <w:spacing w:val="24"/>
                <w:sz w:val="16"/>
              </w:rPr>
              <w:t> </w:t>
            </w:r>
            <w:r>
              <w:rPr>
                <w:rFonts w:ascii="Arial Narrow"/>
                <w:b/>
                <w:color w:val="FFFFFF"/>
                <w:sz w:val="16"/>
              </w:rPr>
              <w:t>distintos</w:t>
            </w:r>
            <w:r>
              <w:rPr>
                <w:rFonts w:ascii="Arial Narrow"/>
                <w:b/>
                <w:color w:val="FFFFFF"/>
                <w:spacing w:val="24"/>
                <w:sz w:val="16"/>
              </w:rPr>
              <w:t> </w:t>
            </w:r>
            <w:r>
              <w:rPr>
                <w:rFonts w:ascii="Arial Narrow"/>
                <w:b/>
                <w:color w:val="FFFFFF"/>
                <w:sz w:val="16"/>
              </w:rPr>
              <w:t>de</w:t>
            </w:r>
            <w:r>
              <w:rPr>
                <w:rFonts w:ascii="Arial Narrow"/>
                <w:b/>
                <w:color w:val="FFFFFF"/>
                <w:spacing w:val="24"/>
                <w:sz w:val="16"/>
              </w:rPr>
              <w:t> </w:t>
            </w:r>
            <w:r>
              <w:rPr>
                <w:rFonts w:ascii="Arial Narrow"/>
                <w:b/>
                <w:color w:val="FFFFFF"/>
                <w:spacing w:val="-2"/>
                <w:sz w:val="16"/>
              </w:rPr>
              <w:t>inventarios</w:t>
            </w:r>
          </w:p>
        </w:tc>
        <w:tc>
          <w:tcPr>
            <w:tcW w:w="421" w:type="dxa"/>
            <w:shd w:val="clear" w:color="auto" w:fill="365F92"/>
          </w:tcPr>
          <w:p>
            <w:pPr>
              <w:pStyle w:val="TableParagraph"/>
              <w:spacing w:before="26"/>
              <w:ind w:left="132"/>
              <w:rPr>
                <w:rFonts w:ascii="Arial Narrow"/>
                <w:sz w:val="16"/>
              </w:rPr>
            </w:pPr>
            <w:r>
              <w:rPr>
                <w:rFonts w:ascii="Arial Narrow"/>
                <w:color w:val="FFFFFF"/>
                <w:spacing w:val="-5"/>
                <w:w w:val="110"/>
                <w:sz w:val="16"/>
              </w:rPr>
              <w:t>62</w:t>
            </w:r>
          </w:p>
        </w:tc>
        <w:tc>
          <w:tcPr>
            <w:tcW w:w="1417" w:type="dxa"/>
            <w:shd w:val="clear" w:color="auto" w:fill="365F92"/>
          </w:tcPr>
          <w:p>
            <w:pPr>
              <w:pStyle w:val="TableParagraph"/>
              <w:spacing w:before="26"/>
              <w:ind w:left="363"/>
              <w:rPr>
                <w:rFonts w:ascii="Arial Narrow"/>
                <w:sz w:val="16"/>
              </w:rPr>
            </w:pPr>
            <w:r>
              <w:rPr>
                <w:rFonts w:ascii="Arial Narrow"/>
                <w:color w:val="FFFFFF"/>
                <w:w w:val="105"/>
                <w:sz w:val="16"/>
              </w:rPr>
              <w:t>316</w:t>
            </w:r>
            <w:r>
              <w:rPr>
                <w:rFonts w:ascii="Arial Narrow"/>
                <w:color w:val="FFFFFF"/>
                <w:spacing w:val="-4"/>
                <w:w w:val="105"/>
                <w:sz w:val="16"/>
              </w:rPr>
              <w:t> </w:t>
            </w:r>
            <w:r>
              <w:rPr>
                <w:rFonts w:ascii="Arial Narrow"/>
                <w:color w:val="FFFFFF"/>
                <w:spacing w:val="-2"/>
                <w:w w:val="110"/>
                <w:sz w:val="16"/>
              </w:rPr>
              <w:t>642,06</w:t>
            </w:r>
          </w:p>
        </w:tc>
        <w:tc>
          <w:tcPr>
            <w:tcW w:w="1417" w:type="dxa"/>
            <w:shd w:val="clear" w:color="auto" w:fill="365F92"/>
          </w:tcPr>
          <w:p>
            <w:pPr>
              <w:pStyle w:val="TableParagraph"/>
              <w:spacing w:before="26"/>
              <w:ind w:left="362"/>
              <w:rPr>
                <w:rFonts w:ascii="Arial Narrow"/>
                <w:sz w:val="16"/>
              </w:rPr>
            </w:pPr>
            <w:r>
              <w:rPr>
                <w:rFonts w:ascii="Arial Narrow"/>
                <w:color w:val="FFFFFF"/>
                <w:w w:val="105"/>
                <w:sz w:val="16"/>
              </w:rPr>
              <w:t>328</w:t>
            </w:r>
            <w:r>
              <w:rPr>
                <w:rFonts w:ascii="Arial Narrow"/>
                <w:color w:val="FFFFFF"/>
                <w:spacing w:val="-4"/>
                <w:w w:val="105"/>
                <w:sz w:val="16"/>
              </w:rPr>
              <w:t> </w:t>
            </w:r>
            <w:r>
              <w:rPr>
                <w:rFonts w:ascii="Arial Narrow"/>
                <w:color w:val="FFFFFF"/>
                <w:spacing w:val="-2"/>
                <w:w w:val="110"/>
                <w:sz w:val="16"/>
              </w:rPr>
              <w:t>085,25</w:t>
            </w:r>
          </w:p>
        </w:tc>
        <w:tc>
          <w:tcPr>
            <w:tcW w:w="779" w:type="dxa"/>
            <w:shd w:val="clear" w:color="auto" w:fill="365F92"/>
          </w:tcPr>
          <w:p>
            <w:pPr>
              <w:pStyle w:val="TableParagraph"/>
              <w:spacing w:before="26"/>
              <w:ind w:left="157"/>
              <w:rPr>
                <w:rFonts w:ascii="Arial Narrow"/>
                <w:sz w:val="16"/>
              </w:rPr>
            </w:pPr>
            <w:r>
              <w:rPr>
                <w:rFonts w:ascii="Arial Narrow"/>
                <w:color w:val="FFFFFF"/>
                <w:w w:val="105"/>
                <w:sz w:val="16"/>
              </w:rPr>
              <w:t>-</w:t>
            </w:r>
            <w:r>
              <w:rPr>
                <w:rFonts w:ascii="Arial Narrow"/>
                <w:color w:val="FFFFFF"/>
                <w:spacing w:val="-2"/>
                <w:w w:val="110"/>
                <w:sz w:val="16"/>
              </w:rPr>
              <w:t>3,49%</w:t>
            </w:r>
          </w:p>
        </w:tc>
      </w:tr>
    </w:tbl>
    <w:p>
      <w:pPr>
        <w:pStyle w:val="BodyText"/>
        <w:spacing w:before="2"/>
        <w:ind w:left="1450" w:right="1158"/>
      </w:pPr>
      <w:r>
        <w:rPr/>
        <w:t>El</w:t>
      </w:r>
      <w:r>
        <w:rPr>
          <w:spacing w:val="-3"/>
        </w:rPr>
        <w:t> </w:t>
      </w:r>
      <w:r>
        <w:rPr/>
        <w:t>monto</w:t>
      </w:r>
      <w:r>
        <w:rPr>
          <w:spacing w:val="-1"/>
        </w:rPr>
        <w:t> </w:t>
      </w:r>
      <w:r>
        <w:rPr/>
        <w:t>al</w:t>
      </w:r>
      <w:r>
        <w:rPr>
          <w:spacing w:val="-3"/>
        </w:rPr>
        <w:t> </w:t>
      </w:r>
      <w:r>
        <w:rPr/>
        <w:t>31</w:t>
      </w:r>
      <w:r>
        <w:rPr>
          <w:spacing w:val="-3"/>
        </w:rPr>
        <w:t> </w:t>
      </w:r>
      <w:r>
        <w:rPr/>
        <w:t>de</w:t>
      </w:r>
      <w:r>
        <w:rPr>
          <w:spacing w:val="-4"/>
        </w:rPr>
        <w:t> </w:t>
      </w:r>
      <w:r>
        <w:rPr/>
        <w:t>julio</w:t>
      </w:r>
      <w:r>
        <w:rPr>
          <w:spacing w:val="-3"/>
        </w:rPr>
        <w:t> </w:t>
      </w:r>
      <w:r>
        <w:rPr/>
        <w:t>2026-2025</w:t>
      </w:r>
      <w:r>
        <w:rPr>
          <w:spacing w:val="-5"/>
        </w:rPr>
        <w:t> </w:t>
      </w:r>
      <w:r>
        <w:rPr/>
        <w:t>por</w:t>
      </w:r>
      <w:r>
        <w:rPr>
          <w:spacing w:val="-3"/>
        </w:rPr>
        <w:t> </w:t>
      </w:r>
      <w:r>
        <w:rPr/>
        <w:t>el</w:t>
      </w:r>
      <w:r>
        <w:rPr>
          <w:spacing w:val="-3"/>
        </w:rPr>
        <w:t> </w:t>
      </w:r>
      <w:r>
        <w:rPr/>
        <w:t>gasto</w:t>
      </w:r>
      <w:r>
        <w:rPr>
          <w:spacing w:val="-3"/>
        </w:rPr>
        <w:t> </w:t>
      </w:r>
      <w:r>
        <w:rPr/>
        <w:t>por</w:t>
      </w:r>
      <w:r>
        <w:rPr>
          <w:spacing w:val="-3"/>
        </w:rPr>
        <w:t> </w:t>
      </w:r>
      <w:r>
        <w:rPr/>
        <w:t>amortización</w:t>
      </w:r>
      <w:r>
        <w:rPr>
          <w:spacing w:val="-3"/>
        </w:rPr>
        <w:t> </w:t>
      </w:r>
      <w:r>
        <w:rPr/>
        <w:t>corresponde</w:t>
      </w:r>
      <w:r>
        <w:rPr>
          <w:spacing w:val="-3"/>
        </w:rPr>
        <w:t> </w:t>
      </w:r>
      <w:r>
        <w:rPr/>
        <w:t>¢</w:t>
      </w:r>
      <w:r>
        <w:rPr>
          <w:spacing w:val="-2"/>
        </w:rPr>
        <w:t> </w:t>
      </w:r>
      <w:r>
        <w:rPr/>
        <w:t>45.089,39 y ¢72.378,52 respectivamente.</w:t>
      </w:r>
    </w:p>
    <w:p>
      <w:pPr>
        <w:pStyle w:val="BodyText"/>
      </w:pPr>
    </w:p>
    <w:p>
      <w:pPr>
        <w:pStyle w:val="BodyText"/>
      </w:pPr>
    </w:p>
    <w:p>
      <w:pPr>
        <w:pStyle w:val="BodyText"/>
        <w:spacing w:before="3"/>
      </w:pPr>
    </w:p>
    <w:p>
      <w:pPr>
        <w:pStyle w:val="ListParagraph"/>
        <w:numPr>
          <w:ilvl w:val="1"/>
          <w:numId w:val="85"/>
        </w:numPr>
        <w:tabs>
          <w:tab w:pos="1449" w:val="left" w:leader="none"/>
        </w:tabs>
        <w:spacing w:line="240" w:lineRule="auto" w:before="0" w:after="0"/>
        <w:ind w:left="1449" w:right="0" w:hanging="359"/>
        <w:jc w:val="left"/>
        <w:rPr>
          <w:sz w:val="22"/>
        </w:rPr>
      </w:pPr>
      <w:r>
        <w:rPr>
          <w:sz w:val="22"/>
        </w:rPr>
        <w:t>La</w:t>
      </w:r>
      <w:r>
        <w:rPr>
          <w:spacing w:val="-7"/>
          <w:sz w:val="22"/>
        </w:rPr>
        <w:t> </w:t>
      </w:r>
      <w:r>
        <w:rPr>
          <w:sz w:val="22"/>
        </w:rPr>
        <w:t>conciliación</w:t>
      </w:r>
      <w:r>
        <w:rPr>
          <w:spacing w:val="-3"/>
          <w:sz w:val="22"/>
        </w:rPr>
        <w:t> </w:t>
      </w:r>
      <w:r>
        <w:rPr>
          <w:sz w:val="22"/>
        </w:rPr>
        <w:t>entre</w:t>
      </w:r>
      <w:r>
        <w:rPr>
          <w:spacing w:val="-4"/>
          <w:sz w:val="22"/>
        </w:rPr>
        <w:t> </w:t>
      </w:r>
      <w:r>
        <w:rPr>
          <w:sz w:val="22"/>
        </w:rPr>
        <w:t>los</w:t>
      </w:r>
      <w:r>
        <w:rPr>
          <w:spacing w:val="-5"/>
          <w:sz w:val="22"/>
        </w:rPr>
        <w:t> </w:t>
      </w:r>
      <w:r>
        <w:rPr>
          <w:sz w:val="22"/>
        </w:rPr>
        <w:t>valores</w:t>
      </w:r>
      <w:r>
        <w:rPr>
          <w:spacing w:val="-5"/>
          <w:sz w:val="22"/>
        </w:rPr>
        <w:t> </w:t>
      </w:r>
      <w:r>
        <w:rPr>
          <w:sz w:val="22"/>
        </w:rPr>
        <w:t>en</w:t>
      </w:r>
      <w:r>
        <w:rPr>
          <w:spacing w:val="-3"/>
          <w:sz w:val="22"/>
        </w:rPr>
        <w:t> </w:t>
      </w:r>
      <w:r>
        <w:rPr>
          <w:sz w:val="22"/>
        </w:rPr>
        <w:t>libros</w:t>
      </w:r>
      <w:r>
        <w:rPr>
          <w:spacing w:val="-3"/>
          <w:sz w:val="22"/>
        </w:rPr>
        <w:t> </w:t>
      </w:r>
      <w:r>
        <w:rPr>
          <w:sz w:val="22"/>
        </w:rPr>
        <w:t>al</w:t>
      </w:r>
      <w:r>
        <w:rPr>
          <w:spacing w:val="-3"/>
          <w:sz w:val="22"/>
        </w:rPr>
        <w:t> </w:t>
      </w:r>
      <w:r>
        <w:rPr>
          <w:sz w:val="22"/>
        </w:rPr>
        <w:t>principio</w:t>
      </w:r>
      <w:r>
        <w:rPr>
          <w:spacing w:val="-3"/>
          <w:sz w:val="22"/>
        </w:rPr>
        <w:t> </w:t>
      </w:r>
      <w:r>
        <w:rPr>
          <w:sz w:val="22"/>
        </w:rPr>
        <w:t>y</w:t>
      </w:r>
      <w:r>
        <w:rPr>
          <w:spacing w:val="-7"/>
          <w:sz w:val="22"/>
        </w:rPr>
        <w:t> </w:t>
      </w:r>
      <w:r>
        <w:rPr>
          <w:sz w:val="22"/>
        </w:rPr>
        <w:t>al</w:t>
      </w:r>
      <w:r>
        <w:rPr>
          <w:spacing w:val="-4"/>
          <w:sz w:val="22"/>
        </w:rPr>
        <w:t> </w:t>
      </w:r>
      <w:r>
        <w:rPr>
          <w:sz w:val="22"/>
        </w:rPr>
        <w:t>final</w:t>
      </w:r>
      <w:r>
        <w:rPr>
          <w:spacing w:val="-4"/>
          <w:sz w:val="22"/>
        </w:rPr>
        <w:t> </w:t>
      </w:r>
      <w:r>
        <w:rPr>
          <w:sz w:val="22"/>
        </w:rPr>
        <w:t>del</w:t>
      </w:r>
      <w:r>
        <w:rPr>
          <w:spacing w:val="-3"/>
          <w:sz w:val="22"/>
        </w:rPr>
        <w:t> </w:t>
      </w:r>
      <w:r>
        <w:rPr>
          <w:sz w:val="22"/>
        </w:rPr>
        <w:t>periodo,</w:t>
      </w:r>
      <w:r>
        <w:rPr>
          <w:spacing w:val="-5"/>
          <w:sz w:val="22"/>
        </w:rPr>
        <w:t> </w:t>
      </w:r>
      <w:r>
        <w:rPr>
          <w:spacing w:val="-2"/>
          <w:sz w:val="22"/>
        </w:rPr>
        <w:t>mostrando:</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3632">
                <wp:simplePos x="0" y="0"/>
                <wp:positionH relativeFrom="page">
                  <wp:posOffset>9525</wp:posOffset>
                </wp:positionH>
                <wp:positionV relativeFrom="page">
                  <wp:posOffset>297208</wp:posOffset>
                </wp:positionV>
                <wp:extent cx="7762875" cy="9748520"/>
                <wp:effectExtent l="0" t="0" r="0" b="0"/>
                <wp:wrapNone/>
                <wp:docPr id="1040" name="Group 1040"/>
                <wp:cNvGraphicFramePr>
                  <a:graphicFrameLocks/>
                </wp:cNvGraphicFramePr>
                <a:graphic>
                  <a:graphicData uri="http://schemas.microsoft.com/office/word/2010/wordprocessingGroup">
                    <wpg:wgp>
                      <wpg:cNvPr id="1040" name="Group 1040"/>
                      <wpg:cNvGrpSpPr/>
                      <wpg:grpSpPr>
                        <a:xfrm>
                          <a:off x="0" y="0"/>
                          <a:ext cx="7762875" cy="9748520"/>
                          <a:chExt cx="7762875" cy="9748520"/>
                        </a:xfrm>
                      </wpg:grpSpPr>
                      <pic:pic>
                        <pic:nvPicPr>
                          <pic:cNvPr id="1041" name="Image 1041"/>
                          <pic:cNvPicPr/>
                        </pic:nvPicPr>
                        <pic:blipFill>
                          <a:blip r:embed="rId5" cstate="print"/>
                          <a:stretch>
                            <a:fillRect/>
                          </a:stretch>
                        </pic:blipFill>
                        <pic:spPr>
                          <a:xfrm>
                            <a:off x="0" y="0"/>
                            <a:ext cx="7762874" cy="9748489"/>
                          </a:xfrm>
                          <a:prstGeom prst="rect">
                            <a:avLst/>
                          </a:prstGeom>
                        </pic:spPr>
                      </pic:pic>
                      <wps:wsp>
                        <wps:cNvPr id="1042" name="Graphic 104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2848" id="docshapegroup987" coordorigin="15,468" coordsize="12225,15352">
                <v:shape style="position:absolute;left:15;top:468;width:12225;height:15352" type="#_x0000_t75" id="docshape988" stroked="false">
                  <v:imagedata r:id="rId5" o:title=""/>
                </v:shape>
                <v:rect style="position:absolute;left:1673;top:2028;width:8897;height:15" id="docshape98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199</w:t>
      </w:r>
    </w:p>
    <w:p>
      <w:pPr>
        <w:pStyle w:val="BodyText"/>
        <w:rPr>
          <w:sz w:val="19"/>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6"/>
        <w:gridCol w:w="2981"/>
        <w:gridCol w:w="2709"/>
        <w:gridCol w:w="1663"/>
        <w:gridCol w:w="853"/>
      </w:tblGrid>
      <w:tr>
        <w:trPr>
          <w:trHeight w:val="226" w:hRule="atLeast"/>
        </w:trPr>
        <w:tc>
          <w:tcPr>
            <w:tcW w:w="1566" w:type="dxa"/>
            <w:vMerge w:val="restart"/>
            <w:tcBorders>
              <w:bottom w:val="nil"/>
              <w:right w:val="single" w:sz="2" w:space="0" w:color="000000"/>
            </w:tcBorders>
          </w:tcPr>
          <w:p>
            <w:pPr>
              <w:pStyle w:val="TableParagraph"/>
              <w:rPr>
                <w:rFonts w:ascii="Times New Roman"/>
                <w:sz w:val="20"/>
              </w:rPr>
            </w:pPr>
          </w:p>
        </w:tc>
        <w:tc>
          <w:tcPr>
            <w:tcW w:w="2981" w:type="dxa"/>
            <w:tcBorders>
              <w:top w:val="single" w:sz="6" w:space="0" w:color="000000"/>
              <w:left w:val="single" w:sz="2" w:space="0" w:color="000000"/>
              <w:bottom w:val="nil"/>
              <w:right w:val="nil"/>
            </w:tcBorders>
          </w:tcPr>
          <w:p>
            <w:pPr>
              <w:pStyle w:val="TableParagraph"/>
              <w:rPr>
                <w:rFonts w:ascii="Times New Roman"/>
                <w:sz w:val="16"/>
              </w:rPr>
            </w:pPr>
          </w:p>
        </w:tc>
        <w:tc>
          <w:tcPr>
            <w:tcW w:w="4372" w:type="dxa"/>
            <w:gridSpan w:val="2"/>
            <w:tcBorders>
              <w:top w:val="single" w:sz="6" w:space="0" w:color="000000"/>
              <w:left w:val="nil"/>
              <w:bottom w:val="single" w:sz="6" w:space="0" w:color="000000"/>
            </w:tcBorders>
          </w:tcPr>
          <w:p>
            <w:pPr>
              <w:pStyle w:val="TableParagraph"/>
              <w:tabs>
                <w:tab w:pos="3362" w:val="left" w:leader="none"/>
              </w:tabs>
              <w:spacing w:line="191" w:lineRule="exact" w:before="15"/>
              <w:ind w:left="654"/>
              <w:rPr>
                <w:rFonts w:ascii="Times New Roman"/>
                <w:b/>
                <w:sz w:val="18"/>
              </w:rPr>
            </w:pPr>
            <w:r>
              <w:rPr>
                <w:rFonts w:ascii="Times New Roman"/>
                <w:b/>
                <w:spacing w:val="-4"/>
                <w:sz w:val="18"/>
                <w:u w:val="single"/>
              </w:rPr>
              <w:t>2026</w:t>
            </w:r>
            <w:r>
              <w:rPr>
                <w:rFonts w:ascii="Times New Roman"/>
                <w:b/>
                <w:sz w:val="18"/>
                <w:u w:val="none"/>
              </w:rPr>
              <w:tab/>
            </w:r>
            <w:r>
              <w:rPr>
                <w:rFonts w:ascii="Times New Roman"/>
                <w:b/>
                <w:spacing w:val="-4"/>
                <w:sz w:val="18"/>
                <w:u w:val="single"/>
              </w:rPr>
              <w:t>2025</w:t>
            </w:r>
          </w:p>
        </w:tc>
        <w:tc>
          <w:tcPr>
            <w:tcW w:w="853" w:type="dxa"/>
            <w:vMerge w:val="restart"/>
            <w:tcBorders>
              <w:bottom w:val="nil"/>
            </w:tcBorders>
          </w:tcPr>
          <w:p>
            <w:pPr>
              <w:pStyle w:val="TableParagraph"/>
              <w:rPr>
                <w:rFonts w:ascii="Times New Roman"/>
                <w:sz w:val="20"/>
              </w:rPr>
            </w:pPr>
          </w:p>
        </w:tc>
      </w:tr>
      <w:tr>
        <w:trPr>
          <w:trHeight w:val="226" w:hRule="atLeast"/>
        </w:trPr>
        <w:tc>
          <w:tcPr>
            <w:tcW w:w="1566" w:type="dxa"/>
            <w:vMerge/>
            <w:tcBorders>
              <w:top w:val="nil"/>
              <w:bottom w:val="nil"/>
              <w:right w:val="single" w:sz="2" w:space="0" w:color="000000"/>
            </w:tcBorders>
          </w:tcPr>
          <w:p>
            <w:pPr>
              <w:rPr>
                <w:sz w:val="2"/>
                <w:szCs w:val="2"/>
              </w:rPr>
            </w:pPr>
          </w:p>
        </w:tc>
        <w:tc>
          <w:tcPr>
            <w:tcW w:w="5690" w:type="dxa"/>
            <w:gridSpan w:val="2"/>
            <w:vMerge w:val="restart"/>
            <w:tcBorders>
              <w:top w:val="nil"/>
              <w:left w:val="single" w:sz="2" w:space="0" w:color="000000"/>
              <w:right w:val="nil"/>
            </w:tcBorders>
          </w:tcPr>
          <w:p>
            <w:pPr>
              <w:pStyle w:val="TableParagraph"/>
              <w:spacing w:before="9" w:after="1"/>
              <w:rPr>
                <w:sz w:val="19"/>
              </w:rPr>
            </w:pPr>
          </w:p>
          <w:p>
            <w:pPr>
              <w:pStyle w:val="TableParagraph"/>
              <w:spacing w:line="20" w:lineRule="exact"/>
              <w:ind w:left="2982"/>
              <w:rPr>
                <w:sz w:val="2"/>
              </w:rPr>
            </w:pPr>
            <w:r>
              <w:rPr>
                <w:sz w:val="2"/>
              </w:rPr>
              <mc:AlternateContent>
                <mc:Choice Requires="wps">
                  <w:drawing>
                    <wp:inline distT="0" distB="0" distL="0" distR="0">
                      <wp:extent cx="1059180" cy="6350"/>
                      <wp:effectExtent l="0" t="0" r="0" b="0"/>
                      <wp:docPr id="1043" name="Group 1043"/>
                      <wp:cNvGraphicFramePr>
                        <a:graphicFrameLocks/>
                      </wp:cNvGraphicFramePr>
                      <a:graphic>
                        <a:graphicData uri="http://schemas.microsoft.com/office/word/2010/wordprocessingGroup">
                          <wpg:wgp>
                            <wpg:cNvPr id="1043" name="Group 1043"/>
                            <wpg:cNvGrpSpPr/>
                            <wpg:grpSpPr>
                              <a:xfrm>
                                <a:off x="0" y="0"/>
                                <a:ext cx="1059180" cy="6350"/>
                                <a:chExt cx="1059180" cy="6350"/>
                              </a:xfrm>
                            </wpg:grpSpPr>
                            <wps:wsp>
                              <wps:cNvPr id="1044" name="Graphic 1044"/>
                              <wps:cNvSpPr/>
                              <wps:spPr>
                                <a:xfrm>
                                  <a:off x="0" y="0"/>
                                  <a:ext cx="1059180" cy="6350"/>
                                </a:xfrm>
                                <a:custGeom>
                                  <a:avLst/>
                                  <a:gdLst/>
                                  <a:ahLst/>
                                  <a:cxnLst/>
                                  <a:rect l="l" t="t" r="r" b="b"/>
                                  <a:pathLst>
                                    <a:path w="1059180" h="6350">
                                      <a:moveTo>
                                        <a:pt x="1058825" y="0"/>
                                      </a:moveTo>
                                      <a:lnTo>
                                        <a:pt x="0" y="0"/>
                                      </a:lnTo>
                                      <a:lnTo>
                                        <a:pt x="0" y="6115"/>
                                      </a:lnTo>
                                      <a:lnTo>
                                        <a:pt x="1058825" y="6116"/>
                                      </a:lnTo>
                                      <a:lnTo>
                                        <a:pt x="10588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3.4pt;height:.5pt;mso-position-horizontal-relative:char;mso-position-vertical-relative:line" id="docshapegroup990" coordorigin="0,0" coordsize="1668,10">
                      <v:rect style="position:absolute;left:0;top:0;width:1668;height:10" id="docshape991" filled="true" fillcolor="#000000" stroked="false">
                        <v:fill type="solid"/>
                      </v:rect>
                    </v:group>
                  </w:pict>
                </mc:Fallback>
              </mc:AlternateContent>
            </w:r>
            <w:r>
              <w:rPr>
                <w:sz w:val="2"/>
              </w:rPr>
            </w:r>
          </w:p>
          <w:p>
            <w:pPr>
              <w:pStyle w:val="TableParagraph"/>
              <w:spacing w:before="5"/>
              <w:ind w:left="144"/>
              <w:rPr>
                <w:rFonts w:ascii="Times New Roman"/>
                <w:b/>
                <w:sz w:val="19"/>
              </w:rPr>
            </w:pPr>
            <w:r>
              <w:rPr>
                <w:rFonts w:ascii="Times New Roman"/>
                <w:b/>
                <w:spacing w:val="-2"/>
                <w:sz w:val="19"/>
              </w:rPr>
              <w:t>Costo</w:t>
            </w:r>
          </w:p>
          <w:p>
            <w:pPr>
              <w:pStyle w:val="TableParagraph"/>
              <w:tabs>
                <w:tab w:pos="3608" w:val="left" w:leader="none"/>
              </w:tabs>
              <w:spacing w:before="22"/>
              <w:ind w:left="144"/>
              <w:rPr>
                <w:rFonts w:ascii="Times New Roman"/>
                <w:sz w:val="19"/>
              </w:rPr>
            </w:pPr>
            <w:r>
              <w:rPr>
                <w:rFonts w:ascii="Times New Roman"/>
                <w:b/>
                <w:sz w:val="19"/>
              </w:rPr>
              <w:t>Saldo</w:t>
            </w:r>
            <w:r>
              <w:rPr>
                <w:rFonts w:ascii="Times New Roman"/>
                <w:b/>
                <w:spacing w:val="-6"/>
                <w:sz w:val="19"/>
              </w:rPr>
              <w:t> </w:t>
            </w:r>
            <w:r>
              <w:rPr>
                <w:rFonts w:ascii="Times New Roman"/>
                <w:b/>
                <w:sz w:val="19"/>
              </w:rPr>
              <w:t>al</w:t>
            </w:r>
            <w:r>
              <w:rPr>
                <w:rFonts w:ascii="Times New Roman"/>
                <w:b/>
                <w:spacing w:val="-3"/>
                <w:sz w:val="19"/>
              </w:rPr>
              <w:t> </w:t>
            </w:r>
            <w:r>
              <w:rPr>
                <w:rFonts w:ascii="Times New Roman"/>
                <w:b/>
                <w:sz w:val="19"/>
              </w:rPr>
              <w:t>inicio</w:t>
            </w:r>
            <w:r>
              <w:rPr>
                <w:rFonts w:ascii="Times New Roman"/>
                <w:b/>
                <w:spacing w:val="-6"/>
                <w:sz w:val="19"/>
              </w:rPr>
              <w:t> </w:t>
            </w:r>
            <w:r>
              <w:rPr>
                <w:rFonts w:ascii="Times New Roman"/>
                <w:b/>
                <w:sz w:val="19"/>
              </w:rPr>
              <w:t>del</w:t>
            </w:r>
            <w:r>
              <w:rPr>
                <w:rFonts w:ascii="Times New Roman"/>
                <w:b/>
                <w:spacing w:val="-1"/>
                <w:sz w:val="19"/>
              </w:rPr>
              <w:t> </w:t>
            </w:r>
            <w:r>
              <w:rPr>
                <w:rFonts w:ascii="Times New Roman"/>
                <w:b/>
                <w:spacing w:val="-2"/>
                <w:sz w:val="19"/>
              </w:rPr>
              <w:t>periodo</w:t>
            </w:r>
            <w:r>
              <w:rPr>
                <w:rFonts w:ascii="Times New Roman"/>
                <w:b/>
                <w:sz w:val="19"/>
              </w:rPr>
              <w:tab/>
            </w:r>
            <w:r>
              <w:rPr>
                <w:rFonts w:ascii="Times New Roman"/>
                <w:sz w:val="19"/>
              </w:rPr>
              <w:t>2 117</w:t>
            </w:r>
            <w:r>
              <w:rPr>
                <w:rFonts w:ascii="Times New Roman"/>
                <w:spacing w:val="1"/>
                <w:sz w:val="19"/>
              </w:rPr>
              <w:t> </w:t>
            </w:r>
            <w:r>
              <w:rPr>
                <w:rFonts w:ascii="Times New Roman"/>
                <w:spacing w:val="-2"/>
                <w:sz w:val="19"/>
              </w:rPr>
              <w:t>857,48</w:t>
            </w:r>
          </w:p>
          <w:p>
            <w:pPr>
              <w:pStyle w:val="TableParagraph"/>
              <w:tabs>
                <w:tab w:pos="4283" w:val="left" w:leader="none"/>
              </w:tabs>
              <w:spacing w:before="28"/>
              <w:ind w:left="144"/>
              <w:rPr>
                <w:rFonts w:ascii="Times New Roman"/>
                <w:sz w:val="19"/>
              </w:rPr>
            </w:pPr>
            <w:r>
              <w:rPr>
                <w:rFonts w:ascii="Times New Roman"/>
                <w:spacing w:val="-2"/>
                <w:sz w:val="19"/>
              </w:rPr>
              <w:t>Adiciones</w:t>
            </w:r>
            <w:r>
              <w:rPr>
                <w:rFonts w:ascii="Times New Roman"/>
                <w:sz w:val="19"/>
              </w:rPr>
              <w:tab/>
            </w:r>
            <w:r>
              <w:rPr>
                <w:rFonts w:ascii="Times New Roman"/>
                <w:spacing w:val="-4"/>
                <w:sz w:val="19"/>
              </w:rPr>
              <w:t>0,00</w:t>
            </w:r>
          </w:p>
          <w:p>
            <w:pPr>
              <w:pStyle w:val="TableParagraph"/>
              <w:tabs>
                <w:tab w:pos="4283" w:val="left" w:leader="none"/>
              </w:tabs>
              <w:spacing w:before="27"/>
              <w:ind w:left="144"/>
              <w:rPr>
                <w:rFonts w:ascii="Times New Roman"/>
                <w:sz w:val="19"/>
              </w:rPr>
            </w:pPr>
            <w:r>
              <w:rPr>
                <w:rFonts w:ascii="Times New Roman"/>
                <w:spacing w:val="-2"/>
                <w:sz w:val="19"/>
              </w:rPr>
              <w:t>Retiros</w:t>
            </w:r>
            <w:r>
              <w:rPr>
                <w:rFonts w:ascii="Times New Roman"/>
                <w:sz w:val="19"/>
              </w:rPr>
              <w:tab/>
            </w:r>
            <w:r>
              <w:rPr>
                <w:rFonts w:ascii="Times New Roman"/>
                <w:spacing w:val="-4"/>
                <w:sz w:val="19"/>
              </w:rPr>
              <w:t>0,00</w:t>
            </w:r>
          </w:p>
          <w:p>
            <w:pPr>
              <w:pStyle w:val="TableParagraph"/>
              <w:tabs>
                <w:tab w:pos="2982" w:val="left" w:leader="none"/>
                <w:tab w:pos="4283" w:val="left" w:leader="none"/>
              </w:tabs>
              <w:spacing w:before="28"/>
              <w:ind w:left="144"/>
              <w:rPr>
                <w:rFonts w:ascii="Times New Roman"/>
                <w:sz w:val="19"/>
              </w:rPr>
            </w:pPr>
            <w:r>
              <w:rPr>
                <w:rFonts w:ascii="Times New Roman"/>
                <w:spacing w:val="-2"/>
                <w:sz w:val="19"/>
              </w:rPr>
              <w:t>Ajustes</w:t>
            </w:r>
            <w:r>
              <w:rPr>
                <w:rFonts w:ascii="Times New Roman"/>
                <w:sz w:val="19"/>
              </w:rPr>
              <w:tab/>
            </w:r>
            <w:r>
              <w:rPr>
                <w:rFonts w:ascii="Times New Roman"/>
                <w:sz w:val="19"/>
                <w:u w:val="single"/>
              </w:rPr>
              <w:tab/>
            </w:r>
            <w:r>
              <w:rPr>
                <w:rFonts w:ascii="Times New Roman"/>
                <w:spacing w:val="-4"/>
                <w:sz w:val="19"/>
                <w:u w:val="single"/>
              </w:rPr>
              <w:t>0,00</w:t>
            </w:r>
          </w:p>
          <w:p>
            <w:pPr>
              <w:pStyle w:val="TableParagraph"/>
              <w:tabs>
                <w:tab w:pos="3608" w:val="left" w:leader="none"/>
              </w:tabs>
              <w:spacing w:line="271" w:lineRule="auto" w:before="27"/>
              <w:ind w:left="144" w:right="1065" w:firstLine="703"/>
              <w:rPr>
                <w:rFonts w:ascii="Times New Roman" w:hAnsi="Times New Roman"/>
                <w:b/>
                <w:sz w:val="19"/>
              </w:rPr>
            </w:pPr>
            <w:r>
              <w:rPr>
                <w:rFonts w:ascii="Times New Roman" w:hAnsi="Times New Roman"/>
                <w:b/>
                <w:sz w:val="19"/>
              </w:rPr>
              <w:t>Saldos al final del periodo</w:t>
              <w:tab/>
            </w:r>
            <w:r>
              <w:rPr>
                <w:rFonts w:ascii="Times New Roman" w:hAnsi="Times New Roman"/>
                <w:b/>
                <w:sz w:val="19"/>
                <w:u w:val="single"/>
              </w:rPr>
              <w:t>2</w:t>
            </w:r>
            <w:r>
              <w:rPr>
                <w:rFonts w:ascii="Times New Roman" w:hAnsi="Times New Roman"/>
                <w:b/>
                <w:spacing w:val="-12"/>
                <w:sz w:val="19"/>
                <w:u w:val="single"/>
              </w:rPr>
              <w:t> </w:t>
            </w:r>
            <w:r>
              <w:rPr>
                <w:rFonts w:ascii="Times New Roman" w:hAnsi="Times New Roman"/>
                <w:b/>
                <w:sz w:val="19"/>
                <w:u w:val="single"/>
              </w:rPr>
              <w:t>117</w:t>
            </w:r>
            <w:r>
              <w:rPr>
                <w:rFonts w:ascii="Times New Roman" w:hAnsi="Times New Roman"/>
                <w:b/>
                <w:spacing w:val="-12"/>
                <w:sz w:val="19"/>
                <w:u w:val="single"/>
              </w:rPr>
              <w:t> </w:t>
            </w:r>
            <w:r>
              <w:rPr>
                <w:rFonts w:ascii="Times New Roman" w:hAnsi="Times New Roman"/>
                <w:b/>
                <w:sz w:val="19"/>
                <w:u w:val="single"/>
              </w:rPr>
              <w:t>857,48</w:t>
            </w:r>
            <w:r>
              <w:rPr>
                <w:rFonts w:ascii="Times New Roman" w:hAnsi="Times New Roman"/>
                <w:b/>
                <w:sz w:val="19"/>
                <w:u w:val="none"/>
              </w:rPr>
              <w:t> Amortización acumulada y deterioro</w:t>
            </w:r>
          </w:p>
          <w:p>
            <w:pPr>
              <w:pStyle w:val="TableParagraph"/>
              <w:tabs>
                <w:tab w:pos="3464" w:val="left" w:leader="none"/>
              </w:tabs>
              <w:spacing w:before="3"/>
              <w:ind w:right="1065"/>
              <w:jc w:val="right"/>
              <w:rPr>
                <w:rFonts w:ascii="Times New Roman"/>
                <w:sz w:val="19"/>
              </w:rPr>
            </w:pPr>
            <w:r>
              <w:rPr>
                <w:rFonts w:ascii="Times New Roman"/>
                <w:sz w:val="19"/>
              </w:rPr>
              <w:t>Saldo</w:t>
            </w:r>
            <w:r>
              <w:rPr>
                <w:rFonts w:ascii="Times New Roman"/>
                <w:spacing w:val="-6"/>
                <w:sz w:val="19"/>
              </w:rPr>
              <w:t> </w:t>
            </w:r>
            <w:r>
              <w:rPr>
                <w:rFonts w:ascii="Times New Roman"/>
                <w:sz w:val="19"/>
              </w:rPr>
              <w:t>al</w:t>
            </w:r>
            <w:r>
              <w:rPr>
                <w:rFonts w:ascii="Times New Roman"/>
                <w:spacing w:val="-1"/>
                <w:sz w:val="19"/>
              </w:rPr>
              <w:t> </w:t>
            </w:r>
            <w:r>
              <w:rPr>
                <w:rFonts w:ascii="Times New Roman"/>
                <w:sz w:val="19"/>
              </w:rPr>
              <w:t>inicio</w:t>
            </w:r>
            <w:r>
              <w:rPr>
                <w:rFonts w:ascii="Times New Roman"/>
                <w:spacing w:val="-5"/>
                <w:sz w:val="19"/>
              </w:rPr>
              <w:t> </w:t>
            </w:r>
            <w:r>
              <w:rPr>
                <w:rFonts w:ascii="Times New Roman"/>
                <w:sz w:val="19"/>
              </w:rPr>
              <w:t>del</w:t>
            </w:r>
            <w:r>
              <w:rPr>
                <w:rFonts w:ascii="Times New Roman"/>
                <w:spacing w:val="-1"/>
                <w:sz w:val="19"/>
              </w:rPr>
              <w:t> </w:t>
            </w:r>
            <w:r>
              <w:rPr>
                <w:rFonts w:ascii="Times New Roman"/>
                <w:spacing w:val="-2"/>
                <w:sz w:val="19"/>
              </w:rPr>
              <w:t>periodo</w:t>
            </w:r>
            <w:r>
              <w:rPr>
                <w:rFonts w:ascii="Times New Roman"/>
                <w:sz w:val="19"/>
              </w:rPr>
              <w:tab/>
              <w:t>1 721</w:t>
            </w:r>
            <w:r>
              <w:rPr>
                <w:rFonts w:ascii="Times New Roman"/>
                <w:spacing w:val="1"/>
                <w:sz w:val="19"/>
              </w:rPr>
              <w:t> </w:t>
            </w:r>
            <w:r>
              <w:rPr>
                <w:rFonts w:ascii="Times New Roman"/>
                <w:spacing w:val="-2"/>
                <w:sz w:val="19"/>
              </w:rPr>
              <w:t>413,63</w:t>
            </w:r>
          </w:p>
          <w:p>
            <w:pPr>
              <w:pStyle w:val="TableParagraph"/>
              <w:tabs>
                <w:tab w:pos="3705" w:val="left" w:leader="none"/>
              </w:tabs>
              <w:spacing w:before="27"/>
              <w:ind w:right="1065"/>
              <w:jc w:val="right"/>
              <w:rPr>
                <w:rFonts w:ascii="Times New Roman" w:hAnsi="Times New Roman"/>
                <w:sz w:val="19"/>
              </w:rPr>
            </w:pPr>
            <w:r>
              <w:rPr>
                <w:rFonts w:ascii="Times New Roman" w:hAnsi="Times New Roman"/>
                <w:sz w:val="19"/>
              </w:rPr>
              <w:t>Gasto</w:t>
            </w:r>
            <w:r>
              <w:rPr>
                <w:rFonts w:ascii="Times New Roman" w:hAnsi="Times New Roman"/>
                <w:spacing w:val="-7"/>
                <w:sz w:val="19"/>
              </w:rPr>
              <w:t> </w:t>
            </w:r>
            <w:r>
              <w:rPr>
                <w:rFonts w:ascii="Times New Roman" w:hAnsi="Times New Roman"/>
                <w:sz w:val="19"/>
              </w:rPr>
              <w:t>por</w:t>
            </w:r>
            <w:r>
              <w:rPr>
                <w:rFonts w:ascii="Times New Roman" w:hAnsi="Times New Roman"/>
                <w:spacing w:val="-4"/>
                <w:sz w:val="19"/>
              </w:rPr>
              <w:t> </w:t>
            </w:r>
            <w:r>
              <w:rPr>
                <w:rFonts w:ascii="Times New Roman" w:hAnsi="Times New Roman"/>
                <w:spacing w:val="-2"/>
                <w:sz w:val="19"/>
              </w:rPr>
              <w:t>amortización</w:t>
            </w:r>
            <w:r>
              <w:rPr>
                <w:rFonts w:ascii="Times New Roman" w:hAnsi="Times New Roman"/>
                <w:sz w:val="19"/>
              </w:rPr>
              <w:tab/>
              <w:t>45 </w:t>
            </w:r>
            <w:r>
              <w:rPr>
                <w:rFonts w:ascii="Times New Roman" w:hAnsi="Times New Roman"/>
                <w:spacing w:val="-2"/>
                <w:sz w:val="19"/>
              </w:rPr>
              <w:t>089,39</w:t>
            </w:r>
          </w:p>
          <w:p>
            <w:pPr>
              <w:pStyle w:val="TableParagraph"/>
              <w:tabs>
                <w:tab w:pos="4091" w:val="left" w:leader="none"/>
              </w:tabs>
              <w:spacing w:before="28"/>
              <w:ind w:right="1065"/>
              <w:jc w:val="right"/>
              <w:rPr>
                <w:rFonts w:ascii="Times New Roman"/>
                <w:sz w:val="19"/>
              </w:rPr>
            </w:pPr>
            <w:r>
              <w:rPr>
                <w:rFonts w:ascii="Times New Roman"/>
                <w:spacing w:val="-2"/>
                <w:sz w:val="19"/>
              </w:rPr>
              <w:t>Incrementos</w:t>
            </w:r>
            <w:r>
              <w:rPr>
                <w:rFonts w:ascii="Times New Roman"/>
                <w:sz w:val="19"/>
              </w:rPr>
              <w:tab/>
            </w:r>
            <w:r>
              <w:rPr>
                <w:rFonts w:ascii="Times New Roman"/>
                <w:spacing w:val="-4"/>
                <w:sz w:val="19"/>
              </w:rPr>
              <w:t>0,00</w:t>
            </w:r>
          </w:p>
          <w:p>
            <w:pPr>
              <w:pStyle w:val="TableParagraph"/>
              <w:tabs>
                <w:tab w:pos="2838" w:val="left" w:leader="none"/>
                <w:tab w:pos="4139" w:val="left" w:leader="none"/>
              </w:tabs>
              <w:spacing w:before="27"/>
              <w:ind w:right="1065"/>
              <w:jc w:val="right"/>
              <w:rPr>
                <w:rFonts w:ascii="Times New Roman"/>
                <w:sz w:val="19"/>
              </w:rPr>
            </w:pPr>
            <w:r>
              <w:rPr>
                <w:rFonts w:ascii="Times New Roman"/>
                <w:spacing w:val="-2"/>
                <w:sz w:val="19"/>
              </w:rPr>
              <w:t>Bajas</w:t>
            </w:r>
            <w:r>
              <w:rPr>
                <w:rFonts w:ascii="Times New Roman"/>
                <w:sz w:val="19"/>
              </w:rPr>
              <w:tab/>
            </w:r>
            <w:r>
              <w:rPr>
                <w:rFonts w:ascii="Times New Roman"/>
                <w:sz w:val="19"/>
                <w:u w:val="single"/>
              </w:rPr>
              <w:tab/>
            </w:r>
            <w:r>
              <w:rPr>
                <w:rFonts w:ascii="Times New Roman"/>
                <w:spacing w:val="-4"/>
                <w:sz w:val="19"/>
                <w:u w:val="single"/>
              </w:rPr>
              <w:t>0,00</w:t>
            </w:r>
          </w:p>
          <w:p>
            <w:pPr>
              <w:pStyle w:val="TableParagraph"/>
              <w:tabs>
                <w:tab w:pos="2683" w:val="left" w:leader="none"/>
              </w:tabs>
              <w:spacing w:before="28"/>
              <w:ind w:right="1065"/>
              <w:jc w:val="right"/>
              <w:rPr>
                <w:rFonts w:ascii="Times New Roman"/>
                <w:b/>
                <w:sz w:val="19"/>
              </w:rPr>
            </w:pPr>
            <w:r>
              <w:rPr>
                <w:rFonts w:ascii="Times New Roman"/>
                <w:b/>
                <w:sz w:val="19"/>
              </w:rPr>
              <w:t>Saldo</w:t>
            </w:r>
            <w:r>
              <w:rPr>
                <w:rFonts w:ascii="Times New Roman"/>
                <w:b/>
                <w:spacing w:val="-6"/>
                <w:sz w:val="19"/>
              </w:rPr>
              <w:t> </w:t>
            </w:r>
            <w:r>
              <w:rPr>
                <w:rFonts w:ascii="Times New Roman"/>
                <w:b/>
                <w:sz w:val="19"/>
              </w:rPr>
              <w:t>al</w:t>
            </w:r>
            <w:r>
              <w:rPr>
                <w:rFonts w:ascii="Times New Roman"/>
                <w:b/>
                <w:spacing w:val="-1"/>
                <w:sz w:val="19"/>
              </w:rPr>
              <w:t> </w:t>
            </w:r>
            <w:r>
              <w:rPr>
                <w:rFonts w:ascii="Times New Roman"/>
                <w:b/>
                <w:sz w:val="19"/>
              </w:rPr>
              <w:t>final</w:t>
            </w:r>
            <w:r>
              <w:rPr>
                <w:rFonts w:ascii="Times New Roman"/>
                <w:b/>
                <w:spacing w:val="-1"/>
                <w:sz w:val="19"/>
              </w:rPr>
              <w:t> </w:t>
            </w:r>
            <w:r>
              <w:rPr>
                <w:rFonts w:ascii="Times New Roman"/>
                <w:b/>
                <w:sz w:val="19"/>
              </w:rPr>
              <w:t>del </w:t>
            </w:r>
            <w:r>
              <w:rPr>
                <w:rFonts w:ascii="Times New Roman"/>
                <w:b/>
                <w:spacing w:val="-2"/>
                <w:sz w:val="19"/>
              </w:rPr>
              <w:t>periodo</w:t>
            </w:r>
            <w:r>
              <w:rPr>
                <w:rFonts w:ascii="Times New Roman"/>
                <w:b/>
                <w:sz w:val="19"/>
              </w:rPr>
              <w:tab/>
            </w:r>
            <w:r>
              <w:rPr>
                <w:rFonts w:ascii="Times New Roman"/>
                <w:b/>
                <w:sz w:val="19"/>
                <w:u w:val="single"/>
              </w:rPr>
              <w:t>1 766</w:t>
            </w:r>
            <w:r>
              <w:rPr>
                <w:rFonts w:ascii="Times New Roman"/>
                <w:b/>
                <w:spacing w:val="1"/>
                <w:sz w:val="19"/>
                <w:u w:val="single"/>
              </w:rPr>
              <w:t> </w:t>
            </w:r>
            <w:r>
              <w:rPr>
                <w:rFonts w:ascii="Times New Roman"/>
                <w:b/>
                <w:spacing w:val="-2"/>
                <w:sz w:val="19"/>
                <w:u w:val="single"/>
              </w:rPr>
              <w:t>503,02</w:t>
            </w:r>
          </w:p>
          <w:p>
            <w:pPr>
              <w:pStyle w:val="TableParagraph"/>
              <w:tabs>
                <w:tab w:pos="2698" w:val="left" w:leader="none"/>
              </w:tabs>
              <w:spacing w:line="201" w:lineRule="exact" w:before="27"/>
              <w:ind w:right="1065"/>
              <w:jc w:val="right"/>
              <w:rPr>
                <w:rFonts w:ascii="Times New Roman"/>
                <w:b/>
                <w:sz w:val="19"/>
              </w:rPr>
            </w:pPr>
            <w:r>
              <w:rPr>
                <w:rFonts w:ascii="Times New Roman"/>
                <w:b/>
                <w:sz w:val="19"/>
              </w:rPr>
              <w:t>Total,</w:t>
            </w:r>
            <w:r>
              <w:rPr>
                <w:rFonts w:ascii="Times New Roman"/>
                <w:b/>
                <w:spacing w:val="-4"/>
                <w:sz w:val="19"/>
              </w:rPr>
              <w:t> neto</w:t>
            </w:r>
            <w:r>
              <w:rPr>
                <w:rFonts w:ascii="Times New Roman"/>
                <w:b/>
                <w:sz w:val="19"/>
              </w:rPr>
              <w:tab/>
            </w:r>
            <w:r>
              <w:rPr>
                <w:rFonts w:ascii="Times New Roman"/>
                <w:b/>
                <w:sz w:val="19"/>
                <w:u w:val="double"/>
              </w:rPr>
              <w:t>351 </w:t>
            </w:r>
            <w:r>
              <w:rPr>
                <w:rFonts w:ascii="Times New Roman"/>
                <w:b/>
                <w:spacing w:val="-2"/>
                <w:sz w:val="19"/>
                <w:u w:val="double"/>
              </w:rPr>
              <w:t>354,46</w:t>
            </w:r>
          </w:p>
        </w:tc>
        <w:tc>
          <w:tcPr>
            <w:tcW w:w="1663" w:type="dxa"/>
            <w:tcBorders>
              <w:top w:val="single" w:sz="6" w:space="0" w:color="000000"/>
              <w:left w:val="nil"/>
            </w:tcBorders>
          </w:tcPr>
          <w:p>
            <w:pPr>
              <w:pStyle w:val="TableParagraph"/>
              <w:rPr>
                <w:rFonts w:ascii="Times New Roman"/>
                <w:sz w:val="16"/>
              </w:rPr>
            </w:pPr>
          </w:p>
        </w:tc>
        <w:tc>
          <w:tcPr>
            <w:tcW w:w="853" w:type="dxa"/>
            <w:vMerge/>
            <w:tcBorders>
              <w:top w:val="nil"/>
              <w:bottom w:val="nil"/>
            </w:tcBorders>
          </w:tcPr>
          <w:p>
            <w:pPr>
              <w:rPr>
                <w:sz w:val="2"/>
                <w:szCs w:val="2"/>
              </w:rPr>
            </w:pPr>
          </w:p>
        </w:tc>
      </w:tr>
      <w:tr>
        <w:trPr>
          <w:trHeight w:val="3186" w:hRule="atLeast"/>
        </w:trPr>
        <w:tc>
          <w:tcPr>
            <w:tcW w:w="1566" w:type="dxa"/>
            <w:vMerge/>
            <w:tcBorders>
              <w:top w:val="nil"/>
              <w:bottom w:val="nil"/>
              <w:right w:val="single" w:sz="2" w:space="0" w:color="000000"/>
            </w:tcBorders>
          </w:tcPr>
          <w:p>
            <w:pPr>
              <w:rPr>
                <w:sz w:val="2"/>
                <w:szCs w:val="2"/>
              </w:rPr>
            </w:pPr>
          </w:p>
        </w:tc>
        <w:tc>
          <w:tcPr>
            <w:tcW w:w="5690" w:type="dxa"/>
            <w:gridSpan w:val="2"/>
            <w:vMerge/>
            <w:tcBorders>
              <w:top w:val="nil"/>
              <w:left w:val="single" w:sz="2" w:space="0" w:color="000000"/>
              <w:right w:val="nil"/>
            </w:tcBorders>
          </w:tcPr>
          <w:p>
            <w:pPr>
              <w:rPr>
                <w:sz w:val="2"/>
                <w:szCs w:val="2"/>
              </w:rPr>
            </w:pPr>
          </w:p>
        </w:tc>
        <w:tc>
          <w:tcPr>
            <w:tcW w:w="1663" w:type="dxa"/>
            <w:tcBorders>
              <w:left w:val="nil"/>
            </w:tcBorders>
          </w:tcPr>
          <w:p>
            <w:pPr>
              <w:pStyle w:val="TableParagraph"/>
              <w:spacing w:before="39"/>
              <w:rPr>
                <w:sz w:val="19"/>
              </w:rPr>
            </w:pPr>
          </w:p>
          <w:p>
            <w:pPr>
              <w:pStyle w:val="TableParagraph"/>
              <w:ind w:right="15"/>
              <w:jc w:val="right"/>
              <w:rPr>
                <w:rFonts w:ascii="Times New Roman"/>
                <w:sz w:val="19"/>
              </w:rPr>
            </w:pPr>
            <w:r>
              <w:rPr>
                <w:rFonts w:ascii="Times New Roman"/>
                <w:sz w:val="19"/>
              </w:rPr>
              <w:t>2 030</w:t>
            </w:r>
            <w:r>
              <w:rPr>
                <w:rFonts w:ascii="Times New Roman"/>
                <w:spacing w:val="1"/>
                <w:sz w:val="19"/>
              </w:rPr>
              <w:t> </w:t>
            </w:r>
            <w:r>
              <w:rPr>
                <w:rFonts w:ascii="Times New Roman"/>
                <w:spacing w:val="-2"/>
                <w:sz w:val="19"/>
              </w:rPr>
              <w:t>724,99</w:t>
            </w:r>
          </w:p>
          <w:p>
            <w:pPr>
              <w:pStyle w:val="TableParagraph"/>
              <w:spacing w:before="28"/>
              <w:ind w:right="15"/>
              <w:jc w:val="right"/>
              <w:rPr>
                <w:rFonts w:ascii="Times New Roman"/>
                <w:sz w:val="19"/>
              </w:rPr>
            </w:pPr>
            <w:r>
              <w:rPr>
                <w:rFonts w:ascii="Times New Roman"/>
                <w:sz w:val="19"/>
              </w:rPr>
              <w:t>92 </w:t>
            </w:r>
            <w:r>
              <w:rPr>
                <w:rFonts w:ascii="Times New Roman"/>
                <w:spacing w:val="-2"/>
                <w:sz w:val="19"/>
              </w:rPr>
              <w:t>164,90</w:t>
            </w:r>
          </w:p>
          <w:p>
            <w:pPr>
              <w:pStyle w:val="TableParagraph"/>
              <w:spacing w:before="27"/>
              <w:ind w:right="14"/>
              <w:jc w:val="right"/>
              <w:rPr>
                <w:rFonts w:ascii="Times New Roman"/>
                <w:sz w:val="19"/>
              </w:rPr>
            </w:pPr>
            <w:r>
              <w:rPr>
                <w:rFonts w:ascii="Times New Roman"/>
                <w:sz w:val="19"/>
              </w:rPr>
              <w:t>5 </w:t>
            </w:r>
            <w:r>
              <w:rPr>
                <w:rFonts w:ascii="Times New Roman"/>
                <w:spacing w:val="-2"/>
                <w:sz w:val="19"/>
              </w:rPr>
              <w:t>587,00</w:t>
            </w:r>
          </w:p>
          <w:p>
            <w:pPr>
              <w:pStyle w:val="TableParagraph"/>
              <w:spacing w:before="28"/>
              <w:ind w:right="14"/>
              <w:jc w:val="right"/>
              <w:rPr>
                <w:rFonts w:ascii="Times New Roman"/>
                <w:sz w:val="19"/>
              </w:rPr>
            </w:pPr>
            <w:r>
              <w:rPr>
                <w:rFonts w:ascii="Times New Roman"/>
                <w:spacing w:val="-4"/>
                <w:sz w:val="19"/>
                <w:u w:val="double"/>
              </w:rPr>
              <w:t>0,00</w:t>
            </w:r>
          </w:p>
          <w:p>
            <w:pPr>
              <w:pStyle w:val="TableParagraph"/>
              <w:spacing w:before="27"/>
              <w:ind w:right="15"/>
              <w:jc w:val="right"/>
              <w:rPr>
                <w:rFonts w:ascii="Times New Roman"/>
                <w:b/>
                <w:sz w:val="19"/>
              </w:rPr>
            </w:pPr>
            <w:r>
              <w:rPr>
                <w:rFonts w:ascii="Times New Roman"/>
                <w:b/>
                <w:sz w:val="19"/>
                <w:u w:val="single"/>
              </w:rPr>
              <w:t>2 117</w:t>
            </w:r>
            <w:r>
              <w:rPr>
                <w:rFonts w:ascii="Times New Roman"/>
                <w:b/>
                <w:spacing w:val="1"/>
                <w:sz w:val="19"/>
                <w:u w:val="single"/>
              </w:rPr>
              <w:t> </w:t>
            </w:r>
            <w:r>
              <w:rPr>
                <w:rFonts w:ascii="Times New Roman"/>
                <w:b/>
                <w:spacing w:val="-2"/>
                <w:sz w:val="19"/>
                <w:u w:val="single"/>
              </w:rPr>
              <w:t>302,90</w:t>
            </w:r>
          </w:p>
          <w:p>
            <w:pPr>
              <w:pStyle w:val="TableParagraph"/>
              <w:spacing w:before="61"/>
              <w:rPr>
                <w:sz w:val="19"/>
              </w:rPr>
            </w:pPr>
          </w:p>
          <w:p>
            <w:pPr>
              <w:pStyle w:val="TableParagraph"/>
              <w:ind w:right="15"/>
              <w:jc w:val="right"/>
              <w:rPr>
                <w:rFonts w:ascii="Times New Roman"/>
                <w:sz w:val="19"/>
              </w:rPr>
            </w:pPr>
            <w:r>
              <w:rPr>
                <w:rFonts w:ascii="Times New Roman"/>
                <w:sz w:val="19"/>
              </w:rPr>
              <w:t>1 590</w:t>
            </w:r>
            <w:r>
              <w:rPr>
                <w:rFonts w:ascii="Times New Roman"/>
                <w:spacing w:val="1"/>
                <w:sz w:val="19"/>
              </w:rPr>
              <w:t> </w:t>
            </w:r>
            <w:r>
              <w:rPr>
                <w:rFonts w:ascii="Times New Roman"/>
                <w:spacing w:val="-2"/>
                <w:sz w:val="19"/>
              </w:rPr>
              <w:t>122,49</w:t>
            </w:r>
          </w:p>
          <w:p>
            <w:pPr>
              <w:pStyle w:val="TableParagraph"/>
              <w:spacing w:before="28"/>
              <w:ind w:right="15"/>
              <w:jc w:val="right"/>
              <w:rPr>
                <w:rFonts w:ascii="Times New Roman"/>
                <w:sz w:val="19"/>
              </w:rPr>
            </w:pPr>
            <w:r>
              <w:rPr>
                <w:rFonts w:ascii="Times New Roman"/>
                <w:sz w:val="19"/>
              </w:rPr>
              <w:t>72 </w:t>
            </w:r>
            <w:r>
              <w:rPr>
                <w:rFonts w:ascii="Times New Roman"/>
                <w:spacing w:val="-2"/>
                <w:sz w:val="19"/>
              </w:rPr>
              <w:t>378,52</w:t>
            </w:r>
          </w:p>
          <w:p>
            <w:pPr>
              <w:pStyle w:val="TableParagraph"/>
              <w:spacing w:before="28"/>
              <w:ind w:right="14"/>
              <w:jc w:val="right"/>
              <w:rPr>
                <w:rFonts w:ascii="Times New Roman"/>
                <w:sz w:val="19"/>
              </w:rPr>
            </w:pPr>
            <w:r>
              <w:rPr>
                <w:rFonts w:ascii="Times New Roman"/>
                <w:spacing w:val="-4"/>
                <w:sz w:val="19"/>
              </w:rPr>
              <w:t>0,00</w:t>
            </w:r>
          </w:p>
          <w:p>
            <w:pPr>
              <w:pStyle w:val="TableParagraph"/>
              <w:tabs>
                <w:tab w:pos="963" w:val="left" w:leader="none"/>
              </w:tabs>
              <w:spacing w:before="27"/>
              <w:ind w:right="15"/>
              <w:jc w:val="right"/>
              <w:rPr>
                <w:rFonts w:ascii="Times New Roman"/>
                <w:sz w:val="19"/>
              </w:rPr>
            </w:pPr>
            <w:r>
              <w:rPr>
                <w:rFonts w:ascii="Times New Roman"/>
                <w:sz w:val="19"/>
                <w:u w:val="single"/>
              </w:rPr>
              <w:tab/>
              <w:t>5 </w:t>
            </w:r>
            <w:r>
              <w:rPr>
                <w:rFonts w:ascii="Times New Roman"/>
                <w:spacing w:val="-2"/>
                <w:sz w:val="19"/>
                <w:u w:val="single"/>
              </w:rPr>
              <w:t>587,00</w:t>
            </w:r>
          </w:p>
          <w:p>
            <w:pPr>
              <w:pStyle w:val="TableParagraph"/>
              <w:spacing w:before="27"/>
              <w:ind w:right="15"/>
              <w:jc w:val="right"/>
              <w:rPr>
                <w:rFonts w:ascii="Times New Roman"/>
                <w:b/>
                <w:sz w:val="19"/>
              </w:rPr>
            </w:pPr>
            <w:r>
              <w:rPr>
                <w:rFonts w:ascii="Times New Roman"/>
                <w:b/>
                <w:sz w:val="19"/>
                <w:u w:val="single"/>
              </w:rPr>
              <w:t>1 656</w:t>
            </w:r>
            <w:r>
              <w:rPr>
                <w:rFonts w:ascii="Times New Roman"/>
                <w:b/>
                <w:spacing w:val="1"/>
                <w:sz w:val="19"/>
                <w:u w:val="single"/>
              </w:rPr>
              <w:t> </w:t>
            </w:r>
            <w:r>
              <w:rPr>
                <w:rFonts w:ascii="Times New Roman"/>
                <w:b/>
                <w:spacing w:val="-2"/>
                <w:sz w:val="19"/>
                <w:u w:val="single"/>
              </w:rPr>
              <w:t>914,01</w:t>
            </w:r>
          </w:p>
          <w:p>
            <w:pPr>
              <w:pStyle w:val="TableParagraph"/>
              <w:spacing w:line="201" w:lineRule="exact" w:before="28"/>
              <w:ind w:right="15"/>
              <w:jc w:val="right"/>
              <w:rPr>
                <w:rFonts w:ascii="Times New Roman"/>
                <w:b/>
                <w:sz w:val="19"/>
              </w:rPr>
            </w:pPr>
            <w:r>
              <w:rPr>
                <w:rFonts w:ascii="Times New Roman"/>
                <w:b/>
                <w:sz w:val="19"/>
                <w:u w:val="double"/>
              </w:rPr>
              <w:t>460 </w:t>
            </w:r>
            <w:r>
              <w:rPr>
                <w:rFonts w:ascii="Times New Roman"/>
                <w:b/>
                <w:spacing w:val="-2"/>
                <w:sz w:val="19"/>
                <w:u w:val="double"/>
              </w:rPr>
              <w:t>388,89</w:t>
            </w:r>
          </w:p>
        </w:tc>
        <w:tc>
          <w:tcPr>
            <w:tcW w:w="853" w:type="dxa"/>
            <w:vMerge/>
            <w:tcBorders>
              <w:top w:val="nil"/>
              <w:bottom w:val="nil"/>
            </w:tcBorders>
          </w:tcPr>
          <w:p>
            <w:pPr>
              <w:rPr>
                <w:sz w:val="2"/>
                <w:szCs w:val="2"/>
              </w:rPr>
            </w:pPr>
          </w:p>
        </w:tc>
      </w:tr>
      <w:tr>
        <w:trPr>
          <w:trHeight w:val="7757" w:hRule="atLeast"/>
        </w:trPr>
        <w:tc>
          <w:tcPr>
            <w:tcW w:w="9772" w:type="dxa"/>
            <w:gridSpan w:val="5"/>
            <w:tcBorders>
              <w:top w:val="nil"/>
            </w:tcBorders>
          </w:tcPr>
          <w:p>
            <w:pPr>
              <w:pStyle w:val="TableParagraph"/>
              <w:rPr>
                <w:sz w:val="22"/>
              </w:rPr>
            </w:pPr>
          </w:p>
          <w:p>
            <w:pPr>
              <w:pStyle w:val="TableParagraph"/>
              <w:spacing w:before="67"/>
              <w:rPr>
                <w:sz w:val="22"/>
              </w:rPr>
            </w:pPr>
          </w:p>
          <w:p>
            <w:pPr>
              <w:pStyle w:val="TableParagraph"/>
              <w:numPr>
                <w:ilvl w:val="0"/>
                <w:numId w:val="86"/>
              </w:numPr>
              <w:tabs>
                <w:tab w:pos="827" w:val="left" w:leader="none"/>
              </w:tabs>
              <w:spacing w:line="259" w:lineRule="auto" w:before="0" w:after="0"/>
              <w:ind w:left="827" w:right="102" w:hanging="360"/>
              <w:jc w:val="left"/>
              <w:rPr>
                <w:sz w:val="22"/>
              </w:rPr>
            </w:pPr>
            <w:r>
              <w:rPr>
                <w:sz w:val="22"/>
              </w:rPr>
              <w:t>En</w:t>
            </w:r>
            <w:r>
              <w:rPr>
                <w:spacing w:val="-4"/>
                <w:sz w:val="22"/>
              </w:rPr>
              <w:t> </w:t>
            </w:r>
            <w:r>
              <w:rPr>
                <w:sz w:val="22"/>
              </w:rPr>
              <w:t>el</w:t>
            </w:r>
            <w:r>
              <w:rPr>
                <w:spacing w:val="-5"/>
                <w:sz w:val="22"/>
              </w:rPr>
              <w:t> </w:t>
            </w:r>
            <w:r>
              <w:rPr>
                <w:sz w:val="22"/>
              </w:rPr>
              <w:t>periodo</w:t>
            </w:r>
            <w:r>
              <w:rPr>
                <w:spacing w:val="-4"/>
                <w:sz w:val="22"/>
              </w:rPr>
              <w:t> </w:t>
            </w:r>
            <w:r>
              <w:rPr>
                <w:sz w:val="22"/>
              </w:rPr>
              <w:t>que</w:t>
            </w:r>
            <w:r>
              <w:rPr>
                <w:spacing w:val="-8"/>
                <w:sz w:val="22"/>
              </w:rPr>
              <w:t> </w:t>
            </w:r>
            <w:r>
              <w:rPr>
                <w:sz w:val="22"/>
              </w:rPr>
              <w:t>se</w:t>
            </w:r>
            <w:r>
              <w:rPr>
                <w:spacing w:val="-6"/>
                <w:sz w:val="22"/>
              </w:rPr>
              <w:t> </w:t>
            </w:r>
            <w:r>
              <w:rPr>
                <w:sz w:val="22"/>
              </w:rPr>
              <w:t>informa</w:t>
            </w:r>
            <w:r>
              <w:rPr>
                <w:spacing w:val="-5"/>
                <w:sz w:val="22"/>
              </w:rPr>
              <w:t> </w:t>
            </w:r>
            <w:r>
              <w:rPr>
                <w:sz w:val="22"/>
              </w:rPr>
              <w:t>no</w:t>
            </w:r>
            <w:r>
              <w:rPr>
                <w:spacing w:val="-6"/>
                <w:sz w:val="22"/>
              </w:rPr>
              <w:t> </w:t>
            </w:r>
            <w:r>
              <w:rPr>
                <w:sz w:val="22"/>
              </w:rPr>
              <w:t>se</w:t>
            </w:r>
            <w:r>
              <w:rPr>
                <w:spacing w:val="-6"/>
                <w:sz w:val="22"/>
              </w:rPr>
              <w:t> </w:t>
            </w:r>
            <w:r>
              <w:rPr>
                <w:sz w:val="22"/>
              </w:rPr>
              <w:t>evidencia</w:t>
            </w:r>
            <w:r>
              <w:rPr>
                <w:spacing w:val="-5"/>
                <w:sz w:val="22"/>
              </w:rPr>
              <w:t> </w:t>
            </w:r>
            <w:r>
              <w:rPr>
                <w:sz w:val="22"/>
              </w:rPr>
              <w:t>cambios</w:t>
            </w:r>
            <w:r>
              <w:rPr>
                <w:spacing w:val="-4"/>
                <w:sz w:val="22"/>
              </w:rPr>
              <w:t> </w:t>
            </w:r>
            <w:r>
              <w:rPr>
                <w:sz w:val="22"/>
              </w:rPr>
              <w:t>en</w:t>
            </w:r>
            <w:r>
              <w:rPr>
                <w:spacing w:val="-4"/>
                <w:sz w:val="22"/>
              </w:rPr>
              <w:t> </w:t>
            </w:r>
            <w:r>
              <w:rPr>
                <w:sz w:val="22"/>
              </w:rPr>
              <w:t>las</w:t>
            </w:r>
            <w:r>
              <w:rPr>
                <w:spacing w:val="-4"/>
                <w:sz w:val="22"/>
              </w:rPr>
              <w:t> </w:t>
            </w:r>
            <w:r>
              <w:rPr>
                <w:sz w:val="22"/>
              </w:rPr>
              <w:t>estimaciones</w:t>
            </w:r>
            <w:r>
              <w:rPr>
                <w:spacing w:val="-6"/>
                <w:sz w:val="22"/>
              </w:rPr>
              <w:t> </w:t>
            </w:r>
            <w:r>
              <w:rPr>
                <w:sz w:val="22"/>
              </w:rPr>
              <w:t>contables</w:t>
            </w:r>
            <w:r>
              <w:rPr>
                <w:spacing w:val="-6"/>
                <w:sz w:val="22"/>
              </w:rPr>
              <w:t> </w:t>
            </w:r>
            <w:r>
              <w:rPr>
                <w:sz w:val="22"/>
              </w:rPr>
              <w:t>relacionadas</w:t>
            </w:r>
            <w:r>
              <w:rPr>
                <w:spacing w:val="-4"/>
                <w:sz w:val="22"/>
              </w:rPr>
              <w:t> </w:t>
            </w:r>
            <w:r>
              <w:rPr>
                <w:sz w:val="22"/>
              </w:rPr>
              <w:t>a</w:t>
            </w:r>
            <w:r>
              <w:rPr>
                <w:spacing w:val="-5"/>
                <w:sz w:val="22"/>
              </w:rPr>
              <w:t> </w:t>
            </w:r>
            <w:r>
              <w:rPr>
                <w:sz w:val="22"/>
              </w:rPr>
              <w:t>los activos intangibles.</w:t>
            </w:r>
          </w:p>
          <w:p>
            <w:pPr>
              <w:pStyle w:val="TableParagraph"/>
              <w:spacing w:before="18"/>
              <w:rPr>
                <w:sz w:val="22"/>
              </w:rPr>
            </w:pPr>
          </w:p>
          <w:p>
            <w:pPr>
              <w:pStyle w:val="TableParagraph"/>
              <w:numPr>
                <w:ilvl w:val="0"/>
                <w:numId w:val="86"/>
              </w:numPr>
              <w:tabs>
                <w:tab w:pos="827" w:val="left" w:leader="none"/>
              </w:tabs>
              <w:spacing w:line="259" w:lineRule="auto" w:before="0" w:after="0"/>
              <w:ind w:left="827" w:right="104" w:hanging="360"/>
              <w:jc w:val="left"/>
              <w:rPr>
                <w:b/>
                <w:sz w:val="22"/>
              </w:rPr>
            </w:pPr>
            <w:r>
              <w:rPr>
                <w:sz w:val="22"/>
              </w:rPr>
              <w:t>Del</w:t>
            </w:r>
            <w:r>
              <w:rPr>
                <w:spacing w:val="-1"/>
                <w:sz w:val="22"/>
              </w:rPr>
              <w:t> </w:t>
            </w:r>
            <w:r>
              <w:rPr>
                <w:sz w:val="22"/>
              </w:rPr>
              <w:t>total</w:t>
            </w:r>
            <w:r>
              <w:rPr>
                <w:spacing w:val="-1"/>
                <w:sz w:val="22"/>
              </w:rPr>
              <w:t> </w:t>
            </w:r>
            <w:r>
              <w:rPr>
                <w:sz w:val="22"/>
              </w:rPr>
              <w:t>de</w:t>
            </w:r>
            <w:r>
              <w:rPr>
                <w:spacing w:val="-2"/>
                <w:sz w:val="22"/>
              </w:rPr>
              <w:t> </w:t>
            </w:r>
            <w:r>
              <w:rPr>
                <w:sz w:val="22"/>
              </w:rPr>
              <w:t>1912</w:t>
            </w:r>
            <w:r>
              <w:rPr>
                <w:spacing w:val="-1"/>
                <w:sz w:val="22"/>
              </w:rPr>
              <w:t> </w:t>
            </w:r>
            <w:r>
              <w:rPr>
                <w:sz w:val="22"/>
              </w:rPr>
              <w:t>activos intangibles registrados, un</w:t>
            </w:r>
            <w:r>
              <w:rPr>
                <w:spacing w:val="-2"/>
                <w:sz w:val="22"/>
              </w:rPr>
              <w:t> </w:t>
            </w:r>
            <w:r>
              <w:rPr>
                <w:sz w:val="22"/>
              </w:rPr>
              <w:t>total</w:t>
            </w:r>
            <w:r>
              <w:rPr>
                <w:spacing w:val="-3"/>
                <w:sz w:val="22"/>
              </w:rPr>
              <w:t> </w:t>
            </w:r>
            <w:r>
              <w:rPr>
                <w:sz w:val="22"/>
              </w:rPr>
              <w:t>de</w:t>
            </w:r>
            <w:r>
              <w:rPr>
                <w:spacing w:val="-2"/>
                <w:sz w:val="22"/>
              </w:rPr>
              <w:t> </w:t>
            </w:r>
            <w:r>
              <w:rPr>
                <w:sz w:val="22"/>
              </w:rPr>
              <w:t>1776</w:t>
            </w:r>
            <w:r>
              <w:rPr>
                <w:spacing w:val="-1"/>
                <w:sz w:val="22"/>
              </w:rPr>
              <w:t> </w:t>
            </w:r>
            <w:r>
              <w:rPr>
                <w:sz w:val="22"/>
              </w:rPr>
              <w:t>se</w:t>
            </w:r>
            <w:r>
              <w:rPr>
                <w:spacing w:val="-1"/>
                <w:sz w:val="22"/>
              </w:rPr>
              <w:t> </w:t>
            </w:r>
            <w:r>
              <w:rPr>
                <w:sz w:val="22"/>
              </w:rPr>
              <w:t>encuentran en uso, pero comple-tamente amortizados, se muestra en el </w:t>
            </w:r>
            <w:r>
              <w:rPr>
                <w:b/>
                <w:sz w:val="22"/>
              </w:rPr>
              <w:t>Anexo No.11</w:t>
            </w:r>
          </w:p>
          <w:p>
            <w:pPr>
              <w:pStyle w:val="TableParagraph"/>
              <w:spacing w:before="19"/>
              <w:rPr>
                <w:sz w:val="22"/>
              </w:rPr>
            </w:pPr>
          </w:p>
          <w:p>
            <w:pPr>
              <w:pStyle w:val="TableParagraph"/>
              <w:ind w:left="827" w:right="235"/>
              <w:jc w:val="both"/>
              <w:rPr>
                <w:sz w:val="22"/>
              </w:rPr>
            </w:pPr>
            <w:r>
              <w:rPr>
                <w:sz w:val="22"/>
              </w:rPr>
              <w:t>Algunas</w:t>
            </w:r>
            <w:r>
              <w:rPr>
                <w:spacing w:val="-5"/>
                <w:sz w:val="22"/>
              </w:rPr>
              <w:t> </w:t>
            </w:r>
            <w:r>
              <w:rPr>
                <w:sz w:val="22"/>
              </w:rPr>
              <w:t>transacciones</w:t>
            </w:r>
            <w:r>
              <w:rPr>
                <w:spacing w:val="-5"/>
                <w:sz w:val="22"/>
              </w:rPr>
              <w:t> </w:t>
            </w:r>
            <w:r>
              <w:rPr>
                <w:sz w:val="22"/>
              </w:rPr>
              <w:t>que</w:t>
            </w:r>
            <w:r>
              <w:rPr>
                <w:spacing w:val="-2"/>
                <w:sz w:val="22"/>
              </w:rPr>
              <w:t> </w:t>
            </w:r>
            <w:r>
              <w:rPr>
                <w:sz w:val="22"/>
              </w:rPr>
              <w:t>podrían</w:t>
            </w:r>
            <w:r>
              <w:rPr>
                <w:spacing w:val="-3"/>
                <w:sz w:val="22"/>
              </w:rPr>
              <w:t> </w:t>
            </w:r>
            <w:r>
              <w:rPr>
                <w:sz w:val="22"/>
              </w:rPr>
              <w:t>considerarse</w:t>
            </w:r>
            <w:r>
              <w:rPr>
                <w:spacing w:val="-2"/>
                <w:sz w:val="22"/>
              </w:rPr>
              <w:t> </w:t>
            </w:r>
            <w:r>
              <w:rPr>
                <w:sz w:val="22"/>
              </w:rPr>
              <w:t>intangibles,</w:t>
            </w:r>
            <w:r>
              <w:rPr>
                <w:spacing w:val="-3"/>
                <w:sz w:val="22"/>
              </w:rPr>
              <w:t> </w:t>
            </w:r>
            <w:r>
              <w:rPr>
                <w:sz w:val="22"/>
              </w:rPr>
              <w:t>pero</w:t>
            </w:r>
            <w:r>
              <w:rPr>
                <w:spacing w:val="-3"/>
                <w:sz w:val="22"/>
              </w:rPr>
              <w:t> </w:t>
            </w:r>
            <w:r>
              <w:rPr>
                <w:sz w:val="22"/>
              </w:rPr>
              <w:t>que</w:t>
            </w:r>
            <w:r>
              <w:rPr>
                <w:spacing w:val="-2"/>
                <w:sz w:val="22"/>
              </w:rPr>
              <w:t> </w:t>
            </w:r>
            <w:r>
              <w:rPr>
                <w:sz w:val="22"/>
              </w:rPr>
              <w:t>no</w:t>
            </w:r>
            <w:r>
              <w:rPr>
                <w:spacing w:val="-5"/>
                <w:sz w:val="22"/>
              </w:rPr>
              <w:t> </w:t>
            </w:r>
            <w:r>
              <w:rPr>
                <w:sz w:val="22"/>
              </w:rPr>
              <w:t>se</w:t>
            </w:r>
            <w:r>
              <w:rPr>
                <w:spacing w:val="-5"/>
                <w:sz w:val="22"/>
              </w:rPr>
              <w:t> </w:t>
            </w:r>
            <w:r>
              <w:rPr>
                <w:sz w:val="22"/>
              </w:rPr>
              <w:t>reconocen</w:t>
            </w:r>
            <w:r>
              <w:rPr>
                <w:spacing w:val="-3"/>
                <w:sz w:val="22"/>
              </w:rPr>
              <w:t> </w:t>
            </w:r>
            <w:r>
              <w:rPr>
                <w:sz w:val="22"/>
              </w:rPr>
              <w:t>como</w:t>
            </w:r>
            <w:r>
              <w:rPr>
                <w:spacing w:val="-3"/>
                <w:sz w:val="22"/>
              </w:rPr>
              <w:t> </w:t>
            </w:r>
            <w:r>
              <w:rPr>
                <w:sz w:val="22"/>
              </w:rPr>
              <w:t>activos por no cumplir los criterios fijados en la Norma son:</w:t>
            </w:r>
          </w:p>
          <w:p>
            <w:pPr>
              <w:pStyle w:val="TableParagraph"/>
              <w:numPr>
                <w:ilvl w:val="1"/>
                <w:numId w:val="86"/>
              </w:numPr>
              <w:tabs>
                <w:tab w:pos="1547" w:val="left" w:leader="none"/>
              </w:tabs>
              <w:spacing w:line="240" w:lineRule="auto" w:before="0" w:after="0"/>
              <w:ind w:left="1547" w:right="204" w:hanging="360"/>
              <w:jc w:val="both"/>
              <w:rPr>
                <w:sz w:val="22"/>
              </w:rPr>
            </w:pPr>
            <w:r>
              <w:rPr>
                <w:sz w:val="22"/>
              </w:rPr>
              <w:t>No</w:t>
            </w:r>
            <w:r>
              <w:rPr>
                <w:spacing w:val="-1"/>
                <w:sz w:val="22"/>
              </w:rPr>
              <w:t> </w:t>
            </w:r>
            <w:r>
              <w:rPr>
                <w:sz w:val="22"/>
              </w:rPr>
              <w:t>se registran como</w:t>
            </w:r>
            <w:r>
              <w:rPr>
                <w:spacing w:val="-1"/>
                <w:sz w:val="22"/>
              </w:rPr>
              <w:t> </w:t>
            </w:r>
            <w:r>
              <w:rPr>
                <w:sz w:val="22"/>
              </w:rPr>
              <w:t>intangibles el pago de</w:t>
            </w:r>
            <w:r>
              <w:rPr>
                <w:spacing w:val="-1"/>
                <w:sz w:val="22"/>
              </w:rPr>
              <w:t> </w:t>
            </w:r>
            <w:r>
              <w:rPr>
                <w:sz w:val="22"/>
              </w:rPr>
              <w:t>servicios profesionales o</w:t>
            </w:r>
            <w:r>
              <w:rPr>
                <w:spacing w:val="-1"/>
                <w:sz w:val="22"/>
              </w:rPr>
              <w:t> </w:t>
            </w:r>
            <w:r>
              <w:rPr>
                <w:sz w:val="22"/>
              </w:rPr>
              <w:t>técnicos</w:t>
            </w:r>
            <w:r>
              <w:rPr>
                <w:spacing w:val="-1"/>
                <w:sz w:val="22"/>
              </w:rPr>
              <w:t> </w:t>
            </w:r>
            <w:r>
              <w:rPr>
                <w:sz w:val="22"/>
              </w:rPr>
              <w:t>que se contra-tan,</w:t>
            </w:r>
            <w:r>
              <w:rPr>
                <w:spacing w:val="-2"/>
                <w:sz w:val="22"/>
              </w:rPr>
              <w:t> </w:t>
            </w:r>
            <w:r>
              <w:rPr>
                <w:sz w:val="22"/>
              </w:rPr>
              <w:t>para</w:t>
            </w:r>
            <w:r>
              <w:rPr>
                <w:spacing w:val="-3"/>
                <w:sz w:val="22"/>
              </w:rPr>
              <w:t> </w:t>
            </w:r>
            <w:r>
              <w:rPr>
                <w:sz w:val="22"/>
              </w:rPr>
              <w:t>el</w:t>
            </w:r>
            <w:r>
              <w:rPr>
                <w:spacing w:val="-2"/>
                <w:sz w:val="22"/>
              </w:rPr>
              <w:t> </w:t>
            </w:r>
            <w:r>
              <w:rPr>
                <w:sz w:val="22"/>
              </w:rPr>
              <w:t>desarrollo</w:t>
            </w:r>
            <w:r>
              <w:rPr>
                <w:spacing w:val="-2"/>
                <w:sz w:val="22"/>
              </w:rPr>
              <w:t> </w:t>
            </w:r>
            <w:r>
              <w:rPr>
                <w:sz w:val="22"/>
              </w:rPr>
              <w:t>de</w:t>
            </w:r>
            <w:r>
              <w:rPr>
                <w:spacing w:val="-1"/>
                <w:sz w:val="22"/>
              </w:rPr>
              <w:t> </w:t>
            </w:r>
            <w:r>
              <w:rPr>
                <w:sz w:val="22"/>
              </w:rPr>
              <w:t>"software"</w:t>
            </w:r>
            <w:r>
              <w:rPr>
                <w:spacing w:val="-3"/>
                <w:sz w:val="22"/>
              </w:rPr>
              <w:t> </w:t>
            </w:r>
            <w:r>
              <w:rPr>
                <w:sz w:val="22"/>
              </w:rPr>
              <w:t>a</w:t>
            </w:r>
            <w:r>
              <w:rPr>
                <w:spacing w:val="-3"/>
                <w:sz w:val="22"/>
              </w:rPr>
              <w:t> </w:t>
            </w:r>
            <w:r>
              <w:rPr>
                <w:sz w:val="22"/>
              </w:rPr>
              <w:t>la</w:t>
            </w:r>
            <w:r>
              <w:rPr>
                <w:spacing w:val="-4"/>
                <w:sz w:val="22"/>
              </w:rPr>
              <w:t> </w:t>
            </w:r>
            <w:r>
              <w:rPr>
                <w:sz w:val="22"/>
              </w:rPr>
              <w:t>medida</w:t>
            </w:r>
            <w:r>
              <w:rPr>
                <w:spacing w:val="-6"/>
                <w:sz w:val="22"/>
              </w:rPr>
              <w:t> </w:t>
            </w:r>
            <w:r>
              <w:rPr>
                <w:sz w:val="22"/>
              </w:rPr>
              <w:t>o</w:t>
            </w:r>
            <w:r>
              <w:rPr>
                <w:spacing w:val="-2"/>
                <w:sz w:val="22"/>
              </w:rPr>
              <w:t> </w:t>
            </w:r>
            <w:r>
              <w:rPr>
                <w:sz w:val="22"/>
              </w:rPr>
              <w:t>el</w:t>
            </w:r>
            <w:r>
              <w:rPr>
                <w:spacing w:val="-2"/>
                <w:sz w:val="22"/>
              </w:rPr>
              <w:t> </w:t>
            </w:r>
            <w:r>
              <w:rPr>
                <w:sz w:val="22"/>
              </w:rPr>
              <w:t>desarrollo</w:t>
            </w:r>
            <w:r>
              <w:rPr>
                <w:spacing w:val="-4"/>
                <w:sz w:val="22"/>
              </w:rPr>
              <w:t> </w:t>
            </w:r>
            <w:r>
              <w:rPr>
                <w:sz w:val="22"/>
              </w:rPr>
              <w:t>de</w:t>
            </w:r>
            <w:r>
              <w:rPr>
                <w:spacing w:val="-4"/>
                <w:sz w:val="22"/>
              </w:rPr>
              <w:t> </w:t>
            </w:r>
            <w:r>
              <w:rPr>
                <w:sz w:val="22"/>
              </w:rPr>
              <w:t>nuevos</w:t>
            </w:r>
            <w:r>
              <w:rPr>
                <w:spacing w:val="-4"/>
                <w:sz w:val="22"/>
              </w:rPr>
              <w:t> </w:t>
            </w:r>
            <w:r>
              <w:rPr>
                <w:sz w:val="22"/>
              </w:rPr>
              <w:t>sistemas</w:t>
            </w:r>
            <w:r>
              <w:rPr>
                <w:spacing w:val="-4"/>
                <w:sz w:val="22"/>
              </w:rPr>
              <w:t> </w:t>
            </w:r>
            <w:r>
              <w:rPr>
                <w:sz w:val="22"/>
              </w:rPr>
              <w:t>informáti-cos, o mejoras a sistemas que se encuentran en funcionamiento.</w:t>
            </w:r>
          </w:p>
          <w:p>
            <w:pPr>
              <w:pStyle w:val="TableParagraph"/>
              <w:rPr>
                <w:sz w:val="22"/>
              </w:rPr>
            </w:pPr>
          </w:p>
          <w:p>
            <w:pPr>
              <w:pStyle w:val="TableParagraph"/>
              <w:numPr>
                <w:ilvl w:val="1"/>
                <w:numId w:val="86"/>
              </w:numPr>
              <w:tabs>
                <w:tab w:pos="1547" w:val="left" w:leader="none"/>
              </w:tabs>
              <w:spacing w:line="240" w:lineRule="auto" w:before="0" w:after="0"/>
              <w:ind w:left="1547" w:right="100" w:hanging="360"/>
              <w:jc w:val="both"/>
              <w:rPr>
                <w:sz w:val="22"/>
              </w:rPr>
            </w:pPr>
            <w:r>
              <w:rPr>
                <w:sz w:val="22"/>
              </w:rPr>
              <w:t>Los gastos por concepto de equipo para el procesamiento electrónico de datos, tanto de la parte física</w:t>
            </w:r>
            <w:r>
              <w:rPr>
                <w:spacing w:val="-2"/>
                <w:sz w:val="22"/>
              </w:rPr>
              <w:t> </w:t>
            </w:r>
            <w:r>
              <w:rPr>
                <w:sz w:val="22"/>
              </w:rPr>
              <w:t>como</w:t>
            </w:r>
            <w:r>
              <w:rPr>
                <w:spacing w:val="-3"/>
                <w:sz w:val="22"/>
              </w:rPr>
              <w:t> </w:t>
            </w:r>
            <w:r>
              <w:rPr>
                <w:sz w:val="22"/>
              </w:rPr>
              <w:t>el</w:t>
            </w:r>
            <w:r>
              <w:rPr>
                <w:spacing w:val="-1"/>
                <w:sz w:val="22"/>
              </w:rPr>
              <w:t> </w:t>
            </w:r>
            <w:r>
              <w:rPr>
                <w:sz w:val="22"/>
              </w:rPr>
              <w:t>conjunto</w:t>
            </w:r>
            <w:r>
              <w:rPr>
                <w:spacing w:val="-1"/>
                <w:sz w:val="22"/>
              </w:rPr>
              <w:t> </w:t>
            </w:r>
            <w:r>
              <w:rPr>
                <w:sz w:val="22"/>
              </w:rPr>
              <w:t>de</w:t>
            </w:r>
            <w:r>
              <w:rPr>
                <w:spacing w:val="-1"/>
                <w:sz w:val="22"/>
              </w:rPr>
              <w:t> </w:t>
            </w:r>
            <w:r>
              <w:rPr>
                <w:sz w:val="22"/>
              </w:rPr>
              <w:t>programas,</w:t>
            </w:r>
            <w:r>
              <w:rPr>
                <w:spacing w:val="-1"/>
                <w:sz w:val="22"/>
              </w:rPr>
              <w:t> </w:t>
            </w:r>
            <w:r>
              <w:rPr>
                <w:sz w:val="22"/>
              </w:rPr>
              <w:t>es decir,</w:t>
            </w:r>
            <w:r>
              <w:rPr>
                <w:spacing w:val="-1"/>
                <w:sz w:val="22"/>
              </w:rPr>
              <w:t> </w:t>
            </w:r>
            <w:r>
              <w:rPr>
                <w:sz w:val="22"/>
              </w:rPr>
              <w:t>aquellos casos en</w:t>
            </w:r>
            <w:r>
              <w:rPr>
                <w:spacing w:val="-3"/>
                <w:sz w:val="22"/>
              </w:rPr>
              <w:t> </w:t>
            </w:r>
            <w:r>
              <w:rPr>
                <w:sz w:val="22"/>
              </w:rPr>
              <w:t>que</w:t>
            </w:r>
            <w:r>
              <w:rPr>
                <w:spacing w:val="-1"/>
                <w:sz w:val="22"/>
              </w:rPr>
              <w:t> </w:t>
            </w:r>
            <w:r>
              <w:rPr>
                <w:sz w:val="22"/>
              </w:rPr>
              <w:t>la</w:t>
            </w:r>
            <w:r>
              <w:rPr>
                <w:spacing w:val="-3"/>
                <w:sz w:val="22"/>
              </w:rPr>
              <w:t> </w:t>
            </w:r>
            <w:r>
              <w:rPr>
                <w:sz w:val="22"/>
              </w:rPr>
              <w:t>licencia</w:t>
            </w:r>
            <w:r>
              <w:rPr>
                <w:spacing w:val="-3"/>
                <w:sz w:val="22"/>
              </w:rPr>
              <w:t> </w:t>
            </w:r>
            <w:r>
              <w:rPr>
                <w:sz w:val="22"/>
              </w:rPr>
              <w:t>de</w:t>
            </w:r>
            <w:r>
              <w:rPr>
                <w:spacing w:val="-1"/>
                <w:sz w:val="22"/>
              </w:rPr>
              <w:t> </w:t>
            </w:r>
            <w:r>
              <w:rPr>
                <w:sz w:val="22"/>
              </w:rPr>
              <w:t>soft-ware se compra junto con el equipo nuevo y la misma no genera ningún pago periódico por derecho de uso, se clasifica como “Equipo y programas de cómputo”.</w:t>
            </w:r>
          </w:p>
          <w:p>
            <w:pPr>
              <w:pStyle w:val="TableParagraph"/>
              <w:numPr>
                <w:ilvl w:val="1"/>
                <w:numId w:val="86"/>
              </w:numPr>
              <w:tabs>
                <w:tab w:pos="1547" w:val="left" w:leader="none"/>
              </w:tabs>
              <w:spacing w:line="240" w:lineRule="auto" w:before="250" w:after="0"/>
              <w:ind w:left="1547" w:right="98" w:hanging="360"/>
              <w:jc w:val="both"/>
              <w:rPr>
                <w:sz w:val="22"/>
              </w:rPr>
            </w:pPr>
            <w:r>
              <w:rPr>
                <w:sz w:val="22"/>
              </w:rPr>
              <w:t>Las erogaciones de un derecho o beneficio para ser utilizado por la entidad, los derechos ga-rantizados</w:t>
            </w:r>
            <w:r>
              <w:rPr>
                <w:spacing w:val="-4"/>
                <w:sz w:val="22"/>
              </w:rPr>
              <w:t> </w:t>
            </w:r>
            <w:r>
              <w:rPr>
                <w:sz w:val="22"/>
              </w:rPr>
              <w:t>por</w:t>
            </w:r>
            <w:r>
              <w:rPr>
                <w:spacing w:val="-4"/>
                <w:sz w:val="22"/>
              </w:rPr>
              <w:t> </w:t>
            </w:r>
            <w:r>
              <w:rPr>
                <w:sz w:val="22"/>
              </w:rPr>
              <w:t>ley,</w:t>
            </w:r>
            <w:r>
              <w:rPr>
                <w:spacing w:val="-5"/>
                <w:sz w:val="22"/>
              </w:rPr>
              <w:t> </w:t>
            </w:r>
            <w:r>
              <w:rPr>
                <w:sz w:val="22"/>
              </w:rPr>
              <w:t>que</w:t>
            </w:r>
            <w:r>
              <w:rPr>
                <w:spacing w:val="-4"/>
                <w:sz w:val="22"/>
              </w:rPr>
              <w:t> </w:t>
            </w:r>
            <w:r>
              <w:rPr>
                <w:sz w:val="22"/>
              </w:rPr>
              <w:t>mediante</w:t>
            </w:r>
            <w:r>
              <w:rPr>
                <w:spacing w:val="-3"/>
                <w:sz w:val="22"/>
              </w:rPr>
              <w:t> </w:t>
            </w:r>
            <w:r>
              <w:rPr>
                <w:sz w:val="22"/>
              </w:rPr>
              <w:t>determinados</w:t>
            </w:r>
            <w:r>
              <w:rPr>
                <w:spacing w:val="-4"/>
                <w:sz w:val="22"/>
              </w:rPr>
              <w:t> </w:t>
            </w:r>
            <w:r>
              <w:rPr>
                <w:sz w:val="22"/>
              </w:rPr>
              <w:t>trámites</w:t>
            </w:r>
            <w:r>
              <w:rPr>
                <w:spacing w:val="-6"/>
                <w:sz w:val="22"/>
              </w:rPr>
              <w:t> </w:t>
            </w:r>
            <w:r>
              <w:rPr>
                <w:sz w:val="22"/>
              </w:rPr>
              <w:t>se</w:t>
            </w:r>
            <w:r>
              <w:rPr>
                <w:spacing w:val="-4"/>
                <w:sz w:val="22"/>
              </w:rPr>
              <w:t> </w:t>
            </w:r>
            <w:r>
              <w:rPr>
                <w:sz w:val="22"/>
              </w:rPr>
              <w:t>adquieren</w:t>
            </w:r>
            <w:r>
              <w:rPr>
                <w:spacing w:val="-4"/>
                <w:sz w:val="22"/>
              </w:rPr>
              <w:t> </w:t>
            </w:r>
            <w:r>
              <w:rPr>
                <w:sz w:val="22"/>
              </w:rPr>
              <w:t>para</w:t>
            </w:r>
            <w:r>
              <w:rPr>
                <w:spacing w:val="-5"/>
                <w:sz w:val="22"/>
              </w:rPr>
              <w:t> </w:t>
            </w:r>
            <w:r>
              <w:rPr>
                <w:sz w:val="22"/>
              </w:rPr>
              <w:t>realizar</w:t>
            </w:r>
            <w:r>
              <w:rPr>
                <w:spacing w:val="-5"/>
                <w:sz w:val="22"/>
              </w:rPr>
              <w:t> </w:t>
            </w:r>
            <w:r>
              <w:rPr>
                <w:sz w:val="22"/>
              </w:rPr>
              <w:t>ciertas</w:t>
            </w:r>
            <w:r>
              <w:rPr>
                <w:spacing w:val="-4"/>
                <w:sz w:val="22"/>
              </w:rPr>
              <w:t> </w:t>
            </w:r>
            <w:r>
              <w:rPr>
                <w:sz w:val="22"/>
              </w:rPr>
              <w:t>acti-vidades, es decir, cuando se adquieren licencias que obligan el pago periódico de las mismas o su renovación, pero las licencias</w:t>
            </w:r>
            <w:r>
              <w:rPr>
                <w:spacing w:val="-1"/>
                <w:sz w:val="22"/>
              </w:rPr>
              <w:t> </w:t>
            </w:r>
            <w:r>
              <w:rPr>
                <w:sz w:val="22"/>
              </w:rPr>
              <w:t>se realizan por</w:t>
            </w:r>
            <w:r>
              <w:rPr>
                <w:spacing w:val="-2"/>
                <w:sz w:val="22"/>
              </w:rPr>
              <w:t> </w:t>
            </w:r>
            <w:r>
              <w:rPr>
                <w:sz w:val="22"/>
              </w:rPr>
              <w:t>servicio de nube,</w:t>
            </w:r>
            <w:r>
              <w:rPr>
                <w:spacing w:val="-2"/>
                <w:sz w:val="22"/>
              </w:rPr>
              <w:t> </w:t>
            </w:r>
            <w:r>
              <w:rPr>
                <w:sz w:val="22"/>
              </w:rPr>
              <w:t>son</w:t>
            </w:r>
            <w:r>
              <w:rPr>
                <w:spacing w:val="-2"/>
                <w:sz w:val="22"/>
              </w:rPr>
              <w:t> </w:t>
            </w:r>
            <w:r>
              <w:rPr>
                <w:sz w:val="22"/>
              </w:rPr>
              <w:t>registrados</w:t>
            </w:r>
            <w:r>
              <w:rPr>
                <w:spacing w:val="-1"/>
                <w:sz w:val="22"/>
              </w:rPr>
              <w:t> </w:t>
            </w:r>
            <w:r>
              <w:rPr>
                <w:sz w:val="22"/>
              </w:rPr>
              <w:t>como gas-</w:t>
            </w:r>
            <w:r>
              <w:rPr>
                <w:spacing w:val="-4"/>
                <w:sz w:val="22"/>
              </w:rPr>
              <w:t>tos.</w:t>
            </w:r>
          </w:p>
          <w:p>
            <w:pPr>
              <w:pStyle w:val="TableParagraph"/>
              <w:numPr>
                <w:ilvl w:val="0"/>
                <w:numId w:val="86"/>
              </w:numPr>
              <w:tabs>
                <w:tab w:pos="827" w:val="left" w:leader="none"/>
              </w:tabs>
              <w:spacing w:line="259" w:lineRule="auto" w:before="164" w:after="0"/>
              <w:ind w:left="827" w:right="103" w:hanging="360"/>
              <w:jc w:val="left"/>
              <w:rPr>
                <w:sz w:val="22"/>
              </w:rPr>
            </w:pPr>
            <w:r>
              <w:rPr>
                <w:sz w:val="22"/>
              </w:rPr>
              <w:t>Al 31 de julio no se evidencian desembolsos por investigación y desarrollo reconocidos como gastos durante el período.</w:t>
            </w:r>
          </w:p>
          <w:p>
            <w:pPr>
              <w:pStyle w:val="TableParagraph"/>
              <w:numPr>
                <w:ilvl w:val="0"/>
                <w:numId w:val="86"/>
              </w:numPr>
              <w:tabs>
                <w:tab w:pos="827" w:val="left" w:leader="none"/>
              </w:tabs>
              <w:spacing w:line="270" w:lineRule="atLeast" w:before="250" w:after="0"/>
              <w:ind w:left="827" w:right="104" w:hanging="360"/>
              <w:jc w:val="left"/>
              <w:rPr>
                <w:sz w:val="22"/>
              </w:rPr>
            </w:pPr>
            <w:r>
              <w:rPr>
                <w:sz w:val="22"/>
              </w:rPr>
              <w:t>Del total de activos intangibles registrados, un total de 17 se les asignó una vida útil indefinida por lo cual no se amortizan.</w:t>
            </w:r>
          </w:p>
        </w:tc>
      </w:tr>
    </w:tbl>
    <w:p>
      <w:pPr>
        <w:pStyle w:val="TableParagraph"/>
        <w:spacing w:after="0" w:line="270" w:lineRule="atLeast"/>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4144">
                <wp:simplePos x="0" y="0"/>
                <wp:positionH relativeFrom="page">
                  <wp:posOffset>9525</wp:posOffset>
                </wp:positionH>
                <wp:positionV relativeFrom="page">
                  <wp:posOffset>297208</wp:posOffset>
                </wp:positionV>
                <wp:extent cx="7762875" cy="9748520"/>
                <wp:effectExtent l="0" t="0" r="0" b="0"/>
                <wp:wrapNone/>
                <wp:docPr id="1045" name="Group 1045"/>
                <wp:cNvGraphicFramePr>
                  <a:graphicFrameLocks/>
                </wp:cNvGraphicFramePr>
                <a:graphic>
                  <a:graphicData uri="http://schemas.microsoft.com/office/word/2010/wordprocessingGroup">
                    <wpg:wgp>
                      <wpg:cNvPr id="1045" name="Group 1045"/>
                      <wpg:cNvGrpSpPr/>
                      <wpg:grpSpPr>
                        <a:xfrm>
                          <a:off x="0" y="0"/>
                          <a:ext cx="7762875" cy="9748520"/>
                          <a:chExt cx="7762875" cy="9748520"/>
                        </a:xfrm>
                      </wpg:grpSpPr>
                      <pic:pic>
                        <pic:nvPicPr>
                          <pic:cNvPr id="1046" name="Image 1046"/>
                          <pic:cNvPicPr/>
                        </pic:nvPicPr>
                        <pic:blipFill>
                          <a:blip r:embed="rId5" cstate="print"/>
                          <a:stretch>
                            <a:fillRect/>
                          </a:stretch>
                        </pic:blipFill>
                        <pic:spPr>
                          <a:xfrm>
                            <a:off x="0" y="0"/>
                            <a:ext cx="7762874" cy="9748489"/>
                          </a:xfrm>
                          <a:prstGeom prst="rect">
                            <a:avLst/>
                          </a:prstGeom>
                        </pic:spPr>
                      </pic:pic>
                      <wps:wsp>
                        <wps:cNvPr id="1047" name="Graphic 1047"/>
                        <wps:cNvSpPr/>
                        <wps:spPr>
                          <a:xfrm>
                            <a:off x="1053007" y="990837"/>
                            <a:ext cx="6225540" cy="6974840"/>
                          </a:xfrm>
                          <a:custGeom>
                            <a:avLst/>
                            <a:gdLst/>
                            <a:ahLst/>
                            <a:cxnLst/>
                            <a:rect l="l" t="t" r="r" b="b"/>
                            <a:pathLst>
                              <a:path w="6225540" h="6974840">
                                <a:moveTo>
                                  <a:pt x="5649214" y="0"/>
                                </a:moveTo>
                                <a:lnTo>
                                  <a:pt x="0" y="0"/>
                                </a:lnTo>
                                <a:lnTo>
                                  <a:pt x="0" y="9131"/>
                                </a:lnTo>
                                <a:lnTo>
                                  <a:pt x="5649214" y="9131"/>
                                </a:lnTo>
                                <a:lnTo>
                                  <a:pt x="5649214" y="0"/>
                                </a:lnTo>
                                <a:close/>
                              </a:path>
                              <a:path w="6225540" h="6974840">
                                <a:moveTo>
                                  <a:pt x="6225235" y="132702"/>
                                </a:moveTo>
                                <a:lnTo>
                                  <a:pt x="6219139" y="132702"/>
                                </a:lnTo>
                                <a:lnTo>
                                  <a:pt x="6219139" y="6968731"/>
                                </a:lnTo>
                                <a:lnTo>
                                  <a:pt x="21336" y="6968731"/>
                                </a:lnTo>
                                <a:lnTo>
                                  <a:pt x="21336" y="132702"/>
                                </a:lnTo>
                                <a:lnTo>
                                  <a:pt x="15240" y="132702"/>
                                </a:lnTo>
                                <a:lnTo>
                                  <a:pt x="15240" y="6968731"/>
                                </a:lnTo>
                                <a:lnTo>
                                  <a:pt x="15240" y="6974827"/>
                                </a:lnTo>
                                <a:lnTo>
                                  <a:pt x="21336" y="6974827"/>
                                </a:lnTo>
                                <a:lnTo>
                                  <a:pt x="6219139" y="6974827"/>
                                </a:lnTo>
                                <a:lnTo>
                                  <a:pt x="6225235" y="6974827"/>
                                </a:lnTo>
                                <a:lnTo>
                                  <a:pt x="6225235" y="6968731"/>
                                </a:lnTo>
                                <a:lnTo>
                                  <a:pt x="6225235" y="132702"/>
                                </a:lnTo>
                                <a:close/>
                              </a:path>
                              <a:path w="6225540" h="6974840">
                                <a:moveTo>
                                  <a:pt x="6225235" y="126479"/>
                                </a:moveTo>
                                <a:lnTo>
                                  <a:pt x="6219190" y="126479"/>
                                </a:lnTo>
                                <a:lnTo>
                                  <a:pt x="21336" y="126479"/>
                                </a:lnTo>
                                <a:lnTo>
                                  <a:pt x="15240" y="126479"/>
                                </a:lnTo>
                                <a:lnTo>
                                  <a:pt x="15240" y="132575"/>
                                </a:lnTo>
                                <a:lnTo>
                                  <a:pt x="21336" y="132575"/>
                                </a:lnTo>
                                <a:lnTo>
                                  <a:pt x="6219139" y="132575"/>
                                </a:lnTo>
                                <a:lnTo>
                                  <a:pt x="6225235" y="132575"/>
                                </a:lnTo>
                                <a:lnTo>
                                  <a:pt x="6225235" y="126479"/>
                                </a:lnTo>
                                <a:close/>
                              </a:path>
                            </a:pathLst>
                          </a:custGeom>
                          <a:solidFill>
                            <a:srgbClr val="000000"/>
                          </a:solidFill>
                        </wps:spPr>
                        <wps:bodyPr wrap="square" lIns="0" tIns="0" rIns="0" bIns="0" rtlCol="0">
                          <a:prstTxWarp prst="textNoShape">
                            <a:avLst/>
                          </a:prstTxWarp>
                          <a:noAutofit/>
                        </wps:bodyPr>
                      </wps:wsp>
                      <pic:pic>
                        <pic:nvPicPr>
                          <pic:cNvPr id="1048" name="Image 1048"/>
                          <pic:cNvPicPr/>
                        </pic:nvPicPr>
                        <pic:blipFill>
                          <a:blip r:embed="rId108" cstate="print"/>
                          <a:stretch>
                            <a:fillRect/>
                          </a:stretch>
                        </pic:blipFill>
                        <pic:spPr>
                          <a:xfrm>
                            <a:off x="1601663" y="1227258"/>
                            <a:ext cx="1397561" cy="192660"/>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82336" id="docshapegroup992" coordorigin="15,468" coordsize="12225,15352">
                <v:shape style="position:absolute;left:15;top:468;width:12225;height:15352" type="#_x0000_t75" id="docshape993" stroked="false">
                  <v:imagedata r:id="rId5" o:title=""/>
                </v:shape>
                <v:shape style="position:absolute;left:1673;top:2028;width:9804;height:10984" id="docshape994" coordorigin="1673,2028" coordsize="9804,10984" path="m10570,2028l1673,2028,1673,2043,10570,2043,10570,2028xm11477,2237l11467,2237,11467,13003,1707,13003,1707,2237,1697,2237,1697,13003,1697,13012,1707,13012,11467,13012,11467,13012,11477,13012,11477,13003,11477,2237xm11477,2228l11467,2228,11467,2228,1707,2228,1697,2228,1697,2237,1707,2237,11467,2237,11467,2237,11477,2237,11477,2228xe" filled="true" fillcolor="#000000" stroked="false">
                  <v:path arrowok="t"/>
                  <v:fill type="solid"/>
                </v:shape>
                <v:shape style="position:absolute;left:2537;top:2400;width:2201;height:304" type="#_x0000_t75" id="docshape995" stroked="false">
                  <v:imagedata r:id="rId108" o:title=""/>
                </v:shape>
                <w10:wrap type="none"/>
              </v:group>
            </w:pict>
          </mc:Fallback>
        </mc:AlternateContent>
      </w:r>
      <w:r>
        <w:rPr>
          <w:color w:val="172951"/>
          <w:sz w:val="20"/>
        </w:rPr>
        <w:t>Pág.</w:t>
      </w:r>
      <w:r>
        <w:rPr>
          <w:color w:val="172951"/>
          <w:spacing w:val="-7"/>
          <w:sz w:val="20"/>
        </w:rPr>
        <w:t> </w:t>
      </w:r>
      <w:r>
        <w:rPr>
          <w:color w:val="172951"/>
          <w:spacing w:val="-5"/>
          <w:sz w:val="20"/>
        </w:rPr>
        <w:t>200</w:t>
      </w:r>
    </w:p>
    <w:p>
      <w:pPr>
        <w:pStyle w:val="BodyText"/>
        <w:rPr>
          <w:sz w:val="8"/>
        </w:rPr>
      </w:pPr>
    </w:p>
    <w:p>
      <w:pPr>
        <w:pStyle w:val="BodyText"/>
        <w:rPr>
          <w:sz w:val="8"/>
        </w:rPr>
      </w:pPr>
    </w:p>
    <w:p>
      <w:pPr>
        <w:pStyle w:val="BodyText"/>
        <w:rPr>
          <w:sz w:val="8"/>
        </w:rPr>
      </w:pPr>
    </w:p>
    <w:p>
      <w:pPr>
        <w:pStyle w:val="BodyText"/>
        <w:rPr>
          <w:sz w:val="8"/>
        </w:rPr>
      </w:pPr>
    </w:p>
    <w:p>
      <w:pPr>
        <w:pStyle w:val="BodyText"/>
        <w:spacing w:before="73"/>
        <w:rPr>
          <w:sz w:val="8"/>
        </w:rPr>
      </w:pPr>
    </w:p>
    <w:p>
      <w:pPr>
        <w:spacing w:before="0"/>
        <w:ind w:left="3909" w:right="0" w:firstLine="0"/>
        <w:jc w:val="left"/>
        <w:rPr>
          <w:rFonts w:ascii="Arial"/>
          <w:b/>
          <w:sz w:val="8"/>
        </w:rPr>
      </w:pPr>
      <w:r>
        <w:rPr>
          <w:rFonts w:ascii="Arial"/>
          <w:b/>
          <w:spacing w:val="-2"/>
          <w:w w:val="155"/>
          <w:sz w:val="8"/>
        </w:rPr>
        <w:t>ACTIVOS</w:t>
      </w:r>
      <w:r>
        <w:rPr>
          <w:rFonts w:ascii="Arial"/>
          <w:b/>
          <w:spacing w:val="4"/>
          <w:w w:val="155"/>
          <w:sz w:val="8"/>
        </w:rPr>
        <w:t> </w:t>
      </w:r>
      <w:r>
        <w:rPr>
          <w:rFonts w:ascii="Arial"/>
          <w:b/>
          <w:spacing w:val="-2"/>
          <w:w w:val="155"/>
          <w:sz w:val="8"/>
        </w:rPr>
        <w:t>INTANGIBLES</w:t>
      </w:r>
      <w:r>
        <w:rPr>
          <w:rFonts w:ascii="Arial"/>
          <w:b/>
          <w:spacing w:val="5"/>
          <w:w w:val="155"/>
          <w:sz w:val="8"/>
        </w:rPr>
        <w:t> </w:t>
      </w:r>
      <w:r>
        <w:rPr>
          <w:rFonts w:ascii="Arial"/>
          <w:b/>
          <w:spacing w:val="-2"/>
          <w:w w:val="155"/>
          <w:sz w:val="8"/>
        </w:rPr>
        <w:t>DESARROLLADOS</w:t>
      </w:r>
      <w:r>
        <w:rPr>
          <w:rFonts w:ascii="Arial"/>
          <w:b/>
          <w:spacing w:val="4"/>
          <w:w w:val="155"/>
          <w:sz w:val="8"/>
        </w:rPr>
        <w:t> </w:t>
      </w:r>
      <w:r>
        <w:rPr>
          <w:rFonts w:ascii="Arial"/>
          <w:b/>
          <w:spacing w:val="-2"/>
          <w:w w:val="155"/>
          <w:sz w:val="8"/>
        </w:rPr>
        <w:t>INTERNAMENTE</w:t>
      </w:r>
    </w:p>
    <w:p>
      <w:pPr>
        <w:pStyle w:val="BodyText"/>
        <w:spacing w:before="4"/>
        <w:rPr>
          <w:rFonts w:ascii="Arial"/>
          <w:b/>
          <w:sz w:val="6"/>
        </w:rPr>
      </w:pPr>
    </w:p>
    <w:tbl>
      <w:tblPr>
        <w:tblW w:w="0" w:type="auto"/>
        <w:jc w:val="left"/>
        <w:tblInd w:w="14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5"/>
        <w:gridCol w:w="1139"/>
        <w:gridCol w:w="2137"/>
        <w:gridCol w:w="2885"/>
        <w:gridCol w:w="466"/>
        <w:gridCol w:w="599"/>
        <w:gridCol w:w="882"/>
      </w:tblGrid>
      <w:tr>
        <w:trPr>
          <w:trHeight w:val="114" w:hRule="atLeast"/>
        </w:trPr>
        <w:tc>
          <w:tcPr>
            <w:tcW w:w="395" w:type="dxa"/>
            <w:tcBorders>
              <w:left w:val="single" w:sz="4" w:space="0" w:color="000000"/>
              <w:right w:val="single" w:sz="8" w:space="0" w:color="000000"/>
            </w:tcBorders>
            <w:shd w:val="clear" w:color="auto" w:fill="17365D"/>
          </w:tcPr>
          <w:p>
            <w:pPr>
              <w:pStyle w:val="TableParagraph"/>
              <w:spacing w:line="81" w:lineRule="exact" w:before="13"/>
              <w:ind w:left="24"/>
              <w:jc w:val="center"/>
              <w:rPr>
                <w:rFonts w:ascii="Arial Narrow"/>
                <w:b/>
                <w:sz w:val="8"/>
              </w:rPr>
            </w:pPr>
            <w:r>
              <w:rPr>
                <w:rFonts w:ascii="Arial Narrow"/>
                <w:b/>
                <w:color w:val="FFFFFF"/>
                <w:spacing w:val="-10"/>
                <w:w w:val="155"/>
                <w:sz w:val="8"/>
              </w:rPr>
              <w:t>#</w:t>
            </w:r>
          </w:p>
        </w:tc>
        <w:tc>
          <w:tcPr>
            <w:tcW w:w="1139" w:type="dxa"/>
            <w:tcBorders>
              <w:left w:val="single" w:sz="8" w:space="0" w:color="000000"/>
              <w:right w:val="single" w:sz="8" w:space="0" w:color="000000"/>
            </w:tcBorders>
            <w:shd w:val="clear" w:color="auto" w:fill="1F3863"/>
          </w:tcPr>
          <w:p>
            <w:pPr>
              <w:pStyle w:val="TableParagraph"/>
              <w:spacing w:line="81" w:lineRule="exact" w:before="13"/>
              <w:ind w:left="19"/>
              <w:jc w:val="center"/>
              <w:rPr>
                <w:rFonts w:ascii="Arial Narrow"/>
                <w:b/>
                <w:sz w:val="8"/>
              </w:rPr>
            </w:pPr>
            <w:r>
              <w:rPr>
                <w:rFonts w:ascii="Arial Narrow"/>
                <w:b/>
                <w:color w:val="FFFFFF"/>
                <w:w w:val="155"/>
                <w:sz w:val="8"/>
              </w:rPr>
              <w:t>Tipo</w:t>
            </w:r>
            <w:r>
              <w:rPr>
                <w:rFonts w:ascii="Arial Narrow"/>
                <w:b/>
                <w:color w:val="FFFFFF"/>
                <w:spacing w:val="11"/>
                <w:w w:val="155"/>
                <w:sz w:val="8"/>
              </w:rPr>
              <w:t> </w:t>
            </w:r>
            <w:r>
              <w:rPr>
                <w:rFonts w:ascii="Arial Narrow"/>
                <w:b/>
                <w:color w:val="FFFFFF"/>
                <w:spacing w:val="-2"/>
                <w:w w:val="155"/>
                <w:sz w:val="8"/>
              </w:rPr>
              <w:t>Activo</w:t>
            </w:r>
          </w:p>
        </w:tc>
        <w:tc>
          <w:tcPr>
            <w:tcW w:w="2137" w:type="dxa"/>
            <w:tcBorders>
              <w:left w:val="single" w:sz="8" w:space="0" w:color="000000"/>
              <w:right w:val="single" w:sz="8" w:space="0" w:color="000000"/>
            </w:tcBorders>
            <w:shd w:val="clear" w:color="auto" w:fill="17365D"/>
          </w:tcPr>
          <w:p>
            <w:pPr>
              <w:pStyle w:val="TableParagraph"/>
              <w:spacing w:line="81" w:lineRule="exact" w:before="13"/>
              <w:ind w:left="654"/>
              <w:rPr>
                <w:rFonts w:ascii="Arial Narrow"/>
                <w:b/>
                <w:sz w:val="8"/>
              </w:rPr>
            </w:pPr>
            <w:r>
              <w:rPr>
                <w:rFonts w:ascii="Arial Narrow"/>
                <w:b/>
                <w:color w:val="FFFFFF"/>
                <w:w w:val="155"/>
                <w:sz w:val="8"/>
              </w:rPr>
              <w:t>Nombre</w:t>
            </w:r>
            <w:r>
              <w:rPr>
                <w:rFonts w:ascii="Arial Narrow"/>
                <w:b/>
                <w:color w:val="FFFFFF"/>
                <w:spacing w:val="7"/>
                <w:w w:val="155"/>
                <w:sz w:val="8"/>
              </w:rPr>
              <w:t> </w:t>
            </w:r>
            <w:r>
              <w:rPr>
                <w:rFonts w:ascii="Arial Narrow"/>
                <w:b/>
                <w:color w:val="FFFFFF"/>
                <w:spacing w:val="-2"/>
                <w:w w:val="155"/>
                <w:sz w:val="8"/>
              </w:rPr>
              <w:t>Sistema</w:t>
            </w:r>
          </w:p>
        </w:tc>
        <w:tc>
          <w:tcPr>
            <w:tcW w:w="2885" w:type="dxa"/>
            <w:tcBorders>
              <w:left w:val="single" w:sz="8" w:space="0" w:color="000000"/>
              <w:right w:val="single" w:sz="8" w:space="0" w:color="000000"/>
            </w:tcBorders>
            <w:shd w:val="clear" w:color="auto" w:fill="17365D"/>
          </w:tcPr>
          <w:p>
            <w:pPr>
              <w:pStyle w:val="TableParagraph"/>
              <w:spacing w:line="81" w:lineRule="exact" w:before="13"/>
              <w:ind w:left="12"/>
              <w:jc w:val="center"/>
              <w:rPr>
                <w:rFonts w:ascii="Arial Narrow"/>
                <w:b/>
                <w:sz w:val="8"/>
              </w:rPr>
            </w:pPr>
            <w:r>
              <w:rPr>
                <w:rFonts w:ascii="Arial Narrow"/>
                <w:b/>
                <w:color w:val="FFFFFF"/>
                <w:w w:val="155"/>
                <w:sz w:val="8"/>
              </w:rPr>
              <w:t>Uso</w:t>
            </w:r>
            <w:r>
              <w:rPr>
                <w:rFonts w:ascii="Arial Narrow"/>
                <w:b/>
                <w:color w:val="FFFFFF"/>
                <w:spacing w:val="2"/>
                <w:w w:val="155"/>
                <w:sz w:val="8"/>
              </w:rPr>
              <w:t> </w:t>
            </w:r>
            <w:r>
              <w:rPr>
                <w:rFonts w:ascii="Arial Narrow"/>
                <w:b/>
                <w:color w:val="FFFFFF"/>
                <w:spacing w:val="-2"/>
                <w:w w:val="155"/>
                <w:sz w:val="8"/>
              </w:rPr>
              <w:t>Sistema</w:t>
            </w:r>
          </w:p>
        </w:tc>
        <w:tc>
          <w:tcPr>
            <w:tcW w:w="466" w:type="dxa"/>
            <w:tcBorders>
              <w:left w:val="single" w:sz="8" w:space="0" w:color="000000"/>
              <w:right w:val="single" w:sz="8" w:space="0" w:color="000000"/>
            </w:tcBorders>
            <w:shd w:val="clear" w:color="auto" w:fill="17365D"/>
          </w:tcPr>
          <w:p>
            <w:pPr>
              <w:pStyle w:val="TableParagraph"/>
              <w:spacing w:line="81" w:lineRule="exact" w:before="13"/>
              <w:ind w:left="12" w:right="3"/>
              <w:jc w:val="center"/>
              <w:rPr>
                <w:rFonts w:ascii="Arial Narrow"/>
                <w:b/>
                <w:sz w:val="8"/>
              </w:rPr>
            </w:pPr>
            <w:r>
              <w:rPr>
                <w:rFonts w:ascii="Arial Narrow"/>
                <w:b/>
                <w:color w:val="FFFFFF"/>
                <w:spacing w:val="-2"/>
                <w:w w:val="155"/>
                <w:sz w:val="8"/>
              </w:rPr>
              <w:t>Estado</w:t>
            </w:r>
          </w:p>
        </w:tc>
        <w:tc>
          <w:tcPr>
            <w:tcW w:w="599" w:type="dxa"/>
            <w:tcBorders>
              <w:left w:val="single" w:sz="8" w:space="0" w:color="000000"/>
              <w:right w:val="single" w:sz="8" w:space="0" w:color="000000"/>
            </w:tcBorders>
            <w:shd w:val="clear" w:color="auto" w:fill="17365D"/>
          </w:tcPr>
          <w:p>
            <w:pPr>
              <w:pStyle w:val="TableParagraph"/>
              <w:spacing w:line="81" w:lineRule="exact" w:before="13"/>
              <w:ind w:left="16"/>
              <w:jc w:val="center"/>
              <w:rPr>
                <w:rFonts w:ascii="Arial Narrow" w:hAnsi="Arial Narrow"/>
                <w:b/>
                <w:sz w:val="8"/>
              </w:rPr>
            </w:pPr>
            <w:r>
              <w:rPr>
                <w:rFonts w:ascii="Arial Narrow" w:hAnsi="Arial Narrow"/>
                <w:b/>
                <w:color w:val="FFFFFF"/>
                <w:w w:val="155"/>
                <w:sz w:val="8"/>
              </w:rPr>
              <w:t>Vida</w:t>
            </w:r>
            <w:r>
              <w:rPr>
                <w:rFonts w:ascii="Arial Narrow" w:hAnsi="Arial Narrow"/>
                <w:b/>
                <w:color w:val="FFFFFF"/>
                <w:spacing w:val="-6"/>
                <w:w w:val="155"/>
                <w:sz w:val="8"/>
              </w:rPr>
              <w:t> </w:t>
            </w:r>
            <w:r>
              <w:rPr>
                <w:rFonts w:ascii="Arial Narrow" w:hAnsi="Arial Narrow"/>
                <w:b/>
                <w:color w:val="FFFFFF"/>
                <w:spacing w:val="-4"/>
                <w:w w:val="155"/>
                <w:sz w:val="8"/>
              </w:rPr>
              <w:t>útil</w:t>
            </w:r>
          </w:p>
        </w:tc>
        <w:tc>
          <w:tcPr>
            <w:tcW w:w="882" w:type="dxa"/>
            <w:tcBorders>
              <w:left w:val="single" w:sz="8" w:space="0" w:color="000000"/>
              <w:right w:val="single" w:sz="8" w:space="0" w:color="000000"/>
            </w:tcBorders>
            <w:shd w:val="clear" w:color="auto" w:fill="17365D"/>
          </w:tcPr>
          <w:p>
            <w:pPr>
              <w:pStyle w:val="TableParagraph"/>
              <w:spacing w:line="81" w:lineRule="exact" w:before="13"/>
              <w:ind w:right="51"/>
              <w:jc w:val="right"/>
              <w:rPr>
                <w:rFonts w:ascii="Arial Narrow"/>
                <w:b/>
                <w:sz w:val="8"/>
              </w:rPr>
            </w:pPr>
            <w:r>
              <w:rPr>
                <w:rFonts w:ascii="Arial Narrow"/>
                <w:b/>
                <w:color w:val="FFFFFF"/>
                <w:w w:val="155"/>
                <w:sz w:val="8"/>
              </w:rPr>
              <w:t>Importe</w:t>
            </w:r>
            <w:r>
              <w:rPr>
                <w:rFonts w:ascii="Arial Narrow"/>
                <w:b/>
                <w:color w:val="FFFFFF"/>
                <w:spacing w:val="10"/>
                <w:w w:val="155"/>
                <w:sz w:val="8"/>
              </w:rPr>
              <w:t> </w:t>
            </w:r>
            <w:r>
              <w:rPr>
                <w:rFonts w:ascii="Arial Narrow"/>
                <w:b/>
                <w:color w:val="FFFFFF"/>
                <w:spacing w:val="-2"/>
                <w:w w:val="155"/>
                <w:sz w:val="8"/>
              </w:rPr>
              <w:t>Libros</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1</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Hogares</w:t>
            </w:r>
            <w:r>
              <w:rPr>
                <w:rFonts w:ascii="Arial Narrow"/>
                <w:spacing w:val="4"/>
                <w:w w:val="155"/>
                <w:sz w:val="8"/>
              </w:rPr>
              <w:t> </w:t>
            </w:r>
            <w:r>
              <w:rPr>
                <w:rFonts w:ascii="Arial Narrow"/>
                <w:w w:val="155"/>
                <w:sz w:val="8"/>
              </w:rPr>
              <w:t>Conectados(SUT</w:t>
            </w:r>
            <w:r>
              <w:rPr>
                <w:rFonts w:ascii="Arial Narrow"/>
                <w:spacing w:val="-13"/>
                <w:w w:val="155"/>
                <w:sz w:val="8"/>
              </w:rPr>
              <w:t> </w:t>
            </w:r>
            <w:r>
              <w:rPr>
                <w:rFonts w:ascii="Arial Narrow"/>
                <w:spacing w:val="-5"/>
                <w:w w:val="155"/>
                <w:sz w:val="8"/>
              </w:rPr>
              <w:t>EL)</w:t>
            </w:r>
          </w:p>
        </w:tc>
        <w:tc>
          <w:tcPr>
            <w:tcW w:w="2885"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Gestion</w:t>
            </w:r>
            <w:r>
              <w:rPr>
                <w:rFonts w:ascii="Arial Narrow"/>
                <w:spacing w:val="4"/>
                <w:w w:val="155"/>
                <w:sz w:val="8"/>
              </w:rPr>
              <w:t> </w:t>
            </w:r>
            <w:r>
              <w:rPr>
                <w:rFonts w:ascii="Arial Narrow"/>
                <w:w w:val="155"/>
                <w:sz w:val="8"/>
              </w:rPr>
              <w:t>de</w:t>
            </w:r>
            <w:r>
              <w:rPr>
                <w:rFonts w:ascii="Arial Narrow"/>
                <w:spacing w:val="4"/>
                <w:w w:val="155"/>
                <w:sz w:val="8"/>
              </w:rPr>
              <w:t> </w:t>
            </w:r>
            <w:r>
              <w:rPr>
                <w:rFonts w:ascii="Arial Narrow"/>
                <w:w w:val="155"/>
                <w:sz w:val="8"/>
              </w:rPr>
              <w:t>hogares</w:t>
            </w:r>
            <w:r>
              <w:rPr>
                <w:rFonts w:ascii="Arial Narrow"/>
                <w:spacing w:val="2"/>
                <w:w w:val="155"/>
                <w:sz w:val="8"/>
              </w:rPr>
              <w:t> </w:t>
            </w:r>
            <w:r>
              <w:rPr>
                <w:rFonts w:ascii="Arial Narrow"/>
                <w:w w:val="155"/>
                <w:sz w:val="8"/>
              </w:rPr>
              <w:t>conectados(SUT</w:t>
            </w:r>
            <w:r>
              <w:rPr>
                <w:rFonts w:ascii="Arial Narrow"/>
                <w:spacing w:val="-13"/>
                <w:w w:val="155"/>
                <w:sz w:val="8"/>
              </w:rPr>
              <w:t> </w:t>
            </w:r>
            <w:r>
              <w:rPr>
                <w:rFonts w:ascii="Arial Narrow"/>
                <w:spacing w:val="-5"/>
                <w:w w:val="155"/>
                <w:sz w:val="8"/>
              </w:rPr>
              <w:t>EL)</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1</w:t>
            </w:r>
            <w:r>
              <w:rPr>
                <w:rFonts w:ascii="Arial Narrow"/>
                <w:spacing w:val="-2"/>
                <w:w w:val="155"/>
                <w:sz w:val="8"/>
              </w:rPr>
              <w:t> </w:t>
            </w:r>
            <w:r>
              <w:rPr>
                <w:rFonts w:ascii="Arial Narrow"/>
                <w:w w:val="155"/>
                <w:sz w:val="8"/>
              </w:rPr>
              <w:t>418</w:t>
            </w:r>
            <w:r>
              <w:rPr>
                <w:rFonts w:ascii="Arial Narrow"/>
                <w:spacing w:val="-1"/>
                <w:w w:val="155"/>
                <w:sz w:val="8"/>
              </w:rPr>
              <w:t> </w:t>
            </w:r>
            <w:r>
              <w:rPr>
                <w:rFonts w:ascii="Arial Narrow"/>
                <w:spacing w:val="-2"/>
                <w:w w:val="155"/>
                <w:sz w:val="8"/>
              </w:rPr>
              <w:t>594,37</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2</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Hogares</w:t>
            </w:r>
            <w:r>
              <w:rPr>
                <w:rFonts w:ascii="Arial Narrow"/>
                <w:spacing w:val="3"/>
                <w:w w:val="155"/>
                <w:sz w:val="8"/>
              </w:rPr>
              <w:t> </w:t>
            </w:r>
            <w:r>
              <w:rPr>
                <w:rFonts w:ascii="Arial Narrow"/>
                <w:w w:val="155"/>
                <w:sz w:val="8"/>
              </w:rPr>
              <w:t>Conectados</w:t>
            </w:r>
            <w:r>
              <w:rPr>
                <w:rFonts w:ascii="Arial Narrow"/>
                <w:spacing w:val="3"/>
                <w:w w:val="155"/>
                <w:sz w:val="8"/>
              </w:rPr>
              <w:t> </w:t>
            </w:r>
            <w:r>
              <w:rPr>
                <w:rFonts w:ascii="Arial Narrow"/>
                <w:spacing w:val="-5"/>
                <w:w w:val="155"/>
                <w:sz w:val="8"/>
              </w:rPr>
              <w:t>WEB</w:t>
            </w:r>
          </w:p>
        </w:tc>
        <w:tc>
          <w:tcPr>
            <w:tcW w:w="2885"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Gestionar</w:t>
            </w:r>
            <w:r>
              <w:rPr>
                <w:rFonts w:ascii="Arial Narrow"/>
                <w:spacing w:val="-1"/>
                <w:w w:val="155"/>
                <w:sz w:val="8"/>
              </w:rPr>
              <w:t> </w:t>
            </w:r>
            <w:r>
              <w:rPr>
                <w:rFonts w:ascii="Arial Narrow"/>
                <w:w w:val="155"/>
                <w:sz w:val="8"/>
              </w:rPr>
              <w:t>los</w:t>
            </w:r>
            <w:r>
              <w:rPr>
                <w:rFonts w:ascii="Arial Narrow"/>
                <w:spacing w:val="2"/>
                <w:w w:val="155"/>
                <w:sz w:val="8"/>
              </w:rPr>
              <w:t> </w:t>
            </w:r>
            <w:r>
              <w:rPr>
                <w:rFonts w:ascii="Arial Narrow"/>
                <w:w w:val="155"/>
                <w:sz w:val="8"/>
              </w:rPr>
              <w:t>beneficiarios</w:t>
            </w:r>
            <w:r>
              <w:rPr>
                <w:rFonts w:ascii="Arial Narrow"/>
                <w:spacing w:val="2"/>
                <w:w w:val="155"/>
                <w:sz w:val="8"/>
              </w:rPr>
              <w:t> </w:t>
            </w:r>
            <w:r>
              <w:rPr>
                <w:rFonts w:ascii="Arial Narrow"/>
                <w:w w:val="155"/>
                <w:sz w:val="8"/>
              </w:rPr>
              <w:t>para</w:t>
            </w:r>
            <w:r>
              <w:rPr>
                <w:rFonts w:ascii="Arial Narrow"/>
                <w:spacing w:val="4"/>
                <w:w w:val="155"/>
                <w:sz w:val="8"/>
              </w:rPr>
              <w:t> </w:t>
            </w:r>
            <w:r>
              <w:rPr>
                <w:rFonts w:ascii="Arial Narrow"/>
                <w:w w:val="155"/>
                <w:sz w:val="8"/>
              </w:rPr>
              <w:t>Hogares</w:t>
            </w:r>
            <w:r>
              <w:rPr>
                <w:rFonts w:ascii="Arial Narrow"/>
                <w:spacing w:val="2"/>
                <w:w w:val="155"/>
                <w:sz w:val="8"/>
              </w:rPr>
              <w:t> </w:t>
            </w:r>
            <w:r>
              <w:rPr>
                <w:rFonts w:ascii="Arial Narrow"/>
                <w:spacing w:val="-2"/>
                <w:w w:val="155"/>
                <w:sz w:val="8"/>
              </w:rPr>
              <w:t>Conectados</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26"/>
              <w:jc w:val="right"/>
              <w:rPr>
                <w:rFonts w:ascii="Arial Narrow"/>
                <w:sz w:val="8"/>
              </w:rPr>
            </w:pPr>
            <w:r>
              <w:rPr>
                <w:rFonts w:ascii="Arial Narrow"/>
                <w:w w:val="155"/>
                <w:sz w:val="8"/>
              </w:rPr>
              <w:t>336 </w:t>
            </w:r>
            <w:r>
              <w:rPr>
                <w:rFonts w:ascii="Arial Narrow"/>
                <w:spacing w:val="-2"/>
                <w:w w:val="155"/>
                <w:sz w:val="8"/>
              </w:rPr>
              <w:t>858,25</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3</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Hogares</w:t>
            </w:r>
            <w:r>
              <w:rPr>
                <w:rFonts w:ascii="Arial Narrow"/>
                <w:spacing w:val="3"/>
                <w:w w:val="155"/>
                <w:sz w:val="8"/>
              </w:rPr>
              <w:t> </w:t>
            </w:r>
            <w:r>
              <w:rPr>
                <w:rFonts w:ascii="Arial Narrow"/>
                <w:w w:val="155"/>
                <w:sz w:val="8"/>
              </w:rPr>
              <w:t>Conectados</w:t>
            </w:r>
            <w:r>
              <w:rPr>
                <w:rFonts w:ascii="Arial Narrow"/>
                <w:spacing w:val="3"/>
                <w:w w:val="155"/>
                <w:sz w:val="8"/>
              </w:rPr>
              <w:t> </w:t>
            </w:r>
            <w:r>
              <w:rPr>
                <w:rFonts w:ascii="Arial Narrow"/>
                <w:spacing w:val="-2"/>
                <w:w w:val="155"/>
                <w:sz w:val="8"/>
              </w:rPr>
              <w:t>escritorio</w:t>
            </w:r>
          </w:p>
        </w:tc>
        <w:tc>
          <w:tcPr>
            <w:tcW w:w="2885"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Gestionar</w:t>
            </w:r>
            <w:r>
              <w:rPr>
                <w:rFonts w:ascii="Arial Narrow"/>
                <w:spacing w:val="-1"/>
                <w:w w:val="155"/>
                <w:sz w:val="8"/>
              </w:rPr>
              <w:t> </w:t>
            </w:r>
            <w:r>
              <w:rPr>
                <w:rFonts w:ascii="Arial Narrow"/>
                <w:w w:val="155"/>
                <w:sz w:val="8"/>
              </w:rPr>
              <w:t>los</w:t>
            </w:r>
            <w:r>
              <w:rPr>
                <w:rFonts w:ascii="Arial Narrow"/>
                <w:spacing w:val="2"/>
                <w:w w:val="155"/>
                <w:sz w:val="8"/>
              </w:rPr>
              <w:t> </w:t>
            </w:r>
            <w:r>
              <w:rPr>
                <w:rFonts w:ascii="Arial Narrow"/>
                <w:w w:val="155"/>
                <w:sz w:val="8"/>
              </w:rPr>
              <w:t>beneficiarios</w:t>
            </w:r>
            <w:r>
              <w:rPr>
                <w:rFonts w:ascii="Arial Narrow"/>
                <w:spacing w:val="2"/>
                <w:w w:val="155"/>
                <w:sz w:val="8"/>
              </w:rPr>
              <w:t> </w:t>
            </w:r>
            <w:r>
              <w:rPr>
                <w:rFonts w:ascii="Arial Narrow"/>
                <w:w w:val="155"/>
                <w:sz w:val="8"/>
              </w:rPr>
              <w:t>para</w:t>
            </w:r>
            <w:r>
              <w:rPr>
                <w:rFonts w:ascii="Arial Narrow"/>
                <w:spacing w:val="4"/>
                <w:w w:val="155"/>
                <w:sz w:val="8"/>
              </w:rPr>
              <w:t> </w:t>
            </w:r>
            <w:r>
              <w:rPr>
                <w:rFonts w:ascii="Arial Narrow"/>
                <w:w w:val="155"/>
                <w:sz w:val="8"/>
              </w:rPr>
              <w:t>Hogares</w:t>
            </w:r>
            <w:r>
              <w:rPr>
                <w:rFonts w:ascii="Arial Narrow"/>
                <w:spacing w:val="2"/>
                <w:w w:val="155"/>
                <w:sz w:val="8"/>
              </w:rPr>
              <w:t> </w:t>
            </w:r>
            <w:r>
              <w:rPr>
                <w:rFonts w:ascii="Arial Narrow"/>
                <w:spacing w:val="-2"/>
                <w:w w:val="155"/>
                <w:sz w:val="8"/>
              </w:rPr>
              <w:t>Conectados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4</w:t>
            </w:r>
            <w:r>
              <w:rPr>
                <w:rFonts w:ascii="Arial Narrow"/>
                <w:spacing w:val="-2"/>
                <w:w w:val="155"/>
                <w:sz w:val="8"/>
              </w:rPr>
              <w:t> </w:t>
            </w:r>
            <w:r>
              <w:rPr>
                <w:rFonts w:ascii="Arial Narrow"/>
                <w:w w:val="155"/>
                <w:sz w:val="8"/>
              </w:rPr>
              <w:t>485</w:t>
            </w:r>
            <w:r>
              <w:rPr>
                <w:rFonts w:ascii="Arial Narrow"/>
                <w:spacing w:val="-1"/>
                <w:w w:val="155"/>
                <w:sz w:val="8"/>
              </w:rPr>
              <w:t> </w:t>
            </w:r>
            <w:r>
              <w:rPr>
                <w:rFonts w:ascii="Arial Narrow"/>
                <w:spacing w:val="-2"/>
                <w:w w:val="155"/>
                <w:sz w:val="8"/>
              </w:rPr>
              <w:t>071,70</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4</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Sistema de</w:t>
            </w:r>
            <w:r>
              <w:rPr>
                <w:rFonts w:ascii="Arial Narrow"/>
                <w:spacing w:val="1"/>
                <w:w w:val="155"/>
                <w:sz w:val="8"/>
              </w:rPr>
              <w:t> </w:t>
            </w:r>
            <w:r>
              <w:rPr>
                <w:rFonts w:ascii="Arial Narrow"/>
                <w:w w:val="155"/>
                <w:sz w:val="8"/>
              </w:rPr>
              <w:t>atencion</w:t>
            </w:r>
            <w:r>
              <w:rPr>
                <w:rFonts w:ascii="Arial Narrow"/>
                <w:spacing w:val="1"/>
                <w:w w:val="155"/>
                <w:sz w:val="8"/>
              </w:rPr>
              <w:t> </w:t>
            </w:r>
            <w:r>
              <w:rPr>
                <w:rFonts w:ascii="Arial Narrow"/>
                <w:w w:val="155"/>
                <w:sz w:val="8"/>
              </w:rPr>
              <w:t>a </w:t>
            </w:r>
            <w:r>
              <w:rPr>
                <w:rFonts w:ascii="Arial Narrow"/>
                <w:spacing w:val="-2"/>
                <w:w w:val="155"/>
                <w:sz w:val="8"/>
              </w:rPr>
              <w:t>beneficiarios(SABEN)</w:t>
            </w:r>
          </w:p>
        </w:tc>
        <w:tc>
          <w:tcPr>
            <w:tcW w:w="2885" w:type="dxa"/>
            <w:tcBorders>
              <w:left w:val="single" w:sz="8" w:space="0" w:color="000000"/>
              <w:right w:val="single" w:sz="8" w:space="0" w:color="000000"/>
            </w:tcBorders>
          </w:tcPr>
          <w:p>
            <w:pPr>
              <w:pStyle w:val="TableParagraph"/>
              <w:spacing w:before="63"/>
              <w:ind w:left="22"/>
              <w:rPr>
                <w:rFonts w:ascii="Arial Narrow" w:hAnsi="Arial Narrow"/>
                <w:sz w:val="8"/>
              </w:rPr>
            </w:pPr>
            <w:r>
              <w:rPr>
                <w:rFonts w:ascii="Arial Narrow" w:hAnsi="Arial Narrow"/>
                <w:w w:val="155"/>
                <w:sz w:val="8"/>
              </w:rPr>
              <w:t>Sistema</w:t>
            </w:r>
            <w:r>
              <w:rPr>
                <w:rFonts w:ascii="Arial Narrow" w:hAnsi="Arial Narrow"/>
                <w:spacing w:val="4"/>
                <w:w w:val="155"/>
                <w:sz w:val="8"/>
              </w:rPr>
              <w:t> </w:t>
            </w:r>
            <w:r>
              <w:rPr>
                <w:rFonts w:ascii="Arial Narrow" w:hAnsi="Arial Narrow"/>
                <w:w w:val="155"/>
                <w:sz w:val="8"/>
              </w:rPr>
              <w:t>de</w:t>
            </w:r>
            <w:r>
              <w:rPr>
                <w:rFonts w:ascii="Arial Narrow" w:hAnsi="Arial Narrow"/>
                <w:spacing w:val="5"/>
                <w:w w:val="155"/>
                <w:sz w:val="8"/>
              </w:rPr>
              <w:t> </w:t>
            </w:r>
            <w:r>
              <w:rPr>
                <w:rFonts w:ascii="Arial Narrow" w:hAnsi="Arial Narrow"/>
                <w:w w:val="155"/>
                <w:sz w:val="8"/>
              </w:rPr>
              <w:t>atencion</w:t>
            </w:r>
            <w:r>
              <w:rPr>
                <w:rFonts w:ascii="Arial Narrow" w:hAnsi="Arial Narrow"/>
                <w:spacing w:val="5"/>
                <w:w w:val="155"/>
                <w:sz w:val="8"/>
              </w:rPr>
              <w:t> </w:t>
            </w:r>
            <w:r>
              <w:rPr>
                <w:rFonts w:ascii="Arial Narrow" w:hAnsi="Arial Narrow"/>
                <w:w w:val="155"/>
                <w:sz w:val="8"/>
              </w:rPr>
              <w:t>a</w:t>
            </w:r>
            <w:r>
              <w:rPr>
                <w:rFonts w:ascii="Arial Narrow" w:hAnsi="Arial Narrow"/>
                <w:spacing w:val="4"/>
                <w:w w:val="155"/>
                <w:sz w:val="8"/>
              </w:rPr>
              <w:t> </w:t>
            </w:r>
            <w:r>
              <w:rPr>
                <w:rFonts w:ascii="Arial Narrow" w:hAnsi="Arial Narrow"/>
                <w:w w:val="155"/>
                <w:sz w:val="8"/>
              </w:rPr>
              <w:t>beneficiarios(transacción</w:t>
            </w:r>
            <w:r>
              <w:rPr>
                <w:rFonts w:ascii="Arial Narrow" w:hAnsi="Arial Narrow"/>
                <w:spacing w:val="5"/>
                <w:w w:val="155"/>
                <w:sz w:val="8"/>
              </w:rPr>
              <w:t> </w:t>
            </w:r>
            <w:r>
              <w:rPr>
                <w:rFonts w:ascii="Arial Narrow" w:hAnsi="Arial Narrow"/>
                <w:w w:val="155"/>
                <w:sz w:val="8"/>
              </w:rPr>
              <w:t>y</w:t>
            </w:r>
            <w:r>
              <w:rPr>
                <w:rFonts w:ascii="Arial Narrow" w:hAnsi="Arial Narrow"/>
                <w:spacing w:val="-8"/>
                <w:w w:val="155"/>
                <w:sz w:val="8"/>
              </w:rPr>
              <w:t> </w:t>
            </w:r>
            <w:r>
              <w:rPr>
                <w:rFonts w:ascii="Arial Narrow" w:hAnsi="Arial Narrow"/>
                <w:spacing w:val="-2"/>
                <w:w w:val="155"/>
                <w:sz w:val="8"/>
              </w:rPr>
              <w:t>ejecución)</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34"/>
              <w:jc w:val="right"/>
              <w:rPr>
                <w:rFonts w:ascii="Arial Narrow"/>
                <w:sz w:val="8"/>
              </w:rPr>
            </w:pPr>
            <w:r>
              <w:rPr>
                <w:rFonts w:ascii="Arial Narrow"/>
                <w:w w:val="155"/>
                <w:sz w:val="8"/>
              </w:rPr>
              <w:t>33</w:t>
            </w:r>
            <w:r>
              <w:rPr>
                <w:rFonts w:ascii="Arial Narrow"/>
                <w:spacing w:val="-1"/>
                <w:w w:val="155"/>
                <w:sz w:val="8"/>
              </w:rPr>
              <w:t> </w:t>
            </w:r>
            <w:r>
              <w:rPr>
                <w:rFonts w:ascii="Arial Narrow"/>
                <w:w w:val="155"/>
                <w:sz w:val="8"/>
              </w:rPr>
              <w:t>022</w:t>
            </w:r>
            <w:r>
              <w:rPr>
                <w:rFonts w:ascii="Arial Narrow"/>
                <w:spacing w:val="-1"/>
                <w:w w:val="155"/>
                <w:sz w:val="8"/>
              </w:rPr>
              <w:t> </w:t>
            </w:r>
            <w:r>
              <w:rPr>
                <w:rFonts w:ascii="Arial Narrow"/>
                <w:spacing w:val="-2"/>
                <w:w w:val="155"/>
                <w:sz w:val="8"/>
              </w:rPr>
              <w:t>182,93</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5</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spacing w:val="-2"/>
                <w:w w:val="155"/>
                <w:sz w:val="8"/>
              </w:rPr>
              <w:t>Avancemos</w:t>
            </w:r>
          </w:p>
        </w:tc>
        <w:tc>
          <w:tcPr>
            <w:tcW w:w="2885" w:type="dxa"/>
            <w:tcBorders>
              <w:left w:val="single" w:sz="8" w:space="0" w:color="000000"/>
              <w:right w:val="single" w:sz="8" w:space="0" w:color="000000"/>
            </w:tcBorders>
          </w:tcPr>
          <w:p>
            <w:pPr>
              <w:pStyle w:val="TableParagraph"/>
              <w:spacing w:before="64"/>
              <w:ind w:left="22"/>
              <w:rPr>
                <w:rFonts w:ascii="Arial Narrow" w:hAnsi="Arial Narrow"/>
                <w:sz w:val="8"/>
              </w:rPr>
            </w:pPr>
            <w:r>
              <w:rPr>
                <w:rFonts w:ascii="Arial Narrow" w:hAnsi="Arial Narrow"/>
                <w:w w:val="155"/>
                <w:sz w:val="8"/>
              </w:rPr>
              <w:t>Página</w:t>
            </w:r>
            <w:r>
              <w:rPr>
                <w:rFonts w:ascii="Arial Narrow" w:hAnsi="Arial Narrow"/>
                <w:spacing w:val="1"/>
                <w:w w:val="155"/>
                <w:sz w:val="8"/>
              </w:rPr>
              <w:t> </w:t>
            </w:r>
            <w:r>
              <w:rPr>
                <w:rFonts w:ascii="Arial Narrow" w:hAnsi="Arial Narrow"/>
                <w:w w:val="155"/>
                <w:sz w:val="8"/>
              </w:rPr>
              <w:t>web de</w:t>
            </w:r>
            <w:r>
              <w:rPr>
                <w:rFonts w:ascii="Arial Narrow" w:hAnsi="Arial Narrow"/>
                <w:spacing w:val="1"/>
                <w:w w:val="155"/>
                <w:sz w:val="8"/>
              </w:rPr>
              <w:t> </w:t>
            </w:r>
            <w:r>
              <w:rPr>
                <w:rFonts w:ascii="Arial Narrow" w:hAnsi="Arial Narrow"/>
                <w:w w:val="155"/>
                <w:sz w:val="8"/>
              </w:rPr>
              <w:t>verificacion</w:t>
            </w:r>
            <w:r>
              <w:rPr>
                <w:rFonts w:ascii="Arial Narrow" w:hAnsi="Arial Narrow"/>
                <w:spacing w:val="1"/>
                <w:w w:val="155"/>
                <w:sz w:val="8"/>
              </w:rPr>
              <w:t> </w:t>
            </w:r>
            <w:r>
              <w:rPr>
                <w:rFonts w:ascii="Arial Narrow" w:hAnsi="Arial Narrow"/>
                <w:w w:val="155"/>
                <w:sz w:val="8"/>
              </w:rPr>
              <w:t>de</w:t>
            </w:r>
            <w:r>
              <w:rPr>
                <w:rFonts w:ascii="Arial Narrow" w:hAnsi="Arial Narrow"/>
                <w:spacing w:val="1"/>
                <w:w w:val="155"/>
                <w:sz w:val="8"/>
              </w:rPr>
              <w:t> </w:t>
            </w:r>
            <w:r>
              <w:rPr>
                <w:rFonts w:ascii="Arial Narrow" w:hAnsi="Arial Narrow"/>
                <w:w w:val="155"/>
                <w:sz w:val="8"/>
              </w:rPr>
              <w:t>los</w:t>
            </w:r>
            <w:r>
              <w:rPr>
                <w:rFonts w:ascii="Arial Narrow" w:hAnsi="Arial Narrow"/>
                <w:spacing w:val="-1"/>
                <w:w w:val="155"/>
                <w:sz w:val="8"/>
              </w:rPr>
              <w:t> </w:t>
            </w:r>
            <w:r>
              <w:rPr>
                <w:rFonts w:ascii="Arial Narrow" w:hAnsi="Arial Narrow"/>
                <w:spacing w:val="-2"/>
                <w:w w:val="155"/>
                <w:sz w:val="8"/>
              </w:rPr>
              <w:t>colegios</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34"/>
              <w:jc w:val="right"/>
              <w:rPr>
                <w:rFonts w:ascii="Arial Narrow"/>
                <w:sz w:val="8"/>
              </w:rPr>
            </w:pPr>
            <w:r>
              <w:rPr>
                <w:rFonts w:ascii="Arial Narrow"/>
                <w:w w:val="155"/>
                <w:sz w:val="8"/>
              </w:rPr>
              <w:t>35</w:t>
            </w:r>
            <w:r>
              <w:rPr>
                <w:rFonts w:ascii="Arial Narrow"/>
                <w:spacing w:val="-1"/>
                <w:w w:val="155"/>
                <w:sz w:val="8"/>
              </w:rPr>
              <w:t> </w:t>
            </w:r>
            <w:r>
              <w:rPr>
                <w:rFonts w:ascii="Arial Narrow"/>
                <w:w w:val="155"/>
                <w:sz w:val="8"/>
              </w:rPr>
              <w:t>975</w:t>
            </w:r>
            <w:r>
              <w:rPr>
                <w:rFonts w:ascii="Arial Narrow"/>
                <w:spacing w:val="-1"/>
                <w:w w:val="155"/>
                <w:sz w:val="8"/>
              </w:rPr>
              <w:t> </w:t>
            </w:r>
            <w:r>
              <w:rPr>
                <w:rFonts w:ascii="Arial Narrow"/>
                <w:spacing w:val="-2"/>
                <w:w w:val="155"/>
                <w:sz w:val="8"/>
              </w:rPr>
              <w:t>993,11</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6</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Consulta</w:t>
            </w:r>
            <w:r>
              <w:rPr>
                <w:rFonts w:ascii="Arial Narrow"/>
                <w:spacing w:val="-5"/>
                <w:w w:val="155"/>
                <w:sz w:val="8"/>
              </w:rPr>
              <w:t> </w:t>
            </w:r>
            <w:r>
              <w:rPr>
                <w:rFonts w:ascii="Arial Narrow"/>
                <w:w w:val="155"/>
                <w:sz w:val="8"/>
              </w:rPr>
              <w:t>WEB</w:t>
            </w:r>
            <w:r>
              <w:rPr>
                <w:rFonts w:ascii="Arial Narrow"/>
                <w:spacing w:val="-7"/>
                <w:w w:val="155"/>
                <w:sz w:val="8"/>
              </w:rPr>
              <w:t> </w:t>
            </w:r>
            <w:r>
              <w:rPr>
                <w:rFonts w:ascii="Arial Narrow"/>
                <w:w w:val="155"/>
                <w:sz w:val="8"/>
              </w:rPr>
              <w:t>de</w:t>
            </w:r>
            <w:r>
              <w:rPr>
                <w:rFonts w:ascii="Arial Narrow"/>
                <w:spacing w:val="-4"/>
                <w:w w:val="155"/>
                <w:sz w:val="8"/>
              </w:rPr>
              <w:t> </w:t>
            </w:r>
            <w:r>
              <w:rPr>
                <w:rFonts w:ascii="Arial Narrow"/>
                <w:spacing w:val="-5"/>
                <w:w w:val="155"/>
                <w:sz w:val="8"/>
              </w:rPr>
              <w:t>FIS</w:t>
            </w:r>
          </w:p>
        </w:tc>
        <w:tc>
          <w:tcPr>
            <w:tcW w:w="2885"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Consulta</w:t>
            </w:r>
            <w:r>
              <w:rPr>
                <w:rFonts w:ascii="Arial Narrow"/>
                <w:spacing w:val="-4"/>
                <w:w w:val="155"/>
                <w:sz w:val="8"/>
              </w:rPr>
              <w:t> </w:t>
            </w:r>
            <w:r>
              <w:rPr>
                <w:rFonts w:ascii="Arial Narrow"/>
                <w:w w:val="155"/>
                <w:sz w:val="8"/>
              </w:rPr>
              <w:t>WEB</w:t>
            </w:r>
            <w:r>
              <w:rPr>
                <w:rFonts w:ascii="Arial Narrow"/>
                <w:spacing w:val="-6"/>
                <w:w w:val="155"/>
                <w:sz w:val="8"/>
              </w:rPr>
              <w:t> </w:t>
            </w:r>
            <w:r>
              <w:rPr>
                <w:rFonts w:ascii="Arial Narrow"/>
                <w:w w:val="155"/>
                <w:sz w:val="8"/>
              </w:rPr>
              <w:t>de</w:t>
            </w:r>
            <w:r>
              <w:rPr>
                <w:rFonts w:ascii="Arial Narrow"/>
                <w:spacing w:val="-3"/>
                <w:w w:val="155"/>
                <w:sz w:val="8"/>
              </w:rPr>
              <w:t> </w:t>
            </w:r>
            <w:r>
              <w:rPr>
                <w:rFonts w:ascii="Arial Narrow"/>
                <w:w w:val="155"/>
                <w:sz w:val="8"/>
              </w:rPr>
              <w:t>la</w:t>
            </w:r>
            <w:r>
              <w:rPr>
                <w:rFonts w:ascii="Arial Narrow"/>
                <w:spacing w:val="-3"/>
                <w:w w:val="155"/>
                <w:sz w:val="8"/>
              </w:rPr>
              <w:t> </w:t>
            </w:r>
            <w:r>
              <w:rPr>
                <w:rFonts w:ascii="Arial Narrow"/>
                <w:spacing w:val="-5"/>
                <w:w w:val="155"/>
                <w:sz w:val="8"/>
              </w:rPr>
              <w:t>FIS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26"/>
              <w:jc w:val="right"/>
              <w:rPr>
                <w:rFonts w:ascii="Arial Narrow"/>
                <w:sz w:val="8"/>
              </w:rPr>
            </w:pPr>
            <w:r>
              <w:rPr>
                <w:rFonts w:ascii="Arial Narrow"/>
                <w:w w:val="155"/>
                <w:sz w:val="8"/>
              </w:rPr>
              <w:t>215 </w:t>
            </w:r>
            <w:r>
              <w:rPr>
                <w:rFonts w:ascii="Arial Narrow"/>
                <w:spacing w:val="-2"/>
                <w:w w:val="155"/>
                <w:sz w:val="8"/>
              </w:rPr>
              <w:t>859,13</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7</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Sistema</w:t>
            </w:r>
            <w:r>
              <w:rPr>
                <w:rFonts w:ascii="Arial Narrow"/>
                <w:spacing w:val="-3"/>
                <w:w w:val="155"/>
                <w:sz w:val="8"/>
              </w:rPr>
              <w:t> </w:t>
            </w:r>
            <w:r>
              <w:rPr>
                <w:rFonts w:ascii="Arial Narrow"/>
                <w:w w:val="155"/>
                <w:sz w:val="8"/>
              </w:rPr>
              <w:t>Atencion</w:t>
            </w:r>
            <w:r>
              <w:rPr>
                <w:rFonts w:ascii="Arial Narrow"/>
                <w:spacing w:val="-2"/>
                <w:w w:val="155"/>
                <w:sz w:val="8"/>
              </w:rPr>
              <w:t> </w:t>
            </w:r>
            <w:r>
              <w:rPr>
                <w:rFonts w:ascii="Arial Narrow"/>
                <w:w w:val="155"/>
                <w:sz w:val="8"/>
              </w:rPr>
              <w:t>de</w:t>
            </w:r>
            <w:r>
              <w:rPr>
                <w:rFonts w:ascii="Arial Narrow"/>
                <w:spacing w:val="-2"/>
                <w:w w:val="155"/>
                <w:sz w:val="8"/>
              </w:rPr>
              <w:t> Quejas</w:t>
            </w:r>
          </w:p>
        </w:tc>
        <w:tc>
          <w:tcPr>
            <w:tcW w:w="2885" w:type="dxa"/>
            <w:tcBorders>
              <w:left w:val="single" w:sz="8" w:space="0" w:color="000000"/>
              <w:right w:val="single" w:sz="8" w:space="0" w:color="000000"/>
            </w:tcBorders>
          </w:tcPr>
          <w:p>
            <w:pPr>
              <w:pStyle w:val="TableParagraph"/>
              <w:spacing w:before="63"/>
              <w:ind w:left="22"/>
              <w:rPr>
                <w:rFonts w:ascii="Arial Narrow" w:hAnsi="Arial Narrow"/>
                <w:sz w:val="8"/>
              </w:rPr>
            </w:pPr>
            <w:r>
              <w:rPr>
                <w:rFonts w:ascii="Arial Narrow" w:hAnsi="Arial Narrow"/>
                <w:w w:val="155"/>
                <w:sz w:val="8"/>
              </w:rPr>
              <w:t>Gestion</w:t>
            </w:r>
            <w:r>
              <w:rPr>
                <w:rFonts w:ascii="Arial Narrow" w:hAnsi="Arial Narrow"/>
                <w:spacing w:val="-1"/>
                <w:w w:val="155"/>
                <w:sz w:val="8"/>
              </w:rPr>
              <w:t> </w:t>
            </w:r>
            <w:r>
              <w:rPr>
                <w:rFonts w:ascii="Arial Narrow" w:hAnsi="Arial Narrow"/>
                <w:w w:val="155"/>
                <w:sz w:val="8"/>
              </w:rPr>
              <w:t>del</w:t>
            </w:r>
            <w:r>
              <w:rPr>
                <w:rFonts w:ascii="Arial Narrow" w:hAnsi="Arial Narrow"/>
                <w:spacing w:val="1"/>
                <w:w w:val="155"/>
                <w:sz w:val="8"/>
              </w:rPr>
              <w:t> </w:t>
            </w:r>
            <w:r>
              <w:rPr>
                <w:rFonts w:ascii="Arial Narrow" w:hAnsi="Arial Narrow"/>
                <w:w w:val="155"/>
                <w:sz w:val="8"/>
              </w:rPr>
              <w:t>area de contraloría de</w:t>
            </w:r>
            <w:r>
              <w:rPr>
                <w:rFonts w:ascii="Arial Narrow" w:hAnsi="Arial Narrow"/>
                <w:spacing w:val="-1"/>
                <w:w w:val="155"/>
                <w:sz w:val="8"/>
              </w:rPr>
              <w:t> </w:t>
            </w:r>
            <w:r>
              <w:rPr>
                <w:rFonts w:ascii="Arial Narrow" w:hAnsi="Arial Narrow"/>
                <w:spacing w:val="-2"/>
                <w:w w:val="155"/>
                <w:sz w:val="8"/>
              </w:rPr>
              <w:t>servicios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1</w:t>
            </w:r>
            <w:r>
              <w:rPr>
                <w:rFonts w:ascii="Arial Narrow"/>
                <w:spacing w:val="-2"/>
                <w:w w:val="155"/>
                <w:sz w:val="8"/>
              </w:rPr>
              <w:t> </w:t>
            </w:r>
            <w:r>
              <w:rPr>
                <w:rFonts w:ascii="Arial Narrow"/>
                <w:w w:val="155"/>
                <w:sz w:val="8"/>
              </w:rPr>
              <w:t>692</w:t>
            </w:r>
            <w:r>
              <w:rPr>
                <w:rFonts w:ascii="Arial Narrow"/>
                <w:spacing w:val="-1"/>
                <w:w w:val="155"/>
                <w:sz w:val="8"/>
              </w:rPr>
              <w:t> </w:t>
            </w:r>
            <w:r>
              <w:rPr>
                <w:rFonts w:ascii="Arial Narrow"/>
                <w:spacing w:val="-2"/>
                <w:w w:val="155"/>
                <w:sz w:val="8"/>
              </w:rPr>
              <w:t>770,90</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8</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Consulta</w:t>
            </w:r>
            <w:r>
              <w:rPr>
                <w:rFonts w:ascii="Arial Narrow"/>
                <w:spacing w:val="-4"/>
                <w:w w:val="155"/>
                <w:sz w:val="8"/>
              </w:rPr>
              <w:t> </w:t>
            </w:r>
            <w:r>
              <w:rPr>
                <w:rFonts w:ascii="Arial Narrow"/>
                <w:w w:val="155"/>
                <w:sz w:val="8"/>
              </w:rPr>
              <w:t>WEB</w:t>
            </w:r>
            <w:r>
              <w:rPr>
                <w:rFonts w:ascii="Arial Narrow"/>
                <w:spacing w:val="-6"/>
                <w:w w:val="155"/>
                <w:sz w:val="8"/>
              </w:rPr>
              <w:t> </w:t>
            </w:r>
            <w:r>
              <w:rPr>
                <w:rFonts w:ascii="Arial Narrow"/>
                <w:w w:val="155"/>
                <w:sz w:val="8"/>
              </w:rPr>
              <w:t>de</w:t>
            </w:r>
            <w:r>
              <w:rPr>
                <w:rFonts w:ascii="Arial Narrow"/>
                <w:spacing w:val="-3"/>
                <w:w w:val="155"/>
                <w:sz w:val="8"/>
              </w:rPr>
              <w:t> </w:t>
            </w:r>
            <w:r>
              <w:rPr>
                <w:rFonts w:ascii="Arial Narrow"/>
                <w:w w:val="155"/>
                <w:sz w:val="8"/>
              </w:rPr>
              <w:t>historial</w:t>
            </w:r>
            <w:r>
              <w:rPr>
                <w:rFonts w:ascii="Arial Narrow"/>
                <w:spacing w:val="-3"/>
                <w:w w:val="155"/>
                <w:sz w:val="8"/>
              </w:rPr>
              <w:t> </w:t>
            </w:r>
            <w:r>
              <w:rPr>
                <w:rFonts w:ascii="Arial Narrow"/>
                <w:spacing w:val="-2"/>
                <w:w w:val="155"/>
                <w:sz w:val="8"/>
              </w:rPr>
              <w:t>Beneficiario</w:t>
            </w:r>
          </w:p>
        </w:tc>
        <w:tc>
          <w:tcPr>
            <w:tcW w:w="2885"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Consulta</w:t>
            </w:r>
            <w:r>
              <w:rPr>
                <w:rFonts w:ascii="Arial Narrow"/>
                <w:spacing w:val="-2"/>
                <w:w w:val="155"/>
                <w:sz w:val="8"/>
              </w:rPr>
              <w:t> </w:t>
            </w:r>
            <w:r>
              <w:rPr>
                <w:rFonts w:ascii="Arial Narrow"/>
                <w:w w:val="155"/>
                <w:sz w:val="8"/>
              </w:rPr>
              <w:t>el</w:t>
            </w:r>
            <w:r>
              <w:rPr>
                <w:rFonts w:ascii="Arial Narrow"/>
                <w:spacing w:val="1"/>
                <w:w w:val="155"/>
                <w:sz w:val="8"/>
              </w:rPr>
              <w:t> </w:t>
            </w:r>
            <w:r>
              <w:rPr>
                <w:rFonts w:ascii="Arial Narrow"/>
                <w:w w:val="155"/>
                <w:sz w:val="8"/>
              </w:rPr>
              <w:t>historial del </w:t>
            </w:r>
            <w:r>
              <w:rPr>
                <w:rFonts w:ascii="Arial Narrow"/>
                <w:spacing w:val="-2"/>
                <w:w w:val="155"/>
                <w:sz w:val="8"/>
              </w:rPr>
              <w:t>beneficiario</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43"/>
              <w:jc w:val="right"/>
              <w:rPr>
                <w:rFonts w:ascii="Arial Narrow"/>
                <w:sz w:val="8"/>
              </w:rPr>
            </w:pPr>
            <w:r>
              <w:rPr>
                <w:rFonts w:ascii="Arial Narrow"/>
                <w:w w:val="155"/>
                <w:sz w:val="8"/>
              </w:rPr>
              <w:t>3</w:t>
            </w:r>
            <w:r>
              <w:rPr>
                <w:rFonts w:ascii="Arial Narrow"/>
                <w:spacing w:val="-2"/>
                <w:w w:val="155"/>
                <w:sz w:val="8"/>
              </w:rPr>
              <w:t> </w:t>
            </w:r>
            <w:r>
              <w:rPr>
                <w:rFonts w:ascii="Arial Narrow"/>
                <w:w w:val="155"/>
                <w:sz w:val="8"/>
              </w:rPr>
              <w:t>785</w:t>
            </w:r>
            <w:r>
              <w:rPr>
                <w:rFonts w:ascii="Arial Narrow"/>
                <w:spacing w:val="-1"/>
                <w:w w:val="155"/>
                <w:sz w:val="8"/>
              </w:rPr>
              <w:t> </w:t>
            </w:r>
            <w:r>
              <w:rPr>
                <w:rFonts w:ascii="Arial Narrow"/>
                <w:spacing w:val="-2"/>
                <w:w w:val="155"/>
                <w:sz w:val="8"/>
              </w:rPr>
              <w:t>882,46</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10"/>
                <w:w w:val="155"/>
                <w:sz w:val="8"/>
              </w:rPr>
              <w:t>9</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Patronos</w:t>
            </w:r>
            <w:r>
              <w:rPr>
                <w:rFonts w:ascii="Arial Narrow"/>
                <w:spacing w:val="-6"/>
                <w:w w:val="155"/>
                <w:sz w:val="8"/>
              </w:rPr>
              <w:t> </w:t>
            </w:r>
            <w:r>
              <w:rPr>
                <w:rFonts w:ascii="Arial Narrow"/>
                <w:spacing w:val="-2"/>
                <w:w w:val="155"/>
                <w:sz w:val="8"/>
              </w:rPr>
              <w:t>Morosos</w:t>
            </w:r>
          </w:p>
        </w:tc>
        <w:tc>
          <w:tcPr>
            <w:tcW w:w="2885"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Consulta</w:t>
            </w:r>
            <w:r>
              <w:rPr>
                <w:rFonts w:ascii="Arial Narrow"/>
                <w:spacing w:val="1"/>
                <w:w w:val="155"/>
                <w:sz w:val="8"/>
              </w:rPr>
              <w:t> </w:t>
            </w:r>
            <w:r>
              <w:rPr>
                <w:rFonts w:ascii="Arial Narrow"/>
                <w:w w:val="155"/>
                <w:sz w:val="8"/>
              </w:rPr>
              <w:t>de</w:t>
            </w:r>
            <w:r>
              <w:rPr>
                <w:rFonts w:ascii="Arial Narrow"/>
                <w:spacing w:val="1"/>
                <w:w w:val="155"/>
                <w:sz w:val="8"/>
              </w:rPr>
              <w:t> </w:t>
            </w:r>
            <w:r>
              <w:rPr>
                <w:rFonts w:ascii="Arial Narrow"/>
                <w:w w:val="155"/>
                <w:sz w:val="8"/>
              </w:rPr>
              <w:t>la</w:t>
            </w:r>
            <w:r>
              <w:rPr>
                <w:rFonts w:ascii="Arial Narrow"/>
                <w:spacing w:val="2"/>
                <w:w w:val="155"/>
                <w:sz w:val="8"/>
              </w:rPr>
              <w:t> </w:t>
            </w:r>
            <w:r>
              <w:rPr>
                <w:rFonts w:ascii="Arial Narrow"/>
                <w:w w:val="155"/>
                <w:sz w:val="8"/>
              </w:rPr>
              <w:t>morosidad</w:t>
            </w:r>
            <w:r>
              <w:rPr>
                <w:rFonts w:ascii="Arial Narrow"/>
                <w:spacing w:val="1"/>
                <w:w w:val="155"/>
                <w:sz w:val="8"/>
              </w:rPr>
              <w:t> </w:t>
            </w:r>
            <w:r>
              <w:rPr>
                <w:rFonts w:ascii="Arial Narrow"/>
                <w:w w:val="155"/>
                <w:sz w:val="8"/>
              </w:rPr>
              <w:t>con</w:t>
            </w:r>
            <w:r>
              <w:rPr>
                <w:rFonts w:ascii="Arial Narrow"/>
                <w:spacing w:val="1"/>
                <w:w w:val="155"/>
                <w:sz w:val="8"/>
              </w:rPr>
              <w:t> </w:t>
            </w:r>
            <w:r>
              <w:rPr>
                <w:rFonts w:ascii="Arial Narrow"/>
                <w:w w:val="155"/>
                <w:sz w:val="8"/>
              </w:rPr>
              <w:t>el</w:t>
            </w:r>
            <w:r>
              <w:rPr>
                <w:rFonts w:ascii="Arial Narrow"/>
                <w:spacing w:val="3"/>
                <w:w w:val="155"/>
                <w:sz w:val="8"/>
              </w:rPr>
              <w:t> </w:t>
            </w:r>
            <w:r>
              <w:rPr>
                <w:rFonts w:ascii="Arial Narrow"/>
                <w:spacing w:val="-4"/>
                <w:w w:val="155"/>
                <w:sz w:val="8"/>
              </w:rPr>
              <w:t>IMAS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3</w:t>
            </w:r>
            <w:r>
              <w:rPr>
                <w:rFonts w:ascii="Arial Narrow"/>
                <w:spacing w:val="-2"/>
                <w:w w:val="155"/>
                <w:sz w:val="8"/>
              </w:rPr>
              <w:t> </w:t>
            </w:r>
            <w:r>
              <w:rPr>
                <w:rFonts w:ascii="Arial Narrow"/>
                <w:w w:val="155"/>
                <w:sz w:val="8"/>
              </w:rPr>
              <w:t>305</w:t>
            </w:r>
            <w:r>
              <w:rPr>
                <w:rFonts w:ascii="Arial Narrow"/>
                <w:spacing w:val="-1"/>
                <w:w w:val="155"/>
                <w:sz w:val="8"/>
              </w:rPr>
              <w:t> </w:t>
            </w:r>
            <w:r>
              <w:rPr>
                <w:rFonts w:ascii="Arial Narrow"/>
                <w:spacing w:val="-2"/>
                <w:w w:val="155"/>
                <w:sz w:val="8"/>
              </w:rPr>
              <w:t>733,92</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10</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Planes</w:t>
            </w:r>
            <w:r>
              <w:rPr>
                <w:rFonts w:ascii="Arial Narrow"/>
                <w:spacing w:val="-2"/>
                <w:w w:val="155"/>
                <w:sz w:val="8"/>
              </w:rPr>
              <w:t> </w:t>
            </w:r>
            <w:r>
              <w:rPr>
                <w:rFonts w:ascii="Arial Narrow"/>
                <w:w w:val="155"/>
                <w:sz w:val="8"/>
              </w:rPr>
              <w:t>de </w:t>
            </w:r>
            <w:r>
              <w:rPr>
                <w:rFonts w:ascii="Arial Narrow"/>
                <w:spacing w:val="-4"/>
                <w:w w:val="155"/>
                <w:sz w:val="8"/>
              </w:rPr>
              <w:t>Vida</w:t>
            </w:r>
          </w:p>
        </w:tc>
        <w:tc>
          <w:tcPr>
            <w:tcW w:w="2885"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Control de mujeres</w:t>
            </w:r>
            <w:r>
              <w:rPr>
                <w:rFonts w:ascii="Arial Narrow"/>
                <w:spacing w:val="-2"/>
                <w:w w:val="155"/>
                <w:sz w:val="8"/>
              </w:rPr>
              <w:t> </w:t>
            </w:r>
            <w:r>
              <w:rPr>
                <w:rFonts w:ascii="Arial Narrow"/>
                <w:w w:val="155"/>
                <w:sz w:val="8"/>
              </w:rPr>
              <w:t>que llevan</w:t>
            </w:r>
            <w:r>
              <w:rPr>
                <w:rFonts w:ascii="Arial Narrow"/>
                <w:spacing w:val="-1"/>
                <w:w w:val="155"/>
                <w:sz w:val="8"/>
              </w:rPr>
              <w:t> </w:t>
            </w:r>
            <w:r>
              <w:rPr>
                <w:rFonts w:ascii="Arial Narrow"/>
                <w:spacing w:val="-2"/>
                <w:w w:val="155"/>
                <w:sz w:val="8"/>
              </w:rPr>
              <w:t>capacitaciones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4</w:t>
            </w:r>
            <w:r>
              <w:rPr>
                <w:rFonts w:ascii="Arial Narrow"/>
                <w:spacing w:val="-2"/>
                <w:w w:val="155"/>
                <w:sz w:val="8"/>
              </w:rPr>
              <w:t> </w:t>
            </w:r>
            <w:r>
              <w:rPr>
                <w:rFonts w:ascii="Arial Narrow"/>
                <w:w w:val="155"/>
                <w:sz w:val="8"/>
              </w:rPr>
              <w:t>168</w:t>
            </w:r>
            <w:r>
              <w:rPr>
                <w:rFonts w:ascii="Arial Narrow"/>
                <w:spacing w:val="-1"/>
                <w:w w:val="155"/>
                <w:sz w:val="8"/>
              </w:rPr>
              <w:t> </w:t>
            </w:r>
            <w:r>
              <w:rPr>
                <w:rFonts w:ascii="Arial Narrow"/>
                <w:spacing w:val="-2"/>
                <w:w w:val="155"/>
                <w:sz w:val="8"/>
              </w:rPr>
              <w:t>400,99</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11</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Plan</w:t>
            </w:r>
            <w:r>
              <w:rPr>
                <w:rFonts w:ascii="Arial Narrow"/>
                <w:spacing w:val="-2"/>
                <w:w w:val="155"/>
                <w:sz w:val="8"/>
              </w:rPr>
              <w:t> </w:t>
            </w:r>
            <w:r>
              <w:rPr>
                <w:rFonts w:ascii="Arial Narrow"/>
                <w:w w:val="155"/>
                <w:sz w:val="8"/>
              </w:rPr>
              <w:t>Puente(</w:t>
            </w:r>
            <w:r>
              <w:rPr>
                <w:rFonts w:ascii="Arial Narrow"/>
                <w:spacing w:val="-4"/>
                <w:w w:val="155"/>
                <w:sz w:val="8"/>
              </w:rPr>
              <w:t> </w:t>
            </w:r>
            <w:r>
              <w:rPr>
                <w:rFonts w:ascii="Arial Narrow"/>
                <w:spacing w:val="-2"/>
                <w:w w:val="155"/>
                <w:sz w:val="8"/>
              </w:rPr>
              <w:t>Articulacion)</w:t>
            </w:r>
          </w:p>
        </w:tc>
        <w:tc>
          <w:tcPr>
            <w:tcW w:w="2885"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Seguimiento</w:t>
            </w:r>
            <w:r>
              <w:rPr>
                <w:rFonts w:ascii="Arial Narrow"/>
                <w:spacing w:val="1"/>
                <w:w w:val="155"/>
                <w:sz w:val="8"/>
              </w:rPr>
              <w:t> </w:t>
            </w:r>
            <w:r>
              <w:rPr>
                <w:rFonts w:ascii="Arial Narrow"/>
                <w:w w:val="155"/>
                <w:sz w:val="8"/>
              </w:rPr>
              <w:t>de</w:t>
            </w:r>
            <w:r>
              <w:rPr>
                <w:rFonts w:ascii="Arial Narrow"/>
                <w:spacing w:val="2"/>
                <w:w w:val="155"/>
                <w:sz w:val="8"/>
              </w:rPr>
              <w:t> </w:t>
            </w:r>
            <w:r>
              <w:rPr>
                <w:rFonts w:ascii="Arial Narrow"/>
                <w:w w:val="155"/>
                <w:sz w:val="8"/>
              </w:rPr>
              <w:t>las referencia</w:t>
            </w:r>
            <w:r>
              <w:rPr>
                <w:rFonts w:ascii="Arial Narrow"/>
                <w:spacing w:val="2"/>
                <w:w w:val="155"/>
                <w:sz w:val="8"/>
              </w:rPr>
              <w:t> </w:t>
            </w:r>
            <w:r>
              <w:rPr>
                <w:rFonts w:ascii="Arial Narrow"/>
                <w:w w:val="155"/>
                <w:sz w:val="8"/>
              </w:rPr>
              <w:t>enviadas</w:t>
            </w:r>
            <w:r>
              <w:rPr>
                <w:rFonts w:ascii="Arial Narrow"/>
                <w:spacing w:val="-1"/>
                <w:w w:val="155"/>
                <w:sz w:val="8"/>
              </w:rPr>
              <w:t> </w:t>
            </w:r>
            <w:r>
              <w:rPr>
                <w:rFonts w:ascii="Arial Narrow"/>
                <w:w w:val="155"/>
                <w:sz w:val="8"/>
              </w:rPr>
              <w:t>por </w:t>
            </w:r>
            <w:r>
              <w:rPr>
                <w:rFonts w:ascii="Arial Narrow"/>
                <w:spacing w:val="-2"/>
                <w:w w:val="155"/>
                <w:sz w:val="8"/>
              </w:rPr>
              <w:t>SAPEF</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34"/>
              <w:jc w:val="right"/>
              <w:rPr>
                <w:rFonts w:ascii="Arial Narrow"/>
                <w:sz w:val="8"/>
              </w:rPr>
            </w:pPr>
            <w:r>
              <w:rPr>
                <w:rFonts w:ascii="Arial Narrow"/>
                <w:w w:val="155"/>
                <w:sz w:val="8"/>
              </w:rPr>
              <w:t>11</w:t>
            </w:r>
            <w:r>
              <w:rPr>
                <w:rFonts w:ascii="Arial Narrow"/>
                <w:spacing w:val="-1"/>
                <w:w w:val="155"/>
                <w:sz w:val="8"/>
              </w:rPr>
              <w:t> </w:t>
            </w:r>
            <w:r>
              <w:rPr>
                <w:rFonts w:ascii="Arial Narrow"/>
                <w:w w:val="155"/>
                <w:sz w:val="8"/>
              </w:rPr>
              <w:t>205</w:t>
            </w:r>
            <w:r>
              <w:rPr>
                <w:rFonts w:ascii="Arial Narrow"/>
                <w:spacing w:val="-1"/>
                <w:w w:val="155"/>
                <w:sz w:val="8"/>
              </w:rPr>
              <w:t> </w:t>
            </w:r>
            <w:r>
              <w:rPr>
                <w:rFonts w:ascii="Arial Narrow"/>
                <w:spacing w:val="-2"/>
                <w:w w:val="155"/>
                <w:sz w:val="8"/>
              </w:rPr>
              <w:t>654,46</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12</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spacing w:val="-2"/>
                <w:w w:val="155"/>
                <w:sz w:val="8"/>
              </w:rPr>
              <w:t>SIPO</w:t>
            </w:r>
            <w:r>
              <w:rPr>
                <w:rFonts w:ascii="Arial Narrow"/>
                <w:w w:val="155"/>
                <w:sz w:val="8"/>
              </w:rPr>
              <w:t> </w:t>
            </w:r>
            <w:r>
              <w:rPr>
                <w:rFonts w:ascii="Arial Narrow"/>
                <w:spacing w:val="-2"/>
                <w:w w:val="155"/>
                <w:sz w:val="8"/>
              </w:rPr>
              <w:t>WEB(FIS)</w:t>
            </w:r>
          </w:p>
        </w:tc>
        <w:tc>
          <w:tcPr>
            <w:tcW w:w="2885" w:type="dxa"/>
            <w:tcBorders>
              <w:left w:val="single" w:sz="8" w:space="0" w:color="000000"/>
              <w:right w:val="single" w:sz="8" w:space="0" w:color="000000"/>
            </w:tcBorders>
          </w:tcPr>
          <w:p>
            <w:pPr>
              <w:pStyle w:val="TableParagraph"/>
              <w:spacing w:before="63"/>
              <w:ind w:left="22"/>
              <w:rPr>
                <w:rFonts w:ascii="Arial Narrow" w:hAnsi="Arial Narrow"/>
                <w:sz w:val="8"/>
              </w:rPr>
            </w:pPr>
            <w:r>
              <w:rPr>
                <w:rFonts w:ascii="Arial Narrow" w:hAnsi="Arial Narrow"/>
                <w:w w:val="155"/>
                <w:sz w:val="8"/>
              </w:rPr>
              <w:t>Inclusión de la FIS,</w:t>
            </w:r>
            <w:r>
              <w:rPr>
                <w:rFonts w:ascii="Arial Narrow" w:hAnsi="Arial Narrow"/>
                <w:spacing w:val="-5"/>
                <w:w w:val="155"/>
                <w:sz w:val="8"/>
              </w:rPr>
              <w:t> </w:t>
            </w:r>
            <w:r>
              <w:rPr>
                <w:rFonts w:ascii="Arial Narrow" w:hAnsi="Arial Narrow"/>
                <w:w w:val="155"/>
                <w:sz w:val="8"/>
              </w:rPr>
              <w:t>por</w:t>
            </w:r>
            <w:r>
              <w:rPr>
                <w:rFonts w:ascii="Arial Narrow" w:hAnsi="Arial Narrow"/>
                <w:spacing w:val="-2"/>
                <w:w w:val="155"/>
                <w:sz w:val="8"/>
              </w:rPr>
              <w:t> </w:t>
            </w:r>
            <w:r>
              <w:rPr>
                <w:rFonts w:ascii="Arial Narrow" w:hAnsi="Arial Narrow"/>
                <w:spacing w:val="-5"/>
                <w:w w:val="155"/>
                <w:sz w:val="8"/>
              </w:rPr>
              <w:t>WEB</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34"/>
              <w:jc w:val="right"/>
              <w:rPr>
                <w:rFonts w:ascii="Arial Narrow"/>
                <w:sz w:val="8"/>
              </w:rPr>
            </w:pPr>
            <w:r>
              <w:rPr>
                <w:rFonts w:ascii="Arial Narrow"/>
                <w:w w:val="155"/>
                <w:sz w:val="8"/>
              </w:rPr>
              <w:t>37</w:t>
            </w:r>
            <w:r>
              <w:rPr>
                <w:rFonts w:ascii="Arial Narrow"/>
                <w:spacing w:val="-1"/>
                <w:w w:val="155"/>
                <w:sz w:val="8"/>
              </w:rPr>
              <w:t> </w:t>
            </w:r>
            <w:r>
              <w:rPr>
                <w:rFonts w:ascii="Arial Narrow"/>
                <w:w w:val="155"/>
                <w:sz w:val="8"/>
              </w:rPr>
              <w:t>441</w:t>
            </w:r>
            <w:r>
              <w:rPr>
                <w:rFonts w:ascii="Arial Narrow"/>
                <w:spacing w:val="-1"/>
                <w:w w:val="155"/>
                <w:sz w:val="8"/>
              </w:rPr>
              <w:t> </w:t>
            </w:r>
            <w:r>
              <w:rPr>
                <w:rFonts w:ascii="Arial Narrow"/>
                <w:spacing w:val="-2"/>
                <w:w w:val="155"/>
                <w:sz w:val="8"/>
              </w:rPr>
              <w:t>370,90</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13</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Sistema</w:t>
            </w:r>
            <w:r>
              <w:rPr>
                <w:rFonts w:ascii="Arial Narrow"/>
                <w:spacing w:val="-6"/>
                <w:w w:val="155"/>
                <w:sz w:val="8"/>
              </w:rPr>
              <w:t> </w:t>
            </w:r>
            <w:r>
              <w:rPr>
                <w:rFonts w:ascii="Arial Narrow"/>
                <w:w w:val="155"/>
                <w:sz w:val="8"/>
              </w:rPr>
              <w:t>de</w:t>
            </w:r>
            <w:r>
              <w:rPr>
                <w:rFonts w:ascii="Arial Narrow"/>
                <w:spacing w:val="-4"/>
                <w:w w:val="155"/>
                <w:sz w:val="8"/>
              </w:rPr>
              <w:t> </w:t>
            </w:r>
            <w:r>
              <w:rPr>
                <w:rFonts w:ascii="Arial Narrow"/>
                <w:w w:val="155"/>
                <w:sz w:val="8"/>
              </w:rPr>
              <w:t>T</w:t>
            </w:r>
            <w:r>
              <w:rPr>
                <w:rFonts w:ascii="Arial Narrow"/>
                <w:spacing w:val="-17"/>
                <w:w w:val="155"/>
                <w:sz w:val="8"/>
              </w:rPr>
              <w:t> </w:t>
            </w:r>
            <w:r>
              <w:rPr>
                <w:rFonts w:ascii="Arial Narrow"/>
                <w:w w:val="155"/>
                <w:sz w:val="8"/>
              </w:rPr>
              <w:t>ransportes(SIT</w:t>
            </w:r>
            <w:r>
              <w:rPr>
                <w:rFonts w:ascii="Arial Narrow"/>
                <w:spacing w:val="-17"/>
                <w:w w:val="155"/>
                <w:sz w:val="8"/>
              </w:rPr>
              <w:t> </w:t>
            </w:r>
            <w:r>
              <w:rPr>
                <w:rFonts w:ascii="Arial Narrow"/>
                <w:spacing w:val="-5"/>
                <w:w w:val="155"/>
                <w:sz w:val="8"/>
              </w:rPr>
              <w:t>RA)</w:t>
            </w:r>
          </w:p>
        </w:tc>
        <w:tc>
          <w:tcPr>
            <w:tcW w:w="2885" w:type="dxa"/>
            <w:tcBorders>
              <w:left w:val="single" w:sz="8" w:space="0" w:color="000000"/>
              <w:right w:val="single" w:sz="8" w:space="0" w:color="000000"/>
            </w:tcBorders>
          </w:tcPr>
          <w:p>
            <w:pPr>
              <w:pStyle w:val="TableParagraph"/>
              <w:spacing w:before="63"/>
              <w:ind w:left="22"/>
              <w:rPr>
                <w:rFonts w:ascii="Arial Narrow" w:hAnsi="Arial Narrow"/>
                <w:sz w:val="8"/>
              </w:rPr>
            </w:pPr>
            <w:r>
              <w:rPr>
                <w:rFonts w:ascii="Arial Narrow" w:hAnsi="Arial Narrow"/>
                <w:w w:val="155"/>
                <w:sz w:val="8"/>
              </w:rPr>
              <w:t>Gestión</w:t>
            </w:r>
            <w:r>
              <w:rPr>
                <w:rFonts w:ascii="Arial Narrow" w:hAnsi="Arial Narrow"/>
                <w:spacing w:val="-1"/>
                <w:w w:val="155"/>
                <w:sz w:val="8"/>
              </w:rPr>
              <w:t> </w:t>
            </w:r>
            <w:r>
              <w:rPr>
                <w:rFonts w:ascii="Arial Narrow" w:hAnsi="Arial Narrow"/>
                <w:w w:val="155"/>
                <w:sz w:val="8"/>
              </w:rPr>
              <w:t>de</w:t>
            </w:r>
            <w:r>
              <w:rPr>
                <w:rFonts w:ascii="Arial Narrow" w:hAnsi="Arial Narrow"/>
                <w:spacing w:val="-1"/>
                <w:w w:val="155"/>
                <w:sz w:val="8"/>
              </w:rPr>
              <w:t> </w:t>
            </w:r>
            <w:r>
              <w:rPr>
                <w:rFonts w:ascii="Arial Narrow" w:hAnsi="Arial Narrow"/>
                <w:w w:val="155"/>
                <w:sz w:val="8"/>
              </w:rPr>
              <w:t>tramites</w:t>
            </w:r>
            <w:r>
              <w:rPr>
                <w:rFonts w:ascii="Arial Narrow" w:hAnsi="Arial Narrow"/>
                <w:spacing w:val="-3"/>
                <w:w w:val="155"/>
                <w:sz w:val="8"/>
              </w:rPr>
              <w:t> </w:t>
            </w:r>
            <w:r>
              <w:rPr>
                <w:rFonts w:ascii="Arial Narrow" w:hAnsi="Arial Narrow"/>
                <w:w w:val="155"/>
                <w:sz w:val="8"/>
              </w:rPr>
              <w:t>de</w:t>
            </w:r>
            <w:r>
              <w:rPr>
                <w:rFonts w:ascii="Arial Narrow" w:hAnsi="Arial Narrow"/>
                <w:spacing w:val="-1"/>
                <w:w w:val="155"/>
                <w:sz w:val="8"/>
              </w:rPr>
              <w:t> </w:t>
            </w:r>
            <w:r>
              <w:rPr>
                <w:rFonts w:ascii="Arial Narrow" w:hAnsi="Arial Narrow"/>
                <w:spacing w:val="-2"/>
                <w:w w:val="155"/>
                <w:sz w:val="8"/>
              </w:rPr>
              <w:t>transportes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43"/>
              <w:jc w:val="right"/>
              <w:rPr>
                <w:rFonts w:ascii="Arial Narrow"/>
                <w:sz w:val="8"/>
              </w:rPr>
            </w:pPr>
            <w:r>
              <w:rPr>
                <w:rFonts w:ascii="Arial Narrow"/>
                <w:w w:val="155"/>
                <w:sz w:val="8"/>
              </w:rPr>
              <w:t>9</w:t>
            </w:r>
            <w:r>
              <w:rPr>
                <w:rFonts w:ascii="Arial Narrow"/>
                <w:spacing w:val="-2"/>
                <w:w w:val="155"/>
                <w:sz w:val="8"/>
              </w:rPr>
              <w:t> </w:t>
            </w:r>
            <w:r>
              <w:rPr>
                <w:rFonts w:ascii="Arial Narrow"/>
                <w:w w:val="155"/>
                <w:sz w:val="8"/>
              </w:rPr>
              <w:t>725</w:t>
            </w:r>
            <w:r>
              <w:rPr>
                <w:rFonts w:ascii="Arial Narrow"/>
                <w:spacing w:val="-1"/>
                <w:w w:val="155"/>
                <w:sz w:val="8"/>
              </w:rPr>
              <w:t> </w:t>
            </w:r>
            <w:r>
              <w:rPr>
                <w:rFonts w:ascii="Arial Narrow"/>
                <w:spacing w:val="-2"/>
                <w:w w:val="155"/>
                <w:sz w:val="8"/>
              </w:rPr>
              <w:t>000,00</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14</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Sistema</w:t>
            </w:r>
            <w:r>
              <w:rPr>
                <w:rFonts w:ascii="Arial Narrow"/>
                <w:spacing w:val="-1"/>
                <w:w w:val="155"/>
                <w:sz w:val="8"/>
              </w:rPr>
              <w:t> </w:t>
            </w:r>
            <w:r>
              <w:rPr>
                <w:rFonts w:ascii="Arial Narrow"/>
                <w:w w:val="155"/>
                <w:sz w:val="8"/>
              </w:rPr>
              <w:t>de</w:t>
            </w:r>
            <w:r>
              <w:rPr>
                <w:rFonts w:ascii="Arial Narrow"/>
                <w:spacing w:val="-1"/>
                <w:w w:val="155"/>
                <w:sz w:val="8"/>
              </w:rPr>
              <w:t> </w:t>
            </w:r>
            <w:r>
              <w:rPr>
                <w:rFonts w:ascii="Arial Narrow"/>
                <w:spacing w:val="-2"/>
                <w:w w:val="155"/>
                <w:sz w:val="8"/>
              </w:rPr>
              <w:t>Marcas</w:t>
            </w:r>
          </w:p>
        </w:tc>
        <w:tc>
          <w:tcPr>
            <w:tcW w:w="2885"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Registro de</w:t>
            </w:r>
            <w:r>
              <w:rPr>
                <w:rFonts w:ascii="Arial Narrow"/>
                <w:spacing w:val="1"/>
                <w:w w:val="155"/>
                <w:sz w:val="8"/>
              </w:rPr>
              <w:t> </w:t>
            </w:r>
            <w:r>
              <w:rPr>
                <w:rFonts w:ascii="Arial Narrow"/>
                <w:w w:val="155"/>
                <w:sz w:val="8"/>
              </w:rPr>
              <w:t>la</w:t>
            </w:r>
            <w:r>
              <w:rPr>
                <w:rFonts w:ascii="Arial Narrow"/>
                <w:spacing w:val="1"/>
                <w:w w:val="155"/>
                <w:sz w:val="8"/>
              </w:rPr>
              <w:t> </w:t>
            </w:r>
            <w:r>
              <w:rPr>
                <w:rFonts w:ascii="Arial Narrow"/>
                <w:w w:val="155"/>
                <w:sz w:val="8"/>
              </w:rPr>
              <w:t>marca</w:t>
            </w:r>
            <w:r>
              <w:rPr>
                <w:rFonts w:ascii="Arial Narrow"/>
                <w:spacing w:val="1"/>
                <w:w w:val="155"/>
                <w:sz w:val="8"/>
              </w:rPr>
              <w:t> </w:t>
            </w:r>
            <w:r>
              <w:rPr>
                <w:rFonts w:ascii="Arial Narrow"/>
                <w:w w:val="155"/>
                <w:sz w:val="8"/>
              </w:rPr>
              <w:t>de</w:t>
            </w:r>
            <w:r>
              <w:rPr>
                <w:rFonts w:ascii="Arial Narrow"/>
                <w:spacing w:val="1"/>
                <w:w w:val="155"/>
                <w:sz w:val="8"/>
              </w:rPr>
              <w:t> </w:t>
            </w:r>
            <w:r>
              <w:rPr>
                <w:rFonts w:ascii="Arial Narrow"/>
                <w:w w:val="155"/>
                <w:sz w:val="8"/>
              </w:rPr>
              <w:t>los</w:t>
            </w:r>
            <w:r>
              <w:rPr>
                <w:rFonts w:ascii="Arial Narrow"/>
                <w:spacing w:val="-2"/>
                <w:w w:val="155"/>
                <w:sz w:val="8"/>
              </w:rPr>
              <w:t> </w:t>
            </w:r>
            <w:r>
              <w:rPr>
                <w:rFonts w:ascii="Arial Narrow"/>
                <w:w w:val="155"/>
                <w:sz w:val="8"/>
              </w:rPr>
              <w:t>personas</w:t>
            </w:r>
            <w:r>
              <w:rPr>
                <w:rFonts w:ascii="Arial Narrow"/>
                <w:spacing w:val="-1"/>
                <w:w w:val="155"/>
                <w:sz w:val="8"/>
              </w:rPr>
              <w:t> </w:t>
            </w:r>
            <w:r>
              <w:rPr>
                <w:rFonts w:ascii="Arial Narrow"/>
                <w:spacing w:val="-2"/>
                <w:w w:val="155"/>
                <w:sz w:val="8"/>
              </w:rPr>
              <w:t>funcionarias</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26"/>
              <w:jc w:val="right"/>
              <w:rPr>
                <w:rFonts w:ascii="Arial Narrow"/>
                <w:sz w:val="8"/>
              </w:rPr>
            </w:pPr>
            <w:r>
              <w:rPr>
                <w:rFonts w:ascii="Arial Narrow"/>
                <w:w w:val="155"/>
                <w:sz w:val="8"/>
              </w:rPr>
              <w:t>159 </w:t>
            </w:r>
            <w:r>
              <w:rPr>
                <w:rFonts w:ascii="Arial Narrow"/>
                <w:spacing w:val="-2"/>
                <w:w w:val="155"/>
                <w:sz w:val="8"/>
              </w:rPr>
              <w:t>122,40</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15</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w w:val="155"/>
                <w:sz w:val="8"/>
              </w:rPr>
              <w:t>PROCESO</w:t>
            </w:r>
            <w:r>
              <w:rPr>
                <w:rFonts w:ascii="Arial Narrow"/>
                <w:spacing w:val="-1"/>
                <w:w w:val="155"/>
                <w:sz w:val="8"/>
              </w:rPr>
              <w:t> </w:t>
            </w:r>
            <w:r>
              <w:rPr>
                <w:rFonts w:ascii="Arial Narrow"/>
                <w:spacing w:val="-2"/>
                <w:w w:val="155"/>
                <w:sz w:val="8"/>
              </w:rPr>
              <w:t>SINIRUBE</w:t>
            </w:r>
          </w:p>
        </w:tc>
        <w:tc>
          <w:tcPr>
            <w:tcW w:w="2885" w:type="dxa"/>
            <w:tcBorders>
              <w:left w:val="single" w:sz="8" w:space="0" w:color="000000"/>
              <w:right w:val="single" w:sz="8" w:space="0" w:color="000000"/>
            </w:tcBorders>
          </w:tcPr>
          <w:p>
            <w:pPr>
              <w:pStyle w:val="TableParagraph"/>
              <w:spacing w:before="64"/>
              <w:ind w:left="22"/>
              <w:rPr>
                <w:rFonts w:ascii="Arial Narrow" w:hAnsi="Arial Narrow"/>
                <w:sz w:val="8"/>
              </w:rPr>
            </w:pPr>
            <w:r>
              <w:rPr>
                <w:rFonts w:ascii="Arial Narrow" w:hAnsi="Arial Narrow"/>
                <w:w w:val="155"/>
                <w:sz w:val="8"/>
              </w:rPr>
              <w:t>Proceso</w:t>
            </w:r>
            <w:r>
              <w:rPr>
                <w:rFonts w:ascii="Arial Narrow" w:hAnsi="Arial Narrow"/>
                <w:spacing w:val="1"/>
                <w:w w:val="155"/>
                <w:sz w:val="8"/>
              </w:rPr>
              <w:t> </w:t>
            </w:r>
            <w:r>
              <w:rPr>
                <w:rFonts w:ascii="Arial Narrow" w:hAnsi="Arial Narrow"/>
                <w:w w:val="155"/>
                <w:sz w:val="8"/>
              </w:rPr>
              <w:t>de</w:t>
            </w:r>
            <w:r>
              <w:rPr>
                <w:rFonts w:ascii="Arial Narrow" w:hAnsi="Arial Narrow"/>
                <w:spacing w:val="2"/>
                <w:w w:val="155"/>
                <w:sz w:val="8"/>
              </w:rPr>
              <w:t> </w:t>
            </w:r>
            <w:r>
              <w:rPr>
                <w:rFonts w:ascii="Arial Narrow" w:hAnsi="Arial Narrow"/>
                <w:w w:val="155"/>
                <w:sz w:val="8"/>
              </w:rPr>
              <w:t>extracción</w:t>
            </w:r>
            <w:r>
              <w:rPr>
                <w:rFonts w:ascii="Arial Narrow" w:hAnsi="Arial Narrow"/>
                <w:spacing w:val="2"/>
                <w:w w:val="155"/>
                <w:sz w:val="8"/>
              </w:rPr>
              <w:t> </w:t>
            </w:r>
            <w:r>
              <w:rPr>
                <w:rFonts w:ascii="Arial Narrow" w:hAnsi="Arial Narrow"/>
                <w:w w:val="155"/>
                <w:sz w:val="8"/>
              </w:rPr>
              <w:t>de</w:t>
            </w:r>
            <w:r>
              <w:rPr>
                <w:rFonts w:ascii="Arial Narrow" w:hAnsi="Arial Narrow"/>
                <w:spacing w:val="2"/>
                <w:w w:val="155"/>
                <w:sz w:val="8"/>
              </w:rPr>
              <w:t> </w:t>
            </w:r>
            <w:r>
              <w:rPr>
                <w:rFonts w:ascii="Arial Narrow" w:hAnsi="Arial Narrow"/>
                <w:w w:val="155"/>
                <w:sz w:val="8"/>
              </w:rPr>
              <w:t>la</w:t>
            </w:r>
            <w:r>
              <w:rPr>
                <w:rFonts w:ascii="Arial Narrow" w:hAnsi="Arial Narrow"/>
                <w:spacing w:val="2"/>
                <w:w w:val="155"/>
                <w:sz w:val="8"/>
              </w:rPr>
              <w:t> </w:t>
            </w:r>
            <w:r>
              <w:rPr>
                <w:rFonts w:ascii="Arial Narrow" w:hAnsi="Arial Narrow"/>
                <w:spacing w:val="-2"/>
                <w:w w:val="155"/>
                <w:sz w:val="8"/>
              </w:rPr>
              <w:t>información</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43"/>
              <w:jc w:val="right"/>
              <w:rPr>
                <w:rFonts w:ascii="Arial Narrow"/>
                <w:sz w:val="8"/>
              </w:rPr>
            </w:pPr>
            <w:r>
              <w:rPr>
                <w:rFonts w:ascii="Arial Narrow"/>
                <w:w w:val="155"/>
                <w:sz w:val="8"/>
              </w:rPr>
              <w:t>1</w:t>
            </w:r>
            <w:r>
              <w:rPr>
                <w:rFonts w:ascii="Arial Narrow"/>
                <w:spacing w:val="-2"/>
                <w:w w:val="155"/>
                <w:sz w:val="8"/>
              </w:rPr>
              <w:t> </w:t>
            </w:r>
            <w:r>
              <w:rPr>
                <w:rFonts w:ascii="Arial Narrow"/>
                <w:w w:val="155"/>
                <w:sz w:val="8"/>
              </w:rPr>
              <w:t>169</w:t>
            </w:r>
            <w:r>
              <w:rPr>
                <w:rFonts w:ascii="Arial Narrow"/>
                <w:spacing w:val="-1"/>
                <w:w w:val="155"/>
                <w:sz w:val="8"/>
              </w:rPr>
              <w:t> </w:t>
            </w:r>
            <w:r>
              <w:rPr>
                <w:rFonts w:ascii="Arial Narrow"/>
                <w:spacing w:val="-2"/>
                <w:w w:val="155"/>
                <w:sz w:val="8"/>
              </w:rPr>
              <w:t>155,33</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16</w:t>
            </w:r>
          </w:p>
        </w:tc>
        <w:tc>
          <w:tcPr>
            <w:tcW w:w="1139" w:type="dxa"/>
            <w:tcBorders>
              <w:left w:val="single" w:sz="8" w:space="0" w:color="000000"/>
              <w:right w:val="single" w:sz="8" w:space="0" w:color="000000"/>
            </w:tcBorders>
          </w:tcPr>
          <w:p>
            <w:pPr>
              <w:pStyle w:val="TableParagraph"/>
              <w:spacing w:before="63"/>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3"/>
              <w:ind w:left="22"/>
              <w:rPr>
                <w:rFonts w:ascii="Arial Narrow"/>
                <w:sz w:val="8"/>
              </w:rPr>
            </w:pPr>
            <w:r>
              <w:rPr>
                <w:rFonts w:ascii="Arial Narrow"/>
                <w:w w:val="155"/>
                <w:sz w:val="8"/>
              </w:rPr>
              <w:t>Sistema</w:t>
            </w:r>
            <w:r>
              <w:rPr>
                <w:rFonts w:ascii="Arial Narrow"/>
                <w:spacing w:val="3"/>
                <w:w w:val="155"/>
                <w:sz w:val="8"/>
              </w:rPr>
              <w:t> </w:t>
            </w:r>
            <w:r>
              <w:rPr>
                <w:rFonts w:ascii="Arial Narrow"/>
                <w:w w:val="155"/>
                <w:sz w:val="8"/>
              </w:rPr>
              <w:t>Desarrollo</w:t>
            </w:r>
            <w:r>
              <w:rPr>
                <w:rFonts w:ascii="Arial Narrow"/>
                <w:spacing w:val="3"/>
                <w:w w:val="155"/>
                <w:sz w:val="8"/>
              </w:rPr>
              <w:t> </w:t>
            </w:r>
            <w:r>
              <w:rPr>
                <w:rFonts w:ascii="Arial Narrow"/>
                <w:w w:val="155"/>
                <w:sz w:val="8"/>
              </w:rPr>
              <w:t>Humano</w:t>
            </w:r>
            <w:r>
              <w:rPr>
                <w:rFonts w:ascii="Arial Narrow"/>
                <w:spacing w:val="3"/>
                <w:w w:val="155"/>
                <w:sz w:val="8"/>
              </w:rPr>
              <w:t> </w:t>
            </w:r>
            <w:r>
              <w:rPr>
                <w:rFonts w:ascii="Arial Narrow"/>
                <w:spacing w:val="-2"/>
                <w:w w:val="155"/>
                <w:sz w:val="8"/>
              </w:rPr>
              <w:t>(Modulos)</w:t>
            </w:r>
          </w:p>
        </w:tc>
        <w:tc>
          <w:tcPr>
            <w:tcW w:w="2885" w:type="dxa"/>
            <w:tcBorders>
              <w:left w:val="single" w:sz="8" w:space="0" w:color="000000"/>
              <w:right w:val="single" w:sz="8" w:space="0" w:color="000000"/>
            </w:tcBorders>
          </w:tcPr>
          <w:p>
            <w:pPr>
              <w:pStyle w:val="TableParagraph"/>
              <w:spacing w:before="2"/>
              <w:ind w:left="22"/>
              <w:rPr>
                <w:rFonts w:ascii="Arial Narrow" w:hAnsi="Arial Narrow"/>
                <w:sz w:val="8"/>
              </w:rPr>
            </w:pPr>
            <w:r>
              <w:rPr>
                <w:rFonts w:ascii="Arial Narrow" w:hAnsi="Arial Narrow"/>
                <w:w w:val="155"/>
                <w:sz w:val="8"/>
              </w:rPr>
              <w:t>Módulos para</w:t>
            </w:r>
            <w:r>
              <w:rPr>
                <w:rFonts w:ascii="Arial Narrow" w:hAnsi="Arial Narrow"/>
                <w:spacing w:val="3"/>
                <w:w w:val="155"/>
                <w:sz w:val="8"/>
              </w:rPr>
              <w:t> </w:t>
            </w:r>
            <w:r>
              <w:rPr>
                <w:rFonts w:ascii="Arial Narrow" w:hAnsi="Arial Narrow"/>
                <w:w w:val="155"/>
                <w:sz w:val="8"/>
              </w:rPr>
              <w:t>la</w:t>
            </w:r>
            <w:r>
              <w:rPr>
                <w:rFonts w:ascii="Arial Narrow" w:hAnsi="Arial Narrow"/>
                <w:spacing w:val="3"/>
                <w:w w:val="155"/>
                <w:sz w:val="8"/>
              </w:rPr>
              <w:t> </w:t>
            </w:r>
            <w:r>
              <w:rPr>
                <w:rFonts w:ascii="Arial Narrow" w:hAnsi="Arial Narrow"/>
                <w:w w:val="155"/>
                <w:sz w:val="8"/>
              </w:rPr>
              <w:t>Gestión</w:t>
            </w:r>
            <w:r>
              <w:rPr>
                <w:rFonts w:ascii="Arial Narrow" w:hAnsi="Arial Narrow"/>
                <w:spacing w:val="3"/>
                <w:w w:val="155"/>
                <w:sz w:val="8"/>
              </w:rPr>
              <w:t> </w:t>
            </w:r>
            <w:r>
              <w:rPr>
                <w:rFonts w:ascii="Arial Narrow" w:hAnsi="Arial Narrow"/>
                <w:w w:val="155"/>
                <w:sz w:val="8"/>
              </w:rPr>
              <w:t>del</w:t>
            </w:r>
            <w:r>
              <w:rPr>
                <w:rFonts w:ascii="Arial Narrow" w:hAnsi="Arial Narrow"/>
                <w:spacing w:val="5"/>
                <w:w w:val="155"/>
                <w:sz w:val="8"/>
              </w:rPr>
              <w:t> </w:t>
            </w:r>
            <w:r>
              <w:rPr>
                <w:rFonts w:ascii="Arial Narrow" w:hAnsi="Arial Narrow"/>
                <w:w w:val="155"/>
                <w:sz w:val="8"/>
              </w:rPr>
              <w:t>departamento,</w:t>
            </w:r>
            <w:r>
              <w:rPr>
                <w:rFonts w:ascii="Arial Narrow" w:hAnsi="Arial Narrow"/>
                <w:spacing w:val="-2"/>
                <w:w w:val="155"/>
                <w:sz w:val="8"/>
              </w:rPr>
              <w:t> </w:t>
            </w:r>
            <w:r>
              <w:rPr>
                <w:rFonts w:ascii="Arial Narrow" w:hAnsi="Arial Narrow"/>
                <w:w w:val="155"/>
                <w:sz w:val="8"/>
              </w:rPr>
              <w:t>y</w:t>
            </w:r>
            <w:r>
              <w:rPr>
                <w:rFonts w:ascii="Arial Narrow" w:hAnsi="Arial Narrow"/>
                <w:spacing w:val="-10"/>
                <w:w w:val="155"/>
                <w:sz w:val="8"/>
              </w:rPr>
              <w:t> </w:t>
            </w:r>
            <w:r>
              <w:rPr>
                <w:rFonts w:ascii="Arial Narrow" w:hAnsi="Arial Narrow"/>
                <w:w w:val="155"/>
                <w:sz w:val="8"/>
              </w:rPr>
              <w:t>módulo</w:t>
            </w:r>
            <w:r>
              <w:rPr>
                <w:rFonts w:ascii="Arial Narrow" w:hAnsi="Arial Narrow"/>
                <w:spacing w:val="3"/>
                <w:w w:val="155"/>
                <w:sz w:val="8"/>
              </w:rPr>
              <w:t> </w:t>
            </w:r>
            <w:r>
              <w:rPr>
                <w:rFonts w:ascii="Arial Narrow" w:hAnsi="Arial Narrow"/>
                <w:spacing w:val="-5"/>
                <w:w w:val="155"/>
                <w:sz w:val="8"/>
              </w:rPr>
              <w:t>de</w:t>
            </w:r>
          </w:p>
          <w:p>
            <w:pPr>
              <w:pStyle w:val="TableParagraph"/>
              <w:spacing w:line="64" w:lineRule="exact" w:before="31"/>
              <w:ind w:left="22"/>
              <w:rPr>
                <w:rFonts w:ascii="Arial Narrow" w:hAnsi="Arial Narrow"/>
                <w:sz w:val="8"/>
              </w:rPr>
            </w:pPr>
            <w:r>
              <w:rPr>
                <w:rFonts w:ascii="Arial Narrow" w:hAnsi="Arial Narrow"/>
                <w:w w:val="155"/>
                <w:sz w:val="8"/>
              </w:rPr>
              <w:t>gestión</w:t>
            </w:r>
            <w:r>
              <w:rPr>
                <w:rFonts w:ascii="Arial Narrow" w:hAnsi="Arial Narrow"/>
                <w:spacing w:val="-1"/>
                <w:w w:val="155"/>
                <w:sz w:val="8"/>
              </w:rPr>
              <w:t> </w:t>
            </w:r>
            <w:r>
              <w:rPr>
                <w:rFonts w:ascii="Arial Narrow" w:hAnsi="Arial Narrow"/>
                <w:w w:val="155"/>
                <w:sz w:val="8"/>
              </w:rPr>
              <w:t>de</w:t>
            </w:r>
            <w:r>
              <w:rPr>
                <w:rFonts w:ascii="Arial Narrow" w:hAnsi="Arial Narrow"/>
                <w:spacing w:val="-1"/>
                <w:w w:val="155"/>
                <w:sz w:val="8"/>
              </w:rPr>
              <w:t> </w:t>
            </w:r>
            <w:r>
              <w:rPr>
                <w:rFonts w:ascii="Arial Narrow" w:hAnsi="Arial Narrow"/>
                <w:w w:val="155"/>
                <w:sz w:val="8"/>
              </w:rPr>
              <w:t>los</w:t>
            </w:r>
            <w:r>
              <w:rPr>
                <w:rFonts w:ascii="Arial Narrow" w:hAnsi="Arial Narrow"/>
                <w:spacing w:val="-3"/>
                <w:w w:val="155"/>
                <w:sz w:val="8"/>
              </w:rPr>
              <w:t> </w:t>
            </w:r>
            <w:r>
              <w:rPr>
                <w:rFonts w:ascii="Arial Narrow" w:hAnsi="Arial Narrow"/>
                <w:spacing w:val="-2"/>
                <w:w w:val="155"/>
                <w:sz w:val="8"/>
              </w:rPr>
              <w:t>funcionarios</w:t>
            </w:r>
          </w:p>
        </w:tc>
        <w:tc>
          <w:tcPr>
            <w:tcW w:w="466" w:type="dxa"/>
            <w:tcBorders>
              <w:left w:val="single" w:sz="8" w:space="0" w:color="000000"/>
              <w:right w:val="single" w:sz="8" w:space="0" w:color="000000"/>
            </w:tcBorders>
          </w:tcPr>
          <w:p>
            <w:pPr>
              <w:pStyle w:val="TableParagraph"/>
              <w:spacing w:before="63"/>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3"/>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3"/>
              <w:ind w:right="34"/>
              <w:jc w:val="right"/>
              <w:rPr>
                <w:rFonts w:ascii="Arial Narrow"/>
                <w:sz w:val="8"/>
              </w:rPr>
            </w:pPr>
            <w:r>
              <w:rPr>
                <w:rFonts w:ascii="Arial Narrow"/>
                <w:w w:val="155"/>
                <w:sz w:val="8"/>
              </w:rPr>
              <w:t>29</w:t>
            </w:r>
            <w:r>
              <w:rPr>
                <w:rFonts w:ascii="Arial Narrow"/>
                <w:spacing w:val="-1"/>
                <w:w w:val="155"/>
                <w:sz w:val="8"/>
              </w:rPr>
              <w:t> </w:t>
            </w:r>
            <w:r>
              <w:rPr>
                <w:rFonts w:ascii="Arial Narrow"/>
                <w:w w:val="155"/>
                <w:sz w:val="8"/>
              </w:rPr>
              <w:t>520</w:t>
            </w:r>
            <w:r>
              <w:rPr>
                <w:rFonts w:ascii="Arial Narrow"/>
                <w:spacing w:val="-1"/>
                <w:w w:val="155"/>
                <w:sz w:val="8"/>
              </w:rPr>
              <w:t> </w:t>
            </w:r>
            <w:r>
              <w:rPr>
                <w:rFonts w:ascii="Arial Narrow"/>
                <w:spacing w:val="-2"/>
                <w:w w:val="155"/>
                <w:sz w:val="8"/>
              </w:rPr>
              <w:t>000,00</w:t>
            </w:r>
          </w:p>
        </w:tc>
      </w:tr>
      <w:tr>
        <w:trPr>
          <w:trHeight w:val="210"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17</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21"/>
              <w:rPr>
                <w:rFonts w:ascii="Arial"/>
                <w:b/>
                <w:sz w:val="8"/>
              </w:rPr>
            </w:pPr>
          </w:p>
          <w:p>
            <w:pPr>
              <w:pStyle w:val="TableParagraph"/>
              <w:spacing w:line="77" w:lineRule="exact"/>
              <w:ind w:left="22"/>
              <w:rPr>
                <w:rFonts w:ascii="Calibri" w:hAnsi="Calibri"/>
                <w:sz w:val="8"/>
              </w:rPr>
            </w:pPr>
            <w:r>
              <w:rPr>
                <w:rFonts w:ascii="Calibri" w:hAnsi="Calibri"/>
                <w:spacing w:val="-2"/>
                <w:w w:val="150"/>
                <w:sz w:val="8"/>
              </w:rPr>
              <w:t>SISTEMA</w:t>
            </w:r>
            <w:r>
              <w:rPr>
                <w:rFonts w:ascii="Calibri" w:hAnsi="Calibri"/>
                <w:spacing w:val="17"/>
                <w:w w:val="150"/>
                <w:sz w:val="8"/>
              </w:rPr>
              <w:t> </w:t>
            </w:r>
            <w:r>
              <w:rPr>
                <w:rFonts w:ascii="Calibri" w:hAnsi="Calibri"/>
                <w:spacing w:val="-2"/>
                <w:w w:val="150"/>
                <w:sz w:val="8"/>
              </w:rPr>
              <w:t>CIUDADANÍA</w:t>
            </w:r>
            <w:r>
              <w:rPr>
                <w:rFonts w:ascii="Calibri" w:hAnsi="Calibri"/>
                <w:spacing w:val="17"/>
                <w:w w:val="150"/>
                <w:sz w:val="8"/>
              </w:rPr>
              <w:t> </w:t>
            </w:r>
            <w:r>
              <w:rPr>
                <w:rFonts w:ascii="Calibri" w:hAnsi="Calibri"/>
                <w:spacing w:val="-2"/>
                <w:w w:val="150"/>
                <w:sz w:val="8"/>
              </w:rPr>
              <w:t>DIGITAL-SINIRUBE</w:t>
            </w:r>
          </w:p>
        </w:tc>
        <w:tc>
          <w:tcPr>
            <w:tcW w:w="2885" w:type="dxa"/>
            <w:tcBorders>
              <w:left w:val="single" w:sz="8" w:space="0" w:color="000000"/>
              <w:right w:val="single" w:sz="8" w:space="0" w:color="000000"/>
            </w:tcBorders>
          </w:tcPr>
          <w:p>
            <w:pPr>
              <w:pStyle w:val="TableParagraph"/>
              <w:spacing w:before="64"/>
              <w:ind w:left="22"/>
              <w:rPr>
                <w:rFonts w:ascii="Arial Narrow" w:hAnsi="Arial Narrow"/>
                <w:sz w:val="8"/>
              </w:rPr>
            </w:pPr>
            <w:r>
              <w:rPr>
                <w:rFonts w:ascii="Arial Narrow" w:hAnsi="Arial Narrow"/>
                <w:spacing w:val="-2"/>
                <w:w w:val="155"/>
                <w:sz w:val="8"/>
              </w:rPr>
              <w:t>SIST</w:t>
            </w:r>
            <w:r>
              <w:rPr>
                <w:rFonts w:ascii="Arial Narrow" w:hAnsi="Arial Narrow"/>
                <w:spacing w:val="-16"/>
                <w:w w:val="155"/>
                <w:sz w:val="8"/>
              </w:rPr>
              <w:t> </w:t>
            </w:r>
            <w:r>
              <w:rPr>
                <w:rFonts w:ascii="Arial Narrow" w:hAnsi="Arial Narrow"/>
                <w:spacing w:val="-2"/>
                <w:w w:val="155"/>
                <w:sz w:val="8"/>
              </w:rPr>
              <w:t>EMA</w:t>
            </w:r>
            <w:r>
              <w:rPr>
                <w:rFonts w:ascii="Arial Narrow" w:hAnsi="Arial Narrow"/>
                <w:spacing w:val="-11"/>
                <w:w w:val="155"/>
                <w:sz w:val="8"/>
              </w:rPr>
              <w:t> </w:t>
            </w:r>
            <w:r>
              <w:rPr>
                <w:rFonts w:ascii="Arial Narrow" w:hAnsi="Arial Narrow"/>
                <w:spacing w:val="-2"/>
                <w:w w:val="155"/>
                <w:sz w:val="8"/>
              </w:rPr>
              <w:t>CIUDADANÍA</w:t>
            </w:r>
            <w:r>
              <w:rPr>
                <w:rFonts w:ascii="Arial Narrow" w:hAnsi="Arial Narrow"/>
                <w:spacing w:val="-12"/>
                <w:w w:val="155"/>
                <w:sz w:val="8"/>
              </w:rPr>
              <w:t> </w:t>
            </w:r>
            <w:r>
              <w:rPr>
                <w:rFonts w:ascii="Arial Narrow" w:hAnsi="Arial Narrow"/>
                <w:spacing w:val="-2"/>
                <w:w w:val="155"/>
                <w:sz w:val="8"/>
              </w:rPr>
              <w:t>DIGIT</w:t>
            </w:r>
            <w:r>
              <w:rPr>
                <w:rFonts w:ascii="Arial Narrow" w:hAnsi="Arial Narrow"/>
                <w:spacing w:val="-15"/>
                <w:w w:val="155"/>
                <w:sz w:val="8"/>
              </w:rPr>
              <w:t> </w:t>
            </w:r>
            <w:r>
              <w:rPr>
                <w:rFonts w:ascii="Arial Narrow" w:hAnsi="Arial Narrow"/>
                <w:spacing w:val="-2"/>
                <w:w w:val="155"/>
                <w:sz w:val="8"/>
              </w:rPr>
              <w:t>AL-SINIRUBE</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Indefinida</w:t>
            </w:r>
          </w:p>
        </w:tc>
        <w:tc>
          <w:tcPr>
            <w:tcW w:w="882" w:type="dxa"/>
            <w:tcBorders>
              <w:left w:val="single" w:sz="8" w:space="0" w:color="000000"/>
              <w:right w:val="single" w:sz="8" w:space="0" w:color="000000"/>
            </w:tcBorders>
          </w:tcPr>
          <w:p>
            <w:pPr>
              <w:pStyle w:val="TableParagraph"/>
              <w:spacing w:before="64"/>
              <w:ind w:right="34"/>
              <w:jc w:val="right"/>
              <w:rPr>
                <w:rFonts w:ascii="Arial Narrow"/>
                <w:sz w:val="8"/>
              </w:rPr>
            </w:pPr>
            <w:r>
              <w:rPr>
                <w:rFonts w:ascii="Arial Narrow"/>
                <w:w w:val="155"/>
                <w:sz w:val="8"/>
              </w:rPr>
              <w:t>57</w:t>
            </w:r>
            <w:r>
              <w:rPr>
                <w:rFonts w:ascii="Arial Narrow"/>
                <w:spacing w:val="-1"/>
                <w:w w:val="155"/>
                <w:sz w:val="8"/>
              </w:rPr>
              <w:t> </w:t>
            </w:r>
            <w:r>
              <w:rPr>
                <w:rFonts w:ascii="Arial Narrow"/>
                <w:w w:val="155"/>
                <w:sz w:val="8"/>
              </w:rPr>
              <w:t>971</w:t>
            </w:r>
            <w:r>
              <w:rPr>
                <w:rFonts w:ascii="Arial Narrow"/>
                <w:spacing w:val="-1"/>
                <w:w w:val="155"/>
                <w:sz w:val="8"/>
              </w:rPr>
              <w:t> </w:t>
            </w:r>
            <w:r>
              <w:rPr>
                <w:rFonts w:ascii="Arial Narrow"/>
                <w:spacing w:val="-2"/>
                <w:w w:val="155"/>
                <w:sz w:val="8"/>
              </w:rPr>
              <w:t>824,63</w:t>
            </w:r>
          </w:p>
        </w:tc>
      </w:tr>
      <w:tr>
        <w:trPr>
          <w:trHeight w:val="209" w:hRule="atLeast"/>
        </w:trPr>
        <w:tc>
          <w:tcPr>
            <w:tcW w:w="395" w:type="dxa"/>
            <w:tcBorders>
              <w:left w:val="single" w:sz="4" w:space="0" w:color="000000"/>
              <w:right w:val="single" w:sz="8" w:space="0" w:color="000000"/>
            </w:tcBorders>
          </w:tcPr>
          <w:p>
            <w:pPr>
              <w:pStyle w:val="TableParagraph"/>
              <w:spacing w:before="62"/>
              <w:ind w:left="24"/>
              <w:rPr>
                <w:rFonts w:ascii="Calibri"/>
                <w:b/>
                <w:sz w:val="8"/>
              </w:rPr>
            </w:pPr>
            <w:r>
              <w:rPr>
                <w:rFonts w:ascii="Calibri"/>
                <w:b/>
                <w:spacing w:val="-5"/>
                <w:w w:val="155"/>
                <w:sz w:val="8"/>
              </w:rPr>
              <w:t>18</w:t>
            </w:r>
          </w:p>
        </w:tc>
        <w:tc>
          <w:tcPr>
            <w:tcW w:w="1139" w:type="dxa"/>
            <w:tcBorders>
              <w:left w:val="single" w:sz="8" w:space="0" w:color="000000"/>
              <w:right w:val="single" w:sz="8" w:space="0" w:color="000000"/>
            </w:tcBorders>
          </w:tcPr>
          <w:p>
            <w:pPr>
              <w:pStyle w:val="TableParagraph"/>
              <w:spacing w:before="64"/>
              <w:ind w:left="19" w:right="91"/>
              <w:jc w:val="center"/>
              <w:rPr>
                <w:rFonts w:ascii="Arial Narrow"/>
                <w:sz w:val="8"/>
              </w:rPr>
            </w:pPr>
            <w:r>
              <w:rPr>
                <w:rFonts w:ascii="Arial Narrow"/>
                <w:spacing w:val="-2"/>
                <w:w w:val="155"/>
                <w:sz w:val="8"/>
              </w:rPr>
              <w:t>Software</w:t>
            </w:r>
            <w:r>
              <w:rPr>
                <w:rFonts w:ascii="Arial Narrow"/>
                <w:spacing w:val="4"/>
                <w:w w:val="155"/>
                <w:sz w:val="8"/>
              </w:rPr>
              <w:t> </w:t>
            </w:r>
            <w:r>
              <w:rPr>
                <w:rFonts w:ascii="Arial Narrow"/>
                <w:spacing w:val="-2"/>
                <w:w w:val="155"/>
                <w:sz w:val="8"/>
              </w:rPr>
              <w:t>y</w:t>
            </w:r>
            <w:r>
              <w:rPr>
                <w:rFonts w:ascii="Arial Narrow"/>
                <w:spacing w:val="-9"/>
                <w:w w:val="155"/>
                <w:sz w:val="8"/>
              </w:rPr>
              <w:t> </w:t>
            </w:r>
            <w:r>
              <w:rPr>
                <w:rFonts w:ascii="Arial Narrow"/>
                <w:spacing w:val="-2"/>
                <w:w w:val="155"/>
                <w:sz w:val="8"/>
              </w:rPr>
              <w:t>Programas</w:t>
            </w:r>
          </w:p>
        </w:tc>
        <w:tc>
          <w:tcPr>
            <w:tcW w:w="2137" w:type="dxa"/>
            <w:tcBorders>
              <w:left w:val="single" w:sz="8" w:space="0" w:color="000000"/>
              <w:right w:val="single" w:sz="8" w:space="0" w:color="000000"/>
            </w:tcBorders>
          </w:tcPr>
          <w:p>
            <w:pPr>
              <w:pStyle w:val="TableParagraph"/>
              <w:spacing w:before="62"/>
              <w:ind w:left="22"/>
              <w:rPr>
                <w:rFonts w:ascii="Calibri"/>
                <w:sz w:val="8"/>
              </w:rPr>
            </w:pPr>
            <w:r>
              <w:rPr>
                <w:rFonts w:ascii="Calibri"/>
                <w:spacing w:val="-2"/>
                <w:w w:val="150"/>
                <w:sz w:val="8"/>
              </w:rPr>
              <w:t>BAREMO</w:t>
            </w:r>
          </w:p>
        </w:tc>
        <w:tc>
          <w:tcPr>
            <w:tcW w:w="2885" w:type="dxa"/>
            <w:tcBorders>
              <w:left w:val="single" w:sz="8" w:space="0" w:color="000000"/>
              <w:right w:val="single" w:sz="8" w:space="0" w:color="000000"/>
            </w:tcBorders>
          </w:tcPr>
          <w:p>
            <w:pPr>
              <w:pStyle w:val="TableParagraph"/>
              <w:spacing w:before="64"/>
              <w:ind w:left="22"/>
              <w:rPr>
                <w:rFonts w:ascii="Arial Narrow"/>
                <w:sz w:val="8"/>
              </w:rPr>
            </w:pPr>
            <w:r>
              <w:rPr>
                <w:rFonts w:ascii="Arial Narrow"/>
                <w:spacing w:val="-2"/>
                <w:w w:val="155"/>
                <w:sz w:val="8"/>
              </w:rPr>
              <w:t>BAREMO</w:t>
            </w:r>
          </w:p>
        </w:tc>
        <w:tc>
          <w:tcPr>
            <w:tcW w:w="466" w:type="dxa"/>
            <w:tcBorders>
              <w:left w:val="single" w:sz="8" w:space="0" w:color="000000"/>
              <w:right w:val="single" w:sz="8" w:space="0" w:color="000000"/>
            </w:tcBorders>
          </w:tcPr>
          <w:p>
            <w:pPr>
              <w:pStyle w:val="TableParagraph"/>
              <w:spacing w:before="64"/>
              <w:ind w:left="12"/>
              <w:jc w:val="center"/>
              <w:rPr>
                <w:rFonts w:ascii="Arial Narrow"/>
                <w:sz w:val="8"/>
              </w:rPr>
            </w:pPr>
            <w:r>
              <w:rPr>
                <w:rFonts w:ascii="Arial Narrow"/>
                <w:spacing w:val="-5"/>
                <w:w w:val="155"/>
                <w:sz w:val="8"/>
              </w:rPr>
              <w:t>Uso</w:t>
            </w:r>
          </w:p>
        </w:tc>
        <w:tc>
          <w:tcPr>
            <w:tcW w:w="599" w:type="dxa"/>
            <w:tcBorders>
              <w:left w:val="single" w:sz="8" w:space="0" w:color="000000"/>
              <w:right w:val="single" w:sz="8" w:space="0" w:color="000000"/>
            </w:tcBorders>
          </w:tcPr>
          <w:p>
            <w:pPr>
              <w:pStyle w:val="TableParagraph"/>
              <w:spacing w:before="64"/>
              <w:ind w:left="16" w:right="5"/>
              <w:jc w:val="center"/>
              <w:rPr>
                <w:rFonts w:ascii="Arial Narrow"/>
                <w:sz w:val="8"/>
              </w:rPr>
            </w:pPr>
            <w:r>
              <w:rPr>
                <w:rFonts w:ascii="Arial Narrow"/>
                <w:spacing w:val="-2"/>
                <w:w w:val="155"/>
                <w:sz w:val="8"/>
              </w:rPr>
              <w:t>Definida</w:t>
            </w:r>
          </w:p>
        </w:tc>
        <w:tc>
          <w:tcPr>
            <w:tcW w:w="882" w:type="dxa"/>
            <w:tcBorders>
              <w:left w:val="single" w:sz="8" w:space="0" w:color="000000"/>
              <w:right w:val="single" w:sz="8" w:space="0" w:color="000000"/>
            </w:tcBorders>
          </w:tcPr>
          <w:p>
            <w:pPr>
              <w:pStyle w:val="TableParagraph"/>
              <w:spacing w:before="64"/>
              <w:ind w:right="34"/>
              <w:jc w:val="right"/>
              <w:rPr>
                <w:rFonts w:ascii="Arial Narrow"/>
                <w:sz w:val="8"/>
              </w:rPr>
            </w:pPr>
            <w:r>
              <w:rPr>
                <w:rFonts w:ascii="Arial Narrow"/>
                <w:w w:val="155"/>
                <w:sz w:val="8"/>
              </w:rPr>
              <w:t>71</w:t>
            </w:r>
            <w:r>
              <w:rPr>
                <w:rFonts w:ascii="Arial Narrow"/>
                <w:spacing w:val="-1"/>
                <w:w w:val="155"/>
                <w:sz w:val="8"/>
              </w:rPr>
              <w:t> </w:t>
            </w:r>
            <w:r>
              <w:rPr>
                <w:rFonts w:ascii="Arial Narrow"/>
                <w:w w:val="155"/>
                <w:sz w:val="8"/>
              </w:rPr>
              <w:t>683</w:t>
            </w:r>
            <w:r>
              <w:rPr>
                <w:rFonts w:ascii="Arial Narrow"/>
                <w:spacing w:val="-1"/>
                <w:w w:val="155"/>
                <w:sz w:val="8"/>
              </w:rPr>
              <w:t> </w:t>
            </w:r>
            <w:r>
              <w:rPr>
                <w:rFonts w:ascii="Arial Narrow"/>
                <w:spacing w:val="-2"/>
                <w:w w:val="155"/>
                <w:sz w:val="8"/>
              </w:rPr>
              <w:t>814,15</w:t>
            </w:r>
          </w:p>
        </w:tc>
      </w:tr>
      <w:tr>
        <w:trPr>
          <w:trHeight w:val="210" w:hRule="atLeast"/>
        </w:trPr>
        <w:tc>
          <w:tcPr>
            <w:tcW w:w="395" w:type="dxa"/>
            <w:tcBorders>
              <w:left w:val="single" w:sz="4" w:space="0" w:color="000000"/>
              <w:right w:val="single" w:sz="8" w:space="0" w:color="000000"/>
            </w:tcBorders>
          </w:tcPr>
          <w:p>
            <w:pPr>
              <w:pStyle w:val="TableParagraph"/>
              <w:rPr>
                <w:rFonts w:ascii="Times New Roman"/>
                <w:sz w:val="14"/>
              </w:rPr>
            </w:pPr>
          </w:p>
        </w:tc>
        <w:tc>
          <w:tcPr>
            <w:tcW w:w="1139" w:type="dxa"/>
            <w:tcBorders>
              <w:left w:val="single" w:sz="8" w:space="0" w:color="000000"/>
              <w:right w:val="single" w:sz="8" w:space="0" w:color="000000"/>
            </w:tcBorders>
          </w:tcPr>
          <w:p>
            <w:pPr>
              <w:pStyle w:val="TableParagraph"/>
              <w:rPr>
                <w:rFonts w:ascii="Times New Roman"/>
                <w:sz w:val="14"/>
              </w:rPr>
            </w:pPr>
          </w:p>
        </w:tc>
        <w:tc>
          <w:tcPr>
            <w:tcW w:w="2137" w:type="dxa"/>
            <w:tcBorders>
              <w:left w:val="single" w:sz="8" w:space="0" w:color="000000"/>
              <w:right w:val="single" w:sz="8" w:space="0" w:color="000000"/>
            </w:tcBorders>
          </w:tcPr>
          <w:p>
            <w:pPr>
              <w:pStyle w:val="TableParagraph"/>
              <w:rPr>
                <w:rFonts w:ascii="Times New Roman"/>
                <w:sz w:val="14"/>
              </w:rPr>
            </w:pPr>
          </w:p>
        </w:tc>
        <w:tc>
          <w:tcPr>
            <w:tcW w:w="2885" w:type="dxa"/>
            <w:tcBorders>
              <w:left w:val="single" w:sz="8" w:space="0" w:color="000000"/>
              <w:right w:val="single" w:sz="8" w:space="0" w:color="000000"/>
            </w:tcBorders>
          </w:tcPr>
          <w:p>
            <w:pPr>
              <w:pStyle w:val="TableParagraph"/>
              <w:spacing w:before="62"/>
              <w:ind w:left="22"/>
              <w:rPr>
                <w:rFonts w:ascii="Calibri"/>
                <w:b/>
                <w:sz w:val="8"/>
              </w:rPr>
            </w:pPr>
            <w:r>
              <w:rPr>
                <w:rFonts w:ascii="Calibri"/>
                <w:b/>
                <w:spacing w:val="-2"/>
                <w:w w:val="150"/>
                <w:sz w:val="8"/>
              </w:rPr>
              <w:t>TOTAL</w:t>
            </w:r>
          </w:p>
        </w:tc>
        <w:tc>
          <w:tcPr>
            <w:tcW w:w="466" w:type="dxa"/>
            <w:tcBorders>
              <w:left w:val="single" w:sz="8" w:space="0" w:color="000000"/>
              <w:right w:val="single" w:sz="8" w:space="0" w:color="000000"/>
            </w:tcBorders>
          </w:tcPr>
          <w:p>
            <w:pPr>
              <w:pStyle w:val="TableParagraph"/>
              <w:rPr>
                <w:rFonts w:ascii="Times New Roman"/>
                <w:sz w:val="14"/>
              </w:rPr>
            </w:pPr>
          </w:p>
        </w:tc>
        <w:tc>
          <w:tcPr>
            <w:tcW w:w="599" w:type="dxa"/>
            <w:tcBorders>
              <w:left w:val="single" w:sz="8" w:space="0" w:color="000000"/>
              <w:right w:val="single" w:sz="8" w:space="0" w:color="000000"/>
            </w:tcBorders>
          </w:tcPr>
          <w:p>
            <w:pPr>
              <w:pStyle w:val="TableParagraph"/>
              <w:rPr>
                <w:rFonts w:ascii="Times New Roman"/>
                <w:sz w:val="14"/>
              </w:rPr>
            </w:pPr>
          </w:p>
        </w:tc>
        <w:tc>
          <w:tcPr>
            <w:tcW w:w="882" w:type="dxa"/>
            <w:tcBorders>
              <w:left w:val="single" w:sz="8" w:space="0" w:color="000000"/>
              <w:right w:val="single" w:sz="8" w:space="0" w:color="000000"/>
            </w:tcBorders>
          </w:tcPr>
          <w:p>
            <w:pPr>
              <w:pStyle w:val="TableParagraph"/>
              <w:spacing w:before="62"/>
              <w:ind w:right="35"/>
              <w:jc w:val="right"/>
              <w:rPr>
                <w:rFonts w:ascii="Calibri"/>
                <w:b/>
                <w:sz w:val="8"/>
              </w:rPr>
            </w:pPr>
            <w:r>
              <w:rPr>
                <w:rFonts w:ascii="Calibri"/>
                <w:b/>
                <w:spacing w:val="-4"/>
                <w:w w:val="155"/>
                <w:sz w:val="8"/>
              </w:rPr>
              <w:t>307</w:t>
            </w:r>
            <w:r>
              <w:rPr>
                <w:rFonts w:ascii="Calibri"/>
                <w:b/>
                <w:spacing w:val="-8"/>
                <w:w w:val="155"/>
                <w:sz w:val="8"/>
              </w:rPr>
              <w:t> </w:t>
            </w:r>
            <w:r>
              <w:rPr>
                <w:rFonts w:ascii="Calibri"/>
                <w:b/>
                <w:spacing w:val="-4"/>
                <w:w w:val="155"/>
                <w:sz w:val="8"/>
              </w:rPr>
              <w:t>283</w:t>
            </w:r>
            <w:r>
              <w:rPr>
                <w:rFonts w:ascii="Calibri"/>
                <w:b/>
                <w:spacing w:val="-8"/>
                <w:w w:val="155"/>
                <w:sz w:val="8"/>
              </w:rPr>
              <w:t> </w:t>
            </w:r>
            <w:r>
              <w:rPr>
                <w:rFonts w:ascii="Calibri"/>
                <w:b/>
                <w:spacing w:val="-4"/>
                <w:w w:val="155"/>
                <w:sz w:val="8"/>
              </w:rPr>
              <w:t>289,63</w:t>
            </w:r>
          </w:p>
        </w:tc>
      </w:tr>
    </w:tbl>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BodyText"/>
        <w:rPr>
          <w:rFonts w:ascii="Arial"/>
          <w:b/>
          <w:sz w:val="8"/>
        </w:rPr>
      </w:pPr>
    </w:p>
    <w:p>
      <w:pPr>
        <w:pStyle w:val="ListParagraph"/>
        <w:numPr>
          <w:ilvl w:val="0"/>
          <w:numId w:val="87"/>
        </w:numPr>
        <w:tabs>
          <w:tab w:pos="1450" w:val="left" w:leader="none"/>
        </w:tabs>
        <w:spacing w:line="259" w:lineRule="auto" w:before="0" w:after="0"/>
        <w:ind w:left="1450" w:right="158" w:hanging="360"/>
        <w:jc w:val="left"/>
        <w:rPr>
          <w:sz w:val="22"/>
        </w:rPr>
      </w:pPr>
      <w:r>
        <w:rPr>
          <w:sz w:val="22"/>
        </w:rPr>
        <w:t>Los siguientes activos intangibles fueron adquiridos a través de una transacción sin contraprestación y que se han reconocido por su valor razonable:</w:t>
      </w:r>
    </w:p>
    <w:p>
      <w:pPr>
        <w:pStyle w:val="BodyText"/>
        <w:spacing w:before="8"/>
        <w:rPr>
          <w:sz w:val="15"/>
        </w:rPr>
      </w:pPr>
    </w:p>
    <w:tbl>
      <w:tblPr>
        <w:tblW w:w="0" w:type="auto"/>
        <w:jc w:val="left"/>
        <w:tblInd w:w="1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0"/>
        <w:gridCol w:w="649"/>
        <w:gridCol w:w="2233"/>
        <w:gridCol w:w="893"/>
        <w:gridCol w:w="834"/>
        <w:gridCol w:w="918"/>
        <w:gridCol w:w="960"/>
        <w:gridCol w:w="572"/>
        <w:gridCol w:w="564"/>
      </w:tblGrid>
      <w:tr>
        <w:trPr>
          <w:trHeight w:val="293" w:hRule="atLeast"/>
        </w:trPr>
        <w:tc>
          <w:tcPr>
            <w:tcW w:w="8293" w:type="dxa"/>
            <w:gridSpan w:val="9"/>
            <w:tcBorders>
              <w:left w:val="nil"/>
            </w:tcBorders>
          </w:tcPr>
          <w:p>
            <w:pPr>
              <w:pStyle w:val="TableParagraph"/>
              <w:spacing w:before="74"/>
              <w:ind w:left="2766"/>
              <w:rPr>
                <w:rFonts w:ascii="Arial Narrow" w:hAnsi="Arial Narrow"/>
                <w:b/>
                <w:sz w:val="13"/>
              </w:rPr>
            </w:pPr>
            <w:r>
              <w:rPr>
                <w:rFonts w:ascii="Arial Narrow" w:hAnsi="Arial Narrow"/>
                <w:b/>
                <w:sz w:val="13"/>
              </w:rPr>
              <mc:AlternateContent>
                <mc:Choice Requires="wps">
                  <w:drawing>
                    <wp:anchor distT="0" distB="0" distL="0" distR="0" allowOverlap="1" layoutInCell="1" locked="0" behindDoc="0" simplePos="0" relativeHeight="15938560">
                      <wp:simplePos x="0" y="0"/>
                      <wp:positionH relativeFrom="column">
                        <wp:posOffset>2672</wp:posOffset>
                      </wp:positionH>
                      <wp:positionV relativeFrom="paragraph">
                        <wp:posOffset>4109</wp:posOffset>
                      </wp:positionV>
                      <wp:extent cx="1357630" cy="170180"/>
                      <wp:effectExtent l="0" t="0" r="0" b="0"/>
                      <wp:wrapNone/>
                      <wp:docPr id="1049" name="Group 1049"/>
                      <wp:cNvGraphicFramePr>
                        <a:graphicFrameLocks/>
                      </wp:cNvGraphicFramePr>
                      <a:graphic>
                        <a:graphicData uri="http://schemas.microsoft.com/office/word/2010/wordprocessingGroup">
                          <wpg:wgp>
                            <wpg:cNvPr id="1049" name="Group 1049"/>
                            <wpg:cNvGrpSpPr/>
                            <wpg:grpSpPr>
                              <a:xfrm>
                                <a:off x="0" y="0"/>
                                <a:ext cx="1357630" cy="170180"/>
                                <a:chExt cx="1357630" cy="170180"/>
                              </a:xfrm>
                            </wpg:grpSpPr>
                            <pic:pic>
                              <pic:nvPicPr>
                                <pic:cNvPr id="1050" name="Image 1050"/>
                                <pic:cNvPicPr/>
                              </pic:nvPicPr>
                              <pic:blipFill>
                                <a:blip r:embed="rId108" cstate="print"/>
                                <a:stretch>
                                  <a:fillRect/>
                                </a:stretch>
                              </pic:blipFill>
                              <pic:spPr>
                                <a:xfrm>
                                  <a:off x="0" y="0"/>
                                  <a:ext cx="1357479" cy="170138"/>
                                </a:xfrm>
                                <a:prstGeom prst="rect">
                                  <a:avLst/>
                                </a:prstGeom>
                              </pic:spPr>
                            </pic:pic>
                          </wpg:wgp>
                        </a:graphicData>
                      </a:graphic>
                    </wp:anchor>
                  </w:drawing>
                </mc:Choice>
                <mc:Fallback>
                  <w:pict>
                    <v:group style="position:absolute;margin-left:.210401pt;margin-top:.32356pt;width:106.9pt;height:13.4pt;mso-position-horizontal-relative:column;mso-position-vertical-relative:paragraph;z-index:15938560" id="docshapegroup996" coordorigin="4,6" coordsize="2138,268">
                      <v:shape style="position:absolute;left:4;top:6;width:2138;height:268" type="#_x0000_t75" id="docshape997" stroked="false">
                        <v:imagedata r:id="rId108" o:title=""/>
                      </v:shape>
                      <w10:wrap type="none"/>
                    </v:group>
                  </w:pict>
                </mc:Fallback>
              </mc:AlternateContent>
            </w:r>
            <w:r>
              <w:rPr>
                <w:rFonts w:ascii="Arial Narrow" w:hAnsi="Arial Narrow"/>
                <w:b/>
                <w:spacing w:val="-2"/>
                <w:sz w:val="13"/>
              </w:rPr>
              <w:t>ACTIVOS</w:t>
            </w:r>
            <w:r>
              <w:rPr>
                <w:rFonts w:ascii="Arial Narrow" w:hAnsi="Arial Narrow"/>
                <w:b/>
                <w:spacing w:val="-3"/>
                <w:sz w:val="13"/>
              </w:rPr>
              <w:t> </w:t>
            </w:r>
            <w:r>
              <w:rPr>
                <w:rFonts w:ascii="Arial Narrow" w:hAnsi="Arial Narrow"/>
                <w:b/>
                <w:spacing w:val="-2"/>
                <w:sz w:val="13"/>
              </w:rPr>
              <w:t>INTANGIBLES ADQUIRIDOS POR</w:t>
            </w:r>
            <w:r>
              <w:rPr>
                <w:rFonts w:ascii="Arial Narrow" w:hAnsi="Arial Narrow"/>
                <w:b/>
                <w:spacing w:val="1"/>
                <w:sz w:val="13"/>
              </w:rPr>
              <w:t> </w:t>
            </w:r>
            <w:r>
              <w:rPr>
                <w:rFonts w:ascii="Arial Narrow" w:hAnsi="Arial Narrow"/>
                <w:b/>
                <w:spacing w:val="-2"/>
                <w:sz w:val="13"/>
              </w:rPr>
              <w:t>TRANSACCIONES SIN</w:t>
            </w:r>
            <w:r>
              <w:rPr>
                <w:rFonts w:ascii="Arial Narrow" w:hAnsi="Arial Narrow"/>
                <w:b/>
                <w:spacing w:val="1"/>
                <w:sz w:val="13"/>
              </w:rPr>
              <w:t> </w:t>
            </w:r>
            <w:r>
              <w:rPr>
                <w:rFonts w:ascii="Arial Narrow" w:hAnsi="Arial Narrow"/>
                <w:b/>
                <w:spacing w:val="-2"/>
                <w:sz w:val="13"/>
              </w:rPr>
              <w:t>CONTRAPRESTACIÓN</w:t>
            </w:r>
          </w:p>
        </w:tc>
      </w:tr>
      <w:tr>
        <w:trPr>
          <w:trHeight w:val="383" w:hRule="atLeast"/>
        </w:trPr>
        <w:tc>
          <w:tcPr>
            <w:tcW w:w="670" w:type="dxa"/>
            <w:tcBorders>
              <w:left w:val="nil"/>
            </w:tcBorders>
            <w:shd w:val="clear" w:color="auto" w:fill="1F3863"/>
          </w:tcPr>
          <w:p>
            <w:pPr>
              <w:pStyle w:val="TableParagraph"/>
              <w:spacing w:before="119"/>
              <w:ind w:left="88"/>
              <w:rPr>
                <w:rFonts w:ascii="Arial Narrow"/>
                <w:sz w:val="13"/>
              </w:rPr>
            </w:pPr>
            <w:r>
              <w:rPr>
                <w:rFonts w:ascii="Arial Narrow"/>
                <w:color w:val="FFFFFF"/>
                <w:spacing w:val="-2"/>
                <w:sz w:val="13"/>
              </w:rPr>
              <w:t>N.</w:t>
            </w:r>
            <w:r>
              <w:rPr>
                <w:rFonts w:ascii="Arial Narrow"/>
                <w:color w:val="FFFFFF"/>
                <w:spacing w:val="-9"/>
                <w:sz w:val="13"/>
              </w:rPr>
              <w:t> </w:t>
            </w:r>
            <w:r>
              <w:rPr>
                <w:rFonts w:ascii="Arial Narrow"/>
                <w:color w:val="FFFFFF"/>
                <w:spacing w:val="-2"/>
                <w:sz w:val="13"/>
              </w:rPr>
              <w:t>ACTIVO</w:t>
            </w:r>
          </w:p>
        </w:tc>
        <w:tc>
          <w:tcPr>
            <w:tcW w:w="649" w:type="dxa"/>
            <w:shd w:val="clear" w:color="auto" w:fill="1F3863"/>
          </w:tcPr>
          <w:p>
            <w:pPr>
              <w:pStyle w:val="TableParagraph"/>
              <w:spacing w:before="20"/>
              <w:ind w:left="149"/>
              <w:rPr>
                <w:rFonts w:ascii="Arial Narrow"/>
                <w:sz w:val="13"/>
              </w:rPr>
            </w:pPr>
            <w:r>
              <w:rPr>
                <w:rFonts w:ascii="Arial Narrow"/>
                <w:color w:val="FFFFFF"/>
                <w:spacing w:val="-2"/>
                <w:sz w:val="13"/>
              </w:rPr>
              <w:t>FECHA</w:t>
            </w:r>
          </w:p>
          <w:p>
            <w:pPr>
              <w:pStyle w:val="TableParagraph"/>
              <w:spacing w:line="146" w:lineRule="exact" w:before="48"/>
              <w:ind w:left="158"/>
              <w:rPr>
                <w:rFonts w:ascii="Arial Narrow"/>
                <w:sz w:val="13"/>
              </w:rPr>
            </w:pPr>
            <w:r>
              <w:rPr>
                <w:rFonts w:ascii="Arial Narrow"/>
                <w:color w:val="FFFFFF"/>
                <w:spacing w:val="-2"/>
                <w:sz w:val="13"/>
              </w:rPr>
              <w:t>CAPIT.</w:t>
            </w:r>
          </w:p>
        </w:tc>
        <w:tc>
          <w:tcPr>
            <w:tcW w:w="2233" w:type="dxa"/>
            <w:shd w:val="clear" w:color="auto" w:fill="1F3863"/>
          </w:tcPr>
          <w:p>
            <w:pPr>
              <w:pStyle w:val="TableParagraph"/>
              <w:spacing w:before="119"/>
              <w:ind w:left="554"/>
              <w:rPr>
                <w:rFonts w:ascii="Arial Narrow" w:hAnsi="Arial Narrow"/>
                <w:sz w:val="13"/>
              </w:rPr>
            </w:pPr>
            <w:r>
              <w:rPr>
                <w:rFonts w:ascii="Arial Narrow" w:hAnsi="Arial Narrow"/>
                <w:color w:val="FFFFFF"/>
                <w:spacing w:val="-4"/>
                <w:sz w:val="13"/>
              </w:rPr>
              <w:t>DESCRIPCIÓN</w:t>
            </w:r>
            <w:r>
              <w:rPr>
                <w:rFonts w:ascii="Arial Narrow" w:hAnsi="Arial Narrow"/>
                <w:color w:val="FFFFFF"/>
                <w:spacing w:val="3"/>
                <w:sz w:val="13"/>
              </w:rPr>
              <w:t> </w:t>
            </w:r>
            <w:r>
              <w:rPr>
                <w:rFonts w:ascii="Arial Narrow" w:hAnsi="Arial Narrow"/>
                <w:color w:val="FFFFFF"/>
                <w:spacing w:val="-2"/>
                <w:sz w:val="13"/>
              </w:rPr>
              <w:t>ACTIVO</w:t>
            </w:r>
          </w:p>
        </w:tc>
        <w:tc>
          <w:tcPr>
            <w:tcW w:w="893" w:type="dxa"/>
            <w:shd w:val="clear" w:color="auto" w:fill="1F3863"/>
          </w:tcPr>
          <w:p>
            <w:pPr>
              <w:pStyle w:val="TableParagraph"/>
              <w:spacing w:before="119"/>
              <w:ind w:left="13"/>
              <w:jc w:val="center"/>
              <w:rPr>
                <w:rFonts w:ascii="Arial Narrow" w:hAnsi="Arial Narrow"/>
                <w:sz w:val="13"/>
              </w:rPr>
            </w:pPr>
            <w:r>
              <w:rPr>
                <w:rFonts w:ascii="Arial Narrow" w:hAnsi="Arial Narrow"/>
                <w:color w:val="FFFFFF"/>
                <w:spacing w:val="-2"/>
                <w:sz w:val="13"/>
              </w:rPr>
              <w:t>DONACIÓN</w:t>
            </w:r>
          </w:p>
        </w:tc>
        <w:tc>
          <w:tcPr>
            <w:tcW w:w="834" w:type="dxa"/>
            <w:shd w:val="clear" w:color="auto" w:fill="1F3863"/>
          </w:tcPr>
          <w:p>
            <w:pPr>
              <w:pStyle w:val="TableParagraph"/>
              <w:spacing w:before="119"/>
              <w:ind w:left="157"/>
              <w:rPr>
                <w:rFonts w:ascii="Arial Narrow"/>
                <w:sz w:val="13"/>
              </w:rPr>
            </w:pPr>
            <w:r>
              <w:rPr>
                <w:rFonts w:ascii="Arial Narrow"/>
                <w:color w:val="FFFFFF"/>
                <w:spacing w:val="-2"/>
                <w:sz w:val="13"/>
              </w:rPr>
              <w:t>COMPRAS</w:t>
            </w:r>
          </w:p>
        </w:tc>
        <w:tc>
          <w:tcPr>
            <w:tcW w:w="918" w:type="dxa"/>
            <w:shd w:val="clear" w:color="auto" w:fill="1F3863"/>
          </w:tcPr>
          <w:p>
            <w:pPr>
              <w:pStyle w:val="TableParagraph"/>
              <w:spacing w:before="20"/>
              <w:ind w:left="28" w:right="6"/>
              <w:jc w:val="center"/>
              <w:rPr>
                <w:rFonts w:ascii="Arial Narrow"/>
                <w:sz w:val="13"/>
              </w:rPr>
            </w:pPr>
            <w:r>
              <w:rPr>
                <w:rFonts w:ascii="Arial Narrow"/>
                <w:color w:val="FFFFFF"/>
                <w:spacing w:val="-2"/>
                <w:sz w:val="13"/>
              </w:rPr>
              <w:t>VALOR</w:t>
            </w:r>
          </w:p>
          <w:p>
            <w:pPr>
              <w:pStyle w:val="TableParagraph"/>
              <w:spacing w:line="146" w:lineRule="exact" w:before="48"/>
              <w:ind w:left="28" w:right="6"/>
              <w:jc w:val="center"/>
              <w:rPr>
                <w:rFonts w:ascii="Arial Narrow" w:hAnsi="Arial Narrow"/>
                <w:sz w:val="13"/>
              </w:rPr>
            </w:pPr>
            <w:r>
              <w:rPr>
                <w:rFonts w:ascii="Arial Narrow" w:hAnsi="Arial Narrow"/>
                <w:color w:val="FFFFFF"/>
                <w:spacing w:val="-2"/>
                <w:sz w:val="13"/>
              </w:rPr>
              <w:t>ADQUISICIÓN</w:t>
            </w:r>
          </w:p>
        </w:tc>
        <w:tc>
          <w:tcPr>
            <w:tcW w:w="960" w:type="dxa"/>
            <w:shd w:val="clear" w:color="auto" w:fill="1F3863"/>
          </w:tcPr>
          <w:p>
            <w:pPr>
              <w:pStyle w:val="TableParagraph"/>
              <w:spacing w:before="20"/>
              <w:ind w:left="82"/>
              <w:rPr>
                <w:rFonts w:ascii="Arial Narrow"/>
                <w:sz w:val="13"/>
              </w:rPr>
            </w:pPr>
            <w:r>
              <w:rPr>
                <w:rFonts w:ascii="Arial Narrow"/>
                <w:color w:val="FFFFFF"/>
                <w:spacing w:val="-2"/>
                <w:sz w:val="13"/>
              </w:rPr>
              <w:t>AMORTIZACION</w:t>
            </w:r>
          </w:p>
          <w:p>
            <w:pPr>
              <w:pStyle w:val="TableParagraph"/>
              <w:spacing w:line="146" w:lineRule="exact" w:before="48"/>
              <w:ind w:left="166"/>
              <w:rPr>
                <w:rFonts w:ascii="Arial Narrow"/>
                <w:sz w:val="13"/>
              </w:rPr>
            </w:pPr>
            <w:r>
              <w:rPr>
                <w:rFonts w:ascii="Arial Narrow"/>
                <w:color w:val="FFFFFF"/>
                <w:spacing w:val="-2"/>
                <w:sz w:val="13"/>
              </w:rPr>
              <w:t>ACUMULADA</w:t>
            </w:r>
          </w:p>
        </w:tc>
        <w:tc>
          <w:tcPr>
            <w:tcW w:w="572" w:type="dxa"/>
            <w:shd w:val="clear" w:color="auto" w:fill="1F3863"/>
          </w:tcPr>
          <w:p>
            <w:pPr>
              <w:pStyle w:val="TableParagraph"/>
              <w:spacing w:before="119"/>
              <w:ind w:left="35"/>
              <w:jc w:val="center"/>
              <w:rPr>
                <w:rFonts w:ascii="Arial Narrow"/>
                <w:sz w:val="13"/>
              </w:rPr>
            </w:pPr>
            <w:r>
              <w:rPr>
                <w:rFonts w:ascii="Arial Narrow"/>
                <w:color w:val="FFFFFF"/>
                <w:spacing w:val="-2"/>
                <w:sz w:val="13"/>
              </w:rPr>
              <w:t>OFICINA</w:t>
            </w:r>
          </w:p>
        </w:tc>
        <w:tc>
          <w:tcPr>
            <w:tcW w:w="564" w:type="dxa"/>
            <w:shd w:val="clear" w:color="auto" w:fill="1F3863"/>
          </w:tcPr>
          <w:p>
            <w:pPr>
              <w:pStyle w:val="TableParagraph"/>
              <w:spacing w:before="119"/>
              <w:ind w:left="25" w:right="9"/>
              <w:jc w:val="center"/>
              <w:rPr>
                <w:rFonts w:ascii="Arial Narrow"/>
                <w:sz w:val="13"/>
              </w:rPr>
            </w:pPr>
            <w:r>
              <w:rPr>
                <w:rFonts w:ascii="Arial Narrow"/>
                <w:color w:val="FFFFFF"/>
                <w:spacing w:val="-7"/>
                <w:sz w:val="13"/>
              </w:rPr>
              <w:t>VIDA</w:t>
            </w:r>
            <w:r>
              <w:rPr>
                <w:rFonts w:ascii="Arial Narrow"/>
                <w:color w:val="FFFFFF"/>
                <w:spacing w:val="-10"/>
                <w:sz w:val="13"/>
              </w:rPr>
              <w:t> </w:t>
            </w:r>
            <w:r>
              <w:rPr>
                <w:rFonts w:ascii="Arial Narrow"/>
                <w:color w:val="FFFFFF"/>
                <w:spacing w:val="-4"/>
                <w:sz w:val="13"/>
              </w:rPr>
              <w:t>UTIL</w:t>
            </w:r>
          </w:p>
        </w:tc>
      </w:tr>
      <w:tr>
        <w:trPr>
          <w:trHeight w:val="428" w:hRule="atLeast"/>
        </w:trPr>
        <w:tc>
          <w:tcPr>
            <w:tcW w:w="670" w:type="dxa"/>
            <w:tcBorders>
              <w:left w:val="single" w:sz="4" w:space="0" w:color="000000"/>
            </w:tcBorders>
          </w:tcPr>
          <w:p>
            <w:pPr>
              <w:pStyle w:val="TableParagraph"/>
              <w:spacing w:before="114"/>
              <w:rPr>
                <w:sz w:val="13"/>
              </w:rPr>
            </w:pPr>
          </w:p>
          <w:p>
            <w:pPr>
              <w:pStyle w:val="TableParagraph"/>
              <w:spacing w:line="146" w:lineRule="exact"/>
              <w:ind w:left="33"/>
              <w:jc w:val="center"/>
              <w:rPr>
                <w:rFonts w:ascii="Arial Narrow"/>
                <w:sz w:val="13"/>
              </w:rPr>
            </w:pPr>
            <w:r>
              <w:rPr>
                <w:rFonts w:ascii="Arial Narrow"/>
                <w:spacing w:val="-2"/>
                <w:sz w:val="13"/>
              </w:rPr>
              <w:t>61000480</w:t>
            </w:r>
          </w:p>
        </w:tc>
        <w:tc>
          <w:tcPr>
            <w:tcW w:w="649" w:type="dxa"/>
          </w:tcPr>
          <w:p>
            <w:pPr>
              <w:pStyle w:val="TableParagraph"/>
              <w:spacing w:before="114"/>
              <w:rPr>
                <w:sz w:val="13"/>
              </w:rPr>
            </w:pPr>
          </w:p>
          <w:p>
            <w:pPr>
              <w:pStyle w:val="TableParagraph"/>
              <w:spacing w:line="146" w:lineRule="exact"/>
              <w:ind w:right="59"/>
              <w:jc w:val="center"/>
              <w:rPr>
                <w:rFonts w:ascii="Arial Narrow"/>
                <w:sz w:val="13"/>
              </w:rPr>
            </w:pPr>
            <w:r>
              <w:rPr>
                <w:rFonts w:ascii="Arial Narrow"/>
                <w:spacing w:val="-2"/>
                <w:sz w:val="13"/>
              </w:rPr>
              <w:t>31.05.2021</w:t>
            </w:r>
          </w:p>
        </w:tc>
        <w:tc>
          <w:tcPr>
            <w:tcW w:w="2233" w:type="dxa"/>
          </w:tcPr>
          <w:p>
            <w:pPr>
              <w:pStyle w:val="TableParagraph"/>
              <w:spacing w:before="114"/>
              <w:rPr>
                <w:sz w:val="13"/>
              </w:rPr>
            </w:pPr>
          </w:p>
          <w:p>
            <w:pPr>
              <w:pStyle w:val="TableParagraph"/>
              <w:spacing w:line="146" w:lineRule="exact"/>
              <w:ind w:left="23"/>
              <w:rPr>
                <w:rFonts w:ascii="Arial Narrow" w:hAnsi="Arial Narrow"/>
                <w:sz w:val="13"/>
              </w:rPr>
            </w:pPr>
            <w:r>
              <w:rPr>
                <w:rFonts w:ascii="Arial Narrow" w:hAnsi="Arial Narrow"/>
                <w:spacing w:val="-4"/>
                <w:sz w:val="13"/>
              </w:rPr>
              <w:t>SISTEMA</w:t>
            </w:r>
            <w:r>
              <w:rPr>
                <w:rFonts w:ascii="Arial Narrow" w:hAnsi="Arial Narrow"/>
                <w:spacing w:val="-7"/>
                <w:sz w:val="13"/>
              </w:rPr>
              <w:t> </w:t>
            </w:r>
            <w:r>
              <w:rPr>
                <w:rFonts w:ascii="Arial Narrow" w:hAnsi="Arial Narrow"/>
                <w:spacing w:val="-4"/>
                <w:sz w:val="13"/>
              </w:rPr>
              <w:t>DE</w:t>
            </w:r>
            <w:r>
              <w:rPr>
                <w:rFonts w:ascii="Arial Narrow" w:hAnsi="Arial Narrow"/>
                <w:spacing w:val="7"/>
                <w:sz w:val="13"/>
              </w:rPr>
              <w:t> </w:t>
            </w:r>
            <w:r>
              <w:rPr>
                <w:rFonts w:ascii="Arial Narrow" w:hAnsi="Arial Narrow"/>
                <w:spacing w:val="-4"/>
                <w:sz w:val="13"/>
              </w:rPr>
              <w:t>INFORMACIÓN</w:t>
            </w:r>
            <w:r>
              <w:rPr>
                <w:rFonts w:ascii="Arial Narrow" w:hAnsi="Arial Narrow"/>
                <w:spacing w:val="11"/>
                <w:sz w:val="13"/>
              </w:rPr>
              <w:t> </w:t>
            </w:r>
            <w:r>
              <w:rPr>
                <w:rFonts w:ascii="Arial Narrow" w:hAnsi="Arial Narrow"/>
                <w:spacing w:val="-4"/>
                <w:sz w:val="13"/>
              </w:rPr>
              <w:t>REDCUDI</w:t>
            </w:r>
          </w:p>
        </w:tc>
        <w:tc>
          <w:tcPr>
            <w:tcW w:w="893" w:type="dxa"/>
          </w:tcPr>
          <w:p>
            <w:pPr>
              <w:pStyle w:val="TableParagraph"/>
              <w:spacing w:before="94"/>
              <w:rPr>
                <w:sz w:val="13"/>
              </w:rPr>
            </w:pPr>
          </w:p>
          <w:p>
            <w:pPr>
              <w:pStyle w:val="TableParagraph"/>
              <w:spacing w:before="1"/>
              <w:ind w:left="169"/>
              <w:jc w:val="center"/>
              <w:rPr>
                <w:rFonts w:ascii="Calibri"/>
                <w:sz w:val="13"/>
              </w:rPr>
            </w:pPr>
            <w:r>
              <w:rPr>
                <w:rFonts w:ascii="Calibri"/>
                <w:spacing w:val="-6"/>
                <w:sz w:val="13"/>
              </w:rPr>
              <w:t>11</w:t>
            </w:r>
            <w:r>
              <w:rPr>
                <w:rFonts w:ascii="Calibri"/>
                <w:spacing w:val="-9"/>
                <w:sz w:val="13"/>
              </w:rPr>
              <w:t> </w:t>
            </w:r>
            <w:r>
              <w:rPr>
                <w:rFonts w:ascii="Calibri"/>
                <w:spacing w:val="-6"/>
                <w:sz w:val="13"/>
              </w:rPr>
              <w:t>185</w:t>
            </w:r>
            <w:r>
              <w:rPr>
                <w:rFonts w:ascii="Calibri"/>
                <w:spacing w:val="-9"/>
                <w:sz w:val="13"/>
              </w:rPr>
              <w:t> </w:t>
            </w:r>
            <w:r>
              <w:rPr>
                <w:rFonts w:ascii="Calibri"/>
                <w:spacing w:val="-6"/>
                <w:sz w:val="13"/>
              </w:rPr>
              <w:t>194,13</w:t>
            </w:r>
          </w:p>
        </w:tc>
        <w:tc>
          <w:tcPr>
            <w:tcW w:w="834" w:type="dxa"/>
          </w:tcPr>
          <w:p>
            <w:pPr>
              <w:pStyle w:val="TableParagraph"/>
              <w:spacing w:before="94"/>
              <w:rPr>
                <w:sz w:val="13"/>
              </w:rPr>
            </w:pPr>
          </w:p>
          <w:p>
            <w:pPr>
              <w:pStyle w:val="TableParagraph"/>
              <w:spacing w:before="1"/>
              <w:ind w:right="51"/>
              <w:jc w:val="right"/>
              <w:rPr>
                <w:rFonts w:ascii="Calibri"/>
                <w:sz w:val="13"/>
              </w:rPr>
            </w:pPr>
            <w:r>
              <w:rPr>
                <w:rFonts w:ascii="Calibri"/>
                <w:spacing w:val="-10"/>
                <w:sz w:val="13"/>
              </w:rPr>
              <w:t>-</w:t>
            </w:r>
          </w:p>
        </w:tc>
        <w:tc>
          <w:tcPr>
            <w:tcW w:w="918" w:type="dxa"/>
          </w:tcPr>
          <w:p>
            <w:pPr>
              <w:pStyle w:val="TableParagraph"/>
              <w:spacing w:before="94"/>
              <w:rPr>
                <w:sz w:val="13"/>
              </w:rPr>
            </w:pPr>
          </w:p>
          <w:p>
            <w:pPr>
              <w:pStyle w:val="TableParagraph"/>
              <w:spacing w:before="1"/>
              <w:ind w:left="28"/>
              <w:jc w:val="center"/>
              <w:rPr>
                <w:rFonts w:ascii="Calibri"/>
                <w:sz w:val="13"/>
              </w:rPr>
            </w:pPr>
            <w:r>
              <w:rPr>
                <w:rFonts w:ascii="Calibri"/>
                <w:spacing w:val="-6"/>
                <w:sz w:val="13"/>
              </w:rPr>
              <w:t>11</w:t>
            </w:r>
            <w:r>
              <w:rPr>
                <w:rFonts w:ascii="Calibri"/>
                <w:spacing w:val="-9"/>
                <w:sz w:val="13"/>
              </w:rPr>
              <w:t> </w:t>
            </w:r>
            <w:r>
              <w:rPr>
                <w:rFonts w:ascii="Calibri"/>
                <w:spacing w:val="-6"/>
                <w:sz w:val="13"/>
              </w:rPr>
              <w:t>185</w:t>
            </w:r>
            <w:r>
              <w:rPr>
                <w:rFonts w:ascii="Calibri"/>
                <w:spacing w:val="-9"/>
                <w:sz w:val="13"/>
              </w:rPr>
              <w:t> </w:t>
            </w:r>
            <w:r>
              <w:rPr>
                <w:rFonts w:ascii="Calibri"/>
                <w:spacing w:val="-6"/>
                <w:sz w:val="13"/>
              </w:rPr>
              <w:t>194,13</w:t>
            </w:r>
          </w:p>
        </w:tc>
        <w:tc>
          <w:tcPr>
            <w:tcW w:w="960" w:type="dxa"/>
          </w:tcPr>
          <w:p>
            <w:pPr>
              <w:pStyle w:val="TableParagraph"/>
              <w:spacing w:before="94"/>
              <w:rPr>
                <w:sz w:val="13"/>
              </w:rPr>
            </w:pPr>
          </w:p>
          <w:p>
            <w:pPr>
              <w:pStyle w:val="TableParagraph"/>
              <w:spacing w:before="1"/>
              <w:ind w:left="39" w:right="10"/>
              <w:jc w:val="center"/>
              <w:rPr>
                <w:rFonts w:ascii="Calibri"/>
                <w:sz w:val="13"/>
              </w:rPr>
            </w:pPr>
            <w:r>
              <w:rPr>
                <w:rFonts w:ascii="Calibri"/>
                <w:spacing w:val="-6"/>
                <w:sz w:val="13"/>
              </w:rPr>
              <w:t>-11 185</w:t>
            </w:r>
            <w:r>
              <w:rPr>
                <w:rFonts w:ascii="Calibri"/>
                <w:spacing w:val="-5"/>
                <w:sz w:val="13"/>
              </w:rPr>
              <w:t> </w:t>
            </w:r>
            <w:r>
              <w:rPr>
                <w:rFonts w:ascii="Calibri"/>
                <w:spacing w:val="-6"/>
                <w:sz w:val="13"/>
              </w:rPr>
              <w:t>194,13</w:t>
            </w:r>
          </w:p>
        </w:tc>
        <w:tc>
          <w:tcPr>
            <w:tcW w:w="572" w:type="dxa"/>
          </w:tcPr>
          <w:p>
            <w:pPr>
              <w:pStyle w:val="TableParagraph"/>
              <w:spacing w:before="94"/>
              <w:rPr>
                <w:sz w:val="13"/>
              </w:rPr>
            </w:pPr>
          </w:p>
          <w:p>
            <w:pPr>
              <w:pStyle w:val="TableParagraph"/>
              <w:spacing w:before="1"/>
              <w:ind w:left="30"/>
              <w:jc w:val="center"/>
              <w:rPr>
                <w:rFonts w:ascii="Calibri"/>
                <w:sz w:val="13"/>
              </w:rPr>
            </w:pPr>
            <w:r>
              <w:rPr>
                <w:rFonts w:ascii="Calibri"/>
                <w:spacing w:val="-2"/>
                <w:sz w:val="13"/>
              </w:rPr>
              <w:t>SINIRUBE</w:t>
            </w:r>
          </w:p>
        </w:tc>
        <w:tc>
          <w:tcPr>
            <w:tcW w:w="564" w:type="dxa"/>
          </w:tcPr>
          <w:p>
            <w:pPr>
              <w:pStyle w:val="TableParagraph"/>
              <w:spacing w:before="94"/>
              <w:rPr>
                <w:sz w:val="13"/>
              </w:rPr>
            </w:pPr>
          </w:p>
          <w:p>
            <w:pPr>
              <w:pStyle w:val="TableParagraph"/>
              <w:spacing w:before="1"/>
              <w:ind w:left="25"/>
              <w:jc w:val="center"/>
              <w:rPr>
                <w:rFonts w:ascii="Calibri" w:hAnsi="Calibri"/>
                <w:sz w:val="13"/>
              </w:rPr>
            </w:pPr>
            <w:r>
              <w:rPr>
                <w:rFonts w:ascii="Calibri" w:hAnsi="Calibri"/>
                <w:spacing w:val="-2"/>
                <w:sz w:val="13"/>
              </w:rPr>
              <w:t>3</w:t>
            </w:r>
            <w:r>
              <w:rPr>
                <w:rFonts w:ascii="Calibri" w:hAnsi="Calibri"/>
                <w:spacing w:val="-10"/>
                <w:sz w:val="13"/>
              </w:rPr>
              <w:t> </w:t>
            </w:r>
            <w:r>
              <w:rPr>
                <w:rFonts w:ascii="Calibri" w:hAnsi="Calibri"/>
                <w:spacing w:val="-4"/>
                <w:sz w:val="13"/>
              </w:rPr>
              <w:t>AÑOS</w:t>
            </w:r>
          </w:p>
        </w:tc>
      </w:tr>
      <w:tr>
        <w:trPr>
          <w:trHeight w:val="509" w:hRule="atLeast"/>
        </w:trPr>
        <w:tc>
          <w:tcPr>
            <w:tcW w:w="670" w:type="dxa"/>
            <w:tcBorders>
              <w:left w:val="single" w:sz="4" w:space="0" w:color="000000"/>
            </w:tcBorders>
          </w:tcPr>
          <w:p>
            <w:pPr>
              <w:pStyle w:val="TableParagraph"/>
              <w:rPr>
                <w:sz w:val="13"/>
              </w:rPr>
            </w:pPr>
          </w:p>
          <w:p>
            <w:pPr>
              <w:pStyle w:val="TableParagraph"/>
              <w:spacing w:before="46"/>
              <w:rPr>
                <w:sz w:val="13"/>
              </w:rPr>
            </w:pPr>
          </w:p>
          <w:p>
            <w:pPr>
              <w:pStyle w:val="TableParagraph"/>
              <w:spacing w:line="146" w:lineRule="exact" w:before="1"/>
              <w:ind w:left="33"/>
              <w:jc w:val="center"/>
              <w:rPr>
                <w:rFonts w:ascii="Arial Narrow"/>
                <w:sz w:val="13"/>
              </w:rPr>
            </w:pPr>
            <w:r>
              <w:rPr>
                <w:rFonts w:ascii="Arial Narrow"/>
                <w:spacing w:val="-2"/>
                <w:sz w:val="13"/>
              </w:rPr>
              <w:t>61000481</w:t>
            </w:r>
          </w:p>
        </w:tc>
        <w:tc>
          <w:tcPr>
            <w:tcW w:w="649" w:type="dxa"/>
          </w:tcPr>
          <w:p>
            <w:pPr>
              <w:pStyle w:val="TableParagraph"/>
              <w:rPr>
                <w:sz w:val="13"/>
              </w:rPr>
            </w:pPr>
          </w:p>
          <w:p>
            <w:pPr>
              <w:pStyle w:val="TableParagraph"/>
              <w:spacing w:before="46"/>
              <w:rPr>
                <w:sz w:val="13"/>
              </w:rPr>
            </w:pPr>
          </w:p>
          <w:p>
            <w:pPr>
              <w:pStyle w:val="TableParagraph"/>
              <w:spacing w:line="146" w:lineRule="exact" w:before="1"/>
              <w:ind w:right="59"/>
              <w:jc w:val="center"/>
              <w:rPr>
                <w:rFonts w:ascii="Arial Narrow"/>
                <w:sz w:val="13"/>
              </w:rPr>
            </w:pPr>
            <w:r>
              <w:rPr>
                <w:rFonts w:ascii="Arial Narrow"/>
                <w:spacing w:val="-2"/>
                <w:sz w:val="13"/>
              </w:rPr>
              <w:t>31.05.2021</w:t>
            </w:r>
          </w:p>
        </w:tc>
        <w:tc>
          <w:tcPr>
            <w:tcW w:w="2233" w:type="dxa"/>
          </w:tcPr>
          <w:p>
            <w:pPr>
              <w:pStyle w:val="TableParagraph"/>
              <w:spacing w:line="316" w:lineRule="auto" w:before="83"/>
              <w:ind w:left="23"/>
              <w:rPr>
                <w:rFonts w:ascii="Arial Narrow" w:hAnsi="Arial Narrow"/>
                <w:sz w:val="13"/>
              </w:rPr>
            </w:pPr>
            <w:r>
              <w:rPr>
                <w:rFonts w:ascii="Arial Narrow" w:hAnsi="Arial Narrow"/>
                <w:spacing w:val="-2"/>
                <w:sz w:val="13"/>
              </w:rPr>
              <w:t>SISTEMA</w:t>
            </w:r>
            <w:r>
              <w:rPr>
                <w:rFonts w:ascii="Arial Narrow" w:hAnsi="Arial Narrow"/>
                <w:spacing w:val="-15"/>
                <w:sz w:val="13"/>
              </w:rPr>
              <w:t> </w:t>
            </w:r>
            <w:r>
              <w:rPr>
                <w:rFonts w:ascii="Arial Narrow" w:hAnsi="Arial Narrow"/>
                <w:spacing w:val="-2"/>
                <w:sz w:val="13"/>
              </w:rPr>
              <w:t>DE</w:t>
            </w:r>
            <w:r>
              <w:rPr>
                <w:rFonts w:ascii="Arial Narrow" w:hAnsi="Arial Narrow"/>
                <w:spacing w:val="-7"/>
                <w:sz w:val="13"/>
              </w:rPr>
              <w:t> </w:t>
            </w:r>
            <w:r>
              <w:rPr>
                <w:rFonts w:ascii="Arial Narrow" w:hAnsi="Arial Narrow"/>
                <w:spacing w:val="-2"/>
                <w:sz w:val="13"/>
              </w:rPr>
              <w:t>REG</w:t>
            </w:r>
            <w:r>
              <w:rPr>
                <w:rFonts w:ascii="Arial Narrow" w:hAnsi="Arial Narrow"/>
                <w:spacing w:val="-6"/>
                <w:sz w:val="13"/>
              </w:rPr>
              <w:t> </w:t>
            </w:r>
            <w:r>
              <w:rPr>
                <w:rFonts w:ascii="Arial Narrow" w:hAnsi="Arial Narrow"/>
                <w:spacing w:val="-2"/>
                <w:sz w:val="13"/>
              </w:rPr>
              <w:t>DE</w:t>
            </w:r>
            <w:r>
              <w:rPr>
                <w:rFonts w:ascii="Arial Narrow" w:hAnsi="Arial Narrow"/>
                <w:spacing w:val="-7"/>
                <w:sz w:val="13"/>
              </w:rPr>
              <w:t> </w:t>
            </w:r>
            <w:r>
              <w:rPr>
                <w:rFonts w:ascii="Arial Narrow" w:hAnsi="Arial Narrow"/>
                <w:spacing w:val="-2"/>
                <w:sz w:val="13"/>
              </w:rPr>
              <w:t>INFORMACIÓN</w:t>
            </w:r>
            <w:r>
              <w:rPr>
                <w:rFonts w:ascii="Arial Narrow" w:hAnsi="Arial Narrow"/>
                <w:spacing w:val="40"/>
                <w:sz w:val="13"/>
              </w:rPr>
              <w:t> </w:t>
            </w:r>
            <w:r>
              <w:rPr>
                <w:rFonts w:ascii="Arial Narrow" w:hAnsi="Arial Narrow"/>
                <w:sz w:val="13"/>
              </w:rPr>
              <w:t>SOCIOECONOMICA</w:t>
            </w:r>
            <w:r>
              <w:rPr>
                <w:rFonts w:ascii="Arial Narrow" w:hAnsi="Arial Narrow"/>
                <w:spacing w:val="-15"/>
                <w:sz w:val="13"/>
              </w:rPr>
              <w:t> </w:t>
            </w:r>
            <w:r>
              <w:rPr>
                <w:rFonts w:ascii="Arial Narrow" w:hAnsi="Arial Narrow"/>
                <w:sz w:val="13"/>
              </w:rPr>
              <w:t>RIS</w:t>
            </w:r>
          </w:p>
        </w:tc>
        <w:tc>
          <w:tcPr>
            <w:tcW w:w="893" w:type="dxa"/>
          </w:tcPr>
          <w:p>
            <w:pPr>
              <w:pStyle w:val="TableParagraph"/>
              <w:rPr>
                <w:sz w:val="13"/>
              </w:rPr>
            </w:pPr>
          </w:p>
          <w:p>
            <w:pPr>
              <w:pStyle w:val="TableParagraph"/>
              <w:spacing w:before="27"/>
              <w:rPr>
                <w:sz w:val="13"/>
              </w:rPr>
            </w:pPr>
          </w:p>
          <w:p>
            <w:pPr>
              <w:pStyle w:val="TableParagraph"/>
              <w:ind w:left="94"/>
              <w:jc w:val="center"/>
              <w:rPr>
                <w:rFonts w:ascii="Calibri"/>
                <w:sz w:val="13"/>
              </w:rPr>
            </w:pPr>
            <w:r>
              <w:rPr>
                <w:rFonts w:ascii="Calibri"/>
                <w:spacing w:val="-6"/>
                <w:sz w:val="13"/>
              </w:rPr>
              <w:t>231</w:t>
            </w:r>
            <w:r>
              <w:rPr>
                <w:rFonts w:ascii="Calibri"/>
                <w:spacing w:val="-10"/>
                <w:sz w:val="13"/>
              </w:rPr>
              <w:t> </w:t>
            </w:r>
            <w:r>
              <w:rPr>
                <w:rFonts w:ascii="Calibri"/>
                <w:spacing w:val="-6"/>
                <w:sz w:val="13"/>
              </w:rPr>
              <w:t>856</w:t>
            </w:r>
            <w:r>
              <w:rPr>
                <w:rFonts w:ascii="Calibri"/>
                <w:spacing w:val="-10"/>
                <w:sz w:val="13"/>
              </w:rPr>
              <w:t> </w:t>
            </w:r>
            <w:r>
              <w:rPr>
                <w:rFonts w:ascii="Calibri"/>
                <w:spacing w:val="-6"/>
                <w:sz w:val="13"/>
              </w:rPr>
              <w:t>182,16</w:t>
            </w:r>
          </w:p>
        </w:tc>
        <w:tc>
          <w:tcPr>
            <w:tcW w:w="834" w:type="dxa"/>
          </w:tcPr>
          <w:p>
            <w:pPr>
              <w:pStyle w:val="TableParagraph"/>
              <w:rPr>
                <w:sz w:val="13"/>
              </w:rPr>
            </w:pPr>
          </w:p>
          <w:p>
            <w:pPr>
              <w:pStyle w:val="TableParagraph"/>
              <w:spacing w:before="27"/>
              <w:rPr>
                <w:sz w:val="13"/>
              </w:rPr>
            </w:pPr>
          </w:p>
          <w:p>
            <w:pPr>
              <w:pStyle w:val="TableParagraph"/>
              <w:ind w:right="18"/>
              <w:jc w:val="right"/>
              <w:rPr>
                <w:rFonts w:ascii="Calibri"/>
                <w:sz w:val="13"/>
              </w:rPr>
            </w:pPr>
            <w:r>
              <w:rPr>
                <w:rFonts w:ascii="Calibri"/>
                <w:spacing w:val="-6"/>
                <w:sz w:val="13"/>
              </w:rPr>
              <w:t>40</w:t>
            </w:r>
            <w:r>
              <w:rPr>
                <w:rFonts w:ascii="Calibri"/>
                <w:spacing w:val="-9"/>
                <w:sz w:val="13"/>
              </w:rPr>
              <w:t> </w:t>
            </w:r>
            <w:r>
              <w:rPr>
                <w:rFonts w:ascii="Calibri"/>
                <w:spacing w:val="-6"/>
                <w:sz w:val="13"/>
              </w:rPr>
              <w:t>513</w:t>
            </w:r>
            <w:r>
              <w:rPr>
                <w:rFonts w:ascii="Calibri"/>
                <w:spacing w:val="-9"/>
                <w:sz w:val="13"/>
              </w:rPr>
              <w:t> </w:t>
            </w:r>
            <w:r>
              <w:rPr>
                <w:rFonts w:ascii="Calibri"/>
                <w:spacing w:val="-6"/>
                <w:sz w:val="13"/>
              </w:rPr>
              <w:t>262,16</w:t>
            </w:r>
          </w:p>
        </w:tc>
        <w:tc>
          <w:tcPr>
            <w:tcW w:w="918" w:type="dxa"/>
          </w:tcPr>
          <w:p>
            <w:pPr>
              <w:pStyle w:val="TableParagraph"/>
              <w:rPr>
                <w:sz w:val="13"/>
              </w:rPr>
            </w:pPr>
          </w:p>
          <w:p>
            <w:pPr>
              <w:pStyle w:val="TableParagraph"/>
              <w:spacing w:before="27"/>
              <w:rPr>
                <w:sz w:val="13"/>
              </w:rPr>
            </w:pPr>
          </w:p>
          <w:p>
            <w:pPr>
              <w:pStyle w:val="TableParagraph"/>
              <w:ind w:left="28" w:right="8"/>
              <w:jc w:val="center"/>
              <w:rPr>
                <w:rFonts w:ascii="Calibri"/>
                <w:sz w:val="13"/>
              </w:rPr>
            </w:pPr>
            <w:r>
              <w:rPr>
                <w:rFonts w:ascii="Calibri"/>
                <w:spacing w:val="-6"/>
                <w:sz w:val="13"/>
              </w:rPr>
              <w:t>231</w:t>
            </w:r>
            <w:r>
              <w:rPr>
                <w:rFonts w:ascii="Calibri"/>
                <w:spacing w:val="-10"/>
                <w:sz w:val="13"/>
              </w:rPr>
              <w:t> </w:t>
            </w:r>
            <w:r>
              <w:rPr>
                <w:rFonts w:ascii="Calibri"/>
                <w:spacing w:val="-6"/>
                <w:sz w:val="13"/>
              </w:rPr>
              <w:t>856</w:t>
            </w:r>
            <w:r>
              <w:rPr>
                <w:rFonts w:ascii="Calibri"/>
                <w:spacing w:val="-10"/>
                <w:sz w:val="13"/>
              </w:rPr>
              <w:t> </w:t>
            </w:r>
            <w:r>
              <w:rPr>
                <w:rFonts w:ascii="Calibri"/>
                <w:spacing w:val="-6"/>
                <w:sz w:val="13"/>
              </w:rPr>
              <w:t>182,16</w:t>
            </w:r>
          </w:p>
        </w:tc>
        <w:tc>
          <w:tcPr>
            <w:tcW w:w="960" w:type="dxa"/>
          </w:tcPr>
          <w:p>
            <w:pPr>
              <w:pStyle w:val="TableParagraph"/>
              <w:rPr>
                <w:sz w:val="13"/>
              </w:rPr>
            </w:pPr>
          </w:p>
          <w:p>
            <w:pPr>
              <w:pStyle w:val="TableParagraph"/>
              <w:spacing w:before="27"/>
              <w:rPr>
                <w:sz w:val="13"/>
              </w:rPr>
            </w:pPr>
          </w:p>
          <w:p>
            <w:pPr>
              <w:pStyle w:val="TableParagraph"/>
              <w:ind w:left="31" w:right="10"/>
              <w:jc w:val="center"/>
              <w:rPr>
                <w:rFonts w:ascii="Calibri"/>
                <w:sz w:val="13"/>
              </w:rPr>
            </w:pPr>
            <w:r>
              <w:rPr>
                <w:rFonts w:ascii="Calibri"/>
                <w:spacing w:val="-6"/>
                <w:sz w:val="13"/>
              </w:rPr>
              <w:t>-231</w:t>
            </w:r>
            <w:r>
              <w:rPr>
                <w:rFonts w:ascii="Calibri"/>
                <w:spacing w:val="-7"/>
                <w:sz w:val="13"/>
              </w:rPr>
              <w:t> </w:t>
            </w:r>
            <w:r>
              <w:rPr>
                <w:rFonts w:ascii="Calibri"/>
                <w:spacing w:val="-6"/>
                <w:sz w:val="13"/>
              </w:rPr>
              <w:t>856 182,16</w:t>
            </w:r>
          </w:p>
        </w:tc>
        <w:tc>
          <w:tcPr>
            <w:tcW w:w="572" w:type="dxa"/>
          </w:tcPr>
          <w:p>
            <w:pPr>
              <w:pStyle w:val="TableParagraph"/>
              <w:rPr>
                <w:sz w:val="13"/>
              </w:rPr>
            </w:pPr>
          </w:p>
          <w:p>
            <w:pPr>
              <w:pStyle w:val="TableParagraph"/>
              <w:spacing w:before="27"/>
              <w:rPr>
                <w:sz w:val="13"/>
              </w:rPr>
            </w:pPr>
          </w:p>
          <w:p>
            <w:pPr>
              <w:pStyle w:val="TableParagraph"/>
              <w:ind w:left="30"/>
              <w:jc w:val="center"/>
              <w:rPr>
                <w:rFonts w:ascii="Calibri"/>
                <w:sz w:val="13"/>
              </w:rPr>
            </w:pPr>
            <w:r>
              <w:rPr>
                <w:rFonts w:ascii="Calibri"/>
                <w:spacing w:val="-2"/>
                <w:sz w:val="13"/>
              </w:rPr>
              <w:t>SINIRUBE</w:t>
            </w:r>
          </w:p>
        </w:tc>
        <w:tc>
          <w:tcPr>
            <w:tcW w:w="564" w:type="dxa"/>
          </w:tcPr>
          <w:p>
            <w:pPr>
              <w:pStyle w:val="TableParagraph"/>
              <w:rPr>
                <w:sz w:val="13"/>
              </w:rPr>
            </w:pPr>
          </w:p>
          <w:p>
            <w:pPr>
              <w:pStyle w:val="TableParagraph"/>
              <w:spacing w:before="27"/>
              <w:rPr>
                <w:sz w:val="13"/>
              </w:rPr>
            </w:pPr>
          </w:p>
          <w:p>
            <w:pPr>
              <w:pStyle w:val="TableParagraph"/>
              <w:ind w:left="25"/>
              <w:jc w:val="center"/>
              <w:rPr>
                <w:rFonts w:ascii="Calibri" w:hAnsi="Calibri"/>
                <w:sz w:val="13"/>
              </w:rPr>
            </w:pPr>
            <w:r>
              <w:rPr>
                <w:rFonts w:ascii="Calibri" w:hAnsi="Calibri"/>
                <w:spacing w:val="-2"/>
                <w:sz w:val="13"/>
              </w:rPr>
              <w:t>3</w:t>
            </w:r>
            <w:r>
              <w:rPr>
                <w:rFonts w:ascii="Calibri" w:hAnsi="Calibri"/>
                <w:spacing w:val="-10"/>
                <w:sz w:val="13"/>
              </w:rPr>
              <w:t> </w:t>
            </w:r>
            <w:r>
              <w:rPr>
                <w:rFonts w:ascii="Calibri" w:hAnsi="Calibri"/>
                <w:spacing w:val="-4"/>
                <w:sz w:val="13"/>
              </w:rPr>
              <w:t>AÑOS</w:t>
            </w:r>
          </w:p>
        </w:tc>
      </w:tr>
      <w:tr>
        <w:trPr>
          <w:trHeight w:val="168" w:hRule="atLeast"/>
        </w:trPr>
        <w:tc>
          <w:tcPr>
            <w:tcW w:w="3552" w:type="dxa"/>
            <w:gridSpan w:val="3"/>
            <w:tcBorders>
              <w:left w:val="single" w:sz="4" w:space="0" w:color="000000"/>
            </w:tcBorders>
          </w:tcPr>
          <w:p>
            <w:pPr>
              <w:pStyle w:val="TableParagraph"/>
              <w:spacing w:line="139" w:lineRule="exact" w:before="9"/>
              <w:ind w:left="24" w:right="-44"/>
              <w:rPr>
                <w:rFonts w:ascii="Calibri" w:hAnsi="Calibri"/>
                <w:b/>
                <w:sz w:val="13"/>
              </w:rPr>
            </w:pPr>
            <w:r>
              <w:rPr>
                <w:rFonts w:ascii="Calibri" w:hAnsi="Calibri"/>
                <w:b/>
                <w:spacing w:val="-4"/>
                <w:sz w:val="13"/>
              </w:rPr>
              <w:t>TOTAL</w:t>
            </w:r>
            <w:r>
              <w:rPr>
                <w:rFonts w:ascii="Calibri" w:hAnsi="Calibri"/>
                <w:b/>
                <w:spacing w:val="6"/>
                <w:sz w:val="13"/>
              </w:rPr>
              <w:t> </w:t>
            </w:r>
            <w:r>
              <w:rPr>
                <w:rFonts w:ascii="Calibri" w:hAnsi="Calibri"/>
                <w:b/>
                <w:spacing w:val="-4"/>
                <w:sz w:val="13"/>
              </w:rPr>
              <w:t>ACTIVOS</w:t>
            </w:r>
            <w:r>
              <w:rPr>
                <w:rFonts w:ascii="Calibri" w:hAnsi="Calibri"/>
                <w:b/>
                <w:spacing w:val="4"/>
                <w:sz w:val="13"/>
              </w:rPr>
              <w:t> </w:t>
            </w:r>
            <w:r>
              <w:rPr>
                <w:rFonts w:ascii="Calibri" w:hAnsi="Calibri"/>
                <w:b/>
                <w:spacing w:val="-4"/>
                <w:sz w:val="13"/>
              </w:rPr>
              <w:t>INTAGIBLES</w:t>
            </w:r>
            <w:r>
              <w:rPr>
                <w:rFonts w:ascii="Calibri" w:hAnsi="Calibri"/>
                <w:b/>
                <w:spacing w:val="4"/>
                <w:sz w:val="13"/>
              </w:rPr>
              <w:t> </w:t>
            </w:r>
            <w:r>
              <w:rPr>
                <w:rFonts w:ascii="Calibri" w:hAnsi="Calibri"/>
                <w:b/>
                <w:spacing w:val="-4"/>
                <w:sz w:val="13"/>
              </w:rPr>
              <w:t>ADQUIRIDOS</w:t>
            </w:r>
            <w:r>
              <w:rPr>
                <w:rFonts w:ascii="Calibri" w:hAnsi="Calibri"/>
                <w:b/>
                <w:spacing w:val="3"/>
                <w:sz w:val="13"/>
              </w:rPr>
              <w:t> </w:t>
            </w:r>
            <w:r>
              <w:rPr>
                <w:rFonts w:ascii="Calibri" w:hAnsi="Calibri"/>
                <w:b/>
                <w:spacing w:val="-4"/>
                <w:sz w:val="13"/>
              </w:rPr>
              <w:t>SIN</w:t>
            </w:r>
            <w:r>
              <w:rPr>
                <w:rFonts w:ascii="Calibri" w:hAnsi="Calibri"/>
                <w:b/>
                <w:spacing w:val="8"/>
                <w:sz w:val="13"/>
              </w:rPr>
              <w:t> </w:t>
            </w:r>
            <w:r>
              <w:rPr>
                <w:rFonts w:ascii="Calibri" w:hAnsi="Calibri"/>
                <w:b/>
                <w:spacing w:val="-4"/>
                <w:sz w:val="13"/>
              </w:rPr>
              <w:t>CONTRAPRESTACIÓN</w:t>
            </w:r>
          </w:p>
        </w:tc>
        <w:tc>
          <w:tcPr>
            <w:tcW w:w="893" w:type="dxa"/>
          </w:tcPr>
          <w:p>
            <w:pPr>
              <w:pStyle w:val="TableParagraph"/>
              <w:spacing w:line="139" w:lineRule="exact" w:before="9"/>
              <w:ind w:left="61"/>
              <w:jc w:val="center"/>
              <w:rPr>
                <w:rFonts w:ascii="Calibri"/>
                <w:b/>
                <w:sz w:val="13"/>
              </w:rPr>
            </w:pPr>
            <w:r>
              <w:rPr>
                <w:rFonts w:ascii="Calibri"/>
                <w:b/>
                <w:spacing w:val="-6"/>
                <w:sz w:val="13"/>
              </w:rPr>
              <w:t>243</w:t>
            </w:r>
            <w:r>
              <w:rPr>
                <w:rFonts w:ascii="Calibri"/>
                <w:b/>
                <w:spacing w:val="-10"/>
                <w:sz w:val="13"/>
              </w:rPr>
              <w:t> </w:t>
            </w:r>
            <w:r>
              <w:rPr>
                <w:rFonts w:ascii="Calibri"/>
                <w:b/>
                <w:spacing w:val="-6"/>
                <w:sz w:val="13"/>
              </w:rPr>
              <w:t>041</w:t>
            </w:r>
            <w:r>
              <w:rPr>
                <w:rFonts w:ascii="Calibri"/>
                <w:b/>
                <w:spacing w:val="-10"/>
                <w:sz w:val="13"/>
              </w:rPr>
              <w:t> </w:t>
            </w:r>
            <w:r>
              <w:rPr>
                <w:rFonts w:ascii="Calibri"/>
                <w:b/>
                <w:spacing w:val="-6"/>
                <w:sz w:val="13"/>
              </w:rPr>
              <w:t>376,29</w:t>
            </w:r>
          </w:p>
        </w:tc>
        <w:tc>
          <w:tcPr>
            <w:tcW w:w="834" w:type="dxa"/>
          </w:tcPr>
          <w:p>
            <w:pPr>
              <w:pStyle w:val="TableParagraph"/>
              <w:spacing w:line="139" w:lineRule="exact" w:before="9"/>
              <w:ind w:right="34"/>
              <w:jc w:val="right"/>
              <w:rPr>
                <w:rFonts w:ascii="Calibri"/>
                <w:b/>
                <w:sz w:val="13"/>
              </w:rPr>
            </w:pPr>
            <w:r>
              <w:rPr>
                <w:rFonts w:ascii="Calibri"/>
                <w:b/>
                <w:spacing w:val="-6"/>
                <w:sz w:val="13"/>
              </w:rPr>
              <w:t>40</w:t>
            </w:r>
            <w:r>
              <w:rPr>
                <w:rFonts w:ascii="Calibri"/>
                <w:b/>
                <w:spacing w:val="-9"/>
                <w:sz w:val="13"/>
              </w:rPr>
              <w:t> </w:t>
            </w:r>
            <w:r>
              <w:rPr>
                <w:rFonts w:ascii="Calibri"/>
                <w:b/>
                <w:spacing w:val="-6"/>
                <w:sz w:val="13"/>
              </w:rPr>
              <w:t>513</w:t>
            </w:r>
            <w:r>
              <w:rPr>
                <w:rFonts w:ascii="Calibri"/>
                <w:b/>
                <w:spacing w:val="-9"/>
                <w:sz w:val="13"/>
              </w:rPr>
              <w:t> </w:t>
            </w:r>
            <w:r>
              <w:rPr>
                <w:rFonts w:ascii="Calibri"/>
                <w:b/>
                <w:spacing w:val="-6"/>
                <w:sz w:val="13"/>
              </w:rPr>
              <w:t>262,16</w:t>
            </w:r>
          </w:p>
        </w:tc>
        <w:tc>
          <w:tcPr>
            <w:tcW w:w="918" w:type="dxa"/>
          </w:tcPr>
          <w:p>
            <w:pPr>
              <w:pStyle w:val="TableParagraph"/>
              <w:spacing w:line="139" w:lineRule="exact" w:before="9"/>
              <w:ind w:left="87"/>
              <w:jc w:val="center"/>
              <w:rPr>
                <w:rFonts w:ascii="Calibri"/>
                <w:b/>
                <w:sz w:val="13"/>
              </w:rPr>
            </w:pPr>
            <w:r>
              <w:rPr>
                <w:rFonts w:ascii="Calibri"/>
                <w:b/>
                <w:spacing w:val="-6"/>
                <w:sz w:val="13"/>
              </w:rPr>
              <w:t>243</w:t>
            </w:r>
            <w:r>
              <w:rPr>
                <w:rFonts w:ascii="Calibri"/>
                <w:b/>
                <w:spacing w:val="-10"/>
                <w:sz w:val="13"/>
              </w:rPr>
              <w:t> </w:t>
            </w:r>
            <w:r>
              <w:rPr>
                <w:rFonts w:ascii="Calibri"/>
                <w:b/>
                <w:spacing w:val="-6"/>
                <w:sz w:val="13"/>
              </w:rPr>
              <w:t>041</w:t>
            </w:r>
            <w:r>
              <w:rPr>
                <w:rFonts w:ascii="Calibri"/>
                <w:b/>
                <w:spacing w:val="-10"/>
                <w:sz w:val="13"/>
              </w:rPr>
              <w:t> </w:t>
            </w:r>
            <w:r>
              <w:rPr>
                <w:rFonts w:ascii="Calibri"/>
                <w:b/>
                <w:spacing w:val="-6"/>
                <w:sz w:val="13"/>
              </w:rPr>
              <w:t>376,29</w:t>
            </w:r>
          </w:p>
        </w:tc>
        <w:tc>
          <w:tcPr>
            <w:tcW w:w="960" w:type="dxa"/>
          </w:tcPr>
          <w:p>
            <w:pPr>
              <w:pStyle w:val="TableParagraph"/>
              <w:spacing w:line="139" w:lineRule="exact" w:before="9"/>
              <w:ind w:right="10"/>
              <w:jc w:val="center"/>
              <w:rPr>
                <w:rFonts w:ascii="Calibri"/>
                <w:b/>
                <w:sz w:val="13"/>
              </w:rPr>
            </w:pPr>
            <w:r>
              <w:rPr>
                <w:rFonts w:ascii="Calibri"/>
                <w:b/>
                <w:spacing w:val="-2"/>
                <w:sz w:val="13"/>
              </w:rPr>
              <w:t>-</w:t>
            </w:r>
            <w:r>
              <w:rPr>
                <w:rFonts w:ascii="Calibri"/>
                <w:b/>
                <w:spacing w:val="50"/>
                <w:sz w:val="13"/>
              </w:rPr>
              <w:t> </w:t>
            </w:r>
            <w:r>
              <w:rPr>
                <w:rFonts w:ascii="Calibri"/>
                <w:b/>
                <w:spacing w:val="-2"/>
                <w:sz w:val="13"/>
              </w:rPr>
              <w:t>243</w:t>
            </w:r>
            <w:r>
              <w:rPr>
                <w:rFonts w:ascii="Calibri"/>
                <w:b/>
                <w:spacing w:val="-10"/>
                <w:sz w:val="13"/>
              </w:rPr>
              <w:t> </w:t>
            </w:r>
            <w:r>
              <w:rPr>
                <w:rFonts w:ascii="Calibri"/>
                <w:b/>
                <w:spacing w:val="-2"/>
                <w:sz w:val="13"/>
              </w:rPr>
              <w:t>041</w:t>
            </w:r>
            <w:r>
              <w:rPr>
                <w:rFonts w:ascii="Calibri"/>
                <w:b/>
                <w:spacing w:val="-10"/>
                <w:sz w:val="13"/>
              </w:rPr>
              <w:t> </w:t>
            </w:r>
            <w:r>
              <w:rPr>
                <w:rFonts w:ascii="Calibri"/>
                <w:b/>
                <w:spacing w:val="-2"/>
                <w:sz w:val="13"/>
              </w:rPr>
              <w:t>376,29</w:t>
            </w:r>
          </w:p>
        </w:tc>
        <w:tc>
          <w:tcPr>
            <w:tcW w:w="572" w:type="dxa"/>
          </w:tcPr>
          <w:p>
            <w:pPr>
              <w:pStyle w:val="TableParagraph"/>
              <w:rPr>
                <w:rFonts w:ascii="Times New Roman"/>
                <w:sz w:val="10"/>
              </w:rPr>
            </w:pPr>
          </w:p>
        </w:tc>
        <w:tc>
          <w:tcPr>
            <w:tcW w:w="564" w:type="dxa"/>
          </w:tcPr>
          <w:p>
            <w:pPr>
              <w:pStyle w:val="TableParagraph"/>
              <w:rPr>
                <w:rFonts w:ascii="Times New Roman"/>
                <w:sz w:val="10"/>
              </w:rPr>
            </w:pPr>
          </w:p>
        </w:tc>
      </w:tr>
    </w:tbl>
    <w:p>
      <w:pPr>
        <w:pStyle w:val="BodyText"/>
        <w:spacing w:before="21"/>
        <w:ind w:left="1450"/>
      </w:pPr>
      <w:r>
        <w:rPr/>
        <w:t>Para</w:t>
      </w:r>
      <w:r>
        <w:rPr>
          <w:spacing w:val="-7"/>
        </w:rPr>
        <w:t> </w:t>
      </w:r>
      <w:r>
        <w:rPr/>
        <w:t>la</w:t>
      </w:r>
      <w:r>
        <w:rPr>
          <w:spacing w:val="-5"/>
        </w:rPr>
        <w:t> </w:t>
      </w:r>
      <w:r>
        <w:rPr/>
        <w:t>medición</w:t>
      </w:r>
      <w:r>
        <w:rPr>
          <w:spacing w:val="-3"/>
        </w:rPr>
        <w:t> </w:t>
      </w:r>
      <w:r>
        <w:rPr/>
        <w:t>posterior</w:t>
      </w:r>
      <w:r>
        <w:rPr>
          <w:spacing w:val="-6"/>
        </w:rPr>
        <w:t> </w:t>
      </w:r>
      <w:r>
        <w:rPr/>
        <w:t>se</w:t>
      </w:r>
      <w:r>
        <w:rPr>
          <w:spacing w:val="-5"/>
        </w:rPr>
        <w:t> </w:t>
      </w:r>
      <w:r>
        <w:rPr/>
        <w:t>realiza</w:t>
      </w:r>
      <w:r>
        <w:rPr>
          <w:spacing w:val="-3"/>
        </w:rPr>
        <w:t> </w:t>
      </w:r>
      <w:r>
        <w:rPr/>
        <w:t>utilizando</w:t>
      </w:r>
      <w:r>
        <w:rPr>
          <w:spacing w:val="-3"/>
        </w:rPr>
        <w:t> </w:t>
      </w:r>
      <w:r>
        <w:rPr/>
        <w:t>el</w:t>
      </w:r>
      <w:r>
        <w:rPr>
          <w:spacing w:val="-4"/>
        </w:rPr>
        <w:t> </w:t>
      </w:r>
      <w:r>
        <w:rPr/>
        <w:t>modelo</w:t>
      </w:r>
      <w:r>
        <w:rPr>
          <w:spacing w:val="-3"/>
        </w:rPr>
        <w:t> </w:t>
      </w:r>
      <w:r>
        <w:rPr/>
        <w:t>del</w:t>
      </w:r>
      <w:r>
        <w:rPr>
          <w:spacing w:val="-3"/>
        </w:rPr>
        <w:t> </w:t>
      </w:r>
      <w:r>
        <w:rPr>
          <w:spacing w:val="-2"/>
        </w:rPr>
        <w:t>costo.</w:t>
      </w:r>
    </w:p>
    <w:p>
      <w:pPr>
        <w:pStyle w:val="BodyText"/>
        <w:spacing w:before="40"/>
      </w:pPr>
    </w:p>
    <w:p>
      <w:pPr>
        <w:pStyle w:val="ListParagraph"/>
        <w:numPr>
          <w:ilvl w:val="0"/>
          <w:numId w:val="87"/>
        </w:numPr>
        <w:tabs>
          <w:tab w:pos="1450" w:val="left" w:leader="none"/>
        </w:tabs>
        <w:spacing w:line="259" w:lineRule="auto" w:before="0" w:after="0"/>
        <w:ind w:left="1450" w:right="161" w:hanging="360"/>
        <w:jc w:val="left"/>
        <w:rPr>
          <w:sz w:val="22"/>
        </w:rPr>
      </w:pPr>
      <w:r>
        <w:rPr>
          <w:sz w:val="22"/>
        </w:rPr>
        <w:t>No se cuenta con activos intangibles cuya titularidad tenga alguna restricción, tampoco se cuenta con activos intangibles que sirvan como garantías de deudas;</w:t>
      </w:r>
    </w:p>
    <w:p>
      <w:pPr>
        <w:pStyle w:val="BodyText"/>
        <w:spacing w:before="21"/>
      </w:pPr>
    </w:p>
    <w:p>
      <w:pPr>
        <w:pStyle w:val="ListParagraph"/>
        <w:numPr>
          <w:ilvl w:val="0"/>
          <w:numId w:val="87"/>
        </w:numPr>
        <w:tabs>
          <w:tab w:pos="1449" w:val="left" w:leader="none"/>
        </w:tabs>
        <w:spacing w:line="240" w:lineRule="auto" w:before="1" w:after="0"/>
        <w:ind w:left="1449" w:right="0" w:hanging="359"/>
        <w:jc w:val="left"/>
        <w:rPr>
          <w:sz w:val="22"/>
        </w:rPr>
      </w:pPr>
      <w:r>
        <w:rPr>
          <w:sz w:val="22"/>
        </w:rPr>
        <w:t>No</w:t>
      </w:r>
      <w:r>
        <w:rPr>
          <w:spacing w:val="-5"/>
          <w:sz w:val="22"/>
        </w:rPr>
        <w:t> </w:t>
      </w:r>
      <w:r>
        <w:rPr>
          <w:sz w:val="22"/>
        </w:rPr>
        <w:t>se</w:t>
      </w:r>
      <w:r>
        <w:rPr>
          <w:spacing w:val="-5"/>
          <w:sz w:val="22"/>
        </w:rPr>
        <w:t> </w:t>
      </w:r>
      <w:r>
        <w:rPr>
          <w:sz w:val="22"/>
        </w:rPr>
        <w:t>cuenta</w:t>
      </w:r>
      <w:r>
        <w:rPr>
          <w:spacing w:val="-4"/>
          <w:sz w:val="22"/>
        </w:rPr>
        <w:t> </w:t>
      </w:r>
      <w:r>
        <w:rPr>
          <w:sz w:val="22"/>
        </w:rPr>
        <w:t>con</w:t>
      </w:r>
      <w:r>
        <w:rPr>
          <w:spacing w:val="-4"/>
          <w:sz w:val="22"/>
        </w:rPr>
        <w:t> </w:t>
      </w:r>
      <w:r>
        <w:rPr>
          <w:sz w:val="22"/>
        </w:rPr>
        <w:t>compromisos</w:t>
      </w:r>
      <w:r>
        <w:rPr>
          <w:spacing w:val="-4"/>
          <w:sz w:val="22"/>
        </w:rPr>
        <w:t> </w:t>
      </w:r>
      <w:r>
        <w:rPr>
          <w:sz w:val="22"/>
        </w:rPr>
        <w:t>contractuales</w:t>
      </w:r>
      <w:r>
        <w:rPr>
          <w:spacing w:val="-3"/>
          <w:sz w:val="22"/>
        </w:rPr>
        <w:t> </w:t>
      </w:r>
      <w:r>
        <w:rPr>
          <w:sz w:val="22"/>
        </w:rPr>
        <w:t>para</w:t>
      </w:r>
      <w:r>
        <w:rPr>
          <w:spacing w:val="-5"/>
          <w:sz w:val="22"/>
        </w:rPr>
        <w:t> </w:t>
      </w:r>
      <w:r>
        <w:rPr>
          <w:sz w:val="22"/>
        </w:rPr>
        <w:t>la</w:t>
      </w:r>
      <w:r>
        <w:rPr>
          <w:spacing w:val="-6"/>
          <w:sz w:val="22"/>
        </w:rPr>
        <w:t> </w:t>
      </w:r>
      <w:r>
        <w:rPr>
          <w:sz w:val="22"/>
        </w:rPr>
        <w:t>adquisición</w:t>
      </w:r>
      <w:r>
        <w:rPr>
          <w:spacing w:val="-5"/>
          <w:sz w:val="22"/>
        </w:rPr>
        <w:t> </w:t>
      </w:r>
      <w:r>
        <w:rPr>
          <w:sz w:val="22"/>
        </w:rPr>
        <w:t>de</w:t>
      </w:r>
      <w:r>
        <w:rPr>
          <w:spacing w:val="-6"/>
          <w:sz w:val="22"/>
        </w:rPr>
        <w:t> </w:t>
      </w:r>
      <w:r>
        <w:rPr>
          <w:sz w:val="22"/>
        </w:rPr>
        <w:t>activos</w:t>
      </w:r>
      <w:r>
        <w:rPr>
          <w:spacing w:val="-3"/>
          <w:sz w:val="22"/>
        </w:rPr>
        <w:t> </w:t>
      </w:r>
      <w:r>
        <w:rPr>
          <w:sz w:val="22"/>
        </w:rPr>
        <w:t>intangibles;</w:t>
      </w:r>
      <w:r>
        <w:rPr>
          <w:spacing w:val="-4"/>
          <w:sz w:val="22"/>
        </w:rPr>
        <w:t> </w:t>
      </w:r>
      <w:r>
        <w:rPr>
          <w:spacing w:val="-10"/>
          <w:sz w:val="22"/>
        </w:rPr>
        <w:t>y</w:t>
      </w:r>
    </w:p>
    <w:p>
      <w:pPr>
        <w:pStyle w:val="BodyText"/>
        <w:spacing w:before="18"/>
      </w:pPr>
    </w:p>
    <w:p>
      <w:pPr>
        <w:pStyle w:val="ListParagraph"/>
        <w:numPr>
          <w:ilvl w:val="0"/>
          <w:numId w:val="87"/>
        </w:numPr>
        <w:tabs>
          <w:tab w:pos="1448" w:val="left" w:leader="none"/>
        </w:tabs>
        <w:spacing w:line="240" w:lineRule="auto" w:before="0" w:after="0"/>
        <w:ind w:left="1448" w:right="0" w:hanging="358"/>
        <w:jc w:val="left"/>
        <w:rPr>
          <w:sz w:val="22"/>
        </w:rPr>
      </w:pPr>
      <w:r>
        <w:rPr>
          <w:sz w:val="22"/>
        </w:rPr>
        <w:t>Del</w:t>
      </w:r>
      <w:r>
        <w:rPr>
          <w:spacing w:val="-7"/>
          <w:sz w:val="22"/>
        </w:rPr>
        <w:t> </w:t>
      </w:r>
      <w:r>
        <w:rPr>
          <w:sz w:val="22"/>
        </w:rPr>
        <w:t>total</w:t>
      </w:r>
      <w:r>
        <w:rPr>
          <w:spacing w:val="-4"/>
          <w:sz w:val="22"/>
        </w:rPr>
        <w:t> </w:t>
      </w:r>
      <w:r>
        <w:rPr>
          <w:sz w:val="22"/>
        </w:rPr>
        <w:t>de</w:t>
      </w:r>
      <w:r>
        <w:rPr>
          <w:spacing w:val="-5"/>
          <w:sz w:val="22"/>
        </w:rPr>
        <w:t> </w:t>
      </w:r>
      <w:r>
        <w:rPr>
          <w:sz w:val="22"/>
        </w:rPr>
        <w:t>1.912</w:t>
      </w:r>
      <w:r>
        <w:rPr>
          <w:spacing w:val="-4"/>
          <w:sz w:val="22"/>
        </w:rPr>
        <w:t> </w:t>
      </w:r>
      <w:r>
        <w:rPr>
          <w:sz w:val="22"/>
        </w:rPr>
        <w:t>activos</w:t>
      </w:r>
      <w:r>
        <w:rPr>
          <w:spacing w:val="-3"/>
          <w:sz w:val="22"/>
        </w:rPr>
        <w:t> </w:t>
      </w:r>
      <w:r>
        <w:rPr>
          <w:sz w:val="22"/>
        </w:rPr>
        <w:t>intangibles</w:t>
      </w:r>
      <w:r>
        <w:rPr>
          <w:spacing w:val="-4"/>
          <w:sz w:val="22"/>
        </w:rPr>
        <w:t> </w:t>
      </w:r>
      <w:r>
        <w:rPr>
          <w:sz w:val="22"/>
        </w:rPr>
        <w:t>registrados,</w:t>
      </w:r>
      <w:r>
        <w:rPr>
          <w:spacing w:val="-4"/>
          <w:sz w:val="22"/>
        </w:rPr>
        <w:t> </w:t>
      </w:r>
      <w:r>
        <w:rPr>
          <w:sz w:val="22"/>
        </w:rPr>
        <w:t>un</w:t>
      </w:r>
      <w:r>
        <w:rPr>
          <w:spacing w:val="-4"/>
          <w:sz w:val="22"/>
        </w:rPr>
        <w:t> </w:t>
      </w:r>
      <w:r>
        <w:rPr>
          <w:sz w:val="22"/>
        </w:rPr>
        <w:t>total</w:t>
      </w:r>
      <w:r>
        <w:rPr>
          <w:spacing w:val="-4"/>
          <w:sz w:val="22"/>
        </w:rPr>
        <w:t> </w:t>
      </w:r>
      <w:r>
        <w:rPr>
          <w:sz w:val="22"/>
        </w:rPr>
        <w:t>de</w:t>
      </w:r>
      <w:r>
        <w:rPr>
          <w:spacing w:val="-5"/>
          <w:sz w:val="22"/>
        </w:rPr>
        <w:t> </w:t>
      </w:r>
      <w:r>
        <w:rPr>
          <w:sz w:val="22"/>
        </w:rPr>
        <w:t>136</w:t>
      </w:r>
      <w:r>
        <w:rPr>
          <w:spacing w:val="-5"/>
          <w:sz w:val="22"/>
        </w:rPr>
        <w:t> </w:t>
      </w:r>
      <w:r>
        <w:rPr>
          <w:sz w:val="22"/>
        </w:rPr>
        <w:t>continúan</w:t>
      </w:r>
      <w:r>
        <w:rPr>
          <w:spacing w:val="-4"/>
          <w:sz w:val="22"/>
        </w:rPr>
        <w:t> </w:t>
      </w:r>
      <w:r>
        <w:rPr>
          <w:spacing w:val="-2"/>
          <w:sz w:val="22"/>
        </w:rPr>
        <w:t>amortizándose:</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5168">
                <wp:simplePos x="0" y="0"/>
                <wp:positionH relativeFrom="page">
                  <wp:posOffset>9525</wp:posOffset>
                </wp:positionH>
                <wp:positionV relativeFrom="page">
                  <wp:posOffset>297208</wp:posOffset>
                </wp:positionV>
                <wp:extent cx="7762875" cy="9748520"/>
                <wp:effectExtent l="0" t="0" r="0" b="0"/>
                <wp:wrapNone/>
                <wp:docPr id="1051" name="Group 1051"/>
                <wp:cNvGraphicFramePr>
                  <a:graphicFrameLocks/>
                </wp:cNvGraphicFramePr>
                <a:graphic>
                  <a:graphicData uri="http://schemas.microsoft.com/office/word/2010/wordprocessingGroup">
                    <wpg:wgp>
                      <wpg:cNvPr id="1051" name="Group 1051"/>
                      <wpg:cNvGrpSpPr/>
                      <wpg:grpSpPr>
                        <a:xfrm>
                          <a:off x="0" y="0"/>
                          <a:ext cx="7762875" cy="9748520"/>
                          <a:chExt cx="7762875" cy="9748520"/>
                        </a:xfrm>
                      </wpg:grpSpPr>
                      <pic:pic>
                        <pic:nvPicPr>
                          <pic:cNvPr id="1052" name="Image 1052"/>
                          <pic:cNvPicPr/>
                        </pic:nvPicPr>
                        <pic:blipFill>
                          <a:blip r:embed="rId5" cstate="print"/>
                          <a:stretch>
                            <a:fillRect/>
                          </a:stretch>
                        </pic:blipFill>
                        <pic:spPr>
                          <a:xfrm>
                            <a:off x="0" y="0"/>
                            <a:ext cx="7762874" cy="9748489"/>
                          </a:xfrm>
                          <a:prstGeom prst="rect">
                            <a:avLst/>
                          </a:prstGeom>
                        </pic:spPr>
                      </pic:pic>
                      <wps:wsp>
                        <wps:cNvPr id="1053" name="Graphic 1053"/>
                        <wps:cNvSpPr/>
                        <wps:spPr>
                          <a:xfrm>
                            <a:off x="1053007" y="990837"/>
                            <a:ext cx="6225540" cy="4307840"/>
                          </a:xfrm>
                          <a:custGeom>
                            <a:avLst/>
                            <a:gdLst/>
                            <a:ahLst/>
                            <a:cxnLst/>
                            <a:rect l="l" t="t" r="r" b="b"/>
                            <a:pathLst>
                              <a:path w="6225540" h="4307840">
                                <a:moveTo>
                                  <a:pt x="5649214" y="0"/>
                                </a:moveTo>
                                <a:lnTo>
                                  <a:pt x="0" y="0"/>
                                </a:lnTo>
                                <a:lnTo>
                                  <a:pt x="0" y="9131"/>
                                </a:lnTo>
                                <a:lnTo>
                                  <a:pt x="5649214" y="9131"/>
                                </a:lnTo>
                                <a:lnTo>
                                  <a:pt x="5649214" y="0"/>
                                </a:lnTo>
                                <a:close/>
                              </a:path>
                              <a:path w="6225540" h="4307840">
                                <a:moveTo>
                                  <a:pt x="6225235" y="126479"/>
                                </a:moveTo>
                                <a:lnTo>
                                  <a:pt x="6219190" y="126479"/>
                                </a:lnTo>
                                <a:lnTo>
                                  <a:pt x="6219139" y="132575"/>
                                </a:lnTo>
                                <a:lnTo>
                                  <a:pt x="6219139" y="4301350"/>
                                </a:lnTo>
                                <a:lnTo>
                                  <a:pt x="21336" y="4301350"/>
                                </a:lnTo>
                                <a:lnTo>
                                  <a:pt x="21336" y="132575"/>
                                </a:lnTo>
                                <a:lnTo>
                                  <a:pt x="6219139" y="132575"/>
                                </a:lnTo>
                                <a:lnTo>
                                  <a:pt x="6219139" y="126479"/>
                                </a:lnTo>
                                <a:lnTo>
                                  <a:pt x="21336" y="126479"/>
                                </a:lnTo>
                                <a:lnTo>
                                  <a:pt x="15240" y="126479"/>
                                </a:lnTo>
                                <a:lnTo>
                                  <a:pt x="15240" y="132575"/>
                                </a:lnTo>
                                <a:lnTo>
                                  <a:pt x="15240" y="4301350"/>
                                </a:lnTo>
                                <a:lnTo>
                                  <a:pt x="15240" y="4307446"/>
                                </a:lnTo>
                                <a:lnTo>
                                  <a:pt x="21336" y="4307446"/>
                                </a:lnTo>
                                <a:lnTo>
                                  <a:pt x="6219139" y="4307446"/>
                                </a:lnTo>
                                <a:lnTo>
                                  <a:pt x="6225235" y="4307446"/>
                                </a:lnTo>
                                <a:lnTo>
                                  <a:pt x="6225235" y="4301350"/>
                                </a:lnTo>
                                <a:lnTo>
                                  <a:pt x="6225235" y="132575"/>
                                </a:lnTo>
                                <a:lnTo>
                                  <a:pt x="6225235"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1312" id="docshapegroup998" coordorigin="15,468" coordsize="12225,15352">
                <v:shape style="position:absolute;left:15;top:468;width:12225;height:15352" type="#_x0000_t75" id="docshape999" stroked="false">
                  <v:imagedata r:id="rId5" o:title=""/>
                </v:shape>
                <v:shape style="position:absolute;left:1673;top:2028;width:9804;height:6784" id="docshape1000" coordorigin="1673,2028" coordsize="9804,6784" path="m10570,2028l1673,2028,1673,2043,10570,2043,10570,2028xm11477,2228l11467,2228,11467,2228,11467,2237,11467,8802,1707,8802,1707,2237,11467,2237,11467,2228,1707,2228,1697,2228,1697,2237,1697,8802,1697,8812,1707,8812,11467,8812,11467,8812,11477,8812,11477,8802,11477,2237,11477,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201</w:t>
      </w:r>
    </w:p>
    <w:p>
      <w:pPr>
        <w:pStyle w:val="BodyText"/>
        <w:spacing w:before="161"/>
        <w:rPr>
          <w:sz w:val="20"/>
        </w:rPr>
      </w:pPr>
    </w:p>
    <w:tbl>
      <w:tblPr>
        <w:tblW w:w="0" w:type="auto"/>
        <w:jc w:val="left"/>
        <w:tblInd w:w="1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7"/>
        <w:gridCol w:w="574"/>
        <w:gridCol w:w="1341"/>
        <w:gridCol w:w="856"/>
        <w:gridCol w:w="719"/>
        <w:gridCol w:w="3166"/>
        <w:gridCol w:w="480"/>
      </w:tblGrid>
      <w:tr>
        <w:trPr>
          <w:trHeight w:val="294" w:hRule="atLeast"/>
        </w:trPr>
        <w:tc>
          <w:tcPr>
            <w:tcW w:w="7443" w:type="dxa"/>
            <w:gridSpan w:val="7"/>
            <w:tcBorders>
              <w:left w:val="single" w:sz="4" w:space="0" w:color="000000"/>
            </w:tcBorders>
            <w:shd w:val="clear" w:color="auto" w:fill="C1EFC7"/>
          </w:tcPr>
          <w:p>
            <w:pPr>
              <w:pStyle w:val="TableParagraph"/>
              <w:spacing w:before="70"/>
              <w:ind w:left="20"/>
              <w:jc w:val="center"/>
              <w:rPr>
                <w:rFonts w:ascii="Times New Roman"/>
                <w:b/>
                <w:sz w:val="13"/>
              </w:rPr>
            </w:pPr>
            <w:r>
              <w:rPr>
                <w:rFonts w:ascii="Times New Roman"/>
                <w:b/>
                <w:sz w:val="13"/>
              </w:rPr>
              <mc:AlternateContent>
                <mc:Choice Requires="wps">
                  <w:drawing>
                    <wp:anchor distT="0" distB="0" distL="0" distR="0" allowOverlap="1" layoutInCell="1" locked="0" behindDoc="0" simplePos="0" relativeHeight="15939584">
                      <wp:simplePos x="0" y="0"/>
                      <wp:positionH relativeFrom="column">
                        <wp:posOffset>2561</wp:posOffset>
                      </wp:positionH>
                      <wp:positionV relativeFrom="paragraph">
                        <wp:posOffset>3434</wp:posOffset>
                      </wp:positionV>
                      <wp:extent cx="1291590" cy="174625"/>
                      <wp:effectExtent l="0" t="0" r="0" b="0"/>
                      <wp:wrapNone/>
                      <wp:docPr id="1054" name="Group 1054"/>
                      <wp:cNvGraphicFramePr>
                        <a:graphicFrameLocks/>
                      </wp:cNvGraphicFramePr>
                      <a:graphic>
                        <a:graphicData uri="http://schemas.microsoft.com/office/word/2010/wordprocessingGroup">
                          <wpg:wgp>
                            <wpg:cNvPr id="1054" name="Group 1054"/>
                            <wpg:cNvGrpSpPr/>
                            <wpg:grpSpPr>
                              <a:xfrm>
                                <a:off x="0" y="0"/>
                                <a:ext cx="1291590" cy="174625"/>
                                <a:chExt cx="1291590" cy="174625"/>
                              </a:xfrm>
                            </wpg:grpSpPr>
                            <pic:pic>
                              <pic:nvPicPr>
                                <pic:cNvPr id="1055" name="Image 1055"/>
                                <pic:cNvPicPr/>
                              </pic:nvPicPr>
                              <pic:blipFill>
                                <a:blip r:embed="rId108" cstate="print"/>
                                <a:stretch>
                                  <a:fillRect/>
                                </a:stretch>
                              </pic:blipFill>
                              <pic:spPr>
                                <a:xfrm>
                                  <a:off x="0" y="0"/>
                                  <a:ext cx="1291122" cy="174052"/>
                                </a:xfrm>
                                <a:prstGeom prst="rect">
                                  <a:avLst/>
                                </a:prstGeom>
                              </pic:spPr>
                            </pic:pic>
                          </wpg:wgp>
                        </a:graphicData>
                      </a:graphic>
                    </wp:anchor>
                  </w:drawing>
                </mc:Choice>
                <mc:Fallback>
                  <w:pict>
                    <v:group style="position:absolute;margin-left:.201708pt;margin-top:.270464pt;width:101.7pt;height:13.75pt;mso-position-horizontal-relative:column;mso-position-vertical-relative:paragraph;z-index:15939584" id="docshapegroup1001" coordorigin="4,5" coordsize="2034,275">
                      <v:shape style="position:absolute;left:4;top:5;width:2034;height:275" type="#_x0000_t75" id="docshape1002" stroked="false">
                        <v:imagedata r:id="rId108" o:title=""/>
                      </v:shape>
                      <w10:wrap type="none"/>
                    </v:group>
                  </w:pict>
                </mc:Fallback>
              </mc:AlternateContent>
            </w:r>
            <w:r>
              <w:rPr>
                <w:rFonts w:ascii="Times New Roman"/>
                <w:b/>
                <w:spacing w:val="-4"/>
                <w:sz w:val="13"/>
              </w:rPr>
              <w:t>ACTIVOS</w:t>
            </w:r>
            <w:r>
              <w:rPr>
                <w:rFonts w:ascii="Times New Roman"/>
                <w:b/>
                <w:spacing w:val="5"/>
                <w:sz w:val="13"/>
              </w:rPr>
              <w:t> </w:t>
            </w:r>
            <w:r>
              <w:rPr>
                <w:rFonts w:ascii="Times New Roman"/>
                <w:b/>
                <w:spacing w:val="-4"/>
                <w:sz w:val="13"/>
              </w:rPr>
              <w:t>INTANGIBLES</w:t>
            </w:r>
            <w:r>
              <w:rPr>
                <w:rFonts w:ascii="Times New Roman"/>
                <w:b/>
                <w:spacing w:val="6"/>
                <w:sz w:val="13"/>
              </w:rPr>
              <w:t> </w:t>
            </w:r>
            <w:r>
              <w:rPr>
                <w:rFonts w:ascii="Times New Roman"/>
                <w:b/>
                <w:spacing w:val="-4"/>
                <w:sz w:val="13"/>
              </w:rPr>
              <w:t>NO</w:t>
            </w:r>
            <w:r>
              <w:rPr>
                <w:rFonts w:ascii="Times New Roman"/>
                <w:b/>
                <w:sz w:val="13"/>
              </w:rPr>
              <w:t> </w:t>
            </w:r>
            <w:r>
              <w:rPr>
                <w:rFonts w:ascii="Times New Roman"/>
                <w:b/>
                <w:spacing w:val="-4"/>
                <w:sz w:val="13"/>
              </w:rPr>
              <w:t>AMORTIZADOS</w:t>
            </w:r>
          </w:p>
        </w:tc>
      </w:tr>
      <w:tr>
        <w:trPr>
          <w:trHeight w:val="344" w:hRule="atLeast"/>
        </w:trPr>
        <w:tc>
          <w:tcPr>
            <w:tcW w:w="307" w:type="dxa"/>
            <w:tcBorders>
              <w:left w:val="single" w:sz="4" w:space="0" w:color="000000"/>
              <w:bottom w:val="single" w:sz="4" w:space="0" w:color="000000"/>
            </w:tcBorders>
            <w:shd w:val="clear" w:color="auto" w:fill="17365D"/>
          </w:tcPr>
          <w:p>
            <w:pPr>
              <w:pStyle w:val="TableParagraph"/>
              <w:spacing w:before="104"/>
              <w:ind w:left="20"/>
              <w:jc w:val="center"/>
              <w:rPr>
                <w:rFonts w:ascii="Arial Narrow"/>
                <w:sz w:val="12"/>
              </w:rPr>
            </w:pPr>
            <w:r>
              <w:rPr>
                <w:rFonts w:ascii="Arial Narrow"/>
                <w:color w:val="FFFFFF"/>
                <w:spacing w:val="-10"/>
                <w:sz w:val="12"/>
              </w:rPr>
              <w:t>#</w:t>
            </w:r>
          </w:p>
        </w:tc>
        <w:tc>
          <w:tcPr>
            <w:tcW w:w="574" w:type="dxa"/>
            <w:tcBorders>
              <w:bottom w:val="single" w:sz="4" w:space="0" w:color="000000"/>
            </w:tcBorders>
            <w:shd w:val="clear" w:color="auto" w:fill="1F3863"/>
          </w:tcPr>
          <w:p>
            <w:pPr>
              <w:pStyle w:val="TableParagraph"/>
              <w:spacing w:before="15"/>
              <w:ind w:left="10"/>
              <w:jc w:val="center"/>
              <w:rPr>
                <w:rFonts w:ascii="Arial Narrow"/>
                <w:sz w:val="12"/>
              </w:rPr>
            </w:pPr>
            <w:r>
              <w:rPr>
                <w:rFonts w:ascii="Arial Narrow"/>
                <w:color w:val="FFFFFF"/>
                <w:spacing w:val="-5"/>
                <w:sz w:val="12"/>
              </w:rPr>
              <w:t>No.</w:t>
            </w:r>
          </w:p>
          <w:p>
            <w:pPr>
              <w:pStyle w:val="TableParagraph"/>
              <w:spacing w:line="132" w:lineRule="exact" w:before="40"/>
              <w:ind w:left="10" w:right="6"/>
              <w:jc w:val="center"/>
              <w:rPr>
                <w:rFonts w:ascii="Arial Narrow" w:hAnsi="Arial Narrow"/>
                <w:sz w:val="12"/>
              </w:rPr>
            </w:pPr>
            <w:r>
              <w:rPr>
                <w:rFonts w:ascii="Arial Narrow" w:hAnsi="Arial Narrow"/>
                <w:color w:val="FFFFFF"/>
                <w:spacing w:val="-2"/>
                <w:sz w:val="12"/>
              </w:rPr>
              <w:t>inscripción</w:t>
            </w:r>
          </w:p>
        </w:tc>
        <w:tc>
          <w:tcPr>
            <w:tcW w:w="1341" w:type="dxa"/>
            <w:tcBorders>
              <w:bottom w:val="single" w:sz="4" w:space="0" w:color="000000"/>
            </w:tcBorders>
            <w:shd w:val="clear" w:color="auto" w:fill="1F3863"/>
          </w:tcPr>
          <w:p>
            <w:pPr>
              <w:pStyle w:val="TableParagraph"/>
              <w:spacing w:before="104"/>
              <w:ind w:left="421"/>
              <w:rPr>
                <w:rFonts w:ascii="Arial Narrow"/>
                <w:sz w:val="12"/>
              </w:rPr>
            </w:pPr>
            <w:r>
              <w:rPr>
                <w:rFonts w:ascii="Arial Narrow"/>
                <w:color w:val="FFFFFF"/>
                <w:sz w:val="12"/>
              </w:rPr>
              <w:t>Tipo</w:t>
            </w:r>
            <w:r>
              <w:rPr>
                <w:rFonts w:ascii="Arial Narrow"/>
                <w:color w:val="FFFFFF"/>
                <w:spacing w:val="12"/>
                <w:sz w:val="12"/>
              </w:rPr>
              <w:t> </w:t>
            </w:r>
            <w:r>
              <w:rPr>
                <w:rFonts w:ascii="Arial Narrow"/>
                <w:color w:val="FFFFFF"/>
                <w:spacing w:val="-2"/>
                <w:sz w:val="12"/>
              </w:rPr>
              <w:t>Activo</w:t>
            </w:r>
          </w:p>
        </w:tc>
        <w:tc>
          <w:tcPr>
            <w:tcW w:w="856" w:type="dxa"/>
            <w:tcBorders>
              <w:bottom w:val="single" w:sz="4" w:space="0" w:color="000000"/>
            </w:tcBorders>
            <w:shd w:val="clear" w:color="auto" w:fill="1F3863"/>
          </w:tcPr>
          <w:p>
            <w:pPr>
              <w:pStyle w:val="TableParagraph"/>
              <w:spacing w:before="104"/>
              <w:ind w:left="195"/>
              <w:rPr>
                <w:rFonts w:ascii="Arial Narrow" w:hAnsi="Arial Narrow"/>
                <w:sz w:val="12"/>
              </w:rPr>
            </w:pPr>
            <w:r>
              <w:rPr>
                <w:rFonts w:ascii="Arial Narrow" w:hAnsi="Arial Narrow"/>
                <w:color w:val="FFFFFF"/>
                <w:spacing w:val="-2"/>
                <w:sz w:val="12"/>
              </w:rPr>
              <w:t>Ubicación</w:t>
            </w:r>
          </w:p>
        </w:tc>
        <w:tc>
          <w:tcPr>
            <w:tcW w:w="719" w:type="dxa"/>
            <w:tcBorders>
              <w:bottom w:val="single" w:sz="4" w:space="0" w:color="000000"/>
            </w:tcBorders>
            <w:shd w:val="clear" w:color="auto" w:fill="1F3863"/>
          </w:tcPr>
          <w:p>
            <w:pPr>
              <w:pStyle w:val="TableParagraph"/>
              <w:spacing w:before="104"/>
              <w:ind w:left="4"/>
              <w:jc w:val="center"/>
              <w:rPr>
                <w:rFonts w:ascii="Arial Narrow" w:hAnsi="Arial Narrow"/>
                <w:sz w:val="12"/>
              </w:rPr>
            </w:pPr>
            <w:r>
              <w:rPr>
                <w:rFonts w:ascii="Arial Narrow" w:hAnsi="Arial Narrow"/>
                <w:color w:val="FFFFFF"/>
                <w:spacing w:val="-2"/>
                <w:sz w:val="12"/>
              </w:rPr>
              <w:t>Vida</w:t>
            </w:r>
            <w:r>
              <w:rPr>
                <w:rFonts w:ascii="Arial Narrow" w:hAnsi="Arial Narrow"/>
                <w:color w:val="FFFFFF"/>
                <w:spacing w:val="-1"/>
                <w:sz w:val="12"/>
              </w:rPr>
              <w:t> </w:t>
            </w:r>
            <w:r>
              <w:rPr>
                <w:rFonts w:ascii="Arial Narrow" w:hAnsi="Arial Narrow"/>
                <w:color w:val="FFFFFF"/>
                <w:spacing w:val="-4"/>
                <w:sz w:val="12"/>
              </w:rPr>
              <w:t>Útil</w:t>
            </w:r>
          </w:p>
        </w:tc>
        <w:tc>
          <w:tcPr>
            <w:tcW w:w="3166" w:type="dxa"/>
            <w:tcBorders>
              <w:bottom w:val="nil"/>
            </w:tcBorders>
            <w:shd w:val="clear" w:color="auto" w:fill="1F3863"/>
          </w:tcPr>
          <w:p>
            <w:pPr>
              <w:pStyle w:val="TableParagraph"/>
              <w:spacing w:before="104"/>
              <w:ind w:left="14"/>
              <w:jc w:val="center"/>
              <w:rPr>
                <w:rFonts w:ascii="Arial Narrow"/>
                <w:sz w:val="12"/>
              </w:rPr>
            </w:pPr>
            <w:r>
              <w:rPr>
                <w:rFonts w:ascii="Arial Narrow"/>
                <w:color w:val="FFFFFF"/>
                <w:spacing w:val="-2"/>
                <w:sz w:val="12"/>
              </w:rPr>
              <w:t>Observaciones</w:t>
            </w:r>
          </w:p>
        </w:tc>
        <w:tc>
          <w:tcPr>
            <w:tcW w:w="480" w:type="dxa"/>
            <w:tcBorders>
              <w:bottom w:val="single" w:sz="4" w:space="0" w:color="000000"/>
            </w:tcBorders>
            <w:shd w:val="clear" w:color="auto" w:fill="1F3863"/>
          </w:tcPr>
          <w:p>
            <w:pPr>
              <w:pStyle w:val="TableParagraph"/>
              <w:spacing w:before="104"/>
              <w:ind w:right="22"/>
              <w:jc w:val="right"/>
              <w:rPr>
                <w:rFonts w:ascii="Arial Narrow"/>
                <w:sz w:val="12"/>
              </w:rPr>
            </w:pPr>
            <w:r>
              <w:rPr>
                <w:rFonts w:ascii="Arial Narrow"/>
                <w:color w:val="FFFFFF"/>
                <w:spacing w:val="-2"/>
                <w:sz w:val="12"/>
              </w:rPr>
              <w:t>Cantidad</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1</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0" w:right="31"/>
              <w:jc w:val="center"/>
              <w:rPr>
                <w:rFonts w:ascii="Calibri"/>
                <w:sz w:val="10"/>
              </w:rPr>
            </w:pPr>
            <w:r>
              <w:rPr>
                <w:rFonts w:ascii="Calibri"/>
                <w:spacing w:val="-10"/>
                <w:w w:val="105"/>
                <w:sz w:val="10"/>
              </w:rPr>
              <w:t>3</w:t>
            </w:r>
          </w:p>
        </w:tc>
        <w:tc>
          <w:tcPr>
            <w:tcW w:w="3166" w:type="dxa"/>
            <w:tcBorders>
              <w:top w:val="nil"/>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SOFTWARE</w:t>
            </w:r>
            <w:r>
              <w:rPr>
                <w:rFonts w:ascii="Calibri"/>
                <w:spacing w:val="-8"/>
                <w:sz w:val="12"/>
              </w:rPr>
              <w:t> </w:t>
            </w:r>
            <w:r>
              <w:rPr>
                <w:rFonts w:ascii="Calibri"/>
                <w:spacing w:val="-2"/>
                <w:sz w:val="12"/>
              </w:rPr>
              <w:t>DRAGON</w:t>
            </w:r>
            <w:r>
              <w:rPr>
                <w:rFonts w:ascii="Calibri"/>
                <w:sz w:val="12"/>
              </w:rPr>
              <w:t> </w:t>
            </w:r>
            <w:r>
              <w:rPr>
                <w:rFonts w:ascii="Calibri"/>
                <w:spacing w:val="-2"/>
                <w:sz w:val="12"/>
              </w:rPr>
              <w:t>SPEAKING</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2</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59" w:right="31"/>
              <w:jc w:val="center"/>
              <w:rPr>
                <w:rFonts w:ascii="Calibri"/>
                <w:sz w:val="12"/>
              </w:rPr>
            </w:pPr>
            <w:r>
              <w:rPr>
                <w:rFonts w:ascii="Calibri"/>
                <w:spacing w:val="-10"/>
                <w:sz w:val="12"/>
              </w:rPr>
              <w:t>3</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4"/>
                <w:w w:val="105"/>
                <w:sz w:val="12"/>
              </w:rPr>
              <w:t>LICENCIA</w:t>
            </w:r>
            <w:r>
              <w:rPr>
                <w:rFonts w:ascii="Calibri"/>
                <w:spacing w:val="-1"/>
                <w:sz w:val="12"/>
              </w:rPr>
              <w:t> </w:t>
            </w:r>
            <w:r>
              <w:rPr>
                <w:rFonts w:ascii="Calibri"/>
                <w:spacing w:val="-4"/>
                <w:w w:val="105"/>
                <w:sz w:val="12"/>
              </w:rPr>
              <w:t>SAP</w:t>
            </w:r>
            <w:r>
              <w:rPr>
                <w:rFonts w:ascii="Calibri"/>
                <w:w w:val="105"/>
                <w:sz w:val="12"/>
              </w:rPr>
              <w:t> </w:t>
            </w:r>
            <w:r>
              <w:rPr>
                <w:rFonts w:ascii="Calibri"/>
                <w:spacing w:val="-4"/>
                <w:w w:val="105"/>
                <w:sz w:val="12"/>
              </w:rPr>
              <w:t>(</w:t>
            </w:r>
            <w:r>
              <w:rPr>
                <w:rFonts w:ascii="Calibri"/>
                <w:spacing w:val="2"/>
                <w:w w:val="105"/>
                <w:sz w:val="12"/>
              </w:rPr>
              <w:t> </w:t>
            </w:r>
            <w:r>
              <w:rPr>
                <w:rFonts w:ascii="Calibri"/>
                <w:spacing w:val="-4"/>
                <w:w w:val="105"/>
                <w:sz w:val="12"/>
              </w:rPr>
              <w:t>7</w:t>
            </w:r>
            <w:r>
              <w:rPr>
                <w:rFonts w:ascii="Calibri"/>
                <w:spacing w:val="-6"/>
                <w:w w:val="105"/>
                <w:sz w:val="12"/>
              </w:rPr>
              <w:t> </w:t>
            </w:r>
            <w:r>
              <w:rPr>
                <w:rFonts w:ascii="Calibri"/>
                <w:spacing w:val="-4"/>
                <w:w w:val="105"/>
                <w:sz w:val="12"/>
              </w:rPr>
              <w:t>LICENCIAS</w:t>
            </w:r>
            <w:r>
              <w:rPr>
                <w:rFonts w:ascii="Calibri"/>
                <w:spacing w:val="-9"/>
                <w:w w:val="105"/>
                <w:sz w:val="12"/>
              </w:rPr>
              <w:t> </w:t>
            </w:r>
            <w:r>
              <w:rPr>
                <w:rFonts w:ascii="Calibri"/>
                <w:spacing w:val="-10"/>
                <w:w w:val="105"/>
                <w:sz w:val="12"/>
              </w:rPr>
              <w:t>)</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7</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3</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59" w:right="31"/>
              <w:jc w:val="center"/>
              <w:rPr>
                <w:rFonts w:ascii="Calibri"/>
                <w:sz w:val="12"/>
              </w:rPr>
            </w:pPr>
            <w:r>
              <w:rPr>
                <w:rFonts w:ascii="Calibri"/>
                <w:spacing w:val="-10"/>
                <w:sz w:val="12"/>
              </w:rPr>
              <w:t>3</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hAnsi="Calibri"/>
                <w:sz w:val="12"/>
              </w:rPr>
            </w:pPr>
            <w:r>
              <w:rPr>
                <w:rFonts w:ascii="Calibri" w:hAnsi="Calibri"/>
                <w:spacing w:val="-2"/>
                <w:sz w:val="12"/>
              </w:rPr>
              <w:t>LICENCIA WINDOWS</w:t>
            </w:r>
            <w:r>
              <w:rPr>
                <w:rFonts w:ascii="Calibri" w:hAnsi="Calibri"/>
                <w:spacing w:val="-8"/>
                <w:sz w:val="12"/>
              </w:rPr>
              <w:t> </w:t>
            </w:r>
            <w:r>
              <w:rPr>
                <w:rFonts w:ascii="Calibri" w:hAnsi="Calibri"/>
                <w:spacing w:val="-2"/>
                <w:sz w:val="12"/>
              </w:rPr>
              <w:t>SERVER,</w:t>
            </w:r>
            <w:r>
              <w:rPr>
                <w:rFonts w:ascii="Calibri" w:hAnsi="Calibri"/>
                <w:sz w:val="12"/>
              </w:rPr>
              <w:t> </w:t>
            </w:r>
            <w:r>
              <w:rPr>
                <w:rFonts w:ascii="Calibri" w:hAnsi="Calibri"/>
                <w:spacing w:val="-2"/>
                <w:sz w:val="12"/>
              </w:rPr>
              <w:t>VERSIÓN</w:t>
            </w:r>
            <w:r>
              <w:rPr>
                <w:rFonts w:ascii="Calibri" w:hAnsi="Calibri"/>
                <w:spacing w:val="2"/>
                <w:sz w:val="12"/>
              </w:rPr>
              <w:t> </w:t>
            </w:r>
            <w:r>
              <w:rPr>
                <w:rFonts w:ascii="Calibri" w:hAnsi="Calibri"/>
                <w:spacing w:val="-2"/>
                <w:sz w:val="12"/>
              </w:rPr>
              <w:t>2019,</w:t>
            </w:r>
            <w:r>
              <w:rPr>
                <w:rFonts w:ascii="Calibri" w:hAnsi="Calibri"/>
                <w:sz w:val="12"/>
              </w:rPr>
              <w:t> </w:t>
            </w:r>
            <w:r>
              <w:rPr>
                <w:rFonts w:ascii="Calibri" w:hAnsi="Calibri"/>
                <w:spacing w:val="-2"/>
                <w:sz w:val="12"/>
              </w:rPr>
              <w:t>VIG.</w:t>
            </w:r>
            <w:r>
              <w:rPr>
                <w:rFonts w:ascii="Calibri" w:hAnsi="Calibri"/>
                <w:sz w:val="12"/>
              </w:rPr>
              <w:t> </w:t>
            </w:r>
            <w:r>
              <w:rPr>
                <w:rFonts w:ascii="Calibri" w:hAnsi="Calibri"/>
                <w:spacing w:val="-2"/>
                <w:sz w:val="12"/>
              </w:rPr>
              <w:t>PERPET</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4</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HOGARES</w:t>
            </w:r>
            <w:r>
              <w:rPr>
                <w:rFonts w:ascii="Calibri"/>
                <w:spacing w:val="1"/>
                <w:sz w:val="12"/>
              </w:rPr>
              <w:t> </w:t>
            </w:r>
            <w:r>
              <w:rPr>
                <w:rFonts w:ascii="Calibri"/>
                <w:spacing w:val="-2"/>
                <w:sz w:val="12"/>
              </w:rPr>
              <w:t>CONECTADOS</w:t>
            </w:r>
            <w:r>
              <w:rPr>
                <w:rFonts w:ascii="Calibri"/>
                <w:spacing w:val="1"/>
                <w:sz w:val="12"/>
              </w:rPr>
              <w:t> </w:t>
            </w:r>
            <w:r>
              <w:rPr>
                <w:rFonts w:ascii="Calibri"/>
                <w:spacing w:val="-2"/>
                <w:sz w:val="12"/>
              </w:rPr>
              <w:t>(SUTEL)</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jc w:val="center"/>
              <w:rPr>
                <w:rFonts w:ascii="Arial Narrow"/>
                <w:sz w:val="12"/>
              </w:rPr>
            </w:pPr>
            <w:r>
              <w:rPr>
                <w:rFonts w:ascii="Arial Narrow"/>
                <w:spacing w:val="-10"/>
                <w:sz w:val="12"/>
              </w:rPr>
              <w:t>5</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HOGARES</w:t>
            </w:r>
            <w:r>
              <w:rPr>
                <w:rFonts w:ascii="Calibri"/>
                <w:spacing w:val="1"/>
                <w:sz w:val="12"/>
              </w:rPr>
              <w:t> </w:t>
            </w:r>
            <w:r>
              <w:rPr>
                <w:rFonts w:ascii="Calibri"/>
                <w:spacing w:val="-2"/>
                <w:sz w:val="12"/>
              </w:rPr>
              <w:t>CONECTADOS</w:t>
            </w:r>
            <w:r>
              <w:rPr>
                <w:rFonts w:ascii="Calibri"/>
                <w:spacing w:val="1"/>
                <w:sz w:val="12"/>
              </w:rPr>
              <w:t> </w:t>
            </w:r>
            <w:r>
              <w:rPr>
                <w:rFonts w:ascii="Calibri"/>
                <w:spacing w:val="-5"/>
                <w:sz w:val="12"/>
              </w:rPr>
              <w:t>WEB</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jc w:val="center"/>
              <w:rPr>
                <w:rFonts w:ascii="Arial Narrow"/>
                <w:sz w:val="12"/>
              </w:rPr>
            </w:pPr>
            <w:r>
              <w:rPr>
                <w:rFonts w:ascii="Arial Narrow"/>
                <w:spacing w:val="-10"/>
                <w:sz w:val="12"/>
              </w:rPr>
              <w:t>6</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1"/>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1"/>
              <w:ind w:left="22"/>
              <w:rPr>
                <w:rFonts w:ascii="Calibri"/>
                <w:sz w:val="12"/>
              </w:rPr>
            </w:pPr>
            <w:r>
              <w:rPr>
                <w:rFonts w:ascii="Calibri"/>
                <w:spacing w:val="-2"/>
                <w:sz w:val="12"/>
              </w:rPr>
              <w:t>HOGARES</w:t>
            </w:r>
            <w:r>
              <w:rPr>
                <w:rFonts w:ascii="Calibri"/>
                <w:spacing w:val="1"/>
                <w:sz w:val="12"/>
              </w:rPr>
              <w:t> </w:t>
            </w:r>
            <w:r>
              <w:rPr>
                <w:rFonts w:ascii="Calibri"/>
                <w:spacing w:val="-2"/>
                <w:sz w:val="12"/>
              </w:rPr>
              <w:t>CONECTADOS</w:t>
            </w:r>
            <w:r>
              <w:rPr>
                <w:rFonts w:ascii="Calibri"/>
                <w:spacing w:val="1"/>
                <w:sz w:val="12"/>
              </w:rPr>
              <w:t> </w:t>
            </w:r>
            <w:r>
              <w:rPr>
                <w:rFonts w:ascii="Calibri"/>
                <w:spacing w:val="-2"/>
                <w:sz w:val="12"/>
              </w:rPr>
              <w:t>ESCRITORIOS</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jc w:val="center"/>
              <w:rPr>
                <w:rFonts w:ascii="Arial Narrow"/>
                <w:sz w:val="12"/>
              </w:rPr>
            </w:pPr>
            <w:r>
              <w:rPr>
                <w:rFonts w:ascii="Arial Narrow"/>
                <w:spacing w:val="-10"/>
                <w:sz w:val="12"/>
              </w:rPr>
              <w:t>7</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SISTEMA</w:t>
            </w:r>
            <w:r>
              <w:rPr>
                <w:rFonts w:ascii="Calibri"/>
                <w:spacing w:val="1"/>
                <w:sz w:val="12"/>
              </w:rPr>
              <w:t> </w:t>
            </w:r>
            <w:r>
              <w:rPr>
                <w:rFonts w:ascii="Calibri"/>
                <w:spacing w:val="-2"/>
                <w:sz w:val="12"/>
              </w:rPr>
              <w:t>ATENCION</w:t>
            </w:r>
            <w:r>
              <w:rPr>
                <w:rFonts w:ascii="Calibri"/>
                <w:spacing w:val="5"/>
                <w:sz w:val="12"/>
              </w:rPr>
              <w:t> </w:t>
            </w:r>
            <w:r>
              <w:rPr>
                <w:rFonts w:ascii="Calibri"/>
                <w:spacing w:val="-2"/>
                <w:sz w:val="12"/>
              </w:rPr>
              <w:t>A</w:t>
            </w:r>
            <w:r>
              <w:rPr>
                <w:rFonts w:ascii="Calibri"/>
                <w:spacing w:val="2"/>
                <w:sz w:val="12"/>
              </w:rPr>
              <w:t> </w:t>
            </w:r>
            <w:r>
              <w:rPr>
                <w:rFonts w:ascii="Calibri"/>
                <w:spacing w:val="-2"/>
                <w:sz w:val="12"/>
              </w:rPr>
              <w:t>BENEFICIARIOS</w:t>
            </w:r>
            <w:r>
              <w:rPr>
                <w:rFonts w:ascii="Calibri"/>
                <w:spacing w:val="-6"/>
                <w:sz w:val="12"/>
              </w:rPr>
              <w:t> </w:t>
            </w:r>
            <w:r>
              <w:rPr>
                <w:rFonts w:ascii="Calibri"/>
                <w:spacing w:val="-2"/>
                <w:sz w:val="12"/>
              </w:rPr>
              <w:t>(SABEN)</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8</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AVANCEMOS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jc w:val="center"/>
              <w:rPr>
                <w:rFonts w:ascii="Arial Narrow"/>
                <w:sz w:val="12"/>
              </w:rPr>
            </w:pPr>
            <w:r>
              <w:rPr>
                <w:rFonts w:ascii="Arial Narrow"/>
                <w:spacing w:val="-10"/>
                <w:sz w:val="12"/>
              </w:rPr>
              <w:t>9</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CONSULTA</w:t>
            </w:r>
            <w:r>
              <w:rPr>
                <w:rFonts w:ascii="Calibri"/>
                <w:spacing w:val="-3"/>
                <w:sz w:val="12"/>
              </w:rPr>
              <w:t> </w:t>
            </w:r>
            <w:r>
              <w:rPr>
                <w:rFonts w:ascii="Calibri"/>
                <w:spacing w:val="-2"/>
                <w:sz w:val="12"/>
              </w:rPr>
              <w:t>WEB</w:t>
            </w:r>
            <w:r>
              <w:rPr>
                <w:rFonts w:ascii="Calibri"/>
                <w:spacing w:val="-5"/>
                <w:sz w:val="12"/>
              </w:rPr>
              <w:t> </w:t>
            </w:r>
            <w:r>
              <w:rPr>
                <w:rFonts w:ascii="Calibri"/>
                <w:spacing w:val="-2"/>
                <w:sz w:val="12"/>
              </w:rPr>
              <w:t>DE</w:t>
            </w:r>
            <w:r>
              <w:rPr>
                <w:rFonts w:ascii="Calibri"/>
                <w:spacing w:val="-9"/>
                <w:sz w:val="12"/>
              </w:rPr>
              <w:t> </w:t>
            </w:r>
            <w:r>
              <w:rPr>
                <w:rFonts w:ascii="Calibri"/>
                <w:spacing w:val="-5"/>
                <w:sz w:val="12"/>
              </w:rPr>
              <w:t>FIS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10</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SISTEMA ATENCION</w:t>
            </w:r>
            <w:r>
              <w:rPr>
                <w:rFonts w:ascii="Calibri"/>
                <w:spacing w:val="1"/>
                <w:sz w:val="12"/>
              </w:rPr>
              <w:t> </w:t>
            </w:r>
            <w:r>
              <w:rPr>
                <w:rFonts w:ascii="Calibri"/>
                <w:spacing w:val="-2"/>
                <w:sz w:val="12"/>
              </w:rPr>
              <w:t>DE</w:t>
            </w:r>
            <w:r>
              <w:rPr>
                <w:rFonts w:ascii="Calibri"/>
                <w:spacing w:val="-7"/>
                <w:sz w:val="12"/>
              </w:rPr>
              <w:t> </w:t>
            </w:r>
            <w:r>
              <w:rPr>
                <w:rFonts w:ascii="Calibri"/>
                <w:spacing w:val="-2"/>
                <w:sz w:val="12"/>
              </w:rPr>
              <w:t>QUEJAS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11</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CONSULTA</w:t>
            </w:r>
            <w:r>
              <w:rPr>
                <w:rFonts w:ascii="Calibri"/>
                <w:sz w:val="12"/>
              </w:rPr>
              <w:t> </w:t>
            </w:r>
            <w:r>
              <w:rPr>
                <w:rFonts w:ascii="Calibri"/>
                <w:spacing w:val="-2"/>
                <w:sz w:val="12"/>
              </w:rPr>
              <w:t>WEB DE</w:t>
            </w:r>
            <w:r>
              <w:rPr>
                <w:rFonts w:ascii="Calibri"/>
                <w:spacing w:val="-5"/>
                <w:sz w:val="12"/>
              </w:rPr>
              <w:t> </w:t>
            </w:r>
            <w:r>
              <w:rPr>
                <w:rFonts w:ascii="Calibri"/>
                <w:spacing w:val="-2"/>
                <w:sz w:val="12"/>
              </w:rPr>
              <w:t>HISTORIAL</w:t>
            </w:r>
            <w:r>
              <w:rPr>
                <w:rFonts w:ascii="Calibri"/>
                <w:spacing w:val="-8"/>
                <w:sz w:val="12"/>
              </w:rPr>
              <w:t> </w:t>
            </w:r>
            <w:r>
              <w:rPr>
                <w:rFonts w:ascii="Calibri"/>
                <w:spacing w:val="-2"/>
                <w:sz w:val="12"/>
              </w:rPr>
              <w:t>BENEFICIARIO</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12</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z w:val="12"/>
              </w:rPr>
              <w:t>PATRONOS</w:t>
            </w:r>
            <w:r>
              <w:rPr>
                <w:rFonts w:ascii="Calibri"/>
                <w:spacing w:val="-10"/>
                <w:sz w:val="12"/>
              </w:rPr>
              <w:t> </w:t>
            </w:r>
            <w:r>
              <w:rPr>
                <w:rFonts w:ascii="Calibri"/>
                <w:sz w:val="12"/>
              </w:rPr>
              <w:t>MOROSOS</w:t>
            </w:r>
            <w:r>
              <w:rPr>
                <w:rFonts w:ascii="Calibri"/>
                <w:spacing w:val="-10"/>
                <w:sz w:val="12"/>
              </w:rPr>
              <w:t> </w:t>
            </w:r>
            <w:r>
              <w:rPr>
                <w:rFonts w:ascii="Calibri"/>
                <w:sz w:val="12"/>
              </w:rPr>
              <w:t>-</w:t>
            </w:r>
            <w:r>
              <w:rPr>
                <w:rFonts w:ascii="Calibri"/>
                <w:spacing w:val="-2"/>
                <w:sz w:val="12"/>
              </w:rPr>
              <w:t> </w:t>
            </w:r>
            <w:r>
              <w:rPr>
                <w:rFonts w:ascii="Calibri"/>
                <w:spacing w:val="-4"/>
                <w:sz w:val="12"/>
              </w:rPr>
              <w:t>IMAS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13</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z w:val="12"/>
              </w:rPr>
              <w:t>PLANES</w:t>
            </w:r>
            <w:r>
              <w:rPr>
                <w:rFonts w:ascii="Calibri"/>
                <w:spacing w:val="-9"/>
                <w:sz w:val="12"/>
              </w:rPr>
              <w:t> </w:t>
            </w:r>
            <w:r>
              <w:rPr>
                <w:rFonts w:ascii="Calibri"/>
                <w:sz w:val="12"/>
              </w:rPr>
              <w:t>DE</w:t>
            </w:r>
            <w:r>
              <w:rPr>
                <w:rFonts w:ascii="Calibri"/>
                <w:spacing w:val="-8"/>
                <w:sz w:val="12"/>
              </w:rPr>
              <w:t> </w:t>
            </w:r>
            <w:r>
              <w:rPr>
                <w:rFonts w:ascii="Calibri"/>
                <w:spacing w:val="-4"/>
                <w:sz w:val="12"/>
              </w:rPr>
              <w:t>VIDA</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14</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PLAN</w:t>
            </w:r>
            <w:r>
              <w:rPr>
                <w:rFonts w:ascii="Calibri"/>
                <w:spacing w:val="5"/>
                <w:sz w:val="12"/>
              </w:rPr>
              <w:t> </w:t>
            </w:r>
            <w:r>
              <w:rPr>
                <w:rFonts w:ascii="Calibri"/>
                <w:spacing w:val="-2"/>
                <w:sz w:val="12"/>
              </w:rPr>
              <w:t>PUENTE</w:t>
            </w:r>
            <w:r>
              <w:rPr>
                <w:rFonts w:ascii="Calibri"/>
                <w:spacing w:val="-5"/>
                <w:sz w:val="12"/>
              </w:rPr>
              <w:t> </w:t>
            </w:r>
            <w:r>
              <w:rPr>
                <w:rFonts w:ascii="Calibri"/>
                <w:spacing w:val="-2"/>
                <w:sz w:val="12"/>
              </w:rPr>
              <w:t>(ARTICULACION)</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15</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1"/>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1"/>
              <w:ind w:left="22"/>
              <w:rPr>
                <w:rFonts w:ascii="Calibri"/>
                <w:sz w:val="12"/>
              </w:rPr>
            </w:pPr>
            <w:r>
              <w:rPr>
                <w:rFonts w:ascii="Calibri"/>
                <w:spacing w:val="-2"/>
                <w:sz w:val="12"/>
              </w:rPr>
              <w:t>SIPO</w:t>
            </w:r>
            <w:r>
              <w:rPr>
                <w:rFonts w:ascii="Calibri"/>
                <w:spacing w:val="-1"/>
                <w:sz w:val="12"/>
              </w:rPr>
              <w:t> </w:t>
            </w:r>
            <w:r>
              <w:rPr>
                <w:rFonts w:ascii="Calibri"/>
                <w:spacing w:val="-2"/>
                <w:sz w:val="12"/>
              </w:rPr>
              <w:t>WEB</w:t>
            </w:r>
            <w:r>
              <w:rPr>
                <w:rFonts w:ascii="Calibri"/>
                <w:spacing w:val="-3"/>
                <w:sz w:val="12"/>
              </w:rPr>
              <w:t> </w:t>
            </w:r>
            <w:r>
              <w:rPr>
                <w:rFonts w:ascii="Calibri"/>
                <w:spacing w:val="-2"/>
                <w:sz w:val="12"/>
              </w:rPr>
              <w:t>(FIS)</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16</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2"/>
                <w:sz w:val="12"/>
              </w:rPr>
              <w:t>SISTEMA</w:t>
            </w:r>
            <w:r>
              <w:rPr>
                <w:rFonts w:ascii="Calibri"/>
                <w:spacing w:val="1"/>
                <w:sz w:val="12"/>
              </w:rPr>
              <w:t> </w:t>
            </w:r>
            <w:r>
              <w:rPr>
                <w:rFonts w:ascii="Calibri"/>
                <w:spacing w:val="-2"/>
                <w:sz w:val="12"/>
              </w:rPr>
              <w:t>DE</w:t>
            </w:r>
            <w:r>
              <w:rPr>
                <w:rFonts w:ascii="Calibri"/>
                <w:spacing w:val="-4"/>
                <w:sz w:val="12"/>
              </w:rPr>
              <w:t> </w:t>
            </w:r>
            <w:r>
              <w:rPr>
                <w:rFonts w:ascii="Calibri"/>
                <w:spacing w:val="-2"/>
                <w:sz w:val="12"/>
              </w:rPr>
              <w:t>TRANSPORTES</w:t>
            </w:r>
            <w:r>
              <w:rPr>
                <w:rFonts w:ascii="Calibri"/>
                <w:spacing w:val="-6"/>
                <w:sz w:val="12"/>
              </w:rPr>
              <w:t> </w:t>
            </w:r>
            <w:r>
              <w:rPr>
                <w:rFonts w:ascii="Calibri"/>
                <w:spacing w:val="-2"/>
                <w:sz w:val="12"/>
              </w:rPr>
              <w:t>(SITRA)</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17</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4"/>
                <w:sz w:val="12"/>
              </w:rPr>
              <w:t>SISTEMA</w:t>
            </w:r>
            <w:r>
              <w:rPr>
                <w:rFonts w:ascii="Calibri"/>
                <w:spacing w:val="4"/>
                <w:sz w:val="12"/>
              </w:rPr>
              <w:t> </w:t>
            </w:r>
            <w:r>
              <w:rPr>
                <w:rFonts w:ascii="Calibri"/>
                <w:spacing w:val="-4"/>
                <w:sz w:val="12"/>
              </w:rPr>
              <w:t>DE</w:t>
            </w:r>
            <w:r>
              <w:rPr>
                <w:rFonts w:ascii="Calibri"/>
                <w:spacing w:val="-3"/>
                <w:sz w:val="12"/>
              </w:rPr>
              <w:t> </w:t>
            </w:r>
            <w:r>
              <w:rPr>
                <w:rFonts w:ascii="Calibri"/>
                <w:spacing w:val="-4"/>
                <w:sz w:val="12"/>
              </w:rPr>
              <w:t>MARCAS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18</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5"/>
                <w:w w:val="105"/>
                <w:sz w:val="12"/>
              </w:rPr>
              <w:t>PROCESO</w:t>
            </w:r>
            <w:r>
              <w:rPr>
                <w:rFonts w:ascii="Calibri"/>
                <w:spacing w:val="5"/>
                <w:w w:val="105"/>
                <w:sz w:val="12"/>
              </w:rPr>
              <w:t> </w:t>
            </w:r>
            <w:r>
              <w:rPr>
                <w:rFonts w:ascii="Calibri"/>
                <w:spacing w:val="-2"/>
                <w:w w:val="105"/>
                <w:sz w:val="12"/>
              </w:rPr>
              <w:t>SINIRUBE</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19</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z w:val="12"/>
              </w:rPr>
              <w:t>Oficinas</w:t>
            </w:r>
            <w:r>
              <w:rPr>
                <w:rFonts w:ascii="Arial Narrow"/>
                <w:spacing w:val="3"/>
                <w:sz w:val="12"/>
              </w:rPr>
              <w:t> </w:t>
            </w:r>
            <w:r>
              <w:rPr>
                <w:rFonts w:ascii="Arial Narrow"/>
                <w:sz w:val="12"/>
              </w:rPr>
              <w:t>del</w:t>
            </w:r>
            <w:r>
              <w:rPr>
                <w:rFonts w:ascii="Arial Narrow"/>
                <w:spacing w:val="7"/>
                <w:sz w:val="12"/>
              </w:rPr>
              <w:t> </w:t>
            </w:r>
            <w:r>
              <w:rPr>
                <w:rFonts w:ascii="Arial Narrow"/>
                <w:spacing w:val="-4"/>
                <w:sz w:val="12"/>
              </w:rPr>
              <w:t>IMAS</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shd w:val="clear" w:color="auto" w:fill="FFFFFF"/>
          </w:tcPr>
          <w:p>
            <w:pPr>
              <w:pStyle w:val="TableParagraph"/>
              <w:spacing w:line="126" w:lineRule="exact" w:before="22"/>
              <w:ind w:left="22"/>
              <w:rPr>
                <w:rFonts w:ascii="Calibri"/>
                <w:sz w:val="12"/>
              </w:rPr>
            </w:pPr>
            <w:r>
              <w:rPr>
                <w:rFonts w:ascii="Calibri"/>
                <w:spacing w:val="-4"/>
                <w:sz w:val="12"/>
              </w:rPr>
              <w:t>SISTEMA</w:t>
            </w:r>
            <w:r>
              <w:rPr>
                <w:rFonts w:ascii="Calibri"/>
                <w:spacing w:val="5"/>
                <w:sz w:val="12"/>
              </w:rPr>
              <w:t> </w:t>
            </w:r>
            <w:r>
              <w:rPr>
                <w:rFonts w:ascii="Calibri"/>
                <w:spacing w:val="-4"/>
                <w:sz w:val="12"/>
              </w:rPr>
              <w:t>DESARROLLO</w:t>
            </w:r>
            <w:r>
              <w:rPr>
                <w:rFonts w:ascii="Calibri"/>
                <w:spacing w:val="5"/>
                <w:sz w:val="12"/>
              </w:rPr>
              <w:t> </w:t>
            </w:r>
            <w:r>
              <w:rPr>
                <w:rFonts w:ascii="Calibri"/>
                <w:spacing w:val="-4"/>
                <w:sz w:val="12"/>
              </w:rPr>
              <w:t>HUMANO</w:t>
            </w:r>
            <w:r>
              <w:rPr>
                <w:rFonts w:ascii="Calibri"/>
                <w:spacing w:val="5"/>
                <w:sz w:val="12"/>
              </w:rPr>
              <w:t> </w:t>
            </w:r>
            <w:r>
              <w:rPr>
                <w:rFonts w:ascii="Calibri"/>
                <w:spacing w:val="-4"/>
                <w:sz w:val="12"/>
              </w:rPr>
              <w:t>(MODULOS)</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20</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2" w:right="31"/>
              <w:jc w:val="center"/>
              <w:rPr>
                <w:rFonts w:ascii="Calibri"/>
                <w:sz w:val="10"/>
              </w:rPr>
            </w:pPr>
            <w:r>
              <w:rPr>
                <w:rFonts w:ascii="Calibri"/>
                <w:spacing w:val="-2"/>
                <w:w w:val="105"/>
                <w:sz w:val="10"/>
              </w:rPr>
              <w:t>INDEFINIDA</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hAnsi="Calibri"/>
                <w:sz w:val="12"/>
              </w:rPr>
            </w:pPr>
            <w:r>
              <w:rPr>
                <w:rFonts w:ascii="Calibri" w:hAnsi="Calibri"/>
                <w:spacing w:val="-4"/>
                <w:sz w:val="12"/>
              </w:rPr>
              <w:t>SISTEMA</w:t>
            </w:r>
            <w:r>
              <w:rPr>
                <w:rFonts w:ascii="Calibri" w:hAnsi="Calibri"/>
                <w:spacing w:val="19"/>
                <w:sz w:val="12"/>
              </w:rPr>
              <w:t> </w:t>
            </w:r>
            <w:r>
              <w:rPr>
                <w:rFonts w:ascii="Calibri" w:hAnsi="Calibri"/>
                <w:spacing w:val="-4"/>
                <w:sz w:val="12"/>
              </w:rPr>
              <w:t>CIUDADANÍA</w:t>
            </w:r>
            <w:r>
              <w:rPr>
                <w:rFonts w:ascii="Calibri" w:hAnsi="Calibri"/>
                <w:spacing w:val="19"/>
                <w:sz w:val="12"/>
              </w:rPr>
              <w:t> </w:t>
            </w:r>
            <w:r>
              <w:rPr>
                <w:rFonts w:ascii="Calibri" w:hAnsi="Calibri"/>
                <w:spacing w:val="-4"/>
                <w:sz w:val="12"/>
              </w:rPr>
              <w:t>DIGITAL-SINIRUBE</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21</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2"/>
                <w:sz w:val="12"/>
              </w:rPr>
              <w:t>BAREMO</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22</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1"/>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1"/>
              <w:ind w:left="22"/>
              <w:rPr>
                <w:rFonts w:ascii="Calibri"/>
                <w:sz w:val="12"/>
              </w:rPr>
            </w:pPr>
            <w:r>
              <w:rPr>
                <w:rFonts w:ascii="Calibri"/>
                <w:spacing w:val="-2"/>
                <w:sz w:val="12"/>
              </w:rPr>
              <w:t>LICENCIA</w:t>
            </w:r>
            <w:r>
              <w:rPr>
                <w:rFonts w:ascii="Calibri"/>
                <w:spacing w:val="-4"/>
                <w:sz w:val="12"/>
              </w:rPr>
              <w:t> </w:t>
            </w:r>
            <w:r>
              <w:rPr>
                <w:rFonts w:ascii="Calibri"/>
                <w:spacing w:val="-2"/>
                <w:sz w:val="12"/>
              </w:rPr>
              <w:t>VxRAIL</w:t>
            </w:r>
            <w:r>
              <w:rPr>
                <w:rFonts w:ascii="Calibri"/>
                <w:spacing w:val="-10"/>
                <w:sz w:val="12"/>
              </w:rPr>
              <w:t> </w:t>
            </w:r>
            <w:r>
              <w:rPr>
                <w:rFonts w:ascii="Calibri"/>
                <w:spacing w:val="-2"/>
                <w:sz w:val="12"/>
              </w:rPr>
              <w:t>HARDWARE</w:t>
            </w:r>
            <w:r>
              <w:rPr>
                <w:rFonts w:ascii="Calibri"/>
                <w:spacing w:val="-9"/>
                <w:sz w:val="12"/>
              </w:rPr>
              <w:t> </w:t>
            </w:r>
            <w:r>
              <w:rPr>
                <w:rFonts w:ascii="Calibri"/>
                <w:spacing w:val="-2"/>
                <w:sz w:val="12"/>
              </w:rPr>
              <w:t>4</w:t>
            </w:r>
            <w:r>
              <w:rPr>
                <w:rFonts w:ascii="Calibri"/>
                <w:spacing w:val="-7"/>
                <w:sz w:val="12"/>
              </w:rPr>
              <w:t> </w:t>
            </w:r>
            <w:r>
              <w:rPr>
                <w:rFonts w:ascii="Calibri"/>
                <w:spacing w:val="-4"/>
                <w:sz w:val="12"/>
              </w:rPr>
              <w:t>NODOS</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23</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7"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2"/>
                <w:sz w:val="12"/>
              </w:rPr>
              <w:t>LICENCIA</w:t>
            </w:r>
            <w:r>
              <w:rPr>
                <w:rFonts w:ascii="Calibri"/>
                <w:sz w:val="12"/>
              </w:rPr>
              <w:t> </w:t>
            </w:r>
            <w:r>
              <w:rPr>
                <w:rFonts w:ascii="Calibri"/>
                <w:spacing w:val="-2"/>
                <w:sz w:val="12"/>
              </w:rPr>
              <w:t>SOFTWARE</w:t>
            </w:r>
            <w:r>
              <w:rPr>
                <w:rFonts w:ascii="Calibri"/>
                <w:spacing w:val="-5"/>
                <w:sz w:val="12"/>
              </w:rPr>
              <w:t> </w:t>
            </w:r>
            <w:r>
              <w:rPr>
                <w:rFonts w:ascii="Calibri"/>
                <w:spacing w:val="-2"/>
                <w:sz w:val="12"/>
              </w:rPr>
              <w:t>VMWARE</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15" w:right="8"/>
              <w:jc w:val="center"/>
              <w:rPr>
                <w:rFonts w:ascii="Arial Narrow"/>
                <w:sz w:val="12"/>
              </w:rPr>
            </w:pPr>
            <w:r>
              <w:rPr>
                <w:rFonts w:ascii="Arial Narrow"/>
                <w:spacing w:val="-5"/>
                <w:sz w:val="12"/>
              </w:rPr>
              <w:t>24</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5"/>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LICENCIA</w:t>
            </w:r>
            <w:r>
              <w:rPr>
                <w:rFonts w:ascii="Calibri"/>
                <w:spacing w:val="5"/>
                <w:sz w:val="12"/>
              </w:rPr>
              <w:t> </w:t>
            </w:r>
            <w:r>
              <w:rPr>
                <w:rFonts w:ascii="Calibri"/>
                <w:spacing w:val="-4"/>
                <w:sz w:val="12"/>
              </w:rPr>
              <w:t>FIREWALL</w:t>
            </w:r>
            <w:r>
              <w:rPr>
                <w:rFonts w:ascii="Calibri"/>
                <w:spacing w:val="-3"/>
                <w:sz w:val="12"/>
              </w:rPr>
              <w:t> </w:t>
            </w:r>
            <w:r>
              <w:rPr>
                <w:rFonts w:ascii="Calibri"/>
                <w:spacing w:val="-4"/>
                <w:sz w:val="12"/>
              </w:rPr>
              <w:t>MURO</w:t>
            </w:r>
            <w:r>
              <w:rPr>
                <w:rFonts w:ascii="Calibri"/>
                <w:spacing w:val="6"/>
                <w:sz w:val="12"/>
              </w:rPr>
              <w:t> </w:t>
            </w:r>
            <w:r>
              <w:rPr>
                <w:rFonts w:ascii="Calibri"/>
                <w:spacing w:val="-4"/>
                <w:sz w:val="12"/>
              </w:rPr>
              <w:t>DE</w:t>
            </w:r>
            <w:r>
              <w:rPr>
                <w:rFonts w:ascii="Calibri"/>
                <w:spacing w:val="-1"/>
                <w:sz w:val="12"/>
              </w:rPr>
              <w:t> </w:t>
            </w:r>
            <w:r>
              <w:rPr>
                <w:rFonts w:ascii="Calibri"/>
                <w:spacing w:val="-4"/>
                <w:sz w:val="12"/>
              </w:rPr>
              <w:t>FUEGO</w:t>
            </w:r>
            <w:r>
              <w:rPr>
                <w:rFonts w:ascii="Calibri"/>
                <w:spacing w:val="6"/>
                <w:sz w:val="12"/>
              </w:rPr>
              <w:t> </w:t>
            </w:r>
            <w:r>
              <w:rPr>
                <w:rFonts w:ascii="Calibri"/>
                <w:spacing w:val="-4"/>
                <w:sz w:val="12"/>
              </w:rPr>
              <w:t>WAF</w:t>
            </w:r>
            <w:r>
              <w:rPr>
                <w:rFonts w:ascii="Calibri"/>
                <w:spacing w:val="4"/>
                <w:sz w:val="12"/>
              </w:rPr>
              <w:t> </w:t>
            </w:r>
            <w:r>
              <w:rPr>
                <w:rFonts w:ascii="Calibri"/>
                <w:spacing w:val="-4"/>
                <w:sz w:val="12"/>
              </w:rPr>
              <w:t>SOPHOS</w:t>
            </w:r>
          </w:p>
        </w:tc>
        <w:tc>
          <w:tcPr>
            <w:tcW w:w="480" w:type="dxa"/>
            <w:tcBorders>
              <w:top w:val="single" w:sz="4" w:space="0" w:color="000000"/>
              <w:left w:val="single" w:sz="4" w:space="0" w:color="000000"/>
              <w:bottom w:val="single" w:sz="4" w:space="0" w:color="000000"/>
            </w:tcBorders>
          </w:tcPr>
          <w:p>
            <w:pPr>
              <w:pStyle w:val="TableParagraph"/>
              <w:spacing w:before="26"/>
              <w:ind w:left="37"/>
              <w:jc w:val="center"/>
              <w:rPr>
                <w:rFonts w:ascii="Times New Roman"/>
                <w:sz w:val="10"/>
              </w:rPr>
            </w:pPr>
            <w:r>
              <w:rPr>
                <w:rFonts w:ascii="Times New Roman"/>
                <w:spacing w:val="-10"/>
                <w:w w:val="105"/>
                <w:sz w:val="10"/>
              </w:rPr>
              <w:t>1</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25</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2LICENCIA</w:t>
            </w:r>
            <w:r>
              <w:rPr>
                <w:rFonts w:ascii="Calibri"/>
                <w:spacing w:val="7"/>
                <w:sz w:val="12"/>
              </w:rPr>
              <w:t> </w:t>
            </w:r>
            <w:r>
              <w:rPr>
                <w:rFonts w:ascii="Calibri"/>
                <w:spacing w:val="-4"/>
                <w:sz w:val="12"/>
              </w:rPr>
              <w:t>DE</w:t>
            </w:r>
            <w:r>
              <w:rPr>
                <w:rFonts w:ascii="Calibri"/>
                <w:sz w:val="12"/>
              </w:rPr>
              <w:t> </w:t>
            </w:r>
            <w:r>
              <w:rPr>
                <w:rFonts w:ascii="Calibri"/>
                <w:spacing w:val="-4"/>
                <w:sz w:val="12"/>
              </w:rPr>
              <w:t>SOFTWARE</w:t>
            </w:r>
            <w:r>
              <w:rPr>
                <w:rFonts w:ascii="Calibri"/>
                <w:sz w:val="12"/>
              </w:rPr>
              <w:t> </w:t>
            </w:r>
            <w:r>
              <w:rPr>
                <w:rFonts w:ascii="Calibri"/>
                <w:spacing w:val="-4"/>
                <w:sz w:val="12"/>
              </w:rPr>
              <w:t>PARA</w:t>
            </w:r>
            <w:r>
              <w:rPr>
                <w:rFonts w:ascii="Calibri"/>
                <w:spacing w:val="8"/>
                <w:sz w:val="12"/>
              </w:rPr>
              <w:t> </w:t>
            </w:r>
            <w:r>
              <w:rPr>
                <w:rFonts w:ascii="Calibri"/>
                <w:spacing w:val="-4"/>
                <w:sz w:val="12"/>
              </w:rPr>
              <w:t>PLATAFORMA</w:t>
            </w:r>
            <w:r>
              <w:rPr>
                <w:rFonts w:ascii="Calibri"/>
                <w:spacing w:val="8"/>
                <w:sz w:val="12"/>
              </w:rPr>
              <w:t> </w:t>
            </w:r>
            <w:r>
              <w:rPr>
                <w:rFonts w:ascii="Calibri"/>
                <w:spacing w:val="-4"/>
                <w:sz w:val="12"/>
              </w:rPr>
              <w:t>MANAGE</w:t>
            </w:r>
            <w:r>
              <w:rPr>
                <w:rFonts w:ascii="Calibri"/>
                <w:sz w:val="12"/>
              </w:rPr>
              <w:t> </w:t>
            </w:r>
            <w:r>
              <w:rPr>
                <w:rFonts w:ascii="Calibri"/>
                <w:spacing w:val="-4"/>
                <w:sz w:val="12"/>
              </w:rPr>
              <w:t>ENGINE</w:t>
            </w:r>
          </w:p>
        </w:tc>
        <w:tc>
          <w:tcPr>
            <w:tcW w:w="480" w:type="dxa"/>
            <w:tcBorders>
              <w:top w:val="single" w:sz="4" w:space="0" w:color="000000"/>
              <w:left w:val="single" w:sz="4" w:space="0" w:color="000000"/>
              <w:bottom w:val="single" w:sz="4" w:space="0" w:color="000000"/>
            </w:tcBorders>
          </w:tcPr>
          <w:p>
            <w:pPr>
              <w:pStyle w:val="TableParagraph"/>
              <w:spacing w:before="27"/>
              <w:ind w:left="37"/>
              <w:jc w:val="center"/>
              <w:rPr>
                <w:rFonts w:ascii="Times New Roman"/>
                <w:sz w:val="10"/>
              </w:rPr>
            </w:pPr>
            <w:r>
              <w:rPr>
                <w:rFonts w:ascii="Times New Roman"/>
                <w:spacing w:val="-10"/>
                <w:w w:val="105"/>
                <w:sz w:val="10"/>
              </w:rPr>
              <w:t>2</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26</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4"/>
                <w:sz w:val="12"/>
              </w:rPr>
              <w:t>Software</w:t>
            </w:r>
            <w:r>
              <w:rPr>
                <w:rFonts w:ascii="Calibri"/>
                <w:spacing w:val="1"/>
                <w:sz w:val="12"/>
              </w:rPr>
              <w:t> </w:t>
            </w:r>
            <w:r>
              <w:rPr>
                <w:rFonts w:ascii="Calibri"/>
                <w:spacing w:val="-4"/>
                <w:sz w:val="12"/>
              </w:rPr>
              <w:t>y</w:t>
            </w:r>
            <w:r>
              <w:rPr>
                <w:rFonts w:ascii="Calibri"/>
                <w:spacing w:val="2"/>
                <w:sz w:val="12"/>
              </w:rPr>
              <w:t> </w:t>
            </w:r>
            <w:r>
              <w:rPr>
                <w:rFonts w:ascii="Calibri"/>
                <w:spacing w:val="-4"/>
                <w:sz w:val="12"/>
              </w:rPr>
              <w:t>Programas</w:t>
            </w:r>
          </w:p>
        </w:tc>
        <w:tc>
          <w:tcPr>
            <w:tcW w:w="856"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22"/>
              <w:rPr>
                <w:rFonts w:ascii="Arial Narrow"/>
                <w:sz w:val="12"/>
              </w:rPr>
            </w:pPr>
            <w:r>
              <w:rPr>
                <w:rFonts w:ascii="Arial Narrow"/>
                <w:spacing w:val="-2"/>
                <w:sz w:val="12"/>
              </w:rPr>
              <w:t>Sinirube</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line="106" w:lineRule="exact" w:before="41"/>
              <w:ind w:left="50" w:right="31"/>
              <w:jc w:val="center"/>
              <w:rPr>
                <w:rFonts w:ascii="Calibri"/>
                <w:sz w:val="10"/>
              </w:rPr>
            </w:pPr>
            <w:r>
              <w:rPr>
                <w:rFonts w:ascii="Calibri"/>
                <w:spacing w:val="-10"/>
                <w:w w:val="105"/>
                <w:sz w:val="10"/>
              </w:rPr>
              <w:t>3</w:t>
            </w:r>
          </w:p>
        </w:tc>
        <w:tc>
          <w:tcPr>
            <w:tcW w:w="3166" w:type="dxa"/>
            <w:tcBorders>
              <w:top w:val="single" w:sz="4" w:space="0" w:color="000000"/>
              <w:left w:val="single" w:sz="4" w:space="0" w:color="000000"/>
              <w:bottom w:val="single" w:sz="4" w:space="0" w:color="000000"/>
              <w:right w:val="single" w:sz="4" w:space="0" w:color="000000"/>
            </w:tcBorders>
          </w:tcPr>
          <w:p>
            <w:pPr>
              <w:pStyle w:val="TableParagraph"/>
              <w:spacing w:line="126" w:lineRule="exact" w:before="22"/>
              <w:ind w:left="22"/>
              <w:rPr>
                <w:rFonts w:ascii="Calibri"/>
                <w:sz w:val="12"/>
              </w:rPr>
            </w:pPr>
            <w:r>
              <w:rPr>
                <w:rFonts w:ascii="Calibri"/>
                <w:spacing w:val="-2"/>
                <w:sz w:val="12"/>
              </w:rPr>
              <w:t>LICENCIA</w:t>
            </w:r>
            <w:r>
              <w:rPr>
                <w:rFonts w:ascii="Calibri"/>
                <w:spacing w:val="3"/>
                <w:sz w:val="12"/>
              </w:rPr>
              <w:t> </w:t>
            </w:r>
            <w:r>
              <w:rPr>
                <w:rFonts w:ascii="Calibri"/>
                <w:spacing w:val="-2"/>
                <w:sz w:val="12"/>
              </w:rPr>
              <w:t>ANTIVIRUS</w:t>
            </w:r>
            <w:r>
              <w:rPr>
                <w:rFonts w:ascii="Calibri"/>
                <w:spacing w:val="-4"/>
                <w:sz w:val="12"/>
              </w:rPr>
              <w:t> </w:t>
            </w:r>
            <w:r>
              <w:rPr>
                <w:rFonts w:ascii="Calibri"/>
                <w:spacing w:val="-2"/>
                <w:sz w:val="12"/>
              </w:rPr>
              <w:t>SEGUR</w:t>
            </w:r>
            <w:r>
              <w:rPr>
                <w:rFonts w:ascii="Calibri"/>
                <w:spacing w:val="1"/>
                <w:sz w:val="12"/>
              </w:rPr>
              <w:t> </w:t>
            </w:r>
            <w:r>
              <w:rPr>
                <w:rFonts w:ascii="Calibri"/>
                <w:spacing w:val="-2"/>
                <w:sz w:val="12"/>
              </w:rPr>
              <w:t>NAVEG SOPHOS</w:t>
            </w:r>
            <w:r>
              <w:rPr>
                <w:rFonts w:ascii="Calibri"/>
                <w:spacing w:val="-5"/>
                <w:sz w:val="12"/>
              </w:rPr>
              <w:t> </w:t>
            </w:r>
            <w:r>
              <w:rPr>
                <w:rFonts w:ascii="Calibri"/>
                <w:spacing w:val="-2"/>
                <w:sz w:val="12"/>
              </w:rPr>
              <w:t>100</w:t>
            </w:r>
            <w:r>
              <w:rPr>
                <w:rFonts w:ascii="Calibri"/>
                <w:spacing w:val="-1"/>
                <w:sz w:val="12"/>
              </w:rPr>
              <w:t> </w:t>
            </w:r>
            <w:r>
              <w:rPr>
                <w:rFonts w:ascii="Calibri"/>
                <w:spacing w:val="-5"/>
                <w:sz w:val="12"/>
              </w:rPr>
              <w:t>LIC</w:t>
            </w:r>
          </w:p>
        </w:tc>
        <w:tc>
          <w:tcPr>
            <w:tcW w:w="480" w:type="dxa"/>
            <w:tcBorders>
              <w:top w:val="single" w:sz="4" w:space="0" w:color="000000"/>
              <w:left w:val="single" w:sz="4" w:space="0" w:color="000000"/>
              <w:bottom w:val="single" w:sz="4" w:space="0" w:color="000000"/>
            </w:tcBorders>
          </w:tcPr>
          <w:p>
            <w:pPr>
              <w:pStyle w:val="TableParagraph"/>
              <w:spacing w:before="27"/>
              <w:ind w:left="176"/>
              <w:rPr>
                <w:rFonts w:ascii="Times New Roman"/>
                <w:sz w:val="10"/>
              </w:rPr>
            </w:pPr>
            <w:r>
              <w:rPr>
                <w:rFonts w:ascii="Times New Roman"/>
                <w:spacing w:val="-5"/>
                <w:w w:val="105"/>
                <w:sz w:val="10"/>
              </w:rPr>
              <w:t>100</w:t>
            </w:r>
          </w:p>
        </w:tc>
      </w:tr>
      <w:tr>
        <w:trPr>
          <w:trHeight w:val="167" w:hRule="atLeast"/>
        </w:trPr>
        <w:tc>
          <w:tcPr>
            <w:tcW w:w="307" w:type="dxa"/>
            <w:tcBorders>
              <w:top w:val="single" w:sz="4" w:space="0" w:color="000000"/>
              <w:left w:val="single" w:sz="4" w:space="0" w:color="000000"/>
              <w:bottom w:val="single" w:sz="4" w:space="0" w:color="000000"/>
              <w:right w:val="single" w:sz="4" w:space="0" w:color="000000"/>
            </w:tcBorders>
          </w:tcPr>
          <w:p>
            <w:pPr>
              <w:pStyle w:val="TableParagraph"/>
              <w:spacing w:line="132" w:lineRule="exact" w:before="16"/>
              <w:ind w:left="15" w:right="8"/>
              <w:jc w:val="center"/>
              <w:rPr>
                <w:rFonts w:ascii="Arial Narrow"/>
                <w:sz w:val="12"/>
              </w:rPr>
            </w:pPr>
            <w:r>
              <w:rPr>
                <w:rFonts w:ascii="Arial Narrow"/>
                <w:spacing w:val="-5"/>
                <w:sz w:val="12"/>
              </w:rPr>
              <w:t>27</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85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316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0"/>
              </w:rPr>
            </w:pPr>
          </w:p>
        </w:tc>
        <w:tc>
          <w:tcPr>
            <w:tcW w:w="480" w:type="dxa"/>
            <w:tcBorders>
              <w:top w:val="single" w:sz="4" w:space="0" w:color="000000"/>
              <w:left w:val="single" w:sz="4" w:space="0" w:color="000000"/>
              <w:bottom w:val="single" w:sz="4" w:space="0" w:color="000000"/>
            </w:tcBorders>
          </w:tcPr>
          <w:p>
            <w:pPr>
              <w:pStyle w:val="TableParagraph"/>
              <w:rPr>
                <w:rFonts w:ascii="Times New Roman"/>
                <w:sz w:val="10"/>
              </w:rPr>
            </w:pPr>
          </w:p>
        </w:tc>
      </w:tr>
      <w:tr>
        <w:trPr>
          <w:trHeight w:val="166" w:hRule="atLeast"/>
        </w:trPr>
        <w:tc>
          <w:tcPr>
            <w:tcW w:w="307" w:type="dxa"/>
            <w:tcBorders>
              <w:top w:val="single" w:sz="4" w:space="0" w:color="000000"/>
              <w:left w:val="single" w:sz="4" w:space="0" w:color="000000"/>
              <w:right w:val="single" w:sz="4" w:space="0" w:color="000000"/>
            </w:tcBorders>
          </w:tcPr>
          <w:p>
            <w:pPr>
              <w:pStyle w:val="TableParagraph"/>
              <w:spacing w:line="131" w:lineRule="exact" w:before="16"/>
              <w:ind w:left="15" w:right="8"/>
              <w:jc w:val="center"/>
              <w:rPr>
                <w:rFonts w:ascii="Arial Narrow"/>
                <w:sz w:val="12"/>
              </w:rPr>
            </w:pPr>
            <w:r>
              <w:rPr>
                <w:rFonts w:ascii="Arial Narrow"/>
                <w:spacing w:val="-5"/>
                <w:sz w:val="12"/>
              </w:rPr>
              <w:t>28</w:t>
            </w:r>
          </w:p>
        </w:tc>
        <w:tc>
          <w:tcPr>
            <w:tcW w:w="574" w:type="dxa"/>
            <w:tcBorders>
              <w:top w:val="single" w:sz="4" w:space="0" w:color="000000"/>
              <w:left w:val="single" w:sz="4" w:space="0" w:color="000000"/>
              <w:right w:val="single" w:sz="4" w:space="0" w:color="000000"/>
            </w:tcBorders>
          </w:tcPr>
          <w:p>
            <w:pPr>
              <w:pStyle w:val="TableParagraph"/>
              <w:rPr>
                <w:rFonts w:ascii="Times New Roman"/>
                <w:sz w:val="10"/>
              </w:rPr>
            </w:pPr>
          </w:p>
        </w:tc>
        <w:tc>
          <w:tcPr>
            <w:tcW w:w="1341" w:type="dxa"/>
            <w:tcBorders>
              <w:top w:val="single" w:sz="4" w:space="0" w:color="000000"/>
              <w:left w:val="single" w:sz="4" w:space="0" w:color="000000"/>
              <w:right w:val="single" w:sz="4" w:space="0" w:color="000000"/>
            </w:tcBorders>
          </w:tcPr>
          <w:p>
            <w:pPr>
              <w:pStyle w:val="TableParagraph"/>
              <w:rPr>
                <w:rFonts w:ascii="Times New Roman"/>
                <w:sz w:val="10"/>
              </w:rPr>
            </w:pPr>
          </w:p>
        </w:tc>
        <w:tc>
          <w:tcPr>
            <w:tcW w:w="856" w:type="dxa"/>
            <w:tcBorders>
              <w:top w:val="single" w:sz="4" w:space="0" w:color="000000"/>
              <w:left w:val="single" w:sz="4" w:space="0" w:color="000000"/>
              <w:right w:val="single" w:sz="4" w:space="0" w:color="000000"/>
            </w:tcBorders>
          </w:tcPr>
          <w:p>
            <w:pPr>
              <w:pStyle w:val="TableParagraph"/>
              <w:rPr>
                <w:rFonts w:ascii="Times New Roman"/>
                <w:sz w:val="10"/>
              </w:rPr>
            </w:pPr>
          </w:p>
        </w:tc>
        <w:tc>
          <w:tcPr>
            <w:tcW w:w="719" w:type="dxa"/>
            <w:tcBorders>
              <w:top w:val="single" w:sz="4" w:space="0" w:color="000000"/>
              <w:left w:val="single" w:sz="4" w:space="0" w:color="000000"/>
              <w:right w:val="single" w:sz="4" w:space="0" w:color="000000"/>
            </w:tcBorders>
          </w:tcPr>
          <w:p>
            <w:pPr>
              <w:pStyle w:val="TableParagraph"/>
              <w:rPr>
                <w:rFonts w:ascii="Times New Roman"/>
                <w:sz w:val="10"/>
              </w:rPr>
            </w:pPr>
          </w:p>
        </w:tc>
        <w:tc>
          <w:tcPr>
            <w:tcW w:w="3166" w:type="dxa"/>
            <w:tcBorders>
              <w:top w:val="single" w:sz="4" w:space="0" w:color="000000"/>
              <w:left w:val="single" w:sz="4" w:space="0" w:color="000000"/>
              <w:right w:val="single" w:sz="4" w:space="0" w:color="000000"/>
            </w:tcBorders>
          </w:tcPr>
          <w:p>
            <w:pPr>
              <w:pStyle w:val="TableParagraph"/>
              <w:rPr>
                <w:rFonts w:ascii="Times New Roman"/>
                <w:sz w:val="10"/>
              </w:rPr>
            </w:pPr>
          </w:p>
        </w:tc>
        <w:tc>
          <w:tcPr>
            <w:tcW w:w="480" w:type="dxa"/>
            <w:tcBorders>
              <w:top w:val="single" w:sz="4" w:space="0" w:color="000000"/>
              <w:left w:val="single" w:sz="4" w:space="0" w:color="000000"/>
            </w:tcBorders>
          </w:tcPr>
          <w:p>
            <w:pPr>
              <w:pStyle w:val="TableParagraph"/>
              <w:rPr>
                <w:rFonts w:ascii="Times New Roman"/>
                <w:sz w:val="10"/>
              </w:rPr>
            </w:pPr>
          </w:p>
        </w:tc>
      </w:tr>
      <w:tr>
        <w:trPr>
          <w:trHeight w:val="149" w:hRule="atLeast"/>
        </w:trPr>
        <w:tc>
          <w:tcPr>
            <w:tcW w:w="6963" w:type="dxa"/>
            <w:gridSpan w:val="6"/>
            <w:tcBorders>
              <w:left w:val="nil"/>
              <w:bottom w:val="nil"/>
            </w:tcBorders>
          </w:tcPr>
          <w:p>
            <w:pPr>
              <w:pStyle w:val="TableParagraph"/>
              <w:rPr>
                <w:rFonts w:ascii="Times New Roman"/>
                <w:sz w:val="8"/>
              </w:rPr>
            </w:pPr>
          </w:p>
        </w:tc>
        <w:tc>
          <w:tcPr>
            <w:tcW w:w="480" w:type="dxa"/>
          </w:tcPr>
          <w:p>
            <w:pPr>
              <w:pStyle w:val="TableParagraph"/>
              <w:spacing w:line="125" w:lineRule="exact" w:before="5"/>
              <w:ind w:right="-15"/>
              <w:jc w:val="right"/>
              <w:rPr>
                <w:rFonts w:ascii="Calibri"/>
                <w:b/>
                <w:sz w:val="12"/>
              </w:rPr>
            </w:pPr>
            <w:r>
              <w:rPr>
                <w:rFonts w:ascii="Calibri"/>
                <w:b/>
                <w:spacing w:val="-5"/>
                <w:sz w:val="12"/>
              </w:rPr>
              <w:t>132</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9"/>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8"/>
        <w:gridCol w:w="2331"/>
        <w:gridCol w:w="576"/>
        <w:gridCol w:w="1939"/>
        <w:gridCol w:w="1937"/>
        <w:gridCol w:w="1075"/>
      </w:tblGrid>
      <w:tr>
        <w:trPr>
          <w:trHeight w:val="337" w:hRule="atLeast"/>
        </w:trPr>
        <w:tc>
          <w:tcPr>
            <w:tcW w:w="1008" w:type="dxa"/>
            <w:vMerge w:val="restart"/>
            <w:shd w:val="clear" w:color="auto" w:fill="365F92"/>
          </w:tcPr>
          <w:p>
            <w:pPr>
              <w:pStyle w:val="TableParagraph"/>
              <w:spacing w:before="5"/>
              <w:rPr>
                <w:sz w:val="20"/>
              </w:rPr>
            </w:pPr>
          </w:p>
          <w:p>
            <w:pPr>
              <w:pStyle w:val="TableParagraph"/>
              <w:ind w:left="69"/>
              <w:rPr>
                <w:b/>
                <w:sz w:val="20"/>
              </w:rPr>
            </w:pPr>
            <w:r>
              <w:rPr>
                <w:b/>
                <w:color w:val="FFFFFF"/>
                <w:spacing w:val="-2"/>
                <w:sz w:val="20"/>
              </w:rPr>
              <w:t>Cuenta</w:t>
            </w:r>
          </w:p>
        </w:tc>
        <w:tc>
          <w:tcPr>
            <w:tcW w:w="2331" w:type="dxa"/>
            <w:vMerge w:val="restart"/>
            <w:shd w:val="clear" w:color="auto" w:fill="365F92"/>
          </w:tcPr>
          <w:p>
            <w:pPr>
              <w:pStyle w:val="TableParagraph"/>
              <w:spacing w:before="5"/>
              <w:rPr>
                <w:sz w:val="20"/>
              </w:rPr>
            </w:pPr>
          </w:p>
          <w:p>
            <w:pPr>
              <w:pStyle w:val="TableParagraph"/>
              <w:ind w:left="681"/>
              <w:rPr>
                <w:b/>
                <w:sz w:val="20"/>
              </w:rPr>
            </w:pPr>
            <w:r>
              <w:rPr>
                <w:b/>
                <w:color w:val="FFFFFF"/>
                <w:spacing w:val="-2"/>
                <w:sz w:val="20"/>
              </w:rPr>
              <w:t>Descripción</w:t>
            </w:r>
          </w:p>
        </w:tc>
        <w:tc>
          <w:tcPr>
            <w:tcW w:w="576" w:type="dxa"/>
            <w:vMerge w:val="restart"/>
            <w:shd w:val="clear" w:color="auto" w:fill="365F92"/>
          </w:tcPr>
          <w:p>
            <w:pPr>
              <w:pStyle w:val="TableParagraph"/>
              <w:spacing w:before="5"/>
              <w:rPr>
                <w:sz w:val="20"/>
              </w:rPr>
            </w:pPr>
          </w:p>
          <w:p>
            <w:pPr>
              <w:pStyle w:val="TableParagraph"/>
              <w:ind w:left="90"/>
              <w:rPr>
                <w:b/>
                <w:sz w:val="20"/>
              </w:rPr>
            </w:pPr>
            <w:r>
              <w:rPr>
                <w:b/>
                <w:color w:val="FFFFFF"/>
                <w:spacing w:val="-4"/>
                <w:sz w:val="20"/>
              </w:rPr>
              <w:t>Nota</w:t>
            </w:r>
          </w:p>
        </w:tc>
        <w:tc>
          <w:tcPr>
            <w:tcW w:w="1939" w:type="dxa"/>
            <w:vMerge w:val="restart"/>
            <w:shd w:val="clear" w:color="auto" w:fill="365F92"/>
          </w:tcPr>
          <w:p>
            <w:pPr>
              <w:pStyle w:val="TableParagraph"/>
              <w:spacing w:before="5"/>
              <w:rPr>
                <w:sz w:val="20"/>
              </w:rPr>
            </w:pPr>
          </w:p>
          <w:p>
            <w:pPr>
              <w:pStyle w:val="TableParagraph"/>
              <w:ind w:left="393"/>
              <w:rPr>
                <w:b/>
                <w:sz w:val="20"/>
              </w:rPr>
            </w:pPr>
            <w:r>
              <w:rPr>
                <w:b/>
                <w:color w:val="FFFFFF"/>
                <w:sz w:val="20"/>
              </w:rPr>
              <w:t>Periodo</w:t>
            </w:r>
            <w:r>
              <w:rPr>
                <w:b/>
                <w:color w:val="FFFFFF"/>
                <w:spacing w:val="-5"/>
                <w:sz w:val="20"/>
              </w:rPr>
              <w:t> </w:t>
            </w:r>
            <w:r>
              <w:rPr>
                <w:b/>
                <w:color w:val="FFFFFF"/>
                <w:spacing w:val="-2"/>
                <w:sz w:val="20"/>
              </w:rPr>
              <w:t>Actual</w:t>
            </w:r>
          </w:p>
        </w:tc>
        <w:tc>
          <w:tcPr>
            <w:tcW w:w="1937" w:type="dxa"/>
            <w:vMerge w:val="restart"/>
            <w:shd w:val="clear" w:color="auto" w:fill="365F92"/>
          </w:tcPr>
          <w:p>
            <w:pPr>
              <w:pStyle w:val="TableParagraph"/>
              <w:spacing w:before="5"/>
              <w:rPr>
                <w:sz w:val="20"/>
              </w:rPr>
            </w:pPr>
          </w:p>
          <w:p>
            <w:pPr>
              <w:pStyle w:val="TableParagraph"/>
              <w:ind w:left="310"/>
              <w:rPr>
                <w:b/>
                <w:sz w:val="20"/>
              </w:rPr>
            </w:pPr>
            <w:r>
              <w:rPr>
                <w:b/>
                <w:color w:val="FFFFFF"/>
                <w:sz w:val="20"/>
              </w:rPr>
              <w:t>Periodo</w:t>
            </w:r>
            <w:r>
              <w:rPr>
                <w:b/>
                <w:color w:val="FFFFFF"/>
                <w:spacing w:val="-5"/>
                <w:sz w:val="20"/>
              </w:rPr>
              <w:t> </w:t>
            </w:r>
            <w:r>
              <w:rPr>
                <w:b/>
                <w:color w:val="FFFFFF"/>
                <w:spacing w:val="-2"/>
                <w:sz w:val="20"/>
              </w:rPr>
              <w:t>Anterior</w:t>
            </w:r>
          </w:p>
        </w:tc>
        <w:tc>
          <w:tcPr>
            <w:tcW w:w="1075" w:type="dxa"/>
            <w:shd w:val="clear" w:color="auto" w:fill="365F92"/>
          </w:tcPr>
          <w:p>
            <w:pPr>
              <w:pStyle w:val="TableParagraph"/>
              <w:spacing w:before="53"/>
              <w:ind w:left="21"/>
              <w:jc w:val="center"/>
              <w:rPr>
                <w:b/>
                <w:sz w:val="20"/>
              </w:rPr>
            </w:pPr>
            <w:r>
              <w:rPr>
                <w:b/>
                <w:color w:val="FFFFFF"/>
                <w:spacing w:val="-2"/>
                <w:sz w:val="20"/>
              </w:rPr>
              <w:t>Diferencia</w:t>
            </w:r>
          </w:p>
        </w:tc>
      </w:tr>
      <w:tr>
        <w:trPr>
          <w:trHeight w:val="337" w:hRule="atLeast"/>
        </w:trPr>
        <w:tc>
          <w:tcPr>
            <w:tcW w:w="1008" w:type="dxa"/>
            <w:vMerge/>
            <w:tcBorders>
              <w:top w:val="nil"/>
            </w:tcBorders>
            <w:shd w:val="clear" w:color="auto" w:fill="365F92"/>
          </w:tcPr>
          <w:p>
            <w:pPr>
              <w:rPr>
                <w:sz w:val="2"/>
                <w:szCs w:val="2"/>
              </w:rPr>
            </w:pPr>
          </w:p>
        </w:tc>
        <w:tc>
          <w:tcPr>
            <w:tcW w:w="2331" w:type="dxa"/>
            <w:vMerge/>
            <w:tcBorders>
              <w:top w:val="nil"/>
            </w:tcBorders>
            <w:shd w:val="clear" w:color="auto" w:fill="365F92"/>
          </w:tcPr>
          <w:p>
            <w:pPr>
              <w:rPr>
                <w:sz w:val="2"/>
                <w:szCs w:val="2"/>
              </w:rPr>
            </w:pPr>
          </w:p>
        </w:tc>
        <w:tc>
          <w:tcPr>
            <w:tcW w:w="576" w:type="dxa"/>
            <w:vMerge/>
            <w:tcBorders>
              <w:top w:val="nil"/>
            </w:tcBorders>
            <w:shd w:val="clear" w:color="auto" w:fill="365F92"/>
          </w:tcPr>
          <w:p>
            <w:pPr>
              <w:rPr>
                <w:sz w:val="2"/>
                <w:szCs w:val="2"/>
              </w:rPr>
            </w:pPr>
          </w:p>
        </w:tc>
        <w:tc>
          <w:tcPr>
            <w:tcW w:w="1939" w:type="dxa"/>
            <w:vMerge/>
            <w:tcBorders>
              <w:top w:val="nil"/>
            </w:tcBorders>
            <w:shd w:val="clear" w:color="auto" w:fill="365F92"/>
          </w:tcPr>
          <w:p>
            <w:pPr>
              <w:rPr>
                <w:sz w:val="2"/>
                <w:szCs w:val="2"/>
              </w:rPr>
            </w:pPr>
          </w:p>
        </w:tc>
        <w:tc>
          <w:tcPr>
            <w:tcW w:w="1937" w:type="dxa"/>
            <w:vMerge/>
            <w:tcBorders>
              <w:top w:val="nil"/>
            </w:tcBorders>
            <w:shd w:val="clear" w:color="auto" w:fill="365F92"/>
          </w:tcPr>
          <w:p>
            <w:pPr>
              <w:rPr>
                <w:sz w:val="2"/>
                <w:szCs w:val="2"/>
              </w:rPr>
            </w:pPr>
          </w:p>
        </w:tc>
        <w:tc>
          <w:tcPr>
            <w:tcW w:w="1075" w:type="dxa"/>
            <w:shd w:val="clear" w:color="auto" w:fill="365F92"/>
          </w:tcPr>
          <w:p>
            <w:pPr>
              <w:pStyle w:val="TableParagraph"/>
              <w:spacing w:before="53"/>
              <w:ind w:left="21" w:right="1"/>
              <w:jc w:val="center"/>
              <w:rPr>
                <w:sz w:val="20"/>
              </w:rPr>
            </w:pPr>
            <w:r>
              <w:rPr>
                <w:color w:val="FFFFFF"/>
                <w:spacing w:val="-10"/>
                <w:sz w:val="20"/>
              </w:rPr>
              <w:t>%</w:t>
            </w:r>
          </w:p>
        </w:tc>
      </w:tr>
      <w:tr>
        <w:trPr>
          <w:trHeight w:val="565" w:hRule="atLeast"/>
        </w:trPr>
        <w:tc>
          <w:tcPr>
            <w:tcW w:w="1008" w:type="dxa"/>
          </w:tcPr>
          <w:p>
            <w:pPr>
              <w:pStyle w:val="TableParagraph"/>
              <w:spacing w:before="169"/>
              <w:ind w:left="69"/>
              <w:rPr>
                <w:b/>
                <w:sz w:val="20"/>
              </w:rPr>
            </w:pPr>
            <w:r>
              <w:rPr>
                <w:b/>
                <w:spacing w:val="-2"/>
                <w:sz w:val="20"/>
              </w:rPr>
              <w:t>1.2.5.99.</w:t>
            </w:r>
          </w:p>
        </w:tc>
        <w:tc>
          <w:tcPr>
            <w:tcW w:w="2331" w:type="dxa"/>
          </w:tcPr>
          <w:p>
            <w:pPr>
              <w:pStyle w:val="TableParagraph"/>
              <w:spacing w:before="53"/>
              <w:ind w:left="69" w:right="165"/>
              <w:rPr>
                <w:b/>
                <w:sz w:val="20"/>
              </w:rPr>
            </w:pPr>
            <w:r>
              <w:rPr>
                <w:b/>
                <w:sz w:val="20"/>
              </w:rPr>
              <w:t>Bienes no concesionados en</w:t>
            </w:r>
            <w:r>
              <w:rPr>
                <w:b/>
                <w:spacing w:val="-4"/>
                <w:sz w:val="20"/>
              </w:rPr>
              <w:t> </w:t>
            </w:r>
            <w:r>
              <w:rPr>
                <w:b/>
                <w:sz w:val="20"/>
              </w:rPr>
              <w:t>proceso</w:t>
            </w:r>
            <w:r>
              <w:rPr>
                <w:b/>
                <w:spacing w:val="-2"/>
                <w:sz w:val="20"/>
              </w:rPr>
              <w:t> </w:t>
            </w:r>
            <w:r>
              <w:rPr>
                <w:b/>
                <w:sz w:val="20"/>
              </w:rPr>
              <w:t>de</w:t>
            </w:r>
            <w:r>
              <w:rPr>
                <w:b/>
                <w:spacing w:val="-3"/>
                <w:sz w:val="20"/>
              </w:rPr>
              <w:t> </w:t>
            </w:r>
            <w:r>
              <w:rPr>
                <w:b/>
                <w:spacing w:val="-2"/>
                <w:sz w:val="20"/>
              </w:rPr>
              <w:t>producción</w:t>
            </w:r>
          </w:p>
        </w:tc>
        <w:tc>
          <w:tcPr>
            <w:tcW w:w="576" w:type="dxa"/>
          </w:tcPr>
          <w:p>
            <w:pPr>
              <w:pStyle w:val="TableParagraph"/>
              <w:spacing w:before="169"/>
              <w:ind w:left="189"/>
              <w:rPr>
                <w:b/>
                <w:sz w:val="20"/>
              </w:rPr>
            </w:pPr>
            <w:r>
              <w:rPr>
                <w:b/>
                <w:spacing w:val="-5"/>
                <w:sz w:val="20"/>
              </w:rPr>
              <w:t>10</w:t>
            </w:r>
          </w:p>
        </w:tc>
        <w:tc>
          <w:tcPr>
            <w:tcW w:w="1939" w:type="dxa"/>
          </w:tcPr>
          <w:p>
            <w:pPr>
              <w:pStyle w:val="TableParagraph"/>
              <w:spacing w:before="169"/>
              <w:ind w:left="451"/>
              <w:rPr>
                <w:b/>
                <w:sz w:val="20"/>
              </w:rPr>
            </w:pPr>
            <w:r>
              <w:rPr>
                <w:b/>
                <w:sz w:val="20"/>
              </w:rPr>
              <w:t>1</w:t>
            </w:r>
            <w:r>
              <w:rPr>
                <w:b/>
                <w:spacing w:val="-2"/>
                <w:sz w:val="20"/>
              </w:rPr>
              <w:t> </w:t>
            </w:r>
            <w:r>
              <w:rPr>
                <w:b/>
                <w:sz w:val="20"/>
              </w:rPr>
              <w:t>704</w:t>
            </w:r>
            <w:r>
              <w:rPr>
                <w:b/>
                <w:spacing w:val="-2"/>
                <w:sz w:val="20"/>
              </w:rPr>
              <w:t> 719,05</w:t>
            </w:r>
          </w:p>
        </w:tc>
        <w:tc>
          <w:tcPr>
            <w:tcW w:w="1937" w:type="dxa"/>
          </w:tcPr>
          <w:p>
            <w:pPr>
              <w:pStyle w:val="TableParagraph"/>
              <w:spacing w:before="169"/>
              <w:ind w:left="449"/>
              <w:rPr>
                <w:b/>
                <w:sz w:val="20"/>
              </w:rPr>
            </w:pPr>
            <w:r>
              <w:rPr>
                <w:b/>
                <w:sz w:val="20"/>
              </w:rPr>
              <w:t>1</w:t>
            </w:r>
            <w:r>
              <w:rPr>
                <w:b/>
                <w:spacing w:val="-2"/>
                <w:sz w:val="20"/>
              </w:rPr>
              <w:t> </w:t>
            </w:r>
            <w:r>
              <w:rPr>
                <w:b/>
                <w:sz w:val="20"/>
              </w:rPr>
              <w:t>205</w:t>
            </w:r>
            <w:r>
              <w:rPr>
                <w:b/>
                <w:spacing w:val="-2"/>
                <w:sz w:val="20"/>
              </w:rPr>
              <w:t> 910,56</w:t>
            </w:r>
          </w:p>
        </w:tc>
        <w:tc>
          <w:tcPr>
            <w:tcW w:w="1075" w:type="dxa"/>
          </w:tcPr>
          <w:p>
            <w:pPr>
              <w:pStyle w:val="TableParagraph"/>
              <w:spacing w:before="169"/>
              <w:ind w:left="21"/>
              <w:jc w:val="center"/>
              <w:rPr>
                <w:b/>
                <w:sz w:val="20"/>
              </w:rPr>
            </w:pPr>
            <w:r>
              <w:rPr>
                <w:b/>
                <w:spacing w:val="-2"/>
                <w:sz w:val="20"/>
              </w:rPr>
              <w:t>41,36%</w:t>
            </w:r>
          </w:p>
        </w:tc>
      </w:tr>
    </w:tbl>
    <w:p>
      <w:pPr>
        <w:pStyle w:val="BodyText"/>
        <w:spacing w:before="13"/>
        <w:rPr>
          <w:sz w:val="20"/>
        </w:rPr>
      </w:pPr>
    </w:p>
    <w:p>
      <w:pPr>
        <w:pStyle w:val="Heading6"/>
        <w:ind w:left="622"/>
        <w:rPr>
          <w:b w:val="0"/>
        </w:rPr>
      </w:pPr>
      <w:r>
        <w:rPr>
          <w:spacing w:val="-2"/>
        </w:rPr>
        <w:t>Revelación</w:t>
      </w:r>
      <w:r>
        <w:rPr>
          <w:b w:val="0"/>
          <w:spacing w:val="-2"/>
        </w:rPr>
        <w:t>:</w:t>
      </w:r>
    </w:p>
    <w:p>
      <w:pPr>
        <w:pStyle w:val="BodyText"/>
        <w:spacing w:before="10"/>
      </w:pPr>
    </w:p>
    <w:p>
      <w:pPr>
        <w:pStyle w:val="BodyText"/>
        <w:spacing w:line="259" w:lineRule="auto"/>
        <w:ind w:left="622" w:right="975"/>
        <w:jc w:val="both"/>
      </w:pPr>
      <w:r>
        <w:rPr/>
        <w:t>La</w:t>
      </w:r>
      <w:r>
        <w:rPr>
          <w:spacing w:val="-14"/>
        </w:rPr>
        <w:t> </w:t>
      </w:r>
      <w:r>
        <w:rPr/>
        <w:t>cuenta</w:t>
      </w:r>
      <w:r>
        <w:rPr>
          <w:spacing w:val="-14"/>
        </w:rPr>
        <w:t> </w:t>
      </w:r>
      <w:r>
        <w:rPr/>
        <w:t>Bienes</w:t>
      </w:r>
      <w:r>
        <w:rPr>
          <w:spacing w:val="-14"/>
        </w:rPr>
        <w:t> </w:t>
      </w:r>
      <w:r>
        <w:rPr/>
        <w:t>no</w:t>
      </w:r>
      <w:r>
        <w:rPr>
          <w:spacing w:val="-13"/>
        </w:rPr>
        <w:t> </w:t>
      </w:r>
      <w:r>
        <w:rPr/>
        <w:t>concesionados</w:t>
      </w:r>
      <w:r>
        <w:rPr>
          <w:spacing w:val="-12"/>
        </w:rPr>
        <w:t> </w:t>
      </w:r>
      <w:r>
        <w:rPr/>
        <w:t>en</w:t>
      </w:r>
      <w:r>
        <w:rPr>
          <w:spacing w:val="-14"/>
        </w:rPr>
        <w:t> </w:t>
      </w:r>
      <w:r>
        <w:rPr/>
        <w:t>proceso</w:t>
      </w:r>
      <w:r>
        <w:rPr>
          <w:spacing w:val="-12"/>
        </w:rPr>
        <w:t> </w:t>
      </w:r>
      <w:r>
        <w:rPr/>
        <w:t>de</w:t>
      </w:r>
      <w:r>
        <w:rPr>
          <w:spacing w:val="-14"/>
        </w:rPr>
        <w:t> </w:t>
      </w:r>
      <w:r>
        <w:rPr/>
        <w:t>producción,</w:t>
      </w:r>
      <w:r>
        <w:rPr>
          <w:spacing w:val="-13"/>
        </w:rPr>
        <w:t> </w:t>
      </w:r>
      <w:r>
        <w:rPr/>
        <w:t>representa</w:t>
      </w:r>
      <w:r>
        <w:rPr>
          <w:spacing w:val="-14"/>
        </w:rPr>
        <w:t> </w:t>
      </w:r>
      <w:r>
        <w:rPr/>
        <w:t>el</w:t>
      </w:r>
      <w:r>
        <w:rPr>
          <w:spacing w:val="-14"/>
        </w:rPr>
        <w:t> </w:t>
      </w:r>
      <w:r>
        <w:rPr/>
        <w:t>0,85%</w:t>
      </w:r>
      <w:r>
        <w:rPr>
          <w:spacing w:val="-13"/>
        </w:rPr>
        <w:t> </w:t>
      </w:r>
      <w:r>
        <w:rPr/>
        <w:t>del</w:t>
      </w:r>
      <w:r>
        <w:rPr>
          <w:spacing w:val="-14"/>
        </w:rPr>
        <w:t> </w:t>
      </w:r>
      <w:r>
        <w:rPr/>
        <w:t>total</w:t>
      </w:r>
      <w:r>
        <w:rPr>
          <w:spacing w:val="-14"/>
        </w:rPr>
        <w:t> </w:t>
      </w:r>
      <w:r>
        <w:rPr/>
        <w:t>del</w:t>
      </w:r>
      <w:r>
        <w:rPr>
          <w:spacing w:val="-14"/>
        </w:rPr>
        <w:t> </w:t>
      </w:r>
      <w:r>
        <w:rPr/>
        <w:t>Activo, que</w:t>
      </w:r>
      <w:r>
        <w:rPr>
          <w:spacing w:val="-1"/>
        </w:rPr>
        <w:t> </w:t>
      </w:r>
      <w:r>
        <w:rPr/>
        <w:t>comparado al</w:t>
      </w:r>
      <w:r>
        <w:rPr>
          <w:spacing w:val="-1"/>
        </w:rPr>
        <w:t> </w:t>
      </w:r>
      <w:r>
        <w:rPr/>
        <w:t>periodo</w:t>
      </w:r>
      <w:r>
        <w:rPr>
          <w:spacing w:val="-2"/>
        </w:rPr>
        <w:t> </w:t>
      </w:r>
      <w:r>
        <w:rPr/>
        <w:t>anterior genera</w:t>
      </w:r>
      <w:r>
        <w:rPr>
          <w:spacing w:val="-1"/>
        </w:rPr>
        <w:t> </w:t>
      </w:r>
      <w:r>
        <w:rPr/>
        <w:t>una</w:t>
      </w:r>
      <w:r>
        <w:rPr>
          <w:spacing w:val="-1"/>
        </w:rPr>
        <w:t> </w:t>
      </w:r>
      <w:r>
        <w:rPr/>
        <w:t>variación absoluta de</w:t>
      </w:r>
      <w:r>
        <w:rPr>
          <w:spacing w:val="-2"/>
        </w:rPr>
        <w:t> </w:t>
      </w:r>
      <w:r>
        <w:rPr/>
        <w:t>¢ 498.808,49 que</w:t>
      </w:r>
      <w:r>
        <w:rPr>
          <w:spacing w:val="-1"/>
        </w:rPr>
        <w:t> </w:t>
      </w:r>
      <w:r>
        <w:rPr/>
        <w:t>corresponde</w:t>
      </w:r>
      <w:r>
        <w:rPr>
          <w:spacing w:val="-2"/>
        </w:rPr>
        <w:t> </w:t>
      </w:r>
      <w:r>
        <w:rPr/>
        <w:t>a un aumento del 41,36% de recursos disponibles.</w:t>
      </w:r>
    </w:p>
    <w:p>
      <w:pPr>
        <w:pStyle w:val="BodyText"/>
        <w:spacing w:before="159"/>
        <w:ind w:left="622" w:right="1001"/>
      </w:pPr>
      <w:r>
        <w:rPr/>
        <w:t>Las</w:t>
      </w:r>
      <w:r>
        <w:rPr>
          <w:spacing w:val="22"/>
        </w:rPr>
        <w:t> </w:t>
      </w:r>
      <w:r>
        <w:rPr/>
        <w:t>variaciones</w:t>
      </w:r>
      <w:r>
        <w:rPr>
          <w:spacing w:val="22"/>
        </w:rPr>
        <w:t> </w:t>
      </w:r>
      <w:r>
        <w:rPr/>
        <w:t>de la cuenta son producto de las</w:t>
      </w:r>
      <w:r>
        <w:rPr>
          <w:spacing w:val="22"/>
        </w:rPr>
        <w:t> </w:t>
      </w:r>
      <w:r>
        <w:rPr/>
        <w:t>variaciones</w:t>
      </w:r>
      <w:r>
        <w:rPr>
          <w:spacing w:val="22"/>
        </w:rPr>
        <w:t> </w:t>
      </w:r>
      <w:r>
        <w:rPr/>
        <w:t>de nuevos</w:t>
      </w:r>
      <w:r>
        <w:rPr>
          <w:spacing w:val="22"/>
        </w:rPr>
        <w:t> </w:t>
      </w:r>
      <w:r>
        <w:rPr/>
        <w:t>proyectos de construcción, activos en proceso.</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6192">
                <wp:simplePos x="0" y="0"/>
                <wp:positionH relativeFrom="page">
                  <wp:posOffset>9525</wp:posOffset>
                </wp:positionH>
                <wp:positionV relativeFrom="page">
                  <wp:posOffset>297208</wp:posOffset>
                </wp:positionV>
                <wp:extent cx="7762875" cy="9748520"/>
                <wp:effectExtent l="0" t="0" r="0" b="0"/>
                <wp:wrapNone/>
                <wp:docPr id="1056" name="Group 1056"/>
                <wp:cNvGraphicFramePr>
                  <a:graphicFrameLocks/>
                </wp:cNvGraphicFramePr>
                <a:graphic>
                  <a:graphicData uri="http://schemas.microsoft.com/office/word/2010/wordprocessingGroup">
                    <wpg:wgp>
                      <wpg:cNvPr id="1056" name="Group 1056"/>
                      <wpg:cNvGrpSpPr/>
                      <wpg:grpSpPr>
                        <a:xfrm>
                          <a:off x="0" y="0"/>
                          <a:ext cx="7762875" cy="9748520"/>
                          <a:chExt cx="7762875" cy="9748520"/>
                        </a:xfrm>
                      </wpg:grpSpPr>
                      <pic:pic>
                        <pic:nvPicPr>
                          <pic:cNvPr id="1057" name="Image 1057"/>
                          <pic:cNvPicPr/>
                        </pic:nvPicPr>
                        <pic:blipFill>
                          <a:blip r:embed="rId5" cstate="print"/>
                          <a:stretch>
                            <a:fillRect/>
                          </a:stretch>
                        </pic:blipFill>
                        <pic:spPr>
                          <a:xfrm>
                            <a:off x="0" y="0"/>
                            <a:ext cx="7762874" cy="9748489"/>
                          </a:xfrm>
                          <a:prstGeom prst="rect">
                            <a:avLst/>
                          </a:prstGeom>
                        </pic:spPr>
                      </pic:pic>
                      <wps:wsp>
                        <wps:cNvPr id="1058" name="Graphic 1058"/>
                        <wps:cNvSpPr/>
                        <wps:spPr>
                          <a:xfrm>
                            <a:off x="1053007" y="990837"/>
                            <a:ext cx="5736590" cy="7624445"/>
                          </a:xfrm>
                          <a:custGeom>
                            <a:avLst/>
                            <a:gdLst/>
                            <a:ahLst/>
                            <a:cxnLst/>
                            <a:rect l="l" t="t" r="r" b="b"/>
                            <a:pathLst>
                              <a:path w="5736590" h="7624445">
                                <a:moveTo>
                                  <a:pt x="5649214" y="0"/>
                                </a:moveTo>
                                <a:lnTo>
                                  <a:pt x="0" y="0"/>
                                </a:lnTo>
                                <a:lnTo>
                                  <a:pt x="0" y="9131"/>
                                </a:lnTo>
                                <a:lnTo>
                                  <a:pt x="5649214" y="9131"/>
                                </a:lnTo>
                                <a:lnTo>
                                  <a:pt x="5649214" y="0"/>
                                </a:lnTo>
                                <a:close/>
                              </a:path>
                              <a:path w="5736590" h="7624445">
                                <a:moveTo>
                                  <a:pt x="5736018" y="132651"/>
                                </a:moveTo>
                                <a:lnTo>
                                  <a:pt x="5729935" y="132651"/>
                                </a:lnTo>
                                <a:lnTo>
                                  <a:pt x="5729935" y="7617904"/>
                                </a:lnTo>
                                <a:lnTo>
                                  <a:pt x="21336" y="7617904"/>
                                </a:lnTo>
                                <a:lnTo>
                                  <a:pt x="21336" y="132651"/>
                                </a:lnTo>
                                <a:lnTo>
                                  <a:pt x="15240" y="132651"/>
                                </a:lnTo>
                                <a:lnTo>
                                  <a:pt x="15240" y="7617904"/>
                                </a:lnTo>
                                <a:lnTo>
                                  <a:pt x="15240" y="7624000"/>
                                </a:lnTo>
                                <a:lnTo>
                                  <a:pt x="21336" y="7624000"/>
                                </a:lnTo>
                                <a:lnTo>
                                  <a:pt x="5729935" y="7624000"/>
                                </a:lnTo>
                                <a:lnTo>
                                  <a:pt x="5736018" y="7624000"/>
                                </a:lnTo>
                                <a:lnTo>
                                  <a:pt x="5736018" y="7617904"/>
                                </a:lnTo>
                                <a:lnTo>
                                  <a:pt x="5736018" y="132651"/>
                                </a:lnTo>
                                <a:close/>
                              </a:path>
                              <a:path w="5736590" h="762444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80288" id="docshapegroup1003" coordorigin="15,468" coordsize="12225,15352">
                <v:shape style="position:absolute;left:15;top:468;width:12225;height:15352" type="#_x0000_t75" id="docshape1004" stroked="false">
                  <v:imagedata r:id="rId5" o:title=""/>
                </v:shape>
                <v:shape style="position:absolute;left:1673;top:2028;width:9034;height:12007" id="docshape1005" coordorigin="1673,2028" coordsize="9034,12007" path="m10570,2028l1673,2028,1673,2043,10570,2043,10570,2028xm10706,2237l10697,2237,10697,14025,1707,14025,1707,2237,1697,2237,1697,14025,1697,14035,1707,14035,10697,14035,10697,14035,10706,14035,10706,14025,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202</w:t>
      </w:r>
    </w:p>
    <w:p>
      <w:pPr>
        <w:pStyle w:val="Heading6"/>
        <w:spacing w:before="227"/>
        <w:ind w:left="691"/>
        <w:rPr>
          <w:b w:val="0"/>
        </w:rPr>
      </w:pPr>
      <w:r>
        <w:rPr>
          <w:color w:val="1F4E79"/>
          <w:spacing w:val="-2"/>
          <w:u w:val="single" w:color="1F4E79"/>
        </w:rPr>
        <w:t>Revelación</w:t>
      </w:r>
      <w:r>
        <w:rPr>
          <w:b w:val="0"/>
          <w:spacing w:val="-2"/>
          <w:u w:val="none"/>
        </w:rPr>
        <w:t>:</w:t>
      </w:r>
    </w:p>
    <w:p>
      <w:pPr>
        <w:pStyle w:val="BodyText"/>
        <w:spacing w:before="179"/>
        <w:ind w:left="691" w:right="860"/>
      </w:pPr>
      <w:r>
        <w:rPr/>
        <w:t>Las</w:t>
      </w:r>
      <w:r>
        <w:rPr>
          <w:spacing w:val="24"/>
        </w:rPr>
        <w:t> </w:t>
      </w:r>
      <w:r>
        <w:rPr/>
        <w:t>variaciones</w:t>
      </w:r>
      <w:r>
        <w:rPr>
          <w:spacing w:val="22"/>
        </w:rPr>
        <w:t> </w:t>
      </w:r>
      <w:r>
        <w:rPr/>
        <w:t>de</w:t>
      </w:r>
      <w:r>
        <w:rPr>
          <w:spacing w:val="21"/>
        </w:rPr>
        <w:t> </w:t>
      </w:r>
      <w:r>
        <w:rPr/>
        <w:t>la</w:t>
      </w:r>
      <w:r>
        <w:rPr>
          <w:spacing w:val="22"/>
        </w:rPr>
        <w:t> </w:t>
      </w:r>
      <w:r>
        <w:rPr/>
        <w:t>cuenta</w:t>
      </w:r>
      <w:r>
        <w:rPr>
          <w:spacing w:val="22"/>
        </w:rPr>
        <w:t> </w:t>
      </w:r>
      <w:r>
        <w:rPr/>
        <w:t>son</w:t>
      </w:r>
      <w:r>
        <w:rPr>
          <w:spacing w:val="23"/>
        </w:rPr>
        <w:t> </w:t>
      </w:r>
      <w:r>
        <w:rPr/>
        <w:t>producto</w:t>
      </w:r>
      <w:r>
        <w:rPr>
          <w:spacing w:val="24"/>
        </w:rPr>
        <w:t> </w:t>
      </w:r>
      <w:r>
        <w:rPr/>
        <w:t>de</w:t>
      </w:r>
      <w:r>
        <w:rPr>
          <w:spacing w:val="21"/>
        </w:rPr>
        <w:t> </w:t>
      </w:r>
      <w:r>
        <w:rPr/>
        <w:t>las</w:t>
      </w:r>
      <w:r>
        <w:rPr>
          <w:spacing w:val="22"/>
        </w:rPr>
        <w:t> </w:t>
      </w:r>
      <w:r>
        <w:rPr/>
        <w:t>variaciones</w:t>
      </w:r>
      <w:r>
        <w:rPr>
          <w:spacing w:val="24"/>
        </w:rPr>
        <w:t> </w:t>
      </w:r>
      <w:r>
        <w:rPr/>
        <w:t>de nuevos</w:t>
      </w:r>
      <w:r>
        <w:rPr>
          <w:spacing w:val="24"/>
        </w:rPr>
        <w:t> </w:t>
      </w:r>
      <w:r>
        <w:rPr/>
        <w:t>proyectos</w:t>
      </w:r>
      <w:r>
        <w:rPr>
          <w:spacing w:val="22"/>
        </w:rPr>
        <w:t> </w:t>
      </w:r>
      <w:r>
        <w:rPr/>
        <w:t>de</w:t>
      </w:r>
      <w:r>
        <w:rPr>
          <w:spacing w:val="21"/>
        </w:rPr>
        <w:t> </w:t>
      </w:r>
      <w:r>
        <w:rPr/>
        <w:t>construcción, activos en proceso.</w:t>
      </w:r>
    </w:p>
    <w:p>
      <w:pPr>
        <w:pStyle w:val="BodyText"/>
        <w:spacing w:before="11"/>
        <w:rPr>
          <w:sz w:val="13"/>
        </w:rPr>
      </w:pPr>
    </w:p>
    <w:tbl>
      <w:tblPr>
        <w:tblW w:w="0" w:type="auto"/>
        <w:jc w:val="left"/>
        <w:tblInd w:w="1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36"/>
        <w:gridCol w:w="1476"/>
        <w:gridCol w:w="1230"/>
      </w:tblGrid>
      <w:tr>
        <w:trPr>
          <w:trHeight w:val="204" w:hRule="atLeast"/>
        </w:trPr>
        <w:tc>
          <w:tcPr>
            <w:tcW w:w="4136" w:type="dxa"/>
            <w:tcBorders>
              <w:top w:val="single" w:sz="2" w:space="0" w:color="000000"/>
              <w:left w:val="single" w:sz="2" w:space="0" w:color="000000"/>
            </w:tcBorders>
          </w:tcPr>
          <w:p>
            <w:pPr>
              <w:pStyle w:val="TableParagraph"/>
              <w:rPr>
                <w:rFonts w:ascii="Times New Roman"/>
                <w:sz w:val="14"/>
              </w:rPr>
            </w:pPr>
          </w:p>
        </w:tc>
        <w:tc>
          <w:tcPr>
            <w:tcW w:w="1476" w:type="dxa"/>
            <w:tcBorders>
              <w:top w:val="single" w:sz="2" w:space="0" w:color="000000"/>
              <w:bottom w:val="single" w:sz="18" w:space="0" w:color="000000"/>
            </w:tcBorders>
          </w:tcPr>
          <w:p>
            <w:pPr>
              <w:pStyle w:val="TableParagraph"/>
              <w:spacing w:line="162" w:lineRule="exact" w:before="23"/>
              <w:ind w:right="113"/>
              <w:jc w:val="center"/>
              <w:rPr>
                <w:rFonts w:ascii="Times New Roman"/>
                <w:b/>
                <w:sz w:val="17"/>
              </w:rPr>
            </w:pPr>
            <w:r>
              <w:rPr>
                <w:rFonts w:ascii="Times New Roman"/>
                <w:b/>
                <w:spacing w:val="-4"/>
                <w:w w:val="105"/>
                <w:sz w:val="17"/>
              </w:rPr>
              <w:t>2026</w:t>
            </w:r>
          </w:p>
        </w:tc>
        <w:tc>
          <w:tcPr>
            <w:tcW w:w="1230" w:type="dxa"/>
            <w:tcBorders>
              <w:top w:val="single" w:sz="2" w:space="0" w:color="000000"/>
              <w:bottom w:val="single" w:sz="18" w:space="0" w:color="000000"/>
              <w:right w:val="single" w:sz="4" w:space="0" w:color="000000"/>
            </w:tcBorders>
          </w:tcPr>
          <w:p>
            <w:pPr>
              <w:pStyle w:val="TableParagraph"/>
              <w:spacing w:line="162" w:lineRule="exact" w:before="23"/>
              <w:ind w:left="374"/>
              <w:rPr>
                <w:rFonts w:ascii="Times New Roman"/>
                <w:b/>
                <w:sz w:val="17"/>
              </w:rPr>
            </w:pPr>
            <w:r>
              <w:rPr>
                <w:rFonts w:ascii="Times New Roman"/>
                <w:b/>
                <w:spacing w:val="-4"/>
                <w:w w:val="105"/>
                <w:sz w:val="17"/>
              </w:rPr>
              <w:t>2025</w:t>
            </w:r>
          </w:p>
        </w:tc>
      </w:tr>
      <w:tr>
        <w:trPr>
          <w:trHeight w:val="233" w:hRule="atLeast"/>
        </w:trPr>
        <w:tc>
          <w:tcPr>
            <w:tcW w:w="4136" w:type="dxa"/>
            <w:tcBorders>
              <w:left w:val="single" w:sz="2" w:space="0" w:color="000000"/>
            </w:tcBorders>
          </w:tcPr>
          <w:p>
            <w:pPr>
              <w:pStyle w:val="TableParagraph"/>
              <w:ind w:left="28"/>
              <w:rPr>
                <w:rFonts w:ascii="Calibri"/>
                <w:b/>
                <w:sz w:val="17"/>
              </w:rPr>
            </w:pPr>
            <w:r>
              <w:rPr>
                <w:rFonts w:ascii="Calibri"/>
                <w:b/>
                <w:spacing w:val="-2"/>
                <w:w w:val="105"/>
                <w:sz w:val="17"/>
              </w:rPr>
              <w:t>Construcciones</w:t>
            </w:r>
            <w:r>
              <w:rPr>
                <w:rFonts w:ascii="Calibri"/>
                <w:b/>
                <w:spacing w:val="4"/>
                <w:w w:val="105"/>
                <w:sz w:val="17"/>
              </w:rPr>
              <w:t> </w:t>
            </w:r>
            <w:r>
              <w:rPr>
                <w:rFonts w:ascii="Calibri"/>
                <w:b/>
                <w:spacing w:val="-2"/>
                <w:w w:val="105"/>
                <w:sz w:val="17"/>
              </w:rPr>
              <w:t>en</w:t>
            </w:r>
            <w:r>
              <w:rPr>
                <w:rFonts w:ascii="Calibri"/>
                <w:b/>
                <w:spacing w:val="5"/>
                <w:w w:val="105"/>
                <w:sz w:val="17"/>
              </w:rPr>
              <w:t> </w:t>
            </w:r>
            <w:r>
              <w:rPr>
                <w:rFonts w:ascii="Calibri"/>
                <w:b/>
                <w:spacing w:val="-2"/>
                <w:w w:val="105"/>
                <w:sz w:val="17"/>
              </w:rPr>
              <w:t>proceso</w:t>
            </w:r>
          </w:p>
        </w:tc>
        <w:tc>
          <w:tcPr>
            <w:tcW w:w="1476" w:type="dxa"/>
            <w:tcBorders>
              <w:top w:val="single" w:sz="18" w:space="0" w:color="000000"/>
            </w:tcBorders>
          </w:tcPr>
          <w:p>
            <w:pPr>
              <w:pStyle w:val="TableParagraph"/>
              <w:rPr>
                <w:rFonts w:ascii="Times New Roman"/>
                <w:sz w:val="16"/>
              </w:rPr>
            </w:pPr>
          </w:p>
        </w:tc>
        <w:tc>
          <w:tcPr>
            <w:tcW w:w="1230" w:type="dxa"/>
            <w:tcBorders>
              <w:top w:val="single" w:sz="18" w:space="0" w:color="000000"/>
              <w:right w:val="single" w:sz="4" w:space="0" w:color="000000"/>
            </w:tcBorders>
          </w:tcPr>
          <w:p>
            <w:pPr>
              <w:pStyle w:val="TableParagraph"/>
              <w:rPr>
                <w:rFonts w:ascii="Times New Roman"/>
                <w:sz w:val="16"/>
              </w:rPr>
            </w:pPr>
          </w:p>
        </w:tc>
      </w:tr>
      <w:tr>
        <w:trPr>
          <w:trHeight w:val="207" w:hRule="atLeast"/>
        </w:trPr>
        <w:tc>
          <w:tcPr>
            <w:tcW w:w="4136" w:type="dxa"/>
            <w:vMerge w:val="restart"/>
            <w:tcBorders>
              <w:left w:val="single" w:sz="2" w:space="0" w:color="000000"/>
            </w:tcBorders>
          </w:tcPr>
          <w:p>
            <w:pPr>
              <w:pStyle w:val="TableParagraph"/>
              <w:spacing w:line="205" w:lineRule="exact"/>
              <w:ind w:left="28"/>
              <w:rPr>
                <w:rFonts w:ascii="Calibri" w:hAnsi="Calibri"/>
                <w:sz w:val="17"/>
              </w:rPr>
            </w:pPr>
            <w:r>
              <w:rPr>
                <w:rFonts w:ascii="Calibri" w:hAnsi="Calibri"/>
                <w:spacing w:val="-2"/>
                <w:w w:val="105"/>
                <w:sz w:val="17"/>
              </w:rPr>
              <w:t>Bienes</w:t>
            </w:r>
            <w:r>
              <w:rPr>
                <w:rFonts w:ascii="Calibri" w:hAnsi="Calibri"/>
                <w:spacing w:val="-9"/>
                <w:w w:val="105"/>
                <w:sz w:val="17"/>
              </w:rPr>
              <w:t> </w:t>
            </w:r>
            <w:r>
              <w:rPr>
                <w:rFonts w:ascii="Calibri" w:hAnsi="Calibri"/>
                <w:spacing w:val="-2"/>
                <w:w w:val="105"/>
                <w:sz w:val="17"/>
              </w:rPr>
              <w:t>intangibles</w:t>
            </w:r>
            <w:r>
              <w:rPr>
                <w:rFonts w:ascii="Calibri" w:hAnsi="Calibri"/>
                <w:spacing w:val="-8"/>
                <w:w w:val="105"/>
                <w:sz w:val="17"/>
              </w:rPr>
              <w:t> </w:t>
            </w:r>
            <w:r>
              <w:rPr>
                <w:rFonts w:ascii="Calibri" w:hAnsi="Calibri"/>
                <w:spacing w:val="-2"/>
                <w:w w:val="105"/>
                <w:sz w:val="17"/>
              </w:rPr>
              <w:t>en</w:t>
            </w:r>
            <w:r>
              <w:rPr>
                <w:rFonts w:ascii="Calibri" w:hAnsi="Calibri"/>
                <w:spacing w:val="-8"/>
                <w:w w:val="105"/>
                <w:sz w:val="17"/>
              </w:rPr>
              <w:t> </w:t>
            </w:r>
            <w:r>
              <w:rPr>
                <w:rFonts w:ascii="Calibri" w:hAnsi="Calibri"/>
                <w:spacing w:val="-2"/>
                <w:w w:val="105"/>
                <w:sz w:val="17"/>
              </w:rPr>
              <w:t>proceso</w:t>
            </w:r>
            <w:r>
              <w:rPr>
                <w:rFonts w:ascii="Calibri" w:hAnsi="Calibri"/>
                <w:spacing w:val="-5"/>
                <w:w w:val="105"/>
                <w:sz w:val="17"/>
              </w:rPr>
              <w:t> </w:t>
            </w:r>
            <w:r>
              <w:rPr>
                <w:rFonts w:ascii="Calibri" w:hAnsi="Calibri"/>
                <w:spacing w:val="-2"/>
                <w:w w:val="105"/>
                <w:sz w:val="17"/>
              </w:rPr>
              <w:t>de</w:t>
            </w:r>
            <w:r>
              <w:rPr>
                <w:rFonts w:ascii="Calibri" w:hAnsi="Calibri"/>
                <w:spacing w:val="-8"/>
                <w:w w:val="105"/>
                <w:sz w:val="17"/>
              </w:rPr>
              <w:t> </w:t>
            </w:r>
            <w:r>
              <w:rPr>
                <w:rFonts w:ascii="Calibri" w:hAnsi="Calibri"/>
                <w:spacing w:val="-2"/>
                <w:w w:val="105"/>
                <w:sz w:val="17"/>
              </w:rPr>
              <w:t>producción</w:t>
            </w:r>
          </w:p>
        </w:tc>
        <w:tc>
          <w:tcPr>
            <w:tcW w:w="1476" w:type="dxa"/>
            <w:tcBorders>
              <w:bottom w:val="single" w:sz="2" w:space="0" w:color="000000"/>
            </w:tcBorders>
          </w:tcPr>
          <w:p>
            <w:pPr>
              <w:pStyle w:val="TableParagraph"/>
              <w:spacing w:line="187" w:lineRule="exact"/>
              <w:ind w:right="198"/>
              <w:jc w:val="right"/>
              <w:rPr>
                <w:rFonts w:ascii="Calibri"/>
                <w:sz w:val="17"/>
              </w:rPr>
            </w:pPr>
            <w:r>
              <w:rPr>
                <w:rFonts w:ascii="Calibri"/>
                <w:w w:val="105"/>
                <w:sz w:val="17"/>
              </w:rPr>
              <w:t>1</w:t>
            </w:r>
            <w:r>
              <w:rPr>
                <w:rFonts w:ascii="Calibri"/>
                <w:spacing w:val="-4"/>
                <w:w w:val="105"/>
                <w:sz w:val="17"/>
              </w:rPr>
              <w:t> </w:t>
            </w:r>
            <w:r>
              <w:rPr>
                <w:rFonts w:ascii="Calibri"/>
                <w:w w:val="105"/>
                <w:sz w:val="17"/>
              </w:rPr>
              <w:t>228</w:t>
            </w:r>
            <w:r>
              <w:rPr>
                <w:rFonts w:ascii="Calibri"/>
                <w:spacing w:val="-4"/>
                <w:w w:val="105"/>
                <w:sz w:val="17"/>
              </w:rPr>
              <w:t> </w:t>
            </w:r>
            <w:r>
              <w:rPr>
                <w:rFonts w:ascii="Calibri"/>
                <w:spacing w:val="-2"/>
                <w:w w:val="105"/>
                <w:sz w:val="17"/>
              </w:rPr>
              <w:t>877,10</w:t>
            </w:r>
          </w:p>
        </w:tc>
        <w:tc>
          <w:tcPr>
            <w:tcW w:w="1230" w:type="dxa"/>
            <w:tcBorders>
              <w:bottom w:val="single" w:sz="2" w:space="0" w:color="000000"/>
              <w:right w:val="single" w:sz="4" w:space="0" w:color="000000"/>
            </w:tcBorders>
          </w:tcPr>
          <w:p>
            <w:pPr>
              <w:pStyle w:val="TableParagraph"/>
              <w:spacing w:line="187" w:lineRule="exact"/>
              <w:ind w:right="70"/>
              <w:jc w:val="right"/>
              <w:rPr>
                <w:rFonts w:ascii="Calibri"/>
                <w:sz w:val="17"/>
              </w:rPr>
            </w:pPr>
            <w:r>
              <w:rPr>
                <w:rFonts w:ascii="Calibri"/>
                <w:w w:val="105"/>
                <w:sz w:val="17"/>
              </w:rPr>
              <w:t>938</w:t>
            </w:r>
            <w:r>
              <w:rPr>
                <w:rFonts w:ascii="Calibri"/>
                <w:spacing w:val="-5"/>
                <w:w w:val="105"/>
                <w:sz w:val="17"/>
              </w:rPr>
              <w:t> </w:t>
            </w:r>
            <w:r>
              <w:rPr>
                <w:rFonts w:ascii="Calibri"/>
                <w:spacing w:val="-2"/>
                <w:w w:val="105"/>
                <w:sz w:val="17"/>
              </w:rPr>
              <w:t>950,40</w:t>
            </w:r>
          </w:p>
        </w:tc>
      </w:tr>
      <w:tr>
        <w:trPr>
          <w:trHeight w:val="225" w:hRule="atLeast"/>
        </w:trPr>
        <w:tc>
          <w:tcPr>
            <w:tcW w:w="4136" w:type="dxa"/>
            <w:vMerge/>
            <w:tcBorders>
              <w:top w:val="nil"/>
              <w:left w:val="single" w:sz="2" w:space="0" w:color="000000"/>
            </w:tcBorders>
          </w:tcPr>
          <w:p>
            <w:pPr>
              <w:rPr>
                <w:sz w:val="2"/>
                <w:szCs w:val="2"/>
              </w:rPr>
            </w:pPr>
          </w:p>
        </w:tc>
        <w:tc>
          <w:tcPr>
            <w:tcW w:w="1476" w:type="dxa"/>
            <w:tcBorders>
              <w:top w:val="single" w:sz="2" w:space="0" w:color="000000"/>
              <w:bottom w:val="single" w:sz="2" w:space="0" w:color="000000"/>
            </w:tcBorders>
          </w:tcPr>
          <w:p>
            <w:pPr>
              <w:pStyle w:val="TableParagraph"/>
              <w:spacing w:line="190" w:lineRule="exact" w:before="15"/>
              <w:ind w:right="198"/>
              <w:jc w:val="right"/>
              <w:rPr>
                <w:rFonts w:ascii="Calibri"/>
                <w:sz w:val="17"/>
              </w:rPr>
            </w:pPr>
            <w:r>
              <w:rPr>
                <w:rFonts w:ascii="Calibri"/>
                <w:w w:val="105"/>
                <w:sz w:val="17"/>
              </w:rPr>
              <w:t>1</w:t>
            </w:r>
            <w:r>
              <w:rPr>
                <w:rFonts w:ascii="Calibri"/>
                <w:spacing w:val="-4"/>
                <w:w w:val="105"/>
                <w:sz w:val="17"/>
              </w:rPr>
              <w:t> </w:t>
            </w:r>
            <w:r>
              <w:rPr>
                <w:rFonts w:ascii="Calibri"/>
                <w:w w:val="105"/>
                <w:sz w:val="17"/>
              </w:rPr>
              <w:t>228</w:t>
            </w:r>
            <w:r>
              <w:rPr>
                <w:rFonts w:ascii="Calibri"/>
                <w:spacing w:val="-4"/>
                <w:w w:val="105"/>
                <w:sz w:val="17"/>
              </w:rPr>
              <w:t> </w:t>
            </w:r>
            <w:r>
              <w:rPr>
                <w:rFonts w:ascii="Calibri"/>
                <w:spacing w:val="-2"/>
                <w:w w:val="105"/>
                <w:sz w:val="17"/>
              </w:rPr>
              <w:t>877,10</w:t>
            </w:r>
          </w:p>
        </w:tc>
        <w:tc>
          <w:tcPr>
            <w:tcW w:w="1230" w:type="dxa"/>
            <w:tcBorders>
              <w:top w:val="single" w:sz="2" w:space="0" w:color="000000"/>
              <w:bottom w:val="single" w:sz="2" w:space="0" w:color="000000"/>
              <w:right w:val="single" w:sz="4" w:space="0" w:color="000000"/>
            </w:tcBorders>
          </w:tcPr>
          <w:p>
            <w:pPr>
              <w:pStyle w:val="TableParagraph"/>
              <w:spacing w:line="190" w:lineRule="exact" w:before="15"/>
              <w:ind w:right="70"/>
              <w:jc w:val="right"/>
              <w:rPr>
                <w:rFonts w:ascii="Calibri"/>
                <w:sz w:val="17"/>
              </w:rPr>
            </w:pPr>
            <w:r>
              <w:rPr>
                <w:rFonts w:ascii="Calibri"/>
                <w:w w:val="105"/>
                <w:sz w:val="17"/>
              </w:rPr>
              <w:t>938</w:t>
            </w:r>
            <w:r>
              <w:rPr>
                <w:rFonts w:ascii="Calibri"/>
                <w:spacing w:val="-5"/>
                <w:w w:val="105"/>
                <w:sz w:val="17"/>
              </w:rPr>
              <w:t> </w:t>
            </w:r>
            <w:r>
              <w:rPr>
                <w:rFonts w:ascii="Calibri"/>
                <w:spacing w:val="-2"/>
                <w:w w:val="105"/>
                <w:sz w:val="17"/>
              </w:rPr>
              <w:t>950,40</w:t>
            </w:r>
          </w:p>
        </w:tc>
      </w:tr>
      <w:tr>
        <w:trPr>
          <w:trHeight w:val="248" w:hRule="atLeast"/>
        </w:trPr>
        <w:tc>
          <w:tcPr>
            <w:tcW w:w="4136" w:type="dxa"/>
            <w:tcBorders>
              <w:left w:val="single" w:sz="2" w:space="0" w:color="000000"/>
            </w:tcBorders>
          </w:tcPr>
          <w:p>
            <w:pPr>
              <w:pStyle w:val="TableParagraph"/>
              <w:spacing w:before="15"/>
              <w:ind w:left="28"/>
              <w:rPr>
                <w:rFonts w:ascii="Calibri"/>
                <w:sz w:val="17"/>
              </w:rPr>
            </w:pPr>
            <w:r>
              <w:rPr>
                <w:rFonts w:ascii="Calibri"/>
                <w:sz w:val="17"/>
              </w:rPr>
              <w:t>Construcciones</w:t>
            </w:r>
            <w:r>
              <w:rPr>
                <w:rFonts w:ascii="Calibri"/>
                <w:spacing w:val="8"/>
                <w:sz w:val="17"/>
              </w:rPr>
              <w:t> </w:t>
            </w:r>
            <w:r>
              <w:rPr>
                <w:rFonts w:ascii="Calibri"/>
                <w:sz w:val="17"/>
              </w:rPr>
              <w:t>en</w:t>
            </w:r>
            <w:r>
              <w:rPr>
                <w:rFonts w:ascii="Calibri"/>
                <w:spacing w:val="9"/>
                <w:sz w:val="17"/>
              </w:rPr>
              <w:t> </w:t>
            </w:r>
            <w:r>
              <w:rPr>
                <w:rFonts w:ascii="Calibri"/>
                <w:sz w:val="17"/>
              </w:rPr>
              <w:t>proceso</w:t>
            </w:r>
            <w:r>
              <w:rPr>
                <w:rFonts w:ascii="Calibri"/>
                <w:spacing w:val="14"/>
                <w:sz w:val="17"/>
              </w:rPr>
              <w:t> </w:t>
            </w:r>
            <w:r>
              <w:rPr>
                <w:rFonts w:ascii="Calibri"/>
                <w:sz w:val="17"/>
              </w:rPr>
              <w:t>de</w:t>
            </w:r>
            <w:r>
              <w:rPr>
                <w:rFonts w:ascii="Calibri"/>
                <w:spacing w:val="9"/>
                <w:sz w:val="17"/>
              </w:rPr>
              <w:t> </w:t>
            </w:r>
            <w:r>
              <w:rPr>
                <w:rFonts w:ascii="Calibri"/>
                <w:spacing w:val="-2"/>
                <w:sz w:val="17"/>
              </w:rPr>
              <w:t>edificios</w:t>
            </w:r>
          </w:p>
        </w:tc>
        <w:tc>
          <w:tcPr>
            <w:tcW w:w="1476" w:type="dxa"/>
            <w:tcBorders>
              <w:top w:val="single" w:sz="2" w:space="0" w:color="000000"/>
            </w:tcBorders>
          </w:tcPr>
          <w:p>
            <w:pPr>
              <w:pStyle w:val="TableParagraph"/>
              <w:rPr>
                <w:rFonts w:ascii="Times New Roman"/>
                <w:sz w:val="18"/>
              </w:rPr>
            </w:pPr>
          </w:p>
        </w:tc>
        <w:tc>
          <w:tcPr>
            <w:tcW w:w="1230" w:type="dxa"/>
            <w:tcBorders>
              <w:top w:val="single" w:sz="2" w:space="0" w:color="000000"/>
              <w:right w:val="single" w:sz="4" w:space="0" w:color="000000"/>
            </w:tcBorders>
          </w:tcPr>
          <w:p>
            <w:pPr>
              <w:pStyle w:val="TableParagraph"/>
              <w:rPr>
                <w:rFonts w:ascii="Times New Roman"/>
                <w:sz w:val="18"/>
              </w:rPr>
            </w:pPr>
          </w:p>
        </w:tc>
      </w:tr>
      <w:tr>
        <w:trPr>
          <w:trHeight w:val="230" w:hRule="atLeast"/>
        </w:trPr>
        <w:tc>
          <w:tcPr>
            <w:tcW w:w="4136" w:type="dxa"/>
            <w:tcBorders>
              <w:left w:val="single" w:sz="2" w:space="0" w:color="000000"/>
            </w:tcBorders>
          </w:tcPr>
          <w:p>
            <w:pPr>
              <w:pStyle w:val="TableParagraph"/>
              <w:spacing w:line="205" w:lineRule="exact"/>
              <w:ind w:left="28"/>
              <w:rPr>
                <w:rFonts w:ascii="Calibri"/>
                <w:sz w:val="17"/>
              </w:rPr>
            </w:pPr>
            <w:r>
              <w:rPr>
                <w:rFonts w:ascii="Calibri"/>
                <w:sz w:val="17"/>
              </w:rPr>
              <w:t>Construcciones</w:t>
            </w:r>
            <w:r>
              <w:rPr>
                <w:rFonts w:ascii="Calibri"/>
                <w:spacing w:val="6"/>
                <w:sz w:val="17"/>
              </w:rPr>
              <w:t> </w:t>
            </w:r>
            <w:r>
              <w:rPr>
                <w:rFonts w:ascii="Calibri"/>
                <w:sz w:val="17"/>
              </w:rPr>
              <w:t>en</w:t>
            </w:r>
            <w:r>
              <w:rPr>
                <w:rFonts w:ascii="Calibri"/>
                <w:spacing w:val="7"/>
                <w:sz w:val="17"/>
              </w:rPr>
              <w:t> </w:t>
            </w:r>
            <w:r>
              <w:rPr>
                <w:rFonts w:ascii="Calibri"/>
                <w:sz w:val="17"/>
              </w:rPr>
              <w:t>proceso</w:t>
            </w:r>
            <w:r>
              <w:rPr>
                <w:rFonts w:ascii="Calibri"/>
                <w:spacing w:val="12"/>
                <w:sz w:val="17"/>
              </w:rPr>
              <w:t> </w:t>
            </w:r>
            <w:r>
              <w:rPr>
                <w:rFonts w:ascii="Calibri"/>
                <w:sz w:val="17"/>
              </w:rPr>
              <w:t>de</w:t>
            </w:r>
            <w:r>
              <w:rPr>
                <w:rFonts w:ascii="Calibri"/>
                <w:spacing w:val="7"/>
                <w:sz w:val="17"/>
              </w:rPr>
              <w:t> </w:t>
            </w:r>
            <w:r>
              <w:rPr>
                <w:rFonts w:ascii="Calibri"/>
                <w:sz w:val="17"/>
              </w:rPr>
              <w:t>edificios</w:t>
            </w:r>
            <w:r>
              <w:rPr>
                <w:rFonts w:ascii="Calibri"/>
                <w:spacing w:val="7"/>
                <w:sz w:val="17"/>
              </w:rPr>
              <w:t> </w:t>
            </w:r>
            <w:r>
              <w:rPr>
                <w:rFonts w:ascii="Calibri"/>
                <w:sz w:val="17"/>
              </w:rPr>
              <w:t>de</w:t>
            </w:r>
            <w:r>
              <w:rPr>
                <w:rFonts w:ascii="Calibri"/>
                <w:spacing w:val="6"/>
                <w:sz w:val="17"/>
              </w:rPr>
              <w:t> </w:t>
            </w:r>
            <w:r>
              <w:rPr>
                <w:rFonts w:ascii="Calibri"/>
                <w:spacing w:val="-2"/>
                <w:sz w:val="17"/>
              </w:rPr>
              <w:t>oficina</w:t>
            </w:r>
          </w:p>
        </w:tc>
        <w:tc>
          <w:tcPr>
            <w:tcW w:w="1476" w:type="dxa"/>
          </w:tcPr>
          <w:p>
            <w:pPr>
              <w:pStyle w:val="TableParagraph"/>
              <w:rPr>
                <w:rFonts w:ascii="Times New Roman"/>
                <w:sz w:val="16"/>
              </w:rPr>
            </w:pPr>
          </w:p>
        </w:tc>
        <w:tc>
          <w:tcPr>
            <w:tcW w:w="1230" w:type="dxa"/>
            <w:tcBorders>
              <w:right w:val="single" w:sz="4" w:space="0" w:color="000000"/>
            </w:tcBorders>
          </w:tcPr>
          <w:p>
            <w:pPr>
              <w:pStyle w:val="TableParagraph"/>
              <w:rPr>
                <w:rFonts w:ascii="Times New Roman"/>
                <w:sz w:val="16"/>
              </w:rPr>
            </w:pPr>
          </w:p>
        </w:tc>
      </w:tr>
      <w:tr>
        <w:trPr>
          <w:trHeight w:val="207" w:hRule="atLeast"/>
        </w:trPr>
        <w:tc>
          <w:tcPr>
            <w:tcW w:w="4136" w:type="dxa"/>
            <w:tcBorders>
              <w:left w:val="single" w:sz="2" w:space="0" w:color="000000"/>
            </w:tcBorders>
          </w:tcPr>
          <w:p>
            <w:pPr>
              <w:pStyle w:val="TableParagraph"/>
              <w:spacing w:line="187" w:lineRule="exact"/>
              <w:ind w:left="28"/>
              <w:rPr>
                <w:rFonts w:ascii="Calibri"/>
                <w:sz w:val="17"/>
              </w:rPr>
            </w:pPr>
            <w:r>
              <w:rPr>
                <w:rFonts w:ascii="Calibri"/>
                <w:sz w:val="17"/>
              </w:rPr>
              <w:t>Construcciones</w:t>
            </w:r>
            <w:r>
              <w:rPr>
                <w:rFonts w:ascii="Calibri"/>
                <w:spacing w:val="11"/>
                <w:sz w:val="17"/>
              </w:rPr>
              <w:t> </w:t>
            </w:r>
            <w:r>
              <w:rPr>
                <w:rFonts w:ascii="Calibri"/>
                <w:sz w:val="17"/>
              </w:rPr>
              <w:t>de</w:t>
            </w:r>
            <w:r>
              <w:rPr>
                <w:rFonts w:ascii="Calibri"/>
                <w:spacing w:val="12"/>
                <w:sz w:val="17"/>
              </w:rPr>
              <w:t> </w:t>
            </w:r>
            <w:r>
              <w:rPr>
                <w:rFonts w:ascii="Calibri"/>
                <w:sz w:val="17"/>
              </w:rPr>
              <w:t>otros</w:t>
            </w:r>
            <w:r>
              <w:rPr>
                <w:rFonts w:ascii="Calibri"/>
                <w:spacing w:val="11"/>
                <w:sz w:val="17"/>
              </w:rPr>
              <w:t> </w:t>
            </w:r>
            <w:r>
              <w:rPr>
                <w:rFonts w:ascii="Calibri"/>
                <w:spacing w:val="-2"/>
                <w:sz w:val="17"/>
              </w:rPr>
              <w:t>edificios</w:t>
            </w:r>
          </w:p>
        </w:tc>
        <w:tc>
          <w:tcPr>
            <w:tcW w:w="1476" w:type="dxa"/>
            <w:tcBorders>
              <w:bottom w:val="single" w:sz="2" w:space="0" w:color="000000"/>
            </w:tcBorders>
          </w:tcPr>
          <w:p>
            <w:pPr>
              <w:pStyle w:val="TableParagraph"/>
              <w:spacing w:line="187" w:lineRule="exact"/>
              <w:ind w:right="197"/>
              <w:jc w:val="right"/>
              <w:rPr>
                <w:rFonts w:ascii="Calibri"/>
                <w:sz w:val="17"/>
              </w:rPr>
            </w:pPr>
            <w:r>
              <w:rPr>
                <w:rFonts w:ascii="Calibri"/>
                <w:w w:val="105"/>
                <w:sz w:val="17"/>
              </w:rPr>
              <w:t>475</w:t>
            </w:r>
            <w:r>
              <w:rPr>
                <w:rFonts w:ascii="Calibri"/>
                <w:spacing w:val="-5"/>
                <w:w w:val="105"/>
                <w:sz w:val="17"/>
              </w:rPr>
              <w:t> </w:t>
            </w:r>
            <w:r>
              <w:rPr>
                <w:rFonts w:ascii="Calibri"/>
                <w:spacing w:val="-2"/>
                <w:w w:val="105"/>
                <w:sz w:val="17"/>
              </w:rPr>
              <w:t>841,95</w:t>
            </w:r>
          </w:p>
        </w:tc>
        <w:tc>
          <w:tcPr>
            <w:tcW w:w="1230" w:type="dxa"/>
            <w:tcBorders>
              <w:bottom w:val="single" w:sz="2" w:space="0" w:color="000000"/>
              <w:right w:val="single" w:sz="4" w:space="0" w:color="000000"/>
            </w:tcBorders>
          </w:tcPr>
          <w:p>
            <w:pPr>
              <w:pStyle w:val="TableParagraph"/>
              <w:spacing w:line="187" w:lineRule="exact"/>
              <w:ind w:right="70"/>
              <w:jc w:val="right"/>
              <w:rPr>
                <w:rFonts w:ascii="Calibri"/>
                <w:sz w:val="17"/>
              </w:rPr>
            </w:pPr>
            <w:r>
              <w:rPr>
                <w:rFonts w:ascii="Calibri"/>
                <w:w w:val="105"/>
                <w:sz w:val="17"/>
              </w:rPr>
              <w:t>266</w:t>
            </w:r>
            <w:r>
              <w:rPr>
                <w:rFonts w:ascii="Calibri"/>
                <w:spacing w:val="-5"/>
                <w:w w:val="105"/>
                <w:sz w:val="17"/>
              </w:rPr>
              <w:t> </w:t>
            </w:r>
            <w:r>
              <w:rPr>
                <w:rFonts w:ascii="Calibri"/>
                <w:spacing w:val="-2"/>
                <w:w w:val="105"/>
                <w:sz w:val="17"/>
              </w:rPr>
              <w:t>960,16</w:t>
            </w:r>
          </w:p>
        </w:tc>
      </w:tr>
      <w:tr>
        <w:trPr>
          <w:trHeight w:val="225" w:hRule="atLeast"/>
        </w:trPr>
        <w:tc>
          <w:tcPr>
            <w:tcW w:w="4136" w:type="dxa"/>
            <w:tcBorders>
              <w:left w:val="single" w:sz="2" w:space="0" w:color="000000"/>
            </w:tcBorders>
          </w:tcPr>
          <w:p>
            <w:pPr>
              <w:pStyle w:val="TableParagraph"/>
              <w:spacing w:line="190" w:lineRule="exact" w:before="15"/>
              <w:ind w:left="28"/>
              <w:rPr>
                <w:rFonts w:ascii="Calibri"/>
                <w:sz w:val="17"/>
              </w:rPr>
            </w:pPr>
            <w:r>
              <w:rPr>
                <w:rFonts w:ascii="Calibri"/>
                <w:spacing w:val="-2"/>
                <w:w w:val="105"/>
                <w:sz w:val="17"/>
              </w:rPr>
              <w:t>Total</w:t>
            </w:r>
            <w:r>
              <w:rPr>
                <w:rFonts w:ascii="Calibri"/>
                <w:spacing w:val="-4"/>
                <w:w w:val="105"/>
                <w:sz w:val="17"/>
              </w:rPr>
              <w:t> </w:t>
            </w:r>
            <w:r>
              <w:rPr>
                <w:rFonts w:ascii="Calibri"/>
                <w:spacing w:val="-2"/>
                <w:w w:val="105"/>
                <w:sz w:val="17"/>
              </w:rPr>
              <w:t>Construcciones</w:t>
            </w:r>
            <w:r>
              <w:rPr>
                <w:rFonts w:ascii="Calibri"/>
                <w:spacing w:val="-4"/>
                <w:w w:val="105"/>
                <w:sz w:val="17"/>
              </w:rPr>
              <w:t> </w:t>
            </w:r>
            <w:r>
              <w:rPr>
                <w:rFonts w:ascii="Calibri"/>
                <w:spacing w:val="-2"/>
                <w:w w:val="105"/>
                <w:sz w:val="17"/>
              </w:rPr>
              <w:t>en</w:t>
            </w:r>
            <w:r>
              <w:rPr>
                <w:rFonts w:ascii="Calibri"/>
                <w:spacing w:val="-4"/>
                <w:w w:val="105"/>
                <w:sz w:val="17"/>
              </w:rPr>
              <w:t> </w:t>
            </w:r>
            <w:r>
              <w:rPr>
                <w:rFonts w:ascii="Calibri"/>
                <w:spacing w:val="-2"/>
                <w:w w:val="105"/>
                <w:sz w:val="17"/>
              </w:rPr>
              <w:t>proceso</w:t>
            </w:r>
            <w:r>
              <w:rPr>
                <w:rFonts w:ascii="Calibri"/>
                <w:w w:val="105"/>
                <w:sz w:val="17"/>
              </w:rPr>
              <w:t> </w:t>
            </w:r>
            <w:r>
              <w:rPr>
                <w:rFonts w:ascii="Calibri"/>
                <w:spacing w:val="-2"/>
                <w:w w:val="105"/>
                <w:sz w:val="17"/>
              </w:rPr>
              <w:t>de</w:t>
            </w:r>
            <w:r>
              <w:rPr>
                <w:rFonts w:ascii="Calibri"/>
                <w:spacing w:val="-4"/>
                <w:w w:val="105"/>
                <w:sz w:val="17"/>
              </w:rPr>
              <w:t> </w:t>
            </w:r>
            <w:r>
              <w:rPr>
                <w:rFonts w:ascii="Calibri"/>
                <w:spacing w:val="-2"/>
                <w:w w:val="105"/>
                <w:sz w:val="17"/>
              </w:rPr>
              <w:t>edificios</w:t>
            </w:r>
          </w:p>
        </w:tc>
        <w:tc>
          <w:tcPr>
            <w:tcW w:w="1476" w:type="dxa"/>
            <w:tcBorders>
              <w:top w:val="single" w:sz="2" w:space="0" w:color="000000"/>
              <w:bottom w:val="single" w:sz="2" w:space="0" w:color="000000"/>
            </w:tcBorders>
          </w:tcPr>
          <w:p>
            <w:pPr>
              <w:pStyle w:val="TableParagraph"/>
              <w:spacing w:line="190" w:lineRule="exact" w:before="15"/>
              <w:ind w:right="197"/>
              <w:jc w:val="right"/>
              <w:rPr>
                <w:rFonts w:ascii="Calibri"/>
                <w:sz w:val="17"/>
              </w:rPr>
            </w:pPr>
            <w:r>
              <w:rPr>
                <w:rFonts w:ascii="Calibri"/>
                <w:w w:val="105"/>
                <w:sz w:val="17"/>
              </w:rPr>
              <w:t>475</w:t>
            </w:r>
            <w:r>
              <w:rPr>
                <w:rFonts w:ascii="Calibri"/>
                <w:spacing w:val="-5"/>
                <w:w w:val="105"/>
                <w:sz w:val="17"/>
              </w:rPr>
              <w:t> </w:t>
            </w:r>
            <w:r>
              <w:rPr>
                <w:rFonts w:ascii="Calibri"/>
                <w:spacing w:val="-2"/>
                <w:w w:val="105"/>
                <w:sz w:val="17"/>
              </w:rPr>
              <w:t>841,95</w:t>
            </w:r>
          </w:p>
        </w:tc>
        <w:tc>
          <w:tcPr>
            <w:tcW w:w="1230" w:type="dxa"/>
            <w:tcBorders>
              <w:top w:val="single" w:sz="2" w:space="0" w:color="000000"/>
              <w:bottom w:val="single" w:sz="2" w:space="0" w:color="000000"/>
              <w:right w:val="single" w:sz="4" w:space="0" w:color="000000"/>
            </w:tcBorders>
          </w:tcPr>
          <w:p>
            <w:pPr>
              <w:pStyle w:val="TableParagraph"/>
              <w:spacing w:line="190" w:lineRule="exact" w:before="15"/>
              <w:ind w:right="70"/>
              <w:jc w:val="right"/>
              <w:rPr>
                <w:rFonts w:ascii="Calibri"/>
                <w:sz w:val="17"/>
              </w:rPr>
            </w:pPr>
            <w:r>
              <w:rPr>
                <w:rFonts w:ascii="Calibri"/>
                <w:w w:val="105"/>
                <w:sz w:val="17"/>
              </w:rPr>
              <w:t>266</w:t>
            </w:r>
            <w:r>
              <w:rPr>
                <w:rFonts w:ascii="Calibri"/>
                <w:spacing w:val="-5"/>
                <w:w w:val="105"/>
                <w:sz w:val="17"/>
              </w:rPr>
              <w:t> </w:t>
            </w:r>
            <w:r>
              <w:rPr>
                <w:rFonts w:ascii="Calibri"/>
                <w:spacing w:val="-2"/>
                <w:w w:val="105"/>
                <w:sz w:val="17"/>
              </w:rPr>
              <w:t>960,16</w:t>
            </w:r>
          </w:p>
        </w:tc>
      </w:tr>
      <w:tr>
        <w:trPr>
          <w:trHeight w:val="224" w:hRule="atLeast"/>
        </w:trPr>
        <w:tc>
          <w:tcPr>
            <w:tcW w:w="4136" w:type="dxa"/>
            <w:tcBorders>
              <w:left w:val="single" w:sz="2" w:space="0" w:color="000000"/>
              <w:bottom w:val="single" w:sz="4" w:space="0" w:color="000000"/>
            </w:tcBorders>
          </w:tcPr>
          <w:p>
            <w:pPr>
              <w:pStyle w:val="TableParagraph"/>
              <w:spacing w:line="189" w:lineRule="exact" w:before="15"/>
              <w:ind w:left="28"/>
              <w:rPr>
                <w:rFonts w:ascii="Calibri"/>
                <w:sz w:val="17"/>
              </w:rPr>
            </w:pPr>
            <w:r>
              <w:rPr>
                <w:rFonts w:ascii="Calibri"/>
                <w:sz w:val="17"/>
              </w:rPr>
              <w:t>Total</w:t>
            </w:r>
            <w:r>
              <w:rPr>
                <w:rFonts w:ascii="Calibri"/>
                <w:spacing w:val="10"/>
                <w:sz w:val="17"/>
              </w:rPr>
              <w:t> </w:t>
            </w:r>
            <w:r>
              <w:rPr>
                <w:rFonts w:ascii="Calibri"/>
                <w:sz w:val="17"/>
              </w:rPr>
              <w:t>Construcciones</w:t>
            </w:r>
            <w:r>
              <w:rPr>
                <w:rFonts w:ascii="Calibri"/>
                <w:spacing w:val="11"/>
                <w:sz w:val="17"/>
              </w:rPr>
              <w:t> </w:t>
            </w:r>
            <w:r>
              <w:rPr>
                <w:rFonts w:ascii="Calibri"/>
                <w:sz w:val="17"/>
              </w:rPr>
              <w:t>en</w:t>
            </w:r>
            <w:r>
              <w:rPr>
                <w:rFonts w:ascii="Calibri"/>
                <w:spacing w:val="11"/>
                <w:sz w:val="17"/>
              </w:rPr>
              <w:t> </w:t>
            </w:r>
            <w:r>
              <w:rPr>
                <w:rFonts w:ascii="Calibri"/>
                <w:spacing w:val="-2"/>
                <w:sz w:val="17"/>
              </w:rPr>
              <w:t>proceso</w:t>
            </w:r>
          </w:p>
        </w:tc>
        <w:tc>
          <w:tcPr>
            <w:tcW w:w="1476" w:type="dxa"/>
            <w:tcBorders>
              <w:top w:val="single" w:sz="2" w:space="0" w:color="000000"/>
              <w:bottom w:val="single" w:sz="4" w:space="0" w:color="000000"/>
            </w:tcBorders>
          </w:tcPr>
          <w:p>
            <w:pPr>
              <w:pStyle w:val="TableParagraph"/>
              <w:spacing w:line="189" w:lineRule="exact" w:before="15"/>
              <w:ind w:right="202"/>
              <w:jc w:val="right"/>
              <w:rPr>
                <w:rFonts w:ascii="Calibri"/>
                <w:b/>
                <w:sz w:val="17"/>
              </w:rPr>
            </w:pPr>
            <w:r>
              <w:rPr>
                <w:rFonts w:ascii="Calibri"/>
                <w:b/>
                <w:w w:val="105"/>
                <w:sz w:val="17"/>
              </w:rPr>
              <w:t>1</w:t>
            </w:r>
            <w:r>
              <w:rPr>
                <w:rFonts w:ascii="Calibri"/>
                <w:b/>
                <w:spacing w:val="-4"/>
                <w:w w:val="105"/>
                <w:sz w:val="17"/>
              </w:rPr>
              <w:t> </w:t>
            </w:r>
            <w:r>
              <w:rPr>
                <w:rFonts w:ascii="Calibri"/>
                <w:b/>
                <w:w w:val="105"/>
                <w:sz w:val="17"/>
              </w:rPr>
              <w:t>704</w:t>
            </w:r>
            <w:r>
              <w:rPr>
                <w:rFonts w:ascii="Calibri"/>
                <w:b/>
                <w:spacing w:val="-4"/>
                <w:w w:val="105"/>
                <w:sz w:val="17"/>
              </w:rPr>
              <w:t> </w:t>
            </w:r>
            <w:r>
              <w:rPr>
                <w:rFonts w:ascii="Calibri"/>
                <w:b/>
                <w:spacing w:val="-2"/>
                <w:w w:val="105"/>
                <w:sz w:val="17"/>
              </w:rPr>
              <w:t>719,05</w:t>
            </w:r>
          </w:p>
        </w:tc>
        <w:tc>
          <w:tcPr>
            <w:tcW w:w="1230" w:type="dxa"/>
            <w:tcBorders>
              <w:top w:val="single" w:sz="2" w:space="0" w:color="000000"/>
              <w:bottom w:val="single" w:sz="4" w:space="0" w:color="000000"/>
              <w:right w:val="single" w:sz="4" w:space="0" w:color="000000"/>
            </w:tcBorders>
          </w:tcPr>
          <w:p>
            <w:pPr>
              <w:pStyle w:val="TableParagraph"/>
              <w:spacing w:line="189" w:lineRule="exact" w:before="15"/>
              <w:ind w:right="75"/>
              <w:jc w:val="right"/>
              <w:rPr>
                <w:rFonts w:ascii="Calibri"/>
                <w:b/>
                <w:sz w:val="17"/>
              </w:rPr>
            </w:pPr>
            <w:r>
              <w:rPr>
                <w:rFonts w:ascii="Calibri"/>
                <w:b/>
                <w:w w:val="105"/>
                <w:sz w:val="17"/>
              </w:rPr>
              <w:t>1</w:t>
            </w:r>
            <w:r>
              <w:rPr>
                <w:rFonts w:ascii="Calibri"/>
                <w:b/>
                <w:spacing w:val="-4"/>
                <w:w w:val="105"/>
                <w:sz w:val="17"/>
              </w:rPr>
              <w:t> </w:t>
            </w:r>
            <w:r>
              <w:rPr>
                <w:rFonts w:ascii="Calibri"/>
                <w:b/>
                <w:w w:val="105"/>
                <w:sz w:val="17"/>
              </w:rPr>
              <w:t>205</w:t>
            </w:r>
            <w:r>
              <w:rPr>
                <w:rFonts w:ascii="Calibri"/>
                <w:b/>
                <w:spacing w:val="-4"/>
                <w:w w:val="105"/>
                <w:sz w:val="17"/>
              </w:rPr>
              <w:t> </w:t>
            </w:r>
            <w:r>
              <w:rPr>
                <w:rFonts w:ascii="Calibri"/>
                <w:b/>
                <w:spacing w:val="-2"/>
                <w:w w:val="105"/>
                <w:sz w:val="17"/>
              </w:rPr>
              <w:t>910,56</w:t>
            </w:r>
          </w:p>
        </w:tc>
      </w:tr>
    </w:tbl>
    <w:p>
      <w:pPr>
        <w:pStyle w:val="BodyText"/>
        <w:spacing w:before="180"/>
        <w:ind w:left="691"/>
      </w:pPr>
      <w:r>
        <w:rPr>
          <w:u w:val="single"/>
        </w:rPr>
        <w:t>Construcciones</w:t>
      </w:r>
      <w:r>
        <w:rPr>
          <w:spacing w:val="-7"/>
          <w:u w:val="single"/>
        </w:rPr>
        <w:t> </w:t>
      </w:r>
      <w:r>
        <w:rPr>
          <w:u w:val="single"/>
        </w:rPr>
        <w:t>edificios</w:t>
      </w:r>
      <w:r>
        <w:rPr>
          <w:spacing w:val="-6"/>
          <w:u w:val="single"/>
        </w:rPr>
        <w:t> </w:t>
      </w:r>
      <w:r>
        <w:rPr>
          <w:u w:val="single"/>
        </w:rPr>
        <w:t>en</w:t>
      </w:r>
      <w:r>
        <w:rPr>
          <w:spacing w:val="-8"/>
          <w:u w:val="single"/>
        </w:rPr>
        <w:t> </w:t>
      </w:r>
      <w:r>
        <w:rPr>
          <w:spacing w:val="-2"/>
          <w:u w:val="single"/>
        </w:rPr>
        <w:t>proceso</w:t>
      </w:r>
      <w:r>
        <w:rPr>
          <w:spacing w:val="-2"/>
          <w:u w:val="none"/>
        </w:rPr>
        <w:t>:</w:t>
      </w:r>
    </w:p>
    <w:p>
      <w:pPr>
        <w:pStyle w:val="BodyText"/>
        <w:spacing w:line="259" w:lineRule="auto" w:before="181"/>
        <w:ind w:left="691" w:right="882"/>
        <w:jc w:val="both"/>
      </w:pPr>
      <w:r>
        <w:rPr/>
        <w:t>Las construcciones corresponden diferentes a</w:t>
      </w:r>
      <w:r>
        <w:rPr>
          <w:spacing w:val="-1"/>
        </w:rPr>
        <w:t> </w:t>
      </w:r>
      <w:r>
        <w:rPr/>
        <w:t>la</w:t>
      </w:r>
      <w:r>
        <w:rPr>
          <w:spacing w:val="-1"/>
        </w:rPr>
        <w:t> </w:t>
      </w:r>
      <w:r>
        <w:rPr/>
        <w:t>construcción del</w:t>
      </w:r>
      <w:r>
        <w:rPr>
          <w:spacing w:val="-1"/>
        </w:rPr>
        <w:t> </w:t>
      </w:r>
      <w:r>
        <w:rPr/>
        <w:t>edificio de</w:t>
      </w:r>
      <w:r>
        <w:rPr>
          <w:spacing w:val="-2"/>
        </w:rPr>
        <w:t> </w:t>
      </w:r>
      <w:r>
        <w:rPr/>
        <w:t>oficinas administrativas y otras mejoras y adiciones que continúan en el 2026 según se detalla:</w:t>
      </w:r>
    </w:p>
    <w:p>
      <w:pPr>
        <w:pStyle w:val="BodyText"/>
        <w:spacing w:before="7"/>
        <w:rPr>
          <w:sz w:val="20"/>
        </w:rPr>
      </w:pPr>
    </w:p>
    <w:tbl>
      <w:tblPr>
        <w:tblW w:w="0" w:type="auto"/>
        <w:jc w:val="left"/>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589"/>
        <w:gridCol w:w="2362"/>
        <w:gridCol w:w="809"/>
        <w:gridCol w:w="898"/>
        <w:gridCol w:w="898"/>
        <w:gridCol w:w="898"/>
        <w:gridCol w:w="757"/>
      </w:tblGrid>
      <w:tr>
        <w:trPr>
          <w:trHeight w:val="252" w:hRule="atLeast"/>
        </w:trPr>
        <w:tc>
          <w:tcPr>
            <w:tcW w:w="590" w:type="dxa"/>
            <w:tcBorders>
              <w:bottom w:val="single" w:sz="2" w:space="0" w:color="000000"/>
              <w:right w:val="double" w:sz="2" w:space="0" w:color="000000"/>
            </w:tcBorders>
            <w:shd w:val="clear" w:color="auto" w:fill="D9D9D9"/>
          </w:tcPr>
          <w:p>
            <w:pPr>
              <w:pStyle w:val="TableParagraph"/>
              <w:spacing w:before="17"/>
              <w:rPr>
                <w:sz w:val="10"/>
              </w:rPr>
            </w:pPr>
          </w:p>
          <w:p>
            <w:pPr>
              <w:pStyle w:val="TableParagraph"/>
              <w:spacing w:line="101" w:lineRule="exact"/>
              <w:ind w:left="13"/>
              <w:rPr>
                <w:rFonts w:ascii="Calibri"/>
                <w:b/>
                <w:sz w:val="10"/>
              </w:rPr>
            </w:pPr>
            <w:r>
              <w:rPr>
                <w:rFonts w:ascii="Calibri"/>
                <w:b/>
                <w:spacing w:val="-2"/>
                <w:sz w:val="10"/>
              </w:rPr>
              <w:t>Act.fijo</w:t>
            </w:r>
          </w:p>
        </w:tc>
        <w:tc>
          <w:tcPr>
            <w:tcW w:w="589" w:type="dxa"/>
            <w:tcBorders>
              <w:left w:val="double" w:sz="2" w:space="0" w:color="000000"/>
              <w:bottom w:val="single" w:sz="2" w:space="0" w:color="000000"/>
              <w:right w:val="single" w:sz="2" w:space="0" w:color="000000"/>
            </w:tcBorders>
            <w:shd w:val="clear" w:color="auto" w:fill="D9D9D9"/>
          </w:tcPr>
          <w:p>
            <w:pPr>
              <w:pStyle w:val="TableParagraph"/>
              <w:spacing w:before="17"/>
              <w:rPr>
                <w:sz w:val="10"/>
              </w:rPr>
            </w:pPr>
          </w:p>
          <w:p>
            <w:pPr>
              <w:pStyle w:val="TableParagraph"/>
              <w:spacing w:line="101" w:lineRule="exact"/>
              <w:ind w:left="39"/>
              <w:rPr>
                <w:rFonts w:ascii="Calibri"/>
                <w:b/>
                <w:sz w:val="10"/>
              </w:rPr>
            </w:pPr>
            <w:r>
              <w:rPr>
                <w:rFonts w:ascii="Calibri"/>
                <w:b/>
                <w:spacing w:val="-2"/>
                <w:sz w:val="10"/>
              </w:rPr>
              <w:t>Fe.capit.</w:t>
            </w:r>
          </w:p>
        </w:tc>
        <w:tc>
          <w:tcPr>
            <w:tcW w:w="2362" w:type="dxa"/>
            <w:tcBorders>
              <w:left w:val="single" w:sz="2" w:space="0" w:color="000000"/>
              <w:bottom w:val="single" w:sz="2" w:space="0" w:color="000000"/>
              <w:right w:val="single" w:sz="2" w:space="0" w:color="000000"/>
            </w:tcBorders>
            <w:shd w:val="clear" w:color="auto" w:fill="D9D9D9"/>
          </w:tcPr>
          <w:p>
            <w:pPr>
              <w:pStyle w:val="TableParagraph"/>
              <w:spacing w:before="17"/>
              <w:rPr>
                <w:sz w:val="10"/>
              </w:rPr>
            </w:pPr>
          </w:p>
          <w:p>
            <w:pPr>
              <w:pStyle w:val="TableParagraph"/>
              <w:spacing w:line="101" w:lineRule="exact"/>
              <w:ind w:left="14"/>
              <w:rPr>
                <w:rFonts w:ascii="Calibri" w:hAnsi="Calibri"/>
                <w:b/>
                <w:sz w:val="10"/>
              </w:rPr>
            </w:pPr>
            <w:r>
              <w:rPr>
                <w:rFonts w:ascii="Calibri" w:hAnsi="Calibri"/>
                <w:b/>
                <w:spacing w:val="-2"/>
                <w:sz w:val="10"/>
              </w:rPr>
              <w:t>Denominación</w:t>
            </w:r>
            <w:r>
              <w:rPr>
                <w:rFonts w:ascii="Calibri" w:hAnsi="Calibri"/>
                <w:b/>
                <w:spacing w:val="-1"/>
                <w:sz w:val="10"/>
              </w:rPr>
              <w:t> </w:t>
            </w:r>
            <w:r>
              <w:rPr>
                <w:rFonts w:ascii="Calibri" w:hAnsi="Calibri"/>
                <w:b/>
                <w:spacing w:val="-2"/>
                <w:sz w:val="10"/>
              </w:rPr>
              <w:t>del</w:t>
            </w:r>
            <w:r>
              <w:rPr>
                <w:rFonts w:ascii="Calibri" w:hAnsi="Calibri"/>
                <w:b/>
                <w:sz w:val="10"/>
              </w:rPr>
              <w:t> </w:t>
            </w:r>
            <w:r>
              <w:rPr>
                <w:rFonts w:ascii="Calibri" w:hAnsi="Calibri"/>
                <w:b/>
                <w:spacing w:val="-2"/>
                <w:sz w:val="10"/>
              </w:rPr>
              <w:t>activo</w:t>
            </w:r>
            <w:r>
              <w:rPr>
                <w:rFonts w:ascii="Calibri" w:hAnsi="Calibri"/>
                <w:b/>
                <w:sz w:val="10"/>
              </w:rPr>
              <w:t> </w:t>
            </w:r>
            <w:r>
              <w:rPr>
                <w:rFonts w:ascii="Calibri" w:hAnsi="Calibri"/>
                <w:b/>
                <w:spacing w:val="-4"/>
                <w:sz w:val="10"/>
              </w:rPr>
              <w:t>fijo</w:t>
            </w:r>
          </w:p>
        </w:tc>
        <w:tc>
          <w:tcPr>
            <w:tcW w:w="809" w:type="dxa"/>
            <w:tcBorders>
              <w:left w:val="single" w:sz="2" w:space="0" w:color="000000"/>
              <w:bottom w:val="single" w:sz="2" w:space="0" w:color="000000"/>
              <w:right w:val="single" w:sz="2" w:space="0" w:color="000000"/>
            </w:tcBorders>
            <w:shd w:val="clear" w:color="auto" w:fill="D9D9D9"/>
          </w:tcPr>
          <w:p>
            <w:pPr>
              <w:pStyle w:val="TableParagraph"/>
              <w:spacing w:before="2"/>
              <w:ind w:left="2"/>
              <w:jc w:val="center"/>
              <w:rPr>
                <w:rFonts w:ascii="Calibri" w:hAnsi="Calibri"/>
                <w:b/>
                <w:sz w:val="10"/>
              </w:rPr>
            </w:pPr>
            <w:r>
              <w:rPr>
                <w:rFonts w:ascii="Calibri" w:hAnsi="Calibri"/>
                <w:b/>
                <w:w w:val="90"/>
                <w:sz w:val="10"/>
              </w:rPr>
              <w:t>Movimiento</w:t>
            </w:r>
            <w:r>
              <w:rPr>
                <w:rFonts w:ascii="Calibri" w:hAnsi="Calibri"/>
                <w:b/>
                <w:spacing w:val="8"/>
                <w:sz w:val="10"/>
              </w:rPr>
              <w:t> </w:t>
            </w:r>
            <w:r>
              <w:rPr>
                <w:rFonts w:ascii="Calibri" w:hAnsi="Calibri"/>
                <w:b/>
                <w:spacing w:val="-5"/>
                <w:sz w:val="10"/>
              </w:rPr>
              <w:t>año</w:t>
            </w:r>
          </w:p>
          <w:p>
            <w:pPr>
              <w:pStyle w:val="TableParagraph"/>
              <w:spacing w:line="101" w:lineRule="exact" w:before="7"/>
              <w:ind w:left="2"/>
              <w:jc w:val="center"/>
              <w:rPr>
                <w:rFonts w:ascii="Calibri"/>
                <w:b/>
                <w:sz w:val="10"/>
              </w:rPr>
            </w:pPr>
            <w:r>
              <w:rPr>
                <w:rFonts w:ascii="Calibri"/>
                <w:b/>
                <w:spacing w:val="-4"/>
                <w:sz w:val="10"/>
              </w:rPr>
              <w:t>2025</w:t>
            </w:r>
          </w:p>
        </w:tc>
        <w:tc>
          <w:tcPr>
            <w:tcW w:w="2694" w:type="dxa"/>
            <w:gridSpan w:val="3"/>
            <w:tcBorders>
              <w:left w:val="single" w:sz="2" w:space="0" w:color="000000"/>
              <w:bottom w:val="single" w:sz="2" w:space="0" w:color="000000"/>
              <w:right w:val="single" w:sz="2" w:space="0" w:color="000000"/>
            </w:tcBorders>
            <w:shd w:val="clear" w:color="auto" w:fill="D9D9D9"/>
          </w:tcPr>
          <w:p>
            <w:pPr>
              <w:pStyle w:val="TableParagraph"/>
              <w:spacing w:before="17"/>
              <w:rPr>
                <w:sz w:val="10"/>
              </w:rPr>
            </w:pPr>
          </w:p>
          <w:p>
            <w:pPr>
              <w:pStyle w:val="TableParagraph"/>
              <w:spacing w:line="101" w:lineRule="exact"/>
              <w:ind w:right="1"/>
              <w:jc w:val="center"/>
              <w:rPr>
                <w:rFonts w:ascii="Calibri" w:hAnsi="Calibri"/>
                <w:b/>
                <w:sz w:val="10"/>
              </w:rPr>
            </w:pPr>
            <w:r>
              <w:rPr>
                <w:rFonts w:ascii="Calibri" w:hAnsi="Calibri"/>
                <w:b/>
                <w:spacing w:val="-4"/>
                <w:sz w:val="10"/>
              </w:rPr>
              <w:t>Movimiento</w:t>
            </w:r>
            <w:r>
              <w:rPr>
                <w:rFonts w:ascii="Calibri" w:hAnsi="Calibri"/>
                <w:b/>
                <w:spacing w:val="-3"/>
                <w:sz w:val="10"/>
              </w:rPr>
              <w:t> </w:t>
            </w:r>
            <w:r>
              <w:rPr>
                <w:rFonts w:ascii="Calibri" w:hAnsi="Calibri"/>
                <w:b/>
                <w:spacing w:val="-4"/>
                <w:sz w:val="10"/>
              </w:rPr>
              <w:t>año</w:t>
            </w:r>
            <w:r>
              <w:rPr>
                <w:rFonts w:ascii="Calibri" w:hAnsi="Calibri"/>
                <w:b/>
                <w:spacing w:val="-2"/>
                <w:sz w:val="10"/>
              </w:rPr>
              <w:t> </w:t>
            </w:r>
            <w:r>
              <w:rPr>
                <w:rFonts w:ascii="Calibri" w:hAnsi="Calibri"/>
                <w:b/>
                <w:spacing w:val="-4"/>
                <w:sz w:val="10"/>
              </w:rPr>
              <w:t>2026</w:t>
            </w:r>
          </w:p>
        </w:tc>
        <w:tc>
          <w:tcPr>
            <w:tcW w:w="757" w:type="dxa"/>
            <w:tcBorders>
              <w:left w:val="single" w:sz="2" w:space="0" w:color="000000"/>
              <w:bottom w:val="single" w:sz="2" w:space="0" w:color="000000"/>
            </w:tcBorders>
            <w:shd w:val="clear" w:color="auto" w:fill="D9D9D9"/>
          </w:tcPr>
          <w:p>
            <w:pPr>
              <w:pStyle w:val="TableParagraph"/>
              <w:spacing w:before="17"/>
              <w:rPr>
                <w:sz w:val="10"/>
              </w:rPr>
            </w:pPr>
          </w:p>
          <w:p>
            <w:pPr>
              <w:pStyle w:val="TableParagraph"/>
              <w:spacing w:line="101" w:lineRule="exact"/>
              <w:ind w:left="3"/>
              <w:jc w:val="center"/>
              <w:rPr>
                <w:rFonts w:ascii="Calibri"/>
                <w:b/>
                <w:sz w:val="10"/>
              </w:rPr>
            </w:pPr>
            <w:r>
              <w:rPr>
                <w:rFonts w:ascii="Calibri"/>
                <w:b/>
                <w:spacing w:val="-2"/>
                <w:sz w:val="10"/>
              </w:rPr>
              <w:t>Total</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rPr>
                <w:rFonts w:ascii="Times New Roman"/>
                <w:sz w:val="6"/>
              </w:rPr>
            </w:pPr>
          </w:p>
        </w:tc>
        <w:tc>
          <w:tcPr>
            <w:tcW w:w="589" w:type="dxa"/>
            <w:tcBorders>
              <w:top w:val="single" w:sz="2" w:space="0" w:color="000000"/>
              <w:left w:val="double" w:sz="2" w:space="0" w:color="000000"/>
              <w:bottom w:val="single" w:sz="2" w:space="0" w:color="000000"/>
              <w:right w:val="single" w:sz="2" w:space="0" w:color="000000"/>
            </w:tcBorders>
          </w:tcPr>
          <w:p>
            <w:pPr>
              <w:pStyle w:val="TableParagraph"/>
              <w:rPr>
                <w:rFonts w:ascii="Times New Roman"/>
                <w:sz w:val="6"/>
              </w:rPr>
            </w:pPr>
          </w:p>
        </w:tc>
        <w:tc>
          <w:tcPr>
            <w:tcW w:w="2362"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0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3" w:right="2"/>
              <w:jc w:val="center"/>
              <w:rPr>
                <w:rFonts w:ascii="Calibri"/>
                <w:b/>
                <w:sz w:val="10"/>
              </w:rPr>
            </w:pPr>
            <w:r>
              <w:rPr>
                <w:rFonts w:ascii="Calibri"/>
                <w:b/>
                <w:spacing w:val="-2"/>
                <w:sz w:val="10"/>
              </w:rPr>
              <w:t>Abril</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3"/>
              <w:jc w:val="center"/>
              <w:rPr>
                <w:rFonts w:ascii="Calibri"/>
                <w:b/>
                <w:sz w:val="10"/>
              </w:rPr>
            </w:pPr>
            <w:r>
              <w:rPr>
                <w:rFonts w:ascii="Calibri"/>
                <w:b/>
                <w:spacing w:val="-4"/>
                <w:sz w:val="10"/>
              </w:rPr>
              <w:t>Mayo</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342"/>
              <w:rPr>
                <w:rFonts w:ascii="Calibri"/>
                <w:b/>
                <w:sz w:val="10"/>
              </w:rPr>
            </w:pPr>
            <w:r>
              <w:rPr>
                <w:rFonts w:ascii="Calibri"/>
                <w:b/>
                <w:spacing w:val="-2"/>
                <w:sz w:val="10"/>
              </w:rPr>
              <w:t>Junio</w:t>
            </w:r>
          </w:p>
        </w:tc>
        <w:tc>
          <w:tcPr>
            <w:tcW w:w="757" w:type="dxa"/>
            <w:tcBorders>
              <w:top w:val="single" w:sz="2" w:space="0" w:color="000000"/>
              <w:left w:val="single" w:sz="2" w:space="0" w:color="000000"/>
              <w:bottom w:val="single" w:sz="2" w:space="0" w:color="000000"/>
            </w:tcBorders>
          </w:tcPr>
          <w:p>
            <w:pPr>
              <w:pStyle w:val="TableParagraph"/>
              <w:rPr>
                <w:rFonts w:ascii="Times New Roman"/>
                <w:sz w:val="6"/>
              </w:rPr>
            </w:pP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49000032</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02.05.2025</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sz w:val="10"/>
              </w:rPr>
            </w:pPr>
            <w:r>
              <w:rPr>
                <w:rFonts w:ascii="Calibri"/>
                <w:sz w:val="10"/>
              </w:rPr>
              <w:t>CONSTRUCCION</w:t>
            </w:r>
            <w:r>
              <w:rPr>
                <w:rFonts w:ascii="Calibri"/>
                <w:spacing w:val="4"/>
                <w:sz w:val="10"/>
              </w:rPr>
              <w:t> </w:t>
            </w:r>
            <w:r>
              <w:rPr>
                <w:rFonts w:ascii="Calibri"/>
                <w:sz w:val="10"/>
              </w:rPr>
              <w:t>ARDS</w:t>
            </w:r>
            <w:r>
              <w:rPr>
                <w:rFonts w:ascii="Calibri"/>
                <w:spacing w:val="2"/>
                <w:sz w:val="10"/>
              </w:rPr>
              <w:t> </w:t>
            </w:r>
            <w:r>
              <w:rPr>
                <w:rFonts w:ascii="Calibri"/>
                <w:spacing w:val="-2"/>
                <w:sz w:val="10"/>
              </w:rPr>
              <w:t>BRUNCA</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118</w:t>
            </w:r>
            <w:r>
              <w:rPr>
                <w:rFonts w:ascii="Calibri"/>
                <w:spacing w:val="-6"/>
                <w:sz w:val="10"/>
              </w:rPr>
              <w:t> </w:t>
            </w:r>
            <w:r>
              <w:rPr>
                <w:rFonts w:ascii="Calibri"/>
                <w:sz w:val="10"/>
              </w:rPr>
              <w:t>930</w:t>
            </w:r>
            <w:r>
              <w:rPr>
                <w:rFonts w:ascii="Calibri"/>
                <w:spacing w:val="-6"/>
                <w:sz w:val="10"/>
              </w:rPr>
              <w:t> </w:t>
            </w:r>
            <w:r>
              <w:rPr>
                <w:rFonts w:ascii="Calibri"/>
                <w:spacing w:val="-2"/>
                <w:sz w:val="10"/>
              </w:rPr>
              <w:t>743,06</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1"/>
              <w:jc w:val="right"/>
              <w:rPr>
                <w:rFonts w:ascii="Calibri"/>
                <w:sz w:val="10"/>
              </w:rPr>
            </w:pPr>
            <w:r>
              <w:rPr>
                <w:rFonts w:ascii="Calibri"/>
                <w:sz w:val="10"/>
              </w:rPr>
              <w:t>19</w:t>
            </w:r>
            <w:r>
              <w:rPr>
                <w:rFonts w:ascii="Calibri"/>
                <w:spacing w:val="-6"/>
                <w:sz w:val="10"/>
              </w:rPr>
              <w:t> </w:t>
            </w:r>
            <w:r>
              <w:rPr>
                <w:rFonts w:ascii="Calibri"/>
                <w:sz w:val="10"/>
              </w:rPr>
              <w:t>210</w:t>
            </w:r>
            <w:r>
              <w:rPr>
                <w:rFonts w:ascii="Calibri"/>
                <w:spacing w:val="-5"/>
                <w:sz w:val="10"/>
              </w:rPr>
              <w:t> 000</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42"/>
              <w:jc w:val="center"/>
              <w:rPr>
                <w:rFonts w:ascii="Calibri"/>
                <w:sz w:val="10"/>
              </w:rPr>
            </w:pPr>
            <w:r>
              <w:rPr>
                <w:rFonts w:ascii="Calibri"/>
                <w:sz w:val="10"/>
              </w:rPr>
              <w:t>138</w:t>
            </w:r>
            <w:r>
              <w:rPr>
                <w:rFonts w:ascii="Calibri"/>
                <w:spacing w:val="-6"/>
                <w:sz w:val="10"/>
              </w:rPr>
              <w:t> </w:t>
            </w:r>
            <w:r>
              <w:rPr>
                <w:rFonts w:ascii="Calibri"/>
                <w:sz w:val="10"/>
              </w:rPr>
              <w:t>140</w:t>
            </w:r>
            <w:r>
              <w:rPr>
                <w:rFonts w:ascii="Calibri"/>
                <w:spacing w:val="-6"/>
                <w:sz w:val="10"/>
              </w:rPr>
              <w:t> </w:t>
            </w:r>
            <w:r>
              <w:rPr>
                <w:rFonts w:ascii="Calibri"/>
                <w:spacing w:val="-2"/>
                <w:sz w:val="10"/>
              </w:rPr>
              <w:t>743,06</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49000033</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01.12.2022</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hAnsi="Calibri"/>
                <w:sz w:val="10"/>
              </w:rPr>
            </w:pPr>
            <w:r>
              <w:rPr>
                <w:rFonts w:ascii="Calibri" w:hAnsi="Calibri"/>
                <w:sz w:val="10"/>
              </w:rPr>
              <w:t>CONSTRUCCIÓN - OFICINA</w:t>
            </w:r>
            <w:r>
              <w:rPr>
                <w:rFonts w:ascii="Calibri" w:hAnsi="Calibri"/>
                <w:spacing w:val="1"/>
                <w:sz w:val="10"/>
              </w:rPr>
              <w:t> </w:t>
            </w:r>
            <w:r>
              <w:rPr>
                <w:rFonts w:ascii="Calibri" w:hAnsi="Calibri"/>
                <w:spacing w:val="-2"/>
                <w:sz w:val="10"/>
              </w:rPr>
              <w:t>SOCIOPRODUCTIVO</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55</w:t>
            </w:r>
            <w:r>
              <w:rPr>
                <w:rFonts w:ascii="Calibri"/>
                <w:spacing w:val="-6"/>
                <w:sz w:val="10"/>
              </w:rPr>
              <w:t> </w:t>
            </w:r>
            <w:r>
              <w:rPr>
                <w:rFonts w:ascii="Calibri"/>
                <w:sz w:val="10"/>
              </w:rPr>
              <w:t>208</w:t>
            </w:r>
            <w:r>
              <w:rPr>
                <w:rFonts w:ascii="Calibri"/>
                <w:spacing w:val="-5"/>
                <w:sz w:val="10"/>
              </w:rPr>
              <w:t> </w:t>
            </w:r>
            <w:r>
              <w:rPr>
                <w:rFonts w:ascii="Calibri"/>
                <w:spacing w:val="-2"/>
                <w:sz w:val="10"/>
              </w:rPr>
              <w:t>085,74</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93"/>
              <w:jc w:val="center"/>
              <w:rPr>
                <w:rFonts w:ascii="Calibri"/>
                <w:sz w:val="10"/>
              </w:rPr>
            </w:pPr>
            <w:r>
              <w:rPr>
                <w:rFonts w:ascii="Calibri"/>
                <w:sz w:val="10"/>
              </w:rPr>
              <w:t>55</w:t>
            </w:r>
            <w:r>
              <w:rPr>
                <w:rFonts w:ascii="Calibri"/>
                <w:spacing w:val="-6"/>
                <w:sz w:val="10"/>
              </w:rPr>
              <w:t> </w:t>
            </w:r>
            <w:r>
              <w:rPr>
                <w:rFonts w:ascii="Calibri"/>
                <w:sz w:val="10"/>
              </w:rPr>
              <w:t>208</w:t>
            </w:r>
            <w:r>
              <w:rPr>
                <w:rFonts w:ascii="Calibri"/>
                <w:spacing w:val="-5"/>
                <w:sz w:val="10"/>
              </w:rPr>
              <w:t> </w:t>
            </w:r>
            <w:r>
              <w:rPr>
                <w:rFonts w:ascii="Calibri"/>
                <w:spacing w:val="-2"/>
                <w:sz w:val="10"/>
              </w:rPr>
              <w:t>085,74</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49000034</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14.09.2022</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hAnsi="Calibri"/>
                <w:sz w:val="10"/>
              </w:rPr>
            </w:pPr>
            <w:r>
              <w:rPr>
                <w:rFonts w:ascii="Calibri" w:hAnsi="Calibri"/>
                <w:sz w:val="10"/>
              </w:rPr>
              <w:t>REMODELACIÓN</w:t>
            </w:r>
            <w:r>
              <w:rPr>
                <w:rFonts w:ascii="Calibri" w:hAnsi="Calibri"/>
                <w:spacing w:val="-3"/>
                <w:sz w:val="10"/>
              </w:rPr>
              <w:t> </w:t>
            </w:r>
            <w:r>
              <w:rPr>
                <w:rFonts w:ascii="Calibri" w:hAnsi="Calibri"/>
                <w:sz w:val="10"/>
              </w:rPr>
              <w:t>-</w:t>
            </w:r>
            <w:r>
              <w:rPr>
                <w:rFonts w:ascii="Calibri" w:hAnsi="Calibri"/>
                <w:spacing w:val="-3"/>
                <w:sz w:val="10"/>
              </w:rPr>
              <w:t> </w:t>
            </w:r>
            <w:r>
              <w:rPr>
                <w:rFonts w:ascii="Calibri" w:hAnsi="Calibri"/>
                <w:sz w:val="10"/>
              </w:rPr>
              <w:t>CONSTRUCCION</w:t>
            </w:r>
            <w:r>
              <w:rPr>
                <w:rFonts w:ascii="Calibri" w:hAnsi="Calibri"/>
                <w:spacing w:val="-2"/>
                <w:sz w:val="10"/>
              </w:rPr>
              <w:t> </w:t>
            </w:r>
            <w:r>
              <w:rPr>
                <w:rFonts w:ascii="Calibri" w:hAnsi="Calibri"/>
                <w:sz w:val="10"/>
              </w:rPr>
              <w:t>ARDS</w:t>
            </w:r>
            <w:r>
              <w:rPr>
                <w:rFonts w:ascii="Calibri" w:hAnsi="Calibri"/>
                <w:spacing w:val="-4"/>
                <w:sz w:val="10"/>
              </w:rPr>
              <w:t> </w:t>
            </w:r>
            <w:r>
              <w:rPr>
                <w:rFonts w:ascii="Calibri" w:hAnsi="Calibri"/>
                <w:spacing w:val="-2"/>
                <w:sz w:val="10"/>
              </w:rPr>
              <w:t>ALAJUELA</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143</w:t>
            </w:r>
            <w:r>
              <w:rPr>
                <w:rFonts w:ascii="Calibri"/>
                <w:spacing w:val="-6"/>
                <w:sz w:val="10"/>
              </w:rPr>
              <w:t> </w:t>
            </w:r>
            <w:r>
              <w:rPr>
                <w:rFonts w:ascii="Calibri"/>
                <w:sz w:val="10"/>
              </w:rPr>
              <w:t>543</w:t>
            </w:r>
            <w:r>
              <w:rPr>
                <w:rFonts w:ascii="Calibri"/>
                <w:spacing w:val="-6"/>
                <w:sz w:val="10"/>
              </w:rPr>
              <w:t> </w:t>
            </w:r>
            <w:r>
              <w:rPr>
                <w:rFonts w:ascii="Calibri"/>
                <w:spacing w:val="-2"/>
                <w:sz w:val="10"/>
              </w:rPr>
              <w:t>744,28</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42"/>
              <w:jc w:val="center"/>
              <w:rPr>
                <w:rFonts w:ascii="Calibri"/>
                <w:sz w:val="10"/>
              </w:rPr>
            </w:pPr>
            <w:r>
              <w:rPr>
                <w:rFonts w:ascii="Calibri"/>
                <w:sz w:val="10"/>
              </w:rPr>
              <w:t>143</w:t>
            </w:r>
            <w:r>
              <w:rPr>
                <w:rFonts w:ascii="Calibri"/>
                <w:spacing w:val="-6"/>
                <w:sz w:val="10"/>
              </w:rPr>
              <w:t> </w:t>
            </w:r>
            <w:r>
              <w:rPr>
                <w:rFonts w:ascii="Calibri"/>
                <w:sz w:val="10"/>
              </w:rPr>
              <w:t>543</w:t>
            </w:r>
            <w:r>
              <w:rPr>
                <w:rFonts w:ascii="Calibri"/>
                <w:spacing w:val="-6"/>
                <w:sz w:val="10"/>
              </w:rPr>
              <w:t> </w:t>
            </w:r>
            <w:r>
              <w:rPr>
                <w:rFonts w:ascii="Calibri"/>
                <w:spacing w:val="-2"/>
                <w:sz w:val="10"/>
              </w:rPr>
              <w:t>744,28</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49000035</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09.11.2023</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sz w:val="10"/>
              </w:rPr>
            </w:pPr>
            <w:r>
              <w:rPr>
                <w:rFonts w:ascii="Calibri"/>
                <w:sz w:val="10"/>
              </w:rPr>
              <w:t>BODEGA</w:t>
            </w:r>
            <w:r>
              <w:rPr>
                <w:rFonts w:ascii="Calibri"/>
                <w:spacing w:val="-4"/>
                <w:sz w:val="10"/>
              </w:rPr>
              <w:t> </w:t>
            </w:r>
            <w:r>
              <w:rPr>
                <w:rFonts w:ascii="Calibri"/>
                <w:sz w:val="10"/>
              </w:rPr>
              <w:t>ARDS</w:t>
            </w:r>
            <w:r>
              <w:rPr>
                <w:rFonts w:ascii="Calibri"/>
                <w:spacing w:val="-5"/>
                <w:sz w:val="10"/>
              </w:rPr>
              <w:t> </w:t>
            </w:r>
            <w:r>
              <w:rPr>
                <w:rFonts w:ascii="Calibri"/>
                <w:sz w:val="10"/>
              </w:rPr>
              <w:t>SUROESTE-CRISTO</w:t>
            </w:r>
            <w:r>
              <w:rPr>
                <w:rFonts w:ascii="Calibri"/>
                <w:spacing w:val="-3"/>
                <w:sz w:val="10"/>
              </w:rPr>
              <w:t> </w:t>
            </w:r>
            <w:r>
              <w:rPr>
                <w:rFonts w:ascii="Calibri"/>
                <w:spacing w:val="-5"/>
                <w:sz w:val="10"/>
              </w:rPr>
              <w:t>REY</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39</w:t>
            </w:r>
            <w:r>
              <w:rPr>
                <w:rFonts w:ascii="Calibri"/>
                <w:spacing w:val="-6"/>
                <w:sz w:val="10"/>
              </w:rPr>
              <w:t> </w:t>
            </w:r>
            <w:r>
              <w:rPr>
                <w:rFonts w:ascii="Calibri"/>
                <w:sz w:val="10"/>
              </w:rPr>
              <w:t>299</w:t>
            </w:r>
            <w:r>
              <w:rPr>
                <w:rFonts w:ascii="Calibri"/>
                <w:spacing w:val="-5"/>
                <w:sz w:val="10"/>
              </w:rPr>
              <w:t> </w:t>
            </w:r>
            <w:r>
              <w:rPr>
                <w:rFonts w:ascii="Calibri"/>
                <w:spacing w:val="-2"/>
                <w:sz w:val="10"/>
              </w:rPr>
              <w:t>464,04</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93"/>
              <w:jc w:val="center"/>
              <w:rPr>
                <w:rFonts w:ascii="Calibri"/>
                <w:sz w:val="10"/>
              </w:rPr>
            </w:pPr>
            <w:r>
              <w:rPr>
                <w:rFonts w:ascii="Calibri"/>
                <w:sz w:val="10"/>
              </w:rPr>
              <w:t>39</w:t>
            </w:r>
            <w:r>
              <w:rPr>
                <w:rFonts w:ascii="Calibri"/>
                <w:spacing w:val="-6"/>
                <w:sz w:val="10"/>
              </w:rPr>
              <w:t> </w:t>
            </w:r>
            <w:r>
              <w:rPr>
                <w:rFonts w:ascii="Calibri"/>
                <w:sz w:val="10"/>
              </w:rPr>
              <w:t>299</w:t>
            </w:r>
            <w:r>
              <w:rPr>
                <w:rFonts w:ascii="Calibri"/>
                <w:spacing w:val="-5"/>
                <w:sz w:val="10"/>
              </w:rPr>
              <w:t> </w:t>
            </w:r>
            <w:r>
              <w:rPr>
                <w:rFonts w:ascii="Calibri"/>
                <w:spacing w:val="-2"/>
                <w:sz w:val="10"/>
              </w:rPr>
              <w:t>464,04</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49000036</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08.12.2023</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sz w:val="10"/>
              </w:rPr>
            </w:pPr>
            <w:r>
              <w:rPr>
                <w:rFonts w:ascii="Calibri"/>
                <w:sz w:val="10"/>
              </w:rPr>
              <w:t>ESCALERA</w:t>
            </w:r>
            <w:r>
              <w:rPr>
                <w:rFonts w:ascii="Calibri"/>
                <w:spacing w:val="-4"/>
                <w:sz w:val="10"/>
              </w:rPr>
              <w:t> </w:t>
            </w:r>
            <w:r>
              <w:rPr>
                <w:rFonts w:ascii="Calibri"/>
                <w:sz w:val="10"/>
              </w:rPr>
              <w:t>EDIF.</w:t>
            </w:r>
            <w:r>
              <w:rPr>
                <w:rFonts w:ascii="Calibri"/>
                <w:spacing w:val="-4"/>
                <w:sz w:val="10"/>
              </w:rPr>
              <w:t> </w:t>
            </w:r>
            <w:r>
              <w:rPr>
                <w:rFonts w:ascii="Calibri"/>
                <w:sz w:val="10"/>
              </w:rPr>
              <w:t>CENTRAL</w:t>
            </w:r>
            <w:r>
              <w:rPr>
                <w:rFonts w:ascii="Calibri"/>
                <w:spacing w:val="-3"/>
                <w:sz w:val="10"/>
              </w:rPr>
              <w:t> </w:t>
            </w:r>
            <w:r>
              <w:rPr>
                <w:rFonts w:ascii="Calibri"/>
                <w:sz w:val="10"/>
              </w:rPr>
              <w:t>ALA</w:t>
            </w:r>
            <w:r>
              <w:rPr>
                <w:rFonts w:ascii="Calibri"/>
                <w:spacing w:val="-4"/>
                <w:sz w:val="10"/>
              </w:rPr>
              <w:t> </w:t>
            </w:r>
            <w:r>
              <w:rPr>
                <w:rFonts w:ascii="Calibri"/>
                <w:spacing w:val="-2"/>
                <w:sz w:val="10"/>
              </w:rPr>
              <w:t>SUROESTE</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13</w:t>
            </w:r>
            <w:r>
              <w:rPr>
                <w:rFonts w:ascii="Calibri"/>
                <w:spacing w:val="-6"/>
                <w:sz w:val="10"/>
              </w:rPr>
              <w:t> </w:t>
            </w:r>
            <w:r>
              <w:rPr>
                <w:rFonts w:ascii="Calibri"/>
                <w:sz w:val="10"/>
              </w:rPr>
              <w:t>722</w:t>
            </w:r>
            <w:r>
              <w:rPr>
                <w:rFonts w:ascii="Calibri"/>
                <w:spacing w:val="-5"/>
                <w:sz w:val="10"/>
              </w:rPr>
              <w:t> </w:t>
            </w:r>
            <w:r>
              <w:rPr>
                <w:rFonts w:ascii="Calibri"/>
                <w:spacing w:val="-2"/>
                <w:sz w:val="10"/>
              </w:rPr>
              <w:t>013,95</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898"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6"/>
              </w:rPr>
            </w:pP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93"/>
              <w:jc w:val="center"/>
              <w:rPr>
                <w:rFonts w:ascii="Calibri"/>
                <w:sz w:val="10"/>
              </w:rPr>
            </w:pPr>
            <w:r>
              <w:rPr>
                <w:rFonts w:ascii="Calibri"/>
                <w:sz w:val="10"/>
              </w:rPr>
              <w:t>13</w:t>
            </w:r>
            <w:r>
              <w:rPr>
                <w:rFonts w:ascii="Calibri"/>
                <w:spacing w:val="-6"/>
                <w:sz w:val="10"/>
              </w:rPr>
              <w:t> </w:t>
            </w:r>
            <w:r>
              <w:rPr>
                <w:rFonts w:ascii="Calibri"/>
                <w:sz w:val="10"/>
              </w:rPr>
              <w:t>722</w:t>
            </w:r>
            <w:r>
              <w:rPr>
                <w:rFonts w:ascii="Calibri"/>
                <w:spacing w:val="-5"/>
                <w:sz w:val="10"/>
              </w:rPr>
              <w:t> </w:t>
            </w:r>
            <w:r>
              <w:rPr>
                <w:rFonts w:ascii="Calibri"/>
                <w:spacing w:val="-2"/>
                <w:sz w:val="10"/>
              </w:rPr>
              <w:t>013,95</w:t>
            </w:r>
          </w:p>
        </w:tc>
      </w:tr>
      <w:tr>
        <w:trPr>
          <w:trHeight w:val="124" w:hRule="atLeast"/>
        </w:trPr>
        <w:tc>
          <w:tcPr>
            <w:tcW w:w="590" w:type="dxa"/>
            <w:tcBorders>
              <w:top w:val="single" w:sz="2" w:space="0" w:color="000000"/>
              <w:bottom w:val="single" w:sz="2" w:space="0" w:color="000000"/>
              <w:right w:val="double" w:sz="2" w:space="0" w:color="000000"/>
            </w:tcBorders>
          </w:tcPr>
          <w:p>
            <w:pPr>
              <w:pStyle w:val="TableParagraph"/>
              <w:spacing w:line="101" w:lineRule="exact" w:before="3"/>
              <w:ind w:right="32"/>
              <w:jc w:val="right"/>
              <w:rPr>
                <w:rFonts w:ascii="Calibri"/>
                <w:sz w:val="10"/>
              </w:rPr>
            </w:pPr>
            <w:r>
              <w:rPr>
                <w:rFonts w:ascii="Calibri"/>
                <w:spacing w:val="-2"/>
                <w:sz w:val="10"/>
              </w:rPr>
              <w:t>49000037</w:t>
            </w:r>
          </w:p>
        </w:tc>
        <w:tc>
          <w:tcPr>
            <w:tcW w:w="589" w:type="dxa"/>
            <w:tcBorders>
              <w:top w:val="single" w:sz="2" w:space="0" w:color="000000"/>
              <w:left w:val="double" w:sz="2" w:space="0" w:color="000000"/>
              <w:bottom w:val="single" w:sz="2" w:space="0" w:color="000000"/>
              <w:right w:val="single" w:sz="2" w:space="0" w:color="000000"/>
            </w:tcBorders>
          </w:tcPr>
          <w:p>
            <w:pPr>
              <w:pStyle w:val="TableParagraph"/>
              <w:spacing w:line="101" w:lineRule="exact" w:before="3"/>
              <w:ind w:left="39"/>
              <w:rPr>
                <w:rFonts w:ascii="Calibri"/>
                <w:sz w:val="10"/>
              </w:rPr>
            </w:pPr>
            <w:r>
              <w:rPr>
                <w:rFonts w:ascii="Calibri"/>
                <w:spacing w:val="-2"/>
                <w:sz w:val="10"/>
              </w:rPr>
              <w:t>15.15.2025</w:t>
            </w:r>
          </w:p>
        </w:tc>
        <w:tc>
          <w:tcPr>
            <w:tcW w:w="2362"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14"/>
              <w:rPr>
                <w:rFonts w:ascii="Calibri"/>
                <w:sz w:val="10"/>
              </w:rPr>
            </w:pPr>
            <w:r>
              <w:rPr>
                <w:rFonts w:ascii="Calibri"/>
                <w:sz w:val="10"/>
              </w:rPr>
              <w:t>SISTEMA</w:t>
            </w:r>
            <w:r>
              <w:rPr>
                <w:rFonts w:ascii="Calibri"/>
                <w:spacing w:val="-4"/>
                <w:sz w:val="10"/>
              </w:rPr>
              <w:t> </w:t>
            </w:r>
            <w:r>
              <w:rPr>
                <w:rFonts w:ascii="Calibri"/>
                <w:sz w:val="10"/>
              </w:rPr>
              <w:t>SUPRESION</w:t>
            </w:r>
            <w:r>
              <w:rPr>
                <w:rFonts w:ascii="Calibri"/>
                <w:spacing w:val="-4"/>
                <w:sz w:val="10"/>
              </w:rPr>
              <w:t> </w:t>
            </w:r>
            <w:r>
              <w:rPr>
                <w:rFonts w:ascii="Calibri"/>
                <w:sz w:val="10"/>
              </w:rPr>
              <w:t>INCENDIOS</w:t>
            </w:r>
            <w:r>
              <w:rPr>
                <w:rFonts w:ascii="Calibri"/>
                <w:spacing w:val="-4"/>
                <w:sz w:val="10"/>
              </w:rPr>
              <w:t> </w:t>
            </w:r>
            <w:r>
              <w:rPr>
                <w:rFonts w:ascii="Calibri"/>
                <w:sz w:val="10"/>
              </w:rPr>
              <w:t>ED</w:t>
            </w:r>
            <w:r>
              <w:rPr>
                <w:rFonts w:ascii="Calibri"/>
                <w:spacing w:val="-5"/>
                <w:sz w:val="10"/>
              </w:rPr>
              <w:t> </w:t>
            </w:r>
            <w:r>
              <w:rPr>
                <w:rFonts w:ascii="Calibri"/>
                <w:spacing w:val="-2"/>
                <w:sz w:val="10"/>
              </w:rPr>
              <w:t>CENTRAL</w:t>
            </w:r>
          </w:p>
        </w:tc>
        <w:tc>
          <w:tcPr>
            <w:tcW w:w="809"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0"/>
              <w:jc w:val="right"/>
              <w:rPr>
                <w:rFonts w:ascii="Calibri"/>
                <w:sz w:val="10"/>
              </w:rPr>
            </w:pPr>
            <w:r>
              <w:rPr>
                <w:rFonts w:ascii="Calibri"/>
                <w:sz w:val="10"/>
              </w:rPr>
              <w:t>916</w:t>
            </w:r>
            <w:r>
              <w:rPr>
                <w:rFonts w:ascii="Calibri"/>
                <w:spacing w:val="-6"/>
                <w:sz w:val="10"/>
              </w:rPr>
              <w:t> </w:t>
            </w:r>
            <w:r>
              <w:rPr>
                <w:rFonts w:ascii="Calibri"/>
                <w:spacing w:val="-2"/>
                <w:sz w:val="10"/>
              </w:rPr>
              <w:t>329,71</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1"/>
              <w:jc w:val="right"/>
              <w:rPr>
                <w:rFonts w:ascii="Calibri"/>
                <w:sz w:val="10"/>
              </w:rPr>
            </w:pPr>
            <w:r>
              <w:rPr>
                <w:rFonts w:ascii="Calibri"/>
                <w:sz w:val="10"/>
              </w:rPr>
              <w:t>21</w:t>
            </w:r>
            <w:r>
              <w:rPr>
                <w:rFonts w:ascii="Calibri"/>
                <w:spacing w:val="-6"/>
                <w:sz w:val="10"/>
              </w:rPr>
              <w:t> </w:t>
            </w:r>
            <w:r>
              <w:rPr>
                <w:rFonts w:ascii="Calibri"/>
                <w:sz w:val="10"/>
              </w:rPr>
              <w:t>214</w:t>
            </w:r>
            <w:r>
              <w:rPr>
                <w:rFonts w:ascii="Calibri"/>
                <w:spacing w:val="-5"/>
                <w:sz w:val="10"/>
              </w:rPr>
              <w:t> </w:t>
            </w:r>
            <w:r>
              <w:rPr>
                <w:rFonts w:ascii="Calibri"/>
                <w:spacing w:val="-2"/>
                <w:sz w:val="10"/>
              </w:rPr>
              <w:t>006,97</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right="41"/>
              <w:jc w:val="right"/>
              <w:rPr>
                <w:rFonts w:ascii="Calibri"/>
                <w:sz w:val="10"/>
              </w:rPr>
            </w:pPr>
            <w:r>
              <w:rPr>
                <w:rFonts w:ascii="Calibri"/>
                <w:sz w:val="10"/>
              </w:rPr>
              <w:t>38</w:t>
            </w:r>
            <w:r>
              <w:rPr>
                <w:rFonts w:ascii="Calibri"/>
                <w:spacing w:val="-6"/>
                <w:sz w:val="10"/>
              </w:rPr>
              <w:t> </w:t>
            </w:r>
            <w:r>
              <w:rPr>
                <w:rFonts w:ascii="Calibri"/>
                <w:sz w:val="10"/>
              </w:rPr>
              <w:t>946</w:t>
            </w:r>
            <w:r>
              <w:rPr>
                <w:rFonts w:ascii="Calibri"/>
                <w:spacing w:val="-5"/>
                <w:sz w:val="10"/>
              </w:rPr>
              <w:t> </w:t>
            </w:r>
            <w:r>
              <w:rPr>
                <w:rFonts w:ascii="Calibri"/>
                <w:spacing w:val="-2"/>
                <w:sz w:val="10"/>
              </w:rPr>
              <w:t>629,58</w:t>
            </w:r>
          </w:p>
        </w:tc>
        <w:tc>
          <w:tcPr>
            <w:tcW w:w="898" w:type="dxa"/>
            <w:tcBorders>
              <w:top w:val="single" w:sz="2" w:space="0" w:color="000000"/>
              <w:left w:val="single" w:sz="2" w:space="0" w:color="000000"/>
              <w:bottom w:val="single" w:sz="2" w:space="0" w:color="000000"/>
              <w:right w:val="single" w:sz="2" w:space="0" w:color="000000"/>
            </w:tcBorders>
          </w:tcPr>
          <w:p>
            <w:pPr>
              <w:pStyle w:val="TableParagraph"/>
              <w:spacing w:line="101" w:lineRule="exact" w:before="3"/>
              <w:ind w:left="275"/>
              <w:rPr>
                <w:rFonts w:ascii="Calibri"/>
                <w:sz w:val="10"/>
              </w:rPr>
            </w:pPr>
            <w:r>
              <w:rPr>
                <w:rFonts w:ascii="Calibri"/>
                <w:sz w:val="10"/>
              </w:rPr>
              <w:t>24</w:t>
            </w:r>
            <w:r>
              <w:rPr>
                <w:rFonts w:ascii="Calibri"/>
                <w:spacing w:val="-6"/>
                <w:sz w:val="10"/>
              </w:rPr>
              <w:t> </w:t>
            </w:r>
            <w:r>
              <w:rPr>
                <w:rFonts w:ascii="Calibri"/>
                <w:sz w:val="10"/>
              </w:rPr>
              <w:t>850</w:t>
            </w:r>
            <w:r>
              <w:rPr>
                <w:rFonts w:ascii="Calibri"/>
                <w:spacing w:val="-5"/>
                <w:sz w:val="10"/>
              </w:rPr>
              <w:t> </w:t>
            </w:r>
            <w:r>
              <w:rPr>
                <w:rFonts w:ascii="Calibri"/>
                <w:spacing w:val="-2"/>
                <w:sz w:val="10"/>
              </w:rPr>
              <w:t>927,90</w:t>
            </w:r>
          </w:p>
        </w:tc>
        <w:tc>
          <w:tcPr>
            <w:tcW w:w="757" w:type="dxa"/>
            <w:tcBorders>
              <w:top w:val="single" w:sz="2" w:space="0" w:color="000000"/>
              <w:left w:val="single" w:sz="2" w:space="0" w:color="000000"/>
              <w:bottom w:val="single" w:sz="2" w:space="0" w:color="000000"/>
            </w:tcBorders>
          </w:tcPr>
          <w:p>
            <w:pPr>
              <w:pStyle w:val="TableParagraph"/>
              <w:spacing w:line="101" w:lineRule="exact" w:before="3"/>
              <w:ind w:left="93"/>
              <w:jc w:val="center"/>
              <w:rPr>
                <w:rFonts w:ascii="Calibri"/>
                <w:sz w:val="10"/>
              </w:rPr>
            </w:pPr>
            <w:r>
              <w:rPr>
                <w:rFonts w:ascii="Calibri"/>
                <w:sz w:val="10"/>
              </w:rPr>
              <w:t>85</w:t>
            </w:r>
            <w:r>
              <w:rPr>
                <w:rFonts w:ascii="Calibri"/>
                <w:spacing w:val="-6"/>
                <w:sz w:val="10"/>
              </w:rPr>
              <w:t> </w:t>
            </w:r>
            <w:r>
              <w:rPr>
                <w:rFonts w:ascii="Calibri"/>
                <w:sz w:val="10"/>
              </w:rPr>
              <w:t>927</w:t>
            </w:r>
            <w:r>
              <w:rPr>
                <w:rFonts w:ascii="Calibri"/>
                <w:spacing w:val="-5"/>
                <w:sz w:val="10"/>
              </w:rPr>
              <w:t> </w:t>
            </w:r>
            <w:r>
              <w:rPr>
                <w:rFonts w:ascii="Calibri"/>
                <w:spacing w:val="-2"/>
                <w:sz w:val="10"/>
              </w:rPr>
              <w:t>894,16</w:t>
            </w:r>
          </w:p>
        </w:tc>
      </w:tr>
      <w:tr>
        <w:trPr>
          <w:trHeight w:val="123" w:hRule="atLeast"/>
        </w:trPr>
        <w:tc>
          <w:tcPr>
            <w:tcW w:w="590" w:type="dxa"/>
            <w:tcBorders>
              <w:top w:val="single" w:sz="2" w:space="0" w:color="000000"/>
              <w:right w:val="double" w:sz="2" w:space="0" w:color="000000"/>
            </w:tcBorders>
          </w:tcPr>
          <w:p>
            <w:pPr>
              <w:pStyle w:val="TableParagraph"/>
              <w:rPr>
                <w:rFonts w:ascii="Times New Roman"/>
                <w:sz w:val="6"/>
              </w:rPr>
            </w:pPr>
          </w:p>
        </w:tc>
        <w:tc>
          <w:tcPr>
            <w:tcW w:w="589" w:type="dxa"/>
            <w:tcBorders>
              <w:top w:val="single" w:sz="2" w:space="0" w:color="000000"/>
              <w:left w:val="double" w:sz="2" w:space="0" w:color="000000"/>
              <w:right w:val="single" w:sz="2" w:space="0" w:color="000000"/>
            </w:tcBorders>
          </w:tcPr>
          <w:p>
            <w:pPr>
              <w:pStyle w:val="TableParagraph"/>
              <w:rPr>
                <w:rFonts w:ascii="Times New Roman"/>
                <w:sz w:val="6"/>
              </w:rPr>
            </w:pPr>
          </w:p>
        </w:tc>
        <w:tc>
          <w:tcPr>
            <w:tcW w:w="2362" w:type="dxa"/>
            <w:tcBorders>
              <w:top w:val="single" w:sz="2" w:space="0" w:color="000000"/>
              <w:left w:val="single" w:sz="2" w:space="0" w:color="000000"/>
              <w:right w:val="single" w:sz="2" w:space="0" w:color="000000"/>
            </w:tcBorders>
          </w:tcPr>
          <w:p>
            <w:pPr>
              <w:pStyle w:val="TableParagraph"/>
              <w:rPr>
                <w:rFonts w:ascii="Times New Roman"/>
                <w:sz w:val="6"/>
              </w:rPr>
            </w:pPr>
          </w:p>
        </w:tc>
        <w:tc>
          <w:tcPr>
            <w:tcW w:w="809" w:type="dxa"/>
            <w:tcBorders>
              <w:top w:val="single" w:sz="2" w:space="0" w:color="000000"/>
              <w:left w:val="single" w:sz="2" w:space="0" w:color="000000"/>
              <w:right w:val="single" w:sz="2" w:space="0" w:color="000000"/>
            </w:tcBorders>
          </w:tcPr>
          <w:p>
            <w:pPr>
              <w:pStyle w:val="TableParagraph"/>
              <w:spacing w:line="100" w:lineRule="exact" w:before="3"/>
              <w:ind w:right="40"/>
              <w:jc w:val="right"/>
              <w:rPr>
                <w:rFonts w:ascii="Calibri"/>
                <w:b/>
                <w:sz w:val="10"/>
              </w:rPr>
            </w:pPr>
            <w:r>
              <w:rPr>
                <w:rFonts w:ascii="Calibri"/>
                <w:b/>
                <w:sz w:val="10"/>
              </w:rPr>
              <w:t>371</w:t>
            </w:r>
            <w:r>
              <w:rPr>
                <w:rFonts w:ascii="Calibri"/>
                <w:b/>
                <w:spacing w:val="-6"/>
                <w:sz w:val="10"/>
              </w:rPr>
              <w:t> </w:t>
            </w:r>
            <w:r>
              <w:rPr>
                <w:rFonts w:ascii="Calibri"/>
                <w:b/>
                <w:sz w:val="10"/>
              </w:rPr>
              <w:t>620</w:t>
            </w:r>
            <w:r>
              <w:rPr>
                <w:rFonts w:ascii="Calibri"/>
                <w:b/>
                <w:spacing w:val="-6"/>
                <w:sz w:val="10"/>
              </w:rPr>
              <w:t> </w:t>
            </w:r>
            <w:r>
              <w:rPr>
                <w:rFonts w:ascii="Calibri"/>
                <w:b/>
                <w:spacing w:val="-2"/>
                <w:sz w:val="10"/>
              </w:rPr>
              <w:t>380,78</w:t>
            </w:r>
          </w:p>
        </w:tc>
        <w:tc>
          <w:tcPr>
            <w:tcW w:w="898" w:type="dxa"/>
            <w:tcBorders>
              <w:top w:val="single" w:sz="2" w:space="0" w:color="000000"/>
              <w:left w:val="single" w:sz="2" w:space="0" w:color="000000"/>
              <w:right w:val="single" w:sz="2" w:space="0" w:color="000000"/>
            </w:tcBorders>
          </w:tcPr>
          <w:p>
            <w:pPr>
              <w:pStyle w:val="TableParagraph"/>
              <w:spacing w:line="100" w:lineRule="exact" w:before="3"/>
              <w:ind w:right="41"/>
              <w:jc w:val="right"/>
              <w:rPr>
                <w:rFonts w:ascii="Calibri"/>
                <w:b/>
                <w:sz w:val="10"/>
              </w:rPr>
            </w:pPr>
            <w:r>
              <w:rPr>
                <w:rFonts w:ascii="Calibri"/>
                <w:b/>
                <w:sz w:val="10"/>
              </w:rPr>
              <w:t>21</w:t>
            </w:r>
            <w:r>
              <w:rPr>
                <w:rFonts w:ascii="Calibri"/>
                <w:b/>
                <w:spacing w:val="-6"/>
                <w:sz w:val="10"/>
              </w:rPr>
              <w:t> </w:t>
            </w:r>
            <w:r>
              <w:rPr>
                <w:rFonts w:ascii="Calibri"/>
                <w:b/>
                <w:sz w:val="10"/>
              </w:rPr>
              <w:t>214</w:t>
            </w:r>
            <w:r>
              <w:rPr>
                <w:rFonts w:ascii="Calibri"/>
                <w:b/>
                <w:spacing w:val="-5"/>
                <w:sz w:val="10"/>
              </w:rPr>
              <w:t> </w:t>
            </w:r>
            <w:r>
              <w:rPr>
                <w:rFonts w:ascii="Calibri"/>
                <w:b/>
                <w:spacing w:val="-2"/>
                <w:sz w:val="10"/>
              </w:rPr>
              <w:t>006,97</w:t>
            </w:r>
          </w:p>
        </w:tc>
        <w:tc>
          <w:tcPr>
            <w:tcW w:w="898" w:type="dxa"/>
            <w:tcBorders>
              <w:top w:val="single" w:sz="2" w:space="0" w:color="000000"/>
              <w:left w:val="single" w:sz="2" w:space="0" w:color="000000"/>
              <w:right w:val="single" w:sz="2" w:space="0" w:color="000000"/>
            </w:tcBorders>
          </w:tcPr>
          <w:p>
            <w:pPr>
              <w:pStyle w:val="TableParagraph"/>
              <w:spacing w:line="100" w:lineRule="exact" w:before="3"/>
              <w:ind w:right="42"/>
              <w:jc w:val="right"/>
              <w:rPr>
                <w:rFonts w:ascii="Calibri"/>
                <w:b/>
                <w:sz w:val="10"/>
              </w:rPr>
            </w:pPr>
            <w:r>
              <w:rPr>
                <w:rFonts w:ascii="Calibri"/>
                <w:b/>
                <w:sz w:val="10"/>
              </w:rPr>
              <w:t>58</w:t>
            </w:r>
            <w:r>
              <w:rPr>
                <w:rFonts w:ascii="Calibri"/>
                <w:b/>
                <w:spacing w:val="-6"/>
                <w:sz w:val="10"/>
              </w:rPr>
              <w:t> </w:t>
            </w:r>
            <w:r>
              <w:rPr>
                <w:rFonts w:ascii="Calibri"/>
                <w:b/>
                <w:sz w:val="10"/>
              </w:rPr>
              <w:t>156</w:t>
            </w:r>
            <w:r>
              <w:rPr>
                <w:rFonts w:ascii="Calibri"/>
                <w:b/>
                <w:spacing w:val="-5"/>
                <w:sz w:val="10"/>
              </w:rPr>
              <w:t> </w:t>
            </w:r>
            <w:r>
              <w:rPr>
                <w:rFonts w:ascii="Calibri"/>
                <w:b/>
                <w:spacing w:val="-2"/>
                <w:sz w:val="10"/>
              </w:rPr>
              <w:t>629,58</w:t>
            </w:r>
          </w:p>
        </w:tc>
        <w:tc>
          <w:tcPr>
            <w:tcW w:w="898" w:type="dxa"/>
            <w:tcBorders>
              <w:top w:val="single" w:sz="2" w:space="0" w:color="000000"/>
              <w:left w:val="single" w:sz="2" w:space="0" w:color="000000"/>
              <w:right w:val="single" w:sz="2" w:space="0" w:color="000000"/>
            </w:tcBorders>
          </w:tcPr>
          <w:p>
            <w:pPr>
              <w:pStyle w:val="TableParagraph"/>
              <w:spacing w:line="100" w:lineRule="exact" w:before="3"/>
              <w:ind w:left="275"/>
              <w:rPr>
                <w:rFonts w:ascii="Calibri"/>
                <w:b/>
                <w:sz w:val="10"/>
              </w:rPr>
            </w:pPr>
            <w:r>
              <w:rPr>
                <w:rFonts w:ascii="Calibri"/>
                <w:b/>
                <w:sz w:val="10"/>
              </w:rPr>
              <w:t>24</w:t>
            </w:r>
            <w:r>
              <w:rPr>
                <w:rFonts w:ascii="Calibri"/>
                <w:b/>
                <w:spacing w:val="-6"/>
                <w:sz w:val="10"/>
              </w:rPr>
              <w:t> </w:t>
            </w:r>
            <w:r>
              <w:rPr>
                <w:rFonts w:ascii="Calibri"/>
                <w:b/>
                <w:sz w:val="10"/>
              </w:rPr>
              <w:t>850</w:t>
            </w:r>
            <w:r>
              <w:rPr>
                <w:rFonts w:ascii="Calibri"/>
                <w:b/>
                <w:spacing w:val="-5"/>
                <w:sz w:val="10"/>
              </w:rPr>
              <w:t> </w:t>
            </w:r>
            <w:r>
              <w:rPr>
                <w:rFonts w:ascii="Calibri"/>
                <w:b/>
                <w:spacing w:val="-2"/>
                <w:sz w:val="10"/>
              </w:rPr>
              <w:t>927,90</w:t>
            </w:r>
          </w:p>
        </w:tc>
        <w:tc>
          <w:tcPr>
            <w:tcW w:w="757" w:type="dxa"/>
            <w:tcBorders>
              <w:top w:val="single" w:sz="2" w:space="0" w:color="000000"/>
              <w:left w:val="single" w:sz="2" w:space="0" w:color="000000"/>
            </w:tcBorders>
          </w:tcPr>
          <w:p>
            <w:pPr>
              <w:pStyle w:val="TableParagraph"/>
              <w:spacing w:line="100" w:lineRule="exact" w:before="3"/>
              <w:ind w:left="42" w:right="1"/>
              <w:jc w:val="center"/>
              <w:rPr>
                <w:rFonts w:ascii="Calibri"/>
                <w:b/>
                <w:sz w:val="10"/>
              </w:rPr>
            </w:pPr>
            <w:r>
              <w:rPr>
                <w:rFonts w:ascii="Calibri"/>
                <w:b/>
                <w:sz w:val="10"/>
              </w:rPr>
              <w:t>475</w:t>
            </w:r>
            <w:r>
              <w:rPr>
                <w:rFonts w:ascii="Calibri"/>
                <w:b/>
                <w:spacing w:val="-6"/>
                <w:sz w:val="10"/>
              </w:rPr>
              <w:t> </w:t>
            </w:r>
            <w:r>
              <w:rPr>
                <w:rFonts w:ascii="Calibri"/>
                <w:b/>
                <w:sz w:val="10"/>
              </w:rPr>
              <w:t>841</w:t>
            </w:r>
            <w:r>
              <w:rPr>
                <w:rFonts w:ascii="Calibri"/>
                <w:b/>
                <w:spacing w:val="-6"/>
                <w:sz w:val="10"/>
              </w:rPr>
              <w:t> </w:t>
            </w:r>
            <w:r>
              <w:rPr>
                <w:rFonts w:ascii="Calibri"/>
                <w:b/>
                <w:spacing w:val="-2"/>
                <w:sz w:val="10"/>
              </w:rPr>
              <w:t>945,23</w:t>
            </w:r>
          </w:p>
        </w:tc>
      </w:tr>
    </w:tbl>
    <w:p>
      <w:pPr>
        <w:pStyle w:val="BodyText"/>
        <w:spacing w:before="6"/>
      </w:pPr>
    </w:p>
    <w:p>
      <w:pPr>
        <w:pStyle w:val="BodyText"/>
        <w:spacing w:line="259" w:lineRule="auto" w:before="1"/>
        <w:ind w:left="691" w:right="882"/>
        <w:jc w:val="both"/>
      </w:pPr>
      <w:r>
        <w:rPr/>
        <w:t>Durante</w:t>
      </w:r>
      <w:r>
        <w:rPr>
          <w:spacing w:val="-5"/>
        </w:rPr>
        <w:t> </w:t>
      </w:r>
      <w:r>
        <w:rPr/>
        <w:t>segundo</w:t>
      </w:r>
      <w:r>
        <w:rPr>
          <w:spacing w:val="-4"/>
        </w:rPr>
        <w:t> </w:t>
      </w:r>
      <w:r>
        <w:rPr/>
        <w:t>trimestre</w:t>
      </w:r>
      <w:r>
        <w:rPr>
          <w:spacing w:val="-8"/>
        </w:rPr>
        <w:t> </w:t>
      </w:r>
      <w:r>
        <w:rPr/>
        <w:t>de</w:t>
      </w:r>
      <w:r>
        <w:rPr>
          <w:spacing w:val="-3"/>
        </w:rPr>
        <w:t> </w:t>
      </w:r>
      <w:r>
        <w:rPr/>
        <w:t>2026</w:t>
      </w:r>
      <w:r>
        <w:rPr>
          <w:spacing w:val="-3"/>
        </w:rPr>
        <w:t> </w:t>
      </w:r>
      <w:r>
        <w:rPr/>
        <w:t>con</w:t>
      </w:r>
      <w:r>
        <w:rPr>
          <w:spacing w:val="-4"/>
        </w:rPr>
        <w:t> </w:t>
      </w:r>
      <w:r>
        <w:rPr/>
        <w:t>el</w:t>
      </w:r>
      <w:r>
        <w:rPr>
          <w:spacing w:val="-2"/>
        </w:rPr>
        <w:t> </w:t>
      </w:r>
      <w:r>
        <w:rPr/>
        <w:t>oficio</w:t>
      </w:r>
      <w:r>
        <w:rPr>
          <w:spacing w:val="-2"/>
        </w:rPr>
        <w:t> </w:t>
      </w:r>
      <w:r>
        <w:rPr/>
        <w:t>IMAS-DSA-DSG-0189-2026</w:t>
      </w:r>
      <w:r>
        <w:rPr>
          <w:spacing w:val="-5"/>
        </w:rPr>
        <w:t> </w:t>
      </w:r>
      <w:r>
        <w:rPr/>
        <w:t>se</w:t>
      </w:r>
      <w:r>
        <w:rPr>
          <w:spacing w:val="-3"/>
        </w:rPr>
        <w:t> </w:t>
      </w:r>
      <w:r>
        <w:rPr/>
        <w:t>informa</w:t>
      </w:r>
      <w:r>
        <w:rPr>
          <w:spacing w:val="-3"/>
        </w:rPr>
        <w:t> </w:t>
      </w:r>
      <w:r>
        <w:rPr/>
        <w:t>el</w:t>
      </w:r>
      <w:r>
        <w:rPr>
          <w:spacing w:val="-2"/>
        </w:rPr>
        <w:t> </w:t>
      </w:r>
      <w:r>
        <w:rPr/>
        <w:t>avance</w:t>
      </w:r>
      <w:r>
        <w:rPr>
          <w:spacing w:val="-4"/>
        </w:rPr>
        <w:t> </w:t>
      </w:r>
      <w:r>
        <w:rPr/>
        <w:t>de los proyectos de construcción institucionales. El periodo evaluado comprende abril, mayo y junio de 2026, e incluye el estado de cuatro proyectos: Construcción del edificio Área de Desarrollo Socio Productivo (Casa de la Rotonda), nueva escalera de emergencias del Edificio Central, bodegas IMAS en Cristo Rey y sistema de supresión de incendios del Edificio Central.</w:t>
      </w:r>
    </w:p>
    <w:p>
      <w:pPr>
        <w:pStyle w:val="BodyText"/>
        <w:spacing w:line="259" w:lineRule="auto" w:before="240"/>
        <w:ind w:left="691" w:right="885"/>
        <w:jc w:val="both"/>
      </w:pPr>
      <w:r>
        <w:rPr/>
        <w:t>Tres proyectos permanecen detenidos o postergados por priorización institucional, inscripción en el Banco de Proyectos de Inversión Pública del MIDEPLAN (BPIP) y disponibilidad presupuestaria, mientras que el sistema de supresión de incendios del Edificio Central continúa en ejecución y se proyecta finalizar entre setiembre y octubre de 2026.</w:t>
      </w:r>
    </w:p>
    <w:p>
      <w:pPr>
        <w:pStyle w:val="Heading6"/>
        <w:numPr>
          <w:ilvl w:val="0"/>
          <w:numId w:val="88"/>
        </w:numPr>
        <w:tabs>
          <w:tab w:pos="962" w:val="left" w:leader="none"/>
        </w:tabs>
        <w:spacing w:line="240" w:lineRule="auto" w:before="239" w:after="0"/>
        <w:ind w:left="962" w:right="0" w:hanging="271"/>
        <w:jc w:val="left"/>
      </w:pPr>
      <w:r>
        <w:rPr/>
        <w:t>“Construcción</w:t>
      </w:r>
      <w:r>
        <w:rPr>
          <w:spacing w:val="-5"/>
        </w:rPr>
        <w:t> </w:t>
      </w:r>
      <w:r>
        <w:rPr/>
        <w:t>del</w:t>
      </w:r>
      <w:r>
        <w:rPr>
          <w:spacing w:val="-7"/>
        </w:rPr>
        <w:t> </w:t>
      </w:r>
      <w:r>
        <w:rPr/>
        <w:t>edificio</w:t>
      </w:r>
      <w:r>
        <w:rPr>
          <w:spacing w:val="-2"/>
        </w:rPr>
        <w:t> </w:t>
      </w:r>
      <w:r>
        <w:rPr/>
        <w:t>Área</w:t>
      </w:r>
      <w:r>
        <w:rPr>
          <w:spacing w:val="-4"/>
        </w:rPr>
        <w:t> </w:t>
      </w:r>
      <w:r>
        <w:rPr/>
        <w:t>de</w:t>
      </w:r>
      <w:r>
        <w:rPr>
          <w:spacing w:val="-2"/>
        </w:rPr>
        <w:t> </w:t>
      </w:r>
      <w:r>
        <w:rPr/>
        <w:t>Desarrollo</w:t>
      </w:r>
      <w:r>
        <w:rPr>
          <w:spacing w:val="-5"/>
        </w:rPr>
        <w:t> </w:t>
      </w:r>
      <w:r>
        <w:rPr/>
        <w:t>Socio</w:t>
      </w:r>
      <w:r>
        <w:rPr>
          <w:spacing w:val="-4"/>
        </w:rPr>
        <w:t> </w:t>
      </w:r>
      <w:r>
        <w:rPr/>
        <w:t>Productivo</w:t>
      </w:r>
      <w:r>
        <w:rPr>
          <w:spacing w:val="-3"/>
        </w:rPr>
        <w:t> </w:t>
      </w:r>
      <w:r>
        <w:rPr/>
        <w:t>(Casa</w:t>
      </w:r>
      <w:r>
        <w:rPr>
          <w:spacing w:val="-3"/>
        </w:rPr>
        <w:t> </w:t>
      </w:r>
      <w:r>
        <w:rPr/>
        <w:t>de</w:t>
      </w:r>
      <w:r>
        <w:rPr>
          <w:spacing w:val="-3"/>
        </w:rPr>
        <w:t> </w:t>
      </w:r>
      <w:r>
        <w:rPr/>
        <w:t>la</w:t>
      </w:r>
      <w:r>
        <w:rPr>
          <w:spacing w:val="-6"/>
        </w:rPr>
        <w:t> </w:t>
      </w:r>
      <w:r>
        <w:rPr>
          <w:spacing w:val="-2"/>
        </w:rPr>
        <w:t>Rotonda)”.</w:t>
      </w:r>
    </w:p>
    <w:p>
      <w:pPr>
        <w:pStyle w:val="BodyText"/>
        <w:spacing w:before="10"/>
        <w:rPr>
          <w:b/>
        </w:rPr>
      </w:pPr>
    </w:p>
    <w:p>
      <w:pPr>
        <w:pStyle w:val="ListParagraph"/>
        <w:numPr>
          <w:ilvl w:val="1"/>
          <w:numId w:val="88"/>
        </w:numPr>
        <w:tabs>
          <w:tab w:pos="1399" w:val="left" w:leader="none"/>
        </w:tabs>
        <w:spacing w:line="240" w:lineRule="auto" w:before="0" w:after="0"/>
        <w:ind w:left="1399" w:right="0" w:hanging="708"/>
        <w:jc w:val="left"/>
        <w:rPr>
          <w:sz w:val="22"/>
        </w:rPr>
      </w:pPr>
      <w:r>
        <w:rPr>
          <w:sz w:val="22"/>
        </w:rPr>
        <w:t>Actividades</w:t>
      </w:r>
      <w:r>
        <w:rPr>
          <w:spacing w:val="-4"/>
          <w:sz w:val="22"/>
        </w:rPr>
        <w:t> </w:t>
      </w:r>
      <w:r>
        <w:rPr>
          <w:sz w:val="22"/>
        </w:rPr>
        <w:t>realizadas</w:t>
      </w:r>
      <w:r>
        <w:rPr>
          <w:spacing w:val="-3"/>
          <w:sz w:val="22"/>
        </w:rPr>
        <w:t> </w:t>
      </w:r>
      <w:r>
        <w:rPr>
          <w:sz w:val="22"/>
        </w:rPr>
        <w:t>en</w:t>
      </w:r>
      <w:r>
        <w:rPr>
          <w:spacing w:val="-4"/>
          <w:sz w:val="22"/>
        </w:rPr>
        <w:t> </w:t>
      </w:r>
      <w:r>
        <w:rPr>
          <w:sz w:val="22"/>
        </w:rPr>
        <w:t>2°</w:t>
      </w:r>
      <w:r>
        <w:rPr>
          <w:spacing w:val="-5"/>
          <w:sz w:val="22"/>
        </w:rPr>
        <w:t> </w:t>
      </w:r>
      <w:r>
        <w:rPr>
          <w:sz w:val="22"/>
        </w:rPr>
        <w:t>trimestre</w:t>
      </w:r>
      <w:r>
        <w:rPr>
          <w:spacing w:val="-5"/>
          <w:sz w:val="22"/>
        </w:rPr>
        <w:t> </w:t>
      </w:r>
      <w:r>
        <w:rPr>
          <w:sz w:val="22"/>
        </w:rPr>
        <w:t>del</w:t>
      </w:r>
      <w:r>
        <w:rPr>
          <w:spacing w:val="-4"/>
          <w:sz w:val="22"/>
        </w:rPr>
        <w:t> 2026.</w:t>
      </w:r>
    </w:p>
    <w:p>
      <w:pPr>
        <w:pStyle w:val="BodyText"/>
        <w:spacing w:before="9"/>
      </w:pPr>
    </w:p>
    <w:p>
      <w:pPr>
        <w:pStyle w:val="ListParagraph"/>
        <w:numPr>
          <w:ilvl w:val="2"/>
          <w:numId w:val="88"/>
        </w:numPr>
        <w:tabs>
          <w:tab w:pos="1399" w:val="left" w:leader="none"/>
        </w:tabs>
        <w:spacing w:line="240" w:lineRule="auto" w:before="0" w:after="0"/>
        <w:ind w:left="1399" w:right="0" w:hanging="708"/>
        <w:jc w:val="left"/>
        <w:rPr>
          <w:sz w:val="22"/>
        </w:rPr>
      </w:pPr>
      <w:r>
        <w:rPr>
          <w:sz w:val="22"/>
        </w:rPr>
        <w:t>No</w:t>
      </w:r>
      <w:r>
        <w:rPr>
          <w:spacing w:val="-5"/>
          <w:sz w:val="22"/>
        </w:rPr>
        <w:t> </w:t>
      </w:r>
      <w:r>
        <w:rPr>
          <w:sz w:val="22"/>
        </w:rPr>
        <w:t>se</w:t>
      </w:r>
      <w:r>
        <w:rPr>
          <w:spacing w:val="-5"/>
          <w:sz w:val="22"/>
        </w:rPr>
        <w:t> </w:t>
      </w:r>
      <w:r>
        <w:rPr>
          <w:sz w:val="22"/>
        </w:rPr>
        <w:t>realizaron</w:t>
      </w:r>
      <w:r>
        <w:rPr>
          <w:spacing w:val="-4"/>
          <w:sz w:val="22"/>
        </w:rPr>
        <w:t> </w:t>
      </w:r>
      <w:r>
        <w:rPr>
          <w:sz w:val="22"/>
        </w:rPr>
        <w:t>acciones</w:t>
      </w:r>
      <w:r>
        <w:rPr>
          <w:spacing w:val="-4"/>
          <w:sz w:val="22"/>
        </w:rPr>
        <w:t> </w:t>
      </w:r>
      <w:r>
        <w:rPr>
          <w:sz w:val="22"/>
        </w:rPr>
        <w:t>relacionadas</w:t>
      </w:r>
      <w:r>
        <w:rPr>
          <w:spacing w:val="-3"/>
          <w:sz w:val="22"/>
        </w:rPr>
        <w:t> </w:t>
      </w:r>
      <w:r>
        <w:rPr>
          <w:sz w:val="22"/>
        </w:rPr>
        <w:t>con</w:t>
      </w:r>
      <w:r>
        <w:rPr>
          <w:spacing w:val="-4"/>
          <w:sz w:val="22"/>
        </w:rPr>
        <w:t> </w:t>
      </w:r>
      <w:r>
        <w:rPr>
          <w:sz w:val="22"/>
        </w:rPr>
        <w:t>este</w:t>
      </w:r>
      <w:r>
        <w:rPr>
          <w:spacing w:val="-5"/>
          <w:sz w:val="22"/>
        </w:rPr>
        <w:t> </w:t>
      </w:r>
      <w:r>
        <w:rPr>
          <w:spacing w:val="-2"/>
          <w:sz w:val="22"/>
        </w:rPr>
        <w:t>proyecto.</w:t>
      </w:r>
    </w:p>
    <w:p>
      <w:pPr>
        <w:pStyle w:val="BodyText"/>
        <w:spacing w:before="7"/>
      </w:pPr>
    </w:p>
    <w:p>
      <w:pPr>
        <w:pStyle w:val="ListParagraph"/>
        <w:numPr>
          <w:ilvl w:val="1"/>
          <w:numId w:val="88"/>
        </w:numPr>
        <w:tabs>
          <w:tab w:pos="1399" w:val="left" w:leader="none"/>
        </w:tabs>
        <w:spacing w:line="240" w:lineRule="auto" w:before="0" w:after="0"/>
        <w:ind w:left="1399" w:right="0" w:hanging="708"/>
        <w:jc w:val="left"/>
        <w:rPr>
          <w:sz w:val="22"/>
        </w:rPr>
      </w:pPr>
      <w:r>
        <w:rPr>
          <w:sz w:val="22"/>
        </w:rPr>
        <w:t>Limitaciones</w:t>
      </w:r>
      <w:r>
        <w:rPr>
          <w:spacing w:val="-7"/>
          <w:sz w:val="22"/>
        </w:rPr>
        <w:t> </w:t>
      </w:r>
      <w:r>
        <w:rPr>
          <w:spacing w:val="-2"/>
          <w:sz w:val="22"/>
        </w:rPr>
        <w:t>encontradas</w:t>
      </w:r>
    </w:p>
    <w:p>
      <w:pPr>
        <w:pStyle w:val="BodyText"/>
        <w:spacing w:before="9"/>
      </w:pPr>
    </w:p>
    <w:p>
      <w:pPr>
        <w:pStyle w:val="ListParagraph"/>
        <w:numPr>
          <w:ilvl w:val="2"/>
          <w:numId w:val="88"/>
        </w:numPr>
        <w:tabs>
          <w:tab w:pos="1399" w:val="left" w:leader="none"/>
        </w:tabs>
        <w:spacing w:line="259" w:lineRule="auto" w:before="0" w:after="0"/>
        <w:ind w:left="691" w:right="891" w:firstLine="0"/>
        <w:jc w:val="left"/>
        <w:rPr>
          <w:sz w:val="22"/>
        </w:rPr>
      </w:pPr>
      <w:r>
        <w:rPr>
          <w:sz w:val="22"/>
        </w:rPr>
        <w:t>No se ha recibido notificación sobre la intención de reinicio del proyecto el cual habría que incluir en el Banco de Proyectos de Inversión Pública (BPIP).</w:t>
      </w:r>
    </w:p>
    <w:p>
      <w:pPr>
        <w:pStyle w:val="ListParagraph"/>
        <w:spacing w:after="0" w:line="259"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6704">
                <wp:simplePos x="0" y="0"/>
                <wp:positionH relativeFrom="page">
                  <wp:posOffset>9525</wp:posOffset>
                </wp:positionH>
                <wp:positionV relativeFrom="page">
                  <wp:posOffset>297208</wp:posOffset>
                </wp:positionV>
                <wp:extent cx="7762875" cy="9748520"/>
                <wp:effectExtent l="0" t="0" r="0" b="0"/>
                <wp:wrapNone/>
                <wp:docPr id="1059" name="Group 1059"/>
                <wp:cNvGraphicFramePr>
                  <a:graphicFrameLocks/>
                </wp:cNvGraphicFramePr>
                <a:graphic>
                  <a:graphicData uri="http://schemas.microsoft.com/office/word/2010/wordprocessingGroup">
                    <wpg:wgp>
                      <wpg:cNvPr id="1059" name="Group 1059"/>
                      <wpg:cNvGrpSpPr/>
                      <wpg:grpSpPr>
                        <a:xfrm>
                          <a:off x="0" y="0"/>
                          <a:ext cx="7762875" cy="9748520"/>
                          <a:chExt cx="7762875" cy="9748520"/>
                        </a:xfrm>
                      </wpg:grpSpPr>
                      <pic:pic>
                        <pic:nvPicPr>
                          <pic:cNvPr id="1060" name="Image 1060"/>
                          <pic:cNvPicPr/>
                        </pic:nvPicPr>
                        <pic:blipFill>
                          <a:blip r:embed="rId5" cstate="print"/>
                          <a:stretch>
                            <a:fillRect/>
                          </a:stretch>
                        </pic:blipFill>
                        <pic:spPr>
                          <a:xfrm>
                            <a:off x="0" y="0"/>
                            <a:ext cx="7762874" cy="9748489"/>
                          </a:xfrm>
                          <a:prstGeom prst="rect">
                            <a:avLst/>
                          </a:prstGeom>
                        </pic:spPr>
                      </pic:pic>
                      <wps:wsp>
                        <wps:cNvPr id="1061" name="Graphic 1061"/>
                        <wps:cNvSpPr/>
                        <wps:spPr>
                          <a:xfrm>
                            <a:off x="1053007" y="990837"/>
                            <a:ext cx="5736590" cy="7546340"/>
                          </a:xfrm>
                          <a:custGeom>
                            <a:avLst/>
                            <a:gdLst/>
                            <a:ahLst/>
                            <a:cxnLst/>
                            <a:rect l="l" t="t" r="r" b="b"/>
                            <a:pathLst>
                              <a:path w="5736590" h="7546340">
                                <a:moveTo>
                                  <a:pt x="5649214" y="0"/>
                                </a:moveTo>
                                <a:lnTo>
                                  <a:pt x="0" y="0"/>
                                </a:lnTo>
                                <a:lnTo>
                                  <a:pt x="0" y="9131"/>
                                </a:lnTo>
                                <a:lnTo>
                                  <a:pt x="5649214" y="9131"/>
                                </a:lnTo>
                                <a:lnTo>
                                  <a:pt x="5649214" y="0"/>
                                </a:lnTo>
                                <a:close/>
                              </a:path>
                              <a:path w="5736590" h="7546340">
                                <a:moveTo>
                                  <a:pt x="5736018" y="132651"/>
                                </a:moveTo>
                                <a:lnTo>
                                  <a:pt x="5729935" y="132651"/>
                                </a:lnTo>
                                <a:lnTo>
                                  <a:pt x="5729935" y="7540180"/>
                                </a:lnTo>
                                <a:lnTo>
                                  <a:pt x="21336" y="7540180"/>
                                </a:lnTo>
                                <a:lnTo>
                                  <a:pt x="21336" y="132651"/>
                                </a:lnTo>
                                <a:lnTo>
                                  <a:pt x="15240" y="132651"/>
                                </a:lnTo>
                                <a:lnTo>
                                  <a:pt x="15240" y="7540180"/>
                                </a:lnTo>
                                <a:lnTo>
                                  <a:pt x="15240" y="7546276"/>
                                </a:lnTo>
                                <a:lnTo>
                                  <a:pt x="21336" y="7546276"/>
                                </a:lnTo>
                                <a:lnTo>
                                  <a:pt x="5729935" y="7546276"/>
                                </a:lnTo>
                                <a:lnTo>
                                  <a:pt x="5736018" y="7546276"/>
                                </a:lnTo>
                                <a:lnTo>
                                  <a:pt x="5736018" y="7540180"/>
                                </a:lnTo>
                                <a:lnTo>
                                  <a:pt x="5736018" y="132651"/>
                                </a:lnTo>
                                <a:close/>
                              </a:path>
                              <a:path w="5736590" h="754634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9776" id="docshapegroup1006" coordorigin="15,468" coordsize="12225,15352">
                <v:shape style="position:absolute;left:15;top:468;width:12225;height:15352" type="#_x0000_t75" id="docshape1007" stroked="false">
                  <v:imagedata r:id="rId5" o:title=""/>
                </v:shape>
                <v:shape style="position:absolute;left:1673;top:2028;width:9034;height:11884" id="docshape1008" coordorigin="1673,2028" coordsize="9034,11884" path="m10570,2028l1673,2028,1673,2043,10570,2043,10570,2028xm10706,2237l10697,2237,10697,13903,1707,13903,1707,2237,1697,2237,1697,13903,1697,13912,1707,13912,10697,13912,10697,13912,10706,13912,10706,13903,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203</w:t>
      </w:r>
    </w:p>
    <w:p>
      <w:pPr>
        <w:pStyle w:val="BodyText"/>
        <w:spacing w:before="55"/>
      </w:pPr>
    </w:p>
    <w:p>
      <w:pPr>
        <w:pStyle w:val="ListParagraph"/>
        <w:numPr>
          <w:ilvl w:val="2"/>
          <w:numId w:val="88"/>
        </w:numPr>
        <w:tabs>
          <w:tab w:pos="1398" w:val="left" w:leader="none"/>
        </w:tabs>
        <w:spacing w:line="261" w:lineRule="auto" w:before="1" w:after="0"/>
        <w:ind w:left="691" w:right="888" w:firstLine="0"/>
        <w:jc w:val="both"/>
        <w:rPr>
          <w:sz w:val="22"/>
        </w:rPr>
      </w:pPr>
      <w:r>
        <w:rPr>
          <w:sz w:val="22"/>
        </w:rPr>
        <w:t>El hecho de</w:t>
      </w:r>
      <w:r>
        <w:rPr>
          <w:spacing w:val="-1"/>
          <w:sz w:val="22"/>
        </w:rPr>
        <w:t> </w:t>
      </w:r>
      <w:r>
        <w:rPr>
          <w:sz w:val="22"/>
        </w:rPr>
        <w:t>que no esté en</w:t>
      </w:r>
      <w:r>
        <w:rPr>
          <w:spacing w:val="-1"/>
          <w:sz w:val="22"/>
        </w:rPr>
        <w:t> </w:t>
      </w:r>
      <w:r>
        <w:rPr>
          <w:sz w:val="22"/>
        </w:rPr>
        <w:t>las prioridades de</w:t>
      </w:r>
      <w:r>
        <w:rPr>
          <w:spacing w:val="-1"/>
          <w:sz w:val="22"/>
        </w:rPr>
        <w:t> </w:t>
      </w:r>
      <w:r>
        <w:rPr>
          <w:sz w:val="22"/>
        </w:rPr>
        <w:t>construcción hará que</w:t>
      </w:r>
      <w:r>
        <w:rPr>
          <w:spacing w:val="-3"/>
          <w:sz w:val="22"/>
        </w:rPr>
        <w:t> </w:t>
      </w:r>
      <w:r>
        <w:rPr>
          <w:sz w:val="22"/>
        </w:rPr>
        <w:t>su finalización</w:t>
      </w:r>
      <w:r>
        <w:rPr>
          <w:spacing w:val="-1"/>
          <w:sz w:val="22"/>
        </w:rPr>
        <w:t> </w:t>
      </w:r>
      <w:r>
        <w:rPr>
          <w:sz w:val="22"/>
        </w:rPr>
        <w:t>tenga una fecha indefinida por el momento.</w:t>
      </w:r>
    </w:p>
    <w:p>
      <w:pPr>
        <w:pStyle w:val="ListParagraph"/>
        <w:numPr>
          <w:ilvl w:val="1"/>
          <w:numId w:val="88"/>
        </w:numPr>
        <w:tabs>
          <w:tab w:pos="1399" w:val="left" w:leader="none"/>
        </w:tabs>
        <w:spacing w:line="240" w:lineRule="auto" w:before="235" w:after="0"/>
        <w:ind w:left="1399" w:right="0" w:hanging="708"/>
        <w:jc w:val="left"/>
        <w:rPr>
          <w:sz w:val="22"/>
        </w:rPr>
      </w:pPr>
      <w:r>
        <w:rPr>
          <w:sz w:val="22"/>
        </w:rPr>
        <w:t>Posible</w:t>
      </w:r>
      <w:r>
        <w:rPr>
          <w:spacing w:val="-7"/>
          <w:sz w:val="22"/>
        </w:rPr>
        <w:t> </w:t>
      </w:r>
      <w:r>
        <w:rPr>
          <w:sz w:val="22"/>
        </w:rPr>
        <w:t>finalización</w:t>
      </w:r>
      <w:r>
        <w:rPr>
          <w:spacing w:val="-5"/>
          <w:sz w:val="22"/>
        </w:rPr>
        <w:t> </w:t>
      </w:r>
      <w:r>
        <w:rPr>
          <w:sz w:val="22"/>
        </w:rPr>
        <w:t>del</w:t>
      </w:r>
      <w:r>
        <w:rPr>
          <w:spacing w:val="-4"/>
          <w:sz w:val="22"/>
        </w:rPr>
        <w:t> </w:t>
      </w:r>
      <w:r>
        <w:rPr>
          <w:spacing w:val="-2"/>
          <w:sz w:val="22"/>
        </w:rPr>
        <w:t>proyecto.</w:t>
      </w:r>
    </w:p>
    <w:p>
      <w:pPr>
        <w:pStyle w:val="BodyText"/>
        <w:spacing w:before="9"/>
      </w:pPr>
    </w:p>
    <w:p>
      <w:pPr>
        <w:pStyle w:val="BodyText"/>
        <w:spacing w:line="259" w:lineRule="auto"/>
        <w:ind w:left="691" w:right="887"/>
        <w:jc w:val="both"/>
      </w:pPr>
      <w:r>
        <w:rPr/>
        <w:t>El proyecto no cuenta actualmente con fecha definida de finalización, debido a que no ha sido priorizado para reinicio ni incorporado al Banco de Proyectos de Inversión Pública (BPIP). De reactivarse</w:t>
      </w:r>
      <w:r>
        <w:rPr>
          <w:spacing w:val="-2"/>
        </w:rPr>
        <w:t> </w:t>
      </w:r>
      <w:r>
        <w:rPr/>
        <w:t>después de</w:t>
      </w:r>
      <w:r>
        <w:rPr>
          <w:spacing w:val="-3"/>
        </w:rPr>
        <w:t> </w:t>
      </w:r>
      <w:r>
        <w:rPr/>
        <w:t>2026,</w:t>
      </w:r>
      <w:r>
        <w:rPr>
          <w:spacing w:val="-1"/>
        </w:rPr>
        <w:t> </w:t>
      </w:r>
      <w:r>
        <w:rPr/>
        <w:t>su</w:t>
      </w:r>
      <w:r>
        <w:rPr>
          <w:spacing w:val="-1"/>
        </w:rPr>
        <w:t> </w:t>
      </w:r>
      <w:r>
        <w:rPr/>
        <w:t>cierre</w:t>
      </w:r>
      <w:r>
        <w:rPr>
          <w:spacing w:val="-3"/>
        </w:rPr>
        <w:t> </w:t>
      </w:r>
      <w:r>
        <w:rPr/>
        <w:t>podría</w:t>
      </w:r>
      <w:r>
        <w:rPr>
          <w:spacing w:val="-2"/>
        </w:rPr>
        <w:t> </w:t>
      </w:r>
      <w:r>
        <w:rPr/>
        <w:t>estimarse</w:t>
      </w:r>
      <w:r>
        <w:rPr>
          <w:spacing w:val="-5"/>
        </w:rPr>
        <w:t> </w:t>
      </w:r>
      <w:r>
        <w:rPr/>
        <w:t>para</w:t>
      </w:r>
      <w:r>
        <w:rPr>
          <w:spacing w:val="-2"/>
        </w:rPr>
        <w:t> </w:t>
      </w:r>
      <w:r>
        <w:rPr/>
        <w:t>2029,</w:t>
      </w:r>
      <w:r>
        <w:rPr>
          <w:spacing w:val="-1"/>
        </w:rPr>
        <w:t> </w:t>
      </w:r>
      <w:r>
        <w:rPr/>
        <w:t>sujeto a</w:t>
      </w:r>
      <w:r>
        <w:rPr>
          <w:spacing w:val="-2"/>
        </w:rPr>
        <w:t> </w:t>
      </w:r>
      <w:r>
        <w:rPr/>
        <w:t>la</w:t>
      </w:r>
      <w:r>
        <w:rPr>
          <w:spacing w:val="-3"/>
        </w:rPr>
        <w:t> </w:t>
      </w:r>
      <w:r>
        <w:rPr/>
        <w:t>decisión</w:t>
      </w:r>
      <w:r>
        <w:rPr>
          <w:spacing w:val="-1"/>
        </w:rPr>
        <w:t> </w:t>
      </w:r>
      <w:r>
        <w:rPr/>
        <w:t>de</w:t>
      </w:r>
      <w:r>
        <w:rPr>
          <w:spacing w:val="-3"/>
        </w:rPr>
        <w:t> </w:t>
      </w:r>
      <w:r>
        <w:rPr/>
        <w:t>las instancias superiores, la inscripción correspondiente y la disponibilidad presupuestaria.</w:t>
      </w:r>
    </w:p>
    <w:p>
      <w:pPr>
        <w:pStyle w:val="Heading6"/>
        <w:numPr>
          <w:ilvl w:val="0"/>
          <w:numId w:val="88"/>
        </w:numPr>
        <w:tabs>
          <w:tab w:pos="958" w:val="left" w:leader="none"/>
        </w:tabs>
        <w:spacing w:line="240" w:lineRule="auto" w:before="239" w:after="0"/>
        <w:ind w:left="958" w:right="0" w:hanging="267"/>
        <w:jc w:val="left"/>
      </w:pPr>
      <w:r>
        <w:rPr/>
        <w:t>“Proyecto</w:t>
      </w:r>
      <w:r>
        <w:rPr>
          <w:spacing w:val="-3"/>
        </w:rPr>
        <w:t> </w:t>
      </w:r>
      <w:r>
        <w:rPr/>
        <w:t>para</w:t>
      </w:r>
      <w:r>
        <w:rPr>
          <w:spacing w:val="-4"/>
        </w:rPr>
        <w:t> </w:t>
      </w:r>
      <w:r>
        <w:rPr/>
        <w:t>la</w:t>
      </w:r>
      <w:r>
        <w:rPr>
          <w:spacing w:val="-4"/>
        </w:rPr>
        <w:t> </w:t>
      </w:r>
      <w:r>
        <w:rPr/>
        <w:t>Construcción</w:t>
      </w:r>
      <w:r>
        <w:rPr>
          <w:spacing w:val="-3"/>
        </w:rPr>
        <w:t> </w:t>
      </w:r>
      <w:r>
        <w:rPr/>
        <w:t>de</w:t>
      </w:r>
      <w:r>
        <w:rPr>
          <w:spacing w:val="-2"/>
        </w:rPr>
        <w:t> </w:t>
      </w:r>
      <w:r>
        <w:rPr/>
        <w:t>una</w:t>
      </w:r>
      <w:r>
        <w:rPr>
          <w:spacing w:val="-3"/>
        </w:rPr>
        <w:t> </w:t>
      </w:r>
      <w:r>
        <w:rPr/>
        <w:t>nueva</w:t>
      </w:r>
      <w:r>
        <w:rPr>
          <w:spacing w:val="-4"/>
        </w:rPr>
        <w:t> </w:t>
      </w:r>
      <w:r>
        <w:rPr/>
        <w:t>escalera</w:t>
      </w:r>
      <w:r>
        <w:rPr>
          <w:spacing w:val="-3"/>
        </w:rPr>
        <w:t> </w:t>
      </w:r>
      <w:r>
        <w:rPr/>
        <w:t>de</w:t>
      </w:r>
      <w:r>
        <w:rPr>
          <w:spacing w:val="-3"/>
        </w:rPr>
        <w:t> </w:t>
      </w:r>
      <w:r>
        <w:rPr/>
        <w:t>emergencias</w:t>
      </w:r>
      <w:r>
        <w:rPr>
          <w:spacing w:val="-2"/>
        </w:rPr>
        <w:t> </w:t>
      </w:r>
      <w:r>
        <w:rPr/>
        <w:t>en</w:t>
      </w:r>
      <w:r>
        <w:rPr>
          <w:spacing w:val="-4"/>
        </w:rPr>
        <w:t> </w:t>
      </w:r>
      <w:r>
        <w:rPr/>
        <w:t>el</w:t>
      </w:r>
      <w:r>
        <w:rPr>
          <w:spacing w:val="-7"/>
        </w:rPr>
        <w:t> </w:t>
      </w:r>
      <w:r>
        <w:rPr/>
        <w:t>edificio</w:t>
      </w:r>
      <w:r>
        <w:rPr>
          <w:spacing w:val="-2"/>
        </w:rPr>
        <w:t> central”.</w:t>
      </w:r>
    </w:p>
    <w:p>
      <w:pPr>
        <w:pStyle w:val="BodyText"/>
        <w:spacing w:before="9"/>
        <w:rPr>
          <w:b/>
        </w:rPr>
      </w:pPr>
    </w:p>
    <w:p>
      <w:pPr>
        <w:pStyle w:val="ListParagraph"/>
        <w:numPr>
          <w:ilvl w:val="1"/>
          <w:numId w:val="88"/>
        </w:numPr>
        <w:tabs>
          <w:tab w:pos="1399" w:val="left" w:leader="none"/>
        </w:tabs>
        <w:spacing w:line="240" w:lineRule="auto" w:before="0" w:after="0"/>
        <w:ind w:left="1399" w:right="0" w:hanging="708"/>
        <w:jc w:val="left"/>
        <w:rPr>
          <w:sz w:val="22"/>
        </w:rPr>
      </w:pPr>
      <w:r>
        <w:rPr>
          <w:sz w:val="22"/>
        </w:rPr>
        <w:t>Actividades</w:t>
      </w:r>
      <w:r>
        <w:rPr>
          <w:spacing w:val="-4"/>
          <w:sz w:val="22"/>
        </w:rPr>
        <w:t> </w:t>
      </w:r>
      <w:r>
        <w:rPr>
          <w:sz w:val="22"/>
        </w:rPr>
        <w:t>realizadas</w:t>
      </w:r>
      <w:r>
        <w:rPr>
          <w:spacing w:val="-3"/>
          <w:sz w:val="22"/>
        </w:rPr>
        <w:t> </w:t>
      </w:r>
      <w:r>
        <w:rPr>
          <w:sz w:val="22"/>
        </w:rPr>
        <w:t>en</w:t>
      </w:r>
      <w:r>
        <w:rPr>
          <w:spacing w:val="-4"/>
          <w:sz w:val="22"/>
        </w:rPr>
        <w:t> </w:t>
      </w:r>
      <w:r>
        <w:rPr>
          <w:sz w:val="22"/>
        </w:rPr>
        <w:t>2°</w:t>
      </w:r>
      <w:r>
        <w:rPr>
          <w:spacing w:val="-5"/>
          <w:sz w:val="22"/>
        </w:rPr>
        <w:t> </w:t>
      </w:r>
      <w:r>
        <w:rPr>
          <w:sz w:val="22"/>
        </w:rPr>
        <w:t>trimestre</w:t>
      </w:r>
      <w:r>
        <w:rPr>
          <w:spacing w:val="-5"/>
          <w:sz w:val="22"/>
        </w:rPr>
        <w:t> </w:t>
      </w:r>
      <w:r>
        <w:rPr>
          <w:sz w:val="22"/>
        </w:rPr>
        <w:t>del</w:t>
      </w:r>
      <w:r>
        <w:rPr>
          <w:spacing w:val="-4"/>
          <w:sz w:val="22"/>
        </w:rPr>
        <w:t> 2026.</w:t>
      </w:r>
    </w:p>
    <w:p>
      <w:pPr>
        <w:pStyle w:val="BodyText"/>
        <w:spacing w:before="10"/>
      </w:pPr>
    </w:p>
    <w:p>
      <w:pPr>
        <w:pStyle w:val="ListParagraph"/>
        <w:numPr>
          <w:ilvl w:val="2"/>
          <w:numId w:val="88"/>
        </w:numPr>
        <w:tabs>
          <w:tab w:pos="1398" w:val="left" w:leader="none"/>
        </w:tabs>
        <w:spacing w:line="259" w:lineRule="auto" w:before="0" w:after="0"/>
        <w:ind w:left="691" w:right="893" w:firstLine="0"/>
        <w:jc w:val="both"/>
        <w:rPr>
          <w:sz w:val="22"/>
        </w:rPr>
      </w:pPr>
      <w:r>
        <w:rPr>
          <w:sz w:val="22"/>
        </w:rPr>
        <w:t>El proyecto permanece en pausa, dado que la etapa de contratación de obras se prevé para 2027; por tanto, durante el trimestre no se ejecutaron nuevas acciones.</w:t>
      </w:r>
    </w:p>
    <w:p>
      <w:pPr>
        <w:pStyle w:val="ListParagraph"/>
        <w:numPr>
          <w:ilvl w:val="2"/>
          <w:numId w:val="88"/>
        </w:numPr>
        <w:tabs>
          <w:tab w:pos="1399" w:val="left" w:leader="none"/>
        </w:tabs>
        <w:spacing w:line="240" w:lineRule="auto" w:before="240" w:after="0"/>
        <w:ind w:left="1399" w:right="0" w:hanging="708"/>
        <w:jc w:val="left"/>
        <w:rPr>
          <w:sz w:val="22"/>
        </w:rPr>
      </w:pPr>
      <w:r>
        <w:rPr>
          <w:sz w:val="22"/>
        </w:rPr>
        <w:t>En</w:t>
      </w:r>
      <w:r>
        <w:rPr>
          <w:spacing w:val="-5"/>
          <w:sz w:val="22"/>
        </w:rPr>
        <w:t> </w:t>
      </w:r>
      <w:r>
        <w:rPr>
          <w:sz w:val="22"/>
        </w:rPr>
        <w:t>cuanto</w:t>
      </w:r>
      <w:r>
        <w:rPr>
          <w:spacing w:val="-2"/>
          <w:sz w:val="22"/>
        </w:rPr>
        <w:t> </w:t>
      </w:r>
      <w:r>
        <w:rPr>
          <w:sz w:val="22"/>
        </w:rPr>
        <w:t>a</w:t>
      </w:r>
      <w:r>
        <w:rPr>
          <w:spacing w:val="-4"/>
          <w:sz w:val="22"/>
        </w:rPr>
        <w:t> </w:t>
      </w:r>
      <w:r>
        <w:rPr>
          <w:sz w:val="22"/>
        </w:rPr>
        <w:t>pagos</w:t>
      </w:r>
      <w:r>
        <w:rPr>
          <w:spacing w:val="-5"/>
          <w:sz w:val="22"/>
        </w:rPr>
        <w:t> </w:t>
      </w:r>
      <w:r>
        <w:rPr>
          <w:sz w:val="22"/>
        </w:rPr>
        <w:t>el</w:t>
      </w:r>
      <w:r>
        <w:rPr>
          <w:spacing w:val="-2"/>
          <w:sz w:val="22"/>
        </w:rPr>
        <w:t> </w:t>
      </w:r>
      <w:r>
        <w:rPr>
          <w:sz w:val="22"/>
        </w:rPr>
        <w:t>trimestre</w:t>
      </w:r>
      <w:r>
        <w:rPr>
          <w:spacing w:val="-5"/>
          <w:sz w:val="22"/>
        </w:rPr>
        <w:t> </w:t>
      </w:r>
      <w:r>
        <w:rPr>
          <w:sz w:val="22"/>
        </w:rPr>
        <w:t>pasado</w:t>
      </w:r>
      <w:r>
        <w:rPr>
          <w:spacing w:val="-3"/>
          <w:sz w:val="22"/>
        </w:rPr>
        <w:t> </w:t>
      </w:r>
      <w:r>
        <w:rPr>
          <w:sz w:val="22"/>
        </w:rPr>
        <w:t>no</w:t>
      </w:r>
      <w:r>
        <w:rPr>
          <w:spacing w:val="-3"/>
          <w:sz w:val="22"/>
        </w:rPr>
        <w:t> </w:t>
      </w:r>
      <w:r>
        <w:rPr>
          <w:sz w:val="22"/>
        </w:rPr>
        <w:t>se</w:t>
      </w:r>
      <w:r>
        <w:rPr>
          <w:spacing w:val="-3"/>
          <w:sz w:val="22"/>
        </w:rPr>
        <w:t> </w:t>
      </w:r>
      <w:r>
        <w:rPr>
          <w:sz w:val="22"/>
        </w:rPr>
        <w:t>tenían</w:t>
      </w:r>
      <w:r>
        <w:rPr>
          <w:spacing w:val="-3"/>
          <w:sz w:val="22"/>
        </w:rPr>
        <w:t> </w:t>
      </w:r>
      <w:r>
        <w:rPr>
          <w:sz w:val="22"/>
        </w:rPr>
        <w:t>programados</w:t>
      </w:r>
      <w:r>
        <w:rPr>
          <w:spacing w:val="-2"/>
          <w:sz w:val="22"/>
        </w:rPr>
        <w:t> </w:t>
      </w:r>
      <w:r>
        <w:rPr>
          <w:sz w:val="22"/>
        </w:rPr>
        <w:t>para</w:t>
      </w:r>
      <w:r>
        <w:rPr>
          <w:spacing w:val="-4"/>
          <w:sz w:val="22"/>
        </w:rPr>
        <w:t> </w:t>
      </w:r>
      <w:r>
        <w:rPr>
          <w:sz w:val="22"/>
        </w:rPr>
        <w:t>este</w:t>
      </w:r>
      <w:r>
        <w:rPr>
          <w:spacing w:val="-3"/>
          <w:sz w:val="22"/>
        </w:rPr>
        <w:t> </w:t>
      </w:r>
      <w:r>
        <w:rPr>
          <w:spacing w:val="-2"/>
          <w:sz w:val="22"/>
        </w:rPr>
        <w:t>trimestre.</w:t>
      </w:r>
    </w:p>
    <w:p>
      <w:pPr>
        <w:pStyle w:val="BodyText"/>
        <w:spacing w:before="7"/>
      </w:pPr>
    </w:p>
    <w:p>
      <w:pPr>
        <w:pStyle w:val="ListParagraph"/>
        <w:numPr>
          <w:ilvl w:val="1"/>
          <w:numId w:val="88"/>
        </w:numPr>
        <w:tabs>
          <w:tab w:pos="1399" w:val="left" w:leader="none"/>
        </w:tabs>
        <w:spacing w:line="240" w:lineRule="auto" w:before="0" w:after="0"/>
        <w:ind w:left="1399" w:right="0" w:hanging="708"/>
        <w:jc w:val="left"/>
        <w:rPr>
          <w:sz w:val="22"/>
        </w:rPr>
      </w:pPr>
      <w:r>
        <w:rPr>
          <w:spacing w:val="-2"/>
          <w:sz w:val="22"/>
        </w:rPr>
        <w:t>Limitaciones.</w:t>
      </w:r>
    </w:p>
    <w:p>
      <w:pPr>
        <w:pStyle w:val="BodyText"/>
        <w:spacing w:before="9"/>
      </w:pPr>
    </w:p>
    <w:p>
      <w:pPr>
        <w:pStyle w:val="ListParagraph"/>
        <w:numPr>
          <w:ilvl w:val="2"/>
          <w:numId w:val="88"/>
        </w:numPr>
        <w:tabs>
          <w:tab w:pos="1398" w:val="left" w:leader="none"/>
        </w:tabs>
        <w:spacing w:line="259" w:lineRule="auto" w:before="0" w:after="0"/>
        <w:ind w:left="691" w:right="892" w:firstLine="0"/>
        <w:jc w:val="both"/>
        <w:rPr>
          <w:sz w:val="22"/>
        </w:rPr>
      </w:pPr>
      <w:r>
        <w:rPr>
          <w:sz w:val="22"/>
        </w:rPr>
        <w:t>La</w:t>
      </w:r>
      <w:r>
        <w:rPr>
          <w:spacing w:val="-3"/>
          <w:sz w:val="22"/>
        </w:rPr>
        <w:t> </w:t>
      </w:r>
      <w:r>
        <w:rPr>
          <w:sz w:val="22"/>
        </w:rPr>
        <w:t>programación</w:t>
      </w:r>
      <w:r>
        <w:rPr>
          <w:spacing w:val="-2"/>
          <w:sz w:val="22"/>
        </w:rPr>
        <w:t> </w:t>
      </w:r>
      <w:r>
        <w:rPr>
          <w:sz w:val="22"/>
        </w:rPr>
        <w:t>se</w:t>
      </w:r>
      <w:r>
        <w:rPr>
          <w:spacing w:val="-3"/>
          <w:sz w:val="22"/>
        </w:rPr>
        <w:t> </w:t>
      </w:r>
      <w:r>
        <w:rPr>
          <w:sz w:val="22"/>
        </w:rPr>
        <w:t>trasladó</w:t>
      </w:r>
      <w:r>
        <w:rPr>
          <w:spacing w:val="-2"/>
          <w:sz w:val="22"/>
        </w:rPr>
        <w:t> </w:t>
      </w:r>
      <w:r>
        <w:rPr>
          <w:sz w:val="22"/>
        </w:rPr>
        <w:t>a</w:t>
      </w:r>
      <w:r>
        <w:rPr>
          <w:spacing w:val="-3"/>
          <w:sz w:val="22"/>
        </w:rPr>
        <w:t> </w:t>
      </w:r>
      <w:r>
        <w:rPr>
          <w:sz w:val="22"/>
        </w:rPr>
        <w:t>2027</w:t>
      </w:r>
      <w:r>
        <w:rPr>
          <w:spacing w:val="-4"/>
          <w:sz w:val="22"/>
        </w:rPr>
        <w:t> </w:t>
      </w:r>
      <w:r>
        <w:rPr>
          <w:sz w:val="22"/>
        </w:rPr>
        <w:t>por</w:t>
      </w:r>
      <w:r>
        <w:rPr>
          <w:spacing w:val="-2"/>
          <w:sz w:val="22"/>
        </w:rPr>
        <w:t> </w:t>
      </w:r>
      <w:r>
        <w:rPr>
          <w:sz w:val="22"/>
        </w:rPr>
        <w:t>la</w:t>
      </w:r>
      <w:r>
        <w:rPr>
          <w:spacing w:val="-3"/>
          <w:sz w:val="22"/>
        </w:rPr>
        <w:t> </w:t>
      </w:r>
      <w:r>
        <w:rPr>
          <w:sz w:val="22"/>
        </w:rPr>
        <w:t>carga</w:t>
      </w:r>
      <w:r>
        <w:rPr>
          <w:spacing w:val="-2"/>
          <w:sz w:val="22"/>
        </w:rPr>
        <w:t> </w:t>
      </w:r>
      <w:r>
        <w:rPr>
          <w:sz w:val="22"/>
        </w:rPr>
        <w:t>acumulada</w:t>
      </w:r>
      <w:r>
        <w:rPr>
          <w:spacing w:val="-3"/>
          <w:sz w:val="22"/>
        </w:rPr>
        <w:t> </w:t>
      </w:r>
      <w:r>
        <w:rPr>
          <w:sz w:val="22"/>
        </w:rPr>
        <w:t>de</w:t>
      </w:r>
      <w:r>
        <w:rPr>
          <w:spacing w:val="-4"/>
          <w:sz w:val="22"/>
        </w:rPr>
        <w:t> </w:t>
      </w:r>
      <w:r>
        <w:rPr>
          <w:sz w:val="22"/>
        </w:rPr>
        <w:t>proyectos</w:t>
      </w:r>
      <w:r>
        <w:rPr>
          <w:spacing w:val="-1"/>
          <w:sz w:val="22"/>
        </w:rPr>
        <w:t> </w:t>
      </w:r>
      <w:r>
        <w:rPr>
          <w:sz w:val="22"/>
        </w:rPr>
        <w:t>previos</w:t>
      </w:r>
      <w:r>
        <w:rPr>
          <w:spacing w:val="-4"/>
          <w:sz w:val="22"/>
        </w:rPr>
        <w:t> </w:t>
      </w:r>
      <w:r>
        <w:rPr>
          <w:sz w:val="22"/>
        </w:rPr>
        <w:t>y</w:t>
      </w:r>
      <w:r>
        <w:rPr>
          <w:spacing w:val="-3"/>
          <w:sz w:val="22"/>
        </w:rPr>
        <w:t> </w:t>
      </w:r>
      <w:r>
        <w:rPr>
          <w:sz w:val="22"/>
        </w:rPr>
        <w:t>la</w:t>
      </w:r>
      <w:r>
        <w:rPr>
          <w:spacing w:val="-4"/>
          <w:sz w:val="22"/>
        </w:rPr>
        <w:t> </w:t>
      </w:r>
      <w:r>
        <w:rPr>
          <w:sz w:val="22"/>
        </w:rPr>
        <w:t>atención de solicitudes de otras dependencias.</w:t>
      </w:r>
    </w:p>
    <w:p>
      <w:pPr>
        <w:pStyle w:val="ListParagraph"/>
        <w:numPr>
          <w:ilvl w:val="1"/>
          <w:numId w:val="88"/>
        </w:numPr>
        <w:tabs>
          <w:tab w:pos="1399" w:val="left" w:leader="none"/>
        </w:tabs>
        <w:spacing w:line="240" w:lineRule="auto" w:before="241" w:after="0"/>
        <w:ind w:left="1399" w:right="0" w:hanging="708"/>
        <w:jc w:val="left"/>
        <w:rPr>
          <w:sz w:val="22"/>
        </w:rPr>
      </w:pPr>
      <w:r>
        <w:rPr>
          <w:sz w:val="22"/>
        </w:rPr>
        <w:t>Posible</w:t>
      </w:r>
      <w:r>
        <w:rPr>
          <w:spacing w:val="-7"/>
          <w:sz w:val="22"/>
        </w:rPr>
        <w:t> </w:t>
      </w:r>
      <w:r>
        <w:rPr>
          <w:sz w:val="22"/>
        </w:rPr>
        <w:t>finalización</w:t>
      </w:r>
      <w:r>
        <w:rPr>
          <w:spacing w:val="-5"/>
          <w:sz w:val="22"/>
        </w:rPr>
        <w:t> </w:t>
      </w:r>
      <w:r>
        <w:rPr>
          <w:sz w:val="22"/>
        </w:rPr>
        <w:t>del</w:t>
      </w:r>
      <w:r>
        <w:rPr>
          <w:spacing w:val="-4"/>
          <w:sz w:val="22"/>
        </w:rPr>
        <w:t> </w:t>
      </w:r>
      <w:r>
        <w:rPr>
          <w:spacing w:val="-2"/>
          <w:sz w:val="22"/>
        </w:rPr>
        <w:t>proyecto.</w:t>
      </w:r>
    </w:p>
    <w:p>
      <w:pPr>
        <w:pStyle w:val="BodyText"/>
        <w:spacing w:before="9"/>
      </w:pPr>
    </w:p>
    <w:p>
      <w:pPr>
        <w:pStyle w:val="BodyText"/>
        <w:spacing w:line="259" w:lineRule="auto" w:before="1"/>
        <w:ind w:left="691" w:right="891"/>
        <w:jc w:val="both"/>
      </w:pPr>
      <w:r>
        <w:rPr/>
        <w:t>La finalización se estima entre abril y diciembre de 2028, siempre que en 2027 se active la etapa de contratación</w:t>
      </w:r>
      <w:r>
        <w:rPr>
          <w:spacing w:val="-9"/>
        </w:rPr>
        <w:t> </w:t>
      </w:r>
      <w:r>
        <w:rPr/>
        <w:t>y</w:t>
      </w:r>
      <w:r>
        <w:rPr>
          <w:spacing w:val="-11"/>
        </w:rPr>
        <w:t> </w:t>
      </w:r>
      <w:r>
        <w:rPr/>
        <w:t>se</w:t>
      </w:r>
      <w:r>
        <w:rPr>
          <w:spacing w:val="-11"/>
        </w:rPr>
        <w:t> </w:t>
      </w:r>
      <w:r>
        <w:rPr/>
        <w:t>mantenga</w:t>
      </w:r>
      <w:r>
        <w:rPr>
          <w:spacing w:val="-10"/>
        </w:rPr>
        <w:t> </w:t>
      </w:r>
      <w:r>
        <w:rPr/>
        <w:t>la</w:t>
      </w:r>
      <w:r>
        <w:rPr>
          <w:spacing w:val="-10"/>
        </w:rPr>
        <w:t> </w:t>
      </w:r>
      <w:r>
        <w:rPr/>
        <w:t>disponibilidad</w:t>
      </w:r>
      <w:r>
        <w:rPr>
          <w:spacing w:val="-10"/>
        </w:rPr>
        <w:t> </w:t>
      </w:r>
      <w:r>
        <w:rPr/>
        <w:t>presupuestaria.</w:t>
      </w:r>
      <w:r>
        <w:rPr>
          <w:spacing w:val="-11"/>
        </w:rPr>
        <w:t> </w:t>
      </w:r>
      <w:r>
        <w:rPr/>
        <w:t>La</w:t>
      </w:r>
      <w:r>
        <w:rPr>
          <w:spacing w:val="-10"/>
        </w:rPr>
        <w:t> </w:t>
      </w:r>
      <w:r>
        <w:rPr/>
        <w:t>prioridad</w:t>
      </w:r>
      <w:r>
        <w:rPr>
          <w:spacing w:val="-10"/>
        </w:rPr>
        <w:t> </w:t>
      </w:r>
      <w:r>
        <w:rPr/>
        <w:t>institucional</w:t>
      </w:r>
      <w:r>
        <w:rPr>
          <w:spacing w:val="-11"/>
        </w:rPr>
        <w:t> </w:t>
      </w:r>
      <w:r>
        <w:rPr/>
        <w:t>vigente</w:t>
      </w:r>
      <w:r>
        <w:rPr>
          <w:spacing w:val="-10"/>
        </w:rPr>
        <w:t> </w:t>
      </w:r>
      <w:r>
        <w:rPr/>
        <w:t>continúa enfocada en el sistema de supresión de incendios del Edificio Central.</w:t>
      </w:r>
    </w:p>
    <w:p>
      <w:pPr>
        <w:pStyle w:val="Heading6"/>
        <w:numPr>
          <w:ilvl w:val="0"/>
          <w:numId w:val="88"/>
        </w:numPr>
        <w:tabs>
          <w:tab w:pos="958" w:val="left" w:leader="none"/>
        </w:tabs>
        <w:spacing w:line="240" w:lineRule="auto" w:before="238" w:after="0"/>
        <w:ind w:left="958" w:right="0" w:hanging="267"/>
        <w:jc w:val="left"/>
      </w:pPr>
      <w:r>
        <w:rPr/>
        <w:t>“Proyecto</w:t>
      </w:r>
      <w:r>
        <w:rPr>
          <w:spacing w:val="-6"/>
        </w:rPr>
        <w:t> </w:t>
      </w:r>
      <w:r>
        <w:rPr/>
        <w:t>para</w:t>
      </w:r>
      <w:r>
        <w:rPr>
          <w:spacing w:val="-5"/>
        </w:rPr>
        <w:t> </w:t>
      </w:r>
      <w:r>
        <w:rPr/>
        <w:t>la</w:t>
      </w:r>
      <w:r>
        <w:rPr>
          <w:spacing w:val="-5"/>
        </w:rPr>
        <w:t> </w:t>
      </w:r>
      <w:r>
        <w:rPr/>
        <w:t>construcción</w:t>
      </w:r>
      <w:r>
        <w:rPr>
          <w:spacing w:val="-4"/>
        </w:rPr>
        <w:t> </w:t>
      </w:r>
      <w:r>
        <w:rPr/>
        <w:t>de</w:t>
      </w:r>
      <w:r>
        <w:rPr>
          <w:spacing w:val="-3"/>
        </w:rPr>
        <w:t> </w:t>
      </w:r>
      <w:r>
        <w:rPr/>
        <w:t>Bodegas</w:t>
      </w:r>
      <w:r>
        <w:rPr>
          <w:spacing w:val="-3"/>
        </w:rPr>
        <w:t> </w:t>
      </w:r>
      <w:r>
        <w:rPr/>
        <w:t>IMAS</w:t>
      </w:r>
      <w:r>
        <w:rPr>
          <w:spacing w:val="-3"/>
        </w:rPr>
        <w:t> </w:t>
      </w:r>
      <w:r>
        <w:rPr/>
        <w:t>para</w:t>
      </w:r>
      <w:r>
        <w:rPr>
          <w:spacing w:val="-5"/>
        </w:rPr>
        <w:t> </w:t>
      </w:r>
      <w:r>
        <w:rPr/>
        <w:t>Donaciones</w:t>
      </w:r>
      <w:r>
        <w:rPr>
          <w:spacing w:val="-3"/>
        </w:rPr>
        <w:t> </w:t>
      </w:r>
      <w:r>
        <w:rPr/>
        <w:t>y</w:t>
      </w:r>
      <w:r>
        <w:rPr>
          <w:spacing w:val="-5"/>
        </w:rPr>
        <w:t> </w:t>
      </w:r>
      <w:r>
        <w:rPr/>
        <w:t>Proveeduría</w:t>
      </w:r>
      <w:r>
        <w:rPr>
          <w:spacing w:val="-4"/>
        </w:rPr>
        <w:t> </w:t>
      </w:r>
      <w:r>
        <w:rPr/>
        <w:t>en</w:t>
      </w:r>
      <w:r>
        <w:rPr>
          <w:spacing w:val="-4"/>
        </w:rPr>
        <w:t> </w:t>
      </w:r>
      <w:r>
        <w:rPr/>
        <w:t>Cristo</w:t>
      </w:r>
      <w:r>
        <w:rPr>
          <w:spacing w:val="-5"/>
        </w:rPr>
        <w:t> </w:t>
      </w:r>
      <w:r>
        <w:rPr>
          <w:spacing w:val="-2"/>
        </w:rPr>
        <w:t>Rey”.</w:t>
      </w:r>
    </w:p>
    <w:p>
      <w:pPr>
        <w:pStyle w:val="BodyText"/>
        <w:spacing w:before="9"/>
        <w:rPr>
          <w:b/>
        </w:rPr>
      </w:pPr>
    </w:p>
    <w:p>
      <w:pPr>
        <w:pStyle w:val="ListParagraph"/>
        <w:numPr>
          <w:ilvl w:val="1"/>
          <w:numId w:val="88"/>
        </w:numPr>
        <w:tabs>
          <w:tab w:pos="1399" w:val="left" w:leader="none"/>
        </w:tabs>
        <w:spacing w:line="240" w:lineRule="auto" w:before="0" w:after="0"/>
        <w:ind w:left="1399" w:right="0" w:hanging="708"/>
        <w:jc w:val="left"/>
        <w:rPr>
          <w:sz w:val="22"/>
        </w:rPr>
      </w:pPr>
      <w:r>
        <w:rPr>
          <w:sz w:val="22"/>
        </w:rPr>
        <w:t>Actividades</w:t>
      </w:r>
      <w:r>
        <w:rPr>
          <w:spacing w:val="-4"/>
          <w:sz w:val="22"/>
        </w:rPr>
        <w:t> </w:t>
      </w:r>
      <w:r>
        <w:rPr>
          <w:sz w:val="22"/>
        </w:rPr>
        <w:t>realizadas</w:t>
      </w:r>
      <w:r>
        <w:rPr>
          <w:spacing w:val="-3"/>
          <w:sz w:val="22"/>
        </w:rPr>
        <w:t> </w:t>
      </w:r>
      <w:r>
        <w:rPr>
          <w:sz w:val="22"/>
        </w:rPr>
        <w:t>en</w:t>
      </w:r>
      <w:r>
        <w:rPr>
          <w:spacing w:val="-4"/>
          <w:sz w:val="22"/>
        </w:rPr>
        <w:t> </w:t>
      </w:r>
      <w:r>
        <w:rPr>
          <w:sz w:val="22"/>
        </w:rPr>
        <w:t>2°</w:t>
      </w:r>
      <w:r>
        <w:rPr>
          <w:spacing w:val="-5"/>
          <w:sz w:val="22"/>
        </w:rPr>
        <w:t> </w:t>
      </w:r>
      <w:r>
        <w:rPr>
          <w:sz w:val="22"/>
        </w:rPr>
        <w:t>trimestre</w:t>
      </w:r>
      <w:r>
        <w:rPr>
          <w:spacing w:val="-5"/>
          <w:sz w:val="22"/>
        </w:rPr>
        <w:t> </w:t>
      </w:r>
      <w:r>
        <w:rPr>
          <w:sz w:val="22"/>
        </w:rPr>
        <w:t>del</w:t>
      </w:r>
      <w:r>
        <w:rPr>
          <w:spacing w:val="-4"/>
          <w:sz w:val="22"/>
        </w:rPr>
        <w:t> 2026.</w:t>
      </w:r>
    </w:p>
    <w:p>
      <w:pPr>
        <w:pStyle w:val="BodyText"/>
        <w:spacing w:before="9"/>
      </w:pPr>
    </w:p>
    <w:p>
      <w:pPr>
        <w:pStyle w:val="ListParagraph"/>
        <w:numPr>
          <w:ilvl w:val="2"/>
          <w:numId w:val="88"/>
        </w:numPr>
        <w:tabs>
          <w:tab w:pos="1398" w:val="left" w:leader="none"/>
        </w:tabs>
        <w:spacing w:line="259" w:lineRule="auto" w:before="0" w:after="0"/>
        <w:ind w:left="691" w:right="890" w:firstLine="0"/>
        <w:jc w:val="both"/>
        <w:rPr>
          <w:sz w:val="22"/>
        </w:rPr>
      </w:pPr>
      <w:r>
        <w:rPr>
          <w:sz w:val="22"/>
        </w:rPr>
        <w:t>No se realizan actividades para este proyecto que continúa detenido. Se está a la espera de solicitud de apoyo para la continuación del proyecto según instruyan las instancias institucionales </w:t>
      </w:r>
      <w:r>
        <w:rPr>
          <w:spacing w:val="-2"/>
          <w:sz w:val="22"/>
        </w:rPr>
        <w:t>respectivas.</w:t>
      </w:r>
    </w:p>
    <w:p>
      <w:pPr>
        <w:pStyle w:val="ListParagraph"/>
        <w:numPr>
          <w:ilvl w:val="1"/>
          <w:numId w:val="88"/>
        </w:numPr>
        <w:tabs>
          <w:tab w:pos="1399" w:val="left" w:leader="none"/>
        </w:tabs>
        <w:spacing w:line="240" w:lineRule="auto" w:before="239" w:after="0"/>
        <w:ind w:left="1399" w:right="0" w:hanging="708"/>
        <w:jc w:val="left"/>
        <w:rPr>
          <w:sz w:val="22"/>
        </w:rPr>
      </w:pPr>
      <w:r>
        <w:rPr>
          <w:spacing w:val="-2"/>
          <w:sz w:val="22"/>
        </w:rPr>
        <w:t>Limitaciones.</w:t>
      </w:r>
    </w:p>
    <w:p>
      <w:pPr>
        <w:pStyle w:val="BodyText"/>
        <w:spacing w:before="9"/>
      </w:pPr>
    </w:p>
    <w:p>
      <w:pPr>
        <w:pStyle w:val="BodyText"/>
        <w:spacing w:line="259" w:lineRule="auto"/>
        <w:ind w:left="691" w:right="885"/>
        <w:jc w:val="both"/>
      </w:pPr>
      <w:r>
        <w:rPr/>
        <w:t>a.</w:t>
      </w:r>
      <w:r>
        <w:rPr>
          <w:spacing w:val="80"/>
        </w:rPr>
        <w:t>   </w:t>
      </w:r>
      <w:r>
        <w:rPr/>
        <w:t>El</w:t>
      </w:r>
      <w:r>
        <w:rPr>
          <w:spacing w:val="-4"/>
        </w:rPr>
        <w:t> </w:t>
      </w:r>
      <w:r>
        <w:rPr/>
        <w:t>hecho</w:t>
      </w:r>
      <w:r>
        <w:rPr>
          <w:spacing w:val="-3"/>
        </w:rPr>
        <w:t> </w:t>
      </w:r>
      <w:r>
        <w:rPr/>
        <w:t>de</w:t>
      </w:r>
      <w:r>
        <w:rPr>
          <w:spacing w:val="-5"/>
        </w:rPr>
        <w:t> </w:t>
      </w:r>
      <w:r>
        <w:rPr/>
        <w:t>que</w:t>
      </w:r>
      <w:r>
        <w:rPr>
          <w:spacing w:val="-5"/>
        </w:rPr>
        <w:t> </w:t>
      </w:r>
      <w:r>
        <w:rPr/>
        <w:t>este</w:t>
      </w:r>
      <w:r>
        <w:rPr>
          <w:spacing w:val="-4"/>
        </w:rPr>
        <w:t> </w:t>
      </w:r>
      <w:r>
        <w:rPr/>
        <w:t>proyecto</w:t>
      </w:r>
      <w:r>
        <w:rPr>
          <w:spacing w:val="-3"/>
        </w:rPr>
        <w:t> </w:t>
      </w:r>
      <w:r>
        <w:rPr/>
        <w:t>no</w:t>
      </w:r>
      <w:r>
        <w:rPr>
          <w:spacing w:val="-3"/>
        </w:rPr>
        <w:t> </w:t>
      </w:r>
      <w:r>
        <w:rPr/>
        <w:t>esté</w:t>
      </w:r>
      <w:r>
        <w:rPr>
          <w:spacing w:val="-4"/>
        </w:rPr>
        <w:t> </w:t>
      </w:r>
      <w:r>
        <w:rPr/>
        <w:t>en</w:t>
      </w:r>
      <w:r>
        <w:rPr>
          <w:spacing w:val="-3"/>
        </w:rPr>
        <w:t> </w:t>
      </w:r>
      <w:r>
        <w:rPr/>
        <w:t>las</w:t>
      </w:r>
      <w:r>
        <w:rPr>
          <w:spacing w:val="-5"/>
        </w:rPr>
        <w:t> </w:t>
      </w:r>
      <w:r>
        <w:rPr/>
        <w:t>prioridades</w:t>
      </w:r>
      <w:r>
        <w:rPr>
          <w:spacing w:val="-5"/>
        </w:rPr>
        <w:t> </w:t>
      </w:r>
      <w:r>
        <w:rPr/>
        <w:t>de</w:t>
      </w:r>
      <w:r>
        <w:rPr>
          <w:spacing w:val="-5"/>
        </w:rPr>
        <w:t> </w:t>
      </w:r>
      <w:r>
        <w:rPr/>
        <w:t>construcción</w:t>
      </w:r>
      <w:r>
        <w:rPr>
          <w:spacing w:val="-3"/>
        </w:rPr>
        <w:t> </w:t>
      </w:r>
      <w:r>
        <w:rPr/>
        <w:t>de</w:t>
      </w:r>
      <w:r>
        <w:rPr>
          <w:spacing w:val="-5"/>
        </w:rPr>
        <w:t> </w:t>
      </w:r>
      <w:r>
        <w:rPr/>
        <w:t>la</w:t>
      </w:r>
      <w:r>
        <w:rPr>
          <w:spacing w:val="-5"/>
        </w:rPr>
        <w:t> </w:t>
      </w:r>
      <w:r>
        <w:rPr/>
        <w:t>institución</w:t>
      </w:r>
      <w:r>
        <w:rPr>
          <w:spacing w:val="-3"/>
        </w:rPr>
        <w:t> </w:t>
      </w:r>
      <w:r>
        <w:rPr/>
        <w:t>hará que su finalización tenga una fecha indefinida por el momento.</w:t>
      </w:r>
    </w:p>
    <w:p>
      <w:pPr>
        <w:pStyle w:val="ListParagraph"/>
        <w:numPr>
          <w:ilvl w:val="1"/>
          <w:numId w:val="88"/>
        </w:numPr>
        <w:tabs>
          <w:tab w:pos="1399" w:val="left" w:leader="none"/>
        </w:tabs>
        <w:spacing w:line="240" w:lineRule="auto" w:before="241" w:after="0"/>
        <w:ind w:left="1399" w:right="0" w:hanging="708"/>
        <w:jc w:val="left"/>
        <w:rPr>
          <w:sz w:val="22"/>
        </w:rPr>
      </w:pPr>
      <w:r>
        <w:rPr>
          <w:sz w:val="22"/>
        </w:rPr>
        <w:t>Posible</w:t>
      </w:r>
      <w:r>
        <w:rPr>
          <w:spacing w:val="-7"/>
          <w:sz w:val="22"/>
        </w:rPr>
        <w:t> </w:t>
      </w:r>
      <w:r>
        <w:rPr>
          <w:sz w:val="22"/>
        </w:rPr>
        <w:t>finalización</w:t>
      </w:r>
      <w:r>
        <w:rPr>
          <w:spacing w:val="-5"/>
          <w:sz w:val="22"/>
        </w:rPr>
        <w:t> </w:t>
      </w:r>
      <w:r>
        <w:rPr>
          <w:sz w:val="22"/>
        </w:rPr>
        <w:t>del</w:t>
      </w:r>
      <w:r>
        <w:rPr>
          <w:spacing w:val="-4"/>
          <w:sz w:val="22"/>
        </w:rPr>
        <w:t> </w:t>
      </w:r>
      <w:r>
        <w:rPr>
          <w:spacing w:val="-2"/>
          <w:sz w:val="22"/>
        </w:rPr>
        <w:t>proyecto.</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7216">
                <wp:simplePos x="0" y="0"/>
                <wp:positionH relativeFrom="page">
                  <wp:posOffset>9525</wp:posOffset>
                </wp:positionH>
                <wp:positionV relativeFrom="page">
                  <wp:posOffset>297208</wp:posOffset>
                </wp:positionV>
                <wp:extent cx="7762875" cy="9748520"/>
                <wp:effectExtent l="0" t="0" r="0" b="0"/>
                <wp:wrapNone/>
                <wp:docPr id="1062" name="Group 1062"/>
                <wp:cNvGraphicFramePr>
                  <a:graphicFrameLocks/>
                </wp:cNvGraphicFramePr>
                <a:graphic>
                  <a:graphicData uri="http://schemas.microsoft.com/office/word/2010/wordprocessingGroup">
                    <wpg:wgp>
                      <wpg:cNvPr id="1062" name="Group 1062"/>
                      <wpg:cNvGrpSpPr/>
                      <wpg:grpSpPr>
                        <a:xfrm>
                          <a:off x="0" y="0"/>
                          <a:ext cx="7762875" cy="9748520"/>
                          <a:chExt cx="7762875" cy="9748520"/>
                        </a:xfrm>
                      </wpg:grpSpPr>
                      <pic:pic>
                        <pic:nvPicPr>
                          <pic:cNvPr id="1063" name="Image 1063"/>
                          <pic:cNvPicPr/>
                        </pic:nvPicPr>
                        <pic:blipFill>
                          <a:blip r:embed="rId5" cstate="print"/>
                          <a:stretch>
                            <a:fillRect/>
                          </a:stretch>
                        </pic:blipFill>
                        <pic:spPr>
                          <a:xfrm>
                            <a:off x="0" y="0"/>
                            <a:ext cx="7762874" cy="9748489"/>
                          </a:xfrm>
                          <a:prstGeom prst="rect">
                            <a:avLst/>
                          </a:prstGeom>
                        </pic:spPr>
                      </pic:pic>
                      <wps:wsp>
                        <wps:cNvPr id="1064" name="Graphic 1064"/>
                        <wps:cNvSpPr/>
                        <wps:spPr>
                          <a:xfrm>
                            <a:off x="1053007" y="990837"/>
                            <a:ext cx="5736590" cy="7813040"/>
                          </a:xfrm>
                          <a:custGeom>
                            <a:avLst/>
                            <a:gdLst/>
                            <a:ahLst/>
                            <a:cxnLst/>
                            <a:rect l="l" t="t" r="r" b="b"/>
                            <a:pathLst>
                              <a:path w="5736590" h="7813040">
                                <a:moveTo>
                                  <a:pt x="5649214" y="0"/>
                                </a:moveTo>
                                <a:lnTo>
                                  <a:pt x="0" y="0"/>
                                </a:lnTo>
                                <a:lnTo>
                                  <a:pt x="0" y="9131"/>
                                </a:lnTo>
                                <a:lnTo>
                                  <a:pt x="5649214" y="9131"/>
                                </a:lnTo>
                                <a:lnTo>
                                  <a:pt x="5649214" y="0"/>
                                </a:lnTo>
                                <a:close/>
                              </a:path>
                              <a:path w="5736590" h="7813040">
                                <a:moveTo>
                                  <a:pt x="5736018" y="132651"/>
                                </a:moveTo>
                                <a:lnTo>
                                  <a:pt x="5729935" y="132651"/>
                                </a:lnTo>
                                <a:lnTo>
                                  <a:pt x="5729935" y="7806880"/>
                                </a:lnTo>
                                <a:lnTo>
                                  <a:pt x="21336" y="7806880"/>
                                </a:lnTo>
                                <a:lnTo>
                                  <a:pt x="21336" y="132651"/>
                                </a:lnTo>
                                <a:lnTo>
                                  <a:pt x="15240" y="132651"/>
                                </a:lnTo>
                                <a:lnTo>
                                  <a:pt x="15240" y="7806880"/>
                                </a:lnTo>
                                <a:lnTo>
                                  <a:pt x="15240" y="7812976"/>
                                </a:lnTo>
                                <a:lnTo>
                                  <a:pt x="21336" y="7812976"/>
                                </a:lnTo>
                                <a:lnTo>
                                  <a:pt x="5729935" y="7812976"/>
                                </a:lnTo>
                                <a:lnTo>
                                  <a:pt x="5736018" y="7812976"/>
                                </a:lnTo>
                                <a:lnTo>
                                  <a:pt x="5736018" y="7806880"/>
                                </a:lnTo>
                                <a:lnTo>
                                  <a:pt x="5736018" y="132651"/>
                                </a:lnTo>
                                <a:close/>
                              </a:path>
                              <a:path w="5736590" h="781304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9264" id="docshapegroup1009" coordorigin="15,468" coordsize="12225,15352">
                <v:shape style="position:absolute;left:15;top:468;width:12225;height:15352" type="#_x0000_t75" id="docshape1010" stroked="false">
                  <v:imagedata r:id="rId5" o:title=""/>
                </v:shape>
                <v:shape style="position:absolute;left:1673;top:2028;width:9034;height:12304" id="docshape1011" coordorigin="1673,2028" coordsize="9034,12304" path="m10570,2028l1673,2028,1673,2043,10570,2043,10570,2028xm10706,2237l10697,2237,10697,14323,1707,14323,1707,2237,1697,2237,1697,14323,1697,14332,1707,14332,10697,14332,10697,14332,10706,14332,10706,14323,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204</w:t>
      </w:r>
    </w:p>
    <w:p>
      <w:pPr>
        <w:pStyle w:val="BodyText"/>
        <w:spacing w:before="55"/>
      </w:pPr>
    </w:p>
    <w:p>
      <w:pPr>
        <w:pStyle w:val="BodyText"/>
        <w:spacing w:line="259" w:lineRule="auto" w:before="1"/>
        <w:ind w:left="691" w:right="887"/>
        <w:jc w:val="both"/>
      </w:pPr>
      <w:r>
        <w:rPr/>
        <w:t>El proyecto no cuenta con fecha definida de finalización, ya que no forma parte de las prioridades actuales de construcción institucional. Si se incorpora a la programación después de 2027, su cierre podría</w:t>
      </w:r>
      <w:r>
        <w:rPr>
          <w:spacing w:val="-8"/>
        </w:rPr>
        <w:t> </w:t>
      </w:r>
      <w:r>
        <w:rPr/>
        <w:t>estimarse</w:t>
      </w:r>
      <w:r>
        <w:rPr>
          <w:spacing w:val="-8"/>
        </w:rPr>
        <w:t> </w:t>
      </w:r>
      <w:r>
        <w:rPr/>
        <w:t>para</w:t>
      </w:r>
      <w:r>
        <w:rPr>
          <w:spacing w:val="-8"/>
        </w:rPr>
        <w:t> </w:t>
      </w:r>
      <w:r>
        <w:rPr/>
        <w:t>2030,</w:t>
      </w:r>
      <w:r>
        <w:rPr>
          <w:spacing w:val="-7"/>
        </w:rPr>
        <w:t> </w:t>
      </w:r>
      <w:r>
        <w:rPr/>
        <w:t>sujeto</w:t>
      </w:r>
      <w:r>
        <w:rPr>
          <w:spacing w:val="-6"/>
        </w:rPr>
        <w:t> </w:t>
      </w:r>
      <w:r>
        <w:rPr/>
        <w:t>a</w:t>
      </w:r>
      <w:r>
        <w:rPr>
          <w:spacing w:val="-8"/>
        </w:rPr>
        <w:t> </w:t>
      </w:r>
      <w:r>
        <w:rPr/>
        <w:t>la</w:t>
      </w:r>
      <w:r>
        <w:rPr>
          <w:spacing w:val="-8"/>
        </w:rPr>
        <w:t> </w:t>
      </w:r>
      <w:r>
        <w:rPr/>
        <w:t>cartera</w:t>
      </w:r>
      <w:r>
        <w:rPr>
          <w:spacing w:val="-8"/>
        </w:rPr>
        <w:t> </w:t>
      </w:r>
      <w:r>
        <w:rPr/>
        <w:t>de</w:t>
      </w:r>
      <w:r>
        <w:rPr>
          <w:spacing w:val="-9"/>
        </w:rPr>
        <w:t> </w:t>
      </w:r>
      <w:r>
        <w:rPr/>
        <w:t>proyectos,</w:t>
      </w:r>
      <w:r>
        <w:rPr>
          <w:spacing w:val="-7"/>
        </w:rPr>
        <w:t> </w:t>
      </w:r>
      <w:r>
        <w:rPr/>
        <w:t>la</w:t>
      </w:r>
      <w:r>
        <w:rPr>
          <w:spacing w:val="-8"/>
        </w:rPr>
        <w:t> </w:t>
      </w:r>
      <w:r>
        <w:rPr/>
        <w:t>inscripción</w:t>
      </w:r>
      <w:r>
        <w:rPr>
          <w:spacing w:val="-7"/>
        </w:rPr>
        <w:t> </w:t>
      </w:r>
      <w:r>
        <w:rPr/>
        <w:t>requerida</w:t>
      </w:r>
      <w:r>
        <w:rPr>
          <w:spacing w:val="-11"/>
        </w:rPr>
        <w:t> </w:t>
      </w:r>
      <w:r>
        <w:rPr/>
        <w:t>y</w:t>
      </w:r>
      <w:r>
        <w:rPr>
          <w:spacing w:val="-8"/>
        </w:rPr>
        <w:t> </w:t>
      </w:r>
      <w:r>
        <w:rPr/>
        <w:t>la</w:t>
      </w:r>
      <w:r>
        <w:rPr>
          <w:spacing w:val="-8"/>
        </w:rPr>
        <w:t> </w:t>
      </w:r>
      <w:r>
        <w:rPr/>
        <w:t>disponibilidad </w:t>
      </w:r>
      <w:r>
        <w:rPr>
          <w:spacing w:val="-2"/>
        </w:rPr>
        <w:t>presupuestaria.</w:t>
      </w:r>
    </w:p>
    <w:p>
      <w:pPr>
        <w:pStyle w:val="Heading6"/>
        <w:numPr>
          <w:ilvl w:val="0"/>
          <w:numId w:val="88"/>
        </w:numPr>
        <w:tabs>
          <w:tab w:pos="980" w:val="left" w:leader="none"/>
        </w:tabs>
        <w:spacing w:line="240" w:lineRule="auto" w:before="159" w:after="0"/>
        <w:ind w:left="980" w:right="0" w:hanging="289"/>
        <w:jc w:val="left"/>
      </w:pPr>
      <w:r>
        <w:rPr/>
        <w:t>“Construcción</w:t>
      </w:r>
      <w:r>
        <w:rPr>
          <w:spacing w:val="-5"/>
        </w:rPr>
        <w:t> </w:t>
      </w:r>
      <w:r>
        <w:rPr/>
        <w:t>de</w:t>
      </w:r>
      <w:r>
        <w:rPr>
          <w:spacing w:val="-2"/>
        </w:rPr>
        <w:t> </w:t>
      </w:r>
      <w:r>
        <w:rPr/>
        <w:t>un</w:t>
      </w:r>
      <w:r>
        <w:rPr>
          <w:spacing w:val="-6"/>
        </w:rPr>
        <w:t> </w:t>
      </w:r>
      <w:r>
        <w:rPr/>
        <w:t>sistema</w:t>
      </w:r>
      <w:r>
        <w:rPr>
          <w:spacing w:val="-4"/>
        </w:rPr>
        <w:t> </w:t>
      </w:r>
      <w:r>
        <w:rPr/>
        <w:t>de</w:t>
      </w:r>
      <w:r>
        <w:rPr>
          <w:spacing w:val="-2"/>
        </w:rPr>
        <w:t> </w:t>
      </w:r>
      <w:r>
        <w:rPr/>
        <w:t>supresión</w:t>
      </w:r>
      <w:r>
        <w:rPr>
          <w:spacing w:val="-2"/>
        </w:rPr>
        <w:t> </w:t>
      </w:r>
      <w:r>
        <w:rPr/>
        <w:t>de</w:t>
      </w:r>
      <w:r>
        <w:rPr>
          <w:spacing w:val="-2"/>
        </w:rPr>
        <w:t> </w:t>
      </w:r>
      <w:r>
        <w:rPr/>
        <w:t>incendios</w:t>
      </w:r>
      <w:r>
        <w:rPr>
          <w:spacing w:val="-2"/>
        </w:rPr>
        <w:t> </w:t>
      </w:r>
      <w:r>
        <w:rPr/>
        <w:t>para</w:t>
      </w:r>
      <w:r>
        <w:rPr>
          <w:spacing w:val="-4"/>
        </w:rPr>
        <w:t> </w:t>
      </w:r>
      <w:r>
        <w:rPr/>
        <w:t>el</w:t>
      </w:r>
      <w:r>
        <w:rPr>
          <w:spacing w:val="-3"/>
        </w:rPr>
        <w:t> </w:t>
      </w:r>
      <w:r>
        <w:rPr/>
        <w:t>Edificio</w:t>
      </w:r>
      <w:r>
        <w:rPr>
          <w:spacing w:val="-3"/>
        </w:rPr>
        <w:t> </w:t>
      </w:r>
      <w:r>
        <w:rPr/>
        <w:t>Central</w:t>
      </w:r>
      <w:r>
        <w:rPr>
          <w:spacing w:val="-3"/>
        </w:rPr>
        <w:t> </w:t>
      </w:r>
      <w:r>
        <w:rPr>
          <w:spacing w:val="-2"/>
        </w:rPr>
        <w:t>IMAS”.</w:t>
      </w:r>
    </w:p>
    <w:p>
      <w:pPr>
        <w:spacing w:before="250"/>
        <w:ind w:left="1757" w:right="0" w:firstLine="0"/>
        <w:jc w:val="left"/>
        <w:rPr>
          <w:sz w:val="22"/>
        </w:rPr>
      </w:pPr>
      <w:r>
        <w:rPr>
          <w:spacing w:val="-10"/>
          <w:sz w:val="22"/>
        </w:rPr>
        <w:t>.</w:t>
      </w:r>
    </w:p>
    <w:p>
      <w:pPr>
        <w:pStyle w:val="ListParagraph"/>
        <w:numPr>
          <w:ilvl w:val="1"/>
          <w:numId w:val="88"/>
        </w:numPr>
        <w:tabs>
          <w:tab w:pos="1410" w:val="left" w:leader="none"/>
        </w:tabs>
        <w:spacing w:line="240" w:lineRule="auto" w:before="1" w:after="0"/>
        <w:ind w:left="1410" w:right="0" w:hanging="359"/>
        <w:jc w:val="left"/>
        <w:rPr>
          <w:sz w:val="22"/>
        </w:rPr>
      </w:pPr>
      <w:r>
        <w:rPr>
          <w:sz w:val="22"/>
        </w:rPr>
        <w:t>Actividades</w:t>
      </w:r>
      <w:r>
        <w:rPr>
          <w:spacing w:val="-4"/>
          <w:sz w:val="22"/>
        </w:rPr>
        <w:t> </w:t>
      </w:r>
      <w:r>
        <w:rPr>
          <w:sz w:val="22"/>
        </w:rPr>
        <w:t>realizadas</w:t>
      </w:r>
      <w:r>
        <w:rPr>
          <w:spacing w:val="-3"/>
          <w:sz w:val="22"/>
        </w:rPr>
        <w:t> </w:t>
      </w:r>
      <w:r>
        <w:rPr>
          <w:sz w:val="22"/>
        </w:rPr>
        <w:t>en</w:t>
      </w:r>
      <w:r>
        <w:rPr>
          <w:spacing w:val="-4"/>
          <w:sz w:val="22"/>
        </w:rPr>
        <w:t> </w:t>
      </w:r>
      <w:r>
        <w:rPr>
          <w:sz w:val="22"/>
        </w:rPr>
        <w:t>2°</w:t>
      </w:r>
      <w:r>
        <w:rPr>
          <w:spacing w:val="-5"/>
          <w:sz w:val="22"/>
        </w:rPr>
        <w:t> </w:t>
      </w:r>
      <w:r>
        <w:rPr>
          <w:sz w:val="22"/>
        </w:rPr>
        <w:t>trimestre</w:t>
      </w:r>
      <w:r>
        <w:rPr>
          <w:spacing w:val="-5"/>
          <w:sz w:val="22"/>
        </w:rPr>
        <w:t> </w:t>
      </w:r>
      <w:r>
        <w:rPr>
          <w:sz w:val="22"/>
        </w:rPr>
        <w:t>del</w:t>
      </w:r>
      <w:r>
        <w:rPr>
          <w:spacing w:val="-4"/>
          <w:sz w:val="22"/>
        </w:rPr>
        <w:t> 2026</w:t>
      </w:r>
    </w:p>
    <w:p>
      <w:pPr>
        <w:pStyle w:val="ListParagraph"/>
        <w:numPr>
          <w:ilvl w:val="0"/>
          <w:numId w:val="89"/>
        </w:numPr>
        <w:tabs>
          <w:tab w:pos="1411" w:val="left" w:leader="none"/>
        </w:tabs>
        <w:spacing w:line="273" w:lineRule="auto" w:before="179" w:after="0"/>
        <w:ind w:left="1411" w:right="883" w:hanging="360"/>
        <w:jc w:val="both"/>
        <w:rPr>
          <w:sz w:val="22"/>
        </w:rPr>
      </w:pPr>
      <w:r>
        <w:rPr>
          <w:sz w:val="22"/>
        </w:rPr>
        <w:t>Se</w:t>
      </w:r>
      <w:r>
        <w:rPr>
          <w:spacing w:val="-6"/>
          <w:sz w:val="22"/>
        </w:rPr>
        <w:t> </w:t>
      </w:r>
      <w:r>
        <w:rPr>
          <w:sz w:val="22"/>
        </w:rPr>
        <w:t>continuó</w:t>
      </w:r>
      <w:r>
        <w:rPr>
          <w:spacing w:val="-7"/>
          <w:sz w:val="22"/>
        </w:rPr>
        <w:t> </w:t>
      </w:r>
      <w:r>
        <w:rPr>
          <w:sz w:val="22"/>
        </w:rPr>
        <w:t>con</w:t>
      </w:r>
      <w:r>
        <w:rPr>
          <w:spacing w:val="-7"/>
          <w:sz w:val="22"/>
        </w:rPr>
        <w:t> </w:t>
      </w:r>
      <w:r>
        <w:rPr>
          <w:sz w:val="22"/>
        </w:rPr>
        <w:t>la</w:t>
      </w:r>
      <w:r>
        <w:rPr>
          <w:spacing w:val="-6"/>
          <w:sz w:val="22"/>
        </w:rPr>
        <w:t> </w:t>
      </w:r>
      <w:r>
        <w:rPr>
          <w:sz w:val="22"/>
        </w:rPr>
        <w:t>ejecución</w:t>
      </w:r>
      <w:r>
        <w:rPr>
          <w:spacing w:val="-4"/>
          <w:sz w:val="22"/>
        </w:rPr>
        <w:t> </w:t>
      </w:r>
      <w:r>
        <w:rPr>
          <w:sz w:val="22"/>
        </w:rPr>
        <w:t>de</w:t>
      </w:r>
      <w:r>
        <w:rPr>
          <w:spacing w:val="-6"/>
          <w:sz w:val="22"/>
        </w:rPr>
        <w:t> </w:t>
      </w:r>
      <w:r>
        <w:rPr>
          <w:sz w:val="22"/>
        </w:rPr>
        <w:t>las</w:t>
      </w:r>
      <w:r>
        <w:rPr>
          <w:spacing w:val="-6"/>
          <w:sz w:val="22"/>
        </w:rPr>
        <w:t> </w:t>
      </w:r>
      <w:r>
        <w:rPr>
          <w:sz w:val="22"/>
        </w:rPr>
        <w:t>obras</w:t>
      </w:r>
      <w:r>
        <w:rPr>
          <w:spacing w:val="-6"/>
          <w:sz w:val="22"/>
        </w:rPr>
        <w:t> </w:t>
      </w:r>
      <w:r>
        <w:rPr>
          <w:sz w:val="22"/>
        </w:rPr>
        <w:t>constructivas</w:t>
      </w:r>
      <w:r>
        <w:rPr>
          <w:spacing w:val="-6"/>
          <w:sz w:val="22"/>
        </w:rPr>
        <w:t> </w:t>
      </w:r>
      <w:r>
        <w:rPr>
          <w:sz w:val="22"/>
        </w:rPr>
        <w:t>y</w:t>
      </w:r>
      <w:r>
        <w:rPr>
          <w:spacing w:val="-6"/>
          <w:sz w:val="22"/>
        </w:rPr>
        <w:t> </w:t>
      </w:r>
      <w:r>
        <w:rPr>
          <w:sz w:val="22"/>
        </w:rPr>
        <w:t>la</w:t>
      </w:r>
      <w:r>
        <w:rPr>
          <w:spacing w:val="-6"/>
          <w:sz w:val="22"/>
        </w:rPr>
        <w:t> </w:t>
      </w:r>
      <w:r>
        <w:rPr>
          <w:sz w:val="22"/>
        </w:rPr>
        <w:t>fiscalización</w:t>
      </w:r>
      <w:r>
        <w:rPr>
          <w:spacing w:val="-4"/>
          <w:sz w:val="22"/>
        </w:rPr>
        <w:t> </w:t>
      </w:r>
      <w:r>
        <w:rPr>
          <w:sz w:val="22"/>
        </w:rPr>
        <w:t>del</w:t>
      </w:r>
      <w:r>
        <w:rPr>
          <w:spacing w:val="-5"/>
          <w:sz w:val="22"/>
        </w:rPr>
        <w:t> </w:t>
      </w:r>
      <w:r>
        <w:rPr>
          <w:sz w:val="22"/>
        </w:rPr>
        <w:t>proyecto</w:t>
      </w:r>
      <w:r>
        <w:rPr>
          <w:spacing w:val="-6"/>
          <w:sz w:val="22"/>
        </w:rPr>
        <w:t> </w:t>
      </w:r>
      <w:r>
        <w:rPr>
          <w:sz w:val="22"/>
        </w:rPr>
        <w:t>mediante reuniones de seguimiento e inspección, registradas en las minutas I-275-INS-03 a I-275-INS-</w:t>
      </w:r>
      <w:r>
        <w:rPr>
          <w:spacing w:val="-4"/>
          <w:sz w:val="22"/>
        </w:rPr>
        <w:t>15.</w:t>
      </w:r>
    </w:p>
    <w:p>
      <w:pPr>
        <w:pStyle w:val="ListParagraph"/>
        <w:numPr>
          <w:ilvl w:val="0"/>
          <w:numId w:val="89"/>
        </w:numPr>
        <w:tabs>
          <w:tab w:pos="1411" w:val="left" w:leader="none"/>
        </w:tabs>
        <w:spacing w:line="273" w:lineRule="auto" w:before="144" w:after="0"/>
        <w:ind w:left="1411" w:right="886" w:hanging="360"/>
        <w:jc w:val="both"/>
        <w:rPr>
          <w:sz w:val="22"/>
        </w:rPr>
      </w:pPr>
      <w:r>
        <w:rPr>
          <w:sz w:val="22"/>
        </w:rPr>
        <w:t>Se</w:t>
      </w:r>
      <w:r>
        <w:rPr>
          <w:spacing w:val="-12"/>
          <w:sz w:val="22"/>
        </w:rPr>
        <w:t> </w:t>
      </w:r>
      <w:r>
        <w:rPr>
          <w:sz w:val="22"/>
        </w:rPr>
        <w:t>avanzó</w:t>
      </w:r>
      <w:r>
        <w:rPr>
          <w:spacing w:val="-10"/>
          <w:sz w:val="22"/>
        </w:rPr>
        <w:t> </w:t>
      </w:r>
      <w:r>
        <w:rPr>
          <w:sz w:val="22"/>
        </w:rPr>
        <w:t>en</w:t>
      </w:r>
      <w:r>
        <w:rPr>
          <w:spacing w:val="-11"/>
          <w:sz w:val="22"/>
        </w:rPr>
        <w:t> </w:t>
      </w:r>
      <w:r>
        <w:rPr>
          <w:sz w:val="22"/>
        </w:rPr>
        <w:t>las</w:t>
      </w:r>
      <w:r>
        <w:rPr>
          <w:spacing w:val="-12"/>
          <w:sz w:val="22"/>
        </w:rPr>
        <w:t> </w:t>
      </w:r>
      <w:r>
        <w:rPr>
          <w:sz w:val="22"/>
        </w:rPr>
        <w:t>obras</w:t>
      </w:r>
      <w:r>
        <w:rPr>
          <w:spacing w:val="-10"/>
          <w:sz w:val="22"/>
        </w:rPr>
        <w:t> </w:t>
      </w:r>
      <w:r>
        <w:rPr>
          <w:sz w:val="22"/>
        </w:rPr>
        <w:t>civiles</w:t>
      </w:r>
      <w:r>
        <w:rPr>
          <w:spacing w:val="-10"/>
          <w:sz w:val="22"/>
        </w:rPr>
        <w:t> </w:t>
      </w:r>
      <w:r>
        <w:rPr>
          <w:sz w:val="22"/>
        </w:rPr>
        <w:t>del</w:t>
      </w:r>
      <w:r>
        <w:rPr>
          <w:spacing w:val="-11"/>
          <w:sz w:val="22"/>
        </w:rPr>
        <w:t> </w:t>
      </w:r>
      <w:r>
        <w:rPr>
          <w:sz w:val="22"/>
        </w:rPr>
        <w:t>tanque</w:t>
      </w:r>
      <w:r>
        <w:rPr>
          <w:spacing w:val="-12"/>
          <w:sz w:val="22"/>
        </w:rPr>
        <w:t> </w:t>
      </w:r>
      <w:r>
        <w:rPr>
          <w:sz w:val="22"/>
        </w:rPr>
        <w:t>de</w:t>
      </w:r>
      <w:r>
        <w:rPr>
          <w:spacing w:val="-12"/>
          <w:sz w:val="22"/>
        </w:rPr>
        <w:t> </w:t>
      </w:r>
      <w:r>
        <w:rPr>
          <w:sz w:val="22"/>
        </w:rPr>
        <w:t>captación</w:t>
      </w:r>
      <w:r>
        <w:rPr>
          <w:spacing w:val="-11"/>
          <w:sz w:val="22"/>
        </w:rPr>
        <w:t> </w:t>
      </w:r>
      <w:r>
        <w:rPr>
          <w:sz w:val="22"/>
        </w:rPr>
        <w:t>de</w:t>
      </w:r>
      <w:r>
        <w:rPr>
          <w:spacing w:val="-12"/>
          <w:sz w:val="22"/>
        </w:rPr>
        <w:t> </w:t>
      </w:r>
      <w:r>
        <w:rPr>
          <w:sz w:val="22"/>
        </w:rPr>
        <w:t>agua</w:t>
      </w:r>
      <w:r>
        <w:rPr>
          <w:spacing w:val="-11"/>
          <w:sz w:val="22"/>
        </w:rPr>
        <w:t> </w:t>
      </w:r>
      <w:r>
        <w:rPr>
          <w:sz w:val="22"/>
        </w:rPr>
        <w:t>y</w:t>
      </w:r>
      <w:r>
        <w:rPr>
          <w:spacing w:val="-12"/>
          <w:sz w:val="22"/>
        </w:rPr>
        <w:t> </w:t>
      </w:r>
      <w:r>
        <w:rPr>
          <w:sz w:val="22"/>
        </w:rPr>
        <w:t>la</w:t>
      </w:r>
      <w:r>
        <w:rPr>
          <w:spacing w:val="-12"/>
          <w:sz w:val="22"/>
        </w:rPr>
        <w:t> </w:t>
      </w:r>
      <w:r>
        <w:rPr>
          <w:sz w:val="22"/>
        </w:rPr>
        <w:t>caseta</w:t>
      </w:r>
      <w:r>
        <w:rPr>
          <w:spacing w:val="-11"/>
          <w:sz w:val="22"/>
        </w:rPr>
        <w:t> </w:t>
      </w:r>
      <w:r>
        <w:rPr>
          <w:sz w:val="22"/>
        </w:rPr>
        <w:t>de</w:t>
      </w:r>
      <w:r>
        <w:rPr>
          <w:spacing w:val="-12"/>
          <w:sz w:val="22"/>
        </w:rPr>
        <w:t> </w:t>
      </w:r>
      <w:r>
        <w:rPr>
          <w:sz w:val="22"/>
        </w:rPr>
        <w:t>máquinas,</w:t>
      </w:r>
      <w:r>
        <w:rPr>
          <w:spacing w:val="-10"/>
          <w:sz w:val="22"/>
        </w:rPr>
        <w:t> </w:t>
      </w:r>
      <w:r>
        <w:rPr>
          <w:sz w:val="22"/>
        </w:rPr>
        <w:t>así</w:t>
      </w:r>
      <w:r>
        <w:rPr>
          <w:spacing w:val="-11"/>
          <w:sz w:val="22"/>
        </w:rPr>
        <w:t> </w:t>
      </w:r>
      <w:r>
        <w:rPr>
          <w:sz w:val="22"/>
        </w:rPr>
        <w:t>como en</w:t>
      </w:r>
      <w:r>
        <w:rPr>
          <w:spacing w:val="-2"/>
          <w:sz w:val="22"/>
        </w:rPr>
        <w:t> </w:t>
      </w:r>
      <w:r>
        <w:rPr>
          <w:sz w:val="22"/>
        </w:rPr>
        <w:t>la</w:t>
      </w:r>
      <w:r>
        <w:rPr>
          <w:spacing w:val="-3"/>
          <w:sz w:val="22"/>
        </w:rPr>
        <w:t> </w:t>
      </w:r>
      <w:r>
        <w:rPr>
          <w:sz w:val="22"/>
        </w:rPr>
        <w:t>instalación</w:t>
      </w:r>
      <w:r>
        <w:rPr>
          <w:spacing w:val="-2"/>
          <w:sz w:val="22"/>
        </w:rPr>
        <w:t> </w:t>
      </w:r>
      <w:r>
        <w:rPr>
          <w:sz w:val="22"/>
        </w:rPr>
        <w:t>de</w:t>
      </w:r>
      <w:r>
        <w:rPr>
          <w:spacing w:val="-4"/>
          <w:sz w:val="22"/>
        </w:rPr>
        <w:t> </w:t>
      </w:r>
      <w:r>
        <w:rPr>
          <w:sz w:val="22"/>
        </w:rPr>
        <w:t>tuberías</w:t>
      </w:r>
      <w:r>
        <w:rPr>
          <w:spacing w:val="-1"/>
          <w:sz w:val="22"/>
        </w:rPr>
        <w:t> </w:t>
      </w:r>
      <w:r>
        <w:rPr>
          <w:sz w:val="22"/>
        </w:rPr>
        <w:t>de</w:t>
      </w:r>
      <w:r>
        <w:rPr>
          <w:spacing w:val="-4"/>
          <w:sz w:val="22"/>
        </w:rPr>
        <w:t> </w:t>
      </w:r>
      <w:r>
        <w:rPr>
          <w:sz w:val="22"/>
        </w:rPr>
        <w:t>distribución</w:t>
      </w:r>
      <w:r>
        <w:rPr>
          <w:spacing w:val="-2"/>
          <w:sz w:val="22"/>
        </w:rPr>
        <w:t> </w:t>
      </w:r>
      <w:r>
        <w:rPr>
          <w:sz w:val="22"/>
        </w:rPr>
        <w:t>del</w:t>
      </w:r>
      <w:r>
        <w:rPr>
          <w:spacing w:val="-2"/>
          <w:sz w:val="22"/>
        </w:rPr>
        <w:t> </w:t>
      </w:r>
      <w:r>
        <w:rPr>
          <w:sz w:val="22"/>
        </w:rPr>
        <w:t>sistema</w:t>
      </w:r>
      <w:r>
        <w:rPr>
          <w:spacing w:val="-5"/>
          <w:sz w:val="22"/>
        </w:rPr>
        <w:t> </w:t>
      </w:r>
      <w:r>
        <w:rPr>
          <w:sz w:val="22"/>
        </w:rPr>
        <w:t>de</w:t>
      </w:r>
      <w:r>
        <w:rPr>
          <w:spacing w:val="-4"/>
          <w:sz w:val="22"/>
        </w:rPr>
        <w:t> </w:t>
      </w:r>
      <w:r>
        <w:rPr>
          <w:sz w:val="22"/>
        </w:rPr>
        <w:t>supresión</w:t>
      </w:r>
      <w:r>
        <w:rPr>
          <w:spacing w:val="-2"/>
          <w:sz w:val="22"/>
        </w:rPr>
        <w:t> </w:t>
      </w:r>
      <w:r>
        <w:rPr>
          <w:sz w:val="22"/>
        </w:rPr>
        <w:t>de</w:t>
      </w:r>
      <w:r>
        <w:rPr>
          <w:spacing w:val="-4"/>
          <w:sz w:val="22"/>
        </w:rPr>
        <w:t> </w:t>
      </w:r>
      <w:r>
        <w:rPr>
          <w:sz w:val="22"/>
        </w:rPr>
        <w:t>incendios;</w:t>
      </w:r>
      <w:r>
        <w:rPr>
          <w:spacing w:val="-5"/>
          <w:sz w:val="22"/>
        </w:rPr>
        <w:t> </w:t>
      </w:r>
      <w:r>
        <w:rPr>
          <w:sz w:val="22"/>
        </w:rPr>
        <w:t>además,</w:t>
      </w:r>
      <w:r>
        <w:rPr>
          <w:spacing w:val="-2"/>
          <w:sz w:val="22"/>
        </w:rPr>
        <w:t> </w:t>
      </w:r>
      <w:r>
        <w:rPr>
          <w:sz w:val="22"/>
        </w:rPr>
        <w:t>se concluyó la estructura del tanque y se realizaron pruebas de estanqueidad sin fugas.</w:t>
      </w:r>
    </w:p>
    <w:p>
      <w:pPr>
        <w:pStyle w:val="BodyText"/>
        <w:spacing w:line="259" w:lineRule="auto" w:before="147"/>
        <w:ind w:left="691" w:right="886" w:firstLine="55"/>
        <w:jc w:val="both"/>
      </w:pPr>
      <w:r>
        <w:rPr/>
        <w:t>En</w:t>
      </w:r>
      <w:r>
        <w:rPr>
          <w:spacing w:val="-5"/>
        </w:rPr>
        <w:t> </w:t>
      </w:r>
      <w:r>
        <w:rPr/>
        <w:t>cuanto</w:t>
      </w:r>
      <w:r>
        <w:rPr>
          <w:spacing w:val="-5"/>
        </w:rPr>
        <w:t> </w:t>
      </w:r>
      <w:r>
        <w:rPr/>
        <w:t>a</w:t>
      </w:r>
      <w:r>
        <w:rPr>
          <w:spacing w:val="-6"/>
        </w:rPr>
        <w:t> </w:t>
      </w:r>
      <w:r>
        <w:rPr/>
        <w:t>recursos,</w:t>
      </w:r>
      <w:r>
        <w:rPr>
          <w:spacing w:val="-8"/>
        </w:rPr>
        <w:t> </w:t>
      </w:r>
      <w:r>
        <w:rPr/>
        <w:t>se</w:t>
      </w:r>
      <w:r>
        <w:rPr>
          <w:spacing w:val="-7"/>
        </w:rPr>
        <w:t> </w:t>
      </w:r>
      <w:r>
        <w:rPr/>
        <w:t>ejecutaron</w:t>
      </w:r>
      <w:r>
        <w:rPr>
          <w:spacing w:val="-5"/>
        </w:rPr>
        <w:t> </w:t>
      </w:r>
      <w:r>
        <w:rPr/>
        <w:t>pagos</w:t>
      </w:r>
      <w:r>
        <w:rPr>
          <w:spacing w:val="-5"/>
        </w:rPr>
        <w:t> </w:t>
      </w:r>
      <w:r>
        <w:rPr/>
        <w:t>por</w:t>
      </w:r>
      <w:r>
        <w:rPr>
          <w:spacing w:val="-6"/>
        </w:rPr>
        <w:t> </w:t>
      </w:r>
      <w:r>
        <w:rPr/>
        <w:t>avances</w:t>
      </w:r>
      <w:r>
        <w:rPr>
          <w:spacing w:val="-7"/>
        </w:rPr>
        <w:t> </w:t>
      </w:r>
      <w:r>
        <w:rPr/>
        <w:t>de</w:t>
      </w:r>
      <w:r>
        <w:rPr>
          <w:spacing w:val="-7"/>
        </w:rPr>
        <w:t> </w:t>
      </w:r>
      <w:r>
        <w:rPr/>
        <w:t>construcción</w:t>
      </w:r>
      <w:r>
        <w:rPr>
          <w:spacing w:val="-8"/>
        </w:rPr>
        <w:t> </w:t>
      </w:r>
      <w:r>
        <w:rPr/>
        <w:t>correspondientes</w:t>
      </w:r>
      <w:r>
        <w:rPr>
          <w:spacing w:val="-5"/>
        </w:rPr>
        <w:t> </w:t>
      </w:r>
      <w:r>
        <w:rPr/>
        <w:t>a</w:t>
      </w:r>
      <w:r>
        <w:rPr>
          <w:spacing w:val="-6"/>
        </w:rPr>
        <w:t> </w:t>
      </w:r>
      <w:r>
        <w:rPr/>
        <w:t>abril,</w:t>
      </w:r>
      <w:r>
        <w:rPr>
          <w:spacing w:val="-8"/>
        </w:rPr>
        <w:t> </w:t>
      </w:r>
      <w:r>
        <w:rPr/>
        <w:t>mayo y junio mediante las facturas N°00100001010000025396 por </w:t>
      </w:r>
      <w:r>
        <w:rPr>
          <w:rFonts w:ascii="Times New Roman" w:hAnsi="Times New Roman"/>
        </w:rPr>
        <w:t>₡</w:t>
      </w:r>
      <w:r>
        <w:rPr/>
        <w:t>19.152.817,64, N°00100001010000025431</w:t>
      </w:r>
      <w:r>
        <w:rPr>
          <w:spacing w:val="26"/>
        </w:rPr>
        <w:t> </w:t>
      </w:r>
      <w:r>
        <w:rPr/>
        <w:t>por</w:t>
      </w:r>
      <w:r>
        <w:rPr>
          <w:spacing w:val="28"/>
        </w:rPr>
        <w:t> </w:t>
      </w:r>
      <w:r>
        <w:rPr>
          <w:rFonts w:ascii="Times New Roman" w:hAnsi="Times New Roman"/>
        </w:rPr>
        <w:t>₡</w:t>
      </w:r>
      <w:r>
        <w:rPr/>
        <w:t>17.909.207,95</w:t>
      </w:r>
      <w:r>
        <w:rPr>
          <w:spacing w:val="27"/>
        </w:rPr>
        <w:t> </w:t>
      </w:r>
      <w:r>
        <w:rPr/>
        <w:t>y</w:t>
      </w:r>
      <w:r>
        <w:rPr>
          <w:spacing w:val="26"/>
        </w:rPr>
        <w:t> </w:t>
      </w:r>
      <w:r>
        <w:rPr/>
        <w:t>N°00100001010000025474</w:t>
      </w:r>
      <w:r>
        <w:rPr>
          <w:spacing w:val="26"/>
        </w:rPr>
        <w:t> </w:t>
      </w:r>
      <w:r>
        <w:rPr/>
        <w:t>por</w:t>
      </w:r>
      <w:r>
        <w:rPr>
          <w:spacing w:val="29"/>
        </w:rPr>
        <w:t> </w:t>
      </w:r>
      <w:r>
        <w:rPr>
          <w:rFonts w:ascii="Times New Roman" w:hAnsi="Times New Roman"/>
          <w:spacing w:val="-2"/>
        </w:rPr>
        <w:t>₡</w:t>
      </w:r>
      <w:r>
        <w:rPr>
          <w:spacing w:val="-2"/>
        </w:rPr>
        <w:t>23.648.406,44.</w:t>
      </w:r>
    </w:p>
    <w:p>
      <w:pPr>
        <w:pStyle w:val="BodyText"/>
        <w:spacing w:line="262" w:lineRule="exact"/>
        <w:ind w:left="691"/>
        <w:jc w:val="both"/>
      </w:pPr>
      <w:r>
        <w:rPr/>
        <w:t>Asimismo,</w:t>
      </w:r>
      <w:r>
        <w:rPr>
          <w:spacing w:val="46"/>
        </w:rPr>
        <w:t> </w:t>
      </w:r>
      <w:r>
        <w:rPr/>
        <w:t>se</w:t>
      </w:r>
      <w:r>
        <w:rPr>
          <w:spacing w:val="50"/>
        </w:rPr>
        <w:t> </w:t>
      </w:r>
      <w:r>
        <w:rPr/>
        <w:t>pagaron</w:t>
      </w:r>
      <w:r>
        <w:rPr>
          <w:spacing w:val="51"/>
        </w:rPr>
        <w:t> </w:t>
      </w:r>
      <w:r>
        <w:rPr/>
        <w:t>facturas</w:t>
      </w:r>
      <w:r>
        <w:rPr>
          <w:spacing w:val="53"/>
        </w:rPr>
        <w:t> </w:t>
      </w:r>
      <w:r>
        <w:rPr/>
        <w:t>de</w:t>
      </w:r>
      <w:r>
        <w:rPr>
          <w:spacing w:val="49"/>
        </w:rPr>
        <w:t> </w:t>
      </w:r>
      <w:r>
        <w:rPr/>
        <w:t>consultoría</w:t>
      </w:r>
      <w:r>
        <w:rPr>
          <w:spacing w:val="50"/>
        </w:rPr>
        <w:t> </w:t>
      </w:r>
      <w:r>
        <w:rPr/>
        <w:t>para</w:t>
      </w:r>
      <w:r>
        <w:rPr>
          <w:spacing w:val="51"/>
        </w:rPr>
        <w:t> </w:t>
      </w:r>
      <w:r>
        <w:rPr/>
        <w:t>inspección</w:t>
      </w:r>
      <w:r>
        <w:rPr>
          <w:spacing w:val="51"/>
        </w:rPr>
        <w:t> </w:t>
      </w:r>
      <w:r>
        <w:rPr/>
        <w:t>por</w:t>
      </w:r>
      <w:r>
        <w:rPr>
          <w:spacing w:val="52"/>
        </w:rPr>
        <w:t> </w:t>
      </w:r>
      <w:r>
        <w:rPr>
          <w:rFonts w:ascii="Times New Roman" w:hAnsi="Times New Roman"/>
        </w:rPr>
        <w:t>₡</w:t>
      </w:r>
      <w:r>
        <w:rPr/>
        <w:t>973.920,77,</w:t>
      </w:r>
      <w:r>
        <w:rPr>
          <w:spacing w:val="51"/>
        </w:rPr>
        <w:t> </w:t>
      </w:r>
      <w:r>
        <w:rPr>
          <w:rFonts w:ascii="Times New Roman" w:hAnsi="Times New Roman"/>
        </w:rPr>
        <w:t>₡</w:t>
      </w:r>
      <w:r>
        <w:rPr/>
        <w:t>910.683,22</w:t>
      </w:r>
      <w:r>
        <w:rPr>
          <w:spacing w:val="54"/>
        </w:rPr>
        <w:t> </w:t>
      </w:r>
      <w:r>
        <w:rPr>
          <w:spacing w:val="-10"/>
        </w:rPr>
        <w:t>y</w:t>
      </w:r>
    </w:p>
    <w:p>
      <w:pPr>
        <w:pStyle w:val="BodyText"/>
        <w:spacing w:before="21"/>
        <w:ind w:left="691"/>
      </w:pPr>
      <w:r>
        <w:rPr>
          <w:rFonts w:ascii="Times New Roman" w:hAnsi="Times New Roman"/>
        </w:rPr>
        <w:t>₡</w:t>
      </w:r>
      <w:r>
        <w:rPr/>
        <w:t>1.202.521,46,</w:t>
      </w:r>
      <w:r>
        <w:rPr>
          <w:spacing w:val="36"/>
        </w:rPr>
        <w:t>  </w:t>
      </w:r>
      <w:r>
        <w:rPr/>
        <w:t>ajuste</w:t>
      </w:r>
      <w:r>
        <w:rPr>
          <w:spacing w:val="37"/>
        </w:rPr>
        <w:t>  </w:t>
      </w:r>
      <w:r>
        <w:rPr/>
        <w:t>de</w:t>
      </w:r>
      <w:r>
        <w:rPr>
          <w:spacing w:val="38"/>
        </w:rPr>
        <w:t>  </w:t>
      </w:r>
      <w:r>
        <w:rPr/>
        <w:t>honorarios</w:t>
      </w:r>
      <w:r>
        <w:rPr>
          <w:spacing w:val="39"/>
        </w:rPr>
        <w:t>  </w:t>
      </w:r>
      <w:r>
        <w:rPr/>
        <w:t>¢23.744.565,36</w:t>
      </w:r>
      <w:r>
        <w:rPr>
          <w:spacing w:val="37"/>
        </w:rPr>
        <w:t>  </w:t>
      </w:r>
      <w:r>
        <w:rPr/>
        <w:t>para</w:t>
      </w:r>
      <w:r>
        <w:rPr>
          <w:spacing w:val="37"/>
        </w:rPr>
        <w:t>  </w:t>
      </w:r>
      <w:r>
        <w:rPr/>
        <w:t>un</w:t>
      </w:r>
      <w:r>
        <w:rPr>
          <w:spacing w:val="37"/>
        </w:rPr>
        <w:t>  </w:t>
      </w:r>
      <w:r>
        <w:rPr/>
        <w:t>total</w:t>
      </w:r>
      <w:r>
        <w:rPr>
          <w:spacing w:val="37"/>
        </w:rPr>
        <w:t>  </w:t>
      </w:r>
      <w:r>
        <w:rPr/>
        <w:t>acumulado</w:t>
      </w:r>
      <w:r>
        <w:rPr>
          <w:spacing w:val="37"/>
        </w:rPr>
        <w:t>  </w:t>
      </w:r>
      <w:r>
        <w:rPr/>
        <w:t>anual</w:t>
      </w:r>
      <w:r>
        <w:rPr>
          <w:spacing w:val="37"/>
        </w:rPr>
        <w:t>  </w:t>
      </w:r>
      <w:r>
        <w:rPr>
          <w:spacing w:val="-5"/>
        </w:rPr>
        <w:t>de</w:t>
      </w:r>
    </w:p>
    <w:p>
      <w:pPr>
        <w:pStyle w:val="BodyText"/>
        <w:spacing w:before="18"/>
        <w:ind w:left="691"/>
      </w:pPr>
      <w:r>
        <w:rPr>
          <w:rFonts w:ascii="Times New Roman" w:hAnsi="Times New Roman"/>
          <w:spacing w:val="-2"/>
        </w:rPr>
        <w:t>₡</w:t>
      </w:r>
      <w:r>
        <w:rPr>
          <w:spacing w:val="-2"/>
        </w:rPr>
        <w:t>108.756.129,81.</w:t>
      </w:r>
    </w:p>
    <w:p>
      <w:pPr>
        <w:pStyle w:val="BodyText"/>
        <w:spacing w:before="19"/>
      </w:pPr>
    </w:p>
    <w:p>
      <w:pPr>
        <w:pStyle w:val="ListParagraph"/>
        <w:numPr>
          <w:ilvl w:val="1"/>
          <w:numId w:val="88"/>
        </w:numPr>
        <w:tabs>
          <w:tab w:pos="1757" w:val="left" w:leader="none"/>
        </w:tabs>
        <w:spacing w:line="240" w:lineRule="auto" w:before="0" w:after="0"/>
        <w:ind w:left="1757" w:right="0" w:hanging="706"/>
        <w:jc w:val="left"/>
        <w:rPr>
          <w:rFonts w:ascii="Arial"/>
          <w:sz w:val="22"/>
        </w:rPr>
      </w:pPr>
      <w:r>
        <w:rPr>
          <w:spacing w:val="-2"/>
          <w:sz w:val="22"/>
        </w:rPr>
        <w:t>Limitaciones.</w:t>
      </w:r>
    </w:p>
    <w:p>
      <w:pPr>
        <w:pStyle w:val="BodyText"/>
        <w:spacing w:before="1"/>
      </w:pPr>
    </w:p>
    <w:p>
      <w:pPr>
        <w:pStyle w:val="ListParagraph"/>
        <w:numPr>
          <w:ilvl w:val="0"/>
          <w:numId w:val="90"/>
        </w:numPr>
        <w:tabs>
          <w:tab w:pos="1411" w:val="left" w:leader="none"/>
        </w:tabs>
        <w:spacing w:line="259" w:lineRule="auto" w:before="0" w:after="0"/>
        <w:ind w:left="1411" w:right="888" w:hanging="360"/>
        <w:jc w:val="both"/>
        <w:rPr>
          <w:sz w:val="22"/>
        </w:rPr>
      </w:pPr>
      <w:r>
        <w:rPr>
          <w:sz w:val="22"/>
        </w:rPr>
        <w:t>Los retrasos acumulados de años anteriores y la alta demanda de solicitudes de otras dependencias limitan la capacidad del Departamento para ejecutar simultáneamente más </w:t>
      </w:r>
      <w:r>
        <w:rPr>
          <w:spacing w:val="-2"/>
          <w:sz w:val="22"/>
        </w:rPr>
        <w:t>proyectos.</w:t>
      </w:r>
    </w:p>
    <w:p>
      <w:pPr>
        <w:pStyle w:val="BodyText"/>
        <w:spacing w:before="177"/>
      </w:pPr>
    </w:p>
    <w:p>
      <w:pPr>
        <w:pStyle w:val="ListParagraph"/>
        <w:numPr>
          <w:ilvl w:val="1"/>
          <w:numId w:val="88"/>
        </w:numPr>
        <w:tabs>
          <w:tab w:pos="1757" w:val="left" w:leader="none"/>
        </w:tabs>
        <w:spacing w:line="240" w:lineRule="auto" w:before="0" w:after="0"/>
        <w:ind w:left="1757" w:right="0" w:hanging="706"/>
        <w:jc w:val="left"/>
        <w:rPr>
          <w:rFonts w:ascii="Arial" w:hAnsi="Arial"/>
          <w:sz w:val="22"/>
        </w:rPr>
      </w:pPr>
      <w:r>
        <w:rPr>
          <w:sz w:val="22"/>
        </w:rPr>
        <w:t>Posible</w:t>
      </w:r>
      <w:r>
        <w:rPr>
          <w:spacing w:val="-7"/>
          <w:sz w:val="22"/>
        </w:rPr>
        <w:t> </w:t>
      </w:r>
      <w:r>
        <w:rPr>
          <w:sz w:val="22"/>
        </w:rPr>
        <w:t>finalización</w:t>
      </w:r>
      <w:r>
        <w:rPr>
          <w:spacing w:val="-5"/>
          <w:sz w:val="22"/>
        </w:rPr>
        <w:t> </w:t>
      </w:r>
      <w:r>
        <w:rPr>
          <w:sz w:val="22"/>
        </w:rPr>
        <w:t>del</w:t>
      </w:r>
      <w:r>
        <w:rPr>
          <w:spacing w:val="-4"/>
          <w:sz w:val="22"/>
        </w:rPr>
        <w:t> </w:t>
      </w:r>
      <w:r>
        <w:rPr>
          <w:spacing w:val="-2"/>
          <w:sz w:val="22"/>
        </w:rPr>
        <w:t>proyecto.</w:t>
      </w:r>
    </w:p>
    <w:p>
      <w:pPr>
        <w:pStyle w:val="BodyText"/>
        <w:spacing w:before="2"/>
      </w:pPr>
    </w:p>
    <w:p>
      <w:pPr>
        <w:pStyle w:val="BodyText"/>
        <w:spacing w:line="259" w:lineRule="auto" w:before="1"/>
        <w:ind w:left="691" w:right="889"/>
        <w:jc w:val="both"/>
      </w:pPr>
      <w:r>
        <w:rPr/>
        <w:t>Considerando que el proyecto se encuentra en la fase final de ejecución de obras, se estima que su finalización ocurrirá entre setiembre y octubre de 2026.</w:t>
      </w:r>
    </w:p>
    <w:p>
      <w:pPr>
        <w:pStyle w:val="Heading6"/>
        <w:numPr>
          <w:ilvl w:val="0"/>
          <w:numId w:val="88"/>
        </w:numPr>
        <w:tabs>
          <w:tab w:pos="947" w:val="left" w:leader="none"/>
        </w:tabs>
        <w:spacing w:line="240" w:lineRule="auto" w:before="250" w:after="0"/>
        <w:ind w:left="947" w:right="0" w:hanging="256"/>
        <w:jc w:val="left"/>
      </w:pPr>
      <w:r>
        <w:rPr/>
        <w:t>“Construcción</w:t>
      </w:r>
      <w:r>
        <w:rPr>
          <w:spacing w:val="-5"/>
        </w:rPr>
        <w:t> </w:t>
      </w:r>
      <w:r>
        <w:rPr/>
        <w:t>Edificio</w:t>
      </w:r>
      <w:r>
        <w:rPr>
          <w:spacing w:val="-3"/>
        </w:rPr>
        <w:t> </w:t>
      </w:r>
      <w:r>
        <w:rPr/>
        <w:t>Área</w:t>
      </w:r>
      <w:r>
        <w:rPr>
          <w:spacing w:val="-5"/>
        </w:rPr>
        <w:t> </w:t>
      </w:r>
      <w:r>
        <w:rPr/>
        <w:t>Regional</w:t>
      </w:r>
      <w:r>
        <w:rPr>
          <w:spacing w:val="-6"/>
        </w:rPr>
        <w:t> </w:t>
      </w:r>
      <w:r>
        <w:rPr>
          <w:spacing w:val="-2"/>
        </w:rPr>
        <w:t>Brunca”.</w:t>
      </w:r>
    </w:p>
    <w:p>
      <w:pPr>
        <w:pStyle w:val="BodyText"/>
        <w:spacing w:before="241"/>
        <w:ind w:left="691"/>
      </w:pPr>
      <w:r>
        <w:rPr/>
        <w:t>Se</w:t>
      </w:r>
      <w:r>
        <w:rPr>
          <w:spacing w:val="-4"/>
        </w:rPr>
        <w:t> </w:t>
      </w:r>
      <w:r>
        <w:rPr/>
        <w:t>describe</w:t>
      </w:r>
      <w:r>
        <w:rPr>
          <w:spacing w:val="-4"/>
        </w:rPr>
        <w:t> </w:t>
      </w:r>
      <w:r>
        <w:rPr/>
        <w:t>la</w:t>
      </w:r>
      <w:r>
        <w:rPr>
          <w:spacing w:val="-5"/>
        </w:rPr>
        <w:t> </w:t>
      </w:r>
      <w:r>
        <w:rPr/>
        <w:t>información</w:t>
      </w:r>
      <w:r>
        <w:rPr>
          <w:spacing w:val="-4"/>
        </w:rPr>
        <w:t> </w:t>
      </w:r>
      <w:r>
        <w:rPr>
          <w:spacing w:val="-2"/>
        </w:rPr>
        <w:t>solicitada.</w:t>
      </w:r>
    </w:p>
    <w:p>
      <w:pPr>
        <w:pStyle w:val="BodyText"/>
        <w:spacing w:before="9"/>
      </w:pPr>
    </w:p>
    <w:p>
      <w:pPr>
        <w:pStyle w:val="ListParagraph"/>
        <w:numPr>
          <w:ilvl w:val="1"/>
          <w:numId w:val="88"/>
        </w:numPr>
        <w:tabs>
          <w:tab w:pos="851" w:val="left" w:leader="none"/>
        </w:tabs>
        <w:spacing w:line="240" w:lineRule="auto" w:before="0" w:after="0"/>
        <w:ind w:left="851" w:right="0" w:hanging="160"/>
        <w:jc w:val="left"/>
        <w:rPr>
          <w:sz w:val="20"/>
        </w:rPr>
      </w:pPr>
      <w:r>
        <w:rPr>
          <w:sz w:val="22"/>
        </w:rPr>
        <w:t>Actividades</w:t>
      </w:r>
      <w:r>
        <w:rPr>
          <w:spacing w:val="-4"/>
          <w:sz w:val="22"/>
        </w:rPr>
        <w:t> </w:t>
      </w:r>
      <w:r>
        <w:rPr>
          <w:sz w:val="22"/>
        </w:rPr>
        <w:t>realizadas</w:t>
      </w:r>
      <w:r>
        <w:rPr>
          <w:spacing w:val="-3"/>
          <w:sz w:val="22"/>
        </w:rPr>
        <w:t> </w:t>
      </w:r>
      <w:r>
        <w:rPr>
          <w:sz w:val="22"/>
        </w:rPr>
        <w:t>en</w:t>
      </w:r>
      <w:r>
        <w:rPr>
          <w:spacing w:val="-4"/>
          <w:sz w:val="22"/>
        </w:rPr>
        <w:t> </w:t>
      </w:r>
      <w:r>
        <w:rPr>
          <w:sz w:val="22"/>
        </w:rPr>
        <w:t>2°</w:t>
      </w:r>
      <w:r>
        <w:rPr>
          <w:spacing w:val="-5"/>
          <w:sz w:val="22"/>
        </w:rPr>
        <w:t> </w:t>
      </w:r>
      <w:r>
        <w:rPr>
          <w:sz w:val="22"/>
        </w:rPr>
        <w:t>trimestre</w:t>
      </w:r>
      <w:r>
        <w:rPr>
          <w:spacing w:val="-5"/>
          <w:sz w:val="22"/>
        </w:rPr>
        <w:t> </w:t>
      </w:r>
      <w:r>
        <w:rPr>
          <w:sz w:val="22"/>
        </w:rPr>
        <w:t>del</w:t>
      </w:r>
      <w:r>
        <w:rPr>
          <w:spacing w:val="-4"/>
          <w:sz w:val="22"/>
        </w:rPr>
        <w:t> 2026.</w:t>
      </w:r>
    </w:p>
    <w:p>
      <w:pPr>
        <w:pStyle w:val="BodyText"/>
        <w:spacing w:before="10"/>
      </w:pPr>
    </w:p>
    <w:p>
      <w:pPr>
        <w:pStyle w:val="BodyText"/>
        <w:spacing w:line="259" w:lineRule="auto"/>
        <w:ind w:left="691" w:right="887"/>
        <w:jc w:val="both"/>
      </w:pPr>
      <w:r>
        <w:rPr/>
        <w:t>El</w:t>
      </w:r>
      <w:r>
        <w:rPr>
          <w:spacing w:val="-5"/>
        </w:rPr>
        <w:t> </w:t>
      </w:r>
      <w:r>
        <w:rPr/>
        <w:t>Proyecto</w:t>
      </w:r>
      <w:r>
        <w:rPr>
          <w:spacing w:val="-4"/>
        </w:rPr>
        <w:t> </w:t>
      </w:r>
      <w:r>
        <w:rPr/>
        <w:t>se</w:t>
      </w:r>
      <w:r>
        <w:rPr>
          <w:spacing w:val="-6"/>
        </w:rPr>
        <w:t> </w:t>
      </w:r>
      <w:r>
        <w:rPr/>
        <w:t>encuentra</w:t>
      </w:r>
      <w:r>
        <w:rPr>
          <w:spacing w:val="-5"/>
        </w:rPr>
        <w:t> </w:t>
      </w:r>
      <w:r>
        <w:rPr/>
        <w:t>en</w:t>
      </w:r>
      <w:r>
        <w:rPr>
          <w:spacing w:val="-7"/>
        </w:rPr>
        <w:t> </w:t>
      </w:r>
      <w:r>
        <w:rPr/>
        <w:t>el</w:t>
      </w:r>
      <w:r>
        <w:rPr>
          <w:spacing w:val="-5"/>
        </w:rPr>
        <w:t> </w:t>
      </w:r>
      <w:r>
        <w:rPr/>
        <w:t>proceso</w:t>
      </w:r>
      <w:r>
        <w:rPr>
          <w:spacing w:val="-4"/>
        </w:rPr>
        <w:t> </w:t>
      </w:r>
      <w:r>
        <w:rPr/>
        <w:t>de</w:t>
      </w:r>
      <w:r>
        <w:rPr>
          <w:spacing w:val="-6"/>
        </w:rPr>
        <w:t> </w:t>
      </w:r>
      <w:r>
        <w:rPr/>
        <w:t>consultoría</w:t>
      </w:r>
      <w:r>
        <w:rPr>
          <w:spacing w:val="-5"/>
        </w:rPr>
        <w:t> </w:t>
      </w:r>
      <w:r>
        <w:rPr/>
        <w:t>y</w:t>
      </w:r>
      <w:r>
        <w:rPr>
          <w:spacing w:val="-6"/>
        </w:rPr>
        <w:t> </w:t>
      </w:r>
      <w:r>
        <w:rPr/>
        <w:t>se</w:t>
      </w:r>
      <w:r>
        <w:rPr>
          <w:spacing w:val="-6"/>
        </w:rPr>
        <w:t> </w:t>
      </w:r>
      <w:r>
        <w:rPr/>
        <w:t>están</w:t>
      </w:r>
      <w:r>
        <w:rPr>
          <w:spacing w:val="-5"/>
        </w:rPr>
        <w:t> </w:t>
      </w:r>
      <w:r>
        <w:rPr/>
        <w:t>gestionando</w:t>
      </w:r>
      <w:r>
        <w:rPr>
          <w:spacing w:val="-4"/>
        </w:rPr>
        <w:t> </w:t>
      </w:r>
      <w:r>
        <w:rPr/>
        <w:t>los</w:t>
      </w:r>
      <w:r>
        <w:rPr>
          <w:spacing w:val="-4"/>
        </w:rPr>
        <w:t> </w:t>
      </w:r>
      <w:r>
        <w:rPr/>
        <w:t>visados</w:t>
      </w:r>
      <w:r>
        <w:rPr>
          <w:spacing w:val="-4"/>
        </w:rPr>
        <w:t> </w:t>
      </w:r>
      <w:r>
        <w:rPr/>
        <w:t>institucionales y el permiso de SETENA.</w:t>
      </w:r>
      <w:r>
        <w:rPr>
          <w:spacing w:val="40"/>
        </w:rPr>
        <w:t> </w:t>
      </w:r>
      <w:r>
        <w:rPr/>
        <w:t>pero no hay etapas concluidas o con resultados finales en el segundo </w:t>
      </w:r>
      <w:r>
        <w:rPr>
          <w:spacing w:val="-2"/>
        </w:rPr>
        <w:t>trimestre.</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7728">
                <wp:simplePos x="0" y="0"/>
                <wp:positionH relativeFrom="page">
                  <wp:posOffset>9525</wp:posOffset>
                </wp:positionH>
                <wp:positionV relativeFrom="page">
                  <wp:posOffset>297208</wp:posOffset>
                </wp:positionV>
                <wp:extent cx="7762875" cy="9748520"/>
                <wp:effectExtent l="0" t="0" r="0" b="0"/>
                <wp:wrapNone/>
                <wp:docPr id="1065" name="Group 1065"/>
                <wp:cNvGraphicFramePr>
                  <a:graphicFrameLocks/>
                </wp:cNvGraphicFramePr>
                <a:graphic>
                  <a:graphicData uri="http://schemas.microsoft.com/office/word/2010/wordprocessingGroup">
                    <wpg:wgp>
                      <wpg:cNvPr id="1065" name="Group 1065"/>
                      <wpg:cNvGrpSpPr/>
                      <wpg:grpSpPr>
                        <a:xfrm>
                          <a:off x="0" y="0"/>
                          <a:ext cx="7762875" cy="9748520"/>
                          <a:chExt cx="7762875" cy="9748520"/>
                        </a:xfrm>
                      </wpg:grpSpPr>
                      <pic:pic>
                        <pic:nvPicPr>
                          <pic:cNvPr id="1066" name="Image 1066"/>
                          <pic:cNvPicPr/>
                        </pic:nvPicPr>
                        <pic:blipFill>
                          <a:blip r:embed="rId5" cstate="print"/>
                          <a:stretch>
                            <a:fillRect/>
                          </a:stretch>
                        </pic:blipFill>
                        <pic:spPr>
                          <a:xfrm>
                            <a:off x="0" y="0"/>
                            <a:ext cx="7762874" cy="9748489"/>
                          </a:xfrm>
                          <a:prstGeom prst="rect">
                            <a:avLst/>
                          </a:prstGeom>
                        </pic:spPr>
                      </pic:pic>
                      <wps:wsp>
                        <wps:cNvPr id="1067" name="Graphic 1067"/>
                        <wps:cNvSpPr/>
                        <wps:spPr>
                          <a:xfrm>
                            <a:off x="1053007" y="990837"/>
                            <a:ext cx="5736590" cy="7237095"/>
                          </a:xfrm>
                          <a:custGeom>
                            <a:avLst/>
                            <a:gdLst/>
                            <a:ahLst/>
                            <a:cxnLst/>
                            <a:rect l="l" t="t" r="r" b="b"/>
                            <a:pathLst>
                              <a:path w="5736590" h="7237095">
                                <a:moveTo>
                                  <a:pt x="21336" y="132702"/>
                                </a:moveTo>
                                <a:lnTo>
                                  <a:pt x="15240" y="132702"/>
                                </a:lnTo>
                                <a:lnTo>
                                  <a:pt x="15240" y="7230859"/>
                                </a:lnTo>
                                <a:lnTo>
                                  <a:pt x="21336" y="7230859"/>
                                </a:lnTo>
                                <a:lnTo>
                                  <a:pt x="21336" y="132702"/>
                                </a:lnTo>
                                <a:close/>
                              </a:path>
                              <a:path w="5736590" h="7237095">
                                <a:moveTo>
                                  <a:pt x="5649214" y="0"/>
                                </a:moveTo>
                                <a:lnTo>
                                  <a:pt x="0" y="0"/>
                                </a:lnTo>
                                <a:lnTo>
                                  <a:pt x="0" y="9131"/>
                                </a:lnTo>
                                <a:lnTo>
                                  <a:pt x="5649214" y="9131"/>
                                </a:lnTo>
                                <a:lnTo>
                                  <a:pt x="5649214" y="0"/>
                                </a:lnTo>
                                <a:close/>
                              </a:path>
                              <a:path w="5736590" h="7237095">
                                <a:moveTo>
                                  <a:pt x="5736018" y="7230872"/>
                                </a:moveTo>
                                <a:lnTo>
                                  <a:pt x="5729986" y="7230872"/>
                                </a:lnTo>
                                <a:lnTo>
                                  <a:pt x="21336" y="7230872"/>
                                </a:lnTo>
                                <a:lnTo>
                                  <a:pt x="15240" y="7230872"/>
                                </a:lnTo>
                                <a:lnTo>
                                  <a:pt x="15240" y="7236955"/>
                                </a:lnTo>
                                <a:lnTo>
                                  <a:pt x="21336" y="7236955"/>
                                </a:lnTo>
                                <a:lnTo>
                                  <a:pt x="5729935" y="7236955"/>
                                </a:lnTo>
                                <a:lnTo>
                                  <a:pt x="5736018" y="7236955"/>
                                </a:lnTo>
                                <a:lnTo>
                                  <a:pt x="5736018" y="7230872"/>
                                </a:lnTo>
                                <a:close/>
                              </a:path>
                              <a:path w="5736590" h="7237095">
                                <a:moveTo>
                                  <a:pt x="5736018" y="132702"/>
                                </a:moveTo>
                                <a:lnTo>
                                  <a:pt x="5729935" y="132702"/>
                                </a:lnTo>
                                <a:lnTo>
                                  <a:pt x="5729935" y="7230859"/>
                                </a:lnTo>
                                <a:lnTo>
                                  <a:pt x="5736018" y="7230859"/>
                                </a:lnTo>
                                <a:lnTo>
                                  <a:pt x="5736018" y="132702"/>
                                </a:lnTo>
                                <a:close/>
                              </a:path>
                              <a:path w="5736590" h="7237095">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8752" id="docshapegroup1012" coordorigin="15,468" coordsize="12225,15352">
                <v:shape style="position:absolute;left:15;top:468;width:12225;height:15352" type="#_x0000_t75" id="docshape1013" stroked="false">
                  <v:imagedata r:id="rId5" o:title=""/>
                </v:shape>
                <v:shape style="position:absolute;left:1673;top:2028;width:9034;height:11397" id="docshape1014" coordorigin="1673,2028" coordsize="9034,11397" path="m1707,2237l1697,2237,1697,13416,1707,13416,1707,2237xm10570,2028l1673,2028,1673,2043,10570,2043,10570,2028xm10706,13416l10697,13416,10697,13416,1707,13416,1697,13416,1697,13425,1707,13425,10697,13425,10697,13425,10706,13425,10706,13416xm10706,2237l10697,2237,10697,13416,10706,13416,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205</w:t>
      </w:r>
    </w:p>
    <w:p>
      <w:pPr>
        <w:pStyle w:val="BodyText"/>
        <w:spacing w:before="55"/>
      </w:pPr>
    </w:p>
    <w:p>
      <w:pPr>
        <w:pStyle w:val="ListParagraph"/>
        <w:numPr>
          <w:ilvl w:val="1"/>
          <w:numId w:val="88"/>
        </w:numPr>
        <w:tabs>
          <w:tab w:pos="851" w:val="left" w:leader="none"/>
        </w:tabs>
        <w:spacing w:line="240" w:lineRule="auto" w:before="1" w:after="0"/>
        <w:ind w:left="851" w:right="0" w:hanging="160"/>
        <w:jc w:val="left"/>
        <w:rPr>
          <w:sz w:val="20"/>
        </w:rPr>
      </w:pPr>
      <w:r>
        <w:rPr>
          <w:sz w:val="22"/>
        </w:rPr>
        <w:t>Limitaciones</w:t>
      </w:r>
      <w:r>
        <w:rPr>
          <w:spacing w:val="-7"/>
          <w:sz w:val="22"/>
        </w:rPr>
        <w:t> </w:t>
      </w:r>
      <w:r>
        <w:rPr>
          <w:spacing w:val="-2"/>
          <w:sz w:val="22"/>
        </w:rPr>
        <w:t>encontradas</w:t>
      </w:r>
    </w:p>
    <w:p>
      <w:pPr>
        <w:pStyle w:val="BodyText"/>
        <w:spacing w:before="9"/>
      </w:pPr>
    </w:p>
    <w:p>
      <w:pPr>
        <w:pStyle w:val="BodyText"/>
        <w:spacing w:line="259" w:lineRule="auto"/>
        <w:ind w:left="691" w:right="893"/>
        <w:jc w:val="both"/>
      </w:pPr>
      <w:r>
        <w:rPr/>
        <w:t>Este proceso conlleva gestiones con instituciones que se toman sus tiempos y tareas para entregar resultados.</w:t>
      </w:r>
      <w:r>
        <w:rPr>
          <w:spacing w:val="40"/>
        </w:rPr>
        <w:t> </w:t>
      </w:r>
      <w:r>
        <w:rPr/>
        <w:t>Algunos trámites conllevan más de 3 meses.</w:t>
      </w:r>
    </w:p>
    <w:p>
      <w:pPr>
        <w:pStyle w:val="ListParagraph"/>
        <w:numPr>
          <w:ilvl w:val="1"/>
          <w:numId w:val="88"/>
        </w:numPr>
        <w:tabs>
          <w:tab w:pos="851" w:val="left" w:leader="none"/>
        </w:tabs>
        <w:spacing w:line="240" w:lineRule="auto" w:before="240" w:after="0"/>
        <w:ind w:left="851" w:right="0" w:hanging="160"/>
        <w:jc w:val="left"/>
        <w:rPr>
          <w:sz w:val="20"/>
        </w:rPr>
      </w:pPr>
      <w:r>
        <w:rPr>
          <w:sz w:val="22"/>
        </w:rPr>
        <w:t>Posible</w:t>
      </w:r>
      <w:r>
        <w:rPr>
          <w:spacing w:val="-7"/>
          <w:sz w:val="22"/>
        </w:rPr>
        <w:t> </w:t>
      </w:r>
      <w:r>
        <w:rPr>
          <w:sz w:val="22"/>
        </w:rPr>
        <w:t>finalización</w:t>
      </w:r>
      <w:r>
        <w:rPr>
          <w:spacing w:val="-5"/>
          <w:sz w:val="22"/>
        </w:rPr>
        <w:t> </w:t>
      </w:r>
      <w:r>
        <w:rPr>
          <w:sz w:val="22"/>
        </w:rPr>
        <w:t>del</w:t>
      </w:r>
      <w:r>
        <w:rPr>
          <w:spacing w:val="-4"/>
          <w:sz w:val="22"/>
        </w:rPr>
        <w:t> </w:t>
      </w:r>
      <w:r>
        <w:rPr>
          <w:spacing w:val="-2"/>
          <w:sz w:val="22"/>
        </w:rPr>
        <w:t>proyecto.</w:t>
      </w:r>
    </w:p>
    <w:p>
      <w:pPr>
        <w:pStyle w:val="BodyText"/>
        <w:spacing w:before="9"/>
      </w:pPr>
    </w:p>
    <w:p>
      <w:pPr>
        <w:pStyle w:val="BodyText"/>
        <w:spacing w:line="259" w:lineRule="auto" w:before="1"/>
        <w:ind w:left="691" w:right="888"/>
        <w:jc w:val="both"/>
      </w:pPr>
      <w:r>
        <w:rPr/>
        <w:t>Esta primera etapa (Consultoría) se espera tenerla concluida en el segundo trimestre el 2027. La expectativa de construcción se estima para empezar en el tercer trimestre del 2027 y finalizar en el tercer trimestre del 2028.</w:t>
      </w:r>
    </w:p>
    <w:p>
      <w:pPr>
        <w:pStyle w:val="Heading6"/>
        <w:numPr>
          <w:ilvl w:val="0"/>
          <w:numId w:val="88"/>
        </w:numPr>
        <w:tabs>
          <w:tab w:pos="929" w:val="left" w:leader="none"/>
        </w:tabs>
        <w:spacing w:line="240" w:lineRule="auto" w:before="159" w:after="0"/>
        <w:ind w:left="929" w:right="0" w:hanging="238"/>
        <w:jc w:val="left"/>
      </w:pPr>
      <w:r>
        <w:rPr/>
        <w:t>“Construcción</w:t>
      </w:r>
      <w:r>
        <w:rPr>
          <w:spacing w:val="-5"/>
        </w:rPr>
        <w:t> </w:t>
      </w:r>
      <w:r>
        <w:rPr/>
        <w:t>Edificio</w:t>
      </w:r>
      <w:r>
        <w:rPr>
          <w:spacing w:val="-3"/>
        </w:rPr>
        <w:t> </w:t>
      </w:r>
      <w:r>
        <w:rPr/>
        <w:t>Área</w:t>
      </w:r>
      <w:r>
        <w:rPr>
          <w:spacing w:val="-5"/>
        </w:rPr>
        <w:t> </w:t>
      </w:r>
      <w:r>
        <w:rPr/>
        <w:t>Regional</w:t>
      </w:r>
      <w:r>
        <w:rPr>
          <w:spacing w:val="-6"/>
        </w:rPr>
        <w:t> </w:t>
      </w:r>
      <w:r>
        <w:rPr>
          <w:spacing w:val="-2"/>
        </w:rPr>
        <w:t>Alajuela”.</w:t>
      </w:r>
    </w:p>
    <w:p>
      <w:pPr>
        <w:pStyle w:val="BodyText"/>
        <w:spacing w:line="259" w:lineRule="auto" w:before="241"/>
        <w:ind w:left="691" w:right="883"/>
        <w:jc w:val="both"/>
      </w:pPr>
      <w:r>
        <w:rPr/>
        <w:t>Según</w:t>
      </w:r>
      <w:r>
        <w:rPr>
          <w:spacing w:val="-14"/>
        </w:rPr>
        <w:t> </w:t>
      </w:r>
      <w:r>
        <w:rPr/>
        <w:t>el</w:t>
      </w:r>
      <w:r>
        <w:rPr>
          <w:spacing w:val="-14"/>
        </w:rPr>
        <w:t> </w:t>
      </w:r>
      <w:r>
        <w:rPr/>
        <w:t>oficio</w:t>
      </w:r>
      <w:r>
        <w:rPr>
          <w:spacing w:val="-14"/>
        </w:rPr>
        <w:t> </w:t>
      </w:r>
      <w:r>
        <w:rPr/>
        <w:t>IMAS-DDS-ARDSCO-UCAR-0053-2026,</w:t>
      </w:r>
      <w:r>
        <w:rPr>
          <w:spacing w:val="-13"/>
        </w:rPr>
        <w:t> </w:t>
      </w:r>
      <w:r>
        <w:rPr/>
        <w:t>la</w:t>
      </w:r>
      <w:r>
        <w:rPr>
          <w:spacing w:val="-14"/>
        </w:rPr>
        <w:t> </w:t>
      </w:r>
      <w:r>
        <w:rPr/>
        <w:t>Regional</w:t>
      </w:r>
      <w:r>
        <w:rPr>
          <w:spacing w:val="-14"/>
        </w:rPr>
        <w:t> </w:t>
      </w:r>
      <w:r>
        <w:rPr/>
        <w:t>Alajuela</w:t>
      </w:r>
      <w:r>
        <w:rPr>
          <w:spacing w:val="-14"/>
        </w:rPr>
        <w:t> </w:t>
      </w:r>
      <w:r>
        <w:rPr/>
        <w:t>remitió</w:t>
      </w:r>
      <w:r>
        <w:rPr>
          <w:spacing w:val="-13"/>
        </w:rPr>
        <w:t> </w:t>
      </w:r>
      <w:r>
        <w:rPr/>
        <w:t>a</w:t>
      </w:r>
      <w:r>
        <w:rPr>
          <w:spacing w:val="-14"/>
        </w:rPr>
        <w:t> </w:t>
      </w:r>
      <w:r>
        <w:rPr/>
        <w:t>la</w:t>
      </w:r>
      <w:r>
        <w:rPr>
          <w:spacing w:val="-14"/>
        </w:rPr>
        <w:t> </w:t>
      </w:r>
      <w:r>
        <w:rPr/>
        <w:t>Proveeduría la solicitud para iniciar la contratación para la Consultoría para la construcción del edificio para la ULDS de Alajuela y el ARDS Central Occidente. La solicitud fue revisada y devuelta para hacer modificaciones en los términos de referencia, mismos que fueron atendidos dentro del plazo establecido.</w:t>
      </w:r>
      <w:r>
        <w:rPr>
          <w:spacing w:val="-5"/>
        </w:rPr>
        <w:t> </w:t>
      </w:r>
      <w:r>
        <w:rPr/>
        <w:t>Se</w:t>
      </w:r>
      <w:r>
        <w:rPr>
          <w:spacing w:val="-6"/>
        </w:rPr>
        <w:t> </w:t>
      </w:r>
      <w:r>
        <w:rPr/>
        <w:t>volvió</w:t>
      </w:r>
      <w:r>
        <w:rPr>
          <w:spacing w:val="-4"/>
        </w:rPr>
        <w:t> </w:t>
      </w:r>
      <w:r>
        <w:rPr/>
        <w:t>a</w:t>
      </w:r>
      <w:r>
        <w:rPr>
          <w:spacing w:val="-8"/>
        </w:rPr>
        <w:t> </w:t>
      </w:r>
      <w:r>
        <w:rPr/>
        <w:t>cargar</w:t>
      </w:r>
      <w:r>
        <w:rPr>
          <w:spacing w:val="-5"/>
        </w:rPr>
        <w:t> </w:t>
      </w:r>
      <w:r>
        <w:rPr/>
        <w:t>al</w:t>
      </w:r>
      <w:r>
        <w:rPr>
          <w:spacing w:val="-5"/>
        </w:rPr>
        <w:t> </w:t>
      </w:r>
      <w:r>
        <w:rPr/>
        <w:t>SICOP</w:t>
      </w:r>
      <w:r>
        <w:rPr>
          <w:spacing w:val="-5"/>
        </w:rPr>
        <w:t> </w:t>
      </w:r>
      <w:r>
        <w:rPr/>
        <w:t>y</w:t>
      </w:r>
      <w:r>
        <w:rPr>
          <w:spacing w:val="-8"/>
        </w:rPr>
        <w:t> </w:t>
      </w:r>
      <w:r>
        <w:rPr/>
        <w:t>se</w:t>
      </w:r>
      <w:r>
        <w:rPr>
          <w:spacing w:val="-6"/>
        </w:rPr>
        <w:t> </w:t>
      </w:r>
      <w:r>
        <w:rPr/>
        <w:t>remitió</w:t>
      </w:r>
      <w:r>
        <w:rPr>
          <w:spacing w:val="-6"/>
        </w:rPr>
        <w:t> </w:t>
      </w:r>
      <w:r>
        <w:rPr/>
        <w:t>a</w:t>
      </w:r>
      <w:r>
        <w:rPr>
          <w:spacing w:val="-5"/>
        </w:rPr>
        <w:t> </w:t>
      </w:r>
      <w:r>
        <w:rPr/>
        <w:t>las</w:t>
      </w:r>
      <w:r>
        <w:rPr>
          <w:spacing w:val="-4"/>
        </w:rPr>
        <w:t> </w:t>
      </w:r>
      <w:r>
        <w:rPr/>
        <w:t>unidades</w:t>
      </w:r>
      <w:r>
        <w:rPr>
          <w:spacing w:val="-6"/>
        </w:rPr>
        <w:t> </w:t>
      </w:r>
      <w:r>
        <w:rPr/>
        <w:t>correspondientes</w:t>
      </w:r>
      <w:r>
        <w:rPr>
          <w:spacing w:val="-4"/>
        </w:rPr>
        <w:t> </w:t>
      </w:r>
      <w:r>
        <w:rPr/>
        <w:t>para</w:t>
      </w:r>
      <w:r>
        <w:rPr>
          <w:spacing w:val="-5"/>
        </w:rPr>
        <w:t> </w:t>
      </w:r>
      <w:r>
        <w:rPr/>
        <w:t>la</w:t>
      </w:r>
      <w:r>
        <w:rPr>
          <w:spacing w:val="-8"/>
        </w:rPr>
        <w:t> </w:t>
      </w:r>
      <w:r>
        <w:rPr/>
        <w:t>respectiva </w:t>
      </w:r>
      <w:r>
        <w:rPr>
          <w:spacing w:val="-2"/>
        </w:rPr>
        <w:t>aprobación.</w:t>
      </w:r>
    </w:p>
    <w:p>
      <w:pPr>
        <w:pStyle w:val="BodyText"/>
        <w:spacing w:line="259" w:lineRule="auto" w:before="239"/>
        <w:ind w:left="691" w:right="886"/>
        <w:jc w:val="both"/>
      </w:pPr>
      <w:r>
        <w:rPr/>
        <w:t>Dado lo anterior, mientras no se cuente con una contratación adjudicada para el proceso de la consultoría, no se puede realizar acciones relacionadas con el proyecto de construcción.</w:t>
      </w:r>
    </w:p>
    <w:p>
      <w:pPr>
        <w:pStyle w:val="BodyText"/>
        <w:spacing w:line="259" w:lineRule="auto" w:before="238"/>
        <w:ind w:left="691" w:right="883"/>
        <w:jc w:val="both"/>
      </w:pPr>
      <w:r>
        <w:rPr/>
        <w:t>Se</w:t>
      </w:r>
      <w:r>
        <w:rPr>
          <w:spacing w:val="-12"/>
        </w:rPr>
        <w:t> </w:t>
      </w:r>
      <w:r>
        <w:rPr/>
        <w:t>estima</w:t>
      </w:r>
      <w:r>
        <w:rPr>
          <w:spacing w:val="-14"/>
        </w:rPr>
        <w:t> </w:t>
      </w:r>
      <w:r>
        <w:rPr/>
        <w:t>que</w:t>
      </w:r>
      <w:r>
        <w:rPr>
          <w:spacing w:val="-12"/>
        </w:rPr>
        <w:t> </w:t>
      </w:r>
      <w:r>
        <w:rPr/>
        <w:t>para</w:t>
      </w:r>
      <w:r>
        <w:rPr>
          <w:spacing w:val="-11"/>
        </w:rPr>
        <w:t> </w:t>
      </w:r>
      <w:r>
        <w:rPr/>
        <w:t>el</w:t>
      </w:r>
      <w:r>
        <w:rPr>
          <w:spacing w:val="-11"/>
        </w:rPr>
        <w:t> </w:t>
      </w:r>
      <w:r>
        <w:rPr/>
        <w:t>presente</w:t>
      </w:r>
      <w:r>
        <w:rPr>
          <w:spacing w:val="-11"/>
        </w:rPr>
        <w:t> </w:t>
      </w:r>
      <w:r>
        <w:rPr/>
        <w:t>año</w:t>
      </w:r>
      <w:r>
        <w:rPr>
          <w:spacing w:val="-10"/>
        </w:rPr>
        <w:t> </w:t>
      </w:r>
      <w:r>
        <w:rPr/>
        <w:t>se</w:t>
      </w:r>
      <w:r>
        <w:rPr>
          <w:spacing w:val="-12"/>
        </w:rPr>
        <w:t> </w:t>
      </w:r>
      <w:r>
        <w:rPr/>
        <w:t>cuente</w:t>
      </w:r>
      <w:r>
        <w:rPr>
          <w:spacing w:val="-11"/>
        </w:rPr>
        <w:t> </w:t>
      </w:r>
      <w:r>
        <w:rPr/>
        <w:t>con</w:t>
      </w:r>
      <w:r>
        <w:rPr>
          <w:spacing w:val="-11"/>
        </w:rPr>
        <w:t> </w:t>
      </w:r>
      <w:r>
        <w:rPr/>
        <w:t>la</w:t>
      </w:r>
      <w:r>
        <w:rPr>
          <w:spacing w:val="-12"/>
        </w:rPr>
        <w:t> </w:t>
      </w:r>
      <w:r>
        <w:rPr/>
        <w:t>adjudicación</w:t>
      </w:r>
      <w:r>
        <w:rPr>
          <w:spacing w:val="-11"/>
        </w:rPr>
        <w:t> </w:t>
      </w:r>
      <w:r>
        <w:rPr/>
        <w:t>de</w:t>
      </w:r>
      <w:r>
        <w:rPr>
          <w:spacing w:val="-12"/>
        </w:rPr>
        <w:t> </w:t>
      </w:r>
      <w:r>
        <w:rPr/>
        <w:t>la</w:t>
      </w:r>
      <w:r>
        <w:rPr>
          <w:spacing w:val="-12"/>
        </w:rPr>
        <w:t> </w:t>
      </w:r>
      <w:r>
        <w:rPr/>
        <w:t>consultoría</w:t>
      </w:r>
      <w:r>
        <w:rPr>
          <w:spacing w:val="-11"/>
        </w:rPr>
        <w:t> </w:t>
      </w:r>
      <w:r>
        <w:rPr/>
        <w:t>y</w:t>
      </w:r>
      <w:r>
        <w:rPr>
          <w:spacing w:val="-12"/>
        </w:rPr>
        <w:t> </w:t>
      </w:r>
      <w:r>
        <w:rPr/>
        <w:t>que</w:t>
      </w:r>
      <w:r>
        <w:rPr>
          <w:spacing w:val="-12"/>
        </w:rPr>
        <w:t> </w:t>
      </w:r>
      <w:r>
        <w:rPr/>
        <w:t>la</w:t>
      </w:r>
      <w:r>
        <w:rPr>
          <w:spacing w:val="-12"/>
        </w:rPr>
        <w:t> </w:t>
      </w:r>
      <w:r>
        <w:rPr/>
        <w:t>misma</w:t>
      </w:r>
      <w:r>
        <w:rPr>
          <w:spacing w:val="-11"/>
        </w:rPr>
        <w:t> </w:t>
      </w:r>
      <w:r>
        <w:rPr/>
        <w:t>pueda iniciar</w:t>
      </w:r>
      <w:r>
        <w:rPr>
          <w:spacing w:val="-10"/>
        </w:rPr>
        <w:t> </w:t>
      </w:r>
      <w:r>
        <w:rPr/>
        <w:t>con</w:t>
      </w:r>
      <w:r>
        <w:rPr>
          <w:spacing w:val="-9"/>
        </w:rPr>
        <w:t> </w:t>
      </w:r>
      <w:r>
        <w:rPr/>
        <w:t>el</w:t>
      </w:r>
      <w:r>
        <w:rPr>
          <w:spacing w:val="-10"/>
        </w:rPr>
        <w:t> </w:t>
      </w:r>
      <w:r>
        <w:rPr/>
        <w:t>proceso</w:t>
      </w:r>
      <w:r>
        <w:rPr>
          <w:spacing w:val="-9"/>
        </w:rPr>
        <w:t> </w:t>
      </w:r>
      <w:r>
        <w:rPr/>
        <w:t>de</w:t>
      </w:r>
      <w:r>
        <w:rPr>
          <w:spacing w:val="-11"/>
        </w:rPr>
        <w:t> </w:t>
      </w:r>
      <w:r>
        <w:rPr/>
        <w:t>revisión</w:t>
      </w:r>
      <w:r>
        <w:rPr>
          <w:spacing w:val="-9"/>
        </w:rPr>
        <w:t> </w:t>
      </w:r>
      <w:r>
        <w:rPr/>
        <w:t>de</w:t>
      </w:r>
      <w:r>
        <w:rPr>
          <w:spacing w:val="-11"/>
        </w:rPr>
        <w:t> </w:t>
      </w:r>
      <w:r>
        <w:rPr/>
        <w:t>documentación</w:t>
      </w:r>
      <w:r>
        <w:rPr>
          <w:spacing w:val="-9"/>
        </w:rPr>
        <w:t> </w:t>
      </w:r>
      <w:r>
        <w:rPr/>
        <w:t>relacionada</w:t>
      </w:r>
      <w:r>
        <w:rPr>
          <w:spacing w:val="-10"/>
        </w:rPr>
        <w:t> </w:t>
      </w:r>
      <w:r>
        <w:rPr/>
        <w:t>con</w:t>
      </w:r>
      <w:r>
        <w:rPr>
          <w:spacing w:val="-9"/>
        </w:rPr>
        <w:t> </w:t>
      </w:r>
      <w:r>
        <w:rPr/>
        <w:t>los</w:t>
      </w:r>
      <w:r>
        <w:rPr>
          <w:spacing w:val="-9"/>
        </w:rPr>
        <w:t> </w:t>
      </w:r>
      <w:r>
        <w:rPr/>
        <w:t>términos</w:t>
      </w:r>
      <w:r>
        <w:rPr>
          <w:spacing w:val="-9"/>
        </w:rPr>
        <w:t> </w:t>
      </w:r>
      <w:r>
        <w:rPr/>
        <w:t>de</w:t>
      </w:r>
      <w:r>
        <w:rPr>
          <w:spacing w:val="-11"/>
        </w:rPr>
        <w:t> </w:t>
      </w:r>
      <w:r>
        <w:rPr/>
        <w:t>referencia,</w:t>
      </w:r>
      <w:r>
        <w:rPr>
          <w:spacing w:val="-9"/>
        </w:rPr>
        <w:t> </w:t>
      </w:r>
      <w:r>
        <w:rPr/>
        <w:t>planos constructivos y presupuesto detallado para lograr sacar a concurso la construcción del edificio.</w:t>
      </w:r>
    </w:p>
    <w:p>
      <w:pPr>
        <w:spacing w:line="489" w:lineRule="auto" w:before="241"/>
        <w:ind w:left="691" w:right="3106" w:firstLine="0"/>
        <w:jc w:val="both"/>
        <w:rPr>
          <w:b/>
          <w:sz w:val="22"/>
        </w:rPr>
      </w:pPr>
      <w:r>
        <w:rPr>
          <w:sz w:val="22"/>
        </w:rPr>
        <w:t>Por lo tanto, se podría estimar que la construcción finalice en el año 2028. </w:t>
      </w:r>
      <w:r>
        <w:rPr>
          <w:b/>
          <w:sz w:val="22"/>
          <w:u w:val="single"/>
        </w:rPr>
        <w:t>Los</w:t>
      </w:r>
      <w:r>
        <w:rPr>
          <w:b/>
          <w:spacing w:val="-6"/>
          <w:sz w:val="22"/>
          <w:u w:val="single"/>
        </w:rPr>
        <w:t> </w:t>
      </w:r>
      <w:r>
        <w:rPr>
          <w:b/>
          <w:sz w:val="22"/>
          <w:u w:val="single"/>
        </w:rPr>
        <w:t>bienes</w:t>
      </w:r>
      <w:r>
        <w:rPr>
          <w:b/>
          <w:spacing w:val="-3"/>
          <w:sz w:val="22"/>
          <w:u w:val="single"/>
        </w:rPr>
        <w:t> </w:t>
      </w:r>
      <w:r>
        <w:rPr>
          <w:b/>
          <w:sz w:val="22"/>
          <w:u w:val="single"/>
        </w:rPr>
        <w:t>intangibles</w:t>
      </w:r>
      <w:r>
        <w:rPr>
          <w:b/>
          <w:spacing w:val="-3"/>
          <w:sz w:val="22"/>
          <w:u w:val="single"/>
        </w:rPr>
        <w:t> </w:t>
      </w:r>
      <w:r>
        <w:rPr>
          <w:b/>
          <w:sz w:val="22"/>
          <w:u w:val="single"/>
        </w:rPr>
        <w:t>proceso</w:t>
      </w:r>
      <w:r>
        <w:rPr>
          <w:b/>
          <w:spacing w:val="-4"/>
          <w:sz w:val="22"/>
          <w:u w:val="single"/>
        </w:rPr>
        <w:t> </w:t>
      </w:r>
      <w:r>
        <w:rPr>
          <w:b/>
          <w:sz w:val="22"/>
          <w:u w:val="single"/>
        </w:rPr>
        <w:t>de</w:t>
      </w:r>
      <w:r>
        <w:rPr>
          <w:b/>
          <w:spacing w:val="-4"/>
          <w:sz w:val="22"/>
          <w:u w:val="single"/>
        </w:rPr>
        <w:t> </w:t>
      </w:r>
      <w:r>
        <w:rPr>
          <w:b/>
          <w:sz w:val="22"/>
          <w:u w:val="single"/>
        </w:rPr>
        <w:t>producción</w:t>
      </w:r>
      <w:r>
        <w:rPr>
          <w:b/>
          <w:spacing w:val="-4"/>
          <w:sz w:val="22"/>
          <w:u w:val="single"/>
        </w:rPr>
        <w:t> </w:t>
      </w:r>
      <w:r>
        <w:rPr>
          <w:b/>
          <w:sz w:val="22"/>
          <w:u w:val="single"/>
        </w:rPr>
        <w:t>corresponden</w:t>
      </w:r>
      <w:r>
        <w:rPr>
          <w:b/>
          <w:spacing w:val="-4"/>
          <w:sz w:val="22"/>
          <w:u w:val="single"/>
        </w:rPr>
        <w:t> </w:t>
      </w:r>
      <w:r>
        <w:rPr>
          <w:b/>
          <w:sz w:val="22"/>
          <w:u w:val="single"/>
        </w:rPr>
        <w:t>a</w:t>
      </w:r>
      <w:r>
        <w:rPr>
          <w:b/>
          <w:spacing w:val="-4"/>
          <w:sz w:val="22"/>
          <w:u w:val="single"/>
        </w:rPr>
        <w:t> </w:t>
      </w:r>
      <w:r>
        <w:rPr>
          <w:b/>
          <w:sz w:val="22"/>
          <w:u w:val="single"/>
        </w:rPr>
        <w:t>los</w:t>
      </w:r>
      <w:r>
        <w:rPr>
          <w:b/>
          <w:spacing w:val="-3"/>
          <w:sz w:val="22"/>
          <w:u w:val="single"/>
        </w:rPr>
        <w:t> </w:t>
      </w:r>
      <w:r>
        <w:rPr>
          <w:b/>
          <w:spacing w:val="-2"/>
          <w:sz w:val="22"/>
          <w:u w:val="single"/>
        </w:rPr>
        <w:t>siguientes:</w:t>
      </w:r>
    </w:p>
    <w:p>
      <w:pPr>
        <w:pStyle w:val="BodyText"/>
        <w:spacing w:line="259" w:lineRule="auto"/>
        <w:ind w:left="691" w:right="885"/>
        <w:jc w:val="both"/>
      </w:pPr>
      <w:r>
        <w:rPr/>
        <w:t>Dados los fines otorgados por la Ley N°9137 de creación del SINIRUBE corresponde la realización de</w:t>
      </w:r>
      <w:r>
        <w:rPr>
          <w:spacing w:val="-1"/>
        </w:rPr>
        <w:t> </w:t>
      </w:r>
      <w:r>
        <w:rPr/>
        <w:t>software con el fin de</w:t>
      </w:r>
      <w:r>
        <w:rPr>
          <w:spacing w:val="-1"/>
        </w:rPr>
        <w:t> </w:t>
      </w:r>
      <w:r>
        <w:rPr/>
        <w:t>que las instituciones dispongan de</w:t>
      </w:r>
      <w:r>
        <w:rPr>
          <w:spacing w:val="-1"/>
        </w:rPr>
        <w:t> </w:t>
      </w:r>
      <w:r>
        <w:rPr/>
        <w:t>datos oportunos, veraces y precisos con el fin de lograr una distribución más eficaz y eficiente de los fondos públicos dedicados a programas </w:t>
      </w:r>
      <w:r>
        <w:rPr>
          <w:spacing w:val="-2"/>
        </w:rPr>
        <w:t>sociales.</w:t>
      </w:r>
    </w:p>
    <w:p>
      <w:pPr>
        <w:pStyle w:val="BodyText"/>
        <w:spacing w:line="259" w:lineRule="auto" w:before="237"/>
        <w:ind w:left="691" w:right="888"/>
        <w:jc w:val="both"/>
      </w:pPr>
      <w:r>
        <w:rPr/>
        <w:t>Por lo anterior, tal y como se ha venido trabajando en años anteriores, en el 2023 se creó activos en proceso</w:t>
      </w:r>
      <w:r>
        <w:rPr>
          <w:spacing w:val="-3"/>
        </w:rPr>
        <w:t> </w:t>
      </w:r>
      <w:r>
        <w:rPr/>
        <w:t>para</w:t>
      </w:r>
      <w:r>
        <w:rPr>
          <w:spacing w:val="-4"/>
        </w:rPr>
        <w:t> </w:t>
      </w:r>
      <w:r>
        <w:rPr/>
        <w:t>el</w:t>
      </w:r>
      <w:r>
        <w:rPr>
          <w:spacing w:val="-4"/>
        </w:rPr>
        <w:t> </w:t>
      </w:r>
      <w:r>
        <w:rPr/>
        <w:t>desarrollo</w:t>
      </w:r>
      <w:r>
        <w:rPr>
          <w:spacing w:val="-3"/>
        </w:rPr>
        <w:t> </w:t>
      </w:r>
      <w:r>
        <w:rPr/>
        <w:t>de</w:t>
      </w:r>
      <w:r>
        <w:rPr>
          <w:spacing w:val="-5"/>
        </w:rPr>
        <w:t> </w:t>
      </w:r>
      <w:r>
        <w:rPr/>
        <w:t>software</w:t>
      </w:r>
      <w:r>
        <w:rPr>
          <w:spacing w:val="-5"/>
        </w:rPr>
        <w:t> </w:t>
      </w:r>
      <w:r>
        <w:rPr/>
        <w:t>a</w:t>
      </w:r>
      <w:r>
        <w:rPr>
          <w:spacing w:val="-4"/>
        </w:rPr>
        <w:t> </w:t>
      </w:r>
      <w:r>
        <w:rPr/>
        <w:t>la</w:t>
      </w:r>
      <w:r>
        <w:rPr>
          <w:spacing w:val="-5"/>
        </w:rPr>
        <w:t> </w:t>
      </w:r>
      <w:r>
        <w:rPr/>
        <w:t>medida,</w:t>
      </w:r>
      <w:r>
        <w:rPr>
          <w:spacing w:val="-4"/>
        </w:rPr>
        <w:t> </w:t>
      </w:r>
      <w:r>
        <w:rPr/>
        <w:t>por</w:t>
      </w:r>
      <w:r>
        <w:rPr>
          <w:spacing w:val="-3"/>
        </w:rPr>
        <w:t> </w:t>
      </w:r>
      <w:r>
        <w:rPr/>
        <w:t>la</w:t>
      </w:r>
      <w:r>
        <w:rPr>
          <w:spacing w:val="-4"/>
        </w:rPr>
        <w:t> </w:t>
      </w:r>
      <w:r>
        <w:rPr/>
        <w:t>continuidad</w:t>
      </w:r>
      <w:r>
        <w:rPr>
          <w:spacing w:val="-4"/>
        </w:rPr>
        <w:t> </w:t>
      </w:r>
      <w:r>
        <w:rPr/>
        <w:t>del</w:t>
      </w:r>
      <w:r>
        <w:rPr>
          <w:spacing w:val="-4"/>
        </w:rPr>
        <w:t> </w:t>
      </w:r>
      <w:r>
        <w:rPr/>
        <w:t>negocio</w:t>
      </w:r>
      <w:r>
        <w:rPr>
          <w:spacing w:val="-3"/>
        </w:rPr>
        <w:t> </w:t>
      </w:r>
      <w:r>
        <w:rPr/>
        <w:t>que</w:t>
      </w:r>
      <w:r>
        <w:rPr>
          <w:spacing w:val="-5"/>
        </w:rPr>
        <w:t> </w:t>
      </w:r>
      <w:r>
        <w:rPr/>
        <w:t>debe</w:t>
      </w:r>
      <w:r>
        <w:rPr>
          <w:spacing w:val="-3"/>
        </w:rPr>
        <w:t> </w:t>
      </w:r>
      <w:r>
        <w:rPr/>
        <w:t>brindar</w:t>
      </w:r>
      <w:r>
        <w:rPr>
          <w:spacing w:val="-4"/>
        </w:rPr>
        <w:t> </w:t>
      </w:r>
      <w:r>
        <w:rPr/>
        <w:t>el SINIRUBE,</w:t>
      </w:r>
      <w:r>
        <w:rPr>
          <w:spacing w:val="-5"/>
        </w:rPr>
        <w:t> </w:t>
      </w:r>
      <w:r>
        <w:rPr/>
        <w:t>son</w:t>
      </w:r>
      <w:r>
        <w:rPr>
          <w:spacing w:val="-2"/>
        </w:rPr>
        <w:t> </w:t>
      </w:r>
      <w:r>
        <w:rPr/>
        <w:t>activos</w:t>
      </w:r>
      <w:r>
        <w:rPr>
          <w:spacing w:val="-1"/>
        </w:rPr>
        <w:t> </w:t>
      </w:r>
      <w:r>
        <w:rPr/>
        <w:t>que</w:t>
      </w:r>
      <w:r>
        <w:rPr>
          <w:spacing w:val="-3"/>
        </w:rPr>
        <w:t> </w:t>
      </w:r>
      <w:r>
        <w:rPr/>
        <w:t>durante</w:t>
      </w:r>
      <w:r>
        <w:rPr>
          <w:spacing w:val="-2"/>
        </w:rPr>
        <w:t> </w:t>
      </w:r>
      <w:r>
        <w:rPr/>
        <w:t>el</w:t>
      </w:r>
      <w:r>
        <w:rPr>
          <w:spacing w:val="-1"/>
        </w:rPr>
        <w:t> </w:t>
      </w:r>
      <w:r>
        <w:rPr/>
        <w:t>presente</w:t>
      </w:r>
      <w:r>
        <w:rPr>
          <w:spacing w:val="-2"/>
        </w:rPr>
        <w:t> </w:t>
      </w:r>
      <w:r>
        <w:rPr/>
        <w:t>período</w:t>
      </w:r>
      <w:r>
        <w:rPr>
          <w:spacing w:val="-2"/>
        </w:rPr>
        <w:t> </w:t>
      </w:r>
      <w:r>
        <w:rPr/>
        <w:t>2026</w:t>
      </w:r>
      <w:r>
        <w:rPr>
          <w:spacing w:val="-4"/>
        </w:rPr>
        <w:t> </w:t>
      </w:r>
      <w:r>
        <w:rPr/>
        <w:t>requerirán</w:t>
      </w:r>
      <w:r>
        <w:rPr>
          <w:spacing w:val="-2"/>
        </w:rPr>
        <w:t> </w:t>
      </w:r>
      <w:r>
        <w:rPr/>
        <w:t>la</w:t>
      </w:r>
      <w:r>
        <w:rPr>
          <w:spacing w:val="-3"/>
        </w:rPr>
        <w:t> </w:t>
      </w:r>
      <w:r>
        <w:rPr/>
        <w:t>realización</w:t>
      </w:r>
      <w:r>
        <w:rPr>
          <w:spacing w:val="-2"/>
        </w:rPr>
        <w:t> </w:t>
      </w:r>
      <w:r>
        <w:rPr/>
        <w:t>de</w:t>
      </w:r>
      <w:r>
        <w:rPr>
          <w:spacing w:val="-4"/>
        </w:rPr>
        <w:t> </w:t>
      </w:r>
      <w:r>
        <w:rPr/>
        <w:t>desarrollos adicionales, de módulos para brindar servicios a las instituciones, los cuales no son considerados mejoras menores, por lo que procedemos a detallar el estado actual de cada uno de los activos y los requerimientos a desarrollar:</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8240">
                <wp:simplePos x="0" y="0"/>
                <wp:positionH relativeFrom="page">
                  <wp:posOffset>9525</wp:posOffset>
                </wp:positionH>
                <wp:positionV relativeFrom="page">
                  <wp:posOffset>297208</wp:posOffset>
                </wp:positionV>
                <wp:extent cx="7762875" cy="9748520"/>
                <wp:effectExtent l="0" t="0" r="0" b="0"/>
                <wp:wrapNone/>
                <wp:docPr id="1068" name="Group 1068"/>
                <wp:cNvGraphicFramePr>
                  <a:graphicFrameLocks/>
                </wp:cNvGraphicFramePr>
                <a:graphic>
                  <a:graphicData uri="http://schemas.microsoft.com/office/word/2010/wordprocessingGroup">
                    <wpg:wgp>
                      <wpg:cNvPr id="1068" name="Group 1068"/>
                      <wpg:cNvGrpSpPr/>
                      <wpg:grpSpPr>
                        <a:xfrm>
                          <a:off x="0" y="0"/>
                          <a:ext cx="7762875" cy="9748520"/>
                          <a:chExt cx="7762875" cy="9748520"/>
                        </a:xfrm>
                      </wpg:grpSpPr>
                      <pic:pic>
                        <pic:nvPicPr>
                          <pic:cNvPr id="1069" name="Image 1069"/>
                          <pic:cNvPicPr/>
                        </pic:nvPicPr>
                        <pic:blipFill>
                          <a:blip r:embed="rId5" cstate="print"/>
                          <a:stretch>
                            <a:fillRect/>
                          </a:stretch>
                        </pic:blipFill>
                        <pic:spPr>
                          <a:xfrm>
                            <a:off x="0" y="0"/>
                            <a:ext cx="7762874" cy="9748489"/>
                          </a:xfrm>
                          <a:prstGeom prst="rect">
                            <a:avLst/>
                          </a:prstGeom>
                        </pic:spPr>
                      </pic:pic>
                      <wps:wsp>
                        <wps:cNvPr id="1070" name="Graphic 1070"/>
                        <wps:cNvSpPr/>
                        <wps:spPr>
                          <a:xfrm>
                            <a:off x="1053007" y="990837"/>
                            <a:ext cx="5736590" cy="7842250"/>
                          </a:xfrm>
                          <a:custGeom>
                            <a:avLst/>
                            <a:gdLst/>
                            <a:ahLst/>
                            <a:cxnLst/>
                            <a:rect l="l" t="t" r="r" b="b"/>
                            <a:pathLst>
                              <a:path w="5736590" h="7842250">
                                <a:moveTo>
                                  <a:pt x="21336" y="132651"/>
                                </a:moveTo>
                                <a:lnTo>
                                  <a:pt x="15240" y="132651"/>
                                </a:lnTo>
                                <a:lnTo>
                                  <a:pt x="15240" y="7835836"/>
                                </a:lnTo>
                                <a:lnTo>
                                  <a:pt x="21336" y="7835836"/>
                                </a:lnTo>
                                <a:lnTo>
                                  <a:pt x="21336" y="132651"/>
                                </a:lnTo>
                                <a:close/>
                              </a:path>
                              <a:path w="5736590" h="7842250">
                                <a:moveTo>
                                  <a:pt x="5649214" y="0"/>
                                </a:moveTo>
                                <a:lnTo>
                                  <a:pt x="0" y="0"/>
                                </a:lnTo>
                                <a:lnTo>
                                  <a:pt x="0" y="9131"/>
                                </a:lnTo>
                                <a:lnTo>
                                  <a:pt x="5649214" y="9131"/>
                                </a:lnTo>
                                <a:lnTo>
                                  <a:pt x="5649214" y="0"/>
                                </a:lnTo>
                                <a:close/>
                              </a:path>
                              <a:path w="5736590" h="7842250">
                                <a:moveTo>
                                  <a:pt x="5736018" y="7835849"/>
                                </a:moveTo>
                                <a:lnTo>
                                  <a:pt x="5729986" y="7835849"/>
                                </a:lnTo>
                                <a:lnTo>
                                  <a:pt x="21336" y="7835849"/>
                                </a:lnTo>
                                <a:lnTo>
                                  <a:pt x="15240" y="7835849"/>
                                </a:lnTo>
                                <a:lnTo>
                                  <a:pt x="15240" y="7841932"/>
                                </a:lnTo>
                                <a:lnTo>
                                  <a:pt x="21336" y="7841932"/>
                                </a:lnTo>
                                <a:lnTo>
                                  <a:pt x="5729935" y="7841932"/>
                                </a:lnTo>
                                <a:lnTo>
                                  <a:pt x="5736018" y="7841932"/>
                                </a:lnTo>
                                <a:lnTo>
                                  <a:pt x="5736018" y="7835849"/>
                                </a:lnTo>
                                <a:close/>
                              </a:path>
                              <a:path w="5736590" h="7842250">
                                <a:moveTo>
                                  <a:pt x="5736018" y="132651"/>
                                </a:moveTo>
                                <a:lnTo>
                                  <a:pt x="5729935" y="132651"/>
                                </a:lnTo>
                                <a:lnTo>
                                  <a:pt x="5729935" y="7835836"/>
                                </a:lnTo>
                                <a:lnTo>
                                  <a:pt x="5736018" y="7835836"/>
                                </a:lnTo>
                                <a:lnTo>
                                  <a:pt x="5736018" y="132651"/>
                                </a:lnTo>
                                <a:close/>
                              </a:path>
                              <a:path w="5736590" h="784225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1071" name="Image 1071"/>
                          <pic:cNvPicPr/>
                        </pic:nvPicPr>
                        <pic:blipFill>
                          <a:blip r:embed="rId109" cstate="print"/>
                          <a:stretch>
                            <a:fillRect/>
                          </a:stretch>
                        </pic:blipFill>
                        <pic:spPr>
                          <a:xfrm>
                            <a:off x="1650999" y="1174594"/>
                            <a:ext cx="4545711" cy="98615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78240" id="docshapegroup1015" coordorigin="15,468" coordsize="12225,15352">
                <v:shape style="position:absolute;left:15;top:468;width:12225;height:15352" type="#_x0000_t75" id="docshape1016" stroked="false">
                  <v:imagedata r:id="rId5" o:title=""/>
                </v:shape>
                <v:shape style="position:absolute;left:1673;top:2028;width:9034;height:12350" id="docshape1017" coordorigin="1673,2028" coordsize="9034,12350" path="m1707,2237l1697,2237,1697,14368,1707,14368,1707,2237xm10570,2028l1673,2028,1673,2043,10570,2043,10570,2028xm10706,14368l10697,14368,10697,14368,1707,14368,1697,14368,1697,14378,1707,14378,10697,14378,10697,14378,10706,14378,10706,14368xm10706,2237l10697,2237,10697,14368,10706,14368,10706,2237xm10706,2228l10697,2228,10697,2228,1707,2228,1697,2228,1697,2237,1707,2237,10697,2237,10697,2237,10706,2237,10706,2228xe" filled="true" fillcolor="#000000" stroked="false">
                  <v:path arrowok="t"/>
                  <v:fill type="solid"/>
                </v:shape>
                <v:shape style="position:absolute;left:2615;top:2317;width:7159;height:1553" type="#_x0000_t75" id="docshape1018" stroked="false">
                  <v:imagedata r:id="rId109" o:title=""/>
                </v:shape>
                <w10:wrap type="none"/>
              </v:group>
            </w:pict>
          </mc:Fallback>
        </mc:AlternateContent>
      </w:r>
      <w:r>
        <w:rPr>
          <w:color w:val="172951"/>
          <w:sz w:val="20"/>
        </w:rPr>
        <w:t>Pág.</w:t>
      </w:r>
      <w:r>
        <w:rPr>
          <w:color w:val="172951"/>
          <w:spacing w:val="-7"/>
          <w:sz w:val="20"/>
        </w:rPr>
        <w:t> </w:t>
      </w:r>
      <w:r>
        <w:rPr>
          <w:color w:val="172951"/>
          <w:spacing w:val="-5"/>
          <w:sz w:val="20"/>
        </w:rPr>
        <w:t>206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BodyText"/>
        <w:spacing w:line="259" w:lineRule="auto" w:before="1"/>
        <w:ind w:left="691" w:right="884"/>
        <w:jc w:val="both"/>
      </w:pPr>
      <w:r>
        <w:rPr/>
        <w:t>Con el oficio IMAS-SINIRUBE-1224-2026 se nos presenta un informe con el estado y avance porcentual de los activos en proceso, se procede a brindar el detalle de cada uno de estos:</w:t>
      </w:r>
    </w:p>
    <w:p>
      <w:pPr>
        <w:pStyle w:val="BodyText"/>
        <w:spacing w:line="259" w:lineRule="auto" w:before="238"/>
        <w:ind w:left="691" w:right="886"/>
        <w:jc w:val="both"/>
      </w:pPr>
      <w:r>
        <w:rPr>
          <w:b/>
        </w:rPr>
        <w:t>RIS 2.0-Activo en Proceso</w:t>
      </w:r>
      <w:r>
        <w:rPr/>
        <w:t>: Sistema de registro de información socioeconómica en su nueva versión, que</w:t>
      </w:r>
      <w:r>
        <w:rPr>
          <w:spacing w:val="-6"/>
        </w:rPr>
        <w:t> </w:t>
      </w:r>
      <w:r>
        <w:rPr/>
        <w:t>incorpora</w:t>
      </w:r>
      <w:r>
        <w:rPr>
          <w:spacing w:val="-8"/>
        </w:rPr>
        <w:t> </w:t>
      </w:r>
      <w:r>
        <w:rPr/>
        <w:t>mejoras</w:t>
      </w:r>
      <w:r>
        <w:rPr>
          <w:spacing w:val="-5"/>
        </w:rPr>
        <w:t> </w:t>
      </w:r>
      <w:r>
        <w:rPr/>
        <w:t>en</w:t>
      </w:r>
      <w:r>
        <w:rPr>
          <w:spacing w:val="-7"/>
        </w:rPr>
        <w:t> </w:t>
      </w:r>
      <w:r>
        <w:rPr/>
        <w:t>experiencia</w:t>
      </w:r>
      <w:r>
        <w:rPr>
          <w:spacing w:val="-6"/>
        </w:rPr>
        <w:t> </w:t>
      </w:r>
      <w:r>
        <w:rPr/>
        <w:t>de</w:t>
      </w:r>
      <w:r>
        <w:rPr>
          <w:spacing w:val="-6"/>
        </w:rPr>
        <w:t> </w:t>
      </w:r>
      <w:r>
        <w:rPr/>
        <w:t>usuario</w:t>
      </w:r>
      <w:r>
        <w:rPr>
          <w:spacing w:val="-6"/>
        </w:rPr>
        <w:t> </w:t>
      </w:r>
      <w:r>
        <w:rPr/>
        <w:t>(UX),</w:t>
      </w:r>
      <w:r>
        <w:rPr>
          <w:spacing w:val="-7"/>
        </w:rPr>
        <w:t> </w:t>
      </w:r>
      <w:r>
        <w:rPr/>
        <w:t>calidad</w:t>
      </w:r>
      <w:r>
        <w:rPr>
          <w:spacing w:val="-6"/>
        </w:rPr>
        <w:t> </w:t>
      </w:r>
      <w:r>
        <w:rPr/>
        <w:t>de</w:t>
      </w:r>
      <w:r>
        <w:rPr>
          <w:spacing w:val="-6"/>
        </w:rPr>
        <w:t> </w:t>
      </w:r>
      <w:r>
        <w:rPr/>
        <w:t>datos,</w:t>
      </w:r>
      <w:r>
        <w:rPr>
          <w:spacing w:val="-7"/>
        </w:rPr>
        <w:t> </w:t>
      </w:r>
      <w:r>
        <w:rPr/>
        <w:t>optimización</w:t>
      </w:r>
      <w:r>
        <w:rPr>
          <w:spacing w:val="-5"/>
        </w:rPr>
        <w:t> </w:t>
      </w:r>
      <w:r>
        <w:rPr/>
        <w:t>de</w:t>
      </w:r>
      <w:r>
        <w:rPr>
          <w:spacing w:val="-6"/>
        </w:rPr>
        <w:t> </w:t>
      </w:r>
      <w:r>
        <w:rPr/>
        <w:t>estructuras</w:t>
      </w:r>
      <w:r>
        <w:rPr>
          <w:spacing w:val="-6"/>
        </w:rPr>
        <w:t> </w:t>
      </w:r>
      <w:r>
        <w:rPr/>
        <w:t>e integración de información, así como ajustes normativos.</w:t>
      </w:r>
    </w:p>
    <w:p>
      <w:pPr>
        <w:pStyle w:val="BodyText"/>
        <w:spacing w:line="489" w:lineRule="auto" w:before="241"/>
        <w:ind w:left="691" w:right="4147"/>
        <w:jc w:val="both"/>
      </w:pPr>
      <w:r>
        <w:rPr/>
        <w:t>Estado</w:t>
      </w:r>
      <w:r>
        <w:rPr>
          <w:spacing w:val="-6"/>
        </w:rPr>
        <w:t> </w:t>
      </w:r>
      <w:r>
        <w:rPr/>
        <w:t>general:</w:t>
      </w:r>
      <w:r>
        <w:rPr>
          <w:spacing w:val="-8"/>
        </w:rPr>
        <w:t> </w:t>
      </w:r>
      <w:r>
        <w:rPr/>
        <w:t>En</w:t>
      </w:r>
      <w:r>
        <w:rPr>
          <w:spacing w:val="-6"/>
        </w:rPr>
        <w:t> </w:t>
      </w:r>
      <w:r>
        <w:rPr/>
        <w:t>desarrollo</w:t>
      </w:r>
      <w:r>
        <w:rPr>
          <w:spacing w:val="-6"/>
        </w:rPr>
        <w:t> </w:t>
      </w:r>
      <w:r>
        <w:rPr/>
        <w:t>mediante</w:t>
      </w:r>
      <w:r>
        <w:rPr>
          <w:spacing w:val="-6"/>
        </w:rPr>
        <w:t> </w:t>
      </w:r>
      <w:r>
        <w:rPr/>
        <w:t>componentes</w:t>
      </w:r>
      <w:r>
        <w:rPr>
          <w:spacing w:val="-6"/>
        </w:rPr>
        <w:t> </w:t>
      </w:r>
      <w:r>
        <w:rPr/>
        <w:t>asociados. </w:t>
      </w:r>
      <w:r>
        <w:rPr>
          <w:spacing w:val="-2"/>
          <w:u w:val="single"/>
        </w:rPr>
        <w:t>Detalle</w:t>
      </w:r>
      <w:r>
        <w:rPr>
          <w:spacing w:val="-2"/>
          <w:u w:val="none"/>
        </w:rPr>
        <w:t>:</w:t>
      </w:r>
    </w:p>
    <w:p>
      <w:pPr>
        <w:pStyle w:val="BodyText"/>
        <w:spacing w:line="250" w:lineRule="exact"/>
        <w:ind w:left="691"/>
      </w:pPr>
      <w:r>
        <w:rPr/>
        <w:t>Calidad</w:t>
      </w:r>
      <w:r>
        <w:rPr>
          <w:spacing w:val="-3"/>
        </w:rPr>
        <w:t> </w:t>
      </w:r>
      <w:r>
        <w:rPr/>
        <w:t>del</w:t>
      </w:r>
      <w:r>
        <w:rPr>
          <w:spacing w:val="-2"/>
        </w:rPr>
        <w:t> </w:t>
      </w:r>
      <w:r>
        <w:rPr/>
        <w:t>Dato:</w:t>
      </w:r>
      <w:r>
        <w:rPr>
          <w:spacing w:val="-3"/>
        </w:rPr>
        <w:t> </w:t>
      </w:r>
      <w:r>
        <w:rPr/>
        <w:t>64%</w:t>
      </w:r>
      <w:r>
        <w:rPr>
          <w:spacing w:val="-3"/>
        </w:rPr>
        <w:t> </w:t>
      </w:r>
      <w:r>
        <w:rPr/>
        <w:t>–</w:t>
      </w:r>
      <w:r>
        <w:rPr>
          <w:spacing w:val="-3"/>
        </w:rPr>
        <w:t> </w:t>
      </w:r>
      <w:r>
        <w:rPr/>
        <w:t>No</w:t>
      </w:r>
      <w:r>
        <w:rPr>
          <w:spacing w:val="-2"/>
        </w:rPr>
        <w:t> </w:t>
      </w:r>
      <w:r>
        <w:rPr/>
        <w:t>se</w:t>
      </w:r>
      <w:r>
        <w:rPr>
          <w:spacing w:val="-4"/>
        </w:rPr>
        <w:t> </w:t>
      </w:r>
      <w:r>
        <w:rPr/>
        <w:t>encuentra</w:t>
      </w:r>
      <w:r>
        <w:rPr>
          <w:spacing w:val="-2"/>
        </w:rPr>
        <w:t> </w:t>
      </w:r>
      <w:r>
        <w:rPr/>
        <w:t>en</w:t>
      </w:r>
      <w:r>
        <w:rPr>
          <w:spacing w:val="-2"/>
        </w:rPr>
        <w:t> </w:t>
      </w:r>
      <w:r>
        <w:rPr>
          <w:spacing w:val="-4"/>
        </w:rPr>
        <w:t>uso.</w:t>
      </w:r>
    </w:p>
    <w:p>
      <w:pPr>
        <w:pStyle w:val="BodyText"/>
        <w:spacing w:before="6"/>
      </w:pPr>
    </w:p>
    <w:p>
      <w:pPr>
        <w:pStyle w:val="BodyText"/>
        <w:spacing w:line="261" w:lineRule="auto" w:before="1"/>
        <w:ind w:left="691"/>
      </w:pPr>
      <w:r>
        <w:rPr/>
        <w:t>Integración</w:t>
      </w:r>
      <w:r>
        <w:rPr>
          <w:spacing w:val="29"/>
        </w:rPr>
        <w:t> </w:t>
      </w:r>
      <w:r>
        <w:rPr/>
        <w:t>de</w:t>
      </w:r>
      <w:r>
        <w:rPr>
          <w:spacing w:val="27"/>
        </w:rPr>
        <w:t> </w:t>
      </w:r>
      <w:r>
        <w:rPr/>
        <w:t>la</w:t>
      </w:r>
      <w:r>
        <w:rPr>
          <w:spacing w:val="27"/>
        </w:rPr>
        <w:t> </w:t>
      </w:r>
      <w:r>
        <w:rPr/>
        <w:t>Información:</w:t>
      </w:r>
      <w:r>
        <w:rPr>
          <w:spacing w:val="28"/>
        </w:rPr>
        <w:t> </w:t>
      </w:r>
      <w:r>
        <w:rPr/>
        <w:t>Integrado</w:t>
      </w:r>
      <w:r>
        <w:rPr>
          <w:spacing w:val="29"/>
        </w:rPr>
        <w:t> </w:t>
      </w:r>
      <w:r>
        <w:rPr/>
        <w:t>dentro</w:t>
      </w:r>
      <w:r>
        <w:rPr>
          <w:spacing w:val="29"/>
        </w:rPr>
        <w:t> </w:t>
      </w:r>
      <w:r>
        <w:rPr/>
        <w:t>del</w:t>
      </w:r>
      <w:r>
        <w:rPr>
          <w:spacing w:val="28"/>
        </w:rPr>
        <w:t> </w:t>
      </w:r>
      <w:r>
        <w:rPr/>
        <w:t>componente</w:t>
      </w:r>
      <w:r>
        <w:rPr>
          <w:spacing w:val="28"/>
        </w:rPr>
        <w:t> </w:t>
      </w:r>
      <w:r>
        <w:rPr/>
        <w:t>de</w:t>
      </w:r>
      <w:r>
        <w:rPr>
          <w:spacing w:val="27"/>
        </w:rPr>
        <w:t> </w:t>
      </w:r>
      <w:r>
        <w:rPr/>
        <w:t>Calidad</w:t>
      </w:r>
      <w:r>
        <w:rPr>
          <w:spacing w:val="26"/>
        </w:rPr>
        <w:t> </w:t>
      </w:r>
      <w:r>
        <w:rPr/>
        <w:t>del</w:t>
      </w:r>
      <w:r>
        <w:rPr>
          <w:spacing w:val="28"/>
        </w:rPr>
        <w:t> </w:t>
      </w:r>
      <w:r>
        <w:rPr/>
        <w:t>Dato,</w:t>
      </w:r>
      <w:r>
        <w:rPr>
          <w:spacing w:val="29"/>
        </w:rPr>
        <w:t> </w:t>
      </w:r>
      <w:r>
        <w:rPr/>
        <w:t>sin</w:t>
      </w:r>
      <w:r>
        <w:rPr>
          <w:spacing w:val="28"/>
        </w:rPr>
        <w:t> </w:t>
      </w:r>
      <w:r>
        <w:rPr/>
        <w:t>avance </w:t>
      </w:r>
      <w:r>
        <w:rPr>
          <w:spacing w:val="-2"/>
        </w:rPr>
        <w:t>independiente.</w:t>
      </w:r>
    </w:p>
    <w:p>
      <w:pPr>
        <w:pStyle w:val="BodyText"/>
        <w:spacing w:before="235"/>
        <w:ind w:left="691"/>
      </w:pPr>
      <w:r>
        <w:rPr/>
        <w:t>SUPRES</w:t>
      </w:r>
      <w:r>
        <w:rPr>
          <w:spacing w:val="-2"/>
        </w:rPr>
        <w:t> </w:t>
      </w:r>
      <w:r>
        <w:rPr/>
        <w:t>Fase</w:t>
      </w:r>
      <w:r>
        <w:rPr>
          <w:spacing w:val="-3"/>
        </w:rPr>
        <w:t> </w:t>
      </w:r>
      <w:r>
        <w:rPr/>
        <w:t>II:</w:t>
      </w:r>
      <w:r>
        <w:rPr>
          <w:spacing w:val="-3"/>
        </w:rPr>
        <w:t> </w:t>
      </w:r>
      <w:r>
        <w:rPr/>
        <w:t>100%</w:t>
      </w:r>
      <w:r>
        <w:rPr>
          <w:spacing w:val="-2"/>
        </w:rPr>
        <w:t> </w:t>
      </w:r>
      <w:r>
        <w:rPr/>
        <w:t>–</w:t>
      </w:r>
      <w:r>
        <w:rPr>
          <w:spacing w:val="-3"/>
        </w:rPr>
        <w:t> </w:t>
      </w:r>
      <w:r>
        <w:rPr/>
        <w:t>En</w:t>
      </w:r>
      <w:r>
        <w:rPr>
          <w:spacing w:val="-2"/>
        </w:rPr>
        <w:t> </w:t>
      </w:r>
      <w:r>
        <w:rPr/>
        <w:t>uso</w:t>
      </w:r>
      <w:r>
        <w:rPr>
          <w:spacing w:val="-2"/>
        </w:rPr>
        <w:t> </w:t>
      </w:r>
      <w:r>
        <w:rPr/>
        <w:t>y</w:t>
      </w:r>
      <w:r>
        <w:rPr>
          <w:spacing w:val="-3"/>
        </w:rPr>
        <w:t> </w:t>
      </w:r>
      <w:r>
        <w:rPr/>
        <w:t>en</w:t>
      </w:r>
      <w:r>
        <w:rPr>
          <w:spacing w:val="-2"/>
        </w:rPr>
        <w:t> producción.</w:t>
      </w:r>
    </w:p>
    <w:p>
      <w:pPr>
        <w:pStyle w:val="BodyText"/>
        <w:spacing w:before="10"/>
      </w:pPr>
    </w:p>
    <w:p>
      <w:pPr>
        <w:pStyle w:val="BodyText"/>
        <w:spacing w:line="489" w:lineRule="auto"/>
        <w:ind w:left="691" w:right="2824"/>
      </w:pPr>
      <w:r>
        <w:rPr/>
        <w:t>SUPRES Fase III: 0% – se mantiene en etapa inicial. No está en uso. GeoSINIRUBE:</w:t>
      </w:r>
      <w:r>
        <w:rPr>
          <w:spacing w:val="-4"/>
        </w:rPr>
        <w:t> </w:t>
      </w:r>
      <w:r>
        <w:rPr/>
        <w:t>87%</w:t>
      </w:r>
      <w:r>
        <w:rPr>
          <w:spacing w:val="-3"/>
        </w:rPr>
        <w:t> </w:t>
      </w:r>
      <w:r>
        <w:rPr/>
        <w:t>–</w:t>
      </w:r>
      <w:r>
        <w:rPr>
          <w:spacing w:val="-4"/>
        </w:rPr>
        <w:t> </w:t>
      </w:r>
      <w:r>
        <w:rPr/>
        <w:t>En</w:t>
      </w:r>
      <w:r>
        <w:rPr>
          <w:spacing w:val="-5"/>
        </w:rPr>
        <w:t> </w:t>
      </w:r>
      <w:r>
        <w:rPr/>
        <w:t>desarrollo,</w:t>
      </w:r>
      <w:r>
        <w:rPr>
          <w:spacing w:val="-6"/>
        </w:rPr>
        <w:t> </w:t>
      </w:r>
      <w:r>
        <w:rPr/>
        <w:t>no</w:t>
      </w:r>
      <w:r>
        <w:rPr>
          <w:spacing w:val="-3"/>
        </w:rPr>
        <w:t> </w:t>
      </w:r>
      <w:r>
        <w:rPr/>
        <w:t>en</w:t>
      </w:r>
      <w:r>
        <w:rPr>
          <w:spacing w:val="-3"/>
        </w:rPr>
        <w:t> </w:t>
      </w:r>
      <w:r>
        <w:rPr/>
        <w:t>producción,</w:t>
      </w:r>
      <w:r>
        <w:rPr>
          <w:spacing w:val="-3"/>
        </w:rPr>
        <w:t> </w:t>
      </w:r>
      <w:r>
        <w:rPr/>
        <w:t>no</w:t>
      </w:r>
      <w:r>
        <w:rPr>
          <w:spacing w:val="-2"/>
        </w:rPr>
        <w:t> </w:t>
      </w:r>
      <w:r>
        <w:rPr/>
        <w:t>está</w:t>
      </w:r>
      <w:r>
        <w:rPr>
          <w:spacing w:val="-3"/>
        </w:rPr>
        <w:t> </w:t>
      </w:r>
      <w:r>
        <w:rPr/>
        <w:t>en</w:t>
      </w:r>
      <w:r>
        <w:rPr>
          <w:spacing w:val="-3"/>
        </w:rPr>
        <w:t> </w:t>
      </w:r>
      <w:r>
        <w:rPr/>
        <w:t>uso.</w:t>
      </w:r>
    </w:p>
    <w:p>
      <w:pPr>
        <w:pStyle w:val="BodyText"/>
      </w:pPr>
    </w:p>
    <w:p>
      <w:pPr>
        <w:pStyle w:val="BodyText"/>
        <w:spacing w:before="5"/>
      </w:pPr>
    </w:p>
    <w:p>
      <w:pPr>
        <w:pStyle w:val="ListParagraph"/>
        <w:numPr>
          <w:ilvl w:val="0"/>
          <w:numId w:val="82"/>
        </w:numPr>
        <w:tabs>
          <w:tab w:pos="853" w:val="left" w:leader="none"/>
        </w:tabs>
        <w:spacing w:line="259" w:lineRule="auto" w:before="0" w:after="0"/>
        <w:ind w:left="691" w:right="883" w:firstLine="0"/>
        <w:jc w:val="both"/>
        <w:rPr>
          <w:b/>
          <w:sz w:val="20"/>
        </w:rPr>
      </w:pPr>
      <w:r>
        <w:rPr>
          <w:b/>
          <w:sz w:val="22"/>
        </w:rPr>
        <w:t>SIGAS (Sistema de Gestión Administrativa del SINIRUBE) - Activo en Proceso: </w:t>
      </w:r>
      <w:r>
        <w:rPr>
          <w:sz w:val="22"/>
        </w:rPr>
        <w:t>Herramienta para la gestión administrativa institucional, incluyendo planificación estratégica, control interno, gestión de proyectos, contratación pública y convenios.</w:t>
      </w:r>
    </w:p>
    <w:p>
      <w:pPr>
        <w:pStyle w:val="BodyText"/>
        <w:spacing w:before="241"/>
        <w:ind w:left="691"/>
      </w:pPr>
      <w:r>
        <w:rPr>
          <w:u w:val="single"/>
        </w:rPr>
        <w:t>Estado</w:t>
      </w:r>
      <w:r>
        <w:rPr>
          <w:spacing w:val="-6"/>
          <w:u w:val="single"/>
        </w:rPr>
        <w:t> </w:t>
      </w:r>
      <w:r>
        <w:rPr>
          <w:u w:val="single"/>
        </w:rPr>
        <w:t>general</w:t>
      </w:r>
      <w:r>
        <w:rPr>
          <w:u w:val="none"/>
        </w:rPr>
        <w:t>:</w:t>
      </w:r>
      <w:r>
        <w:rPr>
          <w:spacing w:val="-5"/>
          <w:u w:val="none"/>
        </w:rPr>
        <w:t> </w:t>
      </w:r>
      <w:r>
        <w:rPr>
          <w:u w:val="none"/>
        </w:rPr>
        <w:t>En</w:t>
      </w:r>
      <w:r>
        <w:rPr>
          <w:spacing w:val="-3"/>
          <w:u w:val="none"/>
        </w:rPr>
        <w:t> </w:t>
      </w:r>
      <w:r>
        <w:rPr>
          <w:u w:val="none"/>
        </w:rPr>
        <w:t>proceso</w:t>
      </w:r>
      <w:r>
        <w:rPr>
          <w:spacing w:val="-6"/>
          <w:u w:val="none"/>
        </w:rPr>
        <w:t> </w:t>
      </w:r>
      <w:r>
        <w:rPr>
          <w:u w:val="none"/>
        </w:rPr>
        <w:t>de</w:t>
      </w:r>
      <w:r>
        <w:rPr>
          <w:spacing w:val="-5"/>
          <w:u w:val="none"/>
        </w:rPr>
        <w:t> </w:t>
      </w:r>
      <w:r>
        <w:rPr>
          <w:u w:val="none"/>
        </w:rPr>
        <w:t>pruebas</w:t>
      </w:r>
      <w:r>
        <w:rPr>
          <w:spacing w:val="-3"/>
          <w:u w:val="none"/>
        </w:rPr>
        <w:t> </w:t>
      </w:r>
      <w:r>
        <w:rPr>
          <w:u w:val="none"/>
        </w:rPr>
        <w:t>de</w:t>
      </w:r>
      <w:r>
        <w:rPr>
          <w:spacing w:val="-5"/>
          <w:u w:val="none"/>
        </w:rPr>
        <w:t> </w:t>
      </w:r>
      <w:r>
        <w:rPr>
          <w:u w:val="none"/>
        </w:rPr>
        <w:t>calidad,</w:t>
      </w:r>
      <w:r>
        <w:rPr>
          <w:spacing w:val="-4"/>
          <w:u w:val="none"/>
        </w:rPr>
        <w:t> </w:t>
      </w:r>
      <w:r>
        <w:rPr>
          <w:u w:val="none"/>
        </w:rPr>
        <w:t>sujeto</w:t>
      </w:r>
      <w:r>
        <w:rPr>
          <w:spacing w:val="-3"/>
          <w:u w:val="none"/>
        </w:rPr>
        <w:t> </w:t>
      </w:r>
      <w:r>
        <w:rPr>
          <w:u w:val="none"/>
        </w:rPr>
        <w:t>a</w:t>
      </w:r>
      <w:r>
        <w:rPr>
          <w:spacing w:val="-4"/>
          <w:u w:val="none"/>
        </w:rPr>
        <w:t> </w:t>
      </w:r>
      <w:r>
        <w:rPr>
          <w:u w:val="none"/>
        </w:rPr>
        <w:t>disponibilidad</w:t>
      </w:r>
      <w:r>
        <w:rPr>
          <w:spacing w:val="-4"/>
          <w:u w:val="none"/>
        </w:rPr>
        <w:t> </w:t>
      </w:r>
      <w:r>
        <w:rPr>
          <w:u w:val="none"/>
        </w:rPr>
        <w:t>de</w:t>
      </w:r>
      <w:r>
        <w:rPr>
          <w:spacing w:val="-4"/>
          <w:u w:val="none"/>
        </w:rPr>
        <w:t> </w:t>
      </w:r>
      <w:r>
        <w:rPr>
          <w:spacing w:val="-2"/>
          <w:u w:val="none"/>
        </w:rPr>
        <w:t>recursos.</w:t>
      </w:r>
    </w:p>
    <w:p>
      <w:pPr>
        <w:pStyle w:val="BodyText"/>
        <w:spacing w:before="10"/>
      </w:pPr>
    </w:p>
    <w:p>
      <w:pPr>
        <w:pStyle w:val="BodyText"/>
        <w:ind w:left="691"/>
      </w:pPr>
      <w:r>
        <w:rPr>
          <w:spacing w:val="-2"/>
        </w:rPr>
        <w:t>Detalle:</w:t>
      </w:r>
    </w:p>
    <w:p>
      <w:pPr>
        <w:pStyle w:val="BodyText"/>
        <w:spacing w:before="9"/>
      </w:pPr>
    </w:p>
    <w:p>
      <w:pPr>
        <w:pStyle w:val="ListParagraph"/>
        <w:numPr>
          <w:ilvl w:val="0"/>
          <w:numId w:val="91"/>
        </w:numPr>
        <w:tabs>
          <w:tab w:pos="892" w:val="left" w:leader="none"/>
        </w:tabs>
        <w:spacing w:line="240" w:lineRule="auto" w:before="0" w:after="0"/>
        <w:ind w:left="892" w:right="0" w:hanging="201"/>
        <w:jc w:val="left"/>
        <w:rPr>
          <w:sz w:val="22"/>
        </w:rPr>
      </w:pPr>
      <w:r>
        <w:rPr>
          <w:sz w:val="22"/>
        </w:rPr>
        <w:t>SIGAS</w:t>
      </w:r>
      <w:r>
        <w:rPr>
          <w:spacing w:val="-3"/>
          <w:sz w:val="22"/>
        </w:rPr>
        <w:t> </w:t>
      </w:r>
      <w:r>
        <w:rPr>
          <w:sz w:val="22"/>
        </w:rPr>
        <w:t>(núcleo):</w:t>
      </w:r>
      <w:r>
        <w:rPr>
          <w:spacing w:val="-4"/>
          <w:sz w:val="22"/>
        </w:rPr>
        <w:t> </w:t>
      </w:r>
      <w:r>
        <w:rPr>
          <w:sz w:val="22"/>
        </w:rPr>
        <w:t>87%</w:t>
      </w:r>
      <w:r>
        <w:rPr>
          <w:spacing w:val="-2"/>
          <w:sz w:val="22"/>
        </w:rPr>
        <w:t> </w:t>
      </w:r>
      <w:r>
        <w:rPr>
          <w:sz w:val="22"/>
        </w:rPr>
        <w:t>–</w:t>
      </w:r>
      <w:r>
        <w:rPr>
          <w:spacing w:val="-5"/>
          <w:sz w:val="22"/>
        </w:rPr>
        <w:t> </w:t>
      </w:r>
      <w:r>
        <w:rPr>
          <w:sz w:val="22"/>
        </w:rPr>
        <w:t>No</w:t>
      </w:r>
      <w:r>
        <w:rPr>
          <w:spacing w:val="-3"/>
          <w:sz w:val="22"/>
        </w:rPr>
        <w:t> </w:t>
      </w:r>
      <w:r>
        <w:rPr>
          <w:sz w:val="22"/>
        </w:rPr>
        <w:t>se</w:t>
      </w:r>
      <w:r>
        <w:rPr>
          <w:spacing w:val="-4"/>
          <w:sz w:val="22"/>
        </w:rPr>
        <w:t> </w:t>
      </w:r>
      <w:r>
        <w:rPr>
          <w:sz w:val="22"/>
        </w:rPr>
        <w:t>encuentra</w:t>
      </w:r>
      <w:r>
        <w:rPr>
          <w:spacing w:val="-3"/>
          <w:sz w:val="22"/>
        </w:rPr>
        <w:t> </w:t>
      </w:r>
      <w:r>
        <w:rPr>
          <w:sz w:val="22"/>
        </w:rPr>
        <w:t>en</w:t>
      </w:r>
      <w:r>
        <w:rPr>
          <w:spacing w:val="-3"/>
          <w:sz w:val="22"/>
        </w:rPr>
        <w:t> </w:t>
      </w:r>
      <w:r>
        <w:rPr>
          <w:spacing w:val="-4"/>
          <w:sz w:val="22"/>
        </w:rPr>
        <w:t>uso.</w:t>
      </w:r>
    </w:p>
    <w:p>
      <w:pPr>
        <w:pStyle w:val="BodyText"/>
        <w:spacing w:before="7"/>
      </w:pPr>
    </w:p>
    <w:p>
      <w:pPr>
        <w:pStyle w:val="ListParagraph"/>
        <w:numPr>
          <w:ilvl w:val="0"/>
          <w:numId w:val="91"/>
        </w:numPr>
        <w:tabs>
          <w:tab w:pos="892" w:val="left" w:leader="none"/>
        </w:tabs>
        <w:spacing w:line="240" w:lineRule="auto" w:before="0" w:after="0"/>
        <w:ind w:left="892" w:right="0" w:hanging="201"/>
        <w:jc w:val="left"/>
        <w:rPr>
          <w:sz w:val="22"/>
        </w:rPr>
      </w:pPr>
      <w:r>
        <w:rPr>
          <w:sz w:val="22"/>
        </w:rPr>
        <w:t>SIGAS</w:t>
      </w:r>
      <w:r>
        <w:rPr>
          <w:spacing w:val="-5"/>
          <w:sz w:val="22"/>
        </w:rPr>
        <w:t> </w:t>
      </w:r>
      <w:r>
        <w:rPr>
          <w:sz w:val="22"/>
        </w:rPr>
        <w:t>–</w:t>
      </w:r>
      <w:r>
        <w:rPr>
          <w:spacing w:val="-5"/>
          <w:sz w:val="22"/>
        </w:rPr>
        <w:t> </w:t>
      </w:r>
      <w:r>
        <w:rPr>
          <w:sz w:val="22"/>
        </w:rPr>
        <w:t>Evaluación</w:t>
      </w:r>
      <w:r>
        <w:rPr>
          <w:spacing w:val="-4"/>
          <w:sz w:val="22"/>
        </w:rPr>
        <w:t> </w:t>
      </w:r>
      <w:r>
        <w:rPr>
          <w:sz w:val="22"/>
        </w:rPr>
        <w:t>del</w:t>
      </w:r>
      <w:r>
        <w:rPr>
          <w:spacing w:val="-4"/>
          <w:sz w:val="22"/>
        </w:rPr>
        <w:t> </w:t>
      </w:r>
      <w:r>
        <w:rPr>
          <w:sz w:val="22"/>
        </w:rPr>
        <w:t>Desempeño</w:t>
      </w:r>
      <w:r>
        <w:rPr>
          <w:spacing w:val="-3"/>
          <w:sz w:val="22"/>
        </w:rPr>
        <w:t> </w:t>
      </w:r>
      <w:r>
        <w:rPr>
          <w:sz w:val="22"/>
        </w:rPr>
        <w:t>Estratégico:</w:t>
      </w:r>
      <w:r>
        <w:rPr>
          <w:spacing w:val="-5"/>
          <w:sz w:val="22"/>
        </w:rPr>
        <w:t> </w:t>
      </w:r>
      <w:r>
        <w:rPr>
          <w:sz w:val="22"/>
        </w:rPr>
        <w:t>0%</w:t>
      </w:r>
      <w:r>
        <w:rPr>
          <w:spacing w:val="-3"/>
          <w:sz w:val="22"/>
        </w:rPr>
        <w:t> </w:t>
      </w:r>
      <w:r>
        <w:rPr>
          <w:sz w:val="22"/>
        </w:rPr>
        <w:t>–</w:t>
      </w:r>
      <w:r>
        <w:rPr>
          <w:spacing w:val="-5"/>
          <w:sz w:val="22"/>
        </w:rPr>
        <w:t> </w:t>
      </w:r>
      <w:r>
        <w:rPr>
          <w:sz w:val="22"/>
        </w:rPr>
        <w:t>Requiere</w:t>
      </w:r>
      <w:r>
        <w:rPr>
          <w:spacing w:val="-5"/>
          <w:sz w:val="22"/>
        </w:rPr>
        <w:t> </w:t>
      </w:r>
      <w:r>
        <w:rPr>
          <w:sz w:val="22"/>
        </w:rPr>
        <w:t>creación</w:t>
      </w:r>
      <w:r>
        <w:rPr>
          <w:spacing w:val="-4"/>
          <w:sz w:val="22"/>
        </w:rPr>
        <w:t> </w:t>
      </w:r>
      <w:r>
        <w:rPr>
          <w:sz w:val="22"/>
        </w:rPr>
        <w:t>y</w:t>
      </w:r>
      <w:r>
        <w:rPr>
          <w:spacing w:val="-5"/>
          <w:sz w:val="22"/>
        </w:rPr>
        <w:t> </w:t>
      </w:r>
      <w:r>
        <w:rPr>
          <w:sz w:val="22"/>
        </w:rPr>
        <w:t>asignación</w:t>
      </w:r>
      <w:r>
        <w:rPr>
          <w:spacing w:val="-4"/>
          <w:sz w:val="22"/>
        </w:rPr>
        <w:t> </w:t>
      </w:r>
      <w:r>
        <w:rPr>
          <w:sz w:val="22"/>
        </w:rPr>
        <w:t>de</w:t>
      </w:r>
      <w:r>
        <w:rPr>
          <w:spacing w:val="-5"/>
          <w:sz w:val="22"/>
        </w:rPr>
        <w:t> </w:t>
      </w:r>
      <w:r>
        <w:rPr>
          <w:spacing w:val="-2"/>
          <w:sz w:val="22"/>
        </w:rPr>
        <w:t>activo.</w:t>
      </w:r>
    </w:p>
    <w:p>
      <w:pPr>
        <w:pStyle w:val="BodyText"/>
        <w:spacing w:before="9"/>
      </w:pPr>
    </w:p>
    <w:p>
      <w:pPr>
        <w:pStyle w:val="ListParagraph"/>
        <w:numPr>
          <w:ilvl w:val="0"/>
          <w:numId w:val="91"/>
        </w:numPr>
        <w:tabs>
          <w:tab w:pos="892" w:val="left" w:leader="none"/>
        </w:tabs>
        <w:spacing w:line="240" w:lineRule="auto" w:before="0" w:after="0"/>
        <w:ind w:left="892" w:right="0" w:hanging="201"/>
        <w:jc w:val="left"/>
        <w:rPr>
          <w:sz w:val="22"/>
        </w:rPr>
      </w:pPr>
      <w:r>
        <w:rPr>
          <w:sz w:val="22"/>
        </w:rPr>
        <w:t>SIGAS</w:t>
      </w:r>
      <w:r>
        <w:rPr>
          <w:spacing w:val="-2"/>
          <w:sz w:val="22"/>
        </w:rPr>
        <w:t> </w:t>
      </w:r>
      <w:r>
        <w:rPr>
          <w:sz w:val="22"/>
        </w:rPr>
        <w:t>–</w:t>
      </w:r>
      <w:r>
        <w:rPr>
          <w:spacing w:val="-4"/>
          <w:sz w:val="22"/>
        </w:rPr>
        <w:t> </w:t>
      </w:r>
      <w:r>
        <w:rPr>
          <w:sz w:val="22"/>
        </w:rPr>
        <w:t>Módulo</w:t>
      </w:r>
      <w:r>
        <w:rPr>
          <w:spacing w:val="-3"/>
          <w:sz w:val="22"/>
        </w:rPr>
        <w:t> </w:t>
      </w:r>
      <w:r>
        <w:rPr>
          <w:sz w:val="22"/>
        </w:rPr>
        <w:t>de</w:t>
      </w:r>
      <w:r>
        <w:rPr>
          <w:spacing w:val="-5"/>
          <w:sz w:val="22"/>
        </w:rPr>
        <w:t> </w:t>
      </w:r>
      <w:r>
        <w:rPr>
          <w:sz w:val="22"/>
        </w:rPr>
        <w:t>Convenios:</w:t>
      </w:r>
      <w:r>
        <w:rPr>
          <w:spacing w:val="-4"/>
          <w:sz w:val="22"/>
        </w:rPr>
        <w:t> </w:t>
      </w:r>
      <w:r>
        <w:rPr>
          <w:sz w:val="22"/>
        </w:rPr>
        <w:t>30%.</w:t>
      </w:r>
      <w:r>
        <w:rPr>
          <w:spacing w:val="-5"/>
          <w:sz w:val="22"/>
        </w:rPr>
        <w:t> </w:t>
      </w:r>
      <w:r>
        <w:rPr>
          <w:sz w:val="22"/>
        </w:rPr>
        <w:t>En</w:t>
      </w:r>
      <w:r>
        <w:rPr>
          <w:spacing w:val="-3"/>
          <w:sz w:val="22"/>
        </w:rPr>
        <w:t> </w:t>
      </w:r>
      <w:r>
        <w:rPr>
          <w:sz w:val="22"/>
        </w:rPr>
        <w:t>desarrollo.</w:t>
      </w:r>
      <w:r>
        <w:rPr>
          <w:spacing w:val="-4"/>
          <w:sz w:val="22"/>
        </w:rPr>
        <w:t> </w:t>
      </w:r>
      <w:r>
        <w:rPr>
          <w:sz w:val="22"/>
        </w:rPr>
        <w:t>No</w:t>
      </w:r>
      <w:r>
        <w:rPr>
          <w:spacing w:val="-3"/>
          <w:sz w:val="22"/>
        </w:rPr>
        <w:t> </w:t>
      </w:r>
      <w:r>
        <w:rPr>
          <w:sz w:val="22"/>
        </w:rPr>
        <w:t>está</w:t>
      </w:r>
      <w:r>
        <w:rPr>
          <w:spacing w:val="-3"/>
          <w:sz w:val="22"/>
        </w:rPr>
        <w:t> </w:t>
      </w:r>
      <w:r>
        <w:rPr>
          <w:sz w:val="22"/>
        </w:rPr>
        <w:t>en</w:t>
      </w:r>
      <w:r>
        <w:rPr>
          <w:spacing w:val="-2"/>
          <w:sz w:val="22"/>
        </w:rPr>
        <w:t> </w:t>
      </w:r>
      <w:r>
        <w:rPr>
          <w:spacing w:val="-4"/>
          <w:sz w:val="22"/>
        </w:rPr>
        <w:t>uso.</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38752">
                <wp:simplePos x="0" y="0"/>
                <wp:positionH relativeFrom="page">
                  <wp:posOffset>9525</wp:posOffset>
                </wp:positionH>
                <wp:positionV relativeFrom="page">
                  <wp:posOffset>297208</wp:posOffset>
                </wp:positionV>
                <wp:extent cx="7762875" cy="9748520"/>
                <wp:effectExtent l="0" t="0" r="0" b="0"/>
                <wp:wrapNone/>
                <wp:docPr id="1072" name="Group 1072"/>
                <wp:cNvGraphicFramePr>
                  <a:graphicFrameLocks/>
                </wp:cNvGraphicFramePr>
                <a:graphic>
                  <a:graphicData uri="http://schemas.microsoft.com/office/word/2010/wordprocessingGroup">
                    <wpg:wgp>
                      <wpg:cNvPr id="1072" name="Group 1072"/>
                      <wpg:cNvGrpSpPr/>
                      <wpg:grpSpPr>
                        <a:xfrm>
                          <a:off x="0" y="0"/>
                          <a:ext cx="7762875" cy="9748520"/>
                          <a:chExt cx="7762875" cy="9748520"/>
                        </a:xfrm>
                      </wpg:grpSpPr>
                      <pic:pic>
                        <pic:nvPicPr>
                          <pic:cNvPr id="1073" name="Image 1073"/>
                          <pic:cNvPicPr/>
                        </pic:nvPicPr>
                        <pic:blipFill>
                          <a:blip r:embed="rId5" cstate="print"/>
                          <a:stretch>
                            <a:fillRect/>
                          </a:stretch>
                        </pic:blipFill>
                        <pic:spPr>
                          <a:xfrm>
                            <a:off x="0" y="0"/>
                            <a:ext cx="7762874" cy="9748489"/>
                          </a:xfrm>
                          <a:prstGeom prst="rect">
                            <a:avLst/>
                          </a:prstGeom>
                        </pic:spPr>
                      </pic:pic>
                      <wps:wsp>
                        <wps:cNvPr id="1074" name="Graphic 1074"/>
                        <wps:cNvSpPr/>
                        <wps:spPr>
                          <a:xfrm>
                            <a:off x="1053007" y="990837"/>
                            <a:ext cx="5736590" cy="7523480"/>
                          </a:xfrm>
                          <a:custGeom>
                            <a:avLst/>
                            <a:gdLst/>
                            <a:ahLst/>
                            <a:cxnLst/>
                            <a:rect l="l" t="t" r="r" b="b"/>
                            <a:pathLst>
                              <a:path w="5736590" h="7523480">
                                <a:moveTo>
                                  <a:pt x="21336" y="132651"/>
                                </a:moveTo>
                                <a:lnTo>
                                  <a:pt x="15240" y="132651"/>
                                </a:lnTo>
                                <a:lnTo>
                                  <a:pt x="15240" y="7517320"/>
                                </a:lnTo>
                                <a:lnTo>
                                  <a:pt x="21336" y="7517320"/>
                                </a:lnTo>
                                <a:lnTo>
                                  <a:pt x="21336" y="132651"/>
                                </a:lnTo>
                                <a:close/>
                              </a:path>
                              <a:path w="5736590" h="7523480">
                                <a:moveTo>
                                  <a:pt x="5649214" y="0"/>
                                </a:moveTo>
                                <a:lnTo>
                                  <a:pt x="0" y="0"/>
                                </a:lnTo>
                                <a:lnTo>
                                  <a:pt x="0" y="9131"/>
                                </a:lnTo>
                                <a:lnTo>
                                  <a:pt x="5649214" y="9131"/>
                                </a:lnTo>
                                <a:lnTo>
                                  <a:pt x="5649214" y="0"/>
                                </a:lnTo>
                                <a:close/>
                              </a:path>
                              <a:path w="5736590" h="7523480">
                                <a:moveTo>
                                  <a:pt x="5736018" y="7517333"/>
                                </a:moveTo>
                                <a:lnTo>
                                  <a:pt x="5729986" y="7517333"/>
                                </a:lnTo>
                                <a:lnTo>
                                  <a:pt x="21336" y="7517333"/>
                                </a:lnTo>
                                <a:lnTo>
                                  <a:pt x="15240" y="7517333"/>
                                </a:lnTo>
                                <a:lnTo>
                                  <a:pt x="15240" y="7523416"/>
                                </a:lnTo>
                                <a:lnTo>
                                  <a:pt x="21336" y="7523416"/>
                                </a:lnTo>
                                <a:lnTo>
                                  <a:pt x="5729935" y="7523416"/>
                                </a:lnTo>
                                <a:lnTo>
                                  <a:pt x="5736018" y="7523416"/>
                                </a:lnTo>
                                <a:lnTo>
                                  <a:pt x="5736018" y="7517333"/>
                                </a:lnTo>
                                <a:close/>
                              </a:path>
                              <a:path w="5736590" h="7523480">
                                <a:moveTo>
                                  <a:pt x="5736018" y="132651"/>
                                </a:moveTo>
                                <a:lnTo>
                                  <a:pt x="5729935" y="132651"/>
                                </a:lnTo>
                                <a:lnTo>
                                  <a:pt x="5729935" y="7517320"/>
                                </a:lnTo>
                                <a:lnTo>
                                  <a:pt x="5736018" y="7517320"/>
                                </a:lnTo>
                                <a:lnTo>
                                  <a:pt x="5736018" y="132651"/>
                                </a:lnTo>
                                <a:close/>
                              </a:path>
                              <a:path w="5736590" h="752348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7728" id="docshapegroup1019" coordorigin="15,468" coordsize="12225,15352">
                <v:shape style="position:absolute;left:15;top:468;width:12225;height:15352" type="#_x0000_t75" id="docshape1020" stroked="false">
                  <v:imagedata r:id="rId5" o:title=""/>
                </v:shape>
                <v:shape style="position:absolute;left:1673;top:2028;width:9034;height:11848" id="docshape1021" coordorigin="1673,2028" coordsize="9034,11848" path="m1707,2237l1697,2237,1697,13867,1707,13867,1707,2237xm10570,2028l1673,2028,1673,2043,10570,2043,10570,2028xm10706,13867l10697,13867,10697,13867,1707,13867,1697,13867,1697,13876,1707,13876,10697,13876,10697,13876,10706,13876,10706,13867xm10706,2237l10697,2237,10697,13867,10706,13867,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207</w:t>
      </w:r>
    </w:p>
    <w:p>
      <w:pPr>
        <w:pStyle w:val="BodyText"/>
        <w:spacing w:before="55"/>
      </w:pPr>
    </w:p>
    <w:p>
      <w:pPr>
        <w:pStyle w:val="ListParagraph"/>
        <w:numPr>
          <w:ilvl w:val="0"/>
          <w:numId w:val="82"/>
        </w:numPr>
        <w:tabs>
          <w:tab w:pos="853" w:val="left" w:leader="none"/>
        </w:tabs>
        <w:spacing w:line="261" w:lineRule="auto" w:before="1" w:after="0"/>
        <w:ind w:left="691" w:right="888" w:firstLine="0"/>
        <w:jc w:val="left"/>
        <w:rPr>
          <w:b/>
          <w:sz w:val="20"/>
        </w:rPr>
      </w:pPr>
      <w:r>
        <w:rPr>
          <w:b/>
          <w:sz w:val="22"/>
        </w:rPr>
        <w:t>VUSS (Ventanilla Única de Servicios Sociales) - Activo en Proceso: </w:t>
      </w:r>
      <w:r>
        <w:rPr>
          <w:sz w:val="22"/>
        </w:rPr>
        <w:t>Aplicación web orientada a la ciudadanía para la gestión de servicios sociales y consulta de información socioeconómica.</w:t>
      </w:r>
    </w:p>
    <w:p>
      <w:pPr>
        <w:pStyle w:val="BodyText"/>
        <w:spacing w:before="235"/>
        <w:ind w:left="691"/>
      </w:pPr>
      <w:r>
        <w:rPr>
          <w:u w:val="single"/>
        </w:rPr>
        <w:t>Estado</w:t>
      </w:r>
      <w:r>
        <w:rPr>
          <w:spacing w:val="-4"/>
          <w:u w:val="single"/>
        </w:rPr>
        <w:t> </w:t>
      </w:r>
      <w:r>
        <w:rPr>
          <w:u w:val="single"/>
        </w:rPr>
        <w:t>general</w:t>
      </w:r>
      <w:r>
        <w:rPr>
          <w:u w:val="none"/>
        </w:rPr>
        <w:t>:</w:t>
      </w:r>
      <w:r>
        <w:rPr>
          <w:spacing w:val="-3"/>
          <w:u w:val="none"/>
        </w:rPr>
        <w:t> </w:t>
      </w:r>
      <w:r>
        <w:rPr>
          <w:u w:val="none"/>
        </w:rPr>
        <w:t>En</w:t>
      </w:r>
      <w:r>
        <w:rPr>
          <w:spacing w:val="-4"/>
          <w:u w:val="none"/>
        </w:rPr>
        <w:t> </w:t>
      </w:r>
      <w:r>
        <w:rPr>
          <w:u w:val="none"/>
        </w:rPr>
        <w:t>desarrollo</w:t>
      </w:r>
      <w:r>
        <w:rPr>
          <w:spacing w:val="-3"/>
          <w:u w:val="none"/>
        </w:rPr>
        <w:t> </w:t>
      </w:r>
      <w:r>
        <w:rPr>
          <w:u w:val="none"/>
        </w:rPr>
        <w:t>y</w:t>
      </w:r>
      <w:r>
        <w:rPr>
          <w:spacing w:val="-3"/>
          <w:u w:val="none"/>
        </w:rPr>
        <w:t> </w:t>
      </w:r>
      <w:r>
        <w:rPr>
          <w:u w:val="none"/>
        </w:rPr>
        <w:t>aseguramientos</w:t>
      </w:r>
      <w:r>
        <w:rPr>
          <w:spacing w:val="-3"/>
          <w:u w:val="none"/>
        </w:rPr>
        <w:t> </w:t>
      </w:r>
      <w:r>
        <w:rPr>
          <w:u w:val="none"/>
        </w:rPr>
        <w:t>de</w:t>
      </w:r>
      <w:r>
        <w:rPr>
          <w:spacing w:val="-4"/>
          <w:u w:val="none"/>
        </w:rPr>
        <w:t> </w:t>
      </w:r>
      <w:r>
        <w:rPr>
          <w:u w:val="none"/>
        </w:rPr>
        <w:t>la</w:t>
      </w:r>
      <w:r>
        <w:rPr>
          <w:spacing w:val="-5"/>
          <w:u w:val="none"/>
        </w:rPr>
        <w:t> </w:t>
      </w:r>
      <w:r>
        <w:rPr>
          <w:u w:val="none"/>
        </w:rPr>
        <w:t>calidad,</w:t>
      </w:r>
      <w:r>
        <w:rPr>
          <w:spacing w:val="-3"/>
          <w:u w:val="none"/>
        </w:rPr>
        <w:t> </w:t>
      </w:r>
      <w:r>
        <w:rPr>
          <w:u w:val="none"/>
        </w:rPr>
        <w:t>no</w:t>
      </w:r>
      <w:r>
        <w:rPr>
          <w:spacing w:val="-3"/>
          <w:u w:val="none"/>
        </w:rPr>
        <w:t> </w:t>
      </w:r>
      <w:r>
        <w:rPr>
          <w:u w:val="none"/>
        </w:rPr>
        <w:t>está</w:t>
      </w:r>
      <w:r>
        <w:rPr>
          <w:spacing w:val="-3"/>
          <w:u w:val="none"/>
        </w:rPr>
        <w:t> </w:t>
      </w:r>
      <w:r>
        <w:rPr>
          <w:u w:val="none"/>
        </w:rPr>
        <w:t>en</w:t>
      </w:r>
      <w:r>
        <w:rPr>
          <w:spacing w:val="-3"/>
          <w:u w:val="none"/>
        </w:rPr>
        <w:t> </w:t>
      </w:r>
      <w:r>
        <w:rPr>
          <w:spacing w:val="-4"/>
          <w:u w:val="none"/>
        </w:rPr>
        <w:t>uso.</w:t>
      </w:r>
    </w:p>
    <w:p>
      <w:pPr>
        <w:pStyle w:val="BodyText"/>
        <w:spacing w:before="9"/>
      </w:pPr>
    </w:p>
    <w:p>
      <w:pPr>
        <w:pStyle w:val="BodyText"/>
        <w:ind w:left="691"/>
      </w:pPr>
      <w:r>
        <w:rPr>
          <w:spacing w:val="-2"/>
        </w:rPr>
        <w:t>Detalle:</w:t>
      </w:r>
    </w:p>
    <w:p>
      <w:pPr>
        <w:pStyle w:val="BodyText"/>
        <w:spacing w:before="9"/>
      </w:pPr>
    </w:p>
    <w:p>
      <w:pPr>
        <w:pStyle w:val="BodyText"/>
        <w:spacing w:before="1"/>
        <w:ind w:left="691"/>
      </w:pPr>
      <w:r>
        <w:rPr/>
        <w:t>VUSS:</w:t>
      </w:r>
      <w:r>
        <w:rPr>
          <w:spacing w:val="-4"/>
        </w:rPr>
        <w:t> </w:t>
      </w:r>
      <w:r>
        <w:rPr/>
        <w:t>84%</w:t>
      </w:r>
      <w:r>
        <w:rPr>
          <w:spacing w:val="-2"/>
        </w:rPr>
        <w:t> </w:t>
      </w:r>
      <w:r>
        <w:rPr/>
        <w:t>–</w:t>
      </w:r>
      <w:r>
        <w:rPr>
          <w:spacing w:val="-4"/>
        </w:rPr>
        <w:t> </w:t>
      </w:r>
      <w:r>
        <w:rPr/>
        <w:t>En</w:t>
      </w:r>
      <w:r>
        <w:rPr>
          <w:spacing w:val="-2"/>
        </w:rPr>
        <w:t> </w:t>
      </w:r>
      <w:r>
        <w:rPr/>
        <w:t>proceso</w:t>
      </w:r>
      <w:r>
        <w:rPr>
          <w:spacing w:val="-5"/>
        </w:rPr>
        <w:t> </w:t>
      </w:r>
      <w:r>
        <w:rPr/>
        <w:t>de</w:t>
      </w:r>
      <w:r>
        <w:rPr>
          <w:spacing w:val="-4"/>
        </w:rPr>
        <w:t> </w:t>
      </w:r>
      <w:r>
        <w:rPr/>
        <w:t>desarrollo,</w:t>
      </w:r>
      <w:r>
        <w:rPr>
          <w:spacing w:val="-3"/>
        </w:rPr>
        <w:t> </w:t>
      </w:r>
      <w:r>
        <w:rPr/>
        <w:t>no</w:t>
      </w:r>
      <w:r>
        <w:rPr>
          <w:spacing w:val="-2"/>
        </w:rPr>
        <w:t> </w:t>
      </w:r>
      <w:r>
        <w:rPr/>
        <w:t>en</w:t>
      </w:r>
      <w:r>
        <w:rPr>
          <w:spacing w:val="-3"/>
        </w:rPr>
        <w:t> </w:t>
      </w:r>
      <w:r>
        <w:rPr/>
        <w:t>producción.</w:t>
      </w:r>
      <w:r>
        <w:rPr>
          <w:spacing w:val="-3"/>
        </w:rPr>
        <w:t> </w:t>
      </w:r>
      <w:r>
        <w:rPr/>
        <w:t>No</w:t>
      </w:r>
      <w:r>
        <w:rPr>
          <w:spacing w:val="-3"/>
        </w:rPr>
        <w:t> </w:t>
      </w:r>
      <w:r>
        <w:rPr/>
        <w:t>está</w:t>
      </w:r>
      <w:r>
        <w:rPr>
          <w:spacing w:val="-2"/>
        </w:rPr>
        <w:t> </w:t>
      </w:r>
      <w:r>
        <w:rPr/>
        <w:t>en</w:t>
      </w:r>
      <w:r>
        <w:rPr>
          <w:spacing w:val="-2"/>
        </w:rPr>
        <w:t> </w:t>
      </w:r>
      <w:r>
        <w:rPr>
          <w:spacing w:val="-4"/>
        </w:rPr>
        <w:t>uso.</w:t>
      </w:r>
    </w:p>
    <w:p>
      <w:pPr>
        <w:pStyle w:val="BodyText"/>
      </w:pPr>
    </w:p>
    <w:p>
      <w:pPr>
        <w:pStyle w:val="BodyText"/>
      </w:pPr>
    </w:p>
    <w:p>
      <w:pPr>
        <w:pStyle w:val="BodyText"/>
        <w:spacing w:before="16"/>
      </w:pPr>
    </w:p>
    <w:p>
      <w:pPr>
        <w:pStyle w:val="ListParagraph"/>
        <w:numPr>
          <w:ilvl w:val="0"/>
          <w:numId w:val="82"/>
        </w:numPr>
        <w:tabs>
          <w:tab w:pos="853" w:val="left" w:leader="none"/>
        </w:tabs>
        <w:spacing w:line="259" w:lineRule="auto" w:before="0" w:after="0"/>
        <w:ind w:left="691" w:right="882" w:firstLine="0"/>
        <w:jc w:val="both"/>
        <w:rPr>
          <w:b/>
          <w:sz w:val="20"/>
        </w:rPr>
      </w:pPr>
      <w:r>
        <w:rPr>
          <w:b/>
          <w:sz w:val="22"/>
        </w:rPr>
        <w:t>Plataforma de Datos para Indicadores Institucionales (Analítica de Da-tos)-Activo en Proceso</w:t>
      </w:r>
      <w:r>
        <w:rPr>
          <w:sz w:val="22"/>
        </w:rPr>
        <w:t>: Plataforma</w:t>
      </w:r>
      <w:r>
        <w:rPr>
          <w:spacing w:val="-1"/>
          <w:sz w:val="22"/>
        </w:rPr>
        <w:t> </w:t>
      </w:r>
      <w:r>
        <w:rPr>
          <w:sz w:val="22"/>
        </w:rPr>
        <w:t>institucional</w:t>
      </w:r>
      <w:r>
        <w:rPr>
          <w:spacing w:val="-1"/>
          <w:sz w:val="22"/>
        </w:rPr>
        <w:t> </w:t>
      </w:r>
      <w:r>
        <w:rPr>
          <w:sz w:val="22"/>
        </w:rPr>
        <w:t>que</w:t>
      </w:r>
      <w:r>
        <w:rPr>
          <w:spacing w:val="-1"/>
          <w:sz w:val="22"/>
        </w:rPr>
        <w:t> </w:t>
      </w:r>
      <w:r>
        <w:rPr>
          <w:sz w:val="22"/>
        </w:rPr>
        <w:t>integra cubos de datos, tableros, y componentes asociados a</w:t>
      </w:r>
      <w:r>
        <w:rPr>
          <w:spacing w:val="-1"/>
          <w:sz w:val="22"/>
        </w:rPr>
        <w:t> </w:t>
      </w:r>
      <w:r>
        <w:rPr>
          <w:sz w:val="22"/>
        </w:rPr>
        <w:t>la gestión de </w:t>
      </w:r>
      <w:r>
        <w:rPr>
          <w:spacing w:val="-2"/>
          <w:sz w:val="22"/>
        </w:rPr>
        <w:t>datos.</w:t>
      </w:r>
    </w:p>
    <w:p>
      <w:pPr>
        <w:pStyle w:val="BodyText"/>
        <w:spacing w:line="489" w:lineRule="auto" w:before="241"/>
        <w:ind w:left="691" w:right="5537"/>
        <w:jc w:val="both"/>
      </w:pPr>
      <w:r>
        <w:rPr/>
        <w:t>Estado</w:t>
      </w:r>
      <w:r>
        <w:rPr>
          <w:spacing w:val="-7"/>
        </w:rPr>
        <w:t> </w:t>
      </w:r>
      <w:r>
        <w:rPr/>
        <w:t>general:</w:t>
      </w:r>
      <w:r>
        <w:rPr>
          <w:spacing w:val="-9"/>
        </w:rPr>
        <w:t> </w:t>
      </w:r>
      <w:r>
        <w:rPr/>
        <w:t>En</w:t>
      </w:r>
      <w:r>
        <w:rPr>
          <w:spacing w:val="-7"/>
        </w:rPr>
        <w:t> </w:t>
      </w:r>
      <w:r>
        <w:rPr/>
        <w:t>desarrollo</w:t>
      </w:r>
      <w:r>
        <w:rPr>
          <w:spacing w:val="-7"/>
        </w:rPr>
        <w:t> </w:t>
      </w:r>
      <w:r>
        <w:rPr/>
        <w:t>por</w:t>
      </w:r>
      <w:r>
        <w:rPr>
          <w:spacing w:val="-7"/>
        </w:rPr>
        <w:t> </w:t>
      </w:r>
      <w:r>
        <w:rPr/>
        <w:t>componentes. </w:t>
      </w:r>
      <w:r>
        <w:rPr>
          <w:spacing w:val="-2"/>
        </w:rPr>
        <w:t>Detalle:</w:t>
      </w:r>
    </w:p>
    <w:p>
      <w:pPr>
        <w:pStyle w:val="ListParagraph"/>
        <w:numPr>
          <w:ilvl w:val="0"/>
          <w:numId w:val="92"/>
        </w:numPr>
        <w:tabs>
          <w:tab w:pos="1410" w:val="left" w:leader="none"/>
        </w:tabs>
        <w:spacing w:line="276" w:lineRule="exact" w:before="0" w:after="0"/>
        <w:ind w:left="1410" w:right="0" w:hanging="359"/>
        <w:jc w:val="left"/>
        <w:rPr>
          <w:sz w:val="24"/>
        </w:rPr>
      </w:pPr>
      <w:r>
        <w:rPr>
          <w:sz w:val="24"/>
        </w:rPr>
        <w:t>Tableros</w:t>
      </w:r>
      <w:r>
        <w:rPr>
          <w:spacing w:val="-2"/>
          <w:sz w:val="24"/>
        </w:rPr>
        <w:t> </w:t>
      </w:r>
      <w:r>
        <w:rPr>
          <w:sz w:val="24"/>
        </w:rPr>
        <w:t>de</w:t>
      </w:r>
      <w:r>
        <w:rPr>
          <w:spacing w:val="-1"/>
          <w:sz w:val="24"/>
        </w:rPr>
        <w:t> </w:t>
      </w:r>
      <w:r>
        <w:rPr>
          <w:sz w:val="24"/>
        </w:rPr>
        <w:t>Datos:</w:t>
      </w:r>
      <w:r>
        <w:rPr>
          <w:spacing w:val="-3"/>
          <w:sz w:val="24"/>
        </w:rPr>
        <w:t> </w:t>
      </w:r>
      <w:r>
        <w:rPr>
          <w:sz w:val="24"/>
        </w:rPr>
        <w:t>100%</w:t>
      </w:r>
      <w:r>
        <w:rPr>
          <w:spacing w:val="2"/>
          <w:sz w:val="24"/>
        </w:rPr>
        <w:t> </w:t>
      </w:r>
      <w:r>
        <w:rPr>
          <w:sz w:val="24"/>
        </w:rPr>
        <w:t>–</w:t>
      </w:r>
      <w:r>
        <w:rPr>
          <w:spacing w:val="-2"/>
          <w:sz w:val="24"/>
        </w:rPr>
        <w:t> </w:t>
      </w:r>
      <w:r>
        <w:rPr>
          <w:sz w:val="24"/>
        </w:rPr>
        <w:t>En</w:t>
      </w:r>
      <w:r>
        <w:rPr>
          <w:spacing w:val="-1"/>
          <w:sz w:val="24"/>
        </w:rPr>
        <w:t> </w:t>
      </w:r>
      <w:r>
        <w:rPr>
          <w:sz w:val="24"/>
        </w:rPr>
        <w:t>uso</w:t>
      </w:r>
      <w:r>
        <w:rPr>
          <w:spacing w:val="-1"/>
          <w:sz w:val="24"/>
        </w:rPr>
        <w:t> </w:t>
      </w:r>
      <w:r>
        <w:rPr>
          <w:sz w:val="24"/>
        </w:rPr>
        <w:t>y</w:t>
      </w:r>
      <w:r>
        <w:rPr>
          <w:spacing w:val="-1"/>
          <w:sz w:val="24"/>
        </w:rPr>
        <w:t> </w:t>
      </w:r>
      <w:r>
        <w:rPr>
          <w:sz w:val="24"/>
        </w:rPr>
        <w:t>en</w:t>
      </w:r>
      <w:r>
        <w:rPr>
          <w:spacing w:val="-1"/>
          <w:sz w:val="24"/>
        </w:rPr>
        <w:t> </w:t>
      </w:r>
      <w:r>
        <w:rPr>
          <w:spacing w:val="-2"/>
          <w:sz w:val="24"/>
        </w:rPr>
        <w:t>producción.</w:t>
      </w:r>
    </w:p>
    <w:p>
      <w:pPr>
        <w:pStyle w:val="ListParagraph"/>
        <w:numPr>
          <w:ilvl w:val="0"/>
          <w:numId w:val="92"/>
        </w:numPr>
        <w:tabs>
          <w:tab w:pos="1410" w:val="left" w:leader="none"/>
        </w:tabs>
        <w:spacing w:line="277" w:lineRule="exact" w:before="0" w:after="0"/>
        <w:ind w:left="1410" w:right="0" w:hanging="359"/>
        <w:jc w:val="left"/>
        <w:rPr>
          <w:sz w:val="24"/>
        </w:rPr>
      </w:pPr>
      <w:r>
        <w:rPr>
          <w:sz w:val="24"/>
        </w:rPr>
        <w:t>Oficial</w:t>
      </w:r>
      <w:r>
        <w:rPr>
          <w:spacing w:val="-3"/>
          <w:sz w:val="24"/>
        </w:rPr>
        <w:t> </w:t>
      </w:r>
      <w:r>
        <w:rPr>
          <w:sz w:val="24"/>
        </w:rPr>
        <w:t>de</w:t>
      </w:r>
      <w:r>
        <w:rPr>
          <w:spacing w:val="-2"/>
          <w:sz w:val="24"/>
        </w:rPr>
        <w:t> </w:t>
      </w:r>
      <w:r>
        <w:rPr>
          <w:sz w:val="24"/>
        </w:rPr>
        <w:t>Datos:</w:t>
      </w:r>
      <w:r>
        <w:rPr>
          <w:spacing w:val="-4"/>
          <w:sz w:val="24"/>
        </w:rPr>
        <w:t> </w:t>
      </w:r>
      <w:r>
        <w:rPr>
          <w:sz w:val="24"/>
        </w:rPr>
        <w:t>90%</w:t>
      </w:r>
      <w:r>
        <w:rPr>
          <w:spacing w:val="-1"/>
          <w:sz w:val="24"/>
        </w:rPr>
        <w:t> </w:t>
      </w:r>
      <w:r>
        <w:rPr>
          <w:sz w:val="24"/>
        </w:rPr>
        <w:t>– En</w:t>
      </w:r>
      <w:r>
        <w:rPr>
          <w:spacing w:val="-2"/>
          <w:sz w:val="24"/>
        </w:rPr>
        <w:t> </w:t>
      </w:r>
      <w:r>
        <w:rPr>
          <w:sz w:val="24"/>
        </w:rPr>
        <w:t>desarrollo,</w:t>
      </w:r>
      <w:r>
        <w:rPr>
          <w:spacing w:val="-2"/>
          <w:sz w:val="24"/>
        </w:rPr>
        <w:t> </w:t>
      </w:r>
      <w:r>
        <w:rPr>
          <w:sz w:val="24"/>
        </w:rPr>
        <w:t>no</w:t>
      </w:r>
      <w:r>
        <w:rPr>
          <w:spacing w:val="-2"/>
          <w:sz w:val="24"/>
        </w:rPr>
        <w:t> </w:t>
      </w:r>
      <w:r>
        <w:rPr>
          <w:sz w:val="24"/>
        </w:rPr>
        <w:t>en</w:t>
      </w:r>
      <w:r>
        <w:rPr>
          <w:spacing w:val="-2"/>
          <w:sz w:val="24"/>
        </w:rPr>
        <w:t> </w:t>
      </w:r>
      <w:r>
        <w:rPr>
          <w:sz w:val="24"/>
        </w:rPr>
        <w:t>producción,</w:t>
      </w:r>
      <w:r>
        <w:rPr>
          <w:spacing w:val="-3"/>
          <w:sz w:val="24"/>
        </w:rPr>
        <w:t> </w:t>
      </w:r>
      <w:r>
        <w:rPr>
          <w:sz w:val="24"/>
        </w:rPr>
        <w:t>no</w:t>
      </w:r>
      <w:r>
        <w:rPr>
          <w:spacing w:val="-2"/>
          <w:sz w:val="24"/>
        </w:rPr>
        <w:t> </w:t>
      </w:r>
      <w:r>
        <w:rPr>
          <w:sz w:val="24"/>
        </w:rPr>
        <w:t>está</w:t>
      </w:r>
      <w:r>
        <w:rPr>
          <w:spacing w:val="-2"/>
          <w:sz w:val="24"/>
        </w:rPr>
        <w:t> </w:t>
      </w:r>
      <w:r>
        <w:rPr>
          <w:sz w:val="24"/>
        </w:rPr>
        <w:t>en</w:t>
      </w:r>
      <w:r>
        <w:rPr>
          <w:spacing w:val="-1"/>
          <w:sz w:val="24"/>
        </w:rPr>
        <w:t> </w:t>
      </w:r>
      <w:r>
        <w:rPr>
          <w:spacing w:val="-4"/>
          <w:sz w:val="24"/>
        </w:rPr>
        <w:t>uso.</w:t>
      </w:r>
    </w:p>
    <w:p>
      <w:pPr>
        <w:pStyle w:val="ListParagraph"/>
        <w:numPr>
          <w:ilvl w:val="0"/>
          <w:numId w:val="92"/>
        </w:numPr>
        <w:tabs>
          <w:tab w:pos="1410" w:val="left" w:leader="none"/>
        </w:tabs>
        <w:spacing w:line="277" w:lineRule="exact" w:before="0" w:after="0"/>
        <w:ind w:left="1410" w:right="0" w:hanging="359"/>
        <w:jc w:val="left"/>
        <w:rPr>
          <w:sz w:val="24"/>
        </w:rPr>
      </w:pPr>
      <w:r>
        <w:rPr>
          <w:sz w:val="24"/>
        </w:rPr>
        <w:t>OD</w:t>
      </w:r>
      <w:r>
        <w:rPr>
          <w:spacing w:val="-4"/>
          <w:sz w:val="24"/>
        </w:rPr>
        <w:t> </w:t>
      </w:r>
      <w:r>
        <w:rPr>
          <w:sz w:val="24"/>
        </w:rPr>
        <w:t>DWH: 12%</w:t>
      </w:r>
      <w:r>
        <w:rPr>
          <w:spacing w:val="-1"/>
          <w:sz w:val="24"/>
        </w:rPr>
        <w:t> </w:t>
      </w:r>
      <w:r>
        <w:rPr>
          <w:sz w:val="24"/>
        </w:rPr>
        <w:t>–</w:t>
      </w:r>
      <w:r>
        <w:rPr>
          <w:spacing w:val="-1"/>
          <w:sz w:val="24"/>
        </w:rPr>
        <w:t> </w:t>
      </w:r>
      <w:r>
        <w:rPr>
          <w:sz w:val="24"/>
        </w:rPr>
        <w:t>Definición,</w:t>
      </w:r>
      <w:r>
        <w:rPr>
          <w:spacing w:val="-2"/>
          <w:sz w:val="24"/>
        </w:rPr>
        <w:t> </w:t>
      </w:r>
      <w:r>
        <w:rPr>
          <w:sz w:val="24"/>
        </w:rPr>
        <w:t>no</w:t>
      </w:r>
      <w:r>
        <w:rPr>
          <w:spacing w:val="-1"/>
          <w:sz w:val="24"/>
        </w:rPr>
        <w:t> </w:t>
      </w:r>
      <w:r>
        <w:rPr>
          <w:sz w:val="24"/>
        </w:rPr>
        <w:t>está</w:t>
      </w:r>
      <w:r>
        <w:rPr>
          <w:spacing w:val="-1"/>
          <w:sz w:val="24"/>
        </w:rPr>
        <w:t> </w:t>
      </w:r>
      <w:r>
        <w:rPr>
          <w:sz w:val="24"/>
        </w:rPr>
        <w:t>en </w:t>
      </w:r>
      <w:r>
        <w:rPr>
          <w:spacing w:val="-4"/>
          <w:sz w:val="24"/>
        </w:rPr>
        <w:t>uso.</w:t>
      </w:r>
    </w:p>
    <w:p>
      <w:pPr>
        <w:pStyle w:val="ListParagraph"/>
        <w:numPr>
          <w:ilvl w:val="0"/>
          <w:numId w:val="92"/>
        </w:numPr>
        <w:tabs>
          <w:tab w:pos="1410" w:val="left" w:leader="none"/>
        </w:tabs>
        <w:spacing w:line="240" w:lineRule="auto" w:before="1" w:after="0"/>
        <w:ind w:left="1410" w:right="0" w:hanging="359"/>
        <w:jc w:val="left"/>
        <w:rPr>
          <w:sz w:val="24"/>
        </w:rPr>
      </w:pPr>
      <w:r>
        <w:rPr>
          <w:sz w:val="24"/>
        </w:rPr>
        <w:t>Tableros:</w:t>
      </w:r>
      <w:r>
        <w:rPr>
          <w:spacing w:val="-4"/>
          <w:sz w:val="24"/>
        </w:rPr>
        <w:t> </w:t>
      </w:r>
      <w:r>
        <w:rPr>
          <w:sz w:val="24"/>
        </w:rPr>
        <w:t>85%</w:t>
      </w:r>
      <w:r>
        <w:rPr>
          <w:spacing w:val="-1"/>
          <w:sz w:val="24"/>
        </w:rPr>
        <w:t> </w:t>
      </w:r>
      <w:r>
        <w:rPr>
          <w:sz w:val="24"/>
        </w:rPr>
        <w:t>–</w:t>
      </w:r>
      <w:r>
        <w:rPr>
          <w:spacing w:val="-3"/>
          <w:sz w:val="24"/>
        </w:rPr>
        <w:t> </w:t>
      </w:r>
      <w:r>
        <w:rPr>
          <w:sz w:val="24"/>
        </w:rPr>
        <w:t>En</w:t>
      </w:r>
      <w:r>
        <w:rPr>
          <w:spacing w:val="-1"/>
          <w:sz w:val="24"/>
        </w:rPr>
        <w:t> </w:t>
      </w:r>
      <w:r>
        <w:rPr>
          <w:sz w:val="24"/>
        </w:rPr>
        <w:t>desarrollo,</w:t>
      </w:r>
      <w:r>
        <w:rPr>
          <w:spacing w:val="-3"/>
          <w:sz w:val="24"/>
        </w:rPr>
        <w:t> </w:t>
      </w:r>
      <w:r>
        <w:rPr>
          <w:sz w:val="24"/>
        </w:rPr>
        <w:t>no</w:t>
      </w:r>
      <w:r>
        <w:rPr>
          <w:spacing w:val="-2"/>
          <w:sz w:val="24"/>
        </w:rPr>
        <w:t> </w:t>
      </w:r>
      <w:r>
        <w:rPr>
          <w:sz w:val="24"/>
        </w:rPr>
        <w:t>está</w:t>
      </w:r>
      <w:r>
        <w:rPr>
          <w:spacing w:val="-2"/>
          <w:sz w:val="24"/>
        </w:rPr>
        <w:t> </w:t>
      </w:r>
      <w:r>
        <w:rPr>
          <w:sz w:val="24"/>
        </w:rPr>
        <w:t>en</w:t>
      </w:r>
      <w:r>
        <w:rPr>
          <w:spacing w:val="-1"/>
          <w:sz w:val="24"/>
        </w:rPr>
        <w:t> </w:t>
      </w:r>
      <w:r>
        <w:rPr>
          <w:spacing w:val="-4"/>
          <w:sz w:val="24"/>
        </w:rPr>
        <w:t>uso.</w:t>
      </w:r>
    </w:p>
    <w:p>
      <w:pPr>
        <w:pStyle w:val="ListParagraph"/>
        <w:numPr>
          <w:ilvl w:val="0"/>
          <w:numId w:val="92"/>
        </w:numPr>
        <w:tabs>
          <w:tab w:pos="1410" w:val="left" w:leader="none"/>
        </w:tabs>
        <w:spacing w:line="240" w:lineRule="auto" w:before="1" w:after="0"/>
        <w:ind w:left="1410" w:right="0" w:hanging="359"/>
        <w:jc w:val="left"/>
        <w:rPr>
          <w:sz w:val="24"/>
        </w:rPr>
      </w:pPr>
      <w:r>
        <w:rPr>
          <w:sz w:val="24"/>
        </w:rPr>
        <w:t>SAI:</w:t>
      </w:r>
      <w:r>
        <w:rPr>
          <w:spacing w:val="-3"/>
          <w:sz w:val="24"/>
        </w:rPr>
        <w:t> </w:t>
      </w:r>
      <w:r>
        <w:rPr>
          <w:sz w:val="24"/>
        </w:rPr>
        <w:t>90%</w:t>
      </w:r>
      <w:r>
        <w:rPr>
          <w:spacing w:val="-2"/>
          <w:sz w:val="24"/>
        </w:rPr>
        <w:t> </w:t>
      </w:r>
      <w:r>
        <w:rPr>
          <w:sz w:val="24"/>
        </w:rPr>
        <w:t>–</w:t>
      </w:r>
      <w:r>
        <w:rPr>
          <w:spacing w:val="-3"/>
          <w:sz w:val="24"/>
        </w:rPr>
        <w:t> </w:t>
      </w:r>
      <w:r>
        <w:rPr>
          <w:sz w:val="24"/>
        </w:rPr>
        <w:t>En</w:t>
      </w:r>
      <w:r>
        <w:rPr>
          <w:spacing w:val="1"/>
          <w:sz w:val="24"/>
        </w:rPr>
        <w:t> </w:t>
      </w:r>
      <w:r>
        <w:rPr>
          <w:sz w:val="24"/>
        </w:rPr>
        <w:t>desarrollo,</w:t>
      </w:r>
      <w:r>
        <w:rPr>
          <w:spacing w:val="-2"/>
          <w:sz w:val="24"/>
        </w:rPr>
        <w:t> </w:t>
      </w:r>
      <w:r>
        <w:rPr>
          <w:sz w:val="24"/>
        </w:rPr>
        <w:t>no</w:t>
      </w:r>
      <w:r>
        <w:rPr>
          <w:spacing w:val="-2"/>
          <w:sz w:val="24"/>
        </w:rPr>
        <w:t> </w:t>
      </w:r>
      <w:r>
        <w:rPr>
          <w:sz w:val="24"/>
        </w:rPr>
        <w:t>en</w:t>
      </w:r>
      <w:r>
        <w:rPr>
          <w:spacing w:val="-2"/>
          <w:sz w:val="24"/>
        </w:rPr>
        <w:t> </w:t>
      </w:r>
      <w:r>
        <w:rPr>
          <w:sz w:val="24"/>
        </w:rPr>
        <w:t>producción.</w:t>
      </w:r>
      <w:r>
        <w:rPr>
          <w:spacing w:val="-3"/>
          <w:sz w:val="24"/>
        </w:rPr>
        <w:t> </w:t>
      </w:r>
      <w:r>
        <w:rPr>
          <w:sz w:val="24"/>
        </w:rPr>
        <w:t>No</w:t>
      </w:r>
      <w:r>
        <w:rPr>
          <w:spacing w:val="-2"/>
          <w:sz w:val="24"/>
        </w:rPr>
        <w:t> </w:t>
      </w:r>
      <w:r>
        <w:rPr>
          <w:sz w:val="24"/>
        </w:rPr>
        <w:t>está</w:t>
      </w:r>
      <w:r>
        <w:rPr>
          <w:spacing w:val="-2"/>
          <w:sz w:val="24"/>
        </w:rPr>
        <w:t> </w:t>
      </w:r>
      <w:r>
        <w:rPr>
          <w:sz w:val="24"/>
        </w:rPr>
        <w:t>en</w:t>
      </w:r>
      <w:r>
        <w:rPr>
          <w:spacing w:val="-1"/>
          <w:sz w:val="24"/>
        </w:rPr>
        <w:t> </w:t>
      </w:r>
      <w:r>
        <w:rPr>
          <w:spacing w:val="-4"/>
          <w:sz w:val="24"/>
        </w:rPr>
        <w:t>uso.</w:t>
      </w:r>
    </w:p>
    <w:p>
      <w:pPr>
        <w:pStyle w:val="ListParagraph"/>
        <w:numPr>
          <w:ilvl w:val="0"/>
          <w:numId w:val="92"/>
        </w:numPr>
        <w:tabs>
          <w:tab w:pos="1410" w:val="left" w:leader="none"/>
        </w:tabs>
        <w:spacing w:line="240" w:lineRule="auto" w:before="0" w:after="0"/>
        <w:ind w:left="1410" w:right="0" w:hanging="359"/>
        <w:jc w:val="left"/>
        <w:rPr>
          <w:sz w:val="24"/>
        </w:rPr>
      </w:pPr>
      <w:r>
        <w:rPr>
          <w:sz w:val="24"/>
        </w:rPr>
        <w:t>SAI</w:t>
      </w:r>
      <w:r>
        <w:rPr>
          <w:spacing w:val="-1"/>
          <w:sz w:val="24"/>
        </w:rPr>
        <w:t> </w:t>
      </w:r>
      <w:r>
        <w:rPr>
          <w:sz w:val="24"/>
        </w:rPr>
        <w:t>Institucional:</w:t>
      </w:r>
      <w:r>
        <w:rPr>
          <w:spacing w:val="-3"/>
          <w:sz w:val="24"/>
        </w:rPr>
        <w:t> </w:t>
      </w:r>
      <w:r>
        <w:rPr>
          <w:sz w:val="24"/>
        </w:rPr>
        <w:t>0%.</w:t>
      </w:r>
      <w:r>
        <w:rPr>
          <w:spacing w:val="-1"/>
          <w:sz w:val="24"/>
        </w:rPr>
        <w:t> </w:t>
      </w:r>
      <w:r>
        <w:rPr>
          <w:sz w:val="24"/>
        </w:rPr>
        <w:t>En</w:t>
      </w:r>
      <w:r>
        <w:rPr>
          <w:spacing w:val="1"/>
          <w:sz w:val="24"/>
        </w:rPr>
        <w:t> </w:t>
      </w:r>
      <w:r>
        <w:rPr>
          <w:sz w:val="24"/>
        </w:rPr>
        <w:t>definición</w:t>
      </w:r>
      <w:r>
        <w:rPr>
          <w:spacing w:val="-1"/>
          <w:sz w:val="24"/>
        </w:rPr>
        <w:t> </w:t>
      </w:r>
      <w:r>
        <w:rPr>
          <w:sz w:val="24"/>
        </w:rPr>
        <w:t>no</w:t>
      </w:r>
      <w:r>
        <w:rPr>
          <w:spacing w:val="-1"/>
          <w:sz w:val="24"/>
        </w:rPr>
        <w:t> </w:t>
      </w:r>
      <w:r>
        <w:rPr>
          <w:sz w:val="24"/>
        </w:rPr>
        <w:t>está</w:t>
      </w:r>
      <w:r>
        <w:rPr>
          <w:spacing w:val="-1"/>
          <w:sz w:val="24"/>
        </w:rPr>
        <w:t> </w:t>
      </w:r>
      <w:r>
        <w:rPr>
          <w:sz w:val="24"/>
        </w:rPr>
        <w:t>en</w:t>
      </w:r>
      <w:r>
        <w:rPr>
          <w:spacing w:val="-1"/>
          <w:sz w:val="24"/>
        </w:rPr>
        <w:t> </w:t>
      </w:r>
      <w:r>
        <w:rPr>
          <w:spacing w:val="-4"/>
          <w:sz w:val="24"/>
        </w:rPr>
        <w:t>uso.</w:t>
      </w:r>
    </w:p>
    <w:p>
      <w:pPr>
        <w:pStyle w:val="BodyText"/>
        <w:spacing w:line="259" w:lineRule="auto" w:before="241"/>
        <w:ind w:left="691" w:right="885"/>
        <w:jc w:val="both"/>
      </w:pPr>
      <w:r>
        <w:rPr/>
        <w:t>Observaciones: Actualmente, se estaba culminando la fase de desarrollo y avanzando en el aseguramiento</w:t>
      </w:r>
      <w:r>
        <w:rPr>
          <w:spacing w:val="-14"/>
        </w:rPr>
        <w:t> </w:t>
      </w:r>
      <w:r>
        <w:rPr/>
        <w:t>(QA)</w:t>
      </w:r>
      <w:r>
        <w:rPr>
          <w:spacing w:val="-14"/>
        </w:rPr>
        <w:t> </w:t>
      </w:r>
      <w:r>
        <w:rPr/>
        <w:t>y</w:t>
      </w:r>
      <w:r>
        <w:rPr>
          <w:spacing w:val="-14"/>
        </w:rPr>
        <w:t> </w:t>
      </w:r>
      <w:r>
        <w:rPr/>
        <w:t>ajustes</w:t>
      </w:r>
      <w:r>
        <w:rPr>
          <w:spacing w:val="-13"/>
        </w:rPr>
        <w:t> </w:t>
      </w:r>
      <w:r>
        <w:rPr/>
        <w:t>en</w:t>
      </w:r>
      <w:r>
        <w:rPr>
          <w:spacing w:val="-14"/>
        </w:rPr>
        <w:t> </w:t>
      </w:r>
      <w:r>
        <w:rPr/>
        <w:t>los</w:t>
      </w:r>
      <w:r>
        <w:rPr>
          <w:spacing w:val="-14"/>
        </w:rPr>
        <w:t> </w:t>
      </w:r>
      <w:r>
        <w:rPr/>
        <w:t>componentes</w:t>
      </w:r>
      <w:r>
        <w:rPr>
          <w:spacing w:val="-14"/>
        </w:rPr>
        <w:t> </w:t>
      </w:r>
      <w:r>
        <w:rPr/>
        <w:t>de</w:t>
      </w:r>
      <w:r>
        <w:rPr>
          <w:spacing w:val="-13"/>
        </w:rPr>
        <w:t> </w:t>
      </w:r>
      <w:r>
        <w:rPr/>
        <w:t>activo,</w:t>
      </w:r>
      <w:r>
        <w:rPr>
          <w:spacing w:val="-14"/>
        </w:rPr>
        <w:t> </w:t>
      </w:r>
      <w:r>
        <w:rPr/>
        <w:t>sin</w:t>
      </w:r>
      <w:r>
        <w:rPr>
          <w:spacing w:val="-14"/>
        </w:rPr>
        <w:t> </w:t>
      </w:r>
      <w:r>
        <w:rPr/>
        <w:t>embargo,</w:t>
      </w:r>
      <w:r>
        <w:rPr>
          <w:spacing w:val="-14"/>
        </w:rPr>
        <w:t> </w:t>
      </w:r>
      <w:r>
        <w:rPr/>
        <w:t>actualmente</w:t>
      </w:r>
      <w:r>
        <w:rPr>
          <w:spacing w:val="-13"/>
        </w:rPr>
        <w:t> </w:t>
      </w:r>
      <w:r>
        <w:rPr/>
        <w:t>esto</w:t>
      </w:r>
      <w:r>
        <w:rPr>
          <w:spacing w:val="-14"/>
        </w:rPr>
        <w:t> </w:t>
      </w:r>
      <w:r>
        <w:rPr/>
        <w:t>se</w:t>
      </w:r>
      <w:r>
        <w:rPr>
          <w:spacing w:val="-14"/>
        </w:rPr>
        <w:t> </w:t>
      </w:r>
      <w:r>
        <w:rPr/>
        <w:t>encuentra en pausa en el tanto se incorpore el nuevo equipo de analítica del SINIRUBE, adicionalmente, producto del proyecto BAREMO se requirió incorporar ajustes a Tableros, OD DWH y el oficial de datos, por lo que al incorporar dichas necesidades se reduce el avance de este producto.</w:t>
      </w:r>
    </w:p>
    <w:p>
      <w:pPr>
        <w:pStyle w:val="BodyText"/>
      </w:pPr>
    </w:p>
    <w:p>
      <w:pPr>
        <w:pStyle w:val="BodyText"/>
        <w:spacing w:before="247"/>
      </w:pPr>
    </w:p>
    <w:p>
      <w:pPr>
        <w:pStyle w:val="ListParagraph"/>
        <w:numPr>
          <w:ilvl w:val="0"/>
          <w:numId w:val="82"/>
        </w:numPr>
        <w:tabs>
          <w:tab w:pos="853" w:val="left" w:leader="none"/>
        </w:tabs>
        <w:spacing w:line="487" w:lineRule="auto" w:before="1" w:after="0"/>
        <w:ind w:left="691" w:right="3488" w:firstLine="0"/>
        <w:jc w:val="left"/>
        <w:rPr>
          <w:b/>
          <w:sz w:val="20"/>
        </w:rPr>
      </w:pPr>
      <w:r>
        <w:rPr>
          <w:b/>
          <w:sz w:val="22"/>
        </w:rPr>
        <w:t>BAREMO</w:t>
      </w:r>
      <w:r>
        <w:rPr>
          <w:b/>
          <w:spacing w:val="-2"/>
          <w:sz w:val="22"/>
        </w:rPr>
        <w:t> </w:t>
      </w:r>
      <w:r>
        <w:rPr>
          <w:b/>
          <w:sz w:val="22"/>
        </w:rPr>
        <w:t>-</w:t>
      </w:r>
      <w:r>
        <w:rPr>
          <w:b/>
          <w:spacing w:val="-6"/>
          <w:sz w:val="22"/>
        </w:rPr>
        <w:t> </w:t>
      </w:r>
      <w:r>
        <w:rPr>
          <w:b/>
          <w:sz w:val="22"/>
        </w:rPr>
        <w:t>Activo</w:t>
      </w:r>
      <w:r>
        <w:rPr>
          <w:b/>
          <w:spacing w:val="-5"/>
          <w:sz w:val="22"/>
        </w:rPr>
        <w:t> </w:t>
      </w:r>
      <w:r>
        <w:rPr>
          <w:b/>
          <w:sz w:val="22"/>
        </w:rPr>
        <w:t>en</w:t>
      </w:r>
      <w:r>
        <w:rPr>
          <w:b/>
          <w:spacing w:val="-3"/>
          <w:sz w:val="22"/>
        </w:rPr>
        <w:t> </w:t>
      </w:r>
      <w:r>
        <w:rPr>
          <w:b/>
          <w:sz w:val="22"/>
        </w:rPr>
        <w:t>Proceso:</w:t>
      </w:r>
      <w:r>
        <w:rPr>
          <w:b/>
          <w:spacing w:val="-2"/>
          <w:sz w:val="22"/>
        </w:rPr>
        <w:t> </w:t>
      </w:r>
      <w:r>
        <w:rPr>
          <w:sz w:val="22"/>
        </w:rPr>
        <w:t>En</w:t>
      </w:r>
      <w:r>
        <w:rPr>
          <w:spacing w:val="-3"/>
          <w:sz w:val="22"/>
        </w:rPr>
        <w:t> </w:t>
      </w:r>
      <w:r>
        <w:rPr>
          <w:sz w:val="22"/>
        </w:rPr>
        <w:t>relación</w:t>
      </w:r>
      <w:r>
        <w:rPr>
          <w:spacing w:val="-3"/>
          <w:sz w:val="22"/>
        </w:rPr>
        <w:t> </w:t>
      </w:r>
      <w:r>
        <w:rPr>
          <w:sz w:val="22"/>
        </w:rPr>
        <w:t>con</w:t>
      </w:r>
      <w:r>
        <w:rPr>
          <w:spacing w:val="-3"/>
          <w:sz w:val="22"/>
        </w:rPr>
        <w:t> </w:t>
      </w:r>
      <w:r>
        <w:rPr>
          <w:sz w:val="22"/>
        </w:rPr>
        <w:t>este</w:t>
      </w:r>
      <w:r>
        <w:rPr>
          <w:spacing w:val="-6"/>
          <w:sz w:val="22"/>
        </w:rPr>
        <w:t> </w:t>
      </w:r>
      <w:r>
        <w:rPr>
          <w:sz w:val="22"/>
        </w:rPr>
        <w:t>activo,</w:t>
      </w:r>
      <w:r>
        <w:rPr>
          <w:spacing w:val="-3"/>
          <w:sz w:val="22"/>
        </w:rPr>
        <w:t> </w:t>
      </w:r>
      <w:r>
        <w:rPr>
          <w:sz w:val="22"/>
        </w:rPr>
        <w:t>se</w:t>
      </w:r>
      <w:r>
        <w:rPr>
          <w:spacing w:val="-4"/>
          <w:sz w:val="22"/>
        </w:rPr>
        <w:t> </w:t>
      </w:r>
      <w:r>
        <w:rPr>
          <w:sz w:val="22"/>
        </w:rPr>
        <w:t>detalla: Estado general: En desarrollo por componentes.</w:t>
      </w:r>
    </w:p>
    <w:p>
      <w:pPr>
        <w:pStyle w:val="BodyText"/>
        <w:spacing w:before="1"/>
        <w:ind w:left="691"/>
      </w:pPr>
      <w:r>
        <w:rPr>
          <w:spacing w:val="-2"/>
        </w:rPr>
        <w:t>Detalle:</w:t>
      </w:r>
    </w:p>
    <w:p>
      <w:pPr>
        <w:pStyle w:val="BodyText"/>
        <w:spacing w:before="9"/>
      </w:pPr>
    </w:p>
    <w:p>
      <w:pPr>
        <w:pStyle w:val="ListParagraph"/>
        <w:numPr>
          <w:ilvl w:val="0"/>
          <w:numId w:val="93"/>
        </w:numPr>
        <w:tabs>
          <w:tab w:pos="1410" w:val="left" w:leader="none"/>
        </w:tabs>
        <w:spacing w:line="240" w:lineRule="auto" w:before="0" w:after="0"/>
        <w:ind w:left="1410" w:right="0" w:hanging="359"/>
        <w:jc w:val="both"/>
        <w:rPr>
          <w:sz w:val="24"/>
        </w:rPr>
      </w:pPr>
      <w:r>
        <w:rPr>
          <w:sz w:val="24"/>
        </w:rPr>
        <w:t>BAREMO</w:t>
      </w:r>
      <w:r>
        <w:rPr>
          <w:spacing w:val="-1"/>
          <w:sz w:val="24"/>
        </w:rPr>
        <w:t> </w:t>
      </w:r>
      <w:r>
        <w:rPr>
          <w:sz w:val="24"/>
        </w:rPr>
        <w:t>–</w:t>
      </w:r>
      <w:r>
        <w:rPr>
          <w:spacing w:val="-2"/>
          <w:sz w:val="24"/>
        </w:rPr>
        <w:t> </w:t>
      </w:r>
      <w:r>
        <w:rPr>
          <w:sz w:val="24"/>
        </w:rPr>
        <w:t>Etapa</w:t>
      </w:r>
      <w:r>
        <w:rPr>
          <w:spacing w:val="-1"/>
          <w:sz w:val="24"/>
        </w:rPr>
        <w:t> </w:t>
      </w:r>
      <w:r>
        <w:rPr>
          <w:sz w:val="24"/>
        </w:rPr>
        <w:t>I:</w:t>
      </w:r>
      <w:r>
        <w:rPr>
          <w:spacing w:val="-1"/>
          <w:sz w:val="24"/>
        </w:rPr>
        <w:t> </w:t>
      </w:r>
      <w:r>
        <w:rPr>
          <w:sz w:val="24"/>
        </w:rPr>
        <w:t>100%</w:t>
      </w:r>
      <w:r>
        <w:rPr>
          <w:spacing w:val="-1"/>
          <w:sz w:val="24"/>
        </w:rPr>
        <w:t> </w:t>
      </w:r>
      <w:r>
        <w:rPr>
          <w:sz w:val="24"/>
        </w:rPr>
        <w:t>–</w:t>
      </w:r>
      <w:r>
        <w:rPr>
          <w:spacing w:val="-2"/>
          <w:sz w:val="24"/>
        </w:rPr>
        <w:t> </w:t>
      </w:r>
      <w:r>
        <w:rPr>
          <w:sz w:val="24"/>
        </w:rPr>
        <w:t>En uso</w:t>
      </w:r>
      <w:r>
        <w:rPr>
          <w:spacing w:val="-1"/>
          <w:sz w:val="24"/>
        </w:rPr>
        <w:t> </w:t>
      </w:r>
      <w:r>
        <w:rPr>
          <w:sz w:val="24"/>
        </w:rPr>
        <w:t>y</w:t>
      </w:r>
      <w:r>
        <w:rPr>
          <w:spacing w:val="-1"/>
          <w:sz w:val="24"/>
        </w:rPr>
        <w:t> </w:t>
      </w:r>
      <w:r>
        <w:rPr>
          <w:sz w:val="24"/>
        </w:rPr>
        <w:t>en </w:t>
      </w:r>
      <w:r>
        <w:rPr>
          <w:spacing w:val="-2"/>
          <w:sz w:val="24"/>
        </w:rPr>
        <w:t>producción.</w:t>
      </w:r>
    </w:p>
    <w:p>
      <w:pPr>
        <w:pStyle w:val="ListParagraph"/>
        <w:numPr>
          <w:ilvl w:val="0"/>
          <w:numId w:val="93"/>
        </w:numPr>
        <w:tabs>
          <w:tab w:pos="1411" w:val="left" w:leader="none"/>
        </w:tabs>
        <w:spacing w:line="240" w:lineRule="auto" w:before="1" w:after="0"/>
        <w:ind w:left="1411" w:right="884" w:hanging="360"/>
        <w:jc w:val="both"/>
        <w:rPr>
          <w:sz w:val="24"/>
        </w:rPr>
      </w:pPr>
      <w:r>
        <w:rPr>
          <w:sz w:val="24"/>
        </w:rPr>
        <w:t>BAREMO – Etapa II: En proceso o BAREMO – Formulario: 100% – Corrección: Por error se indicó que</w:t>
      </w:r>
      <w:r>
        <w:rPr>
          <w:spacing w:val="-1"/>
          <w:sz w:val="24"/>
        </w:rPr>
        <w:t> </w:t>
      </w:r>
      <w:r>
        <w:rPr>
          <w:sz w:val="24"/>
        </w:rPr>
        <w:t>está en</w:t>
      </w:r>
      <w:r>
        <w:rPr>
          <w:spacing w:val="-1"/>
          <w:sz w:val="24"/>
        </w:rPr>
        <w:t> </w:t>
      </w:r>
      <w:r>
        <w:rPr>
          <w:sz w:val="24"/>
        </w:rPr>
        <w:t>uso; actualmente</w:t>
      </w:r>
      <w:r>
        <w:rPr>
          <w:spacing w:val="-1"/>
          <w:sz w:val="24"/>
        </w:rPr>
        <w:t> </w:t>
      </w:r>
      <w:r>
        <w:rPr>
          <w:sz w:val="24"/>
        </w:rPr>
        <w:t>se encuentra en</w:t>
      </w:r>
      <w:r>
        <w:rPr>
          <w:spacing w:val="-1"/>
          <w:sz w:val="24"/>
        </w:rPr>
        <w:t> </w:t>
      </w:r>
      <w:r>
        <w:rPr>
          <w:sz w:val="24"/>
        </w:rPr>
        <w:t>fase</w:t>
      </w:r>
      <w:r>
        <w:rPr>
          <w:spacing w:val="-1"/>
          <w:sz w:val="24"/>
        </w:rPr>
        <w:t> </w:t>
      </w:r>
      <w:r>
        <w:rPr>
          <w:sz w:val="24"/>
        </w:rPr>
        <w:t>de pruebas, con apoyo externo.</w:t>
      </w:r>
    </w:p>
    <w:p>
      <w:pPr>
        <w:pStyle w:val="ListParagraph"/>
        <w:spacing w:after="0" w:line="240" w:lineRule="auto"/>
        <w:jc w:val="both"/>
        <w:rPr>
          <w:sz w:val="24"/>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0288">
                <wp:simplePos x="0" y="0"/>
                <wp:positionH relativeFrom="page">
                  <wp:posOffset>9525</wp:posOffset>
                </wp:positionH>
                <wp:positionV relativeFrom="page">
                  <wp:posOffset>297208</wp:posOffset>
                </wp:positionV>
                <wp:extent cx="7762875" cy="9748520"/>
                <wp:effectExtent l="0" t="0" r="0" b="0"/>
                <wp:wrapNone/>
                <wp:docPr id="1075" name="Group 1075"/>
                <wp:cNvGraphicFramePr>
                  <a:graphicFrameLocks/>
                </wp:cNvGraphicFramePr>
                <a:graphic>
                  <a:graphicData uri="http://schemas.microsoft.com/office/word/2010/wordprocessingGroup">
                    <wpg:wgp>
                      <wpg:cNvPr id="1075" name="Group 1075"/>
                      <wpg:cNvGrpSpPr/>
                      <wpg:grpSpPr>
                        <a:xfrm>
                          <a:off x="0" y="0"/>
                          <a:ext cx="7762875" cy="9748520"/>
                          <a:chExt cx="7762875" cy="9748520"/>
                        </a:xfrm>
                      </wpg:grpSpPr>
                      <pic:pic>
                        <pic:nvPicPr>
                          <pic:cNvPr id="1076" name="Image 1076"/>
                          <pic:cNvPicPr/>
                        </pic:nvPicPr>
                        <pic:blipFill>
                          <a:blip r:embed="rId5" cstate="print"/>
                          <a:stretch>
                            <a:fillRect/>
                          </a:stretch>
                        </pic:blipFill>
                        <pic:spPr>
                          <a:xfrm>
                            <a:off x="0" y="0"/>
                            <a:ext cx="7762874" cy="9748489"/>
                          </a:xfrm>
                          <a:prstGeom prst="rect">
                            <a:avLst/>
                          </a:prstGeom>
                        </pic:spPr>
                      </pic:pic>
                      <wps:wsp>
                        <wps:cNvPr id="1077" name="Graphic 1077"/>
                        <wps:cNvSpPr/>
                        <wps:spPr>
                          <a:xfrm>
                            <a:off x="1053007" y="990837"/>
                            <a:ext cx="5736590" cy="6595745"/>
                          </a:xfrm>
                          <a:custGeom>
                            <a:avLst/>
                            <a:gdLst/>
                            <a:ahLst/>
                            <a:cxnLst/>
                            <a:rect l="l" t="t" r="r" b="b"/>
                            <a:pathLst>
                              <a:path w="5736590" h="6595745">
                                <a:moveTo>
                                  <a:pt x="5649214" y="0"/>
                                </a:moveTo>
                                <a:lnTo>
                                  <a:pt x="0" y="0"/>
                                </a:lnTo>
                                <a:lnTo>
                                  <a:pt x="0" y="9131"/>
                                </a:lnTo>
                                <a:lnTo>
                                  <a:pt x="5649214" y="9131"/>
                                </a:lnTo>
                                <a:lnTo>
                                  <a:pt x="5649214" y="0"/>
                                </a:lnTo>
                                <a:close/>
                              </a:path>
                              <a:path w="5736590" h="6595745">
                                <a:moveTo>
                                  <a:pt x="5736018" y="4959845"/>
                                </a:moveTo>
                                <a:lnTo>
                                  <a:pt x="5729935" y="4959845"/>
                                </a:lnTo>
                                <a:lnTo>
                                  <a:pt x="5729935" y="6589255"/>
                                </a:lnTo>
                                <a:lnTo>
                                  <a:pt x="21336" y="6589255"/>
                                </a:lnTo>
                                <a:lnTo>
                                  <a:pt x="21336" y="4959845"/>
                                </a:lnTo>
                                <a:lnTo>
                                  <a:pt x="15240" y="4959845"/>
                                </a:lnTo>
                                <a:lnTo>
                                  <a:pt x="15240" y="6589255"/>
                                </a:lnTo>
                                <a:lnTo>
                                  <a:pt x="15240" y="6595351"/>
                                </a:lnTo>
                                <a:lnTo>
                                  <a:pt x="21336" y="6595351"/>
                                </a:lnTo>
                                <a:lnTo>
                                  <a:pt x="5729935" y="6595351"/>
                                </a:lnTo>
                                <a:lnTo>
                                  <a:pt x="5736018" y="6595351"/>
                                </a:lnTo>
                                <a:lnTo>
                                  <a:pt x="5736018" y="6589255"/>
                                </a:lnTo>
                                <a:lnTo>
                                  <a:pt x="5736018" y="4959845"/>
                                </a:lnTo>
                                <a:close/>
                              </a:path>
                              <a:path w="5736590" h="6595745">
                                <a:moveTo>
                                  <a:pt x="5736018" y="4953635"/>
                                </a:moveTo>
                                <a:lnTo>
                                  <a:pt x="5729986" y="4953635"/>
                                </a:lnTo>
                                <a:lnTo>
                                  <a:pt x="21336" y="4953635"/>
                                </a:lnTo>
                                <a:lnTo>
                                  <a:pt x="15240" y="4953635"/>
                                </a:lnTo>
                                <a:lnTo>
                                  <a:pt x="15240" y="4959718"/>
                                </a:lnTo>
                                <a:lnTo>
                                  <a:pt x="21336" y="4959718"/>
                                </a:lnTo>
                                <a:lnTo>
                                  <a:pt x="5729935" y="4959718"/>
                                </a:lnTo>
                                <a:lnTo>
                                  <a:pt x="5736018" y="4959718"/>
                                </a:lnTo>
                                <a:lnTo>
                                  <a:pt x="5736018" y="495363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6192" id="docshapegroup1022" coordorigin="15,468" coordsize="12225,15352">
                <v:shape style="position:absolute;left:15;top:468;width:12225;height:15352" type="#_x0000_t75" id="docshape1023" stroked="false">
                  <v:imagedata r:id="rId5" o:title=""/>
                </v:shape>
                <v:shape style="position:absolute;left:1673;top:2028;width:9034;height:10387" id="docshape1024" coordorigin="1673,2028" coordsize="9034,10387" path="m10570,2028l1673,2028,1673,2043,10570,2043,10570,2028xm10706,9839l10697,9839,10697,12405,1707,12405,1707,9839,1697,9839,1697,12405,1697,12415,1707,12415,10697,12415,10697,12415,10706,12415,10706,12405,10706,9839xm10706,9829l10697,9829,10697,9829,1707,9829,1697,9829,1697,9839,1707,9839,10697,9839,10697,9839,10706,9839,10706,9829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208</w:t>
      </w:r>
    </w:p>
    <w:p>
      <w:pPr>
        <w:pStyle w:val="BodyText"/>
        <w:spacing w:before="10"/>
        <w:rPr>
          <w:sz w:val="16"/>
        </w:rPr>
      </w:pPr>
      <w:r>
        <w:rPr>
          <w:sz w:val="16"/>
        </w:rPr>
        <mc:AlternateContent>
          <mc:Choice Requires="wps">
            <w:drawing>
              <wp:anchor distT="0" distB="0" distL="0" distR="0" allowOverlap="1" layoutInCell="1" locked="0" behindDoc="1" simplePos="0" relativeHeight="487802368">
                <wp:simplePos x="0" y="0"/>
                <wp:positionH relativeFrom="page">
                  <wp:posOffset>1080820</wp:posOffset>
                </wp:positionH>
                <wp:positionV relativeFrom="paragraph">
                  <wp:posOffset>141144</wp:posOffset>
                </wp:positionV>
                <wp:extent cx="5715000" cy="1597660"/>
                <wp:effectExtent l="0" t="0" r="0" b="0"/>
                <wp:wrapTopAndBottom/>
                <wp:docPr id="1078" name="Textbox 1078"/>
                <wp:cNvGraphicFramePr>
                  <a:graphicFrameLocks/>
                </wp:cNvGraphicFramePr>
                <a:graphic>
                  <a:graphicData uri="http://schemas.microsoft.com/office/word/2010/wordprocessingShape">
                    <wps:wsp>
                      <wps:cNvPr id="1078" name="Textbox 1078"/>
                      <wps:cNvSpPr txBox="1"/>
                      <wps:spPr>
                        <a:xfrm>
                          <a:off x="0" y="0"/>
                          <a:ext cx="5715000" cy="1597660"/>
                        </a:xfrm>
                        <a:prstGeom prst="rect">
                          <a:avLst/>
                        </a:prstGeom>
                        <a:ln w="6095">
                          <a:solidFill>
                            <a:srgbClr val="000000"/>
                          </a:solidFill>
                          <a:prstDash val="solid"/>
                        </a:ln>
                      </wps:spPr>
                      <wps:txbx>
                        <w:txbxContent>
                          <w:p>
                            <w:pPr>
                              <w:pStyle w:val="BodyText"/>
                              <w:numPr>
                                <w:ilvl w:val="0"/>
                                <w:numId w:val="94"/>
                              </w:numPr>
                              <w:tabs>
                                <w:tab w:pos="233" w:val="left" w:leader="none"/>
                              </w:tabs>
                              <w:spacing w:line="240" w:lineRule="auto" w:before="240" w:after="0"/>
                              <w:ind w:left="233" w:right="0" w:hanging="169"/>
                              <w:jc w:val="left"/>
                            </w:pPr>
                            <w:r>
                              <w:rPr/>
                              <w:t>BAREMO</w:t>
                            </w:r>
                            <w:r>
                              <w:rPr>
                                <w:spacing w:val="-2"/>
                              </w:rPr>
                              <w:t> </w:t>
                            </w:r>
                            <w:r>
                              <w:rPr/>
                              <w:t>–</w:t>
                            </w:r>
                            <w:r>
                              <w:rPr>
                                <w:spacing w:val="-4"/>
                              </w:rPr>
                              <w:t> </w:t>
                            </w:r>
                            <w:r>
                              <w:rPr/>
                              <w:t>Persona</w:t>
                            </w:r>
                            <w:r>
                              <w:rPr>
                                <w:spacing w:val="-3"/>
                              </w:rPr>
                              <w:t> </w:t>
                            </w:r>
                            <w:r>
                              <w:rPr/>
                              <w:t>Baremada:</w:t>
                            </w:r>
                            <w:r>
                              <w:rPr>
                                <w:spacing w:val="-4"/>
                              </w:rPr>
                              <w:t> </w:t>
                            </w:r>
                            <w:r>
                              <w:rPr/>
                              <w:t>100%</w:t>
                            </w:r>
                            <w:r>
                              <w:rPr>
                                <w:spacing w:val="-3"/>
                              </w:rPr>
                              <w:t> </w:t>
                            </w:r>
                            <w:r>
                              <w:rPr/>
                              <w:t>–</w:t>
                            </w:r>
                            <w:r>
                              <w:rPr>
                                <w:spacing w:val="-3"/>
                              </w:rPr>
                              <w:t> </w:t>
                            </w:r>
                            <w:r>
                              <w:rPr/>
                              <w:t>En</w:t>
                            </w:r>
                            <w:r>
                              <w:rPr>
                                <w:spacing w:val="-3"/>
                              </w:rPr>
                              <w:t> </w:t>
                            </w:r>
                            <w:r>
                              <w:rPr/>
                              <w:t>uso</w:t>
                            </w:r>
                            <w:r>
                              <w:rPr>
                                <w:spacing w:val="-3"/>
                              </w:rPr>
                              <w:t> </w:t>
                            </w:r>
                            <w:r>
                              <w:rPr/>
                              <w:t>en</w:t>
                            </w:r>
                            <w:r>
                              <w:rPr>
                                <w:spacing w:val="-2"/>
                              </w:rPr>
                              <w:t> producción.</w:t>
                            </w:r>
                          </w:p>
                          <w:p>
                            <w:pPr>
                              <w:pStyle w:val="BodyText"/>
                              <w:spacing w:before="9"/>
                            </w:pPr>
                          </w:p>
                          <w:p>
                            <w:pPr>
                              <w:pStyle w:val="BodyText"/>
                              <w:numPr>
                                <w:ilvl w:val="0"/>
                                <w:numId w:val="94"/>
                              </w:numPr>
                              <w:tabs>
                                <w:tab w:pos="233" w:val="left" w:leader="none"/>
                              </w:tabs>
                              <w:spacing w:line="240" w:lineRule="auto" w:before="1" w:after="0"/>
                              <w:ind w:left="233" w:right="0" w:hanging="169"/>
                              <w:jc w:val="left"/>
                            </w:pPr>
                            <w:r>
                              <w:rPr/>
                              <w:t>BAREMO</w:t>
                            </w:r>
                            <w:r>
                              <w:rPr>
                                <w:spacing w:val="-5"/>
                              </w:rPr>
                              <w:t> </w:t>
                            </w:r>
                            <w:r>
                              <w:rPr/>
                              <w:t>–</w:t>
                            </w:r>
                            <w:r>
                              <w:rPr>
                                <w:spacing w:val="-4"/>
                              </w:rPr>
                              <w:t> </w:t>
                            </w:r>
                            <w:r>
                              <w:rPr/>
                              <w:t>Persona</w:t>
                            </w:r>
                            <w:r>
                              <w:rPr>
                                <w:spacing w:val="-6"/>
                              </w:rPr>
                              <w:t> </w:t>
                            </w:r>
                            <w:r>
                              <w:rPr/>
                              <w:t>Cuidadora:</w:t>
                            </w:r>
                            <w:r>
                              <w:rPr>
                                <w:spacing w:val="-5"/>
                              </w:rPr>
                              <w:t> </w:t>
                            </w:r>
                            <w:r>
                              <w:rPr/>
                              <w:t>20%</w:t>
                            </w:r>
                            <w:r>
                              <w:rPr>
                                <w:spacing w:val="-2"/>
                              </w:rPr>
                              <w:t> </w:t>
                            </w:r>
                            <w:r>
                              <w:rPr/>
                              <w:t>–</w:t>
                            </w:r>
                            <w:r>
                              <w:rPr>
                                <w:spacing w:val="-3"/>
                              </w:rPr>
                              <w:t> </w:t>
                            </w:r>
                            <w:r>
                              <w:rPr/>
                              <w:t>En</w:t>
                            </w:r>
                            <w:r>
                              <w:rPr>
                                <w:spacing w:val="-3"/>
                              </w:rPr>
                              <w:t> </w:t>
                            </w:r>
                            <w:r>
                              <w:rPr/>
                              <w:t>proceso,</w:t>
                            </w:r>
                            <w:r>
                              <w:rPr>
                                <w:spacing w:val="-6"/>
                              </w:rPr>
                              <w:t> </w:t>
                            </w:r>
                            <w:r>
                              <w:rPr/>
                              <w:t>no</w:t>
                            </w:r>
                            <w:r>
                              <w:rPr>
                                <w:spacing w:val="-3"/>
                              </w:rPr>
                              <w:t> </w:t>
                            </w:r>
                            <w:r>
                              <w:rPr/>
                              <w:t>en</w:t>
                            </w:r>
                            <w:r>
                              <w:rPr>
                                <w:spacing w:val="-3"/>
                              </w:rPr>
                              <w:t> </w:t>
                            </w:r>
                            <w:r>
                              <w:rPr>
                                <w:spacing w:val="-2"/>
                              </w:rPr>
                              <w:t>producción.</w:t>
                            </w:r>
                          </w:p>
                          <w:p>
                            <w:pPr>
                              <w:pStyle w:val="BodyText"/>
                              <w:spacing w:before="9"/>
                            </w:pPr>
                          </w:p>
                          <w:p>
                            <w:pPr>
                              <w:pStyle w:val="BodyText"/>
                              <w:spacing w:line="259" w:lineRule="auto"/>
                              <w:ind w:left="64" w:right="62"/>
                              <w:jc w:val="both"/>
                            </w:pPr>
                            <w:r>
                              <w:rPr/>
                              <w:t>Es importante</w:t>
                            </w:r>
                            <w:r>
                              <w:rPr>
                                <w:spacing w:val="-1"/>
                              </w:rPr>
                              <w:t> </w:t>
                            </w:r>
                            <w:r>
                              <w:rPr/>
                              <w:t>señalar que el avance correspondiente al segundo trimestre ha</w:t>
                            </w:r>
                            <w:r>
                              <w:rPr>
                                <w:spacing w:val="-1"/>
                              </w:rPr>
                              <w:t> </w:t>
                            </w:r>
                            <w:r>
                              <w:rPr/>
                              <w:t>sido bajo. Esta situación se debe a que la parte operativa de aseguramiento de la calidad se mantuvo detenida, mientras se aclaraban y definían todos los aspectos relacionados con la contratación bajo la modalidad de outtasking, de manera que el equipo se incorporó a finales de abril del 2026.</w:t>
                            </w:r>
                          </w:p>
                        </w:txbxContent>
                      </wps:txbx>
                      <wps:bodyPr wrap="square" lIns="0" tIns="0" rIns="0" bIns="0" rtlCol="0">
                        <a:noAutofit/>
                      </wps:bodyPr>
                    </wps:wsp>
                  </a:graphicData>
                </a:graphic>
              </wp:anchor>
            </w:drawing>
          </mc:Choice>
          <mc:Fallback>
            <w:pict>
              <v:shape style="position:absolute;margin-left:85.103996pt;margin-top:11.11375pt;width:450pt;height:125.8pt;mso-position-horizontal-relative:page;mso-position-vertical-relative:paragraph;z-index:-15514112;mso-wrap-distance-left:0;mso-wrap-distance-right:0" type="#_x0000_t202" id="docshape1025" filled="false" stroked="true" strokeweight=".47998pt" strokecolor="#000000">
                <v:textbox inset="0,0,0,0">
                  <w:txbxContent>
                    <w:p>
                      <w:pPr>
                        <w:pStyle w:val="BodyText"/>
                        <w:numPr>
                          <w:ilvl w:val="0"/>
                          <w:numId w:val="94"/>
                        </w:numPr>
                        <w:tabs>
                          <w:tab w:pos="233" w:val="left" w:leader="none"/>
                        </w:tabs>
                        <w:spacing w:line="240" w:lineRule="auto" w:before="240" w:after="0"/>
                        <w:ind w:left="233" w:right="0" w:hanging="169"/>
                        <w:jc w:val="left"/>
                      </w:pPr>
                      <w:r>
                        <w:rPr/>
                        <w:t>BAREMO</w:t>
                      </w:r>
                      <w:r>
                        <w:rPr>
                          <w:spacing w:val="-2"/>
                        </w:rPr>
                        <w:t> </w:t>
                      </w:r>
                      <w:r>
                        <w:rPr/>
                        <w:t>–</w:t>
                      </w:r>
                      <w:r>
                        <w:rPr>
                          <w:spacing w:val="-4"/>
                        </w:rPr>
                        <w:t> </w:t>
                      </w:r>
                      <w:r>
                        <w:rPr/>
                        <w:t>Persona</w:t>
                      </w:r>
                      <w:r>
                        <w:rPr>
                          <w:spacing w:val="-3"/>
                        </w:rPr>
                        <w:t> </w:t>
                      </w:r>
                      <w:r>
                        <w:rPr/>
                        <w:t>Baremada:</w:t>
                      </w:r>
                      <w:r>
                        <w:rPr>
                          <w:spacing w:val="-4"/>
                        </w:rPr>
                        <w:t> </w:t>
                      </w:r>
                      <w:r>
                        <w:rPr/>
                        <w:t>100%</w:t>
                      </w:r>
                      <w:r>
                        <w:rPr>
                          <w:spacing w:val="-3"/>
                        </w:rPr>
                        <w:t> </w:t>
                      </w:r>
                      <w:r>
                        <w:rPr/>
                        <w:t>–</w:t>
                      </w:r>
                      <w:r>
                        <w:rPr>
                          <w:spacing w:val="-3"/>
                        </w:rPr>
                        <w:t> </w:t>
                      </w:r>
                      <w:r>
                        <w:rPr/>
                        <w:t>En</w:t>
                      </w:r>
                      <w:r>
                        <w:rPr>
                          <w:spacing w:val="-3"/>
                        </w:rPr>
                        <w:t> </w:t>
                      </w:r>
                      <w:r>
                        <w:rPr/>
                        <w:t>uso</w:t>
                      </w:r>
                      <w:r>
                        <w:rPr>
                          <w:spacing w:val="-3"/>
                        </w:rPr>
                        <w:t> </w:t>
                      </w:r>
                      <w:r>
                        <w:rPr/>
                        <w:t>en</w:t>
                      </w:r>
                      <w:r>
                        <w:rPr>
                          <w:spacing w:val="-2"/>
                        </w:rPr>
                        <w:t> producción.</w:t>
                      </w:r>
                    </w:p>
                    <w:p>
                      <w:pPr>
                        <w:pStyle w:val="BodyText"/>
                        <w:spacing w:before="9"/>
                      </w:pPr>
                    </w:p>
                    <w:p>
                      <w:pPr>
                        <w:pStyle w:val="BodyText"/>
                        <w:numPr>
                          <w:ilvl w:val="0"/>
                          <w:numId w:val="94"/>
                        </w:numPr>
                        <w:tabs>
                          <w:tab w:pos="233" w:val="left" w:leader="none"/>
                        </w:tabs>
                        <w:spacing w:line="240" w:lineRule="auto" w:before="1" w:after="0"/>
                        <w:ind w:left="233" w:right="0" w:hanging="169"/>
                        <w:jc w:val="left"/>
                      </w:pPr>
                      <w:r>
                        <w:rPr/>
                        <w:t>BAREMO</w:t>
                      </w:r>
                      <w:r>
                        <w:rPr>
                          <w:spacing w:val="-5"/>
                        </w:rPr>
                        <w:t> </w:t>
                      </w:r>
                      <w:r>
                        <w:rPr/>
                        <w:t>–</w:t>
                      </w:r>
                      <w:r>
                        <w:rPr>
                          <w:spacing w:val="-4"/>
                        </w:rPr>
                        <w:t> </w:t>
                      </w:r>
                      <w:r>
                        <w:rPr/>
                        <w:t>Persona</w:t>
                      </w:r>
                      <w:r>
                        <w:rPr>
                          <w:spacing w:val="-6"/>
                        </w:rPr>
                        <w:t> </w:t>
                      </w:r>
                      <w:r>
                        <w:rPr/>
                        <w:t>Cuidadora:</w:t>
                      </w:r>
                      <w:r>
                        <w:rPr>
                          <w:spacing w:val="-5"/>
                        </w:rPr>
                        <w:t> </w:t>
                      </w:r>
                      <w:r>
                        <w:rPr/>
                        <w:t>20%</w:t>
                      </w:r>
                      <w:r>
                        <w:rPr>
                          <w:spacing w:val="-2"/>
                        </w:rPr>
                        <w:t> </w:t>
                      </w:r>
                      <w:r>
                        <w:rPr/>
                        <w:t>–</w:t>
                      </w:r>
                      <w:r>
                        <w:rPr>
                          <w:spacing w:val="-3"/>
                        </w:rPr>
                        <w:t> </w:t>
                      </w:r>
                      <w:r>
                        <w:rPr/>
                        <w:t>En</w:t>
                      </w:r>
                      <w:r>
                        <w:rPr>
                          <w:spacing w:val="-3"/>
                        </w:rPr>
                        <w:t> </w:t>
                      </w:r>
                      <w:r>
                        <w:rPr/>
                        <w:t>proceso,</w:t>
                      </w:r>
                      <w:r>
                        <w:rPr>
                          <w:spacing w:val="-6"/>
                        </w:rPr>
                        <w:t> </w:t>
                      </w:r>
                      <w:r>
                        <w:rPr/>
                        <w:t>no</w:t>
                      </w:r>
                      <w:r>
                        <w:rPr>
                          <w:spacing w:val="-3"/>
                        </w:rPr>
                        <w:t> </w:t>
                      </w:r>
                      <w:r>
                        <w:rPr/>
                        <w:t>en</w:t>
                      </w:r>
                      <w:r>
                        <w:rPr>
                          <w:spacing w:val="-3"/>
                        </w:rPr>
                        <w:t> </w:t>
                      </w:r>
                      <w:r>
                        <w:rPr>
                          <w:spacing w:val="-2"/>
                        </w:rPr>
                        <w:t>producción.</w:t>
                      </w:r>
                    </w:p>
                    <w:p>
                      <w:pPr>
                        <w:pStyle w:val="BodyText"/>
                        <w:spacing w:before="9"/>
                      </w:pPr>
                    </w:p>
                    <w:p>
                      <w:pPr>
                        <w:pStyle w:val="BodyText"/>
                        <w:spacing w:line="259" w:lineRule="auto"/>
                        <w:ind w:left="64" w:right="62"/>
                        <w:jc w:val="both"/>
                      </w:pPr>
                      <w:r>
                        <w:rPr/>
                        <w:t>Es importante</w:t>
                      </w:r>
                      <w:r>
                        <w:rPr>
                          <w:spacing w:val="-1"/>
                        </w:rPr>
                        <w:t> </w:t>
                      </w:r>
                      <w:r>
                        <w:rPr/>
                        <w:t>señalar que el avance correspondiente al segundo trimestre ha</w:t>
                      </w:r>
                      <w:r>
                        <w:rPr>
                          <w:spacing w:val="-1"/>
                        </w:rPr>
                        <w:t> </w:t>
                      </w:r>
                      <w:r>
                        <w:rPr/>
                        <w:t>sido bajo. Esta situación se debe a que la parte operativa de aseguramiento de la calidad se mantuvo detenida, mientras se aclaraban y definían todos los aspectos relacionados con la contratación bajo la modalidad de outtasking, de manera que el equipo se incorporó a finales de abril del 2026.</w:t>
                      </w:r>
                    </w:p>
                  </w:txbxContent>
                </v:textbox>
                <v:stroke dashstyle="solid"/>
                <w10:wrap type="topAndBottom"/>
              </v:shape>
            </w:pict>
          </mc:Fallback>
        </mc:AlternateContent>
      </w:r>
    </w:p>
    <w:p>
      <w:pPr>
        <w:pStyle w:val="BodyText"/>
        <w:spacing w:before="186"/>
      </w:pPr>
    </w:p>
    <w:p>
      <w:pPr>
        <w:spacing w:before="1"/>
        <w:ind w:left="622" w:right="0" w:firstLine="0"/>
        <w:jc w:val="left"/>
        <w:rPr>
          <w:b/>
          <w:sz w:val="22"/>
        </w:rPr>
      </w:pPr>
      <w:bookmarkStart w:name="_bookmark155" w:id="156"/>
      <w:bookmarkEnd w:id="156"/>
      <w:r>
        <w:rPr/>
      </w:r>
      <w:r>
        <w:rPr>
          <w:b/>
          <w:sz w:val="22"/>
        </w:rPr>
        <w:t>NOTA</w:t>
      </w:r>
      <w:r>
        <w:rPr>
          <w:b/>
          <w:spacing w:val="-1"/>
          <w:sz w:val="22"/>
        </w:rPr>
        <w:t> </w:t>
      </w:r>
      <w:r>
        <w:rPr>
          <w:b/>
          <w:sz w:val="22"/>
        </w:rPr>
        <w:t>N° </w:t>
      </w:r>
      <w:r>
        <w:rPr>
          <w:b/>
          <w:spacing w:val="-5"/>
          <w:sz w:val="22"/>
        </w:rPr>
        <w:t>92</w:t>
      </w:r>
    </w:p>
    <w:p>
      <w:pPr>
        <w:pStyle w:val="BodyText"/>
        <w:spacing w:before="114"/>
        <w:rPr>
          <w:b/>
        </w:rPr>
      </w:pPr>
    </w:p>
    <w:p>
      <w:pPr>
        <w:pStyle w:val="BodyText"/>
        <w:spacing w:before="1"/>
        <w:ind w:left="622"/>
      </w:pPr>
      <w:r>
        <w:rPr/>
        <w:t>Bienes</w:t>
      </w:r>
      <w:r>
        <w:rPr>
          <w:spacing w:val="-3"/>
        </w:rPr>
        <w:t> </w:t>
      </w:r>
      <w:r>
        <w:rPr>
          <w:spacing w:val="-2"/>
        </w:rPr>
        <w:t>concesionados</w:t>
      </w:r>
    </w:p>
    <w:p>
      <w:pPr>
        <w:pStyle w:val="BodyText"/>
        <w:spacing w:before="6" w:after="1"/>
        <w:rPr>
          <w:sz w:val="15"/>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34"/>
        <w:gridCol w:w="1699"/>
        <w:gridCol w:w="642"/>
        <w:gridCol w:w="2159"/>
        <w:gridCol w:w="2159"/>
        <w:gridCol w:w="1199"/>
      </w:tblGrid>
      <w:tr>
        <w:trPr>
          <w:trHeight w:val="323" w:hRule="atLeast"/>
        </w:trPr>
        <w:tc>
          <w:tcPr>
            <w:tcW w:w="1334" w:type="dxa"/>
            <w:vMerge w:val="restart"/>
            <w:shd w:val="clear" w:color="auto" w:fill="365F92"/>
          </w:tcPr>
          <w:p>
            <w:pPr>
              <w:pStyle w:val="TableParagraph"/>
              <w:spacing w:before="120"/>
              <w:ind w:left="69"/>
              <w:rPr>
                <w:b/>
                <w:sz w:val="22"/>
              </w:rPr>
            </w:pPr>
            <w:r>
              <w:rPr>
                <w:b/>
                <w:color w:val="FFFFFF"/>
                <w:spacing w:val="-2"/>
                <w:sz w:val="22"/>
              </w:rPr>
              <w:t>Cuenta</w:t>
            </w:r>
          </w:p>
        </w:tc>
        <w:tc>
          <w:tcPr>
            <w:tcW w:w="1699" w:type="dxa"/>
            <w:vMerge w:val="restart"/>
            <w:shd w:val="clear" w:color="auto" w:fill="365F92"/>
          </w:tcPr>
          <w:p>
            <w:pPr>
              <w:pStyle w:val="TableParagraph"/>
              <w:spacing w:before="209"/>
              <w:ind w:left="319"/>
              <w:rPr>
                <w:b/>
                <w:sz w:val="22"/>
              </w:rPr>
            </w:pPr>
            <w:r>
              <w:rPr>
                <w:b/>
                <w:color w:val="FFFFFF"/>
                <w:spacing w:val="-2"/>
                <w:sz w:val="22"/>
              </w:rPr>
              <w:t>Descripción</w:t>
            </w:r>
          </w:p>
        </w:tc>
        <w:tc>
          <w:tcPr>
            <w:tcW w:w="642" w:type="dxa"/>
            <w:vMerge w:val="restart"/>
            <w:shd w:val="clear" w:color="auto" w:fill="365F92"/>
          </w:tcPr>
          <w:p>
            <w:pPr>
              <w:pStyle w:val="TableParagraph"/>
              <w:spacing w:before="209"/>
              <w:ind w:left="106"/>
              <w:rPr>
                <w:b/>
                <w:sz w:val="22"/>
              </w:rPr>
            </w:pPr>
            <w:r>
              <w:rPr>
                <w:b/>
                <w:color w:val="FFFFFF"/>
                <w:spacing w:val="-4"/>
                <w:sz w:val="22"/>
              </w:rPr>
              <w:t>Nota</w:t>
            </w:r>
          </w:p>
        </w:tc>
        <w:tc>
          <w:tcPr>
            <w:tcW w:w="2159" w:type="dxa"/>
            <w:vMerge w:val="restart"/>
            <w:shd w:val="clear" w:color="auto" w:fill="365F92"/>
          </w:tcPr>
          <w:p>
            <w:pPr>
              <w:pStyle w:val="TableParagraph"/>
              <w:spacing w:before="209"/>
              <w:ind w:left="451"/>
              <w:rPr>
                <w:b/>
                <w:sz w:val="22"/>
              </w:rPr>
            </w:pPr>
            <w:r>
              <w:rPr>
                <w:b/>
                <w:color w:val="FFFFFF"/>
                <w:sz w:val="22"/>
              </w:rPr>
              <w:t>Periodo</w:t>
            </w:r>
            <w:r>
              <w:rPr>
                <w:b/>
                <w:color w:val="FFFFFF"/>
                <w:spacing w:val="-4"/>
                <w:sz w:val="22"/>
              </w:rPr>
              <w:t> </w:t>
            </w:r>
            <w:r>
              <w:rPr>
                <w:b/>
                <w:color w:val="FFFFFF"/>
                <w:spacing w:val="-2"/>
                <w:sz w:val="22"/>
              </w:rPr>
              <w:t>Actual</w:t>
            </w:r>
          </w:p>
        </w:tc>
        <w:tc>
          <w:tcPr>
            <w:tcW w:w="2159" w:type="dxa"/>
            <w:vMerge w:val="restart"/>
            <w:shd w:val="clear" w:color="auto" w:fill="365F92"/>
          </w:tcPr>
          <w:p>
            <w:pPr>
              <w:pStyle w:val="TableParagraph"/>
              <w:spacing w:before="209"/>
              <w:ind w:left="359"/>
              <w:rPr>
                <w:b/>
                <w:sz w:val="22"/>
              </w:rPr>
            </w:pPr>
            <w:r>
              <w:rPr>
                <w:b/>
                <w:color w:val="FFFFFF"/>
                <w:sz w:val="22"/>
              </w:rPr>
              <w:t>Periodo</w:t>
            </w:r>
            <w:r>
              <w:rPr>
                <w:b/>
                <w:color w:val="FFFFFF"/>
                <w:spacing w:val="-4"/>
                <w:sz w:val="22"/>
              </w:rPr>
              <w:t> </w:t>
            </w:r>
            <w:r>
              <w:rPr>
                <w:b/>
                <w:color w:val="FFFFFF"/>
                <w:spacing w:val="-2"/>
                <w:sz w:val="22"/>
              </w:rPr>
              <w:t>Anterior</w:t>
            </w:r>
          </w:p>
        </w:tc>
        <w:tc>
          <w:tcPr>
            <w:tcW w:w="1199" w:type="dxa"/>
            <w:shd w:val="clear" w:color="auto" w:fill="365F92"/>
          </w:tcPr>
          <w:p>
            <w:pPr>
              <w:pStyle w:val="TableParagraph"/>
              <w:spacing w:before="36"/>
              <w:ind w:left="29" w:right="1"/>
              <w:jc w:val="center"/>
              <w:rPr>
                <w:b/>
                <w:sz w:val="22"/>
              </w:rPr>
            </w:pPr>
            <w:r>
              <w:rPr>
                <w:b/>
                <w:color w:val="FFFFFF"/>
                <w:spacing w:val="-2"/>
                <w:sz w:val="22"/>
              </w:rPr>
              <w:t>Diferencia</w:t>
            </w:r>
          </w:p>
        </w:tc>
      </w:tr>
      <w:tr>
        <w:trPr>
          <w:trHeight w:val="325" w:hRule="atLeast"/>
        </w:trPr>
        <w:tc>
          <w:tcPr>
            <w:tcW w:w="1334" w:type="dxa"/>
            <w:vMerge/>
            <w:tcBorders>
              <w:top w:val="nil"/>
            </w:tcBorders>
            <w:shd w:val="clear" w:color="auto" w:fill="365F92"/>
          </w:tcPr>
          <w:p>
            <w:pPr>
              <w:rPr>
                <w:sz w:val="2"/>
                <w:szCs w:val="2"/>
              </w:rPr>
            </w:pPr>
          </w:p>
        </w:tc>
        <w:tc>
          <w:tcPr>
            <w:tcW w:w="1699" w:type="dxa"/>
            <w:vMerge/>
            <w:tcBorders>
              <w:top w:val="nil"/>
            </w:tcBorders>
            <w:shd w:val="clear" w:color="auto" w:fill="365F92"/>
          </w:tcPr>
          <w:p>
            <w:pPr>
              <w:rPr>
                <w:sz w:val="2"/>
                <w:szCs w:val="2"/>
              </w:rPr>
            </w:pPr>
          </w:p>
        </w:tc>
        <w:tc>
          <w:tcPr>
            <w:tcW w:w="642" w:type="dxa"/>
            <w:vMerge/>
            <w:tcBorders>
              <w:top w:val="nil"/>
            </w:tcBorders>
            <w:shd w:val="clear" w:color="auto" w:fill="365F92"/>
          </w:tcPr>
          <w:p>
            <w:pPr>
              <w:rPr>
                <w:sz w:val="2"/>
                <w:szCs w:val="2"/>
              </w:rPr>
            </w:pPr>
          </w:p>
        </w:tc>
        <w:tc>
          <w:tcPr>
            <w:tcW w:w="2159" w:type="dxa"/>
            <w:vMerge/>
            <w:tcBorders>
              <w:top w:val="nil"/>
            </w:tcBorders>
            <w:shd w:val="clear" w:color="auto" w:fill="365F92"/>
          </w:tcPr>
          <w:p>
            <w:pPr>
              <w:rPr>
                <w:sz w:val="2"/>
                <w:szCs w:val="2"/>
              </w:rPr>
            </w:pPr>
          </w:p>
        </w:tc>
        <w:tc>
          <w:tcPr>
            <w:tcW w:w="2159" w:type="dxa"/>
            <w:vMerge/>
            <w:tcBorders>
              <w:top w:val="nil"/>
            </w:tcBorders>
            <w:shd w:val="clear" w:color="auto" w:fill="365F92"/>
          </w:tcPr>
          <w:p>
            <w:pPr>
              <w:rPr>
                <w:sz w:val="2"/>
                <w:szCs w:val="2"/>
              </w:rPr>
            </w:pPr>
          </w:p>
        </w:tc>
        <w:tc>
          <w:tcPr>
            <w:tcW w:w="1199" w:type="dxa"/>
            <w:shd w:val="clear" w:color="auto" w:fill="365F92"/>
          </w:tcPr>
          <w:p>
            <w:pPr>
              <w:pStyle w:val="TableParagraph"/>
              <w:spacing w:before="38"/>
              <w:ind w:left="29" w:right="3"/>
              <w:jc w:val="center"/>
              <w:rPr>
                <w:sz w:val="22"/>
              </w:rPr>
            </w:pPr>
            <w:r>
              <w:rPr>
                <w:color w:val="FFFFFF"/>
                <w:spacing w:val="-10"/>
                <w:sz w:val="22"/>
              </w:rPr>
              <w:t>%</w:t>
            </w:r>
          </w:p>
        </w:tc>
      </w:tr>
      <w:tr>
        <w:trPr>
          <w:trHeight w:val="457" w:hRule="atLeast"/>
        </w:trPr>
        <w:tc>
          <w:tcPr>
            <w:tcW w:w="1334" w:type="dxa"/>
          </w:tcPr>
          <w:p>
            <w:pPr>
              <w:pStyle w:val="TableParagraph"/>
              <w:spacing w:before="113"/>
              <w:ind w:left="69"/>
              <w:rPr>
                <w:b/>
                <w:sz w:val="20"/>
              </w:rPr>
            </w:pPr>
            <w:r>
              <w:rPr>
                <w:b/>
                <w:spacing w:val="-2"/>
                <w:sz w:val="20"/>
              </w:rPr>
              <w:t>1.2.6.</w:t>
            </w:r>
          </w:p>
        </w:tc>
        <w:tc>
          <w:tcPr>
            <w:tcW w:w="1699" w:type="dxa"/>
          </w:tcPr>
          <w:p>
            <w:pPr>
              <w:pStyle w:val="TableParagraph"/>
              <w:spacing w:line="227" w:lineRule="exact"/>
              <w:ind w:left="69"/>
              <w:rPr>
                <w:b/>
                <w:sz w:val="20"/>
              </w:rPr>
            </w:pPr>
            <w:r>
              <w:rPr>
                <w:b/>
                <w:spacing w:val="-2"/>
                <w:sz w:val="20"/>
              </w:rPr>
              <w:t>Bienes</w:t>
            </w:r>
          </w:p>
          <w:p>
            <w:pPr>
              <w:pStyle w:val="TableParagraph"/>
              <w:spacing w:line="211" w:lineRule="exact"/>
              <w:ind w:left="69"/>
              <w:rPr>
                <w:b/>
                <w:sz w:val="20"/>
              </w:rPr>
            </w:pPr>
            <w:r>
              <w:rPr>
                <w:b/>
                <w:spacing w:val="-2"/>
                <w:sz w:val="20"/>
              </w:rPr>
              <w:t>concesionados</w:t>
            </w:r>
          </w:p>
        </w:tc>
        <w:tc>
          <w:tcPr>
            <w:tcW w:w="642" w:type="dxa"/>
          </w:tcPr>
          <w:p>
            <w:pPr>
              <w:pStyle w:val="TableParagraph"/>
              <w:spacing w:before="113"/>
              <w:ind w:left="223"/>
              <w:rPr>
                <w:b/>
                <w:sz w:val="20"/>
              </w:rPr>
            </w:pPr>
            <w:r>
              <w:rPr>
                <w:b/>
                <w:spacing w:val="-5"/>
                <w:sz w:val="20"/>
              </w:rPr>
              <w:t>11</w:t>
            </w:r>
          </w:p>
        </w:tc>
        <w:tc>
          <w:tcPr>
            <w:tcW w:w="2159" w:type="dxa"/>
          </w:tcPr>
          <w:p>
            <w:pPr>
              <w:pStyle w:val="TableParagraph"/>
              <w:spacing w:before="113"/>
              <w:ind w:left="26" w:right="3"/>
              <w:jc w:val="center"/>
              <w:rPr>
                <w:b/>
                <w:sz w:val="20"/>
              </w:rPr>
            </w:pPr>
            <w:r>
              <w:rPr>
                <w:b/>
                <w:spacing w:val="-4"/>
                <w:sz w:val="20"/>
              </w:rPr>
              <w:t>0,00</w:t>
            </w:r>
          </w:p>
        </w:tc>
        <w:tc>
          <w:tcPr>
            <w:tcW w:w="2159" w:type="dxa"/>
          </w:tcPr>
          <w:p>
            <w:pPr>
              <w:pStyle w:val="TableParagraph"/>
              <w:spacing w:before="113"/>
              <w:ind w:left="26"/>
              <w:jc w:val="center"/>
              <w:rPr>
                <w:b/>
                <w:sz w:val="20"/>
              </w:rPr>
            </w:pPr>
            <w:r>
              <w:rPr>
                <w:b/>
                <w:spacing w:val="-4"/>
                <w:sz w:val="20"/>
              </w:rPr>
              <w:t>0,00</w:t>
            </w:r>
          </w:p>
        </w:tc>
        <w:tc>
          <w:tcPr>
            <w:tcW w:w="1199" w:type="dxa"/>
          </w:tcPr>
          <w:p>
            <w:pPr>
              <w:pStyle w:val="TableParagraph"/>
              <w:spacing w:before="113"/>
              <w:ind w:left="29"/>
              <w:jc w:val="center"/>
              <w:rPr>
                <w:b/>
                <w:sz w:val="20"/>
              </w:rPr>
            </w:pPr>
            <w:r>
              <w:rPr>
                <w:b/>
                <w:spacing w:val="-2"/>
                <w:sz w:val="20"/>
              </w:rPr>
              <w:t>0,00%</w:t>
            </w:r>
          </w:p>
        </w:tc>
      </w:tr>
    </w:tbl>
    <w:p>
      <w:pPr>
        <w:pStyle w:val="BodyText"/>
        <w:rPr>
          <w:sz w:val="20"/>
        </w:rPr>
      </w:pPr>
    </w:p>
    <w:p>
      <w:pPr>
        <w:pStyle w:val="BodyText"/>
        <w:spacing w:before="189"/>
        <w:rPr>
          <w:sz w:val="20"/>
        </w:rPr>
      </w:pPr>
      <w:r>
        <w:rPr>
          <w:sz w:val="20"/>
        </w:rPr>
        <mc:AlternateContent>
          <mc:Choice Requires="wps">
            <w:drawing>
              <wp:anchor distT="0" distB="0" distL="0" distR="0" allowOverlap="1" layoutInCell="1" locked="0" behindDoc="1" simplePos="0" relativeHeight="487802880">
                <wp:simplePos x="0" y="0"/>
                <wp:positionH relativeFrom="page">
                  <wp:posOffset>1080820</wp:posOffset>
                </wp:positionH>
                <wp:positionV relativeFrom="paragraph">
                  <wp:posOffset>283765</wp:posOffset>
                </wp:positionV>
                <wp:extent cx="5715000" cy="553720"/>
                <wp:effectExtent l="0" t="0" r="0" b="0"/>
                <wp:wrapTopAndBottom/>
                <wp:docPr id="1079" name="Textbox 1079"/>
                <wp:cNvGraphicFramePr>
                  <a:graphicFrameLocks/>
                </wp:cNvGraphicFramePr>
                <a:graphic>
                  <a:graphicData uri="http://schemas.microsoft.com/office/word/2010/wordprocessingShape">
                    <wps:wsp>
                      <wps:cNvPr id="1079" name="Textbox 1079"/>
                      <wps:cNvSpPr txBox="1"/>
                      <wps:spPr>
                        <a:xfrm>
                          <a:off x="0" y="0"/>
                          <a:ext cx="5715000" cy="553720"/>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2.343765pt;width:450pt;height:43.6pt;mso-position-horizontal-relative:page;mso-position-vertical-relative:paragraph;z-index:-15513600;mso-wrap-distance-left:0;mso-wrap-distance-right:0" type="#_x0000_t202" id="docshape1026"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spacing w:before="186"/>
      </w:pPr>
    </w:p>
    <w:p>
      <w:pPr>
        <w:pStyle w:val="Heading6"/>
        <w:tabs>
          <w:tab w:pos="9489" w:val="left" w:leader="none"/>
        </w:tabs>
        <w:spacing w:line="422" w:lineRule="auto"/>
        <w:ind w:left="730" w:right="948" w:hanging="108"/>
        <w:rPr>
          <w:b w:val="0"/>
        </w:rPr>
      </w:pPr>
      <w:r>
        <w:rPr>
          <w:color w:val="FFFFFF"/>
          <w:shd w:fill="365F92" w:color="auto" w:val="clear"/>
        </w:rPr>
        <w:t>Información a revelar - Acuerdos de concesión de Servicios NICSP 32 (párrafo 32, 33)</w:t>
        <w:tab/>
      </w:r>
      <w:r>
        <w:rPr>
          <w:color w:val="FFFFFF"/>
        </w:rPr>
        <w:t> </w:t>
      </w:r>
      <w:r>
        <w:rPr>
          <w:color w:val="1F4E79"/>
          <w:spacing w:val="-2"/>
          <w:u w:val="single" w:color="1F4E79"/>
        </w:rPr>
        <w:t>Revelación</w:t>
      </w:r>
      <w:r>
        <w:rPr>
          <w:b w:val="0"/>
          <w:color w:val="000000"/>
          <w:spacing w:val="-2"/>
          <w:u w:val="none"/>
        </w:rPr>
        <w:t>:</w:t>
      </w:r>
    </w:p>
    <w:tbl>
      <w:tblPr>
        <w:tblW w:w="0" w:type="auto"/>
        <w:jc w:val="left"/>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02"/>
        <w:gridCol w:w="1879"/>
      </w:tblGrid>
      <w:tr>
        <w:trPr>
          <w:trHeight w:val="407" w:hRule="atLeast"/>
        </w:trPr>
        <w:tc>
          <w:tcPr>
            <w:tcW w:w="2302" w:type="dxa"/>
            <w:shd w:val="clear" w:color="auto" w:fill="17365D"/>
          </w:tcPr>
          <w:p>
            <w:pPr>
              <w:pStyle w:val="TableParagraph"/>
              <w:spacing w:line="214" w:lineRule="exact"/>
              <w:ind w:left="69"/>
              <w:rPr>
                <w:sz w:val="20"/>
              </w:rPr>
            </w:pPr>
            <w:r>
              <w:rPr>
                <w:color w:val="FFFFFF"/>
                <w:spacing w:val="-2"/>
                <w:sz w:val="20"/>
              </w:rPr>
              <w:t>Aplica</w:t>
            </w:r>
          </w:p>
        </w:tc>
        <w:tc>
          <w:tcPr>
            <w:tcW w:w="1879" w:type="dxa"/>
            <w:tcBorders>
              <w:top w:val="single" w:sz="4" w:space="0" w:color="000000"/>
              <w:bottom w:val="single" w:sz="4" w:space="0" w:color="000000"/>
              <w:right w:val="single" w:sz="4" w:space="0" w:color="000000"/>
            </w:tcBorders>
          </w:tcPr>
          <w:p>
            <w:pPr>
              <w:pStyle w:val="TableParagraph"/>
              <w:spacing w:before="77"/>
              <w:ind w:left="9"/>
              <w:jc w:val="center"/>
              <w:rPr>
                <w:sz w:val="20"/>
              </w:rPr>
            </w:pPr>
            <w:r>
              <w:rPr>
                <w:spacing w:val="-5"/>
                <w:sz w:val="20"/>
              </w:rPr>
              <w:t>NO</w:t>
            </w:r>
          </w:p>
        </w:tc>
      </w:tr>
      <w:tr>
        <w:trPr>
          <w:trHeight w:val="323" w:hRule="atLeast"/>
        </w:trPr>
        <w:tc>
          <w:tcPr>
            <w:tcW w:w="2302" w:type="dxa"/>
            <w:shd w:val="clear" w:color="auto" w:fill="17365D"/>
          </w:tcPr>
          <w:p>
            <w:pPr>
              <w:pStyle w:val="TableParagraph"/>
              <w:spacing w:before="34"/>
              <w:ind w:left="69"/>
              <w:rPr>
                <w:sz w:val="20"/>
              </w:rPr>
            </w:pPr>
            <w:r>
              <w:rPr>
                <w:color w:val="FFFFFF"/>
                <w:sz w:val="20"/>
              </w:rPr>
              <w:t>Porcentaje</w:t>
            </w:r>
            <w:r>
              <w:rPr>
                <w:color w:val="FFFFFF"/>
                <w:spacing w:val="-12"/>
                <w:sz w:val="20"/>
              </w:rPr>
              <w:t> </w:t>
            </w:r>
            <w:r>
              <w:rPr>
                <w:color w:val="FFFFFF"/>
                <w:spacing w:val="-2"/>
                <w:sz w:val="20"/>
              </w:rPr>
              <w:t>Avance</w:t>
            </w:r>
          </w:p>
        </w:tc>
        <w:tc>
          <w:tcPr>
            <w:tcW w:w="1879" w:type="dxa"/>
            <w:tcBorders>
              <w:top w:val="single" w:sz="4" w:space="0" w:color="000000"/>
              <w:bottom w:val="single" w:sz="4" w:space="0" w:color="000000"/>
              <w:right w:val="single" w:sz="4" w:space="0" w:color="000000"/>
            </w:tcBorders>
          </w:tcPr>
          <w:p>
            <w:pPr>
              <w:pStyle w:val="TableParagraph"/>
              <w:spacing w:before="34"/>
              <w:ind w:left="9" w:right="1"/>
              <w:jc w:val="center"/>
              <w:rPr>
                <w:sz w:val="20"/>
              </w:rPr>
            </w:pPr>
            <w:r>
              <w:rPr>
                <w:spacing w:val="-2"/>
                <w:sz w:val="20"/>
              </w:rPr>
              <w:t>0,00%</w:t>
            </w:r>
          </w:p>
        </w:tc>
      </w:tr>
    </w:tbl>
    <w:p>
      <w:pPr>
        <w:pStyle w:val="BodyText"/>
        <w:spacing w:before="167"/>
      </w:pPr>
    </w:p>
    <w:p>
      <w:pPr>
        <w:pStyle w:val="BodyText"/>
        <w:ind w:left="730" w:right="1001"/>
      </w:pPr>
      <w:r>
        <w:rPr/>
        <w:t>El objetivo de esta Norma es prescribir la contabilización de acuerdos de concesión de servicios públicos</w:t>
      </w:r>
      <w:r>
        <w:rPr>
          <w:spacing w:val="-2"/>
        </w:rPr>
        <w:t> </w:t>
      </w:r>
      <w:r>
        <w:rPr/>
        <w:t>por</w:t>
      </w:r>
      <w:r>
        <w:rPr>
          <w:spacing w:val="-5"/>
        </w:rPr>
        <w:t> </w:t>
      </w:r>
      <w:r>
        <w:rPr/>
        <w:t>la</w:t>
      </w:r>
      <w:r>
        <w:rPr>
          <w:spacing w:val="-5"/>
        </w:rPr>
        <w:t> </w:t>
      </w:r>
      <w:r>
        <w:rPr/>
        <w:t>concedente,</w:t>
      </w:r>
      <w:r>
        <w:rPr>
          <w:spacing w:val="-6"/>
        </w:rPr>
        <w:t> </w:t>
      </w:r>
      <w:r>
        <w:rPr/>
        <w:t>una</w:t>
      </w:r>
      <w:r>
        <w:rPr>
          <w:spacing w:val="-4"/>
        </w:rPr>
        <w:t> </w:t>
      </w:r>
      <w:r>
        <w:rPr/>
        <w:t>entidad</w:t>
      </w:r>
      <w:r>
        <w:rPr>
          <w:spacing w:val="-3"/>
        </w:rPr>
        <w:t> </w:t>
      </w:r>
      <w:r>
        <w:rPr/>
        <w:t>pública.</w:t>
      </w:r>
      <w:r>
        <w:rPr>
          <w:spacing w:val="-4"/>
        </w:rPr>
        <w:t> </w:t>
      </w:r>
      <w:r>
        <w:rPr/>
        <w:t>Los</w:t>
      </w:r>
      <w:r>
        <w:rPr>
          <w:spacing w:val="-2"/>
        </w:rPr>
        <w:t> </w:t>
      </w:r>
      <w:r>
        <w:rPr/>
        <w:t>servicios</w:t>
      </w:r>
      <w:r>
        <w:rPr>
          <w:spacing w:val="-2"/>
        </w:rPr>
        <w:t> </w:t>
      </w:r>
      <w:r>
        <w:rPr/>
        <w:t>públicos</w:t>
      </w:r>
      <w:r>
        <w:rPr>
          <w:spacing w:val="-5"/>
        </w:rPr>
        <w:t> </w:t>
      </w:r>
      <w:r>
        <w:rPr/>
        <w:t>prestados</w:t>
      </w:r>
      <w:r>
        <w:rPr>
          <w:spacing w:val="-2"/>
        </w:rPr>
        <w:t> </w:t>
      </w:r>
      <w:r>
        <w:rPr/>
        <w:t>por</w:t>
      </w:r>
      <w:r>
        <w:rPr>
          <w:spacing w:val="-3"/>
        </w:rPr>
        <w:t> </w:t>
      </w:r>
      <w:r>
        <w:rPr/>
        <w:t>el</w:t>
      </w:r>
      <w:r>
        <w:rPr>
          <w:spacing w:val="-3"/>
        </w:rPr>
        <w:t> </w:t>
      </w:r>
      <w:r>
        <w:rPr/>
        <w:t>IMAS</w:t>
      </w:r>
      <w:r>
        <w:rPr>
          <w:spacing w:val="-2"/>
        </w:rPr>
        <w:t> </w:t>
      </w:r>
      <w:r>
        <w:rPr/>
        <w:t>no tienen ningún acuerdo de concesión de servicios.</w:t>
      </w:r>
    </w:p>
    <w:p>
      <w:pPr>
        <w:pStyle w:val="BodyText"/>
        <w:rPr>
          <w:sz w:val="20"/>
        </w:rPr>
      </w:pPr>
    </w:p>
    <w:p>
      <w:pPr>
        <w:pStyle w:val="BodyText"/>
        <w:rPr>
          <w:sz w:val="20"/>
        </w:rPr>
      </w:pPr>
    </w:p>
    <w:p>
      <w:pPr>
        <w:pStyle w:val="BodyText"/>
        <w:spacing w:before="158"/>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2389"/>
        <w:gridCol w:w="574"/>
        <w:gridCol w:w="1925"/>
        <w:gridCol w:w="1928"/>
        <w:gridCol w:w="1069"/>
      </w:tblGrid>
      <w:tr>
        <w:trPr>
          <w:trHeight w:val="303" w:hRule="atLeast"/>
        </w:trPr>
        <w:tc>
          <w:tcPr>
            <w:tcW w:w="929" w:type="dxa"/>
            <w:vMerge w:val="restart"/>
            <w:shd w:val="clear" w:color="auto" w:fill="365F92"/>
          </w:tcPr>
          <w:p>
            <w:pPr>
              <w:pStyle w:val="TableParagraph"/>
              <w:spacing w:before="187"/>
              <w:ind w:left="69"/>
              <w:rPr>
                <w:b/>
                <w:sz w:val="22"/>
              </w:rPr>
            </w:pPr>
            <w:r>
              <w:rPr>
                <w:b/>
                <w:color w:val="FFFFFF"/>
                <w:spacing w:val="-2"/>
                <w:sz w:val="22"/>
              </w:rPr>
              <w:t>Cuenta</w:t>
            </w:r>
          </w:p>
        </w:tc>
        <w:tc>
          <w:tcPr>
            <w:tcW w:w="2389" w:type="dxa"/>
            <w:vMerge w:val="restart"/>
            <w:shd w:val="clear" w:color="auto" w:fill="365F92"/>
          </w:tcPr>
          <w:p>
            <w:pPr>
              <w:pStyle w:val="TableParagraph"/>
              <w:spacing w:before="187"/>
              <w:ind w:left="662"/>
              <w:rPr>
                <w:b/>
                <w:sz w:val="22"/>
              </w:rPr>
            </w:pPr>
            <w:r>
              <w:rPr>
                <w:b/>
                <w:color w:val="FFFFFF"/>
                <w:spacing w:val="-2"/>
                <w:sz w:val="22"/>
              </w:rPr>
              <w:t>Descripción</w:t>
            </w:r>
          </w:p>
        </w:tc>
        <w:tc>
          <w:tcPr>
            <w:tcW w:w="574" w:type="dxa"/>
            <w:vMerge w:val="restart"/>
            <w:shd w:val="clear" w:color="auto" w:fill="365F92"/>
          </w:tcPr>
          <w:p>
            <w:pPr>
              <w:pStyle w:val="TableParagraph"/>
              <w:spacing w:before="187"/>
              <w:ind w:left="68"/>
              <w:rPr>
                <w:b/>
                <w:sz w:val="22"/>
              </w:rPr>
            </w:pPr>
            <w:r>
              <w:rPr>
                <w:b/>
                <w:color w:val="FFFFFF"/>
                <w:spacing w:val="-4"/>
                <w:sz w:val="22"/>
              </w:rPr>
              <w:t>Nota</w:t>
            </w:r>
          </w:p>
        </w:tc>
        <w:tc>
          <w:tcPr>
            <w:tcW w:w="1925" w:type="dxa"/>
            <w:vMerge w:val="restart"/>
            <w:shd w:val="clear" w:color="auto" w:fill="365F92"/>
          </w:tcPr>
          <w:p>
            <w:pPr>
              <w:pStyle w:val="TableParagraph"/>
              <w:spacing w:before="187"/>
              <w:ind w:left="330"/>
              <w:rPr>
                <w:b/>
                <w:sz w:val="22"/>
              </w:rPr>
            </w:pPr>
            <w:r>
              <w:rPr>
                <w:b/>
                <w:color w:val="FFFFFF"/>
                <w:sz w:val="22"/>
              </w:rPr>
              <w:t>Periodo</w:t>
            </w:r>
            <w:r>
              <w:rPr>
                <w:b/>
                <w:color w:val="FFFFFF"/>
                <w:spacing w:val="-4"/>
                <w:sz w:val="22"/>
              </w:rPr>
              <w:t> </w:t>
            </w:r>
            <w:r>
              <w:rPr>
                <w:b/>
                <w:color w:val="FFFFFF"/>
                <w:spacing w:val="-2"/>
                <w:sz w:val="22"/>
              </w:rPr>
              <w:t>Actual</w:t>
            </w:r>
          </w:p>
        </w:tc>
        <w:tc>
          <w:tcPr>
            <w:tcW w:w="1928" w:type="dxa"/>
            <w:vMerge w:val="restart"/>
            <w:shd w:val="clear" w:color="auto" w:fill="365F92"/>
          </w:tcPr>
          <w:p>
            <w:pPr>
              <w:pStyle w:val="TableParagraph"/>
              <w:spacing w:before="187"/>
              <w:ind w:left="236"/>
              <w:rPr>
                <w:b/>
                <w:sz w:val="22"/>
              </w:rPr>
            </w:pPr>
            <w:r>
              <w:rPr>
                <w:b/>
                <w:color w:val="FFFFFF"/>
                <w:sz w:val="22"/>
              </w:rPr>
              <w:t>Periodo</w:t>
            </w:r>
            <w:r>
              <w:rPr>
                <w:b/>
                <w:color w:val="FFFFFF"/>
                <w:spacing w:val="-4"/>
                <w:sz w:val="22"/>
              </w:rPr>
              <w:t> </w:t>
            </w:r>
            <w:r>
              <w:rPr>
                <w:b/>
                <w:color w:val="FFFFFF"/>
                <w:spacing w:val="-2"/>
                <w:sz w:val="22"/>
              </w:rPr>
              <w:t>Anterior</w:t>
            </w:r>
          </w:p>
        </w:tc>
        <w:tc>
          <w:tcPr>
            <w:tcW w:w="1069" w:type="dxa"/>
            <w:shd w:val="clear" w:color="auto" w:fill="365F92"/>
          </w:tcPr>
          <w:p>
            <w:pPr>
              <w:pStyle w:val="TableParagraph"/>
              <w:spacing w:before="26"/>
              <w:ind w:left="16"/>
              <w:jc w:val="center"/>
              <w:rPr>
                <w:b/>
                <w:sz w:val="22"/>
              </w:rPr>
            </w:pPr>
            <w:r>
              <w:rPr>
                <w:b/>
                <w:color w:val="FFFFFF"/>
                <w:spacing w:val="-2"/>
                <w:sz w:val="22"/>
              </w:rPr>
              <w:t>Diferencia</w:t>
            </w:r>
          </w:p>
        </w:tc>
      </w:tr>
      <w:tr>
        <w:trPr>
          <w:trHeight w:val="304" w:hRule="atLeast"/>
        </w:trPr>
        <w:tc>
          <w:tcPr>
            <w:tcW w:w="929" w:type="dxa"/>
            <w:vMerge/>
            <w:tcBorders>
              <w:top w:val="nil"/>
            </w:tcBorders>
            <w:shd w:val="clear" w:color="auto" w:fill="365F92"/>
          </w:tcPr>
          <w:p>
            <w:pPr>
              <w:rPr>
                <w:sz w:val="2"/>
                <w:szCs w:val="2"/>
              </w:rPr>
            </w:pPr>
          </w:p>
        </w:tc>
        <w:tc>
          <w:tcPr>
            <w:tcW w:w="2389" w:type="dxa"/>
            <w:vMerge/>
            <w:tcBorders>
              <w:top w:val="nil"/>
            </w:tcBorders>
            <w:shd w:val="clear" w:color="auto" w:fill="365F92"/>
          </w:tcPr>
          <w:p>
            <w:pPr>
              <w:rPr>
                <w:sz w:val="2"/>
                <w:szCs w:val="2"/>
              </w:rPr>
            </w:pPr>
          </w:p>
        </w:tc>
        <w:tc>
          <w:tcPr>
            <w:tcW w:w="574" w:type="dxa"/>
            <w:vMerge/>
            <w:tcBorders>
              <w:top w:val="nil"/>
            </w:tcBorders>
            <w:shd w:val="clear" w:color="auto" w:fill="365F92"/>
          </w:tcPr>
          <w:p>
            <w:pPr>
              <w:rPr>
                <w:sz w:val="2"/>
                <w:szCs w:val="2"/>
              </w:rPr>
            </w:pPr>
          </w:p>
        </w:tc>
        <w:tc>
          <w:tcPr>
            <w:tcW w:w="1925" w:type="dxa"/>
            <w:vMerge/>
            <w:tcBorders>
              <w:top w:val="nil"/>
            </w:tcBorders>
            <w:shd w:val="clear" w:color="auto" w:fill="365F92"/>
          </w:tcPr>
          <w:p>
            <w:pPr>
              <w:rPr>
                <w:sz w:val="2"/>
                <w:szCs w:val="2"/>
              </w:rPr>
            </w:pPr>
          </w:p>
        </w:tc>
        <w:tc>
          <w:tcPr>
            <w:tcW w:w="1928" w:type="dxa"/>
            <w:vMerge/>
            <w:tcBorders>
              <w:top w:val="nil"/>
            </w:tcBorders>
            <w:shd w:val="clear" w:color="auto" w:fill="365F92"/>
          </w:tcPr>
          <w:p>
            <w:pPr>
              <w:rPr>
                <w:sz w:val="2"/>
                <w:szCs w:val="2"/>
              </w:rPr>
            </w:pPr>
          </w:p>
        </w:tc>
        <w:tc>
          <w:tcPr>
            <w:tcW w:w="1069" w:type="dxa"/>
            <w:shd w:val="clear" w:color="auto" w:fill="365F92"/>
          </w:tcPr>
          <w:p>
            <w:pPr>
              <w:pStyle w:val="TableParagraph"/>
              <w:spacing w:before="26"/>
              <w:ind w:left="16" w:right="3"/>
              <w:jc w:val="center"/>
              <w:rPr>
                <w:sz w:val="22"/>
              </w:rPr>
            </w:pPr>
            <w:r>
              <w:rPr>
                <w:color w:val="FFFFFF"/>
                <w:spacing w:val="-10"/>
                <w:sz w:val="22"/>
              </w:rPr>
              <w:t>%</w:t>
            </w:r>
          </w:p>
        </w:tc>
      </w:tr>
      <w:tr>
        <w:trPr>
          <w:trHeight w:val="507" w:hRule="atLeast"/>
        </w:trPr>
        <w:tc>
          <w:tcPr>
            <w:tcW w:w="929" w:type="dxa"/>
          </w:tcPr>
          <w:p>
            <w:pPr>
              <w:pStyle w:val="TableParagraph"/>
              <w:spacing w:before="137"/>
              <w:ind w:left="69"/>
              <w:rPr>
                <w:b/>
                <w:sz w:val="20"/>
              </w:rPr>
            </w:pPr>
            <w:r>
              <w:rPr>
                <w:b/>
                <w:spacing w:val="-2"/>
                <w:sz w:val="20"/>
              </w:rPr>
              <w:t>1.2.6.01.</w:t>
            </w:r>
          </w:p>
        </w:tc>
        <w:tc>
          <w:tcPr>
            <w:tcW w:w="2389" w:type="dxa"/>
          </w:tcPr>
          <w:p>
            <w:pPr>
              <w:pStyle w:val="TableParagraph"/>
              <w:spacing w:before="25"/>
              <w:ind w:left="68" w:right="470"/>
              <w:rPr>
                <w:b/>
                <w:sz w:val="20"/>
              </w:rPr>
            </w:pPr>
            <w:r>
              <w:rPr>
                <w:b/>
                <w:sz w:val="20"/>
              </w:rPr>
              <w:t>Propiedades, planta y equipos</w:t>
            </w:r>
            <w:r>
              <w:rPr>
                <w:b/>
                <w:spacing w:val="-13"/>
                <w:sz w:val="20"/>
              </w:rPr>
              <w:t> </w:t>
            </w:r>
            <w:r>
              <w:rPr>
                <w:b/>
                <w:sz w:val="20"/>
              </w:rPr>
              <w:t>concesionados</w:t>
            </w:r>
          </w:p>
        </w:tc>
        <w:tc>
          <w:tcPr>
            <w:tcW w:w="574" w:type="dxa"/>
          </w:tcPr>
          <w:p>
            <w:pPr>
              <w:pStyle w:val="TableParagraph"/>
              <w:spacing w:before="137"/>
              <w:ind w:left="186"/>
              <w:rPr>
                <w:b/>
                <w:sz w:val="20"/>
              </w:rPr>
            </w:pPr>
            <w:r>
              <w:rPr>
                <w:b/>
                <w:spacing w:val="-5"/>
                <w:sz w:val="20"/>
              </w:rPr>
              <w:t>11</w:t>
            </w:r>
          </w:p>
        </w:tc>
        <w:tc>
          <w:tcPr>
            <w:tcW w:w="1925" w:type="dxa"/>
          </w:tcPr>
          <w:p>
            <w:pPr>
              <w:pStyle w:val="TableParagraph"/>
              <w:spacing w:before="137"/>
              <w:ind w:left="15"/>
              <w:jc w:val="center"/>
              <w:rPr>
                <w:b/>
                <w:sz w:val="20"/>
              </w:rPr>
            </w:pPr>
            <w:r>
              <w:rPr>
                <w:b/>
                <w:spacing w:val="-4"/>
                <w:sz w:val="20"/>
              </w:rPr>
              <w:t>0,00</w:t>
            </w:r>
          </w:p>
        </w:tc>
        <w:tc>
          <w:tcPr>
            <w:tcW w:w="1928" w:type="dxa"/>
          </w:tcPr>
          <w:p>
            <w:pPr>
              <w:pStyle w:val="TableParagraph"/>
              <w:spacing w:before="137"/>
              <w:ind w:left="12"/>
              <w:jc w:val="center"/>
              <w:rPr>
                <w:b/>
                <w:sz w:val="20"/>
              </w:rPr>
            </w:pPr>
            <w:r>
              <w:rPr>
                <w:b/>
                <w:spacing w:val="-4"/>
                <w:sz w:val="20"/>
              </w:rPr>
              <w:t>0,00</w:t>
            </w:r>
          </w:p>
        </w:tc>
        <w:tc>
          <w:tcPr>
            <w:tcW w:w="1069" w:type="dxa"/>
          </w:tcPr>
          <w:p>
            <w:pPr>
              <w:pStyle w:val="TableParagraph"/>
              <w:spacing w:before="137"/>
              <w:ind w:left="16"/>
              <w:jc w:val="center"/>
              <w:rPr>
                <w:b/>
                <w:sz w:val="20"/>
              </w:rPr>
            </w:pPr>
            <w:r>
              <w:rPr>
                <w:b/>
                <w:spacing w:val="-2"/>
                <w:sz w:val="20"/>
              </w:rPr>
              <w:t>0,00%</w:t>
            </w:r>
          </w:p>
        </w:tc>
      </w:tr>
    </w:tbl>
    <w:p>
      <w:pPr>
        <w:pStyle w:val="TableParagraph"/>
        <w:spacing w:after="0"/>
        <w:jc w:val="center"/>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2336">
                <wp:simplePos x="0" y="0"/>
                <wp:positionH relativeFrom="page">
                  <wp:posOffset>9525</wp:posOffset>
                </wp:positionH>
                <wp:positionV relativeFrom="page">
                  <wp:posOffset>297208</wp:posOffset>
                </wp:positionV>
                <wp:extent cx="7762875" cy="9748520"/>
                <wp:effectExtent l="0" t="0" r="0" b="0"/>
                <wp:wrapNone/>
                <wp:docPr id="1080" name="Group 1080"/>
                <wp:cNvGraphicFramePr>
                  <a:graphicFrameLocks/>
                </wp:cNvGraphicFramePr>
                <a:graphic>
                  <a:graphicData uri="http://schemas.microsoft.com/office/word/2010/wordprocessingGroup">
                    <wpg:wgp>
                      <wpg:cNvPr id="1080" name="Group 1080"/>
                      <wpg:cNvGrpSpPr/>
                      <wpg:grpSpPr>
                        <a:xfrm>
                          <a:off x="0" y="0"/>
                          <a:ext cx="7762875" cy="9748520"/>
                          <a:chExt cx="7762875" cy="9748520"/>
                        </a:xfrm>
                      </wpg:grpSpPr>
                      <pic:pic>
                        <pic:nvPicPr>
                          <pic:cNvPr id="1081" name="Image 1081"/>
                          <pic:cNvPicPr/>
                        </pic:nvPicPr>
                        <pic:blipFill>
                          <a:blip r:embed="rId5" cstate="print"/>
                          <a:stretch>
                            <a:fillRect/>
                          </a:stretch>
                        </pic:blipFill>
                        <pic:spPr>
                          <a:xfrm>
                            <a:off x="0" y="0"/>
                            <a:ext cx="7762874" cy="9748489"/>
                          </a:xfrm>
                          <a:prstGeom prst="rect">
                            <a:avLst/>
                          </a:prstGeom>
                        </pic:spPr>
                      </pic:pic>
                      <wps:wsp>
                        <wps:cNvPr id="1082" name="Graphic 1082"/>
                        <wps:cNvSpPr/>
                        <wps:spPr>
                          <a:xfrm>
                            <a:off x="1053007" y="990837"/>
                            <a:ext cx="5736590" cy="5080635"/>
                          </a:xfrm>
                          <a:custGeom>
                            <a:avLst/>
                            <a:gdLst/>
                            <a:ahLst/>
                            <a:cxnLst/>
                            <a:rect l="l" t="t" r="r" b="b"/>
                            <a:pathLst>
                              <a:path w="5736590" h="5080635">
                                <a:moveTo>
                                  <a:pt x="5649214" y="0"/>
                                </a:moveTo>
                                <a:lnTo>
                                  <a:pt x="0" y="0"/>
                                </a:lnTo>
                                <a:lnTo>
                                  <a:pt x="0" y="9131"/>
                                </a:lnTo>
                                <a:lnTo>
                                  <a:pt x="5649214" y="9131"/>
                                </a:lnTo>
                                <a:lnTo>
                                  <a:pt x="5649214" y="0"/>
                                </a:lnTo>
                                <a:close/>
                              </a:path>
                              <a:path w="5736590" h="5080635">
                                <a:moveTo>
                                  <a:pt x="5736018" y="3659492"/>
                                </a:moveTo>
                                <a:lnTo>
                                  <a:pt x="5729986" y="3659492"/>
                                </a:lnTo>
                                <a:lnTo>
                                  <a:pt x="5729935" y="3665588"/>
                                </a:lnTo>
                                <a:lnTo>
                                  <a:pt x="5729935" y="5074018"/>
                                </a:lnTo>
                                <a:lnTo>
                                  <a:pt x="21336" y="5074018"/>
                                </a:lnTo>
                                <a:lnTo>
                                  <a:pt x="21336" y="3665588"/>
                                </a:lnTo>
                                <a:lnTo>
                                  <a:pt x="5729935" y="3665588"/>
                                </a:lnTo>
                                <a:lnTo>
                                  <a:pt x="5729935" y="3659492"/>
                                </a:lnTo>
                                <a:lnTo>
                                  <a:pt x="21336" y="3659492"/>
                                </a:lnTo>
                                <a:lnTo>
                                  <a:pt x="15240" y="3659492"/>
                                </a:lnTo>
                                <a:lnTo>
                                  <a:pt x="15240" y="3665588"/>
                                </a:lnTo>
                                <a:lnTo>
                                  <a:pt x="15240" y="5074018"/>
                                </a:lnTo>
                                <a:lnTo>
                                  <a:pt x="15240" y="5080114"/>
                                </a:lnTo>
                                <a:lnTo>
                                  <a:pt x="21336" y="5080114"/>
                                </a:lnTo>
                                <a:lnTo>
                                  <a:pt x="5729935" y="5080114"/>
                                </a:lnTo>
                                <a:lnTo>
                                  <a:pt x="5736018" y="5080114"/>
                                </a:lnTo>
                                <a:lnTo>
                                  <a:pt x="5736018" y="5074018"/>
                                </a:lnTo>
                                <a:lnTo>
                                  <a:pt x="5736018" y="3665588"/>
                                </a:lnTo>
                                <a:lnTo>
                                  <a:pt x="5736018" y="36594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4144" id="docshapegroup1027" coordorigin="15,468" coordsize="12225,15352">
                <v:shape style="position:absolute;left:15;top:468;width:12225;height:15352" type="#_x0000_t75" id="docshape1028" stroked="false">
                  <v:imagedata r:id="rId5" o:title=""/>
                </v:shape>
                <v:shape style="position:absolute;left:1673;top:2028;width:9034;height:8001" id="docshape1029" coordorigin="1673,2028" coordsize="9034,8001" path="m10570,2028l1673,2028,1673,2043,10570,2043,10570,2028xm10706,7791l10697,7791,10697,7791,10697,7801,10697,10019,1707,10019,1707,7801,10697,7801,10697,7791,1707,7791,1697,7791,1697,7801,1697,10019,1697,10029,1707,10029,10697,10029,10697,10029,10706,10029,10706,10019,10706,7801,10706,7791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209</w:t>
      </w:r>
    </w:p>
    <w:p>
      <w:pPr>
        <w:pStyle w:val="BodyText"/>
        <w:rPr>
          <w:sz w:val="20"/>
        </w:rPr>
      </w:pPr>
    </w:p>
    <w:p>
      <w:pPr>
        <w:pStyle w:val="BodyText"/>
        <w:spacing w:before="169"/>
        <w:rPr>
          <w:sz w:val="20"/>
        </w:rPr>
      </w:pPr>
      <w:r>
        <w:rPr>
          <w:sz w:val="20"/>
        </w:rPr>
        <mc:AlternateContent>
          <mc:Choice Requires="wps">
            <w:drawing>
              <wp:anchor distT="0" distB="0" distL="0" distR="0" allowOverlap="1" layoutInCell="1" locked="0" behindDoc="1" simplePos="0" relativeHeight="487803904">
                <wp:simplePos x="0" y="0"/>
                <wp:positionH relativeFrom="page">
                  <wp:posOffset>1080820</wp:posOffset>
                </wp:positionH>
                <wp:positionV relativeFrom="paragraph">
                  <wp:posOffset>270605</wp:posOffset>
                </wp:positionV>
                <wp:extent cx="5715000" cy="553720"/>
                <wp:effectExtent l="0" t="0" r="0" b="0"/>
                <wp:wrapTopAndBottom/>
                <wp:docPr id="1083" name="Textbox 1083"/>
                <wp:cNvGraphicFramePr>
                  <a:graphicFrameLocks/>
                </wp:cNvGraphicFramePr>
                <a:graphic>
                  <a:graphicData uri="http://schemas.microsoft.com/office/word/2010/wordprocessingShape">
                    <wps:wsp>
                      <wps:cNvPr id="1083" name="Textbox 1083"/>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1.307495pt;width:450pt;height:43.6pt;mso-position-horizontal-relative:page;mso-position-vertical-relative:paragraph;z-index:-15512576;mso-wrap-distance-left:0;mso-wrap-distance-right:0" type="#_x0000_t202" id="docshape1030"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19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0"/>
        <w:gridCol w:w="2365"/>
        <w:gridCol w:w="589"/>
        <w:gridCol w:w="1971"/>
        <w:gridCol w:w="1972"/>
        <w:gridCol w:w="1096"/>
      </w:tblGrid>
      <w:tr>
        <w:trPr>
          <w:trHeight w:val="340" w:hRule="atLeast"/>
        </w:trPr>
        <w:tc>
          <w:tcPr>
            <w:tcW w:w="1030" w:type="dxa"/>
            <w:vMerge w:val="restart"/>
            <w:shd w:val="clear" w:color="auto" w:fill="365F92"/>
          </w:tcPr>
          <w:p>
            <w:pPr>
              <w:pStyle w:val="TableParagraph"/>
              <w:spacing w:before="8"/>
              <w:rPr>
                <w:sz w:val="20"/>
              </w:rPr>
            </w:pPr>
          </w:p>
          <w:p>
            <w:pPr>
              <w:pStyle w:val="TableParagraph"/>
              <w:ind w:left="69"/>
              <w:rPr>
                <w:b/>
                <w:sz w:val="20"/>
              </w:rPr>
            </w:pPr>
            <w:r>
              <w:rPr>
                <w:b/>
                <w:color w:val="FFFFFF"/>
                <w:spacing w:val="-2"/>
                <w:sz w:val="20"/>
              </w:rPr>
              <w:t>Cuenta</w:t>
            </w:r>
          </w:p>
        </w:tc>
        <w:tc>
          <w:tcPr>
            <w:tcW w:w="2365" w:type="dxa"/>
            <w:vMerge w:val="restart"/>
            <w:shd w:val="clear" w:color="auto" w:fill="365F92"/>
          </w:tcPr>
          <w:p>
            <w:pPr>
              <w:pStyle w:val="TableParagraph"/>
              <w:spacing w:before="8"/>
              <w:rPr>
                <w:sz w:val="20"/>
              </w:rPr>
            </w:pPr>
          </w:p>
          <w:p>
            <w:pPr>
              <w:pStyle w:val="TableParagraph"/>
              <w:ind w:left="700"/>
              <w:rPr>
                <w:b/>
                <w:sz w:val="20"/>
              </w:rPr>
            </w:pPr>
            <w:r>
              <w:rPr>
                <w:b/>
                <w:color w:val="FFFFFF"/>
                <w:spacing w:val="-2"/>
                <w:sz w:val="20"/>
              </w:rPr>
              <w:t>Descripción</w:t>
            </w:r>
          </w:p>
        </w:tc>
        <w:tc>
          <w:tcPr>
            <w:tcW w:w="589" w:type="dxa"/>
            <w:vMerge w:val="restart"/>
            <w:shd w:val="clear" w:color="auto" w:fill="365F92"/>
          </w:tcPr>
          <w:p>
            <w:pPr>
              <w:pStyle w:val="TableParagraph"/>
              <w:spacing w:before="8"/>
              <w:rPr>
                <w:sz w:val="20"/>
              </w:rPr>
            </w:pPr>
          </w:p>
          <w:p>
            <w:pPr>
              <w:pStyle w:val="TableParagraph"/>
              <w:ind w:left="94"/>
              <w:rPr>
                <w:b/>
                <w:sz w:val="20"/>
              </w:rPr>
            </w:pPr>
            <w:r>
              <w:rPr>
                <w:b/>
                <w:color w:val="FFFFFF"/>
                <w:spacing w:val="-4"/>
                <w:sz w:val="20"/>
              </w:rPr>
              <w:t>Nota</w:t>
            </w:r>
          </w:p>
        </w:tc>
        <w:tc>
          <w:tcPr>
            <w:tcW w:w="1971" w:type="dxa"/>
            <w:vMerge w:val="restart"/>
            <w:shd w:val="clear" w:color="auto" w:fill="365F92"/>
          </w:tcPr>
          <w:p>
            <w:pPr>
              <w:pStyle w:val="TableParagraph"/>
              <w:spacing w:before="8"/>
              <w:rPr>
                <w:sz w:val="20"/>
              </w:rPr>
            </w:pPr>
          </w:p>
          <w:p>
            <w:pPr>
              <w:pStyle w:val="TableParagraph"/>
              <w:ind w:left="406"/>
              <w:rPr>
                <w:b/>
                <w:sz w:val="20"/>
              </w:rPr>
            </w:pPr>
            <w:r>
              <w:rPr>
                <w:b/>
                <w:color w:val="FFFFFF"/>
                <w:sz w:val="20"/>
              </w:rPr>
              <w:t>Periodo</w:t>
            </w:r>
            <w:r>
              <w:rPr>
                <w:b/>
                <w:color w:val="FFFFFF"/>
                <w:spacing w:val="-5"/>
                <w:sz w:val="20"/>
              </w:rPr>
              <w:t> </w:t>
            </w:r>
            <w:r>
              <w:rPr>
                <w:b/>
                <w:color w:val="FFFFFF"/>
                <w:spacing w:val="-2"/>
                <w:sz w:val="20"/>
              </w:rPr>
              <w:t>Actual</w:t>
            </w:r>
          </w:p>
        </w:tc>
        <w:tc>
          <w:tcPr>
            <w:tcW w:w="1972" w:type="dxa"/>
            <w:vMerge w:val="restart"/>
            <w:shd w:val="clear" w:color="auto" w:fill="365F92"/>
          </w:tcPr>
          <w:p>
            <w:pPr>
              <w:pStyle w:val="TableParagraph"/>
              <w:spacing w:before="8"/>
              <w:rPr>
                <w:sz w:val="20"/>
              </w:rPr>
            </w:pPr>
          </w:p>
          <w:p>
            <w:pPr>
              <w:pStyle w:val="TableParagraph"/>
              <w:ind w:left="326"/>
              <w:rPr>
                <w:b/>
                <w:sz w:val="20"/>
              </w:rPr>
            </w:pPr>
            <w:r>
              <w:rPr>
                <w:b/>
                <w:color w:val="FFFFFF"/>
                <w:sz w:val="20"/>
              </w:rPr>
              <w:t>Periodo</w:t>
            </w:r>
            <w:r>
              <w:rPr>
                <w:b/>
                <w:color w:val="FFFFFF"/>
                <w:spacing w:val="-5"/>
                <w:sz w:val="20"/>
              </w:rPr>
              <w:t> </w:t>
            </w:r>
            <w:r>
              <w:rPr>
                <w:b/>
                <w:color w:val="FFFFFF"/>
                <w:spacing w:val="-2"/>
                <w:sz w:val="20"/>
              </w:rPr>
              <w:t>Anterior</w:t>
            </w:r>
          </w:p>
        </w:tc>
        <w:tc>
          <w:tcPr>
            <w:tcW w:w="1096" w:type="dxa"/>
            <w:shd w:val="clear" w:color="auto" w:fill="365F92"/>
          </w:tcPr>
          <w:p>
            <w:pPr>
              <w:pStyle w:val="TableParagraph"/>
              <w:spacing w:before="56"/>
              <w:ind w:left="25" w:right="19"/>
              <w:jc w:val="center"/>
              <w:rPr>
                <w:b/>
                <w:sz w:val="20"/>
              </w:rPr>
            </w:pPr>
            <w:r>
              <w:rPr>
                <w:b/>
                <w:color w:val="FFFFFF"/>
                <w:spacing w:val="-2"/>
                <w:sz w:val="20"/>
              </w:rPr>
              <w:t>Diferencia</w:t>
            </w:r>
          </w:p>
        </w:tc>
      </w:tr>
      <w:tr>
        <w:trPr>
          <w:trHeight w:val="340" w:hRule="atLeast"/>
        </w:trPr>
        <w:tc>
          <w:tcPr>
            <w:tcW w:w="1030" w:type="dxa"/>
            <w:vMerge/>
            <w:tcBorders>
              <w:top w:val="nil"/>
            </w:tcBorders>
            <w:shd w:val="clear" w:color="auto" w:fill="365F92"/>
          </w:tcPr>
          <w:p>
            <w:pPr>
              <w:rPr>
                <w:sz w:val="2"/>
                <w:szCs w:val="2"/>
              </w:rPr>
            </w:pPr>
          </w:p>
        </w:tc>
        <w:tc>
          <w:tcPr>
            <w:tcW w:w="2365" w:type="dxa"/>
            <w:vMerge/>
            <w:tcBorders>
              <w:top w:val="nil"/>
            </w:tcBorders>
            <w:shd w:val="clear" w:color="auto" w:fill="365F92"/>
          </w:tcPr>
          <w:p>
            <w:pPr>
              <w:rPr>
                <w:sz w:val="2"/>
                <w:szCs w:val="2"/>
              </w:rPr>
            </w:pPr>
          </w:p>
        </w:tc>
        <w:tc>
          <w:tcPr>
            <w:tcW w:w="589" w:type="dxa"/>
            <w:vMerge/>
            <w:tcBorders>
              <w:top w:val="nil"/>
            </w:tcBorders>
            <w:shd w:val="clear" w:color="auto" w:fill="365F92"/>
          </w:tcPr>
          <w:p>
            <w:pPr>
              <w:rPr>
                <w:sz w:val="2"/>
                <w:szCs w:val="2"/>
              </w:rPr>
            </w:pPr>
          </w:p>
        </w:tc>
        <w:tc>
          <w:tcPr>
            <w:tcW w:w="1971" w:type="dxa"/>
            <w:vMerge/>
            <w:tcBorders>
              <w:top w:val="nil"/>
            </w:tcBorders>
            <w:shd w:val="clear" w:color="auto" w:fill="365F92"/>
          </w:tcPr>
          <w:p>
            <w:pPr>
              <w:rPr>
                <w:sz w:val="2"/>
                <w:szCs w:val="2"/>
              </w:rPr>
            </w:pPr>
          </w:p>
        </w:tc>
        <w:tc>
          <w:tcPr>
            <w:tcW w:w="1972" w:type="dxa"/>
            <w:vMerge/>
            <w:tcBorders>
              <w:top w:val="nil"/>
            </w:tcBorders>
            <w:shd w:val="clear" w:color="auto" w:fill="365F92"/>
          </w:tcPr>
          <w:p>
            <w:pPr>
              <w:rPr>
                <w:sz w:val="2"/>
                <w:szCs w:val="2"/>
              </w:rPr>
            </w:pPr>
          </w:p>
        </w:tc>
        <w:tc>
          <w:tcPr>
            <w:tcW w:w="1096" w:type="dxa"/>
            <w:shd w:val="clear" w:color="auto" w:fill="365F92"/>
          </w:tcPr>
          <w:p>
            <w:pPr>
              <w:pStyle w:val="TableParagraph"/>
              <w:spacing w:before="53"/>
              <w:ind w:left="25" w:right="20"/>
              <w:jc w:val="center"/>
              <w:rPr>
                <w:sz w:val="20"/>
              </w:rPr>
            </w:pPr>
            <w:r>
              <w:rPr>
                <w:color w:val="FFFFFF"/>
                <w:spacing w:val="-10"/>
                <w:sz w:val="20"/>
              </w:rPr>
              <w:t>%</w:t>
            </w:r>
          </w:p>
        </w:tc>
      </w:tr>
      <w:tr>
        <w:trPr>
          <w:trHeight w:val="455" w:hRule="atLeast"/>
        </w:trPr>
        <w:tc>
          <w:tcPr>
            <w:tcW w:w="1030" w:type="dxa"/>
          </w:tcPr>
          <w:p>
            <w:pPr>
              <w:pStyle w:val="TableParagraph"/>
              <w:spacing w:before="112"/>
              <w:ind w:left="69"/>
              <w:rPr>
                <w:b/>
                <w:sz w:val="20"/>
              </w:rPr>
            </w:pPr>
            <w:r>
              <w:rPr>
                <w:b/>
                <w:spacing w:val="-2"/>
                <w:sz w:val="20"/>
              </w:rPr>
              <w:t>1.2.6.03.</w:t>
            </w:r>
          </w:p>
        </w:tc>
        <w:tc>
          <w:tcPr>
            <w:tcW w:w="2365" w:type="dxa"/>
          </w:tcPr>
          <w:p>
            <w:pPr>
              <w:pStyle w:val="TableParagraph"/>
              <w:spacing w:line="227" w:lineRule="exact"/>
              <w:ind w:left="68"/>
              <w:rPr>
                <w:b/>
                <w:sz w:val="20"/>
              </w:rPr>
            </w:pPr>
            <w:r>
              <w:rPr>
                <w:b/>
                <w:sz w:val="20"/>
              </w:rPr>
              <w:t>Activos</w:t>
            </w:r>
            <w:r>
              <w:rPr>
                <w:b/>
                <w:spacing w:val="-6"/>
                <w:sz w:val="20"/>
              </w:rPr>
              <w:t> </w:t>
            </w:r>
            <w:r>
              <w:rPr>
                <w:b/>
                <w:spacing w:val="-2"/>
                <w:sz w:val="20"/>
              </w:rPr>
              <w:t>biológicos</w:t>
            </w:r>
          </w:p>
          <w:p>
            <w:pPr>
              <w:pStyle w:val="TableParagraph"/>
              <w:spacing w:line="209" w:lineRule="exact"/>
              <w:ind w:left="68"/>
              <w:rPr>
                <w:b/>
                <w:sz w:val="20"/>
              </w:rPr>
            </w:pPr>
            <w:r>
              <w:rPr>
                <w:b/>
                <w:spacing w:val="-2"/>
                <w:sz w:val="20"/>
              </w:rPr>
              <w:t>concesionados</w:t>
            </w:r>
          </w:p>
        </w:tc>
        <w:tc>
          <w:tcPr>
            <w:tcW w:w="589" w:type="dxa"/>
          </w:tcPr>
          <w:p>
            <w:pPr>
              <w:pStyle w:val="TableParagraph"/>
              <w:spacing w:before="112"/>
              <w:ind w:left="193"/>
              <w:rPr>
                <w:b/>
                <w:sz w:val="20"/>
              </w:rPr>
            </w:pPr>
            <w:r>
              <w:rPr>
                <w:b/>
                <w:spacing w:val="-5"/>
                <w:sz w:val="20"/>
              </w:rPr>
              <w:t>11</w:t>
            </w:r>
          </w:p>
        </w:tc>
        <w:tc>
          <w:tcPr>
            <w:tcW w:w="1971" w:type="dxa"/>
          </w:tcPr>
          <w:p>
            <w:pPr>
              <w:pStyle w:val="TableParagraph"/>
              <w:spacing w:before="112"/>
              <w:ind w:left="57"/>
              <w:jc w:val="center"/>
              <w:rPr>
                <w:b/>
                <w:sz w:val="20"/>
              </w:rPr>
            </w:pPr>
            <w:r>
              <w:rPr>
                <w:b/>
                <w:spacing w:val="-4"/>
                <w:sz w:val="20"/>
              </w:rPr>
              <w:t>0,00</w:t>
            </w:r>
          </w:p>
        </w:tc>
        <w:tc>
          <w:tcPr>
            <w:tcW w:w="1972" w:type="dxa"/>
          </w:tcPr>
          <w:p>
            <w:pPr>
              <w:pStyle w:val="TableParagraph"/>
              <w:spacing w:before="112"/>
              <w:ind w:left="13"/>
              <w:jc w:val="center"/>
              <w:rPr>
                <w:b/>
                <w:sz w:val="20"/>
              </w:rPr>
            </w:pPr>
            <w:r>
              <w:rPr>
                <w:b/>
                <w:spacing w:val="-4"/>
                <w:sz w:val="20"/>
              </w:rPr>
              <w:t>0,00</w:t>
            </w:r>
          </w:p>
        </w:tc>
        <w:tc>
          <w:tcPr>
            <w:tcW w:w="1096" w:type="dxa"/>
          </w:tcPr>
          <w:p>
            <w:pPr>
              <w:pStyle w:val="TableParagraph"/>
              <w:spacing w:before="112"/>
              <w:ind w:left="25" w:right="16"/>
              <w:jc w:val="center"/>
              <w:rPr>
                <w:b/>
                <w:sz w:val="20"/>
              </w:rPr>
            </w:pPr>
            <w:r>
              <w:rPr>
                <w:b/>
                <w:spacing w:val="-2"/>
                <w:sz w:val="20"/>
              </w:rPr>
              <w:t>0,00%</w:t>
            </w:r>
          </w:p>
        </w:tc>
      </w:tr>
    </w:tbl>
    <w:p>
      <w:pPr>
        <w:pStyle w:val="BodyText"/>
        <w:rPr>
          <w:sz w:val="20"/>
        </w:rPr>
      </w:pPr>
    </w:p>
    <w:p>
      <w:pPr>
        <w:pStyle w:val="BodyText"/>
        <w:spacing w:before="167"/>
        <w:rPr>
          <w:sz w:val="20"/>
        </w:rPr>
      </w:pPr>
      <w:r>
        <w:rPr>
          <w:sz w:val="20"/>
        </w:rPr>
        <mc:AlternateContent>
          <mc:Choice Requires="wps">
            <w:drawing>
              <wp:anchor distT="0" distB="0" distL="0" distR="0" allowOverlap="1" layoutInCell="1" locked="0" behindDoc="1" simplePos="0" relativeHeight="487804416">
                <wp:simplePos x="0" y="0"/>
                <wp:positionH relativeFrom="page">
                  <wp:posOffset>1080820</wp:posOffset>
                </wp:positionH>
                <wp:positionV relativeFrom="paragraph">
                  <wp:posOffset>269668</wp:posOffset>
                </wp:positionV>
                <wp:extent cx="5715000" cy="553720"/>
                <wp:effectExtent l="0" t="0" r="0" b="0"/>
                <wp:wrapTopAndBottom/>
                <wp:docPr id="1084" name="Textbox 1084"/>
                <wp:cNvGraphicFramePr>
                  <a:graphicFrameLocks/>
                </wp:cNvGraphicFramePr>
                <a:graphic>
                  <a:graphicData uri="http://schemas.microsoft.com/office/word/2010/wordprocessingShape">
                    <wps:wsp>
                      <wps:cNvPr id="1084" name="Textbox 1084"/>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1.233755pt;width:450pt;height:43.6pt;mso-position-horizontal-relative:page;mso-position-vertical-relative:paragraph;z-index:-15512064;mso-wrap-distance-left:0;mso-wrap-distance-right:0" type="#_x0000_t202" id="docshape103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spacing w:before="183"/>
      </w:pPr>
    </w:p>
    <w:p>
      <w:pPr>
        <w:pStyle w:val="Heading6"/>
        <w:tabs>
          <w:tab w:pos="9489" w:val="left" w:leader="none"/>
        </w:tabs>
        <w:spacing w:line="422" w:lineRule="auto" w:before="1"/>
        <w:ind w:left="730" w:right="948" w:hanging="108"/>
        <w:rPr>
          <w:b w:val="0"/>
        </w:rPr>
      </w:pPr>
      <w:r>
        <w:rPr>
          <w:color w:val="FFFFFF"/>
          <w:shd w:fill="365F92" w:color="auto" w:val="clear"/>
        </w:rPr>
        <w:t>Información a revelar - Agricultura NICSP 27 (párrafos 38, 39, 44 a 48, 52 a 54)</w:t>
        <w:tab/>
      </w:r>
      <w:r>
        <w:rPr>
          <w:color w:val="FFFFFF"/>
        </w:rPr>
        <w:t> </w:t>
      </w:r>
      <w:r>
        <w:rPr>
          <w:color w:val="1F4E79"/>
          <w:spacing w:val="-2"/>
          <w:u w:val="single" w:color="1F4E79"/>
        </w:rPr>
        <w:t>Revelación</w:t>
      </w:r>
      <w:r>
        <w:rPr>
          <w:b w:val="0"/>
          <w:color w:val="000000"/>
          <w:spacing w:val="-2"/>
          <w:u w:val="none"/>
        </w:rPr>
        <w:t>:</w:t>
      </w:r>
    </w:p>
    <w:tbl>
      <w:tblPr>
        <w:tblW w:w="0" w:type="auto"/>
        <w:jc w:val="left"/>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02"/>
        <w:gridCol w:w="1879"/>
      </w:tblGrid>
      <w:tr>
        <w:trPr>
          <w:trHeight w:val="429" w:hRule="atLeast"/>
        </w:trPr>
        <w:tc>
          <w:tcPr>
            <w:tcW w:w="2302" w:type="dxa"/>
            <w:shd w:val="clear" w:color="auto" w:fill="17365D"/>
          </w:tcPr>
          <w:p>
            <w:pPr>
              <w:pStyle w:val="TableParagraph"/>
              <w:spacing w:line="241" w:lineRule="exact"/>
              <w:ind w:left="69"/>
              <w:rPr>
                <w:sz w:val="22"/>
              </w:rPr>
            </w:pPr>
            <w:r>
              <w:rPr>
                <w:color w:val="FFFFFF"/>
                <w:spacing w:val="-2"/>
                <w:sz w:val="22"/>
              </w:rPr>
              <w:t>Aplica</w:t>
            </w:r>
          </w:p>
        </w:tc>
        <w:tc>
          <w:tcPr>
            <w:tcW w:w="1879" w:type="dxa"/>
            <w:tcBorders>
              <w:top w:val="single" w:sz="4" w:space="0" w:color="000000"/>
              <w:bottom w:val="single" w:sz="4" w:space="0" w:color="000000"/>
              <w:right w:val="single" w:sz="4" w:space="0" w:color="000000"/>
            </w:tcBorders>
          </w:tcPr>
          <w:p>
            <w:pPr>
              <w:pStyle w:val="TableParagraph"/>
              <w:spacing w:before="89"/>
              <w:ind w:left="9"/>
              <w:jc w:val="center"/>
              <w:rPr>
                <w:sz w:val="20"/>
              </w:rPr>
            </w:pPr>
            <w:r>
              <w:rPr>
                <w:spacing w:val="-5"/>
                <w:sz w:val="20"/>
              </w:rPr>
              <w:t>NO</w:t>
            </w:r>
          </w:p>
        </w:tc>
      </w:tr>
      <w:tr>
        <w:trPr>
          <w:trHeight w:val="325" w:hRule="atLeast"/>
        </w:trPr>
        <w:tc>
          <w:tcPr>
            <w:tcW w:w="2302" w:type="dxa"/>
            <w:shd w:val="clear" w:color="auto" w:fill="17365D"/>
          </w:tcPr>
          <w:p>
            <w:pPr>
              <w:pStyle w:val="TableParagraph"/>
              <w:spacing w:before="26"/>
              <w:ind w:left="69"/>
              <w:rPr>
                <w:sz w:val="22"/>
              </w:rPr>
            </w:pPr>
            <w:r>
              <w:rPr>
                <w:color w:val="FFFFFF"/>
                <w:sz w:val="22"/>
              </w:rPr>
              <w:t>Porcentaje</w:t>
            </w:r>
            <w:r>
              <w:rPr>
                <w:color w:val="FFFFFF"/>
                <w:spacing w:val="-8"/>
                <w:sz w:val="22"/>
              </w:rPr>
              <w:t> </w:t>
            </w:r>
            <w:r>
              <w:rPr>
                <w:color w:val="FFFFFF"/>
                <w:spacing w:val="-2"/>
                <w:sz w:val="22"/>
              </w:rPr>
              <w:t>Avance</w:t>
            </w:r>
          </w:p>
        </w:tc>
        <w:tc>
          <w:tcPr>
            <w:tcW w:w="1879" w:type="dxa"/>
            <w:tcBorders>
              <w:top w:val="single" w:sz="4" w:space="0" w:color="000000"/>
              <w:bottom w:val="single" w:sz="4" w:space="0" w:color="000000"/>
              <w:right w:val="single" w:sz="4" w:space="0" w:color="000000"/>
            </w:tcBorders>
          </w:tcPr>
          <w:p>
            <w:pPr>
              <w:pStyle w:val="TableParagraph"/>
              <w:spacing w:before="38"/>
              <w:ind w:left="9" w:right="1"/>
              <w:jc w:val="center"/>
              <w:rPr>
                <w:sz w:val="20"/>
              </w:rPr>
            </w:pPr>
            <w:r>
              <w:rPr>
                <w:spacing w:val="-2"/>
                <w:sz w:val="20"/>
              </w:rPr>
              <w:t>0,00%</w:t>
            </w:r>
          </w:p>
        </w:tc>
      </w:tr>
    </w:tbl>
    <w:p>
      <w:pPr>
        <w:pStyle w:val="BodyText"/>
        <w:spacing w:before="171"/>
      </w:pPr>
    </w:p>
    <w:p>
      <w:pPr>
        <w:pStyle w:val="BodyText"/>
        <w:spacing w:line="256" w:lineRule="auto"/>
        <w:ind w:left="730" w:right="1001"/>
      </w:pPr>
      <w:r>
        <w:rPr/>
        <w:t>El</w:t>
      </w:r>
      <w:r>
        <w:rPr>
          <w:spacing w:val="-2"/>
        </w:rPr>
        <w:t> </w:t>
      </w:r>
      <w:r>
        <w:rPr/>
        <w:t>objetivo</w:t>
      </w:r>
      <w:r>
        <w:rPr>
          <w:spacing w:val="-2"/>
        </w:rPr>
        <w:t> </w:t>
      </w:r>
      <w:r>
        <w:rPr/>
        <w:t>de</w:t>
      </w:r>
      <w:r>
        <w:rPr>
          <w:spacing w:val="-4"/>
        </w:rPr>
        <w:t> </w:t>
      </w:r>
      <w:r>
        <w:rPr/>
        <w:t>la</w:t>
      </w:r>
      <w:r>
        <w:rPr>
          <w:spacing w:val="-4"/>
        </w:rPr>
        <w:t> </w:t>
      </w:r>
      <w:r>
        <w:rPr/>
        <w:t>Norma</w:t>
      </w:r>
      <w:r>
        <w:rPr>
          <w:spacing w:val="-3"/>
        </w:rPr>
        <w:t> </w:t>
      </w:r>
      <w:r>
        <w:rPr/>
        <w:t>es</w:t>
      </w:r>
      <w:r>
        <w:rPr>
          <w:spacing w:val="-4"/>
        </w:rPr>
        <w:t> </w:t>
      </w:r>
      <w:r>
        <w:rPr/>
        <w:t>prescribir</w:t>
      </w:r>
      <w:r>
        <w:rPr>
          <w:spacing w:val="-3"/>
        </w:rPr>
        <w:t> </w:t>
      </w:r>
      <w:r>
        <w:rPr/>
        <w:t>el</w:t>
      </w:r>
      <w:r>
        <w:rPr>
          <w:spacing w:val="-2"/>
        </w:rPr>
        <w:t> </w:t>
      </w:r>
      <w:r>
        <w:rPr/>
        <w:t>tratamiento</w:t>
      </w:r>
      <w:r>
        <w:rPr>
          <w:spacing w:val="-1"/>
        </w:rPr>
        <w:t> </w:t>
      </w:r>
      <w:r>
        <w:rPr/>
        <w:t>de</w:t>
      </w:r>
      <w:r>
        <w:rPr>
          <w:spacing w:val="-6"/>
        </w:rPr>
        <w:t> </w:t>
      </w:r>
      <w:r>
        <w:rPr/>
        <w:t>contabilidad</w:t>
      </w:r>
      <w:r>
        <w:rPr>
          <w:spacing w:val="-2"/>
        </w:rPr>
        <w:t> </w:t>
      </w:r>
      <w:r>
        <w:rPr/>
        <w:t>y</w:t>
      </w:r>
      <w:r>
        <w:rPr>
          <w:spacing w:val="-4"/>
        </w:rPr>
        <w:t> </w:t>
      </w:r>
      <w:r>
        <w:rPr/>
        <w:t>las</w:t>
      </w:r>
      <w:r>
        <w:rPr>
          <w:spacing w:val="-1"/>
        </w:rPr>
        <w:t> </w:t>
      </w:r>
      <w:r>
        <w:rPr/>
        <w:t>revelaciones</w:t>
      </w:r>
      <w:r>
        <w:rPr>
          <w:spacing w:val="-1"/>
        </w:rPr>
        <w:t> </w:t>
      </w:r>
      <w:r>
        <w:rPr/>
        <w:t>para</w:t>
      </w:r>
      <w:r>
        <w:rPr>
          <w:spacing w:val="-3"/>
        </w:rPr>
        <w:t> </w:t>
      </w:r>
      <w:r>
        <w:rPr/>
        <w:t>la actividad agrícola. No aplica por cuanto la entidad no tiene actividades agrícolas.</w:t>
      </w:r>
    </w:p>
    <w:p>
      <w:pPr>
        <w:pStyle w:val="BodyText"/>
        <w:rPr>
          <w:sz w:val="20"/>
        </w:rPr>
      </w:pPr>
    </w:p>
    <w:p>
      <w:pPr>
        <w:pStyle w:val="BodyText"/>
        <w:rPr>
          <w:sz w:val="20"/>
        </w:rPr>
      </w:pPr>
    </w:p>
    <w:p>
      <w:pPr>
        <w:pStyle w:val="BodyText"/>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0"/>
        <w:gridCol w:w="3357"/>
        <w:gridCol w:w="709"/>
        <w:gridCol w:w="1278"/>
        <w:gridCol w:w="1601"/>
        <w:gridCol w:w="1100"/>
      </w:tblGrid>
      <w:tr>
        <w:trPr>
          <w:trHeight w:val="287" w:hRule="atLeast"/>
        </w:trPr>
        <w:tc>
          <w:tcPr>
            <w:tcW w:w="1030" w:type="dxa"/>
            <w:vMerge w:val="restart"/>
            <w:shd w:val="clear" w:color="auto" w:fill="365F92"/>
          </w:tcPr>
          <w:p>
            <w:pPr>
              <w:pStyle w:val="TableParagraph"/>
              <w:spacing w:before="183"/>
              <w:ind w:left="69"/>
              <w:rPr>
                <w:b/>
                <w:sz w:val="20"/>
              </w:rPr>
            </w:pPr>
            <w:r>
              <w:rPr>
                <w:b/>
                <w:color w:val="FFFFFF"/>
                <w:spacing w:val="-2"/>
                <w:sz w:val="20"/>
              </w:rPr>
              <w:t>Cuenta</w:t>
            </w:r>
          </w:p>
        </w:tc>
        <w:tc>
          <w:tcPr>
            <w:tcW w:w="3357" w:type="dxa"/>
            <w:vMerge w:val="restart"/>
            <w:shd w:val="clear" w:color="auto" w:fill="365F92"/>
          </w:tcPr>
          <w:p>
            <w:pPr>
              <w:pStyle w:val="TableParagraph"/>
              <w:spacing w:before="183"/>
              <w:ind w:left="9"/>
              <w:jc w:val="center"/>
              <w:rPr>
                <w:b/>
                <w:sz w:val="20"/>
              </w:rPr>
            </w:pPr>
            <w:r>
              <w:rPr>
                <w:b/>
                <w:color w:val="FFFFFF"/>
                <w:spacing w:val="-2"/>
                <w:sz w:val="20"/>
              </w:rPr>
              <w:t>Descripción</w:t>
            </w:r>
          </w:p>
        </w:tc>
        <w:tc>
          <w:tcPr>
            <w:tcW w:w="709" w:type="dxa"/>
            <w:vMerge w:val="restart"/>
            <w:shd w:val="clear" w:color="auto" w:fill="365F92"/>
          </w:tcPr>
          <w:p>
            <w:pPr>
              <w:pStyle w:val="TableParagraph"/>
              <w:spacing w:before="183"/>
              <w:ind w:left="156"/>
              <w:rPr>
                <w:b/>
                <w:sz w:val="20"/>
              </w:rPr>
            </w:pPr>
            <w:r>
              <w:rPr>
                <w:b/>
                <w:color w:val="FFFFFF"/>
                <w:spacing w:val="-4"/>
                <w:sz w:val="20"/>
              </w:rPr>
              <w:t>Nota</w:t>
            </w:r>
          </w:p>
        </w:tc>
        <w:tc>
          <w:tcPr>
            <w:tcW w:w="1278" w:type="dxa"/>
            <w:vMerge w:val="restart"/>
            <w:shd w:val="clear" w:color="auto" w:fill="365F92"/>
          </w:tcPr>
          <w:p>
            <w:pPr>
              <w:pStyle w:val="TableParagraph"/>
              <w:spacing w:before="68"/>
              <w:ind w:left="378" w:right="277" w:hanging="39"/>
              <w:rPr>
                <w:b/>
                <w:sz w:val="20"/>
              </w:rPr>
            </w:pPr>
            <w:r>
              <w:rPr>
                <w:b/>
                <w:color w:val="FFFFFF"/>
                <w:spacing w:val="-2"/>
                <w:sz w:val="20"/>
              </w:rPr>
              <w:t>Periodo Actual</w:t>
            </w:r>
          </w:p>
        </w:tc>
        <w:tc>
          <w:tcPr>
            <w:tcW w:w="1601" w:type="dxa"/>
            <w:vMerge w:val="restart"/>
            <w:shd w:val="clear" w:color="auto" w:fill="365F92"/>
          </w:tcPr>
          <w:p>
            <w:pPr>
              <w:pStyle w:val="TableParagraph"/>
              <w:spacing w:before="183"/>
              <w:ind w:left="138"/>
              <w:rPr>
                <w:b/>
                <w:sz w:val="20"/>
              </w:rPr>
            </w:pPr>
            <w:r>
              <w:rPr>
                <w:b/>
                <w:color w:val="FFFFFF"/>
                <w:sz w:val="20"/>
              </w:rPr>
              <w:t>Periodo</w:t>
            </w:r>
            <w:r>
              <w:rPr>
                <w:b/>
                <w:color w:val="FFFFFF"/>
                <w:spacing w:val="-5"/>
                <w:sz w:val="20"/>
              </w:rPr>
              <w:t> </w:t>
            </w:r>
            <w:r>
              <w:rPr>
                <w:b/>
                <w:color w:val="FFFFFF"/>
                <w:spacing w:val="-2"/>
                <w:sz w:val="20"/>
              </w:rPr>
              <w:t>Anterior</w:t>
            </w:r>
          </w:p>
        </w:tc>
        <w:tc>
          <w:tcPr>
            <w:tcW w:w="1100" w:type="dxa"/>
            <w:shd w:val="clear" w:color="auto" w:fill="365F92"/>
          </w:tcPr>
          <w:p>
            <w:pPr>
              <w:pStyle w:val="TableParagraph"/>
              <w:spacing w:before="29"/>
              <w:ind w:left="13" w:right="1"/>
              <w:jc w:val="center"/>
              <w:rPr>
                <w:b/>
                <w:sz w:val="20"/>
              </w:rPr>
            </w:pPr>
            <w:r>
              <w:rPr>
                <w:b/>
                <w:color w:val="FFFFFF"/>
                <w:spacing w:val="-2"/>
                <w:sz w:val="20"/>
              </w:rPr>
              <w:t>Diferencia</w:t>
            </w:r>
          </w:p>
        </w:tc>
      </w:tr>
      <w:tr>
        <w:trPr>
          <w:trHeight w:val="289" w:hRule="atLeast"/>
        </w:trPr>
        <w:tc>
          <w:tcPr>
            <w:tcW w:w="1030" w:type="dxa"/>
            <w:vMerge/>
            <w:tcBorders>
              <w:top w:val="nil"/>
            </w:tcBorders>
            <w:shd w:val="clear" w:color="auto" w:fill="365F92"/>
          </w:tcPr>
          <w:p>
            <w:pPr>
              <w:rPr>
                <w:sz w:val="2"/>
                <w:szCs w:val="2"/>
              </w:rPr>
            </w:pPr>
          </w:p>
        </w:tc>
        <w:tc>
          <w:tcPr>
            <w:tcW w:w="3357" w:type="dxa"/>
            <w:vMerge/>
            <w:tcBorders>
              <w:top w:val="nil"/>
            </w:tcBorders>
            <w:shd w:val="clear" w:color="auto" w:fill="365F92"/>
          </w:tcPr>
          <w:p>
            <w:pPr>
              <w:rPr>
                <w:sz w:val="2"/>
                <w:szCs w:val="2"/>
              </w:rPr>
            </w:pPr>
          </w:p>
        </w:tc>
        <w:tc>
          <w:tcPr>
            <w:tcW w:w="709" w:type="dxa"/>
            <w:vMerge/>
            <w:tcBorders>
              <w:top w:val="nil"/>
            </w:tcBorders>
            <w:shd w:val="clear" w:color="auto" w:fill="365F92"/>
          </w:tcPr>
          <w:p>
            <w:pPr>
              <w:rPr>
                <w:sz w:val="2"/>
                <w:szCs w:val="2"/>
              </w:rPr>
            </w:pPr>
          </w:p>
        </w:tc>
        <w:tc>
          <w:tcPr>
            <w:tcW w:w="1278" w:type="dxa"/>
            <w:vMerge/>
            <w:tcBorders>
              <w:top w:val="nil"/>
            </w:tcBorders>
            <w:shd w:val="clear" w:color="auto" w:fill="365F92"/>
          </w:tcPr>
          <w:p>
            <w:pPr>
              <w:rPr>
                <w:sz w:val="2"/>
                <w:szCs w:val="2"/>
              </w:rPr>
            </w:pPr>
          </w:p>
        </w:tc>
        <w:tc>
          <w:tcPr>
            <w:tcW w:w="1601" w:type="dxa"/>
            <w:vMerge/>
            <w:tcBorders>
              <w:top w:val="nil"/>
            </w:tcBorders>
            <w:shd w:val="clear" w:color="auto" w:fill="365F92"/>
          </w:tcPr>
          <w:p>
            <w:pPr>
              <w:rPr>
                <w:sz w:val="2"/>
                <w:szCs w:val="2"/>
              </w:rPr>
            </w:pPr>
          </w:p>
        </w:tc>
        <w:tc>
          <w:tcPr>
            <w:tcW w:w="1100" w:type="dxa"/>
            <w:shd w:val="clear" w:color="auto" w:fill="365F92"/>
          </w:tcPr>
          <w:p>
            <w:pPr>
              <w:pStyle w:val="TableParagraph"/>
              <w:spacing w:before="29"/>
              <w:ind w:left="13" w:right="2"/>
              <w:jc w:val="center"/>
              <w:rPr>
                <w:sz w:val="20"/>
              </w:rPr>
            </w:pPr>
            <w:r>
              <w:rPr>
                <w:color w:val="FFFFFF"/>
                <w:spacing w:val="-10"/>
                <w:sz w:val="20"/>
              </w:rPr>
              <w:t>%</w:t>
            </w:r>
          </w:p>
        </w:tc>
      </w:tr>
      <w:tr>
        <w:trPr>
          <w:trHeight w:val="479" w:hRule="atLeast"/>
        </w:trPr>
        <w:tc>
          <w:tcPr>
            <w:tcW w:w="1030" w:type="dxa"/>
          </w:tcPr>
          <w:p>
            <w:pPr>
              <w:pStyle w:val="TableParagraph"/>
              <w:spacing w:before="123"/>
              <w:ind w:left="69"/>
              <w:rPr>
                <w:b/>
                <w:sz w:val="20"/>
              </w:rPr>
            </w:pPr>
            <w:r>
              <w:rPr>
                <w:b/>
                <w:spacing w:val="-2"/>
                <w:sz w:val="20"/>
              </w:rPr>
              <w:t>1.2.6.04.</w:t>
            </w:r>
          </w:p>
        </w:tc>
        <w:tc>
          <w:tcPr>
            <w:tcW w:w="3357" w:type="dxa"/>
          </w:tcPr>
          <w:p>
            <w:pPr>
              <w:pStyle w:val="TableParagraph"/>
              <w:spacing w:line="230" w:lineRule="atLeast"/>
              <w:ind w:left="66"/>
              <w:rPr>
                <w:b/>
                <w:sz w:val="20"/>
              </w:rPr>
            </w:pPr>
            <w:r>
              <w:rPr>
                <w:b/>
                <w:sz w:val="20"/>
              </w:rPr>
              <w:t>Bienes</w:t>
            </w:r>
            <w:r>
              <w:rPr>
                <w:b/>
                <w:spacing w:val="-13"/>
                <w:sz w:val="20"/>
              </w:rPr>
              <w:t> </w:t>
            </w:r>
            <w:r>
              <w:rPr>
                <w:b/>
                <w:sz w:val="20"/>
              </w:rPr>
              <w:t>de</w:t>
            </w:r>
            <w:r>
              <w:rPr>
                <w:b/>
                <w:spacing w:val="-12"/>
                <w:sz w:val="20"/>
              </w:rPr>
              <w:t> </w:t>
            </w:r>
            <w:r>
              <w:rPr>
                <w:b/>
                <w:sz w:val="20"/>
              </w:rPr>
              <w:t>infraestructura</w:t>
            </w:r>
            <w:r>
              <w:rPr>
                <w:b/>
                <w:spacing w:val="-13"/>
                <w:sz w:val="20"/>
              </w:rPr>
              <w:t> </w:t>
            </w:r>
            <w:r>
              <w:rPr>
                <w:b/>
                <w:sz w:val="20"/>
              </w:rPr>
              <w:t>y</w:t>
            </w:r>
            <w:r>
              <w:rPr>
                <w:b/>
                <w:spacing w:val="-12"/>
                <w:sz w:val="20"/>
              </w:rPr>
              <w:t> </w:t>
            </w:r>
            <w:r>
              <w:rPr>
                <w:b/>
                <w:sz w:val="20"/>
              </w:rPr>
              <w:t>de</w:t>
            </w:r>
            <w:r>
              <w:rPr>
                <w:b/>
                <w:spacing w:val="-13"/>
                <w:sz w:val="20"/>
              </w:rPr>
              <w:t> </w:t>
            </w:r>
            <w:r>
              <w:rPr>
                <w:b/>
                <w:sz w:val="20"/>
              </w:rPr>
              <w:t>beneficio</w:t>
            </w:r>
            <w:r>
              <w:rPr>
                <w:b/>
                <w:spacing w:val="-12"/>
                <w:sz w:val="20"/>
              </w:rPr>
              <w:t> </w:t>
            </w:r>
            <w:r>
              <w:rPr>
                <w:b/>
                <w:sz w:val="20"/>
              </w:rPr>
              <w:t>y uso público concesionados</w:t>
            </w:r>
          </w:p>
        </w:tc>
        <w:tc>
          <w:tcPr>
            <w:tcW w:w="709" w:type="dxa"/>
          </w:tcPr>
          <w:p>
            <w:pPr>
              <w:pStyle w:val="TableParagraph"/>
              <w:spacing w:before="123"/>
              <w:ind w:left="13"/>
              <w:jc w:val="center"/>
              <w:rPr>
                <w:b/>
                <w:sz w:val="20"/>
              </w:rPr>
            </w:pPr>
            <w:r>
              <w:rPr>
                <w:b/>
                <w:spacing w:val="-5"/>
                <w:sz w:val="20"/>
              </w:rPr>
              <w:t>11</w:t>
            </w:r>
          </w:p>
        </w:tc>
        <w:tc>
          <w:tcPr>
            <w:tcW w:w="1278" w:type="dxa"/>
          </w:tcPr>
          <w:p>
            <w:pPr>
              <w:pStyle w:val="TableParagraph"/>
              <w:spacing w:before="123"/>
              <w:ind w:left="14" w:right="4"/>
              <w:jc w:val="center"/>
              <w:rPr>
                <w:b/>
                <w:sz w:val="20"/>
              </w:rPr>
            </w:pPr>
            <w:r>
              <w:rPr>
                <w:b/>
                <w:spacing w:val="-4"/>
                <w:sz w:val="20"/>
              </w:rPr>
              <w:t>0,00</w:t>
            </w:r>
          </w:p>
        </w:tc>
        <w:tc>
          <w:tcPr>
            <w:tcW w:w="1601" w:type="dxa"/>
          </w:tcPr>
          <w:p>
            <w:pPr>
              <w:pStyle w:val="TableParagraph"/>
              <w:spacing w:before="123"/>
              <w:ind w:left="8"/>
              <w:jc w:val="center"/>
              <w:rPr>
                <w:b/>
                <w:sz w:val="20"/>
              </w:rPr>
            </w:pPr>
            <w:r>
              <w:rPr>
                <w:b/>
                <w:spacing w:val="-4"/>
                <w:sz w:val="20"/>
              </w:rPr>
              <w:t>0,00</w:t>
            </w:r>
          </w:p>
        </w:tc>
        <w:tc>
          <w:tcPr>
            <w:tcW w:w="1100" w:type="dxa"/>
          </w:tcPr>
          <w:p>
            <w:pPr>
              <w:pStyle w:val="TableParagraph"/>
              <w:spacing w:before="123"/>
              <w:ind w:left="13" w:right="2"/>
              <w:jc w:val="center"/>
              <w:rPr>
                <w:b/>
                <w:sz w:val="20"/>
              </w:rPr>
            </w:pPr>
            <w:r>
              <w:rPr>
                <w:b/>
                <w:spacing w:val="-2"/>
                <w:sz w:val="20"/>
              </w:rPr>
              <w:t>0,00%</w:t>
            </w:r>
          </w:p>
        </w:tc>
      </w:tr>
    </w:tbl>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804928">
                <wp:simplePos x="0" y="0"/>
                <wp:positionH relativeFrom="page">
                  <wp:posOffset>1080820</wp:posOffset>
                </wp:positionH>
                <wp:positionV relativeFrom="paragraph">
                  <wp:posOffset>285194</wp:posOffset>
                </wp:positionV>
                <wp:extent cx="5715000" cy="553720"/>
                <wp:effectExtent l="0" t="0" r="0" b="0"/>
                <wp:wrapTopAndBottom/>
                <wp:docPr id="1085" name="Textbox 1085"/>
                <wp:cNvGraphicFramePr>
                  <a:graphicFrameLocks/>
                </wp:cNvGraphicFramePr>
                <a:graphic>
                  <a:graphicData uri="http://schemas.microsoft.com/office/word/2010/wordprocessingShape">
                    <wps:wsp>
                      <wps:cNvPr id="1085" name="Textbox 1085"/>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2.456249pt;width:450pt;height:43.6pt;mso-position-horizontal-relative:page;mso-position-vertical-relative:paragraph;z-index:-15511552;mso-wrap-distance-left:0;mso-wrap-distance-right:0" type="#_x0000_t202" id="docshape103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4896">
                <wp:simplePos x="0" y="0"/>
                <wp:positionH relativeFrom="page">
                  <wp:posOffset>9525</wp:posOffset>
                </wp:positionH>
                <wp:positionV relativeFrom="page">
                  <wp:posOffset>297208</wp:posOffset>
                </wp:positionV>
                <wp:extent cx="7762875" cy="9748520"/>
                <wp:effectExtent l="0" t="0" r="0" b="0"/>
                <wp:wrapNone/>
                <wp:docPr id="1086" name="Group 1086"/>
                <wp:cNvGraphicFramePr>
                  <a:graphicFrameLocks/>
                </wp:cNvGraphicFramePr>
                <a:graphic>
                  <a:graphicData uri="http://schemas.microsoft.com/office/word/2010/wordprocessingGroup">
                    <wpg:wgp>
                      <wpg:cNvPr id="1086" name="Group 1086"/>
                      <wpg:cNvGrpSpPr/>
                      <wpg:grpSpPr>
                        <a:xfrm>
                          <a:off x="0" y="0"/>
                          <a:ext cx="7762875" cy="9748520"/>
                          <a:chExt cx="7762875" cy="9748520"/>
                        </a:xfrm>
                      </wpg:grpSpPr>
                      <pic:pic>
                        <pic:nvPicPr>
                          <pic:cNvPr id="1087" name="Image 1087"/>
                          <pic:cNvPicPr/>
                        </pic:nvPicPr>
                        <pic:blipFill>
                          <a:blip r:embed="rId5" cstate="print"/>
                          <a:stretch>
                            <a:fillRect/>
                          </a:stretch>
                        </pic:blipFill>
                        <pic:spPr>
                          <a:xfrm>
                            <a:off x="0" y="0"/>
                            <a:ext cx="7762874" cy="9748489"/>
                          </a:xfrm>
                          <a:prstGeom prst="rect">
                            <a:avLst/>
                          </a:prstGeom>
                        </pic:spPr>
                      </pic:pic>
                      <wps:wsp>
                        <wps:cNvPr id="1088" name="Graphic 108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1584" id="docshapegroup1033" coordorigin="15,468" coordsize="12225,15352">
                <v:shape style="position:absolute;left:15;top:468;width:12225;height:15352" type="#_x0000_t75" id="docshape1034" stroked="false">
                  <v:imagedata r:id="rId5" o:title=""/>
                </v:shape>
                <v:rect style="position:absolute;left:1673;top:2028;width:8897;height:15" id="docshape103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210</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6"/>
        <w:gridCol w:w="2376"/>
        <w:gridCol w:w="590"/>
        <w:gridCol w:w="1987"/>
        <w:gridCol w:w="1990"/>
        <w:gridCol w:w="1102"/>
      </w:tblGrid>
      <w:tr>
        <w:trPr>
          <w:trHeight w:val="301" w:hRule="atLeast"/>
        </w:trPr>
        <w:tc>
          <w:tcPr>
            <w:tcW w:w="1046" w:type="dxa"/>
            <w:vMerge w:val="restart"/>
            <w:shd w:val="clear" w:color="auto" w:fill="365F92"/>
          </w:tcPr>
          <w:p>
            <w:pPr>
              <w:pStyle w:val="TableParagraph"/>
              <w:spacing w:before="197"/>
              <w:ind w:left="69"/>
              <w:rPr>
                <w:b/>
                <w:sz w:val="20"/>
              </w:rPr>
            </w:pPr>
            <w:r>
              <w:rPr>
                <w:b/>
                <w:color w:val="FFFFFF"/>
                <w:spacing w:val="-2"/>
                <w:sz w:val="20"/>
              </w:rPr>
              <w:t>Cuenta</w:t>
            </w:r>
          </w:p>
        </w:tc>
        <w:tc>
          <w:tcPr>
            <w:tcW w:w="2376" w:type="dxa"/>
            <w:vMerge w:val="restart"/>
            <w:shd w:val="clear" w:color="auto" w:fill="365F92"/>
          </w:tcPr>
          <w:p>
            <w:pPr>
              <w:pStyle w:val="TableParagraph"/>
              <w:spacing w:before="197"/>
              <w:ind w:left="706"/>
              <w:rPr>
                <w:b/>
                <w:sz w:val="20"/>
              </w:rPr>
            </w:pPr>
            <w:r>
              <w:rPr>
                <w:b/>
                <w:color w:val="FFFFFF"/>
                <w:spacing w:val="-2"/>
                <w:sz w:val="20"/>
              </w:rPr>
              <w:t>Descripción</w:t>
            </w:r>
          </w:p>
        </w:tc>
        <w:tc>
          <w:tcPr>
            <w:tcW w:w="590" w:type="dxa"/>
            <w:vMerge w:val="restart"/>
            <w:shd w:val="clear" w:color="auto" w:fill="365F92"/>
          </w:tcPr>
          <w:p>
            <w:pPr>
              <w:pStyle w:val="TableParagraph"/>
              <w:spacing w:before="197"/>
              <w:ind w:left="98"/>
              <w:rPr>
                <w:b/>
                <w:sz w:val="20"/>
              </w:rPr>
            </w:pPr>
            <w:r>
              <w:rPr>
                <w:b/>
                <w:color w:val="FFFFFF"/>
                <w:spacing w:val="-4"/>
                <w:sz w:val="20"/>
              </w:rPr>
              <w:t>Nota</w:t>
            </w:r>
          </w:p>
        </w:tc>
        <w:tc>
          <w:tcPr>
            <w:tcW w:w="1987" w:type="dxa"/>
            <w:vMerge w:val="restart"/>
            <w:shd w:val="clear" w:color="auto" w:fill="365F92"/>
          </w:tcPr>
          <w:p>
            <w:pPr>
              <w:pStyle w:val="TableParagraph"/>
              <w:spacing w:before="197"/>
              <w:ind w:left="421"/>
              <w:rPr>
                <w:b/>
                <w:sz w:val="20"/>
              </w:rPr>
            </w:pPr>
            <w:r>
              <w:rPr>
                <w:b/>
                <w:color w:val="FFFFFF"/>
                <w:sz w:val="20"/>
              </w:rPr>
              <w:t>Periodo</w:t>
            </w:r>
            <w:r>
              <w:rPr>
                <w:b/>
                <w:color w:val="FFFFFF"/>
                <w:spacing w:val="-5"/>
                <w:sz w:val="20"/>
              </w:rPr>
              <w:t> </w:t>
            </w:r>
            <w:r>
              <w:rPr>
                <w:b/>
                <w:color w:val="FFFFFF"/>
                <w:spacing w:val="-2"/>
                <w:sz w:val="20"/>
              </w:rPr>
              <w:t>Actual</w:t>
            </w:r>
          </w:p>
        </w:tc>
        <w:tc>
          <w:tcPr>
            <w:tcW w:w="1990" w:type="dxa"/>
            <w:vMerge w:val="restart"/>
            <w:shd w:val="clear" w:color="auto" w:fill="365F92"/>
          </w:tcPr>
          <w:p>
            <w:pPr>
              <w:pStyle w:val="TableParagraph"/>
              <w:spacing w:before="197"/>
              <w:ind w:left="338"/>
              <w:rPr>
                <w:b/>
                <w:sz w:val="20"/>
              </w:rPr>
            </w:pPr>
            <w:r>
              <w:rPr>
                <w:b/>
                <w:color w:val="FFFFFF"/>
                <w:sz w:val="20"/>
              </w:rPr>
              <w:t>Periodo</w:t>
            </w:r>
            <w:r>
              <w:rPr>
                <w:b/>
                <w:color w:val="FFFFFF"/>
                <w:spacing w:val="-5"/>
                <w:sz w:val="20"/>
              </w:rPr>
              <w:t> </w:t>
            </w:r>
            <w:r>
              <w:rPr>
                <w:b/>
                <w:color w:val="FFFFFF"/>
                <w:spacing w:val="-2"/>
                <w:sz w:val="20"/>
              </w:rPr>
              <w:t>Anterior</w:t>
            </w:r>
          </w:p>
        </w:tc>
        <w:tc>
          <w:tcPr>
            <w:tcW w:w="1102" w:type="dxa"/>
            <w:shd w:val="clear" w:color="auto" w:fill="365F92"/>
          </w:tcPr>
          <w:p>
            <w:pPr>
              <w:pStyle w:val="TableParagraph"/>
              <w:spacing w:before="37"/>
              <w:ind w:left="19" w:right="3"/>
              <w:jc w:val="center"/>
              <w:rPr>
                <w:b/>
                <w:sz w:val="20"/>
              </w:rPr>
            </w:pPr>
            <w:r>
              <w:rPr>
                <w:b/>
                <w:color w:val="FFFFFF"/>
                <w:spacing w:val="-2"/>
                <w:sz w:val="20"/>
              </w:rPr>
              <w:t>Diferencia</w:t>
            </w:r>
          </w:p>
        </w:tc>
      </w:tr>
      <w:tr>
        <w:trPr>
          <w:trHeight w:val="303" w:hRule="atLeast"/>
        </w:trPr>
        <w:tc>
          <w:tcPr>
            <w:tcW w:w="1046" w:type="dxa"/>
            <w:vMerge/>
            <w:tcBorders>
              <w:top w:val="nil"/>
            </w:tcBorders>
            <w:shd w:val="clear" w:color="auto" w:fill="365F92"/>
          </w:tcPr>
          <w:p>
            <w:pPr>
              <w:rPr>
                <w:sz w:val="2"/>
                <w:szCs w:val="2"/>
              </w:rPr>
            </w:pPr>
          </w:p>
        </w:tc>
        <w:tc>
          <w:tcPr>
            <w:tcW w:w="2376" w:type="dxa"/>
            <w:vMerge/>
            <w:tcBorders>
              <w:top w:val="nil"/>
            </w:tcBorders>
            <w:shd w:val="clear" w:color="auto" w:fill="365F92"/>
          </w:tcPr>
          <w:p>
            <w:pPr>
              <w:rPr>
                <w:sz w:val="2"/>
                <w:szCs w:val="2"/>
              </w:rPr>
            </w:pPr>
          </w:p>
        </w:tc>
        <w:tc>
          <w:tcPr>
            <w:tcW w:w="590" w:type="dxa"/>
            <w:vMerge/>
            <w:tcBorders>
              <w:top w:val="nil"/>
            </w:tcBorders>
            <w:shd w:val="clear" w:color="auto" w:fill="365F92"/>
          </w:tcPr>
          <w:p>
            <w:pPr>
              <w:rPr>
                <w:sz w:val="2"/>
                <w:szCs w:val="2"/>
              </w:rPr>
            </w:pPr>
          </w:p>
        </w:tc>
        <w:tc>
          <w:tcPr>
            <w:tcW w:w="1987" w:type="dxa"/>
            <w:vMerge/>
            <w:tcBorders>
              <w:top w:val="nil"/>
            </w:tcBorders>
            <w:shd w:val="clear" w:color="auto" w:fill="365F92"/>
          </w:tcPr>
          <w:p>
            <w:pPr>
              <w:rPr>
                <w:sz w:val="2"/>
                <w:szCs w:val="2"/>
              </w:rPr>
            </w:pPr>
          </w:p>
        </w:tc>
        <w:tc>
          <w:tcPr>
            <w:tcW w:w="1990" w:type="dxa"/>
            <w:vMerge/>
            <w:tcBorders>
              <w:top w:val="nil"/>
            </w:tcBorders>
            <w:shd w:val="clear" w:color="auto" w:fill="365F92"/>
          </w:tcPr>
          <w:p>
            <w:pPr>
              <w:rPr>
                <w:sz w:val="2"/>
                <w:szCs w:val="2"/>
              </w:rPr>
            </w:pPr>
          </w:p>
        </w:tc>
        <w:tc>
          <w:tcPr>
            <w:tcW w:w="1102" w:type="dxa"/>
            <w:shd w:val="clear" w:color="auto" w:fill="365F92"/>
          </w:tcPr>
          <w:p>
            <w:pPr>
              <w:pStyle w:val="TableParagraph"/>
              <w:spacing w:before="37"/>
              <w:ind w:left="19" w:right="4"/>
              <w:jc w:val="center"/>
              <w:rPr>
                <w:sz w:val="20"/>
              </w:rPr>
            </w:pPr>
            <w:r>
              <w:rPr>
                <w:color w:val="FFFFFF"/>
                <w:spacing w:val="-10"/>
                <w:sz w:val="20"/>
              </w:rPr>
              <w:t>%</w:t>
            </w:r>
          </w:p>
        </w:tc>
      </w:tr>
      <w:tr>
        <w:trPr>
          <w:trHeight w:val="455" w:hRule="atLeast"/>
        </w:trPr>
        <w:tc>
          <w:tcPr>
            <w:tcW w:w="1046" w:type="dxa"/>
          </w:tcPr>
          <w:p>
            <w:pPr>
              <w:pStyle w:val="TableParagraph"/>
              <w:spacing w:before="111"/>
              <w:ind w:left="69"/>
              <w:rPr>
                <w:b/>
                <w:sz w:val="20"/>
              </w:rPr>
            </w:pPr>
            <w:r>
              <w:rPr>
                <w:b/>
                <w:spacing w:val="-2"/>
                <w:sz w:val="20"/>
              </w:rPr>
              <w:t>1.2.6.06.</w:t>
            </w:r>
          </w:p>
        </w:tc>
        <w:tc>
          <w:tcPr>
            <w:tcW w:w="2376" w:type="dxa"/>
          </w:tcPr>
          <w:p>
            <w:pPr>
              <w:pStyle w:val="TableParagraph"/>
              <w:spacing w:line="227" w:lineRule="exact"/>
              <w:ind w:left="69"/>
              <w:rPr>
                <w:b/>
                <w:sz w:val="20"/>
              </w:rPr>
            </w:pPr>
            <w:r>
              <w:rPr>
                <w:b/>
                <w:sz w:val="20"/>
              </w:rPr>
              <w:t>Recursos</w:t>
            </w:r>
            <w:r>
              <w:rPr>
                <w:b/>
                <w:spacing w:val="-7"/>
                <w:sz w:val="20"/>
              </w:rPr>
              <w:t> </w:t>
            </w:r>
            <w:r>
              <w:rPr>
                <w:b/>
                <w:spacing w:val="-2"/>
                <w:sz w:val="20"/>
              </w:rPr>
              <w:t>naturales</w:t>
            </w:r>
          </w:p>
          <w:p>
            <w:pPr>
              <w:pStyle w:val="TableParagraph"/>
              <w:spacing w:line="209" w:lineRule="exact"/>
              <w:ind w:left="69"/>
              <w:rPr>
                <w:b/>
                <w:sz w:val="20"/>
              </w:rPr>
            </w:pPr>
            <w:r>
              <w:rPr>
                <w:b/>
                <w:spacing w:val="-2"/>
                <w:sz w:val="20"/>
              </w:rPr>
              <w:t>concesionados</w:t>
            </w:r>
          </w:p>
        </w:tc>
        <w:tc>
          <w:tcPr>
            <w:tcW w:w="590" w:type="dxa"/>
          </w:tcPr>
          <w:p>
            <w:pPr>
              <w:pStyle w:val="TableParagraph"/>
              <w:spacing w:before="111"/>
              <w:ind w:left="197"/>
              <w:rPr>
                <w:b/>
                <w:sz w:val="20"/>
              </w:rPr>
            </w:pPr>
            <w:r>
              <w:rPr>
                <w:b/>
                <w:spacing w:val="-5"/>
                <w:sz w:val="20"/>
              </w:rPr>
              <w:t>11</w:t>
            </w:r>
          </w:p>
        </w:tc>
        <w:tc>
          <w:tcPr>
            <w:tcW w:w="1987" w:type="dxa"/>
          </w:tcPr>
          <w:p>
            <w:pPr>
              <w:pStyle w:val="TableParagraph"/>
              <w:spacing w:before="111"/>
              <w:ind w:left="73"/>
              <w:jc w:val="center"/>
              <w:rPr>
                <w:b/>
                <w:sz w:val="20"/>
              </w:rPr>
            </w:pPr>
            <w:r>
              <w:rPr>
                <w:b/>
                <w:spacing w:val="-4"/>
                <w:sz w:val="20"/>
              </w:rPr>
              <w:t>0,00</w:t>
            </w:r>
          </w:p>
        </w:tc>
        <w:tc>
          <w:tcPr>
            <w:tcW w:w="1990" w:type="dxa"/>
          </w:tcPr>
          <w:p>
            <w:pPr>
              <w:pStyle w:val="TableParagraph"/>
              <w:spacing w:before="111"/>
              <w:ind w:left="18"/>
              <w:jc w:val="center"/>
              <w:rPr>
                <w:b/>
                <w:sz w:val="20"/>
              </w:rPr>
            </w:pPr>
            <w:r>
              <w:rPr>
                <w:b/>
                <w:spacing w:val="-4"/>
                <w:sz w:val="20"/>
              </w:rPr>
              <w:t>0,00</w:t>
            </w:r>
          </w:p>
        </w:tc>
        <w:tc>
          <w:tcPr>
            <w:tcW w:w="1102" w:type="dxa"/>
          </w:tcPr>
          <w:p>
            <w:pPr>
              <w:pStyle w:val="TableParagraph"/>
              <w:spacing w:before="111"/>
              <w:ind w:left="19"/>
              <w:jc w:val="center"/>
              <w:rPr>
                <w:b/>
                <w:sz w:val="20"/>
              </w:rPr>
            </w:pPr>
            <w:r>
              <w:rPr>
                <w:b/>
                <w:spacing w:val="-2"/>
                <w:sz w:val="20"/>
              </w:rPr>
              <w:t>0,00%</w:t>
            </w:r>
          </w:p>
        </w:tc>
      </w:tr>
    </w:tbl>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805952">
                <wp:simplePos x="0" y="0"/>
                <wp:positionH relativeFrom="page">
                  <wp:posOffset>1080820</wp:posOffset>
                </wp:positionH>
                <wp:positionV relativeFrom="paragraph">
                  <wp:posOffset>285543</wp:posOffset>
                </wp:positionV>
                <wp:extent cx="5715000" cy="553720"/>
                <wp:effectExtent l="0" t="0" r="0" b="0"/>
                <wp:wrapTopAndBottom/>
                <wp:docPr id="1089" name="Textbox 1089"/>
                <wp:cNvGraphicFramePr>
                  <a:graphicFrameLocks/>
                </wp:cNvGraphicFramePr>
                <a:graphic>
                  <a:graphicData uri="http://schemas.microsoft.com/office/word/2010/wordprocessingShape">
                    <wps:wsp>
                      <wps:cNvPr id="1089" name="Textbox 1089"/>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2.483755pt;width:450pt;height:43.6pt;mso-position-horizontal-relative:page;mso-position-vertical-relative:paragraph;z-index:-15510528;mso-wrap-distance-left:0;mso-wrap-distance-right:0" type="#_x0000_t202" id="docshape103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194"/>
        <w:rPr>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9"/>
        <w:gridCol w:w="2382"/>
        <w:gridCol w:w="594"/>
        <w:gridCol w:w="1993"/>
        <w:gridCol w:w="1993"/>
        <w:gridCol w:w="1105"/>
      </w:tblGrid>
      <w:tr>
        <w:trPr>
          <w:trHeight w:val="255" w:hRule="atLeast"/>
        </w:trPr>
        <w:tc>
          <w:tcPr>
            <w:tcW w:w="1049" w:type="dxa"/>
            <w:vMerge w:val="restart"/>
            <w:shd w:val="clear" w:color="auto" w:fill="365F92"/>
          </w:tcPr>
          <w:p>
            <w:pPr>
              <w:pStyle w:val="TableParagraph"/>
              <w:spacing w:before="152"/>
              <w:ind w:left="69"/>
              <w:rPr>
                <w:b/>
                <w:sz w:val="20"/>
              </w:rPr>
            </w:pPr>
            <w:r>
              <w:rPr>
                <w:b/>
                <w:color w:val="FFFFFF"/>
                <w:spacing w:val="-2"/>
                <w:sz w:val="20"/>
              </w:rPr>
              <w:t>Cuenta</w:t>
            </w:r>
          </w:p>
        </w:tc>
        <w:tc>
          <w:tcPr>
            <w:tcW w:w="2382" w:type="dxa"/>
            <w:vMerge w:val="restart"/>
            <w:shd w:val="clear" w:color="auto" w:fill="365F92"/>
          </w:tcPr>
          <w:p>
            <w:pPr>
              <w:pStyle w:val="TableParagraph"/>
              <w:spacing w:before="152"/>
              <w:ind w:left="707"/>
              <w:rPr>
                <w:b/>
                <w:sz w:val="20"/>
              </w:rPr>
            </w:pPr>
            <w:r>
              <w:rPr>
                <w:b/>
                <w:color w:val="FFFFFF"/>
                <w:spacing w:val="-2"/>
                <w:sz w:val="20"/>
              </w:rPr>
              <w:t>Descripción</w:t>
            </w:r>
          </w:p>
        </w:tc>
        <w:tc>
          <w:tcPr>
            <w:tcW w:w="594" w:type="dxa"/>
            <w:vMerge w:val="restart"/>
            <w:shd w:val="clear" w:color="auto" w:fill="365F92"/>
          </w:tcPr>
          <w:p>
            <w:pPr>
              <w:pStyle w:val="TableParagraph"/>
              <w:spacing w:before="152"/>
              <w:ind w:left="97"/>
              <w:rPr>
                <w:b/>
                <w:sz w:val="20"/>
              </w:rPr>
            </w:pPr>
            <w:r>
              <w:rPr>
                <w:b/>
                <w:color w:val="FFFFFF"/>
                <w:spacing w:val="-4"/>
                <w:sz w:val="20"/>
              </w:rPr>
              <w:t>Nota</w:t>
            </w:r>
          </w:p>
        </w:tc>
        <w:tc>
          <w:tcPr>
            <w:tcW w:w="1993" w:type="dxa"/>
            <w:vMerge w:val="restart"/>
            <w:shd w:val="clear" w:color="auto" w:fill="365F92"/>
          </w:tcPr>
          <w:p>
            <w:pPr>
              <w:pStyle w:val="TableParagraph"/>
              <w:spacing w:before="152"/>
              <w:ind w:left="420"/>
              <w:rPr>
                <w:b/>
                <w:sz w:val="20"/>
              </w:rPr>
            </w:pPr>
            <w:r>
              <w:rPr>
                <w:b/>
                <w:color w:val="FFFFFF"/>
                <w:sz w:val="20"/>
              </w:rPr>
              <w:t>Periodo</w:t>
            </w:r>
            <w:r>
              <w:rPr>
                <w:b/>
                <w:color w:val="FFFFFF"/>
                <w:spacing w:val="-5"/>
                <w:sz w:val="20"/>
              </w:rPr>
              <w:t> </w:t>
            </w:r>
            <w:r>
              <w:rPr>
                <w:b/>
                <w:color w:val="FFFFFF"/>
                <w:spacing w:val="-2"/>
                <w:sz w:val="20"/>
              </w:rPr>
              <w:t>Actual</w:t>
            </w:r>
          </w:p>
        </w:tc>
        <w:tc>
          <w:tcPr>
            <w:tcW w:w="1993" w:type="dxa"/>
            <w:vMerge w:val="restart"/>
            <w:shd w:val="clear" w:color="auto" w:fill="365F92"/>
          </w:tcPr>
          <w:p>
            <w:pPr>
              <w:pStyle w:val="TableParagraph"/>
              <w:spacing w:before="152"/>
              <w:ind w:left="333"/>
              <w:rPr>
                <w:b/>
                <w:sz w:val="20"/>
              </w:rPr>
            </w:pPr>
            <w:r>
              <w:rPr>
                <w:b/>
                <w:color w:val="FFFFFF"/>
                <w:sz w:val="20"/>
              </w:rPr>
              <w:t>Periodo</w:t>
            </w:r>
            <w:r>
              <w:rPr>
                <w:b/>
                <w:color w:val="FFFFFF"/>
                <w:spacing w:val="-5"/>
                <w:sz w:val="20"/>
              </w:rPr>
              <w:t> </w:t>
            </w:r>
            <w:r>
              <w:rPr>
                <w:b/>
                <w:color w:val="FFFFFF"/>
                <w:spacing w:val="-2"/>
                <w:sz w:val="20"/>
              </w:rPr>
              <w:t>Anterior</w:t>
            </w:r>
          </w:p>
        </w:tc>
        <w:tc>
          <w:tcPr>
            <w:tcW w:w="1105" w:type="dxa"/>
            <w:shd w:val="clear" w:color="auto" w:fill="365F92"/>
          </w:tcPr>
          <w:p>
            <w:pPr>
              <w:pStyle w:val="TableParagraph"/>
              <w:spacing w:line="223" w:lineRule="exact" w:before="13"/>
              <w:ind w:left="16" w:right="4"/>
              <w:jc w:val="center"/>
              <w:rPr>
                <w:b/>
                <w:sz w:val="20"/>
              </w:rPr>
            </w:pPr>
            <w:r>
              <w:rPr>
                <w:b/>
                <w:color w:val="FFFFFF"/>
                <w:spacing w:val="-2"/>
                <w:sz w:val="20"/>
              </w:rPr>
              <w:t>Diferencia</w:t>
            </w:r>
          </w:p>
        </w:tc>
      </w:tr>
      <w:tr>
        <w:trPr>
          <w:trHeight w:val="256" w:hRule="atLeast"/>
        </w:trPr>
        <w:tc>
          <w:tcPr>
            <w:tcW w:w="1049" w:type="dxa"/>
            <w:vMerge/>
            <w:tcBorders>
              <w:top w:val="nil"/>
            </w:tcBorders>
            <w:shd w:val="clear" w:color="auto" w:fill="365F92"/>
          </w:tcPr>
          <w:p>
            <w:pPr>
              <w:rPr>
                <w:sz w:val="2"/>
                <w:szCs w:val="2"/>
              </w:rPr>
            </w:pPr>
          </w:p>
        </w:tc>
        <w:tc>
          <w:tcPr>
            <w:tcW w:w="2382" w:type="dxa"/>
            <w:vMerge/>
            <w:tcBorders>
              <w:top w:val="nil"/>
            </w:tcBorders>
            <w:shd w:val="clear" w:color="auto" w:fill="365F92"/>
          </w:tcPr>
          <w:p>
            <w:pPr>
              <w:rPr>
                <w:sz w:val="2"/>
                <w:szCs w:val="2"/>
              </w:rPr>
            </w:pPr>
          </w:p>
        </w:tc>
        <w:tc>
          <w:tcPr>
            <w:tcW w:w="594" w:type="dxa"/>
            <w:vMerge/>
            <w:tcBorders>
              <w:top w:val="nil"/>
            </w:tcBorders>
            <w:shd w:val="clear" w:color="auto" w:fill="365F92"/>
          </w:tcPr>
          <w:p>
            <w:pPr>
              <w:rPr>
                <w:sz w:val="2"/>
                <w:szCs w:val="2"/>
              </w:rPr>
            </w:pPr>
          </w:p>
        </w:tc>
        <w:tc>
          <w:tcPr>
            <w:tcW w:w="1993" w:type="dxa"/>
            <w:vMerge/>
            <w:tcBorders>
              <w:top w:val="nil"/>
            </w:tcBorders>
            <w:shd w:val="clear" w:color="auto" w:fill="365F92"/>
          </w:tcPr>
          <w:p>
            <w:pPr>
              <w:rPr>
                <w:sz w:val="2"/>
                <w:szCs w:val="2"/>
              </w:rPr>
            </w:pPr>
          </w:p>
        </w:tc>
        <w:tc>
          <w:tcPr>
            <w:tcW w:w="1993" w:type="dxa"/>
            <w:vMerge/>
            <w:tcBorders>
              <w:top w:val="nil"/>
            </w:tcBorders>
            <w:shd w:val="clear" w:color="auto" w:fill="365F92"/>
          </w:tcPr>
          <w:p>
            <w:pPr>
              <w:rPr>
                <w:sz w:val="2"/>
                <w:szCs w:val="2"/>
              </w:rPr>
            </w:pPr>
          </w:p>
        </w:tc>
        <w:tc>
          <w:tcPr>
            <w:tcW w:w="1105" w:type="dxa"/>
            <w:shd w:val="clear" w:color="auto" w:fill="365F92"/>
          </w:tcPr>
          <w:p>
            <w:pPr>
              <w:pStyle w:val="TableParagraph"/>
              <w:spacing w:line="223" w:lineRule="exact" w:before="13"/>
              <w:ind w:left="16" w:right="5"/>
              <w:jc w:val="center"/>
              <w:rPr>
                <w:sz w:val="20"/>
              </w:rPr>
            </w:pPr>
            <w:r>
              <w:rPr>
                <w:color w:val="FFFFFF"/>
                <w:spacing w:val="-10"/>
                <w:sz w:val="20"/>
              </w:rPr>
              <w:t>%</w:t>
            </w:r>
          </w:p>
        </w:tc>
      </w:tr>
      <w:tr>
        <w:trPr>
          <w:trHeight w:val="455" w:hRule="atLeast"/>
        </w:trPr>
        <w:tc>
          <w:tcPr>
            <w:tcW w:w="1049" w:type="dxa"/>
          </w:tcPr>
          <w:p>
            <w:pPr>
              <w:pStyle w:val="TableParagraph"/>
              <w:spacing w:before="111"/>
              <w:ind w:left="69"/>
              <w:rPr>
                <w:b/>
                <w:sz w:val="20"/>
              </w:rPr>
            </w:pPr>
            <w:r>
              <w:rPr>
                <w:b/>
                <w:spacing w:val="-2"/>
                <w:sz w:val="20"/>
              </w:rPr>
              <w:t>1.2.6.08.</w:t>
            </w:r>
          </w:p>
        </w:tc>
        <w:tc>
          <w:tcPr>
            <w:tcW w:w="2382" w:type="dxa"/>
          </w:tcPr>
          <w:p>
            <w:pPr>
              <w:pStyle w:val="TableParagraph"/>
              <w:spacing w:line="227" w:lineRule="exact"/>
              <w:ind w:left="68"/>
              <w:rPr>
                <w:b/>
                <w:sz w:val="20"/>
              </w:rPr>
            </w:pPr>
            <w:r>
              <w:rPr>
                <w:b/>
                <w:sz w:val="20"/>
              </w:rPr>
              <w:t>Bienes</w:t>
            </w:r>
            <w:r>
              <w:rPr>
                <w:b/>
                <w:spacing w:val="-5"/>
                <w:sz w:val="20"/>
              </w:rPr>
              <w:t> </w:t>
            </w:r>
            <w:r>
              <w:rPr>
                <w:b/>
                <w:spacing w:val="-2"/>
                <w:sz w:val="20"/>
              </w:rPr>
              <w:t>intangibles</w:t>
            </w:r>
          </w:p>
          <w:p>
            <w:pPr>
              <w:pStyle w:val="TableParagraph"/>
              <w:spacing w:line="209" w:lineRule="exact"/>
              <w:ind w:left="68"/>
              <w:rPr>
                <w:b/>
                <w:sz w:val="20"/>
              </w:rPr>
            </w:pPr>
            <w:r>
              <w:rPr>
                <w:b/>
                <w:spacing w:val="-2"/>
                <w:sz w:val="20"/>
              </w:rPr>
              <w:t>concesionados</w:t>
            </w:r>
          </w:p>
        </w:tc>
        <w:tc>
          <w:tcPr>
            <w:tcW w:w="594" w:type="dxa"/>
          </w:tcPr>
          <w:p>
            <w:pPr>
              <w:pStyle w:val="TableParagraph"/>
              <w:spacing w:before="111"/>
              <w:ind w:left="193"/>
              <w:rPr>
                <w:b/>
                <w:sz w:val="20"/>
              </w:rPr>
            </w:pPr>
            <w:r>
              <w:rPr>
                <w:b/>
                <w:spacing w:val="-5"/>
                <w:sz w:val="20"/>
              </w:rPr>
              <w:t>11</w:t>
            </w:r>
          </w:p>
        </w:tc>
        <w:tc>
          <w:tcPr>
            <w:tcW w:w="1993" w:type="dxa"/>
          </w:tcPr>
          <w:p>
            <w:pPr>
              <w:pStyle w:val="TableParagraph"/>
              <w:spacing w:before="111"/>
              <w:ind w:left="65"/>
              <w:jc w:val="center"/>
              <w:rPr>
                <w:b/>
                <w:sz w:val="20"/>
              </w:rPr>
            </w:pPr>
            <w:r>
              <w:rPr>
                <w:b/>
                <w:spacing w:val="-4"/>
                <w:sz w:val="20"/>
              </w:rPr>
              <w:t>0,00</w:t>
            </w:r>
          </w:p>
        </w:tc>
        <w:tc>
          <w:tcPr>
            <w:tcW w:w="1993" w:type="dxa"/>
          </w:tcPr>
          <w:p>
            <w:pPr>
              <w:pStyle w:val="TableParagraph"/>
              <w:spacing w:before="111"/>
              <w:ind w:left="65" w:right="7"/>
              <w:jc w:val="center"/>
              <w:rPr>
                <w:b/>
                <w:sz w:val="20"/>
              </w:rPr>
            </w:pPr>
            <w:r>
              <w:rPr>
                <w:b/>
                <w:spacing w:val="-4"/>
                <w:sz w:val="20"/>
              </w:rPr>
              <w:t>0,00</w:t>
            </w:r>
          </w:p>
        </w:tc>
        <w:tc>
          <w:tcPr>
            <w:tcW w:w="1105" w:type="dxa"/>
          </w:tcPr>
          <w:p>
            <w:pPr>
              <w:pStyle w:val="TableParagraph"/>
              <w:spacing w:before="111"/>
              <w:ind w:left="16" w:right="6"/>
              <w:jc w:val="center"/>
              <w:rPr>
                <w:b/>
                <w:sz w:val="20"/>
              </w:rPr>
            </w:pPr>
            <w:r>
              <w:rPr>
                <w:b/>
                <w:spacing w:val="-2"/>
                <w:sz w:val="20"/>
              </w:rPr>
              <w:t>0,00%</w:t>
            </w:r>
          </w:p>
        </w:tc>
      </w:tr>
    </w:tbl>
    <w:p>
      <w:pPr>
        <w:pStyle w:val="BodyText"/>
        <w:rPr>
          <w:sz w:val="20"/>
        </w:rPr>
      </w:pPr>
    </w:p>
    <w:p>
      <w:pPr>
        <w:pStyle w:val="BodyText"/>
        <w:spacing w:before="167"/>
        <w:rPr>
          <w:sz w:val="20"/>
        </w:rPr>
      </w:pPr>
      <w:r>
        <w:rPr>
          <w:sz w:val="20"/>
        </w:rPr>
        <mc:AlternateContent>
          <mc:Choice Requires="wps">
            <w:drawing>
              <wp:anchor distT="0" distB="0" distL="0" distR="0" allowOverlap="1" layoutInCell="1" locked="0" behindDoc="1" simplePos="0" relativeHeight="487806464">
                <wp:simplePos x="0" y="0"/>
                <wp:positionH relativeFrom="page">
                  <wp:posOffset>1080820</wp:posOffset>
                </wp:positionH>
                <wp:positionV relativeFrom="paragraph">
                  <wp:posOffset>269922</wp:posOffset>
                </wp:positionV>
                <wp:extent cx="5715000" cy="553720"/>
                <wp:effectExtent l="0" t="0" r="0" b="0"/>
                <wp:wrapTopAndBottom/>
                <wp:docPr id="1090" name="Textbox 1090"/>
                <wp:cNvGraphicFramePr>
                  <a:graphicFrameLocks/>
                </wp:cNvGraphicFramePr>
                <a:graphic>
                  <a:graphicData uri="http://schemas.microsoft.com/office/word/2010/wordprocessingShape">
                    <wps:wsp>
                      <wps:cNvPr id="1090" name="Textbox 1090"/>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1.25375pt;width:450pt;height:43.6pt;mso-position-horizontal-relative:page;mso-position-vertical-relative:paragraph;z-index:-15510016;mso-wrap-distance-left:0;mso-wrap-distance-right:0" type="#_x0000_t202" id="docshape103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79"/>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sz w:val="20"/>
        </w:rPr>
      </w:pPr>
    </w:p>
    <w:p>
      <w:pPr>
        <w:pStyle w:val="BodyText"/>
        <w:spacing w:before="58"/>
        <w:rPr>
          <w:sz w:val="20"/>
        </w:rPr>
      </w:pPr>
    </w:p>
    <w:p>
      <w:pPr>
        <w:pStyle w:val="Heading6"/>
        <w:tabs>
          <w:tab w:pos="9489" w:val="left" w:leader="none"/>
        </w:tabs>
        <w:ind w:left="622"/>
      </w:pPr>
      <w:r>
        <w:rPr>
          <w:color w:val="FFFFFF"/>
          <w:shd w:fill="365F92" w:color="auto" w:val="clear"/>
        </w:rPr>
        <w:t>Información</w:t>
      </w:r>
      <w:r>
        <w:rPr>
          <w:color w:val="FFFFFF"/>
          <w:spacing w:val="-6"/>
          <w:shd w:fill="365F92" w:color="auto" w:val="clear"/>
        </w:rPr>
        <w:t> </w:t>
      </w:r>
      <w:r>
        <w:rPr>
          <w:color w:val="FFFFFF"/>
          <w:shd w:fill="365F92" w:color="auto" w:val="clear"/>
        </w:rPr>
        <w:t>a</w:t>
      </w:r>
      <w:r>
        <w:rPr>
          <w:color w:val="FFFFFF"/>
          <w:spacing w:val="-5"/>
          <w:shd w:fill="365F92" w:color="auto" w:val="clear"/>
        </w:rPr>
        <w:t> </w:t>
      </w:r>
      <w:r>
        <w:rPr>
          <w:color w:val="FFFFFF"/>
          <w:shd w:fill="365F92" w:color="auto" w:val="clear"/>
        </w:rPr>
        <w:t>revelar-</w:t>
      </w:r>
      <w:r>
        <w:rPr>
          <w:color w:val="FFFFFF"/>
          <w:spacing w:val="-4"/>
          <w:shd w:fill="365F92" w:color="auto" w:val="clear"/>
        </w:rPr>
        <w:t> </w:t>
      </w:r>
      <w:r>
        <w:rPr>
          <w:color w:val="FFFFFF"/>
          <w:shd w:fill="365F92" w:color="auto" w:val="clear"/>
        </w:rPr>
        <w:t>Activos</w:t>
      </w:r>
      <w:r>
        <w:rPr>
          <w:color w:val="FFFFFF"/>
          <w:spacing w:val="-4"/>
          <w:shd w:fill="365F92" w:color="auto" w:val="clear"/>
        </w:rPr>
        <w:t> </w:t>
      </w:r>
      <w:r>
        <w:rPr>
          <w:color w:val="FFFFFF"/>
          <w:shd w:fill="365F92" w:color="auto" w:val="clear"/>
        </w:rPr>
        <w:t>Intangibles</w:t>
      </w:r>
      <w:r>
        <w:rPr>
          <w:color w:val="FFFFFF"/>
          <w:spacing w:val="-5"/>
          <w:shd w:fill="365F92" w:color="auto" w:val="clear"/>
        </w:rPr>
        <w:t> </w:t>
      </w:r>
      <w:r>
        <w:rPr>
          <w:color w:val="FFFFFF"/>
          <w:shd w:fill="365F92" w:color="auto" w:val="clear"/>
        </w:rPr>
        <w:t>NICSP</w:t>
      </w:r>
      <w:r>
        <w:rPr>
          <w:color w:val="FFFFFF"/>
          <w:spacing w:val="-4"/>
          <w:shd w:fill="365F92" w:color="auto" w:val="clear"/>
        </w:rPr>
        <w:t> </w:t>
      </w:r>
      <w:r>
        <w:rPr>
          <w:color w:val="FFFFFF"/>
          <w:shd w:fill="365F92" w:color="auto" w:val="clear"/>
        </w:rPr>
        <w:t>31</w:t>
      </w:r>
      <w:r>
        <w:rPr>
          <w:color w:val="FFFFFF"/>
          <w:spacing w:val="-4"/>
          <w:shd w:fill="365F92" w:color="auto" w:val="clear"/>
        </w:rPr>
        <w:t> </w:t>
      </w:r>
      <w:r>
        <w:rPr>
          <w:color w:val="FFFFFF"/>
          <w:shd w:fill="365F92" w:color="auto" w:val="clear"/>
        </w:rPr>
        <w:t>(Párrafos</w:t>
      </w:r>
      <w:r>
        <w:rPr>
          <w:color w:val="FFFFFF"/>
          <w:spacing w:val="-3"/>
          <w:shd w:fill="365F92" w:color="auto" w:val="clear"/>
        </w:rPr>
        <w:t> </w:t>
      </w:r>
      <w:r>
        <w:rPr>
          <w:color w:val="FFFFFF"/>
          <w:shd w:fill="365F92" w:color="auto" w:val="clear"/>
        </w:rPr>
        <w:t>117,</w:t>
      </w:r>
      <w:r>
        <w:rPr>
          <w:color w:val="FFFFFF"/>
          <w:spacing w:val="-4"/>
          <w:shd w:fill="365F92" w:color="auto" w:val="clear"/>
        </w:rPr>
        <w:t> </w:t>
      </w:r>
      <w:r>
        <w:rPr>
          <w:color w:val="FFFFFF"/>
          <w:shd w:fill="365F92" w:color="auto" w:val="clear"/>
        </w:rPr>
        <w:t>121,</w:t>
      </w:r>
      <w:r>
        <w:rPr>
          <w:color w:val="FFFFFF"/>
          <w:spacing w:val="-4"/>
          <w:shd w:fill="365F92" w:color="auto" w:val="clear"/>
        </w:rPr>
        <w:t> </w:t>
      </w:r>
      <w:r>
        <w:rPr>
          <w:color w:val="FFFFFF"/>
          <w:shd w:fill="365F92" w:color="auto" w:val="clear"/>
        </w:rPr>
        <w:t>123,</w:t>
      </w:r>
      <w:r>
        <w:rPr>
          <w:color w:val="FFFFFF"/>
          <w:spacing w:val="-4"/>
          <w:shd w:fill="365F92" w:color="auto" w:val="clear"/>
        </w:rPr>
        <w:t> 125)</w:t>
      </w:r>
      <w:r>
        <w:rPr>
          <w:color w:val="FFFFFF"/>
          <w:shd w:fill="365F92" w:color="auto" w:val="clear"/>
        </w:rPr>
        <w:tab/>
      </w:r>
    </w:p>
    <w:p>
      <w:pPr>
        <w:pStyle w:val="BodyText"/>
        <w:spacing w:before="8"/>
        <w:rPr>
          <w:b/>
          <w:sz w:val="13"/>
        </w:rPr>
      </w:pPr>
      <w:r>
        <w:rPr>
          <w:b/>
          <w:sz w:val="13"/>
        </w:rPr>
        <mc:AlternateContent>
          <mc:Choice Requires="wps">
            <w:drawing>
              <wp:anchor distT="0" distB="0" distL="0" distR="0" allowOverlap="1" layoutInCell="1" locked="0" behindDoc="1" simplePos="0" relativeHeight="487806976">
                <wp:simplePos x="0" y="0"/>
                <wp:positionH relativeFrom="page">
                  <wp:posOffset>1080820</wp:posOffset>
                </wp:positionH>
                <wp:positionV relativeFrom="paragraph">
                  <wp:posOffset>117863</wp:posOffset>
                </wp:positionV>
                <wp:extent cx="5715000" cy="554990"/>
                <wp:effectExtent l="0" t="0" r="0" b="0"/>
                <wp:wrapTopAndBottom/>
                <wp:docPr id="1091" name="Textbox 1091"/>
                <wp:cNvGraphicFramePr>
                  <a:graphicFrameLocks/>
                </wp:cNvGraphicFramePr>
                <a:graphic>
                  <a:graphicData uri="http://schemas.microsoft.com/office/word/2010/wordprocessingShape">
                    <wps:wsp>
                      <wps:cNvPr id="1091" name="Textbox 1091"/>
                      <wps:cNvSpPr txBox="1"/>
                      <wps:spPr>
                        <a:xfrm>
                          <a:off x="0" y="0"/>
                          <a:ext cx="5715000" cy="5549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9.280625pt;width:450pt;height:43.7pt;mso-position-horizontal-relative:page;mso-position-vertical-relative:paragraph;z-index:-15509504;mso-wrap-distance-left:0;mso-wrap-distance-right:0" type="#_x0000_t202" id="docshape103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rPr>
          <w:b/>
          <w:sz w:val="20"/>
        </w:rPr>
      </w:pPr>
    </w:p>
    <w:p>
      <w:pPr>
        <w:pStyle w:val="BodyText"/>
        <w:spacing w:before="194"/>
        <w:rPr>
          <w:b/>
          <w:sz w:val="20"/>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0"/>
        <w:gridCol w:w="2379"/>
        <w:gridCol w:w="588"/>
        <w:gridCol w:w="1980"/>
        <w:gridCol w:w="1978"/>
        <w:gridCol w:w="1099"/>
      </w:tblGrid>
      <w:tr>
        <w:trPr>
          <w:trHeight w:val="282" w:hRule="atLeast"/>
        </w:trPr>
        <w:tc>
          <w:tcPr>
            <w:tcW w:w="1030" w:type="dxa"/>
            <w:vMerge w:val="restart"/>
            <w:shd w:val="clear" w:color="auto" w:fill="365F92"/>
          </w:tcPr>
          <w:p>
            <w:pPr>
              <w:pStyle w:val="TableParagraph"/>
              <w:spacing w:before="176"/>
              <w:ind w:left="69"/>
              <w:rPr>
                <w:b/>
                <w:sz w:val="20"/>
              </w:rPr>
            </w:pPr>
            <w:r>
              <w:rPr>
                <w:b/>
                <w:color w:val="FFFFFF"/>
                <w:spacing w:val="-2"/>
                <w:sz w:val="20"/>
              </w:rPr>
              <w:t>Cuenta</w:t>
            </w:r>
          </w:p>
        </w:tc>
        <w:tc>
          <w:tcPr>
            <w:tcW w:w="2379" w:type="dxa"/>
            <w:vMerge w:val="restart"/>
            <w:shd w:val="clear" w:color="auto" w:fill="365F92"/>
          </w:tcPr>
          <w:p>
            <w:pPr>
              <w:pStyle w:val="TableParagraph"/>
              <w:spacing w:before="176"/>
              <w:ind w:left="705"/>
              <w:rPr>
                <w:b/>
                <w:sz w:val="20"/>
              </w:rPr>
            </w:pPr>
            <w:r>
              <w:rPr>
                <w:b/>
                <w:color w:val="FFFFFF"/>
                <w:spacing w:val="-2"/>
                <w:sz w:val="20"/>
              </w:rPr>
              <w:t>Descripción</w:t>
            </w:r>
          </w:p>
        </w:tc>
        <w:tc>
          <w:tcPr>
            <w:tcW w:w="588" w:type="dxa"/>
            <w:vMerge w:val="restart"/>
            <w:shd w:val="clear" w:color="auto" w:fill="365F92"/>
          </w:tcPr>
          <w:p>
            <w:pPr>
              <w:pStyle w:val="TableParagraph"/>
              <w:spacing w:before="176"/>
              <w:ind w:left="97"/>
              <w:rPr>
                <w:b/>
                <w:sz w:val="20"/>
              </w:rPr>
            </w:pPr>
            <w:r>
              <w:rPr>
                <w:b/>
                <w:color w:val="FFFFFF"/>
                <w:spacing w:val="-4"/>
                <w:sz w:val="20"/>
              </w:rPr>
              <w:t>Nota</w:t>
            </w:r>
          </w:p>
        </w:tc>
        <w:tc>
          <w:tcPr>
            <w:tcW w:w="1980" w:type="dxa"/>
            <w:vMerge w:val="restart"/>
            <w:shd w:val="clear" w:color="auto" w:fill="365F92"/>
          </w:tcPr>
          <w:p>
            <w:pPr>
              <w:pStyle w:val="TableParagraph"/>
              <w:spacing w:before="176"/>
              <w:ind w:left="414"/>
              <w:rPr>
                <w:b/>
                <w:sz w:val="20"/>
              </w:rPr>
            </w:pPr>
            <w:r>
              <w:rPr>
                <w:b/>
                <w:color w:val="FFFFFF"/>
                <w:sz w:val="20"/>
              </w:rPr>
              <w:t>Periodo</w:t>
            </w:r>
            <w:r>
              <w:rPr>
                <w:b/>
                <w:color w:val="FFFFFF"/>
                <w:spacing w:val="-5"/>
                <w:sz w:val="20"/>
              </w:rPr>
              <w:t> </w:t>
            </w:r>
            <w:r>
              <w:rPr>
                <w:b/>
                <w:color w:val="FFFFFF"/>
                <w:spacing w:val="-2"/>
                <w:sz w:val="20"/>
              </w:rPr>
              <w:t>Actual</w:t>
            </w:r>
          </w:p>
        </w:tc>
        <w:tc>
          <w:tcPr>
            <w:tcW w:w="1978" w:type="dxa"/>
            <w:vMerge w:val="restart"/>
            <w:shd w:val="clear" w:color="auto" w:fill="365F92"/>
          </w:tcPr>
          <w:p>
            <w:pPr>
              <w:pStyle w:val="TableParagraph"/>
              <w:spacing w:before="176"/>
              <w:ind w:left="331"/>
              <w:rPr>
                <w:b/>
                <w:sz w:val="20"/>
              </w:rPr>
            </w:pPr>
            <w:r>
              <w:rPr>
                <w:b/>
                <w:color w:val="FFFFFF"/>
                <w:sz w:val="20"/>
              </w:rPr>
              <w:t>Periodo</w:t>
            </w:r>
            <w:r>
              <w:rPr>
                <w:b/>
                <w:color w:val="FFFFFF"/>
                <w:spacing w:val="-5"/>
                <w:sz w:val="20"/>
              </w:rPr>
              <w:t> </w:t>
            </w:r>
            <w:r>
              <w:rPr>
                <w:b/>
                <w:color w:val="FFFFFF"/>
                <w:spacing w:val="-2"/>
                <w:sz w:val="20"/>
              </w:rPr>
              <w:t>Anterior</w:t>
            </w:r>
          </w:p>
        </w:tc>
        <w:tc>
          <w:tcPr>
            <w:tcW w:w="1099" w:type="dxa"/>
            <w:shd w:val="clear" w:color="auto" w:fill="365F92"/>
          </w:tcPr>
          <w:p>
            <w:pPr>
              <w:pStyle w:val="TableParagraph"/>
              <w:spacing w:before="25"/>
              <w:ind w:left="19"/>
              <w:jc w:val="center"/>
              <w:rPr>
                <w:b/>
                <w:sz w:val="20"/>
              </w:rPr>
            </w:pPr>
            <w:r>
              <w:rPr>
                <w:b/>
                <w:color w:val="FFFFFF"/>
                <w:spacing w:val="-2"/>
                <w:sz w:val="20"/>
              </w:rPr>
              <w:t>Diferencia</w:t>
            </w:r>
          </w:p>
        </w:tc>
      </w:tr>
      <w:tr>
        <w:trPr>
          <w:trHeight w:val="282" w:hRule="atLeast"/>
        </w:trPr>
        <w:tc>
          <w:tcPr>
            <w:tcW w:w="1030" w:type="dxa"/>
            <w:vMerge/>
            <w:tcBorders>
              <w:top w:val="nil"/>
            </w:tcBorders>
            <w:shd w:val="clear" w:color="auto" w:fill="365F92"/>
          </w:tcPr>
          <w:p>
            <w:pPr>
              <w:rPr>
                <w:sz w:val="2"/>
                <w:szCs w:val="2"/>
              </w:rPr>
            </w:pPr>
          </w:p>
        </w:tc>
        <w:tc>
          <w:tcPr>
            <w:tcW w:w="2379" w:type="dxa"/>
            <w:vMerge/>
            <w:tcBorders>
              <w:top w:val="nil"/>
            </w:tcBorders>
            <w:shd w:val="clear" w:color="auto" w:fill="365F92"/>
          </w:tcPr>
          <w:p>
            <w:pPr>
              <w:rPr>
                <w:sz w:val="2"/>
                <w:szCs w:val="2"/>
              </w:rPr>
            </w:pPr>
          </w:p>
        </w:tc>
        <w:tc>
          <w:tcPr>
            <w:tcW w:w="588" w:type="dxa"/>
            <w:vMerge/>
            <w:tcBorders>
              <w:top w:val="nil"/>
            </w:tcBorders>
            <w:shd w:val="clear" w:color="auto" w:fill="365F92"/>
          </w:tcPr>
          <w:p>
            <w:pPr>
              <w:rPr>
                <w:sz w:val="2"/>
                <w:szCs w:val="2"/>
              </w:rPr>
            </w:pPr>
          </w:p>
        </w:tc>
        <w:tc>
          <w:tcPr>
            <w:tcW w:w="1980" w:type="dxa"/>
            <w:vMerge/>
            <w:tcBorders>
              <w:top w:val="nil"/>
            </w:tcBorders>
            <w:shd w:val="clear" w:color="auto" w:fill="365F92"/>
          </w:tcPr>
          <w:p>
            <w:pPr>
              <w:rPr>
                <w:sz w:val="2"/>
                <w:szCs w:val="2"/>
              </w:rPr>
            </w:pPr>
          </w:p>
        </w:tc>
        <w:tc>
          <w:tcPr>
            <w:tcW w:w="1978" w:type="dxa"/>
            <w:vMerge/>
            <w:tcBorders>
              <w:top w:val="nil"/>
            </w:tcBorders>
            <w:shd w:val="clear" w:color="auto" w:fill="365F92"/>
          </w:tcPr>
          <w:p>
            <w:pPr>
              <w:rPr>
                <w:sz w:val="2"/>
                <w:szCs w:val="2"/>
              </w:rPr>
            </w:pPr>
          </w:p>
        </w:tc>
        <w:tc>
          <w:tcPr>
            <w:tcW w:w="1099" w:type="dxa"/>
            <w:shd w:val="clear" w:color="auto" w:fill="365F92"/>
          </w:tcPr>
          <w:p>
            <w:pPr>
              <w:pStyle w:val="TableParagraph"/>
              <w:spacing w:before="25"/>
              <w:ind w:left="19" w:right="1"/>
              <w:jc w:val="center"/>
              <w:rPr>
                <w:sz w:val="20"/>
              </w:rPr>
            </w:pPr>
            <w:r>
              <w:rPr>
                <w:color w:val="FFFFFF"/>
                <w:spacing w:val="-10"/>
                <w:sz w:val="20"/>
              </w:rPr>
              <w:t>%</w:t>
            </w:r>
          </w:p>
        </w:tc>
      </w:tr>
      <w:tr>
        <w:trPr>
          <w:trHeight w:val="282" w:hRule="atLeast"/>
        </w:trPr>
        <w:tc>
          <w:tcPr>
            <w:tcW w:w="1030" w:type="dxa"/>
          </w:tcPr>
          <w:p>
            <w:pPr>
              <w:pStyle w:val="TableParagraph"/>
              <w:spacing w:before="25"/>
              <w:ind w:left="69"/>
              <w:rPr>
                <w:b/>
                <w:sz w:val="20"/>
              </w:rPr>
            </w:pPr>
            <w:r>
              <w:rPr>
                <w:b/>
                <w:spacing w:val="-2"/>
                <w:sz w:val="20"/>
              </w:rPr>
              <w:t>1.2.6.99.</w:t>
            </w:r>
          </w:p>
        </w:tc>
        <w:tc>
          <w:tcPr>
            <w:tcW w:w="2379" w:type="dxa"/>
          </w:tcPr>
          <w:p>
            <w:pPr>
              <w:pStyle w:val="TableParagraph"/>
              <w:spacing w:before="25"/>
              <w:ind w:left="68"/>
              <w:rPr>
                <w:b/>
                <w:sz w:val="20"/>
              </w:rPr>
            </w:pPr>
            <w:r>
              <w:rPr>
                <w:b/>
                <w:sz w:val="20"/>
              </w:rPr>
              <w:t>Bienes</w:t>
            </w:r>
            <w:r>
              <w:rPr>
                <w:b/>
                <w:spacing w:val="-7"/>
                <w:sz w:val="20"/>
              </w:rPr>
              <w:t> </w:t>
            </w:r>
            <w:r>
              <w:rPr>
                <w:b/>
                <w:spacing w:val="-2"/>
                <w:sz w:val="20"/>
              </w:rPr>
              <w:t>concesionados</w:t>
            </w:r>
          </w:p>
        </w:tc>
        <w:tc>
          <w:tcPr>
            <w:tcW w:w="588" w:type="dxa"/>
          </w:tcPr>
          <w:p>
            <w:pPr>
              <w:pStyle w:val="TableParagraph"/>
              <w:spacing w:before="25"/>
              <w:ind w:left="193"/>
              <w:rPr>
                <w:b/>
                <w:sz w:val="20"/>
              </w:rPr>
            </w:pPr>
            <w:r>
              <w:rPr>
                <w:b/>
                <w:spacing w:val="-5"/>
                <w:sz w:val="20"/>
              </w:rPr>
              <w:t>11</w:t>
            </w:r>
          </w:p>
        </w:tc>
        <w:tc>
          <w:tcPr>
            <w:tcW w:w="1980" w:type="dxa"/>
          </w:tcPr>
          <w:p>
            <w:pPr>
              <w:pStyle w:val="TableParagraph"/>
              <w:spacing w:before="25"/>
              <w:ind w:left="66"/>
              <w:jc w:val="center"/>
              <w:rPr>
                <w:b/>
                <w:sz w:val="20"/>
              </w:rPr>
            </w:pPr>
            <w:r>
              <w:rPr>
                <w:b/>
                <w:spacing w:val="-4"/>
                <w:sz w:val="20"/>
              </w:rPr>
              <w:t>0,00</w:t>
            </w:r>
          </w:p>
        </w:tc>
        <w:tc>
          <w:tcPr>
            <w:tcW w:w="1978" w:type="dxa"/>
          </w:tcPr>
          <w:p>
            <w:pPr>
              <w:pStyle w:val="TableParagraph"/>
              <w:spacing w:before="25"/>
              <w:ind w:left="16"/>
              <w:jc w:val="center"/>
              <w:rPr>
                <w:b/>
                <w:sz w:val="20"/>
              </w:rPr>
            </w:pPr>
            <w:r>
              <w:rPr>
                <w:b/>
                <w:spacing w:val="-4"/>
                <w:sz w:val="20"/>
              </w:rPr>
              <w:t>0,00</w:t>
            </w:r>
          </w:p>
        </w:tc>
        <w:tc>
          <w:tcPr>
            <w:tcW w:w="1099" w:type="dxa"/>
          </w:tcPr>
          <w:p>
            <w:pPr>
              <w:pStyle w:val="TableParagraph"/>
              <w:spacing w:before="25"/>
              <w:ind w:left="19" w:right="1"/>
              <w:jc w:val="center"/>
              <w:rPr>
                <w:b/>
                <w:sz w:val="20"/>
              </w:rPr>
            </w:pPr>
            <w:r>
              <w:rPr>
                <w:b/>
                <w:spacing w:val="-2"/>
                <w:sz w:val="20"/>
              </w:rPr>
              <w:t>0,00%</w:t>
            </w:r>
          </w:p>
        </w:tc>
      </w:tr>
    </w:tbl>
    <w:p>
      <w:pPr>
        <w:pStyle w:val="BodyText"/>
        <w:rPr>
          <w:b/>
          <w:sz w:val="20"/>
        </w:rPr>
      </w:pPr>
    </w:p>
    <w:p>
      <w:pPr>
        <w:pStyle w:val="BodyText"/>
        <w:spacing w:before="166"/>
        <w:rPr>
          <w:b/>
          <w:sz w:val="20"/>
        </w:rPr>
      </w:pPr>
      <w:r>
        <w:rPr>
          <w:b/>
          <w:sz w:val="20"/>
        </w:rPr>
        <mc:AlternateContent>
          <mc:Choice Requires="wps">
            <w:drawing>
              <wp:anchor distT="0" distB="0" distL="0" distR="0" allowOverlap="1" layoutInCell="1" locked="0" behindDoc="1" simplePos="0" relativeHeight="487807488">
                <wp:simplePos x="0" y="0"/>
                <wp:positionH relativeFrom="page">
                  <wp:posOffset>1080820</wp:posOffset>
                </wp:positionH>
                <wp:positionV relativeFrom="paragraph">
                  <wp:posOffset>268780</wp:posOffset>
                </wp:positionV>
                <wp:extent cx="5715000" cy="553720"/>
                <wp:effectExtent l="0" t="0" r="0" b="0"/>
                <wp:wrapTopAndBottom/>
                <wp:docPr id="1092" name="Textbox 1092"/>
                <wp:cNvGraphicFramePr>
                  <a:graphicFrameLocks/>
                </wp:cNvGraphicFramePr>
                <a:graphic>
                  <a:graphicData uri="http://schemas.microsoft.com/office/word/2010/wordprocessingShape">
                    <wps:wsp>
                      <wps:cNvPr id="1092" name="Textbox 1092"/>
                      <wps:cNvSpPr txBox="1"/>
                      <wps:spPr>
                        <a:xfrm>
                          <a:off x="0" y="0"/>
                          <a:ext cx="5715000" cy="55372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wps:txbx>
                      <wps:bodyPr wrap="square" lIns="0" tIns="0" rIns="0" bIns="0" rtlCol="0">
                        <a:noAutofit/>
                      </wps:bodyPr>
                    </wps:wsp>
                  </a:graphicData>
                </a:graphic>
              </wp:anchor>
            </w:drawing>
          </mc:Choice>
          <mc:Fallback>
            <w:pict>
              <v:shape style="position:absolute;margin-left:85.103996pt;margin-top:21.16378pt;width:450pt;height:43.6pt;mso-position-horizontal-relative:page;mso-position-vertical-relative:paragraph;z-index:-15508992;mso-wrap-distance-left:0;mso-wrap-distance-right:0" type="#_x0000_t202" id="docshape103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before="181"/>
                        <w:ind w:left="103"/>
                      </w:pPr>
                      <w:r>
                        <w:rPr/>
                        <w:t>Al</w:t>
                      </w:r>
                      <w:r>
                        <w:rPr>
                          <w:spacing w:val="-3"/>
                        </w:rPr>
                        <w:t> </w:t>
                      </w:r>
                      <w:r>
                        <w:rPr/>
                        <w:t>31</w:t>
                      </w:r>
                      <w:r>
                        <w:rPr>
                          <w:spacing w:val="-3"/>
                        </w:rPr>
                        <w:t> </w:t>
                      </w:r>
                      <w:r>
                        <w:rPr/>
                        <w:t>de</w:t>
                      </w:r>
                      <w:r>
                        <w:rPr>
                          <w:spacing w:val="-4"/>
                        </w:rPr>
                        <w:t> </w:t>
                      </w:r>
                      <w:r>
                        <w:rPr/>
                        <w:t>julio,</w:t>
                      </w:r>
                      <w:r>
                        <w:rPr>
                          <w:spacing w:val="-3"/>
                        </w:rPr>
                        <w:t> </w:t>
                      </w:r>
                      <w:r>
                        <w:rPr/>
                        <w:t>el</w:t>
                      </w:r>
                      <w:r>
                        <w:rPr>
                          <w:spacing w:val="-3"/>
                        </w:rPr>
                        <w:t> </w:t>
                      </w:r>
                      <w:r>
                        <w:rPr/>
                        <w:t>IMAS</w:t>
                      </w:r>
                      <w:r>
                        <w:rPr>
                          <w:spacing w:val="-2"/>
                        </w:rPr>
                        <w:t> </w:t>
                      </w:r>
                      <w:r>
                        <w:rPr/>
                        <w:t>no</w:t>
                      </w:r>
                      <w:r>
                        <w:rPr>
                          <w:spacing w:val="-3"/>
                        </w:rPr>
                        <w:t> </w:t>
                      </w:r>
                      <w:r>
                        <w:rPr/>
                        <w:t>registra</w:t>
                      </w:r>
                      <w:r>
                        <w:rPr>
                          <w:spacing w:val="-4"/>
                        </w:rPr>
                        <w:t> </w:t>
                      </w:r>
                      <w:r>
                        <w:rPr/>
                        <w:t>ningún</w:t>
                      </w:r>
                      <w:r>
                        <w:rPr>
                          <w:spacing w:val="-2"/>
                        </w:rPr>
                        <w:t> movimiento.</w:t>
                      </w:r>
                    </w:p>
                  </w:txbxContent>
                </v:textbox>
                <v:stroke dashstyle="solid"/>
                <w10:wrap type="topAndBottom"/>
              </v:shape>
            </w:pict>
          </mc:Fallback>
        </mc:AlternateContent>
      </w:r>
    </w:p>
    <w:p>
      <w:pPr>
        <w:pStyle w:val="BodyText"/>
        <w:spacing w:after="0"/>
        <w:rPr>
          <w:b/>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5408">
                <wp:simplePos x="0" y="0"/>
                <wp:positionH relativeFrom="page">
                  <wp:posOffset>9525</wp:posOffset>
                </wp:positionH>
                <wp:positionV relativeFrom="page">
                  <wp:posOffset>297208</wp:posOffset>
                </wp:positionV>
                <wp:extent cx="7762875" cy="9748520"/>
                <wp:effectExtent l="0" t="0" r="0" b="0"/>
                <wp:wrapNone/>
                <wp:docPr id="1093" name="Group 1093"/>
                <wp:cNvGraphicFramePr>
                  <a:graphicFrameLocks/>
                </wp:cNvGraphicFramePr>
                <a:graphic>
                  <a:graphicData uri="http://schemas.microsoft.com/office/word/2010/wordprocessingGroup">
                    <wpg:wgp>
                      <wpg:cNvPr id="1093" name="Group 1093"/>
                      <wpg:cNvGrpSpPr/>
                      <wpg:grpSpPr>
                        <a:xfrm>
                          <a:off x="0" y="0"/>
                          <a:ext cx="7762875" cy="9748520"/>
                          <a:chExt cx="7762875" cy="9748520"/>
                        </a:xfrm>
                      </wpg:grpSpPr>
                      <pic:pic>
                        <pic:nvPicPr>
                          <pic:cNvPr id="1094" name="Image 1094"/>
                          <pic:cNvPicPr/>
                        </pic:nvPicPr>
                        <pic:blipFill>
                          <a:blip r:embed="rId5" cstate="print"/>
                          <a:stretch>
                            <a:fillRect/>
                          </a:stretch>
                        </pic:blipFill>
                        <pic:spPr>
                          <a:xfrm>
                            <a:off x="0" y="0"/>
                            <a:ext cx="7762874" cy="9748489"/>
                          </a:xfrm>
                          <a:prstGeom prst="rect">
                            <a:avLst/>
                          </a:prstGeom>
                        </pic:spPr>
                      </pic:pic>
                      <wps:wsp>
                        <wps:cNvPr id="1095" name="Graphic 1095"/>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1096" name="Image 1096"/>
                          <pic:cNvPicPr/>
                        </pic:nvPicPr>
                        <pic:blipFill>
                          <a:blip r:embed="rId110" cstate="print"/>
                          <a:stretch>
                            <a:fillRect/>
                          </a:stretch>
                        </pic:blipFill>
                        <pic:spPr>
                          <a:xfrm>
                            <a:off x="1527809" y="5227291"/>
                            <a:ext cx="4416806" cy="1931924"/>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71072" id="docshapegroup1040" coordorigin="15,468" coordsize="12225,15352">
                <v:shape style="position:absolute;left:15;top:468;width:12225;height:15352" type="#_x0000_t75" id="docshape1041" stroked="false">
                  <v:imagedata r:id="rId5" o:title=""/>
                </v:shape>
                <v:rect style="position:absolute;left:1673;top:2028;width:8897;height:15" id="docshape1042" filled="true" fillcolor="#000000" stroked="false">
                  <v:fill type="solid"/>
                </v:rect>
                <v:shape style="position:absolute;left:2421;top:8700;width:6956;height:3043" type="#_x0000_t75" id="docshape1043" stroked="false">
                  <v:imagedata r:id="rId110" o:title=""/>
                </v:shape>
                <w10:wrap type="none"/>
              </v:group>
            </w:pict>
          </mc:Fallback>
        </mc:AlternateContent>
      </w:r>
      <w:r>
        <w:rPr>
          <w:color w:val="172951"/>
          <w:sz w:val="20"/>
        </w:rPr>
        <w:t>Pág.</w:t>
      </w:r>
      <w:r>
        <w:rPr>
          <w:color w:val="172951"/>
          <w:spacing w:val="-7"/>
          <w:sz w:val="20"/>
        </w:rPr>
        <w:t> </w:t>
      </w:r>
      <w:r>
        <w:rPr>
          <w:color w:val="172951"/>
          <w:spacing w:val="-5"/>
          <w:sz w:val="20"/>
        </w:rPr>
        <w:t>211</w:t>
      </w:r>
    </w:p>
    <w:p>
      <w:pPr>
        <w:pStyle w:val="BodyText"/>
      </w:pPr>
    </w:p>
    <w:p>
      <w:pPr>
        <w:pStyle w:val="BodyText"/>
        <w:spacing w:before="148"/>
      </w:pPr>
    </w:p>
    <w:p>
      <w:pPr>
        <w:pStyle w:val="Heading5"/>
        <w:spacing w:line="360" w:lineRule="auto"/>
        <w:ind w:right="982"/>
        <w:jc w:val="both"/>
      </w:pPr>
      <w:bookmarkStart w:name="_bookmark156" w:id="157"/>
      <w:bookmarkEnd w:id="157"/>
      <w:r>
        <w:rPr>
          <w:b w:val="0"/>
        </w:rPr>
      </w:r>
      <w:r>
        <w:rPr/>
        <w:t>NICSP 24 PRESENTACION DE INFORMACION DEL PRESUPUESTO EN LOS ESTADOS </w:t>
      </w:r>
      <w:r>
        <w:rPr>
          <w:spacing w:val="-2"/>
        </w:rPr>
        <w:t>FINANCIEROS</w:t>
      </w:r>
    </w:p>
    <w:p>
      <w:pPr>
        <w:pStyle w:val="BodyText"/>
        <w:rPr>
          <w:b/>
        </w:rPr>
      </w:pPr>
    </w:p>
    <w:p>
      <w:pPr>
        <w:pStyle w:val="BodyText"/>
        <w:spacing w:before="29"/>
        <w:rPr>
          <w:b/>
        </w:rPr>
      </w:pPr>
    </w:p>
    <w:p>
      <w:pPr>
        <w:spacing w:before="0"/>
        <w:ind w:left="622" w:right="0" w:firstLine="0"/>
        <w:jc w:val="both"/>
        <w:rPr>
          <w:b/>
          <w:sz w:val="22"/>
        </w:rPr>
      </w:pPr>
      <w:bookmarkStart w:name="_bookmark157" w:id="158"/>
      <w:bookmarkEnd w:id="158"/>
      <w:r>
        <w:rPr/>
      </w:r>
      <w:r>
        <w:rPr>
          <w:b/>
          <w:sz w:val="22"/>
        </w:rPr>
        <w:t>NOTA</w:t>
      </w:r>
      <w:r>
        <w:rPr>
          <w:b/>
          <w:spacing w:val="-1"/>
          <w:sz w:val="22"/>
        </w:rPr>
        <w:t> </w:t>
      </w:r>
      <w:r>
        <w:rPr>
          <w:b/>
          <w:sz w:val="22"/>
        </w:rPr>
        <w:t>N° </w:t>
      </w:r>
      <w:r>
        <w:rPr>
          <w:b/>
          <w:spacing w:val="-5"/>
          <w:sz w:val="22"/>
        </w:rPr>
        <w:t>93</w:t>
      </w:r>
    </w:p>
    <w:p>
      <w:pPr>
        <w:pStyle w:val="BodyText"/>
        <w:rPr>
          <w:b/>
        </w:rPr>
      </w:pPr>
    </w:p>
    <w:p>
      <w:pPr>
        <w:pStyle w:val="BodyText"/>
        <w:spacing w:before="114"/>
        <w:rPr>
          <w:b/>
        </w:rPr>
      </w:pPr>
    </w:p>
    <w:p>
      <w:pPr>
        <w:pStyle w:val="BodyText"/>
        <w:spacing w:line="259" w:lineRule="auto"/>
        <w:ind w:left="622" w:right="979"/>
        <w:jc w:val="both"/>
      </w:pPr>
      <w:r>
        <w:rPr/>
        <w:t>A</w:t>
      </w:r>
      <w:r>
        <w:rPr>
          <w:spacing w:val="-7"/>
        </w:rPr>
        <w:t> </w:t>
      </w:r>
      <w:r>
        <w:rPr/>
        <w:t>efectos</w:t>
      </w:r>
      <w:r>
        <w:rPr>
          <w:spacing w:val="-6"/>
        </w:rPr>
        <w:t> </w:t>
      </w:r>
      <w:r>
        <w:rPr/>
        <w:t>de</w:t>
      </w:r>
      <w:r>
        <w:rPr>
          <w:spacing w:val="-6"/>
        </w:rPr>
        <w:t> </w:t>
      </w:r>
      <w:r>
        <w:rPr/>
        <w:t>cumplir</w:t>
      </w:r>
      <w:r>
        <w:rPr>
          <w:spacing w:val="-8"/>
        </w:rPr>
        <w:t> </w:t>
      </w:r>
      <w:r>
        <w:rPr/>
        <w:t>con</w:t>
      </w:r>
      <w:r>
        <w:rPr>
          <w:spacing w:val="-7"/>
        </w:rPr>
        <w:t> </w:t>
      </w:r>
      <w:r>
        <w:rPr/>
        <w:t>la</w:t>
      </w:r>
      <w:r>
        <w:rPr>
          <w:spacing w:val="-8"/>
        </w:rPr>
        <w:t> </w:t>
      </w:r>
      <w:r>
        <w:rPr/>
        <w:t>integración</w:t>
      </w:r>
      <w:r>
        <w:rPr>
          <w:spacing w:val="-7"/>
        </w:rPr>
        <w:t> </w:t>
      </w:r>
      <w:r>
        <w:rPr/>
        <w:t>del</w:t>
      </w:r>
      <w:r>
        <w:rPr>
          <w:spacing w:val="-8"/>
        </w:rPr>
        <w:t> </w:t>
      </w:r>
      <w:r>
        <w:rPr/>
        <w:t>presupuesto</w:t>
      </w:r>
      <w:r>
        <w:rPr>
          <w:spacing w:val="-9"/>
        </w:rPr>
        <w:t> </w:t>
      </w:r>
      <w:r>
        <w:rPr/>
        <w:t>y</w:t>
      </w:r>
      <w:r>
        <w:rPr>
          <w:spacing w:val="-8"/>
        </w:rPr>
        <w:t> </w:t>
      </w:r>
      <w:r>
        <w:rPr/>
        <w:t>contabilidad,</w:t>
      </w:r>
      <w:r>
        <w:rPr>
          <w:spacing w:val="-7"/>
        </w:rPr>
        <w:t> </w:t>
      </w:r>
      <w:r>
        <w:rPr/>
        <w:t>deberá</w:t>
      </w:r>
      <w:r>
        <w:rPr>
          <w:spacing w:val="-8"/>
        </w:rPr>
        <w:t> </w:t>
      </w:r>
      <w:r>
        <w:rPr/>
        <w:t>formularse</w:t>
      </w:r>
      <w:r>
        <w:rPr>
          <w:spacing w:val="-6"/>
        </w:rPr>
        <w:t> </w:t>
      </w:r>
      <w:r>
        <w:rPr/>
        <w:t>y</w:t>
      </w:r>
      <w:r>
        <w:rPr>
          <w:spacing w:val="-8"/>
        </w:rPr>
        <w:t> </w:t>
      </w:r>
      <w:r>
        <w:rPr/>
        <w:t>exponerse una conciliación entre los resultados contable y presupuestario.</w:t>
      </w:r>
    </w:p>
    <w:p>
      <w:pPr>
        <w:pStyle w:val="BodyText"/>
        <w:spacing w:line="261" w:lineRule="auto" w:before="238"/>
        <w:ind w:left="622" w:right="981"/>
        <w:jc w:val="both"/>
      </w:pPr>
      <w:r>
        <w:rPr/>
        <w:t>El</w:t>
      </w:r>
      <w:r>
        <w:rPr>
          <w:spacing w:val="-2"/>
        </w:rPr>
        <w:t> </w:t>
      </w:r>
      <w:r>
        <w:rPr/>
        <w:t>responsable contable debe revelar</w:t>
      </w:r>
      <w:r>
        <w:rPr>
          <w:spacing w:val="-1"/>
        </w:rPr>
        <w:t> </w:t>
      </w:r>
      <w:r>
        <w:rPr/>
        <w:t>un</w:t>
      </w:r>
      <w:r>
        <w:rPr>
          <w:spacing w:val="-1"/>
        </w:rPr>
        <w:t> </w:t>
      </w:r>
      <w:r>
        <w:rPr/>
        <w:t>resumen</w:t>
      </w:r>
      <w:r>
        <w:rPr>
          <w:spacing w:val="-1"/>
        </w:rPr>
        <w:t> </w:t>
      </w:r>
      <w:r>
        <w:rPr/>
        <w:t>de</w:t>
      </w:r>
      <w:r>
        <w:rPr>
          <w:spacing w:val="-1"/>
        </w:rPr>
        <w:t> </w:t>
      </w:r>
      <w:r>
        <w:rPr/>
        <w:t>la</w:t>
      </w:r>
      <w:r>
        <w:rPr>
          <w:spacing w:val="-5"/>
        </w:rPr>
        <w:t> </w:t>
      </w:r>
      <w:r>
        <w:rPr/>
        <w:t>última</w:t>
      </w:r>
      <w:r>
        <w:rPr>
          <w:spacing w:val="-2"/>
        </w:rPr>
        <w:t> </w:t>
      </w:r>
      <w:r>
        <w:rPr/>
        <w:t>liquidación</w:t>
      </w:r>
      <w:r>
        <w:rPr>
          <w:spacing w:val="-1"/>
        </w:rPr>
        <w:t> </w:t>
      </w:r>
      <w:r>
        <w:rPr/>
        <w:t>presupuestaria</w:t>
      </w:r>
      <w:r>
        <w:rPr>
          <w:spacing w:val="-2"/>
        </w:rPr>
        <w:t> </w:t>
      </w:r>
      <w:r>
        <w:rPr/>
        <w:t>presentara</w:t>
      </w:r>
      <w:r>
        <w:rPr>
          <w:spacing w:val="-2"/>
        </w:rPr>
        <w:t> </w:t>
      </w:r>
      <w:r>
        <w:rPr/>
        <w:t>a la Contraloría General de la Republica.</w:t>
      </w:r>
    </w:p>
    <w:p>
      <w:pPr>
        <w:pStyle w:val="BodyText"/>
        <w:spacing w:line="259" w:lineRule="auto" w:before="236"/>
        <w:ind w:left="622" w:right="974"/>
        <w:jc w:val="both"/>
      </w:pPr>
      <w:r>
        <w:rPr/>
        <w:t>La liquidación presupuestaria es el cierre anual de las cuentas del presupuesto institucional que la Administración debe preparar al terminar el ejercicio económico, con el cual se obtiene el resultado global de la ejecución del presupuesto anual. La última liquidación presupuestaria presentada a la Contraloría</w:t>
      </w:r>
      <w:r>
        <w:rPr>
          <w:spacing w:val="-11"/>
        </w:rPr>
        <w:t> </w:t>
      </w:r>
      <w:r>
        <w:rPr/>
        <w:t>General</w:t>
      </w:r>
      <w:r>
        <w:rPr>
          <w:spacing w:val="-11"/>
        </w:rPr>
        <w:t> </w:t>
      </w:r>
      <w:r>
        <w:rPr/>
        <w:t>de</w:t>
      </w:r>
      <w:r>
        <w:rPr>
          <w:spacing w:val="-10"/>
        </w:rPr>
        <w:t> </w:t>
      </w:r>
      <w:r>
        <w:rPr/>
        <w:t>la</w:t>
      </w:r>
      <w:r>
        <w:rPr>
          <w:spacing w:val="-12"/>
        </w:rPr>
        <w:t> </w:t>
      </w:r>
      <w:r>
        <w:rPr/>
        <w:t>República</w:t>
      </w:r>
      <w:r>
        <w:rPr>
          <w:spacing w:val="-11"/>
        </w:rPr>
        <w:t> </w:t>
      </w:r>
      <w:r>
        <w:rPr/>
        <w:t>corresponde</w:t>
      </w:r>
      <w:r>
        <w:rPr>
          <w:spacing w:val="-9"/>
        </w:rPr>
        <w:t> </w:t>
      </w:r>
      <w:r>
        <w:rPr/>
        <w:t>al</w:t>
      </w:r>
      <w:r>
        <w:rPr>
          <w:spacing w:val="-8"/>
        </w:rPr>
        <w:t> </w:t>
      </w:r>
      <w:r>
        <w:rPr/>
        <w:t>informe</w:t>
      </w:r>
      <w:r>
        <w:rPr>
          <w:spacing w:val="-9"/>
        </w:rPr>
        <w:t> </w:t>
      </w:r>
      <w:r>
        <w:rPr/>
        <w:t>de</w:t>
      </w:r>
      <w:r>
        <w:rPr>
          <w:spacing w:val="-9"/>
        </w:rPr>
        <w:t> </w:t>
      </w:r>
      <w:r>
        <w:rPr/>
        <w:t>liquidación</w:t>
      </w:r>
      <w:r>
        <w:rPr>
          <w:spacing w:val="-10"/>
        </w:rPr>
        <w:t> </w:t>
      </w:r>
      <w:r>
        <w:rPr/>
        <w:t>presupuestaria</w:t>
      </w:r>
      <w:r>
        <w:rPr>
          <w:spacing w:val="-11"/>
        </w:rPr>
        <w:t> </w:t>
      </w:r>
      <w:r>
        <w:rPr/>
        <w:t>del</w:t>
      </w:r>
      <w:r>
        <w:rPr>
          <w:spacing w:val="-11"/>
        </w:rPr>
        <w:t> </w:t>
      </w:r>
      <w:r>
        <w:rPr/>
        <w:t>periodo 2025 este documento fue aprobado por el Consejo Directivo mediante Acuerdo N° 29-02-2026 de fecha</w:t>
      </w:r>
      <w:r>
        <w:rPr>
          <w:spacing w:val="-13"/>
        </w:rPr>
        <w:t> </w:t>
      </w:r>
      <w:r>
        <w:rPr/>
        <w:t>6</w:t>
      </w:r>
      <w:r>
        <w:rPr>
          <w:spacing w:val="-12"/>
        </w:rPr>
        <w:t> </w:t>
      </w:r>
      <w:r>
        <w:rPr/>
        <w:t>de</w:t>
      </w:r>
      <w:r>
        <w:rPr>
          <w:spacing w:val="-13"/>
        </w:rPr>
        <w:t> </w:t>
      </w:r>
      <w:r>
        <w:rPr/>
        <w:t>febrero</w:t>
      </w:r>
      <w:r>
        <w:rPr>
          <w:spacing w:val="-11"/>
        </w:rPr>
        <w:t> </w:t>
      </w:r>
      <w:r>
        <w:rPr/>
        <w:t>de</w:t>
      </w:r>
      <w:r>
        <w:rPr>
          <w:spacing w:val="-11"/>
        </w:rPr>
        <w:t> </w:t>
      </w:r>
      <w:r>
        <w:rPr/>
        <w:t>2026</w:t>
      </w:r>
      <w:r>
        <w:rPr>
          <w:spacing w:val="-13"/>
        </w:rPr>
        <w:t> </w:t>
      </w:r>
      <w:r>
        <w:rPr/>
        <w:t>y</w:t>
      </w:r>
      <w:r>
        <w:rPr>
          <w:spacing w:val="-13"/>
        </w:rPr>
        <w:t> </w:t>
      </w:r>
      <w:r>
        <w:rPr/>
        <w:t>remitido</w:t>
      </w:r>
      <w:r>
        <w:rPr>
          <w:spacing w:val="-11"/>
        </w:rPr>
        <w:t> </w:t>
      </w:r>
      <w:r>
        <w:rPr/>
        <w:t>a</w:t>
      </w:r>
      <w:r>
        <w:rPr>
          <w:spacing w:val="-14"/>
        </w:rPr>
        <w:t> </w:t>
      </w:r>
      <w:r>
        <w:rPr/>
        <w:t>entes</w:t>
      </w:r>
      <w:r>
        <w:rPr>
          <w:spacing w:val="-13"/>
        </w:rPr>
        <w:t> </w:t>
      </w:r>
      <w:r>
        <w:rPr/>
        <w:t>externos</w:t>
      </w:r>
      <w:r>
        <w:rPr>
          <w:spacing w:val="-13"/>
        </w:rPr>
        <w:t> </w:t>
      </w:r>
      <w:r>
        <w:rPr/>
        <w:t>mediante</w:t>
      </w:r>
      <w:r>
        <w:rPr>
          <w:spacing w:val="-11"/>
        </w:rPr>
        <w:t> </w:t>
      </w:r>
      <w:r>
        <w:rPr/>
        <w:t>oficios</w:t>
      </w:r>
      <w:r>
        <w:rPr>
          <w:spacing w:val="-11"/>
        </w:rPr>
        <w:t> </w:t>
      </w:r>
      <w:r>
        <w:rPr/>
        <w:t>IMAS-GG-0214-2026</w:t>
      </w:r>
      <w:r>
        <w:rPr>
          <w:spacing w:val="-13"/>
        </w:rPr>
        <w:t> </w:t>
      </w:r>
      <w:r>
        <w:rPr/>
        <w:t>e</w:t>
      </w:r>
      <w:r>
        <w:rPr>
          <w:spacing w:val="-11"/>
        </w:rPr>
        <w:t> </w:t>
      </w:r>
      <w:r>
        <w:rPr/>
        <w:t>IMAS-GG-0216-2026 a la Contraloría General de la República y Secretaría Técnica de la Autoridad Presupuestaria, respectivamente: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1"/>
      </w:pPr>
    </w:p>
    <w:p>
      <w:pPr>
        <w:pStyle w:val="BodyText"/>
        <w:spacing w:line="259" w:lineRule="auto"/>
        <w:ind w:left="622" w:right="974"/>
        <w:jc w:val="both"/>
      </w:pPr>
      <w:r>
        <w:rPr/>
        <w:t>La Administración del Instituto Mixto de Ayuda Social (IMAS) es responsable de la formulación, aprobación, ejecución, control y evaluación del proceso presupuestario, resumido en el estado de liquidación presupuestaria</w:t>
      </w:r>
      <w:r>
        <w:rPr>
          <w:spacing w:val="-1"/>
        </w:rPr>
        <w:t> </w:t>
      </w:r>
      <w:r>
        <w:rPr/>
        <w:t>por el año terminado el 31</w:t>
      </w:r>
      <w:r>
        <w:rPr>
          <w:spacing w:val="-4"/>
        </w:rPr>
        <w:t> </w:t>
      </w:r>
      <w:r>
        <w:rPr/>
        <w:t>de diciembre del 2025 de conformidad con las Normas Técnicas sobre Presupuesto Público N-1-2012-DC-DFOE y Reformada por las resoluciones del</w:t>
      </w:r>
      <w:r>
        <w:rPr>
          <w:spacing w:val="-1"/>
        </w:rPr>
        <w:t> </w:t>
      </w:r>
      <w:r>
        <w:rPr/>
        <w:t>Despacho Contralor No. R-DC-064-2013</w:t>
      </w:r>
      <w:r>
        <w:rPr>
          <w:spacing w:val="-1"/>
        </w:rPr>
        <w:t> </w:t>
      </w:r>
      <w:r>
        <w:rPr/>
        <w:t>de las quince horas del</w:t>
      </w:r>
      <w:r>
        <w:rPr>
          <w:spacing w:val="-1"/>
        </w:rPr>
        <w:t> </w:t>
      </w:r>
      <w:r>
        <w:rPr/>
        <w:t>nueve de mayo de dos mil</w:t>
      </w:r>
      <w:r>
        <w:rPr>
          <w:spacing w:val="-1"/>
        </w:rPr>
        <w:t> </w:t>
      </w:r>
      <w:r>
        <w:rPr/>
        <w:t>trece publicada,</w:t>
      </w:r>
      <w:r>
        <w:rPr>
          <w:spacing w:val="-9"/>
        </w:rPr>
        <w:t> </w:t>
      </w:r>
      <w:r>
        <w:rPr/>
        <w:t>R-DC-73-2020</w:t>
      </w:r>
      <w:r>
        <w:rPr>
          <w:spacing w:val="-11"/>
        </w:rPr>
        <w:t> </w:t>
      </w:r>
      <w:r>
        <w:rPr/>
        <w:t>de</w:t>
      </w:r>
      <w:r>
        <w:rPr>
          <w:spacing w:val="-9"/>
        </w:rPr>
        <w:t> </w:t>
      </w:r>
      <w:r>
        <w:rPr/>
        <w:t>las</w:t>
      </w:r>
      <w:r>
        <w:rPr>
          <w:spacing w:val="-9"/>
        </w:rPr>
        <w:t> </w:t>
      </w:r>
      <w:r>
        <w:rPr/>
        <w:t>ocho</w:t>
      </w:r>
      <w:r>
        <w:rPr>
          <w:spacing w:val="-9"/>
        </w:rPr>
        <w:t> </w:t>
      </w:r>
      <w:r>
        <w:rPr/>
        <w:t>horas</w:t>
      </w:r>
      <w:r>
        <w:rPr>
          <w:spacing w:val="-9"/>
        </w:rPr>
        <w:t> </w:t>
      </w:r>
      <w:r>
        <w:rPr/>
        <w:t>del</w:t>
      </w:r>
      <w:r>
        <w:rPr>
          <w:spacing w:val="-10"/>
        </w:rPr>
        <w:t> </w:t>
      </w:r>
      <w:r>
        <w:rPr/>
        <w:t>dieciocho</w:t>
      </w:r>
      <w:r>
        <w:rPr>
          <w:spacing w:val="-9"/>
        </w:rPr>
        <w:t> </w:t>
      </w:r>
      <w:r>
        <w:rPr/>
        <w:t>de</w:t>
      </w:r>
      <w:r>
        <w:rPr>
          <w:spacing w:val="-9"/>
        </w:rPr>
        <w:t> </w:t>
      </w:r>
      <w:r>
        <w:rPr/>
        <w:t>setiembre</w:t>
      </w:r>
      <w:r>
        <w:rPr>
          <w:spacing w:val="-9"/>
        </w:rPr>
        <w:t> </w:t>
      </w:r>
      <w:r>
        <w:rPr/>
        <w:t>de</w:t>
      </w:r>
      <w:r>
        <w:rPr>
          <w:spacing w:val="-8"/>
        </w:rPr>
        <w:t> </w:t>
      </w:r>
      <w:r>
        <w:rPr/>
        <w:t>dos</w:t>
      </w:r>
      <w:r>
        <w:rPr>
          <w:spacing w:val="-9"/>
        </w:rPr>
        <w:t> </w:t>
      </w:r>
      <w:r>
        <w:rPr/>
        <w:t>mil</w:t>
      </w:r>
      <w:r>
        <w:rPr>
          <w:spacing w:val="-13"/>
        </w:rPr>
        <w:t> </w:t>
      </w:r>
      <w:r>
        <w:rPr/>
        <w:t>veinte,</w:t>
      </w:r>
      <w:r>
        <w:rPr>
          <w:spacing w:val="-9"/>
        </w:rPr>
        <w:t> </w:t>
      </w:r>
      <w:r>
        <w:rPr/>
        <w:t>y</w:t>
      </w:r>
      <w:r>
        <w:rPr>
          <w:spacing w:val="-11"/>
        </w:rPr>
        <w:t> </w:t>
      </w:r>
      <w:r>
        <w:rPr/>
        <w:t>R-DC-117-2022</w:t>
      </w:r>
      <w:r>
        <w:rPr>
          <w:spacing w:val="-14"/>
        </w:rPr>
        <w:t> </w:t>
      </w:r>
      <w:r>
        <w:rPr/>
        <w:t>de</w:t>
      </w:r>
      <w:r>
        <w:rPr>
          <w:spacing w:val="-14"/>
        </w:rPr>
        <w:t> </w:t>
      </w:r>
      <w:r>
        <w:rPr/>
        <w:t>las</w:t>
      </w:r>
      <w:r>
        <w:rPr>
          <w:spacing w:val="-10"/>
        </w:rPr>
        <w:t> </w:t>
      </w:r>
      <w:r>
        <w:rPr/>
        <w:t>de</w:t>
      </w:r>
      <w:r>
        <w:rPr>
          <w:spacing w:val="-11"/>
        </w:rPr>
        <w:t> </w:t>
      </w:r>
      <w:r>
        <w:rPr/>
        <w:t>las</w:t>
      </w:r>
      <w:r>
        <w:rPr>
          <w:spacing w:val="-13"/>
        </w:rPr>
        <w:t> </w:t>
      </w:r>
      <w:r>
        <w:rPr/>
        <w:t>catorce</w:t>
      </w:r>
      <w:r>
        <w:rPr>
          <w:spacing w:val="-13"/>
        </w:rPr>
        <w:t> </w:t>
      </w:r>
      <w:r>
        <w:rPr/>
        <w:t>horas</w:t>
      </w:r>
      <w:r>
        <w:rPr>
          <w:spacing w:val="-11"/>
        </w:rPr>
        <w:t> </w:t>
      </w:r>
      <w:r>
        <w:rPr/>
        <w:t>del</w:t>
      </w:r>
      <w:r>
        <w:rPr>
          <w:spacing w:val="-14"/>
        </w:rPr>
        <w:t> </w:t>
      </w:r>
      <w:r>
        <w:rPr/>
        <w:t>once</w:t>
      </w:r>
      <w:r>
        <w:rPr>
          <w:spacing w:val="-13"/>
        </w:rPr>
        <w:t> </w:t>
      </w:r>
      <w:r>
        <w:rPr/>
        <w:t>de</w:t>
      </w:r>
      <w:r>
        <w:rPr>
          <w:spacing w:val="-11"/>
        </w:rPr>
        <w:t> </w:t>
      </w:r>
      <w:r>
        <w:rPr/>
        <w:t>noviembre</w:t>
      </w:r>
      <w:r>
        <w:rPr>
          <w:spacing w:val="-11"/>
        </w:rPr>
        <w:t> </w:t>
      </w:r>
      <w:r>
        <w:rPr/>
        <w:t>de</w:t>
      </w:r>
      <w:r>
        <w:rPr>
          <w:spacing w:val="-11"/>
        </w:rPr>
        <w:t> </w:t>
      </w:r>
      <w:r>
        <w:rPr/>
        <w:t>dos</w:t>
      </w:r>
      <w:r>
        <w:rPr>
          <w:spacing w:val="-13"/>
        </w:rPr>
        <w:t> </w:t>
      </w:r>
      <w:r>
        <w:rPr/>
        <w:t>mil</w:t>
      </w:r>
      <w:r>
        <w:rPr>
          <w:spacing w:val="-14"/>
        </w:rPr>
        <w:t> </w:t>
      </w:r>
      <w:r>
        <w:rPr/>
        <w:t>veintidós;</w:t>
      </w:r>
      <w:r>
        <w:rPr>
          <w:spacing w:val="-12"/>
        </w:rPr>
        <w:t> </w:t>
      </w:r>
      <w:r>
        <w:rPr/>
        <w:t>con</w:t>
      </w:r>
      <w:r>
        <w:rPr>
          <w:spacing w:val="-14"/>
        </w:rPr>
        <w:t> </w:t>
      </w:r>
      <w:r>
        <w:rPr/>
        <w:t>el</w:t>
      </w:r>
      <w:r>
        <w:rPr>
          <w:spacing w:val="-14"/>
        </w:rPr>
        <w:t> </w:t>
      </w:r>
      <w:r>
        <w:rPr/>
        <w:t>marco</w:t>
      </w:r>
      <w:r>
        <w:rPr>
          <w:spacing w:val="-11"/>
        </w:rPr>
        <w:t> </w:t>
      </w:r>
      <w:r>
        <w:rPr/>
        <w:t>legal</w:t>
      </w:r>
      <w:r>
        <w:rPr>
          <w:spacing w:val="-13"/>
        </w:rPr>
        <w:t> </w:t>
      </w:r>
      <w:r>
        <w:rPr/>
        <w:t>y</w:t>
      </w:r>
      <w:r>
        <w:rPr>
          <w:spacing w:val="-13"/>
        </w:rPr>
        <w:t> </w:t>
      </w:r>
      <w:r>
        <w:rPr/>
        <w:t>demás normativa técnica aplicable, con el marco legal y demás normativa técnica aplicable.</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5920">
                <wp:simplePos x="0" y="0"/>
                <wp:positionH relativeFrom="page">
                  <wp:posOffset>9525</wp:posOffset>
                </wp:positionH>
                <wp:positionV relativeFrom="page">
                  <wp:posOffset>297208</wp:posOffset>
                </wp:positionV>
                <wp:extent cx="7762875" cy="9748520"/>
                <wp:effectExtent l="0" t="0" r="0" b="0"/>
                <wp:wrapNone/>
                <wp:docPr id="1097" name="Group 1097"/>
                <wp:cNvGraphicFramePr>
                  <a:graphicFrameLocks/>
                </wp:cNvGraphicFramePr>
                <a:graphic>
                  <a:graphicData uri="http://schemas.microsoft.com/office/word/2010/wordprocessingGroup">
                    <wpg:wgp>
                      <wpg:cNvPr id="1097" name="Group 1097"/>
                      <wpg:cNvGrpSpPr/>
                      <wpg:grpSpPr>
                        <a:xfrm>
                          <a:off x="0" y="0"/>
                          <a:ext cx="7762875" cy="9748520"/>
                          <a:chExt cx="7762875" cy="9748520"/>
                        </a:xfrm>
                      </wpg:grpSpPr>
                      <pic:pic>
                        <pic:nvPicPr>
                          <pic:cNvPr id="1098" name="Image 1098"/>
                          <pic:cNvPicPr/>
                        </pic:nvPicPr>
                        <pic:blipFill>
                          <a:blip r:embed="rId5" cstate="print"/>
                          <a:stretch>
                            <a:fillRect/>
                          </a:stretch>
                        </pic:blipFill>
                        <pic:spPr>
                          <a:xfrm>
                            <a:off x="0" y="0"/>
                            <a:ext cx="7762874" cy="9748489"/>
                          </a:xfrm>
                          <a:prstGeom prst="rect">
                            <a:avLst/>
                          </a:prstGeom>
                        </pic:spPr>
                      </pic:pic>
                      <wps:wsp>
                        <wps:cNvPr id="1099" name="Graphic 1099"/>
                        <wps:cNvSpPr/>
                        <wps:spPr>
                          <a:xfrm>
                            <a:off x="1053007" y="990837"/>
                            <a:ext cx="5736590" cy="7703820"/>
                          </a:xfrm>
                          <a:custGeom>
                            <a:avLst/>
                            <a:gdLst/>
                            <a:ahLst/>
                            <a:cxnLst/>
                            <a:rect l="l" t="t" r="r" b="b"/>
                            <a:pathLst>
                              <a:path w="5736590" h="7703820">
                                <a:moveTo>
                                  <a:pt x="21336" y="1263472"/>
                                </a:moveTo>
                                <a:lnTo>
                                  <a:pt x="15240" y="1263472"/>
                                </a:lnTo>
                                <a:lnTo>
                                  <a:pt x="15240" y="7697152"/>
                                </a:lnTo>
                                <a:lnTo>
                                  <a:pt x="21336" y="7697152"/>
                                </a:lnTo>
                                <a:lnTo>
                                  <a:pt x="21336" y="1263472"/>
                                </a:lnTo>
                                <a:close/>
                              </a:path>
                              <a:path w="5736590" h="7703820">
                                <a:moveTo>
                                  <a:pt x="5649214" y="0"/>
                                </a:moveTo>
                                <a:lnTo>
                                  <a:pt x="0" y="0"/>
                                </a:lnTo>
                                <a:lnTo>
                                  <a:pt x="0" y="9131"/>
                                </a:lnTo>
                                <a:lnTo>
                                  <a:pt x="5649214" y="9131"/>
                                </a:lnTo>
                                <a:lnTo>
                                  <a:pt x="5649214" y="0"/>
                                </a:lnTo>
                                <a:close/>
                              </a:path>
                              <a:path w="5736590" h="7703820">
                                <a:moveTo>
                                  <a:pt x="5736018" y="7697165"/>
                                </a:moveTo>
                                <a:lnTo>
                                  <a:pt x="5729986" y="7697165"/>
                                </a:lnTo>
                                <a:lnTo>
                                  <a:pt x="21336" y="7697165"/>
                                </a:lnTo>
                                <a:lnTo>
                                  <a:pt x="15240" y="7697165"/>
                                </a:lnTo>
                                <a:lnTo>
                                  <a:pt x="15240" y="7703248"/>
                                </a:lnTo>
                                <a:lnTo>
                                  <a:pt x="21336" y="7703248"/>
                                </a:lnTo>
                                <a:lnTo>
                                  <a:pt x="5729935" y="7703248"/>
                                </a:lnTo>
                                <a:lnTo>
                                  <a:pt x="5736018" y="7703248"/>
                                </a:lnTo>
                                <a:lnTo>
                                  <a:pt x="5736018" y="7697165"/>
                                </a:lnTo>
                                <a:close/>
                              </a:path>
                              <a:path w="5736590" h="7703820">
                                <a:moveTo>
                                  <a:pt x="5736018" y="1263472"/>
                                </a:moveTo>
                                <a:lnTo>
                                  <a:pt x="5729935" y="1263472"/>
                                </a:lnTo>
                                <a:lnTo>
                                  <a:pt x="5729935" y="7697152"/>
                                </a:lnTo>
                                <a:lnTo>
                                  <a:pt x="5736018" y="7697152"/>
                                </a:lnTo>
                                <a:lnTo>
                                  <a:pt x="5736018" y="1263472"/>
                                </a:lnTo>
                                <a:close/>
                              </a:path>
                              <a:path w="5736590" h="7703820">
                                <a:moveTo>
                                  <a:pt x="5736018" y="1257287"/>
                                </a:moveTo>
                                <a:lnTo>
                                  <a:pt x="5729986" y="1257287"/>
                                </a:lnTo>
                                <a:lnTo>
                                  <a:pt x="21336" y="1257287"/>
                                </a:lnTo>
                                <a:lnTo>
                                  <a:pt x="15240" y="1257287"/>
                                </a:lnTo>
                                <a:lnTo>
                                  <a:pt x="15240" y="1263383"/>
                                </a:lnTo>
                                <a:lnTo>
                                  <a:pt x="21336" y="1263383"/>
                                </a:lnTo>
                                <a:lnTo>
                                  <a:pt x="5729935" y="1263383"/>
                                </a:lnTo>
                                <a:lnTo>
                                  <a:pt x="5736018" y="1263383"/>
                                </a:lnTo>
                                <a:lnTo>
                                  <a:pt x="5736018" y="125728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70560" id="docshapegroup1044" coordorigin="15,468" coordsize="12225,15352">
                <v:shape style="position:absolute;left:15;top:468;width:12225;height:15352" type="#_x0000_t75" id="docshape1045" stroked="false">
                  <v:imagedata r:id="rId5" o:title=""/>
                </v:shape>
                <v:shape style="position:absolute;left:1673;top:2028;width:9034;height:12132" id="docshape1046" coordorigin="1673,2028" coordsize="9034,12132" path="m1707,4018l1697,4018,1697,14150,1707,14150,1707,4018xm10570,2028l1673,2028,1673,2043,10570,2043,10570,2028xm10706,14150l10697,14150,10697,14150,1707,14150,1697,14150,1697,14160,1707,14160,10697,14160,10697,14160,10706,14160,10706,14150xm10706,4018l10697,4018,10697,14150,10706,14150,10706,4018xm10706,4008l10697,4008,10697,4008,1707,4008,1697,4008,1697,4018,1707,4018,10697,4018,10697,4018,10706,4018,10706,400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212</w:t>
      </w:r>
    </w:p>
    <w:p>
      <w:pPr>
        <w:pStyle w:val="BodyText"/>
      </w:pPr>
    </w:p>
    <w:p>
      <w:pPr>
        <w:pStyle w:val="BodyText"/>
      </w:pPr>
    </w:p>
    <w:p>
      <w:pPr>
        <w:pStyle w:val="BodyText"/>
      </w:pPr>
    </w:p>
    <w:p>
      <w:pPr>
        <w:pStyle w:val="BodyText"/>
        <w:spacing w:before="27"/>
      </w:pPr>
    </w:p>
    <w:p>
      <w:pPr>
        <w:pStyle w:val="BodyText"/>
        <w:tabs>
          <w:tab w:pos="9489" w:val="left" w:leader="none"/>
        </w:tabs>
        <w:spacing w:before="1"/>
        <w:ind w:left="622"/>
      </w:pPr>
      <w:r>
        <w:rPr>
          <w:color w:val="FFFFFF"/>
          <w:shd w:fill="365F92" w:color="auto" w:val="clear"/>
        </w:rPr>
        <w:t>Información</w:t>
      </w:r>
      <w:r>
        <w:rPr>
          <w:color w:val="FFFFFF"/>
          <w:spacing w:val="-4"/>
          <w:shd w:fill="365F92" w:color="auto" w:val="clear"/>
        </w:rPr>
        <w:t> </w:t>
      </w:r>
      <w:r>
        <w:rPr>
          <w:color w:val="FFFFFF"/>
          <w:shd w:fill="365F92" w:color="auto" w:val="clear"/>
        </w:rPr>
        <w:t>a</w:t>
      </w:r>
      <w:r>
        <w:rPr>
          <w:color w:val="FFFFFF"/>
          <w:spacing w:val="-5"/>
          <w:shd w:fill="365F92" w:color="auto" w:val="clear"/>
        </w:rPr>
        <w:t> </w:t>
      </w:r>
      <w:r>
        <w:rPr>
          <w:color w:val="FFFFFF"/>
          <w:spacing w:val="-2"/>
          <w:shd w:fill="365F92" w:color="auto" w:val="clear"/>
        </w:rPr>
        <w:t>revelar</w:t>
      </w:r>
      <w:r>
        <w:rPr>
          <w:color w:val="FFFFFF"/>
          <w:shd w:fill="365F92" w:color="auto" w:val="clear"/>
        </w:rPr>
        <w:tab/>
      </w:r>
    </w:p>
    <w:p>
      <w:pPr>
        <w:pStyle w:val="ListParagraph"/>
        <w:numPr>
          <w:ilvl w:val="1"/>
          <w:numId w:val="82"/>
        </w:numPr>
        <w:tabs>
          <w:tab w:pos="1187" w:val="left" w:leader="none"/>
        </w:tabs>
        <w:spacing w:line="240" w:lineRule="auto" w:before="178" w:after="0"/>
        <w:ind w:left="1187" w:right="0" w:hanging="206"/>
        <w:jc w:val="left"/>
        <w:rPr>
          <w:sz w:val="22"/>
        </w:rPr>
      </w:pPr>
      <w:r>
        <w:rPr>
          <w:sz w:val="22"/>
          <w:u w:val="single"/>
        </w:rPr>
        <w:t>Bases</w:t>
      </w:r>
      <w:r>
        <w:rPr>
          <w:spacing w:val="-6"/>
          <w:sz w:val="22"/>
          <w:u w:val="single"/>
        </w:rPr>
        <w:t> </w:t>
      </w:r>
      <w:r>
        <w:rPr>
          <w:sz w:val="22"/>
          <w:u w:val="single"/>
        </w:rPr>
        <w:t>Presupuestarias</w:t>
      </w:r>
      <w:r>
        <w:rPr>
          <w:spacing w:val="-7"/>
          <w:sz w:val="22"/>
          <w:u w:val="single"/>
        </w:rPr>
        <w:t> </w:t>
      </w:r>
      <w:r>
        <w:rPr>
          <w:sz w:val="22"/>
          <w:u w:val="single"/>
        </w:rPr>
        <w:t>y</w:t>
      </w:r>
      <w:r>
        <w:rPr>
          <w:spacing w:val="-7"/>
          <w:sz w:val="22"/>
          <w:u w:val="single"/>
        </w:rPr>
        <w:t> </w:t>
      </w:r>
      <w:r>
        <w:rPr>
          <w:sz w:val="22"/>
          <w:u w:val="single"/>
        </w:rPr>
        <w:t>Contables</w:t>
      </w:r>
      <w:r>
        <w:rPr>
          <w:spacing w:val="-4"/>
          <w:sz w:val="22"/>
          <w:u w:val="single"/>
        </w:rPr>
        <w:t> </w:t>
      </w:r>
      <w:r>
        <w:rPr>
          <w:sz w:val="22"/>
          <w:u w:val="single"/>
        </w:rPr>
        <w:t>(Párrafo</w:t>
      </w:r>
      <w:r>
        <w:rPr>
          <w:spacing w:val="-5"/>
          <w:sz w:val="22"/>
          <w:u w:val="single"/>
        </w:rPr>
        <w:t> 39</w:t>
      </w:r>
    </w:p>
    <w:p>
      <w:pPr>
        <w:pStyle w:val="BodyText"/>
        <w:spacing w:before="45"/>
      </w:pPr>
    </w:p>
    <w:p>
      <w:pPr>
        <w:pStyle w:val="Heading6"/>
        <w:spacing w:before="1"/>
        <w:ind w:left="730"/>
      </w:pPr>
      <w:r>
        <w:rPr>
          <w:spacing w:val="-2"/>
        </w:rPr>
        <w:t>Revelación:</w:t>
      </w:r>
    </w:p>
    <w:p>
      <w:pPr>
        <w:pStyle w:val="BodyText"/>
        <w:spacing w:line="276" w:lineRule="auto" w:before="178"/>
        <w:ind w:left="730" w:right="924" w:firstLine="55"/>
        <w:jc w:val="both"/>
      </w:pPr>
      <w:r>
        <w:rPr/>
        <w:t>De conformidad con el párrafo 39 de la NICSP 24 – Presentación de Información del Presupuesto en los</w:t>
      </w:r>
      <w:r>
        <w:rPr>
          <w:spacing w:val="-1"/>
        </w:rPr>
        <w:t> </w:t>
      </w:r>
      <w:r>
        <w:rPr/>
        <w:t>Estados</w:t>
      </w:r>
      <w:r>
        <w:rPr>
          <w:spacing w:val="-1"/>
        </w:rPr>
        <w:t> </w:t>
      </w:r>
      <w:r>
        <w:rPr/>
        <w:t>Financieros,</w:t>
      </w:r>
      <w:r>
        <w:rPr>
          <w:spacing w:val="-2"/>
        </w:rPr>
        <w:t> </w:t>
      </w:r>
      <w:r>
        <w:rPr/>
        <w:t>el</w:t>
      </w:r>
      <w:r>
        <w:rPr>
          <w:spacing w:val="-1"/>
        </w:rPr>
        <w:t> </w:t>
      </w:r>
      <w:r>
        <w:rPr/>
        <w:t>Instituto</w:t>
      </w:r>
      <w:r>
        <w:rPr>
          <w:spacing w:val="-2"/>
        </w:rPr>
        <w:t> </w:t>
      </w:r>
      <w:r>
        <w:rPr/>
        <w:t>Mixto</w:t>
      </w:r>
      <w:r>
        <w:rPr>
          <w:spacing w:val="-1"/>
        </w:rPr>
        <w:t> </w:t>
      </w:r>
      <w:r>
        <w:rPr/>
        <w:t>de</w:t>
      </w:r>
      <w:r>
        <w:rPr>
          <w:spacing w:val="-2"/>
        </w:rPr>
        <w:t> </w:t>
      </w:r>
      <w:r>
        <w:rPr/>
        <w:t>Ayuda</w:t>
      </w:r>
      <w:r>
        <w:rPr>
          <w:spacing w:val="-4"/>
        </w:rPr>
        <w:t> </w:t>
      </w:r>
      <w:r>
        <w:rPr/>
        <w:t>Social</w:t>
      </w:r>
      <w:r>
        <w:rPr>
          <w:spacing w:val="-1"/>
        </w:rPr>
        <w:t> </w:t>
      </w:r>
      <w:r>
        <w:rPr/>
        <w:t>(IMAS) revela</w:t>
      </w:r>
      <w:r>
        <w:rPr>
          <w:spacing w:val="-1"/>
        </w:rPr>
        <w:t> </w:t>
      </w:r>
      <w:r>
        <w:rPr/>
        <w:t>las</w:t>
      </w:r>
      <w:r>
        <w:rPr>
          <w:spacing w:val="-1"/>
        </w:rPr>
        <w:t> </w:t>
      </w:r>
      <w:r>
        <w:rPr/>
        <w:t>bases utilizadas para la</w:t>
      </w:r>
      <w:r>
        <w:rPr>
          <w:spacing w:val="-6"/>
        </w:rPr>
        <w:t> </w:t>
      </w:r>
      <w:r>
        <w:rPr/>
        <w:t>preparación</w:t>
      </w:r>
      <w:r>
        <w:rPr>
          <w:spacing w:val="-4"/>
        </w:rPr>
        <w:t> </w:t>
      </w:r>
      <w:r>
        <w:rPr/>
        <w:t>y</w:t>
      </w:r>
      <w:r>
        <w:rPr>
          <w:spacing w:val="-6"/>
        </w:rPr>
        <w:t> </w:t>
      </w:r>
      <w:r>
        <w:rPr/>
        <w:t>presentación</w:t>
      </w:r>
      <w:r>
        <w:rPr>
          <w:spacing w:val="-4"/>
        </w:rPr>
        <w:t> </w:t>
      </w:r>
      <w:r>
        <w:rPr/>
        <w:t>del</w:t>
      </w:r>
      <w:r>
        <w:rPr>
          <w:spacing w:val="-5"/>
        </w:rPr>
        <w:t> </w:t>
      </w:r>
      <w:r>
        <w:rPr/>
        <w:t>presupuesto</w:t>
      </w:r>
      <w:r>
        <w:rPr>
          <w:spacing w:val="-4"/>
        </w:rPr>
        <w:t> </w:t>
      </w:r>
      <w:r>
        <w:rPr/>
        <w:t>aprobado</w:t>
      </w:r>
      <w:r>
        <w:rPr>
          <w:spacing w:val="-6"/>
        </w:rPr>
        <w:t> </w:t>
      </w:r>
      <w:r>
        <w:rPr/>
        <w:t>y</w:t>
      </w:r>
      <w:r>
        <w:rPr>
          <w:spacing w:val="-6"/>
        </w:rPr>
        <w:t> </w:t>
      </w:r>
      <w:r>
        <w:rPr/>
        <w:t>de</w:t>
      </w:r>
      <w:r>
        <w:rPr>
          <w:spacing w:val="-6"/>
        </w:rPr>
        <w:t> </w:t>
      </w:r>
      <w:r>
        <w:rPr/>
        <w:t>los</w:t>
      </w:r>
      <w:r>
        <w:rPr>
          <w:spacing w:val="-4"/>
        </w:rPr>
        <w:t> </w:t>
      </w:r>
      <w:r>
        <w:rPr/>
        <w:t>estados</w:t>
      </w:r>
      <w:r>
        <w:rPr>
          <w:spacing w:val="-6"/>
        </w:rPr>
        <w:t> </w:t>
      </w:r>
      <w:r>
        <w:rPr/>
        <w:t>financieros,</w:t>
      </w:r>
      <w:r>
        <w:rPr>
          <w:spacing w:val="-7"/>
        </w:rPr>
        <w:t> </w:t>
      </w:r>
      <w:r>
        <w:rPr/>
        <w:t>con</w:t>
      </w:r>
      <w:r>
        <w:rPr>
          <w:spacing w:val="-4"/>
        </w:rPr>
        <w:t> </w:t>
      </w:r>
      <w:r>
        <w:rPr/>
        <w:t>el</w:t>
      </w:r>
      <w:r>
        <w:rPr>
          <w:spacing w:val="-5"/>
        </w:rPr>
        <w:t> </w:t>
      </w:r>
      <w:r>
        <w:rPr/>
        <w:t>propósito de</w:t>
      </w:r>
      <w:r>
        <w:rPr>
          <w:spacing w:val="-10"/>
        </w:rPr>
        <w:t> </w:t>
      </w:r>
      <w:r>
        <w:rPr/>
        <w:t>permitir</w:t>
      </w:r>
      <w:r>
        <w:rPr>
          <w:spacing w:val="-8"/>
        </w:rPr>
        <w:t> </w:t>
      </w:r>
      <w:r>
        <w:rPr/>
        <w:t>a</w:t>
      </w:r>
      <w:r>
        <w:rPr>
          <w:spacing w:val="-9"/>
        </w:rPr>
        <w:t> </w:t>
      </w:r>
      <w:r>
        <w:rPr/>
        <w:t>los</w:t>
      </w:r>
      <w:r>
        <w:rPr>
          <w:spacing w:val="-7"/>
        </w:rPr>
        <w:t> </w:t>
      </w:r>
      <w:r>
        <w:rPr/>
        <w:t>usuarios</w:t>
      </w:r>
      <w:r>
        <w:rPr>
          <w:spacing w:val="-7"/>
        </w:rPr>
        <w:t> </w:t>
      </w:r>
      <w:r>
        <w:rPr/>
        <w:t>comprender</w:t>
      </w:r>
      <w:r>
        <w:rPr>
          <w:spacing w:val="-8"/>
        </w:rPr>
        <w:t> </w:t>
      </w:r>
      <w:r>
        <w:rPr/>
        <w:t>adecuadamente</w:t>
      </w:r>
      <w:r>
        <w:rPr>
          <w:spacing w:val="-9"/>
        </w:rPr>
        <w:t> </w:t>
      </w:r>
      <w:r>
        <w:rPr/>
        <w:t>la</w:t>
      </w:r>
      <w:r>
        <w:rPr>
          <w:spacing w:val="-9"/>
        </w:rPr>
        <w:t> </w:t>
      </w:r>
      <w:r>
        <w:rPr/>
        <w:t>relación</w:t>
      </w:r>
      <w:r>
        <w:rPr>
          <w:spacing w:val="-8"/>
        </w:rPr>
        <w:t> </w:t>
      </w:r>
      <w:r>
        <w:rPr/>
        <w:t>entre</w:t>
      </w:r>
      <w:r>
        <w:rPr>
          <w:spacing w:val="-9"/>
        </w:rPr>
        <w:t> </w:t>
      </w:r>
      <w:r>
        <w:rPr/>
        <w:t>la</w:t>
      </w:r>
      <w:r>
        <w:rPr>
          <w:spacing w:val="-9"/>
        </w:rPr>
        <w:t> </w:t>
      </w:r>
      <w:r>
        <w:rPr/>
        <w:t>información</w:t>
      </w:r>
      <w:r>
        <w:rPr>
          <w:spacing w:val="-8"/>
        </w:rPr>
        <w:t> </w:t>
      </w:r>
      <w:r>
        <w:rPr/>
        <w:t>presupuestaria y la información contable.</w:t>
      </w:r>
    </w:p>
    <w:p>
      <w:pPr>
        <w:pStyle w:val="BodyText"/>
        <w:spacing w:before="40"/>
      </w:pPr>
    </w:p>
    <w:p>
      <w:pPr>
        <w:pStyle w:val="BodyText"/>
        <w:spacing w:line="276" w:lineRule="auto"/>
        <w:ind w:left="730" w:right="926"/>
        <w:jc w:val="both"/>
      </w:pPr>
      <w:r>
        <w:rPr/>
        <w:t>El</w:t>
      </w:r>
      <w:r>
        <w:rPr>
          <w:spacing w:val="-10"/>
        </w:rPr>
        <w:t> </w:t>
      </w:r>
      <w:r>
        <w:rPr/>
        <w:t>presupuesto</w:t>
      </w:r>
      <w:r>
        <w:rPr>
          <w:spacing w:val="-9"/>
        </w:rPr>
        <w:t> </w:t>
      </w:r>
      <w:r>
        <w:rPr/>
        <w:t>institucional</w:t>
      </w:r>
      <w:r>
        <w:rPr>
          <w:spacing w:val="-13"/>
        </w:rPr>
        <w:t> </w:t>
      </w:r>
      <w:r>
        <w:rPr/>
        <w:t>se</w:t>
      </w:r>
      <w:r>
        <w:rPr>
          <w:spacing w:val="-11"/>
        </w:rPr>
        <w:t> </w:t>
      </w:r>
      <w:r>
        <w:rPr/>
        <w:t>elabora</w:t>
      </w:r>
      <w:r>
        <w:rPr>
          <w:spacing w:val="-10"/>
        </w:rPr>
        <w:t> </w:t>
      </w:r>
      <w:r>
        <w:rPr/>
        <w:t>y</w:t>
      </w:r>
      <w:r>
        <w:rPr>
          <w:spacing w:val="-11"/>
        </w:rPr>
        <w:t> </w:t>
      </w:r>
      <w:r>
        <w:rPr/>
        <w:t>ejecuta</w:t>
      </w:r>
      <w:r>
        <w:rPr>
          <w:spacing w:val="-10"/>
        </w:rPr>
        <w:t> </w:t>
      </w:r>
      <w:r>
        <w:rPr/>
        <w:t>sobre</w:t>
      </w:r>
      <w:r>
        <w:rPr>
          <w:spacing w:val="-11"/>
        </w:rPr>
        <w:t> </w:t>
      </w:r>
      <w:r>
        <w:rPr/>
        <w:t>la</w:t>
      </w:r>
      <w:r>
        <w:rPr>
          <w:spacing w:val="-13"/>
        </w:rPr>
        <w:t> </w:t>
      </w:r>
      <w:r>
        <w:rPr/>
        <w:t>base</w:t>
      </w:r>
      <w:r>
        <w:rPr>
          <w:spacing w:val="-11"/>
        </w:rPr>
        <w:t> </w:t>
      </w:r>
      <w:r>
        <w:rPr/>
        <w:t>de</w:t>
      </w:r>
      <w:r>
        <w:rPr>
          <w:spacing w:val="-11"/>
        </w:rPr>
        <w:t> </w:t>
      </w:r>
      <w:r>
        <w:rPr/>
        <w:t>efectivo,</w:t>
      </w:r>
      <w:r>
        <w:rPr>
          <w:spacing w:val="-9"/>
        </w:rPr>
        <w:t> </w:t>
      </w:r>
      <w:r>
        <w:rPr/>
        <w:t>conforme</w:t>
      </w:r>
      <w:r>
        <w:rPr>
          <w:spacing w:val="-11"/>
        </w:rPr>
        <w:t> </w:t>
      </w:r>
      <w:r>
        <w:rPr/>
        <w:t>a</w:t>
      </w:r>
      <w:r>
        <w:rPr>
          <w:spacing w:val="-13"/>
        </w:rPr>
        <w:t> </w:t>
      </w:r>
      <w:r>
        <w:rPr/>
        <w:t>las</w:t>
      </w:r>
      <w:r>
        <w:rPr>
          <w:spacing w:val="-9"/>
        </w:rPr>
        <w:t> </w:t>
      </w:r>
      <w:r>
        <w:rPr/>
        <w:t>disposiciones emitidas por la Contraloría General de la República y las Normas Técnicas de Presupuesto Público. Bajo esta base, los ingresos y los egresos se reconocen únicamente cuando se produce una entrada o salida real de efectivo o de sus equivalentes, sin considerar derechos adquiridos u obligaciones pendientes</w:t>
      </w:r>
      <w:r>
        <w:rPr>
          <w:spacing w:val="-3"/>
        </w:rPr>
        <w:t> </w:t>
      </w:r>
      <w:r>
        <w:rPr/>
        <w:t>de</w:t>
      </w:r>
      <w:r>
        <w:rPr>
          <w:spacing w:val="-5"/>
        </w:rPr>
        <w:t> </w:t>
      </w:r>
      <w:r>
        <w:rPr/>
        <w:t>pago.</w:t>
      </w:r>
      <w:r>
        <w:rPr>
          <w:spacing w:val="-4"/>
        </w:rPr>
        <w:t> </w:t>
      </w:r>
      <w:r>
        <w:rPr/>
        <w:t>El</w:t>
      </w:r>
      <w:r>
        <w:rPr>
          <w:spacing w:val="-3"/>
        </w:rPr>
        <w:t> </w:t>
      </w:r>
      <w:r>
        <w:rPr/>
        <w:t>presupuesto</w:t>
      </w:r>
      <w:r>
        <w:rPr>
          <w:spacing w:val="-2"/>
        </w:rPr>
        <w:t> </w:t>
      </w:r>
      <w:r>
        <w:rPr/>
        <w:t>es</w:t>
      </w:r>
      <w:r>
        <w:rPr>
          <w:spacing w:val="-2"/>
        </w:rPr>
        <w:t> </w:t>
      </w:r>
      <w:r>
        <w:rPr/>
        <w:t>un</w:t>
      </w:r>
      <w:r>
        <w:rPr>
          <w:spacing w:val="-3"/>
        </w:rPr>
        <w:t> </w:t>
      </w:r>
      <w:r>
        <w:rPr/>
        <w:t>instrumento</w:t>
      </w:r>
      <w:r>
        <w:rPr>
          <w:spacing w:val="-5"/>
        </w:rPr>
        <w:t> </w:t>
      </w:r>
      <w:r>
        <w:rPr/>
        <w:t>de</w:t>
      </w:r>
      <w:r>
        <w:rPr>
          <w:spacing w:val="-5"/>
        </w:rPr>
        <w:t> </w:t>
      </w:r>
      <w:r>
        <w:rPr/>
        <w:t>planificación</w:t>
      </w:r>
      <w:r>
        <w:rPr>
          <w:spacing w:val="-3"/>
        </w:rPr>
        <w:t> </w:t>
      </w:r>
      <w:r>
        <w:rPr/>
        <w:t>y</w:t>
      </w:r>
      <w:r>
        <w:rPr>
          <w:spacing w:val="-4"/>
        </w:rPr>
        <w:t> </w:t>
      </w:r>
      <w:r>
        <w:rPr/>
        <w:t>control</w:t>
      </w:r>
      <w:r>
        <w:rPr>
          <w:spacing w:val="-3"/>
        </w:rPr>
        <w:t> </w:t>
      </w:r>
      <w:r>
        <w:rPr/>
        <w:t>financiero</w:t>
      </w:r>
      <w:r>
        <w:rPr>
          <w:spacing w:val="-3"/>
        </w:rPr>
        <w:t> </w:t>
      </w:r>
      <w:r>
        <w:rPr/>
        <w:t>orientado al uso eficiente de los recursos públicos.</w:t>
      </w:r>
    </w:p>
    <w:p>
      <w:pPr>
        <w:spacing w:line="254" w:lineRule="auto" w:before="119"/>
        <w:ind w:left="730" w:right="922" w:firstLine="0"/>
        <w:jc w:val="both"/>
        <w:rPr>
          <w:i/>
          <w:sz w:val="23"/>
        </w:rPr>
      </w:pPr>
      <w:r>
        <w:rPr>
          <w:sz w:val="22"/>
        </w:rPr>
        <w:t>A</w:t>
      </w:r>
      <w:r>
        <w:rPr>
          <w:spacing w:val="-14"/>
          <w:sz w:val="22"/>
        </w:rPr>
        <w:t> </w:t>
      </w:r>
      <w:r>
        <w:rPr>
          <w:sz w:val="22"/>
        </w:rPr>
        <w:t>la</w:t>
      </w:r>
      <w:r>
        <w:rPr>
          <w:spacing w:val="-14"/>
          <w:sz w:val="22"/>
        </w:rPr>
        <w:t> </w:t>
      </w:r>
      <w:r>
        <w:rPr>
          <w:sz w:val="22"/>
        </w:rPr>
        <w:t>Institución</w:t>
      </w:r>
      <w:r>
        <w:rPr>
          <w:spacing w:val="-14"/>
          <w:sz w:val="22"/>
        </w:rPr>
        <w:t> </w:t>
      </w:r>
      <w:r>
        <w:rPr>
          <w:sz w:val="22"/>
        </w:rPr>
        <w:t>se</w:t>
      </w:r>
      <w:r>
        <w:rPr>
          <w:spacing w:val="-13"/>
          <w:sz w:val="22"/>
        </w:rPr>
        <w:t> </w:t>
      </w:r>
      <w:r>
        <w:rPr>
          <w:sz w:val="22"/>
        </w:rPr>
        <w:t>le</w:t>
      </w:r>
      <w:r>
        <w:rPr>
          <w:spacing w:val="-14"/>
          <w:sz w:val="22"/>
        </w:rPr>
        <w:t> </w:t>
      </w:r>
      <w:r>
        <w:rPr>
          <w:sz w:val="22"/>
        </w:rPr>
        <w:t>requiere</w:t>
      </w:r>
      <w:r>
        <w:rPr>
          <w:spacing w:val="-14"/>
          <w:sz w:val="22"/>
        </w:rPr>
        <w:t> </w:t>
      </w:r>
      <w:r>
        <w:rPr>
          <w:sz w:val="22"/>
        </w:rPr>
        <w:t>poner</w:t>
      </w:r>
      <w:r>
        <w:rPr>
          <w:spacing w:val="-14"/>
          <w:sz w:val="22"/>
        </w:rPr>
        <w:t> </w:t>
      </w:r>
      <w:r>
        <w:rPr>
          <w:sz w:val="22"/>
        </w:rPr>
        <w:t>a</w:t>
      </w:r>
      <w:r>
        <w:rPr>
          <w:spacing w:val="-13"/>
          <w:sz w:val="22"/>
        </w:rPr>
        <w:t> </w:t>
      </w:r>
      <w:r>
        <w:rPr>
          <w:sz w:val="22"/>
        </w:rPr>
        <w:t>disposición</w:t>
      </w:r>
      <w:r>
        <w:rPr>
          <w:spacing w:val="-14"/>
          <w:sz w:val="22"/>
        </w:rPr>
        <w:t> </w:t>
      </w:r>
      <w:r>
        <w:rPr>
          <w:sz w:val="22"/>
        </w:rPr>
        <w:t>pública</w:t>
      </w:r>
      <w:r>
        <w:rPr>
          <w:spacing w:val="-14"/>
          <w:sz w:val="22"/>
        </w:rPr>
        <w:t> </w:t>
      </w:r>
      <w:r>
        <w:rPr>
          <w:sz w:val="22"/>
        </w:rPr>
        <w:t>el</w:t>
      </w:r>
      <w:r>
        <w:rPr>
          <w:spacing w:val="-14"/>
          <w:sz w:val="22"/>
        </w:rPr>
        <w:t> </w:t>
      </w:r>
      <w:r>
        <w:rPr>
          <w:sz w:val="22"/>
        </w:rPr>
        <w:t>Presupuesto</w:t>
      </w:r>
      <w:r>
        <w:rPr>
          <w:spacing w:val="-13"/>
          <w:sz w:val="22"/>
        </w:rPr>
        <w:t> </w:t>
      </w:r>
      <w:r>
        <w:rPr>
          <w:sz w:val="22"/>
        </w:rPr>
        <w:t>aprobado,</w:t>
      </w:r>
      <w:r>
        <w:rPr>
          <w:spacing w:val="-13"/>
          <w:sz w:val="22"/>
        </w:rPr>
        <w:t> </w:t>
      </w:r>
      <w:r>
        <w:rPr>
          <w:sz w:val="22"/>
        </w:rPr>
        <w:t>según</w:t>
      </w:r>
      <w:r>
        <w:rPr>
          <w:spacing w:val="-13"/>
          <w:sz w:val="22"/>
        </w:rPr>
        <w:t> </w:t>
      </w:r>
      <w:r>
        <w:rPr>
          <w:sz w:val="22"/>
        </w:rPr>
        <w:t>la</w:t>
      </w:r>
      <w:r>
        <w:rPr>
          <w:spacing w:val="-14"/>
          <w:sz w:val="22"/>
        </w:rPr>
        <w:t> </w:t>
      </w:r>
      <w:r>
        <w:rPr>
          <w:sz w:val="22"/>
        </w:rPr>
        <w:t>normativa vigente,</w:t>
      </w:r>
      <w:r>
        <w:rPr>
          <w:spacing w:val="-8"/>
          <w:sz w:val="22"/>
        </w:rPr>
        <w:t> </w:t>
      </w:r>
      <w:r>
        <w:rPr>
          <w:sz w:val="22"/>
        </w:rPr>
        <w:t>muestra</w:t>
      </w:r>
      <w:r>
        <w:rPr>
          <w:spacing w:val="-9"/>
          <w:sz w:val="22"/>
        </w:rPr>
        <w:t> </w:t>
      </w:r>
      <w:r>
        <w:rPr>
          <w:sz w:val="22"/>
        </w:rPr>
        <w:t>de</w:t>
      </w:r>
      <w:r>
        <w:rPr>
          <w:spacing w:val="-10"/>
          <w:sz w:val="22"/>
        </w:rPr>
        <w:t> </w:t>
      </w:r>
      <w:r>
        <w:rPr>
          <w:sz w:val="22"/>
        </w:rPr>
        <w:t>ello</w:t>
      </w:r>
      <w:r>
        <w:rPr>
          <w:spacing w:val="-7"/>
          <w:sz w:val="22"/>
        </w:rPr>
        <w:t> </w:t>
      </w:r>
      <w:r>
        <w:rPr>
          <w:sz w:val="22"/>
        </w:rPr>
        <w:t>es</w:t>
      </w:r>
      <w:r>
        <w:rPr>
          <w:spacing w:val="-7"/>
          <w:sz w:val="22"/>
        </w:rPr>
        <w:t> </w:t>
      </w:r>
      <w:r>
        <w:rPr>
          <w:sz w:val="22"/>
        </w:rPr>
        <w:t>lo</w:t>
      </w:r>
      <w:r>
        <w:rPr>
          <w:spacing w:val="-8"/>
          <w:sz w:val="22"/>
        </w:rPr>
        <w:t> </w:t>
      </w:r>
      <w:r>
        <w:rPr>
          <w:sz w:val="22"/>
        </w:rPr>
        <w:t>indicado</w:t>
      </w:r>
      <w:r>
        <w:rPr>
          <w:spacing w:val="-8"/>
          <w:sz w:val="22"/>
        </w:rPr>
        <w:t> </w:t>
      </w:r>
      <w:r>
        <w:rPr>
          <w:sz w:val="22"/>
        </w:rPr>
        <w:t>en</w:t>
      </w:r>
      <w:r>
        <w:rPr>
          <w:spacing w:val="-8"/>
          <w:sz w:val="22"/>
        </w:rPr>
        <w:t> </w:t>
      </w:r>
      <w:r>
        <w:rPr>
          <w:sz w:val="22"/>
        </w:rPr>
        <w:t>las</w:t>
      </w:r>
      <w:r>
        <w:rPr>
          <w:spacing w:val="-7"/>
          <w:sz w:val="22"/>
        </w:rPr>
        <w:t> </w:t>
      </w:r>
      <w:r>
        <w:rPr>
          <w:sz w:val="22"/>
        </w:rPr>
        <w:t>Normas</w:t>
      </w:r>
      <w:r>
        <w:rPr>
          <w:spacing w:val="-7"/>
          <w:sz w:val="22"/>
        </w:rPr>
        <w:t> </w:t>
      </w:r>
      <w:r>
        <w:rPr>
          <w:sz w:val="22"/>
        </w:rPr>
        <w:t>Técnicas</w:t>
      </w:r>
      <w:r>
        <w:rPr>
          <w:spacing w:val="-7"/>
          <w:sz w:val="22"/>
        </w:rPr>
        <w:t> </w:t>
      </w:r>
      <w:r>
        <w:rPr>
          <w:sz w:val="22"/>
        </w:rPr>
        <w:t>de</w:t>
      </w:r>
      <w:r>
        <w:rPr>
          <w:spacing w:val="-10"/>
          <w:sz w:val="22"/>
        </w:rPr>
        <w:t> </w:t>
      </w:r>
      <w:r>
        <w:rPr>
          <w:sz w:val="22"/>
        </w:rPr>
        <w:t>Presupuestos</w:t>
      </w:r>
      <w:r>
        <w:rPr>
          <w:spacing w:val="-7"/>
          <w:sz w:val="22"/>
        </w:rPr>
        <w:t> </w:t>
      </w:r>
      <w:r>
        <w:rPr>
          <w:sz w:val="22"/>
        </w:rPr>
        <w:t>Públicos</w:t>
      </w:r>
      <w:r>
        <w:rPr>
          <w:spacing w:val="-7"/>
          <w:sz w:val="22"/>
        </w:rPr>
        <w:t> </w:t>
      </w:r>
      <w:r>
        <w:rPr>
          <w:sz w:val="22"/>
        </w:rPr>
        <w:t>emitidas</w:t>
      </w:r>
      <w:r>
        <w:rPr>
          <w:spacing w:val="-7"/>
          <w:sz w:val="22"/>
        </w:rPr>
        <w:t> </w:t>
      </w:r>
      <w:r>
        <w:rPr>
          <w:sz w:val="22"/>
        </w:rPr>
        <w:t>por la</w:t>
      </w:r>
      <w:r>
        <w:rPr>
          <w:spacing w:val="-14"/>
          <w:sz w:val="22"/>
        </w:rPr>
        <w:t> </w:t>
      </w:r>
      <w:r>
        <w:rPr>
          <w:sz w:val="22"/>
        </w:rPr>
        <w:t>Contraloría</w:t>
      </w:r>
      <w:r>
        <w:rPr>
          <w:spacing w:val="-14"/>
          <w:sz w:val="22"/>
        </w:rPr>
        <w:t> </w:t>
      </w:r>
      <w:r>
        <w:rPr>
          <w:sz w:val="22"/>
        </w:rPr>
        <w:t>General</w:t>
      </w:r>
      <w:r>
        <w:rPr>
          <w:spacing w:val="-14"/>
          <w:sz w:val="22"/>
        </w:rPr>
        <w:t> </w:t>
      </w:r>
      <w:r>
        <w:rPr>
          <w:sz w:val="22"/>
        </w:rPr>
        <w:t>de</w:t>
      </w:r>
      <w:r>
        <w:rPr>
          <w:spacing w:val="-13"/>
          <w:sz w:val="22"/>
        </w:rPr>
        <w:t> </w:t>
      </w:r>
      <w:r>
        <w:rPr>
          <w:sz w:val="22"/>
        </w:rPr>
        <w:t>la</w:t>
      </w:r>
      <w:r>
        <w:rPr>
          <w:spacing w:val="-14"/>
          <w:sz w:val="22"/>
        </w:rPr>
        <w:t> </w:t>
      </w:r>
      <w:r>
        <w:rPr>
          <w:sz w:val="22"/>
        </w:rPr>
        <w:t>República</w:t>
      </w:r>
      <w:r>
        <w:rPr>
          <w:spacing w:val="-14"/>
          <w:sz w:val="22"/>
        </w:rPr>
        <w:t> </w:t>
      </w:r>
      <w:r>
        <w:rPr>
          <w:sz w:val="22"/>
        </w:rPr>
        <w:t>2.2.3</w:t>
      </w:r>
      <w:r>
        <w:rPr>
          <w:spacing w:val="-14"/>
          <w:sz w:val="22"/>
        </w:rPr>
        <w:t> </w:t>
      </w:r>
      <w:r>
        <w:rPr>
          <w:sz w:val="22"/>
        </w:rPr>
        <w:t>Principios</w:t>
      </w:r>
      <w:r>
        <w:rPr>
          <w:spacing w:val="-13"/>
          <w:sz w:val="22"/>
        </w:rPr>
        <w:t> </w:t>
      </w:r>
      <w:r>
        <w:rPr>
          <w:sz w:val="22"/>
        </w:rPr>
        <w:t>presupuestarios.</w:t>
      </w:r>
      <w:r>
        <w:rPr>
          <w:spacing w:val="-14"/>
          <w:sz w:val="22"/>
        </w:rPr>
        <w:t> </w:t>
      </w:r>
      <w:r>
        <w:rPr>
          <w:sz w:val="22"/>
        </w:rPr>
        <w:t>En</w:t>
      </w:r>
      <w:r>
        <w:rPr>
          <w:spacing w:val="-14"/>
          <w:sz w:val="22"/>
        </w:rPr>
        <w:t> </w:t>
      </w:r>
      <w:r>
        <w:rPr>
          <w:sz w:val="22"/>
        </w:rPr>
        <w:t>concordancia</w:t>
      </w:r>
      <w:r>
        <w:rPr>
          <w:spacing w:val="-14"/>
          <w:sz w:val="22"/>
        </w:rPr>
        <w:t> </w:t>
      </w:r>
      <w:r>
        <w:rPr>
          <w:sz w:val="22"/>
        </w:rPr>
        <w:t>con</w:t>
      </w:r>
      <w:r>
        <w:rPr>
          <w:spacing w:val="-13"/>
          <w:sz w:val="22"/>
        </w:rPr>
        <w:t> </w:t>
      </w:r>
      <w:r>
        <w:rPr>
          <w:sz w:val="22"/>
        </w:rPr>
        <w:t>el</w:t>
      </w:r>
      <w:r>
        <w:rPr>
          <w:spacing w:val="-14"/>
          <w:sz w:val="22"/>
        </w:rPr>
        <w:t> </w:t>
      </w:r>
      <w:r>
        <w:rPr>
          <w:sz w:val="22"/>
        </w:rPr>
        <w:t>marco jurídico y técnico, tanto para el presupuesto institucional como para el proceso presupuestario, se deberá</w:t>
      </w:r>
      <w:r>
        <w:rPr>
          <w:spacing w:val="-5"/>
          <w:sz w:val="22"/>
        </w:rPr>
        <w:t> </w:t>
      </w:r>
      <w:r>
        <w:rPr>
          <w:sz w:val="22"/>
        </w:rPr>
        <w:t>cumplir</w:t>
      </w:r>
      <w:r>
        <w:rPr>
          <w:spacing w:val="-5"/>
          <w:sz w:val="22"/>
        </w:rPr>
        <w:t> </w:t>
      </w:r>
      <w:r>
        <w:rPr>
          <w:sz w:val="22"/>
        </w:rPr>
        <w:t>con</w:t>
      </w:r>
      <w:r>
        <w:rPr>
          <w:spacing w:val="-4"/>
          <w:sz w:val="22"/>
        </w:rPr>
        <w:t> </w:t>
      </w:r>
      <w:r>
        <w:rPr>
          <w:sz w:val="22"/>
        </w:rPr>
        <w:t>el</w:t>
      </w:r>
      <w:r>
        <w:rPr>
          <w:spacing w:val="-4"/>
          <w:sz w:val="22"/>
        </w:rPr>
        <w:t> </w:t>
      </w:r>
      <w:r>
        <w:rPr>
          <w:i/>
          <w:sz w:val="23"/>
        </w:rPr>
        <w:t>Principio</w:t>
      </w:r>
      <w:r>
        <w:rPr>
          <w:i/>
          <w:spacing w:val="-6"/>
          <w:sz w:val="23"/>
        </w:rPr>
        <w:t> </w:t>
      </w:r>
      <w:r>
        <w:rPr>
          <w:i/>
          <w:sz w:val="23"/>
        </w:rPr>
        <w:t>de</w:t>
      </w:r>
      <w:r>
        <w:rPr>
          <w:i/>
          <w:spacing w:val="-8"/>
          <w:sz w:val="23"/>
        </w:rPr>
        <w:t> </w:t>
      </w:r>
      <w:r>
        <w:rPr>
          <w:i/>
          <w:sz w:val="23"/>
        </w:rPr>
        <w:t>publicidad.</w:t>
      </w:r>
      <w:r>
        <w:rPr>
          <w:i/>
          <w:spacing w:val="-7"/>
          <w:sz w:val="23"/>
        </w:rPr>
        <w:t> </w:t>
      </w:r>
      <w:r>
        <w:rPr>
          <w:i/>
          <w:sz w:val="23"/>
        </w:rPr>
        <w:t>El</w:t>
      </w:r>
      <w:r>
        <w:rPr>
          <w:i/>
          <w:spacing w:val="-6"/>
          <w:sz w:val="23"/>
        </w:rPr>
        <w:t> </w:t>
      </w:r>
      <w:r>
        <w:rPr>
          <w:i/>
          <w:sz w:val="23"/>
        </w:rPr>
        <w:t>presupuesto</w:t>
      </w:r>
      <w:r>
        <w:rPr>
          <w:i/>
          <w:spacing w:val="-6"/>
          <w:sz w:val="23"/>
        </w:rPr>
        <w:t> </w:t>
      </w:r>
      <w:r>
        <w:rPr>
          <w:i/>
          <w:sz w:val="23"/>
        </w:rPr>
        <w:t>debe</w:t>
      </w:r>
      <w:r>
        <w:rPr>
          <w:i/>
          <w:spacing w:val="-8"/>
          <w:sz w:val="23"/>
        </w:rPr>
        <w:t> </w:t>
      </w:r>
      <w:r>
        <w:rPr>
          <w:i/>
          <w:sz w:val="23"/>
        </w:rPr>
        <w:t>ser</w:t>
      </w:r>
      <w:r>
        <w:rPr>
          <w:i/>
          <w:spacing w:val="-7"/>
          <w:sz w:val="23"/>
        </w:rPr>
        <w:t> </w:t>
      </w:r>
      <w:r>
        <w:rPr>
          <w:i/>
          <w:sz w:val="23"/>
        </w:rPr>
        <w:t>asequible</w:t>
      </w:r>
      <w:r>
        <w:rPr>
          <w:i/>
          <w:spacing w:val="-8"/>
          <w:sz w:val="23"/>
        </w:rPr>
        <w:t> </w:t>
      </w:r>
      <w:r>
        <w:rPr>
          <w:i/>
          <w:sz w:val="23"/>
        </w:rPr>
        <w:t>al</w:t>
      </w:r>
      <w:r>
        <w:rPr>
          <w:i/>
          <w:spacing w:val="-8"/>
          <w:sz w:val="23"/>
        </w:rPr>
        <w:t> </w:t>
      </w:r>
      <w:r>
        <w:rPr>
          <w:i/>
          <w:sz w:val="23"/>
        </w:rPr>
        <w:t>conocimiento público,</w:t>
      </w:r>
      <w:r>
        <w:rPr>
          <w:i/>
          <w:spacing w:val="-13"/>
          <w:sz w:val="23"/>
        </w:rPr>
        <w:t> </w:t>
      </w:r>
      <w:r>
        <w:rPr>
          <w:i/>
          <w:sz w:val="23"/>
        </w:rPr>
        <w:t>por</w:t>
      </w:r>
      <w:r>
        <w:rPr>
          <w:i/>
          <w:spacing w:val="-13"/>
          <w:sz w:val="23"/>
        </w:rPr>
        <w:t> </w:t>
      </w:r>
      <w:r>
        <w:rPr>
          <w:i/>
          <w:sz w:val="23"/>
        </w:rPr>
        <w:t>los</w:t>
      </w:r>
      <w:r>
        <w:rPr>
          <w:i/>
          <w:spacing w:val="-14"/>
          <w:sz w:val="23"/>
        </w:rPr>
        <w:t> </w:t>
      </w:r>
      <w:r>
        <w:rPr>
          <w:i/>
          <w:sz w:val="23"/>
        </w:rPr>
        <w:t>medios</w:t>
      </w:r>
      <w:r>
        <w:rPr>
          <w:i/>
          <w:spacing w:val="-12"/>
          <w:sz w:val="23"/>
        </w:rPr>
        <w:t> </w:t>
      </w:r>
      <w:r>
        <w:rPr>
          <w:i/>
          <w:sz w:val="23"/>
        </w:rPr>
        <w:t>electrónicos</w:t>
      </w:r>
      <w:r>
        <w:rPr>
          <w:i/>
          <w:spacing w:val="-12"/>
          <w:sz w:val="23"/>
        </w:rPr>
        <w:t> </w:t>
      </w:r>
      <w:r>
        <w:rPr>
          <w:i/>
          <w:sz w:val="23"/>
        </w:rPr>
        <w:t>y</w:t>
      </w:r>
      <w:r>
        <w:rPr>
          <w:i/>
          <w:spacing w:val="-14"/>
          <w:sz w:val="23"/>
        </w:rPr>
        <w:t> </w:t>
      </w:r>
      <w:r>
        <w:rPr>
          <w:i/>
          <w:sz w:val="23"/>
        </w:rPr>
        <w:t>físicos</w:t>
      </w:r>
      <w:r>
        <w:rPr>
          <w:i/>
          <w:spacing w:val="-12"/>
          <w:sz w:val="23"/>
        </w:rPr>
        <w:t> </w:t>
      </w:r>
      <w:r>
        <w:rPr>
          <w:i/>
          <w:sz w:val="23"/>
        </w:rPr>
        <w:t>disponibles.</w:t>
      </w:r>
    </w:p>
    <w:p>
      <w:pPr>
        <w:pStyle w:val="BodyText"/>
        <w:spacing w:before="5"/>
        <w:ind w:left="730" w:right="925"/>
        <w:jc w:val="both"/>
      </w:pPr>
      <w:r>
        <w:rPr/>
        <w:t>Además</w:t>
      </w:r>
      <w:r>
        <w:rPr>
          <w:spacing w:val="-1"/>
        </w:rPr>
        <w:t> </w:t>
      </w:r>
      <w:r>
        <w:rPr/>
        <w:t>de</w:t>
      </w:r>
      <w:r>
        <w:rPr>
          <w:spacing w:val="-4"/>
        </w:rPr>
        <w:t> </w:t>
      </w:r>
      <w:r>
        <w:rPr/>
        <w:t>lo</w:t>
      </w:r>
      <w:r>
        <w:rPr>
          <w:spacing w:val="-2"/>
        </w:rPr>
        <w:t> </w:t>
      </w:r>
      <w:r>
        <w:rPr/>
        <w:t>indicado</w:t>
      </w:r>
      <w:r>
        <w:rPr>
          <w:spacing w:val="-2"/>
        </w:rPr>
        <w:t> </w:t>
      </w:r>
      <w:r>
        <w:rPr/>
        <w:t>con</w:t>
      </w:r>
      <w:r>
        <w:rPr>
          <w:spacing w:val="-2"/>
        </w:rPr>
        <w:t> </w:t>
      </w:r>
      <w:r>
        <w:rPr/>
        <w:t>anterioridad</w:t>
      </w:r>
      <w:r>
        <w:rPr>
          <w:spacing w:val="-2"/>
        </w:rPr>
        <w:t> </w:t>
      </w:r>
      <w:r>
        <w:rPr/>
        <w:t>a</w:t>
      </w:r>
      <w:r>
        <w:rPr>
          <w:spacing w:val="-3"/>
        </w:rPr>
        <w:t> </w:t>
      </w:r>
      <w:r>
        <w:rPr/>
        <w:t>nivel</w:t>
      </w:r>
      <w:r>
        <w:rPr>
          <w:spacing w:val="-2"/>
        </w:rPr>
        <w:t> </w:t>
      </w:r>
      <w:r>
        <w:rPr/>
        <w:t>gubernamental</w:t>
      </w:r>
      <w:r>
        <w:rPr>
          <w:spacing w:val="-3"/>
        </w:rPr>
        <w:t> </w:t>
      </w:r>
      <w:r>
        <w:rPr/>
        <w:t>existen</w:t>
      </w:r>
      <w:r>
        <w:rPr>
          <w:spacing w:val="-2"/>
        </w:rPr>
        <w:t> </w:t>
      </w:r>
      <w:r>
        <w:rPr/>
        <w:t>directrices</w:t>
      </w:r>
      <w:r>
        <w:rPr>
          <w:spacing w:val="-1"/>
        </w:rPr>
        <w:t> </w:t>
      </w:r>
      <w:r>
        <w:rPr/>
        <w:t>de</w:t>
      </w:r>
      <w:r>
        <w:rPr>
          <w:spacing w:val="-4"/>
        </w:rPr>
        <w:t> </w:t>
      </w:r>
      <w:r>
        <w:rPr/>
        <w:t>presentación</w:t>
      </w:r>
      <w:r>
        <w:rPr>
          <w:spacing w:val="-2"/>
        </w:rPr>
        <w:t> </w:t>
      </w:r>
      <w:r>
        <w:rPr/>
        <w:t>de información la cual se hace en la página WEB.</w:t>
      </w:r>
    </w:p>
    <w:p>
      <w:pPr>
        <w:pStyle w:val="BodyText"/>
        <w:spacing w:line="251" w:lineRule="exact"/>
        <w:ind w:left="730"/>
        <w:jc w:val="both"/>
      </w:pPr>
      <w:r>
        <w:rPr/>
        <w:t>Este</w:t>
      </w:r>
      <w:r>
        <w:rPr>
          <w:spacing w:val="-4"/>
        </w:rPr>
        <w:t> </w:t>
      </w:r>
      <w:r>
        <w:rPr/>
        <w:t>se</w:t>
      </w:r>
      <w:r>
        <w:rPr>
          <w:spacing w:val="-4"/>
        </w:rPr>
        <w:t> </w:t>
      </w:r>
      <w:r>
        <w:rPr/>
        <w:t>denomina:</w:t>
      </w:r>
      <w:r>
        <w:rPr>
          <w:spacing w:val="-4"/>
        </w:rPr>
        <w:t> </w:t>
      </w:r>
      <w:r>
        <w:rPr/>
        <w:t>“Índice</w:t>
      </w:r>
      <w:r>
        <w:rPr>
          <w:spacing w:val="-5"/>
        </w:rPr>
        <w:t> </w:t>
      </w:r>
      <w:r>
        <w:rPr/>
        <w:t>de</w:t>
      </w:r>
      <w:r>
        <w:rPr>
          <w:spacing w:val="-5"/>
        </w:rPr>
        <w:t> </w:t>
      </w:r>
      <w:r>
        <w:rPr/>
        <w:t>Transparencia</w:t>
      </w:r>
      <w:r>
        <w:rPr>
          <w:spacing w:val="-4"/>
        </w:rPr>
        <w:t> </w:t>
      </w:r>
      <w:r>
        <w:rPr/>
        <w:t>del</w:t>
      </w:r>
      <w:r>
        <w:rPr>
          <w:spacing w:val="-3"/>
        </w:rPr>
        <w:t> </w:t>
      </w:r>
      <w:r>
        <w:rPr/>
        <w:t>Sector</w:t>
      </w:r>
      <w:r>
        <w:rPr>
          <w:spacing w:val="-5"/>
        </w:rPr>
        <w:t> </w:t>
      </w:r>
      <w:r>
        <w:rPr/>
        <w:t>Público</w:t>
      </w:r>
      <w:r>
        <w:rPr>
          <w:spacing w:val="-2"/>
        </w:rPr>
        <w:t> (ITSP)”</w:t>
      </w:r>
    </w:p>
    <w:p>
      <w:pPr>
        <w:pStyle w:val="BodyText"/>
        <w:spacing w:before="250"/>
        <w:ind w:left="730" w:right="923"/>
        <w:jc w:val="both"/>
      </w:pPr>
      <w:r>
        <w:rPr/>
        <w:t>El Índice de Transparencia del Sector Público (ITSP) es un instrumento de medición de la transparencia</w:t>
      </w:r>
      <w:r>
        <w:rPr>
          <w:spacing w:val="-9"/>
        </w:rPr>
        <w:t> </w:t>
      </w:r>
      <w:r>
        <w:rPr/>
        <w:t>de</w:t>
      </w:r>
      <w:r>
        <w:rPr>
          <w:spacing w:val="-10"/>
        </w:rPr>
        <w:t> </w:t>
      </w:r>
      <w:r>
        <w:rPr/>
        <w:t>las</w:t>
      </w:r>
      <w:r>
        <w:rPr>
          <w:spacing w:val="-7"/>
        </w:rPr>
        <w:t> </w:t>
      </w:r>
      <w:r>
        <w:rPr/>
        <w:t>instituciones</w:t>
      </w:r>
      <w:r>
        <w:rPr>
          <w:spacing w:val="-9"/>
        </w:rPr>
        <w:t> </w:t>
      </w:r>
      <w:r>
        <w:rPr/>
        <w:t>que</w:t>
      </w:r>
      <w:r>
        <w:rPr>
          <w:spacing w:val="-12"/>
        </w:rPr>
        <w:t> </w:t>
      </w:r>
      <w:r>
        <w:rPr/>
        <w:t>conforman</w:t>
      </w:r>
      <w:r>
        <w:rPr>
          <w:spacing w:val="-10"/>
        </w:rPr>
        <w:t> </w:t>
      </w:r>
      <w:r>
        <w:rPr/>
        <w:t>el</w:t>
      </w:r>
      <w:r>
        <w:rPr>
          <w:spacing w:val="-9"/>
        </w:rPr>
        <w:t> </w:t>
      </w:r>
      <w:r>
        <w:rPr/>
        <w:t>sector</w:t>
      </w:r>
      <w:r>
        <w:rPr>
          <w:spacing w:val="-8"/>
        </w:rPr>
        <w:t> </w:t>
      </w:r>
      <w:r>
        <w:rPr/>
        <w:t>público</w:t>
      </w:r>
      <w:r>
        <w:rPr>
          <w:spacing w:val="-10"/>
        </w:rPr>
        <w:t> </w:t>
      </w:r>
      <w:r>
        <w:rPr/>
        <w:t>costarricense,</w:t>
      </w:r>
      <w:r>
        <w:rPr>
          <w:spacing w:val="-10"/>
        </w:rPr>
        <w:t> </w:t>
      </w:r>
      <w:r>
        <w:rPr/>
        <w:t>centrado</w:t>
      </w:r>
      <w:r>
        <w:rPr>
          <w:spacing w:val="-10"/>
        </w:rPr>
        <w:t> </w:t>
      </w:r>
      <w:r>
        <w:rPr/>
        <w:t>en</w:t>
      </w:r>
      <w:r>
        <w:rPr>
          <w:spacing w:val="-8"/>
        </w:rPr>
        <w:t> </w:t>
      </w:r>
      <w:r>
        <w:rPr/>
        <w:t>el</w:t>
      </w:r>
      <w:r>
        <w:rPr>
          <w:spacing w:val="-9"/>
        </w:rPr>
        <w:t> </w:t>
      </w:r>
      <w:r>
        <w:rPr/>
        <w:t>acceso a la información pública disponible sus sitios web, que busca ofrecer una medición anual de la transparencia con el objetivo de fortalecer la institucionalidad costarricense.</w:t>
      </w:r>
    </w:p>
    <w:p>
      <w:pPr>
        <w:pStyle w:val="BodyText"/>
        <w:ind w:left="730" w:right="929"/>
        <w:jc w:val="both"/>
      </w:pPr>
      <w:r>
        <w:rPr/>
        <w:t>La documentación que revelar se realiza mediante la Intranet y la página Web del IMAS que es de proyección externa.</w:t>
      </w:r>
    </w:p>
    <w:p>
      <w:pPr>
        <w:pStyle w:val="BodyText"/>
        <w:spacing w:before="1"/>
      </w:pPr>
    </w:p>
    <w:p>
      <w:pPr>
        <w:pStyle w:val="BodyText"/>
        <w:spacing w:line="276" w:lineRule="auto"/>
        <w:ind w:left="730" w:right="924" w:firstLine="55"/>
        <w:jc w:val="both"/>
      </w:pPr>
      <w:r>
        <w:rPr/>
        <w:t>El</w:t>
      </w:r>
      <w:r>
        <w:rPr>
          <w:spacing w:val="-10"/>
        </w:rPr>
        <w:t> </w:t>
      </w:r>
      <w:r>
        <w:rPr/>
        <w:t>presupuesto</w:t>
      </w:r>
      <w:r>
        <w:rPr>
          <w:spacing w:val="-9"/>
        </w:rPr>
        <w:t> </w:t>
      </w:r>
      <w:r>
        <w:rPr/>
        <w:t>y</w:t>
      </w:r>
      <w:r>
        <w:rPr>
          <w:spacing w:val="-11"/>
        </w:rPr>
        <w:t> </w:t>
      </w:r>
      <w:r>
        <w:rPr/>
        <w:t>los</w:t>
      </w:r>
      <w:r>
        <w:rPr>
          <w:spacing w:val="-9"/>
        </w:rPr>
        <w:t> </w:t>
      </w:r>
      <w:r>
        <w:rPr/>
        <w:t>estados</w:t>
      </w:r>
      <w:r>
        <w:rPr>
          <w:spacing w:val="-9"/>
        </w:rPr>
        <w:t> </w:t>
      </w:r>
      <w:r>
        <w:rPr/>
        <w:t>financieros</w:t>
      </w:r>
      <w:r>
        <w:rPr>
          <w:spacing w:val="-11"/>
        </w:rPr>
        <w:t> </w:t>
      </w:r>
      <w:r>
        <w:rPr/>
        <w:t>no</w:t>
      </w:r>
      <w:r>
        <w:rPr>
          <w:spacing w:val="-11"/>
        </w:rPr>
        <w:t> </w:t>
      </w:r>
      <w:r>
        <w:rPr/>
        <w:t>se</w:t>
      </w:r>
      <w:r>
        <w:rPr>
          <w:spacing w:val="-11"/>
        </w:rPr>
        <w:t> </w:t>
      </w:r>
      <w:r>
        <w:rPr/>
        <w:t>preparan</w:t>
      </w:r>
      <w:r>
        <w:rPr>
          <w:spacing w:val="-12"/>
        </w:rPr>
        <w:t> </w:t>
      </w:r>
      <w:r>
        <w:rPr/>
        <w:t>con</w:t>
      </w:r>
      <w:r>
        <w:rPr>
          <w:spacing w:val="-9"/>
        </w:rPr>
        <w:t> </w:t>
      </w:r>
      <w:r>
        <w:rPr/>
        <w:t>bases</w:t>
      </w:r>
      <w:r>
        <w:rPr>
          <w:spacing w:val="-9"/>
        </w:rPr>
        <w:t> </w:t>
      </w:r>
      <w:r>
        <w:rPr/>
        <w:t>comparables,</w:t>
      </w:r>
      <w:r>
        <w:rPr>
          <w:spacing w:val="-12"/>
        </w:rPr>
        <w:t> </w:t>
      </w:r>
      <w:r>
        <w:rPr/>
        <w:t>ya</w:t>
      </w:r>
      <w:r>
        <w:rPr>
          <w:spacing w:val="-10"/>
        </w:rPr>
        <w:t> </w:t>
      </w:r>
      <w:r>
        <w:rPr/>
        <w:t>que</w:t>
      </w:r>
      <w:r>
        <w:rPr>
          <w:spacing w:val="-11"/>
        </w:rPr>
        <w:t> </w:t>
      </w:r>
      <w:r>
        <w:rPr/>
        <w:t>una</w:t>
      </w:r>
      <w:r>
        <w:rPr>
          <w:spacing w:val="-10"/>
        </w:rPr>
        <w:t> </w:t>
      </w:r>
      <w:r>
        <w:rPr/>
        <w:t>rige</w:t>
      </w:r>
      <w:r>
        <w:rPr>
          <w:spacing w:val="-10"/>
        </w:rPr>
        <w:t> </w:t>
      </w:r>
      <w:r>
        <w:rPr/>
        <w:t>a</w:t>
      </w:r>
      <w:r>
        <w:rPr>
          <w:spacing w:val="-10"/>
        </w:rPr>
        <w:t> </w:t>
      </w:r>
      <w:r>
        <w:rPr/>
        <w:t>base de efectivo modificada y la otra base por devengo. La base modificada, es el criterio de transición de pasar del base caja al base devengado, donde los gastos se registran por lo devengado y los ingresos por la base caja. Esta base presupuestaria difiere de la base contable del devengo, utilizada para la preparación de los estados financieros, conforme a las Normas Internacionales de Contabilidad del Sector Público (NICSP).</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7456">
                <wp:simplePos x="0" y="0"/>
                <wp:positionH relativeFrom="page">
                  <wp:posOffset>9525</wp:posOffset>
                </wp:positionH>
                <wp:positionV relativeFrom="page">
                  <wp:posOffset>297208</wp:posOffset>
                </wp:positionV>
                <wp:extent cx="7762875" cy="9748520"/>
                <wp:effectExtent l="0" t="0" r="0" b="0"/>
                <wp:wrapNone/>
                <wp:docPr id="1100" name="Group 1100"/>
                <wp:cNvGraphicFramePr>
                  <a:graphicFrameLocks/>
                </wp:cNvGraphicFramePr>
                <a:graphic>
                  <a:graphicData uri="http://schemas.microsoft.com/office/word/2010/wordprocessingGroup">
                    <wpg:wgp>
                      <wpg:cNvPr id="1100" name="Group 1100"/>
                      <wpg:cNvGrpSpPr/>
                      <wpg:grpSpPr>
                        <a:xfrm>
                          <a:off x="0" y="0"/>
                          <a:ext cx="7762875" cy="9748520"/>
                          <a:chExt cx="7762875" cy="9748520"/>
                        </a:xfrm>
                      </wpg:grpSpPr>
                      <pic:pic>
                        <pic:nvPicPr>
                          <pic:cNvPr id="1101" name="Image 1101"/>
                          <pic:cNvPicPr/>
                        </pic:nvPicPr>
                        <pic:blipFill>
                          <a:blip r:embed="rId5" cstate="print"/>
                          <a:stretch>
                            <a:fillRect/>
                          </a:stretch>
                        </pic:blipFill>
                        <pic:spPr>
                          <a:xfrm>
                            <a:off x="0" y="0"/>
                            <a:ext cx="7762874" cy="9748489"/>
                          </a:xfrm>
                          <a:prstGeom prst="rect">
                            <a:avLst/>
                          </a:prstGeom>
                        </pic:spPr>
                      </pic:pic>
                      <wps:wsp>
                        <wps:cNvPr id="1102" name="Graphic 110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9024" id="docshapegroup1047" coordorigin="15,468" coordsize="12225,15352">
                <v:shape style="position:absolute;left:15;top:468;width:12225;height:15352" type="#_x0000_t75" id="docshape1048" stroked="false">
                  <v:imagedata r:id="rId5" o:title=""/>
                </v:shape>
                <v:rect style="position:absolute;left:1673;top:2028;width:8897;height:15" id="docshape1049"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213</w:t>
      </w:r>
    </w:p>
    <w:p>
      <w:pPr>
        <w:pStyle w:val="BodyText"/>
        <w:spacing w:before="10"/>
        <w:rPr>
          <w:sz w:val="16"/>
        </w:rPr>
      </w:pPr>
      <w:r>
        <w:rPr>
          <w:sz w:val="16"/>
        </w:rPr>
        <mc:AlternateContent>
          <mc:Choice Requires="wps">
            <w:drawing>
              <wp:anchor distT="0" distB="0" distL="0" distR="0" allowOverlap="1" layoutInCell="1" locked="0" behindDoc="1" simplePos="0" relativeHeight="487809536">
                <wp:simplePos x="0" y="0"/>
                <wp:positionH relativeFrom="page">
                  <wp:posOffset>1080820</wp:posOffset>
                </wp:positionH>
                <wp:positionV relativeFrom="paragraph">
                  <wp:posOffset>141144</wp:posOffset>
                </wp:positionV>
                <wp:extent cx="5715000" cy="3357879"/>
                <wp:effectExtent l="0" t="0" r="0" b="0"/>
                <wp:wrapTopAndBottom/>
                <wp:docPr id="1103" name="Textbox 1103"/>
                <wp:cNvGraphicFramePr>
                  <a:graphicFrameLocks/>
                </wp:cNvGraphicFramePr>
                <a:graphic>
                  <a:graphicData uri="http://schemas.microsoft.com/office/word/2010/wordprocessingShape">
                    <wps:wsp>
                      <wps:cNvPr id="1103" name="Textbox 1103"/>
                      <wps:cNvSpPr txBox="1"/>
                      <wps:spPr>
                        <a:xfrm>
                          <a:off x="0" y="0"/>
                          <a:ext cx="5715000" cy="3357879"/>
                        </a:xfrm>
                        <a:prstGeom prst="rect">
                          <a:avLst/>
                        </a:prstGeom>
                        <a:ln w="6095">
                          <a:solidFill>
                            <a:srgbClr val="000000"/>
                          </a:solidFill>
                          <a:prstDash val="solid"/>
                        </a:ln>
                      </wps:spPr>
                      <wps:txbx>
                        <w:txbxContent>
                          <w:p>
                            <w:pPr>
                              <w:pStyle w:val="BodyText"/>
                              <w:spacing w:before="39"/>
                            </w:pPr>
                          </w:p>
                          <w:p>
                            <w:pPr>
                              <w:pStyle w:val="BodyText"/>
                              <w:spacing w:line="276" w:lineRule="auto" w:before="1"/>
                              <w:ind w:left="103" w:right="100"/>
                              <w:jc w:val="both"/>
                            </w:pPr>
                            <w:r>
                              <w:rPr/>
                              <w:t>Por su parte, los estados financieros del IMAS se elaboran sobre la base contable del devengo, reconociendo los activos, pasivos, ingresos y gastos cuando ocurren los hechos económicos que les dan origen, independientemente del momento en que se produzcan los flujos de efectivo asociados, en cumplimiento de las disposiciones técnicas emitidas por la Dirección General de Contabilidad Nacional (DGCN).</w:t>
                            </w:r>
                          </w:p>
                          <w:p>
                            <w:pPr>
                              <w:pStyle w:val="BodyText"/>
                              <w:spacing w:before="36"/>
                            </w:pPr>
                          </w:p>
                          <w:p>
                            <w:pPr>
                              <w:pStyle w:val="BodyText"/>
                              <w:spacing w:line="276" w:lineRule="auto"/>
                              <w:ind w:left="103" w:right="101"/>
                              <w:jc w:val="both"/>
                            </w:pPr>
                            <w:r>
                              <w:rPr/>
                              <w:t>Dada la diferencia entre la base presupuestaria y la base contable, el IMAS realiza conciliaciones técnicas</w:t>
                            </w:r>
                            <w:r>
                              <w:rPr>
                                <w:spacing w:val="-11"/>
                              </w:rPr>
                              <w:t> </w:t>
                            </w:r>
                            <w:r>
                              <w:rPr/>
                              <w:t>periódicas</w:t>
                            </w:r>
                            <w:r>
                              <w:rPr>
                                <w:spacing w:val="-11"/>
                              </w:rPr>
                              <w:t> </w:t>
                            </w:r>
                            <w:r>
                              <w:rPr/>
                              <w:t>entre</w:t>
                            </w:r>
                            <w:r>
                              <w:rPr>
                                <w:spacing w:val="-12"/>
                              </w:rPr>
                              <w:t> </w:t>
                            </w:r>
                            <w:r>
                              <w:rPr/>
                              <w:t>la</w:t>
                            </w:r>
                            <w:r>
                              <w:rPr>
                                <w:spacing w:val="-11"/>
                              </w:rPr>
                              <w:t> </w:t>
                            </w:r>
                            <w:r>
                              <w:rPr/>
                              <w:t>información</w:t>
                            </w:r>
                            <w:r>
                              <w:rPr>
                                <w:spacing w:val="-12"/>
                              </w:rPr>
                              <w:t> </w:t>
                            </w:r>
                            <w:r>
                              <w:rPr/>
                              <w:t>presupuestaria</w:t>
                            </w:r>
                            <w:r>
                              <w:rPr>
                                <w:spacing w:val="-12"/>
                              </w:rPr>
                              <w:t> </w:t>
                            </w:r>
                            <w:r>
                              <w:rPr/>
                              <w:t>y</w:t>
                            </w:r>
                            <w:r>
                              <w:rPr>
                                <w:spacing w:val="-13"/>
                              </w:rPr>
                              <w:t> </w:t>
                            </w:r>
                            <w:r>
                              <w:rPr/>
                              <w:t>la</w:t>
                            </w:r>
                            <w:r>
                              <w:rPr>
                                <w:spacing w:val="-13"/>
                              </w:rPr>
                              <w:t> </w:t>
                            </w:r>
                            <w:r>
                              <w:rPr/>
                              <w:t>información</w:t>
                            </w:r>
                            <w:r>
                              <w:rPr>
                                <w:spacing w:val="-12"/>
                              </w:rPr>
                              <w:t> </w:t>
                            </w:r>
                            <w:r>
                              <w:rPr/>
                              <w:t>contable,</w:t>
                            </w:r>
                            <w:r>
                              <w:rPr>
                                <w:spacing w:val="-12"/>
                              </w:rPr>
                              <w:t> </w:t>
                            </w:r>
                            <w:r>
                              <w:rPr/>
                              <w:t>de</w:t>
                            </w:r>
                            <w:r>
                              <w:rPr>
                                <w:spacing w:val="-11"/>
                              </w:rPr>
                              <w:t> </w:t>
                            </w:r>
                            <w:r>
                              <w:rPr/>
                              <w:t>manera</w:t>
                            </w:r>
                            <w:r>
                              <w:rPr>
                                <w:spacing w:val="-12"/>
                              </w:rPr>
                              <w:t> </w:t>
                            </w:r>
                            <w:r>
                              <w:rPr/>
                              <w:t>mensual, trimestral</w:t>
                            </w:r>
                            <w:r>
                              <w:rPr>
                                <w:spacing w:val="-7"/>
                              </w:rPr>
                              <w:t> </w:t>
                            </w:r>
                            <w:r>
                              <w:rPr/>
                              <w:t>y</w:t>
                            </w:r>
                            <w:r>
                              <w:rPr>
                                <w:spacing w:val="-4"/>
                              </w:rPr>
                              <w:t> </w:t>
                            </w:r>
                            <w:r>
                              <w:rPr/>
                              <w:t>anual.</w:t>
                            </w:r>
                            <w:r>
                              <w:rPr>
                                <w:spacing w:val="-5"/>
                              </w:rPr>
                              <w:t> </w:t>
                            </w:r>
                            <w:r>
                              <w:rPr/>
                              <w:t>Estas</w:t>
                            </w:r>
                            <w:r>
                              <w:rPr>
                                <w:spacing w:val="-5"/>
                              </w:rPr>
                              <w:t> </w:t>
                            </w:r>
                            <w:r>
                              <w:rPr/>
                              <w:t>conciliaciones</w:t>
                            </w:r>
                            <w:r>
                              <w:rPr>
                                <w:spacing w:val="-2"/>
                              </w:rPr>
                              <w:t> </w:t>
                            </w:r>
                            <w:r>
                              <w:rPr/>
                              <w:t>permiten</w:t>
                            </w:r>
                            <w:r>
                              <w:rPr>
                                <w:spacing w:val="-3"/>
                              </w:rPr>
                              <w:t> </w:t>
                            </w:r>
                            <w:r>
                              <w:rPr/>
                              <w:t>explicar</w:t>
                            </w:r>
                            <w:r>
                              <w:rPr>
                                <w:spacing w:val="-3"/>
                              </w:rPr>
                              <w:t> </w:t>
                            </w:r>
                            <w:r>
                              <w:rPr/>
                              <w:t>las</w:t>
                            </w:r>
                            <w:r>
                              <w:rPr>
                                <w:spacing w:val="-2"/>
                              </w:rPr>
                              <w:t> </w:t>
                            </w:r>
                            <w:r>
                              <w:rPr/>
                              <w:t>diferencias</w:t>
                            </w:r>
                            <w:r>
                              <w:rPr>
                                <w:spacing w:val="-7"/>
                              </w:rPr>
                              <w:t> </w:t>
                            </w:r>
                            <w:r>
                              <w:rPr/>
                              <w:t>que</w:t>
                            </w:r>
                            <w:r>
                              <w:rPr>
                                <w:spacing w:val="-5"/>
                              </w:rPr>
                              <w:t> </w:t>
                            </w:r>
                            <w:r>
                              <w:rPr/>
                              <w:t>surgen</w:t>
                            </w:r>
                            <w:r>
                              <w:rPr>
                                <w:spacing w:val="-5"/>
                              </w:rPr>
                              <w:t> </w:t>
                            </w:r>
                            <w:r>
                              <w:rPr/>
                              <w:t>entre</w:t>
                            </w:r>
                            <w:r>
                              <w:rPr>
                                <w:spacing w:val="-3"/>
                              </w:rPr>
                              <w:t> </w:t>
                            </w:r>
                            <w:r>
                              <w:rPr/>
                              <w:t>los</w:t>
                            </w:r>
                            <w:r>
                              <w:rPr>
                                <w:spacing w:val="-5"/>
                              </w:rPr>
                              <w:t> </w:t>
                            </w:r>
                            <w:r>
                              <w:rPr/>
                              <w:t>importes ejecutados conforme al presupuesto aprobado y los resultados financieros presentados en el Estado de Rendimiento Financiero, en cumplimiento de los párrafos 43 a 55 de la NICSP 24.</w:t>
                            </w:r>
                          </w:p>
                          <w:p>
                            <w:pPr>
                              <w:pStyle w:val="BodyText"/>
                              <w:spacing w:before="1"/>
                            </w:pPr>
                          </w:p>
                          <w:p>
                            <w:pPr>
                              <w:pStyle w:val="BodyText"/>
                              <w:spacing w:line="276" w:lineRule="auto"/>
                              <w:ind w:left="103" w:right="102"/>
                              <w:jc w:val="both"/>
                            </w:pPr>
                            <w:r>
                              <w:rPr/>
                              <w:t>La</w:t>
                            </w:r>
                            <w:r>
                              <w:rPr>
                                <w:spacing w:val="-8"/>
                              </w:rPr>
                              <w:t> </w:t>
                            </w:r>
                            <w:r>
                              <w:rPr/>
                              <w:t>entidad</w:t>
                            </w:r>
                            <w:r>
                              <w:rPr>
                                <w:spacing w:val="-8"/>
                              </w:rPr>
                              <w:t> </w:t>
                            </w:r>
                            <w:r>
                              <w:rPr/>
                              <w:t>administra</w:t>
                            </w:r>
                            <w:r>
                              <w:rPr>
                                <w:spacing w:val="-8"/>
                              </w:rPr>
                              <w:t> </w:t>
                            </w:r>
                            <w:r>
                              <w:rPr/>
                              <w:t>y</w:t>
                            </w:r>
                            <w:r>
                              <w:rPr>
                                <w:spacing w:val="-8"/>
                              </w:rPr>
                              <w:t> </w:t>
                            </w:r>
                            <w:r>
                              <w:rPr/>
                              <w:t>presenta</w:t>
                            </w:r>
                            <w:r>
                              <w:rPr>
                                <w:spacing w:val="-7"/>
                              </w:rPr>
                              <w:t> </w:t>
                            </w:r>
                            <w:r>
                              <w:rPr/>
                              <w:t>su</w:t>
                            </w:r>
                            <w:r>
                              <w:rPr>
                                <w:spacing w:val="-7"/>
                              </w:rPr>
                              <w:t> </w:t>
                            </w:r>
                            <w:r>
                              <w:rPr/>
                              <w:t>información</w:t>
                            </w:r>
                            <w:r>
                              <w:rPr>
                                <w:spacing w:val="-7"/>
                              </w:rPr>
                              <w:t> </w:t>
                            </w:r>
                            <w:r>
                              <w:rPr/>
                              <w:t>financiera</w:t>
                            </w:r>
                            <w:r>
                              <w:rPr>
                                <w:spacing w:val="-8"/>
                              </w:rPr>
                              <w:t> </w:t>
                            </w:r>
                            <w:r>
                              <w:rPr/>
                              <w:t>mediante</w:t>
                            </w:r>
                            <w:r>
                              <w:rPr>
                                <w:spacing w:val="-8"/>
                              </w:rPr>
                              <w:t> </w:t>
                            </w:r>
                            <w:r>
                              <w:rPr/>
                              <w:t>sistema</w:t>
                            </w:r>
                            <w:r>
                              <w:rPr>
                                <w:spacing w:val="-8"/>
                              </w:rPr>
                              <w:t> </w:t>
                            </w:r>
                            <w:r>
                              <w:rPr/>
                              <w:t>informático</w:t>
                            </w:r>
                            <w:r>
                              <w:rPr>
                                <w:spacing w:val="-6"/>
                              </w:rPr>
                              <w:t> </w:t>
                            </w:r>
                            <w:r>
                              <w:rPr/>
                              <w:t>SAP,</w:t>
                            </w:r>
                            <w:r>
                              <w:rPr>
                                <w:spacing w:val="-7"/>
                              </w:rPr>
                              <w:t> </w:t>
                            </w:r>
                            <w:r>
                              <w:rPr/>
                              <w:t>el</w:t>
                            </w:r>
                            <w:r>
                              <w:rPr>
                                <w:spacing w:val="-8"/>
                              </w:rPr>
                              <w:t> </w:t>
                            </w:r>
                            <w:r>
                              <w:rPr/>
                              <w:t>cual se</w:t>
                            </w:r>
                            <w:r>
                              <w:rPr>
                                <w:spacing w:val="-1"/>
                              </w:rPr>
                              <w:t> </w:t>
                            </w:r>
                            <w:r>
                              <w:rPr/>
                              <w:t>encuentra</w:t>
                            </w:r>
                            <w:r>
                              <w:rPr>
                                <w:spacing w:val="-2"/>
                              </w:rPr>
                              <w:t> </w:t>
                            </w:r>
                            <w:r>
                              <w:rPr/>
                              <w:t>mapeado con los datos presupuestarios y</w:t>
                            </w:r>
                            <w:r>
                              <w:rPr>
                                <w:spacing w:val="-1"/>
                              </w:rPr>
                              <w:t> </w:t>
                            </w:r>
                            <w:r>
                              <w:rPr/>
                              <w:t>el</w:t>
                            </w:r>
                            <w:r>
                              <w:rPr>
                                <w:spacing w:val="-1"/>
                              </w:rPr>
                              <w:t> </w:t>
                            </w:r>
                            <w:r>
                              <w:rPr/>
                              <w:t>sistema</w:t>
                            </w:r>
                            <w:r>
                              <w:rPr>
                                <w:spacing w:val="-1"/>
                              </w:rPr>
                              <w:t> </w:t>
                            </w:r>
                            <w:r>
                              <w:rPr/>
                              <w:t>contable</w:t>
                            </w:r>
                            <w:r>
                              <w:rPr>
                                <w:spacing w:val="-1"/>
                              </w:rPr>
                              <w:t> </w:t>
                            </w:r>
                            <w:r>
                              <w:rPr/>
                              <w:t>con el</w:t>
                            </w:r>
                            <w:r>
                              <w:rPr>
                                <w:spacing w:val="-2"/>
                              </w:rPr>
                              <w:t> </w:t>
                            </w:r>
                            <w:r>
                              <w:rPr/>
                              <w:t>soporte</w:t>
                            </w:r>
                            <w:r>
                              <w:rPr>
                                <w:spacing w:val="-1"/>
                              </w:rPr>
                              <w:t> </w:t>
                            </w:r>
                            <w:r>
                              <w:rPr/>
                              <w:t>de</w:t>
                            </w:r>
                            <w:r>
                              <w:rPr>
                                <w:spacing w:val="-2"/>
                              </w:rPr>
                              <w:t> </w:t>
                            </w:r>
                            <w:r>
                              <w:rPr/>
                              <w:t>la</w:t>
                            </w:r>
                            <w:r>
                              <w:rPr>
                                <w:spacing w:val="-1"/>
                              </w:rPr>
                              <w:t> </w:t>
                            </w:r>
                            <w:r>
                              <w:rPr/>
                              <w:t>matriz de integración presupuesto y contabilidad basada en las normas técnicas presupuestarias. Cada uno responde a objetivos específicos y se rige por principios de reconocimiento diferentes, con los resultados reportados en ambos enfoques.</w:t>
                            </w:r>
                          </w:p>
                        </w:txbxContent>
                      </wps:txbx>
                      <wps:bodyPr wrap="square" lIns="0" tIns="0" rIns="0" bIns="0" rtlCol="0">
                        <a:noAutofit/>
                      </wps:bodyPr>
                    </wps:wsp>
                  </a:graphicData>
                </a:graphic>
              </wp:anchor>
            </w:drawing>
          </mc:Choice>
          <mc:Fallback>
            <w:pict>
              <v:shape style="position:absolute;margin-left:85.103996pt;margin-top:11.11375pt;width:450pt;height:264.4pt;mso-position-horizontal-relative:page;mso-position-vertical-relative:paragraph;z-index:-15506944;mso-wrap-distance-left:0;mso-wrap-distance-right:0" type="#_x0000_t202" id="docshape1050" filled="false" stroked="true" strokeweight=".47998pt" strokecolor="#000000">
                <v:textbox inset="0,0,0,0">
                  <w:txbxContent>
                    <w:p>
                      <w:pPr>
                        <w:pStyle w:val="BodyText"/>
                        <w:spacing w:before="39"/>
                      </w:pPr>
                    </w:p>
                    <w:p>
                      <w:pPr>
                        <w:pStyle w:val="BodyText"/>
                        <w:spacing w:line="276" w:lineRule="auto" w:before="1"/>
                        <w:ind w:left="103" w:right="100"/>
                        <w:jc w:val="both"/>
                      </w:pPr>
                      <w:r>
                        <w:rPr/>
                        <w:t>Por su parte, los estados financieros del IMAS se elaboran sobre la base contable del devengo, reconociendo los activos, pasivos, ingresos y gastos cuando ocurren los hechos económicos que les dan origen, independientemente del momento en que se produzcan los flujos de efectivo asociados, en cumplimiento de las disposiciones técnicas emitidas por la Dirección General de Contabilidad Nacional (DGCN).</w:t>
                      </w:r>
                    </w:p>
                    <w:p>
                      <w:pPr>
                        <w:pStyle w:val="BodyText"/>
                        <w:spacing w:before="36"/>
                      </w:pPr>
                    </w:p>
                    <w:p>
                      <w:pPr>
                        <w:pStyle w:val="BodyText"/>
                        <w:spacing w:line="276" w:lineRule="auto"/>
                        <w:ind w:left="103" w:right="101"/>
                        <w:jc w:val="both"/>
                      </w:pPr>
                      <w:r>
                        <w:rPr/>
                        <w:t>Dada la diferencia entre la base presupuestaria y la base contable, el IMAS realiza conciliaciones técnicas</w:t>
                      </w:r>
                      <w:r>
                        <w:rPr>
                          <w:spacing w:val="-11"/>
                        </w:rPr>
                        <w:t> </w:t>
                      </w:r>
                      <w:r>
                        <w:rPr/>
                        <w:t>periódicas</w:t>
                      </w:r>
                      <w:r>
                        <w:rPr>
                          <w:spacing w:val="-11"/>
                        </w:rPr>
                        <w:t> </w:t>
                      </w:r>
                      <w:r>
                        <w:rPr/>
                        <w:t>entre</w:t>
                      </w:r>
                      <w:r>
                        <w:rPr>
                          <w:spacing w:val="-12"/>
                        </w:rPr>
                        <w:t> </w:t>
                      </w:r>
                      <w:r>
                        <w:rPr/>
                        <w:t>la</w:t>
                      </w:r>
                      <w:r>
                        <w:rPr>
                          <w:spacing w:val="-11"/>
                        </w:rPr>
                        <w:t> </w:t>
                      </w:r>
                      <w:r>
                        <w:rPr/>
                        <w:t>información</w:t>
                      </w:r>
                      <w:r>
                        <w:rPr>
                          <w:spacing w:val="-12"/>
                        </w:rPr>
                        <w:t> </w:t>
                      </w:r>
                      <w:r>
                        <w:rPr/>
                        <w:t>presupuestaria</w:t>
                      </w:r>
                      <w:r>
                        <w:rPr>
                          <w:spacing w:val="-12"/>
                        </w:rPr>
                        <w:t> </w:t>
                      </w:r>
                      <w:r>
                        <w:rPr/>
                        <w:t>y</w:t>
                      </w:r>
                      <w:r>
                        <w:rPr>
                          <w:spacing w:val="-13"/>
                        </w:rPr>
                        <w:t> </w:t>
                      </w:r>
                      <w:r>
                        <w:rPr/>
                        <w:t>la</w:t>
                      </w:r>
                      <w:r>
                        <w:rPr>
                          <w:spacing w:val="-13"/>
                        </w:rPr>
                        <w:t> </w:t>
                      </w:r>
                      <w:r>
                        <w:rPr/>
                        <w:t>información</w:t>
                      </w:r>
                      <w:r>
                        <w:rPr>
                          <w:spacing w:val="-12"/>
                        </w:rPr>
                        <w:t> </w:t>
                      </w:r>
                      <w:r>
                        <w:rPr/>
                        <w:t>contable,</w:t>
                      </w:r>
                      <w:r>
                        <w:rPr>
                          <w:spacing w:val="-12"/>
                        </w:rPr>
                        <w:t> </w:t>
                      </w:r>
                      <w:r>
                        <w:rPr/>
                        <w:t>de</w:t>
                      </w:r>
                      <w:r>
                        <w:rPr>
                          <w:spacing w:val="-11"/>
                        </w:rPr>
                        <w:t> </w:t>
                      </w:r>
                      <w:r>
                        <w:rPr/>
                        <w:t>manera</w:t>
                      </w:r>
                      <w:r>
                        <w:rPr>
                          <w:spacing w:val="-12"/>
                        </w:rPr>
                        <w:t> </w:t>
                      </w:r>
                      <w:r>
                        <w:rPr/>
                        <w:t>mensual, trimestral</w:t>
                      </w:r>
                      <w:r>
                        <w:rPr>
                          <w:spacing w:val="-7"/>
                        </w:rPr>
                        <w:t> </w:t>
                      </w:r>
                      <w:r>
                        <w:rPr/>
                        <w:t>y</w:t>
                      </w:r>
                      <w:r>
                        <w:rPr>
                          <w:spacing w:val="-4"/>
                        </w:rPr>
                        <w:t> </w:t>
                      </w:r>
                      <w:r>
                        <w:rPr/>
                        <w:t>anual.</w:t>
                      </w:r>
                      <w:r>
                        <w:rPr>
                          <w:spacing w:val="-5"/>
                        </w:rPr>
                        <w:t> </w:t>
                      </w:r>
                      <w:r>
                        <w:rPr/>
                        <w:t>Estas</w:t>
                      </w:r>
                      <w:r>
                        <w:rPr>
                          <w:spacing w:val="-5"/>
                        </w:rPr>
                        <w:t> </w:t>
                      </w:r>
                      <w:r>
                        <w:rPr/>
                        <w:t>conciliaciones</w:t>
                      </w:r>
                      <w:r>
                        <w:rPr>
                          <w:spacing w:val="-2"/>
                        </w:rPr>
                        <w:t> </w:t>
                      </w:r>
                      <w:r>
                        <w:rPr/>
                        <w:t>permiten</w:t>
                      </w:r>
                      <w:r>
                        <w:rPr>
                          <w:spacing w:val="-3"/>
                        </w:rPr>
                        <w:t> </w:t>
                      </w:r>
                      <w:r>
                        <w:rPr/>
                        <w:t>explicar</w:t>
                      </w:r>
                      <w:r>
                        <w:rPr>
                          <w:spacing w:val="-3"/>
                        </w:rPr>
                        <w:t> </w:t>
                      </w:r>
                      <w:r>
                        <w:rPr/>
                        <w:t>las</w:t>
                      </w:r>
                      <w:r>
                        <w:rPr>
                          <w:spacing w:val="-2"/>
                        </w:rPr>
                        <w:t> </w:t>
                      </w:r>
                      <w:r>
                        <w:rPr/>
                        <w:t>diferencias</w:t>
                      </w:r>
                      <w:r>
                        <w:rPr>
                          <w:spacing w:val="-7"/>
                        </w:rPr>
                        <w:t> </w:t>
                      </w:r>
                      <w:r>
                        <w:rPr/>
                        <w:t>que</w:t>
                      </w:r>
                      <w:r>
                        <w:rPr>
                          <w:spacing w:val="-5"/>
                        </w:rPr>
                        <w:t> </w:t>
                      </w:r>
                      <w:r>
                        <w:rPr/>
                        <w:t>surgen</w:t>
                      </w:r>
                      <w:r>
                        <w:rPr>
                          <w:spacing w:val="-5"/>
                        </w:rPr>
                        <w:t> </w:t>
                      </w:r>
                      <w:r>
                        <w:rPr/>
                        <w:t>entre</w:t>
                      </w:r>
                      <w:r>
                        <w:rPr>
                          <w:spacing w:val="-3"/>
                        </w:rPr>
                        <w:t> </w:t>
                      </w:r>
                      <w:r>
                        <w:rPr/>
                        <w:t>los</w:t>
                      </w:r>
                      <w:r>
                        <w:rPr>
                          <w:spacing w:val="-5"/>
                        </w:rPr>
                        <w:t> </w:t>
                      </w:r>
                      <w:r>
                        <w:rPr/>
                        <w:t>importes ejecutados conforme al presupuesto aprobado y los resultados financieros presentados en el Estado de Rendimiento Financiero, en cumplimiento de los párrafos 43 a 55 de la NICSP 24.</w:t>
                      </w:r>
                    </w:p>
                    <w:p>
                      <w:pPr>
                        <w:pStyle w:val="BodyText"/>
                        <w:spacing w:before="1"/>
                      </w:pPr>
                    </w:p>
                    <w:p>
                      <w:pPr>
                        <w:pStyle w:val="BodyText"/>
                        <w:spacing w:line="276" w:lineRule="auto"/>
                        <w:ind w:left="103" w:right="102"/>
                        <w:jc w:val="both"/>
                      </w:pPr>
                      <w:r>
                        <w:rPr/>
                        <w:t>La</w:t>
                      </w:r>
                      <w:r>
                        <w:rPr>
                          <w:spacing w:val="-8"/>
                        </w:rPr>
                        <w:t> </w:t>
                      </w:r>
                      <w:r>
                        <w:rPr/>
                        <w:t>entidad</w:t>
                      </w:r>
                      <w:r>
                        <w:rPr>
                          <w:spacing w:val="-8"/>
                        </w:rPr>
                        <w:t> </w:t>
                      </w:r>
                      <w:r>
                        <w:rPr/>
                        <w:t>administra</w:t>
                      </w:r>
                      <w:r>
                        <w:rPr>
                          <w:spacing w:val="-8"/>
                        </w:rPr>
                        <w:t> </w:t>
                      </w:r>
                      <w:r>
                        <w:rPr/>
                        <w:t>y</w:t>
                      </w:r>
                      <w:r>
                        <w:rPr>
                          <w:spacing w:val="-8"/>
                        </w:rPr>
                        <w:t> </w:t>
                      </w:r>
                      <w:r>
                        <w:rPr/>
                        <w:t>presenta</w:t>
                      </w:r>
                      <w:r>
                        <w:rPr>
                          <w:spacing w:val="-7"/>
                        </w:rPr>
                        <w:t> </w:t>
                      </w:r>
                      <w:r>
                        <w:rPr/>
                        <w:t>su</w:t>
                      </w:r>
                      <w:r>
                        <w:rPr>
                          <w:spacing w:val="-7"/>
                        </w:rPr>
                        <w:t> </w:t>
                      </w:r>
                      <w:r>
                        <w:rPr/>
                        <w:t>información</w:t>
                      </w:r>
                      <w:r>
                        <w:rPr>
                          <w:spacing w:val="-7"/>
                        </w:rPr>
                        <w:t> </w:t>
                      </w:r>
                      <w:r>
                        <w:rPr/>
                        <w:t>financiera</w:t>
                      </w:r>
                      <w:r>
                        <w:rPr>
                          <w:spacing w:val="-8"/>
                        </w:rPr>
                        <w:t> </w:t>
                      </w:r>
                      <w:r>
                        <w:rPr/>
                        <w:t>mediante</w:t>
                      </w:r>
                      <w:r>
                        <w:rPr>
                          <w:spacing w:val="-8"/>
                        </w:rPr>
                        <w:t> </w:t>
                      </w:r>
                      <w:r>
                        <w:rPr/>
                        <w:t>sistema</w:t>
                      </w:r>
                      <w:r>
                        <w:rPr>
                          <w:spacing w:val="-8"/>
                        </w:rPr>
                        <w:t> </w:t>
                      </w:r>
                      <w:r>
                        <w:rPr/>
                        <w:t>informático</w:t>
                      </w:r>
                      <w:r>
                        <w:rPr>
                          <w:spacing w:val="-6"/>
                        </w:rPr>
                        <w:t> </w:t>
                      </w:r>
                      <w:r>
                        <w:rPr/>
                        <w:t>SAP,</w:t>
                      </w:r>
                      <w:r>
                        <w:rPr>
                          <w:spacing w:val="-7"/>
                        </w:rPr>
                        <w:t> </w:t>
                      </w:r>
                      <w:r>
                        <w:rPr/>
                        <w:t>el</w:t>
                      </w:r>
                      <w:r>
                        <w:rPr>
                          <w:spacing w:val="-8"/>
                        </w:rPr>
                        <w:t> </w:t>
                      </w:r>
                      <w:r>
                        <w:rPr/>
                        <w:t>cual se</w:t>
                      </w:r>
                      <w:r>
                        <w:rPr>
                          <w:spacing w:val="-1"/>
                        </w:rPr>
                        <w:t> </w:t>
                      </w:r>
                      <w:r>
                        <w:rPr/>
                        <w:t>encuentra</w:t>
                      </w:r>
                      <w:r>
                        <w:rPr>
                          <w:spacing w:val="-2"/>
                        </w:rPr>
                        <w:t> </w:t>
                      </w:r>
                      <w:r>
                        <w:rPr/>
                        <w:t>mapeado con los datos presupuestarios y</w:t>
                      </w:r>
                      <w:r>
                        <w:rPr>
                          <w:spacing w:val="-1"/>
                        </w:rPr>
                        <w:t> </w:t>
                      </w:r>
                      <w:r>
                        <w:rPr/>
                        <w:t>el</w:t>
                      </w:r>
                      <w:r>
                        <w:rPr>
                          <w:spacing w:val="-1"/>
                        </w:rPr>
                        <w:t> </w:t>
                      </w:r>
                      <w:r>
                        <w:rPr/>
                        <w:t>sistema</w:t>
                      </w:r>
                      <w:r>
                        <w:rPr>
                          <w:spacing w:val="-1"/>
                        </w:rPr>
                        <w:t> </w:t>
                      </w:r>
                      <w:r>
                        <w:rPr/>
                        <w:t>contable</w:t>
                      </w:r>
                      <w:r>
                        <w:rPr>
                          <w:spacing w:val="-1"/>
                        </w:rPr>
                        <w:t> </w:t>
                      </w:r>
                      <w:r>
                        <w:rPr/>
                        <w:t>con el</w:t>
                      </w:r>
                      <w:r>
                        <w:rPr>
                          <w:spacing w:val="-2"/>
                        </w:rPr>
                        <w:t> </w:t>
                      </w:r>
                      <w:r>
                        <w:rPr/>
                        <w:t>soporte</w:t>
                      </w:r>
                      <w:r>
                        <w:rPr>
                          <w:spacing w:val="-1"/>
                        </w:rPr>
                        <w:t> </w:t>
                      </w:r>
                      <w:r>
                        <w:rPr/>
                        <w:t>de</w:t>
                      </w:r>
                      <w:r>
                        <w:rPr>
                          <w:spacing w:val="-2"/>
                        </w:rPr>
                        <w:t> </w:t>
                      </w:r>
                      <w:r>
                        <w:rPr/>
                        <w:t>la</w:t>
                      </w:r>
                      <w:r>
                        <w:rPr>
                          <w:spacing w:val="-1"/>
                        </w:rPr>
                        <w:t> </w:t>
                      </w:r>
                      <w:r>
                        <w:rPr/>
                        <w:t>matriz de integración presupuesto y contabilidad basada en las normas técnicas presupuestarias. Cada uno responde a objetivos específicos y se rige por principios de reconocimiento diferentes, con los resultados reportados en ambos enfoques.</w:t>
                      </w:r>
                    </w:p>
                  </w:txbxContent>
                </v:textbox>
                <v:stroke dashstyle="solid"/>
                <w10:wrap type="topAndBottom"/>
              </v:shape>
            </w:pict>
          </mc:Fallback>
        </mc:AlternateContent>
      </w:r>
    </w:p>
    <w:p>
      <w:pPr>
        <w:pStyle w:val="BodyText"/>
      </w:pPr>
    </w:p>
    <w:p>
      <w:pPr>
        <w:pStyle w:val="BodyText"/>
      </w:pPr>
    </w:p>
    <w:p>
      <w:pPr>
        <w:pStyle w:val="BodyText"/>
        <w:spacing w:before="6"/>
      </w:pPr>
    </w:p>
    <w:p>
      <w:pPr>
        <w:pStyle w:val="ListParagraph"/>
        <w:numPr>
          <w:ilvl w:val="1"/>
          <w:numId w:val="82"/>
        </w:numPr>
        <w:tabs>
          <w:tab w:pos="1339" w:val="left" w:leader="none"/>
        </w:tabs>
        <w:spacing w:line="240" w:lineRule="auto" w:before="0" w:after="0"/>
        <w:ind w:left="1339" w:right="0" w:hanging="358"/>
        <w:jc w:val="left"/>
        <w:rPr>
          <w:sz w:val="22"/>
        </w:rPr>
      </w:pPr>
      <w:r>
        <w:rPr>
          <w:sz w:val="22"/>
          <w:u w:val="single"/>
        </w:rPr>
        <w:t>Periodo</w:t>
      </w:r>
      <w:r>
        <w:rPr>
          <w:spacing w:val="-6"/>
          <w:sz w:val="22"/>
          <w:u w:val="single"/>
        </w:rPr>
        <w:t> </w:t>
      </w:r>
      <w:r>
        <w:rPr>
          <w:sz w:val="22"/>
          <w:u w:val="single"/>
        </w:rPr>
        <w:t>del</w:t>
      </w:r>
      <w:r>
        <w:rPr>
          <w:spacing w:val="-5"/>
          <w:sz w:val="22"/>
          <w:u w:val="single"/>
        </w:rPr>
        <w:t> </w:t>
      </w:r>
      <w:r>
        <w:rPr>
          <w:sz w:val="22"/>
          <w:u w:val="single"/>
        </w:rPr>
        <w:t>Presupuesto</w:t>
      </w:r>
      <w:r>
        <w:rPr>
          <w:spacing w:val="-5"/>
          <w:sz w:val="22"/>
          <w:u w:val="single"/>
        </w:rPr>
        <w:t> </w:t>
      </w:r>
      <w:r>
        <w:rPr>
          <w:sz w:val="22"/>
          <w:u w:val="single"/>
        </w:rPr>
        <w:t>Aprobado</w:t>
      </w:r>
      <w:r>
        <w:rPr>
          <w:spacing w:val="-5"/>
          <w:sz w:val="22"/>
          <w:u w:val="single"/>
        </w:rPr>
        <w:t> </w:t>
      </w:r>
      <w:r>
        <w:rPr>
          <w:sz w:val="22"/>
          <w:u w:val="single"/>
        </w:rPr>
        <w:t>(Párrafo</w:t>
      </w:r>
      <w:r>
        <w:rPr>
          <w:spacing w:val="-4"/>
          <w:sz w:val="22"/>
          <w:u w:val="single"/>
        </w:rPr>
        <w:t> </w:t>
      </w:r>
      <w:r>
        <w:rPr>
          <w:spacing w:val="-5"/>
          <w:sz w:val="22"/>
          <w:u w:val="single"/>
        </w:rPr>
        <w:t>43)</w:t>
      </w:r>
    </w:p>
    <w:p>
      <w:pPr>
        <w:pStyle w:val="BodyText"/>
        <w:spacing w:before="31"/>
        <w:rPr>
          <w:sz w:val="20"/>
        </w:rPr>
      </w:pPr>
      <w:r>
        <w:rPr>
          <w:sz w:val="20"/>
        </w:rPr>
        <mc:AlternateContent>
          <mc:Choice Requires="wps">
            <w:drawing>
              <wp:anchor distT="0" distB="0" distL="0" distR="0" allowOverlap="1" layoutInCell="1" locked="0" behindDoc="1" simplePos="0" relativeHeight="487810048">
                <wp:simplePos x="0" y="0"/>
                <wp:positionH relativeFrom="page">
                  <wp:posOffset>1080820</wp:posOffset>
                </wp:positionH>
                <wp:positionV relativeFrom="paragraph">
                  <wp:posOffset>182959</wp:posOffset>
                </wp:positionV>
                <wp:extent cx="5715000" cy="3441700"/>
                <wp:effectExtent l="0" t="0" r="0" b="0"/>
                <wp:wrapTopAndBottom/>
                <wp:docPr id="1104" name="Textbox 1104"/>
                <wp:cNvGraphicFramePr>
                  <a:graphicFrameLocks/>
                </wp:cNvGraphicFramePr>
                <a:graphic>
                  <a:graphicData uri="http://schemas.microsoft.com/office/word/2010/wordprocessingShape">
                    <wps:wsp>
                      <wps:cNvPr id="1104" name="Textbox 1104"/>
                      <wps:cNvSpPr txBox="1"/>
                      <wps:spPr>
                        <a:xfrm>
                          <a:off x="0" y="0"/>
                          <a:ext cx="5715000" cy="3441700"/>
                        </a:xfrm>
                        <a:prstGeom prst="rect">
                          <a:avLst/>
                        </a:prstGeom>
                        <a:ln w="6095">
                          <a:solidFill>
                            <a:srgbClr val="000000"/>
                          </a:solidFill>
                          <a:prstDash val="solid"/>
                        </a:ln>
                      </wps:spPr>
                      <wps:txbx>
                        <w:txbxContent>
                          <w:p>
                            <w:pPr>
                              <w:pStyle w:val="BodyText"/>
                              <w:spacing w:before="3"/>
                              <w:ind w:left="103"/>
                            </w:pPr>
                            <w:r>
                              <w:rPr>
                                <w:spacing w:val="-2"/>
                              </w:rPr>
                              <w:t>Revelación:</w:t>
                            </w:r>
                          </w:p>
                          <w:p>
                            <w:pPr>
                              <w:pStyle w:val="BodyText"/>
                              <w:spacing w:line="259" w:lineRule="auto" w:before="178"/>
                              <w:ind w:left="103" w:right="98"/>
                              <w:jc w:val="both"/>
                            </w:pPr>
                            <w:r>
                              <w:rPr/>
                              <w:t>Tanto</w:t>
                            </w:r>
                            <w:r>
                              <w:rPr>
                                <w:spacing w:val="-7"/>
                              </w:rPr>
                              <w:t> </w:t>
                            </w:r>
                            <w:r>
                              <w:rPr/>
                              <w:t>el</w:t>
                            </w:r>
                            <w:r>
                              <w:rPr>
                                <w:spacing w:val="-9"/>
                              </w:rPr>
                              <w:t> </w:t>
                            </w:r>
                            <w:r>
                              <w:rPr/>
                              <w:t>periodo</w:t>
                            </w:r>
                            <w:r>
                              <w:rPr>
                                <w:spacing w:val="-8"/>
                              </w:rPr>
                              <w:t> </w:t>
                            </w:r>
                            <w:r>
                              <w:rPr/>
                              <w:t>presupuestario</w:t>
                            </w:r>
                            <w:r>
                              <w:rPr>
                                <w:spacing w:val="-7"/>
                              </w:rPr>
                              <w:t> </w:t>
                            </w:r>
                            <w:r>
                              <w:rPr/>
                              <w:t>como</w:t>
                            </w:r>
                            <w:r>
                              <w:rPr>
                                <w:spacing w:val="-7"/>
                              </w:rPr>
                              <w:t> </w:t>
                            </w:r>
                            <w:r>
                              <w:rPr/>
                              <w:t>el</w:t>
                            </w:r>
                            <w:r>
                              <w:rPr>
                                <w:spacing w:val="-9"/>
                              </w:rPr>
                              <w:t> </w:t>
                            </w:r>
                            <w:r>
                              <w:rPr/>
                              <w:t>periodo</w:t>
                            </w:r>
                            <w:r>
                              <w:rPr>
                                <w:spacing w:val="-8"/>
                              </w:rPr>
                              <w:t> </w:t>
                            </w:r>
                            <w:r>
                              <w:rPr/>
                              <w:t>contable</w:t>
                            </w:r>
                            <w:r>
                              <w:rPr>
                                <w:spacing w:val="-9"/>
                              </w:rPr>
                              <w:t> </w:t>
                            </w:r>
                            <w:r>
                              <w:rPr/>
                              <w:t>comprenden</w:t>
                            </w:r>
                            <w:r>
                              <w:rPr>
                                <w:spacing w:val="-8"/>
                              </w:rPr>
                              <w:t> </w:t>
                            </w:r>
                            <w:r>
                              <w:rPr/>
                              <w:t>el</w:t>
                            </w:r>
                            <w:r>
                              <w:rPr>
                                <w:spacing w:val="-9"/>
                              </w:rPr>
                              <w:t> </w:t>
                            </w:r>
                            <w:r>
                              <w:rPr/>
                              <w:t>mismo</w:t>
                            </w:r>
                            <w:r>
                              <w:rPr>
                                <w:spacing w:val="-7"/>
                              </w:rPr>
                              <w:t> </w:t>
                            </w:r>
                            <w:r>
                              <w:rPr/>
                              <w:t>intervalo</w:t>
                            </w:r>
                            <w:r>
                              <w:rPr>
                                <w:spacing w:val="-8"/>
                              </w:rPr>
                              <w:t> </w:t>
                            </w:r>
                            <w:r>
                              <w:rPr/>
                              <w:t>temporal, del</w:t>
                            </w:r>
                            <w:r>
                              <w:rPr>
                                <w:spacing w:val="-14"/>
                              </w:rPr>
                              <w:t> </w:t>
                            </w:r>
                            <w:r>
                              <w:rPr/>
                              <w:t>1</w:t>
                            </w:r>
                            <w:r>
                              <w:rPr>
                                <w:spacing w:val="-14"/>
                              </w:rPr>
                              <w:t> </w:t>
                            </w:r>
                            <w:r>
                              <w:rPr/>
                              <w:t>de</w:t>
                            </w:r>
                            <w:r>
                              <w:rPr>
                                <w:spacing w:val="-14"/>
                              </w:rPr>
                              <w:t> </w:t>
                            </w:r>
                            <w:r>
                              <w:rPr/>
                              <w:t>enero</w:t>
                            </w:r>
                            <w:r>
                              <w:rPr>
                                <w:spacing w:val="-11"/>
                              </w:rPr>
                              <w:t> </w:t>
                            </w:r>
                            <w:r>
                              <w:rPr/>
                              <w:t>al</w:t>
                            </w:r>
                            <w:r>
                              <w:rPr>
                                <w:spacing w:val="-11"/>
                              </w:rPr>
                              <w:t> </w:t>
                            </w:r>
                            <w:r>
                              <w:rPr/>
                              <w:t>31</w:t>
                            </w:r>
                            <w:r>
                              <w:rPr>
                                <w:spacing w:val="-14"/>
                              </w:rPr>
                              <w:t> </w:t>
                            </w:r>
                            <w:r>
                              <w:rPr/>
                              <w:t>de</w:t>
                            </w:r>
                            <w:r>
                              <w:rPr>
                                <w:spacing w:val="-12"/>
                              </w:rPr>
                              <w:t> </w:t>
                            </w:r>
                            <w:r>
                              <w:rPr/>
                              <w:t>diciembre</w:t>
                            </w:r>
                            <w:r>
                              <w:rPr>
                                <w:spacing w:val="-14"/>
                              </w:rPr>
                              <w:t> </w:t>
                            </w:r>
                            <w:r>
                              <w:rPr/>
                              <w:t>de</w:t>
                            </w:r>
                            <w:r>
                              <w:rPr>
                                <w:spacing w:val="-14"/>
                              </w:rPr>
                              <w:t> </w:t>
                            </w:r>
                            <w:r>
                              <w:rPr/>
                              <w:t>cada</w:t>
                            </w:r>
                            <w:r>
                              <w:rPr>
                                <w:spacing w:val="-13"/>
                              </w:rPr>
                              <w:t> </w:t>
                            </w:r>
                            <w:r>
                              <w:rPr/>
                              <w:t>año.</w:t>
                            </w:r>
                            <w:r>
                              <w:rPr>
                                <w:spacing w:val="-14"/>
                              </w:rPr>
                              <w:t> </w:t>
                            </w:r>
                            <w:r>
                              <w:rPr/>
                              <w:t>No</w:t>
                            </w:r>
                            <w:r>
                              <w:rPr>
                                <w:spacing w:val="-11"/>
                              </w:rPr>
                              <w:t> </w:t>
                            </w:r>
                            <w:r>
                              <w:rPr/>
                              <w:t>obstante,</w:t>
                            </w:r>
                            <w:r>
                              <w:rPr>
                                <w:spacing w:val="-13"/>
                              </w:rPr>
                              <w:t> </w:t>
                            </w:r>
                            <w:r>
                              <w:rPr/>
                              <w:t>debido</w:t>
                            </w:r>
                            <w:r>
                              <w:rPr>
                                <w:spacing w:val="-13"/>
                              </w:rPr>
                              <w:t> </w:t>
                            </w:r>
                            <w:r>
                              <w:rPr/>
                              <w:t>a</w:t>
                            </w:r>
                            <w:r>
                              <w:rPr>
                                <w:spacing w:val="-14"/>
                              </w:rPr>
                              <w:t> </w:t>
                            </w:r>
                            <w:r>
                              <w:rPr/>
                              <w:t>la</w:t>
                            </w:r>
                            <w:r>
                              <w:rPr>
                                <w:spacing w:val="-13"/>
                              </w:rPr>
                              <w:t> </w:t>
                            </w:r>
                            <w:r>
                              <w:rPr/>
                              <w:t>aplicación</w:t>
                            </w:r>
                            <w:r>
                              <w:rPr>
                                <w:spacing w:val="-13"/>
                              </w:rPr>
                              <w:t> </w:t>
                            </w:r>
                            <w:r>
                              <w:rPr/>
                              <w:t>de</w:t>
                            </w:r>
                            <w:r>
                              <w:rPr>
                                <w:spacing w:val="-14"/>
                              </w:rPr>
                              <w:t> </w:t>
                            </w:r>
                            <w:r>
                              <w:rPr/>
                              <w:t>bases</w:t>
                            </w:r>
                            <w:r>
                              <w:rPr>
                                <w:spacing w:val="-11"/>
                              </w:rPr>
                              <w:t> </w:t>
                            </w:r>
                            <w:r>
                              <w:rPr/>
                              <w:t>de</w:t>
                            </w:r>
                            <w:r>
                              <w:rPr>
                                <w:spacing w:val="-14"/>
                              </w:rPr>
                              <w:t> </w:t>
                            </w:r>
                            <w:r>
                              <w:rPr/>
                              <w:t>registro, los</w:t>
                            </w:r>
                            <w:r>
                              <w:rPr>
                                <w:spacing w:val="-2"/>
                              </w:rPr>
                              <w:t> </w:t>
                            </w:r>
                            <w:r>
                              <w:rPr/>
                              <w:t>resultados</w:t>
                            </w:r>
                            <w:r>
                              <w:rPr>
                                <w:spacing w:val="-2"/>
                              </w:rPr>
                              <w:t> </w:t>
                            </w:r>
                            <w:r>
                              <w:rPr/>
                              <w:t>presupuestarios</w:t>
                            </w:r>
                            <w:r>
                              <w:rPr>
                                <w:spacing w:val="-5"/>
                              </w:rPr>
                              <w:t> </w:t>
                            </w:r>
                            <w:r>
                              <w:rPr/>
                              <w:t>y</w:t>
                            </w:r>
                            <w:r>
                              <w:rPr>
                                <w:spacing w:val="-4"/>
                              </w:rPr>
                              <w:t> </w:t>
                            </w:r>
                            <w:r>
                              <w:rPr/>
                              <w:t>los</w:t>
                            </w:r>
                            <w:r>
                              <w:rPr>
                                <w:spacing w:val="-2"/>
                              </w:rPr>
                              <w:t> </w:t>
                            </w:r>
                            <w:r>
                              <w:rPr/>
                              <w:t>contables</w:t>
                            </w:r>
                            <w:r>
                              <w:rPr>
                                <w:spacing w:val="-2"/>
                              </w:rPr>
                              <w:t> </w:t>
                            </w:r>
                            <w:r>
                              <w:rPr/>
                              <w:t>tienen</w:t>
                            </w:r>
                            <w:r>
                              <w:rPr>
                                <w:spacing w:val="-4"/>
                              </w:rPr>
                              <w:t> </w:t>
                            </w:r>
                            <w:r>
                              <w:rPr/>
                              <w:t>su</w:t>
                            </w:r>
                            <w:r>
                              <w:rPr>
                                <w:spacing w:val="-7"/>
                              </w:rPr>
                              <w:t> </w:t>
                            </w:r>
                            <w:r>
                              <w:rPr/>
                              <w:t>origen</w:t>
                            </w:r>
                            <w:r>
                              <w:rPr>
                                <w:spacing w:val="-3"/>
                              </w:rPr>
                              <w:t> </w:t>
                            </w:r>
                            <w:r>
                              <w:rPr/>
                              <w:t>de</w:t>
                            </w:r>
                            <w:r>
                              <w:rPr>
                                <w:spacing w:val="-5"/>
                              </w:rPr>
                              <w:t> </w:t>
                            </w:r>
                            <w:r>
                              <w:rPr/>
                              <w:t>acuerdo</w:t>
                            </w:r>
                            <w:r>
                              <w:rPr>
                                <w:spacing w:val="-5"/>
                              </w:rPr>
                              <w:t> </w:t>
                            </w:r>
                            <w:r>
                              <w:rPr/>
                              <w:t>con</w:t>
                            </w:r>
                            <w:r>
                              <w:rPr>
                                <w:spacing w:val="-5"/>
                              </w:rPr>
                              <w:t> </w:t>
                            </w:r>
                            <w:r>
                              <w:rPr/>
                              <w:t>sus</w:t>
                            </w:r>
                            <w:r>
                              <w:rPr>
                                <w:spacing w:val="-5"/>
                              </w:rPr>
                              <w:t> </w:t>
                            </w:r>
                            <w:r>
                              <w:rPr/>
                              <w:t>objetivos</w:t>
                            </w:r>
                            <w:r>
                              <w:rPr>
                                <w:spacing w:val="-2"/>
                              </w:rPr>
                              <w:t> </w:t>
                            </w:r>
                            <w:r>
                              <w:rPr/>
                              <w:t>dentro</w:t>
                            </w:r>
                            <w:r>
                              <w:rPr>
                                <w:spacing w:val="-3"/>
                              </w:rPr>
                              <w:t> </w:t>
                            </w:r>
                            <w:r>
                              <w:rPr/>
                              <w:t>de un mismo ejercicio, los responden a la naturaleza de cada registro y son objeto de análisis y conciliación, en cumplimiento de lo establecido por la NICSP 24.</w:t>
                            </w:r>
                          </w:p>
                          <w:p>
                            <w:pPr>
                              <w:pStyle w:val="BodyText"/>
                              <w:spacing w:line="276" w:lineRule="auto" w:before="160"/>
                              <w:ind w:left="103" w:right="102"/>
                              <w:jc w:val="both"/>
                            </w:pPr>
                            <w:r>
                              <w:rPr/>
                              <w:t>El</w:t>
                            </w:r>
                            <w:r>
                              <w:rPr>
                                <w:spacing w:val="-9"/>
                              </w:rPr>
                              <w:t> </w:t>
                            </w:r>
                            <w:r>
                              <w:rPr/>
                              <w:t>presupuesto</w:t>
                            </w:r>
                            <w:r>
                              <w:rPr>
                                <w:spacing w:val="-7"/>
                              </w:rPr>
                              <w:t> </w:t>
                            </w:r>
                            <w:r>
                              <w:rPr/>
                              <w:t>aprobado</w:t>
                            </w:r>
                            <w:r>
                              <w:rPr>
                                <w:spacing w:val="-8"/>
                              </w:rPr>
                              <w:t> </w:t>
                            </w:r>
                            <w:r>
                              <w:rPr/>
                              <w:t>incluye</w:t>
                            </w:r>
                            <w:r>
                              <w:rPr>
                                <w:spacing w:val="-9"/>
                              </w:rPr>
                              <w:t> </w:t>
                            </w:r>
                            <w:r>
                              <w:rPr/>
                              <w:t>tanto</w:t>
                            </w:r>
                            <w:r>
                              <w:rPr>
                                <w:spacing w:val="-7"/>
                              </w:rPr>
                              <w:t> </w:t>
                            </w:r>
                            <w:r>
                              <w:rPr/>
                              <w:t>el</w:t>
                            </w:r>
                            <w:r>
                              <w:rPr>
                                <w:spacing w:val="-9"/>
                              </w:rPr>
                              <w:t> </w:t>
                            </w:r>
                            <w:r>
                              <w:rPr/>
                              <w:t>presupuesto</w:t>
                            </w:r>
                            <w:r>
                              <w:rPr>
                                <w:spacing w:val="-7"/>
                              </w:rPr>
                              <w:t> </w:t>
                            </w:r>
                            <w:r>
                              <w:rPr/>
                              <w:t>inicial</w:t>
                            </w:r>
                            <w:r>
                              <w:rPr>
                                <w:spacing w:val="-9"/>
                              </w:rPr>
                              <w:t> </w:t>
                            </w:r>
                            <w:r>
                              <w:rPr/>
                              <w:t>como</w:t>
                            </w:r>
                            <w:r>
                              <w:rPr>
                                <w:spacing w:val="-7"/>
                              </w:rPr>
                              <w:t> </w:t>
                            </w:r>
                            <w:r>
                              <w:rPr/>
                              <w:t>las</w:t>
                            </w:r>
                            <w:r>
                              <w:rPr>
                                <w:spacing w:val="-10"/>
                              </w:rPr>
                              <w:t> </w:t>
                            </w:r>
                            <w:r>
                              <w:rPr/>
                              <w:t>modificaciones</w:t>
                            </w:r>
                            <w:r>
                              <w:rPr>
                                <w:spacing w:val="-7"/>
                              </w:rPr>
                              <w:t> </w:t>
                            </w:r>
                            <w:r>
                              <w:rPr/>
                              <w:t>presupuestarias legalmente autorizadas durante el ejercicio, las cuales dan origen al presupuesto final. Estas modificaciones se realizan conforme a los mecanismos establecidos en la Ley N.° 8131, Ley de la Administración</w:t>
                            </w:r>
                            <w:r>
                              <w:rPr>
                                <w:spacing w:val="-11"/>
                              </w:rPr>
                              <w:t> </w:t>
                            </w:r>
                            <w:r>
                              <w:rPr/>
                              <w:t>Financiera</w:t>
                            </w:r>
                            <w:r>
                              <w:rPr>
                                <w:spacing w:val="-10"/>
                              </w:rPr>
                              <w:t> </w:t>
                            </w:r>
                            <w:r>
                              <w:rPr/>
                              <w:t>de</w:t>
                            </w:r>
                            <w:r>
                              <w:rPr>
                                <w:spacing w:val="-11"/>
                              </w:rPr>
                              <w:t> </w:t>
                            </w:r>
                            <w:r>
                              <w:rPr/>
                              <w:t>la</w:t>
                            </w:r>
                            <w:r>
                              <w:rPr>
                                <w:spacing w:val="-11"/>
                              </w:rPr>
                              <w:t> </w:t>
                            </w:r>
                            <w:r>
                              <w:rPr/>
                              <w:t>República</w:t>
                            </w:r>
                            <w:r>
                              <w:rPr>
                                <w:spacing w:val="-10"/>
                              </w:rPr>
                              <w:t> </w:t>
                            </w:r>
                            <w:r>
                              <w:rPr/>
                              <w:t>y</w:t>
                            </w:r>
                            <w:r>
                              <w:rPr>
                                <w:spacing w:val="-11"/>
                              </w:rPr>
                              <w:t> </w:t>
                            </w:r>
                            <w:r>
                              <w:rPr/>
                              <w:t>Presupuestos</w:t>
                            </w:r>
                            <w:r>
                              <w:rPr>
                                <w:spacing w:val="-11"/>
                              </w:rPr>
                              <w:t> </w:t>
                            </w:r>
                            <w:r>
                              <w:rPr/>
                              <w:t>Públicos,</w:t>
                            </w:r>
                            <w:r>
                              <w:rPr>
                                <w:spacing w:val="-12"/>
                              </w:rPr>
                              <w:t> </w:t>
                            </w:r>
                            <w:r>
                              <w:rPr/>
                              <w:t>su</w:t>
                            </w:r>
                            <w:r>
                              <w:rPr>
                                <w:spacing w:val="-12"/>
                              </w:rPr>
                              <w:t> </w:t>
                            </w:r>
                            <w:r>
                              <w:rPr/>
                              <w:t>reglamento</w:t>
                            </w:r>
                            <w:r>
                              <w:rPr>
                                <w:spacing w:val="-11"/>
                              </w:rPr>
                              <w:t> </w:t>
                            </w:r>
                            <w:r>
                              <w:rPr/>
                              <w:t>y</w:t>
                            </w:r>
                            <w:r>
                              <w:rPr>
                                <w:spacing w:val="-11"/>
                              </w:rPr>
                              <w:t> </w:t>
                            </w:r>
                            <w:r>
                              <w:rPr/>
                              <w:t>demás</w:t>
                            </w:r>
                            <w:r>
                              <w:rPr>
                                <w:spacing w:val="-9"/>
                              </w:rPr>
                              <w:t> </w:t>
                            </w:r>
                            <w:r>
                              <w:rPr/>
                              <w:t>normativa aplicable, y forman parte integral del proceso de ejecución y control presupuestario.</w:t>
                            </w:r>
                          </w:p>
                          <w:p>
                            <w:pPr>
                              <w:pStyle w:val="BodyText"/>
                              <w:spacing w:before="37"/>
                            </w:pPr>
                          </w:p>
                          <w:p>
                            <w:pPr>
                              <w:pStyle w:val="BodyText"/>
                              <w:spacing w:line="276" w:lineRule="auto"/>
                              <w:ind w:left="103" w:right="100"/>
                              <w:jc w:val="both"/>
                            </w:pPr>
                            <w:r>
                              <w:rPr/>
                              <w:t>La</w:t>
                            </w:r>
                            <w:r>
                              <w:rPr>
                                <w:spacing w:val="-14"/>
                              </w:rPr>
                              <w:t> </w:t>
                            </w:r>
                            <w:r>
                              <w:rPr/>
                              <w:t>revelación</w:t>
                            </w:r>
                            <w:r>
                              <w:rPr>
                                <w:spacing w:val="-14"/>
                              </w:rPr>
                              <w:t> </w:t>
                            </w:r>
                            <w:r>
                              <w:rPr/>
                              <w:t>del</w:t>
                            </w:r>
                            <w:r>
                              <w:rPr>
                                <w:spacing w:val="-14"/>
                              </w:rPr>
                              <w:t> </w:t>
                            </w:r>
                            <w:r>
                              <w:rPr/>
                              <w:t>periodo</w:t>
                            </w:r>
                            <w:r>
                              <w:rPr>
                                <w:spacing w:val="-13"/>
                              </w:rPr>
                              <w:t> </w:t>
                            </w:r>
                            <w:r>
                              <w:rPr/>
                              <w:t>presupuestario</w:t>
                            </w:r>
                            <w:r>
                              <w:rPr>
                                <w:spacing w:val="-14"/>
                              </w:rPr>
                              <w:t> </w:t>
                            </w:r>
                            <w:r>
                              <w:rPr/>
                              <w:t>permite</w:t>
                            </w:r>
                            <w:r>
                              <w:rPr>
                                <w:spacing w:val="-14"/>
                              </w:rPr>
                              <w:t> </w:t>
                            </w:r>
                            <w:r>
                              <w:rPr/>
                              <w:t>a</w:t>
                            </w:r>
                            <w:r>
                              <w:rPr>
                                <w:spacing w:val="-14"/>
                              </w:rPr>
                              <w:t> </w:t>
                            </w:r>
                            <w:r>
                              <w:rPr/>
                              <w:t>los</w:t>
                            </w:r>
                            <w:r>
                              <w:rPr>
                                <w:spacing w:val="-12"/>
                              </w:rPr>
                              <w:t> </w:t>
                            </w:r>
                            <w:r>
                              <w:rPr/>
                              <w:t>usuarios</w:t>
                            </w:r>
                            <w:r>
                              <w:rPr>
                                <w:spacing w:val="-12"/>
                              </w:rPr>
                              <w:t> </w:t>
                            </w:r>
                            <w:r>
                              <w:rPr/>
                              <w:t>de</w:t>
                            </w:r>
                            <w:r>
                              <w:rPr>
                                <w:spacing w:val="-14"/>
                              </w:rPr>
                              <w:t> </w:t>
                            </w:r>
                            <w:r>
                              <w:rPr/>
                              <w:t>los</w:t>
                            </w:r>
                            <w:r>
                              <w:rPr>
                                <w:spacing w:val="-14"/>
                              </w:rPr>
                              <w:t> </w:t>
                            </w:r>
                            <w:r>
                              <w:rPr/>
                              <w:t>estados</w:t>
                            </w:r>
                            <w:r>
                              <w:rPr>
                                <w:spacing w:val="-13"/>
                              </w:rPr>
                              <w:t> </w:t>
                            </w:r>
                            <w:r>
                              <w:rPr/>
                              <w:t>financieros</w:t>
                            </w:r>
                            <w:r>
                              <w:rPr>
                                <w:spacing w:val="-12"/>
                              </w:rPr>
                              <w:t> </w:t>
                            </w:r>
                            <w:r>
                              <w:rPr/>
                              <w:t>comprender </w:t>
                            </w:r>
                            <w:r>
                              <w:rPr>
                                <w:spacing w:val="-2"/>
                              </w:rPr>
                              <w:t>la correspondencia temporal entre la información presupuestaria y la información contable presentada, </w:t>
                            </w:r>
                            <w:r>
                              <w:rPr/>
                              <w:t>facilitando</w:t>
                            </w:r>
                            <w:r>
                              <w:rPr>
                                <w:spacing w:val="-14"/>
                              </w:rPr>
                              <w:t> </w:t>
                            </w:r>
                            <w:r>
                              <w:rPr/>
                              <w:t>la</w:t>
                            </w:r>
                            <w:r>
                              <w:rPr>
                                <w:spacing w:val="-14"/>
                              </w:rPr>
                              <w:t> </w:t>
                            </w:r>
                            <w:r>
                              <w:rPr/>
                              <w:t>interpretación</w:t>
                            </w:r>
                            <w:r>
                              <w:rPr>
                                <w:spacing w:val="-14"/>
                              </w:rPr>
                              <w:t> </w:t>
                            </w:r>
                            <w:r>
                              <w:rPr/>
                              <w:t>de</w:t>
                            </w:r>
                            <w:r>
                              <w:rPr>
                                <w:spacing w:val="-13"/>
                              </w:rPr>
                              <w:t> </w:t>
                            </w:r>
                            <w:r>
                              <w:rPr/>
                              <w:t>la</w:t>
                            </w:r>
                            <w:r>
                              <w:rPr>
                                <w:spacing w:val="-14"/>
                              </w:rPr>
                              <w:t> </w:t>
                            </w:r>
                            <w:r>
                              <w:rPr/>
                              <w:t>comparación</w:t>
                            </w:r>
                            <w:r>
                              <w:rPr>
                                <w:spacing w:val="-14"/>
                              </w:rPr>
                              <w:t> </w:t>
                            </w:r>
                            <w:r>
                              <w:rPr/>
                              <w:t>entre</w:t>
                            </w:r>
                            <w:r>
                              <w:rPr>
                                <w:spacing w:val="-14"/>
                              </w:rPr>
                              <w:t> </w:t>
                            </w:r>
                            <w:r>
                              <w:rPr/>
                              <w:t>los</w:t>
                            </w:r>
                            <w:r>
                              <w:rPr>
                                <w:spacing w:val="-13"/>
                              </w:rPr>
                              <w:t> </w:t>
                            </w:r>
                            <w:r>
                              <w:rPr/>
                              <w:t>importes</w:t>
                            </w:r>
                            <w:r>
                              <w:rPr>
                                <w:spacing w:val="-14"/>
                              </w:rPr>
                              <w:t> </w:t>
                            </w:r>
                            <w:r>
                              <w:rPr/>
                              <w:t>presupuestados</w:t>
                            </w:r>
                            <w:r>
                              <w:rPr>
                                <w:spacing w:val="-14"/>
                              </w:rPr>
                              <w:t> </w:t>
                            </w:r>
                            <w:r>
                              <w:rPr/>
                              <w:t>y</w:t>
                            </w:r>
                            <w:r>
                              <w:rPr>
                                <w:spacing w:val="-14"/>
                              </w:rPr>
                              <w:t> </w:t>
                            </w:r>
                            <w:r>
                              <w:rPr/>
                              <w:t>los</w:t>
                            </w:r>
                            <w:r>
                              <w:rPr>
                                <w:spacing w:val="-13"/>
                              </w:rPr>
                              <w:t> </w:t>
                            </w:r>
                            <w:r>
                              <w:rPr/>
                              <w:t>importes</w:t>
                            </w:r>
                            <w:r>
                              <w:rPr>
                                <w:spacing w:val="-14"/>
                              </w:rPr>
                              <w:t> </w:t>
                            </w:r>
                            <w:r>
                              <w:rPr/>
                              <w:t>reales, así como de</w:t>
                            </w:r>
                            <w:r>
                              <w:rPr>
                                <w:spacing w:val="-2"/>
                              </w:rPr>
                              <w:t> </w:t>
                            </w:r>
                            <w:r>
                              <w:rPr/>
                              <w:t>las conciliaciones entre el resultado presupuestario y</w:t>
                            </w:r>
                            <w:r>
                              <w:rPr>
                                <w:spacing w:val="-1"/>
                              </w:rPr>
                              <w:t> </w:t>
                            </w:r>
                            <w:r>
                              <w:rPr/>
                              <w:t>el resultado</w:t>
                            </w:r>
                            <w:r>
                              <w:rPr>
                                <w:spacing w:val="-2"/>
                              </w:rPr>
                              <w:t> </w:t>
                            </w:r>
                            <w:r>
                              <w:rPr/>
                              <w:t>financiero del periodo.</w:t>
                            </w:r>
                          </w:p>
                        </w:txbxContent>
                      </wps:txbx>
                      <wps:bodyPr wrap="square" lIns="0" tIns="0" rIns="0" bIns="0" rtlCol="0">
                        <a:noAutofit/>
                      </wps:bodyPr>
                    </wps:wsp>
                  </a:graphicData>
                </a:graphic>
              </wp:anchor>
            </w:drawing>
          </mc:Choice>
          <mc:Fallback>
            <w:pict>
              <v:shape style="position:absolute;margin-left:85.103996pt;margin-top:14.40625pt;width:450pt;height:271pt;mso-position-horizontal-relative:page;mso-position-vertical-relative:paragraph;z-index:-15506432;mso-wrap-distance-left:0;mso-wrap-distance-right:0" type="#_x0000_t202" id="docshape1051" filled="false" stroked="true" strokeweight=".47998pt" strokecolor="#000000">
                <v:textbox inset="0,0,0,0">
                  <w:txbxContent>
                    <w:p>
                      <w:pPr>
                        <w:pStyle w:val="BodyText"/>
                        <w:spacing w:before="3"/>
                        <w:ind w:left="103"/>
                      </w:pPr>
                      <w:r>
                        <w:rPr>
                          <w:spacing w:val="-2"/>
                        </w:rPr>
                        <w:t>Revelación:</w:t>
                      </w:r>
                    </w:p>
                    <w:p>
                      <w:pPr>
                        <w:pStyle w:val="BodyText"/>
                        <w:spacing w:line="259" w:lineRule="auto" w:before="178"/>
                        <w:ind w:left="103" w:right="98"/>
                        <w:jc w:val="both"/>
                      </w:pPr>
                      <w:r>
                        <w:rPr/>
                        <w:t>Tanto</w:t>
                      </w:r>
                      <w:r>
                        <w:rPr>
                          <w:spacing w:val="-7"/>
                        </w:rPr>
                        <w:t> </w:t>
                      </w:r>
                      <w:r>
                        <w:rPr/>
                        <w:t>el</w:t>
                      </w:r>
                      <w:r>
                        <w:rPr>
                          <w:spacing w:val="-9"/>
                        </w:rPr>
                        <w:t> </w:t>
                      </w:r>
                      <w:r>
                        <w:rPr/>
                        <w:t>periodo</w:t>
                      </w:r>
                      <w:r>
                        <w:rPr>
                          <w:spacing w:val="-8"/>
                        </w:rPr>
                        <w:t> </w:t>
                      </w:r>
                      <w:r>
                        <w:rPr/>
                        <w:t>presupuestario</w:t>
                      </w:r>
                      <w:r>
                        <w:rPr>
                          <w:spacing w:val="-7"/>
                        </w:rPr>
                        <w:t> </w:t>
                      </w:r>
                      <w:r>
                        <w:rPr/>
                        <w:t>como</w:t>
                      </w:r>
                      <w:r>
                        <w:rPr>
                          <w:spacing w:val="-7"/>
                        </w:rPr>
                        <w:t> </w:t>
                      </w:r>
                      <w:r>
                        <w:rPr/>
                        <w:t>el</w:t>
                      </w:r>
                      <w:r>
                        <w:rPr>
                          <w:spacing w:val="-9"/>
                        </w:rPr>
                        <w:t> </w:t>
                      </w:r>
                      <w:r>
                        <w:rPr/>
                        <w:t>periodo</w:t>
                      </w:r>
                      <w:r>
                        <w:rPr>
                          <w:spacing w:val="-8"/>
                        </w:rPr>
                        <w:t> </w:t>
                      </w:r>
                      <w:r>
                        <w:rPr/>
                        <w:t>contable</w:t>
                      </w:r>
                      <w:r>
                        <w:rPr>
                          <w:spacing w:val="-9"/>
                        </w:rPr>
                        <w:t> </w:t>
                      </w:r>
                      <w:r>
                        <w:rPr/>
                        <w:t>comprenden</w:t>
                      </w:r>
                      <w:r>
                        <w:rPr>
                          <w:spacing w:val="-8"/>
                        </w:rPr>
                        <w:t> </w:t>
                      </w:r>
                      <w:r>
                        <w:rPr/>
                        <w:t>el</w:t>
                      </w:r>
                      <w:r>
                        <w:rPr>
                          <w:spacing w:val="-9"/>
                        </w:rPr>
                        <w:t> </w:t>
                      </w:r>
                      <w:r>
                        <w:rPr/>
                        <w:t>mismo</w:t>
                      </w:r>
                      <w:r>
                        <w:rPr>
                          <w:spacing w:val="-7"/>
                        </w:rPr>
                        <w:t> </w:t>
                      </w:r>
                      <w:r>
                        <w:rPr/>
                        <w:t>intervalo</w:t>
                      </w:r>
                      <w:r>
                        <w:rPr>
                          <w:spacing w:val="-8"/>
                        </w:rPr>
                        <w:t> </w:t>
                      </w:r>
                      <w:r>
                        <w:rPr/>
                        <w:t>temporal, del</w:t>
                      </w:r>
                      <w:r>
                        <w:rPr>
                          <w:spacing w:val="-14"/>
                        </w:rPr>
                        <w:t> </w:t>
                      </w:r>
                      <w:r>
                        <w:rPr/>
                        <w:t>1</w:t>
                      </w:r>
                      <w:r>
                        <w:rPr>
                          <w:spacing w:val="-14"/>
                        </w:rPr>
                        <w:t> </w:t>
                      </w:r>
                      <w:r>
                        <w:rPr/>
                        <w:t>de</w:t>
                      </w:r>
                      <w:r>
                        <w:rPr>
                          <w:spacing w:val="-14"/>
                        </w:rPr>
                        <w:t> </w:t>
                      </w:r>
                      <w:r>
                        <w:rPr/>
                        <w:t>enero</w:t>
                      </w:r>
                      <w:r>
                        <w:rPr>
                          <w:spacing w:val="-11"/>
                        </w:rPr>
                        <w:t> </w:t>
                      </w:r>
                      <w:r>
                        <w:rPr/>
                        <w:t>al</w:t>
                      </w:r>
                      <w:r>
                        <w:rPr>
                          <w:spacing w:val="-11"/>
                        </w:rPr>
                        <w:t> </w:t>
                      </w:r>
                      <w:r>
                        <w:rPr/>
                        <w:t>31</w:t>
                      </w:r>
                      <w:r>
                        <w:rPr>
                          <w:spacing w:val="-14"/>
                        </w:rPr>
                        <w:t> </w:t>
                      </w:r>
                      <w:r>
                        <w:rPr/>
                        <w:t>de</w:t>
                      </w:r>
                      <w:r>
                        <w:rPr>
                          <w:spacing w:val="-12"/>
                        </w:rPr>
                        <w:t> </w:t>
                      </w:r>
                      <w:r>
                        <w:rPr/>
                        <w:t>diciembre</w:t>
                      </w:r>
                      <w:r>
                        <w:rPr>
                          <w:spacing w:val="-14"/>
                        </w:rPr>
                        <w:t> </w:t>
                      </w:r>
                      <w:r>
                        <w:rPr/>
                        <w:t>de</w:t>
                      </w:r>
                      <w:r>
                        <w:rPr>
                          <w:spacing w:val="-14"/>
                        </w:rPr>
                        <w:t> </w:t>
                      </w:r>
                      <w:r>
                        <w:rPr/>
                        <w:t>cada</w:t>
                      </w:r>
                      <w:r>
                        <w:rPr>
                          <w:spacing w:val="-13"/>
                        </w:rPr>
                        <w:t> </w:t>
                      </w:r>
                      <w:r>
                        <w:rPr/>
                        <w:t>año.</w:t>
                      </w:r>
                      <w:r>
                        <w:rPr>
                          <w:spacing w:val="-14"/>
                        </w:rPr>
                        <w:t> </w:t>
                      </w:r>
                      <w:r>
                        <w:rPr/>
                        <w:t>No</w:t>
                      </w:r>
                      <w:r>
                        <w:rPr>
                          <w:spacing w:val="-11"/>
                        </w:rPr>
                        <w:t> </w:t>
                      </w:r>
                      <w:r>
                        <w:rPr/>
                        <w:t>obstante,</w:t>
                      </w:r>
                      <w:r>
                        <w:rPr>
                          <w:spacing w:val="-13"/>
                        </w:rPr>
                        <w:t> </w:t>
                      </w:r>
                      <w:r>
                        <w:rPr/>
                        <w:t>debido</w:t>
                      </w:r>
                      <w:r>
                        <w:rPr>
                          <w:spacing w:val="-13"/>
                        </w:rPr>
                        <w:t> </w:t>
                      </w:r>
                      <w:r>
                        <w:rPr/>
                        <w:t>a</w:t>
                      </w:r>
                      <w:r>
                        <w:rPr>
                          <w:spacing w:val="-14"/>
                        </w:rPr>
                        <w:t> </w:t>
                      </w:r>
                      <w:r>
                        <w:rPr/>
                        <w:t>la</w:t>
                      </w:r>
                      <w:r>
                        <w:rPr>
                          <w:spacing w:val="-13"/>
                        </w:rPr>
                        <w:t> </w:t>
                      </w:r>
                      <w:r>
                        <w:rPr/>
                        <w:t>aplicación</w:t>
                      </w:r>
                      <w:r>
                        <w:rPr>
                          <w:spacing w:val="-13"/>
                        </w:rPr>
                        <w:t> </w:t>
                      </w:r>
                      <w:r>
                        <w:rPr/>
                        <w:t>de</w:t>
                      </w:r>
                      <w:r>
                        <w:rPr>
                          <w:spacing w:val="-14"/>
                        </w:rPr>
                        <w:t> </w:t>
                      </w:r>
                      <w:r>
                        <w:rPr/>
                        <w:t>bases</w:t>
                      </w:r>
                      <w:r>
                        <w:rPr>
                          <w:spacing w:val="-11"/>
                        </w:rPr>
                        <w:t> </w:t>
                      </w:r>
                      <w:r>
                        <w:rPr/>
                        <w:t>de</w:t>
                      </w:r>
                      <w:r>
                        <w:rPr>
                          <w:spacing w:val="-14"/>
                        </w:rPr>
                        <w:t> </w:t>
                      </w:r>
                      <w:r>
                        <w:rPr/>
                        <w:t>registro, los</w:t>
                      </w:r>
                      <w:r>
                        <w:rPr>
                          <w:spacing w:val="-2"/>
                        </w:rPr>
                        <w:t> </w:t>
                      </w:r>
                      <w:r>
                        <w:rPr/>
                        <w:t>resultados</w:t>
                      </w:r>
                      <w:r>
                        <w:rPr>
                          <w:spacing w:val="-2"/>
                        </w:rPr>
                        <w:t> </w:t>
                      </w:r>
                      <w:r>
                        <w:rPr/>
                        <w:t>presupuestarios</w:t>
                      </w:r>
                      <w:r>
                        <w:rPr>
                          <w:spacing w:val="-5"/>
                        </w:rPr>
                        <w:t> </w:t>
                      </w:r>
                      <w:r>
                        <w:rPr/>
                        <w:t>y</w:t>
                      </w:r>
                      <w:r>
                        <w:rPr>
                          <w:spacing w:val="-4"/>
                        </w:rPr>
                        <w:t> </w:t>
                      </w:r>
                      <w:r>
                        <w:rPr/>
                        <w:t>los</w:t>
                      </w:r>
                      <w:r>
                        <w:rPr>
                          <w:spacing w:val="-2"/>
                        </w:rPr>
                        <w:t> </w:t>
                      </w:r>
                      <w:r>
                        <w:rPr/>
                        <w:t>contables</w:t>
                      </w:r>
                      <w:r>
                        <w:rPr>
                          <w:spacing w:val="-2"/>
                        </w:rPr>
                        <w:t> </w:t>
                      </w:r>
                      <w:r>
                        <w:rPr/>
                        <w:t>tienen</w:t>
                      </w:r>
                      <w:r>
                        <w:rPr>
                          <w:spacing w:val="-4"/>
                        </w:rPr>
                        <w:t> </w:t>
                      </w:r>
                      <w:r>
                        <w:rPr/>
                        <w:t>su</w:t>
                      </w:r>
                      <w:r>
                        <w:rPr>
                          <w:spacing w:val="-7"/>
                        </w:rPr>
                        <w:t> </w:t>
                      </w:r>
                      <w:r>
                        <w:rPr/>
                        <w:t>origen</w:t>
                      </w:r>
                      <w:r>
                        <w:rPr>
                          <w:spacing w:val="-3"/>
                        </w:rPr>
                        <w:t> </w:t>
                      </w:r>
                      <w:r>
                        <w:rPr/>
                        <w:t>de</w:t>
                      </w:r>
                      <w:r>
                        <w:rPr>
                          <w:spacing w:val="-5"/>
                        </w:rPr>
                        <w:t> </w:t>
                      </w:r>
                      <w:r>
                        <w:rPr/>
                        <w:t>acuerdo</w:t>
                      </w:r>
                      <w:r>
                        <w:rPr>
                          <w:spacing w:val="-5"/>
                        </w:rPr>
                        <w:t> </w:t>
                      </w:r>
                      <w:r>
                        <w:rPr/>
                        <w:t>con</w:t>
                      </w:r>
                      <w:r>
                        <w:rPr>
                          <w:spacing w:val="-5"/>
                        </w:rPr>
                        <w:t> </w:t>
                      </w:r>
                      <w:r>
                        <w:rPr/>
                        <w:t>sus</w:t>
                      </w:r>
                      <w:r>
                        <w:rPr>
                          <w:spacing w:val="-5"/>
                        </w:rPr>
                        <w:t> </w:t>
                      </w:r>
                      <w:r>
                        <w:rPr/>
                        <w:t>objetivos</w:t>
                      </w:r>
                      <w:r>
                        <w:rPr>
                          <w:spacing w:val="-2"/>
                        </w:rPr>
                        <w:t> </w:t>
                      </w:r>
                      <w:r>
                        <w:rPr/>
                        <w:t>dentro</w:t>
                      </w:r>
                      <w:r>
                        <w:rPr>
                          <w:spacing w:val="-3"/>
                        </w:rPr>
                        <w:t> </w:t>
                      </w:r>
                      <w:r>
                        <w:rPr/>
                        <w:t>de un mismo ejercicio, los responden a la naturaleza de cada registro y son objeto de análisis y conciliación, en cumplimiento de lo establecido por la NICSP 24.</w:t>
                      </w:r>
                    </w:p>
                    <w:p>
                      <w:pPr>
                        <w:pStyle w:val="BodyText"/>
                        <w:spacing w:line="276" w:lineRule="auto" w:before="160"/>
                        <w:ind w:left="103" w:right="102"/>
                        <w:jc w:val="both"/>
                      </w:pPr>
                      <w:r>
                        <w:rPr/>
                        <w:t>El</w:t>
                      </w:r>
                      <w:r>
                        <w:rPr>
                          <w:spacing w:val="-9"/>
                        </w:rPr>
                        <w:t> </w:t>
                      </w:r>
                      <w:r>
                        <w:rPr/>
                        <w:t>presupuesto</w:t>
                      </w:r>
                      <w:r>
                        <w:rPr>
                          <w:spacing w:val="-7"/>
                        </w:rPr>
                        <w:t> </w:t>
                      </w:r>
                      <w:r>
                        <w:rPr/>
                        <w:t>aprobado</w:t>
                      </w:r>
                      <w:r>
                        <w:rPr>
                          <w:spacing w:val="-8"/>
                        </w:rPr>
                        <w:t> </w:t>
                      </w:r>
                      <w:r>
                        <w:rPr/>
                        <w:t>incluye</w:t>
                      </w:r>
                      <w:r>
                        <w:rPr>
                          <w:spacing w:val="-9"/>
                        </w:rPr>
                        <w:t> </w:t>
                      </w:r>
                      <w:r>
                        <w:rPr/>
                        <w:t>tanto</w:t>
                      </w:r>
                      <w:r>
                        <w:rPr>
                          <w:spacing w:val="-7"/>
                        </w:rPr>
                        <w:t> </w:t>
                      </w:r>
                      <w:r>
                        <w:rPr/>
                        <w:t>el</w:t>
                      </w:r>
                      <w:r>
                        <w:rPr>
                          <w:spacing w:val="-9"/>
                        </w:rPr>
                        <w:t> </w:t>
                      </w:r>
                      <w:r>
                        <w:rPr/>
                        <w:t>presupuesto</w:t>
                      </w:r>
                      <w:r>
                        <w:rPr>
                          <w:spacing w:val="-7"/>
                        </w:rPr>
                        <w:t> </w:t>
                      </w:r>
                      <w:r>
                        <w:rPr/>
                        <w:t>inicial</w:t>
                      </w:r>
                      <w:r>
                        <w:rPr>
                          <w:spacing w:val="-9"/>
                        </w:rPr>
                        <w:t> </w:t>
                      </w:r>
                      <w:r>
                        <w:rPr/>
                        <w:t>como</w:t>
                      </w:r>
                      <w:r>
                        <w:rPr>
                          <w:spacing w:val="-7"/>
                        </w:rPr>
                        <w:t> </w:t>
                      </w:r>
                      <w:r>
                        <w:rPr/>
                        <w:t>las</w:t>
                      </w:r>
                      <w:r>
                        <w:rPr>
                          <w:spacing w:val="-10"/>
                        </w:rPr>
                        <w:t> </w:t>
                      </w:r>
                      <w:r>
                        <w:rPr/>
                        <w:t>modificaciones</w:t>
                      </w:r>
                      <w:r>
                        <w:rPr>
                          <w:spacing w:val="-7"/>
                        </w:rPr>
                        <w:t> </w:t>
                      </w:r>
                      <w:r>
                        <w:rPr/>
                        <w:t>presupuestarias legalmente autorizadas durante el ejercicio, las cuales dan origen al presupuesto final. Estas modificaciones se realizan conforme a los mecanismos establecidos en la Ley N.° 8131, Ley de la Administración</w:t>
                      </w:r>
                      <w:r>
                        <w:rPr>
                          <w:spacing w:val="-11"/>
                        </w:rPr>
                        <w:t> </w:t>
                      </w:r>
                      <w:r>
                        <w:rPr/>
                        <w:t>Financiera</w:t>
                      </w:r>
                      <w:r>
                        <w:rPr>
                          <w:spacing w:val="-10"/>
                        </w:rPr>
                        <w:t> </w:t>
                      </w:r>
                      <w:r>
                        <w:rPr/>
                        <w:t>de</w:t>
                      </w:r>
                      <w:r>
                        <w:rPr>
                          <w:spacing w:val="-11"/>
                        </w:rPr>
                        <w:t> </w:t>
                      </w:r>
                      <w:r>
                        <w:rPr/>
                        <w:t>la</w:t>
                      </w:r>
                      <w:r>
                        <w:rPr>
                          <w:spacing w:val="-11"/>
                        </w:rPr>
                        <w:t> </w:t>
                      </w:r>
                      <w:r>
                        <w:rPr/>
                        <w:t>República</w:t>
                      </w:r>
                      <w:r>
                        <w:rPr>
                          <w:spacing w:val="-10"/>
                        </w:rPr>
                        <w:t> </w:t>
                      </w:r>
                      <w:r>
                        <w:rPr/>
                        <w:t>y</w:t>
                      </w:r>
                      <w:r>
                        <w:rPr>
                          <w:spacing w:val="-11"/>
                        </w:rPr>
                        <w:t> </w:t>
                      </w:r>
                      <w:r>
                        <w:rPr/>
                        <w:t>Presupuestos</w:t>
                      </w:r>
                      <w:r>
                        <w:rPr>
                          <w:spacing w:val="-11"/>
                        </w:rPr>
                        <w:t> </w:t>
                      </w:r>
                      <w:r>
                        <w:rPr/>
                        <w:t>Públicos,</w:t>
                      </w:r>
                      <w:r>
                        <w:rPr>
                          <w:spacing w:val="-12"/>
                        </w:rPr>
                        <w:t> </w:t>
                      </w:r>
                      <w:r>
                        <w:rPr/>
                        <w:t>su</w:t>
                      </w:r>
                      <w:r>
                        <w:rPr>
                          <w:spacing w:val="-12"/>
                        </w:rPr>
                        <w:t> </w:t>
                      </w:r>
                      <w:r>
                        <w:rPr/>
                        <w:t>reglamento</w:t>
                      </w:r>
                      <w:r>
                        <w:rPr>
                          <w:spacing w:val="-11"/>
                        </w:rPr>
                        <w:t> </w:t>
                      </w:r>
                      <w:r>
                        <w:rPr/>
                        <w:t>y</w:t>
                      </w:r>
                      <w:r>
                        <w:rPr>
                          <w:spacing w:val="-11"/>
                        </w:rPr>
                        <w:t> </w:t>
                      </w:r>
                      <w:r>
                        <w:rPr/>
                        <w:t>demás</w:t>
                      </w:r>
                      <w:r>
                        <w:rPr>
                          <w:spacing w:val="-9"/>
                        </w:rPr>
                        <w:t> </w:t>
                      </w:r>
                      <w:r>
                        <w:rPr/>
                        <w:t>normativa aplicable, y forman parte integral del proceso de ejecución y control presupuestario.</w:t>
                      </w:r>
                    </w:p>
                    <w:p>
                      <w:pPr>
                        <w:pStyle w:val="BodyText"/>
                        <w:spacing w:before="37"/>
                      </w:pPr>
                    </w:p>
                    <w:p>
                      <w:pPr>
                        <w:pStyle w:val="BodyText"/>
                        <w:spacing w:line="276" w:lineRule="auto"/>
                        <w:ind w:left="103" w:right="100"/>
                        <w:jc w:val="both"/>
                      </w:pPr>
                      <w:r>
                        <w:rPr/>
                        <w:t>La</w:t>
                      </w:r>
                      <w:r>
                        <w:rPr>
                          <w:spacing w:val="-14"/>
                        </w:rPr>
                        <w:t> </w:t>
                      </w:r>
                      <w:r>
                        <w:rPr/>
                        <w:t>revelación</w:t>
                      </w:r>
                      <w:r>
                        <w:rPr>
                          <w:spacing w:val="-14"/>
                        </w:rPr>
                        <w:t> </w:t>
                      </w:r>
                      <w:r>
                        <w:rPr/>
                        <w:t>del</w:t>
                      </w:r>
                      <w:r>
                        <w:rPr>
                          <w:spacing w:val="-14"/>
                        </w:rPr>
                        <w:t> </w:t>
                      </w:r>
                      <w:r>
                        <w:rPr/>
                        <w:t>periodo</w:t>
                      </w:r>
                      <w:r>
                        <w:rPr>
                          <w:spacing w:val="-13"/>
                        </w:rPr>
                        <w:t> </w:t>
                      </w:r>
                      <w:r>
                        <w:rPr/>
                        <w:t>presupuestario</w:t>
                      </w:r>
                      <w:r>
                        <w:rPr>
                          <w:spacing w:val="-14"/>
                        </w:rPr>
                        <w:t> </w:t>
                      </w:r>
                      <w:r>
                        <w:rPr/>
                        <w:t>permite</w:t>
                      </w:r>
                      <w:r>
                        <w:rPr>
                          <w:spacing w:val="-14"/>
                        </w:rPr>
                        <w:t> </w:t>
                      </w:r>
                      <w:r>
                        <w:rPr/>
                        <w:t>a</w:t>
                      </w:r>
                      <w:r>
                        <w:rPr>
                          <w:spacing w:val="-14"/>
                        </w:rPr>
                        <w:t> </w:t>
                      </w:r>
                      <w:r>
                        <w:rPr/>
                        <w:t>los</w:t>
                      </w:r>
                      <w:r>
                        <w:rPr>
                          <w:spacing w:val="-12"/>
                        </w:rPr>
                        <w:t> </w:t>
                      </w:r>
                      <w:r>
                        <w:rPr/>
                        <w:t>usuarios</w:t>
                      </w:r>
                      <w:r>
                        <w:rPr>
                          <w:spacing w:val="-12"/>
                        </w:rPr>
                        <w:t> </w:t>
                      </w:r>
                      <w:r>
                        <w:rPr/>
                        <w:t>de</w:t>
                      </w:r>
                      <w:r>
                        <w:rPr>
                          <w:spacing w:val="-14"/>
                        </w:rPr>
                        <w:t> </w:t>
                      </w:r>
                      <w:r>
                        <w:rPr/>
                        <w:t>los</w:t>
                      </w:r>
                      <w:r>
                        <w:rPr>
                          <w:spacing w:val="-14"/>
                        </w:rPr>
                        <w:t> </w:t>
                      </w:r>
                      <w:r>
                        <w:rPr/>
                        <w:t>estados</w:t>
                      </w:r>
                      <w:r>
                        <w:rPr>
                          <w:spacing w:val="-13"/>
                        </w:rPr>
                        <w:t> </w:t>
                      </w:r>
                      <w:r>
                        <w:rPr/>
                        <w:t>financieros</w:t>
                      </w:r>
                      <w:r>
                        <w:rPr>
                          <w:spacing w:val="-12"/>
                        </w:rPr>
                        <w:t> </w:t>
                      </w:r>
                      <w:r>
                        <w:rPr/>
                        <w:t>comprender </w:t>
                      </w:r>
                      <w:r>
                        <w:rPr>
                          <w:spacing w:val="-2"/>
                        </w:rPr>
                        <w:t>la correspondencia temporal entre la información presupuestaria y la información contable presentada, </w:t>
                      </w:r>
                      <w:r>
                        <w:rPr/>
                        <w:t>facilitando</w:t>
                      </w:r>
                      <w:r>
                        <w:rPr>
                          <w:spacing w:val="-14"/>
                        </w:rPr>
                        <w:t> </w:t>
                      </w:r>
                      <w:r>
                        <w:rPr/>
                        <w:t>la</w:t>
                      </w:r>
                      <w:r>
                        <w:rPr>
                          <w:spacing w:val="-14"/>
                        </w:rPr>
                        <w:t> </w:t>
                      </w:r>
                      <w:r>
                        <w:rPr/>
                        <w:t>interpretación</w:t>
                      </w:r>
                      <w:r>
                        <w:rPr>
                          <w:spacing w:val="-14"/>
                        </w:rPr>
                        <w:t> </w:t>
                      </w:r>
                      <w:r>
                        <w:rPr/>
                        <w:t>de</w:t>
                      </w:r>
                      <w:r>
                        <w:rPr>
                          <w:spacing w:val="-13"/>
                        </w:rPr>
                        <w:t> </w:t>
                      </w:r>
                      <w:r>
                        <w:rPr/>
                        <w:t>la</w:t>
                      </w:r>
                      <w:r>
                        <w:rPr>
                          <w:spacing w:val="-14"/>
                        </w:rPr>
                        <w:t> </w:t>
                      </w:r>
                      <w:r>
                        <w:rPr/>
                        <w:t>comparación</w:t>
                      </w:r>
                      <w:r>
                        <w:rPr>
                          <w:spacing w:val="-14"/>
                        </w:rPr>
                        <w:t> </w:t>
                      </w:r>
                      <w:r>
                        <w:rPr/>
                        <w:t>entre</w:t>
                      </w:r>
                      <w:r>
                        <w:rPr>
                          <w:spacing w:val="-14"/>
                        </w:rPr>
                        <w:t> </w:t>
                      </w:r>
                      <w:r>
                        <w:rPr/>
                        <w:t>los</w:t>
                      </w:r>
                      <w:r>
                        <w:rPr>
                          <w:spacing w:val="-13"/>
                        </w:rPr>
                        <w:t> </w:t>
                      </w:r>
                      <w:r>
                        <w:rPr/>
                        <w:t>importes</w:t>
                      </w:r>
                      <w:r>
                        <w:rPr>
                          <w:spacing w:val="-14"/>
                        </w:rPr>
                        <w:t> </w:t>
                      </w:r>
                      <w:r>
                        <w:rPr/>
                        <w:t>presupuestados</w:t>
                      </w:r>
                      <w:r>
                        <w:rPr>
                          <w:spacing w:val="-14"/>
                        </w:rPr>
                        <w:t> </w:t>
                      </w:r>
                      <w:r>
                        <w:rPr/>
                        <w:t>y</w:t>
                      </w:r>
                      <w:r>
                        <w:rPr>
                          <w:spacing w:val="-14"/>
                        </w:rPr>
                        <w:t> </w:t>
                      </w:r>
                      <w:r>
                        <w:rPr/>
                        <w:t>los</w:t>
                      </w:r>
                      <w:r>
                        <w:rPr>
                          <w:spacing w:val="-13"/>
                        </w:rPr>
                        <w:t> </w:t>
                      </w:r>
                      <w:r>
                        <w:rPr/>
                        <w:t>importes</w:t>
                      </w:r>
                      <w:r>
                        <w:rPr>
                          <w:spacing w:val="-14"/>
                        </w:rPr>
                        <w:t> </w:t>
                      </w:r>
                      <w:r>
                        <w:rPr/>
                        <w:t>reales, así como de</w:t>
                      </w:r>
                      <w:r>
                        <w:rPr>
                          <w:spacing w:val="-2"/>
                        </w:rPr>
                        <w:t> </w:t>
                      </w:r>
                      <w:r>
                        <w:rPr/>
                        <w:t>las conciliaciones entre el resultado presupuestario y</w:t>
                      </w:r>
                      <w:r>
                        <w:rPr>
                          <w:spacing w:val="-1"/>
                        </w:rPr>
                        <w:t> </w:t>
                      </w:r>
                      <w:r>
                        <w:rPr/>
                        <w:t>el resultado</w:t>
                      </w:r>
                      <w:r>
                        <w:rPr>
                          <w:spacing w:val="-2"/>
                        </w:rPr>
                        <w:t> </w:t>
                      </w:r>
                      <w:r>
                        <w:rPr/>
                        <w:t>financiero del periodo.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8480">
                <wp:simplePos x="0" y="0"/>
                <wp:positionH relativeFrom="page">
                  <wp:posOffset>9525</wp:posOffset>
                </wp:positionH>
                <wp:positionV relativeFrom="page">
                  <wp:posOffset>297208</wp:posOffset>
                </wp:positionV>
                <wp:extent cx="7762875" cy="9748520"/>
                <wp:effectExtent l="0" t="0" r="0" b="0"/>
                <wp:wrapNone/>
                <wp:docPr id="1105" name="Group 1105"/>
                <wp:cNvGraphicFramePr>
                  <a:graphicFrameLocks/>
                </wp:cNvGraphicFramePr>
                <a:graphic>
                  <a:graphicData uri="http://schemas.microsoft.com/office/word/2010/wordprocessingGroup">
                    <wpg:wgp>
                      <wpg:cNvPr id="1105" name="Group 1105"/>
                      <wpg:cNvGrpSpPr/>
                      <wpg:grpSpPr>
                        <a:xfrm>
                          <a:off x="0" y="0"/>
                          <a:ext cx="7762875" cy="9748520"/>
                          <a:chExt cx="7762875" cy="9748520"/>
                        </a:xfrm>
                      </wpg:grpSpPr>
                      <pic:pic>
                        <pic:nvPicPr>
                          <pic:cNvPr id="1106" name="Image 1106"/>
                          <pic:cNvPicPr/>
                        </pic:nvPicPr>
                        <pic:blipFill>
                          <a:blip r:embed="rId5" cstate="print"/>
                          <a:stretch>
                            <a:fillRect/>
                          </a:stretch>
                        </pic:blipFill>
                        <pic:spPr>
                          <a:xfrm>
                            <a:off x="0" y="0"/>
                            <a:ext cx="7762874" cy="9748489"/>
                          </a:xfrm>
                          <a:prstGeom prst="rect">
                            <a:avLst/>
                          </a:prstGeom>
                        </pic:spPr>
                      </pic:pic>
                      <wps:wsp>
                        <wps:cNvPr id="1107" name="Graphic 1107"/>
                        <wps:cNvSpPr/>
                        <wps:spPr>
                          <a:xfrm>
                            <a:off x="1053007" y="990837"/>
                            <a:ext cx="5736590" cy="7788909"/>
                          </a:xfrm>
                          <a:custGeom>
                            <a:avLst/>
                            <a:gdLst/>
                            <a:ahLst/>
                            <a:cxnLst/>
                            <a:rect l="l" t="t" r="r" b="b"/>
                            <a:pathLst>
                              <a:path w="5736590" h="7788909">
                                <a:moveTo>
                                  <a:pt x="5649214" y="0"/>
                                </a:moveTo>
                                <a:lnTo>
                                  <a:pt x="0" y="0"/>
                                </a:lnTo>
                                <a:lnTo>
                                  <a:pt x="0" y="9131"/>
                                </a:lnTo>
                                <a:lnTo>
                                  <a:pt x="5649214" y="9131"/>
                                </a:lnTo>
                                <a:lnTo>
                                  <a:pt x="5649214" y="0"/>
                                </a:lnTo>
                                <a:close/>
                              </a:path>
                              <a:path w="5736590" h="7788909">
                                <a:moveTo>
                                  <a:pt x="5736018" y="7782509"/>
                                </a:moveTo>
                                <a:lnTo>
                                  <a:pt x="5729986" y="7782509"/>
                                </a:lnTo>
                                <a:lnTo>
                                  <a:pt x="21336" y="7782509"/>
                                </a:lnTo>
                                <a:lnTo>
                                  <a:pt x="15240" y="7782509"/>
                                </a:lnTo>
                                <a:lnTo>
                                  <a:pt x="15240" y="7788592"/>
                                </a:lnTo>
                                <a:lnTo>
                                  <a:pt x="21336" y="7788592"/>
                                </a:lnTo>
                                <a:lnTo>
                                  <a:pt x="5729935" y="7788592"/>
                                </a:lnTo>
                                <a:lnTo>
                                  <a:pt x="5736018" y="7788592"/>
                                </a:lnTo>
                                <a:lnTo>
                                  <a:pt x="5736018" y="7782509"/>
                                </a:lnTo>
                                <a:close/>
                              </a:path>
                              <a:path w="5736590" h="7788909">
                                <a:moveTo>
                                  <a:pt x="5736018" y="3676256"/>
                                </a:moveTo>
                                <a:lnTo>
                                  <a:pt x="5729986" y="3676256"/>
                                </a:lnTo>
                                <a:lnTo>
                                  <a:pt x="21336" y="3676256"/>
                                </a:lnTo>
                                <a:lnTo>
                                  <a:pt x="15240" y="3676256"/>
                                </a:lnTo>
                                <a:lnTo>
                                  <a:pt x="15240" y="3682301"/>
                                </a:lnTo>
                                <a:lnTo>
                                  <a:pt x="15240" y="7782496"/>
                                </a:lnTo>
                                <a:lnTo>
                                  <a:pt x="21336" y="7782496"/>
                                </a:lnTo>
                                <a:lnTo>
                                  <a:pt x="21336" y="3682352"/>
                                </a:lnTo>
                                <a:lnTo>
                                  <a:pt x="5729935" y="3682352"/>
                                </a:lnTo>
                                <a:lnTo>
                                  <a:pt x="5729935" y="7782496"/>
                                </a:lnTo>
                                <a:lnTo>
                                  <a:pt x="5736018" y="7782496"/>
                                </a:lnTo>
                                <a:lnTo>
                                  <a:pt x="5736018" y="3682352"/>
                                </a:lnTo>
                                <a:lnTo>
                                  <a:pt x="5736018" y="367625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8000" id="docshapegroup1052" coordorigin="15,468" coordsize="12225,15352">
                <v:shape style="position:absolute;left:15;top:468;width:12225;height:15352" type="#_x0000_t75" id="docshape1053" stroked="false">
                  <v:imagedata r:id="rId5" o:title=""/>
                </v:shape>
                <v:shape style="position:absolute;left:1673;top:2028;width:9034;height:12266" id="docshape1054" coordorigin="1673,2028" coordsize="9034,12266" path="m10570,2028l1673,2028,1673,2043,10570,2043,10570,2028xm10706,14284l10697,14284,10697,14284,1707,14284,1697,14284,1697,14294,1707,14294,10697,14294,10697,14294,10706,14294,10706,14284xm10706,7818l10697,7818,10697,7818,1707,7818,1697,7818,1697,7827,1697,7827,1697,14284,1707,14284,1707,7827,10697,7827,10697,14284,10706,14284,10706,7827,10706,7827,10706,781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214</w:t>
      </w:r>
    </w:p>
    <w:p>
      <w:pPr>
        <w:pStyle w:val="BodyText"/>
        <w:spacing w:before="10"/>
        <w:rPr>
          <w:sz w:val="16"/>
        </w:rPr>
      </w:pPr>
      <w:r>
        <w:rPr>
          <w:sz w:val="16"/>
        </w:rPr>
        <mc:AlternateContent>
          <mc:Choice Requires="wps">
            <w:drawing>
              <wp:anchor distT="0" distB="0" distL="0" distR="0" allowOverlap="1" layoutInCell="1" locked="0" behindDoc="1" simplePos="0" relativeHeight="487811072">
                <wp:simplePos x="0" y="0"/>
                <wp:positionH relativeFrom="page">
                  <wp:posOffset>1080820</wp:posOffset>
                </wp:positionH>
                <wp:positionV relativeFrom="paragraph">
                  <wp:posOffset>141144</wp:posOffset>
                </wp:positionV>
                <wp:extent cx="5715000" cy="3044190"/>
                <wp:effectExtent l="0" t="0" r="0" b="0"/>
                <wp:wrapTopAndBottom/>
                <wp:docPr id="1108" name="Textbox 1108"/>
                <wp:cNvGraphicFramePr>
                  <a:graphicFrameLocks/>
                </wp:cNvGraphicFramePr>
                <a:graphic>
                  <a:graphicData uri="http://schemas.microsoft.com/office/word/2010/wordprocessingShape">
                    <wps:wsp>
                      <wps:cNvPr id="1108" name="Textbox 1108"/>
                      <wps:cNvSpPr txBox="1"/>
                      <wps:spPr>
                        <a:xfrm>
                          <a:off x="0" y="0"/>
                          <a:ext cx="5715000" cy="3044190"/>
                        </a:xfrm>
                        <a:prstGeom prst="rect">
                          <a:avLst/>
                        </a:prstGeom>
                        <a:ln w="6095">
                          <a:solidFill>
                            <a:srgbClr val="000000"/>
                          </a:solidFill>
                          <a:prstDash val="solid"/>
                        </a:ln>
                      </wps:spPr>
                      <wps:txbx>
                        <w:txbxContent>
                          <w:p>
                            <w:pPr>
                              <w:pStyle w:val="BodyText"/>
                              <w:ind w:left="103"/>
                              <w:jc w:val="both"/>
                            </w:pPr>
                            <w:r>
                              <w:rPr/>
                              <w:t>En</w:t>
                            </w:r>
                            <w:r>
                              <w:rPr>
                                <w:spacing w:val="-2"/>
                              </w:rPr>
                              <w:t> </w:t>
                            </w:r>
                            <w:r>
                              <w:rPr/>
                              <w:t>concordancia</w:t>
                            </w:r>
                            <w:r>
                              <w:rPr>
                                <w:spacing w:val="1"/>
                              </w:rPr>
                              <w:t> </w:t>
                            </w:r>
                            <w:r>
                              <w:rPr/>
                              <w:t>a las</w:t>
                            </w:r>
                            <w:r>
                              <w:rPr>
                                <w:spacing w:val="2"/>
                              </w:rPr>
                              <w:t> </w:t>
                            </w:r>
                            <w:r>
                              <w:rPr/>
                              <w:t>Normas</w:t>
                            </w:r>
                            <w:r>
                              <w:rPr>
                                <w:spacing w:val="1"/>
                              </w:rPr>
                              <w:t> </w:t>
                            </w:r>
                            <w:r>
                              <w:rPr/>
                              <w:t>Técnicas sobre Presupuesto</w:t>
                            </w:r>
                            <w:r>
                              <w:rPr>
                                <w:spacing w:val="2"/>
                              </w:rPr>
                              <w:t> </w:t>
                            </w:r>
                            <w:r>
                              <w:rPr/>
                              <w:t>Público,</w:t>
                            </w:r>
                            <w:r>
                              <w:rPr>
                                <w:spacing w:val="2"/>
                              </w:rPr>
                              <w:t> </w:t>
                            </w:r>
                            <w:r>
                              <w:rPr/>
                              <w:t>se</w:t>
                            </w:r>
                            <w:r>
                              <w:rPr>
                                <w:spacing w:val="-1"/>
                              </w:rPr>
                              <w:t> </w:t>
                            </w:r>
                            <w:r>
                              <w:rPr/>
                              <w:t>da cumplimiento</w:t>
                            </w:r>
                            <w:r>
                              <w:rPr>
                                <w:spacing w:val="2"/>
                              </w:rPr>
                              <w:t> </w:t>
                            </w:r>
                            <w:r>
                              <w:rPr/>
                              <w:t>a</w:t>
                            </w:r>
                            <w:r>
                              <w:rPr>
                                <w:spacing w:val="1"/>
                              </w:rPr>
                              <w:t> </w:t>
                            </w:r>
                            <w:r>
                              <w:rPr/>
                              <w:t>la </w:t>
                            </w:r>
                            <w:r>
                              <w:rPr>
                                <w:spacing w:val="-2"/>
                              </w:rPr>
                              <w:t>Norma</w:t>
                            </w:r>
                          </w:p>
                          <w:p>
                            <w:pPr>
                              <w:pStyle w:val="BodyText"/>
                              <w:spacing w:line="259" w:lineRule="auto" w:before="20"/>
                              <w:ind w:left="103" w:right="103"/>
                              <w:jc w:val="both"/>
                            </w:pPr>
                            <w:r>
                              <w:rPr/>
                              <w:t>2.2.3</w:t>
                            </w:r>
                            <w:r>
                              <w:rPr>
                                <w:spacing w:val="-5"/>
                              </w:rPr>
                              <w:t> </w:t>
                            </w:r>
                            <w:r>
                              <w:rPr/>
                              <w:t>de</w:t>
                            </w:r>
                            <w:r>
                              <w:rPr>
                                <w:spacing w:val="-6"/>
                              </w:rPr>
                              <w:t> </w:t>
                            </w:r>
                            <w:r>
                              <w:rPr/>
                              <w:t>los</w:t>
                            </w:r>
                            <w:r>
                              <w:rPr>
                                <w:spacing w:val="-4"/>
                              </w:rPr>
                              <w:t> </w:t>
                            </w:r>
                            <w:r>
                              <w:rPr/>
                              <w:t>Principios</w:t>
                            </w:r>
                            <w:r>
                              <w:rPr>
                                <w:spacing w:val="-4"/>
                              </w:rPr>
                              <w:t> </w:t>
                            </w:r>
                            <w:r>
                              <w:rPr/>
                              <w:t>Presupuestarios,</w:t>
                            </w:r>
                            <w:r>
                              <w:rPr>
                                <w:spacing w:val="-5"/>
                              </w:rPr>
                              <w:t> </w:t>
                            </w:r>
                            <w:r>
                              <w:rPr/>
                              <w:t>propiamente</w:t>
                            </w:r>
                            <w:r>
                              <w:rPr>
                                <w:spacing w:val="-5"/>
                              </w:rPr>
                              <w:t> </w:t>
                            </w:r>
                            <w:r>
                              <w:rPr/>
                              <w:t>el</w:t>
                            </w:r>
                            <w:r>
                              <w:rPr>
                                <w:spacing w:val="-3"/>
                              </w:rPr>
                              <w:t> </w:t>
                            </w:r>
                            <w:r>
                              <w:rPr/>
                              <w:t>Principio</w:t>
                            </w:r>
                            <w:r>
                              <w:rPr>
                                <w:spacing w:val="-4"/>
                              </w:rPr>
                              <w:t> </w:t>
                            </w:r>
                            <w:r>
                              <w:rPr/>
                              <w:t>de</w:t>
                            </w:r>
                            <w:r>
                              <w:rPr>
                                <w:spacing w:val="-6"/>
                              </w:rPr>
                              <w:t> </w:t>
                            </w:r>
                            <w:r>
                              <w:rPr/>
                              <w:t>Anualidad</w:t>
                            </w:r>
                            <w:r>
                              <w:rPr>
                                <w:spacing w:val="-2"/>
                              </w:rPr>
                              <w:t> </w:t>
                            </w:r>
                            <w:r>
                              <w:rPr/>
                              <w:t>y</w:t>
                            </w:r>
                            <w:r>
                              <w:rPr>
                                <w:spacing w:val="-6"/>
                              </w:rPr>
                              <w:t> </w:t>
                            </w:r>
                            <w:r>
                              <w:rPr/>
                              <w:t>que</w:t>
                            </w:r>
                            <w:r>
                              <w:rPr>
                                <w:spacing w:val="-6"/>
                              </w:rPr>
                              <w:t> </w:t>
                            </w:r>
                            <w:r>
                              <w:rPr/>
                              <w:t>mediante</w:t>
                            </w:r>
                            <w:r>
                              <w:rPr>
                                <w:spacing w:val="-5"/>
                              </w:rPr>
                              <w:t> </w:t>
                            </w:r>
                            <w:r>
                              <w:rPr/>
                              <w:t>oficio DFOE-BIS-0709 de fecha 16 de diciembre 2025 la Contraloría General de la República aprueba el Presupuesto</w:t>
                            </w:r>
                            <w:r>
                              <w:rPr>
                                <w:spacing w:val="-4"/>
                              </w:rPr>
                              <w:t> </w:t>
                            </w:r>
                            <w:r>
                              <w:rPr/>
                              <w:t>Ordinario</w:t>
                            </w:r>
                            <w:r>
                              <w:rPr>
                                <w:spacing w:val="-4"/>
                              </w:rPr>
                              <w:t> </w:t>
                            </w:r>
                            <w:r>
                              <w:rPr/>
                              <w:t>del</w:t>
                            </w:r>
                            <w:r>
                              <w:rPr>
                                <w:spacing w:val="-5"/>
                              </w:rPr>
                              <w:t> </w:t>
                            </w:r>
                            <w:r>
                              <w:rPr/>
                              <w:t>Instituto</w:t>
                            </w:r>
                            <w:r>
                              <w:rPr>
                                <w:spacing w:val="-4"/>
                              </w:rPr>
                              <w:t> </w:t>
                            </w:r>
                            <w:r>
                              <w:rPr/>
                              <w:t>Mixto</w:t>
                            </w:r>
                            <w:r>
                              <w:rPr>
                                <w:spacing w:val="-4"/>
                              </w:rPr>
                              <w:t> </w:t>
                            </w:r>
                            <w:r>
                              <w:rPr/>
                              <w:t>de</w:t>
                            </w:r>
                            <w:r>
                              <w:rPr>
                                <w:spacing w:val="-6"/>
                              </w:rPr>
                              <w:t> </w:t>
                            </w:r>
                            <w:r>
                              <w:rPr/>
                              <w:t>Ayuda</w:t>
                            </w:r>
                            <w:r>
                              <w:rPr>
                                <w:spacing w:val="-6"/>
                              </w:rPr>
                              <w:t> </w:t>
                            </w:r>
                            <w:r>
                              <w:rPr/>
                              <w:t>Social</w:t>
                            </w:r>
                            <w:r>
                              <w:rPr>
                                <w:spacing w:val="-5"/>
                              </w:rPr>
                              <w:t> </w:t>
                            </w:r>
                            <w:r>
                              <w:rPr/>
                              <w:t>para</w:t>
                            </w:r>
                            <w:r>
                              <w:rPr>
                                <w:spacing w:val="-5"/>
                              </w:rPr>
                              <w:t> </w:t>
                            </w:r>
                            <w:r>
                              <w:rPr/>
                              <w:t>el</w:t>
                            </w:r>
                            <w:r>
                              <w:rPr>
                                <w:spacing w:val="-5"/>
                              </w:rPr>
                              <w:t> </w:t>
                            </w:r>
                            <w:r>
                              <w:rPr/>
                              <w:t>periodo</w:t>
                            </w:r>
                            <w:r>
                              <w:rPr>
                                <w:spacing w:val="-4"/>
                              </w:rPr>
                              <w:t> </w:t>
                            </w:r>
                            <w:r>
                              <w:rPr/>
                              <w:t>2026,</w:t>
                            </w:r>
                            <w:r>
                              <w:rPr>
                                <w:spacing w:val="-5"/>
                              </w:rPr>
                              <w:t> </w:t>
                            </w:r>
                            <w:r>
                              <w:rPr/>
                              <w:t>que</w:t>
                            </w:r>
                            <w:r>
                              <w:rPr>
                                <w:spacing w:val="-6"/>
                              </w:rPr>
                              <w:t> </w:t>
                            </w:r>
                            <w:r>
                              <w:rPr/>
                              <w:t>en</w:t>
                            </w:r>
                            <w:r>
                              <w:rPr>
                                <w:spacing w:val="-4"/>
                              </w:rPr>
                              <w:t> </w:t>
                            </w:r>
                            <w:r>
                              <w:rPr/>
                              <w:t>lo</w:t>
                            </w:r>
                            <w:r>
                              <w:rPr>
                                <w:spacing w:val="-4"/>
                              </w:rPr>
                              <w:t> </w:t>
                            </w:r>
                            <w:r>
                              <w:rPr/>
                              <w:t>particular </w:t>
                            </w:r>
                            <w:r>
                              <w:rPr>
                                <w:spacing w:val="-2"/>
                              </w:rPr>
                              <w:t>indica:</w:t>
                            </w:r>
                          </w:p>
                          <w:p>
                            <w:pPr>
                              <w:spacing w:before="151"/>
                              <w:ind w:left="158" w:right="0" w:firstLine="0"/>
                              <w:jc w:val="both"/>
                              <w:rPr>
                                <w:i/>
                                <w:sz w:val="23"/>
                              </w:rPr>
                            </w:pPr>
                            <w:r>
                              <w:rPr>
                                <w:sz w:val="22"/>
                              </w:rPr>
                              <w:t>3.</w:t>
                            </w:r>
                            <w:r>
                              <w:rPr>
                                <w:spacing w:val="-3"/>
                                <w:sz w:val="22"/>
                              </w:rPr>
                              <w:t> </w:t>
                            </w:r>
                            <w:r>
                              <w:rPr>
                                <w:i/>
                                <w:spacing w:val="-2"/>
                                <w:sz w:val="23"/>
                              </w:rPr>
                              <w:t>CONCLUSIÓN</w:t>
                            </w:r>
                          </w:p>
                          <w:p>
                            <w:pPr>
                              <w:spacing w:line="257" w:lineRule="exact" w:before="167"/>
                              <w:ind w:left="556" w:right="0" w:firstLine="0"/>
                              <w:jc w:val="left"/>
                              <w:rPr>
                                <w:i/>
                                <w:sz w:val="23"/>
                              </w:rPr>
                            </w:pPr>
                            <w:r>
                              <w:rPr>
                                <w:i/>
                                <w:spacing w:val="-5"/>
                                <w:sz w:val="23"/>
                              </w:rPr>
                              <w:t>“…</w:t>
                            </w:r>
                          </w:p>
                          <w:p>
                            <w:pPr>
                              <w:spacing w:line="256" w:lineRule="auto" w:before="0"/>
                              <w:ind w:left="103" w:right="0" w:firstLine="0"/>
                              <w:jc w:val="left"/>
                              <w:rPr>
                                <w:sz w:val="22"/>
                              </w:rPr>
                            </w:pPr>
                            <w:r>
                              <w:rPr>
                                <w:i/>
                                <w:sz w:val="23"/>
                              </w:rPr>
                              <w:t>La</w:t>
                            </w:r>
                            <w:r>
                              <w:rPr>
                                <w:i/>
                                <w:spacing w:val="4"/>
                                <w:sz w:val="23"/>
                              </w:rPr>
                              <w:t> </w:t>
                            </w:r>
                            <w:r>
                              <w:rPr>
                                <w:i/>
                                <w:sz w:val="23"/>
                              </w:rPr>
                              <w:t>Contraloría</w:t>
                            </w:r>
                            <w:r>
                              <w:rPr>
                                <w:i/>
                                <w:spacing w:val="4"/>
                                <w:sz w:val="23"/>
                              </w:rPr>
                              <w:t> </w:t>
                            </w:r>
                            <w:r>
                              <w:rPr>
                                <w:i/>
                                <w:sz w:val="23"/>
                              </w:rPr>
                              <w:t>General</w:t>
                            </w:r>
                            <w:r>
                              <w:rPr>
                                <w:i/>
                                <w:spacing w:val="4"/>
                                <w:sz w:val="23"/>
                              </w:rPr>
                              <w:t> </w:t>
                            </w:r>
                            <w:r>
                              <w:rPr>
                                <w:i/>
                                <w:sz w:val="23"/>
                              </w:rPr>
                              <w:t>aprueba</w:t>
                            </w:r>
                            <w:r>
                              <w:rPr>
                                <w:i/>
                                <w:spacing w:val="4"/>
                                <w:sz w:val="23"/>
                              </w:rPr>
                              <w:t> </w:t>
                            </w:r>
                            <w:r>
                              <w:rPr>
                                <w:i/>
                                <w:sz w:val="23"/>
                              </w:rPr>
                              <w:t>el</w:t>
                            </w:r>
                            <w:r>
                              <w:rPr>
                                <w:i/>
                                <w:spacing w:val="4"/>
                                <w:sz w:val="23"/>
                              </w:rPr>
                              <w:t> </w:t>
                            </w:r>
                            <w:r>
                              <w:rPr>
                                <w:i/>
                                <w:sz w:val="23"/>
                              </w:rPr>
                              <w:t>presupuesto</w:t>
                            </w:r>
                            <w:r>
                              <w:rPr>
                                <w:i/>
                                <w:spacing w:val="5"/>
                                <w:sz w:val="23"/>
                              </w:rPr>
                              <w:t> </w:t>
                            </w:r>
                            <w:r>
                              <w:rPr>
                                <w:i/>
                                <w:sz w:val="23"/>
                              </w:rPr>
                              <w:t>inicial</w:t>
                            </w:r>
                            <w:r>
                              <w:rPr>
                                <w:i/>
                                <w:spacing w:val="4"/>
                                <w:sz w:val="23"/>
                              </w:rPr>
                              <w:t> </w:t>
                            </w:r>
                            <w:r>
                              <w:rPr>
                                <w:i/>
                                <w:sz w:val="23"/>
                              </w:rPr>
                              <w:t>2026</w:t>
                            </w:r>
                            <w:r>
                              <w:rPr>
                                <w:i/>
                                <w:spacing w:val="3"/>
                                <w:sz w:val="23"/>
                              </w:rPr>
                              <w:t> </w:t>
                            </w:r>
                            <w:r>
                              <w:rPr>
                                <w:i/>
                                <w:sz w:val="23"/>
                              </w:rPr>
                              <w:t>del</w:t>
                            </w:r>
                            <w:r>
                              <w:rPr>
                                <w:i/>
                                <w:spacing w:val="5"/>
                                <w:sz w:val="23"/>
                              </w:rPr>
                              <w:t> </w:t>
                            </w:r>
                            <w:r>
                              <w:rPr>
                                <w:i/>
                                <w:sz w:val="23"/>
                              </w:rPr>
                              <w:t>Instituto</w:t>
                            </w:r>
                            <w:r>
                              <w:rPr>
                                <w:i/>
                                <w:spacing w:val="3"/>
                                <w:sz w:val="23"/>
                              </w:rPr>
                              <w:t> </w:t>
                            </w:r>
                            <w:r>
                              <w:rPr>
                                <w:i/>
                                <w:sz w:val="23"/>
                              </w:rPr>
                              <w:t>Mixto</w:t>
                            </w:r>
                            <w:r>
                              <w:rPr>
                                <w:i/>
                                <w:spacing w:val="3"/>
                                <w:sz w:val="23"/>
                              </w:rPr>
                              <w:t> </w:t>
                            </w:r>
                            <w:r>
                              <w:rPr>
                                <w:i/>
                                <w:sz w:val="23"/>
                              </w:rPr>
                              <w:t>de</w:t>
                            </w:r>
                            <w:r>
                              <w:rPr>
                                <w:i/>
                                <w:spacing w:val="3"/>
                                <w:sz w:val="23"/>
                              </w:rPr>
                              <w:t> </w:t>
                            </w:r>
                            <w:r>
                              <w:rPr>
                                <w:i/>
                                <w:sz w:val="23"/>
                              </w:rPr>
                              <w:t>Ayuda</w:t>
                            </w:r>
                            <w:r>
                              <w:rPr>
                                <w:i/>
                                <w:spacing w:val="3"/>
                                <w:sz w:val="23"/>
                              </w:rPr>
                              <w:t> </w:t>
                            </w:r>
                            <w:r>
                              <w:rPr>
                                <w:i/>
                                <w:sz w:val="23"/>
                              </w:rPr>
                              <w:t>Social (IMAS) por </w:t>
                            </w:r>
                            <w:r>
                              <w:rPr>
                                <w:rFonts w:ascii="Times New Roman" w:hAnsi="Times New Roman"/>
                                <w:i/>
                                <w:sz w:val="22"/>
                              </w:rPr>
                              <w:t>₡</w:t>
                            </w:r>
                            <w:r>
                              <w:rPr>
                                <w:i/>
                                <w:sz w:val="23"/>
                              </w:rPr>
                              <w:t>249.218,2 millones. </w:t>
                            </w:r>
                            <w:r>
                              <w:rPr>
                                <w:sz w:val="22"/>
                              </w:rPr>
                              <w:t>…”</w:t>
                            </w:r>
                          </w:p>
                          <w:p>
                            <w:pPr>
                              <w:pStyle w:val="BodyText"/>
                              <w:spacing w:line="276" w:lineRule="auto" w:before="155"/>
                              <w:ind w:left="103" w:right="106"/>
                              <w:jc w:val="both"/>
                            </w:pPr>
                            <w:r>
                              <w:rPr/>
                              <w:t>En consecuencia, el</w:t>
                            </w:r>
                            <w:r>
                              <w:rPr>
                                <w:spacing w:val="-1"/>
                              </w:rPr>
                              <w:t> </w:t>
                            </w:r>
                            <w:r>
                              <w:rPr/>
                              <w:t>IMAS</w:t>
                            </w:r>
                            <w:r>
                              <w:rPr>
                                <w:spacing w:val="-1"/>
                              </w:rPr>
                              <w:t> </w:t>
                            </w:r>
                            <w:r>
                              <w:rPr/>
                              <w:t>cumple</w:t>
                            </w:r>
                            <w:r>
                              <w:rPr>
                                <w:spacing w:val="-1"/>
                              </w:rPr>
                              <w:t> </w:t>
                            </w:r>
                            <w:r>
                              <w:rPr/>
                              <w:t>con el</w:t>
                            </w:r>
                            <w:r>
                              <w:rPr>
                                <w:spacing w:val="-1"/>
                              </w:rPr>
                              <w:t> </w:t>
                            </w:r>
                            <w:r>
                              <w:rPr/>
                              <w:t>requerimiento de</w:t>
                            </w:r>
                            <w:r>
                              <w:rPr>
                                <w:spacing w:val="-2"/>
                              </w:rPr>
                              <w:t> </w:t>
                            </w:r>
                            <w:r>
                              <w:rPr/>
                              <w:t>la</w:t>
                            </w:r>
                            <w:r>
                              <w:rPr>
                                <w:spacing w:val="-1"/>
                              </w:rPr>
                              <w:t> </w:t>
                            </w:r>
                            <w:r>
                              <w:rPr/>
                              <w:t>NICSP</w:t>
                            </w:r>
                            <w:r>
                              <w:rPr>
                                <w:spacing w:val="-1"/>
                              </w:rPr>
                              <w:t> </w:t>
                            </w:r>
                            <w:r>
                              <w:rPr/>
                              <w:t>24</w:t>
                            </w:r>
                            <w:r>
                              <w:rPr>
                                <w:spacing w:val="-1"/>
                              </w:rPr>
                              <w:t> </w:t>
                            </w:r>
                            <w:r>
                              <w:rPr/>
                              <w:t>de</w:t>
                            </w:r>
                            <w:r>
                              <w:rPr>
                                <w:spacing w:val="-2"/>
                              </w:rPr>
                              <w:t> </w:t>
                            </w:r>
                            <w:r>
                              <w:rPr/>
                              <w:t>identificar claramente</w:t>
                            </w:r>
                            <w:r>
                              <w:rPr>
                                <w:spacing w:val="-1"/>
                              </w:rPr>
                              <w:t> </w:t>
                            </w:r>
                            <w:r>
                              <w:rPr/>
                              <w:t>el periodo del presupuesto aprobado, fortaleciendo la transparencia, la rendición de cuentas y la adecuada comprensión de la información financiera institucional.</w:t>
                            </w:r>
                          </w:p>
                          <w:p>
                            <w:pPr>
                              <w:pStyle w:val="BodyText"/>
                              <w:spacing w:before="36"/>
                            </w:pPr>
                          </w:p>
                          <w:p>
                            <w:pPr>
                              <w:pStyle w:val="BodyText"/>
                              <w:ind w:left="103"/>
                              <w:jc w:val="both"/>
                            </w:pPr>
                            <w:r>
                              <w:rPr/>
                              <w:t>La</w:t>
                            </w:r>
                            <w:r>
                              <w:rPr>
                                <w:spacing w:val="-4"/>
                              </w:rPr>
                              <w:t> </w:t>
                            </w:r>
                            <w:r>
                              <w:rPr/>
                              <w:t>información</w:t>
                            </w:r>
                            <w:r>
                              <w:rPr>
                                <w:spacing w:val="-5"/>
                              </w:rPr>
                              <w:t> </w:t>
                            </w:r>
                            <w:r>
                              <w:rPr/>
                              <w:t>que</w:t>
                            </w:r>
                            <w:r>
                              <w:rPr>
                                <w:spacing w:val="-4"/>
                              </w:rPr>
                              <w:t> </w:t>
                            </w:r>
                            <w:r>
                              <w:rPr/>
                              <w:t>se</w:t>
                            </w:r>
                            <w:r>
                              <w:rPr>
                                <w:spacing w:val="-4"/>
                              </w:rPr>
                              <w:t> </w:t>
                            </w:r>
                            <w:r>
                              <w:rPr/>
                              <w:t>presenta</w:t>
                            </w:r>
                            <w:r>
                              <w:rPr>
                                <w:spacing w:val="-3"/>
                              </w:rPr>
                              <w:t> </w:t>
                            </w:r>
                            <w:r>
                              <w:rPr/>
                              <w:t>corresponde</w:t>
                            </w:r>
                            <w:r>
                              <w:rPr>
                                <w:spacing w:val="-5"/>
                              </w:rPr>
                              <w:t> </w:t>
                            </w:r>
                            <w:r>
                              <w:rPr/>
                              <w:t>del</w:t>
                            </w:r>
                            <w:r>
                              <w:rPr>
                                <w:spacing w:val="-2"/>
                              </w:rPr>
                              <w:t> </w:t>
                            </w:r>
                            <w:r>
                              <w:rPr/>
                              <w:t>01</w:t>
                            </w:r>
                            <w:r>
                              <w:rPr>
                                <w:spacing w:val="-3"/>
                              </w:rPr>
                              <w:t> </w:t>
                            </w:r>
                            <w:r>
                              <w:rPr/>
                              <w:t>de</w:t>
                            </w:r>
                            <w:r>
                              <w:rPr>
                                <w:spacing w:val="-4"/>
                              </w:rPr>
                              <w:t> </w:t>
                            </w:r>
                            <w:r>
                              <w:rPr/>
                              <w:t>enero</w:t>
                            </w:r>
                            <w:r>
                              <w:rPr>
                                <w:spacing w:val="-1"/>
                              </w:rPr>
                              <w:t> </w:t>
                            </w:r>
                            <w:r>
                              <w:rPr/>
                              <w:t>al</w:t>
                            </w:r>
                            <w:r>
                              <w:rPr>
                                <w:spacing w:val="-2"/>
                              </w:rPr>
                              <w:t> </w:t>
                            </w:r>
                            <w:r>
                              <w:rPr/>
                              <w:t>31</w:t>
                            </w:r>
                            <w:r>
                              <w:rPr>
                                <w:spacing w:val="-3"/>
                              </w:rPr>
                              <w:t> </w:t>
                            </w:r>
                            <w:r>
                              <w:rPr/>
                              <w:t>de</w:t>
                            </w:r>
                            <w:r>
                              <w:rPr>
                                <w:spacing w:val="-4"/>
                              </w:rPr>
                              <w:t> </w:t>
                            </w:r>
                            <w:r>
                              <w:rPr/>
                              <w:t>julio</w:t>
                            </w:r>
                            <w:r>
                              <w:rPr>
                                <w:spacing w:val="-2"/>
                              </w:rPr>
                              <w:t> 2026.</w:t>
                            </w:r>
                          </w:p>
                        </w:txbxContent>
                      </wps:txbx>
                      <wps:bodyPr wrap="square" lIns="0" tIns="0" rIns="0" bIns="0" rtlCol="0">
                        <a:noAutofit/>
                      </wps:bodyPr>
                    </wps:wsp>
                  </a:graphicData>
                </a:graphic>
              </wp:anchor>
            </w:drawing>
          </mc:Choice>
          <mc:Fallback>
            <w:pict>
              <v:shape style="position:absolute;margin-left:85.103996pt;margin-top:11.11375pt;width:450pt;height:239.7pt;mso-position-horizontal-relative:page;mso-position-vertical-relative:paragraph;z-index:-15505408;mso-wrap-distance-left:0;mso-wrap-distance-right:0" type="#_x0000_t202" id="docshape1055" filled="false" stroked="true" strokeweight=".47998pt" strokecolor="#000000">
                <v:textbox inset="0,0,0,0">
                  <w:txbxContent>
                    <w:p>
                      <w:pPr>
                        <w:pStyle w:val="BodyText"/>
                        <w:ind w:left="103"/>
                        <w:jc w:val="both"/>
                      </w:pPr>
                      <w:r>
                        <w:rPr/>
                        <w:t>En</w:t>
                      </w:r>
                      <w:r>
                        <w:rPr>
                          <w:spacing w:val="-2"/>
                        </w:rPr>
                        <w:t> </w:t>
                      </w:r>
                      <w:r>
                        <w:rPr/>
                        <w:t>concordancia</w:t>
                      </w:r>
                      <w:r>
                        <w:rPr>
                          <w:spacing w:val="1"/>
                        </w:rPr>
                        <w:t> </w:t>
                      </w:r>
                      <w:r>
                        <w:rPr/>
                        <w:t>a las</w:t>
                      </w:r>
                      <w:r>
                        <w:rPr>
                          <w:spacing w:val="2"/>
                        </w:rPr>
                        <w:t> </w:t>
                      </w:r>
                      <w:r>
                        <w:rPr/>
                        <w:t>Normas</w:t>
                      </w:r>
                      <w:r>
                        <w:rPr>
                          <w:spacing w:val="1"/>
                        </w:rPr>
                        <w:t> </w:t>
                      </w:r>
                      <w:r>
                        <w:rPr/>
                        <w:t>Técnicas sobre Presupuesto</w:t>
                      </w:r>
                      <w:r>
                        <w:rPr>
                          <w:spacing w:val="2"/>
                        </w:rPr>
                        <w:t> </w:t>
                      </w:r>
                      <w:r>
                        <w:rPr/>
                        <w:t>Público,</w:t>
                      </w:r>
                      <w:r>
                        <w:rPr>
                          <w:spacing w:val="2"/>
                        </w:rPr>
                        <w:t> </w:t>
                      </w:r>
                      <w:r>
                        <w:rPr/>
                        <w:t>se</w:t>
                      </w:r>
                      <w:r>
                        <w:rPr>
                          <w:spacing w:val="-1"/>
                        </w:rPr>
                        <w:t> </w:t>
                      </w:r>
                      <w:r>
                        <w:rPr/>
                        <w:t>da cumplimiento</w:t>
                      </w:r>
                      <w:r>
                        <w:rPr>
                          <w:spacing w:val="2"/>
                        </w:rPr>
                        <w:t> </w:t>
                      </w:r>
                      <w:r>
                        <w:rPr/>
                        <w:t>a</w:t>
                      </w:r>
                      <w:r>
                        <w:rPr>
                          <w:spacing w:val="1"/>
                        </w:rPr>
                        <w:t> </w:t>
                      </w:r>
                      <w:r>
                        <w:rPr/>
                        <w:t>la </w:t>
                      </w:r>
                      <w:r>
                        <w:rPr>
                          <w:spacing w:val="-2"/>
                        </w:rPr>
                        <w:t>Norma</w:t>
                      </w:r>
                    </w:p>
                    <w:p>
                      <w:pPr>
                        <w:pStyle w:val="BodyText"/>
                        <w:spacing w:line="259" w:lineRule="auto" w:before="20"/>
                        <w:ind w:left="103" w:right="103"/>
                        <w:jc w:val="both"/>
                      </w:pPr>
                      <w:r>
                        <w:rPr/>
                        <w:t>2.2.3</w:t>
                      </w:r>
                      <w:r>
                        <w:rPr>
                          <w:spacing w:val="-5"/>
                        </w:rPr>
                        <w:t> </w:t>
                      </w:r>
                      <w:r>
                        <w:rPr/>
                        <w:t>de</w:t>
                      </w:r>
                      <w:r>
                        <w:rPr>
                          <w:spacing w:val="-6"/>
                        </w:rPr>
                        <w:t> </w:t>
                      </w:r>
                      <w:r>
                        <w:rPr/>
                        <w:t>los</w:t>
                      </w:r>
                      <w:r>
                        <w:rPr>
                          <w:spacing w:val="-4"/>
                        </w:rPr>
                        <w:t> </w:t>
                      </w:r>
                      <w:r>
                        <w:rPr/>
                        <w:t>Principios</w:t>
                      </w:r>
                      <w:r>
                        <w:rPr>
                          <w:spacing w:val="-4"/>
                        </w:rPr>
                        <w:t> </w:t>
                      </w:r>
                      <w:r>
                        <w:rPr/>
                        <w:t>Presupuestarios,</w:t>
                      </w:r>
                      <w:r>
                        <w:rPr>
                          <w:spacing w:val="-5"/>
                        </w:rPr>
                        <w:t> </w:t>
                      </w:r>
                      <w:r>
                        <w:rPr/>
                        <w:t>propiamente</w:t>
                      </w:r>
                      <w:r>
                        <w:rPr>
                          <w:spacing w:val="-5"/>
                        </w:rPr>
                        <w:t> </w:t>
                      </w:r>
                      <w:r>
                        <w:rPr/>
                        <w:t>el</w:t>
                      </w:r>
                      <w:r>
                        <w:rPr>
                          <w:spacing w:val="-3"/>
                        </w:rPr>
                        <w:t> </w:t>
                      </w:r>
                      <w:r>
                        <w:rPr/>
                        <w:t>Principio</w:t>
                      </w:r>
                      <w:r>
                        <w:rPr>
                          <w:spacing w:val="-4"/>
                        </w:rPr>
                        <w:t> </w:t>
                      </w:r>
                      <w:r>
                        <w:rPr/>
                        <w:t>de</w:t>
                      </w:r>
                      <w:r>
                        <w:rPr>
                          <w:spacing w:val="-6"/>
                        </w:rPr>
                        <w:t> </w:t>
                      </w:r>
                      <w:r>
                        <w:rPr/>
                        <w:t>Anualidad</w:t>
                      </w:r>
                      <w:r>
                        <w:rPr>
                          <w:spacing w:val="-2"/>
                        </w:rPr>
                        <w:t> </w:t>
                      </w:r>
                      <w:r>
                        <w:rPr/>
                        <w:t>y</w:t>
                      </w:r>
                      <w:r>
                        <w:rPr>
                          <w:spacing w:val="-6"/>
                        </w:rPr>
                        <w:t> </w:t>
                      </w:r>
                      <w:r>
                        <w:rPr/>
                        <w:t>que</w:t>
                      </w:r>
                      <w:r>
                        <w:rPr>
                          <w:spacing w:val="-6"/>
                        </w:rPr>
                        <w:t> </w:t>
                      </w:r>
                      <w:r>
                        <w:rPr/>
                        <w:t>mediante</w:t>
                      </w:r>
                      <w:r>
                        <w:rPr>
                          <w:spacing w:val="-5"/>
                        </w:rPr>
                        <w:t> </w:t>
                      </w:r>
                      <w:r>
                        <w:rPr/>
                        <w:t>oficio DFOE-BIS-0709 de fecha 16 de diciembre 2025 la Contraloría General de la República aprueba el Presupuesto</w:t>
                      </w:r>
                      <w:r>
                        <w:rPr>
                          <w:spacing w:val="-4"/>
                        </w:rPr>
                        <w:t> </w:t>
                      </w:r>
                      <w:r>
                        <w:rPr/>
                        <w:t>Ordinario</w:t>
                      </w:r>
                      <w:r>
                        <w:rPr>
                          <w:spacing w:val="-4"/>
                        </w:rPr>
                        <w:t> </w:t>
                      </w:r>
                      <w:r>
                        <w:rPr/>
                        <w:t>del</w:t>
                      </w:r>
                      <w:r>
                        <w:rPr>
                          <w:spacing w:val="-5"/>
                        </w:rPr>
                        <w:t> </w:t>
                      </w:r>
                      <w:r>
                        <w:rPr/>
                        <w:t>Instituto</w:t>
                      </w:r>
                      <w:r>
                        <w:rPr>
                          <w:spacing w:val="-4"/>
                        </w:rPr>
                        <w:t> </w:t>
                      </w:r>
                      <w:r>
                        <w:rPr/>
                        <w:t>Mixto</w:t>
                      </w:r>
                      <w:r>
                        <w:rPr>
                          <w:spacing w:val="-4"/>
                        </w:rPr>
                        <w:t> </w:t>
                      </w:r>
                      <w:r>
                        <w:rPr/>
                        <w:t>de</w:t>
                      </w:r>
                      <w:r>
                        <w:rPr>
                          <w:spacing w:val="-6"/>
                        </w:rPr>
                        <w:t> </w:t>
                      </w:r>
                      <w:r>
                        <w:rPr/>
                        <w:t>Ayuda</w:t>
                      </w:r>
                      <w:r>
                        <w:rPr>
                          <w:spacing w:val="-6"/>
                        </w:rPr>
                        <w:t> </w:t>
                      </w:r>
                      <w:r>
                        <w:rPr/>
                        <w:t>Social</w:t>
                      </w:r>
                      <w:r>
                        <w:rPr>
                          <w:spacing w:val="-5"/>
                        </w:rPr>
                        <w:t> </w:t>
                      </w:r>
                      <w:r>
                        <w:rPr/>
                        <w:t>para</w:t>
                      </w:r>
                      <w:r>
                        <w:rPr>
                          <w:spacing w:val="-5"/>
                        </w:rPr>
                        <w:t> </w:t>
                      </w:r>
                      <w:r>
                        <w:rPr/>
                        <w:t>el</w:t>
                      </w:r>
                      <w:r>
                        <w:rPr>
                          <w:spacing w:val="-5"/>
                        </w:rPr>
                        <w:t> </w:t>
                      </w:r>
                      <w:r>
                        <w:rPr/>
                        <w:t>periodo</w:t>
                      </w:r>
                      <w:r>
                        <w:rPr>
                          <w:spacing w:val="-4"/>
                        </w:rPr>
                        <w:t> </w:t>
                      </w:r>
                      <w:r>
                        <w:rPr/>
                        <w:t>2026,</w:t>
                      </w:r>
                      <w:r>
                        <w:rPr>
                          <w:spacing w:val="-5"/>
                        </w:rPr>
                        <w:t> </w:t>
                      </w:r>
                      <w:r>
                        <w:rPr/>
                        <w:t>que</w:t>
                      </w:r>
                      <w:r>
                        <w:rPr>
                          <w:spacing w:val="-6"/>
                        </w:rPr>
                        <w:t> </w:t>
                      </w:r>
                      <w:r>
                        <w:rPr/>
                        <w:t>en</w:t>
                      </w:r>
                      <w:r>
                        <w:rPr>
                          <w:spacing w:val="-4"/>
                        </w:rPr>
                        <w:t> </w:t>
                      </w:r>
                      <w:r>
                        <w:rPr/>
                        <w:t>lo</w:t>
                      </w:r>
                      <w:r>
                        <w:rPr>
                          <w:spacing w:val="-4"/>
                        </w:rPr>
                        <w:t> </w:t>
                      </w:r>
                      <w:r>
                        <w:rPr/>
                        <w:t>particular </w:t>
                      </w:r>
                      <w:r>
                        <w:rPr>
                          <w:spacing w:val="-2"/>
                        </w:rPr>
                        <w:t>indica:</w:t>
                      </w:r>
                    </w:p>
                    <w:p>
                      <w:pPr>
                        <w:spacing w:before="151"/>
                        <w:ind w:left="158" w:right="0" w:firstLine="0"/>
                        <w:jc w:val="both"/>
                        <w:rPr>
                          <w:i/>
                          <w:sz w:val="23"/>
                        </w:rPr>
                      </w:pPr>
                      <w:r>
                        <w:rPr>
                          <w:sz w:val="22"/>
                        </w:rPr>
                        <w:t>3.</w:t>
                      </w:r>
                      <w:r>
                        <w:rPr>
                          <w:spacing w:val="-3"/>
                          <w:sz w:val="22"/>
                        </w:rPr>
                        <w:t> </w:t>
                      </w:r>
                      <w:r>
                        <w:rPr>
                          <w:i/>
                          <w:spacing w:val="-2"/>
                          <w:sz w:val="23"/>
                        </w:rPr>
                        <w:t>CONCLUSIÓN</w:t>
                      </w:r>
                    </w:p>
                    <w:p>
                      <w:pPr>
                        <w:spacing w:line="257" w:lineRule="exact" w:before="167"/>
                        <w:ind w:left="556" w:right="0" w:firstLine="0"/>
                        <w:jc w:val="left"/>
                        <w:rPr>
                          <w:i/>
                          <w:sz w:val="23"/>
                        </w:rPr>
                      </w:pPr>
                      <w:r>
                        <w:rPr>
                          <w:i/>
                          <w:spacing w:val="-5"/>
                          <w:sz w:val="23"/>
                        </w:rPr>
                        <w:t>“…</w:t>
                      </w:r>
                    </w:p>
                    <w:p>
                      <w:pPr>
                        <w:spacing w:line="256" w:lineRule="auto" w:before="0"/>
                        <w:ind w:left="103" w:right="0" w:firstLine="0"/>
                        <w:jc w:val="left"/>
                        <w:rPr>
                          <w:sz w:val="22"/>
                        </w:rPr>
                      </w:pPr>
                      <w:r>
                        <w:rPr>
                          <w:i/>
                          <w:sz w:val="23"/>
                        </w:rPr>
                        <w:t>La</w:t>
                      </w:r>
                      <w:r>
                        <w:rPr>
                          <w:i/>
                          <w:spacing w:val="4"/>
                          <w:sz w:val="23"/>
                        </w:rPr>
                        <w:t> </w:t>
                      </w:r>
                      <w:r>
                        <w:rPr>
                          <w:i/>
                          <w:sz w:val="23"/>
                        </w:rPr>
                        <w:t>Contraloría</w:t>
                      </w:r>
                      <w:r>
                        <w:rPr>
                          <w:i/>
                          <w:spacing w:val="4"/>
                          <w:sz w:val="23"/>
                        </w:rPr>
                        <w:t> </w:t>
                      </w:r>
                      <w:r>
                        <w:rPr>
                          <w:i/>
                          <w:sz w:val="23"/>
                        </w:rPr>
                        <w:t>General</w:t>
                      </w:r>
                      <w:r>
                        <w:rPr>
                          <w:i/>
                          <w:spacing w:val="4"/>
                          <w:sz w:val="23"/>
                        </w:rPr>
                        <w:t> </w:t>
                      </w:r>
                      <w:r>
                        <w:rPr>
                          <w:i/>
                          <w:sz w:val="23"/>
                        </w:rPr>
                        <w:t>aprueba</w:t>
                      </w:r>
                      <w:r>
                        <w:rPr>
                          <w:i/>
                          <w:spacing w:val="4"/>
                          <w:sz w:val="23"/>
                        </w:rPr>
                        <w:t> </w:t>
                      </w:r>
                      <w:r>
                        <w:rPr>
                          <w:i/>
                          <w:sz w:val="23"/>
                        </w:rPr>
                        <w:t>el</w:t>
                      </w:r>
                      <w:r>
                        <w:rPr>
                          <w:i/>
                          <w:spacing w:val="4"/>
                          <w:sz w:val="23"/>
                        </w:rPr>
                        <w:t> </w:t>
                      </w:r>
                      <w:r>
                        <w:rPr>
                          <w:i/>
                          <w:sz w:val="23"/>
                        </w:rPr>
                        <w:t>presupuesto</w:t>
                      </w:r>
                      <w:r>
                        <w:rPr>
                          <w:i/>
                          <w:spacing w:val="5"/>
                          <w:sz w:val="23"/>
                        </w:rPr>
                        <w:t> </w:t>
                      </w:r>
                      <w:r>
                        <w:rPr>
                          <w:i/>
                          <w:sz w:val="23"/>
                        </w:rPr>
                        <w:t>inicial</w:t>
                      </w:r>
                      <w:r>
                        <w:rPr>
                          <w:i/>
                          <w:spacing w:val="4"/>
                          <w:sz w:val="23"/>
                        </w:rPr>
                        <w:t> </w:t>
                      </w:r>
                      <w:r>
                        <w:rPr>
                          <w:i/>
                          <w:sz w:val="23"/>
                        </w:rPr>
                        <w:t>2026</w:t>
                      </w:r>
                      <w:r>
                        <w:rPr>
                          <w:i/>
                          <w:spacing w:val="3"/>
                          <w:sz w:val="23"/>
                        </w:rPr>
                        <w:t> </w:t>
                      </w:r>
                      <w:r>
                        <w:rPr>
                          <w:i/>
                          <w:sz w:val="23"/>
                        </w:rPr>
                        <w:t>del</w:t>
                      </w:r>
                      <w:r>
                        <w:rPr>
                          <w:i/>
                          <w:spacing w:val="5"/>
                          <w:sz w:val="23"/>
                        </w:rPr>
                        <w:t> </w:t>
                      </w:r>
                      <w:r>
                        <w:rPr>
                          <w:i/>
                          <w:sz w:val="23"/>
                        </w:rPr>
                        <w:t>Instituto</w:t>
                      </w:r>
                      <w:r>
                        <w:rPr>
                          <w:i/>
                          <w:spacing w:val="3"/>
                          <w:sz w:val="23"/>
                        </w:rPr>
                        <w:t> </w:t>
                      </w:r>
                      <w:r>
                        <w:rPr>
                          <w:i/>
                          <w:sz w:val="23"/>
                        </w:rPr>
                        <w:t>Mixto</w:t>
                      </w:r>
                      <w:r>
                        <w:rPr>
                          <w:i/>
                          <w:spacing w:val="3"/>
                          <w:sz w:val="23"/>
                        </w:rPr>
                        <w:t> </w:t>
                      </w:r>
                      <w:r>
                        <w:rPr>
                          <w:i/>
                          <w:sz w:val="23"/>
                        </w:rPr>
                        <w:t>de</w:t>
                      </w:r>
                      <w:r>
                        <w:rPr>
                          <w:i/>
                          <w:spacing w:val="3"/>
                          <w:sz w:val="23"/>
                        </w:rPr>
                        <w:t> </w:t>
                      </w:r>
                      <w:r>
                        <w:rPr>
                          <w:i/>
                          <w:sz w:val="23"/>
                        </w:rPr>
                        <w:t>Ayuda</w:t>
                      </w:r>
                      <w:r>
                        <w:rPr>
                          <w:i/>
                          <w:spacing w:val="3"/>
                          <w:sz w:val="23"/>
                        </w:rPr>
                        <w:t> </w:t>
                      </w:r>
                      <w:r>
                        <w:rPr>
                          <w:i/>
                          <w:sz w:val="23"/>
                        </w:rPr>
                        <w:t>Social (IMAS) por </w:t>
                      </w:r>
                      <w:r>
                        <w:rPr>
                          <w:rFonts w:ascii="Times New Roman" w:hAnsi="Times New Roman"/>
                          <w:i/>
                          <w:sz w:val="22"/>
                        </w:rPr>
                        <w:t>₡</w:t>
                      </w:r>
                      <w:r>
                        <w:rPr>
                          <w:i/>
                          <w:sz w:val="23"/>
                        </w:rPr>
                        <w:t>249.218,2 millones. </w:t>
                      </w:r>
                      <w:r>
                        <w:rPr>
                          <w:sz w:val="22"/>
                        </w:rPr>
                        <w:t>…”</w:t>
                      </w:r>
                    </w:p>
                    <w:p>
                      <w:pPr>
                        <w:pStyle w:val="BodyText"/>
                        <w:spacing w:line="276" w:lineRule="auto" w:before="155"/>
                        <w:ind w:left="103" w:right="106"/>
                        <w:jc w:val="both"/>
                      </w:pPr>
                      <w:r>
                        <w:rPr/>
                        <w:t>En consecuencia, el</w:t>
                      </w:r>
                      <w:r>
                        <w:rPr>
                          <w:spacing w:val="-1"/>
                        </w:rPr>
                        <w:t> </w:t>
                      </w:r>
                      <w:r>
                        <w:rPr/>
                        <w:t>IMAS</w:t>
                      </w:r>
                      <w:r>
                        <w:rPr>
                          <w:spacing w:val="-1"/>
                        </w:rPr>
                        <w:t> </w:t>
                      </w:r>
                      <w:r>
                        <w:rPr/>
                        <w:t>cumple</w:t>
                      </w:r>
                      <w:r>
                        <w:rPr>
                          <w:spacing w:val="-1"/>
                        </w:rPr>
                        <w:t> </w:t>
                      </w:r>
                      <w:r>
                        <w:rPr/>
                        <w:t>con el</w:t>
                      </w:r>
                      <w:r>
                        <w:rPr>
                          <w:spacing w:val="-1"/>
                        </w:rPr>
                        <w:t> </w:t>
                      </w:r>
                      <w:r>
                        <w:rPr/>
                        <w:t>requerimiento de</w:t>
                      </w:r>
                      <w:r>
                        <w:rPr>
                          <w:spacing w:val="-2"/>
                        </w:rPr>
                        <w:t> </w:t>
                      </w:r>
                      <w:r>
                        <w:rPr/>
                        <w:t>la</w:t>
                      </w:r>
                      <w:r>
                        <w:rPr>
                          <w:spacing w:val="-1"/>
                        </w:rPr>
                        <w:t> </w:t>
                      </w:r>
                      <w:r>
                        <w:rPr/>
                        <w:t>NICSP</w:t>
                      </w:r>
                      <w:r>
                        <w:rPr>
                          <w:spacing w:val="-1"/>
                        </w:rPr>
                        <w:t> </w:t>
                      </w:r>
                      <w:r>
                        <w:rPr/>
                        <w:t>24</w:t>
                      </w:r>
                      <w:r>
                        <w:rPr>
                          <w:spacing w:val="-1"/>
                        </w:rPr>
                        <w:t> </w:t>
                      </w:r>
                      <w:r>
                        <w:rPr/>
                        <w:t>de</w:t>
                      </w:r>
                      <w:r>
                        <w:rPr>
                          <w:spacing w:val="-2"/>
                        </w:rPr>
                        <w:t> </w:t>
                      </w:r>
                      <w:r>
                        <w:rPr/>
                        <w:t>identificar claramente</w:t>
                      </w:r>
                      <w:r>
                        <w:rPr>
                          <w:spacing w:val="-1"/>
                        </w:rPr>
                        <w:t> </w:t>
                      </w:r>
                      <w:r>
                        <w:rPr/>
                        <w:t>el periodo del presupuesto aprobado, fortaleciendo la transparencia, la rendición de cuentas y la adecuada comprensión de la información financiera institucional.</w:t>
                      </w:r>
                    </w:p>
                    <w:p>
                      <w:pPr>
                        <w:pStyle w:val="BodyText"/>
                        <w:spacing w:before="36"/>
                      </w:pPr>
                    </w:p>
                    <w:p>
                      <w:pPr>
                        <w:pStyle w:val="BodyText"/>
                        <w:ind w:left="103"/>
                        <w:jc w:val="both"/>
                      </w:pPr>
                      <w:r>
                        <w:rPr/>
                        <w:t>La</w:t>
                      </w:r>
                      <w:r>
                        <w:rPr>
                          <w:spacing w:val="-4"/>
                        </w:rPr>
                        <w:t> </w:t>
                      </w:r>
                      <w:r>
                        <w:rPr/>
                        <w:t>información</w:t>
                      </w:r>
                      <w:r>
                        <w:rPr>
                          <w:spacing w:val="-5"/>
                        </w:rPr>
                        <w:t> </w:t>
                      </w:r>
                      <w:r>
                        <w:rPr/>
                        <w:t>que</w:t>
                      </w:r>
                      <w:r>
                        <w:rPr>
                          <w:spacing w:val="-4"/>
                        </w:rPr>
                        <w:t> </w:t>
                      </w:r>
                      <w:r>
                        <w:rPr/>
                        <w:t>se</w:t>
                      </w:r>
                      <w:r>
                        <w:rPr>
                          <w:spacing w:val="-4"/>
                        </w:rPr>
                        <w:t> </w:t>
                      </w:r>
                      <w:r>
                        <w:rPr/>
                        <w:t>presenta</w:t>
                      </w:r>
                      <w:r>
                        <w:rPr>
                          <w:spacing w:val="-3"/>
                        </w:rPr>
                        <w:t> </w:t>
                      </w:r>
                      <w:r>
                        <w:rPr/>
                        <w:t>corresponde</w:t>
                      </w:r>
                      <w:r>
                        <w:rPr>
                          <w:spacing w:val="-5"/>
                        </w:rPr>
                        <w:t> </w:t>
                      </w:r>
                      <w:r>
                        <w:rPr/>
                        <w:t>del</w:t>
                      </w:r>
                      <w:r>
                        <w:rPr>
                          <w:spacing w:val="-2"/>
                        </w:rPr>
                        <w:t> </w:t>
                      </w:r>
                      <w:r>
                        <w:rPr/>
                        <w:t>01</w:t>
                      </w:r>
                      <w:r>
                        <w:rPr>
                          <w:spacing w:val="-3"/>
                        </w:rPr>
                        <w:t> </w:t>
                      </w:r>
                      <w:r>
                        <w:rPr/>
                        <w:t>de</w:t>
                      </w:r>
                      <w:r>
                        <w:rPr>
                          <w:spacing w:val="-4"/>
                        </w:rPr>
                        <w:t> </w:t>
                      </w:r>
                      <w:r>
                        <w:rPr/>
                        <w:t>enero</w:t>
                      </w:r>
                      <w:r>
                        <w:rPr>
                          <w:spacing w:val="-1"/>
                        </w:rPr>
                        <w:t> </w:t>
                      </w:r>
                      <w:r>
                        <w:rPr/>
                        <w:t>al</w:t>
                      </w:r>
                      <w:r>
                        <w:rPr>
                          <w:spacing w:val="-2"/>
                        </w:rPr>
                        <w:t> </w:t>
                      </w:r>
                      <w:r>
                        <w:rPr/>
                        <w:t>31</w:t>
                      </w:r>
                      <w:r>
                        <w:rPr>
                          <w:spacing w:val="-3"/>
                        </w:rPr>
                        <w:t> </w:t>
                      </w:r>
                      <w:r>
                        <w:rPr/>
                        <w:t>de</w:t>
                      </w:r>
                      <w:r>
                        <w:rPr>
                          <w:spacing w:val="-4"/>
                        </w:rPr>
                        <w:t> </w:t>
                      </w:r>
                      <w:r>
                        <w:rPr/>
                        <w:t>julio</w:t>
                      </w:r>
                      <w:r>
                        <w:rPr>
                          <w:spacing w:val="-2"/>
                        </w:rPr>
                        <w:t> 2026.</w:t>
                      </w:r>
                    </w:p>
                  </w:txbxContent>
                </v:textbox>
                <v:stroke dashstyle="solid"/>
                <w10:wrap type="topAndBottom"/>
              </v:shape>
            </w:pict>
          </mc:Fallback>
        </mc:AlternateContent>
      </w:r>
    </w:p>
    <w:p>
      <w:pPr>
        <w:pStyle w:val="BodyText"/>
        <w:spacing w:before="6"/>
      </w:pPr>
    </w:p>
    <w:p>
      <w:pPr>
        <w:pStyle w:val="ListParagraph"/>
        <w:numPr>
          <w:ilvl w:val="1"/>
          <w:numId w:val="82"/>
        </w:numPr>
        <w:tabs>
          <w:tab w:pos="1341" w:val="left" w:leader="none"/>
        </w:tabs>
        <w:spacing w:line="240" w:lineRule="auto" w:before="0" w:after="0"/>
        <w:ind w:left="1341" w:right="0" w:hanging="360"/>
        <w:jc w:val="left"/>
        <w:rPr>
          <w:sz w:val="22"/>
        </w:rPr>
      </w:pPr>
      <w:r>
        <w:rPr>
          <w:sz w:val="22"/>
          <w:u w:val="single"/>
        </w:rPr>
        <w:t>Presupuesto</w:t>
      </w:r>
      <w:r>
        <w:rPr>
          <w:spacing w:val="-9"/>
          <w:sz w:val="22"/>
          <w:u w:val="single"/>
        </w:rPr>
        <w:t> </w:t>
      </w:r>
      <w:r>
        <w:rPr>
          <w:sz w:val="22"/>
          <w:u w:val="single"/>
        </w:rPr>
        <w:t>Ordinario</w:t>
      </w:r>
      <w:r>
        <w:rPr>
          <w:spacing w:val="-9"/>
          <w:sz w:val="22"/>
          <w:u w:val="single"/>
        </w:rPr>
        <w:t> </w:t>
      </w:r>
      <w:r>
        <w:rPr>
          <w:spacing w:val="-4"/>
          <w:sz w:val="22"/>
          <w:u w:val="single"/>
        </w:rPr>
        <w:t>2026</w:t>
      </w:r>
    </w:p>
    <w:p>
      <w:pPr>
        <w:pStyle w:val="BodyText"/>
        <w:spacing w:before="45"/>
      </w:pPr>
    </w:p>
    <w:p>
      <w:pPr>
        <w:pStyle w:val="Heading6"/>
        <w:ind w:left="730"/>
      </w:pPr>
      <w:r>
        <w:rPr>
          <w:spacing w:val="-2"/>
        </w:rPr>
        <w:t>Revelación:</w:t>
      </w:r>
    </w:p>
    <w:p>
      <w:pPr>
        <w:pStyle w:val="BodyText"/>
        <w:spacing w:before="179"/>
        <w:ind w:left="730"/>
      </w:pPr>
      <w:r>
        <w:rPr/>
        <w:t>Según</w:t>
      </w:r>
      <w:r>
        <w:rPr>
          <w:spacing w:val="-6"/>
        </w:rPr>
        <w:t> </w:t>
      </w:r>
      <w:r>
        <w:rPr/>
        <w:t>las</w:t>
      </w:r>
      <w:r>
        <w:rPr>
          <w:spacing w:val="-4"/>
        </w:rPr>
        <w:t> </w:t>
      </w:r>
      <w:r>
        <w:rPr/>
        <w:t>Normas</w:t>
      </w:r>
      <w:r>
        <w:rPr>
          <w:spacing w:val="-4"/>
        </w:rPr>
        <w:t> </w:t>
      </w:r>
      <w:r>
        <w:rPr/>
        <w:t>Técnicas</w:t>
      </w:r>
      <w:r>
        <w:rPr>
          <w:spacing w:val="-7"/>
        </w:rPr>
        <w:t> </w:t>
      </w:r>
      <w:r>
        <w:rPr/>
        <w:t>sobre</w:t>
      </w:r>
      <w:r>
        <w:rPr>
          <w:spacing w:val="-7"/>
        </w:rPr>
        <w:t> </w:t>
      </w:r>
      <w:r>
        <w:rPr/>
        <w:t>Presupuesto</w:t>
      </w:r>
      <w:r>
        <w:rPr>
          <w:spacing w:val="-5"/>
        </w:rPr>
        <w:t> </w:t>
      </w:r>
      <w:r>
        <w:rPr/>
        <w:t>Público</w:t>
      </w:r>
      <w:r>
        <w:rPr>
          <w:spacing w:val="-5"/>
        </w:rPr>
        <w:t> </w:t>
      </w:r>
      <w:r>
        <w:rPr/>
        <w:t>indica</w:t>
      </w:r>
      <w:r>
        <w:rPr>
          <w:spacing w:val="-6"/>
        </w:rPr>
        <w:t> </w:t>
      </w:r>
      <w:r>
        <w:rPr>
          <w:spacing w:val="-4"/>
        </w:rPr>
        <w:t>que:</w:t>
      </w:r>
    </w:p>
    <w:p>
      <w:pPr>
        <w:pStyle w:val="BodyText"/>
      </w:pPr>
    </w:p>
    <w:p>
      <w:pPr>
        <w:pStyle w:val="BodyText"/>
        <w:ind w:left="730" w:right="921"/>
        <w:jc w:val="both"/>
      </w:pPr>
      <w:r>
        <w:rPr/>
        <w:t>Presupuesto:</w:t>
      </w:r>
      <w:r>
        <w:rPr>
          <w:spacing w:val="-14"/>
        </w:rPr>
        <w:t> </w:t>
      </w:r>
      <w:r>
        <w:rPr/>
        <w:t>Instrumento</w:t>
      </w:r>
      <w:r>
        <w:rPr>
          <w:spacing w:val="-14"/>
        </w:rPr>
        <w:t> </w:t>
      </w:r>
      <w:r>
        <w:rPr/>
        <w:t>que</w:t>
      </w:r>
      <w:r>
        <w:rPr>
          <w:spacing w:val="-14"/>
        </w:rPr>
        <w:t> </w:t>
      </w:r>
      <w:r>
        <w:rPr/>
        <w:t>expresa</w:t>
      </w:r>
      <w:r>
        <w:rPr>
          <w:spacing w:val="-13"/>
        </w:rPr>
        <w:t> </w:t>
      </w:r>
      <w:r>
        <w:rPr/>
        <w:t>en</w:t>
      </w:r>
      <w:r>
        <w:rPr>
          <w:spacing w:val="-14"/>
        </w:rPr>
        <w:t> </w:t>
      </w:r>
      <w:r>
        <w:rPr/>
        <w:t>términos</w:t>
      </w:r>
      <w:r>
        <w:rPr>
          <w:spacing w:val="-14"/>
        </w:rPr>
        <w:t> </w:t>
      </w:r>
      <w:r>
        <w:rPr/>
        <w:t>financieros</w:t>
      </w:r>
      <w:r>
        <w:rPr>
          <w:spacing w:val="-14"/>
        </w:rPr>
        <w:t> </w:t>
      </w:r>
      <w:r>
        <w:rPr/>
        <w:t>el</w:t>
      </w:r>
      <w:r>
        <w:rPr>
          <w:spacing w:val="-13"/>
        </w:rPr>
        <w:t> </w:t>
      </w:r>
      <w:r>
        <w:rPr/>
        <w:t>plan</w:t>
      </w:r>
      <w:r>
        <w:rPr>
          <w:spacing w:val="-14"/>
        </w:rPr>
        <w:t> </w:t>
      </w:r>
      <w:r>
        <w:rPr/>
        <w:t>anual</w:t>
      </w:r>
      <w:r>
        <w:rPr>
          <w:spacing w:val="-14"/>
        </w:rPr>
        <w:t> </w:t>
      </w:r>
      <w:r>
        <w:rPr/>
        <w:t>de</w:t>
      </w:r>
      <w:r>
        <w:rPr>
          <w:spacing w:val="-14"/>
        </w:rPr>
        <w:t> </w:t>
      </w:r>
      <w:r>
        <w:rPr/>
        <w:t>la</w:t>
      </w:r>
      <w:r>
        <w:rPr>
          <w:spacing w:val="-13"/>
        </w:rPr>
        <w:t> </w:t>
      </w:r>
      <w:r>
        <w:rPr/>
        <w:t>institución,</w:t>
      </w:r>
      <w:r>
        <w:rPr>
          <w:spacing w:val="-14"/>
        </w:rPr>
        <w:t> </w:t>
      </w:r>
      <w:r>
        <w:rPr/>
        <w:t>mediante la estimación de los ingresos y de los gastos necesarios para alcanzar los objetivos y las metas de los programas</w:t>
      </w:r>
      <w:r>
        <w:rPr>
          <w:spacing w:val="-12"/>
        </w:rPr>
        <w:t> </w:t>
      </w:r>
      <w:r>
        <w:rPr/>
        <w:t>presupuestarios</w:t>
      </w:r>
      <w:r>
        <w:rPr>
          <w:spacing w:val="-14"/>
        </w:rPr>
        <w:t> </w:t>
      </w:r>
      <w:r>
        <w:rPr/>
        <w:t>establecidos,</w:t>
      </w:r>
      <w:r>
        <w:rPr>
          <w:spacing w:val="-13"/>
        </w:rPr>
        <w:t> </w:t>
      </w:r>
      <w:r>
        <w:rPr/>
        <w:t>dicho</w:t>
      </w:r>
      <w:r>
        <w:rPr>
          <w:spacing w:val="-12"/>
        </w:rPr>
        <w:t> </w:t>
      </w:r>
      <w:r>
        <w:rPr/>
        <w:t>documento</w:t>
      </w:r>
      <w:r>
        <w:rPr>
          <w:spacing w:val="-12"/>
        </w:rPr>
        <w:t> </w:t>
      </w:r>
      <w:r>
        <w:rPr/>
        <w:t>fue</w:t>
      </w:r>
      <w:r>
        <w:rPr>
          <w:spacing w:val="-14"/>
        </w:rPr>
        <w:t> </w:t>
      </w:r>
      <w:r>
        <w:rPr/>
        <w:t>aprobado</w:t>
      </w:r>
      <w:r>
        <w:rPr>
          <w:spacing w:val="-12"/>
        </w:rPr>
        <w:t> </w:t>
      </w:r>
      <w:r>
        <w:rPr/>
        <w:t>por</w:t>
      </w:r>
      <w:r>
        <w:rPr>
          <w:spacing w:val="-13"/>
        </w:rPr>
        <w:t> </w:t>
      </w:r>
      <w:r>
        <w:rPr/>
        <w:t>el</w:t>
      </w:r>
      <w:r>
        <w:rPr>
          <w:spacing w:val="-13"/>
        </w:rPr>
        <w:t> </w:t>
      </w:r>
      <w:r>
        <w:rPr/>
        <w:t>Ente</w:t>
      </w:r>
      <w:r>
        <w:rPr>
          <w:spacing w:val="-13"/>
        </w:rPr>
        <w:t> </w:t>
      </w:r>
      <w:r>
        <w:rPr/>
        <w:t>contralor</w:t>
      </w:r>
      <w:r>
        <w:rPr>
          <w:spacing w:val="-13"/>
        </w:rPr>
        <w:t> </w:t>
      </w:r>
      <w:r>
        <w:rPr/>
        <w:t>DFOE-BIS-0709 de fecha 16 de diciembre 2025.</w:t>
      </w:r>
    </w:p>
    <w:p>
      <w:pPr>
        <w:pStyle w:val="BodyText"/>
        <w:spacing w:before="1"/>
      </w:pPr>
    </w:p>
    <w:p>
      <w:pPr>
        <w:pStyle w:val="BodyText"/>
        <w:ind w:left="730" w:right="926"/>
        <w:jc w:val="both"/>
      </w:pPr>
      <w:r>
        <w:rPr/>
        <w:t>El presupuesto inicial u ordinario de la institución para el periodo presupuestario 2026, alcanzó la </w:t>
      </w:r>
      <w:r>
        <w:rPr>
          <w:spacing w:val="-2"/>
        </w:rPr>
        <w:t>suma</w:t>
      </w:r>
      <w:r>
        <w:rPr>
          <w:spacing w:val="-3"/>
        </w:rPr>
        <w:t> </w:t>
      </w:r>
      <w:r>
        <w:rPr>
          <w:spacing w:val="-2"/>
        </w:rPr>
        <w:t>de</w:t>
      </w:r>
      <w:r>
        <w:rPr>
          <w:spacing w:val="-4"/>
        </w:rPr>
        <w:t> </w:t>
      </w:r>
      <w:r>
        <w:rPr>
          <w:spacing w:val="-2"/>
        </w:rPr>
        <w:t>¢249,218,173.25</w:t>
      </w:r>
      <w:r>
        <w:rPr>
          <w:spacing w:val="-4"/>
        </w:rPr>
        <w:t> </w:t>
      </w:r>
      <w:r>
        <w:rPr>
          <w:spacing w:val="-2"/>
        </w:rPr>
        <w:t>miles (Doscientos cuarenta</w:t>
      </w:r>
      <w:r>
        <w:rPr>
          <w:spacing w:val="-3"/>
        </w:rPr>
        <w:t> </w:t>
      </w:r>
      <w:r>
        <w:rPr>
          <w:spacing w:val="-2"/>
        </w:rPr>
        <w:t>y</w:t>
      </w:r>
      <w:r>
        <w:rPr>
          <w:spacing w:val="-4"/>
        </w:rPr>
        <w:t> </w:t>
      </w:r>
      <w:r>
        <w:rPr>
          <w:spacing w:val="-2"/>
        </w:rPr>
        <w:t>nueve</w:t>
      </w:r>
      <w:r>
        <w:rPr>
          <w:spacing w:val="-4"/>
        </w:rPr>
        <w:t> </w:t>
      </w:r>
      <w:r>
        <w:rPr>
          <w:spacing w:val="-2"/>
        </w:rPr>
        <w:t>mil</w:t>
      </w:r>
      <w:r>
        <w:rPr>
          <w:spacing w:val="-4"/>
        </w:rPr>
        <w:t> </w:t>
      </w:r>
      <w:r>
        <w:rPr>
          <w:spacing w:val="-2"/>
        </w:rPr>
        <w:t>doscientos dieciocho millones ciento </w:t>
      </w:r>
      <w:r>
        <w:rPr/>
        <w:t>setenta y tres mil doscientos cincuenta colones con 00/100).</w:t>
      </w:r>
    </w:p>
    <w:p>
      <w:pPr>
        <w:pStyle w:val="BodyText"/>
        <w:spacing w:before="250"/>
        <w:ind w:left="730"/>
        <w:jc w:val="both"/>
      </w:pPr>
      <w:r>
        <w:rPr/>
        <w:t>Sobre</w:t>
      </w:r>
      <w:r>
        <w:rPr>
          <w:spacing w:val="-6"/>
        </w:rPr>
        <w:t> </w:t>
      </w:r>
      <w:r>
        <w:rPr/>
        <w:t>la</w:t>
      </w:r>
      <w:r>
        <w:rPr>
          <w:spacing w:val="-5"/>
        </w:rPr>
        <w:t> </w:t>
      </w:r>
      <w:r>
        <w:rPr/>
        <w:t>Formulación</w:t>
      </w:r>
      <w:r>
        <w:rPr>
          <w:spacing w:val="-3"/>
        </w:rPr>
        <w:t> </w:t>
      </w:r>
      <w:r>
        <w:rPr>
          <w:spacing w:val="-2"/>
        </w:rPr>
        <w:t>Presupuestaria:</w:t>
      </w:r>
    </w:p>
    <w:p>
      <w:pPr>
        <w:pStyle w:val="BodyText"/>
      </w:pPr>
    </w:p>
    <w:p>
      <w:pPr>
        <w:pStyle w:val="BodyText"/>
        <w:ind w:left="730" w:right="924"/>
        <w:jc w:val="both"/>
      </w:pPr>
      <w:r>
        <w:rPr/>
        <w:t>El Instituto Mixto de Ayuda Social cuenta con tres programas presupuestarios, a saber: Actividades Centrales (20 Unidades Ejecutoras), Protección y Promoción Social (21 Unidades Ejecutoras) y Em-presas</w:t>
      </w:r>
      <w:r>
        <w:rPr>
          <w:spacing w:val="-10"/>
        </w:rPr>
        <w:t> </w:t>
      </w:r>
      <w:r>
        <w:rPr/>
        <w:t>Comerciales</w:t>
      </w:r>
      <w:r>
        <w:rPr>
          <w:spacing w:val="-10"/>
        </w:rPr>
        <w:t> </w:t>
      </w:r>
      <w:r>
        <w:rPr/>
        <w:t>(1</w:t>
      </w:r>
      <w:r>
        <w:rPr>
          <w:spacing w:val="-11"/>
        </w:rPr>
        <w:t> </w:t>
      </w:r>
      <w:r>
        <w:rPr/>
        <w:t>Unidad</w:t>
      </w:r>
      <w:r>
        <w:rPr>
          <w:spacing w:val="-11"/>
        </w:rPr>
        <w:t> </w:t>
      </w:r>
      <w:r>
        <w:rPr/>
        <w:t>Ejecutora),</w:t>
      </w:r>
      <w:r>
        <w:rPr>
          <w:spacing w:val="-10"/>
        </w:rPr>
        <w:t> </w:t>
      </w:r>
      <w:r>
        <w:rPr/>
        <w:t>estos</w:t>
      </w:r>
      <w:r>
        <w:rPr>
          <w:spacing w:val="-10"/>
        </w:rPr>
        <w:t> </w:t>
      </w:r>
      <w:r>
        <w:rPr/>
        <w:t>programas</w:t>
      </w:r>
      <w:r>
        <w:rPr>
          <w:spacing w:val="-10"/>
        </w:rPr>
        <w:t> </w:t>
      </w:r>
      <w:r>
        <w:rPr/>
        <w:t>presupuestan</w:t>
      </w:r>
      <w:r>
        <w:rPr>
          <w:spacing w:val="-10"/>
        </w:rPr>
        <w:t> </w:t>
      </w:r>
      <w:r>
        <w:rPr/>
        <w:t>sus</w:t>
      </w:r>
      <w:r>
        <w:rPr>
          <w:spacing w:val="-10"/>
        </w:rPr>
        <w:t> </w:t>
      </w:r>
      <w:r>
        <w:rPr/>
        <w:t>requerimientos</w:t>
      </w:r>
      <w:r>
        <w:rPr>
          <w:spacing w:val="-10"/>
        </w:rPr>
        <w:t> </w:t>
      </w:r>
      <w:r>
        <w:rPr/>
        <w:t>de</w:t>
      </w:r>
      <w:r>
        <w:rPr>
          <w:spacing w:val="-12"/>
        </w:rPr>
        <w:t> </w:t>
      </w:r>
      <w:r>
        <w:rPr/>
        <w:t>bienes y servicios a nivel unidad ejecutora cumpliendo así con los principios presupuestarios.</w:t>
      </w:r>
    </w:p>
    <w:p>
      <w:pPr>
        <w:pStyle w:val="BodyText"/>
        <w:spacing w:before="1"/>
      </w:pPr>
    </w:p>
    <w:p>
      <w:pPr>
        <w:pStyle w:val="BodyText"/>
        <w:ind w:left="730"/>
        <w:jc w:val="both"/>
      </w:pPr>
      <w:r>
        <w:rPr/>
        <w:t>Sobre</w:t>
      </w:r>
      <w:r>
        <w:rPr>
          <w:spacing w:val="-5"/>
        </w:rPr>
        <w:t> </w:t>
      </w:r>
      <w:r>
        <w:rPr/>
        <w:t>la</w:t>
      </w:r>
      <w:r>
        <w:rPr>
          <w:spacing w:val="-5"/>
        </w:rPr>
        <w:t> </w:t>
      </w:r>
      <w:r>
        <w:rPr/>
        <w:t>Ejecución</w:t>
      </w:r>
      <w:r>
        <w:rPr>
          <w:spacing w:val="-2"/>
        </w:rPr>
        <w:t> Presupuestaría:</w:t>
      </w:r>
    </w:p>
    <w:p>
      <w:pPr>
        <w:pStyle w:val="BodyText"/>
        <w:spacing w:before="251"/>
        <w:ind w:left="730" w:right="926"/>
        <w:jc w:val="both"/>
      </w:pPr>
      <w:r>
        <w:rPr/>
        <w:t>De</w:t>
      </w:r>
      <w:r>
        <w:rPr>
          <w:spacing w:val="-8"/>
        </w:rPr>
        <w:t> </w:t>
      </w:r>
      <w:r>
        <w:rPr/>
        <w:t>forma</w:t>
      </w:r>
      <w:r>
        <w:rPr>
          <w:spacing w:val="-9"/>
        </w:rPr>
        <w:t> </w:t>
      </w:r>
      <w:r>
        <w:rPr/>
        <w:t>mensual</w:t>
      </w:r>
      <w:r>
        <w:rPr>
          <w:spacing w:val="-8"/>
        </w:rPr>
        <w:t> </w:t>
      </w:r>
      <w:r>
        <w:rPr/>
        <w:t>se</w:t>
      </w:r>
      <w:r>
        <w:rPr>
          <w:spacing w:val="-9"/>
        </w:rPr>
        <w:t> </w:t>
      </w:r>
      <w:r>
        <w:rPr/>
        <w:t>emiten</w:t>
      </w:r>
      <w:r>
        <w:rPr>
          <w:spacing w:val="-8"/>
        </w:rPr>
        <w:t> </w:t>
      </w:r>
      <w:r>
        <w:rPr/>
        <w:t>informes</w:t>
      </w:r>
      <w:r>
        <w:rPr>
          <w:spacing w:val="-8"/>
        </w:rPr>
        <w:t> </w:t>
      </w:r>
      <w:r>
        <w:rPr/>
        <w:t>de</w:t>
      </w:r>
      <w:r>
        <w:rPr>
          <w:spacing w:val="-9"/>
        </w:rPr>
        <w:t> </w:t>
      </w:r>
      <w:r>
        <w:rPr/>
        <w:t>ejecución</w:t>
      </w:r>
      <w:r>
        <w:rPr>
          <w:spacing w:val="-8"/>
        </w:rPr>
        <w:t> </w:t>
      </w:r>
      <w:r>
        <w:rPr/>
        <w:t>presupuestaria</w:t>
      </w:r>
      <w:r>
        <w:rPr>
          <w:spacing w:val="-8"/>
        </w:rPr>
        <w:t> </w:t>
      </w:r>
      <w:r>
        <w:rPr/>
        <w:t>tanto</w:t>
      </w:r>
      <w:r>
        <w:rPr>
          <w:spacing w:val="-7"/>
        </w:rPr>
        <w:t> </w:t>
      </w:r>
      <w:r>
        <w:rPr/>
        <w:t>a</w:t>
      </w:r>
      <w:r>
        <w:rPr>
          <w:spacing w:val="-8"/>
        </w:rPr>
        <w:t> </w:t>
      </w:r>
      <w:r>
        <w:rPr/>
        <w:t>entes</w:t>
      </w:r>
      <w:r>
        <w:rPr>
          <w:spacing w:val="-7"/>
        </w:rPr>
        <w:t> </w:t>
      </w:r>
      <w:r>
        <w:rPr/>
        <w:t>externos</w:t>
      </w:r>
      <w:r>
        <w:rPr>
          <w:spacing w:val="-7"/>
        </w:rPr>
        <w:t> </w:t>
      </w:r>
      <w:r>
        <w:rPr/>
        <w:t>como</w:t>
      </w:r>
      <w:r>
        <w:rPr>
          <w:spacing w:val="-9"/>
        </w:rPr>
        <w:t> </w:t>
      </w:r>
      <w:r>
        <w:rPr/>
        <w:t>CGR, STAP, FODESAF y Ministerio de Educación Pública, así como a lo interno de la institución.</w:t>
      </w:r>
    </w:p>
    <w:p>
      <w:pPr>
        <w:pStyle w:val="BodyText"/>
        <w:ind w:left="730" w:right="932"/>
        <w:jc w:val="both"/>
      </w:pPr>
      <w:r>
        <w:rPr/>
        <w:t>Además,</w:t>
      </w:r>
      <w:r>
        <w:rPr>
          <w:spacing w:val="-1"/>
        </w:rPr>
        <w:t> </w:t>
      </w:r>
      <w:r>
        <w:rPr/>
        <w:t>se atienden requerimientos de modificaciones presupuestarias específicas y generales y pre-supuestos extraordinarios durante el periodo vigente.</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49504">
                <wp:simplePos x="0" y="0"/>
                <wp:positionH relativeFrom="page">
                  <wp:posOffset>9525</wp:posOffset>
                </wp:positionH>
                <wp:positionV relativeFrom="page">
                  <wp:posOffset>297208</wp:posOffset>
                </wp:positionV>
                <wp:extent cx="7762875" cy="9748520"/>
                <wp:effectExtent l="0" t="0" r="0" b="0"/>
                <wp:wrapNone/>
                <wp:docPr id="1109" name="Group 1109"/>
                <wp:cNvGraphicFramePr>
                  <a:graphicFrameLocks/>
                </wp:cNvGraphicFramePr>
                <a:graphic>
                  <a:graphicData uri="http://schemas.microsoft.com/office/word/2010/wordprocessingGroup">
                    <wpg:wgp>
                      <wpg:cNvPr id="1109" name="Group 1109"/>
                      <wpg:cNvGrpSpPr/>
                      <wpg:grpSpPr>
                        <a:xfrm>
                          <a:off x="0" y="0"/>
                          <a:ext cx="7762875" cy="9748520"/>
                          <a:chExt cx="7762875" cy="9748520"/>
                        </a:xfrm>
                      </wpg:grpSpPr>
                      <pic:pic>
                        <pic:nvPicPr>
                          <pic:cNvPr id="1110" name="Image 1110"/>
                          <pic:cNvPicPr/>
                        </pic:nvPicPr>
                        <pic:blipFill>
                          <a:blip r:embed="rId5" cstate="print"/>
                          <a:stretch>
                            <a:fillRect/>
                          </a:stretch>
                        </pic:blipFill>
                        <pic:spPr>
                          <a:xfrm>
                            <a:off x="0" y="0"/>
                            <a:ext cx="7762874" cy="9748489"/>
                          </a:xfrm>
                          <a:prstGeom prst="rect">
                            <a:avLst/>
                          </a:prstGeom>
                        </pic:spPr>
                      </pic:pic>
                      <wps:wsp>
                        <wps:cNvPr id="1111" name="Graphic 1111"/>
                        <wps:cNvSpPr/>
                        <wps:spPr>
                          <a:xfrm>
                            <a:off x="1053007" y="990837"/>
                            <a:ext cx="5736590" cy="7848600"/>
                          </a:xfrm>
                          <a:custGeom>
                            <a:avLst/>
                            <a:gdLst/>
                            <a:ahLst/>
                            <a:cxnLst/>
                            <a:rect l="l" t="t" r="r" b="b"/>
                            <a:pathLst>
                              <a:path w="5736590" h="7848600">
                                <a:moveTo>
                                  <a:pt x="21336" y="1716087"/>
                                </a:moveTo>
                                <a:lnTo>
                                  <a:pt x="15240" y="1716087"/>
                                </a:lnTo>
                                <a:lnTo>
                                  <a:pt x="15240" y="7841932"/>
                                </a:lnTo>
                                <a:lnTo>
                                  <a:pt x="21336" y="7841932"/>
                                </a:lnTo>
                                <a:lnTo>
                                  <a:pt x="21336" y="1716087"/>
                                </a:lnTo>
                                <a:close/>
                              </a:path>
                              <a:path w="5736590" h="7848600">
                                <a:moveTo>
                                  <a:pt x="5649214" y="0"/>
                                </a:moveTo>
                                <a:lnTo>
                                  <a:pt x="0" y="0"/>
                                </a:lnTo>
                                <a:lnTo>
                                  <a:pt x="0" y="9131"/>
                                </a:lnTo>
                                <a:lnTo>
                                  <a:pt x="5649214" y="9131"/>
                                </a:lnTo>
                                <a:lnTo>
                                  <a:pt x="5649214" y="0"/>
                                </a:lnTo>
                                <a:close/>
                              </a:path>
                              <a:path w="5736590" h="7848600">
                                <a:moveTo>
                                  <a:pt x="5736018" y="7841945"/>
                                </a:moveTo>
                                <a:lnTo>
                                  <a:pt x="5729986" y="7841945"/>
                                </a:lnTo>
                                <a:lnTo>
                                  <a:pt x="21336" y="7841945"/>
                                </a:lnTo>
                                <a:lnTo>
                                  <a:pt x="15240" y="7841945"/>
                                </a:lnTo>
                                <a:lnTo>
                                  <a:pt x="15240" y="7848028"/>
                                </a:lnTo>
                                <a:lnTo>
                                  <a:pt x="21336" y="7848028"/>
                                </a:lnTo>
                                <a:lnTo>
                                  <a:pt x="5729935" y="7848028"/>
                                </a:lnTo>
                                <a:lnTo>
                                  <a:pt x="5736018" y="7848028"/>
                                </a:lnTo>
                                <a:lnTo>
                                  <a:pt x="5736018" y="7841945"/>
                                </a:lnTo>
                                <a:close/>
                              </a:path>
                              <a:path w="5736590" h="7848600">
                                <a:moveTo>
                                  <a:pt x="5736018" y="1716087"/>
                                </a:moveTo>
                                <a:lnTo>
                                  <a:pt x="5729935" y="1716087"/>
                                </a:lnTo>
                                <a:lnTo>
                                  <a:pt x="5729935" y="7841932"/>
                                </a:lnTo>
                                <a:lnTo>
                                  <a:pt x="5736018" y="7841932"/>
                                </a:lnTo>
                                <a:lnTo>
                                  <a:pt x="5736018" y="1716087"/>
                                </a:lnTo>
                                <a:close/>
                              </a:path>
                              <a:path w="5736590" h="7848600">
                                <a:moveTo>
                                  <a:pt x="5736018" y="1709915"/>
                                </a:moveTo>
                                <a:lnTo>
                                  <a:pt x="5729986" y="1709915"/>
                                </a:lnTo>
                                <a:lnTo>
                                  <a:pt x="21336" y="1709915"/>
                                </a:lnTo>
                                <a:lnTo>
                                  <a:pt x="15240" y="1709915"/>
                                </a:lnTo>
                                <a:lnTo>
                                  <a:pt x="15240" y="1716011"/>
                                </a:lnTo>
                                <a:lnTo>
                                  <a:pt x="21336" y="1716011"/>
                                </a:lnTo>
                                <a:lnTo>
                                  <a:pt x="5729935" y="1716011"/>
                                </a:lnTo>
                                <a:lnTo>
                                  <a:pt x="5736018" y="1716011"/>
                                </a:lnTo>
                                <a:lnTo>
                                  <a:pt x="5736018" y="170991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6976" id="docshapegroup1056" coordorigin="15,468" coordsize="12225,15352">
                <v:shape style="position:absolute;left:15;top:468;width:12225;height:15352" type="#_x0000_t75" id="docshape1057" stroked="false">
                  <v:imagedata r:id="rId5" o:title=""/>
                </v:shape>
                <v:shape style="position:absolute;left:1673;top:2028;width:9034;height:12360" id="docshape1058" coordorigin="1673,2028" coordsize="9034,12360" path="m1707,4731l1697,4731,1697,14378,1707,14378,1707,4731xm10570,2028l1673,2028,1673,2043,10570,2043,10570,2028xm10706,14378l10697,14378,10697,14378,1707,14378,1697,14378,1697,14388,1707,14388,10697,14388,10697,14388,10706,14388,10706,14378xm10706,4731l10697,4731,10697,14378,10706,14378,10706,4731xm10706,4721l10697,4721,10697,4721,1707,4721,1697,4721,1697,4731,1707,4731,10697,4731,10697,4731,10706,4731,10706,4721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215</w:t>
      </w:r>
    </w:p>
    <w:p>
      <w:pPr>
        <w:pStyle w:val="BodyText"/>
        <w:spacing w:before="10"/>
        <w:rPr>
          <w:sz w:val="16"/>
        </w:rPr>
      </w:pPr>
      <w:r>
        <w:rPr>
          <w:sz w:val="16"/>
        </w:rPr>
        <mc:AlternateContent>
          <mc:Choice Requires="wps">
            <w:drawing>
              <wp:anchor distT="0" distB="0" distL="0" distR="0" allowOverlap="1" layoutInCell="1" locked="0" behindDoc="1" simplePos="0" relativeHeight="487812096">
                <wp:simplePos x="0" y="0"/>
                <wp:positionH relativeFrom="page">
                  <wp:posOffset>1080820</wp:posOffset>
                </wp:positionH>
                <wp:positionV relativeFrom="paragraph">
                  <wp:posOffset>141144</wp:posOffset>
                </wp:positionV>
                <wp:extent cx="5715000" cy="963294"/>
                <wp:effectExtent l="0" t="0" r="0" b="0"/>
                <wp:wrapTopAndBottom/>
                <wp:docPr id="1112" name="Textbox 1112"/>
                <wp:cNvGraphicFramePr>
                  <a:graphicFrameLocks/>
                </wp:cNvGraphicFramePr>
                <a:graphic>
                  <a:graphicData uri="http://schemas.microsoft.com/office/word/2010/wordprocessingShape">
                    <wps:wsp>
                      <wps:cNvPr id="1112" name="Textbox 1112"/>
                      <wps:cNvSpPr txBox="1"/>
                      <wps:spPr>
                        <a:xfrm>
                          <a:off x="0" y="0"/>
                          <a:ext cx="5715000" cy="963294"/>
                        </a:xfrm>
                        <a:prstGeom prst="rect">
                          <a:avLst/>
                        </a:prstGeom>
                        <a:ln w="6095">
                          <a:solidFill>
                            <a:srgbClr val="000000"/>
                          </a:solidFill>
                          <a:prstDash val="solid"/>
                        </a:ln>
                      </wps:spPr>
                      <wps:txbx>
                        <w:txbxContent>
                          <w:p>
                            <w:pPr>
                              <w:pStyle w:val="BodyText"/>
                              <w:spacing w:before="1"/>
                            </w:pPr>
                          </w:p>
                          <w:p>
                            <w:pPr>
                              <w:pStyle w:val="BodyText"/>
                              <w:ind w:left="103"/>
                              <w:jc w:val="both"/>
                            </w:pPr>
                            <w:r>
                              <w:rPr/>
                              <w:t>Sobre</w:t>
                            </w:r>
                            <w:r>
                              <w:rPr>
                                <w:spacing w:val="-5"/>
                              </w:rPr>
                              <w:t> </w:t>
                            </w:r>
                            <w:r>
                              <w:rPr/>
                              <w:t>la</w:t>
                            </w:r>
                            <w:r>
                              <w:rPr>
                                <w:spacing w:val="-4"/>
                              </w:rPr>
                              <w:t> </w:t>
                            </w:r>
                            <w:r>
                              <w:rPr/>
                              <w:t>Evaluación</w:t>
                            </w:r>
                            <w:r>
                              <w:rPr>
                                <w:spacing w:val="-3"/>
                              </w:rPr>
                              <w:t> </w:t>
                            </w:r>
                            <w:r>
                              <w:rPr/>
                              <w:t>de</w:t>
                            </w:r>
                            <w:r>
                              <w:rPr>
                                <w:spacing w:val="-4"/>
                              </w:rPr>
                              <w:t> </w:t>
                            </w:r>
                            <w:r>
                              <w:rPr/>
                              <w:t>la</w:t>
                            </w:r>
                            <w:r>
                              <w:rPr>
                                <w:spacing w:val="-5"/>
                              </w:rPr>
                              <w:t> </w:t>
                            </w:r>
                            <w:r>
                              <w:rPr/>
                              <w:t>Ejecución</w:t>
                            </w:r>
                            <w:r>
                              <w:rPr>
                                <w:spacing w:val="-2"/>
                              </w:rPr>
                              <w:t> Presupuestaria:</w:t>
                            </w:r>
                          </w:p>
                          <w:p>
                            <w:pPr>
                              <w:pStyle w:val="BodyText"/>
                            </w:pPr>
                          </w:p>
                          <w:p>
                            <w:pPr>
                              <w:pStyle w:val="BodyText"/>
                              <w:ind w:left="103" w:right="105"/>
                              <w:jc w:val="both"/>
                            </w:pPr>
                            <w:r>
                              <w:rPr/>
                              <w:t>La institución genera aparte de los informes mensuales de ejecución presupuestaria, informes de ca-rácter externo, como los informes de Evaluación Presupuestaría sobre primer semestre y de manera Anual (CGR, STAP, FODESAF y Ministerio de Educación Pública).</w:t>
                            </w:r>
                          </w:p>
                        </w:txbxContent>
                      </wps:txbx>
                      <wps:bodyPr wrap="square" lIns="0" tIns="0" rIns="0" bIns="0" rtlCol="0">
                        <a:noAutofit/>
                      </wps:bodyPr>
                    </wps:wsp>
                  </a:graphicData>
                </a:graphic>
              </wp:anchor>
            </w:drawing>
          </mc:Choice>
          <mc:Fallback>
            <w:pict>
              <v:shape style="position:absolute;margin-left:85.103996pt;margin-top:11.11375pt;width:450pt;height:75.850pt;mso-position-horizontal-relative:page;mso-position-vertical-relative:paragraph;z-index:-15504384;mso-wrap-distance-left:0;mso-wrap-distance-right:0" type="#_x0000_t202" id="docshape1059" filled="false" stroked="true" strokeweight=".47998pt" strokecolor="#000000">
                <v:textbox inset="0,0,0,0">
                  <w:txbxContent>
                    <w:p>
                      <w:pPr>
                        <w:pStyle w:val="BodyText"/>
                        <w:spacing w:before="1"/>
                      </w:pPr>
                    </w:p>
                    <w:p>
                      <w:pPr>
                        <w:pStyle w:val="BodyText"/>
                        <w:ind w:left="103"/>
                        <w:jc w:val="both"/>
                      </w:pPr>
                      <w:r>
                        <w:rPr/>
                        <w:t>Sobre</w:t>
                      </w:r>
                      <w:r>
                        <w:rPr>
                          <w:spacing w:val="-5"/>
                        </w:rPr>
                        <w:t> </w:t>
                      </w:r>
                      <w:r>
                        <w:rPr/>
                        <w:t>la</w:t>
                      </w:r>
                      <w:r>
                        <w:rPr>
                          <w:spacing w:val="-4"/>
                        </w:rPr>
                        <w:t> </w:t>
                      </w:r>
                      <w:r>
                        <w:rPr/>
                        <w:t>Evaluación</w:t>
                      </w:r>
                      <w:r>
                        <w:rPr>
                          <w:spacing w:val="-3"/>
                        </w:rPr>
                        <w:t> </w:t>
                      </w:r>
                      <w:r>
                        <w:rPr/>
                        <w:t>de</w:t>
                      </w:r>
                      <w:r>
                        <w:rPr>
                          <w:spacing w:val="-4"/>
                        </w:rPr>
                        <w:t> </w:t>
                      </w:r>
                      <w:r>
                        <w:rPr/>
                        <w:t>la</w:t>
                      </w:r>
                      <w:r>
                        <w:rPr>
                          <w:spacing w:val="-5"/>
                        </w:rPr>
                        <w:t> </w:t>
                      </w:r>
                      <w:r>
                        <w:rPr/>
                        <w:t>Ejecución</w:t>
                      </w:r>
                      <w:r>
                        <w:rPr>
                          <w:spacing w:val="-2"/>
                        </w:rPr>
                        <w:t> Presupuestaria:</w:t>
                      </w:r>
                    </w:p>
                    <w:p>
                      <w:pPr>
                        <w:pStyle w:val="BodyText"/>
                      </w:pPr>
                    </w:p>
                    <w:p>
                      <w:pPr>
                        <w:pStyle w:val="BodyText"/>
                        <w:ind w:left="103" w:right="105"/>
                        <w:jc w:val="both"/>
                      </w:pPr>
                      <w:r>
                        <w:rPr/>
                        <w:t>La institución genera aparte de los informes mensuales de ejecución presupuestaria, informes de ca-rácter externo, como los informes de Evaluación Presupuestaría sobre primer semestre y de manera Anual (CGR, STAP, FODESAF y Ministerio de Educación Pública).</w:t>
                      </w:r>
                    </w:p>
                  </w:txbxContent>
                </v:textbox>
                <v:stroke dashstyle="solid"/>
                <w10:wrap type="topAndBottom"/>
              </v:shape>
            </w:pict>
          </mc:Fallback>
        </mc:AlternateContent>
      </w:r>
    </w:p>
    <w:p>
      <w:pPr>
        <w:pStyle w:val="BodyText"/>
        <w:spacing w:before="183"/>
      </w:pPr>
    </w:p>
    <w:p>
      <w:pPr>
        <w:pStyle w:val="ListParagraph"/>
        <w:numPr>
          <w:ilvl w:val="1"/>
          <w:numId w:val="82"/>
        </w:numPr>
        <w:tabs>
          <w:tab w:pos="1340" w:val="left" w:leader="none"/>
        </w:tabs>
        <w:spacing w:line="240" w:lineRule="auto" w:before="1" w:after="0"/>
        <w:ind w:left="1340" w:right="0" w:hanging="359"/>
        <w:jc w:val="left"/>
        <w:rPr>
          <w:sz w:val="22"/>
        </w:rPr>
      </w:pPr>
      <w:r>
        <w:rPr>
          <w:sz w:val="22"/>
        </w:rPr>
        <w:t>Modificaciones</w:t>
      </w:r>
      <w:r>
        <w:rPr>
          <w:spacing w:val="-10"/>
          <w:sz w:val="22"/>
        </w:rPr>
        <w:t> </w:t>
      </w:r>
      <w:r>
        <w:rPr>
          <w:sz w:val="22"/>
        </w:rPr>
        <w:t>Presupuestarias</w:t>
      </w:r>
      <w:r>
        <w:rPr>
          <w:spacing w:val="-8"/>
          <w:sz w:val="22"/>
        </w:rPr>
        <w:t> </w:t>
      </w:r>
      <w:r>
        <w:rPr>
          <w:sz w:val="22"/>
        </w:rPr>
        <w:t>(Párrafo</w:t>
      </w:r>
      <w:r>
        <w:rPr>
          <w:spacing w:val="-9"/>
          <w:sz w:val="22"/>
        </w:rPr>
        <w:t> </w:t>
      </w:r>
      <w:r>
        <w:rPr>
          <w:sz w:val="22"/>
        </w:rPr>
        <w:t>29-</w:t>
      </w:r>
      <w:r>
        <w:rPr>
          <w:spacing w:val="-5"/>
          <w:sz w:val="22"/>
        </w:rPr>
        <w:t>30</w:t>
      </w:r>
    </w:p>
    <w:p>
      <w:pPr>
        <w:pStyle w:val="BodyText"/>
        <w:spacing w:before="45"/>
      </w:pPr>
    </w:p>
    <w:p>
      <w:pPr>
        <w:pStyle w:val="BodyText"/>
        <w:ind w:left="730"/>
      </w:pPr>
      <w:r>
        <w:rPr>
          <w:spacing w:val="-2"/>
        </w:rPr>
        <w:t>Revelación:</w:t>
      </w:r>
    </w:p>
    <w:p>
      <w:pPr>
        <w:pStyle w:val="BodyText"/>
        <w:spacing w:before="182"/>
        <w:ind w:left="730"/>
      </w:pPr>
      <w:r>
        <w:rPr/>
        <w:t>Según</w:t>
      </w:r>
      <w:r>
        <w:rPr>
          <w:spacing w:val="-6"/>
        </w:rPr>
        <w:t> </w:t>
      </w:r>
      <w:r>
        <w:rPr/>
        <w:t>las</w:t>
      </w:r>
      <w:r>
        <w:rPr>
          <w:spacing w:val="-4"/>
        </w:rPr>
        <w:t> </w:t>
      </w:r>
      <w:r>
        <w:rPr/>
        <w:t>Normas</w:t>
      </w:r>
      <w:r>
        <w:rPr>
          <w:spacing w:val="-4"/>
        </w:rPr>
        <w:t> </w:t>
      </w:r>
      <w:r>
        <w:rPr/>
        <w:t>Técnicas</w:t>
      </w:r>
      <w:r>
        <w:rPr>
          <w:spacing w:val="-7"/>
        </w:rPr>
        <w:t> </w:t>
      </w:r>
      <w:r>
        <w:rPr/>
        <w:t>sobre</w:t>
      </w:r>
      <w:r>
        <w:rPr>
          <w:spacing w:val="-7"/>
        </w:rPr>
        <w:t> </w:t>
      </w:r>
      <w:r>
        <w:rPr/>
        <w:t>Presupuesto</w:t>
      </w:r>
      <w:r>
        <w:rPr>
          <w:spacing w:val="-5"/>
        </w:rPr>
        <w:t> </w:t>
      </w:r>
      <w:r>
        <w:rPr/>
        <w:t>Público</w:t>
      </w:r>
      <w:r>
        <w:rPr>
          <w:spacing w:val="-5"/>
        </w:rPr>
        <w:t> </w:t>
      </w:r>
      <w:r>
        <w:rPr/>
        <w:t>indica</w:t>
      </w:r>
      <w:r>
        <w:rPr>
          <w:spacing w:val="-6"/>
        </w:rPr>
        <w:t> </w:t>
      </w:r>
      <w:r>
        <w:rPr>
          <w:spacing w:val="-4"/>
        </w:rPr>
        <w:t>que:</w:t>
      </w:r>
    </w:p>
    <w:p>
      <w:pPr>
        <w:pStyle w:val="BodyText"/>
        <w:spacing w:before="178"/>
        <w:ind w:left="1325" w:right="922" w:firstLine="55"/>
        <w:jc w:val="both"/>
      </w:pPr>
      <w:r>
        <w:rPr/>
        <w:t>Modificación presupuestaria. Es el acto administrativo por medio del cual se realizan ajustes en</w:t>
      </w:r>
      <w:r>
        <w:rPr>
          <w:spacing w:val="-4"/>
        </w:rPr>
        <w:t> </w:t>
      </w:r>
      <w:r>
        <w:rPr/>
        <w:t>los</w:t>
      </w:r>
      <w:r>
        <w:rPr>
          <w:spacing w:val="-4"/>
        </w:rPr>
        <w:t> </w:t>
      </w:r>
      <w:r>
        <w:rPr/>
        <w:t>gastos</w:t>
      </w:r>
      <w:r>
        <w:rPr>
          <w:spacing w:val="-4"/>
        </w:rPr>
        <w:t> </w:t>
      </w:r>
      <w:r>
        <w:rPr/>
        <w:t>presupuestados</w:t>
      </w:r>
      <w:r>
        <w:rPr>
          <w:spacing w:val="-4"/>
        </w:rPr>
        <w:t> </w:t>
      </w:r>
      <w:r>
        <w:rPr/>
        <w:t>y</w:t>
      </w:r>
      <w:r>
        <w:rPr>
          <w:spacing w:val="-6"/>
        </w:rPr>
        <w:t> </w:t>
      </w:r>
      <w:r>
        <w:rPr/>
        <w:t>que</w:t>
      </w:r>
      <w:r>
        <w:rPr>
          <w:spacing w:val="-6"/>
        </w:rPr>
        <w:t> </w:t>
      </w:r>
      <w:r>
        <w:rPr/>
        <w:t>tiene</w:t>
      </w:r>
      <w:r>
        <w:rPr>
          <w:spacing w:val="-6"/>
        </w:rPr>
        <w:t> </w:t>
      </w:r>
      <w:r>
        <w:rPr/>
        <w:t>por</w:t>
      </w:r>
      <w:r>
        <w:rPr>
          <w:spacing w:val="-4"/>
        </w:rPr>
        <w:t> </w:t>
      </w:r>
      <w:r>
        <w:rPr/>
        <w:t>objeto</w:t>
      </w:r>
      <w:r>
        <w:rPr>
          <w:spacing w:val="-4"/>
        </w:rPr>
        <w:t> </w:t>
      </w:r>
      <w:r>
        <w:rPr/>
        <w:t>disminuir</w:t>
      </w:r>
      <w:r>
        <w:rPr>
          <w:spacing w:val="-5"/>
        </w:rPr>
        <w:t> </w:t>
      </w:r>
      <w:r>
        <w:rPr/>
        <w:t>los</w:t>
      </w:r>
      <w:r>
        <w:rPr>
          <w:spacing w:val="-4"/>
        </w:rPr>
        <w:t> </w:t>
      </w:r>
      <w:r>
        <w:rPr/>
        <w:t>montos</w:t>
      </w:r>
      <w:r>
        <w:rPr>
          <w:spacing w:val="-4"/>
        </w:rPr>
        <w:t> </w:t>
      </w:r>
      <w:r>
        <w:rPr/>
        <w:t>de</w:t>
      </w:r>
      <w:r>
        <w:rPr>
          <w:spacing w:val="-6"/>
        </w:rPr>
        <w:t> </w:t>
      </w:r>
      <w:r>
        <w:rPr/>
        <w:t>diferentes</w:t>
      </w:r>
      <w:r>
        <w:rPr>
          <w:spacing w:val="-4"/>
        </w:rPr>
        <w:t> </w:t>
      </w:r>
      <w:r>
        <w:rPr/>
        <w:t>subpar-tidas</w:t>
      </w:r>
      <w:r>
        <w:rPr>
          <w:spacing w:val="-5"/>
        </w:rPr>
        <w:t> </w:t>
      </w:r>
      <w:r>
        <w:rPr/>
        <w:t>aprobadas,</w:t>
      </w:r>
      <w:r>
        <w:rPr>
          <w:spacing w:val="-6"/>
        </w:rPr>
        <w:t> </w:t>
      </w:r>
      <w:r>
        <w:rPr/>
        <w:t>para</w:t>
      </w:r>
      <w:r>
        <w:rPr>
          <w:spacing w:val="-6"/>
        </w:rPr>
        <w:t> </w:t>
      </w:r>
      <w:r>
        <w:rPr/>
        <w:t>aumentar</w:t>
      </w:r>
      <w:r>
        <w:rPr>
          <w:spacing w:val="-6"/>
        </w:rPr>
        <w:t> </w:t>
      </w:r>
      <w:r>
        <w:rPr/>
        <w:t>la</w:t>
      </w:r>
      <w:r>
        <w:rPr>
          <w:spacing w:val="-7"/>
        </w:rPr>
        <w:t> </w:t>
      </w:r>
      <w:r>
        <w:rPr/>
        <w:t>asignación</w:t>
      </w:r>
      <w:r>
        <w:rPr>
          <w:spacing w:val="-5"/>
        </w:rPr>
        <w:t> </w:t>
      </w:r>
      <w:r>
        <w:rPr/>
        <w:t>presupuestaria</w:t>
      </w:r>
      <w:r>
        <w:rPr>
          <w:spacing w:val="-6"/>
        </w:rPr>
        <w:t> </w:t>
      </w:r>
      <w:r>
        <w:rPr/>
        <w:t>de</w:t>
      </w:r>
      <w:r>
        <w:rPr>
          <w:spacing w:val="-7"/>
        </w:rPr>
        <w:t> </w:t>
      </w:r>
      <w:r>
        <w:rPr/>
        <w:t>otras</w:t>
      </w:r>
      <w:r>
        <w:rPr>
          <w:spacing w:val="-5"/>
        </w:rPr>
        <w:t> </w:t>
      </w:r>
      <w:r>
        <w:rPr/>
        <w:t>subpartidas,</w:t>
      </w:r>
      <w:r>
        <w:rPr>
          <w:spacing w:val="-6"/>
        </w:rPr>
        <w:t> </w:t>
      </w:r>
      <w:r>
        <w:rPr/>
        <w:t>ya</w:t>
      </w:r>
      <w:r>
        <w:rPr>
          <w:spacing w:val="-6"/>
        </w:rPr>
        <w:t> </w:t>
      </w:r>
      <w:r>
        <w:rPr/>
        <w:t>sea</w:t>
      </w:r>
      <w:r>
        <w:rPr>
          <w:spacing w:val="-6"/>
        </w:rPr>
        <w:t> </w:t>
      </w:r>
      <w:r>
        <w:rPr/>
        <w:t>dentro un</w:t>
      </w:r>
      <w:r>
        <w:rPr>
          <w:spacing w:val="-7"/>
        </w:rPr>
        <w:t> </w:t>
      </w:r>
      <w:r>
        <w:rPr/>
        <w:t>mismo</w:t>
      </w:r>
      <w:r>
        <w:rPr>
          <w:spacing w:val="-6"/>
        </w:rPr>
        <w:t> </w:t>
      </w:r>
      <w:r>
        <w:rPr/>
        <w:t>grupo</w:t>
      </w:r>
      <w:r>
        <w:rPr>
          <w:spacing w:val="-6"/>
        </w:rPr>
        <w:t> </w:t>
      </w:r>
      <w:r>
        <w:rPr/>
        <w:t>y</w:t>
      </w:r>
      <w:r>
        <w:rPr>
          <w:spacing w:val="-8"/>
        </w:rPr>
        <w:t> </w:t>
      </w:r>
      <w:r>
        <w:rPr/>
        <w:t>partida,</w:t>
      </w:r>
      <w:r>
        <w:rPr>
          <w:spacing w:val="-7"/>
        </w:rPr>
        <w:t> </w:t>
      </w:r>
      <w:r>
        <w:rPr/>
        <w:t>o</w:t>
      </w:r>
      <w:r>
        <w:rPr>
          <w:spacing w:val="-6"/>
        </w:rPr>
        <w:t> </w:t>
      </w:r>
      <w:r>
        <w:rPr/>
        <w:t>entre</w:t>
      </w:r>
      <w:r>
        <w:rPr>
          <w:spacing w:val="-8"/>
        </w:rPr>
        <w:t> </w:t>
      </w:r>
      <w:r>
        <w:rPr/>
        <w:t>diferentes</w:t>
      </w:r>
      <w:r>
        <w:rPr>
          <w:spacing w:val="-7"/>
        </w:rPr>
        <w:t> </w:t>
      </w:r>
      <w:r>
        <w:rPr/>
        <w:t>grupos,</w:t>
      </w:r>
      <w:r>
        <w:rPr>
          <w:spacing w:val="-7"/>
        </w:rPr>
        <w:t> </w:t>
      </w:r>
      <w:r>
        <w:rPr/>
        <w:t>partidas</w:t>
      </w:r>
      <w:r>
        <w:rPr>
          <w:spacing w:val="-6"/>
        </w:rPr>
        <w:t> </w:t>
      </w:r>
      <w:r>
        <w:rPr/>
        <w:t>o</w:t>
      </w:r>
      <w:r>
        <w:rPr>
          <w:spacing w:val="-6"/>
        </w:rPr>
        <w:t> </w:t>
      </w:r>
      <w:r>
        <w:rPr/>
        <w:t>categorías</w:t>
      </w:r>
      <w:r>
        <w:rPr>
          <w:spacing w:val="-6"/>
        </w:rPr>
        <w:t> </w:t>
      </w:r>
      <w:r>
        <w:rPr/>
        <w:t>programáticas.</w:t>
      </w:r>
      <w:r>
        <w:rPr>
          <w:spacing w:val="-8"/>
        </w:rPr>
        <w:t> </w:t>
      </w:r>
      <w:r>
        <w:rPr/>
        <w:t>Tam-bién,</w:t>
      </w:r>
      <w:r>
        <w:rPr>
          <w:spacing w:val="-5"/>
        </w:rPr>
        <w:t> </w:t>
      </w:r>
      <w:r>
        <w:rPr/>
        <w:t>por</w:t>
      </w:r>
      <w:r>
        <w:rPr>
          <w:spacing w:val="-8"/>
        </w:rPr>
        <w:t> </w:t>
      </w:r>
      <w:r>
        <w:rPr/>
        <w:t>medio</w:t>
      </w:r>
      <w:r>
        <w:rPr>
          <w:spacing w:val="-7"/>
        </w:rPr>
        <w:t> </w:t>
      </w:r>
      <w:r>
        <w:rPr/>
        <w:t>de</w:t>
      </w:r>
      <w:r>
        <w:rPr>
          <w:spacing w:val="-7"/>
        </w:rPr>
        <w:t> </w:t>
      </w:r>
      <w:r>
        <w:rPr/>
        <w:t>modificación</w:t>
      </w:r>
      <w:r>
        <w:rPr>
          <w:spacing w:val="-5"/>
        </w:rPr>
        <w:t> </w:t>
      </w:r>
      <w:r>
        <w:rPr/>
        <w:t>presupuestaria</w:t>
      </w:r>
      <w:r>
        <w:rPr>
          <w:spacing w:val="-9"/>
        </w:rPr>
        <w:t> </w:t>
      </w:r>
      <w:r>
        <w:rPr/>
        <w:t>se</w:t>
      </w:r>
      <w:r>
        <w:rPr>
          <w:spacing w:val="-7"/>
        </w:rPr>
        <w:t> </w:t>
      </w:r>
      <w:r>
        <w:rPr/>
        <w:t>pueden</w:t>
      </w:r>
      <w:r>
        <w:rPr>
          <w:spacing w:val="-5"/>
        </w:rPr>
        <w:t> </w:t>
      </w:r>
      <w:r>
        <w:rPr/>
        <w:t>incorporar</w:t>
      </w:r>
      <w:r>
        <w:rPr>
          <w:spacing w:val="-6"/>
        </w:rPr>
        <w:t> </w:t>
      </w:r>
      <w:r>
        <w:rPr/>
        <w:t>nuevos</w:t>
      </w:r>
      <w:r>
        <w:rPr>
          <w:spacing w:val="-7"/>
        </w:rPr>
        <w:t> </w:t>
      </w:r>
      <w:r>
        <w:rPr/>
        <w:t>gastos,</w:t>
      </w:r>
      <w:r>
        <w:rPr>
          <w:spacing w:val="-6"/>
        </w:rPr>
        <w:t> </w:t>
      </w:r>
      <w:r>
        <w:rPr/>
        <w:t>tomando recursos de otras subpartidas, sin que se altere el monto global del presupuesto aprobado.</w:t>
      </w:r>
    </w:p>
    <w:p>
      <w:pPr>
        <w:pStyle w:val="BodyText"/>
      </w:pPr>
    </w:p>
    <w:p>
      <w:pPr>
        <w:pStyle w:val="BodyText"/>
        <w:spacing w:before="1"/>
        <w:ind w:left="730" w:right="923"/>
        <w:jc w:val="both"/>
      </w:pPr>
      <w:r>
        <w:rPr/>
        <w:t>Al</w:t>
      </w:r>
      <w:r>
        <w:rPr>
          <w:spacing w:val="-7"/>
        </w:rPr>
        <w:t> </w:t>
      </w:r>
      <w:r>
        <w:rPr/>
        <w:t>28</w:t>
      </w:r>
      <w:r>
        <w:rPr>
          <w:spacing w:val="-8"/>
        </w:rPr>
        <w:t> </w:t>
      </w:r>
      <w:r>
        <w:rPr/>
        <w:t>de</w:t>
      </w:r>
      <w:r>
        <w:rPr>
          <w:spacing w:val="-9"/>
        </w:rPr>
        <w:t> </w:t>
      </w:r>
      <w:r>
        <w:rPr/>
        <w:t>febrero</w:t>
      </w:r>
      <w:r>
        <w:rPr>
          <w:spacing w:val="-6"/>
        </w:rPr>
        <w:t> </w:t>
      </w:r>
      <w:r>
        <w:rPr/>
        <w:t>2026,</w:t>
      </w:r>
      <w:r>
        <w:rPr>
          <w:spacing w:val="-7"/>
        </w:rPr>
        <w:t> </w:t>
      </w:r>
      <w:r>
        <w:rPr/>
        <w:t>la</w:t>
      </w:r>
      <w:r>
        <w:rPr>
          <w:spacing w:val="-6"/>
        </w:rPr>
        <w:t> </w:t>
      </w:r>
      <w:r>
        <w:rPr/>
        <w:t>Institución</w:t>
      </w:r>
      <w:r>
        <w:rPr>
          <w:spacing w:val="-7"/>
        </w:rPr>
        <w:t> </w:t>
      </w:r>
      <w:r>
        <w:rPr/>
        <w:t>elaboro</w:t>
      </w:r>
      <w:r>
        <w:rPr>
          <w:spacing w:val="-6"/>
        </w:rPr>
        <w:t> </w:t>
      </w:r>
      <w:r>
        <w:rPr/>
        <w:t>y</w:t>
      </w:r>
      <w:r>
        <w:rPr>
          <w:spacing w:val="-8"/>
        </w:rPr>
        <w:t> </w:t>
      </w:r>
      <w:r>
        <w:rPr/>
        <w:t>aprobó</w:t>
      </w:r>
      <w:r>
        <w:rPr>
          <w:spacing w:val="-6"/>
        </w:rPr>
        <w:t> </w:t>
      </w:r>
      <w:r>
        <w:rPr/>
        <w:t>el</w:t>
      </w:r>
      <w:r>
        <w:rPr>
          <w:spacing w:val="-8"/>
        </w:rPr>
        <w:t> </w:t>
      </w:r>
      <w:r>
        <w:rPr/>
        <w:t>documento</w:t>
      </w:r>
      <w:r>
        <w:rPr>
          <w:spacing w:val="-6"/>
        </w:rPr>
        <w:t> </w:t>
      </w:r>
      <w:r>
        <w:rPr/>
        <w:t>denominado</w:t>
      </w:r>
      <w:r>
        <w:rPr>
          <w:spacing w:val="-6"/>
        </w:rPr>
        <w:t> </w:t>
      </w:r>
      <w:r>
        <w:rPr/>
        <w:t>“Modificación</w:t>
      </w:r>
      <w:r>
        <w:rPr>
          <w:spacing w:val="-7"/>
        </w:rPr>
        <w:t> </w:t>
      </w:r>
      <w:r>
        <w:rPr/>
        <w:t>Pre-supuestaria General 01-2026” mediante acuerdo ACD-65-02-2026 Acta 10-02-2026 de fecha 26 de febrero de 2026, la cual ascendió a la suma de ¢ 500,000.00 miles, en la que se presentó un traslado de</w:t>
      </w:r>
      <w:r>
        <w:rPr>
          <w:spacing w:val="-12"/>
        </w:rPr>
        <w:t> </w:t>
      </w:r>
      <w:r>
        <w:rPr/>
        <w:t>recursos</w:t>
      </w:r>
      <w:r>
        <w:rPr>
          <w:spacing w:val="-10"/>
        </w:rPr>
        <w:t> </w:t>
      </w:r>
      <w:r>
        <w:rPr/>
        <w:t>entre</w:t>
      </w:r>
      <w:r>
        <w:rPr>
          <w:spacing w:val="-11"/>
        </w:rPr>
        <w:t> </w:t>
      </w:r>
      <w:r>
        <w:rPr/>
        <w:t>beneficios</w:t>
      </w:r>
      <w:r>
        <w:rPr>
          <w:spacing w:val="-12"/>
        </w:rPr>
        <w:t> </w:t>
      </w:r>
      <w:r>
        <w:rPr/>
        <w:t>de</w:t>
      </w:r>
      <w:r>
        <w:rPr>
          <w:spacing w:val="-12"/>
        </w:rPr>
        <w:t> </w:t>
      </w:r>
      <w:r>
        <w:rPr/>
        <w:t>los</w:t>
      </w:r>
      <w:r>
        <w:rPr>
          <w:spacing w:val="-12"/>
        </w:rPr>
        <w:t> </w:t>
      </w:r>
      <w:r>
        <w:rPr/>
        <w:t>recursos</w:t>
      </w:r>
      <w:r>
        <w:rPr>
          <w:spacing w:val="-12"/>
        </w:rPr>
        <w:t> </w:t>
      </w:r>
      <w:r>
        <w:rPr/>
        <w:t>de</w:t>
      </w:r>
      <w:r>
        <w:rPr>
          <w:spacing w:val="-12"/>
        </w:rPr>
        <w:t> </w:t>
      </w:r>
      <w:r>
        <w:rPr/>
        <w:t>Inversión</w:t>
      </w:r>
      <w:r>
        <w:rPr>
          <w:spacing w:val="-14"/>
        </w:rPr>
        <w:t> </w:t>
      </w:r>
      <w:r>
        <w:rPr/>
        <w:t>Social</w:t>
      </w:r>
      <w:r>
        <w:rPr>
          <w:spacing w:val="-10"/>
        </w:rPr>
        <w:t> </w:t>
      </w:r>
      <w:r>
        <w:rPr/>
        <w:t>del</w:t>
      </w:r>
      <w:r>
        <w:rPr>
          <w:spacing w:val="-11"/>
        </w:rPr>
        <w:t> </w:t>
      </w:r>
      <w:r>
        <w:rPr/>
        <w:t>Programa</w:t>
      </w:r>
      <w:r>
        <w:rPr>
          <w:spacing w:val="-11"/>
        </w:rPr>
        <w:t> </w:t>
      </w:r>
      <w:r>
        <w:rPr/>
        <w:t>Protección</w:t>
      </w:r>
      <w:r>
        <w:rPr>
          <w:spacing w:val="-10"/>
        </w:rPr>
        <w:t> </w:t>
      </w:r>
      <w:r>
        <w:rPr/>
        <w:t>y</w:t>
      </w:r>
      <w:r>
        <w:rPr>
          <w:spacing w:val="-12"/>
        </w:rPr>
        <w:t> </w:t>
      </w:r>
      <w:r>
        <w:rPr/>
        <w:t>Promoción Social, propiamente un traslado de recursos del Beneficio Atención a Familias al Beneficio Cuidado y Desarrollo Infantil.</w:t>
      </w:r>
    </w:p>
    <w:p>
      <w:pPr>
        <w:pStyle w:val="BodyText"/>
        <w:spacing w:before="249"/>
        <w:ind w:left="730" w:right="926"/>
        <w:jc w:val="both"/>
      </w:pPr>
      <w:r>
        <w:rPr/>
        <w:t>Al</w:t>
      </w:r>
      <w:r>
        <w:rPr>
          <w:spacing w:val="-1"/>
        </w:rPr>
        <w:t> </w:t>
      </w:r>
      <w:r>
        <w:rPr/>
        <w:t>31</w:t>
      </w:r>
      <w:r>
        <w:rPr>
          <w:spacing w:val="-1"/>
        </w:rPr>
        <w:t> </w:t>
      </w:r>
      <w:r>
        <w:rPr/>
        <w:t>de</w:t>
      </w:r>
      <w:r>
        <w:rPr>
          <w:spacing w:val="-2"/>
        </w:rPr>
        <w:t> </w:t>
      </w:r>
      <w:r>
        <w:rPr/>
        <w:t>marzo 2026,</w:t>
      </w:r>
      <w:r>
        <w:rPr>
          <w:spacing w:val="-1"/>
        </w:rPr>
        <w:t> </w:t>
      </w:r>
      <w:r>
        <w:rPr/>
        <w:t>la</w:t>
      </w:r>
      <w:r>
        <w:rPr>
          <w:spacing w:val="-1"/>
        </w:rPr>
        <w:t> </w:t>
      </w:r>
      <w:r>
        <w:rPr/>
        <w:t>Institución</w:t>
      </w:r>
      <w:r>
        <w:rPr>
          <w:spacing w:val="-1"/>
        </w:rPr>
        <w:t> </w:t>
      </w:r>
      <w:r>
        <w:rPr/>
        <w:t>elaboro y</w:t>
      </w:r>
      <w:r>
        <w:rPr>
          <w:spacing w:val="-1"/>
        </w:rPr>
        <w:t> </w:t>
      </w:r>
      <w:r>
        <w:rPr/>
        <w:t>aprobó</w:t>
      </w:r>
      <w:r>
        <w:rPr>
          <w:spacing w:val="-2"/>
        </w:rPr>
        <w:t> </w:t>
      </w:r>
      <w:r>
        <w:rPr/>
        <w:t>el</w:t>
      </w:r>
      <w:r>
        <w:rPr>
          <w:spacing w:val="-1"/>
        </w:rPr>
        <w:t> </w:t>
      </w:r>
      <w:r>
        <w:rPr/>
        <w:t>documento denominado “Modificación</w:t>
      </w:r>
      <w:r>
        <w:rPr>
          <w:spacing w:val="-1"/>
        </w:rPr>
        <w:t> </w:t>
      </w:r>
      <w:r>
        <w:rPr/>
        <w:t>Pre-supuestaria General 02-2026” mediante acuerdo ACD-119-03-2026 Acta 14-03-2026 de fecha 16 de marzo</w:t>
      </w:r>
      <w:r>
        <w:rPr>
          <w:spacing w:val="-11"/>
        </w:rPr>
        <w:t> </w:t>
      </w:r>
      <w:r>
        <w:rPr/>
        <w:t>de</w:t>
      </w:r>
      <w:r>
        <w:rPr>
          <w:spacing w:val="-11"/>
        </w:rPr>
        <w:t> </w:t>
      </w:r>
      <w:r>
        <w:rPr/>
        <w:t>2026,</w:t>
      </w:r>
      <w:r>
        <w:rPr>
          <w:spacing w:val="-9"/>
        </w:rPr>
        <w:t> </w:t>
      </w:r>
      <w:r>
        <w:rPr/>
        <w:t>la</w:t>
      </w:r>
      <w:r>
        <w:rPr>
          <w:spacing w:val="-13"/>
        </w:rPr>
        <w:t> </w:t>
      </w:r>
      <w:r>
        <w:rPr/>
        <w:t>cual</w:t>
      </w:r>
      <w:r>
        <w:rPr>
          <w:spacing w:val="-10"/>
        </w:rPr>
        <w:t> </w:t>
      </w:r>
      <w:r>
        <w:rPr/>
        <w:t>ascendió</w:t>
      </w:r>
      <w:r>
        <w:rPr>
          <w:spacing w:val="-9"/>
        </w:rPr>
        <w:t> </w:t>
      </w:r>
      <w:r>
        <w:rPr/>
        <w:t>a</w:t>
      </w:r>
      <w:r>
        <w:rPr>
          <w:spacing w:val="-10"/>
        </w:rPr>
        <w:t> </w:t>
      </w:r>
      <w:r>
        <w:rPr/>
        <w:t>la</w:t>
      </w:r>
      <w:r>
        <w:rPr>
          <w:spacing w:val="-13"/>
        </w:rPr>
        <w:t> </w:t>
      </w:r>
      <w:r>
        <w:rPr/>
        <w:t>suma</w:t>
      </w:r>
      <w:r>
        <w:rPr>
          <w:spacing w:val="-10"/>
        </w:rPr>
        <w:t> </w:t>
      </w:r>
      <w:r>
        <w:rPr/>
        <w:t>de</w:t>
      </w:r>
      <w:r>
        <w:rPr>
          <w:spacing w:val="-13"/>
        </w:rPr>
        <w:t> </w:t>
      </w:r>
      <w:r>
        <w:rPr/>
        <w:t>¢</w:t>
      </w:r>
      <w:r>
        <w:rPr>
          <w:spacing w:val="-10"/>
        </w:rPr>
        <w:t> </w:t>
      </w:r>
      <w:r>
        <w:rPr/>
        <w:t>455,911.74</w:t>
      </w:r>
      <w:r>
        <w:rPr>
          <w:spacing w:val="-11"/>
        </w:rPr>
        <w:t> </w:t>
      </w:r>
      <w:r>
        <w:rPr/>
        <w:t>miles,</w:t>
      </w:r>
      <w:r>
        <w:rPr>
          <w:spacing w:val="-9"/>
        </w:rPr>
        <w:t> </w:t>
      </w:r>
      <w:r>
        <w:rPr/>
        <w:t>en</w:t>
      </w:r>
      <w:r>
        <w:rPr>
          <w:spacing w:val="-12"/>
        </w:rPr>
        <w:t> </w:t>
      </w:r>
      <w:r>
        <w:rPr/>
        <w:t>la</w:t>
      </w:r>
      <w:r>
        <w:rPr>
          <w:spacing w:val="-10"/>
        </w:rPr>
        <w:t> </w:t>
      </w:r>
      <w:r>
        <w:rPr/>
        <w:t>que</w:t>
      </w:r>
      <w:r>
        <w:rPr>
          <w:spacing w:val="-11"/>
        </w:rPr>
        <w:t> </w:t>
      </w:r>
      <w:r>
        <w:rPr/>
        <w:t>se</w:t>
      </w:r>
      <w:r>
        <w:rPr>
          <w:spacing w:val="-11"/>
        </w:rPr>
        <w:t> </w:t>
      </w:r>
      <w:r>
        <w:rPr/>
        <w:t>presentó</w:t>
      </w:r>
      <w:r>
        <w:rPr>
          <w:spacing w:val="-11"/>
        </w:rPr>
        <w:t> </w:t>
      </w:r>
      <w:r>
        <w:rPr/>
        <w:t>varios</w:t>
      </w:r>
      <w:r>
        <w:rPr>
          <w:spacing w:val="-9"/>
        </w:rPr>
        <w:t> </w:t>
      </w:r>
      <w:r>
        <w:rPr/>
        <w:t>traslados de</w:t>
      </w:r>
      <w:r>
        <w:rPr>
          <w:spacing w:val="-6"/>
        </w:rPr>
        <w:t> </w:t>
      </w:r>
      <w:r>
        <w:rPr/>
        <w:t>recursos</w:t>
      </w:r>
      <w:r>
        <w:rPr>
          <w:spacing w:val="-4"/>
        </w:rPr>
        <w:t> </w:t>
      </w:r>
      <w:r>
        <w:rPr/>
        <w:t>entre</w:t>
      </w:r>
      <w:r>
        <w:rPr>
          <w:spacing w:val="-5"/>
        </w:rPr>
        <w:t> </w:t>
      </w:r>
      <w:r>
        <w:rPr/>
        <w:t>subpartidas</w:t>
      </w:r>
      <w:r>
        <w:rPr>
          <w:spacing w:val="-4"/>
        </w:rPr>
        <w:t> </w:t>
      </w:r>
      <w:r>
        <w:rPr/>
        <w:t>de</w:t>
      </w:r>
      <w:r>
        <w:rPr>
          <w:spacing w:val="-6"/>
        </w:rPr>
        <w:t> </w:t>
      </w:r>
      <w:r>
        <w:rPr/>
        <w:t>gasto</w:t>
      </w:r>
      <w:r>
        <w:rPr>
          <w:spacing w:val="-4"/>
        </w:rPr>
        <w:t> </w:t>
      </w:r>
      <w:r>
        <w:rPr/>
        <w:t>administrativo</w:t>
      </w:r>
      <w:r>
        <w:rPr>
          <w:spacing w:val="-4"/>
        </w:rPr>
        <w:t> </w:t>
      </w:r>
      <w:r>
        <w:rPr/>
        <w:t>y</w:t>
      </w:r>
      <w:r>
        <w:rPr>
          <w:spacing w:val="-6"/>
        </w:rPr>
        <w:t> </w:t>
      </w:r>
      <w:r>
        <w:rPr/>
        <w:t>de</w:t>
      </w:r>
      <w:r>
        <w:rPr>
          <w:spacing w:val="-6"/>
        </w:rPr>
        <w:t> </w:t>
      </w:r>
      <w:r>
        <w:rPr/>
        <w:t>recursos</w:t>
      </w:r>
      <w:r>
        <w:rPr>
          <w:spacing w:val="-4"/>
        </w:rPr>
        <w:t> </w:t>
      </w:r>
      <w:r>
        <w:rPr/>
        <w:t>de</w:t>
      </w:r>
      <w:r>
        <w:rPr>
          <w:spacing w:val="-6"/>
        </w:rPr>
        <w:t> </w:t>
      </w:r>
      <w:r>
        <w:rPr/>
        <w:t>Inversión</w:t>
      </w:r>
      <w:r>
        <w:rPr>
          <w:spacing w:val="-4"/>
        </w:rPr>
        <w:t> </w:t>
      </w:r>
      <w:r>
        <w:rPr/>
        <w:t>Social,</w:t>
      </w:r>
      <w:r>
        <w:rPr>
          <w:spacing w:val="-5"/>
        </w:rPr>
        <w:t> </w:t>
      </w:r>
      <w:r>
        <w:rPr/>
        <w:t>en</w:t>
      </w:r>
      <w:r>
        <w:rPr>
          <w:spacing w:val="-4"/>
        </w:rPr>
        <w:t> </w:t>
      </w:r>
      <w:r>
        <w:rPr/>
        <w:t>los</w:t>
      </w:r>
      <w:r>
        <w:rPr>
          <w:spacing w:val="-4"/>
        </w:rPr>
        <w:t> </w:t>
      </w:r>
      <w:r>
        <w:rPr/>
        <w:t>Progra-mas Actividades Centrales, Protección y Promoción Social y Empresas Comerciales.</w:t>
      </w:r>
    </w:p>
    <w:p>
      <w:pPr>
        <w:pStyle w:val="BodyText"/>
        <w:spacing w:before="1"/>
      </w:pPr>
    </w:p>
    <w:p>
      <w:pPr>
        <w:pStyle w:val="BodyText"/>
        <w:ind w:left="730" w:right="923"/>
        <w:jc w:val="both"/>
      </w:pPr>
      <w:r>
        <w:rPr/>
        <w:t>Al</w:t>
      </w:r>
      <w:r>
        <w:rPr>
          <w:spacing w:val="-14"/>
        </w:rPr>
        <w:t> </w:t>
      </w:r>
      <w:r>
        <w:rPr/>
        <w:t>30</w:t>
      </w:r>
      <w:r>
        <w:rPr>
          <w:spacing w:val="-14"/>
        </w:rPr>
        <w:t> </w:t>
      </w:r>
      <w:r>
        <w:rPr/>
        <w:t>de</w:t>
      </w:r>
      <w:r>
        <w:rPr>
          <w:spacing w:val="-14"/>
        </w:rPr>
        <w:t> </w:t>
      </w:r>
      <w:r>
        <w:rPr/>
        <w:t>abril</w:t>
      </w:r>
      <w:r>
        <w:rPr>
          <w:spacing w:val="-13"/>
        </w:rPr>
        <w:t> </w:t>
      </w:r>
      <w:r>
        <w:rPr/>
        <w:t>2026,</w:t>
      </w:r>
      <w:r>
        <w:rPr>
          <w:spacing w:val="-14"/>
        </w:rPr>
        <w:t> </w:t>
      </w:r>
      <w:r>
        <w:rPr/>
        <w:t>la</w:t>
      </w:r>
      <w:r>
        <w:rPr>
          <w:spacing w:val="-14"/>
        </w:rPr>
        <w:t> </w:t>
      </w:r>
      <w:r>
        <w:rPr/>
        <w:t>Institución</w:t>
      </w:r>
      <w:r>
        <w:rPr>
          <w:spacing w:val="-14"/>
        </w:rPr>
        <w:t> </w:t>
      </w:r>
      <w:r>
        <w:rPr/>
        <w:t>no</w:t>
      </w:r>
      <w:r>
        <w:rPr>
          <w:spacing w:val="-13"/>
        </w:rPr>
        <w:t> </w:t>
      </w:r>
      <w:r>
        <w:rPr/>
        <w:t>requirió</w:t>
      </w:r>
      <w:r>
        <w:rPr>
          <w:spacing w:val="-14"/>
        </w:rPr>
        <w:t> </w:t>
      </w:r>
      <w:r>
        <w:rPr/>
        <w:t>elaborar</w:t>
      </w:r>
      <w:r>
        <w:rPr>
          <w:spacing w:val="-14"/>
        </w:rPr>
        <w:t> </w:t>
      </w:r>
      <w:r>
        <w:rPr/>
        <w:t>ninguna</w:t>
      </w:r>
      <w:r>
        <w:rPr>
          <w:spacing w:val="-14"/>
        </w:rPr>
        <w:t> </w:t>
      </w:r>
      <w:r>
        <w:rPr/>
        <w:t>“Modificación</w:t>
      </w:r>
      <w:r>
        <w:rPr>
          <w:spacing w:val="-13"/>
        </w:rPr>
        <w:t> </w:t>
      </w:r>
      <w:r>
        <w:rPr/>
        <w:t>Presupuestaria</w:t>
      </w:r>
      <w:r>
        <w:rPr>
          <w:spacing w:val="-14"/>
        </w:rPr>
        <w:t> </w:t>
      </w:r>
      <w:r>
        <w:rPr/>
        <w:t>General” en ninguno de los Programas Presupuestarios.</w:t>
      </w:r>
    </w:p>
    <w:p>
      <w:pPr>
        <w:pStyle w:val="BodyText"/>
        <w:spacing w:before="250"/>
        <w:ind w:left="730" w:right="923"/>
        <w:jc w:val="both"/>
      </w:pPr>
      <w:r>
        <w:rPr/>
        <w:t>Al 31 de mayo 2026, la Institución elaboro y aprobó el documento denominado “Modificación Pre-supuestaria General 03-2026” mediante acuerdo ACD-214-05-2026 Acta 22-05-2026 de fecha 14 de mayo</w:t>
      </w:r>
      <w:r>
        <w:rPr>
          <w:spacing w:val="-14"/>
        </w:rPr>
        <w:t> </w:t>
      </w:r>
      <w:r>
        <w:rPr/>
        <w:t>de</w:t>
      </w:r>
      <w:r>
        <w:rPr>
          <w:spacing w:val="-14"/>
        </w:rPr>
        <w:t> </w:t>
      </w:r>
      <w:r>
        <w:rPr/>
        <w:t>2026,</w:t>
      </w:r>
      <w:r>
        <w:rPr>
          <w:spacing w:val="-14"/>
        </w:rPr>
        <w:t> </w:t>
      </w:r>
      <w:r>
        <w:rPr/>
        <w:t>la</w:t>
      </w:r>
      <w:r>
        <w:rPr>
          <w:spacing w:val="-13"/>
        </w:rPr>
        <w:t> </w:t>
      </w:r>
      <w:r>
        <w:rPr/>
        <w:t>cual</w:t>
      </w:r>
      <w:r>
        <w:rPr>
          <w:spacing w:val="-14"/>
        </w:rPr>
        <w:t> </w:t>
      </w:r>
      <w:r>
        <w:rPr/>
        <w:t>ascendió</w:t>
      </w:r>
      <w:r>
        <w:rPr>
          <w:spacing w:val="-14"/>
        </w:rPr>
        <w:t> </w:t>
      </w:r>
      <w:r>
        <w:rPr/>
        <w:t>a</w:t>
      </w:r>
      <w:r>
        <w:rPr>
          <w:spacing w:val="-14"/>
        </w:rPr>
        <w:t> </w:t>
      </w:r>
      <w:r>
        <w:rPr/>
        <w:t>la</w:t>
      </w:r>
      <w:r>
        <w:rPr>
          <w:spacing w:val="-13"/>
        </w:rPr>
        <w:t> </w:t>
      </w:r>
      <w:r>
        <w:rPr/>
        <w:t>suma</w:t>
      </w:r>
      <w:r>
        <w:rPr>
          <w:spacing w:val="-14"/>
        </w:rPr>
        <w:t> </w:t>
      </w:r>
      <w:r>
        <w:rPr/>
        <w:t>de</w:t>
      </w:r>
      <w:r>
        <w:rPr>
          <w:spacing w:val="-14"/>
        </w:rPr>
        <w:t> </w:t>
      </w:r>
      <w:r>
        <w:rPr/>
        <w:t>¢</w:t>
      </w:r>
      <w:r>
        <w:rPr>
          <w:spacing w:val="-14"/>
        </w:rPr>
        <w:t> </w:t>
      </w:r>
      <w:r>
        <w:rPr/>
        <w:t>2,536,247.78</w:t>
      </w:r>
      <w:r>
        <w:rPr>
          <w:spacing w:val="-13"/>
        </w:rPr>
        <w:t> </w:t>
      </w:r>
      <w:r>
        <w:rPr/>
        <w:t>miles,</w:t>
      </w:r>
      <w:r>
        <w:rPr>
          <w:spacing w:val="-14"/>
        </w:rPr>
        <w:t> </w:t>
      </w:r>
      <w:r>
        <w:rPr/>
        <w:t>en</w:t>
      </w:r>
      <w:r>
        <w:rPr>
          <w:spacing w:val="-14"/>
        </w:rPr>
        <w:t> </w:t>
      </w:r>
      <w:r>
        <w:rPr/>
        <w:t>la</w:t>
      </w:r>
      <w:r>
        <w:rPr>
          <w:spacing w:val="-14"/>
        </w:rPr>
        <w:t> </w:t>
      </w:r>
      <w:r>
        <w:rPr/>
        <w:t>que</w:t>
      </w:r>
      <w:r>
        <w:rPr>
          <w:spacing w:val="-13"/>
        </w:rPr>
        <w:t> </w:t>
      </w:r>
      <w:r>
        <w:rPr/>
        <w:t>se</w:t>
      </w:r>
      <w:r>
        <w:rPr>
          <w:spacing w:val="-14"/>
        </w:rPr>
        <w:t> </w:t>
      </w:r>
      <w:r>
        <w:rPr/>
        <w:t>presentó</w:t>
      </w:r>
      <w:r>
        <w:rPr>
          <w:spacing w:val="-14"/>
        </w:rPr>
        <w:t> </w:t>
      </w:r>
      <w:r>
        <w:rPr/>
        <w:t>varios</w:t>
      </w:r>
      <w:r>
        <w:rPr>
          <w:spacing w:val="-14"/>
        </w:rPr>
        <w:t> </w:t>
      </w:r>
      <w:r>
        <w:rPr/>
        <w:t>traslados de</w:t>
      </w:r>
      <w:r>
        <w:rPr>
          <w:spacing w:val="-13"/>
        </w:rPr>
        <w:t> </w:t>
      </w:r>
      <w:r>
        <w:rPr/>
        <w:t>recursos</w:t>
      </w:r>
      <w:r>
        <w:rPr>
          <w:spacing w:val="-11"/>
        </w:rPr>
        <w:t> </w:t>
      </w:r>
      <w:r>
        <w:rPr/>
        <w:t>entre</w:t>
      </w:r>
      <w:r>
        <w:rPr>
          <w:spacing w:val="-13"/>
        </w:rPr>
        <w:t> </w:t>
      </w:r>
      <w:r>
        <w:rPr/>
        <w:t>subpartidas</w:t>
      </w:r>
      <w:r>
        <w:rPr>
          <w:spacing w:val="-11"/>
        </w:rPr>
        <w:t> </w:t>
      </w:r>
      <w:r>
        <w:rPr/>
        <w:t>de</w:t>
      </w:r>
      <w:r>
        <w:rPr>
          <w:spacing w:val="-13"/>
        </w:rPr>
        <w:t> </w:t>
      </w:r>
      <w:r>
        <w:rPr/>
        <w:t>gasto</w:t>
      </w:r>
      <w:r>
        <w:rPr>
          <w:spacing w:val="-11"/>
        </w:rPr>
        <w:t> </w:t>
      </w:r>
      <w:r>
        <w:rPr/>
        <w:t>administrativo</w:t>
      </w:r>
      <w:r>
        <w:rPr>
          <w:spacing w:val="-11"/>
        </w:rPr>
        <w:t> </w:t>
      </w:r>
      <w:r>
        <w:rPr/>
        <w:t>y</w:t>
      </w:r>
      <w:r>
        <w:rPr>
          <w:spacing w:val="-13"/>
        </w:rPr>
        <w:t> </w:t>
      </w:r>
      <w:r>
        <w:rPr/>
        <w:t>de</w:t>
      </w:r>
      <w:r>
        <w:rPr>
          <w:spacing w:val="-13"/>
        </w:rPr>
        <w:t> </w:t>
      </w:r>
      <w:r>
        <w:rPr/>
        <w:t>recursos</w:t>
      </w:r>
      <w:r>
        <w:rPr>
          <w:spacing w:val="-11"/>
        </w:rPr>
        <w:t> </w:t>
      </w:r>
      <w:r>
        <w:rPr/>
        <w:t>de</w:t>
      </w:r>
      <w:r>
        <w:rPr>
          <w:spacing w:val="-13"/>
        </w:rPr>
        <w:t> </w:t>
      </w:r>
      <w:r>
        <w:rPr/>
        <w:t>Inversión</w:t>
      </w:r>
      <w:r>
        <w:rPr>
          <w:spacing w:val="-14"/>
        </w:rPr>
        <w:t> </w:t>
      </w:r>
      <w:r>
        <w:rPr/>
        <w:t>Social,</w:t>
      </w:r>
      <w:r>
        <w:rPr>
          <w:spacing w:val="-12"/>
        </w:rPr>
        <w:t> </w:t>
      </w:r>
      <w:r>
        <w:rPr/>
        <w:t>en</w:t>
      </w:r>
      <w:r>
        <w:rPr>
          <w:spacing w:val="-12"/>
        </w:rPr>
        <w:t> </w:t>
      </w:r>
      <w:r>
        <w:rPr/>
        <w:t>el</w:t>
      </w:r>
      <w:r>
        <w:rPr>
          <w:spacing w:val="-12"/>
        </w:rPr>
        <w:t> </w:t>
      </w:r>
      <w:r>
        <w:rPr/>
        <w:t>Programa Protección y Promoción.</w:t>
      </w:r>
    </w:p>
    <w:p>
      <w:pPr>
        <w:pStyle w:val="BodyText"/>
        <w:spacing w:before="2"/>
      </w:pPr>
    </w:p>
    <w:p>
      <w:pPr>
        <w:pStyle w:val="BodyText"/>
        <w:ind w:left="730" w:right="922"/>
        <w:jc w:val="both"/>
      </w:pPr>
      <w:r>
        <w:rPr/>
        <w:t>Al</w:t>
      </w:r>
      <w:r>
        <w:rPr>
          <w:spacing w:val="-2"/>
        </w:rPr>
        <w:t> </w:t>
      </w:r>
      <w:r>
        <w:rPr/>
        <w:t>31</w:t>
      </w:r>
      <w:r>
        <w:rPr>
          <w:spacing w:val="-2"/>
        </w:rPr>
        <w:t> </w:t>
      </w:r>
      <w:r>
        <w:rPr/>
        <w:t>de</w:t>
      </w:r>
      <w:r>
        <w:rPr>
          <w:spacing w:val="-1"/>
        </w:rPr>
        <w:t> </w:t>
      </w:r>
      <w:r>
        <w:rPr/>
        <w:t>julio</w:t>
      </w:r>
      <w:r>
        <w:rPr>
          <w:spacing w:val="-2"/>
        </w:rPr>
        <w:t> </w:t>
      </w:r>
      <w:r>
        <w:rPr/>
        <w:t>2026,</w:t>
      </w:r>
      <w:r>
        <w:rPr>
          <w:spacing w:val="-2"/>
        </w:rPr>
        <w:t> </w:t>
      </w:r>
      <w:r>
        <w:rPr/>
        <w:t>la</w:t>
      </w:r>
      <w:r>
        <w:rPr>
          <w:spacing w:val="-1"/>
        </w:rPr>
        <w:t> </w:t>
      </w:r>
      <w:r>
        <w:rPr/>
        <w:t>Institución</w:t>
      </w:r>
      <w:r>
        <w:rPr>
          <w:spacing w:val="-2"/>
        </w:rPr>
        <w:t> </w:t>
      </w:r>
      <w:r>
        <w:rPr/>
        <w:t>elaboro</w:t>
      </w:r>
      <w:r>
        <w:rPr>
          <w:spacing w:val="-1"/>
        </w:rPr>
        <w:t> </w:t>
      </w:r>
      <w:r>
        <w:rPr/>
        <w:t>y</w:t>
      </w:r>
      <w:r>
        <w:rPr>
          <w:spacing w:val="-3"/>
        </w:rPr>
        <w:t> </w:t>
      </w:r>
      <w:r>
        <w:rPr/>
        <w:t>aprobó</w:t>
      </w:r>
      <w:r>
        <w:rPr>
          <w:spacing w:val="-2"/>
        </w:rPr>
        <w:t> </w:t>
      </w:r>
      <w:r>
        <w:rPr/>
        <w:t>el</w:t>
      </w:r>
      <w:r>
        <w:rPr>
          <w:spacing w:val="-2"/>
        </w:rPr>
        <w:t> </w:t>
      </w:r>
      <w:r>
        <w:rPr/>
        <w:t>documento</w:t>
      </w:r>
      <w:r>
        <w:rPr>
          <w:spacing w:val="-2"/>
        </w:rPr>
        <w:t> </w:t>
      </w:r>
      <w:r>
        <w:rPr/>
        <w:t>denominado</w:t>
      </w:r>
      <w:r>
        <w:rPr>
          <w:spacing w:val="-2"/>
        </w:rPr>
        <w:t> </w:t>
      </w:r>
      <w:r>
        <w:rPr/>
        <w:t>“Modificación</w:t>
      </w:r>
      <w:r>
        <w:rPr>
          <w:spacing w:val="-2"/>
        </w:rPr>
        <w:t> </w:t>
      </w:r>
      <w:r>
        <w:rPr/>
        <w:t>Presu-puestaria</w:t>
      </w:r>
      <w:r>
        <w:rPr>
          <w:spacing w:val="-14"/>
        </w:rPr>
        <w:t> </w:t>
      </w:r>
      <w:r>
        <w:rPr/>
        <w:t>General</w:t>
      </w:r>
      <w:r>
        <w:rPr>
          <w:spacing w:val="-14"/>
        </w:rPr>
        <w:t> </w:t>
      </w:r>
      <w:r>
        <w:rPr/>
        <w:t>04-2026”</w:t>
      </w:r>
      <w:r>
        <w:rPr>
          <w:spacing w:val="-14"/>
        </w:rPr>
        <w:t> </w:t>
      </w:r>
      <w:r>
        <w:rPr/>
        <w:t>mediante</w:t>
      </w:r>
      <w:r>
        <w:rPr>
          <w:spacing w:val="-13"/>
        </w:rPr>
        <w:t> </w:t>
      </w:r>
      <w:r>
        <w:rPr/>
        <w:t>acuerdo</w:t>
      </w:r>
      <w:r>
        <w:rPr>
          <w:spacing w:val="-14"/>
        </w:rPr>
        <w:t> </w:t>
      </w:r>
      <w:r>
        <w:rPr/>
        <w:t>ACD-249-07-2026</w:t>
      </w:r>
      <w:r>
        <w:rPr>
          <w:spacing w:val="-14"/>
        </w:rPr>
        <w:t> </w:t>
      </w:r>
      <w:r>
        <w:rPr/>
        <w:t>Acta</w:t>
      </w:r>
      <w:r>
        <w:rPr>
          <w:spacing w:val="-12"/>
        </w:rPr>
        <w:t> </w:t>
      </w:r>
      <w:r>
        <w:rPr/>
        <w:t>30-07-2026</w:t>
      </w:r>
      <w:r>
        <w:rPr>
          <w:spacing w:val="-14"/>
        </w:rPr>
        <w:t> </w:t>
      </w:r>
      <w:r>
        <w:rPr/>
        <w:t>de</w:t>
      </w:r>
      <w:r>
        <w:rPr>
          <w:spacing w:val="-14"/>
        </w:rPr>
        <w:t> </w:t>
      </w:r>
      <w:r>
        <w:rPr/>
        <w:t>fecha</w:t>
      </w:r>
      <w:r>
        <w:rPr>
          <w:spacing w:val="-14"/>
        </w:rPr>
        <w:t> </w:t>
      </w:r>
      <w:r>
        <w:rPr/>
        <w:t>20</w:t>
      </w:r>
      <w:r>
        <w:rPr>
          <w:spacing w:val="-13"/>
        </w:rPr>
        <w:t> </w:t>
      </w:r>
      <w:r>
        <w:rPr/>
        <w:t>de</w:t>
      </w:r>
      <w:r>
        <w:rPr>
          <w:spacing w:val="-14"/>
        </w:rPr>
        <w:t> </w:t>
      </w:r>
      <w:r>
        <w:rPr/>
        <w:t>julio de 2026, la cual ascendió a la suma de ¢ 920,000.00 miles, en la que se presentó varios traslados de recursos</w:t>
      </w:r>
      <w:r>
        <w:rPr>
          <w:spacing w:val="-5"/>
        </w:rPr>
        <w:t> </w:t>
      </w:r>
      <w:r>
        <w:rPr/>
        <w:t>entre</w:t>
      </w:r>
      <w:r>
        <w:rPr>
          <w:spacing w:val="-9"/>
        </w:rPr>
        <w:t> </w:t>
      </w:r>
      <w:r>
        <w:rPr/>
        <w:t>subpartidas</w:t>
      </w:r>
      <w:r>
        <w:rPr>
          <w:spacing w:val="-5"/>
        </w:rPr>
        <w:t> </w:t>
      </w:r>
      <w:r>
        <w:rPr/>
        <w:t>de</w:t>
      </w:r>
      <w:r>
        <w:rPr>
          <w:spacing w:val="-7"/>
        </w:rPr>
        <w:t> </w:t>
      </w:r>
      <w:r>
        <w:rPr/>
        <w:t>gasto</w:t>
      </w:r>
      <w:r>
        <w:rPr>
          <w:spacing w:val="-5"/>
        </w:rPr>
        <w:t> </w:t>
      </w:r>
      <w:r>
        <w:rPr/>
        <w:t>administrativo</w:t>
      </w:r>
      <w:r>
        <w:rPr>
          <w:spacing w:val="-5"/>
        </w:rPr>
        <w:t> </w:t>
      </w:r>
      <w:r>
        <w:rPr/>
        <w:t>y</w:t>
      </w:r>
      <w:r>
        <w:rPr>
          <w:spacing w:val="-7"/>
        </w:rPr>
        <w:t> </w:t>
      </w:r>
      <w:r>
        <w:rPr/>
        <w:t>de</w:t>
      </w:r>
      <w:r>
        <w:rPr>
          <w:spacing w:val="-7"/>
        </w:rPr>
        <w:t> </w:t>
      </w:r>
      <w:r>
        <w:rPr/>
        <w:t>recursos</w:t>
      </w:r>
      <w:r>
        <w:rPr>
          <w:spacing w:val="-7"/>
        </w:rPr>
        <w:t> </w:t>
      </w:r>
      <w:r>
        <w:rPr/>
        <w:t>de</w:t>
      </w:r>
      <w:r>
        <w:rPr>
          <w:spacing w:val="-7"/>
        </w:rPr>
        <w:t> </w:t>
      </w:r>
      <w:r>
        <w:rPr/>
        <w:t>Inversión</w:t>
      </w:r>
      <w:r>
        <w:rPr>
          <w:spacing w:val="-8"/>
        </w:rPr>
        <w:t> </w:t>
      </w:r>
      <w:r>
        <w:rPr/>
        <w:t>Social,</w:t>
      </w:r>
      <w:r>
        <w:rPr>
          <w:spacing w:val="-6"/>
        </w:rPr>
        <w:t> </w:t>
      </w:r>
      <w:r>
        <w:rPr/>
        <w:t>en</w:t>
      </w:r>
      <w:r>
        <w:rPr>
          <w:spacing w:val="-5"/>
        </w:rPr>
        <w:t> </w:t>
      </w:r>
      <w:r>
        <w:rPr/>
        <w:t>los</w:t>
      </w:r>
      <w:r>
        <w:rPr>
          <w:spacing w:val="-5"/>
        </w:rPr>
        <w:t> </w:t>
      </w:r>
      <w:r>
        <w:rPr/>
        <w:t>Programas Actividades Centrales y Protección y Promoción.</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0016">
                <wp:simplePos x="0" y="0"/>
                <wp:positionH relativeFrom="page">
                  <wp:posOffset>9525</wp:posOffset>
                </wp:positionH>
                <wp:positionV relativeFrom="page">
                  <wp:posOffset>297208</wp:posOffset>
                </wp:positionV>
                <wp:extent cx="7762875" cy="9748520"/>
                <wp:effectExtent l="0" t="0" r="0" b="0"/>
                <wp:wrapNone/>
                <wp:docPr id="1113" name="Group 1113"/>
                <wp:cNvGraphicFramePr>
                  <a:graphicFrameLocks/>
                </wp:cNvGraphicFramePr>
                <a:graphic>
                  <a:graphicData uri="http://schemas.microsoft.com/office/word/2010/wordprocessingGroup">
                    <wpg:wgp>
                      <wpg:cNvPr id="1113" name="Group 1113"/>
                      <wpg:cNvGrpSpPr/>
                      <wpg:grpSpPr>
                        <a:xfrm>
                          <a:off x="0" y="0"/>
                          <a:ext cx="7762875" cy="9748520"/>
                          <a:chExt cx="7762875" cy="9748520"/>
                        </a:xfrm>
                      </wpg:grpSpPr>
                      <pic:pic>
                        <pic:nvPicPr>
                          <pic:cNvPr id="1114" name="Image 1114"/>
                          <pic:cNvPicPr/>
                        </pic:nvPicPr>
                        <pic:blipFill>
                          <a:blip r:embed="rId5" cstate="print"/>
                          <a:stretch>
                            <a:fillRect/>
                          </a:stretch>
                        </pic:blipFill>
                        <pic:spPr>
                          <a:xfrm>
                            <a:off x="0" y="0"/>
                            <a:ext cx="7762874" cy="9748489"/>
                          </a:xfrm>
                          <a:prstGeom prst="rect">
                            <a:avLst/>
                          </a:prstGeom>
                        </pic:spPr>
                      </pic:pic>
                      <wps:wsp>
                        <wps:cNvPr id="1115" name="Graphic 1115"/>
                        <wps:cNvSpPr/>
                        <wps:spPr>
                          <a:xfrm>
                            <a:off x="1053007" y="990837"/>
                            <a:ext cx="5736590" cy="6878955"/>
                          </a:xfrm>
                          <a:custGeom>
                            <a:avLst/>
                            <a:gdLst/>
                            <a:ahLst/>
                            <a:cxnLst/>
                            <a:rect l="l" t="t" r="r" b="b"/>
                            <a:pathLst>
                              <a:path w="5736590" h="6878955">
                                <a:moveTo>
                                  <a:pt x="5649214" y="0"/>
                                </a:moveTo>
                                <a:lnTo>
                                  <a:pt x="0" y="0"/>
                                </a:lnTo>
                                <a:lnTo>
                                  <a:pt x="0" y="9131"/>
                                </a:lnTo>
                                <a:lnTo>
                                  <a:pt x="5649214" y="9131"/>
                                </a:lnTo>
                                <a:lnTo>
                                  <a:pt x="5649214" y="0"/>
                                </a:lnTo>
                                <a:close/>
                              </a:path>
                              <a:path w="5736590" h="6878955">
                                <a:moveTo>
                                  <a:pt x="5736018" y="746874"/>
                                </a:moveTo>
                                <a:lnTo>
                                  <a:pt x="5729935" y="746874"/>
                                </a:lnTo>
                                <a:lnTo>
                                  <a:pt x="5729935" y="6872719"/>
                                </a:lnTo>
                                <a:lnTo>
                                  <a:pt x="21336" y="6872719"/>
                                </a:lnTo>
                                <a:lnTo>
                                  <a:pt x="21336" y="746874"/>
                                </a:lnTo>
                                <a:lnTo>
                                  <a:pt x="15240" y="746874"/>
                                </a:lnTo>
                                <a:lnTo>
                                  <a:pt x="15240" y="6872719"/>
                                </a:lnTo>
                                <a:lnTo>
                                  <a:pt x="15240" y="6878815"/>
                                </a:lnTo>
                                <a:lnTo>
                                  <a:pt x="21336" y="6878815"/>
                                </a:lnTo>
                                <a:lnTo>
                                  <a:pt x="5729935" y="6878815"/>
                                </a:lnTo>
                                <a:lnTo>
                                  <a:pt x="5736018" y="6878815"/>
                                </a:lnTo>
                                <a:lnTo>
                                  <a:pt x="5736018" y="6872719"/>
                                </a:lnTo>
                                <a:lnTo>
                                  <a:pt x="5736018" y="746874"/>
                                </a:lnTo>
                                <a:close/>
                              </a:path>
                              <a:path w="5736590" h="6878955">
                                <a:moveTo>
                                  <a:pt x="5736018" y="740651"/>
                                </a:moveTo>
                                <a:lnTo>
                                  <a:pt x="5729986" y="740651"/>
                                </a:lnTo>
                                <a:lnTo>
                                  <a:pt x="21336" y="740651"/>
                                </a:lnTo>
                                <a:lnTo>
                                  <a:pt x="15240" y="740651"/>
                                </a:lnTo>
                                <a:lnTo>
                                  <a:pt x="15240" y="746747"/>
                                </a:lnTo>
                                <a:lnTo>
                                  <a:pt x="21336" y="746747"/>
                                </a:lnTo>
                                <a:lnTo>
                                  <a:pt x="5729935" y="746747"/>
                                </a:lnTo>
                                <a:lnTo>
                                  <a:pt x="5736018" y="746747"/>
                                </a:lnTo>
                                <a:lnTo>
                                  <a:pt x="5736018" y="7406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6464" id="docshapegroup1060" coordorigin="15,468" coordsize="12225,15352">
                <v:shape style="position:absolute;left:15;top:468;width:12225;height:15352" type="#_x0000_t75" id="docshape1061" stroked="false">
                  <v:imagedata r:id="rId5" o:title=""/>
                </v:shape>
                <v:shape style="position:absolute;left:1673;top:2028;width:9034;height:10833" id="docshape1062" coordorigin="1673,2028" coordsize="9034,10833" path="m10570,2028l1673,2028,1673,2043,10570,2043,10570,2028xm10706,3205l10697,3205,10697,12852,1707,12852,1707,3205,1697,3205,1697,12852,1697,12861,1707,12861,10697,12861,10697,12861,10706,12861,10706,12852,10706,3205xm10706,3195l10697,3195,10697,3195,1707,3195,1697,3195,1697,3204,1707,3204,10697,3204,10697,3204,10706,3204,10706,3195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216</w:t>
      </w:r>
    </w:p>
    <w:p>
      <w:pPr>
        <w:pStyle w:val="BodyText"/>
      </w:pPr>
    </w:p>
    <w:p>
      <w:pPr>
        <w:pStyle w:val="BodyText"/>
        <w:spacing w:before="148"/>
      </w:pPr>
    </w:p>
    <w:p>
      <w:pPr>
        <w:pStyle w:val="ListParagraph"/>
        <w:numPr>
          <w:ilvl w:val="1"/>
          <w:numId w:val="82"/>
        </w:numPr>
        <w:tabs>
          <w:tab w:pos="1340" w:val="left" w:leader="none"/>
        </w:tabs>
        <w:spacing w:line="240" w:lineRule="auto" w:before="0" w:after="0"/>
        <w:ind w:left="1340" w:right="0" w:hanging="359"/>
        <w:jc w:val="left"/>
        <w:rPr>
          <w:sz w:val="22"/>
        </w:rPr>
      </w:pPr>
      <w:r>
        <w:rPr>
          <w:sz w:val="22"/>
        </w:rPr>
        <w:t>Presupuestos</w:t>
      </w:r>
      <w:r>
        <w:rPr>
          <w:spacing w:val="-7"/>
          <w:sz w:val="22"/>
        </w:rPr>
        <w:t> </w:t>
      </w:r>
      <w:r>
        <w:rPr>
          <w:sz w:val="22"/>
        </w:rPr>
        <w:t>Extraordinarios</w:t>
      </w:r>
      <w:r>
        <w:rPr>
          <w:spacing w:val="-7"/>
          <w:sz w:val="22"/>
        </w:rPr>
        <w:t> </w:t>
      </w:r>
      <w:r>
        <w:rPr>
          <w:sz w:val="22"/>
        </w:rPr>
        <w:t>(Párrafo</w:t>
      </w:r>
      <w:r>
        <w:rPr>
          <w:spacing w:val="-7"/>
          <w:sz w:val="22"/>
        </w:rPr>
        <w:t> </w:t>
      </w:r>
      <w:r>
        <w:rPr>
          <w:spacing w:val="-2"/>
          <w:sz w:val="22"/>
        </w:rPr>
        <w:t>14,23)</w:t>
      </w:r>
    </w:p>
    <w:p>
      <w:pPr>
        <w:pStyle w:val="BodyText"/>
        <w:spacing w:before="43"/>
      </w:pPr>
    </w:p>
    <w:p>
      <w:pPr>
        <w:pStyle w:val="BodyText"/>
        <w:ind w:left="730"/>
      </w:pPr>
      <w:r>
        <w:rPr>
          <w:spacing w:val="-2"/>
        </w:rPr>
        <w:t>Revelación:</w:t>
      </w:r>
    </w:p>
    <w:p>
      <w:pPr>
        <w:pStyle w:val="BodyText"/>
        <w:spacing w:before="181"/>
        <w:ind w:left="730"/>
      </w:pPr>
      <w:r>
        <w:rPr/>
        <w:t>Según</w:t>
      </w:r>
      <w:r>
        <w:rPr>
          <w:spacing w:val="-6"/>
        </w:rPr>
        <w:t> </w:t>
      </w:r>
      <w:r>
        <w:rPr/>
        <w:t>las</w:t>
      </w:r>
      <w:r>
        <w:rPr>
          <w:spacing w:val="-4"/>
        </w:rPr>
        <w:t> </w:t>
      </w:r>
      <w:r>
        <w:rPr/>
        <w:t>Normas</w:t>
      </w:r>
      <w:r>
        <w:rPr>
          <w:spacing w:val="-4"/>
        </w:rPr>
        <w:t> </w:t>
      </w:r>
      <w:r>
        <w:rPr/>
        <w:t>Técnicas</w:t>
      </w:r>
      <w:r>
        <w:rPr>
          <w:spacing w:val="-7"/>
        </w:rPr>
        <w:t> </w:t>
      </w:r>
      <w:r>
        <w:rPr/>
        <w:t>sobre</w:t>
      </w:r>
      <w:r>
        <w:rPr>
          <w:spacing w:val="-7"/>
        </w:rPr>
        <w:t> </w:t>
      </w:r>
      <w:r>
        <w:rPr/>
        <w:t>Presupuesto</w:t>
      </w:r>
      <w:r>
        <w:rPr>
          <w:spacing w:val="-5"/>
        </w:rPr>
        <w:t> </w:t>
      </w:r>
      <w:r>
        <w:rPr/>
        <w:t>Público</w:t>
      </w:r>
      <w:r>
        <w:rPr>
          <w:spacing w:val="-5"/>
        </w:rPr>
        <w:t> </w:t>
      </w:r>
      <w:r>
        <w:rPr/>
        <w:t>indica</w:t>
      </w:r>
      <w:r>
        <w:rPr>
          <w:spacing w:val="-6"/>
        </w:rPr>
        <w:t> </w:t>
      </w:r>
      <w:r>
        <w:rPr>
          <w:spacing w:val="-4"/>
        </w:rPr>
        <w:t>que:</w:t>
      </w:r>
    </w:p>
    <w:p>
      <w:pPr>
        <w:pStyle w:val="BodyText"/>
        <w:spacing w:before="178"/>
        <w:ind w:left="1325" w:right="923"/>
        <w:jc w:val="both"/>
      </w:pPr>
      <w:r>
        <w:rPr/>
        <w:t>Presupuesto</w:t>
      </w:r>
      <w:r>
        <w:rPr>
          <w:spacing w:val="-2"/>
        </w:rPr>
        <w:t> </w:t>
      </w:r>
      <w:r>
        <w:rPr/>
        <w:t>extraordinario.</w:t>
      </w:r>
      <w:r>
        <w:rPr>
          <w:spacing w:val="-6"/>
        </w:rPr>
        <w:t> </w:t>
      </w:r>
      <w:r>
        <w:rPr/>
        <w:t>Es</w:t>
      </w:r>
      <w:r>
        <w:rPr>
          <w:spacing w:val="-1"/>
        </w:rPr>
        <w:t> </w:t>
      </w:r>
      <w:r>
        <w:rPr/>
        <w:t>el</w:t>
      </w:r>
      <w:r>
        <w:rPr>
          <w:spacing w:val="-2"/>
        </w:rPr>
        <w:t> </w:t>
      </w:r>
      <w:r>
        <w:rPr/>
        <w:t>acto</w:t>
      </w:r>
      <w:r>
        <w:rPr>
          <w:spacing w:val="-2"/>
        </w:rPr>
        <w:t> </w:t>
      </w:r>
      <w:r>
        <w:rPr/>
        <w:t>administrativo</w:t>
      </w:r>
      <w:r>
        <w:rPr>
          <w:spacing w:val="-2"/>
        </w:rPr>
        <w:t> </w:t>
      </w:r>
      <w:r>
        <w:rPr/>
        <w:t>que</w:t>
      </w:r>
      <w:r>
        <w:rPr>
          <w:spacing w:val="-3"/>
        </w:rPr>
        <w:t> </w:t>
      </w:r>
      <w:r>
        <w:rPr/>
        <w:t>tiene</w:t>
      </w:r>
      <w:r>
        <w:rPr>
          <w:spacing w:val="-3"/>
        </w:rPr>
        <w:t> </w:t>
      </w:r>
      <w:r>
        <w:rPr/>
        <w:t>por</w:t>
      </w:r>
      <w:r>
        <w:rPr>
          <w:spacing w:val="-2"/>
        </w:rPr>
        <w:t> </w:t>
      </w:r>
      <w:r>
        <w:rPr/>
        <w:t>objeto</w:t>
      </w:r>
      <w:r>
        <w:rPr>
          <w:spacing w:val="-1"/>
        </w:rPr>
        <w:t> </w:t>
      </w:r>
      <w:r>
        <w:rPr/>
        <w:t>incorporar</w:t>
      </w:r>
      <w:r>
        <w:rPr>
          <w:spacing w:val="-2"/>
        </w:rPr>
        <w:t> </w:t>
      </w:r>
      <w:r>
        <w:rPr/>
        <w:t>al</w:t>
      </w:r>
      <w:r>
        <w:rPr>
          <w:spacing w:val="-2"/>
        </w:rPr>
        <w:t> </w:t>
      </w:r>
      <w:r>
        <w:rPr/>
        <w:t>presu-puesto</w:t>
      </w:r>
      <w:r>
        <w:rPr>
          <w:spacing w:val="-5"/>
        </w:rPr>
        <w:t> </w:t>
      </w:r>
      <w:r>
        <w:rPr/>
        <w:t>institucional</w:t>
      </w:r>
      <w:r>
        <w:rPr>
          <w:spacing w:val="-7"/>
        </w:rPr>
        <w:t> </w:t>
      </w:r>
      <w:r>
        <w:rPr/>
        <w:t>los</w:t>
      </w:r>
      <w:r>
        <w:rPr>
          <w:spacing w:val="-5"/>
        </w:rPr>
        <w:t> </w:t>
      </w:r>
      <w:r>
        <w:rPr/>
        <w:t>ingresos</w:t>
      </w:r>
      <w:r>
        <w:rPr>
          <w:spacing w:val="-5"/>
        </w:rPr>
        <w:t> </w:t>
      </w:r>
      <w:r>
        <w:rPr/>
        <w:t>extraordinarios,</w:t>
      </w:r>
      <w:r>
        <w:rPr>
          <w:spacing w:val="-6"/>
        </w:rPr>
        <w:t> </w:t>
      </w:r>
      <w:r>
        <w:rPr/>
        <w:t>los</w:t>
      </w:r>
      <w:r>
        <w:rPr>
          <w:spacing w:val="-5"/>
        </w:rPr>
        <w:t> </w:t>
      </w:r>
      <w:r>
        <w:rPr/>
        <w:t>recursos</w:t>
      </w:r>
      <w:r>
        <w:rPr>
          <w:spacing w:val="-5"/>
        </w:rPr>
        <w:t> </w:t>
      </w:r>
      <w:r>
        <w:rPr/>
        <w:t>excedentes</w:t>
      </w:r>
      <w:r>
        <w:rPr>
          <w:spacing w:val="-5"/>
        </w:rPr>
        <w:t> </w:t>
      </w:r>
      <w:r>
        <w:rPr/>
        <w:t>entre</w:t>
      </w:r>
      <w:r>
        <w:rPr>
          <w:spacing w:val="-6"/>
        </w:rPr>
        <w:t> </w:t>
      </w:r>
      <w:r>
        <w:rPr/>
        <w:t>los</w:t>
      </w:r>
      <w:r>
        <w:rPr>
          <w:spacing w:val="-5"/>
        </w:rPr>
        <w:t> </w:t>
      </w:r>
      <w:r>
        <w:rPr/>
        <w:t>ingresos</w:t>
      </w:r>
      <w:r>
        <w:rPr>
          <w:spacing w:val="-5"/>
        </w:rPr>
        <w:t> </w:t>
      </w:r>
      <w:r>
        <w:rPr/>
        <w:t>pre-supuestados</w:t>
      </w:r>
      <w:r>
        <w:rPr>
          <w:spacing w:val="-5"/>
        </w:rPr>
        <w:t> </w:t>
      </w:r>
      <w:r>
        <w:rPr/>
        <w:t>y</w:t>
      </w:r>
      <w:r>
        <w:rPr>
          <w:spacing w:val="-4"/>
        </w:rPr>
        <w:t> </w:t>
      </w:r>
      <w:r>
        <w:rPr/>
        <w:t>los</w:t>
      </w:r>
      <w:r>
        <w:rPr>
          <w:spacing w:val="-3"/>
        </w:rPr>
        <w:t> </w:t>
      </w:r>
      <w:r>
        <w:rPr/>
        <w:t>percibidos</w:t>
      </w:r>
      <w:r>
        <w:rPr>
          <w:spacing w:val="-3"/>
        </w:rPr>
        <w:t> </w:t>
      </w:r>
      <w:r>
        <w:rPr/>
        <w:t>y</w:t>
      </w:r>
      <w:r>
        <w:rPr>
          <w:spacing w:val="-4"/>
        </w:rPr>
        <w:t> </w:t>
      </w:r>
      <w:r>
        <w:rPr/>
        <w:t>los</w:t>
      </w:r>
      <w:r>
        <w:rPr>
          <w:spacing w:val="-5"/>
        </w:rPr>
        <w:t> </w:t>
      </w:r>
      <w:r>
        <w:rPr/>
        <w:t>recursos</w:t>
      </w:r>
      <w:r>
        <w:rPr>
          <w:spacing w:val="-5"/>
        </w:rPr>
        <w:t> </w:t>
      </w:r>
      <w:r>
        <w:rPr/>
        <w:t>del</w:t>
      </w:r>
      <w:r>
        <w:rPr>
          <w:spacing w:val="-3"/>
        </w:rPr>
        <w:t> </w:t>
      </w:r>
      <w:r>
        <w:rPr/>
        <w:t>superávit,</w:t>
      </w:r>
      <w:r>
        <w:rPr>
          <w:spacing w:val="-3"/>
        </w:rPr>
        <w:t> </w:t>
      </w:r>
      <w:r>
        <w:rPr/>
        <w:t>así</w:t>
      </w:r>
      <w:r>
        <w:rPr>
          <w:spacing w:val="-3"/>
        </w:rPr>
        <w:t> </w:t>
      </w:r>
      <w:r>
        <w:rPr/>
        <w:t>como</w:t>
      </w:r>
      <w:r>
        <w:rPr>
          <w:spacing w:val="-3"/>
        </w:rPr>
        <w:t> </w:t>
      </w:r>
      <w:r>
        <w:rPr/>
        <w:t>los</w:t>
      </w:r>
      <w:r>
        <w:rPr>
          <w:spacing w:val="-5"/>
        </w:rPr>
        <w:t> </w:t>
      </w:r>
      <w:r>
        <w:rPr/>
        <w:t>gastos</w:t>
      </w:r>
      <w:r>
        <w:rPr>
          <w:spacing w:val="-3"/>
        </w:rPr>
        <w:t> </w:t>
      </w:r>
      <w:r>
        <w:rPr/>
        <w:t>correspondientes. Además, registrar las disminuciones de ingresos y el efecto que dicho ajuste tiene en el presu-puesto de gastos, o en la sustitución de las fuentes de financiamiento previstas.</w:t>
      </w:r>
    </w:p>
    <w:p>
      <w:pPr>
        <w:pStyle w:val="BodyText"/>
      </w:pPr>
    </w:p>
    <w:p>
      <w:pPr>
        <w:pStyle w:val="BodyText"/>
        <w:ind w:left="730" w:right="860"/>
      </w:pPr>
      <w:r>
        <w:rPr/>
        <w:t>Al</w:t>
      </w:r>
      <w:r>
        <w:rPr>
          <w:spacing w:val="-7"/>
        </w:rPr>
        <w:t> </w:t>
      </w:r>
      <w:r>
        <w:rPr/>
        <w:t>31</w:t>
      </w:r>
      <w:r>
        <w:rPr>
          <w:spacing w:val="-8"/>
        </w:rPr>
        <w:t> </w:t>
      </w:r>
      <w:r>
        <w:rPr/>
        <w:t>de</w:t>
      </w:r>
      <w:r>
        <w:rPr>
          <w:spacing w:val="-9"/>
        </w:rPr>
        <w:t> </w:t>
      </w:r>
      <w:r>
        <w:rPr/>
        <w:t>mayo</w:t>
      </w:r>
      <w:r>
        <w:rPr>
          <w:spacing w:val="-6"/>
        </w:rPr>
        <w:t> </w:t>
      </w:r>
      <w:r>
        <w:rPr/>
        <w:t>2026,</w:t>
      </w:r>
      <w:r>
        <w:rPr>
          <w:spacing w:val="-7"/>
        </w:rPr>
        <w:t> </w:t>
      </w:r>
      <w:r>
        <w:rPr/>
        <w:t>la</w:t>
      </w:r>
      <w:r>
        <w:rPr>
          <w:spacing w:val="-8"/>
        </w:rPr>
        <w:t> </w:t>
      </w:r>
      <w:r>
        <w:rPr/>
        <w:t>Institución</w:t>
      </w:r>
      <w:r>
        <w:rPr>
          <w:spacing w:val="-7"/>
        </w:rPr>
        <w:t> </w:t>
      </w:r>
      <w:r>
        <w:rPr/>
        <w:t>cuenta</w:t>
      </w:r>
      <w:r>
        <w:rPr>
          <w:spacing w:val="-7"/>
        </w:rPr>
        <w:t> </w:t>
      </w:r>
      <w:r>
        <w:rPr/>
        <w:t>con</w:t>
      </w:r>
      <w:r>
        <w:rPr>
          <w:spacing w:val="-7"/>
        </w:rPr>
        <w:t> </w:t>
      </w:r>
      <w:r>
        <w:rPr/>
        <w:t>el</w:t>
      </w:r>
      <w:r>
        <w:rPr>
          <w:spacing w:val="-8"/>
        </w:rPr>
        <w:t> </w:t>
      </w:r>
      <w:r>
        <w:rPr/>
        <w:t>“Presupuesto</w:t>
      </w:r>
      <w:r>
        <w:rPr>
          <w:spacing w:val="-6"/>
        </w:rPr>
        <w:t> </w:t>
      </w:r>
      <w:r>
        <w:rPr/>
        <w:t>Extraordinario</w:t>
      </w:r>
      <w:r>
        <w:rPr>
          <w:spacing w:val="-6"/>
        </w:rPr>
        <w:t> </w:t>
      </w:r>
      <w:r>
        <w:rPr/>
        <w:t>01-2026”</w:t>
      </w:r>
      <w:r>
        <w:rPr>
          <w:spacing w:val="-8"/>
        </w:rPr>
        <w:t> </w:t>
      </w:r>
      <w:r>
        <w:rPr/>
        <w:t>aprobado</w:t>
      </w:r>
      <w:r>
        <w:rPr>
          <w:spacing w:val="-6"/>
        </w:rPr>
        <w:t> </w:t>
      </w:r>
      <w:r>
        <w:rPr/>
        <w:t>por la</w:t>
      </w:r>
      <w:r>
        <w:rPr>
          <w:spacing w:val="26"/>
        </w:rPr>
        <w:t> </w:t>
      </w:r>
      <w:r>
        <w:rPr/>
        <w:t>Contraloría</w:t>
      </w:r>
      <w:r>
        <w:rPr>
          <w:spacing w:val="28"/>
        </w:rPr>
        <w:t> </w:t>
      </w:r>
      <w:r>
        <w:rPr/>
        <w:t>General</w:t>
      </w:r>
      <w:r>
        <w:rPr>
          <w:spacing w:val="28"/>
        </w:rPr>
        <w:t> </w:t>
      </w:r>
      <w:r>
        <w:rPr/>
        <w:t>de</w:t>
      </w:r>
      <w:r>
        <w:rPr>
          <w:spacing w:val="25"/>
        </w:rPr>
        <w:t> </w:t>
      </w:r>
      <w:r>
        <w:rPr/>
        <w:t>la</w:t>
      </w:r>
      <w:r>
        <w:rPr>
          <w:spacing w:val="28"/>
        </w:rPr>
        <w:t> </w:t>
      </w:r>
      <w:r>
        <w:rPr/>
        <w:t>República,</w:t>
      </w:r>
      <w:r>
        <w:rPr>
          <w:spacing w:val="29"/>
        </w:rPr>
        <w:t> </w:t>
      </w:r>
      <w:r>
        <w:rPr/>
        <w:t>mediante</w:t>
      </w:r>
      <w:r>
        <w:rPr>
          <w:spacing w:val="28"/>
        </w:rPr>
        <w:t> </w:t>
      </w:r>
      <w:r>
        <w:rPr/>
        <w:t>oficio</w:t>
      </w:r>
      <w:r>
        <w:rPr>
          <w:spacing w:val="29"/>
        </w:rPr>
        <w:t> </w:t>
      </w:r>
      <w:r>
        <w:rPr/>
        <w:t>DFOE-BIS-0222-2026</w:t>
      </w:r>
      <w:r>
        <w:rPr>
          <w:spacing w:val="25"/>
        </w:rPr>
        <w:t> </w:t>
      </w:r>
      <w:r>
        <w:rPr/>
        <w:t>por</w:t>
      </w:r>
      <w:r>
        <w:rPr>
          <w:spacing w:val="29"/>
        </w:rPr>
        <w:t> </w:t>
      </w:r>
      <w:r>
        <w:rPr/>
        <w:t>un</w:t>
      </w:r>
      <w:r>
        <w:rPr>
          <w:spacing w:val="28"/>
        </w:rPr>
        <w:t> </w:t>
      </w:r>
      <w:r>
        <w:rPr/>
        <w:t>monto</w:t>
      </w:r>
      <w:r>
        <w:rPr>
          <w:spacing w:val="30"/>
        </w:rPr>
        <w:t> </w:t>
      </w:r>
      <w:r>
        <w:rPr>
          <w:spacing w:val="-5"/>
        </w:rPr>
        <w:t>de</w:t>
      </w:r>
    </w:p>
    <w:p>
      <w:pPr>
        <w:pStyle w:val="BodyText"/>
        <w:ind w:left="730" w:right="860"/>
      </w:pPr>
      <w:r>
        <w:rPr/>
        <w:t>¢28,689,915.32</w:t>
      </w:r>
      <w:r>
        <w:rPr>
          <w:spacing w:val="-9"/>
        </w:rPr>
        <w:t> </w:t>
      </w:r>
      <w:r>
        <w:rPr/>
        <w:t>miles,</w:t>
      </w:r>
      <w:r>
        <w:rPr>
          <w:spacing w:val="-8"/>
        </w:rPr>
        <w:t> </w:t>
      </w:r>
      <w:r>
        <w:rPr/>
        <w:t>para</w:t>
      </w:r>
      <w:r>
        <w:rPr>
          <w:spacing w:val="-9"/>
        </w:rPr>
        <w:t> </w:t>
      </w:r>
      <w:r>
        <w:rPr/>
        <w:t>los</w:t>
      </w:r>
      <w:r>
        <w:rPr>
          <w:spacing w:val="-7"/>
        </w:rPr>
        <w:t> </w:t>
      </w:r>
      <w:r>
        <w:rPr/>
        <w:t>Programas</w:t>
      </w:r>
      <w:r>
        <w:rPr>
          <w:spacing w:val="-7"/>
        </w:rPr>
        <w:t> </w:t>
      </w:r>
      <w:r>
        <w:rPr/>
        <w:t>Institucionales,</w:t>
      </w:r>
      <w:r>
        <w:rPr>
          <w:spacing w:val="-8"/>
        </w:rPr>
        <w:t> </w:t>
      </w:r>
      <w:r>
        <w:rPr/>
        <w:t>Actividades</w:t>
      </w:r>
      <w:r>
        <w:rPr>
          <w:spacing w:val="-7"/>
        </w:rPr>
        <w:t> </w:t>
      </w:r>
      <w:r>
        <w:rPr/>
        <w:t>Centrales,</w:t>
      </w:r>
      <w:r>
        <w:rPr>
          <w:spacing w:val="-8"/>
        </w:rPr>
        <w:t> </w:t>
      </w:r>
      <w:r>
        <w:rPr/>
        <w:t>Protección</w:t>
      </w:r>
      <w:r>
        <w:rPr>
          <w:spacing w:val="-8"/>
        </w:rPr>
        <w:t> </w:t>
      </w:r>
      <w:r>
        <w:rPr/>
        <w:t>y</w:t>
      </w:r>
      <w:r>
        <w:rPr>
          <w:spacing w:val="-9"/>
        </w:rPr>
        <w:t> </w:t>
      </w:r>
      <w:r>
        <w:rPr/>
        <w:t>Promo-ción y Empresas Comerciales.</w:t>
      </w:r>
    </w:p>
    <w:p>
      <w:pPr>
        <w:pStyle w:val="BodyText"/>
        <w:spacing w:before="1"/>
      </w:pPr>
    </w:p>
    <w:p>
      <w:pPr>
        <w:pStyle w:val="BodyText"/>
        <w:ind w:left="730" w:right="924"/>
        <w:jc w:val="both"/>
      </w:pPr>
      <w:r>
        <w:rPr/>
        <w:t>En este Presupuesto el origen de los recursos fue de la siguiente manera: se incorporaron recursos Propios producto del superávit el cual ascendió a la suma de</w:t>
      </w:r>
      <w:r>
        <w:rPr>
          <w:spacing w:val="-1"/>
        </w:rPr>
        <w:t> </w:t>
      </w:r>
      <w:r>
        <w:rPr/>
        <w:t>¢ 7,499,157.90 miles, superávit del FO-DESAF por la suma de ¢ 4,521,639.10 miles, superávit de Gobierno Central por la suma de ¢ 677,647.31</w:t>
      </w:r>
      <w:r>
        <w:rPr>
          <w:spacing w:val="-5"/>
        </w:rPr>
        <w:t> </w:t>
      </w:r>
      <w:r>
        <w:rPr/>
        <w:t>miles</w:t>
      </w:r>
      <w:r>
        <w:rPr>
          <w:spacing w:val="-2"/>
        </w:rPr>
        <w:t> </w:t>
      </w:r>
      <w:r>
        <w:rPr/>
        <w:t>y</w:t>
      </w:r>
      <w:r>
        <w:rPr>
          <w:spacing w:val="-4"/>
        </w:rPr>
        <w:t> </w:t>
      </w:r>
      <w:r>
        <w:rPr/>
        <w:t>lo</w:t>
      </w:r>
      <w:r>
        <w:rPr>
          <w:spacing w:val="-5"/>
        </w:rPr>
        <w:t> </w:t>
      </w:r>
      <w:r>
        <w:rPr/>
        <w:t>que</w:t>
      </w:r>
      <w:r>
        <w:rPr>
          <w:spacing w:val="-5"/>
        </w:rPr>
        <w:t> </w:t>
      </w:r>
      <w:r>
        <w:rPr/>
        <w:t>corresponde</w:t>
      </w:r>
      <w:r>
        <w:rPr>
          <w:spacing w:val="-5"/>
        </w:rPr>
        <w:t> </w:t>
      </w:r>
      <w:r>
        <w:rPr/>
        <w:t>al</w:t>
      </w:r>
      <w:r>
        <w:rPr>
          <w:spacing w:val="-3"/>
        </w:rPr>
        <w:t> </w:t>
      </w:r>
      <w:r>
        <w:rPr/>
        <w:t>programa</w:t>
      </w:r>
      <w:r>
        <w:rPr>
          <w:spacing w:val="-4"/>
        </w:rPr>
        <w:t> </w:t>
      </w:r>
      <w:r>
        <w:rPr/>
        <w:t>de</w:t>
      </w:r>
      <w:r>
        <w:rPr>
          <w:spacing w:val="-7"/>
        </w:rPr>
        <w:t> </w:t>
      </w:r>
      <w:r>
        <w:rPr/>
        <w:t>Empresas</w:t>
      </w:r>
      <w:r>
        <w:rPr>
          <w:spacing w:val="-5"/>
        </w:rPr>
        <w:t> </w:t>
      </w:r>
      <w:r>
        <w:rPr/>
        <w:t>Comerciales</w:t>
      </w:r>
      <w:r>
        <w:rPr>
          <w:spacing w:val="-2"/>
        </w:rPr>
        <w:t> </w:t>
      </w:r>
      <w:r>
        <w:rPr/>
        <w:t>el</w:t>
      </w:r>
      <w:r>
        <w:rPr>
          <w:spacing w:val="-3"/>
        </w:rPr>
        <w:t> </w:t>
      </w:r>
      <w:r>
        <w:rPr/>
        <w:t>superávit</w:t>
      </w:r>
      <w:r>
        <w:rPr>
          <w:spacing w:val="-3"/>
        </w:rPr>
        <w:t> </w:t>
      </w:r>
      <w:r>
        <w:rPr/>
        <w:t>ascendió</w:t>
      </w:r>
      <w:r>
        <w:rPr>
          <w:spacing w:val="-3"/>
        </w:rPr>
        <w:t> </w:t>
      </w:r>
      <w:r>
        <w:rPr/>
        <w:t>a la</w:t>
      </w:r>
      <w:r>
        <w:rPr>
          <w:spacing w:val="-4"/>
        </w:rPr>
        <w:t> </w:t>
      </w:r>
      <w:r>
        <w:rPr/>
        <w:t>suma</w:t>
      </w:r>
      <w:r>
        <w:rPr>
          <w:spacing w:val="-3"/>
        </w:rPr>
        <w:t> </w:t>
      </w:r>
      <w:r>
        <w:rPr/>
        <w:t>de</w:t>
      </w:r>
      <w:r>
        <w:rPr>
          <w:spacing w:val="-4"/>
        </w:rPr>
        <w:t> </w:t>
      </w:r>
      <w:r>
        <w:rPr/>
        <w:t>¢</w:t>
      </w:r>
      <w:r>
        <w:rPr>
          <w:spacing w:val="-5"/>
        </w:rPr>
        <w:t> </w:t>
      </w:r>
      <w:r>
        <w:rPr/>
        <w:t>1,531,471.01</w:t>
      </w:r>
      <w:r>
        <w:rPr>
          <w:spacing w:val="-6"/>
        </w:rPr>
        <w:t> </w:t>
      </w:r>
      <w:r>
        <w:rPr/>
        <w:t>miles.</w:t>
      </w:r>
      <w:r>
        <w:rPr>
          <w:spacing w:val="-3"/>
        </w:rPr>
        <w:t> </w:t>
      </w:r>
      <w:r>
        <w:rPr/>
        <w:t>Además,</w:t>
      </w:r>
      <w:r>
        <w:rPr>
          <w:spacing w:val="-5"/>
        </w:rPr>
        <w:t> </w:t>
      </w:r>
      <w:r>
        <w:rPr/>
        <w:t>con</w:t>
      </w:r>
      <w:r>
        <w:rPr>
          <w:spacing w:val="-4"/>
        </w:rPr>
        <w:t> </w:t>
      </w:r>
      <w:r>
        <w:rPr/>
        <w:t>la</w:t>
      </w:r>
      <w:r>
        <w:rPr>
          <w:spacing w:val="-6"/>
        </w:rPr>
        <w:t> </w:t>
      </w:r>
      <w:r>
        <w:rPr/>
        <w:t>fuente</w:t>
      </w:r>
      <w:r>
        <w:rPr>
          <w:spacing w:val="-3"/>
        </w:rPr>
        <w:t> </w:t>
      </w:r>
      <w:r>
        <w:rPr/>
        <w:t>de</w:t>
      </w:r>
      <w:r>
        <w:rPr>
          <w:spacing w:val="-4"/>
        </w:rPr>
        <w:t> </w:t>
      </w:r>
      <w:r>
        <w:rPr/>
        <w:t>financiamiento</w:t>
      </w:r>
      <w:r>
        <w:rPr>
          <w:spacing w:val="-2"/>
        </w:rPr>
        <w:t> </w:t>
      </w:r>
      <w:r>
        <w:rPr/>
        <w:t>de</w:t>
      </w:r>
      <w:r>
        <w:rPr>
          <w:spacing w:val="-6"/>
        </w:rPr>
        <w:t> </w:t>
      </w:r>
      <w:r>
        <w:rPr/>
        <w:t>FODESAF</w:t>
      </w:r>
      <w:r>
        <w:rPr>
          <w:spacing w:val="-4"/>
        </w:rPr>
        <w:t> </w:t>
      </w:r>
      <w:r>
        <w:rPr/>
        <w:t>se</w:t>
      </w:r>
      <w:r>
        <w:rPr>
          <w:spacing w:val="-6"/>
        </w:rPr>
        <w:t> </w:t>
      </w:r>
      <w:r>
        <w:rPr/>
        <w:t>incorpo-raron</w:t>
      </w:r>
      <w:r>
        <w:rPr>
          <w:spacing w:val="-2"/>
        </w:rPr>
        <w:t> </w:t>
      </w:r>
      <w:r>
        <w:rPr/>
        <w:t>¢</w:t>
      </w:r>
      <w:r>
        <w:rPr>
          <w:spacing w:val="-5"/>
        </w:rPr>
        <w:t> </w:t>
      </w:r>
      <w:r>
        <w:rPr/>
        <w:t>6,600,000.00</w:t>
      </w:r>
      <w:r>
        <w:rPr>
          <w:spacing w:val="-4"/>
        </w:rPr>
        <w:t> </w:t>
      </w:r>
      <w:r>
        <w:rPr/>
        <w:t>miles</w:t>
      </w:r>
      <w:r>
        <w:rPr>
          <w:spacing w:val="-6"/>
        </w:rPr>
        <w:t> </w:t>
      </w:r>
      <w:r>
        <w:rPr/>
        <w:t>para</w:t>
      </w:r>
      <w:r>
        <w:rPr>
          <w:spacing w:val="-2"/>
        </w:rPr>
        <w:t> </w:t>
      </w:r>
      <w:r>
        <w:rPr/>
        <w:t>el</w:t>
      </w:r>
      <w:r>
        <w:rPr>
          <w:spacing w:val="-2"/>
        </w:rPr>
        <w:t> </w:t>
      </w:r>
      <w:r>
        <w:rPr/>
        <w:t>beneficio</w:t>
      </w:r>
      <w:r>
        <w:rPr>
          <w:spacing w:val="-2"/>
        </w:rPr>
        <w:t> </w:t>
      </w:r>
      <w:r>
        <w:rPr/>
        <w:t>de</w:t>
      </w:r>
      <w:r>
        <w:rPr>
          <w:spacing w:val="-6"/>
        </w:rPr>
        <w:t> </w:t>
      </w:r>
      <w:r>
        <w:rPr/>
        <w:t>Avancemos</w:t>
      </w:r>
      <w:r>
        <w:rPr>
          <w:spacing w:val="-1"/>
        </w:rPr>
        <w:t> </w:t>
      </w:r>
      <w:r>
        <w:rPr/>
        <w:t>y</w:t>
      </w:r>
      <w:r>
        <w:rPr>
          <w:spacing w:val="-6"/>
        </w:rPr>
        <w:t> </w:t>
      </w:r>
      <w:r>
        <w:rPr/>
        <w:t>un</w:t>
      </w:r>
      <w:r>
        <w:rPr>
          <w:spacing w:val="-5"/>
        </w:rPr>
        <w:t> </w:t>
      </w:r>
      <w:r>
        <w:rPr/>
        <w:t>monto</w:t>
      </w:r>
      <w:r>
        <w:rPr>
          <w:spacing w:val="-2"/>
        </w:rPr>
        <w:t> </w:t>
      </w:r>
      <w:r>
        <w:rPr/>
        <w:t>de</w:t>
      </w:r>
      <w:r>
        <w:rPr>
          <w:spacing w:val="-4"/>
        </w:rPr>
        <w:t> </w:t>
      </w:r>
      <w:r>
        <w:rPr/>
        <w:t>¢</w:t>
      </w:r>
      <w:r>
        <w:rPr>
          <w:spacing w:val="-5"/>
        </w:rPr>
        <w:t> </w:t>
      </w:r>
      <w:r>
        <w:rPr/>
        <w:t>7,860,000.00</w:t>
      </w:r>
      <w:r>
        <w:rPr>
          <w:spacing w:val="-4"/>
        </w:rPr>
        <w:t> </w:t>
      </w:r>
      <w:r>
        <w:rPr/>
        <w:t>miles</w:t>
      </w:r>
      <w:r>
        <w:rPr>
          <w:spacing w:val="-1"/>
        </w:rPr>
        <w:t> </w:t>
      </w:r>
      <w:r>
        <w:rPr/>
        <w:t>para atender el beneficio Red de Cuido.</w:t>
      </w:r>
    </w:p>
    <w:p>
      <w:pPr>
        <w:pStyle w:val="BodyText"/>
        <w:spacing w:before="1"/>
      </w:pPr>
    </w:p>
    <w:p>
      <w:pPr>
        <w:pStyle w:val="BodyText"/>
        <w:ind w:left="730" w:right="928"/>
        <w:jc w:val="both"/>
      </w:pPr>
      <w:r>
        <w:rPr/>
        <w:t>En relación con</w:t>
      </w:r>
      <w:r>
        <w:rPr>
          <w:spacing w:val="-2"/>
        </w:rPr>
        <w:t> </w:t>
      </w:r>
      <w:r>
        <w:rPr/>
        <w:t>la</w:t>
      </w:r>
      <w:r>
        <w:rPr>
          <w:spacing w:val="-1"/>
        </w:rPr>
        <w:t> </w:t>
      </w:r>
      <w:r>
        <w:rPr/>
        <w:t>aplicación de</w:t>
      </w:r>
      <w:r>
        <w:rPr>
          <w:spacing w:val="-2"/>
        </w:rPr>
        <w:t> </w:t>
      </w:r>
      <w:r>
        <w:rPr/>
        <w:t>los</w:t>
      </w:r>
      <w:r>
        <w:rPr>
          <w:spacing w:val="-1"/>
        </w:rPr>
        <w:t> </w:t>
      </w:r>
      <w:r>
        <w:rPr/>
        <w:t>recursos la</w:t>
      </w:r>
      <w:r>
        <w:rPr>
          <w:spacing w:val="-1"/>
        </w:rPr>
        <w:t> </w:t>
      </w:r>
      <w:r>
        <w:rPr/>
        <w:t>distribución quedó de</w:t>
      </w:r>
      <w:r>
        <w:rPr>
          <w:spacing w:val="-2"/>
        </w:rPr>
        <w:t> </w:t>
      </w:r>
      <w:r>
        <w:rPr/>
        <w:t>la</w:t>
      </w:r>
      <w:r>
        <w:rPr>
          <w:spacing w:val="-1"/>
        </w:rPr>
        <w:t> </w:t>
      </w:r>
      <w:r>
        <w:rPr/>
        <w:t>siguiente</w:t>
      </w:r>
      <w:r>
        <w:rPr>
          <w:spacing w:val="-2"/>
        </w:rPr>
        <w:t> </w:t>
      </w:r>
      <w:r>
        <w:rPr/>
        <w:t>forma:</w:t>
      </w:r>
      <w:r>
        <w:rPr>
          <w:spacing w:val="-1"/>
        </w:rPr>
        <w:t> </w:t>
      </w:r>
      <w:r>
        <w:rPr/>
        <w:t>los recursos Propios se destinaron a la Inversión Social, propiamente en los beneficios de atención a familias por la suma de ¢ 4,879,058.90 miles, en el beneficio Avancemos la suma de ¢ 2,620,099.65 miles.</w:t>
      </w:r>
    </w:p>
    <w:p>
      <w:pPr>
        <w:pStyle w:val="BodyText"/>
      </w:pPr>
    </w:p>
    <w:p>
      <w:pPr>
        <w:pStyle w:val="BodyText"/>
        <w:ind w:left="730" w:right="860"/>
      </w:pPr>
      <w:r>
        <w:rPr/>
        <w:t>Con</w:t>
      </w:r>
      <w:r>
        <w:rPr>
          <w:spacing w:val="-4"/>
        </w:rPr>
        <w:t> </w:t>
      </w:r>
      <w:r>
        <w:rPr/>
        <w:t>respecto</w:t>
      </w:r>
      <w:r>
        <w:rPr>
          <w:spacing w:val="-4"/>
        </w:rPr>
        <w:t> </w:t>
      </w:r>
      <w:r>
        <w:rPr/>
        <w:t>a</w:t>
      </w:r>
      <w:r>
        <w:rPr>
          <w:spacing w:val="-5"/>
        </w:rPr>
        <w:t> </w:t>
      </w:r>
      <w:r>
        <w:rPr/>
        <w:t>los</w:t>
      </w:r>
      <w:r>
        <w:rPr>
          <w:spacing w:val="-4"/>
        </w:rPr>
        <w:t> </w:t>
      </w:r>
      <w:r>
        <w:rPr/>
        <w:t>recursos</w:t>
      </w:r>
      <w:r>
        <w:rPr>
          <w:spacing w:val="-6"/>
        </w:rPr>
        <w:t> </w:t>
      </w:r>
      <w:r>
        <w:rPr/>
        <w:t>de</w:t>
      </w:r>
      <w:r>
        <w:rPr>
          <w:spacing w:val="-6"/>
        </w:rPr>
        <w:t> </w:t>
      </w:r>
      <w:r>
        <w:rPr/>
        <w:t>FODESAF</w:t>
      </w:r>
      <w:r>
        <w:rPr>
          <w:spacing w:val="-7"/>
        </w:rPr>
        <w:t> </w:t>
      </w:r>
      <w:r>
        <w:rPr/>
        <w:t>se</w:t>
      </w:r>
      <w:r>
        <w:rPr>
          <w:spacing w:val="-6"/>
        </w:rPr>
        <w:t> </w:t>
      </w:r>
      <w:r>
        <w:rPr/>
        <w:t>asignaron</w:t>
      </w:r>
      <w:r>
        <w:rPr>
          <w:spacing w:val="-7"/>
        </w:rPr>
        <w:t> </w:t>
      </w:r>
      <w:r>
        <w:rPr/>
        <w:t>los</w:t>
      </w:r>
      <w:r>
        <w:rPr>
          <w:spacing w:val="-4"/>
        </w:rPr>
        <w:t> </w:t>
      </w:r>
      <w:r>
        <w:rPr/>
        <w:t>recursos</w:t>
      </w:r>
      <w:r>
        <w:rPr>
          <w:spacing w:val="-4"/>
        </w:rPr>
        <w:t> </w:t>
      </w:r>
      <w:r>
        <w:rPr/>
        <w:t>antes</w:t>
      </w:r>
      <w:r>
        <w:rPr>
          <w:spacing w:val="-4"/>
        </w:rPr>
        <w:t> </w:t>
      </w:r>
      <w:r>
        <w:rPr/>
        <w:t>mencionados</w:t>
      </w:r>
      <w:r>
        <w:rPr>
          <w:spacing w:val="-4"/>
        </w:rPr>
        <w:t> </w:t>
      </w:r>
      <w:r>
        <w:rPr/>
        <w:t>para</w:t>
      </w:r>
      <w:r>
        <w:rPr>
          <w:spacing w:val="-5"/>
        </w:rPr>
        <w:t> </w:t>
      </w:r>
      <w:r>
        <w:rPr/>
        <w:t>Avance-mos y Red de</w:t>
      </w:r>
      <w:r>
        <w:rPr>
          <w:spacing w:val="-1"/>
        </w:rPr>
        <w:t> </w:t>
      </w:r>
      <w:r>
        <w:rPr/>
        <w:t>Cuido y producto del superávit se destinó la suma de</w:t>
      </w:r>
      <w:r>
        <w:rPr>
          <w:spacing w:val="-1"/>
        </w:rPr>
        <w:t> </w:t>
      </w:r>
      <w:r>
        <w:rPr/>
        <w:t>¢ 203,800.61 miles para el bene-ficio</w:t>
      </w:r>
      <w:r>
        <w:rPr>
          <w:spacing w:val="22"/>
        </w:rPr>
        <w:t> </w:t>
      </w:r>
      <w:r>
        <w:rPr/>
        <w:t>de</w:t>
      </w:r>
      <w:r>
        <w:rPr>
          <w:spacing w:val="20"/>
        </w:rPr>
        <w:t> </w:t>
      </w:r>
      <w:r>
        <w:rPr/>
        <w:t>Avancemos</w:t>
      </w:r>
      <w:r>
        <w:rPr>
          <w:spacing w:val="23"/>
        </w:rPr>
        <w:t> </w:t>
      </w:r>
      <w:r>
        <w:rPr/>
        <w:t>y</w:t>
      </w:r>
      <w:r>
        <w:rPr>
          <w:spacing w:val="20"/>
        </w:rPr>
        <w:t> </w:t>
      </w:r>
      <w:r>
        <w:rPr/>
        <w:t>un</w:t>
      </w:r>
      <w:r>
        <w:rPr>
          <w:spacing w:val="19"/>
        </w:rPr>
        <w:t> </w:t>
      </w:r>
      <w:r>
        <w:rPr/>
        <w:t>monto</w:t>
      </w:r>
      <w:r>
        <w:rPr>
          <w:spacing w:val="23"/>
        </w:rPr>
        <w:t> </w:t>
      </w:r>
      <w:r>
        <w:rPr/>
        <w:t>de</w:t>
      </w:r>
      <w:r>
        <w:rPr>
          <w:spacing w:val="20"/>
        </w:rPr>
        <w:t> </w:t>
      </w:r>
      <w:r>
        <w:rPr/>
        <w:t>¢</w:t>
      </w:r>
      <w:r>
        <w:rPr>
          <w:spacing w:val="21"/>
        </w:rPr>
        <w:t> </w:t>
      </w:r>
      <w:r>
        <w:rPr/>
        <w:t>82,958.63</w:t>
      </w:r>
      <w:r>
        <w:rPr>
          <w:spacing w:val="20"/>
        </w:rPr>
        <w:t> </w:t>
      </w:r>
      <w:r>
        <w:rPr/>
        <w:t>miles</w:t>
      </w:r>
      <w:r>
        <w:rPr>
          <w:spacing w:val="23"/>
        </w:rPr>
        <w:t> </w:t>
      </w:r>
      <w:r>
        <w:rPr/>
        <w:t>para</w:t>
      </w:r>
      <w:r>
        <w:rPr>
          <w:spacing w:val="21"/>
        </w:rPr>
        <w:t> </w:t>
      </w:r>
      <w:r>
        <w:rPr/>
        <w:t>la</w:t>
      </w:r>
      <w:r>
        <w:rPr>
          <w:spacing w:val="20"/>
        </w:rPr>
        <w:t> </w:t>
      </w:r>
      <w:r>
        <w:rPr/>
        <w:t>Red</w:t>
      </w:r>
      <w:r>
        <w:rPr>
          <w:spacing w:val="21"/>
        </w:rPr>
        <w:t> </w:t>
      </w:r>
      <w:r>
        <w:rPr/>
        <w:t>de</w:t>
      </w:r>
      <w:r>
        <w:rPr>
          <w:spacing w:val="25"/>
        </w:rPr>
        <w:t> </w:t>
      </w:r>
      <w:r>
        <w:rPr/>
        <w:t>Cuido.</w:t>
      </w:r>
      <w:r>
        <w:rPr>
          <w:spacing w:val="21"/>
        </w:rPr>
        <w:t> </w:t>
      </w:r>
      <w:r>
        <w:rPr/>
        <w:t>Importante</w:t>
      </w:r>
      <w:r>
        <w:rPr>
          <w:spacing w:val="22"/>
        </w:rPr>
        <w:t> </w:t>
      </w:r>
      <w:r>
        <w:rPr/>
        <w:t>hay</w:t>
      </w:r>
      <w:r>
        <w:rPr>
          <w:spacing w:val="20"/>
        </w:rPr>
        <w:t> </w:t>
      </w:r>
      <w:r>
        <w:rPr/>
        <w:t>que indicar que se aplicó una devolución por concepto de superávit por la suma de ¢2,928,630.73 miles. Sobre</w:t>
      </w:r>
      <w:r>
        <w:rPr>
          <w:spacing w:val="26"/>
        </w:rPr>
        <w:t> </w:t>
      </w:r>
      <w:r>
        <w:rPr/>
        <w:t>el</w:t>
      </w:r>
      <w:r>
        <w:rPr>
          <w:spacing w:val="27"/>
        </w:rPr>
        <w:t> </w:t>
      </w:r>
      <w:r>
        <w:rPr/>
        <w:t>superávit</w:t>
      </w:r>
      <w:r>
        <w:rPr>
          <w:spacing w:val="28"/>
        </w:rPr>
        <w:t> </w:t>
      </w:r>
      <w:r>
        <w:rPr/>
        <w:t>de</w:t>
      </w:r>
      <w:r>
        <w:rPr>
          <w:spacing w:val="25"/>
        </w:rPr>
        <w:t> </w:t>
      </w:r>
      <w:r>
        <w:rPr/>
        <w:t>Gobierno</w:t>
      </w:r>
      <w:r>
        <w:rPr>
          <w:spacing w:val="28"/>
        </w:rPr>
        <w:t> </w:t>
      </w:r>
      <w:r>
        <w:rPr/>
        <w:t>Central</w:t>
      </w:r>
      <w:r>
        <w:rPr>
          <w:spacing w:val="26"/>
        </w:rPr>
        <w:t> </w:t>
      </w:r>
      <w:r>
        <w:rPr/>
        <w:t>se</w:t>
      </w:r>
      <w:r>
        <w:rPr>
          <w:spacing w:val="26"/>
        </w:rPr>
        <w:t> </w:t>
      </w:r>
      <w:r>
        <w:rPr/>
        <w:t>destinó</w:t>
      </w:r>
      <w:r>
        <w:rPr>
          <w:spacing w:val="28"/>
        </w:rPr>
        <w:t> </w:t>
      </w:r>
      <w:r>
        <w:rPr/>
        <w:t>al</w:t>
      </w:r>
      <w:r>
        <w:rPr>
          <w:spacing w:val="29"/>
        </w:rPr>
        <w:t> </w:t>
      </w:r>
      <w:r>
        <w:rPr/>
        <w:t>gasto</w:t>
      </w:r>
      <w:r>
        <w:rPr>
          <w:spacing w:val="28"/>
        </w:rPr>
        <w:t> </w:t>
      </w:r>
      <w:r>
        <w:rPr/>
        <w:t>administrativo</w:t>
      </w:r>
      <w:r>
        <w:rPr>
          <w:spacing w:val="28"/>
        </w:rPr>
        <w:t> </w:t>
      </w:r>
      <w:r>
        <w:rPr/>
        <w:t>operativo</w:t>
      </w:r>
      <w:r>
        <w:rPr>
          <w:spacing w:val="28"/>
        </w:rPr>
        <w:t> </w:t>
      </w:r>
      <w:r>
        <w:rPr/>
        <w:t>la</w:t>
      </w:r>
      <w:r>
        <w:rPr>
          <w:spacing w:val="26"/>
        </w:rPr>
        <w:t> </w:t>
      </w:r>
      <w:r>
        <w:rPr/>
        <w:t>suma</w:t>
      </w:r>
      <w:r>
        <w:rPr>
          <w:spacing w:val="27"/>
        </w:rPr>
        <w:t> </w:t>
      </w:r>
      <w:r>
        <w:rPr/>
        <w:t>de</w:t>
      </w:r>
      <w:r>
        <w:rPr>
          <w:spacing w:val="25"/>
        </w:rPr>
        <w:t> </w:t>
      </w:r>
      <w:r>
        <w:rPr/>
        <w:t>¢ 261.288,53 miles en la partida de remuneraciones, un monto de ¢ 409.969,61 miles asignados al be-neficio</w:t>
      </w:r>
      <w:r>
        <w:rPr>
          <w:spacing w:val="-6"/>
        </w:rPr>
        <w:t> </w:t>
      </w:r>
      <w:r>
        <w:rPr/>
        <w:t>de</w:t>
      </w:r>
      <w:r>
        <w:rPr>
          <w:spacing w:val="-8"/>
        </w:rPr>
        <w:t> </w:t>
      </w:r>
      <w:r>
        <w:rPr/>
        <w:t>Avancemos,</w:t>
      </w:r>
      <w:r>
        <w:rPr>
          <w:spacing w:val="-6"/>
        </w:rPr>
        <w:t> </w:t>
      </w:r>
      <w:r>
        <w:rPr/>
        <w:t>además,</w:t>
      </w:r>
      <w:r>
        <w:rPr>
          <w:spacing w:val="-6"/>
        </w:rPr>
        <w:t> </w:t>
      </w:r>
      <w:r>
        <w:rPr/>
        <w:t>en</w:t>
      </w:r>
      <w:r>
        <w:rPr>
          <w:spacing w:val="-6"/>
        </w:rPr>
        <w:t> </w:t>
      </w:r>
      <w:r>
        <w:rPr/>
        <w:t>trasferencias</w:t>
      </w:r>
      <w:r>
        <w:rPr>
          <w:spacing w:val="-5"/>
        </w:rPr>
        <w:t> </w:t>
      </w:r>
      <w:r>
        <w:rPr/>
        <w:t>de</w:t>
      </w:r>
      <w:r>
        <w:rPr>
          <w:spacing w:val="-8"/>
        </w:rPr>
        <w:t> </w:t>
      </w:r>
      <w:r>
        <w:rPr/>
        <w:t>capital</w:t>
      </w:r>
      <w:r>
        <w:rPr>
          <w:spacing w:val="-7"/>
        </w:rPr>
        <w:t> </w:t>
      </w:r>
      <w:r>
        <w:rPr/>
        <w:t>se</w:t>
      </w:r>
      <w:r>
        <w:rPr>
          <w:spacing w:val="-7"/>
        </w:rPr>
        <w:t> </w:t>
      </w:r>
      <w:r>
        <w:rPr/>
        <w:t>incorporó</w:t>
      </w:r>
      <w:r>
        <w:rPr>
          <w:spacing w:val="-5"/>
        </w:rPr>
        <w:t> </w:t>
      </w:r>
      <w:r>
        <w:rPr/>
        <w:t>un</w:t>
      </w:r>
      <w:r>
        <w:rPr>
          <w:spacing w:val="-8"/>
        </w:rPr>
        <w:t> </w:t>
      </w:r>
      <w:r>
        <w:rPr/>
        <w:t>monto</w:t>
      </w:r>
      <w:r>
        <w:rPr>
          <w:spacing w:val="-7"/>
        </w:rPr>
        <w:t> </w:t>
      </w:r>
      <w:r>
        <w:rPr/>
        <w:t>de</w:t>
      </w:r>
      <w:r>
        <w:rPr>
          <w:spacing w:val="-8"/>
        </w:rPr>
        <w:t> </w:t>
      </w:r>
      <w:r>
        <w:rPr/>
        <w:t>¢</w:t>
      </w:r>
      <w:r>
        <w:rPr>
          <w:spacing w:val="-7"/>
        </w:rPr>
        <w:t> </w:t>
      </w:r>
      <w:r>
        <w:rPr/>
        <w:t>6.389,17</w:t>
      </w:r>
      <w:r>
        <w:rPr>
          <w:spacing w:val="-7"/>
        </w:rPr>
        <w:t> </w:t>
      </w:r>
      <w:r>
        <w:rPr/>
        <w:t>miles para atender el beneficio de Emergencias.</w:t>
      </w:r>
    </w:p>
    <w:p>
      <w:pPr>
        <w:pStyle w:val="BodyText"/>
      </w:pPr>
    </w:p>
    <w:p>
      <w:pPr>
        <w:pStyle w:val="BodyText"/>
        <w:ind w:left="730" w:right="926"/>
        <w:jc w:val="both"/>
      </w:pPr>
      <w:r>
        <w:rPr/>
        <w:t>En el</w:t>
      </w:r>
      <w:r>
        <w:rPr>
          <w:spacing w:val="-1"/>
        </w:rPr>
        <w:t> </w:t>
      </w:r>
      <w:r>
        <w:rPr/>
        <w:t>caso</w:t>
      </w:r>
      <w:r>
        <w:rPr>
          <w:spacing w:val="-2"/>
        </w:rPr>
        <w:t> </w:t>
      </w:r>
      <w:r>
        <w:rPr/>
        <w:t>del</w:t>
      </w:r>
      <w:r>
        <w:rPr>
          <w:spacing w:val="-1"/>
        </w:rPr>
        <w:t> </w:t>
      </w:r>
      <w:r>
        <w:rPr/>
        <w:t>Programa</w:t>
      </w:r>
      <w:r>
        <w:rPr>
          <w:spacing w:val="-1"/>
        </w:rPr>
        <w:t> </w:t>
      </w:r>
      <w:r>
        <w:rPr/>
        <w:t>Empresas</w:t>
      </w:r>
      <w:r>
        <w:rPr>
          <w:spacing w:val="-1"/>
        </w:rPr>
        <w:t> </w:t>
      </w:r>
      <w:r>
        <w:rPr/>
        <w:t>Comerciales el</w:t>
      </w:r>
      <w:r>
        <w:rPr>
          <w:spacing w:val="-1"/>
        </w:rPr>
        <w:t> </w:t>
      </w:r>
      <w:r>
        <w:rPr/>
        <w:t>superávit en su</w:t>
      </w:r>
      <w:r>
        <w:rPr>
          <w:spacing w:val="-3"/>
        </w:rPr>
        <w:t> </w:t>
      </w:r>
      <w:r>
        <w:rPr/>
        <w:t>totalidad</w:t>
      </w:r>
      <w:r>
        <w:rPr>
          <w:spacing w:val="-1"/>
        </w:rPr>
        <w:t> </w:t>
      </w:r>
      <w:r>
        <w:rPr/>
        <w:t>se</w:t>
      </w:r>
      <w:r>
        <w:rPr>
          <w:spacing w:val="-1"/>
        </w:rPr>
        <w:t> </w:t>
      </w:r>
      <w:r>
        <w:rPr/>
        <w:t>destinó a</w:t>
      </w:r>
      <w:r>
        <w:rPr>
          <w:spacing w:val="-1"/>
        </w:rPr>
        <w:t> </w:t>
      </w:r>
      <w:r>
        <w:rPr/>
        <w:t>la</w:t>
      </w:r>
      <w:r>
        <w:rPr>
          <w:spacing w:val="-4"/>
        </w:rPr>
        <w:t> </w:t>
      </w:r>
      <w:r>
        <w:rPr/>
        <w:t>subpartida de Producto Terminado.</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1552">
                <wp:simplePos x="0" y="0"/>
                <wp:positionH relativeFrom="page">
                  <wp:posOffset>9525</wp:posOffset>
                </wp:positionH>
                <wp:positionV relativeFrom="page">
                  <wp:posOffset>297208</wp:posOffset>
                </wp:positionV>
                <wp:extent cx="7762875" cy="9748520"/>
                <wp:effectExtent l="0" t="0" r="0" b="0"/>
                <wp:wrapNone/>
                <wp:docPr id="1116" name="Group 1116"/>
                <wp:cNvGraphicFramePr>
                  <a:graphicFrameLocks/>
                </wp:cNvGraphicFramePr>
                <a:graphic>
                  <a:graphicData uri="http://schemas.microsoft.com/office/word/2010/wordprocessingGroup">
                    <wpg:wgp>
                      <wpg:cNvPr id="1116" name="Group 1116"/>
                      <wpg:cNvGrpSpPr/>
                      <wpg:grpSpPr>
                        <a:xfrm>
                          <a:off x="0" y="0"/>
                          <a:ext cx="7762875" cy="9748520"/>
                          <a:chExt cx="7762875" cy="9748520"/>
                        </a:xfrm>
                      </wpg:grpSpPr>
                      <pic:pic>
                        <pic:nvPicPr>
                          <pic:cNvPr id="1117" name="Image 1117"/>
                          <pic:cNvPicPr/>
                        </pic:nvPicPr>
                        <pic:blipFill>
                          <a:blip r:embed="rId5" cstate="print"/>
                          <a:stretch>
                            <a:fillRect/>
                          </a:stretch>
                        </pic:blipFill>
                        <pic:spPr>
                          <a:xfrm>
                            <a:off x="0" y="0"/>
                            <a:ext cx="7762874" cy="9748489"/>
                          </a:xfrm>
                          <a:prstGeom prst="rect">
                            <a:avLst/>
                          </a:prstGeom>
                        </pic:spPr>
                      </pic:pic>
                      <wps:wsp>
                        <wps:cNvPr id="1118" name="Graphic 111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4928" id="docshapegroup1063" coordorigin="15,468" coordsize="12225,15352">
                <v:shape style="position:absolute;left:15;top:468;width:12225;height:15352" type="#_x0000_t75" id="docshape1064" stroked="false">
                  <v:imagedata r:id="rId5" o:title=""/>
                </v:shape>
                <v:rect style="position:absolute;left:1673;top:2028;width:8897;height:15" id="docshape106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217</w:t>
      </w:r>
    </w:p>
    <w:p>
      <w:pPr>
        <w:pStyle w:val="BodyText"/>
      </w:pPr>
    </w:p>
    <w:p>
      <w:pPr>
        <w:pStyle w:val="BodyText"/>
        <w:spacing w:before="148"/>
      </w:pPr>
    </w:p>
    <w:p>
      <w:pPr>
        <w:pStyle w:val="BodyText"/>
        <w:tabs>
          <w:tab w:pos="1341" w:val="left" w:leader="none"/>
        </w:tabs>
        <w:ind w:left="981"/>
      </w:pPr>
      <w:r>
        <w:rPr>
          <w:spacing w:val="-5"/>
        </w:rPr>
        <w:t>f.</w:t>
      </w:r>
      <w:r>
        <w:rPr/>
        <w:tab/>
      </w:r>
      <w:r>
        <w:rPr>
          <w:u w:val="single"/>
        </w:rPr>
        <w:t>Liquidación</w:t>
      </w:r>
      <w:r>
        <w:rPr>
          <w:spacing w:val="-9"/>
          <w:u w:val="single"/>
        </w:rPr>
        <w:t> </w:t>
      </w:r>
      <w:r>
        <w:rPr>
          <w:spacing w:val="-2"/>
          <w:u w:val="single"/>
        </w:rPr>
        <w:t>Presupuestaria</w:t>
      </w:r>
    </w:p>
    <w:p>
      <w:pPr>
        <w:pStyle w:val="BodyText"/>
        <w:spacing w:before="5"/>
        <w:rPr>
          <w:sz w:val="13"/>
        </w:rPr>
      </w:pPr>
      <w:r>
        <w:rPr>
          <w:sz w:val="13"/>
        </w:rPr>
        <mc:AlternateContent>
          <mc:Choice Requires="wps">
            <w:drawing>
              <wp:anchor distT="0" distB="0" distL="0" distR="0" allowOverlap="1" layoutInCell="1" locked="0" behindDoc="1" simplePos="0" relativeHeight="487813632">
                <wp:simplePos x="0" y="0"/>
                <wp:positionH relativeFrom="page">
                  <wp:posOffset>1086916</wp:posOffset>
                </wp:positionH>
                <wp:positionV relativeFrom="paragraph">
                  <wp:posOffset>119292</wp:posOffset>
                </wp:positionV>
                <wp:extent cx="5715000" cy="3961765"/>
                <wp:effectExtent l="0" t="0" r="0" b="0"/>
                <wp:wrapTopAndBottom/>
                <wp:docPr id="1119" name="Textbox 1119"/>
                <wp:cNvGraphicFramePr>
                  <a:graphicFrameLocks/>
                </wp:cNvGraphicFramePr>
                <a:graphic>
                  <a:graphicData uri="http://schemas.microsoft.com/office/word/2010/wordprocessingShape">
                    <wps:wsp>
                      <wps:cNvPr id="1119" name="Textbox 1119"/>
                      <wps:cNvSpPr txBox="1"/>
                      <wps:spPr>
                        <a:xfrm>
                          <a:off x="0" y="0"/>
                          <a:ext cx="5715000" cy="3961765"/>
                        </a:xfrm>
                        <a:prstGeom prst="rect">
                          <a:avLst/>
                        </a:prstGeom>
                        <a:ln w="12191">
                          <a:solidFill>
                            <a:srgbClr val="000000"/>
                          </a:solidFill>
                          <a:prstDash val="solid"/>
                        </a:ln>
                      </wps:spPr>
                      <wps:txbx>
                        <w:txbxContent>
                          <w:p>
                            <w:pPr>
                              <w:spacing w:before="3"/>
                              <w:ind w:left="98" w:right="0" w:firstLine="0"/>
                              <w:jc w:val="left"/>
                              <w:rPr>
                                <w:sz w:val="22"/>
                              </w:rPr>
                            </w:pPr>
                            <w:r>
                              <w:rPr>
                                <w:b/>
                                <w:spacing w:val="-2"/>
                                <w:sz w:val="22"/>
                                <w:u w:val="single"/>
                              </w:rPr>
                              <w:t>Revelación</w:t>
                            </w:r>
                            <w:r>
                              <w:rPr>
                                <w:spacing w:val="-2"/>
                                <w:sz w:val="22"/>
                                <w:u w:val="none"/>
                              </w:rPr>
                              <w:t>:</w:t>
                            </w:r>
                          </w:p>
                          <w:p>
                            <w:pPr>
                              <w:pStyle w:val="BodyText"/>
                              <w:spacing w:line="259" w:lineRule="auto" w:before="178"/>
                              <w:ind w:left="98" w:right="97" w:firstLine="55"/>
                              <w:jc w:val="both"/>
                            </w:pPr>
                            <w:r>
                              <w:rPr/>
                              <w:t>Como se indicó anteriormente el tema de la rendición de cuentas sobre la ejecución presupuesta se realiza en dos partes, la primera mediante un documento denominado Informe de Evaluación Presupuestaria</w:t>
                            </w:r>
                            <w:r>
                              <w:rPr>
                                <w:spacing w:val="-14"/>
                              </w:rPr>
                              <w:t> </w:t>
                            </w:r>
                            <w:r>
                              <w:rPr/>
                              <w:t>dirigido</w:t>
                            </w:r>
                            <w:r>
                              <w:rPr>
                                <w:spacing w:val="-14"/>
                              </w:rPr>
                              <w:t> </w:t>
                            </w:r>
                            <w:r>
                              <w:rPr/>
                              <w:t>a</w:t>
                            </w:r>
                            <w:r>
                              <w:rPr>
                                <w:spacing w:val="-14"/>
                              </w:rPr>
                              <w:t> </w:t>
                            </w:r>
                            <w:r>
                              <w:rPr/>
                              <w:t>la</w:t>
                            </w:r>
                            <w:r>
                              <w:rPr>
                                <w:spacing w:val="-13"/>
                              </w:rPr>
                              <w:t> </w:t>
                            </w:r>
                            <w:r>
                              <w:rPr/>
                              <w:t>Contraloría</w:t>
                            </w:r>
                            <w:r>
                              <w:rPr>
                                <w:spacing w:val="-14"/>
                              </w:rPr>
                              <w:t> </w:t>
                            </w:r>
                            <w:r>
                              <w:rPr/>
                              <w:t>General</w:t>
                            </w:r>
                            <w:r>
                              <w:rPr>
                                <w:spacing w:val="-14"/>
                              </w:rPr>
                              <w:t> </w:t>
                            </w:r>
                            <w:r>
                              <w:rPr/>
                              <w:t>de</w:t>
                            </w:r>
                            <w:r>
                              <w:rPr>
                                <w:spacing w:val="-14"/>
                              </w:rPr>
                              <w:t> </w:t>
                            </w:r>
                            <w:r>
                              <w:rPr/>
                              <w:t>la</w:t>
                            </w:r>
                            <w:r>
                              <w:rPr>
                                <w:spacing w:val="-13"/>
                              </w:rPr>
                              <w:t> </w:t>
                            </w:r>
                            <w:r>
                              <w:rPr/>
                              <w:t>República</w:t>
                            </w:r>
                            <w:r>
                              <w:rPr>
                                <w:spacing w:val="-14"/>
                              </w:rPr>
                              <w:t> </w:t>
                            </w:r>
                            <w:r>
                              <w:rPr/>
                              <w:t>y</w:t>
                            </w:r>
                            <w:r>
                              <w:rPr>
                                <w:spacing w:val="-14"/>
                              </w:rPr>
                              <w:t> </w:t>
                            </w:r>
                            <w:r>
                              <w:rPr/>
                              <w:t>la</w:t>
                            </w:r>
                            <w:r>
                              <w:rPr>
                                <w:spacing w:val="-14"/>
                              </w:rPr>
                              <w:t> </w:t>
                            </w:r>
                            <w:r>
                              <w:rPr/>
                              <w:t>Secretaria</w:t>
                            </w:r>
                            <w:r>
                              <w:rPr>
                                <w:spacing w:val="-13"/>
                              </w:rPr>
                              <w:t> </w:t>
                            </w:r>
                            <w:r>
                              <w:rPr/>
                              <w:t>Técnica</w:t>
                            </w:r>
                            <w:r>
                              <w:rPr>
                                <w:spacing w:val="-14"/>
                              </w:rPr>
                              <w:t> </w:t>
                            </w:r>
                            <w:r>
                              <w:rPr/>
                              <w:t>de</w:t>
                            </w:r>
                            <w:r>
                              <w:rPr>
                                <w:spacing w:val="-14"/>
                              </w:rPr>
                              <w:t> </w:t>
                            </w:r>
                            <w:r>
                              <w:rPr/>
                              <w:t>la</w:t>
                            </w:r>
                            <w:r>
                              <w:rPr>
                                <w:spacing w:val="-14"/>
                              </w:rPr>
                              <w:t> </w:t>
                            </w:r>
                            <w:r>
                              <w:rPr/>
                              <w:t>Autoridad Presupuestaria,</w:t>
                            </w:r>
                            <w:r>
                              <w:rPr>
                                <w:spacing w:val="-7"/>
                              </w:rPr>
                              <w:t> </w:t>
                            </w:r>
                            <w:r>
                              <w:rPr/>
                              <w:t>mediante</w:t>
                            </w:r>
                            <w:r>
                              <w:rPr>
                                <w:spacing w:val="-6"/>
                              </w:rPr>
                              <w:t> </w:t>
                            </w:r>
                            <w:r>
                              <w:rPr/>
                              <w:t>el</w:t>
                            </w:r>
                            <w:r>
                              <w:rPr>
                                <w:spacing w:val="-8"/>
                              </w:rPr>
                              <w:t> </w:t>
                            </w:r>
                            <w:r>
                              <w:rPr/>
                              <w:t>que</w:t>
                            </w:r>
                            <w:r>
                              <w:rPr>
                                <w:spacing w:val="-6"/>
                              </w:rPr>
                              <w:t> </w:t>
                            </w:r>
                            <w:r>
                              <w:rPr/>
                              <w:t>se</w:t>
                            </w:r>
                            <w:r>
                              <w:rPr>
                                <w:spacing w:val="-4"/>
                              </w:rPr>
                              <w:t> </w:t>
                            </w:r>
                            <w:r>
                              <w:rPr/>
                              <w:t>abarcan</w:t>
                            </w:r>
                            <w:r>
                              <w:rPr>
                                <w:spacing w:val="-4"/>
                              </w:rPr>
                              <w:t> </w:t>
                            </w:r>
                            <w:r>
                              <w:rPr/>
                              <w:t>una</w:t>
                            </w:r>
                            <w:r>
                              <w:rPr>
                                <w:spacing w:val="-8"/>
                              </w:rPr>
                              <w:t> </w:t>
                            </w:r>
                            <w:r>
                              <w:rPr/>
                              <w:t>serie</w:t>
                            </w:r>
                            <w:r>
                              <w:rPr>
                                <w:spacing w:val="-6"/>
                              </w:rPr>
                              <w:t> </w:t>
                            </w:r>
                            <w:r>
                              <w:rPr/>
                              <w:t>de</w:t>
                            </w:r>
                            <w:r>
                              <w:rPr>
                                <w:spacing w:val="-7"/>
                              </w:rPr>
                              <w:t> </w:t>
                            </w:r>
                            <w:r>
                              <w:rPr/>
                              <w:t>aspectos</w:t>
                            </w:r>
                            <w:r>
                              <w:rPr>
                                <w:spacing w:val="-6"/>
                              </w:rPr>
                              <w:t> </w:t>
                            </w:r>
                            <w:r>
                              <w:rPr/>
                              <w:t>que</w:t>
                            </w:r>
                            <w:r>
                              <w:rPr>
                                <w:spacing w:val="-6"/>
                              </w:rPr>
                              <w:t> </w:t>
                            </w:r>
                            <w:r>
                              <w:rPr/>
                              <w:t>están</w:t>
                            </w:r>
                            <w:r>
                              <w:rPr>
                                <w:spacing w:val="-5"/>
                              </w:rPr>
                              <w:t> </w:t>
                            </w:r>
                            <w:r>
                              <w:rPr/>
                              <w:t>debidamente</w:t>
                            </w:r>
                            <w:r>
                              <w:rPr>
                                <w:spacing w:val="-4"/>
                              </w:rPr>
                              <w:t> </w:t>
                            </w:r>
                            <w:r>
                              <w:rPr/>
                              <w:t>definidos</w:t>
                            </w:r>
                            <w:r>
                              <w:rPr>
                                <w:spacing w:val="-6"/>
                              </w:rPr>
                              <w:t> </w:t>
                            </w:r>
                            <w:r>
                              <w:rPr/>
                              <w:t>en las Normas Técnicas sobre Presupuesto Público, este documento debe ser conocido y aprobado en primera</w:t>
                            </w:r>
                            <w:r>
                              <w:rPr>
                                <w:spacing w:val="-7"/>
                              </w:rPr>
                              <w:t> </w:t>
                            </w:r>
                            <w:r>
                              <w:rPr/>
                              <w:t>instancia</w:t>
                            </w:r>
                            <w:r>
                              <w:rPr>
                                <w:spacing w:val="-7"/>
                              </w:rPr>
                              <w:t> </w:t>
                            </w:r>
                            <w:r>
                              <w:rPr/>
                              <w:t>por</w:t>
                            </w:r>
                            <w:r>
                              <w:rPr>
                                <w:spacing w:val="-6"/>
                              </w:rPr>
                              <w:t> </w:t>
                            </w:r>
                            <w:r>
                              <w:rPr/>
                              <w:t>el</w:t>
                            </w:r>
                            <w:r>
                              <w:rPr>
                                <w:spacing w:val="-7"/>
                              </w:rPr>
                              <w:t> </w:t>
                            </w:r>
                            <w:r>
                              <w:rPr/>
                              <w:t>Consejo</w:t>
                            </w:r>
                            <w:r>
                              <w:rPr>
                                <w:spacing w:val="-5"/>
                              </w:rPr>
                              <w:t> </w:t>
                            </w:r>
                            <w:r>
                              <w:rPr/>
                              <w:t>Directivo</w:t>
                            </w:r>
                            <w:r>
                              <w:rPr>
                                <w:spacing w:val="-5"/>
                              </w:rPr>
                              <w:t> </w:t>
                            </w:r>
                            <w:r>
                              <w:rPr/>
                              <w:t>de</w:t>
                            </w:r>
                            <w:r>
                              <w:rPr>
                                <w:spacing w:val="-6"/>
                              </w:rPr>
                              <w:t> </w:t>
                            </w:r>
                            <w:r>
                              <w:rPr/>
                              <w:t>la</w:t>
                            </w:r>
                            <w:r>
                              <w:rPr>
                                <w:spacing w:val="-7"/>
                              </w:rPr>
                              <w:t> </w:t>
                            </w:r>
                            <w:r>
                              <w:rPr/>
                              <w:t>institución</w:t>
                            </w:r>
                            <w:r>
                              <w:rPr>
                                <w:spacing w:val="-6"/>
                              </w:rPr>
                              <w:t> </w:t>
                            </w:r>
                            <w:r>
                              <w:rPr/>
                              <w:t>y</w:t>
                            </w:r>
                            <w:r>
                              <w:rPr>
                                <w:spacing w:val="-7"/>
                              </w:rPr>
                              <w:t> </w:t>
                            </w:r>
                            <w:r>
                              <w:rPr/>
                              <w:t>presentado</w:t>
                            </w:r>
                            <w:r>
                              <w:rPr>
                                <w:spacing w:val="-5"/>
                              </w:rPr>
                              <w:t> </w:t>
                            </w:r>
                            <w:r>
                              <w:rPr/>
                              <w:t>a</w:t>
                            </w:r>
                            <w:r>
                              <w:rPr>
                                <w:spacing w:val="-7"/>
                              </w:rPr>
                              <w:t> </w:t>
                            </w:r>
                            <w:r>
                              <w:rPr/>
                              <w:t>entes</w:t>
                            </w:r>
                            <w:r>
                              <w:rPr>
                                <w:spacing w:val="-8"/>
                              </w:rPr>
                              <w:t> </w:t>
                            </w:r>
                            <w:r>
                              <w:rPr/>
                              <w:t>externos</w:t>
                            </w:r>
                            <w:r>
                              <w:rPr>
                                <w:spacing w:val="-5"/>
                              </w:rPr>
                              <w:t> </w:t>
                            </w:r>
                            <w:r>
                              <w:rPr/>
                              <w:t>a</w:t>
                            </w:r>
                            <w:r>
                              <w:rPr>
                                <w:spacing w:val="-7"/>
                              </w:rPr>
                              <w:t> </w:t>
                            </w:r>
                            <w:r>
                              <w:rPr/>
                              <w:t>más</w:t>
                            </w:r>
                            <w:r>
                              <w:rPr>
                                <w:spacing w:val="-5"/>
                              </w:rPr>
                              <w:t> </w:t>
                            </w:r>
                            <w:r>
                              <w:rPr/>
                              <w:t>tardar el 31 de enero del año siguiente al periodo de evaluación.</w:t>
                            </w:r>
                          </w:p>
                          <w:p>
                            <w:pPr>
                              <w:pStyle w:val="BodyText"/>
                              <w:spacing w:line="259" w:lineRule="auto" w:before="161"/>
                              <w:ind w:left="98" w:right="93"/>
                              <w:jc w:val="both"/>
                            </w:pPr>
                            <w:r>
                              <w:rPr/>
                              <w:t>Este documento fue aprobado por el Consejo Directivo mediante Acuerdo N° 13-01-2026 de fecha 26</w:t>
                            </w:r>
                            <w:r>
                              <w:rPr>
                                <w:spacing w:val="-6"/>
                              </w:rPr>
                              <w:t> </w:t>
                            </w:r>
                            <w:r>
                              <w:rPr/>
                              <w:t>de</w:t>
                            </w:r>
                            <w:r>
                              <w:rPr>
                                <w:spacing w:val="-7"/>
                              </w:rPr>
                              <w:t> </w:t>
                            </w:r>
                            <w:r>
                              <w:rPr/>
                              <w:t>enero</w:t>
                            </w:r>
                            <w:r>
                              <w:rPr>
                                <w:spacing w:val="-6"/>
                              </w:rPr>
                              <w:t> </w:t>
                            </w:r>
                            <w:r>
                              <w:rPr/>
                              <w:t>de</w:t>
                            </w:r>
                            <w:r>
                              <w:rPr>
                                <w:spacing w:val="-6"/>
                              </w:rPr>
                              <w:t> </w:t>
                            </w:r>
                            <w:r>
                              <w:rPr/>
                              <w:t>2026</w:t>
                            </w:r>
                            <w:r>
                              <w:rPr>
                                <w:spacing w:val="-6"/>
                              </w:rPr>
                              <w:t> </w:t>
                            </w:r>
                            <w:r>
                              <w:rPr/>
                              <w:t>y</w:t>
                            </w:r>
                            <w:r>
                              <w:rPr>
                                <w:spacing w:val="-6"/>
                              </w:rPr>
                              <w:t> </w:t>
                            </w:r>
                            <w:r>
                              <w:rPr/>
                              <w:t>remitido</w:t>
                            </w:r>
                            <w:r>
                              <w:rPr>
                                <w:spacing w:val="-4"/>
                              </w:rPr>
                              <w:t> </w:t>
                            </w:r>
                            <w:r>
                              <w:rPr/>
                              <w:t>a</w:t>
                            </w:r>
                            <w:r>
                              <w:rPr>
                                <w:spacing w:val="-8"/>
                              </w:rPr>
                              <w:t> </w:t>
                            </w:r>
                            <w:r>
                              <w:rPr/>
                              <w:t>entes</w:t>
                            </w:r>
                            <w:r>
                              <w:rPr>
                                <w:spacing w:val="-6"/>
                              </w:rPr>
                              <w:t> </w:t>
                            </w:r>
                            <w:r>
                              <w:rPr/>
                              <w:t>externos</w:t>
                            </w:r>
                            <w:r>
                              <w:rPr>
                                <w:spacing w:val="-6"/>
                              </w:rPr>
                              <w:t> </w:t>
                            </w:r>
                            <w:r>
                              <w:rPr/>
                              <w:t>mediante</w:t>
                            </w:r>
                            <w:r>
                              <w:rPr>
                                <w:spacing w:val="-6"/>
                              </w:rPr>
                              <w:t> </w:t>
                            </w:r>
                            <w:r>
                              <w:rPr/>
                              <w:t>oficios</w:t>
                            </w:r>
                            <w:r>
                              <w:rPr>
                                <w:spacing w:val="-4"/>
                              </w:rPr>
                              <w:t> </w:t>
                            </w:r>
                            <w:r>
                              <w:rPr/>
                              <w:t>IMAS-GG-0156-2026</w:t>
                            </w:r>
                            <w:r>
                              <w:rPr>
                                <w:spacing w:val="-6"/>
                              </w:rPr>
                              <w:t> </w:t>
                            </w:r>
                            <w:r>
                              <w:rPr/>
                              <w:t>e</w:t>
                            </w:r>
                            <w:r>
                              <w:rPr>
                                <w:spacing w:val="-4"/>
                              </w:rPr>
                              <w:t> </w:t>
                            </w:r>
                            <w:r>
                              <w:rPr/>
                              <w:t>IMAS-GG-0158-2026 a la Contraloría General de la República y Secretaría Técnica de la Autoridad Presupuestaria, respectivamente.</w:t>
                            </w:r>
                          </w:p>
                          <w:p>
                            <w:pPr>
                              <w:pStyle w:val="BodyText"/>
                              <w:spacing w:line="259" w:lineRule="auto" w:before="159"/>
                              <w:ind w:left="98" w:right="97"/>
                              <w:jc w:val="both"/>
                            </w:pPr>
                            <w:r>
                              <w:rPr/>
                              <w:t>Un segundo documento denominado Informe de Resultados y Liquidación Presupuestaria, que de igual forma están definidos los aspectos a abarcar en las normas citadas, aprobado por el órgano superior</w:t>
                            </w:r>
                            <w:r>
                              <w:rPr>
                                <w:spacing w:val="-5"/>
                              </w:rPr>
                              <w:t> </w:t>
                            </w:r>
                            <w:r>
                              <w:rPr/>
                              <w:t>de</w:t>
                            </w:r>
                            <w:r>
                              <w:rPr>
                                <w:spacing w:val="-6"/>
                              </w:rPr>
                              <w:t> </w:t>
                            </w:r>
                            <w:r>
                              <w:rPr/>
                              <w:t>la</w:t>
                            </w:r>
                            <w:r>
                              <w:rPr>
                                <w:spacing w:val="-6"/>
                              </w:rPr>
                              <w:t> </w:t>
                            </w:r>
                            <w:r>
                              <w:rPr/>
                              <w:t>institución</w:t>
                            </w:r>
                            <w:r>
                              <w:rPr>
                                <w:spacing w:val="-7"/>
                              </w:rPr>
                              <w:t> </w:t>
                            </w:r>
                            <w:r>
                              <w:rPr/>
                              <w:t>y</w:t>
                            </w:r>
                            <w:r>
                              <w:rPr>
                                <w:spacing w:val="-6"/>
                              </w:rPr>
                              <w:t> </w:t>
                            </w:r>
                            <w:r>
                              <w:rPr/>
                              <w:t>debe</w:t>
                            </w:r>
                            <w:r>
                              <w:rPr>
                                <w:spacing w:val="-8"/>
                              </w:rPr>
                              <w:t> </w:t>
                            </w:r>
                            <w:r>
                              <w:rPr/>
                              <w:t>ser</w:t>
                            </w:r>
                            <w:r>
                              <w:rPr>
                                <w:spacing w:val="-7"/>
                              </w:rPr>
                              <w:t> </w:t>
                            </w:r>
                            <w:r>
                              <w:rPr/>
                              <w:t>presentado</w:t>
                            </w:r>
                            <w:r>
                              <w:rPr>
                                <w:spacing w:val="-4"/>
                              </w:rPr>
                              <w:t> </w:t>
                            </w:r>
                            <w:r>
                              <w:rPr/>
                              <w:t>a</w:t>
                            </w:r>
                            <w:r>
                              <w:rPr>
                                <w:spacing w:val="-10"/>
                              </w:rPr>
                              <w:t> </w:t>
                            </w:r>
                            <w:r>
                              <w:rPr/>
                              <w:t>entes</w:t>
                            </w:r>
                            <w:r>
                              <w:rPr>
                                <w:spacing w:val="-8"/>
                              </w:rPr>
                              <w:t> </w:t>
                            </w:r>
                            <w:r>
                              <w:rPr/>
                              <w:t>externos</w:t>
                            </w:r>
                            <w:r>
                              <w:rPr>
                                <w:spacing w:val="-4"/>
                              </w:rPr>
                              <w:t> </w:t>
                            </w:r>
                            <w:r>
                              <w:rPr/>
                              <w:t>a</w:t>
                            </w:r>
                            <w:r>
                              <w:rPr>
                                <w:spacing w:val="-6"/>
                              </w:rPr>
                              <w:t> </w:t>
                            </w:r>
                            <w:r>
                              <w:rPr/>
                              <w:t>más</w:t>
                            </w:r>
                            <w:r>
                              <w:rPr>
                                <w:spacing w:val="-4"/>
                              </w:rPr>
                              <w:t> </w:t>
                            </w:r>
                            <w:r>
                              <w:rPr/>
                              <w:t>16</w:t>
                            </w:r>
                            <w:r>
                              <w:rPr>
                                <w:spacing w:val="-8"/>
                              </w:rPr>
                              <w:t> </w:t>
                            </w:r>
                            <w:r>
                              <w:rPr/>
                              <w:t>de</w:t>
                            </w:r>
                            <w:r>
                              <w:rPr>
                                <w:spacing w:val="-6"/>
                              </w:rPr>
                              <w:t> </w:t>
                            </w:r>
                            <w:r>
                              <w:rPr/>
                              <w:t>febrero</w:t>
                            </w:r>
                            <w:r>
                              <w:rPr>
                                <w:spacing w:val="-6"/>
                              </w:rPr>
                              <w:t> </w:t>
                            </w:r>
                            <w:r>
                              <w:rPr/>
                              <w:t>del</w:t>
                            </w:r>
                            <w:r>
                              <w:rPr>
                                <w:spacing w:val="-8"/>
                              </w:rPr>
                              <w:t> </w:t>
                            </w:r>
                            <w:r>
                              <w:rPr/>
                              <w:t>año</w:t>
                            </w:r>
                            <w:r>
                              <w:rPr>
                                <w:spacing w:val="-6"/>
                              </w:rPr>
                              <w:t> </w:t>
                            </w:r>
                            <w:r>
                              <w:rPr/>
                              <w:t>siguiente al periodo de liquidación.</w:t>
                            </w:r>
                          </w:p>
                          <w:p>
                            <w:pPr>
                              <w:pStyle w:val="BodyText"/>
                              <w:spacing w:line="259" w:lineRule="auto" w:before="159"/>
                              <w:ind w:left="98" w:right="93"/>
                              <w:jc w:val="both"/>
                            </w:pPr>
                            <w:r>
                              <w:rPr/>
                              <w:t>Este</w:t>
                            </w:r>
                            <w:r>
                              <w:rPr>
                                <w:spacing w:val="-1"/>
                              </w:rPr>
                              <w:t> </w:t>
                            </w:r>
                            <w:r>
                              <w:rPr/>
                              <w:t>documento</w:t>
                            </w:r>
                            <w:r>
                              <w:rPr>
                                <w:spacing w:val="-1"/>
                              </w:rPr>
                              <w:t> </w:t>
                            </w:r>
                            <w:r>
                              <w:rPr/>
                              <w:t>fue</w:t>
                            </w:r>
                            <w:r>
                              <w:rPr>
                                <w:spacing w:val="-2"/>
                              </w:rPr>
                              <w:t> </w:t>
                            </w:r>
                            <w:r>
                              <w:rPr/>
                              <w:t>aprobado</w:t>
                            </w:r>
                            <w:r>
                              <w:rPr>
                                <w:spacing w:val="-2"/>
                              </w:rPr>
                              <w:t> </w:t>
                            </w:r>
                            <w:r>
                              <w:rPr/>
                              <w:t>por</w:t>
                            </w:r>
                            <w:r>
                              <w:rPr>
                                <w:spacing w:val="-4"/>
                              </w:rPr>
                              <w:t> </w:t>
                            </w:r>
                            <w:r>
                              <w:rPr/>
                              <w:t>el</w:t>
                            </w:r>
                            <w:r>
                              <w:rPr>
                                <w:spacing w:val="-2"/>
                              </w:rPr>
                              <w:t> </w:t>
                            </w:r>
                            <w:r>
                              <w:rPr/>
                              <w:t>Consejo</w:t>
                            </w:r>
                            <w:r>
                              <w:rPr>
                                <w:spacing w:val="-2"/>
                              </w:rPr>
                              <w:t> </w:t>
                            </w:r>
                            <w:r>
                              <w:rPr/>
                              <w:t>Directivo</w:t>
                            </w:r>
                            <w:r>
                              <w:rPr>
                                <w:spacing w:val="-4"/>
                              </w:rPr>
                              <w:t> </w:t>
                            </w:r>
                            <w:r>
                              <w:rPr/>
                              <w:t>mediante</w:t>
                            </w:r>
                            <w:r>
                              <w:rPr>
                                <w:spacing w:val="-1"/>
                              </w:rPr>
                              <w:t> </w:t>
                            </w:r>
                            <w:r>
                              <w:rPr/>
                              <w:t>Acuerdo</w:t>
                            </w:r>
                            <w:r>
                              <w:rPr>
                                <w:spacing w:val="-2"/>
                              </w:rPr>
                              <w:t> </w:t>
                            </w:r>
                            <w:r>
                              <w:rPr/>
                              <w:t>N° 29-02-2026</w:t>
                            </w:r>
                            <w:r>
                              <w:rPr>
                                <w:spacing w:val="-4"/>
                              </w:rPr>
                              <w:t> </w:t>
                            </w:r>
                            <w:r>
                              <w:rPr/>
                              <w:t>de</w:t>
                            </w:r>
                            <w:r>
                              <w:rPr>
                                <w:spacing w:val="-2"/>
                              </w:rPr>
                              <w:t> </w:t>
                            </w:r>
                            <w:r>
                              <w:rPr/>
                              <w:t>fecha</w:t>
                            </w:r>
                            <w:r>
                              <w:rPr>
                                <w:spacing w:val="-3"/>
                              </w:rPr>
                              <w:t> </w:t>
                            </w:r>
                            <w:r>
                              <w:rPr/>
                              <w:t>6 de febrero de 2026 y remitido a entes externos mediante oficios IMAS-GG-0214-2026 e IMAS-GG-0216-2026 a la Contraloría General de la República y Secretaría Técnica de la Autoridad Presupuestaria, respectivamente.</w:t>
                            </w:r>
                          </w:p>
                        </w:txbxContent>
                      </wps:txbx>
                      <wps:bodyPr wrap="square" lIns="0" tIns="0" rIns="0" bIns="0" rtlCol="0">
                        <a:noAutofit/>
                      </wps:bodyPr>
                    </wps:wsp>
                  </a:graphicData>
                </a:graphic>
              </wp:anchor>
            </w:drawing>
          </mc:Choice>
          <mc:Fallback>
            <w:pict>
              <v:shape style="position:absolute;margin-left:85.584pt;margin-top:9.393130pt;width:450pt;height:311.95pt;mso-position-horizontal-relative:page;mso-position-vertical-relative:paragraph;z-index:-15502848;mso-wrap-distance-left:0;mso-wrap-distance-right:0" type="#_x0000_t202" id="docshape1066" filled="false" stroked="true" strokeweight=".95996pt" strokecolor="#000000">
                <v:textbox inset="0,0,0,0">
                  <w:txbxContent>
                    <w:p>
                      <w:pPr>
                        <w:spacing w:before="3"/>
                        <w:ind w:left="98" w:right="0" w:firstLine="0"/>
                        <w:jc w:val="left"/>
                        <w:rPr>
                          <w:sz w:val="22"/>
                        </w:rPr>
                      </w:pPr>
                      <w:r>
                        <w:rPr>
                          <w:b/>
                          <w:spacing w:val="-2"/>
                          <w:sz w:val="22"/>
                          <w:u w:val="single"/>
                        </w:rPr>
                        <w:t>Revelación</w:t>
                      </w:r>
                      <w:r>
                        <w:rPr>
                          <w:spacing w:val="-2"/>
                          <w:sz w:val="22"/>
                          <w:u w:val="none"/>
                        </w:rPr>
                        <w:t>:</w:t>
                      </w:r>
                    </w:p>
                    <w:p>
                      <w:pPr>
                        <w:pStyle w:val="BodyText"/>
                        <w:spacing w:line="259" w:lineRule="auto" w:before="178"/>
                        <w:ind w:left="98" w:right="97" w:firstLine="55"/>
                        <w:jc w:val="both"/>
                      </w:pPr>
                      <w:r>
                        <w:rPr/>
                        <w:t>Como se indicó anteriormente el tema de la rendición de cuentas sobre la ejecución presupuesta se realiza en dos partes, la primera mediante un documento denominado Informe de Evaluación Presupuestaria</w:t>
                      </w:r>
                      <w:r>
                        <w:rPr>
                          <w:spacing w:val="-14"/>
                        </w:rPr>
                        <w:t> </w:t>
                      </w:r>
                      <w:r>
                        <w:rPr/>
                        <w:t>dirigido</w:t>
                      </w:r>
                      <w:r>
                        <w:rPr>
                          <w:spacing w:val="-14"/>
                        </w:rPr>
                        <w:t> </w:t>
                      </w:r>
                      <w:r>
                        <w:rPr/>
                        <w:t>a</w:t>
                      </w:r>
                      <w:r>
                        <w:rPr>
                          <w:spacing w:val="-14"/>
                        </w:rPr>
                        <w:t> </w:t>
                      </w:r>
                      <w:r>
                        <w:rPr/>
                        <w:t>la</w:t>
                      </w:r>
                      <w:r>
                        <w:rPr>
                          <w:spacing w:val="-13"/>
                        </w:rPr>
                        <w:t> </w:t>
                      </w:r>
                      <w:r>
                        <w:rPr/>
                        <w:t>Contraloría</w:t>
                      </w:r>
                      <w:r>
                        <w:rPr>
                          <w:spacing w:val="-14"/>
                        </w:rPr>
                        <w:t> </w:t>
                      </w:r>
                      <w:r>
                        <w:rPr/>
                        <w:t>General</w:t>
                      </w:r>
                      <w:r>
                        <w:rPr>
                          <w:spacing w:val="-14"/>
                        </w:rPr>
                        <w:t> </w:t>
                      </w:r>
                      <w:r>
                        <w:rPr/>
                        <w:t>de</w:t>
                      </w:r>
                      <w:r>
                        <w:rPr>
                          <w:spacing w:val="-14"/>
                        </w:rPr>
                        <w:t> </w:t>
                      </w:r>
                      <w:r>
                        <w:rPr/>
                        <w:t>la</w:t>
                      </w:r>
                      <w:r>
                        <w:rPr>
                          <w:spacing w:val="-13"/>
                        </w:rPr>
                        <w:t> </w:t>
                      </w:r>
                      <w:r>
                        <w:rPr/>
                        <w:t>República</w:t>
                      </w:r>
                      <w:r>
                        <w:rPr>
                          <w:spacing w:val="-14"/>
                        </w:rPr>
                        <w:t> </w:t>
                      </w:r>
                      <w:r>
                        <w:rPr/>
                        <w:t>y</w:t>
                      </w:r>
                      <w:r>
                        <w:rPr>
                          <w:spacing w:val="-14"/>
                        </w:rPr>
                        <w:t> </w:t>
                      </w:r>
                      <w:r>
                        <w:rPr/>
                        <w:t>la</w:t>
                      </w:r>
                      <w:r>
                        <w:rPr>
                          <w:spacing w:val="-14"/>
                        </w:rPr>
                        <w:t> </w:t>
                      </w:r>
                      <w:r>
                        <w:rPr/>
                        <w:t>Secretaria</w:t>
                      </w:r>
                      <w:r>
                        <w:rPr>
                          <w:spacing w:val="-13"/>
                        </w:rPr>
                        <w:t> </w:t>
                      </w:r>
                      <w:r>
                        <w:rPr/>
                        <w:t>Técnica</w:t>
                      </w:r>
                      <w:r>
                        <w:rPr>
                          <w:spacing w:val="-14"/>
                        </w:rPr>
                        <w:t> </w:t>
                      </w:r>
                      <w:r>
                        <w:rPr/>
                        <w:t>de</w:t>
                      </w:r>
                      <w:r>
                        <w:rPr>
                          <w:spacing w:val="-14"/>
                        </w:rPr>
                        <w:t> </w:t>
                      </w:r>
                      <w:r>
                        <w:rPr/>
                        <w:t>la</w:t>
                      </w:r>
                      <w:r>
                        <w:rPr>
                          <w:spacing w:val="-14"/>
                        </w:rPr>
                        <w:t> </w:t>
                      </w:r>
                      <w:r>
                        <w:rPr/>
                        <w:t>Autoridad Presupuestaria,</w:t>
                      </w:r>
                      <w:r>
                        <w:rPr>
                          <w:spacing w:val="-7"/>
                        </w:rPr>
                        <w:t> </w:t>
                      </w:r>
                      <w:r>
                        <w:rPr/>
                        <w:t>mediante</w:t>
                      </w:r>
                      <w:r>
                        <w:rPr>
                          <w:spacing w:val="-6"/>
                        </w:rPr>
                        <w:t> </w:t>
                      </w:r>
                      <w:r>
                        <w:rPr/>
                        <w:t>el</w:t>
                      </w:r>
                      <w:r>
                        <w:rPr>
                          <w:spacing w:val="-8"/>
                        </w:rPr>
                        <w:t> </w:t>
                      </w:r>
                      <w:r>
                        <w:rPr/>
                        <w:t>que</w:t>
                      </w:r>
                      <w:r>
                        <w:rPr>
                          <w:spacing w:val="-6"/>
                        </w:rPr>
                        <w:t> </w:t>
                      </w:r>
                      <w:r>
                        <w:rPr/>
                        <w:t>se</w:t>
                      </w:r>
                      <w:r>
                        <w:rPr>
                          <w:spacing w:val="-4"/>
                        </w:rPr>
                        <w:t> </w:t>
                      </w:r>
                      <w:r>
                        <w:rPr/>
                        <w:t>abarcan</w:t>
                      </w:r>
                      <w:r>
                        <w:rPr>
                          <w:spacing w:val="-4"/>
                        </w:rPr>
                        <w:t> </w:t>
                      </w:r>
                      <w:r>
                        <w:rPr/>
                        <w:t>una</w:t>
                      </w:r>
                      <w:r>
                        <w:rPr>
                          <w:spacing w:val="-8"/>
                        </w:rPr>
                        <w:t> </w:t>
                      </w:r>
                      <w:r>
                        <w:rPr/>
                        <w:t>serie</w:t>
                      </w:r>
                      <w:r>
                        <w:rPr>
                          <w:spacing w:val="-6"/>
                        </w:rPr>
                        <w:t> </w:t>
                      </w:r>
                      <w:r>
                        <w:rPr/>
                        <w:t>de</w:t>
                      </w:r>
                      <w:r>
                        <w:rPr>
                          <w:spacing w:val="-7"/>
                        </w:rPr>
                        <w:t> </w:t>
                      </w:r>
                      <w:r>
                        <w:rPr/>
                        <w:t>aspectos</w:t>
                      </w:r>
                      <w:r>
                        <w:rPr>
                          <w:spacing w:val="-6"/>
                        </w:rPr>
                        <w:t> </w:t>
                      </w:r>
                      <w:r>
                        <w:rPr/>
                        <w:t>que</w:t>
                      </w:r>
                      <w:r>
                        <w:rPr>
                          <w:spacing w:val="-6"/>
                        </w:rPr>
                        <w:t> </w:t>
                      </w:r>
                      <w:r>
                        <w:rPr/>
                        <w:t>están</w:t>
                      </w:r>
                      <w:r>
                        <w:rPr>
                          <w:spacing w:val="-5"/>
                        </w:rPr>
                        <w:t> </w:t>
                      </w:r>
                      <w:r>
                        <w:rPr/>
                        <w:t>debidamente</w:t>
                      </w:r>
                      <w:r>
                        <w:rPr>
                          <w:spacing w:val="-4"/>
                        </w:rPr>
                        <w:t> </w:t>
                      </w:r>
                      <w:r>
                        <w:rPr/>
                        <w:t>definidos</w:t>
                      </w:r>
                      <w:r>
                        <w:rPr>
                          <w:spacing w:val="-6"/>
                        </w:rPr>
                        <w:t> </w:t>
                      </w:r>
                      <w:r>
                        <w:rPr/>
                        <w:t>en las Normas Técnicas sobre Presupuesto Público, este documento debe ser conocido y aprobado en primera</w:t>
                      </w:r>
                      <w:r>
                        <w:rPr>
                          <w:spacing w:val="-7"/>
                        </w:rPr>
                        <w:t> </w:t>
                      </w:r>
                      <w:r>
                        <w:rPr/>
                        <w:t>instancia</w:t>
                      </w:r>
                      <w:r>
                        <w:rPr>
                          <w:spacing w:val="-7"/>
                        </w:rPr>
                        <w:t> </w:t>
                      </w:r>
                      <w:r>
                        <w:rPr/>
                        <w:t>por</w:t>
                      </w:r>
                      <w:r>
                        <w:rPr>
                          <w:spacing w:val="-6"/>
                        </w:rPr>
                        <w:t> </w:t>
                      </w:r>
                      <w:r>
                        <w:rPr/>
                        <w:t>el</w:t>
                      </w:r>
                      <w:r>
                        <w:rPr>
                          <w:spacing w:val="-7"/>
                        </w:rPr>
                        <w:t> </w:t>
                      </w:r>
                      <w:r>
                        <w:rPr/>
                        <w:t>Consejo</w:t>
                      </w:r>
                      <w:r>
                        <w:rPr>
                          <w:spacing w:val="-5"/>
                        </w:rPr>
                        <w:t> </w:t>
                      </w:r>
                      <w:r>
                        <w:rPr/>
                        <w:t>Directivo</w:t>
                      </w:r>
                      <w:r>
                        <w:rPr>
                          <w:spacing w:val="-5"/>
                        </w:rPr>
                        <w:t> </w:t>
                      </w:r>
                      <w:r>
                        <w:rPr/>
                        <w:t>de</w:t>
                      </w:r>
                      <w:r>
                        <w:rPr>
                          <w:spacing w:val="-6"/>
                        </w:rPr>
                        <w:t> </w:t>
                      </w:r>
                      <w:r>
                        <w:rPr/>
                        <w:t>la</w:t>
                      </w:r>
                      <w:r>
                        <w:rPr>
                          <w:spacing w:val="-7"/>
                        </w:rPr>
                        <w:t> </w:t>
                      </w:r>
                      <w:r>
                        <w:rPr/>
                        <w:t>institución</w:t>
                      </w:r>
                      <w:r>
                        <w:rPr>
                          <w:spacing w:val="-6"/>
                        </w:rPr>
                        <w:t> </w:t>
                      </w:r>
                      <w:r>
                        <w:rPr/>
                        <w:t>y</w:t>
                      </w:r>
                      <w:r>
                        <w:rPr>
                          <w:spacing w:val="-7"/>
                        </w:rPr>
                        <w:t> </w:t>
                      </w:r>
                      <w:r>
                        <w:rPr/>
                        <w:t>presentado</w:t>
                      </w:r>
                      <w:r>
                        <w:rPr>
                          <w:spacing w:val="-5"/>
                        </w:rPr>
                        <w:t> </w:t>
                      </w:r>
                      <w:r>
                        <w:rPr/>
                        <w:t>a</w:t>
                      </w:r>
                      <w:r>
                        <w:rPr>
                          <w:spacing w:val="-7"/>
                        </w:rPr>
                        <w:t> </w:t>
                      </w:r>
                      <w:r>
                        <w:rPr/>
                        <w:t>entes</w:t>
                      </w:r>
                      <w:r>
                        <w:rPr>
                          <w:spacing w:val="-8"/>
                        </w:rPr>
                        <w:t> </w:t>
                      </w:r>
                      <w:r>
                        <w:rPr/>
                        <w:t>externos</w:t>
                      </w:r>
                      <w:r>
                        <w:rPr>
                          <w:spacing w:val="-5"/>
                        </w:rPr>
                        <w:t> </w:t>
                      </w:r>
                      <w:r>
                        <w:rPr/>
                        <w:t>a</w:t>
                      </w:r>
                      <w:r>
                        <w:rPr>
                          <w:spacing w:val="-7"/>
                        </w:rPr>
                        <w:t> </w:t>
                      </w:r>
                      <w:r>
                        <w:rPr/>
                        <w:t>más</w:t>
                      </w:r>
                      <w:r>
                        <w:rPr>
                          <w:spacing w:val="-5"/>
                        </w:rPr>
                        <w:t> </w:t>
                      </w:r>
                      <w:r>
                        <w:rPr/>
                        <w:t>tardar el 31 de enero del año siguiente al periodo de evaluación.</w:t>
                      </w:r>
                    </w:p>
                    <w:p>
                      <w:pPr>
                        <w:pStyle w:val="BodyText"/>
                        <w:spacing w:line="259" w:lineRule="auto" w:before="161"/>
                        <w:ind w:left="98" w:right="93"/>
                        <w:jc w:val="both"/>
                      </w:pPr>
                      <w:r>
                        <w:rPr/>
                        <w:t>Este documento fue aprobado por el Consejo Directivo mediante Acuerdo N° 13-01-2026 de fecha 26</w:t>
                      </w:r>
                      <w:r>
                        <w:rPr>
                          <w:spacing w:val="-6"/>
                        </w:rPr>
                        <w:t> </w:t>
                      </w:r>
                      <w:r>
                        <w:rPr/>
                        <w:t>de</w:t>
                      </w:r>
                      <w:r>
                        <w:rPr>
                          <w:spacing w:val="-7"/>
                        </w:rPr>
                        <w:t> </w:t>
                      </w:r>
                      <w:r>
                        <w:rPr/>
                        <w:t>enero</w:t>
                      </w:r>
                      <w:r>
                        <w:rPr>
                          <w:spacing w:val="-6"/>
                        </w:rPr>
                        <w:t> </w:t>
                      </w:r>
                      <w:r>
                        <w:rPr/>
                        <w:t>de</w:t>
                      </w:r>
                      <w:r>
                        <w:rPr>
                          <w:spacing w:val="-6"/>
                        </w:rPr>
                        <w:t> </w:t>
                      </w:r>
                      <w:r>
                        <w:rPr/>
                        <w:t>2026</w:t>
                      </w:r>
                      <w:r>
                        <w:rPr>
                          <w:spacing w:val="-6"/>
                        </w:rPr>
                        <w:t> </w:t>
                      </w:r>
                      <w:r>
                        <w:rPr/>
                        <w:t>y</w:t>
                      </w:r>
                      <w:r>
                        <w:rPr>
                          <w:spacing w:val="-6"/>
                        </w:rPr>
                        <w:t> </w:t>
                      </w:r>
                      <w:r>
                        <w:rPr/>
                        <w:t>remitido</w:t>
                      </w:r>
                      <w:r>
                        <w:rPr>
                          <w:spacing w:val="-4"/>
                        </w:rPr>
                        <w:t> </w:t>
                      </w:r>
                      <w:r>
                        <w:rPr/>
                        <w:t>a</w:t>
                      </w:r>
                      <w:r>
                        <w:rPr>
                          <w:spacing w:val="-8"/>
                        </w:rPr>
                        <w:t> </w:t>
                      </w:r>
                      <w:r>
                        <w:rPr/>
                        <w:t>entes</w:t>
                      </w:r>
                      <w:r>
                        <w:rPr>
                          <w:spacing w:val="-6"/>
                        </w:rPr>
                        <w:t> </w:t>
                      </w:r>
                      <w:r>
                        <w:rPr/>
                        <w:t>externos</w:t>
                      </w:r>
                      <w:r>
                        <w:rPr>
                          <w:spacing w:val="-6"/>
                        </w:rPr>
                        <w:t> </w:t>
                      </w:r>
                      <w:r>
                        <w:rPr/>
                        <w:t>mediante</w:t>
                      </w:r>
                      <w:r>
                        <w:rPr>
                          <w:spacing w:val="-6"/>
                        </w:rPr>
                        <w:t> </w:t>
                      </w:r>
                      <w:r>
                        <w:rPr/>
                        <w:t>oficios</w:t>
                      </w:r>
                      <w:r>
                        <w:rPr>
                          <w:spacing w:val="-4"/>
                        </w:rPr>
                        <w:t> </w:t>
                      </w:r>
                      <w:r>
                        <w:rPr/>
                        <w:t>IMAS-GG-0156-2026</w:t>
                      </w:r>
                      <w:r>
                        <w:rPr>
                          <w:spacing w:val="-6"/>
                        </w:rPr>
                        <w:t> </w:t>
                      </w:r>
                      <w:r>
                        <w:rPr/>
                        <w:t>e</w:t>
                      </w:r>
                      <w:r>
                        <w:rPr>
                          <w:spacing w:val="-4"/>
                        </w:rPr>
                        <w:t> </w:t>
                      </w:r>
                      <w:r>
                        <w:rPr/>
                        <w:t>IMAS-GG-0158-2026 a la Contraloría General de la República y Secretaría Técnica de la Autoridad Presupuestaria, respectivamente.</w:t>
                      </w:r>
                    </w:p>
                    <w:p>
                      <w:pPr>
                        <w:pStyle w:val="BodyText"/>
                        <w:spacing w:line="259" w:lineRule="auto" w:before="159"/>
                        <w:ind w:left="98" w:right="97"/>
                        <w:jc w:val="both"/>
                      </w:pPr>
                      <w:r>
                        <w:rPr/>
                        <w:t>Un segundo documento denominado Informe de Resultados y Liquidación Presupuestaria, que de igual forma están definidos los aspectos a abarcar en las normas citadas, aprobado por el órgano superior</w:t>
                      </w:r>
                      <w:r>
                        <w:rPr>
                          <w:spacing w:val="-5"/>
                        </w:rPr>
                        <w:t> </w:t>
                      </w:r>
                      <w:r>
                        <w:rPr/>
                        <w:t>de</w:t>
                      </w:r>
                      <w:r>
                        <w:rPr>
                          <w:spacing w:val="-6"/>
                        </w:rPr>
                        <w:t> </w:t>
                      </w:r>
                      <w:r>
                        <w:rPr/>
                        <w:t>la</w:t>
                      </w:r>
                      <w:r>
                        <w:rPr>
                          <w:spacing w:val="-6"/>
                        </w:rPr>
                        <w:t> </w:t>
                      </w:r>
                      <w:r>
                        <w:rPr/>
                        <w:t>institución</w:t>
                      </w:r>
                      <w:r>
                        <w:rPr>
                          <w:spacing w:val="-7"/>
                        </w:rPr>
                        <w:t> </w:t>
                      </w:r>
                      <w:r>
                        <w:rPr/>
                        <w:t>y</w:t>
                      </w:r>
                      <w:r>
                        <w:rPr>
                          <w:spacing w:val="-6"/>
                        </w:rPr>
                        <w:t> </w:t>
                      </w:r>
                      <w:r>
                        <w:rPr/>
                        <w:t>debe</w:t>
                      </w:r>
                      <w:r>
                        <w:rPr>
                          <w:spacing w:val="-8"/>
                        </w:rPr>
                        <w:t> </w:t>
                      </w:r>
                      <w:r>
                        <w:rPr/>
                        <w:t>ser</w:t>
                      </w:r>
                      <w:r>
                        <w:rPr>
                          <w:spacing w:val="-7"/>
                        </w:rPr>
                        <w:t> </w:t>
                      </w:r>
                      <w:r>
                        <w:rPr/>
                        <w:t>presentado</w:t>
                      </w:r>
                      <w:r>
                        <w:rPr>
                          <w:spacing w:val="-4"/>
                        </w:rPr>
                        <w:t> </w:t>
                      </w:r>
                      <w:r>
                        <w:rPr/>
                        <w:t>a</w:t>
                      </w:r>
                      <w:r>
                        <w:rPr>
                          <w:spacing w:val="-10"/>
                        </w:rPr>
                        <w:t> </w:t>
                      </w:r>
                      <w:r>
                        <w:rPr/>
                        <w:t>entes</w:t>
                      </w:r>
                      <w:r>
                        <w:rPr>
                          <w:spacing w:val="-8"/>
                        </w:rPr>
                        <w:t> </w:t>
                      </w:r>
                      <w:r>
                        <w:rPr/>
                        <w:t>externos</w:t>
                      </w:r>
                      <w:r>
                        <w:rPr>
                          <w:spacing w:val="-4"/>
                        </w:rPr>
                        <w:t> </w:t>
                      </w:r>
                      <w:r>
                        <w:rPr/>
                        <w:t>a</w:t>
                      </w:r>
                      <w:r>
                        <w:rPr>
                          <w:spacing w:val="-6"/>
                        </w:rPr>
                        <w:t> </w:t>
                      </w:r>
                      <w:r>
                        <w:rPr/>
                        <w:t>más</w:t>
                      </w:r>
                      <w:r>
                        <w:rPr>
                          <w:spacing w:val="-4"/>
                        </w:rPr>
                        <w:t> </w:t>
                      </w:r>
                      <w:r>
                        <w:rPr/>
                        <w:t>16</w:t>
                      </w:r>
                      <w:r>
                        <w:rPr>
                          <w:spacing w:val="-8"/>
                        </w:rPr>
                        <w:t> </w:t>
                      </w:r>
                      <w:r>
                        <w:rPr/>
                        <w:t>de</w:t>
                      </w:r>
                      <w:r>
                        <w:rPr>
                          <w:spacing w:val="-6"/>
                        </w:rPr>
                        <w:t> </w:t>
                      </w:r>
                      <w:r>
                        <w:rPr/>
                        <w:t>febrero</w:t>
                      </w:r>
                      <w:r>
                        <w:rPr>
                          <w:spacing w:val="-6"/>
                        </w:rPr>
                        <w:t> </w:t>
                      </w:r>
                      <w:r>
                        <w:rPr/>
                        <w:t>del</w:t>
                      </w:r>
                      <w:r>
                        <w:rPr>
                          <w:spacing w:val="-8"/>
                        </w:rPr>
                        <w:t> </w:t>
                      </w:r>
                      <w:r>
                        <w:rPr/>
                        <w:t>año</w:t>
                      </w:r>
                      <w:r>
                        <w:rPr>
                          <w:spacing w:val="-6"/>
                        </w:rPr>
                        <w:t> </w:t>
                      </w:r>
                      <w:r>
                        <w:rPr/>
                        <w:t>siguiente al periodo de liquidación.</w:t>
                      </w:r>
                    </w:p>
                    <w:p>
                      <w:pPr>
                        <w:pStyle w:val="BodyText"/>
                        <w:spacing w:line="259" w:lineRule="auto" w:before="159"/>
                        <w:ind w:left="98" w:right="93"/>
                        <w:jc w:val="both"/>
                      </w:pPr>
                      <w:r>
                        <w:rPr/>
                        <w:t>Este</w:t>
                      </w:r>
                      <w:r>
                        <w:rPr>
                          <w:spacing w:val="-1"/>
                        </w:rPr>
                        <w:t> </w:t>
                      </w:r>
                      <w:r>
                        <w:rPr/>
                        <w:t>documento</w:t>
                      </w:r>
                      <w:r>
                        <w:rPr>
                          <w:spacing w:val="-1"/>
                        </w:rPr>
                        <w:t> </w:t>
                      </w:r>
                      <w:r>
                        <w:rPr/>
                        <w:t>fue</w:t>
                      </w:r>
                      <w:r>
                        <w:rPr>
                          <w:spacing w:val="-2"/>
                        </w:rPr>
                        <w:t> </w:t>
                      </w:r>
                      <w:r>
                        <w:rPr/>
                        <w:t>aprobado</w:t>
                      </w:r>
                      <w:r>
                        <w:rPr>
                          <w:spacing w:val="-2"/>
                        </w:rPr>
                        <w:t> </w:t>
                      </w:r>
                      <w:r>
                        <w:rPr/>
                        <w:t>por</w:t>
                      </w:r>
                      <w:r>
                        <w:rPr>
                          <w:spacing w:val="-4"/>
                        </w:rPr>
                        <w:t> </w:t>
                      </w:r>
                      <w:r>
                        <w:rPr/>
                        <w:t>el</w:t>
                      </w:r>
                      <w:r>
                        <w:rPr>
                          <w:spacing w:val="-2"/>
                        </w:rPr>
                        <w:t> </w:t>
                      </w:r>
                      <w:r>
                        <w:rPr/>
                        <w:t>Consejo</w:t>
                      </w:r>
                      <w:r>
                        <w:rPr>
                          <w:spacing w:val="-2"/>
                        </w:rPr>
                        <w:t> </w:t>
                      </w:r>
                      <w:r>
                        <w:rPr/>
                        <w:t>Directivo</w:t>
                      </w:r>
                      <w:r>
                        <w:rPr>
                          <w:spacing w:val="-4"/>
                        </w:rPr>
                        <w:t> </w:t>
                      </w:r>
                      <w:r>
                        <w:rPr/>
                        <w:t>mediante</w:t>
                      </w:r>
                      <w:r>
                        <w:rPr>
                          <w:spacing w:val="-1"/>
                        </w:rPr>
                        <w:t> </w:t>
                      </w:r>
                      <w:r>
                        <w:rPr/>
                        <w:t>Acuerdo</w:t>
                      </w:r>
                      <w:r>
                        <w:rPr>
                          <w:spacing w:val="-2"/>
                        </w:rPr>
                        <w:t> </w:t>
                      </w:r>
                      <w:r>
                        <w:rPr/>
                        <w:t>N° 29-02-2026</w:t>
                      </w:r>
                      <w:r>
                        <w:rPr>
                          <w:spacing w:val="-4"/>
                        </w:rPr>
                        <w:t> </w:t>
                      </w:r>
                      <w:r>
                        <w:rPr/>
                        <w:t>de</w:t>
                      </w:r>
                      <w:r>
                        <w:rPr>
                          <w:spacing w:val="-2"/>
                        </w:rPr>
                        <w:t> </w:t>
                      </w:r>
                      <w:r>
                        <w:rPr/>
                        <w:t>fecha</w:t>
                      </w:r>
                      <w:r>
                        <w:rPr>
                          <w:spacing w:val="-3"/>
                        </w:rPr>
                        <w:t> </w:t>
                      </w:r>
                      <w:r>
                        <w:rPr/>
                        <w:t>6 de febrero de 2026 y remitido a entes externos mediante oficios IMAS-GG-0214-2026 e IMAS-GG-0216-2026 a la Contraloría General de la República y Secretaría Técnica de la Autoridad Presupuestaria, respectivamente.</w:t>
                      </w:r>
                    </w:p>
                  </w:txbxContent>
                </v:textbox>
                <v:stroke dashstyle="solid"/>
                <w10:wrap type="topAndBottom"/>
              </v:shape>
            </w:pict>
          </mc:Fallback>
        </mc:AlternateContent>
      </w:r>
    </w:p>
    <w:p>
      <w:pPr>
        <w:pStyle w:val="BodyText"/>
        <w:spacing w:before="188"/>
      </w:pPr>
    </w:p>
    <w:p>
      <w:pPr>
        <w:pStyle w:val="ListParagraph"/>
        <w:numPr>
          <w:ilvl w:val="1"/>
          <w:numId w:val="82"/>
        </w:numPr>
        <w:tabs>
          <w:tab w:pos="1341" w:val="left" w:leader="none"/>
        </w:tabs>
        <w:spacing w:line="240" w:lineRule="auto" w:before="0" w:after="0"/>
        <w:ind w:left="1341" w:right="0" w:hanging="360"/>
        <w:jc w:val="left"/>
        <w:rPr>
          <w:sz w:val="22"/>
        </w:rPr>
      </w:pPr>
      <w:r>
        <w:rPr>
          <w:sz w:val="22"/>
          <w:u w:val="single"/>
        </w:rPr>
        <w:t>Diferencias</w:t>
      </w:r>
      <w:r>
        <w:rPr>
          <w:spacing w:val="-8"/>
          <w:sz w:val="22"/>
          <w:u w:val="single"/>
        </w:rPr>
        <w:t> </w:t>
      </w:r>
      <w:r>
        <w:rPr>
          <w:sz w:val="22"/>
          <w:u w:val="single"/>
        </w:rPr>
        <w:t>entre</w:t>
      </w:r>
      <w:r>
        <w:rPr>
          <w:spacing w:val="-5"/>
          <w:sz w:val="22"/>
          <w:u w:val="single"/>
        </w:rPr>
        <w:t> </w:t>
      </w:r>
      <w:r>
        <w:rPr>
          <w:sz w:val="22"/>
          <w:u w:val="single"/>
        </w:rPr>
        <w:t>importes</w:t>
      </w:r>
      <w:r>
        <w:rPr>
          <w:spacing w:val="-5"/>
          <w:sz w:val="22"/>
          <w:u w:val="single"/>
        </w:rPr>
        <w:t> </w:t>
      </w:r>
      <w:r>
        <w:rPr>
          <w:sz w:val="22"/>
          <w:u w:val="single"/>
        </w:rPr>
        <w:t>realizados</w:t>
      </w:r>
      <w:r>
        <w:rPr>
          <w:spacing w:val="-5"/>
          <w:sz w:val="22"/>
          <w:u w:val="single"/>
        </w:rPr>
        <w:t> </w:t>
      </w:r>
      <w:r>
        <w:rPr>
          <w:sz w:val="22"/>
          <w:u w:val="single"/>
        </w:rPr>
        <w:t>y</w:t>
      </w:r>
      <w:r>
        <w:rPr>
          <w:spacing w:val="-7"/>
          <w:sz w:val="22"/>
          <w:u w:val="single"/>
        </w:rPr>
        <w:t> </w:t>
      </w:r>
      <w:r>
        <w:rPr>
          <w:sz w:val="22"/>
          <w:u w:val="single"/>
        </w:rPr>
        <w:t>presupuestados</w:t>
      </w:r>
      <w:r>
        <w:rPr>
          <w:spacing w:val="-5"/>
          <w:sz w:val="22"/>
          <w:u w:val="single"/>
        </w:rPr>
        <w:t> </w:t>
      </w:r>
      <w:r>
        <w:rPr>
          <w:sz w:val="22"/>
          <w:u w:val="single"/>
        </w:rPr>
        <w:t>(Párrafo</w:t>
      </w:r>
      <w:r>
        <w:rPr>
          <w:spacing w:val="-4"/>
          <w:sz w:val="22"/>
          <w:u w:val="single"/>
        </w:rPr>
        <w:t> </w:t>
      </w:r>
      <w:r>
        <w:rPr>
          <w:sz w:val="22"/>
          <w:u w:val="single"/>
        </w:rPr>
        <w:t>14-</w:t>
      </w:r>
      <w:r>
        <w:rPr>
          <w:spacing w:val="-5"/>
          <w:sz w:val="22"/>
          <w:u w:val="single"/>
        </w:rPr>
        <w:t>16)</w:t>
      </w:r>
    </w:p>
    <w:p>
      <w:pPr>
        <w:pStyle w:val="BodyText"/>
        <w:spacing w:before="34"/>
        <w:rPr>
          <w:sz w:val="20"/>
        </w:rPr>
      </w:pPr>
      <w:r>
        <w:rPr>
          <w:sz w:val="20"/>
        </w:rPr>
        <mc:AlternateContent>
          <mc:Choice Requires="wps">
            <w:drawing>
              <wp:anchor distT="0" distB="0" distL="0" distR="0" allowOverlap="1" layoutInCell="1" locked="0" behindDoc="1" simplePos="0" relativeHeight="487814144">
                <wp:simplePos x="0" y="0"/>
                <wp:positionH relativeFrom="page">
                  <wp:posOffset>1080820</wp:posOffset>
                </wp:positionH>
                <wp:positionV relativeFrom="paragraph">
                  <wp:posOffset>184864</wp:posOffset>
                </wp:positionV>
                <wp:extent cx="6012180" cy="1343025"/>
                <wp:effectExtent l="0" t="0" r="0" b="0"/>
                <wp:wrapTopAndBottom/>
                <wp:docPr id="1120" name="Textbox 1120"/>
                <wp:cNvGraphicFramePr>
                  <a:graphicFrameLocks/>
                </wp:cNvGraphicFramePr>
                <a:graphic>
                  <a:graphicData uri="http://schemas.microsoft.com/office/word/2010/wordprocessingShape">
                    <wps:wsp>
                      <wps:cNvPr id="1120" name="Textbox 1120"/>
                      <wps:cNvSpPr txBox="1"/>
                      <wps:spPr>
                        <a:xfrm>
                          <a:off x="0" y="0"/>
                          <a:ext cx="6012180" cy="1343025"/>
                        </a:xfrm>
                        <a:prstGeom prst="rect">
                          <a:avLst/>
                        </a:prstGeom>
                        <a:ln w="6096">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b/>
                                <w:sz w:val="22"/>
                              </w:rPr>
                            </w:pPr>
                            <w:r>
                              <w:rPr>
                                <w:b/>
                                <w:sz w:val="22"/>
                              </w:rPr>
                              <w:t>Diferencias</w:t>
                            </w:r>
                            <w:r>
                              <w:rPr>
                                <w:b/>
                                <w:spacing w:val="-4"/>
                                <w:sz w:val="22"/>
                              </w:rPr>
                              <w:t> </w:t>
                            </w:r>
                            <w:r>
                              <w:rPr>
                                <w:b/>
                                <w:sz w:val="22"/>
                              </w:rPr>
                              <w:t>en</w:t>
                            </w:r>
                            <w:r>
                              <w:rPr>
                                <w:b/>
                                <w:spacing w:val="-3"/>
                                <w:sz w:val="22"/>
                              </w:rPr>
                              <w:t> </w:t>
                            </w:r>
                            <w:r>
                              <w:rPr>
                                <w:b/>
                                <w:sz w:val="22"/>
                              </w:rPr>
                              <w:t>los</w:t>
                            </w:r>
                            <w:r>
                              <w:rPr>
                                <w:b/>
                                <w:spacing w:val="-3"/>
                                <w:sz w:val="22"/>
                              </w:rPr>
                              <w:t> </w:t>
                            </w:r>
                            <w:r>
                              <w:rPr>
                                <w:b/>
                                <w:spacing w:val="-2"/>
                                <w:sz w:val="22"/>
                              </w:rPr>
                              <w:t>Ingresos:</w:t>
                            </w:r>
                          </w:p>
                          <w:p>
                            <w:pPr>
                              <w:pStyle w:val="BodyText"/>
                              <w:spacing w:line="259" w:lineRule="auto" w:before="179"/>
                              <w:ind w:left="103" w:right="99"/>
                              <w:jc w:val="both"/>
                            </w:pPr>
                            <w:r>
                              <w:rPr/>
                              <w:t>En</w:t>
                            </w:r>
                            <w:r>
                              <w:rPr>
                                <w:spacing w:val="-7"/>
                              </w:rPr>
                              <w:t> </w:t>
                            </w:r>
                            <w:r>
                              <w:rPr/>
                              <w:t>el</w:t>
                            </w:r>
                            <w:r>
                              <w:rPr>
                                <w:spacing w:val="-8"/>
                              </w:rPr>
                              <w:t> </w:t>
                            </w:r>
                            <w:r>
                              <w:rPr/>
                              <w:t>ejercicio</w:t>
                            </w:r>
                            <w:r>
                              <w:rPr>
                                <w:spacing w:val="-7"/>
                              </w:rPr>
                              <w:t> </w:t>
                            </w:r>
                            <w:r>
                              <w:rPr/>
                              <w:t>económico</w:t>
                            </w:r>
                            <w:r>
                              <w:rPr>
                                <w:spacing w:val="-6"/>
                              </w:rPr>
                              <w:t> </w:t>
                            </w:r>
                            <w:r>
                              <w:rPr/>
                              <w:t>2026,</w:t>
                            </w:r>
                            <w:r>
                              <w:rPr>
                                <w:spacing w:val="-7"/>
                              </w:rPr>
                              <w:t> </w:t>
                            </w:r>
                            <w:r>
                              <w:rPr/>
                              <w:t>la</w:t>
                            </w:r>
                            <w:r>
                              <w:rPr>
                                <w:spacing w:val="-8"/>
                              </w:rPr>
                              <w:t> </w:t>
                            </w:r>
                            <w:r>
                              <w:rPr/>
                              <w:t>institución</w:t>
                            </w:r>
                            <w:r>
                              <w:rPr>
                                <w:spacing w:val="-7"/>
                              </w:rPr>
                              <w:t> </w:t>
                            </w:r>
                            <w:r>
                              <w:rPr/>
                              <w:t>presenta</w:t>
                            </w:r>
                            <w:r>
                              <w:rPr>
                                <w:spacing w:val="-12"/>
                              </w:rPr>
                              <w:t> </w:t>
                            </w:r>
                            <w:r>
                              <w:rPr/>
                              <w:t>un</w:t>
                            </w:r>
                            <w:r>
                              <w:rPr>
                                <w:spacing w:val="-7"/>
                              </w:rPr>
                              <w:t> </w:t>
                            </w:r>
                            <w:r>
                              <w:rPr/>
                              <w:t>Presupuesto</w:t>
                            </w:r>
                            <w:r>
                              <w:rPr>
                                <w:spacing w:val="-8"/>
                              </w:rPr>
                              <w:t> </w:t>
                            </w:r>
                            <w:r>
                              <w:rPr/>
                              <w:t>Ajustado</w:t>
                            </w:r>
                            <w:r>
                              <w:rPr>
                                <w:spacing w:val="-6"/>
                              </w:rPr>
                              <w:t> </w:t>
                            </w:r>
                            <w:r>
                              <w:rPr/>
                              <w:t>al</w:t>
                            </w:r>
                            <w:r>
                              <w:rPr>
                                <w:spacing w:val="-7"/>
                              </w:rPr>
                              <w:t> </w:t>
                            </w:r>
                            <w:r>
                              <w:rPr/>
                              <w:t>31</w:t>
                            </w:r>
                            <w:r>
                              <w:rPr>
                                <w:spacing w:val="-8"/>
                              </w:rPr>
                              <w:t> </w:t>
                            </w:r>
                            <w:r>
                              <w:rPr/>
                              <w:t>de</w:t>
                            </w:r>
                            <w:r>
                              <w:rPr>
                                <w:spacing w:val="-9"/>
                              </w:rPr>
                              <w:t> </w:t>
                            </w:r>
                            <w:r>
                              <w:rPr/>
                              <w:t>julio</w:t>
                            </w:r>
                            <w:r>
                              <w:rPr>
                                <w:spacing w:val="-7"/>
                              </w:rPr>
                              <w:t> </w:t>
                            </w:r>
                            <w:r>
                              <w:rPr/>
                              <w:t>del</w:t>
                            </w:r>
                            <w:r>
                              <w:rPr>
                                <w:spacing w:val="-8"/>
                              </w:rPr>
                              <w:t> </w:t>
                            </w:r>
                            <w:r>
                              <w:rPr/>
                              <w:t>2026</w:t>
                            </w:r>
                            <w:r>
                              <w:rPr>
                                <w:spacing w:val="-8"/>
                              </w:rPr>
                              <w:t> </w:t>
                            </w:r>
                            <w:r>
                              <w:rPr/>
                              <w:t>con un monto de ¢ 277.908.088,58 miles y los ingresos reales alcanzaron la suma de ¢ 161.676.280,88 miles, visualizándose</w:t>
                            </w:r>
                            <w:r>
                              <w:rPr>
                                <w:spacing w:val="-10"/>
                              </w:rPr>
                              <w:t> </w:t>
                            </w:r>
                            <w:r>
                              <w:rPr/>
                              <w:t>que</w:t>
                            </w:r>
                            <w:r>
                              <w:rPr>
                                <w:spacing w:val="-10"/>
                              </w:rPr>
                              <w:t> </w:t>
                            </w:r>
                            <w:r>
                              <w:rPr/>
                              <w:t>falta</w:t>
                            </w:r>
                            <w:r>
                              <w:rPr>
                                <w:spacing w:val="-7"/>
                              </w:rPr>
                              <w:t> </w:t>
                            </w:r>
                            <w:r>
                              <w:rPr/>
                              <w:t>por</w:t>
                            </w:r>
                            <w:r>
                              <w:rPr>
                                <w:spacing w:val="-11"/>
                              </w:rPr>
                              <w:t> </w:t>
                            </w:r>
                            <w:r>
                              <w:rPr/>
                              <w:t>ingresar</w:t>
                            </w:r>
                            <w:r>
                              <w:rPr>
                                <w:spacing w:val="-7"/>
                              </w:rPr>
                              <w:t> </w:t>
                            </w:r>
                            <w:r>
                              <w:rPr/>
                              <w:t>en</w:t>
                            </w:r>
                            <w:r>
                              <w:rPr>
                                <w:spacing w:val="-7"/>
                              </w:rPr>
                              <w:t> </w:t>
                            </w:r>
                            <w:r>
                              <w:rPr/>
                              <w:t>lo</w:t>
                            </w:r>
                            <w:r>
                              <w:rPr>
                                <w:spacing w:val="-9"/>
                              </w:rPr>
                              <w:t> </w:t>
                            </w:r>
                            <w:r>
                              <w:rPr/>
                              <w:t>que</w:t>
                            </w:r>
                            <w:r>
                              <w:rPr>
                                <w:spacing w:val="-8"/>
                              </w:rPr>
                              <w:t> </w:t>
                            </w:r>
                            <w:r>
                              <w:rPr/>
                              <w:t>resta</w:t>
                            </w:r>
                            <w:r>
                              <w:rPr>
                                <w:spacing w:val="-7"/>
                              </w:rPr>
                              <w:t> </w:t>
                            </w:r>
                            <w:r>
                              <w:rPr/>
                              <w:t>del</w:t>
                            </w:r>
                            <w:r>
                              <w:rPr>
                                <w:spacing w:val="-10"/>
                              </w:rPr>
                              <w:t> </w:t>
                            </w:r>
                            <w:r>
                              <w:rPr/>
                              <w:t>período</w:t>
                            </w:r>
                            <w:r>
                              <w:rPr>
                                <w:spacing w:val="-7"/>
                              </w:rPr>
                              <w:t> </w:t>
                            </w:r>
                            <w:r>
                              <w:rPr/>
                              <w:t>un</w:t>
                            </w:r>
                            <w:r>
                              <w:rPr>
                                <w:spacing w:val="-9"/>
                              </w:rPr>
                              <w:t> </w:t>
                            </w:r>
                            <w:r>
                              <w:rPr/>
                              <w:t>monto</w:t>
                            </w:r>
                            <w:r>
                              <w:rPr>
                                <w:spacing w:val="-6"/>
                              </w:rPr>
                              <w:t> </w:t>
                            </w:r>
                            <w:r>
                              <w:rPr/>
                              <w:t>por</w:t>
                            </w:r>
                            <w:r>
                              <w:rPr>
                                <w:spacing w:val="-7"/>
                              </w:rPr>
                              <w:t> </w:t>
                            </w:r>
                            <w:r>
                              <w:rPr/>
                              <w:t>la</w:t>
                            </w:r>
                            <w:r>
                              <w:rPr>
                                <w:spacing w:val="-10"/>
                              </w:rPr>
                              <w:t> </w:t>
                            </w:r>
                            <w:r>
                              <w:rPr/>
                              <w:t>suma</w:t>
                            </w:r>
                            <w:r>
                              <w:rPr>
                                <w:spacing w:val="-8"/>
                              </w:rPr>
                              <w:t> </w:t>
                            </w:r>
                            <w:r>
                              <w:rPr/>
                              <w:t>de</w:t>
                            </w:r>
                            <w:r>
                              <w:rPr>
                                <w:spacing w:val="-9"/>
                              </w:rPr>
                              <w:t> </w:t>
                            </w:r>
                            <w:r>
                              <w:rPr/>
                              <w:t>¢</w:t>
                            </w:r>
                            <w:r>
                              <w:rPr>
                                <w:spacing w:val="-4"/>
                              </w:rPr>
                              <w:t> </w:t>
                            </w:r>
                            <w:r>
                              <w:rPr/>
                              <w:t>116.231.807,70 miles según lo presupuestado, como se detalla a continuación según fuente de financiamiento:</w:t>
                            </w:r>
                          </w:p>
                        </w:txbxContent>
                      </wps:txbx>
                      <wps:bodyPr wrap="square" lIns="0" tIns="0" rIns="0" bIns="0" rtlCol="0">
                        <a:noAutofit/>
                      </wps:bodyPr>
                    </wps:wsp>
                  </a:graphicData>
                </a:graphic>
              </wp:anchor>
            </w:drawing>
          </mc:Choice>
          <mc:Fallback>
            <w:pict>
              <v:shape style="position:absolute;margin-left:85.103996pt;margin-top:14.55625pt;width:473.4pt;height:105.75pt;mso-position-horizontal-relative:page;mso-position-vertical-relative:paragraph;z-index:-15502336;mso-wrap-distance-left:0;mso-wrap-distance-right:0" type="#_x0000_t202" id="docshape1067" filled="false" stroked="true" strokeweight=".48004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spacing w:before="181"/>
                        <w:ind w:left="103" w:right="0" w:firstLine="0"/>
                        <w:jc w:val="left"/>
                        <w:rPr>
                          <w:b/>
                          <w:sz w:val="22"/>
                        </w:rPr>
                      </w:pPr>
                      <w:r>
                        <w:rPr>
                          <w:b/>
                          <w:sz w:val="22"/>
                        </w:rPr>
                        <w:t>Diferencias</w:t>
                      </w:r>
                      <w:r>
                        <w:rPr>
                          <w:b/>
                          <w:spacing w:val="-4"/>
                          <w:sz w:val="22"/>
                        </w:rPr>
                        <w:t> </w:t>
                      </w:r>
                      <w:r>
                        <w:rPr>
                          <w:b/>
                          <w:sz w:val="22"/>
                        </w:rPr>
                        <w:t>en</w:t>
                      </w:r>
                      <w:r>
                        <w:rPr>
                          <w:b/>
                          <w:spacing w:val="-3"/>
                          <w:sz w:val="22"/>
                        </w:rPr>
                        <w:t> </w:t>
                      </w:r>
                      <w:r>
                        <w:rPr>
                          <w:b/>
                          <w:sz w:val="22"/>
                        </w:rPr>
                        <w:t>los</w:t>
                      </w:r>
                      <w:r>
                        <w:rPr>
                          <w:b/>
                          <w:spacing w:val="-3"/>
                          <w:sz w:val="22"/>
                        </w:rPr>
                        <w:t> </w:t>
                      </w:r>
                      <w:r>
                        <w:rPr>
                          <w:b/>
                          <w:spacing w:val="-2"/>
                          <w:sz w:val="22"/>
                        </w:rPr>
                        <w:t>Ingresos:</w:t>
                      </w:r>
                    </w:p>
                    <w:p>
                      <w:pPr>
                        <w:pStyle w:val="BodyText"/>
                        <w:spacing w:line="259" w:lineRule="auto" w:before="179"/>
                        <w:ind w:left="103" w:right="99"/>
                        <w:jc w:val="both"/>
                      </w:pPr>
                      <w:r>
                        <w:rPr/>
                        <w:t>En</w:t>
                      </w:r>
                      <w:r>
                        <w:rPr>
                          <w:spacing w:val="-7"/>
                        </w:rPr>
                        <w:t> </w:t>
                      </w:r>
                      <w:r>
                        <w:rPr/>
                        <w:t>el</w:t>
                      </w:r>
                      <w:r>
                        <w:rPr>
                          <w:spacing w:val="-8"/>
                        </w:rPr>
                        <w:t> </w:t>
                      </w:r>
                      <w:r>
                        <w:rPr/>
                        <w:t>ejercicio</w:t>
                      </w:r>
                      <w:r>
                        <w:rPr>
                          <w:spacing w:val="-7"/>
                        </w:rPr>
                        <w:t> </w:t>
                      </w:r>
                      <w:r>
                        <w:rPr/>
                        <w:t>económico</w:t>
                      </w:r>
                      <w:r>
                        <w:rPr>
                          <w:spacing w:val="-6"/>
                        </w:rPr>
                        <w:t> </w:t>
                      </w:r>
                      <w:r>
                        <w:rPr/>
                        <w:t>2026,</w:t>
                      </w:r>
                      <w:r>
                        <w:rPr>
                          <w:spacing w:val="-7"/>
                        </w:rPr>
                        <w:t> </w:t>
                      </w:r>
                      <w:r>
                        <w:rPr/>
                        <w:t>la</w:t>
                      </w:r>
                      <w:r>
                        <w:rPr>
                          <w:spacing w:val="-8"/>
                        </w:rPr>
                        <w:t> </w:t>
                      </w:r>
                      <w:r>
                        <w:rPr/>
                        <w:t>institución</w:t>
                      </w:r>
                      <w:r>
                        <w:rPr>
                          <w:spacing w:val="-7"/>
                        </w:rPr>
                        <w:t> </w:t>
                      </w:r>
                      <w:r>
                        <w:rPr/>
                        <w:t>presenta</w:t>
                      </w:r>
                      <w:r>
                        <w:rPr>
                          <w:spacing w:val="-12"/>
                        </w:rPr>
                        <w:t> </w:t>
                      </w:r>
                      <w:r>
                        <w:rPr/>
                        <w:t>un</w:t>
                      </w:r>
                      <w:r>
                        <w:rPr>
                          <w:spacing w:val="-7"/>
                        </w:rPr>
                        <w:t> </w:t>
                      </w:r>
                      <w:r>
                        <w:rPr/>
                        <w:t>Presupuesto</w:t>
                      </w:r>
                      <w:r>
                        <w:rPr>
                          <w:spacing w:val="-8"/>
                        </w:rPr>
                        <w:t> </w:t>
                      </w:r>
                      <w:r>
                        <w:rPr/>
                        <w:t>Ajustado</w:t>
                      </w:r>
                      <w:r>
                        <w:rPr>
                          <w:spacing w:val="-6"/>
                        </w:rPr>
                        <w:t> </w:t>
                      </w:r>
                      <w:r>
                        <w:rPr/>
                        <w:t>al</w:t>
                      </w:r>
                      <w:r>
                        <w:rPr>
                          <w:spacing w:val="-7"/>
                        </w:rPr>
                        <w:t> </w:t>
                      </w:r>
                      <w:r>
                        <w:rPr/>
                        <w:t>31</w:t>
                      </w:r>
                      <w:r>
                        <w:rPr>
                          <w:spacing w:val="-8"/>
                        </w:rPr>
                        <w:t> </w:t>
                      </w:r>
                      <w:r>
                        <w:rPr/>
                        <w:t>de</w:t>
                      </w:r>
                      <w:r>
                        <w:rPr>
                          <w:spacing w:val="-9"/>
                        </w:rPr>
                        <w:t> </w:t>
                      </w:r>
                      <w:r>
                        <w:rPr/>
                        <w:t>julio</w:t>
                      </w:r>
                      <w:r>
                        <w:rPr>
                          <w:spacing w:val="-7"/>
                        </w:rPr>
                        <w:t> </w:t>
                      </w:r>
                      <w:r>
                        <w:rPr/>
                        <w:t>del</w:t>
                      </w:r>
                      <w:r>
                        <w:rPr>
                          <w:spacing w:val="-8"/>
                        </w:rPr>
                        <w:t> </w:t>
                      </w:r>
                      <w:r>
                        <w:rPr/>
                        <w:t>2026</w:t>
                      </w:r>
                      <w:r>
                        <w:rPr>
                          <w:spacing w:val="-8"/>
                        </w:rPr>
                        <w:t> </w:t>
                      </w:r>
                      <w:r>
                        <w:rPr/>
                        <w:t>con un monto de ¢ 277.908.088,58 miles y los ingresos reales alcanzaron la suma de ¢ 161.676.280,88 miles, visualizándose</w:t>
                      </w:r>
                      <w:r>
                        <w:rPr>
                          <w:spacing w:val="-10"/>
                        </w:rPr>
                        <w:t> </w:t>
                      </w:r>
                      <w:r>
                        <w:rPr/>
                        <w:t>que</w:t>
                      </w:r>
                      <w:r>
                        <w:rPr>
                          <w:spacing w:val="-10"/>
                        </w:rPr>
                        <w:t> </w:t>
                      </w:r>
                      <w:r>
                        <w:rPr/>
                        <w:t>falta</w:t>
                      </w:r>
                      <w:r>
                        <w:rPr>
                          <w:spacing w:val="-7"/>
                        </w:rPr>
                        <w:t> </w:t>
                      </w:r>
                      <w:r>
                        <w:rPr/>
                        <w:t>por</w:t>
                      </w:r>
                      <w:r>
                        <w:rPr>
                          <w:spacing w:val="-11"/>
                        </w:rPr>
                        <w:t> </w:t>
                      </w:r>
                      <w:r>
                        <w:rPr/>
                        <w:t>ingresar</w:t>
                      </w:r>
                      <w:r>
                        <w:rPr>
                          <w:spacing w:val="-7"/>
                        </w:rPr>
                        <w:t> </w:t>
                      </w:r>
                      <w:r>
                        <w:rPr/>
                        <w:t>en</w:t>
                      </w:r>
                      <w:r>
                        <w:rPr>
                          <w:spacing w:val="-7"/>
                        </w:rPr>
                        <w:t> </w:t>
                      </w:r>
                      <w:r>
                        <w:rPr/>
                        <w:t>lo</w:t>
                      </w:r>
                      <w:r>
                        <w:rPr>
                          <w:spacing w:val="-9"/>
                        </w:rPr>
                        <w:t> </w:t>
                      </w:r>
                      <w:r>
                        <w:rPr/>
                        <w:t>que</w:t>
                      </w:r>
                      <w:r>
                        <w:rPr>
                          <w:spacing w:val="-8"/>
                        </w:rPr>
                        <w:t> </w:t>
                      </w:r>
                      <w:r>
                        <w:rPr/>
                        <w:t>resta</w:t>
                      </w:r>
                      <w:r>
                        <w:rPr>
                          <w:spacing w:val="-7"/>
                        </w:rPr>
                        <w:t> </w:t>
                      </w:r>
                      <w:r>
                        <w:rPr/>
                        <w:t>del</w:t>
                      </w:r>
                      <w:r>
                        <w:rPr>
                          <w:spacing w:val="-10"/>
                        </w:rPr>
                        <w:t> </w:t>
                      </w:r>
                      <w:r>
                        <w:rPr/>
                        <w:t>período</w:t>
                      </w:r>
                      <w:r>
                        <w:rPr>
                          <w:spacing w:val="-7"/>
                        </w:rPr>
                        <w:t> </w:t>
                      </w:r>
                      <w:r>
                        <w:rPr/>
                        <w:t>un</w:t>
                      </w:r>
                      <w:r>
                        <w:rPr>
                          <w:spacing w:val="-9"/>
                        </w:rPr>
                        <w:t> </w:t>
                      </w:r>
                      <w:r>
                        <w:rPr/>
                        <w:t>monto</w:t>
                      </w:r>
                      <w:r>
                        <w:rPr>
                          <w:spacing w:val="-6"/>
                        </w:rPr>
                        <w:t> </w:t>
                      </w:r>
                      <w:r>
                        <w:rPr/>
                        <w:t>por</w:t>
                      </w:r>
                      <w:r>
                        <w:rPr>
                          <w:spacing w:val="-7"/>
                        </w:rPr>
                        <w:t> </w:t>
                      </w:r>
                      <w:r>
                        <w:rPr/>
                        <w:t>la</w:t>
                      </w:r>
                      <w:r>
                        <w:rPr>
                          <w:spacing w:val="-10"/>
                        </w:rPr>
                        <w:t> </w:t>
                      </w:r>
                      <w:r>
                        <w:rPr/>
                        <w:t>suma</w:t>
                      </w:r>
                      <w:r>
                        <w:rPr>
                          <w:spacing w:val="-8"/>
                        </w:rPr>
                        <w:t> </w:t>
                      </w:r>
                      <w:r>
                        <w:rPr/>
                        <w:t>de</w:t>
                      </w:r>
                      <w:r>
                        <w:rPr>
                          <w:spacing w:val="-9"/>
                        </w:rPr>
                        <w:t> </w:t>
                      </w:r>
                      <w:r>
                        <w:rPr/>
                        <w:t>¢</w:t>
                      </w:r>
                      <w:r>
                        <w:rPr>
                          <w:spacing w:val="-4"/>
                        </w:rPr>
                        <w:t> </w:t>
                      </w:r>
                      <w:r>
                        <w:rPr/>
                        <w:t>116.231.807,70 miles según lo presupuestado, como se detalla a continuación según fuente de financiamiento:</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2064">
                <wp:simplePos x="0" y="0"/>
                <wp:positionH relativeFrom="page">
                  <wp:posOffset>9525</wp:posOffset>
                </wp:positionH>
                <wp:positionV relativeFrom="page">
                  <wp:posOffset>297208</wp:posOffset>
                </wp:positionV>
                <wp:extent cx="7762875" cy="9748520"/>
                <wp:effectExtent l="0" t="0" r="0" b="0"/>
                <wp:wrapNone/>
                <wp:docPr id="1121" name="Group 1121"/>
                <wp:cNvGraphicFramePr>
                  <a:graphicFrameLocks/>
                </wp:cNvGraphicFramePr>
                <a:graphic>
                  <a:graphicData uri="http://schemas.microsoft.com/office/word/2010/wordprocessingGroup">
                    <wpg:wgp>
                      <wpg:cNvPr id="1121" name="Group 1121"/>
                      <wpg:cNvGrpSpPr/>
                      <wpg:grpSpPr>
                        <a:xfrm>
                          <a:off x="0" y="0"/>
                          <a:ext cx="7762875" cy="9748520"/>
                          <a:chExt cx="7762875" cy="9748520"/>
                        </a:xfrm>
                      </wpg:grpSpPr>
                      <pic:pic>
                        <pic:nvPicPr>
                          <pic:cNvPr id="1122" name="Image 1122"/>
                          <pic:cNvPicPr/>
                        </pic:nvPicPr>
                        <pic:blipFill>
                          <a:blip r:embed="rId5" cstate="print"/>
                          <a:stretch>
                            <a:fillRect/>
                          </a:stretch>
                        </pic:blipFill>
                        <pic:spPr>
                          <a:xfrm>
                            <a:off x="0" y="0"/>
                            <a:ext cx="7762874" cy="9748489"/>
                          </a:xfrm>
                          <a:prstGeom prst="rect">
                            <a:avLst/>
                          </a:prstGeom>
                        </pic:spPr>
                      </pic:pic>
                      <wps:wsp>
                        <wps:cNvPr id="1123" name="Graphic 1123"/>
                        <wps:cNvSpPr/>
                        <wps:spPr>
                          <a:xfrm>
                            <a:off x="1053007" y="990837"/>
                            <a:ext cx="6033770" cy="7353300"/>
                          </a:xfrm>
                          <a:custGeom>
                            <a:avLst/>
                            <a:gdLst/>
                            <a:ahLst/>
                            <a:cxnLst/>
                            <a:rect l="l" t="t" r="r" b="b"/>
                            <a:pathLst>
                              <a:path w="6033770" h="7353300">
                                <a:moveTo>
                                  <a:pt x="21336" y="132702"/>
                                </a:moveTo>
                                <a:lnTo>
                                  <a:pt x="15240" y="132702"/>
                                </a:lnTo>
                                <a:lnTo>
                                  <a:pt x="15240" y="7346683"/>
                                </a:lnTo>
                                <a:lnTo>
                                  <a:pt x="21336" y="7346683"/>
                                </a:lnTo>
                                <a:lnTo>
                                  <a:pt x="21336" y="132702"/>
                                </a:lnTo>
                                <a:close/>
                              </a:path>
                              <a:path w="6033770" h="7353300">
                                <a:moveTo>
                                  <a:pt x="5649214" y="0"/>
                                </a:moveTo>
                                <a:lnTo>
                                  <a:pt x="0" y="0"/>
                                </a:lnTo>
                                <a:lnTo>
                                  <a:pt x="0" y="9131"/>
                                </a:lnTo>
                                <a:lnTo>
                                  <a:pt x="5649214" y="9131"/>
                                </a:lnTo>
                                <a:lnTo>
                                  <a:pt x="5649214" y="0"/>
                                </a:lnTo>
                                <a:close/>
                              </a:path>
                              <a:path w="6033770" h="7353300">
                                <a:moveTo>
                                  <a:pt x="6033211" y="7346696"/>
                                </a:moveTo>
                                <a:lnTo>
                                  <a:pt x="6027153" y="7346696"/>
                                </a:lnTo>
                                <a:lnTo>
                                  <a:pt x="21336" y="7346696"/>
                                </a:lnTo>
                                <a:lnTo>
                                  <a:pt x="15240" y="7346696"/>
                                </a:lnTo>
                                <a:lnTo>
                                  <a:pt x="15240" y="7352779"/>
                                </a:lnTo>
                                <a:lnTo>
                                  <a:pt x="21336" y="7352779"/>
                                </a:lnTo>
                                <a:lnTo>
                                  <a:pt x="6027115" y="7352779"/>
                                </a:lnTo>
                                <a:lnTo>
                                  <a:pt x="6033211" y="7352779"/>
                                </a:lnTo>
                                <a:lnTo>
                                  <a:pt x="6033211" y="7346696"/>
                                </a:lnTo>
                                <a:close/>
                              </a:path>
                              <a:path w="6033770" h="7353300">
                                <a:moveTo>
                                  <a:pt x="6033211" y="132702"/>
                                </a:moveTo>
                                <a:lnTo>
                                  <a:pt x="6027115" y="132702"/>
                                </a:lnTo>
                                <a:lnTo>
                                  <a:pt x="6027115" y="7346683"/>
                                </a:lnTo>
                                <a:lnTo>
                                  <a:pt x="6033211" y="7346683"/>
                                </a:lnTo>
                                <a:lnTo>
                                  <a:pt x="6033211" y="132702"/>
                                </a:lnTo>
                                <a:close/>
                              </a:path>
                              <a:path w="6033770" h="7353300">
                                <a:moveTo>
                                  <a:pt x="6033211" y="126479"/>
                                </a:moveTo>
                                <a:lnTo>
                                  <a:pt x="6027153" y="126479"/>
                                </a:lnTo>
                                <a:lnTo>
                                  <a:pt x="21336" y="126479"/>
                                </a:lnTo>
                                <a:lnTo>
                                  <a:pt x="15240" y="126479"/>
                                </a:lnTo>
                                <a:lnTo>
                                  <a:pt x="15240" y="132575"/>
                                </a:lnTo>
                                <a:lnTo>
                                  <a:pt x="21336" y="132575"/>
                                </a:lnTo>
                                <a:lnTo>
                                  <a:pt x="6027115" y="132575"/>
                                </a:lnTo>
                                <a:lnTo>
                                  <a:pt x="6033211" y="132575"/>
                                </a:lnTo>
                                <a:lnTo>
                                  <a:pt x="6033211" y="126479"/>
                                </a:lnTo>
                                <a:close/>
                              </a:path>
                            </a:pathLst>
                          </a:custGeom>
                          <a:solidFill>
                            <a:srgbClr val="000000"/>
                          </a:solidFill>
                        </wps:spPr>
                        <wps:bodyPr wrap="square" lIns="0" tIns="0" rIns="0" bIns="0" rtlCol="0">
                          <a:prstTxWarp prst="textNoShape">
                            <a:avLst/>
                          </a:prstTxWarp>
                          <a:noAutofit/>
                        </wps:bodyPr>
                      </wps:wsp>
                      <pic:pic>
                        <pic:nvPicPr>
                          <pic:cNvPr id="1124" name="Image 1124"/>
                          <pic:cNvPicPr/>
                        </pic:nvPicPr>
                        <pic:blipFill>
                          <a:blip r:embed="rId111" cstate="print"/>
                          <a:stretch>
                            <a:fillRect/>
                          </a:stretch>
                        </pic:blipFill>
                        <pic:spPr>
                          <a:xfrm>
                            <a:off x="1875789" y="1123794"/>
                            <a:ext cx="4394708" cy="1562100"/>
                          </a:xfrm>
                          <a:prstGeom prst="rect">
                            <a:avLst/>
                          </a:prstGeom>
                        </pic:spPr>
                      </pic:pic>
                      <pic:pic>
                        <pic:nvPicPr>
                          <pic:cNvPr id="1125" name="Image 1125"/>
                          <pic:cNvPicPr/>
                        </pic:nvPicPr>
                        <pic:blipFill>
                          <a:blip r:embed="rId112" cstate="print"/>
                          <a:stretch>
                            <a:fillRect/>
                          </a:stretch>
                        </pic:blipFill>
                        <pic:spPr>
                          <a:xfrm>
                            <a:off x="1712975" y="3863184"/>
                            <a:ext cx="4725924" cy="158368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64416" id="docshapegroup1068" coordorigin="15,468" coordsize="12225,15352">
                <v:shape style="position:absolute;left:15;top:468;width:12225;height:15352" type="#_x0000_t75" id="docshape1069" stroked="false">
                  <v:imagedata r:id="rId5" o:title=""/>
                </v:shape>
                <v:shape style="position:absolute;left:1673;top:2028;width:9502;height:11580" id="docshape1070" coordorigin="1673,2028" coordsize="9502,11580" path="m1707,2237l1697,2237,1697,13598,1707,13598,1707,2237xm10570,2028l1673,2028,1673,2043,10570,2043,10570,2028xm11174,13598l11165,13598,11165,13598,1707,13598,1697,13598,1697,13608,1707,13608,11165,13608,11165,13608,11174,13608,11174,13598xm11174,2237l11165,2237,11165,13598,11174,13598,11174,2237xm11174,2228l11165,2228,11165,2228,1707,2228,1697,2228,1697,2237,1707,2237,11165,2237,11165,2237,11174,2237,11174,2228xe" filled="true" fillcolor="#000000" stroked="false">
                  <v:path arrowok="t"/>
                  <v:fill type="solid"/>
                </v:shape>
                <v:shape style="position:absolute;left:2969;top:2237;width:6921;height:2460" type="#_x0000_t75" id="docshape1071" stroked="false">
                  <v:imagedata r:id="rId111" o:title=""/>
                </v:shape>
                <v:shape style="position:absolute;left:2712;top:6551;width:7443;height:2494" type="#_x0000_t75" id="docshape1072" stroked="false">
                  <v:imagedata r:id="rId112" o:title=""/>
                </v:shape>
                <w10:wrap type="none"/>
              </v:group>
            </w:pict>
          </mc:Fallback>
        </mc:AlternateContent>
      </w:r>
      <w:r>
        <w:rPr>
          <w:color w:val="172951"/>
          <w:sz w:val="20"/>
        </w:rPr>
        <w:t>Pág.</w:t>
      </w:r>
      <w:r>
        <w:rPr>
          <w:color w:val="172951"/>
          <w:spacing w:val="-7"/>
          <w:sz w:val="20"/>
        </w:rPr>
        <w:t> </w:t>
      </w:r>
      <w:r>
        <w:rPr>
          <w:color w:val="172951"/>
          <w:spacing w:val="-5"/>
          <w:sz w:val="20"/>
        </w:rPr>
        <w:t>218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7"/>
      </w:pPr>
    </w:p>
    <w:p>
      <w:pPr>
        <w:pStyle w:val="Heading6"/>
        <w:spacing w:before="1"/>
        <w:ind w:left="730"/>
        <w:jc w:val="both"/>
      </w:pPr>
      <w:r>
        <w:rPr/>
        <w:t>Diferencias</w:t>
      </w:r>
      <w:r>
        <w:rPr>
          <w:spacing w:val="-4"/>
        </w:rPr>
        <w:t> </w:t>
      </w:r>
      <w:r>
        <w:rPr/>
        <w:t>en</w:t>
      </w:r>
      <w:r>
        <w:rPr>
          <w:spacing w:val="-3"/>
        </w:rPr>
        <w:t> </w:t>
      </w:r>
      <w:r>
        <w:rPr/>
        <w:t>los</w:t>
      </w:r>
      <w:r>
        <w:rPr>
          <w:spacing w:val="-3"/>
        </w:rPr>
        <w:t> </w:t>
      </w:r>
      <w:r>
        <w:rPr>
          <w:spacing w:val="-2"/>
        </w:rPr>
        <w:t>Egresos:</w:t>
      </w:r>
    </w:p>
    <w:p>
      <w:pPr>
        <w:pStyle w:val="BodyText"/>
        <w:spacing w:line="259" w:lineRule="auto" w:before="181"/>
        <w:ind w:left="730" w:right="457"/>
        <w:jc w:val="both"/>
      </w:pPr>
      <w:r>
        <w:rPr/>
        <w:t>En</w:t>
      </w:r>
      <w:r>
        <w:rPr>
          <w:spacing w:val="-7"/>
        </w:rPr>
        <w:t> </w:t>
      </w:r>
      <w:r>
        <w:rPr/>
        <w:t>el</w:t>
      </w:r>
      <w:r>
        <w:rPr>
          <w:spacing w:val="-8"/>
        </w:rPr>
        <w:t> </w:t>
      </w:r>
      <w:r>
        <w:rPr/>
        <w:t>ejercicio</w:t>
      </w:r>
      <w:r>
        <w:rPr>
          <w:spacing w:val="-7"/>
        </w:rPr>
        <w:t> </w:t>
      </w:r>
      <w:r>
        <w:rPr/>
        <w:t>económico</w:t>
      </w:r>
      <w:r>
        <w:rPr>
          <w:spacing w:val="-6"/>
        </w:rPr>
        <w:t> </w:t>
      </w:r>
      <w:r>
        <w:rPr/>
        <w:t>2026,</w:t>
      </w:r>
      <w:r>
        <w:rPr>
          <w:spacing w:val="-7"/>
        </w:rPr>
        <w:t> </w:t>
      </w:r>
      <w:r>
        <w:rPr/>
        <w:t>la</w:t>
      </w:r>
      <w:r>
        <w:rPr>
          <w:spacing w:val="-8"/>
        </w:rPr>
        <w:t> </w:t>
      </w:r>
      <w:r>
        <w:rPr/>
        <w:t>institución</w:t>
      </w:r>
      <w:r>
        <w:rPr>
          <w:spacing w:val="-7"/>
        </w:rPr>
        <w:t> </w:t>
      </w:r>
      <w:r>
        <w:rPr/>
        <w:t>presenta</w:t>
      </w:r>
      <w:r>
        <w:rPr>
          <w:spacing w:val="-12"/>
        </w:rPr>
        <w:t> </w:t>
      </w:r>
      <w:r>
        <w:rPr/>
        <w:t>un</w:t>
      </w:r>
      <w:r>
        <w:rPr>
          <w:spacing w:val="-7"/>
        </w:rPr>
        <w:t> </w:t>
      </w:r>
      <w:r>
        <w:rPr/>
        <w:t>Presupuesto</w:t>
      </w:r>
      <w:r>
        <w:rPr>
          <w:spacing w:val="-8"/>
        </w:rPr>
        <w:t> </w:t>
      </w:r>
      <w:r>
        <w:rPr/>
        <w:t>Ajustado</w:t>
      </w:r>
      <w:r>
        <w:rPr>
          <w:spacing w:val="-6"/>
        </w:rPr>
        <w:t> </w:t>
      </w:r>
      <w:r>
        <w:rPr/>
        <w:t>al</w:t>
      </w:r>
      <w:r>
        <w:rPr>
          <w:spacing w:val="-10"/>
        </w:rPr>
        <w:t> </w:t>
      </w:r>
      <w:r>
        <w:rPr/>
        <w:t>31</w:t>
      </w:r>
      <w:r>
        <w:rPr>
          <w:spacing w:val="-8"/>
        </w:rPr>
        <w:t> </w:t>
      </w:r>
      <w:r>
        <w:rPr/>
        <w:t>de</w:t>
      </w:r>
      <w:r>
        <w:rPr>
          <w:spacing w:val="-9"/>
        </w:rPr>
        <w:t> </w:t>
      </w:r>
      <w:r>
        <w:rPr/>
        <w:t>julio</w:t>
      </w:r>
      <w:r>
        <w:rPr>
          <w:spacing w:val="-7"/>
        </w:rPr>
        <w:t> </w:t>
      </w:r>
      <w:r>
        <w:rPr/>
        <w:t>del</w:t>
      </w:r>
      <w:r>
        <w:rPr>
          <w:spacing w:val="-8"/>
        </w:rPr>
        <w:t> </w:t>
      </w:r>
      <w:r>
        <w:rPr/>
        <w:t>2026</w:t>
      </w:r>
      <w:r>
        <w:rPr>
          <w:spacing w:val="-8"/>
        </w:rPr>
        <w:t> </w:t>
      </w:r>
      <w:r>
        <w:rPr/>
        <w:t>con un monto de ¢ 277.908.088,58 miles y los egresos reales alcanzaron la suma de ¢ 127.654.273,08 miles, visualizándose</w:t>
      </w:r>
      <w:r>
        <w:rPr>
          <w:spacing w:val="-11"/>
        </w:rPr>
        <w:t> </w:t>
      </w:r>
      <w:r>
        <w:rPr/>
        <w:t>que</w:t>
      </w:r>
      <w:r>
        <w:rPr>
          <w:spacing w:val="-8"/>
        </w:rPr>
        <w:t> </w:t>
      </w:r>
      <w:r>
        <w:rPr/>
        <w:t>falta</w:t>
      </w:r>
      <w:r>
        <w:rPr>
          <w:spacing w:val="-7"/>
        </w:rPr>
        <w:t> </w:t>
      </w:r>
      <w:r>
        <w:rPr/>
        <w:t>por</w:t>
      </w:r>
      <w:r>
        <w:rPr>
          <w:spacing w:val="-10"/>
        </w:rPr>
        <w:t> </w:t>
      </w:r>
      <w:r>
        <w:rPr/>
        <w:t>ejecutar</w:t>
      </w:r>
      <w:r>
        <w:rPr>
          <w:spacing w:val="-7"/>
        </w:rPr>
        <w:t> </w:t>
      </w:r>
      <w:r>
        <w:rPr/>
        <w:t>en</w:t>
      </w:r>
      <w:r>
        <w:rPr>
          <w:spacing w:val="-7"/>
        </w:rPr>
        <w:t> </w:t>
      </w:r>
      <w:r>
        <w:rPr/>
        <w:t>lo</w:t>
      </w:r>
      <w:r>
        <w:rPr>
          <w:spacing w:val="-7"/>
        </w:rPr>
        <w:t> </w:t>
      </w:r>
      <w:r>
        <w:rPr/>
        <w:t>que</w:t>
      </w:r>
      <w:r>
        <w:rPr>
          <w:spacing w:val="-8"/>
        </w:rPr>
        <w:t> </w:t>
      </w:r>
      <w:r>
        <w:rPr/>
        <w:t>resta</w:t>
      </w:r>
      <w:r>
        <w:rPr>
          <w:spacing w:val="-10"/>
        </w:rPr>
        <w:t> </w:t>
      </w:r>
      <w:r>
        <w:rPr/>
        <w:t>del</w:t>
      </w:r>
      <w:r>
        <w:rPr>
          <w:spacing w:val="-8"/>
        </w:rPr>
        <w:t> </w:t>
      </w:r>
      <w:r>
        <w:rPr/>
        <w:t>período</w:t>
      </w:r>
      <w:r>
        <w:rPr>
          <w:spacing w:val="-7"/>
        </w:rPr>
        <w:t> </w:t>
      </w:r>
      <w:r>
        <w:rPr/>
        <w:t>un</w:t>
      </w:r>
      <w:r>
        <w:rPr>
          <w:spacing w:val="-9"/>
        </w:rPr>
        <w:t> </w:t>
      </w:r>
      <w:r>
        <w:rPr/>
        <w:t>monto</w:t>
      </w:r>
      <w:r>
        <w:rPr>
          <w:spacing w:val="-6"/>
        </w:rPr>
        <w:t> </w:t>
      </w:r>
      <w:r>
        <w:rPr/>
        <w:t>por</w:t>
      </w:r>
      <w:r>
        <w:rPr>
          <w:spacing w:val="-7"/>
        </w:rPr>
        <w:t> </w:t>
      </w:r>
      <w:r>
        <w:rPr/>
        <w:t>la</w:t>
      </w:r>
      <w:r>
        <w:rPr>
          <w:spacing w:val="-8"/>
        </w:rPr>
        <w:t> </w:t>
      </w:r>
      <w:r>
        <w:rPr/>
        <w:t>suma</w:t>
      </w:r>
      <w:r>
        <w:rPr>
          <w:spacing w:val="-8"/>
        </w:rPr>
        <w:t> </w:t>
      </w:r>
      <w:r>
        <w:rPr/>
        <w:t>de</w:t>
      </w:r>
      <w:r>
        <w:rPr>
          <w:spacing w:val="-9"/>
        </w:rPr>
        <w:t> </w:t>
      </w:r>
      <w:r>
        <w:rPr/>
        <w:t>¢</w:t>
      </w:r>
      <w:r>
        <w:rPr>
          <w:spacing w:val="-8"/>
        </w:rPr>
        <w:t> </w:t>
      </w:r>
      <w:r>
        <w:rPr/>
        <w:t>150.253.815,50 miles, como se detalla a continuación según fuente de financiamiento: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2"/>
      </w:pPr>
    </w:p>
    <w:p>
      <w:pPr>
        <w:pStyle w:val="BodyText"/>
        <w:spacing w:line="259" w:lineRule="auto"/>
        <w:ind w:left="730" w:right="460"/>
        <w:jc w:val="both"/>
      </w:pPr>
      <w:r>
        <w:rPr/>
        <w:t>Es importante indicar primeramente que la diferencia entre el presupuesto ajustado versus el gasto real es considerada como un superávit de carácter presupuestario, ya que el de interés es el superávit real, que es la relación entre los ingresos reales y los egresos reales.</w:t>
      </w:r>
    </w:p>
    <w:p>
      <w:pPr>
        <w:pStyle w:val="BodyText"/>
        <w:spacing w:line="259" w:lineRule="auto" w:before="159"/>
        <w:ind w:left="730" w:right="456"/>
        <w:jc w:val="both"/>
      </w:pPr>
      <w:r>
        <w:rPr/>
        <w:t>En</w:t>
      </w:r>
      <w:r>
        <w:rPr>
          <w:spacing w:val="-9"/>
        </w:rPr>
        <w:t> </w:t>
      </w:r>
      <w:r>
        <w:rPr/>
        <w:t>virtud</w:t>
      </w:r>
      <w:r>
        <w:rPr>
          <w:spacing w:val="-10"/>
        </w:rPr>
        <w:t> </w:t>
      </w:r>
      <w:r>
        <w:rPr/>
        <w:t>de</w:t>
      </w:r>
      <w:r>
        <w:rPr>
          <w:spacing w:val="-11"/>
        </w:rPr>
        <w:t> </w:t>
      </w:r>
      <w:r>
        <w:rPr/>
        <w:t>lo</w:t>
      </w:r>
      <w:r>
        <w:rPr>
          <w:spacing w:val="-9"/>
        </w:rPr>
        <w:t> </w:t>
      </w:r>
      <w:r>
        <w:rPr/>
        <w:t>antes</w:t>
      </w:r>
      <w:r>
        <w:rPr>
          <w:spacing w:val="-9"/>
        </w:rPr>
        <w:t> </w:t>
      </w:r>
      <w:r>
        <w:rPr/>
        <w:t>indicado,</w:t>
      </w:r>
      <w:r>
        <w:rPr>
          <w:spacing w:val="-9"/>
        </w:rPr>
        <w:t> </w:t>
      </w:r>
      <w:r>
        <w:rPr/>
        <w:t>se</w:t>
      </w:r>
      <w:r>
        <w:rPr>
          <w:spacing w:val="-11"/>
        </w:rPr>
        <w:t> </w:t>
      </w:r>
      <w:r>
        <w:rPr/>
        <w:t>visualiza</w:t>
      </w:r>
      <w:r>
        <w:rPr>
          <w:spacing w:val="-10"/>
        </w:rPr>
        <w:t> </w:t>
      </w:r>
      <w:r>
        <w:rPr/>
        <w:t>una</w:t>
      </w:r>
      <w:r>
        <w:rPr>
          <w:spacing w:val="-10"/>
        </w:rPr>
        <w:t> </w:t>
      </w:r>
      <w:r>
        <w:rPr/>
        <w:t>subejecución</w:t>
      </w:r>
      <w:r>
        <w:rPr>
          <w:spacing w:val="-9"/>
        </w:rPr>
        <w:t> </w:t>
      </w:r>
      <w:r>
        <w:rPr/>
        <w:t>importante</w:t>
      </w:r>
      <w:r>
        <w:rPr>
          <w:spacing w:val="-10"/>
        </w:rPr>
        <w:t> </w:t>
      </w:r>
      <w:r>
        <w:rPr/>
        <w:t>tanto</w:t>
      </w:r>
      <w:r>
        <w:rPr>
          <w:spacing w:val="-9"/>
        </w:rPr>
        <w:t> </w:t>
      </w:r>
      <w:r>
        <w:rPr/>
        <w:t>en</w:t>
      </w:r>
      <w:r>
        <w:rPr>
          <w:spacing w:val="-9"/>
        </w:rPr>
        <w:t> </w:t>
      </w:r>
      <w:r>
        <w:rPr/>
        <w:t>los</w:t>
      </w:r>
      <w:r>
        <w:rPr>
          <w:spacing w:val="-11"/>
        </w:rPr>
        <w:t> </w:t>
      </w:r>
      <w:r>
        <w:rPr/>
        <w:t>recursos</w:t>
      </w:r>
      <w:r>
        <w:rPr>
          <w:spacing w:val="-9"/>
        </w:rPr>
        <w:t> </w:t>
      </w:r>
      <w:r>
        <w:rPr/>
        <w:t>Propios</w:t>
      </w:r>
      <w:r>
        <w:rPr>
          <w:spacing w:val="-9"/>
        </w:rPr>
        <w:t> </w:t>
      </w:r>
      <w:r>
        <w:rPr/>
        <w:t>como en los recursos Específicos en los que resalta FODESAF y Empresas Comerciales, sin embargo, es importante</w:t>
      </w:r>
      <w:r>
        <w:rPr>
          <w:spacing w:val="-2"/>
        </w:rPr>
        <w:t> </w:t>
      </w:r>
      <w:r>
        <w:rPr/>
        <w:t>hacer</w:t>
      </w:r>
      <w:r>
        <w:rPr>
          <w:spacing w:val="-2"/>
        </w:rPr>
        <w:t> </w:t>
      </w:r>
      <w:r>
        <w:rPr/>
        <w:t>hincapié</w:t>
      </w:r>
      <w:r>
        <w:rPr>
          <w:spacing w:val="-3"/>
        </w:rPr>
        <w:t> </w:t>
      </w:r>
      <w:r>
        <w:rPr/>
        <w:t>que</w:t>
      </w:r>
      <w:r>
        <w:rPr>
          <w:spacing w:val="-4"/>
        </w:rPr>
        <w:t> </w:t>
      </w:r>
      <w:r>
        <w:rPr/>
        <w:t>se</w:t>
      </w:r>
      <w:r>
        <w:rPr>
          <w:spacing w:val="-3"/>
        </w:rPr>
        <w:t> </w:t>
      </w:r>
      <w:r>
        <w:rPr/>
        <w:t>trata</w:t>
      </w:r>
      <w:r>
        <w:rPr>
          <w:spacing w:val="-2"/>
        </w:rPr>
        <w:t> </w:t>
      </w:r>
      <w:r>
        <w:rPr/>
        <w:t>de</w:t>
      </w:r>
      <w:r>
        <w:rPr>
          <w:spacing w:val="-3"/>
        </w:rPr>
        <w:t> </w:t>
      </w:r>
      <w:r>
        <w:rPr/>
        <w:t>una</w:t>
      </w:r>
      <w:r>
        <w:rPr>
          <w:spacing w:val="-5"/>
        </w:rPr>
        <w:t> </w:t>
      </w:r>
      <w:r>
        <w:rPr/>
        <w:t>subejecución</w:t>
      </w:r>
      <w:r>
        <w:rPr>
          <w:spacing w:val="-2"/>
        </w:rPr>
        <w:t> </w:t>
      </w:r>
      <w:r>
        <w:rPr/>
        <w:t>de</w:t>
      </w:r>
      <w:r>
        <w:rPr>
          <w:spacing w:val="-4"/>
        </w:rPr>
        <w:t> </w:t>
      </w:r>
      <w:r>
        <w:rPr/>
        <w:t>tipo</w:t>
      </w:r>
      <w:r>
        <w:rPr>
          <w:spacing w:val="-2"/>
        </w:rPr>
        <w:t> </w:t>
      </w:r>
      <w:r>
        <w:rPr/>
        <w:t>presupuestario</w:t>
      </w:r>
      <w:r>
        <w:rPr>
          <w:spacing w:val="-2"/>
        </w:rPr>
        <w:t> </w:t>
      </w:r>
      <w:r>
        <w:rPr/>
        <w:t>y</w:t>
      </w:r>
      <w:r>
        <w:rPr>
          <w:spacing w:val="-6"/>
        </w:rPr>
        <w:t> </w:t>
      </w:r>
      <w:r>
        <w:rPr/>
        <w:t>que</w:t>
      </w:r>
      <w:r>
        <w:rPr>
          <w:spacing w:val="-4"/>
        </w:rPr>
        <w:t> </w:t>
      </w:r>
      <w:r>
        <w:rPr/>
        <w:t>probablemente</w:t>
      </w:r>
      <w:r>
        <w:rPr>
          <w:spacing w:val="-3"/>
        </w:rPr>
        <w:t> </w:t>
      </w:r>
      <w:r>
        <w:rPr/>
        <w:t>la ejecución ira creciendo conforme el avance del ejercicio económico.</w:t>
      </w:r>
    </w:p>
    <w:p>
      <w:pPr>
        <w:pStyle w:val="BodyText"/>
        <w:spacing w:after="0" w:line="259" w:lineRule="auto"/>
        <w:jc w:val="both"/>
        <w:sectPr>
          <w:pgSz w:w="12240" w:h="15840"/>
          <w:pgMar w:top="1720" w:bottom="280" w:left="1080" w:right="720"/>
        </w:sectPr>
      </w:pPr>
    </w:p>
    <w:p>
      <w:pPr>
        <w:pStyle w:val="Heading1"/>
        <w:spacing w:line="355" w:lineRule="exact"/>
        <w:ind w:left="4537"/>
      </w:pPr>
      <w:r>
        <w:rPr/>
        <w:drawing>
          <wp:anchor distT="0" distB="0" distL="0" distR="0" allowOverlap="1" layoutInCell="1" locked="0" behindDoc="1" simplePos="0" relativeHeight="473752576">
            <wp:simplePos x="0" y="0"/>
            <wp:positionH relativeFrom="page">
              <wp:posOffset>2805505</wp:posOffset>
            </wp:positionH>
            <wp:positionV relativeFrom="paragraph">
              <wp:posOffset>90270</wp:posOffset>
            </wp:positionV>
            <wp:extent cx="674664" cy="637804"/>
            <wp:effectExtent l="0" t="0" r="0" b="0"/>
            <wp:wrapNone/>
            <wp:docPr id="1126" name="Image 1126"/>
            <wp:cNvGraphicFramePr>
              <a:graphicFrameLocks/>
            </wp:cNvGraphicFramePr>
            <a:graphic>
              <a:graphicData uri="http://schemas.openxmlformats.org/drawingml/2006/picture">
                <pic:pic>
                  <pic:nvPicPr>
                    <pic:cNvPr id="1126" name="Image 1126"/>
                    <pic:cNvPicPr/>
                  </pic:nvPicPr>
                  <pic:blipFill>
                    <a:blip r:embed="rId92" cstate="print"/>
                    <a:stretch>
                      <a:fillRect/>
                    </a:stretch>
                  </pic:blipFill>
                  <pic:spPr>
                    <a:xfrm>
                      <a:off x="0" y="0"/>
                      <a:ext cx="674664" cy="637804"/>
                    </a:xfrm>
                    <a:prstGeom prst="rect">
                      <a:avLst/>
                    </a:prstGeom>
                  </pic:spPr>
                </pic:pic>
              </a:graphicData>
            </a:graphic>
          </wp:anchor>
        </w:drawing>
      </w:r>
      <w:r>
        <w:rPr>
          <w:color w:val="0F245B"/>
          <w:spacing w:val="-2"/>
          <w:w w:val="105"/>
        </w:rPr>
        <w:t>INSTITUTO</w:t>
      </w:r>
    </w:p>
    <w:p>
      <w:pPr>
        <w:pStyle w:val="Heading3"/>
      </w:pPr>
      <w:r>
        <w:rPr>
          <w:color w:val="283B6D"/>
          <w:w w:val="105"/>
        </w:rPr>
        <w:t>MIXTO</w:t>
      </w:r>
      <w:r>
        <w:rPr>
          <w:color w:val="283B6D"/>
          <w:spacing w:val="37"/>
          <w:w w:val="105"/>
        </w:rPr>
        <w:t> </w:t>
      </w:r>
      <w:r>
        <w:rPr>
          <w:color w:val="283B6D"/>
          <w:w w:val="105"/>
        </w:rPr>
        <w:t>DE</w:t>
      </w:r>
      <w:r>
        <w:rPr>
          <w:color w:val="283B6D"/>
          <w:spacing w:val="20"/>
          <w:w w:val="105"/>
        </w:rPr>
        <w:t> </w:t>
      </w:r>
      <w:r>
        <w:rPr>
          <w:color w:val="283B6D"/>
          <w:spacing w:val="-2"/>
          <w:w w:val="105"/>
        </w:rPr>
        <w:t>AYUDA</w:t>
      </w:r>
    </w:p>
    <w:p>
      <w:pPr>
        <w:pStyle w:val="BodyText"/>
        <w:spacing w:line="232" w:lineRule="exact"/>
        <w:ind w:left="4535"/>
        <w:rPr>
          <w:rFonts w:ascii="Times New Roman"/>
        </w:rPr>
      </w:pPr>
      <w:r>
        <w:rPr>
          <w:rFonts w:ascii="Times New Roman"/>
        </w:rPr>
        <mc:AlternateContent>
          <mc:Choice Requires="wps">
            <w:drawing>
              <wp:anchor distT="0" distB="0" distL="0" distR="0" allowOverlap="1" layoutInCell="1" locked="0" behindDoc="1" simplePos="0" relativeHeight="473753088">
                <wp:simplePos x="0" y="0"/>
                <wp:positionH relativeFrom="page">
                  <wp:posOffset>1062368</wp:posOffset>
                </wp:positionH>
                <wp:positionV relativeFrom="paragraph">
                  <wp:posOffset>180092</wp:posOffset>
                </wp:positionV>
                <wp:extent cx="5751830" cy="4530725"/>
                <wp:effectExtent l="0" t="0" r="0" b="0"/>
                <wp:wrapNone/>
                <wp:docPr id="1127" name="Group 1127"/>
                <wp:cNvGraphicFramePr>
                  <a:graphicFrameLocks/>
                </wp:cNvGraphicFramePr>
                <a:graphic>
                  <a:graphicData uri="http://schemas.microsoft.com/office/word/2010/wordprocessingGroup">
                    <wpg:wgp>
                      <wpg:cNvPr id="1127" name="Group 1127"/>
                      <wpg:cNvGrpSpPr/>
                      <wpg:grpSpPr>
                        <a:xfrm>
                          <a:off x="0" y="0"/>
                          <a:ext cx="5751830" cy="4530725"/>
                          <a:chExt cx="5751830" cy="4530725"/>
                        </a:xfrm>
                      </wpg:grpSpPr>
                      <wps:wsp>
                        <wps:cNvPr id="1128" name="Graphic 1128"/>
                        <wps:cNvSpPr/>
                        <wps:spPr>
                          <a:xfrm>
                            <a:off x="18316" y="3810040"/>
                            <a:ext cx="5721350" cy="720725"/>
                          </a:xfrm>
                          <a:custGeom>
                            <a:avLst/>
                            <a:gdLst/>
                            <a:ahLst/>
                            <a:cxnLst/>
                            <a:rect l="l" t="t" r="r" b="b"/>
                            <a:pathLst>
                              <a:path w="5721350" h="720725">
                                <a:moveTo>
                                  <a:pt x="0" y="720199"/>
                                </a:moveTo>
                                <a:lnTo>
                                  <a:pt x="0" y="0"/>
                                </a:lnTo>
                              </a:path>
                              <a:path w="5721350" h="720725">
                                <a:moveTo>
                                  <a:pt x="5720914" y="720199"/>
                                </a:moveTo>
                                <a:lnTo>
                                  <a:pt x="5720914" y="0"/>
                                </a:lnTo>
                              </a:path>
                            </a:pathLst>
                          </a:custGeom>
                          <a:ln w="9156">
                            <a:solidFill>
                              <a:srgbClr val="000000"/>
                            </a:solidFill>
                            <a:prstDash val="solid"/>
                          </a:ln>
                        </wps:spPr>
                        <wps:bodyPr wrap="square" lIns="0" tIns="0" rIns="0" bIns="0" rtlCol="0">
                          <a:prstTxWarp prst="textNoShape">
                            <a:avLst/>
                          </a:prstTxWarp>
                          <a:noAutofit/>
                        </wps:bodyPr>
                      </wps:wsp>
                      <wps:wsp>
                        <wps:cNvPr id="1129" name="Graphic 1129"/>
                        <wps:cNvSpPr/>
                        <wps:spPr>
                          <a:xfrm>
                            <a:off x="2503281" y="1525"/>
                            <a:ext cx="1416685" cy="1270"/>
                          </a:xfrm>
                          <a:custGeom>
                            <a:avLst/>
                            <a:gdLst/>
                            <a:ahLst/>
                            <a:cxnLst/>
                            <a:rect l="l" t="t" r="r" b="b"/>
                            <a:pathLst>
                              <a:path w="1416685" h="0">
                                <a:moveTo>
                                  <a:pt x="0" y="0"/>
                                </a:moveTo>
                                <a:lnTo>
                                  <a:pt x="1416491" y="0"/>
                                </a:lnTo>
                              </a:path>
                            </a:pathLst>
                          </a:custGeom>
                          <a:ln w="3051">
                            <a:solidFill>
                              <a:srgbClr val="000000"/>
                            </a:solidFill>
                            <a:prstDash val="solid"/>
                          </a:ln>
                        </wps:spPr>
                        <wps:bodyPr wrap="square" lIns="0" tIns="0" rIns="0" bIns="0" rtlCol="0">
                          <a:prstTxWarp prst="textNoShape">
                            <a:avLst/>
                          </a:prstTxWarp>
                          <a:noAutofit/>
                        </wps:bodyPr>
                      </wps:wsp>
                      <wps:wsp>
                        <wps:cNvPr id="1130" name="Graphic 1130"/>
                        <wps:cNvSpPr/>
                        <wps:spPr>
                          <a:xfrm>
                            <a:off x="12211" y="3819195"/>
                            <a:ext cx="5739765" cy="702310"/>
                          </a:xfrm>
                          <a:custGeom>
                            <a:avLst/>
                            <a:gdLst/>
                            <a:ahLst/>
                            <a:cxnLst/>
                            <a:rect l="l" t="t" r="r" b="b"/>
                            <a:pathLst>
                              <a:path w="5739765" h="702310">
                                <a:moveTo>
                                  <a:pt x="0" y="0"/>
                                </a:moveTo>
                                <a:lnTo>
                                  <a:pt x="5739230" y="0"/>
                                </a:lnTo>
                              </a:path>
                              <a:path w="5739765" h="702310">
                                <a:moveTo>
                                  <a:pt x="0" y="701889"/>
                                </a:moveTo>
                                <a:lnTo>
                                  <a:pt x="5739230" y="701889"/>
                                </a:lnTo>
                              </a:path>
                            </a:pathLst>
                          </a:custGeom>
                          <a:ln w="6104">
                            <a:solidFill>
                              <a:srgbClr val="000000"/>
                            </a:solidFill>
                            <a:prstDash val="solid"/>
                          </a:ln>
                        </wps:spPr>
                        <wps:bodyPr wrap="square" lIns="0" tIns="0" rIns="0" bIns="0" rtlCol="0">
                          <a:prstTxWarp prst="textNoShape">
                            <a:avLst/>
                          </a:prstTxWarp>
                          <a:noAutofit/>
                        </wps:bodyPr>
                      </wps:wsp>
                      <wps:wsp>
                        <wps:cNvPr id="1131" name="Textbox 1131"/>
                        <wps:cNvSpPr txBox="1"/>
                        <wps:spPr>
                          <a:xfrm>
                            <a:off x="0" y="48205"/>
                            <a:ext cx="5678805" cy="454025"/>
                          </a:xfrm>
                          <a:prstGeom prst="rect">
                            <a:avLst/>
                          </a:prstGeom>
                        </wps:spPr>
                        <wps:txbx>
                          <w:txbxContent>
                            <w:p>
                              <w:pPr>
                                <w:spacing w:line="177" w:lineRule="exact" w:before="0"/>
                                <w:ind w:left="3946" w:right="0" w:firstLine="0"/>
                                <w:jc w:val="left"/>
                                <w:rPr>
                                  <w:rFonts w:ascii="Times New Roman"/>
                                  <w:sz w:val="16"/>
                                </w:rPr>
                              </w:pPr>
                              <w:r>
                                <w:rPr>
                                  <w:rFonts w:ascii="Times New Roman"/>
                                  <w:color w:val="283B6D"/>
                                  <w:w w:val="105"/>
                                  <w:sz w:val="16"/>
                                </w:rPr>
                                <w:t>G</w:t>
                              </w:r>
                              <w:r>
                                <w:rPr>
                                  <w:rFonts w:ascii="Times New Roman"/>
                                  <w:color w:val="0F245B"/>
                                  <w:w w:val="105"/>
                                  <w:sz w:val="16"/>
                                </w:rPr>
                                <w:t>OB</w:t>
                              </w:r>
                              <w:r>
                                <w:rPr>
                                  <w:rFonts w:ascii="Times New Roman"/>
                                  <w:color w:val="283B6D"/>
                                  <w:w w:val="105"/>
                                  <w:sz w:val="16"/>
                                </w:rPr>
                                <w:t>IERN</w:t>
                              </w:r>
                              <w:r>
                                <w:rPr>
                                  <w:rFonts w:ascii="Times New Roman"/>
                                  <w:color w:val="0F245B"/>
                                  <w:w w:val="105"/>
                                  <w:sz w:val="16"/>
                                </w:rPr>
                                <w:t>O</w:t>
                              </w:r>
                              <w:r>
                                <w:rPr>
                                  <w:rFonts w:ascii="Times New Roman"/>
                                  <w:color w:val="0F245B"/>
                                  <w:spacing w:val="18"/>
                                  <w:w w:val="105"/>
                                  <w:sz w:val="16"/>
                                </w:rPr>
                                <w:t> </w:t>
                              </w:r>
                              <w:r>
                                <w:rPr>
                                  <w:rFonts w:ascii="Times New Roman"/>
                                  <w:color w:val="0F245B"/>
                                  <w:w w:val="105"/>
                                  <w:sz w:val="16"/>
                                </w:rPr>
                                <w:t>D</w:t>
                              </w:r>
                              <w:r>
                                <w:rPr>
                                  <w:rFonts w:ascii="Times New Roman"/>
                                  <w:color w:val="283B6D"/>
                                  <w:w w:val="105"/>
                                  <w:sz w:val="16"/>
                                </w:rPr>
                                <w:t>E</w:t>
                              </w:r>
                              <w:r>
                                <w:rPr>
                                  <w:rFonts w:ascii="Times New Roman"/>
                                  <w:color w:val="283B6D"/>
                                  <w:spacing w:val="4"/>
                                  <w:w w:val="105"/>
                                  <w:sz w:val="16"/>
                                </w:rPr>
                                <w:t> </w:t>
                              </w:r>
                              <w:r>
                                <w:rPr>
                                  <w:rFonts w:ascii="Times New Roman"/>
                                  <w:color w:val="0F245B"/>
                                  <w:w w:val="105"/>
                                  <w:sz w:val="16"/>
                                </w:rPr>
                                <w:t>CO</w:t>
                              </w:r>
                              <w:r>
                                <w:rPr>
                                  <w:rFonts w:ascii="Times New Roman"/>
                                  <w:color w:val="283B6D"/>
                                  <w:w w:val="105"/>
                                  <w:sz w:val="16"/>
                                </w:rPr>
                                <w:t>STA</w:t>
                              </w:r>
                              <w:r>
                                <w:rPr>
                                  <w:rFonts w:ascii="Times New Roman"/>
                                  <w:color w:val="283B6D"/>
                                  <w:spacing w:val="3"/>
                                  <w:w w:val="105"/>
                                  <w:sz w:val="16"/>
                                </w:rPr>
                                <w:t> </w:t>
                              </w:r>
                              <w:r>
                                <w:rPr>
                                  <w:rFonts w:ascii="Times New Roman"/>
                                  <w:color w:val="283B6D"/>
                                  <w:spacing w:val="-4"/>
                                  <w:w w:val="105"/>
                                  <w:sz w:val="16"/>
                                </w:rPr>
                                <w:t>RI</w:t>
                              </w:r>
                              <w:r>
                                <w:rPr>
                                  <w:rFonts w:ascii="Times New Roman"/>
                                  <w:color w:val="0F245B"/>
                                  <w:spacing w:val="-4"/>
                                  <w:w w:val="105"/>
                                  <w:sz w:val="16"/>
                                </w:rPr>
                                <w:t>C</w:t>
                              </w:r>
                              <w:r>
                                <w:rPr>
                                  <w:rFonts w:ascii="Times New Roman"/>
                                  <w:color w:val="283B6D"/>
                                  <w:spacing w:val="-4"/>
                                  <w:w w:val="105"/>
                                  <w:sz w:val="16"/>
                                </w:rPr>
                                <w:t>A</w:t>
                              </w:r>
                            </w:p>
                            <w:p>
                              <w:pPr>
                                <w:spacing w:line="240" w:lineRule="auto" w:before="126"/>
                                <w:rPr>
                                  <w:rFonts w:ascii="Times New Roman"/>
                                  <w:sz w:val="16"/>
                                </w:rPr>
                              </w:pPr>
                            </w:p>
                            <w:p>
                              <w:pPr>
                                <w:tabs>
                                  <w:tab w:pos="8922" w:val="left" w:leader="none"/>
                                </w:tabs>
                                <w:spacing w:line="226" w:lineRule="exact" w:before="1"/>
                                <w:ind w:left="0" w:right="0" w:firstLine="0"/>
                                <w:jc w:val="left"/>
                                <w:rPr>
                                  <w:sz w:val="20"/>
                                </w:rPr>
                              </w:pP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219</w:t>
                              </w:r>
                              <w:r>
                                <w:rPr>
                                  <w:color w:val="172951"/>
                                  <w:sz w:val="20"/>
                                  <w:u w:val="single" w:color="000000"/>
                                </w:rPr>
                                <w:tab/>
                              </w:r>
                            </w:p>
                          </w:txbxContent>
                        </wps:txbx>
                        <wps:bodyPr wrap="square" lIns="0" tIns="0" rIns="0" bIns="0" rtlCol="0">
                          <a:noAutofit/>
                        </wps:bodyPr>
                      </wps:wsp>
                      <wps:wsp>
                        <wps:cNvPr id="1132" name="Textbox 1132"/>
                        <wps:cNvSpPr txBox="1"/>
                        <wps:spPr>
                          <a:xfrm>
                            <a:off x="247001" y="3509455"/>
                            <a:ext cx="3395345" cy="140335"/>
                          </a:xfrm>
                          <a:prstGeom prst="rect">
                            <a:avLst/>
                          </a:prstGeom>
                        </wps:spPr>
                        <wps:txbx>
                          <w:txbxContent>
                            <w:p>
                              <w:pPr>
                                <w:tabs>
                                  <w:tab w:pos="359" w:val="left" w:leader="none"/>
                                </w:tabs>
                                <w:spacing w:line="221" w:lineRule="exact" w:before="0"/>
                                <w:ind w:left="0" w:right="0" w:firstLine="0"/>
                                <w:jc w:val="left"/>
                                <w:rPr>
                                  <w:sz w:val="22"/>
                                </w:rPr>
                              </w:pPr>
                              <w:r>
                                <w:rPr>
                                  <w:spacing w:val="-5"/>
                                  <w:sz w:val="22"/>
                                </w:rPr>
                                <w:t>g)</w:t>
                              </w:r>
                              <w:r>
                                <w:rPr>
                                  <w:sz w:val="22"/>
                                </w:rPr>
                                <w:tab/>
                              </w:r>
                              <w:r>
                                <w:rPr>
                                  <w:sz w:val="22"/>
                                  <w:u w:val="single"/>
                                </w:rPr>
                                <w:t>Conciliación</w:t>
                              </w:r>
                              <w:r>
                                <w:rPr>
                                  <w:spacing w:val="-5"/>
                                  <w:sz w:val="22"/>
                                  <w:u w:val="single"/>
                                </w:rPr>
                                <w:t> </w:t>
                              </w:r>
                              <w:r>
                                <w:rPr>
                                  <w:sz w:val="22"/>
                                  <w:u w:val="single"/>
                                </w:rPr>
                                <w:t>Presupuesto</w:t>
                              </w:r>
                              <w:r>
                                <w:rPr>
                                  <w:spacing w:val="-5"/>
                                  <w:sz w:val="22"/>
                                  <w:u w:val="single"/>
                                </w:rPr>
                                <w:t> </w:t>
                              </w:r>
                              <w:r>
                                <w:rPr>
                                  <w:sz w:val="22"/>
                                  <w:u w:val="single"/>
                                </w:rPr>
                                <w:t>/</w:t>
                              </w:r>
                              <w:r>
                                <w:rPr>
                                  <w:spacing w:val="-8"/>
                                  <w:sz w:val="22"/>
                                  <w:u w:val="single"/>
                                </w:rPr>
                                <w:t> </w:t>
                              </w:r>
                              <w:r>
                                <w:rPr>
                                  <w:sz w:val="22"/>
                                  <w:u w:val="single"/>
                                </w:rPr>
                                <w:t>Flujo</w:t>
                              </w:r>
                              <w:r>
                                <w:rPr>
                                  <w:spacing w:val="-4"/>
                                  <w:sz w:val="22"/>
                                  <w:u w:val="single"/>
                                </w:rPr>
                                <w:t> </w:t>
                              </w:r>
                              <w:r>
                                <w:rPr>
                                  <w:sz w:val="22"/>
                                  <w:u w:val="single"/>
                                </w:rPr>
                                <w:t>de</w:t>
                              </w:r>
                              <w:r>
                                <w:rPr>
                                  <w:spacing w:val="-5"/>
                                  <w:sz w:val="22"/>
                                  <w:u w:val="single"/>
                                </w:rPr>
                                <w:t> </w:t>
                              </w:r>
                              <w:r>
                                <w:rPr>
                                  <w:sz w:val="22"/>
                                  <w:u w:val="single"/>
                                </w:rPr>
                                <w:t>Efectivo</w:t>
                              </w:r>
                              <w:r>
                                <w:rPr>
                                  <w:spacing w:val="-7"/>
                                  <w:sz w:val="22"/>
                                  <w:u w:val="single"/>
                                </w:rPr>
                                <w:t> </w:t>
                              </w:r>
                              <w:r>
                                <w:rPr>
                                  <w:sz w:val="22"/>
                                  <w:u w:val="single"/>
                                </w:rPr>
                                <w:t>(Párrafo</w:t>
                              </w:r>
                              <w:r>
                                <w:rPr>
                                  <w:spacing w:val="-5"/>
                                  <w:sz w:val="22"/>
                                  <w:u w:val="single"/>
                                </w:rPr>
                                <w:t> 47)</w:t>
                              </w:r>
                            </w:p>
                          </w:txbxContent>
                        </wps:txbx>
                        <wps:bodyPr wrap="square" lIns="0" tIns="0" rIns="0" bIns="0" rtlCol="0">
                          <a:noAutofit/>
                        </wps:bodyPr>
                      </wps:wsp>
                      <wps:wsp>
                        <wps:cNvPr id="1133" name="Textbox 1133"/>
                        <wps:cNvSpPr txBox="1"/>
                        <wps:spPr>
                          <a:xfrm>
                            <a:off x="22895" y="3822246"/>
                            <a:ext cx="5711825" cy="695960"/>
                          </a:xfrm>
                          <a:prstGeom prst="rect">
                            <a:avLst/>
                          </a:prstGeom>
                        </wps:spPr>
                        <wps:txbx>
                          <w:txbxContent>
                            <w:p>
                              <w:pPr>
                                <w:spacing w:before="17"/>
                                <w:ind w:left="62" w:right="0" w:firstLine="0"/>
                                <w:jc w:val="left"/>
                                <w:rPr>
                                  <w:b/>
                                  <w:i/>
                                  <w:sz w:val="23"/>
                                </w:rPr>
                              </w:pPr>
                              <w:r>
                                <w:rPr>
                                  <w:b/>
                                  <w:i/>
                                  <w:spacing w:val="-2"/>
                                  <w:sz w:val="23"/>
                                </w:rPr>
                                <w:t>Revelación:</w:t>
                              </w:r>
                            </w:p>
                            <w:p>
                              <w:pPr>
                                <w:spacing w:before="176"/>
                                <w:ind w:left="62" w:right="143" w:firstLine="0"/>
                                <w:jc w:val="left"/>
                                <w:rPr>
                                  <w:sz w:val="22"/>
                                </w:rPr>
                              </w:pPr>
                              <w:r>
                                <w:rPr>
                                  <w:sz w:val="22"/>
                                </w:rPr>
                                <w:t>La</w:t>
                              </w:r>
                              <w:r>
                                <w:rPr>
                                  <w:spacing w:val="-4"/>
                                  <w:sz w:val="22"/>
                                </w:rPr>
                                <w:t> </w:t>
                              </w:r>
                              <w:r>
                                <w:rPr>
                                  <w:sz w:val="22"/>
                                </w:rPr>
                                <w:t>comparación</w:t>
                              </w:r>
                              <w:r>
                                <w:rPr>
                                  <w:spacing w:val="-5"/>
                                  <w:sz w:val="22"/>
                                </w:rPr>
                                <w:t> </w:t>
                              </w:r>
                              <w:r>
                                <w:rPr>
                                  <w:sz w:val="22"/>
                                </w:rPr>
                                <w:t>del</w:t>
                              </w:r>
                              <w:r>
                                <w:rPr>
                                  <w:spacing w:val="-3"/>
                                  <w:sz w:val="22"/>
                                </w:rPr>
                                <w:t> </w:t>
                              </w:r>
                              <w:r>
                                <w:rPr>
                                  <w:sz w:val="22"/>
                                </w:rPr>
                                <w:t>superávit</w:t>
                              </w:r>
                              <w:r>
                                <w:rPr>
                                  <w:spacing w:val="-3"/>
                                  <w:sz w:val="22"/>
                                </w:rPr>
                                <w:t> </w:t>
                              </w:r>
                              <w:r>
                                <w:rPr>
                                  <w:sz w:val="22"/>
                                </w:rPr>
                                <w:t>con</w:t>
                              </w:r>
                              <w:r>
                                <w:rPr>
                                  <w:spacing w:val="-3"/>
                                  <w:sz w:val="22"/>
                                </w:rPr>
                                <w:t> </w:t>
                              </w:r>
                              <w:r>
                                <w:rPr>
                                  <w:sz w:val="22"/>
                                </w:rPr>
                                <w:t>las</w:t>
                              </w:r>
                              <w:r>
                                <w:rPr>
                                  <w:spacing w:val="-2"/>
                                  <w:sz w:val="22"/>
                                </w:rPr>
                                <w:t> </w:t>
                              </w:r>
                              <w:r>
                                <w:rPr>
                                  <w:sz w:val="22"/>
                                </w:rPr>
                                <w:t>actividades</w:t>
                              </w:r>
                              <w:r>
                                <w:rPr>
                                  <w:spacing w:val="-2"/>
                                  <w:sz w:val="22"/>
                                </w:rPr>
                                <w:t> </w:t>
                              </w:r>
                              <w:r>
                                <w:rPr>
                                  <w:sz w:val="22"/>
                                </w:rPr>
                                <w:t>de</w:t>
                              </w:r>
                              <w:r>
                                <w:rPr>
                                  <w:spacing w:val="-5"/>
                                  <w:sz w:val="22"/>
                                </w:rPr>
                                <w:t> </w:t>
                              </w:r>
                              <w:r>
                                <w:rPr>
                                  <w:sz w:val="22"/>
                                </w:rPr>
                                <w:t>operación,</w:t>
                              </w:r>
                              <w:r>
                                <w:rPr>
                                  <w:spacing w:val="-3"/>
                                  <w:sz w:val="22"/>
                                </w:rPr>
                                <w:t> </w:t>
                              </w:r>
                              <w:r>
                                <w:rPr>
                                  <w:sz w:val="22"/>
                                </w:rPr>
                                <w:t>inversión</w:t>
                              </w:r>
                              <w:r>
                                <w:rPr>
                                  <w:spacing w:val="-3"/>
                                  <w:sz w:val="22"/>
                                </w:rPr>
                                <w:t> </w:t>
                              </w:r>
                              <w:r>
                                <w:rPr>
                                  <w:sz w:val="22"/>
                                </w:rPr>
                                <w:t>y</w:t>
                              </w:r>
                              <w:r>
                                <w:rPr>
                                  <w:spacing w:val="-4"/>
                                  <w:sz w:val="22"/>
                                </w:rPr>
                                <w:t> </w:t>
                              </w:r>
                              <w:r>
                                <w:rPr>
                                  <w:sz w:val="22"/>
                                </w:rPr>
                                <w:t>financiamiento</w:t>
                              </w:r>
                              <w:r>
                                <w:rPr>
                                  <w:spacing w:val="-5"/>
                                  <w:sz w:val="22"/>
                                </w:rPr>
                                <w:t> </w:t>
                              </w:r>
                              <w:r>
                                <w:rPr>
                                  <w:sz w:val="22"/>
                                </w:rPr>
                                <w:t>se muestran a continuación:</w:t>
                              </w:r>
                            </w:p>
                          </w:txbxContent>
                        </wps:txbx>
                        <wps:bodyPr wrap="square" lIns="0" tIns="0" rIns="0" bIns="0" rtlCol="0">
                          <a:noAutofit/>
                        </wps:bodyPr>
                      </wps:wsp>
                    </wpg:wgp>
                  </a:graphicData>
                </a:graphic>
              </wp:anchor>
            </w:drawing>
          </mc:Choice>
          <mc:Fallback>
            <w:pict>
              <v:group style="position:absolute;margin-left:83.651047pt;margin-top:14.180509pt;width:452.9pt;height:356.75pt;mso-position-horizontal-relative:page;mso-position-vertical-relative:paragraph;z-index:-29563392" id="docshapegroup1073" coordorigin="1673,284" coordsize="9058,7135">
                <v:shape style="position:absolute;left:1701;top:6283;width:9010;height:1135" id="docshape1074" coordorigin="1702,6284" coordsize="9010,1135" path="m1702,7418l1702,6284m10711,7418l10711,6284e" filled="false" stroked="true" strokeweight=".721001pt" strokecolor="#000000">
                  <v:path arrowok="t"/>
                  <v:stroke dashstyle="solid"/>
                </v:shape>
                <v:line style="position:absolute" from="5615,286" to="7846,286" stroked="true" strokeweight=".240291pt" strokecolor="#000000">
                  <v:stroke dashstyle="solid"/>
                </v:line>
                <v:shape style="position:absolute;left:1692;top:6298;width:9039;height:1106" id="docshape1075" coordorigin="1692,6298" coordsize="9039,1106" path="m1692,6298l10730,6298m1692,7403l10730,7403e" filled="false" stroked="true" strokeweight=".480667pt" strokecolor="#000000">
                  <v:path arrowok="t"/>
                  <v:stroke dashstyle="solid"/>
                </v:shape>
                <v:shape style="position:absolute;left:1673;top:359;width:8943;height:715" type="#_x0000_t202" id="docshape1076" filled="false" stroked="false">
                  <v:textbox inset="0,0,0,0">
                    <w:txbxContent>
                      <w:p>
                        <w:pPr>
                          <w:spacing w:line="177" w:lineRule="exact" w:before="0"/>
                          <w:ind w:left="3946" w:right="0" w:firstLine="0"/>
                          <w:jc w:val="left"/>
                          <w:rPr>
                            <w:rFonts w:ascii="Times New Roman"/>
                            <w:sz w:val="16"/>
                          </w:rPr>
                        </w:pPr>
                        <w:r>
                          <w:rPr>
                            <w:rFonts w:ascii="Times New Roman"/>
                            <w:color w:val="283B6D"/>
                            <w:w w:val="105"/>
                            <w:sz w:val="16"/>
                          </w:rPr>
                          <w:t>G</w:t>
                        </w:r>
                        <w:r>
                          <w:rPr>
                            <w:rFonts w:ascii="Times New Roman"/>
                            <w:color w:val="0F245B"/>
                            <w:w w:val="105"/>
                            <w:sz w:val="16"/>
                          </w:rPr>
                          <w:t>OB</w:t>
                        </w:r>
                        <w:r>
                          <w:rPr>
                            <w:rFonts w:ascii="Times New Roman"/>
                            <w:color w:val="283B6D"/>
                            <w:w w:val="105"/>
                            <w:sz w:val="16"/>
                          </w:rPr>
                          <w:t>IERN</w:t>
                        </w:r>
                        <w:r>
                          <w:rPr>
                            <w:rFonts w:ascii="Times New Roman"/>
                            <w:color w:val="0F245B"/>
                            <w:w w:val="105"/>
                            <w:sz w:val="16"/>
                          </w:rPr>
                          <w:t>O</w:t>
                        </w:r>
                        <w:r>
                          <w:rPr>
                            <w:rFonts w:ascii="Times New Roman"/>
                            <w:color w:val="0F245B"/>
                            <w:spacing w:val="18"/>
                            <w:w w:val="105"/>
                            <w:sz w:val="16"/>
                          </w:rPr>
                          <w:t> </w:t>
                        </w:r>
                        <w:r>
                          <w:rPr>
                            <w:rFonts w:ascii="Times New Roman"/>
                            <w:color w:val="0F245B"/>
                            <w:w w:val="105"/>
                            <w:sz w:val="16"/>
                          </w:rPr>
                          <w:t>D</w:t>
                        </w:r>
                        <w:r>
                          <w:rPr>
                            <w:rFonts w:ascii="Times New Roman"/>
                            <w:color w:val="283B6D"/>
                            <w:w w:val="105"/>
                            <w:sz w:val="16"/>
                          </w:rPr>
                          <w:t>E</w:t>
                        </w:r>
                        <w:r>
                          <w:rPr>
                            <w:rFonts w:ascii="Times New Roman"/>
                            <w:color w:val="283B6D"/>
                            <w:spacing w:val="4"/>
                            <w:w w:val="105"/>
                            <w:sz w:val="16"/>
                          </w:rPr>
                          <w:t> </w:t>
                        </w:r>
                        <w:r>
                          <w:rPr>
                            <w:rFonts w:ascii="Times New Roman"/>
                            <w:color w:val="0F245B"/>
                            <w:w w:val="105"/>
                            <w:sz w:val="16"/>
                          </w:rPr>
                          <w:t>CO</w:t>
                        </w:r>
                        <w:r>
                          <w:rPr>
                            <w:rFonts w:ascii="Times New Roman"/>
                            <w:color w:val="283B6D"/>
                            <w:w w:val="105"/>
                            <w:sz w:val="16"/>
                          </w:rPr>
                          <w:t>STA</w:t>
                        </w:r>
                        <w:r>
                          <w:rPr>
                            <w:rFonts w:ascii="Times New Roman"/>
                            <w:color w:val="283B6D"/>
                            <w:spacing w:val="3"/>
                            <w:w w:val="105"/>
                            <w:sz w:val="16"/>
                          </w:rPr>
                          <w:t> </w:t>
                        </w:r>
                        <w:r>
                          <w:rPr>
                            <w:rFonts w:ascii="Times New Roman"/>
                            <w:color w:val="283B6D"/>
                            <w:spacing w:val="-4"/>
                            <w:w w:val="105"/>
                            <w:sz w:val="16"/>
                          </w:rPr>
                          <w:t>RI</w:t>
                        </w:r>
                        <w:r>
                          <w:rPr>
                            <w:rFonts w:ascii="Times New Roman"/>
                            <w:color w:val="0F245B"/>
                            <w:spacing w:val="-4"/>
                            <w:w w:val="105"/>
                            <w:sz w:val="16"/>
                          </w:rPr>
                          <w:t>C</w:t>
                        </w:r>
                        <w:r>
                          <w:rPr>
                            <w:rFonts w:ascii="Times New Roman"/>
                            <w:color w:val="283B6D"/>
                            <w:spacing w:val="-4"/>
                            <w:w w:val="105"/>
                            <w:sz w:val="16"/>
                          </w:rPr>
                          <w:t>A</w:t>
                        </w:r>
                      </w:p>
                      <w:p>
                        <w:pPr>
                          <w:spacing w:line="240" w:lineRule="auto" w:before="126"/>
                          <w:rPr>
                            <w:rFonts w:ascii="Times New Roman"/>
                            <w:sz w:val="16"/>
                          </w:rPr>
                        </w:pPr>
                      </w:p>
                      <w:p>
                        <w:pPr>
                          <w:tabs>
                            <w:tab w:pos="8922" w:val="left" w:leader="none"/>
                          </w:tabs>
                          <w:spacing w:line="226" w:lineRule="exact" w:before="1"/>
                          <w:ind w:left="0" w:right="0" w:firstLine="0"/>
                          <w:jc w:val="left"/>
                          <w:rPr>
                            <w:sz w:val="20"/>
                          </w:rPr>
                        </w:pP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219</w:t>
                        </w:r>
                        <w:r>
                          <w:rPr>
                            <w:color w:val="172951"/>
                            <w:sz w:val="20"/>
                            <w:u w:val="single" w:color="000000"/>
                          </w:rPr>
                          <w:tab/>
                        </w:r>
                      </w:p>
                    </w:txbxContent>
                  </v:textbox>
                  <w10:wrap type="none"/>
                </v:shape>
                <v:shape style="position:absolute;left:2062;top:5810;width:5347;height:221" type="#_x0000_t202" id="docshape1077" filled="false" stroked="false">
                  <v:textbox inset="0,0,0,0">
                    <w:txbxContent>
                      <w:p>
                        <w:pPr>
                          <w:tabs>
                            <w:tab w:pos="359" w:val="left" w:leader="none"/>
                          </w:tabs>
                          <w:spacing w:line="221" w:lineRule="exact" w:before="0"/>
                          <w:ind w:left="0" w:right="0" w:firstLine="0"/>
                          <w:jc w:val="left"/>
                          <w:rPr>
                            <w:sz w:val="22"/>
                          </w:rPr>
                        </w:pPr>
                        <w:r>
                          <w:rPr>
                            <w:spacing w:val="-5"/>
                            <w:sz w:val="22"/>
                          </w:rPr>
                          <w:t>g)</w:t>
                        </w:r>
                        <w:r>
                          <w:rPr>
                            <w:sz w:val="22"/>
                          </w:rPr>
                          <w:tab/>
                        </w:r>
                        <w:r>
                          <w:rPr>
                            <w:sz w:val="22"/>
                            <w:u w:val="single"/>
                          </w:rPr>
                          <w:t>Conciliación</w:t>
                        </w:r>
                        <w:r>
                          <w:rPr>
                            <w:spacing w:val="-5"/>
                            <w:sz w:val="22"/>
                            <w:u w:val="single"/>
                          </w:rPr>
                          <w:t> </w:t>
                        </w:r>
                        <w:r>
                          <w:rPr>
                            <w:sz w:val="22"/>
                            <w:u w:val="single"/>
                          </w:rPr>
                          <w:t>Presupuesto</w:t>
                        </w:r>
                        <w:r>
                          <w:rPr>
                            <w:spacing w:val="-5"/>
                            <w:sz w:val="22"/>
                            <w:u w:val="single"/>
                          </w:rPr>
                          <w:t> </w:t>
                        </w:r>
                        <w:r>
                          <w:rPr>
                            <w:sz w:val="22"/>
                            <w:u w:val="single"/>
                          </w:rPr>
                          <w:t>/</w:t>
                        </w:r>
                        <w:r>
                          <w:rPr>
                            <w:spacing w:val="-8"/>
                            <w:sz w:val="22"/>
                            <w:u w:val="single"/>
                          </w:rPr>
                          <w:t> </w:t>
                        </w:r>
                        <w:r>
                          <w:rPr>
                            <w:sz w:val="22"/>
                            <w:u w:val="single"/>
                          </w:rPr>
                          <w:t>Flujo</w:t>
                        </w:r>
                        <w:r>
                          <w:rPr>
                            <w:spacing w:val="-4"/>
                            <w:sz w:val="22"/>
                            <w:u w:val="single"/>
                          </w:rPr>
                          <w:t> </w:t>
                        </w:r>
                        <w:r>
                          <w:rPr>
                            <w:sz w:val="22"/>
                            <w:u w:val="single"/>
                          </w:rPr>
                          <w:t>de</w:t>
                        </w:r>
                        <w:r>
                          <w:rPr>
                            <w:spacing w:val="-5"/>
                            <w:sz w:val="22"/>
                            <w:u w:val="single"/>
                          </w:rPr>
                          <w:t> </w:t>
                        </w:r>
                        <w:r>
                          <w:rPr>
                            <w:sz w:val="22"/>
                            <w:u w:val="single"/>
                          </w:rPr>
                          <w:t>Efectivo</w:t>
                        </w:r>
                        <w:r>
                          <w:rPr>
                            <w:spacing w:val="-7"/>
                            <w:sz w:val="22"/>
                            <w:u w:val="single"/>
                          </w:rPr>
                          <w:t> </w:t>
                        </w:r>
                        <w:r>
                          <w:rPr>
                            <w:sz w:val="22"/>
                            <w:u w:val="single"/>
                          </w:rPr>
                          <w:t>(Párrafo</w:t>
                        </w:r>
                        <w:r>
                          <w:rPr>
                            <w:spacing w:val="-5"/>
                            <w:sz w:val="22"/>
                            <w:u w:val="single"/>
                          </w:rPr>
                          <w:t> 47)</w:t>
                        </w:r>
                      </w:p>
                    </w:txbxContent>
                  </v:textbox>
                  <w10:wrap type="none"/>
                </v:shape>
                <v:shape style="position:absolute;left:1709;top:6302;width:8995;height:1096" type="#_x0000_t202" id="docshape1078" filled="false" stroked="false">
                  <v:textbox inset="0,0,0,0">
                    <w:txbxContent>
                      <w:p>
                        <w:pPr>
                          <w:spacing w:before="17"/>
                          <w:ind w:left="62" w:right="0" w:firstLine="0"/>
                          <w:jc w:val="left"/>
                          <w:rPr>
                            <w:b/>
                            <w:i/>
                            <w:sz w:val="23"/>
                          </w:rPr>
                        </w:pPr>
                        <w:r>
                          <w:rPr>
                            <w:b/>
                            <w:i/>
                            <w:spacing w:val="-2"/>
                            <w:sz w:val="23"/>
                          </w:rPr>
                          <w:t>Revelación:</w:t>
                        </w:r>
                      </w:p>
                      <w:p>
                        <w:pPr>
                          <w:spacing w:before="176"/>
                          <w:ind w:left="62" w:right="143" w:firstLine="0"/>
                          <w:jc w:val="left"/>
                          <w:rPr>
                            <w:sz w:val="22"/>
                          </w:rPr>
                        </w:pPr>
                        <w:r>
                          <w:rPr>
                            <w:sz w:val="22"/>
                          </w:rPr>
                          <w:t>La</w:t>
                        </w:r>
                        <w:r>
                          <w:rPr>
                            <w:spacing w:val="-4"/>
                            <w:sz w:val="22"/>
                          </w:rPr>
                          <w:t> </w:t>
                        </w:r>
                        <w:r>
                          <w:rPr>
                            <w:sz w:val="22"/>
                          </w:rPr>
                          <w:t>comparación</w:t>
                        </w:r>
                        <w:r>
                          <w:rPr>
                            <w:spacing w:val="-5"/>
                            <w:sz w:val="22"/>
                          </w:rPr>
                          <w:t> </w:t>
                        </w:r>
                        <w:r>
                          <w:rPr>
                            <w:sz w:val="22"/>
                          </w:rPr>
                          <w:t>del</w:t>
                        </w:r>
                        <w:r>
                          <w:rPr>
                            <w:spacing w:val="-3"/>
                            <w:sz w:val="22"/>
                          </w:rPr>
                          <w:t> </w:t>
                        </w:r>
                        <w:r>
                          <w:rPr>
                            <w:sz w:val="22"/>
                          </w:rPr>
                          <w:t>superávit</w:t>
                        </w:r>
                        <w:r>
                          <w:rPr>
                            <w:spacing w:val="-3"/>
                            <w:sz w:val="22"/>
                          </w:rPr>
                          <w:t> </w:t>
                        </w:r>
                        <w:r>
                          <w:rPr>
                            <w:sz w:val="22"/>
                          </w:rPr>
                          <w:t>con</w:t>
                        </w:r>
                        <w:r>
                          <w:rPr>
                            <w:spacing w:val="-3"/>
                            <w:sz w:val="22"/>
                          </w:rPr>
                          <w:t> </w:t>
                        </w:r>
                        <w:r>
                          <w:rPr>
                            <w:sz w:val="22"/>
                          </w:rPr>
                          <w:t>las</w:t>
                        </w:r>
                        <w:r>
                          <w:rPr>
                            <w:spacing w:val="-2"/>
                            <w:sz w:val="22"/>
                          </w:rPr>
                          <w:t> </w:t>
                        </w:r>
                        <w:r>
                          <w:rPr>
                            <w:sz w:val="22"/>
                          </w:rPr>
                          <w:t>actividades</w:t>
                        </w:r>
                        <w:r>
                          <w:rPr>
                            <w:spacing w:val="-2"/>
                            <w:sz w:val="22"/>
                          </w:rPr>
                          <w:t> </w:t>
                        </w:r>
                        <w:r>
                          <w:rPr>
                            <w:sz w:val="22"/>
                          </w:rPr>
                          <w:t>de</w:t>
                        </w:r>
                        <w:r>
                          <w:rPr>
                            <w:spacing w:val="-5"/>
                            <w:sz w:val="22"/>
                          </w:rPr>
                          <w:t> </w:t>
                        </w:r>
                        <w:r>
                          <w:rPr>
                            <w:sz w:val="22"/>
                          </w:rPr>
                          <w:t>operación,</w:t>
                        </w:r>
                        <w:r>
                          <w:rPr>
                            <w:spacing w:val="-3"/>
                            <w:sz w:val="22"/>
                          </w:rPr>
                          <w:t> </w:t>
                        </w:r>
                        <w:r>
                          <w:rPr>
                            <w:sz w:val="22"/>
                          </w:rPr>
                          <w:t>inversión</w:t>
                        </w:r>
                        <w:r>
                          <w:rPr>
                            <w:spacing w:val="-3"/>
                            <w:sz w:val="22"/>
                          </w:rPr>
                          <w:t> </w:t>
                        </w:r>
                        <w:r>
                          <w:rPr>
                            <w:sz w:val="22"/>
                          </w:rPr>
                          <w:t>y</w:t>
                        </w:r>
                        <w:r>
                          <w:rPr>
                            <w:spacing w:val="-4"/>
                            <w:sz w:val="22"/>
                          </w:rPr>
                          <w:t> </w:t>
                        </w:r>
                        <w:r>
                          <w:rPr>
                            <w:sz w:val="22"/>
                          </w:rPr>
                          <w:t>financiamiento</w:t>
                        </w:r>
                        <w:r>
                          <w:rPr>
                            <w:spacing w:val="-5"/>
                            <w:sz w:val="22"/>
                          </w:rPr>
                          <w:t> </w:t>
                        </w:r>
                        <w:r>
                          <w:rPr>
                            <w:sz w:val="22"/>
                          </w:rPr>
                          <w:t>se muestran a continuación:</w:t>
                        </w:r>
                      </w:p>
                    </w:txbxContent>
                  </v:textbox>
                  <w10:wrap type="none"/>
                </v:shape>
                <w10:wrap type="none"/>
              </v:group>
            </w:pict>
          </mc:Fallback>
        </mc:AlternateContent>
      </w:r>
      <w:r>
        <w:rPr>
          <w:rFonts w:ascii="Times New Roman"/>
        </w:rPr>
        <mc:AlternateContent>
          <mc:Choice Requires="wps">
            <w:drawing>
              <wp:anchor distT="0" distB="0" distL="0" distR="0" allowOverlap="1" layoutInCell="1" locked="0" behindDoc="1" simplePos="0" relativeHeight="473753600">
                <wp:simplePos x="0" y="0"/>
                <wp:positionH relativeFrom="page">
                  <wp:posOffset>1074579</wp:posOffset>
                </wp:positionH>
                <wp:positionV relativeFrom="paragraph">
                  <wp:posOffset>801112</wp:posOffset>
                </wp:positionV>
                <wp:extent cx="6032500" cy="2432685"/>
                <wp:effectExtent l="0" t="0" r="0" b="0"/>
                <wp:wrapNone/>
                <wp:docPr id="1134" name="Group 1134"/>
                <wp:cNvGraphicFramePr>
                  <a:graphicFrameLocks/>
                </wp:cNvGraphicFramePr>
                <a:graphic>
                  <a:graphicData uri="http://schemas.microsoft.com/office/word/2010/wordprocessingGroup">
                    <wpg:wgp>
                      <wpg:cNvPr id="1134" name="Group 1134"/>
                      <wpg:cNvGrpSpPr/>
                      <wpg:grpSpPr>
                        <a:xfrm>
                          <a:off x="0" y="0"/>
                          <a:ext cx="6032500" cy="2432685"/>
                          <a:chExt cx="6032500" cy="2432685"/>
                        </a:xfrm>
                      </wpg:grpSpPr>
                      <wps:wsp>
                        <wps:cNvPr id="1135" name="Graphic 1135"/>
                        <wps:cNvSpPr/>
                        <wps:spPr>
                          <a:xfrm>
                            <a:off x="6105" y="3051"/>
                            <a:ext cx="1270" cy="2429510"/>
                          </a:xfrm>
                          <a:custGeom>
                            <a:avLst/>
                            <a:gdLst/>
                            <a:ahLst/>
                            <a:cxnLst/>
                            <a:rect l="l" t="t" r="r" b="b"/>
                            <a:pathLst>
                              <a:path w="0" h="2429510">
                                <a:moveTo>
                                  <a:pt x="0" y="242914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136" name="Graphic 1136"/>
                        <wps:cNvSpPr/>
                        <wps:spPr>
                          <a:xfrm>
                            <a:off x="0" y="3051"/>
                            <a:ext cx="6032500" cy="2429510"/>
                          </a:xfrm>
                          <a:custGeom>
                            <a:avLst/>
                            <a:gdLst/>
                            <a:ahLst/>
                            <a:cxnLst/>
                            <a:rect l="l" t="t" r="r" b="b"/>
                            <a:pathLst>
                              <a:path w="6032500" h="2429510">
                                <a:moveTo>
                                  <a:pt x="6026192" y="2429148"/>
                                </a:moveTo>
                                <a:lnTo>
                                  <a:pt x="6026192" y="0"/>
                                </a:lnTo>
                              </a:path>
                              <a:path w="6032500" h="2429510">
                                <a:moveTo>
                                  <a:pt x="0" y="0"/>
                                </a:moveTo>
                                <a:lnTo>
                                  <a:pt x="6032298" y="0"/>
                                </a:lnTo>
                              </a:path>
                              <a:path w="6032500" h="2429510">
                                <a:moveTo>
                                  <a:pt x="0" y="2413890"/>
                                </a:moveTo>
                                <a:lnTo>
                                  <a:pt x="6032298" y="2413890"/>
                                </a:lnTo>
                              </a:path>
                            </a:pathLst>
                          </a:custGeom>
                          <a:ln w="6104">
                            <a:solidFill>
                              <a:srgbClr val="000000"/>
                            </a:solidFill>
                            <a:prstDash val="solid"/>
                          </a:ln>
                        </wps:spPr>
                        <wps:bodyPr wrap="square" lIns="0" tIns="0" rIns="0" bIns="0" rtlCol="0">
                          <a:prstTxWarp prst="textNoShape">
                            <a:avLst/>
                          </a:prstTxWarp>
                          <a:noAutofit/>
                        </wps:bodyPr>
                      </wps:wsp>
                      <wps:wsp>
                        <wps:cNvPr id="1137" name="Textbox 1137"/>
                        <wps:cNvSpPr txBox="1"/>
                        <wps:spPr>
                          <a:xfrm>
                            <a:off x="0" y="0"/>
                            <a:ext cx="6032500" cy="2432685"/>
                          </a:xfrm>
                          <a:prstGeom prst="rect">
                            <a:avLst/>
                          </a:prstGeom>
                        </wps:spPr>
                        <wps:txbx>
                          <w:txbxContent>
                            <w:p>
                              <w:pPr>
                                <w:spacing w:before="41"/>
                                <w:ind w:left="549" w:right="0" w:firstLine="0"/>
                                <w:jc w:val="left"/>
                                <w:rPr>
                                  <w:sz w:val="22"/>
                                </w:rPr>
                              </w:pPr>
                              <w:r>
                                <w:rPr>
                                  <w:sz w:val="22"/>
                                </w:rPr>
                                <w:t>A</w:t>
                              </w:r>
                              <w:r>
                                <w:rPr>
                                  <w:spacing w:val="-5"/>
                                  <w:sz w:val="22"/>
                                </w:rPr>
                                <w:t> </w:t>
                              </w:r>
                              <w:r>
                                <w:rPr>
                                  <w:sz w:val="22"/>
                                </w:rPr>
                                <w:t>continuación,</w:t>
                              </w:r>
                              <w:r>
                                <w:rPr>
                                  <w:spacing w:val="-5"/>
                                  <w:sz w:val="22"/>
                                </w:rPr>
                                <w:t> </w:t>
                              </w:r>
                              <w:r>
                                <w:rPr>
                                  <w:sz w:val="22"/>
                                </w:rPr>
                                <w:t>se</w:t>
                              </w:r>
                              <w:r>
                                <w:rPr>
                                  <w:spacing w:val="-4"/>
                                  <w:sz w:val="22"/>
                                </w:rPr>
                                <w:t> </w:t>
                              </w:r>
                              <w:r>
                                <w:rPr>
                                  <w:sz w:val="22"/>
                                </w:rPr>
                                <w:t>presenta</w:t>
                              </w:r>
                              <w:r>
                                <w:rPr>
                                  <w:spacing w:val="-5"/>
                                  <w:sz w:val="22"/>
                                </w:rPr>
                                <w:t> </w:t>
                              </w:r>
                              <w:r>
                                <w:rPr>
                                  <w:sz w:val="22"/>
                                </w:rPr>
                                <w:t>para</w:t>
                              </w:r>
                              <w:r>
                                <w:rPr>
                                  <w:spacing w:val="-4"/>
                                  <w:sz w:val="22"/>
                                </w:rPr>
                                <w:t> </w:t>
                              </w:r>
                              <w:r>
                                <w:rPr>
                                  <w:sz w:val="22"/>
                                </w:rPr>
                                <w:t>efectos</w:t>
                              </w:r>
                              <w:r>
                                <w:rPr>
                                  <w:spacing w:val="-2"/>
                                  <w:sz w:val="22"/>
                                </w:rPr>
                                <w:t> </w:t>
                              </w:r>
                              <w:r>
                                <w:rPr>
                                  <w:sz w:val="22"/>
                                </w:rPr>
                                <w:t>de</w:t>
                              </w:r>
                              <w:r>
                                <w:rPr>
                                  <w:spacing w:val="-5"/>
                                  <w:sz w:val="22"/>
                                </w:rPr>
                                <w:t> </w:t>
                              </w:r>
                              <w:r>
                                <w:rPr>
                                  <w:sz w:val="22"/>
                                </w:rPr>
                                <w:t>información</w:t>
                              </w:r>
                              <w:r>
                                <w:rPr>
                                  <w:spacing w:val="-2"/>
                                  <w:sz w:val="22"/>
                                </w:rPr>
                                <w:t> </w:t>
                              </w:r>
                              <w:r>
                                <w:rPr>
                                  <w:sz w:val="22"/>
                                </w:rPr>
                                <w:t>el</w:t>
                              </w:r>
                              <w:r>
                                <w:rPr>
                                  <w:spacing w:val="-3"/>
                                  <w:sz w:val="22"/>
                                </w:rPr>
                                <w:t> </w:t>
                              </w:r>
                              <w:r>
                                <w:rPr>
                                  <w:sz w:val="22"/>
                                </w:rPr>
                                <w:t>Superávit</w:t>
                              </w:r>
                              <w:r>
                                <w:rPr>
                                  <w:spacing w:val="-3"/>
                                  <w:sz w:val="22"/>
                                </w:rPr>
                                <w:t> </w:t>
                              </w:r>
                              <w:r>
                                <w:rPr>
                                  <w:sz w:val="22"/>
                                </w:rPr>
                                <w:t>Real</w:t>
                              </w:r>
                              <w:r>
                                <w:rPr>
                                  <w:spacing w:val="-3"/>
                                  <w:sz w:val="22"/>
                                </w:rPr>
                                <w:t> </w:t>
                              </w:r>
                              <w:r>
                                <w:rPr>
                                  <w:sz w:val="22"/>
                                </w:rPr>
                                <w:t>al</w:t>
                              </w:r>
                              <w:r>
                                <w:rPr>
                                  <w:spacing w:val="-1"/>
                                  <w:sz w:val="22"/>
                                </w:rPr>
                                <w:t> </w:t>
                              </w:r>
                              <w:r>
                                <w:rPr>
                                  <w:sz w:val="22"/>
                                </w:rPr>
                                <w:t>31</w:t>
                              </w:r>
                              <w:r>
                                <w:rPr>
                                  <w:spacing w:val="-3"/>
                                  <w:sz w:val="22"/>
                                </w:rPr>
                                <w:t> </w:t>
                              </w:r>
                              <w:r>
                                <w:rPr>
                                  <w:sz w:val="22"/>
                                </w:rPr>
                                <w:t>de</w:t>
                              </w:r>
                              <w:r>
                                <w:rPr>
                                  <w:spacing w:val="-5"/>
                                  <w:sz w:val="22"/>
                                </w:rPr>
                                <w:t> </w:t>
                              </w:r>
                              <w:r>
                                <w:rPr>
                                  <w:sz w:val="22"/>
                                </w:rPr>
                                <w:t>julio</w:t>
                              </w:r>
                              <w:r>
                                <w:rPr>
                                  <w:spacing w:val="-3"/>
                                  <w:sz w:val="22"/>
                                </w:rPr>
                                <w:t> </w:t>
                              </w:r>
                              <w:r>
                                <w:rPr>
                                  <w:sz w:val="22"/>
                                </w:rPr>
                                <w:t>de</w:t>
                              </w:r>
                              <w:r>
                                <w:rPr>
                                  <w:spacing w:val="-3"/>
                                  <w:sz w:val="22"/>
                                </w:rPr>
                                <w:t> </w:t>
                              </w:r>
                              <w:r>
                                <w:rPr>
                                  <w:spacing w:val="-2"/>
                                  <w:sz w:val="22"/>
                                </w:rPr>
                                <w:t>2026:</w:t>
                              </w:r>
                            </w:p>
                            <w:p>
                              <w:pPr>
                                <w:spacing w:line="249" w:lineRule="auto" w:before="196"/>
                                <w:ind w:left="3246" w:right="3136" w:firstLine="0"/>
                                <w:jc w:val="center"/>
                                <w:rPr>
                                  <w:rFonts w:ascii="Arial" w:hAnsi="Arial"/>
                                  <w:b/>
                                  <w:sz w:val="14"/>
                                </w:rPr>
                              </w:pPr>
                              <w:r>
                                <w:rPr>
                                  <w:rFonts w:ascii="Arial" w:hAnsi="Arial"/>
                                  <w:b/>
                                  <w:color w:val="030305"/>
                                  <w:sz w:val="14"/>
                                </w:rPr>
                                <w:t>RESUMEN DESUPERÁVITL REAL</w:t>
                              </w:r>
                              <w:r>
                                <w:rPr>
                                  <w:rFonts w:ascii="Arial" w:hAnsi="Arial"/>
                                  <w:b/>
                                  <w:color w:val="030305"/>
                                  <w:spacing w:val="40"/>
                                  <w:sz w:val="14"/>
                                </w:rPr>
                                <w:t> </w:t>
                              </w:r>
                              <w:r>
                                <w:rPr>
                                  <w:rFonts w:ascii="Arial" w:hAnsi="Arial"/>
                                  <w:b/>
                                  <w:color w:val="030305"/>
                                  <w:sz w:val="14"/>
                                </w:rPr>
                                <w:t>ACUMULADO AL </w:t>
                              </w:r>
                              <w:r>
                                <w:rPr>
                                  <w:rFonts w:ascii="Arial" w:hAnsi="Arial"/>
                                  <w:b/>
                                  <w:color w:val="131618"/>
                                  <w:sz w:val="14"/>
                                </w:rPr>
                                <w:t>31107/2026</w:t>
                              </w:r>
                            </w:p>
                            <w:p>
                              <w:pPr>
                                <w:spacing w:line="146" w:lineRule="exact" w:before="0"/>
                                <w:ind w:left="3246" w:right="3145" w:firstLine="0"/>
                                <w:jc w:val="center"/>
                                <w:rPr>
                                  <w:rFonts w:ascii="Arial"/>
                                  <w:b/>
                                  <w:sz w:val="12"/>
                                </w:rPr>
                              </w:pPr>
                              <w:r>
                                <w:rPr>
                                  <w:rFonts w:ascii="Arial"/>
                                  <w:color w:val="131618"/>
                                  <w:w w:val="105"/>
                                  <w:sz w:val="13"/>
                                </w:rPr>
                                <w:t>(En</w:t>
                              </w:r>
                              <w:r>
                                <w:rPr>
                                  <w:rFonts w:ascii="Arial"/>
                                  <w:color w:val="131618"/>
                                  <w:spacing w:val="-5"/>
                                  <w:w w:val="105"/>
                                  <w:sz w:val="13"/>
                                </w:rPr>
                                <w:t> </w:t>
                              </w:r>
                              <w:r>
                                <w:rPr>
                                  <w:rFonts w:ascii="Arial"/>
                                  <w:b/>
                                  <w:color w:val="131618"/>
                                  <w:w w:val="105"/>
                                  <w:sz w:val="12"/>
                                </w:rPr>
                                <w:t>miles</w:t>
                              </w:r>
                              <w:r>
                                <w:rPr>
                                  <w:rFonts w:ascii="Arial"/>
                                  <w:b/>
                                  <w:color w:val="131618"/>
                                  <w:spacing w:val="-9"/>
                                  <w:w w:val="105"/>
                                  <w:sz w:val="12"/>
                                </w:rPr>
                                <w:t> </w:t>
                              </w:r>
                              <w:r>
                                <w:rPr>
                                  <w:rFonts w:ascii="Arial"/>
                                  <w:b/>
                                  <w:color w:val="131618"/>
                                  <w:w w:val="105"/>
                                  <w:sz w:val="12"/>
                                </w:rPr>
                                <w:t>de</w:t>
                              </w:r>
                              <w:r>
                                <w:rPr>
                                  <w:rFonts w:ascii="Arial"/>
                                  <w:b/>
                                  <w:color w:val="131618"/>
                                  <w:spacing w:val="7"/>
                                  <w:w w:val="105"/>
                                  <w:sz w:val="12"/>
                                </w:rPr>
                                <w:t> </w:t>
                              </w:r>
                              <w:r>
                                <w:rPr>
                                  <w:rFonts w:ascii="Arial"/>
                                  <w:b/>
                                  <w:color w:val="131618"/>
                                  <w:spacing w:val="-2"/>
                                  <w:w w:val="105"/>
                                  <w:sz w:val="12"/>
                                </w:rPr>
                                <w:t>colones)</w:t>
                              </w:r>
                            </w:p>
                          </w:txbxContent>
                        </wps:txbx>
                        <wps:bodyPr wrap="square" lIns="0" tIns="0" rIns="0" bIns="0" rtlCol="0">
                          <a:noAutofit/>
                        </wps:bodyPr>
                      </wps:wsp>
                    </wpg:wgp>
                  </a:graphicData>
                </a:graphic>
              </wp:anchor>
            </w:drawing>
          </mc:Choice>
          <mc:Fallback>
            <w:pict>
              <v:group style="position:absolute;margin-left:84.612549pt;margin-top:63.079704pt;width:475pt;height:191.55pt;mso-position-horizontal-relative:page;mso-position-vertical-relative:paragraph;z-index:-29562880" id="docshapegroup1079" coordorigin="1692,1262" coordsize="9500,3831">
                <v:line style="position:absolute" from="1702,5092" to="1702,1266" stroked="true" strokeweight=".72113pt" strokecolor="#000000">
                  <v:stroke dashstyle="solid"/>
                </v:line>
                <v:shape style="position:absolute;left:1692;top:1266;width:9500;height:3826" id="docshape1080" coordorigin="1692,1266" coordsize="9500,3826" path="m11182,5092l11182,1266m1692,1266l11192,1266m1692,5068l11192,5068e" filled="false" stroked="true" strokeweight=".480667pt" strokecolor="#000000">
                  <v:path arrowok="t"/>
                  <v:stroke dashstyle="solid"/>
                </v:shape>
                <v:shape style="position:absolute;left:1692;top:1261;width:9500;height:3831" type="#_x0000_t202" id="docshape1081" filled="false" stroked="false">
                  <v:textbox inset="0,0,0,0">
                    <w:txbxContent>
                      <w:p>
                        <w:pPr>
                          <w:spacing w:before="41"/>
                          <w:ind w:left="549" w:right="0" w:firstLine="0"/>
                          <w:jc w:val="left"/>
                          <w:rPr>
                            <w:sz w:val="22"/>
                          </w:rPr>
                        </w:pPr>
                        <w:r>
                          <w:rPr>
                            <w:sz w:val="22"/>
                          </w:rPr>
                          <w:t>A</w:t>
                        </w:r>
                        <w:r>
                          <w:rPr>
                            <w:spacing w:val="-5"/>
                            <w:sz w:val="22"/>
                          </w:rPr>
                          <w:t> </w:t>
                        </w:r>
                        <w:r>
                          <w:rPr>
                            <w:sz w:val="22"/>
                          </w:rPr>
                          <w:t>continuación,</w:t>
                        </w:r>
                        <w:r>
                          <w:rPr>
                            <w:spacing w:val="-5"/>
                            <w:sz w:val="22"/>
                          </w:rPr>
                          <w:t> </w:t>
                        </w:r>
                        <w:r>
                          <w:rPr>
                            <w:sz w:val="22"/>
                          </w:rPr>
                          <w:t>se</w:t>
                        </w:r>
                        <w:r>
                          <w:rPr>
                            <w:spacing w:val="-4"/>
                            <w:sz w:val="22"/>
                          </w:rPr>
                          <w:t> </w:t>
                        </w:r>
                        <w:r>
                          <w:rPr>
                            <w:sz w:val="22"/>
                          </w:rPr>
                          <w:t>presenta</w:t>
                        </w:r>
                        <w:r>
                          <w:rPr>
                            <w:spacing w:val="-5"/>
                            <w:sz w:val="22"/>
                          </w:rPr>
                          <w:t> </w:t>
                        </w:r>
                        <w:r>
                          <w:rPr>
                            <w:sz w:val="22"/>
                          </w:rPr>
                          <w:t>para</w:t>
                        </w:r>
                        <w:r>
                          <w:rPr>
                            <w:spacing w:val="-4"/>
                            <w:sz w:val="22"/>
                          </w:rPr>
                          <w:t> </w:t>
                        </w:r>
                        <w:r>
                          <w:rPr>
                            <w:sz w:val="22"/>
                          </w:rPr>
                          <w:t>efectos</w:t>
                        </w:r>
                        <w:r>
                          <w:rPr>
                            <w:spacing w:val="-2"/>
                            <w:sz w:val="22"/>
                          </w:rPr>
                          <w:t> </w:t>
                        </w:r>
                        <w:r>
                          <w:rPr>
                            <w:sz w:val="22"/>
                          </w:rPr>
                          <w:t>de</w:t>
                        </w:r>
                        <w:r>
                          <w:rPr>
                            <w:spacing w:val="-5"/>
                            <w:sz w:val="22"/>
                          </w:rPr>
                          <w:t> </w:t>
                        </w:r>
                        <w:r>
                          <w:rPr>
                            <w:sz w:val="22"/>
                          </w:rPr>
                          <w:t>información</w:t>
                        </w:r>
                        <w:r>
                          <w:rPr>
                            <w:spacing w:val="-2"/>
                            <w:sz w:val="22"/>
                          </w:rPr>
                          <w:t> </w:t>
                        </w:r>
                        <w:r>
                          <w:rPr>
                            <w:sz w:val="22"/>
                          </w:rPr>
                          <w:t>el</w:t>
                        </w:r>
                        <w:r>
                          <w:rPr>
                            <w:spacing w:val="-3"/>
                            <w:sz w:val="22"/>
                          </w:rPr>
                          <w:t> </w:t>
                        </w:r>
                        <w:r>
                          <w:rPr>
                            <w:sz w:val="22"/>
                          </w:rPr>
                          <w:t>Superávit</w:t>
                        </w:r>
                        <w:r>
                          <w:rPr>
                            <w:spacing w:val="-3"/>
                            <w:sz w:val="22"/>
                          </w:rPr>
                          <w:t> </w:t>
                        </w:r>
                        <w:r>
                          <w:rPr>
                            <w:sz w:val="22"/>
                          </w:rPr>
                          <w:t>Real</w:t>
                        </w:r>
                        <w:r>
                          <w:rPr>
                            <w:spacing w:val="-3"/>
                            <w:sz w:val="22"/>
                          </w:rPr>
                          <w:t> </w:t>
                        </w:r>
                        <w:r>
                          <w:rPr>
                            <w:sz w:val="22"/>
                          </w:rPr>
                          <w:t>al</w:t>
                        </w:r>
                        <w:r>
                          <w:rPr>
                            <w:spacing w:val="-1"/>
                            <w:sz w:val="22"/>
                          </w:rPr>
                          <w:t> </w:t>
                        </w:r>
                        <w:r>
                          <w:rPr>
                            <w:sz w:val="22"/>
                          </w:rPr>
                          <w:t>31</w:t>
                        </w:r>
                        <w:r>
                          <w:rPr>
                            <w:spacing w:val="-3"/>
                            <w:sz w:val="22"/>
                          </w:rPr>
                          <w:t> </w:t>
                        </w:r>
                        <w:r>
                          <w:rPr>
                            <w:sz w:val="22"/>
                          </w:rPr>
                          <w:t>de</w:t>
                        </w:r>
                        <w:r>
                          <w:rPr>
                            <w:spacing w:val="-5"/>
                            <w:sz w:val="22"/>
                          </w:rPr>
                          <w:t> </w:t>
                        </w:r>
                        <w:r>
                          <w:rPr>
                            <w:sz w:val="22"/>
                          </w:rPr>
                          <w:t>julio</w:t>
                        </w:r>
                        <w:r>
                          <w:rPr>
                            <w:spacing w:val="-3"/>
                            <w:sz w:val="22"/>
                          </w:rPr>
                          <w:t> </w:t>
                        </w:r>
                        <w:r>
                          <w:rPr>
                            <w:sz w:val="22"/>
                          </w:rPr>
                          <w:t>de</w:t>
                        </w:r>
                        <w:r>
                          <w:rPr>
                            <w:spacing w:val="-3"/>
                            <w:sz w:val="22"/>
                          </w:rPr>
                          <w:t> </w:t>
                        </w:r>
                        <w:r>
                          <w:rPr>
                            <w:spacing w:val="-2"/>
                            <w:sz w:val="22"/>
                          </w:rPr>
                          <w:t>2026:</w:t>
                        </w:r>
                      </w:p>
                      <w:p>
                        <w:pPr>
                          <w:spacing w:line="249" w:lineRule="auto" w:before="196"/>
                          <w:ind w:left="3246" w:right="3136" w:firstLine="0"/>
                          <w:jc w:val="center"/>
                          <w:rPr>
                            <w:rFonts w:ascii="Arial" w:hAnsi="Arial"/>
                            <w:b/>
                            <w:sz w:val="14"/>
                          </w:rPr>
                        </w:pPr>
                        <w:r>
                          <w:rPr>
                            <w:rFonts w:ascii="Arial" w:hAnsi="Arial"/>
                            <w:b/>
                            <w:color w:val="030305"/>
                            <w:sz w:val="14"/>
                          </w:rPr>
                          <w:t>RESUMEN DESUPERÁVITL REAL</w:t>
                        </w:r>
                        <w:r>
                          <w:rPr>
                            <w:rFonts w:ascii="Arial" w:hAnsi="Arial"/>
                            <w:b/>
                            <w:color w:val="030305"/>
                            <w:spacing w:val="40"/>
                            <w:sz w:val="14"/>
                          </w:rPr>
                          <w:t> </w:t>
                        </w:r>
                        <w:r>
                          <w:rPr>
                            <w:rFonts w:ascii="Arial" w:hAnsi="Arial"/>
                            <w:b/>
                            <w:color w:val="030305"/>
                            <w:sz w:val="14"/>
                          </w:rPr>
                          <w:t>ACUMULADO AL </w:t>
                        </w:r>
                        <w:r>
                          <w:rPr>
                            <w:rFonts w:ascii="Arial" w:hAnsi="Arial"/>
                            <w:b/>
                            <w:color w:val="131618"/>
                            <w:sz w:val="14"/>
                          </w:rPr>
                          <w:t>31107/2026</w:t>
                        </w:r>
                      </w:p>
                      <w:p>
                        <w:pPr>
                          <w:spacing w:line="146" w:lineRule="exact" w:before="0"/>
                          <w:ind w:left="3246" w:right="3145" w:firstLine="0"/>
                          <w:jc w:val="center"/>
                          <w:rPr>
                            <w:rFonts w:ascii="Arial"/>
                            <w:b/>
                            <w:sz w:val="12"/>
                          </w:rPr>
                        </w:pPr>
                        <w:r>
                          <w:rPr>
                            <w:rFonts w:ascii="Arial"/>
                            <w:color w:val="131618"/>
                            <w:w w:val="105"/>
                            <w:sz w:val="13"/>
                          </w:rPr>
                          <w:t>(En</w:t>
                        </w:r>
                        <w:r>
                          <w:rPr>
                            <w:rFonts w:ascii="Arial"/>
                            <w:color w:val="131618"/>
                            <w:spacing w:val="-5"/>
                            <w:w w:val="105"/>
                            <w:sz w:val="13"/>
                          </w:rPr>
                          <w:t> </w:t>
                        </w:r>
                        <w:r>
                          <w:rPr>
                            <w:rFonts w:ascii="Arial"/>
                            <w:b/>
                            <w:color w:val="131618"/>
                            <w:w w:val="105"/>
                            <w:sz w:val="12"/>
                          </w:rPr>
                          <w:t>miles</w:t>
                        </w:r>
                        <w:r>
                          <w:rPr>
                            <w:rFonts w:ascii="Arial"/>
                            <w:b/>
                            <w:color w:val="131618"/>
                            <w:spacing w:val="-9"/>
                            <w:w w:val="105"/>
                            <w:sz w:val="12"/>
                          </w:rPr>
                          <w:t> </w:t>
                        </w:r>
                        <w:r>
                          <w:rPr>
                            <w:rFonts w:ascii="Arial"/>
                            <w:b/>
                            <w:color w:val="131618"/>
                            <w:w w:val="105"/>
                            <w:sz w:val="12"/>
                          </w:rPr>
                          <w:t>de</w:t>
                        </w:r>
                        <w:r>
                          <w:rPr>
                            <w:rFonts w:ascii="Arial"/>
                            <w:b/>
                            <w:color w:val="131618"/>
                            <w:spacing w:val="7"/>
                            <w:w w:val="105"/>
                            <w:sz w:val="12"/>
                          </w:rPr>
                          <w:t> </w:t>
                        </w:r>
                        <w:r>
                          <w:rPr>
                            <w:rFonts w:ascii="Arial"/>
                            <w:b/>
                            <w:color w:val="131618"/>
                            <w:spacing w:val="-2"/>
                            <w:w w:val="105"/>
                            <w:sz w:val="12"/>
                          </w:rPr>
                          <w:t>colones)</w:t>
                        </w:r>
                      </w:p>
                    </w:txbxContent>
                  </v:textbox>
                  <w10:wrap type="none"/>
                </v:shape>
                <w10:wrap type="none"/>
              </v:group>
            </w:pict>
          </mc:Fallback>
        </mc:AlternateContent>
      </w:r>
      <w:r>
        <w:rPr>
          <w:rFonts w:ascii="Times New Roman"/>
          <w:color w:val="3B4D69"/>
          <w:spacing w:val="-2"/>
          <w:w w:val="105"/>
        </w:rPr>
        <w:t>SOCIAL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55"/>
        <w:rPr>
          <w:rFonts w:ascii="Times New Roman"/>
          <w:sz w:val="20"/>
        </w:rPr>
      </w:pPr>
    </w:p>
    <w:tbl>
      <w:tblPr>
        <w:tblW w:w="0" w:type="auto"/>
        <w:jc w:val="left"/>
        <w:tblInd w:w="1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69"/>
        <w:gridCol w:w="1346"/>
        <w:gridCol w:w="1298"/>
        <w:gridCol w:w="1115"/>
        <w:gridCol w:w="1033"/>
      </w:tblGrid>
      <w:tr>
        <w:trPr>
          <w:trHeight w:val="547" w:hRule="atLeast"/>
        </w:trPr>
        <w:tc>
          <w:tcPr>
            <w:tcW w:w="2769" w:type="dxa"/>
          </w:tcPr>
          <w:p>
            <w:pPr>
              <w:pStyle w:val="TableParagraph"/>
              <w:spacing w:before="43"/>
              <w:rPr>
                <w:rFonts w:ascii="Times New Roman"/>
                <w:sz w:val="14"/>
              </w:rPr>
            </w:pPr>
          </w:p>
          <w:p>
            <w:pPr>
              <w:pStyle w:val="TableParagraph"/>
              <w:ind w:left="27"/>
              <w:jc w:val="center"/>
              <w:rPr>
                <w:rFonts w:ascii="Arial"/>
                <w:b/>
                <w:sz w:val="14"/>
              </w:rPr>
            </w:pPr>
            <w:r>
              <w:rPr>
                <w:rFonts w:ascii="Arial"/>
                <w:b/>
                <w:color w:val="030305"/>
                <w:spacing w:val="-2"/>
                <w:sz w:val="14"/>
              </w:rPr>
              <w:t>CONCEPTO</w:t>
            </w:r>
          </w:p>
        </w:tc>
        <w:tc>
          <w:tcPr>
            <w:tcW w:w="1346" w:type="dxa"/>
          </w:tcPr>
          <w:p>
            <w:pPr>
              <w:pStyle w:val="TableParagraph"/>
              <w:spacing w:line="249" w:lineRule="auto" w:before="118"/>
              <w:ind w:left="129" w:firstLine="32"/>
              <w:rPr>
                <w:rFonts w:ascii="Arial"/>
                <w:b/>
                <w:sz w:val="14"/>
              </w:rPr>
            </w:pPr>
            <w:r>
              <w:rPr>
                <w:rFonts w:ascii="Arial"/>
                <w:b/>
                <w:color w:val="030305"/>
                <w:spacing w:val="-2"/>
                <w:sz w:val="14"/>
              </w:rPr>
              <w:t>PRESUPUESTO</w:t>
            </w:r>
            <w:r>
              <w:rPr>
                <w:rFonts w:ascii="Arial"/>
                <w:b/>
                <w:color w:val="030305"/>
                <w:spacing w:val="40"/>
                <w:sz w:val="14"/>
              </w:rPr>
              <w:t> </w:t>
            </w:r>
            <w:r>
              <w:rPr>
                <w:rFonts w:ascii="Arial"/>
                <w:b/>
                <w:color w:val="030305"/>
                <w:spacing w:val="-2"/>
                <w:sz w:val="14"/>
              </w:rPr>
              <w:t>INSTITUCIONAL</w:t>
            </w:r>
          </w:p>
        </w:tc>
        <w:tc>
          <w:tcPr>
            <w:tcW w:w="1298" w:type="dxa"/>
          </w:tcPr>
          <w:p>
            <w:pPr>
              <w:pStyle w:val="TableParagraph"/>
              <w:spacing w:line="249" w:lineRule="auto" w:before="118"/>
              <w:ind w:left="374" w:hanging="72"/>
              <w:rPr>
                <w:rFonts w:ascii="Arial"/>
                <w:b/>
                <w:sz w:val="14"/>
              </w:rPr>
            </w:pPr>
            <w:r>
              <w:rPr>
                <w:rFonts w:ascii="Arial"/>
                <w:b/>
                <w:color w:val="131618"/>
                <w:spacing w:val="-2"/>
                <w:sz w:val="14"/>
              </w:rPr>
              <w:t>INGRESOS</w:t>
            </w:r>
            <w:r>
              <w:rPr>
                <w:rFonts w:ascii="Arial"/>
                <w:b/>
                <w:color w:val="131618"/>
                <w:spacing w:val="40"/>
                <w:w w:val="105"/>
                <w:sz w:val="14"/>
              </w:rPr>
              <w:t> </w:t>
            </w:r>
            <w:r>
              <w:rPr>
                <w:rFonts w:ascii="Arial"/>
                <w:b/>
                <w:color w:val="030305"/>
                <w:spacing w:val="-2"/>
                <w:w w:val="105"/>
                <w:sz w:val="14"/>
              </w:rPr>
              <w:t>REALES</w:t>
            </w:r>
          </w:p>
        </w:tc>
        <w:tc>
          <w:tcPr>
            <w:tcW w:w="1115" w:type="dxa"/>
          </w:tcPr>
          <w:p>
            <w:pPr>
              <w:pStyle w:val="TableParagraph"/>
              <w:spacing w:before="43"/>
              <w:rPr>
                <w:rFonts w:ascii="Times New Roman"/>
                <w:sz w:val="14"/>
              </w:rPr>
            </w:pPr>
          </w:p>
          <w:p>
            <w:pPr>
              <w:pStyle w:val="TableParagraph"/>
              <w:ind w:left="234"/>
              <w:rPr>
                <w:rFonts w:ascii="Arial"/>
                <w:b/>
                <w:sz w:val="14"/>
              </w:rPr>
            </w:pPr>
            <w:r>
              <w:rPr>
                <w:rFonts w:ascii="Arial"/>
                <w:b/>
                <w:color w:val="030305"/>
                <w:spacing w:val="-2"/>
                <w:sz w:val="14"/>
              </w:rPr>
              <w:t>EGRESOS</w:t>
            </w:r>
          </w:p>
        </w:tc>
        <w:tc>
          <w:tcPr>
            <w:tcW w:w="1033" w:type="dxa"/>
          </w:tcPr>
          <w:p>
            <w:pPr>
              <w:pStyle w:val="TableParagraph"/>
              <w:spacing w:line="170" w:lineRule="atLeast" w:before="17"/>
              <w:ind w:left="167" w:hanging="29"/>
              <w:rPr>
                <w:rFonts w:ascii="Arial"/>
                <w:b/>
                <w:sz w:val="14"/>
              </w:rPr>
            </w:pPr>
            <w:r>
              <w:rPr>
                <w:rFonts w:ascii="Arial"/>
                <w:b/>
                <w:color w:val="030305"/>
                <w:spacing w:val="-2"/>
                <w:sz w:val="14"/>
              </w:rPr>
              <w:t>SUPERAV</w:t>
            </w:r>
            <w:r>
              <w:rPr>
                <w:rFonts w:ascii="Arial"/>
                <w:b/>
                <w:color w:val="262628"/>
                <w:spacing w:val="-2"/>
                <w:sz w:val="14"/>
              </w:rPr>
              <w:t>IT</w:t>
            </w:r>
            <w:r>
              <w:rPr>
                <w:rFonts w:ascii="Arial"/>
                <w:b/>
                <w:color w:val="262628"/>
                <w:w w:val="105"/>
                <w:sz w:val="14"/>
              </w:rPr>
              <w:t> </w:t>
            </w:r>
            <w:r>
              <w:rPr>
                <w:rFonts w:ascii="Arial"/>
                <w:b/>
                <w:color w:val="030305"/>
                <w:w w:val="105"/>
                <w:sz w:val="14"/>
              </w:rPr>
              <w:t>REAL</w:t>
            </w:r>
            <w:r>
              <w:rPr>
                <w:rFonts w:ascii="Arial"/>
                <w:b/>
                <w:color w:val="030305"/>
                <w:spacing w:val="-10"/>
                <w:w w:val="105"/>
                <w:sz w:val="14"/>
              </w:rPr>
              <w:t> </w:t>
            </w:r>
            <w:r>
              <w:rPr>
                <w:rFonts w:ascii="Arial"/>
                <w:b/>
                <w:color w:val="030305"/>
                <w:w w:val="105"/>
                <w:sz w:val="14"/>
              </w:rPr>
              <w:t>DEL </w:t>
            </w:r>
            <w:r>
              <w:rPr>
                <w:rFonts w:ascii="Arial"/>
                <w:b/>
                <w:color w:val="030305"/>
                <w:spacing w:val="-2"/>
                <w:w w:val="105"/>
                <w:sz w:val="14"/>
              </w:rPr>
              <w:t>PERIODO</w:t>
            </w:r>
          </w:p>
        </w:tc>
      </w:tr>
      <w:tr>
        <w:trPr>
          <w:trHeight w:val="196" w:hRule="atLeast"/>
        </w:trPr>
        <w:tc>
          <w:tcPr>
            <w:tcW w:w="2769" w:type="dxa"/>
          </w:tcPr>
          <w:p>
            <w:pPr>
              <w:pStyle w:val="TableParagraph"/>
              <w:spacing w:line="149" w:lineRule="exact" w:before="27"/>
              <w:ind w:left="61"/>
              <w:rPr>
                <w:rFonts w:ascii="Arial"/>
                <w:b/>
                <w:sz w:val="14"/>
              </w:rPr>
            </w:pPr>
            <w:r>
              <w:rPr>
                <w:rFonts w:ascii="Arial"/>
                <w:b/>
                <w:color w:val="030305"/>
                <w:sz w:val="14"/>
              </w:rPr>
              <w:t>RECURSOS</w:t>
            </w:r>
            <w:r>
              <w:rPr>
                <w:rFonts w:ascii="Arial"/>
                <w:b/>
                <w:color w:val="030305"/>
                <w:spacing w:val="14"/>
                <w:sz w:val="14"/>
              </w:rPr>
              <w:t> </w:t>
            </w:r>
            <w:r>
              <w:rPr>
                <w:rFonts w:ascii="Arial"/>
                <w:b/>
                <w:color w:val="030305"/>
                <w:spacing w:val="-2"/>
                <w:sz w:val="14"/>
              </w:rPr>
              <w:t>LIBRES</w:t>
            </w:r>
          </w:p>
        </w:tc>
        <w:tc>
          <w:tcPr>
            <w:tcW w:w="1346" w:type="dxa"/>
          </w:tcPr>
          <w:p>
            <w:pPr>
              <w:pStyle w:val="TableParagraph"/>
              <w:spacing w:line="149" w:lineRule="exact" w:before="27"/>
              <w:ind w:right="7"/>
              <w:jc w:val="right"/>
              <w:rPr>
                <w:rFonts w:ascii="Arial"/>
                <w:b/>
                <w:sz w:val="14"/>
              </w:rPr>
            </w:pPr>
            <w:r>
              <w:rPr>
                <w:rFonts w:ascii="Arial"/>
                <w:b/>
                <w:color w:val="030305"/>
                <w:spacing w:val="-2"/>
                <w:sz w:val="14"/>
              </w:rPr>
              <w:t>72.954</w:t>
            </w:r>
            <w:r>
              <w:rPr>
                <w:rFonts w:ascii="Arial"/>
                <w:b/>
                <w:color w:val="3B4D69"/>
                <w:spacing w:val="-2"/>
                <w:sz w:val="14"/>
              </w:rPr>
              <w:t>.</w:t>
            </w:r>
            <w:r>
              <w:rPr>
                <w:rFonts w:ascii="Arial"/>
                <w:b/>
                <w:color w:val="030305"/>
                <w:spacing w:val="-2"/>
                <w:sz w:val="14"/>
              </w:rPr>
              <w:t>206.55</w:t>
            </w:r>
          </w:p>
        </w:tc>
        <w:tc>
          <w:tcPr>
            <w:tcW w:w="1298" w:type="dxa"/>
          </w:tcPr>
          <w:p>
            <w:pPr>
              <w:pStyle w:val="TableParagraph"/>
              <w:spacing w:line="149" w:lineRule="exact" w:before="27"/>
              <w:ind w:right="7"/>
              <w:jc w:val="right"/>
              <w:rPr>
                <w:rFonts w:ascii="Arial"/>
                <w:b/>
                <w:sz w:val="14"/>
              </w:rPr>
            </w:pPr>
            <w:r>
              <w:rPr>
                <w:rFonts w:ascii="Arial"/>
                <w:b/>
                <w:color w:val="131618"/>
                <w:spacing w:val="-2"/>
                <w:w w:val="105"/>
                <w:sz w:val="14"/>
              </w:rPr>
              <w:t>47.011</w:t>
            </w:r>
            <w:r>
              <w:rPr>
                <w:rFonts w:ascii="Arial"/>
                <w:b/>
                <w:color w:val="363838"/>
                <w:spacing w:val="-2"/>
                <w:w w:val="105"/>
                <w:sz w:val="14"/>
              </w:rPr>
              <w:t>.</w:t>
            </w:r>
            <w:r>
              <w:rPr>
                <w:rFonts w:ascii="Arial"/>
                <w:b/>
                <w:color w:val="030305"/>
                <w:spacing w:val="-2"/>
                <w:w w:val="105"/>
                <w:sz w:val="14"/>
              </w:rPr>
              <w:t>808</w:t>
            </w:r>
            <w:r>
              <w:rPr>
                <w:rFonts w:ascii="Arial"/>
                <w:b/>
                <w:color w:val="3B4D69"/>
                <w:spacing w:val="-2"/>
                <w:w w:val="105"/>
                <w:sz w:val="14"/>
              </w:rPr>
              <w:t>,</w:t>
            </w:r>
            <w:r>
              <w:rPr>
                <w:rFonts w:ascii="Arial"/>
                <w:b/>
                <w:color w:val="030305"/>
                <w:spacing w:val="-2"/>
                <w:w w:val="105"/>
                <w:sz w:val="14"/>
              </w:rPr>
              <w:t>87</w:t>
            </w:r>
          </w:p>
        </w:tc>
        <w:tc>
          <w:tcPr>
            <w:tcW w:w="1115" w:type="dxa"/>
          </w:tcPr>
          <w:p>
            <w:pPr>
              <w:pStyle w:val="TableParagraph"/>
              <w:spacing w:line="149" w:lineRule="exact" w:before="27"/>
              <w:ind w:right="7"/>
              <w:jc w:val="right"/>
              <w:rPr>
                <w:rFonts w:ascii="Arial"/>
                <w:b/>
                <w:sz w:val="14"/>
              </w:rPr>
            </w:pPr>
            <w:r>
              <w:rPr>
                <w:rFonts w:ascii="Arial"/>
                <w:b/>
                <w:color w:val="030305"/>
                <w:spacing w:val="-2"/>
                <w:w w:val="105"/>
                <w:sz w:val="14"/>
              </w:rPr>
              <w:t>30</w:t>
            </w:r>
            <w:r>
              <w:rPr>
                <w:rFonts w:ascii="Arial"/>
                <w:b/>
                <w:color w:val="363838"/>
                <w:spacing w:val="-2"/>
                <w:w w:val="105"/>
                <w:sz w:val="14"/>
              </w:rPr>
              <w:t>.</w:t>
            </w:r>
            <w:r>
              <w:rPr>
                <w:rFonts w:ascii="Arial"/>
                <w:b/>
                <w:color w:val="030305"/>
                <w:spacing w:val="-2"/>
                <w:w w:val="105"/>
                <w:sz w:val="14"/>
              </w:rPr>
              <w:t>653</w:t>
            </w:r>
            <w:r>
              <w:rPr>
                <w:rFonts w:ascii="Arial"/>
                <w:b/>
                <w:color w:val="3B4D69"/>
                <w:spacing w:val="-2"/>
                <w:w w:val="105"/>
                <w:sz w:val="14"/>
              </w:rPr>
              <w:t>.</w:t>
            </w:r>
            <w:r>
              <w:rPr>
                <w:rFonts w:ascii="Arial"/>
                <w:b/>
                <w:color w:val="030305"/>
                <w:spacing w:val="-2"/>
                <w:w w:val="105"/>
                <w:sz w:val="14"/>
              </w:rPr>
              <w:t>718</w:t>
            </w:r>
            <w:r>
              <w:rPr>
                <w:rFonts w:ascii="Arial"/>
                <w:b/>
                <w:color w:val="262628"/>
                <w:spacing w:val="-2"/>
                <w:w w:val="105"/>
                <w:sz w:val="14"/>
              </w:rPr>
              <w:t>,</w:t>
            </w:r>
            <w:r>
              <w:rPr>
                <w:rFonts w:ascii="Arial"/>
                <w:b/>
                <w:color w:val="030305"/>
                <w:spacing w:val="-2"/>
                <w:w w:val="105"/>
                <w:sz w:val="14"/>
              </w:rPr>
              <w:t>70</w:t>
            </w:r>
          </w:p>
        </w:tc>
        <w:tc>
          <w:tcPr>
            <w:tcW w:w="1033" w:type="dxa"/>
          </w:tcPr>
          <w:p>
            <w:pPr>
              <w:pStyle w:val="TableParagraph"/>
              <w:spacing w:line="149" w:lineRule="exact" w:before="27"/>
              <w:ind w:right="5"/>
              <w:jc w:val="right"/>
              <w:rPr>
                <w:rFonts w:ascii="Arial"/>
                <w:b/>
                <w:sz w:val="14"/>
              </w:rPr>
            </w:pPr>
            <w:r>
              <w:rPr>
                <w:rFonts w:ascii="Arial"/>
                <w:b/>
                <w:color w:val="030305"/>
                <w:spacing w:val="-2"/>
                <w:w w:val="105"/>
                <w:sz w:val="14"/>
              </w:rPr>
              <w:t>16.358.090</w:t>
            </w:r>
            <w:r>
              <w:rPr>
                <w:rFonts w:ascii="Arial"/>
                <w:b/>
                <w:color w:val="363838"/>
                <w:spacing w:val="-2"/>
                <w:w w:val="105"/>
                <w:sz w:val="14"/>
              </w:rPr>
              <w:t>,</w:t>
            </w:r>
            <w:r>
              <w:rPr>
                <w:rFonts w:ascii="Arial"/>
                <w:b/>
                <w:color w:val="030305"/>
                <w:spacing w:val="-2"/>
                <w:w w:val="105"/>
                <w:sz w:val="14"/>
              </w:rPr>
              <w:t>18</w:t>
            </w:r>
          </w:p>
        </w:tc>
      </w:tr>
      <w:tr>
        <w:trPr>
          <w:trHeight w:val="205" w:hRule="atLeast"/>
        </w:trPr>
        <w:tc>
          <w:tcPr>
            <w:tcW w:w="2769" w:type="dxa"/>
            <w:tcBorders>
              <w:right w:val="nil"/>
            </w:tcBorders>
          </w:tcPr>
          <w:p>
            <w:pPr>
              <w:pStyle w:val="TableParagraph"/>
              <w:spacing w:line="149" w:lineRule="exact" w:before="36"/>
              <w:ind w:left="65"/>
              <w:rPr>
                <w:rFonts w:ascii="Arial"/>
                <w:sz w:val="14"/>
              </w:rPr>
            </w:pPr>
            <w:r>
              <w:rPr>
                <w:rFonts w:ascii="Arial"/>
                <w:color w:val="363838"/>
                <w:sz w:val="14"/>
              </w:rPr>
              <w:t>RECURSOS</w:t>
            </w:r>
            <w:r>
              <w:rPr>
                <w:rFonts w:ascii="Arial"/>
                <w:color w:val="363838"/>
                <w:spacing w:val="16"/>
                <w:sz w:val="14"/>
              </w:rPr>
              <w:t> </w:t>
            </w:r>
            <w:r>
              <w:rPr>
                <w:rFonts w:ascii="Arial"/>
                <w:color w:val="363838"/>
                <w:sz w:val="14"/>
              </w:rPr>
              <w:t>LIBRES</w:t>
            </w:r>
            <w:r>
              <w:rPr>
                <w:rFonts w:ascii="Arial"/>
                <w:color w:val="363838"/>
                <w:spacing w:val="9"/>
                <w:sz w:val="14"/>
              </w:rPr>
              <w:t> </w:t>
            </w:r>
            <w:r>
              <w:rPr>
                <w:rFonts w:ascii="Arial"/>
                <w:color w:val="363838"/>
                <w:sz w:val="14"/>
              </w:rPr>
              <w:t>O</w:t>
            </w:r>
            <w:r>
              <w:rPr>
                <w:rFonts w:ascii="Arial"/>
                <w:color w:val="363838"/>
                <w:spacing w:val="2"/>
                <w:sz w:val="14"/>
              </w:rPr>
              <w:t> </w:t>
            </w:r>
            <w:r>
              <w:rPr>
                <w:rFonts w:ascii="Arial"/>
                <w:color w:val="363838"/>
                <w:spacing w:val="-2"/>
                <w:sz w:val="14"/>
              </w:rPr>
              <w:t>PRO</w:t>
            </w:r>
            <w:r>
              <w:rPr>
                <w:rFonts w:ascii="Arial"/>
                <w:color w:val="131618"/>
                <w:spacing w:val="-2"/>
                <w:sz w:val="14"/>
              </w:rPr>
              <w:t>P</w:t>
            </w:r>
            <w:r>
              <w:rPr>
                <w:rFonts w:ascii="Arial"/>
                <w:color w:val="363838"/>
                <w:spacing w:val="-2"/>
                <w:sz w:val="14"/>
              </w:rPr>
              <w:t>IOS</w:t>
            </w:r>
          </w:p>
        </w:tc>
        <w:tc>
          <w:tcPr>
            <w:tcW w:w="1346" w:type="dxa"/>
            <w:tcBorders>
              <w:left w:val="nil"/>
              <w:right w:val="nil"/>
            </w:tcBorders>
          </w:tcPr>
          <w:p>
            <w:pPr>
              <w:pStyle w:val="TableParagraph"/>
              <w:spacing w:line="149" w:lineRule="exact" w:before="36"/>
              <w:ind w:right="22"/>
              <w:jc w:val="right"/>
              <w:rPr>
                <w:rFonts w:ascii="Arial"/>
                <w:sz w:val="14"/>
              </w:rPr>
            </w:pPr>
            <w:r>
              <w:rPr>
                <w:rFonts w:ascii="Arial"/>
                <w:color w:val="363838"/>
                <w:spacing w:val="-2"/>
                <w:w w:val="105"/>
                <w:sz w:val="14"/>
              </w:rPr>
              <w:t>72.954.206</w:t>
            </w:r>
            <w:r>
              <w:rPr>
                <w:rFonts w:ascii="Arial"/>
                <w:color w:val="131618"/>
                <w:spacing w:val="-2"/>
                <w:w w:val="105"/>
                <w:sz w:val="14"/>
              </w:rPr>
              <w:t>.</w:t>
            </w:r>
            <w:r>
              <w:rPr>
                <w:rFonts w:ascii="Arial"/>
                <w:color w:val="363838"/>
                <w:spacing w:val="-2"/>
                <w:w w:val="105"/>
                <w:sz w:val="14"/>
              </w:rPr>
              <w:t>55</w:t>
            </w:r>
          </w:p>
        </w:tc>
        <w:tc>
          <w:tcPr>
            <w:tcW w:w="1298" w:type="dxa"/>
            <w:tcBorders>
              <w:left w:val="nil"/>
              <w:right w:val="nil"/>
            </w:tcBorders>
          </w:tcPr>
          <w:p>
            <w:pPr>
              <w:pStyle w:val="TableParagraph"/>
              <w:spacing w:line="154" w:lineRule="exact" w:before="31"/>
              <w:ind w:right="22"/>
              <w:jc w:val="right"/>
              <w:rPr>
                <w:rFonts w:ascii="Arial"/>
                <w:sz w:val="14"/>
              </w:rPr>
            </w:pPr>
            <w:r>
              <w:rPr>
                <w:rFonts w:ascii="Arial"/>
                <w:color w:val="363838"/>
                <w:spacing w:val="-2"/>
                <w:w w:val="105"/>
                <w:sz w:val="14"/>
              </w:rPr>
              <w:t>4</w:t>
            </w:r>
            <w:r>
              <w:rPr>
                <w:rFonts w:ascii="Arial"/>
                <w:color w:val="525252"/>
                <w:spacing w:val="-2"/>
                <w:w w:val="105"/>
                <w:sz w:val="14"/>
              </w:rPr>
              <w:t>7</w:t>
            </w:r>
            <w:r>
              <w:rPr>
                <w:rFonts w:ascii="Arial"/>
                <w:color w:val="363838"/>
                <w:spacing w:val="-2"/>
                <w:w w:val="105"/>
                <w:sz w:val="14"/>
              </w:rPr>
              <w:t>.01</w:t>
            </w:r>
            <w:r>
              <w:rPr>
                <w:rFonts w:ascii="Arial"/>
                <w:color w:val="131618"/>
                <w:spacing w:val="-2"/>
                <w:w w:val="105"/>
                <w:sz w:val="14"/>
              </w:rPr>
              <w:t>1</w:t>
            </w:r>
            <w:r>
              <w:rPr>
                <w:rFonts w:ascii="Arial"/>
                <w:color w:val="626262"/>
                <w:spacing w:val="-2"/>
                <w:w w:val="105"/>
                <w:sz w:val="14"/>
              </w:rPr>
              <w:t>.</w:t>
            </w:r>
            <w:r>
              <w:rPr>
                <w:rFonts w:ascii="Arial"/>
                <w:color w:val="363838"/>
                <w:spacing w:val="-2"/>
                <w:w w:val="105"/>
                <w:sz w:val="14"/>
              </w:rPr>
              <w:t>808,87</w:t>
            </w:r>
          </w:p>
        </w:tc>
        <w:tc>
          <w:tcPr>
            <w:tcW w:w="1115" w:type="dxa"/>
            <w:tcBorders>
              <w:left w:val="nil"/>
              <w:right w:val="nil"/>
            </w:tcBorders>
          </w:tcPr>
          <w:p>
            <w:pPr>
              <w:pStyle w:val="TableParagraph"/>
              <w:spacing w:line="154" w:lineRule="exact" w:before="31"/>
              <w:ind w:right="27"/>
              <w:jc w:val="right"/>
              <w:rPr>
                <w:rFonts w:ascii="Arial"/>
                <w:sz w:val="14"/>
              </w:rPr>
            </w:pPr>
            <w:r>
              <w:rPr>
                <w:rFonts w:ascii="Arial"/>
                <w:color w:val="363838"/>
                <w:spacing w:val="-2"/>
                <w:sz w:val="14"/>
              </w:rPr>
              <w:t>30</w:t>
            </w:r>
            <w:r>
              <w:rPr>
                <w:rFonts w:ascii="Arial"/>
                <w:color w:val="131618"/>
                <w:spacing w:val="-2"/>
                <w:sz w:val="14"/>
              </w:rPr>
              <w:t>.</w:t>
            </w:r>
            <w:r>
              <w:rPr>
                <w:rFonts w:ascii="Arial"/>
                <w:color w:val="363838"/>
                <w:spacing w:val="-2"/>
                <w:sz w:val="14"/>
              </w:rPr>
              <w:t>653</w:t>
            </w:r>
            <w:r>
              <w:rPr>
                <w:rFonts w:ascii="Arial"/>
                <w:color w:val="626262"/>
                <w:spacing w:val="-2"/>
                <w:sz w:val="14"/>
              </w:rPr>
              <w:t>.</w:t>
            </w:r>
            <w:r>
              <w:rPr>
                <w:rFonts w:ascii="Arial"/>
                <w:color w:val="363838"/>
                <w:spacing w:val="-2"/>
                <w:sz w:val="14"/>
              </w:rPr>
              <w:t>718</w:t>
            </w:r>
            <w:r>
              <w:rPr>
                <w:rFonts w:ascii="Arial"/>
                <w:color w:val="626262"/>
                <w:spacing w:val="-2"/>
                <w:sz w:val="14"/>
              </w:rPr>
              <w:t>,7</w:t>
            </w:r>
            <w:r>
              <w:rPr>
                <w:rFonts w:ascii="Arial"/>
                <w:color w:val="262628"/>
                <w:spacing w:val="-2"/>
                <w:sz w:val="14"/>
              </w:rPr>
              <w:t>0</w:t>
            </w:r>
          </w:p>
        </w:tc>
        <w:tc>
          <w:tcPr>
            <w:tcW w:w="1033" w:type="dxa"/>
            <w:tcBorders>
              <w:left w:val="nil"/>
            </w:tcBorders>
          </w:tcPr>
          <w:p>
            <w:pPr>
              <w:pStyle w:val="TableParagraph"/>
              <w:spacing w:line="154" w:lineRule="exact" w:before="31"/>
              <w:ind w:right="15"/>
              <w:jc w:val="right"/>
              <w:rPr>
                <w:rFonts w:ascii="Arial"/>
                <w:sz w:val="14"/>
              </w:rPr>
            </w:pPr>
            <w:r>
              <w:rPr>
                <w:rFonts w:ascii="Arial"/>
                <w:color w:val="525252"/>
                <w:spacing w:val="-2"/>
                <w:w w:val="105"/>
                <w:sz w:val="14"/>
              </w:rPr>
              <w:t>1</w:t>
            </w:r>
            <w:r>
              <w:rPr>
                <w:rFonts w:ascii="Arial"/>
                <w:color w:val="363838"/>
                <w:spacing w:val="-2"/>
                <w:w w:val="105"/>
                <w:sz w:val="14"/>
              </w:rPr>
              <w:t>6.358.090</w:t>
            </w:r>
            <w:r>
              <w:rPr>
                <w:rFonts w:ascii="Arial"/>
                <w:color w:val="525252"/>
                <w:spacing w:val="-2"/>
                <w:w w:val="105"/>
                <w:sz w:val="14"/>
              </w:rPr>
              <w:t>,</w:t>
            </w:r>
            <w:r>
              <w:rPr>
                <w:rFonts w:ascii="Arial"/>
                <w:color w:val="363838"/>
                <w:spacing w:val="-2"/>
                <w:w w:val="105"/>
                <w:sz w:val="14"/>
              </w:rPr>
              <w:t>18</w:t>
            </w:r>
          </w:p>
        </w:tc>
      </w:tr>
      <w:tr>
        <w:trPr>
          <w:trHeight w:val="196" w:hRule="atLeast"/>
        </w:trPr>
        <w:tc>
          <w:tcPr>
            <w:tcW w:w="2769" w:type="dxa"/>
          </w:tcPr>
          <w:p>
            <w:pPr>
              <w:pStyle w:val="TableParagraph"/>
              <w:spacing w:line="149" w:lineRule="exact" w:before="27"/>
              <w:ind w:left="61"/>
              <w:rPr>
                <w:rFonts w:ascii="Arial"/>
                <w:b/>
                <w:sz w:val="14"/>
              </w:rPr>
            </w:pPr>
            <w:r>
              <w:rPr>
                <w:rFonts w:ascii="Arial"/>
                <w:b/>
                <w:color w:val="030305"/>
                <w:sz w:val="14"/>
              </w:rPr>
              <w:t>RECURSOS</w:t>
            </w:r>
            <w:r>
              <w:rPr>
                <w:rFonts w:ascii="Arial"/>
                <w:b/>
                <w:color w:val="030305"/>
                <w:spacing w:val="15"/>
                <w:sz w:val="14"/>
              </w:rPr>
              <w:t> </w:t>
            </w:r>
            <w:r>
              <w:rPr>
                <w:rFonts w:ascii="Arial"/>
                <w:b/>
                <w:color w:val="030305"/>
                <w:spacing w:val="-2"/>
                <w:sz w:val="14"/>
              </w:rPr>
              <w:t>ESPECIFICOS</w:t>
            </w:r>
          </w:p>
        </w:tc>
        <w:tc>
          <w:tcPr>
            <w:tcW w:w="1346" w:type="dxa"/>
          </w:tcPr>
          <w:p>
            <w:pPr>
              <w:pStyle w:val="TableParagraph"/>
              <w:spacing w:line="149" w:lineRule="exact" w:before="27"/>
              <w:ind w:right="7"/>
              <w:jc w:val="right"/>
              <w:rPr>
                <w:rFonts w:ascii="Arial"/>
                <w:b/>
                <w:sz w:val="14"/>
              </w:rPr>
            </w:pPr>
            <w:r>
              <w:rPr>
                <w:rFonts w:ascii="Arial"/>
                <w:b/>
                <w:color w:val="030305"/>
                <w:spacing w:val="-2"/>
                <w:sz w:val="14"/>
              </w:rPr>
              <w:t>204</w:t>
            </w:r>
            <w:r>
              <w:rPr>
                <w:rFonts w:ascii="Arial"/>
                <w:b/>
                <w:color w:val="262628"/>
                <w:spacing w:val="-2"/>
                <w:sz w:val="14"/>
              </w:rPr>
              <w:t>.</w:t>
            </w:r>
            <w:r>
              <w:rPr>
                <w:rFonts w:ascii="Arial"/>
                <w:b/>
                <w:color w:val="030305"/>
                <w:spacing w:val="-2"/>
                <w:sz w:val="14"/>
              </w:rPr>
              <w:t>953</w:t>
            </w:r>
            <w:r>
              <w:rPr>
                <w:rFonts w:ascii="Arial"/>
                <w:b/>
                <w:color w:val="3B4D69"/>
                <w:spacing w:val="-2"/>
                <w:sz w:val="14"/>
              </w:rPr>
              <w:t>.</w:t>
            </w:r>
            <w:r>
              <w:rPr>
                <w:rFonts w:ascii="Arial"/>
                <w:b/>
                <w:color w:val="030305"/>
                <w:spacing w:val="-2"/>
                <w:sz w:val="14"/>
              </w:rPr>
              <w:t>882</w:t>
            </w:r>
            <w:r>
              <w:rPr>
                <w:rFonts w:ascii="Arial"/>
                <w:b/>
                <w:color w:val="262628"/>
                <w:spacing w:val="-2"/>
                <w:sz w:val="14"/>
              </w:rPr>
              <w:t>.</w:t>
            </w:r>
            <w:r>
              <w:rPr>
                <w:rFonts w:ascii="Arial"/>
                <w:b/>
                <w:color w:val="030305"/>
                <w:spacing w:val="-2"/>
                <w:sz w:val="14"/>
              </w:rPr>
              <w:t>02</w:t>
            </w:r>
          </w:p>
        </w:tc>
        <w:tc>
          <w:tcPr>
            <w:tcW w:w="1298" w:type="dxa"/>
          </w:tcPr>
          <w:p>
            <w:pPr>
              <w:pStyle w:val="TableParagraph"/>
              <w:spacing w:line="149" w:lineRule="exact" w:before="27"/>
              <w:ind w:right="8"/>
              <w:jc w:val="right"/>
              <w:rPr>
                <w:rFonts w:ascii="Arial"/>
                <w:b/>
                <w:sz w:val="14"/>
              </w:rPr>
            </w:pPr>
            <w:r>
              <w:rPr>
                <w:rFonts w:ascii="Arial"/>
                <w:b/>
                <w:color w:val="030305"/>
                <w:spacing w:val="-2"/>
                <w:sz w:val="14"/>
              </w:rPr>
              <w:t>114.664</w:t>
            </w:r>
            <w:r>
              <w:rPr>
                <w:rFonts w:ascii="Arial"/>
                <w:b/>
                <w:color w:val="363838"/>
                <w:spacing w:val="-2"/>
                <w:sz w:val="14"/>
              </w:rPr>
              <w:t>.</w:t>
            </w:r>
            <w:r>
              <w:rPr>
                <w:rFonts w:ascii="Arial"/>
                <w:b/>
                <w:color w:val="030305"/>
                <w:spacing w:val="-2"/>
                <w:sz w:val="14"/>
              </w:rPr>
              <w:t>472</w:t>
            </w:r>
            <w:r>
              <w:rPr>
                <w:rFonts w:ascii="Arial"/>
                <w:b/>
                <w:color w:val="262628"/>
                <w:spacing w:val="-2"/>
                <w:sz w:val="14"/>
              </w:rPr>
              <w:t>,</w:t>
            </w:r>
            <w:r>
              <w:rPr>
                <w:rFonts w:ascii="Arial"/>
                <w:b/>
                <w:color w:val="030305"/>
                <w:spacing w:val="-2"/>
                <w:sz w:val="14"/>
              </w:rPr>
              <w:t>00</w:t>
            </w:r>
          </w:p>
        </w:tc>
        <w:tc>
          <w:tcPr>
            <w:tcW w:w="1115" w:type="dxa"/>
          </w:tcPr>
          <w:p>
            <w:pPr>
              <w:pStyle w:val="TableParagraph"/>
              <w:spacing w:line="149" w:lineRule="exact" w:before="27"/>
              <w:ind w:right="7"/>
              <w:jc w:val="right"/>
              <w:rPr>
                <w:rFonts w:ascii="Arial"/>
                <w:b/>
                <w:sz w:val="14"/>
              </w:rPr>
            </w:pPr>
            <w:r>
              <w:rPr>
                <w:rFonts w:ascii="Arial"/>
                <w:b/>
                <w:color w:val="131618"/>
                <w:spacing w:val="-2"/>
                <w:w w:val="105"/>
                <w:sz w:val="14"/>
              </w:rPr>
              <w:t>97</w:t>
            </w:r>
            <w:r>
              <w:rPr>
                <w:rFonts w:ascii="Arial"/>
                <w:b/>
                <w:color w:val="262628"/>
                <w:spacing w:val="-2"/>
                <w:w w:val="105"/>
                <w:sz w:val="14"/>
              </w:rPr>
              <w:t>.0</w:t>
            </w:r>
            <w:r>
              <w:rPr>
                <w:rFonts w:ascii="Arial"/>
                <w:b/>
                <w:color w:val="030305"/>
                <w:spacing w:val="-2"/>
                <w:w w:val="105"/>
                <w:sz w:val="14"/>
              </w:rPr>
              <w:t>00</w:t>
            </w:r>
            <w:r>
              <w:rPr>
                <w:rFonts w:ascii="Arial"/>
                <w:b/>
                <w:color w:val="363838"/>
                <w:spacing w:val="-2"/>
                <w:w w:val="105"/>
                <w:sz w:val="14"/>
              </w:rPr>
              <w:t>.</w:t>
            </w:r>
            <w:r>
              <w:rPr>
                <w:rFonts w:ascii="Arial"/>
                <w:b/>
                <w:color w:val="030305"/>
                <w:spacing w:val="-2"/>
                <w:w w:val="105"/>
                <w:sz w:val="14"/>
              </w:rPr>
              <w:t>554</w:t>
            </w:r>
            <w:r>
              <w:rPr>
                <w:rFonts w:ascii="Arial"/>
                <w:b/>
                <w:color w:val="262628"/>
                <w:spacing w:val="-2"/>
                <w:w w:val="105"/>
                <w:sz w:val="14"/>
              </w:rPr>
              <w:t>,</w:t>
            </w:r>
            <w:r>
              <w:rPr>
                <w:rFonts w:ascii="Arial"/>
                <w:b/>
                <w:color w:val="030305"/>
                <w:spacing w:val="-2"/>
                <w:w w:val="105"/>
                <w:sz w:val="14"/>
              </w:rPr>
              <w:t>38</w:t>
            </w:r>
          </w:p>
        </w:tc>
        <w:tc>
          <w:tcPr>
            <w:tcW w:w="1033" w:type="dxa"/>
          </w:tcPr>
          <w:p>
            <w:pPr>
              <w:pStyle w:val="TableParagraph"/>
              <w:spacing w:line="149" w:lineRule="exact" w:before="27"/>
              <w:ind w:right="6"/>
              <w:jc w:val="right"/>
              <w:rPr>
                <w:rFonts w:ascii="Arial"/>
                <w:b/>
                <w:sz w:val="14"/>
              </w:rPr>
            </w:pPr>
            <w:r>
              <w:rPr>
                <w:rFonts w:ascii="Arial"/>
                <w:b/>
                <w:color w:val="030305"/>
                <w:spacing w:val="-2"/>
                <w:w w:val="105"/>
                <w:sz w:val="14"/>
              </w:rPr>
              <w:t>17.663.917</w:t>
            </w:r>
            <w:r>
              <w:rPr>
                <w:rFonts w:ascii="Arial"/>
                <w:b/>
                <w:color w:val="262628"/>
                <w:spacing w:val="-2"/>
                <w:w w:val="105"/>
                <w:sz w:val="14"/>
              </w:rPr>
              <w:t>,</w:t>
            </w:r>
            <w:r>
              <w:rPr>
                <w:rFonts w:ascii="Arial"/>
                <w:b/>
                <w:color w:val="030305"/>
                <w:spacing w:val="-2"/>
                <w:w w:val="105"/>
                <w:sz w:val="14"/>
              </w:rPr>
              <w:t>62</w:t>
            </w:r>
          </w:p>
        </w:tc>
      </w:tr>
      <w:tr>
        <w:trPr>
          <w:trHeight w:val="205" w:hRule="atLeast"/>
        </w:trPr>
        <w:tc>
          <w:tcPr>
            <w:tcW w:w="2769" w:type="dxa"/>
            <w:tcBorders>
              <w:bottom w:val="nil"/>
              <w:right w:val="nil"/>
            </w:tcBorders>
          </w:tcPr>
          <w:p>
            <w:pPr>
              <w:pStyle w:val="TableParagraph"/>
              <w:spacing w:line="159" w:lineRule="exact" w:before="27"/>
              <w:ind w:left="65"/>
              <w:rPr>
                <w:rFonts w:ascii="Arial"/>
                <w:sz w:val="14"/>
              </w:rPr>
            </w:pPr>
            <w:r>
              <w:rPr>
                <w:rFonts w:ascii="Arial"/>
                <w:color w:val="131618"/>
                <w:sz w:val="14"/>
              </w:rPr>
              <w:t>R</w:t>
            </w:r>
            <w:r>
              <w:rPr>
                <w:rFonts w:ascii="Arial"/>
                <w:color w:val="363838"/>
                <w:sz w:val="14"/>
              </w:rPr>
              <w:t>ECURSOS</w:t>
            </w:r>
            <w:r>
              <w:rPr>
                <w:rFonts w:ascii="Arial"/>
                <w:color w:val="363838"/>
                <w:spacing w:val="13"/>
                <w:sz w:val="14"/>
              </w:rPr>
              <w:t> </w:t>
            </w:r>
            <w:r>
              <w:rPr>
                <w:rFonts w:ascii="Arial"/>
                <w:color w:val="262628"/>
                <w:spacing w:val="-2"/>
                <w:sz w:val="14"/>
              </w:rPr>
              <w:t>FODESAF</w:t>
            </w:r>
          </w:p>
        </w:tc>
        <w:tc>
          <w:tcPr>
            <w:tcW w:w="1346" w:type="dxa"/>
            <w:tcBorders>
              <w:left w:val="nil"/>
              <w:bottom w:val="nil"/>
              <w:right w:val="nil"/>
            </w:tcBorders>
          </w:tcPr>
          <w:p>
            <w:pPr>
              <w:pStyle w:val="TableParagraph"/>
              <w:spacing w:line="159" w:lineRule="exact" w:before="27"/>
              <w:ind w:right="22"/>
              <w:jc w:val="right"/>
              <w:rPr>
                <w:rFonts w:ascii="Arial"/>
                <w:sz w:val="14"/>
              </w:rPr>
            </w:pPr>
            <w:r>
              <w:rPr>
                <w:rFonts w:ascii="Arial"/>
                <w:color w:val="131618"/>
                <w:spacing w:val="-2"/>
                <w:w w:val="105"/>
                <w:sz w:val="14"/>
              </w:rPr>
              <w:t>1</w:t>
            </w:r>
            <w:r>
              <w:rPr>
                <w:rFonts w:ascii="Arial"/>
                <w:color w:val="363838"/>
                <w:spacing w:val="-2"/>
                <w:w w:val="105"/>
                <w:sz w:val="14"/>
              </w:rPr>
              <w:t>75.488</w:t>
            </w:r>
            <w:r>
              <w:rPr>
                <w:rFonts w:ascii="Arial"/>
                <w:color w:val="131618"/>
                <w:spacing w:val="-2"/>
                <w:w w:val="105"/>
                <w:sz w:val="14"/>
              </w:rPr>
              <w:t>.</w:t>
            </w:r>
            <w:r>
              <w:rPr>
                <w:rFonts w:ascii="Arial"/>
                <w:color w:val="363838"/>
                <w:spacing w:val="-2"/>
                <w:w w:val="105"/>
                <w:sz w:val="14"/>
              </w:rPr>
              <w:t>239,02</w:t>
            </w:r>
          </w:p>
        </w:tc>
        <w:tc>
          <w:tcPr>
            <w:tcW w:w="1298" w:type="dxa"/>
            <w:tcBorders>
              <w:left w:val="nil"/>
              <w:bottom w:val="nil"/>
              <w:right w:val="nil"/>
            </w:tcBorders>
          </w:tcPr>
          <w:p>
            <w:pPr>
              <w:pStyle w:val="TableParagraph"/>
              <w:spacing w:line="159" w:lineRule="exact" w:before="27"/>
              <w:ind w:right="22"/>
              <w:jc w:val="right"/>
              <w:rPr>
                <w:rFonts w:ascii="Arial"/>
                <w:sz w:val="14"/>
              </w:rPr>
            </w:pPr>
            <w:r>
              <w:rPr>
                <w:rFonts w:ascii="Arial"/>
                <w:color w:val="363838"/>
                <w:spacing w:val="-2"/>
                <w:w w:val="105"/>
                <w:sz w:val="14"/>
              </w:rPr>
              <w:t>99</w:t>
            </w:r>
            <w:r>
              <w:rPr>
                <w:rFonts w:ascii="Arial"/>
                <w:color w:val="131618"/>
                <w:spacing w:val="-2"/>
                <w:w w:val="105"/>
                <w:sz w:val="14"/>
              </w:rPr>
              <w:t>.</w:t>
            </w:r>
            <w:r>
              <w:rPr>
                <w:rFonts w:ascii="Arial"/>
                <w:color w:val="363838"/>
                <w:spacing w:val="-2"/>
                <w:w w:val="105"/>
                <w:sz w:val="14"/>
              </w:rPr>
              <w:t>087</w:t>
            </w:r>
            <w:r>
              <w:rPr>
                <w:rFonts w:ascii="Arial"/>
                <w:color w:val="828282"/>
                <w:spacing w:val="-2"/>
                <w:w w:val="105"/>
                <w:sz w:val="14"/>
              </w:rPr>
              <w:t>.</w:t>
            </w:r>
            <w:r>
              <w:rPr>
                <w:rFonts w:ascii="Arial"/>
                <w:color w:val="030305"/>
                <w:spacing w:val="-2"/>
                <w:w w:val="105"/>
                <w:sz w:val="14"/>
              </w:rPr>
              <w:t>1</w:t>
            </w:r>
            <w:r>
              <w:rPr>
                <w:rFonts w:ascii="Arial"/>
                <w:color w:val="363838"/>
                <w:spacing w:val="-2"/>
                <w:w w:val="105"/>
                <w:sz w:val="14"/>
              </w:rPr>
              <w:t>37,46</w:t>
            </w:r>
          </w:p>
        </w:tc>
        <w:tc>
          <w:tcPr>
            <w:tcW w:w="1115" w:type="dxa"/>
            <w:tcBorders>
              <w:left w:val="nil"/>
              <w:bottom w:val="nil"/>
              <w:right w:val="nil"/>
            </w:tcBorders>
          </w:tcPr>
          <w:p>
            <w:pPr>
              <w:pStyle w:val="TableParagraph"/>
              <w:spacing w:line="159" w:lineRule="exact" w:before="27"/>
              <w:ind w:right="27"/>
              <w:jc w:val="right"/>
              <w:rPr>
                <w:rFonts w:ascii="Arial"/>
                <w:sz w:val="14"/>
              </w:rPr>
            </w:pPr>
            <w:r>
              <w:rPr>
                <w:rFonts w:ascii="Arial"/>
                <w:color w:val="363838"/>
                <w:spacing w:val="-2"/>
                <w:w w:val="105"/>
                <w:sz w:val="14"/>
              </w:rPr>
              <w:t>84</w:t>
            </w:r>
            <w:r>
              <w:rPr>
                <w:rFonts w:ascii="Arial"/>
                <w:color w:val="030305"/>
                <w:spacing w:val="-2"/>
                <w:w w:val="105"/>
                <w:sz w:val="14"/>
              </w:rPr>
              <w:t>.</w:t>
            </w:r>
            <w:r>
              <w:rPr>
                <w:rFonts w:ascii="Arial"/>
                <w:color w:val="363838"/>
                <w:spacing w:val="-2"/>
                <w:w w:val="105"/>
                <w:sz w:val="14"/>
              </w:rPr>
              <w:t>958</w:t>
            </w:r>
            <w:r>
              <w:rPr>
                <w:rFonts w:ascii="Arial"/>
                <w:color w:val="525252"/>
                <w:spacing w:val="-2"/>
                <w:w w:val="105"/>
                <w:sz w:val="14"/>
              </w:rPr>
              <w:t>.4</w:t>
            </w:r>
            <w:r>
              <w:rPr>
                <w:rFonts w:ascii="Arial"/>
                <w:color w:val="262628"/>
                <w:spacing w:val="-2"/>
                <w:w w:val="105"/>
                <w:sz w:val="14"/>
              </w:rPr>
              <w:t>55</w:t>
            </w:r>
            <w:r>
              <w:rPr>
                <w:rFonts w:ascii="Arial"/>
                <w:color w:val="525252"/>
                <w:spacing w:val="-2"/>
                <w:w w:val="105"/>
                <w:sz w:val="14"/>
              </w:rPr>
              <w:t>,</w:t>
            </w:r>
            <w:r>
              <w:rPr>
                <w:rFonts w:ascii="Arial"/>
                <w:color w:val="262628"/>
                <w:spacing w:val="-2"/>
                <w:w w:val="105"/>
                <w:sz w:val="14"/>
              </w:rPr>
              <w:t>79</w:t>
            </w:r>
          </w:p>
        </w:tc>
        <w:tc>
          <w:tcPr>
            <w:tcW w:w="1033" w:type="dxa"/>
            <w:tcBorders>
              <w:left w:val="nil"/>
              <w:bottom w:val="nil"/>
            </w:tcBorders>
          </w:tcPr>
          <w:p>
            <w:pPr>
              <w:pStyle w:val="TableParagraph"/>
              <w:spacing w:line="159" w:lineRule="exact" w:before="27"/>
              <w:ind w:right="16"/>
              <w:jc w:val="right"/>
              <w:rPr>
                <w:rFonts w:ascii="Arial"/>
                <w:sz w:val="14"/>
              </w:rPr>
            </w:pPr>
            <w:r>
              <w:rPr>
                <w:rFonts w:ascii="Arial"/>
                <w:color w:val="525252"/>
                <w:spacing w:val="-2"/>
                <w:w w:val="105"/>
                <w:sz w:val="14"/>
              </w:rPr>
              <w:t>1</w:t>
            </w:r>
            <w:r>
              <w:rPr>
                <w:rFonts w:ascii="Arial"/>
                <w:color w:val="363838"/>
                <w:spacing w:val="-2"/>
                <w:w w:val="105"/>
                <w:sz w:val="14"/>
              </w:rPr>
              <w:t>4</w:t>
            </w:r>
            <w:r>
              <w:rPr>
                <w:rFonts w:ascii="Arial"/>
                <w:color w:val="131618"/>
                <w:spacing w:val="-2"/>
                <w:w w:val="105"/>
                <w:sz w:val="14"/>
              </w:rPr>
              <w:t>.</w:t>
            </w:r>
            <w:r>
              <w:rPr>
                <w:rFonts w:ascii="Arial"/>
                <w:color w:val="525252"/>
                <w:spacing w:val="-2"/>
                <w:w w:val="105"/>
                <w:sz w:val="14"/>
              </w:rPr>
              <w:t>1</w:t>
            </w:r>
            <w:r>
              <w:rPr>
                <w:rFonts w:ascii="Arial"/>
                <w:color w:val="363838"/>
                <w:spacing w:val="-2"/>
                <w:w w:val="105"/>
                <w:sz w:val="14"/>
              </w:rPr>
              <w:t>28.68</w:t>
            </w:r>
            <w:r>
              <w:rPr>
                <w:rFonts w:ascii="Arial"/>
                <w:color w:val="131618"/>
                <w:spacing w:val="-2"/>
                <w:w w:val="105"/>
                <w:sz w:val="14"/>
              </w:rPr>
              <w:t>1</w:t>
            </w:r>
            <w:r>
              <w:rPr>
                <w:rFonts w:ascii="Arial"/>
                <w:color w:val="626262"/>
                <w:spacing w:val="-2"/>
                <w:w w:val="105"/>
                <w:sz w:val="14"/>
              </w:rPr>
              <w:t>,</w:t>
            </w:r>
            <w:r>
              <w:rPr>
                <w:rFonts w:ascii="Arial"/>
                <w:color w:val="363838"/>
                <w:spacing w:val="-2"/>
                <w:w w:val="105"/>
                <w:sz w:val="14"/>
              </w:rPr>
              <w:t>67</w:t>
            </w:r>
          </w:p>
        </w:tc>
      </w:tr>
      <w:tr>
        <w:trPr>
          <w:trHeight w:val="224" w:hRule="atLeast"/>
        </w:trPr>
        <w:tc>
          <w:tcPr>
            <w:tcW w:w="2769" w:type="dxa"/>
            <w:tcBorders>
              <w:top w:val="nil"/>
              <w:bottom w:val="nil"/>
              <w:right w:val="nil"/>
            </w:tcBorders>
          </w:tcPr>
          <w:p>
            <w:pPr>
              <w:pStyle w:val="TableParagraph"/>
              <w:spacing w:before="18"/>
              <w:ind w:left="65"/>
              <w:rPr>
                <w:rFonts w:ascii="Arial"/>
                <w:sz w:val="14"/>
              </w:rPr>
            </w:pPr>
            <w:r>
              <w:rPr>
                <w:rFonts w:ascii="Arial"/>
                <w:color w:val="131618"/>
                <w:sz w:val="14"/>
              </w:rPr>
              <w:t>R</w:t>
            </w:r>
            <w:r>
              <w:rPr>
                <w:rFonts w:ascii="Arial"/>
                <w:color w:val="363838"/>
                <w:sz w:val="14"/>
              </w:rPr>
              <w:t>ECURSOS</w:t>
            </w:r>
            <w:r>
              <w:rPr>
                <w:rFonts w:ascii="Arial"/>
                <w:color w:val="363838"/>
                <w:spacing w:val="13"/>
                <w:sz w:val="14"/>
              </w:rPr>
              <w:t> </w:t>
            </w:r>
            <w:r>
              <w:rPr>
                <w:rFonts w:ascii="Arial"/>
                <w:color w:val="363838"/>
                <w:sz w:val="14"/>
              </w:rPr>
              <w:t>GO</w:t>
            </w:r>
            <w:r>
              <w:rPr>
                <w:rFonts w:ascii="Arial"/>
                <w:color w:val="131618"/>
                <w:sz w:val="14"/>
              </w:rPr>
              <w:t>BI</w:t>
            </w:r>
            <w:r>
              <w:rPr>
                <w:rFonts w:ascii="Arial"/>
                <w:color w:val="363838"/>
                <w:sz w:val="14"/>
              </w:rPr>
              <w:t>E</w:t>
            </w:r>
            <w:r>
              <w:rPr>
                <w:rFonts w:ascii="Arial"/>
                <w:color w:val="131618"/>
                <w:sz w:val="14"/>
              </w:rPr>
              <w:t>RN</w:t>
            </w:r>
            <w:r>
              <w:rPr>
                <w:rFonts w:ascii="Arial"/>
                <w:color w:val="363838"/>
                <w:sz w:val="14"/>
              </w:rPr>
              <w:t>O</w:t>
            </w:r>
            <w:r>
              <w:rPr>
                <w:rFonts w:ascii="Arial"/>
                <w:color w:val="363838"/>
                <w:spacing w:val="21"/>
                <w:sz w:val="14"/>
              </w:rPr>
              <w:t> </w:t>
            </w:r>
            <w:r>
              <w:rPr>
                <w:rFonts w:ascii="Arial"/>
                <w:color w:val="363838"/>
                <w:spacing w:val="-2"/>
                <w:sz w:val="14"/>
              </w:rPr>
              <w:t>CEN</w:t>
            </w:r>
            <w:r>
              <w:rPr>
                <w:rFonts w:ascii="Arial"/>
                <w:color w:val="131618"/>
                <w:spacing w:val="-2"/>
                <w:sz w:val="14"/>
              </w:rPr>
              <w:t>TRAL</w:t>
            </w:r>
          </w:p>
        </w:tc>
        <w:tc>
          <w:tcPr>
            <w:tcW w:w="1346" w:type="dxa"/>
            <w:tcBorders>
              <w:top w:val="nil"/>
              <w:left w:val="nil"/>
              <w:bottom w:val="nil"/>
              <w:right w:val="nil"/>
            </w:tcBorders>
          </w:tcPr>
          <w:p>
            <w:pPr>
              <w:pStyle w:val="TableParagraph"/>
              <w:spacing w:before="13"/>
              <w:ind w:right="27"/>
              <w:jc w:val="right"/>
              <w:rPr>
                <w:rFonts w:ascii="Arial"/>
                <w:sz w:val="14"/>
              </w:rPr>
            </w:pPr>
            <w:r>
              <w:rPr>
                <w:rFonts w:ascii="Arial"/>
                <w:color w:val="363838"/>
                <w:spacing w:val="-2"/>
                <w:sz w:val="14"/>
              </w:rPr>
              <w:t>3</w:t>
            </w:r>
            <w:r>
              <w:rPr>
                <w:rFonts w:ascii="Arial"/>
                <w:color w:val="131618"/>
                <w:spacing w:val="-2"/>
                <w:sz w:val="14"/>
              </w:rPr>
              <w:t>.</w:t>
            </w:r>
            <w:r>
              <w:rPr>
                <w:rFonts w:ascii="Arial"/>
                <w:color w:val="363838"/>
                <w:spacing w:val="-2"/>
                <w:sz w:val="14"/>
              </w:rPr>
              <w:t>20.44</w:t>
            </w:r>
            <w:r>
              <w:rPr>
                <w:rFonts w:ascii="Arial"/>
                <w:color w:val="030305"/>
                <w:spacing w:val="-2"/>
                <w:sz w:val="14"/>
              </w:rPr>
              <w:t>1</w:t>
            </w:r>
            <w:r>
              <w:rPr>
                <w:rFonts w:ascii="Arial"/>
                <w:color w:val="363838"/>
                <w:spacing w:val="-2"/>
                <w:sz w:val="14"/>
              </w:rPr>
              <w:t>,56</w:t>
            </w:r>
          </w:p>
        </w:tc>
        <w:tc>
          <w:tcPr>
            <w:tcW w:w="1298" w:type="dxa"/>
            <w:tcBorders>
              <w:top w:val="nil"/>
              <w:left w:val="nil"/>
              <w:bottom w:val="nil"/>
              <w:right w:val="nil"/>
            </w:tcBorders>
          </w:tcPr>
          <w:p>
            <w:pPr>
              <w:pStyle w:val="TableParagraph"/>
              <w:spacing w:before="13"/>
              <w:ind w:right="22"/>
              <w:jc w:val="right"/>
              <w:rPr>
                <w:rFonts w:ascii="Arial"/>
                <w:sz w:val="14"/>
              </w:rPr>
            </w:pPr>
            <w:r>
              <w:rPr>
                <w:rFonts w:ascii="Arial"/>
                <w:color w:val="363838"/>
                <w:spacing w:val="-2"/>
                <w:sz w:val="14"/>
              </w:rPr>
              <w:t>2.228</w:t>
            </w:r>
            <w:r>
              <w:rPr>
                <w:rFonts w:ascii="Arial"/>
                <w:color w:val="626262"/>
                <w:spacing w:val="-2"/>
                <w:sz w:val="14"/>
              </w:rPr>
              <w:t>.</w:t>
            </w:r>
            <w:r>
              <w:rPr>
                <w:rFonts w:ascii="Arial"/>
                <w:color w:val="363838"/>
                <w:spacing w:val="-2"/>
                <w:sz w:val="14"/>
              </w:rPr>
              <w:t>636,29</w:t>
            </w:r>
          </w:p>
        </w:tc>
        <w:tc>
          <w:tcPr>
            <w:tcW w:w="1115" w:type="dxa"/>
            <w:tcBorders>
              <w:top w:val="nil"/>
              <w:left w:val="nil"/>
              <w:bottom w:val="nil"/>
              <w:right w:val="nil"/>
            </w:tcBorders>
          </w:tcPr>
          <w:p>
            <w:pPr>
              <w:pStyle w:val="TableParagraph"/>
              <w:spacing w:before="13"/>
              <w:ind w:right="20"/>
              <w:jc w:val="right"/>
              <w:rPr>
                <w:rFonts w:ascii="Arial"/>
                <w:sz w:val="14"/>
              </w:rPr>
            </w:pPr>
            <w:r>
              <w:rPr>
                <w:rFonts w:ascii="Arial"/>
                <w:color w:val="131618"/>
                <w:spacing w:val="-2"/>
                <w:w w:val="105"/>
                <w:sz w:val="14"/>
              </w:rPr>
              <w:t>1</w:t>
            </w:r>
            <w:r>
              <w:rPr>
                <w:rFonts w:ascii="Arial"/>
                <w:color w:val="363838"/>
                <w:spacing w:val="-2"/>
                <w:w w:val="105"/>
                <w:sz w:val="14"/>
              </w:rPr>
              <w:t>.348.25</w:t>
            </w:r>
            <w:r>
              <w:rPr>
                <w:rFonts w:ascii="Arial"/>
                <w:color w:val="525252"/>
                <w:spacing w:val="-2"/>
                <w:w w:val="105"/>
                <w:sz w:val="14"/>
              </w:rPr>
              <w:t>,</w:t>
            </w:r>
            <w:r>
              <w:rPr>
                <w:rFonts w:ascii="Arial"/>
                <w:color w:val="363838"/>
                <w:spacing w:val="-2"/>
                <w:w w:val="105"/>
                <w:sz w:val="14"/>
              </w:rPr>
              <w:t>19</w:t>
            </w:r>
          </w:p>
        </w:tc>
        <w:tc>
          <w:tcPr>
            <w:tcW w:w="1033" w:type="dxa"/>
            <w:tcBorders>
              <w:top w:val="nil"/>
              <w:left w:val="nil"/>
              <w:bottom w:val="nil"/>
            </w:tcBorders>
          </w:tcPr>
          <w:p>
            <w:pPr>
              <w:pStyle w:val="TableParagraph"/>
              <w:spacing w:before="13"/>
              <w:ind w:right="15"/>
              <w:jc w:val="right"/>
              <w:rPr>
                <w:rFonts w:ascii="Arial"/>
                <w:sz w:val="14"/>
              </w:rPr>
            </w:pPr>
            <w:r>
              <w:rPr>
                <w:rFonts w:ascii="Arial"/>
                <w:color w:val="363838"/>
                <w:spacing w:val="-2"/>
                <w:w w:val="105"/>
                <w:sz w:val="14"/>
              </w:rPr>
              <w:t>880.31</w:t>
            </w:r>
            <w:r>
              <w:rPr>
                <w:rFonts w:ascii="Arial"/>
                <w:color w:val="131618"/>
                <w:spacing w:val="-2"/>
                <w:w w:val="105"/>
                <w:sz w:val="14"/>
              </w:rPr>
              <w:t>1</w:t>
            </w:r>
            <w:r>
              <w:rPr>
                <w:rFonts w:ascii="Arial"/>
                <w:color w:val="525252"/>
                <w:spacing w:val="-2"/>
                <w:w w:val="105"/>
                <w:sz w:val="14"/>
              </w:rPr>
              <w:t>,</w:t>
            </w:r>
            <w:r>
              <w:rPr>
                <w:rFonts w:ascii="Arial"/>
                <w:color w:val="363838"/>
                <w:spacing w:val="-2"/>
                <w:w w:val="105"/>
                <w:sz w:val="14"/>
              </w:rPr>
              <w:t>10</w:t>
            </w:r>
          </w:p>
        </w:tc>
      </w:tr>
      <w:tr>
        <w:trPr>
          <w:trHeight w:val="179" w:hRule="atLeast"/>
        </w:trPr>
        <w:tc>
          <w:tcPr>
            <w:tcW w:w="2769" w:type="dxa"/>
            <w:tcBorders>
              <w:top w:val="nil"/>
              <w:bottom w:val="nil"/>
              <w:right w:val="nil"/>
            </w:tcBorders>
          </w:tcPr>
          <w:p>
            <w:pPr>
              <w:pStyle w:val="TableParagraph"/>
              <w:spacing w:line="128" w:lineRule="exact"/>
              <w:ind w:left="65"/>
              <w:rPr>
                <w:rFonts w:ascii="Arial"/>
                <w:sz w:val="14"/>
              </w:rPr>
            </w:pPr>
            <w:r>
              <w:rPr>
                <w:rFonts w:ascii="Arial"/>
                <w:color w:val="262628"/>
                <w:sz w:val="14"/>
              </w:rPr>
              <w:t>RECURSOS</w:t>
            </w:r>
            <w:r>
              <w:rPr>
                <w:rFonts w:ascii="Arial"/>
                <w:color w:val="262628"/>
                <w:spacing w:val="10"/>
                <w:sz w:val="14"/>
              </w:rPr>
              <w:t> </w:t>
            </w:r>
            <w:r>
              <w:rPr>
                <w:rFonts w:ascii="Arial"/>
                <w:color w:val="363838"/>
                <w:spacing w:val="-2"/>
                <w:sz w:val="14"/>
              </w:rPr>
              <w:t>E</w:t>
            </w:r>
            <w:r>
              <w:rPr>
                <w:rFonts w:ascii="Arial"/>
                <w:color w:val="131618"/>
                <w:spacing w:val="-2"/>
                <w:sz w:val="14"/>
              </w:rPr>
              <w:t>MPRES</w:t>
            </w:r>
            <w:r>
              <w:rPr>
                <w:rFonts w:ascii="Arial"/>
                <w:color w:val="363838"/>
                <w:spacing w:val="-2"/>
                <w:sz w:val="14"/>
              </w:rPr>
              <w:t>AS</w:t>
            </w:r>
          </w:p>
        </w:tc>
        <w:tc>
          <w:tcPr>
            <w:tcW w:w="1346" w:type="dxa"/>
            <w:tcBorders>
              <w:top w:val="nil"/>
              <w:left w:val="nil"/>
              <w:bottom w:val="nil"/>
              <w:right w:val="nil"/>
            </w:tcBorders>
          </w:tcPr>
          <w:p>
            <w:pPr>
              <w:pStyle w:val="TableParagraph"/>
              <w:spacing w:line="106" w:lineRule="exact" w:before="53"/>
              <w:ind w:right="32"/>
              <w:jc w:val="right"/>
              <w:rPr>
                <w:rFonts w:ascii="Arial"/>
                <w:sz w:val="14"/>
              </w:rPr>
            </w:pPr>
            <w:r>
              <w:rPr>
                <w:rFonts w:ascii="Arial"/>
                <w:color w:val="525252"/>
                <w:spacing w:val="-2"/>
                <w:sz w:val="14"/>
              </w:rPr>
              <w:t>2</w:t>
            </w:r>
            <w:r>
              <w:rPr>
                <w:rFonts w:ascii="Arial"/>
                <w:color w:val="363838"/>
                <w:spacing w:val="-2"/>
                <w:sz w:val="14"/>
              </w:rPr>
              <w:t>6.264.20</w:t>
            </w:r>
            <w:r>
              <w:rPr>
                <w:rFonts w:ascii="Arial"/>
                <w:color w:val="030305"/>
                <w:spacing w:val="-2"/>
                <w:sz w:val="14"/>
              </w:rPr>
              <w:t>1</w:t>
            </w:r>
            <w:r>
              <w:rPr>
                <w:rFonts w:ascii="Arial"/>
                <w:color w:val="363838"/>
                <w:spacing w:val="-2"/>
                <w:sz w:val="14"/>
              </w:rPr>
              <w:t>,44</w:t>
            </w:r>
          </w:p>
        </w:tc>
        <w:tc>
          <w:tcPr>
            <w:tcW w:w="1298" w:type="dxa"/>
            <w:tcBorders>
              <w:top w:val="nil"/>
              <w:left w:val="nil"/>
              <w:bottom w:val="nil"/>
              <w:right w:val="nil"/>
            </w:tcBorders>
          </w:tcPr>
          <w:p>
            <w:pPr>
              <w:pStyle w:val="TableParagraph"/>
              <w:spacing w:line="106" w:lineRule="exact" w:before="53"/>
              <w:ind w:right="22"/>
              <w:jc w:val="right"/>
              <w:rPr>
                <w:rFonts w:ascii="Arial"/>
                <w:sz w:val="14"/>
              </w:rPr>
            </w:pPr>
            <w:r>
              <w:rPr>
                <w:rFonts w:ascii="Arial"/>
                <w:color w:val="131618"/>
                <w:spacing w:val="-2"/>
                <w:w w:val="105"/>
                <w:sz w:val="14"/>
              </w:rPr>
              <w:t>1</w:t>
            </w:r>
            <w:r>
              <w:rPr>
                <w:rFonts w:ascii="Arial"/>
                <w:color w:val="363838"/>
                <w:spacing w:val="-2"/>
                <w:w w:val="105"/>
                <w:sz w:val="14"/>
              </w:rPr>
              <w:t>3.348</w:t>
            </w:r>
            <w:r>
              <w:rPr>
                <w:rFonts w:ascii="Arial"/>
                <w:color w:val="626262"/>
                <w:spacing w:val="-2"/>
                <w:w w:val="105"/>
                <w:sz w:val="14"/>
              </w:rPr>
              <w:t>.</w:t>
            </w:r>
            <w:r>
              <w:rPr>
                <w:rFonts w:ascii="Arial"/>
                <w:color w:val="262628"/>
                <w:spacing w:val="-2"/>
                <w:w w:val="105"/>
                <w:sz w:val="14"/>
              </w:rPr>
              <w:t>698</w:t>
            </w:r>
            <w:r>
              <w:rPr>
                <w:rFonts w:ascii="Arial"/>
                <w:color w:val="525252"/>
                <w:spacing w:val="-2"/>
                <w:w w:val="105"/>
                <w:sz w:val="14"/>
              </w:rPr>
              <w:t>,</w:t>
            </w:r>
            <w:r>
              <w:rPr>
                <w:rFonts w:ascii="Arial"/>
                <w:color w:val="363838"/>
                <w:spacing w:val="-2"/>
                <w:w w:val="105"/>
                <w:sz w:val="14"/>
              </w:rPr>
              <w:t>25</w:t>
            </w:r>
          </w:p>
        </w:tc>
        <w:tc>
          <w:tcPr>
            <w:tcW w:w="1115" w:type="dxa"/>
            <w:tcBorders>
              <w:top w:val="nil"/>
              <w:left w:val="nil"/>
              <w:bottom w:val="nil"/>
              <w:right w:val="nil"/>
            </w:tcBorders>
          </w:tcPr>
          <w:p>
            <w:pPr>
              <w:pStyle w:val="TableParagraph"/>
              <w:spacing w:line="106" w:lineRule="exact" w:before="53"/>
              <w:ind w:right="26"/>
              <w:jc w:val="right"/>
              <w:rPr>
                <w:rFonts w:ascii="Arial"/>
                <w:sz w:val="14"/>
              </w:rPr>
            </w:pPr>
            <w:r>
              <w:rPr>
                <w:rFonts w:ascii="Arial"/>
                <w:color w:val="030305"/>
                <w:spacing w:val="-2"/>
                <w:w w:val="105"/>
                <w:sz w:val="14"/>
              </w:rPr>
              <w:t>1</w:t>
            </w:r>
            <w:r>
              <w:rPr>
                <w:rFonts w:ascii="Arial"/>
                <w:color w:val="363838"/>
                <w:spacing w:val="-2"/>
                <w:w w:val="105"/>
                <w:sz w:val="14"/>
              </w:rPr>
              <w:t>0.693</w:t>
            </w:r>
            <w:r>
              <w:rPr>
                <w:rFonts w:ascii="Arial"/>
                <w:color w:val="919191"/>
                <w:spacing w:val="-2"/>
                <w:w w:val="105"/>
                <w:sz w:val="14"/>
              </w:rPr>
              <w:t>.</w:t>
            </w:r>
            <w:r>
              <w:rPr>
                <w:rFonts w:ascii="Arial"/>
                <w:color w:val="363838"/>
                <w:spacing w:val="-2"/>
                <w:w w:val="105"/>
                <w:sz w:val="14"/>
              </w:rPr>
              <w:t>773</w:t>
            </w:r>
            <w:r>
              <w:rPr>
                <w:rFonts w:ascii="Arial"/>
                <w:color w:val="626262"/>
                <w:spacing w:val="-2"/>
                <w:w w:val="105"/>
                <w:sz w:val="14"/>
              </w:rPr>
              <w:t>,</w:t>
            </w:r>
            <w:r>
              <w:rPr>
                <w:rFonts w:ascii="Arial"/>
                <w:color w:val="131618"/>
                <w:spacing w:val="-2"/>
                <w:w w:val="105"/>
                <w:sz w:val="14"/>
              </w:rPr>
              <w:t>40</w:t>
            </w:r>
          </w:p>
        </w:tc>
        <w:tc>
          <w:tcPr>
            <w:tcW w:w="1033" w:type="dxa"/>
            <w:tcBorders>
              <w:top w:val="nil"/>
              <w:left w:val="nil"/>
              <w:bottom w:val="nil"/>
            </w:tcBorders>
          </w:tcPr>
          <w:p>
            <w:pPr>
              <w:pStyle w:val="TableParagraph"/>
              <w:spacing w:line="106" w:lineRule="exact" w:before="53"/>
              <w:ind w:right="16"/>
              <w:jc w:val="right"/>
              <w:rPr>
                <w:rFonts w:ascii="Arial"/>
                <w:sz w:val="14"/>
              </w:rPr>
            </w:pPr>
            <w:r>
              <w:rPr>
                <w:rFonts w:ascii="Arial"/>
                <w:color w:val="363838"/>
                <w:spacing w:val="-2"/>
                <w:sz w:val="14"/>
              </w:rPr>
              <w:t>2.654.924</w:t>
            </w:r>
            <w:r>
              <w:rPr>
                <w:rFonts w:ascii="Arial"/>
                <w:color w:val="626262"/>
                <w:spacing w:val="-2"/>
                <w:sz w:val="14"/>
              </w:rPr>
              <w:t>,</w:t>
            </w:r>
            <w:r>
              <w:rPr>
                <w:rFonts w:ascii="Arial"/>
                <w:color w:val="363838"/>
                <w:spacing w:val="-2"/>
                <w:sz w:val="14"/>
              </w:rPr>
              <w:t>85</w:t>
            </w:r>
          </w:p>
        </w:tc>
      </w:tr>
      <w:tr>
        <w:trPr>
          <w:trHeight w:val="105" w:hRule="atLeast"/>
        </w:trPr>
        <w:tc>
          <w:tcPr>
            <w:tcW w:w="2769" w:type="dxa"/>
            <w:tcBorders>
              <w:top w:val="nil"/>
              <w:right w:val="nil"/>
            </w:tcBorders>
          </w:tcPr>
          <w:p>
            <w:pPr>
              <w:pStyle w:val="TableParagraph"/>
              <w:spacing w:line="86" w:lineRule="exact"/>
              <w:ind w:left="64"/>
              <w:rPr>
                <w:rFonts w:ascii="Arial"/>
                <w:sz w:val="14"/>
              </w:rPr>
            </w:pPr>
            <w:r>
              <w:rPr>
                <w:rFonts w:ascii="Arial"/>
                <w:color w:val="363838"/>
                <w:spacing w:val="-2"/>
                <w:w w:val="105"/>
                <w:sz w:val="14"/>
              </w:rPr>
              <w:t>COMERCIA</w:t>
            </w:r>
            <w:r>
              <w:rPr>
                <w:rFonts w:ascii="Arial"/>
                <w:color w:val="131618"/>
                <w:spacing w:val="-2"/>
                <w:w w:val="105"/>
                <w:sz w:val="14"/>
              </w:rPr>
              <w:t>L</w:t>
            </w:r>
            <w:r>
              <w:rPr>
                <w:rFonts w:ascii="Arial"/>
                <w:color w:val="363838"/>
                <w:spacing w:val="-2"/>
                <w:w w:val="105"/>
                <w:sz w:val="14"/>
              </w:rPr>
              <w:t>ES</w:t>
            </w:r>
          </w:p>
        </w:tc>
        <w:tc>
          <w:tcPr>
            <w:tcW w:w="1346" w:type="dxa"/>
            <w:tcBorders>
              <w:top w:val="nil"/>
              <w:left w:val="nil"/>
              <w:right w:val="nil"/>
            </w:tcBorders>
          </w:tcPr>
          <w:p>
            <w:pPr>
              <w:pStyle w:val="TableParagraph"/>
              <w:rPr>
                <w:rFonts w:ascii="Times New Roman"/>
                <w:sz w:val="4"/>
              </w:rPr>
            </w:pPr>
          </w:p>
        </w:tc>
        <w:tc>
          <w:tcPr>
            <w:tcW w:w="1298" w:type="dxa"/>
            <w:tcBorders>
              <w:top w:val="nil"/>
              <w:left w:val="nil"/>
              <w:right w:val="nil"/>
            </w:tcBorders>
          </w:tcPr>
          <w:p>
            <w:pPr>
              <w:pStyle w:val="TableParagraph"/>
              <w:rPr>
                <w:rFonts w:ascii="Times New Roman"/>
                <w:sz w:val="4"/>
              </w:rPr>
            </w:pPr>
          </w:p>
        </w:tc>
        <w:tc>
          <w:tcPr>
            <w:tcW w:w="1115" w:type="dxa"/>
            <w:tcBorders>
              <w:top w:val="nil"/>
              <w:left w:val="nil"/>
              <w:right w:val="nil"/>
            </w:tcBorders>
          </w:tcPr>
          <w:p>
            <w:pPr>
              <w:pStyle w:val="TableParagraph"/>
              <w:rPr>
                <w:rFonts w:ascii="Times New Roman"/>
                <w:sz w:val="4"/>
              </w:rPr>
            </w:pPr>
          </w:p>
        </w:tc>
        <w:tc>
          <w:tcPr>
            <w:tcW w:w="1033" w:type="dxa"/>
            <w:tcBorders>
              <w:top w:val="nil"/>
              <w:left w:val="nil"/>
            </w:tcBorders>
          </w:tcPr>
          <w:p>
            <w:pPr>
              <w:pStyle w:val="TableParagraph"/>
              <w:rPr>
                <w:rFonts w:ascii="Times New Roman"/>
                <w:sz w:val="4"/>
              </w:rPr>
            </w:pPr>
          </w:p>
        </w:tc>
      </w:tr>
      <w:tr>
        <w:trPr>
          <w:trHeight w:val="196" w:hRule="atLeast"/>
        </w:trPr>
        <w:tc>
          <w:tcPr>
            <w:tcW w:w="2769" w:type="dxa"/>
          </w:tcPr>
          <w:p>
            <w:pPr>
              <w:pStyle w:val="TableParagraph"/>
              <w:spacing w:line="145" w:lineRule="exact" w:before="31"/>
              <w:ind w:left="107"/>
              <w:rPr>
                <w:rFonts w:ascii="Arial"/>
                <w:b/>
                <w:sz w:val="14"/>
              </w:rPr>
            </w:pPr>
            <w:r>
              <w:rPr>
                <w:rFonts w:ascii="Arial"/>
                <w:b/>
                <w:color w:val="030305"/>
                <w:spacing w:val="-2"/>
                <w:sz w:val="14"/>
              </w:rPr>
              <w:t>TOTAL</w:t>
            </w:r>
          </w:p>
        </w:tc>
        <w:tc>
          <w:tcPr>
            <w:tcW w:w="1346" w:type="dxa"/>
          </w:tcPr>
          <w:p>
            <w:pPr>
              <w:pStyle w:val="TableParagraph"/>
              <w:spacing w:line="145" w:lineRule="exact" w:before="31"/>
              <w:ind w:right="8"/>
              <w:jc w:val="right"/>
              <w:rPr>
                <w:rFonts w:ascii="Arial"/>
                <w:b/>
                <w:sz w:val="14"/>
              </w:rPr>
            </w:pPr>
            <w:r>
              <w:rPr>
                <w:rFonts w:ascii="Arial"/>
                <w:b/>
                <w:color w:val="131618"/>
                <w:spacing w:val="-2"/>
                <w:sz w:val="14"/>
              </w:rPr>
              <w:t>277</w:t>
            </w:r>
            <w:r>
              <w:rPr>
                <w:rFonts w:ascii="Arial"/>
                <w:b/>
                <w:color w:val="262628"/>
                <w:spacing w:val="-2"/>
                <w:sz w:val="14"/>
              </w:rPr>
              <w:t>.</w:t>
            </w:r>
            <w:r>
              <w:rPr>
                <w:rFonts w:ascii="Arial"/>
                <w:b/>
                <w:color w:val="030305"/>
                <w:spacing w:val="-2"/>
                <w:sz w:val="14"/>
              </w:rPr>
              <w:t>908</w:t>
            </w:r>
            <w:r>
              <w:rPr>
                <w:rFonts w:ascii="Arial"/>
                <w:b/>
                <w:color w:val="363838"/>
                <w:spacing w:val="-2"/>
                <w:sz w:val="14"/>
              </w:rPr>
              <w:t>.</w:t>
            </w:r>
            <w:r>
              <w:rPr>
                <w:rFonts w:ascii="Arial"/>
                <w:b/>
                <w:color w:val="131618"/>
                <w:spacing w:val="-2"/>
                <w:sz w:val="14"/>
              </w:rPr>
              <w:t>088,58</w:t>
            </w:r>
          </w:p>
        </w:tc>
        <w:tc>
          <w:tcPr>
            <w:tcW w:w="1298" w:type="dxa"/>
          </w:tcPr>
          <w:p>
            <w:pPr>
              <w:pStyle w:val="TableParagraph"/>
              <w:spacing w:line="145" w:lineRule="exact" w:before="31"/>
              <w:ind w:right="4"/>
              <w:jc w:val="right"/>
              <w:rPr>
                <w:rFonts w:ascii="Arial"/>
                <w:b/>
                <w:sz w:val="14"/>
              </w:rPr>
            </w:pPr>
            <w:r>
              <w:rPr>
                <w:rFonts w:ascii="Arial"/>
                <w:b/>
                <w:color w:val="131618"/>
                <w:spacing w:val="-2"/>
                <w:w w:val="105"/>
                <w:sz w:val="14"/>
              </w:rPr>
              <w:t>161.676.280,88</w:t>
            </w:r>
          </w:p>
        </w:tc>
        <w:tc>
          <w:tcPr>
            <w:tcW w:w="1115" w:type="dxa"/>
          </w:tcPr>
          <w:p>
            <w:pPr>
              <w:pStyle w:val="TableParagraph"/>
              <w:spacing w:line="145" w:lineRule="exact" w:before="31"/>
              <w:ind w:right="12"/>
              <w:jc w:val="right"/>
              <w:rPr>
                <w:rFonts w:ascii="Arial"/>
                <w:b/>
                <w:sz w:val="14"/>
              </w:rPr>
            </w:pPr>
            <w:r>
              <w:rPr>
                <w:rFonts w:ascii="Arial"/>
                <w:b/>
                <w:color w:val="030305"/>
                <w:spacing w:val="-2"/>
                <w:w w:val="105"/>
                <w:sz w:val="14"/>
              </w:rPr>
              <w:t>127</w:t>
            </w:r>
            <w:r>
              <w:rPr>
                <w:rFonts w:ascii="Arial"/>
                <w:b/>
                <w:color w:val="131618"/>
                <w:spacing w:val="-2"/>
                <w:w w:val="105"/>
                <w:sz w:val="14"/>
              </w:rPr>
              <w:t>.654</w:t>
            </w:r>
            <w:r>
              <w:rPr>
                <w:rFonts w:ascii="Arial"/>
                <w:b/>
                <w:color w:val="363838"/>
                <w:spacing w:val="-2"/>
                <w:w w:val="105"/>
                <w:sz w:val="14"/>
              </w:rPr>
              <w:t>.</w:t>
            </w:r>
            <w:r>
              <w:rPr>
                <w:rFonts w:ascii="Arial"/>
                <w:b/>
                <w:color w:val="131618"/>
                <w:spacing w:val="-2"/>
                <w:w w:val="105"/>
                <w:sz w:val="14"/>
              </w:rPr>
              <w:t>273,08</w:t>
            </w:r>
          </w:p>
        </w:tc>
        <w:tc>
          <w:tcPr>
            <w:tcW w:w="1033" w:type="dxa"/>
          </w:tcPr>
          <w:p>
            <w:pPr>
              <w:pStyle w:val="TableParagraph"/>
              <w:spacing w:line="145" w:lineRule="exact" w:before="31"/>
              <w:ind w:right="11"/>
              <w:jc w:val="right"/>
              <w:rPr>
                <w:rFonts w:ascii="Arial"/>
                <w:b/>
                <w:sz w:val="14"/>
              </w:rPr>
            </w:pPr>
            <w:r>
              <w:rPr>
                <w:rFonts w:ascii="Arial"/>
                <w:b/>
                <w:color w:val="030305"/>
                <w:spacing w:val="-2"/>
                <w:sz w:val="14"/>
              </w:rPr>
              <w:t>34</w:t>
            </w:r>
            <w:r>
              <w:rPr>
                <w:rFonts w:ascii="Arial"/>
                <w:b/>
                <w:color w:val="262628"/>
                <w:spacing w:val="-2"/>
                <w:sz w:val="14"/>
              </w:rPr>
              <w:t>.</w:t>
            </w:r>
            <w:r>
              <w:rPr>
                <w:rFonts w:ascii="Arial"/>
                <w:b/>
                <w:color w:val="030305"/>
                <w:spacing w:val="-2"/>
                <w:sz w:val="14"/>
              </w:rPr>
              <w:t>022.007,80</w:t>
            </w:r>
          </w:p>
        </w:tc>
      </w:tr>
    </w:tbl>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spacing w:before="75"/>
        <w:rPr>
          <w:rFonts w:ascii="Times New Roman"/>
          <w:sz w:val="34"/>
        </w:rPr>
      </w:pPr>
    </w:p>
    <w:p>
      <w:pPr>
        <w:pStyle w:val="Heading1"/>
        <w:spacing w:before="1"/>
        <w:jc w:val="center"/>
      </w:pPr>
      <w:hyperlink r:id="rId94">
        <w:r>
          <w:rPr>
            <w:color w:val="CDAA64"/>
            <w:spacing w:val="-2"/>
            <w:w w:val="105"/>
          </w:rPr>
          <w:t>WWW.IMAS.GO.CR</w:t>
        </w:r>
      </w:hyperlink>
    </w:p>
    <w:p>
      <w:pPr>
        <w:pStyle w:val="Heading1"/>
        <w:spacing w:after="0"/>
        <w:jc w:val="center"/>
        <w:sectPr>
          <w:pgSz w:w="12240" w:h="15840"/>
          <w:pgMar w:top="300" w:bottom="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4624">
                <wp:simplePos x="0" y="0"/>
                <wp:positionH relativeFrom="page">
                  <wp:posOffset>9525</wp:posOffset>
                </wp:positionH>
                <wp:positionV relativeFrom="page">
                  <wp:posOffset>297208</wp:posOffset>
                </wp:positionV>
                <wp:extent cx="7762875" cy="9748520"/>
                <wp:effectExtent l="0" t="0" r="0" b="0"/>
                <wp:wrapNone/>
                <wp:docPr id="1138" name="Group 1138"/>
                <wp:cNvGraphicFramePr>
                  <a:graphicFrameLocks/>
                </wp:cNvGraphicFramePr>
                <a:graphic>
                  <a:graphicData uri="http://schemas.microsoft.com/office/word/2010/wordprocessingGroup">
                    <wpg:wgp>
                      <wpg:cNvPr id="1138" name="Group 1138"/>
                      <wpg:cNvGrpSpPr/>
                      <wpg:grpSpPr>
                        <a:xfrm>
                          <a:off x="0" y="0"/>
                          <a:ext cx="7762875" cy="9748520"/>
                          <a:chExt cx="7762875" cy="9748520"/>
                        </a:xfrm>
                      </wpg:grpSpPr>
                      <pic:pic>
                        <pic:nvPicPr>
                          <pic:cNvPr id="1139" name="Image 1139"/>
                          <pic:cNvPicPr/>
                        </pic:nvPicPr>
                        <pic:blipFill>
                          <a:blip r:embed="rId5" cstate="print"/>
                          <a:stretch>
                            <a:fillRect/>
                          </a:stretch>
                        </pic:blipFill>
                        <pic:spPr>
                          <a:xfrm>
                            <a:off x="0" y="0"/>
                            <a:ext cx="7762874" cy="9748489"/>
                          </a:xfrm>
                          <a:prstGeom prst="rect">
                            <a:avLst/>
                          </a:prstGeom>
                        </pic:spPr>
                      </pic:pic>
                      <wps:wsp>
                        <wps:cNvPr id="1140" name="Graphic 114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1141" name="Image 1141"/>
                          <pic:cNvPicPr/>
                        </pic:nvPicPr>
                        <pic:blipFill>
                          <a:blip r:embed="rId113" cstate="print"/>
                          <a:stretch>
                            <a:fillRect/>
                          </a:stretch>
                        </pic:blipFill>
                        <pic:spPr>
                          <a:xfrm>
                            <a:off x="1269999" y="1123794"/>
                            <a:ext cx="5308600" cy="4673473"/>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61856" id="docshapegroup1082" coordorigin="15,468" coordsize="12225,15352">
                <v:shape style="position:absolute;left:15;top:468;width:12225;height:15352" type="#_x0000_t75" id="docshape1083" stroked="false">
                  <v:imagedata r:id="rId5" o:title=""/>
                </v:shape>
                <v:rect style="position:absolute;left:1673;top:2028;width:8897;height:15" id="docshape1084" filled="true" fillcolor="#000000" stroked="false">
                  <v:fill type="solid"/>
                </v:rect>
                <v:shape style="position:absolute;left:2015;top:2237;width:8360;height:7360" type="#_x0000_t75" id="docshape1085" stroked="false">
                  <v:imagedata r:id="rId113" o:title=""/>
                </v:shape>
                <w10:wrap type="none"/>
              </v:group>
            </w:pict>
          </mc:Fallback>
        </mc:AlternateContent>
      </w:r>
      <w:r>
        <w:rPr>
          <w:color w:val="172951"/>
          <w:sz w:val="20"/>
        </w:rPr>
        <w:t>Pág.</w:t>
      </w:r>
      <w:r>
        <w:rPr>
          <w:color w:val="172951"/>
          <w:spacing w:val="-7"/>
          <w:sz w:val="20"/>
        </w:rPr>
        <w:t> </w:t>
      </w:r>
      <w:r>
        <w:rPr>
          <w:color w:val="172951"/>
          <w:spacing w:val="-5"/>
          <w:sz w:val="20"/>
        </w:rPr>
        <w:t>220</w:t>
      </w:r>
    </w:p>
    <w:p>
      <w:pPr>
        <w:pStyle w:val="BodyText"/>
        <w:spacing w:before="10"/>
        <w:rPr>
          <w:sz w:val="16"/>
        </w:rPr>
      </w:pPr>
      <w:r>
        <w:rPr>
          <w:sz w:val="16"/>
        </w:rPr>
        <mc:AlternateContent>
          <mc:Choice Requires="wps">
            <w:drawing>
              <wp:anchor distT="0" distB="0" distL="0" distR="0" allowOverlap="1" layoutInCell="1" locked="0" behindDoc="1" simplePos="0" relativeHeight="487817216">
                <wp:simplePos x="0" y="0"/>
                <wp:positionH relativeFrom="page">
                  <wp:posOffset>1080820</wp:posOffset>
                </wp:positionH>
                <wp:positionV relativeFrom="paragraph">
                  <wp:posOffset>140652</wp:posOffset>
                </wp:positionV>
                <wp:extent cx="5715000" cy="7289165"/>
                <wp:effectExtent l="0" t="0" r="0" b="0"/>
                <wp:wrapTopAndBottom/>
                <wp:docPr id="1142" name="Textbox 1142"/>
                <wp:cNvGraphicFramePr>
                  <a:graphicFrameLocks/>
                </wp:cNvGraphicFramePr>
                <a:graphic>
                  <a:graphicData uri="http://schemas.microsoft.com/office/word/2010/wordprocessingShape">
                    <wps:wsp>
                      <wps:cNvPr id="1142" name="Textbox 1142"/>
                      <wps:cNvSpPr txBox="1"/>
                      <wps:spPr>
                        <a:xfrm>
                          <a:off x="0" y="0"/>
                          <a:ext cx="5715000" cy="728916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76" w:lineRule="auto"/>
                              <w:ind w:left="64" w:right="242"/>
                            </w:pPr>
                            <w:r>
                              <w:rPr/>
                              <w:t>Las</w:t>
                            </w:r>
                            <w:r>
                              <w:rPr>
                                <w:spacing w:val="-1"/>
                              </w:rPr>
                              <w:t> </w:t>
                            </w:r>
                            <w:r>
                              <w:rPr/>
                              <w:t>diferencias</w:t>
                            </w:r>
                            <w:r>
                              <w:rPr>
                                <w:spacing w:val="-1"/>
                              </w:rPr>
                              <w:t> </w:t>
                            </w:r>
                            <w:r>
                              <w:rPr/>
                              <w:t>entre</w:t>
                            </w:r>
                            <w:r>
                              <w:rPr>
                                <w:spacing w:val="-2"/>
                              </w:rPr>
                              <w:t> </w:t>
                            </w:r>
                            <w:r>
                              <w:rPr/>
                              <w:t>la</w:t>
                            </w:r>
                            <w:r>
                              <w:rPr>
                                <w:spacing w:val="-3"/>
                              </w:rPr>
                              <w:t> </w:t>
                            </w:r>
                            <w:r>
                              <w:rPr/>
                              <w:t>ejecución</w:t>
                            </w:r>
                            <w:r>
                              <w:rPr>
                                <w:spacing w:val="-2"/>
                              </w:rPr>
                              <w:t> </w:t>
                            </w:r>
                            <w:r>
                              <w:rPr/>
                              <w:t>presupuestaria</w:t>
                            </w:r>
                            <w:r>
                              <w:rPr>
                                <w:spacing w:val="-3"/>
                              </w:rPr>
                              <w:t> </w:t>
                            </w:r>
                            <w:r>
                              <w:rPr/>
                              <w:t>y</w:t>
                            </w:r>
                            <w:r>
                              <w:rPr>
                                <w:spacing w:val="-3"/>
                              </w:rPr>
                              <w:t> </w:t>
                            </w:r>
                            <w:r>
                              <w:rPr/>
                              <w:t>los</w:t>
                            </w:r>
                            <w:r>
                              <w:rPr>
                                <w:spacing w:val="-4"/>
                              </w:rPr>
                              <w:t> </w:t>
                            </w:r>
                            <w:r>
                              <w:rPr/>
                              <w:t>flujos</w:t>
                            </w:r>
                            <w:r>
                              <w:rPr>
                                <w:spacing w:val="-1"/>
                              </w:rPr>
                              <w:t> </w:t>
                            </w:r>
                            <w:r>
                              <w:rPr/>
                              <w:t>de</w:t>
                            </w:r>
                            <w:r>
                              <w:rPr>
                                <w:spacing w:val="-4"/>
                              </w:rPr>
                              <w:t> </w:t>
                            </w:r>
                            <w:r>
                              <w:rPr/>
                              <w:t>efectivo</w:t>
                            </w:r>
                            <w:r>
                              <w:rPr>
                                <w:spacing w:val="-4"/>
                              </w:rPr>
                              <w:t> </w:t>
                            </w:r>
                            <w:r>
                              <w:rPr/>
                              <w:t>se</w:t>
                            </w:r>
                            <w:r>
                              <w:rPr>
                                <w:spacing w:val="-3"/>
                              </w:rPr>
                              <w:t> </w:t>
                            </w:r>
                            <w:r>
                              <w:rPr/>
                              <w:t>originan</w:t>
                            </w:r>
                            <w:r>
                              <w:rPr>
                                <w:spacing w:val="-4"/>
                              </w:rPr>
                              <w:t> </w:t>
                            </w:r>
                            <w:r>
                              <w:rPr/>
                              <w:t>principalmente </w:t>
                            </w:r>
                            <w:r>
                              <w:rPr>
                                <w:spacing w:val="-4"/>
                              </w:rPr>
                              <w:t>por:</w:t>
                            </w:r>
                          </w:p>
                          <w:p>
                            <w:pPr>
                              <w:pStyle w:val="BodyText"/>
                              <w:spacing w:before="38"/>
                            </w:pPr>
                          </w:p>
                          <w:p>
                            <w:pPr>
                              <w:pStyle w:val="BodyText"/>
                              <w:numPr>
                                <w:ilvl w:val="0"/>
                                <w:numId w:val="95"/>
                              </w:numPr>
                              <w:tabs>
                                <w:tab w:pos="784" w:val="left" w:leader="none"/>
                              </w:tabs>
                              <w:spacing w:line="276" w:lineRule="auto" w:before="1" w:after="0"/>
                              <w:ind w:left="784" w:right="66" w:hanging="360"/>
                              <w:jc w:val="both"/>
                            </w:pPr>
                            <w:r>
                              <w:rPr/>
                              <w:t>Ingresos cobrados al cierre del periodo, que forman parte de la ejecución presupuestaria por la entrada de efectivo inmediata, pero que se reflejan como amortización de las cuentas por cobrar en el Estado de Situación Financiera.</w:t>
                            </w:r>
                          </w:p>
                          <w:p>
                            <w:pPr>
                              <w:pStyle w:val="BodyText"/>
                              <w:numPr>
                                <w:ilvl w:val="0"/>
                                <w:numId w:val="95"/>
                              </w:numPr>
                              <w:tabs>
                                <w:tab w:pos="784" w:val="left" w:leader="none"/>
                              </w:tabs>
                              <w:spacing w:line="276" w:lineRule="auto" w:before="0" w:after="0"/>
                              <w:ind w:left="784" w:right="66" w:hanging="360"/>
                              <w:jc w:val="both"/>
                            </w:pPr>
                            <w:r>
                              <w:rPr/>
                              <w:t>Egresos devengados no pagados, correspondientes a obligaciones reconocidas presupuestaria y</w:t>
                            </w:r>
                            <w:r>
                              <w:rPr>
                                <w:spacing w:val="-8"/>
                              </w:rPr>
                              <w:t> </w:t>
                            </w:r>
                            <w:r>
                              <w:rPr/>
                              <w:t>contablemente,</w:t>
                            </w:r>
                            <w:r>
                              <w:rPr>
                                <w:spacing w:val="-10"/>
                              </w:rPr>
                              <w:t> </w:t>
                            </w:r>
                            <w:r>
                              <w:rPr/>
                              <w:t>pero</w:t>
                            </w:r>
                            <w:r>
                              <w:rPr>
                                <w:spacing w:val="-6"/>
                              </w:rPr>
                              <w:t> </w:t>
                            </w:r>
                            <w:r>
                              <w:rPr/>
                              <w:t>cuyo</w:t>
                            </w:r>
                            <w:r>
                              <w:rPr>
                                <w:spacing w:val="-9"/>
                              </w:rPr>
                              <w:t> </w:t>
                            </w:r>
                            <w:r>
                              <w:rPr/>
                              <w:t>pago</w:t>
                            </w:r>
                            <w:r>
                              <w:rPr>
                                <w:spacing w:val="-6"/>
                              </w:rPr>
                              <w:t> </w:t>
                            </w:r>
                            <w:r>
                              <w:rPr/>
                              <w:t>efectivo</w:t>
                            </w:r>
                            <w:r>
                              <w:rPr>
                                <w:spacing w:val="-9"/>
                              </w:rPr>
                              <w:t> </w:t>
                            </w:r>
                            <w:r>
                              <w:rPr/>
                              <w:t>se</w:t>
                            </w:r>
                            <w:r>
                              <w:rPr>
                                <w:spacing w:val="-11"/>
                              </w:rPr>
                              <w:t> </w:t>
                            </w:r>
                            <w:r>
                              <w:rPr/>
                              <w:t>realizará</w:t>
                            </w:r>
                            <w:r>
                              <w:rPr>
                                <w:spacing w:val="-8"/>
                              </w:rPr>
                              <w:t> </w:t>
                            </w:r>
                            <w:r>
                              <w:rPr/>
                              <w:t>en</w:t>
                            </w:r>
                            <w:r>
                              <w:rPr>
                                <w:spacing w:val="-9"/>
                              </w:rPr>
                              <w:t> </w:t>
                            </w:r>
                            <w:r>
                              <w:rPr/>
                              <w:t>periodos</w:t>
                            </w:r>
                            <w:r>
                              <w:rPr>
                                <w:spacing w:val="-8"/>
                              </w:rPr>
                              <w:t> </w:t>
                            </w:r>
                            <w:r>
                              <w:rPr/>
                              <w:t>posteriores,</w:t>
                            </w:r>
                            <w:r>
                              <w:rPr>
                                <w:spacing w:val="-7"/>
                              </w:rPr>
                              <w:t> </w:t>
                            </w:r>
                            <w:r>
                              <w:rPr/>
                              <w:t>y</w:t>
                            </w:r>
                            <w:r>
                              <w:rPr>
                                <w:spacing w:val="-11"/>
                              </w:rPr>
                              <w:t> </w:t>
                            </w:r>
                            <w:r>
                              <w:rPr/>
                              <w:t>que</w:t>
                            </w:r>
                            <w:r>
                              <w:rPr>
                                <w:spacing w:val="-11"/>
                              </w:rPr>
                              <w:t> </w:t>
                            </w:r>
                            <w:r>
                              <w:rPr/>
                              <w:t>se</w:t>
                            </w:r>
                            <w:r>
                              <w:rPr>
                                <w:spacing w:val="-8"/>
                              </w:rPr>
                              <w:t> </w:t>
                            </w:r>
                            <w:r>
                              <w:rPr/>
                              <w:t>presen-tan como cuentas por pagar.</w:t>
                            </w:r>
                          </w:p>
                          <w:p>
                            <w:pPr>
                              <w:pStyle w:val="BodyText"/>
                              <w:numPr>
                                <w:ilvl w:val="0"/>
                                <w:numId w:val="95"/>
                              </w:numPr>
                              <w:tabs>
                                <w:tab w:pos="784" w:val="left" w:leader="none"/>
                              </w:tabs>
                              <w:spacing w:line="273" w:lineRule="auto" w:before="0" w:after="0"/>
                              <w:ind w:left="784" w:right="64" w:hanging="360"/>
                              <w:jc w:val="both"/>
                            </w:pPr>
                            <w:r>
                              <w:rPr/>
                              <w:t>La inexistencia de cobros o pagos significativos de obligaciones de periodos anteriores que impacten el flujo operativo del ejercicio.</w:t>
                            </w:r>
                          </w:p>
                          <w:p>
                            <w:pPr>
                              <w:pStyle w:val="BodyText"/>
                              <w:numPr>
                                <w:ilvl w:val="0"/>
                                <w:numId w:val="95"/>
                              </w:numPr>
                              <w:tabs>
                                <w:tab w:pos="784" w:val="left" w:leader="none"/>
                              </w:tabs>
                              <w:spacing w:line="276" w:lineRule="auto" w:before="3" w:after="0"/>
                              <w:ind w:left="784" w:right="63" w:hanging="360"/>
                              <w:jc w:val="both"/>
                            </w:pPr>
                            <w:r>
                              <w:rPr/>
                              <w:t>Por</w:t>
                            </w:r>
                            <w:r>
                              <w:rPr>
                                <w:spacing w:val="-10"/>
                              </w:rPr>
                              <w:t> </w:t>
                            </w:r>
                            <w:r>
                              <w:rPr/>
                              <w:t>la</w:t>
                            </w:r>
                            <w:r>
                              <w:rPr>
                                <w:spacing w:val="-12"/>
                              </w:rPr>
                              <w:t> </w:t>
                            </w:r>
                            <w:r>
                              <w:rPr/>
                              <w:t>existencia</w:t>
                            </w:r>
                            <w:r>
                              <w:rPr>
                                <w:spacing w:val="-11"/>
                              </w:rPr>
                              <w:t> </w:t>
                            </w:r>
                            <w:r>
                              <w:rPr/>
                              <w:t>de</w:t>
                            </w:r>
                            <w:r>
                              <w:rPr>
                                <w:spacing w:val="-12"/>
                              </w:rPr>
                              <w:t> </w:t>
                            </w:r>
                            <w:r>
                              <w:rPr/>
                              <w:t>materialidad</w:t>
                            </w:r>
                            <w:r>
                              <w:rPr>
                                <w:spacing w:val="-11"/>
                              </w:rPr>
                              <w:t> </w:t>
                            </w:r>
                            <w:r>
                              <w:rPr/>
                              <w:t>bienes</w:t>
                            </w:r>
                            <w:r>
                              <w:rPr>
                                <w:spacing w:val="-10"/>
                              </w:rPr>
                              <w:t> </w:t>
                            </w:r>
                            <w:r>
                              <w:rPr/>
                              <w:t>comprados</w:t>
                            </w:r>
                            <w:r>
                              <w:rPr>
                                <w:spacing w:val="-10"/>
                              </w:rPr>
                              <w:t> </w:t>
                            </w:r>
                            <w:r>
                              <w:rPr/>
                              <w:t>no</w:t>
                            </w:r>
                            <w:r>
                              <w:rPr>
                                <w:spacing w:val="-10"/>
                              </w:rPr>
                              <w:t> </w:t>
                            </w:r>
                            <w:r>
                              <w:rPr/>
                              <w:t>son</w:t>
                            </w:r>
                            <w:r>
                              <w:rPr>
                                <w:spacing w:val="-10"/>
                              </w:rPr>
                              <w:t> </w:t>
                            </w:r>
                            <w:r>
                              <w:rPr/>
                              <w:t>activos</w:t>
                            </w:r>
                            <w:r>
                              <w:rPr>
                                <w:spacing w:val="-10"/>
                              </w:rPr>
                              <w:t> </w:t>
                            </w:r>
                            <w:r>
                              <w:rPr/>
                              <w:t>(inversión),</w:t>
                            </w:r>
                            <w:r>
                              <w:rPr>
                                <w:spacing w:val="-10"/>
                              </w:rPr>
                              <w:t> </w:t>
                            </w:r>
                            <w:r>
                              <w:rPr/>
                              <w:t>pero</w:t>
                            </w:r>
                            <w:r>
                              <w:rPr>
                                <w:spacing w:val="-12"/>
                              </w:rPr>
                              <w:t> </w:t>
                            </w:r>
                            <w:r>
                              <w:rPr/>
                              <w:t>presupues-tariamente si son</w:t>
                            </w:r>
                            <w:r>
                              <w:rPr>
                                <w:spacing w:val="80"/>
                              </w:rPr>
                              <w:t> </w:t>
                            </w:r>
                            <w:r>
                              <w:rPr/>
                              <w:t>bienes duraderos.</w:t>
                            </w:r>
                          </w:p>
                        </w:txbxContent>
                      </wps:txbx>
                      <wps:bodyPr wrap="square" lIns="0" tIns="0" rIns="0" bIns="0" rtlCol="0">
                        <a:noAutofit/>
                      </wps:bodyPr>
                    </wps:wsp>
                  </a:graphicData>
                </a:graphic>
              </wp:anchor>
            </w:drawing>
          </mc:Choice>
          <mc:Fallback>
            <w:pict>
              <v:shape style="position:absolute;margin-left:85.103996pt;margin-top:11.075pt;width:450pt;height:573.950pt;mso-position-horizontal-relative:page;mso-position-vertical-relative:paragraph;z-index:-15499264;mso-wrap-distance-left:0;mso-wrap-distance-right:0" type="#_x0000_t202" id="docshape1086"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76" w:lineRule="auto"/>
                        <w:ind w:left="64" w:right="242"/>
                      </w:pPr>
                      <w:r>
                        <w:rPr/>
                        <w:t>Las</w:t>
                      </w:r>
                      <w:r>
                        <w:rPr>
                          <w:spacing w:val="-1"/>
                        </w:rPr>
                        <w:t> </w:t>
                      </w:r>
                      <w:r>
                        <w:rPr/>
                        <w:t>diferencias</w:t>
                      </w:r>
                      <w:r>
                        <w:rPr>
                          <w:spacing w:val="-1"/>
                        </w:rPr>
                        <w:t> </w:t>
                      </w:r>
                      <w:r>
                        <w:rPr/>
                        <w:t>entre</w:t>
                      </w:r>
                      <w:r>
                        <w:rPr>
                          <w:spacing w:val="-2"/>
                        </w:rPr>
                        <w:t> </w:t>
                      </w:r>
                      <w:r>
                        <w:rPr/>
                        <w:t>la</w:t>
                      </w:r>
                      <w:r>
                        <w:rPr>
                          <w:spacing w:val="-3"/>
                        </w:rPr>
                        <w:t> </w:t>
                      </w:r>
                      <w:r>
                        <w:rPr/>
                        <w:t>ejecución</w:t>
                      </w:r>
                      <w:r>
                        <w:rPr>
                          <w:spacing w:val="-2"/>
                        </w:rPr>
                        <w:t> </w:t>
                      </w:r>
                      <w:r>
                        <w:rPr/>
                        <w:t>presupuestaria</w:t>
                      </w:r>
                      <w:r>
                        <w:rPr>
                          <w:spacing w:val="-3"/>
                        </w:rPr>
                        <w:t> </w:t>
                      </w:r>
                      <w:r>
                        <w:rPr/>
                        <w:t>y</w:t>
                      </w:r>
                      <w:r>
                        <w:rPr>
                          <w:spacing w:val="-3"/>
                        </w:rPr>
                        <w:t> </w:t>
                      </w:r>
                      <w:r>
                        <w:rPr/>
                        <w:t>los</w:t>
                      </w:r>
                      <w:r>
                        <w:rPr>
                          <w:spacing w:val="-4"/>
                        </w:rPr>
                        <w:t> </w:t>
                      </w:r>
                      <w:r>
                        <w:rPr/>
                        <w:t>flujos</w:t>
                      </w:r>
                      <w:r>
                        <w:rPr>
                          <w:spacing w:val="-1"/>
                        </w:rPr>
                        <w:t> </w:t>
                      </w:r>
                      <w:r>
                        <w:rPr/>
                        <w:t>de</w:t>
                      </w:r>
                      <w:r>
                        <w:rPr>
                          <w:spacing w:val="-4"/>
                        </w:rPr>
                        <w:t> </w:t>
                      </w:r>
                      <w:r>
                        <w:rPr/>
                        <w:t>efectivo</w:t>
                      </w:r>
                      <w:r>
                        <w:rPr>
                          <w:spacing w:val="-4"/>
                        </w:rPr>
                        <w:t> </w:t>
                      </w:r>
                      <w:r>
                        <w:rPr/>
                        <w:t>se</w:t>
                      </w:r>
                      <w:r>
                        <w:rPr>
                          <w:spacing w:val="-3"/>
                        </w:rPr>
                        <w:t> </w:t>
                      </w:r>
                      <w:r>
                        <w:rPr/>
                        <w:t>originan</w:t>
                      </w:r>
                      <w:r>
                        <w:rPr>
                          <w:spacing w:val="-4"/>
                        </w:rPr>
                        <w:t> </w:t>
                      </w:r>
                      <w:r>
                        <w:rPr/>
                        <w:t>principalmente </w:t>
                      </w:r>
                      <w:r>
                        <w:rPr>
                          <w:spacing w:val="-4"/>
                        </w:rPr>
                        <w:t>por:</w:t>
                      </w:r>
                    </w:p>
                    <w:p>
                      <w:pPr>
                        <w:pStyle w:val="BodyText"/>
                        <w:spacing w:before="38"/>
                      </w:pPr>
                    </w:p>
                    <w:p>
                      <w:pPr>
                        <w:pStyle w:val="BodyText"/>
                        <w:numPr>
                          <w:ilvl w:val="0"/>
                          <w:numId w:val="95"/>
                        </w:numPr>
                        <w:tabs>
                          <w:tab w:pos="784" w:val="left" w:leader="none"/>
                        </w:tabs>
                        <w:spacing w:line="276" w:lineRule="auto" w:before="1" w:after="0"/>
                        <w:ind w:left="784" w:right="66" w:hanging="360"/>
                        <w:jc w:val="both"/>
                      </w:pPr>
                      <w:r>
                        <w:rPr/>
                        <w:t>Ingresos cobrados al cierre del periodo, que forman parte de la ejecución presupuestaria por la entrada de efectivo inmediata, pero que se reflejan como amortización de las cuentas por cobrar en el Estado de Situación Financiera.</w:t>
                      </w:r>
                    </w:p>
                    <w:p>
                      <w:pPr>
                        <w:pStyle w:val="BodyText"/>
                        <w:numPr>
                          <w:ilvl w:val="0"/>
                          <w:numId w:val="95"/>
                        </w:numPr>
                        <w:tabs>
                          <w:tab w:pos="784" w:val="left" w:leader="none"/>
                        </w:tabs>
                        <w:spacing w:line="276" w:lineRule="auto" w:before="0" w:after="0"/>
                        <w:ind w:left="784" w:right="66" w:hanging="360"/>
                        <w:jc w:val="both"/>
                      </w:pPr>
                      <w:r>
                        <w:rPr/>
                        <w:t>Egresos devengados no pagados, correspondientes a obligaciones reconocidas presupuestaria y</w:t>
                      </w:r>
                      <w:r>
                        <w:rPr>
                          <w:spacing w:val="-8"/>
                        </w:rPr>
                        <w:t> </w:t>
                      </w:r>
                      <w:r>
                        <w:rPr/>
                        <w:t>contablemente,</w:t>
                      </w:r>
                      <w:r>
                        <w:rPr>
                          <w:spacing w:val="-10"/>
                        </w:rPr>
                        <w:t> </w:t>
                      </w:r>
                      <w:r>
                        <w:rPr/>
                        <w:t>pero</w:t>
                      </w:r>
                      <w:r>
                        <w:rPr>
                          <w:spacing w:val="-6"/>
                        </w:rPr>
                        <w:t> </w:t>
                      </w:r>
                      <w:r>
                        <w:rPr/>
                        <w:t>cuyo</w:t>
                      </w:r>
                      <w:r>
                        <w:rPr>
                          <w:spacing w:val="-9"/>
                        </w:rPr>
                        <w:t> </w:t>
                      </w:r>
                      <w:r>
                        <w:rPr/>
                        <w:t>pago</w:t>
                      </w:r>
                      <w:r>
                        <w:rPr>
                          <w:spacing w:val="-6"/>
                        </w:rPr>
                        <w:t> </w:t>
                      </w:r>
                      <w:r>
                        <w:rPr/>
                        <w:t>efectivo</w:t>
                      </w:r>
                      <w:r>
                        <w:rPr>
                          <w:spacing w:val="-9"/>
                        </w:rPr>
                        <w:t> </w:t>
                      </w:r>
                      <w:r>
                        <w:rPr/>
                        <w:t>se</w:t>
                      </w:r>
                      <w:r>
                        <w:rPr>
                          <w:spacing w:val="-11"/>
                        </w:rPr>
                        <w:t> </w:t>
                      </w:r>
                      <w:r>
                        <w:rPr/>
                        <w:t>realizará</w:t>
                      </w:r>
                      <w:r>
                        <w:rPr>
                          <w:spacing w:val="-8"/>
                        </w:rPr>
                        <w:t> </w:t>
                      </w:r>
                      <w:r>
                        <w:rPr/>
                        <w:t>en</w:t>
                      </w:r>
                      <w:r>
                        <w:rPr>
                          <w:spacing w:val="-9"/>
                        </w:rPr>
                        <w:t> </w:t>
                      </w:r>
                      <w:r>
                        <w:rPr/>
                        <w:t>periodos</w:t>
                      </w:r>
                      <w:r>
                        <w:rPr>
                          <w:spacing w:val="-8"/>
                        </w:rPr>
                        <w:t> </w:t>
                      </w:r>
                      <w:r>
                        <w:rPr/>
                        <w:t>posteriores,</w:t>
                      </w:r>
                      <w:r>
                        <w:rPr>
                          <w:spacing w:val="-7"/>
                        </w:rPr>
                        <w:t> </w:t>
                      </w:r>
                      <w:r>
                        <w:rPr/>
                        <w:t>y</w:t>
                      </w:r>
                      <w:r>
                        <w:rPr>
                          <w:spacing w:val="-11"/>
                        </w:rPr>
                        <w:t> </w:t>
                      </w:r>
                      <w:r>
                        <w:rPr/>
                        <w:t>que</w:t>
                      </w:r>
                      <w:r>
                        <w:rPr>
                          <w:spacing w:val="-11"/>
                        </w:rPr>
                        <w:t> </w:t>
                      </w:r>
                      <w:r>
                        <w:rPr/>
                        <w:t>se</w:t>
                      </w:r>
                      <w:r>
                        <w:rPr>
                          <w:spacing w:val="-8"/>
                        </w:rPr>
                        <w:t> </w:t>
                      </w:r>
                      <w:r>
                        <w:rPr/>
                        <w:t>presen-tan como cuentas por pagar.</w:t>
                      </w:r>
                    </w:p>
                    <w:p>
                      <w:pPr>
                        <w:pStyle w:val="BodyText"/>
                        <w:numPr>
                          <w:ilvl w:val="0"/>
                          <w:numId w:val="95"/>
                        </w:numPr>
                        <w:tabs>
                          <w:tab w:pos="784" w:val="left" w:leader="none"/>
                        </w:tabs>
                        <w:spacing w:line="273" w:lineRule="auto" w:before="0" w:after="0"/>
                        <w:ind w:left="784" w:right="64" w:hanging="360"/>
                        <w:jc w:val="both"/>
                      </w:pPr>
                      <w:r>
                        <w:rPr/>
                        <w:t>La inexistencia de cobros o pagos significativos de obligaciones de periodos anteriores que impacten el flujo operativo del ejercicio.</w:t>
                      </w:r>
                    </w:p>
                    <w:p>
                      <w:pPr>
                        <w:pStyle w:val="BodyText"/>
                        <w:numPr>
                          <w:ilvl w:val="0"/>
                          <w:numId w:val="95"/>
                        </w:numPr>
                        <w:tabs>
                          <w:tab w:pos="784" w:val="left" w:leader="none"/>
                        </w:tabs>
                        <w:spacing w:line="276" w:lineRule="auto" w:before="3" w:after="0"/>
                        <w:ind w:left="784" w:right="63" w:hanging="360"/>
                        <w:jc w:val="both"/>
                      </w:pPr>
                      <w:r>
                        <w:rPr/>
                        <w:t>Por</w:t>
                      </w:r>
                      <w:r>
                        <w:rPr>
                          <w:spacing w:val="-10"/>
                        </w:rPr>
                        <w:t> </w:t>
                      </w:r>
                      <w:r>
                        <w:rPr/>
                        <w:t>la</w:t>
                      </w:r>
                      <w:r>
                        <w:rPr>
                          <w:spacing w:val="-12"/>
                        </w:rPr>
                        <w:t> </w:t>
                      </w:r>
                      <w:r>
                        <w:rPr/>
                        <w:t>existencia</w:t>
                      </w:r>
                      <w:r>
                        <w:rPr>
                          <w:spacing w:val="-11"/>
                        </w:rPr>
                        <w:t> </w:t>
                      </w:r>
                      <w:r>
                        <w:rPr/>
                        <w:t>de</w:t>
                      </w:r>
                      <w:r>
                        <w:rPr>
                          <w:spacing w:val="-12"/>
                        </w:rPr>
                        <w:t> </w:t>
                      </w:r>
                      <w:r>
                        <w:rPr/>
                        <w:t>materialidad</w:t>
                      </w:r>
                      <w:r>
                        <w:rPr>
                          <w:spacing w:val="-11"/>
                        </w:rPr>
                        <w:t> </w:t>
                      </w:r>
                      <w:r>
                        <w:rPr/>
                        <w:t>bienes</w:t>
                      </w:r>
                      <w:r>
                        <w:rPr>
                          <w:spacing w:val="-10"/>
                        </w:rPr>
                        <w:t> </w:t>
                      </w:r>
                      <w:r>
                        <w:rPr/>
                        <w:t>comprados</w:t>
                      </w:r>
                      <w:r>
                        <w:rPr>
                          <w:spacing w:val="-10"/>
                        </w:rPr>
                        <w:t> </w:t>
                      </w:r>
                      <w:r>
                        <w:rPr/>
                        <w:t>no</w:t>
                      </w:r>
                      <w:r>
                        <w:rPr>
                          <w:spacing w:val="-10"/>
                        </w:rPr>
                        <w:t> </w:t>
                      </w:r>
                      <w:r>
                        <w:rPr/>
                        <w:t>son</w:t>
                      </w:r>
                      <w:r>
                        <w:rPr>
                          <w:spacing w:val="-10"/>
                        </w:rPr>
                        <w:t> </w:t>
                      </w:r>
                      <w:r>
                        <w:rPr/>
                        <w:t>activos</w:t>
                      </w:r>
                      <w:r>
                        <w:rPr>
                          <w:spacing w:val="-10"/>
                        </w:rPr>
                        <w:t> </w:t>
                      </w:r>
                      <w:r>
                        <w:rPr/>
                        <w:t>(inversión),</w:t>
                      </w:r>
                      <w:r>
                        <w:rPr>
                          <w:spacing w:val="-10"/>
                        </w:rPr>
                        <w:t> </w:t>
                      </w:r>
                      <w:r>
                        <w:rPr/>
                        <w:t>pero</w:t>
                      </w:r>
                      <w:r>
                        <w:rPr>
                          <w:spacing w:val="-12"/>
                        </w:rPr>
                        <w:t> </w:t>
                      </w:r>
                      <w:r>
                        <w:rPr/>
                        <w:t>presupues-tariamente si son</w:t>
                      </w:r>
                      <w:r>
                        <w:rPr>
                          <w:spacing w:val="80"/>
                        </w:rPr>
                        <w:t> </w:t>
                      </w:r>
                      <w:r>
                        <w:rPr/>
                        <w:t>bienes duraderos.</w:t>
                      </w:r>
                    </w:p>
                  </w:txbxContent>
                </v:textbox>
                <v:stroke dashstyle="solid"/>
                <w10:wrap type="topAndBottom"/>
              </v:shape>
            </w:pict>
          </mc:Fallback>
        </mc:AlternateContent>
      </w:r>
    </w:p>
    <w:p>
      <w:pPr>
        <w:pStyle w:val="BodyText"/>
        <w:spacing w:after="0"/>
        <w:rPr>
          <w:sz w:val="16"/>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5648">
                <wp:simplePos x="0" y="0"/>
                <wp:positionH relativeFrom="page">
                  <wp:posOffset>9525</wp:posOffset>
                </wp:positionH>
                <wp:positionV relativeFrom="page">
                  <wp:posOffset>297208</wp:posOffset>
                </wp:positionV>
                <wp:extent cx="7762875" cy="9748520"/>
                <wp:effectExtent l="0" t="0" r="0" b="0"/>
                <wp:wrapNone/>
                <wp:docPr id="1143" name="Group 1143"/>
                <wp:cNvGraphicFramePr>
                  <a:graphicFrameLocks/>
                </wp:cNvGraphicFramePr>
                <a:graphic>
                  <a:graphicData uri="http://schemas.microsoft.com/office/word/2010/wordprocessingGroup">
                    <wpg:wgp>
                      <wpg:cNvPr id="1143" name="Group 1143"/>
                      <wpg:cNvGrpSpPr/>
                      <wpg:grpSpPr>
                        <a:xfrm>
                          <a:off x="0" y="0"/>
                          <a:ext cx="7762875" cy="9748520"/>
                          <a:chExt cx="7762875" cy="9748520"/>
                        </a:xfrm>
                      </wpg:grpSpPr>
                      <pic:pic>
                        <pic:nvPicPr>
                          <pic:cNvPr id="1144" name="Image 1144"/>
                          <pic:cNvPicPr/>
                        </pic:nvPicPr>
                        <pic:blipFill>
                          <a:blip r:embed="rId5" cstate="print"/>
                          <a:stretch>
                            <a:fillRect/>
                          </a:stretch>
                        </pic:blipFill>
                        <pic:spPr>
                          <a:xfrm>
                            <a:off x="0" y="0"/>
                            <a:ext cx="7762874" cy="9748489"/>
                          </a:xfrm>
                          <a:prstGeom prst="rect">
                            <a:avLst/>
                          </a:prstGeom>
                        </pic:spPr>
                      </pic:pic>
                      <wps:wsp>
                        <wps:cNvPr id="1145" name="Graphic 1145"/>
                        <wps:cNvSpPr/>
                        <wps:spPr>
                          <a:xfrm>
                            <a:off x="1053007" y="990837"/>
                            <a:ext cx="5736590" cy="7372984"/>
                          </a:xfrm>
                          <a:custGeom>
                            <a:avLst/>
                            <a:gdLst/>
                            <a:ahLst/>
                            <a:cxnLst/>
                            <a:rect l="l" t="t" r="r" b="b"/>
                            <a:pathLst>
                              <a:path w="5736590" h="7372984">
                                <a:moveTo>
                                  <a:pt x="5649214" y="0"/>
                                </a:moveTo>
                                <a:lnTo>
                                  <a:pt x="0" y="0"/>
                                </a:lnTo>
                                <a:lnTo>
                                  <a:pt x="0" y="9131"/>
                                </a:lnTo>
                                <a:lnTo>
                                  <a:pt x="5649214" y="9131"/>
                                </a:lnTo>
                                <a:lnTo>
                                  <a:pt x="5649214" y="0"/>
                                </a:lnTo>
                                <a:close/>
                              </a:path>
                              <a:path w="5736590" h="7372984">
                                <a:moveTo>
                                  <a:pt x="5736018" y="2562212"/>
                                </a:moveTo>
                                <a:lnTo>
                                  <a:pt x="5729986" y="2562212"/>
                                </a:lnTo>
                                <a:lnTo>
                                  <a:pt x="5729935" y="2568308"/>
                                </a:lnTo>
                                <a:lnTo>
                                  <a:pt x="5729935" y="7366495"/>
                                </a:lnTo>
                                <a:lnTo>
                                  <a:pt x="21336" y="7366495"/>
                                </a:lnTo>
                                <a:lnTo>
                                  <a:pt x="21336" y="2568308"/>
                                </a:lnTo>
                                <a:lnTo>
                                  <a:pt x="5729935" y="2568308"/>
                                </a:lnTo>
                                <a:lnTo>
                                  <a:pt x="5729935" y="2562212"/>
                                </a:lnTo>
                                <a:lnTo>
                                  <a:pt x="21336" y="2562212"/>
                                </a:lnTo>
                                <a:lnTo>
                                  <a:pt x="15240" y="2562212"/>
                                </a:lnTo>
                                <a:lnTo>
                                  <a:pt x="15240" y="2568308"/>
                                </a:lnTo>
                                <a:lnTo>
                                  <a:pt x="15240" y="7366495"/>
                                </a:lnTo>
                                <a:lnTo>
                                  <a:pt x="15240" y="7372591"/>
                                </a:lnTo>
                                <a:lnTo>
                                  <a:pt x="21336" y="7372591"/>
                                </a:lnTo>
                                <a:lnTo>
                                  <a:pt x="5729935" y="7372591"/>
                                </a:lnTo>
                                <a:lnTo>
                                  <a:pt x="5736018" y="7372591"/>
                                </a:lnTo>
                                <a:lnTo>
                                  <a:pt x="5736018" y="7366495"/>
                                </a:lnTo>
                                <a:lnTo>
                                  <a:pt x="5736018" y="2568308"/>
                                </a:lnTo>
                                <a:lnTo>
                                  <a:pt x="5736018" y="25622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60832" id="docshapegroup1087" coordorigin="15,468" coordsize="12225,15352">
                <v:shape style="position:absolute;left:15;top:468;width:12225;height:15352" type="#_x0000_t75" id="docshape1088" stroked="false">
                  <v:imagedata r:id="rId5" o:title=""/>
                </v:shape>
                <v:shape style="position:absolute;left:1673;top:2028;width:9034;height:11611" id="docshape1089" coordorigin="1673,2028" coordsize="9034,11611" path="m10570,2028l1673,2028,1673,2043,10570,2043,10570,2028xm10706,6063l10697,6063,10697,6063,10697,6073,10697,13629,1707,13629,1707,6073,10697,6073,10697,6063,1707,6063,1697,6063,1697,6073,1697,13629,1697,13639,1707,13639,10697,13639,10697,13639,10706,13639,10706,13629,10706,6073,10706,6063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221</w:t>
      </w:r>
    </w:p>
    <w:p>
      <w:pPr>
        <w:pStyle w:val="BodyText"/>
        <w:spacing w:before="10"/>
        <w:rPr>
          <w:sz w:val="16"/>
        </w:rPr>
      </w:pPr>
      <w:r>
        <w:rPr>
          <w:sz w:val="16"/>
        </w:rPr>
        <mc:AlternateContent>
          <mc:Choice Requires="wps">
            <w:drawing>
              <wp:anchor distT="0" distB="0" distL="0" distR="0" allowOverlap="1" layoutInCell="1" locked="0" behindDoc="1" simplePos="0" relativeHeight="487818240">
                <wp:simplePos x="0" y="0"/>
                <wp:positionH relativeFrom="page">
                  <wp:posOffset>1080820</wp:posOffset>
                </wp:positionH>
                <wp:positionV relativeFrom="paragraph">
                  <wp:posOffset>141144</wp:posOffset>
                </wp:positionV>
                <wp:extent cx="5715000" cy="1929764"/>
                <wp:effectExtent l="0" t="0" r="0" b="0"/>
                <wp:wrapTopAndBottom/>
                <wp:docPr id="1146" name="Textbox 1146"/>
                <wp:cNvGraphicFramePr>
                  <a:graphicFrameLocks/>
                </wp:cNvGraphicFramePr>
                <a:graphic>
                  <a:graphicData uri="http://schemas.microsoft.com/office/word/2010/wordprocessingShape">
                    <wps:wsp>
                      <wps:cNvPr id="1146" name="Textbox 1146"/>
                      <wps:cNvSpPr txBox="1"/>
                      <wps:spPr>
                        <a:xfrm>
                          <a:off x="0" y="0"/>
                          <a:ext cx="5715000" cy="1929764"/>
                        </a:xfrm>
                        <a:prstGeom prst="rect">
                          <a:avLst/>
                        </a:prstGeom>
                        <a:ln w="6095">
                          <a:solidFill>
                            <a:srgbClr val="000000"/>
                          </a:solidFill>
                          <a:prstDash val="solid"/>
                        </a:ln>
                      </wps:spPr>
                      <wps:txbx>
                        <w:txbxContent>
                          <w:p>
                            <w:pPr>
                              <w:pStyle w:val="BodyText"/>
                              <w:spacing w:line="276" w:lineRule="auto"/>
                              <w:ind w:left="64" w:right="66"/>
                              <w:jc w:val="both"/>
                            </w:pPr>
                            <w:r>
                              <w:rPr/>
                              <w:t>Esta conciliación permite explicar de manera razonable por qué los importes ejecutados presupuestariamente no coinciden exactamente con los movimientos de efectivo, sin que ello represente inconsistencias ni errores en la información financiera.</w:t>
                            </w:r>
                          </w:p>
                          <w:p>
                            <w:pPr>
                              <w:pStyle w:val="BodyText"/>
                              <w:spacing w:before="38"/>
                            </w:pPr>
                          </w:p>
                          <w:p>
                            <w:pPr>
                              <w:pStyle w:val="BodyText"/>
                              <w:spacing w:line="276" w:lineRule="auto"/>
                              <w:ind w:left="64" w:right="92"/>
                            </w:pPr>
                            <w:r>
                              <w:rPr/>
                              <w:t>La</w:t>
                            </w:r>
                            <w:r>
                              <w:rPr>
                                <w:spacing w:val="-3"/>
                              </w:rPr>
                              <w:t> </w:t>
                            </w:r>
                            <w:r>
                              <w:rPr/>
                              <w:t>conciliación</w:t>
                            </w:r>
                            <w:r>
                              <w:rPr>
                                <w:spacing w:val="-2"/>
                              </w:rPr>
                              <w:t> </w:t>
                            </w:r>
                            <w:r>
                              <w:rPr/>
                              <w:t>entre</w:t>
                            </w:r>
                            <w:r>
                              <w:rPr>
                                <w:spacing w:val="-2"/>
                              </w:rPr>
                              <w:t> </w:t>
                            </w:r>
                            <w:r>
                              <w:rPr/>
                              <w:t>el</w:t>
                            </w:r>
                            <w:r>
                              <w:rPr>
                                <w:spacing w:val="-2"/>
                              </w:rPr>
                              <w:t> </w:t>
                            </w:r>
                            <w:r>
                              <w:rPr/>
                              <w:t>presupuesto</w:t>
                            </w:r>
                            <w:r>
                              <w:rPr>
                                <w:spacing w:val="-1"/>
                              </w:rPr>
                              <w:t> </w:t>
                            </w:r>
                            <w:r>
                              <w:rPr/>
                              <w:t>y</w:t>
                            </w:r>
                            <w:r>
                              <w:rPr>
                                <w:spacing w:val="-3"/>
                              </w:rPr>
                              <w:t> </w:t>
                            </w:r>
                            <w:r>
                              <w:rPr/>
                              <w:t>el</w:t>
                            </w:r>
                            <w:r>
                              <w:rPr>
                                <w:spacing w:val="-2"/>
                              </w:rPr>
                              <w:t> </w:t>
                            </w:r>
                            <w:r>
                              <w:rPr/>
                              <w:t>flujo</w:t>
                            </w:r>
                            <w:r>
                              <w:rPr>
                                <w:spacing w:val="-2"/>
                              </w:rPr>
                              <w:t> </w:t>
                            </w:r>
                            <w:r>
                              <w:rPr/>
                              <w:t>de</w:t>
                            </w:r>
                            <w:r>
                              <w:rPr>
                                <w:spacing w:val="-4"/>
                              </w:rPr>
                              <w:t> </w:t>
                            </w:r>
                            <w:r>
                              <w:rPr/>
                              <w:t>efectivo</w:t>
                            </w:r>
                            <w:r>
                              <w:rPr>
                                <w:spacing w:val="-2"/>
                              </w:rPr>
                              <w:t> </w:t>
                            </w:r>
                            <w:r>
                              <w:rPr/>
                              <w:t>presentada</w:t>
                            </w:r>
                            <w:r>
                              <w:rPr>
                                <w:spacing w:val="-4"/>
                              </w:rPr>
                              <w:t> </w:t>
                            </w:r>
                            <w:r>
                              <w:rPr/>
                              <w:t>cumple</w:t>
                            </w:r>
                            <w:r>
                              <w:rPr>
                                <w:spacing w:val="-3"/>
                              </w:rPr>
                              <w:t> </w:t>
                            </w:r>
                            <w:r>
                              <w:rPr/>
                              <w:t>con</w:t>
                            </w:r>
                            <w:r>
                              <w:rPr>
                                <w:spacing w:val="-2"/>
                              </w:rPr>
                              <w:t> </w:t>
                            </w:r>
                            <w:r>
                              <w:rPr/>
                              <w:t>lo</w:t>
                            </w:r>
                            <w:r>
                              <w:rPr>
                                <w:spacing w:val="-4"/>
                              </w:rPr>
                              <w:t> </w:t>
                            </w:r>
                            <w:r>
                              <w:rPr/>
                              <w:t>dispuesto</w:t>
                            </w:r>
                            <w:r>
                              <w:rPr>
                                <w:spacing w:val="-2"/>
                              </w:rPr>
                              <w:t> </w:t>
                            </w:r>
                            <w:r>
                              <w:rPr/>
                              <w:t>en</w:t>
                            </w:r>
                            <w:r>
                              <w:rPr>
                                <w:spacing w:val="-2"/>
                              </w:rPr>
                              <w:t> </w:t>
                            </w:r>
                            <w:r>
                              <w:rPr/>
                              <w:t>el párrafo 47 de la NICSP 24, permitiendo a los usuarios de los estados financieros comprender las diferencias derivadas de las bases de medición utilizadas. Asimismo, garantiza la transparencia, trazabilidad y consistencia entre la ejecución presupuestaria, el Estado de Flujo de Efectivo y los estados financieros preparados sobre base de devengo.</w:t>
                            </w:r>
                          </w:p>
                        </w:txbxContent>
                      </wps:txbx>
                      <wps:bodyPr wrap="square" lIns="0" tIns="0" rIns="0" bIns="0" rtlCol="0">
                        <a:noAutofit/>
                      </wps:bodyPr>
                    </wps:wsp>
                  </a:graphicData>
                </a:graphic>
              </wp:anchor>
            </w:drawing>
          </mc:Choice>
          <mc:Fallback>
            <w:pict>
              <v:shape style="position:absolute;margin-left:85.103996pt;margin-top:11.11375pt;width:450pt;height:151.950pt;mso-position-horizontal-relative:page;mso-position-vertical-relative:paragraph;z-index:-15498240;mso-wrap-distance-left:0;mso-wrap-distance-right:0" type="#_x0000_t202" id="docshape1090" filled="false" stroked="true" strokeweight=".47998pt" strokecolor="#000000">
                <v:textbox inset="0,0,0,0">
                  <w:txbxContent>
                    <w:p>
                      <w:pPr>
                        <w:pStyle w:val="BodyText"/>
                        <w:spacing w:line="276" w:lineRule="auto"/>
                        <w:ind w:left="64" w:right="66"/>
                        <w:jc w:val="both"/>
                      </w:pPr>
                      <w:r>
                        <w:rPr/>
                        <w:t>Esta conciliación permite explicar de manera razonable por qué los importes ejecutados presupuestariamente no coinciden exactamente con los movimientos de efectivo, sin que ello represente inconsistencias ni errores en la información financiera.</w:t>
                      </w:r>
                    </w:p>
                    <w:p>
                      <w:pPr>
                        <w:pStyle w:val="BodyText"/>
                        <w:spacing w:before="38"/>
                      </w:pPr>
                    </w:p>
                    <w:p>
                      <w:pPr>
                        <w:pStyle w:val="BodyText"/>
                        <w:spacing w:line="276" w:lineRule="auto"/>
                        <w:ind w:left="64" w:right="92"/>
                      </w:pPr>
                      <w:r>
                        <w:rPr/>
                        <w:t>La</w:t>
                      </w:r>
                      <w:r>
                        <w:rPr>
                          <w:spacing w:val="-3"/>
                        </w:rPr>
                        <w:t> </w:t>
                      </w:r>
                      <w:r>
                        <w:rPr/>
                        <w:t>conciliación</w:t>
                      </w:r>
                      <w:r>
                        <w:rPr>
                          <w:spacing w:val="-2"/>
                        </w:rPr>
                        <w:t> </w:t>
                      </w:r>
                      <w:r>
                        <w:rPr/>
                        <w:t>entre</w:t>
                      </w:r>
                      <w:r>
                        <w:rPr>
                          <w:spacing w:val="-2"/>
                        </w:rPr>
                        <w:t> </w:t>
                      </w:r>
                      <w:r>
                        <w:rPr/>
                        <w:t>el</w:t>
                      </w:r>
                      <w:r>
                        <w:rPr>
                          <w:spacing w:val="-2"/>
                        </w:rPr>
                        <w:t> </w:t>
                      </w:r>
                      <w:r>
                        <w:rPr/>
                        <w:t>presupuesto</w:t>
                      </w:r>
                      <w:r>
                        <w:rPr>
                          <w:spacing w:val="-1"/>
                        </w:rPr>
                        <w:t> </w:t>
                      </w:r>
                      <w:r>
                        <w:rPr/>
                        <w:t>y</w:t>
                      </w:r>
                      <w:r>
                        <w:rPr>
                          <w:spacing w:val="-3"/>
                        </w:rPr>
                        <w:t> </w:t>
                      </w:r>
                      <w:r>
                        <w:rPr/>
                        <w:t>el</w:t>
                      </w:r>
                      <w:r>
                        <w:rPr>
                          <w:spacing w:val="-2"/>
                        </w:rPr>
                        <w:t> </w:t>
                      </w:r>
                      <w:r>
                        <w:rPr/>
                        <w:t>flujo</w:t>
                      </w:r>
                      <w:r>
                        <w:rPr>
                          <w:spacing w:val="-2"/>
                        </w:rPr>
                        <w:t> </w:t>
                      </w:r>
                      <w:r>
                        <w:rPr/>
                        <w:t>de</w:t>
                      </w:r>
                      <w:r>
                        <w:rPr>
                          <w:spacing w:val="-4"/>
                        </w:rPr>
                        <w:t> </w:t>
                      </w:r>
                      <w:r>
                        <w:rPr/>
                        <w:t>efectivo</w:t>
                      </w:r>
                      <w:r>
                        <w:rPr>
                          <w:spacing w:val="-2"/>
                        </w:rPr>
                        <w:t> </w:t>
                      </w:r>
                      <w:r>
                        <w:rPr/>
                        <w:t>presentada</w:t>
                      </w:r>
                      <w:r>
                        <w:rPr>
                          <w:spacing w:val="-4"/>
                        </w:rPr>
                        <w:t> </w:t>
                      </w:r>
                      <w:r>
                        <w:rPr/>
                        <w:t>cumple</w:t>
                      </w:r>
                      <w:r>
                        <w:rPr>
                          <w:spacing w:val="-3"/>
                        </w:rPr>
                        <w:t> </w:t>
                      </w:r>
                      <w:r>
                        <w:rPr/>
                        <w:t>con</w:t>
                      </w:r>
                      <w:r>
                        <w:rPr>
                          <w:spacing w:val="-2"/>
                        </w:rPr>
                        <w:t> </w:t>
                      </w:r>
                      <w:r>
                        <w:rPr/>
                        <w:t>lo</w:t>
                      </w:r>
                      <w:r>
                        <w:rPr>
                          <w:spacing w:val="-4"/>
                        </w:rPr>
                        <w:t> </w:t>
                      </w:r>
                      <w:r>
                        <w:rPr/>
                        <w:t>dispuesto</w:t>
                      </w:r>
                      <w:r>
                        <w:rPr>
                          <w:spacing w:val="-2"/>
                        </w:rPr>
                        <w:t> </w:t>
                      </w:r>
                      <w:r>
                        <w:rPr/>
                        <w:t>en</w:t>
                      </w:r>
                      <w:r>
                        <w:rPr>
                          <w:spacing w:val="-2"/>
                        </w:rPr>
                        <w:t> </w:t>
                      </w:r>
                      <w:r>
                        <w:rPr/>
                        <w:t>el párrafo 47 de la NICSP 24, permitiendo a los usuarios de los estados financieros comprender las diferencias derivadas de las bases de medición utilizadas. Asimismo, garantiza la transparencia, trazabilidad y consistencia entre la ejecución presupuestaria, el Estado de Flujo de Efectivo y los estados financieros preparados sobre base de devengo.</w:t>
                      </w:r>
                    </w:p>
                  </w:txbxContent>
                </v:textbox>
                <v:stroke dashstyle="solid"/>
                <w10:wrap type="topAndBottom"/>
              </v:shape>
            </w:pict>
          </mc:Fallback>
        </mc:AlternateContent>
      </w:r>
    </w:p>
    <w:p>
      <w:pPr>
        <w:pStyle w:val="BodyText"/>
        <w:spacing w:before="6"/>
      </w:pPr>
    </w:p>
    <w:p>
      <w:pPr>
        <w:pStyle w:val="ListParagraph"/>
        <w:numPr>
          <w:ilvl w:val="0"/>
          <w:numId w:val="96"/>
        </w:numPr>
        <w:tabs>
          <w:tab w:pos="1340" w:val="left" w:leader="none"/>
        </w:tabs>
        <w:spacing w:line="240" w:lineRule="auto" w:before="0" w:after="0"/>
        <w:ind w:left="1340" w:right="0" w:hanging="359"/>
        <w:jc w:val="left"/>
        <w:rPr>
          <w:sz w:val="22"/>
        </w:rPr>
      </w:pPr>
      <w:r>
        <w:rPr>
          <w:sz w:val="22"/>
          <w:u w:val="single"/>
        </w:rPr>
        <w:t>Clasificación</w:t>
      </w:r>
      <w:r>
        <w:rPr>
          <w:spacing w:val="-6"/>
          <w:sz w:val="22"/>
          <w:u w:val="single"/>
        </w:rPr>
        <w:t> </w:t>
      </w:r>
      <w:r>
        <w:rPr>
          <w:sz w:val="22"/>
          <w:u w:val="single"/>
        </w:rPr>
        <w:t>de</w:t>
      </w:r>
      <w:r>
        <w:rPr>
          <w:spacing w:val="-5"/>
          <w:sz w:val="22"/>
          <w:u w:val="single"/>
        </w:rPr>
        <w:t> </w:t>
      </w:r>
      <w:r>
        <w:rPr>
          <w:sz w:val="22"/>
          <w:u w:val="single"/>
        </w:rPr>
        <w:t>las</w:t>
      </w:r>
      <w:r>
        <w:rPr>
          <w:spacing w:val="-4"/>
          <w:sz w:val="22"/>
          <w:u w:val="single"/>
        </w:rPr>
        <w:t> </w:t>
      </w:r>
      <w:r>
        <w:rPr>
          <w:sz w:val="22"/>
          <w:u w:val="single"/>
        </w:rPr>
        <w:t>diferencias</w:t>
      </w:r>
      <w:r>
        <w:rPr>
          <w:spacing w:val="-5"/>
          <w:sz w:val="22"/>
          <w:u w:val="single"/>
        </w:rPr>
        <w:t> </w:t>
      </w:r>
      <w:r>
        <w:rPr>
          <w:sz w:val="22"/>
          <w:u w:val="single"/>
        </w:rPr>
        <w:t>(párrafo</w:t>
      </w:r>
      <w:r>
        <w:rPr>
          <w:spacing w:val="-4"/>
          <w:sz w:val="22"/>
          <w:u w:val="single"/>
        </w:rPr>
        <w:t> </w:t>
      </w:r>
      <w:r>
        <w:rPr>
          <w:spacing w:val="-5"/>
          <w:sz w:val="22"/>
          <w:u w:val="single"/>
        </w:rPr>
        <w:t>48)</w:t>
      </w:r>
    </w:p>
    <w:p>
      <w:pPr>
        <w:pStyle w:val="BodyText"/>
        <w:spacing w:before="45"/>
      </w:pPr>
    </w:p>
    <w:p>
      <w:pPr>
        <w:pStyle w:val="Heading6"/>
        <w:ind w:left="730"/>
        <w:rPr>
          <w:b w:val="0"/>
        </w:rPr>
      </w:pPr>
      <w:r>
        <w:rPr>
          <w:color w:val="1F4E79"/>
          <w:spacing w:val="-2"/>
          <w:u w:val="single" w:color="1F4E79"/>
        </w:rPr>
        <w:t>Revelación</w:t>
      </w:r>
      <w:r>
        <w:rPr>
          <w:b w:val="0"/>
          <w:spacing w:val="-2"/>
          <w:u w:val="none"/>
        </w:rPr>
        <w:t>:</w:t>
      </w:r>
    </w:p>
    <w:p>
      <w:pPr>
        <w:pStyle w:val="BodyText"/>
        <w:spacing w:line="276" w:lineRule="auto" w:before="179"/>
        <w:ind w:left="730" w:right="1001"/>
      </w:pPr>
      <w:r>
        <w:rPr/>
        <w:t>De</w:t>
      </w:r>
      <w:r>
        <w:rPr>
          <w:spacing w:val="-3"/>
        </w:rPr>
        <w:t> </w:t>
      </w:r>
      <w:r>
        <w:rPr/>
        <w:t>conformidad</w:t>
      </w:r>
      <w:r>
        <w:rPr>
          <w:spacing w:val="-1"/>
        </w:rPr>
        <w:t> </w:t>
      </w:r>
      <w:r>
        <w:rPr/>
        <w:t>con</w:t>
      </w:r>
      <w:r>
        <w:rPr>
          <w:spacing w:val="-1"/>
        </w:rPr>
        <w:t> </w:t>
      </w:r>
      <w:r>
        <w:rPr/>
        <w:t>el</w:t>
      </w:r>
      <w:r>
        <w:rPr>
          <w:spacing w:val="-1"/>
        </w:rPr>
        <w:t> </w:t>
      </w:r>
      <w:r>
        <w:rPr/>
        <w:t>párrafo 48</w:t>
      </w:r>
      <w:r>
        <w:rPr>
          <w:spacing w:val="-3"/>
        </w:rPr>
        <w:t> </w:t>
      </w:r>
      <w:r>
        <w:rPr/>
        <w:t>de</w:t>
      </w:r>
      <w:r>
        <w:rPr>
          <w:spacing w:val="-3"/>
        </w:rPr>
        <w:t> </w:t>
      </w:r>
      <w:r>
        <w:rPr/>
        <w:t>la</w:t>
      </w:r>
      <w:r>
        <w:rPr>
          <w:spacing w:val="-3"/>
        </w:rPr>
        <w:t> </w:t>
      </w:r>
      <w:r>
        <w:rPr/>
        <w:t>NICSP</w:t>
      </w:r>
      <w:r>
        <w:rPr>
          <w:spacing w:val="-1"/>
        </w:rPr>
        <w:t> </w:t>
      </w:r>
      <w:r>
        <w:rPr/>
        <w:t>24 –</w:t>
      </w:r>
      <w:r>
        <w:rPr>
          <w:spacing w:val="-2"/>
        </w:rPr>
        <w:t> </w:t>
      </w:r>
      <w:r>
        <w:rPr/>
        <w:t>Presentación</w:t>
      </w:r>
      <w:r>
        <w:rPr>
          <w:spacing w:val="-1"/>
        </w:rPr>
        <w:t> </w:t>
      </w:r>
      <w:r>
        <w:rPr/>
        <w:t>de</w:t>
      </w:r>
      <w:r>
        <w:rPr>
          <w:spacing w:val="-3"/>
        </w:rPr>
        <w:t> </w:t>
      </w:r>
      <w:r>
        <w:rPr/>
        <w:t>Información</w:t>
      </w:r>
      <w:r>
        <w:rPr>
          <w:spacing w:val="-3"/>
        </w:rPr>
        <w:t> </w:t>
      </w:r>
      <w:r>
        <w:rPr/>
        <w:t>del</w:t>
      </w:r>
      <w:r>
        <w:rPr>
          <w:spacing w:val="-1"/>
        </w:rPr>
        <w:t> </w:t>
      </w:r>
      <w:r>
        <w:rPr/>
        <w:t>Presupuesto en</w:t>
      </w:r>
      <w:r>
        <w:rPr>
          <w:spacing w:val="-3"/>
        </w:rPr>
        <w:t> </w:t>
      </w:r>
      <w:r>
        <w:rPr/>
        <w:t>los</w:t>
      </w:r>
      <w:r>
        <w:rPr>
          <w:spacing w:val="-2"/>
        </w:rPr>
        <w:t> </w:t>
      </w:r>
      <w:r>
        <w:rPr/>
        <w:t>Estados</w:t>
      </w:r>
      <w:r>
        <w:rPr>
          <w:spacing w:val="-2"/>
        </w:rPr>
        <w:t> </w:t>
      </w:r>
      <w:r>
        <w:rPr/>
        <w:t>Financieros,</w:t>
      </w:r>
      <w:r>
        <w:rPr>
          <w:spacing w:val="-6"/>
        </w:rPr>
        <w:t> </w:t>
      </w:r>
      <w:r>
        <w:rPr/>
        <w:t>el</w:t>
      </w:r>
      <w:r>
        <w:rPr>
          <w:spacing w:val="-3"/>
        </w:rPr>
        <w:t> </w:t>
      </w:r>
      <w:r>
        <w:rPr/>
        <w:t>IMAS</w:t>
      </w:r>
      <w:r>
        <w:rPr>
          <w:spacing w:val="-2"/>
        </w:rPr>
        <w:t> </w:t>
      </w:r>
      <w:r>
        <w:rPr/>
        <w:t>clasifica</w:t>
      </w:r>
      <w:r>
        <w:rPr>
          <w:spacing w:val="-5"/>
        </w:rPr>
        <w:t> </w:t>
      </w:r>
      <w:r>
        <w:rPr/>
        <w:t>las</w:t>
      </w:r>
      <w:r>
        <w:rPr>
          <w:spacing w:val="-2"/>
        </w:rPr>
        <w:t> </w:t>
      </w:r>
      <w:r>
        <w:rPr/>
        <w:t>diferencias</w:t>
      </w:r>
      <w:r>
        <w:rPr>
          <w:spacing w:val="-2"/>
        </w:rPr>
        <w:t> </w:t>
      </w:r>
      <w:r>
        <w:rPr/>
        <w:t>entre</w:t>
      </w:r>
      <w:r>
        <w:rPr>
          <w:spacing w:val="-3"/>
        </w:rPr>
        <w:t> </w:t>
      </w:r>
      <w:r>
        <w:rPr/>
        <w:t>los</w:t>
      </w:r>
      <w:r>
        <w:rPr>
          <w:spacing w:val="-2"/>
        </w:rPr>
        <w:t> </w:t>
      </w:r>
      <w:r>
        <w:rPr/>
        <w:t>importes</w:t>
      </w:r>
      <w:r>
        <w:rPr>
          <w:spacing w:val="-2"/>
        </w:rPr>
        <w:t> </w:t>
      </w:r>
      <w:r>
        <w:rPr/>
        <w:t>presupuestados</w:t>
      </w:r>
      <w:r>
        <w:rPr>
          <w:spacing w:val="-2"/>
        </w:rPr>
        <w:t> </w:t>
      </w:r>
      <w:r>
        <w:rPr/>
        <w:t>y</w:t>
      </w:r>
      <w:r>
        <w:rPr>
          <w:spacing w:val="-4"/>
        </w:rPr>
        <w:t> </w:t>
      </w:r>
      <w:r>
        <w:rPr/>
        <w:t>los importes realizados según su naturaleza, con el fin de facilitar la comprensión de las causas que explican dichas variaciones.</w:t>
      </w:r>
    </w:p>
    <w:p>
      <w:pPr>
        <w:pStyle w:val="BodyText"/>
        <w:spacing w:before="37"/>
      </w:pPr>
    </w:p>
    <w:p>
      <w:pPr>
        <w:pStyle w:val="BodyText"/>
        <w:ind w:left="730"/>
      </w:pPr>
      <w:r>
        <w:rPr/>
        <w:t>Las</w:t>
      </w:r>
      <w:r>
        <w:rPr>
          <w:spacing w:val="-5"/>
        </w:rPr>
        <w:t> </w:t>
      </w:r>
      <w:r>
        <w:rPr/>
        <w:t>posibles</w:t>
      </w:r>
      <w:r>
        <w:rPr>
          <w:spacing w:val="-3"/>
        </w:rPr>
        <w:t> </w:t>
      </w:r>
      <w:r>
        <w:rPr/>
        <w:t>diferencias</w:t>
      </w:r>
      <w:r>
        <w:rPr>
          <w:spacing w:val="-3"/>
        </w:rPr>
        <w:t> </w:t>
      </w:r>
      <w:r>
        <w:rPr/>
        <w:t>que</w:t>
      </w:r>
      <w:r>
        <w:rPr>
          <w:spacing w:val="-5"/>
        </w:rPr>
        <w:t> </w:t>
      </w:r>
      <w:r>
        <w:rPr/>
        <w:t>se</w:t>
      </w:r>
      <w:r>
        <w:rPr>
          <w:spacing w:val="-5"/>
        </w:rPr>
        <w:t> </w:t>
      </w:r>
      <w:r>
        <w:rPr/>
        <w:t>pueden</w:t>
      </w:r>
      <w:r>
        <w:rPr>
          <w:spacing w:val="-4"/>
        </w:rPr>
        <w:t> </w:t>
      </w:r>
      <w:r>
        <w:rPr/>
        <w:t>identificar</w:t>
      </w:r>
      <w:r>
        <w:rPr>
          <w:spacing w:val="-3"/>
        </w:rPr>
        <w:t> </w:t>
      </w:r>
      <w:r>
        <w:rPr/>
        <w:t>se</w:t>
      </w:r>
      <w:r>
        <w:rPr>
          <w:spacing w:val="-5"/>
        </w:rPr>
        <w:t> </w:t>
      </w:r>
      <w:r>
        <w:rPr/>
        <w:t>clasifican</w:t>
      </w:r>
      <w:r>
        <w:rPr>
          <w:spacing w:val="-4"/>
        </w:rPr>
        <w:t> </w:t>
      </w:r>
      <w:r>
        <w:rPr/>
        <w:t>en</w:t>
      </w:r>
      <w:r>
        <w:rPr>
          <w:spacing w:val="-3"/>
        </w:rPr>
        <w:t> </w:t>
      </w:r>
      <w:r>
        <w:rPr/>
        <w:t>las</w:t>
      </w:r>
      <w:r>
        <w:rPr>
          <w:spacing w:val="-6"/>
        </w:rPr>
        <w:t> </w:t>
      </w:r>
      <w:r>
        <w:rPr/>
        <w:t>siguientes</w:t>
      </w:r>
      <w:r>
        <w:rPr>
          <w:spacing w:val="-3"/>
        </w:rPr>
        <w:t> </w:t>
      </w:r>
      <w:r>
        <w:rPr>
          <w:spacing w:val="-2"/>
        </w:rPr>
        <w:t>categorías:</w:t>
      </w:r>
    </w:p>
    <w:p>
      <w:pPr>
        <w:pStyle w:val="ListParagraph"/>
        <w:numPr>
          <w:ilvl w:val="1"/>
          <w:numId w:val="96"/>
        </w:numPr>
        <w:tabs>
          <w:tab w:pos="2169" w:val="left" w:leader="none"/>
        </w:tabs>
        <w:spacing w:line="240" w:lineRule="auto" w:before="198" w:after="0"/>
        <w:ind w:left="2169" w:right="0" w:hanging="359"/>
        <w:jc w:val="left"/>
        <w:rPr>
          <w:sz w:val="22"/>
        </w:rPr>
      </w:pPr>
      <w:r>
        <w:rPr>
          <w:sz w:val="22"/>
        </w:rPr>
        <w:t>Diferencias</w:t>
      </w:r>
      <w:r>
        <w:rPr>
          <w:spacing w:val="-4"/>
          <w:sz w:val="22"/>
        </w:rPr>
        <w:t> </w:t>
      </w:r>
      <w:r>
        <w:rPr>
          <w:sz w:val="22"/>
        </w:rPr>
        <w:t>por</w:t>
      </w:r>
      <w:r>
        <w:rPr>
          <w:spacing w:val="-4"/>
          <w:sz w:val="22"/>
        </w:rPr>
        <w:t> </w:t>
      </w:r>
      <w:r>
        <w:rPr>
          <w:sz w:val="22"/>
        </w:rPr>
        <w:t>base</w:t>
      </w:r>
      <w:r>
        <w:rPr>
          <w:spacing w:val="-3"/>
          <w:sz w:val="22"/>
        </w:rPr>
        <w:t> </w:t>
      </w:r>
      <w:r>
        <w:rPr>
          <w:sz w:val="22"/>
        </w:rPr>
        <w:t>de</w:t>
      </w:r>
      <w:r>
        <w:rPr>
          <w:spacing w:val="-3"/>
          <w:sz w:val="22"/>
        </w:rPr>
        <w:t> </w:t>
      </w:r>
      <w:r>
        <w:rPr>
          <w:spacing w:val="-2"/>
          <w:sz w:val="22"/>
        </w:rPr>
        <w:t>reconocimiento</w:t>
      </w:r>
    </w:p>
    <w:p>
      <w:pPr>
        <w:pStyle w:val="BodyText"/>
        <w:spacing w:before="77"/>
      </w:pPr>
    </w:p>
    <w:p>
      <w:pPr>
        <w:pStyle w:val="BodyText"/>
        <w:spacing w:line="276" w:lineRule="auto"/>
        <w:ind w:left="730" w:right="954"/>
      </w:pPr>
      <w:r>
        <w:rPr/>
        <w:t>Corresponden</w:t>
      </w:r>
      <w:r>
        <w:rPr>
          <w:spacing w:val="-3"/>
        </w:rPr>
        <w:t> </w:t>
      </w:r>
      <w:r>
        <w:rPr/>
        <w:t>a</w:t>
      </w:r>
      <w:r>
        <w:rPr>
          <w:spacing w:val="-3"/>
        </w:rPr>
        <w:t> </w:t>
      </w:r>
      <w:r>
        <w:rPr/>
        <w:t>variaciones</w:t>
      </w:r>
      <w:r>
        <w:rPr>
          <w:spacing w:val="-5"/>
        </w:rPr>
        <w:t> </w:t>
      </w:r>
      <w:r>
        <w:rPr/>
        <w:t>originadas</w:t>
      </w:r>
      <w:r>
        <w:rPr>
          <w:spacing w:val="-2"/>
        </w:rPr>
        <w:t> </w:t>
      </w:r>
      <w:r>
        <w:rPr/>
        <w:t>por</w:t>
      </w:r>
      <w:r>
        <w:rPr>
          <w:spacing w:val="-3"/>
        </w:rPr>
        <w:t> </w:t>
      </w:r>
      <w:r>
        <w:rPr/>
        <w:t>el</w:t>
      </w:r>
      <w:r>
        <w:rPr>
          <w:spacing w:val="-3"/>
        </w:rPr>
        <w:t> </w:t>
      </w:r>
      <w:r>
        <w:rPr/>
        <w:t>uso</w:t>
      </w:r>
      <w:r>
        <w:rPr>
          <w:spacing w:val="-3"/>
        </w:rPr>
        <w:t> </w:t>
      </w:r>
      <w:r>
        <w:rPr/>
        <w:t>de</w:t>
      </w:r>
      <w:r>
        <w:rPr>
          <w:spacing w:val="-5"/>
        </w:rPr>
        <w:t> </w:t>
      </w:r>
      <w:r>
        <w:rPr/>
        <w:t>bases</w:t>
      </w:r>
      <w:r>
        <w:rPr>
          <w:spacing w:val="-2"/>
        </w:rPr>
        <w:t> </w:t>
      </w:r>
      <w:r>
        <w:rPr/>
        <w:t>distintas</w:t>
      </w:r>
      <w:r>
        <w:rPr>
          <w:spacing w:val="-3"/>
        </w:rPr>
        <w:t> </w:t>
      </w:r>
      <w:r>
        <w:rPr/>
        <w:t>entre</w:t>
      </w:r>
      <w:r>
        <w:rPr>
          <w:spacing w:val="-4"/>
        </w:rPr>
        <w:t> </w:t>
      </w:r>
      <w:r>
        <w:rPr/>
        <w:t>la</w:t>
      </w:r>
      <w:r>
        <w:rPr>
          <w:spacing w:val="-5"/>
        </w:rPr>
        <w:t> </w:t>
      </w:r>
      <w:r>
        <w:rPr/>
        <w:t>ejecución</w:t>
      </w:r>
      <w:r>
        <w:rPr>
          <w:spacing w:val="-3"/>
        </w:rPr>
        <w:t> </w:t>
      </w:r>
      <w:r>
        <w:rPr/>
        <w:t>presupuestaria y la información financiera preparada sobre base devengo. Incluyen principalmente:</w:t>
      </w:r>
    </w:p>
    <w:p>
      <w:pPr>
        <w:pStyle w:val="ListParagraph"/>
        <w:numPr>
          <w:ilvl w:val="0"/>
          <w:numId w:val="97"/>
        </w:numPr>
        <w:tabs>
          <w:tab w:pos="1449" w:val="left" w:leader="none"/>
        </w:tabs>
        <w:spacing w:line="257" w:lineRule="exact" w:before="0" w:after="0"/>
        <w:ind w:left="1449" w:right="0" w:hanging="359"/>
        <w:jc w:val="left"/>
        <w:rPr>
          <w:sz w:val="22"/>
        </w:rPr>
      </w:pPr>
      <w:r>
        <w:rPr>
          <w:sz w:val="22"/>
        </w:rPr>
        <w:t>Ingresos</w:t>
      </w:r>
      <w:r>
        <w:rPr>
          <w:spacing w:val="-6"/>
          <w:sz w:val="22"/>
        </w:rPr>
        <w:t> </w:t>
      </w:r>
      <w:r>
        <w:rPr>
          <w:sz w:val="22"/>
        </w:rPr>
        <w:t>devengados</w:t>
      </w:r>
      <w:r>
        <w:rPr>
          <w:spacing w:val="-3"/>
          <w:sz w:val="22"/>
        </w:rPr>
        <w:t> </w:t>
      </w:r>
      <w:r>
        <w:rPr>
          <w:sz w:val="22"/>
        </w:rPr>
        <w:t>no</w:t>
      </w:r>
      <w:r>
        <w:rPr>
          <w:spacing w:val="-4"/>
          <w:sz w:val="22"/>
        </w:rPr>
        <w:t> </w:t>
      </w:r>
      <w:r>
        <w:rPr>
          <w:sz w:val="22"/>
        </w:rPr>
        <w:t>cobrados</w:t>
      </w:r>
      <w:r>
        <w:rPr>
          <w:spacing w:val="-3"/>
          <w:sz w:val="22"/>
        </w:rPr>
        <w:t> </w:t>
      </w:r>
      <w:r>
        <w:rPr>
          <w:sz w:val="22"/>
        </w:rPr>
        <w:t>al</w:t>
      </w:r>
      <w:r>
        <w:rPr>
          <w:spacing w:val="-5"/>
          <w:sz w:val="22"/>
        </w:rPr>
        <w:t> </w:t>
      </w:r>
      <w:r>
        <w:rPr>
          <w:sz w:val="22"/>
        </w:rPr>
        <w:t>cierre</w:t>
      </w:r>
      <w:r>
        <w:rPr>
          <w:spacing w:val="-6"/>
          <w:sz w:val="22"/>
        </w:rPr>
        <w:t> </w:t>
      </w:r>
      <w:r>
        <w:rPr>
          <w:sz w:val="22"/>
        </w:rPr>
        <w:t>del</w:t>
      </w:r>
      <w:r>
        <w:rPr>
          <w:spacing w:val="-4"/>
          <w:sz w:val="22"/>
        </w:rPr>
        <w:t> </w:t>
      </w:r>
      <w:r>
        <w:rPr>
          <w:sz w:val="22"/>
        </w:rPr>
        <w:t>periodo</w:t>
      </w:r>
      <w:r>
        <w:rPr>
          <w:spacing w:val="-4"/>
          <w:sz w:val="22"/>
        </w:rPr>
        <w:t> </w:t>
      </w:r>
      <w:r>
        <w:rPr>
          <w:sz w:val="22"/>
        </w:rPr>
        <w:t>(cuentas</w:t>
      </w:r>
      <w:r>
        <w:rPr>
          <w:spacing w:val="-4"/>
          <w:sz w:val="22"/>
        </w:rPr>
        <w:t> </w:t>
      </w:r>
      <w:r>
        <w:rPr>
          <w:sz w:val="22"/>
        </w:rPr>
        <w:t>por</w:t>
      </w:r>
      <w:r>
        <w:rPr>
          <w:spacing w:val="-4"/>
          <w:sz w:val="22"/>
        </w:rPr>
        <w:t> </w:t>
      </w:r>
      <w:r>
        <w:rPr>
          <w:spacing w:val="-2"/>
          <w:sz w:val="22"/>
        </w:rPr>
        <w:t>cobrar).</w:t>
      </w:r>
    </w:p>
    <w:p>
      <w:pPr>
        <w:pStyle w:val="ListParagraph"/>
        <w:numPr>
          <w:ilvl w:val="0"/>
          <w:numId w:val="97"/>
        </w:numPr>
        <w:tabs>
          <w:tab w:pos="1449" w:val="left" w:leader="none"/>
        </w:tabs>
        <w:spacing w:line="240" w:lineRule="auto" w:before="37" w:after="0"/>
        <w:ind w:left="1449" w:right="0" w:hanging="359"/>
        <w:jc w:val="left"/>
        <w:rPr>
          <w:sz w:val="22"/>
        </w:rPr>
      </w:pPr>
      <w:r>
        <w:rPr>
          <w:sz w:val="22"/>
        </w:rPr>
        <w:t>Egresos</w:t>
      </w:r>
      <w:r>
        <w:rPr>
          <w:spacing w:val="-5"/>
          <w:sz w:val="22"/>
        </w:rPr>
        <w:t> </w:t>
      </w:r>
      <w:r>
        <w:rPr>
          <w:sz w:val="22"/>
        </w:rPr>
        <w:t>devengados</w:t>
      </w:r>
      <w:r>
        <w:rPr>
          <w:spacing w:val="-2"/>
          <w:sz w:val="22"/>
        </w:rPr>
        <w:t> </w:t>
      </w:r>
      <w:r>
        <w:rPr>
          <w:sz w:val="22"/>
        </w:rPr>
        <w:t>no</w:t>
      </w:r>
      <w:r>
        <w:rPr>
          <w:spacing w:val="-4"/>
          <w:sz w:val="22"/>
        </w:rPr>
        <w:t> </w:t>
      </w:r>
      <w:r>
        <w:rPr>
          <w:sz w:val="22"/>
        </w:rPr>
        <w:t>pagados</w:t>
      </w:r>
      <w:r>
        <w:rPr>
          <w:spacing w:val="-2"/>
          <w:sz w:val="22"/>
        </w:rPr>
        <w:t> </w:t>
      </w:r>
      <w:r>
        <w:rPr>
          <w:sz w:val="22"/>
        </w:rPr>
        <w:t>al</w:t>
      </w:r>
      <w:r>
        <w:rPr>
          <w:spacing w:val="-4"/>
          <w:sz w:val="22"/>
        </w:rPr>
        <w:t> </w:t>
      </w:r>
      <w:r>
        <w:rPr>
          <w:sz w:val="22"/>
        </w:rPr>
        <w:t>cierre</w:t>
      </w:r>
      <w:r>
        <w:rPr>
          <w:spacing w:val="-5"/>
          <w:sz w:val="22"/>
        </w:rPr>
        <w:t> </w:t>
      </w:r>
      <w:r>
        <w:rPr>
          <w:sz w:val="22"/>
        </w:rPr>
        <w:t>del</w:t>
      </w:r>
      <w:r>
        <w:rPr>
          <w:spacing w:val="-3"/>
          <w:sz w:val="22"/>
        </w:rPr>
        <w:t> </w:t>
      </w:r>
      <w:r>
        <w:rPr>
          <w:sz w:val="22"/>
        </w:rPr>
        <w:t>periodo</w:t>
      </w:r>
      <w:r>
        <w:rPr>
          <w:spacing w:val="-4"/>
          <w:sz w:val="22"/>
        </w:rPr>
        <w:t> </w:t>
      </w:r>
      <w:r>
        <w:rPr>
          <w:sz w:val="22"/>
        </w:rPr>
        <w:t>(cuentas</w:t>
      </w:r>
      <w:r>
        <w:rPr>
          <w:spacing w:val="-3"/>
          <w:sz w:val="22"/>
        </w:rPr>
        <w:t> </w:t>
      </w:r>
      <w:r>
        <w:rPr>
          <w:sz w:val="22"/>
        </w:rPr>
        <w:t>por</w:t>
      </w:r>
      <w:r>
        <w:rPr>
          <w:spacing w:val="-5"/>
          <w:sz w:val="22"/>
        </w:rPr>
        <w:t> </w:t>
      </w:r>
      <w:r>
        <w:rPr>
          <w:spacing w:val="-2"/>
          <w:sz w:val="22"/>
        </w:rPr>
        <w:t>pagar).</w:t>
      </w:r>
    </w:p>
    <w:p>
      <w:pPr>
        <w:pStyle w:val="BodyText"/>
        <w:spacing w:before="76"/>
      </w:pPr>
    </w:p>
    <w:p>
      <w:pPr>
        <w:pStyle w:val="BodyText"/>
        <w:spacing w:line="276" w:lineRule="auto" w:before="1"/>
        <w:ind w:left="730" w:right="1001"/>
      </w:pPr>
      <w:r>
        <w:rPr/>
        <w:t>Estas diferencias fueron conciliadas en la nota h) Conciliación Presupuesto / Flujo de Efectivo, sin</w:t>
      </w:r>
      <w:r>
        <w:rPr>
          <w:spacing w:val="40"/>
        </w:rPr>
        <w:t> </w:t>
      </w:r>
      <w:r>
        <w:rPr/>
        <w:t>afectar la legalidad ni la consistencia de la información financiera.</w:t>
      </w:r>
    </w:p>
    <w:p>
      <w:pPr>
        <w:pStyle w:val="BodyText"/>
        <w:spacing w:before="38"/>
      </w:pPr>
    </w:p>
    <w:p>
      <w:pPr>
        <w:pStyle w:val="ListParagraph"/>
        <w:numPr>
          <w:ilvl w:val="1"/>
          <w:numId w:val="96"/>
        </w:numPr>
        <w:tabs>
          <w:tab w:pos="944" w:val="left" w:leader="none"/>
        </w:tabs>
        <w:spacing w:line="240" w:lineRule="auto" w:before="0" w:after="0"/>
        <w:ind w:left="944" w:right="0" w:hanging="214"/>
        <w:jc w:val="left"/>
        <w:rPr>
          <w:sz w:val="22"/>
        </w:rPr>
      </w:pPr>
      <w:r>
        <w:rPr>
          <w:sz w:val="22"/>
        </w:rPr>
        <w:t>Diferencias</w:t>
      </w:r>
      <w:r>
        <w:rPr>
          <w:spacing w:val="-5"/>
          <w:sz w:val="22"/>
        </w:rPr>
        <w:t> </w:t>
      </w:r>
      <w:r>
        <w:rPr>
          <w:sz w:val="22"/>
        </w:rPr>
        <w:t>por</w:t>
      </w:r>
      <w:r>
        <w:rPr>
          <w:spacing w:val="-5"/>
          <w:sz w:val="22"/>
        </w:rPr>
        <w:t> </w:t>
      </w:r>
      <w:r>
        <w:rPr>
          <w:sz w:val="22"/>
        </w:rPr>
        <w:t>presupuestos</w:t>
      </w:r>
      <w:r>
        <w:rPr>
          <w:spacing w:val="-4"/>
          <w:sz w:val="22"/>
        </w:rPr>
        <w:t> </w:t>
      </w:r>
      <w:r>
        <w:rPr>
          <w:spacing w:val="-2"/>
          <w:sz w:val="22"/>
        </w:rPr>
        <w:t>extraordinarios</w:t>
      </w:r>
    </w:p>
    <w:p>
      <w:pPr>
        <w:pStyle w:val="BodyText"/>
        <w:spacing w:before="74"/>
      </w:pPr>
    </w:p>
    <w:p>
      <w:pPr>
        <w:pStyle w:val="BodyText"/>
        <w:spacing w:line="276" w:lineRule="auto" w:before="1"/>
        <w:ind w:left="730" w:right="1001"/>
      </w:pPr>
      <w:r>
        <w:rPr/>
        <w:t>Incluyen</w:t>
      </w:r>
      <w:r>
        <w:rPr>
          <w:spacing w:val="-4"/>
        </w:rPr>
        <w:t> </w:t>
      </w:r>
      <w:r>
        <w:rPr/>
        <w:t>variaciones</w:t>
      </w:r>
      <w:r>
        <w:rPr>
          <w:spacing w:val="-3"/>
        </w:rPr>
        <w:t> </w:t>
      </w:r>
      <w:r>
        <w:rPr/>
        <w:t>derivadas</w:t>
      </w:r>
      <w:r>
        <w:rPr>
          <w:spacing w:val="-3"/>
        </w:rPr>
        <w:t> </w:t>
      </w:r>
      <w:r>
        <w:rPr/>
        <w:t>de</w:t>
      </w:r>
      <w:r>
        <w:rPr>
          <w:spacing w:val="-6"/>
        </w:rPr>
        <w:t> </w:t>
      </w:r>
      <w:r>
        <w:rPr/>
        <w:t>la</w:t>
      </w:r>
      <w:r>
        <w:rPr>
          <w:spacing w:val="-6"/>
        </w:rPr>
        <w:t> </w:t>
      </w:r>
      <w:r>
        <w:rPr/>
        <w:t>incorporación</w:t>
      </w:r>
      <w:r>
        <w:rPr>
          <w:spacing w:val="-4"/>
        </w:rPr>
        <w:t> </w:t>
      </w:r>
      <w:r>
        <w:rPr/>
        <w:t>de</w:t>
      </w:r>
      <w:r>
        <w:rPr>
          <w:spacing w:val="-6"/>
        </w:rPr>
        <w:t> </w:t>
      </w:r>
      <w:r>
        <w:rPr/>
        <w:t>presupuestos</w:t>
      </w:r>
      <w:r>
        <w:rPr>
          <w:spacing w:val="-3"/>
        </w:rPr>
        <w:t> </w:t>
      </w:r>
      <w:r>
        <w:rPr/>
        <w:t>extraordinarios,</w:t>
      </w:r>
      <w:r>
        <w:rPr>
          <w:spacing w:val="-4"/>
        </w:rPr>
        <w:t> </w:t>
      </w:r>
      <w:r>
        <w:rPr/>
        <w:t>principalmente </w:t>
      </w:r>
      <w:r>
        <w:rPr>
          <w:spacing w:val="-4"/>
        </w:rPr>
        <w:t>por:</w:t>
      </w:r>
    </w:p>
    <w:p>
      <w:pPr>
        <w:pStyle w:val="ListParagraph"/>
        <w:numPr>
          <w:ilvl w:val="2"/>
          <w:numId w:val="96"/>
        </w:numPr>
        <w:tabs>
          <w:tab w:pos="1449" w:val="left" w:leader="none"/>
        </w:tabs>
        <w:spacing w:line="257" w:lineRule="exact" w:before="0" w:after="0"/>
        <w:ind w:left="1449" w:right="0" w:hanging="359"/>
        <w:jc w:val="left"/>
        <w:rPr>
          <w:sz w:val="22"/>
        </w:rPr>
      </w:pPr>
      <w:r>
        <w:rPr>
          <w:sz w:val="22"/>
        </w:rPr>
        <w:t>superávits</w:t>
      </w:r>
      <w:r>
        <w:rPr>
          <w:spacing w:val="-4"/>
          <w:sz w:val="22"/>
        </w:rPr>
        <w:t> </w:t>
      </w:r>
      <w:r>
        <w:rPr>
          <w:sz w:val="22"/>
        </w:rPr>
        <w:t>específicos</w:t>
      </w:r>
      <w:r>
        <w:rPr>
          <w:spacing w:val="-4"/>
          <w:sz w:val="22"/>
        </w:rPr>
        <w:t> </w:t>
      </w:r>
      <w:r>
        <w:rPr>
          <w:sz w:val="22"/>
        </w:rPr>
        <w:t>y</w:t>
      </w:r>
      <w:r>
        <w:rPr>
          <w:spacing w:val="-5"/>
          <w:sz w:val="22"/>
        </w:rPr>
        <w:t> </w:t>
      </w:r>
      <w:r>
        <w:rPr>
          <w:spacing w:val="-2"/>
          <w:sz w:val="22"/>
        </w:rPr>
        <w:t>libres;</w:t>
      </w:r>
    </w:p>
    <w:p>
      <w:pPr>
        <w:pStyle w:val="ListParagraph"/>
        <w:numPr>
          <w:ilvl w:val="2"/>
          <w:numId w:val="96"/>
        </w:numPr>
        <w:tabs>
          <w:tab w:pos="1449" w:val="left" w:leader="none"/>
        </w:tabs>
        <w:spacing w:line="240" w:lineRule="auto" w:before="39" w:after="0"/>
        <w:ind w:left="1449" w:right="0" w:hanging="359"/>
        <w:jc w:val="left"/>
        <w:rPr>
          <w:sz w:val="22"/>
        </w:rPr>
      </w:pPr>
      <w:r>
        <w:rPr>
          <w:sz w:val="22"/>
        </w:rPr>
        <w:t>reintegros</w:t>
      </w:r>
      <w:r>
        <w:rPr>
          <w:spacing w:val="-4"/>
          <w:sz w:val="22"/>
        </w:rPr>
        <w:t> </w:t>
      </w:r>
      <w:r>
        <w:rPr>
          <w:sz w:val="22"/>
        </w:rPr>
        <w:t>y</w:t>
      </w:r>
      <w:r>
        <w:rPr>
          <w:spacing w:val="-4"/>
          <w:sz w:val="22"/>
        </w:rPr>
        <w:t> </w:t>
      </w:r>
      <w:r>
        <w:rPr>
          <w:sz w:val="22"/>
        </w:rPr>
        <w:t>devoluciones;</w:t>
      </w:r>
      <w:r>
        <w:rPr>
          <w:spacing w:val="-4"/>
          <w:sz w:val="22"/>
        </w:rPr>
        <w:t> </w:t>
      </w:r>
      <w:r>
        <w:rPr>
          <w:spacing w:val="-10"/>
          <w:sz w:val="22"/>
        </w:rPr>
        <w:t>y</w:t>
      </w:r>
    </w:p>
    <w:p>
      <w:pPr>
        <w:pStyle w:val="ListParagraph"/>
        <w:numPr>
          <w:ilvl w:val="2"/>
          <w:numId w:val="96"/>
        </w:numPr>
        <w:tabs>
          <w:tab w:pos="1449" w:val="left" w:leader="none"/>
        </w:tabs>
        <w:spacing w:line="240" w:lineRule="auto" w:before="37" w:after="0"/>
        <w:ind w:left="1449" w:right="0" w:hanging="359"/>
        <w:jc w:val="left"/>
        <w:rPr>
          <w:sz w:val="22"/>
        </w:rPr>
      </w:pPr>
      <w:r>
        <w:rPr>
          <w:sz w:val="22"/>
        </w:rPr>
        <w:t>transferencias</w:t>
      </w:r>
      <w:r>
        <w:rPr>
          <w:spacing w:val="-3"/>
          <w:sz w:val="22"/>
        </w:rPr>
        <w:t> </w:t>
      </w:r>
      <w:r>
        <w:rPr>
          <w:sz w:val="22"/>
        </w:rPr>
        <w:t>de</w:t>
      </w:r>
      <w:r>
        <w:rPr>
          <w:spacing w:val="-5"/>
          <w:sz w:val="22"/>
        </w:rPr>
        <w:t> </w:t>
      </w:r>
      <w:r>
        <w:rPr>
          <w:spacing w:val="-2"/>
          <w:sz w:val="22"/>
        </w:rPr>
        <w:t>capital.</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6672">
                <wp:simplePos x="0" y="0"/>
                <wp:positionH relativeFrom="page">
                  <wp:posOffset>9525</wp:posOffset>
                </wp:positionH>
                <wp:positionV relativeFrom="page">
                  <wp:posOffset>297208</wp:posOffset>
                </wp:positionV>
                <wp:extent cx="7762875" cy="9748520"/>
                <wp:effectExtent l="0" t="0" r="0" b="0"/>
                <wp:wrapNone/>
                <wp:docPr id="1147" name="Group 1147"/>
                <wp:cNvGraphicFramePr>
                  <a:graphicFrameLocks/>
                </wp:cNvGraphicFramePr>
                <a:graphic>
                  <a:graphicData uri="http://schemas.microsoft.com/office/word/2010/wordprocessingGroup">
                    <wpg:wgp>
                      <wpg:cNvPr id="1147" name="Group 1147"/>
                      <wpg:cNvGrpSpPr/>
                      <wpg:grpSpPr>
                        <a:xfrm>
                          <a:off x="0" y="0"/>
                          <a:ext cx="7762875" cy="9748520"/>
                          <a:chExt cx="7762875" cy="9748520"/>
                        </a:xfrm>
                      </wpg:grpSpPr>
                      <pic:pic>
                        <pic:nvPicPr>
                          <pic:cNvPr id="1148" name="Image 1148"/>
                          <pic:cNvPicPr/>
                        </pic:nvPicPr>
                        <pic:blipFill>
                          <a:blip r:embed="rId5" cstate="print"/>
                          <a:stretch>
                            <a:fillRect/>
                          </a:stretch>
                        </pic:blipFill>
                        <pic:spPr>
                          <a:xfrm>
                            <a:off x="0" y="0"/>
                            <a:ext cx="7762874" cy="9748489"/>
                          </a:xfrm>
                          <a:prstGeom prst="rect">
                            <a:avLst/>
                          </a:prstGeom>
                        </pic:spPr>
                      </pic:pic>
                      <wps:wsp>
                        <wps:cNvPr id="1149" name="Graphic 1149"/>
                        <wps:cNvSpPr/>
                        <wps:spPr>
                          <a:xfrm>
                            <a:off x="1053007" y="990837"/>
                            <a:ext cx="5736590" cy="4743450"/>
                          </a:xfrm>
                          <a:custGeom>
                            <a:avLst/>
                            <a:gdLst/>
                            <a:ahLst/>
                            <a:cxnLst/>
                            <a:rect l="l" t="t" r="r" b="b"/>
                            <a:pathLst>
                              <a:path w="5736590" h="4743450">
                                <a:moveTo>
                                  <a:pt x="5649214" y="0"/>
                                </a:moveTo>
                                <a:lnTo>
                                  <a:pt x="0" y="0"/>
                                </a:lnTo>
                                <a:lnTo>
                                  <a:pt x="0" y="9131"/>
                                </a:lnTo>
                                <a:lnTo>
                                  <a:pt x="5649214" y="9131"/>
                                </a:lnTo>
                                <a:lnTo>
                                  <a:pt x="5649214" y="0"/>
                                </a:lnTo>
                                <a:close/>
                              </a:path>
                              <a:path w="5736590" h="4743450">
                                <a:moveTo>
                                  <a:pt x="5736018" y="126479"/>
                                </a:moveTo>
                                <a:lnTo>
                                  <a:pt x="5729986" y="126479"/>
                                </a:lnTo>
                                <a:lnTo>
                                  <a:pt x="5729935" y="132575"/>
                                </a:lnTo>
                                <a:lnTo>
                                  <a:pt x="5729935" y="4737214"/>
                                </a:lnTo>
                                <a:lnTo>
                                  <a:pt x="21336" y="4737214"/>
                                </a:lnTo>
                                <a:lnTo>
                                  <a:pt x="21336" y="132575"/>
                                </a:lnTo>
                                <a:lnTo>
                                  <a:pt x="5729935" y="132575"/>
                                </a:lnTo>
                                <a:lnTo>
                                  <a:pt x="5729935" y="126479"/>
                                </a:lnTo>
                                <a:lnTo>
                                  <a:pt x="21336" y="126479"/>
                                </a:lnTo>
                                <a:lnTo>
                                  <a:pt x="15240" y="126479"/>
                                </a:lnTo>
                                <a:lnTo>
                                  <a:pt x="15240" y="132575"/>
                                </a:lnTo>
                                <a:lnTo>
                                  <a:pt x="15240" y="4737214"/>
                                </a:lnTo>
                                <a:lnTo>
                                  <a:pt x="15240" y="4743310"/>
                                </a:lnTo>
                                <a:lnTo>
                                  <a:pt x="21336" y="4743310"/>
                                </a:lnTo>
                                <a:lnTo>
                                  <a:pt x="5729935" y="4743310"/>
                                </a:lnTo>
                                <a:lnTo>
                                  <a:pt x="5736018" y="4743310"/>
                                </a:lnTo>
                                <a:lnTo>
                                  <a:pt x="5736018" y="4737214"/>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9808" id="docshapegroup1091" coordorigin="15,468" coordsize="12225,15352">
                <v:shape style="position:absolute;left:15;top:468;width:12225;height:15352" type="#_x0000_t75" id="docshape1092" stroked="false">
                  <v:imagedata r:id="rId5" o:title=""/>
                </v:shape>
                <v:shape style="position:absolute;left:1673;top:2028;width:9034;height:7470" id="docshape1093" coordorigin="1673,2028" coordsize="9034,7470" path="m10570,2028l1673,2028,1673,2043,10570,2043,10570,2028xm10706,2228l10697,2228,10697,2228,10697,2237,10697,9489,1707,9489,1707,2237,10697,2237,10697,2228,1707,2228,1697,2228,1697,2237,1697,9489,1697,9498,1707,9498,10697,9498,10697,9498,10706,9498,10706,9489,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222</w:t>
      </w:r>
    </w:p>
    <w:p>
      <w:pPr>
        <w:pStyle w:val="BodyText"/>
        <w:spacing w:line="276" w:lineRule="auto" w:before="227"/>
        <w:ind w:left="730" w:right="1464"/>
        <w:jc w:val="both"/>
      </w:pPr>
      <w:r>
        <w:rPr/>
        <w:t>Estas</w:t>
      </w:r>
      <w:r>
        <w:rPr>
          <w:spacing w:val="-4"/>
        </w:rPr>
        <w:t> </w:t>
      </w:r>
      <w:r>
        <w:rPr/>
        <w:t>incorporaciones</w:t>
      </w:r>
      <w:r>
        <w:rPr>
          <w:spacing w:val="-6"/>
        </w:rPr>
        <w:t> </w:t>
      </w:r>
      <w:r>
        <w:rPr/>
        <w:t>modificaron</w:t>
      </w:r>
      <w:r>
        <w:rPr>
          <w:spacing w:val="-4"/>
        </w:rPr>
        <w:t> </w:t>
      </w:r>
      <w:r>
        <w:rPr/>
        <w:t>el</w:t>
      </w:r>
      <w:r>
        <w:rPr>
          <w:spacing w:val="-4"/>
        </w:rPr>
        <w:t> </w:t>
      </w:r>
      <w:r>
        <w:rPr/>
        <w:t>presupuesto</w:t>
      </w:r>
      <w:r>
        <w:rPr>
          <w:spacing w:val="-6"/>
        </w:rPr>
        <w:t> </w:t>
      </w:r>
      <w:r>
        <w:rPr/>
        <w:t>formulado</w:t>
      </w:r>
      <w:r>
        <w:rPr>
          <w:spacing w:val="-4"/>
        </w:rPr>
        <w:t> </w:t>
      </w:r>
      <w:r>
        <w:rPr/>
        <w:t>respecto</w:t>
      </w:r>
      <w:r>
        <w:rPr>
          <w:spacing w:val="-4"/>
        </w:rPr>
        <w:t> </w:t>
      </w:r>
      <w:r>
        <w:rPr/>
        <w:t>del</w:t>
      </w:r>
      <w:r>
        <w:rPr>
          <w:spacing w:val="-4"/>
        </w:rPr>
        <w:t> </w:t>
      </w:r>
      <w:r>
        <w:rPr/>
        <w:t>presupuesto</w:t>
      </w:r>
      <w:r>
        <w:rPr>
          <w:spacing w:val="-3"/>
        </w:rPr>
        <w:t> </w:t>
      </w:r>
      <w:r>
        <w:rPr/>
        <w:t>inicial</w:t>
      </w:r>
      <w:r>
        <w:rPr>
          <w:spacing w:val="-4"/>
        </w:rPr>
        <w:t> </w:t>
      </w:r>
      <w:r>
        <w:rPr/>
        <w:t>y explican</w:t>
      </w:r>
      <w:r>
        <w:rPr>
          <w:spacing w:val="-1"/>
        </w:rPr>
        <w:t> </w:t>
      </w:r>
      <w:r>
        <w:rPr/>
        <w:t>parte</w:t>
      </w:r>
      <w:r>
        <w:rPr>
          <w:spacing w:val="-2"/>
        </w:rPr>
        <w:t> </w:t>
      </w:r>
      <w:r>
        <w:rPr/>
        <w:t>de</w:t>
      </w:r>
      <w:r>
        <w:rPr>
          <w:spacing w:val="-3"/>
        </w:rPr>
        <w:t> </w:t>
      </w:r>
      <w:r>
        <w:rPr/>
        <w:t>las diferencias observadas entre</w:t>
      </w:r>
      <w:r>
        <w:rPr>
          <w:spacing w:val="-1"/>
        </w:rPr>
        <w:t> </w:t>
      </w:r>
      <w:r>
        <w:rPr/>
        <w:t>los importes presupuestados y</w:t>
      </w:r>
      <w:r>
        <w:rPr>
          <w:spacing w:val="-2"/>
        </w:rPr>
        <w:t> </w:t>
      </w:r>
      <w:r>
        <w:rPr/>
        <w:t>los</w:t>
      </w:r>
      <w:r>
        <w:rPr>
          <w:spacing w:val="-3"/>
        </w:rPr>
        <w:t> </w:t>
      </w:r>
      <w:r>
        <w:rPr/>
        <w:t>realizados, conforme a lo revelado en la nota e) Presupuestos Extraordinarios.</w:t>
      </w:r>
    </w:p>
    <w:p>
      <w:pPr>
        <w:pStyle w:val="BodyText"/>
        <w:spacing w:before="38"/>
      </w:pPr>
    </w:p>
    <w:p>
      <w:pPr>
        <w:pStyle w:val="ListParagraph"/>
        <w:numPr>
          <w:ilvl w:val="1"/>
          <w:numId w:val="96"/>
        </w:numPr>
        <w:tabs>
          <w:tab w:pos="944" w:val="left" w:leader="none"/>
        </w:tabs>
        <w:spacing w:line="552" w:lineRule="auto" w:before="0" w:after="0"/>
        <w:ind w:left="730" w:right="3429" w:firstLine="0"/>
        <w:jc w:val="left"/>
        <w:rPr>
          <w:sz w:val="22"/>
        </w:rPr>
      </w:pPr>
      <w:r>
        <w:rPr>
          <w:sz w:val="22"/>
        </w:rPr>
        <w:t>Diferencias por modificaciones presupuestarias internas</w:t>
      </w:r>
      <w:r>
        <w:rPr>
          <w:spacing w:val="40"/>
          <w:sz w:val="22"/>
        </w:rPr>
        <w:t> </w:t>
      </w:r>
      <w:r>
        <w:rPr>
          <w:sz w:val="22"/>
        </w:rPr>
        <w:t>Comprenden</w:t>
      </w:r>
      <w:r>
        <w:rPr>
          <w:spacing w:val="-5"/>
          <w:sz w:val="22"/>
        </w:rPr>
        <w:t> </w:t>
      </w:r>
      <w:r>
        <w:rPr>
          <w:sz w:val="22"/>
        </w:rPr>
        <w:t>ajustes</w:t>
      </w:r>
      <w:r>
        <w:rPr>
          <w:spacing w:val="-5"/>
          <w:sz w:val="22"/>
        </w:rPr>
        <w:t> </w:t>
      </w:r>
      <w:r>
        <w:rPr>
          <w:sz w:val="22"/>
        </w:rPr>
        <w:t>internos</w:t>
      </w:r>
      <w:r>
        <w:rPr>
          <w:spacing w:val="-5"/>
          <w:sz w:val="22"/>
        </w:rPr>
        <w:t> </w:t>
      </w:r>
      <w:r>
        <w:rPr>
          <w:sz w:val="22"/>
        </w:rPr>
        <w:t>realizados</w:t>
      </w:r>
      <w:r>
        <w:rPr>
          <w:spacing w:val="-5"/>
          <w:sz w:val="22"/>
        </w:rPr>
        <w:t> </w:t>
      </w:r>
      <w:r>
        <w:rPr>
          <w:sz w:val="22"/>
        </w:rPr>
        <w:t>durante</w:t>
      </w:r>
      <w:r>
        <w:rPr>
          <w:spacing w:val="-5"/>
          <w:sz w:val="22"/>
        </w:rPr>
        <w:t> </w:t>
      </w:r>
      <w:r>
        <w:rPr>
          <w:sz w:val="22"/>
        </w:rPr>
        <w:t>el</w:t>
      </w:r>
      <w:r>
        <w:rPr>
          <w:spacing w:val="-5"/>
          <w:sz w:val="22"/>
        </w:rPr>
        <w:t> </w:t>
      </w:r>
      <w:r>
        <w:rPr>
          <w:sz w:val="22"/>
        </w:rPr>
        <w:t>ejercicio,</w:t>
      </w:r>
      <w:r>
        <w:rPr>
          <w:spacing w:val="-5"/>
          <w:sz w:val="22"/>
        </w:rPr>
        <w:t> </w:t>
      </w:r>
      <w:r>
        <w:rPr>
          <w:sz w:val="22"/>
        </w:rPr>
        <w:t>tales</w:t>
      </w:r>
      <w:r>
        <w:rPr>
          <w:spacing w:val="-5"/>
          <w:sz w:val="22"/>
        </w:rPr>
        <w:t> </w:t>
      </w:r>
      <w:r>
        <w:rPr>
          <w:sz w:val="22"/>
        </w:rPr>
        <w:t>como:</w:t>
      </w:r>
    </w:p>
    <w:p>
      <w:pPr>
        <w:pStyle w:val="ListParagraph"/>
        <w:numPr>
          <w:ilvl w:val="2"/>
          <w:numId w:val="96"/>
        </w:numPr>
        <w:tabs>
          <w:tab w:pos="1449" w:val="left" w:leader="none"/>
        </w:tabs>
        <w:spacing w:line="240" w:lineRule="auto" w:before="0" w:after="0"/>
        <w:ind w:left="1449" w:right="0" w:hanging="359"/>
        <w:jc w:val="left"/>
        <w:rPr>
          <w:sz w:val="22"/>
        </w:rPr>
      </w:pPr>
      <w:r>
        <w:rPr>
          <w:sz w:val="22"/>
        </w:rPr>
        <w:t>reorientaciones</w:t>
      </w:r>
      <w:r>
        <w:rPr>
          <w:spacing w:val="-4"/>
          <w:sz w:val="22"/>
        </w:rPr>
        <w:t> </w:t>
      </w:r>
      <w:r>
        <w:rPr>
          <w:sz w:val="22"/>
        </w:rPr>
        <w:t>de</w:t>
      </w:r>
      <w:r>
        <w:rPr>
          <w:spacing w:val="-6"/>
          <w:sz w:val="22"/>
        </w:rPr>
        <w:t> </w:t>
      </w:r>
      <w:r>
        <w:rPr>
          <w:sz w:val="22"/>
        </w:rPr>
        <w:t>recursos</w:t>
      </w:r>
      <w:r>
        <w:rPr>
          <w:spacing w:val="-6"/>
          <w:sz w:val="22"/>
        </w:rPr>
        <w:t> </w:t>
      </w:r>
      <w:r>
        <w:rPr>
          <w:sz w:val="22"/>
        </w:rPr>
        <w:t>entre</w:t>
      </w:r>
      <w:r>
        <w:rPr>
          <w:spacing w:val="-4"/>
          <w:sz w:val="22"/>
        </w:rPr>
        <w:t> </w:t>
      </w:r>
      <w:r>
        <w:rPr>
          <w:spacing w:val="-2"/>
          <w:sz w:val="22"/>
        </w:rPr>
        <w:t>partidas;</w:t>
      </w:r>
    </w:p>
    <w:p>
      <w:pPr>
        <w:pStyle w:val="ListParagraph"/>
        <w:numPr>
          <w:ilvl w:val="2"/>
          <w:numId w:val="96"/>
        </w:numPr>
        <w:tabs>
          <w:tab w:pos="1450" w:val="left" w:leader="none"/>
        </w:tabs>
        <w:spacing w:line="273" w:lineRule="auto" w:before="40" w:after="0"/>
        <w:ind w:left="1450" w:right="927" w:hanging="360"/>
        <w:jc w:val="left"/>
        <w:rPr>
          <w:sz w:val="22"/>
        </w:rPr>
      </w:pPr>
      <w:r>
        <w:rPr>
          <w:sz w:val="22"/>
        </w:rPr>
        <w:t>modificaciones</w:t>
      </w:r>
      <w:r>
        <w:rPr>
          <w:spacing w:val="-8"/>
          <w:sz w:val="22"/>
        </w:rPr>
        <w:t> </w:t>
      </w:r>
      <w:r>
        <w:rPr>
          <w:sz w:val="22"/>
        </w:rPr>
        <w:t>positivas</w:t>
      </w:r>
      <w:r>
        <w:rPr>
          <w:spacing w:val="-8"/>
          <w:sz w:val="22"/>
        </w:rPr>
        <w:t> </w:t>
      </w:r>
      <w:r>
        <w:rPr>
          <w:sz w:val="22"/>
        </w:rPr>
        <w:t>y</w:t>
      </w:r>
      <w:r>
        <w:rPr>
          <w:spacing w:val="-10"/>
          <w:sz w:val="22"/>
        </w:rPr>
        <w:t> </w:t>
      </w:r>
      <w:r>
        <w:rPr>
          <w:sz w:val="22"/>
        </w:rPr>
        <w:t>negativas</w:t>
      </w:r>
      <w:r>
        <w:rPr>
          <w:spacing w:val="-8"/>
          <w:sz w:val="22"/>
        </w:rPr>
        <w:t> </w:t>
      </w:r>
      <w:r>
        <w:rPr>
          <w:sz w:val="22"/>
        </w:rPr>
        <w:t>en</w:t>
      </w:r>
      <w:r>
        <w:rPr>
          <w:spacing w:val="-9"/>
          <w:sz w:val="22"/>
        </w:rPr>
        <w:t> </w:t>
      </w:r>
      <w:r>
        <w:rPr>
          <w:sz w:val="22"/>
        </w:rPr>
        <w:t>servicios,</w:t>
      </w:r>
      <w:r>
        <w:rPr>
          <w:spacing w:val="-11"/>
          <w:sz w:val="22"/>
        </w:rPr>
        <w:t> </w:t>
      </w:r>
      <w:r>
        <w:rPr>
          <w:sz w:val="22"/>
        </w:rPr>
        <w:t>materiales,</w:t>
      </w:r>
      <w:r>
        <w:rPr>
          <w:spacing w:val="-9"/>
          <w:sz w:val="22"/>
        </w:rPr>
        <w:t> </w:t>
      </w:r>
      <w:r>
        <w:rPr>
          <w:sz w:val="22"/>
        </w:rPr>
        <w:t>bienes</w:t>
      </w:r>
      <w:r>
        <w:rPr>
          <w:spacing w:val="-8"/>
          <w:sz w:val="22"/>
        </w:rPr>
        <w:t> </w:t>
      </w:r>
      <w:r>
        <w:rPr>
          <w:sz w:val="22"/>
        </w:rPr>
        <w:t>duraderos</w:t>
      </w:r>
      <w:r>
        <w:rPr>
          <w:spacing w:val="-8"/>
          <w:sz w:val="22"/>
        </w:rPr>
        <w:t> </w:t>
      </w:r>
      <w:r>
        <w:rPr>
          <w:sz w:val="22"/>
        </w:rPr>
        <w:t>y</w:t>
      </w:r>
      <w:r>
        <w:rPr>
          <w:spacing w:val="-10"/>
          <w:sz w:val="22"/>
        </w:rPr>
        <w:t> </w:t>
      </w:r>
      <w:r>
        <w:rPr>
          <w:sz w:val="22"/>
        </w:rPr>
        <w:t>transferencias corrientes; y</w:t>
      </w:r>
    </w:p>
    <w:p>
      <w:pPr>
        <w:pStyle w:val="ListParagraph"/>
        <w:numPr>
          <w:ilvl w:val="2"/>
          <w:numId w:val="96"/>
        </w:numPr>
        <w:tabs>
          <w:tab w:pos="1449" w:val="left" w:leader="none"/>
        </w:tabs>
        <w:spacing w:line="240" w:lineRule="auto" w:before="4" w:after="0"/>
        <w:ind w:left="1449" w:right="0" w:hanging="359"/>
        <w:jc w:val="left"/>
        <w:rPr>
          <w:sz w:val="22"/>
        </w:rPr>
      </w:pPr>
      <w:r>
        <w:rPr>
          <w:sz w:val="22"/>
        </w:rPr>
        <w:t>reprogramaciones</w:t>
      </w:r>
      <w:r>
        <w:rPr>
          <w:spacing w:val="-9"/>
          <w:sz w:val="22"/>
        </w:rPr>
        <w:t> </w:t>
      </w:r>
      <w:r>
        <w:rPr>
          <w:sz w:val="22"/>
        </w:rPr>
        <w:t>autorizadas</w:t>
      </w:r>
      <w:r>
        <w:rPr>
          <w:spacing w:val="-7"/>
          <w:sz w:val="22"/>
        </w:rPr>
        <w:t> </w:t>
      </w:r>
      <w:r>
        <w:rPr>
          <w:sz w:val="22"/>
        </w:rPr>
        <w:t>para</w:t>
      </w:r>
      <w:r>
        <w:rPr>
          <w:spacing w:val="-9"/>
          <w:sz w:val="22"/>
        </w:rPr>
        <w:t> </w:t>
      </w:r>
      <w:r>
        <w:rPr>
          <w:sz w:val="22"/>
        </w:rPr>
        <w:t>atender</w:t>
      </w:r>
      <w:r>
        <w:rPr>
          <w:spacing w:val="-7"/>
          <w:sz w:val="22"/>
        </w:rPr>
        <w:t> </w:t>
      </w:r>
      <w:r>
        <w:rPr>
          <w:sz w:val="22"/>
        </w:rPr>
        <w:t>prioridades</w:t>
      </w:r>
      <w:r>
        <w:rPr>
          <w:spacing w:val="-9"/>
          <w:sz w:val="22"/>
        </w:rPr>
        <w:t> </w:t>
      </w:r>
      <w:r>
        <w:rPr>
          <w:spacing w:val="-2"/>
          <w:sz w:val="22"/>
        </w:rPr>
        <w:t>institucionales.</w:t>
      </w:r>
    </w:p>
    <w:p>
      <w:pPr>
        <w:pStyle w:val="BodyText"/>
        <w:spacing w:before="76"/>
      </w:pPr>
    </w:p>
    <w:p>
      <w:pPr>
        <w:pStyle w:val="ListParagraph"/>
        <w:numPr>
          <w:ilvl w:val="1"/>
          <w:numId w:val="96"/>
        </w:numPr>
        <w:tabs>
          <w:tab w:pos="889" w:val="left" w:leader="none"/>
        </w:tabs>
        <w:spacing w:line="240" w:lineRule="auto" w:before="1" w:after="0"/>
        <w:ind w:left="889" w:right="0" w:hanging="159"/>
        <w:jc w:val="left"/>
        <w:rPr>
          <w:sz w:val="22"/>
        </w:rPr>
      </w:pPr>
      <w:r>
        <w:rPr>
          <w:sz w:val="22"/>
        </w:rPr>
        <w:t>Diferencias</w:t>
      </w:r>
      <w:r>
        <w:rPr>
          <w:spacing w:val="-4"/>
          <w:sz w:val="22"/>
        </w:rPr>
        <w:t> </w:t>
      </w:r>
      <w:r>
        <w:rPr>
          <w:sz w:val="22"/>
        </w:rPr>
        <w:t>por</w:t>
      </w:r>
      <w:r>
        <w:rPr>
          <w:spacing w:val="-4"/>
          <w:sz w:val="22"/>
        </w:rPr>
        <w:t> </w:t>
      </w:r>
      <w:r>
        <w:rPr>
          <w:spacing w:val="-2"/>
          <w:sz w:val="22"/>
        </w:rPr>
        <w:t>temporización</w:t>
      </w:r>
    </w:p>
    <w:p>
      <w:pPr>
        <w:pStyle w:val="BodyText"/>
        <w:spacing w:before="234"/>
      </w:pPr>
    </w:p>
    <w:p>
      <w:pPr>
        <w:pStyle w:val="BodyText"/>
        <w:spacing w:line="276" w:lineRule="auto" w:before="1"/>
        <w:ind w:left="730" w:right="1001"/>
      </w:pPr>
      <w:r>
        <w:rPr/>
        <w:t>Incluyen variaciones asociadas al momento de reconocimiento de ingresos y egresos dentro del periodo,</w:t>
      </w:r>
      <w:r>
        <w:rPr>
          <w:spacing w:val="-3"/>
        </w:rPr>
        <w:t> </w:t>
      </w:r>
      <w:r>
        <w:rPr/>
        <w:t>particularmente</w:t>
      </w:r>
      <w:r>
        <w:rPr>
          <w:spacing w:val="-4"/>
        </w:rPr>
        <w:t> </w:t>
      </w:r>
      <w:r>
        <w:rPr/>
        <w:t>en</w:t>
      </w:r>
      <w:r>
        <w:rPr>
          <w:spacing w:val="-3"/>
        </w:rPr>
        <w:t> </w:t>
      </w:r>
      <w:r>
        <w:rPr/>
        <w:t>operaciones</w:t>
      </w:r>
      <w:r>
        <w:rPr>
          <w:spacing w:val="-2"/>
        </w:rPr>
        <w:t> </w:t>
      </w:r>
      <w:r>
        <w:rPr/>
        <w:t>cuya</w:t>
      </w:r>
      <w:r>
        <w:rPr>
          <w:spacing w:val="-4"/>
        </w:rPr>
        <w:t> </w:t>
      </w:r>
      <w:r>
        <w:rPr/>
        <w:t>materialización</w:t>
      </w:r>
      <w:r>
        <w:rPr>
          <w:spacing w:val="-3"/>
        </w:rPr>
        <w:t> </w:t>
      </w:r>
      <w:r>
        <w:rPr/>
        <w:t>ocurre</w:t>
      </w:r>
      <w:r>
        <w:rPr>
          <w:spacing w:val="-5"/>
        </w:rPr>
        <w:t> </w:t>
      </w:r>
      <w:r>
        <w:rPr/>
        <w:t>hacia</w:t>
      </w:r>
      <w:r>
        <w:rPr>
          <w:spacing w:val="-4"/>
        </w:rPr>
        <w:t> </w:t>
      </w:r>
      <w:r>
        <w:rPr/>
        <w:t>el</w:t>
      </w:r>
      <w:r>
        <w:rPr>
          <w:spacing w:val="-3"/>
        </w:rPr>
        <w:t> </w:t>
      </w:r>
      <w:r>
        <w:rPr/>
        <w:t>cierre</w:t>
      </w:r>
      <w:r>
        <w:rPr>
          <w:spacing w:val="-2"/>
        </w:rPr>
        <w:t> </w:t>
      </w:r>
      <w:r>
        <w:rPr/>
        <w:t>del</w:t>
      </w:r>
      <w:r>
        <w:rPr>
          <w:spacing w:val="-3"/>
        </w:rPr>
        <w:t> </w:t>
      </w:r>
      <w:r>
        <w:rPr/>
        <w:t>ejercicio</w:t>
      </w:r>
      <w:r>
        <w:rPr>
          <w:spacing w:val="-3"/>
        </w:rPr>
        <w:t> </w:t>
      </w:r>
      <w:r>
        <w:rPr/>
        <w:t>y cuyo impacto financiero o de efectivo se refleja en periodos posteriores.</w:t>
      </w:r>
    </w:p>
    <w:p>
      <w:pPr>
        <w:pStyle w:val="BodyText"/>
        <w:spacing w:line="278" w:lineRule="auto"/>
        <w:ind w:left="730" w:right="1001"/>
      </w:pPr>
      <w:r>
        <w:rPr/>
        <w:t>Estas</w:t>
      </w:r>
      <w:r>
        <w:rPr>
          <w:spacing w:val="-4"/>
        </w:rPr>
        <w:t> </w:t>
      </w:r>
      <w:r>
        <w:rPr/>
        <w:t>diferencias</w:t>
      </w:r>
      <w:r>
        <w:rPr>
          <w:spacing w:val="-3"/>
        </w:rPr>
        <w:t> </w:t>
      </w:r>
      <w:r>
        <w:rPr/>
        <w:t>reflejan</w:t>
      </w:r>
      <w:r>
        <w:rPr>
          <w:spacing w:val="-4"/>
        </w:rPr>
        <w:t> </w:t>
      </w:r>
      <w:r>
        <w:rPr/>
        <w:t>decisiones</w:t>
      </w:r>
      <w:r>
        <w:rPr>
          <w:spacing w:val="-3"/>
        </w:rPr>
        <w:t> </w:t>
      </w:r>
      <w:r>
        <w:rPr/>
        <w:t>de</w:t>
      </w:r>
      <w:r>
        <w:rPr>
          <w:spacing w:val="-6"/>
        </w:rPr>
        <w:t> </w:t>
      </w:r>
      <w:r>
        <w:rPr/>
        <w:t>gestión</w:t>
      </w:r>
      <w:r>
        <w:rPr>
          <w:spacing w:val="-4"/>
        </w:rPr>
        <w:t> </w:t>
      </w:r>
      <w:r>
        <w:rPr/>
        <w:t>presupuestaria</w:t>
      </w:r>
      <w:r>
        <w:rPr>
          <w:spacing w:val="-5"/>
        </w:rPr>
        <w:t> </w:t>
      </w:r>
      <w:r>
        <w:rPr/>
        <w:t>y</w:t>
      </w:r>
      <w:r>
        <w:rPr>
          <w:spacing w:val="-5"/>
        </w:rPr>
        <w:t> </w:t>
      </w:r>
      <w:r>
        <w:rPr/>
        <w:t>se</w:t>
      </w:r>
      <w:r>
        <w:rPr>
          <w:spacing w:val="-5"/>
        </w:rPr>
        <w:t> </w:t>
      </w:r>
      <w:r>
        <w:rPr/>
        <w:t>encuentran</w:t>
      </w:r>
      <w:r>
        <w:rPr>
          <w:spacing w:val="-4"/>
        </w:rPr>
        <w:t> </w:t>
      </w:r>
      <w:r>
        <w:rPr/>
        <w:t>debidamente autorizadas y documentadas, conforme a la normativa aplicable.</w:t>
      </w:r>
    </w:p>
    <w:p>
      <w:pPr>
        <w:pStyle w:val="BodyText"/>
        <w:spacing w:before="31"/>
      </w:pPr>
    </w:p>
    <w:p>
      <w:pPr>
        <w:pStyle w:val="BodyText"/>
        <w:spacing w:line="276" w:lineRule="auto"/>
        <w:ind w:left="730" w:right="1001"/>
      </w:pPr>
      <w:r>
        <w:rPr/>
        <w:t>Estas</w:t>
      </w:r>
      <w:r>
        <w:rPr>
          <w:spacing w:val="-5"/>
        </w:rPr>
        <w:t> </w:t>
      </w:r>
      <w:r>
        <w:rPr/>
        <w:t>diferencias</w:t>
      </w:r>
      <w:r>
        <w:rPr>
          <w:spacing w:val="-6"/>
        </w:rPr>
        <w:t> </w:t>
      </w:r>
      <w:r>
        <w:rPr/>
        <w:t>no</w:t>
      </w:r>
      <w:r>
        <w:rPr>
          <w:spacing w:val="-5"/>
        </w:rPr>
        <w:t> </w:t>
      </w:r>
      <w:r>
        <w:rPr/>
        <w:t>constituyen</w:t>
      </w:r>
      <w:r>
        <w:rPr>
          <w:spacing w:val="-5"/>
        </w:rPr>
        <w:t> </w:t>
      </w:r>
      <w:r>
        <w:rPr/>
        <w:t>incumplimientos</w:t>
      </w:r>
      <w:r>
        <w:rPr>
          <w:spacing w:val="-4"/>
        </w:rPr>
        <w:t> </w:t>
      </w:r>
      <w:r>
        <w:rPr/>
        <w:t>presupuestarios,</w:t>
      </w:r>
      <w:r>
        <w:rPr>
          <w:spacing w:val="-5"/>
        </w:rPr>
        <w:t> </w:t>
      </w:r>
      <w:r>
        <w:rPr/>
        <w:t>sino</w:t>
      </w:r>
      <w:r>
        <w:rPr>
          <w:spacing w:val="-5"/>
        </w:rPr>
        <w:t> </w:t>
      </w:r>
      <w:r>
        <w:rPr/>
        <w:t>variaciones</w:t>
      </w:r>
      <w:r>
        <w:rPr>
          <w:spacing w:val="-6"/>
        </w:rPr>
        <w:t> </w:t>
      </w:r>
      <w:r>
        <w:rPr/>
        <w:t>normales</w:t>
      </w:r>
      <w:r>
        <w:rPr>
          <w:spacing w:val="-4"/>
        </w:rPr>
        <w:t> </w:t>
      </w:r>
      <w:r>
        <w:rPr/>
        <w:t>del proceso de ejecución.</w:t>
      </w:r>
    </w:p>
    <w:p>
      <w:pPr>
        <w:pStyle w:val="BodyText"/>
      </w:pPr>
    </w:p>
    <w:p>
      <w:pPr>
        <w:pStyle w:val="BodyText"/>
        <w:spacing w:before="191"/>
      </w:pPr>
    </w:p>
    <w:p>
      <w:pPr>
        <w:pStyle w:val="ListParagraph"/>
        <w:numPr>
          <w:ilvl w:val="0"/>
          <w:numId w:val="98"/>
        </w:numPr>
        <w:tabs>
          <w:tab w:pos="1341" w:val="left" w:leader="none"/>
        </w:tabs>
        <w:spacing w:line="240" w:lineRule="auto" w:before="0" w:after="0"/>
        <w:ind w:left="1341" w:right="0" w:hanging="360"/>
        <w:jc w:val="left"/>
        <w:rPr>
          <w:sz w:val="22"/>
        </w:rPr>
      </w:pPr>
      <w:r>
        <w:rPr>
          <w:sz w:val="22"/>
          <w:u w:val="single"/>
        </w:rPr>
        <w:t>Conciliación</w:t>
      </w:r>
      <w:r>
        <w:rPr>
          <w:spacing w:val="-8"/>
          <w:sz w:val="22"/>
          <w:u w:val="single"/>
        </w:rPr>
        <w:t> </w:t>
      </w:r>
      <w:r>
        <w:rPr>
          <w:sz w:val="22"/>
          <w:u w:val="single"/>
        </w:rPr>
        <w:t>de</w:t>
      </w:r>
      <w:r>
        <w:rPr>
          <w:spacing w:val="-5"/>
          <w:sz w:val="22"/>
          <w:u w:val="single"/>
        </w:rPr>
        <w:t> </w:t>
      </w:r>
      <w:r>
        <w:rPr>
          <w:sz w:val="22"/>
          <w:u w:val="single"/>
        </w:rPr>
        <w:t>flujos</w:t>
      </w:r>
      <w:r>
        <w:rPr>
          <w:spacing w:val="-4"/>
          <w:sz w:val="22"/>
          <w:u w:val="single"/>
        </w:rPr>
        <w:t> </w:t>
      </w:r>
      <w:r>
        <w:rPr>
          <w:sz w:val="22"/>
          <w:u w:val="single"/>
        </w:rPr>
        <w:t>de</w:t>
      </w:r>
      <w:r>
        <w:rPr>
          <w:spacing w:val="-5"/>
          <w:sz w:val="22"/>
          <w:u w:val="single"/>
        </w:rPr>
        <w:t> </w:t>
      </w:r>
      <w:r>
        <w:rPr>
          <w:sz w:val="22"/>
          <w:u w:val="single"/>
        </w:rPr>
        <w:t>efectivo</w:t>
      </w:r>
      <w:r>
        <w:rPr>
          <w:spacing w:val="-6"/>
          <w:sz w:val="22"/>
          <w:u w:val="single"/>
        </w:rPr>
        <w:t> </w:t>
      </w:r>
      <w:r>
        <w:rPr>
          <w:sz w:val="22"/>
          <w:u w:val="single"/>
        </w:rPr>
        <w:t>con</w:t>
      </w:r>
      <w:r>
        <w:rPr>
          <w:spacing w:val="-5"/>
          <w:sz w:val="22"/>
          <w:u w:val="single"/>
        </w:rPr>
        <w:t> </w:t>
      </w:r>
      <w:r>
        <w:rPr>
          <w:sz w:val="22"/>
          <w:u w:val="single"/>
        </w:rPr>
        <w:t>información</w:t>
      </w:r>
      <w:r>
        <w:rPr>
          <w:spacing w:val="-6"/>
          <w:sz w:val="22"/>
          <w:u w:val="single"/>
        </w:rPr>
        <w:t> </w:t>
      </w:r>
      <w:r>
        <w:rPr>
          <w:sz w:val="22"/>
          <w:u w:val="single"/>
        </w:rPr>
        <w:t>presupuestaria</w:t>
      </w:r>
      <w:r>
        <w:rPr>
          <w:spacing w:val="-3"/>
          <w:sz w:val="22"/>
          <w:u w:val="single"/>
        </w:rPr>
        <w:t> </w:t>
      </w:r>
      <w:r>
        <w:rPr>
          <w:sz w:val="22"/>
          <w:u w:val="single"/>
        </w:rPr>
        <w:t>(párrafos</w:t>
      </w:r>
      <w:r>
        <w:rPr>
          <w:spacing w:val="-5"/>
          <w:sz w:val="22"/>
          <w:u w:val="single"/>
        </w:rPr>
        <w:t> </w:t>
      </w:r>
      <w:r>
        <w:rPr>
          <w:sz w:val="22"/>
          <w:u w:val="single"/>
        </w:rPr>
        <w:t>52</w:t>
      </w:r>
      <w:r>
        <w:rPr>
          <w:spacing w:val="-7"/>
          <w:sz w:val="22"/>
          <w:u w:val="single"/>
        </w:rPr>
        <w:t> </w:t>
      </w:r>
      <w:r>
        <w:rPr>
          <w:sz w:val="22"/>
          <w:u w:val="single"/>
        </w:rPr>
        <w:t>y</w:t>
      </w:r>
      <w:r>
        <w:rPr>
          <w:spacing w:val="-6"/>
          <w:sz w:val="22"/>
          <w:u w:val="single"/>
        </w:rPr>
        <w:t> </w:t>
      </w:r>
      <w:r>
        <w:rPr>
          <w:spacing w:val="-5"/>
          <w:sz w:val="22"/>
          <w:u w:val="single"/>
        </w:rPr>
        <w:t>53)</w:t>
      </w:r>
    </w:p>
    <w:p>
      <w:pPr>
        <w:pStyle w:val="BodyText"/>
        <w:spacing w:before="31"/>
        <w:rPr>
          <w:sz w:val="20"/>
        </w:rPr>
      </w:pPr>
      <w:r>
        <w:rPr>
          <w:sz w:val="20"/>
        </w:rPr>
        <mc:AlternateContent>
          <mc:Choice Requires="wps">
            <w:drawing>
              <wp:anchor distT="0" distB="0" distL="0" distR="0" allowOverlap="1" layoutInCell="1" locked="0" behindDoc="1" simplePos="0" relativeHeight="487819264">
                <wp:simplePos x="0" y="0"/>
                <wp:positionH relativeFrom="page">
                  <wp:posOffset>1080820</wp:posOffset>
                </wp:positionH>
                <wp:positionV relativeFrom="paragraph">
                  <wp:posOffset>182959</wp:posOffset>
                </wp:positionV>
                <wp:extent cx="5715000" cy="1919605"/>
                <wp:effectExtent l="0" t="0" r="0" b="0"/>
                <wp:wrapTopAndBottom/>
                <wp:docPr id="1150" name="Textbox 1150"/>
                <wp:cNvGraphicFramePr>
                  <a:graphicFrameLocks/>
                </wp:cNvGraphicFramePr>
                <a:graphic>
                  <a:graphicData uri="http://schemas.microsoft.com/office/word/2010/wordprocessingShape">
                    <wps:wsp>
                      <wps:cNvPr id="1150" name="Textbox 1150"/>
                      <wps:cNvSpPr txBox="1"/>
                      <wps:spPr>
                        <a:xfrm>
                          <a:off x="0" y="0"/>
                          <a:ext cx="5715000" cy="1919605"/>
                        </a:xfrm>
                        <a:prstGeom prst="rect">
                          <a:avLst/>
                        </a:prstGeom>
                        <a:ln w="6095">
                          <a:solidFill>
                            <a:srgbClr val="000000"/>
                          </a:solidFill>
                          <a:prstDash val="solid"/>
                        </a:ln>
                      </wps:spPr>
                      <wps:txbx>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right="63"/>
                              <w:jc w:val="both"/>
                            </w:pPr>
                            <w:r>
                              <w:rPr/>
                              <w:t>De forma semestral y anual se presentan los Informes de Evaluación y el Informe de Resultados y Liquidación Presupuestaria</w:t>
                            </w:r>
                            <w:r>
                              <w:rPr>
                                <w:spacing w:val="-1"/>
                              </w:rPr>
                              <w:t> </w:t>
                            </w:r>
                            <w:r>
                              <w:rPr/>
                              <w:t>los cuales contemplan un detallado análisis de</w:t>
                            </w:r>
                            <w:r>
                              <w:rPr>
                                <w:spacing w:val="-2"/>
                              </w:rPr>
                              <w:t> </w:t>
                            </w:r>
                            <w:r>
                              <w:rPr/>
                              <w:t>la</w:t>
                            </w:r>
                            <w:r>
                              <w:rPr>
                                <w:spacing w:val="-1"/>
                              </w:rPr>
                              <w:t> </w:t>
                            </w:r>
                            <w:r>
                              <w:rPr/>
                              <w:t>ejecución de</w:t>
                            </w:r>
                            <w:r>
                              <w:rPr>
                                <w:spacing w:val="-2"/>
                              </w:rPr>
                              <w:t> </w:t>
                            </w:r>
                            <w:r>
                              <w:rPr/>
                              <w:t>los ingresos y gastos, los ajustes y variaciones al presupuesto inicial, el superávit real, según fuentes de financiamiento, además del análisis comparativo del base efectivo con el devengo con respecto a los Estados Financieros.</w:t>
                            </w:r>
                          </w:p>
                          <w:p>
                            <w:pPr>
                              <w:pStyle w:val="BodyText"/>
                              <w:spacing w:before="160"/>
                              <w:ind w:left="64" w:right="63"/>
                              <w:jc w:val="both"/>
                            </w:pPr>
                            <w:r>
                              <w:rPr/>
                              <w:t>En</w:t>
                            </w:r>
                            <w:r>
                              <w:rPr>
                                <w:spacing w:val="-5"/>
                              </w:rPr>
                              <w:t> </w:t>
                            </w:r>
                            <w:r>
                              <w:rPr/>
                              <w:t>el</w:t>
                            </w:r>
                            <w:r>
                              <w:rPr>
                                <w:spacing w:val="-6"/>
                              </w:rPr>
                              <w:t> </w:t>
                            </w:r>
                            <w:r>
                              <w:rPr/>
                              <w:t>Informe</w:t>
                            </w:r>
                            <w:r>
                              <w:rPr>
                                <w:spacing w:val="-7"/>
                              </w:rPr>
                              <w:t> </w:t>
                            </w:r>
                            <w:r>
                              <w:rPr/>
                              <w:t>de</w:t>
                            </w:r>
                            <w:r>
                              <w:rPr>
                                <w:spacing w:val="-7"/>
                              </w:rPr>
                              <w:t> </w:t>
                            </w:r>
                            <w:r>
                              <w:rPr/>
                              <w:t>Liquidación</w:t>
                            </w:r>
                            <w:r>
                              <w:rPr>
                                <w:spacing w:val="-5"/>
                              </w:rPr>
                              <w:t> </w:t>
                            </w:r>
                            <w:r>
                              <w:rPr/>
                              <w:t>Presupuestaria</w:t>
                            </w:r>
                            <w:r>
                              <w:rPr>
                                <w:spacing w:val="-6"/>
                              </w:rPr>
                              <w:t> </w:t>
                            </w:r>
                            <w:r>
                              <w:rPr/>
                              <w:t>y</w:t>
                            </w:r>
                            <w:r>
                              <w:rPr>
                                <w:spacing w:val="-7"/>
                              </w:rPr>
                              <w:t> </w:t>
                            </w:r>
                            <w:r>
                              <w:rPr/>
                              <w:t>en</w:t>
                            </w:r>
                            <w:r>
                              <w:rPr>
                                <w:spacing w:val="-5"/>
                              </w:rPr>
                              <w:t> </w:t>
                            </w:r>
                            <w:r>
                              <w:rPr/>
                              <w:t>documento</w:t>
                            </w:r>
                            <w:r>
                              <w:rPr>
                                <w:spacing w:val="-7"/>
                              </w:rPr>
                              <w:t> </w:t>
                            </w:r>
                            <w:r>
                              <w:rPr/>
                              <w:t>de</w:t>
                            </w:r>
                            <w:r>
                              <w:rPr>
                                <w:spacing w:val="-7"/>
                              </w:rPr>
                              <w:t> </w:t>
                            </w:r>
                            <w:r>
                              <w:rPr/>
                              <w:t>Evaluación</w:t>
                            </w:r>
                            <w:r>
                              <w:rPr>
                                <w:spacing w:val="-5"/>
                              </w:rPr>
                              <w:t> </w:t>
                            </w:r>
                            <w:r>
                              <w:rPr/>
                              <w:t>presupuestaria</w:t>
                            </w:r>
                            <w:r>
                              <w:rPr>
                                <w:spacing w:val="-6"/>
                              </w:rPr>
                              <w:t> </w:t>
                            </w:r>
                            <w:r>
                              <w:rPr/>
                              <w:t>se</w:t>
                            </w:r>
                            <w:r>
                              <w:rPr>
                                <w:spacing w:val="-7"/>
                              </w:rPr>
                              <w:t> </w:t>
                            </w:r>
                            <w:r>
                              <w:rPr/>
                              <w:t>incluye el análisis comparativo del base efectivo con el devengo con respecto a los Estados Financieros, y una fundamentación del superávit / déficit tanto presupuestario como contable, dicha conciliación se presenta en el Estado de Ejecución Presupuestaria:</w:t>
                            </w:r>
                          </w:p>
                        </w:txbxContent>
                      </wps:txbx>
                      <wps:bodyPr wrap="square" lIns="0" tIns="0" rIns="0" bIns="0" rtlCol="0">
                        <a:noAutofit/>
                      </wps:bodyPr>
                    </wps:wsp>
                  </a:graphicData>
                </a:graphic>
              </wp:anchor>
            </w:drawing>
          </mc:Choice>
          <mc:Fallback>
            <w:pict>
              <v:shape style="position:absolute;margin-left:85.103996pt;margin-top:14.40625pt;width:450pt;height:151.15pt;mso-position-horizontal-relative:page;mso-position-vertical-relative:paragraph;z-index:-15497216;mso-wrap-distance-left:0;mso-wrap-distance-right:0" type="#_x0000_t202" id="docshape1094" filled="false" stroked="true" strokeweight=".47998pt" strokecolor="#000000">
                <v:textbox inset="0,0,0,0">
                  <w:txbxContent>
                    <w:p>
                      <w:pPr>
                        <w:spacing w:before="3"/>
                        <w:ind w:left="64" w:right="0" w:firstLine="0"/>
                        <w:jc w:val="left"/>
                        <w:rPr>
                          <w:sz w:val="22"/>
                        </w:rPr>
                      </w:pPr>
                      <w:r>
                        <w:rPr>
                          <w:b/>
                          <w:color w:val="1F4E79"/>
                          <w:spacing w:val="-2"/>
                          <w:sz w:val="22"/>
                          <w:u w:val="single" w:color="1F4E79"/>
                        </w:rPr>
                        <w:t>Revelación</w:t>
                      </w:r>
                      <w:r>
                        <w:rPr>
                          <w:spacing w:val="-2"/>
                          <w:sz w:val="22"/>
                          <w:u w:val="none"/>
                        </w:rPr>
                        <w:t>:</w:t>
                      </w:r>
                    </w:p>
                    <w:p>
                      <w:pPr>
                        <w:pStyle w:val="BodyText"/>
                        <w:spacing w:before="178"/>
                        <w:ind w:left="64" w:right="63"/>
                        <w:jc w:val="both"/>
                      </w:pPr>
                      <w:r>
                        <w:rPr/>
                        <w:t>De forma semestral y anual se presentan los Informes de Evaluación y el Informe de Resultados y Liquidación Presupuestaria</w:t>
                      </w:r>
                      <w:r>
                        <w:rPr>
                          <w:spacing w:val="-1"/>
                        </w:rPr>
                        <w:t> </w:t>
                      </w:r>
                      <w:r>
                        <w:rPr/>
                        <w:t>los cuales contemplan un detallado análisis de</w:t>
                      </w:r>
                      <w:r>
                        <w:rPr>
                          <w:spacing w:val="-2"/>
                        </w:rPr>
                        <w:t> </w:t>
                      </w:r>
                      <w:r>
                        <w:rPr/>
                        <w:t>la</w:t>
                      </w:r>
                      <w:r>
                        <w:rPr>
                          <w:spacing w:val="-1"/>
                        </w:rPr>
                        <w:t> </w:t>
                      </w:r>
                      <w:r>
                        <w:rPr/>
                        <w:t>ejecución de</w:t>
                      </w:r>
                      <w:r>
                        <w:rPr>
                          <w:spacing w:val="-2"/>
                        </w:rPr>
                        <w:t> </w:t>
                      </w:r>
                      <w:r>
                        <w:rPr/>
                        <w:t>los ingresos y gastos, los ajustes y variaciones al presupuesto inicial, el superávit real, según fuentes de financiamiento, además del análisis comparativo del base efectivo con el devengo con respecto a los Estados Financieros.</w:t>
                      </w:r>
                    </w:p>
                    <w:p>
                      <w:pPr>
                        <w:pStyle w:val="BodyText"/>
                        <w:spacing w:before="160"/>
                        <w:ind w:left="64" w:right="63"/>
                        <w:jc w:val="both"/>
                      </w:pPr>
                      <w:r>
                        <w:rPr/>
                        <w:t>En</w:t>
                      </w:r>
                      <w:r>
                        <w:rPr>
                          <w:spacing w:val="-5"/>
                        </w:rPr>
                        <w:t> </w:t>
                      </w:r>
                      <w:r>
                        <w:rPr/>
                        <w:t>el</w:t>
                      </w:r>
                      <w:r>
                        <w:rPr>
                          <w:spacing w:val="-6"/>
                        </w:rPr>
                        <w:t> </w:t>
                      </w:r>
                      <w:r>
                        <w:rPr/>
                        <w:t>Informe</w:t>
                      </w:r>
                      <w:r>
                        <w:rPr>
                          <w:spacing w:val="-7"/>
                        </w:rPr>
                        <w:t> </w:t>
                      </w:r>
                      <w:r>
                        <w:rPr/>
                        <w:t>de</w:t>
                      </w:r>
                      <w:r>
                        <w:rPr>
                          <w:spacing w:val="-7"/>
                        </w:rPr>
                        <w:t> </w:t>
                      </w:r>
                      <w:r>
                        <w:rPr/>
                        <w:t>Liquidación</w:t>
                      </w:r>
                      <w:r>
                        <w:rPr>
                          <w:spacing w:val="-5"/>
                        </w:rPr>
                        <w:t> </w:t>
                      </w:r>
                      <w:r>
                        <w:rPr/>
                        <w:t>Presupuestaria</w:t>
                      </w:r>
                      <w:r>
                        <w:rPr>
                          <w:spacing w:val="-6"/>
                        </w:rPr>
                        <w:t> </w:t>
                      </w:r>
                      <w:r>
                        <w:rPr/>
                        <w:t>y</w:t>
                      </w:r>
                      <w:r>
                        <w:rPr>
                          <w:spacing w:val="-7"/>
                        </w:rPr>
                        <w:t> </w:t>
                      </w:r>
                      <w:r>
                        <w:rPr/>
                        <w:t>en</w:t>
                      </w:r>
                      <w:r>
                        <w:rPr>
                          <w:spacing w:val="-5"/>
                        </w:rPr>
                        <w:t> </w:t>
                      </w:r>
                      <w:r>
                        <w:rPr/>
                        <w:t>documento</w:t>
                      </w:r>
                      <w:r>
                        <w:rPr>
                          <w:spacing w:val="-7"/>
                        </w:rPr>
                        <w:t> </w:t>
                      </w:r>
                      <w:r>
                        <w:rPr/>
                        <w:t>de</w:t>
                      </w:r>
                      <w:r>
                        <w:rPr>
                          <w:spacing w:val="-7"/>
                        </w:rPr>
                        <w:t> </w:t>
                      </w:r>
                      <w:r>
                        <w:rPr/>
                        <w:t>Evaluación</w:t>
                      </w:r>
                      <w:r>
                        <w:rPr>
                          <w:spacing w:val="-5"/>
                        </w:rPr>
                        <w:t> </w:t>
                      </w:r>
                      <w:r>
                        <w:rPr/>
                        <w:t>presupuestaria</w:t>
                      </w:r>
                      <w:r>
                        <w:rPr>
                          <w:spacing w:val="-6"/>
                        </w:rPr>
                        <w:t> </w:t>
                      </w:r>
                      <w:r>
                        <w:rPr/>
                        <w:t>se</w:t>
                      </w:r>
                      <w:r>
                        <w:rPr>
                          <w:spacing w:val="-7"/>
                        </w:rPr>
                        <w:t> </w:t>
                      </w:r>
                      <w:r>
                        <w:rPr/>
                        <w:t>incluye el análisis comparativo del base efectivo con el devengo con respecto a los Estados Financieros, y una fundamentación del superávit / déficit tanto presupuestario como contable, dicha conciliación se presenta en el Estado de Ejecución Presupuestaria: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7696">
                <wp:simplePos x="0" y="0"/>
                <wp:positionH relativeFrom="page">
                  <wp:posOffset>9525</wp:posOffset>
                </wp:positionH>
                <wp:positionV relativeFrom="page">
                  <wp:posOffset>297208</wp:posOffset>
                </wp:positionV>
                <wp:extent cx="7762875" cy="9748520"/>
                <wp:effectExtent l="0" t="0" r="0" b="0"/>
                <wp:wrapNone/>
                <wp:docPr id="1151" name="Group 1151"/>
                <wp:cNvGraphicFramePr>
                  <a:graphicFrameLocks/>
                </wp:cNvGraphicFramePr>
                <a:graphic>
                  <a:graphicData uri="http://schemas.microsoft.com/office/word/2010/wordprocessingGroup">
                    <wpg:wgp>
                      <wpg:cNvPr id="1151" name="Group 1151"/>
                      <wpg:cNvGrpSpPr/>
                      <wpg:grpSpPr>
                        <a:xfrm>
                          <a:off x="0" y="0"/>
                          <a:ext cx="7762875" cy="9748520"/>
                          <a:chExt cx="7762875" cy="9748520"/>
                        </a:xfrm>
                      </wpg:grpSpPr>
                      <pic:pic>
                        <pic:nvPicPr>
                          <pic:cNvPr id="1152" name="Image 1152"/>
                          <pic:cNvPicPr/>
                        </pic:nvPicPr>
                        <pic:blipFill>
                          <a:blip r:embed="rId5" cstate="print"/>
                          <a:stretch>
                            <a:fillRect/>
                          </a:stretch>
                        </pic:blipFill>
                        <pic:spPr>
                          <a:xfrm>
                            <a:off x="0" y="0"/>
                            <a:ext cx="7762874" cy="9748489"/>
                          </a:xfrm>
                          <a:prstGeom prst="rect">
                            <a:avLst/>
                          </a:prstGeom>
                        </pic:spPr>
                      </pic:pic>
                      <wps:wsp>
                        <wps:cNvPr id="1153" name="Graphic 115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1154" name="Image 1154"/>
                          <pic:cNvPicPr/>
                        </pic:nvPicPr>
                        <pic:blipFill>
                          <a:blip r:embed="rId114" cstate="print"/>
                          <a:stretch>
                            <a:fillRect/>
                          </a:stretch>
                        </pic:blipFill>
                        <pic:spPr>
                          <a:xfrm>
                            <a:off x="1583054" y="1123794"/>
                            <a:ext cx="4688840" cy="3554476"/>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58784" id="docshapegroup1095" coordorigin="15,468" coordsize="12225,15352">
                <v:shape style="position:absolute;left:15;top:468;width:12225;height:15352" type="#_x0000_t75" id="docshape1096" stroked="false">
                  <v:imagedata r:id="rId5" o:title=""/>
                </v:shape>
                <v:rect style="position:absolute;left:1673;top:2028;width:8897;height:15" id="docshape1097" filled="true" fillcolor="#000000" stroked="false">
                  <v:fill type="solid"/>
                </v:rect>
                <v:shape style="position:absolute;left:2508;top:2237;width:7384;height:5598" type="#_x0000_t75" id="docshape1098" stroked="false">
                  <v:imagedata r:id="rId114" o:title=""/>
                </v:shape>
                <w10:wrap type="none"/>
              </v:group>
            </w:pict>
          </mc:Fallback>
        </mc:AlternateContent>
      </w:r>
      <w:r>
        <w:rPr>
          <w:color w:val="172951"/>
          <w:sz w:val="20"/>
        </w:rPr>
        <w:t>Pág.</w:t>
      </w:r>
      <w:r>
        <w:rPr>
          <w:color w:val="172951"/>
          <w:spacing w:val="-7"/>
          <w:sz w:val="20"/>
        </w:rPr>
        <w:t> </w:t>
      </w:r>
      <w:r>
        <w:rPr>
          <w:color w:val="172951"/>
          <w:spacing w:val="-5"/>
          <w:sz w:val="20"/>
        </w:rPr>
        <w:t>223</w:t>
      </w:r>
    </w:p>
    <w:p>
      <w:pPr>
        <w:pStyle w:val="BodyText"/>
        <w:spacing w:before="10"/>
        <w:rPr>
          <w:sz w:val="16"/>
        </w:rPr>
      </w:pPr>
      <w:r>
        <w:rPr>
          <w:sz w:val="16"/>
        </w:rPr>
        <mc:AlternateContent>
          <mc:Choice Requires="wps">
            <w:drawing>
              <wp:anchor distT="0" distB="0" distL="0" distR="0" allowOverlap="1" layoutInCell="1" locked="0" behindDoc="1" simplePos="0" relativeHeight="487820288">
                <wp:simplePos x="0" y="0"/>
                <wp:positionH relativeFrom="page">
                  <wp:posOffset>1080820</wp:posOffset>
                </wp:positionH>
                <wp:positionV relativeFrom="paragraph">
                  <wp:posOffset>141144</wp:posOffset>
                </wp:positionV>
                <wp:extent cx="5715000" cy="5638165"/>
                <wp:effectExtent l="0" t="0" r="0" b="0"/>
                <wp:wrapTopAndBottom/>
                <wp:docPr id="1155" name="Textbox 1155"/>
                <wp:cNvGraphicFramePr>
                  <a:graphicFrameLocks/>
                </wp:cNvGraphicFramePr>
                <a:graphic>
                  <a:graphicData uri="http://schemas.microsoft.com/office/word/2010/wordprocessingShape">
                    <wps:wsp>
                      <wps:cNvPr id="1155" name="Textbox 1155"/>
                      <wps:cNvSpPr txBox="1"/>
                      <wps:spPr>
                        <a:xfrm>
                          <a:off x="0" y="0"/>
                          <a:ext cx="5715000" cy="5638165"/>
                        </a:xfrm>
                        <a:prstGeom prst="rect">
                          <a:avLst/>
                        </a:prstGeom>
                        <a:ln w="6095">
                          <a:solidFill>
                            <a:srgbClr val="000000"/>
                          </a:solidFill>
                          <a:prstDash val="solid"/>
                        </a:ln>
                      </wps:spPr>
                      <wps:txbx>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spacing w:line="259" w:lineRule="auto"/>
                              <w:ind w:left="64" w:right="65"/>
                              <w:jc w:val="both"/>
                            </w:pPr>
                            <w:r>
                              <w:rPr/>
                              <w:t>Mediante</w:t>
                            </w:r>
                            <w:r>
                              <w:rPr>
                                <w:spacing w:val="-1"/>
                              </w:rPr>
                              <w:t> </w:t>
                            </w:r>
                            <w:r>
                              <w:rPr/>
                              <w:t>oficio DFOE-BIS-0709-2025</w:t>
                            </w:r>
                            <w:r>
                              <w:rPr>
                                <w:spacing w:val="-1"/>
                              </w:rPr>
                              <w:t> </w:t>
                            </w:r>
                            <w:r>
                              <w:rPr/>
                              <w:t>la</w:t>
                            </w:r>
                            <w:r>
                              <w:rPr>
                                <w:spacing w:val="-1"/>
                              </w:rPr>
                              <w:t> </w:t>
                            </w:r>
                            <w:r>
                              <w:rPr/>
                              <w:t>Contraloría</w:t>
                            </w:r>
                            <w:r>
                              <w:rPr>
                                <w:spacing w:val="-1"/>
                              </w:rPr>
                              <w:t> </w:t>
                            </w:r>
                            <w:r>
                              <w:rPr/>
                              <w:t>General</w:t>
                            </w:r>
                            <w:r>
                              <w:rPr>
                                <w:spacing w:val="-1"/>
                              </w:rPr>
                              <w:t> </w:t>
                            </w:r>
                            <w:r>
                              <w:rPr/>
                              <w:t>de</w:t>
                            </w:r>
                            <w:r>
                              <w:rPr>
                                <w:spacing w:val="-2"/>
                              </w:rPr>
                              <w:t> </w:t>
                            </w:r>
                            <w:r>
                              <w:rPr/>
                              <w:t>la</w:t>
                            </w:r>
                            <w:r>
                              <w:rPr>
                                <w:spacing w:val="-1"/>
                              </w:rPr>
                              <w:t> </w:t>
                            </w:r>
                            <w:r>
                              <w:rPr/>
                              <w:t>República</w:t>
                            </w:r>
                            <w:r>
                              <w:rPr>
                                <w:spacing w:val="-1"/>
                              </w:rPr>
                              <w:t> </w:t>
                            </w:r>
                            <w:r>
                              <w:rPr/>
                              <w:t>aprobó el</w:t>
                            </w:r>
                            <w:r>
                              <w:rPr>
                                <w:spacing w:val="-1"/>
                              </w:rPr>
                              <w:t> </w:t>
                            </w:r>
                            <w:r>
                              <w:rPr/>
                              <w:t>Presupuesto Inicial del Instituto Mixto de Ayuda Social para el período 2026 por un monto de ¢249,218,173.25 </w:t>
                            </w:r>
                            <w:r>
                              <w:rPr>
                                <w:spacing w:val="-2"/>
                              </w:rPr>
                              <w:t>miles.</w:t>
                            </w:r>
                          </w:p>
                          <w:p>
                            <w:pPr>
                              <w:pStyle w:val="BodyText"/>
                              <w:spacing w:line="259" w:lineRule="auto" w:before="160"/>
                              <w:ind w:left="64" w:right="65"/>
                              <w:jc w:val="both"/>
                            </w:pPr>
                            <w:r>
                              <w:rPr/>
                              <w:t>Mediante</w:t>
                            </w:r>
                            <w:r>
                              <w:rPr>
                                <w:spacing w:val="-1"/>
                              </w:rPr>
                              <w:t> </w:t>
                            </w:r>
                            <w:r>
                              <w:rPr/>
                              <w:t>oficio DFOE-BIS-0222-2026</w:t>
                            </w:r>
                            <w:r>
                              <w:rPr>
                                <w:spacing w:val="-1"/>
                              </w:rPr>
                              <w:t> </w:t>
                            </w:r>
                            <w:r>
                              <w:rPr/>
                              <w:t>la</w:t>
                            </w:r>
                            <w:r>
                              <w:rPr>
                                <w:spacing w:val="-1"/>
                              </w:rPr>
                              <w:t> </w:t>
                            </w:r>
                            <w:r>
                              <w:rPr/>
                              <w:t>Contraloría</w:t>
                            </w:r>
                            <w:r>
                              <w:rPr>
                                <w:spacing w:val="-1"/>
                              </w:rPr>
                              <w:t> </w:t>
                            </w:r>
                            <w:r>
                              <w:rPr/>
                              <w:t>General</w:t>
                            </w:r>
                            <w:r>
                              <w:rPr>
                                <w:spacing w:val="-1"/>
                              </w:rPr>
                              <w:t> </w:t>
                            </w:r>
                            <w:r>
                              <w:rPr/>
                              <w:t>de</w:t>
                            </w:r>
                            <w:r>
                              <w:rPr>
                                <w:spacing w:val="-2"/>
                              </w:rPr>
                              <w:t> </w:t>
                            </w:r>
                            <w:r>
                              <w:rPr/>
                              <w:t>la</w:t>
                            </w:r>
                            <w:r>
                              <w:rPr>
                                <w:spacing w:val="-1"/>
                              </w:rPr>
                              <w:t> </w:t>
                            </w:r>
                            <w:r>
                              <w:rPr/>
                              <w:t>República</w:t>
                            </w:r>
                            <w:r>
                              <w:rPr>
                                <w:spacing w:val="-1"/>
                              </w:rPr>
                              <w:t> </w:t>
                            </w:r>
                            <w:r>
                              <w:rPr/>
                              <w:t>aprobó el</w:t>
                            </w:r>
                            <w:r>
                              <w:rPr>
                                <w:spacing w:val="-1"/>
                              </w:rPr>
                              <w:t> </w:t>
                            </w:r>
                            <w:r>
                              <w:rPr/>
                              <w:t>Presupuesto Extraordinario 01-2026 por un monto de ¢28,689,915.32 miles.</w:t>
                            </w:r>
                          </w:p>
                          <w:p>
                            <w:pPr>
                              <w:pStyle w:val="BodyText"/>
                              <w:spacing w:line="259" w:lineRule="auto" w:before="159"/>
                              <w:ind w:left="64" w:right="62"/>
                              <w:jc w:val="both"/>
                            </w:pPr>
                            <w:r>
                              <w:rPr/>
                              <w:t>Además, se indica que la recaudación de los Ingresos Reales percibidos al 31 de julio 2026 es por la suma</w:t>
                            </w:r>
                            <w:r>
                              <w:rPr>
                                <w:spacing w:val="-14"/>
                              </w:rPr>
                              <w:t> </w:t>
                            </w:r>
                            <w:r>
                              <w:rPr/>
                              <w:t>de</w:t>
                            </w:r>
                            <w:r>
                              <w:rPr>
                                <w:spacing w:val="-14"/>
                              </w:rPr>
                              <w:t> </w:t>
                            </w:r>
                            <w:r>
                              <w:rPr/>
                              <w:t>¢161,676,280.88</w:t>
                            </w:r>
                            <w:r>
                              <w:rPr>
                                <w:spacing w:val="-14"/>
                              </w:rPr>
                              <w:t> </w:t>
                            </w:r>
                            <w:r>
                              <w:rPr/>
                              <w:t>y</w:t>
                            </w:r>
                            <w:r>
                              <w:rPr>
                                <w:spacing w:val="-13"/>
                              </w:rPr>
                              <w:t> </w:t>
                            </w:r>
                            <w:r>
                              <w:rPr/>
                              <w:t>los</w:t>
                            </w:r>
                            <w:r>
                              <w:rPr>
                                <w:spacing w:val="-14"/>
                              </w:rPr>
                              <w:t> </w:t>
                            </w:r>
                            <w:r>
                              <w:rPr/>
                              <w:t>Egresos</w:t>
                            </w:r>
                            <w:r>
                              <w:rPr>
                                <w:spacing w:val="-14"/>
                              </w:rPr>
                              <w:t> </w:t>
                            </w:r>
                            <w:r>
                              <w:rPr/>
                              <w:t>Reales</w:t>
                            </w:r>
                            <w:r>
                              <w:rPr>
                                <w:spacing w:val="-14"/>
                              </w:rPr>
                              <w:t> </w:t>
                            </w:r>
                            <w:r>
                              <w:rPr/>
                              <w:t>presentan</w:t>
                            </w:r>
                            <w:r>
                              <w:rPr>
                                <w:spacing w:val="-13"/>
                              </w:rPr>
                              <w:t> </w:t>
                            </w:r>
                            <w:r>
                              <w:rPr/>
                              <w:t>una</w:t>
                            </w:r>
                            <w:r>
                              <w:rPr>
                                <w:spacing w:val="-14"/>
                              </w:rPr>
                              <w:t> </w:t>
                            </w:r>
                            <w:r>
                              <w:rPr/>
                              <w:t>ejecución</w:t>
                            </w:r>
                            <w:r>
                              <w:rPr>
                                <w:spacing w:val="-14"/>
                              </w:rPr>
                              <w:t> </w:t>
                            </w:r>
                            <w:r>
                              <w:rPr/>
                              <w:t>por</w:t>
                            </w:r>
                            <w:r>
                              <w:rPr>
                                <w:spacing w:val="-14"/>
                              </w:rPr>
                              <w:t> </w:t>
                            </w:r>
                            <w:r>
                              <w:rPr/>
                              <w:t>monto</w:t>
                            </w:r>
                            <w:r>
                              <w:rPr>
                                <w:spacing w:val="-13"/>
                              </w:rPr>
                              <w:t> </w:t>
                            </w:r>
                            <w:r>
                              <w:rPr/>
                              <w:t>de</w:t>
                            </w:r>
                            <w:r>
                              <w:rPr>
                                <w:spacing w:val="-14"/>
                              </w:rPr>
                              <w:t> </w:t>
                            </w:r>
                            <w:r>
                              <w:rPr/>
                              <w:t>¢127,654,273.08, generando como resultado un Superávit a la fecha que alcanza la suma</w:t>
                            </w:r>
                            <w:r>
                              <w:rPr>
                                <w:spacing w:val="36"/>
                              </w:rPr>
                              <w:t> </w:t>
                            </w:r>
                            <w:r>
                              <w:rPr/>
                              <w:t>de ¢34,022,007.80.</w:t>
                            </w:r>
                          </w:p>
                        </w:txbxContent>
                      </wps:txbx>
                      <wps:bodyPr wrap="square" lIns="0" tIns="0" rIns="0" bIns="0" rtlCol="0">
                        <a:noAutofit/>
                      </wps:bodyPr>
                    </wps:wsp>
                  </a:graphicData>
                </a:graphic>
              </wp:anchor>
            </w:drawing>
          </mc:Choice>
          <mc:Fallback>
            <w:pict>
              <v:shape style="position:absolute;margin-left:85.103996pt;margin-top:11.11375pt;width:450pt;height:443.95pt;mso-position-horizontal-relative:page;mso-position-vertical-relative:paragraph;z-index:-15496192;mso-wrap-distance-left:0;mso-wrap-distance-right:0" type="#_x0000_t202" id="docshape1099" filled="false" stroked="true" strokeweight=".47998pt" strokecolor="#000000">
                <v:textbox inset="0,0,0,0">
                  <w:txbxContent>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spacing w:line="259" w:lineRule="auto"/>
                        <w:ind w:left="64" w:right="65"/>
                        <w:jc w:val="both"/>
                      </w:pPr>
                      <w:r>
                        <w:rPr/>
                        <w:t>Mediante</w:t>
                      </w:r>
                      <w:r>
                        <w:rPr>
                          <w:spacing w:val="-1"/>
                        </w:rPr>
                        <w:t> </w:t>
                      </w:r>
                      <w:r>
                        <w:rPr/>
                        <w:t>oficio DFOE-BIS-0709-2025</w:t>
                      </w:r>
                      <w:r>
                        <w:rPr>
                          <w:spacing w:val="-1"/>
                        </w:rPr>
                        <w:t> </w:t>
                      </w:r>
                      <w:r>
                        <w:rPr/>
                        <w:t>la</w:t>
                      </w:r>
                      <w:r>
                        <w:rPr>
                          <w:spacing w:val="-1"/>
                        </w:rPr>
                        <w:t> </w:t>
                      </w:r>
                      <w:r>
                        <w:rPr/>
                        <w:t>Contraloría</w:t>
                      </w:r>
                      <w:r>
                        <w:rPr>
                          <w:spacing w:val="-1"/>
                        </w:rPr>
                        <w:t> </w:t>
                      </w:r>
                      <w:r>
                        <w:rPr/>
                        <w:t>General</w:t>
                      </w:r>
                      <w:r>
                        <w:rPr>
                          <w:spacing w:val="-1"/>
                        </w:rPr>
                        <w:t> </w:t>
                      </w:r>
                      <w:r>
                        <w:rPr/>
                        <w:t>de</w:t>
                      </w:r>
                      <w:r>
                        <w:rPr>
                          <w:spacing w:val="-2"/>
                        </w:rPr>
                        <w:t> </w:t>
                      </w:r>
                      <w:r>
                        <w:rPr/>
                        <w:t>la</w:t>
                      </w:r>
                      <w:r>
                        <w:rPr>
                          <w:spacing w:val="-1"/>
                        </w:rPr>
                        <w:t> </w:t>
                      </w:r>
                      <w:r>
                        <w:rPr/>
                        <w:t>República</w:t>
                      </w:r>
                      <w:r>
                        <w:rPr>
                          <w:spacing w:val="-1"/>
                        </w:rPr>
                        <w:t> </w:t>
                      </w:r>
                      <w:r>
                        <w:rPr/>
                        <w:t>aprobó el</w:t>
                      </w:r>
                      <w:r>
                        <w:rPr>
                          <w:spacing w:val="-1"/>
                        </w:rPr>
                        <w:t> </w:t>
                      </w:r>
                      <w:r>
                        <w:rPr/>
                        <w:t>Presupuesto Inicial del Instituto Mixto de Ayuda Social para el período 2026 por un monto de ¢249,218,173.25 </w:t>
                      </w:r>
                      <w:r>
                        <w:rPr>
                          <w:spacing w:val="-2"/>
                        </w:rPr>
                        <w:t>miles.</w:t>
                      </w:r>
                    </w:p>
                    <w:p>
                      <w:pPr>
                        <w:pStyle w:val="BodyText"/>
                        <w:spacing w:line="259" w:lineRule="auto" w:before="160"/>
                        <w:ind w:left="64" w:right="65"/>
                        <w:jc w:val="both"/>
                      </w:pPr>
                      <w:r>
                        <w:rPr/>
                        <w:t>Mediante</w:t>
                      </w:r>
                      <w:r>
                        <w:rPr>
                          <w:spacing w:val="-1"/>
                        </w:rPr>
                        <w:t> </w:t>
                      </w:r>
                      <w:r>
                        <w:rPr/>
                        <w:t>oficio DFOE-BIS-0222-2026</w:t>
                      </w:r>
                      <w:r>
                        <w:rPr>
                          <w:spacing w:val="-1"/>
                        </w:rPr>
                        <w:t> </w:t>
                      </w:r>
                      <w:r>
                        <w:rPr/>
                        <w:t>la</w:t>
                      </w:r>
                      <w:r>
                        <w:rPr>
                          <w:spacing w:val="-1"/>
                        </w:rPr>
                        <w:t> </w:t>
                      </w:r>
                      <w:r>
                        <w:rPr/>
                        <w:t>Contraloría</w:t>
                      </w:r>
                      <w:r>
                        <w:rPr>
                          <w:spacing w:val="-1"/>
                        </w:rPr>
                        <w:t> </w:t>
                      </w:r>
                      <w:r>
                        <w:rPr/>
                        <w:t>General</w:t>
                      </w:r>
                      <w:r>
                        <w:rPr>
                          <w:spacing w:val="-1"/>
                        </w:rPr>
                        <w:t> </w:t>
                      </w:r>
                      <w:r>
                        <w:rPr/>
                        <w:t>de</w:t>
                      </w:r>
                      <w:r>
                        <w:rPr>
                          <w:spacing w:val="-2"/>
                        </w:rPr>
                        <w:t> </w:t>
                      </w:r>
                      <w:r>
                        <w:rPr/>
                        <w:t>la</w:t>
                      </w:r>
                      <w:r>
                        <w:rPr>
                          <w:spacing w:val="-1"/>
                        </w:rPr>
                        <w:t> </w:t>
                      </w:r>
                      <w:r>
                        <w:rPr/>
                        <w:t>República</w:t>
                      </w:r>
                      <w:r>
                        <w:rPr>
                          <w:spacing w:val="-1"/>
                        </w:rPr>
                        <w:t> </w:t>
                      </w:r>
                      <w:r>
                        <w:rPr/>
                        <w:t>aprobó el</w:t>
                      </w:r>
                      <w:r>
                        <w:rPr>
                          <w:spacing w:val="-1"/>
                        </w:rPr>
                        <w:t> </w:t>
                      </w:r>
                      <w:r>
                        <w:rPr/>
                        <w:t>Presupuesto Extraordinario 01-2026 por un monto de ¢28,689,915.32 miles.</w:t>
                      </w:r>
                    </w:p>
                    <w:p>
                      <w:pPr>
                        <w:pStyle w:val="BodyText"/>
                        <w:spacing w:line="259" w:lineRule="auto" w:before="159"/>
                        <w:ind w:left="64" w:right="62"/>
                        <w:jc w:val="both"/>
                      </w:pPr>
                      <w:r>
                        <w:rPr/>
                        <w:t>Además, se indica que la recaudación de los Ingresos Reales percibidos al 31 de julio 2026 es por la suma</w:t>
                      </w:r>
                      <w:r>
                        <w:rPr>
                          <w:spacing w:val="-14"/>
                        </w:rPr>
                        <w:t> </w:t>
                      </w:r>
                      <w:r>
                        <w:rPr/>
                        <w:t>de</w:t>
                      </w:r>
                      <w:r>
                        <w:rPr>
                          <w:spacing w:val="-14"/>
                        </w:rPr>
                        <w:t> </w:t>
                      </w:r>
                      <w:r>
                        <w:rPr/>
                        <w:t>¢161,676,280.88</w:t>
                      </w:r>
                      <w:r>
                        <w:rPr>
                          <w:spacing w:val="-14"/>
                        </w:rPr>
                        <w:t> </w:t>
                      </w:r>
                      <w:r>
                        <w:rPr/>
                        <w:t>y</w:t>
                      </w:r>
                      <w:r>
                        <w:rPr>
                          <w:spacing w:val="-13"/>
                        </w:rPr>
                        <w:t> </w:t>
                      </w:r>
                      <w:r>
                        <w:rPr/>
                        <w:t>los</w:t>
                      </w:r>
                      <w:r>
                        <w:rPr>
                          <w:spacing w:val="-14"/>
                        </w:rPr>
                        <w:t> </w:t>
                      </w:r>
                      <w:r>
                        <w:rPr/>
                        <w:t>Egresos</w:t>
                      </w:r>
                      <w:r>
                        <w:rPr>
                          <w:spacing w:val="-14"/>
                        </w:rPr>
                        <w:t> </w:t>
                      </w:r>
                      <w:r>
                        <w:rPr/>
                        <w:t>Reales</w:t>
                      </w:r>
                      <w:r>
                        <w:rPr>
                          <w:spacing w:val="-14"/>
                        </w:rPr>
                        <w:t> </w:t>
                      </w:r>
                      <w:r>
                        <w:rPr/>
                        <w:t>presentan</w:t>
                      </w:r>
                      <w:r>
                        <w:rPr>
                          <w:spacing w:val="-13"/>
                        </w:rPr>
                        <w:t> </w:t>
                      </w:r>
                      <w:r>
                        <w:rPr/>
                        <w:t>una</w:t>
                      </w:r>
                      <w:r>
                        <w:rPr>
                          <w:spacing w:val="-14"/>
                        </w:rPr>
                        <w:t> </w:t>
                      </w:r>
                      <w:r>
                        <w:rPr/>
                        <w:t>ejecución</w:t>
                      </w:r>
                      <w:r>
                        <w:rPr>
                          <w:spacing w:val="-14"/>
                        </w:rPr>
                        <w:t> </w:t>
                      </w:r>
                      <w:r>
                        <w:rPr/>
                        <w:t>por</w:t>
                      </w:r>
                      <w:r>
                        <w:rPr>
                          <w:spacing w:val="-14"/>
                        </w:rPr>
                        <w:t> </w:t>
                      </w:r>
                      <w:r>
                        <w:rPr/>
                        <w:t>monto</w:t>
                      </w:r>
                      <w:r>
                        <w:rPr>
                          <w:spacing w:val="-13"/>
                        </w:rPr>
                        <w:t> </w:t>
                      </w:r>
                      <w:r>
                        <w:rPr/>
                        <w:t>de</w:t>
                      </w:r>
                      <w:r>
                        <w:rPr>
                          <w:spacing w:val="-14"/>
                        </w:rPr>
                        <w:t> </w:t>
                      </w:r>
                      <w:r>
                        <w:rPr/>
                        <w:t>¢127,654,273.08, generando como resultado un Superávit a la fecha que alcanza la suma</w:t>
                      </w:r>
                      <w:r>
                        <w:rPr>
                          <w:spacing w:val="36"/>
                        </w:rPr>
                        <w:t> </w:t>
                      </w:r>
                      <w:r>
                        <w:rPr/>
                        <w:t>de ¢34,022,007.80.</w:t>
                      </w:r>
                    </w:p>
                  </w:txbxContent>
                </v:textbox>
                <v:stroke dashstyle="solid"/>
                <w10:wrap type="topAndBottom"/>
              </v:shape>
            </w:pict>
          </mc:Fallback>
        </mc:AlternateContent>
      </w:r>
    </w:p>
    <w:p>
      <w:pPr>
        <w:pStyle w:val="BodyText"/>
        <w:spacing w:before="6"/>
      </w:pPr>
    </w:p>
    <w:p>
      <w:pPr>
        <w:pStyle w:val="Heading6"/>
        <w:ind w:left="622"/>
        <w:jc w:val="both"/>
      </w:pPr>
      <w:r>
        <w:rPr>
          <w:color w:val="1F3863"/>
        </w:rPr>
        <w:t>Diferencias</w:t>
      </w:r>
      <w:r>
        <w:rPr>
          <w:color w:val="1F3863"/>
          <w:spacing w:val="-6"/>
        </w:rPr>
        <w:t> </w:t>
      </w:r>
      <w:r>
        <w:rPr>
          <w:color w:val="1F3863"/>
        </w:rPr>
        <w:t>presupuesto</w:t>
      </w:r>
      <w:r>
        <w:rPr>
          <w:color w:val="1F3863"/>
          <w:spacing w:val="-7"/>
        </w:rPr>
        <w:t> </w:t>
      </w:r>
      <w:r>
        <w:rPr>
          <w:color w:val="1F3863"/>
        </w:rPr>
        <w:t>vs.</w:t>
      </w:r>
      <w:r>
        <w:rPr>
          <w:color w:val="1F3863"/>
          <w:spacing w:val="-9"/>
        </w:rPr>
        <w:t> </w:t>
      </w:r>
      <w:r>
        <w:rPr>
          <w:color w:val="1F3863"/>
        </w:rPr>
        <w:t>contabilidad</w:t>
      </w:r>
      <w:r>
        <w:rPr>
          <w:color w:val="1F3863"/>
          <w:spacing w:val="-6"/>
        </w:rPr>
        <w:t> </w:t>
      </w:r>
      <w:r>
        <w:rPr>
          <w:color w:val="1F3863"/>
          <w:spacing w:val="-2"/>
        </w:rPr>
        <w:t>(Devengo)</w:t>
      </w:r>
    </w:p>
    <w:p>
      <w:pPr>
        <w:pStyle w:val="BodyText"/>
        <w:spacing w:before="8"/>
        <w:rPr>
          <w:b/>
          <w:sz w:val="15"/>
        </w:rPr>
      </w:pPr>
    </w:p>
    <w:tbl>
      <w:tblPr>
        <w:tblW w:w="0" w:type="auto"/>
        <w:jc w:val="left"/>
        <w:tblInd w:w="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61"/>
        <w:gridCol w:w="2127"/>
        <w:gridCol w:w="1879"/>
        <w:gridCol w:w="891"/>
      </w:tblGrid>
      <w:tr>
        <w:trPr>
          <w:trHeight w:val="325" w:hRule="atLeast"/>
        </w:trPr>
        <w:tc>
          <w:tcPr>
            <w:tcW w:w="3961" w:type="dxa"/>
            <w:shd w:val="clear" w:color="auto" w:fill="365F91"/>
          </w:tcPr>
          <w:p>
            <w:pPr>
              <w:pStyle w:val="TableParagraph"/>
              <w:rPr>
                <w:rFonts w:ascii="Times New Roman"/>
                <w:sz w:val="20"/>
              </w:rPr>
            </w:pPr>
          </w:p>
        </w:tc>
        <w:tc>
          <w:tcPr>
            <w:tcW w:w="4006" w:type="dxa"/>
            <w:gridSpan w:val="2"/>
            <w:shd w:val="clear" w:color="auto" w:fill="365F91"/>
          </w:tcPr>
          <w:p>
            <w:pPr>
              <w:pStyle w:val="TableParagraph"/>
              <w:spacing w:before="36"/>
              <w:ind w:left="19"/>
              <w:jc w:val="center"/>
              <w:rPr>
                <w:sz w:val="22"/>
              </w:rPr>
            </w:pPr>
            <w:r>
              <w:rPr>
                <w:color w:val="FFFFFF"/>
                <w:spacing w:val="-2"/>
                <w:sz w:val="22"/>
              </w:rPr>
              <w:t>SALDOS</w:t>
            </w:r>
          </w:p>
        </w:tc>
        <w:tc>
          <w:tcPr>
            <w:tcW w:w="891" w:type="dxa"/>
            <w:shd w:val="clear" w:color="auto" w:fill="365F91"/>
          </w:tcPr>
          <w:p>
            <w:pPr>
              <w:pStyle w:val="TableParagraph"/>
              <w:rPr>
                <w:rFonts w:ascii="Times New Roman"/>
                <w:sz w:val="20"/>
              </w:rPr>
            </w:pPr>
          </w:p>
        </w:tc>
      </w:tr>
      <w:tr>
        <w:trPr>
          <w:trHeight w:val="323" w:hRule="atLeast"/>
        </w:trPr>
        <w:tc>
          <w:tcPr>
            <w:tcW w:w="3961" w:type="dxa"/>
            <w:shd w:val="clear" w:color="auto" w:fill="365F91"/>
          </w:tcPr>
          <w:p>
            <w:pPr>
              <w:pStyle w:val="TableParagraph"/>
              <w:spacing w:before="36"/>
              <w:ind w:left="15"/>
              <w:jc w:val="center"/>
              <w:rPr>
                <w:sz w:val="22"/>
              </w:rPr>
            </w:pPr>
            <w:r>
              <w:rPr>
                <w:color w:val="FFFFFF"/>
                <w:spacing w:val="-2"/>
                <w:sz w:val="22"/>
              </w:rPr>
              <w:t>RUBRO</w:t>
            </w:r>
          </w:p>
        </w:tc>
        <w:tc>
          <w:tcPr>
            <w:tcW w:w="2127" w:type="dxa"/>
            <w:shd w:val="clear" w:color="auto" w:fill="365F91"/>
          </w:tcPr>
          <w:p>
            <w:pPr>
              <w:pStyle w:val="TableParagraph"/>
              <w:spacing w:before="36"/>
              <w:ind w:left="405"/>
              <w:rPr>
                <w:sz w:val="22"/>
              </w:rPr>
            </w:pPr>
            <w:r>
              <w:rPr>
                <w:color w:val="FFFFFF"/>
                <w:sz w:val="22"/>
              </w:rPr>
              <w:t>Periodo</w:t>
            </w:r>
            <w:r>
              <w:rPr>
                <w:color w:val="FFFFFF"/>
                <w:spacing w:val="-4"/>
                <w:sz w:val="22"/>
              </w:rPr>
              <w:t> </w:t>
            </w:r>
            <w:r>
              <w:rPr>
                <w:color w:val="FFFFFF"/>
                <w:spacing w:val="-2"/>
                <w:sz w:val="22"/>
              </w:rPr>
              <w:t>Actual</w:t>
            </w:r>
          </w:p>
        </w:tc>
        <w:tc>
          <w:tcPr>
            <w:tcW w:w="1879" w:type="dxa"/>
            <w:shd w:val="clear" w:color="auto" w:fill="365F91"/>
          </w:tcPr>
          <w:p>
            <w:pPr>
              <w:pStyle w:val="TableParagraph"/>
              <w:spacing w:before="36"/>
              <w:ind w:left="189"/>
              <w:rPr>
                <w:sz w:val="22"/>
              </w:rPr>
            </w:pPr>
            <w:r>
              <w:rPr>
                <w:color w:val="FFFFFF"/>
                <w:sz w:val="22"/>
              </w:rPr>
              <w:t>Periodo</w:t>
            </w:r>
            <w:r>
              <w:rPr>
                <w:color w:val="FFFFFF"/>
                <w:spacing w:val="-6"/>
                <w:sz w:val="22"/>
              </w:rPr>
              <w:t> </w:t>
            </w:r>
            <w:r>
              <w:rPr>
                <w:color w:val="FFFFFF"/>
                <w:spacing w:val="-2"/>
                <w:sz w:val="22"/>
              </w:rPr>
              <w:t>Anterior</w:t>
            </w:r>
          </w:p>
        </w:tc>
        <w:tc>
          <w:tcPr>
            <w:tcW w:w="891" w:type="dxa"/>
            <w:shd w:val="clear" w:color="auto" w:fill="365F91"/>
          </w:tcPr>
          <w:p>
            <w:pPr>
              <w:pStyle w:val="TableParagraph"/>
              <w:spacing w:before="36"/>
              <w:ind w:left="17"/>
              <w:jc w:val="center"/>
              <w:rPr>
                <w:sz w:val="22"/>
              </w:rPr>
            </w:pPr>
            <w:r>
              <w:rPr>
                <w:color w:val="FFFFFF"/>
                <w:spacing w:val="-10"/>
                <w:sz w:val="22"/>
              </w:rPr>
              <w:t>%</w:t>
            </w:r>
          </w:p>
        </w:tc>
      </w:tr>
      <w:tr>
        <w:trPr>
          <w:trHeight w:val="323" w:hRule="atLeast"/>
        </w:trPr>
        <w:tc>
          <w:tcPr>
            <w:tcW w:w="3961" w:type="dxa"/>
          </w:tcPr>
          <w:p>
            <w:pPr>
              <w:pStyle w:val="TableParagraph"/>
              <w:spacing w:before="46"/>
              <w:ind w:left="69"/>
              <w:rPr>
                <w:b/>
                <w:sz w:val="20"/>
              </w:rPr>
            </w:pPr>
            <w:r>
              <w:rPr>
                <w:b/>
                <w:spacing w:val="-2"/>
                <w:sz w:val="20"/>
              </w:rPr>
              <w:t>SUPERAVIT/DEFICIT</w:t>
            </w:r>
            <w:r>
              <w:rPr>
                <w:b/>
                <w:spacing w:val="13"/>
                <w:sz w:val="20"/>
              </w:rPr>
              <w:t> </w:t>
            </w:r>
            <w:r>
              <w:rPr>
                <w:b/>
                <w:spacing w:val="-2"/>
                <w:sz w:val="20"/>
              </w:rPr>
              <w:t>PRESUPUESTO</w:t>
            </w:r>
          </w:p>
        </w:tc>
        <w:tc>
          <w:tcPr>
            <w:tcW w:w="2127" w:type="dxa"/>
          </w:tcPr>
          <w:p>
            <w:pPr>
              <w:pStyle w:val="TableParagraph"/>
              <w:spacing w:line="209" w:lineRule="exact" w:before="94"/>
              <w:ind w:right="48"/>
              <w:jc w:val="right"/>
              <w:rPr>
                <w:b/>
                <w:sz w:val="20"/>
              </w:rPr>
            </w:pPr>
            <w:r>
              <w:rPr>
                <w:b/>
                <w:sz w:val="20"/>
              </w:rPr>
              <w:t>34</w:t>
            </w:r>
            <w:r>
              <w:rPr>
                <w:b/>
                <w:spacing w:val="-3"/>
                <w:sz w:val="20"/>
              </w:rPr>
              <w:t> </w:t>
            </w:r>
            <w:r>
              <w:rPr>
                <w:b/>
                <w:sz w:val="20"/>
              </w:rPr>
              <w:t>022</w:t>
            </w:r>
            <w:r>
              <w:rPr>
                <w:b/>
                <w:spacing w:val="-2"/>
                <w:sz w:val="20"/>
              </w:rPr>
              <w:t> 007,80</w:t>
            </w:r>
          </w:p>
        </w:tc>
        <w:tc>
          <w:tcPr>
            <w:tcW w:w="1879" w:type="dxa"/>
          </w:tcPr>
          <w:p>
            <w:pPr>
              <w:pStyle w:val="TableParagraph"/>
              <w:spacing w:line="209" w:lineRule="exact" w:before="94"/>
              <w:ind w:right="47"/>
              <w:jc w:val="right"/>
              <w:rPr>
                <w:b/>
                <w:sz w:val="20"/>
              </w:rPr>
            </w:pPr>
            <w:r>
              <w:rPr>
                <w:b/>
                <w:sz w:val="20"/>
              </w:rPr>
              <w:t>39</w:t>
            </w:r>
            <w:r>
              <w:rPr>
                <w:b/>
                <w:spacing w:val="-3"/>
                <w:sz w:val="20"/>
              </w:rPr>
              <w:t> </w:t>
            </w:r>
            <w:r>
              <w:rPr>
                <w:b/>
                <w:sz w:val="20"/>
              </w:rPr>
              <w:t>570</w:t>
            </w:r>
            <w:r>
              <w:rPr>
                <w:b/>
                <w:spacing w:val="-2"/>
                <w:sz w:val="20"/>
              </w:rPr>
              <w:t> 747,16</w:t>
            </w:r>
          </w:p>
        </w:tc>
        <w:tc>
          <w:tcPr>
            <w:tcW w:w="891" w:type="dxa"/>
          </w:tcPr>
          <w:p>
            <w:pPr>
              <w:pStyle w:val="TableParagraph"/>
              <w:spacing w:before="46"/>
              <w:ind w:left="179"/>
              <w:rPr>
                <w:b/>
                <w:sz w:val="20"/>
              </w:rPr>
            </w:pPr>
            <w:r>
              <w:rPr>
                <w:b/>
                <w:spacing w:val="-2"/>
                <w:sz w:val="20"/>
              </w:rPr>
              <w:t>-14,02%</w:t>
            </w:r>
          </w:p>
        </w:tc>
      </w:tr>
      <w:tr>
        <w:trPr>
          <w:trHeight w:val="325" w:hRule="atLeast"/>
        </w:trPr>
        <w:tc>
          <w:tcPr>
            <w:tcW w:w="3961" w:type="dxa"/>
          </w:tcPr>
          <w:p>
            <w:pPr>
              <w:pStyle w:val="TableParagraph"/>
              <w:spacing w:before="49"/>
              <w:ind w:left="69"/>
              <w:rPr>
                <w:b/>
                <w:sz w:val="20"/>
              </w:rPr>
            </w:pPr>
            <w:r>
              <w:rPr>
                <w:b/>
                <w:spacing w:val="-2"/>
                <w:sz w:val="20"/>
              </w:rPr>
              <w:t>SUPERAVIT/DEFICIT</w:t>
            </w:r>
            <w:r>
              <w:rPr>
                <w:b/>
                <w:spacing w:val="13"/>
                <w:sz w:val="20"/>
              </w:rPr>
              <w:t> </w:t>
            </w:r>
            <w:r>
              <w:rPr>
                <w:b/>
                <w:spacing w:val="-2"/>
                <w:sz w:val="20"/>
              </w:rPr>
              <w:t>CONTABILIDAD</w:t>
            </w:r>
          </w:p>
        </w:tc>
        <w:tc>
          <w:tcPr>
            <w:tcW w:w="2127" w:type="dxa"/>
          </w:tcPr>
          <w:p>
            <w:pPr>
              <w:pStyle w:val="TableParagraph"/>
              <w:spacing w:before="49"/>
              <w:ind w:right="48"/>
              <w:jc w:val="right"/>
              <w:rPr>
                <w:b/>
                <w:sz w:val="20"/>
              </w:rPr>
            </w:pPr>
            <w:r>
              <w:rPr>
                <w:b/>
                <w:sz w:val="20"/>
              </w:rPr>
              <w:t>14</w:t>
            </w:r>
            <w:r>
              <w:rPr>
                <w:b/>
                <w:spacing w:val="-3"/>
                <w:sz w:val="20"/>
              </w:rPr>
              <w:t> </w:t>
            </w:r>
            <w:r>
              <w:rPr>
                <w:b/>
                <w:sz w:val="20"/>
              </w:rPr>
              <w:t>521</w:t>
            </w:r>
            <w:r>
              <w:rPr>
                <w:b/>
                <w:spacing w:val="-2"/>
                <w:sz w:val="20"/>
              </w:rPr>
              <w:t> 107,15</w:t>
            </w:r>
          </w:p>
        </w:tc>
        <w:tc>
          <w:tcPr>
            <w:tcW w:w="1879" w:type="dxa"/>
          </w:tcPr>
          <w:p>
            <w:pPr>
              <w:pStyle w:val="TableParagraph"/>
              <w:spacing w:before="49"/>
              <w:ind w:right="47"/>
              <w:jc w:val="right"/>
              <w:rPr>
                <w:b/>
                <w:sz w:val="20"/>
              </w:rPr>
            </w:pPr>
            <w:r>
              <w:rPr>
                <w:b/>
                <w:sz w:val="20"/>
              </w:rPr>
              <w:t>22</w:t>
            </w:r>
            <w:r>
              <w:rPr>
                <w:b/>
                <w:spacing w:val="-3"/>
                <w:sz w:val="20"/>
              </w:rPr>
              <w:t> </w:t>
            </w:r>
            <w:r>
              <w:rPr>
                <w:b/>
                <w:sz w:val="20"/>
              </w:rPr>
              <w:t>801</w:t>
            </w:r>
            <w:r>
              <w:rPr>
                <w:b/>
                <w:spacing w:val="-2"/>
                <w:sz w:val="20"/>
              </w:rPr>
              <w:t> 631,78</w:t>
            </w:r>
          </w:p>
        </w:tc>
        <w:tc>
          <w:tcPr>
            <w:tcW w:w="891" w:type="dxa"/>
          </w:tcPr>
          <w:p>
            <w:pPr>
              <w:pStyle w:val="TableParagraph"/>
              <w:spacing w:before="49"/>
              <w:ind w:left="124"/>
              <w:rPr>
                <w:b/>
                <w:sz w:val="20"/>
              </w:rPr>
            </w:pPr>
            <w:r>
              <w:rPr>
                <w:b/>
                <w:spacing w:val="-2"/>
                <w:sz w:val="20"/>
              </w:rPr>
              <w:t>-36,32%</w:t>
            </w:r>
          </w:p>
        </w:tc>
      </w:tr>
    </w:tbl>
    <w:p>
      <w:pPr>
        <w:pStyle w:val="BodyText"/>
        <w:spacing w:before="21"/>
        <w:rPr>
          <w:b/>
        </w:rPr>
      </w:pPr>
    </w:p>
    <w:p>
      <w:pPr>
        <w:pStyle w:val="BodyText"/>
        <w:spacing w:line="259" w:lineRule="auto"/>
        <w:ind w:left="622" w:right="981"/>
        <w:jc w:val="both"/>
      </w:pPr>
      <w:r>
        <w:rPr/>
        <w:t>Se observa que el superávit presupuestario continúa siendo significativamente superior al superávit contable, situación esperable debido a las diferencias metodológicas entre la contabilidad financiera (base de acumulación o devengo) y la ejecución presupuestaria.</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8208">
                <wp:simplePos x="0" y="0"/>
                <wp:positionH relativeFrom="page">
                  <wp:posOffset>9525</wp:posOffset>
                </wp:positionH>
                <wp:positionV relativeFrom="page">
                  <wp:posOffset>297208</wp:posOffset>
                </wp:positionV>
                <wp:extent cx="7762875" cy="9748520"/>
                <wp:effectExtent l="0" t="0" r="0" b="0"/>
                <wp:wrapNone/>
                <wp:docPr id="1156" name="Group 1156"/>
                <wp:cNvGraphicFramePr>
                  <a:graphicFrameLocks/>
                </wp:cNvGraphicFramePr>
                <a:graphic>
                  <a:graphicData uri="http://schemas.microsoft.com/office/word/2010/wordprocessingGroup">
                    <wpg:wgp>
                      <wpg:cNvPr id="1156" name="Group 1156"/>
                      <wpg:cNvGrpSpPr/>
                      <wpg:grpSpPr>
                        <a:xfrm>
                          <a:off x="0" y="0"/>
                          <a:ext cx="7762875" cy="9748520"/>
                          <a:chExt cx="7762875" cy="9748520"/>
                        </a:xfrm>
                      </wpg:grpSpPr>
                      <pic:pic>
                        <pic:nvPicPr>
                          <pic:cNvPr id="1157" name="Image 1157"/>
                          <pic:cNvPicPr/>
                        </pic:nvPicPr>
                        <pic:blipFill>
                          <a:blip r:embed="rId5" cstate="print"/>
                          <a:stretch>
                            <a:fillRect/>
                          </a:stretch>
                        </pic:blipFill>
                        <pic:spPr>
                          <a:xfrm>
                            <a:off x="0" y="0"/>
                            <a:ext cx="7762874" cy="9748489"/>
                          </a:xfrm>
                          <a:prstGeom prst="rect">
                            <a:avLst/>
                          </a:prstGeom>
                        </pic:spPr>
                      </pic:pic>
                      <wps:wsp>
                        <wps:cNvPr id="1158" name="Graphic 1158"/>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8272" id="docshapegroup1100" coordorigin="15,468" coordsize="12225,15352">
                <v:shape style="position:absolute;left:15;top:468;width:12225;height:15352" type="#_x0000_t75" id="docshape1101" stroked="false">
                  <v:imagedata r:id="rId5" o:title=""/>
                </v:shape>
                <v:rect style="position:absolute;left:1673;top:2028;width:8897;height:15" id="docshape1102"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224</w:t>
      </w:r>
    </w:p>
    <w:p>
      <w:pPr>
        <w:pStyle w:val="BodyText"/>
        <w:spacing w:line="259" w:lineRule="auto" w:before="218"/>
        <w:ind w:left="622" w:right="980"/>
        <w:jc w:val="both"/>
      </w:pPr>
      <w:r>
        <w:rPr/>
        <w:t>Mientras</w:t>
      </w:r>
      <w:r>
        <w:rPr>
          <w:spacing w:val="-2"/>
        </w:rPr>
        <w:t> </w:t>
      </w:r>
      <w:r>
        <w:rPr/>
        <w:t>el</w:t>
      </w:r>
      <w:r>
        <w:rPr>
          <w:spacing w:val="-3"/>
        </w:rPr>
        <w:t> </w:t>
      </w:r>
      <w:r>
        <w:rPr/>
        <w:t>superávit</w:t>
      </w:r>
      <w:r>
        <w:rPr>
          <w:spacing w:val="-1"/>
        </w:rPr>
        <w:t> </w:t>
      </w:r>
      <w:r>
        <w:rPr/>
        <w:t>presupuestario</w:t>
      </w:r>
      <w:r>
        <w:rPr>
          <w:spacing w:val="-3"/>
        </w:rPr>
        <w:t> </w:t>
      </w:r>
      <w:r>
        <w:rPr/>
        <w:t>refleja</w:t>
      </w:r>
      <w:r>
        <w:rPr>
          <w:spacing w:val="-2"/>
        </w:rPr>
        <w:t> </w:t>
      </w:r>
      <w:r>
        <w:rPr/>
        <w:t>la</w:t>
      </w:r>
      <w:r>
        <w:rPr>
          <w:spacing w:val="-2"/>
        </w:rPr>
        <w:t> </w:t>
      </w:r>
      <w:r>
        <w:rPr/>
        <w:t>diferencia</w:t>
      </w:r>
      <w:r>
        <w:rPr>
          <w:spacing w:val="-2"/>
        </w:rPr>
        <w:t> </w:t>
      </w:r>
      <w:r>
        <w:rPr/>
        <w:t>entre</w:t>
      </w:r>
      <w:r>
        <w:rPr>
          <w:spacing w:val="-2"/>
        </w:rPr>
        <w:t> </w:t>
      </w:r>
      <w:r>
        <w:rPr/>
        <w:t>ingresos</w:t>
      </w:r>
      <w:r>
        <w:rPr>
          <w:spacing w:val="-2"/>
        </w:rPr>
        <w:t> </w:t>
      </w:r>
      <w:r>
        <w:rPr/>
        <w:t>recaudados</w:t>
      </w:r>
      <w:r>
        <w:rPr>
          <w:spacing w:val="-2"/>
        </w:rPr>
        <w:t> </w:t>
      </w:r>
      <w:r>
        <w:rPr/>
        <w:t>y</w:t>
      </w:r>
      <w:r>
        <w:rPr>
          <w:spacing w:val="-2"/>
        </w:rPr>
        <w:t> </w:t>
      </w:r>
      <w:r>
        <w:rPr/>
        <w:t>gastos</w:t>
      </w:r>
      <w:r>
        <w:rPr>
          <w:spacing w:val="-2"/>
        </w:rPr>
        <w:t> </w:t>
      </w:r>
      <w:r>
        <w:rPr/>
        <w:t>ejecutados presupuestariamente, el resultado contable incorpora además elementos patrimoniales y ajustes contables como:</w:t>
      </w:r>
    </w:p>
    <w:p>
      <w:pPr>
        <w:pStyle w:val="BodyText"/>
        <w:spacing w:before="20"/>
      </w:pPr>
    </w:p>
    <w:p>
      <w:pPr>
        <w:pStyle w:val="BodyText"/>
        <w:spacing w:line="256" w:lineRule="auto" w:before="1"/>
        <w:ind w:left="622" w:right="5960"/>
      </w:pPr>
      <w:r>
        <w:rPr/>
        <w:t>Depreciaciones</w:t>
      </w:r>
      <w:r>
        <w:rPr>
          <w:spacing w:val="-14"/>
        </w:rPr>
        <w:t> </w:t>
      </w:r>
      <w:r>
        <w:rPr/>
        <w:t>y</w:t>
      </w:r>
      <w:r>
        <w:rPr>
          <w:spacing w:val="-14"/>
        </w:rPr>
        <w:t> </w:t>
      </w:r>
      <w:r>
        <w:rPr/>
        <w:t>amortizaciones. Provisiones y estimaciones.</w:t>
      </w:r>
    </w:p>
    <w:p>
      <w:pPr>
        <w:pStyle w:val="BodyText"/>
        <w:spacing w:line="259" w:lineRule="auto" w:before="2"/>
        <w:ind w:left="622" w:right="5327"/>
      </w:pPr>
      <w:r>
        <w:rPr/>
        <w:t>Reconocimiento</w:t>
      </w:r>
      <w:r>
        <w:rPr>
          <w:spacing w:val="-13"/>
        </w:rPr>
        <w:t> </w:t>
      </w:r>
      <w:r>
        <w:rPr/>
        <w:t>de</w:t>
      </w:r>
      <w:r>
        <w:rPr>
          <w:spacing w:val="-14"/>
        </w:rPr>
        <w:t> </w:t>
      </w:r>
      <w:r>
        <w:rPr/>
        <w:t>obligaciones</w:t>
      </w:r>
      <w:r>
        <w:rPr>
          <w:spacing w:val="-11"/>
        </w:rPr>
        <w:t> </w:t>
      </w:r>
      <w:r>
        <w:rPr/>
        <w:t>devengadas. Ajustes contables de períodos anteriores.</w:t>
      </w:r>
    </w:p>
    <w:p>
      <w:pPr>
        <w:pStyle w:val="BodyText"/>
        <w:spacing w:before="1"/>
        <w:ind w:left="622"/>
      </w:pPr>
      <w:r>
        <w:rPr/>
        <w:t>Reconocimiento</w:t>
      </w:r>
      <w:r>
        <w:rPr>
          <w:spacing w:val="-6"/>
        </w:rPr>
        <w:t> </w:t>
      </w:r>
      <w:r>
        <w:rPr/>
        <w:t>de</w:t>
      </w:r>
      <w:r>
        <w:rPr>
          <w:spacing w:val="-4"/>
        </w:rPr>
        <w:t> </w:t>
      </w:r>
      <w:r>
        <w:rPr/>
        <w:t>ingresos</w:t>
      </w:r>
      <w:r>
        <w:rPr>
          <w:spacing w:val="-4"/>
        </w:rPr>
        <w:t> </w:t>
      </w:r>
      <w:r>
        <w:rPr/>
        <w:t>y</w:t>
      </w:r>
      <w:r>
        <w:rPr>
          <w:spacing w:val="-5"/>
        </w:rPr>
        <w:t> </w:t>
      </w:r>
      <w:r>
        <w:rPr/>
        <w:t>gastos</w:t>
      </w:r>
      <w:r>
        <w:rPr>
          <w:spacing w:val="-3"/>
        </w:rPr>
        <w:t> </w:t>
      </w:r>
      <w:r>
        <w:rPr/>
        <w:t>no</w:t>
      </w:r>
      <w:r>
        <w:rPr>
          <w:spacing w:val="-6"/>
        </w:rPr>
        <w:t> </w:t>
      </w:r>
      <w:r>
        <w:rPr>
          <w:spacing w:val="-2"/>
        </w:rPr>
        <w:t>presupuestarios.</w:t>
      </w:r>
    </w:p>
    <w:p>
      <w:pPr>
        <w:pStyle w:val="BodyText"/>
        <w:spacing w:before="41"/>
      </w:pPr>
    </w:p>
    <w:p>
      <w:pPr>
        <w:pStyle w:val="BodyText"/>
        <w:spacing w:line="259" w:lineRule="auto"/>
        <w:ind w:left="622" w:right="980"/>
        <w:jc w:val="both"/>
      </w:pPr>
      <w:r>
        <w:rPr/>
        <w:t>Si comparamos el ingreso real versus el egreso real, el superávit real éste ascendió a la suma ¢ 39.570.747,16</w:t>
      </w:r>
      <w:r>
        <w:rPr>
          <w:spacing w:val="-2"/>
        </w:rPr>
        <w:t> </w:t>
      </w:r>
      <w:r>
        <w:rPr/>
        <w:t>miles</w:t>
      </w:r>
      <w:r>
        <w:rPr>
          <w:spacing w:val="-1"/>
        </w:rPr>
        <w:t> </w:t>
      </w:r>
      <w:r>
        <w:rPr/>
        <w:t>lo</w:t>
      </w:r>
      <w:r>
        <w:rPr>
          <w:spacing w:val="-4"/>
        </w:rPr>
        <w:t> </w:t>
      </w:r>
      <w:r>
        <w:rPr/>
        <w:t>que</w:t>
      </w:r>
      <w:r>
        <w:rPr>
          <w:spacing w:val="-4"/>
        </w:rPr>
        <w:t> </w:t>
      </w:r>
      <w:r>
        <w:rPr/>
        <w:t>representó</w:t>
      </w:r>
      <w:r>
        <w:rPr>
          <w:spacing w:val="-2"/>
        </w:rPr>
        <w:t> </w:t>
      </w:r>
      <w:r>
        <w:rPr/>
        <w:t>un</w:t>
      </w:r>
      <w:r>
        <w:rPr>
          <w:spacing w:val="-2"/>
        </w:rPr>
        <w:t> </w:t>
      </w:r>
      <w:r>
        <w:rPr/>
        <w:t>porcentaje</w:t>
      </w:r>
      <w:r>
        <w:rPr>
          <w:spacing w:val="-1"/>
        </w:rPr>
        <w:t> </w:t>
      </w:r>
      <w:r>
        <w:rPr/>
        <w:t>de</w:t>
      </w:r>
      <w:r>
        <w:rPr>
          <w:spacing w:val="-4"/>
        </w:rPr>
        <w:t> </w:t>
      </w:r>
      <w:r>
        <w:rPr/>
        <w:t>NO</w:t>
      </w:r>
      <w:r>
        <w:rPr>
          <w:spacing w:val="-4"/>
        </w:rPr>
        <w:t> </w:t>
      </w:r>
      <w:r>
        <w:rPr/>
        <w:t>ejecución</w:t>
      </w:r>
      <w:r>
        <w:rPr>
          <w:spacing w:val="-4"/>
        </w:rPr>
        <w:t> </w:t>
      </w:r>
      <w:r>
        <w:rPr/>
        <w:t>equivalente</w:t>
      </w:r>
      <w:r>
        <w:rPr>
          <w:spacing w:val="-4"/>
        </w:rPr>
        <w:t> </w:t>
      </w:r>
      <w:r>
        <w:rPr/>
        <w:t>al</w:t>
      </w:r>
      <w:r>
        <w:rPr>
          <w:spacing w:val="-2"/>
        </w:rPr>
        <w:t> </w:t>
      </w:r>
      <w:r>
        <w:rPr/>
        <w:t>22,82%</w:t>
      </w:r>
      <w:r>
        <w:rPr>
          <w:spacing w:val="-3"/>
        </w:rPr>
        <w:t> </w:t>
      </w:r>
      <w:r>
        <w:rPr/>
        <w:t>del</w:t>
      </w:r>
      <w:r>
        <w:rPr>
          <w:spacing w:val="-2"/>
        </w:rPr>
        <w:t> </w:t>
      </w:r>
      <w:r>
        <w:rPr/>
        <w:t>total de los recursos efectivamente ingresados, como se muestra en la imagen siguiente:</w:t>
      </w:r>
    </w:p>
    <w:p>
      <w:pPr>
        <w:pStyle w:val="BodyText"/>
      </w:pPr>
    </w:p>
    <w:p>
      <w:pPr>
        <w:pStyle w:val="BodyText"/>
        <w:spacing w:before="85"/>
      </w:pPr>
    </w:p>
    <w:p>
      <w:pPr>
        <w:pStyle w:val="Heading5"/>
        <w:spacing w:before="1"/>
        <w:rPr>
          <w:rFonts w:ascii="Calibri" w:hAnsi="Calibri"/>
        </w:rPr>
      </w:pPr>
      <w:r>
        <w:rPr>
          <w:rFonts w:ascii="Calibri" w:hAnsi="Calibri"/>
          <w:spacing w:val="-2"/>
        </w:rPr>
        <w:t>COMPARATIVO</w:t>
      </w:r>
      <w:r>
        <w:rPr>
          <w:rFonts w:ascii="Calibri" w:hAnsi="Calibri"/>
          <w:spacing w:val="-1"/>
        </w:rPr>
        <w:t> </w:t>
      </w:r>
      <w:r>
        <w:rPr>
          <w:rFonts w:ascii="Calibri" w:hAnsi="Calibri"/>
          <w:spacing w:val="-2"/>
        </w:rPr>
        <w:t>SUPERÁVIT</w:t>
      </w:r>
      <w:r>
        <w:rPr>
          <w:rFonts w:ascii="Calibri" w:hAnsi="Calibri"/>
          <w:spacing w:val="-1"/>
        </w:rPr>
        <w:t> </w:t>
      </w:r>
      <w:r>
        <w:rPr>
          <w:rFonts w:ascii="Calibri" w:hAnsi="Calibri"/>
          <w:spacing w:val="-2"/>
        </w:rPr>
        <w:t>PERIODO ANTERIOR</w:t>
      </w:r>
      <w:r>
        <w:rPr>
          <w:rFonts w:ascii="Calibri" w:hAnsi="Calibri"/>
          <w:spacing w:val="2"/>
        </w:rPr>
        <w:t> </w:t>
      </w:r>
      <w:r>
        <w:rPr>
          <w:rFonts w:ascii="Calibri" w:hAnsi="Calibri"/>
          <w:spacing w:val="-2"/>
        </w:rPr>
        <w:t>VRS</w:t>
      </w:r>
      <w:r>
        <w:rPr>
          <w:rFonts w:ascii="Calibri" w:hAnsi="Calibri"/>
          <w:spacing w:val="-3"/>
        </w:rPr>
        <w:t> </w:t>
      </w:r>
      <w:r>
        <w:rPr>
          <w:rFonts w:ascii="Calibri" w:hAnsi="Calibri"/>
          <w:spacing w:val="-2"/>
        </w:rPr>
        <w:t>PERIODO</w:t>
      </w:r>
      <w:r>
        <w:rPr>
          <w:rFonts w:ascii="Calibri" w:hAnsi="Calibri"/>
          <w:spacing w:val="2"/>
        </w:rPr>
        <w:t> </w:t>
      </w:r>
      <w:r>
        <w:rPr>
          <w:rFonts w:ascii="Calibri" w:hAnsi="Calibri"/>
          <w:spacing w:val="-2"/>
        </w:rPr>
        <w:t>ACTUAL.</w:t>
      </w:r>
    </w:p>
    <w:p>
      <w:pPr>
        <w:pStyle w:val="Heading6"/>
        <w:spacing w:before="182"/>
        <w:ind w:left="622"/>
        <w:rPr>
          <w:rFonts w:ascii="Calibri" w:hAnsi="Calibri"/>
        </w:rPr>
      </w:pPr>
      <w:r>
        <w:rPr>
          <w:rFonts w:ascii="Calibri" w:hAnsi="Calibri"/>
        </w:rPr>
        <w:t>Superávit</w:t>
      </w:r>
      <w:r>
        <w:rPr>
          <w:rFonts w:ascii="Calibri" w:hAnsi="Calibri"/>
          <w:spacing w:val="-7"/>
        </w:rPr>
        <w:t> </w:t>
      </w:r>
      <w:r>
        <w:rPr>
          <w:rFonts w:ascii="Calibri" w:hAnsi="Calibri"/>
        </w:rPr>
        <w:t>al</w:t>
      </w:r>
      <w:r>
        <w:rPr>
          <w:rFonts w:ascii="Calibri" w:hAnsi="Calibri"/>
          <w:spacing w:val="-6"/>
        </w:rPr>
        <w:t> </w:t>
      </w:r>
      <w:r>
        <w:rPr>
          <w:rFonts w:ascii="Calibri" w:hAnsi="Calibri"/>
        </w:rPr>
        <w:t>31</w:t>
      </w:r>
      <w:r>
        <w:rPr>
          <w:rFonts w:ascii="Calibri" w:hAnsi="Calibri"/>
          <w:spacing w:val="-4"/>
        </w:rPr>
        <w:t> </w:t>
      </w:r>
      <w:r>
        <w:rPr>
          <w:rFonts w:ascii="Calibri" w:hAnsi="Calibri"/>
        </w:rPr>
        <w:t>de</w:t>
      </w:r>
      <w:r>
        <w:rPr>
          <w:rFonts w:ascii="Calibri" w:hAnsi="Calibri"/>
          <w:spacing w:val="-6"/>
        </w:rPr>
        <w:t> </w:t>
      </w:r>
      <w:r>
        <w:rPr>
          <w:rFonts w:ascii="Calibri" w:hAnsi="Calibri"/>
        </w:rPr>
        <w:t>julio</w:t>
      </w:r>
      <w:r>
        <w:rPr>
          <w:rFonts w:ascii="Calibri" w:hAnsi="Calibri"/>
          <w:spacing w:val="-7"/>
        </w:rPr>
        <w:t> </w:t>
      </w:r>
      <w:r>
        <w:rPr>
          <w:rFonts w:ascii="Calibri" w:hAnsi="Calibri"/>
          <w:spacing w:val="-4"/>
        </w:rPr>
        <w:t>2025</w:t>
      </w:r>
    </w:p>
    <w:p>
      <w:pPr>
        <w:pStyle w:val="BodyText"/>
        <w:spacing w:before="10"/>
        <w:rPr>
          <w:rFonts w:ascii="Calibri"/>
          <w:b/>
          <w:sz w:val="14"/>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69"/>
        <w:gridCol w:w="1479"/>
        <w:gridCol w:w="1345"/>
        <w:gridCol w:w="1347"/>
        <w:gridCol w:w="1057"/>
        <w:gridCol w:w="1251"/>
        <w:gridCol w:w="1323"/>
      </w:tblGrid>
      <w:tr>
        <w:trPr>
          <w:trHeight w:val="1283" w:hRule="atLeast"/>
        </w:trPr>
        <w:tc>
          <w:tcPr>
            <w:tcW w:w="1669" w:type="dxa"/>
            <w:shd w:val="clear" w:color="auto" w:fill="B4C5E7"/>
          </w:tcPr>
          <w:p>
            <w:pPr>
              <w:pStyle w:val="TableParagraph"/>
              <w:rPr>
                <w:rFonts w:ascii="Calibri"/>
                <w:b/>
                <w:sz w:val="16"/>
              </w:rPr>
            </w:pPr>
          </w:p>
          <w:p>
            <w:pPr>
              <w:pStyle w:val="TableParagraph"/>
              <w:spacing w:before="159"/>
              <w:rPr>
                <w:rFonts w:ascii="Calibri"/>
                <w:b/>
                <w:sz w:val="16"/>
              </w:rPr>
            </w:pPr>
          </w:p>
          <w:p>
            <w:pPr>
              <w:pStyle w:val="TableParagraph"/>
              <w:ind w:left="378"/>
              <w:rPr>
                <w:rFonts w:ascii="Arial"/>
                <w:b/>
                <w:sz w:val="16"/>
              </w:rPr>
            </w:pPr>
            <w:r>
              <w:rPr>
                <w:rFonts w:ascii="Arial"/>
                <w:b/>
                <w:spacing w:val="-2"/>
                <w:sz w:val="16"/>
              </w:rPr>
              <w:t>CONCEPTO</w:t>
            </w:r>
          </w:p>
        </w:tc>
        <w:tc>
          <w:tcPr>
            <w:tcW w:w="1479" w:type="dxa"/>
            <w:shd w:val="clear" w:color="auto" w:fill="B4C5E7"/>
          </w:tcPr>
          <w:p>
            <w:pPr>
              <w:pStyle w:val="TableParagraph"/>
              <w:rPr>
                <w:rFonts w:ascii="Calibri"/>
                <w:b/>
                <w:sz w:val="16"/>
              </w:rPr>
            </w:pPr>
          </w:p>
          <w:p>
            <w:pPr>
              <w:pStyle w:val="TableParagraph"/>
              <w:spacing w:before="68"/>
              <w:rPr>
                <w:rFonts w:ascii="Calibri"/>
                <w:b/>
                <w:sz w:val="16"/>
              </w:rPr>
            </w:pPr>
          </w:p>
          <w:p>
            <w:pPr>
              <w:pStyle w:val="TableParagraph"/>
              <w:ind w:left="119" w:firstLine="12"/>
              <w:rPr>
                <w:rFonts w:ascii="Arial"/>
                <w:b/>
                <w:sz w:val="16"/>
              </w:rPr>
            </w:pPr>
            <w:r>
              <w:rPr>
                <w:rFonts w:ascii="Arial"/>
                <w:b/>
                <w:spacing w:val="-2"/>
                <w:sz w:val="16"/>
              </w:rPr>
              <w:t>PRESUPUESTO INSTITUCIONAL</w:t>
            </w:r>
          </w:p>
        </w:tc>
        <w:tc>
          <w:tcPr>
            <w:tcW w:w="1345" w:type="dxa"/>
            <w:shd w:val="clear" w:color="auto" w:fill="B4C5E7"/>
          </w:tcPr>
          <w:p>
            <w:pPr>
              <w:pStyle w:val="TableParagraph"/>
              <w:rPr>
                <w:rFonts w:ascii="Calibri"/>
                <w:b/>
                <w:sz w:val="16"/>
              </w:rPr>
            </w:pPr>
          </w:p>
          <w:p>
            <w:pPr>
              <w:pStyle w:val="TableParagraph"/>
              <w:spacing w:before="68"/>
              <w:rPr>
                <w:rFonts w:ascii="Calibri"/>
                <w:b/>
                <w:sz w:val="16"/>
              </w:rPr>
            </w:pPr>
          </w:p>
          <w:p>
            <w:pPr>
              <w:pStyle w:val="TableParagraph"/>
              <w:ind w:left="346" w:hanging="99"/>
              <w:rPr>
                <w:rFonts w:ascii="Arial"/>
                <w:b/>
                <w:sz w:val="16"/>
              </w:rPr>
            </w:pPr>
            <w:r>
              <w:rPr>
                <w:rFonts w:ascii="Arial"/>
                <w:b/>
                <w:spacing w:val="-2"/>
                <w:sz w:val="16"/>
              </w:rPr>
              <w:t>INGRESOS REALES</w:t>
            </w:r>
          </w:p>
        </w:tc>
        <w:tc>
          <w:tcPr>
            <w:tcW w:w="1347" w:type="dxa"/>
            <w:shd w:val="clear" w:color="auto" w:fill="B4C5E7"/>
          </w:tcPr>
          <w:p>
            <w:pPr>
              <w:pStyle w:val="TableParagraph"/>
              <w:rPr>
                <w:rFonts w:ascii="Calibri"/>
                <w:b/>
                <w:sz w:val="16"/>
              </w:rPr>
            </w:pPr>
          </w:p>
          <w:p>
            <w:pPr>
              <w:pStyle w:val="TableParagraph"/>
              <w:spacing w:before="68"/>
              <w:rPr>
                <w:rFonts w:ascii="Calibri"/>
                <w:b/>
                <w:sz w:val="16"/>
              </w:rPr>
            </w:pPr>
          </w:p>
          <w:p>
            <w:pPr>
              <w:pStyle w:val="TableParagraph"/>
              <w:ind w:left="345" w:right="256" w:hanging="72"/>
              <w:rPr>
                <w:rFonts w:ascii="Arial"/>
                <w:b/>
                <w:sz w:val="16"/>
              </w:rPr>
            </w:pPr>
            <w:r>
              <w:rPr>
                <w:rFonts w:ascii="Arial"/>
                <w:b/>
                <w:spacing w:val="-2"/>
                <w:sz w:val="16"/>
              </w:rPr>
              <w:t>EGRESOS REALES</w:t>
            </w:r>
          </w:p>
        </w:tc>
        <w:tc>
          <w:tcPr>
            <w:tcW w:w="1057" w:type="dxa"/>
            <w:shd w:val="clear" w:color="auto" w:fill="B4C5E7"/>
          </w:tcPr>
          <w:p>
            <w:pPr>
              <w:pStyle w:val="TableParagraph"/>
              <w:spacing w:before="183"/>
              <w:ind w:left="71" w:right="54" w:firstLine="44"/>
              <w:jc w:val="center"/>
              <w:rPr>
                <w:rFonts w:ascii="Arial"/>
                <w:b/>
                <w:sz w:val="16"/>
              </w:rPr>
            </w:pPr>
            <w:r>
              <w:rPr>
                <w:rFonts w:ascii="Arial"/>
                <w:b/>
                <w:sz w:val="16"/>
              </w:rPr>
              <w:t>% DE </w:t>
            </w:r>
            <w:r>
              <w:rPr>
                <w:rFonts w:ascii="Arial"/>
                <w:b/>
                <w:spacing w:val="-2"/>
                <w:sz w:val="16"/>
              </w:rPr>
              <w:t>EGRESOS </w:t>
            </w:r>
            <w:r>
              <w:rPr>
                <w:rFonts w:ascii="Arial"/>
                <w:b/>
                <w:sz w:val="16"/>
              </w:rPr>
              <w:t>REALES</w:t>
            </w:r>
            <w:r>
              <w:rPr>
                <w:rFonts w:ascii="Arial"/>
                <w:b/>
                <w:spacing w:val="-12"/>
                <w:sz w:val="16"/>
              </w:rPr>
              <w:t> </w:t>
            </w:r>
            <w:r>
              <w:rPr>
                <w:rFonts w:ascii="Arial"/>
                <w:b/>
                <w:sz w:val="16"/>
              </w:rPr>
              <w:t>VS </w:t>
            </w:r>
            <w:r>
              <w:rPr>
                <w:rFonts w:ascii="Arial"/>
                <w:b/>
                <w:spacing w:val="-2"/>
                <w:sz w:val="16"/>
              </w:rPr>
              <w:t>INGRESOS REALES</w:t>
            </w:r>
          </w:p>
        </w:tc>
        <w:tc>
          <w:tcPr>
            <w:tcW w:w="1251" w:type="dxa"/>
            <w:shd w:val="clear" w:color="auto" w:fill="B4C5E7"/>
          </w:tcPr>
          <w:p>
            <w:pPr>
              <w:pStyle w:val="TableParagraph"/>
              <w:rPr>
                <w:rFonts w:ascii="Calibri"/>
                <w:b/>
                <w:sz w:val="16"/>
              </w:rPr>
            </w:pPr>
          </w:p>
          <w:p>
            <w:pPr>
              <w:pStyle w:val="TableParagraph"/>
              <w:spacing w:before="68"/>
              <w:rPr>
                <w:rFonts w:ascii="Calibri"/>
                <w:b/>
                <w:sz w:val="16"/>
              </w:rPr>
            </w:pPr>
          </w:p>
          <w:p>
            <w:pPr>
              <w:pStyle w:val="TableParagraph"/>
              <w:ind w:left="402" w:hanging="240"/>
              <w:rPr>
                <w:rFonts w:ascii="Arial" w:hAnsi="Arial"/>
                <w:b/>
                <w:sz w:val="16"/>
              </w:rPr>
            </w:pPr>
            <w:r>
              <w:rPr>
                <w:rFonts w:ascii="Arial" w:hAnsi="Arial"/>
                <w:b/>
                <w:spacing w:val="-2"/>
                <w:sz w:val="16"/>
              </w:rPr>
              <w:t>SUPERÁVIT </w:t>
            </w:r>
            <w:r>
              <w:rPr>
                <w:rFonts w:ascii="Arial" w:hAnsi="Arial"/>
                <w:b/>
                <w:spacing w:val="-4"/>
                <w:sz w:val="16"/>
              </w:rPr>
              <w:t>REAL</w:t>
            </w:r>
          </w:p>
        </w:tc>
        <w:tc>
          <w:tcPr>
            <w:tcW w:w="1323" w:type="dxa"/>
            <w:shd w:val="clear" w:color="auto" w:fill="B4C5E7"/>
          </w:tcPr>
          <w:p>
            <w:pPr>
              <w:pStyle w:val="TableParagraph"/>
              <w:spacing w:before="170"/>
              <w:rPr>
                <w:rFonts w:ascii="Calibri"/>
                <w:b/>
                <w:sz w:val="16"/>
              </w:rPr>
            </w:pPr>
          </w:p>
          <w:p>
            <w:pPr>
              <w:pStyle w:val="TableParagraph"/>
              <w:ind w:left="109" w:right="95" w:firstLine="45"/>
              <w:jc w:val="center"/>
              <w:rPr>
                <w:rFonts w:ascii="Arial"/>
                <w:b/>
                <w:sz w:val="16"/>
              </w:rPr>
            </w:pPr>
            <w:r>
              <w:rPr>
                <w:rFonts w:ascii="Arial"/>
                <w:b/>
                <w:sz w:val="16"/>
              </w:rPr>
              <w:t>%</w:t>
            </w:r>
            <w:r>
              <w:rPr>
                <w:rFonts w:ascii="Arial"/>
                <w:b/>
                <w:spacing w:val="-12"/>
                <w:sz w:val="16"/>
              </w:rPr>
              <w:t> </w:t>
            </w:r>
            <w:r>
              <w:rPr>
                <w:rFonts w:ascii="Arial"/>
                <w:b/>
                <w:sz w:val="16"/>
              </w:rPr>
              <w:t>INGRESOS REALES NO </w:t>
            </w:r>
            <w:r>
              <w:rPr>
                <w:rFonts w:ascii="Arial"/>
                <w:b/>
                <w:spacing w:val="-2"/>
                <w:sz w:val="16"/>
              </w:rPr>
              <w:t>EJECUTADOS</w:t>
            </w:r>
          </w:p>
        </w:tc>
      </w:tr>
      <w:tr>
        <w:trPr>
          <w:trHeight w:val="267" w:hRule="atLeast"/>
        </w:trPr>
        <w:tc>
          <w:tcPr>
            <w:tcW w:w="1669" w:type="dxa"/>
            <w:shd w:val="clear" w:color="auto" w:fill="DAE9F7"/>
          </w:tcPr>
          <w:p>
            <w:pPr>
              <w:pStyle w:val="TableParagraph"/>
              <w:spacing w:before="41"/>
              <w:ind w:left="69"/>
              <w:rPr>
                <w:rFonts w:ascii="Arial"/>
                <w:b/>
                <w:sz w:val="16"/>
              </w:rPr>
            </w:pPr>
            <w:r>
              <w:rPr>
                <w:rFonts w:ascii="Arial"/>
                <w:b/>
                <w:spacing w:val="-2"/>
                <w:sz w:val="16"/>
              </w:rPr>
              <w:t>TOTAL</w:t>
            </w:r>
          </w:p>
        </w:tc>
        <w:tc>
          <w:tcPr>
            <w:tcW w:w="1479" w:type="dxa"/>
            <w:shd w:val="clear" w:color="auto" w:fill="DAE9F7"/>
          </w:tcPr>
          <w:p>
            <w:pPr>
              <w:pStyle w:val="TableParagraph"/>
              <w:spacing w:before="41"/>
              <w:ind w:left="294"/>
              <w:rPr>
                <w:rFonts w:ascii="Arial"/>
                <w:b/>
                <w:sz w:val="16"/>
              </w:rPr>
            </w:pPr>
            <w:r>
              <w:rPr>
                <w:rFonts w:ascii="Arial"/>
                <w:b/>
                <w:spacing w:val="-2"/>
                <w:sz w:val="16"/>
              </w:rPr>
              <w:t>296.455.804,12</w:t>
            </w:r>
          </w:p>
        </w:tc>
        <w:tc>
          <w:tcPr>
            <w:tcW w:w="1345" w:type="dxa"/>
            <w:shd w:val="clear" w:color="auto" w:fill="DAE9F7"/>
          </w:tcPr>
          <w:p>
            <w:pPr>
              <w:pStyle w:val="TableParagraph"/>
              <w:spacing w:before="41"/>
              <w:ind w:left="116"/>
              <w:jc w:val="center"/>
              <w:rPr>
                <w:rFonts w:ascii="Arial"/>
                <w:b/>
                <w:sz w:val="16"/>
              </w:rPr>
            </w:pPr>
            <w:r>
              <w:rPr>
                <w:rFonts w:ascii="Arial"/>
                <w:b/>
                <w:spacing w:val="-2"/>
                <w:sz w:val="16"/>
              </w:rPr>
              <w:t>173.385.239,08</w:t>
            </w:r>
          </w:p>
        </w:tc>
        <w:tc>
          <w:tcPr>
            <w:tcW w:w="1347" w:type="dxa"/>
            <w:shd w:val="clear" w:color="auto" w:fill="DAE9F7"/>
          </w:tcPr>
          <w:p>
            <w:pPr>
              <w:pStyle w:val="TableParagraph"/>
              <w:spacing w:before="41"/>
              <w:ind w:left="163"/>
              <w:rPr>
                <w:rFonts w:ascii="Arial"/>
                <w:b/>
                <w:sz w:val="16"/>
              </w:rPr>
            </w:pPr>
            <w:r>
              <w:rPr>
                <w:rFonts w:ascii="Arial"/>
                <w:b/>
                <w:spacing w:val="-2"/>
                <w:sz w:val="16"/>
              </w:rPr>
              <w:t>133.814.491,92</w:t>
            </w:r>
          </w:p>
        </w:tc>
        <w:tc>
          <w:tcPr>
            <w:tcW w:w="1057" w:type="dxa"/>
            <w:shd w:val="clear" w:color="auto" w:fill="DAE9F7"/>
          </w:tcPr>
          <w:p>
            <w:pPr>
              <w:pStyle w:val="TableParagraph"/>
              <w:spacing w:before="41"/>
              <w:ind w:left="254"/>
              <w:rPr>
                <w:rFonts w:ascii="Arial"/>
                <w:b/>
                <w:sz w:val="16"/>
              </w:rPr>
            </w:pPr>
            <w:r>
              <w:rPr>
                <w:rFonts w:ascii="Arial"/>
                <w:b/>
                <w:spacing w:val="-2"/>
                <w:sz w:val="16"/>
              </w:rPr>
              <w:t>77.18%</w:t>
            </w:r>
          </w:p>
        </w:tc>
        <w:tc>
          <w:tcPr>
            <w:tcW w:w="1251" w:type="dxa"/>
            <w:shd w:val="clear" w:color="auto" w:fill="DAE9F7"/>
          </w:tcPr>
          <w:p>
            <w:pPr>
              <w:pStyle w:val="TableParagraph"/>
              <w:spacing w:before="41"/>
              <w:ind w:left="99"/>
              <w:jc w:val="center"/>
              <w:rPr>
                <w:rFonts w:ascii="Arial"/>
                <w:b/>
                <w:sz w:val="16"/>
              </w:rPr>
            </w:pPr>
            <w:r>
              <w:rPr>
                <w:rFonts w:ascii="Arial"/>
                <w:b/>
                <w:spacing w:val="-2"/>
                <w:sz w:val="16"/>
              </w:rPr>
              <w:t>39.570.747,16</w:t>
            </w:r>
          </w:p>
        </w:tc>
        <w:tc>
          <w:tcPr>
            <w:tcW w:w="1323" w:type="dxa"/>
            <w:shd w:val="clear" w:color="auto" w:fill="DAE9F7"/>
          </w:tcPr>
          <w:p>
            <w:pPr>
              <w:pStyle w:val="TableParagraph"/>
              <w:spacing w:before="41"/>
              <w:ind w:left="385"/>
              <w:rPr>
                <w:rFonts w:ascii="Arial"/>
                <w:b/>
                <w:sz w:val="16"/>
              </w:rPr>
            </w:pPr>
            <w:r>
              <w:rPr>
                <w:rFonts w:ascii="Arial"/>
                <w:b/>
                <w:spacing w:val="-2"/>
                <w:sz w:val="16"/>
              </w:rPr>
              <w:t>22.82%</w:t>
            </w:r>
          </w:p>
        </w:tc>
      </w:tr>
      <w:tr>
        <w:trPr>
          <w:trHeight w:val="270" w:hRule="atLeast"/>
        </w:trPr>
        <w:tc>
          <w:tcPr>
            <w:tcW w:w="3148" w:type="dxa"/>
            <w:gridSpan w:val="2"/>
            <w:tcBorders>
              <w:left w:val="nil"/>
              <w:bottom w:val="nil"/>
            </w:tcBorders>
          </w:tcPr>
          <w:p>
            <w:pPr>
              <w:pStyle w:val="TableParagraph"/>
              <w:rPr>
                <w:rFonts w:ascii="Times New Roman"/>
                <w:sz w:val="20"/>
              </w:rPr>
            </w:pPr>
          </w:p>
        </w:tc>
        <w:tc>
          <w:tcPr>
            <w:tcW w:w="1345" w:type="dxa"/>
          </w:tcPr>
          <w:p>
            <w:pPr>
              <w:pStyle w:val="TableParagraph"/>
              <w:spacing w:before="44"/>
              <w:ind w:left="17"/>
              <w:jc w:val="center"/>
              <w:rPr>
                <w:rFonts w:ascii="Arial"/>
                <w:b/>
                <w:sz w:val="16"/>
              </w:rPr>
            </w:pPr>
            <w:r>
              <w:rPr>
                <w:rFonts w:ascii="Arial"/>
                <w:b/>
                <w:color w:val="0000FF"/>
                <w:spacing w:val="-2"/>
                <w:sz w:val="16"/>
              </w:rPr>
              <w:t>58.49%</w:t>
            </w:r>
          </w:p>
        </w:tc>
        <w:tc>
          <w:tcPr>
            <w:tcW w:w="1347" w:type="dxa"/>
          </w:tcPr>
          <w:p>
            <w:pPr>
              <w:pStyle w:val="TableParagraph"/>
              <w:spacing w:before="44"/>
              <w:ind w:left="398"/>
              <w:rPr>
                <w:rFonts w:ascii="Arial"/>
                <w:b/>
                <w:sz w:val="16"/>
              </w:rPr>
            </w:pPr>
            <w:r>
              <w:rPr>
                <w:rFonts w:ascii="Arial"/>
                <w:b/>
                <w:color w:val="0000FF"/>
                <w:spacing w:val="-2"/>
                <w:sz w:val="16"/>
              </w:rPr>
              <w:t>45.14%</w:t>
            </w:r>
          </w:p>
        </w:tc>
        <w:tc>
          <w:tcPr>
            <w:tcW w:w="1057" w:type="dxa"/>
          </w:tcPr>
          <w:p>
            <w:pPr>
              <w:pStyle w:val="TableParagraph"/>
              <w:rPr>
                <w:rFonts w:ascii="Times New Roman"/>
                <w:sz w:val="20"/>
              </w:rPr>
            </w:pPr>
          </w:p>
        </w:tc>
        <w:tc>
          <w:tcPr>
            <w:tcW w:w="1251" w:type="dxa"/>
          </w:tcPr>
          <w:p>
            <w:pPr>
              <w:pStyle w:val="TableParagraph"/>
              <w:spacing w:before="44"/>
              <w:ind w:left="11"/>
              <w:jc w:val="center"/>
              <w:rPr>
                <w:rFonts w:ascii="Arial"/>
                <w:b/>
                <w:sz w:val="16"/>
              </w:rPr>
            </w:pPr>
            <w:r>
              <w:rPr>
                <w:rFonts w:ascii="Arial"/>
                <w:b/>
                <w:color w:val="0000FF"/>
                <w:spacing w:val="-2"/>
                <w:sz w:val="16"/>
              </w:rPr>
              <w:t>77.18%</w:t>
            </w:r>
          </w:p>
        </w:tc>
        <w:tc>
          <w:tcPr>
            <w:tcW w:w="1323" w:type="dxa"/>
          </w:tcPr>
          <w:p>
            <w:pPr>
              <w:pStyle w:val="TableParagraph"/>
              <w:rPr>
                <w:rFonts w:ascii="Times New Roman"/>
                <w:sz w:val="20"/>
              </w:rPr>
            </w:pPr>
          </w:p>
        </w:tc>
      </w:tr>
    </w:tbl>
    <w:p>
      <w:pPr>
        <w:pStyle w:val="BodyText"/>
        <w:spacing w:before="181"/>
        <w:rPr>
          <w:rFonts w:ascii="Calibri"/>
          <w:b/>
        </w:rPr>
      </w:pPr>
    </w:p>
    <w:p>
      <w:pPr>
        <w:pStyle w:val="BodyText"/>
        <w:spacing w:line="259" w:lineRule="auto" w:before="1"/>
        <w:ind w:left="622" w:right="978"/>
        <w:jc w:val="both"/>
      </w:pPr>
      <w:r>
        <w:rPr/>
        <w:t>Como se logra visualizar en el cuadro anterior, el Presupuesto Institucional Ajustado a esa fecha ascendió a la suma de ¢ 296.455.804,12 miles y el ingreso real alcanzo la suma de </w:t>
      </w:r>
      <w:r>
        <w:rPr>
          <w:rFonts w:ascii="Times New Roman" w:hAnsi="Times New Roman" w:cs="Times New Roman"/>
          <w:rtl/>
        </w:rPr>
        <w:t>ٕ</w:t>
      </w:r>
      <w:r>
        <w:rPr/>
        <w:t>¢ 173.385.239,08 miles,</w:t>
      </w:r>
      <w:r>
        <w:rPr>
          <w:spacing w:val="-1"/>
        </w:rPr>
        <w:t> </w:t>
      </w:r>
      <w:r>
        <w:rPr/>
        <w:t>representando</w:t>
      </w:r>
      <w:r>
        <w:rPr>
          <w:spacing w:val="-3"/>
        </w:rPr>
        <w:t> </w:t>
      </w:r>
      <w:r>
        <w:rPr/>
        <w:t>en</w:t>
      </w:r>
      <w:r>
        <w:rPr>
          <w:spacing w:val="-3"/>
        </w:rPr>
        <w:t> </w:t>
      </w:r>
      <w:r>
        <w:rPr/>
        <w:t>términos relativos un</w:t>
      </w:r>
      <w:r>
        <w:rPr>
          <w:spacing w:val="-3"/>
        </w:rPr>
        <w:t> </w:t>
      </w:r>
      <w:r>
        <w:rPr/>
        <w:t>58.49%</w:t>
      </w:r>
      <w:r>
        <w:rPr>
          <w:spacing w:val="-3"/>
        </w:rPr>
        <w:t> </w:t>
      </w:r>
      <w:r>
        <w:rPr/>
        <w:t>de</w:t>
      </w:r>
      <w:r>
        <w:rPr>
          <w:spacing w:val="-2"/>
        </w:rPr>
        <w:t> </w:t>
      </w:r>
      <w:r>
        <w:rPr/>
        <w:t>éste. Los</w:t>
      </w:r>
      <w:r>
        <w:rPr>
          <w:spacing w:val="-2"/>
        </w:rPr>
        <w:t> </w:t>
      </w:r>
      <w:r>
        <w:rPr/>
        <w:t>egresos</w:t>
      </w:r>
      <w:r>
        <w:rPr>
          <w:spacing w:val="-2"/>
        </w:rPr>
        <w:t> </w:t>
      </w:r>
      <w:r>
        <w:rPr/>
        <w:t>o</w:t>
      </w:r>
      <w:r>
        <w:rPr>
          <w:spacing w:val="-3"/>
        </w:rPr>
        <w:t> </w:t>
      </w:r>
      <w:r>
        <w:rPr/>
        <w:t>ejecución</w:t>
      </w:r>
      <w:r>
        <w:rPr>
          <w:spacing w:val="-1"/>
        </w:rPr>
        <w:t> </w:t>
      </w:r>
      <w:r>
        <w:rPr/>
        <w:t>presupuestaria también a ese mismo mes fueron por un monto de ¢ 133.814.491,92 miles lo que represento en términos relativos un 45.14% con respecto al total del presupuesto</w:t>
      </w:r>
      <w:r>
        <w:rPr/>
        <w:t>.</w:t>
      </w:r>
    </w:p>
    <w:p>
      <w:pPr>
        <w:pStyle w:val="BodyText"/>
        <w:spacing w:line="259" w:lineRule="auto" w:before="159"/>
        <w:ind w:left="622" w:right="980"/>
        <w:jc w:val="both"/>
      </w:pPr>
      <w:r>
        <w:rPr/>
        <w:t>Si comparamos el ingreso real versus el egreso real, el superávit real éste ascendió a la suma ¢ 39.570.747,16</w:t>
      </w:r>
      <w:r>
        <w:rPr>
          <w:spacing w:val="-2"/>
        </w:rPr>
        <w:t> </w:t>
      </w:r>
      <w:r>
        <w:rPr/>
        <w:t>miles</w:t>
      </w:r>
      <w:r>
        <w:rPr>
          <w:spacing w:val="-1"/>
        </w:rPr>
        <w:t> </w:t>
      </w:r>
      <w:r>
        <w:rPr/>
        <w:t>lo</w:t>
      </w:r>
      <w:r>
        <w:rPr>
          <w:spacing w:val="-4"/>
        </w:rPr>
        <w:t> </w:t>
      </w:r>
      <w:r>
        <w:rPr/>
        <w:t>que</w:t>
      </w:r>
      <w:r>
        <w:rPr>
          <w:spacing w:val="-4"/>
        </w:rPr>
        <w:t> </w:t>
      </w:r>
      <w:r>
        <w:rPr/>
        <w:t>representó</w:t>
      </w:r>
      <w:r>
        <w:rPr>
          <w:spacing w:val="-2"/>
        </w:rPr>
        <w:t> </w:t>
      </w:r>
      <w:r>
        <w:rPr/>
        <w:t>un</w:t>
      </w:r>
      <w:r>
        <w:rPr>
          <w:spacing w:val="-2"/>
        </w:rPr>
        <w:t> </w:t>
      </w:r>
      <w:r>
        <w:rPr/>
        <w:t>porcentaje</w:t>
      </w:r>
      <w:r>
        <w:rPr>
          <w:spacing w:val="-1"/>
        </w:rPr>
        <w:t> </w:t>
      </w:r>
      <w:r>
        <w:rPr/>
        <w:t>de</w:t>
      </w:r>
      <w:r>
        <w:rPr>
          <w:spacing w:val="-4"/>
        </w:rPr>
        <w:t> </w:t>
      </w:r>
      <w:r>
        <w:rPr/>
        <w:t>NO</w:t>
      </w:r>
      <w:r>
        <w:rPr>
          <w:spacing w:val="-4"/>
        </w:rPr>
        <w:t> </w:t>
      </w:r>
      <w:r>
        <w:rPr/>
        <w:t>ejecución</w:t>
      </w:r>
      <w:r>
        <w:rPr>
          <w:spacing w:val="-4"/>
        </w:rPr>
        <w:t> </w:t>
      </w:r>
      <w:r>
        <w:rPr/>
        <w:t>equivalente</w:t>
      </w:r>
      <w:r>
        <w:rPr>
          <w:spacing w:val="-4"/>
        </w:rPr>
        <w:t> </w:t>
      </w:r>
      <w:r>
        <w:rPr/>
        <w:t>al</w:t>
      </w:r>
      <w:r>
        <w:rPr>
          <w:spacing w:val="-2"/>
        </w:rPr>
        <w:t> </w:t>
      </w:r>
      <w:r>
        <w:rPr/>
        <w:t>22.82%</w:t>
      </w:r>
      <w:r>
        <w:rPr>
          <w:spacing w:val="-2"/>
        </w:rPr>
        <w:t> </w:t>
      </w:r>
      <w:r>
        <w:rPr/>
        <w:t>del</w:t>
      </w:r>
      <w:r>
        <w:rPr>
          <w:spacing w:val="-2"/>
        </w:rPr>
        <w:t> </w:t>
      </w:r>
      <w:r>
        <w:rPr/>
        <w:t>total de los recursos efectivamente ingresados.</w:t>
      </w:r>
    </w:p>
    <w:p>
      <w:pPr>
        <w:pStyle w:val="BodyText"/>
        <w:spacing w:before="160"/>
        <w:ind w:left="622"/>
      </w:pPr>
      <w:r>
        <w:rPr/>
        <w:t>Por</w:t>
      </w:r>
      <w:r>
        <w:rPr>
          <w:spacing w:val="-3"/>
        </w:rPr>
        <w:t> </w:t>
      </w:r>
      <w:r>
        <w:rPr/>
        <w:t>otro</w:t>
      </w:r>
      <w:r>
        <w:rPr>
          <w:spacing w:val="-1"/>
        </w:rPr>
        <w:t> </w:t>
      </w:r>
      <w:r>
        <w:rPr/>
        <w:t>lado,</w:t>
      </w:r>
      <w:r>
        <w:rPr>
          <w:spacing w:val="-2"/>
        </w:rPr>
        <w:t> </w:t>
      </w:r>
      <w:r>
        <w:rPr/>
        <w:t>el</w:t>
      </w:r>
      <w:r>
        <w:rPr>
          <w:spacing w:val="-5"/>
        </w:rPr>
        <w:t> </w:t>
      </w:r>
      <w:r>
        <w:rPr/>
        <w:t>superávit</w:t>
      </w:r>
      <w:r>
        <w:rPr>
          <w:spacing w:val="-2"/>
        </w:rPr>
        <w:t> </w:t>
      </w:r>
      <w:r>
        <w:rPr/>
        <w:t>al</w:t>
      </w:r>
      <w:r>
        <w:rPr>
          <w:spacing w:val="-2"/>
        </w:rPr>
        <w:t> </w:t>
      </w:r>
      <w:r>
        <w:rPr/>
        <w:t>31</w:t>
      </w:r>
      <w:r>
        <w:rPr>
          <w:spacing w:val="-2"/>
        </w:rPr>
        <w:t> </w:t>
      </w:r>
      <w:r>
        <w:rPr/>
        <w:t>de</w:t>
      </w:r>
      <w:r>
        <w:rPr>
          <w:spacing w:val="-1"/>
        </w:rPr>
        <w:t> </w:t>
      </w:r>
      <w:r>
        <w:rPr/>
        <w:t>julio</w:t>
      </w:r>
      <w:r>
        <w:rPr>
          <w:spacing w:val="-2"/>
        </w:rPr>
        <w:t> </w:t>
      </w:r>
      <w:r>
        <w:rPr/>
        <w:t>del</w:t>
      </w:r>
      <w:r>
        <w:rPr>
          <w:spacing w:val="-2"/>
        </w:rPr>
        <w:t> </w:t>
      </w:r>
      <w:r>
        <w:rPr>
          <w:spacing w:val="-4"/>
        </w:rPr>
        <w:t>2026</w:t>
      </w:r>
    </w:p>
    <w:p>
      <w:pPr>
        <w:pStyle w:val="BodyText"/>
        <w:spacing w:after="0"/>
        <w:sectPr>
          <w:pgSz w:w="12240" w:h="15840"/>
          <w:pgMar w:top="1720" w:bottom="280" w:left="1080" w:right="720"/>
        </w:sectPr>
      </w:pPr>
    </w:p>
    <w:p>
      <w:pPr>
        <w:spacing w:before="62"/>
        <w:ind w:left="622" w:right="0" w:firstLine="0"/>
        <w:jc w:val="both"/>
        <w:rPr>
          <w:sz w:val="20"/>
        </w:rPr>
      </w:pPr>
      <w:r>
        <w:rPr>
          <w:sz w:val="20"/>
        </w:rPr>
        <mc:AlternateContent>
          <mc:Choice Requires="wps">
            <w:drawing>
              <wp:anchor distT="0" distB="0" distL="0" distR="0" allowOverlap="1" layoutInCell="1" locked="0" behindDoc="1" simplePos="0" relativeHeight="473758720">
                <wp:simplePos x="0" y="0"/>
                <wp:positionH relativeFrom="page">
                  <wp:posOffset>9525</wp:posOffset>
                </wp:positionH>
                <wp:positionV relativeFrom="page">
                  <wp:posOffset>297208</wp:posOffset>
                </wp:positionV>
                <wp:extent cx="7762875" cy="9748520"/>
                <wp:effectExtent l="0" t="0" r="0" b="0"/>
                <wp:wrapNone/>
                <wp:docPr id="1159" name="Group 1159"/>
                <wp:cNvGraphicFramePr>
                  <a:graphicFrameLocks/>
                </wp:cNvGraphicFramePr>
                <a:graphic>
                  <a:graphicData uri="http://schemas.microsoft.com/office/word/2010/wordprocessingGroup">
                    <wpg:wgp>
                      <wpg:cNvPr id="1159" name="Group 1159"/>
                      <wpg:cNvGrpSpPr/>
                      <wpg:grpSpPr>
                        <a:xfrm>
                          <a:off x="0" y="0"/>
                          <a:ext cx="7762875" cy="9748520"/>
                          <a:chExt cx="7762875" cy="9748520"/>
                        </a:xfrm>
                      </wpg:grpSpPr>
                      <pic:pic>
                        <pic:nvPicPr>
                          <pic:cNvPr id="1160" name="Image 1160"/>
                          <pic:cNvPicPr/>
                        </pic:nvPicPr>
                        <pic:blipFill>
                          <a:blip r:embed="rId5" cstate="print"/>
                          <a:stretch>
                            <a:fillRect/>
                          </a:stretch>
                        </pic:blipFill>
                        <pic:spPr>
                          <a:xfrm>
                            <a:off x="0" y="0"/>
                            <a:ext cx="7762874" cy="9748489"/>
                          </a:xfrm>
                          <a:prstGeom prst="rect">
                            <a:avLst/>
                          </a:prstGeom>
                        </pic:spPr>
                      </pic:pic>
                      <wps:wsp>
                        <wps:cNvPr id="1161" name="Graphic 116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7760" id="docshapegroup1103" coordorigin="15,468" coordsize="12225,15352">
                <v:shape style="position:absolute;left:15;top:468;width:12225;height:15352" type="#_x0000_t75" id="docshape1104" stroked="false">
                  <v:imagedata r:id="rId5" o:title=""/>
                </v:shape>
                <v:rect style="position:absolute;left:1673;top:2028;width:8897;height:15" id="docshape110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225</w:t>
      </w:r>
    </w:p>
    <w:p>
      <w:pPr>
        <w:pStyle w:val="BodyText"/>
        <w:rPr>
          <w:sz w:val="19"/>
        </w:rPr>
      </w:pPr>
    </w:p>
    <w:tbl>
      <w:tblPr>
        <w:tblW w:w="0" w:type="auto"/>
        <w:jc w:val="left"/>
        <w:tblInd w:w="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07"/>
        <w:gridCol w:w="1512"/>
        <w:gridCol w:w="1378"/>
        <w:gridCol w:w="1378"/>
        <w:gridCol w:w="1083"/>
        <w:gridCol w:w="1280"/>
        <w:gridCol w:w="1354"/>
      </w:tblGrid>
      <w:tr>
        <w:trPr>
          <w:trHeight w:val="1292" w:hRule="atLeast"/>
        </w:trPr>
        <w:tc>
          <w:tcPr>
            <w:tcW w:w="1707" w:type="dxa"/>
            <w:shd w:val="clear" w:color="auto" w:fill="B4C5E7"/>
          </w:tcPr>
          <w:p>
            <w:pPr>
              <w:pStyle w:val="TableParagraph"/>
              <w:rPr>
                <w:sz w:val="16"/>
              </w:rPr>
            </w:pPr>
          </w:p>
          <w:p>
            <w:pPr>
              <w:pStyle w:val="TableParagraph"/>
              <w:rPr>
                <w:sz w:val="16"/>
              </w:rPr>
            </w:pPr>
          </w:p>
          <w:p>
            <w:pPr>
              <w:pStyle w:val="TableParagraph"/>
              <w:spacing w:before="7"/>
              <w:rPr>
                <w:sz w:val="16"/>
              </w:rPr>
            </w:pPr>
          </w:p>
          <w:p>
            <w:pPr>
              <w:pStyle w:val="TableParagraph"/>
              <w:ind w:left="397"/>
              <w:rPr>
                <w:rFonts w:ascii="Arial"/>
                <w:b/>
                <w:sz w:val="16"/>
              </w:rPr>
            </w:pPr>
            <w:r>
              <w:rPr>
                <w:rFonts w:ascii="Arial"/>
                <w:b/>
                <w:spacing w:val="-2"/>
                <w:sz w:val="16"/>
              </w:rPr>
              <w:t>CONCEPTO</w:t>
            </w:r>
          </w:p>
        </w:tc>
        <w:tc>
          <w:tcPr>
            <w:tcW w:w="1512" w:type="dxa"/>
            <w:shd w:val="clear" w:color="auto" w:fill="B4C5E7"/>
          </w:tcPr>
          <w:p>
            <w:pPr>
              <w:pStyle w:val="TableParagraph"/>
              <w:rPr>
                <w:sz w:val="16"/>
              </w:rPr>
            </w:pPr>
          </w:p>
          <w:p>
            <w:pPr>
              <w:pStyle w:val="TableParagraph"/>
              <w:spacing w:before="98"/>
              <w:rPr>
                <w:sz w:val="16"/>
              </w:rPr>
            </w:pPr>
          </w:p>
          <w:p>
            <w:pPr>
              <w:pStyle w:val="TableParagraph"/>
              <w:spacing w:before="1"/>
              <w:ind w:left="136" w:firstLine="12"/>
              <w:rPr>
                <w:rFonts w:ascii="Arial"/>
                <w:b/>
                <w:sz w:val="16"/>
              </w:rPr>
            </w:pPr>
            <w:r>
              <w:rPr>
                <w:rFonts w:ascii="Arial"/>
                <w:b/>
                <w:spacing w:val="-2"/>
                <w:sz w:val="16"/>
              </w:rPr>
              <w:t>PRESUPUESTO INSTITUCIONAL</w:t>
            </w:r>
          </w:p>
        </w:tc>
        <w:tc>
          <w:tcPr>
            <w:tcW w:w="1378" w:type="dxa"/>
            <w:shd w:val="clear" w:color="auto" w:fill="B4C5E7"/>
          </w:tcPr>
          <w:p>
            <w:pPr>
              <w:pStyle w:val="TableParagraph"/>
              <w:rPr>
                <w:sz w:val="16"/>
              </w:rPr>
            </w:pPr>
          </w:p>
          <w:p>
            <w:pPr>
              <w:pStyle w:val="TableParagraph"/>
              <w:spacing w:before="98"/>
              <w:rPr>
                <w:sz w:val="16"/>
              </w:rPr>
            </w:pPr>
          </w:p>
          <w:p>
            <w:pPr>
              <w:pStyle w:val="TableParagraph"/>
              <w:spacing w:before="1"/>
              <w:ind w:left="364" w:hanging="99"/>
              <w:rPr>
                <w:rFonts w:ascii="Arial"/>
                <w:b/>
                <w:sz w:val="16"/>
              </w:rPr>
            </w:pPr>
            <w:r>
              <w:rPr>
                <w:rFonts w:ascii="Arial"/>
                <w:b/>
                <w:spacing w:val="-2"/>
                <w:sz w:val="16"/>
              </w:rPr>
              <w:t>INGRESOS REALES</w:t>
            </w:r>
          </w:p>
        </w:tc>
        <w:tc>
          <w:tcPr>
            <w:tcW w:w="1378" w:type="dxa"/>
            <w:shd w:val="clear" w:color="auto" w:fill="B4C5E7"/>
          </w:tcPr>
          <w:p>
            <w:pPr>
              <w:pStyle w:val="TableParagraph"/>
              <w:rPr>
                <w:sz w:val="16"/>
              </w:rPr>
            </w:pPr>
          </w:p>
          <w:p>
            <w:pPr>
              <w:pStyle w:val="TableParagraph"/>
              <w:spacing w:before="98"/>
              <w:rPr>
                <w:sz w:val="16"/>
              </w:rPr>
            </w:pPr>
          </w:p>
          <w:p>
            <w:pPr>
              <w:pStyle w:val="TableParagraph"/>
              <w:spacing w:before="1"/>
              <w:ind w:left="364" w:right="268" w:hanging="72"/>
              <w:rPr>
                <w:rFonts w:ascii="Arial"/>
                <w:b/>
                <w:sz w:val="16"/>
              </w:rPr>
            </w:pPr>
            <w:r>
              <w:rPr>
                <w:rFonts w:ascii="Arial"/>
                <w:b/>
                <w:spacing w:val="-2"/>
                <w:sz w:val="16"/>
              </w:rPr>
              <w:t>EGRESOS REALES</w:t>
            </w:r>
          </w:p>
        </w:tc>
        <w:tc>
          <w:tcPr>
            <w:tcW w:w="1083" w:type="dxa"/>
            <w:shd w:val="clear" w:color="auto" w:fill="B4C5E7"/>
          </w:tcPr>
          <w:p>
            <w:pPr>
              <w:pStyle w:val="TableParagraph"/>
              <w:spacing w:before="5"/>
              <w:rPr>
                <w:sz w:val="16"/>
              </w:rPr>
            </w:pPr>
          </w:p>
          <w:p>
            <w:pPr>
              <w:pStyle w:val="TableParagraph"/>
              <w:ind w:left="86" w:right="66" w:firstLine="43"/>
              <w:jc w:val="center"/>
              <w:rPr>
                <w:rFonts w:ascii="Arial"/>
                <w:b/>
                <w:sz w:val="16"/>
              </w:rPr>
            </w:pPr>
            <w:r>
              <w:rPr>
                <w:rFonts w:ascii="Arial"/>
                <w:b/>
                <w:sz w:val="16"/>
              </w:rPr>
              <w:t>% DE </w:t>
            </w:r>
            <w:r>
              <w:rPr>
                <w:rFonts w:ascii="Arial"/>
                <w:b/>
                <w:spacing w:val="-2"/>
                <w:sz w:val="16"/>
              </w:rPr>
              <w:t>EGRESOS </w:t>
            </w:r>
            <w:r>
              <w:rPr>
                <w:rFonts w:ascii="Arial"/>
                <w:b/>
                <w:sz w:val="16"/>
              </w:rPr>
              <w:t>REALES</w:t>
            </w:r>
            <w:r>
              <w:rPr>
                <w:rFonts w:ascii="Arial"/>
                <w:b/>
                <w:spacing w:val="-12"/>
                <w:sz w:val="16"/>
              </w:rPr>
              <w:t> </w:t>
            </w:r>
            <w:r>
              <w:rPr>
                <w:rFonts w:ascii="Arial"/>
                <w:b/>
                <w:sz w:val="16"/>
              </w:rPr>
              <w:t>VS </w:t>
            </w:r>
            <w:r>
              <w:rPr>
                <w:rFonts w:ascii="Arial"/>
                <w:b/>
                <w:spacing w:val="-2"/>
                <w:sz w:val="16"/>
              </w:rPr>
              <w:t>INGRESOS REALES</w:t>
            </w:r>
          </w:p>
        </w:tc>
        <w:tc>
          <w:tcPr>
            <w:tcW w:w="1280" w:type="dxa"/>
            <w:shd w:val="clear" w:color="auto" w:fill="B4C5E7"/>
          </w:tcPr>
          <w:p>
            <w:pPr>
              <w:pStyle w:val="TableParagraph"/>
              <w:rPr>
                <w:sz w:val="16"/>
              </w:rPr>
            </w:pPr>
          </w:p>
          <w:p>
            <w:pPr>
              <w:pStyle w:val="TableParagraph"/>
              <w:spacing w:before="98"/>
              <w:rPr>
                <w:sz w:val="16"/>
              </w:rPr>
            </w:pPr>
          </w:p>
          <w:p>
            <w:pPr>
              <w:pStyle w:val="TableParagraph"/>
              <w:spacing w:before="1"/>
              <w:ind w:left="421" w:right="162" w:hanging="243"/>
              <w:rPr>
                <w:rFonts w:ascii="Arial" w:hAnsi="Arial"/>
                <w:b/>
                <w:sz w:val="16"/>
              </w:rPr>
            </w:pPr>
            <w:r>
              <w:rPr>
                <w:rFonts w:ascii="Arial" w:hAnsi="Arial"/>
                <w:b/>
                <w:spacing w:val="-2"/>
                <w:sz w:val="16"/>
              </w:rPr>
              <w:t>SUPERÁVIT </w:t>
            </w:r>
            <w:r>
              <w:rPr>
                <w:rFonts w:ascii="Arial" w:hAnsi="Arial"/>
                <w:b/>
                <w:spacing w:val="-4"/>
                <w:sz w:val="16"/>
              </w:rPr>
              <w:t>REAL</w:t>
            </w:r>
          </w:p>
        </w:tc>
        <w:tc>
          <w:tcPr>
            <w:tcW w:w="1354" w:type="dxa"/>
            <w:shd w:val="clear" w:color="auto" w:fill="B4C5E7"/>
          </w:tcPr>
          <w:p>
            <w:pPr>
              <w:pStyle w:val="TableParagraph"/>
              <w:rPr>
                <w:sz w:val="16"/>
              </w:rPr>
            </w:pPr>
          </w:p>
          <w:p>
            <w:pPr>
              <w:pStyle w:val="TableParagraph"/>
              <w:spacing w:before="5"/>
              <w:rPr>
                <w:sz w:val="16"/>
              </w:rPr>
            </w:pPr>
          </w:p>
          <w:p>
            <w:pPr>
              <w:pStyle w:val="TableParagraph"/>
              <w:ind w:left="128" w:right="108" w:firstLine="40"/>
              <w:jc w:val="center"/>
              <w:rPr>
                <w:rFonts w:ascii="Arial"/>
                <w:b/>
                <w:sz w:val="16"/>
              </w:rPr>
            </w:pPr>
            <w:r>
              <w:rPr>
                <w:rFonts w:ascii="Arial"/>
                <w:b/>
                <w:sz w:val="16"/>
              </w:rPr>
              <w:t>%</w:t>
            </w:r>
            <w:r>
              <w:rPr>
                <w:rFonts w:ascii="Arial"/>
                <w:b/>
                <w:spacing w:val="-12"/>
                <w:sz w:val="16"/>
              </w:rPr>
              <w:t> </w:t>
            </w:r>
            <w:r>
              <w:rPr>
                <w:rFonts w:ascii="Arial"/>
                <w:b/>
                <w:sz w:val="16"/>
              </w:rPr>
              <w:t>INGRESOS REALES NO </w:t>
            </w:r>
            <w:r>
              <w:rPr>
                <w:rFonts w:ascii="Arial"/>
                <w:b/>
                <w:spacing w:val="-2"/>
                <w:sz w:val="16"/>
              </w:rPr>
              <w:t>EJECUTADOS</w:t>
            </w:r>
          </w:p>
        </w:tc>
      </w:tr>
      <w:tr>
        <w:trPr>
          <w:trHeight w:val="270" w:hRule="atLeast"/>
        </w:trPr>
        <w:tc>
          <w:tcPr>
            <w:tcW w:w="1707" w:type="dxa"/>
            <w:shd w:val="clear" w:color="auto" w:fill="DAE9F7"/>
          </w:tcPr>
          <w:p>
            <w:pPr>
              <w:pStyle w:val="TableParagraph"/>
              <w:spacing w:before="44"/>
              <w:ind w:left="69"/>
              <w:rPr>
                <w:rFonts w:ascii="Arial"/>
                <w:b/>
                <w:sz w:val="16"/>
              </w:rPr>
            </w:pPr>
            <w:r>
              <w:rPr>
                <w:rFonts w:ascii="Arial"/>
                <w:b/>
                <w:spacing w:val="-2"/>
                <w:sz w:val="16"/>
              </w:rPr>
              <w:t>TOTAL</w:t>
            </w:r>
          </w:p>
        </w:tc>
        <w:tc>
          <w:tcPr>
            <w:tcW w:w="1512" w:type="dxa"/>
            <w:shd w:val="clear" w:color="auto" w:fill="DAE9F7"/>
          </w:tcPr>
          <w:p>
            <w:pPr>
              <w:pStyle w:val="TableParagraph"/>
              <w:spacing w:before="44"/>
              <w:ind w:left="328"/>
              <w:rPr>
                <w:rFonts w:ascii="Arial"/>
                <w:b/>
                <w:sz w:val="16"/>
              </w:rPr>
            </w:pPr>
            <w:r>
              <w:rPr>
                <w:rFonts w:ascii="Arial"/>
                <w:b/>
                <w:spacing w:val="-2"/>
                <w:sz w:val="16"/>
              </w:rPr>
              <w:t>277.908.088,58</w:t>
            </w:r>
          </w:p>
        </w:tc>
        <w:tc>
          <w:tcPr>
            <w:tcW w:w="1378" w:type="dxa"/>
            <w:shd w:val="clear" w:color="auto" w:fill="DAE9F7"/>
          </w:tcPr>
          <w:p>
            <w:pPr>
              <w:pStyle w:val="TableParagraph"/>
              <w:spacing w:before="44"/>
              <w:ind w:left="196"/>
              <w:rPr>
                <w:rFonts w:ascii="Arial"/>
                <w:b/>
                <w:sz w:val="16"/>
              </w:rPr>
            </w:pPr>
            <w:r>
              <w:rPr>
                <w:rFonts w:ascii="Arial"/>
                <w:b/>
                <w:spacing w:val="-2"/>
                <w:sz w:val="16"/>
              </w:rPr>
              <w:t>161.676.280,88</w:t>
            </w:r>
          </w:p>
        </w:tc>
        <w:tc>
          <w:tcPr>
            <w:tcW w:w="1378" w:type="dxa"/>
            <w:shd w:val="clear" w:color="auto" w:fill="DAE9F7"/>
          </w:tcPr>
          <w:p>
            <w:pPr>
              <w:pStyle w:val="TableParagraph"/>
              <w:spacing w:before="44"/>
              <w:ind w:left="196"/>
              <w:rPr>
                <w:rFonts w:ascii="Arial"/>
                <w:b/>
                <w:sz w:val="16"/>
              </w:rPr>
            </w:pPr>
            <w:r>
              <w:rPr>
                <w:rFonts w:ascii="Arial"/>
                <w:b/>
                <w:spacing w:val="-2"/>
                <w:sz w:val="16"/>
              </w:rPr>
              <w:t>127.654.273,08</w:t>
            </w:r>
          </w:p>
        </w:tc>
        <w:tc>
          <w:tcPr>
            <w:tcW w:w="1083" w:type="dxa"/>
            <w:shd w:val="clear" w:color="auto" w:fill="DAE9F7"/>
          </w:tcPr>
          <w:p>
            <w:pPr>
              <w:pStyle w:val="TableParagraph"/>
              <w:spacing w:before="44"/>
              <w:ind w:left="268"/>
              <w:rPr>
                <w:rFonts w:ascii="Arial"/>
                <w:b/>
                <w:sz w:val="16"/>
              </w:rPr>
            </w:pPr>
            <w:r>
              <w:rPr>
                <w:rFonts w:ascii="Arial"/>
                <w:b/>
                <w:spacing w:val="-2"/>
                <w:sz w:val="16"/>
              </w:rPr>
              <w:t>78.96%</w:t>
            </w:r>
          </w:p>
        </w:tc>
        <w:tc>
          <w:tcPr>
            <w:tcW w:w="1280" w:type="dxa"/>
            <w:shd w:val="clear" w:color="auto" w:fill="DAE9F7"/>
          </w:tcPr>
          <w:p>
            <w:pPr>
              <w:pStyle w:val="TableParagraph"/>
              <w:spacing w:before="44"/>
              <w:ind w:left="137"/>
              <w:jc w:val="center"/>
              <w:rPr>
                <w:rFonts w:ascii="Arial"/>
                <w:b/>
                <w:sz w:val="16"/>
              </w:rPr>
            </w:pPr>
            <w:r>
              <w:rPr>
                <w:rFonts w:ascii="Arial"/>
                <w:b/>
                <w:spacing w:val="-2"/>
                <w:sz w:val="16"/>
              </w:rPr>
              <w:t>34.022.007,80</w:t>
            </w:r>
          </w:p>
        </w:tc>
        <w:tc>
          <w:tcPr>
            <w:tcW w:w="1354" w:type="dxa"/>
            <w:shd w:val="clear" w:color="auto" w:fill="DAE9F7"/>
          </w:tcPr>
          <w:p>
            <w:pPr>
              <w:pStyle w:val="TableParagraph"/>
              <w:spacing w:before="44"/>
              <w:ind w:left="404"/>
              <w:rPr>
                <w:rFonts w:ascii="Arial"/>
                <w:b/>
                <w:sz w:val="16"/>
              </w:rPr>
            </w:pPr>
            <w:r>
              <w:rPr>
                <w:rFonts w:ascii="Arial"/>
                <w:b/>
                <w:spacing w:val="-2"/>
                <w:sz w:val="16"/>
              </w:rPr>
              <w:t>21.04%</w:t>
            </w:r>
          </w:p>
        </w:tc>
      </w:tr>
      <w:tr>
        <w:trPr>
          <w:trHeight w:val="270" w:hRule="atLeast"/>
        </w:trPr>
        <w:tc>
          <w:tcPr>
            <w:tcW w:w="3219" w:type="dxa"/>
            <w:gridSpan w:val="2"/>
            <w:tcBorders>
              <w:left w:val="nil"/>
              <w:bottom w:val="nil"/>
            </w:tcBorders>
          </w:tcPr>
          <w:p>
            <w:pPr>
              <w:pStyle w:val="TableParagraph"/>
              <w:rPr>
                <w:rFonts w:ascii="Times New Roman"/>
                <w:sz w:val="20"/>
              </w:rPr>
            </w:pPr>
          </w:p>
        </w:tc>
        <w:tc>
          <w:tcPr>
            <w:tcW w:w="1378" w:type="dxa"/>
          </w:tcPr>
          <w:p>
            <w:pPr>
              <w:pStyle w:val="TableParagraph"/>
              <w:spacing w:before="44"/>
              <w:ind w:left="417"/>
              <w:rPr>
                <w:rFonts w:ascii="Arial"/>
                <w:b/>
                <w:sz w:val="16"/>
              </w:rPr>
            </w:pPr>
            <w:r>
              <w:rPr>
                <w:rFonts w:ascii="Arial"/>
                <w:b/>
                <w:color w:val="0000FF"/>
                <w:spacing w:val="-2"/>
                <w:sz w:val="16"/>
              </w:rPr>
              <w:t>58.18%</w:t>
            </w:r>
          </w:p>
        </w:tc>
        <w:tc>
          <w:tcPr>
            <w:tcW w:w="1378" w:type="dxa"/>
          </w:tcPr>
          <w:p>
            <w:pPr>
              <w:pStyle w:val="TableParagraph"/>
              <w:spacing w:before="44"/>
              <w:ind w:left="417"/>
              <w:rPr>
                <w:rFonts w:ascii="Arial"/>
                <w:b/>
                <w:sz w:val="16"/>
              </w:rPr>
            </w:pPr>
            <w:r>
              <w:rPr>
                <w:rFonts w:ascii="Arial"/>
                <w:b/>
                <w:color w:val="0000FF"/>
                <w:spacing w:val="-2"/>
                <w:sz w:val="16"/>
              </w:rPr>
              <w:t>45.93%</w:t>
            </w:r>
          </w:p>
        </w:tc>
        <w:tc>
          <w:tcPr>
            <w:tcW w:w="1083" w:type="dxa"/>
          </w:tcPr>
          <w:p>
            <w:pPr>
              <w:pStyle w:val="TableParagraph"/>
              <w:rPr>
                <w:rFonts w:ascii="Times New Roman"/>
                <w:sz w:val="20"/>
              </w:rPr>
            </w:pPr>
          </w:p>
        </w:tc>
        <w:tc>
          <w:tcPr>
            <w:tcW w:w="1280" w:type="dxa"/>
          </w:tcPr>
          <w:p>
            <w:pPr>
              <w:pStyle w:val="TableParagraph"/>
              <w:spacing w:before="44"/>
              <w:ind w:left="16"/>
              <w:jc w:val="center"/>
              <w:rPr>
                <w:rFonts w:ascii="Arial"/>
                <w:b/>
                <w:sz w:val="16"/>
              </w:rPr>
            </w:pPr>
            <w:r>
              <w:rPr>
                <w:rFonts w:ascii="Arial"/>
                <w:b/>
                <w:color w:val="0000FF"/>
                <w:spacing w:val="-2"/>
                <w:sz w:val="16"/>
              </w:rPr>
              <w:t>78.96%</w:t>
            </w:r>
          </w:p>
        </w:tc>
        <w:tc>
          <w:tcPr>
            <w:tcW w:w="1354" w:type="dxa"/>
          </w:tcPr>
          <w:p>
            <w:pPr>
              <w:pStyle w:val="TableParagraph"/>
              <w:rPr>
                <w:rFonts w:ascii="Times New Roman"/>
                <w:sz w:val="20"/>
              </w:rPr>
            </w:pPr>
          </w:p>
        </w:tc>
      </w:tr>
    </w:tbl>
    <w:p>
      <w:pPr>
        <w:pStyle w:val="BodyText"/>
        <w:spacing w:before="44"/>
        <w:rPr>
          <w:sz w:val="20"/>
        </w:rPr>
      </w:pPr>
    </w:p>
    <w:p>
      <w:pPr>
        <w:pStyle w:val="BodyText"/>
        <w:spacing w:line="259" w:lineRule="auto"/>
        <w:ind w:left="622" w:right="978"/>
        <w:jc w:val="both"/>
      </w:pPr>
      <w:r>
        <w:rPr/>
        <w:t>Como se logra visualizar en el cuadro anterior, el Presupuesto Institucional Ajustado a esa fecha ascendió a la suma de ¢ 277.908.088,58 miles y el ingreso real alcanzo la suma de </w:t>
      </w:r>
      <w:r>
        <w:rPr>
          <w:rFonts w:ascii="Times New Roman" w:hAnsi="Times New Roman" w:cs="Times New Roman"/>
          <w:rtl/>
        </w:rPr>
        <w:t>ٕ</w:t>
      </w:r>
      <w:r>
        <w:rPr/>
        <w:t>¢ 161.676.280,88 miles,</w:t>
      </w:r>
      <w:r>
        <w:rPr>
          <w:spacing w:val="-1"/>
        </w:rPr>
        <w:t> </w:t>
      </w:r>
      <w:r>
        <w:rPr/>
        <w:t>representando</w:t>
      </w:r>
      <w:r>
        <w:rPr>
          <w:spacing w:val="-3"/>
        </w:rPr>
        <w:t> </w:t>
      </w:r>
      <w:r>
        <w:rPr/>
        <w:t>en</w:t>
      </w:r>
      <w:r>
        <w:rPr>
          <w:spacing w:val="-3"/>
        </w:rPr>
        <w:t> </w:t>
      </w:r>
      <w:r>
        <w:rPr/>
        <w:t>términos relativos un</w:t>
      </w:r>
      <w:r>
        <w:rPr>
          <w:spacing w:val="-3"/>
        </w:rPr>
        <w:t> </w:t>
      </w:r>
      <w:r>
        <w:rPr/>
        <w:t>58.18%</w:t>
      </w:r>
      <w:r>
        <w:rPr>
          <w:spacing w:val="-3"/>
        </w:rPr>
        <w:t> </w:t>
      </w:r>
      <w:r>
        <w:rPr/>
        <w:t>de</w:t>
      </w:r>
      <w:r>
        <w:rPr>
          <w:spacing w:val="-2"/>
        </w:rPr>
        <w:t> </w:t>
      </w:r>
      <w:r>
        <w:rPr/>
        <w:t>éste. Los</w:t>
      </w:r>
      <w:r>
        <w:rPr>
          <w:spacing w:val="-2"/>
        </w:rPr>
        <w:t> </w:t>
      </w:r>
      <w:r>
        <w:rPr/>
        <w:t>egresos</w:t>
      </w:r>
      <w:r>
        <w:rPr>
          <w:spacing w:val="-2"/>
        </w:rPr>
        <w:t> </w:t>
      </w:r>
      <w:r>
        <w:rPr/>
        <w:t>o</w:t>
      </w:r>
      <w:r>
        <w:rPr>
          <w:spacing w:val="-3"/>
        </w:rPr>
        <w:t> </w:t>
      </w:r>
      <w:r>
        <w:rPr/>
        <w:t>ejecución</w:t>
      </w:r>
      <w:r>
        <w:rPr>
          <w:spacing w:val="-1"/>
        </w:rPr>
        <w:t> </w:t>
      </w:r>
      <w:r>
        <w:rPr/>
        <w:t>presupuestaria también a ese mismo mes fueron por un monto de ¢ 127.654.273,08 miles lo que representó en términos relativos un 45.93% con respecto al total del presupuesto</w:t>
      </w:r>
      <w:r>
        <w:rPr/>
        <w:t>.</w:t>
      </w:r>
    </w:p>
    <w:p>
      <w:pPr>
        <w:pStyle w:val="BodyText"/>
        <w:spacing w:line="259" w:lineRule="auto" w:before="160"/>
        <w:ind w:left="622" w:right="980"/>
        <w:jc w:val="both"/>
      </w:pPr>
      <w:r>
        <w:rPr/>
        <w:t>Si comparamos el ingreso real versus el egreso real, el superávit real éste ascendió a la suma ¢ 34.022.007,80</w:t>
      </w:r>
      <w:r>
        <w:rPr>
          <w:spacing w:val="-2"/>
        </w:rPr>
        <w:t> </w:t>
      </w:r>
      <w:r>
        <w:rPr/>
        <w:t>miles</w:t>
      </w:r>
      <w:r>
        <w:rPr>
          <w:spacing w:val="-1"/>
        </w:rPr>
        <w:t> </w:t>
      </w:r>
      <w:r>
        <w:rPr/>
        <w:t>lo</w:t>
      </w:r>
      <w:r>
        <w:rPr>
          <w:spacing w:val="-4"/>
        </w:rPr>
        <w:t> </w:t>
      </w:r>
      <w:r>
        <w:rPr/>
        <w:t>que</w:t>
      </w:r>
      <w:r>
        <w:rPr>
          <w:spacing w:val="-4"/>
        </w:rPr>
        <w:t> </w:t>
      </w:r>
      <w:r>
        <w:rPr/>
        <w:t>represento</w:t>
      </w:r>
      <w:r>
        <w:rPr>
          <w:spacing w:val="-2"/>
        </w:rPr>
        <w:t> </w:t>
      </w:r>
      <w:r>
        <w:rPr/>
        <w:t>un</w:t>
      </w:r>
      <w:r>
        <w:rPr>
          <w:spacing w:val="-2"/>
        </w:rPr>
        <w:t> </w:t>
      </w:r>
      <w:r>
        <w:rPr/>
        <w:t>porcentaje</w:t>
      </w:r>
      <w:r>
        <w:rPr>
          <w:spacing w:val="-1"/>
        </w:rPr>
        <w:t> </w:t>
      </w:r>
      <w:r>
        <w:rPr/>
        <w:t>de</w:t>
      </w:r>
      <w:r>
        <w:rPr>
          <w:spacing w:val="-4"/>
        </w:rPr>
        <w:t> </w:t>
      </w:r>
      <w:r>
        <w:rPr/>
        <w:t>NO</w:t>
      </w:r>
      <w:r>
        <w:rPr>
          <w:spacing w:val="-4"/>
        </w:rPr>
        <w:t> </w:t>
      </w:r>
      <w:r>
        <w:rPr/>
        <w:t>ejecución</w:t>
      </w:r>
      <w:r>
        <w:rPr>
          <w:spacing w:val="-4"/>
        </w:rPr>
        <w:t> </w:t>
      </w:r>
      <w:r>
        <w:rPr/>
        <w:t>equivalente</w:t>
      </w:r>
      <w:r>
        <w:rPr>
          <w:spacing w:val="-4"/>
        </w:rPr>
        <w:t> </w:t>
      </w:r>
      <w:r>
        <w:rPr/>
        <w:t>al</w:t>
      </w:r>
      <w:r>
        <w:rPr>
          <w:spacing w:val="-2"/>
        </w:rPr>
        <w:t> </w:t>
      </w:r>
      <w:r>
        <w:rPr/>
        <w:t>21.04%</w:t>
      </w:r>
      <w:r>
        <w:rPr>
          <w:spacing w:val="-2"/>
        </w:rPr>
        <w:t> </w:t>
      </w:r>
      <w:r>
        <w:rPr/>
        <w:t>del</w:t>
      </w:r>
      <w:r>
        <w:rPr>
          <w:spacing w:val="-2"/>
        </w:rPr>
        <w:t> </w:t>
      </w:r>
      <w:r>
        <w:rPr/>
        <w:t>total de los recursos efectivamente ingresados.</w:t>
      </w:r>
    </w:p>
    <w:p>
      <w:pPr>
        <w:pStyle w:val="BodyText"/>
        <w:spacing w:line="259" w:lineRule="auto" w:before="159"/>
        <w:ind w:left="622" w:right="1082"/>
      </w:pPr>
      <w:r>
        <w:rPr/>
        <w:t>El</w:t>
      </w:r>
      <w:r>
        <w:rPr>
          <w:spacing w:val="-3"/>
        </w:rPr>
        <w:t> </w:t>
      </w:r>
      <w:r>
        <w:rPr/>
        <w:t>Superávit/</w:t>
      </w:r>
      <w:r>
        <w:rPr>
          <w:spacing w:val="-5"/>
        </w:rPr>
        <w:t> </w:t>
      </w:r>
      <w:r>
        <w:rPr/>
        <w:t>Déficit</w:t>
      </w:r>
      <w:r>
        <w:rPr>
          <w:spacing w:val="-3"/>
        </w:rPr>
        <w:t> </w:t>
      </w:r>
      <w:r>
        <w:rPr/>
        <w:t>Presupuestario,</w:t>
      </w:r>
      <w:r>
        <w:rPr>
          <w:spacing w:val="-3"/>
        </w:rPr>
        <w:t> </w:t>
      </w:r>
      <w:r>
        <w:rPr/>
        <w:t>comparado</w:t>
      </w:r>
      <w:r>
        <w:rPr>
          <w:spacing w:val="-3"/>
        </w:rPr>
        <w:t> </w:t>
      </w:r>
      <w:r>
        <w:rPr/>
        <w:t>al</w:t>
      </w:r>
      <w:r>
        <w:rPr>
          <w:spacing w:val="-3"/>
        </w:rPr>
        <w:t> </w:t>
      </w:r>
      <w:r>
        <w:rPr/>
        <w:t>periodo</w:t>
      </w:r>
      <w:r>
        <w:rPr>
          <w:spacing w:val="-3"/>
        </w:rPr>
        <w:t> </w:t>
      </w:r>
      <w:r>
        <w:rPr/>
        <w:t>anterior</w:t>
      </w:r>
      <w:r>
        <w:rPr>
          <w:spacing w:val="-3"/>
        </w:rPr>
        <w:t> </w:t>
      </w:r>
      <w:r>
        <w:rPr/>
        <w:t>genera</w:t>
      </w:r>
      <w:r>
        <w:rPr>
          <w:spacing w:val="-4"/>
        </w:rPr>
        <w:t> </w:t>
      </w:r>
      <w:r>
        <w:rPr/>
        <w:t>una</w:t>
      </w:r>
      <w:r>
        <w:rPr>
          <w:spacing w:val="-4"/>
        </w:rPr>
        <w:t> </w:t>
      </w:r>
      <w:r>
        <w:rPr/>
        <w:t>disminución</w:t>
      </w:r>
      <w:r>
        <w:rPr>
          <w:spacing w:val="-5"/>
        </w:rPr>
        <w:t> </w:t>
      </w:r>
      <w:r>
        <w:rPr/>
        <w:t>relativa a un 14,02 %, lo que provoca indicar el siguiente análisis:</w:t>
      </w:r>
    </w:p>
    <w:p>
      <w:pPr>
        <w:pStyle w:val="BodyText"/>
        <w:spacing w:line="259" w:lineRule="auto" w:before="159"/>
        <w:ind w:left="622" w:right="980"/>
        <w:jc w:val="both"/>
      </w:pPr>
      <w:r>
        <w:rPr/>
        <w:t>Como</w:t>
      </w:r>
      <w:r>
        <w:rPr>
          <w:spacing w:val="-11"/>
        </w:rPr>
        <w:t> </w:t>
      </w:r>
      <w:r>
        <w:rPr/>
        <w:t>se</w:t>
      </w:r>
      <w:r>
        <w:rPr>
          <w:spacing w:val="-8"/>
        </w:rPr>
        <w:t> </w:t>
      </w:r>
      <w:r>
        <w:rPr/>
        <w:t>puede</w:t>
      </w:r>
      <w:r>
        <w:rPr>
          <w:spacing w:val="-8"/>
        </w:rPr>
        <w:t> </w:t>
      </w:r>
      <w:r>
        <w:rPr/>
        <w:t>visualizar</w:t>
      </w:r>
      <w:r>
        <w:rPr>
          <w:spacing w:val="-10"/>
        </w:rPr>
        <w:t> </w:t>
      </w:r>
      <w:r>
        <w:rPr/>
        <w:t>los</w:t>
      </w:r>
      <w:r>
        <w:rPr>
          <w:spacing w:val="-9"/>
        </w:rPr>
        <w:t> </w:t>
      </w:r>
      <w:r>
        <w:rPr/>
        <w:t>recursos</w:t>
      </w:r>
      <w:r>
        <w:rPr>
          <w:spacing w:val="-9"/>
        </w:rPr>
        <w:t> </w:t>
      </w:r>
      <w:r>
        <w:rPr/>
        <w:t>incorporados</w:t>
      </w:r>
      <w:r>
        <w:rPr>
          <w:spacing w:val="-11"/>
        </w:rPr>
        <w:t> </w:t>
      </w:r>
      <w:r>
        <w:rPr/>
        <w:t>en</w:t>
      </w:r>
      <w:r>
        <w:rPr>
          <w:spacing w:val="-12"/>
        </w:rPr>
        <w:t> </w:t>
      </w:r>
      <w:r>
        <w:rPr/>
        <w:t>el</w:t>
      </w:r>
      <w:r>
        <w:rPr>
          <w:spacing w:val="-10"/>
        </w:rPr>
        <w:t> </w:t>
      </w:r>
      <w:r>
        <w:rPr/>
        <w:t>Presupuesto</w:t>
      </w:r>
      <w:r>
        <w:rPr>
          <w:spacing w:val="-9"/>
        </w:rPr>
        <w:t> </w:t>
      </w:r>
      <w:r>
        <w:rPr/>
        <w:t>Ordinario</w:t>
      </w:r>
      <w:r>
        <w:rPr>
          <w:spacing w:val="-9"/>
        </w:rPr>
        <w:t> </w:t>
      </w:r>
      <w:r>
        <w:rPr/>
        <w:t>del</w:t>
      </w:r>
      <w:r>
        <w:rPr>
          <w:spacing w:val="-10"/>
        </w:rPr>
        <w:t> </w:t>
      </w:r>
      <w:r>
        <w:rPr/>
        <w:t>periodo</w:t>
      </w:r>
      <w:r>
        <w:rPr>
          <w:spacing w:val="-9"/>
        </w:rPr>
        <w:t> </w:t>
      </w:r>
      <w:r>
        <w:rPr/>
        <w:t>2025</w:t>
      </w:r>
      <w:r>
        <w:rPr>
          <w:spacing w:val="-11"/>
        </w:rPr>
        <w:t> </w:t>
      </w:r>
      <w:r>
        <w:rPr/>
        <w:t>fue superior</w:t>
      </w:r>
      <w:r>
        <w:rPr>
          <w:spacing w:val="-5"/>
        </w:rPr>
        <w:t> </w:t>
      </w:r>
      <w:r>
        <w:rPr/>
        <w:t>al</w:t>
      </w:r>
      <w:r>
        <w:rPr>
          <w:spacing w:val="-5"/>
        </w:rPr>
        <w:t> </w:t>
      </w:r>
      <w:r>
        <w:rPr/>
        <w:t>Presupuesto</w:t>
      </w:r>
      <w:r>
        <w:rPr>
          <w:spacing w:val="-4"/>
        </w:rPr>
        <w:t> </w:t>
      </w:r>
      <w:r>
        <w:rPr/>
        <w:t>Ordinario</w:t>
      </w:r>
      <w:r>
        <w:rPr>
          <w:spacing w:val="-4"/>
        </w:rPr>
        <w:t> </w:t>
      </w:r>
      <w:r>
        <w:rPr/>
        <w:t>2026</w:t>
      </w:r>
      <w:r>
        <w:rPr>
          <w:spacing w:val="-6"/>
        </w:rPr>
        <w:t> </w:t>
      </w:r>
      <w:r>
        <w:rPr/>
        <w:t>a</w:t>
      </w:r>
      <w:r>
        <w:rPr>
          <w:spacing w:val="-5"/>
        </w:rPr>
        <w:t> </w:t>
      </w:r>
      <w:r>
        <w:rPr/>
        <w:t>esa</w:t>
      </w:r>
      <w:r>
        <w:rPr>
          <w:spacing w:val="-5"/>
        </w:rPr>
        <w:t> </w:t>
      </w:r>
      <w:r>
        <w:rPr/>
        <w:t>fecha,</w:t>
      </w:r>
      <w:r>
        <w:rPr>
          <w:spacing w:val="-5"/>
        </w:rPr>
        <w:t> </w:t>
      </w:r>
      <w:r>
        <w:rPr/>
        <w:t>dicha</w:t>
      </w:r>
      <w:r>
        <w:rPr>
          <w:spacing w:val="-5"/>
        </w:rPr>
        <w:t> </w:t>
      </w:r>
      <w:r>
        <w:rPr/>
        <w:t>diferencia</w:t>
      </w:r>
      <w:r>
        <w:rPr>
          <w:spacing w:val="-5"/>
        </w:rPr>
        <w:t> </w:t>
      </w:r>
      <w:r>
        <w:rPr/>
        <w:t>en</w:t>
      </w:r>
      <w:r>
        <w:rPr>
          <w:spacing w:val="-4"/>
        </w:rPr>
        <w:t> </w:t>
      </w:r>
      <w:r>
        <w:rPr/>
        <w:t>términos</w:t>
      </w:r>
      <w:r>
        <w:rPr>
          <w:spacing w:val="-4"/>
        </w:rPr>
        <w:t> </w:t>
      </w:r>
      <w:r>
        <w:rPr/>
        <w:t>absolutos</w:t>
      </w:r>
      <w:r>
        <w:rPr>
          <w:spacing w:val="-4"/>
        </w:rPr>
        <w:t> </w:t>
      </w:r>
      <w:r>
        <w:rPr/>
        <w:t>asciende</w:t>
      </w:r>
      <w:r>
        <w:rPr>
          <w:spacing w:val="-4"/>
        </w:rPr>
        <w:t> </w:t>
      </w:r>
      <w:r>
        <w:rPr/>
        <w:t>a la suma de ¢ 945.272,11 miles representando un porcentaje de 0.34%.</w:t>
      </w:r>
    </w:p>
    <w:p>
      <w:pPr>
        <w:pStyle w:val="BodyText"/>
        <w:spacing w:line="256" w:lineRule="auto" w:before="162"/>
        <w:ind w:left="622" w:right="944"/>
      </w:pPr>
      <w:r>
        <w:rPr/>
        <w:t>El</w:t>
      </w:r>
      <w:r>
        <w:rPr>
          <w:spacing w:val="-15"/>
        </w:rPr>
        <w:t> </w:t>
      </w:r>
      <w:r>
        <w:rPr/>
        <w:t>superávit</w:t>
      </w:r>
      <w:r>
        <w:rPr>
          <w:spacing w:val="-14"/>
        </w:rPr>
        <w:t> </w:t>
      </w:r>
      <w:r>
        <w:rPr/>
        <w:t>del</w:t>
      </w:r>
      <w:r>
        <w:rPr>
          <w:spacing w:val="-15"/>
        </w:rPr>
        <w:t> </w:t>
      </w:r>
      <w:r>
        <w:rPr/>
        <w:t>periodo</w:t>
      </w:r>
      <w:r>
        <w:rPr>
          <w:spacing w:val="-14"/>
        </w:rPr>
        <w:t> </w:t>
      </w:r>
      <w:r>
        <w:rPr/>
        <w:t>2025</w:t>
      </w:r>
      <w:r>
        <w:rPr>
          <w:spacing w:val="-16"/>
        </w:rPr>
        <w:t> </w:t>
      </w:r>
      <w:r>
        <w:rPr/>
        <w:t>a</w:t>
      </w:r>
      <w:r>
        <w:rPr>
          <w:spacing w:val="-15"/>
        </w:rPr>
        <w:t> </w:t>
      </w:r>
      <w:r>
        <w:rPr/>
        <w:t>la</w:t>
      </w:r>
      <w:r>
        <w:rPr>
          <w:spacing w:val="-16"/>
        </w:rPr>
        <w:t> </w:t>
      </w:r>
      <w:r>
        <w:rPr/>
        <w:t>fecha</w:t>
      </w:r>
      <w:r>
        <w:rPr>
          <w:spacing w:val="-15"/>
        </w:rPr>
        <w:t> </w:t>
      </w:r>
      <w:r>
        <w:rPr/>
        <w:t>fue</w:t>
      </w:r>
      <w:r>
        <w:rPr>
          <w:spacing w:val="-14"/>
        </w:rPr>
        <w:t> </w:t>
      </w:r>
      <w:r>
        <w:rPr/>
        <w:t>superior</w:t>
      </w:r>
      <w:r>
        <w:rPr>
          <w:spacing w:val="-15"/>
        </w:rPr>
        <w:t> </w:t>
      </w:r>
      <w:r>
        <w:rPr/>
        <w:t>al</w:t>
      </w:r>
      <w:r>
        <w:rPr>
          <w:spacing w:val="-15"/>
        </w:rPr>
        <w:t> </w:t>
      </w:r>
      <w:r>
        <w:rPr/>
        <w:t>del</w:t>
      </w:r>
      <w:r>
        <w:rPr>
          <w:spacing w:val="-15"/>
        </w:rPr>
        <w:t> </w:t>
      </w:r>
      <w:r>
        <w:rPr/>
        <w:t>2026,</w:t>
      </w:r>
      <w:r>
        <w:rPr>
          <w:spacing w:val="-14"/>
        </w:rPr>
        <w:t> </w:t>
      </w:r>
      <w:r>
        <w:rPr/>
        <w:t>por</w:t>
      </w:r>
      <w:r>
        <w:rPr>
          <w:spacing w:val="-14"/>
        </w:rPr>
        <w:t> </w:t>
      </w:r>
      <w:r>
        <w:rPr/>
        <w:t>cuanto</w:t>
      </w:r>
      <w:r>
        <w:rPr>
          <w:spacing w:val="-16"/>
        </w:rPr>
        <w:t> </w:t>
      </w:r>
      <w:r>
        <w:rPr/>
        <w:t>el</w:t>
      </w:r>
      <w:r>
        <w:rPr>
          <w:spacing w:val="-15"/>
        </w:rPr>
        <w:t> </w:t>
      </w:r>
      <w:r>
        <w:rPr/>
        <w:t>ingreso</w:t>
      </w:r>
      <w:r>
        <w:rPr>
          <w:spacing w:val="-14"/>
        </w:rPr>
        <w:t> </w:t>
      </w:r>
      <w:r>
        <w:rPr/>
        <w:t>2025</w:t>
      </w:r>
      <w:r>
        <w:rPr>
          <w:spacing w:val="-16"/>
        </w:rPr>
        <w:t> </w:t>
      </w:r>
      <w:r>
        <w:rPr/>
        <w:t>fue</w:t>
      </w:r>
      <w:r>
        <w:rPr>
          <w:spacing w:val="-14"/>
        </w:rPr>
        <w:t> </w:t>
      </w:r>
      <w:r>
        <w:rPr/>
        <w:t>superior a los ingresos del 2026 y la ejecución del gasto 2025 fue superior a la ejecución del gasto del 2026.</w:t>
      </w:r>
    </w:p>
    <w:p>
      <w:pPr>
        <w:pStyle w:val="BodyText"/>
        <w:spacing w:before="162"/>
      </w:pPr>
    </w:p>
    <w:p>
      <w:pPr>
        <w:pStyle w:val="BodyText"/>
        <w:ind w:left="622"/>
        <w:jc w:val="both"/>
      </w:pPr>
      <w:r>
        <w:rPr/>
        <w:t>El</w:t>
      </w:r>
      <w:r>
        <w:rPr>
          <w:spacing w:val="58"/>
        </w:rPr>
        <w:t> </w:t>
      </w:r>
      <w:r>
        <w:rPr/>
        <w:t>Superávit/</w:t>
      </w:r>
      <w:r>
        <w:rPr>
          <w:spacing w:val="57"/>
        </w:rPr>
        <w:t> </w:t>
      </w:r>
      <w:r>
        <w:rPr/>
        <w:t>Déficit</w:t>
      </w:r>
      <w:r>
        <w:rPr>
          <w:spacing w:val="59"/>
        </w:rPr>
        <w:t> </w:t>
      </w:r>
      <w:r>
        <w:rPr/>
        <w:t>Contabilidad,</w:t>
      </w:r>
      <w:r>
        <w:rPr>
          <w:spacing w:val="59"/>
        </w:rPr>
        <w:t> </w:t>
      </w:r>
      <w:r>
        <w:rPr/>
        <w:t>comparado</w:t>
      </w:r>
      <w:r>
        <w:rPr>
          <w:spacing w:val="60"/>
        </w:rPr>
        <w:t> </w:t>
      </w:r>
      <w:r>
        <w:rPr/>
        <w:t>al</w:t>
      </w:r>
      <w:r>
        <w:rPr>
          <w:spacing w:val="58"/>
        </w:rPr>
        <w:t> </w:t>
      </w:r>
      <w:r>
        <w:rPr/>
        <w:t>periodo</w:t>
      </w:r>
      <w:r>
        <w:rPr>
          <w:spacing w:val="60"/>
        </w:rPr>
        <w:t> </w:t>
      </w:r>
      <w:r>
        <w:rPr/>
        <w:t>anterior</w:t>
      </w:r>
      <w:r>
        <w:rPr>
          <w:spacing w:val="59"/>
        </w:rPr>
        <w:t> </w:t>
      </w:r>
      <w:r>
        <w:rPr/>
        <w:t>genera</w:t>
      </w:r>
      <w:r>
        <w:rPr>
          <w:spacing w:val="59"/>
        </w:rPr>
        <w:t> </w:t>
      </w:r>
      <w:r>
        <w:rPr/>
        <w:t>una</w:t>
      </w:r>
      <w:r>
        <w:rPr>
          <w:spacing w:val="59"/>
        </w:rPr>
        <w:t> </w:t>
      </w:r>
      <w:r>
        <w:rPr/>
        <w:t>disminución</w:t>
      </w:r>
      <w:r>
        <w:rPr>
          <w:spacing w:val="60"/>
        </w:rPr>
        <w:t> </w:t>
      </w:r>
      <w:r>
        <w:rPr>
          <w:spacing w:val="-5"/>
        </w:rPr>
        <w:t>de</w:t>
      </w:r>
    </w:p>
    <w:p>
      <w:pPr>
        <w:pStyle w:val="BodyText"/>
        <w:spacing w:before="1"/>
        <w:ind w:left="622" w:right="976"/>
        <w:jc w:val="both"/>
      </w:pPr>
      <w:r>
        <w:rPr/>
        <w:t>¢ -11.101.796,87 del -48,29% con respecto al año anterior, debido a que los ingresos aumentaron en negativo</w:t>
      </w:r>
      <w:r>
        <w:rPr>
          <w:spacing w:val="-4"/>
        </w:rPr>
        <w:t> </w:t>
      </w:r>
      <w:r>
        <w:rPr/>
        <w:t>(-6,14%),</w:t>
      </w:r>
      <w:r>
        <w:rPr>
          <w:spacing w:val="-4"/>
        </w:rPr>
        <w:t> </w:t>
      </w:r>
      <w:r>
        <w:rPr/>
        <w:t>no</w:t>
      </w:r>
      <w:r>
        <w:rPr>
          <w:spacing w:val="-4"/>
        </w:rPr>
        <w:t> </w:t>
      </w:r>
      <w:r>
        <w:rPr/>
        <w:t>compensando</w:t>
      </w:r>
      <w:r>
        <w:rPr>
          <w:spacing w:val="-4"/>
        </w:rPr>
        <w:t> </w:t>
      </w:r>
      <w:r>
        <w:rPr/>
        <w:t>el</w:t>
      </w:r>
      <w:r>
        <w:rPr>
          <w:spacing w:val="-5"/>
        </w:rPr>
        <w:t> </w:t>
      </w:r>
      <w:r>
        <w:rPr/>
        <w:t>aumento</w:t>
      </w:r>
      <w:r>
        <w:rPr>
          <w:spacing w:val="-4"/>
        </w:rPr>
        <w:t> </w:t>
      </w:r>
      <w:r>
        <w:rPr/>
        <w:t>en</w:t>
      </w:r>
      <w:r>
        <w:rPr>
          <w:spacing w:val="-4"/>
        </w:rPr>
        <w:t> </w:t>
      </w:r>
      <w:r>
        <w:rPr/>
        <w:t>los</w:t>
      </w:r>
      <w:r>
        <w:rPr>
          <w:spacing w:val="-4"/>
        </w:rPr>
        <w:t> </w:t>
      </w:r>
      <w:r>
        <w:rPr/>
        <w:t>egresos,</w:t>
      </w:r>
      <w:r>
        <w:rPr>
          <w:spacing w:val="-5"/>
        </w:rPr>
        <w:t> </w:t>
      </w:r>
      <w:r>
        <w:rPr/>
        <w:t>lo</w:t>
      </w:r>
      <w:r>
        <w:rPr>
          <w:spacing w:val="-4"/>
        </w:rPr>
        <w:t> </w:t>
      </w:r>
      <w:r>
        <w:rPr/>
        <w:t>que</w:t>
      </w:r>
      <w:r>
        <w:rPr>
          <w:spacing w:val="-6"/>
        </w:rPr>
        <w:t> </w:t>
      </w:r>
      <w:r>
        <w:rPr/>
        <w:t>limita</w:t>
      </w:r>
      <w:r>
        <w:rPr>
          <w:spacing w:val="-6"/>
        </w:rPr>
        <w:t> </w:t>
      </w:r>
      <w:r>
        <w:rPr/>
        <w:t>su</w:t>
      </w:r>
      <w:r>
        <w:rPr>
          <w:spacing w:val="-5"/>
        </w:rPr>
        <w:t> </w:t>
      </w:r>
      <w:r>
        <w:rPr/>
        <w:t>impacto</w:t>
      </w:r>
      <w:r>
        <w:rPr>
          <w:spacing w:val="-4"/>
        </w:rPr>
        <w:t> </w:t>
      </w:r>
      <w:r>
        <w:rPr/>
        <w:t>positivo</w:t>
      </w:r>
      <w:r>
        <w:rPr>
          <w:spacing w:val="-4"/>
        </w:rPr>
        <w:t> </w:t>
      </w:r>
      <w:r>
        <w:rPr/>
        <w:t>sobre el resultado final del ejercicio. Ya que, los egresos aumentaron un (0,05%), este crecimiento de los egresos</w:t>
      </w:r>
      <w:r>
        <w:rPr>
          <w:spacing w:val="-16"/>
        </w:rPr>
        <w:t> </w:t>
      </w:r>
      <w:r>
        <w:rPr/>
        <w:t>es</w:t>
      </w:r>
      <w:r>
        <w:rPr>
          <w:spacing w:val="-14"/>
        </w:rPr>
        <w:t> </w:t>
      </w:r>
      <w:r>
        <w:rPr/>
        <w:t>leve</w:t>
      </w:r>
      <w:r>
        <w:rPr>
          <w:spacing w:val="-14"/>
        </w:rPr>
        <w:t> </w:t>
      </w:r>
      <w:r>
        <w:rPr/>
        <w:t>pero</w:t>
      </w:r>
      <w:r>
        <w:rPr>
          <w:spacing w:val="-13"/>
        </w:rPr>
        <w:t> </w:t>
      </w:r>
      <w:r>
        <w:rPr/>
        <w:t>significativamente</w:t>
      </w:r>
      <w:r>
        <w:rPr>
          <w:spacing w:val="-14"/>
        </w:rPr>
        <w:t> </w:t>
      </w:r>
      <w:r>
        <w:rPr/>
        <w:t>mayor</w:t>
      </w:r>
      <w:r>
        <w:rPr>
          <w:spacing w:val="-14"/>
        </w:rPr>
        <w:t> </w:t>
      </w:r>
      <w:r>
        <w:rPr/>
        <w:t>que</w:t>
      </w:r>
      <w:r>
        <w:rPr>
          <w:spacing w:val="-14"/>
        </w:rPr>
        <w:t> </w:t>
      </w:r>
      <w:r>
        <w:rPr/>
        <w:t>el</w:t>
      </w:r>
      <w:r>
        <w:rPr>
          <w:spacing w:val="-13"/>
        </w:rPr>
        <w:t> </w:t>
      </w:r>
      <w:r>
        <w:rPr/>
        <w:t>de</w:t>
      </w:r>
      <w:r>
        <w:rPr>
          <w:spacing w:val="-14"/>
        </w:rPr>
        <w:t> </w:t>
      </w:r>
      <w:r>
        <w:rPr/>
        <w:t>los</w:t>
      </w:r>
      <w:r>
        <w:rPr>
          <w:spacing w:val="-14"/>
        </w:rPr>
        <w:t> </w:t>
      </w:r>
      <w:r>
        <w:rPr/>
        <w:t>ingresos,</w:t>
      </w:r>
      <w:r>
        <w:rPr>
          <w:spacing w:val="-14"/>
        </w:rPr>
        <w:t> </w:t>
      </w:r>
      <w:r>
        <w:rPr/>
        <w:t>lo</w:t>
      </w:r>
      <w:r>
        <w:rPr>
          <w:spacing w:val="-13"/>
        </w:rPr>
        <w:t> </w:t>
      </w:r>
      <w:r>
        <w:rPr/>
        <w:t>que</w:t>
      </w:r>
      <w:r>
        <w:rPr>
          <w:spacing w:val="-14"/>
        </w:rPr>
        <w:t> </w:t>
      </w:r>
      <w:r>
        <w:rPr/>
        <w:t>evidencia</w:t>
      </w:r>
      <w:r>
        <w:rPr>
          <w:spacing w:val="-14"/>
        </w:rPr>
        <w:t> </w:t>
      </w:r>
      <w:r>
        <w:rPr/>
        <w:t>una</w:t>
      </w:r>
      <w:r>
        <w:rPr>
          <w:spacing w:val="-14"/>
        </w:rPr>
        <w:t> </w:t>
      </w:r>
      <w:r>
        <w:rPr/>
        <w:t>mayor</w:t>
      </w:r>
      <w:r>
        <w:rPr>
          <w:spacing w:val="-13"/>
        </w:rPr>
        <w:t> </w:t>
      </w:r>
      <w:r>
        <w:rPr/>
        <w:t>presión del</w:t>
      </w:r>
      <w:r>
        <w:rPr>
          <w:spacing w:val="-1"/>
        </w:rPr>
        <w:t> </w:t>
      </w:r>
      <w:r>
        <w:rPr/>
        <w:t>gasto</w:t>
      </w:r>
      <w:r>
        <w:rPr>
          <w:spacing w:val="-2"/>
        </w:rPr>
        <w:t> </w:t>
      </w:r>
      <w:r>
        <w:rPr/>
        <w:t>durante</w:t>
      </w:r>
      <w:r>
        <w:rPr>
          <w:spacing w:val="-1"/>
        </w:rPr>
        <w:t> </w:t>
      </w:r>
      <w:r>
        <w:rPr/>
        <w:t>el</w:t>
      </w:r>
      <w:r>
        <w:rPr>
          <w:spacing w:val="-1"/>
        </w:rPr>
        <w:t> </w:t>
      </w:r>
      <w:r>
        <w:rPr/>
        <w:t>período</w:t>
      </w:r>
      <w:r>
        <w:rPr>
          <w:spacing w:val="-2"/>
        </w:rPr>
        <w:t> </w:t>
      </w:r>
      <w:r>
        <w:rPr/>
        <w:t>2026.</w:t>
      </w:r>
      <w:r>
        <w:rPr>
          <w:spacing w:val="-1"/>
        </w:rPr>
        <w:t> </w:t>
      </w:r>
      <w:r>
        <w:rPr/>
        <w:t>Este</w:t>
      </w:r>
      <w:r>
        <w:rPr>
          <w:spacing w:val="-1"/>
        </w:rPr>
        <w:t> </w:t>
      </w:r>
      <w:r>
        <w:rPr/>
        <w:t>incremento absorbe</w:t>
      </w:r>
      <w:r>
        <w:rPr>
          <w:spacing w:val="-2"/>
        </w:rPr>
        <w:t> </w:t>
      </w:r>
      <w:r>
        <w:rPr/>
        <w:t>el</w:t>
      </w:r>
      <w:r>
        <w:rPr>
          <w:spacing w:val="-1"/>
        </w:rPr>
        <w:t> </w:t>
      </w:r>
      <w:r>
        <w:rPr/>
        <w:t>crecimiento de</w:t>
      </w:r>
      <w:r>
        <w:rPr>
          <w:spacing w:val="-2"/>
        </w:rPr>
        <w:t> </w:t>
      </w:r>
      <w:r>
        <w:rPr/>
        <w:t>los</w:t>
      </w:r>
      <w:r>
        <w:rPr>
          <w:spacing w:val="-1"/>
        </w:rPr>
        <w:t> </w:t>
      </w:r>
      <w:r>
        <w:rPr/>
        <w:t>ingresos y</w:t>
      </w:r>
      <w:r>
        <w:rPr>
          <w:spacing w:val="-3"/>
        </w:rPr>
        <w:t> </w:t>
      </w:r>
      <w:r>
        <w:rPr/>
        <w:t>reduce</w:t>
      </w:r>
      <w:r>
        <w:rPr>
          <w:spacing w:val="-2"/>
        </w:rPr>
        <w:t> </w:t>
      </w:r>
      <w:r>
        <w:rPr/>
        <w:t>el excedente del ejercicio.</w:t>
      </w:r>
    </w:p>
    <w:p>
      <w:pPr>
        <w:pStyle w:val="BodyText"/>
      </w:pPr>
    </w:p>
    <w:p>
      <w:pPr>
        <w:pStyle w:val="BodyText"/>
        <w:spacing w:before="180"/>
      </w:pPr>
    </w:p>
    <w:p>
      <w:pPr>
        <w:pStyle w:val="BodyText"/>
        <w:ind w:left="622"/>
        <w:jc w:val="both"/>
      </w:pPr>
      <w:r>
        <w:rPr/>
        <w:t>Revelación</w:t>
      </w:r>
      <w:r>
        <w:rPr>
          <w:spacing w:val="-8"/>
        </w:rPr>
        <w:t> </w:t>
      </w:r>
      <w:r>
        <w:rPr/>
        <w:t>para</w:t>
      </w:r>
      <w:r>
        <w:rPr>
          <w:spacing w:val="-7"/>
        </w:rPr>
        <w:t> </w:t>
      </w:r>
      <w:r>
        <w:rPr/>
        <w:t>conciliar</w:t>
      </w:r>
      <w:r>
        <w:rPr>
          <w:spacing w:val="-5"/>
        </w:rPr>
        <w:t> </w:t>
      </w:r>
      <w:r>
        <w:rPr/>
        <w:t>la</w:t>
      </w:r>
      <w:r>
        <w:rPr>
          <w:spacing w:val="-7"/>
        </w:rPr>
        <w:t> </w:t>
      </w:r>
      <w:r>
        <w:rPr/>
        <w:t>Ejecución</w:t>
      </w:r>
      <w:r>
        <w:rPr>
          <w:spacing w:val="-5"/>
        </w:rPr>
        <w:t> </w:t>
      </w:r>
      <w:r>
        <w:rPr/>
        <w:t>Presupuestaria</w:t>
      </w:r>
      <w:r>
        <w:rPr>
          <w:spacing w:val="-7"/>
        </w:rPr>
        <w:t> </w:t>
      </w:r>
      <w:r>
        <w:rPr/>
        <w:t>con</w:t>
      </w:r>
      <w:r>
        <w:rPr>
          <w:spacing w:val="-5"/>
        </w:rPr>
        <w:t> </w:t>
      </w:r>
      <w:r>
        <w:rPr>
          <w:spacing w:val="-2"/>
        </w:rPr>
        <w:t>Contabilidad</w:t>
      </w:r>
    </w:p>
    <w:p>
      <w:pPr>
        <w:pStyle w:val="BodyText"/>
        <w:spacing w:after="0"/>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9232">
                <wp:simplePos x="0" y="0"/>
                <wp:positionH relativeFrom="page">
                  <wp:posOffset>9525</wp:posOffset>
                </wp:positionH>
                <wp:positionV relativeFrom="page">
                  <wp:posOffset>297208</wp:posOffset>
                </wp:positionV>
                <wp:extent cx="7762875" cy="9748520"/>
                <wp:effectExtent l="0" t="0" r="0" b="0"/>
                <wp:wrapNone/>
                <wp:docPr id="1162" name="Group 1162"/>
                <wp:cNvGraphicFramePr>
                  <a:graphicFrameLocks/>
                </wp:cNvGraphicFramePr>
                <a:graphic>
                  <a:graphicData uri="http://schemas.microsoft.com/office/word/2010/wordprocessingGroup">
                    <wpg:wgp>
                      <wpg:cNvPr id="1162" name="Group 1162"/>
                      <wpg:cNvGrpSpPr/>
                      <wpg:grpSpPr>
                        <a:xfrm>
                          <a:off x="0" y="0"/>
                          <a:ext cx="7762875" cy="9748520"/>
                          <a:chExt cx="7762875" cy="9748520"/>
                        </a:xfrm>
                      </wpg:grpSpPr>
                      <pic:pic>
                        <pic:nvPicPr>
                          <pic:cNvPr id="1163" name="Image 1163"/>
                          <pic:cNvPicPr/>
                        </pic:nvPicPr>
                        <pic:blipFill>
                          <a:blip r:embed="rId5" cstate="print"/>
                          <a:stretch>
                            <a:fillRect/>
                          </a:stretch>
                        </pic:blipFill>
                        <pic:spPr>
                          <a:xfrm>
                            <a:off x="0" y="0"/>
                            <a:ext cx="7762874" cy="9748489"/>
                          </a:xfrm>
                          <a:prstGeom prst="rect">
                            <a:avLst/>
                          </a:prstGeom>
                        </pic:spPr>
                      </pic:pic>
                      <wps:wsp>
                        <wps:cNvPr id="1164" name="Graphic 1164"/>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7248" id="docshapegroup1106" coordorigin="15,468" coordsize="12225,15352">
                <v:shape style="position:absolute;left:15;top:468;width:12225;height:15352" type="#_x0000_t75" id="docshape1107" stroked="false">
                  <v:imagedata r:id="rId5" o:title=""/>
                </v:shape>
                <v:rect style="position:absolute;left:1673;top:2028;width:8897;height:15" id="docshape110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226</w:t>
      </w:r>
    </w:p>
    <w:p>
      <w:pPr>
        <w:pStyle w:val="BodyText"/>
        <w:spacing w:after="1"/>
        <w:rPr>
          <w:sz w:val="19"/>
        </w:rPr>
      </w:pPr>
    </w:p>
    <w:tbl>
      <w:tblPr>
        <w:tblW w:w="0" w:type="auto"/>
        <w:jc w:val="left"/>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7"/>
        <w:gridCol w:w="1333"/>
        <w:gridCol w:w="2906"/>
        <w:gridCol w:w="1444"/>
      </w:tblGrid>
      <w:tr>
        <w:trPr>
          <w:trHeight w:val="839" w:hRule="atLeast"/>
        </w:trPr>
        <w:tc>
          <w:tcPr>
            <w:tcW w:w="8830" w:type="dxa"/>
            <w:gridSpan w:val="4"/>
            <w:tcBorders>
              <w:top w:val="nil"/>
              <w:left w:val="nil"/>
              <w:right w:val="nil"/>
            </w:tcBorders>
            <w:shd w:val="clear" w:color="auto" w:fill="FFFFFF"/>
          </w:tcPr>
          <w:p>
            <w:pPr>
              <w:pStyle w:val="TableParagraph"/>
              <w:spacing w:before="25"/>
              <w:ind w:left="3"/>
              <w:jc w:val="center"/>
              <w:rPr>
                <w:b/>
                <w:sz w:val="16"/>
              </w:rPr>
            </w:pPr>
            <w:r>
              <w:rPr>
                <w:b/>
                <w:w w:val="105"/>
                <w:sz w:val="16"/>
              </w:rPr>
              <w:t>INSTITUTO</w:t>
            </w:r>
            <w:r>
              <w:rPr>
                <w:b/>
                <w:spacing w:val="19"/>
                <w:w w:val="105"/>
                <w:sz w:val="16"/>
              </w:rPr>
              <w:t> </w:t>
            </w:r>
            <w:r>
              <w:rPr>
                <w:b/>
                <w:w w:val="105"/>
                <w:sz w:val="16"/>
              </w:rPr>
              <w:t>MIXTO</w:t>
            </w:r>
            <w:r>
              <w:rPr>
                <w:b/>
                <w:spacing w:val="22"/>
                <w:w w:val="105"/>
                <w:sz w:val="16"/>
              </w:rPr>
              <w:t> </w:t>
            </w:r>
            <w:r>
              <w:rPr>
                <w:b/>
                <w:w w:val="105"/>
                <w:sz w:val="16"/>
              </w:rPr>
              <w:t>AYUDA</w:t>
            </w:r>
            <w:r>
              <w:rPr>
                <w:b/>
                <w:spacing w:val="26"/>
                <w:w w:val="105"/>
                <w:sz w:val="16"/>
              </w:rPr>
              <w:t> </w:t>
            </w:r>
            <w:r>
              <w:rPr>
                <w:b/>
                <w:spacing w:val="-2"/>
                <w:w w:val="105"/>
                <w:sz w:val="16"/>
              </w:rPr>
              <w:t>SOCIAL</w:t>
            </w:r>
          </w:p>
          <w:p>
            <w:pPr>
              <w:pStyle w:val="TableParagraph"/>
              <w:spacing w:before="56"/>
              <w:ind w:left="9" w:right="1475"/>
              <w:jc w:val="center"/>
              <w:rPr>
                <w:b/>
                <w:sz w:val="15"/>
              </w:rPr>
            </w:pPr>
            <w:r>
              <w:rPr>
                <w:b/>
                <w:w w:val="105"/>
                <w:sz w:val="15"/>
              </w:rPr>
              <w:t>ESTADO</w:t>
            </w:r>
            <w:r>
              <w:rPr>
                <w:b/>
                <w:spacing w:val="21"/>
                <w:w w:val="105"/>
                <w:sz w:val="15"/>
              </w:rPr>
              <w:t> </w:t>
            </w:r>
            <w:r>
              <w:rPr>
                <w:b/>
                <w:w w:val="105"/>
                <w:sz w:val="15"/>
              </w:rPr>
              <w:t>DE</w:t>
            </w:r>
            <w:r>
              <w:rPr>
                <w:b/>
                <w:spacing w:val="21"/>
                <w:w w:val="105"/>
                <w:sz w:val="15"/>
              </w:rPr>
              <w:t> </w:t>
            </w:r>
            <w:r>
              <w:rPr>
                <w:b/>
                <w:w w:val="105"/>
                <w:sz w:val="15"/>
              </w:rPr>
              <w:t>CONCILIACION</w:t>
            </w:r>
            <w:r>
              <w:rPr>
                <w:b/>
                <w:spacing w:val="21"/>
                <w:w w:val="105"/>
                <w:sz w:val="15"/>
              </w:rPr>
              <w:t> </w:t>
            </w:r>
            <w:r>
              <w:rPr>
                <w:b/>
                <w:w w:val="105"/>
                <w:sz w:val="15"/>
              </w:rPr>
              <w:t>CONTABLE</w:t>
            </w:r>
            <w:r>
              <w:rPr>
                <w:b/>
                <w:spacing w:val="21"/>
                <w:w w:val="105"/>
                <w:sz w:val="15"/>
              </w:rPr>
              <w:t> </w:t>
            </w:r>
            <w:r>
              <w:rPr>
                <w:b/>
                <w:w w:val="105"/>
                <w:sz w:val="15"/>
              </w:rPr>
              <w:t>Y</w:t>
            </w:r>
            <w:r>
              <w:rPr>
                <w:b/>
                <w:spacing w:val="19"/>
                <w:w w:val="105"/>
                <w:sz w:val="15"/>
              </w:rPr>
              <w:t> </w:t>
            </w:r>
            <w:r>
              <w:rPr>
                <w:b/>
                <w:w w:val="105"/>
                <w:sz w:val="15"/>
              </w:rPr>
              <w:t>PRESUPUESTARIA</w:t>
            </w:r>
            <w:r>
              <w:rPr>
                <w:b/>
                <w:spacing w:val="24"/>
                <w:w w:val="105"/>
                <w:sz w:val="15"/>
              </w:rPr>
              <w:t> </w:t>
            </w:r>
            <w:r>
              <w:rPr>
                <w:b/>
                <w:w w:val="105"/>
                <w:sz w:val="15"/>
              </w:rPr>
              <w:t>IMAS</w:t>
            </w:r>
            <w:r>
              <w:rPr>
                <w:b/>
                <w:spacing w:val="21"/>
                <w:w w:val="105"/>
                <w:sz w:val="15"/>
              </w:rPr>
              <w:t> </w:t>
            </w:r>
            <w:r>
              <w:rPr>
                <w:b/>
                <w:w w:val="105"/>
                <w:sz w:val="15"/>
              </w:rPr>
              <w:t>-EMPRESAS</w:t>
            </w:r>
            <w:r>
              <w:rPr>
                <w:b/>
                <w:spacing w:val="21"/>
                <w:w w:val="105"/>
                <w:sz w:val="15"/>
              </w:rPr>
              <w:t> </w:t>
            </w:r>
            <w:r>
              <w:rPr>
                <w:b/>
                <w:spacing w:val="-2"/>
                <w:w w:val="105"/>
                <w:sz w:val="15"/>
              </w:rPr>
              <w:t>COMERCIALES</w:t>
            </w:r>
          </w:p>
          <w:p>
            <w:pPr>
              <w:pStyle w:val="TableParagraph"/>
              <w:spacing w:before="30"/>
              <w:ind w:left="9"/>
              <w:jc w:val="center"/>
              <w:rPr>
                <w:b/>
                <w:sz w:val="15"/>
              </w:rPr>
            </w:pPr>
            <w:r>
              <w:rPr>
                <w:b/>
                <w:w w:val="105"/>
                <w:sz w:val="15"/>
              </w:rPr>
              <w:t>AL</w:t>
            </w:r>
            <w:r>
              <w:rPr>
                <w:b/>
                <w:spacing w:val="11"/>
                <w:w w:val="105"/>
                <w:sz w:val="15"/>
              </w:rPr>
              <w:t> </w:t>
            </w:r>
            <w:r>
              <w:rPr>
                <w:b/>
                <w:w w:val="105"/>
                <w:sz w:val="15"/>
              </w:rPr>
              <w:t>31</w:t>
            </w:r>
            <w:r>
              <w:rPr>
                <w:b/>
                <w:spacing w:val="52"/>
                <w:w w:val="105"/>
                <w:sz w:val="15"/>
              </w:rPr>
              <w:t> </w:t>
            </w:r>
            <w:r>
              <w:rPr>
                <w:b/>
                <w:w w:val="105"/>
                <w:sz w:val="15"/>
              </w:rPr>
              <w:t>DE</w:t>
            </w:r>
            <w:r>
              <w:rPr>
                <w:b/>
                <w:spacing w:val="52"/>
                <w:w w:val="105"/>
                <w:sz w:val="15"/>
              </w:rPr>
              <w:t> </w:t>
            </w:r>
            <w:r>
              <w:rPr>
                <w:b/>
                <w:w w:val="105"/>
                <w:sz w:val="15"/>
              </w:rPr>
              <w:t>JULIO</w:t>
            </w:r>
            <w:r>
              <w:rPr>
                <w:b/>
                <w:spacing w:val="9"/>
                <w:w w:val="105"/>
                <w:sz w:val="15"/>
              </w:rPr>
              <w:t> </w:t>
            </w:r>
            <w:r>
              <w:rPr>
                <w:b/>
                <w:spacing w:val="-4"/>
                <w:w w:val="105"/>
                <w:sz w:val="15"/>
              </w:rPr>
              <w:t>2026</w:t>
            </w:r>
          </w:p>
          <w:p>
            <w:pPr>
              <w:pStyle w:val="TableParagraph"/>
              <w:spacing w:line="127" w:lineRule="exact" w:before="57"/>
              <w:ind w:right="9"/>
              <w:jc w:val="center"/>
              <w:rPr>
                <w:b/>
                <w:i/>
                <w:sz w:val="12"/>
              </w:rPr>
            </w:pPr>
            <w:r>
              <w:rPr>
                <w:b/>
                <w:i/>
                <w:sz w:val="12"/>
              </w:rPr>
              <w:t>EN</w:t>
            </w:r>
            <w:r>
              <w:rPr>
                <w:b/>
                <w:i/>
                <w:spacing w:val="1"/>
                <w:sz w:val="12"/>
              </w:rPr>
              <w:t> </w:t>
            </w:r>
            <w:r>
              <w:rPr>
                <w:b/>
                <w:i/>
                <w:sz w:val="12"/>
              </w:rPr>
              <w:t>MILES</w:t>
            </w:r>
            <w:r>
              <w:rPr>
                <w:b/>
                <w:i/>
                <w:spacing w:val="3"/>
                <w:sz w:val="12"/>
              </w:rPr>
              <w:t> </w:t>
            </w:r>
            <w:r>
              <w:rPr>
                <w:b/>
                <w:i/>
                <w:sz w:val="12"/>
              </w:rPr>
              <w:t>DE</w:t>
            </w:r>
            <w:r>
              <w:rPr>
                <w:b/>
                <w:i/>
                <w:spacing w:val="4"/>
                <w:sz w:val="12"/>
              </w:rPr>
              <w:t> </w:t>
            </w:r>
            <w:r>
              <w:rPr>
                <w:b/>
                <w:i/>
                <w:spacing w:val="-2"/>
                <w:sz w:val="12"/>
              </w:rPr>
              <w:t>COLONES</w:t>
            </w:r>
          </w:p>
        </w:tc>
      </w:tr>
      <w:tr>
        <w:trPr>
          <w:trHeight w:val="195"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384"/>
              <w:rPr>
                <w:b/>
                <w:sz w:val="14"/>
              </w:rPr>
            </w:pPr>
            <w:r>
              <w:rPr>
                <w:b/>
                <w:sz w:val="14"/>
              </w:rPr>
              <w:t>INFORMACION</w:t>
            </w:r>
            <w:r>
              <w:rPr>
                <w:b/>
                <w:spacing w:val="33"/>
                <w:sz w:val="14"/>
              </w:rPr>
              <w:t> </w:t>
            </w:r>
            <w:r>
              <w:rPr>
                <w:b/>
                <w:spacing w:val="-2"/>
                <w:sz w:val="14"/>
              </w:rPr>
              <w:t>PRESUPUESTARIA</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left="381"/>
              <w:rPr>
                <w:b/>
                <w:sz w:val="14"/>
              </w:rPr>
            </w:pPr>
            <w:r>
              <w:rPr>
                <w:b/>
                <w:spacing w:val="-2"/>
                <w:sz w:val="14"/>
              </w:rPr>
              <w:t>MONTO</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499"/>
              <w:rPr>
                <w:b/>
                <w:sz w:val="14"/>
              </w:rPr>
            </w:pPr>
            <w:r>
              <w:rPr>
                <w:b/>
                <w:sz w:val="14"/>
              </w:rPr>
              <w:t>INFORMACION</w:t>
            </w:r>
            <w:r>
              <w:rPr>
                <w:b/>
                <w:spacing w:val="33"/>
                <w:sz w:val="14"/>
              </w:rPr>
              <w:t> </w:t>
            </w:r>
            <w:r>
              <w:rPr>
                <w:b/>
                <w:spacing w:val="-2"/>
                <w:sz w:val="14"/>
              </w:rPr>
              <w:t>CONTABLE</w:t>
            </w:r>
          </w:p>
        </w:tc>
        <w:tc>
          <w:tcPr>
            <w:tcW w:w="1444" w:type="dxa"/>
            <w:tcBorders>
              <w:left w:val="single" w:sz="2" w:space="0" w:color="000000"/>
              <w:bottom w:val="single" w:sz="2" w:space="0" w:color="000000"/>
            </w:tcBorders>
            <w:shd w:val="clear" w:color="auto" w:fill="D9E0F1"/>
          </w:tcPr>
          <w:p>
            <w:pPr>
              <w:pStyle w:val="TableParagraph"/>
              <w:spacing w:line="145" w:lineRule="exact" w:before="30"/>
              <w:ind w:left="440"/>
              <w:rPr>
                <w:b/>
                <w:sz w:val="14"/>
              </w:rPr>
            </w:pPr>
            <w:r>
              <w:rPr>
                <w:b/>
                <w:spacing w:val="-2"/>
                <w:sz w:val="14"/>
              </w:rPr>
              <w:t>MONTO</w:t>
            </w:r>
          </w:p>
        </w:tc>
      </w:tr>
      <w:tr>
        <w:trPr>
          <w:trHeight w:val="195" w:hRule="atLeast"/>
        </w:trPr>
        <w:tc>
          <w:tcPr>
            <w:tcW w:w="3147" w:type="dxa"/>
            <w:tcBorders>
              <w:top w:val="single" w:sz="2" w:space="0" w:color="000000"/>
              <w:left w:val="single" w:sz="2" w:space="0" w:color="000000"/>
              <w:bottom w:val="single" w:sz="2" w:space="0" w:color="000000"/>
              <w:right w:val="single" w:sz="2" w:space="0" w:color="000000"/>
            </w:tcBorders>
          </w:tcPr>
          <w:p>
            <w:pPr>
              <w:pStyle w:val="TableParagraph"/>
              <w:spacing w:line="145" w:lineRule="exact" w:before="31"/>
              <w:ind w:left="24"/>
              <w:rPr>
                <w:b/>
                <w:sz w:val="14"/>
              </w:rPr>
            </w:pPr>
            <w:r>
              <w:rPr>
                <w:b/>
                <w:spacing w:val="-2"/>
                <w:sz w:val="14"/>
              </w:rPr>
              <w:t>INGRESOS:</w:t>
            </w:r>
          </w:p>
        </w:tc>
        <w:tc>
          <w:tcPr>
            <w:tcW w:w="1333"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2"/>
              </w:rPr>
            </w:pPr>
          </w:p>
        </w:tc>
        <w:tc>
          <w:tcPr>
            <w:tcW w:w="2906" w:type="dxa"/>
            <w:tcBorders>
              <w:top w:val="single" w:sz="2" w:space="0" w:color="000000"/>
              <w:left w:val="single" w:sz="2" w:space="0" w:color="000000"/>
              <w:bottom w:val="single" w:sz="2" w:space="0" w:color="000000"/>
              <w:right w:val="single" w:sz="2" w:space="0" w:color="000000"/>
            </w:tcBorders>
          </w:tcPr>
          <w:p>
            <w:pPr>
              <w:pStyle w:val="TableParagraph"/>
              <w:spacing w:line="145" w:lineRule="exact" w:before="31"/>
              <w:ind w:left="25"/>
              <w:rPr>
                <w:b/>
                <w:sz w:val="14"/>
              </w:rPr>
            </w:pPr>
            <w:r>
              <w:rPr>
                <w:b/>
                <w:sz w:val="14"/>
              </w:rPr>
              <w:t>AFECTACIÓN</w:t>
            </w:r>
            <w:r>
              <w:rPr>
                <w:b/>
                <w:spacing w:val="35"/>
                <w:sz w:val="14"/>
              </w:rPr>
              <w:t> </w:t>
            </w:r>
            <w:r>
              <w:rPr>
                <w:b/>
                <w:spacing w:val="-2"/>
                <w:sz w:val="14"/>
              </w:rPr>
              <w:t>CONTABLE:</w:t>
            </w:r>
          </w:p>
        </w:tc>
        <w:tc>
          <w:tcPr>
            <w:tcW w:w="1444" w:type="dxa"/>
            <w:tcBorders>
              <w:top w:val="single" w:sz="2" w:space="0" w:color="000000"/>
              <w:left w:val="single" w:sz="2" w:space="0" w:color="000000"/>
              <w:bottom w:val="single" w:sz="2" w:space="0" w:color="000000"/>
            </w:tcBorders>
          </w:tcPr>
          <w:p>
            <w:pPr>
              <w:pStyle w:val="TableParagraph"/>
              <w:rPr>
                <w:rFonts w:ascii="Times New Roman"/>
                <w:sz w:val="12"/>
              </w:rPr>
            </w:pPr>
          </w:p>
        </w:tc>
      </w:tr>
      <w:tr>
        <w:trPr>
          <w:trHeight w:val="220" w:hRule="atLeast"/>
        </w:trPr>
        <w:tc>
          <w:tcPr>
            <w:tcW w:w="3147" w:type="dxa"/>
            <w:tcBorders>
              <w:top w:val="single" w:sz="2" w:space="0" w:color="000000"/>
              <w:left w:val="single" w:sz="2" w:space="0" w:color="000000"/>
              <w:bottom w:val="nil"/>
              <w:right w:val="single" w:sz="2" w:space="0" w:color="000000"/>
            </w:tcBorders>
            <w:shd w:val="clear" w:color="auto" w:fill="FFFFFF"/>
          </w:tcPr>
          <w:p>
            <w:pPr>
              <w:pStyle w:val="TableParagraph"/>
              <w:spacing w:before="31"/>
              <w:ind w:left="24"/>
              <w:rPr>
                <w:b/>
                <w:sz w:val="14"/>
              </w:rPr>
            </w:pPr>
            <w:r>
              <w:rPr>
                <w:b/>
                <w:sz w:val="14"/>
              </w:rPr>
              <w:t>Ingresos</w:t>
            </w:r>
            <w:r>
              <w:rPr>
                <w:b/>
                <w:spacing w:val="29"/>
                <w:sz w:val="14"/>
              </w:rPr>
              <w:t> </w:t>
            </w:r>
            <w:r>
              <w:rPr>
                <w:b/>
                <w:spacing w:val="-2"/>
                <w:sz w:val="14"/>
              </w:rPr>
              <w:t>Tributarios</w:t>
            </w:r>
          </w:p>
        </w:tc>
        <w:tc>
          <w:tcPr>
            <w:tcW w:w="1333" w:type="dxa"/>
            <w:tcBorders>
              <w:top w:val="single" w:sz="2" w:space="0" w:color="000000"/>
              <w:left w:val="single" w:sz="2" w:space="0" w:color="000000"/>
              <w:bottom w:val="nil"/>
              <w:right w:val="single" w:sz="2" w:space="0" w:color="000000"/>
            </w:tcBorders>
            <w:shd w:val="clear" w:color="auto" w:fill="FFFFFF"/>
          </w:tcPr>
          <w:p>
            <w:pPr>
              <w:pStyle w:val="TableParagraph"/>
              <w:spacing w:before="31"/>
              <w:ind w:right="19"/>
              <w:jc w:val="right"/>
              <w:rPr>
                <w:b/>
                <w:sz w:val="14"/>
              </w:rPr>
            </w:pPr>
            <w:r>
              <w:rPr>
                <w:b/>
                <w:spacing w:val="-2"/>
                <w:sz w:val="14"/>
              </w:rPr>
              <w:t>760,239.34</w:t>
            </w:r>
          </w:p>
        </w:tc>
        <w:tc>
          <w:tcPr>
            <w:tcW w:w="2906" w:type="dxa"/>
            <w:tcBorders>
              <w:top w:val="single" w:sz="2" w:space="0" w:color="000000"/>
              <w:left w:val="single" w:sz="2" w:space="0" w:color="000000"/>
              <w:bottom w:val="nil"/>
              <w:right w:val="single" w:sz="2" w:space="0" w:color="000000"/>
            </w:tcBorders>
            <w:shd w:val="clear" w:color="auto" w:fill="FFFFFF"/>
          </w:tcPr>
          <w:p>
            <w:pPr>
              <w:pStyle w:val="TableParagraph"/>
              <w:spacing w:before="31"/>
              <w:ind w:left="25"/>
              <w:rPr>
                <w:b/>
                <w:sz w:val="14"/>
              </w:rPr>
            </w:pPr>
            <w:r>
              <w:rPr>
                <w:b/>
                <w:sz w:val="14"/>
              </w:rPr>
              <w:t>Ingresos</w:t>
            </w:r>
            <w:r>
              <w:rPr>
                <w:b/>
                <w:spacing w:val="29"/>
                <w:sz w:val="14"/>
              </w:rPr>
              <w:t> </w:t>
            </w:r>
            <w:r>
              <w:rPr>
                <w:b/>
                <w:spacing w:val="-2"/>
                <w:sz w:val="14"/>
              </w:rPr>
              <w:t>Tributarios</w:t>
            </w:r>
          </w:p>
        </w:tc>
        <w:tc>
          <w:tcPr>
            <w:tcW w:w="1444" w:type="dxa"/>
            <w:tcBorders>
              <w:top w:val="single" w:sz="2" w:space="0" w:color="000000"/>
              <w:left w:val="single" w:sz="2" w:space="0" w:color="000000"/>
              <w:bottom w:val="nil"/>
            </w:tcBorders>
            <w:shd w:val="clear" w:color="auto" w:fill="FFFFFF"/>
          </w:tcPr>
          <w:p>
            <w:pPr>
              <w:pStyle w:val="TableParagraph"/>
              <w:spacing w:before="31"/>
              <w:ind w:right="13"/>
              <w:jc w:val="right"/>
              <w:rPr>
                <w:b/>
                <w:sz w:val="14"/>
              </w:rPr>
            </w:pPr>
            <w:r>
              <w:rPr>
                <w:b/>
                <w:spacing w:val="-2"/>
                <w:sz w:val="14"/>
              </w:rPr>
              <w:t>529,297.94</w:t>
            </w:r>
          </w:p>
        </w:tc>
      </w:tr>
      <w:tr>
        <w:trPr>
          <w:trHeight w:val="201"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Contribuciones</w:t>
            </w:r>
            <w:r>
              <w:rPr>
                <w:b/>
                <w:spacing w:val="46"/>
                <w:sz w:val="14"/>
              </w:rPr>
              <w:t> </w:t>
            </w:r>
            <w:r>
              <w:rPr>
                <w:b/>
                <w:spacing w:val="-2"/>
                <w:sz w:val="14"/>
              </w:rPr>
              <w:t>Sociales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33,153,384.75</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Contribuciones</w:t>
            </w:r>
            <w:r>
              <w:rPr>
                <w:b/>
                <w:spacing w:val="46"/>
                <w:sz w:val="14"/>
              </w:rPr>
              <w:t> </w:t>
            </w:r>
            <w:r>
              <w:rPr>
                <w:b/>
                <w:spacing w:val="-2"/>
                <w:sz w:val="14"/>
              </w:rPr>
              <w:t>Sociales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32,921,276.73</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Ingresos</w:t>
            </w:r>
            <w:r>
              <w:rPr>
                <w:b/>
                <w:spacing w:val="19"/>
                <w:sz w:val="14"/>
              </w:rPr>
              <w:t> </w:t>
            </w:r>
            <w:r>
              <w:rPr>
                <w:b/>
                <w:sz w:val="14"/>
              </w:rPr>
              <w:t>no</w:t>
            </w:r>
            <w:r>
              <w:rPr>
                <w:b/>
                <w:spacing w:val="17"/>
                <w:sz w:val="14"/>
              </w:rPr>
              <w:t> </w:t>
            </w:r>
            <w:r>
              <w:rPr>
                <w:b/>
                <w:spacing w:val="-2"/>
                <w:sz w:val="14"/>
              </w:rPr>
              <w:t>Tributarios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12,816,129.61</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Ingresos</w:t>
            </w:r>
            <w:r>
              <w:rPr>
                <w:b/>
                <w:spacing w:val="19"/>
                <w:sz w:val="14"/>
              </w:rPr>
              <w:t> </w:t>
            </w:r>
            <w:r>
              <w:rPr>
                <w:b/>
                <w:sz w:val="14"/>
              </w:rPr>
              <w:t>no</w:t>
            </w:r>
            <w:r>
              <w:rPr>
                <w:b/>
                <w:spacing w:val="17"/>
                <w:sz w:val="14"/>
              </w:rPr>
              <w:t> </w:t>
            </w:r>
            <w:r>
              <w:rPr>
                <w:b/>
                <w:spacing w:val="-2"/>
                <w:sz w:val="14"/>
              </w:rPr>
              <w:t>Tributarios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12,789,816.76</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Transferencias</w:t>
            </w:r>
            <w:r>
              <w:rPr>
                <w:b/>
                <w:spacing w:val="45"/>
                <w:sz w:val="14"/>
              </w:rPr>
              <w:t> </w:t>
            </w:r>
            <w:r>
              <w:rPr>
                <w:b/>
                <w:spacing w:val="-2"/>
                <w:sz w:val="14"/>
              </w:rPr>
              <w:t>Corrientes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95,738,685.78</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Transferencias</w:t>
            </w:r>
            <w:r>
              <w:rPr>
                <w:b/>
                <w:spacing w:val="45"/>
                <w:sz w:val="14"/>
              </w:rPr>
              <w:t> </w:t>
            </w:r>
            <w:r>
              <w:rPr>
                <w:b/>
                <w:spacing w:val="-2"/>
                <w:sz w:val="14"/>
              </w:rPr>
              <w:t>Corrientes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95,738,685.78</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Venta</w:t>
            </w:r>
            <w:r>
              <w:rPr>
                <w:b/>
                <w:spacing w:val="21"/>
                <w:sz w:val="14"/>
              </w:rPr>
              <w:t> </w:t>
            </w:r>
            <w:r>
              <w:rPr>
                <w:b/>
                <w:sz w:val="14"/>
              </w:rPr>
              <w:t>Activos</w:t>
            </w:r>
            <w:r>
              <w:rPr>
                <w:b/>
                <w:spacing w:val="25"/>
                <w:sz w:val="14"/>
              </w:rPr>
              <w:t> </w:t>
            </w:r>
            <w:r>
              <w:rPr>
                <w:b/>
                <w:spacing w:val="-2"/>
                <w:sz w:val="14"/>
              </w:rPr>
              <w:t>Fijos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8"/>
              <w:jc w:val="right"/>
              <w:rPr>
                <w:b/>
                <w:sz w:val="14"/>
              </w:rPr>
            </w:pPr>
            <w:r>
              <w:rPr>
                <w:b/>
                <w:spacing w:val="-4"/>
                <w:sz w:val="14"/>
              </w:rPr>
              <w:t>0.00</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Venta</w:t>
            </w:r>
            <w:r>
              <w:rPr>
                <w:b/>
                <w:spacing w:val="21"/>
                <w:sz w:val="14"/>
              </w:rPr>
              <w:t> </w:t>
            </w:r>
            <w:r>
              <w:rPr>
                <w:b/>
                <w:sz w:val="14"/>
              </w:rPr>
              <w:t>Activos</w:t>
            </w:r>
            <w:r>
              <w:rPr>
                <w:b/>
                <w:spacing w:val="25"/>
                <w:sz w:val="14"/>
              </w:rPr>
              <w:t> </w:t>
            </w:r>
            <w:r>
              <w:rPr>
                <w:b/>
                <w:spacing w:val="-2"/>
                <w:sz w:val="14"/>
              </w:rPr>
              <w:t>Fijos</w:t>
            </w:r>
          </w:p>
        </w:tc>
        <w:tc>
          <w:tcPr>
            <w:tcW w:w="1444" w:type="dxa"/>
            <w:tcBorders>
              <w:top w:val="nil"/>
              <w:left w:val="single" w:sz="2" w:space="0" w:color="000000"/>
              <w:bottom w:val="nil"/>
            </w:tcBorders>
            <w:shd w:val="clear" w:color="auto" w:fill="FFFFFF"/>
          </w:tcPr>
          <w:p>
            <w:pPr>
              <w:pStyle w:val="TableParagraph"/>
              <w:spacing w:before="11"/>
              <w:ind w:right="12"/>
              <w:jc w:val="right"/>
              <w:rPr>
                <w:b/>
                <w:sz w:val="14"/>
              </w:rPr>
            </w:pPr>
            <w:r>
              <w:rPr>
                <w:b/>
                <w:spacing w:val="-4"/>
                <w:sz w:val="14"/>
              </w:rPr>
              <w:t>0.00</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Recuperación</w:t>
            </w:r>
            <w:r>
              <w:rPr>
                <w:b/>
                <w:spacing w:val="21"/>
                <w:sz w:val="14"/>
              </w:rPr>
              <w:t> </w:t>
            </w:r>
            <w:r>
              <w:rPr>
                <w:b/>
                <w:sz w:val="14"/>
              </w:rPr>
              <w:t>de</w:t>
            </w:r>
            <w:r>
              <w:rPr>
                <w:b/>
                <w:spacing w:val="22"/>
                <w:sz w:val="14"/>
              </w:rPr>
              <w:t> </w:t>
            </w:r>
            <w:r>
              <w:rPr>
                <w:b/>
                <w:spacing w:val="-2"/>
                <w:sz w:val="14"/>
              </w:rPr>
              <w:t>Préstamos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8"/>
              <w:jc w:val="right"/>
              <w:rPr>
                <w:b/>
                <w:sz w:val="14"/>
              </w:rPr>
            </w:pPr>
            <w:r>
              <w:rPr>
                <w:b/>
                <w:spacing w:val="-2"/>
                <w:sz w:val="14"/>
              </w:rPr>
              <w:t>3,737.87</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Recuperación</w:t>
            </w:r>
            <w:r>
              <w:rPr>
                <w:b/>
                <w:spacing w:val="21"/>
                <w:sz w:val="14"/>
              </w:rPr>
              <w:t> </w:t>
            </w:r>
            <w:r>
              <w:rPr>
                <w:b/>
                <w:sz w:val="14"/>
              </w:rPr>
              <w:t>de</w:t>
            </w:r>
            <w:r>
              <w:rPr>
                <w:b/>
                <w:spacing w:val="22"/>
                <w:sz w:val="14"/>
              </w:rPr>
              <w:t> </w:t>
            </w:r>
            <w:r>
              <w:rPr>
                <w:b/>
                <w:spacing w:val="-2"/>
                <w:sz w:val="14"/>
              </w:rPr>
              <w:t>Préstamos</w:t>
            </w:r>
          </w:p>
        </w:tc>
        <w:tc>
          <w:tcPr>
            <w:tcW w:w="1444" w:type="dxa"/>
            <w:tcBorders>
              <w:top w:val="nil"/>
              <w:left w:val="single" w:sz="2" w:space="0" w:color="000000"/>
              <w:bottom w:val="nil"/>
            </w:tcBorders>
            <w:shd w:val="clear" w:color="auto" w:fill="FFFFFF"/>
          </w:tcPr>
          <w:p>
            <w:pPr>
              <w:pStyle w:val="TableParagraph"/>
              <w:spacing w:before="11"/>
              <w:ind w:right="12"/>
              <w:jc w:val="right"/>
              <w:rPr>
                <w:b/>
                <w:sz w:val="14"/>
              </w:rPr>
            </w:pPr>
            <w:r>
              <w:rPr>
                <w:b/>
                <w:spacing w:val="-4"/>
                <w:sz w:val="14"/>
              </w:rPr>
              <w:t>0.00</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Transferencias</w:t>
            </w:r>
            <w:r>
              <w:rPr>
                <w:b/>
                <w:spacing w:val="27"/>
                <w:sz w:val="14"/>
              </w:rPr>
              <w:t> </w:t>
            </w:r>
            <w:r>
              <w:rPr>
                <w:b/>
                <w:sz w:val="14"/>
              </w:rPr>
              <w:t>de</w:t>
            </w:r>
            <w:r>
              <w:rPr>
                <w:b/>
                <w:spacing w:val="26"/>
                <w:sz w:val="14"/>
              </w:rPr>
              <w:t> </w:t>
            </w:r>
            <w:r>
              <w:rPr>
                <w:b/>
                <w:spacing w:val="-2"/>
                <w:sz w:val="14"/>
              </w:rPr>
              <w:t>Capital</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283,587.07</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Transferencias</w:t>
            </w:r>
            <w:r>
              <w:rPr>
                <w:b/>
                <w:spacing w:val="27"/>
                <w:sz w:val="14"/>
              </w:rPr>
              <w:t> </w:t>
            </w:r>
            <w:r>
              <w:rPr>
                <w:b/>
                <w:sz w:val="14"/>
              </w:rPr>
              <w:t>de</w:t>
            </w:r>
            <w:r>
              <w:rPr>
                <w:b/>
                <w:spacing w:val="26"/>
                <w:sz w:val="14"/>
              </w:rPr>
              <w:t> </w:t>
            </w:r>
            <w:r>
              <w:rPr>
                <w:b/>
                <w:spacing w:val="-2"/>
                <w:sz w:val="14"/>
              </w:rPr>
              <w:t>Capital</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283,587.07</w:t>
            </w:r>
          </w:p>
        </w:tc>
      </w:tr>
      <w:tr>
        <w:trPr>
          <w:trHeight w:val="175" w:hRule="atLeast"/>
        </w:trPr>
        <w:tc>
          <w:tcPr>
            <w:tcW w:w="3147" w:type="dxa"/>
            <w:tcBorders>
              <w:top w:val="nil"/>
              <w:left w:val="single" w:sz="2" w:space="0" w:color="000000"/>
              <w:right w:val="single" w:sz="2" w:space="0" w:color="000000"/>
            </w:tcBorders>
            <w:shd w:val="clear" w:color="auto" w:fill="FFFFFF"/>
          </w:tcPr>
          <w:p>
            <w:pPr>
              <w:pStyle w:val="TableParagraph"/>
              <w:spacing w:line="144" w:lineRule="exact" w:before="11"/>
              <w:ind w:left="24"/>
              <w:rPr>
                <w:b/>
                <w:sz w:val="14"/>
              </w:rPr>
            </w:pPr>
            <w:r>
              <w:rPr>
                <w:b/>
                <w:spacing w:val="-2"/>
                <w:sz w:val="14"/>
              </w:rPr>
              <w:t>Financiamientos</w:t>
            </w:r>
          </w:p>
        </w:tc>
        <w:tc>
          <w:tcPr>
            <w:tcW w:w="1333" w:type="dxa"/>
            <w:tcBorders>
              <w:top w:val="nil"/>
              <w:left w:val="single" w:sz="2" w:space="0" w:color="000000"/>
              <w:right w:val="single" w:sz="2" w:space="0" w:color="000000"/>
            </w:tcBorders>
            <w:shd w:val="clear" w:color="auto" w:fill="FFFFFF"/>
          </w:tcPr>
          <w:p>
            <w:pPr>
              <w:pStyle w:val="TableParagraph"/>
              <w:spacing w:line="144" w:lineRule="exact" w:before="11"/>
              <w:ind w:right="19"/>
              <w:jc w:val="right"/>
              <w:rPr>
                <w:b/>
                <w:sz w:val="14"/>
              </w:rPr>
            </w:pPr>
            <w:r>
              <w:rPr>
                <w:b/>
                <w:spacing w:val="-2"/>
                <w:sz w:val="14"/>
              </w:rPr>
              <w:t>18,920,516.45</w:t>
            </w:r>
          </w:p>
        </w:tc>
        <w:tc>
          <w:tcPr>
            <w:tcW w:w="2906" w:type="dxa"/>
            <w:tcBorders>
              <w:top w:val="nil"/>
              <w:left w:val="single" w:sz="2" w:space="0" w:color="000000"/>
              <w:right w:val="single" w:sz="2" w:space="0" w:color="000000"/>
            </w:tcBorders>
            <w:shd w:val="clear" w:color="auto" w:fill="FFFFFF"/>
          </w:tcPr>
          <w:p>
            <w:pPr>
              <w:pStyle w:val="TableParagraph"/>
              <w:spacing w:line="144" w:lineRule="exact" w:before="11"/>
              <w:ind w:left="25"/>
              <w:rPr>
                <w:b/>
                <w:sz w:val="14"/>
              </w:rPr>
            </w:pPr>
            <w:r>
              <w:rPr>
                <w:b/>
                <w:spacing w:val="-2"/>
                <w:sz w:val="14"/>
              </w:rPr>
              <w:t>Financiamientos</w:t>
            </w:r>
          </w:p>
        </w:tc>
        <w:tc>
          <w:tcPr>
            <w:tcW w:w="1444" w:type="dxa"/>
            <w:tcBorders>
              <w:top w:val="nil"/>
              <w:left w:val="single" w:sz="2" w:space="0" w:color="000000"/>
            </w:tcBorders>
            <w:shd w:val="clear" w:color="auto" w:fill="FFFFFF"/>
          </w:tcPr>
          <w:p>
            <w:pPr>
              <w:pStyle w:val="TableParagraph"/>
              <w:spacing w:line="144" w:lineRule="exact" w:before="11"/>
              <w:ind w:right="13"/>
              <w:jc w:val="right"/>
              <w:rPr>
                <w:b/>
                <w:sz w:val="14"/>
              </w:rPr>
            </w:pPr>
            <w:r>
              <w:rPr>
                <w:b/>
                <w:spacing w:val="-2"/>
                <w:sz w:val="14"/>
              </w:rPr>
              <w:t>18,920,516.45</w:t>
            </w:r>
          </w:p>
        </w:tc>
      </w:tr>
      <w:tr>
        <w:trPr>
          <w:trHeight w:val="195"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7"/>
              <w:ind w:left="24"/>
              <w:rPr>
                <w:b/>
                <w:sz w:val="14"/>
              </w:rPr>
            </w:pPr>
            <w:r>
              <w:rPr>
                <w:b/>
                <w:sz w:val="14"/>
              </w:rPr>
              <w:t>TOTAL</w:t>
            </w:r>
            <w:r>
              <w:rPr>
                <w:b/>
                <w:spacing w:val="20"/>
                <w:sz w:val="14"/>
              </w:rPr>
              <w:t> </w:t>
            </w:r>
            <w:r>
              <w:rPr>
                <w:b/>
                <w:spacing w:val="-2"/>
                <w:sz w:val="14"/>
              </w:rPr>
              <w:t>INGRESOS</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1"/>
              <w:ind w:right="57"/>
              <w:jc w:val="right"/>
              <w:rPr>
                <w:b/>
                <w:sz w:val="14"/>
              </w:rPr>
            </w:pPr>
            <w:r>
              <w:rPr>
                <w:b/>
                <w:spacing w:val="-2"/>
                <w:sz w:val="14"/>
              </w:rPr>
              <w:t>161,676,280.88</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7"/>
              <w:ind w:left="63"/>
              <w:rPr>
                <w:b/>
                <w:sz w:val="14"/>
              </w:rPr>
            </w:pPr>
            <w:r>
              <w:rPr>
                <w:b/>
                <w:sz w:val="14"/>
              </w:rPr>
              <w:t>TOTAL</w:t>
            </w:r>
            <w:r>
              <w:rPr>
                <w:b/>
                <w:spacing w:val="20"/>
                <w:sz w:val="14"/>
              </w:rPr>
              <w:t> </w:t>
            </w:r>
            <w:r>
              <w:rPr>
                <w:b/>
                <w:spacing w:val="-2"/>
                <w:sz w:val="14"/>
              </w:rPr>
              <w:t>INGRESOS</w:t>
            </w:r>
          </w:p>
        </w:tc>
        <w:tc>
          <w:tcPr>
            <w:tcW w:w="1444"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1"/>
              <w:ind w:right="54"/>
              <w:jc w:val="right"/>
              <w:rPr>
                <w:b/>
                <w:sz w:val="14"/>
              </w:rPr>
            </w:pPr>
            <w:r>
              <w:rPr>
                <w:b/>
                <w:spacing w:val="-2"/>
                <w:sz w:val="14"/>
              </w:rPr>
              <w:t>161,183,180.74</w:t>
            </w:r>
          </w:p>
        </w:tc>
      </w:tr>
      <w:tr>
        <w:trPr>
          <w:trHeight w:val="211" w:hRule="atLeast"/>
        </w:trPr>
        <w:tc>
          <w:tcPr>
            <w:tcW w:w="3147" w:type="dxa"/>
            <w:vMerge w:val="restart"/>
            <w:tcBorders>
              <w:top w:val="single" w:sz="2" w:space="0" w:color="000000"/>
              <w:left w:val="single" w:sz="2" w:space="0" w:color="000000"/>
              <w:right w:val="single" w:sz="2" w:space="0" w:color="000000"/>
            </w:tcBorders>
            <w:shd w:val="clear" w:color="auto" w:fill="FFFFFF"/>
          </w:tcPr>
          <w:p>
            <w:pPr>
              <w:pStyle w:val="TableParagraph"/>
              <w:rPr>
                <w:rFonts w:ascii="Times New Roman"/>
                <w:sz w:val="14"/>
              </w:rPr>
            </w:pPr>
          </w:p>
        </w:tc>
        <w:tc>
          <w:tcPr>
            <w:tcW w:w="1333" w:type="dxa"/>
            <w:vMerge w:val="restart"/>
            <w:tcBorders>
              <w:top w:val="single" w:sz="2" w:space="0" w:color="000000"/>
              <w:left w:val="single" w:sz="2" w:space="0" w:color="000000"/>
              <w:right w:val="single" w:sz="2" w:space="0" w:color="000000"/>
            </w:tcBorders>
            <w:shd w:val="clear" w:color="auto" w:fill="FFFFFF"/>
          </w:tcPr>
          <w:p>
            <w:pPr>
              <w:pStyle w:val="TableParagraph"/>
              <w:rPr>
                <w:rFonts w:ascii="Times New Roman"/>
                <w:sz w:val="14"/>
              </w:rPr>
            </w:pPr>
          </w:p>
        </w:tc>
        <w:tc>
          <w:tcPr>
            <w:tcW w:w="2906" w:type="dxa"/>
            <w:tcBorders>
              <w:top w:val="single" w:sz="2" w:space="0" w:color="000000"/>
              <w:left w:val="single" w:sz="2" w:space="0" w:color="000000"/>
              <w:bottom w:val="nil"/>
              <w:right w:val="single" w:sz="2" w:space="0" w:color="000000"/>
            </w:tcBorders>
            <w:shd w:val="clear" w:color="auto" w:fill="FFFFFF"/>
          </w:tcPr>
          <w:p>
            <w:pPr>
              <w:pStyle w:val="TableParagraph"/>
              <w:spacing w:before="48"/>
              <w:ind w:left="20"/>
              <w:rPr>
                <w:b/>
                <w:sz w:val="12"/>
              </w:rPr>
            </w:pPr>
            <w:r>
              <w:rPr>
                <w:b/>
                <w:spacing w:val="-4"/>
                <w:w w:val="105"/>
                <w:sz w:val="12"/>
              </w:rPr>
              <w:t>MAS:</w:t>
            </w:r>
          </w:p>
        </w:tc>
        <w:tc>
          <w:tcPr>
            <w:tcW w:w="1444" w:type="dxa"/>
            <w:tcBorders>
              <w:top w:val="single" w:sz="2" w:space="0" w:color="000000"/>
              <w:left w:val="single" w:sz="2" w:space="0" w:color="000000"/>
              <w:bottom w:val="nil"/>
            </w:tcBorders>
            <w:shd w:val="clear" w:color="auto" w:fill="FFFFFF"/>
          </w:tcPr>
          <w:p>
            <w:pPr>
              <w:pStyle w:val="TableParagraph"/>
              <w:rPr>
                <w:rFonts w:ascii="Times New Roman"/>
                <w:sz w:val="14"/>
              </w:rPr>
            </w:pPr>
          </w:p>
        </w:tc>
      </w:tr>
      <w:tr>
        <w:trPr>
          <w:trHeight w:val="190" w:hRule="atLeast"/>
        </w:trPr>
        <w:tc>
          <w:tcPr>
            <w:tcW w:w="3147" w:type="dxa"/>
            <w:vMerge/>
            <w:tcBorders>
              <w:top w:val="nil"/>
              <w:left w:val="single" w:sz="2" w:space="0" w:color="000000"/>
              <w:right w:val="single" w:sz="2" w:space="0" w:color="000000"/>
            </w:tcBorders>
            <w:shd w:val="clear" w:color="auto" w:fill="FFFFFF"/>
          </w:tcPr>
          <w:p>
            <w:pPr>
              <w:rPr>
                <w:sz w:val="2"/>
                <w:szCs w:val="2"/>
              </w:rPr>
            </w:pPr>
          </w:p>
        </w:tc>
        <w:tc>
          <w:tcPr>
            <w:tcW w:w="1333" w:type="dxa"/>
            <w:vMerge/>
            <w:tcBorders>
              <w:top w:val="nil"/>
              <w:left w:val="single" w:sz="2" w:space="0" w:color="000000"/>
              <w:right w:val="single" w:sz="2" w:space="0" w:color="000000"/>
            </w:tcBorders>
            <w:shd w:val="clear" w:color="auto" w:fill="FFFFFF"/>
          </w:tcPr>
          <w:p>
            <w:pPr>
              <w:rPr>
                <w:sz w:val="2"/>
                <w:szCs w:val="2"/>
              </w:rPr>
            </w:pPr>
          </w:p>
        </w:tc>
        <w:tc>
          <w:tcPr>
            <w:tcW w:w="2906" w:type="dxa"/>
            <w:tcBorders>
              <w:top w:val="nil"/>
              <w:left w:val="single" w:sz="2" w:space="0" w:color="000000"/>
              <w:bottom w:val="nil"/>
              <w:right w:val="single" w:sz="2" w:space="0" w:color="000000"/>
            </w:tcBorders>
            <w:shd w:val="clear" w:color="auto" w:fill="FFFFFF"/>
          </w:tcPr>
          <w:p>
            <w:pPr>
              <w:pStyle w:val="TableParagraph"/>
              <w:spacing w:before="6"/>
              <w:ind w:left="25"/>
              <w:rPr>
                <w:b/>
                <w:sz w:val="14"/>
              </w:rPr>
            </w:pPr>
            <w:r>
              <w:rPr>
                <w:b/>
                <w:sz w:val="14"/>
              </w:rPr>
              <w:t>Partidas</w:t>
            </w:r>
            <w:r>
              <w:rPr>
                <w:b/>
                <w:spacing w:val="21"/>
                <w:sz w:val="14"/>
              </w:rPr>
              <w:t> </w:t>
            </w:r>
            <w:r>
              <w:rPr>
                <w:b/>
                <w:sz w:val="14"/>
              </w:rPr>
              <w:t>presup.</w:t>
            </w:r>
            <w:r>
              <w:rPr>
                <w:b/>
                <w:spacing w:val="20"/>
                <w:sz w:val="14"/>
              </w:rPr>
              <w:t> </w:t>
            </w:r>
            <w:r>
              <w:rPr>
                <w:b/>
                <w:sz w:val="14"/>
              </w:rPr>
              <w:t>Afecta</w:t>
            </w:r>
            <w:r>
              <w:rPr>
                <w:b/>
                <w:spacing w:val="19"/>
                <w:sz w:val="14"/>
              </w:rPr>
              <w:t> </w:t>
            </w:r>
            <w:r>
              <w:rPr>
                <w:b/>
                <w:sz w:val="14"/>
              </w:rPr>
              <w:t>Cuentas</w:t>
            </w:r>
            <w:r>
              <w:rPr>
                <w:b/>
                <w:spacing w:val="22"/>
                <w:sz w:val="14"/>
              </w:rPr>
              <w:t> </w:t>
            </w:r>
            <w:r>
              <w:rPr>
                <w:b/>
                <w:sz w:val="14"/>
              </w:rPr>
              <w:t>de</w:t>
            </w:r>
            <w:r>
              <w:rPr>
                <w:b/>
                <w:spacing w:val="21"/>
                <w:sz w:val="14"/>
              </w:rPr>
              <w:t> </w:t>
            </w:r>
            <w:r>
              <w:rPr>
                <w:b/>
                <w:spacing w:val="-4"/>
                <w:sz w:val="14"/>
              </w:rPr>
              <w:t>Orden</w:t>
            </w:r>
          </w:p>
        </w:tc>
        <w:tc>
          <w:tcPr>
            <w:tcW w:w="1444" w:type="dxa"/>
            <w:tcBorders>
              <w:top w:val="nil"/>
              <w:left w:val="single" w:sz="2" w:space="0" w:color="000000"/>
              <w:bottom w:val="nil"/>
            </w:tcBorders>
            <w:shd w:val="clear" w:color="auto" w:fill="FFFFFF"/>
          </w:tcPr>
          <w:p>
            <w:pPr>
              <w:pStyle w:val="TableParagraph"/>
              <w:spacing w:before="10"/>
              <w:ind w:right="13"/>
              <w:jc w:val="right"/>
              <w:rPr>
                <w:b/>
                <w:sz w:val="14"/>
              </w:rPr>
            </w:pPr>
            <w:r>
              <w:rPr>
                <w:b/>
                <w:spacing w:val="-2"/>
                <w:sz w:val="14"/>
              </w:rPr>
              <w:t>492,197.02</w:t>
            </w:r>
          </w:p>
        </w:tc>
      </w:tr>
      <w:tr>
        <w:trPr>
          <w:trHeight w:val="175" w:hRule="atLeast"/>
        </w:trPr>
        <w:tc>
          <w:tcPr>
            <w:tcW w:w="3147" w:type="dxa"/>
            <w:vMerge/>
            <w:tcBorders>
              <w:top w:val="nil"/>
              <w:left w:val="single" w:sz="2" w:space="0" w:color="000000"/>
              <w:right w:val="single" w:sz="2" w:space="0" w:color="000000"/>
            </w:tcBorders>
            <w:shd w:val="clear" w:color="auto" w:fill="FFFFFF"/>
          </w:tcPr>
          <w:p>
            <w:pPr>
              <w:rPr>
                <w:sz w:val="2"/>
                <w:szCs w:val="2"/>
              </w:rPr>
            </w:pPr>
          </w:p>
        </w:tc>
        <w:tc>
          <w:tcPr>
            <w:tcW w:w="1333" w:type="dxa"/>
            <w:vMerge/>
            <w:tcBorders>
              <w:top w:val="nil"/>
              <w:left w:val="single" w:sz="2" w:space="0" w:color="000000"/>
              <w:right w:val="single" w:sz="2" w:space="0" w:color="000000"/>
            </w:tcBorders>
            <w:shd w:val="clear" w:color="auto" w:fill="FFFFFF"/>
          </w:tcPr>
          <w:p>
            <w:pPr>
              <w:rPr>
                <w:sz w:val="2"/>
                <w:szCs w:val="2"/>
              </w:rPr>
            </w:pPr>
          </w:p>
        </w:tc>
        <w:tc>
          <w:tcPr>
            <w:tcW w:w="2906" w:type="dxa"/>
            <w:tcBorders>
              <w:top w:val="nil"/>
              <w:left w:val="single" w:sz="2" w:space="0" w:color="000000"/>
              <w:right w:val="single" w:sz="2" w:space="0" w:color="000000"/>
            </w:tcBorders>
            <w:shd w:val="clear" w:color="auto" w:fill="FFFFFF"/>
          </w:tcPr>
          <w:p>
            <w:pPr>
              <w:pStyle w:val="TableParagraph"/>
              <w:spacing w:line="153" w:lineRule="exact" w:before="2"/>
              <w:ind w:left="25"/>
              <w:rPr>
                <w:b/>
                <w:sz w:val="14"/>
              </w:rPr>
            </w:pPr>
            <w:r>
              <w:rPr>
                <w:b/>
                <w:sz w:val="14"/>
              </w:rPr>
              <w:t>Partidas</w:t>
            </w:r>
            <w:r>
              <w:rPr>
                <w:b/>
                <w:spacing w:val="21"/>
                <w:sz w:val="14"/>
              </w:rPr>
              <w:t> </w:t>
            </w:r>
            <w:r>
              <w:rPr>
                <w:b/>
                <w:sz w:val="14"/>
              </w:rPr>
              <w:t>presup.</w:t>
            </w:r>
            <w:r>
              <w:rPr>
                <w:b/>
                <w:spacing w:val="20"/>
                <w:sz w:val="14"/>
              </w:rPr>
              <w:t> </w:t>
            </w:r>
            <w:r>
              <w:rPr>
                <w:b/>
                <w:sz w:val="14"/>
              </w:rPr>
              <w:t>Afecta</w:t>
            </w:r>
            <w:r>
              <w:rPr>
                <w:b/>
                <w:spacing w:val="19"/>
                <w:sz w:val="14"/>
              </w:rPr>
              <w:t> </w:t>
            </w:r>
            <w:r>
              <w:rPr>
                <w:b/>
                <w:sz w:val="14"/>
              </w:rPr>
              <w:t>Cuentas</w:t>
            </w:r>
            <w:r>
              <w:rPr>
                <w:b/>
                <w:spacing w:val="22"/>
                <w:sz w:val="14"/>
              </w:rPr>
              <w:t> </w:t>
            </w:r>
            <w:r>
              <w:rPr>
                <w:b/>
                <w:sz w:val="14"/>
              </w:rPr>
              <w:t>de</w:t>
            </w:r>
            <w:r>
              <w:rPr>
                <w:b/>
                <w:spacing w:val="21"/>
                <w:sz w:val="14"/>
              </w:rPr>
              <w:t> </w:t>
            </w:r>
            <w:r>
              <w:rPr>
                <w:b/>
                <w:spacing w:val="-2"/>
                <w:sz w:val="14"/>
              </w:rPr>
              <w:t>Pasivos</w:t>
            </w:r>
          </w:p>
        </w:tc>
        <w:tc>
          <w:tcPr>
            <w:tcW w:w="1444" w:type="dxa"/>
            <w:tcBorders>
              <w:top w:val="nil"/>
              <w:left w:val="single" w:sz="2" w:space="0" w:color="000000"/>
            </w:tcBorders>
            <w:shd w:val="clear" w:color="auto" w:fill="FFFFFF"/>
          </w:tcPr>
          <w:p>
            <w:pPr>
              <w:pStyle w:val="TableParagraph"/>
              <w:spacing w:line="144" w:lineRule="exact" w:before="10"/>
              <w:ind w:right="12"/>
              <w:jc w:val="right"/>
              <w:rPr>
                <w:b/>
                <w:sz w:val="14"/>
              </w:rPr>
            </w:pPr>
            <w:r>
              <w:rPr>
                <w:b/>
                <w:spacing w:val="-2"/>
                <w:sz w:val="14"/>
              </w:rPr>
              <w:t>903.11</w:t>
            </w:r>
          </w:p>
        </w:tc>
      </w:tr>
      <w:tr>
        <w:trPr>
          <w:trHeight w:val="199"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57" w:lineRule="exact" w:before="22"/>
              <w:ind w:left="24"/>
              <w:rPr>
                <w:b/>
                <w:sz w:val="14"/>
              </w:rPr>
            </w:pPr>
            <w:r>
              <w:rPr>
                <w:b/>
                <w:sz w:val="14"/>
              </w:rPr>
              <w:t>SUMAS</w:t>
            </w:r>
            <w:r>
              <w:rPr>
                <w:b/>
                <w:spacing w:val="14"/>
                <w:sz w:val="14"/>
              </w:rPr>
              <w:t> </w:t>
            </w:r>
            <w:r>
              <w:rPr>
                <w:b/>
                <w:spacing w:val="-2"/>
                <w:sz w:val="14"/>
              </w:rPr>
              <w:t>IGUALES</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31"/>
              <w:ind w:right="57"/>
              <w:jc w:val="right"/>
              <w:rPr>
                <w:b/>
                <w:sz w:val="14"/>
              </w:rPr>
            </w:pPr>
            <w:r>
              <w:rPr>
                <w:b/>
                <w:spacing w:val="-2"/>
                <w:sz w:val="14"/>
              </w:rPr>
              <w:t>161,676,280.88</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57" w:lineRule="exact" w:before="22"/>
              <w:ind w:left="63"/>
              <w:rPr>
                <w:b/>
                <w:sz w:val="14"/>
              </w:rPr>
            </w:pPr>
            <w:r>
              <w:rPr>
                <w:b/>
                <w:sz w:val="14"/>
              </w:rPr>
              <w:t>SUMAS</w:t>
            </w:r>
            <w:r>
              <w:rPr>
                <w:b/>
                <w:spacing w:val="14"/>
                <w:sz w:val="14"/>
              </w:rPr>
              <w:t> </w:t>
            </w:r>
            <w:r>
              <w:rPr>
                <w:b/>
                <w:spacing w:val="-2"/>
                <w:sz w:val="14"/>
              </w:rPr>
              <w:t>IGUALES</w:t>
            </w:r>
          </w:p>
        </w:tc>
        <w:tc>
          <w:tcPr>
            <w:tcW w:w="1444" w:type="dxa"/>
            <w:tcBorders>
              <w:left w:val="single" w:sz="2" w:space="0" w:color="000000"/>
              <w:bottom w:val="single" w:sz="2" w:space="0" w:color="000000"/>
            </w:tcBorders>
            <w:shd w:val="clear" w:color="auto" w:fill="D9E0F1"/>
          </w:tcPr>
          <w:p>
            <w:pPr>
              <w:pStyle w:val="TableParagraph"/>
              <w:spacing w:line="149" w:lineRule="exact" w:before="31"/>
              <w:ind w:right="51"/>
              <w:jc w:val="right"/>
              <w:rPr>
                <w:b/>
                <w:sz w:val="14"/>
              </w:rPr>
            </w:pPr>
            <w:r>
              <w:rPr>
                <w:b/>
                <w:spacing w:val="-2"/>
                <w:sz w:val="14"/>
              </w:rPr>
              <w:t>161,676,280.88</w:t>
            </w:r>
          </w:p>
        </w:tc>
      </w:tr>
      <w:tr>
        <w:trPr>
          <w:trHeight w:val="162" w:hRule="atLeast"/>
        </w:trPr>
        <w:tc>
          <w:tcPr>
            <w:tcW w:w="4480" w:type="dxa"/>
            <w:gridSpan w:val="2"/>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10"/>
              </w:rPr>
            </w:pPr>
          </w:p>
        </w:tc>
        <w:tc>
          <w:tcPr>
            <w:tcW w:w="4350" w:type="dxa"/>
            <w:gridSpan w:val="2"/>
            <w:tcBorders>
              <w:top w:val="single" w:sz="2" w:space="0" w:color="000000"/>
              <w:left w:val="single" w:sz="2" w:space="0" w:color="000000"/>
              <w:bottom w:val="single" w:sz="2" w:space="0" w:color="000000"/>
            </w:tcBorders>
            <w:shd w:val="clear" w:color="auto" w:fill="FFFFFF"/>
          </w:tcPr>
          <w:p>
            <w:pPr>
              <w:pStyle w:val="TableParagraph"/>
              <w:rPr>
                <w:rFonts w:ascii="Times New Roman"/>
                <w:sz w:val="10"/>
              </w:rPr>
            </w:pPr>
          </w:p>
        </w:tc>
      </w:tr>
      <w:tr>
        <w:trPr>
          <w:trHeight w:val="254" w:hRule="atLeast"/>
        </w:trPr>
        <w:tc>
          <w:tcPr>
            <w:tcW w:w="3147" w:type="dxa"/>
            <w:tcBorders>
              <w:top w:val="single" w:sz="2" w:space="0" w:color="000000"/>
              <w:left w:val="single" w:sz="2" w:space="0" w:color="000000"/>
              <w:bottom w:val="single" w:sz="2" w:space="0" w:color="000000"/>
              <w:right w:val="single" w:sz="2" w:space="0" w:color="000000"/>
            </w:tcBorders>
          </w:tcPr>
          <w:p>
            <w:pPr>
              <w:pStyle w:val="TableParagraph"/>
              <w:spacing w:line="149" w:lineRule="exact" w:before="85"/>
              <w:ind w:left="24"/>
              <w:rPr>
                <w:b/>
                <w:sz w:val="14"/>
              </w:rPr>
            </w:pPr>
            <w:r>
              <w:rPr>
                <w:b/>
                <w:sz w:val="14"/>
              </w:rPr>
              <w:t>EGRESOS</w:t>
            </w:r>
            <w:r>
              <w:rPr>
                <w:b/>
                <w:spacing w:val="25"/>
                <w:sz w:val="14"/>
              </w:rPr>
              <w:t> </w:t>
            </w:r>
            <w:r>
              <w:rPr>
                <w:b/>
                <w:spacing w:val="-2"/>
                <w:sz w:val="14"/>
              </w:rPr>
              <w:t>PRESUPUESTARIAS</w:t>
            </w:r>
          </w:p>
        </w:tc>
        <w:tc>
          <w:tcPr>
            <w:tcW w:w="1333"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4"/>
              </w:rPr>
            </w:pPr>
          </w:p>
        </w:tc>
        <w:tc>
          <w:tcPr>
            <w:tcW w:w="2906" w:type="dxa"/>
            <w:tcBorders>
              <w:top w:val="single" w:sz="2" w:space="0" w:color="000000"/>
              <w:left w:val="single" w:sz="2" w:space="0" w:color="000000"/>
              <w:bottom w:val="single" w:sz="2" w:space="0" w:color="000000"/>
              <w:right w:val="single" w:sz="2" w:space="0" w:color="000000"/>
            </w:tcBorders>
          </w:tcPr>
          <w:p>
            <w:pPr>
              <w:pStyle w:val="TableParagraph"/>
              <w:spacing w:line="149" w:lineRule="exact" w:before="85"/>
              <w:ind w:left="25"/>
              <w:rPr>
                <w:b/>
                <w:sz w:val="14"/>
              </w:rPr>
            </w:pPr>
            <w:r>
              <w:rPr>
                <w:b/>
                <w:sz w:val="14"/>
              </w:rPr>
              <w:t>AFECTACIÓN</w:t>
            </w:r>
            <w:r>
              <w:rPr>
                <w:b/>
                <w:spacing w:val="35"/>
                <w:sz w:val="14"/>
              </w:rPr>
              <w:t> </w:t>
            </w:r>
            <w:r>
              <w:rPr>
                <w:b/>
                <w:spacing w:val="-2"/>
                <w:sz w:val="14"/>
              </w:rPr>
              <w:t>CONTABLE:</w:t>
            </w:r>
          </w:p>
        </w:tc>
        <w:tc>
          <w:tcPr>
            <w:tcW w:w="1444" w:type="dxa"/>
            <w:tcBorders>
              <w:top w:val="single" w:sz="2" w:space="0" w:color="000000"/>
              <w:left w:val="single" w:sz="2" w:space="0" w:color="000000"/>
              <w:bottom w:val="single" w:sz="2" w:space="0" w:color="000000"/>
            </w:tcBorders>
          </w:tcPr>
          <w:p>
            <w:pPr>
              <w:pStyle w:val="TableParagraph"/>
              <w:rPr>
                <w:rFonts w:ascii="Times New Roman"/>
                <w:sz w:val="14"/>
              </w:rPr>
            </w:pPr>
          </w:p>
        </w:tc>
      </w:tr>
      <w:tr>
        <w:trPr>
          <w:trHeight w:val="354" w:hRule="atLeast"/>
        </w:trPr>
        <w:tc>
          <w:tcPr>
            <w:tcW w:w="3147" w:type="dxa"/>
            <w:tcBorders>
              <w:top w:val="single" w:sz="2" w:space="0" w:color="000000"/>
              <w:left w:val="single" w:sz="2" w:space="0" w:color="000000"/>
              <w:bottom w:val="nil"/>
              <w:right w:val="single" w:sz="2" w:space="0" w:color="000000"/>
            </w:tcBorders>
            <w:shd w:val="clear" w:color="auto" w:fill="FFFFFF"/>
          </w:tcPr>
          <w:p>
            <w:pPr>
              <w:pStyle w:val="TableParagraph"/>
              <w:spacing w:before="5"/>
              <w:rPr>
                <w:sz w:val="14"/>
              </w:rPr>
            </w:pPr>
          </w:p>
          <w:p>
            <w:pPr>
              <w:pStyle w:val="TableParagraph"/>
              <w:ind w:left="24"/>
              <w:rPr>
                <w:b/>
                <w:sz w:val="14"/>
              </w:rPr>
            </w:pPr>
            <w:r>
              <w:rPr>
                <w:b/>
                <w:spacing w:val="-2"/>
                <w:sz w:val="14"/>
              </w:rPr>
              <w:t>Remuneraciones</w:t>
            </w:r>
          </w:p>
        </w:tc>
        <w:tc>
          <w:tcPr>
            <w:tcW w:w="1333" w:type="dxa"/>
            <w:tcBorders>
              <w:top w:val="single" w:sz="2" w:space="0" w:color="000000"/>
              <w:left w:val="single" w:sz="2" w:space="0" w:color="000000"/>
              <w:bottom w:val="nil"/>
              <w:right w:val="single" w:sz="2" w:space="0" w:color="000000"/>
            </w:tcBorders>
            <w:shd w:val="clear" w:color="auto" w:fill="FFFFFF"/>
          </w:tcPr>
          <w:p>
            <w:pPr>
              <w:pStyle w:val="TableParagraph"/>
              <w:spacing w:before="5"/>
              <w:rPr>
                <w:sz w:val="14"/>
              </w:rPr>
            </w:pPr>
          </w:p>
          <w:p>
            <w:pPr>
              <w:pStyle w:val="TableParagraph"/>
              <w:ind w:right="19"/>
              <w:jc w:val="right"/>
              <w:rPr>
                <w:b/>
                <w:sz w:val="14"/>
              </w:rPr>
            </w:pPr>
            <w:r>
              <w:rPr>
                <w:b/>
                <w:spacing w:val="-2"/>
                <w:sz w:val="14"/>
              </w:rPr>
              <w:t>12,700,630.64</w:t>
            </w:r>
          </w:p>
        </w:tc>
        <w:tc>
          <w:tcPr>
            <w:tcW w:w="2906" w:type="dxa"/>
            <w:tcBorders>
              <w:top w:val="single" w:sz="2" w:space="0" w:color="000000"/>
              <w:left w:val="single" w:sz="2" w:space="0" w:color="000000"/>
              <w:bottom w:val="nil"/>
              <w:right w:val="single" w:sz="2" w:space="0" w:color="000000"/>
            </w:tcBorders>
            <w:shd w:val="clear" w:color="auto" w:fill="FFFFFF"/>
          </w:tcPr>
          <w:p>
            <w:pPr>
              <w:pStyle w:val="TableParagraph"/>
              <w:spacing w:before="5"/>
              <w:rPr>
                <w:sz w:val="14"/>
              </w:rPr>
            </w:pPr>
          </w:p>
          <w:p>
            <w:pPr>
              <w:pStyle w:val="TableParagraph"/>
              <w:ind w:left="25"/>
              <w:rPr>
                <w:b/>
                <w:sz w:val="14"/>
              </w:rPr>
            </w:pPr>
            <w:r>
              <w:rPr>
                <w:b/>
                <w:spacing w:val="-2"/>
                <w:sz w:val="14"/>
              </w:rPr>
              <w:t>Remuneraciones</w:t>
            </w:r>
          </w:p>
        </w:tc>
        <w:tc>
          <w:tcPr>
            <w:tcW w:w="1444" w:type="dxa"/>
            <w:tcBorders>
              <w:top w:val="single" w:sz="2" w:space="0" w:color="000000"/>
              <w:left w:val="single" w:sz="2" w:space="0" w:color="000000"/>
              <w:bottom w:val="nil"/>
            </w:tcBorders>
            <w:shd w:val="clear" w:color="auto" w:fill="FFFFFF"/>
          </w:tcPr>
          <w:p>
            <w:pPr>
              <w:pStyle w:val="TableParagraph"/>
              <w:spacing w:before="5"/>
              <w:rPr>
                <w:sz w:val="14"/>
              </w:rPr>
            </w:pPr>
          </w:p>
          <w:p>
            <w:pPr>
              <w:pStyle w:val="TableParagraph"/>
              <w:ind w:right="13"/>
              <w:jc w:val="right"/>
              <w:rPr>
                <w:b/>
                <w:sz w:val="14"/>
              </w:rPr>
            </w:pPr>
            <w:r>
              <w:rPr>
                <w:b/>
                <w:spacing w:val="-2"/>
                <w:sz w:val="14"/>
              </w:rPr>
              <w:t>12,700,630.64</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pacing w:val="-2"/>
                <w:sz w:val="14"/>
              </w:rPr>
              <w:t>Servicios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4,745,577.36</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pacing w:val="-2"/>
                <w:sz w:val="14"/>
              </w:rPr>
              <w:t>Servicios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4,573,487.13</w:t>
            </w:r>
          </w:p>
        </w:tc>
      </w:tr>
      <w:tr>
        <w:trPr>
          <w:trHeight w:val="23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Materiales</w:t>
            </w:r>
            <w:r>
              <w:rPr>
                <w:b/>
                <w:spacing w:val="20"/>
                <w:sz w:val="14"/>
              </w:rPr>
              <w:t> </w:t>
            </w:r>
            <w:r>
              <w:rPr>
                <w:b/>
                <w:sz w:val="14"/>
              </w:rPr>
              <w:t>y</w:t>
            </w:r>
            <w:r>
              <w:rPr>
                <w:b/>
                <w:spacing w:val="19"/>
                <w:sz w:val="14"/>
              </w:rPr>
              <w:t> </w:t>
            </w:r>
            <w:r>
              <w:rPr>
                <w:b/>
                <w:spacing w:val="-2"/>
                <w:sz w:val="14"/>
              </w:rPr>
              <w:t>Suministros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7,551,425.13</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Materiales</w:t>
            </w:r>
            <w:r>
              <w:rPr>
                <w:b/>
                <w:spacing w:val="20"/>
                <w:sz w:val="14"/>
              </w:rPr>
              <w:t> </w:t>
            </w:r>
            <w:r>
              <w:rPr>
                <w:b/>
                <w:sz w:val="14"/>
              </w:rPr>
              <w:t>y</w:t>
            </w:r>
            <w:r>
              <w:rPr>
                <w:b/>
                <w:spacing w:val="19"/>
                <w:sz w:val="14"/>
              </w:rPr>
              <w:t> </w:t>
            </w:r>
            <w:r>
              <w:rPr>
                <w:b/>
                <w:spacing w:val="-2"/>
                <w:sz w:val="14"/>
              </w:rPr>
              <w:t>Suministros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94,128.11</w:t>
            </w:r>
          </w:p>
        </w:tc>
      </w:tr>
      <w:tr>
        <w:trPr>
          <w:trHeight w:val="23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41"/>
              <w:ind w:left="24"/>
              <w:rPr>
                <w:b/>
                <w:sz w:val="14"/>
              </w:rPr>
            </w:pPr>
            <w:r>
              <w:rPr>
                <w:b/>
                <w:sz w:val="14"/>
              </w:rPr>
              <w:t>Intereses</w:t>
            </w:r>
            <w:r>
              <w:rPr>
                <w:b/>
                <w:spacing w:val="20"/>
                <w:sz w:val="14"/>
              </w:rPr>
              <w:t> </w:t>
            </w:r>
            <w:r>
              <w:rPr>
                <w:b/>
                <w:sz w:val="14"/>
              </w:rPr>
              <w:t>y</w:t>
            </w:r>
            <w:r>
              <w:rPr>
                <w:b/>
                <w:spacing w:val="20"/>
                <w:sz w:val="14"/>
              </w:rPr>
              <w:t> </w:t>
            </w:r>
            <w:r>
              <w:rPr>
                <w:b/>
                <w:spacing w:val="-2"/>
                <w:sz w:val="14"/>
              </w:rPr>
              <w:t>Comisiones</w:t>
            </w:r>
          </w:p>
        </w:tc>
        <w:tc>
          <w:tcPr>
            <w:tcW w:w="1333" w:type="dxa"/>
            <w:tcBorders>
              <w:top w:val="nil"/>
              <w:left w:val="single" w:sz="2" w:space="0" w:color="000000"/>
              <w:bottom w:val="nil"/>
              <w:right w:val="single" w:sz="2" w:space="0" w:color="000000"/>
            </w:tcBorders>
            <w:shd w:val="clear" w:color="auto" w:fill="FFFFFF"/>
          </w:tcPr>
          <w:p>
            <w:pPr>
              <w:pStyle w:val="TableParagraph"/>
              <w:spacing w:before="41"/>
              <w:ind w:right="18"/>
              <w:jc w:val="right"/>
              <w:rPr>
                <w:b/>
                <w:sz w:val="14"/>
              </w:rPr>
            </w:pPr>
            <w:r>
              <w:rPr>
                <w:b/>
                <w:spacing w:val="-4"/>
                <w:sz w:val="14"/>
              </w:rPr>
              <w:t>0.00</w:t>
            </w:r>
          </w:p>
        </w:tc>
        <w:tc>
          <w:tcPr>
            <w:tcW w:w="2906" w:type="dxa"/>
            <w:tcBorders>
              <w:top w:val="nil"/>
              <w:left w:val="single" w:sz="2" w:space="0" w:color="000000"/>
              <w:bottom w:val="nil"/>
              <w:right w:val="single" w:sz="2" w:space="0" w:color="000000"/>
            </w:tcBorders>
            <w:shd w:val="clear" w:color="auto" w:fill="FFFFFF"/>
          </w:tcPr>
          <w:p>
            <w:pPr>
              <w:pStyle w:val="TableParagraph"/>
              <w:spacing w:before="41"/>
              <w:ind w:left="25"/>
              <w:rPr>
                <w:b/>
                <w:sz w:val="14"/>
              </w:rPr>
            </w:pPr>
            <w:r>
              <w:rPr>
                <w:b/>
                <w:sz w:val="14"/>
              </w:rPr>
              <w:t>Intereses</w:t>
            </w:r>
            <w:r>
              <w:rPr>
                <w:b/>
                <w:spacing w:val="20"/>
                <w:sz w:val="14"/>
              </w:rPr>
              <w:t> </w:t>
            </w:r>
            <w:r>
              <w:rPr>
                <w:b/>
                <w:sz w:val="14"/>
              </w:rPr>
              <w:t>y</w:t>
            </w:r>
            <w:r>
              <w:rPr>
                <w:b/>
                <w:spacing w:val="20"/>
                <w:sz w:val="14"/>
              </w:rPr>
              <w:t> </w:t>
            </w:r>
            <w:r>
              <w:rPr>
                <w:b/>
                <w:spacing w:val="-2"/>
                <w:sz w:val="14"/>
              </w:rPr>
              <w:t>Comisiones</w:t>
            </w:r>
          </w:p>
        </w:tc>
        <w:tc>
          <w:tcPr>
            <w:tcW w:w="1444" w:type="dxa"/>
            <w:tcBorders>
              <w:top w:val="nil"/>
              <w:left w:val="single" w:sz="2" w:space="0" w:color="000000"/>
              <w:bottom w:val="nil"/>
            </w:tcBorders>
            <w:shd w:val="clear" w:color="auto" w:fill="FFFFFF"/>
          </w:tcPr>
          <w:p>
            <w:pPr>
              <w:pStyle w:val="TableParagraph"/>
              <w:spacing w:before="41"/>
              <w:ind w:right="12"/>
              <w:jc w:val="right"/>
              <w:rPr>
                <w:b/>
                <w:sz w:val="14"/>
              </w:rPr>
            </w:pPr>
            <w:r>
              <w:rPr>
                <w:b/>
                <w:spacing w:val="-4"/>
                <w:sz w:val="14"/>
              </w:rPr>
              <w:t>0.00</w:t>
            </w:r>
          </w:p>
        </w:tc>
      </w:tr>
      <w:tr>
        <w:trPr>
          <w:trHeight w:val="200" w:hRule="atLeast"/>
        </w:trPr>
        <w:tc>
          <w:tcPr>
            <w:tcW w:w="3147" w:type="dxa"/>
            <w:tcBorders>
              <w:top w:val="nil"/>
              <w:left w:val="single" w:sz="2" w:space="0" w:color="000000"/>
              <w:bottom w:val="nil"/>
              <w:right w:val="single" w:sz="2" w:space="0" w:color="000000"/>
            </w:tcBorders>
            <w:shd w:val="clear" w:color="auto" w:fill="FFFFFF"/>
          </w:tcPr>
          <w:p>
            <w:pPr>
              <w:pStyle w:val="TableParagraph"/>
              <w:spacing w:before="11"/>
              <w:ind w:left="24"/>
              <w:rPr>
                <w:b/>
                <w:sz w:val="14"/>
              </w:rPr>
            </w:pPr>
            <w:r>
              <w:rPr>
                <w:b/>
                <w:sz w:val="14"/>
              </w:rPr>
              <w:t>Bienes</w:t>
            </w:r>
            <w:r>
              <w:rPr>
                <w:b/>
                <w:spacing w:val="22"/>
                <w:sz w:val="14"/>
              </w:rPr>
              <w:t> </w:t>
            </w:r>
            <w:r>
              <w:rPr>
                <w:b/>
                <w:spacing w:val="-2"/>
                <w:sz w:val="14"/>
              </w:rPr>
              <w:t>Duraderos</w:t>
            </w:r>
          </w:p>
        </w:tc>
        <w:tc>
          <w:tcPr>
            <w:tcW w:w="1333" w:type="dxa"/>
            <w:tcBorders>
              <w:top w:val="nil"/>
              <w:left w:val="single" w:sz="2" w:space="0" w:color="000000"/>
              <w:bottom w:val="nil"/>
              <w:right w:val="single" w:sz="2" w:space="0" w:color="000000"/>
            </w:tcBorders>
            <w:shd w:val="clear" w:color="auto" w:fill="FFFFFF"/>
          </w:tcPr>
          <w:p>
            <w:pPr>
              <w:pStyle w:val="TableParagraph"/>
              <w:spacing w:before="11"/>
              <w:ind w:right="19"/>
              <w:jc w:val="right"/>
              <w:rPr>
                <w:b/>
                <w:sz w:val="14"/>
              </w:rPr>
            </w:pPr>
            <w:r>
              <w:rPr>
                <w:b/>
                <w:spacing w:val="-2"/>
                <w:sz w:val="14"/>
              </w:rPr>
              <w:t>247,356.60</w:t>
            </w:r>
          </w:p>
        </w:tc>
        <w:tc>
          <w:tcPr>
            <w:tcW w:w="2906" w:type="dxa"/>
            <w:tcBorders>
              <w:top w:val="nil"/>
              <w:left w:val="single" w:sz="2" w:space="0" w:color="000000"/>
              <w:bottom w:val="nil"/>
              <w:right w:val="single" w:sz="2" w:space="0" w:color="000000"/>
            </w:tcBorders>
            <w:shd w:val="clear" w:color="auto" w:fill="FFFFFF"/>
          </w:tcPr>
          <w:p>
            <w:pPr>
              <w:pStyle w:val="TableParagraph"/>
              <w:spacing w:before="11"/>
              <w:ind w:left="25"/>
              <w:rPr>
                <w:b/>
                <w:sz w:val="14"/>
              </w:rPr>
            </w:pPr>
            <w:r>
              <w:rPr>
                <w:b/>
                <w:sz w:val="14"/>
              </w:rPr>
              <w:t>Bienes</w:t>
            </w:r>
            <w:r>
              <w:rPr>
                <w:b/>
                <w:spacing w:val="22"/>
                <w:sz w:val="14"/>
              </w:rPr>
              <w:t> </w:t>
            </w:r>
            <w:r>
              <w:rPr>
                <w:b/>
                <w:spacing w:val="-2"/>
                <w:sz w:val="14"/>
              </w:rPr>
              <w:t>Duraderos</w:t>
            </w:r>
          </w:p>
        </w:tc>
        <w:tc>
          <w:tcPr>
            <w:tcW w:w="1444" w:type="dxa"/>
            <w:tcBorders>
              <w:top w:val="nil"/>
              <w:left w:val="single" w:sz="2" w:space="0" w:color="000000"/>
              <w:bottom w:val="nil"/>
            </w:tcBorders>
            <w:shd w:val="clear" w:color="auto" w:fill="FFFFFF"/>
          </w:tcPr>
          <w:p>
            <w:pPr>
              <w:pStyle w:val="TableParagraph"/>
              <w:spacing w:before="11"/>
              <w:ind w:right="13"/>
              <w:jc w:val="right"/>
              <w:rPr>
                <w:b/>
                <w:sz w:val="14"/>
              </w:rPr>
            </w:pPr>
            <w:r>
              <w:rPr>
                <w:b/>
                <w:spacing w:val="-2"/>
                <w:sz w:val="14"/>
              </w:rPr>
              <w:t>1,180.12</w:t>
            </w:r>
          </w:p>
        </w:tc>
      </w:tr>
      <w:tr>
        <w:trPr>
          <w:trHeight w:val="175" w:hRule="atLeast"/>
        </w:trPr>
        <w:tc>
          <w:tcPr>
            <w:tcW w:w="3147" w:type="dxa"/>
            <w:tcBorders>
              <w:top w:val="nil"/>
              <w:left w:val="single" w:sz="2" w:space="0" w:color="000000"/>
              <w:right w:val="single" w:sz="2" w:space="0" w:color="000000"/>
            </w:tcBorders>
            <w:shd w:val="clear" w:color="auto" w:fill="FFFFFF"/>
          </w:tcPr>
          <w:p>
            <w:pPr>
              <w:pStyle w:val="TableParagraph"/>
              <w:spacing w:line="144" w:lineRule="exact" w:before="11"/>
              <w:ind w:left="24"/>
              <w:rPr>
                <w:b/>
                <w:sz w:val="14"/>
              </w:rPr>
            </w:pPr>
            <w:r>
              <w:rPr>
                <w:b/>
                <w:sz w:val="14"/>
              </w:rPr>
              <w:t>Transferencias</w:t>
            </w:r>
            <w:r>
              <w:rPr>
                <w:b/>
                <w:spacing w:val="23"/>
                <w:sz w:val="14"/>
              </w:rPr>
              <w:t> </w:t>
            </w:r>
            <w:r>
              <w:rPr>
                <w:b/>
                <w:sz w:val="14"/>
              </w:rPr>
              <w:t>Corrientes</w:t>
            </w:r>
            <w:r>
              <w:rPr>
                <w:b/>
                <w:spacing w:val="24"/>
                <w:sz w:val="14"/>
              </w:rPr>
              <w:t> </w:t>
            </w:r>
            <w:r>
              <w:rPr>
                <w:b/>
                <w:sz w:val="14"/>
              </w:rPr>
              <w:t>y</w:t>
            </w:r>
            <w:r>
              <w:rPr>
                <w:b/>
                <w:spacing w:val="22"/>
                <w:sz w:val="14"/>
              </w:rPr>
              <w:t> </w:t>
            </w:r>
            <w:r>
              <w:rPr>
                <w:b/>
                <w:sz w:val="14"/>
              </w:rPr>
              <w:t>de</w:t>
            </w:r>
            <w:r>
              <w:rPr>
                <w:b/>
                <w:spacing w:val="23"/>
                <w:sz w:val="14"/>
              </w:rPr>
              <w:t> </w:t>
            </w:r>
            <w:r>
              <w:rPr>
                <w:b/>
                <w:spacing w:val="-2"/>
                <w:sz w:val="14"/>
              </w:rPr>
              <w:t>Capital</w:t>
            </w:r>
          </w:p>
        </w:tc>
        <w:tc>
          <w:tcPr>
            <w:tcW w:w="1333" w:type="dxa"/>
            <w:tcBorders>
              <w:top w:val="nil"/>
              <w:left w:val="single" w:sz="2" w:space="0" w:color="000000"/>
              <w:right w:val="single" w:sz="2" w:space="0" w:color="000000"/>
            </w:tcBorders>
            <w:shd w:val="clear" w:color="auto" w:fill="FFFFFF"/>
          </w:tcPr>
          <w:p>
            <w:pPr>
              <w:pStyle w:val="TableParagraph"/>
              <w:spacing w:line="144" w:lineRule="exact" w:before="11"/>
              <w:ind w:right="19"/>
              <w:jc w:val="right"/>
              <w:rPr>
                <w:b/>
                <w:sz w:val="14"/>
              </w:rPr>
            </w:pPr>
            <w:r>
              <w:rPr>
                <w:b/>
                <w:spacing w:val="-2"/>
                <w:sz w:val="14"/>
              </w:rPr>
              <w:t>102,409,283.35</w:t>
            </w:r>
          </w:p>
        </w:tc>
        <w:tc>
          <w:tcPr>
            <w:tcW w:w="2906" w:type="dxa"/>
            <w:tcBorders>
              <w:top w:val="nil"/>
              <w:left w:val="single" w:sz="2" w:space="0" w:color="000000"/>
              <w:right w:val="single" w:sz="2" w:space="0" w:color="000000"/>
            </w:tcBorders>
            <w:shd w:val="clear" w:color="auto" w:fill="FFFFFF"/>
          </w:tcPr>
          <w:p>
            <w:pPr>
              <w:pStyle w:val="TableParagraph"/>
              <w:spacing w:line="144" w:lineRule="exact" w:before="11"/>
              <w:ind w:left="25"/>
              <w:rPr>
                <w:b/>
                <w:sz w:val="14"/>
              </w:rPr>
            </w:pPr>
            <w:r>
              <w:rPr>
                <w:b/>
                <w:sz w:val="14"/>
              </w:rPr>
              <w:t>Transferencias</w:t>
            </w:r>
            <w:r>
              <w:rPr>
                <w:b/>
                <w:spacing w:val="23"/>
                <w:sz w:val="14"/>
              </w:rPr>
              <w:t> </w:t>
            </w:r>
            <w:r>
              <w:rPr>
                <w:b/>
                <w:sz w:val="14"/>
              </w:rPr>
              <w:t>Corrientes</w:t>
            </w:r>
            <w:r>
              <w:rPr>
                <w:b/>
                <w:spacing w:val="24"/>
                <w:sz w:val="14"/>
              </w:rPr>
              <w:t> </w:t>
            </w:r>
            <w:r>
              <w:rPr>
                <w:b/>
                <w:sz w:val="14"/>
              </w:rPr>
              <w:t>y</w:t>
            </w:r>
            <w:r>
              <w:rPr>
                <w:b/>
                <w:spacing w:val="22"/>
                <w:sz w:val="14"/>
              </w:rPr>
              <w:t> </w:t>
            </w:r>
            <w:r>
              <w:rPr>
                <w:b/>
                <w:sz w:val="14"/>
              </w:rPr>
              <w:t>de</w:t>
            </w:r>
            <w:r>
              <w:rPr>
                <w:b/>
                <w:spacing w:val="23"/>
                <w:sz w:val="14"/>
              </w:rPr>
              <w:t> </w:t>
            </w:r>
            <w:r>
              <w:rPr>
                <w:b/>
                <w:spacing w:val="-2"/>
                <w:sz w:val="14"/>
              </w:rPr>
              <w:t>Capital</w:t>
            </w:r>
          </w:p>
        </w:tc>
        <w:tc>
          <w:tcPr>
            <w:tcW w:w="1444" w:type="dxa"/>
            <w:tcBorders>
              <w:top w:val="nil"/>
              <w:left w:val="single" w:sz="2" w:space="0" w:color="000000"/>
            </w:tcBorders>
            <w:shd w:val="clear" w:color="auto" w:fill="FFFFFF"/>
          </w:tcPr>
          <w:p>
            <w:pPr>
              <w:pStyle w:val="TableParagraph"/>
              <w:spacing w:line="144" w:lineRule="exact" w:before="11"/>
              <w:ind w:right="14"/>
              <w:jc w:val="right"/>
              <w:rPr>
                <w:b/>
                <w:sz w:val="14"/>
              </w:rPr>
            </w:pPr>
            <w:r>
              <w:rPr>
                <w:b/>
                <w:spacing w:val="-2"/>
                <w:sz w:val="14"/>
              </w:rPr>
              <w:t>100,659,074.21</w:t>
            </w:r>
          </w:p>
        </w:tc>
      </w:tr>
      <w:tr>
        <w:trPr>
          <w:trHeight w:val="195"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24"/>
              <w:rPr>
                <w:b/>
                <w:sz w:val="14"/>
              </w:rPr>
            </w:pPr>
            <w:r>
              <w:rPr>
                <w:b/>
                <w:sz w:val="14"/>
              </w:rPr>
              <w:t>TOTAL</w:t>
            </w:r>
            <w:r>
              <w:rPr>
                <w:b/>
                <w:spacing w:val="20"/>
                <w:sz w:val="14"/>
              </w:rPr>
              <w:t> </w:t>
            </w:r>
            <w:r>
              <w:rPr>
                <w:b/>
                <w:spacing w:val="-2"/>
                <w:sz w:val="14"/>
              </w:rPr>
              <w:t>EGRESOS</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right="57"/>
              <w:jc w:val="right"/>
              <w:rPr>
                <w:b/>
                <w:sz w:val="14"/>
              </w:rPr>
            </w:pPr>
            <w:r>
              <w:rPr>
                <w:b/>
                <w:spacing w:val="-2"/>
                <w:sz w:val="14"/>
              </w:rPr>
              <w:t>127,654,273.08</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63"/>
              <w:rPr>
                <w:b/>
                <w:sz w:val="14"/>
              </w:rPr>
            </w:pPr>
            <w:r>
              <w:rPr>
                <w:b/>
                <w:sz w:val="14"/>
              </w:rPr>
              <w:t>TOTAL</w:t>
            </w:r>
            <w:r>
              <w:rPr>
                <w:b/>
                <w:spacing w:val="20"/>
                <w:sz w:val="14"/>
              </w:rPr>
              <w:t> </w:t>
            </w:r>
            <w:r>
              <w:rPr>
                <w:b/>
                <w:spacing w:val="-2"/>
                <w:sz w:val="14"/>
              </w:rPr>
              <w:t>GASTOS</w:t>
            </w:r>
          </w:p>
        </w:tc>
        <w:tc>
          <w:tcPr>
            <w:tcW w:w="1444"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right="54"/>
              <w:jc w:val="right"/>
              <w:rPr>
                <w:b/>
                <w:sz w:val="14"/>
              </w:rPr>
            </w:pPr>
            <w:r>
              <w:rPr>
                <w:b/>
                <w:spacing w:val="-2"/>
                <w:sz w:val="14"/>
              </w:rPr>
              <w:t>118,028,500.21</w:t>
            </w:r>
          </w:p>
        </w:tc>
      </w:tr>
      <w:tr>
        <w:trPr>
          <w:trHeight w:val="212" w:hRule="atLeast"/>
        </w:trPr>
        <w:tc>
          <w:tcPr>
            <w:tcW w:w="3147" w:type="dxa"/>
            <w:vMerge w:val="restart"/>
            <w:tcBorders>
              <w:top w:val="single" w:sz="2" w:space="0" w:color="000000"/>
              <w:left w:val="single" w:sz="2" w:space="0" w:color="000000"/>
              <w:right w:val="single" w:sz="2" w:space="0" w:color="000000"/>
            </w:tcBorders>
            <w:shd w:val="clear" w:color="auto" w:fill="FFFFFF"/>
          </w:tcPr>
          <w:p>
            <w:pPr>
              <w:pStyle w:val="TableParagraph"/>
              <w:rPr>
                <w:rFonts w:ascii="Times New Roman"/>
                <w:sz w:val="14"/>
              </w:rPr>
            </w:pPr>
          </w:p>
        </w:tc>
        <w:tc>
          <w:tcPr>
            <w:tcW w:w="1333" w:type="dxa"/>
            <w:vMerge w:val="restart"/>
            <w:tcBorders>
              <w:top w:val="single" w:sz="2" w:space="0" w:color="000000"/>
              <w:left w:val="single" w:sz="2" w:space="0" w:color="000000"/>
              <w:right w:val="single" w:sz="2" w:space="0" w:color="000000"/>
            </w:tcBorders>
            <w:shd w:val="clear" w:color="auto" w:fill="FFFFFF"/>
          </w:tcPr>
          <w:p>
            <w:pPr>
              <w:pStyle w:val="TableParagraph"/>
              <w:rPr>
                <w:rFonts w:ascii="Times New Roman"/>
                <w:sz w:val="14"/>
              </w:rPr>
            </w:pPr>
          </w:p>
        </w:tc>
        <w:tc>
          <w:tcPr>
            <w:tcW w:w="2906" w:type="dxa"/>
            <w:tcBorders>
              <w:top w:val="single" w:sz="2" w:space="0" w:color="000000"/>
              <w:left w:val="single" w:sz="2" w:space="0" w:color="000000"/>
              <w:bottom w:val="nil"/>
              <w:right w:val="single" w:sz="2" w:space="0" w:color="000000"/>
            </w:tcBorders>
            <w:shd w:val="clear" w:color="auto" w:fill="FFFFFF"/>
          </w:tcPr>
          <w:p>
            <w:pPr>
              <w:pStyle w:val="TableParagraph"/>
              <w:spacing w:before="49"/>
              <w:ind w:left="20"/>
              <w:rPr>
                <w:b/>
                <w:sz w:val="12"/>
              </w:rPr>
            </w:pPr>
            <w:r>
              <w:rPr>
                <w:b/>
                <w:spacing w:val="-4"/>
                <w:w w:val="105"/>
                <w:sz w:val="12"/>
              </w:rPr>
              <w:t>MAS:</w:t>
            </w:r>
          </w:p>
        </w:tc>
        <w:tc>
          <w:tcPr>
            <w:tcW w:w="1444" w:type="dxa"/>
            <w:tcBorders>
              <w:top w:val="single" w:sz="2" w:space="0" w:color="000000"/>
              <w:left w:val="single" w:sz="2" w:space="0" w:color="000000"/>
              <w:bottom w:val="nil"/>
            </w:tcBorders>
            <w:shd w:val="clear" w:color="auto" w:fill="FFFFFF"/>
          </w:tcPr>
          <w:p>
            <w:pPr>
              <w:pStyle w:val="TableParagraph"/>
              <w:rPr>
                <w:rFonts w:ascii="Times New Roman"/>
                <w:sz w:val="14"/>
              </w:rPr>
            </w:pPr>
          </w:p>
        </w:tc>
      </w:tr>
      <w:tr>
        <w:trPr>
          <w:trHeight w:val="190" w:hRule="atLeast"/>
        </w:trPr>
        <w:tc>
          <w:tcPr>
            <w:tcW w:w="3147" w:type="dxa"/>
            <w:vMerge/>
            <w:tcBorders>
              <w:top w:val="nil"/>
              <w:left w:val="single" w:sz="2" w:space="0" w:color="000000"/>
              <w:right w:val="single" w:sz="2" w:space="0" w:color="000000"/>
            </w:tcBorders>
            <w:shd w:val="clear" w:color="auto" w:fill="FFFFFF"/>
          </w:tcPr>
          <w:p>
            <w:pPr>
              <w:rPr>
                <w:sz w:val="2"/>
                <w:szCs w:val="2"/>
              </w:rPr>
            </w:pPr>
          </w:p>
        </w:tc>
        <w:tc>
          <w:tcPr>
            <w:tcW w:w="1333" w:type="dxa"/>
            <w:vMerge/>
            <w:tcBorders>
              <w:top w:val="nil"/>
              <w:left w:val="single" w:sz="2" w:space="0" w:color="000000"/>
              <w:right w:val="single" w:sz="2" w:space="0" w:color="000000"/>
            </w:tcBorders>
            <w:shd w:val="clear" w:color="auto" w:fill="FFFFFF"/>
          </w:tcPr>
          <w:p>
            <w:pPr>
              <w:rPr>
                <w:sz w:val="2"/>
                <w:szCs w:val="2"/>
              </w:rPr>
            </w:pPr>
          </w:p>
        </w:tc>
        <w:tc>
          <w:tcPr>
            <w:tcW w:w="2906" w:type="dxa"/>
            <w:tcBorders>
              <w:top w:val="nil"/>
              <w:left w:val="single" w:sz="2" w:space="0" w:color="000000"/>
              <w:bottom w:val="nil"/>
              <w:right w:val="single" w:sz="2" w:space="0" w:color="000000"/>
            </w:tcBorders>
            <w:shd w:val="clear" w:color="auto" w:fill="FFFFFF"/>
          </w:tcPr>
          <w:p>
            <w:pPr>
              <w:pStyle w:val="TableParagraph"/>
              <w:spacing w:before="6"/>
              <w:ind w:left="25"/>
              <w:rPr>
                <w:b/>
                <w:sz w:val="14"/>
              </w:rPr>
            </w:pPr>
            <w:r>
              <w:rPr>
                <w:b/>
                <w:sz w:val="14"/>
              </w:rPr>
              <w:t>Partidas</w:t>
            </w:r>
            <w:r>
              <w:rPr>
                <w:b/>
                <w:spacing w:val="21"/>
                <w:sz w:val="14"/>
              </w:rPr>
              <w:t> </w:t>
            </w:r>
            <w:r>
              <w:rPr>
                <w:b/>
                <w:sz w:val="14"/>
              </w:rPr>
              <w:t>presup.</w:t>
            </w:r>
            <w:r>
              <w:rPr>
                <w:b/>
                <w:spacing w:val="20"/>
                <w:sz w:val="14"/>
              </w:rPr>
              <w:t> </w:t>
            </w:r>
            <w:r>
              <w:rPr>
                <w:b/>
                <w:sz w:val="14"/>
              </w:rPr>
              <w:t>Afecta</w:t>
            </w:r>
            <w:r>
              <w:rPr>
                <w:b/>
                <w:spacing w:val="19"/>
                <w:sz w:val="14"/>
              </w:rPr>
              <w:t> </w:t>
            </w:r>
            <w:r>
              <w:rPr>
                <w:b/>
                <w:sz w:val="14"/>
              </w:rPr>
              <w:t>Cuentas</w:t>
            </w:r>
            <w:r>
              <w:rPr>
                <w:b/>
                <w:spacing w:val="22"/>
                <w:sz w:val="14"/>
              </w:rPr>
              <w:t> </w:t>
            </w:r>
            <w:r>
              <w:rPr>
                <w:b/>
                <w:sz w:val="14"/>
              </w:rPr>
              <w:t>de</w:t>
            </w:r>
            <w:r>
              <w:rPr>
                <w:b/>
                <w:spacing w:val="21"/>
                <w:sz w:val="14"/>
              </w:rPr>
              <w:t> </w:t>
            </w:r>
            <w:r>
              <w:rPr>
                <w:b/>
                <w:spacing w:val="-2"/>
                <w:sz w:val="14"/>
              </w:rPr>
              <w:t>Activos</w:t>
            </w:r>
          </w:p>
        </w:tc>
        <w:tc>
          <w:tcPr>
            <w:tcW w:w="1444" w:type="dxa"/>
            <w:tcBorders>
              <w:top w:val="nil"/>
              <w:left w:val="single" w:sz="2" w:space="0" w:color="000000"/>
              <w:bottom w:val="nil"/>
            </w:tcBorders>
            <w:shd w:val="clear" w:color="auto" w:fill="FFFFFF"/>
          </w:tcPr>
          <w:p>
            <w:pPr>
              <w:pStyle w:val="TableParagraph"/>
              <w:spacing w:before="10"/>
              <w:ind w:right="13"/>
              <w:jc w:val="right"/>
              <w:rPr>
                <w:b/>
                <w:sz w:val="14"/>
              </w:rPr>
            </w:pPr>
            <w:r>
              <w:rPr>
                <w:b/>
                <w:spacing w:val="-2"/>
                <w:sz w:val="14"/>
              </w:rPr>
              <w:t>815,886.36</w:t>
            </w:r>
          </w:p>
        </w:tc>
      </w:tr>
      <w:tr>
        <w:trPr>
          <w:trHeight w:val="175" w:hRule="atLeast"/>
        </w:trPr>
        <w:tc>
          <w:tcPr>
            <w:tcW w:w="3147" w:type="dxa"/>
            <w:vMerge/>
            <w:tcBorders>
              <w:top w:val="nil"/>
              <w:left w:val="single" w:sz="2" w:space="0" w:color="000000"/>
              <w:right w:val="single" w:sz="2" w:space="0" w:color="000000"/>
            </w:tcBorders>
            <w:shd w:val="clear" w:color="auto" w:fill="FFFFFF"/>
          </w:tcPr>
          <w:p>
            <w:pPr>
              <w:rPr>
                <w:sz w:val="2"/>
                <w:szCs w:val="2"/>
              </w:rPr>
            </w:pPr>
          </w:p>
        </w:tc>
        <w:tc>
          <w:tcPr>
            <w:tcW w:w="1333" w:type="dxa"/>
            <w:vMerge/>
            <w:tcBorders>
              <w:top w:val="nil"/>
              <w:left w:val="single" w:sz="2" w:space="0" w:color="000000"/>
              <w:right w:val="single" w:sz="2" w:space="0" w:color="000000"/>
            </w:tcBorders>
            <w:shd w:val="clear" w:color="auto" w:fill="FFFFFF"/>
          </w:tcPr>
          <w:p>
            <w:pPr>
              <w:rPr>
                <w:sz w:val="2"/>
                <w:szCs w:val="2"/>
              </w:rPr>
            </w:pPr>
          </w:p>
        </w:tc>
        <w:tc>
          <w:tcPr>
            <w:tcW w:w="2906" w:type="dxa"/>
            <w:tcBorders>
              <w:top w:val="nil"/>
              <w:left w:val="single" w:sz="2" w:space="0" w:color="000000"/>
              <w:right w:val="single" w:sz="2" w:space="0" w:color="000000"/>
            </w:tcBorders>
            <w:shd w:val="clear" w:color="auto" w:fill="FFFFFF"/>
          </w:tcPr>
          <w:p>
            <w:pPr>
              <w:pStyle w:val="TableParagraph"/>
              <w:spacing w:line="153" w:lineRule="exact" w:before="2"/>
              <w:ind w:left="25"/>
              <w:rPr>
                <w:b/>
                <w:sz w:val="14"/>
              </w:rPr>
            </w:pPr>
            <w:r>
              <w:rPr>
                <w:b/>
                <w:sz w:val="14"/>
              </w:rPr>
              <w:t>Partidas</w:t>
            </w:r>
            <w:r>
              <w:rPr>
                <w:b/>
                <w:spacing w:val="21"/>
                <w:sz w:val="14"/>
              </w:rPr>
              <w:t> </w:t>
            </w:r>
            <w:r>
              <w:rPr>
                <w:b/>
                <w:sz w:val="14"/>
              </w:rPr>
              <w:t>presup.</w:t>
            </w:r>
            <w:r>
              <w:rPr>
                <w:b/>
                <w:spacing w:val="20"/>
                <w:sz w:val="14"/>
              </w:rPr>
              <w:t> </w:t>
            </w:r>
            <w:r>
              <w:rPr>
                <w:b/>
                <w:sz w:val="14"/>
              </w:rPr>
              <w:t>Afecta</w:t>
            </w:r>
            <w:r>
              <w:rPr>
                <w:b/>
                <w:spacing w:val="19"/>
                <w:sz w:val="14"/>
              </w:rPr>
              <w:t> </w:t>
            </w:r>
            <w:r>
              <w:rPr>
                <w:b/>
                <w:sz w:val="14"/>
              </w:rPr>
              <w:t>Cuentas</w:t>
            </w:r>
            <w:r>
              <w:rPr>
                <w:b/>
                <w:spacing w:val="22"/>
                <w:sz w:val="14"/>
              </w:rPr>
              <w:t> </w:t>
            </w:r>
            <w:r>
              <w:rPr>
                <w:b/>
                <w:sz w:val="14"/>
              </w:rPr>
              <w:t>de</w:t>
            </w:r>
            <w:r>
              <w:rPr>
                <w:b/>
                <w:spacing w:val="21"/>
                <w:sz w:val="14"/>
              </w:rPr>
              <w:t> </w:t>
            </w:r>
            <w:r>
              <w:rPr>
                <w:b/>
                <w:spacing w:val="-2"/>
                <w:sz w:val="14"/>
              </w:rPr>
              <w:t>Pasivos</w:t>
            </w:r>
          </w:p>
        </w:tc>
        <w:tc>
          <w:tcPr>
            <w:tcW w:w="1444" w:type="dxa"/>
            <w:tcBorders>
              <w:top w:val="nil"/>
              <w:left w:val="single" w:sz="2" w:space="0" w:color="000000"/>
            </w:tcBorders>
            <w:shd w:val="clear" w:color="auto" w:fill="FFFFFF"/>
          </w:tcPr>
          <w:p>
            <w:pPr>
              <w:pStyle w:val="TableParagraph"/>
              <w:spacing w:line="144" w:lineRule="exact" w:before="10"/>
              <w:ind w:right="13"/>
              <w:jc w:val="right"/>
              <w:rPr>
                <w:b/>
                <w:sz w:val="14"/>
              </w:rPr>
            </w:pPr>
            <w:r>
              <w:rPr>
                <w:b/>
                <w:spacing w:val="-2"/>
                <w:sz w:val="14"/>
              </w:rPr>
              <w:t>8,809,886.51</w:t>
            </w:r>
          </w:p>
        </w:tc>
      </w:tr>
      <w:tr>
        <w:trPr>
          <w:trHeight w:val="195"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24"/>
              <w:rPr>
                <w:b/>
                <w:sz w:val="14"/>
              </w:rPr>
            </w:pPr>
            <w:r>
              <w:rPr>
                <w:b/>
                <w:sz w:val="14"/>
              </w:rPr>
              <w:t>SUMAS</w:t>
            </w:r>
            <w:r>
              <w:rPr>
                <w:b/>
                <w:spacing w:val="14"/>
                <w:sz w:val="14"/>
              </w:rPr>
              <w:t> </w:t>
            </w:r>
            <w:r>
              <w:rPr>
                <w:b/>
                <w:spacing w:val="-2"/>
                <w:sz w:val="14"/>
              </w:rPr>
              <w:t>IGUALES</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right="57"/>
              <w:jc w:val="right"/>
              <w:rPr>
                <w:b/>
                <w:sz w:val="14"/>
              </w:rPr>
            </w:pPr>
            <w:r>
              <w:rPr>
                <w:b/>
                <w:spacing w:val="-2"/>
                <w:sz w:val="14"/>
              </w:rPr>
              <w:t>127,654,273.08</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63"/>
              <w:rPr>
                <w:b/>
                <w:sz w:val="14"/>
              </w:rPr>
            </w:pPr>
            <w:r>
              <w:rPr>
                <w:b/>
                <w:sz w:val="14"/>
              </w:rPr>
              <w:t>SUMAS</w:t>
            </w:r>
            <w:r>
              <w:rPr>
                <w:b/>
                <w:spacing w:val="14"/>
                <w:sz w:val="14"/>
              </w:rPr>
              <w:t> </w:t>
            </w:r>
            <w:r>
              <w:rPr>
                <w:b/>
                <w:spacing w:val="-2"/>
                <w:sz w:val="14"/>
              </w:rPr>
              <w:t>IGUALES</w:t>
            </w:r>
          </w:p>
        </w:tc>
        <w:tc>
          <w:tcPr>
            <w:tcW w:w="1444" w:type="dxa"/>
            <w:tcBorders>
              <w:left w:val="single" w:sz="2" w:space="0" w:color="000000"/>
              <w:bottom w:val="single" w:sz="2" w:space="0" w:color="000000"/>
            </w:tcBorders>
            <w:shd w:val="clear" w:color="auto" w:fill="D9E0F1"/>
          </w:tcPr>
          <w:p>
            <w:pPr>
              <w:pStyle w:val="TableParagraph"/>
              <w:spacing w:line="145" w:lineRule="exact" w:before="30"/>
              <w:ind w:right="51"/>
              <w:jc w:val="right"/>
              <w:rPr>
                <w:b/>
                <w:sz w:val="14"/>
              </w:rPr>
            </w:pPr>
            <w:r>
              <w:rPr>
                <w:b/>
                <w:spacing w:val="-2"/>
                <w:sz w:val="14"/>
              </w:rPr>
              <w:t>127,654,273.08</w:t>
            </w:r>
          </w:p>
        </w:tc>
      </w:tr>
      <w:tr>
        <w:trPr>
          <w:trHeight w:val="195" w:hRule="atLeast"/>
        </w:trPr>
        <w:tc>
          <w:tcPr>
            <w:tcW w:w="4480" w:type="dxa"/>
            <w:gridSpan w:val="2"/>
            <w:tcBorders>
              <w:top w:val="single" w:sz="2" w:space="0" w:color="000000"/>
              <w:left w:val="single" w:sz="2" w:space="0" w:color="000000"/>
              <w:right w:val="single" w:sz="2" w:space="0" w:color="000000"/>
            </w:tcBorders>
            <w:shd w:val="clear" w:color="auto" w:fill="FFFFFF"/>
          </w:tcPr>
          <w:p>
            <w:pPr>
              <w:pStyle w:val="TableParagraph"/>
              <w:rPr>
                <w:rFonts w:ascii="Times New Roman"/>
                <w:sz w:val="12"/>
              </w:rPr>
            </w:pPr>
          </w:p>
        </w:tc>
        <w:tc>
          <w:tcPr>
            <w:tcW w:w="2906" w:type="dxa"/>
            <w:tcBorders>
              <w:top w:val="single" w:sz="2" w:space="0" w:color="000000"/>
              <w:left w:val="single" w:sz="2" w:space="0" w:color="000000"/>
              <w:right w:val="single" w:sz="2" w:space="0" w:color="000000"/>
            </w:tcBorders>
            <w:shd w:val="clear" w:color="auto" w:fill="FFFFFF"/>
          </w:tcPr>
          <w:p>
            <w:pPr>
              <w:pStyle w:val="TableParagraph"/>
              <w:rPr>
                <w:rFonts w:ascii="Times New Roman"/>
                <w:sz w:val="12"/>
              </w:rPr>
            </w:pPr>
          </w:p>
        </w:tc>
        <w:tc>
          <w:tcPr>
            <w:tcW w:w="1444" w:type="dxa"/>
            <w:tcBorders>
              <w:top w:val="single" w:sz="2" w:space="0" w:color="000000"/>
              <w:left w:val="single" w:sz="2" w:space="0" w:color="000000"/>
            </w:tcBorders>
            <w:shd w:val="clear" w:color="auto" w:fill="FFFFFF"/>
          </w:tcPr>
          <w:p>
            <w:pPr>
              <w:pStyle w:val="TableParagraph"/>
              <w:rPr>
                <w:rFonts w:ascii="Times New Roman"/>
                <w:sz w:val="12"/>
              </w:rPr>
            </w:pPr>
          </w:p>
        </w:tc>
      </w:tr>
      <w:tr>
        <w:trPr>
          <w:trHeight w:val="195" w:hRule="atLeast"/>
        </w:trPr>
        <w:tc>
          <w:tcPr>
            <w:tcW w:w="3147"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24"/>
              <w:rPr>
                <w:b/>
                <w:sz w:val="14"/>
              </w:rPr>
            </w:pPr>
            <w:r>
              <w:rPr>
                <w:b/>
                <w:sz w:val="14"/>
              </w:rPr>
              <w:t>SUPERAVIT</w:t>
            </w:r>
            <w:r>
              <w:rPr>
                <w:b/>
                <w:spacing w:val="34"/>
                <w:sz w:val="14"/>
              </w:rPr>
              <w:t>  </w:t>
            </w:r>
            <w:r>
              <w:rPr>
                <w:b/>
                <w:spacing w:val="-5"/>
                <w:sz w:val="14"/>
              </w:rPr>
              <w:t>SAP</w:t>
            </w:r>
          </w:p>
        </w:tc>
        <w:tc>
          <w:tcPr>
            <w:tcW w:w="1333"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right="57"/>
              <w:jc w:val="right"/>
              <w:rPr>
                <w:b/>
                <w:sz w:val="14"/>
              </w:rPr>
            </w:pPr>
            <w:r>
              <w:rPr>
                <w:b/>
                <w:spacing w:val="-2"/>
                <w:sz w:val="14"/>
              </w:rPr>
              <w:t>34,022,007.80</w:t>
            </w:r>
          </w:p>
        </w:tc>
        <w:tc>
          <w:tcPr>
            <w:tcW w:w="2906" w:type="dxa"/>
            <w:tcBorders>
              <w:left w:val="single" w:sz="2" w:space="0" w:color="000000"/>
              <w:bottom w:val="single" w:sz="2" w:space="0" w:color="000000"/>
              <w:right w:val="single" w:sz="2" w:space="0" w:color="000000"/>
            </w:tcBorders>
            <w:shd w:val="clear" w:color="auto" w:fill="D9E0F1"/>
          </w:tcPr>
          <w:p>
            <w:pPr>
              <w:pStyle w:val="TableParagraph"/>
              <w:spacing w:line="149" w:lineRule="exact" w:before="26"/>
              <w:ind w:left="63"/>
              <w:rPr>
                <w:b/>
                <w:sz w:val="14"/>
              </w:rPr>
            </w:pPr>
            <w:r>
              <w:rPr>
                <w:b/>
                <w:sz w:val="14"/>
              </w:rPr>
              <w:t>SUPERAVIT</w:t>
            </w:r>
            <w:r>
              <w:rPr>
                <w:b/>
                <w:spacing w:val="66"/>
                <w:sz w:val="14"/>
              </w:rPr>
              <w:t> </w:t>
            </w:r>
            <w:r>
              <w:rPr>
                <w:b/>
                <w:spacing w:val="-2"/>
                <w:sz w:val="14"/>
              </w:rPr>
              <w:t>PRESUPUESTO</w:t>
            </w:r>
          </w:p>
        </w:tc>
        <w:tc>
          <w:tcPr>
            <w:tcW w:w="1444" w:type="dxa"/>
            <w:tcBorders>
              <w:left w:val="single" w:sz="2" w:space="0" w:color="000000"/>
              <w:bottom w:val="single" w:sz="2" w:space="0" w:color="000000"/>
              <w:right w:val="single" w:sz="2" w:space="0" w:color="000000"/>
            </w:tcBorders>
            <w:shd w:val="clear" w:color="auto" w:fill="D9E0F1"/>
          </w:tcPr>
          <w:p>
            <w:pPr>
              <w:pStyle w:val="TableParagraph"/>
              <w:spacing w:line="145" w:lineRule="exact" w:before="30"/>
              <w:ind w:right="54"/>
              <w:jc w:val="right"/>
              <w:rPr>
                <w:b/>
                <w:sz w:val="14"/>
              </w:rPr>
            </w:pPr>
            <w:r>
              <w:rPr>
                <w:b/>
                <w:spacing w:val="-2"/>
                <w:sz w:val="14"/>
              </w:rPr>
              <w:t>34,022,007.80</w:t>
            </w:r>
          </w:p>
        </w:tc>
      </w:tr>
      <w:tr>
        <w:trPr>
          <w:trHeight w:val="200" w:hRule="atLeast"/>
        </w:trPr>
        <w:tc>
          <w:tcPr>
            <w:tcW w:w="3147" w:type="dxa"/>
            <w:tcBorders>
              <w:top w:val="single" w:sz="2" w:space="0" w:color="000000"/>
              <w:left w:val="single" w:sz="2" w:space="0" w:color="000000"/>
              <w:bottom w:val="single" w:sz="2" w:space="0" w:color="000000"/>
              <w:right w:val="nil"/>
            </w:tcBorders>
            <w:shd w:val="clear" w:color="auto" w:fill="FFFFFF"/>
          </w:tcPr>
          <w:p>
            <w:pPr>
              <w:pStyle w:val="TableParagraph"/>
              <w:spacing w:line="131" w:lineRule="exact" w:before="48"/>
              <w:ind w:left="20"/>
              <w:rPr>
                <w:sz w:val="12"/>
              </w:rPr>
            </w:pPr>
            <w:r>
              <w:rPr>
                <w:w w:val="105"/>
                <w:sz w:val="12"/>
              </w:rPr>
              <w:t>Ajuste </w:t>
            </w:r>
            <w:r>
              <w:rPr>
                <w:spacing w:val="-2"/>
                <w:w w:val="105"/>
                <w:sz w:val="12"/>
              </w:rPr>
              <w:t>contabilidad</w:t>
            </w:r>
          </w:p>
        </w:tc>
        <w:tc>
          <w:tcPr>
            <w:tcW w:w="1333" w:type="dxa"/>
            <w:tcBorders>
              <w:top w:val="single" w:sz="2" w:space="0" w:color="000000"/>
              <w:left w:val="nil"/>
              <w:bottom w:val="single" w:sz="2" w:space="0" w:color="000000"/>
              <w:right w:val="single" w:sz="2" w:space="0" w:color="000000"/>
            </w:tcBorders>
            <w:shd w:val="clear" w:color="auto" w:fill="FFFFFF"/>
          </w:tcPr>
          <w:p>
            <w:pPr>
              <w:pStyle w:val="TableParagraph"/>
              <w:spacing w:line="131" w:lineRule="exact" w:before="48"/>
              <w:ind w:right="172"/>
              <w:jc w:val="right"/>
              <w:rPr>
                <w:sz w:val="12"/>
              </w:rPr>
            </w:pPr>
            <w:r>
              <w:rPr>
                <w:spacing w:val="-10"/>
                <w:w w:val="105"/>
                <w:sz w:val="12"/>
              </w:rPr>
              <w:t>-</w:t>
            </w:r>
          </w:p>
        </w:tc>
        <w:tc>
          <w:tcPr>
            <w:tcW w:w="2906" w:type="dxa"/>
            <w:tcBorders>
              <w:top w:val="single" w:sz="2" w:space="0" w:color="000000"/>
              <w:left w:val="single" w:sz="2" w:space="0" w:color="000000"/>
              <w:bottom w:val="single" w:sz="2" w:space="0" w:color="000000"/>
              <w:right w:val="single" w:sz="2" w:space="0" w:color="000000"/>
            </w:tcBorders>
            <w:shd w:val="clear" w:color="auto" w:fill="FFFFFF"/>
          </w:tcPr>
          <w:p>
            <w:pPr>
              <w:pStyle w:val="TableParagraph"/>
              <w:rPr>
                <w:rFonts w:ascii="Times New Roman"/>
                <w:sz w:val="12"/>
              </w:rPr>
            </w:pPr>
          </w:p>
        </w:tc>
        <w:tc>
          <w:tcPr>
            <w:tcW w:w="1444" w:type="dxa"/>
            <w:tcBorders>
              <w:top w:val="single" w:sz="2" w:space="0" w:color="000000"/>
              <w:left w:val="single" w:sz="2" w:space="0" w:color="000000"/>
              <w:bottom w:val="single" w:sz="2" w:space="0" w:color="000000"/>
            </w:tcBorders>
            <w:shd w:val="clear" w:color="auto" w:fill="FFFFFF"/>
          </w:tcPr>
          <w:p>
            <w:pPr>
              <w:pStyle w:val="TableParagraph"/>
              <w:spacing w:line="131" w:lineRule="exact" w:before="48"/>
              <w:ind w:right="166"/>
              <w:jc w:val="right"/>
              <w:rPr>
                <w:sz w:val="12"/>
              </w:rPr>
            </w:pPr>
            <w:r>
              <w:rPr>
                <w:spacing w:val="-10"/>
                <w:w w:val="105"/>
                <w:sz w:val="12"/>
              </w:rPr>
              <w:t>-</w:t>
            </w:r>
          </w:p>
        </w:tc>
      </w:tr>
      <w:tr>
        <w:trPr>
          <w:trHeight w:val="195" w:hRule="atLeast"/>
        </w:trPr>
        <w:tc>
          <w:tcPr>
            <w:tcW w:w="3147" w:type="dxa"/>
            <w:tcBorders>
              <w:top w:val="single" w:sz="2" w:space="0" w:color="000000"/>
              <w:left w:val="single" w:sz="2" w:space="0" w:color="000000"/>
            </w:tcBorders>
            <w:shd w:val="clear" w:color="auto" w:fill="D9E0F1"/>
          </w:tcPr>
          <w:p>
            <w:pPr>
              <w:pStyle w:val="TableParagraph"/>
              <w:spacing w:line="153" w:lineRule="exact" w:before="22"/>
              <w:ind w:left="24"/>
              <w:rPr>
                <w:b/>
                <w:sz w:val="14"/>
              </w:rPr>
            </w:pPr>
            <w:r>
              <w:rPr>
                <w:b/>
                <w:sz w:val="14"/>
              </w:rPr>
              <w:t>SUPERAVIT</w:t>
            </w:r>
            <w:r>
              <w:rPr>
                <w:b/>
                <w:spacing w:val="66"/>
                <w:sz w:val="14"/>
              </w:rPr>
              <w:t> </w:t>
            </w:r>
            <w:r>
              <w:rPr>
                <w:b/>
                <w:spacing w:val="-2"/>
                <w:sz w:val="14"/>
              </w:rPr>
              <w:t>PRESUPUESTO</w:t>
            </w:r>
          </w:p>
        </w:tc>
        <w:tc>
          <w:tcPr>
            <w:tcW w:w="1333" w:type="dxa"/>
            <w:tcBorders>
              <w:top w:val="single" w:sz="2" w:space="0" w:color="000000"/>
              <w:right w:val="single" w:sz="2" w:space="0" w:color="000000"/>
            </w:tcBorders>
            <w:shd w:val="clear" w:color="auto" w:fill="D9E0F1"/>
          </w:tcPr>
          <w:p>
            <w:pPr>
              <w:pStyle w:val="TableParagraph"/>
              <w:spacing w:line="153" w:lineRule="exact" w:before="22"/>
              <w:ind w:right="88"/>
              <w:jc w:val="right"/>
              <w:rPr>
                <w:b/>
                <w:sz w:val="14"/>
              </w:rPr>
            </w:pPr>
            <w:r>
              <w:rPr>
                <w:b/>
                <w:spacing w:val="-2"/>
                <w:sz w:val="14"/>
              </w:rPr>
              <w:t>34,022,007.80</w:t>
            </w:r>
          </w:p>
        </w:tc>
        <w:tc>
          <w:tcPr>
            <w:tcW w:w="2906" w:type="dxa"/>
            <w:tcBorders>
              <w:top w:val="single" w:sz="2" w:space="0" w:color="000000"/>
              <w:left w:val="single" w:sz="2" w:space="0" w:color="000000"/>
            </w:tcBorders>
            <w:shd w:val="clear" w:color="auto" w:fill="D9E0F1"/>
          </w:tcPr>
          <w:p>
            <w:pPr>
              <w:pStyle w:val="TableParagraph"/>
              <w:spacing w:line="153" w:lineRule="exact" w:before="22"/>
              <w:ind w:left="63"/>
              <w:rPr>
                <w:b/>
                <w:sz w:val="14"/>
              </w:rPr>
            </w:pPr>
            <w:r>
              <w:rPr>
                <w:b/>
                <w:sz w:val="14"/>
              </w:rPr>
              <w:t>PANTALLA</w:t>
            </w:r>
            <w:r>
              <w:rPr>
                <w:b/>
                <w:spacing w:val="25"/>
                <w:sz w:val="14"/>
              </w:rPr>
              <w:t> </w:t>
            </w:r>
            <w:r>
              <w:rPr>
                <w:b/>
                <w:spacing w:val="-5"/>
                <w:sz w:val="14"/>
              </w:rPr>
              <w:t>SAP</w:t>
            </w:r>
          </w:p>
        </w:tc>
        <w:tc>
          <w:tcPr>
            <w:tcW w:w="1444" w:type="dxa"/>
            <w:tcBorders>
              <w:top w:val="single" w:sz="2" w:space="0" w:color="000000"/>
              <w:right w:val="single" w:sz="2" w:space="0" w:color="000000"/>
            </w:tcBorders>
            <w:shd w:val="clear" w:color="auto" w:fill="D9E0F1"/>
          </w:tcPr>
          <w:p>
            <w:pPr>
              <w:pStyle w:val="TableParagraph"/>
              <w:spacing w:line="153" w:lineRule="exact" w:before="22"/>
              <w:ind w:right="84"/>
              <w:jc w:val="right"/>
              <w:rPr>
                <w:b/>
                <w:sz w:val="14"/>
              </w:rPr>
            </w:pPr>
            <w:r>
              <w:rPr>
                <w:b/>
                <w:spacing w:val="-2"/>
                <w:sz w:val="14"/>
              </w:rPr>
              <w:t>34,022,007.80</w:t>
            </w:r>
          </w:p>
        </w:tc>
      </w:tr>
      <w:tr>
        <w:trPr>
          <w:trHeight w:val="230" w:hRule="atLeast"/>
        </w:trPr>
        <w:tc>
          <w:tcPr>
            <w:tcW w:w="8830" w:type="dxa"/>
            <w:gridSpan w:val="4"/>
            <w:tcBorders>
              <w:left w:val="nil"/>
              <w:bottom w:val="nil"/>
              <w:right w:val="nil"/>
            </w:tcBorders>
            <w:shd w:val="clear" w:color="auto" w:fill="FFFFFF"/>
          </w:tcPr>
          <w:p>
            <w:pPr>
              <w:pStyle w:val="TableParagraph"/>
              <w:spacing w:before="22"/>
              <w:ind w:left="27"/>
              <w:rPr>
                <w:b/>
                <w:sz w:val="15"/>
              </w:rPr>
            </w:pPr>
            <w:r>
              <w:rPr>
                <w:b/>
                <w:w w:val="105"/>
                <w:sz w:val="15"/>
              </w:rPr>
              <w:t>Fuente:</w:t>
            </w:r>
            <w:r>
              <w:rPr>
                <w:b/>
                <w:spacing w:val="30"/>
                <w:w w:val="105"/>
                <w:sz w:val="15"/>
              </w:rPr>
              <w:t> </w:t>
            </w:r>
            <w:r>
              <w:rPr>
                <w:b/>
                <w:w w:val="105"/>
                <w:sz w:val="15"/>
              </w:rPr>
              <w:t>Sistema</w:t>
            </w:r>
            <w:r>
              <w:rPr>
                <w:b/>
                <w:spacing w:val="32"/>
                <w:w w:val="105"/>
                <w:sz w:val="15"/>
              </w:rPr>
              <w:t> </w:t>
            </w:r>
            <w:r>
              <w:rPr>
                <w:b/>
                <w:w w:val="105"/>
                <w:sz w:val="15"/>
              </w:rPr>
              <w:t>informjático</w:t>
            </w:r>
            <w:r>
              <w:rPr>
                <w:b/>
                <w:spacing w:val="31"/>
                <w:w w:val="105"/>
                <w:sz w:val="15"/>
              </w:rPr>
              <w:t> </w:t>
            </w:r>
            <w:r>
              <w:rPr>
                <w:b/>
                <w:spacing w:val="-5"/>
                <w:w w:val="105"/>
                <w:sz w:val="15"/>
              </w:rPr>
              <w:t>SAP</w:t>
            </w:r>
          </w:p>
        </w:tc>
      </w:tr>
    </w:tbl>
    <w:p>
      <w:pPr>
        <w:pStyle w:val="BodyText"/>
        <w:rPr>
          <w:sz w:val="20"/>
        </w:rPr>
      </w:pPr>
    </w:p>
    <w:p>
      <w:pPr>
        <w:pStyle w:val="BodyText"/>
        <w:spacing w:before="186"/>
        <w:rPr>
          <w:sz w:val="20"/>
        </w:rPr>
      </w:pPr>
    </w:p>
    <w:p>
      <w:pPr>
        <w:pStyle w:val="Heading6"/>
        <w:ind w:left="622"/>
      </w:pPr>
      <w:r>
        <w:rPr/>
        <w:t>Revelación</w:t>
      </w:r>
      <w:r>
        <w:rPr>
          <w:spacing w:val="-7"/>
        </w:rPr>
        <w:t> </w:t>
      </w:r>
      <w:r>
        <w:rPr/>
        <w:t>para</w:t>
      </w:r>
      <w:r>
        <w:rPr>
          <w:spacing w:val="-6"/>
        </w:rPr>
        <w:t> </w:t>
      </w:r>
      <w:r>
        <w:rPr/>
        <w:t>conciliar</w:t>
      </w:r>
      <w:r>
        <w:rPr>
          <w:spacing w:val="-5"/>
        </w:rPr>
        <w:t> </w:t>
      </w:r>
      <w:r>
        <w:rPr/>
        <w:t>la</w:t>
      </w:r>
      <w:r>
        <w:rPr>
          <w:spacing w:val="-6"/>
        </w:rPr>
        <w:t> </w:t>
      </w:r>
      <w:r>
        <w:rPr/>
        <w:t>Ejecución</w:t>
      </w:r>
      <w:r>
        <w:rPr>
          <w:spacing w:val="-5"/>
        </w:rPr>
        <w:t> </w:t>
      </w:r>
      <w:r>
        <w:rPr/>
        <w:t>Presupuestaria</w:t>
      </w:r>
      <w:r>
        <w:rPr>
          <w:spacing w:val="-6"/>
        </w:rPr>
        <w:t> </w:t>
      </w:r>
      <w:r>
        <w:rPr/>
        <w:t>con</w:t>
      </w:r>
      <w:r>
        <w:rPr>
          <w:spacing w:val="-4"/>
        </w:rPr>
        <w:t> </w:t>
      </w:r>
      <w:r>
        <w:rPr>
          <w:spacing w:val="-2"/>
        </w:rPr>
        <w:t>Contabilidad</w:t>
      </w:r>
    </w:p>
    <w:p>
      <w:pPr>
        <w:pStyle w:val="BodyText"/>
        <w:spacing w:before="96"/>
        <w:rPr>
          <w:b/>
          <w:sz w:val="20"/>
        </w:rPr>
      </w:pPr>
    </w:p>
    <w:tbl>
      <w:tblPr>
        <w:tblW w:w="0" w:type="auto"/>
        <w:jc w:val="left"/>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8"/>
        <w:gridCol w:w="2280"/>
        <w:gridCol w:w="1725"/>
        <w:gridCol w:w="1701"/>
        <w:gridCol w:w="1840"/>
      </w:tblGrid>
      <w:tr>
        <w:trPr>
          <w:trHeight w:val="325" w:hRule="atLeast"/>
        </w:trPr>
        <w:tc>
          <w:tcPr>
            <w:tcW w:w="1418" w:type="dxa"/>
            <w:shd w:val="clear" w:color="auto" w:fill="365F91"/>
          </w:tcPr>
          <w:p>
            <w:pPr>
              <w:pStyle w:val="TableParagraph"/>
              <w:spacing w:before="19"/>
              <w:ind w:left="395"/>
              <w:rPr>
                <w:sz w:val="22"/>
              </w:rPr>
            </w:pPr>
            <w:r>
              <w:rPr>
                <w:color w:val="FFFFFF"/>
                <w:spacing w:val="-2"/>
                <w:sz w:val="22"/>
              </w:rPr>
              <w:t>Cuenta</w:t>
            </w:r>
          </w:p>
        </w:tc>
        <w:tc>
          <w:tcPr>
            <w:tcW w:w="2280" w:type="dxa"/>
            <w:shd w:val="clear" w:color="auto" w:fill="365F91"/>
          </w:tcPr>
          <w:p>
            <w:pPr>
              <w:pStyle w:val="TableParagraph"/>
              <w:spacing w:before="19"/>
              <w:ind w:left="605"/>
              <w:rPr>
                <w:sz w:val="22"/>
              </w:rPr>
            </w:pPr>
            <w:r>
              <w:rPr>
                <w:color w:val="FFFFFF"/>
                <w:spacing w:val="-2"/>
                <w:sz w:val="22"/>
              </w:rPr>
              <w:t>Presupuesto</w:t>
            </w:r>
          </w:p>
        </w:tc>
        <w:tc>
          <w:tcPr>
            <w:tcW w:w="1725" w:type="dxa"/>
            <w:shd w:val="clear" w:color="auto" w:fill="365F91"/>
          </w:tcPr>
          <w:p>
            <w:pPr>
              <w:pStyle w:val="TableParagraph"/>
              <w:spacing w:before="19"/>
              <w:ind w:left="473"/>
              <w:rPr>
                <w:sz w:val="22"/>
              </w:rPr>
            </w:pPr>
            <w:r>
              <w:rPr>
                <w:color w:val="FFFFFF"/>
                <w:spacing w:val="-2"/>
                <w:sz w:val="22"/>
              </w:rPr>
              <w:t>Devengo</w:t>
            </w:r>
          </w:p>
        </w:tc>
        <w:tc>
          <w:tcPr>
            <w:tcW w:w="1701" w:type="dxa"/>
            <w:shd w:val="clear" w:color="auto" w:fill="365F91"/>
          </w:tcPr>
          <w:p>
            <w:pPr>
              <w:pStyle w:val="TableParagraph"/>
              <w:spacing w:before="19"/>
              <w:ind w:left="395"/>
              <w:rPr>
                <w:sz w:val="22"/>
              </w:rPr>
            </w:pPr>
            <w:r>
              <w:rPr>
                <w:color w:val="FFFFFF"/>
                <w:spacing w:val="-2"/>
                <w:sz w:val="22"/>
              </w:rPr>
              <w:t>Diferencia</w:t>
            </w:r>
          </w:p>
        </w:tc>
        <w:tc>
          <w:tcPr>
            <w:tcW w:w="1840" w:type="dxa"/>
            <w:shd w:val="clear" w:color="auto" w:fill="365F91"/>
          </w:tcPr>
          <w:p>
            <w:pPr>
              <w:pStyle w:val="TableParagraph"/>
              <w:spacing w:before="19"/>
              <w:ind w:left="396"/>
              <w:rPr>
                <w:sz w:val="22"/>
              </w:rPr>
            </w:pPr>
            <w:r>
              <w:rPr>
                <w:color w:val="FFFFFF"/>
                <w:spacing w:val="-2"/>
                <w:sz w:val="22"/>
              </w:rPr>
              <w:t>Justificación</w:t>
            </w:r>
          </w:p>
        </w:tc>
      </w:tr>
      <w:tr>
        <w:trPr>
          <w:trHeight w:val="323" w:hRule="atLeast"/>
        </w:trPr>
        <w:tc>
          <w:tcPr>
            <w:tcW w:w="1418" w:type="dxa"/>
          </w:tcPr>
          <w:p>
            <w:pPr>
              <w:pStyle w:val="TableParagraph"/>
              <w:rPr>
                <w:rFonts w:ascii="Times New Roman"/>
                <w:sz w:val="14"/>
              </w:rPr>
            </w:pPr>
          </w:p>
        </w:tc>
        <w:tc>
          <w:tcPr>
            <w:tcW w:w="2280" w:type="dxa"/>
          </w:tcPr>
          <w:p>
            <w:pPr>
              <w:pStyle w:val="TableParagraph"/>
              <w:rPr>
                <w:rFonts w:ascii="Times New Roman"/>
                <w:sz w:val="14"/>
              </w:rPr>
            </w:pPr>
          </w:p>
        </w:tc>
        <w:tc>
          <w:tcPr>
            <w:tcW w:w="1725" w:type="dxa"/>
          </w:tcPr>
          <w:p>
            <w:pPr>
              <w:pStyle w:val="TableParagraph"/>
              <w:rPr>
                <w:rFonts w:ascii="Times New Roman"/>
                <w:sz w:val="14"/>
              </w:rPr>
            </w:pPr>
          </w:p>
        </w:tc>
        <w:tc>
          <w:tcPr>
            <w:tcW w:w="1701" w:type="dxa"/>
          </w:tcPr>
          <w:p>
            <w:pPr>
              <w:pStyle w:val="TableParagraph"/>
              <w:rPr>
                <w:rFonts w:ascii="Times New Roman"/>
                <w:sz w:val="14"/>
              </w:rPr>
            </w:pPr>
          </w:p>
        </w:tc>
        <w:tc>
          <w:tcPr>
            <w:tcW w:w="1840" w:type="dxa"/>
          </w:tcPr>
          <w:p>
            <w:pPr>
              <w:pStyle w:val="TableParagraph"/>
              <w:rPr>
                <w:rFonts w:ascii="Times New Roman"/>
                <w:sz w:val="14"/>
              </w:rPr>
            </w:pPr>
          </w:p>
        </w:tc>
      </w:tr>
    </w:tbl>
    <w:p>
      <w:pPr>
        <w:pStyle w:val="BodyText"/>
        <w:spacing w:before="40"/>
        <w:rPr>
          <w:b/>
        </w:rPr>
      </w:pPr>
    </w:p>
    <w:p>
      <w:pPr>
        <w:pStyle w:val="BodyText"/>
        <w:spacing w:line="276" w:lineRule="auto"/>
        <w:ind w:left="622" w:right="976"/>
        <w:jc w:val="both"/>
      </w:pPr>
      <w:r>
        <w:rPr/>
        <w:t>La</w:t>
      </w:r>
      <w:r>
        <w:rPr>
          <w:spacing w:val="-8"/>
        </w:rPr>
        <w:t> </w:t>
      </w:r>
      <w:r>
        <w:rPr/>
        <w:t>conciliación</w:t>
      </w:r>
      <w:r>
        <w:rPr>
          <w:spacing w:val="-7"/>
        </w:rPr>
        <w:t> </w:t>
      </w:r>
      <w:r>
        <w:rPr/>
        <w:t>entre</w:t>
      </w:r>
      <w:r>
        <w:rPr>
          <w:spacing w:val="-6"/>
        </w:rPr>
        <w:t> </w:t>
      </w:r>
      <w:r>
        <w:rPr/>
        <w:t>la</w:t>
      </w:r>
      <w:r>
        <w:rPr>
          <w:spacing w:val="-11"/>
        </w:rPr>
        <w:t> </w:t>
      </w:r>
      <w:r>
        <w:rPr/>
        <w:t>ejecución</w:t>
      </w:r>
      <w:r>
        <w:rPr>
          <w:spacing w:val="-7"/>
        </w:rPr>
        <w:t> </w:t>
      </w:r>
      <w:r>
        <w:rPr/>
        <w:t>presupuestaria</w:t>
      </w:r>
      <w:r>
        <w:rPr>
          <w:spacing w:val="-8"/>
        </w:rPr>
        <w:t> </w:t>
      </w:r>
      <w:r>
        <w:rPr/>
        <w:t>y</w:t>
      </w:r>
      <w:r>
        <w:rPr>
          <w:spacing w:val="-8"/>
        </w:rPr>
        <w:t> </w:t>
      </w:r>
      <w:r>
        <w:rPr/>
        <w:t>la</w:t>
      </w:r>
      <w:r>
        <w:rPr>
          <w:spacing w:val="-8"/>
        </w:rPr>
        <w:t> </w:t>
      </w:r>
      <w:r>
        <w:rPr/>
        <w:t>información</w:t>
      </w:r>
      <w:r>
        <w:rPr>
          <w:spacing w:val="-7"/>
        </w:rPr>
        <w:t> </w:t>
      </w:r>
      <w:r>
        <w:rPr/>
        <w:t>contable</w:t>
      </w:r>
      <w:r>
        <w:rPr>
          <w:spacing w:val="-8"/>
        </w:rPr>
        <w:t> </w:t>
      </w:r>
      <w:r>
        <w:rPr/>
        <w:t>se</w:t>
      </w:r>
      <w:r>
        <w:rPr>
          <w:spacing w:val="-6"/>
        </w:rPr>
        <w:t> </w:t>
      </w:r>
      <w:r>
        <w:rPr/>
        <w:t>realiza</w:t>
      </w:r>
      <w:r>
        <w:rPr>
          <w:spacing w:val="-8"/>
        </w:rPr>
        <w:t> </w:t>
      </w:r>
      <w:r>
        <w:rPr/>
        <w:t>con</w:t>
      </w:r>
      <w:r>
        <w:rPr>
          <w:spacing w:val="-9"/>
        </w:rPr>
        <w:t> </w:t>
      </w:r>
      <w:r>
        <w:rPr/>
        <w:t>el</w:t>
      </w:r>
      <w:r>
        <w:rPr>
          <w:spacing w:val="-8"/>
        </w:rPr>
        <w:t> </w:t>
      </w:r>
      <w:r>
        <w:rPr/>
        <w:t>objetivo</w:t>
      </w:r>
      <w:r>
        <w:rPr>
          <w:spacing w:val="-9"/>
        </w:rPr>
        <w:t> </w:t>
      </w:r>
      <w:r>
        <w:rPr/>
        <w:t>de explicar</w:t>
      </w:r>
      <w:r>
        <w:rPr>
          <w:spacing w:val="-1"/>
        </w:rPr>
        <w:t> </w:t>
      </w:r>
      <w:r>
        <w:rPr/>
        <w:t>las diferencias</w:t>
      </w:r>
      <w:r>
        <w:rPr>
          <w:spacing w:val="-2"/>
        </w:rPr>
        <w:t> </w:t>
      </w:r>
      <w:r>
        <w:rPr/>
        <w:t>que</w:t>
      </w:r>
      <w:r>
        <w:rPr>
          <w:spacing w:val="-2"/>
        </w:rPr>
        <w:t> </w:t>
      </w:r>
      <w:r>
        <w:rPr/>
        <w:t>surgen</w:t>
      </w:r>
      <w:r>
        <w:rPr>
          <w:spacing w:val="-1"/>
        </w:rPr>
        <w:t> </w:t>
      </w:r>
      <w:r>
        <w:rPr/>
        <w:t>por</w:t>
      </w:r>
      <w:r>
        <w:rPr>
          <w:spacing w:val="-1"/>
        </w:rPr>
        <w:t> </w:t>
      </w:r>
      <w:r>
        <w:rPr/>
        <w:t>la</w:t>
      </w:r>
      <w:r>
        <w:rPr>
          <w:spacing w:val="-2"/>
        </w:rPr>
        <w:t> </w:t>
      </w:r>
      <w:r>
        <w:rPr/>
        <w:t>aplicación</w:t>
      </w:r>
      <w:r>
        <w:rPr>
          <w:spacing w:val="-1"/>
        </w:rPr>
        <w:t> </w:t>
      </w:r>
      <w:r>
        <w:rPr/>
        <w:t>de</w:t>
      </w:r>
      <w:r>
        <w:rPr>
          <w:spacing w:val="-4"/>
        </w:rPr>
        <w:t> </w:t>
      </w:r>
      <w:r>
        <w:rPr/>
        <w:t>bases de reconocimiento distintas,</w:t>
      </w:r>
      <w:r>
        <w:rPr>
          <w:spacing w:val="-1"/>
        </w:rPr>
        <w:t> </w:t>
      </w:r>
      <w:r>
        <w:rPr/>
        <w:t>dado</w:t>
      </w:r>
      <w:r>
        <w:rPr>
          <w:spacing w:val="-3"/>
        </w:rPr>
        <w:t> </w:t>
      </w:r>
      <w:r>
        <w:rPr/>
        <w:t>que</w:t>
      </w:r>
      <w:r>
        <w:rPr>
          <w:spacing w:val="-2"/>
        </w:rPr>
        <w:t> </w:t>
      </w:r>
      <w:r>
        <w:rPr/>
        <w:t>el presupuesto</w:t>
      </w:r>
      <w:r>
        <w:rPr>
          <w:spacing w:val="-14"/>
        </w:rPr>
        <w:t> </w:t>
      </w:r>
      <w:r>
        <w:rPr/>
        <w:t>se</w:t>
      </w:r>
      <w:r>
        <w:rPr>
          <w:spacing w:val="-14"/>
        </w:rPr>
        <w:t> </w:t>
      </w:r>
      <w:r>
        <w:rPr/>
        <w:t>ejecuta</w:t>
      </w:r>
      <w:r>
        <w:rPr>
          <w:spacing w:val="-14"/>
        </w:rPr>
        <w:t> </w:t>
      </w:r>
      <w:r>
        <w:rPr/>
        <w:t>sobre</w:t>
      </w:r>
      <w:r>
        <w:rPr>
          <w:spacing w:val="-13"/>
        </w:rPr>
        <w:t> </w:t>
      </w:r>
      <w:r>
        <w:rPr/>
        <w:t>una</w:t>
      </w:r>
      <w:r>
        <w:rPr>
          <w:spacing w:val="-14"/>
        </w:rPr>
        <w:t> </w:t>
      </w:r>
      <w:r>
        <w:rPr/>
        <w:t>base</w:t>
      </w:r>
      <w:r>
        <w:rPr>
          <w:spacing w:val="-14"/>
        </w:rPr>
        <w:t> </w:t>
      </w:r>
      <w:r>
        <w:rPr/>
        <w:t>modificada</w:t>
      </w:r>
      <w:r>
        <w:rPr>
          <w:spacing w:val="-14"/>
        </w:rPr>
        <w:t> </w:t>
      </w:r>
      <w:r>
        <w:rPr/>
        <w:t>de</w:t>
      </w:r>
      <w:r>
        <w:rPr>
          <w:spacing w:val="-13"/>
        </w:rPr>
        <w:t> </w:t>
      </w:r>
      <w:r>
        <w:rPr/>
        <w:t>caja,</w:t>
      </w:r>
      <w:r>
        <w:rPr>
          <w:spacing w:val="-14"/>
        </w:rPr>
        <w:t> </w:t>
      </w:r>
      <w:r>
        <w:rPr/>
        <w:t>mientras</w:t>
      </w:r>
      <w:r>
        <w:rPr>
          <w:spacing w:val="-14"/>
        </w:rPr>
        <w:t> </w:t>
      </w:r>
      <w:r>
        <w:rPr/>
        <w:t>que</w:t>
      </w:r>
      <w:r>
        <w:rPr>
          <w:spacing w:val="-14"/>
        </w:rPr>
        <w:t> </w:t>
      </w:r>
      <w:r>
        <w:rPr/>
        <w:t>la</w:t>
      </w:r>
      <w:r>
        <w:rPr>
          <w:spacing w:val="-13"/>
        </w:rPr>
        <w:t> </w:t>
      </w:r>
      <w:r>
        <w:rPr/>
        <w:t>contabilidad</w:t>
      </w:r>
      <w:r>
        <w:rPr>
          <w:spacing w:val="-14"/>
        </w:rPr>
        <w:t> </w:t>
      </w:r>
      <w:r>
        <w:rPr/>
        <w:t>se</w:t>
      </w:r>
      <w:r>
        <w:rPr>
          <w:spacing w:val="-14"/>
        </w:rPr>
        <w:t> </w:t>
      </w:r>
      <w:r>
        <w:rPr/>
        <w:t>prepara</w:t>
      </w:r>
      <w:r>
        <w:rPr>
          <w:spacing w:val="-14"/>
        </w:rPr>
        <w:t> </w:t>
      </w:r>
      <w:r>
        <w:rPr/>
        <w:t>sobre la base del devengo, conforme a las Normas Internacionales de Contabilidad del Sector Público </w:t>
      </w:r>
      <w:r>
        <w:rPr>
          <w:spacing w:val="-2"/>
        </w:rPr>
        <w:t>(NICSP).</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59744">
                <wp:simplePos x="0" y="0"/>
                <wp:positionH relativeFrom="page">
                  <wp:posOffset>9525</wp:posOffset>
                </wp:positionH>
                <wp:positionV relativeFrom="page">
                  <wp:posOffset>297208</wp:posOffset>
                </wp:positionV>
                <wp:extent cx="7762875" cy="9748520"/>
                <wp:effectExtent l="0" t="0" r="0" b="0"/>
                <wp:wrapNone/>
                <wp:docPr id="1165" name="Group 1165"/>
                <wp:cNvGraphicFramePr>
                  <a:graphicFrameLocks/>
                </wp:cNvGraphicFramePr>
                <a:graphic>
                  <a:graphicData uri="http://schemas.microsoft.com/office/word/2010/wordprocessingGroup">
                    <wpg:wgp>
                      <wpg:cNvPr id="1165" name="Group 1165"/>
                      <wpg:cNvGrpSpPr/>
                      <wpg:grpSpPr>
                        <a:xfrm>
                          <a:off x="0" y="0"/>
                          <a:ext cx="7762875" cy="9748520"/>
                          <a:chExt cx="7762875" cy="9748520"/>
                        </a:xfrm>
                      </wpg:grpSpPr>
                      <pic:pic>
                        <pic:nvPicPr>
                          <pic:cNvPr id="1166" name="Image 1166"/>
                          <pic:cNvPicPr/>
                        </pic:nvPicPr>
                        <pic:blipFill>
                          <a:blip r:embed="rId5" cstate="print"/>
                          <a:stretch>
                            <a:fillRect/>
                          </a:stretch>
                        </pic:blipFill>
                        <pic:spPr>
                          <a:xfrm>
                            <a:off x="0" y="0"/>
                            <a:ext cx="7762874" cy="9748489"/>
                          </a:xfrm>
                          <a:prstGeom prst="rect">
                            <a:avLst/>
                          </a:prstGeom>
                        </pic:spPr>
                      </pic:pic>
                      <wps:wsp>
                        <wps:cNvPr id="1167" name="Graphic 1167"/>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pic:pic>
                        <pic:nvPicPr>
                          <pic:cNvPr id="1168" name="Image 1168"/>
                          <pic:cNvPicPr/>
                        </pic:nvPicPr>
                        <pic:blipFill>
                          <a:blip r:embed="rId115" cstate="print"/>
                          <a:stretch>
                            <a:fillRect/>
                          </a:stretch>
                        </pic:blipFill>
                        <pic:spPr>
                          <a:xfrm>
                            <a:off x="1070609" y="1117444"/>
                            <a:ext cx="5612129" cy="3368675"/>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56736" id="docshapegroup1109" coordorigin="15,468" coordsize="12225,15352">
                <v:shape style="position:absolute;left:15;top:468;width:12225;height:15352" type="#_x0000_t75" id="docshape1110" stroked="false">
                  <v:imagedata r:id="rId5" o:title=""/>
                </v:shape>
                <v:rect style="position:absolute;left:1673;top:2028;width:8897;height:15" id="docshape1111" filled="true" fillcolor="#000000" stroked="false">
                  <v:fill type="solid"/>
                </v:rect>
                <v:shape style="position:absolute;left:1701;top:2227;width:8838;height:5305" type="#_x0000_t75" id="docshape1112" stroked="false">
                  <v:imagedata r:id="rId115" o:title=""/>
                </v:shape>
                <w10:wrap type="none"/>
              </v:group>
            </w:pict>
          </mc:Fallback>
        </mc:AlternateContent>
      </w:r>
      <w:r>
        <w:rPr>
          <w:color w:val="172951"/>
          <w:sz w:val="20"/>
        </w:rPr>
        <w:t>Pág.</w:t>
      </w:r>
      <w:r>
        <w:rPr>
          <w:color w:val="172951"/>
          <w:spacing w:val="-7"/>
          <w:sz w:val="20"/>
        </w:rPr>
        <w:t> </w:t>
      </w:r>
      <w:r>
        <w:rPr>
          <w:color w:val="172951"/>
          <w:spacing w:val="-5"/>
          <w:sz w:val="20"/>
        </w:rPr>
        <w:t>227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7"/>
      </w:pPr>
    </w:p>
    <w:p>
      <w:pPr>
        <w:pStyle w:val="Heading5"/>
        <w:ind w:right="1001"/>
      </w:pPr>
      <w:bookmarkStart w:name="_bookmark158" w:id="159"/>
      <w:bookmarkEnd w:id="159"/>
      <w:r>
        <w:rPr>
          <w:b w:val="0"/>
        </w:rPr>
      </w:r>
      <w:r>
        <w:rPr/>
        <w:t>NICSP</w:t>
      </w:r>
      <w:r>
        <w:rPr>
          <w:spacing w:val="-6"/>
        </w:rPr>
        <w:t> </w:t>
      </w:r>
      <w:r>
        <w:rPr/>
        <w:t>28-29-30</w:t>
      </w:r>
      <w:r>
        <w:rPr>
          <w:spacing w:val="-7"/>
        </w:rPr>
        <w:t> </w:t>
      </w:r>
      <w:r>
        <w:rPr/>
        <w:t>INSTRUMENTOS</w:t>
      </w:r>
      <w:r>
        <w:rPr>
          <w:spacing w:val="-6"/>
        </w:rPr>
        <w:t> </w:t>
      </w:r>
      <w:r>
        <w:rPr/>
        <w:t>FINANCIEROS</w:t>
      </w:r>
      <w:r>
        <w:rPr>
          <w:spacing w:val="-6"/>
        </w:rPr>
        <w:t> </w:t>
      </w:r>
      <w:r>
        <w:rPr/>
        <w:t>(PRESENTACION</w:t>
      </w:r>
      <w:r>
        <w:rPr>
          <w:spacing w:val="-8"/>
        </w:rPr>
        <w:t> </w:t>
      </w:r>
      <w:r>
        <w:rPr/>
        <w:t>RECONOCIMIENTO Y MEDICION REVELACION)</w:t>
      </w:r>
    </w:p>
    <w:p>
      <w:pPr>
        <w:pStyle w:val="BodyText"/>
        <w:spacing w:before="41"/>
        <w:rPr>
          <w:b/>
        </w:rPr>
      </w:pPr>
    </w:p>
    <w:p>
      <w:pPr>
        <w:spacing w:before="1"/>
        <w:ind w:left="622" w:right="0" w:firstLine="0"/>
        <w:jc w:val="left"/>
        <w:rPr>
          <w:b/>
          <w:sz w:val="22"/>
        </w:rPr>
      </w:pPr>
      <w:bookmarkStart w:name="_bookmark159" w:id="160"/>
      <w:bookmarkEnd w:id="160"/>
      <w:r>
        <w:rPr/>
      </w:r>
      <w:r>
        <w:rPr>
          <w:b/>
          <w:sz w:val="22"/>
        </w:rPr>
        <w:t>NOTA</w:t>
      </w:r>
      <w:r>
        <w:rPr>
          <w:b/>
          <w:spacing w:val="-1"/>
          <w:sz w:val="22"/>
        </w:rPr>
        <w:t> </w:t>
      </w:r>
      <w:r>
        <w:rPr>
          <w:b/>
          <w:sz w:val="22"/>
        </w:rPr>
        <w:t>N° </w:t>
      </w:r>
      <w:r>
        <w:rPr>
          <w:b/>
          <w:spacing w:val="-5"/>
          <w:sz w:val="22"/>
        </w:rPr>
        <w:t>94</w:t>
      </w:r>
    </w:p>
    <w:p>
      <w:pPr>
        <w:pStyle w:val="BodyText"/>
        <w:spacing w:before="124"/>
        <w:rPr>
          <w:b/>
        </w:rPr>
      </w:pPr>
    </w:p>
    <w:p>
      <w:pPr>
        <w:pStyle w:val="BodyText"/>
        <w:spacing w:line="259" w:lineRule="auto"/>
        <w:ind w:left="622" w:right="1001"/>
      </w:pPr>
      <w:r>
        <w:rPr/>
        <w:t>A</w:t>
      </w:r>
      <w:r>
        <w:rPr>
          <w:spacing w:val="-3"/>
        </w:rPr>
        <w:t> </w:t>
      </w:r>
      <w:r>
        <w:rPr/>
        <w:t>continuación,</w:t>
      </w:r>
      <w:r>
        <w:rPr>
          <w:spacing w:val="-3"/>
        </w:rPr>
        <w:t> </w:t>
      </w:r>
      <w:r>
        <w:rPr/>
        <w:t>un</w:t>
      </w:r>
      <w:r>
        <w:rPr>
          <w:spacing w:val="-3"/>
        </w:rPr>
        <w:t> </w:t>
      </w:r>
      <w:r>
        <w:rPr/>
        <w:t>cuadro</w:t>
      </w:r>
      <w:r>
        <w:rPr>
          <w:spacing w:val="-5"/>
        </w:rPr>
        <w:t> </w:t>
      </w:r>
      <w:r>
        <w:rPr/>
        <w:t>resumen,</w:t>
      </w:r>
      <w:r>
        <w:rPr>
          <w:spacing w:val="-3"/>
        </w:rPr>
        <w:t> </w:t>
      </w:r>
      <w:r>
        <w:rPr/>
        <w:t>pero</w:t>
      </w:r>
      <w:r>
        <w:rPr>
          <w:spacing w:val="-3"/>
        </w:rPr>
        <w:t> </w:t>
      </w:r>
      <w:r>
        <w:rPr/>
        <w:t>el</w:t>
      </w:r>
      <w:r>
        <w:rPr>
          <w:spacing w:val="-3"/>
        </w:rPr>
        <w:t> </w:t>
      </w:r>
      <w:r>
        <w:rPr/>
        <w:t>detalle</w:t>
      </w:r>
      <w:r>
        <w:rPr>
          <w:spacing w:val="-5"/>
        </w:rPr>
        <w:t> </w:t>
      </w:r>
      <w:r>
        <w:rPr/>
        <w:t>de</w:t>
      </w:r>
      <w:r>
        <w:rPr>
          <w:spacing w:val="-3"/>
        </w:rPr>
        <w:t> </w:t>
      </w:r>
      <w:r>
        <w:rPr/>
        <w:t>los</w:t>
      </w:r>
      <w:r>
        <w:rPr>
          <w:spacing w:val="-2"/>
        </w:rPr>
        <w:t> </w:t>
      </w:r>
      <w:r>
        <w:rPr/>
        <w:t>cuadros</w:t>
      </w:r>
      <w:r>
        <w:rPr>
          <w:spacing w:val="-2"/>
        </w:rPr>
        <w:t> </w:t>
      </w:r>
      <w:r>
        <w:rPr/>
        <w:t>debe</w:t>
      </w:r>
      <w:r>
        <w:rPr>
          <w:spacing w:val="-5"/>
        </w:rPr>
        <w:t> </w:t>
      </w:r>
      <w:r>
        <w:rPr/>
        <w:t>ser</w:t>
      </w:r>
      <w:r>
        <w:rPr>
          <w:spacing w:val="-3"/>
        </w:rPr>
        <w:t> </w:t>
      </w:r>
      <w:r>
        <w:rPr/>
        <w:t>adjuntados</w:t>
      </w:r>
      <w:r>
        <w:rPr>
          <w:spacing w:val="-2"/>
        </w:rPr>
        <w:t> </w:t>
      </w:r>
      <w:r>
        <w:rPr/>
        <w:t>como</w:t>
      </w:r>
      <w:r>
        <w:rPr>
          <w:spacing w:val="-3"/>
        </w:rPr>
        <w:t> </w:t>
      </w:r>
      <w:r>
        <w:rPr/>
        <w:t>anexos </w:t>
      </w:r>
      <w:hyperlink w:history="true" w:anchor="_bookmark174">
        <w:r>
          <w:rPr>
            <w:color w:val="0462C1"/>
            <w:u w:val="single" w:color="0462C1"/>
          </w:rPr>
          <w:t>NICSP 28- 29- 30</w:t>
        </w:r>
      </w:hyperlink>
      <w:r>
        <w:rPr>
          <w:color w:val="0462C1"/>
          <w:u w:val="none"/>
        </w:rPr>
        <w:t> </w:t>
      </w:r>
      <w:r>
        <w:rPr>
          <w:u w:val="none"/>
        </w:rPr>
        <w:t>y</w:t>
      </w:r>
      <w:r>
        <w:rPr>
          <w:color w:val="0462C1"/>
          <w:u w:val="single" w:color="0462C1"/>
        </w:rPr>
        <w:t> FIDEICOMISOS</w:t>
      </w:r>
    </w:p>
    <w:p>
      <w:pPr>
        <w:pStyle w:val="BodyText"/>
        <w:rPr>
          <w:sz w:val="20"/>
        </w:rPr>
      </w:pPr>
    </w:p>
    <w:p>
      <w:pPr>
        <w:pStyle w:val="BodyText"/>
        <w:spacing w:before="132"/>
        <w:rPr>
          <w:sz w:val="20"/>
        </w:rPr>
      </w:pP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2"/>
        <w:gridCol w:w="2420"/>
        <w:gridCol w:w="2420"/>
      </w:tblGrid>
      <w:tr>
        <w:trPr>
          <w:trHeight w:val="409" w:hRule="atLeast"/>
        </w:trPr>
        <w:tc>
          <w:tcPr>
            <w:tcW w:w="4002" w:type="dxa"/>
            <w:shd w:val="clear" w:color="auto" w:fill="365F92"/>
          </w:tcPr>
          <w:p>
            <w:pPr>
              <w:pStyle w:val="TableParagraph"/>
              <w:ind w:left="8"/>
              <w:jc w:val="center"/>
              <w:rPr>
                <w:sz w:val="22"/>
              </w:rPr>
            </w:pPr>
            <w:r>
              <w:rPr>
                <w:color w:val="FFFFFF"/>
                <w:spacing w:val="-2"/>
                <w:sz w:val="22"/>
              </w:rPr>
              <w:t>Resumen</w:t>
            </w:r>
          </w:p>
        </w:tc>
        <w:tc>
          <w:tcPr>
            <w:tcW w:w="2420" w:type="dxa"/>
            <w:shd w:val="clear" w:color="auto" w:fill="365F92"/>
          </w:tcPr>
          <w:p>
            <w:pPr>
              <w:pStyle w:val="TableParagraph"/>
              <w:ind w:left="6" w:right="1"/>
              <w:jc w:val="center"/>
              <w:rPr>
                <w:sz w:val="22"/>
              </w:rPr>
            </w:pPr>
            <w:r>
              <w:rPr>
                <w:color w:val="FFFFFF"/>
                <w:sz w:val="22"/>
              </w:rPr>
              <w:t>Activos</w:t>
            </w:r>
            <w:r>
              <w:rPr>
                <w:color w:val="FFFFFF"/>
                <w:spacing w:val="-3"/>
                <w:sz w:val="22"/>
              </w:rPr>
              <w:t> </w:t>
            </w:r>
            <w:r>
              <w:rPr>
                <w:color w:val="FFFFFF"/>
                <w:spacing w:val="-2"/>
                <w:sz w:val="22"/>
              </w:rPr>
              <w:t>Financiero</w:t>
            </w:r>
          </w:p>
        </w:tc>
        <w:tc>
          <w:tcPr>
            <w:tcW w:w="2420" w:type="dxa"/>
            <w:shd w:val="clear" w:color="auto" w:fill="365F92"/>
          </w:tcPr>
          <w:p>
            <w:pPr>
              <w:pStyle w:val="TableParagraph"/>
              <w:ind w:left="6"/>
              <w:jc w:val="center"/>
              <w:rPr>
                <w:sz w:val="22"/>
              </w:rPr>
            </w:pPr>
            <w:r>
              <w:rPr>
                <w:color w:val="FFFFFF"/>
                <w:sz w:val="22"/>
              </w:rPr>
              <w:t>Pasivo</w:t>
            </w:r>
            <w:r>
              <w:rPr>
                <w:color w:val="FFFFFF"/>
                <w:spacing w:val="-3"/>
                <w:sz w:val="22"/>
              </w:rPr>
              <w:t> </w:t>
            </w:r>
            <w:r>
              <w:rPr>
                <w:color w:val="FFFFFF"/>
                <w:spacing w:val="-2"/>
                <w:sz w:val="22"/>
              </w:rPr>
              <w:t>Financiero</w:t>
            </w:r>
          </w:p>
        </w:tc>
      </w:tr>
      <w:tr>
        <w:trPr>
          <w:trHeight w:val="412" w:hRule="atLeast"/>
        </w:trPr>
        <w:tc>
          <w:tcPr>
            <w:tcW w:w="4002" w:type="dxa"/>
            <w:shd w:val="clear" w:color="auto" w:fill="365F92"/>
          </w:tcPr>
          <w:p>
            <w:pPr>
              <w:pStyle w:val="TableParagraph"/>
              <w:ind w:left="8" w:right="3"/>
              <w:jc w:val="center"/>
              <w:rPr>
                <w:sz w:val="22"/>
              </w:rPr>
            </w:pPr>
            <w:r>
              <w:rPr>
                <w:color w:val="FFFFFF"/>
                <w:spacing w:val="-2"/>
                <w:sz w:val="22"/>
              </w:rPr>
              <w:t>CANTIDAD</w:t>
            </w:r>
          </w:p>
        </w:tc>
        <w:tc>
          <w:tcPr>
            <w:tcW w:w="2420" w:type="dxa"/>
          </w:tcPr>
          <w:p>
            <w:pPr>
              <w:pStyle w:val="TableParagraph"/>
              <w:rPr>
                <w:rFonts w:ascii="Times New Roman"/>
                <w:sz w:val="20"/>
              </w:rPr>
            </w:pPr>
          </w:p>
        </w:tc>
        <w:tc>
          <w:tcPr>
            <w:tcW w:w="2420" w:type="dxa"/>
          </w:tcPr>
          <w:p>
            <w:pPr>
              <w:pStyle w:val="TableParagraph"/>
              <w:rPr>
                <w:rFonts w:ascii="Times New Roman"/>
                <w:sz w:val="20"/>
              </w:rPr>
            </w:pPr>
          </w:p>
        </w:tc>
      </w:tr>
      <w:tr>
        <w:trPr>
          <w:trHeight w:val="410" w:hRule="atLeast"/>
        </w:trPr>
        <w:tc>
          <w:tcPr>
            <w:tcW w:w="4002" w:type="dxa"/>
            <w:shd w:val="clear" w:color="auto" w:fill="365F92"/>
          </w:tcPr>
          <w:p>
            <w:pPr>
              <w:pStyle w:val="TableParagraph"/>
              <w:spacing w:before="1"/>
              <w:ind w:left="8" w:right="1"/>
              <w:jc w:val="center"/>
              <w:rPr>
                <w:sz w:val="22"/>
              </w:rPr>
            </w:pPr>
            <w:r>
              <w:rPr>
                <w:color w:val="FFFFFF"/>
                <w:sz w:val="22"/>
              </w:rPr>
              <w:t>Valor</w:t>
            </w:r>
            <w:r>
              <w:rPr>
                <w:color w:val="FFFFFF"/>
                <w:spacing w:val="-4"/>
                <w:sz w:val="22"/>
              </w:rPr>
              <w:t> </w:t>
            </w:r>
            <w:r>
              <w:rPr>
                <w:color w:val="FFFFFF"/>
                <w:spacing w:val="-2"/>
                <w:sz w:val="22"/>
              </w:rPr>
              <w:t>Libros</w:t>
            </w:r>
          </w:p>
        </w:tc>
        <w:tc>
          <w:tcPr>
            <w:tcW w:w="2420" w:type="dxa"/>
          </w:tcPr>
          <w:p>
            <w:pPr>
              <w:pStyle w:val="TableParagraph"/>
              <w:spacing w:before="14"/>
              <w:ind w:left="6" w:right="5"/>
              <w:jc w:val="center"/>
              <w:rPr>
                <w:rFonts w:ascii="Calibri" w:hAnsi="Calibri"/>
                <w:sz w:val="18"/>
              </w:rPr>
            </w:pPr>
            <w:r>
              <w:rPr>
                <w:rFonts w:ascii="Calibri" w:hAnsi="Calibri"/>
                <w:sz w:val="18"/>
              </w:rPr>
              <w:t>₡40</w:t>
            </w:r>
            <w:r>
              <w:rPr>
                <w:rFonts w:ascii="Calibri" w:hAnsi="Calibri"/>
                <w:spacing w:val="-3"/>
                <w:sz w:val="18"/>
              </w:rPr>
              <w:t> </w:t>
            </w:r>
            <w:r>
              <w:rPr>
                <w:rFonts w:ascii="Calibri" w:hAnsi="Calibri"/>
                <w:sz w:val="18"/>
              </w:rPr>
              <w:t>980</w:t>
            </w:r>
            <w:r>
              <w:rPr>
                <w:rFonts w:ascii="Calibri" w:hAnsi="Calibri"/>
                <w:spacing w:val="-2"/>
                <w:sz w:val="18"/>
              </w:rPr>
              <w:t> 760,28</w:t>
            </w:r>
          </w:p>
        </w:tc>
        <w:tc>
          <w:tcPr>
            <w:tcW w:w="2420" w:type="dxa"/>
          </w:tcPr>
          <w:p>
            <w:pPr>
              <w:pStyle w:val="TableParagraph"/>
              <w:spacing w:before="14"/>
              <w:ind w:left="6" w:right="1"/>
              <w:jc w:val="center"/>
              <w:rPr>
                <w:rFonts w:ascii="Calibri" w:hAnsi="Calibri"/>
                <w:sz w:val="18"/>
              </w:rPr>
            </w:pPr>
            <w:r>
              <w:rPr>
                <w:rFonts w:ascii="Calibri" w:hAnsi="Calibri"/>
                <w:sz w:val="18"/>
              </w:rPr>
              <w:t>₡3</w:t>
            </w:r>
            <w:r>
              <w:rPr>
                <w:rFonts w:ascii="Calibri" w:hAnsi="Calibri"/>
                <w:spacing w:val="-2"/>
                <w:sz w:val="18"/>
              </w:rPr>
              <w:t> </w:t>
            </w:r>
            <w:r>
              <w:rPr>
                <w:rFonts w:ascii="Calibri" w:hAnsi="Calibri"/>
                <w:sz w:val="18"/>
              </w:rPr>
              <w:t>835</w:t>
            </w:r>
            <w:r>
              <w:rPr>
                <w:rFonts w:ascii="Calibri" w:hAnsi="Calibri"/>
                <w:spacing w:val="-2"/>
                <w:sz w:val="18"/>
              </w:rPr>
              <w:t> 916,17</w:t>
            </w:r>
          </w:p>
        </w:tc>
      </w:tr>
      <w:tr>
        <w:trPr>
          <w:trHeight w:val="412" w:hRule="atLeast"/>
        </w:trPr>
        <w:tc>
          <w:tcPr>
            <w:tcW w:w="4002" w:type="dxa"/>
            <w:tcBorders>
              <w:bottom w:val="single" w:sz="6" w:space="0" w:color="000000"/>
            </w:tcBorders>
            <w:shd w:val="clear" w:color="auto" w:fill="365F92"/>
          </w:tcPr>
          <w:p>
            <w:pPr>
              <w:pStyle w:val="TableParagraph"/>
              <w:ind w:left="8" w:right="1"/>
              <w:jc w:val="center"/>
              <w:rPr>
                <w:sz w:val="22"/>
              </w:rPr>
            </w:pPr>
            <w:r>
              <w:rPr>
                <w:color w:val="FFFFFF"/>
                <w:sz w:val="22"/>
              </w:rPr>
              <w:t>Valor</w:t>
            </w:r>
            <w:r>
              <w:rPr>
                <w:color w:val="FFFFFF"/>
                <w:spacing w:val="-2"/>
                <w:sz w:val="22"/>
              </w:rPr>
              <w:t> Razonable</w:t>
            </w:r>
          </w:p>
        </w:tc>
        <w:tc>
          <w:tcPr>
            <w:tcW w:w="2420" w:type="dxa"/>
            <w:tcBorders>
              <w:bottom w:val="single" w:sz="6" w:space="0" w:color="000000"/>
            </w:tcBorders>
          </w:tcPr>
          <w:p>
            <w:pPr>
              <w:pStyle w:val="TableParagraph"/>
              <w:spacing w:before="15"/>
              <w:ind w:left="6" w:right="5"/>
              <w:jc w:val="center"/>
              <w:rPr>
                <w:rFonts w:ascii="Calibri" w:hAnsi="Calibri"/>
                <w:sz w:val="18"/>
              </w:rPr>
            </w:pPr>
            <w:r>
              <w:rPr>
                <w:rFonts w:ascii="Calibri" w:hAnsi="Calibri"/>
                <w:sz w:val="18"/>
              </w:rPr>
              <w:t>₡40</w:t>
            </w:r>
            <w:r>
              <w:rPr>
                <w:rFonts w:ascii="Calibri" w:hAnsi="Calibri"/>
                <w:spacing w:val="-3"/>
                <w:sz w:val="18"/>
              </w:rPr>
              <w:t> </w:t>
            </w:r>
            <w:r>
              <w:rPr>
                <w:rFonts w:ascii="Calibri" w:hAnsi="Calibri"/>
                <w:sz w:val="18"/>
              </w:rPr>
              <w:t>980</w:t>
            </w:r>
            <w:r>
              <w:rPr>
                <w:rFonts w:ascii="Calibri" w:hAnsi="Calibri"/>
                <w:spacing w:val="-2"/>
                <w:sz w:val="18"/>
              </w:rPr>
              <w:t> 760,28</w:t>
            </w:r>
          </w:p>
        </w:tc>
        <w:tc>
          <w:tcPr>
            <w:tcW w:w="2420" w:type="dxa"/>
            <w:tcBorders>
              <w:bottom w:val="single" w:sz="6" w:space="0" w:color="000000"/>
            </w:tcBorders>
          </w:tcPr>
          <w:p>
            <w:pPr>
              <w:pStyle w:val="TableParagraph"/>
              <w:spacing w:before="15"/>
              <w:ind w:left="6" w:right="1"/>
              <w:jc w:val="center"/>
              <w:rPr>
                <w:rFonts w:ascii="Calibri" w:hAnsi="Calibri"/>
                <w:sz w:val="18"/>
              </w:rPr>
            </w:pPr>
            <w:r>
              <w:rPr>
                <w:rFonts w:ascii="Calibri" w:hAnsi="Calibri"/>
                <w:sz w:val="18"/>
              </w:rPr>
              <w:t>₡3</w:t>
            </w:r>
            <w:r>
              <w:rPr>
                <w:rFonts w:ascii="Calibri" w:hAnsi="Calibri"/>
                <w:spacing w:val="-2"/>
                <w:sz w:val="18"/>
              </w:rPr>
              <w:t> </w:t>
            </w:r>
            <w:r>
              <w:rPr>
                <w:rFonts w:ascii="Calibri" w:hAnsi="Calibri"/>
                <w:sz w:val="18"/>
              </w:rPr>
              <w:t>835</w:t>
            </w:r>
            <w:r>
              <w:rPr>
                <w:rFonts w:ascii="Calibri" w:hAnsi="Calibri"/>
                <w:spacing w:val="-2"/>
                <w:sz w:val="18"/>
              </w:rPr>
              <w:t> 916,17</w:t>
            </w:r>
          </w:p>
        </w:tc>
      </w:tr>
    </w:tbl>
    <w:p>
      <w:pPr>
        <w:pStyle w:val="BodyText"/>
        <w:rPr>
          <w:sz w:val="20"/>
        </w:rPr>
      </w:pPr>
    </w:p>
    <w:p>
      <w:pPr>
        <w:pStyle w:val="BodyText"/>
        <w:rPr>
          <w:sz w:val="20"/>
        </w:rPr>
      </w:pPr>
    </w:p>
    <w:p>
      <w:pPr>
        <w:pStyle w:val="BodyText"/>
        <w:spacing w:before="181"/>
        <w:rPr>
          <w:sz w:val="20"/>
        </w:rPr>
      </w:pPr>
    </w:p>
    <w:tbl>
      <w:tblPr>
        <w:tblW w:w="0" w:type="auto"/>
        <w:jc w:val="left"/>
        <w:tblInd w:w="3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8"/>
        <w:gridCol w:w="1895"/>
      </w:tblGrid>
      <w:tr>
        <w:trPr>
          <w:trHeight w:val="429" w:hRule="atLeast"/>
        </w:trPr>
        <w:tc>
          <w:tcPr>
            <w:tcW w:w="2108" w:type="dxa"/>
            <w:shd w:val="clear" w:color="auto" w:fill="365F92"/>
          </w:tcPr>
          <w:p>
            <w:pPr>
              <w:pStyle w:val="TableParagraph"/>
              <w:ind w:left="107"/>
              <w:rPr>
                <w:sz w:val="22"/>
              </w:rPr>
            </w:pPr>
            <w:r>
              <w:rPr>
                <w:color w:val="FFFFFF"/>
                <w:spacing w:val="-2"/>
                <w:sz w:val="22"/>
              </w:rPr>
              <w:t>Resumen</w:t>
            </w:r>
          </w:p>
        </w:tc>
        <w:tc>
          <w:tcPr>
            <w:tcW w:w="1895" w:type="dxa"/>
            <w:shd w:val="clear" w:color="auto" w:fill="365F92"/>
          </w:tcPr>
          <w:p>
            <w:pPr>
              <w:pStyle w:val="TableParagraph"/>
              <w:ind w:left="107"/>
              <w:rPr>
                <w:sz w:val="22"/>
              </w:rPr>
            </w:pPr>
            <w:r>
              <w:rPr>
                <w:color w:val="FFFFFF"/>
                <w:spacing w:val="-2"/>
                <w:sz w:val="22"/>
              </w:rPr>
              <w:t>Fideicomisos</w:t>
            </w:r>
          </w:p>
        </w:tc>
      </w:tr>
      <w:tr>
        <w:trPr>
          <w:trHeight w:val="431" w:hRule="atLeast"/>
        </w:trPr>
        <w:tc>
          <w:tcPr>
            <w:tcW w:w="2108" w:type="dxa"/>
            <w:shd w:val="clear" w:color="auto" w:fill="365F92"/>
          </w:tcPr>
          <w:p>
            <w:pPr>
              <w:pStyle w:val="TableParagraph"/>
              <w:ind w:left="107"/>
              <w:rPr>
                <w:sz w:val="22"/>
              </w:rPr>
            </w:pPr>
            <w:r>
              <w:rPr>
                <w:color w:val="FFFFFF"/>
                <w:spacing w:val="-2"/>
                <w:sz w:val="22"/>
              </w:rPr>
              <w:t>CANTIDAD</w:t>
            </w:r>
          </w:p>
        </w:tc>
        <w:tc>
          <w:tcPr>
            <w:tcW w:w="1895" w:type="dxa"/>
          </w:tcPr>
          <w:p>
            <w:pPr>
              <w:pStyle w:val="TableParagraph"/>
              <w:ind w:left="162"/>
              <w:rPr>
                <w:sz w:val="22"/>
              </w:rPr>
            </w:pPr>
            <w:r>
              <w:rPr>
                <w:spacing w:val="-10"/>
                <w:sz w:val="22"/>
              </w:rPr>
              <w:t>1</w:t>
            </w:r>
          </w:p>
        </w:tc>
      </w:tr>
    </w:tbl>
    <w:p>
      <w:pPr>
        <w:pStyle w:val="TableParagraph"/>
        <w:spacing w:after="0"/>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1280">
                <wp:simplePos x="0" y="0"/>
                <wp:positionH relativeFrom="page">
                  <wp:posOffset>9525</wp:posOffset>
                </wp:positionH>
                <wp:positionV relativeFrom="page">
                  <wp:posOffset>297208</wp:posOffset>
                </wp:positionV>
                <wp:extent cx="7762875" cy="9748520"/>
                <wp:effectExtent l="0" t="0" r="0" b="0"/>
                <wp:wrapNone/>
                <wp:docPr id="1169" name="Group 1169"/>
                <wp:cNvGraphicFramePr>
                  <a:graphicFrameLocks/>
                </wp:cNvGraphicFramePr>
                <a:graphic>
                  <a:graphicData uri="http://schemas.microsoft.com/office/word/2010/wordprocessingGroup">
                    <wpg:wgp>
                      <wpg:cNvPr id="1169" name="Group 1169"/>
                      <wpg:cNvGrpSpPr/>
                      <wpg:grpSpPr>
                        <a:xfrm>
                          <a:off x="0" y="0"/>
                          <a:ext cx="7762875" cy="9748520"/>
                          <a:chExt cx="7762875" cy="9748520"/>
                        </a:xfrm>
                      </wpg:grpSpPr>
                      <pic:pic>
                        <pic:nvPicPr>
                          <pic:cNvPr id="1170" name="Image 1170"/>
                          <pic:cNvPicPr/>
                        </pic:nvPicPr>
                        <pic:blipFill>
                          <a:blip r:embed="rId5" cstate="print"/>
                          <a:stretch>
                            <a:fillRect/>
                          </a:stretch>
                        </pic:blipFill>
                        <pic:spPr>
                          <a:xfrm>
                            <a:off x="0" y="0"/>
                            <a:ext cx="7762874" cy="9748489"/>
                          </a:xfrm>
                          <a:prstGeom prst="rect">
                            <a:avLst/>
                          </a:prstGeom>
                        </pic:spPr>
                      </pic:pic>
                      <wps:wsp>
                        <wps:cNvPr id="1171" name="Graphic 1171"/>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5200" id="docshapegroup1113" coordorigin="15,468" coordsize="12225,15352">
                <v:shape style="position:absolute;left:15;top:468;width:12225;height:15352" type="#_x0000_t75" id="docshape1114" stroked="false">
                  <v:imagedata r:id="rId5" o:title=""/>
                </v:shape>
                <v:rect style="position:absolute;left:1673;top:2028;width:8897;height:15" id="docshape1115"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228</w:t>
      </w:r>
    </w:p>
    <w:p>
      <w:pPr>
        <w:pStyle w:val="BodyText"/>
        <w:tabs>
          <w:tab w:pos="9489" w:val="left" w:leader="none"/>
        </w:tabs>
        <w:spacing w:before="218"/>
        <w:ind w:left="622"/>
      </w:pPr>
      <w:r>
        <w:rPr>
          <w:color w:val="FFFFFF"/>
          <w:shd w:fill="365F92" w:color="auto" w:val="clear"/>
        </w:rPr>
        <w:t>Información</w:t>
      </w:r>
      <w:r>
        <w:rPr>
          <w:color w:val="FFFFFF"/>
          <w:spacing w:val="-4"/>
          <w:shd w:fill="365F92" w:color="auto" w:val="clear"/>
        </w:rPr>
        <w:t> </w:t>
      </w:r>
      <w:r>
        <w:rPr>
          <w:color w:val="FFFFFF"/>
          <w:shd w:fill="365F92" w:color="auto" w:val="clear"/>
        </w:rPr>
        <w:t>a</w:t>
      </w:r>
      <w:r>
        <w:rPr>
          <w:color w:val="FFFFFF"/>
          <w:spacing w:val="-5"/>
          <w:shd w:fill="365F92" w:color="auto" w:val="clear"/>
        </w:rPr>
        <w:t> </w:t>
      </w:r>
      <w:r>
        <w:rPr>
          <w:color w:val="FFFFFF"/>
          <w:spacing w:val="-2"/>
          <w:shd w:fill="365F92" w:color="auto" w:val="clear"/>
        </w:rPr>
        <w:t>revelar</w:t>
      </w:r>
      <w:r>
        <w:rPr>
          <w:color w:val="FFFFFF"/>
          <w:shd w:fill="365F92" w:color="auto" w:val="clear"/>
        </w:rPr>
        <w:tab/>
      </w:r>
    </w:p>
    <w:p>
      <w:pPr>
        <w:pStyle w:val="ListParagraph"/>
        <w:numPr>
          <w:ilvl w:val="1"/>
          <w:numId w:val="98"/>
        </w:numPr>
        <w:tabs>
          <w:tab w:pos="1341" w:val="left" w:leader="none"/>
        </w:tabs>
        <w:spacing w:line="240" w:lineRule="auto" w:before="181" w:after="0"/>
        <w:ind w:left="1341" w:right="0" w:hanging="360"/>
        <w:jc w:val="left"/>
        <w:rPr>
          <w:sz w:val="22"/>
        </w:rPr>
      </w:pPr>
      <w:r>
        <w:rPr>
          <w:sz w:val="22"/>
          <w:u w:val="single"/>
        </w:rPr>
        <w:t>Categoría</w:t>
      </w:r>
      <w:r>
        <w:rPr>
          <w:spacing w:val="-7"/>
          <w:sz w:val="22"/>
          <w:u w:val="single"/>
        </w:rPr>
        <w:t> </w:t>
      </w:r>
      <w:r>
        <w:rPr>
          <w:sz w:val="22"/>
          <w:u w:val="single"/>
        </w:rPr>
        <w:t>de</w:t>
      </w:r>
      <w:r>
        <w:rPr>
          <w:spacing w:val="-5"/>
          <w:sz w:val="22"/>
          <w:u w:val="single"/>
        </w:rPr>
        <w:t> </w:t>
      </w:r>
      <w:r>
        <w:rPr>
          <w:sz w:val="22"/>
          <w:u w:val="single"/>
        </w:rPr>
        <w:t>Activos</w:t>
      </w:r>
      <w:r>
        <w:rPr>
          <w:spacing w:val="-4"/>
          <w:sz w:val="22"/>
          <w:u w:val="single"/>
        </w:rPr>
        <w:t> </w:t>
      </w:r>
      <w:r>
        <w:rPr>
          <w:sz w:val="22"/>
          <w:u w:val="single"/>
        </w:rPr>
        <w:t>y</w:t>
      </w:r>
      <w:r>
        <w:rPr>
          <w:spacing w:val="-7"/>
          <w:sz w:val="22"/>
          <w:u w:val="single"/>
        </w:rPr>
        <w:t> </w:t>
      </w:r>
      <w:r>
        <w:rPr>
          <w:sz w:val="22"/>
          <w:u w:val="single"/>
        </w:rPr>
        <w:t>Pasivos</w:t>
      </w:r>
      <w:r>
        <w:rPr>
          <w:spacing w:val="-4"/>
          <w:sz w:val="22"/>
          <w:u w:val="single"/>
        </w:rPr>
        <w:t> </w:t>
      </w:r>
      <w:r>
        <w:rPr>
          <w:sz w:val="22"/>
          <w:u w:val="single"/>
        </w:rPr>
        <w:t>Financieros</w:t>
      </w:r>
      <w:r>
        <w:rPr>
          <w:spacing w:val="-5"/>
          <w:sz w:val="22"/>
          <w:u w:val="single"/>
        </w:rPr>
        <w:t> </w:t>
      </w:r>
      <w:r>
        <w:rPr>
          <w:sz w:val="22"/>
          <w:u w:val="single"/>
        </w:rPr>
        <w:t>(párrafo</w:t>
      </w:r>
      <w:r>
        <w:rPr>
          <w:spacing w:val="-4"/>
          <w:sz w:val="22"/>
          <w:u w:val="single"/>
        </w:rPr>
        <w:t> </w:t>
      </w:r>
      <w:r>
        <w:rPr>
          <w:spacing w:val="-5"/>
          <w:sz w:val="22"/>
          <w:u w:val="single"/>
        </w:rPr>
        <w:t>11)</w:t>
      </w:r>
    </w:p>
    <w:p>
      <w:pPr>
        <w:pStyle w:val="BodyText"/>
        <w:spacing w:before="31"/>
        <w:rPr>
          <w:sz w:val="20"/>
        </w:rPr>
      </w:pPr>
      <w:r>
        <w:rPr>
          <w:sz w:val="20"/>
        </w:rPr>
        <mc:AlternateContent>
          <mc:Choice Requires="wps">
            <w:drawing>
              <wp:anchor distT="0" distB="0" distL="0" distR="0" allowOverlap="1" layoutInCell="1" locked="0" behindDoc="1" simplePos="0" relativeHeight="487823360">
                <wp:simplePos x="0" y="0"/>
                <wp:positionH relativeFrom="page">
                  <wp:posOffset>1080820</wp:posOffset>
                </wp:positionH>
                <wp:positionV relativeFrom="paragraph">
                  <wp:posOffset>183261</wp:posOffset>
                </wp:positionV>
                <wp:extent cx="5715000" cy="3300095"/>
                <wp:effectExtent l="0" t="0" r="0" b="0"/>
                <wp:wrapTopAndBottom/>
                <wp:docPr id="1172" name="Textbox 1172"/>
                <wp:cNvGraphicFramePr>
                  <a:graphicFrameLocks/>
                </wp:cNvGraphicFramePr>
                <a:graphic>
                  <a:graphicData uri="http://schemas.microsoft.com/office/word/2010/wordprocessingShape">
                    <wps:wsp>
                      <wps:cNvPr id="1172" name="Textbox 1172"/>
                      <wps:cNvSpPr txBox="1"/>
                      <wps:spPr>
                        <a:xfrm>
                          <a:off x="0" y="0"/>
                          <a:ext cx="5715000" cy="330009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98"/>
                              <w:jc w:val="both"/>
                            </w:pPr>
                            <w:r>
                              <w:rPr/>
                              <w:t>Los activos y pasivos financieros de la entidad se clasifican de conformidad con lo establecido en las NICSP 28, 29 y 30, atendiendo a la naturaleza de los instrumentos, al propósito para el cual se mantienen</w:t>
                            </w:r>
                            <w:r>
                              <w:rPr>
                                <w:spacing w:val="-12"/>
                              </w:rPr>
                              <w:t> </w:t>
                            </w:r>
                            <w:r>
                              <w:rPr/>
                              <w:t>y</w:t>
                            </w:r>
                            <w:r>
                              <w:rPr>
                                <w:spacing w:val="-13"/>
                              </w:rPr>
                              <w:t> </w:t>
                            </w:r>
                            <w:r>
                              <w:rPr/>
                              <w:t>a</w:t>
                            </w:r>
                            <w:r>
                              <w:rPr>
                                <w:spacing w:val="-12"/>
                              </w:rPr>
                              <w:t> </w:t>
                            </w:r>
                            <w:r>
                              <w:rPr/>
                              <w:t>la</w:t>
                            </w:r>
                            <w:r>
                              <w:rPr>
                                <w:spacing w:val="-13"/>
                              </w:rPr>
                              <w:t> </w:t>
                            </w:r>
                            <w:r>
                              <w:rPr/>
                              <w:t>forma</w:t>
                            </w:r>
                            <w:r>
                              <w:rPr>
                                <w:spacing w:val="-12"/>
                              </w:rPr>
                              <w:t> </w:t>
                            </w:r>
                            <w:r>
                              <w:rPr/>
                              <w:t>en</w:t>
                            </w:r>
                            <w:r>
                              <w:rPr>
                                <w:spacing w:val="-14"/>
                              </w:rPr>
                              <w:t> </w:t>
                            </w:r>
                            <w:r>
                              <w:rPr/>
                              <w:t>que</w:t>
                            </w:r>
                            <w:r>
                              <w:rPr>
                                <w:spacing w:val="-13"/>
                              </w:rPr>
                              <w:t> </w:t>
                            </w:r>
                            <w:r>
                              <w:rPr/>
                              <w:t>se</w:t>
                            </w:r>
                            <w:r>
                              <w:rPr>
                                <w:spacing w:val="-13"/>
                              </w:rPr>
                              <w:t> </w:t>
                            </w:r>
                            <w:r>
                              <w:rPr/>
                              <w:t>espera</w:t>
                            </w:r>
                            <w:r>
                              <w:rPr>
                                <w:spacing w:val="-12"/>
                              </w:rPr>
                              <w:t> </w:t>
                            </w:r>
                            <w:r>
                              <w:rPr/>
                              <w:t>realizar</w:t>
                            </w:r>
                            <w:r>
                              <w:rPr>
                                <w:spacing w:val="-12"/>
                              </w:rPr>
                              <w:t> </w:t>
                            </w:r>
                            <w:r>
                              <w:rPr/>
                              <w:t>los</w:t>
                            </w:r>
                            <w:r>
                              <w:rPr>
                                <w:spacing w:val="-13"/>
                              </w:rPr>
                              <w:t> </w:t>
                            </w:r>
                            <w:r>
                              <w:rPr/>
                              <w:t>flujos</w:t>
                            </w:r>
                            <w:r>
                              <w:rPr>
                                <w:spacing w:val="-11"/>
                              </w:rPr>
                              <w:t> </w:t>
                            </w:r>
                            <w:r>
                              <w:rPr/>
                              <w:t>de</w:t>
                            </w:r>
                            <w:r>
                              <w:rPr>
                                <w:spacing w:val="-13"/>
                              </w:rPr>
                              <w:t> </w:t>
                            </w:r>
                            <w:r>
                              <w:rPr/>
                              <w:t>efectivo</w:t>
                            </w:r>
                            <w:r>
                              <w:rPr>
                                <w:spacing w:val="-11"/>
                              </w:rPr>
                              <w:t> </w:t>
                            </w:r>
                            <w:r>
                              <w:rPr/>
                              <w:t>asociados.</w:t>
                            </w:r>
                            <w:r>
                              <w:rPr>
                                <w:spacing w:val="-13"/>
                              </w:rPr>
                              <w:t> </w:t>
                            </w:r>
                            <w:r>
                              <w:rPr/>
                              <w:t>Los</w:t>
                            </w:r>
                            <w:r>
                              <w:rPr>
                                <w:spacing w:val="-13"/>
                              </w:rPr>
                              <w:t> </w:t>
                            </w:r>
                            <w:r>
                              <w:rPr/>
                              <w:t>activos</w:t>
                            </w:r>
                            <w:r>
                              <w:rPr>
                                <w:spacing w:val="-13"/>
                              </w:rPr>
                              <w:t> </w:t>
                            </w:r>
                            <w:r>
                              <w:rPr/>
                              <w:t>financieros de la entidad se concentran principalmente en efectivo y equivalentes de efectivo, cuentas por cobrar y otros derechos financieros derivados de sus actividades operativas, los cuales se mantienen con el objetivo de recuperar los flujos contractuales y no con fines de negociación. En consecuencia, estos activos se reconocen bajo la categoría de préstamos y cuentas por cobrar, medidos posteriormente al costo amortizado.</w:t>
                            </w:r>
                          </w:p>
                          <w:p>
                            <w:pPr>
                              <w:pStyle w:val="BodyText"/>
                              <w:spacing w:line="259" w:lineRule="auto" w:before="121"/>
                              <w:ind w:left="103" w:right="99"/>
                              <w:jc w:val="both"/>
                            </w:pPr>
                            <w:r>
                              <w:rPr/>
                              <w:t>Por su parte, los pasivos financieros corresponden esencialmente a cuentas por pagar y otras obligaciones financieras originadas en la adquisición de bienes y servicios necesarios para el cumplimiento de los fines institucionales. Dichos pasivos no se mantienen para negociación y se clasifican</w:t>
                            </w:r>
                            <w:r>
                              <w:rPr>
                                <w:spacing w:val="-16"/>
                              </w:rPr>
                              <w:t> </w:t>
                            </w:r>
                            <w:r>
                              <w:rPr/>
                              <w:t>como</w:t>
                            </w:r>
                            <w:r>
                              <w:rPr>
                                <w:spacing w:val="-14"/>
                              </w:rPr>
                              <w:t> </w:t>
                            </w:r>
                            <w:r>
                              <w:rPr/>
                              <w:t>pasivos</w:t>
                            </w:r>
                            <w:r>
                              <w:rPr>
                                <w:spacing w:val="-14"/>
                              </w:rPr>
                              <w:t> </w:t>
                            </w:r>
                            <w:r>
                              <w:rPr/>
                              <w:t>financieros</w:t>
                            </w:r>
                            <w:r>
                              <w:rPr>
                                <w:spacing w:val="-13"/>
                              </w:rPr>
                              <w:t> </w:t>
                            </w:r>
                            <w:r>
                              <w:rPr/>
                              <w:t>medidos</w:t>
                            </w:r>
                            <w:r>
                              <w:rPr>
                                <w:spacing w:val="-14"/>
                              </w:rPr>
                              <w:t> </w:t>
                            </w:r>
                            <w:r>
                              <w:rPr/>
                              <w:t>al</w:t>
                            </w:r>
                            <w:r>
                              <w:rPr>
                                <w:spacing w:val="-14"/>
                              </w:rPr>
                              <w:t> </w:t>
                            </w:r>
                            <w:r>
                              <w:rPr/>
                              <w:t>costo</w:t>
                            </w:r>
                            <w:r>
                              <w:rPr>
                                <w:spacing w:val="-14"/>
                              </w:rPr>
                              <w:t> </w:t>
                            </w:r>
                            <w:r>
                              <w:rPr/>
                              <w:t>amortizado.</w:t>
                            </w:r>
                            <w:r>
                              <w:rPr>
                                <w:spacing w:val="-13"/>
                              </w:rPr>
                              <w:t> </w:t>
                            </w:r>
                            <w:r>
                              <w:rPr/>
                              <w:t>La</w:t>
                            </w:r>
                            <w:r>
                              <w:rPr>
                                <w:spacing w:val="-14"/>
                              </w:rPr>
                              <w:t> </w:t>
                            </w:r>
                            <w:r>
                              <w:rPr/>
                              <w:t>entidad</w:t>
                            </w:r>
                            <w:r>
                              <w:rPr>
                                <w:spacing w:val="-14"/>
                              </w:rPr>
                              <w:t> </w:t>
                            </w:r>
                            <w:r>
                              <w:rPr/>
                              <w:t>no</w:t>
                            </w:r>
                            <w:r>
                              <w:rPr>
                                <w:spacing w:val="-14"/>
                              </w:rPr>
                              <w:t> </w:t>
                            </w:r>
                            <w:r>
                              <w:rPr/>
                              <w:t>mantiene</w:t>
                            </w:r>
                            <w:r>
                              <w:rPr>
                                <w:spacing w:val="-13"/>
                              </w:rPr>
                              <w:t> </w:t>
                            </w:r>
                            <w:r>
                              <w:rPr/>
                              <w:t>instrumentos financieros clasificados como disponibles para la venta, mantenidos para negociar ni instrumentos financieros complejos o derivados. La clasificación adoptada refleja adecuadamente el modelo de gestión</w:t>
                            </w:r>
                            <w:r>
                              <w:rPr>
                                <w:spacing w:val="-11"/>
                              </w:rPr>
                              <w:t> </w:t>
                            </w:r>
                            <w:r>
                              <w:rPr/>
                              <w:t>financiera</w:t>
                            </w:r>
                            <w:r>
                              <w:rPr>
                                <w:spacing w:val="-10"/>
                              </w:rPr>
                              <w:t> </w:t>
                            </w:r>
                            <w:r>
                              <w:rPr/>
                              <w:t>institucional</w:t>
                            </w:r>
                            <w:r>
                              <w:rPr>
                                <w:spacing w:val="-10"/>
                              </w:rPr>
                              <w:t> </w:t>
                            </w:r>
                            <w:r>
                              <w:rPr/>
                              <w:t>y</w:t>
                            </w:r>
                            <w:r>
                              <w:rPr>
                                <w:spacing w:val="-11"/>
                              </w:rPr>
                              <w:t> </w:t>
                            </w:r>
                            <w:r>
                              <w:rPr/>
                              <w:t>es</w:t>
                            </w:r>
                            <w:r>
                              <w:rPr>
                                <w:spacing w:val="-9"/>
                              </w:rPr>
                              <w:t> </w:t>
                            </w:r>
                            <w:r>
                              <w:rPr/>
                              <w:t>consistente</w:t>
                            </w:r>
                            <w:r>
                              <w:rPr>
                                <w:spacing w:val="-10"/>
                              </w:rPr>
                              <w:t> </w:t>
                            </w:r>
                            <w:r>
                              <w:rPr/>
                              <w:t>con</w:t>
                            </w:r>
                            <w:r>
                              <w:rPr>
                                <w:spacing w:val="-9"/>
                              </w:rPr>
                              <w:t> </w:t>
                            </w:r>
                            <w:r>
                              <w:rPr/>
                              <w:t>las</w:t>
                            </w:r>
                            <w:r>
                              <w:rPr>
                                <w:spacing w:val="-9"/>
                              </w:rPr>
                              <w:t> </w:t>
                            </w:r>
                            <w:r>
                              <w:rPr/>
                              <w:t>políticas</w:t>
                            </w:r>
                            <w:r>
                              <w:rPr>
                                <w:spacing w:val="-9"/>
                              </w:rPr>
                              <w:t> </w:t>
                            </w:r>
                            <w:r>
                              <w:rPr/>
                              <w:t>contables</w:t>
                            </w:r>
                            <w:r>
                              <w:rPr>
                                <w:spacing w:val="-9"/>
                              </w:rPr>
                              <w:t> </w:t>
                            </w:r>
                            <w:r>
                              <w:rPr/>
                              <w:t>reveladas</w:t>
                            </w:r>
                            <w:r>
                              <w:rPr>
                                <w:spacing w:val="-9"/>
                              </w:rPr>
                              <w:t> </w:t>
                            </w:r>
                            <w:r>
                              <w:rPr/>
                              <w:t>en</w:t>
                            </w:r>
                            <w:r>
                              <w:rPr>
                                <w:spacing w:val="-9"/>
                              </w:rPr>
                              <w:t> </w:t>
                            </w:r>
                            <w:r>
                              <w:rPr/>
                              <w:t>la</w:t>
                            </w:r>
                            <w:r>
                              <w:rPr>
                                <w:spacing w:val="-11"/>
                              </w:rPr>
                              <w:t> </w:t>
                            </w:r>
                            <w:r>
                              <w:rPr/>
                              <w:t>Nota</w:t>
                            </w:r>
                            <w:r>
                              <w:rPr>
                                <w:spacing w:val="-10"/>
                              </w:rPr>
                              <w:t> </w:t>
                            </w:r>
                            <w:r>
                              <w:rPr/>
                              <w:t>Políticas contables significativas inciso k) del presente documento.</w:t>
                            </w:r>
                          </w:p>
                        </w:txbxContent>
                      </wps:txbx>
                      <wps:bodyPr wrap="square" lIns="0" tIns="0" rIns="0" bIns="0" rtlCol="0">
                        <a:noAutofit/>
                      </wps:bodyPr>
                    </wps:wsp>
                  </a:graphicData>
                </a:graphic>
              </wp:anchor>
            </w:drawing>
          </mc:Choice>
          <mc:Fallback>
            <w:pict>
              <v:shape style="position:absolute;margin-left:85.103996pt;margin-top:14.43pt;width:450pt;height:259.8500pt;mso-position-horizontal-relative:page;mso-position-vertical-relative:paragraph;z-index:-15493120;mso-wrap-distance-left:0;mso-wrap-distance-right:0" type="#_x0000_t202" id="docshape111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98"/>
                        <w:jc w:val="both"/>
                      </w:pPr>
                      <w:r>
                        <w:rPr/>
                        <w:t>Los activos y pasivos financieros de la entidad se clasifican de conformidad con lo establecido en las NICSP 28, 29 y 30, atendiendo a la naturaleza de los instrumentos, al propósito para el cual se mantienen</w:t>
                      </w:r>
                      <w:r>
                        <w:rPr>
                          <w:spacing w:val="-12"/>
                        </w:rPr>
                        <w:t> </w:t>
                      </w:r>
                      <w:r>
                        <w:rPr/>
                        <w:t>y</w:t>
                      </w:r>
                      <w:r>
                        <w:rPr>
                          <w:spacing w:val="-13"/>
                        </w:rPr>
                        <w:t> </w:t>
                      </w:r>
                      <w:r>
                        <w:rPr/>
                        <w:t>a</w:t>
                      </w:r>
                      <w:r>
                        <w:rPr>
                          <w:spacing w:val="-12"/>
                        </w:rPr>
                        <w:t> </w:t>
                      </w:r>
                      <w:r>
                        <w:rPr/>
                        <w:t>la</w:t>
                      </w:r>
                      <w:r>
                        <w:rPr>
                          <w:spacing w:val="-13"/>
                        </w:rPr>
                        <w:t> </w:t>
                      </w:r>
                      <w:r>
                        <w:rPr/>
                        <w:t>forma</w:t>
                      </w:r>
                      <w:r>
                        <w:rPr>
                          <w:spacing w:val="-12"/>
                        </w:rPr>
                        <w:t> </w:t>
                      </w:r>
                      <w:r>
                        <w:rPr/>
                        <w:t>en</w:t>
                      </w:r>
                      <w:r>
                        <w:rPr>
                          <w:spacing w:val="-14"/>
                        </w:rPr>
                        <w:t> </w:t>
                      </w:r>
                      <w:r>
                        <w:rPr/>
                        <w:t>que</w:t>
                      </w:r>
                      <w:r>
                        <w:rPr>
                          <w:spacing w:val="-13"/>
                        </w:rPr>
                        <w:t> </w:t>
                      </w:r>
                      <w:r>
                        <w:rPr/>
                        <w:t>se</w:t>
                      </w:r>
                      <w:r>
                        <w:rPr>
                          <w:spacing w:val="-13"/>
                        </w:rPr>
                        <w:t> </w:t>
                      </w:r>
                      <w:r>
                        <w:rPr/>
                        <w:t>espera</w:t>
                      </w:r>
                      <w:r>
                        <w:rPr>
                          <w:spacing w:val="-12"/>
                        </w:rPr>
                        <w:t> </w:t>
                      </w:r>
                      <w:r>
                        <w:rPr/>
                        <w:t>realizar</w:t>
                      </w:r>
                      <w:r>
                        <w:rPr>
                          <w:spacing w:val="-12"/>
                        </w:rPr>
                        <w:t> </w:t>
                      </w:r>
                      <w:r>
                        <w:rPr/>
                        <w:t>los</w:t>
                      </w:r>
                      <w:r>
                        <w:rPr>
                          <w:spacing w:val="-13"/>
                        </w:rPr>
                        <w:t> </w:t>
                      </w:r>
                      <w:r>
                        <w:rPr/>
                        <w:t>flujos</w:t>
                      </w:r>
                      <w:r>
                        <w:rPr>
                          <w:spacing w:val="-11"/>
                        </w:rPr>
                        <w:t> </w:t>
                      </w:r>
                      <w:r>
                        <w:rPr/>
                        <w:t>de</w:t>
                      </w:r>
                      <w:r>
                        <w:rPr>
                          <w:spacing w:val="-13"/>
                        </w:rPr>
                        <w:t> </w:t>
                      </w:r>
                      <w:r>
                        <w:rPr/>
                        <w:t>efectivo</w:t>
                      </w:r>
                      <w:r>
                        <w:rPr>
                          <w:spacing w:val="-11"/>
                        </w:rPr>
                        <w:t> </w:t>
                      </w:r>
                      <w:r>
                        <w:rPr/>
                        <w:t>asociados.</w:t>
                      </w:r>
                      <w:r>
                        <w:rPr>
                          <w:spacing w:val="-13"/>
                        </w:rPr>
                        <w:t> </w:t>
                      </w:r>
                      <w:r>
                        <w:rPr/>
                        <w:t>Los</w:t>
                      </w:r>
                      <w:r>
                        <w:rPr>
                          <w:spacing w:val="-13"/>
                        </w:rPr>
                        <w:t> </w:t>
                      </w:r>
                      <w:r>
                        <w:rPr/>
                        <w:t>activos</w:t>
                      </w:r>
                      <w:r>
                        <w:rPr>
                          <w:spacing w:val="-13"/>
                        </w:rPr>
                        <w:t> </w:t>
                      </w:r>
                      <w:r>
                        <w:rPr/>
                        <w:t>financieros de la entidad se concentran principalmente en efectivo y equivalentes de efectivo, cuentas por cobrar y otros derechos financieros derivados de sus actividades operativas, los cuales se mantienen con el objetivo de recuperar los flujos contractuales y no con fines de negociación. En consecuencia, estos activos se reconocen bajo la categoría de préstamos y cuentas por cobrar, medidos posteriormente al costo amortizado.</w:t>
                      </w:r>
                    </w:p>
                    <w:p>
                      <w:pPr>
                        <w:pStyle w:val="BodyText"/>
                        <w:spacing w:line="259" w:lineRule="auto" w:before="121"/>
                        <w:ind w:left="103" w:right="99"/>
                        <w:jc w:val="both"/>
                      </w:pPr>
                      <w:r>
                        <w:rPr/>
                        <w:t>Por su parte, los pasivos financieros corresponden esencialmente a cuentas por pagar y otras obligaciones financieras originadas en la adquisición de bienes y servicios necesarios para el cumplimiento de los fines institucionales. Dichos pasivos no se mantienen para negociación y se clasifican</w:t>
                      </w:r>
                      <w:r>
                        <w:rPr>
                          <w:spacing w:val="-16"/>
                        </w:rPr>
                        <w:t> </w:t>
                      </w:r>
                      <w:r>
                        <w:rPr/>
                        <w:t>como</w:t>
                      </w:r>
                      <w:r>
                        <w:rPr>
                          <w:spacing w:val="-14"/>
                        </w:rPr>
                        <w:t> </w:t>
                      </w:r>
                      <w:r>
                        <w:rPr/>
                        <w:t>pasivos</w:t>
                      </w:r>
                      <w:r>
                        <w:rPr>
                          <w:spacing w:val="-14"/>
                        </w:rPr>
                        <w:t> </w:t>
                      </w:r>
                      <w:r>
                        <w:rPr/>
                        <w:t>financieros</w:t>
                      </w:r>
                      <w:r>
                        <w:rPr>
                          <w:spacing w:val="-13"/>
                        </w:rPr>
                        <w:t> </w:t>
                      </w:r>
                      <w:r>
                        <w:rPr/>
                        <w:t>medidos</w:t>
                      </w:r>
                      <w:r>
                        <w:rPr>
                          <w:spacing w:val="-14"/>
                        </w:rPr>
                        <w:t> </w:t>
                      </w:r>
                      <w:r>
                        <w:rPr/>
                        <w:t>al</w:t>
                      </w:r>
                      <w:r>
                        <w:rPr>
                          <w:spacing w:val="-14"/>
                        </w:rPr>
                        <w:t> </w:t>
                      </w:r>
                      <w:r>
                        <w:rPr/>
                        <w:t>costo</w:t>
                      </w:r>
                      <w:r>
                        <w:rPr>
                          <w:spacing w:val="-14"/>
                        </w:rPr>
                        <w:t> </w:t>
                      </w:r>
                      <w:r>
                        <w:rPr/>
                        <w:t>amortizado.</w:t>
                      </w:r>
                      <w:r>
                        <w:rPr>
                          <w:spacing w:val="-13"/>
                        </w:rPr>
                        <w:t> </w:t>
                      </w:r>
                      <w:r>
                        <w:rPr/>
                        <w:t>La</w:t>
                      </w:r>
                      <w:r>
                        <w:rPr>
                          <w:spacing w:val="-14"/>
                        </w:rPr>
                        <w:t> </w:t>
                      </w:r>
                      <w:r>
                        <w:rPr/>
                        <w:t>entidad</w:t>
                      </w:r>
                      <w:r>
                        <w:rPr>
                          <w:spacing w:val="-14"/>
                        </w:rPr>
                        <w:t> </w:t>
                      </w:r>
                      <w:r>
                        <w:rPr/>
                        <w:t>no</w:t>
                      </w:r>
                      <w:r>
                        <w:rPr>
                          <w:spacing w:val="-14"/>
                        </w:rPr>
                        <w:t> </w:t>
                      </w:r>
                      <w:r>
                        <w:rPr/>
                        <w:t>mantiene</w:t>
                      </w:r>
                      <w:r>
                        <w:rPr>
                          <w:spacing w:val="-13"/>
                        </w:rPr>
                        <w:t> </w:t>
                      </w:r>
                      <w:r>
                        <w:rPr/>
                        <w:t>instrumentos financieros clasificados como disponibles para la venta, mantenidos para negociar ni instrumentos financieros complejos o derivados. La clasificación adoptada refleja adecuadamente el modelo de gestión</w:t>
                      </w:r>
                      <w:r>
                        <w:rPr>
                          <w:spacing w:val="-11"/>
                        </w:rPr>
                        <w:t> </w:t>
                      </w:r>
                      <w:r>
                        <w:rPr/>
                        <w:t>financiera</w:t>
                      </w:r>
                      <w:r>
                        <w:rPr>
                          <w:spacing w:val="-10"/>
                        </w:rPr>
                        <w:t> </w:t>
                      </w:r>
                      <w:r>
                        <w:rPr/>
                        <w:t>institucional</w:t>
                      </w:r>
                      <w:r>
                        <w:rPr>
                          <w:spacing w:val="-10"/>
                        </w:rPr>
                        <w:t> </w:t>
                      </w:r>
                      <w:r>
                        <w:rPr/>
                        <w:t>y</w:t>
                      </w:r>
                      <w:r>
                        <w:rPr>
                          <w:spacing w:val="-11"/>
                        </w:rPr>
                        <w:t> </w:t>
                      </w:r>
                      <w:r>
                        <w:rPr/>
                        <w:t>es</w:t>
                      </w:r>
                      <w:r>
                        <w:rPr>
                          <w:spacing w:val="-9"/>
                        </w:rPr>
                        <w:t> </w:t>
                      </w:r>
                      <w:r>
                        <w:rPr/>
                        <w:t>consistente</w:t>
                      </w:r>
                      <w:r>
                        <w:rPr>
                          <w:spacing w:val="-10"/>
                        </w:rPr>
                        <w:t> </w:t>
                      </w:r>
                      <w:r>
                        <w:rPr/>
                        <w:t>con</w:t>
                      </w:r>
                      <w:r>
                        <w:rPr>
                          <w:spacing w:val="-9"/>
                        </w:rPr>
                        <w:t> </w:t>
                      </w:r>
                      <w:r>
                        <w:rPr/>
                        <w:t>las</w:t>
                      </w:r>
                      <w:r>
                        <w:rPr>
                          <w:spacing w:val="-9"/>
                        </w:rPr>
                        <w:t> </w:t>
                      </w:r>
                      <w:r>
                        <w:rPr/>
                        <w:t>políticas</w:t>
                      </w:r>
                      <w:r>
                        <w:rPr>
                          <w:spacing w:val="-9"/>
                        </w:rPr>
                        <w:t> </w:t>
                      </w:r>
                      <w:r>
                        <w:rPr/>
                        <w:t>contables</w:t>
                      </w:r>
                      <w:r>
                        <w:rPr>
                          <w:spacing w:val="-9"/>
                        </w:rPr>
                        <w:t> </w:t>
                      </w:r>
                      <w:r>
                        <w:rPr/>
                        <w:t>reveladas</w:t>
                      </w:r>
                      <w:r>
                        <w:rPr>
                          <w:spacing w:val="-9"/>
                        </w:rPr>
                        <w:t> </w:t>
                      </w:r>
                      <w:r>
                        <w:rPr/>
                        <w:t>en</w:t>
                      </w:r>
                      <w:r>
                        <w:rPr>
                          <w:spacing w:val="-9"/>
                        </w:rPr>
                        <w:t> </w:t>
                      </w:r>
                      <w:r>
                        <w:rPr/>
                        <w:t>la</w:t>
                      </w:r>
                      <w:r>
                        <w:rPr>
                          <w:spacing w:val="-11"/>
                        </w:rPr>
                        <w:t> </w:t>
                      </w:r>
                      <w:r>
                        <w:rPr/>
                        <w:t>Nota</w:t>
                      </w:r>
                      <w:r>
                        <w:rPr>
                          <w:spacing w:val="-10"/>
                        </w:rPr>
                        <w:t> </w:t>
                      </w:r>
                      <w:r>
                        <w:rPr/>
                        <w:t>Políticas contables significativas inciso k) del presente documento.</w:t>
                      </w:r>
                    </w:p>
                  </w:txbxContent>
                </v:textbox>
                <v:stroke dashstyle="solid"/>
                <w10:wrap type="topAndBottom"/>
              </v:shape>
            </w:pict>
          </mc:Fallback>
        </mc:AlternateContent>
      </w:r>
    </w:p>
    <w:p>
      <w:pPr>
        <w:pStyle w:val="BodyText"/>
      </w:pPr>
    </w:p>
    <w:p>
      <w:pPr>
        <w:pStyle w:val="BodyText"/>
        <w:spacing w:before="185"/>
      </w:pPr>
    </w:p>
    <w:p>
      <w:pPr>
        <w:pStyle w:val="ListParagraph"/>
        <w:numPr>
          <w:ilvl w:val="1"/>
          <w:numId w:val="98"/>
        </w:numPr>
        <w:tabs>
          <w:tab w:pos="1339" w:val="left" w:leader="none"/>
        </w:tabs>
        <w:spacing w:line="240" w:lineRule="auto" w:before="0" w:after="0"/>
        <w:ind w:left="1339" w:right="0" w:hanging="358"/>
        <w:jc w:val="left"/>
        <w:rPr>
          <w:sz w:val="22"/>
        </w:rPr>
      </w:pPr>
      <w:r>
        <w:rPr>
          <w:sz w:val="22"/>
          <w:u w:val="single"/>
        </w:rPr>
        <w:t>Activos</w:t>
      </w:r>
      <w:r>
        <w:rPr>
          <w:spacing w:val="-5"/>
          <w:sz w:val="22"/>
          <w:u w:val="single"/>
        </w:rPr>
        <w:t> </w:t>
      </w:r>
      <w:r>
        <w:rPr>
          <w:sz w:val="22"/>
          <w:u w:val="single"/>
        </w:rPr>
        <w:t>y</w:t>
      </w:r>
      <w:r>
        <w:rPr>
          <w:spacing w:val="-5"/>
          <w:sz w:val="22"/>
          <w:u w:val="single"/>
        </w:rPr>
        <w:t> </w:t>
      </w:r>
      <w:r>
        <w:rPr>
          <w:sz w:val="22"/>
          <w:u w:val="single"/>
        </w:rPr>
        <w:t>Pasivos</w:t>
      </w:r>
      <w:r>
        <w:rPr>
          <w:spacing w:val="-2"/>
          <w:sz w:val="22"/>
          <w:u w:val="single"/>
        </w:rPr>
        <w:t> </w:t>
      </w:r>
      <w:r>
        <w:rPr>
          <w:sz w:val="22"/>
          <w:u w:val="single"/>
        </w:rPr>
        <w:t>Financieros</w:t>
      </w:r>
      <w:r>
        <w:rPr>
          <w:spacing w:val="-2"/>
          <w:sz w:val="22"/>
          <w:u w:val="single"/>
        </w:rPr>
        <w:t> </w:t>
      </w:r>
      <w:r>
        <w:rPr>
          <w:sz w:val="22"/>
          <w:u w:val="single"/>
        </w:rPr>
        <w:t>a</w:t>
      </w:r>
      <w:r>
        <w:rPr>
          <w:spacing w:val="-4"/>
          <w:sz w:val="22"/>
          <w:u w:val="single"/>
        </w:rPr>
        <w:t> </w:t>
      </w:r>
      <w:r>
        <w:rPr>
          <w:sz w:val="22"/>
          <w:u w:val="single"/>
        </w:rPr>
        <w:t>valor</w:t>
      </w:r>
      <w:r>
        <w:rPr>
          <w:spacing w:val="-4"/>
          <w:sz w:val="22"/>
          <w:u w:val="single"/>
        </w:rPr>
        <w:t> </w:t>
      </w:r>
      <w:r>
        <w:rPr>
          <w:sz w:val="22"/>
          <w:u w:val="single"/>
        </w:rPr>
        <w:t>razonable</w:t>
      </w:r>
      <w:r>
        <w:rPr>
          <w:spacing w:val="-3"/>
          <w:sz w:val="22"/>
          <w:u w:val="single"/>
        </w:rPr>
        <w:t> </w:t>
      </w:r>
      <w:r>
        <w:rPr>
          <w:sz w:val="22"/>
          <w:u w:val="single"/>
        </w:rPr>
        <w:t>con</w:t>
      </w:r>
      <w:r>
        <w:rPr>
          <w:spacing w:val="-4"/>
          <w:sz w:val="22"/>
          <w:u w:val="single"/>
        </w:rPr>
        <w:t> </w:t>
      </w:r>
      <w:r>
        <w:rPr>
          <w:sz w:val="22"/>
          <w:u w:val="single"/>
        </w:rPr>
        <w:t>cambios</w:t>
      </w:r>
      <w:r>
        <w:rPr>
          <w:spacing w:val="-2"/>
          <w:sz w:val="22"/>
          <w:u w:val="single"/>
        </w:rPr>
        <w:t> </w:t>
      </w:r>
      <w:r>
        <w:rPr>
          <w:sz w:val="22"/>
          <w:u w:val="single"/>
        </w:rPr>
        <w:t>en</w:t>
      </w:r>
      <w:r>
        <w:rPr>
          <w:spacing w:val="-4"/>
          <w:sz w:val="22"/>
          <w:u w:val="single"/>
        </w:rPr>
        <w:t> </w:t>
      </w:r>
      <w:r>
        <w:rPr>
          <w:sz w:val="22"/>
          <w:u w:val="single"/>
        </w:rPr>
        <w:t>el</w:t>
      </w:r>
      <w:r>
        <w:rPr>
          <w:spacing w:val="-4"/>
          <w:sz w:val="22"/>
          <w:u w:val="single"/>
        </w:rPr>
        <w:t> </w:t>
      </w:r>
      <w:r>
        <w:rPr>
          <w:sz w:val="22"/>
          <w:u w:val="single"/>
        </w:rPr>
        <w:t>resultado</w:t>
      </w:r>
      <w:r>
        <w:rPr>
          <w:spacing w:val="-3"/>
          <w:sz w:val="22"/>
          <w:u w:val="single"/>
        </w:rPr>
        <w:t> </w:t>
      </w:r>
      <w:r>
        <w:rPr>
          <w:sz w:val="22"/>
          <w:u w:val="single"/>
        </w:rPr>
        <w:t>(párrafo</w:t>
      </w:r>
      <w:r>
        <w:rPr>
          <w:spacing w:val="-3"/>
          <w:sz w:val="22"/>
          <w:u w:val="single"/>
        </w:rPr>
        <w:t> </w:t>
      </w:r>
      <w:r>
        <w:rPr>
          <w:sz w:val="22"/>
          <w:u w:val="single"/>
        </w:rPr>
        <w:t>12</w:t>
      </w:r>
      <w:r>
        <w:rPr>
          <w:spacing w:val="-5"/>
          <w:sz w:val="22"/>
          <w:u w:val="single"/>
        </w:rPr>
        <w:t> </w:t>
      </w:r>
      <w:r>
        <w:rPr>
          <w:sz w:val="22"/>
          <w:u w:val="single"/>
        </w:rPr>
        <w:t>a</w:t>
      </w:r>
      <w:r>
        <w:rPr>
          <w:spacing w:val="-4"/>
          <w:sz w:val="22"/>
          <w:u w:val="single"/>
        </w:rPr>
        <w:t> </w:t>
      </w:r>
      <w:r>
        <w:rPr>
          <w:spacing w:val="-5"/>
          <w:sz w:val="22"/>
          <w:u w:val="single"/>
        </w:rPr>
        <w:t>14)</w:t>
      </w:r>
    </w:p>
    <w:p>
      <w:pPr>
        <w:pStyle w:val="BodyText"/>
        <w:spacing w:before="33"/>
        <w:rPr>
          <w:sz w:val="20"/>
        </w:rPr>
      </w:pPr>
      <w:r>
        <w:rPr>
          <w:sz w:val="20"/>
        </w:rPr>
        <mc:AlternateContent>
          <mc:Choice Requires="wps">
            <w:drawing>
              <wp:anchor distT="0" distB="0" distL="0" distR="0" allowOverlap="1" layoutInCell="1" locked="0" behindDoc="1" simplePos="0" relativeHeight="487823872">
                <wp:simplePos x="0" y="0"/>
                <wp:positionH relativeFrom="page">
                  <wp:posOffset>1080820</wp:posOffset>
                </wp:positionH>
                <wp:positionV relativeFrom="paragraph">
                  <wp:posOffset>184229</wp:posOffset>
                </wp:positionV>
                <wp:extent cx="5715000" cy="1879600"/>
                <wp:effectExtent l="0" t="0" r="0" b="0"/>
                <wp:wrapTopAndBottom/>
                <wp:docPr id="1173" name="Textbox 1173"/>
                <wp:cNvGraphicFramePr>
                  <a:graphicFrameLocks/>
                </wp:cNvGraphicFramePr>
                <a:graphic>
                  <a:graphicData uri="http://schemas.microsoft.com/office/word/2010/wordprocessingShape">
                    <wps:wsp>
                      <wps:cNvPr id="1173" name="Textbox 1173"/>
                      <wps:cNvSpPr txBox="1"/>
                      <wps:spPr>
                        <a:xfrm>
                          <a:off x="0" y="0"/>
                          <a:ext cx="5715000" cy="187960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1"/>
                              <w:jc w:val="both"/>
                            </w:pPr>
                            <w:r>
                              <w:rPr/>
                              <w:t>De conformidad con lo establecido en las NICSP 28, 29 y 30, la entidad ha procedido a evaluar la existencia de activos y pasivos financieros clasificados a valor razonable con cambios en el resultado, considerando</w:t>
                            </w:r>
                            <w:r>
                              <w:rPr>
                                <w:spacing w:val="-12"/>
                              </w:rPr>
                              <w:t> </w:t>
                            </w:r>
                            <w:r>
                              <w:rPr/>
                              <w:t>la</w:t>
                            </w:r>
                            <w:r>
                              <w:rPr>
                                <w:spacing w:val="-13"/>
                              </w:rPr>
                              <w:t> </w:t>
                            </w:r>
                            <w:r>
                              <w:rPr/>
                              <w:t>naturaleza</w:t>
                            </w:r>
                            <w:r>
                              <w:rPr>
                                <w:spacing w:val="-14"/>
                              </w:rPr>
                              <w:t> </w:t>
                            </w:r>
                            <w:r>
                              <w:rPr/>
                              <w:t>de</w:t>
                            </w:r>
                            <w:r>
                              <w:rPr>
                                <w:spacing w:val="-13"/>
                              </w:rPr>
                              <w:t> </w:t>
                            </w:r>
                            <w:r>
                              <w:rPr/>
                              <w:t>sus</w:t>
                            </w:r>
                            <w:r>
                              <w:rPr>
                                <w:spacing w:val="-13"/>
                              </w:rPr>
                              <w:t> </w:t>
                            </w:r>
                            <w:r>
                              <w:rPr/>
                              <w:t>operaciones</w:t>
                            </w:r>
                            <w:r>
                              <w:rPr>
                                <w:spacing w:val="-11"/>
                              </w:rPr>
                              <w:t> </w:t>
                            </w:r>
                            <w:r>
                              <w:rPr/>
                              <w:t>y</w:t>
                            </w:r>
                            <w:r>
                              <w:rPr>
                                <w:spacing w:val="-13"/>
                              </w:rPr>
                              <w:t> </w:t>
                            </w:r>
                            <w:r>
                              <w:rPr/>
                              <w:t>el</w:t>
                            </w:r>
                            <w:r>
                              <w:rPr>
                                <w:spacing w:val="-12"/>
                              </w:rPr>
                              <w:t> </w:t>
                            </w:r>
                            <w:r>
                              <w:rPr/>
                              <w:t>modelo</w:t>
                            </w:r>
                            <w:r>
                              <w:rPr>
                                <w:spacing w:val="-12"/>
                              </w:rPr>
                              <w:t> </w:t>
                            </w:r>
                            <w:r>
                              <w:rPr/>
                              <w:t>de</w:t>
                            </w:r>
                            <w:r>
                              <w:rPr>
                                <w:spacing w:val="-13"/>
                              </w:rPr>
                              <w:t> </w:t>
                            </w:r>
                            <w:r>
                              <w:rPr/>
                              <w:t>gestión</w:t>
                            </w:r>
                            <w:r>
                              <w:rPr>
                                <w:spacing w:val="-14"/>
                              </w:rPr>
                              <w:t> </w:t>
                            </w:r>
                            <w:r>
                              <w:rPr/>
                              <w:t>financiera</w:t>
                            </w:r>
                            <w:r>
                              <w:rPr>
                                <w:spacing w:val="-12"/>
                              </w:rPr>
                              <w:t> </w:t>
                            </w:r>
                            <w:r>
                              <w:rPr/>
                              <w:t>institucional,</w:t>
                            </w:r>
                            <w:r>
                              <w:rPr>
                                <w:spacing w:val="-12"/>
                              </w:rPr>
                              <w:t> </w:t>
                            </w:r>
                            <w:r>
                              <w:rPr/>
                              <w:t>así</w:t>
                            </w:r>
                            <w:r>
                              <w:rPr>
                                <w:spacing w:val="-12"/>
                              </w:rPr>
                              <w:t> </w:t>
                            </w:r>
                            <w:r>
                              <w:rPr/>
                              <w:t>como el alcance y clasificación de los instrumentos disponibles.</w:t>
                            </w:r>
                          </w:p>
                          <w:p>
                            <w:pPr>
                              <w:pStyle w:val="BodyText"/>
                              <w:spacing w:line="259" w:lineRule="auto" w:before="120"/>
                              <w:ind w:left="103" w:right="102"/>
                              <w:jc w:val="both"/>
                            </w:pPr>
                            <w:r>
                              <w:rPr/>
                              <w:t>Como resultado de dicha evaluación, al cierre del período sobre el que se informa, la entidad no mantiene activos ni pasivos financieros medidos a valor razonable con cambios en el resultado, ni realiza operaciones de negociación, ni mantiene instrumentos financieros derivados o instrumentos financieros complejos que requieran su clasificación bajo esta categoría.</w:t>
                            </w:r>
                          </w:p>
                        </w:txbxContent>
                      </wps:txbx>
                      <wps:bodyPr wrap="square" lIns="0" tIns="0" rIns="0" bIns="0" rtlCol="0">
                        <a:noAutofit/>
                      </wps:bodyPr>
                    </wps:wsp>
                  </a:graphicData>
                </a:graphic>
              </wp:anchor>
            </w:drawing>
          </mc:Choice>
          <mc:Fallback>
            <w:pict>
              <v:shape style="position:absolute;margin-left:85.103996pt;margin-top:14.50625pt;width:450pt;height:148pt;mso-position-horizontal-relative:page;mso-position-vertical-relative:paragraph;z-index:-15492608;mso-wrap-distance-left:0;mso-wrap-distance-right:0" type="#_x0000_t202" id="docshape1117"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1"/>
                        <w:jc w:val="both"/>
                      </w:pPr>
                      <w:r>
                        <w:rPr/>
                        <w:t>De conformidad con lo establecido en las NICSP 28, 29 y 30, la entidad ha procedido a evaluar la existencia de activos y pasivos financieros clasificados a valor razonable con cambios en el resultado, considerando</w:t>
                      </w:r>
                      <w:r>
                        <w:rPr>
                          <w:spacing w:val="-12"/>
                        </w:rPr>
                        <w:t> </w:t>
                      </w:r>
                      <w:r>
                        <w:rPr/>
                        <w:t>la</w:t>
                      </w:r>
                      <w:r>
                        <w:rPr>
                          <w:spacing w:val="-13"/>
                        </w:rPr>
                        <w:t> </w:t>
                      </w:r>
                      <w:r>
                        <w:rPr/>
                        <w:t>naturaleza</w:t>
                      </w:r>
                      <w:r>
                        <w:rPr>
                          <w:spacing w:val="-14"/>
                        </w:rPr>
                        <w:t> </w:t>
                      </w:r>
                      <w:r>
                        <w:rPr/>
                        <w:t>de</w:t>
                      </w:r>
                      <w:r>
                        <w:rPr>
                          <w:spacing w:val="-13"/>
                        </w:rPr>
                        <w:t> </w:t>
                      </w:r>
                      <w:r>
                        <w:rPr/>
                        <w:t>sus</w:t>
                      </w:r>
                      <w:r>
                        <w:rPr>
                          <w:spacing w:val="-13"/>
                        </w:rPr>
                        <w:t> </w:t>
                      </w:r>
                      <w:r>
                        <w:rPr/>
                        <w:t>operaciones</w:t>
                      </w:r>
                      <w:r>
                        <w:rPr>
                          <w:spacing w:val="-11"/>
                        </w:rPr>
                        <w:t> </w:t>
                      </w:r>
                      <w:r>
                        <w:rPr/>
                        <w:t>y</w:t>
                      </w:r>
                      <w:r>
                        <w:rPr>
                          <w:spacing w:val="-13"/>
                        </w:rPr>
                        <w:t> </w:t>
                      </w:r>
                      <w:r>
                        <w:rPr/>
                        <w:t>el</w:t>
                      </w:r>
                      <w:r>
                        <w:rPr>
                          <w:spacing w:val="-12"/>
                        </w:rPr>
                        <w:t> </w:t>
                      </w:r>
                      <w:r>
                        <w:rPr/>
                        <w:t>modelo</w:t>
                      </w:r>
                      <w:r>
                        <w:rPr>
                          <w:spacing w:val="-12"/>
                        </w:rPr>
                        <w:t> </w:t>
                      </w:r>
                      <w:r>
                        <w:rPr/>
                        <w:t>de</w:t>
                      </w:r>
                      <w:r>
                        <w:rPr>
                          <w:spacing w:val="-13"/>
                        </w:rPr>
                        <w:t> </w:t>
                      </w:r>
                      <w:r>
                        <w:rPr/>
                        <w:t>gestión</w:t>
                      </w:r>
                      <w:r>
                        <w:rPr>
                          <w:spacing w:val="-14"/>
                        </w:rPr>
                        <w:t> </w:t>
                      </w:r>
                      <w:r>
                        <w:rPr/>
                        <w:t>financiera</w:t>
                      </w:r>
                      <w:r>
                        <w:rPr>
                          <w:spacing w:val="-12"/>
                        </w:rPr>
                        <w:t> </w:t>
                      </w:r>
                      <w:r>
                        <w:rPr/>
                        <w:t>institucional,</w:t>
                      </w:r>
                      <w:r>
                        <w:rPr>
                          <w:spacing w:val="-12"/>
                        </w:rPr>
                        <w:t> </w:t>
                      </w:r>
                      <w:r>
                        <w:rPr/>
                        <w:t>así</w:t>
                      </w:r>
                      <w:r>
                        <w:rPr>
                          <w:spacing w:val="-12"/>
                        </w:rPr>
                        <w:t> </w:t>
                      </w:r>
                      <w:r>
                        <w:rPr/>
                        <w:t>como el alcance y clasificación de los instrumentos disponibles.</w:t>
                      </w:r>
                    </w:p>
                    <w:p>
                      <w:pPr>
                        <w:pStyle w:val="BodyText"/>
                        <w:spacing w:line="259" w:lineRule="auto" w:before="120"/>
                        <w:ind w:left="103" w:right="102"/>
                        <w:jc w:val="both"/>
                      </w:pPr>
                      <w:r>
                        <w:rPr/>
                        <w:t>Como resultado de dicha evaluación, al cierre del período sobre el que se informa, la entidad no mantiene activos ni pasivos financieros medidos a valor razonable con cambios en el resultado, ni realiza operaciones de negociación, ni mantiene instrumentos financieros derivados o instrumentos financieros complejos que requieran su clasificación bajo esta categoría.</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2304">
                <wp:simplePos x="0" y="0"/>
                <wp:positionH relativeFrom="page">
                  <wp:posOffset>9525</wp:posOffset>
                </wp:positionH>
                <wp:positionV relativeFrom="page">
                  <wp:posOffset>297208</wp:posOffset>
                </wp:positionV>
                <wp:extent cx="7762875" cy="9748520"/>
                <wp:effectExtent l="0" t="0" r="0" b="0"/>
                <wp:wrapNone/>
                <wp:docPr id="1174" name="Group 1174"/>
                <wp:cNvGraphicFramePr>
                  <a:graphicFrameLocks/>
                </wp:cNvGraphicFramePr>
                <a:graphic>
                  <a:graphicData uri="http://schemas.microsoft.com/office/word/2010/wordprocessingGroup">
                    <wpg:wgp>
                      <wpg:cNvPr id="1174" name="Group 1174"/>
                      <wpg:cNvGrpSpPr/>
                      <wpg:grpSpPr>
                        <a:xfrm>
                          <a:off x="0" y="0"/>
                          <a:ext cx="7762875" cy="9748520"/>
                          <a:chExt cx="7762875" cy="9748520"/>
                        </a:xfrm>
                      </wpg:grpSpPr>
                      <pic:pic>
                        <pic:nvPicPr>
                          <pic:cNvPr id="1175" name="Image 1175"/>
                          <pic:cNvPicPr/>
                        </pic:nvPicPr>
                        <pic:blipFill>
                          <a:blip r:embed="rId5" cstate="print"/>
                          <a:stretch>
                            <a:fillRect/>
                          </a:stretch>
                        </pic:blipFill>
                        <pic:spPr>
                          <a:xfrm>
                            <a:off x="0" y="0"/>
                            <a:ext cx="7762874" cy="9748489"/>
                          </a:xfrm>
                          <a:prstGeom prst="rect">
                            <a:avLst/>
                          </a:prstGeom>
                        </pic:spPr>
                      </pic:pic>
                      <wps:wsp>
                        <wps:cNvPr id="1176" name="Graphic 1176"/>
                        <wps:cNvSpPr/>
                        <wps:spPr>
                          <a:xfrm>
                            <a:off x="1053007" y="990837"/>
                            <a:ext cx="5736590" cy="7731125"/>
                          </a:xfrm>
                          <a:custGeom>
                            <a:avLst/>
                            <a:gdLst/>
                            <a:ahLst/>
                            <a:cxnLst/>
                            <a:rect l="l" t="t" r="r" b="b"/>
                            <a:pathLst>
                              <a:path w="5736590" h="7731125">
                                <a:moveTo>
                                  <a:pt x="5649214" y="0"/>
                                </a:moveTo>
                                <a:lnTo>
                                  <a:pt x="0" y="0"/>
                                </a:lnTo>
                                <a:lnTo>
                                  <a:pt x="0" y="9131"/>
                                </a:lnTo>
                                <a:lnTo>
                                  <a:pt x="5649214" y="9131"/>
                                </a:lnTo>
                                <a:lnTo>
                                  <a:pt x="5649214" y="0"/>
                                </a:lnTo>
                                <a:close/>
                              </a:path>
                              <a:path w="5736590" h="7731125">
                                <a:moveTo>
                                  <a:pt x="5736018" y="7724597"/>
                                </a:moveTo>
                                <a:lnTo>
                                  <a:pt x="5729986" y="7724597"/>
                                </a:lnTo>
                                <a:lnTo>
                                  <a:pt x="21336" y="7724597"/>
                                </a:lnTo>
                                <a:lnTo>
                                  <a:pt x="15240" y="7724597"/>
                                </a:lnTo>
                                <a:lnTo>
                                  <a:pt x="15240" y="7730680"/>
                                </a:lnTo>
                                <a:lnTo>
                                  <a:pt x="21336" y="7730680"/>
                                </a:lnTo>
                                <a:lnTo>
                                  <a:pt x="5729935" y="7730680"/>
                                </a:lnTo>
                                <a:lnTo>
                                  <a:pt x="5736018" y="7730680"/>
                                </a:lnTo>
                                <a:lnTo>
                                  <a:pt x="5736018" y="7724597"/>
                                </a:lnTo>
                                <a:close/>
                              </a:path>
                              <a:path w="5736590" h="7731125">
                                <a:moveTo>
                                  <a:pt x="5736018" y="2030336"/>
                                </a:moveTo>
                                <a:lnTo>
                                  <a:pt x="5729986" y="2030336"/>
                                </a:lnTo>
                                <a:lnTo>
                                  <a:pt x="21336" y="2030336"/>
                                </a:lnTo>
                                <a:lnTo>
                                  <a:pt x="15240" y="2030336"/>
                                </a:lnTo>
                                <a:lnTo>
                                  <a:pt x="15240" y="2036394"/>
                                </a:lnTo>
                                <a:lnTo>
                                  <a:pt x="15240" y="7724584"/>
                                </a:lnTo>
                                <a:lnTo>
                                  <a:pt x="21336" y="7724584"/>
                                </a:lnTo>
                                <a:lnTo>
                                  <a:pt x="21336" y="2036432"/>
                                </a:lnTo>
                                <a:lnTo>
                                  <a:pt x="5729935" y="2036432"/>
                                </a:lnTo>
                                <a:lnTo>
                                  <a:pt x="5729935" y="7724584"/>
                                </a:lnTo>
                                <a:lnTo>
                                  <a:pt x="5736018" y="7724584"/>
                                </a:lnTo>
                                <a:lnTo>
                                  <a:pt x="5736018" y="2036432"/>
                                </a:lnTo>
                                <a:lnTo>
                                  <a:pt x="5736018" y="20303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4176" id="docshapegroup1118" coordorigin="15,468" coordsize="12225,15352">
                <v:shape style="position:absolute;left:15;top:468;width:12225;height:15352" type="#_x0000_t75" id="docshape1119" stroked="false">
                  <v:imagedata r:id="rId5" o:title=""/>
                </v:shape>
                <v:shape style="position:absolute;left:1673;top:2028;width:9034;height:12175" id="docshape1120" coordorigin="1673,2028" coordsize="9034,12175" path="m10570,2028l1673,2028,1673,2043,10570,2043,10570,2028xm10706,14193l10697,14193,10697,14193,1707,14193,1697,14193,1697,14203,1707,14203,10697,14203,10697,14203,10706,14203,10706,14193xm10706,5226l10697,5226,10697,5226,1707,5226,1697,5226,1697,5235,1697,5235,1697,14193,1707,14193,1707,5235,10697,5235,10697,14193,10706,14193,10706,5235,10706,5235,10706,5226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229</w:t>
      </w:r>
    </w:p>
    <w:p>
      <w:pPr>
        <w:pStyle w:val="BodyText"/>
        <w:spacing w:before="219"/>
      </w:pPr>
    </w:p>
    <w:p>
      <w:pPr>
        <w:pStyle w:val="ListParagraph"/>
        <w:numPr>
          <w:ilvl w:val="1"/>
          <w:numId w:val="98"/>
        </w:numPr>
        <w:tabs>
          <w:tab w:pos="1341" w:val="left" w:leader="none"/>
        </w:tabs>
        <w:spacing w:line="240" w:lineRule="auto" w:before="0" w:after="0"/>
        <w:ind w:left="1341" w:right="0" w:hanging="360"/>
        <w:jc w:val="left"/>
        <w:rPr>
          <w:sz w:val="22"/>
        </w:rPr>
      </w:pPr>
      <w:r>
        <w:rPr>
          <w:sz w:val="22"/>
          <w:u w:val="single"/>
        </w:rPr>
        <w:t>Reclasificación</w:t>
      </w:r>
      <w:r>
        <w:rPr>
          <w:spacing w:val="-6"/>
          <w:sz w:val="22"/>
          <w:u w:val="single"/>
        </w:rPr>
        <w:t> </w:t>
      </w:r>
      <w:r>
        <w:rPr>
          <w:sz w:val="22"/>
          <w:u w:val="single"/>
        </w:rPr>
        <w:t>(párrafo</w:t>
      </w:r>
      <w:r>
        <w:rPr>
          <w:spacing w:val="-5"/>
          <w:sz w:val="22"/>
          <w:u w:val="single"/>
        </w:rPr>
        <w:t> </w:t>
      </w:r>
      <w:r>
        <w:rPr>
          <w:sz w:val="22"/>
          <w:u w:val="single"/>
        </w:rPr>
        <w:t>15</w:t>
      </w:r>
      <w:r>
        <w:rPr>
          <w:spacing w:val="-8"/>
          <w:sz w:val="22"/>
          <w:u w:val="single"/>
        </w:rPr>
        <w:t> </w:t>
      </w:r>
      <w:r>
        <w:rPr>
          <w:spacing w:val="-5"/>
          <w:sz w:val="22"/>
          <w:u w:val="single"/>
        </w:rPr>
        <w:t>16)</w:t>
      </w:r>
    </w:p>
    <w:p>
      <w:pPr>
        <w:pStyle w:val="BodyText"/>
        <w:spacing w:before="31"/>
        <w:rPr>
          <w:sz w:val="20"/>
        </w:rPr>
      </w:pPr>
      <w:r>
        <w:rPr>
          <w:sz w:val="20"/>
        </w:rPr>
        <mc:AlternateContent>
          <mc:Choice Requires="wps">
            <w:drawing>
              <wp:anchor distT="0" distB="0" distL="0" distR="0" allowOverlap="1" layoutInCell="1" locked="0" behindDoc="1" simplePos="0" relativeHeight="487824896">
                <wp:simplePos x="0" y="0"/>
                <wp:positionH relativeFrom="page">
                  <wp:posOffset>1080820</wp:posOffset>
                </wp:positionH>
                <wp:positionV relativeFrom="paragraph">
                  <wp:posOffset>183261</wp:posOffset>
                </wp:positionV>
                <wp:extent cx="5715000" cy="897890"/>
                <wp:effectExtent l="0" t="0" r="0" b="0"/>
                <wp:wrapTopAndBottom/>
                <wp:docPr id="1177" name="Textbox 1177"/>
                <wp:cNvGraphicFramePr>
                  <a:graphicFrameLocks/>
                </wp:cNvGraphicFramePr>
                <a:graphic>
                  <a:graphicData uri="http://schemas.microsoft.com/office/word/2010/wordprocessingShape">
                    <wps:wsp>
                      <wps:cNvPr id="1177" name="Textbox 1177"/>
                      <wps:cNvSpPr txBox="1"/>
                      <wps:spPr>
                        <a:xfrm>
                          <a:off x="0" y="0"/>
                          <a:ext cx="5715000" cy="8978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00"/>
                              <w:jc w:val="both"/>
                            </w:pPr>
                            <w:r>
                              <w:rPr/>
                              <w:t>Durante</w:t>
                            </w:r>
                            <w:r>
                              <w:rPr>
                                <w:spacing w:val="-14"/>
                              </w:rPr>
                              <w:t> </w:t>
                            </w:r>
                            <w:r>
                              <w:rPr/>
                              <w:t>el</w:t>
                            </w:r>
                            <w:r>
                              <w:rPr>
                                <w:spacing w:val="-14"/>
                              </w:rPr>
                              <w:t> </w:t>
                            </w:r>
                            <w:r>
                              <w:rPr/>
                              <w:t>período</w:t>
                            </w:r>
                            <w:r>
                              <w:rPr>
                                <w:spacing w:val="-14"/>
                              </w:rPr>
                              <w:t> </w:t>
                            </w:r>
                            <w:r>
                              <w:rPr/>
                              <w:t>sobre</w:t>
                            </w:r>
                            <w:r>
                              <w:rPr>
                                <w:spacing w:val="-13"/>
                              </w:rPr>
                              <w:t> </w:t>
                            </w:r>
                            <w:r>
                              <w:rPr/>
                              <w:t>el</w:t>
                            </w:r>
                            <w:r>
                              <w:rPr>
                                <w:spacing w:val="-14"/>
                              </w:rPr>
                              <w:t> </w:t>
                            </w:r>
                            <w:r>
                              <w:rPr/>
                              <w:t>que</w:t>
                            </w:r>
                            <w:r>
                              <w:rPr>
                                <w:spacing w:val="-14"/>
                              </w:rPr>
                              <w:t> </w:t>
                            </w:r>
                            <w:r>
                              <w:rPr/>
                              <w:t>se</w:t>
                            </w:r>
                            <w:r>
                              <w:rPr>
                                <w:spacing w:val="-14"/>
                              </w:rPr>
                              <w:t> </w:t>
                            </w:r>
                            <w:r>
                              <w:rPr/>
                              <w:t>informa,</w:t>
                            </w:r>
                            <w:r>
                              <w:rPr>
                                <w:spacing w:val="-13"/>
                              </w:rPr>
                              <w:t> </w:t>
                            </w:r>
                            <w:r>
                              <w:rPr/>
                              <w:t>el</w:t>
                            </w:r>
                            <w:r>
                              <w:rPr>
                                <w:spacing w:val="-14"/>
                              </w:rPr>
                              <w:t> </w:t>
                            </w:r>
                            <w:r>
                              <w:rPr/>
                              <w:t>IMAS</w:t>
                            </w:r>
                            <w:r>
                              <w:rPr>
                                <w:spacing w:val="-14"/>
                              </w:rPr>
                              <w:t> </w:t>
                            </w:r>
                            <w:r>
                              <w:rPr/>
                              <w:t>no</w:t>
                            </w:r>
                            <w:r>
                              <w:rPr>
                                <w:spacing w:val="-14"/>
                              </w:rPr>
                              <w:t> </w:t>
                            </w:r>
                            <w:r>
                              <w:rPr/>
                              <w:t>ha</w:t>
                            </w:r>
                            <w:r>
                              <w:rPr>
                                <w:spacing w:val="-13"/>
                              </w:rPr>
                              <w:t> </w:t>
                            </w:r>
                            <w:r>
                              <w:rPr/>
                              <w:t>efectuado</w:t>
                            </w:r>
                            <w:r>
                              <w:rPr>
                                <w:spacing w:val="-14"/>
                              </w:rPr>
                              <w:t> </w:t>
                            </w:r>
                            <w:r>
                              <w:rPr/>
                              <w:t>reclasificaciones</w:t>
                            </w:r>
                            <w:r>
                              <w:rPr>
                                <w:spacing w:val="-14"/>
                              </w:rPr>
                              <w:t> </w:t>
                            </w:r>
                            <w:r>
                              <w:rPr/>
                              <w:t>de</w:t>
                            </w:r>
                            <w:r>
                              <w:rPr>
                                <w:spacing w:val="-14"/>
                              </w:rPr>
                              <w:t> </w:t>
                            </w:r>
                            <w:r>
                              <w:rPr/>
                              <w:t>instrumentos financieros, dado que no se han producido cambios en su modelo de gestión ni en la forma en que administra o utiliza sus activos y pasivos financieros.</w:t>
                            </w:r>
                          </w:p>
                        </w:txbxContent>
                      </wps:txbx>
                      <wps:bodyPr wrap="square" lIns="0" tIns="0" rIns="0" bIns="0" rtlCol="0">
                        <a:noAutofit/>
                      </wps:bodyPr>
                    </wps:wsp>
                  </a:graphicData>
                </a:graphic>
              </wp:anchor>
            </w:drawing>
          </mc:Choice>
          <mc:Fallback>
            <w:pict>
              <v:shape style="position:absolute;margin-left:85.103996pt;margin-top:14.43pt;width:450pt;height:70.7pt;mso-position-horizontal-relative:page;mso-position-vertical-relative:paragraph;z-index:-15491584;mso-wrap-distance-left:0;mso-wrap-distance-right:0" type="#_x0000_t202" id="docshape1121"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00"/>
                        <w:jc w:val="both"/>
                      </w:pPr>
                      <w:r>
                        <w:rPr/>
                        <w:t>Durante</w:t>
                      </w:r>
                      <w:r>
                        <w:rPr>
                          <w:spacing w:val="-14"/>
                        </w:rPr>
                        <w:t> </w:t>
                      </w:r>
                      <w:r>
                        <w:rPr/>
                        <w:t>el</w:t>
                      </w:r>
                      <w:r>
                        <w:rPr>
                          <w:spacing w:val="-14"/>
                        </w:rPr>
                        <w:t> </w:t>
                      </w:r>
                      <w:r>
                        <w:rPr/>
                        <w:t>período</w:t>
                      </w:r>
                      <w:r>
                        <w:rPr>
                          <w:spacing w:val="-14"/>
                        </w:rPr>
                        <w:t> </w:t>
                      </w:r>
                      <w:r>
                        <w:rPr/>
                        <w:t>sobre</w:t>
                      </w:r>
                      <w:r>
                        <w:rPr>
                          <w:spacing w:val="-13"/>
                        </w:rPr>
                        <w:t> </w:t>
                      </w:r>
                      <w:r>
                        <w:rPr/>
                        <w:t>el</w:t>
                      </w:r>
                      <w:r>
                        <w:rPr>
                          <w:spacing w:val="-14"/>
                        </w:rPr>
                        <w:t> </w:t>
                      </w:r>
                      <w:r>
                        <w:rPr/>
                        <w:t>que</w:t>
                      </w:r>
                      <w:r>
                        <w:rPr>
                          <w:spacing w:val="-14"/>
                        </w:rPr>
                        <w:t> </w:t>
                      </w:r>
                      <w:r>
                        <w:rPr/>
                        <w:t>se</w:t>
                      </w:r>
                      <w:r>
                        <w:rPr>
                          <w:spacing w:val="-14"/>
                        </w:rPr>
                        <w:t> </w:t>
                      </w:r>
                      <w:r>
                        <w:rPr/>
                        <w:t>informa,</w:t>
                      </w:r>
                      <w:r>
                        <w:rPr>
                          <w:spacing w:val="-13"/>
                        </w:rPr>
                        <w:t> </w:t>
                      </w:r>
                      <w:r>
                        <w:rPr/>
                        <w:t>el</w:t>
                      </w:r>
                      <w:r>
                        <w:rPr>
                          <w:spacing w:val="-14"/>
                        </w:rPr>
                        <w:t> </w:t>
                      </w:r>
                      <w:r>
                        <w:rPr/>
                        <w:t>IMAS</w:t>
                      </w:r>
                      <w:r>
                        <w:rPr>
                          <w:spacing w:val="-14"/>
                        </w:rPr>
                        <w:t> </w:t>
                      </w:r>
                      <w:r>
                        <w:rPr/>
                        <w:t>no</w:t>
                      </w:r>
                      <w:r>
                        <w:rPr>
                          <w:spacing w:val="-14"/>
                        </w:rPr>
                        <w:t> </w:t>
                      </w:r>
                      <w:r>
                        <w:rPr/>
                        <w:t>ha</w:t>
                      </w:r>
                      <w:r>
                        <w:rPr>
                          <w:spacing w:val="-13"/>
                        </w:rPr>
                        <w:t> </w:t>
                      </w:r>
                      <w:r>
                        <w:rPr/>
                        <w:t>efectuado</w:t>
                      </w:r>
                      <w:r>
                        <w:rPr>
                          <w:spacing w:val="-14"/>
                        </w:rPr>
                        <w:t> </w:t>
                      </w:r>
                      <w:r>
                        <w:rPr/>
                        <w:t>reclasificaciones</w:t>
                      </w:r>
                      <w:r>
                        <w:rPr>
                          <w:spacing w:val="-14"/>
                        </w:rPr>
                        <w:t> </w:t>
                      </w:r>
                      <w:r>
                        <w:rPr/>
                        <w:t>de</w:t>
                      </w:r>
                      <w:r>
                        <w:rPr>
                          <w:spacing w:val="-14"/>
                        </w:rPr>
                        <w:t> </w:t>
                      </w:r>
                      <w:r>
                        <w:rPr/>
                        <w:t>instrumentos financieros, dado que no se han producido cambios en su modelo de gestión ni en la forma en que administra o utiliza sus activos y pasivos financieros.</w:t>
                      </w:r>
                    </w:p>
                  </w:txbxContent>
                </v:textbox>
                <v:stroke dashstyle="solid"/>
                <w10:wrap type="topAndBottom"/>
              </v:shape>
            </w:pict>
          </mc:Fallback>
        </mc:AlternateContent>
      </w:r>
    </w:p>
    <w:p>
      <w:pPr>
        <w:pStyle w:val="BodyText"/>
        <w:spacing w:before="6"/>
      </w:pPr>
    </w:p>
    <w:p>
      <w:pPr>
        <w:pStyle w:val="ListParagraph"/>
        <w:numPr>
          <w:ilvl w:val="1"/>
          <w:numId w:val="98"/>
        </w:numPr>
        <w:tabs>
          <w:tab w:pos="1340" w:val="left" w:leader="none"/>
        </w:tabs>
        <w:spacing w:line="240" w:lineRule="auto" w:before="0" w:after="0"/>
        <w:ind w:left="1340" w:right="0" w:hanging="359"/>
        <w:jc w:val="left"/>
        <w:rPr>
          <w:sz w:val="22"/>
        </w:rPr>
      </w:pPr>
      <w:r>
        <w:rPr>
          <w:sz w:val="22"/>
          <w:u w:val="single"/>
        </w:rPr>
        <w:t>Bajas</w:t>
      </w:r>
      <w:r>
        <w:rPr>
          <w:spacing w:val="-4"/>
          <w:sz w:val="22"/>
          <w:u w:val="single"/>
        </w:rPr>
        <w:t> </w:t>
      </w:r>
      <w:r>
        <w:rPr>
          <w:sz w:val="22"/>
          <w:u w:val="single"/>
        </w:rPr>
        <w:t>en</w:t>
      </w:r>
      <w:r>
        <w:rPr>
          <w:spacing w:val="-3"/>
          <w:sz w:val="22"/>
          <w:u w:val="single"/>
        </w:rPr>
        <w:t> </w:t>
      </w:r>
      <w:r>
        <w:rPr>
          <w:sz w:val="22"/>
          <w:u w:val="single"/>
        </w:rPr>
        <w:t>cuentas</w:t>
      </w:r>
      <w:r>
        <w:rPr>
          <w:spacing w:val="-4"/>
          <w:sz w:val="22"/>
          <w:u w:val="single"/>
        </w:rPr>
        <w:t> </w:t>
      </w:r>
      <w:r>
        <w:rPr>
          <w:sz w:val="22"/>
          <w:u w:val="single"/>
        </w:rPr>
        <w:t>(párrafo</w:t>
      </w:r>
      <w:r>
        <w:rPr>
          <w:spacing w:val="-3"/>
          <w:sz w:val="22"/>
          <w:u w:val="single"/>
        </w:rPr>
        <w:t> </w:t>
      </w:r>
      <w:r>
        <w:rPr>
          <w:spacing w:val="-5"/>
          <w:sz w:val="22"/>
          <w:u w:val="single"/>
        </w:rPr>
        <w:t>17)</w:t>
      </w:r>
    </w:p>
    <w:p>
      <w:pPr>
        <w:pStyle w:val="BodyText"/>
        <w:spacing w:before="46"/>
      </w:pPr>
    </w:p>
    <w:p>
      <w:pPr>
        <w:pStyle w:val="Heading6"/>
        <w:ind w:left="730"/>
        <w:rPr>
          <w:b w:val="0"/>
        </w:rPr>
      </w:pPr>
      <w:r>
        <w:rPr>
          <w:color w:val="1F4E79"/>
          <w:spacing w:val="-2"/>
          <w:u w:val="single" w:color="1F4E79"/>
        </w:rPr>
        <w:t>Revelación</w:t>
      </w:r>
      <w:r>
        <w:rPr>
          <w:b w:val="0"/>
          <w:spacing w:val="-2"/>
          <w:u w:val="none"/>
        </w:rPr>
        <w:t>:</w:t>
      </w:r>
    </w:p>
    <w:p>
      <w:pPr>
        <w:pStyle w:val="BodyText"/>
        <w:spacing w:line="276" w:lineRule="auto" w:before="179"/>
        <w:ind w:left="730" w:right="921"/>
        <w:jc w:val="both"/>
      </w:pPr>
      <w:r>
        <w:rPr/>
        <w:t>De conformidad con lo establecido en el párrafo 17 de la NICSP 29 – Instrumentos Financieros: Reconocimiento y Medición, una entidad debe dar de baja un activo o pasivo financiero cuando, y solo cuando, expiren o se transfieran sustancialmente los derechos contractuales sobre los flujos de efectivo del activo, o cuando se extingan las obligaciones contractuales asociadas al pasivo financiero.</w:t>
      </w:r>
    </w:p>
    <w:p>
      <w:pPr>
        <w:pStyle w:val="BodyText"/>
        <w:spacing w:before="37"/>
      </w:pPr>
    </w:p>
    <w:p>
      <w:pPr>
        <w:pStyle w:val="BodyText"/>
        <w:spacing w:line="276" w:lineRule="auto"/>
        <w:ind w:left="730" w:right="927"/>
        <w:jc w:val="both"/>
      </w:pPr>
      <w:r>
        <w:rPr/>
        <w:t>Durante el periodo sobre el que se informa, el IMAS realizó bajas en cuentas de activos y pasivos financieros únicamente</w:t>
      </w:r>
      <w:r>
        <w:rPr>
          <w:spacing w:val="-1"/>
        </w:rPr>
        <w:t> </w:t>
      </w:r>
      <w:r>
        <w:rPr/>
        <w:t>en aquellos casos en</w:t>
      </w:r>
      <w:r>
        <w:rPr>
          <w:spacing w:val="-2"/>
        </w:rPr>
        <w:t> </w:t>
      </w:r>
      <w:r>
        <w:rPr/>
        <w:t>que</w:t>
      </w:r>
      <w:r>
        <w:rPr>
          <w:spacing w:val="-1"/>
        </w:rPr>
        <w:t> </w:t>
      </w:r>
      <w:r>
        <w:rPr/>
        <w:t>se</w:t>
      </w:r>
      <w:r>
        <w:rPr>
          <w:spacing w:val="-1"/>
        </w:rPr>
        <w:t> </w:t>
      </w:r>
      <w:r>
        <w:rPr/>
        <w:t>cumplió plenamente</w:t>
      </w:r>
      <w:r>
        <w:rPr>
          <w:spacing w:val="-1"/>
        </w:rPr>
        <w:t> </w:t>
      </w:r>
      <w:r>
        <w:rPr/>
        <w:t>con los criterios normativos para su eliminación del estado de situación financiera, principalmente por:</w:t>
      </w:r>
    </w:p>
    <w:p>
      <w:pPr>
        <w:pStyle w:val="BodyText"/>
        <w:spacing w:before="38"/>
      </w:pPr>
    </w:p>
    <w:p>
      <w:pPr>
        <w:pStyle w:val="ListParagraph"/>
        <w:numPr>
          <w:ilvl w:val="2"/>
          <w:numId w:val="98"/>
        </w:numPr>
        <w:tabs>
          <w:tab w:pos="1450" w:val="left" w:leader="none"/>
        </w:tabs>
        <w:spacing w:line="273" w:lineRule="auto" w:before="0" w:after="0"/>
        <w:ind w:left="1450" w:right="928" w:hanging="360"/>
        <w:jc w:val="both"/>
        <w:rPr>
          <w:sz w:val="22"/>
        </w:rPr>
      </w:pPr>
      <w:r>
        <w:rPr>
          <w:sz w:val="22"/>
        </w:rPr>
        <w:t>extinción de</w:t>
      </w:r>
      <w:r>
        <w:rPr>
          <w:spacing w:val="-3"/>
          <w:sz w:val="22"/>
        </w:rPr>
        <w:t> </w:t>
      </w:r>
      <w:r>
        <w:rPr>
          <w:sz w:val="22"/>
        </w:rPr>
        <w:t>obligaciones financieras como resultado del pago efectivo a</w:t>
      </w:r>
      <w:r>
        <w:rPr>
          <w:spacing w:val="-2"/>
          <w:sz w:val="22"/>
        </w:rPr>
        <w:t> </w:t>
      </w:r>
      <w:r>
        <w:rPr>
          <w:sz w:val="22"/>
        </w:rPr>
        <w:t>proveedores y otros acreedores; y</w:t>
      </w:r>
    </w:p>
    <w:p>
      <w:pPr>
        <w:pStyle w:val="ListParagraph"/>
        <w:numPr>
          <w:ilvl w:val="2"/>
          <w:numId w:val="98"/>
        </w:numPr>
        <w:tabs>
          <w:tab w:pos="1450" w:val="left" w:leader="none"/>
        </w:tabs>
        <w:spacing w:line="276" w:lineRule="auto" w:before="6" w:after="0"/>
        <w:ind w:left="1450" w:right="926" w:hanging="360"/>
        <w:jc w:val="both"/>
        <w:rPr>
          <w:sz w:val="22"/>
        </w:rPr>
      </w:pPr>
      <w:r>
        <w:rPr>
          <w:sz w:val="22"/>
        </w:rPr>
        <w:t>cancelación</w:t>
      </w:r>
      <w:r>
        <w:rPr>
          <w:spacing w:val="-4"/>
          <w:sz w:val="22"/>
        </w:rPr>
        <w:t> </w:t>
      </w:r>
      <w:r>
        <w:rPr>
          <w:sz w:val="22"/>
        </w:rPr>
        <w:t>de</w:t>
      </w:r>
      <w:r>
        <w:rPr>
          <w:spacing w:val="-6"/>
          <w:sz w:val="22"/>
        </w:rPr>
        <w:t> </w:t>
      </w:r>
      <w:r>
        <w:rPr>
          <w:sz w:val="22"/>
        </w:rPr>
        <w:t>derechos</w:t>
      </w:r>
      <w:r>
        <w:rPr>
          <w:spacing w:val="-4"/>
          <w:sz w:val="22"/>
        </w:rPr>
        <w:t> </w:t>
      </w:r>
      <w:r>
        <w:rPr>
          <w:sz w:val="22"/>
        </w:rPr>
        <w:t>de</w:t>
      </w:r>
      <w:r>
        <w:rPr>
          <w:spacing w:val="-6"/>
          <w:sz w:val="22"/>
        </w:rPr>
        <w:t> </w:t>
      </w:r>
      <w:r>
        <w:rPr>
          <w:sz w:val="22"/>
        </w:rPr>
        <w:t>cobro</w:t>
      </w:r>
      <w:r>
        <w:rPr>
          <w:spacing w:val="-4"/>
          <w:sz w:val="22"/>
        </w:rPr>
        <w:t> </w:t>
      </w:r>
      <w:r>
        <w:rPr>
          <w:sz w:val="22"/>
        </w:rPr>
        <w:t>cuando</w:t>
      </w:r>
      <w:r>
        <w:rPr>
          <w:spacing w:val="-6"/>
          <w:sz w:val="22"/>
        </w:rPr>
        <w:t> </w:t>
      </w:r>
      <w:r>
        <w:rPr>
          <w:sz w:val="22"/>
        </w:rPr>
        <w:t>se</w:t>
      </w:r>
      <w:r>
        <w:rPr>
          <w:spacing w:val="-6"/>
          <w:sz w:val="22"/>
        </w:rPr>
        <w:t> </w:t>
      </w:r>
      <w:r>
        <w:rPr>
          <w:sz w:val="22"/>
        </w:rPr>
        <w:t>produjo</w:t>
      </w:r>
      <w:r>
        <w:rPr>
          <w:spacing w:val="-4"/>
          <w:sz w:val="22"/>
        </w:rPr>
        <w:t> </w:t>
      </w:r>
      <w:r>
        <w:rPr>
          <w:sz w:val="22"/>
        </w:rPr>
        <w:t>el</w:t>
      </w:r>
      <w:r>
        <w:rPr>
          <w:spacing w:val="-8"/>
          <w:sz w:val="22"/>
        </w:rPr>
        <w:t> </w:t>
      </w:r>
      <w:r>
        <w:rPr>
          <w:sz w:val="22"/>
        </w:rPr>
        <w:t>cobro</w:t>
      </w:r>
      <w:r>
        <w:rPr>
          <w:spacing w:val="-4"/>
          <w:sz w:val="22"/>
        </w:rPr>
        <w:t> </w:t>
      </w:r>
      <w:r>
        <w:rPr>
          <w:sz w:val="22"/>
        </w:rPr>
        <w:t>efectivo</w:t>
      </w:r>
      <w:r>
        <w:rPr>
          <w:spacing w:val="-7"/>
          <w:sz w:val="22"/>
        </w:rPr>
        <w:t> </w:t>
      </w:r>
      <w:r>
        <w:rPr>
          <w:sz w:val="22"/>
        </w:rPr>
        <w:t>o</w:t>
      </w:r>
      <w:r>
        <w:rPr>
          <w:spacing w:val="-4"/>
          <w:sz w:val="22"/>
        </w:rPr>
        <w:t> </w:t>
      </w:r>
      <w:r>
        <w:rPr>
          <w:sz w:val="22"/>
        </w:rPr>
        <w:t>cuando,</w:t>
      </w:r>
      <w:r>
        <w:rPr>
          <w:spacing w:val="-5"/>
          <w:sz w:val="22"/>
        </w:rPr>
        <w:t> </w:t>
      </w:r>
      <w:r>
        <w:rPr>
          <w:sz w:val="22"/>
        </w:rPr>
        <w:t>conforme</w:t>
      </w:r>
      <w:r>
        <w:rPr>
          <w:spacing w:val="-6"/>
          <w:sz w:val="22"/>
        </w:rPr>
        <w:t> </w:t>
      </w:r>
      <w:r>
        <w:rPr>
          <w:sz w:val="22"/>
        </w:rPr>
        <w:t>a análisis</w:t>
      </w:r>
      <w:r>
        <w:rPr>
          <w:spacing w:val="-7"/>
          <w:sz w:val="22"/>
        </w:rPr>
        <w:t> </w:t>
      </w:r>
      <w:r>
        <w:rPr>
          <w:sz w:val="22"/>
        </w:rPr>
        <w:t>técnicos</w:t>
      </w:r>
      <w:r>
        <w:rPr>
          <w:spacing w:val="-7"/>
          <w:sz w:val="22"/>
        </w:rPr>
        <w:t> </w:t>
      </w:r>
      <w:r>
        <w:rPr>
          <w:sz w:val="22"/>
        </w:rPr>
        <w:t>y</w:t>
      </w:r>
      <w:r>
        <w:rPr>
          <w:spacing w:val="-9"/>
          <w:sz w:val="22"/>
        </w:rPr>
        <w:t> </w:t>
      </w:r>
      <w:r>
        <w:rPr>
          <w:sz w:val="22"/>
        </w:rPr>
        <w:t>legales</w:t>
      </w:r>
      <w:r>
        <w:rPr>
          <w:spacing w:val="-7"/>
          <w:sz w:val="22"/>
        </w:rPr>
        <w:t> </w:t>
      </w:r>
      <w:r>
        <w:rPr>
          <w:sz w:val="22"/>
        </w:rPr>
        <w:t>debidamente</w:t>
      </w:r>
      <w:r>
        <w:rPr>
          <w:spacing w:val="-9"/>
          <w:sz w:val="22"/>
        </w:rPr>
        <w:t> </w:t>
      </w:r>
      <w:r>
        <w:rPr>
          <w:sz w:val="22"/>
        </w:rPr>
        <w:t>documentados,</w:t>
      </w:r>
      <w:r>
        <w:rPr>
          <w:spacing w:val="-8"/>
          <w:sz w:val="22"/>
        </w:rPr>
        <w:t> </w:t>
      </w:r>
      <w:r>
        <w:rPr>
          <w:sz w:val="22"/>
        </w:rPr>
        <w:t>se</w:t>
      </w:r>
      <w:r>
        <w:rPr>
          <w:spacing w:val="-9"/>
          <w:sz w:val="22"/>
        </w:rPr>
        <w:t> </w:t>
      </w:r>
      <w:r>
        <w:rPr>
          <w:sz w:val="22"/>
        </w:rPr>
        <w:t>determinó</w:t>
      </w:r>
      <w:r>
        <w:rPr>
          <w:spacing w:val="-8"/>
          <w:sz w:val="22"/>
        </w:rPr>
        <w:t> </w:t>
      </w:r>
      <w:r>
        <w:rPr>
          <w:sz w:val="22"/>
        </w:rPr>
        <w:t>la</w:t>
      </w:r>
      <w:r>
        <w:rPr>
          <w:spacing w:val="-9"/>
          <w:sz w:val="22"/>
        </w:rPr>
        <w:t> </w:t>
      </w:r>
      <w:r>
        <w:rPr>
          <w:sz w:val="22"/>
        </w:rPr>
        <w:t>imposibilidad</w:t>
      </w:r>
      <w:r>
        <w:rPr>
          <w:spacing w:val="-9"/>
          <w:sz w:val="22"/>
        </w:rPr>
        <w:t> </w:t>
      </w:r>
      <w:r>
        <w:rPr>
          <w:sz w:val="22"/>
        </w:rPr>
        <w:t>de</w:t>
      </w:r>
      <w:r>
        <w:rPr>
          <w:spacing w:val="-10"/>
          <w:sz w:val="22"/>
        </w:rPr>
        <w:t> </w:t>
      </w:r>
      <w:r>
        <w:rPr>
          <w:sz w:val="22"/>
        </w:rPr>
        <w:t>recu-</w:t>
      </w:r>
      <w:r>
        <w:rPr>
          <w:spacing w:val="-2"/>
          <w:sz w:val="22"/>
        </w:rPr>
        <w:t>peración.</w:t>
      </w:r>
    </w:p>
    <w:p>
      <w:pPr>
        <w:pStyle w:val="BodyText"/>
        <w:spacing w:before="38"/>
      </w:pPr>
    </w:p>
    <w:p>
      <w:pPr>
        <w:pStyle w:val="BodyText"/>
        <w:spacing w:line="276" w:lineRule="auto"/>
        <w:ind w:left="730" w:right="927"/>
        <w:jc w:val="both"/>
      </w:pPr>
      <w:r>
        <w:rPr/>
        <w:t>Las bajas en cuentas se reconocen al valor en libros del activo o pasivo financiero al momento de su eliminación, y cualquier diferencia entre dicho valor y la contraprestación recibida o entregada se reconoce en el resultado del periodo, conforme a los principios establecidos en la NICSP 29.</w:t>
      </w:r>
    </w:p>
    <w:p>
      <w:pPr>
        <w:pStyle w:val="BodyText"/>
        <w:spacing w:before="38"/>
      </w:pPr>
    </w:p>
    <w:p>
      <w:pPr>
        <w:pStyle w:val="BodyText"/>
        <w:spacing w:line="276" w:lineRule="auto"/>
        <w:ind w:left="730" w:right="925"/>
        <w:jc w:val="both"/>
      </w:pPr>
      <w:r>
        <w:rPr/>
        <w:t>El IMAS no realizó transferencias de activos financieros que impliquen la retención de riesgos y beneficios significativos, ni operaciones de titulización, cesión o venta de derechos financieros que requieran evaluaciones complejas de baja en cuentas. Asimismo, no se identificaron bajas de pasivos financieros distintas a las derivadas de su cancelación ordinaria.</w:t>
      </w:r>
    </w:p>
    <w:p>
      <w:pPr>
        <w:pStyle w:val="BodyText"/>
        <w:spacing w:before="37"/>
      </w:pPr>
    </w:p>
    <w:p>
      <w:pPr>
        <w:pStyle w:val="BodyText"/>
        <w:spacing w:line="276" w:lineRule="auto"/>
        <w:ind w:left="730" w:right="925"/>
        <w:jc w:val="both"/>
      </w:pPr>
      <w:r>
        <w:rPr/>
        <w:t>En consecuencia, las bajas en cuentas efectuadas durante el periodo se encuentran</w:t>
      </w:r>
      <w:r>
        <w:rPr>
          <w:spacing w:val="-2"/>
        </w:rPr>
        <w:t> </w:t>
      </w:r>
      <w:r>
        <w:rPr/>
        <w:t>asociadas al</w:t>
      </w:r>
      <w:r>
        <w:rPr>
          <w:spacing w:val="-1"/>
        </w:rPr>
        <w:t> </w:t>
      </w:r>
      <w:r>
        <w:rPr/>
        <w:t>curso normal</w:t>
      </w:r>
      <w:r>
        <w:rPr>
          <w:spacing w:val="-4"/>
        </w:rPr>
        <w:t> </w:t>
      </w:r>
      <w:r>
        <w:rPr/>
        <w:t>de</w:t>
      </w:r>
      <w:r>
        <w:rPr>
          <w:spacing w:val="-5"/>
        </w:rPr>
        <w:t> </w:t>
      </w:r>
      <w:r>
        <w:rPr/>
        <w:t>las</w:t>
      </w:r>
      <w:r>
        <w:rPr>
          <w:spacing w:val="-6"/>
        </w:rPr>
        <w:t> </w:t>
      </w:r>
      <w:r>
        <w:rPr/>
        <w:t>operaciones</w:t>
      </w:r>
      <w:r>
        <w:rPr>
          <w:spacing w:val="-6"/>
        </w:rPr>
        <w:t> </w:t>
      </w:r>
      <w:r>
        <w:rPr/>
        <w:t>institucionales,</w:t>
      </w:r>
      <w:r>
        <w:rPr>
          <w:spacing w:val="-4"/>
        </w:rPr>
        <w:t> </w:t>
      </w:r>
      <w:r>
        <w:rPr/>
        <w:t>debidamente</w:t>
      </w:r>
      <w:r>
        <w:rPr>
          <w:spacing w:val="-7"/>
        </w:rPr>
        <w:t> </w:t>
      </w:r>
      <w:r>
        <w:rPr/>
        <w:t>respaldadas</w:t>
      </w:r>
      <w:r>
        <w:rPr>
          <w:spacing w:val="-3"/>
        </w:rPr>
        <w:t> </w:t>
      </w:r>
      <w:r>
        <w:rPr/>
        <w:t>por</w:t>
      </w:r>
      <w:r>
        <w:rPr>
          <w:spacing w:val="-4"/>
        </w:rPr>
        <w:t> </w:t>
      </w:r>
      <w:r>
        <w:rPr/>
        <w:t>documentación</w:t>
      </w:r>
      <w:r>
        <w:rPr>
          <w:spacing w:val="-4"/>
        </w:rPr>
        <w:t> </w:t>
      </w:r>
      <w:r>
        <w:rPr/>
        <w:t>contractual</w:t>
      </w:r>
      <w:r>
        <w:rPr>
          <w:spacing w:val="-8"/>
        </w:rPr>
        <w:t> </w:t>
      </w:r>
      <w:r>
        <w:rPr/>
        <w:t>y presupuestaria, y reveladas de manera razonable en los estados financieros, en cumplimiento de los requerimientos de transparencia y suficiencia informativa establecidos por las NICSP.</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4352">
                <wp:simplePos x="0" y="0"/>
                <wp:positionH relativeFrom="page">
                  <wp:posOffset>9525</wp:posOffset>
                </wp:positionH>
                <wp:positionV relativeFrom="page">
                  <wp:posOffset>297208</wp:posOffset>
                </wp:positionV>
                <wp:extent cx="7762875" cy="9748520"/>
                <wp:effectExtent l="0" t="0" r="0" b="0"/>
                <wp:wrapNone/>
                <wp:docPr id="1178" name="Group 1178"/>
                <wp:cNvGraphicFramePr>
                  <a:graphicFrameLocks/>
                </wp:cNvGraphicFramePr>
                <a:graphic>
                  <a:graphicData uri="http://schemas.microsoft.com/office/word/2010/wordprocessingGroup">
                    <wpg:wgp>
                      <wpg:cNvPr id="1178" name="Group 1178"/>
                      <wpg:cNvGrpSpPr/>
                      <wpg:grpSpPr>
                        <a:xfrm>
                          <a:off x="0" y="0"/>
                          <a:ext cx="7762875" cy="9748520"/>
                          <a:chExt cx="7762875" cy="9748520"/>
                        </a:xfrm>
                      </wpg:grpSpPr>
                      <pic:pic>
                        <pic:nvPicPr>
                          <pic:cNvPr id="1179" name="Image 1179"/>
                          <pic:cNvPicPr/>
                        </pic:nvPicPr>
                        <pic:blipFill>
                          <a:blip r:embed="rId5" cstate="print"/>
                          <a:stretch>
                            <a:fillRect/>
                          </a:stretch>
                        </pic:blipFill>
                        <pic:spPr>
                          <a:xfrm>
                            <a:off x="0" y="0"/>
                            <a:ext cx="7762874" cy="9748489"/>
                          </a:xfrm>
                          <a:prstGeom prst="rect">
                            <a:avLst/>
                          </a:prstGeom>
                        </pic:spPr>
                      </pic:pic>
                      <wps:wsp>
                        <wps:cNvPr id="1180" name="Graphic 1180"/>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52128" id="docshapegroup1122" coordorigin="15,468" coordsize="12225,15352">
                <v:shape style="position:absolute;left:15;top:468;width:12225;height:15352" type="#_x0000_t75" id="docshape1123" stroked="false">
                  <v:imagedata r:id="rId5" o:title=""/>
                </v:shape>
                <v:rect style="position:absolute;left:1673;top:2028;width:8897;height:15" id="docshape1124"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230</w:t>
      </w:r>
    </w:p>
    <w:p>
      <w:pPr>
        <w:pStyle w:val="BodyText"/>
      </w:pPr>
    </w:p>
    <w:p>
      <w:pPr>
        <w:pStyle w:val="BodyText"/>
        <w:spacing w:before="217"/>
      </w:pPr>
    </w:p>
    <w:p>
      <w:pPr>
        <w:pStyle w:val="ListParagraph"/>
        <w:numPr>
          <w:ilvl w:val="1"/>
          <w:numId w:val="98"/>
        </w:numPr>
        <w:tabs>
          <w:tab w:pos="1340" w:val="left" w:leader="none"/>
        </w:tabs>
        <w:spacing w:line="240" w:lineRule="auto" w:before="0" w:after="0"/>
        <w:ind w:left="1340" w:right="0" w:hanging="359"/>
        <w:jc w:val="left"/>
        <w:rPr>
          <w:sz w:val="22"/>
        </w:rPr>
      </w:pPr>
      <w:r>
        <w:rPr>
          <w:sz w:val="22"/>
          <w:u w:val="single"/>
        </w:rPr>
        <w:t>Garantías</w:t>
      </w:r>
      <w:r>
        <w:rPr>
          <w:spacing w:val="-4"/>
          <w:sz w:val="22"/>
          <w:u w:val="single"/>
        </w:rPr>
        <w:t> </w:t>
      </w:r>
      <w:r>
        <w:rPr>
          <w:sz w:val="22"/>
          <w:u w:val="single"/>
        </w:rPr>
        <w:t>colaterales</w:t>
      </w:r>
      <w:r>
        <w:rPr>
          <w:spacing w:val="-3"/>
          <w:sz w:val="22"/>
          <w:u w:val="single"/>
        </w:rPr>
        <w:t> </w:t>
      </w:r>
      <w:r>
        <w:rPr>
          <w:sz w:val="22"/>
          <w:u w:val="single"/>
        </w:rPr>
        <w:t>(párrafo</w:t>
      </w:r>
      <w:r>
        <w:rPr>
          <w:spacing w:val="-4"/>
          <w:sz w:val="22"/>
          <w:u w:val="single"/>
        </w:rPr>
        <w:t> </w:t>
      </w:r>
      <w:r>
        <w:rPr>
          <w:sz w:val="22"/>
          <w:u w:val="single"/>
        </w:rPr>
        <w:t>181</w:t>
      </w:r>
      <w:r>
        <w:rPr>
          <w:spacing w:val="-4"/>
          <w:sz w:val="22"/>
          <w:u w:val="single"/>
        </w:rPr>
        <w:t> </w:t>
      </w:r>
      <w:r>
        <w:rPr>
          <w:spacing w:val="-5"/>
          <w:sz w:val="22"/>
          <w:u w:val="single"/>
        </w:rPr>
        <w:t>9)</w:t>
      </w:r>
    </w:p>
    <w:p>
      <w:pPr>
        <w:pStyle w:val="BodyText"/>
        <w:spacing w:before="34"/>
        <w:rPr>
          <w:sz w:val="20"/>
        </w:rPr>
      </w:pPr>
      <w:r>
        <w:rPr>
          <w:sz w:val="20"/>
        </w:rPr>
        <mc:AlternateContent>
          <mc:Choice Requires="wps">
            <w:drawing>
              <wp:anchor distT="0" distB="0" distL="0" distR="0" allowOverlap="1" layoutInCell="1" locked="0" behindDoc="1" simplePos="0" relativeHeight="487825920">
                <wp:simplePos x="0" y="0"/>
                <wp:positionH relativeFrom="page">
                  <wp:posOffset>1080820</wp:posOffset>
                </wp:positionH>
                <wp:positionV relativeFrom="paragraph">
                  <wp:posOffset>185205</wp:posOffset>
                </wp:positionV>
                <wp:extent cx="5715000" cy="897890"/>
                <wp:effectExtent l="0" t="0" r="0" b="0"/>
                <wp:wrapTopAndBottom/>
                <wp:docPr id="1181" name="Textbox 1181"/>
                <wp:cNvGraphicFramePr>
                  <a:graphicFrameLocks/>
                </wp:cNvGraphicFramePr>
                <a:graphic>
                  <a:graphicData uri="http://schemas.microsoft.com/office/word/2010/wordprocessingShape">
                    <wps:wsp>
                      <wps:cNvPr id="1181" name="Textbox 1181"/>
                      <wps:cNvSpPr txBox="1"/>
                      <wps:spPr>
                        <a:xfrm>
                          <a:off x="0" y="0"/>
                          <a:ext cx="5715000" cy="8978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02"/>
                              <w:jc w:val="both"/>
                            </w:pPr>
                            <w:r>
                              <w:rPr/>
                              <w:t>Durante</w:t>
                            </w:r>
                            <w:r>
                              <w:rPr>
                                <w:spacing w:val="-2"/>
                              </w:rPr>
                              <w:t> </w:t>
                            </w:r>
                            <w:r>
                              <w:rPr/>
                              <w:t>el</w:t>
                            </w:r>
                            <w:r>
                              <w:rPr>
                                <w:spacing w:val="-2"/>
                              </w:rPr>
                              <w:t> </w:t>
                            </w:r>
                            <w:r>
                              <w:rPr/>
                              <w:t>período</w:t>
                            </w:r>
                            <w:r>
                              <w:rPr>
                                <w:spacing w:val="-2"/>
                              </w:rPr>
                              <w:t> </w:t>
                            </w:r>
                            <w:r>
                              <w:rPr/>
                              <w:t>sobre</w:t>
                            </w:r>
                            <w:r>
                              <w:rPr>
                                <w:spacing w:val="-4"/>
                              </w:rPr>
                              <w:t> </w:t>
                            </w:r>
                            <w:r>
                              <w:rPr/>
                              <w:t>el</w:t>
                            </w:r>
                            <w:r>
                              <w:rPr>
                                <w:spacing w:val="-2"/>
                              </w:rPr>
                              <w:t> </w:t>
                            </w:r>
                            <w:r>
                              <w:rPr/>
                              <w:t>que</w:t>
                            </w:r>
                            <w:r>
                              <w:rPr>
                                <w:spacing w:val="-3"/>
                              </w:rPr>
                              <w:t> </w:t>
                            </w:r>
                            <w:r>
                              <w:rPr/>
                              <w:t>se</w:t>
                            </w:r>
                            <w:r>
                              <w:rPr>
                                <w:spacing w:val="-3"/>
                              </w:rPr>
                              <w:t> </w:t>
                            </w:r>
                            <w:r>
                              <w:rPr/>
                              <w:t>informa,</w:t>
                            </w:r>
                            <w:r>
                              <w:rPr>
                                <w:spacing w:val="-2"/>
                              </w:rPr>
                              <w:t> </w:t>
                            </w:r>
                            <w:r>
                              <w:rPr/>
                              <w:t>el</w:t>
                            </w:r>
                            <w:r>
                              <w:rPr>
                                <w:spacing w:val="-2"/>
                              </w:rPr>
                              <w:t> </w:t>
                            </w:r>
                            <w:r>
                              <w:rPr/>
                              <w:t>IMAS</w:t>
                            </w:r>
                            <w:r>
                              <w:rPr>
                                <w:spacing w:val="-1"/>
                              </w:rPr>
                              <w:t> </w:t>
                            </w:r>
                            <w:r>
                              <w:rPr/>
                              <w:t>no</w:t>
                            </w:r>
                            <w:r>
                              <w:rPr>
                                <w:spacing w:val="-2"/>
                              </w:rPr>
                              <w:t> </w:t>
                            </w:r>
                            <w:r>
                              <w:rPr/>
                              <w:t>ha</w:t>
                            </w:r>
                            <w:r>
                              <w:rPr>
                                <w:spacing w:val="-3"/>
                              </w:rPr>
                              <w:t> </w:t>
                            </w:r>
                            <w:r>
                              <w:rPr/>
                              <w:t>otorgado</w:t>
                            </w:r>
                            <w:r>
                              <w:rPr>
                                <w:spacing w:val="-2"/>
                              </w:rPr>
                              <w:t> </w:t>
                            </w:r>
                            <w:r>
                              <w:rPr/>
                              <w:t>ni</w:t>
                            </w:r>
                            <w:r>
                              <w:rPr>
                                <w:spacing w:val="-2"/>
                              </w:rPr>
                              <w:t> </w:t>
                            </w:r>
                            <w:r>
                              <w:rPr/>
                              <w:t>recibido</w:t>
                            </w:r>
                            <w:r>
                              <w:rPr>
                                <w:spacing w:val="-2"/>
                              </w:rPr>
                              <w:t> </w:t>
                            </w:r>
                            <w:r>
                              <w:rPr/>
                              <w:t>garantías</w:t>
                            </w:r>
                            <w:r>
                              <w:rPr>
                                <w:spacing w:val="-1"/>
                              </w:rPr>
                              <w:t> </w:t>
                            </w:r>
                            <w:r>
                              <w:rPr/>
                              <w:t>colaterales relacionadas con instrumentos financieros, ya que no mantiene operaciones que requieran este tipo de respaldo financiero</w:t>
                            </w:r>
                          </w:p>
                        </w:txbxContent>
                      </wps:txbx>
                      <wps:bodyPr wrap="square" lIns="0" tIns="0" rIns="0" bIns="0" rtlCol="0">
                        <a:noAutofit/>
                      </wps:bodyPr>
                    </wps:wsp>
                  </a:graphicData>
                </a:graphic>
              </wp:anchor>
            </w:drawing>
          </mc:Choice>
          <mc:Fallback>
            <w:pict>
              <v:shape style="position:absolute;margin-left:85.103996pt;margin-top:14.58312pt;width:450pt;height:70.7pt;mso-position-horizontal-relative:page;mso-position-vertical-relative:paragraph;z-index:-15490560;mso-wrap-distance-left:0;mso-wrap-distance-right:0" type="#_x0000_t202" id="docshape1125"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02"/>
                        <w:jc w:val="both"/>
                      </w:pPr>
                      <w:r>
                        <w:rPr/>
                        <w:t>Durante</w:t>
                      </w:r>
                      <w:r>
                        <w:rPr>
                          <w:spacing w:val="-2"/>
                        </w:rPr>
                        <w:t> </w:t>
                      </w:r>
                      <w:r>
                        <w:rPr/>
                        <w:t>el</w:t>
                      </w:r>
                      <w:r>
                        <w:rPr>
                          <w:spacing w:val="-2"/>
                        </w:rPr>
                        <w:t> </w:t>
                      </w:r>
                      <w:r>
                        <w:rPr/>
                        <w:t>período</w:t>
                      </w:r>
                      <w:r>
                        <w:rPr>
                          <w:spacing w:val="-2"/>
                        </w:rPr>
                        <w:t> </w:t>
                      </w:r>
                      <w:r>
                        <w:rPr/>
                        <w:t>sobre</w:t>
                      </w:r>
                      <w:r>
                        <w:rPr>
                          <w:spacing w:val="-4"/>
                        </w:rPr>
                        <w:t> </w:t>
                      </w:r>
                      <w:r>
                        <w:rPr/>
                        <w:t>el</w:t>
                      </w:r>
                      <w:r>
                        <w:rPr>
                          <w:spacing w:val="-2"/>
                        </w:rPr>
                        <w:t> </w:t>
                      </w:r>
                      <w:r>
                        <w:rPr/>
                        <w:t>que</w:t>
                      </w:r>
                      <w:r>
                        <w:rPr>
                          <w:spacing w:val="-3"/>
                        </w:rPr>
                        <w:t> </w:t>
                      </w:r>
                      <w:r>
                        <w:rPr/>
                        <w:t>se</w:t>
                      </w:r>
                      <w:r>
                        <w:rPr>
                          <w:spacing w:val="-3"/>
                        </w:rPr>
                        <w:t> </w:t>
                      </w:r>
                      <w:r>
                        <w:rPr/>
                        <w:t>informa,</w:t>
                      </w:r>
                      <w:r>
                        <w:rPr>
                          <w:spacing w:val="-2"/>
                        </w:rPr>
                        <w:t> </w:t>
                      </w:r>
                      <w:r>
                        <w:rPr/>
                        <w:t>el</w:t>
                      </w:r>
                      <w:r>
                        <w:rPr>
                          <w:spacing w:val="-2"/>
                        </w:rPr>
                        <w:t> </w:t>
                      </w:r>
                      <w:r>
                        <w:rPr/>
                        <w:t>IMAS</w:t>
                      </w:r>
                      <w:r>
                        <w:rPr>
                          <w:spacing w:val="-1"/>
                        </w:rPr>
                        <w:t> </w:t>
                      </w:r>
                      <w:r>
                        <w:rPr/>
                        <w:t>no</w:t>
                      </w:r>
                      <w:r>
                        <w:rPr>
                          <w:spacing w:val="-2"/>
                        </w:rPr>
                        <w:t> </w:t>
                      </w:r>
                      <w:r>
                        <w:rPr/>
                        <w:t>ha</w:t>
                      </w:r>
                      <w:r>
                        <w:rPr>
                          <w:spacing w:val="-3"/>
                        </w:rPr>
                        <w:t> </w:t>
                      </w:r>
                      <w:r>
                        <w:rPr/>
                        <w:t>otorgado</w:t>
                      </w:r>
                      <w:r>
                        <w:rPr>
                          <w:spacing w:val="-2"/>
                        </w:rPr>
                        <w:t> </w:t>
                      </w:r>
                      <w:r>
                        <w:rPr/>
                        <w:t>ni</w:t>
                      </w:r>
                      <w:r>
                        <w:rPr>
                          <w:spacing w:val="-2"/>
                        </w:rPr>
                        <w:t> </w:t>
                      </w:r>
                      <w:r>
                        <w:rPr/>
                        <w:t>recibido</w:t>
                      </w:r>
                      <w:r>
                        <w:rPr>
                          <w:spacing w:val="-2"/>
                        </w:rPr>
                        <w:t> </w:t>
                      </w:r>
                      <w:r>
                        <w:rPr/>
                        <w:t>garantías</w:t>
                      </w:r>
                      <w:r>
                        <w:rPr>
                          <w:spacing w:val="-1"/>
                        </w:rPr>
                        <w:t> </w:t>
                      </w:r>
                      <w:r>
                        <w:rPr/>
                        <w:t>colaterales relacionadas con instrumentos financieros, ya que no mantiene operaciones que requieran este tipo de respaldo financiero</w:t>
                      </w:r>
                    </w:p>
                  </w:txbxContent>
                </v:textbox>
                <v:stroke dashstyle="solid"/>
                <w10:wrap type="topAndBottom"/>
              </v:shape>
            </w:pict>
          </mc:Fallback>
        </mc:AlternateContent>
      </w:r>
    </w:p>
    <w:p>
      <w:pPr>
        <w:pStyle w:val="BodyText"/>
        <w:spacing w:before="4"/>
      </w:pPr>
    </w:p>
    <w:p>
      <w:pPr>
        <w:pStyle w:val="ListParagraph"/>
        <w:numPr>
          <w:ilvl w:val="1"/>
          <w:numId w:val="98"/>
        </w:numPr>
        <w:tabs>
          <w:tab w:pos="1341" w:val="left" w:leader="none"/>
        </w:tabs>
        <w:spacing w:line="240" w:lineRule="auto" w:before="0" w:after="0"/>
        <w:ind w:left="1341" w:right="0" w:hanging="360"/>
        <w:jc w:val="left"/>
        <w:rPr>
          <w:sz w:val="22"/>
        </w:rPr>
      </w:pPr>
      <w:r>
        <w:rPr>
          <w:sz w:val="22"/>
          <w:u w:val="single"/>
        </w:rPr>
        <w:t>Cuentas</w:t>
      </w:r>
      <w:r>
        <w:rPr>
          <w:spacing w:val="-6"/>
          <w:sz w:val="22"/>
          <w:u w:val="single"/>
        </w:rPr>
        <w:t> </w:t>
      </w:r>
      <w:r>
        <w:rPr>
          <w:sz w:val="22"/>
          <w:u w:val="single"/>
        </w:rPr>
        <w:t>correctoras</w:t>
      </w:r>
      <w:r>
        <w:rPr>
          <w:spacing w:val="-5"/>
          <w:sz w:val="22"/>
          <w:u w:val="single"/>
        </w:rPr>
        <w:t> </w:t>
      </w:r>
      <w:r>
        <w:rPr>
          <w:sz w:val="22"/>
          <w:u w:val="single"/>
        </w:rPr>
        <w:t>por</w:t>
      </w:r>
      <w:r>
        <w:rPr>
          <w:spacing w:val="-6"/>
          <w:sz w:val="22"/>
          <w:u w:val="single"/>
        </w:rPr>
        <w:t> </w:t>
      </w:r>
      <w:r>
        <w:rPr>
          <w:sz w:val="22"/>
          <w:u w:val="single"/>
        </w:rPr>
        <w:t>perdidas</w:t>
      </w:r>
      <w:r>
        <w:rPr>
          <w:spacing w:val="-5"/>
          <w:sz w:val="22"/>
          <w:u w:val="single"/>
        </w:rPr>
        <w:t> </w:t>
      </w:r>
      <w:r>
        <w:rPr>
          <w:sz w:val="22"/>
          <w:u w:val="single"/>
        </w:rPr>
        <w:t>crediticias</w:t>
      </w:r>
      <w:r>
        <w:rPr>
          <w:spacing w:val="-5"/>
          <w:sz w:val="22"/>
          <w:u w:val="single"/>
        </w:rPr>
        <w:t> </w:t>
      </w:r>
      <w:r>
        <w:rPr>
          <w:sz w:val="22"/>
          <w:u w:val="single"/>
        </w:rPr>
        <w:t>(párrafo</w:t>
      </w:r>
      <w:r>
        <w:rPr>
          <w:spacing w:val="-5"/>
          <w:sz w:val="22"/>
          <w:u w:val="single"/>
        </w:rPr>
        <w:t> 20)</w:t>
      </w:r>
    </w:p>
    <w:p>
      <w:pPr>
        <w:pStyle w:val="BodyText"/>
        <w:spacing w:before="34"/>
        <w:rPr>
          <w:sz w:val="20"/>
        </w:rPr>
      </w:pPr>
      <w:r>
        <w:rPr>
          <w:sz w:val="20"/>
        </w:rPr>
        <mc:AlternateContent>
          <mc:Choice Requires="wps">
            <w:drawing>
              <wp:anchor distT="0" distB="0" distL="0" distR="0" allowOverlap="1" layoutInCell="1" locked="0" behindDoc="1" simplePos="0" relativeHeight="487826432">
                <wp:simplePos x="0" y="0"/>
                <wp:positionH relativeFrom="page">
                  <wp:posOffset>1080820</wp:posOffset>
                </wp:positionH>
                <wp:positionV relativeFrom="paragraph">
                  <wp:posOffset>185118</wp:posOffset>
                </wp:positionV>
                <wp:extent cx="5715000" cy="3724910"/>
                <wp:effectExtent l="0" t="0" r="0" b="0"/>
                <wp:wrapTopAndBottom/>
                <wp:docPr id="1182" name="Textbox 1182"/>
                <wp:cNvGraphicFramePr>
                  <a:graphicFrameLocks/>
                </wp:cNvGraphicFramePr>
                <a:graphic>
                  <a:graphicData uri="http://schemas.microsoft.com/office/word/2010/wordprocessingShape">
                    <wps:wsp>
                      <wps:cNvPr id="1182" name="Textbox 1182"/>
                      <wps:cNvSpPr txBox="1"/>
                      <wps:spPr>
                        <a:xfrm>
                          <a:off x="0" y="0"/>
                          <a:ext cx="5715000" cy="372491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1"/>
                              <w:jc w:val="both"/>
                            </w:pPr>
                            <w:r>
                              <w:rPr/>
                              <w:t>De conformidad con la NICSP 29 – Instrumentos Financieros: Reconocimiento y Medición y los requerimientos</w:t>
                            </w:r>
                            <w:r>
                              <w:rPr>
                                <w:spacing w:val="-9"/>
                              </w:rPr>
                              <w:t> </w:t>
                            </w:r>
                            <w:r>
                              <w:rPr/>
                              <w:t>de</w:t>
                            </w:r>
                            <w:r>
                              <w:rPr>
                                <w:spacing w:val="-13"/>
                              </w:rPr>
                              <w:t> </w:t>
                            </w:r>
                            <w:r>
                              <w:rPr/>
                              <w:t>revelación</w:t>
                            </w:r>
                            <w:r>
                              <w:rPr>
                                <w:spacing w:val="-9"/>
                              </w:rPr>
                              <w:t> </w:t>
                            </w:r>
                            <w:r>
                              <w:rPr/>
                              <w:t>de</w:t>
                            </w:r>
                            <w:r>
                              <w:rPr>
                                <w:spacing w:val="-11"/>
                              </w:rPr>
                              <w:t> </w:t>
                            </w:r>
                            <w:r>
                              <w:rPr/>
                              <w:t>la</w:t>
                            </w:r>
                            <w:r>
                              <w:rPr>
                                <w:spacing w:val="-11"/>
                              </w:rPr>
                              <w:t> </w:t>
                            </w:r>
                            <w:r>
                              <w:rPr/>
                              <w:t>NICSP</w:t>
                            </w:r>
                            <w:r>
                              <w:rPr>
                                <w:spacing w:val="-12"/>
                              </w:rPr>
                              <w:t> </w:t>
                            </w:r>
                            <w:r>
                              <w:rPr/>
                              <w:t>30,</w:t>
                            </w:r>
                            <w:r>
                              <w:rPr>
                                <w:spacing w:val="-9"/>
                              </w:rPr>
                              <w:t> </w:t>
                            </w:r>
                            <w:r>
                              <w:rPr/>
                              <w:t>el</w:t>
                            </w:r>
                            <w:r>
                              <w:rPr>
                                <w:spacing w:val="-10"/>
                              </w:rPr>
                              <w:t> </w:t>
                            </w:r>
                            <w:r>
                              <w:rPr/>
                              <w:t>IMAS</w:t>
                            </w:r>
                            <w:r>
                              <w:rPr>
                                <w:spacing w:val="-12"/>
                              </w:rPr>
                              <w:t> </w:t>
                            </w:r>
                            <w:r>
                              <w:rPr/>
                              <w:t>evalúa,</w:t>
                            </w:r>
                            <w:r>
                              <w:rPr>
                                <w:spacing w:val="-9"/>
                              </w:rPr>
                              <w:t> </w:t>
                            </w:r>
                            <w:r>
                              <w:rPr/>
                              <w:t>en</w:t>
                            </w:r>
                            <w:r>
                              <w:rPr>
                                <w:spacing w:val="-9"/>
                              </w:rPr>
                              <w:t> </w:t>
                            </w:r>
                            <w:r>
                              <w:rPr/>
                              <w:t>cada</w:t>
                            </w:r>
                            <w:r>
                              <w:rPr>
                                <w:spacing w:val="-11"/>
                              </w:rPr>
                              <w:t> </w:t>
                            </w:r>
                            <w:r>
                              <w:rPr/>
                              <w:t>fecha</w:t>
                            </w:r>
                            <w:r>
                              <w:rPr>
                                <w:spacing w:val="-11"/>
                              </w:rPr>
                              <w:t> </w:t>
                            </w:r>
                            <w:r>
                              <w:rPr/>
                              <w:t>de</w:t>
                            </w:r>
                            <w:r>
                              <w:rPr>
                                <w:spacing w:val="-11"/>
                              </w:rPr>
                              <w:t> </w:t>
                            </w:r>
                            <w:r>
                              <w:rPr/>
                              <w:t>presentación,</w:t>
                            </w:r>
                            <w:r>
                              <w:rPr>
                                <w:spacing w:val="-11"/>
                              </w:rPr>
                              <w:t> </w:t>
                            </w:r>
                            <w:r>
                              <w:rPr/>
                              <w:t>si</w:t>
                            </w:r>
                            <w:r>
                              <w:rPr>
                                <w:spacing w:val="-13"/>
                              </w:rPr>
                              <w:t> </w:t>
                            </w:r>
                            <w:r>
                              <w:rPr/>
                              <w:t>existe evidencia objetiva de deterioro del valor de sus activos financieros medidos al costo amortizado.</w:t>
                            </w:r>
                          </w:p>
                          <w:p>
                            <w:pPr>
                              <w:pStyle w:val="BodyText"/>
                              <w:spacing w:before="38"/>
                            </w:pPr>
                          </w:p>
                          <w:p>
                            <w:pPr>
                              <w:pStyle w:val="BodyText"/>
                              <w:spacing w:line="276" w:lineRule="auto"/>
                              <w:ind w:left="103" w:right="102"/>
                              <w:jc w:val="both"/>
                            </w:pPr>
                            <w:r>
                              <w:rPr/>
                              <w:t>Los activos financieros del IMAS están constituidos principalmente por efectivo y equivalentes de efectivo,</w:t>
                            </w:r>
                            <w:r>
                              <w:rPr>
                                <w:spacing w:val="-8"/>
                              </w:rPr>
                              <w:t> </w:t>
                            </w:r>
                            <w:r>
                              <w:rPr/>
                              <w:t>así</w:t>
                            </w:r>
                            <w:r>
                              <w:rPr>
                                <w:spacing w:val="-9"/>
                              </w:rPr>
                              <w:t> </w:t>
                            </w:r>
                            <w:r>
                              <w:rPr/>
                              <w:t>como</w:t>
                            </w:r>
                            <w:r>
                              <w:rPr>
                                <w:spacing w:val="-7"/>
                              </w:rPr>
                              <w:t> </w:t>
                            </w:r>
                            <w:r>
                              <w:rPr/>
                              <w:t>por</w:t>
                            </w:r>
                            <w:r>
                              <w:rPr>
                                <w:spacing w:val="-8"/>
                              </w:rPr>
                              <w:t> </w:t>
                            </w:r>
                            <w:r>
                              <w:rPr/>
                              <w:t>cuentas</w:t>
                            </w:r>
                            <w:r>
                              <w:rPr>
                                <w:spacing w:val="-7"/>
                              </w:rPr>
                              <w:t> </w:t>
                            </w:r>
                            <w:r>
                              <w:rPr/>
                              <w:t>por</w:t>
                            </w:r>
                            <w:r>
                              <w:rPr>
                                <w:spacing w:val="-10"/>
                              </w:rPr>
                              <w:t> </w:t>
                            </w:r>
                            <w:r>
                              <w:rPr/>
                              <w:t>cobrar,</w:t>
                            </w:r>
                            <w:r>
                              <w:rPr>
                                <w:spacing w:val="-8"/>
                              </w:rPr>
                              <w:t> </w:t>
                            </w:r>
                            <w:r>
                              <w:rPr/>
                              <w:t>cuyo</w:t>
                            </w:r>
                            <w:r>
                              <w:rPr>
                                <w:spacing w:val="-10"/>
                              </w:rPr>
                              <w:t> </w:t>
                            </w:r>
                            <w:r>
                              <w:rPr/>
                              <w:t>riesgo</w:t>
                            </w:r>
                            <w:r>
                              <w:rPr>
                                <w:spacing w:val="-7"/>
                              </w:rPr>
                              <w:t> </w:t>
                            </w:r>
                            <w:r>
                              <w:rPr/>
                              <w:t>de</w:t>
                            </w:r>
                            <w:r>
                              <w:rPr>
                                <w:spacing w:val="-9"/>
                              </w:rPr>
                              <w:t> </w:t>
                            </w:r>
                            <w:r>
                              <w:rPr/>
                              <w:t>incobrabilidad</w:t>
                            </w:r>
                            <w:r>
                              <w:rPr>
                                <w:spacing w:val="-9"/>
                              </w:rPr>
                              <w:t> </w:t>
                            </w:r>
                            <w:r>
                              <w:rPr/>
                              <w:t>es</w:t>
                            </w:r>
                            <w:r>
                              <w:rPr>
                                <w:spacing w:val="-7"/>
                              </w:rPr>
                              <w:t> </w:t>
                            </w:r>
                            <w:r>
                              <w:rPr/>
                              <w:t>considerado</w:t>
                            </w:r>
                            <w:r>
                              <w:rPr>
                                <w:spacing w:val="-8"/>
                              </w:rPr>
                              <w:t> </w:t>
                            </w:r>
                            <w:r>
                              <w:rPr/>
                              <w:t>bajo.</w:t>
                            </w:r>
                            <w:r>
                              <w:rPr>
                                <w:spacing w:val="-9"/>
                              </w:rPr>
                              <w:t> </w:t>
                            </w:r>
                            <w:r>
                              <w:rPr/>
                              <w:t>Durante el periodo sobre el</w:t>
                            </w:r>
                            <w:r>
                              <w:rPr>
                                <w:spacing w:val="-1"/>
                              </w:rPr>
                              <w:t> </w:t>
                            </w:r>
                            <w:r>
                              <w:rPr/>
                              <w:t>que</w:t>
                            </w:r>
                            <w:r>
                              <w:rPr>
                                <w:spacing w:val="-1"/>
                              </w:rPr>
                              <w:t> </w:t>
                            </w:r>
                            <w:r>
                              <w:rPr/>
                              <w:t>se informa, la</w:t>
                            </w:r>
                            <w:r>
                              <w:rPr>
                                <w:spacing w:val="-1"/>
                              </w:rPr>
                              <w:t> </w:t>
                            </w:r>
                            <w:r>
                              <w:rPr/>
                              <w:t>Institución realizó el análisis de recuperabilidad de sus cuentas por cobrar, considerando factores tales como:</w:t>
                            </w:r>
                          </w:p>
                          <w:p>
                            <w:pPr>
                              <w:pStyle w:val="BodyText"/>
                              <w:numPr>
                                <w:ilvl w:val="0"/>
                                <w:numId w:val="99"/>
                              </w:numPr>
                              <w:tabs>
                                <w:tab w:pos="823" w:val="left" w:leader="none"/>
                              </w:tabs>
                              <w:spacing w:line="240" w:lineRule="auto" w:before="158" w:after="0"/>
                              <w:ind w:left="823" w:right="0" w:hanging="360"/>
                              <w:jc w:val="left"/>
                            </w:pPr>
                            <w:r>
                              <w:rPr/>
                              <w:t>antigüedad</w:t>
                            </w:r>
                            <w:r>
                              <w:rPr>
                                <w:spacing w:val="-4"/>
                              </w:rPr>
                              <w:t> </w:t>
                            </w:r>
                            <w:r>
                              <w:rPr/>
                              <w:t>de</w:t>
                            </w:r>
                            <w:r>
                              <w:rPr>
                                <w:spacing w:val="-2"/>
                              </w:rPr>
                              <w:t> </w:t>
                            </w:r>
                            <w:r>
                              <w:rPr/>
                              <w:t>los</w:t>
                            </w:r>
                            <w:r>
                              <w:rPr>
                                <w:spacing w:val="-2"/>
                              </w:rPr>
                              <w:t> saldos;</w:t>
                            </w:r>
                          </w:p>
                          <w:p>
                            <w:pPr>
                              <w:pStyle w:val="BodyText"/>
                              <w:numPr>
                                <w:ilvl w:val="0"/>
                                <w:numId w:val="99"/>
                              </w:numPr>
                              <w:tabs>
                                <w:tab w:pos="823" w:val="left" w:leader="none"/>
                              </w:tabs>
                              <w:spacing w:line="240" w:lineRule="auto" w:before="34" w:after="0"/>
                              <w:ind w:left="823" w:right="0" w:hanging="360"/>
                              <w:jc w:val="left"/>
                            </w:pPr>
                            <w:r>
                              <w:rPr/>
                              <w:t>historial</w:t>
                            </w:r>
                            <w:r>
                              <w:rPr>
                                <w:spacing w:val="-4"/>
                              </w:rPr>
                              <w:t> </w:t>
                            </w:r>
                            <w:r>
                              <w:rPr/>
                              <w:t>de</w:t>
                            </w:r>
                            <w:r>
                              <w:rPr>
                                <w:spacing w:val="-3"/>
                              </w:rPr>
                              <w:t> </w:t>
                            </w:r>
                            <w:r>
                              <w:rPr>
                                <w:spacing w:val="-2"/>
                              </w:rPr>
                              <w:t>cobro;</w:t>
                            </w:r>
                          </w:p>
                          <w:p>
                            <w:pPr>
                              <w:pStyle w:val="BodyText"/>
                              <w:numPr>
                                <w:ilvl w:val="0"/>
                                <w:numId w:val="99"/>
                              </w:numPr>
                              <w:tabs>
                                <w:tab w:pos="823" w:val="left" w:leader="none"/>
                              </w:tabs>
                              <w:spacing w:line="240" w:lineRule="auto" w:before="32" w:after="0"/>
                              <w:ind w:left="823" w:right="0" w:hanging="360"/>
                              <w:jc w:val="left"/>
                            </w:pPr>
                            <w:r>
                              <w:rPr/>
                              <w:t>situación</w:t>
                            </w:r>
                            <w:r>
                              <w:rPr>
                                <w:spacing w:val="-6"/>
                              </w:rPr>
                              <w:t> </w:t>
                            </w:r>
                            <w:r>
                              <w:rPr/>
                              <w:t>financiera</w:t>
                            </w:r>
                            <w:r>
                              <w:rPr>
                                <w:spacing w:val="-4"/>
                              </w:rPr>
                              <w:t> </w:t>
                            </w:r>
                            <w:r>
                              <w:rPr/>
                              <w:t>y</w:t>
                            </w:r>
                            <w:r>
                              <w:rPr>
                                <w:spacing w:val="-6"/>
                              </w:rPr>
                              <w:t> </w:t>
                            </w:r>
                            <w:r>
                              <w:rPr/>
                              <w:t>naturaleza</w:t>
                            </w:r>
                            <w:r>
                              <w:rPr>
                                <w:spacing w:val="-4"/>
                              </w:rPr>
                              <w:t> </w:t>
                            </w:r>
                            <w:r>
                              <w:rPr/>
                              <w:t>jurídica</w:t>
                            </w:r>
                            <w:r>
                              <w:rPr>
                                <w:spacing w:val="-6"/>
                              </w:rPr>
                              <w:t> </w:t>
                            </w:r>
                            <w:r>
                              <w:rPr/>
                              <w:t>de</w:t>
                            </w:r>
                            <w:r>
                              <w:rPr>
                                <w:spacing w:val="-4"/>
                              </w:rPr>
                              <w:t> </w:t>
                            </w:r>
                            <w:r>
                              <w:rPr/>
                              <w:t>los</w:t>
                            </w:r>
                            <w:r>
                              <w:rPr>
                                <w:spacing w:val="-3"/>
                              </w:rPr>
                              <w:t> </w:t>
                            </w:r>
                            <w:r>
                              <w:rPr/>
                              <w:t>deudores;</w:t>
                            </w:r>
                            <w:r>
                              <w:rPr>
                                <w:spacing w:val="-3"/>
                              </w:rPr>
                              <w:t> </w:t>
                            </w:r>
                            <w:r>
                              <w:rPr>
                                <w:spacing w:val="-10"/>
                              </w:rPr>
                              <w:t>y</w:t>
                            </w:r>
                          </w:p>
                          <w:p>
                            <w:pPr>
                              <w:pStyle w:val="BodyText"/>
                              <w:numPr>
                                <w:ilvl w:val="0"/>
                                <w:numId w:val="99"/>
                              </w:numPr>
                              <w:tabs>
                                <w:tab w:pos="823" w:val="left" w:leader="none"/>
                              </w:tabs>
                              <w:spacing w:line="240" w:lineRule="auto" w:before="33" w:after="0"/>
                              <w:ind w:left="823" w:right="0" w:hanging="360"/>
                              <w:jc w:val="left"/>
                            </w:pPr>
                            <w:r>
                              <w:rPr/>
                              <w:t>respaldo</w:t>
                            </w:r>
                            <w:r>
                              <w:rPr>
                                <w:spacing w:val="-4"/>
                              </w:rPr>
                              <w:t> </w:t>
                            </w:r>
                            <w:r>
                              <w:rPr/>
                              <w:t>legal</w:t>
                            </w:r>
                            <w:r>
                              <w:rPr>
                                <w:spacing w:val="-4"/>
                              </w:rPr>
                              <w:t> </w:t>
                            </w:r>
                            <w:r>
                              <w:rPr/>
                              <w:t>de</w:t>
                            </w:r>
                            <w:r>
                              <w:rPr>
                                <w:spacing w:val="-2"/>
                              </w:rPr>
                              <w:t> </w:t>
                            </w:r>
                            <w:r>
                              <w:rPr/>
                              <w:t>los</w:t>
                            </w:r>
                            <w:r>
                              <w:rPr>
                                <w:spacing w:val="-3"/>
                              </w:rPr>
                              <w:t> </w:t>
                            </w:r>
                            <w:r>
                              <w:rPr/>
                              <w:t>derechos</w:t>
                            </w:r>
                            <w:r>
                              <w:rPr>
                                <w:spacing w:val="-3"/>
                              </w:rPr>
                              <w:t> </w:t>
                            </w:r>
                            <w:r>
                              <w:rPr/>
                              <w:t>de</w:t>
                            </w:r>
                            <w:r>
                              <w:rPr>
                                <w:spacing w:val="-2"/>
                              </w:rPr>
                              <w:t> cobro.</w:t>
                            </w:r>
                          </w:p>
                          <w:p>
                            <w:pPr>
                              <w:pStyle w:val="BodyText"/>
                              <w:spacing w:before="69"/>
                            </w:pPr>
                          </w:p>
                          <w:p>
                            <w:pPr>
                              <w:pStyle w:val="BodyText"/>
                              <w:spacing w:line="276" w:lineRule="auto"/>
                              <w:ind w:left="103" w:right="100"/>
                              <w:jc w:val="both"/>
                            </w:pPr>
                            <w:r>
                              <w:rPr/>
                              <w:t>Como resultado de este análisis, no se identificaron pérdidas por deterioro del valor de los activos financieros</w:t>
                            </w:r>
                            <w:r>
                              <w:rPr>
                                <w:spacing w:val="-11"/>
                              </w:rPr>
                              <w:t> </w:t>
                            </w:r>
                            <w:r>
                              <w:rPr/>
                              <w:t>que</w:t>
                            </w:r>
                            <w:r>
                              <w:rPr>
                                <w:spacing w:val="-11"/>
                              </w:rPr>
                              <w:t> </w:t>
                            </w:r>
                            <w:r>
                              <w:rPr/>
                              <w:t>requirieran</w:t>
                            </w:r>
                            <w:r>
                              <w:rPr>
                                <w:spacing w:val="-9"/>
                              </w:rPr>
                              <w:t> </w:t>
                            </w:r>
                            <w:r>
                              <w:rPr/>
                              <w:t>el</w:t>
                            </w:r>
                            <w:r>
                              <w:rPr>
                                <w:spacing w:val="-10"/>
                              </w:rPr>
                              <w:t> </w:t>
                            </w:r>
                            <w:r>
                              <w:rPr/>
                              <w:t>reconocimiento</w:t>
                            </w:r>
                            <w:r>
                              <w:rPr>
                                <w:spacing w:val="-8"/>
                              </w:rPr>
                              <w:t> </w:t>
                            </w:r>
                            <w:r>
                              <w:rPr/>
                              <w:t>de</w:t>
                            </w:r>
                            <w:r>
                              <w:rPr>
                                <w:spacing w:val="-11"/>
                              </w:rPr>
                              <w:t> </w:t>
                            </w:r>
                            <w:r>
                              <w:rPr/>
                              <w:t>ajustes</w:t>
                            </w:r>
                            <w:r>
                              <w:rPr>
                                <w:spacing w:val="-11"/>
                              </w:rPr>
                              <w:t> </w:t>
                            </w:r>
                            <w:r>
                              <w:rPr/>
                              <w:t>adicionales</w:t>
                            </w:r>
                            <w:r>
                              <w:rPr>
                                <w:spacing w:val="-9"/>
                              </w:rPr>
                              <w:t> </w:t>
                            </w:r>
                            <w:r>
                              <w:rPr/>
                              <w:t>al</w:t>
                            </w:r>
                            <w:r>
                              <w:rPr>
                                <w:spacing w:val="-10"/>
                              </w:rPr>
                              <w:t> </w:t>
                            </w:r>
                            <w:r>
                              <w:rPr/>
                              <w:t>cierre</w:t>
                            </w:r>
                            <w:r>
                              <w:rPr>
                                <w:spacing w:val="-11"/>
                              </w:rPr>
                              <w:t> </w:t>
                            </w:r>
                            <w:r>
                              <w:rPr/>
                              <w:t>del</w:t>
                            </w:r>
                            <w:r>
                              <w:rPr>
                                <w:spacing w:val="-8"/>
                              </w:rPr>
                              <w:t> </w:t>
                            </w:r>
                            <w:r>
                              <w:rPr/>
                              <w:t>periodo.</w:t>
                            </w:r>
                            <w:r>
                              <w:rPr>
                                <w:spacing w:val="-10"/>
                              </w:rPr>
                              <w:t> </w:t>
                            </w:r>
                            <w:r>
                              <w:rPr/>
                              <w:t>En</w:t>
                            </w:r>
                            <w:r>
                              <w:rPr>
                                <w:spacing w:val="-9"/>
                              </w:rPr>
                              <w:t> </w:t>
                            </w:r>
                            <w:r>
                              <w:rPr/>
                              <w:t>los</w:t>
                            </w:r>
                            <w:r>
                              <w:rPr>
                                <w:spacing w:val="-8"/>
                              </w:rPr>
                              <w:t> </w:t>
                            </w:r>
                            <w:r>
                              <w:rPr/>
                              <w:t>casos en que se identificaron saldos con mayor riesgo de recuperación, estos se encuentran debidamente gestionados</w:t>
                            </w:r>
                            <w:r>
                              <w:rPr>
                                <w:spacing w:val="-6"/>
                              </w:rPr>
                              <w:t> </w:t>
                            </w:r>
                            <w:r>
                              <w:rPr/>
                              <w:t>conforme</w:t>
                            </w:r>
                            <w:r>
                              <w:rPr>
                                <w:spacing w:val="-6"/>
                              </w:rPr>
                              <w:t> </w:t>
                            </w:r>
                            <w:r>
                              <w:rPr/>
                              <w:t>a</w:t>
                            </w:r>
                            <w:r>
                              <w:rPr>
                                <w:spacing w:val="-8"/>
                              </w:rPr>
                              <w:t> </w:t>
                            </w:r>
                            <w:r>
                              <w:rPr/>
                              <w:t>los</w:t>
                            </w:r>
                            <w:r>
                              <w:rPr>
                                <w:spacing w:val="-6"/>
                              </w:rPr>
                              <w:t> </w:t>
                            </w:r>
                            <w:r>
                              <w:rPr/>
                              <w:t>procedimientos</w:t>
                            </w:r>
                            <w:r>
                              <w:rPr>
                                <w:spacing w:val="-4"/>
                              </w:rPr>
                              <w:t> </w:t>
                            </w:r>
                            <w:r>
                              <w:rPr/>
                              <w:t>administrativos</w:t>
                            </w:r>
                            <w:r>
                              <w:rPr>
                                <w:spacing w:val="-5"/>
                              </w:rPr>
                              <w:t> </w:t>
                            </w:r>
                            <w:r>
                              <w:rPr/>
                              <w:t>y</w:t>
                            </w:r>
                            <w:r>
                              <w:rPr>
                                <w:spacing w:val="-6"/>
                              </w:rPr>
                              <w:t> </w:t>
                            </w:r>
                            <w:r>
                              <w:rPr/>
                              <w:t>legales</w:t>
                            </w:r>
                            <w:r>
                              <w:rPr>
                                <w:spacing w:val="-4"/>
                              </w:rPr>
                              <w:t> </w:t>
                            </w:r>
                            <w:r>
                              <w:rPr/>
                              <w:t>establecidos,</w:t>
                            </w:r>
                            <w:r>
                              <w:rPr>
                                <w:spacing w:val="-7"/>
                              </w:rPr>
                              <w:t> </w:t>
                            </w:r>
                            <w:r>
                              <w:rPr/>
                              <w:t>sin</w:t>
                            </w:r>
                            <w:r>
                              <w:rPr>
                                <w:spacing w:val="-4"/>
                              </w:rPr>
                              <w:t> </w:t>
                            </w:r>
                            <w:r>
                              <w:rPr/>
                              <w:t>que</w:t>
                            </w:r>
                            <w:r>
                              <w:rPr>
                                <w:spacing w:val="-8"/>
                              </w:rPr>
                              <w:t> </w:t>
                            </w:r>
                            <w:r>
                              <w:rPr/>
                              <w:t>a</w:t>
                            </w:r>
                            <w:r>
                              <w:rPr>
                                <w:spacing w:val="-5"/>
                              </w:rPr>
                              <w:t> </w:t>
                            </w:r>
                            <w:r>
                              <w:rPr/>
                              <w:t>la</w:t>
                            </w:r>
                            <w:r>
                              <w:rPr>
                                <w:spacing w:val="-6"/>
                              </w:rPr>
                              <w:t> </w:t>
                            </w:r>
                            <w:r>
                              <w:rPr/>
                              <w:t>fecha</w:t>
                            </w:r>
                            <w:r>
                              <w:rPr>
                                <w:spacing w:val="-8"/>
                              </w:rPr>
                              <w:t> </w:t>
                            </w:r>
                            <w:r>
                              <w:rPr/>
                              <w:t>se haya determinado la necesidad de registrar deterioro contable.</w:t>
                            </w:r>
                          </w:p>
                        </w:txbxContent>
                      </wps:txbx>
                      <wps:bodyPr wrap="square" lIns="0" tIns="0" rIns="0" bIns="0" rtlCol="0">
                        <a:noAutofit/>
                      </wps:bodyPr>
                    </wps:wsp>
                  </a:graphicData>
                </a:graphic>
              </wp:anchor>
            </w:drawing>
          </mc:Choice>
          <mc:Fallback>
            <w:pict>
              <v:shape style="position:absolute;margin-left:85.103996pt;margin-top:14.576245pt;width:450pt;height:293.3pt;mso-position-horizontal-relative:page;mso-position-vertical-relative:paragraph;z-index:-15490048;mso-wrap-distance-left:0;mso-wrap-distance-right:0" type="#_x0000_t202" id="docshape1126"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1"/>
                        <w:jc w:val="both"/>
                      </w:pPr>
                      <w:r>
                        <w:rPr/>
                        <w:t>De conformidad con la NICSP 29 – Instrumentos Financieros: Reconocimiento y Medición y los requerimientos</w:t>
                      </w:r>
                      <w:r>
                        <w:rPr>
                          <w:spacing w:val="-9"/>
                        </w:rPr>
                        <w:t> </w:t>
                      </w:r>
                      <w:r>
                        <w:rPr/>
                        <w:t>de</w:t>
                      </w:r>
                      <w:r>
                        <w:rPr>
                          <w:spacing w:val="-13"/>
                        </w:rPr>
                        <w:t> </w:t>
                      </w:r>
                      <w:r>
                        <w:rPr/>
                        <w:t>revelación</w:t>
                      </w:r>
                      <w:r>
                        <w:rPr>
                          <w:spacing w:val="-9"/>
                        </w:rPr>
                        <w:t> </w:t>
                      </w:r>
                      <w:r>
                        <w:rPr/>
                        <w:t>de</w:t>
                      </w:r>
                      <w:r>
                        <w:rPr>
                          <w:spacing w:val="-11"/>
                        </w:rPr>
                        <w:t> </w:t>
                      </w:r>
                      <w:r>
                        <w:rPr/>
                        <w:t>la</w:t>
                      </w:r>
                      <w:r>
                        <w:rPr>
                          <w:spacing w:val="-11"/>
                        </w:rPr>
                        <w:t> </w:t>
                      </w:r>
                      <w:r>
                        <w:rPr/>
                        <w:t>NICSP</w:t>
                      </w:r>
                      <w:r>
                        <w:rPr>
                          <w:spacing w:val="-12"/>
                        </w:rPr>
                        <w:t> </w:t>
                      </w:r>
                      <w:r>
                        <w:rPr/>
                        <w:t>30,</w:t>
                      </w:r>
                      <w:r>
                        <w:rPr>
                          <w:spacing w:val="-9"/>
                        </w:rPr>
                        <w:t> </w:t>
                      </w:r>
                      <w:r>
                        <w:rPr/>
                        <w:t>el</w:t>
                      </w:r>
                      <w:r>
                        <w:rPr>
                          <w:spacing w:val="-10"/>
                        </w:rPr>
                        <w:t> </w:t>
                      </w:r>
                      <w:r>
                        <w:rPr/>
                        <w:t>IMAS</w:t>
                      </w:r>
                      <w:r>
                        <w:rPr>
                          <w:spacing w:val="-12"/>
                        </w:rPr>
                        <w:t> </w:t>
                      </w:r>
                      <w:r>
                        <w:rPr/>
                        <w:t>evalúa,</w:t>
                      </w:r>
                      <w:r>
                        <w:rPr>
                          <w:spacing w:val="-9"/>
                        </w:rPr>
                        <w:t> </w:t>
                      </w:r>
                      <w:r>
                        <w:rPr/>
                        <w:t>en</w:t>
                      </w:r>
                      <w:r>
                        <w:rPr>
                          <w:spacing w:val="-9"/>
                        </w:rPr>
                        <w:t> </w:t>
                      </w:r>
                      <w:r>
                        <w:rPr/>
                        <w:t>cada</w:t>
                      </w:r>
                      <w:r>
                        <w:rPr>
                          <w:spacing w:val="-11"/>
                        </w:rPr>
                        <w:t> </w:t>
                      </w:r>
                      <w:r>
                        <w:rPr/>
                        <w:t>fecha</w:t>
                      </w:r>
                      <w:r>
                        <w:rPr>
                          <w:spacing w:val="-11"/>
                        </w:rPr>
                        <w:t> </w:t>
                      </w:r>
                      <w:r>
                        <w:rPr/>
                        <w:t>de</w:t>
                      </w:r>
                      <w:r>
                        <w:rPr>
                          <w:spacing w:val="-11"/>
                        </w:rPr>
                        <w:t> </w:t>
                      </w:r>
                      <w:r>
                        <w:rPr/>
                        <w:t>presentación,</w:t>
                      </w:r>
                      <w:r>
                        <w:rPr>
                          <w:spacing w:val="-11"/>
                        </w:rPr>
                        <w:t> </w:t>
                      </w:r>
                      <w:r>
                        <w:rPr/>
                        <w:t>si</w:t>
                      </w:r>
                      <w:r>
                        <w:rPr>
                          <w:spacing w:val="-13"/>
                        </w:rPr>
                        <w:t> </w:t>
                      </w:r>
                      <w:r>
                        <w:rPr/>
                        <w:t>existe evidencia objetiva de deterioro del valor de sus activos financieros medidos al costo amortizado.</w:t>
                      </w:r>
                    </w:p>
                    <w:p>
                      <w:pPr>
                        <w:pStyle w:val="BodyText"/>
                        <w:spacing w:before="38"/>
                      </w:pPr>
                    </w:p>
                    <w:p>
                      <w:pPr>
                        <w:pStyle w:val="BodyText"/>
                        <w:spacing w:line="276" w:lineRule="auto"/>
                        <w:ind w:left="103" w:right="102"/>
                        <w:jc w:val="both"/>
                      </w:pPr>
                      <w:r>
                        <w:rPr/>
                        <w:t>Los activos financieros del IMAS están constituidos principalmente por efectivo y equivalentes de efectivo,</w:t>
                      </w:r>
                      <w:r>
                        <w:rPr>
                          <w:spacing w:val="-8"/>
                        </w:rPr>
                        <w:t> </w:t>
                      </w:r>
                      <w:r>
                        <w:rPr/>
                        <w:t>así</w:t>
                      </w:r>
                      <w:r>
                        <w:rPr>
                          <w:spacing w:val="-9"/>
                        </w:rPr>
                        <w:t> </w:t>
                      </w:r>
                      <w:r>
                        <w:rPr/>
                        <w:t>como</w:t>
                      </w:r>
                      <w:r>
                        <w:rPr>
                          <w:spacing w:val="-7"/>
                        </w:rPr>
                        <w:t> </w:t>
                      </w:r>
                      <w:r>
                        <w:rPr/>
                        <w:t>por</w:t>
                      </w:r>
                      <w:r>
                        <w:rPr>
                          <w:spacing w:val="-8"/>
                        </w:rPr>
                        <w:t> </w:t>
                      </w:r>
                      <w:r>
                        <w:rPr/>
                        <w:t>cuentas</w:t>
                      </w:r>
                      <w:r>
                        <w:rPr>
                          <w:spacing w:val="-7"/>
                        </w:rPr>
                        <w:t> </w:t>
                      </w:r>
                      <w:r>
                        <w:rPr/>
                        <w:t>por</w:t>
                      </w:r>
                      <w:r>
                        <w:rPr>
                          <w:spacing w:val="-10"/>
                        </w:rPr>
                        <w:t> </w:t>
                      </w:r>
                      <w:r>
                        <w:rPr/>
                        <w:t>cobrar,</w:t>
                      </w:r>
                      <w:r>
                        <w:rPr>
                          <w:spacing w:val="-8"/>
                        </w:rPr>
                        <w:t> </w:t>
                      </w:r>
                      <w:r>
                        <w:rPr/>
                        <w:t>cuyo</w:t>
                      </w:r>
                      <w:r>
                        <w:rPr>
                          <w:spacing w:val="-10"/>
                        </w:rPr>
                        <w:t> </w:t>
                      </w:r>
                      <w:r>
                        <w:rPr/>
                        <w:t>riesgo</w:t>
                      </w:r>
                      <w:r>
                        <w:rPr>
                          <w:spacing w:val="-7"/>
                        </w:rPr>
                        <w:t> </w:t>
                      </w:r>
                      <w:r>
                        <w:rPr/>
                        <w:t>de</w:t>
                      </w:r>
                      <w:r>
                        <w:rPr>
                          <w:spacing w:val="-9"/>
                        </w:rPr>
                        <w:t> </w:t>
                      </w:r>
                      <w:r>
                        <w:rPr/>
                        <w:t>incobrabilidad</w:t>
                      </w:r>
                      <w:r>
                        <w:rPr>
                          <w:spacing w:val="-9"/>
                        </w:rPr>
                        <w:t> </w:t>
                      </w:r>
                      <w:r>
                        <w:rPr/>
                        <w:t>es</w:t>
                      </w:r>
                      <w:r>
                        <w:rPr>
                          <w:spacing w:val="-7"/>
                        </w:rPr>
                        <w:t> </w:t>
                      </w:r>
                      <w:r>
                        <w:rPr/>
                        <w:t>considerado</w:t>
                      </w:r>
                      <w:r>
                        <w:rPr>
                          <w:spacing w:val="-8"/>
                        </w:rPr>
                        <w:t> </w:t>
                      </w:r>
                      <w:r>
                        <w:rPr/>
                        <w:t>bajo.</w:t>
                      </w:r>
                      <w:r>
                        <w:rPr>
                          <w:spacing w:val="-9"/>
                        </w:rPr>
                        <w:t> </w:t>
                      </w:r>
                      <w:r>
                        <w:rPr/>
                        <w:t>Durante el periodo sobre el</w:t>
                      </w:r>
                      <w:r>
                        <w:rPr>
                          <w:spacing w:val="-1"/>
                        </w:rPr>
                        <w:t> </w:t>
                      </w:r>
                      <w:r>
                        <w:rPr/>
                        <w:t>que</w:t>
                      </w:r>
                      <w:r>
                        <w:rPr>
                          <w:spacing w:val="-1"/>
                        </w:rPr>
                        <w:t> </w:t>
                      </w:r>
                      <w:r>
                        <w:rPr/>
                        <w:t>se informa, la</w:t>
                      </w:r>
                      <w:r>
                        <w:rPr>
                          <w:spacing w:val="-1"/>
                        </w:rPr>
                        <w:t> </w:t>
                      </w:r>
                      <w:r>
                        <w:rPr/>
                        <w:t>Institución realizó el análisis de recuperabilidad de sus cuentas por cobrar, considerando factores tales como:</w:t>
                      </w:r>
                    </w:p>
                    <w:p>
                      <w:pPr>
                        <w:pStyle w:val="BodyText"/>
                        <w:numPr>
                          <w:ilvl w:val="0"/>
                          <w:numId w:val="99"/>
                        </w:numPr>
                        <w:tabs>
                          <w:tab w:pos="823" w:val="left" w:leader="none"/>
                        </w:tabs>
                        <w:spacing w:line="240" w:lineRule="auto" w:before="158" w:after="0"/>
                        <w:ind w:left="823" w:right="0" w:hanging="360"/>
                        <w:jc w:val="left"/>
                      </w:pPr>
                      <w:r>
                        <w:rPr/>
                        <w:t>antigüedad</w:t>
                      </w:r>
                      <w:r>
                        <w:rPr>
                          <w:spacing w:val="-4"/>
                        </w:rPr>
                        <w:t> </w:t>
                      </w:r>
                      <w:r>
                        <w:rPr/>
                        <w:t>de</w:t>
                      </w:r>
                      <w:r>
                        <w:rPr>
                          <w:spacing w:val="-2"/>
                        </w:rPr>
                        <w:t> </w:t>
                      </w:r>
                      <w:r>
                        <w:rPr/>
                        <w:t>los</w:t>
                      </w:r>
                      <w:r>
                        <w:rPr>
                          <w:spacing w:val="-2"/>
                        </w:rPr>
                        <w:t> saldos;</w:t>
                      </w:r>
                    </w:p>
                    <w:p>
                      <w:pPr>
                        <w:pStyle w:val="BodyText"/>
                        <w:numPr>
                          <w:ilvl w:val="0"/>
                          <w:numId w:val="99"/>
                        </w:numPr>
                        <w:tabs>
                          <w:tab w:pos="823" w:val="left" w:leader="none"/>
                        </w:tabs>
                        <w:spacing w:line="240" w:lineRule="auto" w:before="34" w:after="0"/>
                        <w:ind w:left="823" w:right="0" w:hanging="360"/>
                        <w:jc w:val="left"/>
                      </w:pPr>
                      <w:r>
                        <w:rPr/>
                        <w:t>historial</w:t>
                      </w:r>
                      <w:r>
                        <w:rPr>
                          <w:spacing w:val="-4"/>
                        </w:rPr>
                        <w:t> </w:t>
                      </w:r>
                      <w:r>
                        <w:rPr/>
                        <w:t>de</w:t>
                      </w:r>
                      <w:r>
                        <w:rPr>
                          <w:spacing w:val="-3"/>
                        </w:rPr>
                        <w:t> </w:t>
                      </w:r>
                      <w:r>
                        <w:rPr>
                          <w:spacing w:val="-2"/>
                        </w:rPr>
                        <w:t>cobro;</w:t>
                      </w:r>
                    </w:p>
                    <w:p>
                      <w:pPr>
                        <w:pStyle w:val="BodyText"/>
                        <w:numPr>
                          <w:ilvl w:val="0"/>
                          <w:numId w:val="99"/>
                        </w:numPr>
                        <w:tabs>
                          <w:tab w:pos="823" w:val="left" w:leader="none"/>
                        </w:tabs>
                        <w:spacing w:line="240" w:lineRule="auto" w:before="32" w:after="0"/>
                        <w:ind w:left="823" w:right="0" w:hanging="360"/>
                        <w:jc w:val="left"/>
                      </w:pPr>
                      <w:r>
                        <w:rPr/>
                        <w:t>situación</w:t>
                      </w:r>
                      <w:r>
                        <w:rPr>
                          <w:spacing w:val="-6"/>
                        </w:rPr>
                        <w:t> </w:t>
                      </w:r>
                      <w:r>
                        <w:rPr/>
                        <w:t>financiera</w:t>
                      </w:r>
                      <w:r>
                        <w:rPr>
                          <w:spacing w:val="-4"/>
                        </w:rPr>
                        <w:t> </w:t>
                      </w:r>
                      <w:r>
                        <w:rPr/>
                        <w:t>y</w:t>
                      </w:r>
                      <w:r>
                        <w:rPr>
                          <w:spacing w:val="-6"/>
                        </w:rPr>
                        <w:t> </w:t>
                      </w:r>
                      <w:r>
                        <w:rPr/>
                        <w:t>naturaleza</w:t>
                      </w:r>
                      <w:r>
                        <w:rPr>
                          <w:spacing w:val="-4"/>
                        </w:rPr>
                        <w:t> </w:t>
                      </w:r>
                      <w:r>
                        <w:rPr/>
                        <w:t>jurídica</w:t>
                      </w:r>
                      <w:r>
                        <w:rPr>
                          <w:spacing w:val="-6"/>
                        </w:rPr>
                        <w:t> </w:t>
                      </w:r>
                      <w:r>
                        <w:rPr/>
                        <w:t>de</w:t>
                      </w:r>
                      <w:r>
                        <w:rPr>
                          <w:spacing w:val="-4"/>
                        </w:rPr>
                        <w:t> </w:t>
                      </w:r>
                      <w:r>
                        <w:rPr/>
                        <w:t>los</w:t>
                      </w:r>
                      <w:r>
                        <w:rPr>
                          <w:spacing w:val="-3"/>
                        </w:rPr>
                        <w:t> </w:t>
                      </w:r>
                      <w:r>
                        <w:rPr/>
                        <w:t>deudores;</w:t>
                      </w:r>
                      <w:r>
                        <w:rPr>
                          <w:spacing w:val="-3"/>
                        </w:rPr>
                        <w:t> </w:t>
                      </w:r>
                      <w:r>
                        <w:rPr>
                          <w:spacing w:val="-10"/>
                        </w:rPr>
                        <w:t>y</w:t>
                      </w:r>
                    </w:p>
                    <w:p>
                      <w:pPr>
                        <w:pStyle w:val="BodyText"/>
                        <w:numPr>
                          <w:ilvl w:val="0"/>
                          <w:numId w:val="99"/>
                        </w:numPr>
                        <w:tabs>
                          <w:tab w:pos="823" w:val="left" w:leader="none"/>
                        </w:tabs>
                        <w:spacing w:line="240" w:lineRule="auto" w:before="33" w:after="0"/>
                        <w:ind w:left="823" w:right="0" w:hanging="360"/>
                        <w:jc w:val="left"/>
                      </w:pPr>
                      <w:r>
                        <w:rPr/>
                        <w:t>respaldo</w:t>
                      </w:r>
                      <w:r>
                        <w:rPr>
                          <w:spacing w:val="-4"/>
                        </w:rPr>
                        <w:t> </w:t>
                      </w:r>
                      <w:r>
                        <w:rPr/>
                        <w:t>legal</w:t>
                      </w:r>
                      <w:r>
                        <w:rPr>
                          <w:spacing w:val="-4"/>
                        </w:rPr>
                        <w:t> </w:t>
                      </w:r>
                      <w:r>
                        <w:rPr/>
                        <w:t>de</w:t>
                      </w:r>
                      <w:r>
                        <w:rPr>
                          <w:spacing w:val="-2"/>
                        </w:rPr>
                        <w:t> </w:t>
                      </w:r>
                      <w:r>
                        <w:rPr/>
                        <w:t>los</w:t>
                      </w:r>
                      <w:r>
                        <w:rPr>
                          <w:spacing w:val="-3"/>
                        </w:rPr>
                        <w:t> </w:t>
                      </w:r>
                      <w:r>
                        <w:rPr/>
                        <w:t>derechos</w:t>
                      </w:r>
                      <w:r>
                        <w:rPr>
                          <w:spacing w:val="-3"/>
                        </w:rPr>
                        <w:t> </w:t>
                      </w:r>
                      <w:r>
                        <w:rPr/>
                        <w:t>de</w:t>
                      </w:r>
                      <w:r>
                        <w:rPr>
                          <w:spacing w:val="-2"/>
                        </w:rPr>
                        <w:t> cobro.</w:t>
                      </w:r>
                    </w:p>
                    <w:p>
                      <w:pPr>
                        <w:pStyle w:val="BodyText"/>
                        <w:spacing w:before="69"/>
                      </w:pPr>
                    </w:p>
                    <w:p>
                      <w:pPr>
                        <w:pStyle w:val="BodyText"/>
                        <w:spacing w:line="276" w:lineRule="auto"/>
                        <w:ind w:left="103" w:right="100"/>
                        <w:jc w:val="both"/>
                      </w:pPr>
                      <w:r>
                        <w:rPr/>
                        <w:t>Como resultado de este análisis, no se identificaron pérdidas por deterioro del valor de los activos financieros</w:t>
                      </w:r>
                      <w:r>
                        <w:rPr>
                          <w:spacing w:val="-11"/>
                        </w:rPr>
                        <w:t> </w:t>
                      </w:r>
                      <w:r>
                        <w:rPr/>
                        <w:t>que</w:t>
                      </w:r>
                      <w:r>
                        <w:rPr>
                          <w:spacing w:val="-11"/>
                        </w:rPr>
                        <w:t> </w:t>
                      </w:r>
                      <w:r>
                        <w:rPr/>
                        <w:t>requirieran</w:t>
                      </w:r>
                      <w:r>
                        <w:rPr>
                          <w:spacing w:val="-9"/>
                        </w:rPr>
                        <w:t> </w:t>
                      </w:r>
                      <w:r>
                        <w:rPr/>
                        <w:t>el</w:t>
                      </w:r>
                      <w:r>
                        <w:rPr>
                          <w:spacing w:val="-10"/>
                        </w:rPr>
                        <w:t> </w:t>
                      </w:r>
                      <w:r>
                        <w:rPr/>
                        <w:t>reconocimiento</w:t>
                      </w:r>
                      <w:r>
                        <w:rPr>
                          <w:spacing w:val="-8"/>
                        </w:rPr>
                        <w:t> </w:t>
                      </w:r>
                      <w:r>
                        <w:rPr/>
                        <w:t>de</w:t>
                      </w:r>
                      <w:r>
                        <w:rPr>
                          <w:spacing w:val="-11"/>
                        </w:rPr>
                        <w:t> </w:t>
                      </w:r>
                      <w:r>
                        <w:rPr/>
                        <w:t>ajustes</w:t>
                      </w:r>
                      <w:r>
                        <w:rPr>
                          <w:spacing w:val="-11"/>
                        </w:rPr>
                        <w:t> </w:t>
                      </w:r>
                      <w:r>
                        <w:rPr/>
                        <w:t>adicionales</w:t>
                      </w:r>
                      <w:r>
                        <w:rPr>
                          <w:spacing w:val="-9"/>
                        </w:rPr>
                        <w:t> </w:t>
                      </w:r>
                      <w:r>
                        <w:rPr/>
                        <w:t>al</w:t>
                      </w:r>
                      <w:r>
                        <w:rPr>
                          <w:spacing w:val="-10"/>
                        </w:rPr>
                        <w:t> </w:t>
                      </w:r>
                      <w:r>
                        <w:rPr/>
                        <w:t>cierre</w:t>
                      </w:r>
                      <w:r>
                        <w:rPr>
                          <w:spacing w:val="-11"/>
                        </w:rPr>
                        <w:t> </w:t>
                      </w:r>
                      <w:r>
                        <w:rPr/>
                        <w:t>del</w:t>
                      </w:r>
                      <w:r>
                        <w:rPr>
                          <w:spacing w:val="-8"/>
                        </w:rPr>
                        <w:t> </w:t>
                      </w:r>
                      <w:r>
                        <w:rPr/>
                        <w:t>periodo.</w:t>
                      </w:r>
                      <w:r>
                        <w:rPr>
                          <w:spacing w:val="-10"/>
                        </w:rPr>
                        <w:t> </w:t>
                      </w:r>
                      <w:r>
                        <w:rPr/>
                        <w:t>En</w:t>
                      </w:r>
                      <w:r>
                        <w:rPr>
                          <w:spacing w:val="-9"/>
                        </w:rPr>
                        <w:t> </w:t>
                      </w:r>
                      <w:r>
                        <w:rPr/>
                        <w:t>los</w:t>
                      </w:r>
                      <w:r>
                        <w:rPr>
                          <w:spacing w:val="-8"/>
                        </w:rPr>
                        <w:t> </w:t>
                      </w:r>
                      <w:r>
                        <w:rPr/>
                        <w:t>casos en que se identificaron saldos con mayor riesgo de recuperación, estos se encuentran debidamente gestionados</w:t>
                      </w:r>
                      <w:r>
                        <w:rPr>
                          <w:spacing w:val="-6"/>
                        </w:rPr>
                        <w:t> </w:t>
                      </w:r>
                      <w:r>
                        <w:rPr/>
                        <w:t>conforme</w:t>
                      </w:r>
                      <w:r>
                        <w:rPr>
                          <w:spacing w:val="-6"/>
                        </w:rPr>
                        <w:t> </w:t>
                      </w:r>
                      <w:r>
                        <w:rPr/>
                        <w:t>a</w:t>
                      </w:r>
                      <w:r>
                        <w:rPr>
                          <w:spacing w:val="-8"/>
                        </w:rPr>
                        <w:t> </w:t>
                      </w:r>
                      <w:r>
                        <w:rPr/>
                        <w:t>los</w:t>
                      </w:r>
                      <w:r>
                        <w:rPr>
                          <w:spacing w:val="-6"/>
                        </w:rPr>
                        <w:t> </w:t>
                      </w:r>
                      <w:r>
                        <w:rPr/>
                        <w:t>procedimientos</w:t>
                      </w:r>
                      <w:r>
                        <w:rPr>
                          <w:spacing w:val="-4"/>
                        </w:rPr>
                        <w:t> </w:t>
                      </w:r>
                      <w:r>
                        <w:rPr/>
                        <w:t>administrativos</w:t>
                      </w:r>
                      <w:r>
                        <w:rPr>
                          <w:spacing w:val="-5"/>
                        </w:rPr>
                        <w:t> </w:t>
                      </w:r>
                      <w:r>
                        <w:rPr/>
                        <w:t>y</w:t>
                      </w:r>
                      <w:r>
                        <w:rPr>
                          <w:spacing w:val="-6"/>
                        </w:rPr>
                        <w:t> </w:t>
                      </w:r>
                      <w:r>
                        <w:rPr/>
                        <w:t>legales</w:t>
                      </w:r>
                      <w:r>
                        <w:rPr>
                          <w:spacing w:val="-4"/>
                        </w:rPr>
                        <w:t> </w:t>
                      </w:r>
                      <w:r>
                        <w:rPr/>
                        <w:t>establecidos,</w:t>
                      </w:r>
                      <w:r>
                        <w:rPr>
                          <w:spacing w:val="-7"/>
                        </w:rPr>
                        <w:t> </w:t>
                      </w:r>
                      <w:r>
                        <w:rPr/>
                        <w:t>sin</w:t>
                      </w:r>
                      <w:r>
                        <w:rPr>
                          <w:spacing w:val="-4"/>
                        </w:rPr>
                        <w:t> </w:t>
                      </w:r>
                      <w:r>
                        <w:rPr/>
                        <w:t>que</w:t>
                      </w:r>
                      <w:r>
                        <w:rPr>
                          <w:spacing w:val="-8"/>
                        </w:rPr>
                        <w:t> </w:t>
                      </w:r>
                      <w:r>
                        <w:rPr/>
                        <w:t>a</w:t>
                      </w:r>
                      <w:r>
                        <w:rPr>
                          <w:spacing w:val="-5"/>
                        </w:rPr>
                        <w:t> </w:t>
                      </w:r>
                      <w:r>
                        <w:rPr/>
                        <w:t>la</w:t>
                      </w:r>
                      <w:r>
                        <w:rPr>
                          <w:spacing w:val="-6"/>
                        </w:rPr>
                        <w:t> </w:t>
                      </w:r>
                      <w:r>
                        <w:rPr/>
                        <w:t>fecha</w:t>
                      </w:r>
                      <w:r>
                        <w:rPr>
                          <w:spacing w:val="-8"/>
                        </w:rPr>
                        <w:t> </w:t>
                      </w:r>
                      <w:r>
                        <w:rPr/>
                        <w:t>se haya determinado la necesidad de registrar deterioro contable.</w:t>
                      </w:r>
                    </w:p>
                  </w:txbxContent>
                </v:textbox>
                <v:stroke dashstyle="solid"/>
                <w10:wrap type="topAndBottom"/>
              </v:shape>
            </w:pict>
          </mc:Fallback>
        </mc:AlternateContent>
      </w:r>
    </w:p>
    <w:p>
      <w:pPr>
        <w:pStyle w:val="BodyText"/>
      </w:pPr>
    </w:p>
    <w:p>
      <w:pPr>
        <w:pStyle w:val="BodyText"/>
        <w:spacing w:before="185"/>
      </w:pPr>
    </w:p>
    <w:p>
      <w:pPr>
        <w:pStyle w:val="ListParagraph"/>
        <w:numPr>
          <w:ilvl w:val="1"/>
          <w:numId w:val="98"/>
        </w:numPr>
        <w:tabs>
          <w:tab w:pos="1341" w:val="left" w:leader="none"/>
        </w:tabs>
        <w:spacing w:line="240" w:lineRule="auto" w:before="0" w:after="0"/>
        <w:ind w:left="1341" w:right="0" w:hanging="360"/>
        <w:jc w:val="left"/>
        <w:rPr>
          <w:sz w:val="22"/>
        </w:rPr>
      </w:pPr>
      <w:r>
        <w:rPr>
          <w:sz w:val="22"/>
          <w:u w:val="single"/>
        </w:rPr>
        <w:t>Instrumentos</w:t>
      </w:r>
      <w:r>
        <w:rPr>
          <w:spacing w:val="-10"/>
          <w:sz w:val="22"/>
          <w:u w:val="single"/>
        </w:rPr>
        <w:t> </w:t>
      </w:r>
      <w:r>
        <w:rPr>
          <w:sz w:val="22"/>
          <w:u w:val="single"/>
        </w:rPr>
        <w:t>financieros</w:t>
      </w:r>
      <w:r>
        <w:rPr>
          <w:spacing w:val="-5"/>
          <w:sz w:val="22"/>
          <w:u w:val="single"/>
        </w:rPr>
        <w:t> </w:t>
      </w:r>
      <w:r>
        <w:rPr>
          <w:sz w:val="22"/>
          <w:u w:val="single"/>
        </w:rPr>
        <w:t>compuestos</w:t>
      </w:r>
      <w:r>
        <w:rPr>
          <w:spacing w:val="-7"/>
          <w:sz w:val="22"/>
          <w:u w:val="single"/>
        </w:rPr>
        <w:t> </w:t>
      </w:r>
      <w:r>
        <w:rPr>
          <w:sz w:val="22"/>
          <w:u w:val="single"/>
        </w:rPr>
        <w:t>o</w:t>
      </w:r>
      <w:r>
        <w:rPr>
          <w:spacing w:val="-8"/>
          <w:sz w:val="22"/>
          <w:u w:val="single"/>
        </w:rPr>
        <w:t> </w:t>
      </w:r>
      <w:r>
        <w:rPr>
          <w:sz w:val="22"/>
          <w:u w:val="single"/>
        </w:rPr>
        <w:t>múltiples</w:t>
      </w:r>
      <w:r>
        <w:rPr>
          <w:spacing w:val="-5"/>
          <w:sz w:val="22"/>
          <w:u w:val="single"/>
        </w:rPr>
        <w:t> </w:t>
      </w:r>
      <w:r>
        <w:rPr>
          <w:sz w:val="22"/>
          <w:u w:val="single"/>
        </w:rPr>
        <w:t>derivados</w:t>
      </w:r>
      <w:r>
        <w:rPr>
          <w:spacing w:val="-5"/>
          <w:sz w:val="22"/>
          <w:u w:val="single"/>
        </w:rPr>
        <w:t> </w:t>
      </w:r>
      <w:r>
        <w:rPr>
          <w:sz w:val="22"/>
          <w:u w:val="single"/>
        </w:rPr>
        <w:t>implícitos</w:t>
      </w:r>
      <w:r>
        <w:rPr>
          <w:spacing w:val="-5"/>
          <w:sz w:val="22"/>
          <w:u w:val="single"/>
        </w:rPr>
        <w:t> </w:t>
      </w:r>
      <w:r>
        <w:rPr>
          <w:sz w:val="22"/>
          <w:u w:val="single"/>
        </w:rPr>
        <w:t>(párrafo</w:t>
      </w:r>
      <w:r>
        <w:rPr>
          <w:spacing w:val="-4"/>
          <w:sz w:val="22"/>
          <w:u w:val="single"/>
        </w:rPr>
        <w:t> </w:t>
      </w:r>
      <w:r>
        <w:rPr>
          <w:spacing w:val="-5"/>
          <w:sz w:val="22"/>
          <w:u w:val="single"/>
        </w:rPr>
        <w:t>21)</w:t>
      </w:r>
    </w:p>
    <w:p>
      <w:pPr>
        <w:pStyle w:val="BodyText"/>
        <w:spacing w:before="32"/>
        <w:rPr>
          <w:sz w:val="20"/>
        </w:rPr>
      </w:pPr>
      <w:r>
        <w:rPr>
          <w:sz w:val="20"/>
        </w:rPr>
        <mc:AlternateContent>
          <mc:Choice Requires="wps">
            <w:drawing>
              <wp:anchor distT="0" distB="0" distL="0" distR="0" allowOverlap="1" layoutInCell="1" locked="0" behindDoc="1" simplePos="0" relativeHeight="487826944">
                <wp:simplePos x="0" y="0"/>
                <wp:positionH relativeFrom="page">
                  <wp:posOffset>1080820</wp:posOffset>
                </wp:positionH>
                <wp:positionV relativeFrom="paragraph">
                  <wp:posOffset>183634</wp:posOffset>
                </wp:positionV>
                <wp:extent cx="5715000" cy="1013460"/>
                <wp:effectExtent l="0" t="0" r="0" b="0"/>
                <wp:wrapTopAndBottom/>
                <wp:docPr id="1183" name="Textbox 1183"/>
                <wp:cNvGraphicFramePr>
                  <a:graphicFrameLocks/>
                </wp:cNvGraphicFramePr>
                <a:graphic>
                  <a:graphicData uri="http://schemas.microsoft.com/office/word/2010/wordprocessingShape">
                    <wps:wsp>
                      <wps:cNvPr id="1183" name="Textbox 1183"/>
                      <wps:cNvSpPr txBox="1"/>
                      <wps:spPr>
                        <a:xfrm>
                          <a:off x="0" y="0"/>
                          <a:ext cx="5715000" cy="1013460"/>
                        </a:xfrm>
                        <a:prstGeom prst="rect">
                          <a:avLst/>
                        </a:prstGeom>
                        <a:ln w="6095">
                          <a:solidFill>
                            <a:srgbClr val="000000"/>
                          </a:solidFill>
                          <a:prstDash val="solid"/>
                        </a:ln>
                      </wps:spPr>
                      <wps:txbx>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1"/>
                              <w:jc w:val="both"/>
                            </w:pPr>
                            <w:r>
                              <w:rPr/>
                              <w:t>De conformidad con el párrafo 21 de la NICSP 29 – Instrumentos Financieros: Reconocimiento y Medición, una entidad debe evaluar si existen instrumentos financieros compuestos o contratos que contengan derivados implícitos, y, de ser así, revelar su naturaleza, características y tratamiento </w:t>
                            </w:r>
                            <w:r>
                              <w:rPr>
                                <w:spacing w:val="-2"/>
                              </w:rPr>
                              <w:t>contable.</w:t>
                            </w:r>
                          </w:p>
                        </w:txbxContent>
                      </wps:txbx>
                      <wps:bodyPr wrap="square" lIns="0" tIns="0" rIns="0" bIns="0" rtlCol="0">
                        <a:noAutofit/>
                      </wps:bodyPr>
                    </wps:wsp>
                  </a:graphicData>
                </a:graphic>
              </wp:anchor>
            </w:drawing>
          </mc:Choice>
          <mc:Fallback>
            <w:pict>
              <v:shape style="position:absolute;margin-left:85.103996pt;margin-top:14.459375pt;width:450pt;height:79.8pt;mso-position-horizontal-relative:page;mso-position-vertical-relative:paragraph;z-index:-15489536;mso-wrap-distance-left:0;mso-wrap-distance-right:0" type="#_x0000_t202" id="docshape1127" filled="false" stroked="true" strokeweight=".47998pt" strokecolor="#000000">
                <v:textbox inset="0,0,0,0">
                  <w:txbxContent>
                    <w:p>
                      <w:pPr>
                        <w:spacing w:before="3"/>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8"/>
                        <w:ind w:left="103" w:right="101"/>
                        <w:jc w:val="both"/>
                      </w:pPr>
                      <w:r>
                        <w:rPr/>
                        <w:t>De conformidad con el párrafo 21 de la NICSP 29 – Instrumentos Financieros: Reconocimiento y Medición, una entidad debe evaluar si existen instrumentos financieros compuestos o contratos que contengan derivados implícitos, y, de ser así, revelar su naturaleza, características y tratamiento </w:t>
                      </w:r>
                      <w:r>
                        <w:rPr>
                          <w:spacing w:val="-2"/>
                        </w:rPr>
                        <w:t>contable.</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6912">
                <wp:simplePos x="0" y="0"/>
                <wp:positionH relativeFrom="page">
                  <wp:posOffset>9525</wp:posOffset>
                </wp:positionH>
                <wp:positionV relativeFrom="page">
                  <wp:posOffset>297208</wp:posOffset>
                </wp:positionV>
                <wp:extent cx="7762875" cy="9748520"/>
                <wp:effectExtent l="0" t="0" r="0" b="0"/>
                <wp:wrapNone/>
                <wp:docPr id="1184" name="Group 1184"/>
                <wp:cNvGraphicFramePr>
                  <a:graphicFrameLocks/>
                </wp:cNvGraphicFramePr>
                <a:graphic>
                  <a:graphicData uri="http://schemas.microsoft.com/office/word/2010/wordprocessingGroup">
                    <wpg:wgp>
                      <wpg:cNvPr id="1184" name="Group 1184"/>
                      <wpg:cNvGrpSpPr/>
                      <wpg:grpSpPr>
                        <a:xfrm>
                          <a:off x="0" y="0"/>
                          <a:ext cx="7762875" cy="9748520"/>
                          <a:chExt cx="7762875" cy="9748520"/>
                        </a:xfrm>
                      </wpg:grpSpPr>
                      <pic:pic>
                        <pic:nvPicPr>
                          <pic:cNvPr id="1185" name="Image 1185"/>
                          <pic:cNvPicPr/>
                        </pic:nvPicPr>
                        <pic:blipFill>
                          <a:blip r:embed="rId5" cstate="print"/>
                          <a:stretch>
                            <a:fillRect/>
                          </a:stretch>
                        </pic:blipFill>
                        <pic:spPr>
                          <a:xfrm>
                            <a:off x="0" y="0"/>
                            <a:ext cx="7762874" cy="9748489"/>
                          </a:xfrm>
                          <a:prstGeom prst="rect">
                            <a:avLst/>
                          </a:prstGeom>
                        </pic:spPr>
                      </pic:pic>
                      <wps:wsp>
                        <wps:cNvPr id="1186" name="Graphic 118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9568" id="docshapegroup1128" coordorigin="15,468" coordsize="12225,15352">
                <v:shape style="position:absolute;left:15;top:468;width:12225;height:15352" type="#_x0000_t75" id="docshape1129" stroked="false">
                  <v:imagedata r:id="rId5" o:title=""/>
                </v:shape>
                <v:rect style="position:absolute;left:1673;top:2028;width:8897;height:15" id="docshape1130"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231</w:t>
      </w:r>
    </w:p>
    <w:p>
      <w:pPr>
        <w:pStyle w:val="BodyText"/>
        <w:spacing w:before="10"/>
        <w:rPr>
          <w:sz w:val="16"/>
        </w:rPr>
      </w:pPr>
      <w:r>
        <w:rPr>
          <w:sz w:val="16"/>
        </w:rPr>
        <mc:AlternateContent>
          <mc:Choice Requires="wps">
            <w:drawing>
              <wp:anchor distT="0" distB="0" distL="0" distR="0" allowOverlap="1" layoutInCell="1" locked="0" behindDoc="1" simplePos="0" relativeHeight="487827968">
                <wp:simplePos x="0" y="0"/>
                <wp:positionH relativeFrom="page">
                  <wp:posOffset>1080820</wp:posOffset>
                </wp:positionH>
                <wp:positionV relativeFrom="paragraph">
                  <wp:posOffset>141144</wp:posOffset>
                </wp:positionV>
                <wp:extent cx="5715000" cy="635635"/>
                <wp:effectExtent l="0" t="0" r="0" b="0"/>
                <wp:wrapTopAndBottom/>
                <wp:docPr id="1187" name="Textbox 1187"/>
                <wp:cNvGraphicFramePr>
                  <a:graphicFrameLocks/>
                </wp:cNvGraphicFramePr>
                <a:graphic>
                  <a:graphicData uri="http://schemas.microsoft.com/office/word/2010/wordprocessingShape">
                    <wps:wsp>
                      <wps:cNvPr id="1187" name="Textbox 1187"/>
                      <wps:cNvSpPr txBox="1"/>
                      <wps:spPr>
                        <a:xfrm>
                          <a:off x="0" y="0"/>
                          <a:ext cx="5715000" cy="635635"/>
                        </a:xfrm>
                        <a:prstGeom prst="rect">
                          <a:avLst/>
                        </a:prstGeom>
                        <a:ln w="6095">
                          <a:solidFill>
                            <a:srgbClr val="000000"/>
                          </a:solidFill>
                          <a:prstDash val="solid"/>
                        </a:ln>
                      </wps:spPr>
                      <wps:txbx>
                        <w:txbxContent>
                          <w:p>
                            <w:pPr>
                              <w:pStyle w:val="BodyText"/>
                              <w:spacing w:before="39"/>
                            </w:pPr>
                          </w:p>
                          <w:p>
                            <w:pPr>
                              <w:pStyle w:val="BodyText"/>
                              <w:spacing w:line="259" w:lineRule="auto" w:before="1"/>
                              <w:ind w:left="103"/>
                            </w:pPr>
                            <w:r>
                              <w:rPr/>
                              <w:t>Al</w:t>
                            </w:r>
                            <w:r>
                              <w:rPr>
                                <w:spacing w:val="40"/>
                              </w:rPr>
                              <w:t> </w:t>
                            </w:r>
                            <w:r>
                              <w:rPr/>
                              <w:t>cierre</w:t>
                            </w:r>
                            <w:r>
                              <w:rPr>
                                <w:spacing w:val="40"/>
                              </w:rPr>
                              <w:t> </w:t>
                            </w:r>
                            <w:r>
                              <w:rPr/>
                              <w:t>del</w:t>
                            </w:r>
                            <w:r>
                              <w:rPr>
                                <w:spacing w:val="40"/>
                              </w:rPr>
                              <w:t> </w:t>
                            </w:r>
                            <w:r>
                              <w:rPr/>
                              <w:t>periodo</w:t>
                            </w:r>
                            <w:r>
                              <w:rPr>
                                <w:spacing w:val="40"/>
                              </w:rPr>
                              <w:t> </w:t>
                            </w:r>
                            <w:r>
                              <w:rPr/>
                              <w:t>sobre</w:t>
                            </w:r>
                            <w:r>
                              <w:rPr>
                                <w:spacing w:val="40"/>
                              </w:rPr>
                              <w:t> </w:t>
                            </w:r>
                            <w:r>
                              <w:rPr/>
                              <w:t>el</w:t>
                            </w:r>
                            <w:r>
                              <w:rPr>
                                <w:spacing w:val="40"/>
                              </w:rPr>
                              <w:t> </w:t>
                            </w:r>
                            <w:r>
                              <w:rPr/>
                              <w:t>que</w:t>
                            </w:r>
                            <w:r>
                              <w:rPr>
                                <w:spacing w:val="40"/>
                              </w:rPr>
                              <w:t> </w:t>
                            </w:r>
                            <w:r>
                              <w:rPr/>
                              <w:t>se</w:t>
                            </w:r>
                            <w:r>
                              <w:rPr>
                                <w:spacing w:val="40"/>
                              </w:rPr>
                              <w:t> </w:t>
                            </w:r>
                            <w:r>
                              <w:rPr/>
                              <w:t>informa,</w:t>
                            </w:r>
                            <w:r>
                              <w:rPr>
                                <w:spacing w:val="40"/>
                              </w:rPr>
                              <w:t> </w:t>
                            </w:r>
                            <w:r>
                              <w:rPr/>
                              <w:t>el</w:t>
                            </w:r>
                            <w:r>
                              <w:rPr>
                                <w:spacing w:val="40"/>
                              </w:rPr>
                              <w:t> </w:t>
                            </w:r>
                            <w:r>
                              <w:rPr/>
                              <w:t>IMAS</w:t>
                            </w:r>
                            <w:r>
                              <w:rPr>
                                <w:spacing w:val="40"/>
                              </w:rPr>
                              <w:t> </w:t>
                            </w:r>
                            <w:r>
                              <w:rPr/>
                              <w:t>no</w:t>
                            </w:r>
                            <w:r>
                              <w:rPr>
                                <w:spacing w:val="40"/>
                              </w:rPr>
                              <w:t> </w:t>
                            </w:r>
                            <w:r>
                              <w:rPr/>
                              <w:t>mantiene</w:t>
                            </w:r>
                            <w:r>
                              <w:rPr>
                                <w:spacing w:val="40"/>
                              </w:rPr>
                              <w:t> </w:t>
                            </w:r>
                            <w:r>
                              <w:rPr/>
                              <w:t>instrumentos</w:t>
                            </w:r>
                            <w:r>
                              <w:rPr>
                                <w:spacing w:val="40"/>
                              </w:rPr>
                              <w:t> </w:t>
                            </w:r>
                            <w:r>
                              <w:rPr/>
                              <w:t>financieros compuestos ni contratos que incluyan derivados implícitos</w:t>
                            </w:r>
                          </w:p>
                        </w:txbxContent>
                      </wps:txbx>
                      <wps:bodyPr wrap="square" lIns="0" tIns="0" rIns="0" bIns="0" rtlCol="0">
                        <a:noAutofit/>
                      </wps:bodyPr>
                    </wps:wsp>
                  </a:graphicData>
                </a:graphic>
              </wp:anchor>
            </w:drawing>
          </mc:Choice>
          <mc:Fallback>
            <w:pict>
              <v:shape style="position:absolute;margin-left:85.103996pt;margin-top:11.11375pt;width:450pt;height:50.05pt;mso-position-horizontal-relative:page;mso-position-vertical-relative:paragraph;z-index:-15488512;mso-wrap-distance-left:0;mso-wrap-distance-right:0" type="#_x0000_t202" id="docshape1131" filled="false" stroked="true" strokeweight=".47998pt" strokecolor="#000000">
                <v:textbox inset="0,0,0,0">
                  <w:txbxContent>
                    <w:p>
                      <w:pPr>
                        <w:pStyle w:val="BodyText"/>
                        <w:spacing w:before="39"/>
                      </w:pPr>
                    </w:p>
                    <w:p>
                      <w:pPr>
                        <w:pStyle w:val="BodyText"/>
                        <w:spacing w:line="259" w:lineRule="auto" w:before="1"/>
                        <w:ind w:left="103"/>
                      </w:pPr>
                      <w:r>
                        <w:rPr/>
                        <w:t>Al</w:t>
                      </w:r>
                      <w:r>
                        <w:rPr>
                          <w:spacing w:val="40"/>
                        </w:rPr>
                        <w:t> </w:t>
                      </w:r>
                      <w:r>
                        <w:rPr/>
                        <w:t>cierre</w:t>
                      </w:r>
                      <w:r>
                        <w:rPr>
                          <w:spacing w:val="40"/>
                        </w:rPr>
                        <w:t> </w:t>
                      </w:r>
                      <w:r>
                        <w:rPr/>
                        <w:t>del</w:t>
                      </w:r>
                      <w:r>
                        <w:rPr>
                          <w:spacing w:val="40"/>
                        </w:rPr>
                        <w:t> </w:t>
                      </w:r>
                      <w:r>
                        <w:rPr/>
                        <w:t>periodo</w:t>
                      </w:r>
                      <w:r>
                        <w:rPr>
                          <w:spacing w:val="40"/>
                        </w:rPr>
                        <w:t> </w:t>
                      </w:r>
                      <w:r>
                        <w:rPr/>
                        <w:t>sobre</w:t>
                      </w:r>
                      <w:r>
                        <w:rPr>
                          <w:spacing w:val="40"/>
                        </w:rPr>
                        <w:t> </w:t>
                      </w:r>
                      <w:r>
                        <w:rPr/>
                        <w:t>el</w:t>
                      </w:r>
                      <w:r>
                        <w:rPr>
                          <w:spacing w:val="40"/>
                        </w:rPr>
                        <w:t> </w:t>
                      </w:r>
                      <w:r>
                        <w:rPr/>
                        <w:t>que</w:t>
                      </w:r>
                      <w:r>
                        <w:rPr>
                          <w:spacing w:val="40"/>
                        </w:rPr>
                        <w:t> </w:t>
                      </w:r>
                      <w:r>
                        <w:rPr/>
                        <w:t>se</w:t>
                      </w:r>
                      <w:r>
                        <w:rPr>
                          <w:spacing w:val="40"/>
                        </w:rPr>
                        <w:t> </w:t>
                      </w:r>
                      <w:r>
                        <w:rPr/>
                        <w:t>informa,</w:t>
                      </w:r>
                      <w:r>
                        <w:rPr>
                          <w:spacing w:val="40"/>
                        </w:rPr>
                        <w:t> </w:t>
                      </w:r>
                      <w:r>
                        <w:rPr/>
                        <w:t>el</w:t>
                      </w:r>
                      <w:r>
                        <w:rPr>
                          <w:spacing w:val="40"/>
                        </w:rPr>
                        <w:t> </w:t>
                      </w:r>
                      <w:r>
                        <w:rPr/>
                        <w:t>IMAS</w:t>
                      </w:r>
                      <w:r>
                        <w:rPr>
                          <w:spacing w:val="40"/>
                        </w:rPr>
                        <w:t> </w:t>
                      </w:r>
                      <w:r>
                        <w:rPr/>
                        <w:t>no</w:t>
                      </w:r>
                      <w:r>
                        <w:rPr>
                          <w:spacing w:val="40"/>
                        </w:rPr>
                        <w:t> </w:t>
                      </w:r>
                      <w:r>
                        <w:rPr/>
                        <w:t>mantiene</w:t>
                      </w:r>
                      <w:r>
                        <w:rPr>
                          <w:spacing w:val="40"/>
                        </w:rPr>
                        <w:t> </w:t>
                      </w:r>
                      <w:r>
                        <w:rPr/>
                        <w:t>instrumentos</w:t>
                      </w:r>
                      <w:r>
                        <w:rPr>
                          <w:spacing w:val="40"/>
                        </w:rPr>
                        <w:t> </w:t>
                      </w:r>
                      <w:r>
                        <w:rPr/>
                        <w:t>financieros compuestos ni contratos que incluyan derivados implícitos</w:t>
                      </w:r>
                    </w:p>
                  </w:txbxContent>
                </v:textbox>
                <v:stroke dashstyle="solid"/>
                <w10:wrap type="topAndBottom"/>
              </v:shape>
            </w:pict>
          </mc:Fallback>
        </mc:AlternateContent>
      </w:r>
    </w:p>
    <w:p>
      <w:pPr>
        <w:pStyle w:val="BodyText"/>
      </w:pPr>
    </w:p>
    <w:p>
      <w:pPr>
        <w:pStyle w:val="BodyText"/>
        <w:spacing w:before="5"/>
      </w:pPr>
    </w:p>
    <w:p>
      <w:pPr>
        <w:pStyle w:val="ListParagraph"/>
        <w:numPr>
          <w:ilvl w:val="1"/>
          <w:numId w:val="98"/>
        </w:numPr>
        <w:tabs>
          <w:tab w:pos="1340" w:val="left" w:leader="none"/>
        </w:tabs>
        <w:spacing w:line="240" w:lineRule="auto" w:before="0" w:after="0"/>
        <w:ind w:left="1340" w:right="0" w:hanging="359"/>
        <w:jc w:val="left"/>
        <w:rPr>
          <w:sz w:val="22"/>
        </w:rPr>
      </w:pPr>
      <w:r>
        <w:rPr>
          <w:sz w:val="22"/>
          <w:u w:val="single"/>
        </w:rPr>
        <w:t>Incumplimientos</w:t>
      </w:r>
      <w:r>
        <w:rPr>
          <w:spacing w:val="-5"/>
          <w:sz w:val="22"/>
          <w:u w:val="single"/>
        </w:rPr>
        <w:t> </w:t>
      </w:r>
      <w:r>
        <w:rPr>
          <w:sz w:val="22"/>
          <w:u w:val="single"/>
        </w:rPr>
        <w:t>y</w:t>
      </w:r>
      <w:r>
        <w:rPr>
          <w:spacing w:val="-9"/>
          <w:sz w:val="22"/>
          <w:u w:val="single"/>
        </w:rPr>
        <w:t> </w:t>
      </w:r>
      <w:r>
        <w:rPr>
          <w:sz w:val="22"/>
          <w:u w:val="single"/>
        </w:rPr>
        <w:t>otras</w:t>
      </w:r>
      <w:r>
        <w:rPr>
          <w:spacing w:val="-4"/>
          <w:sz w:val="22"/>
          <w:u w:val="single"/>
        </w:rPr>
        <w:t> </w:t>
      </w:r>
      <w:r>
        <w:rPr>
          <w:sz w:val="22"/>
          <w:u w:val="single"/>
        </w:rPr>
        <w:t>infracciones</w:t>
      </w:r>
      <w:r>
        <w:rPr>
          <w:spacing w:val="-4"/>
          <w:sz w:val="22"/>
          <w:u w:val="single"/>
        </w:rPr>
        <w:t> </w:t>
      </w:r>
      <w:r>
        <w:rPr>
          <w:sz w:val="22"/>
          <w:u w:val="single"/>
        </w:rPr>
        <w:t>(párrafo</w:t>
      </w:r>
      <w:r>
        <w:rPr>
          <w:spacing w:val="-5"/>
          <w:sz w:val="22"/>
          <w:u w:val="single"/>
        </w:rPr>
        <w:t> 22)</w:t>
      </w:r>
    </w:p>
    <w:p>
      <w:pPr>
        <w:pStyle w:val="BodyText"/>
        <w:spacing w:before="33"/>
        <w:rPr>
          <w:sz w:val="20"/>
        </w:rPr>
      </w:pPr>
      <w:r>
        <w:rPr>
          <w:sz w:val="20"/>
        </w:rPr>
        <mc:AlternateContent>
          <mc:Choice Requires="wps">
            <w:drawing>
              <wp:anchor distT="0" distB="0" distL="0" distR="0" allowOverlap="1" layoutInCell="1" locked="0" behindDoc="1" simplePos="0" relativeHeight="487828480">
                <wp:simplePos x="0" y="0"/>
                <wp:positionH relativeFrom="page">
                  <wp:posOffset>1080820</wp:posOffset>
                </wp:positionH>
                <wp:positionV relativeFrom="paragraph">
                  <wp:posOffset>184777</wp:posOffset>
                </wp:positionV>
                <wp:extent cx="5715000" cy="1929764"/>
                <wp:effectExtent l="0" t="0" r="0" b="0"/>
                <wp:wrapTopAndBottom/>
                <wp:docPr id="1188" name="Textbox 1188"/>
                <wp:cNvGraphicFramePr>
                  <a:graphicFrameLocks/>
                </wp:cNvGraphicFramePr>
                <a:graphic>
                  <a:graphicData uri="http://schemas.microsoft.com/office/word/2010/wordprocessingShape">
                    <wps:wsp>
                      <wps:cNvPr id="1188" name="Textbox 1188"/>
                      <wps:cNvSpPr txBox="1"/>
                      <wps:spPr>
                        <a:xfrm>
                          <a:off x="0" y="0"/>
                          <a:ext cx="5715000" cy="1929764"/>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De</w:t>
                            </w:r>
                            <w:r>
                              <w:rPr>
                                <w:spacing w:val="-14"/>
                              </w:rPr>
                              <w:t> </w:t>
                            </w:r>
                            <w:r>
                              <w:rPr/>
                              <w:t>conformidad</w:t>
                            </w:r>
                            <w:r>
                              <w:rPr>
                                <w:spacing w:val="-14"/>
                              </w:rPr>
                              <w:t> </w:t>
                            </w:r>
                            <w:r>
                              <w:rPr/>
                              <w:t>con</w:t>
                            </w:r>
                            <w:r>
                              <w:rPr>
                                <w:spacing w:val="-14"/>
                              </w:rPr>
                              <w:t> </w:t>
                            </w:r>
                            <w:r>
                              <w:rPr/>
                              <w:t>el</w:t>
                            </w:r>
                            <w:r>
                              <w:rPr>
                                <w:spacing w:val="-13"/>
                              </w:rPr>
                              <w:t> </w:t>
                            </w:r>
                            <w:r>
                              <w:rPr/>
                              <w:t>párrafo</w:t>
                            </w:r>
                            <w:r>
                              <w:rPr>
                                <w:spacing w:val="-14"/>
                              </w:rPr>
                              <w:t> </w:t>
                            </w:r>
                            <w:r>
                              <w:rPr/>
                              <w:t>22</w:t>
                            </w:r>
                            <w:r>
                              <w:rPr>
                                <w:spacing w:val="-14"/>
                              </w:rPr>
                              <w:t> </w:t>
                            </w:r>
                            <w:r>
                              <w:rPr/>
                              <w:t>de</w:t>
                            </w:r>
                            <w:r>
                              <w:rPr>
                                <w:spacing w:val="-14"/>
                              </w:rPr>
                              <w:t> </w:t>
                            </w:r>
                            <w:r>
                              <w:rPr/>
                              <w:t>la</w:t>
                            </w:r>
                            <w:r>
                              <w:rPr>
                                <w:spacing w:val="-13"/>
                              </w:rPr>
                              <w:t> </w:t>
                            </w:r>
                            <w:r>
                              <w:rPr/>
                              <w:t>NICSP</w:t>
                            </w:r>
                            <w:r>
                              <w:rPr>
                                <w:spacing w:val="-14"/>
                              </w:rPr>
                              <w:t> </w:t>
                            </w:r>
                            <w:r>
                              <w:rPr/>
                              <w:t>30</w:t>
                            </w:r>
                            <w:r>
                              <w:rPr>
                                <w:spacing w:val="-14"/>
                              </w:rPr>
                              <w:t> </w:t>
                            </w:r>
                            <w:r>
                              <w:rPr/>
                              <w:t>–</w:t>
                            </w:r>
                            <w:r>
                              <w:rPr>
                                <w:spacing w:val="-14"/>
                              </w:rPr>
                              <w:t> </w:t>
                            </w:r>
                            <w:r>
                              <w:rPr/>
                              <w:t>Instrumentos</w:t>
                            </w:r>
                            <w:r>
                              <w:rPr>
                                <w:spacing w:val="-13"/>
                              </w:rPr>
                              <w:t> </w:t>
                            </w:r>
                            <w:r>
                              <w:rPr/>
                              <w:t>Financieros:</w:t>
                            </w:r>
                            <w:r>
                              <w:rPr>
                                <w:spacing w:val="-14"/>
                              </w:rPr>
                              <w:t> </w:t>
                            </w:r>
                            <w:r>
                              <w:rPr/>
                              <w:t>Información</w:t>
                            </w:r>
                            <w:r>
                              <w:rPr>
                                <w:spacing w:val="-14"/>
                              </w:rPr>
                              <w:t> </w:t>
                            </w:r>
                            <w:r>
                              <w:rPr/>
                              <w:t>a</w:t>
                            </w:r>
                            <w:r>
                              <w:rPr>
                                <w:spacing w:val="-14"/>
                              </w:rPr>
                              <w:t> </w:t>
                            </w:r>
                            <w:r>
                              <w:rPr/>
                              <w:t>Revelar, las entidades deben revelar información sobre incumplimientos de contratos de instrumentos financieros ocurridos durante el periodo, así como otras infracciones que puedan dar lugar a la exigibilidad anticipada de pasivos financieros o a sanciones contractuales relevantes.</w:t>
                            </w:r>
                          </w:p>
                          <w:p>
                            <w:pPr>
                              <w:pStyle w:val="BodyText"/>
                              <w:spacing w:before="39"/>
                            </w:pPr>
                          </w:p>
                          <w:p>
                            <w:pPr>
                              <w:pStyle w:val="BodyText"/>
                              <w:spacing w:line="276" w:lineRule="auto" w:before="1"/>
                              <w:ind w:left="103" w:right="102"/>
                              <w:jc w:val="both"/>
                            </w:pPr>
                            <w:r>
                              <w:rPr/>
                              <w:t>Al cierre del periodo sobre el que se informa, el IMAS no presenta incumplimientos ni infracciones relacionados con contratos de instrumentos financieros que hayan generado, o puedan generar, el vencimiento anticipado de pasivos financieros, la imposición de penalidades, ni restricciones significativas sobre el uso de los activos financieros de la institución.</w:t>
                            </w:r>
                          </w:p>
                        </w:txbxContent>
                      </wps:txbx>
                      <wps:bodyPr wrap="square" lIns="0" tIns="0" rIns="0" bIns="0" rtlCol="0">
                        <a:noAutofit/>
                      </wps:bodyPr>
                    </wps:wsp>
                  </a:graphicData>
                </a:graphic>
              </wp:anchor>
            </w:drawing>
          </mc:Choice>
          <mc:Fallback>
            <w:pict>
              <v:shape style="position:absolute;margin-left:85.103996pt;margin-top:14.549375pt;width:450pt;height:151.950pt;mso-position-horizontal-relative:page;mso-position-vertical-relative:paragraph;z-index:-15488000;mso-wrap-distance-left:0;mso-wrap-distance-right:0" type="#_x0000_t202" id="docshape1132"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De</w:t>
                      </w:r>
                      <w:r>
                        <w:rPr>
                          <w:spacing w:val="-14"/>
                        </w:rPr>
                        <w:t> </w:t>
                      </w:r>
                      <w:r>
                        <w:rPr/>
                        <w:t>conformidad</w:t>
                      </w:r>
                      <w:r>
                        <w:rPr>
                          <w:spacing w:val="-14"/>
                        </w:rPr>
                        <w:t> </w:t>
                      </w:r>
                      <w:r>
                        <w:rPr/>
                        <w:t>con</w:t>
                      </w:r>
                      <w:r>
                        <w:rPr>
                          <w:spacing w:val="-14"/>
                        </w:rPr>
                        <w:t> </w:t>
                      </w:r>
                      <w:r>
                        <w:rPr/>
                        <w:t>el</w:t>
                      </w:r>
                      <w:r>
                        <w:rPr>
                          <w:spacing w:val="-13"/>
                        </w:rPr>
                        <w:t> </w:t>
                      </w:r>
                      <w:r>
                        <w:rPr/>
                        <w:t>párrafo</w:t>
                      </w:r>
                      <w:r>
                        <w:rPr>
                          <w:spacing w:val="-14"/>
                        </w:rPr>
                        <w:t> </w:t>
                      </w:r>
                      <w:r>
                        <w:rPr/>
                        <w:t>22</w:t>
                      </w:r>
                      <w:r>
                        <w:rPr>
                          <w:spacing w:val="-14"/>
                        </w:rPr>
                        <w:t> </w:t>
                      </w:r>
                      <w:r>
                        <w:rPr/>
                        <w:t>de</w:t>
                      </w:r>
                      <w:r>
                        <w:rPr>
                          <w:spacing w:val="-14"/>
                        </w:rPr>
                        <w:t> </w:t>
                      </w:r>
                      <w:r>
                        <w:rPr/>
                        <w:t>la</w:t>
                      </w:r>
                      <w:r>
                        <w:rPr>
                          <w:spacing w:val="-13"/>
                        </w:rPr>
                        <w:t> </w:t>
                      </w:r>
                      <w:r>
                        <w:rPr/>
                        <w:t>NICSP</w:t>
                      </w:r>
                      <w:r>
                        <w:rPr>
                          <w:spacing w:val="-14"/>
                        </w:rPr>
                        <w:t> </w:t>
                      </w:r>
                      <w:r>
                        <w:rPr/>
                        <w:t>30</w:t>
                      </w:r>
                      <w:r>
                        <w:rPr>
                          <w:spacing w:val="-14"/>
                        </w:rPr>
                        <w:t> </w:t>
                      </w:r>
                      <w:r>
                        <w:rPr/>
                        <w:t>–</w:t>
                      </w:r>
                      <w:r>
                        <w:rPr>
                          <w:spacing w:val="-14"/>
                        </w:rPr>
                        <w:t> </w:t>
                      </w:r>
                      <w:r>
                        <w:rPr/>
                        <w:t>Instrumentos</w:t>
                      </w:r>
                      <w:r>
                        <w:rPr>
                          <w:spacing w:val="-13"/>
                        </w:rPr>
                        <w:t> </w:t>
                      </w:r>
                      <w:r>
                        <w:rPr/>
                        <w:t>Financieros:</w:t>
                      </w:r>
                      <w:r>
                        <w:rPr>
                          <w:spacing w:val="-14"/>
                        </w:rPr>
                        <w:t> </w:t>
                      </w:r>
                      <w:r>
                        <w:rPr/>
                        <w:t>Información</w:t>
                      </w:r>
                      <w:r>
                        <w:rPr>
                          <w:spacing w:val="-14"/>
                        </w:rPr>
                        <w:t> </w:t>
                      </w:r>
                      <w:r>
                        <w:rPr/>
                        <w:t>a</w:t>
                      </w:r>
                      <w:r>
                        <w:rPr>
                          <w:spacing w:val="-14"/>
                        </w:rPr>
                        <w:t> </w:t>
                      </w:r>
                      <w:r>
                        <w:rPr/>
                        <w:t>Revelar, las entidades deben revelar información sobre incumplimientos de contratos de instrumentos financieros ocurridos durante el periodo, así como otras infracciones que puedan dar lugar a la exigibilidad anticipada de pasivos financieros o a sanciones contractuales relevantes.</w:t>
                      </w:r>
                    </w:p>
                    <w:p>
                      <w:pPr>
                        <w:pStyle w:val="BodyText"/>
                        <w:spacing w:before="39"/>
                      </w:pPr>
                    </w:p>
                    <w:p>
                      <w:pPr>
                        <w:pStyle w:val="BodyText"/>
                        <w:spacing w:line="276" w:lineRule="auto" w:before="1"/>
                        <w:ind w:left="103" w:right="102"/>
                        <w:jc w:val="both"/>
                      </w:pPr>
                      <w:r>
                        <w:rPr/>
                        <w:t>Al cierre del periodo sobre el que se informa, el IMAS no presenta incumplimientos ni infracciones relacionados con contratos de instrumentos financieros que hayan generado, o puedan generar, el vencimiento anticipado de pasivos financieros, la imposición de penalidades, ni restricciones significativas sobre el uso de los activos financieros de la institución.</w:t>
                      </w:r>
                    </w:p>
                  </w:txbxContent>
                </v:textbox>
                <v:stroke dashstyle="solid"/>
                <w10:wrap type="topAndBottom"/>
              </v:shape>
            </w:pict>
          </mc:Fallback>
        </mc:AlternateContent>
      </w:r>
    </w:p>
    <w:p>
      <w:pPr>
        <w:pStyle w:val="BodyText"/>
        <w:spacing w:before="3"/>
      </w:pPr>
    </w:p>
    <w:p>
      <w:pPr>
        <w:pStyle w:val="ListParagraph"/>
        <w:numPr>
          <w:ilvl w:val="1"/>
          <w:numId w:val="98"/>
        </w:numPr>
        <w:tabs>
          <w:tab w:pos="1341" w:val="left" w:leader="none"/>
        </w:tabs>
        <w:spacing w:line="240" w:lineRule="auto" w:before="1" w:after="0"/>
        <w:ind w:left="1341" w:right="0" w:hanging="360"/>
        <w:jc w:val="left"/>
        <w:rPr>
          <w:sz w:val="22"/>
        </w:rPr>
      </w:pPr>
      <w:r>
        <w:rPr>
          <w:sz w:val="22"/>
          <w:u w:val="single"/>
        </w:rPr>
        <w:t>Partidas</w:t>
      </w:r>
      <w:r>
        <w:rPr>
          <w:spacing w:val="-4"/>
          <w:sz w:val="22"/>
          <w:u w:val="single"/>
        </w:rPr>
        <w:t> </w:t>
      </w:r>
      <w:r>
        <w:rPr>
          <w:sz w:val="22"/>
          <w:u w:val="single"/>
        </w:rPr>
        <w:t>de</w:t>
      </w:r>
      <w:r>
        <w:rPr>
          <w:spacing w:val="-5"/>
          <w:sz w:val="22"/>
          <w:u w:val="single"/>
        </w:rPr>
        <w:t> </w:t>
      </w:r>
      <w:r>
        <w:rPr>
          <w:sz w:val="22"/>
          <w:u w:val="single"/>
        </w:rPr>
        <w:t>ingresos</w:t>
      </w:r>
      <w:r>
        <w:rPr>
          <w:spacing w:val="-6"/>
          <w:sz w:val="22"/>
          <w:u w:val="single"/>
        </w:rPr>
        <w:t> </w:t>
      </w:r>
      <w:r>
        <w:rPr>
          <w:sz w:val="22"/>
          <w:u w:val="single"/>
        </w:rPr>
        <w:t>gastos</w:t>
      </w:r>
      <w:r>
        <w:rPr>
          <w:spacing w:val="-7"/>
          <w:sz w:val="22"/>
          <w:u w:val="single"/>
        </w:rPr>
        <w:t> </w:t>
      </w:r>
      <w:r>
        <w:rPr>
          <w:sz w:val="22"/>
          <w:u w:val="single"/>
        </w:rPr>
        <w:t>ganancias</w:t>
      </w:r>
      <w:r>
        <w:rPr>
          <w:spacing w:val="-4"/>
          <w:sz w:val="22"/>
          <w:u w:val="single"/>
        </w:rPr>
        <w:t> </w:t>
      </w:r>
      <w:r>
        <w:rPr>
          <w:sz w:val="22"/>
          <w:u w:val="single"/>
        </w:rPr>
        <w:t>o</w:t>
      </w:r>
      <w:r>
        <w:rPr>
          <w:spacing w:val="-4"/>
          <w:sz w:val="22"/>
          <w:u w:val="single"/>
        </w:rPr>
        <w:t> </w:t>
      </w:r>
      <w:r>
        <w:rPr>
          <w:sz w:val="22"/>
          <w:u w:val="single"/>
        </w:rPr>
        <w:t>pérdidas</w:t>
      </w:r>
      <w:r>
        <w:rPr>
          <w:spacing w:val="-4"/>
          <w:sz w:val="22"/>
          <w:u w:val="single"/>
        </w:rPr>
        <w:t> </w:t>
      </w:r>
      <w:r>
        <w:rPr>
          <w:sz w:val="22"/>
          <w:u w:val="single"/>
        </w:rPr>
        <w:t>(párrafo</w:t>
      </w:r>
      <w:r>
        <w:rPr>
          <w:spacing w:val="-5"/>
          <w:sz w:val="22"/>
          <w:u w:val="single"/>
        </w:rPr>
        <w:t> 24)</w:t>
      </w:r>
    </w:p>
    <w:p>
      <w:pPr>
        <w:pStyle w:val="BodyText"/>
        <w:spacing w:before="33"/>
        <w:rPr>
          <w:sz w:val="20"/>
        </w:rPr>
      </w:pPr>
      <w:r>
        <w:rPr>
          <w:sz w:val="20"/>
        </w:rPr>
        <mc:AlternateContent>
          <mc:Choice Requires="wps">
            <w:drawing>
              <wp:anchor distT="0" distB="0" distL="0" distR="0" allowOverlap="1" layoutInCell="1" locked="0" behindDoc="1" simplePos="0" relativeHeight="487828992">
                <wp:simplePos x="0" y="0"/>
                <wp:positionH relativeFrom="page">
                  <wp:posOffset>1080820</wp:posOffset>
                </wp:positionH>
                <wp:positionV relativeFrom="paragraph">
                  <wp:posOffset>184737</wp:posOffset>
                </wp:positionV>
                <wp:extent cx="5715000" cy="1512570"/>
                <wp:effectExtent l="0" t="0" r="0" b="0"/>
                <wp:wrapTopAndBottom/>
                <wp:docPr id="1189" name="Textbox 1189"/>
                <wp:cNvGraphicFramePr>
                  <a:graphicFrameLocks/>
                </wp:cNvGraphicFramePr>
                <a:graphic>
                  <a:graphicData uri="http://schemas.microsoft.com/office/word/2010/wordprocessingShape">
                    <wps:wsp>
                      <wps:cNvPr id="1189" name="Textbox 1189"/>
                      <wps:cNvSpPr txBox="1"/>
                      <wps:spPr>
                        <a:xfrm>
                          <a:off x="0" y="0"/>
                          <a:ext cx="5715000" cy="1512570"/>
                        </a:xfrm>
                        <a:prstGeom prst="rect">
                          <a:avLst/>
                        </a:prstGeom>
                        <a:ln w="6095">
                          <a:solidFill>
                            <a:srgbClr val="000000"/>
                          </a:solidFill>
                          <a:prstDash val="solid"/>
                        </a:ln>
                      </wps:spPr>
                      <wps:txbx>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5"/>
                              <w:jc w:val="both"/>
                            </w:pPr>
                            <w:r>
                              <w:rPr/>
                              <w:t>El</w:t>
                            </w:r>
                            <w:r>
                              <w:rPr>
                                <w:spacing w:val="-2"/>
                              </w:rPr>
                              <w:t> </w:t>
                            </w:r>
                            <w:r>
                              <w:rPr/>
                              <w:t>IMAS únicamente</w:t>
                            </w:r>
                            <w:r>
                              <w:rPr>
                                <w:spacing w:val="-2"/>
                              </w:rPr>
                              <w:t> </w:t>
                            </w:r>
                            <w:r>
                              <w:rPr/>
                              <w:t>mantiene</w:t>
                            </w:r>
                            <w:r>
                              <w:rPr>
                                <w:spacing w:val="-2"/>
                              </w:rPr>
                              <w:t> </w:t>
                            </w:r>
                            <w:r>
                              <w:rPr/>
                              <w:t>instrumentos financieros,</w:t>
                            </w:r>
                            <w:r>
                              <w:rPr>
                                <w:spacing w:val="-1"/>
                              </w:rPr>
                              <w:t> </w:t>
                            </w:r>
                            <w:r>
                              <w:rPr/>
                              <w:t>tales como cuentas por</w:t>
                            </w:r>
                            <w:r>
                              <w:rPr>
                                <w:spacing w:val="-1"/>
                              </w:rPr>
                              <w:t> </w:t>
                            </w:r>
                            <w:r>
                              <w:rPr/>
                              <w:t>cobrar,</w:t>
                            </w:r>
                            <w:r>
                              <w:rPr>
                                <w:spacing w:val="-1"/>
                              </w:rPr>
                              <w:t> </w:t>
                            </w:r>
                            <w:r>
                              <w:rPr/>
                              <w:t>cuentas por pagar. Por tanto, durante el período no se generaron ganancias o pérdidas netas asociadas.</w:t>
                            </w:r>
                          </w:p>
                          <w:p>
                            <w:pPr>
                              <w:pStyle w:val="BodyText"/>
                              <w:spacing w:line="259" w:lineRule="auto" w:before="119"/>
                              <w:ind w:left="103" w:right="102"/>
                              <w:jc w:val="both"/>
                            </w:pPr>
                            <w:r>
                              <w:rPr/>
                              <w:t>Asimismo, la entidad no reconoce ingresos ni gastos por intereses materiales, calculados mediante el método</w:t>
                            </w:r>
                            <w:r>
                              <w:rPr>
                                <w:spacing w:val="-3"/>
                              </w:rPr>
                              <w:t> </w:t>
                            </w:r>
                            <w:r>
                              <w:rPr/>
                              <w:t>del</w:t>
                            </w:r>
                            <w:r>
                              <w:rPr>
                                <w:spacing w:val="-3"/>
                              </w:rPr>
                              <w:t> </w:t>
                            </w:r>
                            <w:r>
                              <w:rPr/>
                              <w:t>interés</w:t>
                            </w:r>
                            <w:r>
                              <w:rPr>
                                <w:spacing w:val="-2"/>
                              </w:rPr>
                              <w:t> </w:t>
                            </w:r>
                            <w:r>
                              <w:rPr/>
                              <w:t>efectivo,</w:t>
                            </w:r>
                            <w:r>
                              <w:rPr>
                                <w:spacing w:val="-5"/>
                              </w:rPr>
                              <w:t> </w:t>
                            </w:r>
                            <w:r>
                              <w:rPr/>
                              <w:t>ni</w:t>
                            </w:r>
                            <w:r>
                              <w:rPr>
                                <w:spacing w:val="-3"/>
                              </w:rPr>
                              <w:t> </w:t>
                            </w:r>
                            <w:r>
                              <w:rPr/>
                              <w:t>ingresos</w:t>
                            </w:r>
                            <w:r>
                              <w:rPr>
                                <w:spacing w:val="-5"/>
                              </w:rPr>
                              <w:t> </w:t>
                            </w:r>
                            <w:r>
                              <w:rPr/>
                              <w:t>o</w:t>
                            </w:r>
                            <w:r>
                              <w:rPr>
                                <w:spacing w:val="-3"/>
                              </w:rPr>
                              <w:t> </w:t>
                            </w:r>
                            <w:r>
                              <w:rPr/>
                              <w:t>gastos</w:t>
                            </w:r>
                            <w:r>
                              <w:rPr>
                                <w:spacing w:val="-2"/>
                              </w:rPr>
                              <w:t> </w:t>
                            </w:r>
                            <w:r>
                              <w:rPr/>
                              <w:t>por</w:t>
                            </w:r>
                            <w:r>
                              <w:rPr>
                                <w:spacing w:val="-3"/>
                              </w:rPr>
                              <w:t> </w:t>
                            </w:r>
                            <w:r>
                              <w:rPr/>
                              <w:t>comisiones</w:t>
                            </w:r>
                            <w:r>
                              <w:rPr>
                                <w:spacing w:val="-2"/>
                              </w:rPr>
                              <w:t> </w:t>
                            </w:r>
                            <w:r>
                              <w:rPr/>
                              <w:t>asociados</w:t>
                            </w:r>
                            <w:r>
                              <w:rPr>
                                <w:spacing w:val="-2"/>
                              </w:rPr>
                              <w:t> </w:t>
                            </w:r>
                            <w:r>
                              <w:rPr/>
                              <w:t>a</w:t>
                            </w:r>
                            <w:r>
                              <w:rPr>
                                <w:spacing w:val="-4"/>
                              </w:rPr>
                              <w:t> </w:t>
                            </w:r>
                            <w:r>
                              <w:rPr/>
                              <w:t>instrumentos</w:t>
                            </w:r>
                            <w:r>
                              <w:rPr>
                                <w:spacing w:val="-5"/>
                              </w:rPr>
                              <w:t> </w:t>
                            </w:r>
                            <w:r>
                              <w:rPr/>
                              <w:t>financieros, actividades fiduciarias o de administración de activos de terceros, debido a la naturaleza de sus operaciones y al tipo de instrumentos financieros que mantiene.</w:t>
                            </w:r>
                          </w:p>
                        </w:txbxContent>
                      </wps:txbx>
                      <wps:bodyPr wrap="square" lIns="0" tIns="0" rIns="0" bIns="0" rtlCol="0">
                        <a:noAutofit/>
                      </wps:bodyPr>
                    </wps:wsp>
                  </a:graphicData>
                </a:graphic>
              </wp:anchor>
            </w:drawing>
          </mc:Choice>
          <mc:Fallback>
            <w:pict>
              <v:shape style="position:absolute;margin-left:85.103996pt;margin-top:14.54625pt;width:450pt;height:119.1pt;mso-position-horizontal-relative:page;mso-position-vertical-relative:paragraph;z-index:-15487488;mso-wrap-distance-left:0;mso-wrap-distance-right:0" type="#_x0000_t202" id="docshape1133" filled="false" stroked="true" strokeweight=".47998pt" strokecolor="#000000">
                <v:textbox inset="0,0,0,0">
                  <w:txbxContent>
                    <w:p>
                      <w:pPr>
                        <w:spacing w:before="1"/>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5"/>
                        <w:jc w:val="both"/>
                      </w:pPr>
                      <w:r>
                        <w:rPr/>
                        <w:t>El</w:t>
                      </w:r>
                      <w:r>
                        <w:rPr>
                          <w:spacing w:val="-2"/>
                        </w:rPr>
                        <w:t> </w:t>
                      </w:r>
                      <w:r>
                        <w:rPr/>
                        <w:t>IMAS únicamente</w:t>
                      </w:r>
                      <w:r>
                        <w:rPr>
                          <w:spacing w:val="-2"/>
                        </w:rPr>
                        <w:t> </w:t>
                      </w:r>
                      <w:r>
                        <w:rPr/>
                        <w:t>mantiene</w:t>
                      </w:r>
                      <w:r>
                        <w:rPr>
                          <w:spacing w:val="-2"/>
                        </w:rPr>
                        <w:t> </w:t>
                      </w:r>
                      <w:r>
                        <w:rPr/>
                        <w:t>instrumentos financieros,</w:t>
                      </w:r>
                      <w:r>
                        <w:rPr>
                          <w:spacing w:val="-1"/>
                        </w:rPr>
                        <w:t> </w:t>
                      </w:r>
                      <w:r>
                        <w:rPr/>
                        <w:t>tales como cuentas por</w:t>
                      </w:r>
                      <w:r>
                        <w:rPr>
                          <w:spacing w:val="-1"/>
                        </w:rPr>
                        <w:t> </w:t>
                      </w:r>
                      <w:r>
                        <w:rPr/>
                        <w:t>cobrar,</w:t>
                      </w:r>
                      <w:r>
                        <w:rPr>
                          <w:spacing w:val="-1"/>
                        </w:rPr>
                        <w:t> </w:t>
                      </w:r>
                      <w:r>
                        <w:rPr/>
                        <w:t>cuentas por pagar. Por tanto, durante el período no se generaron ganancias o pérdidas netas asociadas.</w:t>
                      </w:r>
                    </w:p>
                    <w:p>
                      <w:pPr>
                        <w:pStyle w:val="BodyText"/>
                        <w:spacing w:line="259" w:lineRule="auto" w:before="119"/>
                        <w:ind w:left="103" w:right="102"/>
                        <w:jc w:val="both"/>
                      </w:pPr>
                      <w:r>
                        <w:rPr/>
                        <w:t>Asimismo, la entidad no reconoce ingresos ni gastos por intereses materiales, calculados mediante el método</w:t>
                      </w:r>
                      <w:r>
                        <w:rPr>
                          <w:spacing w:val="-3"/>
                        </w:rPr>
                        <w:t> </w:t>
                      </w:r>
                      <w:r>
                        <w:rPr/>
                        <w:t>del</w:t>
                      </w:r>
                      <w:r>
                        <w:rPr>
                          <w:spacing w:val="-3"/>
                        </w:rPr>
                        <w:t> </w:t>
                      </w:r>
                      <w:r>
                        <w:rPr/>
                        <w:t>interés</w:t>
                      </w:r>
                      <w:r>
                        <w:rPr>
                          <w:spacing w:val="-2"/>
                        </w:rPr>
                        <w:t> </w:t>
                      </w:r>
                      <w:r>
                        <w:rPr/>
                        <w:t>efectivo,</w:t>
                      </w:r>
                      <w:r>
                        <w:rPr>
                          <w:spacing w:val="-5"/>
                        </w:rPr>
                        <w:t> </w:t>
                      </w:r>
                      <w:r>
                        <w:rPr/>
                        <w:t>ni</w:t>
                      </w:r>
                      <w:r>
                        <w:rPr>
                          <w:spacing w:val="-3"/>
                        </w:rPr>
                        <w:t> </w:t>
                      </w:r>
                      <w:r>
                        <w:rPr/>
                        <w:t>ingresos</w:t>
                      </w:r>
                      <w:r>
                        <w:rPr>
                          <w:spacing w:val="-5"/>
                        </w:rPr>
                        <w:t> </w:t>
                      </w:r>
                      <w:r>
                        <w:rPr/>
                        <w:t>o</w:t>
                      </w:r>
                      <w:r>
                        <w:rPr>
                          <w:spacing w:val="-3"/>
                        </w:rPr>
                        <w:t> </w:t>
                      </w:r>
                      <w:r>
                        <w:rPr/>
                        <w:t>gastos</w:t>
                      </w:r>
                      <w:r>
                        <w:rPr>
                          <w:spacing w:val="-2"/>
                        </w:rPr>
                        <w:t> </w:t>
                      </w:r>
                      <w:r>
                        <w:rPr/>
                        <w:t>por</w:t>
                      </w:r>
                      <w:r>
                        <w:rPr>
                          <w:spacing w:val="-3"/>
                        </w:rPr>
                        <w:t> </w:t>
                      </w:r>
                      <w:r>
                        <w:rPr/>
                        <w:t>comisiones</w:t>
                      </w:r>
                      <w:r>
                        <w:rPr>
                          <w:spacing w:val="-2"/>
                        </w:rPr>
                        <w:t> </w:t>
                      </w:r>
                      <w:r>
                        <w:rPr/>
                        <w:t>asociados</w:t>
                      </w:r>
                      <w:r>
                        <w:rPr>
                          <w:spacing w:val="-2"/>
                        </w:rPr>
                        <w:t> </w:t>
                      </w:r>
                      <w:r>
                        <w:rPr/>
                        <w:t>a</w:t>
                      </w:r>
                      <w:r>
                        <w:rPr>
                          <w:spacing w:val="-4"/>
                        </w:rPr>
                        <w:t> </w:t>
                      </w:r>
                      <w:r>
                        <w:rPr/>
                        <w:t>instrumentos</w:t>
                      </w:r>
                      <w:r>
                        <w:rPr>
                          <w:spacing w:val="-5"/>
                        </w:rPr>
                        <w:t> </w:t>
                      </w:r>
                      <w:r>
                        <w:rPr/>
                        <w:t>financieros, actividades fiduciarias o de administración de activos de terceros, debido a la naturaleza de sus operaciones y al tipo de instrumentos financieros que mantiene.</w:t>
                      </w:r>
                    </w:p>
                  </w:txbxContent>
                </v:textbox>
                <v:stroke dashstyle="solid"/>
                <w10:wrap type="topAndBottom"/>
              </v:shape>
            </w:pict>
          </mc:Fallback>
        </mc:AlternateContent>
      </w:r>
    </w:p>
    <w:p>
      <w:pPr>
        <w:pStyle w:val="BodyText"/>
      </w:pPr>
    </w:p>
    <w:p>
      <w:pPr>
        <w:pStyle w:val="BodyText"/>
        <w:spacing w:before="185"/>
      </w:pPr>
    </w:p>
    <w:p>
      <w:pPr>
        <w:pStyle w:val="ListParagraph"/>
        <w:numPr>
          <w:ilvl w:val="1"/>
          <w:numId w:val="98"/>
        </w:numPr>
        <w:tabs>
          <w:tab w:pos="1341" w:val="left" w:leader="none"/>
        </w:tabs>
        <w:spacing w:line="240" w:lineRule="auto" w:before="0" w:after="0"/>
        <w:ind w:left="1341" w:right="0" w:hanging="360"/>
        <w:jc w:val="left"/>
        <w:rPr>
          <w:sz w:val="22"/>
        </w:rPr>
      </w:pPr>
      <w:r>
        <w:rPr>
          <w:sz w:val="22"/>
          <w:u w:val="single"/>
        </w:rPr>
        <w:t>Contabilidad</w:t>
      </w:r>
      <w:r>
        <w:rPr>
          <w:spacing w:val="-5"/>
          <w:sz w:val="22"/>
          <w:u w:val="single"/>
        </w:rPr>
        <w:t> </w:t>
      </w:r>
      <w:r>
        <w:rPr>
          <w:sz w:val="22"/>
          <w:u w:val="single"/>
        </w:rPr>
        <w:t>de</w:t>
      </w:r>
      <w:r>
        <w:rPr>
          <w:spacing w:val="-4"/>
          <w:sz w:val="22"/>
          <w:u w:val="single"/>
        </w:rPr>
        <w:t> </w:t>
      </w:r>
      <w:r>
        <w:rPr>
          <w:sz w:val="22"/>
          <w:u w:val="single"/>
        </w:rPr>
        <w:t>coberturas</w:t>
      </w:r>
      <w:r>
        <w:rPr>
          <w:spacing w:val="-7"/>
          <w:sz w:val="22"/>
          <w:u w:val="single"/>
        </w:rPr>
        <w:t> </w:t>
      </w:r>
      <w:r>
        <w:rPr>
          <w:sz w:val="22"/>
          <w:u w:val="single"/>
        </w:rPr>
        <w:t>(instrumentos</w:t>
      </w:r>
      <w:r>
        <w:rPr>
          <w:spacing w:val="-7"/>
          <w:sz w:val="22"/>
          <w:u w:val="single"/>
        </w:rPr>
        <w:t> </w:t>
      </w:r>
      <w:r>
        <w:rPr>
          <w:sz w:val="22"/>
          <w:u w:val="single"/>
        </w:rPr>
        <w:t>financieros</w:t>
      </w:r>
      <w:r>
        <w:rPr>
          <w:spacing w:val="-4"/>
          <w:sz w:val="22"/>
          <w:u w:val="single"/>
        </w:rPr>
        <w:t> </w:t>
      </w:r>
      <w:r>
        <w:rPr>
          <w:sz w:val="22"/>
          <w:u w:val="single"/>
        </w:rPr>
        <w:t>de</w:t>
      </w:r>
      <w:r>
        <w:rPr>
          <w:spacing w:val="-4"/>
          <w:sz w:val="22"/>
          <w:u w:val="single"/>
        </w:rPr>
        <w:t> </w:t>
      </w:r>
      <w:r>
        <w:rPr>
          <w:sz w:val="22"/>
          <w:u w:val="single"/>
        </w:rPr>
        <w:t>gestión</w:t>
      </w:r>
      <w:r>
        <w:rPr>
          <w:spacing w:val="-5"/>
          <w:sz w:val="22"/>
          <w:u w:val="single"/>
        </w:rPr>
        <w:t> </w:t>
      </w:r>
      <w:r>
        <w:rPr>
          <w:sz w:val="22"/>
          <w:u w:val="single"/>
        </w:rPr>
        <w:t>de</w:t>
      </w:r>
      <w:r>
        <w:rPr>
          <w:spacing w:val="-4"/>
          <w:sz w:val="22"/>
          <w:u w:val="single"/>
        </w:rPr>
        <w:t> </w:t>
      </w:r>
      <w:r>
        <w:rPr>
          <w:sz w:val="22"/>
          <w:u w:val="single"/>
        </w:rPr>
        <w:t>riesgos</w:t>
      </w:r>
      <w:r>
        <w:rPr>
          <w:spacing w:val="-4"/>
          <w:sz w:val="22"/>
          <w:u w:val="single"/>
        </w:rPr>
        <w:t> </w:t>
      </w:r>
      <w:r>
        <w:rPr>
          <w:sz w:val="22"/>
          <w:u w:val="single"/>
        </w:rPr>
        <w:t>(párrafo</w:t>
      </w:r>
      <w:r>
        <w:rPr>
          <w:spacing w:val="-7"/>
          <w:sz w:val="22"/>
          <w:u w:val="single"/>
        </w:rPr>
        <w:t> </w:t>
      </w:r>
      <w:r>
        <w:rPr>
          <w:sz w:val="22"/>
          <w:u w:val="single"/>
        </w:rPr>
        <w:t>26</w:t>
      </w:r>
      <w:r>
        <w:rPr>
          <w:spacing w:val="-7"/>
          <w:sz w:val="22"/>
          <w:u w:val="single"/>
        </w:rPr>
        <w:t> </w:t>
      </w:r>
      <w:r>
        <w:rPr>
          <w:sz w:val="22"/>
          <w:u w:val="single"/>
        </w:rPr>
        <w:t>a</w:t>
      </w:r>
      <w:r>
        <w:rPr>
          <w:spacing w:val="-5"/>
          <w:sz w:val="22"/>
          <w:u w:val="single"/>
        </w:rPr>
        <w:t> 28)</w:t>
      </w:r>
    </w:p>
    <w:p>
      <w:pPr>
        <w:pStyle w:val="BodyText"/>
        <w:spacing w:before="34"/>
        <w:rPr>
          <w:sz w:val="20"/>
        </w:rPr>
      </w:pPr>
      <w:r>
        <w:rPr>
          <w:sz w:val="20"/>
        </w:rPr>
        <mc:AlternateContent>
          <mc:Choice Requires="wps">
            <w:drawing>
              <wp:anchor distT="0" distB="0" distL="0" distR="0" allowOverlap="1" layoutInCell="1" locked="0" behindDoc="1" simplePos="0" relativeHeight="487829504">
                <wp:simplePos x="0" y="0"/>
                <wp:positionH relativeFrom="page">
                  <wp:posOffset>1080820</wp:posOffset>
                </wp:positionH>
                <wp:positionV relativeFrom="paragraph">
                  <wp:posOffset>184864</wp:posOffset>
                </wp:positionV>
                <wp:extent cx="5715000" cy="897890"/>
                <wp:effectExtent l="0" t="0" r="0" b="0"/>
                <wp:wrapTopAndBottom/>
                <wp:docPr id="1190" name="Textbox 1190"/>
                <wp:cNvGraphicFramePr>
                  <a:graphicFrameLocks/>
                </wp:cNvGraphicFramePr>
                <a:graphic>
                  <a:graphicData uri="http://schemas.microsoft.com/office/word/2010/wordprocessingShape">
                    <wps:wsp>
                      <wps:cNvPr id="1190" name="Textbox 1190"/>
                      <wps:cNvSpPr txBox="1"/>
                      <wps:spPr>
                        <a:xfrm>
                          <a:off x="0" y="0"/>
                          <a:ext cx="5715000" cy="897890"/>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104"/>
                              <w:jc w:val="both"/>
                            </w:pPr>
                            <w:r>
                              <w:rPr/>
                              <w:t>En el período objeto de información, el IMAS no ha aplicado contabilidad de coberturas ni ha utilizado instrumentos financieros con fines de gestión de riesgos, debido a que la naturaleza de sus operaciones no ha requerido la implementación de este tipo de mecanismos</w:t>
                            </w:r>
                          </w:p>
                        </w:txbxContent>
                      </wps:txbx>
                      <wps:bodyPr wrap="square" lIns="0" tIns="0" rIns="0" bIns="0" rtlCol="0">
                        <a:noAutofit/>
                      </wps:bodyPr>
                    </wps:wsp>
                  </a:graphicData>
                </a:graphic>
              </wp:anchor>
            </w:drawing>
          </mc:Choice>
          <mc:Fallback>
            <w:pict>
              <v:shape style="position:absolute;margin-left:85.103996pt;margin-top:14.55625pt;width:450pt;height:70.7pt;mso-position-horizontal-relative:page;mso-position-vertical-relative:paragraph;z-index:-15486976;mso-wrap-distance-left:0;mso-wrap-distance-right:0" type="#_x0000_t202" id="docshape1134"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79"/>
                        <w:ind w:left="103" w:right="104"/>
                        <w:jc w:val="both"/>
                      </w:pPr>
                      <w:r>
                        <w:rPr/>
                        <w:t>En el período objeto de información, el IMAS no ha aplicado contabilidad de coberturas ni ha utilizado instrumentos financieros con fines de gestión de riesgos, debido a que la naturaleza de sus operaciones no ha requerido la implementación de este tipo de mecanismos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8960">
                <wp:simplePos x="0" y="0"/>
                <wp:positionH relativeFrom="page">
                  <wp:posOffset>9525</wp:posOffset>
                </wp:positionH>
                <wp:positionV relativeFrom="page">
                  <wp:posOffset>297208</wp:posOffset>
                </wp:positionV>
                <wp:extent cx="7762875" cy="9748520"/>
                <wp:effectExtent l="0" t="0" r="0" b="0"/>
                <wp:wrapNone/>
                <wp:docPr id="1191" name="Group 1191"/>
                <wp:cNvGraphicFramePr>
                  <a:graphicFrameLocks/>
                </wp:cNvGraphicFramePr>
                <a:graphic>
                  <a:graphicData uri="http://schemas.microsoft.com/office/word/2010/wordprocessingGroup">
                    <wpg:wgp>
                      <wpg:cNvPr id="1191" name="Group 1191"/>
                      <wpg:cNvGrpSpPr/>
                      <wpg:grpSpPr>
                        <a:xfrm>
                          <a:off x="0" y="0"/>
                          <a:ext cx="7762875" cy="9748520"/>
                          <a:chExt cx="7762875" cy="9748520"/>
                        </a:xfrm>
                      </wpg:grpSpPr>
                      <pic:pic>
                        <pic:nvPicPr>
                          <pic:cNvPr id="1192" name="Image 1192"/>
                          <pic:cNvPicPr/>
                        </pic:nvPicPr>
                        <pic:blipFill>
                          <a:blip r:embed="rId5" cstate="print"/>
                          <a:stretch>
                            <a:fillRect/>
                          </a:stretch>
                        </pic:blipFill>
                        <pic:spPr>
                          <a:xfrm>
                            <a:off x="0" y="0"/>
                            <a:ext cx="7762874" cy="9748489"/>
                          </a:xfrm>
                          <a:prstGeom prst="rect">
                            <a:avLst/>
                          </a:prstGeom>
                        </pic:spPr>
                      </pic:pic>
                      <wps:wsp>
                        <wps:cNvPr id="1193" name="Graphic 119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7520" id="docshapegroup1135" coordorigin="15,468" coordsize="12225,15352">
                <v:shape style="position:absolute;left:15;top:468;width:12225;height:15352" type="#_x0000_t75" id="docshape1136" stroked="false">
                  <v:imagedata r:id="rId5" o:title=""/>
                </v:shape>
                <v:rect style="position:absolute;left:1673;top:2028;width:8897;height:15" id="docshape1137"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232</w:t>
      </w:r>
    </w:p>
    <w:p>
      <w:pPr>
        <w:pStyle w:val="ListParagraph"/>
        <w:numPr>
          <w:ilvl w:val="1"/>
          <w:numId w:val="98"/>
        </w:numPr>
        <w:tabs>
          <w:tab w:pos="1340" w:val="left" w:leader="none"/>
        </w:tabs>
        <w:spacing w:line="240" w:lineRule="auto" w:before="218" w:after="0"/>
        <w:ind w:left="1340" w:right="0" w:hanging="359"/>
        <w:jc w:val="left"/>
        <w:rPr>
          <w:sz w:val="22"/>
        </w:rPr>
      </w:pPr>
      <w:r>
        <w:rPr>
          <w:sz w:val="22"/>
          <w:u w:val="single"/>
        </w:rPr>
        <w:t>Valor</w:t>
      </w:r>
      <w:r>
        <w:rPr>
          <w:spacing w:val="-3"/>
          <w:sz w:val="22"/>
          <w:u w:val="single"/>
        </w:rPr>
        <w:t> </w:t>
      </w:r>
      <w:r>
        <w:rPr>
          <w:sz w:val="22"/>
          <w:u w:val="single"/>
        </w:rPr>
        <w:t>razonable</w:t>
      </w:r>
      <w:r>
        <w:rPr>
          <w:spacing w:val="-2"/>
          <w:sz w:val="22"/>
          <w:u w:val="single"/>
        </w:rPr>
        <w:t> </w:t>
      </w:r>
      <w:r>
        <w:rPr>
          <w:sz w:val="22"/>
          <w:u w:val="single"/>
        </w:rPr>
        <w:t>(párrafo</w:t>
      </w:r>
      <w:r>
        <w:rPr>
          <w:spacing w:val="-2"/>
          <w:sz w:val="22"/>
          <w:u w:val="single"/>
        </w:rPr>
        <w:t> </w:t>
      </w:r>
      <w:r>
        <w:rPr>
          <w:sz w:val="22"/>
          <w:u w:val="single"/>
        </w:rPr>
        <w:t>29</w:t>
      </w:r>
      <w:r>
        <w:rPr>
          <w:spacing w:val="-7"/>
          <w:sz w:val="22"/>
          <w:u w:val="single"/>
        </w:rPr>
        <w:t> </w:t>
      </w:r>
      <w:r>
        <w:rPr>
          <w:sz w:val="22"/>
          <w:u w:val="single"/>
        </w:rPr>
        <w:t>a</w:t>
      </w:r>
      <w:r>
        <w:rPr>
          <w:spacing w:val="-3"/>
          <w:sz w:val="22"/>
          <w:u w:val="single"/>
        </w:rPr>
        <w:t> </w:t>
      </w:r>
      <w:r>
        <w:rPr>
          <w:spacing w:val="-5"/>
          <w:sz w:val="22"/>
          <w:u w:val="single"/>
        </w:rPr>
        <w:t>36)</w:t>
      </w:r>
    </w:p>
    <w:p>
      <w:pPr>
        <w:pStyle w:val="BodyText"/>
        <w:spacing w:before="33"/>
        <w:rPr>
          <w:sz w:val="20"/>
        </w:rPr>
      </w:pPr>
      <w:r>
        <w:rPr>
          <w:sz w:val="20"/>
        </w:rPr>
        <mc:AlternateContent>
          <mc:Choice Requires="wps">
            <w:drawing>
              <wp:anchor distT="0" distB="0" distL="0" distR="0" allowOverlap="1" layoutInCell="1" locked="0" behindDoc="1" simplePos="0" relativeHeight="487830528">
                <wp:simplePos x="0" y="0"/>
                <wp:positionH relativeFrom="page">
                  <wp:posOffset>1080820</wp:posOffset>
                </wp:positionH>
                <wp:positionV relativeFrom="paragraph">
                  <wp:posOffset>184745</wp:posOffset>
                </wp:positionV>
                <wp:extent cx="5715000" cy="1929764"/>
                <wp:effectExtent l="0" t="0" r="0" b="0"/>
                <wp:wrapTopAndBottom/>
                <wp:docPr id="1194" name="Textbox 1194"/>
                <wp:cNvGraphicFramePr>
                  <a:graphicFrameLocks/>
                </wp:cNvGraphicFramePr>
                <a:graphic>
                  <a:graphicData uri="http://schemas.microsoft.com/office/word/2010/wordprocessingShape">
                    <wps:wsp>
                      <wps:cNvPr id="1194" name="Textbox 1194"/>
                      <wps:cNvSpPr txBox="1"/>
                      <wps:spPr>
                        <a:xfrm>
                          <a:off x="0" y="0"/>
                          <a:ext cx="5715000" cy="1929764"/>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De</w:t>
                            </w:r>
                            <w:r>
                              <w:rPr>
                                <w:spacing w:val="-4"/>
                              </w:rPr>
                              <w:t> </w:t>
                            </w:r>
                            <w:r>
                              <w:rPr/>
                              <w:t>conformidad</w:t>
                            </w:r>
                            <w:r>
                              <w:rPr>
                                <w:spacing w:val="-2"/>
                              </w:rPr>
                              <w:t> </w:t>
                            </w:r>
                            <w:r>
                              <w:rPr/>
                              <w:t>con</w:t>
                            </w:r>
                            <w:r>
                              <w:rPr>
                                <w:spacing w:val="-4"/>
                              </w:rPr>
                              <w:t> </w:t>
                            </w:r>
                            <w:r>
                              <w:rPr/>
                              <w:t>los</w:t>
                            </w:r>
                            <w:r>
                              <w:rPr>
                                <w:spacing w:val="-1"/>
                              </w:rPr>
                              <w:t> </w:t>
                            </w:r>
                            <w:r>
                              <w:rPr/>
                              <w:t>párrafos</w:t>
                            </w:r>
                            <w:r>
                              <w:rPr>
                                <w:spacing w:val="-1"/>
                              </w:rPr>
                              <w:t> </w:t>
                            </w:r>
                            <w:r>
                              <w:rPr/>
                              <w:t>29</w:t>
                            </w:r>
                            <w:r>
                              <w:rPr>
                                <w:spacing w:val="-4"/>
                              </w:rPr>
                              <w:t> </w:t>
                            </w:r>
                            <w:r>
                              <w:rPr/>
                              <w:t>a</w:t>
                            </w:r>
                            <w:r>
                              <w:rPr>
                                <w:spacing w:val="-5"/>
                              </w:rPr>
                              <w:t> </w:t>
                            </w:r>
                            <w:r>
                              <w:rPr/>
                              <w:t>36</w:t>
                            </w:r>
                            <w:r>
                              <w:rPr>
                                <w:spacing w:val="-4"/>
                              </w:rPr>
                              <w:t> </w:t>
                            </w:r>
                            <w:r>
                              <w:rPr/>
                              <w:t>de</w:t>
                            </w:r>
                            <w:r>
                              <w:rPr>
                                <w:spacing w:val="-4"/>
                              </w:rPr>
                              <w:t> </w:t>
                            </w:r>
                            <w:r>
                              <w:rPr/>
                              <w:t>la</w:t>
                            </w:r>
                            <w:r>
                              <w:rPr>
                                <w:spacing w:val="-4"/>
                              </w:rPr>
                              <w:t> </w:t>
                            </w:r>
                            <w:r>
                              <w:rPr/>
                              <w:t>NICSP</w:t>
                            </w:r>
                            <w:r>
                              <w:rPr>
                                <w:spacing w:val="-5"/>
                              </w:rPr>
                              <w:t> </w:t>
                            </w:r>
                            <w:r>
                              <w:rPr/>
                              <w:t>30</w:t>
                            </w:r>
                            <w:r>
                              <w:rPr>
                                <w:spacing w:val="-2"/>
                              </w:rPr>
                              <w:t> </w:t>
                            </w:r>
                            <w:r>
                              <w:rPr/>
                              <w:t>–</w:t>
                            </w:r>
                            <w:r>
                              <w:rPr>
                                <w:spacing w:val="-3"/>
                              </w:rPr>
                              <w:t> </w:t>
                            </w:r>
                            <w:r>
                              <w:rPr/>
                              <w:t>Instrumentos</w:t>
                            </w:r>
                            <w:r>
                              <w:rPr>
                                <w:spacing w:val="-1"/>
                              </w:rPr>
                              <w:t> </w:t>
                            </w:r>
                            <w:r>
                              <w:rPr/>
                              <w:t>Financieros:</w:t>
                            </w:r>
                            <w:r>
                              <w:rPr>
                                <w:spacing w:val="-3"/>
                              </w:rPr>
                              <w:t> </w:t>
                            </w:r>
                            <w:r>
                              <w:rPr/>
                              <w:t>Información</w:t>
                            </w:r>
                            <w:r>
                              <w:rPr>
                                <w:spacing w:val="-4"/>
                              </w:rPr>
                              <w:t> </w:t>
                            </w:r>
                            <w:r>
                              <w:rPr/>
                              <w:t>a Revelar,</w:t>
                            </w:r>
                            <w:r>
                              <w:rPr>
                                <w:spacing w:val="-5"/>
                              </w:rPr>
                              <w:t> </w:t>
                            </w:r>
                            <w:r>
                              <w:rPr/>
                              <w:t>las</w:t>
                            </w:r>
                            <w:r>
                              <w:rPr>
                                <w:spacing w:val="-4"/>
                              </w:rPr>
                              <w:t> </w:t>
                            </w:r>
                            <w:r>
                              <w:rPr/>
                              <w:t>entidades</w:t>
                            </w:r>
                            <w:r>
                              <w:rPr>
                                <w:spacing w:val="-4"/>
                              </w:rPr>
                              <w:t> </w:t>
                            </w:r>
                            <w:r>
                              <w:rPr/>
                              <w:t>deben</w:t>
                            </w:r>
                            <w:r>
                              <w:rPr>
                                <w:spacing w:val="-4"/>
                              </w:rPr>
                              <w:t> </w:t>
                            </w:r>
                            <w:r>
                              <w:rPr/>
                              <w:t>revelar</w:t>
                            </w:r>
                            <w:r>
                              <w:rPr>
                                <w:spacing w:val="-5"/>
                              </w:rPr>
                              <w:t> </w:t>
                            </w:r>
                            <w:r>
                              <w:rPr/>
                              <w:t>información</w:t>
                            </w:r>
                            <w:r>
                              <w:rPr>
                                <w:spacing w:val="-7"/>
                              </w:rPr>
                              <w:t> </w:t>
                            </w:r>
                            <w:r>
                              <w:rPr/>
                              <w:t>que</w:t>
                            </w:r>
                            <w:r>
                              <w:rPr>
                                <w:spacing w:val="-6"/>
                              </w:rPr>
                              <w:t> </w:t>
                            </w:r>
                            <w:r>
                              <w:rPr/>
                              <w:t>permita</w:t>
                            </w:r>
                            <w:r>
                              <w:rPr>
                                <w:spacing w:val="-6"/>
                              </w:rPr>
                              <w:t> </w:t>
                            </w:r>
                            <w:r>
                              <w:rPr/>
                              <w:t>a</w:t>
                            </w:r>
                            <w:r>
                              <w:rPr>
                                <w:spacing w:val="-5"/>
                              </w:rPr>
                              <w:t> </w:t>
                            </w:r>
                            <w:r>
                              <w:rPr/>
                              <w:t>los</w:t>
                            </w:r>
                            <w:r>
                              <w:rPr>
                                <w:spacing w:val="-6"/>
                              </w:rPr>
                              <w:t> </w:t>
                            </w:r>
                            <w:r>
                              <w:rPr/>
                              <w:t>usuarios</w:t>
                            </w:r>
                            <w:r>
                              <w:rPr>
                                <w:spacing w:val="-4"/>
                              </w:rPr>
                              <w:t> </w:t>
                            </w:r>
                            <w:r>
                              <w:rPr/>
                              <w:t>de</w:t>
                            </w:r>
                            <w:r>
                              <w:rPr>
                                <w:spacing w:val="-6"/>
                              </w:rPr>
                              <w:t> </w:t>
                            </w:r>
                            <w:r>
                              <w:rPr/>
                              <w:t>los</w:t>
                            </w:r>
                            <w:r>
                              <w:rPr>
                                <w:spacing w:val="-6"/>
                              </w:rPr>
                              <w:t> </w:t>
                            </w:r>
                            <w:r>
                              <w:rPr/>
                              <w:t>estados</w:t>
                            </w:r>
                            <w:r>
                              <w:rPr>
                                <w:spacing w:val="-6"/>
                              </w:rPr>
                              <w:t> </w:t>
                            </w:r>
                            <w:r>
                              <w:rPr/>
                              <w:t>financieros evaluar</w:t>
                            </w:r>
                            <w:r>
                              <w:rPr>
                                <w:spacing w:val="-13"/>
                              </w:rPr>
                              <w:t> </w:t>
                            </w:r>
                            <w:r>
                              <w:rPr/>
                              <w:t>la</w:t>
                            </w:r>
                            <w:r>
                              <w:rPr>
                                <w:spacing w:val="-14"/>
                              </w:rPr>
                              <w:t> </w:t>
                            </w:r>
                            <w:r>
                              <w:rPr/>
                              <w:t>medición</w:t>
                            </w:r>
                            <w:r>
                              <w:rPr>
                                <w:spacing w:val="-12"/>
                              </w:rPr>
                              <w:t> </w:t>
                            </w:r>
                            <w:r>
                              <w:rPr/>
                              <w:t>a</w:t>
                            </w:r>
                            <w:r>
                              <w:rPr>
                                <w:spacing w:val="-13"/>
                              </w:rPr>
                              <w:t> </w:t>
                            </w:r>
                            <w:r>
                              <w:rPr/>
                              <w:t>valor</w:t>
                            </w:r>
                            <w:r>
                              <w:rPr>
                                <w:spacing w:val="-13"/>
                              </w:rPr>
                              <w:t> </w:t>
                            </w:r>
                            <w:r>
                              <w:rPr/>
                              <w:t>razonable</w:t>
                            </w:r>
                            <w:r>
                              <w:rPr>
                                <w:spacing w:val="-14"/>
                              </w:rPr>
                              <w:t> </w:t>
                            </w:r>
                            <w:r>
                              <w:rPr/>
                              <w:t>de</w:t>
                            </w:r>
                            <w:r>
                              <w:rPr>
                                <w:spacing w:val="-13"/>
                              </w:rPr>
                              <w:t> </w:t>
                            </w:r>
                            <w:r>
                              <w:rPr/>
                              <w:t>los</w:t>
                            </w:r>
                            <w:r>
                              <w:rPr>
                                <w:spacing w:val="-12"/>
                              </w:rPr>
                              <w:t> </w:t>
                            </w:r>
                            <w:r>
                              <w:rPr/>
                              <w:t>instrumentos</w:t>
                            </w:r>
                            <w:r>
                              <w:rPr>
                                <w:spacing w:val="-12"/>
                              </w:rPr>
                              <w:t> </w:t>
                            </w:r>
                            <w:r>
                              <w:rPr/>
                              <w:t>financieros,</w:t>
                            </w:r>
                            <w:r>
                              <w:rPr>
                                <w:spacing w:val="-13"/>
                              </w:rPr>
                              <w:t> </w:t>
                            </w:r>
                            <w:r>
                              <w:rPr/>
                              <w:t>así</w:t>
                            </w:r>
                            <w:r>
                              <w:rPr>
                                <w:spacing w:val="-13"/>
                              </w:rPr>
                              <w:t> </w:t>
                            </w:r>
                            <w:r>
                              <w:rPr/>
                              <w:t>como</w:t>
                            </w:r>
                            <w:r>
                              <w:rPr>
                                <w:spacing w:val="-14"/>
                              </w:rPr>
                              <w:t> </w:t>
                            </w:r>
                            <w:r>
                              <w:rPr/>
                              <w:t>las</w:t>
                            </w:r>
                            <w:r>
                              <w:rPr>
                                <w:spacing w:val="-11"/>
                              </w:rPr>
                              <w:t> </w:t>
                            </w:r>
                            <w:r>
                              <w:rPr/>
                              <w:t>técnicas</w:t>
                            </w:r>
                            <w:r>
                              <w:rPr>
                                <w:spacing w:val="-12"/>
                              </w:rPr>
                              <w:t> </w:t>
                            </w:r>
                            <w:r>
                              <w:rPr/>
                              <w:t>y</w:t>
                            </w:r>
                            <w:r>
                              <w:rPr>
                                <w:spacing w:val="-14"/>
                              </w:rPr>
                              <w:t> </w:t>
                            </w:r>
                            <w:r>
                              <w:rPr/>
                              <w:t>supuestos utilizados cuando dicha medición resulta aplicable.</w:t>
                            </w:r>
                          </w:p>
                          <w:p>
                            <w:pPr>
                              <w:pStyle w:val="BodyText"/>
                              <w:spacing w:before="39"/>
                            </w:pPr>
                          </w:p>
                          <w:p>
                            <w:pPr>
                              <w:pStyle w:val="BodyText"/>
                              <w:spacing w:line="276" w:lineRule="auto"/>
                              <w:ind w:left="103" w:right="100"/>
                              <w:jc w:val="both"/>
                            </w:pPr>
                            <w:r>
                              <w:rPr/>
                              <w:t>Al</w:t>
                            </w:r>
                            <w:r>
                              <w:rPr>
                                <w:spacing w:val="-5"/>
                              </w:rPr>
                              <w:t> </w:t>
                            </w:r>
                            <w:r>
                              <w:rPr/>
                              <w:t>cierre</w:t>
                            </w:r>
                            <w:r>
                              <w:rPr>
                                <w:spacing w:val="-6"/>
                              </w:rPr>
                              <w:t> </w:t>
                            </w:r>
                            <w:r>
                              <w:rPr/>
                              <w:t>del</w:t>
                            </w:r>
                            <w:r>
                              <w:rPr>
                                <w:spacing w:val="-5"/>
                              </w:rPr>
                              <w:t> </w:t>
                            </w:r>
                            <w:r>
                              <w:rPr/>
                              <w:t>periodo</w:t>
                            </w:r>
                            <w:r>
                              <w:rPr>
                                <w:spacing w:val="-7"/>
                              </w:rPr>
                              <w:t> </w:t>
                            </w:r>
                            <w:r>
                              <w:rPr/>
                              <w:t>sobre</w:t>
                            </w:r>
                            <w:r>
                              <w:rPr>
                                <w:spacing w:val="-9"/>
                              </w:rPr>
                              <w:t> </w:t>
                            </w:r>
                            <w:r>
                              <w:rPr/>
                              <w:t>el</w:t>
                            </w:r>
                            <w:r>
                              <w:rPr>
                                <w:spacing w:val="-5"/>
                              </w:rPr>
                              <w:t> </w:t>
                            </w:r>
                            <w:r>
                              <w:rPr/>
                              <w:t>que</w:t>
                            </w:r>
                            <w:r>
                              <w:rPr>
                                <w:spacing w:val="-6"/>
                              </w:rPr>
                              <w:t> </w:t>
                            </w:r>
                            <w:r>
                              <w:rPr/>
                              <w:t>se</w:t>
                            </w:r>
                            <w:r>
                              <w:rPr>
                                <w:spacing w:val="-8"/>
                              </w:rPr>
                              <w:t> </w:t>
                            </w:r>
                            <w:r>
                              <w:rPr/>
                              <w:t>informa,</w:t>
                            </w:r>
                            <w:r>
                              <w:rPr>
                                <w:spacing w:val="-7"/>
                              </w:rPr>
                              <w:t> </w:t>
                            </w:r>
                            <w:r>
                              <w:rPr/>
                              <w:t>el</w:t>
                            </w:r>
                            <w:r>
                              <w:rPr>
                                <w:spacing w:val="-5"/>
                              </w:rPr>
                              <w:t> </w:t>
                            </w:r>
                            <w:r>
                              <w:rPr/>
                              <w:t>IMAS</w:t>
                            </w:r>
                            <w:r>
                              <w:rPr>
                                <w:spacing w:val="-6"/>
                              </w:rPr>
                              <w:t> </w:t>
                            </w:r>
                            <w:r>
                              <w:rPr/>
                              <w:t>no</w:t>
                            </w:r>
                            <w:r>
                              <w:rPr>
                                <w:spacing w:val="-6"/>
                              </w:rPr>
                              <w:t> </w:t>
                            </w:r>
                            <w:r>
                              <w:rPr/>
                              <w:t>mantiene</w:t>
                            </w:r>
                            <w:r>
                              <w:rPr>
                                <w:spacing w:val="-6"/>
                              </w:rPr>
                              <w:t> </w:t>
                            </w:r>
                            <w:r>
                              <w:rPr/>
                              <w:t>activos</w:t>
                            </w:r>
                            <w:r>
                              <w:rPr>
                                <w:spacing w:val="-6"/>
                              </w:rPr>
                              <w:t> </w:t>
                            </w:r>
                            <w:r>
                              <w:rPr/>
                              <w:t>ni</w:t>
                            </w:r>
                            <w:r>
                              <w:rPr>
                                <w:spacing w:val="-5"/>
                              </w:rPr>
                              <w:t> </w:t>
                            </w:r>
                            <w:r>
                              <w:rPr/>
                              <w:t>pasivos</w:t>
                            </w:r>
                            <w:r>
                              <w:rPr>
                                <w:spacing w:val="-6"/>
                              </w:rPr>
                              <w:t> </w:t>
                            </w:r>
                            <w:r>
                              <w:rPr/>
                              <w:t>financieros</w:t>
                            </w:r>
                            <w:r>
                              <w:rPr>
                                <w:spacing w:val="-6"/>
                              </w:rPr>
                              <w:t> </w:t>
                            </w:r>
                            <w:r>
                              <w:rPr/>
                              <w:t>que se</w:t>
                            </w:r>
                            <w:r>
                              <w:rPr>
                                <w:spacing w:val="-9"/>
                              </w:rPr>
                              <w:t> </w:t>
                            </w:r>
                            <w:r>
                              <w:rPr/>
                              <w:t>midan</w:t>
                            </w:r>
                            <w:r>
                              <w:rPr>
                                <w:spacing w:val="-8"/>
                              </w:rPr>
                              <w:t> </w:t>
                            </w:r>
                            <w:r>
                              <w:rPr/>
                              <w:t>a</w:t>
                            </w:r>
                            <w:r>
                              <w:rPr>
                                <w:spacing w:val="-9"/>
                              </w:rPr>
                              <w:t> </w:t>
                            </w:r>
                            <w:r>
                              <w:rPr/>
                              <w:t>valor</w:t>
                            </w:r>
                            <w:r>
                              <w:rPr>
                                <w:spacing w:val="-8"/>
                              </w:rPr>
                              <w:t> </w:t>
                            </w:r>
                            <w:r>
                              <w:rPr/>
                              <w:t>razonable.</w:t>
                            </w:r>
                            <w:r>
                              <w:rPr>
                                <w:spacing w:val="-9"/>
                              </w:rPr>
                              <w:t> </w:t>
                            </w:r>
                            <w:r>
                              <w:rPr/>
                              <w:t>Los</w:t>
                            </w:r>
                            <w:r>
                              <w:rPr>
                                <w:spacing w:val="-7"/>
                              </w:rPr>
                              <w:t> </w:t>
                            </w:r>
                            <w:r>
                              <w:rPr/>
                              <w:t>instrumentos</w:t>
                            </w:r>
                            <w:r>
                              <w:rPr>
                                <w:spacing w:val="-10"/>
                              </w:rPr>
                              <w:t> </w:t>
                            </w:r>
                            <w:r>
                              <w:rPr/>
                              <w:t>financieros</w:t>
                            </w:r>
                            <w:r>
                              <w:rPr>
                                <w:spacing w:val="-7"/>
                              </w:rPr>
                              <w:t> </w:t>
                            </w:r>
                            <w:r>
                              <w:rPr/>
                              <w:t>reconocidos</w:t>
                            </w:r>
                            <w:r>
                              <w:rPr>
                                <w:spacing w:val="-7"/>
                              </w:rPr>
                              <w:t> </w:t>
                            </w:r>
                            <w:r>
                              <w:rPr/>
                              <w:t>por</w:t>
                            </w:r>
                            <w:r>
                              <w:rPr>
                                <w:spacing w:val="-8"/>
                              </w:rPr>
                              <w:t> </w:t>
                            </w:r>
                            <w:r>
                              <w:rPr/>
                              <w:t>la</w:t>
                            </w:r>
                            <w:r>
                              <w:rPr>
                                <w:spacing w:val="-9"/>
                              </w:rPr>
                              <w:t> </w:t>
                            </w:r>
                            <w:r>
                              <w:rPr/>
                              <w:t>institución</w:t>
                            </w:r>
                            <w:r>
                              <w:rPr>
                                <w:spacing w:val="-8"/>
                              </w:rPr>
                              <w:t> </w:t>
                            </w:r>
                            <w:r>
                              <w:rPr/>
                              <w:t>corresponden principalmente</w:t>
                            </w:r>
                            <w:r>
                              <w:rPr>
                                <w:spacing w:val="-8"/>
                              </w:rPr>
                              <w:t> </w:t>
                            </w:r>
                            <w:r>
                              <w:rPr/>
                              <w:t>a</w:t>
                            </w:r>
                            <w:r>
                              <w:rPr>
                                <w:spacing w:val="-8"/>
                              </w:rPr>
                              <w:t> </w:t>
                            </w:r>
                            <w:r>
                              <w:rPr/>
                              <w:t>efectivo</w:t>
                            </w:r>
                            <w:r>
                              <w:rPr>
                                <w:spacing w:val="-7"/>
                              </w:rPr>
                              <w:t> </w:t>
                            </w:r>
                            <w:r>
                              <w:rPr/>
                              <w:t>y</w:t>
                            </w:r>
                            <w:r>
                              <w:rPr>
                                <w:spacing w:val="-6"/>
                              </w:rPr>
                              <w:t> </w:t>
                            </w:r>
                            <w:r>
                              <w:rPr/>
                              <w:t>equivalentes</w:t>
                            </w:r>
                            <w:r>
                              <w:rPr>
                                <w:spacing w:val="-7"/>
                              </w:rPr>
                              <w:t> </w:t>
                            </w:r>
                            <w:r>
                              <w:rPr/>
                              <w:t>de</w:t>
                            </w:r>
                            <w:r>
                              <w:rPr>
                                <w:spacing w:val="-9"/>
                              </w:rPr>
                              <w:t> </w:t>
                            </w:r>
                            <w:r>
                              <w:rPr/>
                              <w:t>efectivo,</w:t>
                            </w:r>
                            <w:r>
                              <w:rPr>
                                <w:spacing w:val="-6"/>
                              </w:rPr>
                              <w:t> </w:t>
                            </w:r>
                            <w:r>
                              <w:rPr/>
                              <w:t>cuentas</w:t>
                            </w:r>
                            <w:r>
                              <w:rPr>
                                <w:spacing w:val="-6"/>
                              </w:rPr>
                              <w:t> </w:t>
                            </w:r>
                            <w:r>
                              <w:rPr/>
                              <w:t>por</w:t>
                            </w:r>
                            <w:r>
                              <w:rPr>
                                <w:spacing w:val="-7"/>
                              </w:rPr>
                              <w:t> </w:t>
                            </w:r>
                            <w:r>
                              <w:rPr/>
                              <w:t>cobrar</w:t>
                            </w:r>
                            <w:r>
                              <w:rPr>
                                <w:spacing w:val="-7"/>
                              </w:rPr>
                              <w:t> </w:t>
                            </w:r>
                            <w:r>
                              <w:rPr/>
                              <w:t>y</w:t>
                            </w:r>
                            <w:r>
                              <w:rPr>
                                <w:spacing w:val="-8"/>
                              </w:rPr>
                              <w:t> </w:t>
                            </w:r>
                            <w:r>
                              <w:rPr/>
                              <w:t>cuentas</w:t>
                            </w:r>
                            <w:r>
                              <w:rPr>
                                <w:spacing w:val="-6"/>
                              </w:rPr>
                              <w:t> </w:t>
                            </w:r>
                            <w:r>
                              <w:rPr/>
                              <w:t>por</w:t>
                            </w:r>
                            <w:r>
                              <w:rPr>
                                <w:spacing w:val="-7"/>
                              </w:rPr>
                              <w:t> </w:t>
                            </w:r>
                            <w:r>
                              <w:rPr/>
                              <w:t>pagar,</w:t>
                            </w:r>
                            <w:r>
                              <w:rPr>
                                <w:spacing w:val="-7"/>
                              </w:rPr>
                              <w:t> </w:t>
                            </w:r>
                            <w:r>
                              <w:rPr/>
                              <w:t>los</w:t>
                            </w:r>
                            <w:r>
                              <w:rPr>
                                <w:spacing w:val="-6"/>
                              </w:rPr>
                              <w:t> </w:t>
                            </w:r>
                            <w:r>
                              <w:rPr/>
                              <w:t>cuales se miden al costo.</w:t>
                            </w:r>
                          </w:p>
                        </w:txbxContent>
                      </wps:txbx>
                      <wps:bodyPr wrap="square" lIns="0" tIns="0" rIns="0" bIns="0" rtlCol="0">
                        <a:noAutofit/>
                      </wps:bodyPr>
                    </wps:wsp>
                  </a:graphicData>
                </a:graphic>
              </wp:anchor>
            </w:drawing>
          </mc:Choice>
          <mc:Fallback>
            <w:pict>
              <v:shape style="position:absolute;margin-left:85.103996pt;margin-top:14.546875pt;width:450pt;height:151.950pt;mso-position-horizontal-relative:page;mso-position-vertical-relative:paragraph;z-index:-15485952;mso-wrap-distance-left:0;mso-wrap-distance-right:0" type="#_x0000_t202" id="docshape1138"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79"/>
                        <w:ind w:left="103" w:right="100"/>
                        <w:jc w:val="both"/>
                      </w:pPr>
                      <w:r>
                        <w:rPr/>
                        <w:t>De</w:t>
                      </w:r>
                      <w:r>
                        <w:rPr>
                          <w:spacing w:val="-4"/>
                        </w:rPr>
                        <w:t> </w:t>
                      </w:r>
                      <w:r>
                        <w:rPr/>
                        <w:t>conformidad</w:t>
                      </w:r>
                      <w:r>
                        <w:rPr>
                          <w:spacing w:val="-2"/>
                        </w:rPr>
                        <w:t> </w:t>
                      </w:r>
                      <w:r>
                        <w:rPr/>
                        <w:t>con</w:t>
                      </w:r>
                      <w:r>
                        <w:rPr>
                          <w:spacing w:val="-4"/>
                        </w:rPr>
                        <w:t> </w:t>
                      </w:r>
                      <w:r>
                        <w:rPr/>
                        <w:t>los</w:t>
                      </w:r>
                      <w:r>
                        <w:rPr>
                          <w:spacing w:val="-1"/>
                        </w:rPr>
                        <w:t> </w:t>
                      </w:r>
                      <w:r>
                        <w:rPr/>
                        <w:t>párrafos</w:t>
                      </w:r>
                      <w:r>
                        <w:rPr>
                          <w:spacing w:val="-1"/>
                        </w:rPr>
                        <w:t> </w:t>
                      </w:r>
                      <w:r>
                        <w:rPr/>
                        <w:t>29</w:t>
                      </w:r>
                      <w:r>
                        <w:rPr>
                          <w:spacing w:val="-4"/>
                        </w:rPr>
                        <w:t> </w:t>
                      </w:r>
                      <w:r>
                        <w:rPr/>
                        <w:t>a</w:t>
                      </w:r>
                      <w:r>
                        <w:rPr>
                          <w:spacing w:val="-5"/>
                        </w:rPr>
                        <w:t> </w:t>
                      </w:r>
                      <w:r>
                        <w:rPr/>
                        <w:t>36</w:t>
                      </w:r>
                      <w:r>
                        <w:rPr>
                          <w:spacing w:val="-4"/>
                        </w:rPr>
                        <w:t> </w:t>
                      </w:r>
                      <w:r>
                        <w:rPr/>
                        <w:t>de</w:t>
                      </w:r>
                      <w:r>
                        <w:rPr>
                          <w:spacing w:val="-4"/>
                        </w:rPr>
                        <w:t> </w:t>
                      </w:r>
                      <w:r>
                        <w:rPr/>
                        <w:t>la</w:t>
                      </w:r>
                      <w:r>
                        <w:rPr>
                          <w:spacing w:val="-4"/>
                        </w:rPr>
                        <w:t> </w:t>
                      </w:r>
                      <w:r>
                        <w:rPr/>
                        <w:t>NICSP</w:t>
                      </w:r>
                      <w:r>
                        <w:rPr>
                          <w:spacing w:val="-5"/>
                        </w:rPr>
                        <w:t> </w:t>
                      </w:r>
                      <w:r>
                        <w:rPr/>
                        <w:t>30</w:t>
                      </w:r>
                      <w:r>
                        <w:rPr>
                          <w:spacing w:val="-2"/>
                        </w:rPr>
                        <w:t> </w:t>
                      </w:r>
                      <w:r>
                        <w:rPr/>
                        <w:t>–</w:t>
                      </w:r>
                      <w:r>
                        <w:rPr>
                          <w:spacing w:val="-3"/>
                        </w:rPr>
                        <w:t> </w:t>
                      </w:r>
                      <w:r>
                        <w:rPr/>
                        <w:t>Instrumentos</w:t>
                      </w:r>
                      <w:r>
                        <w:rPr>
                          <w:spacing w:val="-1"/>
                        </w:rPr>
                        <w:t> </w:t>
                      </w:r>
                      <w:r>
                        <w:rPr/>
                        <w:t>Financieros:</w:t>
                      </w:r>
                      <w:r>
                        <w:rPr>
                          <w:spacing w:val="-3"/>
                        </w:rPr>
                        <w:t> </w:t>
                      </w:r>
                      <w:r>
                        <w:rPr/>
                        <w:t>Información</w:t>
                      </w:r>
                      <w:r>
                        <w:rPr>
                          <w:spacing w:val="-4"/>
                        </w:rPr>
                        <w:t> </w:t>
                      </w:r>
                      <w:r>
                        <w:rPr/>
                        <w:t>a Revelar,</w:t>
                      </w:r>
                      <w:r>
                        <w:rPr>
                          <w:spacing w:val="-5"/>
                        </w:rPr>
                        <w:t> </w:t>
                      </w:r>
                      <w:r>
                        <w:rPr/>
                        <w:t>las</w:t>
                      </w:r>
                      <w:r>
                        <w:rPr>
                          <w:spacing w:val="-4"/>
                        </w:rPr>
                        <w:t> </w:t>
                      </w:r>
                      <w:r>
                        <w:rPr/>
                        <w:t>entidades</w:t>
                      </w:r>
                      <w:r>
                        <w:rPr>
                          <w:spacing w:val="-4"/>
                        </w:rPr>
                        <w:t> </w:t>
                      </w:r>
                      <w:r>
                        <w:rPr/>
                        <w:t>deben</w:t>
                      </w:r>
                      <w:r>
                        <w:rPr>
                          <w:spacing w:val="-4"/>
                        </w:rPr>
                        <w:t> </w:t>
                      </w:r>
                      <w:r>
                        <w:rPr/>
                        <w:t>revelar</w:t>
                      </w:r>
                      <w:r>
                        <w:rPr>
                          <w:spacing w:val="-5"/>
                        </w:rPr>
                        <w:t> </w:t>
                      </w:r>
                      <w:r>
                        <w:rPr/>
                        <w:t>información</w:t>
                      </w:r>
                      <w:r>
                        <w:rPr>
                          <w:spacing w:val="-7"/>
                        </w:rPr>
                        <w:t> </w:t>
                      </w:r>
                      <w:r>
                        <w:rPr/>
                        <w:t>que</w:t>
                      </w:r>
                      <w:r>
                        <w:rPr>
                          <w:spacing w:val="-6"/>
                        </w:rPr>
                        <w:t> </w:t>
                      </w:r>
                      <w:r>
                        <w:rPr/>
                        <w:t>permita</w:t>
                      </w:r>
                      <w:r>
                        <w:rPr>
                          <w:spacing w:val="-6"/>
                        </w:rPr>
                        <w:t> </w:t>
                      </w:r>
                      <w:r>
                        <w:rPr/>
                        <w:t>a</w:t>
                      </w:r>
                      <w:r>
                        <w:rPr>
                          <w:spacing w:val="-5"/>
                        </w:rPr>
                        <w:t> </w:t>
                      </w:r>
                      <w:r>
                        <w:rPr/>
                        <w:t>los</w:t>
                      </w:r>
                      <w:r>
                        <w:rPr>
                          <w:spacing w:val="-6"/>
                        </w:rPr>
                        <w:t> </w:t>
                      </w:r>
                      <w:r>
                        <w:rPr/>
                        <w:t>usuarios</w:t>
                      </w:r>
                      <w:r>
                        <w:rPr>
                          <w:spacing w:val="-4"/>
                        </w:rPr>
                        <w:t> </w:t>
                      </w:r>
                      <w:r>
                        <w:rPr/>
                        <w:t>de</w:t>
                      </w:r>
                      <w:r>
                        <w:rPr>
                          <w:spacing w:val="-6"/>
                        </w:rPr>
                        <w:t> </w:t>
                      </w:r>
                      <w:r>
                        <w:rPr/>
                        <w:t>los</w:t>
                      </w:r>
                      <w:r>
                        <w:rPr>
                          <w:spacing w:val="-6"/>
                        </w:rPr>
                        <w:t> </w:t>
                      </w:r>
                      <w:r>
                        <w:rPr/>
                        <w:t>estados</w:t>
                      </w:r>
                      <w:r>
                        <w:rPr>
                          <w:spacing w:val="-6"/>
                        </w:rPr>
                        <w:t> </w:t>
                      </w:r>
                      <w:r>
                        <w:rPr/>
                        <w:t>financieros evaluar</w:t>
                      </w:r>
                      <w:r>
                        <w:rPr>
                          <w:spacing w:val="-13"/>
                        </w:rPr>
                        <w:t> </w:t>
                      </w:r>
                      <w:r>
                        <w:rPr/>
                        <w:t>la</w:t>
                      </w:r>
                      <w:r>
                        <w:rPr>
                          <w:spacing w:val="-14"/>
                        </w:rPr>
                        <w:t> </w:t>
                      </w:r>
                      <w:r>
                        <w:rPr/>
                        <w:t>medición</w:t>
                      </w:r>
                      <w:r>
                        <w:rPr>
                          <w:spacing w:val="-12"/>
                        </w:rPr>
                        <w:t> </w:t>
                      </w:r>
                      <w:r>
                        <w:rPr/>
                        <w:t>a</w:t>
                      </w:r>
                      <w:r>
                        <w:rPr>
                          <w:spacing w:val="-13"/>
                        </w:rPr>
                        <w:t> </w:t>
                      </w:r>
                      <w:r>
                        <w:rPr/>
                        <w:t>valor</w:t>
                      </w:r>
                      <w:r>
                        <w:rPr>
                          <w:spacing w:val="-13"/>
                        </w:rPr>
                        <w:t> </w:t>
                      </w:r>
                      <w:r>
                        <w:rPr/>
                        <w:t>razonable</w:t>
                      </w:r>
                      <w:r>
                        <w:rPr>
                          <w:spacing w:val="-14"/>
                        </w:rPr>
                        <w:t> </w:t>
                      </w:r>
                      <w:r>
                        <w:rPr/>
                        <w:t>de</w:t>
                      </w:r>
                      <w:r>
                        <w:rPr>
                          <w:spacing w:val="-13"/>
                        </w:rPr>
                        <w:t> </w:t>
                      </w:r>
                      <w:r>
                        <w:rPr/>
                        <w:t>los</w:t>
                      </w:r>
                      <w:r>
                        <w:rPr>
                          <w:spacing w:val="-12"/>
                        </w:rPr>
                        <w:t> </w:t>
                      </w:r>
                      <w:r>
                        <w:rPr/>
                        <w:t>instrumentos</w:t>
                      </w:r>
                      <w:r>
                        <w:rPr>
                          <w:spacing w:val="-12"/>
                        </w:rPr>
                        <w:t> </w:t>
                      </w:r>
                      <w:r>
                        <w:rPr/>
                        <w:t>financieros,</w:t>
                      </w:r>
                      <w:r>
                        <w:rPr>
                          <w:spacing w:val="-13"/>
                        </w:rPr>
                        <w:t> </w:t>
                      </w:r>
                      <w:r>
                        <w:rPr/>
                        <w:t>así</w:t>
                      </w:r>
                      <w:r>
                        <w:rPr>
                          <w:spacing w:val="-13"/>
                        </w:rPr>
                        <w:t> </w:t>
                      </w:r>
                      <w:r>
                        <w:rPr/>
                        <w:t>como</w:t>
                      </w:r>
                      <w:r>
                        <w:rPr>
                          <w:spacing w:val="-14"/>
                        </w:rPr>
                        <w:t> </w:t>
                      </w:r>
                      <w:r>
                        <w:rPr/>
                        <w:t>las</w:t>
                      </w:r>
                      <w:r>
                        <w:rPr>
                          <w:spacing w:val="-11"/>
                        </w:rPr>
                        <w:t> </w:t>
                      </w:r>
                      <w:r>
                        <w:rPr/>
                        <w:t>técnicas</w:t>
                      </w:r>
                      <w:r>
                        <w:rPr>
                          <w:spacing w:val="-12"/>
                        </w:rPr>
                        <w:t> </w:t>
                      </w:r>
                      <w:r>
                        <w:rPr/>
                        <w:t>y</w:t>
                      </w:r>
                      <w:r>
                        <w:rPr>
                          <w:spacing w:val="-14"/>
                        </w:rPr>
                        <w:t> </w:t>
                      </w:r>
                      <w:r>
                        <w:rPr/>
                        <w:t>supuestos utilizados cuando dicha medición resulta aplicable.</w:t>
                      </w:r>
                    </w:p>
                    <w:p>
                      <w:pPr>
                        <w:pStyle w:val="BodyText"/>
                        <w:spacing w:before="39"/>
                      </w:pPr>
                    </w:p>
                    <w:p>
                      <w:pPr>
                        <w:pStyle w:val="BodyText"/>
                        <w:spacing w:line="276" w:lineRule="auto"/>
                        <w:ind w:left="103" w:right="100"/>
                        <w:jc w:val="both"/>
                      </w:pPr>
                      <w:r>
                        <w:rPr/>
                        <w:t>Al</w:t>
                      </w:r>
                      <w:r>
                        <w:rPr>
                          <w:spacing w:val="-5"/>
                        </w:rPr>
                        <w:t> </w:t>
                      </w:r>
                      <w:r>
                        <w:rPr/>
                        <w:t>cierre</w:t>
                      </w:r>
                      <w:r>
                        <w:rPr>
                          <w:spacing w:val="-6"/>
                        </w:rPr>
                        <w:t> </w:t>
                      </w:r>
                      <w:r>
                        <w:rPr/>
                        <w:t>del</w:t>
                      </w:r>
                      <w:r>
                        <w:rPr>
                          <w:spacing w:val="-5"/>
                        </w:rPr>
                        <w:t> </w:t>
                      </w:r>
                      <w:r>
                        <w:rPr/>
                        <w:t>periodo</w:t>
                      </w:r>
                      <w:r>
                        <w:rPr>
                          <w:spacing w:val="-7"/>
                        </w:rPr>
                        <w:t> </w:t>
                      </w:r>
                      <w:r>
                        <w:rPr/>
                        <w:t>sobre</w:t>
                      </w:r>
                      <w:r>
                        <w:rPr>
                          <w:spacing w:val="-9"/>
                        </w:rPr>
                        <w:t> </w:t>
                      </w:r>
                      <w:r>
                        <w:rPr/>
                        <w:t>el</w:t>
                      </w:r>
                      <w:r>
                        <w:rPr>
                          <w:spacing w:val="-5"/>
                        </w:rPr>
                        <w:t> </w:t>
                      </w:r>
                      <w:r>
                        <w:rPr/>
                        <w:t>que</w:t>
                      </w:r>
                      <w:r>
                        <w:rPr>
                          <w:spacing w:val="-6"/>
                        </w:rPr>
                        <w:t> </w:t>
                      </w:r>
                      <w:r>
                        <w:rPr/>
                        <w:t>se</w:t>
                      </w:r>
                      <w:r>
                        <w:rPr>
                          <w:spacing w:val="-8"/>
                        </w:rPr>
                        <w:t> </w:t>
                      </w:r>
                      <w:r>
                        <w:rPr/>
                        <w:t>informa,</w:t>
                      </w:r>
                      <w:r>
                        <w:rPr>
                          <w:spacing w:val="-7"/>
                        </w:rPr>
                        <w:t> </w:t>
                      </w:r>
                      <w:r>
                        <w:rPr/>
                        <w:t>el</w:t>
                      </w:r>
                      <w:r>
                        <w:rPr>
                          <w:spacing w:val="-5"/>
                        </w:rPr>
                        <w:t> </w:t>
                      </w:r>
                      <w:r>
                        <w:rPr/>
                        <w:t>IMAS</w:t>
                      </w:r>
                      <w:r>
                        <w:rPr>
                          <w:spacing w:val="-6"/>
                        </w:rPr>
                        <w:t> </w:t>
                      </w:r>
                      <w:r>
                        <w:rPr/>
                        <w:t>no</w:t>
                      </w:r>
                      <w:r>
                        <w:rPr>
                          <w:spacing w:val="-6"/>
                        </w:rPr>
                        <w:t> </w:t>
                      </w:r>
                      <w:r>
                        <w:rPr/>
                        <w:t>mantiene</w:t>
                      </w:r>
                      <w:r>
                        <w:rPr>
                          <w:spacing w:val="-6"/>
                        </w:rPr>
                        <w:t> </w:t>
                      </w:r>
                      <w:r>
                        <w:rPr/>
                        <w:t>activos</w:t>
                      </w:r>
                      <w:r>
                        <w:rPr>
                          <w:spacing w:val="-6"/>
                        </w:rPr>
                        <w:t> </w:t>
                      </w:r>
                      <w:r>
                        <w:rPr/>
                        <w:t>ni</w:t>
                      </w:r>
                      <w:r>
                        <w:rPr>
                          <w:spacing w:val="-5"/>
                        </w:rPr>
                        <w:t> </w:t>
                      </w:r>
                      <w:r>
                        <w:rPr/>
                        <w:t>pasivos</w:t>
                      </w:r>
                      <w:r>
                        <w:rPr>
                          <w:spacing w:val="-6"/>
                        </w:rPr>
                        <w:t> </w:t>
                      </w:r>
                      <w:r>
                        <w:rPr/>
                        <w:t>financieros</w:t>
                      </w:r>
                      <w:r>
                        <w:rPr>
                          <w:spacing w:val="-6"/>
                        </w:rPr>
                        <w:t> </w:t>
                      </w:r>
                      <w:r>
                        <w:rPr/>
                        <w:t>que se</w:t>
                      </w:r>
                      <w:r>
                        <w:rPr>
                          <w:spacing w:val="-9"/>
                        </w:rPr>
                        <w:t> </w:t>
                      </w:r>
                      <w:r>
                        <w:rPr/>
                        <w:t>midan</w:t>
                      </w:r>
                      <w:r>
                        <w:rPr>
                          <w:spacing w:val="-8"/>
                        </w:rPr>
                        <w:t> </w:t>
                      </w:r>
                      <w:r>
                        <w:rPr/>
                        <w:t>a</w:t>
                      </w:r>
                      <w:r>
                        <w:rPr>
                          <w:spacing w:val="-9"/>
                        </w:rPr>
                        <w:t> </w:t>
                      </w:r>
                      <w:r>
                        <w:rPr/>
                        <w:t>valor</w:t>
                      </w:r>
                      <w:r>
                        <w:rPr>
                          <w:spacing w:val="-8"/>
                        </w:rPr>
                        <w:t> </w:t>
                      </w:r>
                      <w:r>
                        <w:rPr/>
                        <w:t>razonable.</w:t>
                      </w:r>
                      <w:r>
                        <w:rPr>
                          <w:spacing w:val="-9"/>
                        </w:rPr>
                        <w:t> </w:t>
                      </w:r>
                      <w:r>
                        <w:rPr/>
                        <w:t>Los</w:t>
                      </w:r>
                      <w:r>
                        <w:rPr>
                          <w:spacing w:val="-7"/>
                        </w:rPr>
                        <w:t> </w:t>
                      </w:r>
                      <w:r>
                        <w:rPr/>
                        <w:t>instrumentos</w:t>
                      </w:r>
                      <w:r>
                        <w:rPr>
                          <w:spacing w:val="-10"/>
                        </w:rPr>
                        <w:t> </w:t>
                      </w:r>
                      <w:r>
                        <w:rPr/>
                        <w:t>financieros</w:t>
                      </w:r>
                      <w:r>
                        <w:rPr>
                          <w:spacing w:val="-7"/>
                        </w:rPr>
                        <w:t> </w:t>
                      </w:r>
                      <w:r>
                        <w:rPr/>
                        <w:t>reconocidos</w:t>
                      </w:r>
                      <w:r>
                        <w:rPr>
                          <w:spacing w:val="-7"/>
                        </w:rPr>
                        <w:t> </w:t>
                      </w:r>
                      <w:r>
                        <w:rPr/>
                        <w:t>por</w:t>
                      </w:r>
                      <w:r>
                        <w:rPr>
                          <w:spacing w:val="-8"/>
                        </w:rPr>
                        <w:t> </w:t>
                      </w:r>
                      <w:r>
                        <w:rPr/>
                        <w:t>la</w:t>
                      </w:r>
                      <w:r>
                        <w:rPr>
                          <w:spacing w:val="-9"/>
                        </w:rPr>
                        <w:t> </w:t>
                      </w:r>
                      <w:r>
                        <w:rPr/>
                        <w:t>institución</w:t>
                      </w:r>
                      <w:r>
                        <w:rPr>
                          <w:spacing w:val="-8"/>
                        </w:rPr>
                        <w:t> </w:t>
                      </w:r>
                      <w:r>
                        <w:rPr/>
                        <w:t>corresponden principalmente</w:t>
                      </w:r>
                      <w:r>
                        <w:rPr>
                          <w:spacing w:val="-8"/>
                        </w:rPr>
                        <w:t> </w:t>
                      </w:r>
                      <w:r>
                        <w:rPr/>
                        <w:t>a</w:t>
                      </w:r>
                      <w:r>
                        <w:rPr>
                          <w:spacing w:val="-8"/>
                        </w:rPr>
                        <w:t> </w:t>
                      </w:r>
                      <w:r>
                        <w:rPr/>
                        <w:t>efectivo</w:t>
                      </w:r>
                      <w:r>
                        <w:rPr>
                          <w:spacing w:val="-7"/>
                        </w:rPr>
                        <w:t> </w:t>
                      </w:r>
                      <w:r>
                        <w:rPr/>
                        <w:t>y</w:t>
                      </w:r>
                      <w:r>
                        <w:rPr>
                          <w:spacing w:val="-6"/>
                        </w:rPr>
                        <w:t> </w:t>
                      </w:r>
                      <w:r>
                        <w:rPr/>
                        <w:t>equivalentes</w:t>
                      </w:r>
                      <w:r>
                        <w:rPr>
                          <w:spacing w:val="-7"/>
                        </w:rPr>
                        <w:t> </w:t>
                      </w:r>
                      <w:r>
                        <w:rPr/>
                        <w:t>de</w:t>
                      </w:r>
                      <w:r>
                        <w:rPr>
                          <w:spacing w:val="-9"/>
                        </w:rPr>
                        <w:t> </w:t>
                      </w:r>
                      <w:r>
                        <w:rPr/>
                        <w:t>efectivo,</w:t>
                      </w:r>
                      <w:r>
                        <w:rPr>
                          <w:spacing w:val="-6"/>
                        </w:rPr>
                        <w:t> </w:t>
                      </w:r>
                      <w:r>
                        <w:rPr/>
                        <w:t>cuentas</w:t>
                      </w:r>
                      <w:r>
                        <w:rPr>
                          <w:spacing w:val="-6"/>
                        </w:rPr>
                        <w:t> </w:t>
                      </w:r>
                      <w:r>
                        <w:rPr/>
                        <w:t>por</w:t>
                      </w:r>
                      <w:r>
                        <w:rPr>
                          <w:spacing w:val="-7"/>
                        </w:rPr>
                        <w:t> </w:t>
                      </w:r>
                      <w:r>
                        <w:rPr/>
                        <w:t>cobrar</w:t>
                      </w:r>
                      <w:r>
                        <w:rPr>
                          <w:spacing w:val="-7"/>
                        </w:rPr>
                        <w:t> </w:t>
                      </w:r>
                      <w:r>
                        <w:rPr/>
                        <w:t>y</w:t>
                      </w:r>
                      <w:r>
                        <w:rPr>
                          <w:spacing w:val="-8"/>
                        </w:rPr>
                        <w:t> </w:t>
                      </w:r>
                      <w:r>
                        <w:rPr/>
                        <w:t>cuentas</w:t>
                      </w:r>
                      <w:r>
                        <w:rPr>
                          <w:spacing w:val="-6"/>
                        </w:rPr>
                        <w:t> </w:t>
                      </w:r>
                      <w:r>
                        <w:rPr/>
                        <w:t>por</w:t>
                      </w:r>
                      <w:r>
                        <w:rPr>
                          <w:spacing w:val="-7"/>
                        </w:rPr>
                        <w:t> </w:t>
                      </w:r>
                      <w:r>
                        <w:rPr/>
                        <w:t>pagar,</w:t>
                      </w:r>
                      <w:r>
                        <w:rPr>
                          <w:spacing w:val="-7"/>
                        </w:rPr>
                        <w:t> </w:t>
                      </w:r>
                      <w:r>
                        <w:rPr/>
                        <w:t>los</w:t>
                      </w:r>
                      <w:r>
                        <w:rPr>
                          <w:spacing w:val="-6"/>
                        </w:rPr>
                        <w:t> </w:t>
                      </w:r>
                      <w:r>
                        <w:rPr/>
                        <w:t>cuales se miden al costo.</w:t>
                      </w:r>
                    </w:p>
                  </w:txbxContent>
                </v:textbox>
                <v:stroke dashstyle="solid"/>
                <w10:wrap type="topAndBottom"/>
              </v:shape>
            </w:pict>
          </mc:Fallback>
        </mc:AlternateContent>
      </w:r>
    </w:p>
    <w:p>
      <w:pPr>
        <w:pStyle w:val="BodyText"/>
        <w:spacing w:before="3"/>
      </w:pPr>
    </w:p>
    <w:p>
      <w:pPr>
        <w:pStyle w:val="ListParagraph"/>
        <w:numPr>
          <w:ilvl w:val="1"/>
          <w:numId w:val="98"/>
        </w:numPr>
        <w:tabs>
          <w:tab w:pos="1341" w:val="left" w:leader="none"/>
        </w:tabs>
        <w:spacing w:line="240" w:lineRule="auto" w:before="1" w:after="0"/>
        <w:ind w:left="1341" w:right="0" w:hanging="360"/>
        <w:jc w:val="left"/>
        <w:rPr>
          <w:sz w:val="22"/>
        </w:rPr>
      </w:pPr>
      <w:r>
        <w:rPr>
          <w:sz w:val="22"/>
          <w:u w:val="single"/>
        </w:rPr>
        <w:t>Prestamos</w:t>
      </w:r>
      <w:r>
        <w:rPr>
          <w:spacing w:val="-7"/>
          <w:sz w:val="22"/>
          <w:u w:val="single"/>
        </w:rPr>
        <w:t> </w:t>
      </w:r>
      <w:r>
        <w:rPr>
          <w:sz w:val="22"/>
          <w:u w:val="single"/>
        </w:rPr>
        <w:t>con</w:t>
      </w:r>
      <w:r>
        <w:rPr>
          <w:spacing w:val="-7"/>
          <w:sz w:val="22"/>
          <w:u w:val="single"/>
        </w:rPr>
        <w:t> </w:t>
      </w:r>
      <w:r>
        <w:rPr>
          <w:sz w:val="22"/>
          <w:u w:val="single"/>
        </w:rPr>
        <w:t>condiciones</w:t>
      </w:r>
      <w:r>
        <w:rPr>
          <w:spacing w:val="-10"/>
          <w:sz w:val="22"/>
          <w:u w:val="single"/>
        </w:rPr>
        <w:t> </w:t>
      </w:r>
      <w:r>
        <w:rPr>
          <w:sz w:val="22"/>
          <w:u w:val="single"/>
        </w:rPr>
        <w:t>favorables</w:t>
      </w:r>
      <w:r>
        <w:rPr>
          <w:spacing w:val="-6"/>
          <w:sz w:val="22"/>
          <w:u w:val="single"/>
        </w:rPr>
        <w:t> </w:t>
      </w:r>
      <w:r>
        <w:rPr>
          <w:sz w:val="22"/>
          <w:u w:val="single"/>
        </w:rPr>
        <w:t>(párrafo</w:t>
      </w:r>
      <w:r>
        <w:rPr>
          <w:spacing w:val="-7"/>
          <w:sz w:val="22"/>
          <w:u w:val="single"/>
        </w:rPr>
        <w:t> </w:t>
      </w:r>
      <w:r>
        <w:rPr>
          <w:spacing w:val="-5"/>
          <w:sz w:val="22"/>
          <w:u w:val="single"/>
        </w:rPr>
        <w:t>37)</w:t>
      </w:r>
    </w:p>
    <w:p>
      <w:pPr>
        <w:pStyle w:val="BodyText"/>
        <w:spacing w:before="33"/>
        <w:rPr>
          <w:sz w:val="20"/>
        </w:rPr>
      </w:pPr>
      <w:r>
        <w:rPr>
          <w:sz w:val="20"/>
        </w:rPr>
        <mc:AlternateContent>
          <mc:Choice Requires="wps">
            <w:drawing>
              <wp:anchor distT="0" distB="0" distL="0" distR="0" allowOverlap="1" layoutInCell="1" locked="0" behindDoc="1" simplePos="0" relativeHeight="487831040">
                <wp:simplePos x="0" y="0"/>
                <wp:positionH relativeFrom="page">
                  <wp:posOffset>1080820</wp:posOffset>
                </wp:positionH>
                <wp:positionV relativeFrom="paragraph">
                  <wp:posOffset>184737</wp:posOffset>
                </wp:positionV>
                <wp:extent cx="5715000" cy="1997075"/>
                <wp:effectExtent l="0" t="0" r="0" b="0"/>
                <wp:wrapTopAndBottom/>
                <wp:docPr id="1195" name="Textbox 1195"/>
                <wp:cNvGraphicFramePr>
                  <a:graphicFrameLocks/>
                </wp:cNvGraphicFramePr>
                <a:graphic>
                  <a:graphicData uri="http://schemas.microsoft.com/office/word/2010/wordprocessingShape">
                    <wps:wsp>
                      <wps:cNvPr id="1195" name="Textbox 1195"/>
                      <wps:cNvSpPr txBox="1"/>
                      <wps:spPr>
                        <a:xfrm>
                          <a:off x="0" y="0"/>
                          <a:ext cx="5715000" cy="1997075"/>
                        </a:xfrm>
                        <a:prstGeom prst="rect">
                          <a:avLst/>
                        </a:prstGeom>
                        <a:ln w="6095">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0"/>
                              <w:jc w:val="both"/>
                            </w:pPr>
                            <w:r>
                              <w:rPr/>
                              <w:t>De</w:t>
                            </w:r>
                            <w:r>
                              <w:rPr>
                                <w:spacing w:val="-14"/>
                              </w:rPr>
                              <w:t> </w:t>
                            </w:r>
                            <w:r>
                              <w:rPr/>
                              <w:t>conformidad</w:t>
                            </w:r>
                            <w:r>
                              <w:rPr>
                                <w:spacing w:val="-14"/>
                              </w:rPr>
                              <w:t> </w:t>
                            </w:r>
                            <w:r>
                              <w:rPr/>
                              <w:t>con</w:t>
                            </w:r>
                            <w:r>
                              <w:rPr>
                                <w:spacing w:val="-14"/>
                              </w:rPr>
                              <w:t> </w:t>
                            </w:r>
                            <w:r>
                              <w:rPr/>
                              <w:t>el</w:t>
                            </w:r>
                            <w:r>
                              <w:rPr>
                                <w:spacing w:val="-13"/>
                              </w:rPr>
                              <w:t> </w:t>
                            </w:r>
                            <w:r>
                              <w:rPr/>
                              <w:t>párrafo</w:t>
                            </w:r>
                            <w:r>
                              <w:rPr>
                                <w:spacing w:val="-14"/>
                              </w:rPr>
                              <w:t> </w:t>
                            </w:r>
                            <w:r>
                              <w:rPr/>
                              <w:t>37</w:t>
                            </w:r>
                            <w:r>
                              <w:rPr>
                                <w:spacing w:val="-14"/>
                              </w:rPr>
                              <w:t> </w:t>
                            </w:r>
                            <w:r>
                              <w:rPr/>
                              <w:t>de</w:t>
                            </w:r>
                            <w:r>
                              <w:rPr>
                                <w:spacing w:val="-14"/>
                              </w:rPr>
                              <w:t> </w:t>
                            </w:r>
                            <w:r>
                              <w:rPr/>
                              <w:t>la</w:t>
                            </w:r>
                            <w:r>
                              <w:rPr>
                                <w:spacing w:val="-13"/>
                              </w:rPr>
                              <w:t> </w:t>
                            </w:r>
                            <w:r>
                              <w:rPr/>
                              <w:t>NICSP</w:t>
                            </w:r>
                            <w:r>
                              <w:rPr>
                                <w:spacing w:val="-14"/>
                              </w:rPr>
                              <w:t> </w:t>
                            </w:r>
                            <w:r>
                              <w:rPr/>
                              <w:t>30</w:t>
                            </w:r>
                            <w:r>
                              <w:rPr>
                                <w:spacing w:val="-14"/>
                              </w:rPr>
                              <w:t> </w:t>
                            </w:r>
                            <w:r>
                              <w:rPr/>
                              <w:t>–</w:t>
                            </w:r>
                            <w:r>
                              <w:rPr>
                                <w:spacing w:val="-14"/>
                              </w:rPr>
                              <w:t> </w:t>
                            </w:r>
                            <w:r>
                              <w:rPr/>
                              <w:t>Instrumentos</w:t>
                            </w:r>
                            <w:r>
                              <w:rPr>
                                <w:spacing w:val="-13"/>
                              </w:rPr>
                              <w:t> </w:t>
                            </w:r>
                            <w:r>
                              <w:rPr/>
                              <w:t>Financieros:</w:t>
                            </w:r>
                            <w:r>
                              <w:rPr>
                                <w:spacing w:val="-14"/>
                              </w:rPr>
                              <w:t> </w:t>
                            </w:r>
                            <w:r>
                              <w:rPr/>
                              <w:t>Información</w:t>
                            </w:r>
                            <w:r>
                              <w:rPr>
                                <w:spacing w:val="-14"/>
                              </w:rPr>
                              <w:t> </w:t>
                            </w:r>
                            <w:r>
                              <w:rPr/>
                              <w:t>a</w:t>
                            </w:r>
                            <w:r>
                              <w:rPr>
                                <w:spacing w:val="-14"/>
                              </w:rPr>
                              <w:t> </w:t>
                            </w:r>
                            <w:r>
                              <w:rPr/>
                              <w:t>Revelar, las entidades deben revelar información sobre la existencia de préstamos concedidos o recibidos en condiciones favorables, incluyendo aquellos con tasas de interés por debajo del mercado, plazos extendidos u otras condiciones no comerciales, así como el impacto de dichas condiciones en los estados financieros.</w:t>
                            </w:r>
                          </w:p>
                          <w:p>
                            <w:pPr>
                              <w:pStyle w:val="BodyText"/>
                              <w:spacing w:before="37"/>
                            </w:pPr>
                          </w:p>
                          <w:p>
                            <w:pPr>
                              <w:pStyle w:val="BodyText"/>
                              <w:spacing w:line="259" w:lineRule="auto"/>
                              <w:ind w:left="103" w:right="103"/>
                              <w:jc w:val="both"/>
                            </w:pPr>
                            <w:r>
                              <w:rPr/>
                              <w:t>Al</w:t>
                            </w:r>
                            <w:r>
                              <w:rPr>
                                <w:spacing w:val="-16"/>
                              </w:rPr>
                              <w:t> </w:t>
                            </w:r>
                            <w:r>
                              <w:rPr/>
                              <w:t>cierre</w:t>
                            </w:r>
                            <w:r>
                              <w:rPr>
                                <w:spacing w:val="-14"/>
                              </w:rPr>
                              <w:t> </w:t>
                            </w:r>
                            <w:r>
                              <w:rPr/>
                              <w:t>del</w:t>
                            </w:r>
                            <w:r>
                              <w:rPr>
                                <w:spacing w:val="-14"/>
                              </w:rPr>
                              <w:t> </w:t>
                            </w:r>
                            <w:r>
                              <w:rPr/>
                              <w:t>periodo</w:t>
                            </w:r>
                            <w:r>
                              <w:rPr>
                                <w:spacing w:val="-13"/>
                              </w:rPr>
                              <w:t> </w:t>
                            </w:r>
                            <w:r>
                              <w:rPr/>
                              <w:t>sobre</w:t>
                            </w:r>
                            <w:r>
                              <w:rPr>
                                <w:spacing w:val="-14"/>
                              </w:rPr>
                              <w:t> </w:t>
                            </w:r>
                            <w:r>
                              <w:rPr/>
                              <w:t>el</w:t>
                            </w:r>
                            <w:r>
                              <w:rPr>
                                <w:spacing w:val="-14"/>
                              </w:rPr>
                              <w:t> </w:t>
                            </w:r>
                            <w:r>
                              <w:rPr/>
                              <w:t>que</w:t>
                            </w:r>
                            <w:r>
                              <w:rPr>
                                <w:spacing w:val="-14"/>
                              </w:rPr>
                              <w:t> </w:t>
                            </w:r>
                            <w:r>
                              <w:rPr/>
                              <w:t>se</w:t>
                            </w:r>
                            <w:r>
                              <w:rPr>
                                <w:spacing w:val="-13"/>
                              </w:rPr>
                              <w:t> </w:t>
                            </w:r>
                            <w:r>
                              <w:rPr/>
                              <w:t>informa,</w:t>
                            </w:r>
                            <w:r>
                              <w:rPr>
                                <w:spacing w:val="-14"/>
                              </w:rPr>
                              <w:t> </w:t>
                            </w:r>
                            <w:r>
                              <w:rPr/>
                              <w:t>el</w:t>
                            </w:r>
                            <w:r>
                              <w:rPr>
                                <w:spacing w:val="-14"/>
                              </w:rPr>
                              <w:t> </w:t>
                            </w:r>
                            <w:r>
                              <w:rPr/>
                              <w:t>IMAS</w:t>
                            </w:r>
                            <w:r>
                              <w:rPr>
                                <w:spacing w:val="-14"/>
                              </w:rPr>
                              <w:t> </w:t>
                            </w:r>
                            <w:r>
                              <w:rPr/>
                              <w:t>no</w:t>
                            </w:r>
                            <w:r>
                              <w:rPr>
                                <w:spacing w:val="-13"/>
                              </w:rPr>
                              <w:t> </w:t>
                            </w:r>
                            <w:r>
                              <w:rPr/>
                              <w:t>mantiene</w:t>
                            </w:r>
                            <w:r>
                              <w:rPr>
                                <w:spacing w:val="-14"/>
                              </w:rPr>
                              <w:t> </w:t>
                            </w:r>
                            <w:r>
                              <w:rPr/>
                              <w:t>préstamos</w:t>
                            </w:r>
                            <w:r>
                              <w:rPr>
                                <w:spacing w:val="-14"/>
                              </w:rPr>
                              <w:t> </w:t>
                            </w:r>
                            <w:r>
                              <w:rPr/>
                              <w:t>recibidos</w:t>
                            </w:r>
                            <w:r>
                              <w:rPr>
                                <w:spacing w:val="-14"/>
                              </w:rPr>
                              <w:t> </w:t>
                            </w:r>
                            <w:r>
                              <w:rPr/>
                              <w:t>ni</w:t>
                            </w:r>
                            <w:r>
                              <w:rPr>
                                <w:spacing w:val="-13"/>
                              </w:rPr>
                              <w:t> </w:t>
                            </w:r>
                            <w:r>
                              <w:rPr/>
                              <w:t>concedidos en condiciones favorables, ni ha suscrito contratos de financiamiento que impliquen tasas de interés subsidiadas, plazos preferenciales u otras condiciones distintas a las del mercado.</w:t>
                            </w:r>
                          </w:p>
                        </w:txbxContent>
                      </wps:txbx>
                      <wps:bodyPr wrap="square" lIns="0" tIns="0" rIns="0" bIns="0" rtlCol="0">
                        <a:noAutofit/>
                      </wps:bodyPr>
                    </wps:wsp>
                  </a:graphicData>
                </a:graphic>
              </wp:anchor>
            </w:drawing>
          </mc:Choice>
          <mc:Fallback>
            <w:pict>
              <v:shape style="position:absolute;margin-left:85.103996pt;margin-top:14.546235pt;width:450pt;height:157.25pt;mso-position-horizontal-relative:page;mso-position-vertical-relative:paragraph;z-index:-15485440;mso-wrap-distance-left:0;mso-wrap-distance-right:0" type="#_x0000_t202" id="docshape1139" filled="false" stroked="true" strokeweight=".47998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76" w:lineRule="auto" w:before="181"/>
                        <w:ind w:left="103" w:right="100"/>
                        <w:jc w:val="both"/>
                      </w:pPr>
                      <w:r>
                        <w:rPr/>
                        <w:t>De</w:t>
                      </w:r>
                      <w:r>
                        <w:rPr>
                          <w:spacing w:val="-14"/>
                        </w:rPr>
                        <w:t> </w:t>
                      </w:r>
                      <w:r>
                        <w:rPr/>
                        <w:t>conformidad</w:t>
                      </w:r>
                      <w:r>
                        <w:rPr>
                          <w:spacing w:val="-14"/>
                        </w:rPr>
                        <w:t> </w:t>
                      </w:r>
                      <w:r>
                        <w:rPr/>
                        <w:t>con</w:t>
                      </w:r>
                      <w:r>
                        <w:rPr>
                          <w:spacing w:val="-14"/>
                        </w:rPr>
                        <w:t> </w:t>
                      </w:r>
                      <w:r>
                        <w:rPr/>
                        <w:t>el</w:t>
                      </w:r>
                      <w:r>
                        <w:rPr>
                          <w:spacing w:val="-13"/>
                        </w:rPr>
                        <w:t> </w:t>
                      </w:r>
                      <w:r>
                        <w:rPr/>
                        <w:t>párrafo</w:t>
                      </w:r>
                      <w:r>
                        <w:rPr>
                          <w:spacing w:val="-14"/>
                        </w:rPr>
                        <w:t> </w:t>
                      </w:r>
                      <w:r>
                        <w:rPr/>
                        <w:t>37</w:t>
                      </w:r>
                      <w:r>
                        <w:rPr>
                          <w:spacing w:val="-14"/>
                        </w:rPr>
                        <w:t> </w:t>
                      </w:r>
                      <w:r>
                        <w:rPr/>
                        <w:t>de</w:t>
                      </w:r>
                      <w:r>
                        <w:rPr>
                          <w:spacing w:val="-14"/>
                        </w:rPr>
                        <w:t> </w:t>
                      </w:r>
                      <w:r>
                        <w:rPr/>
                        <w:t>la</w:t>
                      </w:r>
                      <w:r>
                        <w:rPr>
                          <w:spacing w:val="-13"/>
                        </w:rPr>
                        <w:t> </w:t>
                      </w:r>
                      <w:r>
                        <w:rPr/>
                        <w:t>NICSP</w:t>
                      </w:r>
                      <w:r>
                        <w:rPr>
                          <w:spacing w:val="-14"/>
                        </w:rPr>
                        <w:t> </w:t>
                      </w:r>
                      <w:r>
                        <w:rPr/>
                        <w:t>30</w:t>
                      </w:r>
                      <w:r>
                        <w:rPr>
                          <w:spacing w:val="-14"/>
                        </w:rPr>
                        <w:t> </w:t>
                      </w:r>
                      <w:r>
                        <w:rPr/>
                        <w:t>–</w:t>
                      </w:r>
                      <w:r>
                        <w:rPr>
                          <w:spacing w:val="-14"/>
                        </w:rPr>
                        <w:t> </w:t>
                      </w:r>
                      <w:r>
                        <w:rPr/>
                        <w:t>Instrumentos</w:t>
                      </w:r>
                      <w:r>
                        <w:rPr>
                          <w:spacing w:val="-13"/>
                        </w:rPr>
                        <w:t> </w:t>
                      </w:r>
                      <w:r>
                        <w:rPr/>
                        <w:t>Financieros:</w:t>
                      </w:r>
                      <w:r>
                        <w:rPr>
                          <w:spacing w:val="-14"/>
                        </w:rPr>
                        <w:t> </w:t>
                      </w:r>
                      <w:r>
                        <w:rPr/>
                        <w:t>Información</w:t>
                      </w:r>
                      <w:r>
                        <w:rPr>
                          <w:spacing w:val="-14"/>
                        </w:rPr>
                        <w:t> </w:t>
                      </w:r>
                      <w:r>
                        <w:rPr/>
                        <w:t>a</w:t>
                      </w:r>
                      <w:r>
                        <w:rPr>
                          <w:spacing w:val="-14"/>
                        </w:rPr>
                        <w:t> </w:t>
                      </w:r>
                      <w:r>
                        <w:rPr/>
                        <w:t>Revelar, las entidades deben revelar información sobre la existencia de préstamos concedidos o recibidos en condiciones favorables, incluyendo aquellos con tasas de interés por debajo del mercado, plazos extendidos u otras condiciones no comerciales, así como el impacto de dichas condiciones en los estados financieros.</w:t>
                      </w:r>
                    </w:p>
                    <w:p>
                      <w:pPr>
                        <w:pStyle w:val="BodyText"/>
                        <w:spacing w:before="37"/>
                      </w:pPr>
                    </w:p>
                    <w:p>
                      <w:pPr>
                        <w:pStyle w:val="BodyText"/>
                        <w:spacing w:line="259" w:lineRule="auto"/>
                        <w:ind w:left="103" w:right="103"/>
                        <w:jc w:val="both"/>
                      </w:pPr>
                      <w:r>
                        <w:rPr/>
                        <w:t>Al</w:t>
                      </w:r>
                      <w:r>
                        <w:rPr>
                          <w:spacing w:val="-16"/>
                        </w:rPr>
                        <w:t> </w:t>
                      </w:r>
                      <w:r>
                        <w:rPr/>
                        <w:t>cierre</w:t>
                      </w:r>
                      <w:r>
                        <w:rPr>
                          <w:spacing w:val="-14"/>
                        </w:rPr>
                        <w:t> </w:t>
                      </w:r>
                      <w:r>
                        <w:rPr/>
                        <w:t>del</w:t>
                      </w:r>
                      <w:r>
                        <w:rPr>
                          <w:spacing w:val="-14"/>
                        </w:rPr>
                        <w:t> </w:t>
                      </w:r>
                      <w:r>
                        <w:rPr/>
                        <w:t>periodo</w:t>
                      </w:r>
                      <w:r>
                        <w:rPr>
                          <w:spacing w:val="-13"/>
                        </w:rPr>
                        <w:t> </w:t>
                      </w:r>
                      <w:r>
                        <w:rPr/>
                        <w:t>sobre</w:t>
                      </w:r>
                      <w:r>
                        <w:rPr>
                          <w:spacing w:val="-14"/>
                        </w:rPr>
                        <w:t> </w:t>
                      </w:r>
                      <w:r>
                        <w:rPr/>
                        <w:t>el</w:t>
                      </w:r>
                      <w:r>
                        <w:rPr>
                          <w:spacing w:val="-14"/>
                        </w:rPr>
                        <w:t> </w:t>
                      </w:r>
                      <w:r>
                        <w:rPr/>
                        <w:t>que</w:t>
                      </w:r>
                      <w:r>
                        <w:rPr>
                          <w:spacing w:val="-14"/>
                        </w:rPr>
                        <w:t> </w:t>
                      </w:r>
                      <w:r>
                        <w:rPr/>
                        <w:t>se</w:t>
                      </w:r>
                      <w:r>
                        <w:rPr>
                          <w:spacing w:val="-13"/>
                        </w:rPr>
                        <w:t> </w:t>
                      </w:r>
                      <w:r>
                        <w:rPr/>
                        <w:t>informa,</w:t>
                      </w:r>
                      <w:r>
                        <w:rPr>
                          <w:spacing w:val="-14"/>
                        </w:rPr>
                        <w:t> </w:t>
                      </w:r>
                      <w:r>
                        <w:rPr/>
                        <w:t>el</w:t>
                      </w:r>
                      <w:r>
                        <w:rPr>
                          <w:spacing w:val="-14"/>
                        </w:rPr>
                        <w:t> </w:t>
                      </w:r>
                      <w:r>
                        <w:rPr/>
                        <w:t>IMAS</w:t>
                      </w:r>
                      <w:r>
                        <w:rPr>
                          <w:spacing w:val="-14"/>
                        </w:rPr>
                        <w:t> </w:t>
                      </w:r>
                      <w:r>
                        <w:rPr/>
                        <w:t>no</w:t>
                      </w:r>
                      <w:r>
                        <w:rPr>
                          <w:spacing w:val="-13"/>
                        </w:rPr>
                        <w:t> </w:t>
                      </w:r>
                      <w:r>
                        <w:rPr/>
                        <w:t>mantiene</w:t>
                      </w:r>
                      <w:r>
                        <w:rPr>
                          <w:spacing w:val="-14"/>
                        </w:rPr>
                        <w:t> </w:t>
                      </w:r>
                      <w:r>
                        <w:rPr/>
                        <w:t>préstamos</w:t>
                      </w:r>
                      <w:r>
                        <w:rPr>
                          <w:spacing w:val="-14"/>
                        </w:rPr>
                        <w:t> </w:t>
                      </w:r>
                      <w:r>
                        <w:rPr/>
                        <w:t>recibidos</w:t>
                      </w:r>
                      <w:r>
                        <w:rPr>
                          <w:spacing w:val="-14"/>
                        </w:rPr>
                        <w:t> </w:t>
                      </w:r>
                      <w:r>
                        <w:rPr/>
                        <w:t>ni</w:t>
                      </w:r>
                      <w:r>
                        <w:rPr>
                          <w:spacing w:val="-13"/>
                        </w:rPr>
                        <w:t> </w:t>
                      </w:r>
                      <w:r>
                        <w:rPr/>
                        <w:t>concedidos en condiciones favorables, ni ha suscrito contratos de financiamiento que impliquen tasas de interés subsidiadas, plazos preferenciales u otras condiciones distintas a las del mercado.</w:t>
                      </w:r>
                    </w:p>
                  </w:txbxContent>
                </v:textbox>
                <v:stroke dashstyle="solid"/>
                <w10:wrap type="topAndBottom"/>
              </v:shape>
            </w:pict>
          </mc:Fallback>
        </mc:AlternateContent>
      </w:r>
    </w:p>
    <w:p>
      <w:pPr>
        <w:pStyle w:val="BodyText"/>
      </w:pPr>
    </w:p>
    <w:p>
      <w:pPr>
        <w:pStyle w:val="BodyText"/>
        <w:spacing w:before="185"/>
      </w:pPr>
    </w:p>
    <w:p>
      <w:pPr>
        <w:pStyle w:val="ListParagraph"/>
        <w:numPr>
          <w:ilvl w:val="1"/>
          <w:numId w:val="98"/>
        </w:numPr>
        <w:tabs>
          <w:tab w:pos="1339" w:val="left" w:leader="none"/>
        </w:tabs>
        <w:spacing w:line="240" w:lineRule="auto" w:before="0" w:after="0"/>
        <w:ind w:left="1339" w:right="0" w:hanging="358"/>
        <w:jc w:val="left"/>
        <w:rPr>
          <w:sz w:val="22"/>
        </w:rPr>
      </w:pPr>
      <w:r>
        <w:rPr>
          <w:sz w:val="22"/>
          <w:u w:val="single"/>
        </w:rPr>
        <w:t>Naturaleza</w:t>
      </w:r>
      <w:r>
        <w:rPr>
          <w:spacing w:val="-3"/>
          <w:sz w:val="22"/>
          <w:u w:val="single"/>
        </w:rPr>
        <w:t> </w:t>
      </w:r>
      <w:r>
        <w:rPr>
          <w:sz w:val="22"/>
          <w:u w:val="single"/>
        </w:rPr>
        <w:t>y</w:t>
      </w:r>
      <w:r>
        <w:rPr>
          <w:spacing w:val="-5"/>
          <w:sz w:val="22"/>
          <w:u w:val="single"/>
        </w:rPr>
        <w:t> </w:t>
      </w:r>
      <w:r>
        <w:rPr>
          <w:sz w:val="22"/>
          <w:u w:val="single"/>
        </w:rPr>
        <w:t>alcance</w:t>
      </w:r>
      <w:r>
        <w:rPr>
          <w:spacing w:val="-2"/>
          <w:sz w:val="22"/>
          <w:u w:val="single"/>
        </w:rPr>
        <w:t> </w:t>
      </w:r>
      <w:r>
        <w:rPr>
          <w:sz w:val="22"/>
          <w:u w:val="single"/>
        </w:rPr>
        <w:t>de</w:t>
      </w:r>
      <w:r>
        <w:rPr>
          <w:spacing w:val="-5"/>
          <w:sz w:val="22"/>
          <w:u w:val="single"/>
        </w:rPr>
        <w:t> </w:t>
      </w:r>
      <w:r>
        <w:rPr>
          <w:sz w:val="22"/>
          <w:u w:val="single"/>
        </w:rPr>
        <w:t>riesgos</w:t>
      </w:r>
      <w:r>
        <w:rPr>
          <w:spacing w:val="-5"/>
          <w:sz w:val="22"/>
          <w:u w:val="single"/>
        </w:rPr>
        <w:t> </w:t>
      </w:r>
      <w:r>
        <w:rPr>
          <w:sz w:val="22"/>
          <w:u w:val="single"/>
        </w:rPr>
        <w:t>(párrafo</w:t>
      </w:r>
      <w:r>
        <w:rPr>
          <w:spacing w:val="-3"/>
          <w:sz w:val="22"/>
          <w:u w:val="single"/>
        </w:rPr>
        <w:t> </w:t>
      </w:r>
      <w:r>
        <w:rPr>
          <w:sz w:val="22"/>
          <w:u w:val="single"/>
        </w:rPr>
        <w:t>38</w:t>
      </w:r>
      <w:r>
        <w:rPr>
          <w:spacing w:val="-5"/>
          <w:sz w:val="22"/>
          <w:u w:val="single"/>
        </w:rPr>
        <w:t> </w:t>
      </w:r>
      <w:r>
        <w:rPr>
          <w:sz w:val="22"/>
          <w:u w:val="single"/>
        </w:rPr>
        <w:t>a</w:t>
      </w:r>
      <w:r>
        <w:rPr>
          <w:spacing w:val="-3"/>
          <w:sz w:val="22"/>
          <w:u w:val="single"/>
        </w:rPr>
        <w:t> </w:t>
      </w:r>
      <w:r>
        <w:rPr>
          <w:spacing w:val="-5"/>
          <w:sz w:val="22"/>
          <w:u w:val="single"/>
        </w:rPr>
        <w:t>49)</w:t>
      </w:r>
    </w:p>
    <w:p>
      <w:pPr>
        <w:pStyle w:val="BodyText"/>
        <w:spacing w:before="33"/>
        <w:rPr>
          <w:sz w:val="20"/>
        </w:rPr>
      </w:pPr>
      <w:r>
        <w:rPr>
          <w:sz w:val="20"/>
        </w:rPr>
        <mc:AlternateContent>
          <mc:Choice Requires="wps">
            <w:drawing>
              <wp:anchor distT="0" distB="0" distL="0" distR="0" allowOverlap="1" layoutInCell="1" locked="0" behindDoc="1" simplePos="0" relativeHeight="487831552">
                <wp:simplePos x="0" y="0"/>
                <wp:positionH relativeFrom="page">
                  <wp:posOffset>1080820</wp:posOffset>
                </wp:positionH>
                <wp:positionV relativeFrom="paragraph">
                  <wp:posOffset>184229</wp:posOffset>
                </wp:positionV>
                <wp:extent cx="5992495" cy="2184400"/>
                <wp:effectExtent l="0" t="0" r="0" b="0"/>
                <wp:wrapTopAndBottom/>
                <wp:docPr id="1196" name="Textbox 1196"/>
                <wp:cNvGraphicFramePr>
                  <a:graphicFrameLocks/>
                </wp:cNvGraphicFramePr>
                <a:graphic>
                  <a:graphicData uri="http://schemas.microsoft.com/office/word/2010/wordprocessingShape">
                    <wps:wsp>
                      <wps:cNvPr id="1196" name="Textbox 1196"/>
                      <wps:cNvSpPr txBox="1"/>
                      <wps:spPr>
                        <a:xfrm>
                          <a:off x="0" y="0"/>
                          <a:ext cx="5992495" cy="2184400"/>
                        </a:xfrm>
                        <a:prstGeom prst="rect">
                          <a:avLst/>
                        </a:prstGeom>
                        <a:ln w="6096">
                          <a:solidFill>
                            <a:srgbClr val="000000"/>
                          </a:solidFill>
                          <a:prstDash val="solid"/>
                        </a:ln>
                      </wps:spPr>
                      <wps:txbx>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41"/>
                            </w:pPr>
                            <w:r>
                              <w:rPr/>
                              <w:t>Hay riesgo de crédito (liquidez) y riesgo de mercado (cambio de tasas de interés), por cuanto existe la posibilidad de que una de las partes, en este caso los obligados morosos, causen pérdida financiera en caso</w:t>
                            </w:r>
                            <w:r>
                              <w:rPr>
                                <w:spacing w:val="-2"/>
                              </w:rPr>
                              <w:t> </w:t>
                            </w:r>
                            <w:r>
                              <w:rPr/>
                              <w:t>de</w:t>
                            </w:r>
                            <w:r>
                              <w:rPr>
                                <w:spacing w:val="-4"/>
                              </w:rPr>
                              <w:t> </w:t>
                            </w:r>
                            <w:r>
                              <w:rPr/>
                              <w:t>incumplimiento</w:t>
                            </w:r>
                            <w:r>
                              <w:rPr>
                                <w:spacing w:val="-1"/>
                              </w:rPr>
                              <w:t> </w:t>
                            </w:r>
                            <w:r>
                              <w:rPr/>
                              <w:t>de</w:t>
                            </w:r>
                            <w:r>
                              <w:rPr>
                                <w:spacing w:val="-6"/>
                              </w:rPr>
                              <w:t> </w:t>
                            </w:r>
                            <w:r>
                              <w:rPr/>
                              <w:t>pago</w:t>
                            </w:r>
                            <w:r>
                              <w:rPr>
                                <w:spacing w:val="-1"/>
                              </w:rPr>
                              <w:t> </w:t>
                            </w:r>
                            <w:r>
                              <w:rPr/>
                              <w:t>o</w:t>
                            </w:r>
                            <w:r>
                              <w:rPr>
                                <w:spacing w:val="-4"/>
                              </w:rPr>
                              <w:t> </w:t>
                            </w:r>
                            <w:r>
                              <w:rPr/>
                              <w:t>se</w:t>
                            </w:r>
                            <w:r>
                              <w:rPr>
                                <w:spacing w:val="-3"/>
                              </w:rPr>
                              <w:t> </w:t>
                            </w:r>
                            <w:r>
                              <w:rPr/>
                              <w:t>deteriore</w:t>
                            </w:r>
                            <w:r>
                              <w:rPr>
                                <w:spacing w:val="-4"/>
                              </w:rPr>
                              <w:t> </w:t>
                            </w:r>
                            <w:r>
                              <w:rPr/>
                              <w:t>la</w:t>
                            </w:r>
                            <w:r>
                              <w:rPr>
                                <w:spacing w:val="-1"/>
                              </w:rPr>
                              <w:t> </w:t>
                            </w:r>
                            <w:r>
                              <w:rPr/>
                              <w:t>cuenta</w:t>
                            </w:r>
                            <w:r>
                              <w:rPr>
                                <w:spacing w:val="-3"/>
                              </w:rPr>
                              <w:t> </w:t>
                            </w:r>
                            <w:r>
                              <w:rPr/>
                              <w:t>por</w:t>
                            </w:r>
                            <w:r>
                              <w:rPr>
                                <w:spacing w:val="-2"/>
                              </w:rPr>
                              <w:t> </w:t>
                            </w:r>
                            <w:r>
                              <w:rPr/>
                              <w:t>cobrar</w:t>
                            </w:r>
                            <w:r>
                              <w:rPr>
                                <w:spacing w:val="-2"/>
                              </w:rPr>
                              <w:t> </w:t>
                            </w:r>
                            <w:r>
                              <w:rPr/>
                              <w:t>por</w:t>
                            </w:r>
                            <w:r>
                              <w:rPr>
                                <w:spacing w:val="-2"/>
                              </w:rPr>
                              <w:t> </w:t>
                            </w:r>
                            <w:r>
                              <w:rPr/>
                              <w:t>variaciones</w:t>
                            </w:r>
                            <w:r>
                              <w:rPr>
                                <w:spacing w:val="-4"/>
                              </w:rPr>
                              <w:t> </w:t>
                            </w:r>
                            <w:r>
                              <w:rPr/>
                              <w:t>significativas</w:t>
                            </w:r>
                            <w:r>
                              <w:rPr>
                                <w:spacing w:val="-1"/>
                              </w:rPr>
                              <w:t> </w:t>
                            </w:r>
                            <w:r>
                              <w:rPr/>
                              <w:t>en</w:t>
                            </w:r>
                            <w:r>
                              <w:rPr>
                                <w:spacing w:val="-2"/>
                              </w:rPr>
                              <w:t> </w:t>
                            </w:r>
                            <w:r>
                              <w:rPr/>
                              <w:t>las tasas de interés de mercado.</w:t>
                            </w:r>
                          </w:p>
                          <w:p>
                            <w:pPr>
                              <w:spacing w:before="160"/>
                              <w:ind w:left="103" w:right="0" w:firstLine="0"/>
                              <w:jc w:val="left"/>
                              <w:rPr>
                                <w:b/>
                                <w:sz w:val="22"/>
                              </w:rPr>
                            </w:pPr>
                            <w:r>
                              <w:rPr>
                                <w:b/>
                                <w:sz w:val="22"/>
                              </w:rPr>
                              <w:t>RIESGO</w:t>
                            </w:r>
                            <w:r>
                              <w:rPr>
                                <w:b/>
                                <w:spacing w:val="-4"/>
                                <w:sz w:val="22"/>
                              </w:rPr>
                              <w:t> </w:t>
                            </w:r>
                            <w:r>
                              <w:rPr>
                                <w:b/>
                                <w:sz w:val="22"/>
                              </w:rPr>
                              <w:t>TASA</w:t>
                            </w:r>
                            <w:r>
                              <w:rPr>
                                <w:b/>
                                <w:spacing w:val="-4"/>
                                <w:sz w:val="22"/>
                              </w:rPr>
                              <w:t> </w:t>
                            </w:r>
                            <w:r>
                              <w:rPr>
                                <w:b/>
                                <w:sz w:val="22"/>
                              </w:rPr>
                              <w:t>DE</w:t>
                            </w:r>
                            <w:r>
                              <w:rPr>
                                <w:b/>
                                <w:spacing w:val="-3"/>
                                <w:sz w:val="22"/>
                              </w:rPr>
                              <w:t> </w:t>
                            </w:r>
                            <w:r>
                              <w:rPr>
                                <w:b/>
                                <w:spacing w:val="-2"/>
                                <w:sz w:val="22"/>
                              </w:rPr>
                              <w:t>INTERES:</w:t>
                            </w:r>
                          </w:p>
                          <w:p>
                            <w:pPr>
                              <w:pStyle w:val="BodyText"/>
                              <w:spacing w:before="179"/>
                              <w:ind w:left="103" w:right="105"/>
                              <w:jc w:val="both"/>
                            </w:pPr>
                            <w:r>
                              <w:rPr/>
                              <w:t>El riesgo por variaciones en</w:t>
                            </w:r>
                            <w:r>
                              <w:rPr>
                                <w:spacing w:val="-1"/>
                              </w:rPr>
                              <w:t> </w:t>
                            </w:r>
                            <w:r>
                              <w:rPr/>
                              <w:t>las tasas de</w:t>
                            </w:r>
                            <w:r>
                              <w:rPr>
                                <w:spacing w:val="-1"/>
                              </w:rPr>
                              <w:t> </w:t>
                            </w:r>
                            <w:r>
                              <w:rPr/>
                              <w:t>interés es la exposición a pérdida debido a las fluctuaciones en las tasas cuando se presentan descalces en los plazos de las inversiones y los créditos otorgados por el IMAS para el financiamiento a las personas beneficiarias por créditos hipotecarios.</w:t>
                            </w:r>
                          </w:p>
                        </w:txbxContent>
                      </wps:txbx>
                      <wps:bodyPr wrap="square" lIns="0" tIns="0" rIns="0" bIns="0" rtlCol="0">
                        <a:noAutofit/>
                      </wps:bodyPr>
                    </wps:wsp>
                  </a:graphicData>
                </a:graphic>
              </wp:anchor>
            </w:drawing>
          </mc:Choice>
          <mc:Fallback>
            <w:pict>
              <v:shape style="position:absolute;margin-left:85.103996pt;margin-top:14.50625pt;width:471.85pt;height:172pt;mso-position-horizontal-relative:page;mso-position-vertical-relative:paragraph;z-index:-15484928;mso-wrap-distance-left:0;mso-wrap-distance-right:0" type="#_x0000_t202" id="docshape1140" filled="false" stroked="true" strokeweight=".48004pt" strokecolor="#000000">
                <v:textbox inset="0,0,0,0">
                  <w:txbxContent>
                    <w:p>
                      <w:pPr>
                        <w:spacing w:before="0"/>
                        <w:ind w:left="103" w:right="0" w:firstLine="0"/>
                        <w:jc w:val="left"/>
                        <w:rPr>
                          <w:sz w:val="22"/>
                        </w:rPr>
                      </w:pPr>
                      <w:r>
                        <w:rPr>
                          <w:b/>
                          <w:color w:val="1F4E79"/>
                          <w:spacing w:val="-2"/>
                          <w:sz w:val="22"/>
                          <w:u w:val="single" w:color="1F4E79"/>
                        </w:rPr>
                        <w:t>Revelación</w:t>
                      </w:r>
                      <w:r>
                        <w:rPr>
                          <w:spacing w:val="-2"/>
                          <w:sz w:val="22"/>
                          <w:u w:val="none"/>
                        </w:rPr>
                        <w:t>:</w:t>
                      </w:r>
                    </w:p>
                    <w:p>
                      <w:pPr>
                        <w:pStyle w:val="BodyText"/>
                        <w:spacing w:line="259" w:lineRule="auto" w:before="181"/>
                        <w:ind w:left="103" w:right="141"/>
                      </w:pPr>
                      <w:r>
                        <w:rPr/>
                        <w:t>Hay riesgo de crédito (liquidez) y riesgo de mercado (cambio de tasas de interés), por cuanto existe la posibilidad de que una de las partes, en este caso los obligados morosos, causen pérdida financiera en caso</w:t>
                      </w:r>
                      <w:r>
                        <w:rPr>
                          <w:spacing w:val="-2"/>
                        </w:rPr>
                        <w:t> </w:t>
                      </w:r>
                      <w:r>
                        <w:rPr/>
                        <w:t>de</w:t>
                      </w:r>
                      <w:r>
                        <w:rPr>
                          <w:spacing w:val="-4"/>
                        </w:rPr>
                        <w:t> </w:t>
                      </w:r>
                      <w:r>
                        <w:rPr/>
                        <w:t>incumplimiento</w:t>
                      </w:r>
                      <w:r>
                        <w:rPr>
                          <w:spacing w:val="-1"/>
                        </w:rPr>
                        <w:t> </w:t>
                      </w:r>
                      <w:r>
                        <w:rPr/>
                        <w:t>de</w:t>
                      </w:r>
                      <w:r>
                        <w:rPr>
                          <w:spacing w:val="-6"/>
                        </w:rPr>
                        <w:t> </w:t>
                      </w:r>
                      <w:r>
                        <w:rPr/>
                        <w:t>pago</w:t>
                      </w:r>
                      <w:r>
                        <w:rPr>
                          <w:spacing w:val="-1"/>
                        </w:rPr>
                        <w:t> </w:t>
                      </w:r>
                      <w:r>
                        <w:rPr/>
                        <w:t>o</w:t>
                      </w:r>
                      <w:r>
                        <w:rPr>
                          <w:spacing w:val="-4"/>
                        </w:rPr>
                        <w:t> </w:t>
                      </w:r>
                      <w:r>
                        <w:rPr/>
                        <w:t>se</w:t>
                      </w:r>
                      <w:r>
                        <w:rPr>
                          <w:spacing w:val="-3"/>
                        </w:rPr>
                        <w:t> </w:t>
                      </w:r>
                      <w:r>
                        <w:rPr/>
                        <w:t>deteriore</w:t>
                      </w:r>
                      <w:r>
                        <w:rPr>
                          <w:spacing w:val="-4"/>
                        </w:rPr>
                        <w:t> </w:t>
                      </w:r>
                      <w:r>
                        <w:rPr/>
                        <w:t>la</w:t>
                      </w:r>
                      <w:r>
                        <w:rPr>
                          <w:spacing w:val="-1"/>
                        </w:rPr>
                        <w:t> </w:t>
                      </w:r>
                      <w:r>
                        <w:rPr/>
                        <w:t>cuenta</w:t>
                      </w:r>
                      <w:r>
                        <w:rPr>
                          <w:spacing w:val="-3"/>
                        </w:rPr>
                        <w:t> </w:t>
                      </w:r>
                      <w:r>
                        <w:rPr/>
                        <w:t>por</w:t>
                      </w:r>
                      <w:r>
                        <w:rPr>
                          <w:spacing w:val="-2"/>
                        </w:rPr>
                        <w:t> </w:t>
                      </w:r>
                      <w:r>
                        <w:rPr/>
                        <w:t>cobrar</w:t>
                      </w:r>
                      <w:r>
                        <w:rPr>
                          <w:spacing w:val="-2"/>
                        </w:rPr>
                        <w:t> </w:t>
                      </w:r>
                      <w:r>
                        <w:rPr/>
                        <w:t>por</w:t>
                      </w:r>
                      <w:r>
                        <w:rPr>
                          <w:spacing w:val="-2"/>
                        </w:rPr>
                        <w:t> </w:t>
                      </w:r>
                      <w:r>
                        <w:rPr/>
                        <w:t>variaciones</w:t>
                      </w:r>
                      <w:r>
                        <w:rPr>
                          <w:spacing w:val="-4"/>
                        </w:rPr>
                        <w:t> </w:t>
                      </w:r>
                      <w:r>
                        <w:rPr/>
                        <w:t>significativas</w:t>
                      </w:r>
                      <w:r>
                        <w:rPr>
                          <w:spacing w:val="-1"/>
                        </w:rPr>
                        <w:t> </w:t>
                      </w:r>
                      <w:r>
                        <w:rPr/>
                        <w:t>en</w:t>
                      </w:r>
                      <w:r>
                        <w:rPr>
                          <w:spacing w:val="-2"/>
                        </w:rPr>
                        <w:t> </w:t>
                      </w:r>
                      <w:r>
                        <w:rPr/>
                        <w:t>las tasas de interés de mercado.</w:t>
                      </w:r>
                    </w:p>
                    <w:p>
                      <w:pPr>
                        <w:spacing w:before="160"/>
                        <w:ind w:left="103" w:right="0" w:firstLine="0"/>
                        <w:jc w:val="left"/>
                        <w:rPr>
                          <w:b/>
                          <w:sz w:val="22"/>
                        </w:rPr>
                      </w:pPr>
                      <w:r>
                        <w:rPr>
                          <w:b/>
                          <w:sz w:val="22"/>
                        </w:rPr>
                        <w:t>RIESGO</w:t>
                      </w:r>
                      <w:r>
                        <w:rPr>
                          <w:b/>
                          <w:spacing w:val="-4"/>
                          <w:sz w:val="22"/>
                        </w:rPr>
                        <w:t> </w:t>
                      </w:r>
                      <w:r>
                        <w:rPr>
                          <w:b/>
                          <w:sz w:val="22"/>
                        </w:rPr>
                        <w:t>TASA</w:t>
                      </w:r>
                      <w:r>
                        <w:rPr>
                          <w:b/>
                          <w:spacing w:val="-4"/>
                          <w:sz w:val="22"/>
                        </w:rPr>
                        <w:t> </w:t>
                      </w:r>
                      <w:r>
                        <w:rPr>
                          <w:b/>
                          <w:sz w:val="22"/>
                        </w:rPr>
                        <w:t>DE</w:t>
                      </w:r>
                      <w:r>
                        <w:rPr>
                          <w:b/>
                          <w:spacing w:val="-3"/>
                          <w:sz w:val="22"/>
                        </w:rPr>
                        <w:t> </w:t>
                      </w:r>
                      <w:r>
                        <w:rPr>
                          <w:b/>
                          <w:spacing w:val="-2"/>
                          <w:sz w:val="22"/>
                        </w:rPr>
                        <w:t>INTERES:</w:t>
                      </w:r>
                    </w:p>
                    <w:p>
                      <w:pPr>
                        <w:pStyle w:val="BodyText"/>
                        <w:spacing w:before="179"/>
                        <w:ind w:left="103" w:right="105"/>
                        <w:jc w:val="both"/>
                      </w:pPr>
                      <w:r>
                        <w:rPr/>
                        <w:t>El riesgo por variaciones en</w:t>
                      </w:r>
                      <w:r>
                        <w:rPr>
                          <w:spacing w:val="-1"/>
                        </w:rPr>
                        <w:t> </w:t>
                      </w:r>
                      <w:r>
                        <w:rPr/>
                        <w:t>las tasas de</w:t>
                      </w:r>
                      <w:r>
                        <w:rPr>
                          <w:spacing w:val="-1"/>
                        </w:rPr>
                        <w:t> </w:t>
                      </w:r>
                      <w:r>
                        <w:rPr/>
                        <w:t>interés es la exposición a pérdida debido a las fluctuaciones en las tasas cuando se presentan descalces en los plazos de las inversiones y los créditos otorgados por el IMAS para el financiamiento a las personas beneficiarias por créditos hipotecarios.</w:t>
                      </w:r>
                    </w:p>
                  </w:txbxContent>
                </v:textbox>
                <v:stroke dashstyle="solid"/>
                <w10:wrap type="topAndBottom"/>
              </v:shape>
            </w:pict>
          </mc:Fallback>
        </mc:AlternateContent>
      </w:r>
    </w:p>
    <w:p>
      <w:pPr>
        <w:pStyle w:val="BodyText"/>
        <w:spacing w:after="0"/>
        <w:rPr>
          <w:sz w:val="20"/>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9472">
                <wp:simplePos x="0" y="0"/>
                <wp:positionH relativeFrom="page">
                  <wp:posOffset>9525</wp:posOffset>
                </wp:positionH>
                <wp:positionV relativeFrom="page">
                  <wp:posOffset>297208</wp:posOffset>
                </wp:positionV>
                <wp:extent cx="7762875" cy="9748520"/>
                <wp:effectExtent l="0" t="0" r="0" b="0"/>
                <wp:wrapNone/>
                <wp:docPr id="1197" name="Group 1197"/>
                <wp:cNvGraphicFramePr>
                  <a:graphicFrameLocks/>
                </wp:cNvGraphicFramePr>
                <a:graphic>
                  <a:graphicData uri="http://schemas.microsoft.com/office/word/2010/wordprocessingGroup">
                    <wpg:wgp>
                      <wpg:cNvPr id="1197" name="Group 1197"/>
                      <wpg:cNvGrpSpPr/>
                      <wpg:grpSpPr>
                        <a:xfrm>
                          <a:off x="0" y="0"/>
                          <a:ext cx="7762875" cy="9748520"/>
                          <a:chExt cx="7762875" cy="9748520"/>
                        </a:xfrm>
                      </wpg:grpSpPr>
                      <pic:pic>
                        <pic:nvPicPr>
                          <pic:cNvPr id="1198" name="Image 1198"/>
                          <pic:cNvPicPr/>
                        </pic:nvPicPr>
                        <pic:blipFill>
                          <a:blip r:embed="rId5" cstate="print"/>
                          <a:stretch>
                            <a:fillRect/>
                          </a:stretch>
                        </pic:blipFill>
                        <pic:spPr>
                          <a:xfrm>
                            <a:off x="0" y="0"/>
                            <a:ext cx="7762874" cy="9748489"/>
                          </a:xfrm>
                          <a:prstGeom prst="rect">
                            <a:avLst/>
                          </a:prstGeom>
                        </pic:spPr>
                      </pic:pic>
                      <wps:wsp>
                        <wps:cNvPr id="1199" name="Graphic 1199"/>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7008" id="docshapegroup1141" coordorigin="15,468" coordsize="12225,15352">
                <v:shape style="position:absolute;left:15;top:468;width:12225;height:15352" type="#_x0000_t75" id="docshape1142" stroked="false">
                  <v:imagedata r:id="rId5" o:title=""/>
                </v:shape>
                <v:rect style="position:absolute;left:1673;top:2028;width:8897;height:15" id="docshape114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233</w:t>
      </w:r>
    </w:p>
    <w:p>
      <w:pPr>
        <w:pStyle w:val="BodyText"/>
        <w:spacing w:before="7"/>
        <w:rPr>
          <w:sz w:val="18"/>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3"/>
        <w:gridCol w:w="1714"/>
        <w:gridCol w:w="1534"/>
        <w:gridCol w:w="3977"/>
        <w:gridCol w:w="1274"/>
        <w:gridCol w:w="112"/>
      </w:tblGrid>
      <w:tr>
        <w:trPr>
          <w:trHeight w:val="9632" w:hRule="atLeast"/>
        </w:trPr>
        <w:tc>
          <w:tcPr>
            <w:tcW w:w="9434" w:type="dxa"/>
            <w:gridSpan w:val="6"/>
            <w:tcBorders>
              <w:bottom w:val="nil"/>
            </w:tcBorders>
          </w:tcPr>
          <w:p>
            <w:pPr>
              <w:pStyle w:val="TableParagraph"/>
              <w:ind w:left="107"/>
              <w:jc w:val="both"/>
              <w:rPr>
                <w:b/>
                <w:sz w:val="22"/>
              </w:rPr>
            </w:pPr>
            <w:r>
              <w:rPr>
                <w:b/>
                <w:sz w:val="22"/>
              </w:rPr>
              <w:t>RIESGO</w:t>
            </w:r>
            <w:r>
              <w:rPr>
                <w:b/>
                <w:spacing w:val="-6"/>
                <w:sz w:val="22"/>
              </w:rPr>
              <w:t> </w:t>
            </w:r>
            <w:r>
              <w:rPr>
                <w:b/>
                <w:spacing w:val="-2"/>
                <w:sz w:val="22"/>
              </w:rPr>
              <w:t>CAMBIARIO:</w:t>
            </w:r>
          </w:p>
          <w:p>
            <w:pPr>
              <w:pStyle w:val="TableParagraph"/>
              <w:spacing w:before="159"/>
              <w:ind w:left="107" w:right="93"/>
              <w:jc w:val="both"/>
              <w:rPr>
                <w:sz w:val="22"/>
              </w:rPr>
            </w:pPr>
            <w:r>
              <w:rPr>
                <w:sz w:val="22"/>
              </w:rPr>
              <w:t>El</w:t>
            </w:r>
            <w:r>
              <w:rPr>
                <w:spacing w:val="-14"/>
                <w:sz w:val="22"/>
              </w:rPr>
              <w:t> </w:t>
            </w:r>
            <w:r>
              <w:rPr>
                <w:sz w:val="22"/>
              </w:rPr>
              <w:t>riesgo</w:t>
            </w:r>
            <w:r>
              <w:rPr>
                <w:spacing w:val="-14"/>
                <w:sz w:val="22"/>
              </w:rPr>
              <w:t> </w:t>
            </w:r>
            <w:r>
              <w:rPr>
                <w:sz w:val="22"/>
              </w:rPr>
              <w:t>cambiario</w:t>
            </w:r>
            <w:r>
              <w:rPr>
                <w:spacing w:val="-14"/>
                <w:sz w:val="22"/>
              </w:rPr>
              <w:t> </w:t>
            </w:r>
            <w:r>
              <w:rPr>
                <w:sz w:val="22"/>
              </w:rPr>
              <w:t>es</w:t>
            </w:r>
            <w:r>
              <w:rPr>
                <w:spacing w:val="-13"/>
                <w:sz w:val="22"/>
              </w:rPr>
              <w:t> </w:t>
            </w:r>
            <w:r>
              <w:rPr>
                <w:sz w:val="22"/>
              </w:rPr>
              <w:t>la</w:t>
            </w:r>
            <w:r>
              <w:rPr>
                <w:spacing w:val="-14"/>
                <w:sz w:val="22"/>
              </w:rPr>
              <w:t> </w:t>
            </w:r>
            <w:r>
              <w:rPr>
                <w:sz w:val="22"/>
              </w:rPr>
              <w:t>exposición</w:t>
            </w:r>
            <w:r>
              <w:rPr>
                <w:spacing w:val="-14"/>
                <w:sz w:val="22"/>
              </w:rPr>
              <w:t> </w:t>
            </w:r>
            <w:r>
              <w:rPr>
                <w:sz w:val="22"/>
              </w:rPr>
              <w:t>a</w:t>
            </w:r>
            <w:r>
              <w:rPr>
                <w:spacing w:val="-14"/>
                <w:sz w:val="22"/>
              </w:rPr>
              <w:t> </w:t>
            </w:r>
            <w:r>
              <w:rPr>
                <w:sz w:val="22"/>
              </w:rPr>
              <w:t>pérdidas</w:t>
            </w:r>
            <w:r>
              <w:rPr>
                <w:spacing w:val="-13"/>
                <w:sz w:val="22"/>
              </w:rPr>
              <w:t> </w:t>
            </w:r>
            <w:r>
              <w:rPr>
                <w:sz w:val="22"/>
              </w:rPr>
              <w:t>cuando</w:t>
            </w:r>
            <w:r>
              <w:rPr>
                <w:spacing w:val="-14"/>
                <w:sz w:val="22"/>
              </w:rPr>
              <w:t> </w:t>
            </w:r>
            <w:r>
              <w:rPr>
                <w:sz w:val="22"/>
              </w:rPr>
              <w:t>el</w:t>
            </w:r>
            <w:r>
              <w:rPr>
                <w:spacing w:val="-14"/>
                <w:sz w:val="22"/>
              </w:rPr>
              <w:t> </w:t>
            </w:r>
            <w:r>
              <w:rPr>
                <w:sz w:val="22"/>
              </w:rPr>
              <w:t>valor</w:t>
            </w:r>
            <w:r>
              <w:rPr>
                <w:spacing w:val="-14"/>
                <w:sz w:val="22"/>
              </w:rPr>
              <w:t> </w:t>
            </w:r>
            <w:r>
              <w:rPr>
                <w:sz w:val="22"/>
              </w:rPr>
              <w:t>de</w:t>
            </w:r>
            <w:r>
              <w:rPr>
                <w:spacing w:val="-13"/>
                <w:sz w:val="22"/>
              </w:rPr>
              <w:t> </w:t>
            </w:r>
            <w:r>
              <w:rPr>
                <w:sz w:val="22"/>
              </w:rPr>
              <w:t>sus</w:t>
            </w:r>
            <w:r>
              <w:rPr>
                <w:spacing w:val="-14"/>
                <w:sz w:val="22"/>
              </w:rPr>
              <w:t> </w:t>
            </w:r>
            <w:r>
              <w:rPr>
                <w:sz w:val="22"/>
              </w:rPr>
              <w:t>activos</w:t>
            </w:r>
            <w:r>
              <w:rPr>
                <w:spacing w:val="-14"/>
                <w:sz w:val="22"/>
              </w:rPr>
              <w:t> </w:t>
            </w:r>
            <w:r>
              <w:rPr>
                <w:sz w:val="22"/>
              </w:rPr>
              <w:t>y</w:t>
            </w:r>
            <w:r>
              <w:rPr>
                <w:spacing w:val="-14"/>
                <w:sz w:val="22"/>
              </w:rPr>
              <w:t> </w:t>
            </w:r>
            <w:r>
              <w:rPr>
                <w:sz w:val="22"/>
              </w:rPr>
              <w:t>pasivos</w:t>
            </w:r>
            <w:r>
              <w:rPr>
                <w:spacing w:val="-13"/>
                <w:sz w:val="22"/>
              </w:rPr>
              <w:t> </w:t>
            </w:r>
            <w:r>
              <w:rPr>
                <w:sz w:val="22"/>
              </w:rPr>
              <w:t>en</w:t>
            </w:r>
            <w:r>
              <w:rPr>
                <w:spacing w:val="-14"/>
                <w:sz w:val="22"/>
              </w:rPr>
              <w:t> </w:t>
            </w:r>
            <w:r>
              <w:rPr>
                <w:sz w:val="22"/>
              </w:rPr>
              <w:t>moneda</w:t>
            </w:r>
            <w:r>
              <w:rPr>
                <w:spacing w:val="-14"/>
                <w:sz w:val="22"/>
              </w:rPr>
              <w:t> </w:t>
            </w:r>
            <w:r>
              <w:rPr>
                <w:sz w:val="22"/>
              </w:rPr>
              <w:t>extranjera se ven afectados por las variaciones en el tipo de cambio y los montos correspondientes se encuentran descalzados, a la fecha el IMAS administra el riesgo por medio de una baja exposición a la moneda extranjera en sus pasivos por lo cual no requiere de altas reservas para la atención de estos.</w:t>
            </w:r>
          </w:p>
          <w:p>
            <w:pPr>
              <w:pStyle w:val="TableParagraph"/>
              <w:spacing w:before="161"/>
              <w:ind w:left="107" w:right="96"/>
              <w:jc w:val="both"/>
              <w:rPr>
                <w:sz w:val="22"/>
              </w:rPr>
            </w:pPr>
            <w:r>
              <w:rPr>
                <w:sz w:val="22"/>
              </w:rPr>
              <w:t>Como</w:t>
            </w:r>
            <w:r>
              <w:rPr>
                <w:spacing w:val="-14"/>
                <w:sz w:val="22"/>
              </w:rPr>
              <w:t> </w:t>
            </w:r>
            <w:r>
              <w:rPr>
                <w:sz w:val="22"/>
              </w:rPr>
              <w:t>medida</w:t>
            </w:r>
            <w:r>
              <w:rPr>
                <w:spacing w:val="-14"/>
                <w:sz w:val="22"/>
              </w:rPr>
              <w:t> </w:t>
            </w:r>
            <w:r>
              <w:rPr>
                <w:sz w:val="22"/>
              </w:rPr>
              <w:t>para</w:t>
            </w:r>
            <w:r>
              <w:rPr>
                <w:spacing w:val="-14"/>
                <w:sz w:val="22"/>
              </w:rPr>
              <w:t> </w:t>
            </w:r>
            <w:r>
              <w:rPr>
                <w:sz w:val="22"/>
              </w:rPr>
              <w:t>controlar</w:t>
            </w:r>
            <w:r>
              <w:rPr>
                <w:spacing w:val="-13"/>
                <w:sz w:val="22"/>
              </w:rPr>
              <w:t> </w:t>
            </w:r>
            <w:r>
              <w:rPr>
                <w:sz w:val="22"/>
              </w:rPr>
              <w:t>este</w:t>
            </w:r>
            <w:r>
              <w:rPr>
                <w:spacing w:val="-14"/>
                <w:sz w:val="22"/>
              </w:rPr>
              <w:t> </w:t>
            </w:r>
            <w:r>
              <w:rPr>
                <w:sz w:val="22"/>
              </w:rPr>
              <w:t>riesgo,</w:t>
            </w:r>
            <w:r>
              <w:rPr>
                <w:spacing w:val="-14"/>
                <w:sz w:val="22"/>
              </w:rPr>
              <w:t> </w:t>
            </w:r>
            <w:r>
              <w:rPr>
                <w:sz w:val="22"/>
              </w:rPr>
              <w:t>el</w:t>
            </w:r>
            <w:r>
              <w:rPr>
                <w:spacing w:val="-14"/>
                <w:sz w:val="22"/>
              </w:rPr>
              <w:t> </w:t>
            </w:r>
            <w:r>
              <w:rPr>
                <w:sz w:val="22"/>
              </w:rPr>
              <w:t>IMAS</w:t>
            </w:r>
            <w:r>
              <w:rPr>
                <w:spacing w:val="-13"/>
                <w:sz w:val="22"/>
              </w:rPr>
              <w:t> </w:t>
            </w:r>
            <w:r>
              <w:rPr>
                <w:sz w:val="22"/>
              </w:rPr>
              <w:t>considera</w:t>
            </w:r>
            <w:r>
              <w:rPr>
                <w:spacing w:val="-14"/>
                <w:sz w:val="22"/>
              </w:rPr>
              <w:t> </w:t>
            </w:r>
            <w:r>
              <w:rPr>
                <w:sz w:val="22"/>
              </w:rPr>
              <w:t>la</w:t>
            </w:r>
            <w:r>
              <w:rPr>
                <w:spacing w:val="-14"/>
                <w:sz w:val="22"/>
              </w:rPr>
              <w:t> </w:t>
            </w:r>
            <w:r>
              <w:rPr>
                <w:sz w:val="22"/>
              </w:rPr>
              <w:t>evolución</w:t>
            </w:r>
            <w:r>
              <w:rPr>
                <w:spacing w:val="-14"/>
                <w:sz w:val="22"/>
              </w:rPr>
              <w:t> </w:t>
            </w:r>
            <w:r>
              <w:rPr>
                <w:sz w:val="22"/>
              </w:rPr>
              <w:t>del</w:t>
            </w:r>
            <w:r>
              <w:rPr>
                <w:spacing w:val="-13"/>
                <w:sz w:val="22"/>
              </w:rPr>
              <w:t> </w:t>
            </w:r>
            <w:r>
              <w:rPr>
                <w:sz w:val="22"/>
              </w:rPr>
              <w:t>tipo</w:t>
            </w:r>
            <w:r>
              <w:rPr>
                <w:spacing w:val="-14"/>
                <w:sz w:val="22"/>
              </w:rPr>
              <w:t> </w:t>
            </w:r>
            <w:r>
              <w:rPr>
                <w:sz w:val="22"/>
              </w:rPr>
              <w:t>de</w:t>
            </w:r>
            <w:r>
              <w:rPr>
                <w:spacing w:val="-14"/>
                <w:sz w:val="22"/>
              </w:rPr>
              <w:t> </w:t>
            </w:r>
            <w:r>
              <w:rPr>
                <w:sz w:val="22"/>
              </w:rPr>
              <w:t>cambio,</w:t>
            </w:r>
            <w:r>
              <w:rPr>
                <w:spacing w:val="-14"/>
                <w:sz w:val="22"/>
              </w:rPr>
              <w:t> </w:t>
            </w:r>
            <w:r>
              <w:rPr>
                <w:sz w:val="22"/>
              </w:rPr>
              <w:t>lo</w:t>
            </w:r>
            <w:r>
              <w:rPr>
                <w:spacing w:val="-13"/>
                <w:sz w:val="22"/>
              </w:rPr>
              <w:t> </w:t>
            </w:r>
            <w:r>
              <w:rPr>
                <w:sz w:val="22"/>
              </w:rPr>
              <w:t>que</w:t>
            </w:r>
            <w:r>
              <w:rPr>
                <w:spacing w:val="-14"/>
                <w:sz w:val="22"/>
              </w:rPr>
              <w:t> </w:t>
            </w:r>
            <w:r>
              <w:rPr>
                <w:sz w:val="22"/>
              </w:rPr>
              <w:t>significa que la exposición al riesgo cambia en función a la posición neta existente a la fecha.</w:t>
            </w:r>
          </w:p>
          <w:p>
            <w:pPr>
              <w:pStyle w:val="TableParagraph"/>
              <w:spacing w:before="160"/>
              <w:ind w:left="107"/>
              <w:jc w:val="both"/>
              <w:rPr>
                <w:b/>
                <w:sz w:val="22"/>
              </w:rPr>
            </w:pPr>
            <w:r>
              <w:rPr>
                <w:b/>
                <w:sz w:val="22"/>
              </w:rPr>
              <w:t>RIESGO</w:t>
            </w:r>
            <w:r>
              <w:rPr>
                <w:b/>
                <w:spacing w:val="-4"/>
                <w:sz w:val="22"/>
              </w:rPr>
              <w:t> </w:t>
            </w:r>
            <w:r>
              <w:rPr>
                <w:b/>
                <w:sz w:val="22"/>
              </w:rPr>
              <w:t>DE</w:t>
            </w:r>
            <w:r>
              <w:rPr>
                <w:b/>
                <w:spacing w:val="-4"/>
                <w:sz w:val="22"/>
              </w:rPr>
              <w:t> </w:t>
            </w:r>
            <w:r>
              <w:rPr>
                <w:b/>
                <w:spacing w:val="-2"/>
                <w:sz w:val="22"/>
              </w:rPr>
              <w:t>CRÉDITO:</w:t>
            </w:r>
          </w:p>
          <w:p>
            <w:pPr>
              <w:pStyle w:val="TableParagraph"/>
              <w:spacing w:before="160"/>
              <w:ind w:left="107" w:right="147"/>
              <w:rPr>
                <w:sz w:val="22"/>
              </w:rPr>
            </w:pPr>
            <w:r>
              <w:rPr>
                <w:sz w:val="22"/>
              </w:rPr>
              <w:t>La</w:t>
            </w:r>
            <w:r>
              <w:rPr>
                <w:spacing w:val="-3"/>
                <w:sz w:val="22"/>
              </w:rPr>
              <w:t> </w:t>
            </w:r>
            <w:r>
              <w:rPr>
                <w:sz w:val="22"/>
              </w:rPr>
              <w:t>cartera</w:t>
            </w:r>
            <w:r>
              <w:rPr>
                <w:spacing w:val="-3"/>
                <w:sz w:val="22"/>
              </w:rPr>
              <w:t> </w:t>
            </w:r>
            <w:r>
              <w:rPr>
                <w:sz w:val="22"/>
              </w:rPr>
              <w:t>de</w:t>
            </w:r>
            <w:r>
              <w:rPr>
                <w:spacing w:val="-4"/>
                <w:sz w:val="22"/>
              </w:rPr>
              <w:t> </w:t>
            </w:r>
            <w:r>
              <w:rPr>
                <w:sz w:val="22"/>
              </w:rPr>
              <w:t>crédito</w:t>
            </w:r>
            <w:r>
              <w:rPr>
                <w:spacing w:val="-1"/>
                <w:sz w:val="22"/>
              </w:rPr>
              <w:t> </w:t>
            </w:r>
            <w:r>
              <w:rPr>
                <w:sz w:val="22"/>
              </w:rPr>
              <w:t>(vigente,</w:t>
            </w:r>
            <w:r>
              <w:rPr>
                <w:spacing w:val="-2"/>
                <w:sz w:val="22"/>
              </w:rPr>
              <w:t> </w:t>
            </w:r>
            <w:r>
              <w:rPr>
                <w:sz w:val="22"/>
              </w:rPr>
              <w:t>vencida</w:t>
            </w:r>
            <w:r>
              <w:rPr>
                <w:spacing w:val="-3"/>
                <w:sz w:val="22"/>
              </w:rPr>
              <w:t> </w:t>
            </w:r>
            <w:r>
              <w:rPr>
                <w:sz w:val="22"/>
              </w:rPr>
              <w:t>y</w:t>
            </w:r>
            <w:r>
              <w:rPr>
                <w:spacing w:val="-3"/>
                <w:sz w:val="22"/>
              </w:rPr>
              <w:t> </w:t>
            </w:r>
            <w:r>
              <w:rPr>
                <w:sz w:val="22"/>
              </w:rPr>
              <w:t>cobro</w:t>
            </w:r>
            <w:r>
              <w:rPr>
                <w:spacing w:val="-2"/>
                <w:sz w:val="22"/>
              </w:rPr>
              <w:t> </w:t>
            </w:r>
            <w:r>
              <w:rPr>
                <w:sz w:val="22"/>
              </w:rPr>
              <w:t>judicial)</w:t>
            </w:r>
            <w:r>
              <w:rPr>
                <w:spacing w:val="-1"/>
                <w:sz w:val="22"/>
              </w:rPr>
              <w:t> </w:t>
            </w:r>
            <w:r>
              <w:rPr>
                <w:sz w:val="22"/>
              </w:rPr>
              <w:t>no</w:t>
            </w:r>
            <w:r>
              <w:rPr>
                <w:spacing w:val="-4"/>
                <w:sz w:val="22"/>
              </w:rPr>
              <w:t> </w:t>
            </w:r>
            <w:r>
              <w:rPr>
                <w:sz w:val="22"/>
              </w:rPr>
              <w:t>se</w:t>
            </w:r>
            <w:r>
              <w:rPr>
                <w:spacing w:val="-3"/>
                <w:sz w:val="22"/>
              </w:rPr>
              <w:t> </w:t>
            </w:r>
            <w:r>
              <w:rPr>
                <w:sz w:val="22"/>
              </w:rPr>
              <w:t>encuentra</w:t>
            </w:r>
            <w:r>
              <w:rPr>
                <w:spacing w:val="-2"/>
                <w:sz w:val="22"/>
              </w:rPr>
              <w:t> </w:t>
            </w:r>
            <w:r>
              <w:rPr>
                <w:sz w:val="22"/>
              </w:rPr>
              <w:t>expuesta</w:t>
            </w:r>
            <w:r>
              <w:rPr>
                <w:spacing w:val="-2"/>
                <w:sz w:val="22"/>
              </w:rPr>
              <w:t> </w:t>
            </w:r>
            <w:r>
              <w:rPr>
                <w:sz w:val="22"/>
              </w:rPr>
              <w:t>a</w:t>
            </w:r>
            <w:r>
              <w:rPr>
                <w:spacing w:val="-6"/>
                <w:sz w:val="22"/>
              </w:rPr>
              <w:t> </w:t>
            </w:r>
            <w:r>
              <w:rPr>
                <w:sz w:val="22"/>
              </w:rPr>
              <w:t>variaciones </w:t>
            </w:r>
            <w:r>
              <w:rPr>
                <w:spacing w:val="-2"/>
                <w:sz w:val="22"/>
              </w:rPr>
              <w:t>significativas.</w:t>
            </w:r>
          </w:p>
          <w:p>
            <w:pPr>
              <w:pStyle w:val="TableParagraph"/>
              <w:spacing w:before="161"/>
              <w:ind w:left="107" w:right="93"/>
              <w:jc w:val="both"/>
              <w:rPr>
                <w:sz w:val="22"/>
              </w:rPr>
            </w:pPr>
            <w:r>
              <w:rPr>
                <w:sz w:val="22"/>
              </w:rPr>
              <w:t>La</w:t>
            </w:r>
            <w:r>
              <w:rPr>
                <w:spacing w:val="-2"/>
                <w:sz w:val="22"/>
              </w:rPr>
              <w:t> </w:t>
            </w:r>
            <w:r>
              <w:rPr>
                <w:sz w:val="22"/>
              </w:rPr>
              <w:t>tasa</w:t>
            </w:r>
            <w:r>
              <w:rPr>
                <w:spacing w:val="-2"/>
                <w:sz w:val="22"/>
              </w:rPr>
              <w:t> </w:t>
            </w:r>
            <w:r>
              <w:rPr>
                <w:sz w:val="22"/>
              </w:rPr>
              <w:t>de</w:t>
            </w:r>
            <w:r>
              <w:rPr>
                <w:spacing w:val="-3"/>
                <w:sz w:val="22"/>
              </w:rPr>
              <w:t> </w:t>
            </w:r>
            <w:r>
              <w:rPr>
                <w:sz w:val="22"/>
              </w:rPr>
              <w:t>interés</w:t>
            </w:r>
            <w:r>
              <w:rPr>
                <w:spacing w:val="-3"/>
                <w:sz w:val="22"/>
              </w:rPr>
              <w:t> </w:t>
            </w:r>
            <w:r>
              <w:rPr>
                <w:sz w:val="22"/>
              </w:rPr>
              <w:t>no</w:t>
            </w:r>
            <w:r>
              <w:rPr>
                <w:spacing w:val="-3"/>
                <w:sz w:val="22"/>
              </w:rPr>
              <w:t> </w:t>
            </w:r>
            <w:r>
              <w:rPr>
                <w:sz w:val="22"/>
              </w:rPr>
              <w:t>es variable</w:t>
            </w:r>
            <w:r>
              <w:rPr>
                <w:spacing w:val="-2"/>
                <w:sz w:val="22"/>
              </w:rPr>
              <w:t> </w:t>
            </w:r>
            <w:r>
              <w:rPr>
                <w:sz w:val="22"/>
              </w:rPr>
              <w:t>depende</w:t>
            </w:r>
            <w:r>
              <w:rPr>
                <w:spacing w:val="-3"/>
                <w:sz w:val="22"/>
              </w:rPr>
              <w:t> </w:t>
            </w:r>
            <w:r>
              <w:rPr>
                <w:sz w:val="22"/>
              </w:rPr>
              <w:t>de</w:t>
            </w:r>
            <w:r>
              <w:rPr>
                <w:spacing w:val="-3"/>
                <w:sz w:val="22"/>
              </w:rPr>
              <w:t> </w:t>
            </w:r>
            <w:r>
              <w:rPr>
                <w:sz w:val="22"/>
              </w:rPr>
              <w:t>la</w:t>
            </w:r>
            <w:r>
              <w:rPr>
                <w:spacing w:val="-3"/>
                <w:sz w:val="22"/>
              </w:rPr>
              <w:t> </w:t>
            </w:r>
            <w:r>
              <w:rPr>
                <w:sz w:val="22"/>
              </w:rPr>
              <w:t>tasa</w:t>
            </w:r>
            <w:r>
              <w:rPr>
                <w:spacing w:val="-2"/>
                <w:sz w:val="22"/>
              </w:rPr>
              <w:t> </w:t>
            </w:r>
            <w:r>
              <w:rPr>
                <w:sz w:val="22"/>
              </w:rPr>
              <w:t>que</w:t>
            </w:r>
            <w:r>
              <w:rPr>
                <w:spacing w:val="-3"/>
                <w:sz w:val="22"/>
              </w:rPr>
              <w:t> </w:t>
            </w:r>
            <w:r>
              <w:rPr>
                <w:sz w:val="22"/>
              </w:rPr>
              <w:t>tenga</w:t>
            </w:r>
            <w:r>
              <w:rPr>
                <w:spacing w:val="-1"/>
                <w:sz w:val="22"/>
              </w:rPr>
              <w:t> </w:t>
            </w:r>
            <w:r>
              <w:rPr>
                <w:sz w:val="22"/>
              </w:rPr>
              <w:t>cada</w:t>
            </w:r>
            <w:r>
              <w:rPr>
                <w:spacing w:val="-2"/>
                <w:sz w:val="22"/>
              </w:rPr>
              <w:t> </w:t>
            </w:r>
            <w:r>
              <w:rPr>
                <w:sz w:val="22"/>
              </w:rPr>
              <w:t>uno</w:t>
            </w:r>
            <w:r>
              <w:rPr>
                <w:spacing w:val="-3"/>
                <w:sz w:val="22"/>
              </w:rPr>
              <w:t> </w:t>
            </w:r>
            <w:r>
              <w:rPr>
                <w:sz w:val="22"/>
              </w:rPr>
              <w:t>de</w:t>
            </w:r>
            <w:r>
              <w:rPr>
                <w:spacing w:val="-3"/>
                <w:sz w:val="22"/>
              </w:rPr>
              <w:t> </w:t>
            </w:r>
            <w:r>
              <w:rPr>
                <w:sz w:val="22"/>
              </w:rPr>
              <w:t>los</w:t>
            </w:r>
            <w:r>
              <w:rPr>
                <w:spacing w:val="-2"/>
                <w:sz w:val="22"/>
              </w:rPr>
              <w:t> </w:t>
            </w:r>
            <w:r>
              <w:rPr>
                <w:sz w:val="22"/>
              </w:rPr>
              <w:t>pagarés que</w:t>
            </w:r>
            <w:r>
              <w:rPr>
                <w:spacing w:val="-5"/>
                <w:sz w:val="22"/>
              </w:rPr>
              <w:t> </w:t>
            </w:r>
            <w:r>
              <w:rPr>
                <w:sz w:val="22"/>
              </w:rPr>
              <w:t>firmó</w:t>
            </w:r>
            <w:r>
              <w:rPr>
                <w:spacing w:val="-1"/>
                <w:sz w:val="22"/>
              </w:rPr>
              <w:t> </w:t>
            </w:r>
            <w:r>
              <w:rPr>
                <w:sz w:val="22"/>
              </w:rPr>
              <w:t>el</w:t>
            </w:r>
            <w:r>
              <w:rPr>
                <w:spacing w:val="-1"/>
                <w:sz w:val="22"/>
              </w:rPr>
              <w:t> </w:t>
            </w:r>
            <w:r>
              <w:rPr>
                <w:sz w:val="22"/>
              </w:rPr>
              <w:t>deudor en</w:t>
            </w:r>
            <w:r>
              <w:rPr>
                <w:spacing w:val="-11"/>
                <w:sz w:val="22"/>
              </w:rPr>
              <w:t> </w:t>
            </w:r>
            <w:r>
              <w:rPr>
                <w:sz w:val="22"/>
              </w:rPr>
              <w:t>la</w:t>
            </w:r>
            <w:r>
              <w:rPr>
                <w:spacing w:val="-12"/>
                <w:sz w:val="22"/>
              </w:rPr>
              <w:t> </w:t>
            </w:r>
            <w:r>
              <w:rPr>
                <w:sz w:val="22"/>
              </w:rPr>
              <w:t>formalización</w:t>
            </w:r>
            <w:r>
              <w:rPr>
                <w:spacing w:val="-10"/>
                <w:sz w:val="22"/>
              </w:rPr>
              <w:t> </w:t>
            </w:r>
            <w:r>
              <w:rPr>
                <w:sz w:val="22"/>
              </w:rPr>
              <w:t>del</w:t>
            </w:r>
            <w:r>
              <w:rPr>
                <w:spacing w:val="-11"/>
                <w:sz w:val="22"/>
              </w:rPr>
              <w:t> </w:t>
            </w:r>
            <w:r>
              <w:rPr>
                <w:sz w:val="22"/>
              </w:rPr>
              <w:t>préstamo,</w:t>
            </w:r>
            <w:r>
              <w:rPr>
                <w:spacing w:val="-11"/>
                <w:sz w:val="22"/>
              </w:rPr>
              <w:t> </w:t>
            </w:r>
            <w:r>
              <w:rPr>
                <w:sz w:val="22"/>
              </w:rPr>
              <w:t>la</w:t>
            </w:r>
            <w:r>
              <w:rPr>
                <w:spacing w:val="-12"/>
                <w:sz w:val="22"/>
              </w:rPr>
              <w:t> </w:t>
            </w:r>
            <w:r>
              <w:rPr>
                <w:sz w:val="22"/>
              </w:rPr>
              <w:t>referencia</w:t>
            </w:r>
            <w:r>
              <w:rPr>
                <w:spacing w:val="-11"/>
                <w:sz w:val="22"/>
              </w:rPr>
              <w:t> </w:t>
            </w:r>
            <w:r>
              <w:rPr>
                <w:sz w:val="22"/>
              </w:rPr>
              <w:t>de</w:t>
            </w:r>
            <w:r>
              <w:rPr>
                <w:spacing w:val="-12"/>
                <w:sz w:val="22"/>
              </w:rPr>
              <w:t> </w:t>
            </w:r>
            <w:r>
              <w:rPr>
                <w:sz w:val="22"/>
              </w:rPr>
              <w:t>la</w:t>
            </w:r>
            <w:r>
              <w:rPr>
                <w:spacing w:val="-10"/>
                <w:sz w:val="22"/>
              </w:rPr>
              <w:t> </w:t>
            </w:r>
            <w:r>
              <w:rPr>
                <w:sz w:val="22"/>
              </w:rPr>
              <w:t>tasa</w:t>
            </w:r>
            <w:r>
              <w:rPr>
                <w:spacing w:val="-11"/>
                <w:sz w:val="22"/>
              </w:rPr>
              <w:t> </w:t>
            </w:r>
            <w:r>
              <w:rPr>
                <w:sz w:val="22"/>
              </w:rPr>
              <w:t>que</w:t>
            </w:r>
            <w:r>
              <w:rPr>
                <w:spacing w:val="-12"/>
                <w:sz w:val="22"/>
              </w:rPr>
              <w:t> </w:t>
            </w:r>
            <w:r>
              <w:rPr>
                <w:sz w:val="22"/>
              </w:rPr>
              <w:t>se</w:t>
            </w:r>
            <w:r>
              <w:rPr>
                <w:spacing w:val="-12"/>
                <w:sz w:val="22"/>
              </w:rPr>
              <w:t> </w:t>
            </w:r>
            <w:r>
              <w:rPr>
                <w:sz w:val="22"/>
              </w:rPr>
              <w:t>utiliza</w:t>
            </w:r>
            <w:r>
              <w:rPr>
                <w:spacing w:val="-12"/>
                <w:sz w:val="22"/>
              </w:rPr>
              <w:t> </w:t>
            </w:r>
            <w:r>
              <w:rPr>
                <w:sz w:val="22"/>
              </w:rPr>
              <w:t>es</w:t>
            </w:r>
            <w:r>
              <w:rPr>
                <w:spacing w:val="-10"/>
                <w:sz w:val="22"/>
              </w:rPr>
              <w:t> </w:t>
            </w:r>
            <w:r>
              <w:rPr>
                <w:sz w:val="22"/>
              </w:rPr>
              <w:t>la</w:t>
            </w:r>
            <w:r>
              <w:rPr>
                <w:spacing w:val="-12"/>
                <w:sz w:val="22"/>
              </w:rPr>
              <w:t> </w:t>
            </w:r>
            <w:r>
              <w:rPr>
                <w:sz w:val="22"/>
              </w:rPr>
              <w:t>tasa</w:t>
            </w:r>
            <w:r>
              <w:rPr>
                <w:spacing w:val="-11"/>
                <w:sz w:val="22"/>
              </w:rPr>
              <w:t> </w:t>
            </w:r>
            <w:r>
              <w:rPr>
                <w:sz w:val="22"/>
              </w:rPr>
              <w:t>básica</w:t>
            </w:r>
            <w:r>
              <w:rPr>
                <w:spacing w:val="-11"/>
                <w:sz w:val="22"/>
              </w:rPr>
              <w:t> </w:t>
            </w:r>
            <w:r>
              <w:rPr>
                <w:sz w:val="22"/>
              </w:rPr>
              <w:t>pasiva</w:t>
            </w:r>
            <w:r>
              <w:rPr>
                <w:spacing w:val="-11"/>
                <w:sz w:val="22"/>
              </w:rPr>
              <w:t> </w:t>
            </w:r>
            <w:r>
              <w:rPr>
                <w:sz w:val="22"/>
              </w:rPr>
              <w:t>en</w:t>
            </w:r>
            <w:r>
              <w:rPr>
                <w:spacing w:val="-11"/>
                <w:sz w:val="22"/>
              </w:rPr>
              <w:t> </w:t>
            </w:r>
            <w:r>
              <w:rPr>
                <w:sz w:val="22"/>
              </w:rPr>
              <w:t>el</w:t>
            </w:r>
            <w:r>
              <w:rPr>
                <w:spacing w:val="-9"/>
                <w:sz w:val="22"/>
              </w:rPr>
              <w:t> </w:t>
            </w:r>
            <w:r>
              <w:rPr>
                <w:sz w:val="22"/>
              </w:rPr>
              <w:t>momento de la formalización del crédito.</w:t>
            </w:r>
          </w:p>
          <w:p>
            <w:pPr>
              <w:pStyle w:val="TableParagraph"/>
              <w:spacing w:before="159"/>
              <w:ind w:left="107" w:right="96"/>
              <w:jc w:val="both"/>
              <w:rPr>
                <w:sz w:val="22"/>
              </w:rPr>
            </w:pPr>
            <w:r>
              <w:rPr>
                <w:sz w:val="22"/>
              </w:rPr>
              <w:t>Los riesgos por financiamiento que posee la Institución con entidades bancarias son respaldados con el presupuesto Institucional, en el mismo se incorpora las partidas específicas para atender el pago de la </w:t>
            </w:r>
            <w:r>
              <w:rPr>
                <w:spacing w:val="-2"/>
                <w:sz w:val="22"/>
              </w:rPr>
              <w:t>obligación.</w:t>
            </w:r>
          </w:p>
          <w:p>
            <w:pPr>
              <w:pStyle w:val="TableParagraph"/>
              <w:spacing w:line="393" w:lineRule="auto" w:before="162"/>
              <w:ind w:left="107" w:right="5337"/>
              <w:rPr>
                <w:b/>
                <w:sz w:val="22"/>
              </w:rPr>
            </w:pPr>
            <w:r>
              <w:rPr>
                <w:sz w:val="22"/>
              </w:rPr>
              <w:t>Actividad</w:t>
            </w:r>
            <w:r>
              <w:rPr>
                <w:spacing w:val="-7"/>
                <w:sz w:val="22"/>
              </w:rPr>
              <w:t> </w:t>
            </w:r>
            <w:r>
              <w:rPr>
                <w:sz w:val="22"/>
              </w:rPr>
              <w:t>secundaria</w:t>
            </w:r>
            <w:r>
              <w:rPr>
                <w:spacing w:val="-8"/>
                <w:sz w:val="22"/>
              </w:rPr>
              <w:t> </w:t>
            </w:r>
            <w:r>
              <w:rPr>
                <w:sz w:val="22"/>
              </w:rPr>
              <w:t>de</w:t>
            </w:r>
            <w:r>
              <w:rPr>
                <w:spacing w:val="-9"/>
                <w:sz w:val="22"/>
              </w:rPr>
              <w:t> </w:t>
            </w:r>
            <w:r>
              <w:rPr>
                <w:sz w:val="22"/>
              </w:rPr>
              <w:t>ventas</w:t>
            </w:r>
            <w:r>
              <w:rPr>
                <w:spacing w:val="-7"/>
                <w:sz w:val="22"/>
              </w:rPr>
              <w:t> </w:t>
            </w:r>
            <w:r>
              <w:rPr>
                <w:sz w:val="22"/>
              </w:rPr>
              <w:t>de</w:t>
            </w:r>
            <w:r>
              <w:rPr>
                <w:spacing w:val="-9"/>
                <w:sz w:val="22"/>
              </w:rPr>
              <w:t> </w:t>
            </w:r>
            <w:r>
              <w:rPr>
                <w:sz w:val="22"/>
              </w:rPr>
              <w:t>bienes </w:t>
            </w:r>
            <w:r>
              <w:rPr>
                <w:b/>
                <w:sz w:val="22"/>
              </w:rPr>
              <w:t>Tasas de Interés:</w:t>
            </w:r>
          </w:p>
          <w:p>
            <w:pPr>
              <w:pStyle w:val="TableParagraph"/>
              <w:ind w:left="107" w:right="147"/>
              <w:rPr>
                <w:sz w:val="22"/>
              </w:rPr>
            </w:pPr>
            <w:r>
              <w:rPr>
                <w:sz w:val="22"/>
              </w:rPr>
              <w:t>No se mantienen activos o pasivos sujetos a pagos de intereses, por lo que el riesgo de posibles pérdidas por tasa de interés no existe</w:t>
            </w:r>
          </w:p>
          <w:p>
            <w:pPr>
              <w:pStyle w:val="TableParagraph"/>
              <w:spacing w:before="249"/>
              <w:ind w:left="107"/>
              <w:rPr>
                <w:b/>
                <w:sz w:val="22"/>
              </w:rPr>
            </w:pPr>
            <w:r>
              <w:rPr>
                <w:b/>
                <w:sz w:val="22"/>
              </w:rPr>
              <w:t>Riesgo</w:t>
            </w:r>
            <w:r>
              <w:rPr>
                <w:b/>
                <w:spacing w:val="-1"/>
                <w:sz w:val="22"/>
              </w:rPr>
              <w:t> </w:t>
            </w:r>
            <w:r>
              <w:rPr>
                <w:b/>
                <w:sz w:val="22"/>
              </w:rPr>
              <w:t>de</w:t>
            </w:r>
            <w:r>
              <w:rPr>
                <w:b/>
                <w:spacing w:val="-1"/>
                <w:sz w:val="22"/>
              </w:rPr>
              <w:t> </w:t>
            </w:r>
            <w:r>
              <w:rPr>
                <w:b/>
                <w:spacing w:val="-2"/>
                <w:sz w:val="22"/>
              </w:rPr>
              <w:t>crédito</w:t>
            </w:r>
          </w:p>
          <w:p>
            <w:pPr>
              <w:pStyle w:val="TableParagraph"/>
              <w:spacing w:before="160"/>
              <w:ind w:left="107" w:right="91"/>
              <w:jc w:val="both"/>
              <w:rPr>
                <w:sz w:val="22"/>
              </w:rPr>
            </w:pPr>
            <w:r>
              <w:rPr>
                <w:sz w:val="22"/>
              </w:rPr>
              <w:t>Debido a la índole de las actividades que realizan las Empresas Comerciales, sus clientes deben pagar sus compras al contado, o por medio de tarjetas de crédito, por lo que existe un riesgo de crédito de que los proveedores de estos servicios de intermediación eventualmente no depositen lo recaudado a través de ellos.</w:t>
            </w:r>
            <w:r>
              <w:rPr>
                <w:spacing w:val="-2"/>
                <w:sz w:val="22"/>
              </w:rPr>
              <w:t> </w:t>
            </w:r>
            <w:r>
              <w:rPr>
                <w:sz w:val="22"/>
              </w:rPr>
              <w:t>Como</w:t>
            </w:r>
            <w:r>
              <w:rPr>
                <w:spacing w:val="-1"/>
                <w:sz w:val="22"/>
              </w:rPr>
              <w:t> </w:t>
            </w:r>
            <w:r>
              <w:rPr>
                <w:sz w:val="22"/>
              </w:rPr>
              <w:t>el</w:t>
            </w:r>
            <w:r>
              <w:rPr>
                <w:spacing w:val="-1"/>
                <w:sz w:val="22"/>
              </w:rPr>
              <w:t> </w:t>
            </w:r>
            <w:r>
              <w:rPr>
                <w:sz w:val="22"/>
              </w:rPr>
              <w:t>tiempo</w:t>
            </w:r>
            <w:r>
              <w:rPr>
                <w:spacing w:val="-1"/>
                <w:sz w:val="22"/>
              </w:rPr>
              <w:t> </w:t>
            </w:r>
            <w:r>
              <w:rPr>
                <w:sz w:val="22"/>
              </w:rPr>
              <w:t>de</w:t>
            </w:r>
            <w:r>
              <w:rPr>
                <w:spacing w:val="-3"/>
                <w:sz w:val="22"/>
              </w:rPr>
              <w:t> </w:t>
            </w:r>
            <w:r>
              <w:rPr>
                <w:sz w:val="22"/>
              </w:rPr>
              <w:t>recuperación</w:t>
            </w:r>
            <w:r>
              <w:rPr>
                <w:spacing w:val="-1"/>
                <w:sz w:val="22"/>
              </w:rPr>
              <w:t> </w:t>
            </w:r>
            <w:r>
              <w:rPr>
                <w:sz w:val="22"/>
              </w:rPr>
              <w:t>es de</w:t>
            </w:r>
            <w:r>
              <w:rPr>
                <w:spacing w:val="-3"/>
                <w:sz w:val="22"/>
              </w:rPr>
              <w:t> </w:t>
            </w:r>
            <w:r>
              <w:rPr>
                <w:sz w:val="22"/>
              </w:rPr>
              <w:t>dos días,</w:t>
            </w:r>
            <w:r>
              <w:rPr>
                <w:spacing w:val="-1"/>
                <w:sz w:val="22"/>
              </w:rPr>
              <w:t> </w:t>
            </w:r>
            <w:r>
              <w:rPr>
                <w:sz w:val="22"/>
              </w:rPr>
              <w:t>revisando</w:t>
            </w:r>
            <w:r>
              <w:rPr>
                <w:spacing w:val="-1"/>
                <w:sz w:val="22"/>
              </w:rPr>
              <w:t> </w:t>
            </w:r>
            <w:r>
              <w:rPr>
                <w:sz w:val="22"/>
              </w:rPr>
              <w:t>cortes de</w:t>
            </w:r>
            <w:r>
              <w:rPr>
                <w:spacing w:val="-3"/>
                <w:sz w:val="22"/>
              </w:rPr>
              <w:t> </w:t>
            </w:r>
            <w:r>
              <w:rPr>
                <w:sz w:val="22"/>
              </w:rPr>
              <w:t>los estados de</w:t>
            </w:r>
            <w:r>
              <w:rPr>
                <w:spacing w:val="-3"/>
                <w:sz w:val="22"/>
              </w:rPr>
              <w:t> </w:t>
            </w:r>
            <w:r>
              <w:rPr>
                <w:sz w:val="22"/>
              </w:rPr>
              <w:t>cuenta</w:t>
            </w:r>
            <w:r>
              <w:rPr>
                <w:spacing w:val="-1"/>
                <w:sz w:val="22"/>
              </w:rPr>
              <w:t> </w:t>
            </w:r>
            <w:r>
              <w:rPr>
                <w:sz w:val="22"/>
              </w:rPr>
              <w:t>bancarios donde se realizan los respectivos depósitos, se determina que se deposita el dinero correspondiente en forma diaria. El riesgo es bajo</w:t>
            </w:r>
          </w:p>
          <w:p>
            <w:pPr>
              <w:pStyle w:val="TableParagraph"/>
              <w:rPr>
                <w:sz w:val="22"/>
              </w:rPr>
            </w:pPr>
          </w:p>
          <w:p>
            <w:pPr>
              <w:pStyle w:val="TableParagraph"/>
              <w:ind w:left="107"/>
              <w:rPr>
                <w:sz w:val="22"/>
              </w:rPr>
            </w:pPr>
            <w:r>
              <w:rPr>
                <w:sz w:val="22"/>
              </w:rPr>
              <w:t>En</w:t>
            </w:r>
            <w:r>
              <w:rPr>
                <w:spacing w:val="-6"/>
                <w:sz w:val="22"/>
              </w:rPr>
              <w:t> </w:t>
            </w:r>
            <w:r>
              <w:rPr>
                <w:sz w:val="22"/>
              </w:rPr>
              <w:t>el</w:t>
            </w:r>
            <w:r>
              <w:rPr>
                <w:spacing w:val="-3"/>
                <w:sz w:val="22"/>
              </w:rPr>
              <w:t> </w:t>
            </w:r>
            <w:r>
              <w:rPr>
                <w:sz w:val="22"/>
              </w:rPr>
              <w:t>IMAS</w:t>
            </w:r>
            <w:r>
              <w:rPr>
                <w:spacing w:val="-2"/>
                <w:sz w:val="22"/>
              </w:rPr>
              <w:t> </w:t>
            </w:r>
            <w:r>
              <w:rPr>
                <w:sz w:val="22"/>
              </w:rPr>
              <w:t>el</w:t>
            </w:r>
            <w:r>
              <w:rPr>
                <w:spacing w:val="-3"/>
                <w:sz w:val="22"/>
              </w:rPr>
              <w:t> </w:t>
            </w:r>
            <w:r>
              <w:rPr>
                <w:sz w:val="22"/>
              </w:rPr>
              <w:t>análisis</w:t>
            </w:r>
            <w:r>
              <w:rPr>
                <w:spacing w:val="-4"/>
                <w:sz w:val="22"/>
              </w:rPr>
              <w:t> </w:t>
            </w:r>
            <w:r>
              <w:rPr>
                <w:sz w:val="22"/>
              </w:rPr>
              <w:t>de</w:t>
            </w:r>
            <w:r>
              <w:rPr>
                <w:spacing w:val="-5"/>
                <w:sz w:val="22"/>
              </w:rPr>
              <w:t> </w:t>
            </w:r>
            <w:r>
              <w:rPr>
                <w:sz w:val="22"/>
              </w:rPr>
              <w:t>los</w:t>
            </w:r>
            <w:r>
              <w:rPr>
                <w:spacing w:val="-2"/>
                <w:sz w:val="22"/>
              </w:rPr>
              <w:t> </w:t>
            </w:r>
            <w:r>
              <w:rPr>
                <w:sz w:val="22"/>
              </w:rPr>
              <w:t>riesgos</w:t>
            </w:r>
            <w:r>
              <w:rPr>
                <w:spacing w:val="-2"/>
                <w:sz w:val="22"/>
              </w:rPr>
              <w:t> </w:t>
            </w:r>
            <w:r>
              <w:rPr>
                <w:sz w:val="22"/>
              </w:rPr>
              <w:t>asociados</w:t>
            </w:r>
            <w:r>
              <w:rPr>
                <w:spacing w:val="-3"/>
                <w:sz w:val="22"/>
              </w:rPr>
              <w:t> </w:t>
            </w:r>
            <w:r>
              <w:rPr>
                <w:sz w:val="22"/>
              </w:rPr>
              <w:t>a</w:t>
            </w:r>
            <w:r>
              <w:rPr>
                <w:spacing w:val="-4"/>
                <w:sz w:val="22"/>
              </w:rPr>
              <w:t> </w:t>
            </w:r>
            <w:r>
              <w:rPr>
                <w:sz w:val="22"/>
              </w:rPr>
              <w:t>las</w:t>
            </w:r>
            <w:r>
              <w:rPr>
                <w:spacing w:val="-2"/>
                <w:sz w:val="22"/>
              </w:rPr>
              <w:t> </w:t>
            </w:r>
            <w:r>
              <w:rPr>
                <w:sz w:val="22"/>
              </w:rPr>
              <w:t>cuentas</w:t>
            </w:r>
            <w:r>
              <w:rPr>
                <w:spacing w:val="-3"/>
                <w:sz w:val="22"/>
              </w:rPr>
              <w:t> </w:t>
            </w:r>
            <w:r>
              <w:rPr>
                <w:sz w:val="22"/>
              </w:rPr>
              <w:t>por</w:t>
            </w:r>
            <w:r>
              <w:rPr>
                <w:spacing w:val="-3"/>
                <w:sz w:val="22"/>
              </w:rPr>
              <w:t> </w:t>
            </w:r>
            <w:r>
              <w:rPr>
                <w:sz w:val="22"/>
              </w:rPr>
              <w:t>cobrar</w:t>
            </w:r>
            <w:r>
              <w:rPr>
                <w:spacing w:val="-7"/>
                <w:sz w:val="22"/>
              </w:rPr>
              <w:t> </w:t>
            </w:r>
            <w:r>
              <w:rPr>
                <w:sz w:val="22"/>
              </w:rPr>
              <w:t>se</w:t>
            </w:r>
            <w:r>
              <w:rPr>
                <w:spacing w:val="-4"/>
                <w:sz w:val="22"/>
              </w:rPr>
              <w:t> </w:t>
            </w:r>
            <w:r>
              <w:rPr>
                <w:sz w:val="22"/>
              </w:rPr>
              <w:t>resume</w:t>
            </w:r>
            <w:r>
              <w:rPr>
                <w:spacing w:val="-4"/>
                <w:sz w:val="22"/>
              </w:rPr>
              <w:t> </w:t>
            </w:r>
            <w:r>
              <w:rPr>
                <w:sz w:val="22"/>
              </w:rPr>
              <w:t>en</w:t>
            </w:r>
            <w:r>
              <w:rPr>
                <w:spacing w:val="-3"/>
                <w:sz w:val="22"/>
              </w:rPr>
              <w:t> </w:t>
            </w:r>
            <w:r>
              <w:rPr>
                <w:sz w:val="22"/>
              </w:rPr>
              <w:t>el</w:t>
            </w:r>
            <w:r>
              <w:rPr>
                <w:spacing w:val="-3"/>
                <w:sz w:val="22"/>
              </w:rPr>
              <w:t> </w:t>
            </w:r>
            <w:r>
              <w:rPr>
                <w:sz w:val="22"/>
              </w:rPr>
              <w:t>siguiente</w:t>
            </w:r>
            <w:r>
              <w:rPr>
                <w:spacing w:val="-3"/>
                <w:sz w:val="22"/>
              </w:rPr>
              <w:t> </w:t>
            </w:r>
            <w:r>
              <w:rPr>
                <w:spacing w:val="-2"/>
                <w:sz w:val="22"/>
              </w:rPr>
              <w:t>cuadro:</w:t>
            </w:r>
          </w:p>
        </w:tc>
      </w:tr>
      <w:tr>
        <w:trPr>
          <w:trHeight w:val="700" w:hRule="atLeast"/>
        </w:trPr>
        <w:tc>
          <w:tcPr>
            <w:tcW w:w="823" w:type="dxa"/>
            <w:vMerge w:val="restart"/>
            <w:tcBorders>
              <w:top w:val="nil"/>
            </w:tcBorders>
          </w:tcPr>
          <w:p>
            <w:pPr>
              <w:pStyle w:val="TableParagraph"/>
              <w:rPr>
                <w:rFonts w:ascii="Times New Roman"/>
                <w:sz w:val="22"/>
              </w:rPr>
            </w:pPr>
          </w:p>
        </w:tc>
        <w:tc>
          <w:tcPr>
            <w:tcW w:w="1714" w:type="dxa"/>
          </w:tcPr>
          <w:p>
            <w:pPr>
              <w:pStyle w:val="TableParagraph"/>
              <w:spacing w:line="254" w:lineRule="exact"/>
              <w:ind w:left="304"/>
              <w:rPr>
                <w:b/>
                <w:i/>
                <w:sz w:val="23"/>
              </w:rPr>
            </w:pPr>
            <w:r>
              <w:rPr>
                <w:b/>
                <w:i/>
                <w:spacing w:val="-2"/>
                <w:sz w:val="23"/>
              </w:rPr>
              <w:t>Clasificación</w:t>
            </w:r>
          </w:p>
        </w:tc>
        <w:tc>
          <w:tcPr>
            <w:tcW w:w="1534" w:type="dxa"/>
          </w:tcPr>
          <w:p>
            <w:pPr>
              <w:pStyle w:val="TableParagraph"/>
              <w:spacing w:line="254" w:lineRule="exact"/>
              <w:ind w:left="117"/>
              <w:rPr>
                <w:b/>
                <w:i/>
                <w:sz w:val="23"/>
              </w:rPr>
            </w:pPr>
            <w:r>
              <w:rPr>
                <w:b/>
                <w:i/>
                <w:spacing w:val="-5"/>
                <w:sz w:val="23"/>
              </w:rPr>
              <w:t>Riesgo</w:t>
            </w:r>
            <w:r>
              <w:rPr>
                <w:b/>
                <w:i/>
                <w:spacing w:val="-6"/>
                <w:sz w:val="23"/>
              </w:rPr>
              <w:t> </w:t>
            </w:r>
            <w:r>
              <w:rPr>
                <w:b/>
                <w:i/>
                <w:spacing w:val="-2"/>
                <w:sz w:val="23"/>
              </w:rPr>
              <w:t>Crédito</w:t>
            </w:r>
          </w:p>
        </w:tc>
        <w:tc>
          <w:tcPr>
            <w:tcW w:w="3977" w:type="dxa"/>
          </w:tcPr>
          <w:p>
            <w:pPr>
              <w:pStyle w:val="TableParagraph"/>
              <w:spacing w:line="254" w:lineRule="exact"/>
              <w:ind w:left="1276"/>
              <w:rPr>
                <w:b/>
                <w:i/>
                <w:sz w:val="23"/>
              </w:rPr>
            </w:pPr>
            <w:r>
              <w:rPr>
                <w:b/>
                <w:i/>
                <w:spacing w:val="-5"/>
                <w:sz w:val="23"/>
              </w:rPr>
              <w:t>Riesgo</w:t>
            </w:r>
            <w:r>
              <w:rPr>
                <w:b/>
                <w:i/>
                <w:spacing w:val="-7"/>
                <w:sz w:val="23"/>
              </w:rPr>
              <w:t> </w:t>
            </w:r>
            <w:r>
              <w:rPr>
                <w:b/>
                <w:i/>
                <w:spacing w:val="-2"/>
                <w:sz w:val="23"/>
              </w:rPr>
              <w:t>Mercado</w:t>
            </w:r>
          </w:p>
        </w:tc>
        <w:tc>
          <w:tcPr>
            <w:tcW w:w="1274" w:type="dxa"/>
          </w:tcPr>
          <w:p>
            <w:pPr>
              <w:pStyle w:val="TableParagraph"/>
              <w:spacing w:line="247" w:lineRule="auto"/>
              <w:ind w:left="293" w:firstLine="52"/>
              <w:rPr>
                <w:b/>
                <w:i/>
                <w:sz w:val="23"/>
              </w:rPr>
            </w:pPr>
            <w:r>
              <w:rPr>
                <w:b/>
                <w:i/>
                <w:spacing w:val="-2"/>
                <w:sz w:val="23"/>
              </w:rPr>
              <w:t>Riesgo </w:t>
            </w:r>
            <w:r>
              <w:rPr>
                <w:b/>
                <w:i/>
                <w:spacing w:val="-6"/>
                <w:sz w:val="23"/>
              </w:rPr>
              <w:t>liquidez</w:t>
            </w:r>
          </w:p>
        </w:tc>
        <w:tc>
          <w:tcPr>
            <w:tcW w:w="112" w:type="dxa"/>
            <w:tcBorders>
              <w:top w:val="nil"/>
              <w:bottom w:val="nil"/>
            </w:tcBorders>
          </w:tcPr>
          <w:p>
            <w:pPr>
              <w:pStyle w:val="TableParagraph"/>
              <w:rPr>
                <w:rFonts w:ascii="Times New Roman"/>
                <w:sz w:val="22"/>
              </w:rPr>
            </w:pPr>
          </w:p>
        </w:tc>
      </w:tr>
      <w:tr>
        <w:trPr>
          <w:trHeight w:val="1520" w:hRule="atLeast"/>
        </w:trPr>
        <w:tc>
          <w:tcPr>
            <w:tcW w:w="823" w:type="dxa"/>
            <w:vMerge/>
            <w:tcBorders>
              <w:top w:val="nil"/>
            </w:tcBorders>
          </w:tcPr>
          <w:p>
            <w:pPr>
              <w:rPr>
                <w:sz w:val="2"/>
                <w:szCs w:val="2"/>
              </w:rPr>
            </w:pPr>
          </w:p>
        </w:tc>
        <w:tc>
          <w:tcPr>
            <w:tcW w:w="1714" w:type="dxa"/>
            <w:tcBorders>
              <w:bottom w:val="single" w:sz="8" w:space="0" w:color="000000"/>
            </w:tcBorders>
          </w:tcPr>
          <w:p>
            <w:pPr>
              <w:pStyle w:val="TableParagraph"/>
              <w:spacing w:line="259" w:lineRule="auto" w:before="2"/>
              <w:ind w:left="105" w:right="160"/>
              <w:rPr>
                <w:sz w:val="22"/>
              </w:rPr>
            </w:pPr>
            <w:r>
              <w:rPr>
                <w:sz w:val="22"/>
              </w:rPr>
              <w:t>Cuentas y documentos</w:t>
            </w:r>
            <w:r>
              <w:rPr>
                <w:spacing w:val="-14"/>
                <w:sz w:val="22"/>
              </w:rPr>
              <w:t> </w:t>
            </w:r>
            <w:r>
              <w:rPr>
                <w:sz w:val="22"/>
              </w:rPr>
              <w:t>por </w:t>
            </w:r>
            <w:r>
              <w:rPr>
                <w:spacing w:val="-2"/>
                <w:sz w:val="22"/>
              </w:rPr>
              <w:t>cobrar impuestos.</w:t>
            </w:r>
          </w:p>
        </w:tc>
        <w:tc>
          <w:tcPr>
            <w:tcW w:w="1534" w:type="dxa"/>
            <w:tcBorders>
              <w:bottom w:val="single" w:sz="8" w:space="0" w:color="000000"/>
            </w:tcBorders>
          </w:tcPr>
          <w:p>
            <w:pPr>
              <w:pStyle w:val="TableParagraph"/>
              <w:spacing w:before="2"/>
              <w:ind w:left="160"/>
              <w:rPr>
                <w:sz w:val="22"/>
              </w:rPr>
            </w:pPr>
            <w:r>
              <w:rPr>
                <w:spacing w:val="-2"/>
                <w:sz w:val="22"/>
              </w:rPr>
              <w:t>Aplica</w:t>
            </w:r>
          </w:p>
        </w:tc>
        <w:tc>
          <w:tcPr>
            <w:tcW w:w="3977" w:type="dxa"/>
            <w:tcBorders>
              <w:bottom w:val="single" w:sz="8" w:space="0" w:color="000000"/>
            </w:tcBorders>
          </w:tcPr>
          <w:p>
            <w:pPr>
              <w:pStyle w:val="TableParagraph"/>
              <w:spacing w:before="2"/>
              <w:ind w:left="108"/>
              <w:jc w:val="both"/>
              <w:rPr>
                <w:sz w:val="22"/>
              </w:rPr>
            </w:pPr>
            <w:r>
              <w:rPr>
                <w:sz w:val="22"/>
              </w:rPr>
              <w:t>No</w:t>
            </w:r>
            <w:r>
              <w:rPr>
                <w:spacing w:val="-5"/>
                <w:sz w:val="22"/>
              </w:rPr>
              <w:t> </w:t>
            </w:r>
            <w:r>
              <w:rPr>
                <w:sz w:val="22"/>
              </w:rPr>
              <w:t>aplica</w:t>
            </w:r>
            <w:r>
              <w:rPr>
                <w:spacing w:val="-4"/>
                <w:sz w:val="22"/>
              </w:rPr>
              <w:t> </w:t>
            </w:r>
            <w:r>
              <w:rPr>
                <w:spacing w:val="-2"/>
                <w:sz w:val="22"/>
              </w:rPr>
              <w:t>porque:</w:t>
            </w:r>
          </w:p>
          <w:p>
            <w:pPr>
              <w:pStyle w:val="TableParagraph"/>
              <w:spacing w:line="259" w:lineRule="auto" w:before="179"/>
              <w:ind w:left="108" w:right="97"/>
              <w:jc w:val="both"/>
              <w:rPr>
                <w:sz w:val="22"/>
              </w:rPr>
            </w:pPr>
            <w:r>
              <w:rPr>
                <w:sz w:val="22"/>
              </w:rPr>
              <w:t>El valor razonable de la deuda por impuestos no fluctúa como consecuencia en los precios de mercado.</w:t>
            </w:r>
          </w:p>
        </w:tc>
        <w:tc>
          <w:tcPr>
            <w:tcW w:w="1274" w:type="dxa"/>
            <w:tcBorders>
              <w:bottom w:val="single" w:sz="8" w:space="0" w:color="000000"/>
            </w:tcBorders>
          </w:tcPr>
          <w:p>
            <w:pPr>
              <w:pStyle w:val="TableParagraph"/>
              <w:spacing w:before="2"/>
              <w:ind w:left="106"/>
              <w:rPr>
                <w:sz w:val="22"/>
              </w:rPr>
            </w:pPr>
            <w:r>
              <w:rPr>
                <w:sz w:val="22"/>
              </w:rPr>
              <w:t>No</w:t>
            </w:r>
            <w:r>
              <w:rPr>
                <w:spacing w:val="-2"/>
                <w:sz w:val="22"/>
              </w:rPr>
              <w:t> aplica</w:t>
            </w:r>
          </w:p>
        </w:tc>
        <w:tc>
          <w:tcPr>
            <w:tcW w:w="112" w:type="dxa"/>
            <w:tcBorders>
              <w:top w:val="nil"/>
            </w:tcBorders>
          </w:tcPr>
          <w:p>
            <w:pPr>
              <w:pStyle w:val="TableParagraph"/>
              <w:rPr>
                <w:rFonts w:ascii="Times New Roman"/>
                <w:sz w:val="22"/>
              </w:rPr>
            </w:pPr>
          </w:p>
        </w:tc>
      </w:tr>
    </w:tbl>
    <w:p>
      <w:pPr>
        <w:pStyle w:val="TableParagraph"/>
        <w:spacing w:after="0"/>
        <w:rPr>
          <w:rFonts w:ascii="Times New Roman"/>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69984">
                <wp:simplePos x="0" y="0"/>
                <wp:positionH relativeFrom="page">
                  <wp:posOffset>9525</wp:posOffset>
                </wp:positionH>
                <wp:positionV relativeFrom="page">
                  <wp:posOffset>297208</wp:posOffset>
                </wp:positionV>
                <wp:extent cx="7762875" cy="9748520"/>
                <wp:effectExtent l="0" t="0" r="0" b="0"/>
                <wp:wrapNone/>
                <wp:docPr id="1200" name="Group 1200"/>
                <wp:cNvGraphicFramePr>
                  <a:graphicFrameLocks/>
                </wp:cNvGraphicFramePr>
                <a:graphic>
                  <a:graphicData uri="http://schemas.microsoft.com/office/word/2010/wordprocessingGroup">
                    <wpg:wgp>
                      <wpg:cNvPr id="1200" name="Group 1200"/>
                      <wpg:cNvGrpSpPr/>
                      <wpg:grpSpPr>
                        <a:xfrm>
                          <a:off x="0" y="0"/>
                          <a:ext cx="7762875" cy="9748520"/>
                          <a:chExt cx="7762875" cy="9748520"/>
                        </a:xfrm>
                      </wpg:grpSpPr>
                      <pic:pic>
                        <pic:nvPicPr>
                          <pic:cNvPr id="1201" name="Image 1201"/>
                          <pic:cNvPicPr/>
                        </pic:nvPicPr>
                        <pic:blipFill>
                          <a:blip r:embed="rId5" cstate="print"/>
                          <a:stretch>
                            <a:fillRect/>
                          </a:stretch>
                        </pic:blipFill>
                        <pic:spPr>
                          <a:xfrm>
                            <a:off x="0" y="0"/>
                            <a:ext cx="7762874" cy="9748489"/>
                          </a:xfrm>
                          <a:prstGeom prst="rect">
                            <a:avLst/>
                          </a:prstGeom>
                        </pic:spPr>
                      </pic:pic>
                      <wps:wsp>
                        <wps:cNvPr id="1202" name="Graphic 1202"/>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6496" id="docshapegroup1144" coordorigin="15,468" coordsize="12225,15352">
                <v:shape style="position:absolute;left:15;top:468;width:12225;height:15352" type="#_x0000_t75" id="docshape1145" stroked="false">
                  <v:imagedata r:id="rId5" o:title=""/>
                </v:shape>
                <v:rect style="position:absolute;left:1673;top:2028;width:8897;height:15" id="docshape1146" filled="true" fillcolor="#000000" stroked="false">
                  <v:fill type="solid"/>
                </v:rect>
                <w10:wrap type="none"/>
              </v:group>
            </w:pict>
          </mc:Fallback>
        </mc:AlternateContent>
      </w:r>
      <w:r>
        <w:rPr>
          <w:sz w:val="20"/>
        </w:rPr>
        <mc:AlternateContent>
          <mc:Choice Requires="wps">
            <w:drawing>
              <wp:anchor distT="0" distB="0" distL="0" distR="0" allowOverlap="1" layoutInCell="1" locked="0" behindDoc="0" simplePos="0" relativeHeight="15974912">
                <wp:simplePos x="0" y="0"/>
                <wp:positionH relativeFrom="page">
                  <wp:posOffset>1563877</wp:posOffset>
                </wp:positionH>
                <wp:positionV relativeFrom="page">
                  <wp:posOffset>5639689</wp:posOffset>
                </wp:positionV>
                <wp:extent cx="5475605" cy="2349500"/>
                <wp:effectExtent l="0" t="0" r="0" b="0"/>
                <wp:wrapNone/>
                <wp:docPr id="1203" name="Textbox 1203"/>
                <wp:cNvGraphicFramePr>
                  <a:graphicFrameLocks/>
                </wp:cNvGraphicFramePr>
                <a:graphic>
                  <a:graphicData uri="http://schemas.microsoft.com/office/word/2010/wordprocessingShape">
                    <wps:wsp>
                      <wps:cNvPr id="1203" name="Textbox 1203"/>
                      <wps:cNvSpPr txBox="1"/>
                      <wps:spPr>
                        <a:xfrm>
                          <a:off x="0" y="0"/>
                          <a:ext cx="5475605" cy="23495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17"/>
                              <w:gridCol w:w="1534"/>
                              <w:gridCol w:w="3977"/>
                              <w:gridCol w:w="1274"/>
                            </w:tblGrid>
                            <w:tr>
                              <w:trPr>
                                <w:trHeight w:val="712" w:hRule="atLeast"/>
                              </w:trPr>
                              <w:tc>
                                <w:tcPr>
                                  <w:tcW w:w="1717" w:type="dxa"/>
                                </w:tcPr>
                                <w:p>
                                  <w:pPr>
                                    <w:pStyle w:val="TableParagraph"/>
                                    <w:rPr>
                                      <w:rFonts w:ascii="Times New Roman"/>
                                      <w:sz w:val="22"/>
                                    </w:rPr>
                                  </w:pPr>
                                </w:p>
                              </w:tc>
                              <w:tc>
                                <w:tcPr>
                                  <w:tcW w:w="1534" w:type="dxa"/>
                                </w:tcPr>
                                <w:p>
                                  <w:pPr>
                                    <w:pStyle w:val="TableParagraph"/>
                                    <w:rPr>
                                      <w:rFonts w:ascii="Times New Roman"/>
                                      <w:sz w:val="22"/>
                                    </w:rPr>
                                  </w:pPr>
                                </w:p>
                              </w:tc>
                              <w:tc>
                                <w:tcPr>
                                  <w:tcW w:w="3977" w:type="dxa"/>
                                </w:tcPr>
                                <w:p>
                                  <w:pPr>
                                    <w:pStyle w:val="TableParagraph"/>
                                    <w:rPr>
                                      <w:rFonts w:ascii="Times New Roman"/>
                                      <w:sz w:val="22"/>
                                    </w:rPr>
                                  </w:pPr>
                                </w:p>
                              </w:tc>
                              <w:tc>
                                <w:tcPr>
                                  <w:tcW w:w="1274" w:type="dxa"/>
                                </w:tcPr>
                                <w:p>
                                  <w:pPr>
                                    <w:pStyle w:val="TableParagraph"/>
                                    <w:rPr>
                                      <w:rFonts w:ascii="Times New Roman"/>
                                      <w:sz w:val="22"/>
                                    </w:rPr>
                                  </w:pPr>
                                </w:p>
                              </w:tc>
                            </w:tr>
                            <w:tr>
                              <w:trPr>
                                <w:trHeight w:val="2988" w:hRule="atLeast"/>
                              </w:trPr>
                              <w:tc>
                                <w:tcPr>
                                  <w:tcW w:w="1717" w:type="dxa"/>
                                </w:tcPr>
                                <w:p>
                                  <w:pPr>
                                    <w:pStyle w:val="TableParagraph"/>
                                    <w:rPr>
                                      <w:rFonts w:ascii="Times New Roman"/>
                                      <w:sz w:val="22"/>
                                    </w:rPr>
                                  </w:pPr>
                                </w:p>
                              </w:tc>
                              <w:tc>
                                <w:tcPr>
                                  <w:tcW w:w="1534" w:type="dxa"/>
                                </w:tcPr>
                                <w:p>
                                  <w:pPr>
                                    <w:pStyle w:val="TableParagraph"/>
                                    <w:rPr>
                                      <w:rFonts w:ascii="Times New Roman"/>
                                      <w:sz w:val="22"/>
                                    </w:rPr>
                                  </w:pPr>
                                </w:p>
                              </w:tc>
                              <w:tc>
                                <w:tcPr>
                                  <w:tcW w:w="3977" w:type="dxa"/>
                                </w:tcPr>
                                <w:p>
                                  <w:pPr>
                                    <w:pStyle w:val="TableParagraph"/>
                                    <w:rPr>
                                      <w:rFonts w:ascii="Times New Roman"/>
                                      <w:sz w:val="22"/>
                                    </w:rPr>
                                  </w:pPr>
                                </w:p>
                              </w:tc>
                              <w:tc>
                                <w:tcPr>
                                  <w:tcW w:w="1274"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123.139999pt;margin-top:444.070007pt;width:431.15pt;height:185pt;mso-position-horizontal-relative:page;mso-position-vertical-relative:page;z-index:15974912" type="#_x0000_t202" id="docshape114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17"/>
                        <w:gridCol w:w="1534"/>
                        <w:gridCol w:w="3977"/>
                        <w:gridCol w:w="1274"/>
                      </w:tblGrid>
                      <w:tr>
                        <w:trPr>
                          <w:trHeight w:val="712" w:hRule="atLeast"/>
                        </w:trPr>
                        <w:tc>
                          <w:tcPr>
                            <w:tcW w:w="1717" w:type="dxa"/>
                          </w:tcPr>
                          <w:p>
                            <w:pPr>
                              <w:pStyle w:val="TableParagraph"/>
                              <w:rPr>
                                <w:rFonts w:ascii="Times New Roman"/>
                                <w:sz w:val="22"/>
                              </w:rPr>
                            </w:pPr>
                          </w:p>
                        </w:tc>
                        <w:tc>
                          <w:tcPr>
                            <w:tcW w:w="1534" w:type="dxa"/>
                          </w:tcPr>
                          <w:p>
                            <w:pPr>
                              <w:pStyle w:val="TableParagraph"/>
                              <w:rPr>
                                <w:rFonts w:ascii="Times New Roman"/>
                                <w:sz w:val="22"/>
                              </w:rPr>
                            </w:pPr>
                          </w:p>
                        </w:tc>
                        <w:tc>
                          <w:tcPr>
                            <w:tcW w:w="3977" w:type="dxa"/>
                          </w:tcPr>
                          <w:p>
                            <w:pPr>
                              <w:pStyle w:val="TableParagraph"/>
                              <w:rPr>
                                <w:rFonts w:ascii="Times New Roman"/>
                                <w:sz w:val="22"/>
                              </w:rPr>
                            </w:pPr>
                          </w:p>
                        </w:tc>
                        <w:tc>
                          <w:tcPr>
                            <w:tcW w:w="1274" w:type="dxa"/>
                          </w:tcPr>
                          <w:p>
                            <w:pPr>
                              <w:pStyle w:val="TableParagraph"/>
                              <w:rPr>
                                <w:rFonts w:ascii="Times New Roman"/>
                                <w:sz w:val="22"/>
                              </w:rPr>
                            </w:pPr>
                          </w:p>
                        </w:tc>
                      </w:tr>
                      <w:tr>
                        <w:trPr>
                          <w:trHeight w:val="2988" w:hRule="atLeast"/>
                        </w:trPr>
                        <w:tc>
                          <w:tcPr>
                            <w:tcW w:w="1717" w:type="dxa"/>
                          </w:tcPr>
                          <w:p>
                            <w:pPr>
                              <w:pStyle w:val="TableParagraph"/>
                              <w:rPr>
                                <w:rFonts w:ascii="Times New Roman"/>
                                <w:sz w:val="22"/>
                              </w:rPr>
                            </w:pPr>
                          </w:p>
                        </w:tc>
                        <w:tc>
                          <w:tcPr>
                            <w:tcW w:w="1534" w:type="dxa"/>
                          </w:tcPr>
                          <w:p>
                            <w:pPr>
                              <w:pStyle w:val="TableParagraph"/>
                              <w:rPr>
                                <w:rFonts w:ascii="Times New Roman"/>
                                <w:sz w:val="22"/>
                              </w:rPr>
                            </w:pPr>
                          </w:p>
                        </w:tc>
                        <w:tc>
                          <w:tcPr>
                            <w:tcW w:w="3977" w:type="dxa"/>
                          </w:tcPr>
                          <w:p>
                            <w:pPr>
                              <w:pStyle w:val="TableParagraph"/>
                              <w:rPr>
                                <w:rFonts w:ascii="Times New Roman"/>
                                <w:sz w:val="22"/>
                              </w:rPr>
                            </w:pPr>
                          </w:p>
                        </w:tc>
                        <w:tc>
                          <w:tcPr>
                            <w:tcW w:w="1274" w:type="dxa"/>
                          </w:tcPr>
                          <w:p>
                            <w:pPr>
                              <w:pStyle w:val="TableParagraph"/>
                              <w:rPr>
                                <w:rFonts w:ascii="Times New Roman"/>
                                <w:sz w:val="22"/>
                              </w:rPr>
                            </w:pPr>
                          </w:p>
                        </w:tc>
                      </w:tr>
                    </w:tbl>
                    <w:p>
                      <w:pPr>
                        <w:pStyle w:val="BodyText"/>
                      </w:pPr>
                    </w:p>
                  </w:txbxContent>
                </v:textbox>
                <w10:wrap type="none"/>
              </v:shape>
            </w:pict>
          </mc:Fallback>
        </mc:AlternateContent>
      </w:r>
      <w:r>
        <w:rPr>
          <w:color w:val="172951"/>
          <w:sz w:val="20"/>
        </w:rPr>
        <w:t>Pág.</w:t>
      </w:r>
      <w:r>
        <w:rPr>
          <w:color w:val="172951"/>
          <w:spacing w:val="-7"/>
          <w:sz w:val="20"/>
        </w:rPr>
        <w:t> </w:t>
      </w:r>
      <w:r>
        <w:rPr>
          <w:color w:val="172951"/>
          <w:spacing w:val="-5"/>
          <w:sz w:val="20"/>
        </w:rPr>
        <w:t>234</w:t>
      </w:r>
    </w:p>
    <w:p>
      <w:pPr>
        <w:pStyle w:val="BodyText"/>
        <w:spacing w:before="7"/>
        <w:rPr>
          <w:sz w:val="18"/>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
        <w:gridCol w:w="1717"/>
        <w:gridCol w:w="1534"/>
        <w:gridCol w:w="3977"/>
        <w:gridCol w:w="1274"/>
        <w:gridCol w:w="112"/>
      </w:tblGrid>
      <w:tr>
        <w:trPr>
          <w:trHeight w:val="1631" w:hRule="atLeast"/>
        </w:trPr>
        <w:tc>
          <w:tcPr>
            <w:tcW w:w="821" w:type="dxa"/>
            <w:vMerge w:val="restart"/>
            <w:tcBorders>
              <w:bottom w:val="nil"/>
            </w:tcBorders>
          </w:tcPr>
          <w:p>
            <w:pPr>
              <w:pStyle w:val="TableParagraph"/>
              <w:rPr>
                <w:rFonts w:ascii="Times New Roman"/>
                <w:sz w:val="22"/>
              </w:rPr>
            </w:pPr>
          </w:p>
        </w:tc>
        <w:tc>
          <w:tcPr>
            <w:tcW w:w="1717" w:type="dxa"/>
            <w:tcBorders>
              <w:top w:val="single" w:sz="8" w:space="0" w:color="000000"/>
            </w:tcBorders>
          </w:tcPr>
          <w:p>
            <w:pPr>
              <w:pStyle w:val="TableParagraph"/>
              <w:rPr>
                <w:rFonts w:ascii="Times New Roman"/>
                <w:sz w:val="22"/>
              </w:rPr>
            </w:pPr>
          </w:p>
        </w:tc>
        <w:tc>
          <w:tcPr>
            <w:tcW w:w="1534" w:type="dxa"/>
            <w:tcBorders>
              <w:top w:val="single" w:sz="8" w:space="0" w:color="000000"/>
            </w:tcBorders>
          </w:tcPr>
          <w:p>
            <w:pPr>
              <w:pStyle w:val="TableParagraph"/>
              <w:rPr>
                <w:rFonts w:ascii="Times New Roman"/>
                <w:sz w:val="22"/>
              </w:rPr>
            </w:pPr>
          </w:p>
        </w:tc>
        <w:tc>
          <w:tcPr>
            <w:tcW w:w="3977" w:type="dxa"/>
            <w:tcBorders>
              <w:top w:val="single" w:sz="8" w:space="0" w:color="000000"/>
            </w:tcBorders>
          </w:tcPr>
          <w:p>
            <w:pPr>
              <w:pStyle w:val="TableParagraph"/>
              <w:spacing w:line="256" w:lineRule="auto" w:before="7"/>
              <w:ind w:left="107" w:right="99"/>
              <w:jc w:val="both"/>
              <w:rPr>
                <w:sz w:val="22"/>
              </w:rPr>
            </w:pPr>
            <w:r>
              <w:rPr>
                <w:sz w:val="22"/>
              </w:rPr>
              <w:t>Porque son registradas en colones, no sujetas al riesgo de tasa cambio.</w:t>
            </w:r>
          </w:p>
          <w:p>
            <w:pPr>
              <w:pStyle w:val="TableParagraph"/>
              <w:spacing w:line="259" w:lineRule="auto" w:before="3"/>
              <w:ind w:left="107" w:right="97"/>
              <w:jc w:val="both"/>
              <w:rPr>
                <w:sz w:val="22"/>
              </w:rPr>
            </w:pPr>
            <w:r>
              <w:rPr>
                <w:sz w:val="22"/>
              </w:rPr>
              <w:t>Según la naturaleza de los impuestos a cobrar, incluyen multas y recargos moratorios</w:t>
            </w:r>
            <w:r>
              <w:rPr>
                <w:spacing w:val="-2"/>
                <w:sz w:val="22"/>
              </w:rPr>
              <w:t> </w:t>
            </w:r>
            <w:r>
              <w:rPr>
                <w:sz w:val="22"/>
              </w:rPr>
              <w:t>únicamente,</w:t>
            </w:r>
            <w:r>
              <w:rPr>
                <w:spacing w:val="-3"/>
                <w:sz w:val="22"/>
              </w:rPr>
              <w:t> </w:t>
            </w:r>
            <w:r>
              <w:rPr>
                <w:sz w:val="22"/>
              </w:rPr>
              <w:t>no</w:t>
            </w:r>
            <w:r>
              <w:rPr>
                <w:spacing w:val="-4"/>
                <w:sz w:val="22"/>
              </w:rPr>
              <w:t> </w:t>
            </w:r>
            <w:r>
              <w:rPr>
                <w:sz w:val="22"/>
              </w:rPr>
              <w:t>sujeto </w:t>
            </w:r>
            <w:r>
              <w:rPr>
                <w:spacing w:val="-2"/>
                <w:sz w:val="22"/>
              </w:rPr>
              <w:t>entonces</w:t>
            </w:r>
          </w:p>
          <w:p>
            <w:pPr>
              <w:pStyle w:val="TableParagraph"/>
              <w:spacing w:line="250" w:lineRule="exact" w:before="1"/>
              <w:ind w:left="107"/>
              <w:jc w:val="both"/>
              <w:rPr>
                <w:sz w:val="22"/>
              </w:rPr>
            </w:pPr>
            <w:r>
              <w:rPr>
                <w:sz w:val="22"/>
              </w:rPr>
              <w:t>a</w:t>
            </w:r>
            <w:r>
              <w:rPr>
                <w:spacing w:val="-2"/>
                <w:sz w:val="22"/>
              </w:rPr>
              <w:t> </w:t>
            </w:r>
            <w:r>
              <w:rPr>
                <w:sz w:val="22"/>
              </w:rPr>
              <w:t>riesgo de</w:t>
            </w:r>
            <w:r>
              <w:rPr>
                <w:spacing w:val="-2"/>
                <w:sz w:val="22"/>
              </w:rPr>
              <w:t> </w:t>
            </w:r>
            <w:r>
              <w:rPr>
                <w:sz w:val="22"/>
              </w:rPr>
              <w:t>tasa</w:t>
            </w:r>
            <w:r>
              <w:rPr>
                <w:spacing w:val="-2"/>
                <w:sz w:val="22"/>
              </w:rPr>
              <w:t> </w:t>
            </w:r>
            <w:r>
              <w:rPr>
                <w:sz w:val="22"/>
              </w:rPr>
              <w:t>de</w:t>
            </w:r>
            <w:r>
              <w:rPr>
                <w:spacing w:val="-2"/>
                <w:sz w:val="22"/>
              </w:rPr>
              <w:t> interés.</w:t>
            </w:r>
          </w:p>
        </w:tc>
        <w:tc>
          <w:tcPr>
            <w:tcW w:w="1274" w:type="dxa"/>
            <w:tcBorders>
              <w:top w:val="single" w:sz="8" w:space="0" w:color="000000"/>
            </w:tcBorders>
          </w:tcPr>
          <w:p>
            <w:pPr>
              <w:pStyle w:val="TableParagraph"/>
              <w:rPr>
                <w:rFonts w:ascii="Times New Roman"/>
                <w:sz w:val="22"/>
              </w:rPr>
            </w:pPr>
          </w:p>
        </w:tc>
        <w:tc>
          <w:tcPr>
            <w:tcW w:w="112" w:type="dxa"/>
            <w:tcBorders>
              <w:bottom w:val="nil"/>
            </w:tcBorders>
          </w:tcPr>
          <w:p>
            <w:pPr>
              <w:pStyle w:val="TableParagraph"/>
              <w:rPr>
                <w:rFonts w:ascii="Times New Roman"/>
                <w:sz w:val="22"/>
              </w:rPr>
            </w:pPr>
          </w:p>
        </w:tc>
      </w:tr>
      <w:tr>
        <w:trPr>
          <w:trHeight w:val="2054" w:hRule="atLeast"/>
        </w:trPr>
        <w:tc>
          <w:tcPr>
            <w:tcW w:w="821" w:type="dxa"/>
            <w:vMerge/>
            <w:tcBorders>
              <w:top w:val="nil"/>
              <w:bottom w:val="nil"/>
            </w:tcBorders>
          </w:tcPr>
          <w:p>
            <w:pPr>
              <w:rPr>
                <w:sz w:val="2"/>
                <w:szCs w:val="2"/>
              </w:rPr>
            </w:pPr>
          </w:p>
        </w:tc>
        <w:tc>
          <w:tcPr>
            <w:tcW w:w="1717" w:type="dxa"/>
          </w:tcPr>
          <w:p>
            <w:pPr>
              <w:pStyle w:val="TableParagraph"/>
              <w:spacing w:line="259" w:lineRule="auto"/>
              <w:ind w:left="107" w:right="95"/>
              <w:rPr>
                <w:sz w:val="22"/>
              </w:rPr>
            </w:pPr>
            <w:r>
              <w:rPr>
                <w:spacing w:val="-2"/>
                <w:sz w:val="22"/>
              </w:rPr>
              <w:t>Contribuciones </w:t>
            </w:r>
            <w:r>
              <w:rPr>
                <w:sz w:val="22"/>
              </w:rPr>
              <w:t>sociales por </w:t>
            </w:r>
            <w:r>
              <w:rPr>
                <w:spacing w:val="-2"/>
                <w:sz w:val="22"/>
              </w:rPr>
              <w:t>cobrar</w:t>
            </w:r>
          </w:p>
        </w:tc>
        <w:tc>
          <w:tcPr>
            <w:tcW w:w="1534" w:type="dxa"/>
          </w:tcPr>
          <w:p>
            <w:pPr>
              <w:pStyle w:val="TableParagraph"/>
              <w:ind w:left="159"/>
              <w:rPr>
                <w:sz w:val="22"/>
              </w:rPr>
            </w:pPr>
            <w:r>
              <w:rPr>
                <w:spacing w:val="-2"/>
                <w:sz w:val="22"/>
              </w:rPr>
              <w:t>Aplica</w:t>
            </w:r>
          </w:p>
        </w:tc>
        <w:tc>
          <w:tcPr>
            <w:tcW w:w="3977" w:type="dxa"/>
          </w:tcPr>
          <w:p>
            <w:pPr>
              <w:pStyle w:val="TableParagraph"/>
              <w:ind w:left="107"/>
              <w:jc w:val="both"/>
              <w:rPr>
                <w:sz w:val="22"/>
              </w:rPr>
            </w:pPr>
            <w:r>
              <w:rPr>
                <w:sz w:val="22"/>
              </w:rPr>
              <w:t>No</w:t>
            </w:r>
            <w:r>
              <w:rPr>
                <w:spacing w:val="-5"/>
                <w:sz w:val="22"/>
              </w:rPr>
              <w:t> </w:t>
            </w:r>
            <w:r>
              <w:rPr>
                <w:sz w:val="22"/>
              </w:rPr>
              <w:t>aplica</w:t>
            </w:r>
            <w:r>
              <w:rPr>
                <w:spacing w:val="-4"/>
                <w:sz w:val="22"/>
              </w:rPr>
              <w:t> </w:t>
            </w:r>
            <w:r>
              <w:rPr>
                <w:spacing w:val="-2"/>
                <w:sz w:val="22"/>
              </w:rPr>
              <w:t>porque:</w:t>
            </w:r>
          </w:p>
          <w:p>
            <w:pPr>
              <w:pStyle w:val="TableParagraph"/>
              <w:spacing w:line="259" w:lineRule="auto" w:before="179"/>
              <w:ind w:left="107" w:right="99"/>
              <w:jc w:val="both"/>
              <w:rPr>
                <w:sz w:val="22"/>
              </w:rPr>
            </w:pPr>
            <w:r>
              <w:rPr>
                <w:sz w:val="22"/>
              </w:rPr>
              <w:t>Porque son registradas en colones, no sujetas al riesgo de tasa cambio.</w:t>
            </w:r>
          </w:p>
          <w:p>
            <w:pPr>
              <w:pStyle w:val="TableParagraph"/>
              <w:spacing w:line="259" w:lineRule="auto" w:before="1"/>
              <w:ind w:left="107" w:right="98"/>
              <w:jc w:val="both"/>
              <w:rPr>
                <w:sz w:val="22"/>
              </w:rPr>
            </w:pPr>
            <w:r>
              <w:rPr>
                <w:sz w:val="22"/>
              </w:rPr>
              <w:t>Según la naturaleza de las contribuciones a la</w:t>
            </w:r>
            <w:r>
              <w:rPr>
                <w:spacing w:val="-3"/>
                <w:sz w:val="22"/>
              </w:rPr>
              <w:t> </w:t>
            </w:r>
            <w:r>
              <w:rPr>
                <w:sz w:val="22"/>
              </w:rPr>
              <w:t>seguridad</w:t>
            </w:r>
            <w:r>
              <w:rPr>
                <w:spacing w:val="-2"/>
                <w:sz w:val="22"/>
              </w:rPr>
              <w:t> </w:t>
            </w:r>
            <w:r>
              <w:rPr>
                <w:sz w:val="22"/>
              </w:rPr>
              <w:t>social,</w:t>
            </w:r>
            <w:r>
              <w:rPr>
                <w:spacing w:val="-2"/>
                <w:sz w:val="22"/>
              </w:rPr>
              <w:t> </w:t>
            </w:r>
            <w:r>
              <w:rPr>
                <w:sz w:val="22"/>
              </w:rPr>
              <w:t>incluyen</w:t>
            </w:r>
            <w:r>
              <w:rPr>
                <w:spacing w:val="-2"/>
                <w:sz w:val="22"/>
              </w:rPr>
              <w:t> </w:t>
            </w:r>
            <w:r>
              <w:rPr>
                <w:sz w:val="22"/>
              </w:rPr>
              <w:t>sólo</w:t>
            </w:r>
            <w:r>
              <w:rPr>
                <w:spacing w:val="-1"/>
                <w:sz w:val="22"/>
              </w:rPr>
              <w:t> </w:t>
            </w:r>
            <w:r>
              <w:rPr>
                <w:sz w:val="22"/>
              </w:rPr>
              <w:t>las</w:t>
            </w:r>
            <w:r>
              <w:rPr>
                <w:spacing w:val="-3"/>
                <w:sz w:val="22"/>
              </w:rPr>
              <w:t> </w:t>
            </w:r>
            <w:r>
              <w:rPr>
                <w:sz w:val="22"/>
              </w:rPr>
              <w:t>multas y</w:t>
            </w:r>
            <w:r>
              <w:rPr>
                <w:spacing w:val="-4"/>
                <w:sz w:val="22"/>
              </w:rPr>
              <w:t> </w:t>
            </w:r>
            <w:r>
              <w:rPr>
                <w:sz w:val="22"/>
              </w:rPr>
              <w:t>recargos</w:t>
            </w:r>
            <w:r>
              <w:rPr>
                <w:spacing w:val="-1"/>
                <w:sz w:val="22"/>
              </w:rPr>
              <w:t> </w:t>
            </w:r>
            <w:r>
              <w:rPr>
                <w:sz w:val="22"/>
              </w:rPr>
              <w:t>moratorios,</w:t>
            </w:r>
            <w:r>
              <w:rPr>
                <w:spacing w:val="-2"/>
                <w:sz w:val="22"/>
              </w:rPr>
              <w:t> </w:t>
            </w:r>
            <w:r>
              <w:rPr>
                <w:sz w:val="22"/>
              </w:rPr>
              <w:t>no</w:t>
            </w:r>
            <w:r>
              <w:rPr>
                <w:spacing w:val="-2"/>
                <w:sz w:val="22"/>
              </w:rPr>
              <w:t> </w:t>
            </w:r>
            <w:r>
              <w:rPr>
                <w:sz w:val="22"/>
              </w:rPr>
              <w:t>sujeto</w:t>
            </w:r>
            <w:r>
              <w:rPr>
                <w:spacing w:val="-1"/>
                <w:sz w:val="22"/>
              </w:rPr>
              <w:t> </w:t>
            </w:r>
            <w:r>
              <w:rPr>
                <w:sz w:val="22"/>
              </w:rPr>
              <w:t>entonces</w:t>
            </w:r>
            <w:r>
              <w:rPr>
                <w:spacing w:val="-3"/>
                <w:sz w:val="22"/>
              </w:rPr>
              <w:t> </w:t>
            </w:r>
            <w:r>
              <w:rPr>
                <w:spacing w:val="-10"/>
                <w:sz w:val="22"/>
              </w:rPr>
              <w:t>a</w:t>
            </w:r>
          </w:p>
          <w:p>
            <w:pPr>
              <w:pStyle w:val="TableParagraph"/>
              <w:spacing w:line="249" w:lineRule="exact"/>
              <w:ind w:left="107"/>
              <w:jc w:val="both"/>
              <w:rPr>
                <w:sz w:val="22"/>
              </w:rPr>
            </w:pPr>
            <w:r>
              <w:rPr>
                <w:sz w:val="22"/>
              </w:rPr>
              <w:t>riesgo</w:t>
            </w:r>
            <w:r>
              <w:rPr>
                <w:spacing w:val="-1"/>
                <w:sz w:val="22"/>
              </w:rPr>
              <w:t> </w:t>
            </w:r>
            <w:r>
              <w:rPr>
                <w:sz w:val="22"/>
              </w:rPr>
              <w:t>de</w:t>
            </w:r>
            <w:r>
              <w:rPr>
                <w:spacing w:val="-3"/>
                <w:sz w:val="22"/>
              </w:rPr>
              <w:t> </w:t>
            </w:r>
            <w:r>
              <w:rPr>
                <w:sz w:val="22"/>
              </w:rPr>
              <w:t>tasa</w:t>
            </w:r>
            <w:r>
              <w:rPr>
                <w:spacing w:val="-2"/>
                <w:sz w:val="22"/>
              </w:rPr>
              <w:t> </w:t>
            </w:r>
            <w:r>
              <w:rPr>
                <w:sz w:val="22"/>
              </w:rPr>
              <w:t>de</w:t>
            </w:r>
            <w:r>
              <w:rPr>
                <w:spacing w:val="-3"/>
                <w:sz w:val="22"/>
              </w:rPr>
              <w:t> </w:t>
            </w:r>
            <w:r>
              <w:rPr>
                <w:spacing w:val="-2"/>
                <w:sz w:val="22"/>
              </w:rPr>
              <w:t>interés.</w:t>
            </w:r>
          </w:p>
        </w:tc>
        <w:tc>
          <w:tcPr>
            <w:tcW w:w="1274" w:type="dxa"/>
          </w:tcPr>
          <w:p>
            <w:pPr>
              <w:pStyle w:val="TableParagraph"/>
              <w:ind w:left="105"/>
              <w:rPr>
                <w:sz w:val="22"/>
              </w:rPr>
            </w:pPr>
            <w:r>
              <w:rPr>
                <w:sz w:val="22"/>
              </w:rPr>
              <w:t>No</w:t>
            </w:r>
            <w:r>
              <w:rPr>
                <w:spacing w:val="-2"/>
                <w:sz w:val="22"/>
              </w:rPr>
              <w:t> aplica</w:t>
            </w:r>
          </w:p>
        </w:tc>
        <w:tc>
          <w:tcPr>
            <w:tcW w:w="112" w:type="dxa"/>
            <w:tcBorders>
              <w:top w:val="nil"/>
              <w:bottom w:val="nil"/>
            </w:tcBorders>
          </w:tcPr>
          <w:p>
            <w:pPr>
              <w:pStyle w:val="TableParagraph"/>
              <w:rPr>
                <w:rFonts w:ascii="Times New Roman"/>
                <w:sz w:val="22"/>
              </w:rPr>
            </w:pPr>
          </w:p>
        </w:tc>
      </w:tr>
      <w:tr>
        <w:trPr>
          <w:trHeight w:val="1513" w:hRule="atLeast"/>
        </w:trPr>
        <w:tc>
          <w:tcPr>
            <w:tcW w:w="821" w:type="dxa"/>
            <w:vMerge/>
            <w:tcBorders>
              <w:top w:val="nil"/>
              <w:bottom w:val="nil"/>
            </w:tcBorders>
          </w:tcPr>
          <w:p>
            <w:pPr>
              <w:rPr>
                <w:sz w:val="2"/>
                <w:szCs w:val="2"/>
              </w:rPr>
            </w:pPr>
          </w:p>
        </w:tc>
        <w:tc>
          <w:tcPr>
            <w:tcW w:w="1717" w:type="dxa"/>
          </w:tcPr>
          <w:p>
            <w:pPr>
              <w:pStyle w:val="TableParagraph"/>
              <w:spacing w:line="259" w:lineRule="auto"/>
              <w:ind w:left="107" w:right="95"/>
              <w:rPr>
                <w:sz w:val="22"/>
              </w:rPr>
            </w:pPr>
            <w:r>
              <w:rPr>
                <w:spacing w:val="-2"/>
                <w:sz w:val="22"/>
              </w:rPr>
              <w:t>Transferencias </w:t>
            </w:r>
            <w:r>
              <w:rPr>
                <w:sz w:val="22"/>
              </w:rPr>
              <w:t>por cobrar</w:t>
            </w:r>
          </w:p>
        </w:tc>
        <w:tc>
          <w:tcPr>
            <w:tcW w:w="1534" w:type="dxa"/>
          </w:tcPr>
          <w:p>
            <w:pPr>
              <w:pStyle w:val="TableParagraph"/>
              <w:ind w:left="159"/>
              <w:rPr>
                <w:sz w:val="22"/>
              </w:rPr>
            </w:pPr>
            <w:r>
              <w:rPr>
                <w:spacing w:val="-2"/>
                <w:sz w:val="22"/>
              </w:rPr>
              <w:t>Aplica</w:t>
            </w:r>
          </w:p>
        </w:tc>
        <w:tc>
          <w:tcPr>
            <w:tcW w:w="3977" w:type="dxa"/>
          </w:tcPr>
          <w:p>
            <w:pPr>
              <w:pStyle w:val="TableParagraph"/>
              <w:ind w:left="107"/>
              <w:rPr>
                <w:sz w:val="22"/>
              </w:rPr>
            </w:pPr>
            <w:r>
              <w:rPr>
                <w:sz w:val="22"/>
              </w:rPr>
              <w:t>No</w:t>
            </w:r>
            <w:r>
              <w:rPr>
                <w:spacing w:val="-5"/>
                <w:sz w:val="22"/>
              </w:rPr>
              <w:t> </w:t>
            </w:r>
            <w:r>
              <w:rPr>
                <w:sz w:val="22"/>
              </w:rPr>
              <w:t>aplica</w:t>
            </w:r>
            <w:r>
              <w:rPr>
                <w:spacing w:val="-4"/>
                <w:sz w:val="22"/>
              </w:rPr>
              <w:t> </w:t>
            </w:r>
            <w:r>
              <w:rPr>
                <w:spacing w:val="-2"/>
                <w:sz w:val="22"/>
              </w:rPr>
              <w:t>porque:</w:t>
            </w:r>
          </w:p>
          <w:p>
            <w:pPr>
              <w:pStyle w:val="TableParagraph"/>
              <w:spacing w:line="259" w:lineRule="auto" w:before="181"/>
              <w:ind w:left="107"/>
              <w:rPr>
                <w:sz w:val="22"/>
              </w:rPr>
            </w:pPr>
            <w:r>
              <w:rPr>
                <w:sz w:val="22"/>
              </w:rPr>
              <w:t>Porque</w:t>
            </w:r>
            <w:r>
              <w:rPr>
                <w:spacing w:val="40"/>
                <w:sz w:val="22"/>
              </w:rPr>
              <w:t> </w:t>
            </w:r>
            <w:r>
              <w:rPr>
                <w:sz w:val="22"/>
              </w:rPr>
              <w:t>son</w:t>
            </w:r>
            <w:r>
              <w:rPr>
                <w:spacing w:val="80"/>
                <w:sz w:val="22"/>
              </w:rPr>
              <w:t> </w:t>
            </w:r>
            <w:r>
              <w:rPr>
                <w:sz w:val="22"/>
              </w:rPr>
              <w:t>registradas</w:t>
            </w:r>
            <w:r>
              <w:rPr>
                <w:spacing w:val="80"/>
                <w:sz w:val="22"/>
              </w:rPr>
              <w:t> </w:t>
            </w:r>
            <w:r>
              <w:rPr>
                <w:sz w:val="22"/>
              </w:rPr>
              <w:t>en</w:t>
            </w:r>
            <w:r>
              <w:rPr>
                <w:spacing w:val="80"/>
                <w:sz w:val="22"/>
              </w:rPr>
              <w:t> </w:t>
            </w:r>
            <w:r>
              <w:rPr>
                <w:sz w:val="22"/>
              </w:rPr>
              <w:t>colones,</w:t>
            </w:r>
            <w:r>
              <w:rPr>
                <w:spacing w:val="80"/>
                <w:sz w:val="22"/>
              </w:rPr>
              <w:t> </w:t>
            </w:r>
            <w:r>
              <w:rPr>
                <w:sz w:val="22"/>
              </w:rPr>
              <w:t>no sujetas al riesgo de tasa cambio.</w:t>
            </w:r>
          </w:p>
          <w:p>
            <w:pPr>
              <w:pStyle w:val="TableParagraph"/>
              <w:ind w:left="107"/>
              <w:rPr>
                <w:sz w:val="22"/>
              </w:rPr>
            </w:pPr>
            <w:r>
              <w:rPr>
                <w:sz w:val="22"/>
              </w:rPr>
              <w:t>Según</w:t>
            </w:r>
            <w:r>
              <w:rPr>
                <w:spacing w:val="5"/>
                <w:sz w:val="22"/>
              </w:rPr>
              <w:t> </w:t>
            </w:r>
            <w:r>
              <w:rPr>
                <w:sz w:val="22"/>
              </w:rPr>
              <w:t>la</w:t>
            </w:r>
            <w:r>
              <w:rPr>
                <w:spacing w:val="5"/>
                <w:sz w:val="22"/>
              </w:rPr>
              <w:t> </w:t>
            </w:r>
            <w:r>
              <w:rPr>
                <w:sz w:val="22"/>
              </w:rPr>
              <w:t>naturaleza</w:t>
            </w:r>
            <w:r>
              <w:rPr>
                <w:spacing w:val="5"/>
                <w:sz w:val="22"/>
              </w:rPr>
              <w:t> </w:t>
            </w:r>
            <w:r>
              <w:rPr>
                <w:sz w:val="22"/>
              </w:rPr>
              <w:t>de</w:t>
            </w:r>
            <w:r>
              <w:rPr>
                <w:spacing w:val="3"/>
                <w:sz w:val="22"/>
              </w:rPr>
              <w:t> </w:t>
            </w:r>
            <w:r>
              <w:rPr>
                <w:sz w:val="22"/>
              </w:rPr>
              <w:t>las</w:t>
            </w:r>
            <w:r>
              <w:rPr>
                <w:spacing w:val="7"/>
                <w:sz w:val="22"/>
              </w:rPr>
              <w:t> </w:t>
            </w:r>
            <w:r>
              <w:rPr>
                <w:sz w:val="22"/>
              </w:rPr>
              <w:t>cuentas</w:t>
            </w:r>
            <w:r>
              <w:rPr>
                <w:spacing w:val="7"/>
                <w:sz w:val="22"/>
              </w:rPr>
              <w:t> </w:t>
            </w:r>
            <w:r>
              <w:rPr>
                <w:sz w:val="22"/>
              </w:rPr>
              <w:t>no</w:t>
            </w:r>
            <w:r>
              <w:rPr>
                <w:spacing w:val="7"/>
                <w:sz w:val="22"/>
              </w:rPr>
              <w:t> </w:t>
            </w:r>
            <w:r>
              <w:rPr>
                <w:spacing w:val="-2"/>
                <w:sz w:val="22"/>
              </w:rPr>
              <w:t>están</w:t>
            </w:r>
          </w:p>
          <w:p>
            <w:pPr>
              <w:pStyle w:val="TableParagraph"/>
              <w:spacing w:line="250" w:lineRule="exact" w:before="18"/>
              <w:ind w:left="107"/>
              <w:rPr>
                <w:sz w:val="22"/>
              </w:rPr>
            </w:pPr>
            <w:r>
              <w:rPr>
                <w:sz w:val="22"/>
              </w:rPr>
              <w:t>sujetas</w:t>
            </w:r>
            <w:r>
              <w:rPr>
                <w:spacing w:val="-2"/>
                <w:sz w:val="22"/>
              </w:rPr>
              <w:t> </w:t>
            </w:r>
            <w:r>
              <w:rPr>
                <w:sz w:val="22"/>
              </w:rPr>
              <w:t>a</w:t>
            </w:r>
            <w:r>
              <w:rPr>
                <w:spacing w:val="-3"/>
                <w:sz w:val="22"/>
              </w:rPr>
              <w:t> </w:t>
            </w:r>
            <w:r>
              <w:rPr>
                <w:sz w:val="22"/>
              </w:rPr>
              <w:t>riesgo</w:t>
            </w:r>
            <w:r>
              <w:rPr>
                <w:spacing w:val="-2"/>
                <w:sz w:val="22"/>
              </w:rPr>
              <w:t> </w:t>
            </w:r>
            <w:r>
              <w:rPr>
                <w:sz w:val="22"/>
              </w:rPr>
              <w:t>de</w:t>
            </w:r>
            <w:r>
              <w:rPr>
                <w:spacing w:val="-3"/>
                <w:sz w:val="22"/>
              </w:rPr>
              <w:t> </w:t>
            </w:r>
            <w:r>
              <w:rPr>
                <w:sz w:val="22"/>
              </w:rPr>
              <w:t>tasa</w:t>
            </w:r>
            <w:r>
              <w:rPr>
                <w:spacing w:val="-3"/>
                <w:sz w:val="22"/>
              </w:rPr>
              <w:t> </w:t>
            </w:r>
            <w:r>
              <w:rPr>
                <w:sz w:val="22"/>
              </w:rPr>
              <w:t>de</w:t>
            </w:r>
            <w:r>
              <w:rPr>
                <w:spacing w:val="-3"/>
                <w:sz w:val="22"/>
              </w:rPr>
              <w:t> </w:t>
            </w:r>
            <w:r>
              <w:rPr>
                <w:spacing w:val="-2"/>
                <w:sz w:val="22"/>
              </w:rPr>
              <w:t>interés.</w:t>
            </w:r>
          </w:p>
        </w:tc>
        <w:tc>
          <w:tcPr>
            <w:tcW w:w="1274" w:type="dxa"/>
          </w:tcPr>
          <w:p>
            <w:pPr>
              <w:pStyle w:val="TableParagraph"/>
              <w:ind w:left="105"/>
              <w:rPr>
                <w:sz w:val="22"/>
              </w:rPr>
            </w:pPr>
            <w:r>
              <w:rPr>
                <w:sz w:val="22"/>
              </w:rPr>
              <w:t>No</w:t>
            </w:r>
            <w:r>
              <w:rPr>
                <w:spacing w:val="-2"/>
                <w:sz w:val="22"/>
              </w:rPr>
              <w:t> aplica</w:t>
            </w:r>
          </w:p>
        </w:tc>
        <w:tc>
          <w:tcPr>
            <w:tcW w:w="112" w:type="dxa"/>
            <w:tcBorders>
              <w:top w:val="nil"/>
              <w:bottom w:val="nil"/>
            </w:tcBorders>
          </w:tcPr>
          <w:p>
            <w:pPr>
              <w:pStyle w:val="TableParagraph"/>
              <w:rPr>
                <w:rFonts w:ascii="Times New Roman"/>
                <w:sz w:val="22"/>
              </w:rPr>
            </w:pPr>
          </w:p>
        </w:tc>
      </w:tr>
      <w:tr>
        <w:trPr>
          <w:trHeight w:val="6730" w:hRule="atLeast"/>
        </w:trPr>
        <w:tc>
          <w:tcPr>
            <w:tcW w:w="9435" w:type="dxa"/>
            <w:gridSpan w:val="6"/>
            <w:tcBorders>
              <w:top w:val="nil"/>
            </w:tcBorders>
          </w:tcPr>
          <w:p>
            <w:pPr>
              <w:pStyle w:val="TableParagraph"/>
              <w:spacing w:before="181"/>
              <w:rPr>
                <w:sz w:val="22"/>
              </w:rPr>
            </w:pPr>
          </w:p>
          <w:p>
            <w:pPr>
              <w:pStyle w:val="TableParagraph"/>
              <w:spacing w:line="259" w:lineRule="auto"/>
              <w:ind w:left="107" w:right="27"/>
              <w:rPr>
                <w:sz w:val="22"/>
              </w:rPr>
            </w:pPr>
            <w:r>
              <w:rPr>
                <w:sz w:val="22"/>
              </w:rPr>
              <w:t>Para el 2026, se deberá ampliar la revelación de los riesgos de mercado para los cobros que brinda el IMAS</w:t>
            </w:r>
            <w:r>
              <w:rPr>
                <w:spacing w:val="-1"/>
                <w:sz w:val="22"/>
              </w:rPr>
              <w:t> </w:t>
            </w:r>
            <w:r>
              <w:rPr>
                <w:sz w:val="22"/>
              </w:rPr>
              <w:t>a</w:t>
            </w:r>
            <w:r>
              <w:rPr>
                <w:spacing w:val="-3"/>
                <w:sz w:val="22"/>
              </w:rPr>
              <w:t> </w:t>
            </w:r>
            <w:r>
              <w:rPr>
                <w:sz w:val="22"/>
              </w:rPr>
              <w:t>los</w:t>
            </w:r>
            <w:r>
              <w:rPr>
                <w:spacing w:val="-1"/>
                <w:sz w:val="22"/>
              </w:rPr>
              <w:t> </w:t>
            </w:r>
            <w:r>
              <w:rPr>
                <w:sz w:val="22"/>
              </w:rPr>
              <w:t>beneficiarios</w:t>
            </w:r>
            <w:r>
              <w:rPr>
                <w:spacing w:val="-4"/>
                <w:sz w:val="22"/>
              </w:rPr>
              <w:t> </w:t>
            </w:r>
            <w:r>
              <w:rPr>
                <w:sz w:val="22"/>
              </w:rPr>
              <w:t>mediante</w:t>
            </w:r>
            <w:r>
              <w:rPr>
                <w:spacing w:val="-2"/>
                <w:sz w:val="22"/>
              </w:rPr>
              <w:t> </w:t>
            </w:r>
            <w:r>
              <w:rPr>
                <w:sz w:val="22"/>
              </w:rPr>
              <w:t>el</w:t>
            </w:r>
            <w:r>
              <w:rPr>
                <w:spacing w:val="-2"/>
                <w:sz w:val="22"/>
              </w:rPr>
              <w:t> </w:t>
            </w:r>
            <w:r>
              <w:rPr>
                <w:sz w:val="22"/>
              </w:rPr>
              <w:t>uso</w:t>
            </w:r>
            <w:r>
              <w:rPr>
                <w:spacing w:val="-2"/>
                <w:sz w:val="22"/>
              </w:rPr>
              <w:t> </w:t>
            </w:r>
            <w:r>
              <w:rPr>
                <w:sz w:val="22"/>
              </w:rPr>
              <w:t>de</w:t>
            </w:r>
            <w:r>
              <w:rPr>
                <w:spacing w:val="-4"/>
                <w:sz w:val="22"/>
              </w:rPr>
              <w:t> </w:t>
            </w:r>
            <w:r>
              <w:rPr>
                <w:sz w:val="22"/>
              </w:rPr>
              <w:t>pagarés,</w:t>
            </w:r>
            <w:r>
              <w:rPr>
                <w:spacing w:val="-2"/>
                <w:sz w:val="22"/>
              </w:rPr>
              <w:t> </w:t>
            </w:r>
            <w:r>
              <w:rPr>
                <w:sz w:val="22"/>
              </w:rPr>
              <w:t>así</w:t>
            </w:r>
            <w:r>
              <w:rPr>
                <w:spacing w:val="-2"/>
                <w:sz w:val="22"/>
              </w:rPr>
              <w:t> </w:t>
            </w:r>
            <w:r>
              <w:rPr>
                <w:sz w:val="22"/>
              </w:rPr>
              <w:t>como</w:t>
            </w:r>
            <w:r>
              <w:rPr>
                <w:spacing w:val="-2"/>
                <w:sz w:val="22"/>
              </w:rPr>
              <w:t> </w:t>
            </w:r>
            <w:r>
              <w:rPr>
                <w:sz w:val="22"/>
              </w:rPr>
              <w:t>otros</w:t>
            </w:r>
            <w:r>
              <w:rPr>
                <w:spacing w:val="-1"/>
                <w:sz w:val="22"/>
              </w:rPr>
              <w:t> </w:t>
            </w:r>
            <w:r>
              <w:rPr>
                <w:sz w:val="22"/>
              </w:rPr>
              <w:t>cobros</w:t>
            </w:r>
            <w:r>
              <w:rPr>
                <w:spacing w:val="-4"/>
                <w:sz w:val="22"/>
              </w:rPr>
              <w:t> </w:t>
            </w:r>
            <w:r>
              <w:rPr>
                <w:sz w:val="22"/>
              </w:rPr>
              <w:t>a</w:t>
            </w:r>
            <w:r>
              <w:rPr>
                <w:spacing w:val="-3"/>
                <w:sz w:val="22"/>
              </w:rPr>
              <w:t> </w:t>
            </w:r>
            <w:r>
              <w:rPr>
                <w:sz w:val="22"/>
              </w:rPr>
              <w:t>terceros,</w:t>
            </w:r>
            <w:r>
              <w:rPr>
                <w:spacing w:val="-5"/>
                <w:sz w:val="22"/>
              </w:rPr>
              <w:t> </w:t>
            </w:r>
            <w:r>
              <w:rPr>
                <w:sz w:val="22"/>
              </w:rPr>
              <w:t>sujetos</w:t>
            </w:r>
            <w:r>
              <w:rPr>
                <w:spacing w:val="-1"/>
                <w:sz w:val="22"/>
              </w:rPr>
              <w:t> </w:t>
            </w:r>
            <w:r>
              <w:rPr>
                <w:sz w:val="22"/>
              </w:rPr>
              <w:t>al</w:t>
            </w:r>
            <w:r>
              <w:rPr>
                <w:spacing w:val="-2"/>
                <w:sz w:val="22"/>
              </w:rPr>
              <w:t> </w:t>
            </w:r>
            <w:r>
              <w:rPr>
                <w:sz w:val="22"/>
              </w:rPr>
              <w:t>cobro</w:t>
            </w:r>
            <w:r>
              <w:rPr>
                <w:spacing w:val="-2"/>
                <w:sz w:val="22"/>
              </w:rPr>
              <w:t> </w:t>
            </w:r>
            <w:r>
              <w:rPr>
                <w:sz w:val="22"/>
              </w:rPr>
              <w:t>de </w:t>
            </w:r>
            <w:r>
              <w:rPr>
                <w:spacing w:val="-2"/>
                <w:sz w:val="22"/>
              </w:rPr>
              <w:t>intereses.</w:t>
            </w:r>
          </w:p>
          <w:p>
            <w:pPr>
              <w:pStyle w:val="TableParagraph"/>
              <w:tabs>
                <w:tab w:pos="2642" w:val="left" w:leader="none"/>
                <w:tab w:pos="4179" w:val="left" w:leader="none"/>
                <w:tab w:pos="8154" w:val="left" w:leader="none"/>
              </w:tabs>
              <w:spacing w:line="247" w:lineRule="auto" w:before="160"/>
              <w:ind w:left="8154" w:right="580" w:hanging="7226"/>
              <w:rPr>
                <w:b/>
                <w:i/>
                <w:sz w:val="23"/>
              </w:rPr>
            </w:pPr>
            <w:r>
              <w:rPr>
                <w:b/>
                <w:i/>
                <w:sz w:val="23"/>
              </w:rPr>
              <mc:AlternateContent>
                <mc:Choice Requires="wps">
                  <w:drawing>
                    <wp:anchor distT="0" distB="0" distL="0" distR="0" allowOverlap="1" layoutInCell="1" locked="0" behindDoc="1" simplePos="0" relativeHeight="473770496">
                      <wp:simplePos x="0" y="0"/>
                      <wp:positionH relativeFrom="column">
                        <wp:posOffset>518109</wp:posOffset>
                      </wp:positionH>
                      <wp:positionV relativeFrom="paragraph">
                        <wp:posOffset>100780</wp:posOffset>
                      </wp:positionV>
                      <wp:extent cx="5405755" cy="2356485"/>
                      <wp:effectExtent l="0" t="0" r="0" b="0"/>
                      <wp:wrapNone/>
                      <wp:docPr id="1204" name="Group 1204"/>
                      <wp:cNvGraphicFramePr>
                        <a:graphicFrameLocks/>
                      </wp:cNvGraphicFramePr>
                      <a:graphic>
                        <a:graphicData uri="http://schemas.microsoft.com/office/word/2010/wordprocessingGroup">
                          <wpg:wgp>
                            <wpg:cNvPr id="1204" name="Group 1204"/>
                            <wpg:cNvGrpSpPr/>
                            <wpg:grpSpPr>
                              <a:xfrm>
                                <a:off x="0" y="0"/>
                                <a:ext cx="5405755" cy="2356485"/>
                                <a:chExt cx="5405755" cy="2356485"/>
                              </a:xfrm>
                            </wpg:grpSpPr>
                            <wps:wsp>
                              <wps:cNvPr id="1205" name="Graphic 1205"/>
                              <wps:cNvSpPr/>
                              <wps:spPr>
                                <a:xfrm>
                                  <a:off x="0" y="0"/>
                                  <a:ext cx="5405755" cy="2356485"/>
                                </a:xfrm>
                                <a:custGeom>
                                  <a:avLst/>
                                  <a:gdLst/>
                                  <a:ahLst/>
                                  <a:cxnLst/>
                                  <a:rect l="l" t="t" r="r" b="b"/>
                                  <a:pathLst>
                                    <a:path w="5405755" h="2356485">
                                      <a:moveTo>
                                        <a:pt x="6096" y="458863"/>
                                      </a:moveTo>
                                      <a:lnTo>
                                        <a:pt x="0" y="458863"/>
                                      </a:lnTo>
                                      <a:lnTo>
                                        <a:pt x="0" y="2350389"/>
                                      </a:lnTo>
                                      <a:lnTo>
                                        <a:pt x="6096" y="2350389"/>
                                      </a:lnTo>
                                      <a:lnTo>
                                        <a:pt x="6096" y="458863"/>
                                      </a:lnTo>
                                      <a:close/>
                                    </a:path>
                                    <a:path w="5405755" h="2356485">
                                      <a:moveTo>
                                        <a:pt x="6096" y="6108"/>
                                      </a:moveTo>
                                      <a:lnTo>
                                        <a:pt x="0" y="6108"/>
                                      </a:lnTo>
                                      <a:lnTo>
                                        <a:pt x="0" y="452628"/>
                                      </a:lnTo>
                                      <a:lnTo>
                                        <a:pt x="6096" y="452628"/>
                                      </a:lnTo>
                                      <a:lnTo>
                                        <a:pt x="6096" y="6108"/>
                                      </a:lnTo>
                                      <a:close/>
                                    </a:path>
                                    <a:path w="5405755" h="2356485">
                                      <a:moveTo>
                                        <a:pt x="1089964" y="2350401"/>
                                      </a:moveTo>
                                      <a:lnTo>
                                        <a:pt x="6096" y="2350401"/>
                                      </a:lnTo>
                                      <a:lnTo>
                                        <a:pt x="0" y="2350401"/>
                                      </a:lnTo>
                                      <a:lnTo>
                                        <a:pt x="0" y="2356485"/>
                                      </a:lnTo>
                                      <a:lnTo>
                                        <a:pt x="6096" y="2356485"/>
                                      </a:lnTo>
                                      <a:lnTo>
                                        <a:pt x="1089964" y="2356485"/>
                                      </a:lnTo>
                                      <a:lnTo>
                                        <a:pt x="1089964" y="2350401"/>
                                      </a:lnTo>
                                      <a:close/>
                                    </a:path>
                                    <a:path w="5405755" h="2356485">
                                      <a:moveTo>
                                        <a:pt x="1089964" y="452640"/>
                                      </a:moveTo>
                                      <a:lnTo>
                                        <a:pt x="6096" y="452640"/>
                                      </a:lnTo>
                                      <a:lnTo>
                                        <a:pt x="0" y="452640"/>
                                      </a:lnTo>
                                      <a:lnTo>
                                        <a:pt x="0" y="458724"/>
                                      </a:lnTo>
                                      <a:lnTo>
                                        <a:pt x="6096" y="458724"/>
                                      </a:lnTo>
                                      <a:lnTo>
                                        <a:pt x="1089964" y="458724"/>
                                      </a:lnTo>
                                      <a:lnTo>
                                        <a:pt x="1089964" y="452640"/>
                                      </a:lnTo>
                                      <a:close/>
                                    </a:path>
                                    <a:path w="5405755" h="2356485">
                                      <a:moveTo>
                                        <a:pt x="1089964" y="0"/>
                                      </a:moveTo>
                                      <a:lnTo>
                                        <a:pt x="6096" y="0"/>
                                      </a:lnTo>
                                      <a:lnTo>
                                        <a:pt x="0" y="0"/>
                                      </a:lnTo>
                                      <a:lnTo>
                                        <a:pt x="0" y="6096"/>
                                      </a:lnTo>
                                      <a:lnTo>
                                        <a:pt x="6096" y="6096"/>
                                      </a:lnTo>
                                      <a:lnTo>
                                        <a:pt x="1089964" y="6096"/>
                                      </a:lnTo>
                                      <a:lnTo>
                                        <a:pt x="1089964" y="0"/>
                                      </a:lnTo>
                                      <a:close/>
                                    </a:path>
                                    <a:path w="5405755" h="2356485">
                                      <a:moveTo>
                                        <a:pt x="1096137" y="458863"/>
                                      </a:moveTo>
                                      <a:lnTo>
                                        <a:pt x="1090041" y="458863"/>
                                      </a:lnTo>
                                      <a:lnTo>
                                        <a:pt x="1090041" y="2350389"/>
                                      </a:lnTo>
                                      <a:lnTo>
                                        <a:pt x="1096137" y="2350389"/>
                                      </a:lnTo>
                                      <a:lnTo>
                                        <a:pt x="1096137" y="458863"/>
                                      </a:lnTo>
                                      <a:close/>
                                    </a:path>
                                    <a:path w="5405755" h="2356485">
                                      <a:moveTo>
                                        <a:pt x="1096137" y="6108"/>
                                      </a:moveTo>
                                      <a:lnTo>
                                        <a:pt x="1090041" y="6108"/>
                                      </a:lnTo>
                                      <a:lnTo>
                                        <a:pt x="1090041" y="452628"/>
                                      </a:lnTo>
                                      <a:lnTo>
                                        <a:pt x="1096137" y="452628"/>
                                      </a:lnTo>
                                      <a:lnTo>
                                        <a:pt x="1096137" y="6108"/>
                                      </a:lnTo>
                                      <a:close/>
                                    </a:path>
                                    <a:path w="5405755" h="2356485">
                                      <a:moveTo>
                                        <a:pt x="2070214" y="2350401"/>
                                      </a:moveTo>
                                      <a:lnTo>
                                        <a:pt x="2064181" y="2350401"/>
                                      </a:lnTo>
                                      <a:lnTo>
                                        <a:pt x="1096137" y="2350401"/>
                                      </a:lnTo>
                                      <a:lnTo>
                                        <a:pt x="1090041" y="2350401"/>
                                      </a:lnTo>
                                      <a:lnTo>
                                        <a:pt x="1090041" y="2356485"/>
                                      </a:lnTo>
                                      <a:lnTo>
                                        <a:pt x="1096137" y="2356485"/>
                                      </a:lnTo>
                                      <a:lnTo>
                                        <a:pt x="2064131" y="2356485"/>
                                      </a:lnTo>
                                      <a:lnTo>
                                        <a:pt x="2070214" y="2356485"/>
                                      </a:lnTo>
                                      <a:lnTo>
                                        <a:pt x="2070214" y="2350401"/>
                                      </a:lnTo>
                                      <a:close/>
                                    </a:path>
                                    <a:path w="5405755" h="2356485">
                                      <a:moveTo>
                                        <a:pt x="2070214" y="458863"/>
                                      </a:moveTo>
                                      <a:lnTo>
                                        <a:pt x="2064131" y="458863"/>
                                      </a:lnTo>
                                      <a:lnTo>
                                        <a:pt x="2064131" y="2350389"/>
                                      </a:lnTo>
                                      <a:lnTo>
                                        <a:pt x="2070214" y="2350389"/>
                                      </a:lnTo>
                                      <a:lnTo>
                                        <a:pt x="2070214" y="458863"/>
                                      </a:lnTo>
                                      <a:close/>
                                    </a:path>
                                    <a:path w="5405755" h="2356485">
                                      <a:moveTo>
                                        <a:pt x="2070214" y="452640"/>
                                      </a:moveTo>
                                      <a:lnTo>
                                        <a:pt x="2064181" y="452640"/>
                                      </a:lnTo>
                                      <a:lnTo>
                                        <a:pt x="1096137" y="452640"/>
                                      </a:lnTo>
                                      <a:lnTo>
                                        <a:pt x="1090041" y="452640"/>
                                      </a:lnTo>
                                      <a:lnTo>
                                        <a:pt x="1090041" y="458724"/>
                                      </a:lnTo>
                                      <a:lnTo>
                                        <a:pt x="1096137" y="458724"/>
                                      </a:lnTo>
                                      <a:lnTo>
                                        <a:pt x="2064131" y="458724"/>
                                      </a:lnTo>
                                      <a:lnTo>
                                        <a:pt x="2070214" y="458724"/>
                                      </a:lnTo>
                                      <a:lnTo>
                                        <a:pt x="2070214" y="452640"/>
                                      </a:lnTo>
                                      <a:close/>
                                    </a:path>
                                    <a:path w="5405755" h="2356485">
                                      <a:moveTo>
                                        <a:pt x="2070214" y="6108"/>
                                      </a:moveTo>
                                      <a:lnTo>
                                        <a:pt x="2064131" y="6108"/>
                                      </a:lnTo>
                                      <a:lnTo>
                                        <a:pt x="2064131" y="452628"/>
                                      </a:lnTo>
                                      <a:lnTo>
                                        <a:pt x="2070214" y="452628"/>
                                      </a:lnTo>
                                      <a:lnTo>
                                        <a:pt x="2070214" y="6108"/>
                                      </a:lnTo>
                                      <a:close/>
                                    </a:path>
                                    <a:path w="5405755" h="2356485">
                                      <a:moveTo>
                                        <a:pt x="2070214" y="0"/>
                                      </a:moveTo>
                                      <a:lnTo>
                                        <a:pt x="2064181" y="0"/>
                                      </a:lnTo>
                                      <a:lnTo>
                                        <a:pt x="1096137" y="0"/>
                                      </a:lnTo>
                                      <a:lnTo>
                                        <a:pt x="1090041" y="0"/>
                                      </a:lnTo>
                                      <a:lnTo>
                                        <a:pt x="1090041" y="6096"/>
                                      </a:lnTo>
                                      <a:lnTo>
                                        <a:pt x="1096137" y="6096"/>
                                      </a:lnTo>
                                      <a:lnTo>
                                        <a:pt x="2064131" y="6096"/>
                                      </a:lnTo>
                                      <a:lnTo>
                                        <a:pt x="2070214" y="6096"/>
                                      </a:lnTo>
                                      <a:lnTo>
                                        <a:pt x="2070214" y="0"/>
                                      </a:lnTo>
                                      <a:close/>
                                    </a:path>
                                    <a:path w="5405755" h="2356485">
                                      <a:moveTo>
                                        <a:pt x="4589653" y="2350401"/>
                                      </a:moveTo>
                                      <a:lnTo>
                                        <a:pt x="2070227" y="2350401"/>
                                      </a:lnTo>
                                      <a:lnTo>
                                        <a:pt x="2070227" y="2356485"/>
                                      </a:lnTo>
                                      <a:lnTo>
                                        <a:pt x="4589653" y="2356485"/>
                                      </a:lnTo>
                                      <a:lnTo>
                                        <a:pt x="4589653" y="2350401"/>
                                      </a:lnTo>
                                      <a:close/>
                                    </a:path>
                                    <a:path w="5405755" h="2356485">
                                      <a:moveTo>
                                        <a:pt x="4589653" y="452640"/>
                                      </a:moveTo>
                                      <a:lnTo>
                                        <a:pt x="2070227" y="452640"/>
                                      </a:lnTo>
                                      <a:lnTo>
                                        <a:pt x="2070227" y="458724"/>
                                      </a:lnTo>
                                      <a:lnTo>
                                        <a:pt x="4589653" y="458724"/>
                                      </a:lnTo>
                                      <a:lnTo>
                                        <a:pt x="4589653" y="452640"/>
                                      </a:lnTo>
                                      <a:close/>
                                    </a:path>
                                    <a:path w="5405755" h="2356485">
                                      <a:moveTo>
                                        <a:pt x="4589653" y="0"/>
                                      </a:moveTo>
                                      <a:lnTo>
                                        <a:pt x="2070227" y="0"/>
                                      </a:lnTo>
                                      <a:lnTo>
                                        <a:pt x="2070227" y="6096"/>
                                      </a:lnTo>
                                      <a:lnTo>
                                        <a:pt x="4589653" y="6096"/>
                                      </a:lnTo>
                                      <a:lnTo>
                                        <a:pt x="4589653" y="0"/>
                                      </a:lnTo>
                                      <a:close/>
                                    </a:path>
                                    <a:path w="5405755" h="2356485">
                                      <a:moveTo>
                                        <a:pt x="4595876" y="458863"/>
                                      </a:moveTo>
                                      <a:lnTo>
                                        <a:pt x="4589780" y="458863"/>
                                      </a:lnTo>
                                      <a:lnTo>
                                        <a:pt x="4589780" y="2350389"/>
                                      </a:lnTo>
                                      <a:lnTo>
                                        <a:pt x="4595876" y="2350389"/>
                                      </a:lnTo>
                                      <a:lnTo>
                                        <a:pt x="4595876" y="458863"/>
                                      </a:lnTo>
                                      <a:close/>
                                    </a:path>
                                    <a:path w="5405755" h="2356485">
                                      <a:moveTo>
                                        <a:pt x="4595876" y="6108"/>
                                      </a:moveTo>
                                      <a:lnTo>
                                        <a:pt x="4589780" y="6108"/>
                                      </a:lnTo>
                                      <a:lnTo>
                                        <a:pt x="4589780" y="452628"/>
                                      </a:lnTo>
                                      <a:lnTo>
                                        <a:pt x="4595876" y="452628"/>
                                      </a:lnTo>
                                      <a:lnTo>
                                        <a:pt x="4595876" y="6108"/>
                                      </a:lnTo>
                                      <a:close/>
                                    </a:path>
                                    <a:path w="5405755" h="2356485">
                                      <a:moveTo>
                                        <a:pt x="5405374" y="2350401"/>
                                      </a:moveTo>
                                      <a:lnTo>
                                        <a:pt x="5399329" y="2350401"/>
                                      </a:lnTo>
                                      <a:lnTo>
                                        <a:pt x="4595876" y="2350401"/>
                                      </a:lnTo>
                                      <a:lnTo>
                                        <a:pt x="4589780" y="2350401"/>
                                      </a:lnTo>
                                      <a:lnTo>
                                        <a:pt x="4589780" y="2356485"/>
                                      </a:lnTo>
                                      <a:lnTo>
                                        <a:pt x="4595876" y="2356485"/>
                                      </a:lnTo>
                                      <a:lnTo>
                                        <a:pt x="5399278" y="2356485"/>
                                      </a:lnTo>
                                      <a:lnTo>
                                        <a:pt x="5405374" y="2356485"/>
                                      </a:lnTo>
                                      <a:lnTo>
                                        <a:pt x="5405374" y="2350401"/>
                                      </a:lnTo>
                                      <a:close/>
                                    </a:path>
                                    <a:path w="5405755" h="2356485">
                                      <a:moveTo>
                                        <a:pt x="5405374" y="458863"/>
                                      </a:moveTo>
                                      <a:lnTo>
                                        <a:pt x="5399278" y="458863"/>
                                      </a:lnTo>
                                      <a:lnTo>
                                        <a:pt x="5399278" y="2350389"/>
                                      </a:lnTo>
                                      <a:lnTo>
                                        <a:pt x="5405374" y="2350389"/>
                                      </a:lnTo>
                                      <a:lnTo>
                                        <a:pt x="5405374" y="458863"/>
                                      </a:lnTo>
                                      <a:close/>
                                    </a:path>
                                    <a:path w="5405755" h="2356485">
                                      <a:moveTo>
                                        <a:pt x="5405374" y="452640"/>
                                      </a:moveTo>
                                      <a:lnTo>
                                        <a:pt x="5399329" y="452640"/>
                                      </a:lnTo>
                                      <a:lnTo>
                                        <a:pt x="4595876" y="452640"/>
                                      </a:lnTo>
                                      <a:lnTo>
                                        <a:pt x="4589780" y="452640"/>
                                      </a:lnTo>
                                      <a:lnTo>
                                        <a:pt x="4589780" y="458724"/>
                                      </a:lnTo>
                                      <a:lnTo>
                                        <a:pt x="4595876" y="458724"/>
                                      </a:lnTo>
                                      <a:lnTo>
                                        <a:pt x="5399278" y="458724"/>
                                      </a:lnTo>
                                      <a:lnTo>
                                        <a:pt x="5405374" y="458724"/>
                                      </a:lnTo>
                                      <a:lnTo>
                                        <a:pt x="5405374" y="452640"/>
                                      </a:lnTo>
                                      <a:close/>
                                    </a:path>
                                    <a:path w="5405755" h="2356485">
                                      <a:moveTo>
                                        <a:pt x="5405374" y="6108"/>
                                      </a:moveTo>
                                      <a:lnTo>
                                        <a:pt x="5399278" y="6108"/>
                                      </a:lnTo>
                                      <a:lnTo>
                                        <a:pt x="5399278" y="452628"/>
                                      </a:lnTo>
                                      <a:lnTo>
                                        <a:pt x="5405374" y="452628"/>
                                      </a:lnTo>
                                      <a:lnTo>
                                        <a:pt x="5405374" y="6108"/>
                                      </a:lnTo>
                                      <a:close/>
                                    </a:path>
                                    <a:path w="5405755" h="2356485">
                                      <a:moveTo>
                                        <a:pt x="5405374" y="0"/>
                                      </a:moveTo>
                                      <a:lnTo>
                                        <a:pt x="5399329" y="0"/>
                                      </a:lnTo>
                                      <a:lnTo>
                                        <a:pt x="4595876" y="0"/>
                                      </a:lnTo>
                                      <a:lnTo>
                                        <a:pt x="4589780" y="0"/>
                                      </a:lnTo>
                                      <a:lnTo>
                                        <a:pt x="4589780" y="6096"/>
                                      </a:lnTo>
                                      <a:lnTo>
                                        <a:pt x="4595876" y="6096"/>
                                      </a:lnTo>
                                      <a:lnTo>
                                        <a:pt x="5399278" y="6096"/>
                                      </a:lnTo>
                                      <a:lnTo>
                                        <a:pt x="5405374" y="6096"/>
                                      </a:lnTo>
                                      <a:lnTo>
                                        <a:pt x="540537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796001pt;margin-top:7.935489pt;width:425.65pt;height:185.55pt;mso-position-horizontal-relative:column;mso-position-vertical-relative:paragraph;z-index:-29545984" id="docshapegroup1148" coordorigin="816,159" coordsize="8513,3711">
                      <v:shape style="position:absolute;left:815;top:158;width:8513;height:3711" id="docshape1149" coordorigin="816,159" coordsize="8513,3711" path="m826,881l816,881,816,3860,826,3860,826,881xm826,168l816,168,816,872,826,872,826,168xm2532,3860l826,3860,816,3860,816,3870,826,3870,2532,3870,2532,3860xm2532,872l826,872,816,872,816,881,826,881,2532,881,2532,872xm2532,159l826,159,816,159,816,168,826,168,2532,168,2532,159xm2542,881l2533,881,2533,3860,2542,3860,2542,881xm2542,168l2533,168,2533,872,2542,872,2542,168xm4076,3860l4067,3860,4067,3860,2542,3860,2533,3860,2533,3870,2542,3870,4067,3870,4067,3870,4076,3870,4076,3860xm4076,881l4067,881,4067,3860,4076,3860,4076,881xm4076,872l4067,872,4067,872,2542,872,2533,872,2533,881,2542,881,4067,881,4067,881,4076,881,4076,872xm4076,168l4067,168,4067,872,4076,872,4076,168xm4076,159l4067,159,4067,159,2542,159,2533,159,2533,168,2542,168,4067,168,4067,168,4076,168,4076,159xm8044,3860l4076,3860,4076,3870,8044,3870,8044,3860xm8044,872l4076,872,4076,881,8044,881,8044,872xm8044,159l4076,159,4076,168,8044,168,8044,159xm8054,881l8044,881,8044,3860,8054,3860,8054,881xm8054,168l8044,168,8044,872,8054,872,8054,168xm9328,3860l9319,3860,9319,3860,8054,3860,8044,3860,8044,3870,8054,3870,9319,3870,9319,3870,9328,3870,9328,3860xm9328,881l9319,881,9319,3860,9328,3860,9328,881xm9328,872l9319,872,9319,872,8054,872,8044,872,8044,881,8054,881,9319,881,9319,881,9328,881,9328,872xm9328,168l9319,168,9319,872,9328,872,9328,168xm9328,159l9319,159,9319,159,8054,159,8044,159,8044,168,8054,168,9319,168,9319,168,9328,168,9328,159xe" filled="true" fillcolor="#000000" stroked="false">
                        <v:path arrowok="t"/>
                        <v:fill type="solid"/>
                      </v:shape>
                      <w10:wrap type="none"/>
                    </v:group>
                  </w:pict>
                </mc:Fallback>
              </mc:AlternateContent>
            </w:r>
            <w:r>
              <w:rPr>
                <w:b/>
                <w:i/>
                <w:spacing w:val="-2"/>
                <w:sz w:val="23"/>
              </w:rPr>
              <w:t>Clasificación</w:t>
            </w:r>
            <w:r>
              <w:rPr>
                <w:b/>
                <w:i/>
                <w:sz w:val="23"/>
              </w:rPr>
              <w:tab/>
              <w:t>Riesgo Crédito</w:t>
              <w:tab/>
              <w:t>Riesgo Mercado</w:t>
              <w:tab/>
            </w:r>
            <w:r>
              <w:rPr>
                <w:b/>
                <w:i/>
                <w:spacing w:val="-2"/>
                <w:sz w:val="23"/>
              </w:rPr>
              <w:t>Riesgo </w:t>
            </w:r>
            <w:r>
              <w:rPr>
                <w:b/>
                <w:i/>
                <w:spacing w:val="-6"/>
                <w:sz w:val="23"/>
              </w:rPr>
              <w:t>liquidez</w:t>
            </w:r>
          </w:p>
          <w:p>
            <w:pPr>
              <w:pStyle w:val="TableParagraph"/>
              <w:tabs>
                <w:tab w:pos="4179" w:val="left" w:leader="none"/>
              </w:tabs>
              <w:spacing w:line="259" w:lineRule="auto" w:before="181"/>
              <w:ind w:left="928" w:right="433"/>
              <w:jc w:val="both"/>
              <w:rPr>
                <w:sz w:val="22"/>
              </w:rPr>
            </w:pPr>
            <w:r>
              <w:rPr>
                <w:sz w:val="22"/>
              </w:rPr>
              <w:t>Documentos y</w:t>
            </w:r>
            <w:r>
              <w:rPr>
                <w:spacing w:val="80"/>
                <w:sz w:val="22"/>
              </w:rPr>
              <w:t>   </w:t>
            </w:r>
            <w:r>
              <w:rPr>
                <w:sz w:val="22"/>
              </w:rPr>
              <w:t>Aplica</w:t>
              <w:tab/>
              <w:t>No</w:t>
            </w:r>
            <w:r>
              <w:rPr>
                <w:spacing w:val="-3"/>
                <w:sz w:val="22"/>
              </w:rPr>
              <w:t> </w:t>
            </w:r>
            <w:r>
              <w:rPr>
                <w:sz w:val="22"/>
              </w:rPr>
              <w:t>aplica,</w:t>
            </w:r>
            <w:r>
              <w:rPr>
                <w:spacing w:val="-3"/>
                <w:sz w:val="22"/>
              </w:rPr>
              <w:t> </w:t>
            </w:r>
            <w:r>
              <w:rPr>
                <w:sz w:val="22"/>
              </w:rPr>
              <w:t>riesgo</w:t>
            </w:r>
            <w:r>
              <w:rPr>
                <w:spacing w:val="-5"/>
                <w:sz w:val="22"/>
              </w:rPr>
              <w:t> </w:t>
            </w:r>
            <w:r>
              <w:rPr>
                <w:sz w:val="22"/>
              </w:rPr>
              <w:t>de</w:t>
            </w:r>
            <w:r>
              <w:rPr>
                <w:spacing w:val="-5"/>
                <w:sz w:val="22"/>
              </w:rPr>
              <w:t> </w:t>
            </w:r>
            <w:r>
              <w:rPr>
                <w:sz w:val="22"/>
              </w:rPr>
              <w:t>tasa</w:t>
            </w:r>
            <w:r>
              <w:rPr>
                <w:spacing w:val="-4"/>
                <w:sz w:val="22"/>
              </w:rPr>
              <w:t> </w:t>
            </w:r>
            <w:r>
              <w:rPr>
                <w:sz w:val="22"/>
              </w:rPr>
              <w:t>de</w:t>
            </w:r>
            <w:r>
              <w:rPr>
                <w:spacing w:val="-7"/>
                <w:sz w:val="22"/>
              </w:rPr>
              <w:t> </w:t>
            </w:r>
            <w:r>
              <w:rPr>
                <w:sz w:val="22"/>
              </w:rPr>
              <w:t>cambio</w:t>
            </w:r>
            <w:r>
              <w:rPr>
                <w:spacing w:val="-3"/>
                <w:sz w:val="22"/>
              </w:rPr>
              <w:t> </w:t>
            </w:r>
            <w:r>
              <w:rPr>
                <w:sz w:val="22"/>
              </w:rPr>
              <w:t>Porque</w:t>
            </w:r>
            <w:r>
              <w:rPr>
                <w:spacing w:val="80"/>
                <w:sz w:val="22"/>
              </w:rPr>
              <w:t> </w:t>
            </w:r>
            <w:r>
              <w:rPr>
                <w:sz w:val="22"/>
              </w:rPr>
              <w:t>No</w:t>
            </w:r>
            <w:r>
              <w:rPr>
                <w:spacing w:val="-3"/>
                <w:sz w:val="22"/>
              </w:rPr>
              <w:t> </w:t>
            </w:r>
            <w:r>
              <w:rPr>
                <w:sz w:val="22"/>
              </w:rPr>
              <w:t>aplica cuentas por</w:t>
              <w:tab/>
              <w:t>todas</w:t>
            </w:r>
            <w:r>
              <w:rPr>
                <w:spacing w:val="80"/>
                <w:sz w:val="22"/>
              </w:rPr>
              <w:t> </w:t>
            </w:r>
            <w:r>
              <w:rPr>
                <w:sz w:val="22"/>
              </w:rPr>
              <w:t>corresponden</w:t>
            </w:r>
            <w:r>
              <w:rPr>
                <w:spacing w:val="80"/>
                <w:sz w:val="22"/>
              </w:rPr>
              <w:t> </w:t>
            </w:r>
            <w:r>
              <w:rPr>
                <w:sz w:val="22"/>
              </w:rPr>
              <w:t>a</w:t>
            </w:r>
            <w:r>
              <w:rPr>
                <w:spacing w:val="80"/>
                <w:sz w:val="22"/>
              </w:rPr>
              <w:t> </w:t>
            </w:r>
            <w:r>
              <w:rPr>
                <w:sz w:val="22"/>
              </w:rPr>
              <w:t>transacciones</w:t>
            </w:r>
            <w:r>
              <w:rPr>
                <w:spacing w:val="80"/>
                <w:sz w:val="22"/>
              </w:rPr>
              <w:t> </w:t>
            </w:r>
            <w:r>
              <w:rPr>
                <w:sz w:val="22"/>
              </w:rPr>
              <w:t>en</w:t>
            </w:r>
          </w:p>
          <w:p>
            <w:pPr>
              <w:pStyle w:val="TableParagraph"/>
              <w:tabs>
                <w:tab w:pos="4179" w:val="left" w:leader="none"/>
              </w:tabs>
              <w:spacing w:line="259" w:lineRule="auto"/>
              <w:ind w:left="4179" w:right="1483" w:hanging="3251"/>
              <w:jc w:val="both"/>
              <w:rPr>
                <w:sz w:val="22"/>
              </w:rPr>
            </w:pPr>
            <w:r>
              <w:rPr>
                <w:sz w:val="22"/>
              </w:rPr>
              <w:t>cobrar otros</w:t>
              <w:tab/>
              <w:t>colones</w:t>
            </w:r>
            <w:r>
              <w:rPr>
                <w:spacing w:val="-3"/>
                <w:sz w:val="22"/>
              </w:rPr>
              <w:t> </w:t>
            </w:r>
            <w:r>
              <w:rPr>
                <w:sz w:val="22"/>
              </w:rPr>
              <w:t>no</w:t>
            </w:r>
            <w:r>
              <w:rPr>
                <w:spacing w:val="-3"/>
                <w:sz w:val="22"/>
              </w:rPr>
              <w:t> </w:t>
            </w:r>
            <w:r>
              <w:rPr>
                <w:sz w:val="22"/>
              </w:rPr>
              <w:t>sujetas</w:t>
            </w:r>
            <w:r>
              <w:rPr>
                <w:spacing w:val="-1"/>
                <w:sz w:val="22"/>
              </w:rPr>
              <w:t> </w:t>
            </w:r>
            <w:r>
              <w:rPr>
                <w:sz w:val="22"/>
              </w:rPr>
              <w:t>al</w:t>
            </w:r>
            <w:r>
              <w:rPr>
                <w:spacing w:val="-1"/>
                <w:sz w:val="22"/>
              </w:rPr>
              <w:t> </w:t>
            </w:r>
            <w:r>
              <w:rPr>
                <w:sz w:val="22"/>
              </w:rPr>
              <w:t>riesgo</w:t>
            </w:r>
            <w:r>
              <w:rPr>
                <w:spacing w:val="-3"/>
                <w:sz w:val="22"/>
              </w:rPr>
              <w:t> </w:t>
            </w:r>
            <w:r>
              <w:rPr>
                <w:sz w:val="22"/>
              </w:rPr>
              <w:t>de</w:t>
            </w:r>
            <w:r>
              <w:rPr>
                <w:spacing w:val="-3"/>
                <w:sz w:val="22"/>
              </w:rPr>
              <w:t> </w:t>
            </w:r>
            <w:r>
              <w:rPr>
                <w:sz w:val="22"/>
              </w:rPr>
              <w:t>tasa</w:t>
            </w:r>
            <w:r>
              <w:rPr>
                <w:spacing w:val="-2"/>
                <w:sz w:val="22"/>
              </w:rPr>
              <w:t> </w:t>
            </w:r>
            <w:r>
              <w:rPr>
                <w:sz w:val="22"/>
              </w:rPr>
              <w:t>cambio. Aplica,</w:t>
            </w:r>
            <w:r>
              <w:rPr>
                <w:spacing w:val="-14"/>
                <w:sz w:val="22"/>
              </w:rPr>
              <w:t> </w:t>
            </w:r>
            <w:r>
              <w:rPr>
                <w:sz w:val="22"/>
              </w:rPr>
              <w:t>riesgo</w:t>
            </w:r>
            <w:r>
              <w:rPr>
                <w:spacing w:val="-14"/>
                <w:sz w:val="22"/>
              </w:rPr>
              <w:t> </w:t>
            </w:r>
            <w:r>
              <w:rPr>
                <w:sz w:val="22"/>
              </w:rPr>
              <w:t>de</w:t>
            </w:r>
            <w:r>
              <w:rPr>
                <w:spacing w:val="-14"/>
                <w:sz w:val="22"/>
              </w:rPr>
              <w:t> </w:t>
            </w:r>
            <w:r>
              <w:rPr>
                <w:sz w:val="22"/>
              </w:rPr>
              <w:t>tasa</w:t>
            </w:r>
            <w:r>
              <w:rPr>
                <w:spacing w:val="-13"/>
                <w:sz w:val="22"/>
              </w:rPr>
              <w:t> </w:t>
            </w:r>
            <w:r>
              <w:rPr>
                <w:sz w:val="22"/>
              </w:rPr>
              <w:t>de</w:t>
            </w:r>
            <w:r>
              <w:rPr>
                <w:spacing w:val="-14"/>
                <w:sz w:val="22"/>
              </w:rPr>
              <w:t> </w:t>
            </w:r>
            <w:r>
              <w:rPr>
                <w:sz w:val="22"/>
              </w:rPr>
              <w:t>interés,</w:t>
            </w:r>
            <w:r>
              <w:rPr>
                <w:spacing w:val="-14"/>
                <w:sz w:val="22"/>
              </w:rPr>
              <w:t> </w:t>
            </w:r>
            <w:r>
              <w:rPr>
                <w:sz w:val="22"/>
              </w:rPr>
              <w:t>en</w:t>
            </w:r>
            <w:r>
              <w:rPr>
                <w:spacing w:val="-14"/>
                <w:sz w:val="22"/>
              </w:rPr>
              <w:t> </w:t>
            </w:r>
            <w:r>
              <w:rPr>
                <w:sz w:val="22"/>
              </w:rPr>
              <w:t>los</w:t>
            </w:r>
            <w:r>
              <w:rPr>
                <w:spacing w:val="-13"/>
                <w:sz w:val="22"/>
              </w:rPr>
              <w:t> </w:t>
            </w:r>
            <w:r>
              <w:rPr>
                <w:sz w:val="22"/>
              </w:rPr>
              <w:t>casos que cuentan con cobro de intereses, se utiliza la tasa básica pasiva que fluctúa.</w:t>
            </w:r>
          </w:p>
          <w:p>
            <w:pPr>
              <w:pStyle w:val="TableParagraph"/>
              <w:spacing w:before="20"/>
              <w:rPr>
                <w:sz w:val="22"/>
              </w:rPr>
            </w:pPr>
          </w:p>
          <w:p>
            <w:pPr>
              <w:pStyle w:val="TableParagraph"/>
              <w:spacing w:line="259" w:lineRule="auto"/>
              <w:ind w:left="4179" w:right="1482"/>
              <w:jc w:val="both"/>
              <w:rPr>
                <w:sz w:val="22"/>
              </w:rPr>
            </w:pPr>
            <w:r>
              <w:rPr>
                <w:sz w:val="22"/>
              </w:rPr>
              <w:t>No aplica riesgo de precio. Según la naturaleza de las cuentas por cobrar, la deuda</w:t>
            </w:r>
            <w:r>
              <w:rPr>
                <w:spacing w:val="-11"/>
                <w:sz w:val="22"/>
              </w:rPr>
              <w:t> </w:t>
            </w:r>
            <w:r>
              <w:rPr>
                <w:sz w:val="22"/>
              </w:rPr>
              <w:t>no</w:t>
            </w:r>
            <w:r>
              <w:rPr>
                <w:spacing w:val="-9"/>
                <w:sz w:val="22"/>
              </w:rPr>
              <w:t> </w:t>
            </w:r>
            <w:r>
              <w:rPr>
                <w:sz w:val="22"/>
              </w:rPr>
              <w:t>fluctúa</w:t>
            </w:r>
            <w:r>
              <w:rPr>
                <w:spacing w:val="-11"/>
                <w:sz w:val="22"/>
              </w:rPr>
              <w:t> </w:t>
            </w:r>
            <w:r>
              <w:rPr>
                <w:sz w:val="22"/>
              </w:rPr>
              <w:t>como</w:t>
            </w:r>
            <w:r>
              <w:rPr>
                <w:spacing w:val="-9"/>
                <w:sz w:val="22"/>
              </w:rPr>
              <w:t> </w:t>
            </w:r>
            <w:r>
              <w:rPr>
                <w:sz w:val="22"/>
              </w:rPr>
              <w:t>consecuencia</w:t>
            </w:r>
            <w:r>
              <w:rPr>
                <w:spacing w:val="-11"/>
                <w:sz w:val="22"/>
              </w:rPr>
              <w:t> </w:t>
            </w:r>
            <w:r>
              <w:rPr>
                <w:sz w:val="22"/>
              </w:rPr>
              <w:t>en</w:t>
            </w:r>
            <w:r>
              <w:rPr>
                <w:spacing w:val="-10"/>
                <w:sz w:val="22"/>
              </w:rPr>
              <w:t> </w:t>
            </w:r>
            <w:r>
              <w:rPr>
                <w:sz w:val="22"/>
              </w:rPr>
              <w:t>los precios de mercado.</w:t>
            </w:r>
          </w:p>
          <w:p>
            <w:pPr>
              <w:pStyle w:val="TableParagraph"/>
              <w:spacing w:before="189"/>
              <w:rPr>
                <w:sz w:val="22"/>
              </w:rPr>
            </w:pPr>
          </w:p>
          <w:p>
            <w:pPr>
              <w:pStyle w:val="TableParagraph"/>
              <w:ind w:left="107"/>
              <w:rPr>
                <w:sz w:val="22"/>
              </w:rPr>
            </w:pPr>
            <w:r>
              <w:rPr>
                <w:sz w:val="22"/>
              </w:rPr>
              <w:t>En</w:t>
            </w:r>
            <w:r>
              <w:rPr>
                <w:spacing w:val="-6"/>
                <w:sz w:val="22"/>
              </w:rPr>
              <w:t> </w:t>
            </w:r>
            <w:r>
              <w:rPr>
                <w:sz w:val="22"/>
              </w:rPr>
              <w:t>el</w:t>
            </w:r>
            <w:r>
              <w:rPr>
                <w:spacing w:val="-3"/>
                <w:sz w:val="22"/>
              </w:rPr>
              <w:t> </w:t>
            </w:r>
            <w:r>
              <w:rPr>
                <w:sz w:val="22"/>
              </w:rPr>
              <w:t>IMAS</w:t>
            </w:r>
            <w:r>
              <w:rPr>
                <w:spacing w:val="-2"/>
                <w:sz w:val="22"/>
              </w:rPr>
              <w:t> </w:t>
            </w:r>
            <w:r>
              <w:rPr>
                <w:sz w:val="22"/>
              </w:rPr>
              <w:t>el</w:t>
            </w:r>
            <w:r>
              <w:rPr>
                <w:spacing w:val="-3"/>
                <w:sz w:val="22"/>
              </w:rPr>
              <w:t> </w:t>
            </w:r>
            <w:r>
              <w:rPr>
                <w:sz w:val="22"/>
              </w:rPr>
              <w:t>análisis</w:t>
            </w:r>
            <w:r>
              <w:rPr>
                <w:spacing w:val="-4"/>
                <w:sz w:val="22"/>
              </w:rPr>
              <w:t> </w:t>
            </w:r>
            <w:r>
              <w:rPr>
                <w:sz w:val="22"/>
              </w:rPr>
              <w:t>de</w:t>
            </w:r>
            <w:r>
              <w:rPr>
                <w:spacing w:val="-5"/>
                <w:sz w:val="22"/>
              </w:rPr>
              <w:t> </w:t>
            </w:r>
            <w:r>
              <w:rPr>
                <w:sz w:val="22"/>
              </w:rPr>
              <w:t>los</w:t>
            </w:r>
            <w:r>
              <w:rPr>
                <w:spacing w:val="-2"/>
                <w:sz w:val="22"/>
              </w:rPr>
              <w:t> </w:t>
            </w:r>
            <w:r>
              <w:rPr>
                <w:sz w:val="22"/>
              </w:rPr>
              <w:t>riesgos</w:t>
            </w:r>
            <w:r>
              <w:rPr>
                <w:spacing w:val="-2"/>
                <w:sz w:val="22"/>
              </w:rPr>
              <w:t> </w:t>
            </w:r>
            <w:r>
              <w:rPr>
                <w:sz w:val="22"/>
              </w:rPr>
              <w:t>asociados</w:t>
            </w:r>
            <w:r>
              <w:rPr>
                <w:spacing w:val="-3"/>
                <w:sz w:val="22"/>
              </w:rPr>
              <w:t> </w:t>
            </w:r>
            <w:r>
              <w:rPr>
                <w:sz w:val="22"/>
              </w:rPr>
              <w:t>a</w:t>
            </w:r>
            <w:r>
              <w:rPr>
                <w:spacing w:val="-4"/>
                <w:sz w:val="22"/>
              </w:rPr>
              <w:t> </w:t>
            </w:r>
            <w:r>
              <w:rPr>
                <w:sz w:val="22"/>
              </w:rPr>
              <w:t>las</w:t>
            </w:r>
            <w:r>
              <w:rPr>
                <w:spacing w:val="-2"/>
                <w:sz w:val="22"/>
              </w:rPr>
              <w:t> </w:t>
            </w:r>
            <w:r>
              <w:rPr>
                <w:sz w:val="22"/>
              </w:rPr>
              <w:t>cuentas</w:t>
            </w:r>
            <w:r>
              <w:rPr>
                <w:spacing w:val="-3"/>
                <w:sz w:val="22"/>
              </w:rPr>
              <w:t> </w:t>
            </w:r>
            <w:r>
              <w:rPr>
                <w:sz w:val="22"/>
              </w:rPr>
              <w:t>por</w:t>
            </w:r>
            <w:r>
              <w:rPr>
                <w:spacing w:val="-3"/>
                <w:sz w:val="22"/>
              </w:rPr>
              <w:t> </w:t>
            </w:r>
            <w:r>
              <w:rPr>
                <w:sz w:val="22"/>
              </w:rPr>
              <w:t>pagar</w:t>
            </w:r>
            <w:r>
              <w:rPr>
                <w:spacing w:val="-7"/>
                <w:sz w:val="22"/>
              </w:rPr>
              <w:t> </w:t>
            </w:r>
            <w:r>
              <w:rPr>
                <w:sz w:val="22"/>
              </w:rPr>
              <w:t>se</w:t>
            </w:r>
            <w:r>
              <w:rPr>
                <w:spacing w:val="-4"/>
                <w:sz w:val="22"/>
              </w:rPr>
              <w:t> </w:t>
            </w:r>
            <w:r>
              <w:rPr>
                <w:sz w:val="22"/>
              </w:rPr>
              <w:t>resume</w:t>
            </w:r>
            <w:r>
              <w:rPr>
                <w:spacing w:val="-4"/>
                <w:sz w:val="22"/>
              </w:rPr>
              <w:t> </w:t>
            </w:r>
            <w:r>
              <w:rPr>
                <w:sz w:val="22"/>
              </w:rPr>
              <w:t>en</w:t>
            </w:r>
            <w:r>
              <w:rPr>
                <w:spacing w:val="-3"/>
                <w:sz w:val="22"/>
              </w:rPr>
              <w:t> </w:t>
            </w:r>
            <w:r>
              <w:rPr>
                <w:sz w:val="22"/>
              </w:rPr>
              <w:t>el</w:t>
            </w:r>
            <w:r>
              <w:rPr>
                <w:spacing w:val="-3"/>
                <w:sz w:val="22"/>
              </w:rPr>
              <w:t> </w:t>
            </w:r>
            <w:r>
              <w:rPr>
                <w:sz w:val="22"/>
              </w:rPr>
              <w:t>siguiente</w:t>
            </w:r>
            <w:r>
              <w:rPr>
                <w:spacing w:val="-3"/>
                <w:sz w:val="22"/>
              </w:rPr>
              <w:t> </w:t>
            </w:r>
            <w:r>
              <w:rPr>
                <w:spacing w:val="-2"/>
                <w:sz w:val="22"/>
              </w:rPr>
              <w:t>cuadro:</w:t>
            </w:r>
          </w:p>
        </w:tc>
      </w:tr>
    </w:tbl>
    <w:p>
      <w:pPr>
        <w:pStyle w:val="TableParagraph"/>
        <w:spacing w:after="0"/>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1520">
                <wp:simplePos x="0" y="0"/>
                <wp:positionH relativeFrom="page">
                  <wp:posOffset>9525</wp:posOffset>
                </wp:positionH>
                <wp:positionV relativeFrom="page">
                  <wp:posOffset>297208</wp:posOffset>
                </wp:positionV>
                <wp:extent cx="7762875" cy="9748520"/>
                <wp:effectExtent l="0" t="0" r="0" b="0"/>
                <wp:wrapNone/>
                <wp:docPr id="1206" name="Group 1206"/>
                <wp:cNvGraphicFramePr>
                  <a:graphicFrameLocks/>
                </wp:cNvGraphicFramePr>
                <a:graphic>
                  <a:graphicData uri="http://schemas.microsoft.com/office/word/2010/wordprocessingGroup">
                    <wpg:wgp>
                      <wpg:cNvPr id="1206" name="Group 1206"/>
                      <wpg:cNvGrpSpPr/>
                      <wpg:grpSpPr>
                        <a:xfrm>
                          <a:off x="0" y="0"/>
                          <a:ext cx="7762875" cy="9748520"/>
                          <a:chExt cx="7762875" cy="9748520"/>
                        </a:xfrm>
                      </wpg:grpSpPr>
                      <pic:pic>
                        <pic:nvPicPr>
                          <pic:cNvPr id="1207" name="Image 1207"/>
                          <pic:cNvPicPr/>
                        </pic:nvPicPr>
                        <pic:blipFill>
                          <a:blip r:embed="rId5" cstate="print"/>
                          <a:stretch>
                            <a:fillRect/>
                          </a:stretch>
                        </pic:blipFill>
                        <pic:spPr>
                          <a:xfrm>
                            <a:off x="0" y="0"/>
                            <a:ext cx="7762874" cy="9748489"/>
                          </a:xfrm>
                          <a:prstGeom prst="rect">
                            <a:avLst/>
                          </a:prstGeom>
                        </pic:spPr>
                      </pic:pic>
                      <wps:wsp>
                        <wps:cNvPr id="1208" name="Graphic 1208"/>
                        <wps:cNvSpPr/>
                        <wps:spPr>
                          <a:xfrm>
                            <a:off x="1053007" y="990837"/>
                            <a:ext cx="6013450" cy="7744459"/>
                          </a:xfrm>
                          <a:custGeom>
                            <a:avLst/>
                            <a:gdLst/>
                            <a:ahLst/>
                            <a:cxnLst/>
                            <a:rect l="l" t="t" r="r" b="b"/>
                            <a:pathLst>
                              <a:path w="6013450" h="7744459">
                                <a:moveTo>
                                  <a:pt x="21336" y="132651"/>
                                </a:moveTo>
                                <a:lnTo>
                                  <a:pt x="15240" y="132651"/>
                                </a:lnTo>
                                <a:lnTo>
                                  <a:pt x="15240" y="7738300"/>
                                </a:lnTo>
                                <a:lnTo>
                                  <a:pt x="21336" y="7738300"/>
                                </a:lnTo>
                                <a:lnTo>
                                  <a:pt x="21336" y="132651"/>
                                </a:lnTo>
                                <a:close/>
                              </a:path>
                              <a:path w="6013450" h="7744459">
                                <a:moveTo>
                                  <a:pt x="5649214" y="0"/>
                                </a:moveTo>
                                <a:lnTo>
                                  <a:pt x="0" y="0"/>
                                </a:lnTo>
                                <a:lnTo>
                                  <a:pt x="0" y="9131"/>
                                </a:lnTo>
                                <a:lnTo>
                                  <a:pt x="5649214" y="9131"/>
                                </a:lnTo>
                                <a:lnTo>
                                  <a:pt x="5649214" y="0"/>
                                </a:lnTo>
                                <a:close/>
                              </a:path>
                              <a:path w="6013450" h="7744459">
                                <a:moveTo>
                                  <a:pt x="6013399" y="7738313"/>
                                </a:moveTo>
                                <a:lnTo>
                                  <a:pt x="6007354" y="7738313"/>
                                </a:lnTo>
                                <a:lnTo>
                                  <a:pt x="21336" y="7738313"/>
                                </a:lnTo>
                                <a:lnTo>
                                  <a:pt x="15240" y="7738313"/>
                                </a:lnTo>
                                <a:lnTo>
                                  <a:pt x="15240" y="7744396"/>
                                </a:lnTo>
                                <a:lnTo>
                                  <a:pt x="21336" y="7744396"/>
                                </a:lnTo>
                                <a:lnTo>
                                  <a:pt x="6007303" y="7744396"/>
                                </a:lnTo>
                                <a:lnTo>
                                  <a:pt x="6013399" y="7744396"/>
                                </a:lnTo>
                                <a:lnTo>
                                  <a:pt x="6013399" y="7738313"/>
                                </a:lnTo>
                                <a:close/>
                              </a:path>
                              <a:path w="6013450" h="7744459">
                                <a:moveTo>
                                  <a:pt x="6013399" y="132651"/>
                                </a:moveTo>
                                <a:lnTo>
                                  <a:pt x="6007303" y="132651"/>
                                </a:lnTo>
                                <a:lnTo>
                                  <a:pt x="6007303" y="7738300"/>
                                </a:lnTo>
                                <a:lnTo>
                                  <a:pt x="6013399" y="7738300"/>
                                </a:lnTo>
                                <a:lnTo>
                                  <a:pt x="6013399" y="132651"/>
                                </a:lnTo>
                                <a:close/>
                              </a:path>
                              <a:path w="6013450" h="7744459">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4960" id="docshapegroup1150" coordorigin="15,468" coordsize="12225,15352">
                <v:shape style="position:absolute;left:15;top:468;width:12225;height:15352" type="#_x0000_t75" id="docshape1151" stroked="false">
                  <v:imagedata r:id="rId5" o:title=""/>
                </v:shape>
                <v:shape style="position:absolute;left:1673;top:2028;width:9470;height:12196" id="docshape1152" coordorigin="1673,2028" coordsize="9470,12196" path="m1707,2237l1697,2237,1697,14215,1707,14215,1707,2237xm10570,2028l1673,2028,1673,2043,10570,2043,10570,2028xm11143,14215l11134,14215,11134,14215,1707,14215,1697,14215,1697,14224,1707,14224,11134,14224,11134,14224,11143,14224,11143,14215xm11143,2237l11134,2237,11134,14215,11143,14215,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235</w:t>
      </w:r>
    </w:p>
    <w:p>
      <w:pPr>
        <w:pStyle w:val="BodyText"/>
        <w:rPr>
          <w:sz w:val="20"/>
        </w:rPr>
      </w:pPr>
    </w:p>
    <w:p>
      <w:pPr>
        <w:pStyle w:val="BodyText"/>
        <w:rPr>
          <w:sz w:val="20"/>
        </w:rPr>
      </w:pPr>
    </w:p>
    <w:p>
      <w:pPr>
        <w:pStyle w:val="BodyText"/>
        <w:spacing w:before="46"/>
        <w:rPr>
          <w:sz w:val="20"/>
        </w:rPr>
      </w:pPr>
    </w:p>
    <w:tbl>
      <w:tblPr>
        <w:tblW w:w="0" w:type="auto"/>
        <w:jc w:val="left"/>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7"/>
        <w:gridCol w:w="1534"/>
        <w:gridCol w:w="3977"/>
        <w:gridCol w:w="1274"/>
      </w:tblGrid>
      <w:tr>
        <w:trPr>
          <w:trHeight w:val="700" w:hRule="atLeast"/>
        </w:trPr>
        <w:tc>
          <w:tcPr>
            <w:tcW w:w="1717" w:type="dxa"/>
          </w:tcPr>
          <w:p>
            <w:pPr>
              <w:pStyle w:val="TableParagraph"/>
              <w:spacing w:line="254" w:lineRule="exact"/>
              <w:ind w:left="307"/>
              <w:rPr>
                <w:b/>
                <w:i/>
                <w:sz w:val="23"/>
              </w:rPr>
            </w:pPr>
            <w:r>
              <w:rPr>
                <w:b/>
                <w:i/>
                <w:spacing w:val="-2"/>
                <w:sz w:val="23"/>
              </w:rPr>
              <w:t>Clasificación</w:t>
            </w:r>
          </w:p>
        </w:tc>
        <w:tc>
          <w:tcPr>
            <w:tcW w:w="1534" w:type="dxa"/>
          </w:tcPr>
          <w:p>
            <w:pPr>
              <w:pStyle w:val="TableParagraph"/>
              <w:spacing w:line="254" w:lineRule="exact"/>
              <w:ind w:left="117"/>
              <w:rPr>
                <w:b/>
                <w:i/>
                <w:sz w:val="23"/>
              </w:rPr>
            </w:pPr>
            <w:r>
              <w:rPr>
                <w:b/>
                <w:i/>
                <w:spacing w:val="-5"/>
                <w:sz w:val="23"/>
              </w:rPr>
              <w:t>Riesgo</w:t>
            </w:r>
            <w:r>
              <w:rPr>
                <w:b/>
                <w:i/>
                <w:spacing w:val="-6"/>
                <w:sz w:val="23"/>
              </w:rPr>
              <w:t> </w:t>
            </w:r>
            <w:r>
              <w:rPr>
                <w:b/>
                <w:i/>
                <w:spacing w:val="-2"/>
                <w:sz w:val="23"/>
              </w:rPr>
              <w:t>Crédito</w:t>
            </w:r>
          </w:p>
        </w:tc>
        <w:tc>
          <w:tcPr>
            <w:tcW w:w="3977" w:type="dxa"/>
          </w:tcPr>
          <w:p>
            <w:pPr>
              <w:pStyle w:val="TableParagraph"/>
              <w:spacing w:line="254" w:lineRule="exact"/>
              <w:ind w:left="1276"/>
              <w:rPr>
                <w:b/>
                <w:i/>
                <w:sz w:val="23"/>
              </w:rPr>
            </w:pPr>
            <w:r>
              <w:rPr>
                <w:b/>
                <w:i/>
                <w:spacing w:val="-5"/>
                <w:sz w:val="23"/>
              </w:rPr>
              <w:t>Riesgo</w:t>
            </w:r>
            <w:r>
              <w:rPr>
                <w:b/>
                <w:i/>
                <w:spacing w:val="-7"/>
                <w:sz w:val="23"/>
              </w:rPr>
              <w:t> </w:t>
            </w:r>
            <w:r>
              <w:rPr>
                <w:b/>
                <w:i/>
                <w:spacing w:val="-2"/>
                <w:sz w:val="23"/>
              </w:rPr>
              <w:t>Mercado</w:t>
            </w:r>
          </w:p>
        </w:tc>
        <w:tc>
          <w:tcPr>
            <w:tcW w:w="1274" w:type="dxa"/>
          </w:tcPr>
          <w:p>
            <w:pPr>
              <w:pStyle w:val="TableParagraph"/>
              <w:spacing w:line="247" w:lineRule="auto"/>
              <w:ind w:left="293" w:firstLine="52"/>
              <w:rPr>
                <w:b/>
                <w:i/>
                <w:sz w:val="23"/>
              </w:rPr>
            </w:pPr>
            <w:r>
              <w:rPr>
                <w:b/>
                <w:i/>
                <w:spacing w:val="-2"/>
                <w:sz w:val="23"/>
              </w:rPr>
              <w:t>Riesgo </w:t>
            </w:r>
            <w:r>
              <w:rPr>
                <w:b/>
                <w:i/>
                <w:spacing w:val="-6"/>
                <w:sz w:val="23"/>
              </w:rPr>
              <w:t>liquidez</w:t>
            </w:r>
          </w:p>
        </w:tc>
      </w:tr>
      <w:tr>
        <w:trPr>
          <w:trHeight w:val="1625" w:hRule="atLeast"/>
        </w:trPr>
        <w:tc>
          <w:tcPr>
            <w:tcW w:w="1717" w:type="dxa"/>
          </w:tcPr>
          <w:p>
            <w:pPr>
              <w:pStyle w:val="TableParagraph"/>
              <w:tabs>
                <w:tab w:pos="1302" w:val="left" w:leader="none"/>
              </w:tabs>
              <w:spacing w:line="259" w:lineRule="auto"/>
              <w:ind w:left="107" w:right="95"/>
              <w:rPr>
                <w:sz w:val="22"/>
              </w:rPr>
            </w:pPr>
            <w:r>
              <w:rPr>
                <w:spacing w:val="-2"/>
                <w:sz w:val="22"/>
              </w:rPr>
              <w:t>Cuentas</w:t>
            </w:r>
            <w:r>
              <w:rPr>
                <w:sz w:val="22"/>
              </w:rPr>
              <w:tab/>
            </w:r>
            <w:r>
              <w:rPr>
                <w:spacing w:val="-4"/>
                <w:sz w:val="22"/>
              </w:rPr>
              <w:t>por </w:t>
            </w:r>
            <w:r>
              <w:rPr>
                <w:spacing w:val="-2"/>
                <w:sz w:val="22"/>
              </w:rPr>
              <w:t>pagar</w:t>
            </w:r>
            <w:r>
              <w:rPr>
                <w:spacing w:val="40"/>
                <w:sz w:val="22"/>
              </w:rPr>
              <w:t> </w:t>
            </w:r>
            <w:r>
              <w:rPr>
                <w:spacing w:val="-2"/>
                <w:sz w:val="22"/>
              </w:rPr>
              <w:t>comerciales</w:t>
            </w:r>
          </w:p>
        </w:tc>
        <w:tc>
          <w:tcPr>
            <w:tcW w:w="1534" w:type="dxa"/>
          </w:tcPr>
          <w:p>
            <w:pPr>
              <w:pStyle w:val="TableParagraph"/>
              <w:ind w:left="160"/>
              <w:rPr>
                <w:sz w:val="22"/>
              </w:rPr>
            </w:pPr>
            <w:r>
              <w:rPr>
                <w:spacing w:val="-2"/>
                <w:sz w:val="22"/>
              </w:rPr>
              <w:t>Aplica</w:t>
            </w:r>
          </w:p>
        </w:tc>
        <w:tc>
          <w:tcPr>
            <w:tcW w:w="3977" w:type="dxa"/>
          </w:tcPr>
          <w:p>
            <w:pPr>
              <w:pStyle w:val="TableParagraph"/>
              <w:ind w:left="107"/>
              <w:rPr>
                <w:sz w:val="22"/>
              </w:rPr>
            </w:pPr>
            <w:r>
              <w:rPr>
                <w:sz w:val="22"/>
              </w:rPr>
              <w:t>Aplica</w:t>
            </w:r>
            <w:r>
              <w:rPr>
                <w:spacing w:val="-7"/>
                <w:sz w:val="22"/>
              </w:rPr>
              <w:t> </w:t>
            </w:r>
            <w:r>
              <w:rPr>
                <w:spacing w:val="-2"/>
                <w:sz w:val="22"/>
              </w:rPr>
              <w:t>porque:</w:t>
            </w:r>
          </w:p>
          <w:p>
            <w:pPr>
              <w:pStyle w:val="TableParagraph"/>
              <w:spacing w:line="259" w:lineRule="auto" w:before="20"/>
              <w:ind w:left="107"/>
              <w:rPr>
                <w:sz w:val="22"/>
              </w:rPr>
            </w:pPr>
            <w:r>
              <w:rPr>
                <w:sz w:val="22"/>
              </w:rPr>
              <w:t>El</w:t>
            </w:r>
            <w:r>
              <w:rPr>
                <w:spacing w:val="-14"/>
                <w:sz w:val="22"/>
              </w:rPr>
              <w:t> </w:t>
            </w:r>
            <w:r>
              <w:rPr>
                <w:sz w:val="22"/>
              </w:rPr>
              <w:t>valor</w:t>
            </w:r>
            <w:r>
              <w:rPr>
                <w:spacing w:val="-14"/>
                <w:sz w:val="22"/>
              </w:rPr>
              <w:t> </w:t>
            </w:r>
            <w:r>
              <w:rPr>
                <w:sz w:val="22"/>
              </w:rPr>
              <w:t>razonable</w:t>
            </w:r>
            <w:r>
              <w:rPr>
                <w:spacing w:val="-14"/>
                <w:sz w:val="22"/>
              </w:rPr>
              <w:t> </w:t>
            </w:r>
            <w:r>
              <w:rPr>
                <w:sz w:val="22"/>
              </w:rPr>
              <w:t>de</w:t>
            </w:r>
            <w:r>
              <w:rPr>
                <w:spacing w:val="-13"/>
                <w:sz w:val="22"/>
              </w:rPr>
              <w:t> </w:t>
            </w:r>
            <w:r>
              <w:rPr>
                <w:sz w:val="22"/>
              </w:rPr>
              <w:t>la</w:t>
            </w:r>
            <w:r>
              <w:rPr>
                <w:spacing w:val="-14"/>
                <w:sz w:val="22"/>
              </w:rPr>
              <w:t> </w:t>
            </w:r>
            <w:r>
              <w:rPr>
                <w:sz w:val="22"/>
              </w:rPr>
              <w:t>deuda</w:t>
            </w:r>
            <w:r>
              <w:rPr>
                <w:spacing w:val="-14"/>
                <w:sz w:val="22"/>
              </w:rPr>
              <w:t> </w:t>
            </w:r>
            <w:r>
              <w:rPr>
                <w:sz w:val="22"/>
              </w:rPr>
              <w:t>fluctúa</w:t>
            </w:r>
            <w:r>
              <w:rPr>
                <w:spacing w:val="-14"/>
                <w:sz w:val="22"/>
              </w:rPr>
              <w:t> </w:t>
            </w:r>
            <w:r>
              <w:rPr>
                <w:sz w:val="22"/>
              </w:rPr>
              <w:t>como consecuencia en los precios de mercado.</w:t>
            </w:r>
          </w:p>
          <w:p>
            <w:pPr>
              <w:pStyle w:val="TableParagraph"/>
              <w:spacing w:before="1"/>
              <w:rPr>
                <w:sz w:val="22"/>
              </w:rPr>
            </w:pPr>
          </w:p>
          <w:p>
            <w:pPr>
              <w:pStyle w:val="TableParagraph"/>
              <w:spacing w:line="270" w:lineRule="atLeast"/>
              <w:ind w:left="107"/>
              <w:rPr>
                <w:sz w:val="22"/>
              </w:rPr>
            </w:pPr>
            <w:r>
              <w:rPr>
                <w:sz w:val="22"/>
              </w:rPr>
              <w:t>Porque</w:t>
            </w:r>
            <w:r>
              <w:rPr>
                <w:spacing w:val="-14"/>
                <w:sz w:val="22"/>
              </w:rPr>
              <w:t> </w:t>
            </w:r>
            <w:r>
              <w:rPr>
                <w:sz w:val="22"/>
              </w:rPr>
              <w:t>son</w:t>
            </w:r>
            <w:r>
              <w:rPr>
                <w:spacing w:val="-11"/>
                <w:sz w:val="22"/>
              </w:rPr>
              <w:t> </w:t>
            </w:r>
            <w:r>
              <w:rPr>
                <w:sz w:val="22"/>
              </w:rPr>
              <w:t>registradas</w:t>
            </w:r>
            <w:r>
              <w:rPr>
                <w:spacing w:val="-10"/>
                <w:sz w:val="22"/>
              </w:rPr>
              <w:t> </w:t>
            </w:r>
            <w:r>
              <w:rPr>
                <w:sz w:val="22"/>
              </w:rPr>
              <w:t>en</w:t>
            </w:r>
            <w:r>
              <w:rPr>
                <w:spacing w:val="-11"/>
                <w:sz w:val="22"/>
              </w:rPr>
              <w:t> </w:t>
            </w:r>
            <w:r>
              <w:rPr>
                <w:sz w:val="22"/>
              </w:rPr>
              <w:t>colones</w:t>
            </w:r>
            <w:r>
              <w:rPr>
                <w:spacing w:val="-12"/>
                <w:sz w:val="22"/>
              </w:rPr>
              <w:t> </w:t>
            </w:r>
            <w:r>
              <w:rPr>
                <w:sz w:val="22"/>
              </w:rPr>
              <w:t>y</w:t>
            </w:r>
            <w:r>
              <w:rPr>
                <w:spacing w:val="-12"/>
                <w:sz w:val="22"/>
              </w:rPr>
              <w:t> </w:t>
            </w:r>
            <w:r>
              <w:rPr>
                <w:sz w:val="22"/>
              </w:rPr>
              <w:t>dólares sujetas al riesgo de tasa cambio.</w:t>
            </w:r>
          </w:p>
        </w:tc>
        <w:tc>
          <w:tcPr>
            <w:tcW w:w="1274" w:type="dxa"/>
          </w:tcPr>
          <w:p>
            <w:pPr>
              <w:pStyle w:val="TableParagraph"/>
              <w:ind w:left="105"/>
              <w:rPr>
                <w:sz w:val="22"/>
              </w:rPr>
            </w:pPr>
            <w:r>
              <w:rPr>
                <w:spacing w:val="-2"/>
                <w:sz w:val="22"/>
              </w:rPr>
              <w:t>Aplica</w:t>
            </w:r>
          </w:p>
        </w:tc>
      </w:tr>
      <w:tr>
        <w:trPr>
          <w:trHeight w:val="2166" w:hRule="atLeast"/>
        </w:trPr>
        <w:tc>
          <w:tcPr>
            <w:tcW w:w="1717" w:type="dxa"/>
          </w:tcPr>
          <w:p>
            <w:pPr>
              <w:pStyle w:val="TableParagraph"/>
              <w:spacing w:line="259" w:lineRule="auto"/>
              <w:ind w:left="107" w:right="95"/>
              <w:rPr>
                <w:sz w:val="22"/>
              </w:rPr>
            </w:pPr>
            <w:r>
              <w:rPr>
                <w:sz w:val="22"/>
              </w:rPr>
              <w:t>Deudas</w:t>
            </w:r>
            <w:r>
              <w:rPr>
                <w:spacing w:val="77"/>
                <w:sz w:val="22"/>
              </w:rPr>
              <w:t> </w:t>
            </w:r>
            <w:r>
              <w:rPr>
                <w:sz w:val="22"/>
              </w:rPr>
              <w:t>sociales y fiscales</w:t>
            </w:r>
          </w:p>
        </w:tc>
        <w:tc>
          <w:tcPr>
            <w:tcW w:w="1534" w:type="dxa"/>
          </w:tcPr>
          <w:p>
            <w:pPr>
              <w:pStyle w:val="TableParagraph"/>
              <w:ind w:left="160"/>
              <w:rPr>
                <w:sz w:val="22"/>
              </w:rPr>
            </w:pPr>
            <w:r>
              <w:rPr>
                <w:spacing w:val="-2"/>
                <w:sz w:val="22"/>
              </w:rPr>
              <w:t>Aplica</w:t>
            </w:r>
          </w:p>
        </w:tc>
        <w:tc>
          <w:tcPr>
            <w:tcW w:w="3977" w:type="dxa"/>
          </w:tcPr>
          <w:p>
            <w:pPr>
              <w:pStyle w:val="TableParagraph"/>
              <w:ind w:left="107"/>
              <w:jc w:val="both"/>
              <w:rPr>
                <w:sz w:val="22"/>
              </w:rPr>
            </w:pPr>
            <w:r>
              <w:rPr>
                <w:sz w:val="22"/>
              </w:rPr>
              <w:t>No</w:t>
            </w:r>
            <w:r>
              <w:rPr>
                <w:spacing w:val="-5"/>
                <w:sz w:val="22"/>
              </w:rPr>
              <w:t> </w:t>
            </w:r>
            <w:r>
              <w:rPr>
                <w:sz w:val="22"/>
              </w:rPr>
              <w:t>aplica</w:t>
            </w:r>
            <w:r>
              <w:rPr>
                <w:spacing w:val="-4"/>
                <w:sz w:val="22"/>
              </w:rPr>
              <w:t> </w:t>
            </w:r>
            <w:r>
              <w:rPr>
                <w:spacing w:val="-2"/>
                <w:sz w:val="22"/>
              </w:rPr>
              <w:t>porque:</w:t>
            </w:r>
          </w:p>
          <w:p>
            <w:pPr>
              <w:pStyle w:val="TableParagraph"/>
              <w:spacing w:line="259" w:lineRule="auto" w:before="20"/>
              <w:ind w:left="107" w:right="99"/>
              <w:jc w:val="both"/>
              <w:rPr>
                <w:sz w:val="22"/>
              </w:rPr>
            </w:pPr>
            <w:r>
              <w:rPr>
                <w:sz w:val="22"/>
              </w:rPr>
              <w:t>Porque son registradas en colones, no sujetas al riesgo de tasa cambio.</w:t>
            </w:r>
          </w:p>
          <w:p>
            <w:pPr>
              <w:pStyle w:val="TableParagraph"/>
              <w:spacing w:before="21"/>
              <w:rPr>
                <w:sz w:val="22"/>
              </w:rPr>
            </w:pPr>
          </w:p>
          <w:p>
            <w:pPr>
              <w:pStyle w:val="TableParagraph"/>
              <w:spacing w:line="259" w:lineRule="auto"/>
              <w:ind w:left="107" w:right="97"/>
              <w:jc w:val="both"/>
              <w:rPr>
                <w:sz w:val="22"/>
              </w:rPr>
            </w:pPr>
            <w:r>
              <w:rPr>
                <w:sz w:val="22"/>
              </w:rPr>
              <w:t>Según la naturaleza de las contribuciones a la</w:t>
            </w:r>
            <w:r>
              <w:rPr>
                <w:spacing w:val="-3"/>
                <w:sz w:val="22"/>
              </w:rPr>
              <w:t> </w:t>
            </w:r>
            <w:r>
              <w:rPr>
                <w:sz w:val="22"/>
              </w:rPr>
              <w:t>seguridad</w:t>
            </w:r>
            <w:r>
              <w:rPr>
                <w:spacing w:val="-2"/>
                <w:sz w:val="22"/>
              </w:rPr>
              <w:t> </w:t>
            </w:r>
            <w:r>
              <w:rPr>
                <w:sz w:val="22"/>
              </w:rPr>
              <w:t>social,</w:t>
            </w:r>
            <w:r>
              <w:rPr>
                <w:spacing w:val="-2"/>
                <w:sz w:val="22"/>
              </w:rPr>
              <w:t> </w:t>
            </w:r>
            <w:r>
              <w:rPr>
                <w:sz w:val="22"/>
              </w:rPr>
              <w:t>incluyen</w:t>
            </w:r>
            <w:r>
              <w:rPr>
                <w:spacing w:val="-2"/>
                <w:sz w:val="22"/>
              </w:rPr>
              <w:t> </w:t>
            </w:r>
            <w:r>
              <w:rPr>
                <w:sz w:val="22"/>
              </w:rPr>
              <w:t>sólo</w:t>
            </w:r>
            <w:r>
              <w:rPr>
                <w:spacing w:val="-1"/>
                <w:sz w:val="22"/>
              </w:rPr>
              <w:t> </w:t>
            </w:r>
            <w:r>
              <w:rPr>
                <w:sz w:val="22"/>
              </w:rPr>
              <w:t>las</w:t>
            </w:r>
            <w:r>
              <w:rPr>
                <w:spacing w:val="-3"/>
                <w:sz w:val="22"/>
              </w:rPr>
              <w:t> </w:t>
            </w:r>
            <w:r>
              <w:rPr>
                <w:sz w:val="22"/>
              </w:rPr>
              <w:t>multas y</w:t>
            </w:r>
            <w:r>
              <w:rPr>
                <w:spacing w:val="-4"/>
                <w:sz w:val="22"/>
              </w:rPr>
              <w:t> </w:t>
            </w:r>
            <w:r>
              <w:rPr>
                <w:sz w:val="22"/>
              </w:rPr>
              <w:t>recargos</w:t>
            </w:r>
            <w:r>
              <w:rPr>
                <w:spacing w:val="-1"/>
                <w:sz w:val="22"/>
              </w:rPr>
              <w:t> </w:t>
            </w:r>
            <w:r>
              <w:rPr>
                <w:sz w:val="22"/>
              </w:rPr>
              <w:t>moratorios,</w:t>
            </w:r>
            <w:r>
              <w:rPr>
                <w:spacing w:val="-2"/>
                <w:sz w:val="22"/>
              </w:rPr>
              <w:t> </w:t>
            </w:r>
            <w:r>
              <w:rPr>
                <w:sz w:val="22"/>
              </w:rPr>
              <w:t>no</w:t>
            </w:r>
            <w:r>
              <w:rPr>
                <w:spacing w:val="-2"/>
                <w:sz w:val="22"/>
              </w:rPr>
              <w:t> </w:t>
            </w:r>
            <w:r>
              <w:rPr>
                <w:sz w:val="22"/>
              </w:rPr>
              <w:t>sujeto</w:t>
            </w:r>
            <w:r>
              <w:rPr>
                <w:spacing w:val="-1"/>
                <w:sz w:val="22"/>
              </w:rPr>
              <w:t> </w:t>
            </w:r>
            <w:r>
              <w:rPr>
                <w:sz w:val="22"/>
              </w:rPr>
              <w:t>entonces</w:t>
            </w:r>
            <w:r>
              <w:rPr>
                <w:spacing w:val="-3"/>
                <w:sz w:val="22"/>
              </w:rPr>
              <w:t> </w:t>
            </w:r>
            <w:r>
              <w:rPr>
                <w:spacing w:val="-10"/>
                <w:sz w:val="22"/>
              </w:rPr>
              <w:t>a</w:t>
            </w:r>
          </w:p>
          <w:p>
            <w:pPr>
              <w:pStyle w:val="TableParagraph"/>
              <w:spacing w:line="249" w:lineRule="exact"/>
              <w:ind w:left="107"/>
              <w:jc w:val="both"/>
              <w:rPr>
                <w:sz w:val="22"/>
              </w:rPr>
            </w:pPr>
            <w:r>
              <w:rPr>
                <w:sz w:val="22"/>
              </w:rPr>
              <w:t>riesgo</w:t>
            </w:r>
            <w:r>
              <w:rPr>
                <w:spacing w:val="-1"/>
                <w:sz w:val="22"/>
              </w:rPr>
              <w:t> </w:t>
            </w:r>
            <w:r>
              <w:rPr>
                <w:sz w:val="22"/>
              </w:rPr>
              <w:t>de</w:t>
            </w:r>
            <w:r>
              <w:rPr>
                <w:spacing w:val="-3"/>
                <w:sz w:val="22"/>
              </w:rPr>
              <w:t> </w:t>
            </w:r>
            <w:r>
              <w:rPr>
                <w:sz w:val="22"/>
              </w:rPr>
              <w:t>tasa</w:t>
            </w:r>
            <w:r>
              <w:rPr>
                <w:spacing w:val="-2"/>
                <w:sz w:val="22"/>
              </w:rPr>
              <w:t> </w:t>
            </w:r>
            <w:r>
              <w:rPr>
                <w:sz w:val="22"/>
              </w:rPr>
              <w:t>de</w:t>
            </w:r>
            <w:r>
              <w:rPr>
                <w:spacing w:val="-3"/>
                <w:sz w:val="22"/>
              </w:rPr>
              <w:t> </w:t>
            </w:r>
            <w:r>
              <w:rPr>
                <w:spacing w:val="-2"/>
                <w:sz w:val="22"/>
              </w:rPr>
              <w:t>interés.</w:t>
            </w:r>
          </w:p>
        </w:tc>
        <w:tc>
          <w:tcPr>
            <w:tcW w:w="1274" w:type="dxa"/>
          </w:tcPr>
          <w:p>
            <w:pPr>
              <w:pStyle w:val="TableParagraph"/>
              <w:ind w:left="105"/>
              <w:rPr>
                <w:sz w:val="22"/>
              </w:rPr>
            </w:pPr>
            <w:r>
              <w:rPr>
                <w:spacing w:val="-2"/>
                <w:sz w:val="22"/>
              </w:rPr>
              <w:t>Aplica</w:t>
            </w:r>
          </w:p>
        </w:tc>
      </w:tr>
      <w:tr>
        <w:trPr>
          <w:trHeight w:val="1624" w:hRule="atLeast"/>
        </w:trPr>
        <w:tc>
          <w:tcPr>
            <w:tcW w:w="1717" w:type="dxa"/>
          </w:tcPr>
          <w:p>
            <w:pPr>
              <w:pStyle w:val="TableParagraph"/>
              <w:spacing w:line="259" w:lineRule="auto"/>
              <w:ind w:left="107" w:right="95"/>
              <w:rPr>
                <w:sz w:val="22"/>
              </w:rPr>
            </w:pPr>
            <w:r>
              <w:rPr>
                <w:spacing w:val="-2"/>
                <w:sz w:val="22"/>
              </w:rPr>
              <w:t>Transferencias </w:t>
            </w:r>
            <w:r>
              <w:rPr>
                <w:sz w:val="22"/>
              </w:rPr>
              <w:t>por pagar</w:t>
            </w:r>
          </w:p>
        </w:tc>
        <w:tc>
          <w:tcPr>
            <w:tcW w:w="1534" w:type="dxa"/>
          </w:tcPr>
          <w:p>
            <w:pPr>
              <w:pStyle w:val="TableParagraph"/>
              <w:ind w:left="160"/>
              <w:rPr>
                <w:sz w:val="22"/>
              </w:rPr>
            </w:pPr>
            <w:r>
              <w:rPr>
                <w:spacing w:val="-2"/>
                <w:sz w:val="22"/>
              </w:rPr>
              <w:t>Aplica</w:t>
            </w:r>
          </w:p>
        </w:tc>
        <w:tc>
          <w:tcPr>
            <w:tcW w:w="3977" w:type="dxa"/>
          </w:tcPr>
          <w:p>
            <w:pPr>
              <w:pStyle w:val="TableParagraph"/>
              <w:ind w:left="107"/>
              <w:rPr>
                <w:sz w:val="22"/>
              </w:rPr>
            </w:pPr>
            <w:r>
              <w:rPr>
                <w:sz w:val="22"/>
              </w:rPr>
              <w:t>No</w:t>
            </w:r>
            <w:r>
              <w:rPr>
                <w:spacing w:val="-5"/>
                <w:sz w:val="22"/>
              </w:rPr>
              <w:t> </w:t>
            </w:r>
            <w:r>
              <w:rPr>
                <w:sz w:val="22"/>
              </w:rPr>
              <w:t>aplica</w:t>
            </w:r>
            <w:r>
              <w:rPr>
                <w:spacing w:val="-4"/>
                <w:sz w:val="22"/>
              </w:rPr>
              <w:t> </w:t>
            </w:r>
            <w:r>
              <w:rPr>
                <w:spacing w:val="-2"/>
                <w:sz w:val="22"/>
              </w:rPr>
              <w:t>porque:</w:t>
            </w:r>
          </w:p>
          <w:p>
            <w:pPr>
              <w:pStyle w:val="TableParagraph"/>
              <w:spacing w:line="259" w:lineRule="auto" w:before="20"/>
              <w:ind w:left="107"/>
              <w:rPr>
                <w:sz w:val="22"/>
              </w:rPr>
            </w:pPr>
            <w:r>
              <w:rPr>
                <w:sz w:val="22"/>
              </w:rPr>
              <w:t>Porque</w:t>
            </w:r>
            <w:r>
              <w:rPr>
                <w:spacing w:val="40"/>
                <w:sz w:val="22"/>
              </w:rPr>
              <w:t> </w:t>
            </w:r>
            <w:r>
              <w:rPr>
                <w:sz w:val="22"/>
              </w:rPr>
              <w:t>son</w:t>
            </w:r>
            <w:r>
              <w:rPr>
                <w:spacing w:val="80"/>
                <w:sz w:val="22"/>
              </w:rPr>
              <w:t> </w:t>
            </w:r>
            <w:r>
              <w:rPr>
                <w:sz w:val="22"/>
              </w:rPr>
              <w:t>registradas</w:t>
            </w:r>
            <w:r>
              <w:rPr>
                <w:spacing w:val="80"/>
                <w:sz w:val="22"/>
              </w:rPr>
              <w:t> </w:t>
            </w:r>
            <w:r>
              <w:rPr>
                <w:sz w:val="22"/>
              </w:rPr>
              <w:t>en</w:t>
            </w:r>
            <w:r>
              <w:rPr>
                <w:spacing w:val="80"/>
                <w:sz w:val="22"/>
              </w:rPr>
              <w:t> </w:t>
            </w:r>
            <w:r>
              <w:rPr>
                <w:sz w:val="22"/>
              </w:rPr>
              <w:t>colones,</w:t>
            </w:r>
            <w:r>
              <w:rPr>
                <w:spacing w:val="80"/>
                <w:sz w:val="22"/>
              </w:rPr>
              <w:t> </w:t>
            </w:r>
            <w:r>
              <w:rPr>
                <w:sz w:val="22"/>
              </w:rPr>
              <w:t>no sujetas al riesgo de tasa cambio.</w:t>
            </w:r>
          </w:p>
          <w:p>
            <w:pPr>
              <w:pStyle w:val="TableParagraph"/>
              <w:rPr>
                <w:sz w:val="22"/>
              </w:rPr>
            </w:pPr>
          </w:p>
          <w:p>
            <w:pPr>
              <w:pStyle w:val="TableParagraph"/>
              <w:spacing w:line="270" w:lineRule="atLeast" w:before="1"/>
              <w:ind w:left="107"/>
              <w:rPr>
                <w:sz w:val="22"/>
              </w:rPr>
            </w:pPr>
            <w:r>
              <w:rPr>
                <w:sz w:val="22"/>
              </w:rPr>
              <w:t>Según la naturaleza de las cuentas no están sujetas a riesgo de tasa de interés.</w:t>
            </w:r>
          </w:p>
        </w:tc>
        <w:tc>
          <w:tcPr>
            <w:tcW w:w="1274" w:type="dxa"/>
          </w:tcPr>
          <w:p>
            <w:pPr>
              <w:pStyle w:val="TableParagraph"/>
              <w:ind w:left="105"/>
              <w:rPr>
                <w:sz w:val="22"/>
              </w:rPr>
            </w:pPr>
            <w:r>
              <w:rPr>
                <w:spacing w:val="-2"/>
                <w:sz w:val="22"/>
              </w:rPr>
              <w:t>Aplica</w:t>
            </w:r>
          </w:p>
        </w:tc>
      </w:tr>
    </w:tbl>
    <w:p>
      <w:pPr>
        <w:pStyle w:val="BodyText"/>
        <w:spacing w:before="22"/>
      </w:pPr>
    </w:p>
    <w:p>
      <w:pPr>
        <w:pStyle w:val="BodyText"/>
        <w:ind w:left="730"/>
        <w:jc w:val="both"/>
      </w:pPr>
      <w:r>
        <w:rPr/>
        <w:t>El</w:t>
      </w:r>
      <w:r>
        <w:rPr>
          <w:spacing w:val="-3"/>
        </w:rPr>
        <w:t> </w:t>
      </w:r>
      <w:r>
        <w:rPr/>
        <w:t>IMAS</w:t>
      </w:r>
      <w:r>
        <w:rPr>
          <w:spacing w:val="-1"/>
        </w:rPr>
        <w:t> </w:t>
      </w:r>
      <w:r>
        <w:rPr/>
        <w:t>NO</w:t>
      </w:r>
      <w:r>
        <w:rPr>
          <w:spacing w:val="-3"/>
        </w:rPr>
        <w:t> </w:t>
      </w:r>
      <w:r>
        <w:rPr/>
        <w:t>cuenta</w:t>
      </w:r>
      <w:r>
        <w:rPr>
          <w:spacing w:val="-2"/>
        </w:rPr>
        <w:t> </w:t>
      </w:r>
      <w:r>
        <w:rPr/>
        <w:t>con</w:t>
      </w:r>
      <w:r>
        <w:rPr>
          <w:spacing w:val="-4"/>
        </w:rPr>
        <w:t> </w:t>
      </w:r>
      <w:r>
        <w:rPr>
          <w:spacing w:val="-2"/>
        </w:rPr>
        <w:t>financiamientos.</w:t>
      </w:r>
    </w:p>
    <w:p>
      <w:pPr>
        <w:pStyle w:val="BodyText"/>
        <w:spacing w:line="259" w:lineRule="auto" w:before="181"/>
        <w:ind w:left="730" w:right="485"/>
        <w:jc w:val="both"/>
      </w:pPr>
      <w:r>
        <w:rPr/>
        <w:t>En</w:t>
      </w:r>
      <w:r>
        <w:rPr>
          <w:spacing w:val="-7"/>
        </w:rPr>
        <w:t> </w:t>
      </w:r>
      <w:r>
        <w:rPr/>
        <w:t>atención</w:t>
      </w:r>
      <w:r>
        <w:rPr>
          <w:spacing w:val="-7"/>
        </w:rPr>
        <w:t> </w:t>
      </w:r>
      <w:r>
        <w:rPr/>
        <w:t>a</w:t>
      </w:r>
      <w:r>
        <w:rPr>
          <w:spacing w:val="-8"/>
        </w:rPr>
        <w:t> </w:t>
      </w:r>
      <w:r>
        <w:rPr/>
        <w:t>solicitud</w:t>
      </w:r>
      <w:r>
        <w:rPr>
          <w:spacing w:val="-7"/>
        </w:rPr>
        <w:t> </w:t>
      </w:r>
      <w:r>
        <w:rPr/>
        <w:t>de</w:t>
      </w:r>
      <w:r>
        <w:rPr>
          <w:spacing w:val="-9"/>
        </w:rPr>
        <w:t> </w:t>
      </w:r>
      <w:r>
        <w:rPr/>
        <w:t>información</w:t>
      </w:r>
      <w:r>
        <w:rPr>
          <w:spacing w:val="-7"/>
        </w:rPr>
        <w:t> </w:t>
      </w:r>
      <w:r>
        <w:rPr/>
        <w:t>para</w:t>
      </w:r>
      <w:r>
        <w:rPr>
          <w:spacing w:val="-8"/>
        </w:rPr>
        <w:t> </w:t>
      </w:r>
      <w:r>
        <w:rPr/>
        <w:t>revelar</w:t>
      </w:r>
      <w:r>
        <w:rPr>
          <w:spacing w:val="-7"/>
        </w:rPr>
        <w:t> </w:t>
      </w:r>
      <w:r>
        <w:rPr/>
        <w:t>en</w:t>
      </w:r>
      <w:r>
        <w:rPr>
          <w:spacing w:val="-7"/>
        </w:rPr>
        <w:t> </w:t>
      </w:r>
      <w:r>
        <w:rPr/>
        <w:t>los</w:t>
      </w:r>
      <w:r>
        <w:rPr>
          <w:spacing w:val="-6"/>
        </w:rPr>
        <w:t> </w:t>
      </w:r>
      <w:r>
        <w:rPr/>
        <w:t>Estados</w:t>
      </w:r>
      <w:r>
        <w:rPr>
          <w:spacing w:val="-6"/>
        </w:rPr>
        <w:t> </w:t>
      </w:r>
      <w:r>
        <w:rPr/>
        <w:t>Financieros,</w:t>
      </w:r>
      <w:r>
        <w:rPr>
          <w:spacing w:val="-7"/>
        </w:rPr>
        <w:t> </w:t>
      </w:r>
      <w:r>
        <w:rPr/>
        <w:t>establecida</w:t>
      </w:r>
      <w:r>
        <w:rPr>
          <w:spacing w:val="-8"/>
        </w:rPr>
        <w:t> </w:t>
      </w:r>
      <w:r>
        <w:rPr/>
        <w:t>en</w:t>
      </w:r>
      <w:r>
        <w:rPr>
          <w:spacing w:val="-4"/>
        </w:rPr>
        <w:t> </w:t>
      </w:r>
      <w:r>
        <w:rPr/>
        <w:t>la</w:t>
      </w:r>
      <w:r>
        <w:rPr>
          <w:spacing w:val="-8"/>
        </w:rPr>
        <w:t> </w:t>
      </w:r>
      <w:r>
        <w:rPr/>
        <w:t>NICSP</w:t>
      </w:r>
      <w:r>
        <w:rPr>
          <w:spacing w:val="-8"/>
        </w:rPr>
        <w:t> </w:t>
      </w:r>
      <w:r>
        <w:rPr/>
        <w:t>30 Instrumentos</w:t>
      </w:r>
      <w:r>
        <w:rPr>
          <w:spacing w:val="-14"/>
        </w:rPr>
        <w:t> </w:t>
      </w:r>
      <w:r>
        <w:rPr/>
        <w:t>Financieros,</w:t>
      </w:r>
      <w:r>
        <w:rPr>
          <w:spacing w:val="-14"/>
        </w:rPr>
        <w:t> </w:t>
      </w:r>
      <w:r>
        <w:rPr/>
        <w:t>Información</w:t>
      </w:r>
      <w:r>
        <w:rPr>
          <w:spacing w:val="-14"/>
        </w:rPr>
        <w:t> </w:t>
      </w:r>
      <w:r>
        <w:rPr/>
        <w:t>a</w:t>
      </w:r>
      <w:r>
        <w:rPr>
          <w:spacing w:val="-13"/>
        </w:rPr>
        <w:t> </w:t>
      </w:r>
      <w:r>
        <w:rPr/>
        <w:t>Revelar,</w:t>
      </w:r>
      <w:r>
        <w:rPr>
          <w:spacing w:val="-14"/>
        </w:rPr>
        <w:t> </w:t>
      </w:r>
      <w:r>
        <w:rPr/>
        <w:t>clasificados</w:t>
      </w:r>
      <w:r>
        <w:rPr>
          <w:spacing w:val="-14"/>
        </w:rPr>
        <w:t> </w:t>
      </w:r>
      <w:r>
        <w:rPr/>
        <w:t>en</w:t>
      </w:r>
      <w:r>
        <w:rPr>
          <w:spacing w:val="-14"/>
        </w:rPr>
        <w:t> </w:t>
      </w:r>
      <w:r>
        <w:rPr/>
        <w:t>las</w:t>
      </w:r>
      <w:r>
        <w:rPr>
          <w:spacing w:val="-13"/>
        </w:rPr>
        <w:t> </w:t>
      </w:r>
      <w:r>
        <w:rPr/>
        <w:t>cuentas</w:t>
      </w:r>
      <w:r>
        <w:rPr>
          <w:spacing w:val="-14"/>
        </w:rPr>
        <w:t> </w:t>
      </w:r>
      <w:r>
        <w:rPr/>
        <w:t>por</w:t>
      </w:r>
      <w:r>
        <w:rPr>
          <w:spacing w:val="-14"/>
        </w:rPr>
        <w:t> </w:t>
      </w:r>
      <w:r>
        <w:rPr/>
        <w:t>cobrar,</w:t>
      </w:r>
      <w:r>
        <w:rPr>
          <w:spacing w:val="-14"/>
        </w:rPr>
        <w:t> </w:t>
      </w:r>
      <w:r>
        <w:rPr/>
        <w:t>me</w:t>
      </w:r>
      <w:r>
        <w:rPr>
          <w:spacing w:val="-13"/>
        </w:rPr>
        <w:t> </w:t>
      </w:r>
      <w:r>
        <w:rPr/>
        <w:t>permito</w:t>
      </w:r>
      <w:r>
        <w:rPr>
          <w:spacing w:val="-14"/>
        </w:rPr>
        <w:t> </w:t>
      </w:r>
      <w:r>
        <w:rPr/>
        <w:t>señalar que, para la Unidad de Administración Tributaria, en el manejo de dichas cuentas, tiene riesgo de crédito (liquidez) y riesgo de</w:t>
      </w:r>
      <w:r>
        <w:rPr>
          <w:spacing w:val="-1"/>
        </w:rPr>
        <w:t> </w:t>
      </w:r>
      <w:r>
        <w:rPr/>
        <w:t>mercado (cambio de</w:t>
      </w:r>
      <w:r>
        <w:rPr>
          <w:spacing w:val="-1"/>
        </w:rPr>
        <w:t> </w:t>
      </w:r>
      <w:r>
        <w:rPr/>
        <w:t>tasas de</w:t>
      </w:r>
      <w:r>
        <w:rPr>
          <w:spacing w:val="-1"/>
        </w:rPr>
        <w:t> </w:t>
      </w:r>
      <w:r>
        <w:rPr/>
        <w:t>interés), por cuanto existe la posibilidad de</w:t>
      </w:r>
      <w:r>
        <w:rPr>
          <w:spacing w:val="-1"/>
        </w:rPr>
        <w:t> </w:t>
      </w:r>
      <w:r>
        <w:rPr/>
        <w:t>que una de las partes, en este caso los obligados morosos, causen pérdida financiera en caso de incumplimiento de pago o se deteriore la cuenta por cobrar por variaciones significativas en las tasas de interés de mercado.</w:t>
      </w:r>
    </w:p>
    <w:p>
      <w:pPr>
        <w:pStyle w:val="BodyText"/>
        <w:spacing w:before="20"/>
      </w:pPr>
    </w:p>
    <w:p>
      <w:pPr>
        <w:pStyle w:val="BodyText"/>
        <w:ind w:left="730"/>
        <w:jc w:val="both"/>
      </w:pPr>
      <w:r>
        <w:rPr/>
        <w:t>Intereses</w:t>
      </w:r>
      <w:r>
        <w:rPr>
          <w:spacing w:val="-5"/>
        </w:rPr>
        <w:t> </w:t>
      </w:r>
      <w:r>
        <w:rPr/>
        <w:t>de</w:t>
      </w:r>
      <w:r>
        <w:rPr>
          <w:spacing w:val="-5"/>
        </w:rPr>
        <w:t> </w:t>
      </w:r>
      <w:r>
        <w:rPr/>
        <w:t>los</w:t>
      </w:r>
      <w:r>
        <w:rPr>
          <w:spacing w:val="-2"/>
        </w:rPr>
        <w:t> </w:t>
      </w:r>
      <w:r>
        <w:rPr/>
        <w:t>Documentos</w:t>
      </w:r>
      <w:r>
        <w:rPr>
          <w:spacing w:val="-2"/>
        </w:rPr>
        <w:t> </w:t>
      </w:r>
      <w:r>
        <w:rPr/>
        <w:t>y</w:t>
      </w:r>
      <w:r>
        <w:rPr>
          <w:spacing w:val="-4"/>
        </w:rPr>
        <w:t> </w:t>
      </w:r>
      <w:r>
        <w:rPr/>
        <w:t>Cuentas</w:t>
      </w:r>
      <w:r>
        <w:rPr>
          <w:spacing w:val="-3"/>
        </w:rPr>
        <w:t> </w:t>
      </w:r>
      <w:r>
        <w:rPr/>
        <w:t>por</w:t>
      </w:r>
      <w:r>
        <w:rPr>
          <w:spacing w:val="-3"/>
        </w:rPr>
        <w:t> </w:t>
      </w:r>
      <w:r>
        <w:rPr/>
        <w:t>Cobrar</w:t>
      </w:r>
      <w:r>
        <w:rPr>
          <w:spacing w:val="-6"/>
        </w:rPr>
        <w:t> </w:t>
      </w:r>
      <w:r>
        <w:rPr/>
        <w:t>Otros</w:t>
      </w:r>
      <w:r>
        <w:rPr>
          <w:spacing w:val="-5"/>
        </w:rPr>
        <w:t> </w:t>
      </w:r>
      <w:r>
        <w:rPr/>
        <w:t>se</w:t>
      </w:r>
      <w:r>
        <w:rPr>
          <w:spacing w:val="-4"/>
        </w:rPr>
        <w:t> </w:t>
      </w:r>
      <w:r>
        <w:rPr/>
        <w:t>calculan</w:t>
      </w:r>
      <w:r>
        <w:rPr>
          <w:spacing w:val="-3"/>
        </w:rPr>
        <w:t> </w:t>
      </w:r>
      <w:r>
        <w:rPr/>
        <w:t>como</w:t>
      </w:r>
      <w:r>
        <w:rPr>
          <w:spacing w:val="-3"/>
        </w:rPr>
        <w:t> </w:t>
      </w:r>
      <w:r>
        <w:rPr>
          <w:spacing w:val="-2"/>
        </w:rPr>
        <w:t>sigue:</w:t>
      </w:r>
    </w:p>
    <w:p>
      <w:pPr>
        <w:pStyle w:val="BodyText"/>
        <w:spacing w:line="259" w:lineRule="auto" w:before="18"/>
        <w:ind w:left="730" w:right="492"/>
        <w:jc w:val="both"/>
      </w:pPr>
      <w:r>
        <w:rPr/>
        <w:t>Las tasas de interés utilizadas son anuales, calculadas sobre saldos y fijas durante toda la vigencia de la </w:t>
      </w:r>
      <w:r>
        <w:rPr>
          <w:spacing w:val="-2"/>
        </w:rPr>
        <w:t>operación.</w:t>
      </w:r>
    </w:p>
    <w:p>
      <w:pPr>
        <w:pStyle w:val="BodyText"/>
        <w:spacing w:before="20"/>
      </w:pPr>
    </w:p>
    <w:p>
      <w:pPr>
        <w:pStyle w:val="BodyText"/>
        <w:ind w:left="730"/>
        <w:jc w:val="both"/>
      </w:pPr>
      <w:r>
        <w:rPr/>
        <w:t>Normativa</w:t>
      </w:r>
      <w:r>
        <w:rPr>
          <w:spacing w:val="-3"/>
        </w:rPr>
        <w:t> </w:t>
      </w:r>
      <w:r>
        <w:rPr/>
        <w:t>de</w:t>
      </w:r>
      <w:r>
        <w:rPr>
          <w:spacing w:val="-3"/>
        </w:rPr>
        <w:t> </w:t>
      </w:r>
      <w:r>
        <w:rPr>
          <w:spacing w:val="-2"/>
        </w:rPr>
        <w:t>respaldo:</w:t>
      </w:r>
    </w:p>
    <w:p>
      <w:pPr>
        <w:pStyle w:val="BodyText"/>
        <w:spacing w:line="259" w:lineRule="auto" w:before="20"/>
        <w:ind w:left="730" w:right="490"/>
        <w:jc w:val="both"/>
      </w:pPr>
      <w:r>
        <w:rPr/>
        <w:t>El Reglamento para La Gestión Administrativa y Judicial de las Cuentas por Cobrar del IMAS, cita en su artículo 29 incisos b y c:</w:t>
      </w:r>
    </w:p>
    <w:p>
      <w:pPr>
        <w:pStyle w:val="ListParagraph"/>
        <w:numPr>
          <w:ilvl w:val="0"/>
          <w:numId w:val="100"/>
        </w:numPr>
        <w:tabs>
          <w:tab w:pos="967" w:val="left" w:leader="none"/>
        </w:tabs>
        <w:spacing w:line="259" w:lineRule="auto" w:before="0" w:after="0"/>
        <w:ind w:left="730" w:right="487" w:firstLine="0"/>
        <w:jc w:val="both"/>
        <w:rPr>
          <w:sz w:val="22"/>
        </w:rPr>
      </w:pPr>
      <w:r>
        <w:rPr>
          <w:sz w:val="22"/>
        </w:rPr>
        <w:t>Deudas no tributarias con excepción de la población beneficiaria: la tasa de interés será el interés legal definido en el artículo 1163 del Código Civil (Cuando la tasa de interés no hubiere sido fijada por los contratantes,</w:t>
      </w:r>
      <w:r>
        <w:rPr>
          <w:spacing w:val="-1"/>
          <w:sz w:val="22"/>
        </w:rPr>
        <w:t> </w:t>
      </w:r>
      <w:r>
        <w:rPr>
          <w:sz w:val="22"/>
        </w:rPr>
        <w:t>la</w:t>
      </w:r>
      <w:r>
        <w:rPr>
          <w:spacing w:val="-2"/>
          <w:sz w:val="22"/>
        </w:rPr>
        <w:t> </w:t>
      </w:r>
      <w:r>
        <w:rPr>
          <w:sz w:val="22"/>
        </w:rPr>
        <w:t>obligación</w:t>
      </w:r>
      <w:r>
        <w:rPr>
          <w:spacing w:val="-1"/>
          <w:sz w:val="22"/>
        </w:rPr>
        <w:t> </w:t>
      </w:r>
      <w:r>
        <w:rPr>
          <w:sz w:val="22"/>
        </w:rPr>
        <w:t>devengará</w:t>
      </w:r>
      <w:r>
        <w:rPr>
          <w:spacing w:val="-2"/>
          <w:sz w:val="22"/>
        </w:rPr>
        <w:t> </w:t>
      </w:r>
      <w:r>
        <w:rPr>
          <w:sz w:val="22"/>
        </w:rPr>
        <w:t>el interés legal,</w:t>
      </w:r>
      <w:r>
        <w:rPr>
          <w:spacing w:val="-1"/>
          <w:sz w:val="22"/>
        </w:rPr>
        <w:t> </w:t>
      </w:r>
      <w:r>
        <w:rPr>
          <w:sz w:val="22"/>
        </w:rPr>
        <w:t>que</w:t>
      </w:r>
      <w:r>
        <w:rPr>
          <w:spacing w:val="-3"/>
          <w:sz w:val="22"/>
        </w:rPr>
        <w:t> </w:t>
      </w:r>
      <w:r>
        <w:rPr>
          <w:sz w:val="22"/>
        </w:rPr>
        <w:t>es igual</w:t>
      </w:r>
      <w:r>
        <w:rPr>
          <w:spacing w:val="-1"/>
          <w:sz w:val="22"/>
        </w:rPr>
        <w:t> </w:t>
      </w:r>
      <w:r>
        <w:rPr>
          <w:sz w:val="22"/>
        </w:rPr>
        <w:t>al</w:t>
      </w:r>
      <w:r>
        <w:rPr>
          <w:spacing w:val="-1"/>
          <w:sz w:val="22"/>
        </w:rPr>
        <w:t> </w:t>
      </w:r>
      <w:r>
        <w:rPr>
          <w:sz w:val="22"/>
        </w:rPr>
        <w:t>que</w:t>
      </w:r>
      <w:r>
        <w:rPr>
          <w:spacing w:val="-2"/>
          <w:sz w:val="22"/>
        </w:rPr>
        <w:t> </w:t>
      </w:r>
      <w:r>
        <w:rPr>
          <w:sz w:val="22"/>
        </w:rPr>
        <w:t>pague el</w:t>
      </w:r>
      <w:r>
        <w:rPr>
          <w:spacing w:val="-1"/>
          <w:sz w:val="22"/>
        </w:rPr>
        <w:t> </w:t>
      </w:r>
      <w:r>
        <w:rPr>
          <w:sz w:val="22"/>
        </w:rPr>
        <w:t>Banco</w:t>
      </w:r>
      <w:r>
        <w:rPr>
          <w:spacing w:val="-1"/>
          <w:sz w:val="22"/>
        </w:rPr>
        <w:t> </w:t>
      </w:r>
      <w:r>
        <w:rPr>
          <w:sz w:val="22"/>
        </w:rPr>
        <w:t>Nacional</w:t>
      </w:r>
      <w:r>
        <w:rPr>
          <w:spacing w:val="-2"/>
          <w:sz w:val="22"/>
        </w:rPr>
        <w:t> </w:t>
      </w:r>
      <w:r>
        <w:rPr>
          <w:sz w:val="22"/>
        </w:rPr>
        <w:t>de</w:t>
      </w:r>
      <w:r>
        <w:rPr>
          <w:spacing w:val="-3"/>
          <w:sz w:val="22"/>
        </w:rPr>
        <w:t> </w:t>
      </w:r>
      <w:r>
        <w:rPr>
          <w:sz w:val="22"/>
        </w:rPr>
        <w:t>Costa</w:t>
      </w:r>
    </w:p>
    <w:p>
      <w:pPr>
        <w:pStyle w:val="ListParagraph"/>
        <w:spacing w:after="0" w:line="259"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2032">
                <wp:simplePos x="0" y="0"/>
                <wp:positionH relativeFrom="page">
                  <wp:posOffset>9525</wp:posOffset>
                </wp:positionH>
                <wp:positionV relativeFrom="page">
                  <wp:posOffset>297208</wp:posOffset>
                </wp:positionV>
                <wp:extent cx="7762875" cy="9748520"/>
                <wp:effectExtent l="0" t="0" r="0" b="0"/>
                <wp:wrapNone/>
                <wp:docPr id="1209" name="Group 1209"/>
                <wp:cNvGraphicFramePr>
                  <a:graphicFrameLocks/>
                </wp:cNvGraphicFramePr>
                <a:graphic>
                  <a:graphicData uri="http://schemas.microsoft.com/office/word/2010/wordprocessingGroup">
                    <wpg:wgp>
                      <wpg:cNvPr id="1209" name="Group 1209"/>
                      <wpg:cNvGrpSpPr/>
                      <wpg:grpSpPr>
                        <a:xfrm>
                          <a:off x="0" y="0"/>
                          <a:ext cx="7762875" cy="9748520"/>
                          <a:chExt cx="7762875" cy="9748520"/>
                        </a:xfrm>
                      </wpg:grpSpPr>
                      <pic:pic>
                        <pic:nvPicPr>
                          <pic:cNvPr id="1210" name="Image 1210"/>
                          <pic:cNvPicPr/>
                        </pic:nvPicPr>
                        <pic:blipFill>
                          <a:blip r:embed="rId5" cstate="print"/>
                          <a:stretch>
                            <a:fillRect/>
                          </a:stretch>
                        </pic:blipFill>
                        <pic:spPr>
                          <a:xfrm>
                            <a:off x="0" y="0"/>
                            <a:ext cx="7762874" cy="9748489"/>
                          </a:xfrm>
                          <a:prstGeom prst="rect">
                            <a:avLst/>
                          </a:prstGeom>
                        </pic:spPr>
                      </pic:pic>
                      <wps:wsp>
                        <wps:cNvPr id="1211" name="Graphic 1211"/>
                        <wps:cNvSpPr/>
                        <wps:spPr>
                          <a:xfrm>
                            <a:off x="1053007" y="990837"/>
                            <a:ext cx="6013450" cy="7525384"/>
                          </a:xfrm>
                          <a:custGeom>
                            <a:avLst/>
                            <a:gdLst/>
                            <a:ahLst/>
                            <a:cxnLst/>
                            <a:rect l="l" t="t" r="r" b="b"/>
                            <a:pathLst>
                              <a:path w="6013450" h="7525384">
                                <a:moveTo>
                                  <a:pt x="5649214" y="0"/>
                                </a:moveTo>
                                <a:lnTo>
                                  <a:pt x="0" y="0"/>
                                </a:lnTo>
                                <a:lnTo>
                                  <a:pt x="0" y="9131"/>
                                </a:lnTo>
                                <a:lnTo>
                                  <a:pt x="5649214" y="9131"/>
                                </a:lnTo>
                                <a:lnTo>
                                  <a:pt x="5649214" y="0"/>
                                </a:lnTo>
                                <a:close/>
                              </a:path>
                              <a:path w="6013450" h="7525384">
                                <a:moveTo>
                                  <a:pt x="6013399" y="132651"/>
                                </a:moveTo>
                                <a:lnTo>
                                  <a:pt x="6007303" y="132651"/>
                                </a:lnTo>
                                <a:lnTo>
                                  <a:pt x="6007303" y="7518844"/>
                                </a:lnTo>
                                <a:lnTo>
                                  <a:pt x="21336" y="7518844"/>
                                </a:lnTo>
                                <a:lnTo>
                                  <a:pt x="21336" y="132651"/>
                                </a:lnTo>
                                <a:lnTo>
                                  <a:pt x="15240" y="132651"/>
                                </a:lnTo>
                                <a:lnTo>
                                  <a:pt x="15240" y="7518844"/>
                                </a:lnTo>
                                <a:lnTo>
                                  <a:pt x="15240" y="7524940"/>
                                </a:lnTo>
                                <a:lnTo>
                                  <a:pt x="21336" y="7524940"/>
                                </a:lnTo>
                                <a:lnTo>
                                  <a:pt x="6007303" y="7524940"/>
                                </a:lnTo>
                                <a:lnTo>
                                  <a:pt x="6013399" y="7524940"/>
                                </a:lnTo>
                                <a:lnTo>
                                  <a:pt x="6013399" y="7518844"/>
                                </a:lnTo>
                                <a:lnTo>
                                  <a:pt x="6013399" y="132651"/>
                                </a:lnTo>
                                <a:close/>
                              </a:path>
                              <a:path w="6013450" h="7525384">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4448" id="docshapegroup1153" coordorigin="15,468" coordsize="12225,15352">
                <v:shape style="position:absolute;left:15;top:468;width:12225;height:15352" type="#_x0000_t75" id="docshape1154" stroked="false">
                  <v:imagedata r:id="rId5" o:title=""/>
                </v:shape>
                <v:shape style="position:absolute;left:1673;top:2028;width:9470;height:11851" id="docshape1155" coordorigin="1673,2028" coordsize="9470,11851" path="m10570,2028l1673,2028,1673,2043,10570,2043,10570,2028xm11143,2237l11134,2237,11134,13869,1707,13869,1707,2237,1697,2237,1697,13869,1697,13879,1707,13879,11134,13879,11134,13879,11143,13879,11143,13869,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236</w:t>
      </w:r>
    </w:p>
    <w:p>
      <w:pPr>
        <w:pStyle w:val="BodyText"/>
        <w:spacing w:line="259" w:lineRule="auto" w:before="227"/>
        <w:ind w:left="730" w:right="489"/>
        <w:jc w:val="both"/>
      </w:pPr>
      <w:r>
        <w:rPr/>
        <w:t>Rica por</w:t>
      </w:r>
      <w:r>
        <w:rPr>
          <w:spacing w:val="-1"/>
        </w:rPr>
        <w:t> </w:t>
      </w:r>
      <w:r>
        <w:rPr/>
        <w:t>los certificados de</w:t>
      </w:r>
      <w:r>
        <w:rPr>
          <w:spacing w:val="-3"/>
        </w:rPr>
        <w:t> </w:t>
      </w:r>
      <w:r>
        <w:rPr/>
        <w:t>depósito</w:t>
      </w:r>
      <w:r>
        <w:rPr>
          <w:spacing w:val="-1"/>
        </w:rPr>
        <w:t> </w:t>
      </w:r>
      <w:r>
        <w:rPr/>
        <w:t>a</w:t>
      </w:r>
      <w:r>
        <w:rPr>
          <w:spacing w:val="-2"/>
        </w:rPr>
        <w:t> </w:t>
      </w:r>
      <w:r>
        <w:rPr/>
        <w:t>seis</w:t>
      </w:r>
      <w:r>
        <w:rPr>
          <w:spacing w:val="-1"/>
        </w:rPr>
        <w:t> </w:t>
      </w:r>
      <w:r>
        <w:rPr/>
        <w:t>meses plazo,</w:t>
      </w:r>
      <w:r>
        <w:rPr>
          <w:spacing w:val="-1"/>
        </w:rPr>
        <w:t> </w:t>
      </w:r>
      <w:r>
        <w:rPr/>
        <w:t>para la</w:t>
      </w:r>
      <w:r>
        <w:rPr>
          <w:spacing w:val="-3"/>
        </w:rPr>
        <w:t> </w:t>
      </w:r>
      <w:r>
        <w:rPr/>
        <w:t>moneda de</w:t>
      </w:r>
      <w:r>
        <w:rPr>
          <w:spacing w:val="-3"/>
        </w:rPr>
        <w:t> </w:t>
      </w:r>
      <w:r>
        <w:rPr/>
        <w:t>que</w:t>
      </w:r>
      <w:r>
        <w:rPr>
          <w:spacing w:val="-3"/>
        </w:rPr>
        <w:t> </w:t>
      </w:r>
      <w:r>
        <w:rPr/>
        <w:t>se trate), cuando</w:t>
      </w:r>
      <w:r>
        <w:rPr>
          <w:spacing w:val="-1"/>
        </w:rPr>
        <w:t> </w:t>
      </w:r>
      <w:r>
        <w:rPr/>
        <w:t>la misma no se haya definido previamente mediante acuerdo de las partes.</w:t>
      </w:r>
    </w:p>
    <w:p>
      <w:pPr>
        <w:pStyle w:val="BodyText"/>
        <w:spacing w:before="21"/>
      </w:pPr>
    </w:p>
    <w:p>
      <w:pPr>
        <w:pStyle w:val="BodyText"/>
        <w:spacing w:line="259" w:lineRule="auto"/>
        <w:ind w:left="730" w:right="490"/>
        <w:jc w:val="both"/>
      </w:pPr>
      <w:r>
        <w:rPr/>
        <w:t>A</w:t>
      </w:r>
      <w:r>
        <w:rPr>
          <w:spacing w:val="-7"/>
        </w:rPr>
        <w:t> </w:t>
      </w:r>
      <w:r>
        <w:rPr/>
        <w:t>efectos</w:t>
      </w:r>
      <w:r>
        <w:rPr>
          <w:spacing w:val="-6"/>
        </w:rPr>
        <w:t> </w:t>
      </w:r>
      <w:r>
        <w:rPr/>
        <w:t>de</w:t>
      </w:r>
      <w:r>
        <w:rPr>
          <w:spacing w:val="-9"/>
        </w:rPr>
        <w:t> </w:t>
      </w:r>
      <w:r>
        <w:rPr/>
        <w:t>revelar</w:t>
      </w:r>
      <w:r>
        <w:rPr>
          <w:spacing w:val="-7"/>
        </w:rPr>
        <w:t> </w:t>
      </w:r>
      <w:r>
        <w:rPr/>
        <w:t>algún</w:t>
      </w:r>
      <w:r>
        <w:rPr>
          <w:spacing w:val="-7"/>
        </w:rPr>
        <w:t> </w:t>
      </w:r>
      <w:r>
        <w:rPr/>
        <w:t>cambio,</w:t>
      </w:r>
      <w:r>
        <w:rPr>
          <w:spacing w:val="-9"/>
        </w:rPr>
        <w:t> </w:t>
      </w:r>
      <w:r>
        <w:rPr/>
        <w:t>consideramos</w:t>
      </w:r>
      <w:r>
        <w:rPr>
          <w:spacing w:val="-9"/>
        </w:rPr>
        <w:t> </w:t>
      </w:r>
      <w:r>
        <w:rPr/>
        <w:t>que</w:t>
      </w:r>
      <w:r>
        <w:rPr>
          <w:spacing w:val="-8"/>
        </w:rPr>
        <w:t> </w:t>
      </w:r>
      <w:r>
        <w:rPr/>
        <w:t>para</w:t>
      </w:r>
      <w:r>
        <w:rPr>
          <w:spacing w:val="-8"/>
        </w:rPr>
        <w:t> </w:t>
      </w:r>
      <w:r>
        <w:rPr/>
        <w:t>el</w:t>
      </w:r>
      <w:r>
        <w:rPr>
          <w:spacing w:val="-8"/>
        </w:rPr>
        <w:t> </w:t>
      </w:r>
      <w:r>
        <w:rPr/>
        <w:t>caso</w:t>
      </w:r>
      <w:r>
        <w:rPr>
          <w:spacing w:val="-6"/>
        </w:rPr>
        <w:t> </w:t>
      </w:r>
      <w:r>
        <w:rPr/>
        <w:t>del</w:t>
      </w:r>
      <w:r>
        <w:rPr>
          <w:spacing w:val="-8"/>
        </w:rPr>
        <w:t> </w:t>
      </w:r>
      <w:r>
        <w:rPr/>
        <w:t>riesgo</w:t>
      </w:r>
      <w:r>
        <w:rPr>
          <w:spacing w:val="-8"/>
        </w:rPr>
        <w:t> </w:t>
      </w:r>
      <w:r>
        <w:rPr/>
        <w:t>de</w:t>
      </w:r>
      <w:r>
        <w:rPr>
          <w:spacing w:val="-9"/>
        </w:rPr>
        <w:t> </w:t>
      </w:r>
      <w:r>
        <w:rPr/>
        <w:t>mercado</w:t>
      </w:r>
      <w:r>
        <w:rPr>
          <w:spacing w:val="-7"/>
        </w:rPr>
        <w:t> </w:t>
      </w:r>
      <w:r>
        <w:rPr/>
        <w:t>las</w:t>
      </w:r>
      <w:r>
        <w:rPr>
          <w:spacing w:val="-9"/>
        </w:rPr>
        <w:t> </w:t>
      </w:r>
      <w:r>
        <w:rPr/>
        <w:t>tasas</w:t>
      </w:r>
      <w:r>
        <w:rPr>
          <w:spacing w:val="-6"/>
        </w:rPr>
        <w:t> </w:t>
      </w:r>
      <w:r>
        <w:rPr/>
        <w:t>de</w:t>
      </w:r>
      <w:r>
        <w:rPr>
          <w:spacing w:val="-9"/>
        </w:rPr>
        <w:t> </w:t>
      </w:r>
      <w:r>
        <w:rPr/>
        <w:t>interés se han mantenido relativamente estables por lo que consideramos que el riesgo se mantiene sin cambios.</w:t>
      </w:r>
    </w:p>
    <w:p>
      <w:pPr>
        <w:pStyle w:val="BodyText"/>
        <w:spacing w:before="18"/>
      </w:pPr>
    </w:p>
    <w:p>
      <w:pPr>
        <w:pStyle w:val="BodyText"/>
        <w:ind w:left="730"/>
        <w:jc w:val="both"/>
      </w:pPr>
      <w:r>
        <w:rPr/>
        <w:t>“Tasa</w:t>
      </w:r>
      <w:r>
        <w:rPr>
          <w:spacing w:val="-7"/>
        </w:rPr>
        <w:t> </w:t>
      </w:r>
      <w:r>
        <w:rPr/>
        <w:t>de</w:t>
      </w:r>
      <w:r>
        <w:rPr>
          <w:spacing w:val="-5"/>
        </w:rPr>
        <w:t> </w:t>
      </w:r>
      <w:r>
        <w:rPr/>
        <w:t>Política</w:t>
      </w:r>
      <w:r>
        <w:rPr>
          <w:spacing w:val="-4"/>
        </w:rPr>
        <w:t> </w:t>
      </w:r>
      <w:r>
        <w:rPr/>
        <w:t>Monetaria</w:t>
      </w:r>
      <w:r>
        <w:rPr>
          <w:spacing w:val="-6"/>
        </w:rPr>
        <w:t> </w:t>
      </w:r>
      <w:r>
        <w:rPr/>
        <w:t>(TPM)</w:t>
      </w:r>
      <w:r>
        <w:rPr>
          <w:spacing w:val="-3"/>
        </w:rPr>
        <w:t> </w:t>
      </w:r>
      <w:r>
        <w:rPr/>
        <w:t>en</w:t>
      </w:r>
      <w:r>
        <w:rPr>
          <w:spacing w:val="-4"/>
        </w:rPr>
        <w:t> </w:t>
      </w:r>
      <w:r>
        <w:rPr/>
        <w:t>el</w:t>
      </w:r>
      <w:r>
        <w:rPr>
          <w:spacing w:val="-3"/>
        </w:rPr>
        <w:t> </w:t>
      </w:r>
      <w:r>
        <w:rPr/>
        <w:t>segundo</w:t>
      </w:r>
      <w:r>
        <w:rPr>
          <w:spacing w:val="-3"/>
        </w:rPr>
        <w:t> </w:t>
      </w:r>
      <w:r>
        <w:rPr/>
        <w:t>trimestre</w:t>
      </w:r>
      <w:r>
        <w:rPr>
          <w:spacing w:val="-4"/>
        </w:rPr>
        <w:t> </w:t>
      </w:r>
      <w:r>
        <w:rPr/>
        <w:t>del</w:t>
      </w:r>
      <w:r>
        <w:rPr>
          <w:spacing w:val="-3"/>
        </w:rPr>
        <w:t> </w:t>
      </w:r>
      <w:r>
        <w:rPr>
          <w:spacing w:val="-2"/>
        </w:rPr>
        <w:t>2026:</w:t>
      </w:r>
    </w:p>
    <w:p>
      <w:pPr>
        <w:pStyle w:val="BodyText"/>
        <w:spacing w:line="259" w:lineRule="auto" w:before="20"/>
        <w:ind w:left="730" w:right="486"/>
        <w:jc w:val="both"/>
      </w:pPr>
      <w:r>
        <w:rPr/>
        <w:t>La Junta Directiva del Banco Central de Costa Rica (BCCR) ha mantenido la Tasa de Política Monetaria (TPM)</w:t>
      </w:r>
      <w:r>
        <w:rPr>
          <w:spacing w:val="-7"/>
        </w:rPr>
        <w:t> </w:t>
      </w:r>
      <w:r>
        <w:rPr/>
        <w:t>en</w:t>
      </w:r>
      <w:r>
        <w:rPr>
          <w:spacing w:val="-7"/>
        </w:rPr>
        <w:t> </w:t>
      </w:r>
      <w:r>
        <w:rPr/>
        <w:t>3,25%</w:t>
      </w:r>
      <w:r>
        <w:rPr>
          <w:spacing w:val="-7"/>
        </w:rPr>
        <w:t> </w:t>
      </w:r>
      <w:r>
        <w:rPr/>
        <w:t>anual</w:t>
      </w:r>
      <w:r>
        <w:rPr>
          <w:spacing w:val="-7"/>
        </w:rPr>
        <w:t> </w:t>
      </w:r>
      <w:r>
        <w:rPr/>
        <w:t>durante</w:t>
      </w:r>
      <w:r>
        <w:rPr>
          <w:spacing w:val="-7"/>
        </w:rPr>
        <w:t> </w:t>
      </w:r>
      <w:r>
        <w:rPr/>
        <w:t>el</w:t>
      </w:r>
      <w:r>
        <w:rPr>
          <w:spacing w:val="-7"/>
        </w:rPr>
        <w:t> </w:t>
      </w:r>
      <w:r>
        <w:rPr/>
        <w:t>segundo</w:t>
      </w:r>
      <w:r>
        <w:rPr>
          <w:spacing w:val="-7"/>
        </w:rPr>
        <w:t> </w:t>
      </w:r>
      <w:r>
        <w:rPr/>
        <w:t>trimestre</w:t>
      </w:r>
      <w:r>
        <w:rPr>
          <w:spacing w:val="-7"/>
        </w:rPr>
        <w:t> </w:t>
      </w:r>
      <w:r>
        <w:rPr/>
        <w:t>de</w:t>
      </w:r>
      <w:r>
        <w:rPr>
          <w:spacing w:val="-6"/>
        </w:rPr>
        <w:t> </w:t>
      </w:r>
      <w:r>
        <w:rPr/>
        <w:t>2026</w:t>
      </w:r>
      <w:r>
        <w:rPr>
          <w:spacing w:val="-7"/>
        </w:rPr>
        <w:t> </w:t>
      </w:r>
      <w:r>
        <w:rPr/>
        <w:t>(sesiones</w:t>
      </w:r>
      <w:r>
        <w:rPr>
          <w:spacing w:val="-6"/>
        </w:rPr>
        <w:t> </w:t>
      </w:r>
      <w:r>
        <w:rPr/>
        <w:t>6326-2026),</w:t>
      </w:r>
      <w:r>
        <w:rPr>
          <w:spacing w:val="-7"/>
        </w:rPr>
        <w:t> </w:t>
      </w:r>
      <w:r>
        <w:rPr/>
        <w:t>citando</w:t>
      </w:r>
      <w:r>
        <w:rPr>
          <w:spacing w:val="-7"/>
        </w:rPr>
        <w:t> </w:t>
      </w:r>
      <w:r>
        <w:rPr/>
        <w:t>un</w:t>
      </w:r>
      <w:r>
        <w:rPr>
          <w:spacing w:val="-7"/>
        </w:rPr>
        <w:t> </w:t>
      </w:r>
      <w:r>
        <w:rPr/>
        <w:t>aumento</w:t>
      </w:r>
      <w:r>
        <w:rPr>
          <w:spacing w:val="-6"/>
        </w:rPr>
        <w:t> </w:t>
      </w:r>
      <w:r>
        <w:rPr/>
        <w:t>en la incertidumbre internacional y riesgos inflacionarios al alza.</w:t>
      </w:r>
    </w:p>
    <w:p>
      <w:pPr>
        <w:pStyle w:val="ListParagraph"/>
        <w:numPr>
          <w:ilvl w:val="0"/>
          <w:numId w:val="101"/>
        </w:numPr>
        <w:tabs>
          <w:tab w:pos="1437" w:val="left" w:leader="none"/>
        </w:tabs>
        <w:spacing w:line="240" w:lineRule="auto" w:before="2" w:after="0"/>
        <w:ind w:left="1437" w:right="0" w:hanging="707"/>
        <w:jc w:val="both"/>
        <w:rPr>
          <w:sz w:val="22"/>
        </w:rPr>
      </w:pPr>
      <w:r>
        <w:rPr>
          <w:sz w:val="22"/>
        </w:rPr>
        <w:t>Nivel</w:t>
      </w:r>
      <w:r>
        <w:rPr>
          <w:spacing w:val="-5"/>
          <w:sz w:val="22"/>
        </w:rPr>
        <w:t> </w:t>
      </w:r>
      <w:r>
        <w:rPr>
          <w:sz w:val="22"/>
        </w:rPr>
        <w:t>de</w:t>
      </w:r>
      <w:r>
        <w:rPr>
          <w:spacing w:val="-4"/>
          <w:sz w:val="22"/>
        </w:rPr>
        <w:t> </w:t>
      </w:r>
      <w:r>
        <w:rPr>
          <w:sz w:val="22"/>
        </w:rPr>
        <w:t>la</w:t>
      </w:r>
      <w:r>
        <w:rPr>
          <w:spacing w:val="-5"/>
          <w:sz w:val="22"/>
        </w:rPr>
        <w:t> </w:t>
      </w:r>
      <w:r>
        <w:rPr>
          <w:sz w:val="22"/>
        </w:rPr>
        <w:t>Tasa:</w:t>
      </w:r>
      <w:r>
        <w:rPr>
          <w:spacing w:val="-4"/>
          <w:sz w:val="22"/>
        </w:rPr>
        <w:t> </w:t>
      </w:r>
      <w:r>
        <w:rPr>
          <w:sz w:val="22"/>
        </w:rPr>
        <w:t>3,25%</w:t>
      </w:r>
      <w:r>
        <w:rPr>
          <w:spacing w:val="-3"/>
          <w:sz w:val="22"/>
        </w:rPr>
        <w:t> </w:t>
      </w:r>
      <w:r>
        <w:rPr>
          <w:sz w:val="22"/>
        </w:rPr>
        <w:t>anual,</w:t>
      </w:r>
      <w:r>
        <w:rPr>
          <w:spacing w:val="-3"/>
          <w:sz w:val="22"/>
        </w:rPr>
        <w:t> </w:t>
      </w:r>
      <w:r>
        <w:rPr>
          <w:sz w:val="22"/>
        </w:rPr>
        <w:t>vigente</w:t>
      </w:r>
      <w:r>
        <w:rPr>
          <w:spacing w:val="-3"/>
          <w:sz w:val="22"/>
        </w:rPr>
        <w:t> </w:t>
      </w:r>
      <w:r>
        <w:rPr>
          <w:sz w:val="22"/>
        </w:rPr>
        <w:t>tras</w:t>
      </w:r>
      <w:r>
        <w:rPr>
          <w:spacing w:val="-2"/>
          <w:sz w:val="22"/>
        </w:rPr>
        <w:t> </w:t>
      </w:r>
      <w:r>
        <w:rPr>
          <w:sz w:val="22"/>
        </w:rPr>
        <w:t>las</w:t>
      </w:r>
      <w:r>
        <w:rPr>
          <w:spacing w:val="-2"/>
          <w:sz w:val="22"/>
        </w:rPr>
        <w:t> </w:t>
      </w:r>
      <w:r>
        <w:rPr>
          <w:sz w:val="22"/>
        </w:rPr>
        <w:t>decisiones</w:t>
      </w:r>
      <w:r>
        <w:rPr>
          <w:spacing w:val="-5"/>
          <w:sz w:val="22"/>
        </w:rPr>
        <w:t> </w:t>
      </w:r>
      <w:r>
        <w:rPr>
          <w:sz w:val="22"/>
        </w:rPr>
        <w:t>de</w:t>
      </w:r>
      <w:r>
        <w:rPr>
          <w:spacing w:val="-4"/>
          <w:sz w:val="22"/>
        </w:rPr>
        <w:t> </w:t>
      </w:r>
      <w:r>
        <w:rPr>
          <w:sz w:val="22"/>
        </w:rPr>
        <w:t>enero,</w:t>
      </w:r>
      <w:r>
        <w:rPr>
          <w:spacing w:val="-3"/>
          <w:sz w:val="22"/>
        </w:rPr>
        <w:t> </w:t>
      </w:r>
      <w:r>
        <w:rPr>
          <w:sz w:val="22"/>
        </w:rPr>
        <w:t>marzo</w:t>
      </w:r>
      <w:r>
        <w:rPr>
          <w:spacing w:val="-3"/>
          <w:sz w:val="22"/>
        </w:rPr>
        <w:t> </w:t>
      </w:r>
      <w:r>
        <w:rPr>
          <w:sz w:val="22"/>
        </w:rPr>
        <w:t>y</w:t>
      </w:r>
      <w:r>
        <w:rPr>
          <w:spacing w:val="-4"/>
          <w:sz w:val="22"/>
        </w:rPr>
        <w:t> </w:t>
      </w:r>
      <w:r>
        <w:rPr>
          <w:sz w:val="22"/>
        </w:rPr>
        <w:t>junio</w:t>
      </w:r>
      <w:r>
        <w:rPr>
          <w:spacing w:val="-2"/>
          <w:sz w:val="22"/>
        </w:rPr>
        <w:t> 2026.</w:t>
      </w:r>
    </w:p>
    <w:p>
      <w:pPr>
        <w:pStyle w:val="ListParagraph"/>
        <w:numPr>
          <w:ilvl w:val="0"/>
          <w:numId w:val="101"/>
        </w:numPr>
        <w:tabs>
          <w:tab w:pos="1437" w:val="left" w:leader="none"/>
        </w:tabs>
        <w:spacing w:line="259" w:lineRule="auto" w:before="20" w:after="0"/>
        <w:ind w:left="730" w:right="489" w:firstLine="0"/>
        <w:jc w:val="both"/>
        <w:rPr>
          <w:sz w:val="22"/>
        </w:rPr>
      </w:pPr>
      <w:r>
        <w:rPr>
          <w:sz w:val="22"/>
        </w:rPr>
        <w:t>Razones de la decisión: “Esta decisión responde a la evolución reciente de la inflación, sus perspectivas</w:t>
      </w:r>
      <w:r>
        <w:rPr>
          <w:spacing w:val="-1"/>
          <w:sz w:val="22"/>
        </w:rPr>
        <w:t> </w:t>
      </w:r>
      <w:r>
        <w:rPr>
          <w:sz w:val="22"/>
        </w:rPr>
        <w:t>y</w:t>
      </w:r>
      <w:r>
        <w:rPr>
          <w:spacing w:val="-3"/>
          <w:sz w:val="22"/>
        </w:rPr>
        <w:t> </w:t>
      </w:r>
      <w:r>
        <w:rPr>
          <w:sz w:val="22"/>
        </w:rPr>
        <w:t>a</w:t>
      </w:r>
      <w:r>
        <w:rPr>
          <w:spacing w:val="-3"/>
          <w:sz w:val="22"/>
        </w:rPr>
        <w:t> </w:t>
      </w:r>
      <w:r>
        <w:rPr>
          <w:sz w:val="22"/>
        </w:rPr>
        <w:t>la</w:t>
      </w:r>
      <w:r>
        <w:rPr>
          <w:spacing w:val="-4"/>
          <w:sz w:val="22"/>
        </w:rPr>
        <w:t> </w:t>
      </w:r>
      <w:r>
        <w:rPr>
          <w:sz w:val="22"/>
        </w:rPr>
        <w:t>valoración</w:t>
      </w:r>
      <w:r>
        <w:rPr>
          <w:spacing w:val="-2"/>
          <w:sz w:val="22"/>
        </w:rPr>
        <w:t> </w:t>
      </w:r>
      <w:r>
        <w:rPr>
          <w:sz w:val="22"/>
        </w:rPr>
        <w:t>de</w:t>
      </w:r>
      <w:r>
        <w:rPr>
          <w:spacing w:val="-4"/>
          <w:sz w:val="22"/>
        </w:rPr>
        <w:t> </w:t>
      </w:r>
      <w:r>
        <w:rPr>
          <w:sz w:val="22"/>
        </w:rPr>
        <w:t>los</w:t>
      </w:r>
      <w:r>
        <w:rPr>
          <w:spacing w:val="-1"/>
          <w:sz w:val="22"/>
        </w:rPr>
        <w:t> </w:t>
      </w:r>
      <w:r>
        <w:rPr>
          <w:sz w:val="22"/>
        </w:rPr>
        <w:t>riesgos</w:t>
      </w:r>
      <w:r>
        <w:rPr>
          <w:spacing w:val="-1"/>
          <w:sz w:val="22"/>
        </w:rPr>
        <w:t> </w:t>
      </w:r>
      <w:r>
        <w:rPr>
          <w:sz w:val="22"/>
        </w:rPr>
        <w:t>internos</w:t>
      </w:r>
      <w:r>
        <w:rPr>
          <w:spacing w:val="-1"/>
          <w:sz w:val="22"/>
        </w:rPr>
        <w:t> </w:t>
      </w:r>
      <w:r>
        <w:rPr>
          <w:sz w:val="22"/>
        </w:rPr>
        <w:t>y</w:t>
      </w:r>
      <w:r>
        <w:rPr>
          <w:spacing w:val="-3"/>
          <w:sz w:val="22"/>
        </w:rPr>
        <w:t> </w:t>
      </w:r>
      <w:r>
        <w:rPr>
          <w:sz w:val="22"/>
        </w:rPr>
        <w:t>externos,</w:t>
      </w:r>
      <w:r>
        <w:rPr>
          <w:spacing w:val="-2"/>
          <w:sz w:val="22"/>
        </w:rPr>
        <w:t> </w:t>
      </w:r>
      <w:r>
        <w:rPr>
          <w:sz w:val="22"/>
        </w:rPr>
        <w:t>en</w:t>
      </w:r>
      <w:r>
        <w:rPr>
          <w:spacing w:val="-2"/>
          <w:sz w:val="22"/>
        </w:rPr>
        <w:t> </w:t>
      </w:r>
      <w:r>
        <w:rPr>
          <w:sz w:val="22"/>
        </w:rPr>
        <w:t>un</w:t>
      </w:r>
      <w:r>
        <w:rPr>
          <w:spacing w:val="-5"/>
          <w:sz w:val="22"/>
        </w:rPr>
        <w:t> </w:t>
      </w:r>
      <w:r>
        <w:rPr>
          <w:sz w:val="22"/>
        </w:rPr>
        <w:t>contexto</w:t>
      </w:r>
      <w:r>
        <w:rPr>
          <w:spacing w:val="-1"/>
          <w:sz w:val="22"/>
        </w:rPr>
        <w:t> </w:t>
      </w:r>
      <w:r>
        <w:rPr>
          <w:sz w:val="22"/>
        </w:rPr>
        <w:t>de</w:t>
      </w:r>
      <w:r>
        <w:rPr>
          <w:spacing w:val="-6"/>
          <w:sz w:val="22"/>
        </w:rPr>
        <w:t> </w:t>
      </w:r>
      <w:r>
        <w:rPr>
          <w:sz w:val="22"/>
        </w:rPr>
        <w:t>elevada</w:t>
      </w:r>
      <w:r>
        <w:rPr>
          <w:spacing w:val="-3"/>
          <w:sz w:val="22"/>
        </w:rPr>
        <w:t> </w:t>
      </w:r>
      <w:r>
        <w:rPr>
          <w:sz w:val="22"/>
        </w:rPr>
        <w:t>incertidumbre</w:t>
      </w:r>
      <w:r>
        <w:rPr>
          <w:spacing w:val="-4"/>
          <w:sz w:val="22"/>
        </w:rPr>
        <w:t> </w:t>
      </w:r>
      <w:r>
        <w:rPr>
          <w:sz w:val="22"/>
        </w:rPr>
        <w:t>y en el entorno internacional, persiste la incertidumbre sobre la magnitud y la duración de los efectos económicos del conflicto en Oriente Medio.”</w:t>
      </w:r>
    </w:p>
    <w:p>
      <w:pPr>
        <w:pStyle w:val="ListParagraph"/>
        <w:numPr>
          <w:ilvl w:val="0"/>
          <w:numId w:val="101"/>
        </w:numPr>
        <w:tabs>
          <w:tab w:pos="1437" w:val="left" w:leader="none"/>
        </w:tabs>
        <w:spacing w:line="259" w:lineRule="auto" w:before="0" w:after="0"/>
        <w:ind w:left="730" w:right="493" w:firstLine="0"/>
        <w:jc w:val="both"/>
        <w:rPr>
          <w:sz w:val="22"/>
        </w:rPr>
      </w:pPr>
      <w:r>
        <w:rPr>
          <w:sz w:val="22"/>
        </w:rPr>
        <w:t>Meta: “El Banco Central reafirma su compromiso con la estabilidad interna de precios y reitera que evaluará la trayectoria de la inflación, sus determinantes y los riesgos internos y externos.”</w:t>
      </w:r>
    </w:p>
    <w:p>
      <w:pPr>
        <w:pStyle w:val="BodyText"/>
        <w:spacing w:before="43"/>
      </w:pPr>
    </w:p>
    <w:p>
      <w:pPr>
        <w:pStyle w:val="BodyText"/>
        <w:spacing w:line="259" w:lineRule="auto"/>
        <w:ind w:left="730" w:right="924"/>
      </w:pPr>
      <w:r>
        <w:rPr/>
        <w:t>Lo anterior según datos del Consejo Monetario Internacional. </w:t>
      </w:r>
      <w:hyperlink r:id="rId116">
        <w:r>
          <w:rPr>
            <w:spacing w:val="-2"/>
          </w:rPr>
          <w:t>https://www.bccr.fi.cr/publicaciones/DocPolticaMonetariaInflacin/ComunicadoPoliticaMonetaria_03-</w:t>
        </w:r>
      </w:hyperlink>
      <w:r>
        <w:rPr>
          <w:spacing w:val="-2"/>
        </w:rPr>
        <w:t>2026.pdf</w:t>
      </w:r>
    </w:p>
    <w:p>
      <w:pPr>
        <w:pStyle w:val="BodyText"/>
        <w:spacing w:before="18"/>
      </w:pPr>
    </w:p>
    <w:p>
      <w:pPr>
        <w:pStyle w:val="ListParagraph"/>
        <w:numPr>
          <w:ilvl w:val="0"/>
          <w:numId w:val="100"/>
        </w:numPr>
        <w:tabs>
          <w:tab w:pos="929" w:val="left" w:leader="none"/>
        </w:tabs>
        <w:spacing w:line="259" w:lineRule="auto" w:before="1" w:after="0"/>
        <w:ind w:left="730" w:right="486" w:firstLine="0"/>
        <w:jc w:val="both"/>
        <w:rPr>
          <w:sz w:val="22"/>
        </w:rPr>
      </w:pPr>
      <w:r>
        <w:rPr>
          <w:sz w:val="22"/>
        </w:rPr>
        <w:t>Deudas</w:t>
      </w:r>
      <w:r>
        <w:rPr>
          <w:spacing w:val="-11"/>
          <w:sz w:val="22"/>
        </w:rPr>
        <w:t> </w:t>
      </w:r>
      <w:r>
        <w:rPr>
          <w:sz w:val="22"/>
        </w:rPr>
        <w:t>no</w:t>
      </w:r>
      <w:r>
        <w:rPr>
          <w:spacing w:val="-11"/>
          <w:sz w:val="22"/>
        </w:rPr>
        <w:t> </w:t>
      </w:r>
      <w:r>
        <w:rPr>
          <w:sz w:val="22"/>
        </w:rPr>
        <w:t>tributarias</w:t>
      </w:r>
      <w:r>
        <w:rPr>
          <w:spacing w:val="-11"/>
          <w:sz w:val="22"/>
        </w:rPr>
        <w:t> </w:t>
      </w:r>
      <w:r>
        <w:rPr>
          <w:sz w:val="22"/>
        </w:rPr>
        <w:t>de</w:t>
      </w:r>
      <w:r>
        <w:rPr>
          <w:spacing w:val="-13"/>
          <w:sz w:val="22"/>
        </w:rPr>
        <w:t> </w:t>
      </w:r>
      <w:r>
        <w:rPr>
          <w:sz w:val="22"/>
        </w:rPr>
        <w:t>la</w:t>
      </w:r>
      <w:r>
        <w:rPr>
          <w:spacing w:val="-13"/>
          <w:sz w:val="22"/>
        </w:rPr>
        <w:t> </w:t>
      </w:r>
      <w:r>
        <w:rPr>
          <w:sz w:val="22"/>
        </w:rPr>
        <w:t>población</w:t>
      </w:r>
      <w:r>
        <w:rPr>
          <w:spacing w:val="-12"/>
          <w:sz w:val="22"/>
        </w:rPr>
        <w:t> </w:t>
      </w:r>
      <w:r>
        <w:rPr>
          <w:sz w:val="22"/>
        </w:rPr>
        <w:t>beneficiaria:</w:t>
      </w:r>
      <w:r>
        <w:rPr>
          <w:spacing w:val="-13"/>
          <w:sz w:val="22"/>
        </w:rPr>
        <w:t> </w:t>
      </w:r>
      <w:r>
        <w:rPr>
          <w:sz w:val="22"/>
        </w:rPr>
        <w:t>en</w:t>
      </w:r>
      <w:r>
        <w:rPr>
          <w:spacing w:val="-12"/>
          <w:sz w:val="22"/>
        </w:rPr>
        <w:t> </w:t>
      </w:r>
      <w:r>
        <w:rPr>
          <w:sz w:val="22"/>
        </w:rPr>
        <w:t>cuanto</w:t>
      </w:r>
      <w:r>
        <w:rPr>
          <w:spacing w:val="-11"/>
          <w:sz w:val="22"/>
        </w:rPr>
        <w:t> </w:t>
      </w:r>
      <w:r>
        <w:rPr>
          <w:sz w:val="22"/>
        </w:rPr>
        <w:t>a</w:t>
      </w:r>
      <w:r>
        <w:rPr>
          <w:spacing w:val="-12"/>
          <w:sz w:val="22"/>
        </w:rPr>
        <w:t> </w:t>
      </w:r>
      <w:r>
        <w:rPr>
          <w:sz w:val="22"/>
        </w:rPr>
        <w:t>arreglos</w:t>
      </w:r>
      <w:r>
        <w:rPr>
          <w:spacing w:val="-11"/>
          <w:sz w:val="22"/>
        </w:rPr>
        <w:t> </w:t>
      </w:r>
      <w:r>
        <w:rPr>
          <w:sz w:val="22"/>
        </w:rPr>
        <w:t>de</w:t>
      </w:r>
      <w:r>
        <w:rPr>
          <w:spacing w:val="-13"/>
          <w:sz w:val="22"/>
        </w:rPr>
        <w:t> </w:t>
      </w:r>
      <w:r>
        <w:rPr>
          <w:sz w:val="22"/>
        </w:rPr>
        <w:t>pago</w:t>
      </w:r>
      <w:r>
        <w:rPr>
          <w:spacing w:val="-13"/>
          <w:sz w:val="22"/>
        </w:rPr>
        <w:t> </w:t>
      </w:r>
      <w:r>
        <w:rPr>
          <w:sz w:val="22"/>
        </w:rPr>
        <w:t>suscritos</w:t>
      </w:r>
      <w:r>
        <w:rPr>
          <w:spacing w:val="-11"/>
          <w:sz w:val="22"/>
        </w:rPr>
        <w:t> </w:t>
      </w:r>
      <w:r>
        <w:rPr>
          <w:sz w:val="22"/>
        </w:rPr>
        <w:t>por</w:t>
      </w:r>
      <w:r>
        <w:rPr>
          <w:spacing w:val="-12"/>
          <w:sz w:val="22"/>
        </w:rPr>
        <w:t> </w:t>
      </w:r>
      <w:r>
        <w:rPr>
          <w:sz w:val="22"/>
        </w:rPr>
        <w:t>la</w:t>
      </w:r>
      <w:r>
        <w:rPr>
          <w:spacing w:val="-13"/>
          <w:sz w:val="22"/>
        </w:rPr>
        <w:t> </w:t>
      </w:r>
      <w:r>
        <w:rPr>
          <w:sz w:val="22"/>
        </w:rPr>
        <w:t>población beneficiaria de programas sociales de IMAS, cuando proceda, la tasa de interés será definida por las personas profesionales designadas en la Sub-Gerencia de Desarrollo Social o sus dependencias para la atención del caso.</w:t>
      </w:r>
    </w:p>
    <w:p>
      <w:pPr>
        <w:pStyle w:val="BodyText"/>
        <w:spacing w:before="18"/>
      </w:pPr>
    </w:p>
    <w:p>
      <w:pPr>
        <w:pStyle w:val="BodyText"/>
        <w:ind w:left="730"/>
      </w:pPr>
      <w:r>
        <w:rPr/>
        <w:t>Puntos</w:t>
      </w:r>
      <w:r>
        <w:rPr>
          <w:spacing w:val="-2"/>
        </w:rPr>
        <w:t> </w:t>
      </w:r>
      <w:r>
        <w:rPr/>
        <w:t>para</w:t>
      </w:r>
      <w:r>
        <w:rPr>
          <w:spacing w:val="-3"/>
        </w:rPr>
        <w:t> </w:t>
      </w:r>
      <w:r>
        <w:rPr>
          <w:spacing w:val="-2"/>
        </w:rPr>
        <w:t>revelar:</w:t>
      </w:r>
    </w:p>
    <w:p>
      <w:pPr>
        <w:pStyle w:val="BodyText"/>
        <w:spacing w:before="21"/>
        <w:ind w:left="730"/>
      </w:pPr>
      <w:r>
        <w:rPr/>
        <w:t>Revelar</w:t>
      </w:r>
      <w:r>
        <w:rPr>
          <w:spacing w:val="-3"/>
        </w:rPr>
        <w:t> </w:t>
      </w:r>
      <w:r>
        <w:rPr/>
        <w:t>el</w:t>
      </w:r>
      <w:r>
        <w:rPr>
          <w:spacing w:val="-3"/>
        </w:rPr>
        <w:t> </w:t>
      </w:r>
      <w:r>
        <w:rPr/>
        <w:t>grado</w:t>
      </w:r>
      <w:r>
        <w:rPr>
          <w:spacing w:val="-3"/>
        </w:rPr>
        <w:t> </w:t>
      </w:r>
      <w:r>
        <w:rPr/>
        <w:t>de</w:t>
      </w:r>
      <w:r>
        <w:rPr>
          <w:spacing w:val="-5"/>
        </w:rPr>
        <w:t> </w:t>
      </w:r>
      <w:r>
        <w:rPr/>
        <w:t>calificación</w:t>
      </w:r>
      <w:r>
        <w:rPr>
          <w:spacing w:val="-3"/>
        </w:rPr>
        <w:t> </w:t>
      </w:r>
      <w:r>
        <w:rPr/>
        <w:t>del</w:t>
      </w:r>
      <w:r>
        <w:rPr>
          <w:spacing w:val="-3"/>
        </w:rPr>
        <w:t> </w:t>
      </w:r>
      <w:r>
        <w:rPr/>
        <w:t>riesgo</w:t>
      </w:r>
      <w:r>
        <w:rPr>
          <w:spacing w:val="-1"/>
        </w:rPr>
        <w:t> </w:t>
      </w:r>
      <w:r>
        <w:rPr>
          <w:spacing w:val="-2"/>
        </w:rPr>
        <w:t>crediticio</w:t>
      </w:r>
    </w:p>
    <w:p>
      <w:pPr>
        <w:pStyle w:val="BodyText"/>
        <w:spacing w:line="259" w:lineRule="auto" w:before="20"/>
        <w:ind w:left="730"/>
      </w:pPr>
      <w:r>
        <w:rPr/>
        <w:t>El</w:t>
      </w:r>
      <w:r>
        <w:rPr>
          <w:spacing w:val="35"/>
        </w:rPr>
        <w:t> </w:t>
      </w:r>
      <w:r>
        <w:rPr/>
        <w:t>riesgo</w:t>
      </w:r>
      <w:r>
        <w:rPr>
          <w:spacing w:val="37"/>
        </w:rPr>
        <w:t> </w:t>
      </w:r>
      <w:r>
        <w:rPr/>
        <w:t>de</w:t>
      </w:r>
      <w:r>
        <w:rPr>
          <w:spacing w:val="34"/>
        </w:rPr>
        <w:t> </w:t>
      </w:r>
      <w:r>
        <w:rPr/>
        <w:t>baja</w:t>
      </w:r>
      <w:r>
        <w:rPr>
          <w:spacing w:val="35"/>
        </w:rPr>
        <w:t> </w:t>
      </w:r>
      <w:r>
        <w:rPr/>
        <w:t>efectividad</w:t>
      </w:r>
      <w:r>
        <w:rPr>
          <w:spacing w:val="35"/>
        </w:rPr>
        <w:t> </w:t>
      </w:r>
      <w:r>
        <w:rPr/>
        <w:t>de</w:t>
      </w:r>
      <w:r>
        <w:rPr>
          <w:spacing w:val="34"/>
        </w:rPr>
        <w:t> </w:t>
      </w:r>
      <w:r>
        <w:rPr/>
        <w:t>las</w:t>
      </w:r>
      <w:r>
        <w:rPr>
          <w:spacing w:val="37"/>
        </w:rPr>
        <w:t> </w:t>
      </w:r>
      <w:r>
        <w:rPr/>
        <w:t>estrategias</w:t>
      </w:r>
      <w:r>
        <w:rPr>
          <w:spacing w:val="35"/>
        </w:rPr>
        <w:t> </w:t>
      </w:r>
      <w:r>
        <w:rPr/>
        <w:t>cobratorias</w:t>
      </w:r>
      <w:r>
        <w:rPr>
          <w:spacing w:val="34"/>
        </w:rPr>
        <w:t> </w:t>
      </w:r>
      <w:r>
        <w:rPr/>
        <w:t>su</w:t>
      </w:r>
      <w:r>
        <w:rPr>
          <w:spacing w:val="36"/>
        </w:rPr>
        <w:t> </w:t>
      </w:r>
      <w:r>
        <w:rPr/>
        <w:t>probabilidad</w:t>
      </w:r>
      <w:r>
        <w:rPr>
          <w:spacing w:val="35"/>
        </w:rPr>
        <w:t> </w:t>
      </w:r>
      <w:r>
        <w:rPr/>
        <w:t>de</w:t>
      </w:r>
      <w:r>
        <w:rPr>
          <w:spacing w:val="34"/>
        </w:rPr>
        <w:t> </w:t>
      </w:r>
      <w:r>
        <w:rPr/>
        <w:t>ocurrencia</w:t>
      </w:r>
      <w:r>
        <w:rPr>
          <w:spacing w:val="35"/>
        </w:rPr>
        <w:t> </w:t>
      </w:r>
      <w:r>
        <w:rPr/>
        <w:t>es</w:t>
      </w:r>
      <w:r>
        <w:rPr>
          <w:spacing w:val="37"/>
        </w:rPr>
        <w:t> </w:t>
      </w:r>
      <w:r>
        <w:rPr/>
        <w:t>posible</w:t>
      </w:r>
      <w:r>
        <w:rPr>
          <w:spacing w:val="34"/>
        </w:rPr>
        <w:t> </w:t>
      </w:r>
      <w:r>
        <w:rPr/>
        <w:t>o probable y si ocurre su impacto es moderado.</w:t>
      </w:r>
    </w:p>
    <w:p>
      <w:pPr>
        <w:pStyle w:val="BodyText"/>
        <w:spacing w:before="18"/>
      </w:pPr>
    </w:p>
    <w:p>
      <w:pPr>
        <w:pStyle w:val="BodyText"/>
        <w:ind w:left="730"/>
      </w:pPr>
      <w:r>
        <w:rPr/>
        <w:t>Información</w:t>
      </w:r>
      <w:r>
        <w:rPr>
          <w:spacing w:val="-7"/>
        </w:rPr>
        <w:t> </w:t>
      </w:r>
      <w:r>
        <w:rPr/>
        <w:t>cualitativa</w:t>
      </w:r>
      <w:r>
        <w:rPr>
          <w:spacing w:val="-5"/>
        </w:rPr>
        <w:t> </w:t>
      </w:r>
      <w:r>
        <w:rPr/>
        <w:t>de</w:t>
      </w:r>
      <w:r>
        <w:rPr>
          <w:spacing w:val="-6"/>
        </w:rPr>
        <w:t> </w:t>
      </w:r>
      <w:r>
        <w:rPr/>
        <w:t>las</w:t>
      </w:r>
      <w:r>
        <w:rPr>
          <w:spacing w:val="-3"/>
        </w:rPr>
        <w:t> </w:t>
      </w:r>
      <w:r>
        <w:rPr/>
        <w:t>cuentas</w:t>
      </w:r>
      <w:r>
        <w:rPr>
          <w:spacing w:val="-4"/>
        </w:rPr>
        <w:t> </w:t>
      </w:r>
      <w:r>
        <w:rPr/>
        <w:t>por</w:t>
      </w:r>
      <w:r>
        <w:rPr>
          <w:spacing w:val="-4"/>
        </w:rPr>
        <w:t> </w:t>
      </w:r>
      <w:r>
        <w:rPr/>
        <w:t>cobrar</w:t>
      </w:r>
      <w:r>
        <w:rPr>
          <w:spacing w:val="-4"/>
        </w:rPr>
        <w:t> </w:t>
      </w:r>
      <w:r>
        <w:rPr/>
        <w:t>que</w:t>
      </w:r>
      <w:r>
        <w:rPr>
          <w:spacing w:val="-6"/>
        </w:rPr>
        <w:t> </w:t>
      </w:r>
      <w:r>
        <w:rPr/>
        <w:t>debe</w:t>
      </w:r>
      <w:r>
        <w:rPr>
          <w:spacing w:val="-6"/>
        </w:rPr>
        <w:t> </w:t>
      </w:r>
      <w:r>
        <w:rPr>
          <w:spacing w:val="-2"/>
        </w:rPr>
        <w:t>incluir:</w:t>
      </w:r>
    </w:p>
    <w:p>
      <w:pPr>
        <w:pStyle w:val="BodyText"/>
        <w:spacing w:before="41"/>
      </w:pPr>
    </w:p>
    <w:p>
      <w:pPr>
        <w:pStyle w:val="ListParagraph"/>
        <w:numPr>
          <w:ilvl w:val="0"/>
          <w:numId w:val="102"/>
        </w:numPr>
        <w:tabs>
          <w:tab w:pos="1006" w:val="left" w:leader="none"/>
        </w:tabs>
        <w:spacing w:line="240" w:lineRule="auto" w:before="0" w:after="0"/>
        <w:ind w:left="1006" w:right="0" w:hanging="276"/>
        <w:jc w:val="left"/>
        <w:rPr>
          <w:sz w:val="22"/>
        </w:rPr>
      </w:pPr>
      <w:r>
        <w:rPr>
          <w:sz w:val="22"/>
        </w:rPr>
        <w:t>Las</w:t>
      </w:r>
      <w:r>
        <w:rPr>
          <w:spacing w:val="-2"/>
          <w:sz w:val="22"/>
        </w:rPr>
        <w:t> </w:t>
      </w:r>
      <w:r>
        <w:rPr>
          <w:sz w:val="22"/>
        </w:rPr>
        <w:t>exposiciones</w:t>
      </w:r>
      <w:r>
        <w:rPr>
          <w:spacing w:val="-2"/>
          <w:sz w:val="22"/>
        </w:rPr>
        <w:t> </w:t>
      </w:r>
      <w:r>
        <w:rPr>
          <w:sz w:val="22"/>
        </w:rPr>
        <w:t>al</w:t>
      </w:r>
      <w:r>
        <w:rPr>
          <w:spacing w:val="-2"/>
          <w:sz w:val="22"/>
        </w:rPr>
        <w:t> </w:t>
      </w:r>
      <w:r>
        <w:rPr>
          <w:sz w:val="22"/>
        </w:rPr>
        <w:t>riesgo</w:t>
      </w:r>
      <w:r>
        <w:rPr>
          <w:spacing w:val="-3"/>
          <w:sz w:val="22"/>
        </w:rPr>
        <w:t> </w:t>
      </w:r>
      <w:r>
        <w:rPr>
          <w:sz w:val="22"/>
        </w:rPr>
        <w:t>y</w:t>
      </w:r>
      <w:r>
        <w:rPr>
          <w:spacing w:val="-3"/>
          <w:sz w:val="22"/>
        </w:rPr>
        <w:t> </w:t>
      </w:r>
      <w:r>
        <w:rPr>
          <w:sz w:val="22"/>
        </w:rPr>
        <w:t>la</w:t>
      </w:r>
      <w:r>
        <w:rPr>
          <w:spacing w:val="-5"/>
          <w:sz w:val="22"/>
        </w:rPr>
        <w:t> </w:t>
      </w:r>
      <w:r>
        <w:rPr>
          <w:sz w:val="22"/>
        </w:rPr>
        <w:t>forma</w:t>
      </w:r>
      <w:r>
        <w:rPr>
          <w:spacing w:val="-3"/>
          <w:sz w:val="22"/>
        </w:rPr>
        <w:t> </w:t>
      </w:r>
      <w:r>
        <w:rPr>
          <w:sz w:val="22"/>
        </w:rPr>
        <w:t>en</w:t>
      </w:r>
      <w:r>
        <w:rPr>
          <w:spacing w:val="-3"/>
          <w:sz w:val="22"/>
        </w:rPr>
        <w:t> </w:t>
      </w:r>
      <w:r>
        <w:rPr>
          <w:sz w:val="22"/>
        </w:rPr>
        <w:t>que</w:t>
      </w:r>
      <w:r>
        <w:rPr>
          <w:spacing w:val="-4"/>
          <w:sz w:val="22"/>
        </w:rPr>
        <w:t> </w:t>
      </w:r>
      <w:r>
        <w:rPr>
          <w:sz w:val="22"/>
        </w:rPr>
        <w:t>éstas</w:t>
      </w:r>
      <w:r>
        <w:rPr>
          <w:spacing w:val="-4"/>
          <w:sz w:val="22"/>
        </w:rPr>
        <w:t> </w:t>
      </w:r>
      <w:r>
        <w:rPr>
          <w:spacing w:val="-2"/>
          <w:sz w:val="22"/>
        </w:rPr>
        <w:t>surgen;</w:t>
      </w:r>
    </w:p>
    <w:p>
      <w:pPr>
        <w:pStyle w:val="ListParagraph"/>
        <w:numPr>
          <w:ilvl w:val="0"/>
          <w:numId w:val="102"/>
        </w:numPr>
        <w:tabs>
          <w:tab w:pos="1025" w:val="left" w:leader="none"/>
        </w:tabs>
        <w:spacing w:line="259" w:lineRule="auto" w:before="20" w:after="0"/>
        <w:ind w:left="730" w:right="1016" w:firstLine="0"/>
        <w:jc w:val="left"/>
        <w:rPr>
          <w:sz w:val="22"/>
        </w:rPr>
      </w:pPr>
      <w:r>
        <w:rPr>
          <w:sz w:val="22"/>
        </w:rPr>
        <w:t>Sus</w:t>
      </w:r>
      <w:r>
        <w:rPr>
          <w:spacing w:val="-2"/>
          <w:sz w:val="22"/>
        </w:rPr>
        <w:t> </w:t>
      </w:r>
      <w:r>
        <w:rPr>
          <w:sz w:val="22"/>
        </w:rPr>
        <w:t>objetivos,</w:t>
      </w:r>
      <w:r>
        <w:rPr>
          <w:spacing w:val="-3"/>
          <w:sz w:val="22"/>
        </w:rPr>
        <w:t> </w:t>
      </w:r>
      <w:r>
        <w:rPr>
          <w:sz w:val="22"/>
        </w:rPr>
        <w:t>políticas</w:t>
      </w:r>
      <w:r>
        <w:rPr>
          <w:spacing w:val="-2"/>
          <w:sz w:val="22"/>
        </w:rPr>
        <w:t> </w:t>
      </w:r>
      <w:r>
        <w:rPr>
          <w:sz w:val="22"/>
        </w:rPr>
        <w:t>y</w:t>
      </w:r>
      <w:r>
        <w:rPr>
          <w:spacing w:val="-4"/>
          <w:sz w:val="22"/>
        </w:rPr>
        <w:t> </w:t>
      </w:r>
      <w:r>
        <w:rPr>
          <w:sz w:val="22"/>
        </w:rPr>
        <w:t>procesos</w:t>
      </w:r>
      <w:r>
        <w:rPr>
          <w:spacing w:val="-2"/>
          <w:sz w:val="22"/>
        </w:rPr>
        <w:t> </w:t>
      </w:r>
      <w:r>
        <w:rPr>
          <w:sz w:val="22"/>
        </w:rPr>
        <w:t>para</w:t>
      </w:r>
      <w:r>
        <w:rPr>
          <w:spacing w:val="-4"/>
          <w:sz w:val="22"/>
        </w:rPr>
        <w:t> </w:t>
      </w:r>
      <w:r>
        <w:rPr>
          <w:sz w:val="22"/>
        </w:rPr>
        <w:t>la</w:t>
      </w:r>
      <w:r>
        <w:rPr>
          <w:spacing w:val="-4"/>
          <w:sz w:val="22"/>
        </w:rPr>
        <w:t> </w:t>
      </w:r>
      <w:r>
        <w:rPr>
          <w:sz w:val="22"/>
        </w:rPr>
        <w:t>gestión</w:t>
      </w:r>
      <w:r>
        <w:rPr>
          <w:spacing w:val="-3"/>
          <w:sz w:val="22"/>
        </w:rPr>
        <w:t> </w:t>
      </w:r>
      <w:r>
        <w:rPr>
          <w:sz w:val="22"/>
        </w:rPr>
        <w:t>del</w:t>
      </w:r>
      <w:r>
        <w:rPr>
          <w:spacing w:val="-5"/>
          <w:sz w:val="22"/>
        </w:rPr>
        <w:t> </w:t>
      </w:r>
      <w:r>
        <w:rPr>
          <w:sz w:val="22"/>
        </w:rPr>
        <w:t>riesgo,</w:t>
      </w:r>
      <w:r>
        <w:rPr>
          <w:spacing w:val="-3"/>
          <w:sz w:val="22"/>
        </w:rPr>
        <w:t> </w:t>
      </w:r>
      <w:r>
        <w:rPr>
          <w:sz w:val="22"/>
        </w:rPr>
        <w:t>así</w:t>
      </w:r>
      <w:r>
        <w:rPr>
          <w:spacing w:val="-3"/>
          <w:sz w:val="22"/>
        </w:rPr>
        <w:t> </w:t>
      </w:r>
      <w:r>
        <w:rPr>
          <w:sz w:val="22"/>
        </w:rPr>
        <w:t>como</w:t>
      </w:r>
      <w:r>
        <w:rPr>
          <w:spacing w:val="-3"/>
          <w:sz w:val="22"/>
        </w:rPr>
        <w:t> </w:t>
      </w:r>
      <w:r>
        <w:rPr>
          <w:sz w:val="22"/>
        </w:rPr>
        <w:t>los</w:t>
      </w:r>
      <w:r>
        <w:rPr>
          <w:spacing w:val="-4"/>
          <w:sz w:val="22"/>
        </w:rPr>
        <w:t> </w:t>
      </w:r>
      <w:r>
        <w:rPr>
          <w:sz w:val="22"/>
        </w:rPr>
        <w:t>métodos</w:t>
      </w:r>
      <w:r>
        <w:rPr>
          <w:spacing w:val="-2"/>
          <w:sz w:val="22"/>
        </w:rPr>
        <w:t> </w:t>
      </w:r>
      <w:r>
        <w:rPr>
          <w:sz w:val="22"/>
        </w:rPr>
        <w:t>utilizados</w:t>
      </w:r>
      <w:r>
        <w:rPr>
          <w:spacing w:val="-2"/>
          <w:sz w:val="22"/>
        </w:rPr>
        <w:t> </w:t>
      </w:r>
      <w:r>
        <w:rPr>
          <w:sz w:val="22"/>
        </w:rPr>
        <w:t>para medirlo; y</w:t>
      </w:r>
    </w:p>
    <w:p>
      <w:pPr>
        <w:pStyle w:val="ListParagraph"/>
        <w:numPr>
          <w:ilvl w:val="0"/>
          <w:numId w:val="102"/>
        </w:numPr>
        <w:tabs>
          <w:tab w:pos="1004" w:val="left" w:leader="none"/>
        </w:tabs>
        <w:spacing w:line="256" w:lineRule="auto" w:before="1" w:after="0"/>
        <w:ind w:left="730" w:right="3248" w:firstLine="0"/>
        <w:jc w:val="left"/>
        <w:rPr>
          <w:sz w:val="22"/>
        </w:rPr>
      </w:pPr>
      <w:r>
        <w:rPr>
          <w:sz w:val="22"/>
        </w:rPr>
        <w:t>cualesquiera</w:t>
      </w:r>
      <w:r>
        <w:rPr>
          <w:spacing w:val="-5"/>
          <w:sz w:val="22"/>
        </w:rPr>
        <w:t> </w:t>
      </w:r>
      <w:r>
        <w:rPr>
          <w:sz w:val="22"/>
        </w:rPr>
        <w:t>cambios</w:t>
      </w:r>
      <w:r>
        <w:rPr>
          <w:spacing w:val="-3"/>
          <w:sz w:val="22"/>
        </w:rPr>
        <w:t> </w:t>
      </w:r>
      <w:r>
        <w:rPr>
          <w:sz w:val="22"/>
        </w:rPr>
        <w:t>habidos</w:t>
      </w:r>
      <w:r>
        <w:rPr>
          <w:spacing w:val="-3"/>
          <w:sz w:val="22"/>
        </w:rPr>
        <w:t> </w:t>
      </w:r>
      <w:r>
        <w:rPr>
          <w:sz w:val="22"/>
        </w:rPr>
        <w:t>en</w:t>
      </w:r>
      <w:r>
        <w:rPr>
          <w:spacing w:val="-4"/>
          <w:sz w:val="22"/>
        </w:rPr>
        <w:t> </w:t>
      </w:r>
      <w:r>
        <w:rPr>
          <w:sz w:val="22"/>
        </w:rPr>
        <w:t>(a)</w:t>
      </w:r>
      <w:r>
        <w:rPr>
          <w:spacing w:val="-7"/>
          <w:sz w:val="22"/>
        </w:rPr>
        <w:t> </w:t>
      </w:r>
      <w:r>
        <w:rPr>
          <w:sz w:val="22"/>
        </w:rPr>
        <w:t>o</w:t>
      </w:r>
      <w:r>
        <w:rPr>
          <w:spacing w:val="-4"/>
          <w:sz w:val="22"/>
        </w:rPr>
        <w:t> </w:t>
      </w:r>
      <w:r>
        <w:rPr>
          <w:sz w:val="22"/>
        </w:rPr>
        <w:t>(b)</w:t>
      </w:r>
      <w:r>
        <w:rPr>
          <w:spacing w:val="-4"/>
          <w:sz w:val="22"/>
        </w:rPr>
        <w:t> </w:t>
      </w:r>
      <w:r>
        <w:rPr>
          <w:sz w:val="22"/>
        </w:rPr>
        <w:t>desde</w:t>
      </w:r>
      <w:r>
        <w:rPr>
          <w:spacing w:val="-6"/>
          <w:sz w:val="22"/>
        </w:rPr>
        <w:t> </w:t>
      </w:r>
      <w:r>
        <w:rPr>
          <w:sz w:val="22"/>
        </w:rPr>
        <w:t>el</w:t>
      </w:r>
      <w:r>
        <w:rPr>
          <w:spacing w:val="-4"/>
          <w:sz w:val="22"/>
        </w:rPr>
        <w:t> </w:t>
      </w:r>
      <w:r>
        <w:rPr>
          <w:sz w:val="22"/>
        </w:rPr>
        <w:t>período</w:t>
      </w:r>
      <w:r>
        <w:rPr>
          <w:spacing w:val="-4"/>
          <w:sz w:val="22"/>
        </w:rPr>
        <w:t> </w:t>
      </w:r>
      <w:r>
        <w:rPr>
          <w:sz w:val="22"/>
        </w:rPr>
        <w:t>precedente. De la cuantitativa o saldos de las cuentas y documentos por cobrar:</w:t>
      </w:r>
    </w:p>
    <w:p>
      <w:pPr>
        <w:pStyle w:val="BodyText"/>
        <w:spacing w:before="23"/>
      </w:pPr>
    </w:p>
    <w:p>
      <w:pPr>
        <w:pStyle w:val="ListParagraph"/>
        <w:numPr>
          <w:ilvl w:val="1"/>
          <w:numId w:val="102"/>
        </w:numPr>
        <w:tabs>
          <w:tab w:pos="1450" w:val="left" w:leader="none"/>
        </w:tabs>
        <w:spacing w:line="240" w:lineRule="auto" w:before="0" w:after="0"/>
        <w:ind w:left="1450" w:right="705" w:hanging="360"/>
        <w:jc w:val="left"/>
        <w:rPr>
          <w:sz w:val="22"/>
        </w:rPr>
      </w:pPr>
      <w:r>
        <w:rPr>
          <w:sz w:val="22"/>
        </w:rPr>
        <w:t>Datos</w:t>
      </w:r>
      <w:r>
        <w:rPr>
          <w:spacing w:val="-4"/>
          <w:sz w:val="22"/>
        </w:rPr>
        <w:t> </w:t>
      </w:r>
      <w:r>
        <w:rPr>
          <w:sz w:val="22"/>
        </w:rPr>
        <w:t>cuantitativos</w:t>
      </w:r>
      <w:r>
        <w:rPr>
          <w:spacing w:val="-1"/>
          <w:sz w:val="22"/>
        </w:rPr>
        <w:t> </w:t>
      </w:r>
      <w:r>
        <w:rPr>
          <w:sz w:val="22"/>
        </w:rPr>
        <w:t>resumidos</w:t>
      </w:r>
      <w:r>
        <w:rPr>
          <w:spacing w:val="-1"/>
          <w:sz w:val="22"/>
        </w:rPr>
        <w:t> </w:t>
      </w:r>
      <w:r>
        <w:rPr>
          <w:sz w:val="22"/>
        </w:rPr>
        <w:t>acerca</w:t>
      </w:r>
      <w:r>
        <w:rPr>
          <w:spacing w:val="-3"/>
          <w:sz w:val="22"/>
        </w:rPr>
        <w:t> </w:t>
      </w:r>
      <w:r>
        <w:rPr>
          <w:sz w:val="22"/>
        </w:rPr>
        <w:t>de</w:t>
      </w:r>
      <w:r>
        <w:rPr>
          <w:spacing w:val="-4"/>
          <w:sz w:val="22"/>
        </w:rPr>
        <w:t> </w:t>
      </w:r>
      <w:r>
        <w:rPr>
          <w:sz w:val="22"/>
        </w:rPr>
        <w:t>su</w:t>
      </w:r>
      <w:r>
        <w:rPr>
          <w:spacing w:val="-2"/>
          <w:sz w:val="22"/>
        </w:rPr>
        <w:t> </w:t>
      </w:r>
      <w:r>
        <w:rPr>
          <w:sz w:val="22"/>
        </w:rPr>
        <w:t>exposición</w:t>
      </w:r>
      <w:r>
        <w:rPr>
          <w:spacing w:val="-2"/>
          <w:sz w:val="22"/>
        </w:rPr>
        <w:t> </w:t>
      </w:r>
      <w:r>
        <w:rPr>
          <w:sz w:val="22"/>
        </w:rPr>
        <w:t>al</w:t>
      </w:r>
      <w:r>
        <w:rPr>
          <w:spacing w:val="-2"/>
          <w:sz w:val="22"/>
        </w:rPr>
        <w:t> </w:t>
      </w:r>
      <w:r>
        <w:rPr>
          <w:sz w:val="22"/>
        </w:rPr>
        <w:t>riesgo</w:t>
      </w:r>
      <w:r>
        <w:rPr>
          <w:spacing w:val="-1"/>
          <w:sz w:val="22"/>
        </w:rPr>
        <w:t> </w:t>
      </w:r>
      <w:r>
        <w:rPr>
          <w:sz w:val="22"/>
        </w:rPr>
        <w:t>al</w:t>
      </w:r>
      <w:r>
        <w:rPr>
          <w:spacing w:val="-2"/>
          <w:sz w:val="22"/>
        </w:rPr>
        <w:t> </w:t>
      </w:r>
      <w:r>
        <w:rPr>
          <w:sz w:val="22"/>
        </w:rPr>
        <w:t>final</w:t>
      </w:r>
      <w:r>
        <w:rPr>
          <w:spacing w:val="-3"/>
          <w:sz w:val="22"/>
        </w:rPr>
        <w:t> </w:t>
      </w:r>
      <w:r>
        <w:rPr>
          <w:sz w:val="22"/>
        </w:rPr>
        <w:t>del</w:t>
      </w:r>
      <w:r>
        <w:rPr>
          <w:spacing w:val="-2"/>
          <w:sz w:val="22"/>
        </w:rPr>
        <w:t> </w:t>
      </w:r>
      <w:r>
        <w:rPr>
          <w:sz w:val="22"/>
        </w:rPr>
        <w:t>periodo</w:t>
      </w:r>
      <w:r>
        <w:rPr>
          <w:spacing w:val="-4"/>
          <w:sz w:val="22"/>
        </w:rPr>
        <w:t> </w:t>
      </w:r>
      <w:r>
        <w:rPr>
          <w:sz w:val="22"/>
        </w:rPr>
        <w:t>sobre</w:t>
      </w:r>
      <w:r>
        <w:rPr>
          <w:spacing w:val="-4"/>
          <w:sz w:val="22"/>
        </w:rPr>
        <w:t> </w:t>
      </w:r>
      <w:r>
        <w:rPr>
          <w:sz w:val="22"/>
        </w:rPr>
        <w:t>el</w:t>
      </w:r>
      <w:r>
        <w:rPr>
          <w:spacing w:val="-2"/>
          <w:sz w:val="22"/>
        </w:rPr>
        <w:t> </w:t>
      </w:r>
      <w:r>
        <w:rPr>
          <w:sz w:val="22"/>
        </w:rPr>
        <w:t>que se informa y se debe indicar el método para gestionar su exposición al riesgo.</w:t>
      </w:r>
    </w:p>
    <w:p>
      <w:pPr>
        <w:pStyle w:val="ListParagraph"/>
        <w:spacing w:after="0" w:line="240" w:lineRule="auto"/>
        <w:jc w:val="left"/>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2544">
                <wp:simplePos x="0" y="0"/>
                <wp:positionH relativeFrom="page">
                  <wp:posOffset>9525</wp:posOffset>
                </wp:positionH>
                <wp:positionV relativeFrom="page">
                  <wp:posOffset>297208</wp:posOffset>
                </wp:positionV>
                <wp:extent cx="7762875" cy="9748520"/>
                <wp:effectExtent l="0" t="0" r="0" b="0"/>
                <wp:wrapNone/>
                <wp:docPr id="1212" name="Group 1212"/>
                <wp:cNvGraphicFramePr>
                  <a:graphicFrameLocks/>
                </wp:cNvGraphicFramePr>
                <a:graphic>
                  <a:graphicData uri="http://schemas.microsoft.com/office/word/2010/wordprocessingGroup">
                    <wpg:wgp>
                      <wpg:cNvPr id="1212" name="Group 1212"/>
                      <wpg:cNvGrpSpPr/>
                      <wpg:grpSpPr>
                        <a:xfrm>
                          <a:off x="0" y="0"/>
                          <a:ext cx="7762875" cy="9748520"/>
                          <a:chExt cx="7762875" cy="9748520"/>
                        </a:xfrm>
                      </wpg:grpSpPr>
                      <pic:pic>
                        <pic:nvPicPr>
                          <pic:cNvPr id="1213" name="Image 1213"/>
                          <pic:cNvPicPr/>
                        </pic:nvPicPr>
                        <pic:blipFill>
                          <a:blip r:embed="rId5" cstate="print"/>
                          <a:stretch>
                            <a:fillRect/>
                          </a:stretch>
                        </pic:blipFill>
                        <pic:spPr>
                          <a:xfrm>
                            <a:off x="0" y="0"/>
                            <a:ext cx="7762874" cy="9748489"/>
                          </a:xfrm>
                          <a:prstGeom prst="rect">
                            <a:avLst/>
                          </a:prstGeom>
                        </pic:spPr>
                      </pic:pic>
                      <wps:wsp>
                        <wps:cNvPr id="1214" name="Graphic 1214"/>
                        <wps:cNvSpPr/>
                        <wps:spPr>
                          <a:xfrm>
                            <a:off x="1053007" y="990837"/>
                            <a:ext cx="6013450" cy="7628890"/>
                          </a:xfrm>
                          <a:custGeom>
                            <a:avLst/>
                            <a:gdLst/>
                            <a:ahLst/>
                            <a:cxnLst/>
                            <a:rect l="l" t="t" r="r" b="b"/>
                            <a:pathLst>
                              <a:path w="6013450" h="7628890">
                                <a:moveTo>
                                  <a:pt x="21336" y="132651"/>
                                </a:moveTo>
                                <a:lnTo>
                                  <a:pt x="15240" y="132651"/>
                                </a:lnTo>
                                <a:lnTo>
                                  <a:pt x="15240" y="7622476"/>
                                </a:lnTo>
                                <a:lnTo>
                                  <a:pt x="21336" y="7622476"/>
                                </a:lnTo>
                                <a:lnTo>
                                  <a:pt x="21336" y="132651"/>
                                </a:lnTo>
                                <a:close/>
                              </a:path>
                              <a:path w="6013450" h="7628890">
                                <a:moveTo>
                                  <a:pt x="5649214" y="0"/>
                                </a:moveTo>
                                <a:lnTo>
                                  <a:pt x="0" y="0"/>
                                </a:lnTo>
                                <a:lnTo>
                                  <a:pt x="0" y="9131"/>
                                </a:lnTo>
                                <a:lnTo>
                                  <a:pt x="5649214" y="9131"/>
                                </a:lnTo>
                                <a:lnTo>
                                  <a:pt x="5649214" y="0"/>
                                </a:lnTo>
                                <a:close/>
                              </a:path>
                              <a:path w="6013450" h="7628890">
                                <a:moveTo>
                                  <a:pt x="6013399" y="7622489"/>
                                </a:moveTo>
                                <a:lnTo>
                                  <a:pt x="6007354" y="7622489"/>
                                </a:lnTo>
                                <a:lnTo>
                                  <a:pt x="21336" y="7622489"/>
                                </a:lnTo>
                                <a:lnTo>
                                  <a:pt x="15240" y="7622489"/>
                                </a:lnTo>
                                <a:lnTo>
                                  <a:pt x="15240" y="7628572"/>
                                </a:lnTo>
                                <a:lnTo>
                                  <a:pt x="21336" y="7628572"/>
                                </a:lnTo>
                                <a:lnTo>
                                  <a:pt x="6007303" y="7628572"/>
                                </a:lnTo>
                                <a:lnTo>
                                  <a:pt x="6013399" y="7628572"/>
                                </a:lnTo>
                                <a:lnTo>
                                  <a:pt x="6013399" y="7622489"/>
                                </a:lnTo>
                                <a:close/>
                              </a:path>
                              <a:path w="6013450" h="7628890">
                                <a:moveTo>
                                  <a:pt x="6013399" y="132651"/>
                                </a:moveTo>
                                <a:lnTo>
                                  <a:pt x="6007303" y="132651"/>
                                </a:lnTo>
                                <a:lnTo>
                                  <a:pt x="6007303" y="7622476"/>
                                </a:lnTo>
                                <a:lnTo>
                                  <a:pt x="6013399" y="7622476"/>
                                </a:lnTo>
                                <a:lnTo>
                                  <a:pt x="6013399" y="132651"/>
                                </a:lnTo>
                                <a:close/>
                              </a:path>
                              <a:path w="6013450" h="7628890">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3936" id="docshapegroup1156" coordorigin="15,468" coordsize="12225,15352">
                <v:shape style="position:absolute;left:15;top:468;width:12225;height:15352" type="#_x0000_t75" id="docshape1157" stroked="false">
                  <v:imagedata r:id="rId5" o:title=""/>
                </v:shape>
                <v:shape style="position:absolute;left:1673;top:2028;width:9470;height:12014" id="docshape1158" coordorigin="1673,2028" coordsize="9470,12014" path="m1707,2237l1697,2237,1697,14032,1707,14032,1707,2237xm10570,2028l1673,2028,1673,2043,10570,2043,10570,2028xm11143,14032l11134,14032,11134,14032,1707,14032,1697,14032,1697,14042,1707,14042,11134,14042,11134,14042,11143,14042,11143,14032xm11143,2237l11134,2237,11134,14032,11143,14032,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237</w:t>
      </w:r>
    </w:p>
    <w:p>
      <w:pPr>
        <w:pStyle w:val="ListParagraph"/>
        <w:numPr>
          <w:ilvl w:val="1"/>
          <w:numId w:val="102"/>
        </w:numPr>
        <w:tabs>
          <w:tab w:pos="1448" w:val="left" w:leader="none"/>
          <w:tab w:pos="1450" w:val="left" w:leader="none"/>
        </w:tabs>
        <w:spacing w:line="240" w:lineRule="auto" w:before="227" w:after="0"/>
        <w:ind w:left="1450" w:right="568" w:hanging="360"/>
        <w:jc w:val="both"/>
        <w:rPr>
          <w:sz w:val="22"/>
        </w:rPr>
      </w:pPr>
      <w:r>
        <w:rPr>
          <w:sz w:val="22"/>
        </w:rPr>
        <w:t>La</w:t>
      </w:r>
      <w:r>
        <w:rPr>
          <w:spacing w:val="-1"/>
          <w:sz w:val="22"/>
        </w:rPr>
        <w:t> </w:t>
      </w:r>
      <w:r>
        <w:rPr>
          <w:sz w:val="22"/>
        </w:rPr>
        <w:t>información por revelar requerida</w:t>
      </w:r>
      <w:r>
        <w:rPr>
          <w:spacing w:val="-1"/>
          <w:sz w:val="22"/>
        </w:rPr>
        <w:t> </w:t>
      </w:r>
      <w:r>
        <w:rPr>
          <w:sz w:val="22"/>
        </w:rPr>
        <w:t>por los párrafos 43 a</w:t>
      </w:r>
      <w:r>
        <w:rPr>
          <w:spacing w:val="-2"/>
          <w:sz w:val="22"/>
        </w:rPr>
        <w:t> </w:t>
      </w:r>
      <w:r>
        <w:rPr>
          <w:sz w:val="22"/>
        </w:rPr>
        <w:t>49, en la</w:t>
      </w:r>
      <w:r>
        <w:rPr>
          <w:spacing w:val="-1"/>
          <w:sz w:val="22"/>
        </w:rPr>
        <w:t> </w:t>
      </w:r>
      <w:r>
        <w:rPr>
          <w:sz w:val="22"/>
        </w:rPr>
        <w:t>medida</w:t>
      </w:r>
      <w:r>
        <w:rPr>
          <w:spacing w:val="-1"/>
          <w:sz w:val="22"/>
        </w:rPr>
        <w:t> </w:t>
      </w:r>
      <w:r>
        <w:rPr>
          <w:sz w:val="22"/>
        </w:rPr>
        <w:t>en que</w:t>
      </w:r>
      <w:r>
        <w:rPr>
          <w:spacing w:val="-2"/>
          <w:sz w:val="22"/>
        </w:rPr>
        <w:t> </w:t>
      </w:r>
      <w:r>
        <w:rPr>
          <w:sz w:val="22"/>
        </w:rPr>
        <w:t>no haya</w:t>
      </w:r>
      <w:r>
        <w:rPr>
          <w:spacing w:val="-1"/>
          <w:sz w:val="22"/>
        </w:rPr>
        <w:t> </w:t>
      </w:r>
      <w:r>
        <w:rPr>
          <w:sz w:val="22"/>
        </w:rPr>
        <w:t>sido suministrada</w:t>
      </w:r>
      <w:r>
        <w:rPr>
          <w:spacing w:val="-6"/>
          <w:sz w:val="22"/>
        </w:rPr>
        <w:t> </w:t>
      </w:r>
      <w:r>
        <w:rPr>
          <w:sz w:val="22"/>
        </w:rPr>
        <w:t>siguiendo</w:t>
      </w:r>
      <w:r>
        <w:rPr>
          <w:spacing w:val="-3"/>
          <w:sz w:val="22"/>
        </w:rPr>
        <w:t> </w:t>
      </w:r>
      <w:r>
        <w:rPr>
          <w:sz w:val="22"/>
        </w:rPr>
        <w:t>el</w:t>
      </w:r>
      <w:r>
        <w:rPr>
          <w:spacing w:val="-3"/>
          <w:sz w:val="22"/>
        </w:rPr>
        <w:t> </w:t>
      </w:r>
      <w:r>
        <w:rPr>
          <w:sz w:val="22"/>
        </w:rPr>
        <w:t>apartado</w:t>
      </w:r>
      <w:r>
        <w:rPr>
          <w:spacing w:val="-3"/>
          <w:sz w:val="22"/>
        </w:rPr>
        <w:t> </w:t>
      </w:r>
      <w:r>
        <w:rPr>
          <w:sz w:val="22"/>
        </w:rPr>
        <w:t>(a),</w:t>
      </w:r>
      <w:r>
        <w:rPr>
          <w:spacing w:val="-3"/>
          <w:sz w:val="22"/>
        </w:rPr>
        <w:t> </w:t>
      </w:r>
      <w:r>
        <w:rPr>
          <w:sz w:val="22"/>
        </w:rPr>
        <w:t>referidos</w:t>
      </w:r>
      <w:r>
        <w:rPr>
          <w:spacing w:val="-2"/>
          <w:sz w:val="22"/>
        </w:rPr>
        <w:t> </w:t>
      </w:r>
      <w:r>
        <w:rPr>
          <w:sz w:val="22"/>
        </w:rPr>
        <w:t>al</w:t>
      </w:r>
      <w:r>
        <w:rPr>
          <w:spacing w:val="-3"/>
          <w:sz w:val="22"/>
        </w:rPr>
        <w:t> </w:t>
      </w:r>
      <w:r>
        <w:rPr>
          <w:sz w:val="22"/>
        </w:rPr>
        <w:t>riesgo</w:t>
      </w:r>
      <w:r>
        <w:rPr>
          <w:spacing w:val="-2"/>
          <w:sz w:val="22"/>
        </w:rPr>
        <w:t> </w:t>
      </w:r>
      <w:r>
        <w:rPr>
          <w:sz w:val="22"/>
        </w:rPr>
        <w:t>de</w:t>
      </w:r>
      <w:r>
        <w:rPr>
          <w:spacing w:val="-5"/>
          <w:sz w:val="22"/>
        </w:rPr>
        <w:t> </w:t>
      </w:r>
      <w:r>
        <w:rPr>
          <w:sz w:val="22"/>
        </w:rPr>
        <w:t>crédito,</w:t>
      </w:r>
      <w:r>
        <w:rPr>
          <w:spacing w:val="-3"/>
          <w:sz w:val="22"/>
        </w:rPr>
        <w:t> </w:t>
      </w:r>
      <w:r>
        <w:rPr>
          <w:sz w:val="22"/>
        </w:rPr>
        <w:t>riesgo</w:t>
      </w:r>
      <w:r>
        <w:rPr>
          <w:spacing w:val="-2"/>
          <w:sz w:val="22"/>
        </w:rPr>
        <w:t> </w:t>
      </w:r>
      <w:r>
        <w:rPr>
          <w:sz w:val="22"/>
        </w:rPr>
        <w:t>asociado</w:t>
      </w:r>
      <w:r>
        <w:rPr>
          <w:spacing w:val="-3"/>
          <w:sz w:val="22"/>
        </w:rPr>
        <w:t> </w:t>
      </w:r>
      <w:r>
        <w:rPr>
          <w:sz w:val="22"/>
        </w:rPr>
        <w:t>a</w:t>
      </w:r>
      <w:r>
        <w:rPr>
          <w:spacing w:val="-4"/>
          <w:sz w:val="22"/>
        </w:rPr>
        <w:t> </w:t>
      </w:r>
      <w:r>
        <w:rPr>
          <w:sz w:val="22"/>
        </w:rPr>
        <w:t>las</w:t>
      </w:r>
      <w:r>
        <w:rPr>
          <w:spacing w:val="-2"/>
          <w:sz w:val="22"/>
        </w:rPr>
        <w:t> </w:t>
      </w:r>
      <w:r>
        <w:rPr>
          <w:sz w:val="22"/>
        </w:rPr>
        <w:t>cuentas por cobrar.</w:t>
      </w:r>
    </w:p>
    <w:p>
      <w:pPr>
        <w:pStyle w:val="ListParagraph"/>
        <w:numPr>
          <w:ilvl w:val="1"/>
          <w:numId w:val="102"/>
        </w:numPr>
        <w:tabs>
          <w:tab w:pos="940" w:val="left" w:leader="none"/>
        </w:tabs>
        <w:spacing w:line="259" w:lineRule="auto" w:before="1" w:after="0"/>
        <w:ind w:left="730" w:right="3013" w:firstLine="0"/>
        <w:jc w:val="both"/>
        <w:rPr>
          <w:sz w:val="22"/>
        </w:rPr>
      </w:pPr>
      <w:r>
        <w:rPr>
          <w:sz w:val="22"/>
        </w:rPr>
        <w:t>Las</w:t>
      </w:r>
      <w:r>
        <w:rPr>
          <w:spacing w:val="-2"/>
          <w:sz w:val="22"/>
        </w:rPr>
        <w:t> </w:t>
      </w:r>
      <w:r>
        <w:rPr>
          <w:sz w:val="22"/>
        </w:rPr>
        <w:t>concentraciones</w:t>
      </w:r>
      <w:r>
        <w:rPr>
          <w:spacing w:val="-2"/>
          <w:sz w:val="22"/>
        </w:rPr>
        <w:t> </w:t>
      </w:r>
      <w:r>
        <w:rPr>
          <w:sz w:val="22"/>
        </w:rPr>
        <w:t>de</w:t>
      </w:r>
      <w:r>
        <w:rPr>
          <w:spacing w:val="-5"/>
          <w:sz w:val="22"/>
        </w:rPr>
        <w:t> </w:t>
      </w:r>
      <w:r>
        <w:rPr>
          <w:sz w:val="22"/>
        </w:rPr>
        <w:t>riesgo,</w:t>
      </w:r>
      <w:r>
        <w:rPr>
          <w:spacing w:val="-6"/>
          <w:sz w:val="22"/>
        </w:rPr>
        <w:t> </w:t>
      </w:r>
      <w:r>
        <w:rPr>
          <w:sz w:val="22"/>
        </w:rPr>
        <w:t>si</w:t>
      </w:r>
      <w:r>
        <w:rPr>
          <w:spacing w:val="-3"/>
          <w:sz w:val="22"/>
        </w:rPr>
        <w:t> </w:t>
      </w:r>
      <w:r>
        <w:rPr>
          <w:sz w:val="22"/>
        </w:rPr>
        <w:t>no</w:t>
      </w:r>
      <w:r>
        <w:rPr>
          <w:spacing w:val="-3"/>
          <w:sz w:val="22"/>
        </w:rPr>
        <w:t> </w:t>
      </w:r>
      <w:r>
        <w:rPr>
          <w:sz w:val="22"/>
        </w:rPr>
        <w:t>resultan</w:t>
      </w:r>
      <w:r>
        <w:rPr>
          <w:spacing w:val="-3"/>
          <w:sz w:val="22"/>
        </w:rPr>
        <w:t> </w:t>
      </w:r>
      <w:r>
        <w:rPr>
          <w:sz w:val="22"/>
        </w:rPr>
        <w:t>aparentes</w:t>
      </w:r>
      <w:r>
        <w:rPr>
          <w:spacing w:val="-2"/>
          <w:sz w:val="22"/>
        </w:rPr>
        <w:t> </w:t>
      </w:r>
      <w:r>
        <w:rPr>
          <w:sz w:val="22"/>
        </w:rPr>
        <w:t>de</w:t>
      </w:r>
      <w:r>
        <w:rPr>
          <w:spacing w:val="-5"/>
          <w:sz w:val="22"/>
        </w:rPr>
        <w:t> </w:t>
      </w:r>
      <w:r>
        <w:rPr>
          <w:sz w:val="22"/>
        </w:rPr>
        <w:t>la</w:t>
      </w:r>
      <w:r>
        <w:rPr>
          <w:spacing w:val="-5"/>
          <w:sz w:val="22"/>
        </w:rPr>
        <w:t> </w:t>
      </w:r>
      <w:r>
        <w:rPr>
          <w:sz w:val="22"/>
        </w:rPr>
        <w:t>información</w:t>
      </w:r>
      <w:r>
        <w:rPr>
          <w:spacing w:val="-3"/>
          <w:sz w:val="22"/>
        </w:rPr>
        <w:t> </w:t>
      </w:r>
      <w:r>
        <w:rPr>
          <w:sz w:val="22"/>
        </w:rPr>
        <w:t>a revelar realizada de acuerdo con los apartados (a) y (b).</w:t>
      </w:r>
    </w:p>
    <w:p>
      <w:pPr>
        <w:pStyle w:val="BodyText"/>
        <w:spacing w:before="21"/>
      </w:pPr>
    </w:p>
    <w:p>
      <w:pPr>
        <w:pStyle w:val="BodyText"/>
        <w:ind w:left="730"/>
        <w:jc w:val="both"/>
      </w:pPr>
      <w:r>
        <w:rPr/>
        <w:t>Grado</w:t>
      </w:r>
      <w:r>
        <w:rPr>
          <w:spacing w:val="-4"/>
        </w:rPr>
        <w:t> </w:t>
      </w:r>
      <w:r>
        <w:rPr/>
        <w:t>de</w:t>
      </w:r>
      <w:r>
        <w:rPr>
          <w:spacing w:val="-4"/>
        </w:rPr>
        <w:t> </w:t>
      </w:r>
      <w:r>
        <w:rPr/>
        <w:t>calificación</w:t>
      </w:r>
      <w:r>
        <w:rPr>
          <w:spacing w:val="-3"/>
        </w:rPr>
        <w:t> </w:t>
      </w:r>
      <w:r>
        <w:rPr/>
        <w:t>del</w:t>
      </w:r>
      <w:r>
        <w:rPr>
          <w:spacing w:val="-3"/>
        </w:rPr>
        <w:t> </w:t>
      </w:r>
      <w:r>
        <w:rPr/>
        <w:t>riesgo</w:t>
      </w:r>
      <w:r>
        <w:rPr>
          <w:spacing w:val="-2"/>
        </w:rPr>
        <w:t> crediticio</w:t>
      </w:r>
    </w:p>
    <w:p>
      <w:pPr>
        <w:pStyle w:val="BodyText"/>
        <w:spacing w:line="259" w:lineRule="auto" w:before="18"/>
        <w:ind w:left="730" w:right="491"/>
        <w:jc w:val="both"/>
      </w:pPr>
      <w:r>
        <w:rPr/>
        <w:t>El riesgo de baja efectividad de las estrategias cobratorias su probabilidad de ocurrencia es posible o probable y si ocurre su impacto es moderado.</w:t>
      </w:r>
    </w:p>
    <w:p>
      <w:pPr>
        <w:pStyle w:val="BodyText"/>
        <w:spacing w:before="21"/>
      </w:pPr>
    </w:p>
    <w:p>
      <w:pPr>
        <w:pStyle w:val="BodyText"/>
        <w:spacing w:line="259" w:lineRule="auto"/>
        <w:ind w:left="730" w:right="7710"/>
        <w:jc w:val="both"/>
      </w:pPr>
      <w:r>
        <w:rPr/>
        <w:t>Información</w:t>
      </w:r>
      <w:r>
        <w:rPr>
          <w:spacing w:val="-14"/>
        </w:rPr>
        <w:t> </w:t>
      </w:r>
      <w:r>
        <w:rPr/>
        <w:t>cualitativa Riesgo de liquidez</w:t>
      </w:r>
    </w:p>
    <w:p>
      <w:pPr>
        <w:pStyle w:val="BodyText"/>
        <w:spacing w:line="259" w:lineRule="auto"/>
        <w:ind w:left="730" w:right="491"/>
        <w:jc w:val="both"/>
      </w:pPr>
      <w:r>
        <w:rPr/>
        <w:t>Baja efectividad de las estrategias cobratorias gestionadas y el no poder recaudar los ingresos proyectados debido</w:t>
      </w:r>
      <w:r>
        <w:rPr>
          <w:spacing w:val="-4"/>
        </w:rPr>
        <w:t> </w:t>
      </w:r>
      <w:r>
        <w:rPr/>
        <w:t>a</w:t>
      </w:r>
      <w:r>
        <w:rPr>
          <w:spacing w:val="-5"/>
        </w:rPr>
        <w:t> </w:t>
      </w:r>
      <w:r>
        <w:rPr/>
        <w:t>limitaciones</w:t>
      </w:r>
      <w:r>
        <w:rPr>
          <w:spacing w:val="-4"/>
        </w:rPr>
        <w:t> </w:t>
      </w:r>
      <w:r>
        <w:rPr/>
        <w:t>con</w:t>
      </w:r>
      <w:r>
        <w:rPr>
          <w:spacing w:val="-4"/>
        </w:rPr>
        <w:t> </w:t>
      </w:r>
      <w:r>
        <w:rPr/>
        <w:t>la</w:t>
      </w:r>
      <w:r>
        <w:rPr>
          <w:spacing w:val="-8"/>
        </w:rPr>
        <w:t> </w:t>
      </w:r>
      <w:r>
        <w:rPr/>
        <w:t>ejecución</w:t>
      </w:r>
      <w:r>
        <w:rPr>
          <w:spacing w:val="-4"/>
        </w:rPr>
        <w:t> </w:t>
      </w:r>
      <w:r>
        <w:rPr/>
        <w:t>de</w:t>
      </w:r>
      <w:r>
        <w:rPr>
          <w:spacing w:val="-6"/>
        </w:rPr>
        <w:t> </w:t>
      </w:r>
      <w:r>
        <w:rPr/>
        <w:t>contratos</w:t>
      </w:r>
      <w:r>
        <w:rPr>
          <w:spacing w:val="-4"/>
        </w:rPr>
        <w:t> </w:t>
      </w:r>
      <w:r>
        <w:rPr/>
        <w:t>o</w:t>
      </w:r>
      <w:r>
        <w:rPr>
          <w:spacing w:val="-4"/>
        </w:rPr>
        <w:t> </w:t>
      </w:r>
      <w:r>
        <w:rPr/>
        <w:t>baja</w:t>
      </w:r>
      <w:r>
        <w:rPr>
          <w:spacing w:val="-5"/>
        </w:rPr>
        <w:t> </w:t>
      </w:r>
      <w:r>
        <w:rPr/>
        <w:t>efectividad,</w:t>
      </w:r>
      <w:r>
        <w:rPr>
          <w:spacing w:val="-2"/>
        </w:rPr>
        <w:t> </w:t>
      </w:r>
      <w:r>
        <w:rPr/>
        <w:t>esto</w:t>
      </w:r>
      <w:r>
        <w:rPr>
          <w:spacing w:val="-4"/>
        </w:rPr>
        <w:t> </w:t>
      </w:r>
      <w:r>
        <w:rPr/>
        <w:t>nos</w:t>
      </w:r>
      <w:r>
        <w:rPr>
          <w:spacing w:val="-4"/>
        </w:rPr>
        <w:t> </w:t>
      </w:r>
      <w:r>
        <w:rPr/>
        <w:t>lleva</w:t>
      </w:r>
      <w:r>
        <w:rPr>
          <w:spacing w:val="-6"/>
        </w:rPr>
        <w:t> </w:t>
      </w:r>
      <w:r>
        <w:rPr/>
        <w:t>a</w:t>
      </w:r>
      <w:r>
        <w:rPr>
          <w:spacing w:val="-5"/>
        </w:rPr>
        <w:t> </w:t>
      </w:r>
      <w:r>
        <w:rPr/>
        <w:t>un</w:t>
      </w:r>
      <w:r>
        <w:rPr>
          <w:spacing w:val="-5"/>
        </w:rPr>
        <w:t> </w:t>
      </w:r>
      <w:r>
        <w:rPr/>
        <w:t>riesgo</w:t>
      </w:r>
      <w:r>
        <w:rPr>
          <w:spacing w:val="-4"/>
        </w:rPr>
        <w:t> </w:t>
      </w:r>
      <w:r>
        <w:rPr/>
        <w:t>de</w:t>
      </w:r>
      <w:r>
        <w:rPr>
          <w:spacing w:val="-6"/>
        </w:rPr>
        <w:t> </w:t>
      </w:r>
      <w:r>
        <w:rPr/>
        <w:t>liquidez según la Norma.</w:t>
      </w:r>
    </w:p>
    <w:p>
      <w:pPr>
        <w:pStyle w:val="BodyText"/>
        <w:spacing w:before="18"/>
      </w:pPr>
    </w:p>
    <w:p>
      <w:pPr>
        <w:pStyle w:val="BodyText"/>
        <w:spacing w:before="1"/>
        <w:ind w:left="730"/>
        <w:jc w:val="both"/>
      </w:pPr>
      <w:r>
        <w:rPr/>
        <w:t>Riesgo</w:t>
      </w:r>
      <w:r>
        <w:rPr>
          <w:spacing w:val="-3"/>
        </w:rPr>
        <w:t> </w:t>
      </w:r>
      <w:r>
        <w:rPr/>
        <w:t>de</w:t>
      </w:r>
      <w:r>
        <w:rPr>
          <w:spacing w:val="-3"/>
        </w:rPr>
        <w:t> </w:t>
      </w:r>
      <w:r>
        <w:rPr>
          <w:spacing w:val="-2"/>
        </w:rPr>
        <w:t>mercado</w:t>
      </w:r>
    </w:p>
    <w:p>
      <w:pPr>
        <w:pStyle w:val="BodyText"/>
        <w:spacing w:line="259" w:lineRule="auto" w:before="20"/>
        <w:ind w:left="730" w:right="487"/>
        <w:jc w:val="both"/>
      </w:pPr>
      <w:r>
        <w:rPr/>
        <w:t>Al producirse cambios en las tasas de interés puede que la composición de las Otras Cuentas por Cobrar se modifique de</w:t>
      </w:r>
      <w:r>
        <w:rPr>
          <w:spacing w:val="-1"/>
        </w:rPr>
        <w:t> </w:t>
      </w:r>
      <w:r>
        <w:rPr/>
        <w:t>tal manera que puedan producir una pérdida económica para la institución, sin embargo, la afectación sería mínima por ser montos relativamente bajos con respecto al total de cuentas por cobrar del IMAS.</w:t>
      </w:r>
    </w:p>
    <w:p>
      <w:pPr>
        <w:pStyle w:val="BodyText"/>
        <w:spacing w:before="19"/>
      </w:pPr>
    </w:p>
    <w:p>
      <w:pPr>
        <w:pStyle w:val="BodyText"/>
        <w:ind w:left="730"/>
      </w:pPr>
      <w:r>
        <w:rPr/>
        <w:t>Exposición</w:t>
      </w:r>
      <w:r>
        <w:rPr>
          <w:spacing w:val="-4"/>
        </w:rPr>
        <w:t> </w:t>
      </w:r>
      <w:r>
        <w:rPr/>
        <w:t>al</w:t>
      </w:r>
      <w:r>
        <w:rPr>
          <w:spacing w:val="-1"/>
        </w:rPr>
        <w:t> </w:t>
      </w:r>
      <w:r>
        <w:rPr>
          <w:spacing w:val="-2"/>
        </w:rPr>
        <w:t>riesgo</w:t>
      </w:r>
    </w:p>
    <w:p>
      <w:pPr>
        <w:pStyle w:val="BodyText"/>
        <w:spacing w:line="259" w:lineRule="auto" w:before="20"/>
        <w:ind w:left="730" w:right="461"/>
      </w:pPr>
      <w:r>
        <w:rPr/>
        <w:t>Surge</w:t>
      </w:r>
      <w:r>
        <w:rPr>
          <w:spacing w:val="-4"/>
        </w:rPr>
        <w:t> </w:t>
      </w:r>
      <w:r>
        <w:rPr/>
        <w:t>cuando</w:t>
      </w:r>
      <w:r>
        <w:rPr>
          <w:spacing w:val="-2"/>
        </w:rPr>
        <w:t> </w:t>
      </w:r>
      <w:r>
        <w:rPr/>
        <w:t>la</w:t>
      </w:r>
      <w:r>
        <w:rPr>
          <w:spacing w:val="-3"/>
        </w:rPr>
        <w:t> </w:t>
      </w:r>
      <w:r>
        <w:rPr/>
        <w:t>información</w:t>
      </w:r>
      <w:r>
        <w:rPr>
          <w:spacing w:val="-2"/>
        </w:rPr>
        <w:t> </w:t>
      </w:r>
      <w:r>
        <w:rPr/>
        <w:t>remitida</w:t>
      </w:r>
      <w:r>
        <w:rPr>
          <w:spacing w:val="-3"/>
        </w:rPr>
        <w:t> </w:t>
      </w:r>
      <w:r>
        <w:rPr/>
        <w:t>en</w:t>
      </w:r>
      <w:r>
        <w:rPr>
          <w:spacing w:val="-2"/>
        </w:rPr>
        <w:t> </w:t>
      </w:r>
      <w:r>
        <w:rPr/>
        <w:t>las</w:t>
      </w:r>
      <w:r>
        <w:rPr>
          <w:spacing w:val="-1"/>
        </w:rPr>
        <w:t> </w:t>
      </w:r>
      <w:r>
        <w:rPr/>
        <w:t>bases</w:t>
      </w:r>
      <w:r>
        <w:rPr>
          <w:spacing w:val="-1"/>
        </w:rPr>
        <w:t> </w:t>
      </w:r>
      <w:r>
        <w:rPr/>
        <w:t>de</w:t>
      </w:r>
      <w:r>
        <w:rPr>
          <w:spacing w:val="-4"/>
        </w:rPr>
        <w:t> </w:t>
      </w:r>
      <w:r>
        <w:rPr/>
        <w:t>datos</w:t>
      </w:r>
      <w:r>
        <w:rPr>
          <w:spacing w:val="-1"/>
        </w:rPr>
        <w:t> </w:t>
      </w:r>
      <w:r>
        <w:rPr/>
        <w:t>no</w:t>
      </w:r>
      <w:r>
        <w:rPr>
          <w:spacing w:val="-2"/>
        </w:rPr>
        <w:t> </w:t>
      </w:r>
      <w:r>
        <w:rPr/>
        <w:t>corresponde</w:t>
      </w:r>
      <w:r>
        <w:rPr>
          <w:spacing w:val="-3"/>
        </w:rPr>
        <w:t> </w:t>
      </w:r>
      <w:r>
        <w:rPr/>
        <w:t>al</w:t>
      </w:r>
      <w:r>
        <w:rPr>
          <w:spacing w:val="-2"/>
        </w:rPr>
        <w:t> </w:t>
      </w:r>
      <w:r>
        <w:rPr/>
        <w:t>patrono,</w:t>
      </w:r>
      <w:r>
        <w:rPr>
          <w:spacing w:val="-2"/>
        </w:rPr>
        <w:t> </w:t>
      </w:r>
      <w:r>
        <w:rPr/>
        <w:t>cuando</w:t>
      </w:r>
      <w:r>
        <w:rPr>
          <w:spacing w:val="-2"/>
        </w:rPr>
        <w:t> </w:t>
      </w:r>
      <w:r>
        <w:rPr/>
        <w:t>el</w:t>
      </w:r>
      <w:r>
        <w:rPr>
          <w:spacing w:val="-2"/>
        </w:rPr>
        <w:t> </w:t>
      </w:r>
      <w:r>
        <w:rPr/>
        <w:t>patrono se encuentre inactivo, no exista, las sociedades estén vencidas o los patronos se encuentren fallecidos.</w:t>
      </w:r>
    </w:p>
    <w:p>
      <w:pPr>
        <w:pStyle w:val="BodyText"/>
        <w:spacing w:line="259" w:lineRule="auto"/>
        <w:ind w:left="730" w:right="527"/>
      </w:pPr>
      <w:r>
        <w:rPr/>
        <w:t>Así mismo, hay exposición cuando los patronos alegan prescripción por gestión cobratoria inoportuna.</w:t>
      </w:r>
      <w:r>
        <w:rPr>
          <w:spacing w:val="80"/>
        </w:rPr>
        <w:t> </w:t>
      </w:r>
      <w:r>
        <w:rPr/>
        <w:t>En</w:t>
      </w:r>
      <w:r>
        <w:rPr>
          <w:spacing w:val="19"/>
        </w:rPr>
        <w:t> </w:t>
      </w:r>
      <w:r>
        <w:rPr/>
        <w:t>el</w:t>
      </w:r>
      <w:r>
        <w:rPr>
          <w:spacing w:val="18"/>
        </w:rPr>
        <w:t> </w:t>
      </w:r>
      <w:r>
        <w:rPr/>
        <w:t>caso</w:t>
      </w:r>
      <w:r>
        <w:rPr>
          <w:spacing w:val="20"/>
        </w:rPr>
        <w:t> </w:t>
      </w:r>
      <w:r>
        <w:rPr/>
        <w:t>de Otras</w:t>
      </w:r>
      <w:r>
        <w:rPr>
          <w:spacing w:val="18"/>
        </w:rPr>
        <w:t> </w:t>
      </w:r>
      <w:r>
        <w:rPr/>
        <w:t>Cuentas</w:t>
      </w:r>
      <w:r>
        <w:rPr>
          <w:spacing w:val="20"/>
        </w:rPr>
        <w:t> </w:t>
      </w:r>
      <w:r>
        <w:rPr/>
        <w:t>por</w:t>
      </w:r>
      <w:r>
        <w:rPr>
          <w:spacing w:val="17"/>
        </w:rPr>
        <w:t> </w:t>
      </w:r>
      <w:r>
        <w:rPr/>
        <w:t>Cobrar</w:t>
      </w:r>
      <w:r>
        <w:rPr>
          <w:spacing w:val="17"/>
        </w:rPr>
        <w:t> </w:t>
      </w:r>
      <w:r>
        <w:rPr/>
        <w:t>cuando</w:t>
      </w:r>
      <w:r>
        <w:rPr>
          <w:spacing w:val="20"/>
        </w:rPr>
        <w:t> </w:t>
      </w:r>
      <w:r>
        <w:rPr/>
        <w:t>no</w:t>
      </w:r>
      <w:r>
        <w:rPr>
          <w:spacing w:val="17"/>
        </w:rPr>
        <w:t> </w:t>
      </w:r>
      <w:r>
        <w:rPr/>
        <w:t>se</w:t>
      </w:r>
      <w:r>
        <w:rPr>
          <w:spacing w:val="18"/>
        </w:rPr>
        <w:t> </w:t>
      </w:r>
      <w:r>
        <w:rPr/>
        <w:t>cuenta</w:t>
      </w:r>
      <w:r>
        <w:rPr>
          <w:spacing w:val="19"/>
        </w:rPr>
        <w:t> </w:t>
      </w:r>
      <w:r>
        <w:rPr/>
        <w:t>con</w:t>
      </w:r>
      <w:r>
        <w:rPr>
          <w:spacing w:val="17"/>
        </w:rPr>
        <w:t> </w:t>
      </w:r>
      <w:r>
        <w:rPr/>
        <w:t>la</w:t>
      </w:r>
      <w:r>
        <w:rPr>
          <w:spacing w:val="18"/>
        </w:rPr>
        <w:t> </w:t>
      </w:r>
      <w:r>
        <w:rPr/>
        <w:t>documentación</w:t>
      </w:r>
      <w:r>
        <w:rPr>
          <w:spacing w:val="19"/>
        </w:rPr>
        <w:t> </w:t>
      </w:r>
      <w:r>
        <w:rPr/>
        <w:t>de</w:t>
      </w:r>
      <w:r>
        <w:rPr>
          <w:spacing w:val="17"/>
        </w:rPr>
        <w:t> </w:t>
      </w:r>
      <w:r>
        <w:rPr/>
        <w:t>respaldo</w:t>
      </w:r>
      <w:r>
        <w:rPr>
          <w:spacing w:val="20"/>
        </w:rPr>
        <w:t> </w:t>
      </w:r>
      <w:r>
        <w:rPr/>
        <w:t>de</w:t>
      </w:r>
      <w:r>
        <w:rPr>
          <w:spacing w:val="17"/>
        </w:rPr>
        <w:t> </w:t>
      </w:r>
      <w:r>
        <w:rPr/>
        <w:t>la cuenta o ausencia de expediente que evidencie los términos bajo los que se firmó la operación.</w:t>
      </w:r>
    </w:p>
    <w:p>
      <w:pPr>
        <w:pStyle w:val="BodyText"/>
        <w:spacing w:before="19"/>
      </w:pPr>
    </w:p>
    <w:p>
      <w:pPr>
        <w:pStyle w:val="BodyText"/>
        <w:ind w:left="730"/>
        <w:jc w:val="both"/>
      </w:pPr>
      <w:r>
        <w:rPr/>
        <w:t>Objetivos,</w:t>
      </w:r>
      <w:r>
        <w:rPr>
          <w:spacing w:val="-4"/>
        </w:rPr>
        <w:t> </w:t>
      </w:r>
      <w:r>
        <w:rPr/>
        <w:t>políticas</w:t>
      </w:r>
      <w:r>
        <w:rPr>
          <w:spacing w:val="-3"/>
        </w:rPr>
        <w:t> </w:t>
      </w:r>
      <w:r>
        <w:rPr/>
        <w:t>y</w:t>
      </w:r>
      <w:r>
        <w:rPr>
          <w:spacing w:val="-4"/>
        </w:rPr>
        <w:t> </w:t>
      </w:r>
      <w:r>
        <w:rPr/>
        <w:t>procesos</w:t>
      </w:r>
      <w:r>
        <w:rPr>
          <w:spacing w:val="-3"/>
        </w:rPr>
        <w:t> </w:t>
      </w:r>
      <w:r>
        <w:rPr/>
        <w:t>de</w:t>
      </w:r>
      <w:r>
        <w:rPr>
          <w:spacing w:val="-5"/>
        </w:rPr>
        <w:t> </w:t>
      </w:r>
      <w:r>
        <w:rPr>
          <w:spacing w:val="-2"/>
        </w:rPr>
        <w:t>gestión:</w:t>
      </w:r>
    </w:p>
    <w:p>
      <w:pPr>
        <w:pStyle w:val="BodyText"/>
        <w:spacing w:line="259" w:lineRule="auto" w:before="20"/>
        <w:ind w:left="730" w:right="486"/>
        <w:jc w:val="both"/>
      </w:pPr>
      <w:r>
        <w:rPr/>
        <w:t>El Objetivo definido que</w:t>
      </w:r>
      <w:r>
        <w:rPr>
          <w:spacing w:val="-1"/>
        </w:rPr>
        <w:t> </w:t>
      </w:r>
      <w:r>
        <w:rPr/>
        <w:t>se ve afectado por este riesgo</w:t>
      </w:r>
      <w:r>
        <w:rPr>
          <w:spacing w:val="-1"/>
        </w:rPr>
        <w:t> </w:t>
      </w:r>
      <w:r>
        <w:rPr/>
        <w:t>es la generación de ingresos por gestión cobratoria de aportes Patronales, de Moteles y lugares afines (Ley 4760 y Ley 9326). Para la gestión de dicho riesgo, se procederá con las siguientes estrategias, a saber:</w:t>
      </w:r>
    </w:p>
    <w:p>
      <w:pPr>
        <w:pStyle w:val="ListParagraph"/>
        <w:numPr>
          <w:ilvl w:val="0"/>
          <w:numId w:val="103"/>
        </w:numPr>
        <w:tabs>
          <w:tab w:pos="1449" w:val="left" w:leader="none"/>
        </w:tabs>
        <w:spacing w:line="259" w:lineRule="exact" w:before="0" w:after="0"/>
        <w:ind w:left="1449" w:right="0" w:hanging="359"/>
        <w:jc w:val="both"/>
        <w:rPr>
          <w:sz w:val="22"/>
        </w:rPr>
      </w:pPr>
      <w:r>
        <w:rPr>
          <w:sz w:val="22"/>
        </w:rPr>
        <w:t>Abogados</w:t>
      </w:r>
      <w:r>
        <w:rPr>
          <w:spacing w:val="-5"/>
          <w:sz w:val="22"/>
        </w:rPr>
        <w:t> </w:t>
      </w:r>
      <w:r>
        <w:rPr>
          <w:sz w:val="22"/>
        </w:rPr>
        <w:t>Externos</w:t>
      </w:r>
      <w:r>
        <w:rPr>
          <w:spacing w:val="-2"/>
          <w:sz w:val="22"/>
        </w:rPr>
        <w:t> </w:t>
      </w:r>
      <w:r>
        <w:rPr>
          <w:sz w:val="22"/>
        </w:rPr>
        <w:t>para</w:t>
      </w:r>
      <w:r>
        <w:rPr>
          <w:spacing w:val="-4"/>
          <w:sz w:val="22"/>
        </w:rPr>
        <w:t> </w:t>
      </w:r>
      <w:r>
        <w:rPr>
          <w:sz w:val="22"/>
        </w:rPr>
        <w:t>inicio</w:t>
      </w:r>
      <w:r>
        <w:rPr>
          <w:spacing w:val="-4"/>
          <w:sz w:val="22"/>
        </w:rPr>
        <w:t> </w:t>
      </w:r>
      <w:r>
        <w:rPr>
          <w:sz w:val="22"/>
        </w:rPr>
        <w:t>y</w:t>
      </w:r>
      <w:r>
        <w:rPr>
          <w:spacing w:val="-4"/>
          <w:sz w:val="22"/>
        </w:rPr>
        <w:t> </w:t>
      </w:r>
      <w:r>
        <w:rPr>
          <w:sz w:val="22"/>
        </w:rPr>
        <w:t>trámite</w:t>
      </w:r>
      <w:r>
        <w:rPr>
          <w:spacing w:val="-4"/>
          <w:sz w:val="22"/>
        </w:rPr>
        <w:t> </w:t>
      </w:r>
      <w:r>
        <w:rPr>
          <w:sz w:val="22"/>
        </w:rPr>
        <w:t>de</w:t>
      </w:r>
      <w:r>
        <w:rPr>
          <w:spacing w:val="-5"/>
          <w:sz w:val="22"/>
        </w:rPr>
        <w:t> </w:t>
      </w:r>
      <w:r>
        <w:rPr>
          <w:sz w:val="22"/>
        </w:rPr>
        <w:t>Cobros</w:t>
      </w:r>
      <w:r>
        <w:rPr>
          <w:spacing w:val="-2"/>
          <w:sz w:val="22"/>
        </w:rPr>
        <w:t> Judiciales.</w:t>
      </w:r>
    </w:p>
    <w:p>
      <w:pPr>
        <w:pStyle w:val="ListParagraph"/>
        <w:numPr>
          <w:ilvl w:val="0"/>
          <w:numId w:val="103"/>
        </w:numPr>
        <w:tabs>
          <w:tab w:pos="1450" w:val="left" w:leader="none"/>
        </w:tabs>
        <w:spacing w:line="240" w:lineRule="auto" w:before="2" w:after="0"/>
        <w:ind w:left="1450" w:right="493" w:hanging="360"/>
        <w:jc w:val="both"/>
        <w:rPr>
          <w:sz w:val="22"/>
        </w:rPr>
      </w:pPr>
      <w:r>
        <w:rPr>
          <w:sz w:val="22"/>
        </w:rPr>
        <w:t>Contratación de Servicios de Localización de Datos y Notificación de Obligados Morosos programada para próximos meses.</w:t>
      </w:r>
    </w:p>
    <w:p>
      <w:pPr>
        <w:pStyle w:val="ListParagraph"/>
        <w:numPr>
          <w:ilvl w:val="0"/>
          <w:numId w:val="103"/>
        </w:numPr>
        <w:tabs>
          <w:tab w:pos="1450" w:val="left" w:leader="none"/>
        </w:tabs>
        <w:spacing w:line="240" w:lineRule="auto" w:before="0" w:after="0"/>
        <w:ind w:left="1450" w:right="491" w:hanging="360"/>
        <w:jc w:val="both"/>
        <w:rPr>
          <w:sz w:val="22"/>
        </w:rPr>
      </w:pPr>
      <w:r>
        <w:rPr>
          <w:sz w:val="22"/>
        </w:rPr>
        <w:t>Programación de giras del personal de la Administración Tributaria para notificar durante los meses siguientes.</w:t>
      </w:r>
    </w:p>
    <w:p>
      <w:pPr>
        <w:pStyle w:val="BodyText"/>
        <w:spacing w:before="20"/>
      </w:pPr>
    </w:p>
    <w:p>
      <w:pPr>
        <w:pStyle w:val="BodyText"/>
        <w:spacing w:line="259" w:lineRule="auto" w:before="1"/>
        <w:ind w:left="730" w:right="491"/>
        <w:jc w:val="both"/>
      </w:pPr>
      <w:r>
        <w:rPr/>
        <w:t>La medición de este riesgo se da a través de informes trimestrales de gestión, remitidos al superior </w:t>
      </w:r>
      <w:r>
        <w:rPr>
          <w:spacing w:val="-2"/>
        </w:rPr>
        <w:t>jerárquico.</w:t>
      </w:r>
    </w:p>
    <w:p>
      <w:pPr>
        <w:pStyle w:val="BodyText"/>
        <w:spacing w:before="20"/>
      </w:pPr>
    </w:p>
    <w:p>
      <w:pPr>
        <w:pStyle w:val="BodyText"/>
        <w:spacing w:line="259" w:lineRule="auto"/>
        <w:ind w:left="730" w:right="491"/>
        <w:jc w:val="both"/>
      </w:pPr>
      <w:r>
        <w:rPr/>
        <w:t>Para Otras Cuentas por Cobrar se realiza investigación en el Registro de la Propiedad de hipotecas registradas</w:t>
      </w:r>
      <w:r>
        <w:rPr>
          <w:spacing w:val="50"/>
        </w:rPr>
        <w:t> </w:t>
      </w:r>
      <w:r>
        <w:rPr/>
        <w:t>que</w:t>
      </w:r>
      <w:r>
        <w:rPr>
          <w:spacing w:val="49"/>
        </w:rPr>
        <w:t> </w:t>
      </w:r>
      <w:r>
        <w:rPr/>
        <w:t>informe</w:t>
      </w:r>
      <w:r>
        <w:rPr>
          <w:spacing w:val="50"/>
        </w:rPr>
        <w:t> </w:t>
      </w:r>
      <w:r>
        <w:rPr/>
        <w:t>los</w:t>
      </w:r>
      <w:r>
        <w:rPr>
          <w:spacing w:val="52"/>
        </w:rPr>
        <w:t> </w:t>
      </w:r>
      <w:r>
        <w:rPr/>
        <w:t>términos</w:t>
      </w:r>
      <w:r>
        <w:rPr>
          <w:spacing w:val="52"/>
        </w:rPr>
        <w:t> </w:t>
      </w:r>
      <w:r>
        <w:rPr/>
        <w:t>firmados</w:t>
      </w:r>
      <w:r>
        <w:rPr>
          <w:spacing w:val="52"/>
        </w:rPr>
        <w:t> </w:t>
      </w:r>
      <w:r>
        <w:rPr/>
        <w:t>(plazos,</w:t>
      </w:r>
      <w:r>
        <w:rPr>
          <w:spacing w:val="51"/>
        </w:rPr>
        <w:t> </w:t>
      </w:r>
      <w:r>
        <w:rPr/>
        <w:t>interés,</w:t>
      </w:r>
      <w:r>
        <w:rPr>
          <w:spacing w:val="51"/>
        </w:rPr>
        <w:t> </w:t>
      </w:r>
      <w:r>
        <w:rPr/>
        <w:t>deudores,</w:t>
      </w:r>
      <w:r>
        <w:rPr>
          <w:spacing w:val="51"/>
        </w:rPr>
        <w:t> </w:t>
      </w:r>
      <w:r>
        <w:rPr/>
        <w:t>etc.)</w:t>
      </w:r>
      <w:r>
        <w:rPr>
          <w:spacing w:val="51"/>
        </w:rPr>
        <w:t> </w:t>
      </w:r>
      <w:r>
        <w:rPr/>
        <w:t>Además,</w:t>
      </w:r>
      <w:r>
        <w:rPr>
          <w:spacing w:val="51"/>
        </w:rPr>
        <w:t> </w:t>
      </w:r>
      <w:r>
        <w:rPr/>
        <w:t>se</w:t>
      </w:r>
      <w:r>
        <w:rPr>
          <w:spacing w:val="51"/>
        </w:rPr>
        <w:t> </w:t>
      </w:r>
      <w:r>
        <w:rPr>
          <w:spacing w:val="-2"/>
        </w:rPr>
        <w:t>consulta</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3056">
                <wp:simplePos x="0" y="0"/>
                <wp:positionH relativeFrom="page">
                  <wp:posOffset>9525</wp:posOffset>
                </wp:positionH>
                <wp:positionV relativeFrom="page">
                  <wp:posOffset>297208</wp:posOffset>
                </wp:positionV>
                <wp:extent cx="7762875" cy="9748520"/>
                <wp:effectExtent l="0" t="0" r="0" b="0"/>
                <wp:wrapNone/>
                <wp:docPr id="1215" name="Group 1215"/>
                <wp:cNvGraphicFramePr>
                  <a:graphicFrameLocks/>
                </wp:cNvGraphicFramePr>
                <a:graphic>
                  <a:graphicData uri="http://schemas.microsoft.com/office/word/2010/wordprocessingGroup">
                    <wpg:wgp>
                      <wpg:cNvPr id="1215" name="Group 1215"/>
                      <wpg:cNvGrpSpPr/>
                      <wpg:grpSpPr>
                        <a:xfrm>
                          <a:off x="0" y="0"/>
                          <a:ext cx="7762875" cy="9748520"/>
                          <a:chExt cx="7762875" cy="9748520"/>
                        </a:xfrm>
                      </wpg:grpSpPr>
                      <pic:pic>
                        <pic:nvPicPr>
                          <pic:cNvPr id="1216" name="Image 1216"/>
                          <pic:cNvPicPr/>
                        </pic:nvPicPr>
                        <pic:blipFill>
                          <a:blip r:embed="rId5" cstate="print"/>
                          <a:stretch>
                            <a:fillRect/>
                          </a:stretch>
                        </pic:blipFill>
                        <pic:spPr>
                          <a:xfrm>
                            <a:off x="0" y="0"/>
                            <a:ext cx="7762874" cy="9748489"/>
                          </a:xfrm>
                          <a:prstGeom prst="rect">
                            <a:avLst/>
                          </a:prstGeom>
                        </pic:spPr>
                      </pic:pic>
                      <wps:wsp>
                        <wps:cNvPr id="1217" name="Graphic 1217"/>
                        <wps:cNvSpPr/>
                        <wps:spPr>
                          <a:xfrm>
                            <a:off x="1053007" y="990837"/>
                            <a:ext cx="6013450" cy="7665720"/>
                          </a:xfrm>
                          <a:custGeom>
                            <a:avLst/>
                            <a:gdLst/>
                            <a:ahLst/>
                            <a:cxnLst/>
                            <a:rect l="l" t="t" r="r" b="b"/>
                            <a:pathLst>
                              <a:path w="6013450" h="7665720">
                                <a:moveTo>
                                  <a:pt x="21336" y="132651"/>
                                </a:moveTo>
                                <a:lnTo>
                                  <a:pt x="15240" y="132651"/>
                                </a:lnTo>
                                <a:lnTo>
                                  <a:pt x="15240" y="7659052"/>
                                </a:lnTo>
                                <a:lnTo>
                                  <a:pt x="21336" y="7659052"/>
                                </a:lnTo>
                                <a:lnTo>
                                  <a:pt x="21336" y="132651"/>
                                </a:lnTo>
                                <a:close/>
                              </a:path>
                              <a:path w="6013450" h="7665720">
                                <a:moveTo>
                                  <a:pt x="5649214" y="0"/>
                                </a:moveTo>
                                <a:lnTo>
                                  <a:pt x="0" y="0"/>
                                </a:lnTo>
                                <a:lnTo>
                                  <a:pt x="0" y="9131"/>
                                </a:lnTo>
                                <a:lnTo>
                                  <a:pt x="5649214" y="9131"/>
                                </a:lnTo>
                                <a:lnTo>
                                  <a:pt x="5649214" y="0"/>
                                </a:lnTo>
                                <a:close/>
                              </a:path>
                              <a:path w="6013450" h="7665720">
                                <a:moveTo>
                                  <a:pt x="6013399" y="7659065"/>
                                </a:moveTo>
                                <a:lnTo>
                                  <a:pt x="6007354" y="7659065"/>
                                </a:lnTo>
                                <a:lnTo>
                                  <a:pt x="21336" y="7659065"/>
                                </a:lnTo>
                                <a:lnTo>
                                  <a:pt x="15240" y="7659065"/>
                                </a:lnTo>
                                <a:lnTo>
                                  <a:pt x="15240" y="7665148"/>
                                </a:lnTo>
                                <a:lnTo>
                                  <a:pt x="21336" y="7665148"/>
                                </a:lnTo>
                                <a:lnTo>
                                  <a:pt x="6007303" y="7665148"/>
                                </a:lnTo>
                                <a:lnTo>
                                  <a:pt x="6013399" y="7665148"/>
                                </a:lnTo>
                                <a:lnTo>
                                  <a:pt x="6013399" y="7659065"/>
                                </a:lnTo>
                                <a:close/>
                              </a:path>
                              <a:path w="6013450" h="7665720">
                                <a:moveTo>
                                  <a:pt x="6013399" y="132651"/>
                                </a:moveTo>
                                <a:lnTo>
                                  <a:pt x="6007303" y="132651"/>
                                </a:lnTo>
                                <a:lnTo>
                                  <a:pt x="6007303" y="7659052"/>
                                </a:lnTo>
                                <a:lnTo>
                                  <a:pt x="6013399" y="7659052"/>
                                </a:lnTo>
                                <a:lnTo>
                                  <a:pt x="6013399" y="132651"/>
                                </a:lnTo>
                                <a:close/>
                              </a:path>
                              <a:path w="6013450" h="7665720">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3424" id="docshapegroup1159" coordorigin="15,468" coordsize="12225,15352">
                <v:shape style="position:absolute;left:15;top:468;width:12225;height:15352" type="#_x0000_t75" id="docshape1160" stroked="false">
                  <v:imagedata r:id="rId5" o:title=""/>
                </v:shape>
                <v:shape style="position:absolute;left:1673;top:2028;width:9470;height:12072" id="docshape1161" coordorigin="1673,2028" coordsize="9470,12072" path="m1707,2237l1697,2237,1697,14090,1707,14090,1707,2237xm10570,2028l1673,2028,1673,2043,10570,2043,10570,2028xm11143,14090l11134,14090,11134,14090,1707,14090,1697,14090,1697,14100,1707,14100,11134,14100,11134,14100,11143,14100,11143,14090xm11143,2237l11134,2237,11134,14090,11143,14090,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238</w:t>
      </w:r>
    </w:p>
    <w:p>
      <w:pPr>
        <w:pStyle w:val="BodyText"/>
        <w:spacing w:line="259" w:lineRule="auto" w:before="227"/>
        <w:ind w:left="730"/>
      </w:pPr>
      <w:r>
        <w:rPr/>
        <w:t>información</w:t>
      </w:r>
      <w:r>
        <w:rPr>
          <w:spacing w:val="33"/>
        </w:rPr>
        <w:t> </w:t>
      </w:r>
      <w:r>
        <w:rPr/>
        <w:t>en</w:t>
      </w:r>
      <w:r>
        <w:rPr>
          <w:spacing w:val="33"/>
        </w:rPr>
        <w:t> </w:t>
      </w:r>
      <w:r>
        <w:rPr/>
        <w:t>el</w:t>
      </w:r>
      <w:r>
        <w:rPr>
          <w:spacing w:val="32"/>
        </w:rPr>
        <w:t> </w:t>
      </w:r>
      <w:r>
        <w:rPr/>
        <w:t>Tribunal</w:t>
      </w:r>
      <w:r>
        <w:rPr>
          <w:spacing w:val="32"/>
        </w:rPr>
        <w:t> </w:t>
      </w:r>
      <w:r>
        <w:rPr/>
        <w:t>Supremo</w:t>
      </w:r>
      <w:r>
        <w:rPr>
          <w:spacing w:val="33"/>
        </w:rPr>
        <w:t> </w:t>
      </w:r>
      <w:r>
        <w:rPr/>
        <w:t>de</w:t>
      </w:r>
      <w:r>
        <w:rPr>
          <w:spacing w:val="31"/>
        </w:rPr>
        <w:t> </w:t>
      </w:r>
      <w:r>
        <w:rPr/>
        <w:t>Elecciones</w:t>
      </w:r>
      <w:r>
        <w:rPr>
          <w:spacing w:val="33"/>
        </w:rPr>
        <w:t> </w:t>
      </w:r>
      <w:r>
        <w:rPr/>
        <w:t>e</w:t>
      </w:r>
      <w:r>
        <w:rPr>
          <w:spacing w:val="31"/>
        </w:rPr>
        <w:t> </w:t>
      </w:r>
      <w:r>
        <w:rPr/>
        <w:t>inclusive</w:t>
      </w:r>
      <w:r>
        <w:rPr>
          <w:spacing w:val="31"/>
        </w:rPr>
        <w:t> </w:t>
      </w:r>
      <w:r>
        <w:rPr/>
        <w:t>en</w:t>
      </w:r>
      <w:r>
        <w:rPr>
          <w:spacing w:val="33"/>
        </w:rPr>
        <w:t> </w:t>
      </w:r>
      <w:r>
        <w:rPr/>
        <w:t>redes</w:t>
      </w:r>
      <w:r>
        <w:rPr>
          <w:spacing w:val="33"/>
        </w:rPr>
        <w:t> </w:t>
      </w:r>
      <w:r>
        <w:rPr/>
        <w:t>sociales</w:t>
      </w:r>
      <w:r>
        <w:rPr>
          <w:spacing w:val="33"/>
        </w:rPr>
        <w:t> </w:t>
      </w:r>
      <w:r>
        <w:rPr/>
        <w:t>para</w:t>
      </w:r>
      <w:r>
        <w:rPr>
          <w:spacing w:val="32"/>
        </w:rPr>
        <w:t> </w:t>
      </w:r>
      <w:r>
        <w:rPr/>
        <w:t>localización</w:t>
      </w:r>
      <w:r>
        <w:rPr>
          <w:spacing w:val="33"/>
        </w:rPr>
        <w:t> </w:t>
      </w:r>
      <w:r>
        <w:rPr/>
        <w:t>de </w:t>
      </w:r>
      <w:r>
        <w:rPr>
          <w:spacing w:val="-2"/>
        </w:rPr>
        <w:t>deudores.</w:t>
      </w:r>
    </w:p>
    <w:p>
      <w:pPr>
        <w:pStyle w:val="BodyText"/>
        <w:spacing w:before="21"/>
      </w:pPr>
    </w:p>
    <w:p>
      <w:pPr>
        <w:pStyle w:val="BodyText"/>
        <w:ind w:left="730"/>
      </w:pPr>
      <w:r>
        <w:rPr/>
        <w:t>Cualesquiera</w:t>
      </w:r>
      <w:r>
        <w:rPr>
          <w:spacing w:val="-5"/>
        </w:rPr>
        <w:t> </w:t>
      </w:r>
      <w:r>
        <w:rPr/>
        <w:t>cambios</w:t>
      </w:r>
      <w:r>
        <w:rPr>
          <w:spacing w:val="-3"/>
        </w:rPr>
        <w:t> </w:t>
      </w:r>
      <w:r>
        <w:rPr/>
        <w:t>habidos</w:t>
      </w:r>
      <w:r>
        <w:rPr>
          <w:spacing w:val="-3"/>
        </w:rPr>
        <w:t> </w:t>
      </w:r>
      <w:r>
        <w:rPr/>
        <w:t>en</w:t>
      </w:r>
      <w:r>
        <w:rPr>
          <w:spacing w:val="-4"/>
        </w:rPr>
        <w:t> </w:t>
      </w:r>
      <w:r>
        <w:rPr/>
        <w:t>(a)</w:t>
      </w:r>
      <w:r>
        <w:rPr>
          <w:spacing w:val="-6"/>
        </w:rPr>
        <w:t> </w:t>
      </w:r>
      <w:r>
        <w:rPr/>
        <w:t>o</w:t>
      </w:r>
      <w:r>
        <w:rPr>
          <w:spacing w:val="-4"/>
        </w:rPr>
        <w:t> </w:t>
      </w:r>
      <w:r>
        <w:rPr/>
        <w:t>(b)</w:t>
      </w:r>
      <w:r>
        <w:rPr>
          <w:spacing w:val="-4"/>
        </w:rPr>
        <w:t> </w:t>
      </w:r>
      <w:r>
        <w:rPr/>
        <w:t>desde</w:t>
      </w:r>
      <w:r>
        <w:rPr>
          <w:spacing w:val="-6"/>
        </w:rPr>
        <w:t> </w:t>
      </w:r>
      <w:r>
        <w:rPr/>
        <w:t>el</w:t>
      </w:r>
      <w:r>
        <w:rPr>
          <w:spacing w:val="-4"/>
        </w:rPr>
        <w:t> </w:t>
      </w:r>
      <w:r>
        <w:rPr/>
        <w:t>período</w:t>
      </w:r>
      <w:r>
        <w:rPr>
          <w:spacing w:val="-3"/>
        </w:rPr>
        <w:t> </w:t>
      </w:r>
      <w:r>
        <w:rPr>
          <w:spacing w:val="-2"/>
        </w:rPr>
        <w:t>precedente:</w:t>
      </w:r>
    </w:p>
    <w:p>
      <w:pPr>
        <w:pStyle w:val="BodyText"/>
        <w:spacing w:before="40"/>
      </w:pPr>
    </w:p>
    <w:p>
      <w:pPr>
        <w:pStyle w:val="BodyText"/>
        <w:spacing w:line="256" w:lineRule="auto"/>
        <w:ind w:left="730"/>
      </w:pPr>
      <w:r>
        <w:rPr/>
        <w:t>Se</w:t>
      </w:r>
      <w:r>
        <w:rPr>
          <w:spacing w:val="39"/>
        </w:rPr>
        <w:t> </w:t>
      </w:r>
      <w:r>
        <w:rPr/>
        <w:t>ha</w:t>
      </w:r>
      <w:r>
        <w:rPr>
          <w:spacing w:val="39"/>
        </w:rPr>
        <w:t> </w:t>
      </w:r>
      <w:r>
        <w:rPr/>
        <w:t>venido</w:t>
      </w:r>
      <w:r>
        <w:rPr>
          <w:spacing w:val="40"/>
        </w:rPr>
        <w:t> </w:t>
      </w:r>
      <w:r>
        <w:rPr/>
        <w:t>implementando</w:t>
      </w:r>
      <w:r>
        <w:rPr>
          <w:spacing w:val="40"/>
        </w:rPr>
        <w:t> </w:t>
      </w:r>
      <w:r>
        <w:rPr/>
        <w:t>actualización</w:t>
      </w:r>
      <w:r>
        <w:rPr>
          <w:spacing w:val="40"/>
        </w:rPr>
        <w:t> </w:t>
      </w:r>
      <w:r>
        <w:rPr/>
        <w:t>de</w:t>
      </w:r>
      <w:r>
        <w:rPr>
          <w:spacing w:val="38"/>
        </w:rPr>
        <w:t> </w:t>
      </w:r>
      <w:r>
        <w:rPr/>
        <w:t>los</w:t>
      </w:r>
      <w:r>
        <w:rPr>
          <w:spacing w:val="40"/>
        </w:rPr>
        <w:t> </w:t>
      </w:r>
      <w:r>
        <w:rPr/>
        <w:t>datos</w:t>
      </w:r>
      <w:r>
        <w:rPr>
          <w:spacing w:val="39"/>
        </w:rPr>
        <w:t> </w:t>
      </w:r>
      <w:r>
        <w:rPr/>
        <w:t>maestros,</w:t>
      </w:r>
      <w:r>
        <w:rPr>
          <w:spacing w:val="40"/>
        </w:rPr>
        <w:t> </w:t>
      </w:r>
      <w:r>
        <w:rPr/>
        <w:t>de</w:t>
      </w:r>
      <w:r>
        <w:rPr>
          <w:spacing w:val="38"/>
        </w:rPr>
        <w:t> </w:t>
      </w:r>
      <w:r>
        <w:rPr/>
        <w:t>todas</w:t>
      </w:r>
      <w:r>
        <w:rPr>
          <w:spacing w:val="40"/>
        </w:rPr>
        <w:t> </w:t>
      </w:r>
      <w:r>
        <w:rPr/>
        <w:t>las</w:t>
      </w:r>
      <w:r>
        <w:rPr>
          <w:spacing w:val="39"/>
        </w:rPr>
        <w:t> </w:t>
      </w:r>
      <w:r>
        <w:rPr/>
        <w:t>cuentas</w:t>
      </w:r>
      <w:r>
        <w:rPr>
          <w:spacing w:val="40"/>
        </w:rPr>
        <w:t> </w:t>
      </w:r>
      <w:r>
        <w:rPr/>
        <w:t>por</w:t>
      </w:r>
      <w:r>
        <w:rPr>
          <w:spacing w:val="40"/>
        </w:rPr>
        <w:t> </w:t>
      </w:r>
      <w:r>
        <w:rPr/>
        <w:t>cobrar</w:t>
      </w:r>
      <w:r>
        <w:rPr>
          <w:spacing w:val="37"/>
        </w:rPr>
        <w:t> </w:t>
      </w:r>
      <w:r>
        <w:rPr/>
        <w:t>y depurando la cuanta por cobrar para mitigar su deterioro.</w:t>
      </w:r>
    </w:p>
    <w:p>
      <w:pPr>
        <w:pStyle w:val="BodyText"/>
        <w:spacing w:before="24"/>
      </w:pPr>
    </w:p>
    <w:p>
      <w:pPr>
        <w:pStyle w:val="BodyText"/>
        <w:spacing w:line="518" w:lineRule="auto"/>
        <w:ind w:left="730" w:right="7591"/>
      </w:pPr>
      <w:r>
        <w:rPr/>
        <w:t>Información</w:t>
      </w:r>
      <w:r>
        <w:rPr>
          <w:spacing w:val="-14"/>
        </w:rPr>
        <w:t> </w:t>
      </w:r>
      <w:r>
        <w:rPr/>
        <w:t>cuantitativa Riesgo de liquidez</w:t>
      </w:r>
    </w:p>
    <w:p>
      <w:pPr>
        <w:pStyle w:val="BodyText"/>
        <w:spacing w:line="259" w:lineRule="auto"/>
        <w:ind w:left="730" w:right="104"/>
      </w:pPr>
      <w:r>
        <w:rPr/>
        <w:t>Una</w:t>
      </w:r>
      <w:r>
        <w:rPr>
          <w:spacing w:val="21"/>
        </w:rPr>
        <w:t> </w:t>
      </w:r>
      <w:r>
        <w:rPr/>
        <w:t>recesión</w:t>
      </w:r>
      <w:r>
        <w:rPr>
          <w:spacing w:val="20"/>
        </w:rPr>
        <w:t> </w:t>
      </w:r>
      <w:r>
        <w:rPr/>
        <w:t>económica</w:t>
      </w:r>
      <w:r>
        <w:rPr>
          <w:spacing w:val="19"/>
        </w:rPr>
        <w:t> </w:t>
      </w:r>
      <w:r>
        <w:rPr/>
        <w:t>en</w:t>
      </w:r>
      <w:r>
        <w:rPr>
          <w:spacing w:val="22"/>
        </w:rPr>
        <w:t> </w:t>
      </w:r>
      <w:r>
        <w:rPr/>
        <w:t>el</w:t>
      </w:r>
      <w:r>
        <w:rPr>
          <w:spacing w:val="21"/>
        </w:rPr>
        <w:t> </w:t>
      </w:r>
      <w:r>
        <w:rPr/>
        <w:t>país</w:t>
      </w:r>
      <w:r>
        <w:rPr>
          <w:spacing w:val="20"/>
        </w:rPr>
        <w:t> </w:t>
      </w:r>
      <w:r>
        <w:rPr/>
        <w:t>afectaría</w:t>
      </w:r>
      <w:r>
        <w:rPr>
          <w:spacing w:val="21"/>
        </w:rPr>
        <w:t> </w:t>
      </w:r>
      <w:r>
        <w:rPr/>
        <w:t>elevando</w:t>
      </w:r>
      <w:r>
        <w:rPr>
          <w:spacing w:val="20"/>
        </w:rPr>
        <w:t> </w:t>
      </w:r>
      <w:r>
        <w:rPr/>
        <w:t>la</w:t>
      </w:r>
      <w:r>
        <w:rPr>
          <w:spacing w:val="20"/>
        </w:rPr>
        <w:t> </w:t>
      </w:r>
      <w:r>
        <w:rPr/>
        <w:t>tasa</w:t>
      </w:r>
      <w:r>
        <w:rPr>
          <w:spacing w:val="21"/>
        </w:rPr>
        <w:t> </w:t>
      </w:r>
      <w:r>
        <w:rPr/>
        <w:t>de morosidad,</w:t>
      </w:r>
      <w:r>
        <w:rPr>
          <w:spacing w:val="21"/>
        </w:rPr>
        <w:t> </w:t>
      </w:r>
      <w:r>
        <w:rPr/>
        <w:t>lo que</w:t>
      </w:r>
      <w:r>
        <w:rPr>
          <w:spacing w:val="20"/>
        </w:rPr>
        <w:t> </w:t>
      </w:r>
      <w:r>
        <w:rPr/>
        <w:t>se</w:t>
      </w:r>
      <w:r>
        <w:rPr>
          <w:spacing w:val="21"/>
        </w:rPr>
        <w:t> </w:t>
      </w:r>
      <w:r>
        <w:rPr/>
        <w:t>determina</w:t>
      </w:r>
      <w:r>
        <w:rPr>
          <w:spacing w:val="21"/>
        </w:rPr>
        <w:t> </w:t>
      </w:r>
      <w:r>
        <w:rPr/>
        <w:t>como riesgo de liquidez según la Norma.</w:t>
      </w:r>
    </w:p>
    <w:p>
      <w:pPr>
        <w:pStyle w:val="BodyText"/>
        <w:spacing w:before="19"/>
      </w:pPr>
    </w:p>
    <w:p>
      <w:pPr>
        <w:pStyle w:val="BodyText"/>
        <w:ind w:left="730"/>
      </w:pPr>
      <w:r>
        <w:rPr/>
        <w:t>Riesgo</w:t>
      </w:r>
      <w:r>
        <w:rPr>
          <w:spacing w:val="-3"/>
        </w:rPr>
        <w:t> </w:t>
      </w:r>
      <w:r>
        <w:rPr/>
        <w:t>de</w:t>
      </w:r>
      <w:r>
        <w:rPr>
          <w:spacing w:val="-3"/>
        </w:rPr>
        <w:t> </w:t>
      </w:r>
      <w:r>
        <w:rPr>
          <w:spacing w:val="-2"/>
        </w:rPr>
        <w:t>mercado</w:t>
      </w:r>
    </w:p>
    <w:p>
      <w:pPr>
        <w:pStyle w:val="BodyText"/>
        <w:spacing w:line="259" w:lineRule="auto" w:before="21"/>
        <w:ind w:left="730" w:right="546"/>
      </w:pPr>
      <w:r>
        <w:rPr/>
        <w:t>Una gran variación</w:t>
      </w:r>
      <w:r>
        <w:rPr>
          <w:spacing w:val="18"/>
        </w:rPr>
        <w:t> </w:t>
      </w:r>
      <w:r>
        <w:rPr/>
        <w:t>en</w:t>
      </w:r>
      <w:r>
        <w:rPr>
          <w:spacing w:val="18"/>
        </w:rPr>
        <w:t> </w:t>
      </w:r>
      <w:r>
        <w:rPr/>
        <w:t>las</w:t>
      </w:r>
      <w:r>
        <w:rPr>
          <w:spacing w:val="19"/>
        </w:rPr>
        <w:t> </w:t>
      </w:r>
      <w:r>
        <w:rPr/>
        <w:t>tasas</w:t>
      </w:r>
      <w:r>
        <w:rPr>
          <w:spacing w:val="19"/>
        </w:rPr>
        <w:t> </w:t>
      </w:r>
      <w:r>
        <w:rPr/>
        <w:t>de interés</w:t>
      </w:r>
      <w:r>
        <w:rPr>
          <w:spacing w:val="19"/>
        </w:rPr>
        <w:t> </w:t>
      </w:r>
      <w:r>
        <w:rPr/>
        <w:t>puede devengar en</w:t>
      </w:r>
      <w:r>
        <w:rPr>
          <w:spacing w:val="18"/>
        </w:rPr>
        <w:t> </w:t>
      </w:r>
      <w:r>
        <w:rPr/>
        <w:t>un</w:t>
      </w:r>
      <w:r>
        <w:rPr>
          <w:spacing w:val="18"/>
        </w:rPr>
        <w:t> </w:t>
      </w:r>
      <w:r>
        <w:rPr/>
        <w:t>posible deterioro</w:t>
      </w:r>
      <w:r>
        <w:rPr>
          <w:spacing w:val="18"/>
        </w:rPr>
        <w:t> </w:t>
      </w:r>
      <w:r>
        <w:rPr/>
        <w:t>de otras</w:t>
      </w:r>
      <w:r>
        <w:rPr>
          <w:spacing w:val="18"/>
        </w:rPr>
        <w:t> </w:t>
      </w:r>
      <w:r>
        <w:rPr/>
        <w:t>cuentas</w:t>
      </w:r>
      <w:r>
        <w:rPr>
          <w:spacing w:val="18"/>
        </w:rPr>
        <w:t> </w:t>
      </w:r>
      <w:r>
        <w:rPr/>
        <w:t>por cobrar ya que las pactadas son fijas.</w:t>
      </w:r>
    </w:p>
    <w:p>
      <w:pPr>
        <w:pStyle w:val="BodyText"/>
        <w:spacing w:before="18"/>
      </w:pPr>
    </w:p>
    <w:p>
      <w:pPr>
        <w:pStyle w:val="BodyText"/>
        <w:ind w:left="730"/>
      </w:pPr>
      <w:r>
        <w:rPr/>
        <w:t>Exposición</w:t>
      </w:r>
      <w:r>
        <w:rPr>
          <w:spacing w:val="-4"/>
        </w:rPr>
        <w:t> </w:t>
      </w:r>
      <w:r>
        <w:rPr/>
        <w:t>al</w:t>
      </w:r>
      <w:r>
        <w:rPr>
          <w:spacing w:val="-1"/>
        </w:rPr>
        <w:t> </w:t>
      </w:r>
      <w:r>
        <w:rPr>
          <w:spacing w:val="-2"/>
        </w:rPr>
        <w:t>riesgo</w:t>
      </w:r>
    </w:p>
    <w:p>
      <w:pPr>
        <w:pStyle w:val="BodyText"/>
        <w:spacing w:line="259" w:lineRule="auto" w:before="20"/>
        <w:ind w:left="730"/>
      </w:pPr>
      <w:r>
        <w:rPr/>
        <w:t>Se</w:t>
      </w:r>
      <w:r>
        <w:rPr>
          <w:spacing w:val="37"/>
        </w:rPr>
        <w:t> </w:t>
      </w:r>
      <w:r>
        <w:rPr/>
        <w:t>da</w:t>
      </w:r>
      <w:r>
        <w:rPr>
          <w:spacing w:val="37"/>
        </w:rPr>
        <w:t> </w:t>
      </w:r>
      <w:r>
        <w:rPr/>
        <w:t>la</w:t>
      </w:r>
      <w:r>
        <w:rPr>
          <w:spacing w:val="37"/>
        </w:rPr>
        <w:t> </w:t>
      </w:r>
      <w:r>
        <w:rPr/>
        <w:t>exposición</w:t>
      </w:r>
      <w:r>
        <w:rPr>
          <w:spacing w:val="39"/>
        </w:rPr>
        <w:t> </w:t>
      </w:r>
      <w:r>
        <w:rPr/>
        <w:t>cuando</w:t>
      </w:r>
      <w:r>
        <w:rPr>
          <w:spacing w:val="39"/>
        </w:rPr>
        <w:t> </w:t>
      </w:r>
      <w:r>
        <w:rPr/>
        <w:t>se</w:t>
      </w:r>
      <w:r>
        <w:rPr>
          <w:spacing w:val="37"/>
        </w:rPr>
        <w:t> </w:t>
      </w:r>
      <w:r>
        <w:rPr/>
        <w:t>presenta</w:t>
      </w:r>
      <w:r>
        <w:rPr>
          <w:spacing w:val="38"/>
        </w:rPr>
        <w:t> </w:t>
      </w:r>
      <w:r>
        <w:rPr/>
        <w:t>estancamiento</w:t>
      </w:r>
      <w:r>
        <w:rPr>
          <w:spacing w:val="39"/>
        </w:rPr>
        <w:t> </w:t>
      </w:r>
      <w:r>
        <w:rPr/>
        <w:t>o</w:t>
      </w:r>
      <w:r>
        <w:rPr>
          <w:spacing w:val="37"/>
        </w:rPr>
        <w:t> </w:t>
      </w:r>
      <w:r>
        <w:rPr/>
        <w:t>disminución</w:t>
      </w:r>
      <w:r>
        <w:rPr>
          <w:spacing w:val="39"/>
        </w:rPr>
        <w:t> </w:t>
      </w:r>
      <w:r>
        <w:rPr/>
        <w:t>de</w:t>
      </w:r>
      <w:r>
        <w:rPr>
          <w:spacing w:val="34"/>
        </w:rPr>
        <w:t> </w:t>
      </w:r>
      <w:r>
        <w:rPr/>
        <w:t>salarios</w:t>
      </w:r>
      <w:r>
        <w:rPr>
          <w:spacing w:val="37"/>
        </w:rPr>
        <w:t> </w:t>
      </w:r>
      <w:r>
        <w:rPr/>
        <w:t>o</w:t>
      </w:r>
      <w:r>
        <w:rPr>
          <w:spacing w:val="39"/>
        </w:rPr>
        <w:t> </w:t>
      </w:r>
      <w:r>
        <w:rPr/>
        <w:t>posible</w:t>
      </w:r>
      <w:r>
        <w:rPr>
          <w:spacing w:val="37"/>
        </w:rPr>
        <w:t> </w:t>
      </w:r>
      <w:r>
        <w:rPr/>
        <w:t>cierre</w:t>
      </w:r>
      <w:r>
        <w:rPr>
          <w:spacing w:val="37"/>
        </w:rPr>
        <w:t> </w:t>
      </w:r>
      <w:r>
        <w:rPr/>
        <w:t>de empresas, moteles y lugares afines.</w:t>
      </w:r>
    </w:p>
    <w:p>
      <w:pPr>
        <w:pStyle w:val="BodyText"/>
        <w:spacing w:line="259" w:lineRule="auto" w:before="1"/>
        <w:ind w:left="730" w:right="104"/>
      </w:pPr>
      <w:r>
        <w:rPr/>
        <w:t>Un</w:t>
      </w:r>
      <w:r>
        <w:rPr>
          <w:spacing w:val="22"/>
        </w:rPr>
        <w:t> </w:t>
      </w:r>
      <w:r>
        <w:rPr/>
        <w:t>incremento</w:t>
      </w:r>
      <w:r>
        <w:rPr>
          <w:spacing w:val="23"/>
        </w:rPr>
        <w:t> </w:t>
      </w:r>
      <w:r>
        <w:rPr/>
        <w:t>en</w:t>
      </w:r>
      <w:r>
        <w:rPr>
          <w:spacing w:val="22"/>
        </w:rPr>
        <w:t> </w:t>
      </w:r>
      <w:r>
        <w:rPr/>
        <w:t>la</w:t>
      </w:r>
      <w:r>
        <w:rPr>
          <w:spacing w:val="20"/>
        </w:rPr>
        <w:t> </w:t>
      </w:r>
      <w:r>
        <w:rPr/>
        <w:t>tasa por</w:t>
      </w:r>
      <w:r>
        <w:rPr>
          <w:spacing w:val="22"/>
        </w:rPr>
        <w:t> </w:t>
      </w:r>
      <w:r>
        <w:rPr/>
        <w:t>política</w:t>
      </w:r>
      <w:r>
        <w:rPr>
          <w:spacing w:val="21"/>
        </w:rPr>
        <w:t> </w:t>
      </w:r>
      <w:r>
        <w:rPr/>
        <w:t>monetaria</w:t>
      </w:r>
      <w:r>
        <w:rPr>
          <w:spacing w:val="21"/>
        </w:rPr>
        <w:t> </w:t>
      </w:r>
      <w:r>
        <w:rPr/>
        <w:t>del</w:t>
      </w:r>
      <w:r>
        <w:rPr>
          <w:spacing w:val="23"/>
        </w:rPr>
        <w:t> </w:t>
      </w:r>
      <w:r>
        <w:rPr/>
        <w:t>BCCR</w:t>
      </w:r>
      <w:r>
        <w:rPr>
          <w:spacing w:val="22"/>
        </w:rPr>
        <w:t> </w:t>
      </w:r>
      <w:r>
        <w:rPr/>
        <w:t>y</w:t>
      </w:r>
      <w:r>
        <w:rPr>
          <w:spacing w:val="20"/>
        </w:rPr>
        <w:t> </w:t>
      </w:r>
      <w:r>
        <w:rPr/>
        <w:t>la</w:t>
      </w:r>
      <w:r>
        <w:rPr>
          <w:spacing w:val="20"/>
        </w:rPr>
        <w:t> </w:t>
      </w:r>
      <w:r>
        <w:rPr/>
        <w:t>expectativa</w:t>
      </w:r>
      <w:r>
        <w:rPr>
          <w:spacing w:val="21"/>
        </w:rPr>
        <w:t> </w:t>
      </w:r>
      <w:r>
        <w:rPr/>
        <w:t>de</w:t>
      </w:r>
      <w:r>
        <w:rPr>
          <w:spacing w:val="22"/>
        </w:rPr>
        <w:t> </w:t>
      </w:r>
      <w:r>
        <w:rPr/>
        <w:t>crecimiento</w:t>
      </w:r>
      <w:r>
        <w:rPr>
          <w:spacing w:val="23"/>
        </w:rPr>
        <w:t> </w:t>
      </w:r>
      <w:r>
        <w:rPr/>
        <w:t>económico puede presionar a un alza en las tasas de interés de mercado.</w:t>
      </w:r>
    </w:p>
    <w:p>
      <w:pPr>
        <w:pStyle w:val="BodyText"/>
        <w:spacing w:before="18"/>
      </w:pPr>
    </w:p>
    <w:p>
      <w:pPr>
        <w:pStyle w:val="BodyText"/>
        <w:ind w:left="730"/>
      </w:pPr>
      <w:r>
        <w:rPr/>
        <w:t>Información</w:t>
      </w:r>
      <w:r>
        <w:rPr>
          <w:spacing w:val="-6"/>
        </w:rPr>
        <w:t> </w:t>
      </w:r>
      <w:r>
        <w:rPr/>
        <w:t>cualitativa,</w:t>
      </w:r>
      <w:r>
        <w:rPr>
          <w:spacing w:val="-8"/>
        </w:rPr>
        <w:t> </w:t>
      </w:r>
      <w:r>
        <w:rPr/>
        <w:t>objetivos,</w:t>
      </w:r>
      <w:r>
        <w:rPr>
          <w:spacing w:val="-5"/>
        </w:rPr>
        <w:t> </w:t>
      </w:r>
      <w:r>
        <w:rPr/>
        <w:t>políticas</w:t>
      </w:r>
      <w:r>
        <w:rPr>
          <w:spacing w:val="-4"/>
        </w:rPr>
        <w:t> </w:t>
      </w:r>
      <w:r>
        <w:rPr/>
        <w:t>y</w:t>
      </w:r>
      <w:r>
        <w:rPr>
          <w:spacing w:val="-6"/>
        </w:rPr>
        <w:t> </w:t>
      </w:r>
      <w:r>
        <w:rPr/>
        <w:t>procesos</w:t>
      </w:r>
      <w:r>
        <w:rPr>
          <w:spacing w:val="-4"/>
        </w:rPr>
        <w:t> </w:t>
      </w:r>
      <w:r>
        <w:rPr/>
        <w:t>de</w:t>
      </w:r>
      <w:r>
        <w:rPr>
          <w:spacing w:val="-6"/>
        </w:rPr>
        <w:t> </w:t>
      </w:r>
      <w:r>
        <w:rPr>
          <w:spacing w:val="-2"/>
        </w:rPr>
        <w:t>gestión:</w:t>
      </w:r>
    </w:p>
    <w:p>
      <w:pPr>
        <w:pStyle w:val="BodyText"/>
        <w:spacing w:line="259" w:lineRule="auto" w:before="20"/>
        <w:ind w:left="730"/>
      </w:pPr>
      <w:r>
        <w:rPr/>
        <w:t>El</w:t>
      </w:r>
      <w:r>
        <w:rPr>
          <w:spacing w:val="26"/>
        </w:rPr>
        <w:t> </w:t>
      </w:r>
      <w:r>
        <w:rPr/>
        <w:t>objetivo</w:t>
      </w:r>
      <w:r>
        <w:rPr>
          <w:spacing w:val="27"/>
        </w:rPr>
        <w:t> </w:t>
      </w:r>
      <w:r>
        <w:rPr/>
        <w:t>definido</w:t>
      </w:r>
      <w:r>
        <w:rPr>
          <w:spacing w:val="25"/>
        </w:rPr>
        <w:t> </w:t>
      </w:r>
      <w:r>
        <w:rPr/>
        <w:t>que</w:t>
      </w:r>
      <w:r>
        <w:rPr>
          <w:spacing w:val="25"/>
        </w:rPr>
        <w:t> </w:t>
      </w:r>
      <w:r>
        <w:rPr/>
        <w:t>se</w:t>
      </w:r>
      <w:r>
        <w:rPr>
          <w:spacing w:val="23"/>
        </w:rPr>
        <w:t> </w:t>
      </w:r>
      <w:r>
        <w:rPr/>
        <w:t>ve</w:t>
      </w:r>
      <w:r>
        <w:rPr>
          <w:spacing w:val="25"/>
        </w:rPr>
        <w:t> </w:t>
      </w:r>
      <w:r>
        <w:rPr/>
        <w:t>afectado</w:t>
      </w:r>
      <w:r>
        <w:rPr>
          <w:spacing w:val="27"/>
        </w:rPr>
        <w:t> </w:t>
      </w:r>
      <w:r>
        <w:rPr/>
        <w:t>con</w:t>
      </w:r>
      <w:r>
        <w:rPr>
          <w:spacing w:val="27"/>
        </w:rPr>
        <w:t> </w:t>
      </w:r>
      <w:r>
        <w:rPr/>
        <w:t>este</w:t>
      </w:r>
      <w:r>
        <w:rPr>
          <w:spacing w:val="26"/>
        </w:rPr>
        <w:t> </w:t>
      </w:r>
      <w:r>
        <w:rPr/>
        <w:t>riesgo</w:t>
      </w:r>
      <w:r>
        <w:rPr>
          <w:spacing w:val="27"/>
        </w:rPr>
        <w:t> </w:t>
      </w:r>
      <w:r>
        <w:rPr/>
        <w:t>es</w:t>
      </w:r>
      <w:r>
        <w:rPr>
          <w:spacing w:val="27"/>
        </w:rPr>
        <w:t> </w:t>
      </w:r>
      <w:r>
        <w:rPr/>
        <w:t>el</w:t>
      </w:r>
      <w:r>
        <w:rPr>
          <w:spacing w:val="26"/>
        </w:rPr>
        <w:t> </w:t>
      </w:r>
      <w:r>
        <w:rPr/>
        <w:t>de</w:t>
      </w:r>
      <w:r>
        <w:rPr>
          <w:spacing w:val="24"/>
        </w:rPr>
        <w:t> </w:t>
      </w:r>
      <w:r>
        <w:rPr/>
        <w:t>mantener</w:t>
      </w:r>
      <w:r>
        <w:rPr>
          <w:spacing w:val="26"/>
        </w:rPr>
        <w:t> </w:t>
      </w:r>
      <w:r>
        <w:rPr/>
        <w:t>la</w:t>
      </w:r>
      <w:r>
        <w:rPr>
          <w:spacing w:val="25"/>
        </w:rPr>
        <w:t> </w:t>
      </w:r>
      <w:r>
        <w:rPr/>
        <w:t>tasa</w:t>
      </w:r>
      <w:r>
        <w:rPr>
          <w:spacing w:val="26"/>
        </w:rPr>
        <w:t> </w:t>
      </w:r>
      <w:r>
        <w:rPr/>
        <w:t>de</w:t>
      </w:r>
      <w:r>
        <w:rPr>
          <w:spacing w:val="24"/>
        </w:rPr>
        <w:t> </w:t>
      </w:r>
      <w:r>
        <w:rPr/>
        <w:t>crecimiento</w:t>
      </w:r>
      <w:r>
        <w:rPr>
          <w:spacing w:val="27"/>
        </w:rPr>
        <w:t> </w:t>
      </w:r>
      <w:r>
        <w:rPr/>
        <w:t>de</w:t>
      </w:r>
      <w:r>
        <w:rPr>
          <w:spacing w:val="24"/>
        </w:rPr>
        <w:t> </w:t>
      </w:r>
      <w:r>
        <w:rPr/>
        <w:t>la morosidad en el menor nivel posible.</w:t>
      </w:r>
    </w:p>
    <w:p>
      <w:pPr>
        <w:pStyle w:val="BodyText"/>
        <w:spacing w:before="21"/>
      </w:pPr>
    </w:p>
    <w:p>
      <w:pPr>
        <w:pStyle w:val="BodyText"/>
        <w:ind w:left="730"/>
      </w:pPr>
      <w:r>
        <w:rPr/>
        <w:t>Para</w:t>
      </w:r>
      <w:r>
        <w:rPr>
          <w:spacing w:val="-4"/>
        </w:rPr>
        <w:t> </w:t>
      </w:r>
      <w:r>
        <w:rPr/>
        <w:t>la</w:t>
      </w:r>
      <w:r>
        <w:rPr>
          <w:spacing w:val="-5"/>
        </w:rPr>
        <w:t> </w:t>
      </w:r>
      <w:r>
        <w:rPr/>
        <w:t>mitigación</w:t>
      </w:r>
      <w:r>
        <w:rPr>
          <w:spacing w:val="-3"/>
        </w:rPr>
        <w:t> </w:t>
      </w:r>
      <w:r>
        <w:rPr/>
        <w:t>de</w:t>
      </w:r>
      <w:r>
        <w:rPr>
          <w:spacing w:val="-4"/>
        </w:rPr>
        <w:t> </w:t>
      </w:r>
      <w:r>
        <w:rPr/>
        <w:t>dicho</w:t>
      </w:r>
      <w:r>
        <w:rPr>
          <w:spacing w:val="-5"/>
        </w:rPr>
        <w:t> </w:t>
      </w:r>
      <w:r>
        <w:rPr/>
        <w:t>riesgo,</w:t>
      </w:r>
      <w:r>
        <w:rPr>
          <w:spacing w:val="-6"/>
        </w:rPr>
        <w:t> </w:t>
      </w:r>
      <w:r>
        <w:rPr/>
        <w:t>se</w:t>
      </w:r>
      <w:r>
        <w:rPr>
          <w:spacing w:val="-3"/>
        </w:rPr>
        <w:t> </w:t>
      </w:r>
      <w:r>
        <w:rPr/>
        <w:t>procederá</w:t>
      </w:r>
      <w:r>
        <w:rPr>
          <w:spacing w:val="-4"/>
        </w:rPr>
        <w:t> </w:t>
      </w:r>
      <w:r>
        <w:rPr/>
        <w:t>con</w:t>
      </w:r>
      <w:r>
        <w:rPr>
          <w:spacing w:val="-3"/>
        </w:rPr>
        <w:t> </w:t>
      </w:r>
      <w:r>
        <w:rPr/>
        <w:t>las</w:t>
      </w:r>
      <w:r>
        <w:rPr>
          <w:spacing w:val="-4"/>
        </w:rPr>
        <w:t> </w:t>
      </w:r>
      <w:r>
        <w:rPr/>
        <w:t>siguientes</w:t>
      </w:r>
      <w:r>
        <w:rPr>
          <w:spacing w:val="-3"/>
        </w:rPr>
        <w:t> </w:t>
      </w:r>
      <w:r>
        <w:rPr/>
        <w:t>estrategias</w:t>
      </w:r>
      <w:r>
        <w:rPr>
          <w:spacing w:val="-2"/>
        </w:rPr>
        <w:t> </w:t>
      </w:r>
      <w:r>
        <w:rPr/>
        <w:t>a</w:t>
      </w:r>
      <w:r>
        <w:rPr>
          <w:spacing w:val="-5"/>
        </w:rPr>
        <w:t> </w:t>
      </w:r>
      <w:r>
        <w:rPr>
          <w:spacing w:val="-2"/>
        </w:rPr>
        <w:t>saber:</w:t>
      </w:r>
    </w:p>
    <w:p>
      <w:pPr>
        <w:pStyle w:val="ListParagraph"/>
        <w:numPr>
          <w:ilvl w:val="0"/>
          <w:numId w:val="103"/>
        </w:numPr>
        <w:tabs>
          <w:tab w:pos="1449" w:val="left" w:leader="none"/>
        </w:tabs>
        <w:spacing w:line="262" w:lineRule="exact" w:before="18" w:after="0"/>
        <w:ind w:left="1449" w:right="0" w:hanging="359"/>
        <w:jc w:val="left"/>
        <w:rPr>
          <w:sz w:val="22"/>
        </w:rPr>
      </w:pPr>
      <w:r>
        <w:rPr>
          <w:sz w:val="22"/>
        </w:rPr>
        <w:t>Abogados</w:t>
      </w:r>
      <w:r>
        <w:rPr>
          <w:spacing w:val="-5"/>
          <w:sz w:val="22"/>
        </w:rPr>
        <w:t> </w:t>
      </w:r>
      <w:r>
        <w:rPr>
          <w:sz w:val="22"/>
        </w:rPr>
        <w:t>Externos</w:t>
      </w:r>
      <w:r>
        <w:rPr>
          <w:spacing w:val="-2"/>
          <w:sz w:val="22"/>
        </w:rPr>
        <w:t> </w:t>
      </w:r>
      <w:r>
        <w:rPr>
          <w:sz w:val="22"/>
        </w:rPr>
        <w:t>para</w:t>
      </w:r>
      <w:r>
        <w:rPr>
          <w:spacing w:val="-4"/>
          <w:sz w:val="22"/>
        </w:rPr>
        <w:t> </w:t>
      </w:r>
      <w:r>
        <w:rPr>
          <w:sz w:val="22"/>
        </w:rPr>
        <w:t>inicio</w:t>
      </w:r>
      <w:r>
        <w:rPr>
          <w:spacing w:val="-4"/>
          <w:sz w:val="22"/>
        </w:rPr>
        <w:t> </w:t>
      </w:r>
      <w:r>
        <w:rPr>
          <w:sz w:val="22"/>
        </w:rPr>
        <w:t>y</w:t>
      </w:r>
      <w:r>
        <w:rPr>
          <w:spacing w:val="-4"/>
          <w:sz w:val="22"/>
        </w:rPr>
        <w:t> </w:t>
      </w:r>
      <w:r>
        <w:rPr>
          <w:sz w:val="22"/>
        </w:rPr>
        <w:t>trámite</w:t>
      </w:r>
      <w:r>
        <w:rPr>
          <w:spacing w:val="-4"/>
          <w:sz w:val="22"/>
        </w:rPr>
        <w:t> </w:t>
      </w:r>
      <w:r>
        <w:rPr>
          <w:sz w:val="22"/>
        </w:rPr>
        <w:t>de</w:t>
      </w:r>
      <w:r>
        <w:rPr>
          <w:spacing w:val="-5"/>
          <w:sz w:val="22"/>
        </w:rPr>
        <w:t> </w:t>
      </w:r>
      <w:r>
        <w:rPr>
          <w:sz w:val="22"/>
        </w:rPr>
        <w:t>Cobros</w:t>
      </w:r>
      <w:r>
        <w:rPr>
          <w:spacing w:val="-2"/>
          <w:sz w:val="22"/>
        </w:rPr>
        <w:t> Judiciales.</w:t>
      </w:r>
    </w:p>
    <w:p>
      <w:pPr>
        <w:pStyle w:val="ListParagraph"/>
        <w:numPr>
          <w:ilvl w:val="0"/>
          <w:numId w:val="103"/>
        </w:numPr>
        <w:tabs>
          <w:tab w:pos="1450" w:val="left" w:leader="none"/>
        </w:tabs>
        <w:spacing w:line="240" w:lineRule="auto" w:before="0" w:after="0"/>
        <w:ind w:left="1450" w:right="493" w:hanging="360"/>
        <w:jc w:val="left"/>
        <w:rPr>
          <w:sz w:val="22"/>
        </w:rPr>
      </w:pPr>
      <w:r>
        <w:rPr>
          <w:sz w:val="22"/>
        </w:rPr>
        <w:t>Contratación</w:t>
      </w:r>
      <w:r>
        <w:rPr>
          <w:spacing w:val="40"/>
          <w:sz w:val="22"/>
        </w:rPr>
        <w:t> </w:t>
      </w:r>
      <w:r>
        <w:rPr>
          <w:sz w:val="22"/>
        </w:rPr>
        <w:t>de</w:t>
      </w:r>
      <w:r>
        <w:rPr>
          <w:spacing w:val="40"/>
          <w:sz w:val="22"/>
        </w:rPr>
        <w:t> </w:t>
      </w:r>
      <w:r>
        <w:rPr>
          <w:sz w:val="22"/>
        </w:rPr>
        <w:t>Servicios</w:t>
      </w:r>
      <w:r>
        <w:rPr>
          <w:spacing w:val="40"/>
          <w:sz w:val="22"/>
        </w:rPr>
        <w:t> </w:t>
      </w:r>
      <w:r>
        <w:rPr>
          <w:sz w:val="22"/>
        </w:rPr>
        <w:t>de</w:t>
      </w:r>
      <w:r>
        <w:rPr>
          <w:spacing w:val="40"/>
          <w:sz w:val="22"/>
        </w:rPr>
        <w:t> </w:t>
      </w:r>
      <w:r>
        <w:rPr>
          <w:sz w:val="22"/>
        </w:rPr>
        <w:t>Localización</w:t>
      </w:r>
      <w:r>
        <w:rPr>
          <w:spacing w:val="40"/>
          <w:sz w:val="22"/>
        </w:rPr>
        <w:t> </w:t>
      </w:r>
      <w:r>
        <w:rPr>
          <w:sz w:val="22"/>
        </w:rPr>
        <w:t>de</w:t>
      </w:r>
      <w:r>
        <w:rPr>
          <w:spacing w:val="40"/>
          <w:sz w:val="22"/>
        </w:rPr>
        <w:t> </w:t>
      </w:r>
      <w:r>
        <w:rPr>
          <w:sz w:val="22"/>
        </w:rPr>
        <w:t>Datos</w:t>
      </w:r>
      <w:r>
        <w:rPr>
          <w:spacing w:val="40"/>
          <w:sz w:val="22"/>
        </w:rPr>
        <w:t> </w:t>
      </w:r>
      <w:r>
        <w:rPr>
          <w:sz w:val="22"/>
        </w:rPr>
        <w:t>y</w:t>
      </w:r>
      <w:r>
        <w:rPr>
          <w:spacing w:val="40"/>
          <w:sz w:val="22"/>
        </w:rPr>
        <w:t> </w:t>
      </w:r>
      <w:r>
        <w:rPr>
          <w:sz w:val="22"/>
        </w:rPr>
        <w:t>Notificación</w:t>
      </w:r>
      <w:r>
        <w:rPr>
          <w:spacing w:val="40"/>
          <w:sz w:val="22"/>
        </w:rPr>
        <w:t> </w:t>
      </w:r>
      <w:r>
        <w:rPr>
          <w:sz w:val="22"/>
        </w:rPr>
        <w:t>de</w:t>
      </w:r>
      <w:r>
        <w:rPr>
          <w:spacing w:val="40"/>
          <w:sz w:val="22"/>
        </w:rPr>
        <w:t> </w:t>
      </w:r>
      <w:r>
        <w:rPr>
          <w:sz w:val="22"/>
        </w:rPr>
        <w:t>Obligados</w:t>
      </w:r>
      <w:r>
        <w:rPr>
          <w:spacing w:val="40"/>
          <w:sz w:val="22"/>
        </w:rPr>
        <w:t> </w:t>
      </w:r>
      <w:r>
        <w:rPr>
          <w:sz w:val="22"/>
        </w:rPr>
        <w:t>Morosos</w:t>
      </w:r>
      <w:r>
        <w:rPr>
          <w:spacing w:val="40"/>
          <w:sz w:val="22"/>
        </w:rPr>
        <w:t> </w:t>
      </w:r>
      <w:r>
        <w:rPr>
          <w:sz w:val="22"/>
        </w:rPr>
        <w:t>programada para próximos meses.</w:t>
      </w:r>
    </w:p>
    <w:p>
      <w:pPr>
        <w:pStyle w:val="ListParagraph"/>
        <w:numPr>
          <w:ilvl w:val="0"/>
          <w:numId w:val="103"/>
        </w:numPr>
        <w:tabs>
          <w:tab w:pos="1450" w:val="left" w:leader="none"/>
        </w:tabs>
        <w:spacing w:line="240" w:lineRule="auto" w:before="0" w:after="0"/>
        <w:ind w:left="1450" w:right="491" w:hanging="360"/>
        <w:jc w:val="left"/>
        <w:rPr>
          <w:sz w:val="22"/>
        </w:rPr>
      </w:pPr>
      <w:r>
        <w:rPr>
          <w:sz w:val="22"/>
        </w:rPr>
        <w:t>Programación</w:t>
      </w:r>
      <w:r>
        <w:rPr>
          <w:spacing w:val="31"/>
          <w:sz w:val="22"/>
        </w:rPr>
        <w:t> </w:t>
      </w:r>
      <w:r>
        <w:rPr>
          <w:sz w:val="22"/>
        </w:rPr>
        <w:t>de</w:t>
      </w:r>
      <w:r>
        <w:rPr>
          <w:spacing w:val="29"/>
          <w:sz w:val="22"/>
        </w:rPr>
        <w:t> </w:t>
      </w:r>
      <w:r>
        <w:rPr>
          <w:sz w:val="22"/>
        </w:rPr>
        <w:t>giras</w:t>
      </w:r>
      <w:r>
        <w:rPr>
          <w:spacing w:val="32"/>
          <w:sz w:val="22"/>
        </w:rPr>
        <w:t> </w:t>
      </w:r>
      <w:r>
        <w:rPr>
          <w:sz w:val="22"/>
        </w:rPr>
        <w:t>del</w:t>
      </w:r>
      <w:r>
        <w:rPr>
          <w:spacing w:val="28"/>
          <w:sz w:val="22"/>
        </w:rPr>
        <w:t> </w:t>
      </w:r>
      <w:r>
        <w:rPr>
          <w:sz w:val="22"/>
        </w:rPr>
        <w:t>personal</w:t>
      </w:r>
      <w:r>
        <w:rPr>
          <w:spacing w:val="30"/>
          <w:sz w:val="22"/>
        </w:rPr>
        <w:t> </w:t>
      </w:r>
      <w:r>
        <w:rPr>
          <w:sz w:val="22"/>
        </w:rPr>
        <w:t>de</w:t>
      </w:r>
      <w:r>
        <w:rPr>
          <w:spacing w:val="29"/>
          <w:sz w:val="22"/>
        </w:rPr>
        <w:t> </w:t>
      </w:r>
      <w:r>
        <w:rPr>
          <w:sz w:val="22"/>
        </w:rPr>
        <w:t>la</w:t>
      </w:r>
      <w:r>
        <w:rPr>
          <w:spacing w:val="30"/>
          <w:sz w:val="22"/>
        </w:rPr>
        <w:t> </w:t>
      </w:r>
      <w:r>
        <w:rPr>
          <w:sz w:val="22"/>
        </w:rPr>
        <w:t>Administración</w:t>
      </w:r>
      <w:r>
        <w:rPr>
          <w:spacing w:val="32"/>
          <w:sz w:val="22"/>
        </w:rPr>
        <w:t> </w:t>
      </w:r>
      <w:r>
        <w:rPr>
          <w:sz w:val="22"/>
        </w:rPr>
        <w:t>Tributaria</w:t>
      </w:r>
      <w:r>
        <w:rPr>
          <w:spacing w:val="30"/>
          <w:sz w:val="22"/>
        </w:rPr>
        <w:t> </w:t>
      </w:r>
      <w:r>
        <w:rPr>
          <w:sz w:val="22"/>
        </w:rPr>
        <w:t>para</w:t>
      </w:r>
      <w:r>
        <w:rPr>
          <w:spacing w:val="30"/>
          <w:sz w:val="22"/>
        </w:rPr>
        <w:t> </w:t>
      </w:r>
      <w:r>
        <w:rPr>
          <w:sz w:val="22"/>
        </w:rPr>
        <w:t>notificar</w:t>
      </w:r>
      <w:r>
        <w:rPr>
          <w:spacing w:val="31"/>
          <w:sz w:val="22"/>
        </w:rPr>
        <w:t> </w:t>
      </w:r>
      <w:r>
        <w:rPr>
          <w:sz w:val="22"/>
        </w:rPr>
        <w:t>durante</w:t>
      </w:r>
      <w:r>
        <w:rPr>
          <w:spacing w:val="30"/>
          <w:sz w:val="22"/>
        </w:rPr>
        <w:t> </w:t>
      </w:r>
      <w:r>
        <w:rPr>
          <w:sz w:val="22"/>
        </w:rPr>
        <w:t>los meses siguientes.</w:t>
      </w:r>
    </w:p>
    <w:p>
      <w:pPr>
        <w:pStyle w:val="BodyText"/>
        <w:spacing w:before="21"/>
      </w:pPr>
    </w:p>
    <w:p>
      <w:pPr>
        <w:pStyle w:val="BodyText"/>
        <w:spacing w:line="259" w:lineRule="auto"/>
        <w:ind w:left="730"/>
      </w:pPr>
      <w:r>
        <w:rPr/>
        <w:t>Para</w:t>
      </w:r>
      <w:r>
        <w:rPr>
          <w:spacing w:val="40"/>
        </w:rPr>
        <w:t> </w:t>
      </w:r>
      <w:r>
        <w:rPr/>
        <w:t>patronos</w:t>
      </w:r>
      <w:r>
        <w:rPr>
          <w:spacing w:val="40"/>
        </w:rPr>
        <w:t> </w:t>
      </w:r>
      <w:r>
        <w:rPr/>
        <w:t>(Ley</w:t>
      </w:r>
      <w:r>
        <w:rPr>
          <w:spacing w:val="40"/>
        </w:rPr>
        <w:t> </w:t>
      </w:r>
      <w:r>
        <w:rPr/>
        <w:t>4760)</w:t>
      </w:r>
      <w:r>
        <w:rPr>
          <w:spacing w:val="40"/>
        </w:rPr>
        <w:t> </w:t>
      </w:r>
      <w:r>
        <w:rPr/>
        <w:t>se</w:t>
      </w:r>
      <w:r>
        <w:rPr>
          <w:spacing w:val="40"/>
        </w:rPr>
        <w:t> </w:t>
      </w:r>
      <w:r>
        <w:rPr/>
        <w:t>define</w:t>
      </w:r>
      <w:r>
        <w:rPr>
          <w:spacing w:val="40"/>
        </w:rPr>
        <w:t> </w:t>
      </w:r>
      <w:r>
        <w:rPr/>
        <w:t>mensualmente</w:t>
      </w:r>
      <w:r>
        <w:rPr>
          <w:spacing w:val="40"/>
        </w:rPr>
        <w:t> </w:t>
      </w:r>
      <w:r>
        <w:rPr/>
        <w:t>estrategias</w:t>
      </w:r>
      <w:r>
        <w:rPr>
          <w:spacing w:val="40"/>
        </w:rPr>
        <w:t> </w:t>
      </w:r>
      <w:r>
        <w:rPr/>
        <w:t>cobratorias</w:t>
      </w:r>
      <w:r>
        <w:rPr>
          <w:spacing w:val="40"/>
        </w:rPr>
        <w:t> </w:t>
      </w:r>
      <w:r>
        <w:rPr/>
        <w:t>con</w:t>
      </w:r>
      <w:r>
        <w:rPr>
          <w:spacing w:val="40"/>
        </w:rPr>
        <w:t> </w:t>
      </w:r>
      <w:r>
        <w:rPr/>
        <w:t>la</w:t>
      </w:r>
      <w:r>
        <w:rPr>
          <w:spacing w:val="40"/>
        </w:rPr>
        <w:t> </w:t>
      </w:r>
      <w:r>
        <w:rPr/>
        <w:t>finalidad</w:t>
      </w:r>
      <w:r>
        <w:rPr>
          <w:spacing w:val="40"/>
        </w:rPr>
        <w:t> </w:t>
      </w:r>
      <w:r>
        <w:rPr/>
        <w:t>de</w:t>
      </w:r>
      <w:r>
        <w:rPr>
          <w:spacing w:val="40"/>
        </w:rPr>
        <w:t> </w:t>
      </w:r>
      <w:r>
        <w:rPr/>
        <w:t>darle seguimiento al movimiento de la cuenta por cobrar y mantener un cobro activo de la misma.</w:t>
      </w:r>
    </w:p>
    <w:p>
      <w:pPr>
        <w:pStyle w:val="BodyText"/>
        <w:spacing w:before="20"/>
      </w:pPr>
    </w:p>
    <w:p>
      <w:pPr>
        <w:pStyle w:val="BodyText"/>
        <w:spacing w:line="259" w:lineRule="auto"/>
        <w:ind w:left="730" w:right="461"/>
      </w:pPr>
      <w:r>
        <w:rPr/>
        <w:t>De</w:t>
      </w:r>
      <w:r>
        <w:rPr>
          <w:spacing w:val="-11"/>
        </w:rPr>
        <w:t> </w:t>
      </w:r>
      <w:r>
        <w:rPr/>
        <w:t>igual</w:t>
      </w:r>
      <w:r>
        <w:rPr>
          <w:spacing w:val="-10"/>
        </w:rPr>
        <w:t> </w:t>
      </w:r>
      <w:r>
        <w:rPr/>
        <w:t>forma</w:t>
      </w:r>
      <w:r>
        <w:rPr>
          <w:spacing w:val="-13"/>
        </w:rPr>
        <w:t> </w:t>
      </w:r>
      <w:r>
        <w:rPr/>
        <w:t>para</w:t>
      </w:r>
      <w:r>
        <w:rPr>
          <w:spacing w:val="-10"/>
        </w:rPr>
        <w:t> </w:t>
      </w:r>
      <w:r>
        <w:rPr/>
        <w:t>el</w:t>
      </w:r>
      <w:r>
        <w:rPr>
          <w:spacing w:val="-10"/>
        </w:rPr>
        <w:t> </w:t>
      </w:r>
      <w:r>
        <w:rPr/>
        <w:t>caso</w:t>
      </w:r>
      <w:r>
        <w:rPr>
          <w:spacing w:val="-11"/>
        </w:rPr>
        <w:t> </w:t>
      </w:r>
      <w:r>
        <w:rPr/>
        <w:t>de</w:t>
      </w:r>
      <w:r>
        <w:rPr>
          <w:spacing w:val="-11"/>
        </w:rPr>
        <w:t> </w:t>
      </w:r>
      <w:r>
        <w:rPr/>
        <w:t>Moteles</w:t>
      </w:r>
      <w:r>
        <w:rPr>
          <w:spacing w:val="-9"/>
        </w:rPr>
        <w:t> </w:t>
      </w:r>
      <w:r>
        <w:rPr/>
        <w:t>y</w:t>
      </w:r>
      <w:r>
        <w:rPr>
          <w:spacing w:val="-11"/>
        </w:rPr>
        <w:t> </w:t>
      </w:r>
      <w:r>
        <w:rPr/>
        <w:t>lugares</w:t>
      </w:r>
      <w:r>
        <w:rPr>
          <w:spacing w:val="-9"/>
        </w:rPr>
        <w:t> </w:t>
      </w:r>
      <w:r>
        <w:rPr/>
        <w:t>afines</w:t>
      </w:r>
      <w:r>
        <w:rPr>
          <w:spacing w:val="-9"/>
        </w:rPr>
        <w:t> </w:t>
      </w:r>
      <w:r>
        <w:rPr/>
        <w:t>(Ley</w:t>
      </w:r>
      <w:r>
        <w:rPr>
          <w:spacing w:val="-11"/>
        </w:rPr>
        <w:t> </w:t>
      </w:r>
      <w:r>
        <w:rPr/>
        <w:t>9326)</w:t>
      </w:r>
      <w:r>
        <w:rPr>
          <w:spacing w:val="-9"/>
        </w:rPr>
        <w:t> </w:t>
      </w:r>
      <w:r>
        <w:rPr/>
        <w:t>se</w:t>
      </w:r>
      <w:r>
        <w:rPr>
          <w:spacing w:val="-11"/>
        </w:rPr>
        <w:t> </w:t>
      </w:r>
      <w:r>
        <w:rPr/>
        <w:t>realizan</w:t>
      </w:r>
      <w:r>
        <w:rPr>
          <w:spacing w:val="-10"/>
        </w:rPr>
        <w:t> </w:t>
      </w:r>
      <w:r>
        <w:rPr/>
        <w:t>visitas</w:t>
      </w:r>
      <w:r>
        <w:rPr>
          <w:spacing w:val="-11"/>
        </w:rPr>
        <w:t> </w:t>
      </w:r>
      <w:r>
        <w:rPr/>
        <w:t>periódicas</w:t>
      </w:r>
      <w:r>
        <w:rPr>
          <w:spacing w:val="-9"/>
        </w:rPr>
        <w:t> </w:t>
      </w:r>
      <w:r>
        <w:rPr/>
        <w:t>a</w:t>
      </w:r>
      <w:r>
        <w:rPr>
          <w:spacing w:val="-10"/>
        </w:rPr>
        <w:t> </w:t>
      </w:r>
      <w:r>
        <w:rPr/>
        <w:t>los</w:t>
      </w:r>
      <w:r>
        <w:rPr>
          <w:spacing w:val="-9"/>
        </w:rPr>
        <w:t> </w:t>
      </w:r>
      <w:r>
        <w:rPr/>
        <w:t>clientes y en el caso de cierres, se dan regularizaciones tributarias, definidas en el Reglamento a la Ley 9326.</w:t>
      </w:r>
    </w:p>
    <w:p>
      <w:pPr>
        <w:pStyle w:val="BodyText"/>
        <w:spacing w:before="21"/>
      </w:pPr>
    </w:p>
    <w:p>
      <w:pPr>
        <w:pStyle w:val="BodyText"/>
        <w:spacing w:line="256" w:lineRule="auto"/>
        <w:ind w:left="730"/>
      </w:pPr>
      <w:r>
        <w:rPr/>
        <w:t>La</w:t>
      </w:r>
      <w:r>
        <w:rPr>
          <w:spacing w:val="40"/>
        </w:rPr>
        <w:t> </w:t>
      </w:r>
      <w:r>
        <w:rPr/>
        <w:t>medición</w:t>
      </w:r>
      <w:r>
        <w:rPr>
          <w:spacing w:val="40"/>
        </w:rPr>
        <w:t> </w:t>
      </w:r>
      <w:r>
        <w:rPr/>
        <w:t>de</w:t>
      </w:r>
      <w:r>
        <w:rPr>
          <w:spacing w:val="40"/>
        </w:rPr>
        <w:t> </w:t>
      </w:r>
      <w:r>
        <w:rPr/>
        <w:t>este</w:t>
      </w:r>
      <w:r>
        <w:rPr>
          <w:spacing w:val="40"/>
        </w:rPr>
        <w:t> </w:t>
      </w:r>
      <w:r>
        <w:rPr/>
        <w:t>riesgo</w:t>
      </w:r>
      <w:r>
        <w:rPr>
          <w:spacing w:val="40"/>
        </w:rPr>
        <w:t> </w:t>
      </w:r>
      <w:r>
        <w:rPr/>
        <w:t>se</w:t>
      </w:r>
      <w:r>
        <w:rPr>
          <w:spacing w:val="40"/>
        </w:rPr>
        <w:t> </w:t>
      </w:r>
      <w:r>
        <w:rPr/>
        <w:t>da</w:t>
      </w:r>
      <w:r>
        <w:rPr>
          <w:spacing w:val="40"/>
        </w:rPr>
        <w:t> </w:t>
      </w:r>
      <w:r>
        <w:rPr/>
        <w:t>a</w:t>
      </w:r>
      <w:r>
        <w:rPr>
          <w:spacing w:val="40"/>
        </w:rPr>
        <w:t> </w:t>
      </w:r>
      <w:r>
        <w:rPr/>
        <w:t>través</w:t>
      </w:r>
      <w:r>
        <w:rPr>
          <w:spacing w:val="40"/>
        </w:rPr>
        <w:t> </w:t>
      </w:r>
      <w:r>
        <w:rPr/>
        <w:t>de</w:t>
      </w:r>
      <w:r>
        <w:rPr>
          <w:spacing w:val="40"/>
        </w:rPr>
        <w:t> </w:t>
      </w:r>
      <w:r>
        <w:rPr/>
        <w:t>informes</w:t>
      </w:r>
      <w:r>
        <w:rPr>
          <w:spacing w:val="40"/>
        </w:rPr>
        <w:t> </w:t>
      </w:r>
      <w:r>
        <w:rPr/>
        <w:t>trimestrales</w:t>
      </w:r>
      <w:r>
        <w:rPr>
          <w:spacing w:val="40"/>
        </w:rPr>
        <w:t> </w:t>
      </w:r>
      <w:r>
        <w:rPr/>
        <w:t>de</w:t>
      </w:r>
      <w:r>
        <w:rPr>
          <w:spacing w:val="40"/>
        </w:rPr>
        <w:t> </w:t>
      </w:r>
      <w:r>
        <w:rPr/>
        <w:t>gestión,</w:t>
      </w:r>
      <w:r>
        <w:rPr>
          <w:spacing w:val="40"/>
        </w:rPr>
        <w:t> </w:t>
      </w:r>
      <w:r>
        <w:rPr/>
        <w:t>remitidos</w:t>
      </w:r>
      <w:r>
        <w:rPr>
          <w:spacing w:val="40"/>
        </w:rPr>
        <w:t> </w:t>
      </w:r>
      <w:r>
        <w:rPr/>
        <w:t>al</w:t>
      </w:r>
      <w:r>
        <w:rPr>
          <w:spacing w:val="40"/>
        </w:rPr>
        <w:t> </w:t>
      </w:r>
      <w:r>
        <w:rPr/>
        <w:t>superior jerárquico.</w:t>
      </w:r>
      <w:r>
        <w:rPr>
          <w:spacing w:val="-1"/>
        </w:rPr>
        <w:t> </w:t>
      </w:r>
      <w:r>
        <w:rPr/>
        <w:t>Para</w:t>
      </w:r>
      <w:r>
        <w:rPr>
          <w:spacing w:val="1"/>
        </w:rPr>
        <w:t> </w:t>
      </w:r>
      <w:r>
        <w:rPr/>
        <w:t>Otras Cuentas</w:t>
      </w:r>
      <w:r>
        <w:rPr>
          <w:spacing w:val="2"/>
        </w:rPr>
        <w:t> </w:t>
      </w:r>
      <w:r>
        <w:rPr/>
        <w:t>por</w:t>
      </w:r>
      <w:r>
        <w:rPr>
          <w:spacing w:val="-1"/>
        </w:rPr>
        <w:t> </w:t>
      </w:r>
      <w:r>
        <w:rPr/>
        <w:t>Cobrar</w:t>
      </w:r>
      <w:r>
        <w:rPr>
          <w:spacing w:val="-1"/>
        </w:rPr>
        <w:t> </w:t>
      </w:r>
      <w:r>
        <w:rPr/>
        <w:t>se</w:t>
      </w:r>
      <w:r>
        <w:rPr>
          <w:spacing w:val="-2"/>
        </w:rPr>
        <w:t> </w:t>
      </w:r>
      <w:r>
        <w:rPr/>
        <w:t>mantiene</w:t>
      </w:r>
      <w:r>
        <w:rPr>
          <w:spacing w:val="-1"/>
        </w:rPr>
        <w:t> </w:t>
      </w:r>
      <w:r>
        <w:rPr/>
        <w:t>una</w:t>
      </w:r>
      <w:r>
        <w:rPr>
          <w:spacing w:val="1"/>
        </w:rPr>
        <w:t> </w:t>
      </w:r>
      <w:r>
        <w:rPr/>
        <w:t>constante</w:t>
      </w:r>
      <w:r>
        <w:rPr>
          <w:spacing w:val="1"/>
        </w:rPr>
        <w:t> </w:t>
      </w:r>
      <w:r>
        <w:rPr/>
        <w:t>política</w:t>
      </w:r>
      <w:r>
        <w:rPr>
          <w:spacing w:val="1"/>
        </w:rPr>
        <w:t> </w:t>
      </w:r>
      <w:r>
        <w:rPr/>
        <w:t>de gestión cobratoria</w:t>
      </w:r>
      <w:r>
        <w:rPr>
          <w:spacing w:val="1"/>
        </w:rPr>
        <w:t> </w:t>
      </w:r>
      <w:r>
        <w:rPr/>
        <w:t>de</w:t>
      </w:r>
      <w:r>
        <w:rPr>
          <w:spacing w:val="1"/>
        </w:rPr>
        <w:t> </w:t>
      </w:r>
      <w:r>
        <w:rPr>
          <w:spacing w:val="-5"/>
        </w:rPr>
        <w:t>las</w:t>
      </w:r>
    </w:p>
    <w:p>
      <w:pPr>
        <w:pStyle w:val="BodyText"/>
        <w:spacing w:after="0" w:line="25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3568">
                <wp:simplePos x="0" y="0"/>
                <wp:positionH relativeFrom="page">
                  <wp:posOffset>9525</wp:posOffset>
                </wp:positionH>
                <wp:positionV relativeFrom="page">
                  <wp:posOffset>297208</wp:posOffset>
                </wp:positionV>
                <wp:extent cx="7762875" cy="9748520"/>
                <wp:effectExtent l="0" t="0" r="0" b="0"/>
                <wp:wrapNone/>
                <wp:docPr id="1218" name="Group 1218"/>
                <wp:cNvGraphicFramePr>
                  <a:graphicFrameLocks/>
                </wp:cNvGraphicFramePr>
                <a:graphic>
                  <a:graphicData uri="http://schemas.microsoft.com/office/word/2010/wordprocessingGroup">
                    <wpg:wgp>
                      <wpg:cNvPr id="1218" name="Group 1218"/>
                      <wpg:cNvGrpSpPr/>
                      <wpg:grpSpPr>
                        <a:xfrm>
                          <a:off x="0" y="0"/>
                          <a:ext cx="7762875" cy="9748520"/>
                          <a:chExt cx="7762875" cy="9748520"/>
                        </a:xfrm>
                      </wpg:grpSpPr>
                      <pic:pic>
                        <pic:nvPicPr>
                          <pic:cNvPr id="1219" name="Image 1219"/>
                          <pic:cNvPicPr/>
                        </pic:nvPicPr>
                        <pic:blipFill>
                          <a:blip r:embed="rId5" cstate="print"/>
                          <a:stretch>
                            <a:fillRect/>
                          </a:stretch>
                        </pic:blipFill>
                        <pic:spPr>
                          <a:xfrm>
                            <a:off x="0" y="0"/>
                            <a:ext cx="7762874" cy="9748489"/>
                          </a:xfrm>
                          <a:prstGeom prst="rect">
                            <a:avLst/>
                          </a:prstGeom>
                        </pic:spPr>
                      </pic:pic>
                      <wps:wsp>
                        <wps:cNvPr id="1220" name="Graphic 1220"/>
                        <wps:cNvSpPr/>
                        <wps:spPr>
                          <a:xfrm>
                            <a:off x="1053007" y="990837"/>
                            <a:ext cx="6013450" cy="7543800"/>
                          </a:xfrm>
                          <a:custGeom>
                            <a:avLst/>
                            <a:gdLst/>
                            <a:ahLst/>
                            <a:cxnLst/>
                            <a:rect l="l" t="t" r="r" b="b"/>
                            <a:pathLst>
                              <a:path w="6013450" h="7543800">
                                <a:moveTo>
                                  <a:pt x="21336" y="132651"/>
                                </a:moveTo>
                                <a:lnTo>
                                  <a:pt x="15240" y="132651"/>
                                </a:lnTo>
                                <a:lnTo>
                                  <a:pt x="15240" y="7537132"/>
                                </a:lnTo>
                                <a:lnTo>
                                  <a:pt x="21336" y="7537132"/>
                                </a:lnTo>
                                <a:lnTo>
                                  <a:pt x="21336" y="132651"/>
                                </a:lnTo>
                                <a:close/>
                              </a:path>
                              <a:path w="6013450" h="7543800">
                                <a:moveTo>
                                  <a:pt x="5649214" y="0"/>
                                </a:moveTo>
                                <a:lnTo>
                                  <a:pt x="0" y="0"/>
                                </a:lnTo>
                                <a:lnTo>
                                  <a:pt x="0" y="9131"/>
                                </a:lnTo>
                                <a:lnTo>
                                  <a:pt x="5649214" y="9131"/>
                                </a:lnTo>
                                <a:lnTo>
                                  <a:pt x="5649214" y="0"/>
                                </a:lnTo>
                                <a:close/>
                              </a:path>
                              <a:path w="6013450" h="7543800">
                                <a:moveTo>
                                  <a:pt x="6013399" y="7537145"/>
                                </a:moveTo>
                                <a:lnTo>
                                  <a:pt x="6007354" y="7537145"/>
                                </a:lnTo>
                                <a:lnTo>
                                  <a:pt x="21336" y="7537145"/>
                                </a:lnTo>
                                <a:lnTo>
                                  <a:pt x="15240" y="7537145"/>
                                </a:lnTo>
                                <a:lnTo>
                                  <a:pt x="15240" y="7543228"/>
                                </a:lnTo>
                                <a:lnTo>
                                  <a:pt x="21336" y="7543228"/>
                                </a:lnTo>
                                <a:lnTo>
                                  <a:pt x="6007303" y="7543228"/>
                                </a:lnTo>
                                <a:lnTo>
                                  <a:pt x="6013399" y="7543228"/>
                                </a:lnTo>
                                <a:lnTo>
                                  <a:pt x="6013399" y="7537145"/>
                                </a:lnTo>
                                <a:close/>
                              </a:path>
                              <a:path w="6013450" h="7543800">
                                <a:moveTo>
                                  <a:pt x="6013399" y="132651"/>
                                </a:moveTo>
                                <a:lnTo>
                                  <a:pt x="6007303" y="132651"/>
                                </a:lnTo>
                                <a:lnTo>
                                  <a:pt x="6007303" y="7537132"/>
                                </a:lnTo>
                                <a:lnTo>
                                  <a:pt x="6013399" y="7537132"/>
                                </a:lnTo>
                                <a:lnTo>
                                  <a:pt x="6013399" y="132651"/>
                                </a:lnTo>
                                <a:close/>
                              </a:path>
                              <a:path w="6013450" h="7543800">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2912" id="docshapegroup1162" coordorigin="15,468" coordsize="12225,15352">
                <v:shape style="position:absolute;left:15;top:468;width:12225;height:15352" type="#_x0000_t75" id="docshape1163" stroked="false">
                  <v:imagedata r:id="rId5" o:title=""/>
                </v:shape>
                <v:shape style="position:absolute;left:1673;top:2028;width:9470;height:11880" id="docshape1164" coordorigin="1673,2028" coordsize="9470,11880" path="m1707,2237l1697,2237,1697,13898,1707,13898,1707,2237xm10570,2028l1673,2028,1673,2043,10570,2043,10570,2028xm11143,13898l11134,13898,11134,13898,1707,13898,1697,13898,1697,13908,1707,13908,11134,13908,11134,13908,11143,13908,11143,13898xm11143,2237l11134,2237,11134,13898,11143,13898,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239</w:t>
      </w:r>
    </w:p>
    <w:p>
      <w:pPr>
        <w:pStyle w:val="BodyText"/>
        <w:spacing w:line="259" w:lineRule="auto" w:before="227"/>
        <w:ind w:left="730" w:right="492"/>
        <w:jc w:val="both"/>
      </w:pPr>
      <w:r>
        <w:rPr/>
        <w:t>nuevas operaciones para evitar que se caiga en morosidad que puede terminar en deterioro del activo </w:t>
      </w:r>
      <w:r>
        <w:rPr>
          <w:spacing w:val="-2"/>
        </w:rPr>
        <w:t>financiero.</w:t>
      </w:r>
    </w:p>
    <w:p>
      <w:pPr>
        <w:pStyle w:val="BodyText"/>
        <w:spacing w:before="21"/>
      </w:pPr>
    </w:p>
    <w:p>
      <w:pPr>
        <w:pStyle w:val="BodyText"/>
        <w:ind w:left="730"/>
        <w:jc w:val="both"/>
      </w:pPr>
      <w:r>
        <w:rPr/>
        <w:t>Concentración</w:t>
      </w:r>
      <w:r>
        <w:rPr>
          <w:spacing w:val="-4"/>
        </w:rPr>
        <w:t> </w:t>
      </w:r>
      <w:r>
        <w:rPr/>
        <w:t>de</w:t>
      </w:r>
      <w:r>
        <w:rPr>
          <w:spacing w:val="-4"/>
        </w:rPr>
        <w:t> </w:t>
      </w:r>
      <w:r>
        <w:rPr>
          <w:spacing w:val="-2"/>
        </w:rPr>
        <w:t>riesgo:</w:t>
      </w:r>
    </w:p>
    <w:p>
      <w:pPr>
        <w:pStyle w:val="BodyText"/>
        <w:spacing w:before="40"/>
      </w:pPr>
    </w:p>
    <w:p>
      <w:pPr>
        <w:pStyle w:val="BodyText"/>
        <w:spacing w:line="256" w:lineRule="auto"/>
        <w:ind w:left="730" w:right="490"/>
        <w:jc w:val="both"/>
      </w:pPr>
      <w:r>
        <w:rPr/>
        <w:t>El</w:t>
      </w:r>
      <w:r>
        <w:rPr>
          <w:spacing w:val="-10"/>
        </w:rPr>
        <w:t> </w:t>
      </w:r>
      <w:r>
        <w:rPr/>
        <w:t>riesgo</w:t>
      </w:r>
      <w:r>
        <w:rPr>
          <w:spacing w:val="-9"/>
        </w:rPr>
        <w:t> </w:t>
      </w:r>
      <w:r>
        <w:rPr/>
        <w:t>se</w:t>
      </w:r>
      <w:r>
        <w:rPr>
          <w:spacing w:val="-11"/>
        </w:rPr>
        <w:t> </w:t>
      </w:r>
      <w:r>
        <w:rPr/>
        <w:t>encuentra</w:t>
      </w:r>
      <w:r>
        <w:rPr>
          <w:spacing w:val="-10"/>
        </w:rPr>
        <w:t> </w:t>
      </w:r>
      <w:r>
        <w:rPr/>
        <w:t>definido</w:t>
      </w:r>
      <w:r>
        <w:rPr>
          <w:spacing w:val="-9"/>
        </w:rPr>
        <w:t> </w:t>
      </w:r>
      <w:r>
        <w:rPr/>
        <w:t>como</w:t>
      </w:r>
      <w:r>
        <w:rPr>
          <w:spacing w:val="-9"/>
        </w:rPr>
        <w:t> </w:t>
      </w:r>
      <w:r>
        <w:rPr/>
        <w:t>un</w:t>
      </w:r>
      <w:r>
        <w:rPr>
          <w:spacing w:val="-9"/>
        </w:rPr>
        <w:t> </w:t>
      </w:r>
      <w:r>
        <w:rPr/>
        <w:t>riesgo</w:t>
      </w:r>
      <w:r>
        <w:rPr>
          <w:spacing w:val="-9"/>
        </w:rPr>
        <w:t> </w:t>
      </w:r>
      <w:r>
        <w:rPr/>
        <w:t>de</w:t>
      </w:r>
      <w:r>
        <w:rPr>
          <w:spacing w:val="-11"/>
        </w:rPr>
        <w:t> </w:t>
      </w:r>
      <w:r>
        <w:rPr/>
        <w:t>Monitoreo</w:t>
      </w:r>
      <w:r>
        <w:rPr>
          <w:spacing w:val="-9"/>
        </w:rPr>
        <w:t> </w:t>
      </w:r>
      <w:r>
        <w:rPr/>
        <w:t>y</w:t>
      </w:r>
      <w:r>
        <w:rPr>
          <w:spacing w:val="-11"/>
        </w:rPr>
        <w:t> </w:t>
      </w:r>
      <w:r>
        <w:rPr/>
        <w:t>Evaluación</w:t>
      </w:r>
      <w:r>
        <w:rPr>
          <w:spacing w:val="-9"/>
        </w:rPr>
        <w:t> </w:t>
      </w:r>
      <w:r>
        <w:rPr/>
        <w:t>del</w:t>
      </w:r>
      <w:r>
        <w:rPr>
          <w:spacing w:val="-10"/>
        </w:rPr>
        <w:t> </w:t>
      </w:r>
      <w:r>
        <w:rPr/>
        <w:t>Entorno,</w:t>
      </w:r>
      <w:r>
        <w:rPr>
          <w:spacing w:val="-9"/>
        </w:rPr>
        <w:t> </w:t>
      </w:r>
      <w:r>
        <w:rPr/>
        <w:t>Moderado,</w:t>
      </w:r>
      <w:r>
        <w:rPr>
          <w:spacing w:val="-9"/>
        </w:rPr>
        <w:t> </w:t>
      </w:r>
      <w:r>
        <w:rPr/>
        <w:t>dentro de la matriz de Riesgos de la Administración Tributaria.</w:t>
      </w:r>
    </w:p>
    <w:p>
      <w:pPr>
        <w:pStyle w:val="BodyText"/>
        <w:spacing w:line="259" w:lineRule="auto" w:before="3"/>
        <w:ind w:left="730" w:right="487"/>
        <w:jc w:val="both"/>
      </w:pPr>
      <w:r>
        <w:rPr/>
        <w:t>Adicionalmente</w:t>
      </w:r>
      <w:r>
        <w:rPr>
          <w:spacing w:val="-16"/>
        </w:rPr>
        <w:t> </w:t>
      </w:r>
      <w:r>
        <w:rPr/>
        <w:t>y</w:t>
      </w:r>
      <w:r>
        <w:rPr>
          <w:spacing w:val="-14"/>
        </w:rPr>
        <w:t> </w:t>
      </w:r>
      <w:r>
        <w:rPr/>
        <w:t>en</w:t>
      </w:r>
      <w:r>
        <w:rPr>
          <w:spacing w:val="-14"/>
        </w:rPr>
        <w:t> </w:t>
      </w:r>
      <w:r>
        <w:rPr/>
        <w:t>aras</w:t>
      </w:r>
      <w:r>
        <w:rPr>
          <w:spacing w:val="-13"/>
        </w:rPr>
        <w:t> </w:t>
      </w:r>
      <w:r>
        <w:rPr/>
        <w:t>de</w:t>
      </w:r>
      <w:r>
        <w:rPr>
          <w:spacing w:val="-14"/>
        </w:rPr>
        <w:t> </w:t>
      </w:r>
      <w:r>
        <w:rPr/>
        <w:t>disminuir</w:t>
      </w:r>
      <w:r>
        <w:rPr>
          <w:spacing w:val="-14"/>
        </w:rPr>
        <w:t> </w:t>
      </w:r>
      <w:r>
        <w:rPr/>
        <w:t>las</w:t>
      </w:r>
      <w:r>
        <w:rPr>
          <w:spacing w:val="-14"/>
        </w:rPr>
        <w:t> </w:t>
      </w:r>
      <w:r>
        <w:rPr/>
        <w:t>cuentas</w:t>
      </w:r>
      <w:r>
        <w:rPr>
          <w:spacing w:val="-13"/>
        </w:rPr>
        <w:t> </w:t>
      </w:r>
      <w:r>
        <w:rPr/>
        <w:t>por</w:t>
      </w:r>
      <w:r>
        <w:rPr>
          <w:spacing w:val="-14"/>
        </w:rPr>
        <w:t> </w:t>
      </w:r>
      <w:r>
        <w:rPr/>
        <w:t>cobrar,</w:t>
      </w:r>
      <w:r>
        <w:rPr>
          <w:spacing w:val="-14"/>
        </w:rPr>
        <w:t> </w:t>
      </w:r>
      <w:r>
        <w:rPr/>
        <w:t>es</w:t>
      </w:r>
      <w:r>
        <w:rPr>
          <w:spacing w:val="-14"/>
        </w:rPr>
        <w:t> </w:t>
      </w:r>
      <w:r>
        <w:rPr/>
        <w:t>importante</w:t>
      </w:r>
      <w:r>
        <w:rPr>
          <w:spacing w:val="-13"/>
        </w:rPr>
        <w:t> </w:t>
      </w:r>
      <w:r>
        <w:rPr/>
        <w:t>señalar</w:t>
      </w:r>
      <w:r>
        <w:rPr>
          <w:spacing w:val="-14"/>
        </w:rPr>
        <w:t> </w:t>
      </w:r>
      <w:r>
        <w:rPr/>
        <w:t>que</w:t>
      </w:r>
      <w:r>
        <w:rPr>
          <w:spacing w:val="-14"/>
        </w:rPr>
        <w:t> </w:t>
      </w:r>
      <w:r>
        <w:rPr/>
        <w:t>de</w:t>
      </w:r>
      <w:r>
        <w:rPr>
          <w:spacing w:val="-14"/>
        </w:rPr>
        <w:t> </w:t>
      </w:r>
      <w:r>
        <w:rPr/>
        <w:t>manera</w:t>
      </w:r>
      <w:r>
        <w:rPr>
          <w:spacing w:val="-13"/>
        </w:rPr>
        <w:t> </w:t>
      </w:r>
      <w:r>
        <w:rPr/>
        <w:t>mensual se realizan reuniones para definir estrategias cobratorias</w:t>
      </w:r>
    </w:p>
    <w:p>
      <w:pPr>
        <w:pStyle w:val="BodyText"/>
      </w:pPr>
    </w:p>
    <w:p>
      <w:pPr>
        <w:pStyle w:val="BodyText"/>
        <w:spacing w:before="42"/>
      </w:pPr>
    </w:p>
    <w:p>
      <w:pPr>
        <w:pStyle w:val="BodyText"/>
        <w:spacing w:line="516" w:lineRule="auto"/>
        <w:ind w:left="730" w:right="1488"/>
      </w:pPr>
      <w:r>
        <w:rPr/>
        <w:t>Dentro</w:t>
      </w:r>
      <w:r>
        <w:rPr>
          <w:spacing w:val="-2"/>
        </w:rPr>
        <w:t> </w:t>
      </w:r>
      <w:r>
        <w:rPr/>
        <w:t>de</w:t>
      </w:r>
      <w:r>
        <w:rPr>
          <w:spacing w:val="-4"/>
        </w:rPr>
        <w:t> </w:t>
      </w:r>
      <w:r>
        <w:rPr/>
        <w:t>los</w:t>
      </w:r>
      <w:r>
        <w:rPr>
          <w:spacing w:val="-2"/>
        </w:rPr>
        <w:t> </w:t>
      </w:r>
      <w:r>
        <w:rPr/>
        <w:t>aspectos</w:t>
      </w:r>
      <w:r>
        <w:rPr>
          <w:spacing w:val="-4"/>
        </w:rPr>
        <w:t> </w:t>
      </w:r>
      <w:r>
        <w:rPr/>
        <w:t>que</w:t>
      </w:r>
      <w:r>
        <w:rPr>
          <w:spacing w:val="-6"/>
        </w:rPr>
        <w:t> </w:t>
      </w:r>
      <w:r>
        <w:rPr/>
        <w:t>se</w:t>
      </w:r>
      <w:r>
        <w:rPr>
          <w:spacing w:val="-3"/>
        </w:rPr>
        <w:t> </w:t>
      </w:r>
      <w:r>
        <w:rPr/>
        <w:t>consideraron</w:t>
      </w:r>
      <w:r>
        <w:rPr>
          <w:spacing w:val="-2"/>
        </w:rPr>
        <w:t> </w:t>
      </w:r>
      <w:r>
        <w:rPr/>
        <w:t>en</w:t>
      </w:r>
      <w:r>
        <w:rPr>
          <w:spacing w:val="-2"/>
        </w:rPr>
        <w:t> </w:t>
      </w:r>
      <w:r>
        <w:rPr/>
        <w:t>dichas</w:t>
      </w:r>
      <w:r>
        <w:rPr>
          <w:spacing w:val="-2"/>
        </w:rPr>
        <w:t> </w:t>
      </w:r>
      <w:r>
        <w:rPr/>
        <w:t>estrategias,</w:t>
      </w:r>
      <w:r>
        <w:rPr>
          <w:spacing w:val="-5"/>
        </w:rPr>
        <w:t> </w:t>
      </w:r>
      <w:r>
        <w:rPr/>
        <w:t>se</w:t>
      </w:r>
      <w:r>
        <w:rPr>
          <w:spacing w:val="-3"/>
        </w:rPr>
        <w:t> </w:t>
      </w:r>
      <w:r>
        <w:rPr/>
        <w:t>encuentra</w:t>
      </w:r>
      <w:r>
        <w:rPr>
          <w:spacing w:val="-2"/>
        </w:rPr>
        <w:t> </w:t>
      </w:r>
      <w:r>
        <w:rPr/>
        <w:t>lo</w:t>
      </w:r>
      <w:r>
        <w:rPr>
          <w:spacing w:val="-4"/>
        </w:rPr>
        <w:t> </w:t>
      </w:r>
      <w:r>
        <w:rPr/>
        <w:t>siguiente: Acciones para el cobro administrativo de los aportes patronales:</w:t>
      </w:r>
    </w:p>
    <w:p>
      <w:pPr>
        <w:pStyle w:val="ListParagraph"/>
        <w:numPr>
          <w:ilvl w:val="2"/>
          <w:numId w:val="102"/>
        </w:numPr>
        <w:tabs>
          <w:tab w:pos="1450" w:val="left" w:leader="none"/>
        </w:tabs>
        <w:spacing w:line="240" w:lineRule="auto" w:before="3" w:after="0"/>
        <w:ind w:left="1450" w:right="487" w:hanging="360"/>
        <w:jc w:val="both"/>
        <w:rPr>
          <w:sz w:val="22"/>
        </w:rPr>
      </w:pPr>
      <w:r>
        <w:rPr>
          <w:sz w:val="22"/>
        </w:rPr>
        <w:t>Previo a realizar notificaciones certificadas de requerimiento de pago a los obligados morosos se realizan</w:t>
      </w:r>
      <w:r>
        <w:rPr>
          <w:spacing w:val="-1"/>
          <w:sz w:val="22"/>
        </w:rPr>
        <w:t> </w:t>
      </w:r>
      <w:r>
        <w:rPr>
          <w:sz w:val="22"/>
        </w:rPr>
        <w:t>gestiones</w:t>
      </w:r>
      <w:r>
        <w:rPr>
          <w:spacing w:val="-2"/>
          <w:sz w:val="22"/>
        </w:rPr>
        <w:t> </w:t>
      </w:r>
      <w:r>
        <w:rPr>
          <w:sz w:val="22"/>
        </w:rPr>
        <w:t>como llamada</w:t>
      </w:r>
      <w:r>
        <w:rPr>
          <w:spacing w:val="-2"/>
          <w:sz w:val="22"/>
        </w:rPr>
        <w:t> </w:t>
      </w:r>
      <w:r>
        <w:rPr>
          <w:sz w:val="22"/>
        </w:rPr>
        <w:t>telefónica,</w:t>
      </w:r>
      <w:r>
        <w:rPr>
          <w:spacing w:val="-1"/>
          <w:sz w:val="22"/>
        </w:rPr>
        <w:t> </w:t>
      </w:r>
      <w:r>
        <w:rPr>
          <w:sz w:val="22"/>
        </w:rPr>
        <w:t>envío de</w:t>
      </w:r>
      <w:r>
        <w:rPr>
          <w:spacing w:val="-3"/>
          <w:sz w:val="22"/>
        </w:rPr>
        <w:t> </w:t>
      </w:r>
      <w:r>
        <w:rPr>
          <w:sz w:val="22"/>
        </w:rPr>
        <w:t>correo electrónico con</w:t>
      </w:r>
      <w:r>
        <w:rPr>
          <w:spacing w:val="-3"/>
          <w:sz w:val="22"/>
        </w:rPr>
        <w:t> </w:t>
      </w:r>
      <w:r>
        <w:rPr>
          <w:sz w:val="22"/>
        </w:rPr>
        <w:t>la</w:t>
      </w:r>
      <w:r>
        <w:rPr>
          <w:spacing w:val="-2"/>
          <w:sz w:val="22"/>
        </w:rPr>
        <w:t> </w:t>
      </w:r>
      <w:r>
        <w:rPr>
          <w:sz w:val="22"/>
        </w:rPr>
        <w:t>intención</w:t>
      </w:r>
      <w:r>
        <w:rPr>
          <w:spacing w:val="-1"/>
          <w:sz w:val="22"/>
        </w:rPr>
        <w:t> </w:t>
      </w:r>
      <w:r>
        <w:rPr>
          <w:sz w:val="22"/>
        </w:rPr>
        <w:t>de</w:t>
      </w:r>
      <w:r>
        <w:rPr>
          <w:spacing w:val="-3"/>
          <w:sz w:val="22"/>
        </w:rPr>
        <w:t> </w:t>
      </w:r>
      <w:r>
        <w:rPr>
          <w:sz w:val="22"/>
        </w:rPr>
        <w:t>poder localizarlo por estos medios, evitando de esta forma un gasto adicional con la notificación </w:t>
      </w:r>
      <w:r>
        <w:rPr>
          <w:spacing w:val="-2"/>
          <w:sz w:val="22"/>
        </w:rPr>
        <w:t>certificada.</w:t>
      </w:r>
    </w:p>
    <w:p>
      <w:pPr>
        <w:pStyle w:val="BodyText"/>
        <w:spacing w:before="20"/>
      </w:pPr>
    </w:p>
    <w:p>
      <w:pPr>
        <w:pStyle w:val="ListParagraph"/>
        <w:numPr>
          <w:ilvl w:val="2"/>
          <w:numId w:val="102"/>
        </w:numPr>
        <w:tabs>
          <w:tab w:pos="1448" w:val="left" w:leader="none"/>
          <w:tab w:pos="1450" w:val="left" w:leader="none"/>
        </w:tabs>
        <w:spacing w:line="240" w:lineRule="auto" w:before="0" w:after="0"/>
        <w:ind w:left="1450" w:right="485" w:hanging="360"/>
        <w:jc w:val="both"/>
        <w:rPr>
          <w:sz w:val="22"/>
        </w:rPr>
      </w:pPr>
      <w:r>
        <w:rPr>
          <w:sz w:val="22"/>
        </w:rPr>
        <w:t>Si el obligado moroso cuenta con un monto de deuda y la cual tiene una relación costo/beneficio favorable</w:t>
      </w:r>
      <w:r>
        <w:rPr>
          <w:spacing w:val="-5"/>
          <w:sz w:val="22"/>
        </w:rPr>
        <w:t> </w:t>
      </w:r>
      <w:r>
        <w:rPr>
          <w:sz w:val="22"/>
        </w:rPr>
        <w:t>y</w:t>
      </w:r>
      <w:r>
        <w:rPr>
          <w:spacing w:val="-5"/>
          <w:sz w:val="22"/>
        </w:rPr>
        <w:t> </w:t>
      </w:r>
      <w:r>
        <w:rPr>
          <w:sz w:val="22"/>
        </w:rPr>
        <w:t>es</w:t>
      </w:r>
      <w:r>
        <w:rPr>
          <w:spacing w:val="-3"/>
          <w:sz w:val="22"/>
        </w:rPr>
        <w:t> </w:t>
      </w:r>
      <w:r>
        <w:rPr>
          <w:sz w:val="22"/>
        </w:rPr>
        <w:t>de</w:t>
      </w:r>
      <w:r>
        <w:rPr>
          <w:spacing w:val="-5"/>
          <w:sz w:val="22"/>
        </w:rPr>
        <w:t> </w:t>
      </w:r>
      <w:r>
        <w:rPr>
          <w:sz w:val="22"/>
        </w:rPr>
        <w:t>la</w:t>
      </w:r>
      <w:r>
        <w:rPr>
          <w:spacing w:val="-5"/>
          <w:sz w:val="22"/>
        </w:rPr>
        <w:t> </w:t>
      </w:r>
      <w:r>
        <w:rPr>
          <w:sz w:val="22"/>
        </w:rPr>
        <w:t>zona</w:t>
      </w:r>
      <w:r>
        <w:rPr>
          <w:spacing w:val="-4"/>
          <w:sz w:val="22"/>
        </w:rPr>
        <w:t> </w:t>
      </w:r>
      <w:r>
        <w:rPr>
          <w:sz w:val="22"/>
        </w:rPr>
        <w:t>de</w:t>
      </w:r>
      <w:r>
        <w:rPr>
          <w:spacing w:val="-8"/>
          <w:sz w:val="22"/>
        </w:rPr>
        <w:t> </w:t>
      </w:r>
      <w:r>
        <w:rPr>
          <w:sz w:val="22"/>
        </w:rPr>
        <w:t>San</w:t>
      </w:r>
      <w:r>
        <w:rPr>
          <w:spacing w:val="-3"/>
          <w:sz w:val="22"/>
        </w:rPr>
        <w:t> </w:t>
      </w:r>
      <w:r>
        <w:rPr>
          <w:sz w:val="22"/>
        </w:rPr>
        <w:t>José,</w:t>
      </w:r>
      <w:r>
        <w:rPr>
          <w:spacing w:val="-4"/>
          <w:sz w:val="22"/>
        </w:rPr>
        <w:t> </w:t>
      </w:r>
      <w:r>
        <w:rPr>
          <w:sz w:val="22"/>
        </w:rPr>
        <w:t>en</w:t>
      </w:r>
      <w:r>
        <w:rPr>
          <w:spacing w:val="-3"/>
          <w:sz w:val="22"/>
        </w:rPr>
        <w:t> </w:t>
      </w:r>
      <w:r>
        <w:rPr>
          <w:sz w:val="22"/>
        </w:rPr>
        <w:t>la</w:t>
      </w:r>
      <w:r>
        <w:rPr>
          <w:spacing w:val="-7"/>
          <w:sz w:val="22"/>
        </w:rPr>
        <w:t> </w:t>
      </w:r>
      <w:r>
        <w:rPr>
          <w:sz w:val="22"/>
        </w:rPr>
        <w:t>medida</w:t>
      </w:r>
      <w:r>
        <w:rPr>
          <w:spacing w:val="-5"/>
          <w:sz w:val="22"/>
        </w:rPr>
        <w:t> </w:t>
      </w:r>
      <w:r>
        <w:rPr>
          <w:sz w:val="22"/>
        </w:rPr>
        <w:t>de</w:t>
      </w:r>
      <w:r>
        <w:rPr>
          <w:spacing w:val="-5"/>
          <w:sz w:val="22"/>
        </w:rPr>
        <w:t> </w:t>
      </w:r>
      <w:r>
        <w:rPr>
          <w:sz w:val="22"/>
        </w:rPr>
        <w:t>lo</w:t>
      </w:r>
      <w:r>
        <w:rPr>
          <w:spacing w:val="-6"/>
          <w:sz w:val="22"/>
        </w:rPr>
        <w:t> </w:t>
      </w:r>
      <w:r>
        <w:rPr>
          <w:sz w:val="22"/>
        </w:rPr>
        <w:t>posible,</w:t>
      </w:r>
      <w:r>
        <w:rPr>
          <w:spacing w:val="-4"/>
          <w:sz w:val="22"/>
        </w:rPr>
        <w:t> </w:t>
      </w:r>
      <w:r>
        <w:rPr>
          <w:sz w:val="22"/>
        </w:rPr>
        <w:t>el</w:t>
      </w:r>
      <w:r>
        <w:rPr>
          <w:spacing w:val="-4"/>
          <w:sz w:val="22"/>
        </w:rPr>
        <w:t> </w:t>
      </w:r>
      <w:r>
        <w:rPr>
          <w:sz w:val="22"/>
        </w:rPr>
        <w:t>Profesional</w:t>
      </w:r>
      <w:r>
        <w:rPr>
          <w:spacing w:val="-5"/>
          <w:sz w:val="22"/>
        </w:rPr>
        <w:t> </w:t>
      </w:r>
      <w:r>
        <w:rPr>
          <w:sz w:val="22"/>
        </w:rPr>
        <w:t>en</w:t>
      </w:r>
      <w:r>
        <w:rPr>
          <w:spacing w:val="-3"/>
          <w:sz w:val="22"/>
        </w:rPr>
        <w:t> </w:t>
      </w:r>
      <w:r>
        <w:rPr>
          <w:sz w:val="22"/>
        </w:rPr>
        <w:t>Administración Tributaria</w:t>
      </w:r>
      <w:r>
        <w:rPr>
          <w:spacing w:val="-14"/>
          <w:sz w:val="22"/>
        </w:rPr>
        <w:t> </w:t>
      </w:r>
      <w:r>
        <w:rPr>
          <w:sz w:val="22"/>
        </w:rPr>
        <w:t>deberá</w:t>
      </w:r>
      <w:r>
        <w:rPr>
          <w:spacing w:val="-14"/>
          <w:sz w:val="22"/>
        </w:rPr>
        <w:t> </w:t>
      </w:r>
      <w:r>
        <w:rPr>
          <w:sz w:val="22"/>
        </w:rPr>
        <w:t>coordinar</w:t>
      </w:r>
      <w:r>
        <w:rPr>
          <w:spacing w:val="-15"/>
          <w:sz w:val="22"/>
        </w:rPr>
        <w:t> </w:t>
      </w:r>
      <w:r>
        <w:rPr>
          <w:sz w:val="22"/>
        </w:rPr>
        <w:t>una</w:t>
      </w:r>
      <w:r>
        <w:rPr>
          <w:spacing w:val="-14"/>
          <w:sz w:val="22"/>
        </w:rPr>
        <w:t> </w:t>
      </w:r>
      <w:r>
        <w:rPr>
          <w:sz w:val="22"/>
        </w:rPr>
        <w:t>visita</w:t>
      </w:r>
      <w:r>
        <w:rPr>
          <w:spacing w:val="-13"/>
          <w:sz w:val="22"/>
        </w:rPr>
        <w:t> </w:t>
      </w:r>
      <w:r>
        <w:rPr>
          <w:sz w:val="22"/>
        </w:rPr>
        <w:t>para</w:t>
      </w:r>
      <w:r>
        <w:rPr>
          <w:spacing w:val="-14"/>
          <w:sz w:val="22"/>
        </w:rPr>
        <w:t> </w:t>
      </w:r>
      <w:r>
        <w:rPr>
          <w:sz w:val="22"/>
        </w:rPr>
        <w:t>notificación</w:t>
      </w:r>
      <w:r>
        <w:rPr>
          <w:spacing w:val="-14"/>
          <w:sz w:val="22"/>
        </w:rPr>
        <w:t> </w:t>
      </w:r>
      <w:r>
        <w:rPr>
          <w:sz w:val="22"/>
        </w:rPr>
        <w:t>del</w:t>
      </w:r>
      <w:r>
        <w:rPr>
          <w:spacing w:val="-14"/>
          <w:sz w:val="22"/>
        </w:rPr>
        <w:t> </w:t>
      </w:r>
      <w:r>
        <w:rPr>
          <w:sz w:val="22"/>
        </w:rPr>
        <w:t>requerimiento</w:t>
      </w:r>
      <w:r>
        <w:rPr>
          <w:spacing w:val="-13"/>
          <w:sz w:val="22"/>
        </w:rPr>
        <w:t> </w:t>
      </w:r>
      <w:r>
        <w:rPr>
          <w:sz w:val="22"/>
        </w:rPr>
        <w:t>de</w:t>
      </w:r>
      <w:r>
        <w:rPr>
          <w:spacing w:val="-14"/>
          <w:sz w:val="22"/>
        </w:rPr>
        <w:t> </w:t>
      </w:r>
      <w:r>
        <w:rPr>
          <w:sz w:val="22"/>
        </w:rPr>
        <w:t>pago</w:t>
      </w:r>
      <w:r>
        <w:rPr>
          <w:spacing w:val="-13"/>
          <w:sz w:val="22"/>
        </w:rPr>
        <w:t> </w:t>
      </w:r>
      <w:r>
        <w:rPr>
          <w:sz w:val="22"/>
        </w:rPr>
        <w:t>a</w:t>
      </w:r>
      <w:r>
        <w:rPr>
          <w:spacing w:val="-12"/>
          <w:sz w:val="22"/>
        </w:rPr>
        <w:t> </w:t>
      </w:r>
      <w:r>
        <w:rPr>
          <w:sz w:val="22"/>
        </w:rPr>
        <w:t>dicho</w:t>
      </w:r>
      <w:r>
        <w:rPr>
          <w:spacing w:val="-12"/>
          <w:sz w:val="22"/>
        </w:rPr>
        <w:t> </w:t>
      </w:r>
      <w:r>
        <w:rPr>
          <w:sz w:val="22"/>
        </w:rPr>
        <w:t>patrono.</w:t>
      </w:r>
    </w:p>
    <w:p>
      <w:pPr>
        <w:pStyle w:val="BodyText"/>
        <w:spacing w:before="19"/>
      </w:pPr>
    </w:p>
    <w:p>
      <w:pPr>
        <w:pStyle w:val="ListParagraph"/>
        <w:numPr>
          <w:ilvl w:val="2"/>
          <w:numId w:val="102"/>
        </w:numPr>
        <w:tabs>
          <w:tab w:pos="1450" w:val="left" w:leader="none"/>
        </w:tabs>
        <w:spacing w:line="240" w:lineRule="auto" w:before="0" w:after="0"/>
        <w:ind w:left="1450" w:right="493" w:hanging="360"/>
        <w:jc w:val="both"/>
        <w:rPr>
          <w:sz w:val="22"/>
        </w:rPr>
      </w:pPr>
      <w:r>
        <w:rPr>
          <w:sz w:val="22"/>
        </w:rPr>
        <w:t>Contratación de Servicios de Localización de Datos y Notificación de Obligados Morosos programada para próximos meses.</w:t>
      </w:r>
    </w:p>
    <w:p>
      <w:pPr>
        <w:pStyle w:val="BodyText"/>
        <w:spacing w:before="20"/>
      </w:pPr>
    </w:p>
    <w:p>
      <w:pPr>
        <w:pStyle w:val="BodyText"/>
        <w:spacing w:line="259" w:lineRule="auto"/>
        <w:ind w:left="730" w:right="488"/>
        <w:jc w:val="both"/>
      </w:pPr>
      <w:r>
        <w:rPr/>
        <w:t>Acciones</w:t>
      </w:r>
      <w:r>
        <w:rPr>
          <w:spacing w:val="-5"/>
        </w:rPr>
        <w:t> </w:t>
      </w:r>
      <w:r>
        <w:rPr/>
        <w:t>para</w:t>
      </w:r>
      <w:r>
        <w:rPr>
          <w:spacing w:val="-6"/>
        </w:rPr>
        <w:t> </w:t>
      </w:r>
      <w:r>
        <w:rPr/>
        <w:t>el</w:t>
      </w:r>
      <w:r>
        <w:rPr>
          <w:spacing w:val="-6"/>
        </w:rPr>
        <w:t> </w:t>
      </w:r>
      <w:r>
        <w:rPr/>
        <w:t>cobro</w:t>
      </w:r>
      <w:r>
        <w:rPr>
          <w:spacing w:val="-5"/>
        </w:rPr>
        <w:t> </w:t>
      </w:r>
      <w:r>
        <w:rPr/>
        <w:t>administrativo</w:t>
      </w:r>
      <w:r>
        <w:rPr>
          <w:spacing w:val="-5"/>
        </w:rPr>
        <w:t> </w:t>
      </w:r>
      <w:r>
        <w:rPr/>
        <w:t>de</w:t>
      </w:r>
      <w:r>
        <w:rPr>
          <w:spacing w:val="-7"/>
        </w:rPr>
        <w:t> </w:t>
      </w:r>
      <w:r>
        <w:rPr/>
        <w:t>los</w:t>
      </w:r>
      <w:r>
        <w:rPr>
          <w:spacing w:val="-7"/>
        </w:rPr>
        <w:t> </w:t>
      </w:r>
      <w:r>
        <w:rPr/>
        <w:t>Moteles</w:t>
      </w:r>
      <w:r>
        <w:rPr>
          <w:spacing w:val="-5"/>
        </w:rPr>
        <w:t> </w:t>
      </w:r>
      <w:r>
        <w:rPr/>
        <w:t>y</w:t>
      </w:r>
      <w:r>
        <w:rPr>
          <w:spacing w:val="-8"/>
        </w:rPr>
        <w:t> </w:t>
      </w:r>
      <w:r>
        <w:rPr/>
        <w:t>Lugares</w:t>
      </w:r>
      <w:r>
        <w:rPr>
          <w:spacing w:val="-5"/>
        </w:rPr>
        <w:t> </w:t>
      </w:r>
      <w:r>
        <w:rPr/>
        <w:t>Afines:</w:t>
      </w:r>
      <w:r>
        <w:rPr>
          <w:spacing w:val="-7"/>
        </w:rPr>
        <w:t> </w:t>
      </w:r>
      <w:r>
        <w:rPr/>
        <w:t>Se</w:t>
      </w:r>
      <w:r>
        <w:rPr>
          <w:spacing w:val="-7"/>
        </w:rPr>
        <w:t> </w:t>
      </w:r>
      <w:r>
        <w:rPr/>
        <w:t>realizaron</w:t>
      </w:r>
      <w:r>
        <w:rPr>
          <w:spacing w:val="-5"/>
        </w:rPr>
        <w:t> </w:t>
      </w:r>
      <w:r>
        <w:rPr/>
        <w:t>gestiones</w:t>
      </w:r>
      <w:r>
        <w:rPr>
          <w:spacing w:val="-5"/>
        </w:rPr>
        <w:t> </w:t>
      </w:r>
      <w:r>
        <w:rPr/>
        <w:t>como</w:t>
      </w:r>
      <w:r>
        <w:rPr>
          <w:spacing w:val="-5"/>
        </w:rPr>
        <w:t> </w:t>
      </w:r>
      <w:r>
        <w:rPr/>
        <w:t>envío de</w:t>
      </w:r>
      <w:r>
        <w:rPr>
          <w:spacing w:val="-7"/>
        </w:rPr>
        <w:t> </w:t>
      </w:r>
      <w:r>
        <w:rPr/>
        <w:t>correos</w:t>
      </w:r>
      <w:r>
        <w:rPr>
          <w:spacing w:val="-5"/>
        </w:rPr>
        <w:t> </w:t>
      </w:r>
      <w:r>
        <w:rPr/>
        <w:t>electrónicos,</w:t>
      </w:r>
      <w:r>
        <w:rPr>
          <w:spacing w:val="-6"/>
        </w:rPr>
        <w:t> </w:t>
      </w:r>
      <w:r>
        <w:rPr/>
        <w:t>llamadas</w:t>
      </w:r>
      <w:r>
        <w:rPr>
          <w:spacing w:val="-5"/>
        </w:rPr>
        <w:t> </w:t>
      </w:r>
      <w:r>
        <w:rPr/>
        <w:t>telefónicas,</w:t>
      </w:r>
      <w:r>
        <w:rPr>
          <w:spacing w:val="-6"/>
        </w:rPr>
        <w:t> </w:t>
      </w:r>
      <w:r>
        <w:rPr/>
        <w:t>notificaciones</w:t>
      </w:r>
      <w:r>
        <w:rPr>
          <w:spacing w:val="-5"/>
        </w:rPr>
        <w:t> </w:t>
      </w:r>
      <w:r>
        <w:rPr/>
        <w:t>de</w:t>
      </w:r>
      <w:r>
        <w:rPr>
          <w:spacing w:val="-7"/>
        </w:rPr>
        <w:t> </w:t>
      </w:r>
      <w:r>
        <w:rPr/>
        <w:t>requerimiento</w:t>
      </w:r>
      <w:r>
        <w:rPr>
          <w:spacing w:val="-5"/>
        </w:rPr>
        <w:t> </w:t>
      </w:r>
      <w:r>
        <w:rPr/>
        <w:t>de</w:t>
      </w:r>
      <w:r>
        <w:rPr>
          <w:spacing w:val="-7"/>
        </w:rPr>
        <w:t> </w:t>
      </w:r>
      <w:r>
        <w:rPr/>
        <w:t>pago,</w:t>
      </w:r>
      <w:r>
        <w:rPr>
          <w:spacing w:val="-6"/>
        </w:rPr>
        <w:t> </w:t>
      </w:r>
      <w:r>
        <w:rPr/>
        <w:t>visitas</w:t>
      </w:r>
      <w:r>
        <w:rPr>
          <w:spacing w:val="-5"/>
        </w:rPr>
        <w:t> </w:t>
      </w:r>
      <w:r>
        <w:rPr/>
        <w:t>programadas mediante giras en todo el país.</w:t>
      </w:r>
    </w:p>
    <w:p>
      <w:pPr>
        <w:pStyle w:val="BodyText"/>
        <w:spacing w:before="21"/>
      </w:pPr>
    </w:p>
    <w:p>
      <w:pPr>
        <w:pStyle w:val="BodyText"/>
        <w:spacing w:line="259" w:lineRule="auto"/>
        <w:ind w:left="730" w:right="489"/>
        <w:jc w:val="both"/>
      </w:pPr>
      <w:r>
        <w:rPr/>
        <w:t>Acciones para el Cobro Judicial de aportes Patronales e Impuesto a Moteles: Una vez que se notifique al obligado moroso o sujeto pasivo el requerimiento de pago de la deuda y cumplido el plazo para la interposición del recurso de</w:t>
      </w:r>
      <w:r>
        <w:rPr>
          <w:spacing w:val="-1"/>
        </w:rPr>
        <w:t> </w:t>
      </w:r>
      <w:r>
        <w:rPr/>
        <w:t>revocatoria, se procede</w:t>
      </w:r>
      <w:r>
        <w:rPr>
          <w:spacing w:val="-1"/>
        </w:rPr>
        <w:t> </w:t>
      </w:r>
      <w:r>
        <w:rPr/>
        <w:t>a elaborar la certificación de</w:t>
      </w:r>
      <w:r>
        <w:rPr>
          <w:spacing w:val="-1"/>
        </w:rPr>
        <w:t> </w:t>
      </w:r>
      <w:r>
        <w:rPr/>
        <w:t>la deuda para trasladar a la Asesoría Jurídica o los Profesionales en Derecho de la Unidad de Administración Tributaria.</w:t>
      </w:r>
    </w:p>
    <w:p>
      <w:pPr>
        <w:pStyle w:val="BodyText"/>
        <w:spacing w:before="19"/>
      </w:pPr>
    </w:p>
    <w:p>
      <w:pPr>
        <w:pStyle w:val="BodyText"/>
        <w:ind w:left="730"/>
      </w:pPr>
      <w:r>
        <w:rPr/>
        <w:t>Acciones</w:t>
      </w:r>
      <w:r>
        <w:rPr>
          <w:spacing w:val="-4"/>
        </w:rPr>
        <w:t> </w:t>
      </w:r>
      <w:r>
        <w:rPr/>
        <w:t>para</w:t>
      </w:r>
      <w:r>
        <w:rPr>
          <w:spacing w:val="-4"/>
        </w:rPr>
        <w:t> </w:t>
      </w:r>
      <w:r>
        <w:rPr/>
        <w:t>la</w:t>
      </w:r>
      <w:r>
        <w:rPr>
          <w:spacing w:val="-5"/>
        </w:rPr>
        <w:t> </w:t>
      </w:r>
      <w:r>
        <w:rPr/>
        <w:t>depuración</w:t>
      </w:r>
      <w:r>
        <w:rPr>
          <w:spacing w:val="-3"/>
        </w:rPr>
        <w:t> </w:t>
      </w:r>
      <w:r>
        <w:rPr/>
        <w:t>de</w:t>
      </w:r>
      <w:r>
        <w:rPr>
          <w:spacing w:val="-5"/>
        </w:rPr>
        <w:t> </w:t>
      </w:r>
      <w:r>
        <w:rPr/>
        <w:t>las</w:t>
      </w:r>
      <w:r>
        <w:rPr>
          <w:spacing w:val="-2"/>
        </w:rPr>
        <w:t> </w:t>
      </w:r>
      <w:r>
        <w:rPr/>
        <w:t>cuentas</w:t>
      </w:r>
      <w:r>
        <w:rPr>
          <w:spacing w:val="-3"/>
        </w:rPr>
        <w:t> </w:t>
      </w:r>
      <w:r>
        <w:rPr/>
        <w:t>por</w:t>
      </w:r>
      <w:r>
        <w:rPr>
          <w:spacing w:val="-2"/>
        </w:rPr>
        <w:t> </w:t>
      </w:r>
      <w:r>
        <w:rPr/>
        <w:t>cobrar:</w:t>
      </w:r>
      <w:r>
        <w:rPr>
          <w:spacing w:val="-7"/>
        </w:rPr>
        <w:t> </w:t>
      </w:r>
      <w:r>
        <w:rPr/>
        <w:t>Al</w:t>
      </w:r>
      <w:r>
        <w:rPr>
          <w:spacing w:val="-3"/>
        </w:rPr>
        <w:t> </w:t>
      </w:r>
      <w:r>
        <w:rPr/>
        <w:t>respecto</w:t>
      </w:r>
      <w:r>
        <w:rPr>
          <w:spacing w:val="-5"/>
        </w:rPr>
        <w:t> </w:t>
      </w:r>
      <w:r>
        <w:rPr/>
        <w:t>se</w:t>
      </w:r>
      <w:r>
        <w:rPr>
          <w:spacing w:val="-4"/>
        </w:rPr>
        <w:t> </w:t>
      </w:r>
      <w:r>
        <w:rPr/>
        <w:t>realizan</w:t>
      </w:r>
      <w:r>
        <w:rPr>
          <w:spacing w:val="-3"/>
        </w:rPr>
        <w:t> </w:t>
      </w:r>
      <w:r>
        <w:rPr/>
        <w:t>gestiones</w:t>
      </w:r>
      <w:r>
        <w:rPr>
          <w:spacing w:val="-1"/>
        </w:rPr>
        <w:t> </w:t>
      </w:r>
      <w:r>
        <w:rPr>
          <w:spacing w:val="-2"/>
        </w:rPr>
        <w:t>como:</w:t>
      </w:r>
    </w:p>
    <w:p>
      <w:pPr>
        <w:pStyle w:val="BodyText"/>
        <w:spacing w:before="38"/>
      </w:pPr>
    </w:p>
    <w:p>
      <w:pPr>
        <w:pStyle w:val="ListParagraph"/>
        <w:numPr>
          <w:ilvl w:val="0"/>
          <w:numId w:val="104"/>
        </w:numPr>
        <w:tabs>
          <w:tab w:pos="1450" w:val="left" w:leader="none"/>
        </w:tabs>
        <w:spacing w:line="240" w:lineRule="auto" w:before="0" w:after="0"/>
        <w:ind w:left="1450" w:right="491" w:hanging="360"/>
        <w:jc w:val="both"/>
        <w:rPr>
          <w:sz w:val="22"/>
        </w:rPr>
      </w:pPr>
      <w:r>
        <w:rPr>
          <w:sz w:val="22"/>
        </w:rPr>
        <w:t>Revisión ante el Registro Nacional de la Propiedad para verificar si dicho obligado moroso se encuentra disuelto.</w:t>
      </w:r>
    </w:p>
    <w:p>
      <w:pPr>
        <w:pStyle w:val="BodyText"/>
        <w:spacing w:before="20"/>
      </w:pPr>
    </w:p>
    <w:p>
      <w:pPr>
        <w:pStyle w:val="ListParagraph"/>
        <w:numPr>
          <w:ilvl w:val="0"/>
          <w:numId w:val="104"/>
        </w:numPr>
        <w:tabs>
          <w:tab w:pos="1448" w:val="left" w:leader="none"/>
          <w:tab w:pos="1450" w:val="left" w:leader="none"/>
        </w:tabs>
        <w:spacing w:line="240" w:lineRule="auto" w:before="0" w:after="0"/>
        <w:ind w:left="1450" w:right="496" w:hanging="360"/>
        <w:jc w:val="both"/>
        <w:rPr>
          <w:sz w:val="22"/>
        </w:rPr>
      </w:pPr>
      <w:r>
        <w:rPr>
          <w:sz w:val="22"/>
        </w:rPr>
        <w:t>Revisión ante el Registro Civil para determinar si el obligado moroso se encuentra fallecido y además en el Registro Nacional la verificación de si posee bienes o no.</w:t>
      </w:r>
    </w:p>
    <w:p>
      <w:pPr>
        <w:pStyle w:val="ListParagraph"/>
        <w:spacing w:after="0" w:line="240" w:lineRule="auto"/>
        <w:jc w:val="both"/>
        <w:rPr>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4080">
                <wp:simplePos x="0" y="0"/>
                <wp:positionH relativeFrom="page">
                  <wp:posOffset>9525</wp:posOffset>
                </wp:positionH>
                <wp:positionV relativeFrom="page">
                  <wp:posOffset>297208</wp:posOffset>
                </wp:positionV>
                <wp:extent cx="7762875" cy="9748520"/>
                <wp:effectExtent l="0" t="0" r="0" b="0"/>
                <wp:wrapNone/>
                <wp:docPr id="1221" name="Group 1221"/>
                <wp:cNvGraphicFramePr>
                  <a:graphicFrameLocks/>
                </wp:cNvGraphicFramePr>
                <a:graphic>
                  <a:graphicData uri="http://schemas.microsoft.com/office/word/2010/wordprocessingGroup">
                    <wpg:wgp>
                      <wpg:cNvPr id="1221" name="Group 1221"/>
                      <wpg:cNvGrpSpPr/>
                      <wpg:grpSpPr>
                        <a:xfrm>
                          <a:off x="0" y="0"/>
                          <a:ext cx="7762875" cy="9748520"/>
                          <a:chExt cx="7762875" cy="9748520"/>
                        </a:xfrm>
                      </wpg:grpSpPr>
                      <pic:pic>
                        <pic:nvPicPr>
                          <pic:cNvPr id="1222" name="Image 1222"/>
                          <pic:cNvPicPr/>
                        </pic:nvPicPr>
                        <pic:blipFill>
                          <a:blip r:embed="rId5" cstate="print"/>
                          <a:stretch>
                            <a:fillRect/>
                          </a:stretch>
                        </pic:blipFill>
                        <pic:spPr>
                          <a:xfrm>
                            <a:off x="0" y="0"/>
                            <a:ext cx="7762874" cy="9748489"/>
                          </a:xfrm>
                          <a:prstGeom prst="rect">
                            <a:avLst/>
                          </a:prstGeom>
                        </pic:spPr>
                      </pic:pic>
                      <wps:wsp>
                        <wps:cNvPr id="1223" name="Graphic 1223"/>
                        <wps:cNvSpPr/>
                        <wps:spPr>
                          <a:xfrm>
                            <a:off x="1053007" y="990837"/>
                            <a:ext cx="6013450" cy="7602855"/>
                          </a:xfrm>
                          <a:custGeom>
                            <a:avLst/>
                            <a:gdLst/>
                            <a:ahLst/>
                            <a:cxnLst/>
                            <a:rect l="l" t="t" r="r" b="b"/>
                            <a:pathLst>
                              <a:path w="6013450" h="7602855">
                                <a:moveTo>
                                  <a:pt x="5649214" y="0"/>
                                </a:moveTo>
                                <a:lnTo>
                                  <a:pt x="0" y="0"/>
                                </a:lnTo>
                                <a:lnTo>
                                  <a:pt x="0" y="9131"/>
                                </a:lnTo>
                                <a:lnTo>
                                  <a:pt x="5649214" y="9131"/>
                                </a:lnTo>
                                <a:lnTo>
                                  <a:pt x="5649214" y="0"/>
                                </a:lnTo>
                                <a:close/>
                              </a:path>
                              <a:path w="6013450" h="7602855">
                                <a:moveTo>
                                  <a:pt x="6013399" y="132651"/>
                                </a:moveTo>
                                <a:lnTo>
                                  <a:pt x="6007303" y="132651"/>
                                </a:lnTo>
                                <a:lnTo>
                                  <a:pt x="6007303" y="7596568"/>
                                </a:lnTo>
                                <a:lnTo>
                                  <a:pt x="21336" y="7596568"/>
                                </a:lnTo>
                                <a:lnTo>
                                  <a:pt x="21336" y="132651"/>
                                </a:lnTo>
                                <a:lnTo>
                                  <a:pt x="15240" y="132651"/>
                                </a:lnTo>
                                <a:lnTo>
                                  <a:pt x="15240" y="7596568"/>
                                </a:lnTo>
                                <a:lnTo>
                                  <a:pt x="15240" y="7602664"/>
                                </a:lnTo>
                                <a:lnTo>
                                  <a:pt x="21336" y="7602664"/>
                                </a:lnTo>
                                <a:lnTo>
                                  <a:pt x="6007303" y="7602664"/>
                                </a:lnTo>
                                <a:lnTo>
                                  <a:pt x="6013399" y="7602664"/>
                                </a:lnTo>
                                <a:lnTo>
                                  <a:pt x="6013399" y="7596568"/>
                                </a:lnTo>
                                <a:lnTo>
                                  <a:pt x="6013399" y="132651"/>
                                </a:lnTo>
                                <a:close/>
                              </a:path>
                              <a:path w="6013450" h="7602855">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pic:pic>
                        <pic:nvPicPr>
                          <pic:cNvPr id="1224" name="Image 1224"/>
                          <pic:cNvPicPr/>
                        </pic:nvPicPr>
                        <pic:blipFill>
                          <a:blip r:embed="rId117" cstate="print"/>
                          <a:stretch>
                            <a:fillRect/>
                          </a:stretch>
                        </pic:blipFill>
                        <pic:spPr>
                          <a:xfrm>
                            <a:off x="2570733" y="2964913"/>
                            <a:ext cx="2983865" cy="2094864"/>
                          </a:xfrm>
                          <a:prstGeom prst="rect">
                            <a:avLst/>
                          </a:prstGeom>
                        </pic:spPr>
                      </pic:pic>
                      <pic:pic>
                        <pic:nvPicPr>
                          <pic:cNvPr id="1225" name="Image 1225"/>
                          <pic:cNvPicPr/>
                        </pic:nvPicPr>
                        <pic:blipFill>
                          <a:blip r:embed="rId118" cstate="print"/>
                          <a:stretch>
                            <a:fillRect/>
                          </a:stretch>
                        </pic:blipFill>
                        <pic:spPr>
                          <a:xfrm>
                            <a:off x="2196083" y="5072986"/>
                            <a:ext cx="3739642" cy="160527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42400" id="docshapegroup1165" coordorigin="15,468" coordsize="12225,15352">
                <v:shape style="position:absolute;left:15;top:468;width:12225;height:15352" type="#_x0000_t75" id="docshape1166" stroked="false">
                  <v:imagedata r:id="rId5" o:title=""/>
                </v:shape>
                <v:shape style="position:absolute;left:1673;top:2028;width:9470;height:11973" id="docshape1167" coordorigin="1673,2028" coordsize="9470,11973" path="m10570,2028l1673,2028,1673,2043,10570,2043,10570,2028xm11143,2237l11134,2237,11134,13992,1707,13992,1707,2237,1697,2237,1697,13992,1697,14001,1707,14001,11134,14001,11134,14001,11143,14001,11143,13992,11143,2237xm11143,2228l11134,2228,11134,2228,1707,2228,1697,2228,1697,2237,1707,2237,11134,2237,11134,2237,11143,2237,11143,2228xe" filled="true" fillcolor="#000000" stroked="false">
                  <v:path arrowok="t"/>
                  <v:fill type="solid"/>
                </v:shape>
                <v:shape style="position:absolute;left:4063;top:5137;width:4699;height:3299" type="#_x0000_t75" id="docshape1168" stroked="false">
                  <v:imagedata r:id="rId117" o:title=""/>
                </v:shape>
                <v:shape style="position:absolute;left:3473;top:8457;width:5890;height:2528" type="#_x0000_t75" id="docshape1169" stroked="false">
                  <v:imagedata r:id="rId118" o:title=""/>
                </v:shape>
                <w10:wrap type="none"/>
              </v:group>
            </w:pict>
          </mc:Fallback>
        </mc:AlternateContent>
      </w:r>
      <w:r>
        <w:rPr>
          <w:color w:val="172951"/>
          <w:sz w:val="20"/>
        </w:rPr>
        <w:t>Pág.</w:t>
      </w:r>
      <w:r>
        <w:rPr>
          <w:color w:val="172951"/>
          <w:spacing w:val="-7"/>
          <w:sz w:val="20"/>
        </w:rPr>
        <w:t> </w:t>
      </w:r>
      <w:r>
        <w:rPr>
          <w:color w:val="172951"/>
          <w:spacing w:val="-5"/>
          <w:sz w:val="20"/>
        </w:rPr>
        <w:t>240</w:t>
      </w:r>
    </w:p>
    <w:p>
      <w:pPr>
        <w:pStyle w:val="ListParagraph"/>
        <w:numPr>
          <w:ilvl w:val="0"/>
          <w:numId w:val="104"/>
        </w:numPr>
        <w:tabs>
          <w:tab w:pos="1450" w:val="left" w:leader="none"/>
        </w:tabs>
        <w:spacing w:line="240" w:lineRule="auto" w:before="227" w:after="0"/>
        <w:ind w:left="1450" w:right="491" w:hanging="360"/>
        <w:jc w:val="both"/>
        <w:rPr>
          <w:sz w:val="22"/>
        </w:rPr>
      </w:pPr>
      <w:r>
        <w:rPr>
          <w:sz w:val="22"/>
        </w:rPr>
        <w:t>Análisis del caso para determinar si de conformidad con lo señalado por el Reglamento para la Gestión Administrativa y Judicial de las Cuentas por Cobrar del IMAS, es factible aplicar algunos de los artículos de la gestión para la declaratoria de incobrabilidad.</w:t>
      </w:r>
    </w:p>
    <w:p>
      <w:pPr>
        <w:pStyle w:val="BodyText"/>
        <w:spacing w:before="19"/>
      </w:pPr>
    </w:p>
    <w:p>
      <w:pPr>
        <w:pStyle w:val="ListParagraph"/>
        <w:numPr>
          <w:ilvl w:val="0"/>
          <w:numId w:val="104"/>
        </w:numPr>
        <w:tabs>
          <w:tab w:pos="1449" w:val="left" w:leader="none"/>
        </w:tabs>
        <w:spacing w:line="240" w:lineRule="auto" w:before="0" w:after="0"/>
        <w:ind w:left="1449" w:right="0" w:hanging="359"/>
        <w:jc w:val="left"/>
        <w:rPr>
          <w:sz w:val="22"/>
        </w:rPr>
      </w:pPr>
      <w:r>
        <w:rPr>
          <w:sz w:val="22"/>
        </w:rPr>
        <w:t>Actualización</w:t>
      </w:r>
      <w:r>
        <w:rPr>
          <w:spacing w:val="-4"/>
          <w:sz w:val="22"/>
        </w:rPr>
        <w:t> </w:t>
      </w:r>
      <w:r>
        <w:rPr>
          <w:sz w:val="22"/>
        </w:rPr>
        <w:t>de</w:t>
      </w:r>
      <w:r>
        <w:rPr>
          <w:spacing w:val="-5"/>
          <w:sz w:val="22"/>
        </w:rPr>
        <w:t> </w:t>
      </w:r>
      <w:r>
        <w:rPr>
          <w:sz w:val="22"/>
        </w:rPr>
        <w:t>la</w:t>
      </w:r>
      <w:r>
        <w:rPr>
          <w:spacing w:val="-5"/>
          <w:sz w:val="22"/>
        </w:rPr>
        <w:t> </w:t>
      </w:r>
      <w:r>
        <w:rPr>
          <w:sz w:val="22"/>
        </w:rPr>
        <w:t>data</w:t>
      </w:r>
      <w:r>
        <w:rPr>
          <w:spacing w:val="-3"/>
          <w:sz w:val="22"/>
        </w:rPr>
        <w:t> </w:t>
      </w:r>
      <w:r>
        <w:rPr>
          <w:sz w:val="22"/>
        </w:rPr>
        <w:t>maestra</w:t>
      </w:r>
      <w:r>
        <w:rPr>
          <w:spacing w:val="-3"/>
          <w:sz w:val="22"/>
        </w:rPr>
        <w:t> </w:t>
      </w:r>
      <w:r>
        <w:rPr>
          <w:sz w:val="22"/>
        </w:rPr>
        <w:t>con</w:t>
      </w:r>
      <w:r>
        <w:rPr>
          <w:spacing w:val="-3"/>
          <w:sz w:val="22"/>
        </w:rPr>
        <w:t> </w:t>
      </w:r>
      <w:r>
        <w:rPr>
          <w:sz w:val="22"/>
        </w:rPr>
        <w:t>la</w:t>
      </w:r>
      <w:r>
        <w:rPr>
          <w:spacing w:val="-4"/>
          <w:sz w:val="22"/>
        </w:rPr>
        <w:t> </w:t>
      </w:r>
      <w:r>
        <w:rPr>
          <w:sz w:val="22"/>
        </w:rPr>
        <w:t>información</w:t>
      </w:r>
      <w:r>
        <w:rPr>
          <w:spacing w:val="-5"/>
          <w:sz w:val="22"/>
        </w:rPr>
        <w:t> </w:t>
      </w:r>
      <w:r>
        <w:rPr>
          <w:sz w:val="22"/>
        </w:rPr>
        <w:t>remitida</w:t>
      </w:r>
      <w:r>
        <w:rPr>
          <w:spacing w:val="-4"/>
          <w:sz w:val="22"/>
        </w:rPr>
        <w:t> </w:t>
      </w:r>
      <w:r>
        <w:rPr>
          <w:sz w:val="22"/>
        </w:rPr>
        <w:t>por</w:t>
      </w:r>
      <w:r>
        <w:rPr>
          <w:spacing w:val="-4"/>
          <w:sz w:val="22"/>
        </w:rPr>
        <w:t> </w:t>
      </w:r>
      <w:r>
        <w:rPr>
          <w:sz w:val="22"/>
        </w:rPr>
        <w:t>la</w:t>
      </w:r>
      <w:r>
        <w:rPr>
          <w:spacing w:val="-6"/>
          <w:sz w:val="22"/>
        </w:rPr>
        <w:t> </w:t>
      </w:r>
      <w:r>
        <w:rPr>
          <w:spacing w:val="-2"/>
          <w:sz w:val="22"/>
        </w:rPr>
        <w:t>CCSS.</w:t>
      </w:r>
    </w:p>
    <w:p>
      <w:pPr>
        <w:pStyle w:val="BodyText"/>
      </w:pPr>
    </w:p>
    <w:p>
      <w:pPr>
        <w:pStyle w:val="BodyText"/>
      </w:pPr>
    </w:p>
    <w:p>
      <w:pPr>
        <w:pStyle w:val="BodyText"/>
        <w:spacing w:before="62"/>
      </w:pPr>
    </w:p>
    <w:p>
      <w:pPr>
        <w:pStyle w:val="BodyText"/>
        <w:spacing w:line="518" w:lineRule="auto"/>
        <w:ind w:left="730" w:right="4762"/>
      </w:pPr>
      <w:r>
        <w:rPr/>
        <w:t>Análisis</w:t>
      </w:r>
      <w:r>
        <w:rPr>
          <w:spacing w:val="-6"/>
        </w:rPr>
        <w:t> </w:t>
      </w:r>
      <w:r>
        <w:rPr/>
        <w:t>de</w:t>
      </w:r>
      <w:r>
        <w:rPr>
          <w:spacing w:val="-9"/>
        </w:rPr>
        <w:t> </w:t>
      </w:r>
      <w:r>
        <w:rPr/>
        <w:t>sensibilidad</w:t>
      </w:r>
      <w:r>
        <w:rPr>
          <w:spacing w:val="-6"/>
        </w:rPr>
        <w:t> </w:t>
      </w:r>
      <w:r>
        <w:rPr/>
        <w:t>para</w:t>
      </w:r>
      <w:r>
        <w:rPr>
          <w:spacing w:val="-7"/>
        </w:rPr>
        <w:t> </w:t>
      </w:r>
      <w:r>
        <w:rPr/>
        <w:t>los</w:t>
      </w:r>
      <w:r>
        <w:rPr>
          <w:spacing w:val="-8"/>
        </w:rPr>
        <w:t> </w:t>
      </w:r>
      <w:r>
        <w:rPr/>
        <w:t>Activos</w:t>
      </w:r>
      <w:r>
        <w:rPr>
          <w:spacing w:val="-5"/>
        </w:rPr>
        <w:t> </w:t>
      </w:r>
      <w:r>
        <w:rPr/>
        <w:t>Financieros Mapa de Calor del Riesgo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5"/>
      </w:pPr>
    </w:p>
    <w:p>
      <w:pPr>
        <w:pStyle w:val="BodyText"/>
        <w:ind w:left="730"/>
      </w:pPr>
      <w:r>
        <w:rPr/>
        <w:t>Para</w:t>
      </w:r>
      <w:r>
        <w:rPr>
          <w:spacing w:val="-4"/>
        </w:rPr>
        <w:t> </w:t>
      </w:r>
      <w:r>
        <w:rPr/>
        <w:t>el</w:t>
      </w:r>
      <w:r>
        <w:rPr>
          <w:spacing w:val="-2"/>
        </w:rPr>
        <w:t> </w:t>
      </w:r>
      <w:r>
        <w:rPr/>
        <w:t>R1</w:t>
      </w:r>
      <w:r>
        <w:rPr>
          <w:spacing w:val="-2"/>
        </w:rPr>
        <w:t> </w:t>
      </w:r>
      <w:r>
        <w:rPr/>
        <w:t>la</w:t>
      </w:r>
      <w:r>
        <w:rPr>
          <w:spacing w:val="-3"/>
        </w:rPr>
        <w:t> </w:t>
      </w:r>
      <w:r>
        <w:rPr/>
        <w:t>probabilidad</w:t>
      </w:r>
      <w:r>
        <w:rPr>
          <w:spacing w:val="-2"/>
        </w:rPr>
        <w:t> </w:t>
      </w:r>
      <w:r>
        <w:rPr/>
        <w:t>de</w:t>
      </w:r>
      <w:r>
        <w:rPr>
          <w:spacing w:val="-3"/>
        </w:rPr>
        <w:t> </w:t>
      </w:r>
      <w:r>
        <w:rPr/>
        <w:t>que</w:t>
      </w:r>
      <w:r>
        <w:rPr>
          <w:spacing w:val="-4"/>
        </w:rPr>
        <w:t> </w:t>
      </w:r>
      <w:r>
        <w:rPr/>
        <w:t>ocurra</w:t>
      </w:r>
      <w:r>
        <w:rPr>
          <w:spacing w:val="-3"/>
        </w:rPr>
        <w:t> </w:t>
      </w:r>
      <w:r>
        <w:rPr/>
        <w:t>es</w:t>
      </w:r>
      <w:r>
        <w:rPr>
          <w:spacing w:val="-1"/>
        </w:rPr>
        <w:t> </w:t>
      </w:r>
      <w:r>
        <w:rPr/>
        <w:t>posible</w:t>
      </w:r>
      <w:r>
        <w:rPr>
          <w:spacing w:val="-4"/>
        </w:rPr>
        <w:t> </w:t>
      </w:r>
      <w:r>
        <w:rPr/>
        <w:t>y</w:t>
      </w:r>
      <w:r>
        <w:rPr>
          <w:spacing w:val="-3"/>
        </w:rPr>
        <w:t> </w:t>
      </w:r>
      <w:r>
        <w:rPr/>
        <w:t>de</w:t>
      </w:r>
      <w:r>
        <w:rPr>
          <w:spacing w:val="-4"/>
        </w:rPr>
        <w:t> </w:t>
      </w:r>
      <w:r>
        <w:rPr/>
        <w:t>ser</w:t>
      </w:r>
      <w:r>
        <w:rPr>
          <w:spacing w:val="-2"/>
        </w:rPr>
        <w:t> </w:t>
      </w:r>
      <w:r>
        <w:rPr/>
        <w:t>así</w:t>
      </w:r>
      <w:r>
        <w:rPr>
          <w:spacing w:val="-5"/>
        </w:rPr>
        <w:t> </w:t>
      </w:r>
      <w:r>
        <w:rPr/>
        <w:t>su</w:t>
      </w:r>
      <w:r>
        <w:rPr>
          <w:spacing w:val="-2"/>
        </w:rPr>
        <w:t> </w:t>
      </w:r>
      <w:r>
        <w:rPr/>
        <w:t>impacto</w:t>
      </w:r>
      <w:r>
        <w:rPr>
          <w:spacing w:val="-2"/>
        </w:rPr>
        <w:t> </w:t>
      </w:r>
      <w:r>
        <w:rPr/>
        <w:t>es</w:t>
      </w:r>
      <w:r>
        <w:rPr>
          <w:spacing w:val="-1"/>
        </w:rPr>
        <w:t> </w:t>
      </w:r>
      <w:r>
        <w:rPr>
          <w:spacing w:val="-2"/>
        </w:rPr>
        <w:t>alto.</w:t>
      </w:r>
    </w:p>
    <w:p>
      <w:pPr>
        <w:pStyle w:val="BodyText"/>
        <w:spacing w:line="259" w:lineRule="auto" w:before="21"/>
        <w:ind w:left="730" w:right="546"/>
      </w:pPr>
      <w:r>
        <w:rPr/>
        <w:t>Para</w:t>
      </w:r>
      <w:r>
        <w:rPr>
          <w:spacing w:val="-3"/>
        </w:rPr>
        <w:t> </w:t>
      </w:r>
      <w:r>
        <w:rPr/>
        <w:t>el</w:t>
      </w:r>
      <w:r>
        <w:rPr>
          <w:spacing w:val="-2"/>
        </w:rPr>
        <w:t> </w:t>
      </w:r>
      <w:r>
        <w:rPr/>
        <w:t>R2</w:t>
      </w:r>
      <w:r>
        <w:rPr>
          <w:spacing w:val="-2"/>
        </w:rPr>
        <w:t> </w:t>
      </w:r>
      <w:r>
        <w:rPr/>
        <w:t>la</w:t>
      </w:r>
      <w:r>
        <w:rPr>
          <w:spacing w:val="-3"/>
        </w:rPr>
        <w:t> </w:t>
      </w:r>
      <w:r>
        <w:rPr/>
        <w:t>probabilidad</w:t>
      </w:r>
      <w:r>
        <w:rPr>
          <w:spacing w:val="-2"/>
        </w:rPr>
        <w:t> </w:t>
      </w:r>
      <w:r>
        <w:rPr/>
        <w:t>de</w:t>
      </w:r>
      <w:r>
        <w:rPr>
          <w:spacing w:val="-3"/>
        </w:rPr>
        <w:t> </w:t>
      </w:r>
      <w:r>
        <w:rPr/>
        <w:t>que</w:t>
      </w:r>
      <w:r>
        <w:rPr>
          <w:spacing w:val="-4"/>
        </w:rPr>
        <w:t> </w:t>
      </w:r>
      <w:r>
        <w:rPr/>
        <w:t>ocurra</w:t>
      </w:r>
      <w:r>
        <w:rPr>
          <w:spacing w:val="-3"/>
        </w:rPr>
        <w:t> </w:t>
      </w:r>
      <w:r>
        <w:rPr/>
        <w:t>es</w:t>
      </w:r>
      <w:r>
        <w:rPr>
          <w:spacing w:val="-1"/>
        </w:rPr>
        <w:t> </w:t>
      </w:r>
      <w:r>
        <w:rPr/>
        <w:t>improbable</w:t>
      </w:r>
      <w:r>
        <w:rPr>
          <w:spacing w:val="-6"/>
        </w:rPr>
        <w:t> </w:t>
      </w:r>
      <w:r>
        <w:rPr/>
        <w:t>sin</w:t>
      </w:r>
      <w:r>
        <w:rPr>
          <w:spacing w:val="-2"/>
        </w:rPr>
        <w:t> </w:t>
      </w:r>
      <w:r>
        <w:rPr/>
        <w:t>embargo</w:t>
      </w:r>
      <w:r>
        <w:rPr>
          <w:spacing w:val="-4"/>
        </w:rPr>
        <w:t> </w:t>
      </w:r>
      <w:r>
        <w:rPr/>
        <w:t>si</w:t>
      </w:r>
      <w:r>
        <w:rPr>
          <w:spacing w:val="-2"/>
        </w:rPr>
        <w:t> </w:t>
      </w:r>
      <w:r>
        <w:rPr/>
        <w:t>ocurre</w:t>
      </w:r>
      <w:r>
        <w:rPr>
          <w:spacing w:val="-6"/>
        </w:rPr>
        <w:t> </w:t>
      </w:r>
      <w:r>
        <w:rPr/>
        <w:t>su</w:t>
      </w:r>
      <w:r>
        <w:rPr>
          <w:spacing w:val="-2"/>
        </w:rPr>
        <w:t> </w:t>
      </w:r>
      <w:r>
        <w:rPr/>
        <w:t>impacto</w:t>
      </w:r>
      <w:r>
        <w:rPr>
          <w:spacing w:val="-2"/>
        </w:rPr>
        <w:t> </w:t>
      </w:r>
      <w:r>
        <w:rPr/>
        <w:t>es</w:t>
      </w:r>
      <w:r>
        <w:rPr>
          <w:spacing w:val="-4"/>
        </w:rPr>
        <w:t> </w:t>
      </w:r>
      <w:r>
        <w:rPr/>
        <w:t>moderado. Para el R3 la probabilidad de que ocurra es improbable, pero si ocurre su impacto es menor.</w:t>
      </w:r>
    </w:p>
    <w:p>
      <w:pPr>
        <w:pStyle w:val="BodyText"/>
        <w:spacing w:before="179"/>
      </w:pPr>
    </w:p>
    <w:p>
      <w:pPr>
        <w:pStyle w:val="BodyText"/>
        <w:ind w:left="730"/>
      </w:pPr>
      <w:r>
        <w:rPr/>
        <w:t>PASIVOS</w:t>
      </w:r>
      <w:r>
        <w:rPr>
          <w:spacing w:val="-5"/>
        </w:rPr>
        <w:t> </w:t>
      </w:r>
      <w:r>
        <w:rPr>
          <w:spacing w:val="-2"/>
        </w:rPr>
        <w:t>FINANCIEROS</w:t>
      </w:r>
    </w:p>
    <w:p>
      <w:pPr>
        <w:pStyle w:val="BodyText"/>
      </w:pPr>
    </w:p>
    <w:p>
      <w:pPr>
        <w:pStyle w:val="BodyText"/>
        <w:spacing w:before="109"/>
      </w:pPr>
    </w:p>
    <w:p>
      <w:pPr>
        <w:pStyle w:val="Heading6"/>
        <w:ind w:left="730"/>
      </w:pPr>
      <w:r>
        <w:rPr>
          <w:u w:val="single"/>
        </w:rPr>
        <w:t>IMAS:</w:t>
      </w:r>
      <w:r>
        <w:rPr>
          <w:spacing w:val="-4"/>
          <w:u w:val="single"/>
        </w:rPr>
        <w:t> </w:t>
      </w:r>
      <w:r>
        <w:rPr>
          <w:u w:val="single"/>
        </w:rPr>
        <w:t>Administración</w:t>
      </w:r>
      <w:r>
        <w:rPr>
          <w:spacing w:val="-4"/>
          <w:u w:val="single"/>
        </w:rPr>
        <w:t> </w:t>
      </w:r>
      <w:r>
        <w:rPr>
          <w:u w:val="single"/>
        </w:rPr>
        <w:t>del</w:t>
      </w:r>
      <w:r>
        <w:rPr>
          <w:spacing w:val="-4"/>
          <w:u w:val="single"/>
        </w:rPr>
        <w:t> </w:t>
      </w:r>
      <w:r>
        <w:rPr>
          <w:u w:val="single"/>
        </w:rPr>
        <w:t>riesgo</w:t>
      </w:r>
      <w:r>
        <w:rPr>
          <w:spacing w:val="-4"/>
          <w:u w:val="single"/>
        </w:rPr>
        <w:t> </w:t>
      </w:r>
      <w:r>
        <w:rPr>
          <w:u w:val="single"/>
        </w:rPr>
        <w:t>de</w:t>
      </w:r>
      <w:r>
        <w:rPr>
          <w:spacing w:val="-3"/>
          <w:u w:val="single"/>
        </w:rPr>
        <w:t> </w:t>
      </w:r>
      <w:r>
        <w:rPr>
          <w:spacing w:val="-2"/>
          <w:u w:val="single"/>
        </w:rPr>
        <w:t>liquidez</w:t>
      </w:r>
    </w:p>
    <w:p>
      <w:pPr>
        <w:pStyle w:val="ListParagraph"/>
        <w:numPr>
          <w:ilvl w:val="0"/>
          <w:numId w:val="105"/>
        </w:numPr>
        <w:tabs>
          <w:tab w:pos="1448" w:val="left" w:leader="none"/>
        </w:tabs>
        <w:spacing w:line="240" w:lineRule="auto" w:before="181" w:after="0"/>
        <w:ind w:left="1448" w:right="0" w:hanging="358"/>
        <w:jc w:val="left"/>
        <w:rPr>
          <w:b/>
          <w:sz w:val="22"/>
        </w:rPr>
      </w:pPr>
      <w:r>
        <w:rPr>
          <w:b/>
          <w:sz w:val="22"/>
        </w:rPr>
        <w:t>Naturaleza</w:t>
      </w:r>
      <w:r>
        <w:rPr>
          <w:b/>
          <w:spacing w:val="-4"/>
          <w:sz w:val="22"/>
        </w:rPr>
        <w:t> </w:t>
      </w:r>
      <w:r>
        <w:rPr>
          <w:b/>
          <w:sz w:val="22"/>
        </w:rPr>
        <w:t>del</w:t>
      </w:r>
      <w:r>
        <w:rPr>
          <w:b/>
          <w:spacing w:val="-3"/>
          <w:sz w:val="22"/>
        </w:rPr>
        <w:t> </w:t>
      </w:r>
      <w:r>
        <w:rPr>
          <w:b/>
          <w:sz w:val="22"/>
        </w:rPr>
        <w:t>riesgo</w:t>
      </w:r>
      <w:r>
        <w:rPr>
          <w:b/>
          <w:spacing w:val="-2"/>
          <w:sz w:val="22"/>
        </w:rPr>
        <w:t> </w:t>
      </w:r>
      <w:r>
        <w:rPr>
          <w:b/>
          <w:sz w:val="22"/>
        </w:rPr>
        <w:t>de</w:t>
      </w:r>
      <w:r>
        <w:rPr>
          <w:b/>
          <w:spacing w:val="-2"/>
          <w:sz w:val="22"/>
        </w:rPr>
        <w:t> liquidez</w:t>
      </w:r>
    </w:p>
    <w:p>
      <w:pPr>
        <w:pStyle w:val="ListParagraph"/>
        <w:spacing w:after="0" w:line="240" w:lineRule="auto"/>
        <w:jc w:val="left"/>
        <w:rPr>
          <w:b/>
          <w:sz w:val="22"/>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4592">
                <wp:simplePos x="0" y="0"/>
                <wp:positionH relativeFrom="page">
                  <wp:posOffset>9525</wp:posOffset>
                </wp:positionH>
                <wp:positionV relativeFrom="page">
                  <wp:posOffset>297208</wp:posOffset>
                </wp:positionV>
                <wp:extent cx="7762875" cy="9748520"/>
                <wp:effectExtent l="0" t="0" r="0" b="0"/>
                <wp:wrapNone/>
                <wp:docPr id="1226" name="Group 1226"/>
                <wp:cNvGraphicFramePr>
                  <a:graphicFrameLocks/>
                </wp:cNvGraphicFramePr>
                <a:graphic>
                  <a:graphicData uri="http://schemas.microsoft.com/office/word/2010/wordprocessingGroup">
                    <wpg:wgp>
                      <wpg:cNvPr id="1226" name="Group 1226"/>
                      <wpg:cNvGrpSpPr/>
                      <wpg:grpSpPr>
                        <a:xfrm>
                          <a:off x="0" y="0"/>
                          <a:ext cx="7762875" cy="9748520"/>
                          <a:chExt cx="7762875" cy="9748520"/>
                        </a:xfrm>
                      </wpg:grpSpPr>
                      <pic:pic>
                        <pic:nvPicPr>
                          <pic:cNvPr id="1227" name="Image 1227"/>
                          <pic:cNvPicPr/>
                        </pic:nvPicPr>
                        <pic:blipFill>
                          <a:blip r:embed="rId5" cstate="print"/>
                          <a:stretch>
                            <a:fillRect/>
                          </a:stretch>
                        </pic:blipFill>
                        <pic:spPr>
                          <a:xfrm>
                            <a:off x="0" y="0"/>
                            <a:ext cx="7762874" cy="9748489"/>
                          </a:xfrm>
                          <a:prstGeom prst="rect">
                            <a:avLst/>
                          </a:prstGeom>
                        </pic:spPr>
                      </pic:pic>
                      <wps:wsp>
                        <wps:cNvPr id="1228" name="Graphic 1228"/>
                        <wps:cNvSpPr/>
                        <wps:spPr>
                          <a:xfrm>
                            <a:off x="1053007" y="990837"/>
                            <a:ext cx="6013450" cy="7713980"/>
                          </a:xfrm>
                          <a:custGeom>
                            <a:avLst/>
                            <a:gdLst/>
                            <a:ahLst/>
                            <a:cxnLst/>
                            <a:rect l="l" t="t" r="r" b="b"/>
                            <a:pathLst>
                              <a:path w="6013450" h="7713980">
                                <a:moveTo>
                                  <a:pt x="21336" y="132651"/>
                                </a:moveTo>
                                <a:lnTo>
                                  <a:pt x="15240" y="132651"/>
                                </a:lnTo>
                                <a:lnTo>
                                  <a:pt x="15240" y="7707820"/>
                                </a:lnTo>
                                <a:lnTo>
                                  <a:pt x="21336" y="7707820"/>
                                </a:lnTo>
                                <a:lnTo>
                                  <a:pt x="21336" y="132651"/>
                                </a:lnTo>
                                <a:close/>
                              </a:path>
                              <a:path w="6013450" h="7713980">
                                <a:moveTo>
                                  <a:pt x="5649214" y="0"/>
                                </a:moveTo>
                                <a:lnTo>
                                  <a:pt x="0" y="0"/>
                                </a:lnTo>
                                <a:lnTo>
                                  <a:pt x="0" y="9131"/>
                                </a:lnTo>
                                <a:lnTo>
                                  <a:pt x="5649214" y="9131"/>
                                </a:lnTo>
                                <a:lnTo>
                                  <a:pt x="5649214" y="0"/>
                                </a:lnTo>
                                <a:close/>
                              </a:path>
                              <a:path w="6013450" h="7713980">
                                <a:moveTo>
                                  <a:pt x="6013399" y="7707833"/>
                                </a:moveTo>
                                <a:lnTo>
                                  <a:pt x="6007354" y="7707833"/>
                                </a:lnTo>
                                <a:lnTo>
                                  <a:pt x="21336" y="7707833"/>
                                </a:lnTo>
                                <a:lnTo>
                                  <a:pt x="15240" y="7707833"/>
                                </a:lnTo>
                                <a:lnTo>
                                  <a:pt x="15240" y="7713916"/>
                                </a:lnTo>
                                <a:lnTo>
                                  <a:pt x="21336" y="7713916"/>
                                </a:lnTo>
                                <a:lnTo>
                                  <a:pt x="6007303" y="7713916"/>
                                </a:lnTo>
                                <a:lnTo>
                                  <a:pt x="6013399" y="7713916"/>
                                </a:lnTo>
                                <a:lnTo>
                                  <a:pt x="6013399" y="7707833"/>
                                </a:lnTo>
                                <a:close/>
                              </a:path>
                              <a:path w="6013450" h="7713980">
                                <a:moveTo>
                                  <a:pt x="6013399" y="132651"/>
                                </a:moveTo>
                                <a:lnTo>
                                  <a:pt x="6007303" y="132651"/>
                                </a:lnTo>
                                <a:lnTo>
                                  <a:pt x="6007303" y="7707820"/>
                                </a:lnTo>
                                <a:lnTo>
                                  <a:pt x="6013399" y="7707820"/>
                                </a:lnTo>
                                <a:lnTo>
                                  <a:pt x="6013399" y="132651"/>
                                </a:lnTo>
                                <a:close/>
                              </a:path>
                              <a:path w="6013450" h="7713980">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1888" id="docshapegroup1170" coordorigin="15,468" coordsize="12225,15352">
                <v:shape style="position:absolute;left:15;top:468;width:12225;height:15352" type="#_x0000_t75" id="docshape1171" stroked="false">
                  <v:imagedata r:id="rId5" o:title=""/>
                </v:shape>
                <v:shape style="position:absolute;left:1673;top:2028;width:9470;height:12148" id="docshape1172" coordorigin="1673,2028" coordsize="9470,12148" path="m1707,2237l1697,2237,1697,14167,1707,14167,1707,2237xm10570,2028l1673,2028,1673,2043,10570,2043,10570,2028xm11143,14167l11134,14167,11134,14167,1707,14167,1697,14167,1697,14176,1707,14176,11134,14176,11134,14176,11143,14176,11143,14167xm11143,2237l11134,2237,11134,14167,11143,14167,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241</w:t>
      </w:r>
    </w:p>
    <w:p>
      <w:pPr>
        <w:pStyle w:val="BodyText"/>
        <w:spacing w:line="259" w:lineRule="auto" w:before="227"/>
        <w:ind w:left="730" w:right="487"/>
        <w:jc w:val="both"/>
      </w:pPr>
      <w:r>
        <w:rPr/>
        <w:t>El</w:t>
      </w:r>
      <w:r>
        <w:rPr>
          <w:spacing w:val="-1"/>
        </w:rPr>
        <w:t> </w:t>
      </w:r>
      <w:r>
        <w:rPr/>
        <w:t>riesgo</w:t>
      </w:r>
      <w:r>
        <w:rPr>
          <w:spacing w:val="-1"/>
        </w:rPr>
        <w:t> </w:t>
      </w:r>
      <w:r>
        <w:rPr/>
        <w:t>de</w:t>
      </w:r>
      <w:r>
        <w:rPr>
          <w:spacing w:val="-2"/>
        </w:rPr>
        <w:t> </w:t>
      </w:r>
      <w:r>
        <w:rPr/>
        <w:t>liquidez corresponde</w:t>
      </w:r>
      <w:r>
        <w:rPr>
          <w:spacing w:val="-1"/>
        </w:rPr>
        <w:t> </w:t>
      </w:r>
      <w:r>
        <w:rPr/>
        <w:t>a</w:t>
      </w:r>
      <w:r>
        <w:rPr>
          <w:spacing w:val="-1"/>
        </w:rPr>
        <w:t> </w:t>
      </w:r>
      <w:r>
        <w:rPr/>
        <w:t>la</w:t>
      </w:r>
      <w:r>
        <w:rPr>
          <w:spacing w:val="-4"/>
        </w:rPr>
        <w:t> </w:t>
      </w:r>
      <w:r>
        <w:rPr/>
        <w:t>posibilidad</w:t>
      </w:r>
      <w:r>
        <w:rPr>
          <w:spacing w:val="-1"/>
        </w:rPr>
        <w:t> </w:t>
      </w:r>
      <w:r>
        <w:rPr/>
        <w:t>de</w:t>
      </w:r>
      <w:r>
        <w:rPr>
          <w:spacing w:val="-2"/>
        </w:rPr>
        <w:t> </w:t>
      </w:r>
      <w:r>
        <w:rPr/>
        <w:t>que</w:t>
      </w:r>
      <w:r>
        <w:rPr>
          <w:spacing w:val="-1"/>
        </w:rPr>
        <w:t> </w:t>
      </w:r>
      <w:r>
        <w:rPr/>
        <w:t>la</w:t>
      </w:r>
      <w:r>
        <w:rPr>
          <w:spacing w:val="-1"/>
        </w:rPr>
        <w:t> </w:t>
      </w:r>
      <w:r>
        <w:rPr/>
        <w:t>institución</w:t>
      </w:r>
      <w:r>
        <w:rPr>
          <w:spacing w:val="-2"/>
        </w:rPr>
        <w:t> </w:t>
      </w:r>
      <w:r>
        <w:rPr/>
        <w:t>no</w:t>
      </w:r>
      <w:r>
        <w:rPr>
          <w:spacing w:val="-1"/>
        </w:rPr>
        <w:t> </w:t>
      </w:r>
      <w:r>
        <w:rPr/>
        <w:t>disponga</w:t>
      </w:r>
      <w:r>
        <w:rPr>
          <w:spacing w:val="-1"/>
        </w:rPr>
        <w:t> </w:t>
      </w:r>
      <w:r>
        <w:rPr/>
        <w:t>de</w:t>
      </w:r>
      <w:r>
        <w:rPr>
          <w:spacing w:val="-2"/>
        </w:rPr>
        <w:t> </w:t>
      </w:r>
      <w:r>
        <w:rPr/>
        <w:t>recursos</w:t>
      </w:r>
      <w:r>
        <w:rPr>
          <w:spacing w:val="-1"/>
        </w:rPr>
        <w:t> </w:t>
      </w:r>
      <w:r>
        <w:rPr/>
        <w:t>suficientes </w:t>
      </w:r>
      <w:r>
        <w:rPr>
          <w:spacing w:val="-2"/>
        </w:rPr>
        <w:t>para</w:t>
      </w:r>
      <w:r>
        <w:rPr>
          <w:spacing w:val="-3"/>
        </w:rPr>
        <w:t> </w:t>
      </w:r>
      <w:r>
        <w:rPr>
          <w:spacing w:val="-2"/>
        </w:rPr>
        <w:t>cumplir</w:t>
      </w:r>
      <w:r>
        <w:rPr>
          <w:spacing w:val="-3"/>
        </w:rPr>
        <w:t> </w:t>
      </w:r>
      <w:r>
        <w:rPr>
          <w:spacing w:val="-2"/>
        </w:rPr>
        <w:t>oportunamente</w:t>
      </w:r>
      <w:r>
        <w:rPr>
          <w:spacing w:val="-4"/>
        </w:rPr>
        <w:t> </w:t>
      </w:r>
      <w:r>
        <w:rPr>
          <w:spacing w:val="-2"/>
        </w:rPr>
        <w:t>con sus obligaciones financieras en las condiciones pactadas.</w:t>
      </w:r>
      <w:r>
        <w:rPr>
          <w:spacing w:val="-4"/>
        </w:rPr>
        <w:t> </w:t>
      </w:r>
      <w:r>
        <w:rPr>
          <w:spacing w:val="-2"/>
        </w:rPr>
        <w:t>Este</w:t>
      </w:r>
      <w:r>
        <w:rPr>
          <w:spacing w:val="-3"/>
        </w:rPr>
        <w:t> </w:t>
      </w:r>
      <w:r>
        <w:rPr>
          <w:spacing w:val="-2"/>
        </w:rPr>
        <w:t>riesgo puede </w:t>
      </w:r>
      <w:r>
        <w:rPr/>
        <w:t>originarse por descalces entre los flujos de ingreso y las obligaciones de pago, así como por factores macroeconómicos, regulatorios y operativos.</w:t>
      </w:r>
    </w:p>
    <w:p>
      <w:pPr>
        <w:pStyle w:val="BodyText"/>
        <w:spacing w:before="199"/>
      </w:pPr>
    </w:p>
    <w:p>
      <w:pPr>
        <w:pStyle w:val="Heading6"/>
        <w:numPr>
          <w:ilvl w:val="0"/>
          <w:numId w:val="105"/>
        </w:numPr>
        <w:tabs>
          <w:tab w:pos="1448" w:val="left" w:leader="none"/>
        </w:tabs>
        <w:spacing w:line="240" w:lineRule="auto" w:before="0" w:after="0"/>
        <w:ind w:left="1448" w:right="0" w:hanging="358"/>
        <w:jc w:val="left"/>
      </w:pPr>
      <w:r>
        <w:rPr/>
        <w:t>Gestión</w:t>
      </w:r>
      <w:r>
        <w:rPr>
          <w:spacing w:val="-3"/>
        </w:rPr>
        <w:t> </w:t>
      </w:r>
      <w:r>
        <w:rPr/>
        <w:t>del</w:t>
      </w:r>
      <w:r>
        <w:rPr>
          <w:spacing w:val="-2"/>
        </w:rPr>
        <w:t> </w:t>
      </w:r>
      <w:r>
        <w:rPr/>
        <w:t>riesgo</w:t>
      </w:r>
      <w:r>
        <w:rPr>
          <w:spacing w:val="-2"/>
        </w:rPr>
        <w:t> </w:t>
      </w:r>
      <w:r>
        <w:rPr/>
        <w:t>de</w:t>
      </w:r>
      <w:r>
        <w:rPr>
          <w:spacing w:val="-1"/>
        </w:rPr>
        <w:t> </w:t>
      </w:r>
      <w:r>
        <w:rPr>
          <w:spacing w:val="-2"/>
        </w:rPr>
        <w:t>liquidez</w:t>
      </w:r>
    </w:p>
    <w:p>
      <w:pPr>
        <w:pStyle w:val="BodyText"/>
        <w:spacing w:line="276" w:lineRule="auto" w:before="198"/>
        <w:ind w:left="1090" w:right="489"/>
        <w:jc w:val="both"/>
      </w:pPr>
      <w:r>
        <w:rPr/>
        <w:t>La gestión del riesgo de liquidez en la institución es responsabilidad de la Alta Dirección, con apoyo técnico del Departamento de Administración Financiera y de la Unidad de Tesorería. Para su administración, se cuenta con los siguientes mecanismos:</w:t>
      </w:r>
    </w:p>
    <w:p>
      <w:pPr>
        <w:pStyle w:val="ListParagraph"/>
        <w:numPr>
          <w:ilvl w:val="1"/>
          <w:numId w:val="105"/>
        </w:numPr>
        <w:tabs>
          <w:tab w:pos="1809" w:val="left" w:leader="none"/>
        </w:tabs>
        <w:spacing w:line="240" w:lineRule="auto" w:before="159" w:after="0"/>
        <w:ind w:left="1809" w:right="0" w:hanging="359"/>
        <w:jc w:val="left"/>
        <w:rPr>
          <w:sz w:val="22"/>
        </w:rPr>
      </w:pPr>
      <w:r>
        <w:rPr>
          <w:sz w:val="22"/>
        </w:rPr>
        <w:t>Elaboración</w:t>
      </w:r>
      <w:r>
        <w:rPr>
          <w:spacing w:val="-4"/>
          <w:sz w:val="22"/>
        </w:rPr>
        <w:t> </w:t>
      </w:r>
      <w:r>
        <w:rPr>
          <w:sz w:val="22"/>
        </w:rPr>
        <w:t>mensual</w:t>
      </w:r>
      <w:r>
        <w:rPr>
          <w:spacing w:val="-4"/>
          <w:sz w:val="22"/>
        </w:rPr>
        <w:t> </w:t>
      </w:r>
      <w:r>
        <w:rPr>
          <w:sz w:val="22"/>
        </w:rPr>
        <w:t>de</w:t>
      </w:r>
      <w:r>
        <w:rPr>
          <w:spacing w:val="-4"/>
          <w:sz w:val="22"/>
        </w:rPr>
        <w:t> </w:t>
      </w:r>
      <w:r>
        <w:rPr>
          <w:sz w:val="22"/>
        </w:rPr>
        <w:t>flujos</w:t>
      </w:r>
      <w:r>
        <w:rPr>
          <w:spacing w:val="-3"/>
          <w:sz w:val="22"/>
        </w:rPr>
        <w:t> </w:t>
      </w:r>
      <w:r>
        <w:rPr>
          <w:sz w:val="22"/>
        </w:rPr>
        <w:t>de</w:t>
      </w:r>
      <w:r>
        <w:rPr>
          <w:spacing w:val="-6"/>
          <w:sz w:val="22"/>
        </w:rPr>
        <w:t> </w:t>
      </w:r>
      <w:r>
        <w:rPr>
          <w:sz w:val="22"/>
        </w:rPr>
        <w:t>efectivo</w:t>
      </w:r>
      <w:r>
        <w:rPr>
          <w:spacing w:val="-3"/>
          <w:sz w:val="22"/>
        </w:rPr>
        <w:t> </w:t>
      </w:r>
      <w:r>
        <w:rPr>
          <w:sz w:val="22"/>
        </w:rPr>
        <w:t>proyectados</w:t>
      </w:r>
      <w:r>
        <w:rPr>
          <w:spacing w:val="-3"/>
          <w:sz w:val="22"/>
        </w:rPr>
        <w:t> </w:t>
      </w:r>
      <w:r>
        <w:rPr>
          <w:sz w:val="22"/>
        </w:rPr>
        <w:t>y</w:t>
      </w:r>
      <w:r>
        <w:rPr>
          <w:spacing w:val="-7"/>
          <w:sz w:val="22"/>
        </w:rPr>
        <w:t> </w:t>
      </w:r>
      <w:r>
        <w:rPr>
          <w:spacing w:val="-2"/>
          <w:sz w:val="22"/>
        </w:rPr>
        <w:t>reales.</w:t>
      </w:r>
    </w:p>
    <w:p>
      <w:pPr>
        <w:pStyle w:val="ListParagraph"/>
        <w:numPr>
          <w:ilvl w:val="1"/>
          <w:numId w:val="105"/>
        </w:numPr>
        <w:tabs>
          <w:tab w:pos="1809" w:val="left" w:leader="none"/>
        </w:tabs>
        <w:spacing w:line="240" w:lineRule="auto" w:before="38" w:after="0"/>
        <w:ind w:left="1809" w:right="0" w:hanging="359"/>
        <w:jc w:val="left"/>
        <w:rPr>
          <w:sz w:val="22"/>
        </w:rPr>
      </w:pPr>
      <w:r>
        <w:rPr>
          <w:sz w:val="22"/>
        </w:rPr>
        <w:t>Monitoreo</w:t>
      </w:r>
      <w:r>
        <w:rPr>
          <w:spacing w:val="-6"/>
          <w:sz w:val="22"/>
        </w:rPr>
        <w:t> </w:t>
      </w:r>
      <w:r>
        <w:rPr>
          <w:sz w:val="22"/>
        </w:rPr>
        <w:t>continuo</w:t>
      </w:r>
      <w:r>
        <w:rPr>
          <w:spacing w:val="-5"/>
          <w:sz w:val="22"/>
        </w:rPr>
        <w:t> </w:t>
      </w:r>
      <w:r>
        <w:rPr>
          <w:sz w:val="22"/>
        </w:rPr>
        <w:t>de</w:t>
      </w:r>
      <w:r>
        <w:rPr>
          <w:spacing w:val="-4"/>
          <w:sz w:val="22"/>
        </w:rPr>
        <w:t> </w:t>
      </w:r>
      <w:r>
        <w:rPr>
          <w:sz w:val="22"/>
        </w:rPr>
        <w:t>desviaciones</w:t>
      </w:r>
      <w:r>
        <w:rPr>
          <w:spacing w:val="-7"/>
          <w:sz w:val="22"/>
        </w:rPr>
        <w:t> </w:t>
      </w:r>
      <w:r>
        <w:rPr>
          <w:sz w:val="22"/>
        </w:rPr>
        <w:t>entre</w:t>
      </w:r>
      <w:r>
        <w:rPr>
          <w:spacing w:val="-4"/>
          <w:sz w:val="22"/>
        </w:rPr>
        <w:t> </w:t>
      </w:r>
      <w:r>
        <w:rPr>
          <w:sz w:val="22"/>
        </w:rPr>
        <w:t>ingresos</w:t>
      </w:r>
      <w:r>
        <w:rPr>
          <w:spacing w:val="-4"/>
          <w:sz w:val="22"/>
        </w:rPr>
        <w:t> </w:t>
      </w:r>
      <w:r>
        <w:rPr>
          <w:sz w:val="22"/>
        </w:rPr>
        <w:t>y</w:t>
      </w:r>
      <w:r>
        <w:rPr>
          <w:spacing w:val="-6"/>
          <w:sz w:val="22"/>
        </w:rPr>
        <w:t> </w:t>
      </w:r>
      <w:r>
        <w:rPr>
          <w:spacing w:val="-2"/>
          <w:sz w:val="22"/>
        </w:rPr>
        <w:t>egresos.</w:t>
      </w:r>
    </w:p>
    <w:p>
      <w:pPr>
        <w:pStyle w:val="ListParagraph"/>
        <w:numPr>
          <w:ilvl w:val="1"/>
          <w:numId w:val="105"/>
        </w:numPr>
        <w:tabs>
          <w:tab w:pos="1809" w:val="left" w:leader="none"/>
        </w:tabs>
        <w:spacing w:line="240" w:lineRule="auto" w:before="36" w:after="0"/>
        <w:ind w:left="1809" w:right="0" w:hanging="359"/>
        <w:jc w:val="left"/>
        <w:rPr>
          <w:sz w:val="22"/>
        </w:rPr>
      </w:pPr>
      <w:r>
        <w:rPr>
          <w:sz w:val="22"/>
        </w:rPr>
        <w:t>Coordinación</w:t>
      </w:r>
      <w:r>
        <w:rPr>
          <w:spacing w:val="-6"/>
          <w:sz w:val="22"/>
        </w:rPr>
        <w:t> </w:t>
      </w:r>
      <w:r>
        <w:rPr>
          <w:sz w:val="22"/>
        </w:rPr>
        <w:t>con</w:t>
      </w:r>
      <w:r>
        <w:rPr>
          <w:spacing w:val="-4"/>
          <w:sz w:val="22"/>
        </w:rPr>
        <w:t> </w:t>
      </w:r>
      <w:r>
        <w:rPr>
          <w:sz w:val="22"/>
        </w:rPr>
        <w:t>la</w:t>
      </w:r>
      <w:r>
        <w:rPr>
          <w:spacing w:val="-5"/>
          <w:sz w:val="22"/>
        </w:rPr>
        <w:t> </w:t>
      </w:r>
      <w:r>
        <w:rPr>
          <w:sz w:val="22"/>
        </w:rPr>
        <w:t>Tesorería</w:t>
      </w:r>
      <w:r>
        <w:rPr>
          <w:spacing w:val="-5"/>
          <w:sz w:val="22"/>
        </w:rPr>
        <w:t> </w:t>
      </w:r>
      <w:r>
        <w:rPr>
          <w:sz w:val="22"/>
        </w:rPr>
        <w:t>Nacional</w:t>
      </w:r>
      <w:r>
        <w:rPr>
          <w:spacing w:val="-5"/>
          <w:sz w:val="22"/>
        </w:rPr>
        <w:t> </w:t>
      </w:r>
      <w:r>
        <w:rPr>
          <w:sz w:val="22"/>
        </w:rPr>
        <w:t>para</w:t>
      </w:r>
      <w:r>
        <w:rPr>
          <w:spacing w:val="-5"/>
          <w:sz w:val="22"/>
        </w:rPr>
        <w:t> </w:t>
      </w:r>
      <w:r>
        <w:rPr>
          <w:sz w:val="22"/>
        </w:rPr>
        <w:t>la</w:t>
      </w:r>
      <w:r>
        <w:rPr>
          <w:spacing w:val="-6"/>
          <w:sz w:val="22"/>
        </w:rPr>
        <w:t> </w:t>
      </w:r>
      <w:r>
        <w:rPr>
          <w:sz w:val="22"/>
        </w:rPr>
        <w:t>programación</w:t>
      </w:r>
      <w:r>
        <w:rPr>
          <w:spacing w:val="-4"/>
          <w:sz w:val="22"/>
        </w:rPr>
        <w:t> </w:t>
      </w:r>
      <w:r>
        <w:rPr>
          <w:sz w:val="22"/>
        </w:rPr>
        <w:t>de</w:t>
      </w:r>
      <w:r>
        <w:rPr>
          <w:spacing w:val="-3"/>
          <w:sz w:val="22"/>
        </w:rPr>
        <w:t> </w:t>
      </w:r>
      <w:r>
        <w:rPr>
          <w:sz w:val="22"/>
        </w:rPr>
        <w:t>recursos</w:t>
      </w:r>
      <w:r>
        <w:rPr>
          <w:spacing w:val="-6"/>
          <w:sz w:val="22"/>
        </w:rPr>
        <w:t> </w:t>
      </w:r>
      <w:r>
        <w:rPr>
          <w:sz w:val="22"/>
        </w:rPr>
        <w:t>en</w:t>
      </w:r>
      <w:r>
        <w:rPr>
          <w:spacing w:val="-4"/>
          <w:sz w:val="22"/>
        </w:rPr>
        <w:t> </w:t>
      </w:r>
      <w:r>
        <w:rPr>
          <w:sz w:val="22"/>
        </w:rPr>
        <w:t>Caja</w:t>
      </w:r>
      <w:r>
        <w:rPr>
          <w:spacing w:val="-6"/>
          <w:sz w:val="22"/>
        </w:rPr>
        <w:t> </w:t>
      </w:r>
      <w:r>
        <w:rPr>
          <w:spacing w:val="-2"/>
          <w:sz w:val="22"/>
        </w:rPr>
        <w:t>Única.</w:t>
      </w:r>
    </w:p>
    <w:p>
      <w:pPr>
        <w:pStyle w:val="ListParagraph"/>
        <w:numPr>
          <w:ilvl w:val="1"/>
          <w:numId w:val="105"/>
        </w:numPr>
        <w:tabs>
          <w:tab w:pos="1809" w:val="left" w:leader="none"/>
        </w:tabs>
        <w:spacing w:line="240" w:lineRule="auto" w:before="39" w:after="0"/>
        <w:ind w:left="1809" w:right="0" w:hanging="359"/>
        <w:jc w:val="left"/>
        <w:rPr>
          <w:sz w:val="22"/>
        </w:rPr>
      </w:pPr>
      <w:r>
        <w:rPr>
          <w:sz w:val="22"/>
        </w:rPr>
        <w:t>Seguimiento</w:t>
      </w:r>
      <w:r>
        <w:rPr>
          <w:spacing w:val="-7"/>
          <w:sz w:val="22"/>
        </w:rPr>
        <w:t> </w:t>
      </w:r>
      <w:r>
        <w:rPr>
          <w:sz w:val="22"/>
        </w:rPr>
        <w:t>de</w:t>
      </w:r>
      <w:r>
        <w:rPr>
          <w:spacing w:val="-7"/>
          <w:sz w:val="22"/>
        </w:rPr>
        <w:t> </w:t>
      </w:r>
      <w:r>
        <w:rPr>
          <w:sz w:val="22"/>
        </w:rPr>
        <w:t>factores</w:t>
      </w:r>
      <w:r>
        <w:rPr>
          <w:spacing w:val="-4"/>
          <w:sz w:val="22"/>
        </w:rPr>
        <w:t> </w:t>
      </w:r>
      <w:r>
        <w:rPr>
          <w:sz w:val="22"/>
        </w:rPr>
        <w:t>internos</w:t>
      </w:r>
      <w:r>
        <w:rPr>
          <w:spacing w:val="-4"/>
          <w:sz w:val="22"/>
        </w:rPr>
        <w:t> </w:t>
      </w:r>
      <w:r>
        <w:rPr>
          <w:sz w:val="22"/>
        </w:rPr>
        <w:t>y</w:t>
      </w:r>
      <w:r>
        <w:rPr>
          <w:spacing w:val="-8"/>
          <w:sz w:val="22"/>
        </w:rPr>
        <w:t> </w:t>
      </w:r>
      <w:r>
        <w:rPr>
          <w:sz w:val="22"/>
        </w:rPr>
        <w:t>externos</w:t>
      </w:r>
      <w:r>
        <w:rPr>
          <w:spacing w:val="-7"/>
          <w:sz w:val="22"/>
        </w:rPr>
        <w:t> </w:t>
      </w:r>
      <w:r>
        <w:rPr>
          <w:sz w:val="22"/>
        </w:rPr>
        <w:t>que</w:t>
      </w:r>
      <w:r>
        <w:rPr>
          <w:spacing w:val="-4"/>
          <w:sz w:val="22"/>
        </w:rPr>
        <w:t> </w:t>
      </w:r>
      <w:r>
        <w:rPr>
          <w:sz w:val="22"/>
        </w:rPr>
        <w:t>puedan</w:t>
      </w:r>
      <w:r>
        <w:rPr>
          <w:spacing w:val="-4"/>
          <w:sz w:val="22"/>
        </w:rPr>
        <w:t> </w:t>
      </w:r>
      <w:r>
        <w:rPr>
          <w:sz w:val="22"/>
        </w:rPr>
        <w:t>afectar</w:t>
      </w:r>
      <w:r>
        <w:rPr>
          <w:spacing w:val="-5"/>
          <w:sz w:val="22"/>
        </w:rPr>
        <w:t> </w:t>
      </w:r>
      <w:r>
        <w:rPr>
          <w:sz w:val="22"/>
        </w:rPr>
        <w:t>la</w:t>
      </w:r>
      <w:r>
        <w:rPr>
          <w:spacing w:val="-6"/>
          <w:sz w:val="22"/>
        </w:rPr>
        <w:t> </w:t>
      </w:r>
      <w:r>
        <w:rPr>
          <w:sz w:val="22"/>
        </w:rPr>
        <w:t>disponibilidad</w:t>
      </w:r>
      <w:r>
        <w:rPr>
          <w:spacing w:val="-5"/>
          <w:sz w:val="22"/>
        </w:rPr>
        <w:t> </w:t>
      </w:r>
      <w:r>
        <w:rPr>
          <w:sz w:val="22"/>
        </w:rPr>
        <w:t>de</w:t>
      </w:r>
      <w:r>
        <w:rPr>
          <w:spacing w:val="-3"/>
          <w:sz w:val="22"/>
        </w:rPr>
        <w:t> </w:t>
      </w:r>
      <w:r>
        <w:rPr>
          <w:spacing w:val="-2"/>
          <w:sz w:val="22"/>
        </w:rPr>
        <w:t>fondos.</w:t>
      </w:r>
    </w:p>
    <w:p>
      <w:pPr>
        <w:pStyle w:val="ListParagraph"/>
        <w:numPr>
          <w:ilvl w:val="1"/>
          <w:numId w:val="105"/>
        </w:numPr>
        <w:tabs>
          <w:tab w:pos="1810" w:val="left" w:leader="none"/>
        </w:tabs>
        <w:spacing w:line="273" w:lineRule="auto" w:before="36" w:after="0"/>
        <w:ind w:left="1810" w:right="491" w:hanging="360"/>
        <w:jc w:val="left"/>
        <w:rPr>
          <w:sz w:val="22"/>
        </w:rPr>
      </w:pPr>
      <w:r>
        <w:rPr>
          <w:sz w:val="22"/>
        </w:rPr>
        <w:t>Implementación</w:t>
      </w:r>
      <w:r>
        <w:rPr>
          <w:spacing w:val="-6"/>
          <w:sz w:val="22"/>
        </w:rPr>
        <w:t> </w:t>
      </w:r>
      <w:r>
        <w:rPr>
          <w:sz w:val="22"/>
        </w:rPr>
        <w:t>de</w:t>
      </w:r>
      <w:r>
        <w:rPr>
          <w:spacing w:val="-6"/>
          <w:sz w:val="22"/>
        </w:rPr>
        <w:t> </w:t>
      </w:r>
      <w:r>
        <w:rPr>
          <w:sz w:val="22"/>
        </w:rPr>
        <w:t>medidas</w:t>
      </w:r>
      <w:r>
        <w:rPr>
          <w:spacing w:val="-3"/>
          <w:sz w:val="22"/>
        </w:rPr>
        <w:t> </w:t>
      </w:r>
      <w:r>
        <w:rPr>
          <w:sz w:val="22"/>
        </w:rPr>
        <w:t>correctivas</w:t>
      </w:r>
      <w:r>
        <w:rPr>
          <w:spacing w:val="-3"/>
          <w:sz w:val="22"/>
        </w:rPr>
        <w:t> </w:t>
      </w:r>
      <w:r>
        <w:rPr>
          <w:sz w:val="22"/>
        </w:rPr>
        <w:t>ante</w:t>
      </w:r>
      <w:r>
        <w:rPr>
          <w:spacing w:val="-6"/>
          <w:sz w:val="22"/>
        </w:rPr>
        <w:t> </w:t>
      </w:r>
      <w:r>
        <w:rPr>
          <w:sz w:val="22"/>
        </w:rPr>
        <w:t>eventos</w:t>
      </w:r>
      <w:r>
        <w:rPr>
          <w:spacing w:val="-6"/>
          <w:sz w:val="22"/>
        </w:rPr>
        <w:t> </w:t>
      </w:r>
      <w:r>
        <w:rPr>
          <w:sz w:val="22"/>
        </w:rPr>
        <w:t>adversos,</w:t>
      </w:r>
      <w:r>
        <w:rPr>
          <w:spacing w:val="-4"/>
          <w:sz w:val="22"/>
        </w:rPr>
        <w:t> </w:t>
      </w:r>
      <w:r>
        <w:rPr>
          <w:sz w:val="22"/>
        </w:rPr>
        <w:t>tales</w:t>
      </w:r>
      <w:r>
        <w:rPr>
          <w:spacing w:val="-6"/>
          <w:sz w:val="22"/>
        </w:rPr>
        <w:t> </w:t>
      </w:r>
      <w:r>
        <w:rPr>
          <w:sz w:val="22"/>
        </w:rPr>
        <w:t>como</w:t>
      </w:r>
      <w:r>
        <w:rPr>
          <w:spacing w:val="-6"/>
          <w:sz w:val="22"/>
        </w:rPr>
        <w:t> </w:t>
      </w:r>
      <w:r>
        <w:rPr>
          <w:sz w:val="22"/>
        </w:rPr>
        <w:t>reprogramación</w:t>
      </w:r>
      <w:r>
        <w:rPr>
          <w:spacing w:val="-4"/>
          <w:sz w:val="22"/>
        </w:rPr>
        <w:t> </w:t>
      </w:r>
      <w:r>
        <w:rPr>
          <w:sz w:val="22"/>
        </w:rPr>
        <w:t>de pagos, renegociación de obligaciones y priorización del gasto social.</w:t>
      </w:r>
    </w:p>
    <w:p>
      <w:pPr>
        <w:pStyle w:val="BodyText"/>
        <w:spacing w:line="276" w:lineRule="auto" w:before="165"/>
        <w:ind w:left="1090" w:right="488"/>
        <w:jc w:val="both"/>
      </w:pPr>
      <w:r>
        <w:rPr/>
        <w:t>Adicionalmente, la institución considera variables macroeconómicas, sociales y regulatorias en su planificación</w:t>
      </w:r>
      <w:r>
        <w:rPr>
          <w:spacing w:val="-14"/>
        </w:rPr>
        <w:t> </w:t>
      </w:r>
      <w:r>
        <w:rPr/>
        <w:t>financiera,</w:t>
      </w:r>
      <w:r>
        <w:rPr>
          <w:spacing w:val="-14"/>
        </w:rPr>
        <w:t> </w:t>
      </w:r>
      <w:r>
        <w:rPr/>
        <w:t>incluyendo</w:t>
      </w:r>
      <w:r>
        <w:rPr>
          <w:spacing w:val="-14"/>
        </w:rPr>
        <w:t> </w:t>
      </w:r>
      <w:r>
        <w:rPr/>
        <w:t>escenarios</w:t>
      </w:r>
      <w:r>
        <w:rPr>
          <w:spacing w:val="-13"/>
        </w:rPr>
        <w:t> </w:t>
      </w:r>
      <w:r>
        <w:rPr/>
        <w:t>asociados</w:t>
      </w:r>
      <w:r>
        <w:rPr>
          <w:spacing w:val="-13"/>
        </w:rPr>
        <w:t> </w:t>
      </w:r>
      <w:r>
        <w:rPr/>
        <w:t>a</w:t>
      </w:r>
      <w:r>
        <w:rPr>
          <w:spacing w:val="-14"/>
        </w:rPr>
        <w:t> </w:t>
      </w:r>
      <w:r>
        <w:rPr/>
        <w:t>inflación,</w:t>
      </w:r>
      <w:r>
        <w:rPr>
          <w:spacing w:val="-13"/>
        </w:rPr>
        <w:t> </w:t>
      </w:r>
      <w:r>
        <w:rPr/>
        <w:t>variaciones</w:t>
      </w:r>
      <w:r>
        <w:rPr>
          <w:spacing w:val="-13"/>
        </w:rPr>
        <w:t> </w:t>
      </w:r>
      <w:r>
        <w:rPr/>
        <w:t>en</w:t>
      </w:r>
      <w:r>
        <w:rPr>
          <w:spacing w:val="-14"/>
        </w:rPr>
        <w:t> </w:t>
      </w:r>
      <w:r>
        <w:rPr/>
        <w:t>ingresos</w:t>
      </w:r>
      <w:r>
        <w:rPr>
          <w:spacing w:val="-13"/>
        </w:rPr>
        <w:t> </w:t>
      </w:r>
      <w:r>
        <w:rPr/>
        <w:t>tributarios, cambios en la demanda de programas sociales y eventos extraordinarios.</w:t>
      </w:r>
    </w:p>
    <w:p>
      <w:pPr>
        <w:pStyle w:val="BodyText"/>
      </w:pPr>
    </w:p>
    <w:p>
      <w:pPr>
        <w:pStyle w:val="BodyText"/>
        <w:spacing w:before="106"/>
      </w:pPr>
    </w:p>
    <w:p>
      <w:pPr>
        <w:pStyle w:val="Heading6"/>
        <w:numPr>
          <w:ilvl w:val="0"/>
          <w:numId w:val="105"/>
        </w:numPr>
        <w:tabs>
          <w:tab w:pos="1448" w:val="left" w:leader="none"/>
        </w:tabs>
        <w:spacing w:line="240" w:lineRule="auto" w:before="0" w:after="0"/>
        <w:ind w:left="1448" w:right="0" w:hanging="358"/>
        <w:jc w:val="left"/>
      </w:pPr>
      <w:r>
        <w:rPr/>
        <w:t>Fuentes</w:t>
      </w:r>
      <w:r>
        <w:rPr>
          <w:spacing w:val="-2"/>
        </w:rPr>
        <w:t> </w:t>
      </w:r>
      <w:r>
        <w:rPr/>
        <w:t>de</w:t>
      </w:r>
      <w:r>
        <w:rPr>
          <w:spacing w:val="-1"/>
        </w:rPr>
        <w:t> </w:t>
      </w:r>
      <w:r>
        <w:rPr>
          <w:spacing w:val="-2"/>
        </w:rPr>
        <w:t>financiamiento</w:t>
      </w:r>
    </w:p>
    <w:p>
      <w:pPr>
        <w:pStyle w:val="BodyText"/>
        <w:spacing w:before="198"/>
        <w:ind w:left="1090"/>
        <w:jc w:val="both"/>
      </w:pPr>
      <w:r>
        <w:rPr/>
        <w:t>La</w:t>
      </w:r>
      <w:r>
        <w:rPr>
          <w:spacing w:val="-6"/>
        </w:rPr>
        <w:t> </w:t>
      </w:r>
      <w:r>
        <w:rPr/>
        <w:t>institución</w:t>
      </w:r>
      <w:r>
        <w:rPr>
          <w:spacing w:val="-5"/>
        </w:rPr>
        <w:t> </w:t>
      </w:r>
      <w:r>
        <w:rPr/>
        <w:t>financia</w:t>
      </w:r>
      <w:r>
        <w:rPr>
          <w:spacing w:val="-6"/>
        </w:rPr>
        <w:t> </w:t>
      </w:r>
      <w:r>
        <w:rPr/>
        <w:t>sus</w:t>
      </w:r>
      <w:r>
        <w:rPr>
          <w:spacing w:val="-7"/>
        </w:rPr>
        <w:t> </w:t>
      </w:r>
      <w:r>
        <w:rPr/>
        <w:t>operaciones</w:t>
      </w:r>
      <w:r>
        <w:rPr>
          <w:spacing w:val="-4"/>
        </w:rPr>
        <w:t> </w:t>
      </w:r>
      <w:r>
        <w:rPr/>
        <w:t>principalmente</w:t>
      </w:r>
      <w:r>
        <w:rPr>
          <w:spacing w:val="-5"/>
        </w:rPr>
        <w:t> </w:t>
      </w:r>
      <w:r>
        <w:rPr/>
        <w:t>a</w:t>
      </w:r>
      <w:r>
        <w:rPr>
          <w:spacing w:val="-8"/>
        </w:rPr>
        <w:t> </w:t>
      </w:r>
      <w:r>
        <w:rPr/>
        <w:t>través</w:t>
      </w:r>
      <w:r>
        <w:rPr>
          <w:spacing w:val="-4"/>
        </w:rPr>
        <w:t> </w:t>
      </w:r>
      <w:r>
        <w:rPr>
          <w:spacing w:val="-5"/>
        </w:rPr>
        <w:t>de:</w:t>
      </w:r>
    </w:p>
    <w:p>
      <w:pPr>
        <w:pStyle w:val="BodyText"/>
        <w:spacing w:before="234"/>
      </w:pPr>
    </w:p>
    <w:p>
      <w:pPr>
        <w:pStyle w:val="Heading6"/>
        <w:numPr>
          <w:ilvl w:val="0"/>
          <w:numId w:val="106"/>
        </w:numPr>
        <w:tabs>
          <w:tab w:pos="1797" w:val="left" w:leader="none"/>
        </w:tabs>
        <w:spacing w:line="240" w:lineRule="auto" w:before="1" w:after="0"/>
        <w:ind w:left="1797" w:right="0" w:hanging="359"/>
        <w:jc w:val="left"/>
      </w:pPr>
      <w:r>
        <w:rPr/>
        <w:t>Recursos</w:t>
      </w:r>
      <w:r>
        <w:rPr>
          <w:spacing w:val="-3"/>
        </w:rPr>
        <w:t> </w:t>
      </w:r>
      <w:r>
        <w:rPr>
          <w:spacing w:val="-2"/>
        </w:rPr>
        <w:t>propios.</w:t>
      </w:r>
    </w:p>
    <w:p>
      <w:pPr>
        <w:pStyle w:val="BodyText"/>
        <w:spacing w:line="276" w:lineRule="auto" w:before="198"/>
        <w:ind w:left="1783" w:right="484"/>
        <w:jc w:val="both"/>
      </w:pPr>
      <w:r>
        <w:rPr/>
        <w:t>Los recursos propios provienen principalmente de la recaudación de tributos patronales establecidos</w:t>
      </w:r>
      <w:r>
        <w:rPr>
          <w:spacing w:val="-8"/>
        </w:rPr>
        <w:t> </w:t>
      </w:r>
      <w:r>
        <w:rPr/>
        <w:t>en</w:t>
      </w:r>
      <w:r>
        <w:rPr>
          <w:spacing w:val="-9"/>
        </w:rPr>
        <w:t> </w:t>
      </w:r>
      <w:r>
        <w:rPr/>
        <w:t>la</w:t>
      </w:r>
      <w:r>
        <w:rPr>
          <w:spacing w:val="-11"/>
        </w:rPr>
        <w:t> </w:t>
      </w:r>
      <w:r>
        <w:rPr/>
        <w:t>Ley</w:t>
      </w:r>
      <w:r>
        <w:rPr>
          <w:spacing w:val="-11"/>
        </w:rPr>
        <w:t> </w:t>
      </w:r>
      <w:r>
        <w:rPr/>
        <w:t>4760</w:t>
      </w:r>
      <w:r>
        <w:rPr>
          <w:spacing w:val="-11"/>
        </w:rPr>
        <w:t> </w:t>
      </w:r>
      <w:r>
        <w:rPr/>
        <w:t>y</w:t>
      </w:r>
      <w:r>
        <w:rPr>
          <w:spacing w:val="-11"/>
        </w:rPr>
        <w:t> </w:t>
      </w:r>
      <w:r>
        <w:rPr/>
        <w:t>de</w:t>
      </w:r>
      <w:r>
        <w:rPr>
          <w:spacing w:val="-11"/>
        </w:rPr>
        <w:t> </w:t>
      </w:r>
      <w:r>
        <w:rPr/>
        <w:t>los</w:t>
      </w:r>
      <w:r>
        <w:rPr>
          <w:spacing w:val="-8"/>
        </w:rPr>
        <w:t> </w:t>
      </w:r>
      <w:r>
        <w:rPr/>
        <w:t>impuestos</w:t>
      </w:r>
      <w:r>
        <w:rPr>
          <w:spacing w:val="-9"/>
        </w:rPr>
        <w:t> </w:t>
      </w:r>
      <w:r>
        <w:rPr/>
        <w:t>aplicables</w:t>
      </w:r>
      <w:r>
        <w:rPr>
          <w:spacing w:val="-9"/>
        </w:rPr>
        <w:t> </w:t>
      </w:r>
      <w:r>
        <w:rPr/>
        <w:t>a</w:t>
      </w:r>
      <w:r>
        <w:rPr>
          <w:spacing w:val="-10"/>
        </w:rPr>
        <w:t> </w:t>
      </w:r>
      <w:r>
        <w:rPr/>
        <w:t>los</w:t>
      </w:r>
      <w:r>
        <w:rPr>
          <w:spacing w:val="-9"/>
        </w:rPr>
        <w:t> </w:t>
      </w:r>
      <w:r>
        <w:rPr/>
        <w:t>moteles</w:t>
      </w:r>
      <w:r>
        <w:rPr>
          <w:spacing w:val="-9"/>
        </w:rPr>
        <w:t> </w:t>
      </w:r>
      <w:r>
        <w:rPr/>
        <w:t>conforme</w:t>
      </w:r>
      <w:r>
        <w:rPr>
          <w:spacing w:val="-11"/>
        </w:rPr>
        <w:t> </w:t>
      </w:r>
      <w:r>
        <w:rPr/>
        <w:t>a</w:t>
      </w:r>
      <w:r>
        <w:rPr>
          <w:spacing w:val="-10"/>
        </w:rPr>
        <w:t> </w:t>
      </w:r>
      <w:r>
        <w:rPr/>
        <w:t>la</w:t>
      </w:r>
      <w:r>
        <w:rPr>
          <w:spacing w:val="-11"/>
        </w:rPr>
        <w:t> </w:t>
      </w:r>
      <w:r>
        <w:rPr/>
        <w:t>Ley</w:t>
      </w:r>
      <w:r>
        <w:rPr>
          <w:spacing w:val="-11"/>
        </w:rPr>
        <w:t> </w:t>
      </w:r>
      <w:r>
        <w:rPr/>
        <w:t>9326, cuya</w:t>
      </w:r>
      <w:r>
        <w:rPr>
          <w:spacing w:val="-7"/>
        </w:rPr>
        <w:t> </w:t>
      </w:r>
      <w:r>
        <w:rPr/>
        <w:t>captación</w:t>
      </w:r>
      <w:r>
        <w:rPr>
          <w:spacing w:val="-4"/>
        </w:rPr>
        <w:t> </w:t>
      </w:r>
      <w:r>
        <w:rPr/>
        <w:t>se</w:t>
      </w:r>
      <w:r>
        <w:rPr>
          <w:spacing w:val="-5"/>
        </w:rPr>
        <w:t> </w:t>
      </w:r>
      <w:r>
        <w:rPr/>
        <w:t>realiza</w:t>
      </w:r>
      <w:r>
        <w:rPr>
          <w:spacing w:val="-4"/>
        </w:rPr>
        <w:t> </w:t>
      </w:r>
      <w:r>
        <w:rPr/>
        <w:t>mediante</w:t>
      </w:r>
      <w:r>
        <w:rPr>
          <w:spacing w:val="-3"/>
        </w:rPr>
        <w:t> </w:t>
      </w:r>
      <w:r>
        <w:rPr/>
        <w:t>una</w:t>
      </w:r>
      <w:r>
        <w:rPr>
          <w:spacing w:val="-4"/>
        </w:rPr>
        <w:t> </w:t>
      </w:r>
      <w:r>
        <w:rPr/>
        <w:t>estructura</w:t>
      </w:r>
      <w:r>
        <w:rPr>
          <w:spacing w:val="-4"/>
        </w:rPr>
        <w:t> </w:t>
      </w:r>
      <w:r>
        <w:rPr/>
        <w:t>de</w:t>
      </w:r>
      <w:r>
        <w:rPr>
          <w:spacing w:val="-5"/>
        </w:rPr>
        <w:t> </w:t>
      </w:r>
      <w:r>
        <w:rPr/>
        <w:t>recaudación</w:t>
      </w:r>
      <w:r>
        <w:rPr>
          <w:spacing w:val="-3"/>
        </w:rPr>
        <w:t> </w:t>
      </w:r>
      <w:r>
        <w:rPr/>
        <w:t>basada</w:t>
      </w:r>
      <w:r>
        <w:rPr>
          <w:spacing w:val="-5"/>
        </w:rPr>
        <w:t> </w:t>
      </w:r>
      <w:r>
        <w:rPr/>
        <w:t>en</w:t>
      </w:r>
      <w:r>
        <w:rPr>
          <w:spacing w:val="-6"/>
        </w:rPr>
        <w:t> </w:t>
      </w:r>
      <w:r>
        <w:rPr/>
        <w:t>cuentas</w:t>
      </w:r>
      <w:r>
        <w:rPr>
          <w:spacing w:val="-5"/>
        </w:rPr>
        <w:t> </w:t>
      </w:r>
      <w:r>
        <w:rPr>
          <w:spacing w:val="-2"/>
        </w:rPr>
        <w:t>bancarias.</w:t>
      </w:r>
    </w:p>
    <w:p>
      <w:pPr>
        <w:pStyle w:val="BodyText"/>
        <w:spacing w:line="276" w:lineRule="auto" w:before="161"/>
        <w:ind w:left="1783" w:right="486"/>
        <w:jc w:val="both"/>
      </w:pPr>
      <w:r>
        <w:rPr/>
        <w:t>La</w:t>
      </w:r>
      <w:r>
        <w:rPr>
          <w:spacing w:val="-1"/>
        </w:rPr>
        <w:t> </w:t>
      </w:r>
      <w:r>
        <w:rPr/>
        <w:t>Unidad</w:t>
      </w:r>
      <w:r>
        <w:rPr>
          <w:spacing w:val="-1"/>
        </w:rPr>
        <w:t> </w:t>
      </w:r>
      <w:r>
        <w:rPr/>
        <w:t>de</w:t>
      </w:r>
      <w:r>
        <w:rPr>
          <w:spacing w:val="-2"/>
        </w:rPr>
        <w:t> </w:t>
      </w:r>
      <w:r>
        <w:rPr/>
        <w:t>Tesorería</w:t>
      </w:r>
      <w:r>
        <w:rPr>
          <w:spacing w:val="-1"/>
        </w:rPr>
        <w:t> </w:t>
      </w:r>
      <w:r>
        <w:rPr/>
        <w:t>elabora mensualmente</w:t>
      </w:r>
      <w:r>
        <w:rPr>
          <w:spacing w:val="-1"/>
        </w:rPr>
        <w:t> </w:t>
      </w:r>
      <w:r>
        <w:rPr/>
        <w:t>flujos de</w:t>
      </w:r>
      <w:r>
        <w:rPr>
          <w:spacing w:val="-1"/>
        </w:rPr>
        <w:t> </w:t>
      </w:r>
      <w:r>
        <w:rPr/>
        <w:t>efectivo reales, los cuales permiten a la Dirección Superior identificar desviaciones respecto a lo planificado y anticipar su impacto en</w:t>
      </w:r>
      <w:r>
        <w:rPr>
          <w:spacing w:val="-3"/>
        </w:rPr>
        <w:t> </w:t>
      </w:r>
      <w:r>
        <w:rPr/>
        <w:t>los</w:t>
      </w:r>
      <w:r>
        <w:rPr>
          <w:spacing w:val="-2"/>
        </w:rPr>
        <w:t> </w:t>
      </w:r>
      <w:r>
        <w:rPr/>
        <w:t>ingresos</w:t>
      </w:r>
      <w:r>
        <w:rPr>
          <w:spacing w:val="-2"/>
        </w:rPr>
        <w:t> </w:t>
      </w:r>
      <w:r>
        <w:rPr/>
        <w:t>futuros.</w:t>
      </w:r>
      <w:r>
        <w:rPr>
          <w:spacing w:val="-3"/>
        </w:rPr>
        <w:t> </w:t>
      </w:r>
      <w:r>
        <w:rPr/>
        <w:t>Estos</w:t>
      </w:r>
      <w:r>
        <w:rPr>
          <w:spacing w:val="-2"/>
        </w:rPr>
        <w:t> </w:t>
      </w:r>
      <w:r>
        <w:rPr/>
        <w:t>análisis</w:t>
      </w:r>
      <w:r>
        <w:rPr>
          <w:spacing w:val="-4"/>
        </w:rPr>
        <w:t> </w:t>
      </w:r>
      <w:r>
        <w:rPr/>
        <w:t>se</w:t>
      </w:r>
      <w:r>
        <w:rPr>
          <w:spacing w:val="-3"/>
        </w:rPr>
        <w:t> </w:t>
      </w:r>
      <w:r>
        <w:rPr/>
        <w:t>complementan</w:t>
      </w:r>
      <w:r>
        <w:rPr>
          <w:spacing w:val="-5"/>
        </w:rPr>
        <w:t> </w:t>
      </w:r>
      <w:r>
        <w:rPr/>
        <w:t>con</w:t>
      </w:r>
      <w:r>
        <w:rPr>
          <w:spacing w:val="-3"/>
        </w:rPr>
        <w:t> </w:t>
      </w:r>
      <w:r>
        <w:rPr/>
        <w:t>la</w:t>
      </w:r>
      <w:r>
        <w:rPr>
          <w:spacing w:val="-3"/>
        </w:rPr>
        <w:t> </w:t>
      </w:r>
      <w:r>
        <w:rPr/>
        <w:t>evaluación</w:t>
      </w:r>
      <w:r>
        <w:rPr>
          <w:spacing w:val="-3"/>
        </w:rPr>
        <w:t> </w:t>
      </w:r>
      <w:r>
        <w:rPr/>
        <w:t>de</w:t>
      </w:r>
      <w:r>
        <w:rPr>
          <w:spacing w:val="-4"/>
        </w:rPr>
        <w:t> </w:t>
      </w:r>
      <w:r>
        <w:rPr/>
        <w:t>factores</w:t>
      </w:r>
      <w:r>
        <w:rPr>
          <w:spacing w:val="-2"/>
        </w:rPr>
        <w:t> </w:t>
      </w:r>
      <w:r>
        <w:rPr/>
        <w:t>externos, tales como la evolución de la economía nacional e internacional, los ciclos del turismo y la salud, así como cambios en la normativa y en las políticas públicas, entre otros elementos relevantes para la toma de decisiones.</w:t>
      </w:r>
    </w:p>
    <w:p>
      <w:pPr>
        <w:pStyle w:val="BodyText"/>
        <w:spacing w:after="0" w:line="276"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5104">
                <wp:simplePos x="0" y="0"/>
                <wp:positionH relativeFrom="page">
                  <wp:posOffset>9525</wp:posOffset>
                </wp:positionH>
                <wp:positionV relativeFrom="page">
                  <wp:posOffset>297208</wp:posOffset>
                </wp:positionV>
                <wp:extent cx="7762875" cy="9748520"/>
                <wp:effectExtent l="0" t="0" r="0" b="0"/>
                <wp:wrapNone/>
                <wp:docPr id="1229" name="Group 1229"/>
                <wp:cNvGraphicFramePr>
                  <a:graphicFrameLocks/>
                </wp:cNvGraphicFramePr>
                <a:graphic>
                  <a:graphicData uri="http://schemas.microsoft.com/office/word/2010/wordprocessingGroup">
                    <wpg:wgp>
                      <wpg:cNvPr id="1229" name="Group 1229"/>
                      <wpg:cNvGrpSpPr/>
                      <wpg:grpSpPr>
                        <a:xfrm>
                          <a:off x="0" y="0"/>
                          <a:ext cx="7762875" cy="9748520"/>
                          <a:chExt cx="7762875" cy="9748520"/>
                        </a:xfrm>
                      </wpg:grpSpPr>
                      <pic:pic>
                        <pic:nvPicPr>
                          <pic:cNvPr id="1230" name="Image 1230"/>
                          <pic:cNvPicPr/>
                        </pic:nvPicPr>
                        <pic:blipFill>
                          <a:blip r:embed="rId5" cstate="print"/>
                          <a:stretch>
                            <a:fillRect/>
                          </a:stretch>
                        </pic:blipFill>
                        <pic:spPr>
                          <a:xfrm>
                            <a:off x="0" y="0"/>
                            <a:ext cx="7762874" cy="9748489"/>
                          </a:xfrm>
                          <a:prstGeom prst="rect">
                            <a:avLst/>
                          </a:prstGeom>
                        </pic:spPr>
                      </pic:pic>
                      <wps:wsp>
                        <wps:cNvPr id="1231" name="Graphic 1231"/>
                        <wps:cNvSpPr/>
                        <wps:spPr>
                          <a:xfrm>
                            <a:off x="1053007" y="990837"/>
                            <a:ext cx="6013450" cy="7835900"/>
                          </a:xfrm>
                          <a:custGeom>
                            <a:avLst/>
                            <a:gdLst/>
                            <a:ahLst/>
                            <a:cxnLst/>
                            <a:rect l="l" t="t" r="r" b="b"/>
                            <a:pathLst>
                              <a:path w="6013450" h="7835900">
                                <a:moveTo>
                                  <a:pt x="21336" y="132651"/>
                                </a:moveTo>
                                <a:lnTo>
                                  <a:pt x="15240" y="132651"/>
                                </a:lnTo>
                                <a:lnTo>
                                  <a:pt x="15240" y="7829740"/>
                                </a:lnTo>
                                <a:lnTo>
                                  <a:pt x="21336" y="7829740"/>
                                </a:lnTo>
                                <a:lnTo>
                                  <a:pt x="21336" y="132651"/>
                                </a:lnTo>
                                <a:close/>
                              </a:path>
                              <a:path w="6013450" h="7835900">
                                <a:moveTo>
                                  <a:pt x="5649214" y="0"/>
                                </a:moveTo>
                                <a:lnTo>
                                  <a:pt x="0" y="0"/>
                                </a:lnTo>
                                <a:lnTo>
                                  <a:pt x="0" y="9131"/>
                                </a:lnTo>
                                <a:lnTo>
                                  <a:pt x="5649214" y="9131"/>
                                </a:lnTo>
                                <a:lnTo>
                                  <a:pt x="5649214" y="0"/>
                                </a:lnTo>
                                <a:close/>
                              </a:path>
                              <a:path w="6013450" h="7835900">
                                <a:moveTo>
                                  <a:pt x="6013399" y="7829753"/>
                                </a:moveTo>
                                <a:lnTo>
                                  <a:pt x="6007354" y="7829753"/>
                                </a:lnTo>
                                <a:lnTo>
                                  <a:pt x="21336" y="7829753"/>
                                </a:lnTo>
                                <a:lnTo>
                                  <a:pt x="15240" y="7829753"/>
                                </a:lnTo>
                                <a:lnTo>
                                  <a:pt x="15240" y="7835836"/>
                                </a:lnTo>
                                <a:lnTo>
                                  <a:pt x="21336" y="7835836"/>
                                </a:lnTo>
                                <a:lnTo>
                                  <a:pt x="6007303" y="7835836"/>
                                </a:lnTo>
                                <a:lnTo>
                                  <a:pt x="6013399" y="7835836"/>
                                </a:lnTo>
                                <a:lnTo>
                                  <a:pt x="6013399" y="7829753"/>
                                </a:lnTo>
                                <a:close/>
                              </a:path>
                              <a:path w="6013450" h="7835900">
                                <a:moveTo>
                                  <a:pt x="6013399" y="132651"/>
                                </a:moveTo>
                                <a:lnTo>
                                  <a:pt x="6007303" y="132651"/>
                                </a:lnTo>
                                <a:lnTo>
                                  <a:pt x="6007303" y="7829740"/>
                                </a:lnTo>
                                <a:lnTo>
                                  <a:pt x="6013399" y="7829740"/>
                                </a:lnTo>
                                <a:lnTo>
                                  <a:pt x="6013399" y="132651"/>
                                </a:lnTo>
                                <a:close/>
                              </a:path>
                              <a:path w="6013450" h="7835900">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1376" id="docshapegroup1173" coordorigin="15,468" coordsize="12225,15352">
                <v:shape style="position:absolute;left:15;top:468;width:12225;height:15352" type="#_x0000_t75" id="docshape1174" stroked="false">
                  <v:imagedata r:id="rId5" o:title=""/>
                </v:shape>
                <v:shape style="position:absolute;left:1673;top:2028;width:9470;height:12340" id="docshape1175" coordorigin="1673,2028" coordsize="9470,12340" path="m1707,2237l1697,2237,1697,14359,1707,14359,1707,2237xm10570,2028l1673,2028,1673,2043,10570,2043,10570,2028xm11143,14359l11134,14359,11134,14359,1707,14359,1697,14359,1697,14368,1707,14368,11134,14368,11134,14368,11143,14368,11143,14359xm11143,2237l11134,2237,11134,14359,11143,14359,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242</w:t>
      </w:r>
    </w:p>
    <w:p>
      <w:pPr>
        <w:pStyle w:val="Heading6"/>
        <w:numPr>
          <w:ilvl w:val="0"/>
          <w:numId w:val="106"/>
        </w:numPr>
        <w:tabs>
          <w:tab w:pos="1796" w:val="left" w:leader="none"/>
        </w:tabs>
        <w:spacing w:line="240" w:lineRule="auto" w:before="227" w:after="0"/>
        <w:ind w:left="1796" w:right="0" w:hanging="358"/>
        <w:jc w:val="left"/>
      </w:pPr>
      <w:r>
        <w:rPr/>
        <w:t>Recursos</w:t>
      </w:r>
      <w:r>
        <w:rPr>
          <w:spacing w:val="-6"/>
        </w:rPr>
        <w:t> </w:t>
      </w:r>
      <w:r>
        <w:rPr/>
        <w:t>provenientes</w:t>
      </w:r>
      <w:r>
        <w:rPr>
          <w:spacing w:val="-6"/>
        </w:rPr>
        <w:t> </w:t>
      </w:r>
      <w:r>
        <w:rPr/>
        <w:t>de</w:t>
      </w:r>
      <w:r>
        <w:rPr>
          <w:spacing w:val="-5"/>
        </w:rPr>
        <w:t> </w:t>
      </w:r>
      <w:r>
        <w:rPr/>
        <w:t>Empresas</w:t>
      </w:r>
      <w:r>
        <w:rPr>
          <w:spacing w:val="-8"/>
        </w:rPr>
        <w:t> </w:t>
      </w:r>
      <w:r>
        <w:rPr/>
        <w:t>Comerciales</w:t>
      </w:r>
      <w:r>
        <w:rPr>
          <w:spacing w:val="-6"/>
        </w:rPr>
        <w:t> </w:t>
      </w:r>
      <w:r>
        <w:rPr/>
        <w:t>(Tiendas</w:t>
      </w:r>
      <w:r>
        <w:rPr>
          <w:spacing w:val="-5"/>
        </w:rPr>
        <w:t> </w:t>
      </w:r>
      <w:r>
        <w:rPr>
          <w:spacing w:val="-2"/>
        </w:rPr>
        <w:t>Libres).</w:t>
      </w:r>
    </w:p>
    <w:p>
      <w:pPr>
        <w:pStyle w:val="BodyText"/>
        <w:spacing w:before="77"/>
        <w:rPr>
          <w:b/>
        </w:rPr>
      </w:pPr>
    </w:p>
    <w:p>
      <w:pPr>
        <w:pStyle w:val="BodyText"/>
        <w:spacing w:line="276" w:lineRule="auto"/>
        <w:ind w:left="1783" w:right="489"/>
        <w:jc w:val="both"/>
      </w:pPr>
      <w:r>
        <w:rPr/>
        <w:t>La Ley 4760, en su artículo 14 bis y sus reformas, otorga al IMAS la explotación exclusiva de puestos aduaneros libres de derechos en puertos, fronteras y aeropuertos internacionales.</w:t>
      </w:r>
    </w:p>
    <w:p>
      <w:pPr>
        <w:pStyle w:val="BodyText"/>
        <w:spacing w:line="276" w:lineRule="auto" w:before="159"/>
        <w:ind w:left="1783" w:right="484"/>
        <w:jc w:val="both"/>
      </w:pPr>
      <w:r>
        <w:rPr/>
        <w:t>En este marco, la institución cuenta con el Departamento de Empresas Comerciales, el cual desarrolla actividades de carácter comercial no esencial, conforme a lo señalado por la Procuraduría General de la República en el dictamen C-055-2008 del 22 de febrero de 2008. Actualmente, el IMAS opera tiendas libres ubicadas en el Aeropuerto Internacional Juan Santamaría y en el Aeropuerto Internacional Daniel Oduber Quirós.</w:t>
      </w:r>
    </w:p>
    <w:p>
      <w:pPr>
        <w:pStyle w:val="BodyText"/>
        <w:spacing w:line="276" w:lineRule="auto" w:before="161"/>
        <w:ind w:left="1783" w:right="485"/>
        <w:jc w:val="both"/>
      </w:pPr>
      <w:r>
        <w:rPr/>
        <w:t>De las utilidades generadas por estas actividades, el IMAS percibe el 80%, recursos que se incorporan a la caja institucional y se destinan al financiamiento de programas sociales. La Unidad</w:t>
      </w:r>
      <w:r>
        <w:rPr>
          <w:spacing w:val="-10"/>
        </w:rPr>
        <w:t> </w:t>
      </w:r>
      <w:r>
        <w:rPr/>
        <w:t>de</w:t>
      </w:r>
      <w:r>
        <w:rPr>
          <w:spacing w:val="-11"/>
        </w:rPr>
        <w:t> </w:t>
      </w:r>
      <w:r>
        <w:rPr/>
        <w:t>Tesorería</w:t>
      </w:r>
      <w:r>
        <w:rPr>
          <w:spacing w:val="-10"/>
        </w:rPr>
        <w:t> </w:t>
      </w:r>
      <w:r>
        <w:rPr/>
        <w:t>elabora</w:t>
      </w:r>
      <w:r>
        <w:rPr>
          <w:spacing w:val="-10"/>
        </w:rPr>
        <w:t> </w:t>
      </w:r>
      <w:r>
        <w:rPr/>
        <w:t>mensualmente</w:t>
      </w:r>
      <w:r>
        <w:rPr>
          <w:spacing w:val="-10"/>
        </w:rPr>
        <w:t> </w:t>
      </w:r>
      <w:r>
        <w:rPr/>
        <w:t>informes</w:t>
      </w:r>
      <w:r>
        <w:rPr>
          <w:spacing w:val="-9"/>
        </w:rPr>
        <w:t> </w:t>
      </w:r>
      <w:r>
        <w:rPr/>
        <w:t>de</w:t>
      </w:r>
      <w:r>
        <w:rPr>
          <w:spacing w:val="-11"/>
        </w:rPr>
        <w:t> </w:t>
      </w:r>
      <w:r>
        <w:rPr/>
        <w:t>flujo</w:t>
      </w:r>
      <w:r>
        <w:rPr>
          <w:spacing w:val="-9"/>
        </w:rPr>
        <w:t> </w:t>
      </w:r>
      <w:r>
        <w:rPr/>
        <w:t>de</w:t>
      </w:r>
      <w:r>
        <w:rPr>
          <w:spacing w:val="-11"/>
        </w:rPr>
        <w:t> </w:t>
      </w:r>
      <w:r>
        <w:rPr/>
        <w:t>efectivo</w:t>
      </w:r>
      <w:r>
        <w:rPr>
          <w:spacing w:val="-9"/>
        </w:rPr>
        <w:t> </w:t>
      </w:r>
      <w:r>
        <w:rPr/>
        <w:t>en</w:t>
      </w:r>
      <w:r>
        <w:rPr>
          <w:spacing w:val="-9"/>
        </w:rPr>
        <w:t> </w:t>
      </w:r>
      <w:r>
        <w:rPr/>
        <w:t>colones</w:t>
      </w:r>
      <w:r>
        <w:rPr>
          <w:spacing w:val="-9"/>
        </w:rPr>
        <w:t> </w:t>
      </w:r>
      <w:r>
        <w:rPr/>
        <w:t>y</w:t>
      </w:r>
      <w:r>
        <w:rPr>
          <w:spacing w:val="-11"/>
        </w:rPr>
        <w:t> </w:t>
      </w:r>
      <w:r>
        <w:rPr/>
        <w:t>dólares, los cuales permiten monitorear el desempeño del negocio de Tiendas Libres y anticipar la disponibilidad</w:t>
      </w:r>
      <w:r>
        <w:rPr>
          <w:spacing w:val="-16"/>
        </w:rPr>
        <w:t> </w:t>
      </w:r>
      <w:r>
        <w:rPr/>
        <w:t>de</w:t>
      </w:r>
      <w:r>
        <w:rPr>
          <w:spacing w:val="-14"/>
        </w:rPr>
        <w:t> </w:t>
      </w:r>
      <w:r>
        <w:rPr/>
        <w:t>recursos,</w:t>
      </w:r>
      <w:r>
        <w:rPr>
          <w:spacing w:val="-14"/>
        </w:rPr>
        <w:t> </w:t>
      </w:r>
      <w:r>
        <w:rPr/>
        <w:t>considerando</w:t>
      </w:r>
      <w:r>
        <w:rPr>
          <w:spacing w:val="-13"/>
        </w:rPr>
        <w:t> </w:t>
      </w:r>
      <w:r>
        <w:rPr/>
        <w:t>tanto</w:t>
      </w:r>
      <w:r>
        <w:rPr>
          <w:spacing w:val="-14"/>
        </w:rPr>
        <w:t> </w:t>
      </w:r>
      <w:r>
        <w:rPr/>
        <w:t>la</w:t>
      </w:r>
      <w:r>
        <w:rPr>
          <w:spacing w:val="-14"/>
        </w:rPr>
        <w:t> </w:t>
      </w:r>
      <w:r>
        <w:rPr/>
        <w:t>dinámica</w:t>
      </w:r>
      <w:r>
        <w:rPr>
          <w:spacing w:val="-14"/>
        </w:rPr>
        <w:t> </w:t>
      </w:r>
      <w:r>
        <w:rPr/>
        <w:t>del</w:t>
      </w:r>
      <w:r>
        <w:rPr>
          <w:spacing w:val="-13"/>
        </w:rPr>
        <w:t> </w:t>
      </w:r>
      <w:r>
        <w:rPr/>
        <w:t>giro</w:t>
      </w:r>
      <w:r>
        <w:rPr>
          <w:spacing w:val="-14"/>
        </w:rPr>
        <w:t> </w:t>
      </w:r>
      <w:r>
        <w:rPr/>
        <w:t>comercial</w:t>
      </w:r>
      <w:r>
        <w:rPr>
          <w:spacing w:val="-14"/>
        </w:rPr>
        <w:t> </w:t>
      </w:r>
      <w:r>
        <w:rPr/>
        <w:t>como</w:t>
      </w:r>
      <w:r>
        <w:rPr>
          <w:spacing w:val="-14"/>
        </w:rPr>
        <w:t> </w:t>
      </w:r>
      <w:r>
        <w:rPr/>
        <w:t>los</w:t>
      </w:r>
      <w:r>
        <w:rPr>
          <w:spacing w:val="-13"/>
        </w:rPr>
        <w:t> </w:t>
      </w:r>
      <w:r>
        <w:rPr/>
        <w:t>factores externos relevantes.</w:t>
      </w:r>
    </w:p>
    <w:p>
      <w:pPr>
        <w:pStyle w:val="BodyText"/>
        <w:spacing w:before="197"/>
      </w:pPr>
    </w:p>
    <w:p>
      <w:pPr>
        <w:pStyle w:val="Heading6"/>
        <w:numPr>
          <w:ilvl w:val="0"/>
          <w:numId w:val="106"/>
        </w:numPr>
        <w:tabs>
          <w:tab w:pos="1797" w:val="left" w:leader="none"/>
        </w:tabs>
        <w:spacing w:line="240" w:lineRule="auto" w:before="0" w:after="0"/>
        <w:ind w:left="1797" w:right="0" w:hanging="359"/>
        <w:jc w:val="left"/>
      </w:pPr>
      <w:r>
        <w:rPr/>
        <w:t>Transferencias</w:t>
      </w:r>
      <w:r>
        <w:rPr>
          <w:spacing w:val="-7"/>
        </w:rPr>
        <w:t> </w:t>
      </w:r>
      <w:r>
        <w:rPr/>
        <w:t>del</w:t>
      </w:r>
      <w:r>
        <w:rPr>
          <w:spacing w:val="-5"/>
        </w:rPr>
        <w:t> </w:t>
      </w:r>
      <w:r>
        <w:rPr/>
        <w:t>Gobierno</w:t>
      </w:r>
      <w:r>
        <w:rPr>
          <w:spacing w:val="-5"/>
        </w:rPr>
        <w:t> </w:t>
      </w:r>
      <w:r>
        <w:rPr/>
        <w:t>Central</w:t>
      </w:r>
      <w:r>
        <w:rPr>
          <w:spacing w:val="-5"/>
        </w:rPr>
        <w:t> </w:t>
      </w:r>
      <w:r>
        <w:rPr/>
        <w:t>destinadas</w:t>
      </w:r>
      <w:r>
        <w:rPr>
          <w:spacing w:val="-5"/>
        </w:rPr>
        <w:t> </w:t>
      </w:r>
      <w:r>
        <w:rPr/>
        <w:t>a</w:t>
      </w:r>
      <w:r>
        <w:rPr>
          <w:spacing w:val="-5"/>
        </w:rPr>
        <w:t> </w:t>
      </w:r>
      <w:r>
        <w:rPr/>
        <w:t>programas</w:t>
      </w:r>
      <w:r>
        <w:rPr>
          <w:spacing w:val="-5"/>
        </w:rPr>
        <w:t> </w:t>
      </w:r>
      <w:r>
        <w:rPr/>
        <w:t>sociales</w:t>
      </w:r>
      <w:r>
        <w:rPr>
          <w:spacing w:val="-5"/>
        </w:rPr>
        <w:t> </w:t>
      </w:r>
      <w:r>
        <w:rPr>
          <w:spacing w:val="-2"/>
        </w:rPr>
        <w:t>específicos.</w:t>
      </w:r>
    </w:p>
    <w:p>
      <w:pPr>
        <w:pStyle w:val="BodyText"/>
        <w:spacing w:line="276" w:lineRule="auto" w:before="198"/>
        <w:ind w:left="1783" w:right="485"/>
        <w:jc w:val="both"/>
      </w:pPr>
      <w:r>
        <w:rPr/>
        <w:t>Los recursos provenientes del Gobierno Central corresponden a transferencias asignadas mediante el Presupuesto Nacional, tanto ordinario como extraordinario, por parte de ministerios e instituciones públicas para la ejecución de programas sociales. Entre estos, destacan los recursos del Programa Avancemos, financiados por el Ministerio de Educación Pública y el Fondo de Desarrollo Social y Asignaciones Familiares (FODESAF).</w:t>
      </w:r>
    </w:p>
    <w:p>
      <w:pPr>
        <w:pStyle w:val="BodyText"/>
        <w:spacing w:line="276" w:lineRule="auto" w:before="161"/>
        <w:ind w:left="1783" w:right="486"/>
        <w:jc w:val="both"/>
      </w:pPr>
      <w:r>
        <w:rPr/>
        <w:t>Dichos recursos se depositan en las cuentas del IMAS bajo el esquema de Caja Única. Su gestión</w:t>
      </w:r>
      <w:r>
        <w:rPr>
          <w:spacing w:val="-1"/>
        </w:rPr>
        <w:t> </w:t>
      </w:r>
      <w:r>
        <w:rPr/>
        <w:t>se realiza mediante el Sistema de</w:t>
      </w:r>
      <w:r>
        <w:rPr>
          <w:spacing w:val="-1"/>
        </w:rPr>
        <w:t> </w:t>
      </w:r>
      <w:r>
        <w:rPr/>
        <w:t>Atención de</w:t>
      </w:r>
      <w:r>
        <w:rPr>
          <w:spacing w:val="-3"/>
        </w:rPr>
        <w:t> </w:t>
      </w:r>
      <w:r>
        <w:rPr/>
        <w:t>Beneficiarios (SABEN), el cual permite controlar</w:t>
      </w:r>
      <w:r>
        <w:rPr>
          <w:spacing w:val="-14"/>
        </w:rPr>
        <w:t> </w:t>
      </w:r>
      <w:r>
        <w:rPr/>
        <w:t>la</w:t>
      </w:r>
      <w:r>
        <w:rPr>
          <w:spacing w:val="-14"/>
        </w:rPr>
        <w:t> </w:t>
      </w:r>
      <w:r>
        <w:rPr/>
        <w:t>ejecución</w:t>
      </w:r>
      <w:r>
        <w:rPr>
          <w:spacing w:val="-14"/>
        </w:rPr>
        <w:t> </w:t>
      </w:r>
      <w:r>
        <w:rPr/>
        <w:t>presupuestaria,</w:t>
      </w:r>
      <w:r>
        <w:rPr>
          <w:spacing w:val="-13"/>
        </w:rPr>
        <w:t> </w:t>
      </w:r>
      <w:r>
        <w:rPr/>
        <w:t>la</w:t>
      </w:r>
      <w:r>
        <w:rPr>
          <w:spacing w:val="-14"/>
        </w:rPr>
        <w:t> </w:t>
      </w:r>
      <w:r>
        <w:rPr/>
        <w:t>disponibilidad</w:t>
      </w:r>
      <w:r>
        <w:rPr>
          <w:spacing w:val="-14"/>
        </w:rPr>
        <w:t> </w:t>
      </w:r>
      <w:r>
        <w:rPr/>
        <w:t>de</w:t>
      </w:r>
      <w:r>
        <w:rPr>
          <w:spacing w:val="-14"/>
        </w:rPr>
        <w:t> </w:t>
      </w:r>
      <w:r>
        <w:rPr/>
        <w:t>efectivo</w:t>
      </w:r>
      <w:r>
        <w:rPr>
          <w:spacing w:val="-13"/>
        </w:rPr>
        <w:t> </w:t>
      </w:r>
      <w:r>
        <w:rPr/>
        <w:t>por</w:t>
      </w:r>
      <w:r>
        <w:rPr>
          <w:spacing w:val="-14"/>
        </w:rPr>
        <w:t> </w:t>
      </w:r>
      <w:r>
        <w:rPr/>
        <w:t>fuente</w:t>
      </w:r>
      <w:r>
        <w:rPr>
          <w:spacing w:val="-14"/>
        </w:rPr>
        <w:t> </w:t>
      </w:r>
      <w:r>
        <w:rPr/>
        <w:t>de</w:t>
      </w:r>
      <w:r>
        <w:rPr>
          <w:spacing w:val="-14"/>
        </w:rPr>
        <w:t> </w:t>
      </w:r>
      <w:r>
        <w:rPr/>
        <w:t>financiamiento y los procesos de</w:t>
      </w:r>
      <w:r>
        <w:rPr>
          <w:spacing w:val="-1"/>
        </w:rPr>
        <w:t> </w:t>
      </w:r>
      <w:r>
        <w:rPr/>
        <w:t>pago. Este</w:t>
      </w:r>
      <w:r>
        <w:rPr>
          <w:spacing w:val="-2"/>
        </w:rPr>
        <w:t> </w:t>
      </w:r>
      <w:r>
        <w:rPr/>
        <w:t>sistema se integra con el Sistema de</w:t>
      </w:r>
      <w:r>
        <w:rPr>
          <w:spacing w:val="-1"/>
        </w:rPr>
        <w:t> </w:t>
      </w:r>
      <w:r>
        <w:rPr/>
        <w:t>Información de</w:t>
      </w:r>
      <w:r>
        <w:rPr>
          <w:spacing w:val="-1"/>
        </w:rPr>
        <w:t> </w:t>
      </w:r>
      <w:r>
        <w:rPr/>
        <w:t>la Población Objetivo</w:t>
      </w:r>
      <w:r>
        <w:rPr>
          <w:spacing w:val="-6"/>
        </w:rPr>
        <w:t> </w:t>
      </w:r>
      <w:r>
        <w:rPr/>
        <w:t>(SIPO)</w:t>
      </w:r>
      <w:r>
        <w:rPr>
          <w:spacing w:val="-6"/>
        </w:rPr>
        <w:t> </w:t>
      </w:r>
      <w:r>
        <w:rPr/>
        <w:t>y</w:t>
      </w:r>
      <w:r>
        <w:rPr>
          <w:spacing w:val="-7"/>
        </w:rPr>
        <w:t> </w:t>
      </w:r>
      <w:r>
        <w:rPr/>
        <w:t>con</w:t>
      </w:r>
      <w:r>
        <w:rPr>
          <w:spacing w:val="-6"/>
        </w:rPr>
        <w:t> </w:t>
      </w:r>
      <w:r>
        <w:rPr/>
        <w:t>la</w:t>
      </w:r>
      <w:r>
        <w:rPr>
          <w:spacing w:val="-7"/>
        </w:rPr>
        <w:t> </w:t>
      </w:r>
      <w:r>
        <w:rPr/>
        <w:t>plataforma</w:t>
      </w:r>
      <w:r>
        <w:rPr>
          <w:spacing w:val="-7"/>
        </w:rPr>
        <w:t> </w:t>
      </w:r>
      <w:r>
        <w:rPr/>
        <w:t>del</w:t>
      </w:r>
      <w:r>
        <w:rPr>
          <w:spacing w:val="-7"/>
        </w:rPr>
        <w:t> </w:t>
      </w:r>
      <w:r>
        <w:rPr/>
        <w:t>Sistema</w:t>
      </w:r>
      <w:r>
        <w:rPr>
          <w:spacing w:val="-7"/>
        </w:rPr>
        <w:t> </w:t>
      </w:r>
      <w:r>
        <w:rPr/>
        <w:t>Nacional</w:t>
      </w:r>
      <w:r>
        <w:rPr>
          <w:spacing w:val="-7"/>
        </w:rPr>
        <w:t> </w:t>
      </w:r>
      <w:r>
        <w:rPr/>
        <w:t>de</w:t>
      </w:r>
      <w:r>
        <w:rPr>
          <w:spacing w:val="-8"/>
        </w:rPr>
        <w:t> </w:t>
      </w:r>
      <w:r>
        <w:rPr/>
        <w:t>Información</w:t>
      </w:r>
      <w:r>
        <w:rPr>
          <w:spacing w:val="-6"/>
        </w:rPr>
        <w:t> </w:t>
      </w:r>
      <w:r>
        <w:rPr/>
        <w:t>y</w:t>
      </w:r>
      <w:r>
        <w:rPr>
          <w:spacing w:val="-7"/>
        </w:rPr>
        <w:t> </w:t>
      </w:r>
      <w:r>
        <w:rPr/>
        <w:t>Registro</w:t>
      </w:r>
      <w:r>
        <w:rPr>
          <w:spacing w:val="-6"/>
        </w:rPr>
        <w:t> </w:t>
      </w:r>
      <w:r>
        <w:rPr/>
        <w:t>Único</w:t>
      </w:r>
      <w:r>
        <w:rPr>
          <w:spacing w:val="-6"/>
        </w:rPr>
        <w:t> </w:t>
      </w:r>
      <w:r>
        <w:rPr/>
        <w:t>de Beneficiarios del Estado (SINIRUBE).</w:t>
      </w:r>
    </w:p>
    <w:p>
      <w:pPr>
        <w:pStyle w:val="BodyText"/>
        <w:spacing w:line="276" w:lineRule="auto" w:before="159"/>
        <w:ind w:left="1783" w:right="485"/>
        <w:jc w:val="both"/>
      </w:pPr>
      <w:r>
        <w:rPr/>
        <w:t>El proceso abarca desde la recepción de los recursos hasta la transferencia de los subsidios a las personas beneficiarias, utilizando la plataforma SUPRES (Web Banking–Tesoro Digital) a través del SINPE del Banco Central.</w:t>
      </w:r>
    </w:p>
    <w:p>
      <w:pPr>
        <w:pStyle w:val="BodyText"/>
        <w:spacing w:line="276" w:lineRule="auto" w:before="163"/>
        <w:ind w:left="1783" w:right="489"/>
        <w:jc w:val="both"/>
      </w:pPr>
      <w:r>
        <w:rPr/>
        <w:t>Asimismo,</w:t>
      </w:r>
      <w:r>
        <w:rPr>
          <w:spacing w:val="-12"/>
        </w:rPr>
        <w:t> </w:t>
      </w:r>
      <w:r>
        <w:rPr/>
        <w:t>de</w:t>
      </w:r>
      <w:r>
        <w:rPr>
          <w:spacing w:val="-13"/>
        </w:rPr>
        <w:t> </w:t>
      </w:r>
      <w:r>
        <w:rPr/>
        <w:t>manera</w:t>
      </w:r>
      <w:r>
        <w:rPr>
          <w:spacing w:val="-12"/>
        </w:rPr>
        <w:t> </w:t>
      </w:r>
      <w:r>
        <w:rPr/>
        <w:t>mensual</w:t>
      </w:r>
      <w:r>
        <w:rPr>
          <w:spacing w:val="-12"/>
        </w:rPr>
        <w:t> </w:t>
      </w:r>
      <w:r>
        <w:rPr/>
        <w:t>se</w:t>
      </w:r>
      <w:r>
        <w:rPr>
          <w:spacing w:val="-13"/>
        </w:rPr>
        <w:t> </w:t>
      </w:r>
      <w:r>
        <w:rPr/>
        <w:t>realizan</w:t>
      </w:r>
      <w:r>
        <w:rPr>
          <w:spacing w:val="-10"/>
        </w:rPr>
        <w:t> </w:t>
      </w:r>
      <w:r>
        <w:rPr/>
        <w:t>programaciones</w:t>
      </w:r>
      <w:r>
        <w:rPr>
          <w:spacing w:val="-11"/>
        </w:rPr>
        <w:t> </w:t>
      </w:r>
      <w:r>
        <w:rPr/>
        <w:t>de</w:t>
      </w:r>
      <w:r>
        <w:rPr>
          <w:spacing w:val="-13"/>
        </w:rPr>
        <w:t> </w:t>
      </w:r>
      <w:r>
        <w:rPr/>
        <w:t>flujo</w:t>
      </w:r>
      <w:r>
        <w:rPr>
          <w:spacing w:val="-11"/>
        </w:rPr>
        <w:t> </w:t>
      </w:r>
      <w:r>
        <w:rPr/>
        <w:t>de</w:t>
      </w:r>
      <w:r>
        <w:rPr>
          <w:spacing w:val="-11"/>
        </w:rPr>
        <w:t> </w:t>
      </w:r>
      <w:r>
        <w:rPr/>
        <w:t>efectivo</w:t>
      </w:r>
      <w:r>
        <w:rPr>
          <w:spacing w:val="-11"/>
        </w:rPr>
        <w:t> </w:t>
      </w:r>
      <w:r>
        <w:rPr/>
        <w:t>en</w:t>
      </w:r>
      <w:r>
        <w:rPr>
          <w:spacing w:val="-12"/>
        </w:rPr>
        <w:t> </w:t>
      </w:r>
      <w:r>
        <w:rPr/>
        <w:t>coordinación con la Tesorería Nacional, complementadas con ajustes internos continuos por parte de la Unidad de Tesorería, con el fin de asegurar una gestión eficiente de los desembolsos.</w:t>
      </w:r>
    </w:p>
    <w:p>
      <w:pPr>
        <w:pStyle w:val="Heading6"/>
        <w:numPr>
          <w:ilvl w:val="0"/>
          <w:numId w:val="105"/>
        </w:numPr>
        <w:tabs>
          <w:tab w:pos="1448" w:val="left" w:leader="none"/>
        </w:tabs>
        <w:spacing w:line="240" w:lineRule="auto" w:before="159" w:after="0"/>
        <w:ind w:left="1448" w:right="0" w:hanging="358"/>
        <w:jc w:val="left"/>
      </w:pPr>
      <w:r>
        <w:rPr/>
        <w:t>Proceso</w:t>
      </w:r>
      <w:r>
        <w:rPr>
          <w:spacing w:val="-3"/>
        </w:rPr>
        <w:t> </w:t>
      </w:r>
      <w:r>
        <w:rPr/>
        <w:t>común</w:t>
      </w:r>
      <w:r>
        <w:rPr>
          <w:spacing w:val="-3"/>
        </w:rPr>
        <w:t> </w:t>
      </w:r>
      <w:r>
        <w:rPr/>
        <w:t>a</w:t>
      </w:r>
      <w:r>
        <w:rPr>
          <w:spacing w:val="-3"/>
        </w:rPr>
        <w:t> </w:t>
      </w:r>
      <w:r>
        <w:rPr/>
        <w:t>todas</w:t>
      </w:r>
      <w:r>
        <w:rPr>
          <w:spacing w:val="-2"/>
        </w:rPr>
        <w:t> </w:t>
      </w:r>
      <w:r>
        <w:rPr/>
        <w:t>las</w:t>
      </w:r>
      <w:r>
        <w:rPr>
          <w:spacing w:val="-4"/>
        </w:rPr>
        <w:t> </w:t>
      </w:r>
      <w:r>
        <w:rPr/>
        <w:t>fuentes</w:t>
      </w:r>
      <w:r>
        <w:rPr>
          <w:spacing w:val="-2"/>
        </w:rPr>
        <w:t> </w:t>
      </w:r>
      <w:r>
        <w:rPr/>
        <w:t>de</w:t>
      </w:r>
      <w:r>
        <w:rPr>
          <w:spacing w:val="-1"/>
        </w:rPr>
        <w:t> </w:t>
      </w:r>
      <w:r>
        <w:rPr>
          <w:spacing w:val="-2"/>
        </w:rPr>
        <w:t>financiamiento</w:t>
      </w:r>
    </w:p>
    <w:p>
      <w:pPr>
        <w:pStyle w:val="BodyText"/>
        <w:spacing w:line="276" w:lineRule="auto" w:before="197"/>
        <w:ind w:left="1438"/>
      </w:pPr>
      <w:r>
        <w:rPr/>
        <w:t>El</w:t>
      </w:r>
      <w:r>
        <w:rPr>
          <w:spacing w:val="29"/>
        </w:rPr>
        <w:t> </w:t>
      </w:r>
      <w:r>
        <w:rPr/>
        <w:t>análisis</w:t>
      </w:r>
      <w:r>
        <w:rPr>
          <w:spacing w:val="30"/>
        </w:rPr>
        <w:t> </w:t>
      </w:r>
      <w:r>
        <w:rPr/>
        <w:t>del</w:t>
      </w:r>
      <w:r>
        <w:rPr>
          <w:spacing w:val="29"/>
        </w:rPr>
        <w:t> </w:t>
      </w:r>
      <w:r>
        <w:rPr/>
        <w:t>flujo</w:t>
      </w:r>
      <w:r>
        <w:rPr>
          <w:spacing w:val="30"/>
        </w:rPr>
        <w:t> </w:t>
      </w:r>
      <w:r>
        <w:rPr/>
        <w:t>de</w:t>
      </w:r>
      <w:r>
        <w:rPr>
          <w:spacing w:val="30"/>
        </w:rPr>
        <w:t> </w:t>
      </w:r>
      <w:r>
        <w:rPr/>
        <w:t>efectivo</w:t>
      </w:r>
      <w:r>
        <w:rPr>
          <w:spacing w:val="30"/>
        </w:rPr>
        <w:t> </w:t>
      </w:r>
      <w:r>
        <w:rPr/>
        <w:t>constituye</w:t>
      </w:r>
      <w:r>
        <w:rPr>
          <w:spacing w:val="29"/>
        </w:rPr>
        <w:t> </w:t>
      </w:r>
      <w:r>
        <w:rPr/>
        <w:t>la</w:t>
      </w:r>
      <w:r>
        <w:rPr>
          <w:spacing w:val="28"/>
        </w:rPr>
        <w:t> </w:t>
      </w:r>
      <w:r>
        <w:rPr/>
        <w:t>base</w:t>
      </w:r>
      <w:r>
        <w:rPr>
          <w:spacing w:val="29"/>
        </w:rPr>
        <w:t> </w:t>
      </w:r>
      <w:r>
        <w:rPr/>
        <w:t>para</w:t>
      </w:r>
      <w:r>
        <w:rPr>
          <w:spacing w:val="29"/>
        </w:rPr>
        <w:t> </w:t>
      </w:r>
      <w:r>
        <w:rPr/>
        <w:t>la</w:t>
      </w:r>
      <w:r>
        <w:rPr>
          <w:spacing w:val="28"/>
        </w:rPr>
        <w:t> </w:t>
      </w:r>
      <w:r>
        <w:rPr/>
        <w:t>planificación</w:t>
      </w:r>
      <w:r>
        <w:rPr>
          <w:spacing w:val="30"/>
        </w:rPr>
        <w:t> </w:t>
      </w:r>
      <w:r>
        <w:rPr/>
        <w:t>financiera</w:t>
      </w:r>
      <w:r>
        <w:rPr>
          <w:spacing w:val="29"/>
        </w:rPr>
        <w:t> </w:t>
      </w:r>
      <w:r>
        <w:rPr/>
        <w:t>y</w:t>
      </w:r>
      <w:r>
        <w:rPr>
          <w:spacing w:val="29"/>
        </w:rPr>
        <w:t> </w:t>
      </w:r>
      <w:r>
        <w:rPr/>
        <w:t>la</w:t>
      </w:r>
      <w:r>
        <w:rPr>
          <w:spacing w:val="28"/>
        </w:rPr>
        <w:t> </w:t>
      </w:r>
      <w:r>
        <w:rPr/>
        <w:t>toma</w:t>
      </w:r>
      <w:r>
        <w:rPr>
          <w:spacing w:val="29"/>
        </w:rPr>
        <w:t> </w:t>
      </w:r>
      <w:r>
        <w:rPr/>
        <w:t>de decisiones</w:t>
      </w:r>
      <w:r>
        <w:rPr>
          <w:spacing w:val="4"/>
        </w:rPr>
        <w:t> </w:t>
      </w:r>
      <w:r>
        <w:rPr/>
        <w:t>institucionales.</w:t>
      </w:r>
      <w:r>
        <w:rPr>
          <w:spacing w:val="5"/>
        </w:rPr>
        <w:t> </w:t>
      </w:r>
      <w:r>
        <w:rPr/>
        <w:t>La</w:t>
      </w:r>
      <w:r>
        <w:rPr>
          <w:spacing w:val="5"/>
        </w:rPr>
        <w:t> </w:t>
      </w:r>
      <w:r>
        <w:rPr/>
        <w:t>Unidad</w:t>
      </w:r>
      <w:r>
        <w:rPr>
          <w:spacing w:val="5"/>
        </w:rPr>
        <w:t> </w:t>
      </w:r>
      <w:r>
        <w:rPr/>
        <w:t>de</w:t>
      </w:r>
      <w:r>
        <w:rPr>
          <w:spacing w:val="4"/>
        </w:rPr>
        <w:t> </w:t>
      </w:r>
      <w:r>
        <w:rPr/>
        <w:t>Tesorería</w:t>
      </w:r>
      <w:r>
        <w:rPr>
          <w:spacing w:val="5"/>
        </w:rPr>
        <w:t> </w:t>
      </w:r>
      <w:r>
        <w:rPr/>
        <w:t>es</w:t>
      </w:r>
      <w:r>
        <w:rPr>
          <w:spacing w:val="7"/>
        </w:rPr>
        <w:t> </w:t>
      </w:r>
      <w:r>
        <w:rPr/>
        <w:t>responsable</w:t>
      </w:r>
      <w:r>
        <w:rPr>
          <w:spacing w:val="4"/>
        </w:rPr>
        <w:t> </w:t>
      </w:r>
      <w:r>
        <w:rPr/>
        <w:t>de</w:t>
      </w:r>
      <w:r>
        <w:rPr>
          <w:spacing w:val="4"/>
        </w:rPr>
        <w:t> </w:t>
      </w:r>
      <w:r>
        <w:rPr/>
        <w:t>la</w:t>
      </w:r>
      <w:r>
        <w:rPr>
          <w:spacing w:val="5"/>
        </w:rPr>
        <w:t> </w:t>
      </w:r>
      <w:r>
        <w:rPr/>
        <w:t>elaboración</w:t>
      </w:r>
      <w:r>
        <w:rPr>
          <w:spacing w:val="7"/>
        </w:rPr>
        <w:t> </w:t>
      </w:r>
      <w:r>
        <w:rPr/>
        <w:t>periódica</w:t>
      </w:r>
      <w:r>
        <w:rPr>
          <w:spacing w:val="5"/>
        </w:rPr>
        <w:t> </w:t>
      </w:r>
      <w:r>
        <w:rPr>
          <w:spacing w:val="-5"/>
        </w:rPr>
        <w:t>de</w:t>
      </w:r>
    </w:p>
    <w:p>
      <w:pPr>
        <w:pStyle w:val="BodyText"/>
        <w:spacing w:after="0" w:line="276"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5616">
                <wp:simplePos x="0" y="0"/>
                <wp:positionH relativeFrom="page">
                  <wp:posOffset>9525</wp:posOffset>
                </wp:positionH>
                <wp:positionV relativeFrom="page">
                  <wp:posOffset>297208</wp:posOffset>
                </wp:positionV>
                <wp:extent cx="7762875" cy="9748520"/>
                <wp:effectExtent l="0" t="0" r="0" b="0"/>
                <wp:wrapNone/>
                <wp:docPr id="1232" name="Group 1232"/>
                <wp:cNvGraphicFramePr>
                  <a:graphicFrameLocks/>
                </wp:cNvGraphicFramePr>
                <a:graphic>
                  <a:graphicData uri="http://schemas.microsoft.com/office/word/2010/wordprocessingGroup">
                    <wpg:wgp>
                      <wpg:cNvPr id="1232" name="Group 1232"/>
                      <wpg:cNvGrpSpPr/>
                      <wpg:grpSpPr>
                        <a:xfrm>
                          <a:off x="0" y="0"/>
                          <a:ext cx="7762875" cy="9748520"/>
                          <a:chExt cx="7762875" cy="9748520"/>
                        </a:xfrm>
                      </wpg:grpSpPr>
                      <pic:pic>
                        <pic:nvPicPr>
                          <pic:cNvPr id="1233" name="Image 1233"/>
                          <pic:cNvPicPr/>
                        </pic:nvPicPr>
                        <pic:blipFill>
                          <a:blip r:embed="rId5" cstate="print"/>
                          <a:stretch>
                            <a:fillRect/>
                          </a:stretch>
                        </pic:blipFill>
                        <pic:spPr>
                          <a:xfrm>
                            <a:off x="0" y="0"/>
                            <a:ext cx="7762874" cy="9748489"/>
                          </a:xfrm>
                          <a:prstGeom prst="rect">
                            <a:avLst/>
                          </a:prstGeom>
                        </pic:spPr>
                      </pic:pic>
                      <wps:wsp>
                        <wps:cNvPr id="1234" name="Graphic 1234"/>
                        <wps:cNvSpPr/>
                        <wps:spPr>
                          <a:xfrm>
                            <a:off x="1053007" y="990837"/>
                            <a:ext cx="6013450" cy="6185535"/>
                          </a:xfrm>
                          <a:custGeom>
                            <a:avLst/>
                            <a:gdLst/>
                            <a:ahLst/>
                            <a:cxnLst/>
                            <a:rect l="l" t="t" r="r" b="b"/>
                            <a:pathLst>
                              <a:path w="6013450" h="6185535">
                                <a:moveTo>
                                  <a:pt x="21336" y="132702"/>
                                </a:moveTo>
                                <a:lnTo>
                                  <a:pt x="15240" y="132702"/>
                                </a:lnTo>
                                <a:lnTo>
                                  <a:pt x="15240" y="6179299"/>
                                </a:lnTo>
                                <a:lnTo>
                                  <a:pt x="21336" y="6179299"/>
                                </a:lnTo>
                                <a:lnTo>
                                  <a:pt x="21336" y="132702"/>
                                </a:lnTo>
                                <a:close/>
                              </a:path>
                              <a:path w="6013450" h="6185535">
                                <a:moveTo>
                                  <a:pt x="5649214" y="0"/>
                                </a:moveTo>
                                <a:lnTo>
                                  <a:pt x="0" y="0"/>
                                </a:lnTo>
                                <a:lnTo>
                                  <a:pt x="0" y="9131"/>
                                </a:lnTo>
                                <a:lnTo>
                                  <a:pt x="5649214" y="9131"/>
                                </a:lnTo>
                                <a:lnTo>
                                  <a:pt x="5649214" y="0"/>
                                </a:lnTo>
                                <a:close/>
                              </a:path>
                              <a:path w="6013450" h="6185535">
                                <a:moveTo>
                                  <a:pt x="6013399" y="6179312"/>
                                </a:moveTo>
                                <a:lnTo>
                                  <a:pt x="6007354" y="6179312"/>
                                </a:lnTo>
                                <a:lnTo>
                                  <a:pt x="21336" y="6179312"/>
                                </a:lnTo>
                                <a:lnTo>
                                  <a:pt x="15240" y="6179312"/>
                                </a:lnTo>
                                <a:lnTo>
                                  <a:pt x="15240" y="6185395"/>
                                </a:lnTo>
                                <a:lnTo>
                                  <a:pt x="21336" y="6185395"/>
                                </a:lnTo>
                                <a:lnTo>
                                  <a:pt x="6007303" y="6185395"/>
                                </a:lnTo>
                                <a:lnTo>
                                  <a:pt x="6013399" y="6185395"/>
                                </a:lnTo>
                                <a:lnTo>
                                  <a:pt x="6013399" y="6179312"/>
                                </a:lnTo>
                                <a:close/>
                              </a:path>
                              <a:path w="6013450" h="6185535">
                                <a:moveTo>
                                  <a:pt x="6013399" y="132702"/>
                                </a:moveTo>
                                <a:lnTo>
                                  <a:pt x="6007303" y="132702"/>
                                </a:lnTo>
                                <a:lnTo>
                                  <a:pt x="6007303" y="6179299"/>
                                </a:lnTo>
                                <a:lnTo>
                                  <a:pt x="6013399" y="6179299"/>
                                </a:lnTo>
                                <a:lnTo>
                                  <a:pt x="6013399" y="132702"/>
                                </a:lnTo>
                                <a:close/>
                              </a:path>
                              <a:path w="6013450" h="6185535">
                                <a:moveTo>
                                  <a:pt x="6013399" y="126479"/>
                                </a:moveTo>
                                <a:lnTo>
                                  <a:pt x="6007354" y="126479"/>
                                </a:lnTo>
                                <a:lnTo>
                                  <a:pt x="21336" y="126479"/>
                                </a:lnTo>
                                <a:lnTo>
                                  <a:pt x="15240" y="126479"/>
                                </a:lnTo>
                                <a:lnTo>
                                  <a:pt x="15240" y="132575"/>
                                </a:lnTo>
                                <a:lnTo>
                                  <a:pt x="21336" y="132575"/>
                                </a:lnTo>
                                <a:lnTo>
                                  <a:pt x="6007303" y="132575"/>
                                </a:lnTo>
                                <a:lnTo>
                                  <a:pt x="6013399" y="132575"/>
                                </a:lnTo>
                                <a:lnTo>
                                  <a:pt x="6013399"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0864" id="docshapegroup1176" coordorigin="15,468" coordsize="12225,15352">
                <v:shape style="position:absolute;left:15;top:468;width:12225;height:15352" type="#_x0000_t75" id="docshape1177" stroked="false">
                  <v:imagedata r:id="rId5" o:title=""/>
                </v:shape>
                <v:shape style="position:absolute;left:1673;top:2028;width:9470;height:9741" id="docshape1178" coordorigin="1673,2028" coordsize="9470,9741" path="m1707,2237l1697,2237,1697,11760,1707,11760,1707,2237xm10570,2028l1673,2028,1673,2043,10570,2043,10570,2028xm11143,11760l11134,11760,11134,11760,1707,11760,1697,11760,1697,11769,1707,11769,11134,11769,11134,11769,11143,11769,11143,11760xm11143,2237l11134,2237,11134,11760,11143,11760,11143,2237xm11143,2228l11134,2228,11134,2228,1707,2228,1697,2228,1697,2237,1707,2237,11134,2237,11134,2237,11143,2237,11143,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243</w:t>
      </w:r>
    </w:p>
    <w:p>
      <w:pPr>
        <w:pStyle w:val="BodyText"/>
        <w:spacing w:line="276" w:lineRule="auto" w:before="227"/>
        <w:ind w:left="1438" w:right="486"/>
        <w:jc w:val="both"/>
      </w:pPr>
      <w:r>
        <w:rPr/>
        <w:t>los</w:t>
      </w:r>
      <w:r>
        <w:rPr>
          <w:spacing w:val="-6"/>
        </w:rPr>
        <w:t> </w:t>
      </w:r>
      <w:r>
        <w:rPr/>
        <w:t>informes</w:t>
      </w:r>
      <w:r>
        <w:rPr>
          <w:spacing w:val="-8"/>
        </w:rPr>
        <w:t> </w:t>
      </w:r>
      <w:r>
        <w:rPr/>
        <w:t>de</w:t>
      </w:r>
      <w:r>
        <w:rPr>
          <w:spacing w:val="-9"/>
        </w:rPr>
        <w:t> </w:t>
      </w:r>
      <w:r>
        <w:rPr/>
        <w:t>flujo</w:t>
      </w:r>
      <w:r>
        <w:rPr>
          <w:spacing w:val="-6"/>
        </w:rPr>
        <w:t> </w:t>
      </w:r>
      <w:r>
        <w:rPr/>
        <w:t>de</w:t>
      </w:r>
      <w:r>
        <w:rPr>
          <w:spacing w:val="-9"/>
        </w:rPr>
        <w:t> </w:t>
      </w:r>
      <w:r>
        <w:rPr/>
        <w:t>efectivo,</w:t>
      </w:r>
      <w:r>
        <w:rPr>
          <w:spacing w:val="-9"/>
        </w:rPr>
        <w:t> </w:t>
      </w:r>
      <w:r>
        <w:rPr/>
        <w:t>mientras</w:t>
      </w:r>
      <w:r>
        <w:rPr>
          <w:spacing w:val="-9"/>
        </w:rPr>
        <w:t> </w:t>
      </w:r>
      <w:r>
        <w:rPr/>
        <w:t>que</w:t>
      </w:r>
      <w:r>
        <w:rPr>
          <w:spacing w:val="-8"/>
        </w:rPr>
        <w:t> </w:t>
      </w:r>
      <w:r>
        <w:rPr/>
        <w:t>la</w:t>
      </w:r>
      <w:r>
        <w:rPr>
          <w:spacing w:val="-11"/>
        </w:rPr>
        <w:t> </w:t>
      </w:r>
      <w:r>
        <w:rPr/>
        <w:t>Alta</w:t>
      </w:r>
      <w:r>
        <w:rPr>
          <w:spacing w:val="-7"/>
        </w:rPr>
        <w:t> </w:t>
      </w:r>
      <w:r>
        <w:rPr/>
        <w:t>Dirección</w:t>
      </w:r>
      <w:r>
        <w:rPr>
          <w:spacing w:val="-7"/>
        </w:rPr>
        <w:t> </w:t>
      </w:r>
      <w:r>
        <w:rPr/>
        <w:t>realiza</w:t>
      </w:r>
      <w:r>
        <w:rPr>
          <w:spacing w:val="-8"/>
        </w:rPr>
        <w:t> </w:t>
      </w:r>
      <w:r>
        <w:rPr/>
        <w:t>la</w:t>
      </w:r>
      <w:r>
        <w:rPr>
          <w:spacing w:val="-8"/>
        </w:rPr>
        <w:t> </w:t>
      </w:r>
      <w:r>
        <w:rPr/>
        <w:t>interpretación</w:t>
      </w:r>
      <w:r>
        <w:rPr>
          <w:spacing w:val="-7"/>
        </w:rPr>
        <w:t> </w:t>
      </w:r>
      <w:r>
        <w:rPr/>
        <w:t>integral</w:t>
      </w:r>
      <w:r>
        <w:rPr>
          <w:spacing w:val="-8"/>
        </w:rPr>
        <w:t> </w:t>
      </w:r>
      <w:r>
        <w:rPr/>
        <w:t>de la información y evalúa su impacto a nivel institucional, considerando la interacción entre las distintas áreas del IMAS y las diversas fuentes de financiamiento.</w:t>
      </w:r>
    </w:p>
    <w:p>
      <w:pPr>
        <w:pStyle w:val="BodyText"/>
        <w:spacing w:line="276" w:lineRule="auto" w:before="162"/>
        <w:ind w:left="1438" w:right="488"/>
        <w:jc w:val="both"/>
      </w:pPr>
      <w:r>
        <w:rPr/>
        <w:t>Ante</w:t>
      </w:r>
      <w:r>
        <w:rPr>
          <w:spacing w:val="-1"/>
        </w:rPr>
        <w:t> </w:t>
      </w:r>
      <w:r>
        <w:rPr/>
        <w:t>situaciones</w:t>
      </w:r>
      <w:r>
        <w:rPr>
          <w:spacing w:val="-1"/>
        </w:rPr>
        <w:t> </w:t>
      </w:r>
      <w:r>
        <w:rPr/>
        <w:t>que</w:t>
      </w:r>
      <w:r>
        <w:rPr>
          <w:spacing w:val="-1"/>
        </w:rPr>
        <w:t> </w:t>
      </w:r>
      <w:r>
        <w:rPr/>
        <w:t>afectan el</w:t>
      </w:r>
      <w:r>
        <w:rPr>
          <w:spacing w:val="-1"/>
        </w:rPr>
        <w:t> </w:t>
      </w:r>
      <w:r>
        <w:rPr/>
        <w:t>comportamiento de</w:t>
      </w:r>
      <w:r>
        <w:rPr>
          <w:spacing w:val="-2"/>
        </w:rPr>
        <w:t> </w:t>
      </w:r>
      <w:r>
        <w:rPr/>
        <w:t>los</w:t>
      </w:r>
      <w:r>
        <w:rPr>
          <w:spacing w:val="-1"/>
        </w:rPr>
        <w:t> </w:t>
      </w:r>
      <w:r>
        <w:rPr/>
        <w:t>ingresos</w:t>
      </w:r>
      <w:r>
        <w:rPr>
          <w:spacing w:val="-1"/>
        </w:rPr>
        <w:t> </w:t>
      </w:r>
      <w:r>
        <w:rPr/>
        <w:t>o la</w:t>
      </w:r>
      <w:r>
        <w:rPr>
          <w:spacing w:val="-1"/>
        </w:rPr>
        <w:t> </w:t>
      </w:r>
      <w:r>
        <w:rPr/>
        <w:t>disponibilidad</w:t>
      </w:r>
      <w:r>
        <w:rPr>
          <w:spacing w:val="-1"/>
        </w:rPr>
        <w:t> </w:t>
      </w:r>
      <w:r>
        <w:rPr/>
        <w:t>de</w:t>
      </w:r>
      <w:r>
        <w:rPr>
          <w:spacing w:val="-2"/>
        </w:rPr>
        <w:t> </w:t>
      </w:r>
      <w:r>
        <w:rPr/>
        <w:t>recursos, la Gerencia General ha conformado, en periodos anteriores, comisiones de trabajo para la toma de decisiones estratégicas. Estas han permitido implementar medidas tales como ajustes en planillas, renegociación</w:t>
      </w:r>
      <w:r>
        <w:rPr>
          <w:spacing w:val="-5"/>
        </w:rPr>
        <w:t> </w:t>
      </w:r>
      <w:r>
        <w:rPr/>
        <w:t>de</w:t>
      </w:r>
      <w:r>
        <w:rPr>
          <w:spacing w:val="-7"/>
        </w:rPr>
        <w:t> </w:t>
      </w:r>
      <w:r>
        <w:rPr/>
        <w:t>obligaciones</w:t>
      </w:r>
      <w:r>
        <w:rPr>
          <w:spacing w:val="-5"/>
        </w:rPr>
        <w:t> </w:t>
      </w:r>
      <w:r>
        <w:rPr/>
        <w:t>con</w:t>
      </w:r>
      <w:r>
        <w:rPr>
          <w:spacing w:val="-5"/>
        </w:rPr>
        <w:t> </w:t>
      </w:r>
      <w:r>
        <w:rPr/>
        <w:t>acreedores,</w:t>
      </w:r>
      <w:r>
        <w:rPr>
          <w:spacing w:val="-6"/>
        </w:rPr>
        <w:t> </w:t>
      </w:r>
      <w:r>
        <w:rPr/>
        <w:t>reprogramación</w:t>
      </w:r>
      <w:r>
        <w:rPr>
          <w:spacing w:val="-5"/>
        </w:rPr>
        <w:t> </w:t>
      </w:r>
      <w:r>
        <w:rPr/>
        <w:t>de</w:t>
      </w:r>
      <w:r>
        <w:rPr>
          <w:spacing w:val="-7"/>
        </w:rPr>
        <w:t> </w:t>
      </w:r>
      <w:r>
        <w:rPr/>
        <w:t>contrataciones</w:t>
      </w:r>
      <w:r>
        <w:rPr>
          <w:spacing w:val="-5"/>
        </w:rPr>
        <w:t> </w:t>
      </w:r>
      <w:r>
        <w:rPr/>
        <w:t>administrativas</w:t>
      </w:r>
      <w:r>
        <w:rPr>
          <w:spacing w:val="-5"/>
        </w:rPr>
        <w:t> </w:t>
      </w:r>
      <w:r>
        <w:rPr/>
        <w:t>y otras acciones orientadas a mitigar desviaciones relevantes, como las experimentadas durante la crisis del</w:t>
      </w:r>
      <w:r>
        <w:rPr>
          <w:spacing w:val="-2"/>
        </w:rPr>
        <w:t> </w:t>
      </w:r>
      <w:r>
        <w:rPr/>
        <w:t>periodo</w:t>
      </w:r>
      <w:r>
        <w:rPr>
          <w:spacing w:val="-1"/>
        </w:rPr>
        <w:t> </w:t>
      </w:r>
      <w:r>
        <w:rPr/>
        <w:t>2019-2020,</w:t>
      </w:r>
      <w:r>
        <w:rPr>
          <w:spacing w:val="-1"/>
        </w:rPr>
        <w:t> </w:t>
      </w:r>
      <w:r>
        <w:rPr/>
        <w:t>incluyendo</w:t>
      </w:r>
      <w:r>
        <w:rPr>
          <w:spacing w:val="-1"/>
        </w:rPr>
        <w:t> </w:t>
      </w:r>
      <w:r>
        <w:rPr/>
        <w:t>negociaciones</w:t>
      </w:r>
      <w:r>
        <w:rPr>
          <w:spacing w:val="-2"/>
        </w:rPr>
        <w:t> </w:t>
      </w:r>
      <w:r>
        <w:rPr/>
        <w:t>con</w:t>
      </w:r>
      <w:r>
        <w:rPr>
          <w:spacing w:val="-1"/>
        </w:rPr>
        <w:t> </w:t>
      </w:r>
      <w:r>
        <w:rPr/>
        <w:t>entidades como el</w:t>
      </w:r>
      <w:r>
        <w:rPr>
          <w:spacing w:val="-2"/>
        </w:rPr>
        <w:t> </w:t>
      </w:r>
      <w:r>
        <w:rPr/>
        <w:t>CETAC,</w:t>
      </w:r>
      <w:r>
        <w:rPr>
          <w:spacing w:val="-1"/>
        </w:rPr>
        <w:t> </w:t>
      </w:r>
      <w:r>
        <w:rPr/>
        <w:t>el</w:t>
      </w:r>
      <w:r>
        <w:rPr>
          <w:spacing w:val="-2"/>
        </w:rPr>
        <w:t> </w:t>
      </w:r>
      <w:r>
        <w:rPr/>
        <w:t>Banco de Costa Rica y proveedores nacionales e internacionales.</w:t>
      </w:r>
    </w:p>
    <w:p>
      <w:pPr>
        <w:pStyle w:val="Heading6"/>
        <w:numPr>
          <w:ilvl w:val="0"/>
          <w:numId w:val="105"/>
        </w:numPr>
        <w:tabs>
          <w:tab w:pos="1448" w:val="left" w:leader="none"/>
        </w:tabs>
        <w:spacing w:line="240" w:lineRule="auto" w:before="159" w:after="0"/>
        <w:ind w:left="1448" w:right="0" w:hanging="358"/>
        <w:jc w:val="left"/>
      </w:pPr>
      <w:r>
        <w:rPr/>
        <w:t>Nuevas</w:t>
      </w:r>
      <w:r>
        <w:rPr>
          <w:spacing w:val="-3"/>
        </w:rPr>
        <w:t> </w:t>
      </w:r>
      <w:r>
        <w:rPr/>
        <w:t>tendencias</w:t>
      </w:r>
      <w:r>
        <w:rPr>
          <w:spacing w:val="-2"/>
        </w:rPr>
        <w:t> </w:t>
      </w:r>
      <w:r>
        <w:rPr/>
        <w:t>y</w:t>
      </w:r>
      <w:r>
        <w:rPr>
          <w:spacing w:val="-4"/>
        </w:rPr>
        <w:t> </w:t>
      </w:r>
      <w:r>
        <w:rPr/>
        <w:t>factores</w:t>
      </w:r>
      <w:r>
        <w:rPr>
          <w:spacing w:val="-2"/>
        </w:rPr>
        <w:t> </w:t>
      </w:r>
      <w:r>
        <w:rPr/>
        <w:t>emergentes</w:t>
      </w:r>
      <w:r>
        <w:rPr>
          <w:spacing w:val="-5"/>
        </w:rPr>
        <w:t> </w:t>
      </w:r>
      <w:r>
        <w:rPr/>
        <w:t>que</w:t>
      </w:r>
      <w:r>
        <w:rPr>
          <w:spacing w:val="-3"/>
        </w:rPr>
        <w:t> </w:t>
      </w:r>
      <w:r>
        <w:rPr/>
        <w:t>afectan</w:t>
      </w:r>
      <w:r>
        <w:rPr>
          <w:spacing w:val="-3"/>
        </w:rPr>
        <w:t> </w:t>
      </w:r>
      <w:r>
        <w:rPr/>
        <w:t>la</w:t>
      </w:r>
      <w:r>
        <w:rPr>
          <w:spacing w:val="-6"/>
        </w:rPr>
        <w:t> </w:t>
      </w:r>
      <w:r>
        <w:rPr/>
        <w:t>gestión</w:t>
      </w:r>
      <w:r>
        <w:rPr>
          <w:spacing w:val="-3"/>
        </w:rPr>
        <w:t> </w:t>
      </w:r>
      <w:r>
        <w:rPr/>
        <w:t>del</w:t>
      </w:r>
      <w:r>
        <w:rPr>
          <w:spacing w:val="-3"/>
        </w:rPr>
        <w:t> </w:t>
      </w:r>
      <w:r>
        <w:rPr/>
        <w:t>riesgo</w:t>
      </w:r>
      <w:r>
        <w:rPr>
          <w:spacing w:val="-2"/>
        </w:rPr>
        <w:t> </w:t>
      </w:r>
      <w:r>
        <w:rPr/>
        <w:t>de</w:t>
      </w:r>
      <w:r>
        <w:rPr>
          <w:spacing w:val="-2"/>
        </w:rPr>
        <w:t> liquidez</w:t>
      </w:r>
    </w:p>
    <w:p>
      <w:pPr>
        <w:pStyle w:val="BodyText"/>
        <w:spacing w:line="276" w:lineRule="auto" w:before="198"/>
        <w:ind w:left="1438" w:right="487"/>
        <w:jc w:val="both"/>
      </w:pPr>
      <w:r>
        <w:rPr/>
        <w:t>Las</w:t>
      </w:r>
      <w:r>
        <w:rPr>
          <w:spacing w:val="-7"/>
        </w:rPr>
        <w:t> </w:t>
      </w:r>
      <w:r>
        <w:rPr/>
        <w:t>fuentes</w:t>
      </w:r>
      <w:r>
        <w:rPr>
          <w:spacing w:val="-7"/>
        </w:rPr>
        <w:t> </w:t>
      </w:r>
      <w:r>
        <w:rPr/>
        <w:t>de</w:t>
      </w:r>
      <w:r>
        <w:rPr>
          <w:spacing w:val="-10"/>
        </w:rPr>
        <w:t> </w:t>
      </w:r>
      <w:r>
        <w:rPr/>
        <w:t>financiamiento</w:t>
      </w:r>
      <w:r>
        <w:rPr>
          <w:spacing w:val="-7"/>
        </w:rPr>
        <w:t> </w:t>
      </w:r>
      <w:r>
        <w:rPr/>
        <w:t>de</w:t>
      </w:r>
      <w:r>
        <w:rPr>
          <w:spacing w:val="-10"/>
        </w:rPr>
        <w:t> </w:t>
      </w:r>
      <w:r>
        <w:rPr/>
        <w:t>la</w:t>
      </w:r>
      <w:r>
        <w:rPr>
          <w:spacing w:val="-9"/>
        </w:rPr>
        <w:t> </w:t>
      </w:r>
      <w:r>
        <w:rPr/>
        <w:t>institución</w:t>
      </w:r>
      <w:r>
        <w:rPr>
          <w:spacing w:val="-10"/>
        </w:rPr>
        <w:t> </w:t>
      </w:r>
      <w:r>
        <w:rPr/>
        <w:t>están</w:t>
      </w:r>
      <w:r>
        <w:rPr>
          <w:spacing w:val="-10"/>
        </w:rPr>
        <w:t> </w:t>
      </w:r>
      <w:r>
        <w:rPr/>
        <w:t>expuestas</w:t>
      </w:r>
      <w:r>
        <w:rPr>
          <w:spacing w:val="-8"/>
        </w:rPr>
        <w:t> </w:t>
      </w:r>
      <w:r>
        <w:rPr/>
        <w:t>a</w:t>
      </w:r>
      <w:r>
        <w:rPr>
          <w:spacing w:val="-11"/>
        </w:rPr>
        <w:t> </w:t>
      </w:r>
      <w:r>
        <w:rPr/>
        <w:t>un</w:t>
      </w:r>
      <w:r>
        <w:rPr>
          <w:spacing w:val="-8"/>
        </w:rPr>
        <w:t> </w:t>
      </w:r>
      <w:r>
        <w:rPr/>
        <w:t>entorno</w:t>
      </w:r>
      <w:r>
        <w:rPr>
          <w:spacing w:val="-7"/>
        </w:rPr>
        <w:t> </w:t>
      </w:r>
      <w:r>
        <w:rPr/>
        <w:t>dinámico</w:t>
      </w:r>
      <w:r>
        <w:rPr>
          <w:spacing w:val="-7"/>
        </w:rPr>
        <w:t> </w:t>
      </w:r>
      <w:r>
        <w:rPr/>
        <w:t>influenciado por</w:t>
      </w:r>
      <w:r>
        <w:rPr>
          <w:spacing w:val="-3"/>
        </w:rPr>
        <w:t> </w:t>
      </w:r>
      <w:r>
        <w:rPr/>
        <w:t>tendencias</w:t>
      </w:r>
      <w:r>
        <w:rPr>
          <w:spacing w:val="-5"/>
        </w:rPr>
        <w:t> </w:t>
      </w:r>
      <w:r>
        <w:rPr/>
        <w:t>tecnológicas,</w:t>
      </w:r>
      <w:r>
        <w:rPr>
          <w:spacing w:val="-6"/>
        </w:rPr>
        <w:t> </w:t>
      </w:r>
      <w:r>
        <w:rPr/>
        <w:t>factores</w:t>
      </w:r>
      <w:r>
        <w:rPr>
          <w:spacing w:val="-5"/>
        </w:rPr>
        <w:t> </w:t>
      </w:r>
      <w:r>
        <w:rPr/>
        <w:t>macroeconómicos</w:t>
      </w:r>
      <w:r>
        <w:rPr>
          <w:spacing w:val="-5"/>
        </w:rPr>
        <w:t> </w:t>
      </w:r>
      <w:r>
        <w:rPr/>
        <w:t>y</w:t>
      </w:r>
      <w:r>
        <w:rPr>
          <w:spacing w:val="-4"/>
        </w:rPr>
        <w:t> </w:t>
      </w:r>
      <w:r>
        <w:rPr/>
        <w:t>cambios</w:t>
      </w:r>
      <w:r>
        <w:rPr>
          <w:spacing w:val="-5"/>
        </w:rPr>
        <w:t> </w:t>
      </w:r>
      <w:r>
        <w:rPr/>
        <w:t>regulatorios.</w:t>
      </w:r>
      <w:r>
        <w:rPr>
          <w:spacing w:val="-4"/>
        </w:rPr>
        <w:t> </w:t>
      </w:r>
      <w:r>
        <w:rPr/>
        <w:t>La</w:t>
      </w:r>
      <w:r>
        <w:rPr>
          <w:spacing w:val="-4"/>
        </w:rPr>
        <w:t> </w:t>
      </w:r>
      <w:r>
        <w:rPr/>
        <w:t>transformación digital y el uso de tecnologías financieras mejoran la gestión de los flujos de efectivo, aunque introducen riesgos asociados a ciberseguridad y dependencia tecnológica.</w:t>
      </w:r>
    </w:p>
    <w:p>
      <w:pPr>
        <w:pStyle w:val="BodyText"/>
        <w:spacing w:line="276" w:lineRule="auto" w:before="161"/>
        <w:ind w:left="1438" w:right="485"/>
        <w:jc w:val="both"/>
      </w:pPr>
      <w:r>
        <w:rPr/>
        <w:t>Adicionalmente, la volatilidad macroeconómica y geopolítica puede afectar la estabilidad de los ingresos, mediante la reducción de la actividad económica, la disminución del turismo y el incremento en los costos operativos, al tiempo que aumenta la demanda de programas sociales. Estos factores reducen la previsibilidad de los flujos de caja y presionan la liquidez institucional.</w:t>
      </w:r>
    </w:p>
    <w:p>
      <w:pPr>
        <w:pStyle w:val="BodyText"/>
        <w:spacing w:line="276" w:lineRule="auto" w:before="159"/>
        <w:ind w:left="1438" w:right="486"/>
        <w:jc w:val="both"/>
      </w:pPr>
      <w:r>
        <w:rPr/>
        <w:t>Asimismo,</w:t>
      </w:r>
      <w:r>
        <w:rPr>
          <w:spacing w:val="-1"/>
        </w:rPr>
        <w:t> </w:t>
      </w:r>
      <w:r>
        <w:rPr/>
        <w:t>eventos</w:t>
      </w:r>
      <w:r>
        <w:rPr>
          <w:spacing w:val="-2"/>
        </w:rPr>
        <w:t> </w:t>
      </w:r>
      <w:r>
        <w:rPr/>
        <w:t>sociales,</w:t>
      </w:r>
      <w:r>
        <w:rPr>
          <w:spacing w:val="-3"/>
        </w:rPr>
        <w:t> </w:t>
      </w:r>
      <w:r>
        <w:rPr/>
        <w:t>ambientales y</w:t>
      </w:r>
      <w:r>
        <w:rPr>
          <w:spacing w:val="-2"/>
        </w:rPr>
        <w:t> </w:t>
      </w:r>
      <w:r>
        <w:rPr/>
        <w:t>sanitarios,</w:t>
      </w:r>
      <w:r>
        <w:rPr>
          <w:spacing w:val="-1"/>
        </w:rPr>
        <w:t> </w:t>
      </w:r>
      <w:r>
        <w:rPr/>
        <w:t>junto con</w:t>
      </w:r>
      <w:r>
        <w:rPr>
          <w:spacing w:val="-1"/>
        </w:rPr>
        <w:t> </w:t>
      </w:r>
      <w:r>
        <w:rPr/>
        <w:t>cambios</w:t>
      </w:r>
      <w:r>
        <w:rPr>
          <w:spacing w:val="-2"/>
        </w:rPr>
        <w:t> </w:t>
      </w:r>
      <w:r>
        <w:rPr/>
        <w:t>regulatorios y</w:t>
      </w:r>
      <w:r>
        <w:rPr>
          <w:spacing w:val="-2"/>
        </w:rPr>
        <w:t> </w:t>
      </w:r>
      <w:r>
        <w:rPr/>
        <w:t>financieros, requieren una gestión más flexible, basada en la planificación de escenarios, pruebas de estrés y actualización continua de los modelos de tesorería. En este contexto, la institución fortalece su cultura</w:t>
      </w:r>
      <w:r>
        <w:rPr>
          <w:spacing w:val="-2"/>
        </w:rPr>
        <w:t> </w:t>
      </w:r>
      <w:r>
        <w:rPr/>
        <w:t>de</w:t>
      </w:r>
      <w:r>
        <w:rPr>
          <w:spacing w:val="-3"/>
        </w:rPr>
        <w:t> </w:t>
      </w:r>
      <w:r>
        <w:rPr/>
        <w:t>gestión</w:t>
      </w:r>
      <w:r>
        <w:rPr>
          <w:spacing w:val="-1"/>
        </w:rPr>
        <w:t> </w:t>
      </w:r>
      <w:r>
        <w:rPr/>
        <w:t>de</w:t>
      </w:r>
      <w:r>
        <w:rPr>
          <w:spacing w:val="-3"/>
        </w:rPr>
        <w:t> </w:t>
      </w:r>
      <w:r>
        <w:rPr/>
        <w:t>riesgos</w:t>
      </w:r>
      <w:r>
        <w:rPr>
          <w:spacing w:val="-3"/>
        </w:rPr>
        <w:t> </w:t>
      </w:r>
      <w:r>
        <w:rPr/>
        <w:t>y</w:t>
      </w:r>
      <w:r>
        <w:rPr>
          <w:spacing w:val="-2"/>
        </w:rPr>
        <w:t> </w:t>
      </w:r>
      <w:r>
        <w:rPr/>
        <w:t>la</w:t>
      </w:r>
      <w:r>
        <w:rPr>
          <w:spacing w:val="-3"/>
        </w:rPr>
        <w:t> </w:t>
      </w:r>
      <w:r>
        <w:rPr/>
        <w:t>coordinación</w:t>
      </w:r>
      <w:r>
        <w:rPr>
          <w:spacing w:val="-1"/>
        </w:rPr>
        <w:t> </w:t>
      </w:r>
      <w:r>
        <w:rPr/>
        <w:t>interna,</w:t>
      </w:r>
      <w:r>
        <w:rPr>
          <w:spacing w:val="-1"/>
        </w:rPr>
        <w:t> </w:t>
      </w:r>
      <w:r>
        <w:rPr/>
        <w:t>con</w:t>
      </w:r>
      <w:r>
        <w:rPr>
          <w:spacing w:val="-1"/>
        </w:rPr>
        <w:t> </w:t>
      </w:r>
      <w:r>
        <w:rPr/>
        <w:t>el</w:t>
      </w:r>
      <w:r>
        <w:rPr>
          <w:spacing w:val="-1"/>
        </w:rPr>
        <w:t> </w:t>
      </w:r>
      <w:r>
        <w:rPr/>
        <w:t>fin</w:t>
      </w:r>
      <w:r>
        <w:rPr>
          <w:spacing w:val="-1"/>
        </w:rPr>
        <w:t> </w:t>
      </w:r>
      <w:r>
        <w:rPr/>
        <w:t>de</w:t>
      </w:r>
      <w:r>
        <w:rPr>
          <w:spacing w:val="-3"/>
        </w:rPr>
        <w:t> </w:t>
      </w:r>
      <w:r>
        <w:rPr/>
        <w:t>asegurar</w:t>
      </w:r>
      <w:r>
        <w:rPr>
          <w:spacing w:val="-1"/>
        </w:rPr>
        <w:t> </w:t>
      </w:r>
      <w:r>
        <w:rPr/>
        <w:t>la</w:t>
      </w:r>
      <w:r>
        <w:rPr>
          <w:spacing w:val="-2"/>
        </w:rPr>
        <w:t> </w:t>
      </w:r>
      <w:r>
        <w:rPr/>
        <w:t>continuidad</w:t>
      </w:r>
      <w:r>
        <w:rPr>
          <w:spacing w:val="-1"/>
        </w:rPr>
        <w:t> </w:t>
      </w:r>
      <w:r>
        <w:rPr/>
        <w:t>de</w:t>
      </w:r>
      <w:r>
        <w:rPr>
          <w:spacing w:val="-2"/>
        </w:rPr>
        <w:t> </w:t>
      </w:r>
      <w:r>
        <w:rPr/>
        <w:t>sus operaciones y programas sociales.</w:t>
      </w:r>
    </w:p>
    <w:p>
      <w:pPr>
        <w:pStyle w:val="BodyText"/>
      </w:pPr>
    </w:p>
    <w:p>
      <w:pPr>
        <w:pStyle w:val="BodyText"/>
        <w:spacing w:before="107"/>
      </w:pPr>
    </w:p>
    <w:p>
      <w:pPr>
        <w:pStyle w:val="Heading6"/>
        <w:numPr>
          <w:ilvl w:val="0"/>
          <w:numId w:val="105"/>
        </w:numPr>
        <w:tabs>
          <w:tab w:pos="1448" w:val="left" w:leader="none"/>
        </w:tabs>
        <w:spacing w:line="240" w:lineRule="auto" w:before="0" w:after="0"/>
        <w:ind w:left="1448" w:right="0" w:hanging="358"/>
        <w:jc w:val="left"/>
      </w:pPr>
      <w:r>
        <w:rPr>
          <w:spacing w:val="-2"/>
        </w:rPr>
        <w:t>Incumplimientos</w:t>
      </w:r>
    </w:p>
    <w:p>
      <w:pPr>
        <w:pStyle w:val="BodyText"/>
        <w:spacing w:line="276" w:lineRule="auto" w:before="198"/>
        <w:ind w:left="1438" w:right="489"/>
        <w:jc w:val="both"/>
      </w:pPr>
      <w:r>
        <w:rPr/>
        <w:t>Durante</w:t>
      </w:r>
      <w:r>
        <w:rPr>
          <w:spacing w:val="-11"/>
        </w:rPr>
        <w:t> </w:t>
      </w:r>
      <w:r>
        <w:rPr/>
        <w:t>el</w:t>
      </w:r>
      <w:r>
        <w:rPr>
          <w:spacing w:val="-11"/>
        </w:rPr>
        <w:t> </w:t>
      </w:r>
      <w:r>
        <w:rPr/>
        <w:t>periodo</w:t>
      </w:r>
      <w:r>
        <w:rPr>
          <w:spacing w:val="-10"/>
        </w:rPr>
        <w:t> </w:t>
      </w:r>
      <w:r>
        <w:rPr/>
        <w:t>no</w:t>
      </w:r>
      <w:r>
        <w:rPr>
          <w:spacing w:val="-12"/>
        </w:rPr>
        <w:t> </w:t>
      </w:r>
      <w:r>
        <w:rPr/>
        <w:t>se</w:t>
      </w:r>
      <w:r>
        <w:rPr>
          <w:spacing w:val="-12"/>
        </w:rPr>
        <w:t> </w:t>
      </w:r>
      <w:r>
        <w:rPr/>
        <w:t>presentaron</w:t>
      </w:r>
      <w:r>
        <w:rPr>
          <w:spacing w:val="-10"/>
        </w:rPr>
        <w:t> </w:t>
      </w:r>
      <w:r>
        <w:rPr/>
        <w:t>incumplimientos</w:t>
      </w:r>
      <w:r>
        <w:rPr>
          <w:spacing w:val="-12"/>
        </w:rPr>
        <w:t> </w:t>
      </w:r>
      <w:r>
        <w:rPr/>
        <w:t>significativos</w:t>
      </w:r>
      <w:r>
        <w:rPr>
          <w:spacing w:val="-10"/>
        </w:rPr>
        <w:t> </w:t>
      </w:r>
      <w:r>
        <w:rPr/>
        <w:t>en</w:t>
      </w:r>
      <w:r>
        <w:rPr>
          <w:spacing w:val="-10"/>
        </w:rPr>
        <w:t> </w:t>
      </w:r>
      <w:r>
        <w:rPr/>
        <w:t>las</w:t>
      </w:r>
      <w:r>
        <w:rPr>
          <w:spacing w:val="-12"/>
        </w:rPr>
        <w:t> </w:t>
      </w:r>
      <w:r>
        <w:rPr/>
        <w:t>obligaciones</w:t>
      </w:r>
      <w:r>
        <w:rPr>
          <w:spacing w:val="-10"/>
        </w:rPr>
        <w:t> </w:t>
      </w:r>
      <w:r>
        <w:rPr/>
        <w:t>financieras de la institución.</w:t>
      </w:r>
    </w:p>
    <w:p>
      <w:pPr>
        <w:pStyle w:val="BodyText"/>
      </w:pPr>
    </w:p>
    <w:p>
      <w:pPr>
        <w:pStyle w:val="BodyText"/>
        <w:spacing w:before="100"/>
      </w:pPr>
    </w:p>
    <w:p>
      <w:pPr>
        <w:pStyle w:val="BodyText"/>
        <w:spacing w:line="259" w:lineRule="auto"/>
        <w:ind w:left="622" w:right="1001"/>
      </w:pPr>
      <w:r>
        <w:rPr/>
        <w:t>El</w:t>
      </w:r>
      <w:r>
        <w:rPr>
          <w:spacing w:val="-4"/>
        </w:rPr>
        <w:t> </w:t>
      </w:r>
      <w:r>
        <w:rPr/>
        <w:t>responsable</w:t>
      </w:r>
      <w:r>
        <w:rPr>
          <w:spacing w:val="-5"/>
        </w:rPr>
        <w:t> </w:t>
      </w:r>
      <w:r>
        <w:rPr/>
        <w:t>contable</w:t>
      </w:r>
      <w:r>
        <w:rPr>
          <w:spacing w:val="-5"/>
        </w:rPr>
        <w:t> </w:t>
      </w:r>
      <w:r>
        <w:rPr/>
        <w:t>deberá</w:t>
      </w:r>
      <w:r>
        <w:rPr>
          <w:spacing w:val="-5"/>
        </w:rPr>
        <w:t> </w:t>
      </w:r>
      <w:r>
        <w:rPr/>
        <w:t>también</w:t>
      </w:r>
      <w:r>
        <w:rPr>
          <w:spacing w:val="-4"/>
        </w:rPr>
        <w:t> </w:t>
      </w:r>
      <w:r>
        <w:rPr/>
        <w:t>revelar</w:t>
      </w:r>
      <w:r>
        <w:rPr>
          <w:spacing w:val="-4"/>
        </w:rPr>
        <w:t> </w:t>
      </w:r>
      <w:r>
        <w:rPr/>
        <w:t>información</w:t>
      </w:r>
      <w:r>
        <w:rPr>
          <w:spacing w:val="-4"/>
        </w:rPr>
        <w:t> </w:t>
      </w:r>
      <w:r>
        <w:rPr/>
        <w:t>considerando</w:t>
      </w:r>
      <w:r>
        <w:rPr>
          <w:spacing w:val="-4"/>
        </w:rPr>
        <w:t> </w:t>
      </w:r>
      <w:r>
        <w:rPr/>
        <w:t>lo</w:t>
      </w:r>
      <w:r>
        <w:rPr>
          <w:spacing w:val="-4"/>
        </w:rPr>
        <w:t> </w:t>
      </w:r>
      <w:r>
        <w:rPr/>
        <w:t>dispuesto</w:t>
      </w:r>
      <w:r>
        <w:rPr>
          <w:spacing w:val="-3"/>
        </w:rPr>
        <w:t> </w:t>
      </w:r>
      <w:r>
        <w:rPr/>
        <w:t>en</w:t>
      </w:r>
      <w:r>
        <w:rPr>
          <w:spacing w:val="-4"/>
        </w:rPr>
        <w:t> </w:t>
      </w:r>
      <w:r>
        <w:rPr/>
        <w:t>el</w:t>
      </w:r>
      <w:r>
        <w:rPr>
          <w:spacing w:val="-4"/>
        </w:rPr>
        <w:t> </w:t>
      </w:r>
      <w:r>
        <w:rPr/>
        <w:t>párrafo 75 de la NICSP 1 referente a la NICSP 30 Instrumentos Financieros.</w:t>
      </w:r>
    </w:p>
    <w:p>
      <w:pPr>
        <w:spacing w:line="247" w:lineRule="auto" w:before="150"/>
        <w:ind w:left="1330" w:right="974" w:firstLine="0"/>
        <w:jc w:val="both"/>
        <w:rPr>
          <w:i/>
          <w:sz w:val="23"/>
        </w:rPr>
      </w:pPr>
      <w:r>
        <w:rPr>
          <w:i/>
          <w:sz w:val="23"/>
        </w:rPr>
        <w:t>“75.</w:t>
      </w:r>
      <w:r>
        <w:rPr>
          <w:i/>
          <w:spacing w:val="-13"/>
          <w:sz w:val="23"/>
        </w:rPr>
        <w:t> </w:t>
      </w:r>
      <w:r>
        <w:rPr>
          <w:i/>
          <w:sz w:val="23"/>
        </w:rPr>
        <w:t>La</w:t>
      </w:r>
      <w:r>
        <w:rPr>
          <w:i/>
          <w:spacing w:val="-12"/>
          <w:sz w:val="23"/>
        </w:rPr>
        <w:t> </w:t>
      </w:r>
      <w:r>
        <w:rPr>
          <w:i/>
          <w:sz w:val="23"/>
        </w:rPr>
        <w:t>información</w:t>
      </w:r>
      <w:r>
        <w:rPr>
          <w:i/>
          <w:spacing w:val="-14"/>
          <w:sz w:val="23"/>
        </w:rPr>
        <w:t> </w:t>
      </w:r>
      <w:r>
        <w:rPr>
          <w:i/>
          <w:sz w:val="23"/>
        </w:rPr>
        <w:t>sobre</w:t>
      </w:r>
      <w:r>
        <w:rPr>
          <w:i/>
          <w:spacing w:val="-15"/>
          <w:sz w:val="23"/>
        </w:rPr>
        <w:t> </w:t>
      </w:r>
      <w:r>
        <w:rPr>
          <w:i/>
          <w:sz w:val="23"/>
        </w:rPr>
        <w:t>las</w:t>
      </w:r>
      <w:r>
        <w:rPr>
          <w:i/>
          <w:spacing w:val="-11"/>
          <w:sz w:val="23"/>
        </w:rPr>
        <w:t> </w:t>
      </w:r>
      <w:r>
        <w:rPr>
          <w:i/>
          <w:sz w:val="23"/>
        </w:rPr>
        <w:t>fechas</w:t>
      </w:r>
      <w:r>
        <w:rPr>
          <w:i/>
          <w:spacing w:val="-12"/>
          <w:sz w:val="23"/>
        </w:rPr>
        <w:t> </w:t>
      </w:r>
      <w:r>
        <w:rPr>
          <w:i/>
          <w:sz w:val="23"/>
        </w:rPr>
        <w:t>esperadas</w:t>
      </w:r>
      <w:r>
        <w:rPr>
          <w:i/>
          <w:spacing w:val="-13"/>
          <w:sz w:val="23"/>
        </w:rPr>
        <w:t> </w:t>
      </w:r>
      <w:r>
        <w:rPr>
          <w:i/>
          <w:sz w:val="23"/>
        </w:rPr>
        <w:t>de</w:t>
      </w:r>
      <w:r>
        <w:rPr>
          <w:i/>
          <w:spacing w:val="-13"/>
          <w:sz w:val="23"/>
        </w:rPr>
        <w:t> </w:t>
      </w:r>
      <w:r>
        <w:rPr>
          <w:i/>
          <w:sz w:val="23"/>
        </w:rPr>
        <w:t>realización</w:t>
      </w:r>
      <w:r>
        <w:rPr>
          <w:i/>
          <w:spacing w:val="-12"/>
          <w:sz w:val="23"/>
        </w:rPr>
        <w:t> </w:t>
      </w:r>
      <w:r>
        <w:rPr>
          <w:i/>
          <w:sz w:val="23"/>
        </w:rPr>
        <w:t>de</w:t>
      </w:r>
      <w:r>
        <w:rPr>
          <w:i/>
          <w:spacing w:val="-13"/>
          <w:sz w:val="23"/>
        </w:rPr>
        <w:t> </w:t>
      </w:r>
      <w:r>
        <w:rPr>
          <w:i/>
          <w:sz w:val="23"/>
        </w:rPr>
        <w:t>los</w:t>
      </w:r>
      <w:r>
        <w:rPr>
          <w:i/>
          <w:spacing w:val="-13"/>
          <w:sz w:val="23"/>
        </w:rPr>
        <w:t> </w:t>
      </w:r>
      <w:r>
        <w:rPr>
          <w:i/>
          <w:sz w:val="23"/>
        </w:rPr>
        <w:t>activos</w:t>
      </w:r>
      <w:r>
        <w:rPr>
          <w:i/>
          <w:spacing w:val="-12"/>
          <w:sz w:val="23"/>
        </w:rPr>
        <w:t> </w:t>
      </w:r>
      <w:r>
        <w:rPr>
          <w:i/>
          <w:sz w:val="23"/>
        </w:rPr>
        <w:t>y</w:t>
      </w:r>
      <w:r>
        <w:rPr>
          <w:i/>
          <w:spacing w:val="-13"/>
          <w:sz w:val="23"/>
        </w:rPr>
        <w:t> </w:t>
      </w:r>
      <w:r>
        <w:rPr>
          <w:i/>
          <w:sz w:val="23"/>
        </w:rPr>
        <w:t>pasivos</w:t>
      </w:r>
      <w:r>
        <w:rPr>
          <w:i/>
          <w:spacing w:val="-11"/>
          <w:sz w:val="23"/>
        </w:rPr>
        <w:t> </w:t>
      </w:r>
      <w:r>
        <w:rPr>
          <w:i/>
          <w:sz w:val="23"/>
        </w:rPr>
        <w:t>es</w:t>
      </w:r>
      <w:r>
        <w:rPr>
          <w:i/>
          <w:spacing w:val="-12"/>
          <w:sz w:val="23"/>
        </w:rPr>
        <w:t> </w:t>
      </w:r>
      <w:r>
        <w:rPr>
          <w:i/>
          <w:sz w:val="23"/>
        </w:rPr>
        <w:t>útil </w:t>
      </w:r>
      <w:r>
        <w:rPr>
          <w:i/>
          <w:spacing w:val="-4"/>
          <w:sz w:val="23"/>
        </w:rPr>
        <w:t>para</w:t>
      </w:r>
      <w:r>
        <w:rPr>
          <w:i/>
          <w:spacing w:val="-9"/>
          <w:sz w:val="23"/>
        </w:rPr>
        <w:t> </w:t>
      </w:r>
      <w:r>
        <w:rPr>
          <w:i/>
          <w:spacing w:val="-4"/>
          <w:sz w:val="23"/>
        </w:rPr>
        <w:t>evaluar</w:t>
      </w:r>
      <w:r>
        <w:rPr>
          <w:i/>
          <w:spacing w:val="-8"/>
          <w:sz w:val="23"/>
        </w:rPr>
        <w:t> </w:t>
      </w:r>
      <w:r>
        <w:rPr>
          <w:i/>
          <w:spacing w:val="-4"/>
          <w:sz w:val="23"/>
        </w:rPr>
        <w:t>la</w:t>
      </w:r>
      <w:r>
        <w:rPr>
          <w:i/>
          <w:spacing w:val="-9"/>
          <w:sz w:val="23"/>
        </w:rPr>
        <w:t> </w:t>
      </w:r>
      <w:r>
        <w:rPr>
          <w:i/>
          <w:spacing w:val="-4"/>
          <w:sz w:val="23"/>
        </w:rPr>
        <w:t>liquidez</w:t>
      </w:r>
      <w:r>
        <w:rPr>
          <w:i/>
          <w:spacing w:val="-8"/>
          <w:sz w:val="23"/>
        </w:rPr>
        <w:t> </w:t>
      </w:r>
      <w:r>
        <w:rPr>
          <w:i/>
          <w:spacing w:val="-4"/>
          <w:sz w:val="23"/>
        </w:rPr>
        <w:t>y</w:t>
      </w:r>
      <w:r>
        <w:rPr>
          <w:i/>
          <w:spacing w:val="-9"/>
          <w:sz w:val="23"/>
        </w:rPr>
        <w:t> </w:t>
      </w:r>
      <w:r>
        <w:rPr>
          <w:i/>
          <w:spacing w:val="-4"/>
          <w:sz w:val="23"/>
        </w:rPr>
        <w:t>la</w:t>
      </w:r>
      <w:r>
        <w:rPr>
          <w:i/>
          <w:spacing w:val="-7"/>
          <w:sz w:val="23"/>
        </w:rPr>
        <w:t> </w:t>
      </w:r>
      <w:r>
        <w:rPr>
          <w:i/>
          <w:spacing w:val="-4"/>
          <w:sz w:val="23"/>
        </w:rPr>
        <w:t>solvencia</w:t>
      </w:r>
      <w:r>
        <w:rPr>
          <w:i/>
          <w:spacing w:val="-9"/>
          <w:sz w:val="23"/>
        </w:rPr>
        <w:t> </w:t>
      </w:r>
      <w:r>
        <w:rPr>
          <w:i/>
          <w:spacing w:val="-4"/>
          <w:sz w:val="23"/>
        </w:rPr>
        <w:t>de</w:t>
      </w:r>
      <w:r>
        <w:rPr>
          <w:i/>
          <w:spacing w:val="-10"/>
          <w:sz w:val="23"/>
        </w:rPr>
        <w:t> </w:t>
      </w:r>
      <w:r>
        <w:rPr>
          <w:i/>
          <w:spacing w:val="-4"/>
          <w:sz w:val="23"/>
        </w:rPr>
        <w:t>una</w:t>
      </w:r>
      <w:r>
        <w:rPr>
          <w:i/>
          <w:spacing w:val="-9"/>
          <w:sz w:val="23"/>
        </w:rPr>
        <w:t> </w:t>
      </w:r>
      <w:r>
        <w:rPr>
          <w:i/>
          <w:spacing w:val="-4"/>
          <w:sz w:val="23"/>
        </w:rPr>
        <w:t>entidad.</w:t>
      </w:r>
      <w:r>
        <w:rPr>
          <w:i/>
          <w:spacing w:val="-10"/>
          <w:sz w:val="23"/>
        </w:rPr>
        <w:t> </w:t>
      </w:r>
      <w:r>
        <w:rPr>
          <w:i/>
          <w:spacing w:val="-4"/>
          <w:sz w:val="23"/>
        </w:rPr>
        <w:t>La</w:t>
      </w:r>
      <w:r>
        <w:rPr>
          <w:i/>
          <w:spacing w:val="-9"/>
          <w:sz w:val="23"/>
        </w:rPr>
        <w:t> </w:t>
      </w:r>
      <w:r>
        <w:rPr>
          <w:i/>
          <w:spacing w:val="-4"/>
          <w:sz w:val="23"/>
        </w:rPr>
        <w:t>NICSP</w:t>
      </w:r>
      <w:r>
        <w:rPr>
          <w:i/>
          <w:spacing w:val="-9"/>
          <w:sz w:val="23"/>
        </w:rPr>
        <w:t> </w:t>
      </w:r>
      <w:r>
        <w:rPr>
          <w:i/>
          <w:spacing w:val="-4"/>
          <w:sz w:val="23"/>
        </w:rPr>
        <w:t>30</w:t>
      </w:r>
      <w:r>
        <w:rPr>
          <w:i/>
          <w:spacing w:val="-9"/>
          <w:sz w:val="23"/>
        </w:rPr>
        <w:t> </w:t>
      </w:r>
      <w:r>
        <w:rPr>
          <w:i/>
          <w:spacing w:val="-4"/>
          <w:sz w:val="23"/>
        </w:rPr>
        <w:t>Instrumentos</w:t>
      </w:r>
      <w:r>
        <w:rPr>
          <w:i/>
          <w:spacing w:val="-10"/>
          <w:sz w:val="23"/>
        </w:rPr>
        <w:t> </w:t>
      </w:r>
      <w:r>
        <w:rPr>
          <w:i/>
          <w:spacing w:val="-4"/>
          <w:sz w:val="23"/>
        </w:rPr>
        <w:t>Financieros: </w:t>
      </w:r>
      <w:r>
        <w:rPr>
          <w:i/>
          <w:sz w:val="23"/>
        </w:rPr>
        <w:t>Información a Revelar requiere la revelación de información acerca de las fechas de </w:t>
      </w:r>
      <w:r>
        <w:rPr>
          <w:i/>
          <w:spacing w:val="-4"/>
          <w:sz w:val="23"/>
        </w:rPr>
        <w:t>vencimiento</w:t>
      </w:r>
      <w:r>
        <w:rPr>
          <w:i/>
          <w:spacing w:val="-11"/>
          <w:sz w:val="23"/>
        </w:rPr>
        <w:t> </w:t>
      </w:r>
      <w:r>
        <w:rPr>
          <w:i/>
          <w:spacing w:val="-4"/>
          <w:sz w:val="23"/>
        </w:rPr>
        <w:t>de</w:t>
      </w:r>
      <w:r>
        <w:rPr>
          <w:i/>
          <w:spacing w:val="-10"/>
          <w:sz w:val="23"/>
        </w:rPr>
        <w:t> </w:t>
      </w:r>
      <w:r>
        <w:rPr>
          <w:i/>
          <w:spacing w:val="-4"/>
          <w:sz w:val="23"/>
        </w:rPr>
        <w:t>los</w:t>
      </w:r>
      <w:r>
        <w:rPr>
          <w:i/>
          <w:spacing w:val="-11"/>
          <w:sz w:val="23"/>
        </w:rPr>
        <w:t> </w:t>
      </w:r>
      <w:r>
        <w:rPr>
          <w:i/>
          <w:spacing w:val="-4"/>
          <w:sz w:val="23"/>
        </w:rPr>
        <w:t>activos</w:t>
      </w:r>
      <w:r>
        <w:rPr>
          <w:i/>
          <w:spacing w:val="-10"/>
          <w:sz w:val="23"/>
        </w:rPr>
        <w:t> </w:t>
      </w:r>
      <w:r>
        <w:rPr>
          <w:i/>
          <w:spacing w:val="-4"/>
          <w:sz w:val="23"/>
        </w:rPr>
        <w:t>y</w:t>
      </w:r>
      <w:r>
        <w:rPr>
          <w:i/>
          <w:spacing w:val="-10"/>
          <w:sz w:val="23"/>
        </w:rPr>
        <w:t> </w:t>
      </w:r>
      <w:r>
        <w:rPr>
          <w:i/>
          <w:spacing w:val="-4"/>
          <w:sz w:val="23"/>
        </w:rPr>
        <w:t>pasivos</w:t>
      </w:r>
      <w:r>
        <w:rPr>
          <w:i/>
          <w:spacing w:val="-11"/>
          <w:sz w:val="23"/>
        </w:rPr>
        <w:t> </w:t>
      </w:r>
      <w:r>
        <w:rPr>
          <w:i/>
          <w:spacing w:val="-4"/>
          <w:sz w:val="23"/>
        </w:rPr>
        <w:t>financieros.</w:t>
      </w:r>
      <w:r>
        <w:rPr>
          <w:i/>
          <w:spacing w:val="-10"/>
          <w:sz w:val="23"/>
        </w:rPr>
        <w:t> </w:t>
      </w:r>
      <w:r>
        <w:rPr>
          <w:i/>
          <w:spacing w:val="-4"/>
          <w:sz w:val="23"/>
        </w:rPr>
        <w:t>Los</w:t>
      </w:r>
      <w:r>
        <w:rPr>
          <w:i/>
          <w:spacing w:val="-10"/>
          <w:sz w:val="23"/>
        </w:rPr>
        <w:t> </w:t>
      </w:r>
      <w:r>
        <w:rPr>
          <w:i/>
          <w:spacing w:val="-4"/>
          <w:sz w:val="23"/>
        </w:rPr>
        <w:t>activos</w:t>
      </w:r>
      <w:r>
        <w:rPr>
          <w:i/>
          <w:spacing w:val="-11"/>
          <w:sz w:val="23"/>
        </w:rPr>
        <w:t> </w:t>
      </w:r>
      <w:r>
        <w:rPr>
          <w:i/>
          <w:spacing w:val="-4"/>
          <w:sz w:val="23"/>
        </w:rPr>
        <w:t>financieros</w:t>
      </w:r>
      <w:r>
        <w:rPr>
          <w:i/>
          <w:spacing w:val="-10"/>
          <w:sz w:val="23"/>
        </w:rPr>
        <w:t> </w:t>
      </w:r>
      <w:r>
        <w:rPr>
          <w:i/>
          <w:spacing w:val="-4"/>
          <w:sz w:val="23"/>
        </w:rPr>
        <w:t>incluyen</w:t>
      </w:r>
      <w:r>
        <w:rPr>
          <w:i/>
          <w:spacing w:val="-11"/>
          <w:sz w:val="23"/>
        </w:rPr>
        <w:t> </w:t>
      </w:r>
      <w:r>
        <w:rPr>
          <w:i/>
          <w:spacing w:val="-4"/>
          <w:sz w:val="23"/>
        </w:rPr>
        <w:t>las</w:t>
      </w:r>
      <w:r>
        <w:rPr>
          <w:i/>
          <w:spacing w:val="-10"/>
          <w:sz w:val="23"/>
        </w:rPr>
        <w:t> </w:t>
      </w:r>
      <w:r>
        <w:rPr>
          <w:i/>
          <w:spacing w:val="-4"/>
          <w:sz w:val="23"/>
        </w:rPr>
        <w:t>cuentas</w:t>
      </w:r>
      <w:r>
        <w:rPr>
          <w:i/>
          <w:spacing w:val="-10"/>
          <w:sz w:val="23"/>
        </w:rPr>
        <w:t> </w:t>
      </w:r>
      <w:r>
        <w:rPr>
          <w:i/>
          <w:spacing w:val="-4"/>
          <w:sz w:val="23"/>
        </w:rPr>
        <w:t>de </w:t>
      </w:r>
      <w:r>
        <w:rPr>
          <w:i/>
          <w:sz w:val="23"/>
        </w:rPr>
        <w:t>deudores</w:t>
      </w:r>
      <w:r>
        <w:rPr>
          <w:i/>
          <w:spacing w:val="15"/>
          <w:sz w:val="23"/>
        </w:rPr>
        <w:t> </w:t>
      </w:r>
      <w:r>
        <w:rPr>
          <w:i/>
          <w:sz w:val="23"/>
        </w:rPr>
        <w:t>comerciales</w:t>
      </w:r>
      <w:r>
        <w:rPr>
          <w:i/>
          <w:spacing w:val="16"/>
          <w:sz w:val="23"/>
        </w:rPr>
        <w:t> </w:t>
      </w:r>
      <w:r>
        <w:rPr>
          <w:i/>
          <w:sz w:val="23"/>
        </w:rPr>
        <w:t>y</w:t>
      </w:r>
      <w:r>
        <w:rPr>
          <w:i/>
          <w:spacing w:val="14"/>
          <w:sz w:val="23"/>
        </w:rPr>
        <w:t> </w:t>
      </w:r>
      <w:r>
        <w:rPr>
          <w:i/>
          <w:sz w:val="23"/>
        </w:rPr>
        <w:t>otras</w:t>
      </w:r>
      <w:r>
        <w:rPr>
          <w:i/>
          <w:spacing w:val="15"/>
          <w:sz w:val="23"/>
        </w:rPr>
        <w:t> </w:t>
      </w:r>
      <w:r>
        <w:rPr>
          <w:i/>
          <w:sz w:val="23"/>
        </w:rPr>
        <w:t>cuentas</w:t>
      </w:r>
      <w:r>
        <w:rPr>
          <w:i/>
          <w:spacing w:val="14"/>
          <w:sz w:val="23"/>
        </w:rPr>
        <w:t> </w:t>
      </w:r>
      <w:r>
        <w:rPr>
          <w:i/>
          <w:sz w:val="23"/>
        </w:rPr>
        <w:t>por</w:t>
      </w:r>
      <w:r>
        <w:rPr>
          <w:i/>
          <w:spacing w:val="13"/>
          <w:sz w:val="23"/>
        </w:rPr>
        <w:t> </w:t>
      </w:r>
      <w:r>
        <w:rPr>
          <w:i/>
          <w:sz w:val="23"/>
        </w:rPr>
        <w:t>cobrar</w:t>
      </w:r>
      <w:r>
        <w:rPr>
          <w:i/>
          <w:spacing w:val="15"/>
          <w:sz w:val="23"/>
        </w:rPr>
        <w:t> </w:t>
      </w:r>
      <w:r>
        <w:rPr>
          <w:i/>
          <w:sz w:val="23"/>
        </w:rPr>
        <w:t>y</w:t>
      </w:r>
      <w:r>
        <w:rPr>
          <w:i/>
          <w:spacing w:val="14"/>
          <w:sz w:val="23"/>
        </w:rPr>
        <w:t> </w:t>
      </w:r>
      <w:r>
        <w:rPr>
          <w:i/>
          <w:sz w:val="23"/>
        </w:rPr>
        <w:t>los</w:t>
      </w:r>
      <w:r>
        <w:rPr>
          <w:i/>
          <w:spacing w:val="16"/>
          <w:sz w:val="23"/>
        </w:rPr>
        <w:t> </w:t>
      </w:r>
      <w:r>
        <w:rPr>
          <w:i/>
          <w:sz w:val="23"/>
        </w:rPr>
        <w:t>pasivos</w:t>
      </w:r>
      <w:r>
        <w:rPr>
          <w:i/>
          <w:spacing w:val="16"/>
          <w:sz w:val="23"/>
        </w:rPr>
        <w:t> </w:t>
      </w:r>
      <w:r>
        <w:rPr>
          <w:i/>
          <w:sz w:val="23"/>
        </w:rPr>
        <w:t>financieros</w:t>
      </w:r>
      <w:r>
        <w:rPr>
          <w:i/>
          <w:spacing w:val="14"/>
          <w:sz w:val="23"/>
        </w:rPr>
        <w:t> </w:t>
      </w:r>
      <w:r>
        <w:rPr>
          <w:i/>
          <w:sz w:val="23"/>
        </w:rPr>
        <w:t>las</w:t>
      </w:r>
      <w:r>
        <w:rPr>
          <w:i/>
          <w:spacing w:val="13"/>
          <w:sz w:val="23"/>
        </w:rPr>
        <w:t> </w:t>
      </w:r>
      <w:r>
        <w:rPr>
          <w:i/>
          <w:sz w:val="23"/>
        </w:rPr>
        <w:t>cuentas</w:t>
      </w:r>
      <w:r>
        <w:rPr>
          <w:i/>
          <w:spacing w:val="16"/>
          <w:sz w:val="23"/>
        </w:rPr>
        <w:t> </w:t>
      </w:r>
      <w:r>
        <w:rPr>
          <w:i/>
          <w:spacing w:val="-5"/>
          <w:sz w:val="23"/>
        </w:rPr>
        <w:t>de</w:t>
      </w:r>
    </w:p>
    <w:p>
      <w:pPr>
        <w:spacing w:after="0" w:line="247" w:lineRule="auto"/>
        <w:jc w:val="both"/>
        <w:rPr>
          <w:i/>
          <w:sz w:val="23"/>
        </w:rPr>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6128">
                <wp:simplePos x="0" y="0"/>
                <wp:positionH relativeFrom="page">
                  <wp:posOffset>9525</wp:posOffset>
                </wp:positionH>
                <wp:positionV relativeFrom="page">
                  <wp:posOffset>297208</wp:posOffset>
                </wp:positionV>
                <wp:extent cx="7762875" cy="9748520"/>
                <wp:effectExtent l="0" t="0" r="0" b="0"/>
                <wp:wrapNone/>
                <wp:docPr id="1235" name="Group 1235"/>
                <wp:cNvGraphicFramePr>
                  <a:graphicFrameLocks/>
                </wp:cNvGraphicFramePr>
                <a:graphic>
                  <a:graphicData uri="http://schemas.microsoft.com/office/word/2010/wordprocessingGroup">
                    <wpg:wgp>
                      <wpg:cNvPr id="1235" name="Group 1235"/>
                      <wpg:cNvGrpSpPr/>
                      <wpg:grpSpPr>
                        <a:xfrm>
                          <a:off x="0" y="0"/>
                          <a:ext cx="7762875" cy="9748520"/>
                          <a:chExt cx="7762875" cy="9748520"/>
                        </a:xfrm>
                      </wpg:grpSpPr>
                      <pic:pic>
                        <pic:nvPicPr>
                          <pic:cNvPr id="1236" name="Image 1236"/>
                          <pic:cNvPicPr/>
                        </pic:nvPicPr>
                        <pic:blipFill>
                          <a:blip r:embed="rId5" cstate="print"/>
                          <a:stretch>
                            <a:fillRect/>
                          </a:stretch>
                        </pic:blipFill>
                        <pic:spPr>
                          <a:xfrm>
                            <a:off x="0" y="0"/>
                            <a:ext cx="7762874" cy="9748489"/>
                          </a:xfrm>
                          <a:prstGeom prst="rect">
                            <a:avLst/>
                          </a:prstGeom>
                        </pic:spPr>
                      </pic:pic>
                      <wps:wsp>
                        <wps:cNvPr id="1237" name="Graphic 1237"/>
                        <wps:cNvSpPr/>
                        <wps:spPr>
                          <a:xfrm>
                            <a:off x="1053007" y="990837"/>
                            <a:ext cx="5736590" cy="7423150"/>
                          </a:xfrm>
                          <a:custGeom>
                            <a:avLst/>
                            <a:gdLst/>
                            <a:ahLst/>
                            <a:cxnLst/>
                            <a:rect l="l" t="t" r="r" b="b"/>
                            <a:pathLst>
                              <a:path w="5736590" h="7423150">
                                <a:moveTo>
                                  <a:pt x="21336" y="4498073"/>
                                </a:moveTo>
                                <a:lnTo>
                                  <a:pt x="15240" y="4498073"/>
                                </a:lnTo>
                                <a:lnTo>
                                  <a:pt x="15240" y="7416787"/>
                                </a:lnTo>
                                <a:lnTo>
                                  <a:pt x="21336" y="7416787"/>
                                </a:lnTo>
                                <a:lnTo>
                                  <a:pt x="21336" y="4498073"/>
                                </a:lnTo>
                                <a:close/>
                              </a:path>
                              <a:path w="5736590" h="7423150">
                                <a:moveTo>
                                  <a:pt x="5649214" y="0"/>
                                </a:moveTo>
                                <a:lnTo>
                                  <a:pt x="0" y="0"/>
                                </a:lnTo>
                                <a:lnTo>
                                  <a:pt x="0" y="9131"/>
                                </a:lnTo>
                                <a:lnTo>
                                  <a:pt x="5649214" y="9131"/>
                                </a:lnTo>
                                <a:lnTo>
                                  <a:pt x="5649214" y="0"/>
                                </a:lnTo>
                                <a:close/>
                              </a:path>
                              <a:path w="5736590" h="7423150">
                                <a:moveTo>
                                  <a:pt x="5736018" y="7416800"/>
                                </a:moveTo>
                                <a:lnTo>
                                  <a:pt x="5729986" y="7416800"/>
                                </a:lnTo>
                                <a:lnTo>
                                  <a:pt x="21336" y="7416800"/>
                                </a:lnTo>
                                <a:lnTo>
                                  <a:pt x="15240" y="7416800"/>
                                </a:lnTo>
                                <a:lnTo>
                                  <a:pt x="15240" y="7422883"/>
                                </a:lnTo>
                                <a:lnTo>
                                  <a:pt x="21336" y="7422883"/>
                                </a:lnTo>
                                <a:lnTo>
                                  <a:pt x="5729935" y="7422883"/>
                                </a:lnTo>
                                <a:lnTo>
                                  <a:pt x="5736018" y="7422883"/>
                                </a:lnTo>
                                <a:lnTo>
                                  <a:pt x="5736018" y="7416800"/>
                                </a:lnTo>
                                <a:close/>
                              </a:path>
                              <a:path w="5736590" h="7423150">
                                <a:moveTo>
                                  <a:pt x="5736018" y="4498073"/>
                                </a:moveTo>
                                <a:lnTo>
                                  <a:pt x="5729935" y="4498073"/>
                                </a:lnTo>
                                <a:lnTo>
                                  <a:pt x="5729935" y="7416787"/>
                                </a:lnTo>
                                <a:lnTo>
                                  <a:pt x="5736018" y="7416787"/>
                                </a:lnTo>
                                <a:lnTo>
                                  <a:pt x="5736018" y="4498073"/>
                                </a:lnTo>
                                <a:close/>
                              </a:path>
                              <a:path w="5736590" h="7423150">
                                <a:moveTo>
                                  <a:pt x="5736018" y="4491850"/>
                                </a:moveTo>
                                <a:lnTo>
                                  <a:pt x="5729986" y="4491850"/>
                                </a:lnTo>
                                <a:lnTo>
                                  <a:pt x="21336" y="4491850"/>
                                </a:lnTo>
                                <a:lnTo>
                                  <a:pt x="15240" y="4491850"/>
                                </a:lnTo>
                                <a:lnTo>
                                  <a:pt x="15240" y="4497946"/>
                                </a:lnTo>
                                <a:lnTo>
                                  <a:pt x="21336" y="4497946"/>
                                </a:lnTo>
                                <a:lnTo>
                                  <a:pt x="5729935" y="4497946"/>
                                </a:lnTo>
                                <a:lnTo>
                                  <a:pt x="5736018" y="4497946"/>
                                </a:lnTo>
                                <a:lnTo>
                                  <a:pt x="5736018" y="449185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40352" id="docshapegroup1179" coordorigin="15,468" coordsize="12225,15352">
                <v:shape style="position:absolute;left:15;top:468;width:12225;height:15352" type="#_x0000_t75" id="docshape1180" stroked="false">
                  <v:imagedata r:id="rId5" o:title=""/>
                </v:shape>
                <v:shape style="position:absolute;left:1673;top:2028;width:9034;height:11690" id="docshape1181" coordorigin="1673,2028" coordsize="9034,11690" path="m1707,9112l1697,9112,1697,13708,1707,13708,1707,9112xm10570,2028l1673,2028,1673,2043,10570,2043,10570,2028xm10706,13708l10697,13708,10697,13708,1707,13708,1697,13708,1697,13718,1707,13718,10697,13718,10697,13718,10706,13718,10706,13708xm10706,9112l10697,9112,10697,13708,10706,13708,10706,9112xm10706,9102l10697,9102,10697,9102,1707,9102,1697,9102,1697,9112,1707,9112,10697,9112,10697,9112,10706,9112,10706,9102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244</w:t>
      </w:r>
    </w:p>
    <w:p>
      <w:pPr>
        <w:spacing w:line="247" w:lineRule="auto" w:before="209"/>
        <w:ind w:left="1330" w:right="975" w:firstLine="0"/>
        <w:jc w:val="both"/>
        <w:rPr>
          <w:i/>
          <w:sz w:val="23"/>
        </w:rPr>
      </w:pPr>
      <w:r>
        <w:rPr>
          <w:i/>
          <w:sz w:val="23"/>
        </w:rPr>
        <w:t>acreedores</w:t>
      </w:r>
      <w:r>
        <w:rPr>
          <w:i/>
          <w:spacing w:val="-8"/>
          <w:sz w:val="23"/>
        </w:rPr>
        <w:t> </w:t>
      </w:r>
      <w:r>
        <w:rPr>
          <w:i/>
          <w:sz w:val="23"/>
        </w:rPr>
        <w:t>comerciales</w:t>
      </w:r>
      <w:r>
        <w:rPr>
          <w:i/>
          <w:spacing w:val="-8"/>
          <w:sz w:val="23"/>
        </w:rPr>
        <w:t> </w:t>
      </w:r>
      <w:r>
        <w:rPr>
          <w:i/>
          <w:sz w:val="23"/>
        </w:rPr>
        <w:t>y</w:t>
      </w:r>
      <w:r>
        <w:rPr>
          <w:i/>
          <w:spacing w:val="-9"/>
          <w:sz w:val="23"/>
        </w:rPr>
        <w:t> </w:t>
      </w:r>
      <w:r>
        <w:rPr>
          <w:i/>
          <w:sz w:val="23"/>
        </w:rPr>
        <w:t>otras</w:t>
      </w:r>
      <w:r>
        <w:rPr>
          <w:i/>
          <w:spacing w:val="-8"/>
          <w:sz w:val="23"/>
        </w:rPr>
        <w:t> </w:t>
      </w:r>
      <w:r>
        <w:rPr>
          <w:i/>
          <w:sz w:val="23"/>
        </w:rPr>
        <w:t>cuentas</w:t>
      </w:r>
      <w:r>
        <w:rPr>
          <w:i/>
          <w:spacing w:val="-8"/>
          <w:sz w:val="23"/>
        </w:rPr>
        <w:t> </w:t>
      </w:r>
      <w:r>
        <w:rPr>
          <w:i/>
          <w:sz w:val="23"/>
        </w:rPr>
        <w:t>por</w:t>
      </w:r>
      <w:r>
        <w:rPr>
          <w:i/>
          <w:spacing w:val="-9"/>
          <w:sz w:val="23"/>
        </w:rPr>
        <w:t> </w:t>
      </w:r>
      <w:r>
        <w:rPr>
          <w:i/>
          <w:sz w:val="23"/>
        </w:rPr>
        <w:t>pagar.</w:t>
      </w:r>
      <w:r>
        <w:rPr>
          <w:i/>
          <w:spacing w:val="-10"/>
          <w:sz w:val="23"/>
        </w:rPr>
        <w:t> </w:t>
      </w:r>
      <w:r>
        <w:rPr>
          <w:i/>
          <w:sz w:val="23"/>
        </w:rPr>
        <w:t>También</w:t>
      </w:r>
      <w:r>
        <w:rPr>
          <w:i/>
          <w:spacing w:val="-9"/>
          <w:sz w:val="23"/>
        </w:rPr>
        <w:t> </w:t>
      </w:r>
      <w:r>
        <w:rPr>
          <w:i/>
          <w:sz w:val="23"/>
        </w:rPr>
        <w:t>será</w:t>
      </w:r>
      <w:r>
        <w:rPr>
          <w:i/>
          <w:spacing w:val="-9"/>
          <w:sz w:val="23"/>
        </w:rPr>
        <w:t> </w:t>
      </w:r>
      <w:r>
        <w:rPr>
          <w:i/>
          <w:sz w:val="23"/>
        </w:rPr>
        <w:t>de</w:t>
      </w:r>
      <w:r>
        <w:rPr>
          <w:i/>
          <w:spacing w:val="-10"/>
          <w:sz w:val="23"/>
        </w:rPr>
        <w:t> </w:t>
      </w:r>
      <w:r>
        <w:rPr>
          <w:i/>
          <w:sz w:val="23"/>
        </w:rPr>
        <w:t>utilidad</w:t>
      </w:r>
      <w:r>
        <w:rPr>
          <w:i/>
          <w:spacing w:val="-9"/>
          <w:sz w:val="23"/>
        </w:rPr>
        <w:t> </w:t>
      </w:r>
      <w:r>
        <w:rPr>
          <w:i/>
          <w:sz w:val="23"/>
        </w:rPr>
        <w:t>la</w:t>
      </w:r>
      <w:r>
        <w:rPr>
          <w:i/>
          <w:spacing w:val="-10"/>
          <w:sz w:val="23"/>
        </w:rPr>
        <w:t> </w:t>
      </w:r>
      <w:r>
        <w:rPr>
          <w:i/>
          <w:sz w:val="23"/>
        </w:rPr>
        <w:t>información </w:t>
      </w:r>
      <w:r>
        <w:rPr>
          <w:i/>
          <w:spacing w:val="-6"/>
          <w:sz w:val="23"/>
        </w:rPr>
        <w:t>sobre las fechas esperadas de recuperación y liquidación de los activos y pasivos no monetarios </w:t>
      </w:r>
      <w:r>
        <w:rPr>
          <w:i/>
          <w:sz w:val="23"/>
        </w:rPr>
        <w:t>tales como inventarios y provisiones con independencia de que los activos y pasivos se clasifiquen</w:t>
      </w:r>
      <w:r>
        <w:rPr>
          <w:i/>
          <w:spacing w:val="-13"/>
          <w:sz w:val="23"/>
        </w:rPr>
        <w:t> </w:t>
      </w:r>
      <w:r>
        <w:rPr>
          <w:i/>
          <w:sz w:val="23"/>
        </w:rPr>
        <w:t>como</w:t>
      </w:r>
      <w:r>
        <w:rPr>
          <w:i/>
          <w:spacing w:val="-13"/>
          <w:sz w:val="23"/>
        </w:rPr>
        <w:t> </w:t>
      </w:r>
      <w:r>
        <w:rPr>
          <w:i/>
          <w:sz w:val="23"/>
        </w:rPr>
        <w:t>partidas</w:t>
      </w:r>
      <w:r>
        <w:rPr>
          <w:i/>
          <w:spacing w:val="-12"/>
          <w:sz w:val="23"/>
        </w:rPr>
        <w:t> </w:t>
      </w:r>
      <w:r>
        <w:rPr>
          <w:i/>
          <w:sz w:val="23"/>
        </w:rPr>
        <w:t>corrientes</w:t>
      </w:r>
      <w:r>
        <w:rPr>
          <w:i/>
          <w:spacing w:val="-14"/>
          <w:sz w:val="23"/>
        </w:rPr>
        <w:t> </w:t>
      </w:r>
      <w:r>
        <w:rPr>
          <w:i/>
          <w:sz w:val="23"/>
        </w:rPr>
        <w:t>o</w:t>
      </w:r>
      <w:r>
        <w:rPr>
          <w:i/>
          <w:spacing w:val="-12"/>
          <w:sz w:val="23"/>
        </w:rPr>
        <w:t> </w:t>
      </w:r>
      <w:r>
        <w:rPr>
          <w:i/>
          <w:sz w:val="23"/>
        </w:rPr>
        <w:t>no</w:t>
      </w:r>
      <w:r>
        <w:rPr>
          <w:i/>
          <w:spacing w:val="-12"/>
          <w:sz w:val="23"/>
        </w:rPr>
        <w:t> </w:t>
      </w:r>
      <w:r>
        <w:rPr>
          <w:i/>
          <w:sz w:val="23"/>
        </w:rPr>
        <w:t>corrientes.”</w:t>
      </w:r>
    </w:p>
    <w:p>
      <w:pPr>
        <w:pStyle w:val="BodyText"/>
        <w:spacing w:line="259" w:lineRule="auto" w:before="171"/>
        <w:ind w:left="622" w:right="1082"/>
      </w:pPr>
      <w:r>
        <w:rPr/>
        <w:t>La</w:t>
      </w:r>
      <w:r>
        <w:rPr>
          <w:spacing w:val="-4"/>
        </w:rPr>
        <w:t> </w:t>
      </w:r>
      <w:r>
        <w:rPr/>
        <w:t>antigüedad</w:t>
      </w:r>
      <w:r>
        <w:rPr>
          <w:spacing w:val="-3"/>
        </w:rPr>
        <w:t> </w:t>
      </w:r>
      <w:r>
        <w:rPr/>
        <w:t>de</w:t>
      </w:r>
      <w:r>
        <w:rPr>
          <w:spacing w:val="-4"/>
        </w:rPr>
        <w:t> </w:t>
      </w:r>
      <w:r>
        <w:rPr/>
        <w:t>las</w:t>
      </w:r>
      <w:r>
        <w:rPr>
          <w:spacing w:val="-2"/>
        </w:rPr>
        <w:t> </w:t>
      </w:r>
      <w:r>
        <w:rPr/>
        <w:t>deudas</w:t>
      </w:r>
      <w:r>
        <w:rPr>
          <w:spacing w:val="-2"/>
        </w:rPr>
        <w:t> </w:t>
      </w:r>
      <w:r>
        <w:rPr/>
        <w:t>comerciales</w:t>
      </w:r>
      <w:r>
        <w:rPr>
          <w:spacing w:val="-2"/>
        </w:rPr>
        <w:t> </w:t>
      </w:r>
      <w:r>
        <w:rPr/>
        <w:t>por</w:t>
      </w:r>
      <w:r>
        <w:rPr>
          <w:spacing w:val="-3"/>
        </w:rPr>
        <w:t> </w:t>
      </w:r>
      <w:r>
        <w:rPr/>
        <w:t>adquisición</w:t>
      </w:r>
      <w:r>
        <w:rPr>
          <w:spacing w:val="-3"/>
        </w:rPr>
        <w:t> </w:t>
      </w:r>
      <w:r>
        <w:rPr/>
        <w:t>de</w:t>
      </w:r>
      <w:r>
        <w:rPr>
          <w:spacing w:val="-5"/>
        </w:rPr>
        <w:t> </w:t>
      </w:r>
      <w:r>
        <w:rPr/>
        <w:t>bienes</w:t>
      </w:r>
      <w:r>
        <w:rPr>
          <w:spacing w:val="-2"/>
        </w:rPr>
        <w:t> </w:t>
      </w:r>
      <w:r>
        <w:rPr/>
        <w:t>y</w:t>
      </w:r>
      <w:r>
        <w:rPr>
          <w:spacing w:val="-4"/>
        </w:rPr>
        <w:t> </w:t>
      </w:r>
      <w:r>
        <w:rPr/>
        <w:t>servicios,</w:t>
      </w:r>
      <w:r>
        <w:rPr>
          <w:spacing w:val="-3"/>
        </w:rPr>
        <w:t> </w:t>
      </w:r>
      <w:r>
        <w:rPr/>
        <w:t>el</w:t>
      </w:r>
      <w:r>
        <w:rPr>
          <w:spacing w:val="-3"/>
        </w:rPr>
        <w:t> </w:t>
      </w:r>
      <w:r>
        <w:rPr/>
        <w:t>detalle</w:t>
      </w:r>
      <w:r>
        <w:rPr>
          <w:spacing w:val="-5"/>
        </w:rPr>
        <w:t> </w:t>
      </w:r>
      <w:r>
        <w:rPr/>
        <w:t>se</w:t>
      </w:r>
      <w:r>
        <w:rPr>
          <w:spacing w:val="-4"/>
        </w:rPr>
        <w:t> </w:t>
      </w:r>
      <w:r>
        <w:rPr/>
        <w:t>revela</w:t>
      </w:r>
      <w:r>
        <w:rPr>
          <w:spacing w:val="-2"/>
        </w:rPr>
        <w:t> </w:t>
      </w:r>
      <w:r>
        <w:rPr/>
        <w:t>en la Nota14 de este documento.</w:t>
      </w:r>
    </w:p>
    <w:p>
      <w:pPr>
        <w:pStyle w:val="BodyText"/>
      </w:pPr>
    </w:p>
    <w:p>
      <w:pPr>
        <w:pStyle w:val="BodyText"/>
        <w:spacing w:before="89"/>
      </w:pPr>
    </w:p>
    <w:p>
      <w:pPr>
        <w:pStyle w:val="Heading5"/>
        <w:ind w:right="1001"/>
      </w:pPr>
      <w:bookmarkStart w:name="_bookmark160" w:id="161"/>
      <w:bookmarkEnd w:id="161"/>
      <w:r>
        <w:rPr>
          <w:b w:val="0"/>
        </w:rPr>
      </w:r>
      <w:r>
        <w:rPr/>
        <w:t>NICSP</w:t>
      </w:r>
      <w:r>
        <w:rPr>
          <w:spacing w:val="-2"/>
        </w:rPr>
        <w:t> </w:t>
      </w:r>
      <w:r>
        <w:rPr/>
        <w:t>33</w:t>
      </w:r>
      <w:r>
        <w:rPr>
          <w:spacing w:val="-3"/>
        </w:rPr>
        <w:t> </w:t>
      </w:r>
      <w:r>
        <w:rPr/>
        <w:t>-</w:t>
      </w:r>
      <w:r>
        <w:rPr>
          <w:spacing w:val="-3"/>
        </w:rPr>
        <w:t> </w:t>
      </w:r>
      <w:r>
        <w:rPr/>
        <w:t>ADOPCIÓN</w:t>
      </w:r>
      <w:r>
        <w:rPr>
          <w:spacing w:val="-1"/>
        </w:rPr>
        <w:t> </w:t>
      </w:r>
      <w:r>
        <w:rPr/>
        <w:t>POR</w:t>
      </w:r>
      <w:r>
        <w:rPr>
          <w:spacing w:val="-2"/>
        </w:rPr>
        <w:t> </w:t>
      </w:r>
      <w:r>
        <w:rPr/>
        <w:t>PRIMERA</w:t>
      </w:r>
      <w:r>
        <w:rPr>
          <w:spacing w:val="-2"/>
        </w:rPr>
        <w:t> </w:t>
      </w:r>
      <w:r>
        <w:rPr/>
        <w:t>VEZ</w:t>
      </w:r>
      <w:r>
        <w:rPr>
          <w:spacing w:val="-3"/>
        </w:rPr>
        <w:t> </w:t>
      </w:r>
      <w:r>
        <w:rPr/>
        <w:t>DE</w:t>
      </w:r>
      <w:r>
        <w:rPr>
          <w:spacing w:val="-3"/>
        </w:rPr>
        <w:t> </w:t>
      </w:r>
      <w:r>
        <w:rPr/>
        <w:t>LAS</w:t>
      </w:r>
      <w:r>
        <w:rPr>
          <w:spacing w:val="-4"/>
        </w:rPr>
        <w:t> </w:t>
      </w:r>
      <w:r>
        <w:rPr/>
        <w:t>NICSP</w:t>
      </w:r>
      <w:r>
        <w:rPr>
          <w:spacing w:val="-2"/>
        </w:rPr>
        <w:t> </w:t>
      </w:r>
      <w:r>
        <w:rPr/>
        <w:t>DE</w:t>
      </w:r>
      <w:r>
        <w:rPr>
          <w:spacing w:val="-4"/>
        </w:rPr>
        <w:t> </w:t>
      </w:r>
      <w:r>
        <w:rPr/>
        <w:t>BASE</w:t>
      </w:r>
      <w:r>
        <w:rPr>
          <w:spacing w:val="-3"/>
        </w:rPr>
        <w:t> </w:t>
      </w:r>
      <w:r>
        <w:rPr/>
        <w:t>DE</w:t>
      </w:r>
      <w:r>
        <w:rPr>
          <w:spacing w:val="-6"/>
        </w:rPr>
        <w:t> </w:t>
      </w:r>
      <w:r>
        <w:rPr/>
        <w:t>ACUMULA-CIÓN (O DEVENGO)</w:t>
      </w:r>
    </w:p>
    <w:p>
      <w:pPr>
        <w:pStyle w:val="BodyText"/>
        <w:spacing w:before="42"/>
        <w:rPr>
          <w:b/>
        </w:rPr>
      </w:pPr>
    </w:p>
    <w:p>
      <w:pPr>
        <w:spacing w:before="0"/>
        <w:ind w:left="622" w:right="0" w:firstLine="0"/>
        <w:jc w:val="left"/>
        <w:rPr>
          <w:b/>
          <w:sz w:val="22"/>
        </w:rPr>
      </w:pPr>
      <w:bookmarkStart w:name="_bookmark161" w:id="162"/>
      <w:bookmarkEnd w:id="162"/>
      <w:r>
        <w:rPr/>
      </w:r>
      <w:r>
        <w:rPr>
          <w:b/>
          <w:sz w:val="22"/>
        </w:rPr>
        <w:t>NOTA</w:t>
      </w:r>
      <w:r>
        <w:rPr>
          <w:b/>
          <w:spacing w:val="-1"/>
          <w:sz w:val="22"/>
        </w:rPr>
        <w:t> </w:t>
      </w:r>
      <w:r>
        <w:rPr>
          <w:b/>
          <w:sz w:val="22"/>
        </w:rPr>
        <w:t>N° </w:t>
      </w:r>
      <w:r>
        <w:rPr>
          <w:b/>
          <w:spacing w:val="-5"/>
          <w:sz w:val="22"/>
        </w:rPr>
        <w:t>95</w:t>
      </w:r>
    </w:p>
    <w:p>
      <w:pPr>
        <w:pStyle w:val="BodyText"/>
        <w:spacing w:before="124"/>
        <w:rPr>
          <w:b/>
        </w:rPr>
      </w:pPr>
    </w:p>
    <w:p>
      <w:pPr>
        <w:pStyle w:val="Heading6"/>
        <w:spacing w:before="1"/>
        <w:ind w:left="622"/>
      </w:pPr>
      <w:r>
        <w:rPr/>
        <w:t>Información</w:t>
      </w:r>
      <w:r>
        <w:rPr>
          <w:spacing w:val="-3"/>
        </w:rPr>
        <w:t> </w:t>
      </w:r>
      <w:r>
        <w:rPr/>
        <w:t>a</w:t>
      </w:r>
      <w:r>
        <w:rPr>
          <w:spacing w:val="-3"/>
        </w:rPr>
        <w:t> </w:t>
      </w:r>
      <w:r>
        <w:rPr/>
        <w:t>revelar</w:t>
      </w:r>
      <w:r>
        <w:rPr>
          <w:spacing w:val="-3"/>
        </w:rPr>
        <w:t> </w:t>
      </w:r>
      <w:r>
        <w:rPr/>
        <w:t>de</w:t>
      </w:r>
      <w:r>
        <w:rPr>
          <w:spacing w:val="-3"/>
        </w:rPr>
        <w:t> </w:t>
      </w:r>
      <w:r>
        <w:rPr/>
        <w:t>acuerdo</w:t>
      </w:r>
      <w:r>
        <w:rPr>
          <w:spacing w:val="-3"/>
        </w:rPr>
        <w:t> </w:t>
      </w:r>
      <w:r>
        <w:rPr/>
        <w:t>con</w:t>
      </w:r>
      <w:r>
        <w:rPr>
          <w:spacing w:val="-3"/>
        </w:rPr>
        <w:t> </w:t>
      </w:r>
      <w:r>
        <w:rPr/>
        <w:t>el</w:t>
      </w:r>
      <w:r>
        <w:rPr>
          <w:spacing w:val="-3"/>
        </w:rPr>
        <w:t> </w:t>
      </w:r>
      <w:r>
        <w:rPr/>
        <w:t>párrafo</w:t>
      </w:r>
      <w:r>
        <w:rPr>
          <w:spacing w:val="-2"/>
        </w:rPr>
        <w:t> </w:t>
      </w:r>
      <w:r>
        <w:rPr>
          <w:spacing w:val="-5"/>
        </w:rPr>
        <w:t>137</w:t>
      </w:r>
    </w:p>
    <w:p>
      <w:pPr>
        <w:pStyle w:val="BodyText"/>
        <w:spacing w:before="7"/>
        <w:rPr>
          <w:b/>
          <w:sz w:val="15"/>
        </w:r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7"/>
        <w:gridCol w:w="2372"/>
        <w:gridCol w:w="2672"/>
        <w:gridCol w:w="1402"/>
      </w:tblGrid>
      <w:tr>
        <w:trPr>
          <w:trHeight w:val="436" w:hRule="atLeast"/>
        </w:trPr>
        <w:tc>
          <w:tcPr>
            <w:tcW w:w="1837" w:type="dxa"/>
            <w:shd w:val="clear" w:color="auto" w:fill="365F92"/>
          </w:tcPr>
          <w:p>
            <w:pPr>
              <w:pStyle w:val="TableParagraph"/>
              <w:spacing w:before="91"/>
              <w:ind w:left="599"/>
              <w:rPr>
                <w:b/>
                <w:sz w:val="22"/>
              </w:rPr>
            </w:pPr>
            <w:r>
              <w:rPr>
                <w:b/>
                <w:color w:val="FFFFFF"/>
                <w:spacing w:val="-4"/>
                <w:sz w:val="22"/>
              </w:rPr>
              <w:t>NICSP</w:t>
            </w:r>
          </w:p>
        </w:tc>
        <w:tc>
          <w:tcPr>
            <w:tcW w:w="2372" w:type="dxa"/>
            <w:shd w:val="clear" w:color="auto" w:fill="365F92"/>
          </w:tcPr>
          <w:p>
            <w:pPr>
              <w:pStyle w:val="TableParagraph"/>
              <w:spacing w:before="91"/>
              <w:ind w:left="402"/>
              <w:rPr>
                <w:b/>
                <w:sz w:val="22"/>
              </w:rPr>
            </w:pPr>
            <w:r>
              <w:rPr>
                <w:b/>
                <w:color w:val="FFFFFF"/>
                <w:spacing w:val="-2"/>
                <w:sz w:val="22"/>
              </w:rPr>
              <w:t>Brechas/Acciones</w:t>
            </w:r>
          </w:p>
        </w:tc>
        <w:tc>
          <w:tcPr>
            <w:tcW w:w="2672" w:type="dxa"/>
            <w:shd w:val="clear" w:color="auto" w:fill="365F92"/>
          </w:tcPr>
          <w:p>
            <w:pPr>
              <w:pStyle w:val="TableParagraph"/>
              <w:spacing w:before="91"/>
              <w:ind w:left="697"/>
              <w:rPr>
                <w:b/>
                <w:sz w:val="22"/>
              </w:rPr>
            </w:pPr>
            <w:r>
              <w:rPr>
                <w:b/>
                <w:color w:val="FFFFFF"/>
                <w:sz w:val="22"/>
              </w:rPr>
              <w:t>Plan</w:t>
            </w:r>
            <w:r>
              <w:rPr>
                <w:b/>
                <w:color w:val="FFFFFF"/>
                <w:spacing w:val="-4"/>
                <w:sz w:val="22"/>
              </w:rPr>
              <w:t> </w:t>
            </w:r>
            <w:r>
              <w:rPr>
                <w:b/>
                <w:color w:val="FFFFFF"/>
                <w:sz w:val="22"/>
              </w:rPr>
              <w:t>de</w:t>
            </w:r>
            <w:r>
              <w:rPr>
                <w:b/>
                <w:color w:val="FFFFFF"/>
                <w:spacing w:val="-2"/>
                <w:sz w:val="22"/>
              </w:rPr>
              <w:t> acción</w:t>
            </w:r>
          </w:p>
        </w:tc>
        <w:tc>
          <w:tcPr>
            <w:tcW w:w="1402" w:type="dxa"/>
            <w:shd w:val="clear" w:color="auto" w:fill="365F92"/>
          </w:tcPr>
          <w:p>
            <w:pPr>
              <w:pStyle w:val="TableParagraph"/>
              <w:spacing w:before="91"/>
              <w:ind w:left="145"/>
              <w:rPr>
                <w:b/>
                <w:sz w:val="22"/>
              </w:rPr>
            </w:pPr>
            <w:r>
              <w:rPr>
                <w:b/>
                <w:color w:val="FFFFFF"/>
                <w:spacing w:val="-2"/>
                <w:sz w:val="22"/>
              </w:rPr>
              <w:t>Responsable</w:t>
            </w:r>
          </w:p>
        </w:tc>
      </w:tr>
      <w:tr>
        <w:trPr>
          <w:trHeight w:val="501" w:hRule="atLeast"/>
        </w:trPr>
        <w:tc>
          <w:tcPr>
            <w:tcW w:w="1837" w:type="dxa"/>
            <w:shd w:val="clear" w:color="auto" w:fill="FFFFFF"/>
          </w:tcPr>
          <w:p>
            <w:pPr>
              <w:pStyle w:val="TableParagraph"/>
              <w:rPr>
                <w:rFonts w:ascii="Times New Roman"/>
                <w:sz w:val="22"/>
              </w:rPr>
            </w:pPr>
          </w:p>
        </w:tc>
        <w:tc>
          <w:tcPr>
            <w:tcW w:w="2372" w:type="dxa"/>
            <w:shd w:val="clear" w:color="auto" w:fill="FFFFFF"/>
          </w:tcPr>
          <w:p>
            <w:pPr>
              <w:pStyle w:val="TableParagraph"/>
              <w:spacing w:line="249" w:lineRule="exact"/>
              <w:ind w:left="51" w:right="44"/>
              <w:jc w:val="center"/>
              <w:rPr>
                <w:sz w:val="22"/>
              </w:rPr>
            </w:pPr>
            <w:r>
              <w:rPr>
                <w:sz w:val="22"/>
              </w:rPr>
              <w:t>NO</w:t>
            </w:r>
            <w:r>
              <w:rPr>
                <w:spacing w:val="-3"/>
                <w:sz w:val="22"/>
              </w:rPr>
              <w:t> </w:t>
            </w:r>
            <w:r>
              <w:rPr>
                <w:sz w:val="22"/>
              </w:rPr>
              <w:t>SE</w:t>
            </w:r>
            <w:r>
              <w:rPr>
                <w:spacing w:val="-5"/>
                <w:sz w:val="22"/>
              </w:rPr>
              <w:t> </w:t>
            </w:r>
            <w:r>
              <w:rPr>
                <w:sz w:val="22"/>
              </w:rPr>
              <w:t>CUENTA</w:t>
            </w:r>
            <w:r>
              <w:rPr>
                <w:spacing w:val="-2"/>
                <w:sz w:val="22"/>
              </w:rPr>
              <w:t> </w:t>
            </w:r>
            <w:r>
              <w:rPr>
                <w:spacing w:val="-5"/>
                <w:sz w:val="22"/>
              </w:rPr>
              <w:t>CON</w:t>
            </w:r>
          </w:p>
          <w:p>
            <w:pPr>
              <w:pStyle w:val="TableParagraph"/>
              <w:spacing w:line="231" w:lineRule="exact" w:before="1"/>
              <w:ind w:left="7" w:right="51"/>
              <w:jc w:val="center"/>
              <w:rPr>
                <w:sz w:val="22"/>
              </w:rPr>
            </w:pPr>
            <w:r>
              <w:rPr>
                <w:spacing w:val="-2"/>
                <w:sz w:val="22"/>
              </w:rPr>
              <w:t>BRECHAS</w:t>
            </w:r>
          </w:p>
        </w:tc>
        <w:tc>
          <w:tcPr>
            <w:tcW w:w="2672" w:type="dxa"/>
          </w:tcPr>
          <w:p>
            <w:pPr>
              <w:pStyle w:val="TableParagraph"/>
              <w:rPr>
                <w:rFonts w:ascii="Times New Roman"/>
                <w:sz w:val="22"/>
              </w:rPr>
            </w:pPr>
          </w:p>
        </w:tc>
        <w:tc>
          <w:tcPr>
            <w:tcW w:w="1402" w:type="dxa"/>
            <w:shd w:val="clear" w:color="auto" w:fill="FFFFFF"/>
          </w:tcPr>
          <w:p>
            <w:pPr>
              <w:pStyle w:val="TableParagraph"/>
              <w:rPr>
                <w:rFonts w:ascii="Times New Roman"/>
                <w:sz w:val="22"/>
              </w:rPr>
            </w:pPr>
          </w:p>
        </w:tc>
      </w:tr>
      <w:tr>
        <w:trPr>
          <w:trHeight w:val="287" w:hRule="atLeast"/>
        </w:trPr>
        <w:tc>
          <w:tcPr>
            <w:tcW w:w="1837" w:type="dxa"/>
            <w:shd w:val="clear" w:color="auto" w:fill="FFFFFF"/>
          </w:tcPr>
          <w:p>
            <w:pPr>
              <w:pStyle w:val="TableParagraph"/>
              <w:rPr>
                <w:rFonts w:ascii="Times New Roman"/>
                <w:sz w:val="20"/>
              </w:rPr>
            </w:pPr>
          </w:p>
        </w:tc>
        <w:tc>
          <w:tcPr>
            <w:tcW w:w="2372" w:type="dxa"/>
            <w:shd w:val="clear" w:color="auto" w:fill="FFFFFF"/>
          </w:tcPr>
          <w:p>
            <w:pPr>
              <w:pStyle w:val="TableParagraph"/>
              <w:rPr>
                <w:rFonts w:ascii="Times New Roman"/>
                <w:sz w:val="20"/>
              </w:rPr>
            </w:pPr>
          </w:p>
        </w:tc>
        <w:tc>
          <w:tcPr>
            <w:tcW w:w="2672" w:type="dxa"/>
          </w:tcPr>
          <w:p>
            <w:pPr>
              <w:pStyle w:val="TableParagraph"/>
              <w:rPr>
                <w:rFonts w:ascii="Times New Roman"/>
                <w:sz w:val="20"/>
              </w:rPr>
            </w:pPr>
          </w:p>
        </w:tc>
        <w:tc>
          <w:tcPr>
            <w:tcW w:w="1402" w:type="dxa"/>
            <w:shd w:val="clear" w:color="auto" w:fill="FFFFFF"/>
          </w:tcPr>
          <w:p>
            <w:pPr>
              <w:pStyle w:val="TableParagraph"/>
              <w:rPr>
                <w:rFonts w:ascii="Times New Roman"/>
                <w:sz w:val="20"/>
              </w:rPr>
            </w:pPr>
          </w:p>
        </w:tc>
      </w:tr>
      <w:tr>
        <w:trPr>
          <w:trHeight w:val="251" w:hRule="atLeast"/>
        </w:trPr>
        <w:tc>
          <w:tcPr>
            <w:tcW w:w="1837" w:type="dxa"/>
            <w:shd w:val="clear" w:color="auto" w:fill="FFFFFF"/>
          </w:tcPr>
          <w:p>
            <w:pPr>
              <w:pStyle w:val="TableParagraph"/>
              <w:rPr>
                <w:rFonts w:ascii="Times New Roman"/>
                <w:sz w:val="18"/>
              </w:rPr>
            </w:pPr>
          </w:p>
        </w:tc>
        <w:tc>
          <w:tcPr>
            <w:tcW w:w="2372" w:type="dxa"/>
            <w:shd w:val="clear" w:color="auto" w:fill="FFFFFF"/>
          </w:tcPr>
          <w:p>
            <w:pPr>
              <w:pStyle w:val="TableParagraph"/>
              <w:rPr>
                <w:rFonts w:ascii="Times New Roman"/>
                <w:sz w:val="18"/>
              </w:rPr>
            </w:pPr>
          </w:p>
        </w:tc>
        <w:tc>
          <w:tcPr>
            <w:tcW w:w="2672" w:type="dxa"/>
          </w:tcPr>
          <w:p>
            <w:pPr>
              <w:pStyle w:val="TableParagraph"/>
              <w:rPr>
                <w:rFonts w:ascii="Times New Roman"/>
                <w:sz w:val="18"/>
              </w:rPr>
            </w:pPr>
          </w:p>
        </w:tc>
        <w:tc>
          <w:tcPr>
            <w:tcW w:w="1402" w:type="dxa"/>
            <w:shd w:val="clear" w:color="auto" w:fill="FFFFFF"/>
          </w:tcPr>
          <w:p>
            <w:pPr>
              <w:pStyle w:val="TableParagraph"/>
              <w:rPr>
                <w:rFonts w:ascii="Times New Roman"/>
                <w:sz w:val="18"/>
              </w:rPr>
            </w:pPr>
          </w:p>
        </w:tc>
      </w:tr>
      <w:tr>
        <w:trPr>
          <w:trHeight w:val="249" w:hRule="atLeast"/>
        </w:trPr>
        <w:tc>
          <w:tcPr>
            <w:tcW w:w="1837" w:type="dxa"/>
            <w:shd w:val="clear" w:color="auto" w:fill="FFFFFF"/>
          </w:tcPr>
          <w:p>
            <w:pPr>
              <w:pStyle w:val="TableParagraph"/>
              <w:rPr>
                <w:rFonts w:ascii="Times New Roman"/>
                <w:sz w:val="18"/>
              </w:rPr>
            </w:pPr>
          </w:p>
        </w:tc>
        <w:tc>
          <w:tcPr>
            <w:tcW w:w="2372" w:type="dxa"/>
            <w:shd w:val="clear" w:color="auto" w:fill="FFFFFF"/>
          </w:tcPr>
          <w:p>
            <w:pPr>
              <w:pStyle w:val="TableParagraph"/>
              <w:rPr>
                <w:rFonts w:ascii="Times New Roman"/>
                <w:sz w:val="18"/>
              </w:rPr>
            </w:pPr>
          </w:p>
        </w:tc>
        <w:tc>
          <w:tcPr>
            <w:tcW w:w="2672" w:type="dxa"/>
          </w:tcPr>
          <w:p>
            <w:pPr>
              <w:pStyle w:val="TableParagraph"/>
              <w:rPr>
                <w:rFonts w:ascii="Times New Roman"/>
                <w:sz w:val="18"/>
              </w:rPr>
            </w:pPr>
          </w:p>
        </w:tc>
        <w:tc>
          <w:tcPr>
            <w:tcW w:w="1402" w:type="dxa"/>
            <w:shd w:val="clear" w:color="auto" w:fill="FFFFFF"/>
          </w:tcPr>
          <w:p>
            <w:pPr>
              <w:pStyle w:val="TableParagraph"/>
              <w:rPr>
                <w:rFonts w:ascii="Times New Roman"/>
                <w:sz w:val="18"/>
              </w:rPr>
            </w:pPr>
          </w:p>
        </w:tc>
      </w:tr>
    </w:tbl>
    <w:p>
      <w:pPr>
        <w:pStyle w:val="BodyText"/>
        <w:rPr>
          <w:b/>
        </w:rPr>
      </w:pPr>
    </w:p>
    <w:p>
      <w:pPr>
        <w:pStyle w:val="BodyText"/>
        <w:rPr>
          <w:b/>
        </w:rPr>
      </w:pPr>
    </w:p>
    <w:p>
      <w:pPr>
        <w:pStyle w:val="BodyText"/>
        <w:spacing w:before="123"/>
        <w:rPr>
          <w:b/>
        </w:rPr>
      </w:pPr>
    </w:p>
    <w:p>
      <w:pPr>
        <w:spacing w:before="0"/>
        <w:ind w:left="730" w:right="0" w:firstLine="0"/>
        <w:jc w:val="left"/>
        <w:rPr>
          <w:sz w:val="22"/>
        </w:rPr>
      </w:pPr>
      <w:r>
        <w:rPr>
          <w:b/>
          <w:color w:val="1F4E79"/>
          <w:spacing w:val="-2"/>
          <w:sz w:val="22"/>
          <w:u w:val="single" w:color="1F4E79"/>
        </w:rPr>
        <w:t>Revelación</w:t>
      </w:r>
      <w:r>
        <w:rPr>
          <w:spacing w:val="-2"/>
          <w:sz w:val="22"/>
          <w:u w:val="none"/>
        </w:rPr>
        <w:t>:</w:t>
      </w:r>
    </w:p>
    <w:p>
      <w:pPr>
        <w:pStyle w:val="BodyText"/>
        <w:rPr>
          <w:sz w:val="20"/>
        </w:rPr>
      </w:pPr>
    </w:p>
    <w:p>
      <w:pPr>
        <w:pStyle w:val="BodyText"/>
        <w:spacing w:before="154"/>
        <w:rPr>
          <w:sz w:val="20"/>
        </w:rPr>
      </w:pPr>
    </w:p>
    <w:tbl>
      <w:tblPr>
        <w:tblW w:w="0" w:type="auto"/>
        <w:jc w:val="left"/>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01"/>
        <w:gridCol w:w="1842"/>
      </w:tblGrid>
      <w:tr>
        <w:trPr>
          <w:trHeight w:val="428" w:hRule="atLeast"/>
        </w:trPr>
        <w:tc>
          <w:tcPr>
            <w:tcW w:w="2401" w:type="dxa"/>
            <w:shd w:val="clear" w:color="auto" w:fill="17365D"/>
          </w:tcPr>
          <w:p>
            <w:pPr>
              <w:pStyle w:val="TableParagraph"/>
              <w:ind w:left="69"/>
              <w:rPr>
                <w:sz w:val="22"/>
              </w:rPr>
            </w:pPr>
            <w:r>
              <w:rPr>
                <w:color w:val="FFFFFF"/>
                <w:spacing w:val="-2"/>
                <w:sz w:val="22"/>
              </w:rPr>
              <w:t>Aplica</w:t>
            </w:r>
          </w:p>
        </w:tc>
        <w:tc>
          <w:tcPr>
            <w:tcW w:w="1842" w:type="dxa"/>
            <w:tcBorders>
              <w:top w:val="single" w:sz="4" w:space="0" w:color="000000"/>
              <w:bottom w:val="single" w:sz="4" w:space="0" w:color="000000"/>
              <w:right w:val="single" w:sz="4" w:space="0" w:color="000000"/>
            </w:tcBorders>
          </w:tcPr>
          <w:p>
            <w:pPr>
              <w:pStyle w:val="TableParagraph"/>
              <w:spacing w:line="231" w:lineRule="exact" w:before="177"/>
              <w:ind w:left="13"/>
              <w:jc w:val="center"/>
              <w:rPr>
                <w:sz w:val="22"/>
              </w:rPr>
            </w:pPr>
            <w:r>
              <w:rPr>
                <w:spacing w:val="-5"/>
                <w:sz w:val="22"/>
              </w:rPr>
              <w:t>SI</w:t>
            </w:r>
          </w:p>
        </w:tc>
      </w:tr>
      <w:tr>
        <w:trPr>
          <w:trHeight w:val="325" w:hRule="atLeast"/>
        </w:trPr>
        <w:tc>
          <w:tcPr>
            <w:tcW w:w="2401" w:type="dxa"/>
            <w:shd w:val="clear" w:color="auto" w:fill="17365D"/>
          </w:tcPr>
          <w:p>
            <w:pPr>
              <w:pStyle w:val="TableParagraph"/>
              <w:spacing w:before="38"/>
              <w:ind w:left="69"/>
              <w:rPr>
                <w:sz w:val="22"/>
              </w:rPr>
            </w:pPr>
            <w:r>
              <w:rPr>
                <w:color w:val="FFFFFF"/>
                <w:sz w:val="22"/>
              </w:rPr>
              <w:t>Porcentaje</w:t>
            </w:r>
            <w:r>
              <w:rPr>
                <w:color w:val="FFFFFF"/>
                <w:spacing w:val="-8"/>
                <w:sz w:val="22"/>
              </w:rPr>
              <w:t> </w:t>
            </w:r>
            <w:r>
              <w:rPr>
                <w:color w:val="FFFFFF"/>
                <w:spacing w:val="-2"/>
                <w:sz w:val="22"/>
              </w:rPr>
              <w:t>Avance</w:t>
            </w:r>
          </w:p>
        </w:tc>
        <w:tc>
          <w:tcPr>
            <w:tcW w:w="1842" w:type="dxa"/>
            <w:tcBorders>
              <w:top w:val="single" w:sz="4" w:space="0" w:color="000000"/>
              <w:bottom w:val="single" w:sz="4" w:space="0" w:color="000000"/>
              <w:right w:val="single" w:sz="4" w:space="0" w:color="000000"/>
            </w:tcBorders>
          </w:tcPr>
          <w:p>
            <w:pPr>
              <w:pStyle w:val="TableParagraph"/>
              <w:spacing w:line="231" w:lineRule="exact" w:before="74"/>
              <w:ind w:left="13" w:right="7"/>
              <w:jc w:val="center"/>
              <w:rPr>
                <w:sz w:val="22"/>
              </w:rPr>
            </w:pPr>
            <w:r>
              <w:rPr>
                <w:spacing w:val="-4"/>
                <w:sz w:val="22"/>
              </w:rPr>
              <w:t>100%</w:t>
            </w:r>
          </w:p>
        </w:tc>
      </w:tr>
    </w:tbl>
    <w:p>
      <w:pPr>
        <w:pStyle w:val="BodyText"/>
        <w:spacing w:before="179"/>
      </w:pPr>
    </w:p>
    <w:p>
      <w:pPr>
        <w:pStyle w:val="BodyText"/>
        <w:ind w:left="730" w:right="860"/>
      </w:pPr>
      <w:r>
        <w:rPr/>
        <w:t>Durante el periodo 2023-2022 la Administración logró del 100% del reconocimiento, medición, presentación</w:t>
      </w:r>
      <w:r>
        <w:rPr>
          <w:spacing w:val="-5"/>
        </w:rPr>
        <w:t> </w:t>
      </w:r>
      <w:r>
        <w:rPr/>
        <w:t>o</w:t>
      </w:r>
      <w:r>
        <w:rPr>
          <w:spacing w:val="-3"/>
        </w:rPr>
        <w:t> </w:t>
      </w:r>
      <w:r>
        <w:rPr/>
        <w:t>revelación</w:t>
      </w:r>
      <w:r>
        <w:rPr>
          <w:spacing w:val="-3"/>
        </w:rPr>
        <w:t> </w:t>
      </w:r>
      <w:r>
        <w:rPr/>
        <w:t>de</w:t>
      </w:r>
      <w:r>
        <w:rPr>
          <w:spacing w:val="-5"/>
        </w:rPr>
        <w:t> </w:t>
      </w:r>
      <w:r>
        <w:rPr/>
        <w:t>activos,</w:t>
      </w:r>
      <w:r>
        <w:rPr>
          <w:spacing w:val="-3"/>
        </w:rPr>
        <w:t> </w:t>
      </w:r>
      <w:r>
        <w:rPr/>
        <w:t>pasivos,</w:t>
      </w:r>
      <w:r>
        <w:rPr>
          <w:spacing w:val="-3"/>
        </w:rPr>
        <w:t> </w:t>
      </w:r>
      <w:r>
        <w:rPr/>
        <w:t>ingresos</w:t>
      </w:r>
      <w:r>
        <w:rPr>
          <w:spacing w:val="-2"/>
        </w:rPr>
        <w:t> </w:t>
      </w:r>
      <w:r>
        <w:rPr/>
        <w:t>o</w:t>
      </w:r>
      <w:r>
        <w:rPr>
          <w:spacing w:val="-5"/>
        </w:rPr>
        <w:t> </w:t>
      </w:r>
      <w:r>
        <w:rPr/>
        <w:t>gastos</w:t>
      </w:r>
      <w:r>
        <w:rPr>
          <w:spacing w:val="-2"/>
        </w:rPr>
        <w:t> </w:t>
      </w:r>
      <w:r>
        <w:rPr/>
        <w:t>de</w:t>
      </w:r>
      <w:r>
        <w:rPr>
          <w:spacing w:val="-5"/>
        </w:rPr>
        <w:t> </w:t>
      </w:r>
      <w:r>
        <w:rPr/>
        <w:t>acuerdo</w:t>
      </w:r>
      <w:r>
        <w:rPr>
          <w:spacing w:val="-3"/>
        </w:rPr>
        <w:t> </w:t>
      </w:r>
      <w:r>
        <w:rPr/>
        <w:t>con</w:t>
      </w:r>
      <w:r>
        <w:rPr>
          <w:spacing w:val="-3"/>
        </w:rPr>
        <w:t> </w:t>
      </w:r>
      <w:r>
        <w:rPr/>
        <w:t>los</w:t>
      </w:r>
      <w:r>
        <w:rPr>
          <w:spacing w:val="-2"/>
        </w:rPr>
        <w:t> </w:t>
      </w:r>
      <w:r>
        <w:rPr/>
        <w:t>requerimientos</w:t>
      </w:r>
      <w:r>
        <w:rPr>
          <w:spacing w:val="-2"/>
        </w:rPr>
        <w:t> </w:t>
      </w:r>
      <w:r>
        <w:rPr/>
        <w:t>de las NICSP que le son aplicables al IMAS;</w:t>
      </w:r>
    </w:p>
    <w:p>
      <w:pPr>
        <w:pStyle w:val="BodyText"/>
        <w:spacing w:before="160"/>
        <w:ind w:left="730" w:right="1001"/>
      </w:pPr>
      <w:r>
        <w:rPr/>
        <w:t>No</w:t>
      </w:r>
      <w:r>
        <w:rPr>
          <w:spacing w:val="-2"/>
        </w:rPr>
        <w:t> </w:t>
      </w:r>
      <w:r>
        <w:rPr/>
        <w:t>se</w:t>
      </w:r>
      <w:r>
        <w:rPr>
          <w:spacing w:val="-3"/>
        </w:rPr>
        <w:t> </w:t>
      </w:r>
      <w:r>
        <w:rPr/>
        <w:t>cuenta</w:t>
      </w:r>
      <w:r>
        <w:rPr>
          <w:spacing w:val="-2"/>
        </w:rPr>
        <w:t> </w:t>
      </w:r>
      <w:r>
        <w:rPr/>
        <w:t>con</w:t>
      </w:r>
      <w:r>
        <w:rPr>
          <w:spacing w:val="-2"/>
        </w:rPr>
        <w:t> </w:t>
      </w:r>
      <w:r>
        <w:rPr/>
        <w:t>los</w:t>
      </w:r>
      <w:r>
        <w:rPr>
          <w:spacing w:val="-1"/>
        </w:rPr>
        <w:t> </w:t>
      </w:r>
      <w:r>
        <w:rPr/>
        <w:t>activos,</w:t>
      </w:r>
      <w:r>
        <w:rPr>
          <w:spacing w:val="-2"/>
        </w:rPr>
        <w:t> </w:t>
      </w:r>
      <w:r>
        <w:rPr/>
        <w:t>pasivos,</w:t>
      </w:r>
      <w:r>
        <w:rPr>
          <w:spacing w:val="-2"/>
        </w:rPr>
        <w:t> </w:t>
      </w:r>
      <w:r>
        <w:rPr/>
        <w:t>ingresos</w:t>
      </w:r>
      <w:r>
        <w:rPr>
          <w:spacing w:val="-1"/>
        </w:rPr>
        <w:t> </w:t>
      </w:r>
      <w:r>
        <w:rPr/>
        <w:t>o</w:t>
      </w:r>
      <w:r>
        <w:rPr>
          <w:spacing w:val="-4"/>
        </w:rPr>
        <w:t> </w:t>
      </w:r>
      <w:r>
        <w:rPr/>
        <w:t>gastos</w:t>
      </w:r>
      <w:r>
        <w:rPr>
          <w:spacing w:val="-1"/>
        </w:rPr>
        <w:t> </w:t>
      </w:r>
      <w:r>
        <w:rPr/>
        <w:t>que</w:t>
      </w:r>
      <w:r>
        <w:rPr>
          <w:spacing w:val="-4"/>
        </w:rPr>
        <w:t> </w:t>
      </w:r>
      <w:r>
        <w:rPr/>
        <w:t>hayan</w:t>
      </w:r>
      <w:r>
        <w:rPr>
          <w:spacing w:val="-2"/>
        </w:rPr>
        <w:t> </w:t>
      </w:r>
      <w:r>
        <w:rPr/>
        <w:t>sido</w:t>
      </w:r>
      <w:r>
        <w:rPr>
          <w:spacing w:val="-2"/>
        </w:rPr>
        <w:t> </w:t>
      </w:r>
      <w:r>
        <w:rPr/>
        <w:t>reconocidos</w:t>
      </w:r>
      <w:r>
        <w:rPr>
          <w:spacing w:val="-3"/>
        </w:rPr>
        <w:t> </w:t>
      </w:r>
      <w:r>
        <w:rPr/>
        <w:t>y</w:t>
      </w:r>
      <w:r>
        <w:rPr>
          <w:spacing w:val="-3"/>
        </w:rPr>
        <w:t> </w:t>
      </w:r>
      <w:r>
        <w:rPr/>
        <w:t>medidos</w:t>
      </w:r>
      <w:r>
        <w:rPr>
          <w:spacing w:val="-4"/>
        </w:rPr>
        <w:t> </w:t>
      </w:r>
      <w:r>
        <w:rPr/>
        <w:t>según una política contable que no es congruente con los requerimientos de las NICSP aplicables;</w:t>
      </w:r>
    </w:p>
    <w:p>
      <w:pPr>
        <w:pStyle w:val="BodyText"/>
        <w:spacing w:before="161"/>
        <w:ind w:left="730" w:right="1082"/>
      </w:pPr>
      <w:r>
        <w:rPr/>
        <w:t>No</w:t>
      </w:r>
      <w:r>
        <w:rPr>
          <w:spacing w:val="-3"/>
        </w:rPr>
        <w:t> </w:t>
      </w:r>
      <w:r>
        <w:rPr/>
        <w:t>hubo</w:t>
      </w:r>
      <w:r>
        <w:rPr>
          <w:spacing w:val="-3"/>
        </w:rPr>
        <w:t> </w:t>
      </w:r>
      <w:r>
        <w:rPr/>
        <w:t>activos,</w:t>
      </w:r>
      <w:r>
        <w:rPr>
          <w:spacing w:val="-3"/>
        </w:rPr>
        <w:t> </w:t>
      </w:r>
      <w:r>
        <w:rPr/>
        <w:t>pasivos,</w:t>
      </w:r>
      <w:r>
        <w:rPr>
          <w:spacing w:val="-3"/>
        </w:rPr>
        <w:t> </w:t>
      </w:r>
      <w:r>
        <w:rPr/>
        <w:t>ingresos</w:t>
      </w:r>
      <w:r>
        <w:rPr>
          <w:spacing w:val="-2"/>
        </w:rPr>
        <w:t> </w:t>
      </w:r>
      <w:r>
        <w:rPr/>
        <w:t>o</w:t>
      </w:r>
      <w:r>
        <w:rPr>
          <w:spacing w:val="-5"/>
        </w:rPr>
        <w:t> </w:t>
      </w:r>
      <w:r>
        <w:rPr/>
        <w:t>gastos</w:t>
      </w:r>
      <w:r>
        <w:rPr>
          <w:spacing w:val="-2"/>
        </w:rPr>
        <w:t> </w:t>
      </w:r>
      <w:r>
        <w:rPr/>
        <w:t>que</w:t>
      </w:r>
      <w:r>
        <w:rPr>
          <w:spacing w:val="-5"/>
        </w:rPr>
        <w:t> </w:t>
      </w:r>
      <w:r>
        <w:rPr/>
        <w:t>no</w:t>
      </w:r>
      <w:r>
        <w:rPr>
          <w:spacing w:val="-3"/>
        </w:rPr>
        <w:t> </w:t>
      </w:r>
      <w:r>
        <w:rPr/>
        <w:t>hayan</w:t>
      </w:r>
      <w:r>
        <w:rPr>
          <w:spacing w:val="-3"/>
        </w:rPr>
        <w:t> </w:t>
      </w:r>
      <w:r>
        <w:rPr/>
        <w:t>sido</w:t>
      </w:r>
      <w:r>
        <w:rPr>
          <w:spacing w:val="-5"/>
        </w:rPr>
        <w:t> </w:t>
      </w:r>
      <w:r>
        <w:rPr/>
        <w:t>medidos,</w:t>
      </w:r>
      <w:r>
        <w:rPr>
          <w:spacing w:val="-3"/>
        </w:rPr>
        <w:t> </w:t>
      </w:r>
      <w:r>
        <w:rPr/>
        <w:t>presentados</w:t>
      </w:r>
      <w:r>
        <w:rPr>
          <w:spacing w:val="-2"/>
        </w:rPr>
        <w:t> </w:t>
      </w:r>
      <w:r>
        <w:rPr/>
        <w:t>o</w:t>
      </w:r>
      <w:r>
        <w:rPr>
          <w:spacing w:val="-3"/>
        </w:rPr>
        <w:t> </w:t>
      </w:r>
      <w:r>
        <w:rPr/>
        <w:t>revelados</w:t>
      </w:r>
      <w:r>
        <w:rPr>
          <w:spacing w:val="-2"/>
        </w:rPr>
        <w:t> </w:t>
      </w:r>
      <w:r>
        <w:rPr/>
        <w:t>en el periodo sobre el que se informa anterior, pero que ahora se reconocen o miden, o presentan o </w:t>
      </w:r>
      <w:r>
        <w:rPr>
          <w:spacing w:val="-2"/>
        </w:rPr>
        <w:t>revelan;</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6640">
                <wp:simplePos x="0" y="0"/>
                <wp:positionH relativeFrom="page">
                  <wp:posOffset>9525</wp:posOffset>
                </wp:positionH>
                <wp:positionV relativeFrom="page">
                  <wp:posOffset>297208</wp:posOffset>
                </wp:positionV>
                <wp:extent cx="7762875" cy="9748520"/>
                <wp:effectExtent l="0" t="0" r="0" b="0"/>
                <wp:wrapNone/>
                <wp:docPr id="1238" name="Group 1238"/>
                <wp:cNvGraphicFramePr>
                  <a:graphicFrameLocks/>
                </wp:cNvGraphicFramePr>
                <a:graphic>
                  <a:graphicData uri="http://schemas.microsoft.com/office/word/2010/wordprocessingGroup">
                    <wpg:wgp>
                      <wpg:cNvPr id="1238" name="Group 1238"/>
                      <wpg:cNvGrpSpPr/>
                      <wpg:grpSpPr>
                        <a:xfrm>
                          <a:off x="0" y="0"/>
                          <a:ext cx="7762875" cy="9748520"/>
                          <a:chExt cx="7762875" cy="9748520"/>
                        </a:xfrm>
                      </wpg:grpSpPr>
                      <pic:pic>
                        <pic:nvPicPr>
                          <pic:cNvPr id="1239" name="Image 1239"/>
                          <pic:cNvPicPr/>
                        </pic:nvPicPr>
                        <pic:blipFill>
                          <a:blip r:embed="rId5" cstate="print"/>
                          <a:stretch>
                            <a:fillRect/>
                          </a:stretch>
                        </pic:blipFill>
                        <pic:spPr>
                          <a:xfrm>
                            <a:off x="0" y="0"/>
                            <a:ext cx="7762874" cy="9748489"/>
                          </a:xfrm>
                          <a:prstGeom prst="rect">
                            <a:avLst/>
                          </a:prstGeom>
                        </pic:spPr>
                      </pic:pic>
                      <wps:wsp>
                        <wps:cNvPr id="1240" name="Graphic 1240"/>
                        <wps:cNvSpPr/>
                        <wps:spPr>
                          <a:xfrm>
                            <a:off x="1053007" y="990837"/>
                            <a:ext cx="5736590" cy="7819390"/>
                          </a:xfrm>
                          <a:custGeom>
                            <a:avLst/>
                            <a:gdLst/>
                            <a:ahLst/>
                            <a:cxnLst/>
                            <a:rect l="l" t="t" r="r" b="b"/>
                            <a:pathLst>
                              <a:path w="5736590" h="7819390">
                                <a:moveTo>
                                  <a:pt x="21336" y="132651"/>
                                </a:moveTo>
                                <a:lnTo>
                                  <a:pt x="15240" y="132651"/>
                                </a:lnTo>
                                <a:lnTo>
                                  <a:pt x="15240" y="7812976"/>
                                </a:lnTo>
                                <a:lnTo>
                                  <a:pt x="21336" y="7812976"/>
                                </a:lnTo>
                                <a:lnTo>
                                  <a:pt x="21336" y="132651"/>
                                </a:lnTo>
                                <a:close/>
                              </a:path>
                              <a:path w="5736590" h="7819390">
                                <a:moveTo>
                                  <a:pt x="5649214" y="0"/>
                                </a:moveTo>
                                <a:lnTo>
                                  <a:pt x="0" y="0"/>
                                </a:lnTo>
                                <a:lnTo>
                                  <a:pt x="0" y="9131"/>
                                </a:lnTo>
                                <a:lnTo>
                                  <a:pt x="5649214" y="9131"/>
                                </a:lnTo>
                                <a:lnTo>
                                  <a:pt x="5649214" y="0"/>
                                </a:lnTo>
                                <a:close/>
                              </a:path>
                              <a:path w="5736590" h="7819390">
                                <a:moveTo>
                                  <a:pt x="5736018" y="7812989"/>
                                </a:moveTo>
                                <a:lnTo>
                                  <a:pt x="5729986" y="7812989"/>
                                </a:lnTo>
                                <a:lnTo>
                                  <a:pt x="21336" y="7812989"/>
                                </a:lnTo>
                                <a:lnTo>
                                  <a:pt x="15240" y="7812989"/>
                                </a:lnTo>
                                <a:lnTo>
                                  <a:pt x="15240" y="7819072"/>
                                </a:lnTo>
                                <a:lnTo>
                                  <a:pt x="21336" y="7819072"/>
                                </a:lnTo>
                                <a:lnTo>
                                  <a:pt x="5729935" y="7819072"/>
                                </a:lnTo>
                                <a:lnTo>
                                  <a:pt x="5736018" y="7819072"/>
                                </a:lnTo>
                                <a:lnTo>
                                  <a:pt x="5736018" y="7812989"/>
                                </a:lnTo>
                                <a:close/>
                              </a:path>
                              <a:path w="5736590" h="7819390">
                                <a:moveTo>
                                  <a:pt x="5736018" y="132651"/>
                                </a:moveTo>
                                <a:lnTo>
                                  <a:pt x="5729935" y="132651"/>
                                </a:lnTo>
                                <a:lnTo>
                                  <a:pt x="5729935" y="7812976"/>
                                </a:lnTo>
                                <a:lnTo>
                                  <a:pt x="5736018" y="7812976"/>
                                </a:lnTo>
                                <a:lnTo>
                                  <a:pt x="5736018" y="132651"/>
                                </a:lnTo>
                                <a:close/>
                              </a:path>
                              <a:path w="5736590" h="7819390">
                                <a:moveTo>
                                  <a:pt x="5736018" y="126479"/>
                                </a:moveTo>
                                <a:lnTo>
                                  <a:pt x="5729986" y="126479"/>
                                </a:lnTo>
                                <a:lnTo>
                                  <a:pt x="21336" y="126479"/>
                                </a:lnTo>
                                <a:lnTo>
                                  <a:pt x="15240" y="126479"/>
                                </a:lnTo>
                                <a:lnTo>
                                  <a:pt x="15240" y="132575"/>
                                </a:lnTo>
                                <a:lnTo>
                                  <a:pt x="21336" y="132575"/>
                                </a:lnTo>
                                <a:lnTo>
                                  <a:pt x="5729935" y="132575"/>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39840" id="docshapegroup1182" coordorigin="15,468" coordsize="12225,15352">
                <v:shape style="position:absolute;left:15;top:468;width:12225;height:15352" type="#_x0000_t75" id="docshape1183" stroked="false">
                  <v:imagedata r:id="rId5" o:title=""/>
                </v:shape>
                <v:shape style="position:absolute;left:1673;top:2028;width:9034;height:12314" id="docshape1184" coordorigin="1673,2028" coordsize="9034,12314" path="m1707,2237l1697,2237,1697,14332,1707,14332,1707,2237xm10570,2028l1673,2028,1673,2043,10570,2043,10570,2028xm10706,14332l10697,14332,10697,14332,1707,14332,1697,14332,1697,14342,1707,14342,10697,14342,10697,14342,10706,14342,10706,14332xm10706,2237l10697,2237,10697,14332,10706,14332,10706,2237xm10706,2228l10697,2228,10697,2228,1707,2228,1697,2228,1697,2237,1707,2237,10697,2237,10697,2237,10706,2237,10706,2228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245</w:t>
      </w:r>
    </w:p>
    <w:p>
      <w:pPr>
        <w:pStyle w:val="BodyText"/>
        <w:spacing w:before="227"/>
        <w:ind w:left="730" w:right="1001"/>
      </w:pPr>
      <w:r>
        <w:rPr/>
        <w:t>El</w:t>
      </w:r>
      <w:r>
        <w:rPr>
          <w:spacing w:val="-2"/>
        </w:rPr>
        <w:t> </w:t>
      </w:r>
      <w:r>
        <w:rPr/>
        <w:t>IMAS</w:t>
      </w:r>
      <w:r>
        <w:rPr>
          <w:spacing w:val="-1"/>
        </w:rPr>
        <w:t> </w:t>
      </w:r>
      <w:r>
        <w:rPr/>
        <w:t>cuenta</w:t>
      </w:r>
      <w:r>
        <w:rPr>
          <w:spacing w:val="-2"/>
        </w:rPr>
        <w:t> </w:t>
      </w:r>
      <w:r>
        <w:rPr/>
        <w:t>con</w:t>
      </w:r>
      <w:r>
        <w:rPr>
          <w:spacing w:val="-2"/>
        </w:rPr>
        <w:t> </w:t>
      </w:r>
      <w:r>
        <w:rPr/>
        <w:t>una</w:t>
      </w:r>
      <w:r>
        <w:rPr>
          <w:spacing w:val="-5"/>
        </w:rPr>
        <w:t> </w:t>
      </w:r>
      <w:r>
        <w:rPr/>
        <w:t>Comisión</w:t>
      </w:r>
      <w:r>
        <w:rPr>
          <w:spacing w:val="-2"/>
        </w:rPr>
        <w:t> </w:t>
      </w:r>
      <w:r>
        <w:rPr/>
        <w:t>Institucional,</w:t>
      </w:r>
      <w:r>
        <w:rPr>
          <w:spacing w:val="-2"/>
        </w:rPr>
        <w:t> </w:t>
      </w:r>
      <w:r>
        <w:rPr/>
        <w:t>y</w:t>
      </w:r>
      <w:r>
        <w:rPr>
          <w:spacing w:val="-3"/>
        </w:rPr>
        <w:t> </w:t>
      </w:r>
      <w:r>
        <w:rPr/>
        <w:t>planes</w:t>
      </w:r>
      <w:r>
        <w:rPr>
          <w:spacing w:val="-1"/>
        </w:rPr>
        <w:t> </w:t>
      </w:r>
      <w:r>
        <w:rPr/>
        <w:t>de</w:t>
      </w:r>
      <w:r>
        <w:rPr>
          <w:spacing w:val="-4"/>
        </w:rPr>
        <w:t> </w:t>
      </w:r>
      <w:r>
        <w:rPr/>
        <w:t>acción</w:t>
      </w:r>
      <w:r>
        <w:rPr>
          <w:spacing w:val="-2"/>
        </w:rPr>
        <w:t> </w:t>
      </w:r>
      <w:r>
        <w:rPr/>
        <w:t>con</w:t>
      </w:r>
      <w:r>
        <w:rPr>
          <w:spacing w:val="-2"/>
        </w:rPr>
        <w:t> </w:t>
      </w:r>
      <w:r>
        <w:rPr/>
        <w:t>la</w:t>
      </w:r>
      <w:r>
        <w:rPr>
          <w:spacing w:val="-4"/>
        </w:rPr>
        <w:t> </w:t>
      </w:r>
      <w:r>
        <w:rPr/>
        <w:t>intención</w:t>
      </w:r>
      <w:r>
        <w:rPr>
          <w:spacing w:val="-2"/>
        </w:rPr>
        <w:t> </w:t>
      </w:r>
      <w:r>
        <w:rPr/>
        <w:t>de</w:t>
      </w:r>
      <w:r>
        <w:rPr>
          <w:spacing w:val="-4"/>
        </w:rPr>
        <w:t> </w:t>
      </w:r>
      <w:r>
        <w:rPr/>
        <w:t>cumplir</w:t>
      </w:r>
      <w:r>
        <w:rPr>
          <w:spacing w:val="-3"/>
        </w:rPr>
        <w:t> </w:t>
      </w:r>
      <w:r>
        <w:rPr/>
        <w:t>en su totalidad con los requerimientos, algunos que no dependen de la Unidad de Contabilidad, tales como las modificaciones en los sistemas informáticos.</w:t>
      </w:r>
    </w:p>
    <w:p>
      <w:pPr>
        <w:pStyle w:val="BodyText"/>
      </w:pPr>
    </w:p>
    <w:p>
      <w:pPr>
        <w:pStyle w:val="BodyText"/>
        <w:spacing w:before="89"/>
      </w:pPr>
    </w:p>
    <w:p>
      <w:pPr>
        <w:pStyle w:val="Heading6"/>
        <w:spacing w:before="1"/>
        <w:ind w:left="730"/>
      </w:pPr>
      <w:r>
        <w:rPr>
          <w:u w:val="single"/>
        </w:rPr>
        <w:t>Revelación</w:t>
      </w:r>
      <w:r>
        <w:rPr>
          <w:spacing w:val="-6"/>
          <w:u w:val="single"/>
        </w:rPr>
        <w:t> </w:t>
      </w:r>
      <w:r>
        <w:rPr>
          <w:spacing w:val="-2"/>
          <w:u w:val="single"/>
        </w:rPr>
        <w:t>Suficiente:</w:t>
      </w:r>
    </w:p>
    <w:p>
      <w:pPr>
        <w:pStyle w:val="BodyText"/>
        <w:spacing w:before="178"/>
        <w:ind w:left="730" w:right="860"/>
      </w:pPr>
      <w:r>
        <w:rPr/>
        <w:t>Con el Decreto Ejecutivo Nº 34918-H denominado: “Adopción e Implementación de las Normas Internacionales de Contabilidad del Sector Público (NICSP) en el Ámbito Costarricense”, fue publicado el día 09 de diciembre de 2008, establece la necesidad de implementar las NICSP en el ámbito de las Instituciones del Sector Público Costarricense. Proceso de implementación que debió iniciar</w:t>
      </w:r>
      <w:r>
        <w:rPr>
          <w:spacing w:val="-2"/>
        </w:rPr>
        <w:t> </w:t>
      </w:r>
      <w:r>
        <w:rPr/>
        <w:t>a</w:t>
      </w:r>
      <w:r>
        <w:rPr>
          <w:spacing w:val="-3"/>
        </w:rPr>
        <w:t> </w:t>
      </w:r>
      <w:r>
        <w:rPr/>
        <w:t>partir</w:t>
      </w:r>
      <w:r>
        <w:rPr>
          <w:spacing w:val="-2"/>
        </w:rPr>
        <w:t> </w:t>
      </w:r>
      <w:r>
        <w:rPr/>
        <w:t>del</w:t>
      </w:r>
      <w:r>
        <w:rPr>
          <w:spacing w:val="-2"/>
        </w:rPr>
        <w:t> </w:t>
      </w:r>
      <w:r>
        <w:rPr/>
        <w:t>02</w:t>
      </w:r>
      <w:r>
        <w:rPr>
          <w:spacing w:val="-2"/>
        </w:rPr>
        <w:t> </w:t>
      </w:r>
      <w:r>
        <w:rPr/>
        <w:t>de</w:t>
      </w:r>
      <w:r>
        <w:rPr>
          <w:spacing w:val="-3"/>
        </w:rPr>
        <w:t> </w:t>
      </w:r>
      <w:r>
        <w:rPr/>
        <w:t>enero</w:t>
      </w:r>
      <w:r>
        <w:rPr>
          <w:spacing w:val="-2"/>
        </w:rPr>
        <w:t> </w:t>
      </w:r>
      <w:r>
        <w:rPr/>
        <w:t>de</w:t>
      </w:r>
      <w:r>
        <w:rPr>
          <w:spacing w:val="-4"/>
        </w:rPr>
        <w:t> </w:t>
      </w:r>
      <w:r>
        <w:rPr/>
        <w:t>2010</w:t>
      </w:r>
      <w:r>
        <w:rPr>
          <w:spacing w:val="-4"/>
        </w:rPr>
        <w:t> </w:t>
      </w:r>
      <w:r>
        <w:rPr/>
        <w:t>y</w:t>
      </w:r>
      <w:r>
        <w:rPr>
          <w:spacing w:val="-3"/>
        </w:rPr>
        <w:t> </w:t>
      </w:r>
      <w:r>
        <w:rPr/>
        <w:t>su</w:t>
      </w:r>
      <w:r>
        <w:rPr>
          <w:spacing w:val="-2"/>
        </w:rPr>
        <w:t> </w:t>
      </w:r>
      <w:r>
        <w:rPr/>
        <w:t>aplicación</w:t>
      </w:r>
      <w:r>
        <w:rPr>
          <w:spacing w:val="-2"/>
        </w:rPr>
        <w:t> </w:t>
      </w:r>
      <w:r>
        <w:rPr/>
        <w:t>definitiva,</w:t>
      </w:r>
      <w:r>
        <w:rPr>
          <w:spacing w:val="-2"/>
        </w:rPr>
        <w:t> </w:t>
      </w:r>
      <w:r>
        <w:rPr/>
        <w:t>sin</w:t>
      </w:r>
      <w:r>
        <w:rPr>
          <w:spacing w:val="-2"/>
        </w:rPr>
        <w:t> </w:t>
      </w:r>
      <w:r>
        <w:rPr/>
        <w:t>excepción,</w:t>
      </w:r>
      <w:r>
        <w:rPr>
          <w:spacing w:val="-2"/>
        </w:rPr>
        <w:t> </w:t>
      </w:r>
      <w:r>
        <w:rPr/>
        <w:t>y</w:t>
      </w:r>
      <w:r>
        <w:rPr>
          <w:spacing w:val="-2"/>
        </w:rPr>
        <w:t> </w:t>
      </w:r>
      <w:r>
        <w:rPr/>
        <w:t>en</w:t>
      </w:r>
      <w:r>
        <w:rPr>
          <w:spacing w:val="-4"/>
        </w:rPr>
        <w:t> </w:t>
      </w:r>
      <w:r>
        <w:rPr/>
        <w:t>forma</w:t>
      </w:r>
      <w:r>
        <w:rPr>
          <w:spacing w:val="-3"/>
        </w:rPr>
        <w:t> </w:t>
      </w:r>
      <w:r>
        <w:rPr/>
        <w:t>general</w:t>
      </w:r>
      <w:r>
        <w:rPr>
          <w:spacing w:val="-2"/>
        </w:rPr>
        <w:t> </w:t>
      </w:r>
      <w:r>
        <w:rPr/>
        <w:t>a partir del 02 de enero de 2012.</w:t>
      </w:r>
    </w:p>
    <w:p>
      <w:pPr>
        <w:pStyle w:val="BodyText"/>
        <w:spacing w:before="161"/>
        <w:ind w:left="730" w:right="922"/>
        <w:jc w:val="both"/>
      </w:pPr>
      <w:r>
        <w:rPr/>
        <w:t>En el IMAS mediante Resolución Administrativa de las 13 horas del 10 de febrero de 2010, la Gerencia General resuelve el adoptar e implementar, en el IMAS, las NICSP.</w:t>
      </w:r>
      <w:r>
        <w:rPr>
          <w:spacing w:val="40"/>
        </w:rPr>
        <w:t> </w:t>
      </w:r>
      <w:r>
        <w:rPr/>
        <w:t>Se crea la Comisión de</w:t>
      </w:r>
      <w:r>
        <w:rPr>
          <w:spacing w:val="-4"/>
        </w:rPr>
        <w:t> </w:t>
      </w:r>
      <w:r>
        <w:rPr/>
        <w:t>NICSP</w:t>
      </w:r>
      <w:r>
        <w:rPr>
          <w:spacing w:val="-5"/>
        </w:rPr>
        <w:t> </w:t>
      </w:r>
      <w:r>
        <w:rPr/>
        <w:t>y</w:t>
      </w:r>
      <w:r>
        <w:rPr>
          <w:spacing w:val="-6"/>
        </w:rPr>
        <w:t> </w:t>
      </w:r>
      <w:r>
        <w:rPr/>
        <w:t>se</w:t>
      </w:r>
      <w:r>
        <w:rPr>
          <w:spacing w:val="-3"/>
        </w:rPr>
        <w:t> </w:t>
      </w:r>
      <w:r>
        <w:rPr/>
        <w:t>realiza</w:t>
      </w:r>
      <w:r>
        <w:rPr>
          <w:spacing w:val="-3"/>
        </w:rPr>
        <w:t> </w:t>
      </w:r>
      <w:r>
        <w:rPr/>
        <w:t>una</w:t>
      </w:r>
      <w:r>
        <w:rPr>
          <w:spacing w:val="-3"/>
        </w:rPr>
        <w:t> </w:t>
      </w:r>
      <w:r>
        <w:rPr/>
        <w:t>contratación</w:t>
      </w:r>
      <w:r>
        <w:rPr>
          <w:spacing w:val="-3"/>
        </w:rPr>
        <w:t> </w:t>
      </w:r>
      <w:r>
        <w:rPr/>
        <w:t>administrativa</w:t>
      </w:r>
      <w:r>
        <w:rPr>
          <w:spacing w:val="-3"/>
        </w:rPr>
        <w:t> </w:t>
      </w:r>
      <w:r>
        <w:rPr/>
        <w:t>para</w:t>
      </w:r>
      <w:r>
        <w:rPr>
          <w:spacing w:val="-3"/>
        </w:rPr>
        <w:t> </w:t>
      </w:r>
      <w:r>
        <w:rPr/>
        <w:t>cumplir</w:t>
      </w:r>
      <w:r>
        <w:rPr>
          <w:spacing w:val="-3"/>
        </w:rPr>
        <w:t> </w:t>
      </w:r>
      <w:r>
        <w:rPr/>
        <w:t>un</w:t>
      </w:r>
      <w:r>
        <w:rPr>
          <w:spacing w:val="-3"/>
        </w:rPr>
        <w:t> </w:t>
      </w:r>
      <w:r>
        <w:rPr/>
        <w:t>plan</w:t>
      </w:r>
      <w:r>
        <w:rPr>
          <w:spacing w:val="-4"/>
        </w:rPr>
        <w:t> </w:t>
      </w:r>
      <w:r>
        <w:rPr/>
        <w:t>de</w:t>
      </w:r>
      <w:r>
        <w:rPr>
          <w:spacing w:val="-4"/>
        </w:rPr>
        <w:t> </w:t>
      </w:r>
      <w:r>
        <w:rPr/>
        <w:t>acción</w:t>
      </w:r>
      <w:r>
        <w:rPr>
          <w:spacing w:val="-3"/>
        </w:rPr>
        <w:t> </w:t>
      </w:r>
      <w:r>
        <w:rPr/>
        <w:t>paralelo</w:t>
      </w:r>
      <w:r>
        <w:rPr>
          <w:spacing w:val="-4"/>
        </w:rPr>
        <w:t> </w:t>
      </w:r>
      <w:r>
        <w:rPr/>
        <w:t>y</w:t>
      </w:r>
      <w:r>
        <w:rPr>
          <w:spacing w:val="-3"/>
        </w:rPr>
        <w:t> </w:t>
      </w:r>
      <w:r>
        <w:rPr/>
        <w:t>otras para</w:t>
      </w:r>
      <w:r>
        <w:rPr>
          <w:spacing w:val="-10"/>
        </w:rPr>
        <w:t> </w:t>
      </w:r>
      <w:r>
        <w:rPr/>
        <w:t>las</w:t>
      </w:r>
      <w:r>
        <w:rPr>
          <w:spacing w:val="-9"/>
        </w:rPr>
        <w:t> </w:t>
      </w:r>
      <w:r>
        <w:rPr/>
        <w:t>modificaciones</w:t>
      </w:r>
      <w:r>
        <w:rPr>
          <w:spacing w:val="-9"/>
        </w:rPr>
        <w:t> </w:t>
      </w:r>
      <w:r>
        <w:rPr/>
        <w:t>del</w:t>
      </w:r>
      <w:r>
        <w:rPr>
          <w:spacing w:val="-10"/>
        </w:rPr>
        <w:t> </w:t>
      </w:r>
      <w:r>
        <w:rPr/>
        <w:t>sistema</w:t>
      </w:r>
      <w:r>
        <w:rPr>
          <w:spacing w:val="-10"/>
        </w:rPr>
        <w:t> </w:t>
      </w:r>
      <w:r>
        <w:rPr/>
        <w:t>informático</w:t>
      </w:r>
      <w:r>
        <w:rPr>
          <w:spacing w:val="-9"/>
        </w:rPr>
        <w:t> </w:t>
      </w:r>
      <w:r>
        <w:rPr/>
        <w:t>SAP</w:t>
      </w:r>
      <w:r>
        <w:rPr>
          <w:spacing w:val="-9"/>
        </w:rPr>
        <w:t> </w:t>
      </w:r>
      <w:r>
        <w:rPr/>
        <w:t>realizó</w:t>
      </w:r>
      <w:r>
        <w:rPr>
          <w:spacing w:val="-9"/>
        </w:rPr>
        <w:t> </w:t>
      </w:r>
      <w:r>
        <w:rPr/>
        <w:t>en</w:t>
      </w:r>
      <w:r>
        <w:rPr>
          <w:spacing w:val="-9"/>
        </w:rPr>
        <w:t> </w:t>
      </w:r>
      <w:r>
        <w:rPr/>
        <w:t>el</w:t>
      </w:r>
      <w:r>
        <w:rPr>
          <w:spacing w:val="-10"/>
        </w:rPr>
        <w:t> </w:t>
      </w:r>
      <w:r>
        <w:rPr/>
        <w:t>año</w:t>
      </w:r>
      <w:r>
        <w:rPr>
          <w:spacing w:val="-9"/>
        </w:rPr>
        <w:t> </w:t>
      </w:r>
      <w:r>
        <w:rPr/>
        <w:t>2012</w:t>
      </w:r>
      <w:r>
        <w:rPr>
          <w:spacing w:val="-11"/>
        </w:rPr>
        <w:t> </w:t>
      </w:r>
      <w:r>
        <w:rPr/>
        <w:t>con</w:t>
      </w:r>
      <w:r>
        <w:rPr>
          <w:spacing w:val="-9"/>
        </w:rPr>
        <w:t> </w:t>
      </w:r>
      <w:r>
        <w:rPr/>
        <w:t>la</w:t>
      </w:r>
      <w:r>
        <w:rPr>
          <w:spacing w:val="-11"/>
        </w:rPr>
        <w:t> </w:t>
      </w:r>
      <w:r>
        <w:rPr/>
        <w:t>implementación</w:t>
      </w:r>
      <w:r>
        <w:rPr>
          <w:spacing w:val="-9"/>
        </w:rPr>
        <w:t> </w:t>
      </w:r>
      <w:r>
        <w:rPr/>
        <w:t>del Plan de cuentas contables de la Contabilidad Nacional.</w:t>
      </w:r>
    </w:p>
    <w:p>
      <w:pPr>
        <w:pStyle w:val="BodyText"/>
        <w:spacing w:before="161"/>
        <w:ind w:left="730" w:right="924"/>
        <w:jc w:val="both"/>
      </w:pPr>
      <w:r>
        <w:rPr/>
        <w:t>A</w:t>
      </w:r>
      <w:r>
        <w:rPr>
          <w:spacing w:val="-2"/>
        </w:rPr>
        <w:t> </w:t>
      </w:r>
      <w:r>
        <w:rPr/>
        <w:t>solicitud</w:t>
      </w:r>
      <w:r>
        <w:rPr>
          <w:spacing w:val="-2"/>
        </w:rPr>
        <w:t> </w:t>
      </w:r>
      <w:r>
        <w:rPr/>
        <w:t>de</w:t>
      </w:r>
      <w:r>
        <w:rPr>
          <w:spacing w:val="-3"/>
        </w:rPr>
        <w:t> </w:t>
      </w:r>
      <w:r>
        <w:rPr/>
        <w:t>la</w:t>
      </w:r>
      <w:r>
        <w:rPr>
          <w:spacing w:val="-4"/>
        </w:rPr>
        <w:t> </w:t>
      </w:r>
      <w:r>
        <w:rPr/>
        <w:t>Contabilidad</w:t>
      </w:r>
      <w:r>
        <w:rPr>
          <w:spacing w:val="-2"/>
        </w:rPr>
        <w:t> </w:t>
      </w:r>
      <w:r>
        <w:rPr/>
        <w:t>Nacional</w:t>
      </w:r>
      <w:r>
        <w:rPr>
          <w:spacing w:val="-3"/>
        </w:rPr>
        <w:t> </w:t>
      </w:r>
      <w:r>
        <w:rPr/>
        <w:t>oficio</w:t>
      </w:r>
      <w:r>
        <w:rPr>
          <w:spacing w:val="-2"/>
        </w:rPr>
        <w:t> </w:t>
      </w:r>
      <w:r>
        <w:rPr/>
        <w:t>DCN-802-2016</w:t>
      </w:r>
      <w:r>
        <w:rPr>
          <w:spacing w:val="-4"/>
        </w:rPr>
        <w:t> </w:t>
      </w:r>
      <w:r>
        <w:rPr/>
        <w:t>del</w:t>
      </w:r>
      <w:r>
        <w:rPr>
          <w:spacing w:val="-2"/>
        </w:rPr>
        <w:t> </w:t>
      </w:r>
      <w:r>
        <w:rPr/>
        <w:t>14</w:t>
      </w:r>
      <w:r>
        <w:rPr>
          <w:spacing w:val="-2"/>
        </w:rPr>
        <w:t> </w:t>
      </w:r>
      <w:r>
        <w:rPr/>
        <w:t>de</w:t>
      </w:r>
      <w:r>
        <w:rPr>
          <w:spacing w:val="-1"/>
        </w:rPr>
        <w:t> </w:t>
      </w:r>
      <w:r>
        <w:rPr/>
        <w:t>junio</w:t>
      </w:r>
      <w:r>
        <w:rPr>
          <w:spacing w:val="-2"/>
        </w:rPr>
        <w:t> </w:t>
      </w:r>
      <w:r>
        <w:rPr/>
        <w:t>del</w:t>
      </w:r>
      <w:r>
        <w:rPr>
          <w:spacing w:val="-2"/>
        </w:rPr>
        <w:t> </w:t>
      </w:r>
      <w:r>
        <w:rPr/>
        <w:t>2016,</w:t>
      </w:r>
      <w:r>
        <w:rPr>
          <w:spacing w:val="-2"/>
        </w:rPr>
        <w:t> </w:t>
      </w:r>
      <w:r>
        <w:rPr/>
        <w:t>referente</w:t>
      </w:r>
      <w:r>
        <w:rPr>
          <w:spacing w:val="-2"/>
        </w:rPr>
        <w:t> </w:t>
      </w:r>
      <w:r>
        <w:rPr/>
        <w:t>a</w:t>
      </w:r>
      <w:r>
        <w:rPr>
          <w:spacing w:val="-4"/>
        </w:rPr>
        <w:t> </w:t>
      </w:r>
      <w:r>
        <w:rPr/>
        <w:t>la aplicación de las NICSP, la Gerencia General del IMAS informa oficio GG-2278-10-2016 que el Balance</w:t>
      </w:r>
      <w:r>
        <w:rPr>
          <w:spacing w:val="-8"/>
        </w:rPr>
        <w:t> </w:t>
      </w:r>
      <w:r>
        <w:rPr/>
        <w:t>de</w:t>
      </w:r>
      <w:r>
        <w:rPr>
          <w:spacing w:val="-8"/>
        </w:rPr>
        <w:t> </w:t>
      </w:r>
      <w:r>
        <w:rPr/>
        <w:t>Situación</w:t>
      </w:r>
      <w:r>
        <w:rPr>
          <w:spacing w:val="-7"/>
        </w:rPr>
        <w:t> </w:t>
      </w:r>
      <w:r>
        <w:rPr/>
        <w:t>de</w:t>
      </w:r>
      <w:r>
        <w:rPr>
          <w:spacing w:val="-8"/>
        </w:rPr>
        <w:t> </w:t>
      </w:r>
      <w:r>
        <w:rPr/>
        <w:t>Apertura</w:t>
      </w:r>
      <w:r>
        <w:rPr>
          <w:spacing w:val="-7"/>
        </w:rPr>
        <w:t> </w:t>
      </w:r>
      <w:r>
        <w:rPr/>
        <w:t>con</w:t>
      </w:r>
      <w:r>
        <w:rPr>
          <w:spacing w:val="-7"/>
        </w:rPr>
        <w:t> </w:t>
      </w:r>
      <w:r>
        <w:rPr/>
        <w:t>arreglo</w:t>
      </w:r>
      <w:r>
        <w:rPr>
          <w:spacing w:val="-7"/>
        </w:rPr>
        <w:t> </w:t>
      </w:r>
      <w:r>
        <w:rPr/>
        <w:t>a</w:t>
      </w:r>
      <w:r>
        <w:rPr>
          <w:spacing w:val="-7"/>
        </w:rPr>
        <w:t> </w:t>
      </w:r>
      <w:r>
        <w:rPr/>
        <w:t>las</w:t>
      </w:r>
      <w:r>
        <w:rPr>
          <w:spacing w:val="-6"/>
        </w:rPr>
        <w:t> </w:t>
      </w:r>
      <w:r>
        <w:rPr/>
        <w:t>NICSP</w:t>
      </w:r>
      <w:r>
        <w:rPr>
          <w:spacing w:val="-7"/>
        </w:rPr>
        <w:t> </w:t>
      </w:r>
      <w:r>
        <w:rPr/>
        <w:t>preparará</w:t>
      </w:r>
      <w:r>
        <w:rPr>
          <w:spacing w:val="-7"/>
        </w:rPr>
        <w:t> </w:t>
      </w:r>
      <w:r>
        <w:rPr/>
        <w:t>a</w:t>
      </w:r>
      <w:r>
        <w:rPr>
          <w:spacing w:val="-7"/>
        </w:rPr>
        <w:t> </w:t>
      </w:r>
      <w:r>
        <w:rPr/>
        <w:t>partir</w:t>
      </w:r>
      <w:r>
        <w:rPr>
          <w:spacing w:val="-7"/>
        </w:rPr>
        <w:t> </w:t>
      </w:r>
      <w:r>
        <w:rPr/>
        <w:t>de</w:t>
      </w:r>
      <w:r>
        <w:rPr>
          <w:spacing w:val="-8"/>
        </w:rPr>
        <w:t> </w:t>
      </w:r>
      <w:r>
        <w:rPr/>
        <w:t>enero</w:t>
      </w:r>
      <w:r>
        <w:rPr>
          <w:spacing w:val="-6"/>
        </w:rPr>
        <w:t> </w:t>
      </w:r>
      <w:r>
        <w:rPr/>
        <w:t>2017</w:t>
      </w:r>
      <w:r>
        <w:rPr>
          <w:spacing w:val="-7"/>
        </w:rPr>
        <w:t> </w:t>
      </w:r>
      <w:r>
        <w:rPr/>
        <w:t>siguiendo las políticas contables contenidas en el Capítulo 5 Metodología de Implementación 2010.</w:t>
      </w:r>
    </w:p>
    <w:p>
      <w:pPr>
        <w:pStyle w:val="BodyText"/>
      </w:pPr>
    </w:p>
    <w:p>
      <w:pPr>
        <w:pStyle w:val="BodyText"/>
        <w:spacing w:before="28"/>
      </w:pPr>
    </w:p>
    <w:p>
      <w:pPr>
        <w:pStyle w:val="BodyText"/>
        <w:spacing w:before="1"/>
        <w:ind w:left="730" w:right="919"/>
        <w:jc w:val="both"/>
      </w:pPr>
      <w:r>
        <w:rPr/>
        <w:t>Posteriormente,</w:t>
      </w:r>
      <w:r>
        <w:rPr>
          <w:spacing w:val="-12"/>
        </w:rPr>
        <w:t> </w:t>
      </w:r>
      <w:r>
        <w:rPr/>
        <w:t>con</w:t>
      </w:r>
      <w:r>
        <w:rPr>
          <w:spacing w:val="-12"/>
        </w:rPr>
        <w:t> </w:t>
      </w:r>
      <w:r>
        <w:rPr/>
        <w:t>la</w:t>
      </w:r>
      <w:r>
        <w:rPr>
          <w:spacing w:val="-13"/>
        </w:rPr>
        <w:t> </w:t>
      </w:r>
      <w:r>
        <w:rPr/>
        <w:t>Resolución</w:t>
      </w:r>
      <w:r>
        <w:rPr>
          <w:spacing w:val="-12"/>
        </w:rPr>
        <w:t> </w:t>
      </w:r>
      <w:r>
        <w:rPr/>
        <w:t>No.002-2021</w:t>
      </w:r>
      <w:r>
        <w:rPr>
          <w:spacing w:val="-13"/>
        </w:rPr>
        <w:t> </w:t>
      </w:r>
      <w:r>
        <w:rPr/>
        <w:t>se</w:t>
      </w:r>
      <w:r>
        <w:rPr>
          <w:spacing w:val="-11"/>
        </w:rPr>
        <w:t> </w:t>
      </w:r>
      <w:r>
        <w:rPr/>
        <w:t>derogan</w:t>
      </w:r>
      <w:r>
        <w:rPr>
          <w:spacing w:val="-12"/>
        </w:rPr>
        <w:t> </w:t>
      </w:r>
      <w:r>
        <w:rPr/>
        <w:t>las</w:t>
      </w:r>
      <w:r>
        <w:rPr>
          <w:spacing w:val="-11"/>
        </w:rPr>
        <w:t> </w:t>
      </w:r>
      <w:r>
        <w:rPr/>
        <w:t>Políticas</w:t>
      </w:r>
      <w:r>
        <w:rPr>
          <w:spacing w:val="-13"/>
        </w:rPr>
        <w:t> </w:t>
      </w:r>
      <w:r>
        <w:rPr/>
        <w:t>Contables</w:t>
      </w:r>
      <w:r>
        <w:rPr>
          <w:spacing w:val="-13"/>
        </w:rPr>
        <w:t> </w:t>
      </w:r>
      <w:r>
        <w:rPr/>
        <w:t>Generales</w:t>
      </w:r>
      <w:r>
        <w:rPr>
          <w:spacing w:val="-11"/>
        </w:rPr>
        <w:t> </w:t>
      </w:r>
      <w:r>
        <w:rPr/>
        <w:t>y</w:t>
      </w:r>
      <w:r>
        <w:rPr>
          <w:spacing w:val="-13"/>
        </w:rPr>
        <w:t> </w:t>
      </w:r>
      <w:r>
        <w:rPr/>
        <w:t>el</w:t>
      </w:r>
      <w:r>
        <w:rPr>
          <w:spacing w:val="-12"/>
        </w:rPr>
        <w:t> </w:t>
      </w:r>
      <w:r>
        <w:rPr/>
        <w:t>Plan de</w:t>
      </w:r>
      <w:r>
        <w:rPr>
          <w:spacing w:val="-14"/>
        </w:rPr>
        <w:t> </w:t>
      </w:r>
      <w:r>
        <w:rPr/>
        <w:t>Contabilidad</w:t>
      </w:r>
      <w:r>
        <w:rPr>
          <w:spacing w:val="-14"/>
        </w:rPr>
        <w:t> </w:t>
      </w:r>
      <w:r>
        <w:rPr/>
        <w:t>Nacional,</w:t>
      </w:r>
      <w:r>
        <w:rPr>
          <w:spacing w:val="-14"/>
        </w:rPr>
        <w:t> </w:t>
      </w:r>
      <w:r>
        <w:rPr/>
        <w:t>emitiéndose</w:t>
      </w:r>
      <w:r>
        <w:rPr>
          <w:spacing w:val="-13"/>
        </w:rPr>
        <w:t> </w:t>
      </w:r>
      <w:r>
        <w:rPr/>
        <w:t>una</w:t>
      </w:r>
      <w:r>
        <w:rPr>
          <w:spacing w:val="-14"/>
        </w:rPr>
        <w:t> </w:t>
      </w:r>
      <w:r>
        <w:rPr/>
        <w:t>nueva</w:t>
      </w:r>
      <w:r>
        <w:rPr>
          <w:spacing w:val="-14"/>
        </w:rPr>
        <w:t> </w:t>
      </w:r>
      <w:r>
        <w:rPr/>
        <w:t>versión</w:t>
      </w:r>
      <w:r>
        <w:rPr>
          <w:spacing w:val="-14"/>
        </w:rPr>
        <w:t> </w:t>
      </w:r>
      <w:r>
        <w:rPr/>
        <w:t>2021,</w:t>
      </w:r>
      <w:r>
        <w:rPr>
          <w:spacing w:val="-13"/>
        </w:rPr>
        <w:t> </w:t>
      </w:r>
      <w:r>
        <w:rPr/>
        <w:t>lo</w:t>
      </w:r>
      <w:r>
        <w:rPr>
          <w:spacing w:val="-14"/>
        </w:rPr>
        <w:t> </w:t>
      </w:r>
      <w:r>
        <w:rPr/>
        <w:t>cual</w:t>
      </w:r>
      <w:r>
        <w:rPr>
          <w:spacing w:val="-14"/>
        </w:rPr>
        <w:t> </w:t>
      </w:r>
      <w:r>
        <w:rPr/>
        <w:t>incluye</w:t>
      </w:r>
      <w:r>
        <w:rPr>
          <w:spacing w:val="-14"/>
        </w:rPr>
        <w:t> </w:t>
      </w:r>
      <w:r>
        <w:rPr/>
        <w:t>la</w:t>
      </w:r>
      <w:r>
        <w:rPr>
          <w:spacing w:val="-13"/>
        </w:rPr>
        <w:t> </w:t>
      </w:r>
      <w:r>
        <w:rPr/>
        <w:t>NICSP</w:t>
      </w:r>
      <w:r>
        <w:rPr>
          <w:spacing w:val="-14"/>
        </w:rPr>
        <w:t> </w:t>
      </w:r>
      <w:r>
        <w:rPr/>
        <w:t>No.33</w:t>
      </w:r>
      <w:r>
        <w:rPr>
          <w:spacing w:val="-14"/>
        </w:rPr>
        <w:t> </w:t>
      </w:r>
      <w:r>
        <w:rPr/>
        <w:t>Adop-ción por primera vez de las Normas Internacionales de Contabilidad del sector público de base de acumulación</w:t>
      </w:r>
      <w:r>
        <w:rPr>
          <w:spacing w:val="-9"/>
        </w:rPr>
        <w:t> </w:t>
      </w:r>
      <w:r>
        <w:rPr/>
        <w:t>(o</w:t>
      </w:r>
      <w:r>
        <w:rPr>
          <w:spacing w:val="-9"/>
        </w:rPr>
        <w:t> </w:t>
      </w:r>
      <w:r>
        <w:rPr/>
        <w:t>devengo),</w:t>
      </w:r>
      <w:r>
        <w:rPr>
          <w:spacing w:val="-12"/>
        </w:rPr>
        <w:t> </w:t>
      </w:r>
      <w:r>
        <w:rPr/>
        <w:t>estableciendo</w:t>
      </w:r>
      <w:r>
        <w:rPr>
          <w:spacing w:val="-9"/>
        </w:rPr>
        <w:t> </w:t>
      </w:r>
      <w:r>
        <w:rPr/>
        <w:t>en</w:t>
      </w:r>
      <w:r>
        <w:rPr>
          <w:spacing w:val="-9"/>
        </w:rPr>
        <w:t> </w:t>
      </w:r>
      <w:r>
        <w:rPr/>
        <w:t>la</w:t>
      </w:r>
      <w:r>
        <w:rPr>
          <w:spacing w:val="-11"/>
        </w:rPr>
        <w:t> </w:t>
      </w:r>
      <w:r>
        <w:rPr/>
        <w:t>política</w:t>
      </w:r>
      <w:r>
        <w:rPr>
          <w:spacing w:val="-10"/>
        </w:rPr>
        <w:t> </w:t>
      </w:r>
      <w:r>
        <w:rPr/>
        <w:t>9.3</w:t>
      </w:r>
      <w:r>
        <w:rPr>
          <w:spacing w:val="-10"/>
        </w:rPr>
        <w:t> </w:t>
      </w:r>
      <w:r>
        <w:rPr/>
        <w:t>que</w:t>
      </w:r>
      <w:r>
        <w:rPr>
          <w:spacing w:val="-9"/>
        </w:rPr>
        <w:t> </w:t>
      </w:r>
      <w:r>
        <w:rPr/>
        <w:t>los</w:t>
      </w:r>
      <w:r>
        <w:rPr>
          <w:spacing w:val="-9"/>
        </w:rPr>
        <w:t> </w:t>
      </w:r>
      <w:r>
        <w:rPr/>
        <w:t>primeros</w:t>
      </w:r>
      <w:r>
        <w:rPr>
          <w:spacing w:val="-11"/>
        </w:rPr>
        <w:t> </w:t>
      </w:r>
      <w:r>
        <w:rPr/>
        <w:t>estados</w:t>
      </w:r>
      <w:r>
        <w:rPr>
          <w:spacing w:val="-9"/>
        </w:rPr>
        <w:t> </w:t>
      </w:r>
      <w:r>
        <w:rPr/>
        <w:t>financieros</w:t>
      </w:r>
      <w:r>
        <w:rPr>
          <w:spacing w:val="-9"/>
        </w:rPr>
        <w:t> </w:t>
      </w:r>
      <w:r>
        <w:rPr/>
        <w:t>anuales con NICSP</w:t>
      </w:r>
      <w:r>
        <w:rPr>
          <w:spacing w:val="-1"/>
        </w:rPr>
        <w:t> </w:t>
      </w:r>
      <w:r>
        <w:rPr/>
        <w:t>serán diciembre 2021. Es decir, el IMAS debe volver a</w:t>
      </w:r>
      <w:r>
        <w:rPr>
          <w:spacing w:val="-1"/>
        </w:rPr>
        <w:t> </w:t>
      </w:r>
      <w:r>
        <w:rPr/>
        <w:t>realizar una declaración que va a presentar estados por primera vez con NICSP.</w:t>
      </w:r>
    </w:p>
    <w:p>
      <w:pPr>
        <w:pStyle w:val="BodyText"/>
        <w:spacing w:before="28"/>
      </w:pPr>
    </w:p>
    <w:p>
      <w:pPr>
        <w:pStyle w:val="BodyText"/>
        <w:spacing w:before="1"/>
        <w:ind w:left="730" w:right="927"/>
        <w:jc w:val="both"/>
        <w:rPr>
          <w:sz w:val="24"/>
        </w:rPr>
      </w:pPr>
      <w:r>
        <w:rPr/>
        <w:t>Lo anterior justificado por la Contabilidad Nacional con la aplicación de la Ley 9635, Título IV Ar-tículo 26º. -Normas Internacionales de Contabilidad para el Sector Público </w:t>
      </w:r>
      <w:r>
        <w:rPr>
          <w:sz w:val="24"/>
        </w:rPr>
        <w:t>que en lo interés esta-</w:t>
      </w:r>
      <w:r>
        <w:rPr>
          <w:spacing w:val="-2"/>
          <w:sz w:val="24"/>
        </w:rPr>
        <w:t>blece:</w:t>
      </w:r>
    </w:p>
    <w:p>
      <w:pPr>
        <w:pStyle w:val="BodyText"/>
      </w:pPr>
    </w:p>
    <w:p>
      <w:pPr>
        <w:pStyle w:val="BodyText"/>
        <w:spacing w:before="29"/>
      </w:pPr>
    </w:p>
    <w:p>
      <w:pPr>
        <w:spacing w:line="230" w:lineRule="auto" w:before="0"/>
        <w:ind w:left="1157" w:right="1211" w:firstLine="0"/>
        <w:jc w:val="both"/>
        <w:rPr>
          <w:i/>
          <w:sz w:val="23"/>
        </w:rPr>
      </w:pPr>
      <w:r>
        <w:rPr>
          <w:sz w:val="22"/>
        </w:rPr>
        <w:t>“</w:t>
      </w:r>
      <w:r>
        <w:rPr>
          <w:i/>
          <w:sz w:val="23"/>
        </w:rPr>
        <w:t>En</w:t>
      </w:r>
      <w:r>
        <w:rPr>
          <w:i/>
          <w:spacing w:val="-1"/>
          <w:sz w:val="23"/>
        </w:rPr>
        <w:t> </w:t>
      </w:r>
      <w:r>
        <w:rPr>
          <w:i/>
          <w:sz w:val="23"/>
        </w:rPr>
        <w:t>cumplimiento</w:t>
      </w:r>
      <w:r>
        <w:rPr>
          <w:i/>
          <w:spacing w:val="-1"/>
          <w:sz w:val="23"/>
        </w:rPr>
        <w:t> </w:t>
      </w:r>
      <w:r>
        <w:rPr>
          <w:i/>
          <w:sz w:val="23"/>
        </w:rPr>
        <w:t>del</w:t>
      </w:r>
      <w:r>
        <w:rPr>
          <w:i/>
          <w:spacing w:val="-2"/>
          <w:sz w:val="23"/>
        </w:rPr>
        <w:t> </w:t>
      </w:r>
      <w:r>
        <w:rPr>
          <w:i/>
          <w:sz w:val="23"/>
        </w:rPr>
        <w:t>artículo</w:t>
      </w:r>
      <w:r>
        <w:rPr>
          <w:i/>
          <w:spacing w:val="-1"/>
          <w:sz w:val="23"/>
        </w:rPr>
        <w:t> </w:t>
      </w:r>
      <w:r>
        <w:rPr>
          <w:i/>
          <w:sz w:val="23"/>
        </w:rPr>
        <w:t>27</w:t>
      </w:r>
      <w:r>
        <w:rPr>
          <w:i/>
          <w:spacing w:val="-2"/>
          <w:sz w:val="23"/>
        </w:rPr>
        <w:t> </w:t>
      </w:r>
      <w:r>
        <w:rPr>
          <w:i/>
          <w:sz w:val="23"/>
        </w:rPr>
        <w:t>del</w:t>
      </w:r>
      <w:r>
        <w:rPr>
          <w:i/>
          <w:spacing w:val="-2"/>
          <w:sz w:val="23"/>
        </w:rPr>
        <w:t> </w:t>
      </w:r>
      <w:r>
        <w:rPr>
          <w:i/>
          <w:sz w:val="23"/>
        </w:rPr>
        <w:t>Título</w:t>
      </w:r>
      <w:r>
        <w:rPr>
          <w:i/>
          <w:spacing w:val="-1"/>
          <w:sz w:val="23"/>
        </w:rPr>
        <w:t> </w:t>
      </w:r>
      <w:r>
        <w:rPr>
          <w:i/>
          <w:sz w:val="23"/>
        </w:rPr>
        <w:t>IV</w:t>
      </w:r>
      <w:r>
        <w:rPr>
          <w:i/>
          <w:spacing w:val="-2"/>
          <w:sz w:val="23"/>
        </w:rPr>
        <w:t> </w:t>
      </w:r>
      <w:r>
        <w:rPr>
          <w:i/>
          <w:sz w:val="23"/>
        </w:rPr>
        <w:t>de</w:t>
      </w:r>
      <w:r>
        <w:rPr>
          <w:i/>
          <w:spacing w:val="-2"/>
          <w:sz w:val="23"/>
        </w:rPr>
        <w:t> </w:t>
      </w:r>
      <w:r>
        <w:rPr>
          <w:i/>
          <w:sz w:val="23"/>
        </w:rPr>
        <w:t>la</w:t>
      </w:r>
      <w:r>
        <w:rPr>
          <w:i/>
          <w:spacing w:val="-2"/>
          <w:sz w:val="23"/>
        </w:rPr>
        <w:t> </w:t>
      </w:r>
      <w:r>
        <w:rPr>
          <w:i/>
          <w:sz w:val="23"/>
        </w:rPr>
        <w:t>Ley</w:t>
      </w:r>
      <w:r>
        <w:rPr>
          <w:i/>
          <w:spacing w:val="-2"/>
          <w:sz w:val="23"/>
        </w:rPr>
        <w:t> </w:t>
      </w:r>
      <w:r>
        <w:rPr>
          <w:i/>
          <w:sz w:val="23"/>
        </w:rPr>
        <w:t>aquí</w:t>
      </w:r>
      <w:r>
        <w:rPr>
          <w:i/>
          <w:spacing w:val="-2"/>
          <w:sz w:val="23"/>
        </w:rPr>
        <w:t> </w:t>
      </w:r>
      <w:r>
        <w:rPr>
          <w:i/>
          <w:sz w:val="23"/>
        </w:rPr>
        <w:t>reglamentada,</w:t>
      </w:r>
      <w:r>
        <w:rPr>
          <w:i/>
          <w:spacing w:val="-1"/>
          <w:sz w:val="23"/>
        </w:rPr>
        <w:t> </w:t>
      </w:r>
      <w:r>
        <w:rPr>
          <w:i/>
          <w:sz w:val="23"/>
        </w:rPr>
        <w:t>las</w:t>
      </w:r>
      <w:r>
        <w:rPr>
          <w:i/>
          <w:spacing w:val="-1"/>
          <w:sz w:val="23"/>
        </w:rPr>
        <w:t> </w:t>
      </w:r>
      <w:r>
        <w:rPr>
          <w:i/>
          <w:sz w:val="23"/>
        </w:rPr>
        <w:t>Normas </w:t>
      </w:r>
      <w:r>
        <w:rPr>
          <w:i/>
          <w:spacing w:val="-2"/>
          <w:sz w:val="23"/>
        </w:rPr>
        <w:t>Internacionales</w:t>
      </w:r>
      <w:r>
        <w:rPr>
          <w:i/>
          <w:spacing w:val="-7"/>
          <w:sz w:val="23"/>
        </w:rPr>
        <w:t> </w:t>
      </w:r>
      <w:r>
        <w:rPr>
          <w:i/>
          <w:spacing w:val="-2"/>
          <w:sz w:val="23"/>
        </w:rPr>
        <w:t>de</w:t>
      </w:r>
      <w:r>
        <w:rPr>
          <w:i/>
          <w:spacing w:val="-9"/>
          <w:sz w:val="23"/>
        </w:rPr>
        <w:t> </w:t>
      </w:r>
      <w:r>
        <w:rPr>
          <w:i/>
          <w:spacing w:val="-2"/>
          <w:sz w:val="23"/>
        </w:rPr>
        <w:t>Contabilidad</w:t>
      </w:r>
      <w:r>
        <w:rPr>
          <w:i/>
          <w:spacing w:val="-9"/>
          <w:sz w:val="23"/>
        </w:rPr>
        <w:t> </w:t>
      </w:r>
      <w:r>
        <w:rPr>
          <w:i/>
          <w:spacing w:val="-2"/>
          <w:sz w:val="23"/>
        </w:rPr>
        <w:t>para</w:t>
      </w:r>
      <w:r>
        <w:rPr>
          <w:i/>
          <w:spacing w:val="-9"/>
          <w:sz w:val="23"/>
        </w:rPr>
        <w:t> </w:t>
      </w:r>
      <w:r>
        <w:rPr>
          <w:i/>
          <w:spacing w:val="-2"/>
          <w:sz w:val="23"/>
        </w:rPr>
        <w:t>el</w:t>
      </w:r>
      <w:r>
        <w:rPr>
          <w:i/>
          <w:spacing w:val="-9"/>
          <w:sz w:val="23"/>
        </w:rPr>
        <w:t> </w:t>
      </w:r>
      <w:r>
        <w:rPr>
          <w:i/>
          <w:spacing w:val="-2"/>
          <w:sz w:val="23"/>
        </w:rPr>
        <w:t>Sector</w:t>
      </w:r>
      <w:r>
        <w:rPr>
          <w:i/>
          <w:spacing w:val="-7"/>
          <w:sz w:val="23"/>
        </w:rPr>
        <w:t> </w:t>
      </w:r>
      <w:r>
        <w:rPr>
          <w:i/>
          <w:spacing w:val="-2"/>
          <w:sz w:val="23"/>
        </w:rPr>
        <w:t>Público</w:t>
      </w:r>
      <w:r>
        <w:rPr>
          <w:i/>
          <w:spacing w:val="-7"/>
          <w:sz w:val="23"/>
        </w:rPr>
        <w:t> </w:t>
      </w:r>
      <w:r>
        <w:rPr>
          <w:i/>
          <w:spacing w:val="-2"/>
          <w:sz w:val="23"/>
        </w:rPr>
        <w:t>(NICSP)</w:t>
      </w:r>
      <w:r>
        <w:rPr>
          <w:i/>
          <w:spacing w:val="-10"/>
          <w:sz w:val="23"/>
        </w:rPr>
        <w:t> </w:t>
      </w:r>
      <w:r>
        <w:rPr>
          <w:i/>
          <w:spacing w:val="-2"/>
          <w:sz w:val="23"/>
        </w:rPr>
        <w:t>serán</w:t>
      </w:r>
      <w:r>
        <w:rPr>
          <w:i/>
          <w:spacing w:val="-8"/>
          <w:sz w:val="23"/>
        </w:rPr>
        <w:t> </w:t>
      </w:r>
      <w:r>
        <w:rPr>
          <w:i/>
          <w:spacing w:val="-2"/>
          <w:sz w:val="23"/>
        </w:rPr>
        <w:t>de</w:t>
      </w:r>
      <w:r>
        <w:rPr>
          <w:i/>
          <w:spacing w:val="-9"/>
          <w:sz w:val="23"/>
        </w:rPr>
        <w:t> </w:t>
      </w:r>
      <w:r>
        <w:rPr>
          <w:i/>
          <w:spacing w:val="-2"/>
          <w:sz w:val="23"/>
        </w:rPr>
        <w:t>aplicación</w:t>
      </w:r>
      <w:r>
        <w:rPr>
          <w:i/>
          <w:spacing w:val="-8"/>
          <w:sz w:val="23"/>
        </w:rPr>
        <w:t> </w:t>
      </w:r>
      <w:r>
        <w:rPr>
          <w:i/>
          <w:spacing w:val="-2"/>
          <w:sz w:val="23"/>
        </w:rPr>
        <w:t>para</w:t>
      </w:r>
      <w:r>
        <w:rPr>
          <w:i/>
          <w:spacing w:val="-9"/>
          <w:sz w:val="23"/>
        </w:rPr>
        <w:t> </w:t>
      </w:r>
      <w:r>
        <w:rPr>
          <w:i/>
          <w:spacing w:val="-2"/>
          <w:sz w:val="23"/>
        </w:rPr>
        <w:t>el </w:t>
      </w:r>
      <w:r>
        <w:rPr>
          <w:i/>
          <w:sz w:val="23"/>
        </w:rPr>
        <w:t>Gobierno General, …</w:t>
      </w:r>
    </w:p>
    <w:p>
      <w:pPr>
        <w:spacing w:line="228" w:lineRule="auto" w:before="0"/>
        <w:ind w:left="1157" w:right="1209" w:firstLine="0"/>
        <w:jc w:val="both"/>
        <w:rPr>
          <w:sz w:val="22"/>
        </w:rPr>
      </w:pPr>
      <w:r>
        <w:rPr>
          <w:i/>
          <w:spacing w:val="-2"/>
          <w:sz w:val="23"/>
        </w:rPr>
        <w:t>El</w:t>
      </w:r>
      <w:r>
        <w:rPr>
          <w:i/>
          <w:spacing w:val="-8"/>
          <w:sz w:val="23"/>
        </w:rPr>
        <w:t> </w:t>
      </w:r>
      <w:r>
        <w:rPr>
          <w:i/>
          <w:spacing w:val="-2"/>
          <w:sz w:val="23"/>
        </w:rPr>
        <w:t>Gobierno</w:t>
      </w:r>
      <w:r>
        <w:rPr>
          <w:i/>
          <w:spacing w:val="-7"/>
          <w:sz w:val="23"/>
        </w:rPr>
        <w:t> </w:t>
      </w:r>
      <w:r>
        <w:rPr>
          <w:i/>
          <w:spacing w:val="-2"/>
          <w:sz w:val="23"/>
        </w:rPr>
        <w:t>General</w:t>
      </w:r>
      <w:r>
        <w:rPr>
          <w:i/>
          <w:spacing w:val="-8"/>
          <w:sz w:val="23"/>
        </w:rPr>
        <w:t> </w:t>
      </w:r>
      <w:r>
        <w:rPr>
          <w:i/>
          <w:spacing w:val="-2"/>
          <w:sz w:val="23"/>
        </w:rPr>
        <w:t>deberá</w:t>
      </w:r>
      <w:r>
        <w:rPr>
          <w:i/>
          <w:spacing w:val="-8"/>
          <w:sz w:val="23"/>
        </w:rPr>
        <w:t> </w:t>
      </w:r>
      <w:r>
        <w:rPr>
          <w:i/>
          <w:spacing w:val="-2"/>
          <w:sz w:val="23"/>
        </w:rPr>
        <w:t>cumplir</w:t>
      </w:r>
      <w:r>
        <w:rPr>
          <w:i/>
          <w:spacing w:val="-8"/>
          <w:sz w:val="23"/>
        </w:rPr>
        <w:t> </w:t>
      </w:r>
      <w:r>
        <w:rPr>
          <w:i/>
          <w:spacing w:val="-2"/>
          <w:sz w:val="23"/>
        </w:rPr>
        <w:t>al</w:t>
      </w:r>
      <w:r>
        <w:rPr>
          <w:i/>
          <w:spacing w:val="-8"/>
          <w:sz w:val="23"/>
        </w:rPr>
        <w:t> </w:t>
      </w:r>
      <w:r>
        <w:rPr>
          <w:i/>
          <w:spacing w:val="-2"/>
          <w:sz w:val="23"/>
        </w:rPr>
        <w:t>primer</w:t>
      </w:r>
      <w:r>
        <w:rPr>
          <w:i/>
          <w:spacing w:val="-7"/>
          <w:sz w:val="23"/>
        </w:rPr>
        <w:t> </w:t>
      </w:r>
      <w:r>
        <w:rPr>
          <w:i/>
          <w:spacing w:val="-2"/>
          <w:sz w:val="23"/>
        </w:rPr>
        <w:t>día</w:t>
      </w:r>
      <w:r>
        <w:rPr>
          <w:i/>
          <w:spacing w:val="-8"/>
          <w:sz w:val="23"/>
        </w:rPr>
        <w:t> </w:t>
      </w:r>
      <w:r>
        <w:rPr>
          <w:i/>
          <w:spacing w:val="-2"/>
          <w:sz w:val="23"/>
        </w:rPr>
        <w:t>hábil</w:t>
      </w:r>
      <w:r>
        <w:rPr>
          <w:i/>
          <w:spacing w:val="-8"/>
          <w:sz w:val="23"/>
        </w:rPr>
        <w:t> </w:t>
      </w:r>
      <w:r>
        <w:rPr>
          <w:i/>
          <w:spacing w:val="-2"/>
          <w:sz w:val="23"/>
        </w:rPr>
        <w:t>de</w:t>
      </w:r>
      <w:r>
        <w:rPr>
          <w:i/>
          <w:spacing w:val="-9"/>
          <w:sz w:val="23"/>
        </w:rPr>
        <w:t> </w:t>
      </w:r>
      <w:r>
        <w:rPr>
          <w:i/>
          <w:spacing w:val="-2"/>
          <w:sz w:val="23"/>
        </w:rPr>
        <w:t>enero</w:t>
      </w:r>
      <w:r>
        <w:rPr>
          <w:i/>
          <w:spacing w:val="-7"/>
          <w:sz w:val="23"/>
        </w:rPr>
        <w:t> </w:t>
      </w:r>
      <w:r>
        <w:rPr>
          <w:i/>
          <w:spacing w:val="-2"/>
          <w:sz w:val="23"/>
        </w:rPr>
        <w:t>del</w:t>
      </w:r>
      <w:r>
        <w:rPr>
          <w:i/>
          <w:spacing w:val="-8"/>
          <w:sz w:val="23"/>
        </w:rPr>
        <w:t> </w:t>
      </w:r>
      <w:r>
        <w:rPr>
          <w:i/>
          <w:spacing w:val="-2"/>
          <w:sz w:val="23"/>
        </w:rPr>
        <w:t>2023</w:t>
      </w:r>
      <w:r>
        <w:rPr>
          <w:i/>
          <w:spacing w:val="-9"/>
          <w:sz w:val="23"/>
        </w:rPr>
        <w:t> </w:t>
      </w:r>
      <w:r>
        <w:rPr>
          <w:i/>
          <w:spacing w:val="-2"/>
          <w:sz w:val="23"/>
        </w:rPr>
        <w:t>la</w:t>
      </w:r>
      <w:r>
        <w:rPr>
          <w:i/>
          <w:spacing w:val="-9"/>
          <w:sz w:val="23"/>
        </w:rPr>
        <w:t> </w:t>
      </w:r>
      <w:r>
        <w:rPr>
          <w:i/>
          <w:spacing w:val="-2"/>
          <w:sz w:val="23"/>
        </w:rPr>
        <w:t>aplicación</w:t>
      </w:r>
      <w:r>
        <w:rPr>
          <w:i/>
          <w:spacing w:val="-7"/>
          <w:sz w:val="23"/>
        </w:rPr>
        <w:t> </w:t>
      </w:r>
      <w:r>
        <w:rPr>
          <w:i/>
          <w:spacing w:val="-2"/>
          <w:sz w:val="23"/>
        </w:rPr>
        <w:t>de las</w:t>
      </w:r>
      <w:r>
        <w:rPr>
          <w:i/>
          <w:spacing w:val="-4"/>
          <w:sz w:val="23"/>
        </w:rPr>
        <w:t> </w:t>
      </w:r>
      <w:r>
        <w:rPr>
          <w:i/>
          <w:spacing w:val="-2"/>
          <w:sz w:val="23"/>
        </w:rPr>
        <w:t>NICSP</w:t>
      </w:r>
      <w:r>
        <w:rPr>
          <w:i/>
          <w:spacing w:val="-8"/>
          <w:sz w:val="23"/>
        </w:rPr>
        <w:t> </w:t>
      </w:r>
      <w:r>
        <w:rPr>
          <w:i/>
          <w:spacing w:val="-2"/>
          <w:sz w:val="23"/>
        </w:rPr>
        <w:t>que</w:t>
      </w:r>
      <w:r>
        <w:rPr>
          <w:i/>
          <w:spacing w:val="-6"/>
          <w:sz w:val="23"/>
        </w:rPr>
        <w:t> </w:t>
      </w:r>
      <w:r>
        <w:rPr>
          <w:i/>
          <w:spacing w:val="-2"/>
          <w:sz w:val="23"/>
        </w:rPr>
        <w:t>no</w:t>
      </w:r>
      <w:r>
        <w:rPr>
          <w:i/>
          <w:spacing w:val="-4"/>
          <w:sz w:val="23"/>
        </w:rPr>
        <w:t> </w:t>
      </w:r>
      <w:r>
        <w:rPr>
          <w:i/>
          <w:spacing w:val="-2"/>
          <w:sz w:val="23"/>
        </w:rPr>
        <w:t>tienen</w:t>
      </w:r>
      <w:r>
        <w:rPr>
          <w:i/>
          <w:spacing w:val="-5"/>
          <w:sz w:val="23"/>
        </w:rPr>
        <w:t> </w:t>
      </w:r>
      <w:r>
        <w:rPr>
          <w:i/>
          <w:spacing w:val="-2"/>
          <w:sz w:val="23"/>
        </w:rPr>
        <w:t>incluidos</w:t>
      </w:r>
      <w:r>
        <w:rPr>
          <w:i/>
          <w:spacing w:val="-4"/>
          <w:sz w:val="23"/>
        </w:rPr>
        <w:t> </w:t>
      </w:r>
      <w:r>
        <w:rPr>
          <w:i/>
          <w:spacing w:val="-2"/>
          <w:sz w:val="23"/>
        </w:rPr>
        <w:t>dentro</w:t>
      </w:r>
      <w:r>
        <w:rPr>
          <w:i/>
          <w:spacing w:val="-4"/>
          <w:sz w:val="23"/>
        </w:rPr>
        <w:t> </w:t>
      </w:r>
      <w:r>
        <w:rPr>
          <w:i/>
          <w:spacing w:val="-2"/>
          <w:sz w:val="23"/>
        </w:rPr>
        <w:t>sus</w:t>
      </w:r>
      <w:r>
        <w:rPr>
          <w:i/>
          <w:spacing w:val="-4"/>
          <w:sz w:val="23"/>
        </w:rPr>
        <w:t> </w:t>
      </w:r>
      <w:r>
        <w:rPr>
          <w:i/>
          <w:spacing w:val="-2"/>
          <w:sz w:val="23"/>
        </w:rPr>
        <w:t>apartados</w:t>
      </w:r>
      <w:r>
        <w:rPr>
          <w:i/>
          <w:spacing w:val="-4"/>
          <w:sz w:val="23"/>
        </w:rPr>
        <w:t> </w:t>
      </w:r>
      <w:r>
        <w:rPr>
          <w:i/>
          <w:spacing w:val="-2"/>
          <w:sz w:val="23"/>
        </w:rPr>
        <w:t>disposiciones</w:t>
      </w:r>
      <w:r>
        <w:rPr>
          <w:i/>
          <w:spacing w:val="-4"/>
          <w:sz w:val="23"/>
        </w:rPr>
        <w:t> </w:t>
      </w:r>
      <w:r>
        <w:rPr>
          <w:i/>
          <w:spacing w:val="-2"/>
          <w:sz w:val="23"/>
        </w:rPr>
        <w:t>transitorias</w:t>
      </w:r>
      <w:r>
        <w:rPr>
          <w:spacing w:val="-2"/>
          <w:sz w:val="22"/>
        </w:rPr>
        <w:t>.”</w:t>
      </w:r>
    </w:p>
    <w:p>
      <w:pPr>
        <w:pStyle w:val="BodyText"/>
        <w:rPr>
          <w:sz w:val="23"/>
        </w:rPr>
      </w:pPr>
    </w:p>
    <w:p>
      <w:pPr>
        <w:pStyle w:val="BodyText"/>
        <w:rPr>
          <w:sz w:val="23"/>
        </w:rPr>
      </w:pPr>
    </w:p>
    <w:p>
      <w:pPr>
        <w:pStyle w:val="BodyText"/>
        <w:spacing w:line="259" w:lineRule="auto"/>
        <w:ind w:left="730" w:right="921"/>
        <w:jc w:val="both"/>
      </w:pPr>
      <w:r>
        <w:rPr/>
        <w:t>La</w:t>
      </w:r>
      <w:r>
        <w:rPr>
          <w:spacing w:val="-1"/>
        </w:rPr>
        <w:t> </w:t>
      </w:r>
      <w:r>
        <w:rPr/>
        <w:t>Contabilidad</w:t>
      </w:r>
      <w:r>
        <w:rPr>
          <w:spacing w:val="-1"/>
        </w:rPr>
        <w:t> </w:t>
      </w:r>
      <w:r>
        <w:rPr/>
        <w:t>Nacional, mediante</w:t>
      </w:r>
      <w:r>
        <w:rPr>
          <w:spacing w:val="-1"/>
        </w:rPr>
        <w:t> </w:t>
      </w:r>
      <w:r>
        <w:rPr/>
        <w:t>la</w:t>
      </w:r>
      <w:r>
        <w:rPr>
          <w:spacing w:val="-1"/>
        </w:rPr>
        <w:t> </w:t>
      </w:r>
      <w:r>
        <w:rPr/>
        <w:t>Resolución de</w:t>
      </w:r>
      <w:r>
        <w:rPr>
          <w:spacing w:val="-4"/>
        </w:rPr>
        <w:t> </w:t>
      </w:r>
      <w:r>
        <w:rPr/>
        <w:t>Alcance</w:t>
      </w:r>
      <w:r>
        <w:rPr>
          <w:spacing w:val="-2"/>
        </w:rPr>
        <w:t> </w:t>
      </w:r>
      <w:r>
        <w:rPr/>
        <w:t>General</w:t>
      </w:r>
      <w:r>
        <w:rPr>
          <w:spacing w:val="-1"/>
        </w:rPr>
        <w:t> </w:t>
      </w:r>
      <w:r>
        <w:rPr/>
        <w:t>DCN-0002-2021</w:t>
      </w:r>
      <w:r>
        <w:rPr>
          <w:spacing w:val="-1"/>
        </w:rPr>
        <w:t> </w:t>
      </w:r>
      <w:r>
        <w:rPr/>
        <w:t>Adopción</w:t>
      </w:r>
      <w:r>
        <w:rPr>
          <w:spacing w:val="-2"/>
        </w:rPr>
        <w:t> </w:t>
      </w:r>
      <w:r>
        <w:rPr/>
        <w:t>e implementación NICSP, procedió a realizar una actualización del Plan General de Contabilidad a la versión</w:t>
      </w:r>
      <w:r>
        <w:rPr>
          <w:spacing w:val="-7"/>
        </w:rPr>
        <w:t> </w:t>
      </w:r>
      <w:r>
        <w:rPr/>
        <w:t>2021</w:t>
      </w:r>
      <w:r>
        <w:rPr>
          <w:spacing w:val="-8"/>
        </w:rPr>
        <w:t> </w:t>
      </w:r>
      <w:r>
        <w:rPr/>
        <w:t>emitiendo</w:t>
      </w:r>
      <w:r>
        <w:rPr>
          <w:spacing w:val="-7"/>
        </w:rPr>
        <w:t> </w:t>
      </w:r>
      <w:r>
        <w:rPr/>
        <w:t>e</w:t>
      </w:r>
      <w:r>
        <w:rPr>
          <w:spacing w:val="-8"/>
        </w:rPr>
        <w:t> </w:t>
      </w:r>
      <w:r>
        <w:rPr/>
        <w:t>implementando</w:t>
      </w:r>
      <w:r>
        <w:rPr>
          <w:spacing w:val="-6"/>
        </w:rPr>
        <w:t> </w:t>
      </w:r>
      <w:r>
        <w:rPr/>
        <w:t>Políticas</w:t>
      </w:r>
      <w:r>
        <w:rPr>
          <w:spacing w:val="-6"/>
        </w:rPr>
        <w:t> </w:t>
      </w:r>
      <w:r>
        <w:rPr/>
        <w:t>Contables</w:t>
      </w:r>
      <w:r>
        <w:rPr>
          <w:spacing w:val="-6"/>
        </w:rPr>
        <w:t> </w:t>
      </w:r>
      <w:r>
        <w:rPr/>
        <w:t>Generales</w:t>
      </w:r>
      <w:r>
        <w:rPr>
          <w:spacing w:val="-6"/>
        </w:rPr>
        <w:t> </w:t>
      </w:r>
      <w:r>
        <w:rPr/>
        <w:t>como</w:t>
      </w:r>
      <w:r>
        <w:rPr>
          <w:spacing w:val="-6"/>
        </w:rPr>
        <w:t> </w:t>
      </w:r>
      <w:r>
        <w:rPr/>
        <w:t>el</w:t>
      </w:r>
      <w:r>
        <w:rPr>
          <w:spacing w:val="-8"/>
        </w:rPr>
        <w:t> </w:t>
      </w:r>
      <w:r>
        <w:rPr/>
        <w:t>marco</w:t>
      </w:r>
      <w:r>
        <w:rPr>
          <w:spacing w:val="-6"/>
        </w:rPr>
        <w:t> </w:t>
      </w:r>
      <w:r>
        <w:rPr/>
        <w:t>de</w:t>
      </w:r>
      <w:r>
        <w:rPr>
          <w:spacing w:val="-9"/>
        </w:rPr>
        <w:t> </w:t>
      </w:r>
      <w:r>
        <w:rPr/>
        <w:t>referencia</w:t>
      </w:r>
    </w:p>
    <w:p>
      <w:pPr>
        <w:pStyle w:val="BodyText"/>
        <w:spacing w:after="0" w:line="259" w:lineRule="auto"/>
        <w:jc w:val="both"/>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7152">
                <wp:simplePos x="0" y="0"/>
                <wp:positionH relativeFrom="page">
                  <wp:posOffset>9525</wp:posOffset>
                </wp:positionH>
                <wp:positionV relativeFrom="page">
                  <wp:posOffset>297208</wp:posOffset>
                </wp:positionV>
                <wp:extent cx="7762875" cy="9748520"/>
                <wp:effectExtent l="0" t="0" r="0" b="0"/>
                <wp:wrapNone/>
                <wp:docPr id="1241" name="Group 1241"/>
                <wp:cNvGraphicFramePr>
                  <a:graphicFrameLocks/>
                </wp:cNvGraphicFramePr>
                <a:graphic>
                  <a:graphicData uri="http://schemas.microsoft.com/office/word/2010/wordprocessingGroup">
                    <wpg:wgp>
                      <wpg:cNvPr id="1241" name="Group 1241"/>
                      <wpg:cNvGrpSpPr/>
                      <wpg:grpSpPr>
                        <a:xfrm>
                          <a:off x="0" y="0"/>
                          <a:ext cx="7762875" cy="9748520"/>
                          <a:chExt cx="7762875" cy="9748520"/>
                        </a:xfrm>
                      </wpg:grpSpPr>
                      <pic:pic>
                        <pic:nvPicPr>
                          <pic:cNvPr id="1242" name="Image 1242"/>
                          <pic:cNvPicPr/>
                        </pic:nvPicPr>
                        <pic:blipFill>
                          <a:blip r:embed="rId5" cstate="print"/>
                          <a:stretch>
                            <a:fillRect/>
                          </a:stretch>
                        </pic:blipFill>
                        <pic:spPr>
                          <a:xfrm>
                            <a:off x="0" y="0"/>
                            <a:ext cx="7762874" cy="9748489"/>
                          </a:xfrm>
                          <a:prstGeom prst="rect">
                            <a:avLst/>
                          </a:prstGeom>
                        </pic:spPr>
                      </pic:pic>
                      <wps:wsp>
                        <wps:cNvPr id="1243" name="Graphic 1243"/>
                        <wps:cNvSpPr/>
                        <wps:spPr>
                          <a:xfrm>
                            <a:off x="1053007" y="990837"/>
                            <a:ext cx="5736590" cy="4478655"/>
                          </a:xfrm>
                          <a:custGeom>
                            <a:avLst/>
                            <a:gdLst/>
                            <a:ahLst/>
                            <a:cxnLst/>
                            <a:rect l="l" t="t" r="r" b="b"/>
                            <a:pathLst>
                              <a:path w="5736590" h="4478655">
                                <a:moveTo>
                                  <a:pt x="5649214" y="0"/>
                                </a:moveTo>
                                <a:lnTo>
                                  <a:pt x="0" y="0"/>
                                </a:lnTo>
                                <a:lnTo>
                                  <a:pt x="0" y="9131"/>
                                </a:lnTo>
                                <a:lnTo>
                                  <a:pt x="5649214" y="9131"/>
                                </a:lnTo>
                                <a:lnTo>
                                  <a:pt x="5649214" y="0"/>
                                </a:lnTo>
                                <a:close/>
                              </a:path>
                              <a:path w="5736590" h="4478655">
                                <a:moveTo>
                                  <a:pt x="5736018" y="126479"/>
                                </a:moveTo>
                                <a:lnTo>
                                  <a:pt x="5729986" y="126479"/>
                                </a:lnTo>
                                <a:lnTo>
                                  <a:pt x="5729935" y="132575"/>
                                </a:lnTo>
                                <a:lnTo>
                                  <a:pt x="5729935" y="4472038"/>
                                </a:lnTo>
                                <a:lnTo>
                                  <a:pt x="21336" y="4472038"/>
                                </a:lnTo>
                                <a:lnTo>
                                  <a:pt x="21336" y="132575"/>
                                </a:lnTo>
                                <a:lnTo>
                                  <a:pt x="5729935" y="132575"/>
                                </a:lnTo>
                                <a:lnTo>
                                  <a:pt x="5729935" y="126479"/>
                                </a:lnTo>
                                <a:lnTo>
                                  <a:pt x="21336" y="126479"/>
                                </a:lnTo>
                                <a:lnTo>
                                  <a:pt x="15240" y="126479"/>
                                </a:lnTo>
                                <a:lnTo>
                                  <a:pt x="15240" y="132575"/>
                                </a:lnTo>
                                <a:lnTo>
                                  <a:pt x="15240" y="4472038"/>
                                </a:lnTo>
                                <a:lnTo>
                                  <a:pt x="15240" y="4478134"/>
                                </a:lnTo>
                                <a:lnTo>
                                  <a:pt x="21336" y="4478134"/>
                                </a:lnTo>
                                <a:lnTo>
                                  <a:pt x="5729935" y="4478134"/>
                                </a:lnTo>
                                <a:lnTo>
                                  <a:pt x="5736018" y="4478134"/>
                                </a:lnTo>
                                <a:lnTo>
                                  <a:pt x="5736018" y="4472038"/>
                                </a:lnTo>
                                <a:lnTo>
                                  <a:pt x="5736018" y="132575"/>
                                </a:lnTo>
                                <a:lnTo>
                                  <a:pt x="5736018" y="126479"/>
                                </a:lnTo>
                                <a:close/>
                              </a:path>
                            </a:pathLst>
                          </a:custGeom>
                          <a:solidFill>
                            <a:srgbClr val="000000"/>
                          </a:solidFill>
                        </wps:spPr>
                        <wps:bodyPr wrap="square" lIns="0" tIns="0" rIns="0" bIns="0" rtlCol="0">
                          <a:prstTxWarp prst="textNoShape">
                            <a:avLst/>
                          </a:prstTxWarp>
                          <a:noAutofit/>
                        </wps:bodyPr>
                      </wps:wsp>
                      <pic:pic>
                        <pic:nvPicPr>
                          <pic:cNvPr id="1244" name="Image 1244" descr="Tabla  El contenido generado por IA puede ser incorrecto."/>
                          <pic:cNvPicPr/>
                        </pic:nvPicPr>
                        <pic:blipFill>
                          <a:blip r:embed="rId119" cstate="print"/>
                          <a:stretch>
                            <a:fillRect/>
                          </a:stretch>
                        </pic:blipFill>
                        <pic:spPr>
                          <a:xfrm>
                            <a:off x="2624200" y="7397467"/>
                            <a:ext cx="2504948" cy="1115009"/>
                          </a:xfrm>
                          <a:prstGeom prst="rect">
                            <a:avLst/>
                          </a:prstGeom>
                        </pic:spPr>
                      </pic:pic>
                    </wpg:wgp>
                  </a:graphicData>
                </a:graphic>
              </wp:anchor>
            </w:drawing>
          </mc:Choice>
          <mc:Fallback>
            <w:pict>
              <v:group style="position:absolute;margin-left:.75001pt;margin-top:23.402267pt;width:611.25pt;height:767.6pt;mso-position-horizontal-relative:page;mso-position-vertical-relative:page;z-index:-29539328" id="docshapegroup1185" coordorigin="15,468" coordsize="12225,15352">
                <v:shape style="position:absolute;left:15;top:468;width:12225;height:15352" type="#_x0000_t75" id="docshape1186" stroked="false">
                  <v:imagedata r:id="rId5" o:title=""/>
                </v:shape>
                <v:shape style="position:absolute;left:1673;top:2028;width:9034;height:7053" id="docshape1187" coordorigin="1673,2028" coordsize="9034,7053" path="m10570,2028l1673,2028,1673,2043,10570,2043,10570,2028xm10706,2228l10697,2228,10697,2228,10697,2237,10697,9071,1707,9071,1707,2237,10697,2237,10697,2228,1707,2228,1697,2228,1697,2237,1697,9071,1697,9081,1707,9081,10697,9081,10697,9081,10706,9081,10706,9071,10706,2237,10706,2228xe" filled="true" fillcolor="#000000" stroked="false">
                  <v:path arrowok="t"/>
                  <v:fill type="solid"/>
                </v:shape>
                <v:shape style="position:absolute;left:4147;top:12117;width:3945;height:1756" type="#_x0000_t75" id="docshape1188" alt="Tabla  El contenido generado por IA puede ser incorrecto." stroked="false">
                  <v:imagedata r:id="rId119" o:title=""/>
                </v:shape>
                <w10:wrap type="none"/>
              </v:group>
            </w:pict>
          </mc:Fallback>
        </mc:AlternateContent>
      </w:r>
      <w:r>
        <w:rPr>
          <w:color w:val="172951"/>
          <w:sz w:val="20"/>
        </w:rPr>
        <w:t>Pág.</w:t>
      </w:r>
      <w:r>
        <w:rPr>
          <w:color w:val="172951"/>
          <w:spacing w:val="-7"/>
          <w:sz w:val="20"/>
        </w:rPr>
        <w:t> </w:t>
      </w:r>
      <w:r>
        <w:rPr>
          <w:color w:val="172951"/>
          <w:spacing w:val="-5"/>
          <w:sz w:val="20"/>
        </w:rPr>
        <w:t>246</w:t>
      </w:r>
    </w:p>
    <w:p>
      <w:pPr>
        <w:pStyle w:val="BodyText"/>
        <w:spacing w:line="259" w:lineRule="auto" w:before="227"/>
        <w:ind w:left="730" w:right="921"/>
        <w:jc w:val="both"/>
      </w:pPr>
      <w:r>
        <w:rPr/>
        <w:t>para el registro contable, basadas en los estándares de las NICSP versión 2018. En el IMAS con el oficio IMAS-GG-1643-2021 del 23 de julio 2021, se aprobó el uso del Plan y Políticas contables emitidas en las transacciones del IMAS.</w:t>
      </w:r>
    </w:p>
    <w:p>
      <w:pPr>
        <w:pStyle w:val="BodyText"/>
        <w:spacing w:before="250"/>
        <w:ind w:left="730" w:right="1001"/>
      </w:pPr>
      <w:r>
        <w:rPr/>
        <w:t>Dentro</w:t>
      </w:r>
      <w:r>
        <w:rPr>
          <w:spacing w:val="-2"/>
        </w:rPr>
        <w:t> </w:t>
      </w:r>
      <w:r>
        <w:rPr/>
        <w:t>del</w:t>
      </w:r>
      <w:r>
        <w:rPr>
          <w:spacing w:val="-3"/>
        </w:rPr>
        <w:t> </w:t>
      </w:r>
      <w:r>
        <w:rPr/>
        <w:t>proceso</w:t>
      </w:r>
      <w:r>
        <w:rPr>
          <w:spacing w:val="-3"/>
        </w:rPr>
        <w:t> </w:t>
      </w:r>
      <w:r>
        <w:rPr/>
        <w:t>de</w:t>
      </w:r>
      <w:r>
        <w:rPr>
          <w:spacing w:val="-5"/>
        </w:rPr>
        <w:t> </w:t>
      </w:r>
      <w:r>
        <w:rPr/>
        <w:t>transición</w:t>
      </w:r>
      <w:r>
        <w:rPr>
          <w:spacing w:val="-3"/>
        </w:rPr>
        <w:t> </w:t>
      </w:r>
      <w:r>
        <w:rPr/>
        <w:t>y</w:t>
      </w:r>
      <w:r>
        <w:rPr>
          <w:spacing w:val="-4"/>
        </w:rPr>
        <w:t> </w:t>
      </w:r>
      <w:r>
        <w:rPr/>
        <w:t>adopción</w:t>
      </w:r>
      <w:r>
        <w:rPr>
          <w:spacing w:val="-3"/>
        </w:rPr>
        <w:t> </w:t>
      </w:r>
      <w:r>
        <w:rPr/>
        <w:t>por</w:t>
      </w:r>
      <w:r>
        <w:rPr>
          <w:spacing w:val="-3"/>
        </w:rPr>
        <w:t> </w:t>
      </w:r>
      <w:r>
        <w:rPr/>
        <w:t>primera</w:t>
      </w:r>
      <w:r>
        <w:rPr>
          <w:spacing w:val="-4"/>
        </w:rPr>
        <w:t> </w:t>
      </w:r>
      <w:r>
        <w:rPr/>
        <w:t>vez</w:t>
      </w:r>
      <w:r>
        <w:rPr>
          <w:spacing w:val="-3"/>
        </w:rPr>
        <w:t> </w:t>
      </w:r>
      <w:r>
        <w:rPr/>
        <w:t>se</w:t>
      </w:r>
      <w:r>
        <w:rPr>
          <w:spacing w:val="-4"/>
        </w:rPr>
        <w:t> </w:t>
      </w:r>
      <w:r>
        <w:rPr/>
        <w:t>reconocieron</w:t>
      </w:r>
      <w:r>
        <w:rPr>
          <w:spacing w:val="-3"/>
        </w:rPr>
        <w:t> </w:t>
      </w:r>
      <w:r>
        <w:rPr/>
        <w:t>activos</w:t>
      </w:r>
      <w:r>
        <w:rPr>
          <w:spacing w:val="-2"/>
        </w:rPr>
        <w:t> </w:t>
      </w:r>
      <w:r>
        <w:rPr/>
        <w:t>intangibles generados internamente, reconocimiento conforme al párrafo 125 de la NICSP 33.</w:t>
      </w:r>
    </w:p>
    <w:p>
      <w:pPr>
        <w:pStyle w:val="BodyText"/>
        <w:spacing w:before="161"/>
        <w:ind w:left="730" w:right="926"/>
        <w:jc w:val="both"/>
      </w:pPr>
      <w:r>
        <w:rPr/>
        <w:t>En el apartado Declaración de Cumplimiento inciso II se presenta el cuadro de resumen sobre la adopción de</w:t>
      </w:r>
      <w:r>
        <w:rPr>
          <w:spacing w:val="-2"/>
        </w:rPr>
        <w:t> </w:t>
      </w:r>
      <w:r>
        <w:rPr/>
        <w:t>las NICSP</w:t>
      </w:r>
      <w:r>
        <w:rPr>
          <w:spacing w:val="-3"/>
        </w:rPr>
        <w:t> </w:t>
      </w:r>
      <w:r>
        <w:rPr/>
        <w:t>en la</w:t>
      </w:r>
      <w:r>
        <w:rPr>
          <w:spacing w:val="-1"/>
        </w:rPr>
        <w:t> </w:t>
      </w:r>
      <w:r>
        <w:rPr/>
        <w:t>institución, en el</w:t>
      </w:r>
      <w:r>
        <w:rPr>
          <w:spacing w:val="-1"/>
        </w:rPr>
        <w:t> </w:t>
      </w:r>
      <w:r>
        <w:rPr/>
        <w:t>inciso III</w:t>
      </w:r>
      <w:r>
        <w:rPr>
          <w:spacing w:val="-3"/>
        </w:rPr>
        <w:t> </w:t>
      </w:r>
      <w:r>
        <w:rPr/>
        <w:t>se</w:t>
      </w:r>
      <w:r>
        <w:rPr>
          <w:spacing w:val="-1"/>
        </w:rPr>
        <w:t> </w:t>
      </w:r>
      <w:r>
        <w:rPr/>
        <w:t>detalla</w:t>
      </w:r>
      <w:r>
        <w:rPr>
          <w:spacing w:val="-1"/>
        </w:rPr>
        <w:t> </w:t>
      </w:r>
      <w:r>
        <w:rPr/>
        <w:t>las disposiciones</w:t>
      </w:r>
      <w:r>
        <w:rPr>
          <w:spacing w:val="-1"/>
        </w:rPr>
        <w:t> </w:t>
      </w:r>
      <w:r>
        <w:rPr/>
        <w:t>transitorias en</w:t>
      </w:r>
      <w:r>
        <w:rPr>
          <w:spacing w:val="-2"/>
        </w:rPr>
        <w:t> </w:t>
      </w:r>
      <w:r>
        <w:rPr/>
        <w:t>las NICSP, aprovechando el 100% las exenciones transitorias desde el 2021 con el fin de no afectar la presentación razonable de los estados financieros. Para tal fin, se elaboraron planes de acción, con seguimiento</w:t>
      </w:r>
      <w:r>
        <w:rPr>
          <w:spacing w:val="-7"/>
        </w:rPr>
        <w:t> </w:t>
      </w:r>
      <w:r>
        <w:rPr/>
        <w:t>de</w:t>
      </w:r>
      <w:r>
        <w:rPr>
          <w:spacing w:val="-10"/>
        </w:rPr>
        <w:t> </w:t>
      </w:r>
      <w:r>
        <w:rPr/>
        <w:t>la</w:t>
      </w:r>
      <w:r>
        <w:rPr>
          <w:spacing w:val="-9"/>
        </w:rPr>
        <w:t> </w:t>
      </w:r>
      <w:r>
        <w:rPr/>
        <w:t>comisión</w:t>
      </w:r>
      <w:r>
        <w:rPr>
          <w:spacing w:val="-10"/>
        </w:rPr>
        <w:t> </w:t>
      </w:r>
      <w:r>
        <w:rPr/>
        <w:t>NICSP,</w:t>
      </w:r>
      <w:r>
        <w:rPr>
          <w:spacing w:val="-8"/>
        </w:rPr>
        <w:t> </w:t>
      </w:r>
      <w:r>
        <w:rPr/>
        <w:t>cuyo</w:t>
      </w:r>
      <w:r>
        <w:rPr>
          <w:spacing w:val="-7"/>
        </w:rPr>
        <w:t> </w:t>
      </w:r>
      <w:r>
        <w:rPr/>
        <w:t>cumplimiento</w:t>
      </w:r>
      <w:r>
        <w:rPr>
          <w:spacing w:val="-9"/>
        </w:rPr>
        <w:t> </w:t>
      </w:r>
      <w:r>
        <w:rPr/>
        <w:t>se</w:t>
      </w:r>
      <w:r>
        <w:rPr>
          <w:spacing w:val="-9"/>
        </w:rPr>
        <w:t> </w:t>
      </w:r>
      <w:r>
        <w:rPr/>
        <w:t>realiza</w:t>
      </w:r>
      <w:r>
        <w:rPr>
          <w:spacing w:val="-9"/>
        </w:rPr>
        <w:t> </w:t>
      </w:r>
      <w:r>
        <w:rPr/>
        <w:t>para</w:t>
      </w:r>
      <w:r>
        <w:rPr>
          <w:spacing w:val="-9"/>
        </w:rPr>
        <w:t> </w:t>
      </w:r>
      <w:r>
        <w:rPr/>
        <w:t>los</w:t>
      </w:r>
      <w:r>
        <w:rPr>
          <w:spacing w:val="-7"/>
        </w:rPr>
        <w:t> </w:t>
      </w:r>
      <w:r>
        <w:rPr/>
        <w:t>estados</w:t>
      </w:r>
      <w:r>
        <w:rPr>
          <w:spacing w:val="-9"/>
        </w:rPr>
        <w:t> </w:t>
      </w:r>
      <w:r>
        <w:rPr/>
        <w:t>de</w:t>
      </w:r>
      <w:r>
        <w:rPr>
          <w:spacing w:val="-9"/>
        </w:rPr>
        <w:t> </w:t>
      </w:r>
      <w:r>
        <w:rPr/>
        <w:t>diciembre</w:t>
      </w:r>
      <w:r>
        <w:rPr>
          <w:spacing w:val="-10"/>
        </w:rPr>
        <w:t> </w:t>
      </w:r>
      <w:r>
        <w:rPr/>
        <w:t>2023.</w:t>
      </w:r>
    </w:p>
    <w:p>
      <w:pPr>
        <w:pStyle w:val="BodyText"/>
        <w:spacing w:before="159"/>
        <w:ind w:left="730" w:right="923"/>
        <w:jc w:val="both"/>
      </w:pPr>
      <w:r>
        <w:rPr/>
        <w:t>En cumplimiento del</w:t>
      </w:r>
      <w:r>
        <w:rPr>
          <w:spacing w:val="-1"/>
        </w:rPr>
        <w:t> </w:t>
      </w:r>
      <w:r>
        <w:rPr/>
        <w:t>párrafo 148,</w:t>
      </w:r>
      <w:r>
        <w:rPr>
          <w:spacing w:val="40"/>
        </w:rPr>
        <w:t> </w:t>
      </w:r>
      <w:r>
        <w:rPr/>
        <w:t>se</w:t>
      </w:r>
      <w:r>
        <w:rPr>
          <w:spacing w:val="-1"/>
        </w:rPr>
        <w:t> </w:t>
      </w:r>
      <w:r>
        <w:rPr/>
        <w:t>revela</w:t>
      </w:r>
      <w:r>
        <w:rPr>
          <w:spacing w:val="-1"/>
        </w:rPr>
        <w:t> </w:t>
      </w:r>
      <w:r>
        <w:rPr/>
        <w:t>el</w:t>
      </w:r>
      <w:r>
        <w:rPr>
          <w:spacing w:val="-1"/>
        </w:rPr>
        <w:t> </w:t>
      </w:r>
      <w:r>
        <w:rPr/>
        <w:t>uso del</w:t>
      </w:r>
      <w:r>
        <w:rPr>
          <w:spacing w:val="-1"/>
        </w:rPr>
        <w:t> </w:t>
      </w:r>
      <w:r>
        <w:rPr/>
        <w:t>costo atribuido</w:t>
      </w:r>
      <w:r>
        <w:rPr>
          <w:spacing w:val="40"/>
        </w:rPr>
        <w:t> </w:t>
      </w:r>
      <w:r>
        <w:rPr/>
        <w:t>para</w:t>
      </w:r>
      <w:r>
        <w:rPr>
          <w:spacing w:val="-1"/>
        </w:rPr>
        <w:t> </w:t>
      </w:r>
      <w:r>
        <w:rPr/>
        <w:t>las propiedades, planta y equipo,</w:t>
      </w:r>
      <w:r>
        <w:rPr>
          <w:spacing w:val="-14"/>
        </w:rPr>
        <w:t> </w:t>
      </w:r>
      <w:r>
        <w:rPr/>
        <w:t>en</w:t>
      </w:r>
      <w:r>
        <w:rPr>
          <w:spacing w:val="-13"/>
        </w:rPr>
        <w:t> </w:t>
      </w:r>
      <w:r>
        <w:rPr/>
        <w:t>el</w:t>
      </w:r>
      <w:r>
        <w:rPr>
          <w:spacing w:val="-14"/>
        </w:rPr>
        <w:t> </w:t>
      </w:r>
      <w:r>
        <w:rPr/>
        <w:t>caso</w:t>
      </w:r>
      <w:r>
        <w:rPr>
          <w:spacing w:val="-12"/>
        </w:rPr>
        <w:t> </w:t>
      </w:r>
      <w:r>
        <w:rPr/>
        <w:t>del</w:t>
      </w:r>
      <w:r>
        <w:rPr>
          <w:spacing w:val="-14"/>
        </w:rPr>
        <w:t> </w:t>
      </w:r>
      <w:r>
        <w:rPr/>
        <w:t>IMAS</w:t>
      </w:r>
      <w:r>
        <w:rPr>
          <w:spacing w:val="-14"/>
        </w:rPr>
        <w:t> </w:t>
      </w:r>
      <w:r>
        <w:rPr/>
        <w:t>planta</w:t>
      </w:r>
      <w:r>
        <w:rPr>
          <w:spacing w:val="-13"/>
        </w:rPr>
        <w:t> </w:t>
      </w:r>
      <w:r>
        <w:rPr/>
        <w:t>y</w:t>
      </w:r>
      <w:r>
        <w:rPr>
          <w:spacing w:val="-14"/>
        </w:rPr>
        <w:t> </w:t>
      </w:r>
      <w:r>
        <w:rPr/>
        <w:t>equipo</w:t>
      </w:r>
      <w:r>
        <w:rPr>
          <w:spacing w:val="-13"/>
        </w:rPr>
        <w:t> </w:t>
      </w:r>
      <w:r>
        <w:rPr/>
        <w:t>se</w:t>
      </w:r>
      <w:r>
        <w:rPr>
          <w:spacing w:val="-14"/>
        </w:rPr>
        <w:t> </w:t>
      </w:r>
      <w:r>
        <w:rPr/>
        <w:t>mantiene</w:t>
      </w:r>
      <w:r>
        <w:rPr>
          <w:spacing w:val="-14"/>
        </w:rPr>
        <w:t> </w:t>
      </w:r>
      <w:r>
        <w:rPr/>
        <w:t>al</w:t>
      </w:r>
      <w:r>
        <w:rPr>
          <w:spacing w:val="-14"/>
        </w:rPr>
        <w:t> </w:t>
      </w:r>
      <w:r>
        <w:rPr/>
        <w:t>costo</w:t>
      </w:r>
      <w:r>
        <w:rPr>
          <w:spacing w:val="-11"/>
        </w:rPr>
        <w:t> </w:t>
      </w:r>
      <w:r>
        <w:rPr/>
        <w:t>con</w:t>
      </w:r>
      <w:r>
        <w:rPr>
          <w:spacing w:val="-13"/>
        </w:rPr>
        <w:t> </w:t>
      </w:r>
      <w:r>
        <w:rPr/>
        <w:t>un</w:t>
      </w:r>
      <w:r>
        <w:rPr>
          <w:spacing w:val="-13"/>
        </w:rPr>
        <w:t> </w:t>
      </w:r>
      <w:r>
        <w:rPr/>
        <w:t>valor</w:t>
      </w:r>
      <w:r>
        <w:rPr>
          <w:spacing w:val="-13"/>
        </w:rPr>
        <w:t> </w:t>
      </w:r>
      <w:r>
        <w:rPr/>
        <w:t>residual</w:t>
      </w:r>
      <w:r>
        <w:rPr>
          <w:spacing w:val="-14"/>
        </w:rPr>
        <w:t> </w:t>
      </w:r>
      <w:r>
        <w:rPr/>
        <w:t>de</w:t>
      </w:r>
      <w:r>
        <w:rPr>
          <w:spacing w:val="-14"/>
        </w:rPr>
        <w:t> </w:t>
      </w:r>
      <w:r>
        <w:rPr/>
        <w:t>¢500,</w:t>
      </w:r>
      <w:r>
        <w:rPr>
          <w:spacing w:val="-13"/>
        </w:rPr>
        <w:t> </w:t>
      </w:r>
      <w:r>
        <w:rPr/>
        <w:t>siendo las</w:t>
      </w:r>
      <w:r>
        <w:rPr>
          <w:spacing w:val="-5"/>
        </w:rPr>
        <w:t> </w:t>
      </w:r>
      <w:r>
        <w:rPr/>
        <w:t>propiedades</w:t>
      </w:r>
      <w:r>
        <w:rPr>
          <w:spacing w:val="-5"/>
        </w:rPr>
        <w:t> </w:t>
      </w:r>
      <w:r>
        <w:rPr/>
        <w:t>tierras</w:t>
      </w:r>
      <w:r>
        <w:rPr>
          <w:spacing w:val="-7"/>
        </w:rPr>
        <w:t> </w:t>
      </w:r>
      <w:r>
        <w:rPr/>
        <w:t>y</w:t>
      </w:r>
      <w:r>
        <w:rPr>
          <w:spacing w:val="-7"/>
        </w:rPr>
        <w:t> </w:t>
      </w:r>
      <w:r>
        <w:rPr/>
        <w:t>terrenos</w:t>
      </w:r>
      <w:r>
        <w:rPr>
          <w:spacing w:val="-5"/>
        </w:rPr>
        <w:t> </w:t>
      </w:r>
      <w:r>
        <w:rPr/>
        <w:t>ajustados,</w:t>
      </w:r>
      <w:r>
        <w:rPr>
          <w:spacing w:val="-6"/>
        </w:rPr>
        <w:t> </w:t>
      </w:r>
      <w:r>
        <w:rPr/>
        <w:t>utilizando</w:t>
      </w:r>
      <w:r>
        <w:rPr>
          <w:spacing w:val="-5"/>
        </w:rPr>
        <w:t> </w:t>
      </w:r>
      <w:r>
        <w:rPr/>
        <w:t>el</w:t>
      </w:r>
      <w:r>
        <w:rPr>
          <w:spacing w:val="-6"/>
        </w:rPr>
        <w:t> </w:t>
      </w:r>
      <w:r>
        <w:rPr/>
        <w:t>valor</w:t>
      </w:r>
      <w:r>
        <w:rPr>
          <w:spacing w:val="-5"/>
        </w:rPr>
        <w:t> </w:t>
      </w:r>
      <w:r>
        <w:rPr/>
        <w:t>de</w:t>
      </w:r>
      <w:r>
        <w:rPr>
          <w:spacing w:val="-7"/>
        </w:rPr>
        <w:t> </w:t>
      </w:r>
      <w:r>
        <w:rPr/>
        <w:t>los</w:t>
      </w:r>
      <w:r>
        <w:rPr>
          <w:spacing w:val="-7"/>
        </w:rPr>
        <w:t> </w:t>
      </w:r>
      <w:r>
        <w:rPr/>
        <w:t>mapas</w:t>
      </w:r>
      <w:r>
        <w:rPr>
          <w:spacing w:val="-5"/>
        </w:rPr>
        <w:t> </w:t>
      </w:r>
      <w:r>
        <w:rPr/>
        <w:t>de</w:t>
      </w:r>
      <w:r>
        <w:rPr>
          <w:spacing w:val="-7"/>
        </w:rPr>
        <w:t> </w:t>
      </w:r>
      <w:r>
        <w:rPr/>
        <w:t>zonas</w:t>
      </w:r>
      <w:r>
        <w:rPr>
          <w:spacing w:val="-5"/>
        </w:rPr>
        <w:t> </w:t>
      </w:r>
      <w:r>
        <w:rPr/>
        <w:t>homogéneas</w:t>
      </w:r>
      <w:r>
        <w:rPr>
          <w:spacing w:val="-5"/>
        </w:rPr>
        <w:t> </w:t>
      </w:r>
      <w:r>
        <w:rPr/>
        <w:t>del Ministerio de Hacienda, según informe de valoración del Área de Desarrollo Productivo y Comunal del</w:t>
      </w:r>
      <w:r>
        <w:rPr>
          <w:spacing w:val="-14"/>
        </w:rPr>
        <w:t> </w:t>
      </w:r>
      <w:r>
        <w:rPr/>
        <w:t>IMAS,</w:t>
      </w:r>
      <w:r>
        <w:rPr>
          <w:spacing w:val="-14"/>
        </w:rPr>
        <w:t> </w:t>
      </w:r>
      <w:r>
        <w:rPr/>
        <w:t>oficio</w:t>
      </w:r>
      <w:r>
        <w:rPr>
          <w:spacing w:val="-14"/>
        </w:rPr>
        <w:t> </w:t>
      </w:r>
      <w:r>
        <w:rPr/>
        <w:t>IMAS-ADSPC-0040-2023,</w:t>
      </w:r>
      <w:r>
        <w:rPr>
          <w:spacing w:val="-13"/>
        </w:rPr>
        <w:t> </w:t>
      </w:r>
      <w:r>
        <w:rPr/>
        <w:t>el</w:t>
      </w:r>
      <w:r>
        <w:rPr>
          <w:spacing w:val="-14"/>
        </w:rPr>
        <w:t> </w:t>
      </w:r>
      <w:r>
        <w:rPr/>
        <w:t>efecto</w:t>
      </w:r>
      <w:r>
        <w:rPr>
          <w:spacing w:val="-13"/>
        </w:rPr>
        <w:t> </w:t>
      </w:r>
      <w:r>
        <w:rPr/>
        <w:t>se</w:t>
      </w:r>
      <w:r>
        <w:rPr>
          <w:spacing w:val="-12"/>
        </w:rPr>
        <w:t> </w:t>
      </w:r>
      <w:r>
        <w:rPr/>
        <w:t>muestra</w:t>
      </w:r>
      <w:r>
        <w:rPr>
          <w:spacing w:val="-14"/>
        </w:rPr>
        <w:t> </w:t>
      </w:r>
      <w:r>
        <w:rPr/>
        <w:t>en</w:t>
      </w:r>
      <w:r>
        <w:rPr>
          <w:spacing w:val="-13"/>
        </w:rPr>
        <w:t> </w:t>
      </w:r>
      <w:r>
        <w:rPr/>
        <w:t>la</w:t>
      </w:r>
      <w:r>
        <w:rPr>
          <w:spacing w:val="-14"/>
        </w:rPr>
        <w:t> </w:t>
      </w:r>
      <w:r>
        <w:rPr/>
        <w:t>balanza</w:t>
      </w:r>
      <w:r>
        <w:rPr>
          <w:spacing w:val="-14"/>
        </w:rPr>
        <w:t> </w:t>
      </w:r>
      <w:r>
        <w:rPr/>
        <w:t>de</w:t>
      </w:r>
      <w:r>
        <w:rPr>
          <w:spacing w:val="-14"/>
        </w:rPr>
        <w:t> </w:t>
      </w:r>
      <w:r>
        <w:rPr/>
        <w:t>apertura,</w:t>
      </w:r>
      <w:r>
        <w:rPr>
          <w:spacing w:val="-13"/>
        </w:rPr>
        <w:t> </w:t>
      </w:r>
      <w:r>
        <w:rPr/>
        <w:t>los</w:t>
      </w:r>
      <w:r>
        <w:rPr>
          <w:spacing w:val="-13"/>
        </w:rPr>
        <w:t> </w:t>
      </w:r>
      <w:r>
        <w:rPr/>
        <w:t>asientos se aplicaron en la transición del periodo 2023 .</w:t>
      </w:r>
    </w:p>
    <w:p>
      <w:pPr>
        <w:pStyle w:val="BodyText"/>
      </w:pPr>
    </w:p>
    <w:p>
      <w:pPr>
        <w:pStyle w:val="BodyText"/>
        <w:spacing w:before="90"/>
      </w:pPr>
    </w:p>
    <w:p>
      <w:pPr>
        <w:pStyle w:val="BodyText"/>
        <w:spacing w:before="1"/>
        <w:ind w:left="730" w:right="924"/>
        <w:jc w:val="both"/>
      </w:pPr>
      <w:r>
        <w:rPr/>
        <w:t>El IMAS adopto las NICSP y durante el 2023 aplicó el costo atribuido al medir las propiedades por cuanto</w:t>
      </w:r>
      <w:r>
        <w:rPr>
          <w:spacing w:val="-6"/>
        </w:rPr>
        <w:t> </w:t>
      </w:r>
      <w:r>
        <w:rPr/>
        <w:t>el</w:t>
      </w:r>
      <w:r>
        <w:rPr>
          <w:spacing w:val="-8"/>
        </w:rPr>
        <w:t> </w:t>
      </w:r>
      <w:r>
        <w:rPr/>
        <w:t>valor</w:t>
      </w:r>
      <w:r>
        <w:rPr>
          <w:spacing w:val="-7"/>
        </w:rPr>
        <w:t> </w:t>
      </w:r>
      <w:r>
        <w:rPr/>
        <w:t>asignado</w:t>
      </w:r>
      <w:r>
        <w:rPr>
          <w:spacing w:val="-9"/>
        </w:rPr>
        <w:t> </w:t>
      </w:r>
      <w:r>
        <w:rPr/>
        <w:t>no</w:t>
      </w:r>
      <w:r>
        <w:rPr>
          <w:spacing w:val="-11"/>
        </w:rPr>
        <w:t> </w:t>
      </w:r>
      <w:r>
        <w:rPr/>
        <w:t>aplicaba</w:t>
      </w:r>
      <w:r>
        <w:rPr>
          <w:spacing w:val="-8"/>
        </w:rPr>
        <w:t> </w:t>
      </w:r>
      <w:r>
        <w:rPr/>
        <w:t>al</w:t>
      </w:r>
      <w:r>
        <w:rPr>
          <w:spacing w:val="-8"/>
        </w:rPr>
        <w:t> </w:t>
      </w:r>
      <w:r>
        <w:rPr/>
        <w:t>valor</w:t>
      </w:r>
      <w:r>
        <w:rPr>
          <w:spacing w:val="-7"/>
        </w:rPr>
        <w:t> </w:t>
      </w:r>
      <w:r>
        <w:rPr/>
        <w:t>razonable.</w:t>
      </w:r>
      <w:r>
        <w:rPr>
          <w:spacing w:val="-11"/>
        </w:rPr>
        <w:t> </w:t>
      </w:r>
      <w:r>
        <w:rPr/>
        <w:t>Como</w:t>
      </w:r>
      <w:r>
        <w:rPr>
          <w:spacing w:val="-9"/>
        </w:rPr>
        <w:t> </w:t>
      </w:r>
      <w:r>
        <w:rPr/>
        <w:t>resultado,</w:t>
      </w:r>
      <w:r>
        <w:rPr>
          <w:spacing w:val="-7"/>
        </w:rPr>
        <w:t> </w:t>
      </w:r>
      <w:r>
        <w:rPr/>
        <w:t>el</w:t>
      </w:r>
      <w:r>
        <w:rPr>
          <w:spacing w:val="-8"/>
        </w:rPr>
        <w:t> </w:t>
      </w:r>
      <w:r>
        <w:rPr/>
        <w:t>IMAS</w:t>
      </w:r>
      <w:r>
        <w:rPr>
          <w:spacing w:val="-9"/>
        </w:rPr>
        <w:t> </w:t>
      </w:r>
      <w:r>
        <w:rPr/>
        <w:t>Re</w:t>
      </w:r>
      <w:r>
        <w:rPr>
          <w:spacing w:val="-8"/>
        </w:rPr>
        <w:t> </w:t>
      </w:r>
      <w:r>
        <w:rPr/>
        <w:t>expresó</w:t>
      </w:r>
      <w:r>
        <w:rPr>
          <w:spacing w:val="-9"/>
        </w:rPr>
        <w:t> </w:t>
      </w:r>
      <w:r>
        <w:rPr/>
        <w:t>su</w:t>
      </w:r>
      <w:r>
        <w:rPr>
          <w:spacing w:val="-10"/>
        </w:rPr>
        <w:t> </w:t>
      </w:r>
      <w:r>
        <w:rPr/>
        <w:t>saldo de apertura de terrenos con un valor adicional mostrando la conciliación de los activos </w:t>
      </w:r>
      <w:r>
        <w:rPr>
          <w:spacing w:val="-2"/>
        </w:rPr>
        <w:t>netos/patrimonio</w:t>
      </w:r>
    </w:p>
    <w:p>
      <w:pPr>
        <w:pStyle w:val="BodyText"/>
      </w:pPr>
    </w:p>
    <w:p>
      <w:pPr>
        <w:pStyle w:val="BodyText"/>
      </w:pPr>
    </w:p>
    <w:p>
      <w:pPr>
        <w:pStyle w:val="BodyText"/>
      </w:pPr>
    </w:p>
    <w:p>
      <w:pPr>
        <w:pStyle w:val="BodyText"/>
      </w:pPr>
    </w:p>
    <w:p>
      <w:pPr>
        <w:pStyle w:val="BodyText"/>
      </w:pPr>
    </w:p>
    <w:p>
      <w:pPr>
        <w:pStyle w:val="BodyText"/>
        <w:spacing w:before="207"/>
      </w:pPr>
    </w:p>
    <w:p>
      <w:pPr>
        <w:pStyle w:val="BodyText"/>
        <w:ind w:left="1962" w:right="2321"/>
        <w:jc w:val="center"/>
      </w:pPr>
      <w:bookmarkStart w:name="_bookmark162" w:id="163"/>
      <w:bookmarkEnd w:id="163"/>
      <w:r>
        <w:rPr/>
      </w:r>
      <w:r>
        <w:rPr>
          <w:color w:val="1F3863"/>
        </w:rPr>
        <w:t>NOTAS</w:t>
      </w:r>
      <w:r>
        <w:rPr>
          <w:color w:val="1F3863"/>
          <w:spacing w:val="-6"/>
        </w:rPr>
        <w:t> </w:t>
      </w:r>
      <w:r>
        <w:rPr>
          <w:color w:val="1F3863"/>
        </w:rPr>
        <w:t>INFORME</w:t>
      </w:r>
      <w:r>
        <w:rPr>
          <w:color w:val="1F3863"/>
          <w:spacing w:val="-6"/>
        </w:rPr>
        <w:t> </w:t>
      </w:r>
      <w:r>
        <w:rPr>
          <w:color w:val="1F3863"/>
        </w:rPr>
        <w:t>ESTADO</w:t>
      </w:r>
      <w:r>
        <w:rPr>
          <w:color w:val="1F3863"/>
          <w:spacing w:val="-5"/>
        </w:rPr>
        <w:t> </w:t>
      </w:r>
      <w:r>
        <w:rPr>
          <w:color w:val="1F3863"/>
        </w:rPr>
        <w:t>POR</w:t>
      </w:r>
      <w:r>
        <w:rPr>
          <w:color w:val="1F3863"/>
          <w:spacing w:val="-6"/>
        </w:rPr>
        <w:t> </w:t>
      </w:r>
      <w:r>
        <w:rPr>
          <w:color w:val="1F3863"/>
          <w:spacing w:val="-2"/>
        </w:rPr>
        <w:t>SEGMENTOS</w:t>
      </w:r>
    </w:p>
    <w:p>
      <w:pPr>
        <w:spacing w:before="167"/>
        <w:ind w:left="622" w:right="0" w:firstLine="0"/>
        <w:jc w:val="left"/>
        <w:rPr>
          <w:b/>
          <w:sz w:val="22"/>
        </w:rPr>
      </w:pPr>
      <w:bookmarkStart w:name="_bookmark163" w:id="164"/>
      <w:bookmarkEnd w:id="164"/>
      <w:r>
        <w:rPr/>
      </w:r>
      <w:r>
        <w:rPr>
          <w:b/>
          <w:sz w:val="22"/>
        </w:rPr>
        <w:t>NOTA</w:t>
      </w:r>
      <w:r>
        <w:rPr>
          <w:b/>
          <w:spacing w:val="-1"/>
          <w:sz w:val="22"/>
        </w:rPr>
        <w:t> </w:t>
      </w:r>
      <w:r>
        <w:rPr>
          <w:b/>
          <w:sz w:val="22"/>
        </w:rPr>
        <w:t>N° </w:t>
      </w:r>
      <w:r>
        <w:rPr>
          <w:b/>
          <w:spacing w:val="-5"/>
          <w:sz w:val="22"/>
        </w:rPr>
        <w:t>96</w:t>
      </w:r>
    </w:p>
    <w:p>
      <w:pPr>
        <w:pStyle w:val="BodyText"/>
        <w:rPr>
          <w:b/>
        </w:rPr>
      </w:pPr>
    </w:p>
    <w:p>
      <w:pPr>
        <w:pStyle w:val="BodyText"/>
        <w:spacing w:before="53"/>
        <w:rPr>
          <w:b/>
        </w:rPr>
      </w:pPr>
    </w:p>
    <w:p>
      <w:pPr>
        <w:pStyle w:val="BodyText"/>
        <w:spacing w:line="259" w:lineRule="auto" w:before="1"/>
        <w:ind w:left="622" w:right="1082"/>
      </w:pPr>
      <w:r>
        <w:rPr/>
        <w:t>La información financiera por segmentos en Costa Rica se presentará con la clasificación de funciones</w:t>
      </w:r>
      <w:r>
        <w:rPr>
          <w:spacing w:val="-5"/>
        </w:rPr>
        <w:t> </w:t>
      </w:r>
      <w:r>
        <w:rPr/>
        <w:t>establecida</w:t>
      </w:r>
      <w:r>
        <w:rPr>
          <w:spacing w:val="-4"/>
        </w:rPr>
        <w:t> </w:t>
      </w:r>
      <w:r>
        <w:rPr/>
        <w:t>en</w:t>
      </w:r>
      <w:r>
        <w:rPr>
          <w:spacing w:val="-3"/>
        </w:rPr>
        <w:t> </w:t>
      </w:r>
      <w:r>
        <w:rPr/>
        <w:t>el</w:t>
      </w:r>
      <w:r>
        <w:rPr>
          <w:spacing w:val="-3"/>
        </w:rPr>
        <w:t> </w:t>
      </w:r>
      <w:r>
        <w:rPr/>
        <w:t>Clasificador</w:t>
      </w:r>
      <w:r>
        <w:rPr>
          <w:spacing w:val="-3"/>
        </w:rPr>
        <w:t> </w:t>
      </w:r>
      <w:r>
        <w:rPr/>
        <w:t>Funcional</w:t>
      </w:r>
      <w:r>
        <w:rPr>
          <w:spacing w:val="-4"/>
        </w:rPr>
        <w:t> </w:t>
      </w:r>
      <w:r>
        <w:rPr/>
        <w:t>del</w:t>
      </w:r>
      <w:r>
        <w:rPr>
          <w:spacing w:val="-6"/>
        </w:rPr>
        <w:t> </w:t>
      </w:r>
      <w:r>
        <w:rPr/>
        <w:t>Gasto</w:t>
      </w:r>
      <w:r>
        <w:rPr>
          <w:spacing w:val="-2"/>
        </w:rPr>
        <w:t> </w:t>
      </w:r>
      <w:r>
        <w:rPr/>
        <w:t>para</w:t>
      </w:r>
      <w:r>
        <w:rPr>
          <w:spacing w:val="-4"/>
        </w:rPr>
        <w:t> </w:t>
      </w:r>
      <w:r>
        <w:rPr/>
        <w:t>el</w:t>
      </w:r>
      <w:r>
        <w:rPr>
          <w:spacing w:val="-6"/>
        </w:rPr>
        <w:t> </w:t>
      </w:r>
      <w:r>
        <w:rPr/>
        <w:t>Sector</w:t>
      </w:r>
      <w:r>
        <w:rPr>
          <w:spacing w:val="-3"/>
        </w:rPr>
        <w:t> </w:t>
      </w:r>
      <w:r>
        <w:rPr/>
        <w:t>Público</w:t>
      </w:r>
      <w:r>
        <w:rPr>
          <w:spacing w:val="-3"/>
        </w:rPr>
        <w:t> </w:t>
      </w:r>
      <w:r>
        <w:rPr/>
        <w:t>Costarricense.</w:t>
      </w:r>
    </w:p>
    <w:p>
      <w:pPr>
        <w:pStyle w:val="BodyText"/>
        <w:spacing w:after="0" w:line="259" w:lineRule="auto"/>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77664">
                <wp:simplePos x="0" y="0"/>
                <wp:positionH relativeFrom="page">
                  <wp:posOffset>9525</wp:posOffset>
                </wp:positionH>
                <wp:positionV relativeFrom="page">
                  <wp:posOffset>297208</wp:posOffset>
                </wp:positionV>
                <wp:extent cx="7762875" cy="9748520"/>
                <wp:effectExtent l="0" t="0" r="0" b="0"/>
                <wp:wrapNone/>
                <wp:docPr id="1245" name="Group 1245"/>
                <wp:cNvGraphicFramePr>
                  <a:graphicFrameLocks/>
                </wp:cNvGraphicFramePr>
                <a:graphic>
                  <a:graphicData uri="http://schemas.microsoft.com/office/word/2010/wordprocessingGroup">
                    <wpg:wgp>
                      <wpg:cNvPr id="1245" name="Group 1245"/>
                      <wpg:cNvGrpSpPr/>
                      <wpg:grpSpPr>
                        <a:xfrm>
                          <a:off x="0" y="0"/>
                          <a:ext cx="7762875" cy="9748520"/>
                          <a:chExt cx="7762875" cy="9748520"/>
                        </a:xfrm>
                      </wpg:grpSpPr>
                      <pic:pic>
                        <pic:nvPicPr>
                          <pic:cNvPr id="1246" name="Image 1246"/>
                          <pic:cNvPicPr/>
                        </pic:nvPicPr>
                        <pic:blipFill>
                          <a:blip r:embed="rId5" cstate="print"/>
                          <a:stretch>
                            <a:fillRect/>
                          </a:stretch>
                        </pic:blipFill>
                        <pic:spPr>
                          <a:xfrm>
                            <a:off x="0" y="0"/>
                            <a:ext cx="7762874" cy="9748489"/>
                          </a:xfrm>
                          <a:prstGeom prst="rect">
                            <a:avLst/>
                          </a:prstGeom>
                        </pic:spPr>
                      </pic:pic>
                      <wps:wsp>
                        <wps:cNvPr id="1247" name="Graphic 1247"/>
                        <wps:cNvSpPr/>
                        <wps:spPr>
                          <a:xfrm>
                            <a:off x="1053007" y="990837"/>
                            <a:ext cx="5736590" cy="5212715"/>
                          </a:xfrm>
                          <a:custGeom>
                            <a:avLst/>
                            <a:gdLst/>
                            <a:ahLst/>
                            <a:cxnLst/>
                            <a:rect l="l" t="t" r="r" b="b"/>
                            <a:pathLst>
                              <a:path w="5736590" h="5212715">
                                <a:moveTo>
                                  <a:pt x="5649214" y="0"/>
                                </a:moveTo>
                                <a:lnTo>
                                  <a:pt x="0" y="0"/>
                                </a:lnTo>
                                <a:lnTo>
                                  <a:pt x="0" y="9131"/>
                                </a:lnTo>
                                <a:lnTo>
                                  <a:pt x="5649214" y="9131"/>
                                </a:lnTo>
                                <a:lnTo>
                                  <a:pt x="5649214" y="0"/>
                                </a:lnTo>
                                <a:close/>
                              </a:path>
                              <a:path w="5736590" h="5212715">
                                <a:moveTo>
                                  <a:pt x="5736018" y="400799"/>
                                </a:moveTo>
                                <a:lnTo>
                                  <a:pt x="5729986" y="400799"/>
                                </a:lnTo>
                                <a:lnTo>
                                  <a:pt x="5729935" y="406895"/>
                                </a:lnTo>
                                <a:lnTo>
                                  <a:pt x="5729935" y="5206606"/>
                                </a:lnTo>
                                <a:lnTo>
                                  <a:pt x="21336" y="5206606"/>
                                </a:lnTo>
                                <a:lnTo>
                                  <a:pt x="21336" y="406895"/>
                                </a:lnTo>
                                <a:lnTo>
                                  <a:pt x="5729935" y="406895"/>
                                </a:lnTo>
                                <a:lnTo>
                                  <a:pt x="5729935" y="400799"/>
                                </a:lnTo>
                                <a:lnTo>
                                  <a:pt x="21336" y="400799"/>
                                </a:lnTo>
                                <a:lnTo>
                                  <a:pt x="15240" y="400799"/>
                                </a:lnTo>
                                <a:lnTo>
                                  <a:pt x="15240" y="406895"/>
                                </a:lnTo>
                                <a:lnTo>
                                  <a:pt x="15240" y="5206606"/>
                                </a:lnTo>
                                <a:lnTo>
                                  <a:pt x="15240" y="5212702"/>
                                </a:lnTo>
                                <a:lnTo>
                                  <a:pt x="21336" y="5212702"/>
                                </a:lnTo>
                                <a:lnTo>
                                  <a:pt x="5729935" y="5212702"/>
                                </a:lnTo>
                                <a:lnTo>
                                  <a:pt x="5736018" y="5212702"/>
                                </a:lnTo>
                                <a:lnTo>
                                  <a:pt x="5736018" y="5206606"/>
                                </a:lnTo>
                                <a:lnTo>
                                  <a:pt x="5736018" y="406895"/>
                                </a:lnTo>
                                <a:lnTo>
                                  <a:pt x="5736018" y="40079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38816" id="docshapegroup1189" coordorigin="15,468" coordsize="12225,15352">
                <v:shape style="position:absolute;left:15;top:468;width:12225;height:15352" type="#_x0000_t75" id="docshape1190" stroked="false">
                  <v:imagedata r:id="rId5" o:title=""/>
                </v:shape>
                <v:shape style="position:absolute;left:1673;top:2028;width:9034;height:8209" id="docshape1191" coordorigin="1673,2028" coordsize="9034,8209" path="m10570,2028l1673,2028,1673,2043,10570,2043,10570,2028xm10706,2660l10697,2660,10697,2660,10697,2669,10697,10228,1707,10228,1707,2669,10697,2669,10697,2660,1707,2660,1697,2660,1697,2669,1697,10228,1697,10237,1707,10237,10697,10237,10697,10237,10706,10237,10706,10228,10706,2669,10706,2660xe" filled="true" fillcolor="#000000" stroked="false">
                  <v:path arrowok="t"/>
                  <v:fill type="solid"/>
                </v:shape>
                <w10:wrap type="none"/>
              </v:group>
            </w:pict>
          </mc:Fallback>
        </mc:AlternateContent>
      </w:r>
      <w:r>
        <w:rPr>
          <w:color w:val="172951"/>
          <w:sz w:val="20"/>
        </w:rPr>
        <w:t>Pág.</w:t>
      </w:r>
      <w:r>
        <w:rPr>
          <w:color w:val="172951"/>
          <w:spacing w:val="-7"/>
          <w:sz w:val="20"/>
        </w:rPr>
        <w:t> </w:t>
      </w:r>
      <w:r>
        <w:rPr>
          <w:color w:val="172951"/>
          <w:spacing w:val="-5"/>
          <w:sz w:val="20"/>
        </w:rPr>
        <w:t>247</w:t>
      </w:r>
    </w:p>
    <w:p>
      <w:pPr>
        <w:pStyle w:val="BodyText"/>
      </w:pPr>
    </w:p>
    <w:p>
      <w:pPr>
        <w:pStyle w:val="BodyText"/>
        <w:spacing w:before="157"/>
      </w:pPr>
    </w:p>
    <w:p>
      <w:pPr>
        <w:pStyle w:val="Heading6"/>
        <w:ind w:left="730"/>
        <w:rPr>
          <w:b w:val="0"/>
        </w:rPr>
      </w:pPr>
      <w:r>
        <w:rPr>
          <w:color w:val="1F4E79"/>
          <w:spacing w:val="-2"/>
          <w:u w:val="single" w:color="1F4E79"/>
        </w:rPr>
        <w:t>Revelación</w:t>
      </w:r>
      <w:r>
        <w:rPr>
          <w:b w:val="0"/>
          <w:spacing w:val="-2"/>
          <w:u w:val="none"/>
        </w:rPr>
        <w:t>:</w:t>
      </w:r>
    </w:p>
    <w:p>
      <w:pPr>
        <w:pStyle w:val="BodyText"/>
        <w:spacing w:before="7"/>
      </w:pPr>
    </w:p>
    <w:p>
      <w:pPr>
        <w:pStyle w:val="BodyText"/>
        <w:spacing w:line="259" w:lineRule="auto"/>
        <w:ind w:left="710" w:right="902"/>
        <w:jc w:val="both"/>
      </w:pPr>
      <w:r>
        <w:rPr/>
        <w:t>Activos:</w:t>
      </w:r>
      <w:r>
        <w:rPr>
          <w:spacing w:val="-14"/>
        </w:rPr>
        <w:t> </w:t>
      </w:r>
      <w:r>
        <w:rPr/>
        <w:t>son</w:t>
      </w:r>
      <w:r>
        <w:rPr>
          <w:spacing w:val="-14"/>
        </w:rPr>
        <w:t> </w:t>
      </w:r>
      <w:r>
        <w:rPr/>
        <w:t>los</w:t>
      </w:r>
      <w:r>
        <w:rPr>
          <w:spacing w:val="-13"/>
        </w:rPr>
        <w:t> </w:t>
      </w:r>
      <w:r>
        <w:rPr/>
        <w:t>activos</w:t>
      </w:r>
      <w:r>
        <w:rPr>
          <w:spacing w:val="-14"/>
        </w:rPr>
        <w:t> </w:t>
      </w:r>
      <w:r>
        <w:rPr/>
        <w:t>de</w:t>
      </w:r>
      <w:r>
        <w:rPr>
          <w:spacing w:val="-14"/>
        </w:rPr>
        <w:t> </w:t>
      </w:r>
      <w:r>
        <w:rPr/>
        <w:t>operación</w:t>
      </w:r>
      <w:r>
        <w:rPr>
          <w:spacing w:val="-12"/>
        </w:rPr>
        <w:t> </w:t>
      </w:r>
      <w:r>
        <w:rPr/>
        <w:t>que</w:t>
      </w:r>
      <w:r>
        <w:rPr>
          <w:spacing w:val="-14"/>
        </w:rPr>
        <w:t> </w:t>
      </w:r>
      <w:r>
        <w:rPr/>
        <w:t>el</w:t>
      </w:r>
      <w:r>
        <w:rPr>
          <w:spacing w:val="-13"/>
        </w:rPr>
        <w:t> </w:t>
      </w:r>
      <w:r>
        <w:rPr/>
        <w:t>segmento</w:t>
      </w:r>
      <w:r>
        <w:rPr>
          <w:spacing w:val="-12"/>
        </w:rPr>
        <w:t> </w:t>
      </w:r>
      <w:r>
        <w:rPr/>
        <w:t>emplea</w:t>
      </w:r>
      <w:r>
        <w:rPr>
          <w:spacing w:val="-13"/>
        </w:rPr>
        <w:t> </w:t>
      </w:r>
      <w:r>
        <w:rPr/>
        <w:t>para</w:t>
      </w:r>
      <w:r>
        <w:rPr>
          <w:spacing w:val="-13"/>
        </w:rPr>
        <w:t> </w:t>
      </w:r>
      <w:r>
        <w:rPr/>
        <w:t>llevar</w:t>
      </w:r>
      <w:r>
        <w:rPr>
          <w:spacing w:val="-13"/>
        </w:rPr>
        <w:t> </w:t>
      </w:r>
      <w:r>
        <w:rPr/>
        <w:t>a</w:t>
      </w:r>
      <w:r>
        <w:rPr>
          <w:spacing w:val="-13"/>
        </w:rPr>
        <w:t> </w:t>
      </w:r>
      <w:r>
        <w:rPr/>
        <w:t>cabo</w:t>
      </w:r>
      <w:r>
        <w:rPr>
          <w:spacing w:val="-14"/>
        </w:rPr>
        <w:t> </w:t>
      </w:r>
      <w:r>
        <w:rPr/>
        <w:t>su</w:t>
      </w:r>
      <w:r>
        <w:rPr>
          <w:spacing w:val="-13"/>
        </w:rPr>
        <w:t> </w:t>
      </w:r>
      <w:r>
        <w:rPr/>
        <w:t>actividad</w:t>
      </w:r>
      <w:r>
        <w:rPr>
          <w:spacing w:val="-13"/>
        </w:rPr>
        <w:t> </w:t>
      </w:r>
      <w:r>
        <w:rPr/>
        <w:t>incluyendo tanto</w:t>
      </w:r>
      <w:r>
        <w:rPr>
          <w:spacing w:val="-1"/>
        </w:rPr>
        <w:t> </w:t>
      </w:r>
      <w:r>
        <w:rPr/>
        <w:t>los</w:t>
      </w:r>
      <w:r>
        <w:rPr>
          <w:spacing w:val="-1"/>
        </w:rPr>
        <w:t> </w:t>
      </w:r>
      <w:r>
        <w:rPr/>
        <w:t>directamente</w:t>
      </w:r>
      <w:r>
        <w:rPr>
          <w:spacing w:val="-2"/>
        </w:rPr>
        <w:t> </w:t>
      </w:r>
      <w:r>
        <w:rPr/>
        <w:t>atribuibles</w:t>
      </w:r>
      <w:r>
        <w:rPr>
          <w:spacing w:val="-1"/>
        </w:rPr>
        <w:t> </w:t>
      </w:r>
      <w:r>
        <w:rPr/>
        <w:t>al</w:t>
      </w:r>
      <w:r>
        <w:rPr>
          <w:spacing w:val="-2"/>
        </w:rPr>
        <w:t> </w:t>
      </w:r>
      <w:r>
        <w:rPr/>
        <w:t>segmento</w:t>
      </w:r>
      <w:r>
        <w:rPr>
          <w:spacing w:val="-2"/>
        </w:rPr>
        <w:t> </w:t>
      </w:r>
      <w:r>
        <w:rPr/>
        <w:t>en</w:t>
      </w:r>
      <w:r>
        <w:rPr>
          <w:spacing w:val="-2"/>
        </w:rPr>
        <w:t> </w:t>
      </w:r>
      <w:r>
        <w:rPr/>
        <w:t>cuestión</w:t>
      </w:r>
      <w:r>
        <w:rPr>
          <w:spacing w:val="-2"/>
        </w:rPr>
        <w:t> </w:t>
      </w:r>
      <w:r>
        <w:rPr/>
        <w:t>como</w:t>
      </w:r>
      <w:r>
        <w:rPr>
          <w:spacing w:val="-2"/>
        </w:rPr>
        <w:t> </w:t>
      </w:r>
      <w:r>
        <w:rPr/>
        <w:t>los</w:t>
      </w:r>
      <w:r>
        <w:rPr>
          <w:spacing w:val="-4"/>
        </w:rPr>
        <w:t> </w:t>
      </w:r>
      <w:r>
        <w:rPr/>
        <w:t>que</w:t>
      </w:r>
      <w:r>
        <w:rPr>
          <w:spacing w:val="-4"/>
        </w:rPr>
        <w:t> </w:t>
      </w:r>
      <w:r>
        <w:rPr/>
        <w:t>puedan</w:t>
      </w:r>
      <w:r>
        <w:rPr>
          <w:spacing w:val="-2"/>
        </w:rPr>
        <w:t> </w:t>
      </w:r>
      <w:r>
        <w:rPr/>
        <w:t>distribuirse</w:t>
      </w:r>
      <w:r>
        <w:rPr>
          <w:spacing w:val="-3"/>
        </w:rPr>
        <w:t> </w:t>
      </w:r>
      <w:r>
        <w:rPr/>
        <w:t>al</w:t>
      </w:r>
      <w:r>
        <w:rPr>
          <w:spacing w:val="-2"/>
        </w:rPr>
        <w:t> </w:t>
      </w:r>
      <w:r>
        <w:rPr/>
        <w:t>mismo utilizando bases razonables de reparto.</w:t>
      </w:r>
    </w:p>
    <w:p>
      <w:pPr>
        <w:pStyle w:val="BodyText"/>
        <w:spacing w:line="259" w:lineRule="auto" w:before="241"/>
        <w:ind w:left="710" w:right="905"/>
        <w:jc w:val="both"/>
      </w:pPr>
      <w:r>
        <w:rPr/>
        <w:t>Pasivos:</w:t>
      </w:r>
      <w:r>
        <w:rPr>
          <w:spacing w:val="-5"/>
        </w:rPr>
        <w:t> </w:t>
      </w:r>
      <w:r>
        <w:rPr/>
        <w:t>son</w:t>
      </w:r>
      <w:r>
        <w:rPr>
          <w:spacing w:val="-3"/>
        </w:rPr>
        <w:t> </w:t>
      </w:r>
      <w:r>
        <w:rPr/>
        <w:t>aquellos</w:t>
      </w:r>
      <w:r>
        <w:rPr>
          <w:spacing w:val="-3"/>
        </w:rPr>
        <w:t> </w:t>
      </w:r>
      <w:r>
        <w:rPr/>
        <w:t>pasivos</w:t>
      </w:r>
      <w:r>
        <w:rPr>
          <w:spacing w:val="-3"/>
        </w:rPr>
        <w:t> </w:t>
      </w:r>
      <w:r>
        <w:rPr/>
        <w:t>que</w:t>
      </w:r>
      <w:r>
        <w:rPr>
          <w:spacing w:val="-5"/>
        </w:rPr>
        <w:t> </w:t>
      </w:r>
      <w:r>
        <w:rPr/>
        <w:t>derivan</w:t>
      </w:r>
      <w:r>
        <w:rPr>
          <w:spacing w:val="-3"/>
        </w:rPr>
        <w:t> </w:t>
      </w:r>
      <w:r>
        <w:rPr/>
        <w:t>de</w:t>
      </w:r>
      <w:r>
        <w:rPr>
          <w:spacing w:val="-5"/>
        </w:rPr>
        <w:t> </w:t>
      </w:r>
      <w:r>
        <w:rPr/>
        <w:t>las</w:t>
      </w:r>
      <w:r>
        <w:rPr>
          <w:spacing w:val="-3"/>
        </w:rPr>
        <w:t> </w:t>
      </w:r>
      <w:r>
        <w:rPr/>
        <w:t>actividades</w:t>
      </w:r>
      <w:r>
        <w:rPr>
          <w:spacing w:val="-3"/>
        </w:rPr>
        <w:t> </w:t>
      </w:r>
      <w:r>
        <w:rPr/>
        <w:t>de</w:t>
      </w:r>
      <w:r>
        <w:rPr>
          <w:spacing w:val="-5"/>
        </w:rPr>
        <w:t> </w:t>
      </w:r>
      <w:r>
        <w:rPr/>
        <w:t>operación</w:t>
      </w:r>
      <w:r>
        <w:rPr>
          <w:spacing w:val="-3"/>
        </w:rPr>
        <w:t> </w:t>
      </w:r>
      <w:r>
        <w:rPr/>
        <w:t>de</w:t>
      </w:r>
      <w:r>
        <w:rPr>
          <w:spacing w:val="-5"/>
        </w:rPr>
        <w:t> </w:t>
      </w:r>
      <w:r>
        <w:rPr/>
        <w:t>un</w:t>
      </w:r>
      <w:r>
        <w:rPr>
          <w:spacing w:val="-4"/>
        </w:rPr>
        <w:t> </w:t>
      </w:r>
      <w:r>
        <w:rPr/>
        <w:t>segmento</w:t>
      </w:r>
      <w:r>
        <w:rPr>
          <w:spacing w:val="-3"/>
        </w:rPr>
        <w:t> </w:t>
      </w:r>
      <w:r>
        <w:rPr/>
        <w:t>y</w:t>
      </w:r>
      <w:r>
        <w:rPr>
          <w:spacing w:val="-5"/>
        </w:rPr>
        <w:t> </w:t>
      </w:r>
      <w:r>
        <w:rPr/>
        <w:t>que</w:t>
      </w:r>
      <w:r>
        <w:rPr>
          <w:spacing w:val="-5"/>
        </w:rPr>
        <w:t> </w:t>
      </w:r>
      <w:r>
        <w:rPr/>
        <w:t>le</w:t>
      </w:r>
      <w:r>
        <w:rPr>
          <w:spacing w:val="-5"/>
        </w:rPr>
        <w:t> </w:t>
      </w:r>
      <w:r>
        <w:rPr/>
        <w:t>son directamente atribuibles o bien pueden asignársele utilizando bases razonables de reparto.</w:t>
      </w:r>
    </w:p>
    <w:p>
      <w:pPr>
        <w:pStyle w:val="BodyText"/>
        <w:spacing w:line="259" w:lineRule="auto" w:before="241"/>
        <w:ind w:left="710" w:right="906"/>
        <w:jc w:val="both"/>
      </w:pPr>
      <w:r>
        <w:rPr/>
        <w:t>Gastos: es un gasto derivado de las actividades de operación de un segmento que es directamente atribuible</w:t>
      </w:r>
      <w:r>
        <w:rPr>
          <w:spacing w:val="-10"/>
        </w:rPr>
        <w:t> </w:t>
      </w:r>
      <w:r>
        <w:rPr/>
        <w:t>al</w:t>
      </w:r>
      <w:r>
        <w:rPr>
          <w:spacing w:val="-7"/>
        </w:rPr>
        <w:t> </w:t>
      </w:r>
      <w:r>
        <w:rPr/>
        <w:t>segmento</w:t>
      </w:r>
      <w:r>
        <w:rPr>
          <w:spacing w:val="-10"/>
        </w:rPr>
        <w:t> </w:t>
      </w:r>
      <w:r>
        <w:rPr/>
        <w:t>más</w:t>
      </w:r>
      <w:r>
        <w:rPr>
          <w:spacing w:val="-8"/>
        </w:rPr>
        <w:t> </w:t>
      </w:r>
      <w:r>
        <w:rPr/>
        <w:t>la</w:t>
      </w:r>
      <w:r>
        <w:rPr>
          <w:spacing w:val="-9"/>
        </w:rPr>
        <w:t> </w:t>
      </w:r>
      <w:r>
        <w:rPr/>
        <w:t>parte</w:t>
      </w:r>
      <w:r>
        <w:rPr>
          <w:spacing w:val="-9"/>
        </w:rPr>
        <w:t> </w:t>
      </w:r>
      <w:r>
        <w:rPr/>
        <w:t>relevante</w:t>
      </w:r>
      <w:r>
        <w:rPr>
          <w:spacing w:val="-9"/>
        </w:rPr>
        <w:t> </w:t>
      </w:r>
      <w:r>
        <w:rPr/>
        <w:t>de</w:t>
      </w:r>
      <w:r>
        <w:rPr>
          <w:spacing w:val="-8"/>
        </w:rPr>
        <w:t> </w:t>
      </w:r>
      <w:r>
        <w:rPr/>
        <w:t>gastos</w:t>
      </w:r>
      <w:r>
        <w:rPr>
          <w:spacing w:val="-10"/>
        </w:rPr>
        <w:t> </w:t>
      </w:r>
      <w:r>
        <w:rPr/>
        <w:t>que</w:t>
      </w:r>
      <w:r>
        <w:rPr>
          <w:spacing w:val="-10"/>
        </w:rPr>
        <w:t> </w:t>
      </w:r>
      <w:r>
        <w:rPr/>
        <w:t>puedan</w:t>
      </w:r>
      <w:r>
        <w:rPr>
          <w:spacing w:val="-8"/>
        </w:rPr>
        <w:t> </w:t>
      </w:r>
      <w:r>
        <w:rPr/>
        <w:t>serle</w:t>
      </w:r>
      <w:r>
        <w:rPr>
          <w:spacing w:val="-7"/>
        </w:rPr>
        <w:t> </w:t>
      </w:r>
      <w:r>
        <w:rPr/>
        <w:t>distribuidos</w:t>
      </w:r>
      <w:r>
        <w:rPr>
          <w:spacing w:val="-10"/>
        </w:rPr>
        <w:t> </w:t>
      </w:r>
      <w:r>
        <w:rPr/>
        <w:t>utilizado</w:t>
      </w:r>
      <w:r>
        <w:rPr>
          <w:spacing w:val="-8"/>
        </w:rPr>
        <w:t> </w:t>
      </w:r>
      <w:r>
        <w:rPr/>
        <w:t>una</w:t>
      </w:r>
      <w:r>
        <w:rPr>
          <w:spacing w:val="-9"/>
        </w:rPr>
        <w:t> </w:t>
      </w:r>
      <w:r>
        <w:rPr/>
        <w:t>base razonable de reparto incluidos los gastos relativos al suministro de bienes y servicios a terceros y los gastos relacionados con las transacciones efectuadas con otros segmentos de la misma entidad.</w:t>
      </w:r>
    </w:p>
    <w:p>
      <w:pPr>
        <w:pStyle w:val="BodyText"/>
        <w:spacing w:line="259" w:lineRule="auto" w:before="238"/>
        <w:ind w:left="710" w:right="900"/>
        <w:jc w:val="both"/>
      </w:pPr>
      <w:r>
        <w:rPr/>
        <w:t>Ingresos: es el ingreso que figura en el estado de rendimiento financiero de la entidad que es directamente atribuible</w:t>
      </w:r>
      <w:r>
        <w:rPr>
          <w:spacing w:val="-1"/>
        </w:rPr>
        <w:t> </w:t>
      </w:r>
      <w:r>
        <w:rPr/>
        <w:t>a un segmento</w:t>
      </w:r>
      <w:r>
        <w:rPr>
          <w:spacing w:val="-1"/>
        </w:rPr>
        <w:t> </w:t>
      </w:r>
      <w:r>
        <w:rPr/>
        <w:t>más la parte correspondiente de</w:t>
      </w:r>
      <w:r>
        <w:rPr>
          <w:spacing w:val="-1"/>
        </w:rPr>
        <w:t> </w:t>
      </w:r>
      <w:r>
        <w:rPr/>
        <w:t>los ingresos de</w:t>
      </w:r>
      <w:r>
        <w:rPr>
          <w:spacing w:val="-1"/>
        </w:rPr>
        <w:t> </w:t>
      </w:r>
      <w:r>
        <w:rPr/>
        <w:t>la entidad que puedan serle distribuidos utilizando una base razonable de reparto y que proviene o bien de asignaciones presupuestarias o similares subvenciones transferencias multas honorarios o ventas a clientes externos; o bien de transacciones con otros segmentos de la misma entidad.</w:t>
      </w:r>
    </w:p>
    <w:p>
      <w:pPr>
        <w:pStyle w:val="BodyText"/>
        <w:spacing w:line="259" w:lineRule="auto" w:before="239"/>
        <w:ind w:left="710" w:right="903"/>
        <w:jc w:val="both"/>
      </w:pPr>
      <w:r>
        <w:rPr/>
        <w:t>En</w:t>
      </w:r>
      <w:r>
        <w:rPr>
          <w:spacing w:val="-11"/>
        </w:rPr>
        <w:t> </w:t>
      </w:r>
      <w:r>
        <w:rPr/>
        <w:t>el</w:t>
      </w:r>
      <w:r>
        <w:rPr>
          <w:spacing w:val="-11"/>
        </w:rPr>
        <w:t> </w:t>
      </w:r>
      <w:r>
        <w:rPr/>
        <w:t>mes</w:t>
      </w:r>
      <w:r>
        <w:rPr>
          <w:spacing w:val="-10"/>
        </w:rPr>
        <w:t> </w:t>
      </w:r>
      <w:r>
        <w:rPr/>
        <w:t>de</w:t>
      </w:r>
      <w:r>
        <w:rPr>
          <w:spacing w:val="-12"/>
        </w:rPr>
        <w:t> </w:t>
      </w:r>
      <w:r>
        <w:rPr/>
        <w:t>octubre</w:t>
      </w:r>
      <w:r>
        <w:rPr>
          <w:spacing w:val="-12"/>
        </w:rPr>
        <w:t> </w:t>
      </w:r>
      <w:r>
        <w:rPr/>
        <w:t>2022</w:t>
      </w:r>
      <w:r>
        <w:rPr>
          <w:spacing w:val="-12"/>
        </w:rPr>
        <w:t> </w:t>
      </w:r>
      <w:r>
        <w:rPr/>
        <w:t>se</w:t>
      </w:r>
      <w:r>
        <w:rPr>
          <w:spacing w:val="-12"/>
        </w:rPr>
        <w:t> </w:t>
      </w:r>
      <w:r>
        <w:rPr/>
        <w:t>hace</w:t>
      </w:r>
      <w:r>
        <w:rPr>
          <w:spacing w:val="-12"/>
        </w:rPr>
        <w:t> </w:t>
      </w:r>
      <w:r>
        <w:rPr/>
        <w:t>una</w:t>
      </w:r>
      <w:r>
        <w:rPr>
          <w:spacing w:val="-11"/>
        </w:rPr>
        <w:t> </w:t>
      </w:r>
      <w:r>
        <w:rPr/>
        <w:t>consulta</w:t>
      </w:r>
      <w:r>
        <w:rPr>
          <w:spacing w:val="-11"/>
        </w:rPr>
        <w:t> </w:t>
      </w:r>
      <w:r>
        <w:rPr/>
        <w:t>a</w:t>
      </w:r>
      <w:r>
        <w:rPr>
          <w:spacing w:val="-11"/>
        </w:rPr>
        <w:t> </w:t>
      </w:r>
      <w:r>
        <w:rPr/>
        <w:t>la</w:t>
      </w:r>
      <w:r>
        <w:rPr>
          <w:spacing w:val="-12"/>
        </w:rPr>
        <w:t> </w:t>
      </w:r>
      <w:r>
        <w:rPr/>
        <w:t>Contabilidad</w:t>
      </w:r>
      <w:r>
        <w:rPr>
          <w:spacing w:val="-11"/>
        </w:rPr>
        <w:t> </w:t>
      </w:r>
      <w:r>
        <w:rPr/>
        <w:t>Nacional</w:t>
      </w:r>
      <w:r>
        <w:rPr>
          <w:spacing w:val="-12"/>
        </w:rPr>
        <w:t> </w:t>
      </w:r>
      <w:r>
        <w:rPr/>
        <w:t>para</w:t>
      </w:r>
      <w:r>
        <w:rPr>
          <w:spacing w:val="-11"/>
        </w:rPr>
        <w:t> </w:t>
      </w:r>
      <w:r>
        <w:rPr/>
        <w:t>confirmar</w:t>
      </w:r>
      <w:r>
        <w:rPr>
          <w:spacing w:val="-11"/>
        </w:rPr>
        <w:t> </w:t>
      </w:r>
      <w:r>
        <w:rPr/>
        <w:t>el</w:t>
      </w:r>
      <w:r>
        <w:rPr>
          <w:spacing w:val="-11"/>
        </w:rPr>
        <w:t> </w:t>
      </w:r>
      <w:r>
        <w:rPr/>
        <w:t>segmento correcto donde debe presentarse la información del segmento comercial de Empresas Comerciales (2.1.1.1 Asuntos Económicos). A la fecha del corte de los estados financieros no se cuenta aún con respuesta por lo que mientras se espera esta Empresas Comerciales presenta la totalidad de la información en la columna correspondiente de Asuntos Económicos actual actividad principal del </w:t>
      </w:r>
      <w:r>
        <w:rPr>
          <w:spacing w:val="-2"/>
        </w:rPr>
        <w:t>programa.</w:t>
      </w:r>
    </w:p>
    <w:p>
      <w:pPr>
        <w:pStyle w:val="BodyText"/>
        <w:spacing w:before="239"/>
        <w:ind w:left="710"/>
        <w:jc w:val="both"/>
      </w:pPr>
      <w:r>
        <w:rPr/>
        <w:t>El</w:t>
      </w:r>
      <w:r>
        <w:rPr>
          <w:spacing w:val="-3"/>
        </w:rPr>
        <w:t> </w:t>
      </w:r>
      <w:r>
        <w:rPr/>
        <w:t>detalle</w:t>
      </w:r>
      <w:r>
        <w:rPr>
          <w:spacing w:val="-5"/>
        </w:rPr>
        <w:t> </w:t>
      </w:r>
      <w:r>
        <w:rPr/>
        <w:t>del</w:t>
      </w:r>
      <w:r>
        <w:rPr>
          <w:spacing w:val="-3"/>
        </w:rPr>
        <w:t> </w:t>
      </w:r>
      <w:r>
        <w:rPr/>
        <w:t>segmento</w:t>
      </w:r>
      <w:r>
        <w:rPr>
          <w:spacing w:val="-5"/>
        </w:rPr>
        <w:t> </w:t>
      </w:r>
      <w:r>
        <w:rPr/>
        <w:t>Comercial</w:t>
      </w:r>
      <w:r>
        <w:rPr>
          <w:spacing w:val="-3"/>
        </w:rPr>
        <w:t> </w:t>
      </w:r>
      <w:r>
        <w:rPr/>
        <w:t>se</w:t>
      </w:r>
      <w:r>
        <w:rPr>
          <w:spacing w:val="-4"/>
        </w:rPr>
        <w:t> </w:t>
      </w:r>
      <w:r>
        <w:rPr/>
        <w:t>presenta</w:t>
      </w:r>
      <w:r>
        <w:rPr>
          <w:spacing w:val="-3"/>
        </w:rPr>
        <w:t> </w:t>
      </w:r>
      <w:r>
        <w:rPr/>
        <w:t>a</w:t>
      </w:r>
      <w:r>
        <w:rPr>
          <w:spacing w:val="-3"/>
        </w:rPr>
        <w:t> </w:t>
      </w:r>
      <w:r>
        <w:rPr>
          <w:spacing w:val="-2"/>
        </w:rPr>
        <w:t>continuación:</w:t>
      </w:r>
    </w:p>
    <w:p>
      <w:pPr>
        <w:pStyle w:val="BodyText"/>
        <w:spacing w:after="0"/>
        <w:jc w:val="both"/>
        <w:sectPr>
          <w:pgSz w:w="12240" w:h="15840"/>
          <w:pgMar w:top="1720" w:bottom="280" w:left="1080" w:right="720"/>
        </w:sectPr>
      </w:pPr>
    </w:p>
    <w:p>
      <w:pPr>
        <w:pStyle w:val="Heading1"/>
        <w:spacing w:line="355" w:lineRule="exact"/>
        <w:ind w:left="4537"/>
      </w:pPr>
      <w:r>
        <w:rPr/>
        <mc:AlternateContent>
          <mc:Choice Requires="wps">
            <w:drawing>
              <wp:anchor distT="0" distB="0" distL="0" distR="0" allowOverlap="1" layoutInCell="1" locked="0" behindDoc="1" simplePos="0" relativeHeight="473778688">
                <wp:simplePos x="0" y="0"/>
                <wp:positionH relativeFrom="page">
                  <wp:posOffset>3558321</wp:posOffset>
                </wp:positionH>
                <wp:positionV relativeFrom="page">
                  <wp:posOffset>5856244</wp:posOffset>
                </wp:positionV>
                <wp:extent cx="28575" cy="99060"/>
                <wp:effectExtent l="0" t="0" r="0" b="0"/>
                <wp:wrapNone/>
                <wp:docPr id="1248" name="Textbox 1248"/>
                <wp:cNvGraphicFramePr>
                  <a:graphicFrameLocks/>
                </wp:cNvGraphicFramePr>
                <a:graphic>
                  <a:graphicData uri="http://schemas.microsoft.com/office/word/2010/wordprocessingShape">
                    <wps:wsp>
                      <wps:cNvPr id="1248" name="Textbox 1248"/>
                      <wps:cNvSpPr txBox="1"/>
                      <wps:spPr>
                        <a:xfrm>
                          <a:off x="0" y="0"/>
                          <a:ext cx="28575" cy="99060"/>
                        </a:xfrm>
                        <a:prstGeom prst="rect">
                          <a:avLst/>
                        </a:prstGeom>
                      </wps:spPr>
                      <wps:txbx>
                        <w:txbxContent>
                          <w:p>
                            <w:pPr>
                              <w:spacing w:line="155" w:lineRule="exact" w:before="0"/>
                              <w:ind w:left="0" w:right="0" w:firstLine="0"/>
                              <w:jc w:val="left"/>
                              <w:rPr>
                                <w:rFonts w:ascii="Times New Roman"/>
                                <w:sz w:val="14"/>
                              </w:rPr>
                            </w:pPr>
                            <w:r>
                              <w:rPr>
                                <w:rFonts w:ascii="Times New Roman"/>
                                <w:color w:val="DBDDD4"/>
                                <w:spacing w:val="-10"/>
                                <w:w w:val="60"/>
                                <w:sz w:val="14"/>
                              </w:rPr>
                              <w:t>5</w:t>
                            </w:r>
                          </w:p>
                        </w:txbxContent>
                      </wps:txbx>
                      <wps:bodyPr wrap="square" lIns="0" tIns="0" rIns="0" bIns="0" rtlCol="0">
                        <a:noAutofit/>
                      </wps:bodyPr>
                    </wps:wsp>
                  </a:graphicData>
                </a:graphic>
              </wp:anchor>
            </w:drawing>
          </mc:Choice>
          <mc:Fallback>
            <w:pict>
              <v:shape style="position:absolute;margin-left:280.1828pt;margin-top:461.121643pt;width:2.25pt;height:7.8pt;mso-position-horizontal-relative:page;mso-position-vertical-relative:page;z-index:-29537792" type="#_x0000_t202" id="docshape1192" filled="false" stroked="false">
                <v:textbox inset="0,0,0,0">
                  <w:txbxContent>
                    <w:p>
                      <w:pPr>
                        <w:spacing w:line="155" w:lineRule="exact" w:before="0"/>
                        <w:ind w:left="0" w:right="0" w:firstLine="0"/>
                        <w:jc w:val="left"/>
                        <w:rPr>
                          <w:rFonts w:ascii="Times New Roman"/>
                          <w:sz w:val="14"/>
                        </w:rPr>
                      </w:pPr>
                      <w:r>
                        <w:rPr>
                          <w:rFonts w:ascii="Times New Roman"/>
                          <w:color w:val="DBDDD4"/>
                          <w:spacing w:val="-10"/>
                          <w:w w:val="60"/>
                          <w:sz w:val="14"/>
                        </w:rPr>
                        <w:t>5</w:t>
                      </w:r>
                    </w:p>
                  </w:txbxContent>
                </v:textbox>
                <w10:wrap type="none"/>
              </v:shape>
            </w:pict>
          </mc:Fallback>
        </mc:AlternateContent>
      </w:r>
      <w:r>
        <w:rPr/>
        <w:drawing>
          <wp:anchor distT="0" distB="0" distL="0" distR="0" allowOverlap="1" layoutInCell="1" locked="0" behindDoc="0" simplePos="0" relativeHeight="15983104">
            <wp:simplePos x="0" y="0"/>
            <wp:positionH relativeFrom="page">
              <wp:posOffset>2805505</wp:posOffset>
            </wp:positionH>
            <wp:positionV relativeFrom="paragraph">
              <wp:posOffset>90270</wp:posOffset>
            </wp:positionV>
            <wp:extent cx="674664" cy="637804"/>
            <wp:effectExtent l="0" t="0" r="0" b="0"/>
            <wp:wrapNone/>
            <wp:docPr id="1249" name="Image 1249"/>
            <wp:cNvGraphicFramePr>
              <a:graphicFrameLocks/>
            </wp:cNvGraphicFramePr>
            <a:graphic>
              <a:graphicData uri="http://schemas.openxmlformats.org/drawingml/2006/picture">
                <pic:pic>
                  <pic:nvPicPr>
                    <pic:cNvPr id="1249" name="Image 1249"/>
                    <pic:cNvPicPr/>
                  </pic:nvPicPr>
                  <pic:blipFill>
                    <a:blip r:embed="rId92" cstate="print"/>
                    <a:stretch>
                      <a:fillRect/>
                    </a:stretch>
                  </pic:blipFill>
                  <pic:spPr>
                    <a:xfrm>
                      <a:off x="0" y="0"/>
                      <a:ext cx="674664" cy="637804"/>
                    </a:xfrm>
                    <a:prstGeom prst="rect">
                      <a:avLst/>
                    </a:prstGeom>
                  </pic:spPr>
                </pic:pic>
              </a:graphicData>
            </a:graphic>
          </wp:anchor>
        </w:drawing>
      </w:r>
      <w:r>
        <w:rPr>
          <w:color w:val="112359"/>
          <w:spacing w:val="-2"/>
          <w:w w:val="105"/>
        </w:rPr>
        <w:t>INSTITUTO</w:t>
      </w:r>
    </w:p>
    <w:p>
      <w:pPr>
        <w:pStyle w:val="Heading3"/>
      </w:pPr>
      <w:r>
        <w:rPr>
          <w:color w:val="344872"/>
          <w:w w:val="105"/>
        </w:rPr>
        <w:t>MIXTO</w:t>
      </w:r>
      <w:r>
        <w:rPr>
          <w:color w:val="344872"/>
          <w:spacing w:val="37"/>
          <w:w w:val="105"/>
        </w:rPr>
        <w:t> </w:t>
      </w:r>
      <w:r>
        <w:rPr>
          <w:color w:val="283459"/>
          <w:w w:val="105"/>
        </w:rPr>
        <w:t>DE</w:t>
      </w:r>
      <w:r>
        <w:rPr>
          <w:color w:val="283459"/>
          <w:spacing w:val="20"/>
          <w:w w:val="105"/>
        </w:rPr>
        <w:t> </w:t>
      </w:r>
      <w:r>
        <w:rPr>
          <w:color w:val="344872"/>
          <w:spacing w:val="-2"/>
          <w:w w:val="105"/>
        </w:rPr>
        <w:t>AYUDA</w:t>
      </w:r>
    </w:p>
    <w:p>
      <w:pPr>
        <w:pStyle w:val="BodyText"/>
        <w:spacing w:line="232" w:lineRule="exact"/>
        <w:ind w:left="4535"/>
        <w:rPr>
          <w:rFonts w:ascii="Times New Roman"/>
        </w:rPr>
      </w:pPr>
      <w:r>
        <w:rPr>
          <w:rFonts w:ascii="Times New Roman"/>
        </w:rPr>
        <mc:AlternateContent>
          <mc:Choice Requires="wps">
            <w:drawing>
              <wp:anchor distT="0" distB="0" distL="0" distR="0" allowOverlap="1" layoutInCell="1" locked="0" behindDoc="1" simplePos="0" relativeHeight="487841280">
                <wp:simplePos x="0" y="0"/>
                <wp:positionH relativeFrom="page">
                  <wp:posOffset>3565649</wp:posOffset>
                </wp:positionH>
                <wp:positionV relativeFrom="paragraph">
                  <wp:posOffset>181618</wp:posOffset>
                </wp:positionV>
                <wp:extent cx="1416685" cy="1270"/>
                <wp:effectExtent l="0" t="0" r="0" b="0"/>
                <wp:wrapTopAndBottom/>
                <wp:docPr id="1250" name="Graphic 1250"/>
                <wp:cNvGraphicFramePr>
                  <a:graphicFrameLocks/>
                </wp:cNvGraphicFramePr>
                <a:graphic>
                  <a:graphicData uri="http://schemas.microsoft.com/office/word/2010/wordprocessingShape">
                    <wps:wsp>
                      <wps:cNvPr id="1250" name="Graphic 1250"/>
                      <wps:cNvSpPr/>
                      <wps:spPr>
                        <a:xfrm>
                          <a:off x="0" y="0"/>
                          <a:ext cx="1416685" cy="1270"/>
                        </a:xfrm>
                        <a:custGeom>
                          <a:avLst/>
                          <a:gdLst/>
                          <a:ahLst/>
                          <a:cxnLst/>
                          <a:rect l="l" t="t" r="r" b="b"/>
                          <a:pathLst>
                            <a:path w="1416685" h="0">
                              <a:moveTo>
                                <a:pt x="0" y="0"/>
                              </a:moveTo>
                              <a:lnTo>
                                <a:pt x="141649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759827pt;margin-top:14.300653pt;width:111.55pt;height:.1pt;mso-position-horizontal-relative:page;mso-position-vertical-relative:paragraph;z-index:-15475200;mso-wrap-distance-left:0;mso-wrap-distance-right:0" id="docshape1193" coordorigin="5615,286" coordsize="2231,0" path="m5615,286l7846,286e" filled="false" stroked="true" strokeweight=".240291pt" strokecolor="#000000">
                <v:path arrowok="t"/>
                <v:stroke dashstyle="solid"/>
                <w10:wrap type="topAndBottom"/>
              </v:shape>
            </w:pict>
          </mc:Fallback>
        </mc:AlternateContent>
      </w:r>
      <w:r>
        <w:rPr>
          <w:rFonts w:ascii="Times New Roman"/>
          <w:color w:val="344872"/>
          <w:spacing w:val="-2"/>
          <w:w w:val="105"/>
        </w:rPr>
        <w:t>SOCIAL</w:t>
      </w:r>
    </w:p>
    <w:p>
      <w:pPr>
        <w:spacing w:before="64"/>
        <w:ind w:left="4538" w:right="0" w:firstLine="0"/>
        <w:jc w:val="left"/>
        <w:rPr>
          <w:rFonts w:ascii="Times New Roman"/>
          <w:b/>
          <w:sz w:val="16"/>
        </w:rPr>
      </w:pPr>
      <w:r>
        <w:rPr>
          <w:rFonts w:ascii="Times New Roman"/>
          <w:b/>
          <w:color w:val="283459"/>
          <w:sz w:val="16"/>
        </w:rPr>
        <w:t>GOBIERNO</w:t>
      </w:r>
      <w:r>
        <w:rPr>
          <w:rFonts w:ascii="Times New Roman"/>
          <w:b/>
          <w:color w:val="283459"/>
          <w:spacing w:val="15"/>
          <w:sz w:val="16"/>
        </w:rPr>
        <w:t> </w:t>
      </w:r>
      <w:r>
        <w:rPr>
          <w:rFonts w:ascii="Times New Roman"/>
          <w:color w:val="112359"/>
          <w:sz w:val="16"/>
        </w:rPr>
        <w:t>DE</w:t>
      </w:r>
      <w:r>
        <w:rPr>
          <w:rFonts w:ascii="Times New Roman"/>
          <w:color w:val="112359"/>
          <w:spacing w:val="5"/>
          <w:sz w:val="16"/>
        </w:rPr>
        <w:t> </w:t>
      </w:r>
      <w:r>
        <w:rPr>
          <w:rFonts w:ascii="Times New Roman"/>
          <w:b/>
          <w:color w:val="112359"/>
          <w:sz w:val="16"/>
        </w:rPr>
        <w:t>CO</w:t>
      </w:r>
      <w:r>
        <w:rPr>
          <w:rFonts w:ascii="Times New Roman"/>
          <w:b/>
          <w:color w:val="344872"/>
          <w:sz w:val="16"/>
        </w:rPr>
        <w:t>S</w:t>
      </w:r>
      <w:r>
        <w:rPr>
          <w:rFonts w:ascii="Times New Roman"/>
          <w:b/>
          <w:color w:val="283459"/>
          <w:sz w:val="16"/>
        </w:rPr>
        <w:t>T</w:t>
      </w:r>
      <w:r>
        <w:rPr>
          <w:rFonts w:ascii="Times New Roman"/>
          <w:b/>
          <w:color w:val="344872"/>
          <w:sz w:val="16"/>
        </w:rPr>
        <w:t>A</w:t>
      </w:r>
      <w:r>
        <w:rPr>
          <w:rFonts w:ascii="Times New Roman"/>
          <w:b/>
          <w:color w:val="344872"/>
          <w:spacing w:val="6"/>
          <w:sz w:val="16"/>
        </w:rPr>
        <w:t> </w:t>
      </w:r>
      <w:r>
        <w:rPr>
          <w:rFonts w:ascii="Times New Roman"/>
          <w:b/>
          <w:color w:val="283459"/>
          <w:spacing w:val="-4"/>
          <w:sz w:val="16"/>
        </w:rPr>
        <w:t>RICA</w:t>
      </w:r>
    </w:p>
    <w:p>
      <w:pPr>
        <w:pStyle w:val="BodyText"/>
        <w:spacing w:before="81"/>
        <w:rPr>
          <w:rFonts w:ascii="Times New Roman"/>
          <w:b/>
          <w:sz w:val="20"/>
        </w:rPr>
      </w:pPr>
    </w:p>
    <w:p>
      <w:pPr>
        <w:tabs>
          <w:tab w:pos="9515" w:val="left" w:leader="none"/>
        </w:tabs>
        <w:spacing w:before="0"/>
        <w:ind w:left="593" w:right="0" w:firstLine="0"/>
        <w:jc w:val="left"/>
        <w:rPr>
          <w:sz w:val="20"/>
        </w:rPr>
      </w:pPr>
      <w:r>
        <w:rPr>
          <w:sz w:val="20"/>
        </w:rPr>
        <mc:AlternateContent>
          <mc:Choice Requires="wps">
            <w:drawing>
              <wp:anchor distT="0" distB="0" distL="0" distR="0" allowOverlap="1" layoutInCell="1" locked="0" behindDoc="1" simplePos="0" relativeHeight="473779712">
                <wp:simplePos x="0" y="0"/>
                <wp:positionH relativeFrom="page">
                  <wp:posOffset>1074579</wp:posOffset>
                </wp:positionH>
                <wp:positionV relativeFrom="paragraph">
                  <wp:posOffset>263025</wp:posOffset>
                </wp:positionV>
                <wp:extent cx="5739765" cy="6094730"/>
                <wp:effectExtent l="0" t="0" r="0" b="0"/>
                <wp:wrapNone/>
                <wp:docPr id="1251" name="Group 1251"/>
                <wp:cNvGraphicFramePr>
                  <a:graphicFrameLocks/>
                </wp:cNvGraphicFramePr>
                <a:graphic>
                  <a:graphicData uri="http://schemas.microsoft.com/office/word/2010/wordprocessingGroup">
                    <wpg:wgp>
                      <wpg:cNvPr id="1251" name="Group 1251"/>
                      <wpg:cNvGrpSpPr/>
                      <wpg:grpSpPr>
                        <a:xfrm>
                          <a:off x="0" y="0"/>
                          <a:ext cx="5739765" cy="6094730"/>
                          <a:chExt cx="5739765" cy="6094730"/>
                        </a:xfrm>
                      </wpg:grpSpPr>
                      <wps:wsp>
                        <wps:cNvPr id="1252" name="Graphic 1252"/>
                        <wps:cNvSpPr/>
                        <wps:spPr>
                          <a:xfrm>
                            <a:off x="6105" y="3051"/>
                            <a:ext cx="5721350" cy="6091555"/>
                          </a:xfrm>
                          <a:custGeom>
                            <a:avLst/>
                            <a:gdLst/>
                            <a:ahLst/>
                            <a:cxnLst/>
                            <a:rect l="l" t="t" r="r" b="b"/>
                            <a:pathLst>
                              <a:path w="5721350" h="6091555">
                                <a:moveTo>
                                  <a:pt x="0" y="6091181"/>
                                </a:moveTo>
                                <a:lnTo>
                                  <a:pt x="0" y="0"/>
                                </a:lnTo>
                              </a:path>
                              <a:path w="5721350" h="6091555">
                                <a:moveTo>
                                  <a:pt x="5720914" y="6091181"/>
                                </a:moveTo>
                                <a:lnTo>
                                  <a:pt x="5720914" y="0"/>
                                </a:lnTo>
                              </a:path>
                            </a:pathLst>
                          </a:custGeom>
                          <a:ln w="9156">
                            <a:solidFill>
                              <a:srgbClr val="000000"/>
                            </a:solidFill>
                            <a:prstDash val="solid"/>
                          </a:ln>
                        </wps:spPr>
                        <wps:bodyPr wrap="square" lIns="0" tIns="0" rIns="0" bIns="0" rtlCol="0">
                          <a:prstTxWarp prst="textNoShape">
                            <a:avLst/>
                          </a:prstTxWarp>
                          <a:noAutofit/>
                        </wps:bodyPr>
                      </wps:wsp>
                      <wps:wsp>
                        <wps:cNvPr id="1253" name="Graphic 1253"/>
                        <wps:cNvSpPr/>
                        <wps:spPr>
                          <a:xfrm>
                            <a:off x="0" y="3051"/>
                            <a:ext cx="5739765" cy="6082030"/>
                          </a:xfrm>
                          <a:custGeom>
                            <a:avLst/>
                            <a:gdLst/>
                            <a:ahLst/>
                            <a:cxnLst/>
                            <a:rect l="l" t="t" r="r" b="b"/>
                            <a:pathLst>
                              <a:path w="5739765" h="6082030">
                                <a:moveTo>
                                  <a:pt x="0" y="0"/>
                                </a:moveTo>
                                <a:lnTo>
                                  <a:pt x="5739230" y="0"/>
                                </a:lnTo>
                              </a:path>
                              <a:path w="5739765" h="6082030">
                                <a:moveTo>
                                  <a:pt x="0" y="6082026"/>
                                </a:moveTo>
                                <a:lnTo>
                                  <a:pt x="5739230" y="6082026"/>
                                </a:lnTo>
                              </a:path>
                            </a:pathLst>
                          </a:custGeom>
                          <a:ln w="6104">
                            <a:solidFill>
                              <a:srgbClr val="000000"/>
                            </a:solidFill>
                            <a:prstDash val="solid"/>
                          </a:ln>
                        </wps:spPr>
                        <wps:bodyPr wrap="square" lIns="0" tIns="0" rIns="0" bIns="0" rtlCol="0">
                          <a:prstTxWarp prst="textNoShape">
                            <a:avLst/>
                          </a:prstTxWarp>
                          <a:noAutofit/>
                        </wps:bodyPr>
                      </wps:wsp>
                      <wps:wsp>
                        <wps:cNvPr id="1254" name="Graphic 1254"/>
                        <wps:cNvSpPr/>
                        <wps:spPr>
                          <a:xfrm>
                            <a:off x="1234610" y="4390414"/>
                            <a:ext cx="1292225" cy="177800"/>
                          </a:xfrm>
                          <a:custGeom>
                            <a:avLst/>
                            <a:gdLst/>
                            <a:ahLst/>
                            <a:cxnLst/>
                            <a:rect l="l" t="t" r="r" b="b"/>
                            <a:pathLst>
                              <a:path w="1292225" h="177800">
                                <a:moveTo>
                                  <a:pt x="18326" y="0"/>
                                </a:moveTo>
                                <a:lnTo>
                                  <a:pt x="0" y="0"/>
                                </a:lnTo>
                                <a:lnTo>
                                  <a:pt x="0" y="119824"/>
                                </a:lnTo>
                                <a:lnTo>
                                  <a:pt x="18326" y="119824"/>
                                </a:lnTo>
                                <a:lnTo>
                                  <a:pt x="18326" y="0"/>
                                </a:lnTo>
                                <a:close/>
                              </a:path>
                              <a:path w="1292225" h="177800">
                                <a:moveTo>
                                  <a:pt x="1074928" y="0"/>
                                </a:moveTo>
                                <a:lnTo>
                                  <a:pt x="1062723" y="0"/>
                                </a:lnTo>
                                <a:lnTo>
                                  <a:pt x="1062723" y="119824"/>
                                </a:lnTo>
                                <a:lnTo>
                                  <a:pt x="1074928" y="119824"/>
                                </a:lnTo>
                                <a:lnTo>
                                  <a:pt x="1074928" y="0"/>
                                </a:lnTo>
                                <a:close/>
                              </a:path>
                              <a:path w="1292225" h="177800">
                                <a:moveTo>
                                  <a:pt x="1291869" y="57988"/>
                                </a:moveTo>
                                <a:lnTo>
                                  <a:pt x="1249121" y="57988"/>
                                </a:lnTo>
                                <a:lnTo>
                                  <a:pt x="1249121" y="177800"/>
                                </a:lnTo>
                                <a:lnTo>
                                  <a:pt x="1291869" y="177800"/>
                                </a:lnTo>
                                <a:lnTo>
                                  <a:pt x="1291869" y="57988"/>
                                </a:lnTo>
                                <a:close/>
                              </a:path>
                            </a:pathLst>
                          </a:custGeom>
                          <a:solidFill>
                            <a:srgbClr val="262D3A"/>
                          </a:solidFill>
                        </wps:spPr>
                        <wps:bodyPr wrap="square" lIns="0" tIns="0" rIns="0" bIns="0" rtlCol="0">
                          <a:prstTxWarp prst="textNoShape">
                            <a:avLst/>
                          </a:prstTxWarp>
                          <a:noAutofit/>
                        </wps:bodyPr>
                      </wps:wsp>
                      <wps:wsp>
                        <wps:cNvPr id="1255" name="Textbox 1255"/>
                        <wps:cNvSpPr txBox="1"/>
                        <wps:spPr>
                          <a:xfrm>
                            <a:off x="1374896" y="207981"/>
                            <a:ext cx="3033395" cy="518159"/>
                          </a:xfrm>
                          <a:prstGeom prst="rect">
                            <a:avLst/>
                          </a:prstGeom>
                        </wps:spPr>
                        <wps:txbx>
                          <w:txbxContent>
                            <w:p>
                              <w:pPr>
                                <w:spacing w:line="166" w:lineRule="exact" w:before="0"/>
                                <w:ind w:left="0" w:right="1" w:firstLine="0"/>
                                <w:jc w:val="center"/>
                                <w:rPr>
                                  <w:rFonts w:ascii="Times New Roman"/>
                                  <w:sz w:val="15"/>
                                </w:rPr>
                              </w:pPr>
                              <w:r>
                                <w:rPr>
                                  <w:rFonts w:ascii="Times New Roman"/>
                                  <w:color w:val="1D1C2B"/>
                                  <w:w w:val="115"/>
                                  <w:sz w:val="15"/>
                                </w:rPr>
                                <w:t>INSTITUTO</w:t>
                              </w:r>
                              <w:r>
                                <w:rPr>
                                  <w:rFonts w:ascii="Times New Roman"/>
                                  <w:color w:val="1D1C2B"/>
                                  <w:spacing w:val="8"/>
                                  <w:w w:val="115"/>
                                  <w:sz w:val="15"/>
                                </w:rPr>
                                <w:t> </w:t>
                              </w:r>
                              <w:r>
                                <w:rPr>
                                  <w:rFonts w:ascii="Times New Roman"/>
                                  <w:color w:val="342B3B"/>
                                  <w:w w:val="115"/>
                                  <w:sz w:val="15"/>
                                </w:rPr>
                                <w:t>MIXTO</w:t>
                              </w:r>
                              <w:r>
                                <w:rPr>
                                  <w:rFonts w:ascii="Times New Roman"/>
                                  <w:color w:val="342B3B"/>
                                  <w:spacing w:val="9"/>
                                  <w:w w:val="115"/>
                                  <w:sz w:val="15"/>
                                </w:rPr>
                                <w:t> </w:t>
                              </w:r>
                              <w:r>
                                <w:rPr>
                                  <w:rFonts w:ascii="Times New Roman"/>
                                  <w:color w:val="1D1C2B"/>
                                  <w:w w:val="115"/>
                                  <w:sz w:val="15"/>
                                </w:rPr>
                                <w:t>DE</w:t>
                              </w:r>
                              <w:r>
                                <w:rPr>
                                  <w:rFonts w:ascii="Times New Roman"/>
                                  <w:color w:val="1D1C2B"/>
                                  <w:spacing w:val="-7"/>
                                  <w:w w:val="115"/>
                                  <w:sz w:val="15"/>
                                </w:rPr>
                                <w:t> </w:t>
                              </w:r>
                              <w:r>
                                <w:rPr>
                                  <w:rFonts w:ascii="Times New Roman"/>
                                  <w:color w:val="1D1C2B"/>
                                  <w:w w:val="115"/>
                                  <w:sz w:val="15"/>
                                </w:rPr>
                                <w:t>AYUDA</w:t>
                              </w:r>
                              <w:r>
                                <w:rPr>
                                  <w:rFonts w:ascii="Times New Roman"/>
                                  <w:color w:val="1D1C2B"/>
                                  <w:spacing w:val="-1"/>
                                  <w:w w:val="115"/>
                                  <w:sz w:val="15"/>
                                </w:rPr>
                                <w:t> </w:t>
                              </w:r>
                              <w:r>
                                <w:rPr>
                                  <w:rFonts w:ascii="Times New Roman"/>
                                  <w:color w:val="342B3B"/>
                                  <w:spacing w:val="-2"/>
                                  <w:w w:val="115"/>
                                  <w:sz w:val="15"/>
                                </w:rPr>
                                <w:t>SOCIAL</w:t>
                              </w:r>
                            </w:p>
                            <w:p>
                              <w:pPr>
                                <w:spacing w:before="39"/>
                                <w:ind w:left="0" w:right="18" w:firstLine="0"/>
                                <w:jc w:val="center"/>
                                <w:rPr>
                                  <w:rFonts w:ascii="Times New Roman" w:hAnsi="Times New Roman"/>
                                  <w:sz w:val="15"/>
                                </w:rPr>
                              </w:pPr>
                              <w:r>
                                <w:rPr>
                                  <w:rFonts w:ascii="Times New Roman" w:hAnsi="Times New Roman"/>
                                  <w:color w:val="1D1C2B"/>
                                  <w:spacing w:val="-2"/>
                                  <w:w w:val="115"/>
                                  <w:sz w:val="15"/>
                                </w:rPr>
                                <w:t>ESTADO</w:t>
                              </w:r>
                              <w:r>
                                <w:rPr>
                                  <w:rFonts w:ascii="Times New Roman" w:hAnsi="Times New Roman"/>
                                  <w:color w:val="1D1C2B"/>
                                  <w:spacing w:val="10"/>
                                  <w:w w:val="115"/>
                                  <w:sz w:val="15"/>
                                </w:rPr>
                                <w:t> </w:t>
                              </w:r>
                              <w:r>
                                <w:rPr>
                                  <w:rFonts w:ascii="Times New Roman" w:hAnsi="Times New Roman"/>
                                  <w:color w:val="1D1C2B"/>
                                  <w:spacing w:val="-2"/>
                                  <w:w w:val="115"/>
                                  <w:sz w:val="15"/>
                                </w:rPr>
                                <w:t>DE</w:t>
                              </w:r>
                              <w:r>
                                <w:rPr>
                                  <w:rFonts w:ascii="Times New Roman" w:hAnsi="Times New Roman"/>
                                  <w:color w:val="1D1C2B"/>
                                  <w:spacing w:val="-4"/>
                                  <w:w w:val="115"/>
                                  <w:sz w:val="15"/>
                                </w:rPr>
                                <w:t> </w:t>
                              </w:r>
                              <w:r>
                                <w:rPr>
                                  <w:rFonts w:ascii="Times New Roman" w:hAnsi="Times New Roman"/>
                                  <w:color w:val="1D1C2B"/>
                                  <w:spacing w:val="-2"/>
                                  <w:w w:val="115"/>
                                  <w:sz w:val="15"/>
                                </w:rPr>
                                <w:t>INFORMACIÓN</w:t>
                              </w:r>
                              <w:r>
                                <w:rPr>
                                  <w:rFonts w:ascii="Times New Roman" w:hAnsi="Times New Roman"/>
                                  <w:color w:val="1D1C2B"/>
                                  <w:spacing w:val="17"/>
                                  <w:w w:val="115"/>
                                  <w:sz w:val="15"/>
                                </w:rPr>
                                <w:t> </w:t>
                              </w:r>
                              <w:r>
                                <w:rPr>
                                  <w:rFonts w:ascii="Times New Roman" w:hAnsi="Times New Roman"/>
                                  <w:color w:val="1D1C2B"/>
                                  <w:spacing w:val="-2"/>
                                  <w:w w:val="115"/>
                                  <w:sz w:val="15"/>
                                </w:rPr>
                                <w:t>FINANCIERA</w:t>
                              </w:r>
                              <w:r>
                                <w:rPr>
                                  <w:rFonts w:ascii="Times New Roman" w:hAnsi="Times New Roman"/>
                                  <w:color w:val="1D1C2B"/>
                                  <w:spacing w:val="-1"/>
                                  <w:w w:val="115"/>
                                  <w:sz w:val="15"/>
                                </w:rPr>
                                <w:t> </w:t>
                              </w:r>
                              <w:r>
                                <w:rPr>
                                  <w:rFonts w:ascii="Times New Roman" w:hAnsi="Times New Roman"/>
                                  <w:color w:val="1D1C2B"/>
                                  <w:spacing w:val="-2"/>
                                  <w:w w:val="115"/>
                                  <w:sz w:val="15"/>
                                </w:rPr>
                                <w:t>POR</w:t>
                              </w:r>
                              <w:r>
                                <w:rPr>
                                  <w:rFonts w:ascii="Times New Roman" w:hAnsi="Times New Roman"/>
                                  <w:color w:val="1D1C2B"/>
                                  <w:spacing w:val="13"/>
                                  <w:w w:val="115"/>
                                  <w:sz w:val="15"/>
                                </w:rPr>
                                <w:t> </w:t>
                              </w:r>
                              <w:r>
                                <w:rPr>
                                  <w:rFonts w:ascii="Times New Roman" w:hAnsi="Times New Roman"/>
                                  <w:color w:val="1D1C2B"/>
                                  <w:spacing w:val="-2"/>
                                  <w:w w:val="115"/>
                                  <w:sz w:val="15"/>
                                </w:rPr>
                                <w:t>SEGMENTOS</w:t>
                              </w:r>
                            </w:p>
                            <w:p>
                              <w:pPr>
                                <w:spacing w:before="38"/>
                                <w:ind w:left="1173" w:right="0" w:firstLine="0"/>
                                <w:jc w:val="left"/>
                                <w:rPr>
                                  <w:rFonts w:ascii="Times New Roman"/>
                                  <w:sz w:val="15"/>
                                </w:rPr>
                              </w:pPr>
                              <w:r>
                                <w:rPr>
                                  <w:rFonts w:ascii="Times New Roman"/>
                                  <w:color w:val="1D1C2B"/>
                                  <w:w w:val="110"/>
                                  <w:sz w:val="15"/>
                                </w:rPr>
                                <w:t>Del</w:t>
                              </w:r>
                              <w:r>
                                <w:rPr>
                                  <w:rFonts w:ascii="Times New Roman"/>
                                  <w:color w:val="1D1C2B"/>
                                  <w:spacing w:val="3"/>
                                  <w:w w:val="110"/>
                                  <w:sz w:val="15"/>
                                </w:rPr>
                                <w:t> </w:t>
                              </w:r>
                              <w:r>
                                <w:rPr>
                                  <w:rFonts w:ascii="Times New Roman"/>
                                  <w:color w:val="342B3B"/>
                                  <w:w w:val="110"/>
                                  <w:sz w:val="15"/>
                                </w:rPr>
                                <w:t>01</w:t>
                              </w:r>
                              <w:r>
                                <w:rPr>
                                  <w:rFonts w:ascii="Times New Roman"/>
                                  <w:color w:val="342B3B"/>
                                  <w:spacing w:val="2"/>
                                  <w:w w:val="110"/>
                                  <w:sz w:val="15"/>
                                </w:rPr>
                                <w:t> </w:t>
                              </w:r>
                              <w:r>
                                <w:rPr>
                                  <w:rFonts w:ascii="Times New Roman"/>
                                  <w:color w:val="1D1C2B"/>
                                  <w:w w:val="110"/>
                                  <w:sz w:val="15"/>
                                </w:rPr>
                                <w:t>d</w:t>
                              </w:r>
                              <w:r>
                                <w:rPr>
                                  <w:rFonts w:ascii="Times New Roman"/>
                                  <w:color w:val="443F52"/>
                                  <w:w w:val="110"/>
                                  <w:sz w:val="15"/>
                                </w:rPr>
                                <w:t>e</w:t>
                              </w:r>
                              <w:r>
                                <w:rPr>
                                  <w:rFonts w:ascii="Times New Roman"/>
                                  <w:color w:val="443F52"/>
                                  <w:spacing w:val="13"/>
                                  <w:w w:val="110"/>
                                  <w:sz w:val="15"/>
                                </w:rPr>
                                <w:t> </w:t>
                              </w:r>
                              <w:r>
                                <w:rPr>
                                  <w:rFonts w:ascii="Times New Roman"/>
                                  <w:color w:val="1D1C2B"/>
                                  <w:w w:val="110"/>
                                  <w:sz w:val="15"/>
                                </w:rPr>
                                <w:t>En</w:t>
                              </w:r>
                              <w:r>
                                <w:rPr>
                                  <w:rFonts w:ascii="Times New Roman"/>
                                  <w:color w:val="443F52"/>
                                  <w:w w:val="110"/>
                                  <w:sz w:val="15"/>
                                </w:rPr>
                                <w:t>ero</w:t>
                              </w:r>
                              <w:r>
                                <w:rPr>
                                  <w:rFonts w:ascii="Times New Roman"/>
                                  <w:color w:val="443F52"/>
                                  <w:spacing w:val="28"/>
                                  <w:w w:val="110"/>
                                  <w:sz w:val="15"/>
                                </w:rPr>
                                <w:t> </w:t>
                              </w:r>
                              <w:r>
                                <w:rPr>
                                  <w:rFonts w:ascii="Arial"/>
                                  <w:color w:val="342B3B"/>
                                  <w:w w:val="110"/>
                                  <w:sz w:val="15"/>
                                </w:rPr>
                                <w:t>al</w:t>
                              </w:r>
                              <w:r>
                                <w:rPr>
                                  <w:rFonts w:ascii="Arial"/>
                                  <w:color w:val="342B3B"/>
                                  <w:spacing w:val="-13"/>
                                  <w:w w:val="110"/>
                                  <w:sz w:val="15"/>
                                </w:rPr>
                                <w:t> </w:t>
                              </w:r>
                              <w:r>
                                <w:rPr>
                                  <w:rFonts w:ascii="Times New Roman"/>
                                  <w:color w:val="342B3B"/>
                                  <w:w w:val="110"/>
                                  <w:sz w:val="15"/>
                                </w:rPr>
                                <w:t>3</w:t>
                              </w:r>
                              <w:r>
                                <w:rPr>
                                  <w:rFonts w:ascii="Times New Roman"/>
                                  <w:color w:val="0E0C36"/>
                                  <w:w w:val="110"/>
                                  <w:sz w:val="15"/>
                                </w:rPr>
                                <w:t>1</w:t>
                              </w:r>
                              <w:r>
                                <w:rPr>
                                  <w:rFonts w:ascii="Times New Roman"/>
                                  <w:color w:val="0E0C36"/>
                                  <w:spacing w:val="-2"/>
                                  <w:w w:val="110"/>
                                  <w:sz w:val="15"/>
                                </w:rPr>
                                <w:t> </w:t>
                              </w:r>
                              <w:r>
                                <w:rPr>
                                  <w:rFonts w:ascii="Times New Roman"/>
                                  <w:color w:val="342B3B"/>
                                  <w:w w:val="110"/>
                                  <w:sz w:val="15"/>
                                </w:rPr>
                                <w:t>de</w:t>
                              </w:r>
                              <w:r>
                                <w:rPr>
                                  <w:rFonts w:ascii="Times New Roman"/>
                                  <w:color w:val="342B3B"/>
                                  <w:spacing w:val="-17"/>
                                  <w:w w:val="110"/>
                                  <w:sz w:val="15"/>
                                </w:rPr>
                                <w:t> </w:t>
                              </w:r>
                              <w:r>
                                <w:rPr>
                                  <w:rFonts w:ascii="Times New Roman"/>
                                  <w:color w:val="1D1C2B"/>
                                  <w:w w:val="110"/>
                                  <w:sz w:val="15"/>
                                </w:rPr>
                                <w:t>Julio</w:t>
                              </w:r>
                              <w:r>
                                <w:rPr>
                                  <w:rFonts w:ascii="Times New Roman"/>
                                  <w:color w:val="1D1C2B"/>
                                  <w:spacing w:val="5"/>
                                  <w:w w:val="110"/>
                                  <w:sz w:val="15"/>
                                </w:rPr>
                                <w:t> </w:t>
                              </w:r>
                              <w:r>
                                <w:rPr>
                                  <w:rFonts w:ascii="Times New Roman"/>
                                  <w:color w:val="342B3B"/>
                                  <w:spacing w:val="-4"/>
                                  <w:w w:val="110"/>
                                  <w:sz w:val="15"/>
                                </w:rPr>
                                <w:t>2026</w:t>
                              </w:r>
                            </w:p>
                            <w:p>
                              <w:pPr>
                                <w:spacing w:before="53"/>
                                <w:ind w:left="1766" w:right="0" w:firstLine="0"/>
                                <w:jc w:val="left"/>
                                <w:rPr>
                                  <w:rFonts w:ascii="Times New Roman"/>
                                  <w:i/>
                                  <w:sz w:val="14"/>
                                </w:rPr>
                              </w:pPr>
                              <w:r>
                                <w:rPr>
                                  <w:rFonts w:ascii="Times New Roman"/>
                                  <w:i/>
                                  <w:color w:val="342B3B"/>
                                  <w:w w:val="105"/>
                                  <w:sz w:val="15"/>
                                </w:rPr>
                                <w:t>F.n</w:t>
                              </w:r>
                              <w:r>
                                <w:rPr>
                                  <w:rFonts w:ascii="Times New Roman"/>
                                  <w:i/>
                                  <w:color w:val="342B3B"/>
                                  <w:spacing w:val="-14"/>
                                  <w:w w:val="105"/>
                                  <w:sz w:val="15"/>
                                </w:rPr>
                                <w:t> </w:t>
                              </w:r>
                              <w:r>
                                <w:rPr>
                                  <w:rFonts w:ascii="Times New Roman"/>
                                  <w:i/>
                                  <w:color w:val="1D1C2B"/>
                                  <w:w w:val="105"/>
                                  <w:sz w:val="14"/>
                                </w:rPr>
                                <w:t>miles</w:t>
                              </w:r>
                              <w:r>
                                <w:rPr>
                                  <w:rFonts w:ascii="Times New Roman"/>
                                  <w:i/>
                                  <w:color w:val="1D1C2B"/>
                                  <w:spacing w:val="-10"/>
                                  <w:w w:val="105"/>
                                  <w:sz w:val="14"/>
                                </w:rPr>
                                <w:t> </w:t>
                              </w:r>
                              <w:r>
                                <w:rPr>
                                  <w:rFonts w:ascii="Times New Roman"/>
                                  <w:i/>
                                  <w:color w:val="342B3B"/>
                                  <w:w w:val="105"/>
                                  <w:sz w:val="14"/>
                                </w:rPr>
                                <w:t>de</w:t>
                              </w:r>
                              <w:r>
                                <w:rPr>
                                  <w:rFonts w:ascii="Times New Roman"/>
                                  <w:i/>
                                  <w:color w:val="342B3B"/>
                                  <w:spacing w:val="2"/>
                                  <w:w w:val="105"/>
                                  <w:sz w:val="14"/>
                                </w:rPr>
                                <w:t> </w:t>
                              </w:r>
                              <w:r>
                                <w:rPr>
                                  <w:rFonts w:ascii="Times New Roman"/>
                                  <w:i/>
                                  <w:color w:val="342B3B"/>
                                  <w:spacing w:val="-2"/>
                                  <w:w w:val="105"/>
                                  <w:sz w:val="14"/>
                                </w:rPr>
                                <w:t>colones</w:t>
                              </w:r>
                            </w:p>
                          </w:txbxContent>
                        </wps:txbx>
                        <wps:bodyPr wrap="square" lIns="0" tIns="0" rIns="0" bIns="0" rtlCol="0">
                          <a:noAutofit/>
                        </wps:bodyPr>
                      </wps:wsp>
                      <wps:wsp>
                        <wps:cNvPr id="1256" name="Textbox 1256"/>
                        <wps:cNvSpPr txBox="1"/>
                        <wps:spPr>
                          <a:xfrm>
                            <a:off x="321261" y="3812197"/>
                            <a:ext cx="2353945" cy="407034"/>
                          </a:xfrm>
                          <a:prstGeom prst="rect">
                            <a:avLst/>
                          </a:prstGeom>
                        </wps:spPr>
                        <wps:txbx>
                          <w:txbxContent>
                            <w:p>
                              <w:pPr>
                                <w:spacing w:before="16"/>
                                <w:ind w:left="20" w:right="0" w:firstLine="0"/>
                                <w:jc w:val="left"/>
                                <w:rPr>
                                  <w:rFonts w:ascii="Arial" w:hAnsi="Arial"/>
                                  <w:i/>
                                  <w:sz w:val="11"/>
                                </w:rPr>
                              </w:pPr>
                              <w:r>
                                <w:rPr>
                                  <w:rFonts w:ascii="Arial" w:hAnsi="Arial"/>
                                  <w:i/>
                                  <w:color w:val="342B3B"/>
                                  <w:sz w:val="11"/>
                                </w:rPr>
                                <w:t>Seg111e11tos</w:t>
                              </w:r>
                              <w:r>
                                <w:rPr>
                                  <w:rFonts w:ascii="Arial" w:hAnsi="Arial"/>
                                  <w:i/>
                                  <w:color w:val="342B3B"/>
                                  <w:spacing w:val="1"/>
                                  <w:w w:val="110"/>
                                  <w:sz w:val="11"/>
                                </w:rPr>
                                <w:t> </w:t>
                              </w:r>
                              <w:r>
                                <w:rPr>
                                  <w:rFonts w:ascii="Arial" w:hAnsi="Arial"/>
                                  <w:i/>
                                  <w:color w:val="6B6472"/>
                                  <w:w w:val="110"/>
                                  <w:sz w:val="11"/>
                                </w:rPr>
                                <w:t>(")</w:t>
                              </w:r>
                              <w:r>
                                <w:rPr>
                                  <w:rFonts w:ascii="Arial" w:hAnsi="Arial"/>
                                  <w:i/>
                                  <w:color w:val="443F52"/>
                                  <w:w w:val="110"/>
                                  <w:sz w:val="11"/>
                                </w:rPr>
                                <w:t>;</w:t>
                              </w:r>
                              <w:r>
                                <w:rPr>
                                  <w:rFonts w:ascii="Arial" w:hAnsi="Arial"/>
                                  <w:i/>
                                  <w:color w:val="443F52"/>
                                  <w:spacing w:val="-8"/>
                                  <w:w w:val="110"/>
                                  <w:sz w:val="11"/>
                                </w:rPr>
                                <w:t> </w:t>
                              </w:r>
                              <w:r>
                                <w:rPr>
                                  <w:rFonts w:ascii="Arial" w:hAnsi="Arial"/>
                                  <w:i/>
                                  <w:color w:val="443F52"/>
                                  <w:sz w:val="12"/>
                                </w:rPr>
                                <w:t>Clasiíirndor</w:t>
                              </w:r>
                              <w:r>
                                <w:rPr>
                                  <w:rFonts w:ascii="Arial" w:hAnsi="Arial"/>
                                  <w:i/>
                                  <w:color w:val="443F52"/>
                                  <w:spacing w:val="-8"/>
                                  <w:sz w:val="12"/>
                                </w:rPr>
                                <w:t> </w:t>
                              </w:r>
                              <w:r>
                                <w:rPr>
                                  <w:rFonts w:ascii="Arial" w:hAnsi="Arial"/>
                                  <w:i/>
                                  <w:color w:val="1D1C2B"/>
                                  <w:spacing w:val="-2"/>
                                  <w:sz w:val="11"/>
                                </w:rPr>
                                <w:t>Fi.u1ciomú</w:t>
                              </w:r>
                            </w:p>
                            <w:p>
                              <w:pPr>
                                <w:spacing w:line="240" w:lineRule="auto" w:before="0"/>
                                <w:rPr>
                                  <w:rFonts w:ascii="Arial"/>
                                  <w:i/>
                                  <w:sz w:val="11"/>
                                </w:rPr>
                              </w:pPr>
                            </w:p>
                            <w:p>
                              <w:pPr>
                                <w:spacing w:line="240" w:lineRule="auto" w:before="52"/>
                                <w:rPr>
                                  <w:rFonts w:ascii="Arial"/>
                                  <w:i/>
                                  <w:sz w:val="11"/>
                                </w:rPr>
                              </w:pPr>
                            </w:p>
                            <w:p>
                              <w:pPr>
                                <w:spacing w:before="0"/>
                                <w:ind w:left="556" w:right="0" w:firstLine="0"/>
                                <w:jc w:val="left"/>
                                <w:rPr>
                                  <w:rFonts w:ascii="Times New Roman" w:hAnsi="Times New Roman"/>
                                  <w:sz w:val="14"/>
                                </w:rPr>
                              </w:pPr>
                              <w:r>
                                <w:rPr>
                                  <w:rFonts w:ascii="Times New Roman" w:hAnsi="Times New Roman"/>
                                  <w:color w:val="1D1C2B"/>
                                  <w:w w:val="120"/>
                                  <w:sz w:val="14"/>
                                </w:rPr>
                                <w:t>Otra</w:t>
                              </w:r>
                              <w:r>
                                <w:rPr>
                                  <w:rFonts w:ascii="Times New Roman" w:hAnsi="Times New Roman"/>
                                  <w:color w:val="1D1C2B"/>
                                  <w:spacing w:val="-3"/>
                                  <w:w w:val="120"/>
                                  <w:sz w:val="14"/>
                                </w:rPr>
                                <w:t> </w:t>
                              </w:r>
                              <w:r>
                                <w:rPr>
                                  <w:rFonts w:ascii="Times New Roman" w:hAnsi="Times New Roman"/>
                                  <w:color w:val="1D1C2B"/>
                                  <w:w w:val="120"/>
                                  <w:sz w:val="14"/>
                                </w:rPr>
                                <w:t>Información</w:t>
                              </w:r>
                              <w:r>
                                <w:rPr>
                                  <w:rFonts w:ascii="Times New Roman" w:hAnsi="Times New Roman"/>
                                  <w:color w:val="1D1C2B"/>
                                  <w:spacing w:val="4"/>
                                  <w:w w:val="120"/>
                                  <w:sz w:val="14"/>
                                </w:rPr>
                                <w:t> </w:t>
                              </w:r>
                              <w:r>
                                <w:rPr>
                                  <w:rFonts w:ascii="Times New Roman" w:hAnsi="Times New Roman"/>
                                  <w:color w:val="1D1C2B"/>
                                  <w:w w:val="120"/>
                                  <w:sz w:val="14"/>
                                </w:rPr>
                                <w:t>Financiera</w:t>
                              </w:r>
                              <w:r>
                                <w:rPr>
                                  <w:rFonts w:ascii="Times New Roman" w:hAnsi="Times New Roman"/>
                                  <w:color w:val="1D1C2B"/>
                                  <w:spacing w:val="6"/>
                                  <w:w w:val="120"/>
                                  <w:sz w:val="14"/>
                                </w:rPr>
                                <w:t> </w:t>
                              </w:r>
                              <w:r>
                                <w:rPr>
                                  <w:rFonts w:ascii="Times New Roman" w:hAnsi="Times New Roman"/>
                                  <w:color w:val="1D1C2B"/>
                                  <w:w w:val="120"/>
                                  <w:sz w:val="14"/>
                                </w:rPr>
                                <w:t>sobre</w:t>
                              </w:r>
                              <w:r>
                                <w:rPr>
                                  <w:rFonts w:ascii="Times New Roman" w:hAnsi="Times New Roman"/>
                                  <w:color w:val="1D1C2B"/>
                                  <w:spacing w:val="-6"/>
                                  <w:w w:val="120"/>
                                  <w:sz w:val="14"/>
                                </w:rPr>
                                <w:t> </w:t>
                              </w:r>
                              <w:r>
                                <w:rPr>
                                  <w:rFonts w:ascii="Times New Roman" w:hAnsi="Times New Roman"/>
                                  <w:color w:val="1D1C2B"/>
                                  <w:spacing w:val="-2"/>
                                  <w:w w:val="120"/>
                                  <w:sz w:val="14"/>
                                </w:rPr>
                                <w:t>Segmentos</w:t>
                              </w:r>
                            </w:p>
                          </w:txbxContent>
                        </wps:txbx>
                        <wps:bodyPr wrap="square" lIns="0" tIns="0" rIns="0" bIns="0" rtlCol="0">
                          <a:noAutofit/>
                        </wps:bodyPr>
                      </wps:wsp>
                      <wps:wsp>
                        <wps:cNvPr id="1257" name="Textbox 1257"/>
                        <wps:cNvSpPr txBox="1"/>
                        <wps:spPr>
                          <a:xfrm>
                            <a:off x="748026" y="4390924"/>
                            <a:ext cx="538480" cy="209550"/>
                          </a:xfrm>
                          <a:prstGeom prst="rect">
                            <a:avLst/>
                          </a:prstGeom>
                        </wps:spPr>
                        <wps:txbx>
                          <w:txbxContent>
                            <w:p>
                              <w:pPr>
                                <w:spacing w:line="148" w:lineRule="exact" w:before="14"/>
                                <w:ind w:left="0" w:right="38" w:firstLine="0"/>
                                <w:jc w:val="right"/>
                                <w:rPr>
                                  <w:rFonts w:ascii="Times New Roman"/>
                                  <w:sz w:val="14"/>
                                </w:rPr>
                              </w:pPr>
                              <w:r>
                                <w:rPr>
                                  <w:rFonts w:ascii="Times New Roman"/>
                                  <w:color w:val="DBDDD4"/>
                                  <w:spacing w:val="-10"/>
                                  <w:w w:val="115"/>
                                  <w:sz w:val="14"/>
                                </w:rPr>
                                <w:t>,</w:t>
                              </w:r>
                            </w:p>
                            <w:p>
                              <w:pPr>
                                <w:spacing w:line="148" w:lineRule="exact" w:before="0"/>
                                <w:ind w:left="0" w:right="51" w:firstLine="0"/>
                                <w:jc w:val="right"/>
                                <w:rPr>
                                  <w:rFonts w:ascii="Times New Roman"/>
                                  <w:sz w:val="14"/>
                                </w:rPr>
                              </w:pPr>
                              <w:r>
                                <w:rPr>
                                  <w:rFonts w:ascii="Times New Roman"/>
                                  <w:color w:val="DBDDD4"/>
                                  <w:spacing w:val="-2"/>
                                  <w:w w:val="97"/>
                                  <w:sz w:val="14"/>
                                  <w:shd w:fill="262D3A" w:color="auto" w:val="clear"/>
                                </w:rPr>
                                <w:t>Segmento</w:t>
                              </w:r>
                              <w:r>
                                <w:rPr>
                                  <w:rFonts w:ascii="Times New Roman"/>
                                  <w:color w:val="DBDDD4"/>
                                  <w:spacing w:val="11"/>
                                  <w:w w:val="97"/>
                                  <w:sz w:val="14"/>
                                  <w:shd w:fill="262D3A" w:color="auto" w:val="clear"/>
                                </w:rPr>
                                <w:t>s</w:t>
                              </w:r>
                              <w:r>
                                <w:rPr>
                                  <w:rFonts w:ascii="Times New Roman"/>
                                  <w:color w:val="DBDDD4"/>
                                  <w:spacing w:val="-1"/>
                                  <w:w w:val="19"/>
                                  <w:sz w:val="14"/>
                                  <w:shd w:fill="262D3A" w:color="auto" w:val="clear"/>
                                </w:rPr>
                                <w:t>(</w:t>
                              </w:r>
                              <w:r>
                                <w:rPr>
                                  <w:rFonts w:ascii="Times New Roman"/>
                                  <w:color w:val="DBDDD4"/>
                                  <w:spacing w:val="42"/>
                                  <w:sz w:val="14"/>
                                  <w:shd w:fill="262D3A" w:color="auto" w:val="clear"/>
                                </w:rPr>
                                <w:t>  </w:t>
                              </w:r>
                              <w:r>
                                <w:rPr>
                                  <w:rFonts w:ascii="Times New Roman"/>
                                  <w:color w:val="DBDDD4"/>
                                  <w:spacing w:val="-10"/>
                                  <w:w w:val="65"/>
                                  <w:sz w:val="14"/>
                                </w:rPr>
                                <w:t>)</w:t>
                              </w:r>
                            </w:p>
                          </w:txbxContent>
                        </wps:txbx>
                        <wps:bodyPr wrap="square" lIns="0" tIns="0" rIns="0" bIns="0" rtlCol="0">
                          <a:noAutofit/>
                        </wps:bodyPr>
                      </wps:wsp>
                      <wps:wsp>
                        <wps:cNvPr id="1258" name="Textbox 1258"/>
                        <wps:cNvSpPr txBox="1"/>
                        <wps:spPr>
                          <a:xfrm>
                            <a:off x="1990307" y="4390924"/>
                            <a:ext cx="743585" cy="209550"/>
                          </a:xfrm>
                          <a:prstGeom prst="rect">
                            <a:avLst/>
                          </a:prstGeom>
                        </wps:spPr>
                        <wps:txbx>
                          <w:txbxContent>
                            <w:p>
                              <w:pPr>
                                <w:tabs>
                                  <w:tab w:pos="483" w:val="left" w:leader="none"/>
                                  <w:tab w:pos="1028" w:val="left" w:leader="none"/>
                                </w:tabs>
                                <w:spacing w:line="199" w:lineRule="auto" w:before="36"/>
                                <w:ind w:left="186" w:right="38" w:hanging="167"/>
                                <w:jc w:val="left"/>
                                <w:rPr>
                                  <w:rFonts w:ascii="Arial" w:hAnsi="Arial"/>
                                  <w:sz w:val="14"/>
                                </w:rPr>
                              </w:pPr>
                              <w:r>
                                <w:rPr>
                                  <w:rFonts w:ascii="Times New Roman" w:hAnsi="Times New Roman"/>
                                  <w:color w:val="EBEDE6"/>
                                  <w:spacing w:val="-10"/>
                                  <w:w w:val="105"/>
                                  <w:sz w:val="14"/>
                                  <w:shd w:fill="262D3A" w:color="auto" w:val="clear"/>
                                </w:rPr>
                                <w:t>p</w:t>
                              </w:r>
                              <w:r>
                                <w:rPr>
                                  <w:rFonts w:ascii="Times New Roman" w:hAnsi="Times New Roman"/>
                                  <w:color w:val="EBEDE6"/>
                                  <w:sz w:val="14"/>
                                </w:rPr>
                                <w:tab/>
                                <w:tab/>
                              </w:r>
                              <w:r>
                                <w:rPr>
                                  <w:rFonts w:ascii="Times New Roman" w:hAnsi="Times New Roman"/>
                                  <w:color w:val="D4CFBD"/>
                                  <w:spacing w:val="-10"/>
                                  <w:sz w:val="14"/>
                                </w:rPr>
                                <w:t>,</w:t>
                              </w:r>
                              <w:r>
                                <w:rPr>
                                  <w:rFonts w:ascii="Times New Roman" w:hAnsi="Times New Roman"/>
                                  <w:color w:val="D4CFBD"/>
                                  <w:sz w:val="14"/>
                                </w:rPr>
                                <w:tab/>
                              </w:r>
                              <w:r>
                                <w:rPr>
                                  <w:rFonts w:ascii="Times New Roman" w:hAnsi="Times New Roman"/>
                                  <w:color w:val="DBDDD4"/>
                                  <w:spacing w:val="-6"/>
                                  <w:w w:val="105"/>
                                  <w:sz w:val="14"/>
                                  <w:shd w:fill="262D3A" w:color="auto" w:val="clear"/>
                                </w:rPr>
                                <w:t>a</w:t>
                              </w:r>
                              <w:r>
                                <w:rPr>
                                  <w:rFonts w:ascii="Times New Roman" w:hAnsi="Times New Roman"/>
                                  <w:color w:val="DBDDD4"/>
                                  <w:spacing w:val="-6"/>
                                  <w:w w:val="105"/>
                                  <w:sz w:val="14"/>
                                  <w:shd w:fill="262D3A" w:color="auto" w:val="clear"/>
                                </w:rPr>
                                <w:t>l</w:t>
                              </w:r>
                              <w:r>
                                <w:rPr>
                                  <w:rFonts w:ascii="Times New Roman" w:hAnsi="Times New Roman"/>
                                  <w:color w:val="DBDDD4"/>
                                  <w:spacing w:val="40"/>
                                  <w:w w:val="105"/>
                                  <w:sz w:val="14"/>
                                </w:rPr>
                                <w:t> </w:t>
                              </w:r>
                              <w:r>
                                <w:rPr>
                                  <w:rFonts w:ascii="Times New Roman" w:hAnsi="Times New Roman"/>
                                  <w:color w:val="EBEDE6"/>
                                  <w:w w:val="105"/>
                                  <w:sz w:val="14"/>
                                  <w:shd w:fill="262D3A" w:color="auto" w:val="clear"/>
                                </w:rPr>
                                <w:t>totec</w:t>
                              </w:r>
                              <w:r>
                                <w:rPr>
                                  <w:rFonts w:ascii="Arial" w:hAnsi="Arial"/>
                                  <w:color w:val="EBEDE6"/>
                                  <w:w w:val="105"/>
                                  <w:sz w:val="14"/>
                                  <w:shd w:fill="262D3A" w:color="auto" w:val="clear"/>
                                </w:rPr>
                                <w:t>□</w:t>
                              </w:r>
                              <w:r>
                                <w:rPr>
                                  <w:rFonts w:ascii="Times New Roman" w:hAnsi="Times New Roman"/>
                                  <w:color w:val="EBEDE6"/>
                                  <w:w w:val="105"/>
                                  <w:sz w:val="14"/>
                                  <w:shd w:fill="262D3A" w:color="auto" w:val="clear"/>
                                </w:rPr>
                                <w:t>on </w:t>
                              </w:r>
                              <w:r>
                                <w:rPr>
                                  <w:rFonts w:ascii="Times New Roman" w:hAnsi="Times New Roman"/>
                                  <w:color w:val="DBDDD4"/>
                                  <w:w w:val="130"/>
                                  <w:sz w:val="14"/>
                                  <w:shd w:fill="262D3A" w:color="auto" w:val="clear"/>
                                </w:rPr>
                                <w:t>o</w:t>
                              </w:r>
                              <w:r>
                                <w:rPr>
                                  <w:rFonts w:ascii="Arial" w:hAnsi="Arial"/>
                                  <w:color w:val="DBDDD4"/>
                                  <w:w w:val="130"/>
                                  <w:sz w:val="14"/>
                                  <w:shd w:fill="262D3A" w:color="auto" w:val="clear"/>
                                </w:rPr>
                                <w:t>□</w:t>
                              </w:r>
                            </w:p>
                          </w:txbxContent>
                        </wps:txbx>
                        <wps:bodyPr wrap="square" lIns="0" tIns="0" rIns="0" bIns="0" rtlCol="0">
                          <a:noAutofit/>
                        </wps:bodyPr>
                      </wps:wsp>
                      <wps:wsp>
                        <wps:cNvPr id="1259" name="Textbox 1259"/>
                        <wps:cNvSpPr txBox="1"/>
                        <wps:spPr>
                          <a:xfrm>
                            <a:off x="3392893" y="4476371"/>
                            <a:ext cx="429259" cy="124460"/>
                          </a:xfrm>
                          <a:prstGeom prst="rect">
                            <a:avLst/>
                          </a:prstGeom>
                        </wps:spPr>
                        <wps:txbx>
                          <w:txbxContent>
                            <w:p>
                              <w:pPr>
                                <w:spacing w:before="14"/>
                                <w:ind w:left="20" w:right="0" w:firstLine="0"/>
                                <w:jc w:val="left"/>
                                <w:rPr>
                                  <w:rFonts w:ascii="Times New Roman"/>
                                  <w:sz w:val="14"/>
                                </w:rPr>
                              </w:pPr>
                              <w:r>
                                <w:rPr>
                                  <w:rFonts w:ascii="Times New Roman"/>
                                  <w:color w:val="DBDDD4"/>
                                  <w:spacing w:val="-2"/>
                                  <w:w w:val="105"/>
                                  <w:sz w:val="14"/>
                                  <w:shd w:fill="262D3A" w:color="auto" w:val="clear"/>
                                </w:rPr>
                                <w:t>segmentos</w:t>
                              </w:r>
                            </w:p>
                          </w:txbxContent>
                        </wps:txbx>
                        <wps:bodyPr wrap="square" lIns="0" tIns="0" rIns="0" bIns="0" rtlCol="0">
                          <a:noAutofit/>
                        </wps:bodyPr>
                      </wps:wsp>
                      <wps:wsp>
                        <wps:cNvPr id="1260" name="Textbox 1260"/>
                        <wps:cNvSpPr txBox="1"/>
                        <wps:spPr>
                          <a:xfrm>
                            <a:off x="4617058" y="4476371"/>
                            <a:ext cx="433070" cy="124460"/>
                          </a:xfrm>
                          <a:prstGeom prst="rect">
                            <a:avLst/>
                          </a:prstGeom>
                        </wps:spPr>
                        <wps:txbx>
                          <w:txbxContent>
                            <w:p>
                              <w:pPr>
                                <w:spacing w:before="14"/>
                                <w:ind w:left="20" w:right="0" w:firstLine="0"/>
                                <w:jc w:val="left"/>
                                <w:rPr>
                                  <w:rFonts w:ascii="Times New Roman"/>
                                  <w:sz w:val="14"/>
                                </w:rPr>
                              </w:pPr>
                              <w:r>
                                <w:rPr>
                                  <w:rFonts w:ascii="Times New Roman"/>
                                  <w:color w:val="DBDDD4"/>
                                  <w:spacing w:val="-2"/>
                                  <w:w w:val="105"/>
                                  <w:sz w:val="14"/>
                                  <w:shd w:fill="262D3A" w:color="auto" w:val="clear"/>
                                </w:rPr>
                                <w:t>segmentos</w:t>
                              </w:r>
                            </w:p>
                          </w:txbxContent>
                        </wps:txbx>
                        <wps:bodyPr wrap="square" lIns="0" tIns="0" rIns="0" bIns="0" rtlCol="0">
                          <a:noAutofit/>
                        </wps:bodyPr>
                      </wps:wsp>
                      <wps:wsp>
                        <wps:cNvPr id="1261" name="Textbox 1261"/>
                        <wps:cNvSpPr txBox="1"/>
                        <wps:spPr>
                          <a:xfrm>
                            <a:off x="321324" y="4683886"/>
                            <a:ext cx="647065" cy="124460"/>
                          </a:xfrm>
                          <a:prstGeom prst="rect">
                            <a:avLst/>
                          </a:prstGeom>
                        </wps:spPr>
                        <wps:txbx>
                          <w:txbxContent>
                            <w:p>
                              <w:pPr>
                                <w:spacing w:before="14"/>
                                <w:ind w:left="20" w:right="0" w:firstLine="0"/>
                                <w:jc w:val="left"/>
                                <w:rPr>
                                  <w:rFonts w:ascii="Times New Roman"/>
                                  <w:b/>
                                  <w:sz w:val="14"/>
                                </w:rPr>
                              </w:pPr>
                              <w:r>
                                <w:rPr>
                                  <w:rFonts w:ascii="Times New Roman"/>
                                  <w:b/>
                                  <w:color w:val="EBEDE6"/>
                                  <w:spacing w:val="-2"/>
                                  <w:w w:val="105"/>
                                  <w:sz w:val="14"/>
                                  <w:shd w:fill="363F52" w:color="auto" w:val="clear"/>
                                </w:rPr>
                                <w:t>EJERCICIOS:</w:t>
                              </w:r>
                            </w:p>
                          </w:txbxContent>
                        </wps:txbx>
                        <wps:bodyPr wrap="square" lIns="0" tIns="0" rIns="0" bIns="0" rtlCol="0">
                          <a:noAutofit/>
                        </wps:bodyPr>
                      </wps:wsp>
                      <wps:wsp>
                        <wps:cNvPr id="1262" name="Textbox 1262"/>
                        <wps:cNvSpPr txBox="1"/>
                        <wps:spPr>
                          <a:xfrm>
                            <a:off x="1957659" y="4689552"/>
                            <a:ext cx="226695"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wps:txbx>
                        <wps:bodyPr wrap="square" lIns="0" tIns="0" rIns="0" bIns="0" rtlCol="0">
                          <a:noAutofit/>
                        </wps:bodyPr>
                      </wps:wsp>
                      <wps:wsp>
                        <wps:cNvPr id="1263" name="Textbox 1263"/>
                        <wps:cNvSpPr txBox="1"/>
                        <wps:spPr>
                          <a:xfrm>
                            <a:off x="2592638" y="4689552"/>
                            <a:ext cx="230504"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wps:txbx>
                        <wps:bodyPr wrap="square" lIns="0" tIns="0" rIns="0" bIns="0" rtlCol="0">
                          <a:noAutofit/>
                        </wps:bodyPr>
                      </wps:wsp>
                      <wps:wsp>
                        <wps:cNvPr id="1264" name="Textbox 1264"/>
                        <wps:cNvSpPr txBox="1"/>
                        <wps:spPr>
                          <a:xfrm>
                            <a:off x="3203194" y="4689552"/>
                            <a:ext cx="226695"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wps:txbx>
                        <wps:bodyPr wrap="square" lIns="0" tIns="0" rIns="0" bIns="0" rtlCol="0">
                          <a:noAutofit/>
                        </wps:bodyPr>
                      </wps:wsp>
                      <wps:wsp>
                        <wps:cNvPr id="1265" name="Textbox 1265"/>
                        <wps:cNvSpPr txBox="1"/>
                        <wps:spPr>
                          <a:xfrm>
                            <a:off x="3795433" y="4689552"/>
                            <a:ext cx="226695"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wps:txbx>
                        <wps:bodyPr wrap="square" lIns="0" tIns="0" rIns="0" bIns="0" rtlCol="0">
                          <a:noAutofit/>
                        </wps:bodyPr>
                      </wps:wsp>
                      <wps:wsp>
                        <wps:cNvPr id="1266" name="Textbox 1266"/>
                        <wps:cNvSpPr txBox="1"/>
                        <wps:spPr>
                          <a:xfrm>
                            <a:off x="4405989" y="4689552"/>
                            <a:ext cx="226695"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wps:txbx>
                        <wps:bodyPr wrap="square" lIns="0" tIns="0" rIns="0" bIns="0" rtlCol="0">
                          <a:noAutofit/>
                        </wps:bodyPr>
                      </wps:wsp>
                      <wps:wsp>
                        <wps:cNvPr id="1267" name="Textbox 1267"/>
                        <wps:cNvSpPr txBox="1"/>
                        <wps:spPr>
                          <a:xfrm>
                            <a:off x="5037916" y="4689552"/>
                            <a:ext cx="230504" cy="117475"/>
                          </a:xfrm>
                          <a:prstGeom prst="rect">
                            <a:avLst/>
                          </a:prstGeom>
                        </wps:spPr>
                        <wps:txbx>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wps:txbx>
                        <wps:bodyPr wrap="square" lIns="0" tIns="0" rIns="0" bIns="0" rtlCol="0">
                          <a:noAutofit/>
                        </wps:bodyPr>
                      </wps:wsp>
                      <wps:wsp>
                        <wps:cNvPr id="1268" name="Textbox 1268"/>
                        <wps:cNvSpPr txBox="1"/>
                        <wps:spPr>
                          <a:xfrm>
                            <a:off x="321261" y="5832070"/>
                            <a:ext cx="1877695" cy="104139"/>
                          </a:xfrm>
                          <a:prstGeom prst="rect">
                            <a:avLst/>
                          </a:prstGeom>
                        </wps:spPr>
                        <wps:txbx>
                          <w:txbxContent>
                            <w:p>
                              <w:pPr>
                                <w:spacing w:before="16"/>
                                <w:ind w:left="20" w:right="0" w:firstLine="0"/>
                                <w:jc w:val="left"/>
                                <w:rPr>
                                  <w:rFonts w:ascii="Arial" w:hAnsi="Arial"/>
                                  <w:i/>
                                  <w:sz w:val="11"/>
                                </w:rPr>
                              </w:pPr>
                              <w:r>
                                <w:rPr>
                                  <w:rFonts w:ascii="Arial" w:hAnsi="Arial"/>
                                  <w:i/>
                                  <w:color w:val="342B3B"/>
                                  <w:spacing w:val="-2"/>
                                  <w:sz w:val="11"/>
                                </w:rPr>
                                <w:t>Seg111e11tos</w:t>
                              </w:r>
                              <w:r>
                                <w:rPr>
                                  <w:rFonts w:ascii="Arial" w:hAnsi="Arial"/>
                                  <w:i/>
                                  <w:color w:val="342B3B"/>
                                  <w:spacing w:val="19"/>
                                  <w:w w:val="125"/>
                                  <w:sz w:val="11"/>
                                </w:rPr>
                                <w:t> </w:t>
                              </w:r>
                              <w:r>
                                <w:rPr>
                                  <w:rFonts w:ascii="Arial" w:hAnsi="Arial"/>
                                  <w:i/>
                                  <w:color w:val="6B6472"/>
                                  <w:spacing w:val="-2"/>
                                  <w:w w:val="125"/>
                                  <w:sz w:val="11"/>
                                </w:rPr>
                                <w:t>(")</w:t>
                              </w:r>
                              <w:r>
                                <w:rPr>
                                  <w:rFonts w:ascii="Arial" w:hAnsi="Arial"/>
                                  <w:i/>
                                  <w:color w:val="443F52"/>
                                  <w:spacing w:val="-2"/>
                                  <w:w w:val="125"/>
                                  <w:sz w:val="11"/>
                                </w:rPr>
                                <w:t>;</w:t>
                              </w:r>
                              <w:r>
                                <w:rPr>
                                  <w:rFonts w:ascii="Arial" w:hAnsi="Arial"/>
                                  <w:i/>
                                  <w:color w:val="443F52"/>
                                  <w:spacing w:val="-1"/>
                                  <w:w w:val="125"/>
                                  <w:sz w:val="11"/>
                                </w:rPr>
                                <w:t> </w:t>
                              </w:r>
                              <w:r>
                                <w:rPr>
                                  <w:rFonts w:ascii="Arial" w:hAnsi="Arial"/>
                                  <w:i/>
                                  <w:color w:val="443F52"/>
                                  <w:spacing w:val="-2"/>
                                  <w:w w:val="110"/>
                                  <w:sz w:val="11"/>
                                </w:rPr>
                                <w:t>Clasiíirndor</w:t>
                              </w:r>
                              <w:r>
                                <w:rPr>
                                  <w:rFonts w:ascii="Arial" w:hAnsi="Arial"/>
                                  <w:i/>
                                  <w:color w:val="443F52"/>
                                  <w:spacing w:val="8"/>
                                  <w:w w:val="110"/>
                                  <w:sz w:val="11"/>
                                </w:rPr>
                                <w:t> </w:t>
                              </w:r>
                              <w:r>
                                <w:rPr>
                                  <w:rFonts w:ascii="Arial" w:hAnsi="Arial"/>
                                  <w:i/>
                                  <w:color w:val="1D1C2B"/>
                                  <w:spacing w:val="-2"/>
                                  <w:sz w:val="11"/>
                                </w:rPr>
                                <w:t>Fi.u1ciomú</w:t>
                              </w:r>
                              <w:r>
                                <w:rPr>
                                  <w:rFonts w:ascii="Arial" w:hAnsi="Arial"/>
                                  <w:i/>
                                  <w:color w:val="1D1C2B"/>
                                  <w:spacing w:val="11"/>
                                  <w:sz w:val="11"/>
                                </w:rPr>
                                <w:t> </w:t>
                              </w:r>
                              <w:r>
                                <w:rPr>
                                  <w:rFonts w:ascii="Arial" w:hAnsi="Arial"/>
                                  <w:i/>
                                  <w:color w:val="443F52"/>
                                  <w:spacing w:val="-2"/>
                                  <w:w w:val="95"/>
                                  <w:sz w:val="11"/>
                                </w:rPr>
                                <w:t>Costa11'ice11</w:t>
                              </w:r>
                              <w:r>
                                <w:rPr>
                                  <w:rFonts w:ascii="Arial" w:hAnsi="Arial"/>
                                  <w:i/>
                                  <w:color w:val="1D1C2B"/>
                                  <w:spacing w:val="-2"/>
                                  <w:w w:val="95"/>
                                  <w:sz w:val="11"/>
                                </w:rPr>
                                <w:t>se</w:t>
                              </w:r>
                            </w:p>
                          </w:txbxContent>
                        </wps:txbx>
                        <wps:bodyPr wrap="square" lIns="0" tIns="0" rIns="0" bIns="0" rtlCol="0">
                          <a:noAutofit/>
                        </wps:bodyPr>
                      </wps:wsp>
                      <wps:wsp>
                        <wps:cNvPr id="1269" name="Textbox 1269"/>
                        <wps:cNvSpPr txBox="1"/>
                        <wps:spPr>
                          <a:xfrm>
                            <a:off x="4276706" y="4390409"/>
                            <a:ext cx="1102995" cy="120014"/>
                          </a:xfrm>
                          <a:prstGeom prst="rect">
                            <a:avLst/>
                          </a:prstGeom>
                          <a:solidFill>
                            <a:srgbClr val="262D3A"/>
                          </a:solidFill>
                        </wps:spPr>
                        <wps:txbx>
                          <w:txbxContent>
                            <w:p>
                              <w:pPr>
                                <w:spacing w:before="15"/>
                                <w:ind w:left="-1" w:right="-15" w:firstLine="0"/>
                                <w:jc w:val="left"/>
                                <w:rPr>
                                  <w:rFonts w:ascii="Times New Roman"/>
                                  <w:color w:val="000000"/>
                                  <w:sz w:val="14"/>
                                </w:rPr>
                              </w:pPr>
                              <w:r>
                                <w:rPr>
                                  <w:rFonts w:ascii="Times New Roman"/>
                                  <w:color w:val="DBDDD4"/>
                                  <w:w w:val="105"/>
                                  <w:sz w:val="14"/>
                                </w:rPr>
                                <w:t>Conceptos</w:t>
                              </w:r>
                              <w:r>
                                <w:rPr>
                                  <w:rFonts w:ascii="Times New Roman"/>
                                  <w:color w:val="DBDDD4"/>
                                  <w:spacing w:val="7"/>
                                  <w:w w:val="105"/>
                                  <w:sz w:val="14"/>
                                </w:rPr>
                                <w:t> </w:t>
                              </w:r>
                              <w:r>
                                <w:rPr>
                                  <w:rFonts w:ascii="Times New Roman"/>
                                  <w:color w:val="EBEDE6"/>
                                  <w:w w:val="105"/>
                                  <w:sz w:val="14"/>
                                </w:rPr>
                                <w:t>no</w:t>
                              </w:r>
                              <w:r>
                                <w:rPr>
                                  <w:rFonts w:ascii="Times New Roman"/>
                                  <w:color w:val="EBEDE6"/>
                                  <w:spacing w:val="-2"/>
                                  <w:w w:val="105"/>
                                  <w:sz w:val="14"/>
                                </w:rPr>
                                <w:t> </w:t>
                              </w:r>
                              <w:r>
                                <w:rPr>
                                  <w:rFonts w:ascii="Times New Roman"/>
                                  <w:color w:val="DBDDD4"/>
                                  <w:w w:val="105"/>
                                  <w:sz w:val="14"/>
                                </w:rPr>
                                <w:t>asignados</w:t>
                              </w:r>
                              <w:r>
                                <w:rPr>
                                  <w:rFonts w:ascii="Times New Roman"/>
                                  <w:color w:val="DBDDD4"/>
                                  <w:spacing w:val="-5"/>
                                  <w:w w:val="105"/>
                                  <w:sz w:val="14"/>
                                </w:rPr>
                                <w:t> </w:t>
                              </w:r>
                              <w:r>
                                <w:rPr>
                                  <w:rFonts w:ascii="Times New Roman"/>
                                  <w:color w:val="DBDDD4"/>
                                  <w:w w:val="105"/>
                                  <w:sz w:val="14"/>
                                </w:rPr>
                                <w:t>a</w:t>
                              </w:r>
                              <w:r>
                                <w:rPr>
                                  <w:rFonts w:ascii="Times New Roman"/>
                                  <w:color w:val="DBDDD4"/>
                                  <w:spacing w:val="-6"/>
                                  <w:w w:val="105"/>
                                  <w:sz w:val="14"/>
                                </w:rPr>
                                <w:t> </w:t>
                              </w:r>
                              <w:r>
                                <w:rPr>
                                  <w:rFonts w:ascii="Times New Roman"/>
                                  <w:color w:val="DBDDD4"/>
                                  <w:spacing w:val="-5"/>
                                  <w:w w:val="105"/>
                                  <w:sz w:val="14"/>
                                </w:rPr>
                                <w:t>los</w:t>
                              </w:r>
                            </w:p>
                          </w:txbxContent>
                        </wps:txbx>
                        <wps:bodyPr wrap="square" lIns="0" tIns="0" rIns="0" bIns="0" rtlCol="0">
                          <a:noAutofit/>
                        </wps:bodyPr>
                      </wps:wsp>
                      <wps:wsp>
                        <wps:cNvPr id="1270" name="Textbox 1270"/>
                        <wps:cNvSpPr txBox="1"/>
                        <wps:spPr>
                          <a:xfrm>
                            <a:off x="3049487" y="4390409"/>
                            <a:ext cx="1102995" cy="120014"/>
                          </a:xfrm>
                          <a:prstGeom prst="rect">
                            <a:avLst/>
                          </a:prstGeom>
                          <a:solidFill>
                            <a:srgbClr val="262D3A"/>
                          </a:solidFill>
                        </wps:spPr>
                        <wps:txbx>
                          <w:txbxContent>
                            <w:p>
                              <w:pPr>
                                <w:spacing w:before="15"/>
                                <w:ind w:left="-1" w:right="-15" w:firstLine="0"/>
                                <w:jc w:val="left"/>
                                <w:rPr>
                                  <w:rFonts w:ascii="Times New Roman"/>
                                  <w:color w:val="000000"/>
                                  <w:sz w:val="14"/>
                                </w:rPr>
                              </w:pPr>
                              <w:r>
                                <w:rPr>
                                  <w:rFonts w:ascii="Times New Roman"/>
                                  <w:color w:val="EBEDE6"/>
                                  <w:w w:val="105"/>
                                  <w:sz w:val="14"/>
                                </w:rPr>
                                <w:t>Conceptos</w:t>
                              </w:r>
                              <w:r>
                                <w:rPr>
                                  <w:rFonts w:ascii="Times New Roman"/>
                                  <w:color w:val="EBEDE6"/>
                                  <w:spacing w:val="2"/>
                                  <w:w w:val="105"/>
                                  <w:sz w:val="14"/>
                                </w:rPr>
                                <w:t> </w:t>
                              </w:r>
                              <w:r>
                                <w:rPr>
                                  <w:rFonts w:ascii="Times New Roman"/>
                                  <w:color w:val="EBEDE6"/>
                                  <w:w w:val="105"/>
                                  <w:sz w:val="14"/>
                                </w:rPr>
                                <w:t>no</w:t>
                              </w:r>
                              <w:r>
                                <w:rPr>
                                  <w:rFonts w:ascii="Times New Roman"/>
                                  <w:color w:val="EBEDE6"/>
                                  <w:spacing w:val="2"/>
                                  <w:w w:val="105"/>
                                  <w:sz w:val="14"/>
                                </w:rPr>
                                <w:t> </w:t>
                              </w:r>
                              <w:r>
                                <w:rPr>
                                  <w:rFonts w:ascii="Times New Roman"/>
                                  <w:color w:val="DBDDD4"/>
                                  <w:w w:val="105"/>
                                  <w:sz w:val="14"/>
                                </w:rPr>
                                <w:t>asignados</w:t>
                              </w:r>
                              <w:r>
                                <w:rPr>
                                  <w:rFonts w:ascii="Times New Roman"/>
                                  <w:color w:val="DBDDD4"/>
                                  <w:spacing w:val="-5"/>
                                  <w:w w:val="105"/>
                                  <w:sz w:val="14"/>
                                </w:rPr>
                                <w:t> </w:t>
                              </w:r>
                              <w:r>
                                <w:rPr>
                                  <w:rFonts w:ascii="Times New Roman"/>
                                  <w:color w:val="DBDDD4"/>
                                  <w:w w:val="105"/>
                                  <w:sz w:val="14"/>
                                </w:rPr>
                                <w:t>a </w:t>
                              </w:r>
                              <w:r>
                                <w:rPr>
                                  <w:rFonts w:ascii="Times New Roman"/>
                                  <w:color w:val="DBDDD4"/>
                                  <w:spacing w:val="-5"/>
                                  <w:w w:val="105"/>
                                  <w:sz w:val="14"/>
                                </w:rPr>
                                <w:t>los</w:t>
                              </w:r>
                            </w:p>
                          </w:txbxContent>
                        </wps:txbx>
                        <wps:bodyPr wrap="square" lIns="0" tIns="0" rIns="0" bIns="0" rtlCol="0">
                          <a:noAutofit/>
                        </wps:bodyPr>
                      </wps:wsp>
                    </wpg:wgp>
                  </a:graphicData>
                </a:graphic>
              </wp:anchor>
            </w:drawing>
          </mc:Choice>
          <mc:Fallback>
            <w:pict>
              <v:group style="position:absolute;margin-left:84.612549pt;margin-top:20.710661pt;width:451.95pt;height:479.9pt;mso-position-horizontal-relative:page;mso-position-vertical-relative:paragraph;z-index:-29536768" id="docshapegroup1194" coordorigin="1692,414" coordsize="9039,9598">
                <v:shape style="position:absolute;left:1701;top:419;width:9010;height:9593" id="docshape1195" coordorigin="1702,419" coordsize="9010,9593" path="m1702,10011l1702,419m10711,10011l10711,419e" filled="false" stroked="true" strokeweight=".721001pt" strokecolor="#000000">
                  <v:path arrowok="t"/>
                  <v:stroke dashstyle="solid"/>
                </v:shape>
                <v:shape style="position:absolute;left:1692;top:419;width:9039;height:9578" id="docshape1196" coordorigin="1692,419" coordsize="9039,9578" path="m1692,419l10730,419m1692,9997l10730,9997e" filled="false" stroked="true" strokeweight=".480667pt" strokecolor="#000000">
                  <v:path arrowok="t"/>
                  <v:stroke dashstyle="solid"/>
                </v:shape>
                <v:shape style="position:absolute;left:3636;top:7328;width:2035;height:280" id="docshape1197" coordorigin="3637,7328" coordsize="2035,280" path="m3665,7328l3637,7328,3637,7517,3665,7517,3665,7328xm5329,7328l5310,7328,5310,7517,5329,7517,5329,7328xm5671,7420l5604,7420,5604,7608,5671,7608,5671,7420xe" filled="true" fillcolor="#262d3a" stroked="false">
                  <v:path arrowok="t"/>
                  <v:fill type="solid"/>
                </v:shape>
                <v:shape style="position:absolute;left:3857;top:741;width:4777;height:816" type="#_x0000_t202" id="docshape1198" filled="false" stroked="false">
                  <v:textbox inset="0,0,0,0">
                    <w:txbxContent>
                      <w:p>
                        <w:pPr>
                          <w:spacing w:line="166" w:lineRule="exact" w:before="0"/>
                          <w:ind w:left="0" w:right="1" w:firstLine="0"/>
                          <w:jc w:val="center"/>
                          <w:rPr>
                            <w:rFonts w:ascii="Times New Roman"/>
                            <w:sz w:val="15"/>
                          </w:rPr>
                        </w:pPr>
                        <w:r>
                          <w:rPr>
                            <w:rFonts w:ascii="Times New Roman"/>
                            <w:color w:val="1D1C2B"/>
                            <w:w w:val="115"/>
                            <w:sz w:val="15"/>
                          </w:rPr>
                          <w:t>INSTITUTO</w:t>
                        </w:r>
                        <w:r>
                          <w:rPr>
                            <w:rFonts w:ascii="Times New Roman"/>
                            <w:color w:val="1D1C2B"/>
                            <w:spacing w:val="8"/>
                            <w:w w:val="115"/>
                            <w:sz w:val="15"/>
                          </w:rPr>
                          <w:t> </w:t>
                        </w:r>
                        <w:r>
                          <w:rPr>
                            <w:rFonts w:ascii="Times New Roman"/>
                            <w:color w:val="342B3B"/>
                            <w:w w:val="115"/>
                            <w:sz w:val="15"/>
                          </w:rPr>
                          <w:t>MIXTO</w:t>
                        </w:r>
                        <w:r>
                          <w:rPr>
                            <w:rFonts w:ascii="Times New Roman"/>
                            <w:color w:val="342B3B"/>
                            <w:spacing w:val="9"/>
                            <w:w w:val="115"/>
                            <w:sz w:val="15"/>
                          </w:rPr>
                          <w:t> </w:t>
                        </w:r>
                        <w:r>
                          <w:rPr>
                            <w:rFonts w:ascii="Times New Roman"/>
                            <w:color w:val="1D1C2B"/>
                            <w:w w:val="115"/>
                            <w:sz w:val="15"/>
                          </w:rPr>
                          <w:t>DE</w:t>
                        </w:r>
                        <w:r>
                          <w:rPr>
                            <w:rFonts w:ascii="Times New Roman"/>
                            <w:color w:val="1D1C2B"/>
                            <w:spacing w:val="-7"/>
                            <w:w w:val="115"/>
                            <w:sz w:val="15"/>
                          </w:rPr>
                          <w:t> </w:t>
                        </w:r>
                        <w:r>
                          <w:rPr>
                            <w:rFonts w:ascii="Times New Roman"/>
                            <w:color w:val="1D1C2B"/>
                            <w:w w:val="115"/>
                            <w:sz w:val="15"/>
                          </w:rPr>
                          <w:t>AYUDA</w:t>
                        </w:r>
                        <w:r>
                          <w:rPr>
                            <w:rFonts w:ascii="Times New Roman"/>
                            <w:color w:val="1D1C2B"/>
                            <w:spacing w:val="-1"/>
                            <w:w w:val="115"/>
                            <w:sz w:val="15"/>
                          </w:rPr>
                          <w:t> </w:t>
                        </w:r>
                        <w:r>
                          <w:rPr>
                            <w:rFonts w:ascii="Times New Roman"/>
                            <w:color w:val="342B3B"/>
                            <w:spacing w:val="-2"/>
                            <w:w w:val="115"/>
                            <w:sz w:val="15"/>
                          </w:rPr>
                          <w:t>SOCIAL</w:t>
                        </w:r>
                      </w:p>
                      <w:p>
                        <w:pPr>
                          <w:spacing w:before="39"/>
                          <w:ind w:left="0" w:right="18" w:firstLine="0"/>
                          <w:jc w:val="center"/>
                          <w:rPr>
                            <w:rFonts w:ascii="Times New Roman" w:hAnsi="Times New Roman"/>
                            <w:sz w:val="15"/>
                          </w:rPr>
                        </w:pPr>
                        <w:r>
                          <w:rPr>
                            <w:rFonts w:ascii="Times New Roman" w:hAnsi="Times New Roman"/>
                            <w:color w:val="1D1C2B"/>
                            <w:spacing w:val="-2"/>
                            <w:w w:val="115"/>
                            <w:sz w:val="15"/>
                          </w:rPr>
                          <w:t>ESTADO</w:t>
                        </w:r>
                        <w:r>
                          <w:rPr>
                            <w:rFonts w:ascii="Times New Roman" w:hAnsi="Times New Roman"/>
                            <w:color w:val="1D1C2B"/>
                            <w:spacing w:val="10"/>
                            <w:w w:val="115"/>
                            <w:sz w:val="15"/>
                          </w:rPr>
                          <w:t> </w:t>
                        </w:r>
                        <w:r>
                          <w:rPr>
                            <w:rFonts w:ascii="Times New Roman" w:hAnsi="Times New Roman"/>
                            <w:color w:val="1D1C2B"/>
                            <w:spacing w:val="-2"/>
                            <w:w w:val="115"/>
                            <w:sz w:val="15"/>
                          </w:rPr>
                          <w:t>DE</w:t>
                        </w:r>
                        <w:r>
                          <w:rPr>
                            <w:rFonts w:ascii="Times New Roman" w:hAnsi="Times New Roman"/>
                            <w:color w:val="1D1C2B"/>
                            <w:spacing w:val="-4"/>
                            <w:w w:val="115"/>
                            <w:sz w:val="15"/>
                          </w:rPr>
                          <w:t> </w:t>
                        </w:r>
                        <w:r>
                          <w:rPr>
                            <w:rFonts w:ascii="Times New Roman" w:hAnsi="Times New Roman"/>
                            <w:color w:val="1D1C2B"/>
                            <w:spacing w:val="-2"/>
                            <w:w w:val="115"/>
                            <w:sz w:val="15"/>
                          </w:rPr>
                          <w:t>INFORMACIÓN</w:t>
                        </w:r>
                        <w:r>
                          <w:rPr>
                            <w:rFonts w:ascii="Times New Roman" w:hAnsi="Times New Roman"/>
                            <w:color w:val="1D1C2B"/>
                            <w:spacing w:val="17"/>
                            <w:w w:val="115"/>
                            <w:sz w:val="15"/>
                          </w:rPr>
                          <w:t> </w:t>
                        </w:r>
                        <w:r>
                          <w:rPr>
                            <w:rFonts w:ascii="Times New Roman" w:hAnsi="Times New Roman"/>
                            <w:color w:val="1D1C2B"/>
                            <w:spacing w:val="-2"/>
                            <w:w w:val="115"/>
                            <w:sz w:val="15"/>
                          </w:rPr>
                          <w:t>FINANCIERA</w:t>
                        </w:r>
                        <w:r>
                          <w:rPr>
                            <w:rFonts w:ascii="Times New Roman" w:hAnsi="Times New Roman"/>
                            <w:color w:val="1D1C2B"/>
                            <w:spacing w:val="-1"/>
                            <w:w w:val="115"/>
                            <w:sz w:val="15"/>
                          </w:rPr>
                          <w:t> </w:t>
                        </w:r>
                        <w:r>
                          <w:rPr>
                            <w:rFonts w:ascii="Times New Roman" w:hAnsi="Times New Roman"/>
                            <w:color w:val="1D1C2B"/>
                            <w:spacing w:val="-2"/>
                            <w:w w:val="115"/>
                            <w:sz w:val="15"/>
                          </w:rPr>
                          <w:t>POR</w:t>
                        </w:r>
                        <w:r>
                          <w:rPr>
                            <w:rFonts w:ascii="Times New Roman" w:hAnsi="Times New Roman"/>
                            <w:color w:val="1D1C2B"/>
                            <w:spacing w:val="13"/>
                            <w:w w:val="115"/>
                            <w:sz w:val="15"/>
                          </w:rPr>
                          <w:t> </w:t>
                        </w:r>
                        <w:r>
                          <w:rPr>
                            <w:rFonts w:ascii="Times New Roman" w:hAnsi="Times New Roman"/>
                            <w:color w:val="1D1C2B"/>
                            <w:spacing w:val="-2"/>
                            <w:w w:val="115"/>
                            <w:sz w:val="15"/>
                          </w:rPr>
                          <w:t>SEGMENTOS</w:t>
                        </w:r>
                      </w:p>
                      <w:p>
                        <w:pPr>
                          <w:spacing w:before="38"/>
                          <w:ind w:left="1173" w:right="0" w:firstLine="0"/>
                          <w:jc w:val="left"/>
                          <w:rPr>
                            <w:rFonts w:ascii="Times New Roman"/>
                            <w:sz w:val="15"/>
                          </w:rPr>
                        </w:pPr>
                        <w:r>
                          <w:rPr>
                            <w:rFonts w:ascii="Times New Roman"/>
                            <w:color w:val="1D1C2B"/>
                            <w:w w:val="110"/>
                            <w:sz w:val="15"/>
                          </w:rPr>
                          <w:t>Del</w:t>
                        </w:r>
                        <w:r>
                          <w:rPr>
                            <w:rFonts w:ascii="Times New Roman"/>
                            <w:color w:val="1D1C2B"/>
                            <w:spacing w:val="3"/>
                            <w:w w:val="110"/>
                            <w:sz w:val="15"/>
                          </w:rPr>
                          <w:t> </w:t>
                        </w:r>
                        <w:r>
                          <w:rPr>
                            <w:rFonts w:ascii="Times New Roman"/>
                            <w:color w:val="342B3B"/>
                            <w:w w:val="110"/>
                            <w:sz w:val="15"/>
                          </w:rPr>
                          <w:t>01</w:t>
                        </w:r>
                        <w:r>
                          <w:rPr>
                            <w:rFonts w:ascii="Times New Roman"/>
                            <w:color w:val="342B3B"/>
                            <w:spacing w:val="2"/>
                            <w:w w:val="110"/>
                            <w:sz w:val="15"/>
                          </w:rPr>
                          <w:t> </w:t>
                        </w:r>
                        <w:r>
                          <w:rPr>
                            <w:rFonts w:ascii="Times New Roman"/>
                            <w:color w:val="1D1C2B"/>
                            <w:w w:val="110"/>
                            <w:sz w:val="15"/>
                          </w:rPr>
                          <w:t>d</w:t>
                        </w:r>
                        <w:r>
                          <w:rPr>
                            <w:rFonts w:ascii="Times New Roman"/>
                            <w:color w:val="443F52"/>
                            <w:w w:val="110"/>
                            <w:sz w:val="15"/>
                          </w:rPr>
                          <w:t>e</w:t>
                        </w:r>
                        <w:r>
                          <w:rPr>
                            <w:rFonts w:ascii="Times New Roman"/>
                            <w:color w:val="443F52"/>
                            <w:spacing w:val="13"/>
                            <w:w w:val="110"/>
                            <w:sz w:val="15"/>
                          </w:rPr>
                          <w:t> </w:t>
                        </w:r>
                        <w:r>
                          <w:rPr>
                            <w:rFonts w:ascii="Times New Roman"/>
                            <w:color w:val="1D1C2B"/>
                            <w:w w:val="110"/>
                            <w:sz w:val="15"/>
                          </w:rPr>
                          <w:t>En</w:t>
                        </w:r>
                        <w:r>
                          <w:rPr>
                            <w:rFonts w:ascii="Times New Roman"/>
                            <w:color w:val="443F52"/>
                            <w:w w:val="110"/>
                            <w:sz w:val="15"/>
                          </w:rPr>
                          <w:t>ero</w:t>
                        </w:r>
                        <w:r>
                          <w:rPr>
                            <w:rFonts w:ascii="Times New Roman"/>
                            <w:color w:val="443F52"/>
                            <w:spacing w:val="28"/>
                            <w:w w:val="110"/>
                            <w:sz w:val="15"/>
                          </w:rPr>
                          <w:t> </w:t>
                        </w:r>
                        <w:r>
                          <w:rPr>
                            <w:rFonts w:ascii="Arial"/>
                            <w:color w:val="342B3B"/>
                            <w:w w:val="110"/>
                            <w:sz w:val="15"/>
                          </w:rPr>
                          <w:t>al</w:t>
                        </w:r>
                        <w:r>
                          <w:rPr>
                            <w:rFonts w:ascii="Arial"/>
                            <w:color w:val="342B3B"/>
                            <w:spacing w:val="-13"/>
                            <w:w w:val="110"/>
                            <w:sz w:val="15"/>
                          </w:rPr>
                          <w:t> </w:t>
                        </w:r>
                        <w:r>
                          <w:rPr>
                            <w:rFonts w:ascii="Times New Roman"/>
                            <w:color w:val="342B3B"/>
                            <w:w w:val="110"/>
                            <w:sz w:val="15"/>
                          </w:rPr>
                          <w:t>3</w:t>
                        </w:r>
                        <w:r>
                          <w:rPr>
                            <w:rFonts w:ascii="Times New Roman"/>
                            <w:color w:val="0E0C36"/>
                            <w:w w:val="110"/>
                            <w:sz w:val="15"/>
                          </w:rPr>
                          <w:t>1</w:t>
                        </w:r>
                        <w:r>
                          <w:rPr>
                            <w:rFonts w:ascii="Times New Roman"/>
                            <w:color w:val="0E0C36"/>
                            <w:spacing w:val="-2"/>
                            <w:w w:val="110"/>
                            <w:sz w:val="15"/>
                          </w:rPr>
                          <w:t> </w:t>
                        </w:r>
                        <w:r>
                          <w:rPr>
                            <w:rFonts w:ascii="Times New Roman"/>
                            <w:color w:val="342B3B"/>
                            <w:w w:val="110"/>
                            <w:sz w:val="15"/>
                          </w:rPr>
                          <w:t>de</w:t>
                        </w:r>
                        <w:r>
                          <w:rPr>
                            <w:rFonts w:ascii="Times New Roman"/>
                            <w:color w:val="342B3B"/>
                            <w:spacing w:val="-17"/>
                            <w:w w:val="110"/>
                            <w:sz w:val="15"/>
                          </w:rPr>
                          <w:t> </w:t>
                        </w:r>
                        <w:r>
                          <w:rPr>
                            <w:rFonts w:ascii="Times New Roman"/>
                            <w:color w:val="1D1C2B"/>
                            <w:w w:val="110"/>
                            <w:sz w:val="15"/>
                          </w:rPr>
                          <w:t>Julio</w:t>
                        </w:r>
                        <w:r>
                          <w:rPr>
                            <w:rFonts w:ascii="Times New Roman"/>
                            <w:color w:val="1D1C2B"/>
                            <w:spacing w:val="5"/>
                            <w:w w:val="110"/>
                            <w:sz w:val="15"/>
                          </w:rPr>
                          <w:t> </w:t>
                        </w:r>
                        <w:r>
                          <w:rPr>
                            <w:rFonts w:ascii="Times New Roman"/>
                            <w:color w:val="342B3B"/>
                            <w:spacing w:val="-4"/>
                            <w:w w:val="110"/>
                            <w:sz w:val="15"/>
                          </w:rPr>
                          <w:t>2026</w:t>
                        </w:r>
                      </w:p>
                      <w:p>
                        <w:pPr>
                          <w:spacing w:before="53"/>
                          <w:ind w:left="1766" w:right="0" w:firstLine="0"/>
                          <w:jc w:val="left"/>
                          <w:rPr>
                            <w:rFonts w:ascii="Times New Roman"/>
                            <w:i/>
                            <w:sz w:val="14"/>
                          </w:rPr>
                        </w:pPr>
                        <w:r>
                          <w:rPr>
                            <w:rFonts w:ascii="Times New Roman"/>
                            <w:i/>
                            <w:color w:val="342B3B"/>
                            <w:w w:val="105"/>
                            <w:sz w:val="15"/>
                          </w:rPr>
                          <w:t>F.n</w:t>
                        </w:r>
                        <w:r>
                          <w:rPr>
                            <w:rFonts w:ascii="Times New Roman"/>
                            <w:i/>
                            <w:color w:val="342B3B"/>
                            <w:spacing w:val="-14"/>
                            <w:w w:val="105"/>
                            <w:sz w:val="15"/>
                          </w:rPr>
                          <w:t> </w:t>
                        </w:r>
                        <w:r>
                          <w:rPr>
                            <w:rFonts w:ascii="Times New Roman"/>
                            <w:i/>
                            <w:color w:val="1D1C2B"/>
                            <w:w w:val="105"/>
                            <w:sz w:val="14"/>
                          </w:rPr>
                          <w:t>miles</w:t>
                        </w:r>
                        <w:r>
                          <w:rPr>
                            <w:rFonts w:ascii="Times New Roman"/>
                            <w:i/>
                            <w:color w:val="1D1C2B"/>
                            <w:spacing w:val="-10"/>
                            <w:w w:val="105"/>
                            <w:sz w:val="14"/>
                          </w:rPr>
                          <w:t> </w:t>
                        </w:r>
                        <w:r>
                          <w:rPr>
                            <w:rFonts w:ascii="Times New Roman"/>
                            <w:i/>
                            <w:color w:val="342B3B"/>
                            <w:w w:val="105"/>
                            <w:sz w:val="14"/>
                          </w:rPr>
                          <w:t>de</w:t>
                        </w:r>
                        <w:r>
                          <w:rPr>
                            <w:rFonts w:ascii="Times New Roman"/>
                            <w:i/>
                            <w:color w:val="342B3B"/>
                            <w:spacing w:val="2"/>
                            <w:w w:val="105"/>
                            <w:sz w:val="14"/>
                          </w:rPr>
                          <w:t> </w:t>
                        </w:r>
                        <w:r>
                          <w:rPr>
                            <w:rFonts w:ascii="Times New Roman"/>
                            <w:i/>
                            <w:color w:val="342B3B"/>
                            <w:spacing w:val="-2"/>
                            <w:w w:val="105"/>
                            <w:sz w:val="14"/>
                          </w:rPr>
                          <w:t>colones</w:t>
                        </w:r>
                      </w:p>
                    </w:txbxContent>
                  </v:textbox>
                  <w10:wrap type="none"/>
                </v:shape>
                <v:shape style="position:absolute;left:2198;top:6417;width:3707;height:641" type="#_x0000_t202" id="docshape1199" filled="false" stroked="false">
                  <v:textbox inset="0,0,0,0">
                    <w:txbxContent>
                      <w:p>
                        <w:pPr>
                          <w:spacing w:before="16"/>
                          <w:ind w:left="20" w:right="0" w:firstLine="0"/>
                          <w:jc w:val="left"/>
                          <w:rPr>
                            <w:rFonts w:ascii="Arial" w:hAnsi="Arial"/>
                            <w:i/>
                            <w:sz w:val="11"/>
                          </w:rPr>
                        </w:pPr>
                        <w:r>
                          <w:rPr>
                            <w:rFonts w:ascii="Arial" w:hAnsi="Arial"/>
                            <w:i/>
                            <w:color w:val="342B3B"/>
                            <w:sz w:val="11"/>
                          </w:rPr>
                          <w:t>Seg111e11tos</w:t>
                        </w:r>
                        <w:r>
                          <w:rPr>
                            <w:rFonts w:ascii="Arial" w:hAnsi="Arial"/>
                            <w:i/>
                            <w:color w:val="342B3B"/>
                            <w:spacing w:val="1"/>
                            <w:w w:val="110"/>
                            <w:sz w:val="11"/>
                          </w:rPr>
                          <w:t> </w:t>
                        </w:r>
                        <w:r>
                          <w:rPr>
                            <w:rFonts w:ascii="Arial" w:hAnsi="Arial"/>
                            <w:i/>
                            <w:color w:val="6B6472"/>
                            <w:w w:val="110"/>
                            <w:sz w:val="11"/>
                          </w:rPr>
                          <w:t>(")</w:t>
                        </w:r>
                        <w:r>
                          <w:rPr>
                            <w:rFonts w:ascii="Arial" w:hAnsi="Arial"/>
                            <w:i/>
                            <w:color w:val="443F52"/>
                            <w:w w:val="110"/>
                            <w:sz w:val="11"/>
                          </w:rPr>
                          <w:t>;</w:t>
                        </w:r>
                        <w:r>
                          <w:rPr>
                            <w:rFonts w:ascii="Arial" w:hAnsi="Arial"/>
                            <w:i/>
                            <w:color w:val="443F52"/>
                            <w:spacing w:val="-8"/>
                            <w:w w:val="110"/>
                            <w:sz w:val="11"/>
                          </w:rPr>
                          <w:t> </w:t>
                        </w:r>
                        <w:r>
                          <w:rPr>
                            <w:rFonts w:ascii="Arial" w:hAnsi="Arial"/>
                            <w:i/>
                            <w:color w:val="443F52"/>
                            <w:sz w:val="12"/>
                          </w:rPr>
                          <w:t>Clasiíirndor</w:t>
                        </w:r>
                        <w:r>
                          <w:rPr>
                            <w:rFonts w:ascii="Arial" w:hAnsi="Arial"/>
                            <w:i/>
                            <w:color w:val="443F52"/>
                            <w:spacing w:val="-8"/>
                            <w:sz w:val="12"/>
                          </w:rPr>
                          <w:t> </w:t>
                        </w:r>
                        <w:r>
                          <w:rPr>
                            <w:rFonts w:ascii="Arial" w:hAnsi="Arial"/>
                            <w:i/>
                            <w:color w:val="1D1C2B"/>
                            <w:spacing w:val="-2"/>
                            <w:sz w:val="11"/>
                          </w:rPr>
                          <w:t>Fi.u1ciomú</w:t>
                        </w:r>
                      </w:p>
                      <w:p>
                        <w:pPr>
                          <w:spacing w:line="240" w:lineRule="auto" w:before="0"/>
                          <w:rPr>
                            <w:rFonts w:ascii="Arial"/>
                            <w:i/>
                            <w:sz w:val="11"/>
                          </w:rPr>
                        </w:pPr>
                      </w:p>
                      <w:p>
                        <w:pPr>
                          <w:spacing w:line="240" w:lineRule="auto" w:before="52"/>
                          <w:rPr>
                            <w:rFonts w:ascii="Arial"/>
                            <w:i/>
                            <w:sz w:val="11"/>
                          </w:rPr>
                        </w:pPr>
                      </w:p>
                      <w:p>
                        <w:pPr>
                          <w:spacing w:before="0"/>
                          <w:ind w:left="556" w:right="0" w:firstLine="0"/>
                          <w:jc w:val="left"/>
                          <w:rPr>
                            <w:rFonts w:ascii="Times New Roman" w:hAnsi="Times New Roman"/>
                            <w:sz w:val="14"/>
                          </w:rPr>
                        </w:pPr>
                        <w:r>
                          <w:rPr>
                            <w:rFonts w:ascii="Times New Roman" w:hAnsi="Times New Roman"/>
                            <w:color w:val="1D1C2B"/>
                            <w:w w:val="120"/>
                            <w:sz w:val="14"/>
                          </w:rPr>
                          <w:t>Otra</w:t>
                        </w:r>
                        <w:r>
                          <w:rPr>
                            <w:rFonts w:ascii="Times New Roman" w:hAnsi="Times New Roman"/>
                            <w:color w:val="1D1C2B"/>
                            <w:spacing w:val="-3"/>
                            <w:w w:val="120"/>
                            <w:sz w:val="14"/>
                          </w:rPr>
                          <w:t> </w:t>
                        </w:r>
                        <w:r>
                          <w:rPr>
                            <w:rFonts w:ascii="Times New Roman" w:hAnsi="Times New Roman"/>
                            <w:color w:val="1D1C2B"/>
                            <w:w w:val="120"/>
                            <w:sz w:val="14"/>
                          </w:rPr>
                          <w:t>Información</w:t>
                        </w:r>
                        <w:r>
                          <w:rPr>
                            <w:rFonts w:ascii="Times New Roman" w:hAnsi="Times New Roman"/>
                            <w:color w:val="1D1C2B"/>
                            <w:spacing w:val="4"/>
                            <w:w w:val="120"/>
                            <w:sz w:val="14"/>
                          </w:rPr>
                          <w:t> </w:t>
                        </w:r>
                        <w:r>
                          <w:rPr>
                            <w:rFonts w:ascii="Times New Roman" w:hAnsi="Times New Roman"/>
                            <w:color w:val="1D1C2B"/>
                            <w:w w:val="120"/>
                            <w:sz w:val="14"/>
                          </w:rPr>
                          <w:t>Financiera</w:t>
                        </w:r>
                        <w:r>
                          <w:rPr>
                            <w:rFonts w:ascii="Times New Roman" w:hAnsi="Times New Roman"/>
                            <w:color w:val="1D1C2B"/>
                            <w:spacing w:val="6"/>
                            <w:w w:val="120"/>
                            <w:sz w:val="14"/>
                          </w:rPr>
                          <w:t> </w:t>
                        </w:r>
                        <w:r>
                          <w:rPr>
                            <w:rFonts w:ascii="Times New Roman" w:hAnsi="Times New Roman"/>
                            <w:color w:val="1D1C2B"/>
                            <w:w w:val="120"/>
                            <w:sz w:val="14"/>
                          </w:rPr>
                          <w:t>sobre</w:t>
                        </w:r>
                        <w:r>
                          <w:rPr>
                            <w:rFonts w:ascii="Times New Roman" w:hAnsi="Times New Roman"/>
                            <w:color w:val="1D1C2B"/>
                            <w:spacing w:val="-6"/>
                            <w:w w:val="120"/>
                            <w:sz w:val="14"/>
                          </w:rPr>
                          <w:t> </w:t>
                        </w:r>
                        <w:r>
                          <w:rPr>
                            <w:rFonts w:ascii="Times New Roman" w:hAnsi="Times New Roman"/>
                            <w:color w:val="1D1C2B"/>
                            <w:spacing w:val="-2"/>
                            <w:w w:val="120"/>
                            <w:sz w:val="14"/>
                          </w:rPr>
                          <w:t>Segmentos</w:t>
                        </w:r>
                      </w:p>
                    </w:txbxContent>
                  </v:textbox>
                  <w10:wrap type="none"/>
                </v:shape>
                <v:shape style="position:absolute;left:2870;top:7329;width:848;height:330" type="#_x0000_t202" id="docshape1200" filled="false" stroked="false">
                  <v:textbox inset="0,0,0,0">
                    <w:txbxContent>
                      <w:p>
                        <w:pPr>
                          <w:spacing w:line="148" w:lineRule="exact" w:before="14"/>
                          <w:ind w:left="0" w:right="38" w:firstLine="0"/>
                          <w:jc w:val="right"/>
                          <w:rPr>
                            <w:rFonts w:ascii="Times New Roman"/>
                            <w:sz w:val="14"/>
                          </w:rPr>
                        </w:pPr>
                        <w:r>
                          <w:rPr>
                            <w:rFonts w:ascii="Times New Roman"/>
                            <w:color w:val="DBDDD4"/>
                            <w:spacing w:val="-10"/>
                            <w:w w:val="115"/>
                            <w:sz w:val="14"/>
                          </w:rPr>
                          <w:t>,</w:t>
                        </w:r>
                      </w:p>
                      <w:p>
                        <w:pPr>
                          <w:spacing w:line="148" w:lineRule="exact" w:before="0"/>
                          <w:ind w:left="0" w:right="51" w:firstLine="0"/>
                          <w:jc w:val="right"/>
                          <w:rPr>
                            <w:rFonts w:ascii="Times New Roman"/>
                            <w:sz w:val="14"/>
                          </w:rPr>
                        </w:pPr>
                        <w:r>
                          <w:rPr>
                            <w:rFonts w:ascii="Times New Roman"/>
                            <w:color w:val="DBDDD4"/>
                            <w:spacing w:val="-2"/>
                            <w:w w:val="97"/>
                            <w:sz w:val="14"/>
                            <w:shd w:fill="262D3A" w:color="auto" w:val="clear"/>
                          </w:rPr>
                          <w:t>Segmento</w:t>
                        </w:r>
                        <w:r>
                          <w:rPr>
                            <w:rFonts w:ascii="Times New Roman"/>
                            <w:color w:val="DBDDD4"/>
                            <w:spacing w:val="11"/>
                            <w:w w:val="97"/>
                            <w:sz w:val="14"/>
                            <w:shd w:fill="262D3A" w:color="auto" w:val="clear"/>
                          </w:rPr>
                          <w:t>s</w:t>
                        </w:r>
                        <w:r>
                          <w:rPr>
                            <w:rFonts w:ascii="Times New Roman"/>
                            <w:color w:val="DBDDD4"/>
                            <w:spacing w:val="-1"/>
                            <w:w w:val="19"/>
                            <w:sz w:val="14"/>
                            <w:shd w:fill="262D3A" w:color="auto" w:val="clear"/>
                          </w:rPr>
                          <w:t>(</w:t>
                        </w:r>
                        <w:r>
                          <w:rPr>
                            <w:rFonts w:ascii="Times New Roman"/>
                            <w:color w:val="DBDDD4"/>
                            <w:spacing w:val="42"/>
                            <w:sz w:val="14"/>
                            <w:shd w:fill="262D3A" w:color="auto" w:val="clear"/>
                          </w:rPr>
                          <w:t>  </w:t>
                        </w:r>
                        <w:r>
                          <w:rPr>
                            <w:rFonts w:ascii="Times New Roman"/>
                            <w:color w:val="DBDDD4"/>
                            <w:spacing w:val="-10"/>
                            <w:w w:val="65"/>
                            <w:sz w:val="14"/>
                          </w:rPr>
                          <w:t>)</w:t>
                        </w:r>
                      </w:p>
                    </w:txbxContent>
                  </v:textbox>
                  <w10:wrap type="none"/>
                </v:shape>
                <v:shape style="position:absolute;left:4826;top:7329;width:1171;height:330" type="#_x0000_t202" id="docshape1201" filled="false" stroked="false">
                  <v:textbox inset="0,0,0,0">
                    <w:txbxContent>
                      <w:p>
                        <w:pPr>
                          <w:tabs>
                            <w:tab w:pos="483" w:val="left" w:leader="none"/>
                            <w:tab w:pos="1028" w:val="left" w:leader="none"/>
                          </w:tabs>
                          <w:spacing w:line="199" w:lineRule="auto" w:before="36"/>
                          <w:ind w:left="186" w:right="38" w:hanging="167"/>
                          <w:jc w:val="left"/>
                          <w:rPr>
                            <w:rFonts w:ascii="Arial" w:hAnsi="Arial"/>
                            <w:sz w:val="14"/>
                          </w:rPr>
                        </w:pPr>
                        <w:r>
                          <w:rPr>
                            <w:rFonts w:ascii="Times New Roman" w:hAnsi="Times New Roman"/>
                            <w:color w:val="EBEDE6"/>
                            <w:spacing w:val="-10"/>
                            <w:w w:val="105"/>
                            <w:sz w:val="14"/>
                            <w:shd w:fill="262D3A" w:color="auto" w:val="clear"/>
                          </w:rPr>
                          <w:t>p</w:t>
                        </w:r>
                        <w:r>
                          <w:rPr>
                            <w:rFonts w:ascii="Times New Roman" w:hAnsi="Times New Roman"/>
                            <w:color w:val="EBEDE6"/>
                            <w:sz w:val="14"/>
                          </w:rPr>
                          <w:tab/>
                          <w:tab/>
                        </w:r>
                        <w:r>
                          <w:rPr>
                            <w:rFonts w:ascii="Times New Roman" w:hAnsi="Times New Roman"/>
                            <w:color w:val="D4CFBD"/>
                            <w:spacing w:val="-10"/>
                            <w:sz w:val="14"/>
                          </w:rPr>
                          <w:t>,</w:t>
                        </w:r>
                        <w:r>
                          <w:rPr>
                            <w:rFonts w:ascii="Times New Roman" w:hAnsi="Times New Roman"/>
                            <w:color w:val="D4CFBD"/>
                            <w:sz w:val="14"/>
                          </w:rPr>
                          <w:tab/>
                        </w:r>
                        <w:r>
                          <w:rPr>
                            <w:rFonts w:ascii="Times New Roman" w:hAnsi="Times New Roman"/>
                            <w:color w:val="DBDDD4"/>
                            <w:spacing w:val="-6"/>
                            <w:w w:val="105"/>
                            <w:sz w:val="14"/>
                            <w:shd w:fill="262D3A" w:color="auto" w:val="clear"/>
                          </w:rPr>
                          <w:t>a</w:t>
                        </w:r>
                        <w:r>
                          <w:rPr>
                            <w:rFonts w:ascii="Times New Roman" w:hAnsi="Times New Roman"/>
                            <w:color w:val="DBDDD4"/>
                            <w:spacing w:val="-6"/>
                            <w:w w:val="105"/>
                            <w:sz w:val="14"/>
                            <w:shd w:fill="262D3A" w:color="auto" w:val="clear"/>
                          </w:rPr>
                          <w:t>l</w:t>
                        </w:r>
                        <w:r>
                          <w:rPr>
                            <w:rFonts w:ascii="Times New Roman" w:hAnsi="Times New Roman"/>
                            <w:color w:val="DBDDD4"/>
                            <w:spacing w:val="40"/>
                            <w:w w:val="105"/>
                            <w:sz w:val="14"/>
                          </w:rPr>
                          <w:t> </w:t>
                        </w:r>
                        <w:r>
                          <w:rPr>
                            <w:rFonts w:ascii="Times New Roman" w:hAnsi="Times New Roman"/>
                            <w:color w:val="EBEDE6"/>
                            <w:w w:val="105"/>
                            <w:sz w:val="14"/>
                            <w:shd w:fill="262D3A" w:color="auto" w:val="clear"/>
                          </w:rPr>
                          <w:t>totec</w:t>
                        </w:r>
                        <w:r>
                          <w:rPr>
                            <w:rFonts w:ascii="Arial" w:hAnsi="Arial"/>
                            <w:color w:val="EBEDE6"/>
                            <w:w w:val="105"/>
                            <w:sz w:val="14"/>
                            <w:shd w:fill="262D3A" w:color="auto" w:val="clear"/>
                          </w:rPr>
                          <w:t>□</w:t>
                        </w:r>
                        <w:r>
                          <w:rPr>
                            <w:rFonts w:ascii="Times New Roman" w:hAnsi="Times New Roman"/>
                            <w:color w:val="EBEDE6"/>
                            <w:w w:val="105"/>
                            <w:sz w:val="14"/>
                            <w:shd w:fill="262D3A" w:color="auto" w:val="clear"/>
                          </w:rPr>
                          <w:t>on </w:t>
                        </w:r>
                        <w:r>
                          <w:rPr>
                            <w:rFonts w:ascii="Times New Roman" w:hAnsi="Times New Roman"/>
                            <w:color w:val="DBDDD4"/>
                            <w:w w:val="130"/>
                            <w:sz w:val="14"/>
                            <w:shd w:fill="262D3A" w:color="auto" w:val="clear"/>
                          </w:rPr>
                          <w:t>o</w:t>
                        </w:r>
                        <w:r>
                          <w:rPr>
                            <w:rFonts w:ascii="Arial" w:hAnsi="Arial"/>
                            <w:color w:val="DBDDD4"/>
                            <w:w w:val="130"/>
                            <w:sz w:val="14"/>
                            <w:shd w:fill="262D3A" w:color="auto" w:val="clear"/>
                          </w:rPr>
                          <w:t>□</w:t>
                        </w:r>
                      </w:p>
                    </w:txbxContent>
                  </v:textbox>
                  <w10:wrap type="none"/>
                </v:shape>
                <v:shape style="position:absolute;left:7035;top:7463;width:676;height:196" type="#_x0000_t202" id="docshape1202" filled="false" stroked="false">
                  <v:textbox inset="0,0,0,0">
                    <w:txbxContent>
                      <w:p>
                        <w:pPr>
                          <w:spacing w:before="14"/>
                          <w:ind w:left="20" w:right="0" w:firstLine="0"/>
                          <w:jc w:val="left"/>
                          <w:rPr>
                            <w:rFonts w:ascii="Times New Roman"/>
                            <w:sz w:val="14"/>
                          </w:rPr>
                        </w:pPr>
                        <w:r>
                          <w:rPr>
                            <w:rFonts w:ascii="Times New Roman"/>
                            <w:color w:val="DBDDD4"/>
                            <w:spacing w:val="-2"/>
                            <w:w w:val="105"/>
                            <w:sz w:val="14"/>
                            <w:shd w:fill="262D3A" w:color="auto" w:val="clear"/>
                          </w:rPr>
                          <w:t>segmentos</w:t>
                        </w:r>
                      </w:p>
                    </w:txbxContent>
                  </v:textbox>
                  <w10:wrap type="none"/>
                </v:shape>
                <v:shape style="position:absolute;left:8963;top:7463;width:682;height:196" type="#_x0000_t202" id="docshape1203" filled="false" stroked="false">
                  <v:textbox inset="0,0,0,0">
                    <w:txbxContent>
                      <w:p>
                        <w:pPr>
                          <w:spacing w:before="14"/>
                          <w:ind w:left="20" w:right="0" w:firstLine="0"/>
                          <w:jc w:val="left"/>
                          <w:rPr>
                            <w:rFonts w:ascii="Times New Roman"/>
                            <w:sz w:val="14"/>
                          </w:rPr>
                        </w:pPr>
                        <w:r>
                          <w:rPr>
                            <w:rFonts w:ascii="Times New Roman"/>
                            <w:color w:val="DBDDD4"/>
                            <w:spacing w:val="-2"/>
                            <w:w w:val="105"/>
                            <w:sz w:val="14"/>
                            <w:shd w:fill="262D3A" w:color="auto" w:val="clear"/>
                          </w:rPr>
                          <w:t>segmentos</w:t>
                        </w:r>
                      </w:p>
                    </w:txbxContent>
                  </v:textbox>
                  <w10:wrap type="none"/>
                </v:shape>
                <v:shape style="position:absolute;left:2198;top:7790;width:1019;height:196" type="#_x0000_t202" id="docshape1204" filled="false" stroked="false">
                  <v:textbox inset="0,0,0,0">
                    <w:txbxContent>
                      <w:p>
                        <w:pPr>
                          <w:spacing w:before="14"/>
                          <w:ind w:left="20" w:right="0" w:firstLine="0"/>
                          <w:jc w:val="left"/>
                          <w:rPr>
                            <w:rFonts w:ascii="Times New Roman"/>
                            <w:b/>
                            <w:sz w:val="14"/>
                          </w:rPr>
                        </w:pPr>
                        <w:r>
                          <w:rPr>
                            <w:rFonts w:ascii="Times New Roman"/>
                            <w:b/>
                            <w:color w:val="EBEDE6"/>
                            <w:spacing w:val="-2"/>
                            <w:w w:val="105"/>
                            <w:sz w:val="14"/>
                            <w:shd w:fill="363F52" w:color="auto" w:val="clear"/>
                          </w:rPr>
                          <w:t>EJERCICIOS:</w:t>
                        </w:r>
                      </w:p>
                    </w:txbxContent>
                  </v:textbox>
                  <w10:wrap type="none"/>
                </v:shape>
                <v:shape style="position:absolute;left:4775;top:7799;width:357;height:185" type="#_x0000_t202" id="docshape1205"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v:textbox>
                  <w10:wrap type="none"/>
                </v:shape>
                <v:shape style="position:absolute;left:5775;top:7799;width:363;height:185" type="#_x0000_t202" id="docshape1206"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v:textbox>
                  <w10:wrap type="none"/>
                </v:shape>
                <v:shape style="position:absolute;left:6736;top:7799;width:357;height:185" type="#_x0000_t202" id="docshape1207"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v:textbox>
                  <w10:wrap type="none"/>
                </v:shape>
                <v:shape style="position:absolute;left:7669;top:7799;width:357;height:185" type="#_x0000_t202" id="docshape1208"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v:textbox>
                  <w10:wrap type="none"/>
                </v:shape>
                <v:shape style="position:absolute;left:8630;top:7799;width:357;height:185" type="#_x0000_t202" id="docshape1209"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2026</w:t>
                        </w:r>
                      </w:p>
                    </w:txbxContent>
                  </v:textbox>
                  <w10:wrap type="none"/>
                </v:shape>
                <v:shape style="position:absolute;left:9625;top:7799;width:363;height:185" type="#_x0000_t202" id="docshape1210" filled="false" stroked="false">
                  <v:textbox inset="0,0,0,0">
                    <w:txbxContent>
                      <w:p>
                        <w:pPr>
                          <w:spacing w:before="14"/>
                          <w:ind w:left="20" w:right="0" w:firstLine="0"/>
                          <w:jc w:val="left"/>
                          <w:rPr>
                            <w:rFonts w:ascii="Times New Roman"/>
                            <w:sz w:val="13"/>
                          </w:rPr>
                        </w:pPr>
                        <w:r>
                          <w:rPr>
                            <w:rFonts w:ascii="Times New Roman"/>
                            <w:color w:val="DBDDD4"/>
                            <w:spacing w:val="-4"/>
                            <w:w w:val="115"/>
                            <w:sz w:val="13"/>
                            <w:shd w:fill="363F52" w:color="auto" w:val="clear"/>
                          </w:rPr>
                          <w:t>2025</w:t>
                        </w:r>
                      </w:p>
                    </w:txbxContent>
                  </v:textbox>
                  <w10:wrap type="none"/>
                </v:shape>
                <v:shape style="position:absolute;left:2198;top:9598;width:2957;height:164" type="#_x0000_t202" id="docshape1211" filled="false" stroked="false">
                  <v:textbox inset="0,0,0,0">
                    <w:txbxContent>
                      <w:p>
                        <w:pPr>
                          <w:spacing w:before="16"/>
                          <w:ind w:left="20" w:right="0" w:firstLine="0"/>
                          <w:jc w:val="left"/>
                          <w:rPr>
                            <w:rFonts w:ascii="Arial" w:hAnsi="Arial"/>
                            <w:i/>
                            <w:sz w:val="11"/>
                          </w:rPr>
                        </w:pPr>
                        <w:r>
                          <w:rPr>
                            <w:rFonts w:ascii="Arial" w:hAnsi="Arial"/>
                            <w:i/>
                            <w:color w:val="342B3B"/>
                            <w:spacing w:val="-2"/>
                            <w:sz w:val="11"/>
                          </w:rPr>
                          <w:t>Seg111e11tos</w:t>
                        </w:r>
                        <w:r>
                          <w:rPr>
                            <w:rFonts w:ascii="Arial" w:hAnsi="Arial"/>
                            <w:i/>
                            <w:color w:val="342B3B"/>
                            <w:spacing w:val="19"/>
                            <w:w w:val="125"/>
                            <w:sz w:val="11"/>
                          </w:rPr>
                          <w:t> </w:t>
                        </w:r>
                        <w:r>
                          <w:rPr>
                            <w:rFonts w:ascii="Arial" w:hAnsi="Arial"/>
                            <w:i/>
                            <w:color w:val="6B6472"/>
                            <w:spacing w:val="-2"/>
                            <w:w w:val="125"/>
                            <w:sz w:val="11"/>
                          </w:rPr>
                          <w:t>(")</w:t>
                        </w:r>
                        <w:r>
                          <w:rPr>
                            <w:rFonts w:ascii="Arial" w:hAnsi="Arial"/>
                            <w:i/>
                            <w:color w:val="443F52"/>
                            <w:spacing w:val="-2"/>
                            <w:w w:val="125"/>
                            <w:sz w:val="11"/>
                          </w:rPr>
                          <w:t>;</w:t>
                        </w:r>
                        <w:r>
                          <w:rPr>
                            <w:rFonts w:ascii="Arial" w:hAnsi="Arial"/>
                            <w:i/>
                            <w:color w:val="443F52"/>
                            <w:spacing w:val="-1"/>
                            <w:w w:val="125"/>
                            <w:sz w:val="11"/>
                          </w:rPr>
                          <w:t> </w:t>
                        </w:r>
                        <w:r>
                          <w:rPr>
                            <w:rFonts w:ascii="Arial" w:hAnsi="Arial"/>
                            <w:i/>
                            <w:color w:val="443F52"/>
                            <w:spacing w:val="-2"/>
                            <w:w w:val="110"/>
                            <w:sz w:val="11"/>
                          </w:rPr>
                          <w:t>Clasiíirndor</w:t>
                        </w:r>
                        <w:r>
                          <w:rPr>
                            <w:rFonts w:ascii="Arial" w:hAnsi="Arial"/>
                            <w:i/>
                            <w:color w:val="443F52"/>
                            <w:spacing w:val="8"/>
                            <w:w w:val="110"/>
                            <w:sz w:val="11"/>
                          </w:rPr>
                          <w:t> </w:t>
                        </w:r>
                        <w:r>
                          <w:rPr>
                            <w:rFonts w:ascii="Arial" w:hAnsi="Arial"/>
                            <w:i/>
                            <w:color w:val="1D1C2B"/>
                            <w:spacing w:val="-2"/>
                            <w:sz w:val="11"/>
                          </w:rPr>
                          <w:t>Fi.u1ciomú</w:t>
                        </w:r>
                        <w:r>
                          <w:rPr>
                            <w:rFonts w:ascii="Arial" w:hAnsi="Arial"/>
                            <w:i/>
                            <w:color w:val="1D1C2B"/>
                            <w:spacing w:val="11"/>
                            <w:sz w:val="11"/>
                          </w:rPr>
                          <w:t> </w:t>
                        </w:r>
                        <w:r>
                          <w:rPr>
                            <w:rFonts w:ascii="Arial" w:hAnsi="Arial"/>
                            <w:i/>
                            <w:color w:val="443F52"/>
                            <w:spacing w:val="-2"/>
                            <w:w w:val="95"/>
                            <w:sz w:val="11"/>
                          </w:rPr>
                          <w:t>Costa11'ice11</w:t>
                        </w:r>
                        <w:r>
                          <w:rPr>
                            <w:rFonts w:ascii="Arial" w:hAnsi="Arial"/>
                            <w:i/>
                            <w:color w:val="1D1C2B"/>
                            <w:spacing w:val="-2"/>
                            <w:w w:val="95"/>
                            <w:sz w:val="11"/>
                          </w:rPr>
                          <w:t>se</w:t>
                        </w:r>
                      </w:p>
                    </w:txbxContent>
                  </v:textbox>
                  <w10:wrap type="none"/>
                </v:shape>
                <v:shape style="position:absolute;left:8427;top:7328;width:1737;height:189" type="#_x0000_t202" id="docshape1212" filled="true" fillcolor="#262d3a" stroked="false">
                  <v:textbox inset="0,0,0,0">
                    <w:txbxContent>
                      <w:p>
                        <w:pPr>
                          <w:spacing w:before="15"/>
                          <w:ind w:left="-1" w:right="-15" w:firstLine="0"/>
                          <w:jc w:val="left"/>
                          <w:rPr>
                            <w:rFonts w:ascii="Times New Roman"/>
                            <w:color w:val="000000"/>
                            <w:sz w:val="14"/>
                          </w:rPr>
                        </w:pPr>
                        <w:r>
                          <w:rPr>
                            <w:rFonts w:ascii="Times New Roman"/>
                            <w:color w:val="DBDDD4"/>
                            <w:w w:val="105"/>
                            <w:sz w:val="14"/>
                          </w:rPr>
                          <w:t>Conceptos</w:t>
                        </w:r>
                        <w:r>
                          <w:rPr>
                            <w:rFonts w:ascii="Times New Roman"/>
                            <w:color w:val="DBDDD4"/>
                            <w:spacing w:val="7"/>
                            <w:w w:val="105"/>
                            <w:sz w:val="14"/>
                          </w:rPr>
                          <w:t> </w:t>
                        </w:r>
                        <w:r>
                          <w:rPr>
                            <w:rFonts w:ascii="Times New Roman"/>
                            <w:color w:val="EBEDE6"/>
                            <w:w w:val="105"/>
                            <w:sz w:val="14"/>
                          </w:rPr>
                          <w:t>no</w:t>
                        </w:r>
                        <w:r>
                          <w:rPr>
                            <w:rFonts w:ascii="Times New Roman"/>
                            <w:color w:val="EBEDE6"/>
                            <w:spacing w:val="-2"/>
                            <w:w w:val="105"/>
                            <w:sz w:val="14"/>
                          </w:rPr>
                          <w:t> </w:t>
                        </w:r>
                        <w:r>
                          <w:rPr>
                            <w:rFonts w:ascii="Times New Roman"/>
                            <w:color w:val="DBDDD4"/>
                            <w:w w:val="105"/>
                            <w:sz w:val="14"/>
                          </w:rPr>
                          <w:t>asignados</w:t>
                        </w:r>
                        <w:r>
                          <w:rPr>
                            <w:rFonts w:ascii="Times New Roman"/>
                            <w:color w:val="DBDDD4"/>
                            <w:spacing w:val="-5"/>
                            <w:w w:val="105"/>
                            <w:sz w:val="14"/>
                          </w:rPr>
                          <w:t> </w:t>
                        </w:r>
                        <w:r>
                          <w:rPr>
                            <w:rFonts w:ascii="Times New Roman"/>
                            <w:color w:val="DBDDD4"/>
                            <w:w w:val="105"/>
                            <w:sz w:val="14"/>
                          </w:rPr>
                          <w:t>a</w:t>
                        </w:r>
                        <w:r>
                          <w:rPr>
                            <w:rFonts w:ascii="Times New Roman"/>
                            <w:color w:val="DBDDD4"/>
                            <w:spacing w:val="-6"/>
                            <w:w w:val="105"/>
                            <w:sz w:val="14"/>
                          </w:rPr>
                          <w:t> </w:t>
                        </w:r>
                        <w:r>
                          <w:rPr>
                            <w:rFonts w:ascii="Times New Roman"/>
                            <w:color w:val="DBDDD4"/>
                            <w:spacing w:val="-5"/>
                            <w:w w:val="105"/>
                            <w:sz w:val="14"/>
                          </w:rPr>
                          <w:t>los</w:t>
                        </w:r>
                      </w:p>
                    </w:txbxContent>
                  </v:textbox>
                  <v:fill type="solid"/>
                  <w10:wrap type="none"/>
                </v:shape>
                <v:shape style="position:absolute;left:6494;top:7328;width:1737;height:189" type="#_x0000_t202" id="docshape1213" filled="true" fillcolor="#262d3a" stroked="false">
                  <v:textbox inset="0,0,0,0">
                    <w:txbxContent>
                      <w:p>
                        <w:pPr>
                          <w:spacing w:before="15"/>
                          <w:ind w:left="-1" w:right="-15" w:firstLine="0"/>
                          <w:jc w:val="left"/>
                          <w:rPr>
                            <w:rFonts w:ascii="Times New Roman"/>
                            <w:color w:val="000000"/>
                            <w:sz w:val="14"/>
                          </w:rPr>
                        </w:pPr>
                        <w:r>
                          <w:rPr>
                            <w:rFonts w:ascii="Times New Roman"/>
                            <w:color w:val="EBEDE6"/>
                            <w:w w:val="105"/>
                            <w:sz w:val="14"/>
                          </w:rPr>
                          <w:t>Conceptos</w:t>
                        </w:r>
                        <w:r>
                          <w:rPr>
                            <w:rFonts w:ascii="Times New Roman"/>
                            <w:color w:val="EBEDE6"/>
                            <w:spacing w:val="2"/>
                            <w:w w:val="105"/>
                            <w:sz w:val="14"/>
                          </w:rPr>
                          <w:t> </w:t>
                        </w:r>
                        <w:r>
                          <w:rPr>
                            <w:rFonts w:ascii="Times New Roman"/>
                            <w:color w:val="EBEDE6"/>
                            <w:w w:val="105"/>
                            <w:sz w:val="14"/>
                          </w:rPr>
                          <w:t>no</w:t>
                        </w:r>
                        <w:r>
                          <w:rPr>
                            <w:rFonts w:ascii="Times New Roman"/>
                            <w:color w:val="EBEDE6"/>
                            <w:spacing w:val="2"/>
                            <w:w w:val="105"/>
                            <w:sz w:val="14"/>
                          </w:rPr>
                          <w:t> </w:t>
                        </w:r>
                        <w:r>
                          <w:rPr>
                            <w:rFonts w:ascii="Times New Roman"/>
                            <w:color w:val="DBDDD4"/>
                            <w:w w:val="105"/>
                            <w:sz w:val="14"/>
                          </w:rPr>
                          <w:t>asignados</w:t>
                        </w:r>
                        <w:r>
                          <w:rPr>
                            <w:rFonts w:ascii="Times New Roman"/>
                            <w:color w:val="DBDDD4"/>
                            <w:spacing w:val="-5"/>
                            <w:w w:val="105"/>
                            <w:sz w:val="14"/>
                          </w:rPr>
                          <w:t> </w:t>
                        </w:r>
                        <w:r>
                          <w:rPr>
                            <w:rFonts w:ascii="Times New Roman"/>
                            <w:color w:val="DBDDD4"/>
                            <w:w w:val="105"/>
                            <w:sz w:val="14"/>
                          </w:rPr>
                          <w:t>a </w:t>
                        </w:r>
                        <w:r>
                          <w:rPr>
                            <w:rFonts w:ascii="Times New Roman"/>
                            <w:color w:val="DBDDD4"/>
                            <w:spacing w:val="-5"/>
                            <w:w w:val="105"/>
                            <w:sz w:val="14"/>
                          </w:rPr>
                          <w:t>los</w:t>
                        </w:r>
                      </w:p>
                    </w:txbxContent>
                  </v:textbox>
                  <v:fill type="solid"/>
                  <w10:wrap type="none"/>
                </v:shape>
                <w10:wrap type="none"/>
              </v:group>
            </w:pict>
          </mc:Fallback>
        </mc:AlternateContent>
      </w: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248</w:t>
      </w:r>
      <w:r>
        <w:rPr>
          <w:color w:val="172951"/>
          <w:sz w:val="20"/>
          <w:u w:val="single" w:color="000000"/>
        </w:rPr>
        <w:tab/>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3"/>
        <w:rPr>
          <w:sz w:val="20"/>
        </w:rPr>
      </w:pPr>
    </w:p>
    <w:tbl>
      <w:tblPr>
        <w:tblW w:w="0" w:type="auto"/>
        <w:jc w:val="left"/>
        <w:tblInd w:w="1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60"/>
        <w:gridCol w:w="1000"/>
        <w:gridCol w:w="990"/>
        <w:gridCol w:w="932"/>
        <w:gridCol w:w="922"/>
        <w:gridCol w:w="999"/>
        <w:gridCol w:w="994"/>
      </w:tblGrid>
      <w:tr>
        <w:trPr>
          <w:trHeight w:val="827" w:hRule="atLeast"/>
        </w:trPr>
        <w:tc>
          <w:tcPr>
            <w:tcW w:w="8097" w:type="dxa"/>
            <w:gridSpan w:val="7"/>
            <w:tcBorders>
              <w:bottom w:val="single" w:sz="18" w:space="0" w:color="000000"/>
              <w:right w:val="single" w:sz="18" w:space="0" w:color="000000"/>
            </w:tcBorders>
          </w:tcPr>
          <w:p>
            <w:pPr>
              <w:pStyle w:val="TableParagraph"/>
              <w:tabs>
                <w:tab w:pos="2755" w:val="left" w:leader="none"/>
                <w:tab w:pos="4325" w:val="left" w:leader="none"/>
                <w:tab w:pos="6700" w:val="left" w:leader="none"/>
              </w:tabs>
              <w:spacing w:line="227" w:lineRule="exact" w:before="38"/>
              <w:ind w:left="722"/>
              <w:rPr>
                <w:rFonts w:ascii="Times New Roman" w:hAnsi="Times New Roman"/>
                <w:b/>
                <w:sz w:val="14"/>
              </w:rPr>
            </w:pPr>
            <w:r>
              <w:rPr>
                <w:rFonts w:ascii="Times New Roman" w:hAnsi="Times New Roman"/>
                <w:b/>
                <w:color w:val="DBDDD4"/>
                <w:spacing w:val="-2"/>
                <w:sz w:val="14"/>
                <w:shd w:fill="262D3A" w:color="auto" w:val="clear"/>
              </w:rPr>
              <w:t>Segmentos(')</w:t>
            </w:r>
            <w:r>
              <w:rPr>
                <w:rFonts w:ascii="Times New Roman" w:hAnsi="Times New Roman"/>
                <w:b/>
                <w:color w:val="DBDDD4"/>
                <w:sz w:val="14"/>
              </w:rPr>
              <w:tab/>
            </w:r>
            <w:r>
              <w:rPr>
                <w:rFonts w:ascii="Times New Roman" w:hAnsi="Times New Roman"/>
                <w:b/>
                <w:color w:val="EBEDE6"/>
                <w:sz w:val="14"/>
                <w:shd w:fill="262D3A" w:color="auto" w:val="clear"/>
              </w:rPr>
              <w:t>P10tec</w:t>
            </w:r>
            <w:r>
              <w:rPr>
                <w:rFonts w:ascii="Arial" w:hAnsi="Arial"/>
                <w:color w:val="EBEDE6"/>
                <w:sz w:val="14"/>
                <w:shd w:fill="262D3A" w:color="auto" w:val="clear"/>
              </w:rPr>
              <w:t>□</w:t>
            </w:r>
            <w:r>
              <w:rPr>
                <w:rFonts w:ascii="Times New Roman" w:hAnsi="Times New Roman"/>
                <w:b/>
                <w:color w:val="EBEDE6"/>
                <w:sz w:val="14"/>
                <w:shd w:fill="262D3A" w:color="auto" w:val="clear"/>
              </w:rPr>
              <w:t>ón</w:t>
            </w:r>
            <w:r>
              <w:rPr>
                <w:rFonts w:ascii="Times New Roman" w:hAnsi="Times New Roman"/>
                <w:b/>
                <w:color w:val="EBEDE6"/>
                <w:spacing w:val="10"/>
                <w:sz w:val="14"/>
                <w:shd w:fill="262D3A" w:color="auto" w:val="clear"/>
              </w:rPr>
              <w:t> </w:t>
            </w:r>
            <w:r>
              <w:rPr>
                <w:rFonts w:ascii="Times New Roman" w:hAnsi="Times New Roman"/>
                <w:b/>
                <w:color w:val="DBDDD4"/>
                <w:spacing w:val="-4"/>
                <w:sz w:val="14"/>
                <w:shd w:fill="262D3A" w:color="auto" w:val="clear"/>
              </w:rPr>
              <w:t>So</w:t>
            </w:r>
            <w:r>
              <w:rPr>
                <w:rFonts w:ascii="Arial" w:hAnsi="Arial"/>
                <w:color w:val="DBDDD4"/>
                <w:spacing w:val="-4"/>
                <w:sz w:val="14"/>
                <w:shd w:fill="262D3A" w:color="auto" w:val="clear"/>
              </w:rPr>
              <w:t>□</w:t>
            </w:r>
            <w:r>
              <w:rPr>
                <w:rFonts w:ascii="Times New Roman" w:hAnsi="Times New Roman"/>
                <w:b/>
                <w:color w:val="DBDDD4"/>
                <w:spacing w:val="-4"/>
                <w:sz w:val="15"/>
                <w:shd w:fill="262D3A" w:color="auto" w:val="clear"/>
              </w:rPr>
              <w:t>a</w:t>
            </w:r>
            <w:r>
              <w:rPr>
                <w:rFonts w:ascii="Times New Roman" w:hAnsi="Times New Roman"/>
                <w:b/>
                <w:color w:val="DBDDD4"/>
                <w:spacing w:val="-4"/>
                <w:sz w:val="15"/>
              </w:rPr>
              <w:t>l</w:t>
            </w:r>
            <w:r>
              <w:rPr>
                <w:rFonts w:ascii="Times New Roman" w:hAnsi="Times New Roman"/>
                <w:b/>
                <w:color w:val="DBDDD4"/>
                <w:sz w:val="15"/>
              </w:rPr>
              <w:tab/>
            </w:r>
            <w:r>
              <w:rPr>
                <w:rFonts w:ascii="Times New Roman" w:hAnsi="Times New Roman"/>
                <w:b/>
                <w:color w:val="DBDDD4"/>
                <w:position w:val="10"/>
                <w:sz w:val="14"/>
                <w:shd w:fill="262D3A" w:color="auto" w:val="clear"/>
              </w:rPr>
              <w:t>Conceptos</w:t>
            </w:r>
            <w:r>
              <w:rPr>
                <w:rFonts w:ascii="Times New Roman" w:hAnsi="Times New Roman"/>
                <w:b/>
                <w:color w:val="DBDDD4"/>
                <w:spacing w:val="-2"/>
                <w:position w:val="10"/>
                <w:sz w:val="14"/>
                <w:shd w:fill="262D3A" w:color="auto" w:val="clear"/>
              </w:rPr>
              <w:t> </w:t>
            </w:r>
            <w:r>
              <w:rPr>
                <w:rFonts w:ascii="Times New Roman" w:hAnsi="Times New Roman"/>
                <w:b/>
                <w:color w:val="EBEDE6"/>
                <w:position w:val="10"/>
                <w:sz w:val="14"/>
                <w:shd w:fill="262D3A" w:color="auto" w:val="clear"/>
              </w:rPr>
              <w:t>no</w:t>
            </w:r>
            <w:r>
              <w:rPr>
                <w:rFonts w:ascii="Times New Roman" w:hAnsi="Times New Roman"/>
                <w:b/>
                <w:color w:val="EBEDE6"/>
                <w:spacing w:val="5"/>
                <w:position w:val="10"/>
                <w:sz w:val="14"/>
              </w:rPr>
              <w:t> </w:t>
            </w:r>
            <w:r>
              <w:rPr>
                <w:rFonts w:ascii="Times New Roman" w:hAnsi="Times New Roman"/>
                <w:b/>
                <w:color w:val="DBDDD4"/>
                <w:position w:val="10"/>
                <w:sz w:val="14"/>
              </w:rPr>
              <w:t>asignados</w:t>
            </w:r>
            <w:r>
              <w:rPr>
                <w:rFonts w:ascii="Times New Roman" w:hAnsi="Times New Roman"/>
                <w:b/>
                <w:color w:val="DBDDD4"/>
                <w:spacing w:val="-2"/>
                <w:position w:val="10"/>
                <w:sz w:val="14"/>
              </w:rPr>
              <w:t> </w:t>
            </w:r>
            <w:r>
              <w:rPr>
                <w:rFonts w:ascii="Times New Roman" w:hAnsi="Times New Roman"/>
                <w:b/>
                <w:color w:val="DBDDD4"/>
                <w:position w:val="10"/>
                <w:sz w:val="14"/>
              </w:rPr>
              <w:t>a</w:t>
            </w:r>
            <w:r>
              <w:rPr>
                <w:rFonts w:ascii="Times New Roman" w:hAnsi="Times New Roman"/>
                <w:b/>
                <w:color w:val="DBDDD4"/>
                <w:spacing w:val="-5"/>
                <w:position w:val="10"/>
                <w:sz w:val="14"/>
              </w:rPr>
              <w:t> </w:t>
            </w:r>
            <w:r>
              <w:rPr>
                <w:rFonts w:ascii="Times New Roman" w:hAnsi="Times New Roman"/>
                <w:b/>
                <w:color w:val="EBEDE6"/>
                <w:spacing w:val="-5"/>
                <w:position w:val="10"/>
                <w:sz w:val="14"/>
                <w:shd w:fill="262D3A" w:color="auto" w:val="clear"/>
              </w:rPr>
              <w:t>los</w:t>
            </w:r>
            <w:r>
              <w:rPr>
                <w:rFonts w:ascii="Times New Roman" w:hAnsi="Times New Roman"/>
                <w:b/>
                <w:color w:val="EBEDE6"/>
                <w:position w:val="10"/>
                <w:sz w:val="14"/>
              </w:rPr>
              <w:tab/>
            </w:r>
            <w:r>
              <w:rPr>
                <w:rFonts w:ascii="Times New Roman" w:hAnsi="Times New Roman"/>
                <w:b/>
                <w:color w:val="DBDDD4"/>
                <w:spacing w:val="-2"/>
                <w:sz w:val="14"/>
                <w:shd w:fill="262D3A" w:color="auto" w:val="clear"/>
              </w:rPr>
              <w:t>Consohdac1ón</w:t>
            </w:r>
          </w:p>
          <w:p>
            <w:pPr>
              <w:pStyle w:val="TableParagraph"/>
              <w:spacing w:line="125" w:lineRule="exact"/>
              <w:ind w:left="4887"/>
              <w:rPr>
                <w:rFonts w:ascii="Times New Roman"/>
                <w:b/>
                <w:sz w:val="14"/>
              </w:rPr>
            </w:pPr>
            <w:r>
              <w:rPr>
                <w:rFonts w:ascii="Times New Roman"/>
                <w:b/>
                <w:sz w:val="14"/>
              </w:rPr>
              <mc:AlternateContent>
                <mc:Choice Requires="wps">
                  <w:drawing>
                    <wp:anchor distT="0" distB="0" distL="0" distR="0" allowOverlap="1" layoutInCell="1" locked="0" behindDoc="1" simplePos="0" relativeHeight="473780224">
                      <wp:simplePos x="0" y="0"/>
                      <wp:positionH relativeFrom="column">
                        <wp:posOffset>3292998</wp:posOffset>
                      </wp:positionH>
                      <wp:positionV relativeFrom="paragraph">
                        <wp:posOffset>-152790</wp:posOffset>
                      </wp:positionV>
                      <wp:extent cx="424815" cy="123189"/>
                      <wp:effectExtent l="0" t="0" r="0" b="0"/>
                      <wp:wrapNone/>
                      <wp:docPr id="1271" name="Group 1271"/>
                      <wp:cNvGraphicFramePr>
                        <a:graphicFrameLocks/>
                      </wp:cNvGraphicFramePr>
                      <a:graphic>
                        <a:graphicData uri="http://schemas.microsoft.com/office/word/2010/wordprocessingGroup">
                          <wpg:wgp>
                            <wpg:cNvPr id="1271" name="Group 1271"/>
                            <wpg:cNvGrpSpPr/>
                            <wpg:grpSpPr>
                              <a:xfrm>
                                <a:off x="0" y="0"/>
                                <a:ext cx="424815" cy="123189"/>
                                <a:chExt cx="424815" cy="123189"/>
                              </a:xfrm>
                            </wpg:grpSpPr>
                            <wps:wsp>
                              <wps:cNvPr id="1272" name="Graphic 1272"/>
                              <wps:cNvSpPr/>
                              <wps:spPr>
                                <a:xfrm>
                                  <a:off x="0" y="0"/>
                                  <a:ext cx="424815" cy="123189"/>
                                </a:xfrm>
                                <a:custGeom>
                                  <a:avLst/>
                                  <a:gdLst/>
                                  <a:ahLst/>
                                  <a:cxnLst/>
                                  <a:rect l="l" t="t" r="r" b="b"/>
                                  <a:pathLst>
                                    <a:path w="424815" h="123189">
                                      <a:moveTo>
                                        <a:pt x="424336" y="123124"/>
                                      </a:moveTo>
                                      <a:lnTo>
                                        <a:pt x="0" y="123124"/>
                                      </a:lnTo>
                                      <a:lnTo>
                                        <a:pt x="0" y="0"/>
                                      </a:lnTo>
                                      <a:lnTo>
                                        <a:pt x="424336" y="0"/>
                                      </a:lnTo>
                                      <a:lnTo>
                                        <a:pt x="424336" y="123124"/>
                                      </a:lnTo>
                                      <a:close/>
                                    </a:path>
                                  </a:pathLst>
                                </a:custGeom>
                                <a:solidFill>
                                  <a:srgbClr val="363F52"/>
                                </a:solidFill>
                              </wps:spPr>
                              <wps:bodyPr wrap="square" lIns="0" tIns="0" rIns="0" bIns="0" rtlCol="0">
                                <a:prstTxWarp prst="textNoShape">
                                  <a:avLst/>
                                </a:prstTxWarp>
                                <a:noAutofit/>
                              </wps:bodyPr>
                            </wps:wsp>
                          </wpg:wgp>
                        </a:graphicData>
                      </a:graphic>
                    </wp:anchor>
                  </w:drawing>
                </mc:Choice>
                <mc:Fallback>
                  <w:pict>
                    <v:group style="position:absolute;margin-left:259.291199pt;margin-top:-12.030742pt;width:33.450pt;height:9.7pt;mso-position-horizontal-relative:column;mso-position-vertical-relative:paragraph;z-index:-29536256" id="docshapegroup1214" coordorigin="5186,-241" coordsize="669,194">
                      <v:rect style="position:absolute;left:5185;top:-241;width:669;height:194" id="docshape1215" filled="true" fillcolor="#363f52" stroked="false">
                        <v:fill type="solid"/>
                      </v:rect>
                      <w10:wrap type="none"/>
                    </v:group>
                  </w:pict>
                </mc:Fallback>
              </mc:AlternateContent>
            </w:r>
            <w:r>
              <w:rPr>
                <w:rFonts w:ascii="Times New Roman"/>
                <w:b/>
                <w:color w:val="DBDDD4"/>
                <w:spacing w:val="-2"/>
                <w:sz w:val="14"/>
                <w:shd w:fill="262D3A" w:color="auto" w:val="clear"/>
              </w:rPr>
              <w:t>segmentos</w:t>
            </w:r>
          </w:p>
          <w:p>
            <w:pPr>
              <w:pStyle w:val="TableParagraph"/>
              <w:tabs>
                <w:tab w:pos="2626" w:val="left" w:leader="none"/>
                <w:tab w:pos="3626" w:val="left" w:leader="none"/>
                <w:tab w:pos="4587" w:val="left" w:leader="none"/>
                <w:tab w:pos="5520" w:val="left" w:leader="none"/>
                <w:tab w:pos="6481" w:val="left" w:leader="none"/>
                <w:tab w:pos="7779" w:val="right" w:leader="none"/>
              </w:tabs>
              <w:spacing w:before="78"/>
              <w:ind w:left="49"/>
              <w:rPr>
                <w:rFonts w:ascii="Times New Roman"/>
                <w:position w:val="1"/>
                <w:sz w:val="13"/>
              </w:rPr>
            </w:pPr>
            <w:r>
              <w:rPr>
                <w:rFonts w:ascii="Times New Roman"/>
                <w:b/>
                <w:color w:val="EBEDE6"/>
                <w:spacing w:val="-2"/>
                <w:w w:val="110"/>
                <w:sz w:val="14"/>
                <w:shd w:fill="363F52" w:color="auto" w:val="clear"/>
              </w:rPr>
              <w:t>EJERCICIOS:</w:t>
            </w:r>
            <w:r>
              <w:rPr>
                <w:rFonts w:ascii="Times New Roman"/>
                <w:b/>
                <w:color w:val="EBEDE6"/>
                <w:sz w:val="14"/>
              </w:rPr>
              <w:tab/>
            </w:r>
            <w:r>
              <w:rPr>
                <w:rFonts w:ascii="Times New Roman"/>
                <w:color w:val="DBDDD4"/>
                <w:spacing w:val="-4"/>
                <w:w w:val="110"/>
                <w:position w:val="1"/>
                <w:sz w:val="13"/>
                <w:shd w:fill="363F52" w:color="auto" w:val="clear"/>
              </w:rPr>
              <w:t>2026</w:t>
            </w:r>
            <w:r>
              <w:rPr>
                <w:rFonts w:ascii="Times New Roman"/>
                <w:color w:val="DBDDD4"/>
                <w:position w:val="1"/>
                <w:sz w:val="13"/>
              </w:rPr>
              <w:tab/>
            </w:r>
            <w:r>
              <w:rPr>
                <w:rFonts w:ascii="Times New Roman"/>
                <w:color w:val="DBDDD4"/>
                <w:spacing w:val="-4"/>
                <w:w w:val="110"/>
                <w:position w:val="1"/>
                <w:sz w:val="13"/>
                <w:shd w:fill="363F52" w:color="auto" w:val="clear"/>
              </w:rPr>
              <w:t>2025</w:t>
            </w:r>
            <w:r>
              <w:rPr>
                <w:rFonts w:ascii="Times New Roman"/>
                <w:color w:val="DBDDD4"/>
                <w:position w:val="1"/>
                <w:sz w:val="13"/>
              </w:rPr>
              <w:tab/>
            </w:r>
            <w:r>
              <w:rPr>
                <w:rFonts w:ascii="Times New Roman"/>
                <w:color w:val="DBDDD4"/>
                <w:spacing w:val="-4"/>
                <w:w w:val="110"/>
                <w:position w:val="1"/>
                <w:sz w:val="13"/>
                <w:shd w:fill="363F52" w:color="auto" w:val="clear"/>
              </w:rPr>
              <w:t>2026</w:t>
            </w:r>
            <w:r>
              <w:rPr>
                <w:rFonts w:ascii="Times New Roman"/>
                <w:color w:val="DBDDD4"/>
                <w:position w:val="1"/>
                <w:sz w:val="13"/>
              </w:rPr>
              <w:tab/>
            </w:r>
            <w:r>
              <w:rPr>
                <w:rFonts w:ascii="Times New Roman"/>
                <w:color w:val="DBDDD4"/>
                <w:spacing w:val="-4"/>
                <w:w w:val="110"/>
                <w:position w:val="1"/>
                <w:sz w:val="13"/>
                <w:shd w:fill="363F52" w:color="auto" w:val="clear"/>
              </w:rPr>
              <w:t>2025</w:t>
            </w:r>
            <w:r>
              <w:rPr>
                <w:rFonts w:ascii="Times New Roman"/>
                <w:color w:val="DBDDD4"/>
                <w:position w:val="1"/>
                <w:sz w:val="13"/>
              </w:rPr>
              <w:tab/>
            </w:r>
            <w:r>
              <w:rPr>
                <w:rFonts w:ascii="Times New Roman"/>
                <w:color w:val="DBDDD4"/>
                <w:spacing w:val="-4"/>
                <w:w w:val="110"/>
                <w:position w:val="1"/>
                <w:sz w:val="13"/>
                <w:shd w:fill="363F52" w:color="auto" w:val="clear"/>
              </w:rPr>
              <w:t>2026</w:t>
            </w:r>
            <w:r>
              <w:rPr>
                <w:rFonts w:ascii="Times New Roman"/>
                <w:color w:val="DBDDD4"/>
                <w:position w:val="1"/>
                <w:sz w:val="13"/>
              </w:rPr>
              <w:tab/>
            </w:r>
            <w:r>
              <w:rPr>
                <w:rFonts w:ascii="Times New Roman"/>
                <w:color w:val="DBDDD4"/>
                <w:spacing w:val="-4"/>
                <w:w w:val="110"/>
                <w:position w:val="1"/>
                <w:sz w:val="13"/>
                <w:shd w:fill="363F52" w:color="auto" w:val="clear"/>
              </w:rPr>
              <w:t>2025</w:t>
            </w:r>
          </w:p>
          <w:p>
            <w:pPr>
              <w:pStyle w:val="TableParagraph"/>
              <w:spacing w:line="155" w:lineRule="exact" w:before="22"/>
              <w:ind w:left="39"/>
              <w:rPr>
                <w:rFonts w:ascii="Times New Roman"/>
                <w:b/>
                <w:sz w:val="14"/>
              </w:rPr>
            </w:pPr>
            <w:r>
              <w:rPr>
                <w:rFonts w:ascii="Times New Roman"/>
                <w:b/>
                <w:color w:val="EBEDE6"/>
                <w:w w:val="105"/>
                <w:sz w:val="14"/>
                <w:shd w:fill="2F5291" w:color="auto" w:val="clear"/>
              </w:rPr>
              <w:t>INGRESO</w:t>
            </w:r>
            <w:r>
              <w:rPr>
                <w:rFonts w:ascii="Times New Roman"/>
                <w:b/>
                <w:color w:val="EBEDE6"/>
                <w:spacing w:val="-1"/>
                <w:w w:val="105"/>
                <w:sz w:val="14"/>
                <w:shd w:fill="2F5291" w:color="auto" w:val="clear"/>
              </w:rPr>
              <w:t> </w:t>
            </w:r>
            <w:r>
              <w:rPr>
                <w:rFonts w:ascii="Times New Roman"/>
                <w:b/>
                <w:color w:val="EBEDE6"/>
                <w:w w:val="105"/>
                <w:sz w:val="14"/>
                <w:shd w:fill="2F5291" w:color="auto" w:val="clear"/>
              </w:rPr>
              <w:t>DEL</w:t>
            </w:r>
            <w:r>
              <w:rPr>
                <w:rFonts w:ascii="Times New Roman"/>
                <w:b/>
                <w:color w:val="EBEDE6"/>
                <w:spacing w:val="-15"/>
                <w:w w:val="105"/>
                <w:sz w:val="14"/>
                <w:shd w:fill="2F5291" w:color="auto" w:val="clear"/>
              </w:rPr>
              <w:t> </w:t>
            </w:r>
            <w:r>
              <w:rPr>
                <w:rFonts w:ascii="Times New Roman"/>
                <w:b/>
                <w:color w:val="EBEDE6"/>
                <w:spacing w:val="-2"/>
                <w:w w:val="105"/>
                <w:sz w:val="14"/>
                <w:shd w:fill="2F5291" w:color="auto" w:val="clear"/>
              </w:rPr>
              <w:t>SEGMENTO</w:t>
            </w:r>
          </w:p>
        </w:tc>
      </w:tr>
      <w:tr>
        <w:trPr>
          <w:trHeight w:val="303" w:hRule="atLeast"/>
        </w:trPr>
        <w:tc>
          <w:tcPr>
            <w:tcW w:w="2260" w:type="dxa"/>
            <w:tcBorders>
              <w:top w:val="single" w:sz="18" w:space="0" w:color="000000"/>
              <w:bottom w:val="single" w:sz="8" w:space="0" w:color="000000"/>
              <w:right w:val="single" w:sz="8" w:space="0" w:color="000000"/>
            </w:tcBorders>
          </w:tcPr>
          <w:p>
            <w:pPr>
              <w:pStyle w:val="TableParagraph"/>
              <w:spacing w:line="126" w:lineRule="exact"/>
              <w:ind w:left="49"/>
              <w:rPr>
                <w:rFonts w:ascii="Times New Roman" w:hAnsi="Times New Roman"/>
                <w:sz w:val="12"/>
              </w:rPr>
            </w:pPr>
            <w:r>
              <w:rPr>
                <w:rFonts w:ascii="Times New Roman" w:hAnsi="Times New Roman"/>
                <w:color w:val="0E0C36"/>
                <w:w w:val="110"/>
                <w:sz w:val="12"/>
              </w:rPr>
              <w:t>In</w:t>
            </w:r>
            <w:r>
              <w:rPr>
                <w:rFonts w:ascii="Times New Roman" w:hAnsi="Times New Roman"/>
                <w:color w:val="443F52"/>
                <w:w w:val="110"/>
                <w:sz w:val="12"/>
              </w:rPr>
              <w:t>g</w:t>
            </w:r>
            <w:r>
              <w:rPr>
                <w:rFonts w:ascii="Times New Roman" w:hAnsi="Times New Roman"/>
                <w:color w:val="4B2824"/>
                <w:w w:val="110"/>
                <w:sz w:val="12"/>
              </w:rPr>
              <w:t>re</w:t>
            </w:r>
            <w:r>
              <w:rPr>
                <w:rFonts w:ascii="Times New Roman" w:hAnsi="Times New Roman"/>
                <w:color w:val="443F52"/>
                <w:w w:val="110"/>
                <w:sz w:val="12"/>
              </w:rPr>
              <w:t>sos</w:t>
            </w:r>
            <w:r>
              <w:rPr>
                <w:rFonts w:ascii="Times New Roman" w:hAnsi="Times New Roman"/>
                <w:color w:val="443F52"/>
                <w:spacing w:val="7"/>
                <w:w w:val="110"/>
                <w:sz w:val="12"/>
              </w:rPr>
              <w:t> </w:t>
            </w:r>
            <w:r>
              <w:rPr>
                <w:rFonts w:ascii="Times New Roman" w:hAnsi="Times New Roman"/>
                <w:color w:val="283459"/>
                <w:w w:val="110"/>
                <w:sz w:val="12"/>
              </w:rPr>
              <w:t>d</w:t>
            </w:r>
            <w:r>
              <w:rPr>
                <w:rFonts w:ascii="Times New Roman" w:hAnsi="Times New Roman"/>
                <w:color w:val="1D1C2B"/>
                <w:w w:val="110"/>
                <w:sz w:val="12"/>
              </w:rPr>
              <w:t>e</w:t>
            </w:r>
            <w:r>
              <w:rPr>
                <w:rFonts w:ascii="Times New Roman" w:hAnsi="Times New Roman"/>
                <w:color w:val="1D1C2B"/>
                <w:spacing w:val="16"/>
                <w:w w:val="110"/>
                <w:sz w:val="12"/>
              </w:rPr>
              <w:t> </w:t>
            </w:r>
            <w:r>
              <w:rPr>
                <w:rFonts w:ascii="Times New Roman" w:hAnsi="Times New Roman"/>
                <w:color w:val="342B3B"/>
                <w:w w:val="110"/>
                <w:sz w:val="13"/>
              </w:rPr>
              <w:t>la</w:t>
            </w:r>
            <w:r>
              <w:rPr>
                <w:rFonts w:ascii="Times New Roman" w:hAnsi="Times New Roman"/>
                <w:color w:val="342B3B"/>
                <w:spacing w:val="9"/>
                <w:w w:val="110"/>
                <w:sz w:val="13"/>
              </w:rPr>
              <w:t> </w:t>
            </w:r>
            <w:r>
              <w:rPr>
                <w:rFonts w:ascii="Times New Roman" w:hAnsi="Times New Roman"/>
                <w:color w:val="443F52"/>
                <w:w w:val="110"/>
                <w:sz w:val="12"/>
              </w:rPr>
              <w:t>ac</w:t>
            </w:r>
            <w:r>
              <w:rPr>
                <w:rFonts w:ascii="Times New Roman" w:hAnsi="Times New Roman"/>
                <w:color w:val="1D1C2B"/>
                <w:w w:val="110"/>
                <w:sz w:val="12"/>
              </w:rPr>
              <w:t>ti</w:t>
            </w:r>
            <w:r>
              <w:rPr>
                <w:rFonts w:ascii="Times New Roman" w:hAnsi="Times New Roman"/>
                <w:color w:val="443F52"/>
                <w:w w:val="110"/>
                <w:sz w:val="12"/>
              </w:rPr>
              <w:t>ú</w:t>
            </w:r>
            <w:r>
              <w:rPr>
                <w:rFonts w:ascii="Times New Roman" w:hAnsi="Times New Roman"/>
                <w:color w:val="283459"/>
                <w:w w:val="110"/>
                <w:sz w:val="12"/>
              </w:rPr>
              <w:t>d</w:t>
            </w:r>
            <w:r>
              <w:rPr>
                <w:rFonts w:ascii="Times New Roman" w:hAnsi="Times New Roman"/>
                <w:color w:val="5B4244"/>
                <w:w w:val="110"/>
                <w:sz w:val="12"/>
              </w:rPr>
              <w:t>ad</w:t>
            </w:r>
            <w:r>
              <w:rPr>
                <w:rFonts w:ascii="Times New Roman" w:hAnsi="Times New Roman"/>
                <w:color w:val="5B4244"/>
                <w:spacing w:val="13"/>
                <w:w w:val="110"/>
                <w:sz w:val="12"/>
              </w:rPr>
              <w:t> </w:t>
            </w:r>
            <w:r>
              <w:rPr>
                <w:rFonts w:ascii="Times New Roman" w:hAnsi="Times New Roman"/>
                <w:color w:val="443F52"/>
                <w:w w:val="110"/>
                <w:sz w:val="12"/>
              </w:rPr>
              <w:t>o</w:t>
            </w:r>
            <w:r>
              <w:rPr>
                <w:rFonts w:ascii="Times New Roman" w:hAnsi="Times New Roman"/>
                <w:color w:val="1D1C2B"/>
                <w:w w:val="110"/>
                <w:sz w:val="12"/>
              </w:rPr>
              <w:t>pe</w:t>
            </w:r>
            <w:r>
              <w:rPr>
                <w:rFonts w:ascii="Times New Roman" w:hAnsi="Times New Roman"/>
                <w:color w:val="443F52"/>
                <w:w w:val="110"/>
                <w:sz w:val="12"/>
              </w:rPr>
              <w:t>ra</w:t>
            </w:r>
            <w:r>
              <w:rPr>
                <w:rFonts w:ascii="Times New Roman" w:hAnsi="Times New Roman"/>
                <w:color w:val="010000"/>
                <w:w w:val="110"/>
                <w:sz w:val="12"/>
              </w:rPr>
              <w:t>t</w:t>
            </w:r>
            <w:r>
              <w:rPr>
                <w:rFonts w:ascii="Times New Roman" w:hAnsi="Times New Roman"/>
                <w:color w:val="443F52"/>
                <w:w w:val="110"/>
                <w:sz w:val="12"/>
              </w:rPr>
              <w:t>fra</w:t>
            </w:r>
            <w:r>
              <w:rPr>
                <w:rFonts w:ascii="Times New Roman" w:hAnsi="Times New Roman"/>
                <w:color w:val="443F52"/>
                <w:spacing w:val="12"/>
                <w:w w:val="110"/>
                <w:sz w:val="12"/>
              </w:rPr>
              <w:t> </w:t>
            </w:r>
            <w:r>
              <w:rPr>
                <w:rFonts w:ascii="Times New Roman" w:hAnsi="Times New Roman"/>
                <w:color w:val="4B2824"/>
                <w:spacing w:val="-5"/>
                <w:w w:val="110"/>
                <w:sz w:val="12"/>
              </w:rPr>
              <w:t>d</w:t>
            </w:r>
            <w:r>
              <w:rPr>
                <w:rFonts w:ascii="Times New Roman" w:hAnsi="Times New Roman"/>
                <w:color w:val="2F160F"/>
                <w:spacing w:val="-5"/>
                <w:w w:val="110"/>
                <w:sz w:val="12"/>
              </w:rPr>
              <w:t>el</w:t>
            </w:r>
          </w:p>
          <w:p>
            <w:pPr>
              <w:pStyle w:val="TableParagraph"/>
              <w:spacing w:line="130" w:lineRule="exact" w:before="28"/>
              <w:ind w:left="46"/>
              <w:rPr>
                <w:rFonts w:ascii="Times New Roman"/>
                <w:sz w:val="12"/>
              </w:rPr>
            </w:pPr>
            <w:r>
              <w:rPr>
                <w:rFonts w:ascii="Times New Roman"/>
                <w:color w:val="443F52"/>
                <w:spacing w:val="-2"/>
                <w:w w:val="110"/>
                <w:sz w:val="12"/>
              </w:rPr>
              <w:t>segmento</w:t>
            </w:r>
          </w:p>
        </w:tc>
        <w:tc>
          <w:tcPr>
            <w:tcW w:w="1000" w:type="dxa"/>
            <w:tcBorders>
              <w:top w:val="single" w:sz="18" w:space="0" w:color="000000"/>
              <w:left w:val="single" w:sz="8" w:space="0" w:color="000000"/>
              <w:bottom w:val="single" w:sz="8" w:space="0" w:color="000000"/>
              <w:right w:val="single" w:sz="8" w:space="0" w:color="000000"/>
            </w:tcBorders>
          </w:tcPr>
          <w:p>
            <w:pPr>
              <w:pStyle w:val="TableParagraph"/>
              <w:spacing w:line="144" w:lineRule="exact" w:before="139"/>
              <w:ind w:left="70" w:right="-15"/>
              <w:jc w:val="center"/>
              <w:rPr>
                <w:rFonts w:ascii="Times New Roman"/>
                <w:sz w:val="13"/>
              </w:rPr>
            </w:pPr>
            <w:r>
              <w:rPr>
                <w:rFonts w:ascii="Times New Roman"/>
                <w:color w:val="1D1C2B"/>
                <w:w w:val="110"/>
                <w:sz w:val="13"/>
              </w:rPr>
              <w:t>1</w:t>
            </w:r>
            <w:r>
              <w:rPr>
                <w:rFonts w:ascii="Times New Roman"/>
                <w:color w:val="544F60"/>
                <w:w w:val="110"/>
                <w:sz w:val="13"/>
              </w:rPr>
              <w:t>32</w:t>
            </w:r>
            <w:r>
              <w:rPr>
                <w:rFonts w:ascii="Times New Roman"/>
                <w:color w:val="544F60"/>
                <w:spacing w:val="8"/>
                <w:w w:val="110"/>
                <w:sz w:val="13"/>
              </w:rPr>
              <w:t> </w:t>
            </w:r>
            <w:r>
              <w:rPr>
                <w:rFonts w:ascii="Times New Roman"/>
                <w:i/>
                <w:color w:val="544F60"/>
                <w:w w:val="110"/>
                <w:sz w:val="13"/>
              </w:rPr>
              <w:t>5</w:t>
            </w:r>
            <w:r>
              <w:rPr>
                <w:rFonts w:ascii="Times New Roman"/>
                <w:i/>
                <w:color w:val="0E0C36"/>
                <w:w w:val="110"/>
                <w:sz w:val="13"/>
              </w:rPr>
              <w:t>4</w:t>
            </w:r>
            <w:r>
              <w:rPr>
                <w:rFonts w:ascii="Times New Roman"/>
                <w:i/>
                <w:color w:val="443F52"/>
                <w:w w:val="110"/>
                <w:sz w:val="13"/>
              </w:rPr>
              <w:t>9</w:t>
            </w:r>
            <w:r>
              <w:rPr>
                <w:rFonts w:ascii="Times New Roman"/>
                <w:i/>
                <w:color w:val="443F52"/>
                <w:spacing w:val="10"/>
                <w:w w:val="110"/>
                <w:sz w:val="13"/>
              </w:rPr>
              <w:t> </w:t>
            </w:r>
            <w:r>
              <w:rPr>
                <w:rFonts w:ascii="Times New Roman"/>
                <w:color w:val="5B4244"/>
                <w:spacing w:val="-2"/>
                <w:w w:val="110"/>
                <w:sz w:val="13"/>
              </w:rPr>
              <w:t>29</w:t>
            </w:r>
            <w:r>
              <w:rPr>
                <w:rFonts w:ascii="Times New Roman"/>
                <w:color w:val="1D1C2B"/>
                <w:spacing w:val="-2"/>
                <w:w w:val="110"/>
                <w:sz w:val="13"/>
              </w:rPr>
              <w:t>1</w:t>
            </w:r>
            <w:r>
              <w:rPr>
                <w:rFonts w:ascii="Times New Roman"/>
                <w:color w:val="344872"/>
                <w:spacing w:val="-2"/>
                <w:w w:val="110"/>
                <w:sz w:val="13"/>
              </w:rPr>
              <w:t>,</w:t>
            </w:r>
            <w:r>
              <w:rPr>
                <w:rFonts w:ascii="Times New Roman"/>
                <w:color w:val="544F60"/>
                <w:spacing w:val="-2"/>
                <w:w w:val="110"/>
                <w:sz w:val="13"/>
              </w:rPr>
              <w:t>5</w:t>
            </w:r>
            <w:r>
              <w:rPr>
                <w:rFonts w:ascii="Times New Roman"/>
                <w:color w:val="283459"/>
                <w:spacing w:val="-2"/>
                <w:w w:val="110"/>
                <w:sz w:val="13"/>
              </w:rPr>
              <w:t>6</w:t>
            </w:r>
          </w:p>
        </w:tc>
        <w:tc>
          <w:tcPr>
            <w:tcW w:w="990" w:type="dxa"/>
            <w:tcBorders>
              <w:top w:val="single" w:sz="18" w:space="0" w:color="000000"/>
              <w:left w:val="single" w:sz="8" w:space="0" w:color="000000"/>
              <w:bottom w:val="single" w:sz="8" w:space="0" w:color="000000"/>
              <w:right w:val="single" w:sz="8" w:space="0" w:color="000000"/>
            </w:tcBorders>
          </w:tcPr>
          <w:p>
            <w:pPr>
              <w:pStyle w:val="TableParagraph"/>
              <w:spacing w:line="144" w:lineRule="exact" w:before="139"/>
              <w:ind w:left="84" w:right="-29"/>
              <w:jc w:val="center"/>
              <w:rPr>
                <w:rFonts w:ascii="Times New Roman"/>
                <w:sz w:val="13"/>
              </w:rPr>
            </w:pPr>
            <w:r>
              <w:rPr>
                <w:rFonts w:ascii="Times New Roman"/>
                <w:color w:val="1D1C2B"/>
                <w:w w:val="120"/>
                <w:sz w:val="13"/>
              </w:rPr>
              <w:t>U</w:t>
            </w:r>
            <w:r>
              <w:rPr>
                <w:rFonts w:ascii="Times New Roman"/>
                <w:color w:val="443F52"/>
                <w:w w:val="120"/>
                <w:sz w:val="13"/>
              </w:rPr>
              <w:t>3</w:t>
            </w:r>
            <w:r>
              <w:rPr>
                <w:rFonts w:ascii="Times New Roman"/>
                <w:color w:val="443F52"/>
                <w:spacing w:val="15"/>
                <w:w w:val="120"/>
                <w:sz w:val="13"/>
              </w:rPr>
              <w:t> </w:t>
            </w:r>
            <w:r>
              <w:rPr>
                <w:rFonts w:ascii="Times New Roman"/>
                <w:color w:val="443F52"/>
                <w:spacing w:val="-2"/>
                <w:w w:val="115"/>
                <w:sz w:val="13"/>
              </w:rPr>
              <w:t>72738</w:t>
            </w:r>
            <w:r>
              <w:rPr>
                <w:rFonts w:ascii="Times New Roman"/>
                <w:color w:val="344872"/>
                <w:spacing w:val="-2"/>
                <w:w w:val="115"/>
                <w:sz w:val="13"/>
              </w:rPr>
              <w:t>9</w:t>
            </w:r>
            <w:r>
              <w:rPr>
                <w:rFonts w:ascii="Times New Roman"/>
                <w:color w:val="544F60"/>
                <w:spacing w:val="-2"/>
                <w:w w:val="115"/>
                <w:sz w:val="13"/>
              </w:rPr>
              <w:t>,27</w:t>
            </w:r>
          </w:p>
        </w:tc>
        <w:tc>
          <w:tcPr>
            <w:tcW w:w="932" w:type="dxa"/>
            <w:tcBorders>
              <w:top w:val="single" w:sz="18" w:space="0" w:color="000000"/>
              <w:left w:val="single" w:sz="8" w:space="0" w:color="000000"/>
              <w:bottom w:val="single" w:sz="8" w:space="0" w:color="000000"/>
              <w:right w:val="single" w:sz="8" w:space="0" w:color="000000"/>
            </w:tcBorders>
          </w:tcPr>
          <w:p>
            <w:pPr>
              <w:pStyle w:val="TableParagraph"/>
              <w:spacing w:line="144" w:lineRule="exact" w:before="139"/>
              <w:ind w:left="75" w:right="-15"/>
              <w:jc w:val="center"/>
              <w:rPr>
                <w:rFonts w:ascii="Times New Roman"/>
                <w:i/>
                <w:sz w:val="13"/>
              </w:rPr>
            </w:pPr>
            <w:r>
              <w:rPr>
                <w:rFonts w:ascii="Times New Roman"/>
                <w:color w:val="133A72"/>
                <w:w w:val="120"/>
                <w:sz w:val="13"/>
              </w:rPr>
              <w:t>1</w:t>
            </w:r>
            <w:r>
              <w:rPr>
                <w:rFonts w:ascii="Times New Roman"/>
                <w:color w:val="0E0C36"/>
                <w:w w:val="120"/>
                <w:sz w:val="13"/>
              </w:rPr>
              <w:t>1</w:t>
            </w:r>
            <w:r>
              <w:rPr>
                <w:rFonts w:ascii="Times New Roman"/>
                <w:color w:val="0E0C36"/>
                <w:spacing w:val="-4"/>
                <w:w w:val="120"/>
                <w:sz w:val="13"/>
              </w:rPr>
              <w:t> </w:t>
            </w:r>
            <w:r>
              <w:rPr>
                <w:rFonts w:ascii="Times New Roman"/>
                <w:color w:val="544F60"/>
                <w:w w:val="120"/>
                <w:sz w:val="13"/>
              </w:rPr>
              <w:t>825</w:t>
            </w:r>
            <w:r>
              <w:rPr>
                <w:rFonts w:ascii="Times New Roman"/>
                <w:color w:val="544F60"/>
                <w:spacing w:val="-13"/>
                <w:w w:val="120"/>
                <w:sz w:val="13"/>
              </w:rPr>
              <w:t> </w:t>
            </w:r>
            <w:r>
              <w:rPr>
                <w:rFonts w:ascii="Times New Roman"/>
                <w:i/>
                <w:color w:val="0E0C36"/>
                <w:spacing w:val="-5"/>
                <w:w w:val="115"/>
                <w:sz w:val="13"/>
              </w:rPr>
              <w:t>4</w:t>
            </w:r>
            <w:r>
              <w:rPr>
                <w:rFonts w:ascii="Times New Roman"/>
                <w:i/>
                <w:color w:val="443F52"/>
                <w:spacing w:val="-5"/>
                <w:w w:val="115"/>
                <w:sz w:val="13"/>
              </w:rPr>
              <w:t>6</w:t>
            </w:r>
            <w:r>
              <w:rPr>
                <w:rFonts w:ascii="Times New Roman"/>
                <w:i/>
                <w:color w:val="1D1C2B"/>
                <w:spacing w:val="-5"/>
                <w:w w:val="115"/>
                <w:sz w:val="13"/>
              </w:rPr>
              <w:t>4,42</w:t>
            </w:r>
          </w:p>
        </w:tc>
        <w:tc>
          <w:tcPr>
            <w:tcW w:w="922" w:type="dxa"/>
            <w:tcBorders>
              <w:top w:val="single" w:sz="18" w:space="0" w:color="000000"/>
              <w:left w:val="single" w:sz="8" w:space="0" w:color="000000"/>
              <w:bottom w:val="single" w:sz="8" w:space="0" w:color="000000"/>
              <w:right w:val="single" w:sz="8" w:space="0" w:color="000000"/>
            </w:tcBorders>
          </w:tcPr>
          <w:p>
            <w:pPr>
              <w:pStyle w:val="TableParagraph"/>
              <w:spacing w:line="144" w:lineRule="exact" w:before="139"/>
              <w:ind w:left="81" w:right="-29"/>
              <w:rPr>
                <w:rFonts w:ascii="Times New Roman"/>
                <w:sz w:val="13"/>
              </w:rPr>
            </w:pPr>
            <w:r>
              <w:rPr>
                <w:rFonts w:ascii="Times New Roman"/>
                <w:color w:val="342B3B"/>
                <w:w w:val="115"/>
                <w:sz w:val="13"/>
              </w:rPr>
              <w:t>12</w:t>
            </w:r>
            <w:r>
              <w:rPr>
                <w:rFonts w:ascii="Times New Roman"/>
                <w:color w:val="342B3B"/>
                <w:spacing w:val="28"/>
                <w:w w:val="115"/>
                <w:sz w:val="13"/>
              </w:rPr>
              <w:t> </w:t>
            </w:r>
            <w:r>
              <w:rPr>
                <w:rFonts w:ascii="Times New Roman"/>
                <w:color w:val="0E0C36"/>
                <w:w w:val="115"/>
                <w:sz w:val="13"/>
              </w:rPr>
              <w:t>U</w:t>
            </w:r>
            <w:r>
              <w:rPr>
                <w:rFonts w:ascii="Times New Roman"/>
                <w:color w:val="544F60"/>
                <w:w w:val="115"/>
                <w:sz w:val="13"/>
              </w:rPr>
              <w:t>9</w:t>
            </w:r>
            <w:r>
              <w:rPr>
                <w:rFonts w:ascii="Times New Roman"/>
                <w:color w:val="544F60"/>
                <w:spacing w:val="5"/>
                <w:w w:val="115"/>
                <w:sz w:val="13"/>
              </w:rPr>
              <w:t> </w:t>
            </w:r>
            <w:r>
              <w:rPr>
                <w:rFonts w:ascii="Times New Roman"/>
                <w:color w:val="5B4244"/>
                <w:spacing w:val="-2"/>
                <w:w w:val="110"/>
                <w:sz w:val="13"/>
              </w:rPr>
              <w:t>09</w:t>
            </w:r>
            <w:r>
              <w:rPr>
                <w:rFonts w:ascii="Times New Roman"/>
                <w:color w:val="133A72"/>
                <w:spacing w:val="-2"/>
                <w:w w:val="110"/>
                <w:sz w:val="13"/>
              </w:rPr>
              <w:t>4</w:t>
            </w:r>
            <w:r>
              <w:rPr>
                <w:rFonts w:ascii="Times New Roman"/>
                <w:color w:val="485D7C"/>
                <w:spacing w:val="-2"/>
                <w:w w:val="110"/>
                <w:sz w:val="13"/>
              </w:rPr>
              <w:t>,</w:t>
            </w:r>
            <w:r>
              <w:rPr>
                <w:rFonts w:ascii="Times New Roman"/>
                <w:color w:val="283459"/>
                <w:spacing w:val="-2"/>
                <w:w w:val="110"/>
                <w:sz w:val="13"/>
              </w:rPr>
              <w:t>6</w:t>
            </w:r>
            <w:r>
              <w:rPr>
                <w:rFonts w:ascii="Times New Roman"/>
                <w:color w:val="342B3B"/>
                <w:spacing w:val="-2"/>
                <w:w w:val="110"/>
                <w:sz w:val="13"/>
              </w:rPr>
              <w:t>9</w:t>
            </w:r>
          </w:p>
        </w:tc>
        <w:tc>
          <w:tcPr>
            <w:tcW w:w="999" w:type="dxa"/>
            <w:tcBorders>
              <w:top w:val="single" w:sz="18" w:space="0" w:color="000000"/>
              <w:left w:val="single" w:sz="8" w:space="0" w:color="000000"/>
              <w:bottom w:val="single" w:sz="8" w:space="0" w:color="000000"/>
              <w:right w:val="single" w:sz="8" w:space="0" w:color="000000"/>
            </w:tcBorders>
          </w:tcPr>
          <w:p>
            <w:pPr>
              <w:pStyle w:val="TableParagraph"/>
              <w:spacing w:line="149" w:lineRule="exact" w:before="135"/>
              <w:ind w:right="31"/>
              <w:jc w:val="right"/>
              <w:rPr>
                <w:rFonts w:ascii="Times New Roman"/>
                <w:sz w:val="13"/>
              </w:rPr>
            </w:pPr>
            <w:r>
              <w:rPr>
                <w:rFonts w:ascii="Times New Roman"/>
                <w:color w:val="283459"/>
                <w:spacing w:val="-2"/>
                <w:sz w:val="13"/>
              </w:rPr>
              <w:t>1-l</w:t>
            </w:r>
            <w:r>
              <w:rPr>
                <w:rFonts w:ascii="Times New Roman"/>
                <w:color w:val="1D1C2B"/>
                <w:spacing w:val="-2"/>
                <w:sz w:val="13"/>
              </w:rPr>
              <w:t>-l</w:t>
            </w:r>
            <w:r>
              <w:rPr>
                <w:rFonts w:ascii="Times New Roman"/>
                <w:color w:val="1D1C2B"/>
                <w:spacing w:val="-10"/>
                <w:sz w:val="13"/>
              </w:rPr>
              <w:t> </w:t>
            </w:r>
            <w:r>
              <w:rPr>
                <w:rFonts w:ascii="Times New Roman"/>
                <w:color w:val="544F60"/>
                <w:spacing w:val="-2"/>
                <w:sz w:val="13"/>
              </w:rPr>
              <w:t>37</w:t>
            </w:r>
            <w:r>
              <w:rPr>
                <w:rFonts w:ascii="Times New Roman"/>
                <w:color w:val="1D1C2B"/>
                <w:spacing w:val="-2"/>
                <w:sz w:val="13"/>
              </w:rPr>
              <w:t>-l</w:t>
            </w:r>
            <w:r>
              <w:rPr>
                <w:rFonts w:ascii="Times New Roman"/>
                <w:color w:val="1D1C2B"/>
                <w:spacing w:val="4"/>
                <w:sz w:val="13"/>
              </w:rPr>
              <w:t> </w:t>
            </w:r>
            <w:r>
              <w:rPr>
                <w:rFonts w:ascii="Times New Roman"/>
                <w:color w:val="544F60"/>
                <w:spacing w:val="-2"/>
                <w:sz w:val="13"/>
              </w:rPr>
              <w:t>755,98</w:t>
            </w:r>
          </w:p>
        </w:tc>
        <w:tc>
          <w:tcPr>
            <w:tcW w:w="994" w:type="dxa"/>
            <w:tcBorders>
              <w:top w:val="single" w:sz="18" w:space="0" w:color="000000"/>
              <w:left w:val="single" w:sz="8" w:space="0" w:color="000000"/>
              <w:bottom w:val="single" w:sz="8" w:space="0" w:color="000000"/>
              <w:right w:val="single" w:sz="8" w:space="0" w:color="000000"/>
            </w:tcBorders>
          </w:tcPr>
          <w:p>
            <w:pPr>
              <w:pStyle w:val="TableParagraph"/>
              <w:spacing w:line="149" w:lineRule="exact" w:before="135"/>
              <w:ind w:right="31"/>
              <w:jc w:val="right"/>
              <w:rPr>
                <w:rFonts w:ascii="Times New Roman"/>
                <w:sz w:val="13"/>
              </w:rPr>
            </w:pPr>
            <w:r>
              <w:rPr>
                <w:rFonts w:ascii="Times New Roman"/>
                <w:color w:val="010000"/>
                <w:sz w:val="13"/>
              </w:rPr>
              <w:t>1</w:t>
            </w:r>
            <w:r>
              <w:rPr>
                <w:rFonts w:ascii="Times New Roman"/>
                <w:color w:val="544F60"/>
                <w:sz w:val="13"/>
              </w:rPr>
              <w:t>55</w:t>
            </w:r>
            <w:r>
              <w:rPr>
                <w:rFonts w:ascii="Times New Roman"/>
                <w:color w:val="544F60"/>
                <w:spacing w:val="8"/>
                <w:sz w:val="13"/>
              </w:rPr>
              <w:t> </w:t>
            </w:r>
            <w:r>
              <w:rPr>
                <w:rFonts w:ascii="Times New Roman"/>
                <w:color w:val="443F52"/>
                <w:sz w:val="13"/>
              </w:rPr>
              <w:t>876</w:t>
            </w:r>
            <w:r>
              <w:rPr>
                <w:rFonts w:ascii="Times New Roman"/>
                <w:color w:val="443F52"/>
                <w:spacing w:val="9"/>
                <w:sz w:val="13"/>
              </w:rPr>
              <w:t> </w:t>
            </w:r>
            <w:r>
              <w:rPr>
                <w:rFonts w:ascii="Times New Roman"/>
                <w:color w:val="1D1C2B"/>
                <w:sz w:val="13"/>
              </w:rPr>
              <w:t>-</w:t>
            </w:r>
            <w:r>
              <w:rPr>
                <w:rFonts w:ascii="Times New Roman"/>
                <w:color w:val="1D1C2B"/>
                <w:spacing w:val="-2"/>
                <w:sz w:val="13"/>
              </w:rPr>
              <w:t>!</w:t>
            </w:r>
            <w:r>
              <w:rPr>
                <w:rFonts w:ascii="Times New Roman"/>
                <w:color w:val="443F52"/>
                <w:spacing w:val="-2"/>
                <w:sz w:val="13"/>
              </w:rPr>
              <w:t>83</w:t>
            </w:r>
            <w:r>
              <w:rPr>
                <w:rFonts w:ascii="Times New Roman"/>
                <w:color w:val="6B6472"/>
                <w:spacing w:val="-2"/>
                <w:sz w:val="13"/>
              </w:rPr>
              <w:t>,</w:t>
            </w:r>
            <w:r>
              <w:rPr>
                <w:rFonts w:ascii="Times New Roman"/>
                <w:color w:val="283459"/>
                <w:spacing w:val="-2"/>
                <w:sz w:val="13"/>
              </w:rPr>
              <w:t>9</w:t>
            </w:r>
            <w:r>
              <w:rPr>
                <w:rFonts w:ascii="Times New Roman"/>
                <w:color w:val="544F60"/>
                <w:spacing w:val="-2"/>
                <w:sz w:val="13"/>
              </w:rPr>
              <w:t>6</w:t>
            </w:r>
          </w:p>
        </w:tc>
      </w:tr>
      <w:tr>
        <w:trPr>
          <w:trHeight w:val="172" w:hRule="atLeast"/>
        </w:trPr>
        <w:tc>
          <w:tcPr>
            <w:tcW w:w="2260" w:type="dxa"/>
            <w:tcBorders>
              <w:top w:val="single" w:sz="8" w:space="0" w:color="000000"/>
              <w:bottom w:val="single" w:sz="8" w:space="0" w:color="000000"/>
              <w:right w:val="single" w:sz="8" w:space="0" w:color="000000"/>
            </w:tcBorders>
          </w:tcPr>
          <w:p>
            <w:pPr>
              <w:pStyle w:val="TableParagraph"/>
              <w:spacing w:line="125" w:lineRule="exact" w:before="27"/>
              <w:ind w:left="39"/>
              <w:rPr>
                <w:rFonts w:ascii="Times New Roman"/>
                <w:sz w:val="12"/>
              </w:rPr>
            </w:pPr>
            <w:r>
              <w:rPr>
                <w:rFonts w:ascii="Times New Roman"/>
                <w:color w:val="283459"/>
                <w:w w:val="115"/>
                <w:sz w:val="12"/>
              </w:rPr>
              <w:t>T</w:t>
            </w:r>
            <w:r>
              <w:rPr>
                <w:rFonts w:ascii="Times New Roman"/>
                <w:color w:val="1D1C2B"/>
                <w:w w:val="115"/>
                <w:sz w:val="12"/>
              </w:rPr>
              <w:t>ran</w:t>
            </w:r>
            <w:r>
              <w:rPr>
                <w:rFonts w:ascii="Times New Roman"/>
                <w:color w:val="443F52"/>
                <w:w w:val="115"/>
                <w:sz w:val="12"/>
              </w:rPr>
              <w:t>sfe</w:t>
            </w:r>
            <w:r>
              <w:rPr>
                <w:rFonts w:ascii="Times New Roman"/>
                <w:color w:val="2F160F"/>
                <w:w w:val="115"/>
                <w:sz w:val="12"/>
              </w:rPr>
              <w:t>r</w:t>
            </w:r>
            <w:r>
              <w:rPr>
                <w:rFonts w:ascii="Times New Roman"/>
                <w:color w:val="342B3B"/>
                <w:w w:val="115"/>
                <w:sz w:val="12"/>
              </w:rPr>
              <w:t>en</w:t>
            </w:r>
            <w:r>
              <w:rPr>
                <w:rFonts w:ascii="Times New Roman"/>
                <w:color w:val="544F60"/>
                <w:w w:val="115"/>
                <w:sz w:val="12"/>
              </w:rPr>
              <w:t>c</w:t>
            </w:r>
            <w:r>
              <w:rPr>
                <w:rFonts w:ascii="Times New Roman"/>
                <w:color w:val="1D1C2B"/>
                <w:w w:val="115"/>
                <w:sz w:val="12"/>
              </w:rPr>
              <w:t>i</w:t>
            </w:r>
            <w:r>
              <w:rPr>
                <w:rFonts w:ascii="Times New Roman"/>
                <w:color w:val="443F52"/>
                <w:w w:val="115"/>
                <w:sz w:val="12"/>
              </w:rPr>
              <w:t>a</w:t>
            </w:r>
            <w:r>
              <w:rPr>
                <w:rFonts w:ascii="Times New Roman"/>
                <w:color w:val="283459"/>
                <w:w w:val="115"/>
                <w:sz w:val="12"/>
              </w:rPr>
              <w:t>s</w:t>
            </w:r>
            <w:r>
              <w:rPr>
                <w:rFonts w:ascii="Times New Roman"/>
                <w:color w:val="283459"/>
                <w:spacing w:val="-9"/>
                <w:w w:val="115"/>
                <w:sz w:val="12"/>
              </w:rPr>
              <w:t> </w:t>
            </w:r>
            <w:r>
              <w:rPr>
                <w:rFonts w:ascii="Times New Roman"/>
                <w:color w:val="443F52"/>
                <w:spacing w:val="-2"/>
                <w:w w:val="115"/>
                <w:sz w:val="12"/>
              </w:rPr>
              <w:t>i</w:t>
            </w:r>
            <w:r>
              <w:rPr>
                <w:rFonts w:ascii="Times New Roman"/>
                <w:color w:val="1D1C2B"/>
                <w:spacing w:val="-2"/>
                <w:w w:val="115"/>
                <w:sz w:val="12"/>
              </w:rPr>
              <w:t>n</w:t>
            </w:r>
            <w:r>
              <w:rPr>
                <w:rFonts w:ascii="Times New Roman"/>
                <w:color w:val="283459"/>
                <w:spacing w:val="-2"/>
                <w:w w:val="115"/>
                <w:sz w:val="12"/>
              </w:rPr>
              <w:t>t</w:t>
            </w:r>
            <w:r>
              <w:rPr>
                <w:rFonts w:ascii="Times New Roman"/>
                <w:color w:val="443F52"/>
                <w:spacing w:val="-2"/>
                <w:w w:val="115"/>
                <w:sz w:val="12"/>
              </w:rPr>
              <w:t>e</w:t>
            </w:r>
            <w:r>
              <w:rPr>
                <w:rFonts w:ascii="Times New Roman"/>
                <w:color w:val="1D1C2B"/>
                <w:spacing w:val="-2"/>
                <w:w w:val="115"/>
                <w:sz w:val="12"/>
              </w:rPr>
              <w:t>r</w:t>
            </w:r>
            <w:r>
              <w:rPr>
                <w:rFonts w:ascii="Times New Roman"/>
                <w:color w:val="344872"/>
                <w:spacing w:val="-2"/>
                <w:w w:val="115"/>
                <w:sz w:val="12"/>
              </w:rPr>
              <w:t>s</w:t>
            </w:r>
            <w:r>
              <w:rPr>
                <w:rFonts w:ascii="Times New Roman"/>
                <w:color w:val="443F52"/>
                <w:spacing w:val="-2"/>
                <w:w w:val="115"/>
                <w:sz w:val="12"/>
              </w:rPr>
              <w:t>eg</w:t>
            </w:r>
            <w:r>
              <w:rPr>
                <w:rFonts w:ascii="Times New Roman"/>
                <w:color w:val="1D1C2B"/>
                <w:spacing w:val="-2"/>
                <w:w w:val="115"/>
                <w:sz w:val="12"/>
              </w:rPr>
              <w:t>m</w:t>
            </w:r>
            <w:r>
              <w:rPr>
                <w:rFonts w:ascii="Times New Roman"/>
                <w:color w:val="443F52"/>
                <w:spacing w:val="-2"/>
                <w:w w:val="115"/>
                <w:sz w:val="12"/>
              </w:rPr>
              <w:t>e</w:t>
            </w:r>
            <w:r>
              <w:rPr>
                <w:rFonts w:ascii="Times New Roman"/>
                <w:color w:val="283459"/>
                <w:spacing w:val="-2"/>
                <w:w w:val="115"/>
                <w:sz w:val="12"/>
              </w:rPr>
              <w:t>n</w:t>
            </w:r>
            <w:r>
              <w:rPr>
                <w:rFonts w:ascii="Times New Roman"/>
                <w:color w:val="5B4244"/>
                <w:spacing w:val="-2"/>
                <w:w w:val="115"/>
                <w:sz w:val="12"/>
              </w:rPr>
              <w:t>t</w:t>
            </w:r>
            <w:r>
              <w:rPr>
                <w:rFonts w:ascii="Times New Roman"/>
                <w:color w:val="544F60"/>
                <w:spacing w:val="-2"/>
                <w:w w:val="115"/>
                <w:sz w:val="12"/>
              </w:rPr>
              <w:t>os</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99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93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92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99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0"/>
              </w:rPr>
            </w:pPr>
          </w:p>
        </w:tc>
      </w:tr>
      <w:tr>
        <w:trPr>
          <w:trHeight w:val="181" w:hRule="atLeast"/>
        </w:trPr>
        <w:tc>
          <w:tcPr>
            <w:tcW w:w="2260" w:type="dxa"/>
            <w:tcBorders>
              <w:top w:val="single" w:sz="8" w:space="0" w:color="000000"/>
              <w:bottom w:val="single" w:sz="8" w:space="0" w:color="000000"/>
              <w:right w:val="single" w:sz="8" w:space="0" w:color="000000"/>
            </w:tcBorders>
          </w:tcPr>
          <w:p>
            <w:pPr>
              <w:pStyle w:val="TableParagraph"/>
              <w:spacing w:line="139" w:lineRule="exact" w:before="22"/>
              <w:ind w:left="47"/>
              <w:rPr>
                <w:rFonts w:ascii="Times New Roman" w:hAnsi="Times New Roman"/>
                <w:sz w:val="13"/>
              </w:rPr>
            </w:pPr>
            <w:r>
              <w:rPr>
                <w:rFonts w:ascii="Times New Roman" w:hAnsi="Times New Roman"/>
                <w:color w:val="443F52"/>
                <w:sz w:val="13"/>
              </w:rPr>
              <w:t>O</w:t>
            </w:r>
            <w:r>
              <w:rPr>
                <w:rFonts w:ascii="Times New Roman" w:hAnsi="Times New Roman"/>
                <w:color w:val="4B2824"/>
                <w:sz w:val="13"/>
              </w:rPr>
              <w:t>u</w:t>
            </w:r>
            <w:r>
              <w:rPr>
                <w:rFonts w:ascii="Times New Roman" w:hAnsi="Times New Roman"/>
                <w:color w:val="544F60"/>
                <w:sz w:val="13"/>
              </w:rPr>
              <w:t>·os</w:t>
            </w:r>
            <w:r>
              <w:rPr>
                <w:rFonts w:ascii="Times New Roman" w:hAnsi="Times New Roman"/>
                <w:color w:val="544F60"/>
                <w:spacing w:val="-6"/>
                <w:sz w:val="13"/>
              </w:rPr>
              <w:t> </w:t>
            </w:r>
            <w:r>
              <w:rPr>
                <w:rFonts w:ascii="Times New Roman" w:hAnsi="Times New Roman"/>
                <w:color w:val="4B2824"/>
                <w:sz w:val="13"/>
              </w:rPr>
              <w:t>in</w:t>
            </w:r>
            <w:r>
              <w:rPr>
                <w:rFonts w:ascii="Times New Roman" w:hAnsi="Times New Roman"/>
                <w:color w:val="443F52"/>
                <w:sz w:val="13"/>
              </w:rPr>
              <w:t>g</w:t>
            </w:r>
            <w:r>
              <w:rPr>
                <w:rFonts w:ascii="Times New Roman" w:hAnsi="Times New Roman"/>
                <w:color w:val="112359"/>
                <w:sz w:val="13"/>
              </w:rPr>
              <w:t>r</w:t>
            </w:r>
            <w:r>
              <w:rPr>
                <w:rFonts w:ascii="Times New Roman" w:hAnsi="Times New Roman"/>
                <w:color w:val="544F60"/>
                <w:sz w:val="13"/>
              </w:rPr>
              <w:t>esos</w:t>
            </w:r>
            <w:r>
              <w:rPr>
                <w:rFonts w:ascii="Times New Roman" w:hAnsi="Times New Roman"/>
                <w:color w:val="544F60"/>
                <w:spacing w:val="-6"/>
                <w:sz w:val="13"/>
              </w:rPr>
              <w:t> </w:t>
            </w:r>
            <w:r>
              <w:rPr>
                <w:rFonts w:ascii="Times New Roman" w:hAnsi="Times New Roman"/>
                <w:color w:val="5B4244"/>
                <w:sz w:val="13"/>
              </w:rPr>
              <w:t>asig,.</w:t>
            </w:r>
            <w:r>
              <w:rPr>
                <w:rFonts w:ascii="Times New Roman" w:hAnsi="Times New Roman"/>
                <w:color w:val="1D1C2B"/>
                <w:sz w:val="13"/>
              </w:rPr>
              <w:t>iad</w:t>
            </w:r>
            <w:r>
              <w:rPr>
                <w:rFonts w:ascii="Times New Roman" w:hAnsi="Times New Roman"/>
                <w:color w:val="443F52"/>
                <w:sz w:val="13"/>
              </w:rPr>
              <w:t>os</w:t>
            </w:r>
            <w:r>
              <w:rPr>
                <w:rFonts w:ascii="Times New Roman" w:hAnsi="Times New Roman"/>
                <w:color w:val="443F52"/>
                <w:spacing w:val="-6"/>
                <w:sz w:val="13"/>
              </w:rPr>
              <w:t> </w:t>
            </w:r>
            <w:r>
              <w:rPr>
                <w:rFonts w:ascii="Times New Roman" w:hAnsi="Times New Roman"/>
                <w:color w:val="283459"/>
                <w:sz w:val="13"/>
              </w:rPr>
              <w:t>al</w:t>
            </w:r>
            <w:r>
              <w:rPr>
                <w:rFonts w:ascii="Times New Roman" w:hAnsi="Times New Roman"/>
                <w:color w:val="283459"/>
                <w:spacing w:val="2"/>
                <w:sz w:val="13"/>
              </w:rPr>
              <w:t> </w:t>
            </w:r>
            <w:r>
              <w:rPr>
                <w:rFonts w:ascii="Times New Roman" w:hAnsi="Times New Roman"/>
                <w:color w:val="443F52"/>
                <w:spacing w:val="-2"/>
                <w:sz w:val="13"/>
              </w:rPr>
              <w:t>seg</w:t>
            </w:r>
            <w:r>
              <w:rPr>
                <w:rFonts w:ascii="Times New Roman" w:hAnsi="Times New Roman"/>
                <w:color w:val="1D1C2B"/>
                <w:spacing w:val="-2"/>
                <w:sz w:val="13"/>
              </w:rPr>
              <w:t>111</w:t>
            </w:r>
            <w:r>
              <w:rPr>
                <w:rFonts w:ascii="Times New Roman" w:hAnsi="Times New Roman"/>
                <w:color w:val="443F52"/>
                <w:spacing w:val="-2"/>
                <w:sz w:val="13"/>
              </w:rPr>
              <w:t>e</w:t>
            </w:r>
            <w:r>
              <w:rPr>
                <w:rFonts w:ascii="Times New Roman" w:hAnsi="Times New Roman"/>
                <w:color w:val="1D1C2B"/>
                <w:spacing w:val="-2"/>
                <w:sz w:val="13"/>
              </w:rPr>
              <w:t>n</w:t>
            </w:r>
            <w:r>
              <w:rPr>
                <w:rFonts w:ascii="Times New Roman" w:hAnsi="Times New Roman"/>
                <w:color w:val="4B2824"/>
                <w:spacing w:val="-2"/>
                <w:sz w:val="13"/>
              </w:rPr>
              <w:t>t</w:t>
            </w:r>
            <w:r>
              <w:rPr>
                <w:rFonts w:ascii="Times New Roman" w:hAnsi="Times New Roman"/>
                <w:color w:val="544F60"/>
                <w:spacing w:val="-2"/>
                <w:sz w:val="13"/>
              </w:rPr>
              <w:t>o</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3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2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r>
      <w:tr>
        <w:trPr>
          <w:trHeight w:val="409" w:hRule="atLeast"/>
        </w:trPr>
        <w:tc>
          <w:tcPr>
            <w:tcW w:w="2260" w:type="dxa"/>
            <w:tcBorders>
              <w:top w:val="single" w:sz="8" w:space="0" w:color="000000"/>
              <w:bottom w:val="single" w:sz="18" w:space="0" w:color="000000"/>
              <w:right w:val="nil"/>
            </w:tcBorders>
          </w:tcPr>
          <w:p>
            <w:pPr>
              <w:pStyle w:val="TableParagraph"/>
              <w:spacing w:before="32"/>
              <w:ind w:left="38"/>
              <w:rPr>
                <w:rFonts w:ascii="Times New Roman"/>
                <w:sz w:val="14"/>
              </w:rPr>
            </w:pPr>
            <w:r>
              <w:rPr>
                <w:rFonts w:ascii="Times New Roman"/>
                <w:color w:val="EBEDE6"/>
                <w:w w:val="115"/>
                <w:sz w:val="14"/>
                <w:shd w:fill="833D11" w:color="auto" w:val="clear"/>
              </w:rPr>
              <w:t>Total</w:t>
            </w:r>
            <w:r>
              <w:rPr>
                <w:rFonts w:ascii="Times New Roman"/>
                <w:color w:val="EBEDE6"/>
                <w:spacing w:val="2"/>
                <w:w w:val="115"/>
                <w:sz w:val="14"/>
                <w:shd w:fill="833D11" w:color="auto" w:val="clear"/>
              </w:rPr>
              <w:t> </w:t>
            </w:r>
            <w:r>
              <w:rPr>
                <w:rFonts w:ascii="Times New Roman"/>
                <w:color w:val="EBEDE6"/>
                <w:w w:val="115"/>
                <w:sz w:val="14"/>
                <w:shd w:fill="833D11" w:color="auto" w:val="clear"/>
              </w:rPr>
              <w:t>Ingreso</w:t>
            </w:r>
            <w:r>
              <w:rPr>
                <w:rFonts w:ascii="Times New Roman"/>
                <w:color w:val="EBEDE6"/>
                <w:spacing w:val="13"/>
                <w:w w:val="115"/>
                <w:sz w:val="14"/>
                <w:shd w:fill="833D11" w:color="auto" w:val="clear"/>
              </w:rPr>
              <w:t> </w:t>
            </w:r>
            <w:r>
              <w:rPr>
                <w:rFonts w:ascii="Times New Roman"/>
                <w:color w:val="EBEDE6"/>
                <w:w w:val="115"/>
                <w:sz w:val="14"/>
                <w:shd w:fill="833D11" w:color="auto" w:val="clear"/>
              </w:rPr>
              <w:t>del</w:t>
            </w:r>
            <w:r>
              <w:rPr>
                <w:rFonts w:ascii="Times New Roman"/>
                <w:color w:val="EBEDE6"/>
                <w:spacing w:val="6"/>
                <w:w w:val="115"/>
                <w:sz w:val="14"/>
                <w:shd w:fill="833D11" w:color="auto" w:val="clear"/>
              </w:rPr>
              <w:t> </w:t>
            </w:r>
            <w:r>
              <w:rPr>
                <w:rFonts w:ascii="Times New Roman"/>
                <w:color w:val="EBEDE6"/>
                <w:spacing w:val="-2"/>
                <w:w w:val="115"/>
                <w:sz w:val="14"/>
                <w:shd w:fill="833D11" w:color="auto" w:val="clear"/>
              </w:rPr>
              <w:t>segmento</w:t>
            </w:r>
          </w:p>
          <w:p>
            <w:pPr>
              <w:pStyle w:val="TableParagraph"/>
              <w:spacing w:line="160" w:lineRule="exact" w:before="36"/>
              <w:ind w:left="46"/>
              <w:rPr>
                <w:rFonts w:ascii="Times New Roman"/>
                <w:b/>
                <w:sz w:val="14"/>
              </w:rPr>
            </w:pPr>
            <w:r>
              <w:rPr>
                <w:rFonts w:ascii="Times New Roman"/>
                <w:b/>
                <w:color w:val="EBEDE6"/>
                <w:w w:val="105"/>
                <w:sz w:val="14"/>
                <w:shd w:fill="2F5291" w:color="auto" w:val="clear"/>
              </w:rPr>
              <w:t>GASTO</w:t>
            </w:r>
            <w:r>
              <w:rPr>
                <w:rFonts w:ascii="Times New Roman"/>
                <w:b/>
                <w:color w:val="EBEDE6"/>
                <w:spacing w:val="-3"/>
                <w:w w:val="105"/>
                <w:sz w:val="14"/>
                <w:shd w:fill="2F5291" w:color="auto" w:val="clear"/>
              </w:rPr>
              <w:t> </w:t>
            </w:r>
            <w:r>
              <w:rPr>
                <w:rFonts w:ascii="Times New Roman"/>
                <w:b/>
                <w:color w:val="EBEDE6"/>
                <w:w w:val="105"/>
                <w:sz w:val="14"/>
                <w:shd w:fill="2F5291" w:color="auto" w:val="clear"/>
              </w:rPr>
              <w:t>POR</w:t>
            </w:r>
            <w:r>
              <w:rPr>
                <w:rFonts w:ascii="Times New Roman"/>
                <w:b/>
                <w:color w:val="EBEDE6"/>
                <w:spacing w:val="-7"/>
                <w:w w:val="105"/>
                <w:sz w:val="14"/>
                <w:shd w:fill="2F5291" w:color="auto" w:val="clear"/>
              </w:rPr>
              <w:t> </w:t>
            </w:r>
            <w:r>
              <w:rPr>
                <w:rFonts w:ascii="Times New Roman"/>
                <w:b/>
                <w:color w:val="DBDDD4"/>
                <w:spacing w:val="-2"/>
                <w:w w:val="105"/>
                <w:sz w:val="14"/>
                <w:shd w:fill="2F5291" w:color="auto" w:val="clear"/>
              </w:rPr>
              <w:t>SEGMENTO</w:t>
            </w:r>
          </w:p>
        </w:tc>
        <w:tc>
          <w:tcPr>
            <w:tcW w:w="1000" w:type="dxa"/>
            <w:tcBorders>
              <w:top w:val="single" w:sz="8" w:space="0" w:color="000000"/>
              <w:left w:val="nil"/>
              <w:bottom w:val="single" w:sz="18" w:space="0" w:color="000000"/>
              <w:right w:val="nil"/>
            </w:tcBorders>
          </w:tcPr>
          <w:p>
            <w:pPr>
              <w:pStyle w:val="TableParagraph"/>
              <w:spacing w:before="27"/>
              <w:ind w:left="63" w:right="4"/>
              <w:jc w:val="center"/>
              <w:rPr>
                <w:rFonts w:ascii="Times New Roman"/>
                <w:sz w:val="13"/>
              </w:rPr>
            </w:pPr>
            <w:r>
              <w:rPr>
                <w:rFonts w:ascii="Times New Roman"/>
                <w:color w:val="EBEDE6"/>
                <w:w w:val="105"/>
                <w:sz w:val="13"/>
                <w:shd w:fill="833D11" w:color="auto" w:val="clear"/>
              </w:rPr>
              <w:t>132</w:t>
            </w:r>
            <w:r>
              <w:rPr>
                <w:rFonts w:ascii="Times New Roman"/>
                <w:color w:val="EBEDE6"/>
                <w:spacing w:val="-6"/>
                <w:w w:val="105"/>
                <w:sz w:val="13"/>
                <w:shd w:fill="833D11" w:color="auto" w:val="clear"/>
              </w:rPr>
              <w:t> </w:t>
            </w:r>
            <w:r>
              <w:rPr>
                <w:rFonts w:ascii="Times New Roman"/>
                <w:i/>
                <w:color w:val="EBEDE6"/>
                <w:w w:val="105"/>
                <w:sz w:val="13"/>
                <w:shd w:fill="833D11" w:color="auto" w:val="clear"/>
              </w:rPr>
              <w:t>549 </w:t>
            </w:r>
            <w:r>
              <w:rPr>
                <w:rFonts w:ascii="Times New Roman"/>
                <w:color w:val="DBDDD4"/>
                <w:spacing w:val="-2"/>
                <w:w w:val="105"/>
                <w:sz w:val="13"/>
                <w:shd w:fill="833D11" w:color="auto" w:val="clear"/>
              </w:rPr>
              <w:t>291,56</w:t>
            </w:r>
          </w:p>
        </w:tc>
        <w:tc>
          <w:tcPr>
            <w:tcW w:w="990" w:type="dxa"/>
            <w:tcBorders>
              <w:top w:val="single" w:sz="8" w:space="0" w:color="000000"/>
              <w:left w:val="nil"/>
              <w:bottom w:val="single" w:sz="18" w:space="0" w:color="000000"/>
              <w:right w:val="nil"/>
            </w:tcBorders>
          </w:tcPr>
          <w:p>
            <w:pPr>
              <w:pStyle w:val="TableParagraph"/>
              <w:spacing w:before="27"/>
              <w:ind w:left="67" w:right="13"/>
              <w:jc w:val="center"/>
              <w:rPr>
                <w:rFonts w:ascii="Times New Roman"/>
                <w:sz w:val="13"/>
              </w:rPr>
            </w:pPr>
            <w:r>
              <w:rPr>
                <w:rFonts w:ascii="Times New Roman"/>
                <w:color w:val="EBEDE6"/>
                <w:sz w:val="13"/>
                <w:shd w:fill="833D11" w:color="auto" w:val="clear"/>
              </w:rPr>
              <w:t>1-!3</w:t>
            </w:r>
            <w:r>
              <w:rPr>
                <w:rFonts w:ascii="Times New Roman"/>
                <w:color w:val="EBEDE6"/>
                <w:spacing w:val="-4"/>
                <w:sz w:val="13"/>
                <w:shd w:fill="833D11" w:color="auto" w:val="clear"/>
              </w:rPr>
              <w:t> </w:t>
            </w:r>
            <w:r>
              <w:rPr>
                <w:rFonts w:ascii="Times New Roman"/>
                <w:color w:val="DBDDD4"/>
                <w:sz w:val="13"/>
                <w:shd w:fill="833D11" w:color="auto" w:val="clear"/>
              </w:rPr>
              <w:t>727</w:t>
            </w:r>
            <w:r>
              <w:rPr>
                <w:rFonts w:ascii="Times New Roman"/>
                <w:color w:val="DBDDD4"/>
                <w:spacing w:val="1"/>
                <w:sz w:val="13"/>
                <w:shd w:fill="833D11" w:color="auto" w:val="clear"/>
              </w:rPr>
              <w:t> </w:t>
            </w:r>
            <w:r>
              <w:rPr>
                <w:rFonts w:ascii="Times New Roman"/>
                <w:color w:val="DBDDD4"/>
                <w:spacing w:val="-2"/>
                <w:sz w:val="13"/>
                <w:shd w:fill="833D11" w:color="auto" w:val="clear"/>
              </w:rPr>
              <w:t>389,27</w:t>
            </w:r>
          </w:p>
        </w:tc>
        <w:tc>
          <w:tcPr>
            <w:tcW w:w="932" w:type="dxa"/>
            <w:tcBorders>
              <w:top w:val="single" w:sz="8" w:space="0" w:color="000000"/>
              <w:left w:val="nil"/>
              <w:bottom w:val="single" w:sz="18" w:space="0" w:color="000000"/>
              <w:right w:val="nil"/>
            </w:tcBorders>
          </w:tcPr>
          <w:p>
            <w:pPr>
              <w:pStyle w:val="TableParagraph"/>
              <w:spacing w:before="27"/>
              <w:ind w:left="67" w:right="9"/>
              <w:jc w:val="center"/>
              <w:rPr>
                <w:rFonts w:ascii="Times New Roman"/>
                <w:sz w:val="13"/>
              </w:rPr>
            </w:pPr>
            <w:r>
              <w:rPr>
                <w:rFonts w:ascii="Times New Roman"/>
                <w:color w:val="EBEDE6"/>
                <w:spacing w:val="-2"/>
                <w:sz w:val="13"/>
                <w:shd w:fill="833D11" w:color="auto" w:val="clear"/>
              </w:rPr>
              <w:t>11</w:t>
            </w:r>
            <w:r>
              <w:rPr>
                <w:rFonts w:ascii="Times New Roman"/>
                <w:color w:val="EBEDE6"/>
                <w:spacing w:val="-7"/>
                <w:sz w:val="13"/>
                <w:shd w:fill="833D11" w:color="auto" w:val="clear"/>
              </w:rPr>
              <w:t> </w:t>
            </w:r>
            <w:r>
              <w:rPr>
                <w:rFonts w:ascii="Times New Roman"/>
                <w:color w:val="DBDDD4"/>
                <w:spacing w:val="-2"/>
                <w:sz w:val="13"/>
                <w:shd w:fill="833D11" w:color="auto" w:val="clear"/>
              </w:rPr>
              <w:t>825</w:t>
            </w:r>
            <w:r>
              <w:rPr>
                <w:rFonts w:ascii="Times New Roman"/>
                <w:color w:val="DBDDD4"/>
                <w:spacing w:val="-3"/>
                <w:sz w:val="13"/>
                <w:shd w:fill="833D11" w:color="auto" w:val="clear"/>
              </w:rPr>
              <w:t> </w:t>
            </w:r>
            <w:r>
              <w:rPr>
                <w:rFonts w:ascii="Times New Roman"/>
                <w:color w:val="EBEDE6"/>
                <w:spacing w:val="-2"/>
                <w:sz w:val="13"/>
                <w:shd w:fill="833D11" w:color="auto" w:val="clear"/>
              </w:rPr>
              <w:t>-16-l</w:t>
            </w:r>
            <w:r>
              <w:rPr>
                <w:rFonts w:ascii="Times New Roman"/>
                <w:color w:val="D4CFBD"/>
                <w:spacing w:val="-2"/>
                <w:sz w:val="13"/>
                <w:shd w:fill="833D11" w:color="auto" w:val="clear"/>
              </w:rPr>
              <w:t>,</w:t>
            </w:r>
            <w:r>
              <w:rPr>
                <w:rFonts w:ascii="Times New Roman"/>
                <w:color w:val="EBEDE6"/>
                <w:spacing w:val="-2"/>
                <w:sz w:val="13"/>
                <w:shd w:fill="833D11" w:color="auto" w:val="clear"/>
              </w:rPr>
              <w:t>-</w:t>
            </w:r>
            <w:r>
              <w:rPr>
                <w:rFonts w:ascii="Times New Roman"/>
                <w:color w:val="EBEDE6"/>
                <w:spacing w:val="-5"/>
                <w:sz w:val="13"/>
                <w:shd w:fill="833D11" w:color="auto" w:val="clear"/>
              </w:rPr>
              <w:t>!2</w:t>
            </w:r>
          </w:p>
        </w:tc>
        <w:tc>
          <w:tcPr>
            <w:tcW w:w="922" w:type="dxa"/>
            <w:tcBorders>
              <w:top w:val="single" w:sz="8" w:space="0" w:color="000000"/>
              <w:left w:val="nil"/>
              <w:bottom w:val="single" w:sz="18" w:space="0" w:color="000000"/>
              <w:right w:val="nil"/>
            </w:tcBorders>
          </w:tcPr>
          <w:p>
            <w:pPr>
              <w:pStyle w:val="TableParagraph"/>
              <w:spacing w:before="27"/>
              <w:ind w:left="105"/>
              <w:rPr>
                <w:rFonts w:ascii="Times New Roman"/>
                <w:sz w:val="13"/>
              </w:rPr>
            </w:pPr>
            <w:r>
              <w:rPr>
                <w:rFonts w:ascii="Times New Roman"/>
                <w:color w:val="EBEDE6"/>
                <w:spacing w:val="-4"/>
                <w:sz w:val="13"/>
                <w:shd w:fill="833D11" w:color="auto" w:val="clear"/>
              </w:rPr>
              <w:t>12</w:t>
            </w:r>
            <w:r>
              <w:rPr>
                <w:rFonts w:ascii="Times New Roman"/>
                <w:color w:val="EBEDE6"/>
                <w:spacing w:val="16"/>
                <w:sz w:val="13"/>
                <w:shd w:fill="833D11" w:color="auto" w:val="clear"/>
              </w:rPr>
              <w:t> </w:t>
            </w:r>
            <w:r>
              <w:rPr>
                <w:rFonts w:ascii="Times New Roman"/>
                <w:color w:val="EBEDE6"/>
                <w:spacing w:val="-4"/>
                <w:sz w:val="13"/>
                <w:shd w:fill="833D11" w:color="auto" w:val="clear"/>
              </w:rPr>
              <w:t>1-19</w:t>
            </w:r>
            <w:r>
              <w:rPr>
                <w:rFonts w:ascii="Times New Roman"/>
                <w:color w:val="EBEDE6"/>
                <w:spacing w:val="-2"/>
                <w:sz w:val="13"/>
                <w:shd w:fill="833D11" w:color="auto" w:val="clear"/>
              </w:rPr>
              <w:t> </w:t>
            </w:r>
            <w:r>
              <w:rPr>
                <w:rFonts w:ascii="Times New Roman"/>
                <w:color w:val="DBDDD4"/>
                <w:spacing w:val="-4"/>
                <w:sz w:val="13"/>
                <w:shd w:fill="833D11" w:color="auto" w:val="clear"/>
              </w:rPr>
              <w:t>09-l,69</w:t>
            </w:r>
          </w:p>
        </w:tc>
        <w:tc>
          <w:tcPr>
            <w:tcW w:w="999" w:type="dxa"/>
            <w:tcBorders>
              <w:top w:val="single" w:sz="8" w:space="0" w:color="000000"/>
              <w:left w:val="nil"/>
              <w:bottom w:val="single" w:sz="18" w:space="0" w:color="000000"/>
              <w:right w:val="nil"/>
            </w:tcBorders>
          </w:tcPr>
          <w:p>
            <w:pPr>
              <w:pStyle w:val="TableParagraph"/>
              <w:spacing w:before="27"/>
              <w:ind w:right="38"/>
              <w:jc w:val="right"/>
              <w:rPr>
                <w:rFonts w:ascii="Times New Roman"/>
                <w:i/>
                <w:sz w:val="13"/>
              </w:rPr>
            </w:pPr>
            <w:r>
              <w:rPr>
                <w:rFonts w:ascii="Times New Roman"/>
                <w:color w:val="EBEDE6"/>
                <w:spacing w:val="-4"/>
                <w:sz w:val="13"/>
                <w:shd w:fill="833D11" w:color="auto" w:val="clear"/>
              </w:rPr>
              <w:t>1-l-l</w:t>
            </w:r>
            <w:r>
              <w:rPr>
                <w:rFonts w:ascii="Times New Roman"/>
                <w:color w:val="EBEDE6"/>
                <w:spacing w:val="4"/>
                <w:sz w:val="13"/>
                <w:shd w:fill="833D11" w:color="auto" w:val="clear"/>
              </w:rPr>
              <w:t> </w:t>
            </w:r>
            <w:r>
              <w:rPr>
                <w:rFonts w:ascii="Times New Roman"/>
                <w:color w:val="DBDDD4"/>
                <w:spacing w:val="-4"/>
                <w:sz w:val="13"/>
                <w:shd w:fill="833D11" w:color="auto" w:val="clear"/>
              </w:rPr>
              <w:t>37-l</w:t>
            </w:r>
            <w:r>
              <w:rPr>
                <w:rFonts w:ascii="Times New Roman"/>
                <w:color w:val="DBDDD4"/>
                <w:spacing w:val="-9"/>
                <w:sz w:val="13"/>
                <w:shd w:fill="833D11" w:color="auto" w:val="clear"/>
              </w:rPr>
              <w:t> </w:t>
            </w:r>
            <w:r>
              <w:rPr>
                <w:rFonts w:ascii="Times New Roman"/>
                <w:i/>
                <w:color w:val="DBDDD4"/>
                <w:spacing w:val="-4"/>
                <w:sz w:val="13"/>
                <w:shd w:fill="833D11" w:color="auto" w:val="clear"/>
              </w:rPr>
              <w:t>755,98</w:t>
            </w:r>
          </w:p>
        </w:tc>
        <w:tc>
          <w:tcPr>
            <w:tcW w:w="994" w:type="dxa"/>
            <w:tcBorders>
              <w:top w:val="single" w:sz="8" w:space="0" w:color="000000"/>
              <w:left w:val="nil"/>
              <w:bottom w:val="single" w:sz="18" w:space="0" w:color="000000"/>
              <w:right w:val="single" w:sz="18" w:space="0" w:color="000000"/>
            </w:tcBorders>
          </w:tcPr>
          <w:p>
            <w:pPr>
              <w:pStyle w:val="TableParagraph"/>
              <w:spacing w:before="27"/>
              <w:ind w:right="9"/>
              <w:jc w:val="right"/>
              <w:rPr>
                <w:rFonts w:ascii="Times New Roman"/>
                <w:sz w:val="13"/>
              </w:rPr>
            </w:pPr>
            <w:r>
              <w:rPr>
                <w:rFonts w:ascii="Times New Roman"/>
                <w:i/>
                <w:color w:val="EBEDE6"/>
                <w:sz w:val="13"/>
                <w:shd w:fill="833D11" w:color="auto" w:val="clear"/>
              </w:rPr>
              <w:t>155</w:t>
            </w:r>
            <w:r>
              <w:rPr>
                <w:rFonts w:ascii="Times New Roman"/>
                <w:i/>
                <w:color w:val="EBEDE6"/>
                <w:spacing w:val="6"/>
                <w:sz w:val="13"/>
                <w:shd w:fill="833D11" w:color="auto" w:val="clear"/>
              </w:rPr>
              <w:t> </w:t>
            </w:r>
            <w:r>
              <w:rPr>
                <w:rFonts w:ascii="Times New Roman"/>
                <w:color w:val="DBDDD4"/>
                <w:sz w:val="13"/>
                <w:shd w:fill="833D11" w:color="auto" w:val="clear"/>
              </w:rPr>
              <w:t>876</w:t>
            </w:r>
            <w:r>
              <w:rPr>
                <w:rFonts w:ascii="Times New Roman"/>
                <w:color w:val="DBDDD4"/>
                <w:spacing w:val="7"/>
                <w:sz w:val="13"/>
                <w:shd w:fill="833D11" w:color="auto" w:val="clear"/>
              </w:rPr>
              <w:t> </w:t>
            </w:r>
            <w:r>
              <w:rPr>
                <w:rFonts w:ascii="Times New Roman"/>
                <w:color w:val="EBEDE6"/>
                <w:sz w:val="13"/>
                <w:shd w:fill="833D11" w:color="auto" w:val="clear"/>
              </w:rPr>
              <w:t>-</w:t>
            </w:r>
            <w:r>
              <w:rPr>
                <w:rFonts w:ascii="Times New Roman"/>
                <w:color w:val="EBEDE6"/>
                <w:spacing w:val="-2"/>
                <w:sz w:val="13"/>
                <w:shd w:fill="833D11" w:color="auto" w:val="clear"/>
              </w:rPr>
              <w:t>183</w:t>
            </w:r>
            <w:r>
              <w:rPr>
                <w:rFonts w:ascii="Times New Roman"/>
                <w:color w:val="D4CFBD"/>
                <w:spacing w:val="-2"/>
                <w:sz w:val="13"/>
                <w:shd w:fill="833D11" w:color="auto" w:val="clear"/>
              </w:rPr>
              <w:t>,96</w:t>
            </w:r>
          </w:p>
        </w:tc>
      </w:tr>
      <w:tr>
        <w:trPr>
          <w:trHeight w:val="294" w:hRule="atLeast"/>
        </w:trPr>
        <w:tc>
          <w:tcPr>
            <w:tcW w:w="2260" w:type="dxa"/>
            <w:tcBorders>
              <w:top w:val="single" w:sz="18" w:space="0" w:color="000000"/>
              <w:bottom w:val="single" w:sz="8" w:space="0" w:color="000000"/>
              <w:right w:val="single" w:sz="8" w:space="0" w:color="000000"/>
            </w:tcBorders>
          </w:tcPr>
          <w:p>
            <w:pPr>
              <w:pStyle w:val="TableParagraph"/>
              <w:spacing w:line="121" w:lineRule="exact"/>
              <w:ind w:left="47"/>
              <w:rPr>
                <w:rFonts w:ascii="Times New Roman" w:hAnsi="Times New Roman"/>
                <w:sz w:val="13"/>
              </w:rPr>
            </w:pPr>
            <w:r>
              <w:rPr>
                <w:rFonts w:ascii="Times New Roman" w:hAnsi="Times New Roman"/>
                <w:color w:val="342B3B"/>
                <w:w w:val="105"/>
                <w:sz w:val="13"/>
              </w:rPr>
              <w:t>Ga</w:t>
            </w:r>
            <w:r>
              <w:rPr>
                <w:rFonts w:ascii="Times New Roman" w:hAnsi="Times New Roman"/>
                <w:color w:val="5B4244"/>
                <w:w w:val="105"/>
                <w:sz w:val="13"/>
              </w:rPr>
              <w:t>s</w:t>
            </w:r>
            <w:r>
              <w:rPr>
                <w:rFonts w:ascii="Times New Roman" w:hAnsi="Times New Roman"/>
                <w:color w:val="1D1C2B"/>
                <w:w w:val="105"/>
                <w:sz w:val="13"/>
              </w:rPr>
              <w:t>t</w:t>
            </w:r>
            <w:r>
              <w:rPr>
                <w:rFonts w:ascii="Times New Roman" w:hAnsi="Times New Roman"/>
                <w:color w:val="443F52"/>
                <w:w w:val="105"/>
                <w:sz w:val="13"/>
              </w:rPr>
              <w:t>os</w:t>
            </w:r>
            <w:r>
              <w:rPr>
                <w:rFonts w:ascii="Times New Roman" w:hAnsi="Times New Roman"/>
                <w:color w:val="443F52"/>
                <w:spacing w:val="-9"/>
                <w:w w:val="105"/>
                <w:sz w:val="13"/>
              </w:rPr>
              <w:t> </w:t>
            </w:r>
            <w:r>
              <w:rPr>
                <w:rFonts w:ascii="Times New Roman" w:hAnsi="Times New Roman"/>
                <w:color w:val="1D1C2B"/>
                <w:w w:val="105"/>
                <w:sz w:val="13"/>
              </w:rPr>
              <w:t>d</w:t>
            </w:r>
            <w:r>
              <w:rPr>
                <w:rFonts w:ascii="Times New Roman" w:hAnsi="Times New Roman"/>
                <w:color w:val="443F52"/>
                <w:w w:val="105"/>
                <w:sz w:val="13"/>
              </w:rPr>
              <w:t>e</w:t>
            </w:r>
            <w:r>
              <w:rPr>
                <w:rFonts w:ascii="Times New Roman" w:hAnsi="Times New Roman"/>
                <w:color w:val="443F52"/>
                <w:spacing w:val="-5"/>
                <w:w w:val="105"/>
                <w:sz w:val="13"/>
              </w:rPr>
              <w:t> </w:t>
            </w:r>
            <w:r>
              <w:rPr>
                <w:rFonts w:ascii="Times New Roman" w:hAnsi="Times New Roman"/>
                <w:color w:val="443F52"/>
                <w:w w:val="105"/>
                <w:sz w:val="13"/>
              </w:rPr>
              <w:t>la</w:t>
            </w:r>
            <w:r>
              <w:rPr>
                <w:rFonts w:ascii="Times New Roman" w:hAnsi="Times New Roman"/>
                <w:color w:val="443F52"/>
                <w:spacing w:val="-4"/>
                <w:w w:val="105"/>
                <w:sz w:val="13"/>
              </w:rPr>
              <w:t> </w:t>
            </w:r>
            <w:r>
              <w:rPr>
                <w:rFonts w:ascii="Times New Roman" w:hAnsi="Times New Roman"/>
                <w:color w:val="283459"/>
                <w:w w:val="105"/>
                <w:sz w:val="13"/>
              </w:rPr>
              <w:t>acri,idad</w:t>
            </w:r>
            <w:r>
              <w:rPr>
                <w:rFonts w:ascii="Times New Roman" w:hAnsi="Times New Roman"/>
                <w:color w:val="283459"/>
                <w:spacing w:val="-8"/>
                <w:w w:val="105"/>
                <w:sz w:val="13"/>
              </w:rPr>
              <w:t> </w:t>
            </w:r>
            <w:r>
              <w:rPr>
                <w:rFonts w:ascii="Times New Roman" w:hAnsi="Times New Roman"/>
                <w:color w:val="342B3B"/>
                <w:w w:val="105"/>
                <w:sz w:val="13"/>
              </w:rPr>
              <w:t>ope</w:t>
            </w:r>
            <w:r>
              <w:rPr>
                <w:rFonts w:ascii="Times New Roman" w:hAnsi="Times New Roman"/>
                <w:color w:val="344872"/>
                <w:w w:val="105"/>
                <w:sz w:val="13"/>
              </w:rPr>
              <w:t>r</w:t>
            </w:r>
            <w:r>
              <w:rPr>
                <w:rFonts w:ascii="Times New Roman" w:hAnsi="Times New Roman"/>
                <w:color w:val="443F52"/>
                <w:w w:val="105"/>
                <w:sz w:val="13"/>
              </w:rPr>
              <w:t>a</w:t>
            </w:r>
            <w:r>
              <w:rPr>
                <w:rFonts w:ascii="Times New Roman" w:hAnsi="Times New Roman"/>
                <w:color w:val="4B2824"/>
                <w:w w:val="105"/>
                <w:sz w:val="13"/>
              </w:rPr>
              <w:t>r</w:t>
            </w:r>
            <w:r>
              <w:rPr>
                <w:rFonts w:ascii="Times New Roman" w:hAnsi="Times New Roman"/>
                <w:color w:val="1D1C2B"/>
                <w:w w:val="105"/>
                <w:sz w:val="13"/>
              </w:rPr>
              <w:t>h·a</w:t>
            </w:r>
            <w:r>
              <w:rPr>
                <w:rFonts w:ascii="Times New Roman" w:hAnsi="Times New Roman"/>
                <w:color w:val="1D1C2B"/>
                <w:spacing w:val="-3"/>
                <w:w w:val="105"/>
                <w:sz w:val="13"/>
              </w:rPr>
              <w:t> </w:t>
            </w:r>
            <w:r>
              <w:rPr>
                <w:rFonts w:ascii="Times New Roman" w:hAnsi="Times New Roman"/>
                <w:color w:val="342B3B"/>
                <w:spacing w:val="-5"/>
                <w:w w:val="105"/>
                <w:sz w:val="13"/>
              </w:rPr>
              <w:t>del</w:t>
            </w:r>
          </w:p>
          <w:p>
            <w:pPr>
              <w:pStyle w:val="TableParagraph"/>
              <w:spacing w:line="130" w:lineRule="exact" w:before="23"/>
              <w:ind w:left="45"/>
              <w:rPr>
                <w:rFonts w:ascii="Times New Roman"/>
                <w:sz w:val="13"/>
              </w:rPr>
            </w:pPr>
            <w:r>
              <w:rPr>
                <w:rFonts w:ascii="Times New Roman"/>
                <w:color w:val="342B3B"/>
                <w:spacing w:val="-2"/>
                <w:w w:val="105"/>
                <w:sz w:val="13"/>
              </w:rPr>
              <w:t>segme</w:t>
            </w:r>
            <w:r>
              <w:rPr>
                <w:rFonts w:ascii="Times New Roman"/>
                <w:color w:val="283459"/>
                <w:spacing w:val="-2"/>
                <w:w w:val="105"/>
                <w:sz w:val="13"/>
              </w:rPr>
              <w:t>nt</w:t>
            </w:r>
            <w:r>
              <w:rPr>
                <w:rFonts w:ascii="Times New Roman"/>
                <w:color w:val="5B4244"/>
                <w:spacing w:val="-2"/>
                <w:w w:val="105"/>
                <w:sz w:val="13"/>
              </w:rPr>
              <w:t>o</w:t>
            </w:r>
          </w:p>
        </w:tc>
        <w:tc>
          <w:tcPr>
            <w:tcW w:w="1000" w:type="dxa"/>
            <w:tcBorders>
              <w:top w:val="single" w:sz="18" w:space="0" w:color="000000"/>
              <w:left w:val="single" w:sz="8" w:space="0" w:color="000000"/>
              <w:bottom w:val="single" w:sz="8" w:space="0" w:color="000000"/>
              <w:right w:val="single" w:sz="8" w:space="0" w:color="000000"/>
            </w:tcBorders>
          </w:tcPr>
          <w:p>
            <w:pPr>
              <w:pStyle w:val="TableParagraph"/>
              <w:spacing w:before="67"/>
              <w:ind w:left="28"/>
              <w:jc w:val="center"/>
              <w:rPr>
                <w:rFonts w:ascii="Times New Roman"/>
                <w:sz w:val="13"/>
              </w:rPr>
            </w:pPr>
            <w:r>
              <w:rPr>
                <w:rFonts w:ascii="Times New Roman"/>
                <w:color w:val="1D1C2B"/>
                <w:w w:val="105"/>
                <w:sz w:val="13"/>
              </w:rPr>
              <w:t>1</w:t>
            </w:r>
            <w:r>
              <w:rPr>
                <w:rFonts w:ascii="Times New Roman"/>
                <w:color w:val="443F52"/>
                <w:w w:val="105"/>
                <w:sz w:val="13"/>
              </w:rPr>
              <w:t>20</w:t>
            </w:r>
            <w:r>
              <w:rPr>
                <w:rFonts w:ascii="Times New Roman"/>
                <w:color w:val="443F52"/>
                <w:spacing w:val="14"/>
                <w:w w:val="105"/>
                <w:sz w:val="13"/>
              </w:rPr>
              <w:t> </w:t>
            </w:r>
            <w:r>
              <w:rPr>
                <w:rFonts w:ascii="Times New Roman"/>
                <w:color w:val="5B4244"/>
                <w:w w:val="105"/>
                <w:sz w:val="13"/>
              </w:rPr>
              <w:t>070</w:t>
            </w:r>
            <w:r>
              <w:rPr>
                <w:rFonts w:ascii="Times New Roman"/>
                <w:color w:val="5B4244"/>
                <w:spacing w:val="25"/>
                <w:w w:val="105"/>
                <w:sz w:val="13"/>
              </w:rPr>
              <w:t> </w:t>
            </w:r>
            <w:r>
              <w:rPr>
                <w:rFonts w:ascii="Times New Roman"/>
                <w:color w:val="544F60"/>
                <w:spacing w:val="-2"/>
                <w:w w:val="105"/>
                <w:sz w:val="13"/>
              </w:rPr>
              <w:t>7</w:t>
            </w:r>
            <w:r>
              <w:rPr>
                <w:rFonts w:ascii="Times New Roman"/>
                <w:color w:val="1D1C2B"/>
                <w:spacing w:val="-2"/>
                <w:w w:val="105"/>
                <w:sz w:val="13"/>
              </w:rPr>
              <w:t>.J.</w:t>
            </w:r>
            <w:r>
              <w:rPr>
                <w:rFonts w:ascii="Times New Roman"/>
                <w:color w:val="544F60"/>
                <w:spacing w:val="-2"/>
                <w:w w:val="105"/>
                <w:sz w:val="13"/>
              </w:rPr>
              <w:t>7,</w:t>
            </w:r>
            <w:r>
              <w:rPr>
                <w:rFonts w:ascii="Times New Roman"/>
                <w:color w:val="344872"/>
                <w:spacing w:val="-2"/>
                <w:w w:val="105"/>
                <w:sz w:val="13"/>
              </w:rPr>
              <w:t>0</w:t>
            </w:r>
            <w:r>
              <w:rPr>
                <w:rFonts w:ascii="Times New Roman"/>
                <w:color w:val="544F60"/>
                <w:spacing w:val="-2"/>
                <w:w w:val="105"/>
                <w:sz w:val="13"/>
              </w:rPr>
              <w:t>5</w:t>
            </w:r>
          </w:p>
        </w:tc>
        <w:tc>
          <w:tcPr>
            <w:tcW w:w="990" w:type="dxa"/>
            <w:tcBorders>
              <w:top w:val="single" w:sz="18" w:space="0" w:color="000000"/>
              <w:left w:val="single" w:sz="8" w:space="0" w:color="000000"/>
              <w:bottom w:val="single" w:sz="8" w:space="0" w:color="000000"/>
              <w:right w:val="single" w:sz="8" w:space="0" w:color="000000"/>
            </w:tcBorders>
          </w:tcPr>
          <w:p>
            <w:pPr>
              <w:pStyle w:val="TableParagraph"/>
              <w:spacing w:before="67"/>
              <w:ind w:left="38"/>
              <w:jc w:val="center"/>
              <w:rPr>
                <w:rFonts w:ascii="Times New Roman"/>
                <w:sz w:val="13"/>
              </w:rPr>
            </w:pPr>
            <w:r>
              <w:rPr>
                <w:rFonts w:ascii="Times New Roman"/>
                <w:color w:val="0E0C36"/>
                <w:w w:val="110"/>
                <w:sz w:val="13"/>
              </w:rPr>
              <w:t>1</w:t>
            </w:r>
            <w:r>
              <w:rPr>
                <w:rFonts w:ascii="Times New Roman"/>
                <w:color w:val="443F52"/>
                <w:w w:val="110"/>
                <w:sz w:val="13"/>
              </w:rPr>
              <w:t>23</w:t>
            </w:r>
            <w:r>
              <w:rPr>
                <w:rFonts w:ascii="Times New Roman"/>
                <w:color w:val="443F52"/>
                <w:spacing w:val="1"/>
                <w:w w:val="110"/>
                <w:sz w:val="13"/>
              </w:rPr>
              <w:t> </w:t>
            </w:r>
            <w:r>
              <w:rPr>
                <w:rFonts w:ascii="Times New Roman"/>
                <w:i/>
                <w:color w:val="443F52"/>
                <w:w w:val="110"/>
                <w:sz w:val="13"/>
              </w:rPr>
              <w:t>653</w:t>
            </w:r>
            <w:r>
              <w:rPr>
                <w:rFonts w:ascii="Times New Roman"/>
                <w:i/>
                <w:color w:val="443F52"/>
                <w:spacing w:val="13"/>
                <w:w w:val="110"/>
                <w:sz w:val="13"/>
              </w:rPr>
              <w:t> </w:t>
            </w:r>
            <w:r>
              <w:rPr>
                <w:rFonts w:ascii="Times New Roman"/>
                <w:color w:val="1D1C2B"/>
                <w:spacing w:val="-2"/>
                <w:w w:val="110"/>
                <w:sz w:val="13"/>
              </w:rPr>
              <w:t>4</w:t>
            </w:r>
            <w:r>
              <w:rPr>
                <w:rFonts w:ascii="Times New Roman"/>
                <w:color w:val="443F52"/>
                <w:spacing w:val="-2"/>
                <w:w w:val="110"/>
                <w:sz w:val="13"/>
              </w:rPr>
              <w:t>7</w:t>
            </w:r>
            <w:r>
              <w:rPr>
                <w:rFonts w:ascii="Times New Roman"/>
                <w:color w:val="6B6472"/>
                <w:spacing w:val="-2"/>
                <w:w w:val="110"/>
                <w:sz w:val="13"/>
              </w:rPr>
              <w:t>0</w:t>
            </w:r>
            <w:r>
              <w:rPr>
                <w:rFonts w:ascii="Times New Roman"/>
                <w:color w:val="5B4244"/>
                <w:spacing w:val="-2"/>
                <w:w w:val="110"/>
                <w:sz w:val="13"/>
              </w:rPr>
              <w:t>,28</w:t>
            </w:r>
          </w:p>
        </w:tc>
        <w:tc>
          <w:tcPr>
            <w:tcW w:w="932" w:type="dxa"/>
            <w:tcBorders>
              <w:top w:val="single" w:sz="18" w:space="0" w:color="000000"/>
              <w:left w:val="single" w:sz="8" w:space="0" w:color="000000"/>
              <w:bottom w:val="single" w:sz="8" w:space="0" w:color="000000"/>
              <w:right w:val="single" w:sz="8" w:space="0" w:color="000000"/>
            </w:tcBorders>
          </w:tcPr>
          <w:p>
            <w:pPr>
              <w:pStyle w:val="TableParagraph"/>
              <w:spacing w:before="67"/>
              <w:ind w:right="35"/>
              <w:jc w:val="center"/>
              <w:rPr>
                <w:rFonts w:ascii="Times New Roman"/>
                <w:sz w:val="13"/>
              </w:rPr>
            </w:pPr>
            <w:r>
              <w:rPr>
                <w:rFonts w:ascii="Times New Roman"/>
                <w:color w:val="5B4244"/>
                <w:w w:val="115"/>
                <w:sz w:val="13"/>
              </w:rPr>
              <w:t>9</w:t>
            </w:r>
            <w:r>
              <w:rPr>
                <w:rFonts w:ascii="Times New Roman"/>
                <w:color w:val="5B4244"/>
                <w:spacing w:val="-7"/>
                <w:w w:val="115"/>
                <w:sz w:val="13"/>
              </w:rPr>
              <w:t> </w:t>
            </w:r>
            <w:r>
              <w:rPr>
                <w:rFonts w:ascii="Times New Roman"/>
                <w:color w:val="342B3B"/>
                <w:w w:val="115"/>
                <w:sz w:val="13"/>
              </w:rPr>
              <w:t>9</w:t>
            </w:r>
            <w:r>
              <w:rPr>
                <w:rFonts w:ascii="Times New Roman"/>
                <w:color w:val="5B4244"/>
                <w:w w:val="115"/>
                <w:sz w:val="13"/>
              </w:rPr>
              <w:t>09</w:t>
            </w:r>
            <w:r>
              <w:rPr>
                <w:rFonts w:ascii="Times New Roman"/>
                <w:color w:val="5B4244"/>
                <w:spacing w:val="-5"/>
                <w:w w:val="115"/>
                <w:sz w:val="13"/>
              </w:rPr>
              <w:t> </w:t>
            </w:r>
            <w:r>
              <w:rPr>
                <w:rFonts w:ascii="Times New Roman"/>
                <w:color w:val="544F60"/>
                <w:spacing w:val="-2"/>
                <w:w w:val="115"/>
                <w:sz w:val="13"/>
              </w:rPr>
              <w:t>5</w:t>
            </w:r>
            <w:r>
              <w:rPr>
                <w:rFonts w:ascii="Times New Roman"/>
                <w:color w:val="342B3B"/>
                <w:spacing w:val="-2"/>
                <w:w w:val="115"/>
                <w:sz w:val="13"/>
              </w:rPr>
              <w:t>80</w:t>
            </w:r>
            <w:r>
              <w:rPr>
                <w:rFonts w:ascii="Times New Roman"/>
                <w:color w:val="544F60"/>
                <w:spacing w:val="-2"/>
                <w:w w:val="115"/>
                <w:sz w:val="13"/>
              </w:rPr>
              <w:t>,6</w:t>
            </w:r>
            <w:r>
              <w:rPr>
                <w:rFonts w:ascii="Times New Roman"/>
                <w:color w:val="1D1C2B"/>
                <w:spacing w:val="-2"/>
                <w:w w:val="115"/>
                <w:sz w:val="13"/>
              </w:rPr>
              <w:t>1</w:t>
            </w:r>
          </w:p>
        </w:tc>
        <w:tc>
          <w:tcPr>
            <w:tcW w:w="922" w:type="dxa"/>
            <w:tcBorders>
              <w:top w:val="single" w:sz="18" w:space="0" w:color="000000"/>
              <w:left w:val="single" w:sz="8" w:space="0" w:color="000000"/>
              <w:bottom w:val="single" w:sz="8" w:space="0" w:color="000000"/>
              <w:right w:val="single" w:sz="8" w:space="0" w:color="000000"/>
            </w:tcBorders>
          </w:tcPr>
          <w:p>
            <w:pPr>
              <w:pStyle w:val="TableParagraph"/>
              <w:spacing w:before="67"/>
              <w:ind w:left="44"/>
              <w:rPr>
                <w:rFonts w:ascii="Times New Roman"/>
                <w:sz w:val="13"/>
              </w:rPr>
            </w:pPr>
            <w:r>
              <w:rPr>
                <w:rFonts w:ascii="Times New Roman"/>
                <w:i/>
                <w:color w:val="5B4244"/>
                <w:w w:val="110"/>
                <w:sz w:val="13"/>
              </w:rPr>
              <w:t>9</w:t>
            </w:r>
            <w:r>
              <w:rPr>
                <w:rFonts w:ascii="Times New Roman"/>
                <w:i/>
                <w:color w:val="5B4244"/>
                <w:spacing w:val="1"/>
                <w:w w:val="110"/>
                <w:sz w:val="13"/>
              </w:rPr>
              <w:t> </w:t>
            </w:r>
            <w:r>
              <w:rPr>
                <w:rFonts w:ascii="Times New Roman"/>
                <w:i/>
                <w:color w:val="443F52"/>
                <w:w w:val="110"/>
                <w:sz w:val="13"/>
              </w:rPr>
              <w:t>576</w:t>
            </w:r>
            <w:r>
              <w:rPr>
                <w:rFonts w:ascii="Times New Roman"/>
                <w:i/>
                <w:color w:val="443F52"/>
                <w:spacing w:val="16"/>
                <w:w w:val="110"/>
                <w:sz w:val="13"/>
              </w:rPr>
              <w:t> </w:t>
            </w:r>
            <w:r>
              <w:rPr>
                <w:rFonts w:ascii="Times New Roman"/>
                <w:color w:val="2F160F"/>
                <w:spacing w:val="-2"/>
                <w:w w:val="110"/>
                <w:sz w:val="13"/>
              </w:rPr>
              <w:t>4</w:t>
            </w:r>
            <w:r>
              <w:rPr>
                <w:rFonts w:ascii="Times New Roman"/>
                <w:color w:val="443F52"/>
                <w:spacing w:val="-2"/>
                <w:w w:val="110"/>
                <w:sz w:val="13"/>
              </w:rPr>
              <w:t>6</w:t>
            </w:r>
            <w:r>
              <w:rPr>
                <w:rFonts w:ascii="Times New Roman"/>
                <w:color w:val="283459"/>
                <w:spacing w:val="-2"/>
                <w:w w:val="110"/>
                <w:sz w:val="13"/>
              </w:rPr>
              <w:t>8</w:t>
            </w:r>
            <w:r>
              <w:rPr>
                <w:rFonts w:ascii="Times New Roman"/>
                <w:color w:val="5B4244"/>
                <w:spacing w:val="-2"/>
                <w:w w:val="110"/>
                <w:sz w:val="13"/>
              </w:rPr>
              <w:t>,</w:t>
            </w:r>
            <w:r>
              <w:rPr>
                <w:rFonts w:ascii="Times New Roman"/>
                <w:color w:val="544F60"/>
                <w:spacing w:val="-2"/>
                <w:w w:val="110"/>
                <w:sz w:val="13"/>
              </w:rPr>
              <w:t>06</w:t>
            </w:r>
          </w:p>
        </w:tc>
        <w:tc>
          <w:tcPr>
            <w:tcW w:w="999" w:type="dxa"/>
            <w:tcBorders>
              <w:top w:val="single" w:sz="18" w:space="0" w:color="000000"/>
              <w:left w:val="single" w:sz="8" w:space="0" w:color="000000"/>
              <w:bottom w:val="single" w:sz="8" w:space="0" w:color="000000"/>
              <w:right w:val="single" w:sz="8" w:space="0" w:color="000000"/>
            </w:tcBorders>
          </w:tcPr>
          <w:p>
            <w:pPr>
              <w:pStyle w:val="TableParagraph"/>
              <w:spacing w:before="58"/>
              <w:jc w:val="right"/>
              <w:rPr>
                <w:rFonts w:ascii="Times New Roman"/>
                <w:sz w:val="13"/>
              </w:rPr>
            </w:pPr>
            <w:r>
              <w:rPr>
                <w:rFonts w:ascii="Times New Roman"/>
                <w:color w:val="112359"/>
                <w:w w:val="105"/>
                <w:sz w:val="13"/>
              </w:rPr>
              <w:t>1</w:t>
            </w:r>
            <w:r>
              <w:rPr>
                <w:rFonts w:ascii="Times New Roman"/>
                <w:color w:val="443F52"/>
                <w:w w:val="105"/>
                <w:sz w:val="13"/>
              </w:rPr>
              <w:t>29</w:t>
            </w:r>
            <w:r>
              <w:rPr>
                <w:rFonts w:ascii="Times New Roman"/>
                <w:color w:val="443F52"/>
                <w:spacing w:val="-2"/>
                <w:w w:val="105"/>
                <w:sz w:val="13"/>
              </w:rPr>
              <w:t> </w:t>
            </w:r>
            <w:r>
              <w:rPr>
                <w:rFonts w:ascii="Times New Roman"/>
                <w:color w:val="443F52"/>
                <w:w w:val="105"/>
                <w:sz w:val="13"/>
              </w:rPr>
              <w:t>980</w:t>
            </w:r>
            <w:r>
              <w:rPr>
                <w:rFonts w:ascii="Times New Roman"/>
                <w:color w:val="443F52"/>
                <w:spacing w:val="-3"/>
                <w:w w:val="105"/>
                <w:sz w:val="13"/>
              </w:rPr>
              <w:t> </w:t>
            </w:r>
            <w:r>
              <w:rPr>
                <w:rFonts w:ascii="Times New Roman"/>
                <w:color w:val="443F52"/>
                <w:spacing w:val="-2"/>
                <w:w w:val="105"/>
                <w:sz w:val="13"/>
              </w:rPr>
              <w:t>327</w:t>
            </w:r>
            <w:r>
              <w:rPr>
                <w:rFonts w:ascii="Times New Roman"/>
                <w:color w:val="6B6472"/>
                <w:spacing w:val="-2"/>
                <w:w w:val="105"/>
                <w:sz w:val="13"/>
              </w:rPr>
              <w:t>,</w:t>
            </w:r>
            <w:r>
              <w:rPr>
                <w:rFonts w:ascii="Times New Roman"/>
                <w:color w:val="485D7C"/>
                <w:spacing w:val="-2"/>
                <w:w w:val="105"/>
                <w:sz w:val="13"/>
              </w:rPr>
              <w:t>6</w:t>
            </w:r>
            <w:r>
              <w:rPr>
                <w:rFonts w:ascii="Times New Roman"/>
                <w:color w:val="443F52"/>
                <w:spacing w:val="-2"/>
                <w:w w:val="105"/>
                <w:sz w:val="13"/>
              </w:rPr>
              <w:t>7</w:t>
            </w:r>
          </w:p>
        </w:tc>
        <w:tc>
          <w:tcPr>
            <w:tcW w:w="994" w:type="dxa"/>
            <w:tcBorders>
              <w:top w:val="single" w:sz="18" w:space="0" w:color="000000"/>
              <w:left w:val="single" w:sz="8" w:space="0" w:color="000000"/>
              <w:bottom w:val="single" w:sz="8" w:space="0" w:color="000000"/>
              <w:right w:val="single" w:sz="8" w:space="0" w:color="000000"/>
            </w:tcBorders>
          </w:tcPr>
          <w:p>
            <w:pPr>
              <w:pStyle w:val="TableParagraph"/>
              <w:spacing w:before="58"/>
              <w:ind w:right="-29"/>
              <w:jc w:val="right"/>
              <w:rPr>
                <w:rFonts w:ascii="Times New Roman"/>
                <w:sz w:val="13"/>
              </w:rPr>
            </w:pPr>
            <w:r>
              <w:rPr>
                <w:rFonts w:ascii="Times New Roman"/>
                <w:color w:val="342B3B"/>
                <w:w w:val="105"/>
                <w:sz w:val="13"/>
              </w:rPr>
              <w:t>1</w:t>
            </w:r>
            <w:r>
              <w:rPr>
                <w:rFonts w:ascii="Times New Roman"/>
                <w:color w:val="544F60"/>
                <w:w w:val="105"/>
                <w:sz w:val="13"/>
              </w:rPr>
              <w:t>33</w:t>
            </w:r>
            <w:r>
              <w:rPr>
                <w:rFonts w:ascii="Times New Roman"/>
                <w:color w:val="544F60"/>
                <w:spacing w:val="1"/>
                <w:w w:val="105"/>
                <w:sz w:val="13"/>
              </w:rPr>
              <w:t> </w:t>
            </w:r>
            <w:r>
              <w:rPr>
                <w:rFonts w:ascii="Times New Roman"/>
                <w:color w:val="443F52"/>
                <w:w w:val="105"/>
                <w:sz w:val="13"/>
              </w:rPr>
              <w:t>229</w:t>
            </w:r>
            <w:r>
              <w:rPr>
                <w:rFonts w:ascii="Times New Roman"/>
                <w:color w:val="443F52"/>
                <w:spacing w:val="-6"/>
                <w:w w:val="105"/>
                <w:sz w:val="13"/>
              </w:rPr>
              <w:t> </w:t>
            </w:r>
            <w:r>
              <w:rPr>
                <w:rFonts w:ascii="Times New Roman"/>
                <w:color w:val="443F52"/>
                <w:w w:val="105"/>
                <w:sz w:val="13"/>
              </w:rPr>
              <w:t>933</w:t>
            </w:r>
            <w:r>
              <w:rPr>
                <w:rFonts w:ascii="Times New Roman"/>
                <w:color w:val="6B6472"/>
                <w:w w:val="105"/>
                <w:sz w:val="13"/>
              </w:rPr>
              <w:t>,</w:t>
            </w:r>
            <w:r>
              <w:rPr>
                <w:rFonts w:ascii="Times New Roman"/>
                <w:color w:val="443F52"/>
                <w:w w:val="105"/>
                <w:sz w:val="13"/>
              </w:rPr>
              <w:t>3</w:t>
            </w:r>
            <w:r>
              <w:rPr>
                <w:rFonts w:ascii="Times New Roman"/>
                <w:color w:val="1D1C2B"/>
                <w:w w:val="105"/>
                <w:sz w:val="13"/>
              </w:rPr>
              <w:t>-</w:t>
            </w:r>
            <w:r>
              <w:rPr>
                <w:rFonts w:ascii="Times New Roman"/>
                <w:color w:val="1D1C2B"/>
                <w:spacing w:val="-10"/>
                <w:w w:val="105"/>
                <w:sz w:val="13"/>
              </w:rPr>
              <w:t>!</w:t>
            </w:r>
          </w:p>
        </w:tc>
      </w:tr>
      <w:tr>
        <w:trPr>
          <w:trHeight w:val="181" w:hRule="atLeast"/>
        </w:trPr>
        <w:tc>
          <w:tcPr>
            <w:tcW w:w="2260" w:type="dxa"/>
            <w:tcBorders>
              <w:top w:val="single" w:sz="8" w:space="0" w:color="000000"/>
              <w:bottom w:val="single" w:sz="8" w:space="0" w:color="000000"/>
              <w:right w:val="single" w:sz="8" w:space="0" w:color="000000"/>
            </w:tcBorders>
          </w:tcPr>
          <w:p>
            <w:pPr>
              <w:pStyle w:val="TableParagraph"/>
              <w:spacing w:line="139" w:lineRule="exact" w:before="22"/>
              <w:ind w:left="38"/>
              <w:rPr>
                <w:rFonts w:ascii="Times New Roman"/>
                <w:sz w:val="13"/>
              </w:rPr>
            </w:pPr>
            <w:r>
              <w:rPr>
                <w:rFonts w:ascii="Times New Roman"/>
                <w:color w:val="283459"/>
                <w:w w:val="105"/>
                <w:sz w:val="13"/>
              </w:rPr>
              <w:t>T</w:t>
            </w:r>
            <w:r>
              <w:rPr>
                <w:rFonts w:ascii="Times New Roman"/>
                <w:color w:val="342B3B"/>
                <w:w w:val="105"/>
                <w:sz w:val="13"/>
              </w:rPr>
              <w:t>ran</w:t>
            </w:r>
            <w:r>
              <w:rPr>
                <w:rFonts w:ascii="Times New Roman"/>
                <w:color w:val="283459"/>
                <w:w w:val="105"/>
                <w:sz w:val="13"/>
              </w:rPr>
              <w:t>s</w:t>
            </w:r>
            <w:r>
              <w:rPr>
                <w:rFonts w:ascii="Times New Roman"/>
                <w:color w:val="2F160F"/>
                <w:w w:val="105"/>
                <w:sz w:val="13"/>
              </w:rPr>
              <w:t>f</w:t>
            </w:r>
            <w:r>
              <w:rPr>
                <w:rFonts w:ascii="Times New Roman"/>
                <w:color w:val="443F52"/>
                <w:w w:val="105"/>
                <w:sz w:val="13"/>
              </w:rPr>
              <w:t>e</w:t>
            </w:r>
            <w:r>
              <w:rPr>
                <w:rFonts w:ascii="Times New Roman"/>
                <w:color w:val="2F160F"/>
                <w:w w:val="105"/>
                <w:sz w:val="13"/>
              </w:rPr>
              <w:t>r</w:t>
            </w:r>
            <w:r>
              <w:rPr>
                <w:rFonts w:ascii="Times New Roman"/>
                <w:color w:val="342B3B"/>
                <w:w w:val="105"/>
                <w:sz w:val="13"/>
              </w:rPr>
              <w:t>e</w:t>
            </w:r>
            <w:r>
              <w:rPr>
                <w:rFonts w:ascii="Times New Roman"/>
                <w:color w:val="283459"/>
                <w:w w:val="105"/>
                <w:sz w:val="13"/>
              </w:rPr>
              <w:t>n</w:t>
            </w:r>
            <w:r>
              <w:rPr>
                <w:rFonts w:ascii="Times New Roman"/>
                <w:color w:val="443F52"/>
                <w:w w:val="105"/>
                <w:sz w:val="13"/>
              </w:rPr>
              <w:t>cia</w:t>
            </w:r>
            <w:r>
              <w:rPr>
                <w:rFonts w:ascii="Times New Roman"/>
                <w:color w:val="283459"/>
                <w:w w:val="105"/>
                <w:sz w:val="13"/>
              </w:rPr>
              <w:t>s</w:t>
            </w:r>
            <w:r>
              <w:rPr>
                <w:rFonts w:ascii="Times New Roman"/>
                <w:color w:val="283459"/>
                <w:spacing w:val="5"/>
                <w:w w:val="105"/>
                <w:sz w:val="13"/>
              </w:rPr>
              <w:t> </w:t>
            </w:r>
            <w:r>
              <w:rPr>
                <w:rFonts w:ascii="Times New Roman"/>
                <w:color w:val="443F52"/>
                <w:spacing w:val="-2"/>
                <w:w w:val="105"/>
                <w:sz w:val="13"/>
              </w:rPr>
              <w:t>i</w:t>
            </w:r>
            <w:r>
              <w:rPr>
                <w:rFonts w:ascii="Times New Roman"/>
                <w:color w:val="1D1C2B"/>
                <w:spacing w:val="-2"/>
                <w:w w:val="105"/>
                <w:sz w:val="13"/>
              </w:rPr>
              <w:t>nter</w:t>
            </w:r>
            <w:r>
              <w:rPr>
                <w:rFonts w:ascii="Times New Roman"/>
                <w:color w:val="283459"/>
                <w:spacing w:val="-2"/>
                <w:w w:val="105"/>
                <w:sz w:val="13"/>
              </w:rPr>
              <w:t>s</w:t>
            </w:r>
            <w:r>
              <w:rPr>
                <w:rFonts w:ascii="Times New Roman"/>
                <w:color w:val="443F52"/>
                <w:spacing w:val="-2"/>
                <w:w w:val="105"/>
                <w:sz w:val="13"/>
              </w:rPr>
              <w:t>eg</w:t>
            </w:r>
            <w:r>
              <w:rPr>
                <w:rFonts w:ascii="Times New Roman"/>
                <w:color w:val="4B2824"/>
                <w:spacing w:val="-2"/>
                <w:w w:val="105"/>
                <w:sz w:val="13"/>
              </w:rPr>
              <w:t>n1</w:t>
            </w:r>
            <w:r>
              <w:rPr>
                <w:rFonts w:ascii="Times New Roman"/>
                <w:color w:val="443F52"/>
                <w:spacing w:val="-2"/>
                <w:w w:val="105"/>
                <w:sz w:val="13"/>
              </w:rPr>
              <w:t>entos</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3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2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r>
      <w:tr>
        <w:trPr>
          <w:trHeight w:val="181" w:hRule="atLeast"/>
        </w:trPr>
        <w:tc>
          <w:tcPr>
            <w:tcW w:w="2260" w:type="dxa"/>
            <w:tcBorders>
              <w:top w:val="single" w:sz="8" w:space="0" w:color="000000"/>
              <w:bottom w:val="single" w:sz="8" w:space="0" w:color="000000"/>
              <w:right w:val="single" w:sz="8" w:space="0" w:color="000000"/>
            </w:tcBorders>
          </w:tcPr>
          <w:p>
            <w:pPr>
              <w:pStyle w:val="TableParagraph"/>
              <w:spacing w:line="130" w:lineRule="exact" w:before="31"/>
              <w:ind w:left="48"/>
              <w:rPr>
                <w:rFonts w:ascii="Times New Roman"/>
                <w:sz w:val="12"/>
              </w:rPr>
            </w:pPr>
            <w:r>
              <w:rPr>
                <w:rFonts w:ascii="Times New Roman"/>
                <w:color w:val="443F52"/>
                <w:w w:val="110"/>
                <w:sz w:val="12"/>
              </w:rPr>
              <w:t>Gastos</w:t>
            </w:r>
            <w:r>
              <w:rPr>
                <w:rFonts w:ascii="Times New Roman"/>
                <w:color w:val="443F52"/>
                <w:spacing w:val="-1"/>
                <w:w w:val="110"/>
                <w:sz w:val="12"/>
              </w:rPr>
              <w:t> </w:t>
            </w:r>
            <w:r>
              <w:rPr>
                <w:rFonts w:ascii="Times New Roman"/>
                <w:color w:val="5B4244"/>
                <w:w w:val="110"/>
                <w:sz w:val="12"/>
              </w:rPr>
              <w:t>c</w:t>
            </w:r>
            <w:r>
              <w:rPr>
                <w:rFonts w:ascii="Times New Roman"/>
                <w:color w:val="544F60"/>
                <w:w w:val="110"/>
                <w:sz w:val="12"/>
              </w:rPr>
              <w:t>e</w:t>
            </w:r>
            <w:r>
              <w:rPr>
                <w:rFonts w:ascii="Times New Roman"/>
                <w:color w:val="1D1C2B"/>
                <w:w w:val="110"/>
                <w:sz w:val="12"/>
              </w:rPr>
              <w:t>n</w:t>
            </w:r>
            <w:r>
              <w:rPr>
                <w:rFonts w:ascii="Times New Roman"/>
                <w:color w:val="283459"/>
                <w:w w:val="110"/>
                <w:sz w:val="12"/>
              </w:rPr>
              <w:t>tr</w:t>
            </w:r>
            <w:r>
              <w:rPr>
                <w:rFonts w:ascii="Times New Roman"/>
                <w:color w:val="342B3B"/>
                <w:w w:val="110"/>
                <w:sz w:val="12"/>
              </w:rPr>
              <w:t>alizados</w:t>
            </w:r>
            <w:r>
              <w:rPr>
                <w:rFonts w:ascii="Times New Roman"/>
                <w:color w:val="342B3B"/>
                <w:spacing w:val="7"/>
                <w:w w:val="110"/>
                <w:sz w:val="12"/>
              </w:rPr>
              <w:t> </w:t>
            </w:r>
            <w:r>
              <w:rPr>
                <w:rFonts w:ascii="Times New Roman"/>
                <w:color w:val="1D1C2B"/>
                <w:w w:val="110"/>
                <w:sz w:val="12"/>
              </w:rPr>
              <w:t>n</w:t>
            </w:r>
            <w:r>
              <w:rPr>
                <w:rFonts w:ascii="Times New Roman"/>
                <w:color w:val="5B4244"/>
                <w:w w:val="110"/>
                <w:sz w:val="12"/>
              </w:rPr>
              <w:t>o</w:t>
            </w:r>
            <w:r>
              <w:rPr>
                <w:rFonts w:ascii="Times New Roman"/>
                <w:color w:val="5B4244"/>
                <w:spacing w:val="20"/>
                <w:w w:val="110"/>
                <w:sz w:val="12"/>
              </w:rPr>
              <w:t> </w:t>
            </w:r>
            <w:r>
              <w:rPr>
                <w:rFonts w:ascii="Times New Roman"/>
                <w:color w:val="283459"/>
                <w:spacing w:val="-2"/>
                <w:w w:val="110"/>
                <w:sz w:val="12"/>
              </w:rPr>
              <w:t>a</w:t>
            </w:r>
            <w:r>
              <w:rPr>
                <w:rFonts w:ascii="Times New Roman"/>
                <w:color w:val="5B4244"/>
                <w:spacing w:val="-2"/>
                <w:w w:val="110"/>
                <w:sz w:val="12"/>
              </w:rPr>
              <w:t>sig</w:t>
            </w:r>
            <w:r>
              <w:rPr>
                <w:rFonts w:ascii="Times New Roman"/>
                <w:color w:val="342B3B"/>
                <w:spacing w:val="-2"/>
                <w:w w:val="110"/>
                <w:sz w:val="12"/>
              </w:rPr>
              <w:t>nad</w:t>
            </w:r>
            <w:r>
              <w:rPr>
                <w:rFonts w:ascii="Times New Roman"/>
                <w:color w:val="544F60"/>
                <w:spacing w:val="-2"/>
                <w:w w:val="110"/>
                <w:sz w:val="12"/>
              </w:rPr>
              <w:t>os</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3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2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r>
      <w:tr>
        <w:trPr>
          <w:trHeight w:val="909" w:hRule="atLeast"/>
        </w:trPr>
        <w:tc>
          <w:tcPr>
            <w:tcW w:w="2260" w:type="dxa"/>
            <w:tcBorders>
              <w:top w:val="single" w:sz="8" w:space="0" w:color="000000"/>
              <w:bottom w:val="single" w:sz="18" w:space="0" w:color="000000"/>
              <w:right w:val="nil"/>
            </w:tcBorders>
          </w:tcPr>
          <w:p>
            <w:pPr>
              <w:pStyle w:val="TableParagraph"/>
              <w:spacing w:before="27"/>
              <w:ind w:left="37"/>
              <w:rPr>
                <w:rFonts w:ascii="Times New Roman"/>
                <w:b/>
                <w:sz w:val="14"/>
              </w:rPr>
            </w:pPr>
            <w:r>
              <w:rPr>
                <w:rFonts w:ascii="Times New Roman"/>
                <w:b/>
                <w:color w:val="EBEDE6"/>
                <w:w w:val="110"/>
                <w:sz w:val="14"/>
                <w:shd w:fill="833D11" w:color="auto" w:val="clear"/>
              </w:rPr>
              <w:t>Total</w:t>
            </w:r>
            <w:r>
              <w:rPr>
                <w:rFonts w:ascii="Times New Roman"/>
                <w:b/>
                <w:color w:val="EBEDE6"/>
                <w:spacing w:val="1"/>
                <w:w w:val="110"/>
                <w:sz w:val="14"/>
                <w:shd w:fill="833D11" w:color="auto" w:val="clear"/>
              </w:rPr>
              <w:t> </w:t>
            </w:r>
            <w:r>
              <w:rPr>
                <w:rFonts w:ascii="Times New Roman"/>
                <w:b/>
                <w:color w:val="EBEDE6"/>
                <w:w w:val="110"/>
                <w:sz w:val="14"/>
                <w:shd w:fill="833D11" w:color="auto" w:val="clear"/>
              </w:rPr>
              <w:t>Gasto</w:t>
            </w:r>
            <w:r>
              <w:rPr>
                <w:rFonts w:ascii="Times New Roman"/>
                <w:b/>
                <w:color w:val="EBEDE6"/>
                <w:spacing w:val="-3"/>
                <w:w w:val="110"/>
                <w:sz w:val="14"/>
                <w:shd w:fill="833D11" w:color="auto" w:val="clear"/>
              </w:rPr>
              <w:t> </w:t>
            </w:r>
            <w:r>
              <w:rPr>
                <w:rFonts w:ascii="Times New Roman"/>
                <w:b/>
                <w:color w:val="DBDDD4"/>
                <w:w w:val="110"/>
                <w:sz w:val="14"/>
                <w:shd w:fill="833D11" w:color="auto" w:val="clear"/>
              </w:rPr>
              <w:t>por</w:t>
            </w:r>
            <w:r>
              <w:rPr>
                <w:rFonts w:ascii="Times New Roman"/>
                <w:b/>
                <w:color w:val="DBDDD4"/>
                <w:spacing w:val="6"/>
                <w:w w:val="110"/>
                <w:sz w:val="14"/>
                <w:shd w:fill="833D11" w:color="auto" w:val="clear"/>
              </w:rPr>
              <w:t> </w:t>
            </w:r>
            <w:r>
              <w:rPr>
                <w:rFonts w:ascii="Times New Roman"/>
                <w:b/>
                <w:color w:val="DBDDD4"/>
                <w:spacing w:val="-2"/>
                <w:w w:val="110"/>
                <w:sz w:val="14"/>
                <w:shd w:fill="833D11" w:color="auto" w:val="clear"/>
              </w:rPr>
              <w:t>segmento</w:t>
            </w:r>
          </w:p>
          <w:p>
            <w:pPr>
              <w:pStyle w:val="TableParagraph"/>
              <w:spacing w:before="35"/>
              <w:rPr>
                <w:sz w:val="14"/>
              </w:rPr>
            </w:pPr>
          </w:p>
          <w:p>
            <w:pPr>
              <w:pStyle w:val="TableParagraph"/>
              <w:spacing w:line="271" w:lineRule="auto"/>
              <w:ind w:left="38" w:firstLine="11"/>
              <w:rPr>
                <w:rFonts w:ascii="Times New Roman" w:hAnsi="Times New Roman"/>
                <w:sz w:val="14"/>
              </w:rPr>
            </w:pPr>
            <w:r>
              <w:rPr>
                <w:rFonts w:ascii="Times New Roman" w:hAnsi="Times New Roman"/>
                <w:color w:val="EBEDE6"/>
                <w:w w:val="105"/>
                <w:sz w:val="14"/>
                <w:shd w:fill="363F52" w:color="auto" w:val="clear"/>
              </w:rPr>
              <w:t>Resultado neto </w:t>
            </w:r>
            <w:r>
              <w:rPr>
                <w:rFonts w:ascii="Times New Roman" w:hAnsi="Times New Roman"/>
                <w:color w:val="DBDDD4"/>
                <w:w w:val="105"/>
                <w:sz w:val="14"/>
                <w:shd w:fill="363F52" w:color="auto" w:val="clear"/>
              </w:rPr>
              <w:t>(Ahorro</w:t>
            </w:r>
            <w:r>
              <w:rPr>
                <w:rFonts w:ascii="Times New Roman" w:hAnsi="Times New Roman"/>
                <w:color w:val="B3C1B3"/>
                <w:w w:val="105"/>
                <w:sz w:val="14"/>
                <w:shd w:fill="363F52" w:color="auto" w:val="clear"/>
              </w:rPr>
              <w:t>/</w:t>
            </w:r>
            <w:r>
              <w:rPr>
                <w:rFonts w:ascii="Times New Roman" w:hAnsi="Times New Roman"/>
                <w:color w:val="DBDDD4"/>
                <w:w w:val="105"/>
                <w:sz w:val="14"/>
                <w:shd w:fill="363F52" w:color="auto" w:val="clear"/>
              </w:rPr>
              <w:t>deshorro </w:t>
            </w:r>
            <w:r>
              <w:rPr>
                <w:rFonts w:ascii="Times New Roman" w:hAnsi="Times New Roman"/>
                <w:color w:val="EBEDE6"/>
                <w:w w:val="105"/>
                <w:sz w:val="14"/>
                <w:shd w:fill="363F52" w:color="auto" w:val="clear"/>
              </w:rPr>
              <w:t>de</w:t>
            </w:r>
            <w:r>
              <w:rPr>
                <w:rFonts w:ascii="Times New Roman" w:hAnsi="Times New Roman"/>
                <w:color w:val="EBEDE6"/>
                <w:spacing w:val="40"/>
                <w:w w:val="105"/>
                <w:sz w:val="14"/>
              </w:rPr>
              <w:t> </w:t>
            </w:r>
            <w:r>
              <w:rPr>
                <w:rFonts w:ascii="Times New Roman" w:hAnsi="Times New Roman"/>
                <w:color w:val="EBEDE6"/>
                <w:w w:val="105"/>
                <w:sz w:val="14"/>
                <w:shd w:fill="363F52" w:color="auto" w:val="clear"/>
              </w:rPr>
              <w:t>las </w:t>
            </w:r>
            <w:r>
              <w:rPr>
                <w:rFonts w:ascii="Times New Roman" w:hAnsi="Times New Roman"/>
                <w:color w:val="DBDDD4"/>
                <w:w w:val="105"/>
                <w:sz w:val="14"/>
                <w:shd w:fill="363F52" w:color="auto" w:val="clear"/>
              </w:rPr>
              <w:t>acl:tndadesde de opera</w:t>
            </w:r>
            <w:r>
              <w:rPr>
                <w:rFonts w:ascii="Arial" w:hAnsi="Arial"/>
                <w:color w:val="DBDDD4"/>
                <w:w w:val="105"/>
                <w:sz w:val="14"/>
                <w:shd w:fill="363F52" w:color="auto" w:val="clear"/>
              </w:rPr>
              <w:t>□</w:t>
            </w:r>
            <w:r>
              <w:rPr>
                <w:rFonts w:ascii="Times New Roman" w:hAnsi="Times New Roman"/>
                <w:color w:val="DBDDD4"/>
                <w:w w:val="105"/>
                <w:sz w:val="14"/>
                <w:shd w:fill="363F52" w:color="auto" w:val="clear"/>
              </w:rPr>
              <w:t>ón)</w:t>
            </w:r>
          </w:p>
        </w:tc>
        <w:tc>
          <w:tcPr>
            <w:tcW w:w="1000" w:type="dxa"/>
            <w:tcBorders>
              <w:top w:val="single" w:sz="8" w:space="0" w:color="000000"/>
              <w:left w:val="nil"/>
              <w:bottom w:val="single" w:sz="18" w:space="0" w:color="000000"/>
              <w:right w:val="nil"/>
            </w:tcBorders>
          </w:tcPr>
          <w:p>
            <w:pPr>
              <w:pStyle w:val="TableParagraph"/>
              <w:spacing w:before="27"/>
              <w:ind w:left="99"/>
              <w:rPr>
                <w:rFonts w:ascii="Times New Roman"/>
                <w:i/>
                <w:sz w:val="13"/>
              </w:rPr>
            </w:pPr>
            <w:r>
              <w:rPr>
                <w:rFonts w:ascii="Times New Roman"/>
                <w:color w:val="EBEDE6"/>
                <w:w w:val="105"/>
                <w:sz w:val="13"/>
                <w:shd w:fill="833D11" w:color="auto" w:val="clear"/>
              </w:rPr>
              <w:t>120</w:t>
            </w:r>
            <w:r>
              <w:rPr>
                <w:rFonts w:ascii="Times New Roman"/>
                <w:color w:val="EBEDE6"/>
                <w:spacing w:val="-3"/>
                <w:w w:val="105"/>
                <w:sz w:val="13"/>
                <w:shd w:fill="833D11" w:color="auto" w:val="clear"/>
              </w:rPr>
              <w:t> </w:t>
            </w:r>
            <w:r>
              <w:rPr>
                <w:rFonts w:ascii="Times New Roman"/>
                <w:color w:val="DBDDD4"/>
                <w:w w:val="105"/>
                <w:sz w:val="13"/>
                <w:shd w:fill="833D11" w:color="auto" w:val="clear"/>
              </w:rPr>
              <w:t>070</w:t>
            </w:r>
            <w:r>
              <w:rPr>
                <w:rFonts w:ascii="Times New Roman"/>
                <w:color w:val="DBDDD4"/>
                <w:spacing w:val="-1"/>
                <w:w w:val="105"/>
                <w:sz w:val="13"/>
                <w:shd w:fill="833D11" w:color="auto" w:val="clear"/>
              </w:rPr>
              <w:t> </w:t>
            </w:r>
            <w:r>
              <w:rPr>
                <w:rFonts w:ascii="Times New Roman"/>
                <w:color w:val="DBDDD4"/>
                <w:w w:val="105"/>
                <w:sz w:val="13"/>
                <w:shd w:fill="833D11" w:color="auto" w:val="clear"/>
              </w:rPr>
              <w:t>747</w:t>
            </w:r>
            <w:r>
              <w:rPr>
                <w:rFonts w:ascii="Times New Roman"/>
                <w:color w:val="DBDDD4"/>
                <w:spacing w:val="-21"/>
                <w:w w:val="105"/>
                <w:sz w:val="13"/>
                <w:shd w:fill="833D11" w:color="auto" w:val="clear"/>
              </w:rPr>
              <w:t> </w:t>
            </w:r>
            <w:r>
              <w:rPr>
                <w:rFonts w:ascii="Times New Roman"/>
                <w:i/>
                <w:color w:val="DBDDD4"/>
                <w:spacing w:val="-5"/>
                <w:w w:val="105"/>
                <w:sz w:val="13"/>
                <w:shd w:fill="833D11" w:color="auto" w:val="clear"/>
              </w:rPr>
              <w:t>,05</w:t>
            </w:r>
          </w:p>
          <w:p>
            <w:pPr>
              <w:pStyle w:val="TableParagraph"/>
              <w:rPr>
                <w:sz w:val="13"/>
              </w:rPr>
            </w:pPr>
          </w:p>
          <w:p>
            <w:pPr>
              <w:pStyle w:val="TableParagraph"/>
              <w:spacing w:before="10"/>
              <w:rPr>
                <w:sz w:val="13"/>
              </w:rPr>
            </w:pPr>
          </w:p>
          <w:p>
            <w:pPr>
              <w:pStyle w:val="TableParagraph"/>
              <w:ind w:left="138"/>
              <w:rPr>
                <w:rFonts w:ascii="Times New Roman"/>
                <w:i/>
                <w:sz w:val="13"/>
              </w:rPr>
            </w:pPr>
            <w:r>
              <w:rPr>
                <w:rFonts w:ascii="Times New Roman"/>
                <w:color w:val="EBEDE6"/>
                <w:spacing w:val="-4"/>
                <w:sz w:val="13"/>
                <w:shd w:fill="363F52" w:color="auto" w:val="clear"/>
              </w:rPr>
              <w:t>12</w:t>
            </w:r>
            <w:r>
              <w:rPr>
                <w:rFonts w:ascii="Times New Roman"/>
                <w:color w:val="EBEDE6"/>
                <w:spacing w:val="-5"/>
                <w:sz w:val="13"/>
                <w:shd w:fill="363F52" w:color="auto" w:val="clear"/>
              </w:rPr>
              <w:t> </w:t>
            </w:r>
            <w:r>
              <w:rPr>
                <w:rFonts w:ascii="Times New Roman"/>
                <w:color w:val="DBDDD4"/>
                <w:spacing w:val="-4"/>
                <w:sz w:val="13"/>
                <w:shd w:fill="363F52" w:color="auto" w:val="clear"/>
              </w:rPr>
              <w:t>-178</w:t>
            </w:r>
            <w:r>
              <w:rPr>
                <w:rFonts w:ascii="Times New Roman"/>
                <w:color w:val="DBDDD4"/>
                <w:spacing w:val="1"/>
                <w:sz w:val="13"/>
                <w:shd w:fill="363F52" w:color="auto" w:val="clear"/>
              </w:rPr>
              <w:t> </w:t>
            </w:r>
            <w:r>
              <w:rPr>
                <w:rFonts w:ascii="Times New Roman"/>
                <w:i/>
                <w:color w:val="DBDDD4"/>
                <w:spacing w:val="-4"/>
                <w:sz w:val="13"/>
                <w:shd w:fill="363F52" w:color="auto" w:val="clear"/>
              </w:rPr>
              <w:t>5-!-!,51</w:t>
            </w:r>
          </w:p>
        </w:tc>
        <w:tc>
          <w:tcPr>
            <w:tcW w:w="990" w:type="dxa"/>
            <w:tcBorders>
              <w:top w:val="single" w:sz="8" w:space="0" w:color="000000"/>
              <w:left w:val="nil"/>
              <w:bottom w:val="single" w:sz="18" w:space="0" w:color="000000"/>
              <w:right w:val="nil"/>
            </w:tcBorders>
          </w:tcPr>
          <w:p>
            <w:pPr>
              <w:pStyle w:val="TableParagraph"/>
              <w:spacing w:before="27"/>
              <w:ind w:left="99"/>
              <w:rPr>
                <w:rFonts w:ascii="Times New Roman"/>
                <w:sz w:val="13"/>
              </w:rPr>
            </w:pPr>
            <w:r>
              <w:rPr>
                <w:rFonts w:ascii="Times New Roman"/>
                <w:color w:val="EBEDE6"/>
                <w:sz w:val="13"/>
                <w:shd w:fill="833D11" w:color="auto" w:val="clear"/>
              </w:rPr>
              <w:t>123</w:t>
            </w:r>
            <w:r>
              <w:rPr>
                <w:rFonts w:ascii="Times New Roman"/>
                <w:color w:val="EBEDE6"/>
                <w:spacing w:val="10"/>
                <w:sz w:val="13"/>
                <w:shd w:fill="833D11" w:color="auto" w:val="clear"/>
              </w:rPr>
              <w:t> </w:t>
            </w:r>
            <w:r>
              <w:rPr>
                <w:rFonts w:ascii="Times New Roman"/>
                <w:color w:val="DBDDD4"/>
                <w:sz w:val="13"/>
                <w:shd w:fill="833D11" w:color="auto" w:val="clear"/>
              </w:rPr>
              <w:t>653</w:t>
            </w:r>
            <w:r>
              <w:rPr>
                <w:rFonts w:ascii="Times New Roman"/>
                <w:color w:val="DBDDD4"/>
                <w:spacing w:val="5"/>
                <w:sz w:val="13"/>
                <w:shd w:fill="833D11" w:color="auto" w:val="clear"/>
              </w:rPr>
              <w:t> </w:t>
            </w:r>
            <w:r>
              <w:rPr>
                <w:rFonts w:ascii="Times New Roman"/>
                <w:color w:val="DBDDD4"/>
                <w:sz w:val="13"/>
                <w:shd w:fill="833D11" w:color="auto" w:val="clear"/>
              </w:rPr>
              <w:t>-</w:t>
            </w:r>
            <w:r>
              <w:rPr>
                <w:rFonts w:ascii="Times New Roman"/>
                <w:color w:val="DBDDD4"/>
                <w:spacing w:val="-2"/>
                <w:sz w:val="13"/>
                <w:shd w:fill="833D11" w:color="auto" w:val="clear"/>
              </w:rPr>
              <w:t>170,28</w:t>
            </w:r>
          </w:p>
          <w:p>
            <w:pPr>
              <w:pStyle w:val="TableParagraph"/>
              <w:rPr>
                <w:sz w:val="13"/>
              </w:rPr>
            </w:pPr>
          </w:p>
          <w:p>
            <w:pPr>
              <w:pStyle w:val="TableParagraph"/>
              <w:spacing w:before="10"/>
              <w:rPr>
                <w:sz w:val="13"/>
              </w:rPr>
            </w:pPr>
          </w:p>
          <w:p>
            <w:pPr>
              <w:pStyle w:val="TableParagraph"/>
              <w:ind w:left="140"/>
              <w:rPr>
                <w:rFonts w:ascii="Times New Roman"/>
                <w:sz w:val="13"/>
              </w:rPr>
            </w:pPr>
            <w:r>
              <w:rPr>
                <w:rFonts w:ascii="Times New Roman"/>
                <w:color w:val="DBDDD4"/>
                <w:w w:val="105"/>
                <w:sz w:val="13"/>
                <w:shd w:fill="363F52" w:color="auto" w:val="clear"/>
              </w:rPr>
              <w:t>20</w:t>
            </w:r>
            <w:r>
              <w:rPr>
                <w:rFonts w:ascii="Times New Roman"/>
                <w:color w:val="DBDDD4"/>
                <w:spacing w:val="1"/>
                <w:w w:val="105"/>
                <w:sz w:val="13"/>
                <w:shd w:fill="363F52" w:color="auto" w:val="clear"/>
              </w:rPr>
              <w:t> </w:t>
            </w:r>
            <w:r>
              <w:rPr>
                <w:rFonts w:ascii="Times New Roman"/>
                <w:color w:val="DBDDD4"/>
                <w:w w:val="105"/>
                <w:sz w:val="13"/>
                <w:shd w:fill="363F52" w:color="auto" w:val="clear"/>
              </w:rPr>
              <w:t>073</w:t>
            </w:r>
            <w:r>
              <w:rPr>
                <w:rFonts w:ascii="Times New Roman"/>
                <w:color w:val="DBDDD4"/>
                <w:spacing w:val="-6"/>
                <w:w w:val="105"/>
                <w:sz w:val="13"/>
                <w:shd w:fill="363F52" w:color="auto" w:val="clear"/>
              </w:rPr>
              <w:t> </w:t>
            </w:r>
            <w:r>
              <w:rPr>
                <w:rFonts w:ascii="Times New Roman"/>
                <w:color w:val="DBDDD4"/>
                <w:spacing w:val="-2"/>
                <w:w w:val="105"/>
                <w:sz w:val="13"/>
                <w:shd w:fill="363F52" w:color="auto" w:val="clear"/>
              </w:rPr>
              <w:t>918,99</w:t>
            </w:r>
          </w:p>
        </w:tc>
        <w:tc>
          <w:tcPr>
            <w:tcW w:w="932" w:type="dxa"/>
            <w:tcBorders>
              <w:top w:val="single" w:sz="8" w:space="0" w:color="000000"/>
              <w:left w:val="nil"/>
              <w:bottom w:val="single" w:sz="18" w:space="0" w:color="000000"/>
              <w:right w:val="nil"/>
            </w:tcBorders>
          </w:tcPr>
          <w:p>
            <w:pPr>
              <w:pStyle w:val="TableParagraph"/>
              <w:spacing w:before="27"/>
              <w:ind w:left="138"/>
              <w:rPr>
                <w:rFonts w:ascii="Times New Roman"/>
                <w:sz w:val="13"/>
              </w:rPr>
            </w:pPr>
            <w:r>
              <w:rPr>
                <w:rFonts w:ascii="Times New Roman"/>
                <w:color w:val="DBDDD4"/>
                <w:w w:val="105"/>
                <w:sz w:val="13"/>
                <w:shd w:fill="833D11" w:color="auto" w:val="clear"/>
              </w:rPr>
              <w:t>9 909</w:t>
            </w:r>
            <w:r>
              <w:rPr>
                <w:rFonts w:ascii="Times New Roman"/>
                <w:color w:val="DBDDD4"/>
                <w:spacing w:val="-8"/>
                <w:w w:val="105"/>
                <w:sz w:val="13"/>
                <w:shd w:fill="833D11" w:color="auto" w:val="clear"/>
              </w:rPr>
              <w:t> </w:t>
            </w:r>
            <w:r>
              <w:rPr>
                <w:rFonts w:ascii="Times New Roman"/>
                <w:color w:val="DBDDD4"/>
                <w:spacing w:val="-2"/>
                <w:w w:val="105"/>
                <w:sz w:val="13"/>
                <w:shd w:fill="833D11" w:color="auto" w:val="clear"/>
              </w:rPr>
              <w:t>580,61</w:t>
            </w:r>
          </w:p>
          <w:p>
            <w:pPr>
              <w:pStyle w:val="TableParagraph"/>
              <w:rPr>
                <w:sz w:val="13"/>
              </w:rPr>
            </w:pPr>
          </w:p>
          <w:p>
            <w:pPr>
              <w:pStyle w:val="TableParagraph"/>
              <w:spacing w:before="19"/>
              <w:rPr>
                <w:sz w:val="13"/>
              </w:rPr>
            </w:pPr>
          </w:p>
          <w:p>
            <w:pPr>
              <w:pStyle w:val="TableParagraph"/>
              <w:ind w:left="144"/>
              <w:rPr>
                <w:rFonts w:ascii="Arial"/>
                <w:b/>
                <w:sz w:val="12"/>
              </w:rPr>
            </w:pPr>
            <w:r>
              <w:rPr>
                <w:rFonts w:ascii="Arial"/>
                <w:b/>
                <w:color w:val="EBEDE6"/>
                <w:w w:val="105"/>
                <w:sz w:val="12"/>
                <w:shd w:fill="363F52" w:color="auto" w:val="clear"/>
              </w:rPr>
              <w:t>1</w:t>
            </w:r>
            <w:r>
              <w:rPr>
                <w:rFonts w:ascii="Arial"/>
                <w:b/>
                <w:color w:val="EBEDE6"/>
                <w:spacing w:val="-10"/>
                <w:w w:val="105"/>
                <w:sz w:val="12"/>
                <w:shd w:fill="363F52" w:color="auto" w:val="clear"/>
              </w:rPr>
              <w:t> </w:t>
            </w:r>
            <w:r>
              <w:rPr>
                <w:rFonts w:ascii="Arial"/>
                <w:b/>
                <w:i/>
                <w:color w:val="DBDDD4"/>
                <w:w w:val="105"/>
                <w:sz w:val="11"/>
                <w:shd w:fill="363F52" w:color="auto" w:val="clear"/>
              </w:rPr>
              <w:t>915</w:t>
            </w:r>
            <w:r>
              <w:rPr>
                <w:rFonts w:ascii="Arial"/>
                <w:b/>
                <w:i/>
                <w:color w:val="DBDDD4"/>
                <w:spacing w:val="12"/>
                <w:w w:val="105"/>
                <w:sz w:val="11"/>
                <w:shd w:fill="363F52" w:color="auto" w:val="clear"/>
              </w:rPr>
              <w:t> </w:t>
            </w:r>
            <w:r>
              <w:rPr>
                <w:rFonts w:ascii="Arial"/>
                <w:b/>
                <w:color w:val="DBDDD4"/>
                <w:spacing w:val="-2"/>
                <w:w w:val="105"/>
                <w:sz w:val="12"/>
                <w:shd w:fill="363F52" w:color="auto" w:val="clear"/>
              </w:rPr>
              <w:t>883,81</w:t>
            </w:r>
          </w:p>
        </w:tc>
        <w:tc>
          <w:tcPr>
            <w:tcW w:w="922" w:type="dxa"/>
            <w:tcBorders>
              <w:top w:val="single" w:sz="8" w:space="0" w:color="000000"/>
              <w:left w:val="nil"/>
              <w:bottom w:val="single" w:sz="18" w:space="0" w:color="000000"/>
              <w:right w:val="nil"/>
            </w:tcBorders>
          </w:tcPr>
          <w:p>
            <w:pPr>
              <w:pStyle w:val="TableParagraph"/>
              <w:spacing w:before="27"/>
              <w:ind w:left="139"/>
              <w:rPr>
                <w:rFonts w:ascii="Times New Roman"/>
                <w:sz w:val="13"/>
              </w:rPr>
            </w:pPr>
            <w:r>
              <w:rPr>
                <w:rFonts w:ascii="Times New Roman"/>
                <w:color w:val="DBDDD4"/>
                <w:sz w:val="13"/>
                <w:shd w:fill="833D11" w:color="auto" w:val="clear"/>
              </w:rPr>
              <w:t>9</w:t>
            </w:r>
            <w:r>
              <w:rPr>
                <w:rFonts w:ascii="Times New Roman"/>
                <w:color w:val="DBDDD4"/>
                <w:spacing w:val="1"/>
                <w:sz w:val="13"/>
                <w:shd w:fill="833D11" w:color="auto" w:val="clear"/>
              </w:rPr>
              <w:t> </w:t>
            </w:r>
            <w:r>
              <w:rPr>
                <w:rFonts w:ascii="Times New Roman"/>
                <w:i/>
                <w:color w:val="DBDDD4"/>
                <w:sz w:val="13"/>
                <w:shd w:fill="833D11" w:color="auto" w:val="clear"/>
              </w:rPr>
              <w:t>576</w:t>
            </w:r>
            <w:r>
              <w:rPr>
                <w:rFonts w:ascii="Times New Roman"/>
                <w:i/>
                <w:color w:val="DBDDD4"/>
                <w:spacing w:val="11"/>
                <w:sz w:val="13"/>
                <w:shd w:fill="833D11" w:color="auto" w:val="clear"/>
              </w:rPr>
              <w:t> </w:t>
            </w:r>
            <w:r>
              <w:rPr>
                <w:rFonts w:ascii="Times New Roman"/>
                <w:color w:val="DBDDD4"/>
                <w:sz w:val="13"/>
                <w:shd w:fill="833D11" w:color="auto" w:val="clear"/>
              </w:rPr>
              <w:t>-</w:t>
            </w:r>
            <w:r>
              <w:rPr>
                <w:rFonts w:ascii="Times New Roman"/>
                <w:color w:val="DBDDD4"/>
                <w:spacing w:val="-2"/>
                <w:sz w:val="13"/>
                <w:shd w:fill="833D11" w:color="auto" w:val="clear"/>
              </w:rPr>
              <w:t>168,06</w:t>
            </w:r>
          </w:p>
          <w:p>
            <w:pPr>
              <w:pStyle w:val="TableParagraph"/>
              <w:rPr>
                <w:sz w:val="13"/>
              </w:rPr>
            </w:pPr>
          </w:p>
          <w:p>
            <w:pPr>
              <w:pStyle w:val="TableParagraph"/>
              <w:spacing w:before="10"/>
              <w:rPr>
                <w:sz w:val="13"/>
              </w:rPr>
            </w:pPr>
          </w:p>
          <w:p>
            <w:pPr>
              <w:pStyle w:val="TableParagraph"/>
              <w:ind w:left="142"/>
              <w:rPr>
                <w:rFonts w:ascii="Times New Roman"/>
                <w:sz w:val="13"/>
              </w:rPr>
            </w:pPr>
            <w:r>
              <w:rPr>
                <w:rFonts w:ascii="Times New Roman"/>
                <w:color w:val="DBDDD4"/>
                <w:w w:val="105"/>
                <w:sz w:val="13"/>
                <w:shd w:fill="363F52" w:color="auto" w:val="clear"/>
              </w:rPr>
              <w:t>2</w:t>
            </w:r>
            <w:r>
              <w:rPr>
                <w:rFonts w:ascii="Times New Roman"/>
                <w:color w:val="DBDDD4"/>
                <w:spacing w:val="-4"/>
                <w:w w:val="105"/>
                <w:sz w:val="13"/>
                <w:shd w:fill="363F52" w:color="auto" w:val="clear"/>
              </w:rPr>
              <w:t> </w:t>
            </w:r>
            <w:r>
              <w:rPr>
                <w:rFonts w:ascii="Times New Roman"/>
                <w:color w:val="DBDDD4"/>
                <w:w w:val="105"/>
                <w:sz w:val="13"/>
                <w:shd w:fill="363F52" w:color="auto" w:val="clear"/>
              </w:rPr>
              <w:t>572</w:t>
            </w:r>
            <w:r>
              <w:rPr>
                <w:rFonts w:ascii="Times New Roman"/>
                <w:color w:val="DBDDD4"/>
                <w:spacing w:val="-1"/>
                <w:w w:val="105"/>
                <w:sz w:val="13"/>
                <w:shd w:fill="363F52" w:color="auto" w:val="clear"/>
              </w:rPr>
              <w:t> </w:t>
            </w:r>
            <w:r>
              <w:rPr>
                <w:rFonts w:ascii="Times New Roman"/>
                <w:color w:val="DBDDD4"/>
                <w:spacing w:val="-2"/>
                <w:w w:val="105"/>
                <w:sz w:val="13"/>
                <w:shd w:fill="363F52" w:color="auto" w:val="clear"/>
              </w:rPr>
              <w:t>626,62</w:t>
            </w:r>
          </w:p>
        </w:tc>
        <w:tc>
          <w:tcPr>
            <w:tcW w:w="999" w:type="dxa"/>
            <w:tcBorders>
              <w:top w:val="single" w:sz="8" w:space="0" w:color="000000"/>
              <w:left w:val="nil"/>
              <w:bottom w:val="single" w:sz="18" w:space="0" w:color="000000"/>
              <w:right w:val="nil"/>
            </w:tcBorders>
          </w:tcPr>
          <w:p>
            <w:pPr>
              <w:pStyle w:val="TableParagraph"/>
              <w:spacing w:before="36"/>
              <w:ind w:left="121"/>
              <w:rPr>
                <w:rFonts w:ascii="Arial"/>
                <w:b/>
                <w:sz w:val="12"/>
              </w:rPr>
            </w:pPr>
            <w:r>
              <w:rPr>
                <w:rFonts w:ascii="Arial"/>
                <w:b/>
                <w:color w:val="EBEDE6"/>
                <w:sz w:val="12"/>
                <w:shd w:fill="833D11" w:color="auto" w:val="clear"/>
              </w:rPr>
              <w:t>129</w:t>
            </w:r>
            <w:r>
              <w:rPr>
                <w:rFonts w:ascii="Arial"/>
                <w:b/>
                <w:color w:val="EBEDE6"/>
                <w:spacing w:val="-7"/>
                <w:sz w:val="12"/>
                <w:shd w:fill="833D11" w:color="auto" w:val="clear"/>
              </w:rPr>
              <w:t> </w:t>
            </w:r>
            <w:r>
              <w:rPr>
                <w:rFonts w:ascii="Arial"/>
                <w:b/>
                <w:color w:val="DBDDD4"/>
                <w:sz w:val="12"/>
                <w:shd w:fill="833D11" w:color="auto" w:val="clear"/>
              </w:rPr>
              <w:t>980</w:t>
            </w:r>
            <w:r>
              <w:rPr>
                <w:rFonts w:ascii="Arial"/>
                <w:b/>
                <w:color w:val="DBDDD4"/>
                <w:spacing w:val="5"/>
                <w:sz w:val="12"/>
                <w:shd w:fill="833D11" w:color="auto" w:val="clear"/>
              </w:rPr>
              <w:t> </w:t>
            </w:r>
            <w:r>
              <w:rPr>
                <w:rFonts w:ascii="Arial"/>
                <w:b/>
                <w:color w:val="DBDDD4"/>
                <w:spacing w:val="-2"/>
                <w:sz w:val="12"/>
                <w:shd w:fill="833D11" w:color="auto" w:val="clear"/>
              </w:rPr>
              <w:t>327</w:t>
            </w:r>
            <w:r>
              <w:rPr>
                <w:rFonts w:ascii="Arial"/>
                <w:b/>
                <w:color w:val="D4CFBD"/>
                <w:spacing w:val="-2"/>
                <w:sz w:val="12"/>
                <w:shd w:fill="833D11" w:color="auto" w:val="clear"/>
              </w:rPr>
              <w:t>,67</w:t>
            </w:r>
          </w:p>
          <w:p>
            <w:pPr>
              <w:pStyle w:val="TableParagraph"/>
              <w:rPr>
                <w:sz w:val="12"/>
              </w:rPr>
            </w:pPr>
          </w:p>
          <w:p>
            <w:pPr>
              <w:pStyle w:val="TableParagraph"/>
              <w:spacing w:before="44"/>
              <w:rPr>
                <w:sz w:val="12"/>
              </w:rPr>
            </w:pPr>
          </w:p>
          <w:p>
            <w:pPr>
              <w:pStyle w:val="TableParagraph"/>
              <w:spacing w:before="1"/>
              <w:ind w:left="152"/>
              <w:rPr>
                <w:rFonts w:ascii="Arial"/>
                <w:b/>
                <w:sz w:val="12"/>
              </w:rPr>
            </w:pPr>
            <w:r>
              <w:rPr>
                <w:rFonts w:ascii="Arial"/>
                <w:b/>
                <w:color w:val="EBEDE6"/>
                <w:sz w:val="12"/>
                <w:shd w:fill="363F52" w:color="auto" w:val="clear"/>
              </w:rPr>
              <w:t>I-l</w:t>
            </w:r>
            <w:r>
              <w:rPr>
                <w:rFonts w:ascii="Arial"/>
                <w:b/>
                <w:color w:val="EBEDE6"/>
                <w:spacing w:val="2"/>
                <w:sz w:val="12"/>
                <w:shd w:fill="363F52" w:color="auto" w:val="clear"/>
              </w:rPr>
              <w:t> </w:t>
            </w:r>
            <w:r>
              <w:rPr>
                <w:rFonts w:ascii="Arial"/>
                <w:b/>
                <w:color w:val="DBDDD4"/>
                <w:sz w:val="12"/>
                <w:shd w:fill="363F52" w:color="auto" w:val="clear"/>
              </w:rPr>
              <w:t>39-1-</w:t>
            </w:r>
            <w:r>
              <w:rPr>
                <w:rFonts w:ascii="Arial"/>
                <w:b/>
                <w:color w:val="DBDDD4"/>
                <w:spacing w:val="-2"/>
                <w:sz w:val="12"/>
                <w:shd w:fill="363F52" w:color="auto" w:val="clear"/>
              </w:rPr>
              <w:t>128,31</w:t>
            </w:r>
          </w:p>
        </w:tc>
        <w:tc>
          <w:tcPr>
            <w:tcW w:w="994" w:type="dxa"/>
            <w:tcBorders>
              <w:top w:val="single" w:sz="8" w:space="0" w:color="000000"/>
              <w:left w:val="nil"/>
              <w:bottom w:val="single" w:sz="18" w:space="0" w:color="000000"/>
              <w:right w:val="single" w:sz="18" w:space="0" w:color="000000"/>
            </w:tcBorders>
          </w:tcPr>
          <w:p>
            <w:pPr>
              <w:pStyle w:val="TableParagraph"/>
              <w:spacing w:before="27"/>
              <w:ind w:left="112"/>
              <w:rPr>
                <w:rFonts w:ascii="Times New Roman"/>
                <w:sz w:val="13"/>
              </w:rPr>
            </w:pPr>
            <w:r>
              <w:rPr>
                <w:rFonts w:ascii="Times New Roman"/>
                <w:color w:val="EBEDE6"/>
                <w:sz w:val="13"/>
                <w:shd w:fill="833D11" w:color="auto" w:val="clear"/>
              </w:rPr>
              <w:t>133</w:t>
            </w:r>
            <w:r>
              <w:rPr>
                <w:rFonts w:ascii="Times New Roman"/>
                <w:color w:val="EBEDE6"/>
                <w:spacing w:val="14"/>
                <w:sz w:val="13"/>
                <w:shd w:fill="833D11" w:color="auto" w:val="clear"/>
              </w:rPr>
              <w:t> </w:t>
            </w:r>
            <w:r>
              <w:rPr>
                <w:rFonts w:ascii="Times New Roman"/>
                <w:color w:val="DBDDD4"/>
                <w:sz w:val="13"/>
                <w:shd w:fill="833D11" w:color="auto" w:val="clear"/>
              </w:rPr>
              <w:t>229</w:t>
            </w:r>
            <w:r>
              <w:rPr>
                <w:rFonts w:ascii="Times New Roman"/>
                <w:color w:val="DBDDD4"/>
                <w:spacing w:val="4"/>
                <w:sz w:val="13"/>
                <w:shd w:fill="833D11" w:color="auto" w:val="clear"/>
              </w:rPr>
              <w:t> </w:t>
            </w:r>
            <w:r>
              <w:rPr>
                <w:rFonts w:ascii="Times New Roman"/>
                <w:color w:val="DBDDD4"/>
                <w:sz w:val="13"/>
                <w:shd w:fill="833D11" w:color="auto" w:val="clear"/>
              </w:rPr>
              <w:t>938,3-</w:t>
            </w:r>
            <w:r>
              <w:rPr>
                <w:rFonts w:ascii="Times New Roman"/>
                <w:color w:val="DBDDD4"/>
                <w:spacing w:val="-10"/>
                <w:sz w:val="13"/>
                <w:shd w:fill="833D11" w:color="auto" w:val="clear"/>
              </w:rPr>
              <w:t>l</w:t>
            </w:r>
          </w:p>
          <w:p>
            <w:pPr>
              <w:pStyle w:val="TableParagraph"/>
              <w:rPr>
                <w:sz w:val="13"/>
              </w:rPr>
            </w:pPr>
          </w:p>
          <w:p>
            <w:pPr>
              <w:pStyle w:val="TableParagraph"/>
              <w:spacing w:before="10"/>
              <w:rPr>
                <w:sz w:val="13"/>
              </w:rPr>
            </w:pPr>
          </w:p>
          <w:p>
            <w:pPr>
              <w:pStyle w:val="TableParagraph"/>
              <w:ind w:left="148"/>
              <w:rPr>
                <w:rFonts w:ascii="Times New Roman"/>
                <w:sz w:val="13"/>
              </w:rPr>
            </w:pPr>
            <w:r>
              <w:rPr>
                <w:rFonts w:ascii="Times New Roman"/>
                <w:color w:val="DBDDD4"/>
                <w:sz w:val="13"/>
                <w:shd w:fill="363F52" w:color="auto" w:val="clear"/>
              </w:rPr>
              <w:t>22</w:t>
            </w:r>
            <w:r>
              <w:rPr>
                <w:rFonts w:ascii="Times New Roman"/>
                <w:color w:val="DBDDD4"/>
                <w:spacing w:val="-5"/>
                <w:sz w:val="13"/>
                <w:shd w:fill="363F52" w:color="auto" w:val="clear"/>
              </w:rPr>
              <w:t> </w:t>
            </w:r>
            <w:r>
              <w:rPr>
                <w:rFonts w:ascii="Times New Roman"/>
                <w:color w:val="DBDDD4"/>
                <w:sz w:val="13"/>
                <w:shd w:fill="363F52" w:color="auto" w:val="clear"/>
              </w:rPr>
              <w:t>6-l6</w:t>
            </w:r>
            <w:r>
              <w:rPr>
                <w:rFonts w:ascii="Times New Roman"/>
                <w:color w:val="DBDDD4"/>
                <w:spacing w:val="-1"/>
                <w:sz w:val="13"/>
                <w:shd w:fill="363F52" w:color="auto" w:val="clear"/>
              </w:rPr>
              <w:t> </w:t>
            </w:r>
            <w:r>
              <w:rPr>
                <w:rFonts w:ascii="Times New Roman"/>
                <w:i/>
                <w:color w:val="DBDDD4"/>
                <w:sz w:val="13"/>
                <w:shd w:fill="363F52" w:color="auto" w:val="clear"/>
              </w:rPr>
              <w:t>5-</w:t>
            </w:r>
            <w:r>
              <w:rPr>
                <w:rFonts w:ascii="Times New Roman"/>
                <w:i/>
                <w:color w:val="DBDDD4"/>
                <w:spacing w:val="-4"/>
                <w:sz w:val="13"/>
                <w:shd w:fill="363F52" w:color="auto" w:val="clear"/>
              </w:rPr>
              <w:t>lS</w:t>
            </w:r>
            <w:r>
              <w:rPr>
                <w:rFonts w:ascii="Times New Roman"/>
                <w:color w:val="DBDDD4"/>
                <w:spacing w:val="-4"/>
                <w:sz w:val="13"/>
                <w:shd w:fill="363F52" w:color="auto" w:val="clear"/>
              </w:rPr>
              <w:t>,62</w:t>
            </w:r>
          </w:p>
        </w:tc>
      </w:tr>
      <w:tr>
        <w:trPr>
          <w:trHeight w:val="130" w:hRule="atLeast"/>
        </w:trPr>
        <w:tc>
          <w:tcPr>
            <w:tcW w:w="2260" w:type="dxa"/>
            <w:tcBorders>
              <w:top w:val="single" w:sz="18" w:space="0" w:color="000000"/>
              <w:bottom w:val="single" w:sz="8" w:space="0" w:color="000000"/>
              <w:right w:val="single" w:sz="8" w:space="0" w:color="000000"/>
            </w:tcBorders>
          </w:tcPr>
          <w:p>
            <w:pPr>
              <w:pStyle w:val="TableParagraph"/>
              <w:spacing w:line="111" w:lineRule="exact"/>
              <w:ind w:left="47"/>
              <w:rPr>
                <w:rFonts w:ascii="Times New Roman"/>
                <w:sz w:val="13"/>
              </w:rPr>
            </w:pPr>
            <w:r>
              <w:rPr>
                <w:rFonts w:ascii="Times New Roman"/>
                <w:color w:val="342B3B"/>
                <w:w w:val="105"/>
                <w:sz w:val="13"/>
              </w:rPr>
              <w:t>Gastos</w:t>
            </w:r>
            <w:r>
              <w:rPr>
                <w:rFonts w:ascii="Times New Roman"/>
                <w:color w:val="342B3B"/>
                <w:spacing w:val="-1"/>
                <w:w w:val="105"/>
                <w:sz w:val="13"/>
              </w:rPr>
              <w:t> </w:t>
            </w:r>
            <w:r>
              <w:rPr>
                <w:rFonts w:ascii="Times New Roman"/>
                <w:color w:val="342B3B"/>
                <w:w w:val="105"/>
                <w:sz w:val="13"/>
              </w:rPr>
              <w:t>por</w:t>
            </w:r>
            <w:r>
              <w:rPr>
                <w:rFonts w:ascii="Times New Roman"/>
                <w:color w:val="342B3B"/>
                <w:spacing w:val="-2"/>
                <w:w w:val="105"/>
                <w:sz w:val="13"/>
              </w:rPr>
              <w:t> </w:t>
            </w:r>
            <w:r>
              <w:rPr>
                <w:rFonts w:ascii="Times New Roman"/>
                <w:color w:val="283459"/>
                <w:spacing w:val="-2"/>
                <w:w w:val="105"/>
                <w:sz w:val="13"/>
              </w:rPr>
              <w:t>i</w:t>
            </w:r>
            <w:r>
              <w:rPr>
                <w:rFonts w:ascii="Times New Roman"/>
                <w:color w:val="1D1C2B"/>
                <w:spacing w:val="-2"/>
                <w:w w:val="105"/>
                <w:sz w:val="13"/>
              </w:rPr>
              <w:t>n</w:t>
            </w:r>
            <w:r>
              <w:rPr>
                <w:rFonts w:ascii="Times New Roman"/>
                <w:color w:val="4B2824"/>
                <w:spacing w:val="-2"/>
                <w:w w:val="105"/>
                <w:sz w:val="13"/>
              </w:rPr>
              <w:t>t</w:t>
            </w:r>
            <w:r>
              <w:rPr>
                <w:rFonts w:ascii="Times New Roman"/>
                <w:color w:val="443F52"/>
                <w:spacing w:val="-2"/>
                <w:w w:val="105"/>
                <w:sz w:val="13"/>
              </w:rPr>
              <w:t>er</w:t>
            </w:r>
            <w:r>
              <w:rPr>
                <w:rFonts w:ascii="Times New Roman"/>
                <w:color w:val="1D1C2B"/>
                <w:spacing w:val="-2"/>
                <w:w w:val="105"/>
                <w:sz w:val="13"/>
              </w:rPr>
              <w:t>e</w:t>
            </w:r>
            <w:r>
              <w:rPr>
                <w:rFonts w:ascii="Times New Roman"/>
                <w:color w:val="443F52"/>
                <w:spacing w:val="-2"/>
                <w:w w:val="105"/>
                <w:sz w:val="13"/>
              </w:rPr>
              <w:t>ses</w:t>
            </w:r>
          </w:p>
        </w:tc>
        <w:tc>
          <w:tcPr>
            <w:tcW w:w="1000"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ind w:left="54"/>
              <w:jc w:val="center"/>
              <w:rPr>
                <w:rFonts w:ascii="Times New Roman"/>
                <w:sz w:val="13"/>
              </w:rPr>
            </w:pPr>
            <w:r>
              <w:rPr>
                <w:rFonts w:ascii="Times New Roman"/>
                <w:color w:val="443F52"/>
                <w:sz w:val="13"/>
              </w:rPr>
              <w:t>2</w:t>
            </w:r>
            <w:r>
              <w:rPr>
                <w:rFonts w:ascii="Times New Roman"/>
                <w:color w:val="6B6472"/>
                <w:sz w:val="13"/>
              </w:rPr>
              <w:t>5</w:t>
            </w:r>
            <w:r>
              <w:rPr>
                <w:rFonts w:ascii="Times New Roman"/>
                <w:color w:val="6B6472"/>
                <w:spacing w:val="20"/>
                <w:sz w:val="13"/>
              </w:rPr>
              <w:t> </w:t>
            </w:r>
            <w:r>
              <w:rPr>
                <w:rFonts w:ascii="Times New Roman"/>
                <w:color w:val="342B3B"/>
                <w:sz w:val="13"/>
              </w:rPr>
              <w:t>-</w:t>
            </w:r>
            <w:r>
              <w:rPr>
                <w:rFonts w:ascii="Times New Roman"/>
                <w:color w:val="342B3B"/>
                <w:spacing w:val="-2"/>
                <w:sz w:val="13"/>
              </w:rPr>
              <w:t>1</w:t>
            </w:r>
            <w:r>
              <w:rPr>
                <w:rFonts w:ascii="Times New Roman"/>
                <w:color w:val="283459"/>
                <w:spacing w:val="-2"/>
                <w:sz w:val="13"/>
              </w:rPr>
              <w:t>11</w:t>
            </w:r>
            <w:r>
              <w:rPr>
                <w:rFonts w:ascii="Times New Roman"/>
                <w:color w:val="5B4244"/>
                <w:spacing w:val="-2"/>
                <w:sz w:val="13"/>
              </w:rPr>
              <w:t>,7</w:t>
            </w:r>
            <w:r>
              <w:rPr>
                <w:rFonts w:ascii="Times New Roman"/>
                <w:color w:val="544F60"/>
                <w:spacing w:val="-2"/>
                <w:sz w:val="13"/>
              </w:rPr>
              <w:t>5</w:t>
            </w:r>
          </w:p>
        </w:tc>
        <w:tc>
          <w:tcPr>
            <w:tcW w:w="990"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ind w:left="61"/>
              <w:jc w:val="center"/>
              <w:rPr>
                <w:rFonts w:ascii="Times New Roman"/>
                <w:sz w:val="13"/>
              </w:rPr>
            </w:pPr>
            <w:r>
              <w:rPr>
                <w:rFonts w:ascii="Times New Roman"/>
                <w:color w:val="1D1C2B"/>
                <w:sz w:val="13"/>
              </w:rPr>
              <w:t>1</w:t>
            </w:r>
            <w:r>
              <w:rPr>
                <w:rFonts w:ascii="Times New Roman"/>
                <w:color w:val="544F60"/>
                <w:sz w:val="13"/>
              </w:rPr>
              <w:t>7</w:t>
            </w:r>
            <w:r>
              <w:rPr>
                <w:rFonts w:ascii="Times New Roman"/>
                <w:color w:val="544F60"/>
                <w:spacing w:val="18"/>
                <w:sz w:val="13"/>
              </w:rPr>
              <w:t> </w:t>
            </w:r>
            <w:r>
              <w:rPr>
                <w:rFonts w:ascii="Times New Roman"/>
                <w:color w:val="1D1C2B"/>
                <w:sz w:val="13"/>
              </w:rPr>
              <w:t>-</w:t>
            </w:r>
            <w:r>
              <w:rPr>
                <w:rFonts w:ascii="Times New Roman"/>
                <w:color w:val="1D1C2B"/>
                <w:spacing w:val="-2"/>
                <w:sz w:val="13"/>
              </w:rPr>
              <w:t>1</w:t>
            </w:r>
            <w:r>
              <w:rPr>
                <w:rFonts w:ascii="Times New Roman"/>
                <w:color w:val="443F52"/>
                <w:spacing w:val="-2"/>
                <w:sz w:val="13"/>
              </w:rPr>
              <w:t>8</w:t>
            </w:r>
            <w:r>
              <w:rPr>
                <w:rFonts w:ascii="Times New Roman"/>
                <w:color w:val="1D1C2B"/>
                <w:spacing w:val="-2"/>
                <w:sz w:val="13"/>
              </w:rPr>
              <w:t>1</w:t>
            </w:r>
            <w:r>
              <w:rPr>
                <w:rFonts w:ascii="Times New Roman"/>
                <w:color w:val="544F60"/>
                <w:spacing w:val="-2"/>
                <w:sz w:val="13"/>
              </w:rPr>
              <w:t>,</w:t>
            </w:r>
            <w:r>
              <w:rPr>
                <w:rFonts w:ascii="Times New Roman"/>
                <w:color w:val="344872"/>
                <w:spacing w:val="-2"/>
                <w:sz w:val="13"/>
              </w:rPr>
              <w:t>0</w:t>
            </w:r>
            <w:r>
              <w:rPr>
                <w:rFonts w:ascii="Times New Roman"/>
                <w:color w:val="283459"/>
                <w:spacing w:val="-2"/>
                <w:sz w:val="13"/>
              </w:rPr>
              <w:t>3</w:t>
            </w:r>
          </w:p>
        </w:tc>
        <w:tc>
          <w:tcPr>
            <w:tcW w:w="932"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ind w:left="63"/>
              <w:jc w:val="center"/>
              <w:rPr>
                <w:rFonts w:ascii="Times New Roman"/>
                <w:sz w:val="13"/>
              </w:rPr>
            </w:pPr>
            <w:r>
              <w:rPr>
                <w:rFonts w:ascii="Times New Roman"/>
                <w:color w:val="544F60"/>
                <w:spacing w:val="-4"/>
                <w:w w:val="110"/>
                <w:sz w:val="13"/>
              </w:rPr>
              <w:t>0,00</w:t>
            </w:r>
          </w:p>
        </w:tc>
        <w:tc>
          <w:tcPr>
            <w:tcW w:w="922"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ind w:left="232"/>
              <w:rPr>
                <w:rFonts w:ascii="Times New Roman"/>
                <w:sz w:val="13"/>
              </w:rPr>
            </w:pPr>
            <w:r>
              <w:rPr>
                <w:rFonts w:ascii="Times New Roman"/>
                <w:color w:val="283459"/>
                <w:w w:val="115"/>
                <w:sz w:val="13"/>
              </w:rPr>
              <w:t>2</w:t>
            </w:r>
            <w:r>
              <w:rPr>
                <w:rFonts w:ascii="Times New Roman"/>
                <w:color w:val="283459"/>
                <w:spacing w:val="-5"/>
                <w:w w:val="115"/>
                <w:sz w:val="13"/>
              </w:rPr>
              <w:t> </w:t>
            </w:r>
            <w:r>
              <w:rPr>
                <w:rFonts w:ascii="Times New Roman"/>
                <w:color w:val="544F60"/>
                <w:spacing w:val="-2"/>
                <w:w w:val="115"/>
                <w:sz w:val="13"/>
              </w:rPr>
              <w:t>30</w:t>
            </w:r>
            <w:r>
              <w:rPr>
                <w:rFonts w:ascii="Times New Roman"/>
                <w:color w:val="4B2824"/>
                <w:spacing w:val="-2"/>
                <w:w w:val="115"/>
                <w:sz w:val="13"/>
              </w:rPr>
              <w:t>4</w:t>
            </w:r>
            <w:r>
              <w:rPr>
                <w:rFonts w:ascii="Times New Roman"/>
                <w:color w:val="544F60"/>
                <w:spacing w:val="-2"/>
                <w:w w:val="115"/>
                <w:sz w:val="13"/>
              </w:rPr>
              <w:t>,8</w:t>
            </w:r>
            <w:r>
              <w:rPr>
                <w:rFonts w:ascii="Times New Roman"/>
                <w:color w:val="1D1C2B"/>
                <w:spacing w:val="-2"/>
                <w:w w:val="115"/>
                <w:sz w:val="13"/>
              </w:rPr>
              <w:t>1</w:t>
            </w:r>
          </w:p>
        </w:tc>
        <w:tc>
          <w:tcPr>
            <w:tcW w:w="999"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jc w:val="right"/>
              <w:rPr>
                <w:rFonts w:ascii="Times New Roman"/>
                <w:i/>
                <w:sz w:val="13"/>
              </w:rPr>
            </w:pPr>
            <w:r>
              <w:rPr>
                <w:rFonts w:ascii="Times New Roman"/>
                <w:i/>
                <w:color w:val="443F52"/>
                <w:sz w:val="13"/>
              </w:rPr>
              <w:t>25</w:t>
            </w:r>
            <w:r>
              <w:rPr>
                <w:rFonts w:ascii="Times New Roman"/>
                <w:i/>
                <w:color w:val="443F52"/>
                <w:spacing w:val="5"/>
                <w:sz w:val="13"/>
              </w:rPr>
              <w:t> </w:t>
            </w:r>
            <w:r>
              <w:rPr>
                <w:rFonts w:ascii="Times New Roman"/>
                <w:i/>
                <w:color w:val="1D1C2B"/>
                <w:sz w:val="13"/>
              </w:rPr>
              <w:t>-</w:t>
            </w:r>
            <w:r>
              <w:rPr>
                <w:rFonts w:ascii="Times New Roman"/>
                <w:i/>
                <w:color w:val="1D1C2B"/>
                <w:spacing w:val="-2"/>
                <w:sz w:val="13"/>
              </w:rPr>
              <w:t>111</w:t>
            </w:r>
            <w:r>
              <w:rPr>
                <w:rFonts w:ascii="Times New Roman"/>
                <w:i/>
                <w:color w:val="544F60"/>
                <w:spacing w:val="-2"/>
                <w:sz w:val="13"/>
              </w:rPr>
              <w:t>,75</w:t>
            </w:r>
          </w:p>
        </w:tc>
        <w:tc>
          <w:tcPr>
            <w:tcW w:w="994" w:type="dxa"/>
            <w:tcBorders>
              <w:top w:val="single" w:sz="18" w:space="0" w:color="000000"/>
              <w:left w:val="single" w:sz="8" w:space="0" w:color="000000"/>
              <w:bottom w:val="single" w:sz="8" w:space="0" w:color="000000"/>
              <w:right w:val="single" w:sz="8" w:space="0" w:color="000000"/>
            </w:tcBorders>
          </w:tcPr>
          <w:p>
            <w:pPr>
              <w:pStyle w:val="TableParagraph"/>
              <w:spacing w:line="111" w:lineRule="exact"/>
              <w:ind w:right="-44"/>
              <w:jc w:val="right"/>
              <w:rPr>
                <w:rFonts w:ascii="Times New Roman"/>
                <w:sz w:val="13"/>
              </w:rPr>
            </w:pPr>
            <w:r>
              <w:rPr>
                <w:rFonts w:ascii="Times New Roman"/>
                <w:color w:val="1D1C2B"/>
                <w:w w:val="105"/>
                <w:sz w:val="13"/>
              </w:rPr>
              <w:t>19</w:t>
            </w:r>
            <w:r>
              <w:rPr>
                <w:rFonts w:ascii="Times New Roman"/>
                <w:color w:val="1D1C2B"/>
                <w:spacing w:val="-2"/>
                <w:w w:val="105"/>
                <w:sz w:val="13"/>
              </w:rPr>
              <w:t> </w:t>
            </w:r>
            <w:r>
              <w:rPr>
                <w:rFonts w:ascii="Times New Roman"/>
                <w:color w:val="544F60"/>
                <w:w w:val="105"/>
                <w:sz w:val="13"/>
              </w:rPr>
              <w:t>7</w:t>
            </w:r>
            <w:r>
              <w:rPr>
                <w:rFonts w:ascii="Times New Roman"/>
                <w:color w:val="5B4244"/>
                <w:w w:val="105"/>
                <w:sz w:val="13"/>
              </w:rPr>
              <w:t>85</w:t>
            </w:r>
            <w:r>
              <w:rPr>
                <w:rFonts w:ascii="Times New Roman"/>
                <w:color w:val="6B6472"/>
                <w:w w:val="105"/>
                <w:sz w:val="13"/>
              </w:rPr>
              <w:t>,</w:t>
            </w:r>
            <w:r>
              <w:rPr>
                <w:rFonts w:ascii="Times New Roman"/>
                <w:color w:val="5B4244"/>
                <w:w w:val="105"/>
                <w:sz w:val="13"/>
              </w:rPr>
              <w:t>8</w:t>
            </w:r>
            <w:r>
              <w:rPr>
                <w:rFonts w:ascii="Times New Roman"/>
                <w:color w:val="1D1C2B"/>
                <w:w w:val="105"/>
                <w:sz w:val="13"/>
              </w:rPr>
              <w:t>-</w:t>
            </w:r>
            <w:r>
              <w:rPr>
                <w:rFonts w:ascii="Times New Roman"/>
                <w:color w:val="1D1C2B"/>
                <w:spacing w:val="-10"/>
                <w:w w:val="105"/>
                <w:sz w:val="13"/>
              </w:rPr>
              <w:t>!</w:t>
            </w:r>
          </w:p>
        </w:tc>
      </w:tr>
      <w:tr>
        <w:trPr>
          <w:trHeight w:val="191" w:hRule="atLeast"/>
        </w:trPr>
        <w:tc>
          <w:tcPr>
            <w:tcW w:w="2260" w:type="dxa"/>
            <w:tcBorders>
              <w:top w:val="single" w:sz="8" w:space="0" w:color="000000"/>
              <w:bottom w:val="single" w:sz="8" w:space="0" w:color="000000"/>
              <w:right w:val="single" w:sz="8" w:space="0" w:color="000000"/>
            </w:tcBorders>
          </w:tcPr>
          <w:p>
            <w:pPr>
              <w:pStyle w:val="TableParagraph"/>
              <w:spacing w:line="135" w:lineRule="exact" w:before="36"/>
              <w:ind w:left="49"/>
              <w:rPr>
                <w:rFonts w:ascii="Times New Roman"/>
                <w:sz w:val="12"/>
              </w:rPr>
            </w:pPr>
            <w:r>
              <w:rPr>
                <w:rFonts w:ascii="Times New Roman"/>
                <w:color w:val="0E0C36"/>
                <w:w w:val="115"/>
                <w:sz w:val="12"/>
              </w:rPr>
              <w:t>In</w:t>
            </w:r>
            <w:r>
              <w:rPr>
                <w:rFonts w:ascii="Times New Roman"/>
                <w:color w:val="443F52"/>
                <w:w w:val="115"/>
                <w:sz w:val="12"/>
              </w:rPr>
              <w:t>g</w:t>
            </w:r>
            <w:r>
              <w:rPr>
                <w:rFonts w:ascii="Times New Roman"/>
                <w:color w:val="2F160F"/>
                <w:w w:val="115"/>
                <w:sz w:val="12"/>
              </w:rPr>
              <w:t>r</w:t>
            </w:r>
            <w:r>
              <w:rPr>
                <w:rFonts w:ascii="Times New Roman"/>
                <w:color w:val="342B3B"/>
                <w:w w:val="115"/>
                <w:sz w:val="12"/>
              </w:rPr>
              <w:t>es</w:t>
            </w:r>
            <w:r>
              <w:rPr>
                <w:rFonts w:ascii="Times New Roman"/>
                <w:color w:val="544F60"/>
                <w:w w:val="115"/>
                <w:sz w:val="12"/>
              </w:rPr>
              <w:t>os</w:t>
            </w:r>
            <w:r>
              <w:rPr>
                <w:rFonts w:ascii="Times New Roman"/>
                <w:color w:val="544F60"/>
                <w:spacing w:val="-5"/>
                <w:w w:val="115"/>
                <w:sz w:val="12"/>
              </w:rPr>
              <w:t> </w:t>
            </w:r>
            <w:r>
              <w:rPr>
                <w:rFonts w:ascii="Times New Roman"/>
                <w:color w:val="4B2824"/>
                <w:w w:val="115"/>
                <w:sz w:val="12"/>
              </w:rPr>
              <w:t>p</w:t>
            </w:r>
            <w:r>
              <w:rPr>
                <w:rFonts w:ascii="Times New Roman"/>
                <w:color w:val="283459"/>
                <w:w w:val="115"/>
                <w:sz w:val="12"/>
              </w:rPr>
              <w:t>o</w:t>
            </w:r>
            <w:r>
              <w:rPr>
                <w:rFonts w:ascii="Times New Roman"/>
                <w:color w:val="5B4244"/>
                <w:w w:val="115"/>
                <w:sz w:val="12"/>
              </w:rPr>
              <w:t>r</w:t>
            </w:r>
            <w:r>
              <w:rPr>
                <w:rFonts w:ascii="Times New Roman"/>
                <w:color w:val="5B4244"/>
                <w:spacing w:val="1"/>
                <w:w w:val="115"/>
                <w:sz w:val="12"/>
              </w:rPr>
              <w:t> </w:t>
            </w:r>
            <w:r>
              <w:rPr>
                <w:rFonts w:ascii="Times New Roman"/>
                <w:color w:val="443F52"/>
                <w:spacing w:val="-2"/>
                <w:w w:val="115"/>
                <w:sz w:val="12"/>
              </w:rPr>
              <w:t>i</w:t>
            </w:r>
            <w:r>
              <w:rPr>
                <w:rFonts w:ascii="Times New Roman"/>
                <w:color w:val="1D1C2B"/>
                <w:spacing w:val="-2"/>
                <w:w w:val="115"/>
                <w:sz w:val="12"/>
              </w:rPr>
              <w:t>n</w:t>
            </w:r>
            <w:r>
              <w:rPr>
                <w:rFonts w:ascii="Times New Roman"/>
                <w:color w:val="283459"/>
                <w:spacing w:val="-2"/>
                <w:w w:val="115"/>
                <w:sz w:val="12"/>
              </w:rPr>
              <w:t>t</w:t>
            </w:r>
            <w:r>
              <w:rPr>
                <w:rFonts w:ascii="Times New Roman"/>
                <w:color w:val="443F52"/>
                <w:spacing w:val="-2"/>
                <w:w w:val="115"/>
                <w:sz w:val="12"/>
              </w:rPr>
              <w:t>e</w:t>
            </w:r>
            <w:r>
              <w:rPr>
                <w:rFonts w:ascii="Times New Roman"/>
                <w:color w:val="4B2824"/>
                <w:spacing w:val="-2"/>
                <w:w w:val="115"/>
                <w:sz w:val="12"/>
              </w:rPr>
              <w:t>re</w:t>
            </w:r>
            <w:r>
              <w:rPr>
                <w:rFonts w:ascii="Times New Roman"/>
                <w:color w:val="443F52"/>
                <w:spacing w:val="-2"/>
                <w:w w:val="115"/>
                <w:sz w:val="12"/>
              </w:rPr>
              <w:t>ses</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ind w:left="57"/>
              <w:jc w:val="center"/>
              <w:rPr>
                <w:rFonts w:ascii="Times New Roman"/>
                <w:sz w:val="13"/>
              </w:rPr>
            </w:pPr>
            <w:r>
              <w:rPr>
                <w:rFonts w:ascii="Times New Roman"/>
                <w:color w:val="1D1C2B"/>
                <w:w w:val="110"/>
                <w:sz w:val="13"/>
              </w:rPr>
              <w:t>1</w:t>
            </w:r>
            <w:r>
              <w:rPr>
                <w:rFonts w:ascii="Times New Roman"/>
                <w:color w:val="544F60"/>
                <w:w w:val="110"/>
                <w:sz w:val="13"/>
              </w:rPr>
              <w:t>50</w:t>
            </w:r>
            <w:r>
              <w:rPr>
                <w:rFonts w:ascii="Times New Roman"/>
                <w:color w:val="544F60"/>
                <w:spacing w:val="8"/>
                <w:w w:val="110"/>
                <w:sz w:val="13"/>
              </w:rPr>
              <w:t> </w:t>
            </w:r>
            <w:r>
              <w:rPr>
                <w:rFonts w:ascii="Times New Roman"/>
                <w:color w:val="5B4244"/>
                <w:spacing w:val="-2"/>
                <w:w w:val="110"/>
                <w:sz w:val="13"/>
              </w:rPr>
              <w:t>073</w:t>
            </w:r>
            <w:r>
              <w:rPr>
                <w:rFonts w:ascii="Times New Roman"/>
                <w:color w:val="344872"/>
                <w:spacing w:val="-2"/>
                <w:w w:val="110"/>
                <w:sz w:val="13"/>
              </w:rPr>
              <w:t>,</w:t>
            </w:r>
            <w:r>
              <w:rPr>
                <w:rFonts w:ascii="Times New Roman"/>
                <w:color w:val="443F52"/>
                <w:spacing w:val="-2"/>
                <w:w w:val="110"/>
                <w:sz w:val="13"/>
              </w:rPr>
              <w:t>77</w:t>
            </w:r>
          </w:p>
        </w:tc>
        <w:tc>
          <w:tcPr>
            <w:tcW w:w="990"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ind w:left="47"/>
              <w:jc w:val="center"/>
              <w:rPr>
                <w:rFonts w:ascii="Times New Roman"/>
                <w:i/>
                <w:sz w:val="13"/>
              </w:rPr>
            </w:pPr>
            <w:r>
              <w:rPr>
                <w:rFonts w:ascii="Times New Roman"/>
                <w:color w:val="133A72"/>
                <w:w w:val="110"/>
                <w:sz w:val="13"/>
              </w:rPr>
              <w:t>1</w:t>
            </w:r>
            <w:r>
              <w:rPr>
                <w:rFonts w:ascii="Times New Roman"/>
                <w:color w:val="443F52"/>
                <w:w w:val="110"/>
                <w:sz w:val="13"/>
              </w:rPr>
              <w:t>72</w:t>
            </w:r>
            <w:r>
              <w:rPr>
                <w:rFonts w:ascii="Times New Roman"/>
                <w:color w:val="443F52"/>
                <w:spacing w:val="15"/>
                <w:w w:val="110"/>
                <w:sz w:val="13"/>
              </w:rPr>
              <w:t> </w:t>
            </w:r>
            <w:r>
              <w:rPr>
                <w:rFonts w:ascii="Times New Roman"/>
                <w:i/>
                <w:color w:val="443F52"/>
                <w:spacing w:val="-2"/>
                <w:w w:val="110"/>
                <w:sz w:val="13"/>
              </w:rPr>
              <w:t>243</w:t>
            </w:r>
            <w:r>
              <w:rPr>
                <w:rFonts w:ascii="Times New Roman"/>
                <w:i/>
                <w:color w:val="6B6472"/>
                <w:spacing w:val="-2"/>
                <w:w w:val="110"/>
                <w:sz w:val="13"/>
              </w:rPr>
              <w:t>,5</w:t>
            </w:r>
            <w:r>
              <w:rPr>
                <w:rFonts w:ascii="Times New Roman"/>
                <w:i/>
                <w:color w:val="0E0C36"/>
                <w:spacing w:val="-2"/>
                <w:w w:val="110"/>
                <w:sz w:val="13"/>
              </w:rPr>
              <w:t>4</w:t>
            </w:r>
          </w:p>
        </w:tc>
        <w:tc>
          <w:tcPr>
            <w:tcW w:w="932"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ind w:left="65"/>
              <w:jc w:val="center"/>
              <w:rPr>
                <w:rFonts w:ascii="Times New Roman"/>
                <w:sz w:val="13"/>
              </w:rPr>
            </w:pPr>
            <w:r>
              <w:rPr>
                <w:rFonts w:ascii="Times New Roman"/>
                <w:color w:val="342B3B"/>
                <w:w w:val="110"/>
                <w:sz w:val="13"/>
              </w:rPr>
              <w:t>2</w:t>
            </w:r>
            <w:r>
              <w:rPr>
                <w:rFonts w:ascii="Times New Roman"/>
                <w:color w:val="342B3B"/>
                <w:spacing w:val="5"/>
                <w:w w:val="110"/>
                <w:sz w:val="13"/>
              </w:rPr>
              <w:t> </w:t>
            </w:r>
            <w:r>
              <w:rPr>
                <w:rFonts w:ascii="Times New Roman"/>
                <w:color w:val="544F60"/>
                <w:spacing w:val="-2"/>
                <w:w w:val="110"/>
                <w:sz w:val="13"/>
              </w:rPr>
              <w:t>0</w:t>
            </w:r>
            <w:r>
              <w:rPr>
                <w:rFonts w:ascii="Times New Roman"/>
                <w:color w:val="344872"/>
                <w:spacing w:val="-2"/>
                <w:w w:val="110"/>
                <w:sz w:val="13"/>
              </w:rPr>
              <w:t>16</w:t>
            </w:r>
            <w:r>
              <w:rPr>
                <w:rFonts w:ascii="Times New Roman"/>
                <w:color w:val="6B6472"/>
                <w:spacing w:val="-2"/>
                <w:w w:val="110"/>
                <w:sz w:val="13"/>
              </w:rPr>
              <w:t>,8</w:t>
            </w:r>
            <w:r>
              <w:rPr>
                <w:rFonts w:ascii="Times New Roman"/>
                <w:color w:val="1D1C2B"/>
                <w:spacing w:val="-2"/>
                <w:w w:val="110"/>
                <w:sz w:val="13"/>
              </w:rPr>
              <w:t>1</w:t>
            </w:r>
          </w:p>
        </w:tc>
        <w:tc>
          <w:tcPr>
            <w:tcW w:w="922"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ind w:left="228"/>
              <w:rPr>
                <w:rFonts w:ascii="Times New Roman"/>
                <w:sz w:val="13"/>
              </w:rPr>
            </w:pPr>
            <w:r>
              <w:rPr>
                <w:rFonts w:ascii="Times New Roman"/>
                <w:color w:val="443F52"/>
                <w:w w:val="115"/>
                <w:sz w:val="13"/>
              </w:rPr>
              <w:t>2</w:t>
            </w:r>
            <w:r>
              <w:rPr>
                <w:rFonts w:ascii="Times New Roman"/>
                <w:color w:val="443F52"/>
                <w:spacing w:val="-1"/>
                <w:w w:val="115"/>
                <w:sz w:val="13"/>
              </w:rPr>
              <w:t> </w:t>
            </w:r>
            <w:r>
              <w:rPr>
                <w:rFonts w:ascii="Times New Roman"/>
                <w:color w:val="544F60"/>
                <w:spacing w:val="-2"/>
                <w:w w:val="115"/>
                <w:sz w:val="13"/>
              </w:rPr>
              <w:t>628,</w:t>
            </w:r>
            <w:r>
              <w:rPr>
                <w:rFonts w:ascii="Times New Roman"/>
                <w:color w:val="0E0C36"/>
                <w:spacing w:val="-2"/>
                <w:w w:val="115"/>
                <w:sz w:val="13"/>
              </w:rPr>
              <w:t>4</w:t>
            </w:r>
            <w:r>
              <w:rPr>
                <w:rFonts w:ascii="Times New Roman"/>
                <w:color w:val="443F52"/>
                <w:spacing w:val="-2"/>
                <w:w w:val="115"/>
                <w:sz w:val="13"/>
              </w:rPr>
              <w:t>7</w:t>
            </w:r>
          </w:p>
        </w:tc>
        <w:tc>
          <w:tcPr>
            <w:tcW w:w="999"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jc w:val="right"/>
              <w:rPr>
                <w:rFonts w:ascii="Times New Roman"/>
                <w:sz w:val="13"/>
              </w:rPr>
            </w:pPr>
            <w:r>
              <w:rPr>
                <w:rFonts w:ascii="Times New Roman"/>
                <w:color w:val="0E0C36"/>
                <w:w w:val="105"/>
                <w:sz w:val="13"/>
              </w:rPr>
              <w:t>1</w:t>
            </w:r>
            <w:r>
              <w:rPr>
                <w:rFonts w:ascii="Times New Roman"/>
                <w:color w:val="443F52"/>
                <w:w w:val="105"/>
                <w:sz w:val="13"/>
              </w:rPr>
              <w:t>52</w:t>
            </w:r>
            <w:r>
              <w:rPr>
                <w:rFonts w:ascii="Times New Roman"/>
                <w:color w:val="443F52"/>
                <w:spacing w:val="-4"/>
                <w:w w:val="105"/>
                <w:sz w:val="13"/>
              </w:rPr>
              <w:t> </w:t>
            </w:r>
            <w:r>
              <w:rPr>
                <w:rFonts w:ascii="Times New Roman"/>
                <w:color w:val="544F60"/>
                <w:spacing w:val="-2"/>
                <w:w w:val="105"/>
                <w:sz w:val="13"/>
              </w:rPr>
              <w:t>090,58</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spacing w:line="144" w:lineRule="exact" w:before="27"/>
              <w:ind w:right="-15"/>
              <w:jc w:val="right"/>
              <w:rPr>
                <w:rFonts w:ascii="Times New Roman"/>
                <w:sz w:val="13"/>
              </w:rPr>
            </w:pPr>
            <w:r>
              <w:rPr>
                <w:rFonts w:ascii="Times New Roman"/>
                <w:color w:val="1D1C2B"/>
                <w:sz w:val="13"/>
              </w:rPr>
              <w:t>1</w:t>
            </w:r>
            <w:r>
              <w:rPr>
                <w:rFonts w:ascii="Times New Roman"/>
                <w:color w:val="443F52"/>
                <w:sz w:val="13"/>
              </w:rPr>
              <w:t>7-l</w:t>
            </w:r>
            <w:r>
              <w:rPr>
                <w:rFonts w:ascii="Times New Roman"/>
                <w:color w:val="443F52"/>
                <w:spacing w:val="-7"/>
                <w:sz w:val="13"/>
              </w:rPr>
              <w:t> </w:t>
            </w:r>
            <w:r>
              <w:rPr>
                <w:rFonts w:ascii="Times New Roman"/>
                <w:color w:val="544F60"/>
                <w:spacing w:val="-2"/>
                <w:sz w:val="13"/>
              </w:rPr>
              <w:t>87</w:t>
            </w:r>
            <w:r>
              <w:rPr>
                <w:rFonts w:ascii="Times New Roman"/>
                <w:color w:val="342B3B"/>
                <w:spacing w:val="-2"/>
                <w:sz w:val="13"/>
              </w:rPr>
              <w:t>2</w:t>
            </w:r>
            <w:r>
              <w:rPr>
                <w:rFonts w:ascii="Times New Roman"/>
                <w:color w:val="544F60"/>
                <w:spacing w:val="-2"/>
                <w:sz w:val="13"/>
              </w:rPr>
              <w:t>,0</w:t>
            </w:r>
            <w:r>
              <w:rPr>
                <w:rFonts w:ascii="Times New Roman"/>
                <w:color w:val="5B4244"/>
                <w:spacing w:val="-2"/>
                <w:sz w:val="13"/>
              </w:rPr>
              <w:t>0</w:t>
            </w:r>
          </w:p>
        </w:tc>
      </w:tr>
      <w:tr>
        <w:trPr>
          <w:trHeight w:val="316" w:hRule="atLeast"/>
        </w:trPr>
        <w:tc>
          <w:tcPr>
            <w:tcW w:w="2260" w:type="dxa"/>
            <w:tcBorders>
              <w:top w:val="single" w:sz="8" w:space="0" w:color="000000"/>
              <w:bottom w:val="single" w:sz="8" w:space="0" w:color="000000"/>
              <w:right w:val="single" w:sz="8" w:space="0" w:color="000000"/>
            </w:tcBorders>
          </w:tcPr>
          <w:p>
            <w:pPr>
              <w:pStyle w:val="TableParagraph"/>
              <w:spacing w:before="17"/>
              <w:ind w:left="50"/>
              <w:rPr>
                <w:rFonts w:ascii="Times New Roman" w:hAnsi="Times New Roman"/>
                <w:sz w:val="12"/>
              </w:rPr>
            </w:pPr>
            <w:r>
              <w:rPr>
                <w:rFonts w:ascii="Times New Roman" w:hAnsi="Times New Roman"/>
                <w:color w:val="0E0C36"/>
                <w:w w:val="110"/>
                <w:sz w:val="12"/>
              </w:rPr>
              <w:t>Pa</w:t>
            </w:r>
            <w:r>
              <w:rPr>
                <w:rFonts w:ascii="Times New Roman" w:hAnsi="Times New Roman"/>
                <w:color w:val="283459"/>
                <w:w w:val="110"/>
                <w:sz w:val="12"/>
              </w:rPr>
              <w:t>rti</w:t>
            </w:r>
            <w:r>
              <w:rPr>
                <w:rFonts w:ascii="Times New Roman" w:hAnsi="Times New Roman"/>
                <w:color w:val="342B3B"/>
                <w:w w:val="110"/>
                <w:sz w:val="12"/>
              </w:rPr>
              <w:t>cipac</w:t>
            </w:r>
            <w:r>
              <w:rPr>
                <w:rFonts w:ascii="Times New Roman" w:hAnsi="Times New Roman"/>
                <w:color w:val="112359"/>
                <w:w w:val="110"/>
                <w:sz w:val="12"/>
              </w:rPr>
              <w:t>i</w:t>
            </w:r>
            <w:r>
              <w:rPr>
                <w:rFonts w:ascii="Times New Roman" w:hAnsi="Times New Roman"/>
                <w:color w:val="342B3B"/>
                <w:w w:val="110"/>
                <w:sz w:val="12"/>
              </w:rPr>
              <w:t>ó</w:t>
            </w:r>
            <w:r>
              <w:rPr>
                <w:rFonts w:ascii="Times New Roman" w:hAnsi="Times New Roman"/>
                <w:color w:val="283459"/>
                <w:w w:val="110"/>
                <w:sz w:val="12"/>
              </w:rPr>
              <w:t>n</w:t>
            </w:r>
            <w:r>
              <w:rPr>
                <w:rFonts w:ascii="Times New Roman" w:hAnsi="Times New Roman"/>
                <w:color w:val="283459"/>
                <w:spacing w:val="11"/>
                <w:w w:val="110"/>
                <w:sz w:val="12"/>
              </w:rPr>
              <w:t> </w:t>
            </w:r>
            <w:r>
              <w:rPr>
                <w:rFonts w:ascii="Times New Roman" w:hAnsi="Times New Roman"/>
                <w:color w:val="342B3B"/>
                <w:w w:val="110"/>
                <w:sz w:val="12"/>
              </w:rPr>
              <w:t>en</w:t>
            </w:r>
            <w:r>
              <w:rPr>
                <w:rFonts w:ascii="Times New Roman" w:hAnsi="Times New Roman"/>
                <w:color w:val="342B3B"/>
                <w:spacing w:val="14"/>
                <w:w w:val="110"/>
                <w:sz w:val="12"/>
              </w:rPr>
              <w:t> </w:t>
            </w:r>
            <w:r>
              <w:rPr>
                <w:rFonts w:ascii="Times New Roman" w:hAnsi="Times New Roman"/>
                <w:color w:val="342B3B"/>
                <w:w w:val="110"/>
                <w:sz w:val="12"/>
              </w:rPr>
              <w:t>el</w:t>
            </w:r>
            <w:r>
              <w:rPr>
                <w:rFonts w:ascii="Times New Roman" w:hAnsi="Times New Roman"/>
                <w:color w:val="342B3B"/>
                <w:spacing w:val="1"/>
                <w:w w:val="110"/>
                <w:sz w:val="12"/>
              </w:rPr>
              <w:t> </w:t>
            </w:r>
            <w:r>
              <w:rPr>
                <w:rFonts w:ascii="Times New Roman" w:hAnsi="Times New Roman"/>
                <w:color w:val="5B4244"/>
                <w:w w:val="110"/>
                <w:sz w:val="12"/>
              </w:rPr>
              <w:t>r</w:t>
            </w:r>
            <w:r>
              <w:rPr>
                <w:rFonts w:ascii="Times New Roman" w:hAnsi="Times New Roman"/>
                <w:color w:val="1D1C2B"/>
                <w:w w:val="110"/>
                <w:sz w:val="12"/>
              </w:rPr>
              <w:t>e</w:t>
            </w:r>
            <w:r>
              <w:rPr>
                <w:rFonts w:ascii="Times New Roman" w:hAnsi="Times New Roman"/>
                <w:color w:val="443F52"/>
                <w:w w:val="110"/>
                <w:sz w:val="12"/>
              </w:rPr>
              <w:t>su</w:t>
            </w:r>
            <w:r>
              <w:rPr>
                <w:rFonts w:ascii="Times New Roman" w:hAnsi="Times New Roman"/>
                <w:color w:val="0E0C36"/>
                <w:w w:val="110"/>
                <w:sz w:val="12"/>
              </w:rPr>
              <w:t>lt</w:t>
            </w:r>
            <w:r>
              <w:rPr>
                <w:rFonts w:ascii="Times New Roman" w:hAnsi="Times New Roman"/>
                <w:color w:val="443F52"/>
                <w:w w:val="110"/>
                <w:sz w:val="12"/>
              </w:rPr>
              <w:t>ad</w:t>
            </w:r>
            <w:r>
              <w:rPr>
                <w:rFonts w:ascii="Times New Roman" w:hAnsi="Times New Roman"/>
                <w:color w:val="344872"/>
                <w:w w:val="110"/>
                <w:sz w:val="12"/>
              </w:rPr>
              <w:t>o</w:t>
            </w:r>
            <w:r>
              <w:rPr>
                <w:rFonts w:ascii="Times New Roman" w:hAnsi="Times New Roman"/>
                <w:color w:val="344872"/>
                <w:spacing w:val="8"/>
                <w:w w:val="110"/>
                <w:sz w:val="12"/>
              </w:rPr>
              <w:t> </w:t>
            </w:r>
            <w:r>
              <w:rPr>
                <w:rFonts w:ascii="Times New Roman" w:hAnsi="Times New Roman"/>
                <w:color w:val="342B3B"/>
                <w:spacing w:val="-2"/>
                <w:w w:val="110"/>
                <w:sz w:val="12"/>
              </w:rPr>
              <w:t>p</w:t>
            </w:r>
            <w:r>
              <w:rPr>
                <w:rFonts w:ascii="Times New Roman" w:hAnsi="Times New Roman"/>
                <w:color w:val="544F60"/>
                <w:spacing w:val="-2"/>
                <w:w w:val="110"/>
                <w:sz w:val="12"/>
              </w:rPr>
              <w:t>osi</w:t>
            </w:r>
            <w:r>
              <w:rPr>
                <w:rFonts w:ascii="Times New Roman" w:hAnsi="Times New Roman"/>
                <w:color w:val="283459"/>
                <w:spacing w:val="-2"/>
                <w:w w:val="110"/>
                <w:sz w:val="12"/>
              </w:rPr>
              <w:t>t</w:t>
            </w:r>
            <w:r>
              <w:rPr>
                <w:rFonts w:ascii="Times New Roman" w:hAnsi="Times New Roman"/>
                <w:color w:val="342B3B"/>
                <w:spacing w:val="-2"/>
                <w:w w:val="110"/>
                <w:sz w:val="12"/>
              </w:rPr>
              <w:t>iY</w:t>
            </w:r>
            <w:r>
              <w:rPr>
                <w:rFonts w:ascii="Times New Roman" w:hAnsi="Times New Roman"/>
                <w:color w:val="5B4244"/>
                <w:spacing w:val="-2"/>
                <w:w w:val="110"/>
                <w:sz w:val="12"/>
              </w:rPr>
              <w:t>o</w:t>
            </w:r>
          </w:p>
          <w:p>
            <w:pPr>
              <w:pStyle w:val="TableParagraph"/>
              <w:spacing w:line="111" w:lineRule="exact" w:before="30"/>
              <w:ind w:left="41"/>
              <w:rPr>
                <w:rFonts w:ascii="Times New Roman"/>
                <w:sz w:val="12"/>
              </w:rPr>
            </w:pPr>
            <w:r>
              <w:rPr>
                <w:rFonts w:ascii="Times New Roman"/>
                <w:color w:val="342B3B"/>
                <w:w w:val="115"/>
                <w:sz w:val="12"/>
              </w:rPr>
              <w:t>net</w:t>
            </w:r>
            <w:r>
              <w:rPr>
                <w:rFonts w:ascii="Times New Roman"/>
                <w:color w:val="544F60"/>
                <w:w w:val="115"/>
                <w:sz w:val="12"/>
              </w:rPr>
              <w:t>o</w:t>
            </w:r>
            <w:r>
              <w:rPr>
                <w:rFonts w:ascii="Times New Roman"/>
                <w:color w:val="544F60"/>
                <w:spacing w:val="6"/>
                <w:w w:val="115"/>
                <w:sz w:val="12"/>
              </w:rPr>
              <w:t> </w:t>
            </w:r>
            <w:r>
              <w:rPr>
                <w:rFonts w:ascii="Times New Roman"/>
                <w:color w:val="443F52"/>
                <w:w w:val="115"/>
                <w:sz w:val="12"/>
              </w:rPr>
              <w:t>de</w:t>
            </w:r>
            <w:r>
              <w:rPr>
                <w:rFonts w:ascii="Times New Roman"/>
                <w:color w:val="443F52"/>
                <w:spacing w:val="3"/>
                <w:w w:val="115"/>
                <w:sz w:val="12"/>
              </w:rPr>
              <w:t> </w:t>
            </w:r>
            <w:r>
              <w:rPr>
                <w:rFonts w:ascii="Times New Roman"/>
                <w:color w:val="1D1C2B"/>
                <w:spacing w:val="-5"/>
                <w:w w:val="115"/>
                <w:sz w:val="12"/>
              </w:rPr>
              <w:t>EP</w:t>
            </w: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3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22"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9"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r>
      <w:tr>
        <w:trPr>
          <w:trHeight w:val="409" w:hRule="atLeast"/>
        </w:trPr>
        <w:tc>
          <w:tcPr>
            <w:tcW w:w="2260" w:type="dxa"/>
            <w:tcBorders>
              <w:top w:val="single" w:sz="8" w:space="0" w:color="000000"/>
              <w:bottom w:val="single" w:sz="18" w:space="0" w:color="000000"/>
              <w:right w:val="nil"/>
            </w:tcBorders>
          </w:tcPr>
          <w:p>
            <w:pPr>
              <w:pStyle w:val="TableParagraph"/>
              <w:spacing w:before="109"/>
              <w:ind w:left="49"/>
              <w:rPr>
                <w:rFonts w:ascii="Times New Roman"/>
                <w:b/>
                <w:sz w:val="14"/>
              </w:rPr>
            </w:pPr>
            <w:r>
              <w:rPr>
                <w:rFonts w:ascii="Times New Roman"/>
                <w:b/>
                <w:color w:val="EBEDE6"/>
                <w:sz w:val="14"/>
                <w:shd w:fill="262D3A" w:color="auto" w:val="clear"/>
              </w:rPr>
              <w:t>Resultado</w:t>
            </w:r>
            <w:r>
              <w:rPr>
                <w:rFonts w:ascii="Times New Roman"/>
                <w:b/>
                <w:color w:val="EBEDE6"/>
                <w:spacing w:val="8"/>
                <w:sz w:val="14"/>
                <w:shd w:fill="262D3A" w:color="auto" w:val="clear"/>
              </w:rPr>
              <w:t> </w:t>
            </w:r>
            <w:r>
              <w:rPr>
                <w:rFonts w:ascii="Times New Roman"/>
                <w:b/>
                <w:color w:val="DBDDD4"/>
                <w:sz w:val="14"/>
                <w:shd w:fill="262D3A" w:color="auto" w:val="clear"/>
              </w:rPr>
              <w:t>Neto</w:t>
            </w:r>
            <w:r>
              <w:rPr>
                <w:rFonts w:ascii="Times New Roman"/>
                <w:b/>
                <w:color w:val="DBDDD4"/>
                <w:spacing w:val="-2"/>
                <w:sz w:val="14"/>
                <w:shd w:fill="262D3A" w:color="auto" w:val="clear"/>
              </w:rPr>
              <w:t> </w:t>
            </w:r>
            <w:r>
              <w:rPr>
                <w:rFonts w:ascii="Times New Roman"/>
                <w:b/>
                <w:color w:val="D4CFBD"/>
                <w:spacing w:val="-2"/>
                <w:sz w:val="14"/>
                <w:shd w:fill="262D3A" w:color="auto" w:val="clear"/>
              </w:rPr>
              <w:t>(</w:t>
            </w:r>
            <w:r>
              <w:rPr>
                <w:rFonts w:ascii="Times New Roman"/>
                <w:b/>
                <w:color w:val="EBEDE6"/>
                <w:spacing w:val="-2"/>
                <w:sz w:val="14"/>
                <w:shd w:fill="262D3A" w:color="auto" w:val="clear"/>
              </w:rPr>
              <w:t>ahono</w:t>
            </w:r>
            <w:r>
              <w:rPr>
                <w:rFonts w:ascii="Times New Roman"/>
                <w:b/>
                <w:color w:val="B3C1B3"/>
                <w:spacing w:val="-2"/>
                <w:sz w:val="14"/>
                <w:shd w:fill="262D3A" w:color="auto" w:val="clear"/>
              </w:rPr>
              <w:t>/</w:t>
            </w:r>
            <w:r>
              <w:rPr>
                <w:rFonts w:ascii="Times New Roman"/>
                <w:b/>
                <w:color w:val="EBEDE6"/>
                <w:spacing w:val="-2"/>
                <w:sz w:val="14"/>
                <w:shd w:fill="262D3A" w:color="auto" w:val="clear"/>
              </w:rPr>
              <w:t>desahmrn)</w:t>
            </w:r>
          </w:p>
        </w:tc>
        <w:tc>
          <w:tcPr>
            <w:tcW w:w="1000" w:type="dxa"/>
            <w:tcBorders>
              <w:top w:val="single" w:sz="8" w:space="0" w:color="000000"/>
              <w:left w:val="nil"/>
              <w:bottom w:val="single" w:sz="18" w:space="0" w:color="000000"/>
              <w:right w:val="nil"/>
            </w:tcBorders>
          </w:tcPr>
          <w:p>
            <w:pPr>
              <w:pStyle w:val="TableParagraph"/>
              <w:spacing w:before="128"/>
              <w:ind w:left="63"/>
              <w:jc w:val="center"/>
              <w:rPr>
                <w:rFonts w:ascii="Times New Roman"/>
                <w:sz w:val="13"/>
              </w:rPr>
            </w:pPr>
            <w:r>
              <w:rPr>
                <w:rFonts w:ascii="Times New Roman"/>
                <w:color w:val="EBEDE6"/>
                <w:sz w:val="13"/>
                <w:shd w:fill="262D3A" w:color="auto" w:val="clear"/>
              </w:rPr>
              <w:t>12</w:t>
            </w:r>
            <w:r>
              <w:rPr>
                <w:rFonts w:ascii="Times New Roman"/>
                <w:color w:val="EBEDE6"/>
                <w:spacing w:val="-6"/>
                <w:sz w:val="13"/>
                <w:shd w:fill="262D3A" w:color="auto" w:val="clear"/>
              </w:rPr>
              <w:t> </w:t>
            </w:r>
            <w:r>
              <w:rPr>
                <w:rFonts w:ascii="Times New Roman"/>
                <w:color w:val="DBDDD4"/>
                <w:sz w:val="13"/>
                <w:shd w:fill="262D3A" w:color="auto" w:val="clear"/>
              </w:rPr>
              <w:t>65-l</w:t>
            </w:r>
            <w:r>
              <w:rPr>
                <w:rFonts w:ascii="Times New Roman"/>
                <w:color w:val="DBDDD4"/>
                <w:spacing w:val="1"/>
                <w:sz w:val="13"/>
                <w:shd w:fill="262D3A" w:color="auto" w:val="clear"/>
              </w:rPr>
              <w:t> </w:t>
            </w:r>
            <w:r>
              <w:rPr>
                <w:rFonts w:ascii="Times New Roman"/>
                <w:color w:val="DBDDD4"/>
                <w:spacing w:val="-2"/>
                <w:sz w:val="13"/>
                <w:shd w:fill="262D3A" w:color="auto" w:val="clear"/>
              </w:rPr>
              <w:t>030,02</w:t>
            </w:r>
          </w:p>
        </w:tc>
        <w:tc>
          <w:tcPr>
            <w:tcW w:w="990" w:type="dxa"/>
            <w:tcBorders>
              <w:top w:val="single" w:sz="8" w:space="0" w:color="000000"/>
              <w:left w:val="nil"/>
              <w:bottom w:val="single" w:sz="18" w:space="0" w:color="000000"/>
              <w:right w:val="nil"/>
            </w:tcBorders>
          </w:tcPr>
          <w:p>
            <w:pPr>
              <w:pStyle w:val="TableParagraph"/>
              <w:spacing w:before="128"/>
              <w:ind w:left="67"/>
              <w:jc w:val="center"/>
              <w:rPr>
                <w:rFonts w:ascii="Times New Roman"/>
                <w:sz w:val="13"/>
              </w:rPr>
            </w:pPr>
            <w:r>
              <w:rPr>
                <w:rFonts w:ascii="Times New Roman"/>
                <w:color w:val="C1D3D1"/>
                <w:sz w:val="13"/>
                <w:shd w:fill="262D3A" w:color="auto" w:val="clear"/>
              </w:rPr>
              <w:t>20</w:t>
            </w:r>
            <w:r>
              <w:rPr>
                <w:rFonts w:ascii="Times New Roman"/>
                <w:color w:val="C1D3D1"/>
                <w:spacing w:val="8"/>
                <w:sz w:val="13"/>
                <w:shd w:fill="262D3A" w:color="auto" w:val="clear"/>
              </w:rPr>
              <w:t> </w:t>
            </w:r>
            <w:r>
              <w:rPr>
                <w:rFonts w:ascii="Times New Roman"/>
                <w:color w:val="DBDDD4"/>
                <w:sz w:val="13"/>
                <w:shd w:fill="262D3A" w:color="auto" w:val="clear"/>
              </w:rPr>
              <w:t>263</w:t>
            </w:r>
            <w:r>
              <w:rPr>
                <w:rFonts w:ascii="Times New Roman"/>
                <w:color w:val="DBDDD4"/>
                <w:spacing w:val="-2"/>
                <w:sz w:val="13"/>
                <w:shd w:fill="262D3A" w:color="auto" w:val="clear"/>
              </w:rPr>
              <w:t> </w:t>
            </w:r>
            <w:r>
              <w:rPr>
                <w:rFonts w:ascii="Times New Roman"/>
                <w:color w:val="DBDDD4"/>
                <w:sz w:val="13"/>
                <w:shd w:fill="262D3A" w:color="auto" w:val="clear"/>
              </w:rPr>
              <w:t>6-</w:t>
            </w:r>
            <w:r>
              <w:rPr>
                <w:rFonts w:ascii="Times New Roman"/>
                <w:color w:val="DBDDD4"/>
                <w:spacing w:val="-2"/>
                <w:sz w:val="13"/>
                <w:shd w:fill="262D3A" w:color="auto" w:val="clear"/>
              </w:rPr>
              <w:t>13,56</w:t>
            </w:r>
          </w:p>
        </w:tc>
        <w:tc>
          <w:tcPr>
            <w:tcW w:w="932" w:type="dxa"/>
            <w:tcBorders>
              <w:top w:val="single" w:sz="8" w:space="0" w:color="000000"/>
              <w:left w:val="nil"/>
              <w:bottom w:val="single" w:sz="18" w:space="0" w:color="000000"/>
              <w:right w:val="nil"/>
            </w:tcBorders>
          </w:tcPr>
          <w:p>
            <w:pPr>
              <w:pStyle w:val="TableParagraph"/>
              <w:spacing w:before="128"/>
              <w:ind w:left="67"/>
              <w:jc w:val="center"/>
              <w:rPr>
                <w:rFonts w:ascii="Times New Roman"/>
                <w:sz w:val="13"/>
              </w:rPr>
            </w:pPr>
            <w:r>
              <w:rPr>
                <w:rFonts w:ascii="Times New Roman"/>
                <w:color w:val="EBEDE6"/>
                <w:w w:val="105"/>
                <w:sz w:val="13"/>
                <w:shd w:fill="262D3A" w:color="auto" w:val="clear"/>
              </w:rPr>
              <w:t>1</w:t>
            </w:r>
            <w:r>
              <w:rPr>
                <w:rFonts w:ascii="Times New Roman"/>
                <w:color w:val="EBEDE6"/>
                <w:spacing w:val="-2"/>
                <w:w w:val="105"/>
                <w:sz w:val="13"/>
                <w:shd w:fill="262D3A" w:color="auto" w:val="clear"/>
              </w:rPr>
              <w:t> </w:t>
            </w:r>
            <w:r>
              <w:rPr>
                <w:rFonts w:ascii="Times New Roman"/>
                <w:color w:val="DBDDD4"/>
                <w:w w:val="105"/>
                <w:sz w:val="13"/>
                <w:shd w:fill="262D3A" w:color="auto" w:val="clear"/>
              </w:rPr>
              <w:t>917</w:t>
            </w:r>
            <w:r>
              <w:rPr>
                <w:rFonts w:ascii="Times New Roman"/>
                <w:color w:val="DBDDD4"/>
                <w:spacing w:val="-4"/>
                <w:w w:val="105"/>
                <w:sz w:val="13"/>
                <w:shd w:fill="262D3A" w:color="auto" w:val="clear"/>
              </w:rPr>
              <w:t> </w:t>
            </w:r>
            <w:r>
              <w:rPr>
                <w:rFonts w:ascii="Times New Roman"/>
                <w:color w:val="DBDDD4"/>
                <w:spacing w:val="-2"/>
                <w:w w:val="105"/>
                <w:sz w:val="13"/>
                <w:shd w:fill="262D3A" w:color="auto" w:val="clear"/>
              </w:rPr>
              <w:t>900,62</w:t>
            </w:r>
          </w:p>
        </w:tc>
        <w:tc>
          <w:tcPr>
            <w:tcW w:w="922" w:type="dxa"/>
            <w:tcBorders>
              <w:top w:val="single" w:sz="8" w:space="0" w:color="000000"/>
              <w:left w:val="nil"/>
              <w:bottom w:val="single" w:sz="18" w:space="0" w:color="000000"/>
              <w:right w:val="nil"/>
            </w:tcBorders>
          </w:tcPr>
          <w:p>
            <w:pPr>
              <w:pStyle w:val="TableParagraph"/>
              <w:spacing w:before="128"/>
              <w:ind w:left="142"/>
              <w:rPr>
                <w:rFonts w:ascii="Times New Roman"/>
                <w:i/>
                <w:sz w:val="13"/>
              </w:rPr>
            </w:pPr>
            <w:r>
              <w:rPr>
                <w:rFonts w:ascii="Times New Roman"/>
                <w:color w:val="DBDDD4"/>
                <w:w w:val="105"/>
                <w:sz w:val="13"/>
                <w:shd w:fill="262D3A" w:color="auto" w:val="clear"/>
              </w:rPr>
              <w:t>2</w:t>
            </w:r>
            <w:r>
              <w:rPr>
                <w:rFonts w:ascii="Times New Roman"/>
                <w:color w:val="DBDDD4"/>
                <w:spacing w:val="-9"/>
                <w:w w:val="105"/>
                <w:sz w:val="13"/>
                <w:shd w:fill="262D3A" w:color="auto" w:val="clear"/>
              </w:rPr>
              <w:t> </w:t>
            </w:r>
            <w:r>
              <w:rPr>
                <w:rFonts w:ascii="Times New Roman"/>
                <w:i/>
                <w:color w:val="DBDDD4"/>
                <w:w w:val="105"/>
                <w:sz w:val="13"/>
                <w:shd w:fill="262D3A" w:color="auto" w:val="clear"/>
              </w:rPr>
              <w:t>577 </w:t>
            </w:r>
            <w:r>
              <w:rPr>
                <w:rFonts w:ascii="Times New Roman"/>
                <w:i/>
                <w:color w:val="DBDDD4"/>
                <w:spacing w:val="-2"/>
                <w:w w:val="105"/>
                <w:sz w:val="13"/>
                <w:shd w:fill="262D3A" w:color="auto" w:val="clear"/>
              </w:rPr>
              <w:t>559,90</w:t>
            </w:r>
          </w:p>
        </w:tc>
        <w:tc>
          <w:tcPr>
            <w:tcW w:w="999" w:type="dxa"/>
            <w:tcBorders>
              <w:top w:val="single" w:sz="8" w:space="0" w:color="000000"/>
              <w:left w:val="nil"/>
              <w:bottom w:val="single" w:sz="18" w:space="0" w:color="000000"/>
              <w:right w:val="nil"/>
            </w:tcBorders>
          </w:tcPr>
          <w:p>
            <w:pPr>
              <w:pStyle w:val="TableParagraph"/>
              <w:spacing w:before="128"/>
              <w:ind w:right="58"/>
              <w:jc w:val="right"/>
              <w:rPr>
                <w:rFonts w:ascii="Times New Roman"/>
                <w:sz w:val="13"/>
              </w:rPr>
            </w:pPr>
            <w:r>
              <w:rPr>
                <w:rFonts w:ascii="Times New Roman"/>
                <w:color w:val="EBEDE6"/>
                <w:sz w:val="13"/>
                <w:shd w:fill="262D3A" w:color="auto" w:val="clear"/>
              </w:rPr>
              <w:t>1-l</w:t>
            </w:r>
            <w:r>
              <w:rPr>
                <w:rFonts w:ascii="Times New Roman"/>
                <w:color w:val="EBEDE6"/>
                <w:spacing w:val="2"/>
                <w:sz w:val="13"/>
                <w:shd w:fill="262D3A" w:color="auto" w:val="clear"/>
              </w:rPr>
              <w:t> </w:t>
            </w:r>
            <w:r>
              <w:rPr>
                <w:rFonts w:ascii="Times New Roman"/>
                <w:color w:val="DBDDD4"/>
                <w:sz w:val="13"/>
                <w:shd w:fill="262D3A" w:color="auto" w:val="clear"/>
              </w:rPr>
              <w:t>521</w:t>
            </w:r>
            <w:r>
              <w:rPr>
                <w:rFonts w:ascii="Times New Roman"/>
                <w:color w:val="DBDDD4"/>
                <w:spacing w:val="-2"/>
                <w:sz w:val="13"/>
                <w:shd w:fill="262D3A" w:color="auto" w:val="clear"/>
              </w:rPr>
              <w:t> 107,15</w:t>
            </w:r>
          </w:p>
        </w:tc>
        <w:tc>
          <w:tcPr>
            <w:tcW w:w="994" w:type="dxa"/>
            <w:tcBorders>
              <w:top w:val="single" w:sz="8" w:space="0" w:color="000000"/>
              <w:left w:val="nil"/>
              <w:bottom w:val="single" w:sz="18" w:space="0" w:color="000000"/>
              <w:right w:val="single" w:sz="18" w:space="0" w:color="000000"/>
            </w:tcBorders>
          </w:tcPr>
          <w:p>
            <w:pPr>
              <w:pStyle w:val="TableParagraph"/>
              <w:spacing w:before="128"/>
              <w:ind w:left="148"/>
              <w:rPr>
                <w:rFonts w:ascii="Times New Roman"/>
                <w:sz w:val="13"/>
              </w:rPr>
            </w:pPr>
            <w:r>
              <w:rPr>
                <w:rFonts w:ascii="Times New Roman"/>
                <w:color w:val="DBDDD4"/>
                <w:sz w:val="13"/>
                <w:shd w:fill="262D3A" w:color="auto" w:val="clear"/>
              </w:rPr>
              <w:t>22</w:t>
            </w:r>
            <w:r>
              <w:rPr>
                <w:rFonts w:ascii="Times New Roman"/>
                <w:color w:val="DBDDD4"/>
                <w:spacing w:val="3"/>
                <w:sz w:val="13"/>
                <w:shd w:fill="262D3A" w:color="auto" w:val="clear"/>
              </w:rPr>
              <w:t> </w:t>
            </w:r>
            <w:r>
              <w:rPr>
                <w:rFonts w:ascii="Times New Roman"/>
                <w:color w:val="DBDDD4"/>
                <w:sz w:val="13"/>
                <w:shd w:fill="262D3A" w:color="auto" w:val="clear"/>
              </w:rPr>
              <w:t>801</w:t>
            </w:r>
            <w:r>
              <w:rPr>
                <w:rFonts w:ascii="Times New Roman"/>
                <w:color w:val="DBDDD4"/>
                <w:spacing w:val="11"/>
                <w:sz w:val="13"/>
                <w:shd w:fill="262D3A" w:color="auto" w:val="clear"/>
              </w:rPr>
              <w:t> </w:t>
            </w:r>
            <w:r>
              <w:rPr>
                <w:rFonts w:ascii="Times New Roman"/>
                <w:color w:val="DBDDD4"/>
                <w:spacing w:val="-2"/>
                <w:sz w:val="13"/>
                <w:shd w:fill="262D3A" w:color="auto" w:val="clear"/>
              </w:rPr>
              <w:t>631,78</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p>
    <w:tbl>
      <w:tblPr>
        <w:tblW w:w="0" w:type="auto"/>
        <w:jc w:val="left"/>
        <w:tblInd w:w="1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50"/>
        <w:gridCol w:w="990"/>
        <w:gridCol w:w="1000"/>
        <w:gridCol w:w="928"/>
        <w:gridCol w:w="933"/>
        <w:gridCol w:w="1000"/>
        <w:gridCol w:w="990"/>
      </w:tblGrid>
      <w:tr>
        <w:trPr>
          <w:trHeight w:val="177" w:hRule="atLeast"/>
        </w:trPr>
        <w:tc>
          <w:tcPr>
            <w:tcW w:w="2250" w:type="dxa"/>
            <w:tcBorders>
              <w:top w:val="nil"/>
              <w:bottom w:val="single" w:sz="8" w:space="0" w:color="000000"/>
              <w:right w:val="single" w:sz="8" w:space="0" w:color="000000"/>
            </w:tcBorders>
          </w:tcPr>
          <w:p>
            <w:pPr>
              <w:pStyle w:val="TableParagraph"/>
              <w:spacing w:line="135" w:lineRule="exact" w:before="22"/>
              <w:ind w:left="17"/>
              <w:rPr>
                <w:rFonts w:ascii="Times New Roman"/>
                <w:sz w:val="12"/>
              </w:rPr>
            </w:pPr>
            <w:r>
              <w:rPr>
                <w:rFonts w:ascii="Times New Roman"/>
                <w:color w:val="1D1C2B"/>
                <w:w w:val="110"/>
                <w:sz w:val="12"/>
              </w:rPr>
              <w:t>A</w:t>
            </w:r>
            <w:r>
              <w:rPr>
                <w:rFonts w:ascii="Times New Roman"/>
                <w:color w:val="544F60"/>
                <w:w w:val="110"/>
                <w:sz w:val="12"/>
              </w:rPr>
              <w:t>c</w:t>
            </w:r>
            <w:r>
              <w:rPr>
                <w:rFonts w:ascii="Times New Roman"/>
                <w:color w:val="344872"/>
                <w:w w:val="110"/>
                <w:sz w:val="12"/>
              </w:rPr>
              <w:t>t</w:t>
            </w:r>
            <w:r>
              <w:rPr>
                <w:rFonts w:ascii="Times New Roman"/>
                <w:color w:val="342B3B"/>
                <w:w w:val="110"/>
                <w:sz w:val="12"/>
              </w:rPr>
              <w:t>fr</w:t>
            </w:r>
            <w:r>
              <w:rPr>
                <w:rFonts w:ascii="Times New Roman"/>
                <w:color w:val="283459"/>
                <w:w w:val="110"/>
                <w:sz w:val="12"/>
              </w:rPr>
              <w:t>o</w:t>
            </w:r>
            <w:r>
              <w:rPr>
                <w:rFonts w:ascii="Times New Roman"/>
                <w:color w:val="342B3B"/>
                <w:w w:val="110"/>
                <w:sz w:val="12"/>
              </w:rPr>
              <w:t>s</w:t>
            </w:r>
            <w:r>
              <w:rPr>
                <w:rFonts w:ascii="Times New Roman"/>
                <w:color w:val="342B3B"/>
                <w:spacing w:val="11"/>
                <w:w w:val="110"/>
                <w:sz w:val="12"/>
              </w:rPr>
              <w:t> </w:t>
            </w:r>
            <w:r>
              <w:rPr>
                <w:rFonts w:ascii="Times New Roman"/>
                <w:color w:val="1D1C2B"/>
                <w:w w:val="110"/>
                <w:sz w:val="12"/>
              </w:rPr>
              <w:t>p</w:t>
            </w:r>
            <w:r>
              <w:rPr>
                <w:rFonts w:ascii="Times New Roman"/>
                <w:color w:val="544F60"/>
                <w:w w:val="110"/>
                <w:sz w:val="12"/>
              </w:rPr>
              <w:t>or</w:t>
            </w:r>
            <w:r>
              <w:rPr>
                <w:rFonts w:ascii="Times New Roman"/>
                <w:color w:val="544F60"/>
                <w:spacing w:val="8"/>
                <w:w w:val="110"/>
                <w:sz w:val="12"/>
              </w:rPr>
              <w:t> </w:t>
            </w:r>
            <w:r>
              <w:rPr>
                <w:rFonts w:ascii="Times New Roman"/>
                <w:color w:val="342B3B"/>
                <w:spacing w:val="-2"/>
                <w:w w:val="110"/>
                <w:sz w:val="12"/>
              </w:rPr>
              <w:t>segn1en</w:t>
            </w:r>
            <w:r>
              <w:rPr>
                <w:rFonts w:ascii="Times New Roman"/>
                <w:color w:val="283459"/>
                <w:spacing w:val="-2"/>
                <w:w w:val="110"/>
                <w:sz w:val="12"/>
              </w:rPr>
              <w:t>t</w:t>
            </w:r>
            <w:r>
              <w:rPr>
                <w:rFonts w:ascii="Times New Roman"/>
                <w:color w:val="544F60"/>
                <w:spacing w:val="-2"/>
                <w:w w:val="110"/>
                <w:sz w:val="12"/>
              </w:rPr>
              <w:t>o</w:t>
            </w:r>
          </w:p>
        </w:tc>
        <w:tc>
          <w:tcPr>
            <w:tcW w:w="990" w:type="dxa"/>
            <w:tcBorders>
              <w:top w:val="nil"/>
              <w:left w:val="single" w:sz="8" w:space="0" w:color="000000"/>
              <w:bottom w:val="single" w:sz="8" w:space="0" w:color="000000"/>
              <w:right w:val="single" w:sz="12" w:space="0" w:color="000000"/>
            </w:tcBorders>
          </w:tcPr>
          <w:p>
            <w:pPr>
              <w:pStyle w:val="TableParagraph"/>
              <w:spacing w:line="144" w:lineRule="exact" w:before="13"/>
              <w:ind w:left="39"/>
              <w:rPr>
                <w:rFonts w:ascii="Times New Roman"/>
                <w:sz w:val="13"/>
              </w:rPr>
            </w:pPr>
            <w:r>
              <w:rPr>
                <w:rFonts w:ascii="Times New Roman"/>
                <w:color w:val="1D1C2B"/>
                <w:w w:val="110"/>
                <w:sz w:val="13"/>
              </w:rPr>
              <w:t>1</w:t>
            </w:r>
            <w:r>
              <w:rPr>
                <w:rFonts w:ascii="Times New Roman"/>
                <w:color w:val="544F60"/>
                <w:w w:val="110"/>
                <w:sz w:val="13"/>
              </w:rPr>
              <w:t>89</w:t>
            </w:r>
            <w:r>
              <w:rPr>
                <w:rFonts w:ascii="Times New Roman"/>
                <w:color w:val="544F60"/>
                <w:spacing w:val="3"/>
                <w:w w:val="110"/>
                <w:sz w:val="13"/>
              </w:rPr>
              <w:t> </w:t>
            </w:r>
            <w:r>
              <w:rPr>
                <w:rFonts w:ascii="Times New Roman"/>
                <w:color w:val="443F52"/>
                <w:w w:val="110"/>
                <w:sz w:val="13"/>
              </w:rPr>
              <w:t>748</w:t>
            </w:r>
            <w:r>
              <w:rPr>
                <w:rFonts w:ascii="Times New Roman"/>
                <w:color w:val="443F52"/>
                <w:spacing w:val="8"/>
                <w:w w:val="110"/>
                <w:sz w:val="13"/>
              </w:rPr>
              <w:t> </w:t>
            </w:r>
            <w:r>
              <w:rPr>
                <w:rFonts w:ascii="Times New Roman"/>
                <w:color w:val="443F52"/>
                <w:spacing w:val="-2"/>
                <w:w w:val="110"/>
                <w:sz w:val="13"/>
              </w:rPr>
              <w:t>38</w:t>
            </w:r>
            <w:r>
              <w:rPr>
                <w:rFonts w:ascii="Times New Roman"/>
                <w:color w:val="1D1C2B"/>
                <w:spacing w:val="-2"/>
                <w:w w:val="110"/>
                <w:sz w:val="13"/>
              </w:rPr>
              <w:t>4</w:t>
            </w:r>
            <w:r>
              <w:rPr>
                <w:rFonts w:ascii="Times New Roman"/>
                <w:color w:val="443F52"/>
                <w:spacing w:val="-2"/>
                <w:w w:val="110"/>
                <w:sz w:val="13"/>
              </w:rPr>
              <w:t>,7</w:t>
            </w:r>
            <w:r>
              <w:rPr>
                <w:rFonts w:ascii="Times New Roman"/>
                <w:color w:val="344872"/>
                <w:spacing w:val="-2"/>
                <w:w w:val="110"/>
                <w:sz w:val="13"/>
              </w:rPr>
              <w:t>0</w:t>
            </w:r>
          </w:p>
        </w:tc>
        <w:tc>
          <w:tcPr>
            <w:tcW w:w="1000" w:type="dxa"/>
            <w:tcBorders>
              <w:top w:val="nil"/>
              <w:left w:val="single" w:sz="12" w:space="0" w:color="000000"/>
              <w:bottom w:val="single" w:sz="8" w:space="0" w:color="000000"/>
              <w:right w:val="single" w:sz="8" w:space="0" w:color="000000"/>
            </w:tcBorders>
          </w:tcPr>
          <w:p>
            <w:pPr>
              <w:pStyle w:val="TableParagraph"/>
              <w:spacing w:line="144" w:lineRule="exact" w:before="13"/>
              <w:ind w:left="44"/>
              <w:rPr>
                <w:rFonts w:ascii="Times New Roman"/>
                <w:sz w:val="13"/>
              </w:rPr>
            </w:pPr>
            <w:r>
              <w:rPr>
                <w:rFonts w:ascii="Times New Roman"/>
                <w:color w:val="0E0C36"/>
                <w:w w:val="110"/>
                <w:sz w:val="13"/>
              </w:rPr>
              <w:t>1</w:t>
            </w:r>
            <w:r>
              <w:rPr>
                <w:rFonts w:ascii="Times New Roman"/>
                <w:color w:val="283459"/>
                <w:w w:val="110"/>
                <w:sz w:val="13"/>
              </w:rPr>
              <w:t>9</w:t>
            </w:r>
            <w:r>
              <w:rPr>
                <w:rFonts w:ascii="Times New Roman"/>
                <w:color w:val="443F52"/>
                <w:w w:val="110"/>
                <w:sz w:val="13"/>
              </w:rPr>
              <w:t>8</w:t>
            </w:r>
            <w:r>
              <w:rPr>
                <w:rFonts w:ascii="Times New Roman"/>
                <w:color w:val="443F52"/>
                <w:spacing w:val="3"/>
                <w:w w:val="110"/>
                <w:sz w:val="13"/>
              </w:rPr>
              <w:t> </w:t>
            </w:r>
            <w:r>
              <w:rPr>
                <w:rFonts w:ascii="Times New Roman"/>
                <w:color w:val="1D1C2B"/>
                <w:w w:val="110"/>
                <w:sz w:val="13"/>
              </w:rPr>
              <w:t>1</w:t>
            </w:r>
            <w:r>
              <w:rPr>
                <w:rFonts w:ascii="Times New Roman"/>
                <w:color w:val="112359"/>
                <w:w w:val="110"/>
                <w:sz w:val="13"/>
              </w:rPr>
              <w:t>11</w:t>
            </w:r>
            <w:r>
              <w:rPr>
                <w:rFonts w:ascii="Times New Roman"/>
                <w:color w:val="112359"/>
                <w:spacing w:val="8"/>
                <w:w w:val="110"/>
                <w:sz w:val="13"/>
              </w:rPr>
              <w:t> </w:t>
            </w:r>
            <w:r>
              <w:rPr>
                <w:rFonts w:ascii="Times New Roman"/>
                <w:color w:val="443F52"/>
                <w:spacing w:val="-2"/>
                <w:w w:val="110"/>
                <w:sz w:val="13"/>
              </w:rPr>
              <w:t>62</w:t>
            </w:r>
            <w:r>
              <w:rPr>
                <w:rFonts w:ascii="Times New Roman"/>
                <w:color w:val="6B6472"/>
                <w:spacing w:val="-2"/>
                <w:w w:val="110"/>
                <w:sz w:val="13"/>
              </w:rPr>
              <w:t>0</w:t>
            </w:r>
            <w:r>
              <w:rPr>
                <w:rFonts w:ascii="Times New Roman"/>
                <w:color w:val="5B4244"/>
                <w:spacing w:val="-2"/>
                <w:w w:val="110"/>
                <w:sz w:val="13"/>
              </w:rPr>
              <w:t>,32</w:t>
            </w:r>
          </w:p>
        </w:tc>
        <w:tc>
          <w:tcPr>
            <w:tcW w:w="928" w:type="dxa"/>
            <w:tcBorders>
              <w:top w:val="nil"/>
              <w:left w:val="single" w:sz="8" w:space="0" w:color="000000"/>
              <w:bottom w:val="single" w:sz="8" w:space="0" w:color="000000"/>
              <w:right w:val="single" w:sz="6" w:space="0" w:color="000000"/>
            </w:tcBorders>
          </w:tcPr>
          <w:p>
            <w:pPr>
              <w:pStyle w:val="TableParagraph"/>
              <w:spacing w:line="144" w:lineRule="exact" w:before="13"/>
              <w:ind w:left="37"/>
              <w:rPr>
                <w:rFonts w:ascii="Times New Roman"/>
                <w:i/>
                <w:sz w:val="13"/>
              </w:rPr>
            </w:pPr>
            <w:r>
              <w:rPr>
                <w:rFonts w:ascii="Times New Roman"/>
                <w:color w:val="544F60"/>
                <w:w w:val="110"/>
                <w:sz w:val="13"/>
              </w:rPr>
              <w:t>8</w:t>
            </w:r>
            <w:r>
              <w:rPr>
                <w:rFonts w:ascii="Times New Roman"/>
                <w:color w:val="544F60"/>
                <w:spacing w:val="5"/>
                <w:w w:val="110"/>
                <w:sz w:val="13"/>
              </w:rPr>
              <w:t> </w:t>
            </w:r>
            <w:r>
              <w:rPr>
                <w:rFonts w:ascii="Times New Roman"/>
                <w:color w:val="2F160F"/>
                <w:w w:val="110"/>
                <w:sz w:val="13"/>
              </w:rPr>
              <w:t>1</w:t>
            </w:r>
            <w:r>
              <w:rPr>
                <w:rFonts w:ascii="Times New Roman"/>
                <w:color w:val="5B4244"/>
                <w:w w:val="110"/>
                <w:sz w:val="13"/>
              </w:rPr>
              <w:t>93</w:t>
            </w:r>
            <w:r>
              <w:rPr>
                <w:rFonts w:ascii="Times New Roman"/>
                <w:color w:val="5B4244"/>
                <w:spacing w:val="4"/>
                <w:w w:val="110"/>
                <w:sz w:val="13"/>
              </w:rPr>
              <w:t> </w:t>
            </w:r>
            <w:r>
              <w:rPr>
                <w:rFonts w:ascii="Times New Roman"/>
                <w:i/>
                <w:color w:val="344872"/>
                <w:spacing w:val="-2"/>
                <w:w w:val="110"/>
                <w:sz w:val="13"/>
              </w:rPr>
              <w:t>6</w:t>
            </w:r>
            <w:r>
              <w:rPr>
                <w:rFonts w:ascii="Times New Roman"/>
                <w:i/>
                <w:color w:val="443F52"/>
                <w:spacing w:val="-2"/>
                <w:w w:val="110"/>
                <w:sz w:val="13"/>
              </w:rPr>
              <w:t>30</w:t>
            </w:r>
            <w:r>
              <w:rPr>
                <w:rFonts w:ascii="Times New Roman"/>
                <w:i/>
                <w:color w:val="6B6472"/>
                <w:spacing w:val="-2"/>
                <w:w w:val="110"/>
                <w:sz w:val="13"/>
              </w:rPr>
              <w:t>,5</w:t>
            </w:r>
            <w:r>
              <w:rPr>
                <w:rFonts w:ascii="Times New Roman"/>
                <w:i/>
                <w:color w:val="342B3B"/>
                <w:spacing w:val="-2"/>
                <w:w w:val="110"/>
                <w:sz w:val="13"/>
              </w:rPr>
              <w:t>4</w:t>
            </w:r>
          </w:p>
        </w:tc>
        <w:tc>
          <w:tcPr>
            <w:tcW w:w="933" w:type="dxa"/>
            <w:tcBorders>
              <w:top w:val="nil"/>
              <w:left w:val="single" w:sz="6" w:space="0" w:color="000000"/>
              <w:bottom w:val="single" w:sz="8" w:space="0" w:color="000000"/>
              <w:right w:val="single" w:sz="8" w:space="0" w:color="000000"/>
            </w:tcBorders>
          </w:tcPr>
          <w:p>
            <w:pPr>
              <w:pStyle w:val="TableParagraph"/>
              <w:spacing w:line="144" w:lineRule="exact" w:before="13"/>
              <w:ind w:left="43"/>
              <w:rPr>
                <w:rFonts w:ascii="Times New Roman"/>
                <w:sz w:val="13"/>
              </w:rPr>
            </w:pPr>
            <w:r>
              <w:rPr>
                <w:rFonts w:ascii="Times New Roman"/>
                <w:color w:val="544F60"/>
                <w:w w:val="110"/>
                <w:sz w:val="13"/>
              </w:rPr>
              <w:t>7</w:t>
            </w:r>
            <w:r>
              <w:rPr>
                <w:rFonts w:ascii="Times New Roman"/>
                <w:color w:val="544F60"/>
                <w:spacing w:val="3"/>
                <w:w w:val="110"/>
                <w:sz w:val="13"/>
              </w:rPr>
              <w:t> </w:t>
            </w:r>
            <w:r>
              <w:rPr>
                <w:rFonts w:ascii="Times New Roman"/>
                <w:i/>
                <w:color w:val="443F52"/>
                <w:w w:val="110"/>
                <w:sz w:val="13"/>
              </w:rPr>
              <w:t>5</w:t>
            </w:r>
            <w:r>
              <w:rPr>
                <w:rFonts w:ascii="Times New Roman"/>
                <w:i/>
                <w:color w:val="283459"/>
                <w:w w:val="110"/>
                <w:sz w:val="13"/>
              </w:rPr>
              <w:t>0</w:t>
            </w:r>
            <w:r>
              <w:rPr>
                <w:rFonts w:ascii="Times New Roman"/>
                <w:i/>
                <w:color w:val="1D1C2B"/>
                <w:w w:val="110"/>
                <w:sz w:val="13"/>
              </w:rPr>
              <w:t>4</w:t>
            </w:r>
            <w:r>
              <w:rPr>
                <w:rFonts w:ascii="Times New Roman"/>
                <w:i/>
                <w:color w:val="1D1C2B"/>
                <w:spacing w:val="16"/>
                <w:w w:val="110"/>
                <w:sz w:val="13"/>
              </w:rPr>
              <w:t> </w:t>
            </w:r>
            <w:r>
              <w:rPr>
                <w:rFonts w:ascii="Times New Roman"/>
                <w:color w:val="443F52"/>
                <w:spacing w:val="-2"/>
                <w:w w:val="110"/>
                <w:sz w:val="13"/>
              </w:rPr>
              <w:t>788</w:t>
            </w:r>
            <w:r>
              <w:rPr>
                <w:rFonts w:ascii="Times New Roman"/>
                <w:color w:val="6B6472"/>
                <w:spacing w:val="-2"/>
                <w:w w:val="110"/>
                <w:sz w:val="13"/>
              </w:rPr>
              <w:t>,60</w:t>
            </w:r>
          </w:p>
        </w:tc>
        <w:tc>
          <w:tcPr>
            <w:tcW w:w="1000" w:type="dxa"/>
            <w:tcBorders>
              <w:top w:val="nil"/>
              <w:left w:val="single" w:sz="8" w:space="0" w:color="000000"/>
              <w:bottom w:val="single" w:sz="8" w:space="0" w:color="000000"/>
              <w:right w:val="single" w:sz="8" w:space="0" w:color="000000"/>
            </w:tcBorders>
          </w:tcPr>
          <w:p>
            <w:pPr>
              <w:pStyle w:val="TableParagraph"/>
              <w:spacing w:line="144" w:lineRule="exact" w:before="13"/>
              <w:ind w:left="111"/>
              <w:rPr>
                <w:rFonts w:ascii="Times New Roman"/>
                <w:sz w:val="13"/>
              </w:rPr>
            </w:pPr>
            <w:r>
              <w:rPr>
                <w:rFonts w:ascii="Times New Roman"/>
                <w:color w:val="112359"/>
                <w:w w:val="90"/>
                <w:sz w:val="13"/>
              </w:rPr>
              <w:t>1</w:t>
            </w:r>
            <w:r>
              <w:rPr>
                <w:rFonts w:ascii="Times New Roman"/>
                <w:color w:val="544F60"/>
                <w:w w:val="90"/>
                <w:sz w:val="13"/>
              </w:rPr>
              <w:t>97</w:t>
            </w:r>
            <w:r>
              <w:rPr>
                <w:rFonts w:ascii="Times New Roman"/>
                <w:color w:val="544F60"/>
                <w:spacing w:val="-3"/>
                <w:sz w:val="13"/>
              </w:rPr>
              <w:t> </w:t>
            </w:r>
            <w:r>
              <w:rPr>
                <w:rFonts w:ascii="Times New Roman"/>
                <w:color w:val="443F52"/>
                <w:w w:val="90"/>
                <w:sz w:val="13"/>
              </w:rPr>
              <w:t>9-J.2</w:t>
            </w:r>
            <w:r>
              <w:rPr>
                <w:rFonts w:ascii="Times New Roman"/>
                <w:color w:val="443F52"/>
                <w:spacing w:val="5"/>
                <w:sz w:val="13"/>
              </w:rPr>
              <w:t> </w:t>
            </w:r>
            <w:r>
              <w:rPr>
                <w:rFonts w:ascii="Times New Roman"/>
                <w:color w:val="283459"/>
                <w:spacing w:val="-2"/>
                <w:w w:val="90"/>
                <w:sz w:val="13"/>
              </w:rPr>
              <w:t>0</w:t>
            </w:r>
            <w:r>
              <w:rPr>
                <w:rFonts w:ascii="Times New Roman"/>
                <w:color w:val="342B3B"/>
                <w:spacing w:val="-2"/>
                <w:w w:val="90"/>
                <w:sz w:val="13"/>
              </w:rPr>
              <w:t>15</w:t>
            </w:r>
            <w:r>
              <w:rPr>
                <w:rFonts w:ascii="Times New Roman"/>
                <w:color w:val="6B6472"/>
                <w:spacing w:val="-2"/>
                <w:w w:val="90"/>
                <w:sz w:val="13"/>
              </w:rPr>
              <w:t>,</w:t>
            </w:r>
            <w:r>
              <w:rPr>
                <w:rFonts w:ascii="Times New Roman"/>
                <w:color w:val="443F52"/>
                <w:spacing w:val="-2"/>
                <w:w w:val="90"/>
                <w:sz w:val="13"/>
              </w:rPr>
              <w:t>25</w:t>
            </w:r>
          </w:p>
        </w:tc>
        <w:tc>
          <w:tcPr>
            <w:tcW w:w="990" w:type="dxa"/>
            <w:tcBorders>
              <w:top w:val="nil"/>
              <w:left w:val="single" w:sz="8" w:space="0" w:color="000000"/>
              <w:bottom w:val="single" w:sz="8" w:space="0" w:color="000000"/>
              <w:right w:val="single" w:sz="6" w:space="0" w:color="000000"/>
            </w:tcBorders>
          </w:tcPr>
          <w:p>
            <w:pPr>
              <w:pStyle w:val="TableParagraph"/>
              <w:spacing w:line="144" w:lineRule="exact" w:before="13"/>
              <w:ind w:left="109"/>
              <w:rPr>
                <w:rFonts w:ascii="Times New Roman"/>
                <w:sz w:val="13"/>
              </w:rPr>
            </w:pPr>
            <w:r>
              <w:rPr>
                <w:rFonts w:ascii="Times New Roman"/>
                <w:color w:val="443F52"/>
                <w:sz w:val="13"/>
              </w:rPr>
              <w:t>205</w:t>
            </w:r>
            <w:r>
              <w:rPr>
                <w:rFonts w:ascii="Times New Roman"/>
                <w:color w:val="443F52"/>
                <w:spacing w:val="6"/>
                <w:sz w:val="13"/>
              </w:rPr>
              <w:t> </w:t>
            </w:r>
            <w:r>
              <w:rPr>
                <w:rFonts w:ascii="Times New Roman"/>
                <w:color w:val="443F52"/>
                <w:sz w:val="13"/>
              </w:rPr>
              <w:t>616</w:t>
            </w:r>
            <w:r>
              <w:rPr>
                <w:rFonts w:ascii="Times New Roman"/>
                <w:color w:val="443F52"/>
                <w:spacing w:val="12"/>
                <w:sz w:val="13"/>
              </w:rPr>
              <w:t> </w:t>
            </w:r>
            <w:r>
              <w:rPr>
                <w:rFonts w:ascii="Times New Roman"/>
                <w:color w:val="283459"/>
                <w:sz w:val="13"/>
              </w:rPr>
              <w:t>-</w:t>
            </w:r>
            <w:r>
              <w:rPr>
                <w:rFonts w:ascii="Times New Roman"/>
                <w:color w:val="283459"/>
                <w:spacing w:val="-5"/>
                <w:sz w:val="13"/>
              </w:rPr>
              <w:t>1</w:t>
            </w:r>
            <w:r>
              <w:rPr>
                <w:rFonts w:ascii="Times New Roman"/>
                <w:color w:val="5B4244"/>
                <w:spacing w:val="-5"/>
                <w:sz w:val="13"/>
              </w:rPr>
              <w:t>08,</w:t>
            </w:r>
            <w:r>
              <w:rPr>
                <w:rFonts w:ascii="Times New Roman"/>
                <w:color w:val="342B3B"/>
                <w:spacing w:val="-5"/>
                <w:sz w:val="13"/>
              </w:rPr>
              <w:t>92</w:t>
            </w:r>
          </w:p>
        </w:tc>
      </w:tr>
      <w:tr>
        <w:trPr>
          <w:trHeight w:val="335" w:hRule="atLeast"/>
        </w:trPr>
        <w:tc>
          <w:tcPr>
            <w:tcW w:w="2250" w:type="dxa"/>
            <w:tcBorders>
              <w:top w:val="single" w:sz="8" w:space="0" w:color="000000"/>
              <w:bottom w:val="single" w:sz="8" w:space="0" w:color="000000"/>
              <w:right w:val="single" w:sz="8" w:space="0" w:color="000000"/>
            </w:tcBorders>
          </w:tcPr>
          <w:p>
            <w:pPr>
              <w:pStyle w:val="TableParagraph"/>
              <w:spacing w:before="3"/>
              <w:ind w:left="24"/>
              <w:rPr>
                <w:rFonts w:ascii="Times New Roman" w:hAnsi="Times New Roman"/>
                <w:sz w:val="13"/>
              </w:rPr>
            </w:pPr>
            <w:r>
              <w:rPr>
                <w:rFonts w:ascii="Times New Roman" w:hAnsi="Times New Roman"/>
                <w:color w:val="0E0C36"/>
                <w:w w:val="105"/>
                <w:sz w:val="12"/>
              </w:rPr>
              <w:t>In...-</w:t>
            </w:r>
            <w:r>
              <w:rPr>
                <w:rFonts w:ascii="Times New Roman" w:hAnsi="Times New Roman"/>
                <w:color w:val="342B3B"/>
                <w:w w:val="105"/>
                <w:sz w:val="12"/>
              </w:rPr>
              <w:t>ersi</w:t>
            </w:r>
            <w:r>
              <w:rPr>
                <w:rFonts w:ascii="Times New Roman" w:hAnsi="Times New Roman"/>
                <w:color w:val="344872"/>
                <w:w w:val="105"/>
                <w:sz w:val="12"/>
              </w:rPr>
              <w:t>ó</w:t>
            </w:r>
            <w:r>
              <w:rPr>
                <w:rFonts w:ascii="Times New Roman" w:hAnsi="Times New Roman"/>
                <w:color w:val="342B3B"/>
                <w:w w:val="105"/>
                <w:sz w:val="12"/>
              </w:rPr>
              <w:t>n</w:t>
            </w:r>
            <w:r>
              <w:rPr>
                <w:rFonts w:ascii="Times New Roman" w:hAnsi="Times New Roman"/>
                <w:color w:val="342B3B"/>
                <w:spacing w:val="6"/>
                <w:w w:val="105"/>
                <w:sz w:val="12"/>
              </w:rPr>
              <w:t> </w:t>
            </w:r>
            <w:r>
              <w:rPr>
                <w:rFonts w:ascii="Times New Roman" w:hAnsi="Times New Roman"/>
                <w:color w:val="342B3B"/>
                <w:w w:val="105"/>
                <w:sz w:val="12"/>
              </w:rPr>
              <w:t>en</w:t>
            </w:r>
            <w:r>
              <w:rPr>
                <w:rFonts w:ascii="Times New Roman" w:hAnsi="Times New Roman"/>
                <w:color w:val="342B3B"/>
                <w:spacing w:val="34"/>
                <w:w w:val="105"/>
                <w:sz w:val="12"/>
              </w:rPr>
              <w:t> </w:t>
            </w:r>
            <w:r>
              <w:rPr>
                <w:rFonts w:ascii="Times New Roman" w:hAnsi="Times New Roman"/>
                <w:color w:val="443F52"/>
                <w:w w:val="105"/>
                <w:sz w:val="12"/>
              </w:rPr>
              <w:t>as</w:t>
            </w:r>
            <w:r>
              <w:rPr>
                <w:rFonts w:ascii="Times New Roman" w:hAnsi="Times New Roman"/>
                <w:color w:val="344872"/>
                <w:w w:val="105"/>
                <w:sz w:val="12"/>
              </w:rPr>
              <w:t>oc</w:t>
            </w:r>
            <w:r>
              <w:rPr>
                <w:rFonts w:ascii="Times New Roman" w:hAnsi="Times New Roman"/>
                <w:color w:val="1D1C2B"/>
                <w:w w:val="105"/>
                <w:sz w:val="12"/>
              </w:rPr>
              <w:t>iada</w:t>
            </w:r>
            <w:r>
              <w:rPr>
                <w:rFonts w:ascii="Times New Roman" w:hAnsi="Times New Roman"/>
                <w:color w:val="443F52"/>
                <w:w w:val="105"/>
                <w:sz w:val="12"/>
              </w:rPr>
              <w:t>s</w:t>
            </w:r>
            <w:r>
              <w:rPr>
                <w:rFonts w:ascii="Times New Roman" w:hAnsi="Times New Roman"/>
                <w:color w:val="443F52"/>
                <w:spacing w:val="9"/>
                <w:w w:val="105"/>
                <w:sz w:val="12"/>
              </w:rPr>
              <w:t> </w:t>
            </w:r>
            <w:r>
              <w:rPr>
                <w:rFonts w:ascii="Times New Roman" w:hAnsi="Times New Roman"/>
                <w:color w:val="6B6472"/>
                <w:w w:val="105"/>
                <w:sz w:val="12"/>
              </w:rPr>
              <w:t>(</w:t>
            </w:r>
            <w:r>
              <w:rPr>
                <w:rFonts w:ascii="Times New Roman" w:hAnsi="Times New Roman"/>
                <w:color w:val="342B3B"/>
                <w:w w:val="105"/>
                <w:sz w:val="12"/>
              </w:rPr>
              <w:t>mét</w:t>
            </w:r>
            <w:r>
              <w:rPr>
                <w:rFonts w:ascii="Times New Roman" w:hAnsi="Times New Roman"/>
                <w:color w:val="544F60"/>
                <w:w w:val="105"/>
                <w:sz w:val="12"/>
              </w:rPr>
              <w:t>o</w:t>
            </w:r>
            <w:r>
              <w:rPr>
                <w:rFonts w:ascii="Times New Roman" w:hAnsi="Times New Roman"/>
                <w:color w:val="342B3B"/>
                <w:w w:val="105"/>
                <w:sz w:val="12"/>
              </w:rPr>
              <w:t>d</w:t>
            </w:r>
            <w:r>
              <w:rPr>
                <w:rFonts w:ascii="Times New Roman" w:hAnsi="Times New Roman"/>
                <w:color w:val="544F60"/>
                <w:w w:val="105"/>
                <w:sz w:val="12"/>
              </w:rPr>
              <w:t>o</w:t>
            </w:r>
            <w:r>
              <w:rPr>
                <w:rFonts w:ascii="Times New Roman" w:hAnsi="Times New Roman"/>
                <w:color w:val="544F60"/>
                <w:spacing w:val="17"/>
                <w:w w:val="105"/>
                <w:sz w:val="12"/>
              </w:rPr>
              <w:t> </w:t>
            </w:r>
            <w:r>
              <w:rPr>
                <w:rFonts w:ascii="Times New Roman" w:hAnsi="Times New Roman"/>
                <w:color w:val="283459"/>
                <w:w w:val="105"/>
                <w:sz w:val="12"/>
              </w:rPr>
              <w:t>de</w:t>
            </w:r>
            <w:r>
              <w:rPr>
                <w:rFonts w:ascii="Times New Roman" w:hAnsi="Times New Roman"/>
                <w:color w:val="283459"/>
                <w:spacing w:val="5"/>
                <w:w w:val="105"/>
                <w:sz w:val="12"/>
              </w:rPr>
              <w:t> </w:t>
            </w:r>
            <w:r>
              <w:rPr>
                <w:rFonts w:ascii="Times New Roman" w:hAnsi="Times New Roman"/>
                <w:color w:val="1D1C2B"/>
                <w:spacing w:val="-5"/>
                <w:w w:val="105"/>
                <w:sz w:val="13"/>
              </w:rPr>
              <w:t>la</w:t>
            </w:r>
          </w:p>
          <w:p>
            <w:pPr>
              <w:pStyle w:val="TableParagraph"/>
              <w:spacing w:line="135" w:lineRule="exact" w:before="28"/>
              <w:ind w:left="18"/>
              <w:rPr>
                <w:rFonts w:ascii="Times New Roman" w:hAnsi="Times New Roman"/>
                <w:sz w:val="12"/>
              </w:rPr>
            </w:pPr>
            <w:r>
              <w:rPr>
                <w:rFonts w:ascii="Times New Roman" w:hAnsi="Times New Roman"/>
                <w:color w:val="443F52"/>
                <w:spacing w:val="-2"/>
                <w:w w:val="110"/>
                <w:sz w:val="12"/>
              </w:rPr>
              <w:t>pa</w:t>
            </w:r>
            <w:r>
              <w:rPr>
                <w:rFonts w:ascii="Times New Roman" w:hAnsi="Times New Roman"/>
                <w:color w:val="4B2824"/>
                <w:spacing w:val="-2"/>
                <w:w w:val="110"/>
                <w:sz w:val="12"/>
              </w:rPr>
              <w:t>rti</w:t>
            </w:r>
            <w:r>
              <w:rPr>
                <w:rFonts w:ascii="Times New Roman" w:hAnsi="Times New Roman"/>
                <w:color w:val="544F60"/>
                <w:spacing w:val="-2"/>
                <w:w w:val="110"/>
                <w:sz w:val="12"/>
              </w:rPr>
              <w:t>c</w:t>
            </w:r>
            <w:r>
              <w:rPr>
                <w:rFonts w:ascii="Times New Roman" w:hAnsi="Times New Roman"/>
                <w:color w:val="342B3B"/>
                <w:spacing w:val="-2"/>
                <w:w w:val="110"/>
                <w:sz w:val="12"/>
              </w:rPr>
              <w:t>ipa</w:t>
            </w:r>
            <w:r>
              <w:rPr>
                <w:rFonts w:ascii="Times New Roman" w:hAnsi="Times New Roman"/>
                <w:color w:val="283459"/>
                <w:spacing w:val="-2"/>
                <w:w w:val="110"/>
                <w:sz w:val="12"/>
              </w:rPr>
              <w:t>c</w:t>
            </w:r>
            <w:r>
              <w:rPr>
                <w:rFonts w:ascii="Times New Roman" w:hAnsi="Times New Roman"/>
                <w:color w:val="443F52"/>
                <w:spacing w:val="-2"/>
                <w:w w:val="110"/>
                <w:sz w:val="12"/>
              </w:rPr>
              <w:t>ió</w:t>
            </w:r>
            <w:r>
              <w:rPr>
                <w:rFonts w:ascii="Times New Roman" w:hAnsi="Times New Roman"/>
                <w:color w:val="1D1C2B"/>
                <w:spacing w:val="-2"/>
                <w:w w:val="110"/>
                <w:sz w:val="12"/>
              </w:rPr>
              <w:t>n</w:t>
            </w:r>
            <w:r>
              <w:rPr>
                <w:rFonts w:ascii="Times New Roman" w:hAnsi="Times New Roman"/>
                <w:color w:val="5B4244"/>
                <w:spacing w:val="-2"/>
                <w:w w:val="110"/>
                <w:sz w:val="12"/>
              </w:rPr>
              <w:t>)</w:t>
            </w:r>
          </w:p>
        </w:tc>
        <w:tc>
          <w:tcPr>
            <w:tcW w:w="990" w:type="dxa"/>
            <w:tcBorders>
              <w:top w:val="single" w:sz="8" w:space="0" w:color="000000"/>
              <w:left w:val="single" w:sz="8" w:space="0" w:color="000000"/>
              <w:bottom w:val="single" w:sz="8" w:space="0" w:color="000000"/>
              <w:right w:val="single" w:sz="12" w:space="0" w:color="000000"/>
            </w:tcBorders>
          </w:tcPr>
          <w:p>
            <w:pPr>
              <w:pStyle w:val="TableParagraph"/>
              <w:rPr>
                <w:rFonts w:ascii="Times New Roman"/>
                <w:sz w:val="12"/>
              </w:rPr>
            </w:pPr>
          </w:p>
        </w:tc>
        <w:tc>
          <w:tcPr>
            <w:tcW w:w="1000" w:type="dxa"/>
            <w:tcBorders>
              <w:top w:val="single" w:sz="8" w:space="0" w:color="000000"/>
              <w:left w:val="single" w:sz="12" w:space="0" w:color="000000"/>
              <w:bottom w:val="single" w:sz="8" w:space="0" w:color="000000"/>
              <w:right w:val="single" w:sz="8" w:space="0" w:color="000000"/>
            </w:tcBorders>
          </w:tcPr>
          <w:p>
            <w:pPr>
              <w:pStyle w:val="TableParagraph"/>
              <w:rPr>
                <w:rFonts w:ascii="Times New Roman"/>
                <w:sz w:val="12"/>
              </w:rPr>
            </w:pPr>
          </w:p>
        </w:tc>
        <w:tc>
          <w:tcPr>
            <w:tcW w:w="928" w:type="dxa"/>
            <w:tcBorders>
              <w:top w:val="single" w:sz="8" w:space="0" w:color="000000"/>
              <w:left w:val="single" w:sz="8" w:space="0" w:color="000000"/>
              <w:bottom w:val="single" w:sz="8" w:space="0" w:color="000000"/>
              <w:right w:val="single" w:sz="6" w:space="0" w:color="000000"/>
            </w:tcBorders>
          </w:tcPr>
          <w:p>
            <w:pPr>
              <w:pStyle w:val="TableParagraph"/>
              <w:rPr>
                <w:rFonts w:ascii="Times New Roman"/>
                <w:sz w:val="12"/>
              </w:rPr>
            </w:pPr>
          </w:p>
        </w:tc>
        <w:tc>
          <w:tcPr>
            <w:tcW w:w="933" w:type="dxa"/>
            <w:tcBorders>
              <w:top w:val="single" w:sz="8" w:space="0" w:color="000000"/>
              <w:left w:val="single" w:sz="6" w:space="0" w:color="000000"/>
              <w:bottom w:val="single" w:sz="8" w:space="0" w:color="000000"/>
              <w:right w:val="single" w:sz="8" w:space="0" w:color="000000"/>
            </w:tcBorders>
          </w:tcPr>
          <w:p>
            <w:pPr>
              <w:pStyle w:val="TableParagraph"/>
              <w:rPr>
                <w:rFonts w:ascii="Times New Roman"/>
                <w:sz w:val="12"/>
              </w:rPr>
            </w:pPr>
          </w:p>
        </w:tc>
        <w:tc>
          <w:tcPr>
            <w:tcW w:w="100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2"/>
              </w:rPr>
            </w:pPr>
          </w:p>
        </w:tc>
        <w:tc>
          <w:tcPr>
            <w:tcW w:w="990" w:type="dxa"/>
            <w:tcBorders>
              <w:top w:val="single" w:sz="8" w:space="0" w:color="000000"/>
              <w:left w:val="single" w:sz="8" w:space="0" w:color="000000"/>
              <w:bottom w:val="single" w:sz="8" w:space="0" w:color="000000"/>
              <w:right w:val="single" w:sz="6" w:space="0" w:color="000000"/>
            </w:tcBorders>
          </w:tcPr>
          <w:p>
            <w:pPr>
              <w:pStyle w:val="TableParagraph"/>
              <w:rPr>
                <w:rFonts w:ascii="Times New Roman"/>
                <w:sz w:val="12"/>
              </w:rPr>
            </w:pPr>
          </w:p>
        </w:tc>
      </w:tr>
      <w:tr>
        <w:trPr>
          <w:trHeight w:val="177" w:hRule="atLeast"/>
        </w:trPr>
        <w:tc>
          <w:tcPr>
            <w:tcW w:w="2250" w:type="dxa"/>
            <w:tcBorders>
              <w:top w:val="single" w:sz="8" w:space="0" w:color="000000"/>
              <w:bottom w:val="nil"/>
              <w:right w:val="single" w:sz="8" w:space="0" w:color="000000"/>
            </w:tcBorders>
          </w:tcPr>
          <w:p>
            <w:pPr>
              <w:pStyle w:val="TableParagraph"/>
              <w:spacing w:line="130" w:lineRule="exact" w:before="27"/>
              <w:ind w:left="17"/>
              <w:rPr>
                <w:rFonts w:ascii="Times New Roman" w:hAnsi="Times New Roman"/>
                <w:sz w:val="12"/>
              </w:rPr>
            </w:pPr>
            <w:r>
              <w:rPr>
                <w:rFonts w:ascii="Times New Roman" w:hAnsi="Times New Roman"/>
                <w:color w:val="342B3B"/>
                <w:w w:val="110"/>
                <w:sz w:val="12"/>
              </w:rPr>
              <w:t>Ac</w:t>
            </w:r>
            <w:r>
              <w:rPr>
                <w:rFonts w:ascii="Times New Roman" w:hAnsi="Times New Roman"/>
                <w:color w:val="344872"/>
                <w:w w:val="110"/>
                <w:sz w:val="12"/>
              </w:rPr>
              <w:t>t</w:t>
            </w:r>
            <w:r>
              <w:rPr>
                <w:rFonts w:ascii="Times New Roman" w:hAnsi="Times New Roman"/>
                <w:color w:val="283459"/>
                <w:w w:val="110"/>
                <w:sz w:val="12"/>
              </w:rPr>
              <w:t>ú</w:t>
            </w:r>
            <w:r>
              <w:rPr>
                <w:rFonts w:ascii="Times New Roman" w:hAnsi="Times New Roman"/>
                <w:color w:val="544F60"/>
                <w:w w:val="110"/>
                <w:sz w:val="12"/>
              </w:rPr>
              <w:t>·</w:t>
            </w:r>
            <w:r>
              <w:rPr>
                <w:rFonts w:ascii="Times New Roman" w:hAnsi="Times New Roman"/>
                <w:color w:val="283459"/>
                <w:w w:val="110"/>
                <w:sz w:val="12"/>
              </w:rPr>
              <w:t>o</w:t>
            </w:r>
            <w:r>
              <w:rPr>
                <w:rFonts w:ascii="Times New Roman" w:hAnsi="Times New Roman"/>
                <w:color w:val="342B3B"/>
                <w:w w:val="110"/>
                <w:sz w:val="12"/>
              </w:rPr>
              <w:t>s</w:t>
            </w:r>
            <w:r>
              <w:rPr>
                <w:rFonts w:ascii="Times New Roman" w:hAnsi="Times New Roman"/>
                <w:color w:val="342B3B"/>
                <w:spacing w:val="-2"/>
                <w:w w:val="110"/>
                <w:sz w:val="12"/>
              </w:rPr>
              <w:t> </w:t>
            </w:r>
            <w:r>
              <w:rPr>
                <w:rFonts w:ascii="Times New Roman" w:hAnsi="Times New Roman"/>
                <w:color w:val="544F60"/>
                <w:w w:val="110"/>
                <w:sz w:val="12"/>
              </w:rPr>
              <w:t>ce</w:t>
            </w:r>
            <w:r>
              <w:rPr>
                <w:rFonts w:ascii="Times New Roman" w:hAnsi="Times New Roman"/>
                <w:color w:val="1D1C2B"/>
                <w:w w:val="110"/>
                <w:sz w:val="12"/>
              </w:rPr>
              <w:t>n</w:t>
            </w:r>
            <w:r>
              <w:rPr>
                <w:rFonts w:ascii="Times New Roman" w:hAnsi="Times New Roman"/>
                <w:color w:val="283459"/>
                <w:w w:val="110"/>
                <w:sz w:val="12"/>
              </w:rPr>
              <w:t>t</w:t>
            </w:r>
            <w:r>
              <w:rPr>
                <w:rFonts w:ascii="Times New Roman" w:hAnsi="Times New Roman"/>
                <w:color w:val="5B4244"/>
                <w:w w:val="110"/>
                <w:sz w:val="12"/>
              </w:rPr>
              <w:t>ral</w:t>
            </w:r>
            <w:r>
              <w:rPr>
                <w:rFonts w:ascii="Times New Roman" w:hAnsi="Times New Roman"/>
                <w:color w:val="342B3B"/>
                <w:w w:val="110"/>
                <w:sz w:val="12"/>
              </w:rPr>
              <w:t>iz</w:t>
            </w:r>
            <w:r>
              <w:rPr>
                <w:rFonts w:ascii="Times New Roman" w:hAnsi="Times New Roman"/>
                <w:color w:val="283459"/>
                <w:w w:val="110"/>
                <w:sz w:val="12"/>
              </w:rPr>
              <w:t>ado</w:t>
            </w:r>
            <w:r>
              <w:rPr>
                <w:rFonts w:ascii="Times New Roman" w:hAnsi="Times New Roman"/>
                <w:color w:val="1D1C2B"/>
                <w:w w:val="110"/>
                <w:sz w:val="12"/>
              </w:rPr>
              <w:t>s</w:t>
            </w:r>
            <w:r>
              <w:rPr>
                <w:rFonts w:ascii="Times New Roman" w:hAnsi="Times New Roman"/>
                <w:color w:val="1D1C2B"/>
                <w:spacing w:val="1"/>
                <w:w w:val="110"/>
                <w:sz w:val="12"/>
              </w:rPr>
              <w:t> </w:t>
            </w:r>
            <w:r>
              <w:rPr>
                <w:rFonts w:ascii="Times New Roman" w:hAnsi="Times New Roman"/>
                <w:color w:val="342B3B"/>
                <w:w w:val="110"/>
                <w:sz w:val="12"/>
              </w:rPr>
              <w:t>n</w:t>
            </w:r>
            <w:r>
              <w:rPr>
                <w:rFonts w:ascii="Times New Roman" w:hAnsi="Times New Roman"/>
                <w:color w:val="544F60"/>
                <w:w w:val="110"/>
                <w:sz w:val="12"/>
              </w:rPr>
              <w:t>o</w:t>
            </w:r>
            <w:r>
              <w:rPr>
                <w:rFonts w:ascii="Times New Roman" w:hAnsi="Times New Roman"/>
                <w:color w:val="544F60"/>
                <w:spacing w:val="5"/>
                <w:w w:val="110"/>
                <w:sz w:val="12"/>
              </w:rPr>
              <w:t> </w:t>
            </w:r>
            <w:r>
              <w:rPr>
                <w:rFonts w:ascii="Times New Roman" w:hAnsi="Times New Roman"/>
                <w:color w:val="443F52"/>
                <w:spacing w:val="-2"/>
                <w:w w:val="110"/>
                <w:sz w:val="12"/>
              </w:rPr>
              <w:t>as</w:t>
            </w:r>
            <w:r>
              <w:rPr>
                <w:rFonts w:ascii="Times New Roman" w:hAnsi="Times New Roman"/>
                <w:color w:val="1D1C2B"/>
                <w:spacing w:val="-2"/>
                <w:w w:val="110"/>
                <w:sz w:val="12"/>
              </w:rPr>
              <w:t>i</w:t>
            </w:r>
            <w:r>
              <w:rPr>
                <w:rFonts w:ascii="Times New Roman" w:hAnsi="Times New Roman"/>
                <w:color w:val="443F52"/>
                <w:spacing w:val="-2"/>
                <w:w w:val="110"/>
                <w:sz w:val="12"/>
              </w:rPr>
              <w:t>gnados</w:t>
            </w:r>
          </w:p>
        </w:tc>
        <w:tc>
          <w:tcPr>
            <w:tcW w:w="990" w:type="dxa"/>
            <w:tcBorders>
              <w:top w:val="single" w:sz="8" w:space="0" w:color="000000"/>
              <w:left w:val="single" w:sz="8" w:space="0" w:color="000000"/>
              <w:bottom w:val="nil"/>
              <w:right w:val="single" w:sz="12" w:space="0" w:color="000000"/>
            </w:tcBorders>
          </w:tcPr>
          <w:p>
            <w:pPr>
              <w:pStyle w:val="TableParagraph"/>
              <w:rPr>
                <w:rFonts w:ascii="Times New Roman"/>
                <w:sz w:val="10"/>
              </w:rPr>
            </w:pPr>
          </w:p>
        </w:tc>
        <w:tc>
          <w:tcPr>
            <w:tcW w:w="1000" w:type="dxa"/>
            <w:tcBorders>
              <w:top w:val="single" w:sz="8" w:space="0" w:color="000000"/>
              <w:left w:val="single" w:sz="12" w:space="0" w:color="000000"/>
              <w:bottom w:val="nil"/>
              <w:right w:val="single" w:sz="8" w:space="0" w:color="000000"/>
            </w:tcBorders>
          </w:tcPr>
          <w:p>
            <w:pPr>
              <w:pStyle w:val="TableParagraph"/>
              <w:rPr>
                <w:rFonts w:ascii="Times New Roman"/>
                <w:sz w:val="10"/>
              </w:rPr>
            </w:pPr>
          </w:p>
        </w:tc>
        <w:tc>
          <w:tcPr>
            <w:tcW w:w="928" w:type="dxa"/>
            <w:tcBorders>
              <w:top w:val="single" w:sz="8" w:space="0" w:color="000000"/>
              <w:left w:val="single" w:sz="8" w:space="0" w:color="000000"/>
              <w:bottom w:val="nil"/>
              <w:right w:val="single" w:sz="6" w:space="0" w:color="000000"/>
            </w:tcBorders>
          </w:tcPr>
          <w:p>
            <w:pPr>
              <w:pStyle w:val="TableParagraph"/>
              <w:rPr>
                <w:rFonts w:ascii="Times New Roman"/>
                <w:sz w:val="10"/>
              </w:rPr>
            </w:pPr>
          </w:p>
        </w:tc>
        <w:tc>
          <w:tcPr>
            <w:tcW w:w="933" w:type="dxa"/>
            <w:tcBorders>
              <w:top w:val="single" w:sz="8" w:space="0" w:color="000000"/>
              <w:left w:val="single" w:sz="6" w:space="0" w:color="000000"/>
              <w:bottom w:val="nil"/>
              <w:right w:val="single" w:sz="8" w:space="0" w:color="000000"/>
            </w:tcBorders>
          </w:tcPr>
          <w:p>
            <w:pPr>
              <w:pStyle w:val="TableParagraph"/>
              <w:rPr>
                <w:rFonts w:ascii="Times New Roman"/>
                <w:sz w:val="10"/>
              </w:rPr>
            </w:pPr>
          </w:p>
        </w:tc>
        <w:tc>
          <w:tcPr>
            <w:tcW w:w="1000" w:type="dxa"/>
            <w:tcBorders>
              <w:top w:val="single" w:sz="8" w:space="0" w:color="000000"/>
              <w:left w:val="single" w:sz="8" w:space="0" w:color="000000"/>
              <w:bottom w:val="nil"/>
              <w:right w:val="single" w:sz="8" w:space="0" w:color="000000"/>
            </w:tcBorders>
          </w:tcPr>
          <w:p>
            <w:pPr>
              <w:pStyle w:val="TableParagraph"/>
              <w:rPr>
                <w:rFonts w:ascii="Times New Roman"/>
                <w:sz w:val="10"/>
              </w:rPr>
            </w:pPr>
          </w:p>
        </w:tc>
        <w:tc>
          <w:tcPr>
            <w:tcW w:w="990" w:type="dxa"/>
            <w:tcBorders>
              <w:top w:val="single" w:sz="8" w:space="0" w:color="000000"/>
              <w:left w:val="single" w:sz="8" w:space="0" w:color="000000"/>
              <w:bottom w:val="nil"/>
              <w:right w:val="single" w:sz="6" w:space="0" w:color="000000"/>
            </w:tcBorders>
          </w:tcPr>
          <w:p>
            <w:pPr>
              <w:pStyle w:val="TableParagraph"/>
              <w:rPr>
                <w:rFonts w:ascii="Times New Roman"/>
                <w:sz w:val="10"/>
              </w:rPr>
            </w:pPr>
          </w:p>
        </w:tc>
      </w:tr>
    </w:tbl>
    <w:p>
      <w:pPr>
        <w:spacing w:line="240" w:lineRule="auto"/>
        <w:ind w:left="1097" w:right="0" w:firstLine="0"/>
        <w:rPr>
          <w:sz w:val="20"/>
        </w:rPr>
      </w:pPr>
      <w:r>
        <w:rPr>
          <w:sz w:val="20"/>
        </w:rPr>
        <w:drawing>
          <wp:inline distT="0" distB="0" distL="0" distR="0">
            <wp:extent cx="5152954" cy="548639"/>
            <wp:effectExtent l="0" t="0" r="0" b="0"/>
            <wp:docPr id="1273" name="Image 1273"/>
            <wp:cNvGraphicFramePr>
              <a:graphicFrameLocks/>
            </wp:cNvGraphicFramePr>
            <a:graphic>
              <a:graphicData uri="http://schemas.openxmlformats.org/drawingml/2006/picture">
                <pic:pic>
                  <pic:nvPicPr>
                    <pic:cNvPr id="1273" name="Image 1273"/>
                    <pic:cNvPicPr/>
                  </pic:nvPicPr>
                  <pic:blipFill>
                    <a:blip r:embed="rId120" cstate="print"/>
                    <a:stretch>
                      <a:fillRect/>
                    </a:stretch>
                  </pic:blipFill>
                  <pic:spPr>
                    <a:xfrm>
                      <a:off x="0" y="0"/>
                      <a:ext cx="5152954" cy="548639"/>
                    </a:xfrm>
                    <a:prstGeom prst="rect">
                      <a:avLst/>
                    </a:prstGeom>
                  </pic:spPr>
                </pic:pic>
              </a:graphicData>
            </a:graphic>
          </wp:inline>
        </w:drawing>
      </w:r>
      <w:r>
        <w:rPr>
          <w:sz w:val="20"/>
        </w:rPr>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326"/>
        <w:rPr>
          <w:sz w:val="34"/>
        </w:rPr>
      </w:pPr>
    </w:p>
    <w:p>
      <w:pPr>
        <w:pStyle w:val="Heading1"/>
        <w:spacing w:before="0"/>
        <w:jc w:val="center"/>
      </w:pPr>
      <w:hyperlink r:id="rId94">
        <w:r>
          <w:rPr>
            <w:color w:val="CDAA64"/>
            <w:spacing w:val="-2"/>
            <w:w w:val="105"/>
          </w:rPr>
          <w:t>WWW.IMAS.GO.CR</w:t>
        </w:r>
      </w:hyperlink>
    </w:p>
    <w:p>
      <w:pPr>
        <w:pStyle w:val="Heading1"/>
        <w:spacing w:after="0"/>
        <w:jc w:val="center"/>
        <w:sectPr>
          <w:pgSz w:w="12240" w:h="15840"/>
          <w:pgMar w:top="300" w:bottom="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80736">
                <wp:simplePos x="0" y="0"/>
                <wp:positionH relativeFrom="page">
                  <wp:posOffset>9525</wp:posOffset>
                </wp:positionH>
                <wp:positionV relativeFrom="page">
                  <wp:posOffset>297208</wp:posOffset>
                </wp:positionV>
                <wp:extent cx="7762875" cy="9748520"/>
                <wp:effectExtent l="0" t="0" r="0" b="0"/>
                <wp:wrapNone/>
                <wp:docPr id="1274" name="Group 1274"/>
                <wp:cNvGraphicFramePr>
                  <a:graphicFrameLocks/>
                </wp:cNvGraphicFramePr>
                <a:graphic>
                  <a:graphicData uri="http://schemas.microsoft.com/office/word/2010/wordprocessingGroup">
                    <wpg:wgp>
                      <wpg:cNvPr id="1274" name="Group 1274"/>
                      <wpg:cNvGrpSpPr/>
                      <wpg:grpSpPr>
                        <a:xfrm>
                          <a:off x="0" y="0"/>
                          <a:ext cx="7762875" cy="9748520"/>
                          <a:chExt cx="7762875" cy="9748520"/>
                        </a:xfrm>
                      </wpg:grpSpPr>
                      <pic:pic>
                        <pic:nvPicPr>
                          <pic:cNvPr id="1275" name="Image 1275"/>
                          <pic:cNvPicPr/>
                        </pic:nvPicPr>
                        <pic:blipFill>
                          <a:blip r:embed="rId5" cstate="print"/>
                          <a:stretch>
                            <a:fillRect/>
                          </a:stretch>
                        </pic:blipFill>
                        <pic:spPr>
                          <a:xfrm>
                            <a:off x="0" y="0"/>
                            <a:ext cx="7762874" cy="9748489"/>
                          </a:xfrm>
                          <a:prstGeom prst="rect">
                            <a:avLst/>
                          </a:prstGeom>
                        </pic:spPr>
                      </pic:pic>
                      <wps:wsp>
                        <wps:cNvPr id="1276" name="Graphic 1276"/>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35744" id="docshapegroup1216" coordorigin="15,468" coordsize="12225,15352">
                <v:shape style="position:absolute;left:15;top:468;width:12225;height:15352" type="#_x0000_t75" id="docshape1217" stroked="false">
                  <v:imagedata r:id="rId5" o:title=""/>
                </v:shape>
                <v:rect style="position:absolute;left:1673;top:2028;width:8897;height:15" id="docshape1218"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249</w:t>
      </w:r>
    </w:p>
    <w:p>
      <w:pPr>
        <w:pStyle w:val="BodyText"/>
        <w:spacing w:before="218"/>
        <w:ind w:left="1962" w:right="2316"/>
        <w:jc w:val="center"/>
      </w:pPr>
      <w:bookmarkStart w:name="_bookmark164" w:id="165"/>
      <w:bookmarkEnd w:id="165"/>
      <w:r>
        <w:rPr/>
      </w:r>
      <w:r>
        <w:rPr>
          <w:color w:val="1F3863"/>
        </w:rPr>
        <w:t>NOTAS</w:t>
      </w:r>
      <w:r>
        <w:rPr>
          <w:color w:val="1F3863"/>
          <w:spacing w:val="-6"/>
        </w:rPr>
        <w:t> </w:t>
      </w:r>
      <w:r>
        <w:rPr>
          <w:color w:val="1F3863"/>
        </w:rPr>
        <w:t>AL</w:t>
      </w:r>
      <w:r>
        <w:rPr>
          <w:color w:val="1F3863"/>
          <w:spacing w:val="-4"/>
        </w:rPr>
        <w:t> </w:t>
      </w:r>
      <w:r>
        <w:rPr>
          <w:color w:val="1F3863"/>
        </w:rPr>
        <w:t>INFORME</w:t>
      </w:r>
      <w:r>
        <w:rPr>
          <w:color w:val="1F3863"/>
          <w:spacing w:val="-5"/>
        </w:rPr>
        <w:t> </w:t>
      </w:r>
      <w:r>
        <w:rPr>
          <w:color w:val="1F3863"/>
        </w:rPr>
        <w:t>DEUDA</w:t>
      </w:r>
      <w:r>
        <w:rPr>
          <w:color w:val="1F3863"/>
          <w:spacing w:val="-4"/>
        </w:rPr>
        <w:t> </w:t>
      </w:r>
      <w:r>
        <w:rPr>
          <w:color w:val="1F3863"/>
          <w:spacing w:val="-2"/>
        </w:rPr>
        <w:t>PÚBLICA</w:t>
      </w:r>
    </w:p>
    <w:p>
      <w:pPr>
        <w:spacing w:before="166"/>
        <w:ind w:left="622" w:right="0" w:firstLine="0"/>
        <w:jc w:val="both"/>
        <w:rPr>
          <w:b/>
          <w:sz w:val="22"/>
        </w:rPr>
      </w:pPr>
      <w:bookmarkStart w:name="_bookmark165" w:id="166"/>
      <w:bookmarkEnd w:id="166"/>
      <w:r>
        <w:rPr/>
      </w:r>
      <w:r>
        <w:rPr>
          <w:b/>
          <w:sz w:val="22"/>
        </w:rPr>
        <w:t>NOTA</w:t>
      </w:r>
      <w:r>
        <w:rPr>
          <w:b/>
          <w:spacing w:val="-2"/>
          <w:sz w:val="22"/>
        </w:rPr>
        <w:t> </w:t>
      </w:r>
      <w:r>
        <w:rPr>
          <w:b/>
          <w:sz w:val="22"/>
        </w:rPr>
        <w:t>N°</w:t>
      </w:r>
      <w:r>
        <w:rPr>
          <w:b/>
          <w:spacing w:val="-1"/>
          <w:sz w:val="22"/>
        </w:rPr>
        <w:t> </w:t>
      </w:r>
      <w:r>
        <w:rPr>
          <w:b/>
          <w:sz w:val="22"/>
        </w:rPr>
        <w:t>97</w:t>
      </w:r>
      <w:r>
        <w:rPr>
          <w:b/>
          <w:spacing w:val="-4"/>
          <w:sz w:val="22"/>
        </w:rPr>
        <w:t> </w:t>
      </w:r>
      <w:r>
        <w:rPr>
          <w:b/>
          <w:sz w:val="22"/>
        </w:rPr>
        <w:t>Saldos</w:t>
      </w:r>
      <w:r>
        <w:rPr>
          <w:b/>
          <w:spacing w:val="-1"/>
          <w:sz w:val="22"/>
        </w:rPr>
        <w:t> </w:t>
      </w:r>
      <w:r>
        <w:rPr>
          <w:b/>
          <w:sz w:val="22"/>
        </w:rPr>
        <w:t>de la</w:t>
      </w:r>
      <w:r>
        <w:rPr>
          <w:b/>
          <w:spacing w:val="-5"/>
          <w:sz w:val="22"/>
        </w:rPr>
        <w:t> </w:t>
      </w:r>
      <w:r>
        <w:rPr>
          <w:b/>
          <w:sz w:val="22"/>
        </w:rPr>
        <w:t>deuda</w:t>
      </w:r>
      <w:r>
        <w:rPr>
          <w:b/>
          <w:spacing w:val="-2"/>
          <w:sz w:val="22"/>
        </w:rPr>
        <w:t> pública</w:t>
      </w:r>
    </w:p>
    <w:p>
      <w:pPr>
        <w:pStyle w:val="BodyText"/>
        <w:rPr>
          <w:b/>
          <w:sz w:val="11"/>
        </w:rPr>
      </w:pPr>
    </w:p>
    <w:tbl>
      <w:tblPr>
        <w:tblW w:w="0" w:type="auto"/>
        <w:jc w:val="left"/>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64"/>
        <w:gridCol w:w="1560"/>
        <w:gridCol w:w="1875"/>
        <w:gridCol w:w="1683"/>
      </w:tblGrid>
      <w:tr>
        <w:trPr>
          <w:trHeight w:val="249" w:hRule="atLeast"/>
        </w:trPr>
        <w:tc>
          <w:tcPr>
            <w:tcW w:w="4364" w:type="dxa"/>
            <w:shd w:val="clear" w:color="auto" w:fill="365F92"/>
          </w:tcPr>
          <w:p>
            <w:pPr>
              <w:pStyle w:val="TableParagraph"/>
              <w:spacing w:line="229" w:lineRule="exact"/>
              <w:ind w:left="69"/>
              <w:rPr>
                <w:sz w:val="22"/>
              </w:rPr>
            </w:pPr>
            <w:r>
              <w:rPr>
                <w:color w:val="FFFFFF"/>
                <w:sz w:val="22"/>
              </w:rPr>
              <w:t>Nota</w:t>
            </w:r>
            <w:r>
              <w:rPr>
                <w:color w:val="FFFFFF"/>
                <w:spacing w:val="-2"/>
                <w:sz w:val="22"/>
              </w:rPr>
              <w:t> </w:t>
            </w:r>
            <w:r>
              <w:rPr>
                <w:color w:val="FFFFFF"/>
                <w:spacing w:val="-5"/>
                <w:sz w:val="22"/>
              </w:rPr>
              <w:t>97</w:t>
            </w:r>
          </w:p>
        </w:tc>
        <w:tc>
          <w:tcPr>
            <w:tcW w:w="3435" w:type="dxa"/>
            <w:gridSpan w:val="2"/>
            <w:shd w:val="clear" w:color="auto" w:fill="365F92"/>
          </w:tcPr>
          <w:p>
            <w:pPr>
              <w:pStyle w:val="TableParagraph"/>
              <w:spacing w:line="229" w:lineRule="exact"/>
              <w:ind w:left="10"/>
              <w:jc w:val="center"/>
              <w:rPr>
                <w:sz w:val="22"/>
              </w:rPr>
            </w:pPr>
            <w:r>
              <w:rPr>
                <w:color w:val="FFFFFF"/>
                <w:spacing w:val="-2"/>
                <w:sz w:val="22"/>
              </w:rPr>
              <w:t>Saldos</w:t>
            </w:r>
          </w:p>
        </w:tc>
        <w:tc>
          <w:tcPr>
            <w:tcW w:w="1683" w:type="dxa"/>
            <w:vMerge w:val="restart"/>
            <w:shd w:val="clear" w:color="auto" w:fill="365F92"/>
          </w:tcPr>
          <w:p>
            <w:pPr>
              <w:pStyle w:val="TableParagraph"/>
              <w:spacing w:before="134"/>
              <w:ind w:left="7"/>
              <w:jc w:val="center"/>
              <w:rPr>
                <w:sz w:val="22"/>
              </w:rPr>
            </w:pPr>
            <w:r>
              <w:rPr>
                <w:color w:val="FFFFFF"/>
                <w:spacing w:val="-10"/>
                <w:sz w:val="22"/>
              </w:rPr>
              <w:t>%</w:t>
            </w:r>
          </w:p>
        </w:tc>
      </w:tr>
      <w:tr>
        <w:trPr>
          <w:trHeight w:val="263" w:hRule="atLeast"/>
        </w:trPr>
        <w:tc>
          <w:tcPr>
            <w:tcW w:w="4364" w:type="dxa"/>
            <w:shd w:val="clear" w:color="auto" w:fill="365F92"/>
          </w:tcPr>
          <w:p>
            <w:pPr>
              <w:pStyle w:val="TableParagraph"/>
              <w:spacing w:line="236" w:lineRule="exact" w:before="7"/>
              <w:ind w:left="9"/>
              <w:jc w:val="center"/>
              <w:rPr>
                <w:sz w:val="22"/>
              </w:rPr>
            </w:pPr>
            <w:r>
              <w:rPr>
                <w:color w:val="FFFFFF"/>
                <w:spacing w:val="-2"/>
                <w:sz w:val="22"/>
              </w:rPr>
              <w:t>Rubro</w:t>
            </w:r>
          </w:p>
        </w:tc>
        <w:tc>
          <w:tcPr>
            <w:tcW w:w="1560" w:type="dxa"/>
            <w:shd w:val="clear" w:color="auto" w:fill="365F92"/>
          </w:tcPr>
          <w:p>
            <w:pPr>
              <w:pStyle w:val="TableParagraph"/>
              <w:spacing w:line="236" w:lineRule="exact" w:before="7"/>
              <w:ind w:left="10"/>
              <w:jc w:val="center"/>
              <w:rPr>
                <w:sz w:val="22"/>
              </w:rPr>
            </w:pPr>
            <w:r>
              <w:rPr>
                <w:color w:val="FFFFFF"/>
                <w:sz w:val="22"/>
              </w:rPr>
              <w:t>Periodo</w:t>
            </w:r>
            <w:r>
              <w:rPr>
                <w:color w:val="FFFFFF"/>
                <w:spacing w:val="-6"/>
                <w:sz w:val="22"/>
              </w:rPr>
              <w:t> </w:t>
            </w:r>
            <w:r>
              <w:rPr>
                <w:color w:val="FFFFFF"/>
                <w:spacing w:val="-2"/>
                <w:sz w:val="22"/>
              </w:rPr>
              <w:t>actual</w:t>
            </w:r>
          </w:p>
        </w:tc>
        <w:tc>
          <w:tcPr>
            <w:tcW w:w="1875" w:type="dxa"/>
            <w:shd w:val="clear" w:color="auto" w:fill="365F92"/>
          </w:tcPr>
          <w:p>
            <w:pPr>
              <w:pStyle w:val="TableParagraph"/>
              <w:spacing w:line="236" w:lineRule="exact" w:before="7"/>
              <w:ind w:left="10"/>
              <w:jc w:val="center"/>
              <w:rPr>
                <w:sz w:val="22"/>
              </w:rPr>
            </w:pPr>
            <w:r>
              <w:rPr>
                <w:color w:val="FFFFFF"/>
                <w:sz w:val="22"/>
              </w:rPr>
              <w:t>Periodo</w:t>
            </w:r>
            <w:r>
              <w:rPr>
                <w:color w:val="FFFFFF"/>
                <w:spacing w:val="-4"/>
                <w:sz w:val="22"/>
              </w:rPr>
              <w:t> </w:t>
            </w:r>
            <w:r>
              <w:rPr>
                <w:color w:val="FFFFFF"/>
                <w:spacing w:val="-2"/>
                <w:sz w:val="22"/>
              </w:rPr>
              <w:t>anterior</w:t>
            </w:r>
          </w:p>
        </w:tc>
        <w:tc>
          <w:tcPr>
            <w:tcW w:w="1683" w:type="dxa"/>
            <w:vMerge/>
            <w:tcBorders>
              <w:top w:val="nil"/>
            </w:tcBorders>
            <w:shd w:val="clear" w:color="auto" w:fill="365F92"/>
          </w:tcPr>
          <w:p>
            <w:pPr>
              <w:rPr>
                <w:sz w:val="2"/>
                <w:szCs w:val="2"/>
              </w:rPr>
            </w:pPr>
          </w:p>
        </w:tc>
      </w:tr>
      <w:tr>
        <w:trPr>
          <w:trHeight w:val="227" w:hRule="atLeast"/>
        </w:trPr>
        <w:tc>
          <w:tcPr>
            <w:tcW w:w="4364" w:type="dxa"/>
          </w:tcPr>
          <w:p>
            <w:pPr>
              <w:pStyle w:val="TableParagraph"/>
              <w:spacing w:line="208" w:lineRule="exact"/>
              <w:ind w:left="69"/>
              <w:rPr>
                <w:sz w:val="20"/>
              </w:rPr>
            </w:pPr>
            <w:r>
              <w:rPr>
                <w:sz w:val="20"/>
              </w:rPr>
              <w:t>Saldo</w:t>
            </w:r>
            <w:r>
              <w:rPr>
                <w:spacing w:val="-4"/>
                <w:sz w:val="20"/>
              </w:rPr>
              <w:t> </w:t>
            </w:r>
            <w:r>
              <w:rPr>
                <w:sz w:val="20"/>
              </w:rPr>
              <w:t>de</w:t>
            </w:r>
            <w:r>
              <w:rPr>
                <w:spacing w:val="-4"/>
                <w:sz w:val="20"/>
              </w:rPr>
              <w:t> </w:t>
            </w:r>
            <w:r>
              <w:rPr>
                <w:sz w:val="20"/>
              </w:rPr>
              <w:t>deuda</w:t>
            </w:r>
            <w:r>
              <w:rPr>
                <w:spacing w:val="-5"/>
                <w:sz w:val="20"/>
              </w:rPr>
              <w:t> </w:t>
            </w:r>
            <w:r>
              <w:rPr>
                <w:spacing w:val="-2"/>
                <w:sz w:val="20"/>
              </w:rPr>
              <w:t>pública</w:t>
            </w:r>
          </w:p>
        </w:tc>
        <w:tc>
          <w:tcPr>
            <w:tcW w:w="1560" w:type="dxa"/>
          </w:tcPr>
          <w:p>
            <w:pPr>
              <w:pStyle w:val="TableParagraph"/>
              <w:spacing w:line="208" w:lineRule="exact"/>
              <w:ind w:left="10" w:right="4"/>
              <w:jc w:val="center"/>
              <w:rPr>
                <w:sz w:val="20"/>
              </w:rPr>
            </w:pPr>
            <w:r>
              <w:rPr>
                <w:spacing w:val="-4"/>
                <w:sz w:val="20"/>
              </w:rPr>
              <w:t>0.00</w:t>
            </w:r>
          </w:p>
        </w:tc>
        <w:tc>
          <w:tcPr>
            <w:tcW w:w="1875" w:type="dxa"/>
          </w:tcPr>
          <w:p>
            <w:pPr>
              <w:pStyle w:val="TableParagraph"/>
              <w:spacing w:line="208" w:lineRule="exact"/>
              <w:ind w:left="10" w:right="5"/>
              <w:jc w:val="center"/>
              <w:rPr>
                <w:sz w:val="20"/>
              </w:rPr>
            </w:pPr>
            <w:r>
              <w:rPr>
                <w:spacing w:val="-4"/>
                <w:sz w:val="20"/>
              </w:rPr>
              <w:t>0.00</w:t>
            </w:r>
          </w:p>
        </w:tc>
        <w:tc>
          <w:tcPr>
            <w:tcW w:w="1683" w:type="dxa"/>
          </w:tcPr>
          <w:p>
            <w:pPr>
              <w:pStyle w:val="TableParagraph"/>
              <w:spacing w:line="208" w:lineRule="exact"/>
              <w:ind w:left="7" w:right="3"/>
              <w:jc w:val="center"/>
              <w:rPr>
                <w:sz w:val="20"/>
              </w:rPr>
            </w:pPr>
            <w:r>
              <w:rPr>
                <w:spacing w:val="-5"/>
                <w:sz w:val="20"/>
              </w:rPr>
              <w:t>0%</w:t>
            </w:r>
          </w:p>
        </w:tc>
      </w:tr>
    </w:tbl>
    <w:p>
      <w:pPr>
        <w:pStyle w:val="BodyText"/>
        <w:spacing w:before="2"/>
        <w:rPr>
          <w:b/>
        </w:rPr>
      </w:pPr>
    </w:p>
    <w:p>
      <w:pPr>
        <w:pStyle w:val="BodyText"/>
        <w:spacing w:line="276" w:lineRule="auto"/>
        <w:ind w:left="622" w:right="977"/>
        <w:jc w:val="both"/>
      </w:pPr>
      <w:r>
        <w:rPr/>
        <w:t>El</w:t>
      </w:r>
      <w:r>
        <w:rPr>
          <w:spacing w:val="-12"/>
        </w:rPr>
        <w:t> </w:t>
      </w:r>
      <w:r>
        <w:rPr/>
        <w:t>endeudamiento</w:t>
      </w:r>
      <w:r>
        <w:rPr>
          <w:spacing w:val="-11"/>
        </w:rPr>
        <w:t> </w:t>
      </w:r>
      <w:r>
        <w:rPr/>
        <w:t>público</w:t>
      </w:r>
      <w:r>
        <w:rPr>
          <w:spacing w:val="-13"/>
        </w:rPr>
        <w:t> </w:t>
      </w:r>
      <w:r>
        <w:rPr/>
        <w:t>se</w:t>
      </w:r>
      <w:r>
        <w:rPr>
          <w:spacing w:val="-10"/>
        </w:rPr>
        <w:t> </w:t>
      </w:r>
      <w:r>
        <w:rPr/>
        <w:t>define</w:t>
      </w:r>
      <w:r>
        <w:rPr>
          <w:spacing w:val="-10"/>
        </w:rPr>
        <w:t> </w:t>
      </w:r>
      <w:r>
        <w:rPr/>
        <w:t>como</w:t>
      </w:r>
      <w:r>
        <w:rPr>
          <w:spacing w:val="-11"/>
        </w:rPr>
        <w:t> </w:t>
      </w:r>
      <w:r>
        <w:rPr/>
        <w:t>el</w:t>
      </w:r>
      <w:r>
        <w:rPr>
          <w:spacing w:val="-14"/>
        </w:rPr>
        <w:t> </w:t>
      </w:r>
      <w:r>
        <w:rPr/>
        <w:t>conjunto</w:t>
      </w:r>
      <w:r>
        <w:rPr>
          <w:spacing w:val="-11"/>
        </w:rPr>
        <w:t> </w:t>
      </w:r>
      <w:r>
        <w:rPr/>
        <w:t>de</w:t>
      </w:r>
      <w:r>
        <w:rPr>
          <w:spacing w:val="-10"/>
        </w:rPr>
        <w:t> </w:t>
      </w:r>
      <w:r>
        <w:rPr/>
        <w:t>instrumentos</w:t>
      </w:r>
      <w:r>
        <w:rPr>
          <w:spacing w:val="-11"/>
        </w:rPr>
        <w:t> </w:t>
      </w:r>
      <w:r>
        <w:rPr/>
        <w:t>de</w:t>
      </w:r>
      <w:r>
        <w:rPr>
          <w:spacing w:val="-10"/>
        </w:rPr>
        <w:t> </w:t>
      </w:r>
      <w:r>
        <w:rPr/>
        <w:t>pasivo,</w:t>
      </w:r>
      <w:r>
        <w:rPr>
          <w:spacing w:val="-11"/>
        </w:rPr>
        <w:t> </w:t>
      </w:r>
      <w:r>
        <w:rPr/>
        <w:t>predominantemente de</w:t>
      </w:r>
      <w:r>
        <w:rPr>
          <w:spacing w:val="-4"/>
        </w:rPr>
        <w:t> </w:t>
      </w:r>
      <w:r>
        <w:rPr/>
        <w:t>largo</w:t>
      </w:r>
      <w:r>
        <w:rPr>
          <w:spacing w:val="-4"/>
        </w:rPr>
        <w:t> </w:t>
      </w:r>
      <w:r>
        <w:rPr/>
        <w:t>plazo,</w:t>
      </w:r>
      <w:r>
        <w:rPr>
          <w:spacing w:val="-7"/>
        </w:rPr>
        <w:t> </w:t>
      </w:r>
      <w:r>
        <w:rPr/>
        <w:t>que</w:t>
      </w:r>
      <w:r>
        <w:rPr>
          <w:spacing w:val="-6"/>
        </w:rPr>
        <w:t> </w:t>
      </w:r>
      <w:r>
        <w:rPr/>
        <w:t>mantiene</w:t>
      </w:r>
      <w:r>
        <w:rPr>
          <w:spacing w:val="-4"/>
        </w:rPr>
        <w:t> </w:t>
      </w:r>
      <w:r>
        <w:rPr/>
        <w:t>el</w:t>
      </w:r>
      <w:r>
        <w:rPr>
          <w:spacing w:val="-5"/>
        </w:rPr>
        <w:t> </w:t>
      </w:r>
      <w:r>
        <w:rPr/>
        <w:t>Estado</w:t>
      </w:r>
      <w:r>
        <w:rPr>
          <w:spacing w:val="-4"/>
        </w:rPr>
        <w:t> </w:t>
      </w:r>
      <w:r>
        <w:rPr/>
        <w:t>o</w:t>
      </w:r>
      <w:r>
        <w:rPr>
          <w:spacing w:val="-4"/>
        </w:rPr>
        <w:t> </w:t>
      </w:r>
      <w:r>
        <w:rPr/>
        <w:t>cualquier</w:t>
      </w:r>
      <w:r>
        <w:rPr>
          <w:spacing w:val="-5"/>
        </w:rPr>
        <w:t> </w:t>
      </w:r>
      <w:r>
        <w:rPr/>
        <w:t>entidad</w:t>
      </w:r>
      <w:r>
        <w:rPr>
          <w:spacing w:val="-5"/>
        </w:rPr>
        <w:t> </w:t>
      </w:r>
      <w:r>
        <w:rPr/>
        <w:t>estatal</w:t>
      </w:r>
      <w:r>
        <w:rPr>
          <w:spacing w:val="-6"/>
        </w:rPr>
        <w:t> </w:t>
      </w:r>
      <w:r>
        <w:rPr/>
        <w:t>frente</w:t>
      </w:r>
      <w:r>
        <w:rPr>
          <w:spacing w:val="-4"/>
        </w:rPr>
        <w:t> </w:t>
      </w:r>
      <w:r>
        <w:rPr/>
        <w:t>a</w:t>
      </w:r>
      <w:r>
        <w:rPr>
          <w:spacing w:val="-5"/>
        </w:rPr>
        <w:t> </w:t>
      </w:r>
      <w:r>
        <w:rPr/>
        <w:t>particulares,</w:t>
      </w:r>
      <w:r>
        <w:rPr>
          <w:spacing w:val="-5"/>
        </w:rPr>
        <w:t> </w:t>
      </w:r>
      <w:r>
        <w:rPr/>
        <w:t>otras</w:t>
      </w:r>
      <w:r>
        <w:rPr>
          <w:spacing w:val="-4"/>
        </w:rPr>
        <w:t> </w:t>
      </w:r>
      <w:r>
        <w:rPr/>
        <w:t>entidades públicas o gobiernos</w:t>
      </w:r>
      <w:r>
        <w:rPr>
          <w:spacing w:val="-2"/>
        </w:rPr>
        <w:t> </w:t>
      </w:r>
      <w:r>
        <w:rPr/>
        <w:t>extranjeros. Su</w:t>
      </w:r>
      <w:r>
        <w:rPr>
          <w:spacing w:val="-1"/>
        </w:rPr>
        <w:t> </w:t>
      </w:r>
      <w:r>
        <w:rPr/>
        <w:t>propósito</w:t>
      </w:r>
      <w:r>
        <w:rPr>
          <w:spacing w:val="-3"/>
        </w:rPr>
        <w:t> </w:t>
      </w:r>
      <w:r>
        <w:rPr/>
        <w:t>fundamental</w:t>
      </w:r>
      <w:r>
        <w:rPr>
          <w:spacing w:val="-2"/>
        </w:rPr>
        <w:t> </w:t>
      </w:r>
      <w:r>
        <w:rPr/>
        <w:t>es captar</w:t>
      </w:r>
      <w:r>
        <w:rPr>
          <w:spacing w:val="-1"/>
        </w:rPr>
        <w:t> </w:t>
      </w:r>
      <w:r>
        <w:rPr/>
        <w:t>recursos de</w:t>
      </w:r>
      <w:r>
        <w:rPr>
          <w:spacing w:val="-3"/>
        </w:rPr>
        <w:t> </w:t>
      </w:r>
      <w:r>
        <w:rPr/>
        <w:t>financiamiento,</w:t>
      </w:r>
      <w:r>
        <w:rPr>
          <w:spacing w:val="-1"/>
        </w:rPr>
        <w:t> </w:t>
      </w:r>
      <w:r>
        <w:rPr/>
        <w:t>con la</w:t>
      </w:r>
      <w:r>
        <w:rPr>
          <w:spacing w:val="-8"/>
        </w:rPr>
        <w:t> </w:t>
      </w:r>
      <w:r>
        <w:rPr/>
        <w:t>obligación</w:t>
      </w:r>
      <w:r>
        <w:rPr>
          <w:spacing w:val="-8"/>
        </w:rPr>
        <w:t> </w:t>
      </w:r>
      <w:r>
        <w:rPr/>
        <w:t>de</w:t>
      </w:r>
      <w:r>
        <w:rPr>
          <w:spacing w:val="-8"/>
        </w:rPr>
        <w:t> </w:t>
      </w:r>
      <w:r>
        <w:rPr/>
        <w:t>reembolsarlos</w:t>
      </w:r>
      <w:r>
        <w:rPr>
          <w:spacing w:val="-7"/>
        </w:rPr>
        <w:t> </w:t>
      </w:r>
      <w:r>
        <w:rPr/>
        <w:t>bajo</w:t>
      </w:r>
      <w:r>
        <w:rPr>
          <w:spacing w:val="-7"/>
        </w:rPr>
        <w:t> </w:t>
      </w:r>
      <w:r>
        <w:rPr/>
        <w:t>condiciones</w:t>
      </w:r>
      <w:r>
        <w:rPr>
          <w:spacing w:val="-9"/>
        </w:rPr>
        <w:t> </w:t>
      </w:r>
      <w:r>
        <w:rPr/>
        <w:t>específicas</w:t>
      </w:r>
      <w:r>
        <w:rPr>
          <w:spacing w:val="-7"/>
        </w:rPr>
        <w:t> </w:t>
      </w:r>
      <w:r>
        <w:rPr/>
        <w:t>establecidas</w:t>
      </w:r>
      <w:r>
        <w:rPr>
          <w:spacing w:val="-9"/>
        </w:rPr>
        <w:t> </w:t>
      </w:r>
      <w:r>
        <w:rPr/>
        <w:t>en</w:t>
      </w:r>
      <w:r>
        <w:rPr>
          <w:spacing w:val="-9"/>
        </w:rPr>
        <w:t> </w:t>
      </w:r>
      <w:r>
        <w:rPr/>
        <w:t>el</w:t>
      </w:r>
      <w:r>
        <w:rPr>
          <w:spacing w:val="-8"/>
        </w:rPr>
        <w:t> </w:t>
      </w:r>
      <w:r>
        <w:rPr/>
        <w:t>momento</w:t>
      </w:r>
      <w:r>
        <w:rPr>
          <w:spacing w:val="-7"/>
        </w:rPr>
        <w:t> </w:t>
      </w:r>
      <w:r>
        <w:rPr/>
        <w:t>de</w:t>
      </w:r>
      <w:r>
        <w:rPr>
          <w:spacing w:val="-7"/>
        </w:rPr>
        <w:t> </w:t>
      </w:r>
      <w:r>
        <w:rPr/>
        <w:t>su</w:t>
      </w:r>
      <w:r>
        <w:rPr>
          <w:spacing w:val="-10"/>
        </w:rPr>
        <w:t> </w:t>
      </w:r>
      <w:r>
        <w:rPr/>
        <w:t>emisión.</w:t>
      </w:r>
    </w:p>
    <w:p>
      <w:pPr>
        <w:pStyle w:val="BodyText"/>
        <w:spacing w:before="121"/>
        <w:ind w:left="622"/>
        <w:jc w:val="both"/>
      </w:pPr>
      <w:r>
        <w:rPr/>
        <w:t>Entre</w:t>
      </w:r>
      <w:r>
        <w:rPr>
          <w:spacing w:val="-7"/>
        </w:rPr>
        <w:t> </w:t>
      </w:r>
      <w:r>
        <w:rPr/>
        <w:t>los</w:t>
      </w:r>
      <w:r>
        <w:rPr>
          <w:spacing w:val="-4"/>
        </w:rPr>
        <w:t> </w:t>
      </w:r>
      <w:r>
        <w:rPr/>
        <w:t>principales</w:t>
      </w:r>
      <w:r>
        <w:rPr>
          <w:spacing w:val="-5"/>
        </w:rPr>
        <w:t> </w:t>
      </w:r>
      <w:r>
        <w:rPr/>
        <w:t>instrumentos</w:t>
      </w:r>
      <w:r>
        <w:rPr>
          <w:spacing w:val="-4"/>
        </w:rPr>
        <w:t> </w:t>
      </w:r>
      <w:r>
        <w:rPr/>
        <w:t>de</w:t>
      </w:r>
      <w:r>
        <w:rPr>
          <w:spacing w:val="-7"/>
        </w:rPr>
        <w:t> </w:t>
      </w:r>
      <w:r>
        <w:rPr/>
        <w:t>endeudamiento</w:t>
      </w:r>
      <w:r>
        <w:rPr>
          <w:spacing w:val="-7"/>
        </w:rPr>
        <w:t> </w:t>
      </w:r>
      <w:r>
        <w:rPr/>
        <w:t>público</w:t>
      </w:r>
      <w:r>
        <w:rPr>
          <w:spacing w:val="-5"/>
        </w:rPr>
        <w:t> </w:t>
      </w:r>
      <w:r>
        <w:rPr/>
        <w:t>se</w:t>
      </w:r>
      <w:r>
        <w:rPr>
          <w:spacing w:val="-6"/>
        </w:rPr>
        <w:t> </w:t>
      </w:r>
      <w:r>
        <w:rPr>
          <w:spacing w:val="-2"/>
        </w:rPr>
        <w:t>incluyen:</w:t>
      </w:r>
    </w:p>
    <w:p>
      <w:pPr>
        <w:pStyle w:val="ListParagraph"/>
        <w:numPr>
          <w:ilvl w:val="0"/>
          <w:numId w:val="107"/>
        </w:numPr>
        <w:tabs>
          <w:tab w:pos="1342" w:val="left" w:leader="none"/>
        </w:tabs>
        <w:spacing w:line="273" w:lineRule="auto" w:before="156" w:after="0"/>
        <w:ind w:left="1342" w:right="977" w:hanging="360"/>
        <w:jc w:val="both"/>
        <w:rPr>
          <w:sz w:val="22"/>
        </w:rPr>
      </w:pPr>
      <w:r>
        <w:rPr>
          <w:sz w:val="22"/>
        </w:rPr>
        <w:t>Títulos</w:t>
      </w:r>
      <w:r>
        <w:rPr>
          <w:spacing w:val="-13"/>
          <w:sz w:val="22"/>
        </w:rPr>
        <w:t> </w:t>
      </w:r>
      <w:r>
        <w:rPr>
          <w:sz w:val="22"/>
        </w:rPr>
        <w:t>y</w:t>
      </w:r>
      <w:r>
        <w:rPr>
          <w:spacing w:val="-14"/>
          <w:sz w:val="22"/>
        </w:rPr>
        <w:t> </w:t>
      </w:r>
      <w:r>
        <w:rPr>
          <w:sz w:val="22"/>
        </w:rPr>
        <w:t>valores</w:t>
      </w:r>
      <w:r>
        <w:rPr>
          <w:spacing w:val="-12"/>
          <w:sz w:val="22"/>
        </w:rPr>
        <w:t> </w:t>
      </w:r>
      <w:r>
        <w:rPr>
          <w:sz w:val="22"/>
        </w:rPr>
        <w:t>de</w:t>
      </w:r>
      <w:r>
        <w:rPr>
          <w:spacing w:val="-12"/>
          <w:sz w:val="22"/>
        </w:rPr>
        <w:t> </w:t>
      </w:r>
      <w:r>
        <w:rPr>
          <w:sz w:val="22"/>
        </w:rPr>
        <w:t>deuda</w:t>
      </w:r>
      <w:r>
        <w:rPr>
          <w:spacing w:val="-13"/>
          <w:sz w:val="22"/>
        </w:rPr>
        <w:t> </w:t>
      </w:r>
      <w:r>
        <w:rPr>
          <w:sz w:val="22"/>
        </w:rPr>
        <w:t>pública:</w:t>
      </w:r>
      <w:r>
        <w:rPr>
          <w:spacing w:val="-12"/>
          <w:sz w:val="22"/>
        </w:rPr>
        <w:t> </w:t>
      </w:r>
      <w:r>
        <w:rPr>
          <w:sz w:val="22"/>
        </w:rPr>
        <w:t>Se</w:t>
      </w:r>
      <w:r>
        <w:rPr>
          <w:spacing w:val="-12"/>
          <w:sz w:val="22"/>
        </w:rPr>
        <w:t> </w:t>
      </w:r>
      <w:r>
        <w:rPr>
          <w:sz w:val="22"/>
        </w:rPr>
        <w:t>refiere</w:t>
      </w:r>
      <w:r>
        <w:rPr>
          <w:spacing w:val="-14"/>
          <w:sz w:val="22"/>
        </w:rPr>
        <w:t> </w:t>
      </w:r>
      <w:r>
        <w:rPr>
          <w:sz w:val="22"/>
        </w:rPr>
        <w:t>a</w:t>
      </w:r>
      <w:r>
        <w:rPr>
          <w:spacing w:val="-13"/>
          <w:sz w:val="22"/>
        </w:rPr>
        <w:t> </w:t>
      </w:r>
      <w:r>
        <w:rPr>
          <w:sz w:val="22"/>
        </w:rPr>
        <w:t>los</w:t>
      </w:r>
      <w:r>
        <w:rPr>
          <w:spacing w:val="-12"/>
          <w:sz w:val="22"/>
        </w:rPr>
        <w:t> </w:t>
      </w:r>
      <w:r>
        <w:rPr>
          <w:sz w:val="22"/>
        </w:rPr>
        <w:t>bonos,</w:t>
      </w:r>
      <w:r>
        <w:rPr>
          <w:spacing w:val="-13"/>
          <w:sz w:val="22"/>
        </w:rPr>
        <w:t> </w:t>
      </w:r>
      <w:r>
        <w:rPr>
          <w:sz w:val="22"/>
        </w:rPr>
        <w:t>letras</w:t>
      </w:r>
      <w:r>
        <w:rPr>
          <w:spacing w:val="-12"/>
          <w:sz w:val="22"/>
        </w:rPr>
        <w:t> </w:t>
      </w:r>
      <w:r>
        <w:rPr>
          <w:sz w:val="22"/>
        </w:rPr>
        <w:t>del</w:t>
      </w:r>
      <w:r>
        <w:rPr>
          <w:spacing w:val="-13"/>
          <w:sz w:val="22"/>
        </w:rPr>
        <w:t> </w:t>
      </w:r>
      <w:r>
        <w:rPr>
          <w:sz w:val="22"/>
        </w:rPr>
        <w:t>tesoro</w:t>
      </w:r>
      <w:r>
        <w:rPr>
          <w:spacing w:val="-12"/>
          <w:sz w:val="22"/>
        </w:rPr>
        <w:t> </w:t>
      </w:r>
      <w:r>
        <w:rPr>
          <w:sz w:val="22"/>
        </w:rPr>
        <w:t>u</w:t>
      </w:r>
      <w:r>
        <w:rPr>
          <w:spacing w:val="-14"/>
          <w:sz w:val="22"/>
        </w:rPr>
        <w:t> </w:t>
      </w:r>
      <w:r>
        <w:rPr>
          <w:sz w:val="22"/>
        </w:rPr>
        <w:t>otros</w:t>
      </w:r>
      <w:r>
        <w:rPr>
          <w:spacing w:val="-14"/>
          <w:sz w:val="22"/>
        </w:rPr>
        <w:t> </w:t>
      </w:r>
      <w:r>
        <w:rPr>
          <w:sz w:val="22"/>
        </w:rPr>
        <w:t>instrumentos emitidos</w:t>
      </w:r>
      <w:r>
        <w:rPr>
          <w:spacing w:val="-6"/>
          <w:sz w:val="22"/>
        </w:rPr>
        <w:t> </w:t>
      </w:r>
      <w:r>
        <w:rPr>
          <w:sz w:val="22"/>
        </w:rPr>
        <w:t>por</w:t>
      </w:r>
      <w:r>
        <w:rPr>
          <w:spacing w:val="-7"/>
          <w:sz w:val="22"/>
        </w:rPr>
        <w:t> </w:t>
      </w:r>
      <w:r>
        <w:rPr>
          <w:sz w:val="22"/>
        </w:rPr>
        <w:t>el</w:t>
      </w:r>
      <w:r>
        <w:rPr>
          <w:spacing w:val="-8"/>
          <w:sz w:val="22"/>
        </w:rPr>
        <w:t> </w:t>
      </w:r>
      <w:r>
        <w:rPr>
          <w:sz w:val="22"/>
        </w:rPr>
        <w:t>Estado,</w:t>
      </w:r>
      <w:r>
        <w:rPr>
          <w:spacing w:val="-7"/>
          <w:sz w:val="22"/>
        </w:rPr>
        <w:t> </w:t>
      </w:r>
      <w:r>
        <w:rPr>
          <w:sz w:val="22"/>
        </w:rPr>
        <w:t>ya</w:t>
      </w:r>
      <w:r>
        <w:rPr>
          <w:spacing w:val="-8"/>
          <w:sz w:val="22"/>
        </w:rPr>
        <w:t> </w:t>
      </w:r>
      <w:r>
        <w:rPr>
          <w:sz w:val="22"/>
        </w:rPr>
        <w:t>sea</w:t>
      </w:r>
      <w:r>
        <w:rPr>
          <w:spacing w:val="-8"/>
          <w:sz w:val="22"/>
        </w:rPr>
        <w:t> </w:t>
      </w:r>
      <w:r>
        <w:rPr>
          <w:sz w:val="22"/>
        </w:rPr>
        <w:t>en</w:t>
      </w:r>
      <w:r>
        <w:rPr>
          <w:spacing w:val="-9"/>
          <w:sz w:val="22"/>
        </w:rPr>
        <w:t> </w:t>
      </w:r>
      <w:r>
        <w:rPr>
          <w:sz w:val="22"/>
        </w:rPr>
        <w:t>moneda</w:t>
      </w:r>
      <w:r>
        <w:rPr>
          <w:spacing w:val="-8"/>
          <w:sz w:val="22"/>
        </w:rPr>
        <w:t> </w:t>
      </w:r>
      <w:r>
        <w:rPr>
          <w:sz w:val="22"/>
        </w:rPr>
        <w:t>nacional</w:t>
      </w:r>
      <w:r>
        <w:rPr>
          <w:spacing w:val="-8"/>
          <w:sz w:val="22"/>
        </w:rPr>
        <w:t> </w:t>
      </w:r>
      <w:r>
        <w:rPr>
          <w:sz w:val="22"/>
        </w:rPr>
        <w:t>o</w:t>
      </w:r>
      <w:r>
        <w:rPr>
          <w:spacing w:val="-6"/>
          <w:sz w:val="22"/>
        </w:rPr>
        <w:t> </w:t>
      </w:r>
      <w:r>
        <w:rPr>
          <w:sz w:val="22"/>
        </w:rPr>
        <w:t>extranjera,</w:t>
      </w:r>
      <w:r>
        <w:rPr>
          <w:spacing w:val="-7"/>
          <w:sz w:val="22"/>
        </w:rPr>
        <w:t> </w:t>
      </w:r>
      <w:r>
        <w:rPr>
          <w:sz w:val="22"/>
        </w:rPr>
        <w:t>con</w:t>
      </w:r>
      <w:r>
        <w:rPr>
          <w:spacing w:val="-7"/>
          <w:sz w:val="22"/>
        </w:rPr>
        <w:t> </w:t>
      </w:r>
      <w:r>
        <w:rPr>
          <w:sz w:val="22"/>
        </w:rPr>
        <w:t>el</w:t>
      </w:r>
      <w:r>
        <w:rPr>
          <w:spacing w:val="-8"/>
          <w:sz w:val="22"/>
        </w:rPr>
        <w:t> </w:t>
      </w:r>
      <w:r>
        <w:rPr>
          <w:sz w:val="22"/>
        </w:rPr>
        <w:t>fin</w:t>
      </w:r>
      <w:r>
        <w:rPr>
          <w:spacing w:val="-7"/>
          <w:sz w:val="22"/>
        </w:rPr>
        <w:t> </w:t>
      </w:r>
      <w:r>
        <w:rPr>
          <w:sz w:val="22"/>
        </w:rPr>
        <w:t>de</w:t>
      </w:r>
      <w:r>
        <w:rPr>
          <w:spacing w:val="-6"/>
          <w:sz w:val="22"/>
        </w:rPr>
        <w:t> </w:t>
      </w:r>
      <w:r>
        <w:rPr>
          <w:sz w:val="22"/>
        </w:rPr>
        <w:t>obtener</w:t>
      </w:r>
      <w:r>
        <w:rPr>
          <w:spacing w:val="-7"/>
          <w:sz w:val="22"/>
        </w:rPr>
        <w:t> </w:t>
      </w:r>
      <w:r>
        <w:rPr>
          <w:sz w:val="22"/>
        </w:rPr>
        <w:t>financia-miento a través de su colocación en los mercados financieros.</w:t>
      </w:r>
    </w:p>
    <w:p>
      <w:pPr>
        <w:pStyle w:val="ListParagraph"/>
        <w:numPr>
          <w:ilvl w:val="0"/>
          <w:numId w:val="107"/>
        </w:numPr>
        <w:tabs>
          <w:tab w:pos="1342" w:val="left" w:leader="none"/>
        </w:tabs>
        <w:spacing w:line="276" w:lineRule="auto" w:before="5" w:after="0"/>
        <w:ind w:left="1342" w:right="977" w:hanging="360"/>
        <w:jc w:val="both"/>
        <w:rPr>
          <w:sz w:val="22"/>
        </w:rPr>
      </w:pPr>
      <w:r>
        <w:rPr>
          <w:sz w:val="22"/>
        </w:rPr>
        <w:t>Préstamos</w:t>
      </w:r>
      <w:r>
        <w:rPr>
          <w:spacing w:val="-1"/>
          <w:sz w:val="22"/>
        </w:rPr>
        <w:t> </w:t>
      </w:r>
      <w:r>
        <w:rPr>
          <w:sz w:val="22"/>
        </w:rPr>
        <w:t>de</w:t>
      </w:r>
      <w:r>
        <w:rPr>
          <w:spacing w:val="-1"/>
          <w:sz w:val="22"/>
        </w:rPr>
        <w:t> </w:t>
      </w:r>
      <w:r>
        <w:rPr>
          <w:sz w:val="22"/>
        </w:rPr>
        <w:t>organismos nacionales</w:t>
      </w:r>
      <w:r>
        <w:rPr>
          <w:spacing w:val="-1"/>
          <w:sz w:val="22"/>
        </w:rPr>
        <w:t> </w:t>
      </w:r>
      <w:r>
        <w:rPr>
          <w:sz w:val="22"/>
        </w:rPr>
        <w:t>e</w:t>
      </w:r>
      <w:r>
        <w:rPr>
          <w:spacing w:val="-1"/>
          <w:sz w:val="22"/>
        </w:rPr>
        <w:t> </w:t>
      </w:r>
      <w:r>
        <w:rPr>
          <w:sz w:val="22"/>
        </w:rPr>
        <w:t>internacionales:</w:t>
      </w:r>
      <w:r>
        <w:rPr>
          <w:spacing w:val="-1"/>
          <w:sz w:val="22"/>
        </w:rPr>
        <w:t> </w:t>
      </w:r>
      <w:r>
        <w:rPr>
          <w:sz w:val="22"/>
        </w:rPr>
        <w:t>Comprende los créditos</w:t>
      </w:r>
      <w:r>
        <w:rPr>
          <w:spacing w:val="-1"/>
          <w:sz w:val="22"/>
        </w:rPr>
        <w:t> </w:t>
      </w:r>
      <w:r>
        <w:rPr>
          <w:sz w:val="22"/>
        </w:rPr>
        <w:t>obtenidos de organismos como bancos de desarrollo, instituciones multilaterales o gobiernos extranjeros, tanto en moneda nacional como extranjera, que se destinan a financiar diversos proyectos o necesidades fiscales del gobierno.</w:t>
      </w:r>
    </w:p>
    <w:p>
      <w:pPr>
        <w:pStyle w:val="ListParagraph"/>
        <w:numPr>
          <w:ilvl w:val="0"/>
          <w:numId w:val="107"/>
        </w:numPr>
        <w:tabs>
          <w:tab w:pos="1342" w:val="left" w:leader="none"/>
        </w:tabs>
        <w:spacing w:line="276" w:lineRule="auto" w:before="0" w:after="0"/>
        <w:ind w:left="1342" w:right="976" w:hanging="360"/>
        <w:jc w:val="both"/>
        <w:rPr>
          <w:sz w:val="22"/>
        </w:rPr>
      </w:pPr>
      <w:r>
        <w:rPr>
          <w:sz w:val="22"/>
        </w:rPr>
        <w:t>Deudas</w:t>
      </w:r>
      <w:r>
        <w:rPr>
          <w:spacing w:val="-5"/>
          <w:sz w:val="22"/>
        </w:rPr>
        <w:t> </w:t>
      </w:r>
      <w:r>
        <w:rPr>
          <w:sz w:val="22"/>
        </w:rPr>
        <w:t>asumidas</w:t>
      </w:r>
      <w:r>
        <w:rPr>
          <w:spacing w:val="-5"/>
          <w:sz w:val="22"/>
        </w:rPr>
        <w:t> </w:t>
      </w:r>
      <w:r>
        <w:rPr>
          <w:sz w:val="22"/>
        </w:rPr>
        <w:t>por</w:t>
      </w:r>
      <w:r>
        <w:rPr>
          <w:spacing w:val="-5"/>
          <w:sz w:val="22"/>
        </w:rPr>
        <w:t> </w:t>
      </w:r>
      <w:r>
        <w:rPr>
          <w:sz w:val="22"/>
        </w:rPr>
        <w:t>actos</w:t>
      </w:r>
      <w:r>
        <w:rPr>
          <w:spacing w:val="-5"/>
          <w:sz w:val="22"/>
        </w:rPr>
        <w:t> </w:t>
      </w:r>
      <w:r>
        <w:rPr>
          <w:sz w:val="22"/>
        </w:rPr>
        <w:t>administrativos:</w:t>
      </w:r>
      <w:r>
        <w:rPr>
          <w:spacing w:val="-5"/>
          <w:sz w:val="22"/>
        </w:rPr>
        <w:t> </w:t>
      </w:r>
      <w:r>
        <w:rPr>
          <w:sz w:val="22"/>
        </w:rPr>
        <w:t>Incluye</w:t>
      </w:r>
      <w:r>
        <w:rPr>
          <w:spacing w:val="-5"/>
          <w:sz w:val="22"/>
        </w:rPr>
        <w:t> </w:t>
      </w:r>
      <w:r>
        <w:rPr>
          <w:sz w:val="22"/>
        </w:rPr>
        <w:t>las</w:t>
      </w:r>
      <w:r>
        <w:rPr>
          <w:spacing w:val="-7"/>
          <w:sz w:val="22"/>
        </w:rPr>
        <w:t> </w:t>
      </w:r>
      <w:r>
        <w:rPr>
          <w:sz w:val="22"/>
        </w:rPr>
        <w:t>obligaciones</w:t>
      </w:r>
      <w:r>
        <w:rPr>
          <w:spacing w:val="-5"/>
          <w:sz w:val="22"/>
        </w:rPr>
        <w:t> </w:t>
      </w:r>
      <w:r>
        <w:rPr>
          <w:sz w:val="22"/>
        </w:rPr>
        <w:t>que,</w:t>
      </w:r>
      <w:r>
        <w:rPr>
          <w:spacing w:val="-6"/>
          <w:sz w:val="22"/>
        </w:rPr>
        <w:t> </w:t>
      </w:r>
      <w:r>
        <w:rPr>
          <w:sz w:val="22"/>
        </w:rPr>
        <w:t>de</w:t>
      </w:r>
      <w:r>
        <w:rPr>
          <w:spacing w:val="-5"/>
          <w:sz w:val="22"/>
        </w:rPr>
        <w:t> </w:t>
      </w:r>
      <w:r>
        <w:rPr>
          <w:sz w:val="22"/>
        </w:rPr>
        <w:t>acuerdo</w:t>
      </w:r>
      <w:r>
        <w:rPr>
          <w:spacing w:val="-5"/>
          <w:sz w:val="22"/>
        </w:rPr>
        <w:t> </w:t>
      </w:r>
      <w:r>
        <w:rPr>
          <w:sz w:val="22"/>
        </w:rPr>
        <w:t>con</w:t>
      </w:r>
      <w:r>
        <w:rPr>
          <w:spacing w:val="-5"/>
          <w:sz w:val="22"/>
        </w:rPr>
        <w:t> </w:t>
      </w:r>
      <w:r>
        <w:rPr>
          <w:sz w:val="22"/>
        </w:rPr>
        <w:t>nor-mas legales o actos administrativos, son asumidas por el Estado o entidades estatales, aun cuando inicialmente no eran su responsabilidad. Esto abarca casos en los cuales el gobierno asume</w:t>
      </w:r>
      <w:r>
        <w:rPr>
          <w:spacing w:val="-12"/>
          <w:sz w:val="22"/>
        </w:rPr>
        <w:t> </w:t>
      </w:r>
      <w:r>
        <w:rPr>
          <w:sz w:val="22"/>
        </w:rPr>
        <w:t>la</w:t>
      </w:r>
      <w:r>
        <w:rPr>
          <w:spacing w:val="-14"/>
          <w:sz w:val="22"/>
        </w:rPr>
        <w:t> </w:t>
      </w:r>
      <w:r>
        <w:rPr>
          <w:sz w:val="22"/>
        </w:rPr>
        <w:t>deuda</w:t>
      </w:r>
      <w:r>
        <w:rPr>
          <w:spacing w:val="-13"/>
          <w:sz w:val="22"/>
        </w:rPr>
        <w:t> </w:t>
      </w:r>
      <w:r>
        <w:rPr>
          <w:sz w:val="22"/>
        </w:rPr>
        <w:t>de</w:t>
      </w:r>
      <w:r>
        <w:rPr>
          <w:spacing w:val="-12"/>
          <w:sz w:val="22"/>
        </w:rPr>
        <w:t> </w:t>
      </w:r>
      <w:r>
        <w:rPr>
          <w:sz w:val="22"/>
        </w:rPr>
        <w:t>terceros</w:t>
      </w:r>
      <w:r>
        <w:rPr>
          <w:spacing w:val="-14"/>
          <w:sz w:val="22"/>
        </w:rPr>
        <w:t> </w:t>
      </w:r>
      <w:r>
        <w:rPr>
          <w:sz w:val="22"/>
        </w:rPr>
        <w:t>por</w:t>
      </w:r>
      <w:r>
        <w:rPr>
          <w:spacing w:val="-12"/>
          <w:sz w:val="22"/>
        </w:rPr>
        <w:t> </w:t>
      </w:r>
      <w:r>
        <w:rPr>
          <w:sz w:val="22"/>
        </w:rPr>
        <w:t>razones</w:t>
      </w:r>
      <w:r>
        <w:rPr>
          <w:spacing w:val="-12"/>
          <w:sz w:val="22"/>
        </w:rPr>
        <w:t> </w:t>
      </w:r>
      <w:r>
        <w:rPr>
          <w:sz w:val="22"/>
        </w:rPr>
        <w:t>de</w:t>
      </w:r>
      <w:r>
        <w:rPr>
          <w:spacing w:val="-12"/>
          <w:sz w:val="22"/>
        </w:rPr>
        <w:t> </w:t>
      </w:r>
      <w:r>
        <w:rPr>
          <w:sz w:val="22"/>
        </w:rPr>
        <w:t>interés</w:t>
      </w:r>
      <w:r>
        <w:rPr>
          <w:spacing w:val="-12"/>
          <w:sz w:val="22"/>
        </w:rPr>
        <w:t> </w:t>
      </w:r>
      <w:r>
        <w:rPr>
          <w:sz w:val="22"/>
        </w:rPr>
        <w:t>público</w:t>
      </w:r>
      <w:r>
        <w:rPr>
          <w:spacing w:val="-12"/>
          <w:sz w:val="22"/>
        </w:rPr>
        <w:t> </w:t>
      </w:r>
      <w:r>
        <w:rPr>
          <w:sz w:val="22"/>
        </w:rPr>
        <w:t>o</w:t>
      </w:r>
      <w:r>
        <w:rPr>
          <w:spacing w:val="-12"/>
          <w:sz w:val="22"/>
        </w:rPr>
        <w:t> </w:t>
      </w:r>
      <w:r>
        <w:rPr>
          <w:sz w:val="22"/>
        </w:rPr>
        <w:t>en</w:t>
      </w:r>
      <w:r>
        <w:rPr>
          <w:spacing w:val="-13"/>
          <w:sz w:val="22"/>
        </w:rPr>
        <w:t> </w:t>
      </w:r>
      <w:r>
        <w:rPr>
          <w:sz w:val="22"/>
        </w:rPr>
        <w:t>cumplimiento</w:t>
      </w:r>
      <w:r>
        <w:rPr>
          <w:spacing w:val="-12"/>
          <w:sz w:val="22"/>
        </w:rPr>
        <w:t> </w:t>
      </w:r>
      <w:r>
        <w:rPr>
          <w:sz w:val="22"/>
        </w:rPr>
        <w:t>de</w:t>
      </w:r>
      <w:r>
        <w:rPr>
          <w:spacing w:val="-12"/>
          <w:sz w:val="22"/>
        </w:rPr>
        <w:t> </w:t>
      </w:r>
      <w:r>
        <w:rPr>
          <w:sz w:val="22"/>
        </w:rPr>
        <w:t>disposiciones </w:t>
      </w:r>
      <w:r>
        <w:rPr>
          <w:spacing w:val="-2"/>
          <w:sz w:val="22"/>
        </w:rPr>
        <w:t>legales.</w:t>
      </w:r>
    </w:p>
    <w:p>
      <w:pPr>
        <w:pStyle w:val="ListParagraph"/>
        <w:numPr>
          <w:ilvl w:val="0"/>
          <w:numId w:val="107"/>
        </w:numPr>
        <w:tabs>
          <w:tab w:pos="1342" w:val="left" w:leader="none"/>
        </w:tabs>
        <w:spacing w:line="276" w:lineRule="auto" w:before="0" w:after="0"/>
        <w:ind w:left="1342" w:right="975" w:hanging="360"/>
        <w:jc w:val="both"/>
        <w:rPr>
          <w:sz w:val="22"/>
        </w:rPr>
      </w:pPr>
      <w:r>
        <w:rPr>
          <w:sz w:val="22"/>
        </w:rPr>
        <w:t>Endeudamiento de la tesorería a largo plazo: Se refiere a las obligaciones adquiridas por el gobierno</w:t>
      </w:r>
      <w:r>
        <w:rPr>
          <w:spacing w:val="-9"/>
          <w:sz w:val="22"/>
        </w:rPr>
        <w:t> </w:t>
      </w:r>
      <w:r>
        <w:rPr>
          <w:sz w:val="22"/>
        </w:rPr>
        <w:t>central</w:t>
      </w:r>
      <w:r>
        <w:rPr>
          <w:spacing w:val="-11"/>
          <w:sz w:val="22"/>
        </w:rPr>
        <w:t> </w:t>
      </w:r>
      <w:r>
        <w:rPr>
          <w:sz w:val="22"/>
        </w:rPr>
        <w:t>a</w:t>
      </w:r>
      <w:r>
        <w:rPr>
          <w:spacing w:val="-10"/>
          <w:sz w:val="22"/>
        </w:rPr>
        <w:t> </w:t>
      </w:r>
      <w:r>
        <w:rPr>
          <w:sz w:val="22"/>
        </w:rPr>
        <w:t>través</w:t>
      </w:r>
      <w:r>
        <w:rPr>
          <w:spacing w:val="-9"/>
          <w:sz w:val="22"/>
        </w:rPr>
        <w:t> </w:t>
      </w:r>
      <w:r>
        <w:rPr>
          <w:sz w:val="22"/>
        </w:rPr>
        <w:t>de</w:t>
      </w:r>
      <w:r>
        <w:rPr>
          <w:spacing w:val="-11"/>
          <w:sz w:val="22"/>
        </w:rPr>
        <w:t> </w:t>
      </w:r>
      <w:r>
        <w:rPr>
          <w:sz w:val="22"/>
        </w:rPr>
        <w:t>instrumentos</w:t>
      </w:r>
      <w:r>
        <w:rPr>
          <w:spacing w:val="-9"/>
          <w:sz w:val="22"/>
        </w:rPr>
        <w:t> </w:t>
      </w:r>
      <w:r>
        <w:rPr>
          <w:sz w:val="22"/>
        </w:rPr>
        <w:t>financieros</w:t>
      </w:r>
      <w:r>
        <w:rPr>
          <w:spacing w:val="-9"/>
          <w:sz w:val="22"/>
        </w:rPr>
        <w:t> </w:t>
      </w:r>
      <w:r>
        <w:rPr>
          <w:sz w:val="22"/>
        </w:rPr>
        <w:t>a</w:t>
      </w:r>
      <w:r>
        <w:rPr>
          <w:spacing w:val="-10"/>
          <w:sz w:val="22"/>
        </w:rPr>
        <w:t> </w:t>
      </w:r>
      <w:r>
        <w:rPr>
          <w:sz w:val="22"/>
        </w:rPr>
        <w:t>largo</w:t>
      </w:r>
      <w:r>
        <w:rPr>
          <w:spacing w:val="-9"/>
          <w:sz w:val="22"/>
        </w:rPr>
        <w:t> </w:t>
      </w:r>
      <w:r>
        <w:rPr>
          <w:sz w:val="22"/>
        </w:rPr>
        <w:t>plazo.</w:t>
      </w:r>
      <w:r>
        <w:rPr>
          <w:spacing w:val="-9"/>
          <w:sz w:val="22"/>
        </w:rPr>
        <w:t> </w:t>
      </w:r>
      <w:r>
        <w:rPr>
          <w:sz w:val="22"/>
        </w:rPr>
        <w:t>Es</w:t>
      </w:r>
      <w:r>
        <w:rPr>
          <w:spacing w:val="-9"/>
          <w:sz w:val="22"/>
        </w:rPr>
        <w:t> </w:t>
      </w:r>
      <w:r>
        <w:rPr>
          <w:sz w:val="22"/>
        </w:rPr>
        <w:t>importante</w:t>
      </w:r>
      <w:r>
        <w:rPr>
          <w:spacing w:val="-8"/>
          <w:sz w:val="22"/>
        </w:rPr>
        <w:t> </w:t>
      </w:r>
      <w:r>
        <w:rPr>
          <w:sz w:val="22"/>
        </w:rPr>
        <w:t>destacar</w:t>
      </w:r>
      <w:r>
        <w:rPr>
          <w:spacing w:val="-10"/>
          <w:sz w:val="22"/>
        </w:rPr>
        <w:t> </w:t>
      </w:r>
      <w:r>
        <w:rPr>
          <w:sz w:val="22"/>
        </w:rPr>
        <w:t>que en</w:t>
      </w:r>
      <w:r>
        <w:rPr>
          <w:spacing w:val="-10"/>
          <w:sz w:val="22"/>
        </w:rPr>
        <w:t> </w:t>
      </w:r>
      <w:r>
        <w:rPr>
          <w:sz w:val="22"/>
        </w:rPr>
        <w:t>este</w:t>
      </w:r>
      <w:r>
        <w:rPr>
          <w:spacing w:val="-7"/>
          <w:sz w:val="22"/>
        </w:rPr>
        <w:t> </w:t>
      </w:r>
      <w:r>
        <w:rPr>
          <w:sz w:val="22"/>
        </w:rPr>
        <w:t>concepto</w:t>
      </w:r>
      <w:r>
        <w:rPr>
          <w:spacing w:val="-10"/>
          <w:sz w:val="22"/>
        </w:rPr>
        <w:t> </w:t>
      </w:r>
      <w:r>
        <w:rPr>
          <w:sz w:val="22"/>
        </w:rPr>
        <w:t>no</w:t>
      </w:r>
      <w:r>
        <w:rPr>
          <w:spacing w:val="-10"/>
          <w:sz w:val="22"/>
        </w:rPr>
        <w:t> </w:t>
      </w:r>
      <w:r>
        <w:rPr>
          <w:sz w:val="22"/>
        </w:rPr>
        <w:t>se</w:t>
      </w:r>
      <w:r>
        <w:rPr>
          <w:spacing w:val="-7"/>
          <w:sz w:val="22"/>
        </w:rPr>
        <w:t> </w:t>
      </w:r>
      <w:r>
        <w:rPr>
          <w:sz w:val="22"/>
        </w:rPr>
        <w:t>incluyen</w:t>
      </w:r>
      <w:r>
        <w:rPr>
          <w:spacing w:val="-8"/>
          <w:sz w:val="22"/>
        </w:rPr>
        <w:t> </w:t>
      </w:r>
      <w:r>
        <w:rPr>
          <w:sz w:val="22"/>
        </w:rPr>
        <w:t>las</w:t>
      </w:r>
      <w:r>
        <w:rPr>
          <w:spacing w:val="-9"/>
          <w:sz w:val="22"/>
        </w:rPr>
        <w:t> </w:t>
      </w:r>
      <w:r>
        <w:rPr>
          <w:sz w:val="22"/>
        </w:rPr>
        <w:t>deudas</w:t>
      </w:r>
      <w:r>
        <w:rPr>
          <w:spacing w:val="-9"/>
          <w:sz w:val="22"/>
        </w:rPr>
        <w:t> </w:t>
      </w:r>
      <w:r>
        <w:rPr>
          <w:sz w:val="22"/>
        </w:rPr>
        <w:t>comerciales,</w:t>
      </w:r>
      <w:r>
        <w:rPr>
          <w:spacing w:val="-13"/>
          <w:sz w:val="22"/>
        </w:rPr>
        <w:t> </w:t>
      </w:r>
      <w:r>
        <w:rPr>
          <w:sz w:val="22"/>
        </w:rPr>
        <w:t>como</w:t>
      </w:r>
      <w:r>
        <w:rPr>
          <w:spacing w:val="-7"/>
          <w:sz w:val="22"/>
        </w:rPr>
        <w:t> </w:t>
      </w:r>
      <w:r>
        <w:rPr>
          <w:sz w:val="22"/>
        </w:rPr>
        <w:t>aquellas</w:t>
      </w:r>
      <w:r>
        <w:rPr>
          <w:spacing w:val="-7"/>
          <w:sz w:val="22"/>
        </w:rPr>
        <w:t> </w:t>
      </w:r>
      <w:r>
        <w:rPr>
          <w:sz w:val="22"/>
        </w:rPr>
        <w:t>derivadas</w:t>
      </w:r>
      <w:r>
        <w:rPr>
          <w:spacing w:val="-9"/>
          <w:sz w:val="22"/>
        </w:rPr>
        <w:t> </w:t>
      </w:r>
      <w:r>
        <w:rPr>
          <w:sz w:val="22"/>
        </w:rPr>
        <w:t>de</w:t>
      </w:r>
      <w:r>
        <w:rPr>
          <w:spacing w:val="-12"/>
          <w:sz w:val="22"/>
        </w:rPr>
        <w:t> </w:t>
      </w:r>
      <w:r>
        <w:rPr>
          <w:sz w:val="22"/>
        </w:rPr>
        <w:t>la</w:t>
      </w:r>
      <w:r>
        <w:rPr>
          <w:spacing w:val="-9"/>
          <w:sz w:val="22"/>
        </w:rPr>
        <w:t> </w:t>
      </w:r>
      <w:r>
        <w:rPr>
          <w:sz w:val="22"/>
        </w:rPr>
        <w:t>compra de bienes y servicios, ni los pasivos laborales, como los pagos pendientes por concepto de salarios, prestaciones sociales y otras obligaciones de personal.</w:t>
      </w:r>
    </w:p>
    <w:p>
      <w:pPr>
        <w:pStyle w:val="BodyText"/>
        <w:spacing w:before="31"/>
      </w:pPr>
    </w:p>
    <w:p>
      <w:pPr>
        <w:pStyle w:val="BodyText"/>
        <w:ind w:left="1342"/>
      </w:pPr>
      <w:r>
        <w:rPr/>
        <w:t>A</w:t>
      </w:r>
      <w:r>
        <w:rPr>
          <w:spacing w:val="-2"/>
        </w:rPr>
        <w:t> </w:t>
      </w:r>
      <w:r>
        <w:rPr/>
        <w:t>la</w:t>
      </w:r>
      <w:r>
        <w:rPr>
          <w:spacing w:val="-3"/>
        </w:rPr>
        <w:t> </w:t>
      </w:r>
      <w:r>
        <w:rPr/>
        <w:t>fecha</w:t>
      </w:r>
      <w:r>
        <w:rPr>
          <w:spacing w:val="-5"/>
        </w:rPr>
        <w:t> </w:t>
      </w:r>
      <w:r>
        <w:rPr/>
        <w:t>que se</w:t>
      </w:r>
      <w:r>
        <w:rPr>
          <w:spacing w:val="-1"/>
        </w:rPr>
        <w:t> </w:t>
      </w:r>
      <w:r>
        <w:rPr/>
        <w:t>informa</w:t>
      </w:r>
      <w:r>
        <w:rPr>
          <w:spacing w:val="-3"/>
        </w:rPr>
        <w:t> </w:t>
      </w:r>
      <w:r>
        <w:rPr/>
        <w:t>el</w:t>
      </w:r>
      <w:r>
        <w:rPr>
          <w:spacing w:val="-4"/>
        </w:rPr>
        <w:t> </w:t>
      </w:r>
      <w:r>
        <w:rPr/>
        <w:t>IMAS</w:t>
      </w:r>
      <w:r>
        <w:rPr>
          <w:spacing w:val="-4"/>
        </w:rPr>
        <w:t> </w:t>
      </w:r>
      <w:r>
        <w:rPr/>
        <w:t>no</w:t>
      </w:r>
      <w:r>
        <w:rPr>
          <w:spacing w:val="-4"/>
        </w:rPr>
        <w:t> </w:t>
      </w:r>
      <w:r>
        <w:rPr/>
        <w:t>tiene</w:t>
      </w:r>
      <w:r>
        <w:rPr>
          <w:spacing w:val="-3"/>
        </w:rPr>
        <w:t> </w:t>
      </w:r>
      <w:r>
        <w:rPr>
          <w:spacing w:val="-2"/>
        </w:rPr>
        <w:t>endeudamiento.</w:t>
      </w:r>
    </w:p>
    <w:p>
      <w:pPr>
        <w:pStyle w:val="BodyText"/>
        <w:spacing w:after="0"/>
        <w:sectPr>
          <w:pgSz w:w="12240" w:h="15840"/>
          <w:pgMar w:top="1720" w:bottom="28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81248">
                <wp:simplePos x="0" y="0"/>
                <wp:positionH relativeFrom="page">
                  <wp:posOffset>9525</wp:posOffset>
                </wp:positionH>
                <wp:positionV relativeFrom="page">
                  <wp:posOffset>297210</wp:posOffset>
                </wp:positionV>
                <wp:extent cx="7762875" cy="9748520"/>
                <wp:effectExtent l="0" t="0" r="0" b="0"/>
                <wp:wrapNone/>
                <wp:docPr id="1277" name="Group 1277"/>
                <wp:cNvGraphicFramePr>
                  <a:graphicFrameLocks/>
                </wp:cNvGraphicFramePr>
                <a:graphic>
                  <a:graphicData uri="http://schemas.microsoft.com/office/word/2010/wordprocessingGroup">
                    <wpg:wgp>
                      <wpg:cNvPr id="1277" name="Group 1277"/>
                      <wpg:cNvGrpSpPr/>
                      <wpg:grpSpPr>
                        <a:xfrm>
                          <a:off x="0" y="0"/>
                          <a:ext cx="7762875" cy="9748520"/>
                          <a:chExt cx="7762875" cy="9748520"/>
                        </a:xfrm>
                      </wpg:grpSpPr>
                      <pic:pic>
                        <pic:nvPicPr>
                          <pic:cNvPr id="1278" name="Image 1278"/>
                          <pic:cNvPicPr/>
                        </pic:nvPicPr>
                        <pic:blipFill>
                          <a:blip r:embed="rId5" cstate="print"/>
                          <a:stretch>
                            <a:fillRect/>
                          </a:stretch>
                        </pic:blipFill>
                        <pic:spPr>
                          <a:xfrm>
                            <a:off x="0" y="0"/>
                            <a:ext cx="7762875" cy="9748488"/>
                          </a:xfrm>
                          <a:prstGeom prst="rect">
                            <a:avLst/>
                          </a:prstGeom>
                        </pic:spPr>
                      </pic:pic>
                      <wps:wsp>
                        <wps:cNvPr id="1279" name="Graphic 1279"/>
                        <wps:cNvSpPr/>
                        <wps:spPr>
                          <a:xfrm>
                            <a:off x="1053007" y="990824"/>
                            <a:ext cx="5649595" cy="9525"/>
                          </a:xfrm>
                          <a:custGeom>
                            <a:avLst/>
                            <a:gdLst/>
                            <a:ahLst/>
                            <a:cxnLst/>
                            <a:rect l="l" t="t" r="r" b="b"/>
                            <a:pathLst>
                              <a:path w="5649595" h="9525">
                                <a:moveTo>
                                  <a:pt x="5649214" y="0"/>
                                </a:moveTo>
                                <a:lnTo>
                                  <a:pt x="0" y="0"/>
                                </a:lnTo>
                                <a:lnTo>
                                  <a:pt x="0" y="9144"/>
                                </a:lnTo>
                                <a:lnTo>
                                  <a:pt x="5649214" y="9144"/>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pt;margin-top:23.402365pt;width:611.25pt;height:767.6pt;mso-position-horizontal-relative:page;mso-position-vertical-relative:page;z-index:-29535232" id="docshapegroup1219" coordorigin="15,468" coordsize="12225,15352">
                <v:shape style="position:absolute;left:15;top:468;width:12225;height:15352" type="#_x0000_t75" id="docshape1220" stroked="false">
                  <v:imagedata r:id="rId5" o:title=""/>
                </v:shape>
                <v:rect style="position:absolute;left:1673;top:2028;width:8897;height:15" id="docshape1221"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250</w:t>
      </w:r>
    </w:p>
    <w:p>
      <w:pPr>
        <w:pStyle w:val="BodyText"/>
        <w:spacing w:before="218"/>
        <w:ind w:left="1962" w:right="2320"/>
        <w:jc w:val="center"/>
      </w:pPr>
      <w:bookmarkStart w:name="_bookmark166" w:id="167"/>
      <w:bookmarkEnd w:id="167"/>
      <w:r>
        <w:rPr/>
      </w:r>
      <w:r>
        <w:rPr>
          <w:color w:val="1F3863"/>
        </w:rPr>
        <w:t>NOTAS</w:t>
      </w:r>
      <w:r>
        <w:rPr>
          <w:color w:val="1F3863"/>
          <w:spacing w:val="-7"/>
        </w:rPr>
        <w:t> </w:t>
      </w:r>
      <w:r>
        <w:rPr>
          <w:color w:val="1F3863"/>
        </w:rPr>
        <w:t>CONTABLES</w:t>
      </w:r>
      <w:r>
        <w:rPr>
          <w:color w:val="1F3863"/>
          <w:spacing w:val="-5"/>
        </w:rPr>
        <w:t> </w:t>
      </w:r>
      <w:r>
        <w:rPr>
          <w:color w:val="1F3863"/>
          <w:spacing w:val="-2"/>
        </w:rPr>
        <w:t>PARTICULARES</w:t>
      </w:r>
    </w:p>
    <w:p>
      <w:pPr>
        <w:spacing w:before="166"/>
        <w:ind w:left="622" w:right="0" w:firstLine="0"/>
        <w:jc w:val="both"/>
        <w:rPr>
          <w:b/>
          <w:sz w:val="22"/>
        </w:rPr>
      </w:pPr>
      <w:bookmarkStart w:name="_bookmark167" w:id="168"/>
      <w:bookmarkEnd w:id="168"/>
      <w:r>
        <w:rPr/>
      </w:r>
      <w:r>
        <w:rPr>
          <w:b/>
          <w:sz w:val="22"/>
        </w:rPr>
        <w:t>NOTA</w:t>
      </w:r>
      <w:r>
        <w:rPr>
          <w:b/>
          <w:spacing w:val="-3"/>
          <w:sz w:val="22"/>
        </w:rPr>
        <w:t> </w:t>
      </w:r>
      <w:r>
        <w:rPr>
          <w:b/>
          <w:sz w:val="22"/>
        </w:rPr>
        <w:t>N°</w:t>
      </w:r>
      <w:r>
        <w:rPr>
          <w:b/>
          <w:spacing w:val="-3"/>
          <w:sz w:val="22"/>
        </w:rPr>
        <w:t> </w:t>
      </w:r>
      <w:r>
        <w:rPr>
          <w:b/>
          <w:sz w:val="22"/>
        </w:rPr>
        <w:t>98</w:t>
      </w:r>
      <w:r>
        <w:rPr>
          <w:b/>
          <w:spacing w:val="-5"/>
          <w:sz w:val="22"/>
        </w:rPr>
        <w:t> </w:t>
      </w:r>
      <w:r>
        <w:rPr>
          <w:b/>
          <w:sz w:val="22"/>
        </w:rPr>
        <w:t>Revelaciones</w:t>
      </w:r>
      <w:r>
        <w:rPr>
          <w:b/>
          <w:spacing w:val="-4"/>
          <w:sz w:val="22"/>
        </w:rPr>
        <w:t> </w:t>
      </w:r>
      <w:r>
        <w:rPr>
          <w:b/>
          <w:spacing w:val="-2"/>
          <w:sz w:val="22"/>
        </w:rPr>
        <w:t>particulares</w:t>
      </w:r>
    </w:p>
    <w:p>
      <w:pPr>
        <w:pStyle w:val="BodyText"/>
        <w:rPr>
          <w:b/>
        </w:rPr>
      </w:pPr>
    </w:p>
    <w:p>
      <w:pPr>
        <w:pStyle w:val="BodyText"/>
        <w:spacing w:before="133"/>
        <w:rPr>
          <w:b/>
        </w:rPr>
      </w:pPr>
    </w:p>
    <w:p>
      <w:pPr>
        <w:pStyle w:val="BodyText"/>
        <w:spacing w:line="259" w:lineRule="auto"/>
        <w:ind w:left="602" w:right="957"/>
        <w:jc w:val="both"/>
      </w:pPr>
      <w:r>
        <w:rPr/>
        <w:t>Para</w:t>
      </w:r>
      <w:r>
        <w:rPr>
          <w:spacing w:val="-1"/>
        </w:rPr>
        <w:t> </w:t>
      </w:r>
      <w:r>
        <w:rPr/>
        <w:t>efectos de revelación la</w:t>
      </w:r>
      <w:r>
        <w:rPr>
          <w:spacing w:val="-1"/>
        </w:rPr>
        <w:t> </w:t>
      </w:r>
      <w:r>
        <w:rPr/>
        <w:t>entidad</w:t>
      </w:r>
      <w:r>
        <w:rPr>
          <w:spacing w:val="-1"/>
        </w:rPr>
        <w:t> </w:t>
      </w:r>
      <w:r>
        <w:rPr/>
        <w:t>utilizara</w:t>
      </w:r>
      <w:r>
        <w:rPr>
          <w:spacing w:val="-1"/>
        </w:rPr>
        <w:t> </w:t>
      </w:r>
      <w:r>
        <w:rPr/>
        <w:t>este espacio para</w:t>
      </w:r>
      <w:r>
        <w:rPr>
          <w:spacing w:val="-1"/>
        </w:rPr>
        <w:t> </w:t>
      </w:r>
      <w:r>
        <w:rPr/>
        <w:t>referirse a</w:t>
      </w:r>
      <w:r>
        <w:rPr>
          <w:spacing w:val="-1"/>
        </w:rPr>
        <w:t> </w:t>
      </w:r>
      <w:r>
        <w:rPr/>
        <w:t>señalar</w:t>
      </w:r>
      <w:r>
        <w:rPr>
          <w:spacing w:val="-1"/>
        </w:rPr>
        <w:t> </w:t>
      </w:r>
      <w:r>
        <w:rPr/>
        <w:t>políticas particulares transacciones</w:t>
      </w:r>
      <w:r>
        <w:rPr>
          <w:spacing w:val="-7"/>
        </w:rPr>
        <w:t> </w:t>
      </w:r>
      <w:r>
        <w:rPr/>
        <w:t>y</w:t>
      </w:r>
      <w:r>
        <w:rPr>
          <w:spacing w:val="-9"/>
        </w:rPr>
        <w:t> </w:t>
      </w:r>
      <w:r>
        <w:rPr/>
        <w:t>otros</w:t>
      </w:r>
      <w:r>
        <w:rPr>
          <w:spacing w:val="-10"/>
        </w:rPr>
        <w:t> </w:t>
      </w:r>
      <w:r>
        <w:rPr/>
        <w:t>eventos</w:t>
      </w:r>
      <w:r>
        <w:rPr>
          <w:spacing w:val="-7"/>
        </w:rPr>
        <w:t> </w:t>
      </w:r>
      <w:r>
        <w:rPr/>
        <w:t>que</w:t>
      </w:r>
      <w:r>
        <w:rPr>
          <w:spacing w:val="-7"/>
        </w:rPr>
        <w:t> </w:t>
      </w:r>
      <w:r>
        <w:rPr/>
        <w:t>considere</w:t>
      </w:r>
      <w:r>
        <w:rPr>
          <w:spacing w:val="-7"/>
        </w:rPr>
        <w:t> </w:t>
      </w:r>
      <w:r>
        <w:rPr/>
        <w:t>necesario</w:t>
      </w:r>
      <w:r>
        <w:rPr>
          <w:spacing w:val="-7"/>
        </w:rPr>
        <w:t> </w:t>
      </w:r>
      <w:r>
        <w:rPr/>
        <w:t>para</w:t>
      </w:r>
      <w:r>
        <w:rPr>
          <w:spacing w:val="-9"/>
        </w:rPr>
        <w:t> </w:t>
      </w:r>
      <w:r>
        <w:rPr/>
        <w:t>el</w:t>
      </w:r>
      <w:r>
        <w:rPr>
          <w:spacing w:val="-9"/>
        </w:rPr>
        <w:t> </w:t>
      </w:r>
      <w:r>
        <w:rPr/>
        <w:t>complemento</w:t>
      </w:r>
      <w:r>
        <w:rPr>
          <w:spacing w:val="-7"/>
        </w:rPr>
        <w:t> </w:t>
      </w:r>
      <w:r>
        <w:rPr/>
        <w:t>de</w:t>
      </w:r>
      <w:r>
        <w:rPr>
          <w:spacing w:val="-7"/>
        </w:rPr>
        <w:t> </w:t>
      </w:r>
      <w:r>
        <w:rPr/>
        <w:t>la</w:t>
      </w:r>
      <w:r>
        <w:rPr>
          <w:spacing w:val="-9"/>
        </w:rPr>
        <w:t> </w:t>
      </w:r>
      <w:r>
        <w:rPr/>
        <w:t>información</w:t>
      </w:r>
      <w:r>
        <w:rPr>
          <w:spacing w:val="-8"/>
        </w:rPr>
        <w:t> </w:t>
      </w:r>
      <w:r>
        <w:rPr/>
        <w:t>contable al cierre del periodo.</w:t>
      </w:r>
    </w:p>
    <w:p>
      <w:pPr>
        <w:pStyle w:val="BodyText"/>
      </w:pPr>
    </w:p>
    <w:p>
      <w:pPr>
        <w:pStyle w:val="BodyText"/>
        <w:spacing w:before="75"/>
      </w:pPr>
    </w:p>
    <w:p>
      <w:pPr>
        <w:pStyle w:val="Heading6"/>
        <w:ind w:left="1962" w:right="2316"/>
        <w:jc w:val="center"/>
      </w:pPr>
      <w:bookmarkStart w:name="_bookmark168" w:id="169"/>
      <w:bookmarkEnd w:id="169"/>
      <w:r>
        <w:rPr>
          <w:b w:val="0"/>
        </w:rPr>
      </w:r>
      <w:r>
        <w:rPr/>
        <w:t>Entrega</w:t>
      </w:r>
      <w:r>
        <w:rPr>
          <w:spacing w:val="-2"/>
        </w:rPr>
        <w:t> </w:t>
      </w:r>
      <w:r>
        <w:rPr/>
        <w:t>de</w:t>
      </w:r>
      <w:r>
        <w:rPr>
          <w:spacing w:val="-1"/>
        </w:rPr>
        <w:t> </w:t>
      </w:r>
      <w:r>
        <w:rPr>
          <w:spacing w:val="-2"/>
        </w:rPr>
        <w:t>Información</w:t>
      </w:r>
    </w:p>
    <w:p>
      <w:pPr>
        <w:pStyle w:val="BodyText"/>
        <w:rPr>
          <w:b/>
        </w:rPr>
      </w:pPr>
    </w:p>
    <w:p>
      <w:pPr>
        <w:pStyle w:val="BodyText"/>
        <w:spacing w:before="54"/>
        <w:rPr>
          <w:b/>
        </w:rPr>
      </w:pPr>
    </w:p>
    <w:p>
      <w:pPr>
        <w:pStyle w:val="BodyText"/>
        <w:spacing w:line="259" w:lineRule="auto"/>
        <w:ind w:left="622" w:right="972"/>
        <w:jc w:val="both"/>
      </w:pPr>
      <w:r>
        <w:rPr/>
        <w:t>Nosotras Silvia Marlene Castro Quesada cédula No. 1-0838-0148,</w:t>
      </w:r>
      <w:r>
        <w:rPr>
          <w:spacing w:val="40"/>
        </w:rPr>
        <w:t> </w:t>
      </w:r>
      <w:r>
        <w:rPr/>
        <w:t>Yorleni</w:t>
      </w:r>
      <w:r>
        <w:rPr>
          <w:spacing w:val="-1"/>
        </w:rPr>
        <w:t> </w:t>
      </w:r>
      <w:r>
        <w:rPr/>
        <w:t>León Marchena cédula 6-0237-0375, Silvia Morales Jimenéz 1-0778-0654 y Kattya Torres Rojas cédula 1-0753-0933 en condición</w:t>
      </w:r>
      <w:r>
        <w:rPr>
          <w:spacing w:val="-2"/>
        </w:rPr>
        <w:t> </w:t>
      </w:r>
      <w:r>
        <w:rPr/>
        <w:t>de</w:t>
      </w:r>
      <w:r>
        <w:rPr>
          <w:spacing w:val="-4"/>
        </w:rPr>
        <w:t> </w:t>
      </w:r>
      <w:r>
        <w:rPr/>
        <w:t>encargados</w:t>
      </w:r>
      <w:r>
        <w:rPr>
          <w:spacing w:val="-1"/>
        </w:rPr>
        <w:t> </w:t>
      </w:r>
      <w:r>
        <w:rPr/>
        <w:t>y</w:t>
      </w:r>
      <w:r>
        <w:rPr>
          <w:spacing w:val="-3"/>
        </w:rPr>
        <w:t> </w:t>
      </w:r>
      <w:r>
        <w:rPr/>
        <w:t>custodios</w:t>
      </w:r>
      <w:r>
        <w:rPr>
          <w:spacing w:val="-4"/>
        </w:rPr>
        <w:t> </w:t>
      </w:r>
      <w:r>
        <w:rPr/>
        <w:t>de</w:t>
      </w:r>
      <w:r>
        <w:rPr>
          <w:spacing w:val="-4"/>
        </w:rPr>
        <w:t> </w:t>
      </w:r>
      <w:r>
        <w:rPr/>
        <w:t>la</w:t>
      </w:r>
      <w:r>
        <w:rPr>
          <w:spacing w:val="-4"/>
        </w:rPr>
        <w:t> </w:t>
      </w:r>
      <w:r>
        <w:rPr/>
        <w:t>información</w:t>
      </w:r>
      <w:r>
        <w:rPr>
          <w:spacing w:val="-4"/>
        </w:rPr>
        <w:t> </w:t>
      </w:r>
      <w:r>
        <w:rPr/>
        <w:t>contable</w:t>
      </w:r>
      <w:r>
        <w:rPr>
          <w:spacing w:val="-3"/>
        </w:rPr>
        <w:t> </w:t>
      </w:r>
      <w:r>
        <w:rPr/>
        <w:t>de</w:t>
      </w:r>
      <w:r>
        <w:rPr>
          <w:spacing w:val="-4"/>
        </w:rPr>
        <w:t> </w:t>
      </w:r>
      <w:r>
        <w:rPr/>
        <w:t>esta</w:t>
      </w:r>
      <w:r>
        <w:rPr>
          <w:spacing w:val="-1"/>
        </w:rPr>
        <w:t> </w:t>
      </w:r>
      <w:r>
        <w:rPr/>
        <w:t>institución</w:t>
      </w:r>
      <w:r>
        <w:rPr>
          <w:spacing w:val="-4"/>
        </w:rPr>
        <w:t> </w:t>
      </w:r>
      <w:r>
        <w:rPr/>
        <w:t>damos</w:t>
      </w:r>
      <w:r>
        <w:rPr>
          <w:spacing w:val="-1"/>
        </w:rPr>
        <w:t> </w:t>
      </w:r>
      <w:r>
        <w:rPr/>
        <w:t>fe</w:t>
      </w:r>
      <w:r>
        <w:rPr>
          <w:spacing w:val="-3"/>
        </w:rPr>
        <w:t> </w:t>
      </w:r>
      <w:r>
        <w:rPr/>
        <w:t>de</w:t>
      </w:r>
      <w:r>
        <w:rPr>
          <w:spacing w:val="-4"/>
        </w:rPr>
        <w:t> </w:t>
      </w:r>
      <w:r>
        <w:rPr/>
        <w:t>que</w:t>
      </w:r>
      <w:r>
        <w:rPr>
          <w:spacing w:val="-1"/>
        </w:rPr>
        <w:t> </w:t>
      </w:r>
      <w:r>
        <w:rPr/>
        <w:t>la preparación y presentación de los estados financieros se realiza bajo el cumplimiento oportuno del ordenamiento</w:t>
      </w:r>
      <w:r>
        <w:rPr>
          <w:spacing w:val="-4"/>
        </w:rPr>
        <w:t> </w:t>
      </w:r>
      <w:r>
        <w:rPr/>
        <w:t>jurídico</w:t>
      </w:r>
      <w:r>
        <w:rPr>
          <w:spacing w:val="-4"/>
        </w:rPr>
        <w:t> </w:t>
      </w:r>
      <w:r>
        <w:rPr/>
        <w:t>de</w:t>
      </w:r>
      <w:r>
        <w:rPr>
          <w:spacing w:val="-6"/>
        </w:rPr>
        <w:t> </w:t>
      </w:r>
      <w:r>
        <w:rPr/>
        <w:t>la</w:t>
      </w:r>
      <w:r>
        <w:rPr>
          <w:spacing w:val="-6"/>
        </w:rPr>
        <w:t> </w:t>
      </w:r>
      <w:r>
        <w:rPr/>
        <w:t>aplicación</w:t>
      </w:r>
      <w:r>
        <w:rPr>
          <w:spacing w:val="-4"/>
        </w:rPr>
        <w:t> </w:t>
      </w:r>
      <w:r>
        <w:rPr/>
        <w:t>integral</w:t>
      </w:r>
      <w:r>
        <w:rPr>
          <w:spacing w:val="-6"/>
        </w:rPr>
        <w:t> </w:t>
      </w:r>
      <w:r>
        <w:rPr/>
        <w:t>de</w:t>
      </w:r>
      <w:r>
        <w:rPr>
          <w:spacing w:val="-4"/>
        </w:rPr>
        <w:t> </w:t>
      </w:r>
      <w:r>
        <w:rPr/>
        <w:t>las</w:t>
      </w:r>
      <w:r>
        <w:rPr>
          <w:spacing w:val="-6"/>
        </w:rPr>
        <w:t> </w:t>
      </w:r>
      <w:r>
        <w:rPr/>
        <w:t>NICSP</w:t>
      </w:r>
      <w:r>
        <w:rPr>
          <w:spacing w:val="-5"/>
        </w:rPr>
        <w:t> </w:t>
      </w:r>
      <w:r>
        <w:rPr/>
        <w:t>y</w:t>
      </w:r>
      <w:r>
        <w:rPr>
          <w:spacing w:val="-6"/>
        </w:rPr>
        <w:t> </w:t>
      </w:r>
      <w:r>
        <w:rPr/>
        <w:t>de</w:t>
      </w:r>
      <w:r>
        <w:rPr>
          <w:spacing w:val="-4"/>
        </w:rPr>
        <w:t> </w:t>
      </w:r>
      <w:r>
        <w:rPr/>
        <w:t>las</w:t>
      </w:r>
      <w:r>
        <w:rPr>
          <w:spacing w:val="-4"/>
        </w:rPr>
        <w:t> </w:t>
      </w:r>
      <w:r>
        <w:rPr/>
        <w:t>Políticas</w:t>
      </w:r>
      <w:r>
        <w:rPr>
          <w:spacing w:val="-6"/>
        </w:rPr>
        <w:t> </w:t>
      </w:r>
      <w:r>
        <w:rPr/>
        <w:t>Contables</w:t>
      </w:r>
      <w:r>
        <w:rPr>
          <w:spacing w:val="-4"/>
        </w:rPr>
        <w:t> </w:t>
      </w:r>
      <w:r>
        <w:rPr/>
        <w:t>Generales</w:t>
      </w:r>
      <w:r>
        <w:rPr>
          <w:spacing w:val="-6"/>
        </w:rPr>
        <w:t> </w:t>
      </w:r>
      <w:r>
        <w:rPr/>
        <w:t>en el registro de las transacciones de manera que la información es relevante fielmente representativa comprensible oportuna comparable y verificable.</w:t>
      </w:r>
    </w:p>
    <w:p>
      <w:pPr>
        <w:pStyle w:val="BodyText"/>
        <w:rPr>
          <w:sz w:val="20"/>
        </w:rPr>
      </w:pPr>
    </w:p>
    <w:p>
      <w:pPr>
        <w:pStyle w:val="BodyText"/>
        <w:spacing w:before="80"/>
        <w:rPr>
          <w:sz w:val="20"/>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3"/>
        <w:gridCol w:w="4821"/>
      </w:tblGrid>
      <w:tr>
        <w:trPr>
          <w:trHeight w:val="1291" w:hRule="atLeast"/>
        </w:trPr>
        <w:tc>
          <w:tcPr>
            <w:tcW w:w="4823" w:type="dxa"/>
          </w:tcPr>
          <w:p>
            <w:pPr>
              <w:pStyle w:val="TableParagraph"/>
              <w:rPr>
                <w:sz w:val="14"/>
              </w:rPr>
            </w:pPr>
          </w:p>
          <w:p>
            <w:pPr>
              <w:pStyle w:val="TableParagraph"/>
              <w:spacing w:before="56"/>
              <w:rPr>
                <w:sz w:val="14"/>
              </w:rPr>
            </w:pPr>
          </w:p>
          <w:p>
            <w:pPr>
              <w:pStyle w:val="TableParagraph"/>
              <w:tabs>
                <w:tab w:pos="2569" w:val="left" w:leader="none"/>
              </w:tabs>
              <w:spacing w:line="231" w:lineRule="exact"/>
              <w:ind w:left="560"/>
              <w:rPr>
                <w:rFonts w:ascii="Trebuchet MS"/>
                <w:sz w:val="14"/>
              </w:rPr>
            </w:pPr>
            <w:r>
              <w:rPr>
                <w:rFonts w:ascii="Trebuchet MS"/>
                <w:spacing w:val="-5"/>
                <w:position w:val="-7"/>
                <w:sz w:val="24"/>
              </w:rPr>
              <w:t>SILVIA</w:t>
            </w:r>
            <w:r>
              <w:rPr>
                <w:rFonts w:ascii="Trebuchet MS"/>
                <w:spacing w:val="-11"/>
                <w:position w:val="-7"/>
                <w:sz w:val="24"/>
              </w:rPr>
              <w:t> </w:t>
            </w:r>
            <w:r>
              <w:rPr>
                <w:rFonts w:ascii="Trebuchet MS"/>
                <w:spacing w:val="-2"/>
                <w:position w:val="-7"/>
                <w:sz w:val="24"/>
              </w:rPr>
              <w:t>MARLENE</w:t>
            </w:r>
            <w:r>
              <w:rPr>
                <w:rFonts w:ascii="Trebuchet MS"/>
                <w:position w:val="-7"/>
                <w:sz w:val="24"/>
              </w:rPr>
              <w:tab/>
            </w:r>
            <w:r>
              <w:rPr>
                <w:rFonts w:ascii="Trebuchet MS"/>
                <w:spacing w:val="-4"/>
                <w:sz w:val="14"/>
              </w:rPr>
              <w:t>Firmado</w:t>
            </w:r>
            <w:r>
              <w:rPr>
                <w:rFonts w:ascii="Trebuchet MS"/>
                <w:spacing w:val="-8"/>
                <w:sz w:val="14"/>
              </w:rPr>
              <w:t> </w:t>
            </w:r>
            <w:r>
              <w:rPr>
                <w:rFonts w:ascii="Trebuchet MS"/>
                <w:spacing w:val="-4"/>
                <w:sz w:val="14"/>
              </w:rPr>
              <w:t>digitalmente</w:t>
            </w:r>
            <w:r>
              <w:rPr>
                <w:rFonts w:ascii="Trebuchet MS"/>
                <w:spacing w:val="-8"/>
                <w:sz w:val="14"/>
              </w:rPr>
              <w:t> </w:t>
            </w:r>
            <w:r>
              <w:rPr>
                <w:rFonts w:ascii="Trebuchet MS"/>
                <w:spacing w:val="-4"/>
                <w:sz w:val="14"/>
              </w:rPr>
              <w:t>por</w:t>
            </w:r>
            <w:r>
              <w:rPr>
                <w:rFonts w:ascii="Trebuchet MS"/>
                <w:spacing w:val="-8"/>
                <w:sz w:val="14"/>
              </w:rPr>
              <w:t> </w:t>
            </w:r>
            <w:r>
              <w:rPr>
                <w:rFonts w:ascii="Trebuchet MS"/>
                <w:spacing w:val="-4"/>
                <w:sz w:val="14"/>
              </w:rPr>
              <w:t>SILVIA</w:t>
            </w:r>
          </w:p>
          <w:p>
            <w:pPr>
              <w:pStyle w:val="TableParagraph"/>
              <w:spacing w:line="86" w:lineRule="exact"/>
              <w:ind w:left="2569"/>
              <w:rPr>
                <w:rFonts w:ascii="Trebuchet MS"/>
                <w:sz w:val="14"/>
              </w:rPr>
            </w:pPr>
            <w:r>
              <w:rPr>
                <w:rFonts w:ascii="Trebuchet MS"/>
                <w:sz w:val="14"/>
              </w:rPr>
              <mc:AlternateContent>
                <mc:Choice Requires="wps">
                  <w:drawing>
                    <wp:anchor distT="0" distB="0" distL="0" distR="0" allowOverlap="1" layoutInCell="1" locked="0" behindDoc="1" simplePos="0" relativeHeight="473782784">
                      <wp:simplePos x="0" y="0"/>
                      <wp:positionH relativeFrom="column">
                        <wp:posOffset>1330207</wp:posOffset>
                      </wp:positionH>
                      <wp:positionV relativeFrom="paragraph">
                        <wp:posOffset>-138006</wp:posOffset>
                      </wp:positionV>
                      <wp:extent cx="557530" cy="553720"/>
                      <wp:effectExtent l="0" t="0" r="0" b="0"/>
                      <wp:wrapNone/>
                      <wp:docPr id="1280" name="Group 1280"/>
                      <wp:cNvGraphicFramePr>
                        <a:graphicFrameLocks/>
                      </wp:cNvGraphicFramePr>
                      <a:graphic>
                        <a:graphicData uri="http://schemas.microsoft.com/office/word/2010/wordprocessingGroup">
                          <wpg:wgp>
                            <wpg:cNvPr id="1280" name="Group 1280"/>
                            <wpg:cNvGrpSpPr/>
                            <wpg:grpSpPr>
                              <a:xfrm>
                                <a:off x="0" y="0"/>
                                <a:ext cx="557530" cy="553720"/>
                                <a:chExt cx="557530" cy="553720"/>
                              </a:xfrm>
                            </wpg:grpSpPr>
                            <wps:wsp>
                              <wps:cNvPr id="1281" name="Graphic 1281"/>
                              <wps:cNvSpPr/>
                              <wps:spPr>
                                <a:xfrm>
                                  <a:off x="0" y="0"/>
                                  <a:ext cx="557530" cy="553720"/>
                                </a:xfrm>
                                <a:custGeom>
                                  <a:avLst/>
                                  <a:gdLst/>
                                  <a:ahLst/>
                                  <a:cxnLst/>
                                  <a:rect l="l" t="t" r="r" b="b"/>
                                  <a:pathLst>
                                    <a:path w="557530" h="553720">
                                      <a:moveTo>
                                        <a:pt x="100485" y="436574"/>
                                      </a:moveTo>
                                      <a:lnTo>
                                        <a:pt x="51972" y="468118"/>
                                      </a:lnTo>
                                      <a:lnTo>
                                        <a:pt x="21076" y="498597"/>
                                      </a:lnTo>
                                      <a:lnTo>
                                        <a:pt x="4763" y="525032"/>
                                      </a:lnTo>
                                      <a:lnTo>
                                        <a:pt x="0" y="544440"/>
                                      </a:lnTo>
                                      <a:lnTo>
                                        <a:pt x="3632" y="551741"/>
                                      </a:lnTo>
                                      <a:lnTo>
                                        <a:pt x="3769" y="551741"/>
                                      </a:lnTo>
                                      <a:lnTo>
                                        <a:pt x="6777" y="553524"/>
                                      </a:lnTo>
                                      <a:lnTo>
                                        <a:pt x="42581" y="553524"/>
                                      </a:lnTo>
                                      <a:lnTo>
                                        <a:pt x="45884" y="552388"/>
                                      </a:lnTo>
                                      <a:lnTo>
                                        <a:pt x="10786" y="552388"/>
                                      </a:lnTo>
                                      <a:lnTo>
                                        <a:pt x="15700" y="531738"/>
                                      </a:lnTo>
                                      <a:lnTo>
                                        <a:pt x="33921" y="502571"/>
                                      </a:lnTo>
                                      <a:lnTo>
                                        <a:pt x="62998" y="469360"/>
                                      </a:lnTo>
                                      <a:lnTo>
                                        <a:pt x="100485" y="436574"/>
                                      </a:lnTo>
                                      <a:close/>
                                    </a:path>
                                    <a:path w="557530" h="553720">
                                      <a:moveTo>
                                        <a:pt x="238441" y="0"/>
                                      </a:moveTo>
                                      <a:lnTo>
                                        <a:pt x="219547" y="43084"/>
                                      </a:lnTo>
                                      <a:lnTo>
                                        <a:pt x="219138" y="57907"/>
                                      </a:lnTo>
                                      <a:lnTo>
                                        <a:pt x="219546" y="70423"/>
                                      </a:lnTo>
                                      <a:lnTo>
                                        <a:pt x="224816" y="112975"/>
                                      </a:lnTo>
                                      <a:lnTo>
                                        <a:pt x="234396" y="158801"/>
                                      </a:lnTo>
                                      <a:lnTo>
                                        <a:pt x="238441" y="174289"/>
                                      </a:lnTo>
                                      <a:lnTo>
                                        <a:pt x="234228" y="192463"/>
                                      </a:lnTo>
                                      <a:lnTo>
                                        <a:pt x="204396" y="269728"/>
                                      </a:lnTo>
                                      <a:lnTo>
                                        <a:pt x="181360" y="320869"/>
                                      </a:lnTo>
                                      <a:lnTo>
                                        <a:pt x="154632" y="375048"/>
                                      </a:lnTo>
                                      <a:lnTo>
                                        <a:pt x="125501" y="428290"/>
                                      </a:lnTo>
                                      <a:lnTo>
                                        <a:pt x="95261" y="476620"/>
                                      </a:lnTo>
                                      <a:lnTo>
                                        <a:pt x="65201" y="516064"/>
                                      </a:lnTo>
                                      <a:lnTo>
                                        <a:pt x="36612" y="542645"/>
                                      </a:lnTo>
                                      <a:lnTo>
                                        <a:pt x="10786" y="552388"/>
                                      </a:lnTo>
                                      <a:lnTo>
                                        <a:pt x="45884" y="552388"/>
                                      </a:lnTo>
                                      <a:lnTo>
                                        <a:pt x="47768" y="551741"/>
                                      </a:lnTo>
                                      <a:lnTo>
                                        <a:pt x="77138" y="526203"/>
                                      </a:lnTo>
                                      <a:lnTo>
                                        <a:pt x="112789" y="480971"/>
                                      </a:lnTo>
                                      <a:lnTo>
                                        <a:pt x="154986" y="413865"/>
                                      </a:lnTo>
                                      <a:lnTo>
                                        <a:pt x="160417" y="412162"/>
                                      </a:lnTo>
                                      <a:lnTo>
                                        <a:pt x="154986" y="412162"/>
                                      </a:lnTo>
                                      <a:lnTo>
                                        <a:pt x="195250" y="338439"/>
                                      </a:lnTo>
                                      <a:lnTo>
                                        <a:pt x="222048" y="281800"/>
                                      </a:lnTo>
                                      <a:lnTo>
                                        <a:pt x="238734" y="238680"/>
                                      </a:lnTo>
                                      <a:lnTo>
                                        <a:pt x="248660" y="205513"/>
                                      </a:lnTo>
                                      <a:lnTo>
                                        <a:pt x="268587" y="205513"/>
                                      </a:lnTo>
                                      <a:lnTo>
                                        <a:pt x="256040" y="172586"/>
                                      </a:lnTo>
                                      <a:lnTo>
                                        <a:pt x="260141" y="143632"/>
                                      </a:lnTo>
                                      <a:lnTo>
                                        <a:pt x="248660" y="143632"/>
                                      </a:lnTo>
                                      <a:lnTo>
                                        <a:pt x="242131" y="118723"/>
                                      </a:lnTo>
                                      <a:lnTo>
                                        <a:pt x="237731" y="94666"/>
                                      </a:lnTo>
                                      <a:lnTo>
                                        <a:pt x="235247" y="72100"/>
                                      </a:lnTo>
                                      <a:lnTo>
                                        <a:pt x="234467" y="51662"/>
                                      </a:lnTo>
                                      <a:lnTo>
                                        <a:pt x="234578" y="46552"/>
                                      </a:lnTo>
                                      <a:lnTo>
                                        <a:pt x="234653" y="43084"/>
                                      </a:lnTo>
                                      <a:lnTo>
                                        <a:pt x="235957" y="28598"/>
                                      </a:lnTo>
                                      <a:lnTo>
                                        <a:pt x="239496" y="13580"/>
                                      </a:lnTo>
                                      <a:lnTo>
                                        <a:pt x="246389" y="3406"/>
                                      </a:lnTo>
                                      <a:lnTo>
                                        <a:pt x="260217" y="3406"/>
                                      </a:lnTo>
                                      <a:lnTo>
                                        <a:pt x="252918" y="567"/>
                                      </a:lnTo>
                                      <a:lnTo>
                                        <a:pt x="238441" y="0"/>
                                      </a:lnTo>
                                      <a:close/>
                                    </a:path>
                                    <a:path w="557530" h="553720">
                                      <a:moveTo>
                                        <a:pt x="551821" y="411027"/>
                                      </a:moveTo>
                                      <a:lnTo>
                                        <a:pt x="535925" y="411027"/>
                                      </a:lnTo>
                                      <a:lnTo>
                                        <a:pt x="529680" y="416704"/>
                                      </a:lnTo>
                                      <a:lnTo>
                                        <a:pt x="529680" y="432032"/>
                                      </a:lnTo>
                                      <a:lnTo>
                                        <a:pt x="535925" y="437710"/>
                                      </a:lnTo>
                                      <a:lnTo>
                                        <a:pt x="551821" y="437710"/>
                                      </a:lnTo>
                                      <a:lnTo>
                                        <a:pt x="554659" y="434871"/>
                                      </a:lnTo>
                                      <a:lnTo>
                                        <a:pt x="537628" y="434871"/>
                                      </a:lnTo>
                                      <a:lnTo>
                                        <a:pt x="532518" y="430329"/>
                                      </a:lnTo>
                                      <a:lnTo>
                                        <a:pt x="532518" y="418407"/>
                                      </a:lnTo>
                                      <a:lnTo>
                                        <a:pt x="537628" y="413865"/>
                                      </a:lnTo>
                                      <a:lnTo>
                                        <a:pt x="554659" y="413865"/>
                                      </a:lnTo>
                                      <a:lnTo>
                                        <a:pt x="551821" y="411027"/>
                                      </a:lnTo>
                                      <a:close/>
                                    </a:path>
                                    <a:path w="557530" h="553720">
                                      <a:moveTo>
                                        <a:pt x="554659" y="413865"/>
                                      </a:moveTo>
                                      <a:lnTo>
                                        <a:pt x="550118" y="413865"/>
                                      </a:lnTo>
                                      <a:lnTo>
                                        <a:pt x="554092" y="418407"/>
                                      </a:lnTo>
                                      <a:lnTo>
                                        <a:pt x="554092" y="430329"/>
                                      </a:lnTo>
                                      <a:lnTo>
                                        <a:pt x="550118" y="434871"/>
                                      </a:lnTo>
                                      <a:lnTo>
                                        <a:pt x="554659" y="434871"/>
                                      </a:lnTo>
                                      <a:lnTo>
                                        <a:pt x="557498" y="432032"/>
                                      </a:lnTo>
                                      <a:lnTo>
                                        <a:pt x="557498" y="416704"/>
                                      </a:lnTo>
                                      <a:lnTo>
                                        <a:pt x="554659" y="413865"/>
                                      </a:lnTo>
                                      <a:close/>
                                    </a:path>
                                    <a:path w="557530" h="553720">
                                      <a:moveTo>
                                        <a:pt x="547279" y="415569"/>
                                      </a:moveTo>
                                      <a:lnTo>
                                        <a:pt x="538196" y="415569"/>
                                      </a:lnTo>
                                      <a:lnTo>
                                        <a:pt x="538196" y="432032"/>
                                      </a:lnTo>
                                      <a:lnTo>
                                        <a:pt x="541034" y="432032"/>
                                      </a:lnTo>
                                      <a:lnTo>
                                        <a:pt x="541034" y="425788"/>
                                      </a:lnTo>
                                      <a:lnTo>
                                        <a:pt x="548225" y="425788"/>
                                      </a:lnTo>
                                      <a:lnTo>
                                        <a:pt x="547847" y="425220"/>
                                      </a:lnTo>
                                      <a:lnTo>
                                        <a:pt x="546144" y="424652"/>
                                      </a:lnTo>
                                      <a:lnTo>
                                        <a:pt x="549550" y="423517"/>
                                      </a:lnTo>
                                      <a:lnTo>
                                        <a:pt x="541034" y="423517"/>
                                      </a:lnTo>
                                      <a:lnTo>
                                        <a:pt x="541034" y="418975"/>
                                      </a:lnTo>
                                      <a:lnTo>
                                        <a:pt x="549171" y="418975"/>
                                      </a:lnTo>
                                      <a:lnTo>
                                        <a:pt x="549077" y="418407"/>
                                      </a:lnTo>
                                      <a:lnTo>
                                        <a:pt x="548982" y="417839"/>
                                      </a:lnTo>
                                      <a:lnTo>
                                        <a:pt x="547279" y="415569"/>
                                      </a:lnTo>
                                      <a:close/>
                                    </a:path>
                                    <a:path w="557530" h="553720">
                                      <a:moveTo>
                                        <a:pt x="548225" y="425788"/>
                                      </a:moveTo>
                                      <a:lnTo>
                                        <a:pt x="544440" y="425788"/>
                                      </a:lnTo>
                                      <a:lnTo>
                                        <a:pt x="545576" y="427491"/>
                                      </a:lnTo>
                                      <a:lnTo>
                                        <a:pt x="546144" y="429194"/>
                                      </a:lnTo>
                                      <a:lnTo>
                                        <a:pt x="546711" y="432032"/>
                                      </a:lnTo>
                                      <a:lnTo>
                                        <a:pt x="549550" y="432032"/>
                                      </a:lnTo>
                                      <a:lnTo>
                                        <a:pt x="548982" y="429194"/>
                                      </a:lnTo>
                                      <a:lnTo>
                                        <a:pt x="548982" y="426923"/>
                                      </a:lnTo>
                                      <a:lnTo>
                                        <a:pt x="548225" y="425788"/>
                                      </a:lnTo>
                                      <a:close/>
                                    </a:path>
                                    <a:path w="557530" h="553720">
                                      <a:moveTo>
                                        <a:pt x="549171" y="418975"/>
                                      </a:moveTo>
                                      <a:lnTo>
                                        <a:pt x="545008" y="418975"/>
                                      </a:lnTo>
                                      <a:lnTo>
                                        <a:pt x="546144" y="419543"/>
                                      </a:lnTo>
                                      <a:lnTo>
                                        <a:pt x="546144" y="422949"/>
                                      </a:lnTo>
                                      <a:lnTo>
                                        <a:pt x="544440" y="423517"/>
                                      </a:lnTo>
                                      <a:lnTo>
                                        <a:pt x="549550" y="423517"/>
                                      </a:lnTo>
                                      <a:lnTo>
                                        <a:pt x="549550" y="421246"/>
                                      </a:lnTo>
                                      <a:lnTo>
                                        <a:pt x="549266" y="419543"/>
                                      </a:lnTo>
                                      <a:lnTo>
                                        <a:pt x="549171" y="418975"/>
                                      </a:lnTo>
                                      <a:close/>
                                    </a:path>
                                    <a:path w="557530" h="553720">
                                      <a:moveTo>
                                        <a:pt x="268587" y="205513"/>
                                      </a:moveTo>
                                      <a:lnTo>
                                        <a:pt x="248660" y="205513"/>
                                      </a:lnTo>
                                      <a:lnTo>
                                        <a:pt x="279299" y="267031"/>
                                      </a:lnTo>
                                      <a:lnTo>
                                        <a:pt x="311109" y="308909"/>
                                      </a:lnTo>
                                      <a:lnTo>
                                        <a:pt x="340790" y="335565"/>
                                      </a:lnTo>
                                      <a:lnTo>
                                        <a:pt x="365042" y="351417"/>
                                      </a:lnTo>
                                      <a:lnTo>
                                        <a:pt x="313667" y="361635"/>
                                      </a:lnTo>
                                      <a:lnTo>
                                        <a:pt x="260640" y="375048"/>
                                      </a:lnTo>
                                      <a:lnTo>
                                        <a:pt x="207287" y="391813"/>
                                      </a:lnTo>
                                      <a:lnTo>
                                        <a:pt x="154986" y="412162"/>
                                      </a:lnTo>
                                      <a:lnTo>
                                        <a:pt x="160417" y="412162"/>
                                      </a:lnTo>
                                      <a:lnTo>
                                        <a:pt x="197056" y="400672"/>
                                      </a:lnTo>
                                      <a:lnTo>
                                        <a:pt x="242615" y="389113"/>
                                      </a:lnTo>
                                      <a:lnTo>
                                        <a:pt x="290244" y="379326"/>
                                      </a:lnTo>
                                      <a:lnTo>
                                        <a:pt x="338527" y="371446"/>
                                      </a:lnTo>
                                      <a:lnTo>
                                        <a:pt x="386047" y="365609"/>
                                      </a:lnTo>
                                      <a:lnTo>
                                        <a:pt x="428676" y="365609"/>
                                      </a:lnTo>
                                      <a:lnTo>
                                        <a:pt x="419543" y="361635"/>
                                      </a:lnTo>
                                      <a:lnTo>
                                        <a:pt x="458050" y="359870"/>
                                      </a:lnTo>
                                      <a:lnTo>
                                        <a:pt x="545918" y="359870"/>
                                      </a:lnTo>
                                      <a:lnTo>
                                        <a:pt x="531170" y="351913"/>
                                      </a:lnTo>
                                      <a:lnTo>
                                        <a:pt x="509995" y="347443"/>
                                      </a:lnTo>
                                      <a:lnTo>
                                        <a:pt x="394563" y="347443"/>
                                      </a:lnTo>
                                      <a:lnTo>
                                        <a:pt x="381390" y="339903"/>
                                      </a:lnTo>
                                      <a:lnTo>
                                        <a:pt x="343468" y="314515"/>
                                      </a:lnTo>
                                      <a:lnTo>
                                        <a:pt x="315278" y="285872"/>
                                      </a:lnTo>
                                      <a:lnTo>
                                        <a:pt x="291238" y="251427"/>
                                      </a:lnTo>
                                      <a:lnTo>
                                        <a:pt x="271457" y="213044"/>
                                      </a:lnTo>
                                      <a:lnTo>
                                        <a:pt x="268587" y="205513"/>
                                      </a:lnTo>
                                      <a:close/>
                                    </a:path>
                                    <a:path w="557530" h="553720">
                                      <a:moveTo>
                                        <a:pt x="428676" y="365609"/>
                                      </a:moveTo>
                                      <a:lnTo>
                                        <a:pt x="386047" y="365609"/>
                                      </a:lnTo>
                                      <a:lnTo>
                                        <a:pt x="423304" y="382446"/>
                                      </a:lnTo>
                                      <a:lnTo>
                                        <a:pt x="460134" y="395131"/>
                                      </a:lnTo>
                                      <a:lnTo>
                                        <a:pt x="493985" y="403132"/>
                                      </a:lnTo>
                                      <a:lnTo>
                                        <a:pt x="522299" y="405917"/>
                                      </a:lnTo>
                                      <a:lnTo>
                                        <a:pt x="534017" y="405155"/>
                                      </a:lnTo>
                                      <a:lnTo>
                                        <a:pt x="542808" y="402795"/>
                                      </a:lnTo>
                                      <a:lnTo>
                                        <a:pt x="548725" y="398732"/>
                                      </a:lnTo>
                                      <a:lnTo>
                                        <a:pt x="549726" y="396834"/>
                                      </a:lnTo>
                                      <a:lnTo>
                                        <a:pt x="534222" y="396834"/>
                                      </a:lnTo>
                                      <a:lnTo>
                                        <a:pt x="511752" y="394288"/>
                                      </a:lnTo>
                                      <a:lnTo>
                                        <a:pt x="483908" y="387112"/>
                                      </a:lnTo>
                                      <a:lnTo>
                                        <a:pt x="452550" y="375997"/>
                                      </a:lnTo>
                                      <a:lnTo>
                                        <a:pt x="428676" y="365609"/>
                                      </a:lnTo>
                                      <a:close/>
                                    </a:path>
                                    <a:path w="557530" h="553720">
                                      <a:moveTo>
                                        <a:pt x="551821" y="392860"/>
                                      </a:moveTo>
                                      <a:lnTo>
                                        <a:pt x="547847" y="394563"/>
                                      </a:lnTo>
                                      <a:lnTo>
                                        <a:pt x="541602" y="396834"/>
                                      </a:lnTo>
                                      <a:lnTo>
                                        <a:pt x="549726" y="396834"/>
                                      </a:lnTo>
                                      <a:lnTo>
                                        <a:pt x="551821" y="392860"/>
                                      </a:lnTo>
                                      <a:close/>
                                    </a:path>
                                    <a:path w="557530" h="553720">
                                      <a:moveTo>
                                        <a:pt x="545918" y="359870"/>
                                      </a:moveTo>
                                      <a:lnTo>
                                        <a:pt x="458050" y="359870"/>
                                      </a:lnTo>
                                      <a:lnTo>
                                        <a:pt x="502784" y="361139"/>
                                      </a:lnTo>
                                      <a:lnTo>
                                        <a:pt x="539535" y="368900"/>
                                      </a:lnTo>
                                      <a:lnTo>
                                        <a:pt x="554092" y="386615"/>
                                      </a:lnTo>
                                      <a:lnTo>
                                        <a:pt x="555795" y="382641"/>
                                      </a:lnTo>
                                      <a:lnTo>
                                        <a:pt x="557491" y="380938"/>
                                      </a:lnTo>
                                      <a:lnTo>
                                        <a:pt x="557491" y="376964"/>
                                      </a:lnTo>
                                      <a:lnTo>
                                        <a:pt x="550588" y="362389"/>
                                      </a:lnTo>
                                      <a:lnTo>
                                        <a:pt x="545918" y="359870"/>
                                      </a:lnTo>
                                      <a:close/>
                                    </a:path>
                                    <a:path w="557530" h="553720">
                                      <a:moveTo>
                                        <a:pt x="462689" y="343468"/>
                                      </a:moveTo>
                                      <a:lnTo>
                                        <a:pt x="447494" y="343850"/>
                                      </a:lnTo>
                                      <a:lnTo>
                                        <a:pt x="430968" y="344817"/>
                                      </a:lnTo>
                                      <a:lnTo>
                                        <a:pt x="394563" y="347443"/>
                                      </a:lnTo>
                                      <a:lnTo>
                                        <a:pt x="509995" y="347443"/>
                                      </a:lnTo>
                                      <a:lnTo>
                                        <a:pt x="501214" y="345589"/>
                                      </a:lnTo>
                                      <a:lnTo>
                                        <a:pt x="462689" y="343468"/>
                                      </a:lnTo>
                                      <a:close/>
                                    </a:path>
                                    <a:path w="557530" h="553720">
                                      <a:moveTo>
                                        <a:pt x="265691" y="46552"/>
                                      </a:moveTo>
                                      <a:lnTo>
                                        <a:pt x="262631" y="63318"/>
                                      </a:lnTo>
                                      <a:lnTo>
                                        <a:pt x="259092" y="84873"/>
                                      </a:lnTo>
                                      <a:lnTo>
                                        <a:pt x="254594" y="111538"/>
                                      </a:lnTo>
                                      <a:lnTo>
                                        <a:pt x="248738" y="143206"/>
                                      </a:lnTo>
                                      <a:lnTo>
                                        <a:pt x="248660" y="143632"/>
                                      </a:lnTo>
                                      <a:lnTo>
                                        <a:pt x="260141" y="143632"/>
                                      </a:lnTo>
                                      <a:lnTo>
                                        <a:pt x="260662" y="139960"/>
                                      </a:lnTo>
                                      <a:lnTo>
                                        <a:pt x="263207" y="108717"/>
                                      </a:lnTo>
                                      <a:lnTo>
                                        <a:pt x="264582" y="77901"/>
                                      </a:lnTo>
                                      <a:lnTo>
                                        <a:pt x="265691" y="46552"/>
                                      </a:lnTo>
                                      <a:close/>
                                    </a:path>
                                    <a:path w="557530" h="553720">
                                      <a:moveTo>
                                        <a:pt x="260217" y="3406"/>
                                      </a:moveTo>
                                      <a:lnTo>
                                        <a:pt x="246389" y="3406"/>
                                      </a:lnTo>
                                      <a:lnTo>
                                        <a:pt x="252518" y="7273"/>
                                      </a:lnTo>
                                      <a:lnTo>
                                        <a:pt x="258431" y="13580"/>
                                      </a:lnTo>
                                      <a:lnTo>
                                        <a:pt x="263074" y="22886"/>
                                      </a:lnTo>
                                      <a:lnTo>
                                        <a:pt x="265691" y="36333"/>
                                      </a:lnTo>
                                      <a:lnTo>
                                        <a:pt x="267820" y="15328"/>
                                      </a:lnTo>
                                      <a:lnTo>
                                        <a:pt x="263136" y="4541"/>
                                      </a:lnTo>
                                      <a:lnTo>
                                        <a:pt x="260217" y="3406"/>
                                      </a:lnTo>
                                      <a:close/>
                                    </a:path>
                                  </a:pathLst>
                                </a:custGeom>
                                <a:solidFill>
                                  <a:srgbClr val="FFD8D8"/>
                                </a:solidFill>
                              </wps:spPr>
                              <wps:bodyPr wrap="square" lIns="0" tIns="0" rIns="0" bIns="0" rtlCol="0">
                                <a:prstTxWarp prst="textNoShape">
                                  <a:avLst/>
                                </a:prstTxWarp>
                                <a:noAutofit/>
                              </wps:bodyPr>
                            </wps:wsp>
                          </wpg:wgp>
                        </a:graphicData>
                      </a:graphic>
                    </wp:anchor>
                  </w:drawing>
                </mc:Choice>
                <mc:Fallback>
                  <w:pict>
                    <v:group style="position:absolute;margin-left:104.740768pt;margin-top:-10.866633pt;width:43.9pt;height:43.6pt;mso-position-horizontal-relative:column;mso-position-vertical-relative:paragraph;z-index:-29533696" id="docshapegroup1222" coordorigin="2095,-217" coordsize="878,872">
                      <v:shape style="position:absolute;left:2094;top:-218;width:878;height:872" id="docshape1223" coordorigin="2095,-217" coordsize="878,872" path="m2253,470l2177,520,2128,568,2102,609,2095,640,2101,652,2101,652,2105,654,2162,654,2167,653,2112,653,2120,620,2148,574,2194,522,2253,470xm2470,-217l2453,-206,2444,-178,2441,-149,2440,-148,2440,-126,2441,-106,2442,-85,2445,-63,2449,-39,2453,-16,2458,8,2464,33,2470,57,2464,86,2445,138,2417,207,2380,288,2338,373,2292,457,2245,533,2197,595,2152,637,2112,653,2167,653,2170,652,2216,611,2272,540,2339,434,2347,432,2339,432,2402,316,2444,226,2471,159,2486,106,2518,106,2498,54,2504,9,2486,9,2476,-30,2469,-68,2465,-104,2464,-136,2464,-144,2464,-149,2466,-172,2472,-196,2483,-212,2505,-212,2493,-216,2470,-217xm2964,430l2939,430,2929,439,2929,463,2939,472,2964,472,2968,468,2941,468,2933,460,2933,442,2941,434,2968,434,2964,430xm2968,434l2961,434,2967,442,2967,460,2961,468,2968,468,2973,463,2973,439,2968,434xm2957,437l2942,437,2942,463,2947,463,2947,453,2958,453,2958,452,2955,451,2960,450,2947,450,2947,442,2960,442,2960,442,2959,441,2957,437xm2958,453l2952,453,2954,456,2955,459,2956,463,2960,463,2959,459,2959,455,2958,453xm2960,442l2953,442,2955,443,2955,449,2952,450,2960,450,2960,446,2960,443,2960,442xm2518,106l2486,106,2535,203,2585,269,2631,311,2670,336,2589,352,2505,373,2421,400,2339,432,2347,432,2405,414,2477,395,2552,380,2628,368,2703,358,2770,358,2756,352,2816,349,2955,349,2931,337,2898,330,2716,330,2695,318,2675,305,2655,292,2636,278,2591,233,2553,179,2522,118,2518,106xm2770,358l2703,358,2761,385,2819,405,2873,418,2917,422,2936,421,2950,417,2959,411,2961,408,2936,408,2901,404,2857,392,2807,375,2770,358xm2964,401l2958,404,2948,408,2961,408,2964,401xm2955,349l2816,349,2887,351,2944,364,2967,392,2970,385,2973,383,2973,376,2962,353,2955,349xm2823,324l2800,324,2774,326,2716,330,2898,330,2884,327,2823,324xm2513,-144l2508,-118,2503,-84,2496,-42,2487,8,2486,9,2504,9,2505,3,2509,-46,2511,-95,2513,-144xm2505,-212l2483,-212,2492,-206,2502,-196,2509,-181,2513,-160,2517,-193,2509,-210,2505,-212xe" filled="true" fillcolor="#ffd8d8" stroked="false">
                        <v:path arrowok="t"/>
                        <v:fill type="solid"/>
                      </v:shape>
                      <w10:wrap type="none"/>
                    </v:group>
                  </w:pict>
                </mc:Fallback>
              </mc:AlternateContent>
            </w:r>
            <w:r>
              <w:rPr>
                <w:rFonts w:ascii="Trebuchet MS"/>
                <w:spacing w:val="-2"/>
                <w:sz w:val="14"/>
              </w:rPr>
              <w:t>MARLENE</w:t>
            </w:r>
            <w:r>
              <w:rPr>
                <w:rFonts w:ascii="Trebuchet MS"/>
                <w:spacing w:val="-5"/>
                <w:sz w:val="14"/>
              </w:rPr>
              <w:t> </w:t>
            </w:r>
            <w:r>
              <w:rPr>
                <w:rFonts w:ascii="Trebuchet MS"/>
                <w:spacing w:val="-2"/>
                <w:sz w:val="14"/>
              </w:rPr>
              <w:t>CASTRO</w:t>
            </w:r>
            <w:r>
              <w:rPr>
                <w:rFonts w:ascii="Trebuchet MS"/>
                <w:spacing w:val="-5"/>
                <w:sz w:val="14"/>
              </w:rPr>
              <w:t> </w:t>
            </w:r>
            <w:r>
              <w:rPr>
                <w:rFonts w:ascii="Trebuchet MS"/>
                <w:spacing w:val="-2"/>
                <w:sz w:val="14"/>
              </w:rPr>
              <w:t>QUESADA</w:t>
            </w:r>
          </w:p>
          <w:p>
            <w:pPr>
              <w:pStyle w:val="TableParagraph"/>
              <w:spacing w:line="227" w:lineRule="exact"/>
              <w:ind w:left="560"/>
              <w:rPr>
                <w:rFonts w:ascii="Trebuchet MS"/>
                <w:position w:val="3"/>
                <w:sz w:val="14"/>
              </w:rPr>
            </w:pPr>
            <w:r>
              <w:rPr>
                <w:rFonts w:ascii="Trebuchet MS"/>
                <w:sz w:val="24"/>
              </w:rPr>
              <w:t>CASTRO</w:t>
            </w:r>
            <w:r>
              <w:rPr>
                <w:rFonts w:ascii="Trebuchet MS"/>
                <w:spacing w:val="-17"/>
                <w:sz w:val="24"/>
              </w:rPr>
              <w:t> </w:t>
            </w:r>
            <w:r>
              <w:rPr>
                <w:rFonts w:ascii="Trebuchet MS"/>
                <w:sz w:val="24"/>
              </w:rPr>
              <w:t>QUESADA</w:t>
            </w:r>
            <w:r>
              <w:rPr>
                <w:rFonts w:ascii="Trebuchet MS"/>
                <w:spacing w:val="34"/>
                <w:sz w:val="24"/>
              </w:rPr>
              <w:t> </w:t>
            </w:r>
            <w:r>
              <w:rPr>
                <w:rFonts w:ascii="Trebuchet MS"/>
                <w:spacing w:val="-2"/>
                <w:position w:val="3"/>
                <w:sz w:val="14"/>
              </w:rPr>
              <w:t>(FIRMA)</w:t>
            </w:r>
          </w:p>
          <w:p>
            <w:pPr>
              <w:pStyle w:val="TableParagraph"/>
              <w:tabs>
                <w:tab w:pos="2569" w:val="left" w:leader="none"/>
              </w:tabs>
              <w:spacing w:line="115" w:lineRule="auto" w:before="16"/>
              <w:ind w:left="560"/>
              <w:rPr>
                <w:rFonts w:ascii="Trebuchet MS"/>
                <w:sz w:val="14"/>
              </w:rPr>
            </w:pPr>
            <w:r>
              <w:rPr>
                <w:rFonts w:ascii="Trebuchet MS"/>
                <w:spacing w:val="-2"/>
                <w:position w:val="-14"/>
                <w:sz w:val="24"/>
              </w:rPr>
              <w:t>(FIRMA)</w:t>
            </w:r>
            <w:r>
              <w:rPr>
                <w:rFonts w:ascii="Trebuchet MS"/>
                <w:position w:val="-14"/>
                <w:sz w:val="24"/>
              </w:rPr>
              <w:tab/>
            </w:r>
            <w:r>
              <w:rPr>
                <w:rFonts w:ascii="Trebuchet MS"/>
                <w:w w:val="90"/>
                <w:sz w:val="14"/>
              </w:rPr>
              <w:t>Fecha:</w:t>
            </w:r>
            <w:r>
              <w:rPr>
                <w:rFonts w:ascii="Trebuchet MS"/>
                <w:spacing w:val="-4"/>
                <w:w w:val="90"/>
                <w:sz w:val="14"/>
              </w:rPr>
              <w:t> </w:t>
            </w:r>
            <w:r>
              <w:rPr>
                <w:rFonts w:ascii="Trebuchet MS"/>
                <w:w w:val="90"/>
                <w:sz w:val="14"/>
              </w:rPr>
              <w:t>2026.08.28</w:t>
            </w:r>
            <w:r>
              <w:rPr>
                <w:rFonts w:ascii="Trebuchet MS"/>
                <w:spacing w:val="-4"/>
                <w:w w:val="90"/>
                <w:sz w:val="14"/>
              </w:rPr>
              <w:t> </w:t>
            </w:r>
            <w:r>
              <w:rPr>
                <w:rFonts w:ascii="Trebuchet MS"/>
                <w:spacing w:val="-2"/>
                <w:w w:val="90"/>
                <w:sz w:val="14"/>
              </w:rPr>
              <w:t>13:07:41</w:t>
            </w:r>
          </w:p>
          <w:p>
            <w:pPr>
              <w:pStyle w:val="TableParagraph"/>
              <w:spacing w:line="103" w:lineRule="exact"/>
              <w:ind w:left="2569"/>
              <w:rPr>
                <w:rFonts w:ascii="Trebuchet MS"/>
                <w:sz w:val="14"/>
              </w:rPr>
            </w:pPr>
            <w:r>
              <w:rPr>
                <w:rFonts w:ascii="Trebuchet MS"/>
                <w:spacing w:val="-2"/>
                <w:sz w:val="14"/>
              </w:rPr>
              <w:t>-06'00'</w:t>
            </w:r>
          </w:p>
        </w:tc>
        <w:tc>
          <w:tcPr>
            <w:tcW w:w="4821" w:type="dxa"/>
          </w:tcPr>
          <w:p>
            <w:pPr>
              <w:pStyle w:val="TableParagraph"/>
              <w:rPr>
                <w:rFonts w:ascii="Times New Roman"/>
                <w:sz w:val="20"/>
              </w:rPr>
            </w:pPr>
          </w:p>
        </w:tc>
      </w:tr>
      <w:tr>
        <w:trPr>
          <w:trHeight w:val="599" w:hRule="atLeast"/>
        </w:trPr>
        <w:tc>
          <w:tcPr>
            <w:tcW w:w="4823" w:type="dxa"/>
          </w:tcPr>
          <w:p>
            <w:pPr>
              <w:pStyle w:val="TableParagraph"/>
              <w:ind w:left="1674" w:right="406" w:hanging="612"/>
              <w:rPr>
                <w:b/>
                <w:sz w:val="22"/>
              </w:rPr>
            </w:pPr>
            <w:r>
              <w:rPr>
                <w:sz w:val="22"/>
              </w:rPr>
              <w:t>Silvia</w:t>
            </w:r>
            <w:r>
              <w:rPr>
                <w:spacing w:val="-13"/>
                <w:sz w:val="22"/>
              </w:rPr>
              <w:t> </w:t>
            </w:r>
            <w:r>
              <w:rPr>
                <w:sz w:val="22"/>
              </w:rPr>
              <w:t>Marlene</w:t>
            </w:r>
            <w:r>
              <w:rPr>
                <w:spacing w:val="-13"/>
                <w:sz w:val="22"/>
              </w:rPr>
              <w:t> </w:t>
            </w:r>
            <w:r>
              <w:rPr>
                <w:sz w:val="22"/>
              </w:rPr>
              <w:t>Castro</w:t>
            </w:r>
            <w:r>
              <w:rPr>
                <w:spacing w:val="-14"/>
                <w:sz w:val="22"/>
              </w:rPr>
              <w:t> </w:t>
            </w:r>
            <w:r>
              <w:rPr>
                <w:sz w:val="22"/>
              </w:rPr>
              <w:t>Quesada </w:t>
            </w:r>
            <w:r>
              <w:rPr>
                <w:b/>
                <w:sz w:val="22"/>
              </w:rPr>
              <w:t>Gerente General</w:t>
            </w:r>
          </w:p>
        </w:tc>
        <w:tc>
          <w:tcPr>
            <w:tcW w:w="4821" w:type="dxa"/>
          </w:tcPr>
          <w:p>
            <w:pPr>
              <w:pStyle w:val="TableParagraph"/>
              <w:ind w:left="1532" w:right="680" w:hanging="180"/>
              <w:rPr>
                <w:b/>
                <w:sz w:val="22"/>
              </w:rPr>
            </w:pPr>
            <w:r>
              <w:rPr>
                <w:sz w:val="22"/>
              </w:rPr>
              <w:t>Yorleni</w:t>
            </w:r>
            <w:r>
              <w:rPr>
                <w:spacing w:val="-14"/>
                <w:sz w:val="22"/>
              </w:rPr>
              <w:t> </w:t>
            </w:r>
            <w:r>
              <w:rPr>
                <w:sz w:val="22"/>
              </w:rPr>
              <w:t>León</w:t>
            </w:r>
            <w:r>
              <w:rPr>
                <w:spacing w:val="-14"/>
                <w:sz w:val="22"/>
              </w:rPr>
              <w:t> </w:t>
            </w:r>
            <w:r>
              <w:rPr>
                <w:sz w:val="22"/>
              </w:rPr>
              <w:t>Marchena </w:t>
            </w:r>
            <w:r>
              <w:rPr>
                <w:b/>
                <w:sz w:val="22"/>
              </w:rPr>
              <w:t>Presidenta Ejecutiva</w:t>
            </w:r>
          </w:p>
        </w:tc>
      </w:tr>
    </w:tbl>
    <w:p>
      <w:pPr>
        <w:pStyle w:val="BodyText"/>
        <w:spacing w:before="201" w:after="1"/>
        <w:rPr>
          <w:sz w:val="20"/>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3"/>
        <w:gridCol w:w="4821"/>
      </w:tblGrid>
      <w:tr>
        <w:trPr>
          <w:trHeight w:val="1293" w:hRule="atLeast"/>
        </w:trPr>
        <w:tc>
          <w:tcPr>
            <w:tcW w:w="4823" w:type="dxa"/>
          </w:tcPr>
          <w:p>
            <w:pPr>
              <w:pStyle w:val="TableParagraph"/>
              <w:tabs>
                <w:tab w:pos="2474" w:val="left" w:leader="none"/>
              </w:tabs>
              <w:spacing w:line="267" w:lineRule="exact" w:before="169"/>
              <w:ind w:left="158"/>
              <w:rPr>
                <w:rFonts w:ascii="Trebuchet MS"/>
                <w:sz w:val="15"/>
              </w:rPr>
            </w:pPr>
            <w:r>
              <w:rPr>
                <w:rFonts w:ascii="Trebuchet MS"/>
                <w:spacing w:val="-6"/>
                <w:position w:val="-7"/>
                <w:sz w:val="27"/>
              </w:rPr>
              <w:t>SILVIA</w:t>
            </w:r>
            <w:r>
              <w:rPr>
                <w:rFonts w:ascii="Trebuchet MS"/>
                <w:spacing w:val="-19"/>
                <w:position w:val="-7"/>
                <w:sz w:val="27"/>
              </w:rPr>
              <w:t> </w:t>
            </w:r>
            <w:r>
              <w:rPr>
                <w:rFonts w:ascii="Trebuchet MS"/>
                <w:spacing w:val="-2"/>
                <w:position w:val="-7"/>
                <w:sz w:val="27"/>
              </w:rPr>
              <w:t>GABRIELA</w:t>
            </w:r>
            <w:r>
              <w:rPr>
                <w:rFonts w:ascii="Trebuchet MS"/>
                <w:position w:val="-7"/>
                <w:sz w:val="27"/>
              </w:rPr>
              <w:tab/>
            </w:r>
            <w:r>
              <w:rPr>
                <w:rFonts w:ascii="Trebuchet MS"/>
                <w:spacing w:val="-2"/>
                <w:sz w:val="15"/>
              </w:rPr>
              <w:t>Firmado</w:t>
            </w:r>
            <w:r>
              <w:rPr>
                <w:rFonts w:ascii="Trebuchet MS"/>
                <w:spacing w:val="-8"/>
                <w:sz w:val="15"/>
              </w:rPr>
              <w:t> </w:t>
            </w:r>
            <w:r>
              <w:rPr>
                <w:rFonts w:ascii="Trebuchet MS"/>
                <w:spacing w:val="-2"/>
                <w:sz w:val="15"/>
              </w:rPr>
              <w:t>digitalmente</w:t>
            </w:r>
            <w:r>
              <w:rPr>
                <w:rFonts w:ascii="Trebuchet MS"/>
                <w:spacing w:val="-8"/>
                <w:sz w:val="15"/>
              </w:rPr>
              <w:t> </w:t>
            </w:r>
            <w:r>
              <w:rPr>
                <w:rFonts w:ascii="Trebuchet MS"/>
                <w:spacing w:val="-2"/>
                <w:sz w:val="15"/>
              </w:rPr>
              <w:t>por</w:t>
            </w:r>
            <w:r>
              <w:rPr>
                <w:rFonts w:ascii="Trebuchet MS"/>
                <w:spacing w:val="-8"/>
                <w:sz w:val="15"/>
              </w:rPr>
              <w:t> </w:t>
            </w:r>
            <w:r>
              <w:rPr>
                <w:rFonts w:ascii="Trebuchet MS"/>
                <w:spacing w:val="-2"/>
                <w:sz w:val="15"/>
              </w:rPr>
              <w:t>SILVIA</w:t>
            </w:r>
          </w:p>
          <w:p>
            <w:pPr>
              <w:pStyle w:val="TableParagraph"/>
              <w:spacing w:line="94" w:lineRule="exact"/>
              <w:ind w:left="2475"/>
              <w:rPr>
                <w:rFonts w:ascii="Trebuchet MS"/>
                <w:sz w:val="15"/>
              </w:rPr>
            </w:pPr>
            <w:r>
              <w:rPr>
                <w:rFonts w:ascii="Trebuchet MS"/>
                <w:sz w:val="15"/>
              </w:rPr>
              <mc:AlternateContent>
                <mc:Choice Requires="wps">
                  <w:drawing>
                    <wp:anchor distT="0" distB="0" distL="0" distR="0" allowOverlap="1" layoutInCell="1" locked="0" behindDoc="1" simplePos="0" relativeHeight="473782272">
                      <wp:simplePos x="0" y="0"/>
                      <wp:positionH relativeFrom="column">
                        <wp:posOffset>1236496</wp:posOffset>
                      </wp:positionH>
                      <wp:positionV relativeFrom="paragraph">
                        <wp:posOffset>-152166</wp:posOffset>
                      </wp:positionV>
                      <wp:extent cx="618490" cy="614045"/>
                      <wp:effectExtent l="0" t="0" r="0" b="0"/>
                      <wp:wrapNone/>
                      <wp:docPr id="1282" name="Group 1282"/>
                      <wp:cNvGraphicFramePr>
                        <a:graphicFrameLocks/>
                      </wp:cNvGraphicFramePr>
                      <a:graphic>
                        <a:graphicData uri="http://schemas.microsoft.com/office/word/2010/wordprocessingGroup">
                          <wpg:wgp>
                            <wpg:cNvPr id="1282" name="Group 1282"/>
                            <wpg:cNvGrpSpPr/>
                            <wpg:grpSpPr>
                              <a:xfrm>
                                <a:off x="0" y="0"/>
                                <a:ext cx="618490" cy="614045"/>
                                <a:chExt cx="618490" cy="614045"/>
                              </a:xfrm>
                            </wpg:grpSpPr>
                            <wps:wsp>
                              <wps:cNvPr id="1283" name="Graphic 1283"/>
                              <wps:cNvSpPr/>
                              <wps:spPr>
                                <a:xfrm>
                                  <a:off x="0" y="0"/>
                                  <a:ext cx="618490" cy="614045"/>
                                </a:xfrm>
                                <a:custGeom>
                                  <a:avLst/>
                                  <a:gdLst/>
                                  <a:ahLst/>
                                  <a:cxnLst/>
                                  <a:rect l="l" t="t" r="r" b="b"/>
                                  <a:pathLst>
                                    <a:path w="618490" h="614045">
                                      <a:moveTo>
                                        <a:pt x="111383" y="483918"/>
                                      </a:moveTo>
                                      <a:lnTo>
                                        <a:pt x="57608" y="518883"/>
                                      </a:lnTo>
                                      <a:lnTo>
                                        <a:pt x="23362" y="552668"/>
                                      </a:lnTo>
                                      <a:lnTo>
                                        <a:pt x="5280" y="581969"/>
                                      </a:lnTo>
                                      <a:lnTo>
                                        <a:pt x="42" y="603311"/>
                                      </a:lnTo>
                                      <a:lnTo>
                                        <a:pt x="0" y="603482"/>
                                      </a:lnTo>
                                      <a:lnTo>
                                        <a:pt x="3962" y="611447"/>
                                      </a:lnTo>
                                      <a:lnTo>
                                        <a:pt x="7508" y="613548"/>
                                      </a:lnTo>
                                      <a:lnTo>
                                        <a:pt x="49008" y="613548"/>
                                      </a:lnTo>
                                      <a:lnTo>
                                        <a:pt x="50735" y="612292"/>
                                      </a:lnTo>
                                      <a:lnTo>
                                        <a:pt x="11956" y="612292"/>
                                      </a:lnTo>
                                      <a:lnTo>
                                        <a:pt x="17403" y="589402"/>
                                      </a:lnTo>
                                      <a:lnTo>
                                        <a:pt x="37599" y="557073"/>
                                      </a:lnTo>
                                      <a:lnTo>
                                        <a:pt x="69820" y="520271"/>
                                      </a:lnTo>
                                      <a:lnTo>
                                        <a:pt x="111383" y="483918"/>
                                      </a:lnTo>
                                      <a:close/>
                                    </a:path>
                                    <a:path w="618490" h="614045">
                                      <a:moveTo>
                                        <a:pt x="264298" y="0"/>
                                      </a:moveTo>
                                      <a:lnTo>
                                        <a:pt x="243356" y="47756"/>
                                      </a:lnTo>
                                      <a:lnTo>
                                        <a:pt x="242903" y="64186"/>
                                      </a:lnTo>
                                      <a:lnTo>
                                        <a:pt x="243355" y="78060"/>
                                      </a:lnTo>
                                      <a:lnTo>
                                        <a:pt x="249196" y="125227"/>
                                      </a:lnTo>
                                      <a:lnTo>
                                        <a:pt x="259815" y="176022"/>
                                      </a:lnTo>
                                      <a:lnTo>
                                        <a:pt x="264298" y="193189"/>
                                      </a:lnTo>
                                      <a:lnTo>
                                        <a:pt x="260421" y="210752"/>
                                      </a:lnTo>
                                      <a:lnTo>
                                        <a:pt x="232628" y="284683"/>
                                      </a:lnTo>
                                      <a:lnTo>
                                        <a:pt x="210862" y="334431"/>
                                      </a:lnTo>
                                      <a:lnTo>
                                        <a:pt x="185283" y="388286"/>
                                      </a:lnTo>
                                      <a:lnTo>
                                        <a:pt x="156968" y="442939"/>
                                      </a:lnTo>
                                      <a:lnTo>
                                        <a:pt x="126989" y="495078"/>
                                      </a:lnTo>
                                      <a:lnTo>
                                        <a:pt x="96424" y="541394"/>
                                      </a:lnTo>
                                      <a:lnTo>
                                        <a:pt x="66347" y="578575"/>
                                      </a:lnTo>
                                      <a:lnTo>
                                        <a:pt x="11956" y="612292"/>
                                      </a:lnTo>
                                      <a:lnTo>
                                        <a:pt x="50735" y="612292"/>
                                      </a:lnTo>
                                      <a:lnTo>
                                        <a:pt x="71662" y="597074"/>
                                      </a:lnTo>
                                      <a:lnTo>
                                        <a:pt x="100458" y="565967"/>
                                      </a:lnTo>
                                      <a:lnTo>
                                        <a:pt x="133785" y="520271"/>
                                      </a:lnTo>
                                      <a:lnTo>
                                        <a:pt x="171794" y="458747"/>
                                      </a:lnTo>
                                      <a:lnTo>
                                        <a:pt x="177814" y="456859"/>
                                      </a:lnTo>
                                      <a:lnTo>
                                        <a:pt x="171794" y="456859"/>
                                      </a:lnTo>
                                      <a:lnTo>
                                        <a:pt x="208811" y="389843"/>
                                      </a:lnTo>
                                      <a:lnTo>
                                        <a:pt x="235800" y="335453"/>
                                      </a:lnTo>
                                      <a:lnTo>
                                        <a:pt x="254663" y="291665"/>
                                      </a:lnTo>
                                      <a:lnTo>
                                        <a:pt x="267304" y="256455"/>
                                      </a:lnTo>
                                      <a:lnTo>
                                        <a:pt x="275626" y="227800"/>
                                      </a:lnTo>
                                      <a:lnTo>
                                        <a:pt x="297714" y="227800"/>
                                      </a:lnTo>
                                      <a:lnTo>
                                        <a:pt x="283806" y="191302"/>
                                      </a:lnTo>
                                      <a:lnTo>
                                        <a:pt x="288352" y="159208"/>
                                      </a:lnTo>
                                      <a:lnTo>
                                        <a:pt x="275626" y="159208"/>
                                      </a:lnTo>
                                      <a:lnTo>
                                        <a:pt x="268389" y="131598"/>
                                      </a:lnTo>
                                      <a:lnTo>
                                        <a:pt x="263512" y="104932"/>
                                      </a:lnTo>
                                      <a:lnTo>
                                        <a:pt x="260759" y="79918"/>
                                      </a:lnTo>
                                      <a:lnTo>
                                        <a:pt x="259894" y="57264"/>
                                      </a:lnTo>
                                      <a:lnTo>
                                        <a:pt x="260017" y="51601"/>
                                      </a:lnTo>
                                      <a:lnTo>
                                        <a:pt x="260100" y="47756"/>
                                      </a:lnTo>
                                      <a:lnTo>
                                        <a:pt x="261545" y="31700"/>
                                      </a:lnTo>
                                      <a:lnTo>
                                        <a:pt x="265469" y="15053"/>
                                      </a:lnTo>
                                      <a:lnTo>
                                        <a:pt x="273108" y="3775"/>
                                      </a:lnTo>
                                      <a:lnTo>
                                        <a:pt x="288436" y="3775"/>
                                      </a:lnTo>
                                      <a:lnTo>
                                        <a:pt x="280345" y="629"/>
                                      </a:lnTo>
                                      <a:lnTo>
                                        <a:pt x="264298" y="0"/>
                                      </a:lnTo>
                                      <a:close/>
                                    </a:path>
                                    <a:path w="618490" h="614045">
                                      <a:moveTo>
                                        <a:pt x="611663" y="455601"/>
                                      </a:moveTo>
                                      <a:lnTo>
                                        <a:pt x="594043" y="455601"/>
                                      </a:lnTo>
                                      <a:lnTo>
                                        <a:pt x="587121" y="461893"/>
                                      </a:lnTo>
                                      <a:lnTo>
                                        <a:pt x="587121" y="478884"/>
                                      </a:lnTo>
                                      <a:lnTo>
                                        <a:pt x="594043" y="485177"/>
                                      </a:lnTo>
                                      <a:lnTo>
                                        <a:pt x="611663" y="485177"/>
                                      </a:lnTo>
                                      <a:lnTo>
                                        <a:pt x="614809" y="482031"/>
                                      </a:lnTo>
                                      <a:lnTo>
                                        <a:pt x="595931" y="482031"/>
                                      </a:lnTo>
                                      <a:lnTo>
                                        <a:pt x="590267" y="476996"/>
                                      </a:lnTo>
                                      <a:lnTo>
                                        <a:pt x="590267" y="463781"/>
                                      </a:lnTo>
                                      <a:lnTo>
                                        <a:pt x="595931" y="458747"/>
                                      </a:lnTo>
                                      <a:lnTo>
                                        <a:pt x="614809" y="458747"/>
                                      </a:lnTo>
                                      <a:lnTo>
                                        <a:pt x="611663" y="455601"/>
                                      </a:lnTo>
                                      <a:close/>
                                    </a:path>
                                    <a:path w="618490" h="614045">
                                      <a:moveTo>
                                        <a:pt x="614809" y="458747"/>
                                      </a:moveTo>
                                      <a:lnTo>
                                        <a:pt x="609775" y="458747"/>
                                      </a:lnTo>
                                      <a:lnTo>
                                        <a:pt x="614180" y="463781"/>
                                      </a:lnTo>
                                      <a:lnTo>
                                        <a:pt x="614180" y="476996"/>
                                      </a:lnTo>
                                      <a:lnTo>
                                        <a:pt x="609775" y="482031"/>
                                      </a:lnTo>
                                      <a:lnTo>
                                        <a:pt x="614809" y="482031"/>
                                      </a:lnTo>
                                      <a:lnTo>
                                        <a:pt x="617956" y="478884"/>
                                      </a:lnTo>
                                      <a:lnTo>
                                        <a:pt x="617956" y="461893"/>
                                      </a:lnTo>
                                      <a:lnTo>
                                        <a:pt x="614809" y="458747"/>
                                      </a:lnTo>
                                      <a:close/>
                                    </a:path>
                                    <a:path w="618490" h="614045">
                                      <a:moveTo>
                                        <a:pt x="606629" y="460635"/>
                                      </a:moveTo>
                                      <a:lnTo>
                                        <a:pt x="596560" y="460635"/>
                                      </a:lnTo>
                                      <a:lnTo>
                                        <a:pt x="596560" y="478884"/>
                                      </a:lnTo>
                                      <a:lnTo>
                                        <a:pt x="599707" y="478884"/>
                                      </a:lnTo>
                                      <a:lnTo>
                                        <a:pt x="599707" y="471962"/>
                                      </a:lnTo>
                                      <a:lnTo>
                                        <a:pt x="607677" y="471962"/>
                                      </a:lnTo>
                                      <a:lnTo>
                                        <a:pt x="607258" y="471333"/>
                                      </a:lnTo>
                                      <a:lnTo>
                                        <a:pt x="605370" y="470703"/>
                                      </a:lnTo>
                                      <a:lnTo>
                                        <a:pt x="609146" y="469445"/>
                                      </a:lnTo>
                                      <a:lnTo>
                                        <a:pt x="599707" y="469445"/>
                                      </a:lnTo>
                                      <a:lnTo>
                                        <a:pt x="599707" y="464411"/>
                                      </a:lnTo>
                                      <a:lnTo>
                                        <a:pt x="608726" y="464411"/>
                                      </a:lnTo>
                                      <a:lnTo>
                                        <a:pt x="608621" y="463781"/>
                                      </a:lnTo>
                                      <a:lnTo>
                                        <a:pt x="608516" y="463152"/>
                                      </a:lnTo>
                                      <a:lnTo>
                                        <a:pt x="606629" y="460635"/>
                                      </a:lnTo>
                                      <a:close/>
                                    </a:path>
                                    <a:path w="618490" h="614045">
                                      <a:moveTo>
                                        <a:pt x="607677" y="471962"/>
                                      </a:moveTo>
                                      <a:lnTo>
                                        <a:pt x="603482" y="471962"/>
                                      </a:lnTo>
                                      <a:lnTo>
                                        <a:pt x="604741" y="473850"/>
                                      </a:lnTo>
                                      <a:lnTo>
                                        <a:pt x="605370" y="475738"/>
                                      </a:lnTo>
                                      <a:lnTo>
                                        <a:pt x="605999" y="478884"/>
                                      </a:lnTo>
                                      <a:lnTo>
                                        <a:pt x="609146" y="478884"/>
                                      </a:lnTo>
                                      <a:lnTo>
                                        <a:pt x="608516" y="475738"/>
                                      </a:lnTo>
                                      <a:lnTo>
                                        <a:pt x="608516" y="473221"/>
                                      </a:lnTo>
                                      <a:lnTo>
                                        <a:pt x="607677" y="471962"/>
                                      </a:lnTo>
                                      <a:close/>
                                    </a:path>
                                    <a:path w="618490" h="614045">
                                      <a:moveTo>
                                        <a:pt x="608726" y="464411"/>
                                      </a:moveTo>
                                      <a:lnTo>
                                        <a:pt x="604111" y="464411"/>
                                      </a:lnTo>
                                      <a:lnTo>
                                        <a:pt x="605370" y="465040"/>
                                      </a:lnTo>
                                      <a:lnTo>
                                        <a:pt x="605370" y="468816"/>
                                      </a:lnTo>
                                      <a:lnTo>
                                        <a:pt x="603482" y="469445"/>
                                      </a:lnTo>
                                      <a:lnTo>
                                        <a:pt x="609146" y="469445"/>
                                      </a:lnTo>
                                      <a:lnTo>
                                        <a:pt x="609146" y="466928"/>
                                      </a:lnTo>
                                      <a:lnTo>
                                        <a:pt x="608831" y="465040"/>
                                      </a:lnTo>
                                      <a:lnTo>
                                        <a:pt x="608726" y="464411"/>
                                      </a:lnTo>
                                      <a:close/>
                                    </a:path>
                                    <a:path w="618490" h="614045">
                                      <a:moveTo>
                                        <a:pt x="297714" y="227800"/>
                                      </a:moveTo>
                                      <a:lnTo>
                                        <a:pt x="275626" y="227800"/>
                                      </a:lnTo>
                                      <a:lnTo>
                                        <a:pt x="309587" y="295989"/>
                                      </a:lnTo>
                                      <a:lnTo>
                                        <a:pt x="344847" y="342408"/>
                                      </a:lnTo>
                                      <a:lnTo>
                                        <a:pt x="377746" y="371955"/>
                                      </a:lnTo>
                                      <a:lnTo>
                                        <a:pt x="404629" y="389526"/>
                                      </a:lnTo>
                                      <a:lnTo>
                                        <a:pt x="359632" y="398220"/>
                                      </a:lnTo>
                                      <a:lnTo>
                                        <a:pt x="312884" y="409240"/>
                                      </a:lnTo>
                                      <a:lnTo>
                                        <a:pt x="265351" y="422646"/>
                                      </a:lnTo>
                                      <a:lnTo>
                                        <a:pt x="217998" y="438499"/>
                                      </a:lnTo>
                                      <a:lnTo>
                                        <a:pt x="171794" y="456859"/>
                                      </a:lnTo>
                                      <a:lnTo>
                                        <a:pt x="177814" y="456859"/>
                                      </a:lnTo>
                                      <a:lnTo>
                                        <a:pt x="218426" y="444122"/>
                                      </a:lnTo>
                                      <a:lnTo>
                                        <a:pt x="268925" y="431310"/>
                                      </a:lnTo>
                                      <a:lnTo>
                                        <a:pt x="321719" y="420461"/>
                                      </a:lnTo>
                                      <a:lnTo>
                                        <a:pt x="375239" y="411727"/>
                                      </a:lnTo>
                                      <a:lnTo>
                                        <a:pt x="427912" y="405258"/>
                                      </a:lnTo>
                                      <a:lnTo>
                                        <a:pt x="475164" y="405258"/>
                                      </a:lnTo>
                                      <a:lnTo>
                                        <a:pt x="465040" y="400853"/>
                                      </a:lnTo>
                                      <a:lnTo>
                                        <a:pt x="507723" y="398896"/>
                                      </a:lnTo>
                                      <a:lnTo>
                                        <a:pt x="605120" y="398896"/>
                                      </a:lnTo>
                                      <a:lnTo>
                                        <a:pt x="588773" y="390077"/>
                                      </a:lnTo>
                                      <a:lnTo>
                                        <a:pt x="565301" y="385121"/>
                                      </a:lnTo>
                                      <a:lnTo>
                                        <a:pt x="437351" y="385121"/>
                                      </a:lnTo>
                                      <a:lnTo>
                                        <a:pt x="422750" y="376763"/>
                                      </a:lnTo>
                                      <a:lnTo>
                                        <a:pt x="380716" y="348622"/>
                                      </a:lnTo>
                                      <a:lnTo>
                                        <a:pt x="349468" y="316873"/>
                                      </a:lnTo>
                                      <a:lnTo>
                                        <a:pt x="322822" y="278693"/>
                                      </a:lnTo>
                                      <a:lnTo>
                                        <a:pt x="300895" y="236148"/>
                                      </a:lnTo>
                                      <a:lnTo>
                                        <a:pt x="297714" y="227800"/>
                                      </a:lnTo>
                                      <a:close/>
                                    </a:path>
                                    <a:path w="618490" h="614045">
                                      <a:moveTo>
                                        <a:pt x="475164" y="405258"/>
                                      </a:moveTo>
                                      <a:lnTo>
                                        <a:pt x="427912" y="405258"/>
                                      </a:lnTo>
                                      <a:lnTo>
                                        <a:pt x="469209" y="423920"/>
                                      </a:lnTo>
                                      <a:lnTo>
                                        <a:pt x="510034" y="437981"/>
                                      </a:lnTo>
                                      <a:lnTo>
                                        <a:pt x="547555" y="446850"/>
                                      </a:lnTo>
                                      <a:lnTo>
                                        <a:pt x="578940" y="449937"/>
                                      </a:lnTo>
                                      <a:lnTo>
                                        <a:pt x="591929" y="449091"/>
                                      </a:lnTo>
                                      <a:lnTo>
                                        <a:pt x="601673" y="446476"/>
                                      </a:lnTo>
                                      <a:lnTo>
                                        <a:pt x="608231" y="441973"/>
                                      </a:lnTo>
                                      <a:lnTo>
                                        <a:pt x="609341" y="439869"/>
                                      </a:lnTo>
                                      <a:lnTo>
                                        <a:pt x="592155" y="439869"/>
                                      </a:lnTo>
                                      <a:lnTo>
                                        <a:pt x="567249" y="437047"/>
                                      </a:lnTo>
                                      <a:lnTo>
                                        <a:pt x="536385" y="429092"/>
                                      </a:lnTo>
                                      <a:lnTo>
                                        <a:pt x="501627" y="416772"/>
                                      </a:lnTo>
                                      <a:lnTo>
                                        <a:pt x="475164" y="405258"/>
                                      </a:lnTo>
                                      <a:close/>
                                    </a:path>
                                    <a:path w="618490" h="614045">
                                      <a:moveTo>
                                        <a:pt x="611663" y="435464"/>
                                      </a:moveTo>
                                      <a:lnTo>
                                        <a:pt x="607258" y="437351"/>
                                      </a:lnTo>
                                      <a:lnTo>
                                        <a:pt x="600336" y="439869"/>
                                      </a:lnTo>
                                      <a:lnTo>
                                        <a:pt x="609341" y="439869"/>
                                      </a:lnTo>
                                      <a:lnTo>
                                        <a:pt x="611663" y="435464"/>
                                      </a:lnTo>
                                      <a:close/>
                                    </a:path>
                                    <a:path w="618490" h="614045">
                                      <a:moveTo>
                                        <a:pt x="605120" y="398896"/>
                                      </a:moveTo>
                                      <a:lnTo>
                                        <a:pt x="507723" y="398896"/>
                                      </a:lnTo>
                                      <a:lnTo>
                                        <a:pt x="557309" y="400302"/>
                                      </a:lnTo>
                                      <a:lnTo>
                                        <a:pt x="598045" y="408906"/>
                                      </a:lnTo>
                                      <a:lnTo>
                                        <a:pt x="614180" y="428541"/>
                                      </a:lnTo>
                                      <a:lnTo>
                                        <a:pt x="616068" y="424136"/>
                                      </a:lnTo>
                                      <a:lnTo>
                                        <a:pt x="617946" y="422249"/>
                                      </a:lnTo>
                                      <a:lnTo>
                                        <a:pt x="617946" y="417844"/>
                                      </a:lnTo>
                                      <a:lnTo>
                                        <a:pt x="610296" y="401689"/>
                                      </a:lnTo>
                                      <a:lnTo>
                                        <a:pt x="605120" y="398896"/>
                                      </a:lnTo>
                                      <a:close/>
                                    </a:path>
                                    <a:path w="618490" h="614045">
                                      <a:moveTo>
                                        <a:pt x="512865" y="380716"/>
                                      </a:moveTo>
                                      <a:lnTo>
                                        <a:pt x="496022" y="381139"/>
                                      </a:lnTo>
                                      <a:lnTo>
                                        <a:pt x="477704" y="382210"/>
                                      </a:lnTo>
                                      <a:lnTo>
                                        <a:pt x="437351" y="385121"/>
                                      </a:lnTo>
                                      <a:lnTo>
                                        <a:pt x="565301" y="385121"/>
                                      </a:lnTo>
                                      <a:lnTo>
                                        <a:pt x="555568" y="383066"/>
                                      </a:lnTo>
                                      <a:lnTo>
                                        <a:pt x="512865" y="380716"/>
                                      </a:lnTo>
                                      <a:close/>
                                    </a:path>
                                    <a:path w="618490" h="614045">
                                      <a:moveTo>
                                        <a:pt x="294504" y="51601"/>
                                      </a:moveTo>
                                      <a:lnTo>
                                        <a:pt x="291112" y="70184"/>
                                      </a:lnTo>
                                      <a:lnTo>
                                        <a:pt x="287189" y="94077"/>
                                      </a:lnTo>
                                      <a:lnTo>
                                        <a:pt x="282204" y="123634"/>
                                      </a:lnTo>
                                      <a:lnTo>
                                        <a:pt x="275713" y="158736"/>
                                      </a:lnTo>
                                      <a:lnTo>
                                        <a:pt x="275626" y="159208"/>
                                      </a:lnTo>
                                      <a:lnTo>
                                        <a:pt x="288352" y="159208"/>
                                      </a:lnTo>
                                      <a:lnTo>
                                        <a:pt x="288929" y="155138"/>
                                      </a:lnTo>
                                      <a:lnTo>
                                        <a:pt x="291751" y="120507"/>
                                      </a:lnTo>
                                      <a:lnTo>
                                        <a:pt x="293275" y="86349"/>
                                      </a:lnTo>
                                      <a:lnTo>
                                        <a:pt x="294504" y="51601"/>
                                      </a:lnTo>
                                      <a:close/>
                                    </a:path>
                                    <a:path w="618490" h="614045">
                                      <a:moveTo>
                                        <a:pt x="288436" y="3775"/>
                                      </a:moveTo>
                                      <a:lnTo>
                                        <a:pt x="273108" y="3775"/>
                                      </a:lnTo>
                                      <a:lnTo>
                                        <a:pt x="279903" y="8062"/>
                                      </a:lnTo>
                                      <a:lnTo>
                                        <a:pt x="286456" y="15053"/>
                                      </a:lnTo>
                                      <a:lnTo>
                                        <a:pt x="291603" y="25367"/>
                                      </a:lnTo>
                                      <a:lnTo>
                                        <a:pt x="294504" y="40274"/>
                                      </a:lnTo>
                                      <a:lnTo>
                                        <a:pt x="296864" y="16990"/>
                                      </a:lnTo>
                                      <a:lnTo>
                                        <a:pt x="291672" y="5034"/>
                                      </a:lnTo>
                                      <a:lnTo>
                                        <a:pt x="288436" y="3775"/>
                                      </a:lnTo>
                                      <a:close/>
                                    </a:path>
                                  </a:pathLst>
                                </a:custGeom>
                                <a:solidFill>
                                  <a:srgbClr val="FFD8D8"/>
                                </a:solidFill>
                              </wps:spPr>
                              <wps:bodyPr wrap="square" lIns="0" tIns="0" rIns="0" bIns="0" rtlCol="0">
                                <a:prstTxWarp prst="textNoShape">
                                  <a:avLst/>
                                </a:prstTxWarp>
                                <a:noAutofit/>
                              </wps:bodyPr>
                            </wps:wsp>
                          </wpg:wgp>
                        </a:graphicData>
                      </a:graphic>
                    </wp:anchor>
                  </w:drawing>
                </mc:Choice>
                <mc:Fallback>
                  <w:pict>
                    <v:group style="position:absolute;margin-left:97.3619pt;margin-top:-11.981653pt;width:48.7pt;height:48.35pt;mso-position-horizontal-relative:column;mso-position-vertical-relative:paragraph;z-index:-29534208" id="docshapegroup1224" coordorigin="1947,-240" coordsize="974,967">
                      <v:shape style="position:absolute;left:1947;top:-240;width:974;height:967" id="docshape1225" coordorigin="1947,-240" coordsize="974,967" path="m2123,522l2038,578,1984,631,1956,677,1947,710,1947,711,1953,723,1959,727,2024,727,2027,725,1966,725,1975,689,2006,638,2057,580,2123,522xm2363,-240l2344,-227,2334,-197,2330,-164,2330,-163,2330,-139,2330,-117,2332,-93,2336,-68,2340,-42,2345,-17,2350,10,2356,38,2363,65,2357,92,2340,142,2314,209,2279,287,2239,372,2194,458,2147,540,2099,613,2052,672,2007,710,1966,725,2027,725,2060,701,2105,652,2158,580,2218,483,2227,480,2218,480,2276,374,2319,289,2348,220,2368,164,2381,119,2416,119,2394,62,2401,11,2381,11,2370,-32,2362,-74,2358,-114,2357,-149,2357,-158,2357,-164,2359,-190,2365,-216,2377,-234,2401,-234,2389,-239,2363,-240xm2910,478l2883,478,2872,488,2872,515,2883,524,2910,524,2915,519,2886,519,2877,512,2877,491,2886,483,2915,483,2910,478xm2915,483l2908,483,2914,491,2914,512,2908,519,2915,519,2920,515,2920,488,2915,483xm2903,486l2887,486,2887,515,2892,515,2892,504,2904,504,2904,503,2901,502,2907,500,2892,500,2892,492,2906,492,2906,491,2906,490,2903,486xm2904,504l2898,504,2900,507,2901,510,2902,515,2907,515,2906,510,2906,506,2904,504xm2906,492l2899,492,2901,493,2901,499,2898,500,2907,500,2907,496,2906,493,2906,492xm2416,119l2381,119,2435,226,2490,300,2542,346,2584,374,2514,387,2440,405,2365,426,2291,451,2218,480,2227,480,2291,460,2371,440,2454,423,2538,409,2621,399,2696,399,2680,392,2747,389,2900,389,2874,375,2837,367,2636,367,2613,354,2590,340,2568,325,2547,309,2498,259,2456,199,2421,132,2416,119xm2696,399l2621,399,2686,428,2750,450,2810,464,2859,469,2879,468,2895,463,2905,456,2907,453,2880,453,2841,449,2792,436,2737,417,2696,399xm2910,446l2904,449,2893,453,2907,453,2910,446xm2900,389l2747,389,2825,391,2889,404,2914,435,2917,428,2920,425,2920,418,2908,393,2900,389xm2755,360l2728,361,2700,362,2636,367,2837,367,2822,364,2755,360xm2411,-158l2406,-129,2400,-91,2392,-45,2381,10,2381,11,2401,11,2402,5,2407,-50,2409,-104,2411,-158xm2401,-234l2377,-234,2388,-227,2398,-216,2406,-200,2411,-176,2415,-213,2407,-232,2401,-234xe" filled="true" fillcolor="#ffd8d8" stroked="false">
                        <v:path arrowok="t"/>
                        <v:fill type="solid"/>
                      </v:shape>
                      <w10:wrap type="none"/>
                    </v:group>
                  </w:pict>
                </mc:Fallback>
              </mc:AlternateContent>
            </w:r>
            <w:r>
              <w:rPr>
                <w:rFonts w:ascii="Trebuchet MS"/>
                <w:sz w:val="15"/>
              </w:rPr>
              <w:t>GABRIELA</w:t>
            </w:r>
            <w:r>
              <w:rPr>
                <w:rFonts w:ascii="Trebuchet MS"/>
                <w:spacing w:val="-1"/>
                <w:sz w:val="15"/>
              </w:rPr>
              <w:t> </w:t>
            </w:r>
            <w:r>
              <w:rPr>
                <w:rFonts w:ascii="Trebuchet MS"/>
                <w:sz w:val="15"/>
              </w:rPr>
              <w:t>MORALES</w:t>
            </w:r>
            <w:r>
              <w:rPr>
                <w:rFonts w:ascii="Trebuchet MS"/>
                <w:spacing w:val="-1"/>
                <w:sz w:val="15"/>
              </w:rPr>
              <w:t> </w:t>
            </w:r>
            <w:r>
              <w:rPr>
                <w:rFonts w:ascii="Trebuchet MS"/>
                <w:spacing w:val="-2"/>
                <w:sz w:val="15"/>
              </w:rPr>
              <w:t>JIMENEZ</w:t>
            </w:r>
          </w:p>
          <w:p>
            <w:pPr>
              <w:pStyle w:val="TableParagraph"/>
              <w:spacing w:line="257" w:lineRule="exact"/>
              <w:ind w:left="158"/>
              <w:rPr>
                <w:rFonts w:ascii="Trebuchet MS"/>
                <w:position w:val="3"/>
                <w:sz w:val="15"/>
              </w:rPr>
            </w:pPr>
            <w:r>
              <w:rPr>
                <w:rFonts w:ascii="Trebuchet MS"/>
                <w:sz w:val="27"/>
              </w:rPr>
              <w:t>MORALES</w:t>
            </w:r>
            <w:r>
              <w:rPr>
                <w:rFonts w:ascii="Trebuchet MS"/>
                <w:spacing w:val="-25"/>
                <w:sz w:val="27"/>
              </w:rPr>
              <w:t> </w:t>
            </w:r>
            <w:r>
              <w:rPr>
                <w:rFonts w:ascii="Trebuchet MS"/>
                <w:sz w:val="27"/>
              </w:rPr>
              <w:t>JIMENEZ</w:t>
            </w:r>
            <w:r>
              <w:rPr>
                <w:rFonts w:ascii="Trebuchet MS"/>
                <w:spacing w:val="54"/>
                <w:sz w:val="27"/>
              </w:rPr>
              <w:t> </w:t>
            </w:r>
            <w:r>
              <w:rPr>
                <w:rFonts w:ascii="Trebuchet MS"/>
                <w:spacing w:val="-2"/>
                <w:position w:val="3"/>
                <w:sz w:val="15"/>
              </w:rPr>
              <w:t>(FIRMA)</w:t>
            </w:r>
          </w:p>
          <w:p>
            <w:pPr>
              <w:pStyle w:val="TableParagraph"/>
              <w:tabs>
                <w:tab w:pos="2474" w:val="left" w:leader="none"/>
              </w:tabs>
              <w:spacing w:line="122" w:lineRule="auto" w:before="17"/>
              <w:ind w:left="2475" w:right="139" w:hanging="2317"/>
              <w:rPr>
                <w:rFonts w:ascii="Trebuchet MS" w:hAnsi="Trebuchet MS"/>
                <w:sz w:val="15"/>
              </w:rPr>
            </w:pPr>
            <w:r>
              <w:rPr>
                <w:rFonts w:ascii="Trebuchet MS" w:hAnsi="Trebuchet MS"/>
                <w:spacing w:val="-2"/>
                <w:position w:val="-16"/>
                <w:sz w:val="27"/>
              </w:rPr>
              <w:t>(FIRMA)</w:t>
            </w:r>
            <w:r>
              <w:rPr>
                <w:rFonts w:ascii="Trebuchet MS" w:hAnsi="Trebuchet MS"/>
                <w:position w:val="-16"/>
                <w:sz w:val="27"/>
              </w:rPr>
              <w:tab/>
            </w:r>
            <w:r>
              <w:rPr>
                <w:rFonts w:ascii="Trebuchet MS" w:hAnsi="Trebuchet MS"/>
                <w:sz w:val="15"/>
              </w:rPr>
              <w:t>Ubicación: San José Costa Rica </w:t>
            </w:r>
            <w:r>
              <w:rPr>
                <w:rFonts w:ascii="Trebuchet MS" w:hAnsi="Trebuchet MS"/>
                <w:spacing w:val="-4"/>
                <w:sz w:val="15"/>
              </w:rPr>
              <w:t>Fecha:</w:t>
            </w:r>
            <w:r>
              <w:rPr>
                <w:rFonts w:ascii="Trebuchet MS" w:hAnsi="Trebuchet MS"/>
                <w:spacing w:val="-13"/>
                <w:sz w:val="15"/>
              </w:rPr>
              <w:t> </w:t>
            </w:r>
            <w:r>
              <w:rPr>
                <w:rFonts w:ascii="Trebuchet MS" w:hAnsi="Trebuchet MS"/>
                <w:spacing w:val="-4"/>
                <w:sz w:val="15"/>
              </w:rPr>
              <w:t>2026.08.28</w:t>
            </w:r>
            <w:r>
              <w:rPr>
                <w:rFonts w:ascii="Trebuchet MS" w:hAnsi="Trebuchet MS"/>
                <w:spacing w:val="-13"/>
                <w:sz w:val="15"/>
              </w:rPr>
              <w:t> </w:t>
            </w:r>
            <w:r>
              <w:rPr>
                <w:rFonts w:ascii="Trebuchet MS" w:hAnsi="Trebuchet MS"/>
                <w:spacing w:val="-4"/>
                <w:sz w:val="15"/>
              </w:rPr>
              <w:t>12:25:06</w:t>
            </w:r>
            <w:r>
              <w:rPr>
                <w:rFonts w:ascii="Trebuchet MS" w:hAnsi="Trebuchet MS"/>
                <w:spacing w:val="-13"/>
                <w:sz w:val="15"/>
              </w:rPr>
              <w:t> </w:t>
            </w:r>
            <w:r>
              <w:rPr>
                <w:rFonts w:ascii="Trebuchet MS" w:hAnsi="Trebuchet MS"/>
                <w:spacing w:val="-4"/>
                <w:sz w:val="15"/>
              </w:rPr>
              <w:t>-</w:t>
            </w:r>
            <w:r>
              <w:rPr>
                <w:rFonts w:ascii="Trebuchet MS" w:hAnsi="Trebuchet MS"/>
                <w:spacing w:val="-4"/>
                <w:sz w:val="15"/>
              </w:rPr>
              <w:t>06'00'</w:t>
            </w:r>
          </w:p>
        </w:tc>
        <w:tc>
          <w:tcPr>
            <w:tcW w:w="4821" w:type="dxa"/>
          </w:tcPr>
          <w:p>
            <w:pPr>
              <w:pStyle w:val="TableParagraph"/>
              <w:rPr>
                <w:sz w:val="13"/>
              </w:rPr>
            </w:pPr>
          </w:p>
          <w:p>
            <w:pPr>
              <w:pStyle w:val="TableParagraph"/>
              <w:spacing w:before="36"/>
              <w:rPr>
                <w:sz w:val="13"/>
              </w:rPr>
            </w:pPr>
          </w:p>
          <w:p>
            <w:pPr>
              <w:pStyle w:val="TableParagraph"/>
              <w:spacing w:line="148" w:lineRule="auto"/>
              <w:ind w:left="1153"/>
              <w:rPr>
                <w:rFonts w:ascii="Trebuchet MS"/>
                <w:sz w:val="13"/>
              </w:rPr>
            </w:pPr>
            <w:r>
              <w:rPr>
                <w:rFonts w:ascii="Trebuchet MS"/>
                <w:position w:val="-10"/>
                <w:sz w:val="18"/>
              </w:rPr>
              <w:t>KATYA</w:t>
            </w:r>
            <w:r>
              <w:rPr>
                <w:rFonts w:ascii="Trebuchet MS"/>
                <w:spacing w:val="-16"/>
                <w:position w:val="-10"/>
                <w:sz w:val="18"/>
              </w:rPr>
              <w:t> </w:t>
            </w:r>
            <w:r>
              <w:rPr>
                <w:rFonts w:ascii="Trebuchet MS"/>
                <w:position w:val="-10"/>
                <w:sz w:val="18"/>
              </w:rPr>
              <w:t>ALEXANDRA</w:t>
            </w:r>
            <w:r>
              <w:rPr>
                <w:rFonts w:ascii="Trebuchet MS"/>
                <w:spacing w:val="4"/>
                <w:position w:val="-10"/>
                <w:sz w:val="18"/>
              </w:rPr>
              <w:t> </w:t>
            </w:r>
            <w:r>
              <w:rPr>
                <w:rFonts w:ascii="Trebuchet MS"/>
                <w:sz w:val="13"/>
              </w:rPr>
              <w:t>Firmado</w:t>
            </w:r>
            <w:r>
              <w:rPr>
                <w:rFonts w:ascii="Trebuchet MS"/>
                <w:spacing w:val="-11"/>
                <w:sz w:val="13"/>
              </w:rPr>
              <w:t> </w:t>
            </w:r>
            <w:r>
              <w:rPr>
                <w:rFonts w:ascii="Trebuchet MS"/>
                <w:sz w:val="13"/>
              </w:rPr>
              <w:t>digitalmente</w:t>
            </w:r>
            <w:r>
              <w:rPr>
                <w:rFonts w:ascii="Trebuchet MS"/>
                <w:spacing w:val="-11"/>
                <w:sz w:val="13"/>
              </w:rPr>
              <w:t> </w:t>
            </w:r>
            <w:r>
              <w:rPr>
                <w:rFonts w:ascii="Trebuchet MS"/>
                <w:spacing w:val="-5"/>
                <w:sz w:val="13"/>
              </w:rPr>
              <w:t>por</w:t>
            </w:r>
          </w:p>
          <w:p>
            <w:pPr>
              <w:pStyle w:val="TableParagraph"/>
              <w:spacing w:line="83" w:lineRule="exact"/>
              <w:ind w:left="2759"/>
              <w:rPr>
                <w:rFonts w:ascii="Trebuchet MS"/>
                <w:sz w:val="13"/>
              </w:rPr>
            </w:pPr>
            <w:r>
              <w:rPr>
                <w:rFonts w:ascii="Trebuchet MS"/>
                <w:sz w:val="13"/>
              </w:rPr>
              <mc:AlternateContent>
                <mc:Choice Requires="wps">
                  <w:drawing>
                    <wp:anchor distT="0" distB="0" distL="0" distR="0" allowOverlap="1" layoutInCell="1" locked="0" behindDoc="1" simplePos="0" relativeHeight="473781760">
                      <wp:simplePos x="0" y="0"/>
                      <wp:positionH relativeFrom="column">
                        <wp:posOffset>1471931</wp:posOffset>
                      </wp:positionH>
                      <wp:positionV relativeFrom="paragraph">
                        <wp:posOffset>-138772</wp:posOffset>
                      </wp:positionV>
                      <wp:extent cx="525780" cy="521970"/>
                      <wp:effectExtent l="0" t="0" r="0" b="0"/>
                      <wp:wrapNone/>
                      <wp:docPr id="1284" name="Group 1284"/>
                      <wp:cNvGraphicFramePr>
                        <a:graphicFrameLocks/>
                      </wp:cNvGraphicFramePr>
                      <a:graphic>
                        <a:graphicData uri="http://schemas.microsoft.com/office/word/2010/wordprocessingGroup">
                          <wpg:wgp>
                            <wpg:cNvPr id="1284" name="Group 1284"/>
                            <wpg:cNvGrpSpPr/>
                            <wpg:grpSpPr>
                              <a:xfrm>
                                <a:off x="0" y="0"/>
                                <a:ext cx="525780" cy="521970"/>
                                <a:chExt cx="525780" cy="521970"/>
                              </a:xfrm>
                            </wpg:grpSpPr>
                            <wps:wsp>
                              <wps:cNvPr id="1285" name="Graphic 1285"/>
                              <wps:cNvSpPr/>
                              <wps:spPr>
                                <a:xfrm>
                                  <a:off x="0" y="0"/>
                                  <a:ext cx="525780" cy="521970"/>
                                </a:xfrm>
                                <a:custGeom>
                                  <a:avLst/>
                                  <a:gdLst/>
                                  <a:ahLst/>
                                  <a:cxnLst/>
                                  <a:rect l="l" t="t" r="r" b="b"/>
                                  <a:pathLst>
                                    <a:path w="525780" h="521970">
                                      <a:moveTo>
                                        <a:pt x="94737" y="411598"/>
                                      </a:moveTo>
                                      <a:lnTo>
                                        <a:pt x="48999" y="441337"/>
                                      </a:lnTo>
                                      <a:lnTo>
                                        <a:pt x="19870" y="470073"/>
                                      </a:lnTo>
                                      <a:lnTo>
                                        <a:pt x="4490" y="494995"/>
                                      </a:lnTo>
                                      <a:lnTo>
                                        <a:pt x="0" y="513293"/>
                                      </a:lnTo>
                                      <a:lnTo>
                                        <a:pt x="3424" y="520176"/>
                                      </a:lnTo>
                                      <a:lnTo>
                                        <a:pt x="3553" y="520176"/>
                                      </a:lnTo>
                                      <a:lnTo>
                                        <a:pt x="6393" y="521859"/>
                                      </a:lnTo>
                                      <a:lnTo>
                                        <a:pt x="40139" y="521859"/>
                                      </a:lnTo>
                                      <a:lnTo>
                                        <a:pt x="43259" y="520787"/>
                                      </a:lnTo>
                                      <a:lnTo>
                                        <a:pt x="10169" y="520787"/>
                                      </a:lnTo>
                                      <a:lnTo>
                                        <a:pt x="14802" y="501317"/>
                                      </a:lnTo>
                                      <a:lnTo>
                                        <a:pt x="31980" y="473820"/>
                                      </a:lnTo>
                                      <a:lnTo>
                                        <a:pt x="59394" y="442508"/>
                                      </a:lnTo>
                                      <a:lnTo>
                                        <a:pt x="94737" y="411598"/>
                                      </a:lnTo>
                                      <a:close/>
                                    </a:path>
                                    <a:path w="525780" h="521970">
                                      <a:moveTo>
                                        <a:pt x="224800" y="0"/>
                                      </a:moveTo>
                                      <a:lnTo>
                                        <a:pt x="206987" y="40619"/>
                                      </a:lnTo>
                                      <a:lnTo>
                                        <a:pt x="206602" y="54594"/>
                                      </a:lnTo>
                                      <a:lnTo>
                                        <a:pt x="206986" y="66394"/>
                                      </a:lnTo>
                                      <a:lnTo>
                                        <a:pt x="211954" y="106512"/>
                                      </a:lnTo>
                                      <a:lnTo>
                                        <a:pt x="220986" y="149716"/>
                                      </a:lnTo>
                                      <a:lnTo>
                                        <a:pt x="224800" y="164318"/>
                                      </a:lnTo>
                                      <a:lnTo>
                                        <a:pt x="219924" y="184296"/>
                                      </a:lnTo>
                                      <a:lnTo>
                                        <a:pt x="206409" y="221176"/>
                                      </a:lnTo>
                                      <a:lnTo>
                                        <a:pt x="185926" y="269819"/>
                                      </a:lnTo>
                                      <a:lnTo>
                                        <a:pt x="160139" y="325090"/>
                                      </a:lnTo>
                                      <a:lnTo>
                                        <a:pt x="130729" y="381827"/>
                                      </a:lnTo>
                                      <a:lnTo>
                                        <a:pt x="99356" y="434911"/>
                                      </a:lnTo>
                                      <a:lnTo>
                                        <a:pt x="67691" y="479192"/>
                                      </a:lnTo>
                                      <a:lnTo>
                                        <a:pt x="37406" y="509531"/>
                                      </a:lnTo>
                                      <a:lnTo>
                                        <a:pt x="10169" y="520787"/>
                                      </a:lnTo>
                                      <a:lnTo>
                                        <a:pt x="43259" y="520787"/>
                                      </a:lnTo>
                                      <a:lnTo>
                                        <a:pt x="45035" y="520176"/>
                                      </a:lnTo>
                                      <a:lnTo>
                                        <a:pt x="72725" y="496099"/>
                                      </a:lnTo>
                                      <a:lnTo>
                                        <a:pt x="106336" y="453455"/>
                                      </a:lnTo>
                                      <a:lnTo>
                                        <a:pt x="146120" y="390189"/>
                                      </a:lnTo>
                                      <a:lnTo>
                                        <a:pt x="151378" y="388583"/>
                                      </a:lnTo>
                                      <a:lnTo>
                                        <a:pt x="146120" y="388583"/>
                                      </a:lnTo>
                                      <a:lnTo>
                                        <a:pt x="184080" y="319077"/>
                                      </a:lnTo>
                                      <a:lnTo>
                                        <a:pt x="209345" y="265679"/>
                                      </a:lnTo>
                                      <a:lnTo>
                                        <a:pt x="225076" y="225026"/>
                                      </a:lnTo>
                                      <a:lnTo>
                                        <a:pt x="234434" y="193756"/>
                                      </a:lnTo>
                                      <a:lnTo>
                                        <a:pt x="253222" y="193756"/>
                                      </a:lnTo>
                                      <a:lnTo>
                                        <a:pt x="241392" y="162712"/>
                                      </a:lnTo>
                                      <a:lnTo>
                                        <a:pt x="245259" y="135415"/>
                                      </a:lnTo>
                                      <a:lnTo>
                                        <a:pt x="234434" y="135415"/>
                                      </a:lnTo>
                                      <a:lnTo>
                                        <a:pt x="228279" y="111931"/>
                                      </a:lnTo>
                                      <a:lnTo>
                                        <a:pt x="224131" y="89251"/>
                                      </a:lnTo>
                                      <a:lnTo>
                                        <a:pt x="221789" y="67975"/>
                                      </a:lnTo>
                                      <a:lnTo>
                                        <a:pt x="221053" y="48706"/>
                                      </a:lnTo>
                                      <a:lnTo>
                                        <a:pt x="221158" y="43889"/>
                                      </a:lnTo>
                                      <a:lnTo>
                                        <a:pt x="221229" y="40619"/>
                                      </a:lnTo>
                                      <a:lnTo>
                                        <a:pt x="222458" y="26962"/>
                                      </a:lnTo>
                                      <a:lnTo>
                                        <a:pt x="225795" y="12803"/>
                                      </a:lnTo>
                                      <a:lnTo>
                                        <a:pt x="232293" y="3211"/>
                                      </a:lnTo>
                                      <a:lnTo>
                                        <a:pt x="245330" y="3211"/>
                                      </a:lnTo>
                                      <a:lnTo>
                                        <a:pt x="238448" y="535"/>
                                      </a:lnTo>
                                      <a:lnTo>
                                        <a:pt x="224800" y="0"/>
                                      </a:lnTo>
                                      <a:close/>
                                    </a:path>
                                    <a:path w="525780" h="521970">
                                      <a:moveTo>
                                        <a:pt x="520252" y="387512"/>
                                      </a:moveTo>
                                      <a:lnTo>
                                        <a:pt x="505265" y="387512"/>
                                      </a:lnTo>
                                      <a:lnTo>
                                        <a:pt x="499377" y="392865"/>
                                      </a:lnTo>
                                      <a:lnTo>
                                        <a:pt x="499377" y="407316"/>
                                      </a:lnTo>
                                      <a:lnTo>
                                        <a:pt x="505265" y="412669"/>
                                      </a:lnTo>
                                      <a:lnTo>
                                        <a:pt x="520252" y="412669"/>
                                      </a:lnTo>
                                      <a:lnTo>
                                        <a:pt x="522928" y="409992"/>
                                      </a:lnTo>
                                      <a:lnTo>
                                        <a:pt x="506871" y="409992"/>
                                      </a:lnTo>
                                      <a:lnTo>
                                        <a:pt x="502053" y="405710"/>
                                      </a:lnTo>
                                      <a:lnTo>
                                        <a:pt x="502053" y="394470"/>
                                      </a:lnTo>
                                      <a:lnTo>
                                        <a:pt x="506871" y="390189"/>
                                      </a:lnTo>
                                      <a:lnTo>
                                        <a:pt x="522928" y="390189"/>
                                      </a:lnTo>
                                      <a:lnTo>
                                        <a:pt x="520252" y="387512"/>
                                      </a:lnTo>
                                      <a:close/>
                                    </a:path>
                                    <a:path w="525780" h="521970">
                                      <a:moveTo>
                                        <a:pt x="522928" y="390189"/>
                                      </a:moveTo>
                                      <a:lnTo>
                                        <a:pt x="518646" y="390189"/>
                                      </a:lnTo>
                                      <a:lnTo>
                                        <a:pt x="522392" y="394470"/>
                                      </a:lnTo>
                                      <a:lnTo>
                                        <a:pt x="522392" y="405710"/>
                                      </a:lnTo>
                                      <a:lnTo>
                                        <a:pt x="518646" y="409992"/>
                                      </a:lnTo>
                                      <a:lnTo>
                                        <a:pt x="522928" y="409992"/>
                                      </a:lnTo>
                                      <a:lnTo>
                                        <a:pt x="525604" y="407316"/>
                                      </a:lnTo>
                                      <a:lnTo>
                                        <a:pt x="525604" y="392865"/>
                                      </a:lnTo>
                                      <a:lnTo>
                                        <a:pt x="522928" y="390189"/>
                                      </a:lnTo>
                                      <a:close/>
                                    </a:path>
                                    <a:path w="525780" h="521970">
                                      <a:moveTo>
                                        <a:pt x="515970" y="391794"/>
                                      </a:moveTo>
                                      <a:lnTo>
                                        <a:pt x="507406" y="391794"/>
                                      </a:lnTo>
                                      <a:lnTo>
                                        <a:pt x="507406" y="407316"/>
                                      </a:lnTo>
                                      <a:lnTo>
                                        <a:pt x="510082" y="407316"/>
                                      </a:lnTo>
                                      <a:lnTo>
                                        <a:pt x="510082" y="401429"/>
                                      </a:lnTo>
                                      <a:lnTo>
                                        <a:pt x="516862" y="401429"/>
                                      </a:lnTo>
                                      <a:lnTo>
                                        <a:pt x="516505" y="400893"/>
                                      </a:lnTo>
                                      <a:lnTo>
                                        <a:pt x="514899" y="400358"/>
                                      </a:lnTo>
                                      <a:lnTo>
                                        <a:pt x="518111" y="399288"/>
                                      </a:lnTo>
                                      <a:lnTo>
                                        <a:pt x="510082" y="399288"/>
                                      </a:lnTo>
                                      <a:lnTo>
                                        <a:pt x="510082" y="395006"/>
                                      </a:lnTo>
                                      <a:lnTo>
                                        <a:pt x="517754" y="395006"/>
                                      </a:lnTo>
                                      <a:lnTo>
                                        <a:pt x="517665" y="394470"/>
                                      </a:lnTo>
                                      <a:lnTo>
                                        <a:pt x="517575" y="393935"/>
                                      </a:lnTo>
                                      <a:lnTo>
                                        <a:pt x="515970" y="391794"/>
                                      </a:lnTo>
                                      <a:close/>
                                    </a:path>
                                    <a:path w="525780" h="521970">
                                      <a:moveTo>
                                        <a:pt x="516862" y="401429"/>
                                      </a:moveTo>
                                      <a:lnTo>
                                        <a:pt x="513293" y="401429"/>
                                      </a:lnTo>
                                      <a:lnTo>
                                        <a:pt x="514364" y="403034"/>
                                      </a:lnTo>
                                      <a:lnTo>
                                        <a:pt x="514899" y="404640"/>
                                      </a:lnTo>
                                      <a:lnTo>
                                        <a:pt x="515434" y="407316"/>
                                      </a:lnTo>
                                      <a:lnTo>
                                        <a:pt x="518111" y="407316"/>
                                      </a:lnTo>
                                      <a:lnTo>
                                        <a:pt x="517575" y="404640"/>
                                      </a:lnTo>
                                      <a:lnTo>
                                        <a:pt x="517575" y="402499"/>
                                      </a:lnTo>
                                      <a:lnTo>
                                        <a:pt x="516862" y="401429"/>
                                      </a:lnTo>
                                      <a:close/>
                                    </a:path>
                                    <a:path w="525780" h="521970">
                                      <a:moveTo>
                                        <a:pt x="517754" y="395006"/>
                                      </a:moveTo>
                                      <a:lnTo>
                                        <a:pt x="513829" y="395006"/>
                                      </a:lnTo>
                                      <a:lnTo>
                                        <a:pt x="514899" y="395541"/>
                                      </a:lnTo>
                                      <a:lnTo>
                                        <a:pt x="514899" y="398752"/>
                                      </a:lnTo>
                                      <a:lnTo>
                                        <a:pt x="513293" y="399288"/>
                                      </a:lnTo>
                                      <a:lnTo>
                                        <a:pt x="518111" y="399288"/>
                                      </a:lnTo>
                                      <a:lnTo>
                                        <a:pt x="518111" y="397147"/>
                                      </a:lnTo>
                                      <a:lnTo>
                                        <a:pt x="517843" y="395541"/>
                                      </a:lnTo>
                                      <a:lnTo>
                                        <a:pt x="517754" y="395006"/>
                                      </a:lnTo>
                                      <a:close/>
                                    </a:path>
                                    <a:path w="525780" h="521970">
                                      <a:moveTo>
                                        <a:pt x="253222" y="193756"/>
                                      </a:moveTo>
                                      <a:lnTo>
                                        <a:pt x="234434" y="193756"/>
                                      </a:lnTo>
                                      <a:lnTo>
                                        <a:pt x="263320" y="251754"/>
                                      </a:lnTo>
                                      <a:lnTo>
                                        <a:pt x="293310" y="291236"/>
                                      </a:lnTo>
                                      <a:lnTo>
                                        <a:pt x="321293" y="316367"/>
                                      </a:lnTo>
                                      <a:lnTo>
                                        <a:pt x="344158" y="331312"/>
                                      </a:lnTo>
                                      <a:lnTo>
                                        <a:pt x="295722" y="340947"/>
                                      </a:lnTo>
                                      <a:lnTo>
                                        <a:pt x="245942" y="353525"/>
                                      </a:lnTo>
                                      <a:lnTo>
                                        <a:pt x="195429" y="369398"/>
                                      </a:lnTo>
                                      <a:lnTo>
                                        <a:pt x="146120" y="388583"/>
                                      </a:lnTo>
                                      <a:lnTo>
                                        <a:pt x="151378" y="388583"/>
                                      </a:lnTo>
                                      <a:lnTo>
                                        <a:pt x="196265" y="374876"/>
                                      </a:lnTo>
                                      <a:lnTo>
                                        <a:pt x="251026" y="362022"/>
                                      </a:lnTo>
                                      <a:lnTo>
                                        <a:pt x="307795" y="351877"/>
                                      </a:lnTo>
                                      <a:lnTo>
                                        <a:pt x="363962" y="344693"/>
                                      </a:lnTo>
                                      <a:lnTo>
                                        <a:pt x="404152" y="344693"/>
                                      </a:lnTo>
                                      <a:lnTo>
                                        <a:pt x="395541" y="340947"/>
                                      </a:lnTo>
                                      <a:lnTo>
                                        <a:pt x="431845" y="339282"/>
                                      </a:lnTo>
                                      <a:lnTo>
                                        <a:pt x="514687" y="339282"/>
                                      </a:lnTo>
                                      <a:lnTo>
                                        <a:pt x="500782" y="331781"/>
                                      </a:lnTo>
                                      <a:lnTo>
                                        <a:pt x="480819" y="327566"/>
                                      </a:lnTo>
                                      <a:lnTo>
                                        <a:pt x="371990" y="327566"/>
                                      </a:lnTo>
                                      <a:lnTo>
                                        <a:pt x="359571" y="320457"/>
                                      </a:lnTo>
                                      <a:lnTo>
                                        <a:pt x="323819" y="296522"/>
                                      </a:lnTo>
                                      <a:lnTo>
                                        <a:pt x="274577" y="237043"/>
                                      </a:lnTo>
                                      <a:lnTo>
                                        <a:pt x="255927" y="200856"/>
                                      </a:lnTo>
                                      <a:lnTo>
                                        <a:pt x="253222" y="193756"/>
                                      </a:lnTo>
                                      <a:close/>
                                    </a:path>
                                    <a:path w="525780" h="521970">
                                      <a:moveTo>
                                        <a:pt x="404152" y="344693"/>
                                      </a:moveTo>
                                      <a:lnTo>
                                        <a:pt x="363962" y="344693"/>
                                      </a:lnTo>
                                      <a:lnTo>
                                        <a:pt x="399087" y="360566"/>
                                      </a:lnTo>
                                      <a:lnTo>
                                        <a:pt x="433810" y="372526"/>
                                      </a:lnTo>
                                      <a:lnTo>
                                        <a:pt x="465724" y="380069"/>
                                      </a:lnTo>
                                      <a:lnTo>
                                        <a:pt x="492419" y="382695"/>
                                      </a:lnTo>
                                      <a:lnTo>
                                        <a:pt x="503467" y="381976"/>
                                      </a:lnTo>
                                      <a:lnTo>
                                        <a:pt x="511755" y="379751"/>
                                      </a:lnTo>
                                      <a:lnTo>
                                        <a:pt x="517333" y="375921"/>
                                      </a:lnTo>
                                      <a:lnTo>
                                        <a:pt x="518276" y="374131"/>
                                      </a:lnTo>
                                      <a:lnTo>
                                        <a:pt x="503659" y="374131"/>
                                      </a:lnTo>
                                      <a:lnTo>
                                        <a:pt x="482475" y="371731"/>
                                      </a:lnTo>
                                      <a:lnTo>
                                        <a:pt x="456224" y="364965"/>
                                      </a:lnTo>
                                      <a:lnTo>
                                        <a:pt x="426660" y="354486"/>
                                      </a:lnTo>
                                      <a:lnTo>
                                        <a:pt x="404152" y="344693"/>
                                      </a:lnTo>
                                      <a:close/>
                                    </a:path>
                                    <a:path w="525780" h="521970">
                                      <a:moveTo>
                                        <a:pt x="520252" y="370385"/>
                                      </a:moveTo>
                                      <a:lnTo>
                                        <a:pt x="516505" y="371990"/>
                                      </a:lnTo>
                                      <a:lnTo>
                                        <a:pt x="510617" y="374131"/>
                                      </a:lnTo>
                                      <a:lnTo>
                                        <a:pt x="518276" y="374131"/>
                                      </a:lnTo>
                                      <a:lnTo>
                                        <a:pt x="520252" y="370385"/>
                                      </a:lnTo>
                                      <a:close/>
                                    </a:path>
                                    <a:path w="525780" h="521970">
                                      <a:moveTo>
                                        <a:pt x="514687" y="339282"/>
                                      </a:moveTo>
                                      <a:lnTo>
                                        <a:pt x="431845" y="339282"/>
                                      </a:lnTo>
                                      <a:lnTo>
                                        <a:pt x="474020" y="340478"/>
                                      </a:lnTo>
                                      <a:lnTo>
                                        <a:pt x="508669" y="347796"/>
                                      </a:lnTo>
                                      <a:lnTo>
                                        <a:pt x="522392" y="364497"/>
                                      </a:lnTo>
                                      <a:lnTo>
                                        <a:pt x="523998" y="360750"/>
                                      </a:lnTo>
                                      <a:lnTo>
                                        <a:pt x="525600" y="359145"/>
                                      </a:lnTo>
                                      <a:lnTo>
                                        <a:pt x="525600" y="355398"/>
                                      </a:lnTo>
                                      <a:lnTo>
                                        <a:pt x="519089" y="341657"/>
                                      </a:lnTo>
                                      <a:lnTo>
                                        <a:pt x="514687" y="339282"/>
                                      </a:lnTo>
                                      <a:close/>
                                    </a:path>
                                    <a:path w="525780" h="521970">
                                      <a:moveTo>
                                        <a:pt x="436219" y="323819"/>
                                      </a:moveTo>
                                      <a:lnTo>
                                        <a:pt x="421893" y="324179"/>
                                      </a:lnTo>
                                      <a:lnTo>
                                        <a:pt x="406313" y="325090"/>
                                      </a:lnTo>
                                      <a:lnTo>
                                        <a:pt x="371990" y="327566"/>
                                      </a:lnTo>
                                      <a:lnTo>
                                        <a:pt x="480819" y="327566"/>
                                      </a:lnTo>
                                      <a:lnTo>
                                        <a:pt x="472540" y="325818"/>
                                      </a:lnTo>
                                      <a:lnTo>
                                        <a:pt x="436219" y="323819"/>
                                      </a:lnTo>
                                      <a:close/>
                                    </a:path>
                                    <a:path w="525780" h="521970">
                                      <a:moveTo>
                                        <a:pt x="250491" y="43889"/>
                                      </a:moveTo>
                                      <a:lnTo>
                                        <a:pt x="247606" y="59695"/>
                                      </a:lnTo>
                                      <a:lnTo>
                                        <a:pt x="244269" y="80018"/>
                                      </a:lnTo>
                                      <a:lnTo>
                                        <a:pt x="240029" y="105157"/>
                                      </a:lnTo>
                                      <a:lnTo>
                                        <a:pt x="234508" y="135013"/>
                                      </a:lnTo>
                                      <a:lnTo>
                                        <a:pt x="234434" y="135415"/>
                                      </a:lnTo>
                                      <a:lnTo>
                                        <a:pt x="245259" y="135415"/>
                                      </a:lnTo>
                                      <a:lnTo>
                                        <a:pt x="245749" y="131953"/>
                                      </a:lnTo>
                                      <a:lnTo>
                                        <a:pt x="248150" y="102498"/>
                                      </a:lnTo>
                                      <a:lnTo>
                                        <a:pt x="249446" y="73444"/>
                                      </a:lnTo>
                                      <a:lnTo>
                                        <a:pt x="250491" y="43889"/>
                                      </a:lnTo>
                                      <a:close/>
                                    </a:path>
                                    <a:path w="525780" h="521970">
                                      <a:moveTo>
                                        <a:pt x="245330" y="3211"/>
                                      </a:moveTo>
                                      <a:lnTo>
                                        <a:pt x="232293" y="3211"/>
                                      </a:lnTo>
                                      <a:lnTo>
                                        <a:pt x="238072" y="6857"/>
                                      </a:lnTo>
                                      <a:lnTo>
                                        <a:pt x="243646" y="12803"/>
                                      </a:lnTo>
                                      <a:lnTo>
                                        <a:pt x="248024" y="21576"/>
                                      </a:lnTo>
                                      <a:lnTo>
                                        <a:pt x="250491" y="34255"/>
                                      </a:lnTo>
                                      <a:lnTo>
                                        <a:pt x="252498" y="14451"/>
                                      </a:lnTo>
                                      <a:lnTo>
                                        <a:pt x="248083" y="4281"/>
                                      </a:lnTo>
                                      <a:lnTo>
                                        <a:pt x="245330" y="3211"/>
                                      </a:lnTo>
                                      <a:close/>
                                    </a:path>
                                  </a:pathLst>
                                </a:custGeom>
                                <a:solidFill>
                                  <a:srgbClr val="FFD8D8"/>
                                </a:solidFill>
                              </wps:spPr>
                              <wps:bodyPr wrap="square" lIns="0" tIns="0" rIns="0" bIns="0" rtlCol="0">
                                <a:prstTxWarp prst="textNoShape">
                                  <a:avLst/>
                                </a:prstTxWarp>
                                <a:noAutofit/>
                              </wps:bodyPr>
                            </wps:wsp>
                          </wpg:wgp>
                        </a:graphicData>
                      </a:graphic>
                    </wp:anchor>
                  </w:drawing>
                </mc:Choice>
                <mc:Fallback>
                  <w:pict>
                    <v:group style="position:absolute;margin-left:115.900139pt;margin-top:-10.926999pt;width:41.4pt;height:41.1pt;mso-position-horizontal-relative:column;mso-position-vertical-relative:paragraph;z-index:-29534720" id="docshapegroup1226" coordorigin="2318,-219" coordsize="828,822">
                      <v:shape style="position:absolute;left:2318;top:-219;width:828;height:822" id="docshape1227" coordorigin="2318,-219" coordsize="828,822" path="m2467,430l2395,476,2349,522,2325,561,2318,590,2323,601,2324,601,2328,603,2381,603,2386,602,2334,602,2341,571,2368,528,2412,478,2467,430xm2672,-219l2655,-207,2647,-182,2644,-155,2644,-153,2643,-133,2644,-114,2646,-94,2648,-73,2652,-51,2656,-29,2661,-6,2666,17,2672,40,2664,72,2643,130,2611,206,2570,293,2524,383,2474,466,2425,536,2377,584,2334,602,2386,602,2389,601,2433,563,2485,496,2548,396,2556,393,2548,393,2608,284,2648,200,2672,136,2687,87,2717,87,2698,38,2704,-5,2687,-5,2677,-42,2671,-78,2667,-111,2666,-142,2666,-149,2666,-155,2668,-176,2674,-198,2684,-213,2704,-213,2694,-218,2672,-219xm3137,392l3114,392,3104,400,3104,423,3114,431,3137,431,3142,427,3116,427,3109,420,3109,403,3116,396,3142,396,3137,392xm3142,396l3135,396,3141,403,3141,420,3135,427,3142,427,3146,423,3146,400,3142,396xm3131,398l3117,398,3117,423,3121,423,3121,414,3132,414,3131,413,3129,412,3134,410,3121,410,3121,404,3133,404,3133,403,3133,402,3131,398xm3132,414l3126,414,3128,416,3129,419,3130,423,3134,423,3133,419,3133,415,3132,414xm3133,404l3127,404,3129,404,3129,409,3126,410,3134,410,3134,407,3134,404,3133,404xm2717,87l2687,87,2733,178,2780,240,2824,280,2860,303,2784,318,2705,338,2626,363,2548,393,2556,393,2627,372,2713,352,2803,336,2891,324,2954,324,2941,318,2998,316,3129,316,3107,304,3075,297,2904,297,2884,286,2865,274,2846,262,2828,248,2786,206,2750,155,2721,98,2717,87xm2954,324l2891,324,2946,349,3001,368,3051,380,3093,384,3111,383,3124,379,3133,373,3134,371,3111,371,3078,367,3036,356,2990,340,2954,324xm3137,365l3131,367,3122,371,3134,371,3137,365xm3129,316l2998,316,3064,318,3119,329,3141,355,3143,350,3146,347,3146,341,3135,320,3129,316xm3005,291l2982,292,2958,293,2904,297,3075,297,3062,295,3005,291xm2712,-149l2708,-125,2703,-93,2696,-53,2687,-6,2687,-5,2704,-5,2705,-11,2709,-57,2711,-103,2712,-149xm2704,-213l2684,-213,2693,-208,2702,-198,2709,-185,2712,-165,2716,-196,2709,-212,2704,-213xe" filled="true" fillcolor="#ffd8d8" stroked="false">
                        <v:path arrowok="t"/>
                        <v:fill type="solid"/>
                      </v:shape>
                      <w10:wrap type="none"/>
                    </v:group>
                  </w:pict>
                </mc:Fallback>
              </mc:AlternateContent>
            </w:r>
            <w:r>
              <w:rPr>
                <w:rFonts w:ascii="Trebuchet MS"/>
                <w:spacing w:val="-2"/>
                <w:sz w:val="13"/>
              </w:rPr>
              <w:t>KATYA</w:t>
            </w:r>
            <w:r>
              <w:rPr>
                <w:rFonts w:ascii="Trebuchet MS"/>
                <w:spacing w:val="-9"/>
                <w:sz w:val="13"/>
              </w:rPr>
              <w:t> </w:t>
            </w:r>
            <w:r>
              <w:rPr>
                <w:rFonts w:ascii="Trebuchet MS"/>
                <w:spacing w:val="-2"/>
                <w:sz w:val="13"/>
              </w:rPr>
              <w:t>ALEXANDRA</w:t>
            </w:r>
          </w:p>
          <w:p>
            <w:pPr>
              <w:pStyle w:val="TableParagraph"/>
              <w:tabs>
                <w:tab w:pos="2759" w:val="left" w:leader="none"/>
              </w:tabs>
              <w:spacing w:line="189" w:lineRule="exact"/>
              <w:ind w:left="1153"/>
              <w:rPr>
                <w:rFonts w:ascii="Trebuchet MS"/>
                <w:position w:val="2"/>
                <w:sz w:val="13"/>
              </w:rPr>
            </w:pPr>
            <w:r>
              <w:rPr>
                <w:rFonts w:ascii="Trebuchet MS"/>
                <w:spacing w:val="-5"/>
                <w:sz w:val="18"/>
              </w:rPr>
              <w:t>TORRES </w:t>
            </w:r>
            <w:r>
              <w:rPr>
                <w:rFonts w:ascii="Trebuchet MS"/>
                <w:spacing w:val="-4"/>
                <w:sz w:val="18"/>
              </w:rPr>
              <w:t>ROJAS</w:t>
            </w:r>
            <w:r>
              <w:rPr>
                <w:rFonts w:ascii="Trebuchet MS"/>
                <w:sz w:val="18"/>
              </w:rPr>
              <w:tab/>
            </w:r>
            <w:r>
              <w:rPr>
                <w:rFonts w:ascii="Trebuchet MS"/>
                <w:spacing w:val="-4"/>
                <w:position w:val="2"/>
                <w:sz w:val="13"/>
              </w:rPr>
              <w:t>TORRES</w:t>
            </w:r>
            <w:r>
              <w:rPr>
                <w:rFonts w:ascii="Trebuchet MS"/>
                <w:spacing w:val="-2"/>
                <w:position w:val="2"/>
                <w:sz w:val="13"/>
              </w:rPr>
              <w:t> </w:t>
            </w:r>
            <w:r>
              <w:rPr>
                <w:rFonts w:ascii="Trebuchet MS"/>
                <w:spacing w:val="-4"/>
                <w:position w:val="2"/>
                <w:sz w:val="13"/>
              </w:rPr>
              <w:t>ROJAS</w:t>
            </w:r>
            <w:r>
              <w:rPr>
                <w:rFonts w:ascii="Trebuchet MS"/>
                <w:spacing w:val="-2"/>
                <w:position w:val="2"/>
                <w:sz w:val="13"/>
              </w:rPr>
              <w:t> </w:t>
            </w:r>
            <w:r>
              <w:rPr>
                <w:rFonts w:ascii="Trebuchet MS"/>
                <w:spacing w:val="-4"/>
                <w:position w:val="2"/>
                <w:sz w:val="13"/>
              </w:rPr>
              <w:t>(FIRMA)</w:t>
            </w:r>
          </w:p>
          <w:p>
            <w:pPr>
              <w:pStyle w:val="TableParagraph"/>
              <w:tabs>
                <w:tab w:pos="2759" w:val="left" w:leader="none"/>
              </w:tabs>
              <w:spacing w:line="156" w:lineRule="auto" w:before="22"/>
              <w:ind w:left="1153"/>
              <w:rPr>
                <w:rFonts w:ascii="Trebuchet MS"/>
                <w:sz w:val="13"/>
              </w:rPr>
            </w:pPr>
            <w:r>
              <w:rPr>
                <w:rFonts w:ascii="Trebuchet MS"/>
                <w:spacing w:val="-2"/>
                <w:position w:val="-7"/>
                <w:sz w:val="18"/>
              </w:rPr>
              <w:t>(FIRMA)</w:t>
            </w:r>
            <w:r>
              <w:rPr>
                <w:rFonts w:ascii="Trebuchet MS"/>
                <w:position w:val="-7"/>
                <w:sz w:val="18"/>
              </w:rPr>
              <w:tab/>
            </w:r>
            <w:r>
              <w:rPr>
                <w:rFonts w:ascii="Trebuchet MS"/>
                <w:w w:val="90"/>
                <w:sz w:val="13"/>
              </w:rPr>
              <w:t>Fecha:</w:t>
            </w:r>
            <w:r>
              <w:rPr>
                <w:rFonts w:ascii="Trebuchet MS"/>
                <w:sz w:val="13"/>
              </w:rPr>
              <w:t> </w:t>
            </w:r>
            <w:r>
              <w:rPr>
                <w:rFonts w:ascii="Trebuchet MS"/>
                <w:w w:val="90"/>
                <w:sz w:val="13"/>
              </w:rPr>
              <w:t>2026.08.28</w:t>
            </w:r>
            <w:r>
              <w:rPr>
                <w:rFonts w:ascii="Trebuchet MS"/>
                <w:spacing w:val="1"/>
                <w:sz w:val="13"/>
              </w:rPr>
              <w:t> </w:t>
            </w:r>
            <w:r>
              <w:rPr>
                <w:rFonts w:ascii="Trebuchet MS"/>
                <w:spacing w:val="-2"/>
                <w:w w:val="90"/>
                <w:sz w:val="13"/>
              </w:rPr>
              <w:t>12:18:59</w:t>
            </w:r>
          </w:p>
          <w:p>
            <w:pPr>
              <w:pStyle w:val="TableParagraph"/>
              <w:spacing w:line="109" w:lineRule="exact"/>
              <w:ind w:left="2759"/>
              <w:rPr>
                <w:rFonts w:ascii="Trebuchet MS"/>
                <w:sz w:val="13"/>
              </w:rPr>
            </w:pPr>
            <w:r>
              <w:rPr>
                <w:rFonts w:ascii="Trebuchet MS"/>
                <w:sz w:val="13"/>
              </w:rPr>
              <w:t>-</w:t>
            </w:r>
            <w:r>
              <w:rPr>
                <w:rFonts w:ascii="Trebuchet MS"/>
                <w:spacing w:val="-2"/>
                <w:sz w:val="13"/>
              </w:rPr>
              <w:t>06'00'</w:t>
            </w:r>
          </w:p>
        </w:tc>
      </w:tr>
      <w:tr>
        <w:trPr>
          <w:trHeight w:val="597" w:hRule="atLeast"/>
        </w:trPr>
        <w:tc>
          <w:tcPr>
            <w:tcW w:w="4823" w:type="dxa"/>
          </w:tcPr>
          <w:p>
            <w:pPr>
              <w:pStyle w:val="TableParagraph"/>
              <w:spacing w:line="249" w:lineRule="exact"/>
              <w:ind w:left="10" w:right="3"/>
              <w:jc w:val="center"/>
              <w:rPr>
                <w:sz w:val="22"/>
              </w:rPr>
            </w:pPr>
            <w:r>
              <w:rPr>
                <w:sz w:val="22"/>
              </w:rPr>
              <w:t>Silvia</w:t>
            </w:r>
            <w:r>
              <w:rPr>
                <w:spacing w:val="-5"/>
                <w:sz w:val="22"/>
              </w:rPr>
              <w:t> </w:t>
            </w:r>
            <w:r>
              <w:rPr>
                <w:sz w:val="22"/>
              </w:rPr>
              <w:t>Morales</w:t>
            </w:r>
            <w:r>
              <w:rPr>
                <w:spacing w:val="-3"/>
                <w:sz w:val="22"/>
              </w:rPr>
              <w:t> </w:t>
            </w:r>
            <w:r>
              <w:rPr>
                <w:spacing w:val="-2"/>
                <w:sz w:val="22"/>
              </w:rPr>
              <w:t>Jimenéz</w:t>
            </w:r>
          </w:p>
          <w:p>
            <w:pPr>
              <w:pStyle w:val="TableParagraph"/>
              <w:spacing w:before="1"/>
              <w:ind w:left="10"/>
              <w:jc w:val="center"/>
              <w:rPr>
                <w:b/>
                <w:sz w:val="22"/>
              </w:rPr>
            </w:pPr>
            <w:r>
              <w:rPr>
                <w:b/>
                <w:sz w:val="22"/>
              </w:rPr>
              <w:t>Jefe,</w:t>
            </w:r>
            <w:r>
              <w:rPr>
                <w:b/>
                <w:spacing w:val="-6"/>
                <w:sz w:val="22"/>
              </w:rPr>
              <w:t> </w:t>
            </w:r>
            <w:r>
              <w:rPr>
                <w:b/>
                <w:sz w:val="22"/>
              </w:rPr>
              <w:t>Departamento</w:t>
            </w:r>
            <w:r>
              <w:rPr>
                <w:b/>
                <w:spacing w:val="-5"/>
                <w:sz w:val="22"/>
              </w:rPr>
              <w:t> </w:t>
            </w:r>
            <w:r>
              <w:rPr>
                <w:b/>
                <w:sz w:val="22"/>
              </w:rPr>
              <w:t>Administración</w:t>
            </w:r>
            <w:r>
              <w:rPr>
                <w:b/>
                <w:spacing w:val="-5"/>
                <w:sz w:val="22"/>
              </w:rPr>
              <w:t> </w:t>
            </w:r>
            <w:r>
              <w:rPr>
                <w:b/>
                <w:spacing w:val="-2"/>
                <w:sz w:val="22"/>
              </w:rPr>
              <w:t>Financiera</w:t>
            </w:r>
          </w:p>
        </w:tc>
        <w:tc>
          <w:tcPr>
            <w:tcW w:w="4821" w:type="dxa"/>
          </w:tcPr>
          <w:p>
            <w:pPr>
              <w:pStyle w:val="TableParagraph"/>
              <w:ind w:left="1946" w:right="680" w:hanging="404"/>
              <w:rPr>
                <w:b/>
                <w:sz w:val="22"/>
              </w:rPr>
            </w:pPr>
            <w:r>
              <w:rPr>
                <w:sz w:val="22"/>
              </w:rPr>
              <w:t>Kattya</w:t>
            </w:r>
            <w:r>
              <w:rPr>
                <w:spacing w:val="-14"/>
                <w:sz w:val="22"/>
              </w:rPr>
              <w:t> </w:t>
            </w:r>
            <w:r>
              <w:rPr>
                <w:sz w:val="22"/>
              </w:rPr>
              <w:t>Torres</w:t>
            </w:r>
            <w:r>
              <w:rPr>
                <w:spacing w:val="-14"/>
                <w:sz w:val="22"/>
              </w:rPr>
              <w:t> </w:t>
            </w:r>
            <w:r>
              <w:rPr>
                <w:sz w:val="22"/>
              </w:rPr>
              <w:t>Rojas </w:t>
            </w:r>
            <w:r>
              <w:rPr>
                <w:b/>
                <w:spacing w:val="-2"/>
                <w:sz w:val="22"/>
              </w:rPr>
              <w:t>Contadora</w:t>
            </w:r>
          </w:p>
        </w:tc>
      </w:tr>
    </w:tbl>
    <w:p>
      <w:pPr>
        <w:pStyle w:val="TableParagraph"/>
        <w:spacing w:after="0"/>
        <w:rPr>
          <w:b/>
          <w:sz w:val="22"/>
        </w:rPr>
        <w:sectPr>
          <w:pgSz w:w="12240" w:h="15840"/>
          <w:pgMar w:top="1720" w:bottom="280" w:left="1080" w:right="720"/>
        </w:sectPr>
      </w:pPr>
    </w:p>
    <w:p>
      <w:pPr>
        <w:pStyle w:val="Heading1"/>
        <w:spacing w:line="355" w:lineRule="exact"/>
        <w:ind w:left="4537"/>
      </w:pPr>
      <w:r>
        <w:rPr/>
        <w:drawing>
          <wp:anchor distT="0" distB="0" distL="0" distR="0" allowOverlap="1" layoutInCell="1" locked="0" behindDoc="0" simplePos="0" relativeHeight="15989248">
            <wp:simplePos x="0" y="0"/>
            <wp:positionH relativeFrom="page">
              <wp:posOffset>2805505</wp:posOffset>
            </wp:positionH>
            <wp:positionV relativeFrom="paragraph">
              <wp:posOffset>90270</wp:posOffset>
            </wp:positionV>
            <wp:extent cx="674664" cy="637804"/>
            <wp:effectExtent l="0" t="0" r="0" b="0"/>
            <wp:wrapNone/>
            <wp:docPr id="1286" name="Image 1286"/>
            <wp:cNvGraphicFramePr>
              <a:graphicFrameLocks/>
            </wp:cNvGraphicFramePr>
            <a:graphic>
              <a:graphicData uri="http://schemas.openxmlformats.org/drawingml/2006/picture">
                <pic:pic>
                  <pic:nvPicPr>
                    <pic:cNvPr id="1286" name="Image 1286"/>
                    <pic:cNvPicPr/>
                  </pic:nvPicPr>
                  <pic:blipFill>
                    <a:blip r:embed="rId92" cstate="print"/>
                    <a:stretch>
                      <a:fillRect/>
                    </a:stretch>
                  </pic:blipFill>
                  <pic:spPr>
                    <a:xfrm>
                      <a:off x="0" y="0"/>
                      <a:ext cx="674664" cy="637804"/>
                    </a:xfrm>
                    <a:prstGeom prst="rect">
                      <a:avLst/>
                    </a:prstGeom>
                  </pic:spPr>
                </pic:pic>
              </a:graphicData>
            </a:graphic>
          </wp:anchor>
        </w:drawing>
      </w:r>
      <w:r>
        <w:rPr>
          <w:color w:val="0A2352"/>
          <w:spacing w:val="-2"/>
          <w:w w:val="105"/>
        </w:rPr>
        <w:t>INSTITUTO</w:t>
      </w:r>
    </w:p>
    <w:p>
      <w:pPr>
        <w:pStyle w:val="Heading3"/>
      </w:pPr>
      <w:r>
        <w:rPr>
          <w:color w:val="283B6D"/>
          <w:w w:val="105"/>
        </w:rPr>
        <w:t>MIXTO</w:t>
      </w:r>
      <w:r>
        <w:rPr>
          <w:color w:val="283B6D"/>
          <w:spacing w:val="37"/>
          <w:w w:val="105"/>
        </w:rPr>
        <w:t> </w:t>
      </w:r>
      <w:r>
        <w:rPr>
          <w:color w:val="283B6D"/>
          <w:w w:val="105"/>
        </w:rPr>
        <w:t>DE</w:t>
      </w:r>
      <w:r>
        <w:rPr>
          <w:color w:val="283B6D"/>
          <w:spacing w:val="20"/>
          <w:w w:val="105"/>
        </w:rPr>
        <w:t> </w:t>
      </w:r>
      <w:r>
        <w:rPr>
          <w:color w:val="283B6D"/>
          <w:spacing w:val="-2"/>
          <w:w w:val="105"/>
        </w:rPr>
        <w:t>AYUDA</w:t>
      </w:r>
    </w:p>
    <w:p>
      <w:pPr>
        <w:pStyle w:val="BodyText"/>
        <w:spacing w:line="232" w:lineRule="exact"/>
        <w:ind w:left="4535"/>
        <w:rPr>
          <w:rFonts w:ascii="Times New Roman"/>
        </w:rPr>
      </w:pPr>
      <w:r>
        <w:rPr>
          <w:rFonts w:ascii="Times New Roman"/>
        </w:rPr>
        <mc:AlternateContent>
          <mc:Choice Requires="wps">
            <w:drawing>
              <wp:anchor distT="0" distB="0" distL="0" distR="0" allowOverlap="1" layoutInCell="1" locked="0" behindDoc="1" simplePos="0" relativeHeight="487846400">
                <wp:simplePos x="0" y="0"/>
                <wp:positionH relativeFrom="page">
                  <wp:posOffset>3565649</wp:posOffset>
                </wp:positionH>
                <wp:positionV relativeFrom="paragraph">
                  <wp:posOffset>181618</wp:posOffset>
                </wp:positionV>
                <wp:extent cx="1416685" cy="1270"/>
                <wp:effectExtent l="0" t="0" r="0" b="0"/>
                <wp:wrapTopAndBottom/>
                <wp:docPr id="1287" name="Graphic 1287"/>
                <wp:cNvGraphicFramePr>
                  <a:graphicFrameLocks/>
                </wp:cNvGraphicFramePr>
                <a:graphic>
                  <a:graphicData uri="http://schemas.microsoft.com/office/word/2010/wordprocessingShape">
                    <wps:wsp>
                      <wps:cNvPr id="1287" name="Graphic 1287"/>
                      <wps:cNvSpPr/>
                      <wps:spPr>
                        <a:xfrm>
                          <a:off x="0" y="0"/>
                          <a:ext cx="1416685" cy="1270"/>
                        </a:xfrm>
                        <a:custGeom>
                          <a:avLst/>
                          <a:gdLst/>
                          <a:ahLst/>
                          <a:cxnLst/>
                          <a:rect l="l" t="t" r="r" b="b"/>
                          <a:pathLst>
                            <a:path w="1416685" h="0">
                              <a:moveTo>
                                <a:pt x="0" y="0"/>
                              </a:moveTo>
                              <a:lnTo>
                                <a:pt x="141649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759827pt;margin-top:14.300653pt;width:111.55pt;height:.1pt;mso-position-horizontal-relative:page;mso-position-vertical-relative:paragraph;z-index:-15470080;mso-wrap-distance-left:0;mso-wrap-distance-right:0" id="docshape1228" coordorigin="5615,286" coordsize="2231,0" path="m5615,286l7846,286e" filled="false" stroked="true" strokeweight=".240291pt" strokecolor="#000000">
                <v:path arrowok="t"/>
                <v:stroke dashstyle="solid"/>
                <w10:wrap type="topAndBottom"/>
              </v:shape>
            </w:pict>
          </mc:Fallback>
        </mc:AlternateContent>
      </w:r>
      <w:r>
        <w:rPr>
          <w:rFonts w:ascii="Times New Roman"/>
          <w:color w:val="3D4D77"/>
          <w:spacing w:val="-2"/>
          <w:w w:val="105"/>
        </w:rPr>
        <w:t>SOCIAL</w:t>
      </w:r>
    </w:p>
    <w:p>
      <w:pPr>
        <w:spacing w:before="73"/>
        <w:ind w:left="4537" w:right="0" w:firstLine="0"/>
        <w:jc w:val="left"/>
        <w:rPr>
          <w:rFonts w:ascii="Arial"/>
          <w:b/>
          <w:sz w:val="15"/>
        </w:rPr>
      </w:pPr>
      <w:r>
        <w:rPr>
          <w:rFonts w:ascii="Arial"/>
          <w:b/>
          <w:color w:val="283B6D"/>
          <w:sz w:val="15"/>
        </w:rPr>
        <w:t>G</w:t>
      </w:r>
      <w:r>
        <w:rPr>
          <w:rFonts w:ascii="Arial"/>
          <w:b/>
          <w:color w:val="0A2352"/>
          <w:sz w:val="15"/>
        </w:rPr>
        <w:t>OB</w:t>
      </w:r>
      <w:r>
        <w:rPr>
          <w:rFonts w:ascii="Arial"/>
          <w:b/>
          <w:color w:val="283B6D"/>
          <w:sz w:val="15"/>
        </w:rPr>
        <w:t>IERN</w:t>
      </w:r>
      <w:r>
        <w:rPr>
          <w:rFonts w:ascii="Arial"/>
          <w:b/>
          <w:color w:val="0A2352"/>
          <w:sz w:val="15"/>
        </w:rPr>
        <w:t>O</w:t>
      </w:r>
      <w:r>
        <w:rPr>
          <w:rFonts w:ascii="Arial"/>
          <w:b/>
          <w:color w:val="0A2352"/>
          <w:spacing w:val="46"/>
          <w:sz w:val="15"/>
        </w:rPr>
        <w:t> </w:t>
      </w:r>
      <w:r>
        <w:rPr>
          <w:rFonts w:ascii="Arial"/>
          <w:b/>
          <w:color w:val="0A2352"/>
          <w:sz w:val="15"/>
        </w:rPr>
        <w:t>D</w:t>
      </w:r>
      <w:r>
        <w:rPr>
          <w:rFonts w:ascii="Arial"/>
          <w:b/>
          <w:color w:val="283B6D"/>
          <w:sz w:val="15"/>
        </w:rPr>
        <w:t>E</w:t>
      </w:r>
      <w:r>
        <w:rPr>
          <w:rFonts w:ascii="Arial"/>
          <w:b/>
          <w:color w:val="283B6D"/>
          <w:spacing w:val="30"/>
          <w:sz w:val="15"/>
        </w:rPr>
        <w:t> </w:t>
      </w:r>
      <w:r>
        <w:rPr>
          <w:rFonts w:ascii="Arial"/>
          <w:b/>
          <w:color w:val="0A2352"/>
          <w:sz w:val="15"/>
        </w:rPr>
        <w:t>CO</w:t>
      </w:r>
      <w:r>
        <w:rPr>
          <w:rFonts w:ascii="Arial"/>
          <w:b/>
          <w:color w:val="283B6D"/>
          <w:sz w:val="15"/>
        </w:rPr>
        <w:t>STA</w:t>
      </w:r>
      <w:r>
        <w:rPr>
          <w:rFonts w:ascii="Arial"/>
          <w:b/>
          <w:color w:val="283B6D"/>
          <w:spacing w:val="36"/>
          <w:sz w:val="15"/>
        </w:rPr>
        <w:t> </w:t>
      </w:r>
      <w:r>
        <w:rPr>
          <w:rFonts w:ascii="Arial"/>
          <w:b/>
          <w:color w:val="283B6D"/>
          <w:spacing w:val="-4"/>
          <w:sz w:val="15"/>
        </w:rPr>
        <w:t>RI</w:t>
      </w:r>
      <w:r>
        <w:rPr>
          <w:rFonts w:ascii="Arial"/>
          <w:b/>
          <w:color w:val="0A2352"/>
          <w:spacing w:val="-4"/>
          <w:sz w:val="15"/>
        </w:rPr>
        <w:t>C</w:t>
      </w:r>
      <w:r>
        <w:rPr>
          <w:rFonts w:ascii="Arial"/>
          <w:b/>
          <w:color w:val="283B6D"/>
          <w:spacing w:val="-4"/>
          <w:sz w:val="15"/>
        </w:rPr>
        <w:t>A</w:t>
      </w:r>
    </w:p>
    <w:p>
      <w:pPr>
        <w:pStyle w:val="BodyText"/>
        <w:spacing w:before="83"/>
        <w:rPr>
          <w:rFonts w:ascii="Arial"/>
          <w:b/>
          <w:sz w:val="20"/>
        </w:rPr>
      </w:pPr>
    </w:p>
    <w:p>
      <w:pPr>
        <w:tabs>
          <w:tab w:pos="9515" w:val="left" w:leader="none"/>
        </w:tabs>
        <w:spacing w:before="1"/>
        <w:ind w:left="593" w:right="0" w:firstLine="0"/>
        <w:jc w:val="left"/>
        <w:rPr>
          <w:sz w:val="20"/>
        </w:rPr>
      </w:pP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251</w:t>
      </w:r>
      <w:r>
        <w:rPr>
          <w:color w:val="172951"/>
          <w:sz w:val="20"/>
          <w:u w:val="single" w:color="000000"/>
        </w:rPr>
        <w:tab/>
      </w:r>
    </w:p>
    <w:p>
      <w:pPr>
        <w:pStyle w:val="BodyText"/>
        <w:rPr>
          <w:sz w:val="20"/>
        </w:rPr>
      </w:pPr>
    </w:p>
    <w:p>
      <w:pPr>
        <w:pStyle w:val="BodyText"/>
        <w:spacing w:before="211"/>
        <w:rPr>
          <w:sz w:val="20"/>
        </w:rPr>
      </w:pPr>
    </w:p>
    <w:p>
      <w:pPr>
        <w:pStyle w:val="Heading2"/>
      </w:pPr>
      <w:bookmarkStart w:name="_bookmark169" w:id="170"/>
      <w:bookmarkEnd w:id="170"/>
      <w:r>
        <w:rPr>
          <w:b w:val="0"/>
        </w:rPr>
      </w:r>
      <w:r>
        <w:rPr>
          <w:spacing w:val="-2"/>
        </w:rPr>
        <w:t>ANEXOS</w:t>
      </w:r>
    </w:p>
    <w:p>
      <w:pPr>
        <w:pStyle w:val="BodyText"/>
        <w:spacing w:before="173"/>
        <w:rPr>
          <w:rFonts w:ascii="Times New Roman"/>
          <w:b/>
          <w:sz w:val="24"/>
        </w:rPr>
      </w:pPr>
    </w:p>
    <w:p>
      <w:pPr>
        <w:pStyle w:val="BodyText"/>
        <w:ind w:left="622"/>
        <w:rPr>
          <w:rFonts w:ascii="Calibri"/>
        </w:rPr>
      </w:pPr>
      <w:r>
        <w:rPr>
          <w:rFonts w:ascii="Calibri"/>
        </w:rPr>
        <w:t>El</w:t>
      </w:r>
      <w:r>
        <w:rPr>
          <w:rFonts w:ascii="Calibri"/>
          <w:spacing w:val="-6"/>
        </w:rPr>
        <w:t> </w:t>
      </w:r>
      <w:r>
        <w:rPr>
          <w:rFonts w:ascii="Calibri"/>
        </w:rPr>
        <w:t>IMAS</w:t>
      </w:r>
      <w:r>
        <w:rPr>
          <w:rFonts w:ascii="Calibri"/>
          <w:spacing w:val="-6"/>
        </w:rPr>
        <w:t> </w:t>
      </w:r>
      <w:r>
        <w:rPr>
          <w:rFonts w:ascii="Calibri"/>
        </w:rPr>
        <w:t>presenta</w:t>
      </w:r>
      <w:r>
        <w:rPr>
          <w:rFonts w:ascii="Calibri"/>
          <w:spacing w:val="-8"/>
        </w:rPr>
        <w:t> </w:t>
      </w:r>
      <w:r>
        <w:rPr>
          <w:rFonts w:ascii="Calibri"/>
        </w:rPr>
        <w:t>los</w:t>
      </w:r>
      <w:r>
        <w:rPr>
          <w:rFonts w:ascii="Calibri"/>
          <w:spacing w:val="-8"/>
        </w:rPr>
        <w:t> </w:t>
      </w:r>
      <w:r>
        <w:rPr>
          <w:rFonts w:ascii="Calibri"/>
        </w:rPr>
        <w:t>anexos</w:t>
      </w:r>
      <w:r>
        <w:rPr>
          <w:rFonts w:ascii="Calibri"/>
          <w:spacing w:val="-5"/>
        </w:rPr>
        <w:t> </w:t>
      </w:r>
      <w:r>
        <w:rPr>
          <w:rFonts w:ascii="Calibri"/>
        </w:rPr>
        <w:t>en</w:t>
      </w:r>
      <w:r>
        <w:rPr>
          <w:rFonts w:ascii="Calibri"/>
          <w:spacing w:val="-6"/>
        </w:rPr>
        <w:t> </w:t>
      </w:r>
      <w:r>
        <w:rPr>
          <w:rFonts w:ascii="Calibri"/>
        </w:rPr>
        <w:t>una</w:t>
      </w:r>
      <w:r>
        <w:rPr>
          <w:rFonts w:ascii="Calibri"/>
          <w:spacing w:val="-5"/>
        </w:rPr>
        <w:t> </w:t>
      </w:r>
      <w:r>
        <w:rPr>
          <w:rFonts w:ascii="Calibri"/>
        </w:rPr>
        <w:t>carpeta</w:t>
      </w:r>
      <w:r>
        <w:rPr>
          <w:rFonts w:ascii="Calibri"/>
          <w:spacing w:val="-7"/>
        </w:rPr>
        <w:t> </w:t>
      </w:r>
      <w:r>
        <w:rPr>
          <w:rFonts w:ascii="Calibri"/>
          <w:spacing w:val="-2"/>
        </w:rPr>
        <w:t>aparte:</w:t>
      </w:r>
    </w:p>
    <w:p>
      <w:pPr>
        <w:pStyle w:val="BodyText"/>
        <w:spacing w:before="5"/>
        <w:rPr>
          <w:rFonts w:ascii="Calibri"/>
          <w:sz w:val="11"/>
        </w:rPr>
      </w:pPr>
      <w:r>
        <w:rPr>
          <w:rFonts w:ascii="Calibri"/>
          <w:sz w:val="11"/>
        </w:rPr>
        <mc:AlternateContent>
          <mc:Choice Requires="wps">
            <w:drawing>
              <wp:anchor distT="0" distB="0" distL="0" distR="0" allowOverlap="1" layoutInCell="1" locked="0" behindDoc="1" simplePos="0" relativeHeight="487846912">
                <wp:simplePos x="0" y="0"/>
                <wp:positionH relativeFrom="page">
                  <wp:posOffset>2051469</wp:posOffset>
                </wp:positionH>
                <wp:positionV relativeFrom="paragraph">
                  <wp:posOffset>103894</wp:posOffset>
                </wp:positionV>
                <wp:extent cx="818515" cy="1270"/>
                <wp:effectExtent l="0" t="0" r="0" b="0"/>
                <wp:wrapTopAndBottom/>
                <wp:docPr id="1288" name="Graphic 1288"/>
                <wp:cNvGraphicFramePr>
                  <a:graphicFrameLocks/>
                </wp:cNvGraphicFramePr>
                <a:graphic>
                  <a:graphicData uri="http://schemas.microsoft.com/office/word/2010/wordprocessingShape">
                    <wps:wsp>
                      <wps:cNvPr id="1288" name="Graphic 1288"/>
                      <wps:cNvSpPr/>
                      <wps:spPr>
                        <a:xfrm>
                          <a:off x="0" y="0"/>
                          <a:ext cx="818515" cy="1270"/>
                        </a:xfrm>
                        <a:custGeom>
                          <a:avLst/>
                          <a:gdLst/>
                          <a:ahLst/>
                          <a:cxnLst/>
                          <a:rect l="l" t="t" r="r" b="b"/>
                          <a:pathLst>
                            <a:path w="818515" h="0">
                              <a:moveTo>
                                <a:pt x="0" y="0"/>
                              </a:moveTo>
                              <a:lnTo>
                                <a:pt x="818145"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1.533051pt;margin-top:8.180662pt;width:64.45pt;height:.1pt;mso-position-horizontal-relative:page;mso-position-vertical-relative:paragraph;z-index:-15469568;mso-wrap-distance-left:0;mso-wrap-distance-right:0" id="docshape1229" coordorigin="3231,164" coordsize="1289,0" path="m3231,164l4519,164e" filled="false" stroked="true" strokeweight=".961164pt" strokecolor="#000000">
                <v:path arrowok="t"/>
                <v:stroke dashstyle="solid"/>
                <w10:wrap type="topAndBottom"/>
              </v:shape>
            </w:pict>
          </mc:Fallback>
        </mc:AlternateContent>
      </w:r>
      <w:r>
        <w:rPr>
          <w:rFonts w:ascii="Calibri"/>
          <w:sz w:val="11"/>
        </w:rPr>
        <mc:AlternateContent>
          <mc:Choice Requires="wps">
            <w:drawing>
              <wp:anchor distT="0" distB="0" distL="0" distR="0" allowOverlap="1" layoutInCell="1" locked="0" behindDoc="1" simplePos="0" relativeHeight="487847424">
                <wp:simplePos x="0" y="0"/>
                <wp:positionH relativeFrom="page">
                  <wp:posOffset>3297004</wp:posOffset>
                </wp:positionH>
                <wp:positionV relativeFrom="paragraph">
                  <wp:posOffset>103894</wp:posOffset>
                </wp:positionV>
                <wp:extent cx="1600200" cy="1270"/>
                <wp:effectExtent l="0" t="0" r="0" b="0"/>
                <wp:wrapTopAndBottom/>
                <wp:docPr id="1289" name="Graphic 1289"/>
                <wp:cNvGraphicFramePr>
                  <a:graphicFrameLocks/>
                </wp:cNvGraphicFramePr>
                <a:graphic>
                  <a:graphicData uri="http://schemas.microsoft.com/office/word/2010/wordprocessingShape">
                    <wps:wsp>
                      <wps:cNvPr id="1289" name="Graphic 1289"/>
                      <wps:cNvSpPr/>
                      <wps:spPr>
                        <a:xfrm>
                          <a:off x="0" y="0"/>
                          <a:ext cx="1600200" cy="1270"/>
                        </a:xfrm>
                        <a:custGeom>
                          <a:avLst/>
                          <a:gdLst/>
                          <a:ahLst/>
                          <a:cxnLst/>
                          <a:rect l="l" t="t" r="r" b="b"/>
                          <a:pathLst>
                            <a:path w="1600200" h="0">
                              <a:moveTo>
                                <a:pt x="0" y="0"/>
                              </a:moveTo>
                              <a:lnTo>
                                <a:pt x="1599657"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9.606689pt;margin-top:8.180662pt;width:126pt;height:.1pt;mso-position-horizontal-relative:page;mso-position-vertical-relative:paragraph;z-index:-15469056;mso-wrap-distance-left:0;mso-wrap-distance-right:0" id="docshape1230" coordorigin="5192,164" coordsize="2520,0" path="m5192,164l7711,164e" filled="false" stroked="true" strokeweight=".720873pt" strokecolor="#000000">
                <v:path arrowok="t"/>
                <v:stroke dashstyle="solid"/>
                <w10:wrap type="topAndBottom"/>
              </v:shape>
            </w:pict>
          </mc:Fallback>
        </mc:AlternateContent>
      </w:r>
    </w:p>
    <w:p>
      <w:pPr>
        <w:spacing w:before="44"/>
        <w:ind w:left="835" w:right="0" w:firstLine="0"/>
        <w:jc w:val="left"/>
        <w:rPr>
          <w:rFonts w:ascii="Arial"/>
          <w:sz w:val="17"/>
        </w:rPr>
      </w:pPr>
      <w:r>
        <w:rPr>
          <w:rFonts w:ascii="Arial"/>
          <w:color w:val="939393"/>
          <w:w w:val="110"/>
          <w:sz w:val="25"/>
        </w:rPr>
        <w:t>O</w:t>
      </w:r>
      <w:r>
        <w:rPr>
          <w:rFonts w:ascii="Arial"/>
          <w:color w:val="939393"/>
          <w:spacing w:val="71"/>
          <w:w w:val="110"/>
          <w:sz w:val="25"/>
        </w:rPr>
        <w:t> </w:t>
      </w:r>
      <w:r>
        <w:rPr>
          <w:rFonts w:ascii="Arial"/>
          <w:color w:val="5B6989"/>
          <w:spacing w:val="-2"/>
          <w:w w:val="110"/>
          <w:sz w:val="17"/>
        </w:rPr>
        <w:t>Nombre</w:t>
      </w:r>
    </w:p>
    <w:p>
      <w:pPr>
        <w:pStyle w:val="BodyText"/>
        <w:spacing w:before="96"/>
        <w:rPr>
          <w:rFonts w:ascii="Arial"/>
          <w:sz w:val="17"/>
        </w:rPr>
      </w:pPr>
    </w:p>
    <w:p>
      <w:pPr>
        <w:spacing w:line="578" w:lineRule="auto" w:before="1"/>
        <w:ind w:left="1285" w:right="5960" w:hanging="296"/>
        <w:jc w:val="left"/>
        <w:rPr>
          <w:rFonts w:ascii="Arial" w:hAnsi="Arial" w:cs="Arial" w:eastAsia="Arial"/>
          <w:sz w:val="17"/>
          <w:szCs w:val="17"/>
        </w:rPr>
      </w:pPr>
      <w:r>
        <w:rPr>
          <w:rFonts w:ascii="Arial" w:hAnsi="Arial" w:cs="Arial" w:eastAsia="Arial"/>
          <w:color w:val="E14D44"/>
          <w:spacing w:val="-2"/>
          <w:w w:val="105"/>
          <w:sz w:val="17"/>
          <w:szCs w:val="17"/>
        </w:rPr>
        <w:t>�</w:t>
      </w:r>
      <w:r>
        <w:rPr>
          <w:rFonts w:ascii="Arial" w:hAnsi="Arial" w:cs="Arial" w:eastAsia="Arial"/>
          <w:color w:val="E14D44"/>
          <w:spacing w:val="51"/>
          <w:w w:val="105"/>
          <w:sz w:val="17"/>
          <w:szCs w:val="17"/>
        </w:rPr>
        <w:t> </w:t>
      </w:r>
      <w:r>
        <w:rPr>
          <w:rFonts w:ascii="Arial" w:hAnsi="Arial" w:cs="Arial" w:eastAsia="Arial"/>
          <w:color w:val="0A080F"/>
          <w:spacing w:val="-2"/>
          <w:w w:val="105"/>
          <w:sz w:val="17"/>
          <w:szCs w:val="17"/>
        </w:rPr>
        <w:t>Anexo</w:t>
      </w:r>
      <w:r>
        <w:rPr>
          <w:rFonts w:ascii="Arial" w:hAnsi="Arial" w:cs="Arial" w:eastAsia="Arial"/>
          <w:color w:val="0A080F"/>
          <w:spacing w:val="-9"/>
          <w:w w:val="105"/>
          <w:sz w:val="17"/>
          <w:szCs w:val="17"/>
        </w:rPr>
        <w:t> </w:t>
      </w:r>
      <w:r>
        <w:rPr>
          <w:rFonts w:ascii="Arial" w:hAnsi="Arial" w:cs="Arial" w:eastAsia="Arial"/>
          <w:color w:val="0A080F"/>
          <w:spacing w:val="-2"/>
          <w:w w:val="105"/>
          <w:sz w:val="17"/>
          <w:szCs w:val="17"/>
        </w:rPr>
        <w:t>No</w:t>
      </w:r>
      <w:r>
        <w:rPr>
          <w:rFonts w:ascii="Arial" w:hAnsi="Arial" w:cs="Arial" w:eastAsia="Arial"/>
          <w:color w:val="31160A"/>
          <w:spacing w:val="-2"/>
          <w:w w:val="105"/>
          <w:sz w:val="17"/>
          <w:szCs w:val="17"/>
        </w:rPr>
        <w:t>.</w:t>
      </w:r>
      <w:r>
        <w:rPr>
          <w:rFonts w:ascii="Arial" w:hAnsi="Arial" w:cs="Arial" w:eastAsia="Arial"/>
          <w:color w:val="0A080F"/>
          <w:spacing w:val="-2"/>
          <w:w w:val="105"/>
          <w:sz w:val="17"/>
          <w:szCs w:val="17"/>
        </w:rPr>
        <w:t>1</w:t>
      </w:r>
      <w:r>
        <w:rPr>
          <w:rFonts w:ascii="Arial" w:hAnsi="Arial" w:cs="Arial" w:eastAsia="Arial"/>
          <w:color w:val="0A080F"/>
          <w:spacing w:val="-11"/>
          <w:w w:val="105"/>
          <w:sz w:val="17"/>
          <w:szCs w:val="17"/>
        </w:rPr>
        <w:t> </w:t>
      </w:r>
      <w:r>
        <w:rPr>
          <w:rFonts w:ascii="Arial" w:hAnsi="Arial" w:cs="Arial" w:eastAsia="Arial"/>
          <w:color w:val="0A080F"/>
          <w:spacing w:val="-2"/>
          <w:w w:val="105"/>
          <w:sz w:val="17"/>
          <w:szCs w:val="17"/>
        </w:rPr>
        <w:t>Declarac</w:t>
      </w:r>
      <w:r>
        <w:rPr>
          <w:rFonts w:ascii="Arial" w:hAnsi="Arial" w:cs="Arial" w:eastAsia="Arial"/>
          <w:color w:val="4D2A00"/>
          <w:spacing w:val="-2"/>
          <w:w w:val="105"/>
          <w:sz w:val="17"/>
          <w:szCs w:val="17"/>
        </w:rPr>
        <w:t>i</w:t>
      </w:r>
      <w:r>
        <w:rPr>
          <w:rFonts w:ascii="Arial" w:hAnsi="Arial" w:cs="Arial" w:eastAsia="Arial"/>
          <w:color w:val="1C161F"/>
          <w:spacing w:val="-2"/>
          <w:w w:val="105"/>
          <w:sz w:val="17"/>
          <w:szCs w:val="17"/>
        </w:rPr>
        <w:t>ón</w:t>
      </w:r>
      <w:r>
        <w:rPr>
          <w:rFonts w:ascii="Arial" w:hAnsi="Arial" w:cs="Arial" w:eastAsia="Arial"/>
          <w:color w:val="1C161F"/>
          <w:spacing w:val="-10"/>
          <w:w w:val="105"/>
          <w:sz w:val="17"/>
          <w:szCs w:val="17"/>
        </w:rPr>
        <w:t> </w:t>
      </w:r>
      <w:r>
        <w:rPr>
          <w:rFonts w:ascii="Arial" w:hAnsi="Arial" w:cs="Arial" w:eastAsia="Arial"/>
          <w:color w:val="1C161F"/>
          <w:spacing w:val="-2"/>
          <w:w w:val="105"/>
          <w:sz w:val="17"/>
          <w:szCs w:val="17"/>
        </w:rPr>
        <w:t>sobre</w:t>
      </w:r>
      <w:r>
        <w:rPr>
          <w:rFonts w:ascii="Arial" w:hAnsi="Arial" w:cs="Arial" w:eastAsia="Arial"/>
          <w:color w:val="1C161F"/>
          <w:spacing w:val="-11"/>
          <w:w w:val="105"/>
          <w:sz w:val="17"/>
          <w:szCs w:val="17"/>
        </w:rPr>
        <w:t> </w:t>
      </w:r>
      <w:r>
        <w:rPr>
          <w:rFonts w:ascii="Arial" w:hAnsi="Arial" w:cs="Arial" w:eastAsia="Arial"/>
          <w:color w:val="1C161F"/>
          <w:spacing w:val="-2"/>
          <w:w w:val="105"/>
          <w:sz w:val="17"/>
          <w:szCs w:val="17"/>
        </w:rPr>
        <w:t>NICSP </w:t>
      </w:r>
      <w:r>
        <w:rPr>
          <w:rFonts w:ascii="Arial" w:hAnsi="Arial" w:cs="Arial" w:eastAsia="Arial"/>
          <w:color w:val="0A080F"/>
          <w:w w:val="105"/>
          <w:sz w:val="17"/>
          <w:szCs w:val="17"/>
        </w:rPr>
        <w:t>Anexo No</w:t>
      </w:r>
      <w:r>
        <w:rPr>
          <w:rFonts w:ascii="Arial" w:hAnsi="Arial" w:cs="Arial" w:eastAsia="Arial"/>
          <w:color w:val="31160A"/>
          <w:w w:val="105"/>
          <w:sz w:val="17"/>
          <w:szCs w:val="17"/>
        </w:rPr>
        <w:t>.</w:t>
      </w:r>
      <w:r>
        <w:rPr>
          <w:rFonts w:ascii="Arial" w:hAnsi="Arial" w:cs="Arial" w:eastAsia="Arial"/>
          <w:color w:val="0A080F"/>
          <w:w w:val="105"/>
          <w:sz w:val="17"/>
          <w:szCs w:val="17"/>
        </w:rPr>
        <w:t>2 Norma</w:t>
      </w:r>
      <w:r>
        <w:rPr>
          <w:rFonts w:ascii="Arial" w:hAnsi="Arial" w:cs="Arial" w:eastAsia="Arial"/>
          <w:color w:val="31160A"/>
          <w:w w:val="105"/>
          <w:sz w:val="17"/>
          <w:szCs w:val="17"/>
        </w:rPr>
        <w:t>t</w:t>
      </w:r>
      <w:r>
        <w:rPr>
          <w:rFonts w:ascii="Arial" w:hAnsi="Arial" w:cs="Arial" w:eastAsia="Arial"/>
          <w:color w:val="0A080F"/>
          <w:w w:val="105"/>
          <w:sz w:val="17"/>
          <w:szCs w:val="17"/>
        </w:rPr>
        <w:t>iva</w:t>
      </w:r>
    </w:p>
    <w:p>
      <w:pPr>
        <w:spacing w:line="190" w:lineRule="exact" w:before="0"/>
        <w:ind w:left="989" w:right="0" w:firstLine="0"/>
        <w:jc w:val="left"/>
        <w:rPr>
          <w:rFonts w:ascii="Arial" w:hAnsi="Arial" w:cs="Arial" w:eastAsia="Arial"/>
          <w:sz w:val="17"/>
          <w:szCs w:val="17"/>
        </w:rPr>
      </w:pPr>
      <w:r>
        <w:rPr>
          <w:rFonts w:ascii="Arial" w:hAnsi="Arial" w:cs="Arial" w:eastAsia="Arial"/>
          <w:color w:val="E14D44"/>
          <w:w w:val="105"/>
          <w:sz w:val="17"/>
          <w:szCs w:val="17"/>
        </w:rPr>
        <w:t>�</w:t>
      </w:r>
      <w:r>
        <w:rPr>
          <w:rFonts w:ascii="Arial" w:hAnsi="Arial" w:cs="Arial" w:eastAsia="Arial"/>
          <w:color w:val="E14D44"/>
          <w:spacing w:val="77"/>
          <w:w w:val="105"/>
          <w:sz w:val="17"/>
          <w:szCs w:val="17"/>
        </w:rPr>
        <w:t> </w:t>
      </w:r>
      <w:r>
        <w:rPr>
          <w:rFonts w:ascii="Arial" w:hAnsi="Arial" w:cs="Arial" w:eastAsia="Arial"/>
          <w:color w:val="0A080F"/>
          <w:w w:val="105"/>
          <w:sz w:val="17"/>
          <w:szCs w:val="17"/>
        </w:rPr>
        <w:t>Anexo</w:t>
      </w:r>
      <w:r>
        <w:rPr>
          <w:rFonts w:ascii="Arial" w:hAnsi="Arial" w:cs="Arial" w:eastAsia="Arial"/>
          <w:color w:val="0A080F"/>
          <w:spacing w:val="3"/>
          <w:w w:val="105"/>
          <w:sz w:val="17"/>
          <w:szCs w:val="17"/>
        </w:rPr>
        <w:t> </w:t>
      </w:r>
      <w:r>
        <w:rPr>
          <w:rFonts w:ascii="Arial" w:hAnsi="Arial" w:cs="Arial" w:eastAsia="Arial"/>
          <w:color w:val="0A080F"/>
          <w:w w:val="105"/>
          <w:sz w:val="17"/>
          <w:szCs w:val="17"/>
        </w:rPr>
        <w:t>No.3</w:t>
      </w:r>
      <w:r>
        <w:rPr>
          <w:rFonts w:ascii="Arial" w:hAnsi="Arial" w:cs="Arial" w:eastAsia="Arial"/>
          <w:color w:val="0A080F"/>
          <w:spacing w:val="39"/>
          <w:w w:val="105"/>
          <w:sz w:val="17"/>
          <w:szCs w:val="17"/>
        </w:rPr>
        <w:t> </w:t>
      </w:r>
      <w:r>
        <w:rPr>
          <w:rFonts w:ascii="Arial" w:hAnsi="Arial" w:cs="Arial" w:eastAsia="Arial"/>
          <w:color w:val="1C161F"/>
          <w:w w:val="105"/>
          <w:sz w:val="17"/>
          <w:szCs w:val="17"/>
        </w:rPr>
        <w:t>Pol</w:t>
      </w:r>
      <w:r>
        <w:rPr>
          <w:rFonts w:ascii="Arial" w:hAnsi="Arial" w:cs="Arial" w:eastAsia="Arial"/>
          <w:color w:val="4D2A00"/>
          <w:w w:val="105"/>
          <w:sz w:val="17"/>
          <w:szCs w:val="17"/>
        </w:rPr>
        <w:t>í</w:t>
      </w:r>
      <w:r>
        <w:rPr>
          <w:rFonts w:ascii="Arial" w:hAnsi="Arial" w:cs="Arial" w:eastAsia="Arial"/>
          <w:color w:val="31160A"/>
          <w:w w:val="105"/>
          <w:sz w:val="17"/>
          <w:szCs w:val="17"/>
        </w:rPr>
        <w:t>t</w:t>
      </w:r>
      <w:r>
        <w:rPr>
          <w:rFonts w:ascii="Arial" w:hAnsi="Arial" w:cs="Arial" w:eastAsia="Arial"/>
          <w:color w:val="0A2352"/>
          <w:w w:val="105"/>
          <w:sz w:val="17"/>
          <w:szCs w:val="17"/>
        </w:rPr>
        <w:t>i</w:t>
      </w:r>
      <w:r>
        <w:rPr>
          <w:rFonts w:ascii="Arial" w:hAnsi="Arial" w:cs="Arial" w:eastAsia="Arial"/>
          <w:color w:val="1C161F"/>
          <w:w w:val="105"/>
          <w:sz w:val="17"/>
          <w:szCs w:val="17"/>
        </w:rPr>
        <w:t>cas</w:t>
      </w:r>
      <w:r>
        <w:rPr>
          <w:rFonts w:ascii="Arial" w:hAnsi="Arial" w:cs="Arial" w:eastAsia="Arial"/>
          <w:color w:val="1C161F"/>
          <w:spacing w:val="-15"/>
          <w:w w:val="105"/>
          <w:sz w:val="17"/>
          <w:szCs w:val="17"/>
        </w:rPr>
        <w:t> </w:t>
      </w:r>
      <w:r>
        <w:rPr>
          <w:rFonts w:ascii="Arial" w:hAnsi="Arial" w:cs="Arial" w:eastAsia="Arial"/>
          <w:color w:val="1C161F"/>
          <w:w w:val="105"/>
          <w:sz w:val="17"/>
          <w:szCs w:val="17"/>
        </w:rPr>
        <w:t>contables</w:t>
      </w:r>
      <w:r>
        <w:rPr>
          <w:rFonts w:ascii="Arial" w:hAnsi="Arial" w:cs="Arial" w:eastAsia="Arial"/>
          <w:color w:val="1C161F"/>
          <w:spacing w:val="2"/>
          <w:w w:val="105"/>
          <w:sz w:val="17"/>
          <w:szCs w:val="17"/>
        </w:rPr>
        <w:t> </w:t>
      </w:r>
      <w:r>
        <w:rPr>
          <w:rFonts w:ascii="Arial" w:hAnsi="Arial" w:cs="Arial" w:eastAsia="Arial"/>
          <w:color w:val="1C161F"/>
          <w:w w:val="105"/>
          <w:sz w:val="17"/>
          <w:szCs w:val="17"/>
        </w:rPr>
        <w:t>gene</w:t>
      </w:r>
      <w:r>
        <w:rPr>
          <w:rFonts w:ascii="Arial" w:hAnsi="Arial" w:cs="Arial" w:eastAsia="Arial"/>
          <w:color w:val="0A2352"/>
          <w:w w:val="105"/>
          <w:sz w:val="17"/>
          <w:szCs w:val="17"/>
        </w:rPr>
        <w:t>r</w:t>
      </w:r>
      <w:r>
        <w:rPr>
          <w:rFonts w:ascii="Arial" w:hAnsi="Arial" w:cs="Arial" w:eastAsia="Arial"/>
          <w:color w:val="0A080F"/>
          <w:w w:val="105"/>
          <w:sz w:val="17"/>
          <w:szCs w:val="17"/>
        </w:rPr>
        <w:t>ales</w:t>
      </w:r>
      <w:r>
        <w:rPr>
          <w:rFonts w:ascii="Arial" w:hAnsi="Arial" w:cs="Arial" w:eastAsia="Arial"/>
          <w:color w:val="0A080F"/>
          <w:spacing w:val="-20"/>
          <w:w w:val="105"/>
          <w:sz w:val="17"/>
          <w:szCs w:val="17"/>
        </w:rPr>
        <w:t> </w:t>
      </w:r>
      <w:r>
        <w:rPr>
          <w:rFonts w:ascii="Arial" w:hAnsi="Arial" w:cs="Arial" w:eastAsia="Arial"/>
          <w:color w:val="0A080F"/>
          <w:spacing w:val="-2"/>
          <w:w w:val="105"/>
          <w:sz w:val="17"/>
          <w:szCs w:val="17"/>
        </w:rPr>
        <w:t>apl</w:t>
      </w:r>
      <w:r>
        <w:rPr>
          <w:rFonts w:ascii="Arial" w:hAnsi="Arial" w:cs="Arial" w:eastAsia="Arial"/>
          <w:color w:val="4D2A00"/>
          <w:spacing w:val="-2"/>
          <w:w w:val="105"/>
          <w:sz w:val="17"/>
          <w:szCs w:val="17"/>
        </w:rPr>
        <w:t>i</w:t>
      </w:r>
      <w:r>
        <w:rPr>
          <w:rFonts w:ascii="Arial" w:hAnsi="Arial" w:cs="Arial" w:eastAsia="Arial"/>
          <w:color w:val="1C161F"/>
          <w:spacing w:val="-2"/>
          <w:w w:val="105"/>
          <w:sz w:val="17"/>
          <w:szCs w:val="17"/>
        </w:rPr>
        <w:t>can</w:t>
      </w:r>
    </w:p>
    <w:p>
      <w:pPr>
        <w:pStyle w:val="BodyText"/>
        <w:spacing w:before="79"/>
        <w:rPr>
          <w:rFonts w:ascii="Arial"/>
          <w:sz w:val="17"/>
        </w:rPr>
      </w:pPr>
    </w:p>
    <w:p>
      <w:pPr>
        <w:spacing w:before="1"/>
        <w:ind w:left="989" w:right="0" w:firstLine="0"/>
        <w:jc w:val="left"/>
        <w:rPr>
          <w:rFonts w:ascii="Arial" w:hAnsi="Arial" w:cs="Arial" w:eastAsia="Arial"/>
          <w:sz w:val="17"/>
          <w:szCs w:val="17"/>
        </w:rPr>
      </w:pPr>
      <w:r>
        <w:rPr>
          <w:rFonts w:ascii="Arial" w:hAnsi="Arial" w:cs="Arial" w:eastAsia="Arial"/>
          <w:color w:val="E14D44"/>
          <w:w w:val="105"/>
          <w:sz w:val="17"/>
          <w:szCs w:val="17"/>
        </w:rPr>
        <w:t>�</w:t>
      </w:r>
      <w:r>
        <w:rPr>
          <w:rFonts w:ascii="Arial" w:hAnsi="Arial" w:cs="Arial" w:eastAsia="Arial"/>
          <w:color w:val="E14D44"/>
          <w:spacing w:val="69"/>
          <w:w w:val="150"/>
          <w:sz w:val="17"/>
          <w:szCs w:val="17"/>
        </w:rPr>
        <w:t> </w:t>
      </w:r>
      <w:r>
        <w:rPr>
          <w:rFonts w:ascii="Arial" w:hAnsi="Arial" w:cs="Arial" w:eastAsia="Arial"/>
          <w:color w:val="0A080F"/>
          <w:w w:val="105"/>
          <w:sz w:val="17"/>
          <w:szCs w:val="17"/>
        </w:rPr>
        <w:t>Anexo</w:t>
      </w:r>
      <w:r>
        <w:rPr>
          <w:rFonts w:ascii="Arial" w:hAnsi="Arial" w:cs="Arial" w:eastAsia="Arial"/>
          <w:color w:val="0A080F"/>
          <w:spacing w:val="4"/>
          <w:w w:val="105"/>
          <w:sz w:val="17"/>
          <w:szCs w:val="17"/>
        </w:rPr>
        <w:t> </w:t>
      </w:r>
      <w:r>
        <w:rPr>
          <w:rFonts w:ascii="Arial" w:hAnsi="Arial" w:cs="Arial" w:eastAsia="Arial"/>
          <w:color w:val="0A080F"/>
          <w:w w:val="105"/>
          <w:sz w:val="17"/>
          <w:szCs w:val="17"/>
        </w:rPr>
        <w:t>No.4</w:t>
      </w:r>
      <w:r>
        <w:rPr>
          <w:rFonts w:ascii="Arial" w:hAnsi="Arial" w:cs="Arial" w:eastAsia="Arial"/>
          <w:color w:val="0A080F"/>
          <w:spacing w:val="-5"/>
          <w:w w:val="105"/>
          <w:sz w:val="17"/>
          <w:szCs w:val="17"/>
        </w:rPr>
        <w:t> </w:t>
      </w:r>
      <w:r>
        <w:rPr>
          <w:rFonts w:ascii="Arial" w:hAnsi="Arial" w:cs="Arial" w:eastAsia="Arial"/>
          <w:color w:val="0A080F"/>
          <w:w w:val="105"/>
          <w:sz w:val="17"/>
          <w:szCs w:val="17"/>
        </w:rPr>
        <w:t>P</w:t>
      </w:r>
      <w:r>
        <w:rPr>
          <w:rFonts w:ascii="Arial" w:hAnsi="Arial" w:cs="Arial" w:eastAsia="Arial"/>
          <w:color w:val="4D2A00"/>
          <w:w w:val="105"/>
          <w:sz w:val="17"/>
          <w:szCs w:val="17"/>
        </w:rPr>
        <w:t>l</w:t>
      </w:r>
      <w:r>
        <w:rPr>
          <w:rFonts w:ascii="Arial" w:hAnsi="Arial" w:cs="Arial" w:eastAsia="Arial"/>
          <w:color w:val="0A080F"/>
          <w:w w:val="105"/>
          <w:sz w:val="17"/>
          <w:szCs w:val="17"/>
        </w:rPr>
        <w:t>a</w:t>
      </w:r>
      <w:r>
        <w:rPr>
          <w:rFonts w:ascii="Arial" w:hAnsi="Arial" w:cs="Arial" w:eastAsia="Arial"/>
          <w:color w:val="08132A"/>
          <w:w w:val="105"/>
          <w:sz w:val="17"/>
          <w:szCs w:val="17"/>
        </w:rPr>
        <w:t>n</w:t>
      </w:r>
      <w:r>
        <w:rPr>
          <w:rFonts w:ascii="Arial" w:hAnsi="Arial" w:cs="Arial" w:eastAsia="Arial"/>
          <w:color w:val="08132A"/>
          <w:spacing w:val="-8"/>
          <w:w w:val="105"/>
          <w:sz w:val="17"/>
          <w:szCs w:val="17"/>
        </w:rPr>
        <w:t> </w:t>
      </w:r>
      <w:r>
        <w:rPr>
          <w:rFonts w:ascii="Arial" w:hAnsi="Arial" w:cs="Arial" w:eastAsia="Arial"/>
          <w:color w:val="0A080F"/>
          <w:w w:val="105"/>
          <w:sz w:val="17"/>
          <w:szCs w:val="17"/>
        </w:rPr>
        <w:t>Gene</w:t>
      </w:r>
      <w:r>
        <w:rPr>
          <w:rFonts w:ascii="Arial" w:hAnsi="Arial" w:cs="Arial" w:eastAsia="Arial"/>
          <w:color w:val="0A2352"/>
          <w:w w:val="105"/>
          <w:sz w:val="17"/>
          <w:szCs w:val="17"/>
        </w:rPr>
        <w:t>r</w:t>
      </w:r>
      <w:r>
        <w:rPr>
          <w:rFonts w:ascii="Arial" w:hAnsi="Arial" w:cs="Arial" w:eastAsia="Arial"/>
          <w:color w:val="0A080F"/>
          <w:w w:val="105"/>
          <w:sz w:val="17"/>
          <w:szCs w:val="17"/>
        </w:rPr>
        <w:t>al</w:t>
      </w:r>
      <w:r>
        <w:rPr>
          <w:rFonts w:ascii="Arial" w:hAnsi="Arial" w:cs="Arial" w:eastAsia="Arial"/>
          <w:color w:val="0A080F"/>
          <w:spacing w:val="-8"/>
          <w:w w:val="105"/>
          <w:sz w:val="17"/>
          <w:szCs w:val="17"/>
        </w:rPr>
        <w:t> </w:t>
      </w:r>
      <w:r>
        <w:rPr>
          <w:rFonts w:ascii="Arial" w:hAnsi="Arial" w:cs="Arial" w:eastAsia="Arial"/>
          <w:color w:val="0A080F"/>
          <w:w w:val="105"/>
          <w:sz w:val="17"/>
          <w:szCs w:val="17"/>
        </w:rPr>
        <w:t>de</w:t>
      </w:r>
      <w:r>
        <w:rPr>
          <w:rFonts w:ascii="Arial" w:hAnsi="Arial" w:cs="Arial" w:eastAsia="Arial"/>
          <w:color w:val="0A080F"/>
          <w:spacing w:val="-11"/>
          <w:w w:val="105"/>
          <w:sz w:val="17"/>
          <w:szCs w:val="17"/>
        </w:rPr>
        <w:t> </w:t>
      </w:r>
      <w:r>
        <w:rPr>
          <w:rFonts w:ascii="Arial" w:hAnsi="Arial" w:cs="Arial" w:eastAsia="Arial"/>
          <w:color w:val="0A080F"/>
          <w:w w:val="105"/>
          <w:sz w:val="17"/>
          <w:szCs w:val="17"/>
        </w:rPr>
        <w:t>Contabi</w:t>
      </w:r>
      <w:r>
        <w:rPr>
          <w:rFonts w:ascii="Arial" w:hAnsi="Arial" w:cs="Arial" w:eastAsia="Arial"/>
          <w:color w:val="4D2A00"/>
          <w:w w:val="105"/>
          <w:sz w:val="17"/>
          <w:szCs w:val="17"/>
        </w:rPr>
        <w:t>l</w:t>
      </w:r>
      <w:r>
        <w:rPr>
          <w:rFonts w:ascii="Arial" w:hAnsi="Arial" w:cs="Arial" w:eastAsia="Arial"/>
          <w:color w:val="0A080F"/>
          <w:w w:val="105"/>
          <w:sz w:val="17"/>
          <w:szCs w:val="17"/>
        </w:rPr>
        <w:t>ida</w:t>
      </w:r>
      <w:r>
        <w:rPr>
          <w:rFonts w:ascii="Arial" w:hAnsi="Arial" w:cs="Arial" w:eastAsia="Arial"/>
          <w:color w:val="182B44"/>
          <w:w w:val="105"/>
          <w:sz w:val="17"/>
          <w:szCs w:val="17"/>
        </w:rPr>
        <w:t>d</w:t>
      </w:r>
      <w:r>
        <w:rPr>
          <w:rFonts w:ascii="Arial" w:hAnsi="Arial" w:cs="Arial" w:eastAsia="Arial"/>
          <w:color w:val="182B44"/>
          <w:spacing w:val="2"/>
          <w:w w:val="105"/>
          <w:sz w:val="17"/>
          <w:szCs w:val="17"/>
        </w:rPr>
        <w:t> </w:t>
      </w:r>
      <w:r>
        <w:rPr>
          <w:rFonts w:ascii="Arial" w:hAnsi="Arial" w:cs="Arial" w:eastAsia="Arial"/>
          <w:color w:val="0A080F"/>
          <w:w w:val="105"/>
          <w:sz w:val="17"/>
          <w:szCs w:val="17"/>
        </w:rPr>
        <w:t>de</w:t>
      </w:r>
      <w:r>
        <w:rPr>
          <w:rFonts w:ascii="Arial" w:hAnsi="Arial" w:cs="Arial" w:eastAsia="Arial"/>
          <w:color w:val="4D2A00"/>
          <w:w w:val="105"/>
          <w:sz w:val="17"/>
          <w:szCs w:val="17"/>
        </w:rPr>
        <w:t>l</w:t>
      </w:r>
      <w:r>
        <w:rPr>
          <w:rFonts w:ascii="Arial" w:hAnsi="Arial" w:cs="Arial" w:eastAsia="Arial"/>
          <w:color w:val="4D2A00"/>
          <w:spacing w:val="-12"/>
          <w:w w:val="105"/>
          <w:sz w:val="17"/>
          <w:szCs w:val="17"/>
        </w:rPr>
        <w:t> </w:t>
      </w:r>
      <w:r>
        <w:rPr>
          <w:rFonts w:ascii="Arial" w:hAnsi="Arial" w:cs="Arial" w:eastAsia="Arial"/>
          <w:color w:val="0A080F"/>
          <w:w w:val="105"/>
          <w:sz w:val="17"/>
          <w:szCs w:val="17"/>
        </w:rPr>
        <w:t>IMAS</w:t>
      </w:r>
      <w:r>
        <w:rPr>
          <w:rFonts w:ascii="Arial" w:hAnsi="Arial" w:cs="Arial" w:eastAsia="Arial"/>
          <w:color w:val="0A080F"/>
          <w:spacing w:val="-5"/>
          <w:w w:val="105"/>
          <w:sz w:val="17"/>
          <w:szCs w:val="17"/>
        </w:rPr>
        <w:t> </w:t>
      </w:r>
      <w:r>
        <w:rPr>
          <w:rFonts w:ascii="Arial" w:hAnsi="Arial" w:cs="Arial" w:eastAsia="Arial"/>
          <w:color w:val="1C161F"/>
          <w:spacing w:val="-5"/>
          <w:w w:val="105"/>
          <w:sz w:val="17"/>
          <w:szCs w:val="17"/>
        </w:rPr>
        <w:t>V.6</w:t>
      </w:r>
    </w:p>
    <w:p>
      <w:pPr>
        <w:pStyle w:val="BodyText"/>
        <w:spacing w:before="75"/>
        <w:rPr>
          <w:rFonts w:ascii="Arial"/>
          <w:sz w:val="17"/>
        </w:rPr>
      </w:pPr>
    </w:p>
    <w:p>
      <w:pPr>
        <w:spacing w:before="0"/>
        <w:ind w:left="989" w:right="0" w:firstLine="0"/>
        <w:jc w:val="left"/>
        <w:rPr>
          <w:rFonts w:ascii="Arial" w:hAnsi="Arial" w:cs="Arial" w:eastAsia="Arial"/>
          <w:sz w:val="17"/>
          <w:szCs w:val="17"/>
        </w:rPr>
      </w:pPr>
      <w:r>
        <w:rPr>
          <w:rFonts w:ascii="Arial" w:hAnsi="Arial" w:cs="Arial" w:eastAsia="Arial"/>
          <w:color w:val="E14D44"/>
          <w:sz w:val="17"/>
          <w:szCs w:val="17"/>
        </w:rPr>
        <w:t>�</w:t>
      </w:r>
      <w:r>
        <w:rPr>
          <w:rFonts w:ascii="Arial" w:hAnsi="Arial" w:cs="Arial" w:eastAsia="Arial"/>
          <w:color w:val="E14D44"/>
          <w:spacing w:val="45"/>
          <w:sz w:val="17"/>
          <w:szCs w:val="17"/>
        </w:rPr>
        <w:t>  </w:t>
      </w:r>
      <w:r>
        <w:rPr>
          <w:rFonts w:ascii="Arial" w:hAnsi="Arial" w:cs="Arial" w:eastAsia="Arial"/>
          <w:color w:val="0A080F"/>
          <w:sz w:val="17"/>
          <w:szCs w:val="17"/>
        </w:rPr>
        <w:t>Anexo</w:t>
      </w:r>
      <w:r>
        <w:rPr>
          <w:rFonts w:ascii="Arial" w:hAnsi="Arial" w:cs="Arial" w:eastAsia="Arial"/>
          <w:color w:val="0A080F"/>
          <w:spacing w:val="20"/>
          <w:sz w:val="17"/>
          <w:szCs w:val="17"/>
        </w:rPr>
        <w:t> </w:t>
      </w:r>
      <w:r>
        <w:rPr>
          <w:rFonts w:ascii="Arial" w:hAnsi="Arial" w:cs="Arial" w:eastAsia="Arial"/>
          <w:color w:val="0A080F"/>
          <w:sz w:val="17"/>
          <w:szCs w:val="17"/>
        </w:rPr>
        <w:t>No.5</w:t>
      </w:r>
      <w:r>
        <w:rPr>
          <w:rFonts w:ascii="Arial" w:hAnsi="Arial" w:cs="Arial" w:eastAsia="Arial"/>
          <w:color w:val="0A080F"/>
          <w:spacing w:val="18"/>
          <w:sz w:val="17"/>
          <w:szCs w:val="17"/>
        </w:rPr>
        <w:t> </w:t>
      </w:r>
      <w:r>
        <w:rPr>
          <w:rFonts w:ascii="Arial" w:hAnsi="Arial" w:cs="Arial" w:eastAsia="Arial"/>
          <w:color w:val="0A080F"/>
          <w:sz w:val="17"/>
          <w:szCs w:val="17"/>
        </w:rPr>
        <w:t>Ma</w:t>
      </w:r>
      <w:r>
        <w:rPr>
          <w:rFonts w:ascii="Arial" w:hAnsi="Arial" w:cs="Arial" w:eastAsia="Arial"/>
          <w:color w:val="0A2352"/>
          <w:sz w:val="17"/>
          <w:szCs w:val="17"/>
        </w:rPr>
        <w:t>t</w:t>
      </w:r>
      <w:r>
        <w:rPr>
          <w:rFonts w:ascii="Arial" w:hAnsi="Arial" w:cs="Arial" w:eastAsia="Arial"/>
          <w:color w:val="0A080F"/>
          <w:sz w:val="17"/>
          <w:szCs w:val="17"/>
        </w:rPr>
        <w:t>r</w:t>
      </w:r>
      <w:r>
        <w:rPr>
          <w:rFonts w:ascii="Arial" w:hAnsi="Arial" w:cs="Arial" w:eastAsia="Arial"/>
          <w:color w:val="0A2352"/>
          <w:sz w:val="17"/>
          <w:szCs w:val="17"/>
        </w:rPr>
        <w:t>i</w:t>
      </w:r>
      <w:r>
        <w:rPr>
          <w:rFonts w:ascii="Arial" w:hAnsi="Arial" w:cs="Arial" w:eastAsia="Arial"/>
          <w:color w:val="1C161F"/>
          <w:sz w:val="17"/>
          <w:szCs w:val="17"/>
        </w:rPr>
        <w:t>z</w:t>
      </w:r>
      <w:r>
        <w:rPr>
          <w:rFonts w:ascii="Arial" w:hAnsi="Arial" w:cs="Arial" w:eastAsia="Arial"/>
          <w:color w:val="1C161F"/>
          <w:spacing w:val="5"/>
          <w:sz w:val="17"/>
          <w:szCs w:val="17"/>
        </w:rPr>
        <w:t> </w:t>
      </w:r>
      <w:r>
        <w:rPr>
          <w:rFonts w:ascii="Arial" w:hAnsi="Arial" w:cs="Arial" w:eastAsia="Arial"/>
          <w:color w:val="1C161F"/>
          <w:sz w:val="17"/>
          <w:szCs w:val="17"/>
        </w:rPr>
        <w:t>Pol</w:t>
      </w:r>
      <w:r>
        <w:rPr>
          <w:rFonts w:ascii="Arial" w:hAnsi="Arial" w:cs="Arial" w:eastAsia="Arial"/>
          <w:color w:val="4D2A00"/>
          <w:sz w:val="17"/>
          <w:szCs w:val="17"/>
        </w:rPr>
        <w:t>í</w:t>
      </w:r>
      <w:r>
        <w:rPr>
          <w:rFonts w:ascii="Arial" w:hAnsi="Arial" w:cs="Arial" w:eastAsia="Arial"/>
          <w:color w:val="31160A"/>
          <w:sz w:val="17"/>
          <w:szCs w:val="17"/>
        </w:rPr>
        <w:t>t</w:t>
      </w:r>
      <w:r>
        <w:rPr>
          <w:rFonts w:ascii="Arial" w:hAnsi="Arial" w:cs="Arial" w:eastAsia="Arial"/>
          <w:color w:val="0A080F"/>
          <w:sz w:val="17"/>
          <w:szCs w:val="17"/>
        </w:rPr>
        <w:t>icas</w:t>
      </w:r>
      <w:r>
        <w:rPr>
          <w:rFonts w:ascii="Arial" w:hAnsi="Arial" w:cs="Arial" w:eastAsia="Arial"/>
          <w:color w:val="0A080F"/>
          <w:spacing w:val="-3"/>
          <w:sz w:val="17"/>
          <w:szCs w:val="17"/>
        </w:rPr>
        <w:t> </w:t>
      </w:r>
      <w:r>
        <w:rPr>
          <w:rFonts w:ascii="Arial" w:hAnsi="Arial" w:cs="Arial" w:eastAsia="Arial"/>
          <w:color w:val="08132A"/>
          <w:sz w:val="17"/>
          <w:szCs w:val="17"/>
        </w:rPr>
        <w:t>particulares</w:t>
      </w:r>
      <w:r>
        <w:rPr>
          <w:rFonts w:ascii="Arial" w:hAnsi="Arial" w:cs="Arial" w:eastAsia="Arial"/>
          <w:color w:val="08132A"/>
          <w:spacing w:val="20"/>
          <w:sz w:val="17"/>
          <w:szCs w:val="17"/>
        </w:rPr>
        <w:t> </w:t>
      </w:r>
      <w:r>
        <w:rPr>
          <w:rFonts w:ascii="Arial" w:hAnsi="Arial" w:cs="Arial" w:eastAsia="Arial"/>
          <w:color w:val="0A080F"/>
          <w:sz w:val="17"/>
          <w:szCs w:val="17"/>
        </w:rPr>
        <w:t>Plan</w:t>
      </w:r>
      <w:r>
        <w:rPr>
          <w:rFonts w:ascii="Arial" w:hAnsi="Arial" w:cs="Arial" w:eastAsia="Arial"/>
          <w:color w:val="0A080F"/>
          <w:spacing w:val="13"/>
          <w:sz w:val="17"/>
          <w:szCs w:val="17"/>
        </w:rPr>
        <w:t> </w:t>
      </w:r>
      <w:r>
        <w:rPr>
          <w:rFonts w:ascii="Arial" w:hAnsi="Arial" w:cs="Arial" w:eastAsia="Arial"/>
          <w:color w:val="1C161F"/>
          <w:spacing w:val="-5"/>
          <w:sz w:val="17"/>
          <w:szCs w:val="17"/>
        </w:rPr>
        <w:t>6.0</w:t>
      </w:r>
    </w:p>
    <w:p>
      <w:pPr>
        <w:pStyle w:val="BodyText"/>
        <w:spacing w:before="80"/>
        <w:rPr>
          <w:rFonts w:ascii="Arial"/>
          <w:sz w:val="17"/>
        </w:rPr>
      </w:pPr>
    </w:p>
    <w:p>
      <w:pPr>
        <w:spacing w:before="0"/>
        <w:ind w:left="989" w:right="0" w:firstLine="0"/>
        <w:jc w:val="left"/>
        <w:rPr>
          <w:rFonts w:ascii="Arial" w:hAnsi="Arial" w:cs="Arial" w:eastAsia="Arial"/>
          <w:sz w:val="17"/>
          <w:szCs w:val="17"/>
        </w:rPr>
      </w:pPr>
      <w:r>
        <w:rPr>
          <w:rFonts w:ascii="Arial" w:hAnsi="Arial" w:cs="Arial" w:eastAsia="Arial"/>
          <w:color w:val="E14D44"/>
          <w:sz w:val="17"/>
          <w:szCs w:val="17"/>
        </w:rPr>
        <w:t>�</w:t>
      </w:r>
      <w:r>
        <w:rPr>
          <w:rFonts w:ascii="Arial" w:hAnsi="Arial" w:cs="Arial" w:eastAsia="Arial"/>
          <w:color w:val="E14D44"/>
          <w:spacing w:val="55"/>
          <w:sz w:val="17"/>
          <w:szCs w:val="17"/>
        </w:rPr>
        <w:t>  </w:t>
      </w:r>
      <w:r>
        <w:rPr>
          <w:rFonts w:ascii="Arial" w:hAnsi="Arial" w:cs="Arial" w:eastAsia="Arial"/>
          <w:color w:val="0A080F"/>
          <w:sz w:val="17"/>
          <w:szCs w:val="17"/>
        </w:rPr>
        <w:t>Anexo</w:t>
      </w:r>
      <w:r>
        <w:rPr>
          <w:rFonts w:ascii="Arial" w:hAnsi="Arial" w:cs="Arial" w:eastAsia="Arial"/>
          <w:color w:val="0A080F"/>
          <w:spacing w:val="28"/>
          <w:sz w:val="17"/>
          <w:szCs w:val="17"/>
        </w:rPr>
        <w:t> </w:t>
      </w:r>
      <w:r>
        <w:rPr>
          <w:rFonts w:ascii="Arial" w:hAnsi="Arial" w:cs="Arial" w:eastAsia="Arial"/>
          <w:color w:val="0A080F"/>
          <w:sz w:val="17"/>
          <w:szCs w:val="17"/>
        </w:rPr>
        <w:t>No.6</w:t>
      </w:r>
      <w:r>
        <w:rPr>
          <w:rFonts w:ascii="Arial" w:hAnsi="Arial" w:cs="Arial" w:eastAsia="Arial"/>
          <w:color w:val="0A080F"/>
          <w:spacing w:val="12"/>
          <w:sz w:val="17"/>
          <w:szCs w:val="17"/>
        </w:rPr>
        <w:t> </w:t>
      </w:r>
      <w:r>
        <w:rPr>
          <w:rFonts w:ascii="Arial" w:hAnsi="Arial" w:cs="Arial" w:eastAsia="Arial"/>
          <w:color w:val="0A080F"/>
          <w:sz w:val="17"/>
          <w:szCs w:val="17"/>
        </w:rPr>
        <w:t>IMAS-PE-AJ-2120-2026</w:t>
      </w:r>
      <w:r>
        <w:rPr>
          <w:rFonts w:ascii="Arial" w:hAnsi="Arial" w:cs="Arial" w:eastAsia="Arial"/>
          <w:color w:val="0A080F"/>
          <w:spacing w:val="8"/>
          <w:sz w:val="17"/>
          <w:szCs w:val="17"/>
        </w:rPr>
        <w:t> </w:t>
      </w:r>
      <w:r>
        <w:rPr>
          <w:rFonts w:ascii="Arial" w:hAnsi="Arial" w:cs="Arial" w:eastAsia="Arial"/>
          <w:color w:val="0A080F"/>
          <w:sz w:val="17"/>
          <w:szCs w:val="17"/>
        </w:rPr>
        <w:t>Informe</w:t>
      </w:r>
      <w:r>
        <w:rPr>
          <w:rFonts w:ascii="Arial" w:hAnsi="Arial" w:cs="Arial" w:eastAsia="Arial"/>
          <w:color w:val="0A080F"/>
          <w:spacing w:val="20"/>
          <w:sz w:val="17"/>
          <w:szCs w:val="17"/>
        </w:rPr>
        <w:t> </w:t>
      </w:r>
      <w:r>
        <w:rPr>
          <w:rFonts w:ascii="Arial" w:hAnsi="Arial" w:cs="Arial" w:eastAsia="Arial"/>
          <w:color w:val="1C161F"/>
          <w:sz w:val="17"/>
          <w:szCs w:val="17"/>
        </w:rPr>
        <w:t>mensua</w:t>
      </w:r>
      <w:r>
        <w:rPr>
          <w:rFonts w:ascii="Arial" w:hAnsi="Arial" w:cs="Arial" w:eastAsia="Arial"/>
          <w:color w:val="0A2352"/>
          <w:sz w:val="17"/>
          <w:szCs w:val="17"/>
        </w:rPr>
        <w:t>l</w:t>
      </w:r>
      <w:r>
        <w:rPr>
          <w:rFonts w:ascii="Arial" w:hAnsi="Arial" w:cs="Arial" w:eastAsia="Arial"/>
          <w:color w:val="0A2352"/>
          <w:spacing w:val="10"/>
          <w:sz w:val="17"/>
          <w:szCs w:val="17"/>
        </w:rPr>
        <w:t> </w:t>
      </w:r>
      <w:r>
        <w:rPr>
          <w:rFonts w:ascii="Arial" w:hAnsi="Arial" w:cs="Arial" w:eastAsia="Arial"/>
          <w:color w:val="0A080F"/>
          <w:sz w:val="17"/>
          <w:szCs w:val="17"/>
        </w:rPr>
        <w:t>procesos</w:t>
      </w:r>
      <w:r>
        <w:rPr>
          <w:rFonts w:ascii="Arial" w:hAnsi="Arial" w:cs="Arial" w:eastAsia="Arial"/>
          <w:color w:val="0A080F"/>
          <w:spacing w:val="7"/>
          <w:sz w:val="17"/>
          <w:szCs w:val="17"/>
        </w:rPr>
        <w:t> </w:t>
      </w:r>
      <w:r>
        <w:rPr>
          <w:rFonts w:ascii="Arial" w:hAnsi="Arial" w:cs="Arial" w:eastAsia="Arial"/>
          <w:color w:val="0A080F"/>
          <w:spacing w:val="-4"/>
          <w:sz w:val="17"/>
          <w:szCs w:val="17"/>
        </w:rPr>
        <w:t>j..</w:t>
      </w:r>
      <w:r>
        <w:rPr>
          <w:rFonts w:ascii="Arial" w:hAnsi="Arial" w:cs="Arial" w:eastAsia="Arial"/>
          <w:color w:val="08132A"/>
          <w:spacing w:val="-4"/>
          <w:sz w:val="17"/>
          <w:szCs w:val="17"/>
        </w:rPr>
        <w:t>.</w:t>
      </w:r>
    </w:p>
    <w:p>
      <w:pPr>
        <w:pStyle w:val="BodyText"/>
        <w:spacing w:before="84"/>
        <w:rPr>
          <w:rFonts w:ascii="Arial"/>
          <w:sz w:val="17"/>
        </w:rPr>
      </w:pPr>
    </w:p>
    <w:p>
      <w:pPr>
        <w:spacing w:before="1"/>
        <w:ind w:left="956" w:right="0" w:firstLine="0"/>
        <w:jc w:val="left"/>
        <w:rPr>
          <w:rFonts w:ascii="Arial" w:hAnsi="Arial" w:cs="Arial" w:eastAsia="Arial"/>
          <w:sz w:val="17"/>
          <w:szCs w:val="17"/>
        </w:rPr>
      </w:pPr>
      <w:r>
        <w:rPr>
          <w:rFonts w:ascii="Arial" w:hAnsi="Arial" w:cs="Arial" w:eastAsia="Arial"/>
          <w:color w:val="418A56"/>
          <w:w w:val="105"/>
          <w:sz w:val="17"/>
          <w:szCs w:val="17"/>
        </w:rPr>
        <w:t>�</w:t>
      </w:r>
      <w:r>
        <w:rPr>
          <w:rFonts w:ascii="Arial" w:hAnsi="Arial" w:cs="Arial" w:eastAsia="Arial"/>
          <w:color w:val="418A56"/>
          <w:spacing w:val="40"/>
          <w:w w:val="105"/>
          <w:sz w:val="17"/>
          <w:szCs w:val="17"/>
        </w:rPr>
        <w:t>  </w:t>
      </w:r>
      <w:r>
        <w:rPr>
          <w:rFonts w:ascii="Arial" w:hAnsi="Arial" w:cs="Arial" w:eastAsia="Arial"/>
          <w:color w:val="0A080F"/>
          <w:w w:val="105"/>
          <w:sz w:val="17"/>
          <w:szCs w:val="17"/>
        </w:rPr>
        <w:t>Anexo</w:t>
      </w:r>
      <w:r>
        <w:rPr>
          <w:rFonts w:ascii="Arial" w:hAnsi="Arial" w:cs="Arial" w:eastAsia="Arial"/>
          <w:color w:val="0A080F"/>
          <w:spacing w:val="7"/>
          <w:w w:val="105"/>
          <w:sz w:val="17"/>
          <w:szCs w:val="17"/>
        </w:rPr>
        <w:t> </w:t>
      </w:r>
      <w:r>
        <w:rPr>
          <w:rFonts w:ascii="Arial" w:hAnsi="Arial" w:cs="Arial" w:eastAsia="Arial"/>
          <w:color w:val="0A080F"/>
          <w:w w:val="105"/>
          <w:sz w:val="17"/>
          <w:szCs w:val="17"/>
        </w:rPr>
        <w:t>No.6</w:t>
      </w:r>
      <w:r>
        <w:rPr>
          <w:rFonts w:ascii="Arial" w:hAnsi="Arial" w:cs="Arial" w:eastAsia="Arial"/>
          <w:color w:val="0A080F"/>
          <w:spacing w:val="-4"/>
          <w:w w:val="105"/>
          <w:sz w:val="17"/>
          <w:szCs w:val="17"/>
        </w:rPr>
        <w:t> </w:t>
      </w:r>
      <w:r>
        <w:rPr>
          <w:rFonts w:ascii="Arial" w:hAnsi="Arial" w:cs="Arial" w:eastAsia="Arial"/>
          <w:color w:val="0A080F"/>
          <w:w w:val="105"/>
          <w:sz w:val="17"/>
          <w:szCs w:val="17"/>
        </w:rPr>
        <w:t>Informe mensua</w:t>
      </w:r>
      <w:r>
        <w:rPr>
          <w:rFonts w:ascii="Arial" w:hAnsi="Arial" w:cs="Arial" w:eastAsia="Arial"/>
          <w:color w:val="4D2A00"/>
          <w:w w:val="105"/>
          <w:sz w:val="17"/>
          <w:szCs w:val="17"/>
        </w:rPr>
        <w:t>l</w:t>
      </w:r>
      <w:r>
        <w:rPr>
          <w:rFonts w:ascii="Arial" w:hAnsi="Arial" w:cs="Arial" w:eastAsia="Arial"/>
          <w:color w:val="4D2A00"/>
          <w:spacing w:val="-6"/>
          <w:w w:val="105"/>
          <w:sz w:val="17"/>
          <w:szCs w:val="17"/>
        </w:rPr>
        <w:t> </w:t>
      </w:r>
      <w:r>
        <w:rPr>
          <w:rFonts w:ascii="Arial" w:hAnsi="Arial" w:cs="Arial" w:eastAsia="Arial"/>
          <w:color w:val="0A080F"/>
          <w:w w:val="105"/>
          <w:sz w:val="17"/>
          <w:szCs w:val="17"/>
        </w:rPr>
        <w:t>procesos</w:t>
      </w:r>
      <w:r>
        <w:rPr>
          <w:rFonts w:ascii="Arial" w:hAnsi="Arial" w:cs="Arial" w:eastAsia="Arial"/>
          <w:color w:val="0A080F"/>
          <w:spacing w:val="-4"/>
          <w:w w:val="105"/>
          <w:sz w:val="17"/>
          <w:szCs w:val="17"/>
        </w:rPr>
        <w:t> </w:t>
      </w:r>
      <w:r>
        <w:rPr>
          <w:rFonts w:ascii="Arial" w:hAnsi="Arial" w:cs="Arial" w:eastAsia="Arial"/>
          <w:color w:val="0A080F"/>
          <w:w w:val="105"/>
          <w:sz w:val="17"/>
          <w:szCs w:val="17"/>
        </w:rPr>
        <w:t>judiciales-corte</w:t>
      </w:r>
      <w:r>
        <w:rPr>
          <w:rFonts w:ascii="Arial" w:hAnsi="Arial" w:cs="Arial" w:eastAsia="Arial"/>
          <w:color w:val="0A080F"/>
          <w:spacing w:val="-7"/>
          <w:w w:val="105"/>
          <w:sz w:val="17"/>
          <w:szCs w:val="17"/>
        </w:rPr>
        <w:t> </w:t>
      </w:r>
      <w:r>
        <w:rPr>
          <w:rFonts w:ascii="Arial" w:hAnsi="Arial" w:cs="Arial" w:eastAsia="Arial"/>
          <w:color w:val="1C161F"/>
          <w:w w:val="105"/>
          <w:sz w:val="17"/>
          <w:szCs w:val="17"/>
        </w:rPr>
        <w:t>31</w:t>
      </w:r>
      <w:r>
        <w:rPr>
          <w:rFonts w:ascii="Arial" w:hAnsi="Arial" w:cs="Arial" w:eastAsia="Arial"/>
          <w:color w:val="1C161F"/>
          <w:spacing w:val="-6"/>
          <w:w w:val="105"/>
          <w:sz w:val="17"/>
          <w:szCs w:val="17"/>
        </w:rPr>
        <w:t> </w:t>
      </w:r>
      <w:r>
        <w:rPr>
          <w:rFonts w:ascii="Arial" w:hAnsi="Arial" w:cs="Arial" w:eastAsia="Arial"/>
          <w:color w:val="1C161F"/>
          <w:spacing w:val="-2"/>
          <w:w w:val="105"/>
          <w:sz w:val="17"/>
          <w:szCs w:val="17"/>
        </w:rPr>
        <w:t>dejul</w:t>
      </w:r>
      <w:r>
        <w:rPr>
          <w:rFonts w:ascii="Arial" w:hAnsi="Arial" w:cs="Arial" w:eastAsia="Arial"/>
          <w:color w:val="0A2352"/>
          <w:spacing w:val="-2"/>
          <w:w w:val="105"/>
          <w:sz w:val="17"/>
          <w:szCs w:val="17"/>
        </w:rPr>
        <w:t>i</w:t>
      </w:r>
      <w:r>
        <w:rPr>
          <w:rFonts w:ascii="Arial" w:hAnsi="Arial" w:cs="Arial" w:eastAsia="Arial"/>
          <w:color w:val="0A080F"/>
          <w:spacing w:val="-2"/>
          <w:w w:val="105"/>
          <w:sz w:val="17"/>
          <w:szCs w:val="17"/>
        </w:rPr>
        <w:t>...</w:t>
      </w:r>
    </w:p>
    <w:p>
      <w:pPr>
        <w:pStyle w:val="BodyText"/>
        <w:spacing w:before="75"/>
        <w:rPr>
          <w:rFonts w:ascii="Arial"/>
          <w:sz w:val="17"/>
        </w:rPr>
      </w:pPr>
    </w:p>
    <w:p>
      <w:pPr>
        <w:tabs>
          <w:tab w:pos="1285" w:val="left" w:leader="none"/>
        </w:tabs>
        <w:spacing w:before="0"/>
        <w:ind w:left="956" w:right="0" w:firstLine="0"/>
        <w:jc w:val="left"/>
        <w:rPr>
          <w:rFonts w:ascii="Arial" w:hAnsi="Arial" w:cs="Arial" w:eastAsia="Arial"/>
          <w:sz w:val="17"/>
          <w:szCs w:val="17"/>
        </w:rPr>
      </w:pPr>
      <w:r>
        <w:rPr>
          <w:rFonts w:ascii="Arial" w:hAnsi="Arial" w:cs="Arial" w:eastAsia="Arial"/>
          <w:color w:val="418A56"/>
          <w:spacing w:val="-10"/>
          <w:sz w:val="17"/>
          <w:szCs w:val="17"/>
        </w:rPr>
        <w:t>�</w:t>
      </w:r>
      <w:r>
        <w:rPr>
          <w:rFonts w:ascii="Arial" w:hAnsi="Arial" w:cs="Arial" w:eastAsia="Arial"/>
          <w:color w:val="418A56"/>
          <w:sz w:val="17"/>
          <w:szCs w:val="17"/>
        </w:rPr>
        <w:tab/>
      </w:r>
      <w:r>
        <w:rPr>
          <w:rFonts w:ascii="Arial" w:hAnsi="Arial" w:cs="Arial" w:eastAsia="Arial"/>
          <w:color w:val="0A080F"/>
          <w:sz w:val="17"/>
          <w:szCs w:val="17"/>
        </w:rPr>
        <w:t>Anexo</w:t>
      </w:r>
      <w:r>
        <w:rPr>
          <w:rFonts w:ascii="Arial" w:hAnsi="Arial" w:cs="Arial" w:eastAsia="Arial"/>
          <w:color w:val="0A080F"/>
          <w:spacing w:val="14"/>
          <w:sz w:val="17"/>
          <w:szCs w:val="17"/>
        </w:rPr>
        <w:t> </w:t>
      </w:r>
      <w:r>
        <w:rPr>
          <w:rFonts w:ascii="Arial" w:hAnsi="Arial" w:cs="Arial" w:eastAsia="Arial"/>
          <w:color w:val="0A080F"/>
          <w:sz w:val="17"/>
          <w:szCs w:val="17"/>
        </w:rPr>
        <w:t>No.7</w:t>
      </w:r>
      <w:r>
        <w:rPr>
          <w:rFonts w:ascii="Arial" w:hAnsi="Arial" w:cs="Arial" w:eastAsia="Arial"/>
          <w:color w:val="0A080F"/>
          <w:spacing w:val="5"/>
          <w:sz w:val="17"/>
          <w:szCs w:val="17"/>
        </w:rPr>
        <w:t> </w:t>
      </w:r>
      <w:r>
        <w:rPr>
          <w:rFonts w:ascii="Arial" w:hAnsi="Arial" w:cs="Arial" w:eastAsia="Arial"/>
          <w:color w:val="1C161F"/>
          <w:sz w:val="17"/>
          <w:szCs w:val="17"/>
        </w:rPr>
        <w:t>MATR</w:t>
      </w:r>
      <w:r>
        <w:rPr>
          <w:rFonts w:ascii="Arial" w:hAnsi="Arial" w:cs="Arial" w:eastAsia="Arial"/>
          <w:color w:val="00003A"/>
          <w:sz w:val="17"/>
          <w:szCs w:val="17"/>
        </w:rPr>
        <w:t>I</w:t>
      </w:r>
      <w:r>
        <w:rPr>
          <w:rFonts w:ascii="Arial" w:hAnsi="Arial" w:cs="Arial" w:eastAsia="Arial"/>
          <w:color w:val="0A080F"/>
          <w:sz w:val="17"/>
          <w:szCs w:val="17"/>
        </w:rPr>
        <w:t>Z </w:t>
      </w:r>
      <w:r>
        <w:rPr>
          <w:rFonts w:ascii="Arial" w:hAnsi="Arial" w:cs="Arial" w:eastAsia="Arial"/>
          <w:color w:val="0A080F"/>
          <w:spacing w:val="-2"/>
          <w:sz w:val="17"/>
          <w:szCs w:val="17"/>
        </w:rPr>
        <w:t>ARRENDAMIENTOS</w:t>
      </w:r>
    </w:p>
    <w:p>
      <w:pPr>
        <w:pStyle w:val="BodyText"/>
        <w:spacing w:before="80"/>
        <w:rPr>
          <w:rFonts w:ascii="Arial"/>
          <w:sz w:val="17"/>
        </w:rPr>
      </w:pPr>
    </w:p>
    <w:p>
      <w:pPr>
        <w:tabs>
          <w:tab w:pos="1285" w:val="left" w:leader="none"/>
        </w:tabs>
        <w:spacing w:before="0"/>
        <w:ind w:left="956" w:right="0" w:firstLine="0"/>
        <w:jc w:val="left"/>
        <w:rPr>
          <w:rFonts w:ascii="Arial" w:hAnsi="Arial" w:cs="Arial" w:eastAsia="Arial"/>
          <w:sz w:val="17"/>
          <w:szCs w:val="17"/>
        </w:rPr>
      </w:pPr>
      <w:r>
        <w:rPr>
          <w:rFonts w:ascii="Arial" w:hAnsi="Arial" w:cs="Arial" w:eastAsia="Arial"/>
          <w:color w:val="418A56"/>
          <w:spacing w:val="-10"/>
          <w:sz w:val="17"/>
          <w:szCs w:val="17"/>
        </w:rPr>
        <w:t>�</w:t>
      </w:r>
      <w:r>
        <w:rPr>
          <w:rFonts w:ascii="Arial" w:hAnsi="Arial" w:cs="Arial" w:eastAsia="Arial"/>
          <w:color w:val="418A56"/>
          <w:sz w:val="17"/>
          <w:szCs w:val="17"/>
        </w:rPr>
        <w:tab/>
      </w:r>
      <w:r>
        <w:rPr>
          <w:rFonts w:ascii="Arial" w:hAnsi="Arial" w:cs="Arial" w:eastAsia="Arial"/>
          <w:color w:val="0A080F"/>
          <w:spacing w:val="-2"/>
          <w:sz w:val="17"/>
          <w:szCs w:val="17"/>
        </w:rPr>
        <w:t>Anexo</w:t>
      </w:r>
      <w:r>
        <w:rPr>
          <w:rFonts w:ascii="Arial" w:hAnsi="Arial" w:cs="Arial" w:eastAsia="Arial"/>
          <w:color w:val="0A080F"/>
          <w:spacing w:val="8"/>
          <w:sz w:val="17"/>
          <w:szCs w:val="17"/>
        </w:rPr>
        <w:t> </w:t>
      </w:r>
      <w:r>
        <w:rPr>
          <w:rFonts w:ascii="Arial" w:hAnsi="Arial" w:cs="Arial" w:eastAsia="Arial"/>
          <w:color w:val="0A080F"/>
          <w:spacing w:val="-2"/>
          <w:sz w:val="17"/>
          <w:szCs w:val="17"/>
        </w:rPr>
        <w:t>No.8</w:t>
      </w:r>
      <w:r>
        <w:rPr>
          <w:rFonts w:ascii="Arial" w:hAnsi="Arial" w:cs="Arial" w:eastAsia="Arial"/>
          <w:color w:val="0A080F"/>
          <w:spacing w:val="1"/>
          <w:sz w:val="17"/>
          <w:szCs w:val="17"/>
        </w:rPr>
        <w:t> </w:t>
      </w:r>
      <w:r>
        <w:rPr>
          <w:rFonts w:ascii="Arial" w:hAnsi="Arial" w:cs="Arial" w:eastAsia="Arial"/>
          <w:color w:val="1C161F"/>
          <w:spacing w:val="-2"/>
          <w:sz w:val="17"/>
          <w:szCs w:val="17"/>
        </w:rPr>
        <w:t>MATR</w:t>
      </w:r>
      <w:r>
        <w:rPr>
          <w:rFonts w:ascii="Arial" w:hAnsi="Arial" w:cs="Arial" w:eastAsia="Arial"/>
          <w:color w:val="00003A"/>
          <w:spacing w:val="-2"/>
          <w:sz w:val="17"/>
          <w:szCs w:val="17"/>
        </w:rPr>
        <w:t>I</w:t>
      </w:r>
      <w:r>
        <w:rPr>
          <w:rFonts w:ascii="Arial" w:hAnsi="Arial" w:cs="Arial" w:eastAsia="Arial"/>
          <w:color w:val="1C161F"/>
          <w:spacing w:val="-2"/>
          <w:sz w:val="17"/>
          <w:szCs w:val="17"/>
        </w:rPr>
        <w:t>Z</w:t>
      </w:r>
      <w:r>
        <w:rPr>
          <w:rFonts w:ascii="Arial" w:hAnsi="Arial" w:cs="Arial" w:eastAsia="Arial"/>
          <w:color w:val="1C161F"/>
          <w:spacing w:val="-5"/>
          <w:sz w:val="17"/>
          <w:szCs w:val="17"/>
        </w:rPr>
        <w:t> </w:t>
      </w:r>
      <w:r>
        <w:rPr>
          <w:rFonts w:ascii="Arial" w:hAnsi="Arial" w:cs="Arial" w:eastAsia="Arial"/>
          <w:color w:val="0A080F"/>
          <w:spacing w:val="-2"/>
          <w:sz w:val="17"/>
          <w:szCs w:val="17"/>
        </w:rPr>
        <w:t>ARRENDAMIENTOS</w:t>
      </w:r>
      <w:r>
        <w:rPr>
          <w:rFonts w:ascii="Arial" w:hAnsi="Arial" w:cs="Arial" w:eastAsia="Arial"/>
          <w:color w:val="0A080F"/>
          <w:spacing w:val="-1"/>
          <w:sz w:val="17"/>
          <w:szCs w:val="17"/>
        </w:rPr>
        <w:t> </w:t>
      </w:r>
      <w:r>
        <w:rPr>
          <w:rFonts w:ascii="Arial" w:hAnsi="Arial" w:cs="Arial" w:eastAsia="Arial"/>
          <w:color w:val="1C161F"/>
          <w:spacing w:val="-2"/>
          <w:sz w:val="17"/>
          <w:szCs w:val="17"/>
        </w:rPr>
        <w:t>NICSP13</w:t>
      </w:r>
    </w:p>
    <w:p>
      <w:pPr>
        <w:pStyle w:val="BodyText"/>
        <w:spacing w:before="28"/>
        <w:rPr>
          <w:rFonts w:ascii="Arial"/>
          <w:sz w:val="17"/>
        </w:rPr>
      </w:pPr>
    </w:p>
    <w:p>
      <w:pPr>
        <w:spacing w:before="0"/>
        <w:ind w:left="961" w:right="0" w:firstLine="0"/>
        <w:jc w:val="left"/>
        <w:rPr>
          <w:rFonts w:ascii="Arial"/>
          <w:sz w:val="17"/>
        </w:rPr>
      </w:pPr>
      <w:r>
        <w:rPr>
          <w:rFonts w:ascii="Arial"/>
          <w:b/>
          <w:color w:val="418A56"/>
          <w:sz w:val="22"/>
        </w:rPr>
        <w:t>.l]</w:t>
      </w:r>
      <w:r>
        <w:rPr>
          <w:rFonts w:ascii="Arial"/>
          <w:b/>
          <w:color w:val="418A56"/>
          <w:spacing w:val="59"/>
          <w:w w:val="150"/>
          <w:sz w:val="22"/>
        </w:rPr>
        <w:t> </w:t>
      </w:r>
      <w:r>
        <w:rPr>
          <w:rFonts w:ascii="Arial"/>
          <w:color w:val="0A080F"/>
          <w:sz w:val="17"/>
        </w:rPr>
        <w:t>Anexo</w:t>
      </w:r>
      <w:r>
        <w:rPr>
          <w:rFonts w:ascii="Arial"/>
          <w:color w:val="0A080F"/>
          <w:spacing w:val="19"/>
          <w:sz w:val="17"/>
        </w:rPr>
        <w:t> </w:t>
      </w:r>
      <w:r>
        <w:rPr>
          <w:rFonts w:ascii="Arial"/>
          <w:color w:val="0A080F"/>
          <w:sz w:val="17"/>
        </w:rPr>
        <w:t>No</w:t>
      </w:r>
      <w:r>
        <w:rPr>
          <w:rFonts w:ascii="Arial"/>
          <w:color w:val="31160A"/>
          <w:sz w:val="17"/>
        </w:rPr>
        <w:t>.9</w:t>
      </w:r>
      <w:r>
        <w:rPr>
          <w:rFonts w:ascii="Arial"/>
          <w:color w:val="31160A"/>
          <w:spacing w:val="5"/>
          <w:sz w:val="17"/>
        </w:rPr>
        <w:t> </w:t>
      </w:r>
      <w:r>
        <w:rPr>
          <w:rFonts w:ascii="Arial"/>
          <w:color w:val="1C161F"/>
          <w:sz w:val="17"/>
        </w:rPr>
        <w:t>PPE</w:t>
      </w:r>
      <w:r>
        <w:rPr>
          <w:rFonts w:ascii="Arial"/>
          <w:color w:val="1C161F"/>
          <w:spacing w:val="8"/>
          <w:sz w:val="17"/>
        </w:rPr>
        <w:t> </w:t>
      </w:r>
      <w:r>
        <w:rPr>
          <w:rFonts w:ascii="Arial"/>
          <w:color w:val="31160A"/>
          <w:sz w:val="17"/>
        </w:rPr>
        <w:t>d</w:t>
      </w:r>
      <w:r>
        <w:rPr>
          <w:rFonts w:ascii="Arial"/>
          <w:color w:val="0A080F"/>
          <w:sz w:val="17"/>
        </w:rPr>
        <w:t>eprecia</w:t>
      </w:r>
      <w:r>
        <w:rPr>
          <w:rFonts w:ascii="Arial"/>
          <w:color w:val="182B44"/>
          <w:sz w:val="17"/>
        </w:rPr>
        <w:t>d</w:t>
      </w:r>
      <w:r>
        <w:rPr>
          <w:rFonts w:ascii="Arial"/>
          <w:color w:val="1C161F"/>
          <w:sz w:val="17"/>
        </w:rPr>
        <w:t>os</w:t>
      </w:r>
      <w:r>
        <w:rPr>
          <w:rFonts w:ascii="Arial"/>
          <w:color w:val="1C161F"/>
          <w:spacing w:val="-9"/>
          <w:sz w:val="17"/>
        </w:rPr>
        <w:t> </w:t>
      </w:r>
      <w:r>
        <w:rPr>
          <w:rFonts w:ascii="Arial"/>
          <w:color w:val="1C161F"/>
          <w:sz w:val="17"/>
        </w:rPr>
        <w:t>en</w:t>
      </w:r>
      <w:r>
        <w:rPr>
          <w:rFonts w:ascii="Arial"/>
          <w:color w:val="1C161F"/>
          <w:spacing w:val="3"/>
          <w:sz w:val="17"/>
        </w:rPr>
        <w:t> </w:t>
      </w:r>
      <w:r>
        <w:rPr>
          <w:rFonts w:ascii="Arial"/>
          <w:color w:val="0A080F"/>
          <w:spacing w:val="-5"/>
          <w:sz w:val="17"/>
        </w:rPr>
        <w:t>uso</w:t>
      </w:r>
    </w:p>
    <w:p>
      <w:pPr>
        <w:pStyle w:val="BodyText"/>
        <w:spacing w:before="69"/>
        <w:rPr>
          <w:rFonts w:ascii="Arial"/>
          <w:sz w:val="17"/>
        </w:rPr>
      </w:pPr>
    </w:p>
    <w:p>
      <w:pPr>
        <w:spacing w:before="1"/>
        <w:ind w:left="989" w:right="0" w:firstLine="0"/>
        <w:jc w:val="left"/>
        <w:rPr>
          <w:rFonts w:ascii="Arial" w:hAnsi="Arial" w:cs="Arial" w:eastAsia="Arial"/>
          <w:sz w:val="17"/>
          <w:szCs w:val="17"/>
        </w:rPr>
      </w:pPr>
      <w:r>
        <w:rPr>
          <w:rFonts w:ascii="Arial" w:hAnsi="Arial" w:cs="Arial" w:eastAsia="Arial"/>
          <w:color w:val="E14D44"/>
          <w:w w:val="105"/>
          <w:sz w:val="17"/>
          <w:szCs w:val="17"/>
        </w:rPr>
        <w:t>�</w:t>
      </w:r>
      <w:r>
        <w:rPr>
          <w:rFonts w:ascii="Arial" w:hAnsi="Arial" w:cs="Arial" w:eastAsia="Arial"/>
          <w:color w:val="E14D44"/>
          <w:spacing w:val="67"/>
          <w:w w:val="150"/>
          <w:sz w:val="17"/>
          <w:szCs w:val="17"/>
        </w:rPr>
        <w:t> </w:t>
      </w:r>
      <w:r>
        <w:rPr>
          <w:rFonts w:ascii="Arial" w:hAnsi="Arial" w:cs="Arial" w:eastAsia="Arial"/>
          <w:color w:val="0A080F"/>
          <w:w w:val="105"/>
          <w:sz w:val="17"/>
          <w:szCs w:val="17"/>
        </w:rPr>
        <w:t>Anexo</w:t>
      </w:r>
      <w:r>
        <w:rPr>
          <w:rFonts w:ascii="Arial" w:hAnsi="Arial" w:cs="Arial" w:eastAsia="Arial"/>
          <w:color w:val="0A080F"/>
          <w:spacing w:val="5"/>
          <w:w w:val="105"/>
          <w:sz w:val="17"/>
          <w:szCs w:val="17"/>
        </w:rPr>
        <w:t> </w:t>
      </w:r>
      <w:r>
        <w:rPr>
          <w:rFonts w:ascii="Arial" w:hAnsi="Arial" w:cs="Arial" w:eastAsia="Arial"/>
          <w:color w:val="0A080F"/>
          <w:w w:val="105"/>
          <w:sz w:val="17"/>
          <w:szCs w:val="17"/>
        </w:rPr>
        <w:t>No</w:t>
      </w:r>
      <w:r>
        <w:rPr>
          <w:rFonts w:ascii="Arial" w:hAnsi="Arial" w:cs="Arial" w:eastAsia="Arial"/>
          <w:color w:val="31160A"/>
          <w:w w:val="105"/>
          <w:sz w:val="17"/>
          <w:szCs w:val="17"/>
        </w:rPr>
        <w:t>.</w:t>
      </w:r>
      <w:r>
        <w:rPr>
          <w:rFonts w:ascii="Arial" w:hAnsi="Arial" w:cs="Arial" w:eastAsia="Arial"/>
          <w:color w:val="0A080F"/>
          <w:w w:val="105"/>
          <w:sz w:val="17"/>
          <w:szCs w:val="17"/>
        </w:rPr>
        <w:t>10</w:t>
      </w:r>
      <w:r>
        <w:rPr>
          <w:rFonts w:ascii="Arial" w:hAnsi="Arial" w:cs="Arial" w:eastAsia="Arial"/>
          <w:color w:val="0A080F"/>
          <w:spacing w:val="-5"/>
          <w:w w:val="105"/>
          <w:sz w:val="17"/>
          <w:szCs w:val="17"/>
        </w:rPr>
        <w:t> </w:t>
      </w:r>
      <w:r>
        <w:rPr>
          <w:rFonts w:ascii="Arial" w:hAnsi="Arial" w:cs="Arial" w:eastAsia="Arial"/>
          <w:color w:val="0A080F"/>
          <w:w w:val="105"/>
          <w:sz w:val="17"/>
          <w:szCs w:val="17"/>
        </w:rPr>
        <w:t>B</w:t>
      </w:r>
      <w:r>
        <w:rPr>
          <w:rFonts w:ascii="Arial" w:hAnsi="Arial" w:cs="Arial" w:eastAsia="Arial"/>
          <w:color w:val="4D2A00"/>
          <w:w w:val="105"/>
          <w:sz w:val="17"/>
          <w:szCs w:val="17"/>
        </w:rPr>
        <w:t>i</w:t>
      </w:r>
      <w:r>
        <w:rPr>
          <w:rFonts w:ascii="Arial" w:hAnsi="Arial" w:cs="Arial" w:eastAsia="Arial"/>
          <w:color w:val="1C161F"/>
          <w:w w:val="105"/>
          <w:sz w:val="17"/>
          <w:szCs w:val="17"/>
        </w:rPr>
        <w:t>enes</w:t>
      </w:r>
      <w:r>
        <w:rPr>
          <w:rFonts w:ascii="Arial" w:hAnsi="Arial" w:cs="Arial" w:eastAsia="Arial"/>
          <w:color w:val="1C161F"/>
          <w:spacing w:val="-12"/>
          <w:w w:val="105"/>
          <w:sz w:val="17"/>
          <w:szCs w:val="17"/>
        </w:rPr>
        <w:t> </w:t>
      </w:r>
      <w:r>
        <w:rPr>
          <w:rFonts w:ascii="Arial" w:hAnsi="Arial" w:cs="Arial" w:eastAsia="Arial"/>
          <w:color w:val="1C161F"/>
          <w:w w:val="105"/>
          <w:sz w:val="17"/>
          <w:szCs w:val="17"/>
        </w:rPr>
        <w:t>y</w:t>
      </w:r>
      <w:r>
        <w:rPr>
          <w:rFonts w:ascii="Arial" w:hAnsi="Arial" w:cs="Arial" w:eastAsia="Arial"/>
          <w:color w:val="1C161F"/>
          <w:spacing w:val="63"/>
          <w:w w:val="150"/>
          <w:sz w:val="17"/>
          <w:szCs w:val="17"/>
        </w:rPr>
        <w:t> </w:t>
      </w:r>
      <w:r>
        <w:rPr>
          <w:rFonts w:ascii="Arial" w:hAnsi="Arial" w:cs="Arial" w:eastAsia="Arial"/>
          <w:color w:val="0A080F"/>
          <w:w w:val="105"/>
          <w:sz w:val="17"/>
          <w:szCs w:val="17"/>
        </w:rPr>
        <w:t>Ob</w:t>
      </w:r>
      <w:r>
        <w:rPr>
          <w:rFonts w:ascii="Arial" w:hAnsi="Arial" w:cs="Arial" w:eastAsia="Arial"/>
          <w:color w:val="0A2352"/>
          <w:w w:val="105"/>
          <w:sz w:val="17"/>
          <w:szCs w:val="17"/>
        </w:rPr>
        <w:t>r</w:t>
      </w:r>
      <w:r>
        <w:rPr>
          <w:rFonts w:ascii="Arial" w:hAnsi="Arial" w:cs="Arial" w:eastAsia="Arial"/>
          <w:color w:val="1C161F"/>
          <w:w w:val="105"/>
          <w:sz w:val="17"/>
          <w:szCs w:val="17"/>
        </w:rPr>
        <w:t>as</w:t>
      </w:r>
      <w:r>
        <w:rPr>
          <w:rFonts w:ascii="Arial" w:hAnsi="Arial" w:cs="Arial" w:eastAsia="Arial"/>
          <w:color w:val="1C161F"/>
          <w:spacing w:val="-13"/>
          <w:w w:val="105"/>
          <w:sz w:val="17"/>
          <w:szCs w:val="17"/>
        </w:rPr>
        <w:t> </w:t>
      </w:r>
      <w:r>
        <w:rPr>
          <w:rFonts w:ascii="Arial" w:hAnsi="Arial" w:cs="Arial" w:eastAsia="Arial"/>
          <w:color w:val="0A080F"/>
          <w:w w:val="105"/>
          <w:sz w:val="17"/>
          <w:szCs w:val="17"/>
        </w:rPr>
        <w:t>de</w:t>
      </w:r>
      <w:r>
        <w:rPr>
          <w:rFonts w:ascii="Arial" w:hAnsi="Arial" w:cs="Arial" w:eastAsia="Arial"/>
          <w:color w:val="0A080F"/>
          <w:spacing w:val="-9"/>
          <w:w w:val="105"/>
          <w:sz w:val="17"/>
          <w:szCs w:val="17"/>
        </w:rPr>
        <w:t> </w:t>
      </w:r>
      <w:r>
        <w:rPr>
          <w:rFonts w:ascii="Arial" w:hAnsi="Arial" w:cs="Arial" w:eastAsia="Arial"/>
          <w:color w:val="1C161F"/>
          <w:spacing w:val="-4"/>
          <w:w w:val="105"/>
          <w:sz w:val="17"/>
          <w:szCs w:val="17"/>
        </w:rPr>
        <w:t>arte</w:t>
      </w:r>
    </w:p>
    <w:p>
      <w:pPr>
        <w:pStyle w:val="BodyText"/>
        <w:spacing w:before="28"/>
        <w:rPr>
          <w:rFonts w:ascii="Arial"/>
          <w:sz w:val="17"/>
        </w:rPr>
      </w:pPr>
    </w:p>
    <w:p>
      <w:pPr>
        <w:spacing w:before="0"/>
        <w:ind w:left="961" w:right="0" w:firstLine="0"/>
        <w:jc w:val="left"/>
        <w:rPr>
          <w:rFonts w:ascii="Arial"/>
          <w:sz w:val="17"/>
        </w:rPr>
      </w:pPr>
      <w:r>
        <w:rPr>
          <w:rFonts w:ascii="Arial"/>
          <w:b/>
          <w:color w:val="418A56"/>
          <w:w w:val="105"/>
          <w:sz w:val="22"/>
        </w:rPr>
        <w:t>.l]</w:t>
      </w:r>
      <w:r>
        <w:rPr>
          <w:rFonts w:ascii="Arial"/>
          <w:b/>
          <w:color w:val="418A56"/>
          <w:spacing w:val="54"/>
          <w:w w:val="105"/>
          <w:sz w:val="22"/>
        </w:rPr>
        <w:t> </w:t>
      </w:r>
      <w:r>
        <w:rPr>
          <w:rFonts w:ascii="Arial"/>
          <w:color w:val="0A080F"/>
          <w:w w:val="105"/>
          <w:sz w:val="17"/>
        </w:rPr>
        <w:t>Anexo</w:t>
      </w:r>
      <w:r>
        <w:rPr>
          <w:rFonts w:ascii="Arial"/>
          <w:color w:val="0A080F"/>
          <w:spacing w:val="11"/>
          <w:w w:val="105"/>
          <w:sz w:val="17"/>
        </w:rPr>
        <w:t> </w:t>
      </w:r>
      <w:r>
        <w:rPr>
          <w:rFonts w:ascii="Arial"/>
          <w:color w:val="0A080F"/>
          <w:w w:val="105"/>
          <w:sz w:val="17"/>
        </w:rPr>
        <w:t>No</w:t>
      </w:r>
      <w:r>
        <w:rPr>
          <w:rFonts w:ascii="Arial"/>
          <w:color w:val="31160A"/>
          <w:w w:val="105"/>
          <w:sz w:val="17"/>
        </w:rPr>
        <w:t>.</w:t>
      </w:r>
      <w:r>
        <w:rPr>
          <w:rFonts w:ascii="Arial"/>
          <w:color w:val="0A080F"/>
          <w:w w:val="105"/>
          <w:sz w:val="17"/>
        </w:rPr>
        <w:t>11</w:t>
      </w:r>
      <w:r>
        <w:rPr>
          <w:rFonts w:ascii="Arial"/>
          <w:color w:val="0A080F"/>
          <w:spacing w:val="-13"/>
          <w:w w:val="105"/>
          <w:sz w:val="17"/>
        </w:rPr>
        <w:t> </w:t>
      </w:r>
      <w:r>
        <w:rPr>
          <w:rFonts w:ascii="Arial"/>
          <w:color w:val="0A080F"/>
          <w:w w:val="105"/>
          <w:sz w:val="17"/>
        </w:rPr>
        <w:t>Inta</w:t>
      </w:r>
      <w:r>
        <w:rPr>
          <w:rFonts w:ascii="Arial"/>
          <w:color w:val="08132A"/>
          <w:w w:val="105"/>
          <w:sz w:val="17"/>
        </w:rPr>
        <w:t>ng</w:t>
      </w:r>
      <w:r>
        <w:rPr>
          <w:rFonts w:ascii="Arial"/>
          <w:color w:val="0A080F"/>
          <w:w w:val="105"/>
          <w:sz w:val="17"/>
        </w:rPr>
        <w:t>ib</w:t>
      </w:r>
      <w:r>
        <w:rPr>
          <w:rFonts w:ascii="Arial"/>
          <w:color w:val="0A2352"/>
          <w:w w:val="105"/>
          <w:sz w:val="17"/>
        </w:rPr>
        <w:t>l</w:t>
      </w:r>
      <w:r>
        <w:rPr>
          <w:rFonts w:ascii="Arial"/>
          <w:color w:val="0A080F"/>
          <w:w w:val="105"/>
          <w:sz w:val="17"/>
        </w:rPr>
        <w:t>es</w:t>
      </w:r>
      <w:r>
        <w:rPr>
          <w:rFonts w:ascii="Arial"/>
          <w:color w:val="0A080F"/>
          <w:spacing w:val="-15"/>
          <w:w w:val="105"/>
          <w:sz w:val="17"/>
        </w:rPr>
        <w:t> </w:t>
      </w:r>
      <w:r>
        <w:rPr>
          <w:rFonts w:ascii="Arial"/>
          <w:color w:val="1C161F"/>
          <w:w w:val="105"/>
          <w:sz w:val="17"/>
        </w:rPr>
        <w:t>amortizados</w:t>
      </w:r>
      <w:r>
        <w:rPr>
          <w:rFonts w:ascii="Arial"/>
          <w:color w:val="1C161F"/>
          <w:spacing w:val="15"/>
          <w:w w:val="105"/>
          <w:sz w:val="17"/>
        </w:rPr>
        <w:t> </w:t>
      </w:r>
      <w:r>
        <w:rPr>
          <w:rFonts w:ascii="Arial"/>
          <w:color w:val="0A080F"/>
          <w:w w:val="105"/>
          <w:sz w:val="17"/>
        </w:rPr>
        <w:t>en</w:t>
      </w:r>
      <w:r>
        <w:rPr>
          <w:rFonts w:ascii="Arial"/>
          <w:color w:val="0A080F"/>
          <w:spacing w:val="-3"/>
          <w:w w:val="105"/>
          <w:sz w:val="17"/>
        </w:rPr>
        <w:t> </w:t>
      </w:r>
      <w:r>
        <w:rPr>
          <w:rFonts w:ascii="Arial"/>
          <w:color w:val="08132A"/>
          <w:spacing w:val="-5"/>
          <w:w w:val="105"/>
          <w:sz w:val="17"/>
        </w:rPr>
        <w:t>uso</w:t>
      </w:r>
    </w:p>
    <w:p>
      <w:pPr>
        <w:pStyle w:val="BodyText"/>
        <w:rPr>
          <w:rFonts w:ascii="Arial"/>
          <w:sz w:val="24"/>
        </w:rPr>
      </w:pPr>
    </w:p>
    <w:p>
      <w:pPr>
        <w:pStyle w:val="BodyText"/>
        <w:spacing w:before="7"/>
        <w:rPr>
          <w:rFonts w:ascii="Arial"/>
          <w:sz w:val="24"/>
        </w:rPr>
      </w:pPr>
    </w:p>
    <w:p>
      <w:pPr>
        <w:pStyle w:val="Heading2"/>
      </w:pPr>
      <w:bookmarkStart w:name="_bookmark170" w:id="171"/>
      <w:bookmarkEnd w:id="171"/>
      <w:r>
        <w:rPr>
          <w:b w:val="0"/>
        </w:rPr>
      </w:r>
      <w:r>
        <w:rPr/>
        <w:t>ANEXOS</w:t>
      </w:r>
      <w:r>
        <w:rPr>
          <w:spacing w:val="-5"/>
        </w:rPr>
        <w:t> </w:t>
      </w:r>
      <w:r>
        <w:rPr>
          <w:spacing w:val="-10"/>
        </w:rPr>
        <w:t>1</w:t>
      </w:r>
    </w:p>
    <w:p>
      <w:pPr>
        <w:spacing w:before="240"/>
        <w:ind w:left="622" w:right="0" w:firstLine="0"/>
        <w:jc w:val="left"/>
        <w:rPr>
          <w:rFonts w:ascii="Calibri"/>
          <w:sz w:val="20"/>
        </w:rPr>
      </w:pPr>
      <w:r>
        <w:rPr>
          <w:rFonts w:ascii="Calibri"/>
          <w:sz w:val="20"/>
        </w:rPr>
        <w:t>Se</w:t>
      </w:r>
      <w:r>
        <w:rPr>
          <w:rFonts w:ascii="Calibri"/>
          <w:spacing w:val="-8"/>
          <w:sz w:val="20"/>
        </w:rPr>
        <w:t> </w:t>
      </w:r>
      <w:r>
        <w:rPr>
          <w:rFonts w:ascii="Calibri"/>
          <w:sz w:val="20"/>
        </w:rPr>
        <w:t>deben</w:t>
      </w:r>
      <w:r>
        <w:rPr>
          <w:rFonts w:ascii="Calibri"/>
          <w:spacing w:val="-6"/>
          <w:sz w:val="20"/>
        </w:rPr>
        <w:t> </w:t>
      </w:r>
      <w:r>
        <w:rPr>
          <w:rFonts w:ascii="Calibri"/>
          <w:sz w:val="20"/>
        </w:rPr>
        <w:t>copiar</w:t>
      </w:r>
      <w:r>
        <w:rPr>
          <w:rFonts w:ascii="Calibri"/>
          <w:spacing w:val="-5"/>
          <w:sz w:val="20"/>
        </w:rPr>
        <w:t> </w:t>
      </w:r>
      <w:r>
        <w:rPr>
          <w:rFonts w:ascii="Calibri"/>
          <w:sz w:val="20"/>
        </w:rPr>
        <w:t>los</w:t>
      </w:r>
      <w:r>
        <w:rPr>
          <w:rFonts w:ascii="Calibri"/>
          <w:spacing w:val="-8"/>
          <w:sz w:val="20"/>
        </w:rPr>
        <w:t> </w:t>
      </w:r>
      <w:r>
        <w:rPr>
          <w:rFonts w:ascii="Calibri"/>
          <w:sz w:val="20"/>
        </w:rPr>
        <w:t>cuadros</w:t>
      </w:r>
      <w:r>
        <w:rPr>
          <w:rFonts w:ascii="Calibri"/>
          <w:spacing w:val="-7"/>
          <w:sz w:val="20"/>
        </w:rPr>
        <w:t> </w:t>
      </w:r>
      <w:r>
        <w:rPr>
          <w:rFonts w:ascii="Calibri"/>
          <w:sz w:val="20"/>
        </w:rPr>
        <w:t>de</w:t>
      </w:r>
      <w:r>
        <w:rPr>
          <w:rFonts w:ascii="Calibri"/>
          <w:spacing w:val="-7"/>
          <w:sz w:val="20"/>
        </w:rPr>
        <w:t> </w:t>
      </w:r>
      <w:r>
        <w:rPr>
          <w:rFonts w:ascii="Calibri"/>
          <w:sz w:val="20"/>
        </w:rPr>
        <w:t>los</w:t>
      </w:r>
      <w:r>
        <w:rPr>
          <w:rFonts w:ascii="Calibri"/>
          <w:spacing w:val="-7"/>
          <w:sz w:val="20"/>
        </w:rPr>
        <w:t> </w:t>
      </w:r>
      <w:r>
        <w:rPr>
          <w:rFonts w:ascii="Calibri"/>
          <w:sz w:val="20"/>
        </w:rPr>
        <w:t>Excel</w:t>
      </w:r>
      <w:r>
        <w:rPr>
          <w:rFonts w:ascii="Calibri"/>
          <w:spacing w:val="-7"/>
          <w:sz w:val="20"/>
        </w:rPr>
        <w:t> </w:t>
      </w:r>
      <w:r>
        <w:rPr>
          <w:rFonts w:ascii="Calibri"/>
          <w:sz w:val="20"/>
        </w:rPr>
        <w:t>en</w:t>
      </w:r>
      <w:r>
        <w:rPr>
          <w:rFonts w:ascii="Calibri"/>
          <w:spacing w:val="-6"/>
          <w:sz w:val="20"/>
        </w:rPr>
        <w:t> </w:t>
      </w:r>
      <w:r>
        <w:rPr>
          <w:rFonts w:ascii="Calibri"/>
          <w:sz w:val="20"/>
        </w:rPr>
        <w:t>formato</w:t>
      </w:r>
      <w:r>
        <w:rPr>
          <w:rFonts w:ascii="Calibri"/>
          <w:spacing w:val="-6"/>
          <w:sz w:val="20"/>
        </w:rPr>
        <w:t> </w:t>
      </w:r>
      <w:r>
        <w:rPr>
          <w:rFonts w:ascii="Calibri"/>
          <w:spacing w:val="-2"/>
          <w:sz w:val="20"/>
        </w:rPr>
        <w:t>imagen.</w:t>
      </w:r>
    </w:p>
    <w:p>
      <w:pPr>
        <w:spacing w:before="180"/>
        <w:ind w:left="622" w:right="0" w:firstLine="0"/>
        <w:jc w:val="left"/>
        <w:rPr>
          <w:rFonts w:ascii="Calibri"/>
          <w:b/>
          <w:sz w:val="20"/>
        </w:rPr>
      </w:pPr>
      <w:bookmarkStart w:name="_bookmark171" w:id="172"/>
      <w:bookmarkEnd w:id="172"/>
      <w:r>
        <w:rPr/>
      </w:r>
      <w:r>
        <w:rPr>
          <w:rFonts w:ascii="Calibri"/>
          <w:b/>
          <w:color w:val="1F3863"/>
          <w:spacing w:val="-2"/>
          <w:sz w:val="20"/>
        </w:rPr>
        <w:t>NICSP</w:t>
      </w:r>
    </w:p>
    <w:p>
      <w:pPr>
        <w:spacing w:before="163"/>
        <w:ind w:left="622" w:right="0" w:firstLine="0"/>
        <w:jc w:val="left"/>
        <w:rPr>
          <w:rFonts w:ascii="Calibri"/>
          <w:b/>
          <w:sz w:val="20"/>
        </w:rPr>
      </w:pPr>
      <w:bookmarkStart w:name="_bookmark172" w:id="173"/>
      <w:bookmarkEnd w:id="173"/>
      <w:r>
        <w:rPr/>
      </w:r>
      <w:r>
        <w:rPr>
          <w:rFonts w:ascii="Calibri"/>
          <w:b/>
          <w:color w:val="1F3762"/>
          <w:sz w:val="20"/>
        </w:rPr>
        <w:t>NICSP</w:t>
      </w:r>
      <w:r>
        <w:rPr>
          <w:rFonts w:ascii="Calibri"/>
          <w:b/>
          <w:color w:val="1F3762"/>
          <w:spacing w:val="-5"/>
          <w:sz w:val="20"/>
        </w:rPr>
        <w:t> </w:t>
      </w:r>
      <w:r>
        <w:rPr>
          <w:rFonts w:ascii="Calibri"/>
          <w:b/>
          <w:color w:val="1F3762"/>
          <w:sz w:val="20"/>
        </w:rPr>
        <w:t>13</w:t>
      </w:r>
      <w:r>
        <w:rPr>
          <w:rFonts w:ascii="Calibri"/>
          <w:b/>
          <w:color w:val="1F3762"/>
          <w:spacing w:val="-2"/>
          <w:sz w:val="20"/>
        </w:rPr>
        <w:t> ARRENDAMIENTOS</w:t>
      </w:r>
    </w:p>
    <w:p>
      <w:pPr>
        <w:pStyle w:val="BodyText"/>
        <w:spacing w:before="5"/>
        <w:rPr>
          <w:rFonts w:ascii="Calibri"/>
          <w:b/>
          <w:sz w:val="7"/>
        </w:rPr>
      </w:pPr>
      <w:r>
        <w:rPr>
          <w:rFonts w:ascii="Calibri"/>
          <w:b/>
          <w:sz w:val="7"/>
        </w:rPr>
        <w:drawing>
          <wp:anchor distT="0" distB="0" distL="0" distR="0" allowOverlap="1" layoutInCell="1" locked="0" behindDoc="1" simplePos="0" relativeHeight="487847936">
            <wp:simplePos x="0" y="0"/>
            <wp:positionH relativeFrom="page">
              <wp:posOffset>723509</wp:posOffset>
            </wp:positionH>
            <wp:positionV relativeFrom="paragraph">
              <wp:posOffset>72881</wp:posOffset>
            </wp:positionV>
            <wp:extent cx="6512845" cy="1365504"/>
            <wp:effectExtent l="0" t="0" r="0" b="0"/>
            <wp:wrapTopAndBottom/>
            <wp:docPr id="1290" name="Image 1290"/>
            <wp:cNvGraphicFramePr>
              <a:graphicFrameLocks/>
            </wp:cNvGraphicFramePr>
            <a:graphic>
              <a:graphicData uri="http://schemas.openxmlformats.org/drawingml/2006/picture">
                <pic:pic>
                  <pic:nvPicPr>
                    <pic:cNvPr id="1290" name="Image 1290"/>
                    <pic:cNvPicPr/>
                  </pic:nvPicPr>
                  <pic:blipFill>
                    <a:blip r:embed="rId121" cstate="print"/>
                    <a:stretch>
                      <a:fillRect/>
                    </a:stretch>
                  </pic:blipFill>
                  <pic:spPr>
                    <a:xfrm>
                      <a:off x="0" y="0"/>
                      <a:ext cx="6512845" cy="1365504"/>
                    </a:xfrm>
                    <a:prstGeom prst="rect">
                      <a:avLst/>
                    </a:prstGeom>
                  </pic:spPr>
                </pic:pic>
              </a:graphicData>
            </a:graphic>
          </wp:anchor>
        </w:drawing>
      </w:r>
    </w:p>
    <w:p>
      <w:pPr>
        <w:pStyle w:val="BodyText"/>
        <w:rPr>
          <w:rFonts w:ascii="Calibri"/>
          <w:b/>
          <w:sz w:val="20"/>
        </w:rPr>
      </w:pPr>
    </w:p>
    <w:p>
      <w:pPr>
        <w:pStyle w:val="BodyText"/>
        <w:rPr>
          <w:rFonts w:ascii="Calibri"/>
          <w:b/>
          <w:sz w:val="20"/>
        </w:rPr>
      </w:pPr>
    </w:p>
    <w:p>
      <w:pPr>
        <w:pStyle w:val="BodyText"/>
        <w:spacing w:before="221"/>
        <w:rPr>
          <w:rFonts w:ascii="Calibri"/>
          <w:b/>
          <w:sz w:val="20"/>
        </w:rPr>
      </w:pPr>
    </w:p>
    <w:p>
      <w:pPr>
        <w:pStyle w:val="Heading1"/>
        <w:spacing w:before="0"/>
        <w:jc w:val="center"/>
      </w:pPr>
      <w:hyperlink r:id="rId94">
        <w:r>
          <w:rPr>
            <w:color w:val="CDAA64"/>
            <w:spacing w:val="-2"/>
            <w:w w:val="105"/>
          </w:rPr>
          <w:t>WWW.IMAS.GO.CR</w:t>
        </w:r>
      </w:hyperlink>
    </w:p>
    <w:p>
      <w:pPr>
        <w:pStyle w:val="Heading1"/>
        <w:spacing w:after="0"/>
        <w:jc w:val="center"/>
        <w:sectPr>
          <w:pgSz w:w="12240" w:h="15840"/>
          <w:pgMar w:top="300" w:bottom="0" w:left="1080" w:right="720"/>
        </w:sectPr>
      </w:pPr>
    </w:p>
    <w:p>
      <w:pPr>
        <w:spacing w:before="62"/>
        <w:ind w:left="622" w:right="0" w:firstLine="0"/>
        <w:jc w:val="left"/>
        <w:rPr>
          <w:sz w:val="20"/>
        </w:rPr>
      </w:pPr>
      <w:r>
        <w:rPr>
          <w:sz w:val="20"/>
        </w:rPr>
        <mc:AlternateContent>
          <mc:Choice Requires="wps">
            <w:drawing>
              <wp:anchor distT="0" distB="0" distL="0" distR="0" allowOverlap="1" layoutInCell="1" locked="0" behindDoc="1" simplePos="0" relativeHeight="473785856">
                <wp:simplePos x="0" y="0"/>
                <wp:positionH relativeFrom="page">
                  <wp:posOffset>9525</wp:posOffset>
                </wp:positionH>
                <wp:positionV relativeFrom="page">
                  <wp:posOffset>297208</wp:posOffset>
                </wp:positionV>
                <wp:extent cx="7762875" cy="9748520"/>
                <wp:effectExtent l="0" t="0" r="0" b="0"/>
                <wp:wrapNone/>
                <wp:docPr id="1291" name="Group 1291"/>
                <wp:cNvGraphicFramePr>
                  <a:graphicFrameLocks/>
                </wp:cNvGraphicFramePr>
                <a:graphic>
                  <a:graphicData uri="http://schemas.microsoft.com/office/word/2010/wordprocessingGroup">
                    <wpg:wgp>
                      <wpg:cNvPr id="1291" name="Group 1291"/>
                      <wpg:cNvGrpSpPr/>
                      <wpg:grpSpPr>
                        <a:xfrm>
                          <a:off x="0" y="0"/>
                          <a:ext cx="7762875" cy="9748520"/>
                          <a:chExt cx="7762875" cy="9748520"/>
                        </a:xfrm>
                      </wpg:grpSpPr>
                      <pic:pic>
                        <pic:nvPicPr>
                          <pic:cNvPr id="1292" name="Image 1292"/>
                          <pic:cNvPicPr/>
                        </pic:nvPicPr>
                        <pic:blipFill>
                          <a:blip r:embed="rId5" cstate="print"/>
                          <a:stretch>
                            <a:fillRect/>
                          </a:stretch>
                        </pic:blipFill>
                        <pic:spPr>
                          <a:xfrm>
                            <a:off x="0" y="0"/>
                            <a:ext cx="7762874" cy="9748489"/>
                          </a:xfrm>
                          <a:prstGeom prst="rect">
                            <a:avLst/>
                          </a:prstGeom>
                        </pic:spPr>
                      </pic:pic>
                      <wps:wsp>
                        <wps:cNvPr id="1293" name="Graphic 1293"/>
                        <wps:cNvSpPr/>
                        <wps:spPr>
                          <a:xfrm>
                            <a:off x="1053007" y="990825"/>
                            <a:ext cx="5649595" cy="9525"/>
                          </a:xfrm>
                          <a:custGeom>
                            <a:avLst/>
                            <a:gdLst/>
                            <a:ahLst/>
                            <a:cxnLst/>
                            <a:rect l="l" t="t" r="r" b="b"/>
                            <a:pathLst>
                              <a:path w="5649595" h="9525">
                                <a:moveTo>
                                  <a:pt x="5649214" y="0"/>
                                </a:moveTo>
                                <a:lnTo>
                                  <a:pt x="0" y="0"/>
                                </a:lnTo>
                                <a:lnTo>
                                  <a:pt x="0" y="9143"/>
                                </a:lnTo>
                                <a:lnTo>
                                  <a:pt x="5649214" y="9143"/>
                                </a:lnTo>
                                <a:lnTo>
                                  <a:pt x="56492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001pt;margin-top:23.402267pt;width:611.25pt;height:767.6pt;mso-position-horizontal-relative:page;mso-position-vertical-relative:page;z-index:-29530624" id="docshapegroup1231" coordorigin="15,468" coordsize="12225,15352">
                <v:shape style="position:absolute;left:15;top:468;width:12225;height:15352" type="#_x0000_t75" id="docshape1232" stroked="false">
                  <v:imagedata r:id="rId5" o:title=""/>
                </v:shape>
                <v:rect style="position:absolute;left:1673;top:2028;width:8897;height:15" id="docshape1233" filled="true" fillcolor="#000000" stroked="false">
                  <v:fill type="solid"/>
                </v:rect>
                <w10:wrap type="none"/>
              </v:group>
            </w:pict>
          </mc:Fallback>
        </mc:AlternateContent>
      </w:r>
      <w:r>
        <w:rPr>
          <w:color w:val="172951"/>
          <w:sz w:val="20"/>
        </w:rPr>
        <w:t>Pág.</w:t>
      </w:r>
      <w:r>
        <w:rPr>
          <w:color w:val="172951"/>
          <w:spacing w:val="-7"/>
          <w:sz w:val="20"/>
        </w:rPr>
        <w:t> </w:t>
      </w:r>
      <w:r>
        <w:rPr>
          <w:color w:val="172951"/>
          <w:spacing w:val="-5"/>
          <w:sz w:val="20"/>
        </w:rPr>
        <w:t>252</w:t>
      </w:r>
    </w:p>
    <w:p>
      <w:pPr>
        <w:pStyle w:val="BodyText"/>
        <w:rPr>
          <w:sz w:val="20"/>
        </w:rPr>
      </w:pPr>
    </w:p>
    <w:p>
      <w:pPr>
        <w:pStyle w:val="BodyText"/>
        <w:spacing w:before="205"/>
        <w:rPr>
          <w:sz w:val="20"/>
        </w:rPr>
      </w:pPr>
    </w:p>
    <w:tbl>
      <w:tblPr>
        <w:tblW w:w="0" w:type="auto"/>
        <w:jc w:val="left"/>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0"/>
        <w:gridCol w:w="773"/>
        <w:gridCol w:w="1255"/>
        <w:gridCol w:w="875"/>
        <w:gridCol w:w="875"/>
        <w:gridCol w:w="1261"/>
        <w:gridCol w:w="637"/>
        <w:gridCol w:w="834"/>
        <w:gridCol w:w="834"/>
        <w:gridCol w:w="834"/>
        <w:gridCol w:w="1682"/>
      </w:tblGrid>
      <w:tr>
        <w:trPr>
          <w:trHeight w:val="298" w:hRule="atLeast"/>
        </w:trPr>
        <w:tc>
          <w:tcPr>
            <w:tcW w:w="10270" w:type="dxa"/>
            <w:gridSpan w:val="11"/>
            <w:tcBorders>
              <w:left w:val="single" w:sz="4" w:space="0" w:color="000000"/>
              <w:bottom w:val="single" w:sz="12" w:space="0" w:color="000000"/>
            </w:tcBorders>
            <w:shd w:val="clear" w:color="auto" w:fill="1F3863"/>
          </w:tcPr>
          <w:p>
            <w:pPr>
              <w:pStyle w:val="TableParagraph"/>
              <w:spacing w:line="263" w:lineRule="exact" w:before="16"/>
              <w:ind w:left="22"/>
              <w:jc w:val="center"/>
              <w:rPr>
                <w:rFonts w:ascii="Arial Narrow"/>
                <w:sz w:val="24"/>
              </w:rPr>
            </w:pPr>
            <w:r>
              <w:rPr>
                <w:rFonts w:ascii="Arial Narrow"/>
                <w:color w:val="FFFFFF"/>
                <w:spacing w:val="-2"/>
                <w:w w:val="55"/>
                <w:sz w:val="24"/>
              </w:rPr>
              <w:t>Arrendamiento</w:t>
            </w:r>
            <w:r>
              <w:rPr>
                <w:rFonts w:ascii="Arial Narrow"/>
                <w:color w:val="FFFFFF"/>
                <w:sz w:val="24"/>
              </w:rPr>
              <w:t> </w:t>
            </w:r>
            <w:r>
              <w:rPr>
                <w:rFonts w:ascii="Arial Narrow"/>
                <w:color w:val="FFFFFF"/>
                <w:spacing w:val="-2"/>
                <w:w w:val="65"/>
                <w:sz w:val="24"/>
              </w:rPr>
              <w:t>Financiero</w:t>
            </w:r>
          </w:p>
        </w:tc>
      </w:tr>
      <w:tr>
        <w:trPr>
          <w:trHeight w:val="540" w:hRule="atLeast"/>
        </w:trPr>
        <w:tc>
          <w:tcPr>
            <w:tcW w:w="410" w:type="dxa"/>
            <w:tcBorders>
              <w:top w:val="single" w:sz="12" w:space="0" w:color="000000"/>
              <w:left w:val="single" w:sz="4" w:space="0" w:color="000000"/>
              <w:bottom w:val="single" w:sz="12" w:space="0" w:color="000000"/>
            </w:tcBorders>
            <w:shd w:val="clear" w:color="auto" w:fill="1F3863"/>
          </w:tcPr>
          <w:p>
            <w:pPr>
              <w:pStyle w:val="TableParagraph"/>
              <w:spacing w:before="161"/>
              <w:ind w:left="18" w:right="15"/>
              <w:jc w:val="center"/>
              <w:rPr>
                <w:rFonts w:ascii="Arial Narrow"/>
                <w:sz w:val="20"/>
              </w:rPr>
            </w:pPr>
            <w:r>
              <w:rPr>
                <w:rFonts w:ascii="Arial Narrow"/>
                <w:color w:val="FFFFFF"/>
                <w:spacing w:val="-4"/>
                <w:w w:val="65"/>
                <w:sz w:val="20"/>
              </w:rPr>
              <w:t>Item</w:t>
            </w:r>
          </w:p>
        </w:tc>
        <w:tc>
          <w:tcPr>
            <w:tcW w:w="773" w:type="dxa"/>
            <w:tcBorders>
              <w:top w:val="single" w:sz="12" w:space="0" w:color="000000"/>
              <w:bottom w:val="single" w:sz="12" w:space="0" w:color="000000"/>
            </w:tcBorders>
            <w:shd w:val="clear" w:color="auto" w:fill="1F3863"/>
          </w:tcPr>
          <w:p>
            <w:pPr>
              <w:pStyle w:val="TableParagraph"/>
              <w:spacing w:before="161"/>
              <w:ind w:left="121"/>
              <w:rPr>
                <w:rFonts w:ascii="Arial Narrow"/>
                <w:sz w:val="20"/>
              </w:rPr>
            </w:pPr>
            <w:r>
              <w:rPr>
                <w:rFonts w:ascii="Arial Narrow"/>
                <w:color w:val="FFFFFF"/>
                <w:w w:val="55"/>
                <w:sz w:val="20"/>
              </w:rPr>
              <w:t>No.</w:t>
            </w:r>
            <w:r>
              <w:rPr>
                <w:rFonts w:ascii="Arial Narrow"/>
                <w:color w:val="FFFFFF"/>
                <w:spacing w:val="-14"/>
                <w:sz w:val="20"/>
              </w:rPr>
              <w:t> </w:t>
            </w:r>
            <w:r>
              <w:rPr>
                <w:rFonts w:ascii="Arial Narrow"/>
                <w:color w:val="FFFFFF"/>
                <w:spacing w:val="-2"/>
                <w:w w:val="65"/>
                <w:sz w:val="20"/>
              </w:rPr>
              <w:t>Contrato</w:t>
            </w:r>
          </w:p>
        </w:tc>
        <w:tc>
          <w:tcPr>
            <w:tcW w:w="1255" w:type="dxa"/>
            <w:tcBorders>
              <w:top w:val="single" w:sz="12" w:space="0" w:color="000000"/>
              <w:bottom w:val="single" w:sz="12" w:space="0" w:color="000000"/>
            </w:tcBorders>
            <w:shd w:val="clear" w:color="auto" w:fill="1F3863"/>
          </w:tcPr>
          <w:p>
            <w:pPr>
              <w:pStyle w:val="TableParagraph"/>
              <w:spacing w:before="161"/>
              <w:ind w:left="379"/>
              <w:rPr>
                <w:rFonts w:ascii="Arial Narrow" w:hAnsi="Arial Narrow"/>
                <w:sz w:val="20"/>
              </w:rPr>
            </w:pPr>
            <w:r>
              <w:rPr>
                <w:rFonts w:ascii="Arial Narrow" w:hAnsi="Arial Narrow"/>
                <w:color w:val="FFFFFF"/>
                <w:spacing w:val="-2"/>
                <w:w w:val="65"/>
                <w:sz w:val="20"/>
              </w:rPr>
              <w:t>Descripción</w:t>
            </w:r>
          </w:p>
        </w:tc>
        <w:tc>
          <w:tcPr>
            <w:tcW w:w="875" w:type="dxa"/>
            <w:tcBorders>
              <w:top w:val="single" w:sz="12" w:space="0" w:color="000000"/>
              <w:bottom w:val="single" w:sz="12" w:space="0" w:color="000000"/>
            </w:tcBorders>
            <w:shd w:val="clear" w:color="auto" w:fill="1F3863"/>
          </w:tcPr>
          <w:p>
            <w:pPr>
              <w:pStyle w:val="TableParagraph"/>
              <w:spacing w:before="161"/>
              <w:ind w:left="183"/>
              <w:rPr>
                <w:rFonts w:ascii="Arial Narrow"/>
                <w:sz w:val="20"/>
              </w:rPr>
            </w:pPr>
            <w:r>
              <w:rPr>
                <w:rFonts w:ascii="Arial Narrow"/>
                <w:color w:val="FFFFFF"/>
                <w:w w:val="55"/>
                <w:sz w:val="20"/>
              </w:rPr>
              <w:t>Fecha</w:t>
            </w:r>
            <w:r>
              <w:rPr>
                <w:rFonts w:ascii="Arial Narrow"/>
                <w:color w:val="FFFFFF"/>
                <w:spacing w:val="-5"/>
                <w:sz w:val="20"/>
              </w:rPr>
              <w:t> </w:t>
            </w:r>
            <w:r>
              <w:rPr>
                <w:rFonts w:ascii="Arial Narrow"/>
                <w:color w:val="FFFFFF"/>
                <w:spacing w:val="-2"/>
                <w:w w:val="60"/>
                <w:sz w:val="20"/>
              </w:rPr>
              <w:t>Inicio</w:t>
            </w:r>
          </w:p>
        </w:tc>
        <w:tc>
          <w:tcPr>
            <w:tcW w:w="875" w:type="dxa"/>
            <w:tcBorders>
              <w:top w:val="single" w:sz="12" w:space="0" w:color="000000"/>
              <w:bottom w:val="single" w:sz="12" w:space="0" w:color="000000"/>
            </w:tcBorders>
            <w:shd w:val="clear" w:color="auto" w:fill="1F3863"/>
          </w:tcPr>
          <w:p>
            <w:pPr>
              <w:pStyle w:val="TableParagraph"/>
              <w:spacing w:before="161"/>
              <w:ind w:left="189"/>
              <w:rPr>
                <w:rFonts w:ascii="Arial Narrow"/>
                <w:sz w:val="20"/>
              </w:rPr>
            </w:pPr>
            <w:r>
              <w:rPr>
                <w:rFonts w:ascii="Arial Narrow"/>
                <w:color w:val="FFFFFF"/>
                <w:w w:val="55"/>
                <w:sz w:val="20"/>
              </w:rPr>
              <w:t>Fecha</w:t>
            </w:r>
            <w:r>
              <w:rPr>
                <w:rFonts w:ascii="Arial Narrow"/>
                <w:color w:val="FFFFFF"/>
                <w:spacing w:val="-5"/>
                <w:sz w:val="20"/>
              </w:rPr>
              <w:t> </w:t>
            </w:r>
            <w:r>
              <w:rPr>
                <w:rFonts w:ascii="Arial Narrow"/>
                <w:color w:val="FFFFFF"/>
                <w:spacing w:val="-2"/>
                <w:w w:val="65"/>
                <w:sz w:val="20"/>
              </w:rPr>
              <w:t>Final</w:t>
            </w:r>
          </w:p>
        </w:tc>
        <w:tc>
          <w:tcPr>
            <w:tcW w:w="1261" w:type="dxa"/>
            <w:tcBorders>
              <w:top w:val="single" w:sz="12" w:space="0" w:color="000000"/>
              <w:bottom w:val="single" w:sz="12" w:space="0" w:color="000000"/>
            </w:tcBorders>
            <w:shd w:val="clear" w:color="auto" w:fill="1F3863"/>
          </w:tcPr>
          <w:p>
            <w:pPr>
              <w:pStyle w:val="TableParagraph"/>
              <w:spacing w:before="161"/>
              <w:ind w:left="40"/>
              <w:rPr>
                <w:rFonts w:ascii="Arial Narrow"/>
                <w:sz w:val="20"/>
              </w:rPr>
            </w:pPr>
            <w:r>
              <w:rPr>
                <w:rFonts w:ascii="Arial Narrow"/>
                <w:color w:val="FFFFFF"/>
                <w:w w:val="55"/>
                <w:sz w:val="20"/>
              </w:rPr>
              <w:t>Ente</w:t>
            </w:r>
            <w:r>
              <w:rPr>
                <w:rFonts w:ascii="Arial Narrow"/>
                <w:color w:val="FFFFFF"/>
                <w:spacing w:val="-15"/>
                <w:sz w:val="20"/>
              </w:rPr>
              <w:t> </w:t>
            </w:r>
            <w:r>
              <w:rPr>
                <w:rFonts w:ascii="Arial Narrow"/>
                <w:color w:val="FFFFFF"/>
                <w:w w:val="55"/>
                <w:sz w:val="20"/>
              </w:rPr>
              <w:t>vinculante</w:t>
            </w:r>
            <w:r>
              <w:rPr>
                <w:rFonts w:ascii="Arial Narrow"/>
                <w:color w:val="FFFFFF"/>
                <w:spacing w:val="-15"/>
                <w:sz w:val="20"/>
              </w:rPr>
              <w:t> </w:t>
            </w:r>
            <w:r>
              <w:rPr>
                <w:rFonts w:ascii="Arial Narrow"/>
                <w:color w:val="FFFFFF"/>
                <w:spacing w:val="-2"/>
                <w:w w:val="55"/>
                <w:sz w:val="20"/>
              </w:rPr>
              <w:t>(Proveedor)</w:t>
            </w:r>
          </w:p>
        </w:tc>
        <w:tc>
          <w:tcPr>
            <w:tcW w:w="637" w:type="dxa"/>
            <w:tcBorders>
              <w:top w:val="single" w:sz="12" w:space="0" w:color="000000"/>
              <w:bottom w:val="single" w:sz="12" w:space="0" w:color="000000"/>
            </w:tcBorders>
            <w:shd w:val="clear" w:color="auto" w:fill="1F3863"/>
          </w:tcPr>
          <w:p>
            <w:pPr>
              <w:pStyle w:val="TableParagraph"/>
              <w:spacing w:before="16"/>
              <w:ind w:left="62"/>
              <w:rPr>
                <w:rFonts w:ascii="Arial Narrow"/>
                <w:sz w:val="20"/>
              </w:rPr>
            </w:pPr>
            <w:r>
              <w:rPr>
                <w:rFonts w:ascii="Arial Narrow"/>
                <w:color w:val="FFFFFF"/>
                <w:w w:val="55"/>
                <w:sz w:val="20"/>
              </w:rPr>
              <w:t>Moneda</w:t>
            </w:r>
            <w:r>
              <w:rPr>
                <w:rFonts w:ascii="Arial Narrow"/>
                <w:color w:val="FFFFFF"/>
                <w:spacing w:val="5"/>
                <w:sz w:val="20"/>
              </w:rPr>
              <w:t> </w:t>
            </w:r>
            <w:r>
              <w:rPr>
                <w:rFonts w:ascii="Arial Narrow"/>
                <w:color w:val="FFFFFF"/>
                <w:spacing w:val="-5"/>
                <w:w w:val="60"/>
                <w:sz w:val="20"/>
              </w:rPr>
              <w:t>del</w:t>
            </w:r>
          </w:p>
          <w:p>
            <w:pPr>
              <w:pStyle w:val="TableParagraph"/>
              <w:spacing w:line="225" w:lineRule="exact" w:before="49"/>
              <w:ind w:left="143"/>
              <w:rPr>
                <w:rFonts w:ascii="Arial Narrow"/>
                <w:sz w:val="20"/>
              </w:rPr>
            </w:pPr>
            <w:r>
              <w:rPr>
                <w:rFonts w:ascii="Arial Narrow"/>
                <w:color w:val="FFFFFF"/>
                <w:spacing w:val="-2"/>
                <w:w w:val="65"/>
                <w:sz w:val="20"/>
              </w:rPr>
              <w:t>Contrato</w:t>
            </w:r>
          </w:p>
        </w:tc>
        <w:tc>
          <w:tcPr>
            <w:tcW w:w="834" w:type="dxa"/>
            <w:tcBorders>
              <w:top w:val="single" w:sz="12" w:space="0" w:color="000000"/>
              <w:bottom w:val="single" w:sz="12" w:space="0" w:color="000000"/>
            </w:tcBorders>
            <w:shd w:val="clear" w:color="auto" w:fill="1F3863"/>
          </w:tcPr>
          <w:p>
            <w:pPr>
              <w:pStyle w:val="TableParagraph"/>
              <w:spacing w:before="161"/>
              <w:ind w:left="27"/>
              <w:jc w:val="center"/>
              <w:rPr>
                <w:rFonts w:ascii="Arial" w:hAnsi="Arial"/>
                <w:sz w:val="20"/>
              </w:rPr>
            </w:pPr>
            <w:r>
              <w:rPr>
                <w:rFonts w:ascii="Arial Narrow" w:hAnsi="Arial Narrow"/>
                <w:color w:val="FFFFFF"/>
                <w:w w:val="55"/>
                <w:sz w:val="20"/>
              </w:rPr>
              <w:t>Monto</w:t>
            </w:r>
            <w:r>
              <w:rPr>
                <w:rFonts w:ascii="Arial Narrow" w:hAnsi="Arial Narrow"/>
                <w:color w:val="FFFFFF"/>
                <w:spacing w:val="-5"/>
                <w:sz w:val="20"/>
              </w:rPr>
              <w:t> </w:t>
            </w:r>
            <w:r>
              <w:rPr>
                <w:rFonts w:ascii="Arial" w:hAnsi="Arial"/>
                <w:color w:val="FFFFFF"/>
                <w:spacing w:val="-10"/>
                <w:w w:val="65"/>
                <w:sz w:val="20"/>
              </w:rPr>
              <w:t>₡</w:t>
            </w:r>
          </w:p>
        </w:tc>
        <w:tc>
          <w:tcPr>
            <w:tcW w:w="834" w:type="dxa"/>
            <w:tcBorders>
              <w:top w:val="single" w:sz="12" w:space="0" w:color="000000"/>
              <w:bottom w:val="single" w:sz="12" w:space="0" w:color="000000"/>
            </w:tcBorders>
            <w:shd w:val="clear" w:color="auto" w:fill="1F3863"/>
          </w:tcPr>
          <w:p>
            <w:pPr>
              <w:pStyle w:val="TableParagraph"/>
              <w:spacing w:before="161"/>
              <w:ind w:left="23"/>
              <w:jc w:val="center"/>
              <w:rPr>
                <w:rFonts w:ascii="Arial Narrow"/>
                <w:sz w:val="20"/>
              </w:rPr>
            </w:pPr>
            <w:r>
              <w:rPr>
                <w:rFonts w:ascii="Arial Narrow"/>
                <w:color w:val="FFFFFF"/>
                <w:w w:val="55"/>
                <w:sz w:val="20"/>
              </w:rPr>
              <w:t>Monto</w:t>
            </w:r>
            <w:r>
              <w:rPr>
                <w:rFonts w:ascii="Arial Narrow"/>
                <w:color w:val="FFFFFF"/>
                <w:spacing w:val="-6"/>
                <w:sz w:val="20"/>
              </w:rPr>
              <w:t> </w:t>
            </w:r>
            <w:r>
              <w:rPr>
                <w:rFonts w:ascii="Arial Narrow"/>
                <w:color w:val="FFFFFF"/>
                <w:spacing w:val="-12"/>
                <w:w w:val="65"/>
                <w:sz w:val="20"/>
              </w:rPr>
              <w:t>$</w:t>
            </w:r>
          </w:p>
        </w:tc>
        <w:tc>
          <w:tcPr>
            <w:tcW w:w="834" w:type="dxa"/>
            <w:tcBorders>
              <w:top w:val="single" w:sz="12" w:space="0" w:color="000000"/>
              <w:bottom w:val="single" w:sz="12" w:space="0" w:color="000000"/>
            </w:tcBorders>
            <w:shd w:val="clear" w:color="auto" w:fill="1F3863"/>
          </w:tcPr>
          <w:p>
            <w:pPr>
              <w:pStyle w:val="TableParagraph"/>
              <w:spacing w:before="16"/>
              <w:ind w:left="164"/>
              <w:rPr>
                <w:rFonts w:ascii="Arial Narrow"/>
                <w:sz w:val="20"/>
              </w:rPr>
            </w:pPr>
            <w:r>
              <w:rPr>
                <w:rFonts w:ascii="Arial Narrow"/>
                <w:color w:val="FFFFFF"/>
                <w:w w:val="55"/>
                <w:sz w:val="20"/>
              </w:rPr>
              <w:t>Monto</w:t>
            </w:r>
            <w:r>
              <w:rPr>
                <w:rFonts w:ascii="Arial Narrow"/>
                <w:color w:val="FFFFFF"/>
                <w:spacing w:val="-6"/>
                <w:sz w:val="20"/>
              </w:rPr>
              <w:t> </w:t>
            </w:r>
            <w:r>
              <w:rPr>
                <w:rFonts w:ascii="Arial Narrow"/>
                <w:color w:val="FFFFFF"/>
                <w:spacing w:val="-2"/>
                <w:w w:val="65"/>
                <w:sz w:val="20"/>
              </w:rPr>
              <w:t>Total</w:t>
            </w:r>
          </w:p>
          <w:p>
            <w:pPr>
              <w:pStyle w:val="TableParagraph"/>
              <w:spacing w:line="225" w:lineRule="exact" w:before="49"/>
              <w:ind w:left="246"/>
              <w:rPr>
                <w:rFonts w:ascii="Arial Narrow"/>
                <w:sz w:val="20"/>
              </w:rPr>
            </w:pPr>
            <w:r>
              <w:rPr>
                <w:rFonts w:ascii="Arial Narrow"/>
                <w:color w:val="FFFFFF"/>
                <w:spacing w:val="-2"/>
                <w:w w:val="65"/>
                <w:sz w:val="20"/>
              </w:rPr>
              <w:t>Colones</w:t>
            </w:r>
          </w:p>
        </w:tc>
        <w:tc>
          <w:tcPr>
            <w:tcW w:w="1682" w:type="dxa"/>
            <w:tcBorders>
              <w:top w:val="single" w:sz="12" w:space="0" w:color="000000"/>
              <w:bottom w:val="single" w:sz="12" w:space="0" w:color="000000"/>
            </w:tcBorders>
            <w:shd w:val="clear" w:color="auto" w:fill="1F3863"/>
          </w:tcPr>
          <w:p>
            <w:pPr>
              <w:pStyle w:val="TableParagraph"/>
              <w:spacing w:before="149"/>
              <w:ind w:left="579"/>
              <w:rPr>
                <w:rFonts w:ascii="Arial Narrow" w:hAnsi="Arial Narrow"/>
                <w:sz w:val="20"/>
              </w:rPr>
            </w:pPr>
            <w:r>
              <w:rPr>
                <w:rFonts w:ascii="Arial Narrow" w:hAnsi="Arial Narrow"/>
                <w:color w:val="FFFFFF"/>
                <w:spacing w:val="-2"/>
                <w:w w:val="65"/>
                <w:sz w:val="20"/>
              </w:rPr>
              <w:t>Observación</w:t>
            </w:r>
          </w:p>
        </w:tc>
      </w:tr>
      <w:tr>
        <w:trPr>
          <w:trHeight w:val="273" w:hRule="atLeast"/>
        </w:trPr>
        <w:tc>
          <w:tcPr>
            <w:tcW w:w="410" w:type="dxa"/>
            <w:tcBorders>
              <w:top w:val="single" w:sz="12" w:space="0" w:color="000000"/>
              <w:left w:val="single" w:sz="4" w:space="0" w:color="000000"/>
              <w:bottom w:val="single" w:sz="12" w:space="0" w:color="000000"/>
            </w:tcBorders>
          </w:tcPr>
          <w:p>
            <w:pPr>
              <w:pStyle w:val="TableParagraph"/>
              <w:spacing w:line="225" w:lineRule="exact" w:before="28"/>
              <w:ind w:left="18"/>
              <w:jc w:val="center"/>
              <w:rPr>
                <w:rFonts w:ascii="Arial Narrow"/>
                <w:sz w:val="20"/>
              </w:rPr>
            </w:pPr>
            <w:r>
              <w:rPr>
                <w:rFonts w:ascii="Arial Narrow"/>
                <w:spacing w:val="-10"/>
                <w:w w:val="65"/>
                <w:sz w:val="20"/>
              </w:rPr>
              <w:t>1</w:t>
            </w:r>
          </w:p>
        </w:tc>
        <w:tc>
          <w:tcPr>
            <w:tcW w:w="773" w:type="dxa"/>
            <w:tcBorders>
              <w:top w:val="single" w:sz="12" w:space="0" w:color="000000"/>
              <w:bottom w:val="single" w:sz="12" w:space="0" w:color="000000"/>
            </w:tcBorders>
          </w:tcPr>
          <w:p>
            <w:pPr>
              <w:pStyle w:val="TableParagraph"/>
              <w:rPr>
                <w:rFonts w:ascii="Times New Roman"/>
                <w:sz w:val="16"/>
              </w:rPr>
            </w:pPr>
          </w:p>
        </w:tc>
        <w:tc>
          <w:tcPr>
            <w:tcW w:w="125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1261" w:type="dxa"/>
            <w:tcBorders>
              <w:top w:val="single" w:sz="12" w:space="0" w:color="000000"/>
              <w:bottom w:val="single" w:sz="12" w:space="0" w:color="000000"/>
            </w:tcBorders>
          </w:tcPr>
          <w:p>
            <w:pPr>
              <w:pStyle w:val="TableParagraph"/>
              <w:rPr>
                <w:rFonts w:ascii="Times New Roman"/>
                <w:sz w:val="16"/>
              </w:rPr>
            </w:pPr>
          </w:p>
        </w:tc>
        <w:tc>
          <w:tcPr>
            <w:tcW w:w="637"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1682" w:type="dxa"/>
            <w:tcBorders>
              <w:top w:val="single" w:sz="12" w:space="0" w:color="000000"/>
              <w:bottom w:val="single" w:sz="12" w:space="0" w:color="000000"/>
            </w:tcBorders>
          </w:tcPr>
          <w:p>
            <w:pPr>
              <w:pStyle w:val="TableParagraph"/>
              <w:rPr>
                <w:rFonts w:ascii="Times New Roman"/>
                <w:sz w:val="16"/>
              </w:rPr>
            </w:pPr>
          </w:p>
        </w:tc>
      </w:tr>
      <w:tr>
        <w:trPr>
          <w:trHeight w:val="273" w:hRule="atLeast"/>
        </w:trPr>
        <w:tc>
          <w:tcPr>
            <w:tcW w:w="410" w:type="dxa"/>
            <w:tcBorders>
              <w:top w:val="single" w:sz="12" w:space="0" w:color="000000"/>
              <w:left w:val="single" w:sz="4" w:space="0" w:color="000000"/>
              <w:bottom w:val="single" w:sz="12" w:space="0" w:color="000000"/>
            </w:tcBorders>
          </w:tcPr>
          <w:p>
            <w:pPr>
              <w:pStyle w:val="TableParagraph"/>
              <w:spacing w:line="225" w:lineRule="exact" w:before="28"/>
              <w:ind w:left="18"/>
              <w:jc w:val="center"/>
              <w:rPr>
                <w:rFonts w:ascii="Arial Narrow"/>
                <w:sz w:val="20"/>
              </w:rPr>
            </w:pPr>
            <w:r>
              <w:rPr>
                <w:rFonts w:ascii="Arial Narrow"/>
                <w:spacing w:val="-10"/>
                <w:w w:val="65"/>
                <w:sz w:val="20"/>
              </w:rPr>
              <w:t>2</w:t>
            </w:r>
          </w:p>
        </w:tc>
        <w:tc>
          <w:tcPr>
            <w:tcW w:w="773" w:type="dxa"/>
            <w:tcBorders>
              <w:top w:val="single" w:sz="12" w:space="0" w:color="000000"/>
              <w:bottom w:val="single" w:sz="12" w:space="0" w:color="000000"/>
            </w:tcBorders>
          </w:tcPr>
          <w:p>
            <w:pPr>
              <w:pStyle w:val="TableParagraph"/>
              <w:rPr>
                <w:rFonts w:ascii="Times New Roman"/>
                <w:sz w:val="16"/>
              </w:rPr>
            </w:pPr>
          </w:p>
        </w:tc>
        <w:tc>
          <w:tcPr>
            <w:tcW w:w="125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1261" w:type="dxa"/>
            <w:tcBorders>
              <w:top w:val="single" w:sz="12" w:space="0" w:color="000000"/>
              <w:bottom w:val="single" w:sz="12" w:space="0" w:color="000000"/>
            </w:tcBorders>
          </w:tcPr>
          <w:p>
            <w:pPr>
              <w:pStyle w:val="TableParagraph"/>
              <w:rPr>
                <w:rFonts w:ascii="Times New Roman"/>
                <w:sz w:val="16"/>
              </w:rPr>
            </w:pPr>
          </w:p>
        </w:tc>
        <w:tc>
          <w:tcPr>
            <w:tcW w:w="637"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1682" w:type="dxa"/>
            <w:tcBorders>
              <w:top w:val="single" w:sz="12" w:space="0" w:color="000000"/>
              <w:bottom w:val="single" w:sz="12" w:space="0" w:color="000000"/>
            </w:tcBorders>
          </w:tcPr>
          <w:p>
            <w:pPr>
              <w:pStyle w:val="TableParagraph"/>
              <w:rPr>
                <w:rFonts w:ascii="Times New Roman"/>
                <w:sz w:val="16"/>
              </w:rPr>
            </w:pPr>
          </w:p>
        </w:tc>
      </w:tr>
      <w:tr>
        <w:trPr>
          <w:trHeight w:val="297" w:hRule="atLeast"/>
        </w:trPr>
        <w:tc>
          <w:tcPr>
            <w:tcW w:w="410" w:type="dxa"/>
            <w:tcBorders>
              <w:top w:val="single" w:sz="12" w:space="0" w:color="000000"/>
              <w:left w:val="single" w:sz="4" w:space="0" w:color="000000"/>
              <w:bottom w:val="single" w:sz="12" w:space="0" w:color="000000"/>
            </w:tcBorders>
          </w:tcPr>
          <w:p>
            <w:pPr>
              <w:pStyle w:val="TableParagraph"/>
              <w:spacing w:before="40"/>
              <w:ind w:left="18"/>
              <w:jc w:val="center"/>
              <w:rPr>
                <w:rFonts w:ascii="Arial Narrow"/>
                <w:sz w:val="20"/>
              </w:rPr>
            </w:pPr>
            <w:r>
              <w:rPr>
                <w:rFonts w:ascii="Arial Narrow"/>
                <w:spacing w:val="-10"/>
                <w:w w:val="65"/>
                <w:sz w:val="20"/>
              </w:rPr>
              <w:t>3</w:t>
            </w:r>
          </w:p>
        </w:tc>
        <w:tc>
          <w:tcPr>
            <w:tcW w:w="773" w:type="dxa"/>
            <w:tcBorders>
              <w:top w:val="single" w:sz="12" w:space="0" w:color="000000"/>
              <w:bottom w:val="single" w:sz="12" w:space="0" w:color="000000"/>
            </w:tcBorders>
          </w:tcPr>
          <w:p>
            <w:pPr>
              <w:pStyle w:val="TableParagraph"/>
              <w:rPr>
                <w:rFonts w:ascii="Times New Roman"/>
                <w:sz w:val="16"/>
              </w:rPr>
            </w:pPr>
          </w:p>
        </w:tc>
        <w:tc>
          <w:tcPr>
            <w:tcW w:w="125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875" w:type="dxa"/>
            <w:tcBorders>
              <w:top w:val="single" w:sz="12" w:space="0" w:color="000000"/>
              <w:bottom w:val="single" w:sz="12" w:space="0" w:color="000000"/>
            </w:tcBorders>
          </w:tcPr>
          <w:p>
            <w:pPr>
              <w:pStyle w:val="TableParagraph"/>
              <w:rPr>
                <w:rFonts w:ascii="Times New Roman"/>
                <w:sz w:val="16"/>
              </w:rPr>
            </w:pPr>
          </w:p>
        </w:tc>
        <w:tc>
          <w:tcPr>
            <w:tcW w:w="1261" w:type="dxa"/>
            <w:tcBorders>
              <w:top w:val="single" w:sz="12" w:space="0" w:color="000000"/>
              <w:bottom w:val="single" w:sz="12" w:space="0" w:color="000000"/>
            </w:tcBorders>
          </w:tcPr>
          <w:p>
            <w:pPr>
              <w:pStyle w:val="TableParagraph"/>
              <w:rPr>
                <w:rFonts w:ascii="Times New Roman"/>
                <w:sz w:val="16"/>
              </w:rPr>
            </w:pPr>
          </w:p>
        </w:tc>
        <w:tc>
          <w:tcPr>
            <w:tcW w:w="637"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834" w:type="dxa"/>
            <w:tcBorders>
              <w:top w:val="single" w:sz="12" w:space="0" w:color="000000"/>
              <w:bottom w:val="single" w:sz="12" w:space="0" w:color="000000"/>
            </w:tcBorders>
          </w:tcPr>
          <w:p>
            <w:pPr>
              <w:pStyle w:val="TableParagraph"/>
              <w:rPr>
                <w:rFonts w:ascii="Times New Roman"/>
                <w:sz w:val="16"/>
              </w:rPr>
            </w:pPr>
          </w:p>
        </w:tc>
        <w:tc>
          <w:tcPr>
            <w:tcW w:w="1682" w:type="dxa"/>
            <w:tcBorders>
              <w:top w:val="single" w:sz="12" w:space="0" w:color="000000"/>
              <w:bottom w:val="single" w:sz="12" w:space="0" w:color="000000"/>
            </w:tcBorders>
          </w:tcPr>
          <w:p>
            <w:pPr>
              <w:pStyle w:val="TableParagraph"/>
              <w:rPr>
                <w:rFonts w:ascii="Times New Roman"/>
                <w:sz w:val="16"/>
              </w:rPr>
            </w:pPr>
          </w:p>
        </w:tc>
      </w:tr>
      <w:tr>
        <w:trPr>
          <w:trHeight w:val="273" w:hRule="atLeast"/>
        </w:trPr>
        <w:tc>
          <w:tcPr>
            <w:tcW w:w="410" w:type="dxa"/>
            <w:tcBorders>
              <w:top w:val="single" w:sz="12" w:space="0" w:color="000000"/>
              <w:left w:val="single" w:sz="4" w:space="0" w:color="000000"/>
              <w:bottom w:val="single" w:sz="12" w:space="0" w:color="000000"/>
            </w:tcBorders>
            <w:shd w:val="clear" w:color="auto" w:fill="1F3863"/>
          </w:tcPr>
          <w:p>
            <w:pPr>
              <w:pStyle w:val="TableParagraph"/>
              <w:rPr>
                <w:rFonts w:ascii="Times New Roman"/>
                <w:sz w:val="16"/>
              </w:rPr>
            </w:pPr>
          </w:p>
        </w:tc>
        <w:tc>
          <w:tcPr>
            <w:tcW w:w="5676" w:type="dxa"/>
            <w:gridSpan w:val="6"/>
            <w:tcBorders>
              <w:top w:val="single" w:sz="12" w:space="0" w:color="000000"/>
              <w:bottom w:val="single" w:sz="12" w:space="0" w:color="000000"/>
            </w:tcBorders>
            <w:shd w:val="clear" w:color="auto" w:fill="1F3863"/>
          </w:tcPr>
          <w:p>
            <w:pPr>
              <w:pStyle w:val="TableParagraph"/>
              <w:spacing w:line="244" w:lineRule="exact" w:before="9"/>
              <w:ind w:right="-15"/>
              <w:jc w:val="right"/>
              <w:rPr>
                <w:rFonts w:ascii="Arial Narrow"/>
                <w:sz w:val="22"/>
              </w:rPr>
            </w:pPr>
            <w:r>
              <w:rPr>
                <w:rFonts w:ascii="Arial Narrow"/>
                <w:color w:val="FFFFFF"/>
                <w:spacing w:val="-2"/>
                <w:w w:val="55"/>
                <w:sz w:val="22"/>
              </w:rPr>
              <w:t>GRAN</w:t>
            </w:r>
            <w:r>
              <w:rPr>
                <w:rFonts w:ascii="Arial Narrow"/>
                <w:color w:val="FFFFFF"/>
                <w:spacing w:val="-17"/>
                <w:sz w:val="22"/>
              </w:rPr>
              <w:t> </w:t>
            </w:r>
            <w:r>
              <w:rPr>
                <w:rFonts w:ascii="Arial Narrow"/>
                <w:color w:val="FFFFFF"/>
                <w:spacing w:val="-2"/>
                <w:w w:val="65"/>
                <w:sz w:val="22"/>
              </w:rPr>
              <w:t>TOTAL</w:t>
            </w:r>
          </w:p>
        </w:tc>
        <w:tc>
          <w:tcPr>
            <w:tcW w:w="834" w:type="dxa"/>
            <w:tcBorders>
              <w:top w:val="single" w:sz="12" w:space="0" w:color="000000"/>
              <w:bottom w:val="single" w:sz="12" w:space="0" w:color="000000"/>
            </w:tcBorders>
          </w:tcPr>
          <w:p>
            <w:pPr>
              <w:pStyle w:val="TableParagraph"/>
              <w:spacing w:line="232" w:lineRule="exact" w:before="21"/>
              <w:ind w:left="33"/>
              <w:jc w:val="center"/>
              <w:rPr>
                <w:rFonts w:ascii="Arial Narrow" w:hAnsi="Arial Narrow"/>
                <w:b/>
                <w:sz w:val="22"/>
              </w:rPr>
            </w:pPr>
            <w:r>
              <w:rPr>
                <w:rFonts w:ascii="Arial" w:hAnsi="Arial"/>
                <w:b/>
                <w:spacing w:val="-4"/>
                <w:w w:val="65"/>
                <w:sz w:val="22"/>
              </w:rPr>
              <w:t>₡</w:t>
            </w:r>
            <w:r>
              <w:rPr>
                <w:rFonts w:ascii="Arial Narrow" w:hAnsi="Arial Narrow"/>
                <w:b/>
                <w:spacing w:val="-4"/>
                <w:w w:val="65"/>
                <w:sz w:val="22"/>
              </w:rPr>
              <w:t>0,00</w:t>
            </w:r>
          </w:p>
        </w:tc>
        <w:tc>
          <w:tcPr>
            <w:tcW w:w="834" w:type="dxa"/>
            <w:tcBorders>
              <w:top w:val="single" w:sz="12" w:space="0" w:color="000000"/>
              <w:bottom w:val="single" w:sz="12" w:space="0" w:color="000000"/>
            </w:tcBorders>
          </w:tcPr>
          <w:p>
            <w:pPr>
              <w:pStyle w:val="TableParagraph"/>
              <w:spacing w:line="225" w:lineRule="exact" w:before="28"/>
              <w:ind w:left="23"/>
              <w:jc w:val="center"/>
              <w:rPr>
                <w:rFonts w:ascii="Arial Narrow"/>
                <w:b/>
                <w:sz w:val="20"/>
              </w:rPr>
            </w:pPr>
            <w:r>
              <w:rPr>
                <w:rFonts w:ascii="Arial Narrow"/>
                <w:b/>
                <w:spacing w:val="-2"/>
                <w:w w:val="65"/>
                <w:sz w:val="20"/>
              </w:rPr>
              <w:t>$0,00</w:t>
            </w:r>
          </w:p>
        </w:tc>
        <w:tc>
          <w:tcPr>
            <w:tcW w:w="834" w:type="dxa"/>
            <w:tcBorders>
              <w:top w:val="single" w:sz="12" w:space="0" w:color="000000"/>
              <w:bottom w:val="single" w:sz="12" w:space="0" w:color="000000"/>
            </w:tcBorders>
          </w:tcPr>
          <w:p>
            <w:pPr>
              <w:pStyle w:val="TableParagraph"/>
              <w:spacing w:line="232" w:lineRule="exact" w:before="21"/>
              <w:ind w:left="286"/>
              <w:rPr>
                <w:rFonts w:ascii="Arial Narrow" w:hAnsi="Arial Narrow"/>
                <w:b/>
                <w:sz w:val="22"/>
              </w:rPr>
            </w:pPr>
            <w:r>
              <w:rPr>
                <w:rFonts w:ascii="Arial" w:hAnsi="Arial"/>
                <w:b/>
                <w:spacing w:val="-4"/>
                <w:w w:val="65"/>
                <w:sz w:val="22"/>
              </w:rPr>
              <w:t>₡</w:t>
            </w:r>
            <w:r>
              <w:rPr>
                <w:rFonts w:ascii="Arial Narrow" w:hAnsi="Arial Narrow"/>
                <w:b/>
                <w:spacing w:val="-4"/>
                <w:w w:val="65"/>
                <w:sz w:val="22"/>
              </w:rPr>
              <w:t>0,00</w:t>
            </w:r>
          </w:p>
        </w:tc>
        <w:tc>
          <w:tcPr>
            <w:tcW w:w="1682" w:type="dxa"/>
            <w:tcBorders>
              <w:top w:val="single" w:sz="12" w:space="0" w:color="000000"/>
              <w:bottom w:val="single" w:sz="12" w:space="0" w:color="000000"/>
            </w:tcBorders>
            <w:shd w:val="clear" w:color="auto" w:fill="1F3863"/>
          </w:tcPr>
          <w:p>
            <w:pPr>
              <w:pStyle w:val="TableParagraph"/>
              <w:rPr>
                <w:rFonts w:ascii="Times New Roman"/>
                <w:sz w:val="16"/>
              </w:rPr>
            </w:pPr>
          </w:p>
        </w:tc>
      </w:tr>
    </w:tbl>
    <w:p>
      <w:pPr>
        <w:pStyle w:val="BodyText"/>
        <w:rPr>
          <w:sz w:val="20"/>
        </w:rPr>
      </w:pPr>
    </w:p>
    <w:p>
      <w:pPr>
        <w:pStyle w:val="BodyText"/>
        <w:spacing w:before="173" w:after="1"/>
        <w:rPr>
          <w:sz w:val="20"/>
        </w:rPr>
      </w:pPr>
    </w:p>
    <w:tbl>
      <w:tblPr>
        <w:tblW w:w="0" w:type="auto"/>
        <w:jc w:val="left"/>
        <w:tblInd w:w="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9"/>
        <w:gridCol w:w="1010"/>
        <w:gridCol w:w="1272"/>
        <w:gridCol w:w="1543"/>
        <w:gridCol w:w="1010"/>
        <w:gridCol w:w="1010"/>
        <w:gridCol w:w="1437"/>
        <w:gridCol w:w="1010"/>
        <w:gridCol w:w="1408"/>
      </w:tblGrid>
      <w:tr>
        <w:trPr>
          <w:trHeight w:val="869" w:hRule="atLeast"/>
        </w:trPr>
        <w:tc>
          <w:tcPr>
            <w:tcW w:w="539" w:type="dxa"/>
            <w:tcBorders>
              <w:top w:val="nil"/>
              <w:left w:val="nil"/>
              <w:right w:val="single" w:sz="8" w:space="0" w:color="000000"/>
            </w:tcBorders>
            <w:shd w:val="clear" w:color="auto" w:fill="1F3863"/>
          </w:tcPr>
          <w:p>
            <w:pPr>
              <w:pStyle w:val="TableParagraph"/>
              <w:spacing w:before="92"/>
              <w:rPr>
                <w:sz w:val="20"/>
              </w:rPr>
            </w:pPr>
          </w:p>
          <w:p>
            <w:pPr>
              <w:pStyle w:val="TableParagraph"/>
              <w:ind w:left="20"/>
              <w:jc w:val="center"/>
              <w:rPr>
                <w:rFonts w:ascii="Arial Narrow"/>
                <w:sz w:val="20"/>
              </w:rPr>
            </w:pPr>
            <w:r>
              <w:rPr>
                <w:rFonts w:ascii="Arial Narrow"/>
                <w:color w:val="FFFFFF"/>
                <w:spacing w:val="-4"/>
                <w:w w:val="90"/>
                <w:sz w:val="20"/>
              </w:rPr>
              <w:t>Item</w:t>
            </w:r>
          </w:p>
        </w:tc>
        <w:tc>
          <w:tcPr>
            <w:tcW w:w="1010" w:type="dxa"/>
            <w:tcBorders>
              <w:top w:val="single" w:sz="6" w:space="0" w:color="000000"/>
              <w:left w:val="single" w:sz="8" w:space="0" w:color="000000"/>
              <w:right w:val="single" w:sz="8" w:space="0" w:color="000000"/>
            </w:tcBorders>
            <w:shd w:val="clear" w:color="auto" w:fill="1F3863"/>
          </w:tcPr>
          <w:p>
            <w:pPr>
              <w:pStyle w:val="TableParagraph"/>
              <w:spacing w:before="92"/>
              <w:rPr>
                <w:sz w:val="20"/>
              </w:rPr>
            </w:pPr>
          </w:p>
          <w:p>
            <w:pPr>
              <w:pStyle w:val="TableParagraph"/>
              <w:ind w:left="125"/>
              <w:rPr>
                <w:rFonts w:ascii="Arial Narrow"/>
                <w:sz w:val="20"/>
              </w:rPr>
            </w:pPr>
            <w:r>
              <w:rPr>
                <w:rFonts w:ascii="Arial Narrow"/>
                <w:color w:val="FFFFFF"/>
                <w:w w:val="80"/>
                <w:sz w:val="20"/>
              </w:rPr>
              <w:t>No.</w:t>
            </w:r>
            <w:r>
              <w:rPr>
                <w:rFonts w:ascii="Arial Narrow"/>
                <w:color w:val="FFFFFF"/>
                <w:spacing w:val="-3"/>
                <w:sz w:val="20"/>
              </w:rPr>
              <w:t> </w:t>
            </w:r>
            <w:r>
              <w:rPr>
                <w:rFonts w:ascii="Arial Narrow"/>
                <w:color w:val="FFFFFF"/>
                <w:spacing w:val="-2"/>
                <w:w w:val="85"/>
                <w:sz w:val="20"/>
              </w:rPr>
              <w:t>Contrato</w:t>
            </w:r>
          </w:p>
        </w:tc>
        <w:tc>
          <w:tcPr>
            <w:tcW w:w="1272" w:type="dxa"/>
            <w:tcBorders>
              <w:top w:val="single" w:sz="6" w:space="0" w:color="000000"/>
              <w:left w:val="single" w:sz="8" w:space="0" w:color="000000"/>
              <w:right w:val="single" w:sz="8" w:space="0" w:color="000000"/>
            </w:tcBorders>
            <w:shd w:val="clear" w:color="auto" w:fill="1F3863"/>
          </w:tcPr>
          <w:p>
            <w:pPr>
              <w:pStyle w:val="TableParagraph"/>
              <w:spacing w:before="92"/>
              <w:rPr>
                <w:sz w:val="20"/>
              </w:rPr>
            </w:pPr>
          </w:p>
          <w:p>
            <w:pPr>
              <w:pStyle w:val="TableParagraph"/>
              <w:ind w:left="279"/>
              <w:rPr>
                <w:rFonts w:ascii="Arial Narrow" w:hAnsi="Arial Narrow"/>
                <w:sz w:val="20"/>
              </w:rPr>
            </w:pPr>
            <w:r>
              <w:rPr>
                <w:rFonts w:ascii="Arial Narrow" w:hAnsi="Arial Narrow"/>
                <w:color w:val="FFFFFF"/>
                <w:spacing w:val="-2"/>
                <w:w w:val="90"/>
                <w:sz w:val="20"/>
              </w:rPr>
              <w:t>Descripción</w:t>
            </w:r>
          </w:p>
        </w:tc>
        <w:tc>
          <w:tcPr>
            <w:tcW w:w="1543" w:type="dxa"/>
            <w:tcBorders>
              <w:top w:val="single" w:sz="6" w:space="0" w:color="000000"/>
              <w:left w:val="single" w:sz="8" w:space="0" w:color="000000"/>
              <w:right w:val="single" w:sz="8" w:space="0" w:color="000000"/>
            </w:tcBorders>
            <w:shd w:val="clear" w:color="auto" w:fill="1F3863"/>
          </w:tcPr>
          <w:p>
            <w:pPr>
              <w:pStyle w:val="TableParagraph"/>
              <w:spacing w:before="41"/>
              <w:ind w:left="22"/>
              <w:jc w:val="center"/>
              <w:rPr>
                <w:rFonts w:ascii="Arial Narrow"/>
                <w:sz w:val="20"/>
              </w:rPr>
            </w:pPr>
            <w:r>
              <w:rPr>
                <w:rFonts w:ascii="Arial Narrow"/>
                <w:color w:val="FFFFFF"/>
                <w:spacing w:val="-2"/>
                <w:w w:val="90"/>
                <w:sz w:val="20"/>
              </w:rPr>
              <w:t>Monto</w:t>
            </w:r>
          </w:p>
          <w:p>
            <w:pPr>
              <w:pStyle w:val="TableParagraph"/>
              <w:spacing w:before="220"/>
              <w:ind w:left="22" w:right="1"/>
              <w:jc w:val="center"/>
              <w:rPr>
                <w:rFonts w:ascii="Arial Narrow"/>
                <w:sz w:val="20"/>
              </w:rPr>
            </w:pPr>
            <w:r>
              <w:rPr>
                <w:rFonts w:ascii="Arial Narrow"/>
                <w:color w:val="FFFFFF"/>
                <w:spacing w:val="-2"/>
                <w:w w:val="90"/>
                <w:sz w:val="20"/>
              </w:rPr>
              <w:t>Fideicomitente</w:t>
            </w:r>
          </w:p>
        </w:tc>
        <w:tc>
          <w:tcPr>
            <w:tcW w:w="1010" w:type="dxa"/>
            <w:tcBorders>
              <w:top w:val="single" w:sz="6" w:space="0" w:color="000000"/>
              <w:left w:val="single" w:sz="8" w:space="0" w:color="000000"/>
              <w:right w:val="single" w:sz="8" w:space="0" w:color="000000"/>
            </w:tcBorders>
            <w:shd w:val="clear" w:color="auto" w:fill="1F3863"/>
          </w:tcPr>
          <w:p>
            <w:pPr>
              <w:pStyle w:val="TableParagraph"/>
              <w:spacing w:before="92"/>
              <w:rPr>
                <w:sz w:val="20"/>
              </w:rPr>
            </w:pPr>
          </w:p>
          <w:p>
            <w:pPr>
              <w:pStyle w:val="TableParagraph"/>
              <w:ind w:left="201"/>
              <w:rPr>
                <w:rFonts w:ascii="Arial Narrow"/>
                <w:sz w:val="20"/>
              </w:rPr>
            </w:pPr>
            <w:r>
              <w:rPr>
                <w:rFonts w:ascii="Arial Narrow"/>
                <w:color w:val="FFFFFF"/>
                <w:spacing w:val="-2"/>
                <w:w w:val="90"/>
                <w:sz w:val="20"/>
              </w:rPr>
              <w:t>Fiduciario</w:t>
            </w:r>
          </w:p>
        </w:tc>
        <w:tc>
          <w:tcPr>
            <w:tcW w:w="1010" w:type="dxa"/>
            <w:tcBorders>
              <w:top w:val="single" w:sz="6" w:space="0" w:color="000000"/>
              <w:left w:val="single" w:sz="8" w:space="0" w:color="000000"/>
              <w:right w:val="single" w:sz="8" w:space="0" w:color="000000"/>
            </w:tcBorders>
            <w:shd w:val="clear" w:color="auto" w:fill="1F3863"/>
          </w:tcPr>
          <w:p>
            <w:pPr>
              <w:pStyle w:val="TableParagraph"/>
              <w:spacing w:before="92"/>
              <w:rPr>
                <w:sz w:val="20"/>
              </w:rPr>
            </w:pPr>
          </w:p>
          <w:p>
            <w:pPr>
              <w:pStyle w:val="TableParagraph"/>
              <w:ind w:left="55"/>
              <w:rPr>
                <w:rFonts w:ascii="Arial Narrow"/>
                <w:sz w:val="20"/>
              </w:rPr>
            </w:pPr>
            <w:r>
              <w:rPr>
                <w:rFonts w:ascii="Arial Narrow"/>
                <w:color w:val="FFFFFF"/>
                <w:spacing w:val="-2"/>
                <w:w w:val="85"/>
                <w:sz w:val="20"/>
              </w:rPr>
              <w:t>Fideicomisario</w:t>
            </w:r>
          </w:p>
        </w:tc>
        <w:tc>
          <w:tcPr>
            <w:tcW w:w="1437" w:type="dxa"/>
            <w:tcBorders>
              <w:top w:val="single" w:sz="6" w:space="0" w:color="000000"/>
              <w:left w:val="single" w:sz="8" w:space="0" w:color="000000"/>
              <w:right w:val="single" w:sz="8" w:space="0" w:color="000000"/>
            </w:tcBorders>
            <w:shd w:val="clear" w:color="auto" w:fill="1F3863"/>
          </w:tcPr>
          <w:p>
            <w:pPr>
              <w:pStyle w:val="TableParagraph"/>
              <w:spacing w:line="292" w:lineRule="auto" w:before="174"/>
              <w:ind w:left="25" w:firstLine="77"/>
              <w:rPr>
                <w:rFonts w:ascii="Arial Narrow"/>
                <w:sz w:val="20"/>
              </w:rPr>
            </w:pPr>
            <w:r>
              <w:rPr>
                <w:rFonts w:ascii="Arial Narrow"/>
                <w:color w:val="FFFFFF"/>
                <w:w w:val="85"/>
                <w:sz w:val="20"/>
              </w:rPr>
              <w:t>Tipo Arrendamiento</w:t>
            </w:r>
            <w:r>
              <w:rPr>
                <w:rFonts w:ascii="Arial Narrow"/>
                <w:color w:val="FFFFFF"/>
                <w:sz w:val="20"/>
              </w:rPr>
              <w:t> </w:t>
            </w:r>
            <w:r>
              <w:rPr>
                <w:rFonts w:ascii="Arial Narrow"/>
                <w:color w:val="FFFFFF"/>
                <w:spacing w:val="-2"/>
                <w:w w:val="80"/>
                <w:sz w:val="20"/>
              </w:rPr>
              <w:t>(Operativo/Financiero)</w:t>
            </w:r>
          </w:p>
        </w:tc>
        <w:tc>
          <w:tcPr>
            <w:tcW w:w="1010" w:type="dxa"/>
            <w:tcBorders>
              <w:top w:val="single" w:sz="6" w:space="0" w:color="000000"/>
              <w:left w:val="single" w:sz="8" w:space="0" w:color="000000"/>
              <w:right w:val="single" w:sz="8" w:space="0" w:color="000000"/>
            </w:tcBorders>
            <w:shd w:val="clear" w:color="auto" w:fill="1F3863"/>
          </w:tcPr>
          <w:p>
            <w:pPr>
              <w:pStyle w:val="TableParagraph"/>
              <w:spacing w:before="41"/>
              <w:ind w:left="16"/>
              <w:jc w:val="center"/>
              <w:rPr>
                <w:rFonts w:ascii="Arial Narrow"/>
                <w:sz w:val="20"/>
              </w:rPr>
            </w:pPr>
            <w:r>
              <w:rPr>
                <w:rFonts w:ascii="Arial Narrow"/>
                <w:color w:val="FFFFFF"/>
                <w:spacing w:val="-2"/>
                <w:w w:val="90"/>
                <w:sz w:val="20"/>
              </w:rPr>
              <w:t>Valor</w:t>
            </w:r>
          </w:p>
          <w:p>
            <w:pPr>
              <w:pStyle w:val="TableParagraph"/>
              <w:spacing w:before="220"/>
              <w:ind w:left="7"/>
              <w:jc w:val="center"/>
              <w:rPr>
                <w:rFonts w:ascii="Arial Narrow"/>
                <w:sz w:val="20"/>
              </w:rPr>
            </w:pPr>
            <w:r>
              <w:rPr>
                <w:rFonts w:ascii="Arial Narrow"/>
                <w:color w:val="FFFFFF"/>
                <w:spacing w:val="-2"/>
                <w:w w:val="90"/>
                <w:sz w:val="20"/>
              </w:rPr>
              <w:t>Razonable</w:t>
            </w:r>
          </w:p>
        </w:tc>
        <w:tc>
          <w:tcPr>
            <w:tcW w:w="1408" w:type="dxa"/>
            <w:tcBorders>
              <w:top w:val="single" w:sz="6" w:space="0" w:color="000000"/>
              <w:left w:val="single" w:sz="8" w:space="0" w:color="000000"/>
              <w:right w:val="single" w:sz="8" w:space="0" w:color="000000"/>
            </w:tcBorders>
            <w:shd w:val="clear" w:color="auto" w:fill="1F3863"/>
          </w:tcPr>
          <w:p>
            <w:pPr>
              <w:pStyle w:val="TableParagraph"/>
              <w:spacing w:before="92"/>
              <w:rPr>
                <w:sz w:val="20"/>
              </w:rPr>
            </w:pPr>
          </w:p>
          <w:p>
            <w:pPr>
              <w:pStyle w:val="TableParagraph"/>
              <w:ind w:left="315"/>
              <w:rPr>
                <w:rFonts w:ascii="Arial Narrow" w:hAnsi="Arial Narrow"/>
                <w:sz w:val="20"/>
              </w:rPr>
            </w:pPr>
            <w:r>
              <w:rPr>
                <w:rFonts w:ascii="Arial Narrow" w:hAnsi="Arial Narrow"/>
                <w:color w:val="FFFFFF"/>
                <w:spacing w:val="-2"/>
                <w:w w:val="90"/>
                <w:sz w:val="20"/>
              </w:rPr>
              <w:t>Observación</w:t>
            </w:r>
          </w:p>
        </w:tc>
      </w:tr>
      <w:tr>
        <w:trPr>
          <w:trHeight w:val="273" w:hRule="atLeast"/>
        </w:trPr>
        <w:tc>
          <w:tcPr>
            <w:tcW w:w="539" w:type="dxa"/>
            <w:tcBorders>
              <w:left w:val="single" w:sz="4" w:space="0" w:color="000000"/>
              <w:right w:val="single" w:sz="8" w:space="0" w:color="000000"/>
            </w:tcBorders>
          </w:tcPr>
          <w:p>
            <w:pPr>
              <w:pStyle w:val="TableParagraph"/>
              <w:spacing w:line="225" w:lineRule="exact" w:before="28"/>
              <w:ind w:left="17"/>
              <w:jc w:val="center"/>
              <w:rPr>
                <w:rFonts w:ascii="Arial Narrow"/>
                <w:sz w:val="20"/>
              </w:rPr>
            </w:pPr>
            <w:r>
              <w:rPr>
                <w:rFonts w:ascii="Arial Narrow"/>
                <w:spacing w:val="-10"/>
                <w:w w:val="90"/>
                <w:sz w:val="20"/>
              </w:rPr>
              <w:t>1</w:t>
            </w:r>
          </w:p>
        </w:tc>
        <w:tc>
          <w:tcPr>
            <w:tcW w:w="1010" w:type="dxa"/>
            <w:tcBorders>
              <w:left w:val="single" w:sz="8" w:space="0" w:color="000000"/>
              <w:right w:val="single" w:sz="8" w:space="0" w:color="000000"/>
            </w:tcBorders>
          </w:tcPr>
          <w:p>
            <w:pPr>
              <w:pStyle w:val="TableParagraph"/>
              <w:rPr>
                <w:rFonts w:ascii="Times New Roman"/>
                <w:sz w:val="16"/>
              </w:rPr>
            </w:pPr>
          </w:p>
        </w:tc>
        <w:tc>
          <w:tcPr>
            <w:tcW w:w="1272" w:type="dxa"/>
            <w:tcBorders>
              <w:left w:val="single" w:sz="8" w:space="0" w:color="000000"/>
              <w:right w:val="single" w:sz="8" w:space="0" w:color="000000"/>
            </w:tcBorders>
          </w:tcPr>
          <w:p>
            <w:pPr>
              <w:pStyle w:val="TableParagraph"/>
              <w:rPr>
                <w:rFonts w:ascii="Times New Roman"/>
                <w:sz w:val="16"/>
              </w:rPr>
            </w:pPr>
          </w:p>
        </w:tc>
        <w:tc>
          <w:tcPr>
            <w:tcW w:w="1543"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37"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08" w:type="dxa"/>
            <w:tcBorders>
              <w:left w:val="single" w:sz="8" w:space="0" w:color="000000"/>
              <w:right w:val="single" w:sz="8" w:space="0" w:color="000000"/>
            </w:tcBorders>
          </w:tcPr>
          <w:p>
            <w:pPr>
              <w:pStyle w:val="TableParagraph"/>
              <w:rPr>
                <w:rFonts w:ascii="Times New Roman"/>
                <w:sz w:val="16"/>
              </w:rPr>
            </w:pPr>
          </w:p>
        </w:tc>
      </w:tr>
      <w:tr>
        <w:trPr>
          <w:trHeight w:val="273" w:hRule="atLeast"/>
        </w:trPr>
        <w:tc>
          <w:tcPr>
            <w:tcW w:w="539" w:type="dxa"/>
            <w:tcBorders>
              <w:left w:val="single" w:sz="4" w:space="0" w:color="000000"/>
              <w:right w:val="single" w:sz="8" w:space="0" w:color="000000"/>
            </w:tcBorders>
          </w:tcPr>
          <w:p>
            <w:pPr>
              <w:pStyle w:val="TableParagraph"/>
              <w:spacing w:line="225" w:lineRule="exact" w:before="28"/>
              <w:ind w:left="17"/>
              <w:jc w:val="center"/>
              <w:rPr>
                <w:rFonts w:ascii="Arial Narrow"/>
                <w:sz w:val="20"/>
              </w:rPr>
            </w:pPr>
            <w:r>
              <w:rPr>
                <w:rFonts w:ascii="Arial Narrow"/>
                <w:spacing w:val="-10"/>
                <w:w w:val="90"/>
                <w:sz w:val="20"/>
              </w:rPr>
              <w:t>2</w:t>
            </w:r>
          </w:p>
        </w:tc>
        <w:tc>
          <w:tcPr>
            <w:tcW w:w="1010" w:type="dxa"/>
            <w:tcBorders>
              <w:left w:val="single" w:sz="8" w:space="0" w:color="000000"/>
              <w:right w:val="single" w:sz="8" w:space="0" w:color="000000"/>
            </w:tcBorders>
          </w:tcPr>
          <w:p>
            <w:pPr>
              <w:pStyle w:val="TableParagraph"/>
              <w:rPr>
                <w:rFonts w:ascii="Times New Roman"/>
                <w:sz w:val="16"/>
              </w:rPr>
            </w:pPr>
          </w:p>
        </w:tc>
        <w:tc>
          <w:tcPr>
            <w:tcW w:w="1272" w:type="dxa"/>
            <w:tcBorders>
              <w:left w:val="single" w:sz="8" w:space="0" w:color="000000"/>
              <w:right w:val="single" w:sz="8" w:space="0" w:color="000000"/>
            </w:tcBorders>
          </w:tcPr>
          <w:p>
            <w:pPr>
              <w:pStyle w:val="TableParagraph"/>
              <w:rPr>
                <w:rFonts w:ascii="Times New Roman"/>
                <w:sz w:val="16"/>
              </w:rPr>
            </w:pPr>
          </w:p>
        </w:tc>
        <w:tc>
          <w:tcPr>
            <w:tcW w:w="1543"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37"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08" w:type="dxa"/>
            <w:tcBorders>
              <w:left w:val="single" w:sz="8" w:space="0" w:color="000000"/>
              <w:right w:val="single" w:sz="8" w:space="0" w:color="000000"/>
            </w:tcBorders>
          </w:tcPr>
          <w:p>
            <w:pPr>
              <w:pStyle w:val="TableParagraph"/>
              <w:rPr>
                <w:rFonts w:ascii="Times New Roman"/>
                <w:sz w:val="16"/>
              </w:rPr>
            </w:pPr>
          </w:p>
        </w:tc>
      </w:tr>
      <w:tr>
        <w:trPr>
          <w:trHeight w:val="297" w:hRule="atLeast"/>
        </w:trPr>
        <w:tc>
          <w:tcPr>
            <w:tcW w:w="539" w:type="dxa"/>
            <w:tcBorders>
              <w:left w:val="single" w:sz="4" w:space="0" w:color="000000"/>
              <w:right w:val="single" w:sz="8" w:space="0" w:color="000000"/>
            </w:tcBorders>
          </w:tcPr>
          <w:p>
            <w:pPr>
              <w:pStyle w:val="TableParagraph"/>
              <w:spacing w:before="40"/>
              <w:ind w:left="17"/>
              <w:jc w:val="center"/>
              <w:rPr>
                <w:rFonts w:ascii="Arial Narrow"/>
                <w:sz w:val="20"/>
              </w:rPr>
            </w:pPr>
            <w:r>
              <w:rPr>
                <w:rFonts w:ascii="Arial Narrow"/>
                <w:spacing w:val="-10"/>
                <w:w w:val="90"/>
                <w:sz w:val="20"/>
              </w:rPr>
              <w:t>3</w:t>
            </w:r>
          </w:p>
        </w:tc>
        <w:tc>
          <w:tcPr>
            <w:tcW w:w="1010" w:type="dxa"/>
            <w:tcBorders>
              <w:left w:val="single" w:sz="8" w:space="0" w:color="000000"/>
              <w:right w:val="single" w:sz="8" w:space="0" w:color="000000"/>
            </w:tcBorders>
          </w:tcPr>
          <w:p>
            <w:pPr>
              <w:pStyle w:val="TableParagraph"/>
              <w:rPr>
                <w:rFonts w:ascii="Times New Roman"/>
                <w:sz w:val="16"/>
              </w:rPr>
            </w:pPr>
          </w:p>
        </w:tc>
        <w:tc>
          <w:tcPr>
            <w:tcW w:w="1272" w:type="dxa"/>
            <w:tcBorders>
              <w:left w:val="single" w:sz="8" w:space="0" w:color="000000"/>
              <w:right w:val="single" w:sz="8" w:space="0" w:color="000000"/>
            </w:tcBorders>
          </w:tcPr>
          <w:p>
            <w:pPr>
              <w:pStyle w:val="TableParagraph"/>
              <w:rPr>
                <w:rFonts w:ascii="Times New Roman"/>
                <w:sz w:val="16"/>
              </w:rPr>
            </w:pPr>
          </w:p>
        </w:tc>
        <w:tc>
          <w:tcPr>
            <w:tcW w:w="1543"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37" w:type="dxa"/>
            <w:tcBorders>
              <w:left w:val="single" w:sz="8" w:space="0" w:color="000000"/>
              <w:right w:val="single" w:sz="8" w:space="0" w:color="000000"/>
            </w:tcBorders>
          </w:tcPr>
          <w:p>
            <w:pPr>
              <w:pStyle w:val="TableParagraph"/>
              <w:rPr>
                <w:rFonts w:ascii="Times New Roman"/>
                <w:sz w:val="16"/>
              </w:rPr>
            </w:pPr>
          </w:p>
        </w:tc>
        <w:tc>
          <w:tcPr>
            <w:tcW w:w="1010" w:type="dxa"/>
            <w:tcBorders>
              <w:left w:val="single" w:sz="8" w:space="0" w:color="000000"/>
              <w:right w:val="single" w:sz="8" w:space="0" w:color="000000"/>
            </w:tcBorders>
          </w:tcPr>
          <w:p>
            <w:pPr>
              <w:pStyle w:val="TableParagraph"/>
              <w:rPr>
                <w:rFonts w:ascii="Times New Roman"/>
                <w:sz w:val="16"/>
              </w:rPr>
            </w:pPr>
          </w:p>
        </w:tc>
        <w:tc>
          <w:tcPr>
            <w:tcW w:w="1408" w:type="dxa"/>
            <w:tcBorders>
              <w:left w:val="single" w:sz="8" w:space="0" w:color="000000"/>
              <w:right w:val="single" w:sz="8" w:space="0" w:color="000000"/>
            </w:tcBorders>
          </w:tcPr>
          <w:p>
            <w:pPr>
              <w:pStyle w:val="TableParagraph"/>
              <w:rPr>
                <w:rFonts w:ascii="Times New Roman"/>
                <w:sz w:val="16"/>
              </w:rPr>
            </w:pPr>
          </w:p>
        </w:tc>
      </w:tr>
      <w:tr>
        <w:trPr>
          <w:trHeight w:val="273" w:hRule="atLeast"/>
        </w:trPr>
        <w:tc>
          <w:tcPr>
            <w:tcW w:w="2821" w:type="dxa"/>
            <w:gridSpan w:val="3"/>
            <w:tcBorders>
              <w:left w:val="nil"/>
              <w:bottom w:val="nil"/>
              <w:right w:val="nil"/>
            </w:tcBorders>
            <w:shd w:val="clear" w:color="auto" w:fill="1F3863"/>
          </w:tcPr>
          <w:p>
            <w:pPr>
              <w:pStyle w:val="TableParagraph"/>
              <w:spacing w:line="244" w:lineRule="exact" w:before="9"/>
              <w:ind w:left="23"/>
              <w:jc w:val="center"/>
              <w:rPr>
                <w:rFonts w:ascii="Arial Narrow"/>
                <w:sz w:val="22"/>
              </w:rPr>
            </w:pPr>
            <w:r>
              <w:rPr>
                <w:rFonts w:ascii="Arial Narrow"/>
                <w:color w:val="FFFFFF"/>
                <w:w w:val="75"/>
                <w:sz w:val="22"/>
              </w:rPr>
              <w:t>GRAN</w:t>
            </w:r>
            <w:r>
              <w:rPr>
                <w:rFonts w:ascii="Arial Narrow"/>
                <w:color w:val="FFFFFF"/>
                <w:spacing w:val="7"/>
                <w:sz w:val="22"/>
              </w:rPr>
              <w:t> </w:t>
            </w:r>
            <w:r>
              <w:rPr>
                <w:rFonts w:ascii="Arial Narrow"/>
                <w:color w:val="FFFFFF"/>
                <w:spacing w:val="-2"/>
                <w:w w:val="85"/>
                <w:sz w:val="22"/>
              </w:rPr>
              <w:t>TOTAL</w:t>
            </w:r>
          </w:p>
        </w:tc>
        <w:tc>
          <w:tcPr>
            <w:tcW w:w="1543" w:type="dxa"/>
            <w:tcBorders>
              <w:left w:val="nil"/>
              <w:right w:val="single" w:sz="8" w:space="0" w:color="000000"/>
            </w:tcBorders>
          </w:tcPr>
          <w:p>
            <w:pPr>
              <w:pStyle w:val="TableParagraph"/>
              <w:spacing w:line="232" w:lineRule="exact" w:before="21"/>
              <w:ind w:left="47"/>
              <w:jc w:val="center"/>
              <w:rPr>
                <w:rFonts w:ascii="Arial Narrow" w:hAnsi="Arial Narrow"/>
                <w:b/>
                <w:sz w:val="22"/>
              </w:rPr>
            </w:pPr>
            <w:r>
              <w:rPr>
                <w:rFonts w:ascii="Arial" w:hAnsi="Arial"/>
                <w:b/>
                <w:spacing w:val="-4"/>
                <w:w w:val="90"/>
                <w:sz w:val="22"/>
              </w:rPr>
              <w:t>₡</w:t>
            </w:r>
            <w:r>
              <w:rPr>
                <w:rFonts w:ascii="Arial Narrow" w:hAnsi="Arial Narrow"/>
                <w:b/>
                <w:spacing w:val="-4"/>
                <w:w w:val="90"/>
                <w:sz w:val="22"/>
              </w:rPr>
              <w:t>0,00</w:t>
            </w:r>
          </w:p>
        </w:tc>
        <w:tc>
          <w:tcPr>
            <w:tcW w:w="5875" w:type="dxa"/>
            <w:gridSpan w:val="5"/>
            <w:tcBorders>
              <w:left w:val="single" w:sz="8" w:space="0" w:color="000000"/>
              <w:right w:val="single" w:sz="8" w:space="0" w:color="000000"/>
            </w:tcBorders>
            <w:shd w:val="clear" w:color="auto" w:fill="1F3863"/>
          </w:tcPr>
          <w:p>
            <w:pPr>
              <w:pStyle w:val="TableParagraph"/>
              <w:rPr>
                <w:rFonts w:ascii="Times New Roman"/>
                <w:sz w:val="16"/>
              </w:rPr>
            </w:pPr>
          </w:p>
        </w:tc>
      </w:tr>
    </w:tbl>
    <w:p>
      <w:pPr>
        <w:spacing w:before="187"/>
        <w:ind w:left="622" w:right="0" w:firstLine="0"/>
        <w:jc w:val="left"/>
        <w:rPr>
          <w:rFonts w:ascii="Calibri"/>
          <w:b/>
          <w:sz w:val="20"/>
        </w:rPr>
      </w:pPr>
      <w:bookmarkStart w:name="_bookmark173" w:id="174"/>
      <w:bookmarkEnd w:id="174"/>
      <w:r>
        <w:rPr/>
      </w:r>
      <w:r>
        <w:rPr>
          <w:rFonts w:ascii="Calibri"/>
          <w:b/>
          <w:color w:val="1F3762"/>
          <w:sz w:val="20"/>
        </w:rPr>
        <w:t>NICSP</w:t>
      </w:r>
      <w:r>
        <w:rPr>
          <w:rFonts w:ascii="Calibri"/>
          <w:b/>
          <w:color w:val="1F3762"/>
          <w:spacing w:val="-5"/>
          <w:sz w:val="20"/>
        </w:rPr>
        <w:t> </w:t>
      </w:r>
      <w:r>
        <w:rPr>
          <w:rFonts w:ascii="Calibri"/>
          <w:b/>
          <w:color w:val="1F3762"/>
          <w:sz w:val="20"/>
        </w:rPr>
        <w:t>27-</w:t>
      </w:r>
      <w:r>
        <w:rPr>
          <w:rFonts w:ascii="Calibri"/>
          <w:b/>
          <w:color w:val="1F3762"/>
          <w:spacing w:val="-4"/>
          <w:sz w:val="20"/>
        </w:rPr>
        <w:t> </w:t>
      </w:r>
      <w:r>
        <w:rPr>
          <w:rFonts w:ascii="Calibri"/>
          <w:b/>
          <w:color w:val="1F3762"/>
          <w:spacing w:val="-2"/>
          <w:sz w:val="20"/>
        </w:rPr>
        <w:t>AGRICULTURA</w:t>
      </w:r>
    </w:p>
    <w:p>
      <w:pPr>
        <w:pStyle w:val="BodyText"/>
        <w:spacing w:before="4"/>
        <w:rPr>
          <w:rFonts w:ascii="Calibri"/>
          <w:b/>
          <w:sz w:val="9"/>
        </w:rPr>
      </w:pPr>
    </w:p>
    <w:tbl>
      <w:tblPr>
        <w:tblW w:w="0" w:type="auto"/>
        <w:jc w:val="left"/>
        <w:tblInd w:w="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94"/>
        <w:gridCol w:w="2377"/>
        <w:gridCol w:w="2002"/>
        <w:gridCol w:w="1989"/>
      </w:tblGrid>
      <w:tr>
        <w:trPr>
          <w:trHeight w:val="567" w:hRule="atLeast"/>
        </w:trPr>
        <w:tc>
          <w:tcPr>
            <w:tcW w:w="594" w:type="dxa"/>
            <w:tcBorders>
              <w:bottom w:val="single" w:sz="12" w:space="0" w:color="000000"/>
              <w:right w:val="single" w:sz="12" w:space="0" w:color="000000"/>
            </w:tcBorders>
            <w:shd w:val="clear" w:color="auto" w:fill="17365D"/>
          </w:tcPr>
          <w:p>
            <w:pPr>
              <w:pStyle w:val="TableParagraph"/>
              <w:spacing w:before="157"/>
              <w:ind w:left="55" w:right="25"/>
              <w:jc w:val="center"/>
              <w:rPr>
                <w:rFonts w:ascii="Arial Narrow"/>
                <w:sz w:val="22"/>
              </w:rPr>
            </w:pPr>
            <w:r>
              <w:rPr>
                <w:rFonts w:ascii="Arial Narrow"/>
                <w:color w:val="FFFFFF"/>
                <w:spacing w:val="-10"/>
                <w:sz w:val="22"/>
              </w:rPr>
              <w:t>#</w:t>
            </w:r>
          </w:p>
        </w:tc>
        <w:tc>
          <w:tcPr>
            <w:tcW w:w="2377"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498"/>
              <w:rPr>
                <w:rFonts w:ascii="Arial Narrow" w:hAnsi="Arial Narrow"/>
                <w:sz w:val="20"/>
              </w:rPr>
            </w:pPr>
            <w:r>
              <w:rPr>
                <w:rFonts w:ascii="Arial Narrow" w:hAnsi="Arial Narrow"/>
                <w:color w:val="FFFFFF"/>
                <w:spacing w:val="-2"/>
                <w:w w:val="105"/>
                <w:sz w:val="20"/>
              </w:rPr>
              <w:t>Activos</w:t>
            </w:r>
            <w:r>
              <w:rPr>
                <w:rFonts w:ascii="Arial Narrow" w:hAnsi="Arial Narrow"/>
                <w:color w:val="FFFFFF"/>
                <w:spacing w:val="1"/>
                <w:w w:val="105"/>
                <w:sz w:val="20"/>
              </w:rPr>
              <w:t> </w:t>
            </w:r>
            <w:r>
              <w:rPr>
                <w:rFonts w:ascii="Arial Narrow" w:hAnsi="Arial Narrow"/>
                <w:color w:val="FFFFFF"/>
                <w:spacing w:val="-2"/>
                <w:w w:val="105"/>
                <w:sz w:val="20"/>
              </w:rPr>
              <w:t>biológicos</w:t>
            </w:r>
          </w:p>
        </w:tc>
        <w:tc>
          <w:tcPr>
            <w:tcW w:w="2002"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349"/>
              <w:rPr>
                <w:rFonts w:ascii="Arial Narrow"/>
                <w:sz w:val="20"/>
              </w:rPr>
            </w:pPr>
            <w:r>
              <w:rPr>
                <w:rFonts w:ascii="Arial Narrow"/>
                <w:color w:val="FFFFFF"/>
                <w:w w:val="105"/>
                <w:sz w:val="20"/>
              </w:rPr>
              <w:t>Cuenta</w:t>
            </w:r>
            <w:r>
              <w:rPr>
                <w:rFonts w:ascii="Arial Narrow"/>
                <w:color w:val="FFFFFF"/>
                <w:spacing w:val="1"/>
                <w:w w:val="105"/>
                <w:sz w:val="20"/>
              </w:rPr>
              <w:t> </w:t>
            </w:r>
            <w:r>
              <w:rPr>
                <w:rFonts w:ascii="Arial Narrow"/>
                <w:color w:val="FFFFFF"/>
                <w:spacing w:val="-2"/>
                <w:w w:val="105"/>
                <w:sz w:val="20"/>
              </w:rPr>
              <w:t>Contable</w:t>
            </w:r>
          </w:p>
        </w:tc>
        <w:tc>
          <w:tcPr>
            <w:tcW w:w="1989"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39"/>
              <w:jc w:val="center"/>
              <w:rPr>
                <w:rFonts w:ascii="Arial Narrow"/>
                <w:sz w:val="20"/>
              </w:rPr>
            </w:pPr>
            <w:r>
              <w:rPr>
                <w:rFonts w:ascii="Arial Narrow"/>
                <w:color w:val="FFFFFF"/>
                <w:spacing w:val="-2"/>
                <w:w w:val="105"/>
                <w:sz w:val="20"/>
              </w:rPr>
              <w:t>Monto</w:t>
            </w: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1</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2</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3</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4973" w:type="dxa"/>
            <w:gridSpan w:val="3"/>
            <w:tcBorders>
              <w:top w:val="single" w:sz="12" w:space="0" w:color="000000"/>
              <w:bottom w:val="single" w:sz="12" w:space="0" w:color="000000"/>
              <w:right w:val="nil"/>
            </w:tcBorders>
            <w:shd w:val="clear" w:color="auto" w:fill="1F3863"/>
          </w:tcPr>
          <w:p>
            <w:pPr>
              <w:pStyle w:val="TableParagraph"/>
              <w:spacing w:line="244" w:lineRule="exact" w:before="10"/>
              <w:ind w:left="41"/>
              <w:jc w:val="center"/>
              <w:rPr>
                <w:rFonts w:ascii="Arial Narrow"/>
                <w:sz w:val="22"/>
              </w:rPr>
            </w:pPr>
            <w:r>
              <w:rPr>
                <w:rFonts w:ascii="Arial Narrow"/>
                <w:color w:val="FFFFFF"/>
                <w:sz w:val="22"/>
              </w:rPr>
              <w:t>GRAN</w:t>
            </w:r>
            <w:r>
              <w:rPr>
                <w:rFonts w:ascii="Arial Narrow"/>
                <w:color w:val="FFFFFF"/>
                <w:spacing w:val="9"/>
                <w:sz w:val="22"/>
              </w:rPr>
              <w:t> </w:t>
            </w:r>
            <w:r>
              <w:rPr>
                <w:rFonts w:ascii="Arial Narrow"/>
                <w:color w:val="FFFFFF"/>
                <w:spacing w:val="-4"/>
                <w:sz w:val="22"/>
              </w:rPr>
              <w:t>TOTAL</w:t>
            </w:r>
          </w:p>
        </w:tc>
        <w:tc>
          <w:tcPr>
            <w:tcW w:w="1989" w:type="dxa"/>
            <w:tcBorders>
              <w:top w:val="single" w:sz="12" w:space="0" w:color="000000"/>
              <w:left w:val="nil"/>
              <w:bottom w:val="single" w:sz="12" w:space="0" w:color="000000"/>
              <w:right w:val="single" w:sz="12" w:space="0" w:color="000000"/>
            </w:tcBorders>
          </w:tcPr>
          <w:p>
            <w:pPr>
              <w:pStyle w:val="TableParagraph"/>
              <w:spacing w:line="232" w:lineRule="exact" w:before="22"/>
              <w:ind w:left="73"/>
              <w:jc w:val="center"/>
              <w:rPr>
                <w:rFonts w:ascii="Arial Narrow" w:hAnsi="Arial Narrow"/>
                <w:b/>
                <w:sz w:val="22"/>
              </w:rPr>
            </w:pPr>
            <w:r>
              <w:rPr>
                <w:rFonts w:ascii="Arial" w:hAnsi="Arial"/>
                <w:b/>
                <w:spacing w:val="-2"/>
                <w:sz w:val="22"/>
              </w:rPr>
              <w:t>₡</w:t>
            </w:r>
            <w:r>
              <w:rPr>
                <w:rFonts w:ascii="Arial Narrow" w:hAnsi="Arial Narrow"/>
                <w:b/>
                <w:spacing w:val="-2"/>
                <w:sz w:val="22"/>
              </w:rPr>
              <w:t>0,00</w:t>
            </w:r>
          </w:p>
        </w:tc>
      </w:tr>
    </w:tbl>
    <w:p>
      <w:pPr>
        <w:pStyle w:val="BodyText"/>
        <w:spacing w:before="10"/>
        <w:rPr>
          <w:rFonts w:ascii="Calibri"/>
          <w:b/>
          <w:sz w:val="14"/>
        </w:rPr>
      </w:pPr>
    </w:p>
    <w:tbl>
      <w:tblPr>
        <w:tblW w:w="0" w:type="auto"/>
        <w:jc w:val="left"/>
        <w:tblInd w:w="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94"/>
        <w:gridCol w:w="2377"/>
        <w:gridCol w:w="2002"/>
        <w:gridCol w:w="1989"/>
      </w:tblGrid>
      <w:tr>
        <w:trPr>
          <w:trHeight w:val="567" w:hRule="atLeast"/>
        </w:trPr>
        <w:tc>
          <w:tcPr>
            <w:tcW w:w="594" w:type="dxa"/>
            <w:tcBorders>
              <w:bottom w:val="single" w:sz="12" w:space="0" w:color="000000"/>
              <w:right w:val="single" w:sz="12" w:space="0" w:color="000000"/>
            </w:tcBorders>
            <w:shd w:val="clear" w:color="auto" w:fill="17365D"/>
          </w:tcPr>
          <w:p>
            <w:pPr>
              <w:pStyle w:val="TableParagraph"/>
              <w:spacing w:before="157"/>
              <w:ind w:left="55" w:right="25"/>
              <w:jc w:val="center"/>
              <w:rPr>
                <w:rFonts w:ascii="Arial Narrow"/>
                <w:sz w:val="22"/>
              </w:rPr>
            </w:pPr>
            <w:r>
              <w:rPr>
                <w:rFonts w:ascii="Arial Narrow"/>
                <w:color w:val="FFFFFF"/>
                <w:spacing w:val="-10"/>
                <w:sz w:val="22"/>
              </w:rPr>
              <w:t>#</w:t>
            </w:r>
          </w:p>
        </w:tc>
        <w:tc>
          <w:tcPr>
            <w:tcW w:w="2377"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411"/>
              <w:rPr>
                <w:rFonts w:ascii="Arial Narrow" w:hAnsi="Arial Narrow"/>
                <w:sz w:val="20"/>
              </w:rPr>
            </w:pPr>
            <w:r>
              <w:rPr>
                <w:rFonts w:ascii="Arial Narrow" w:hAnsi="Arial Narrow"/>
                <w:color w:val="FFFFFF"/>
                <w:w w:val="105"/>
                <w:sz w:val="20"/>
              </w:rPr>
              <w:t>Productos</w:t>
            </w:r>
            <w:r>
              <w:rPr>
                <w:rFonts w:ascii="Arial Narrow" w:hAnsi="Arial Narrow"/>
                <w:color w:val="FFFFFF"/>
                <w:spacing w:val="2"/>
                <w:w w:val="105"/>
                <w:sz w:val="20"/>
              </w:rPr>
              <w:t> </w:t>
            </w:r>
            <w:r>
              <w:rPr>
                <w:rFonts w:ascii="Arial Narrow" w:hAnsi="Arial Narrow"/>
                <w:color w:val="FFFFFF"/>
                <w:spacing w:val="-2"/>
                <w:w w:val="105"/>
                <w:sz w:val="20"/>
              </w:rPr>
              <w:t>Agrícolas</w:t>
            </w:r>
          </w:p>
        </w:tc>
        <w:tc>
          <w:tcPr>
            <w:tcW w:w="2002"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349"/>
              <w:rPr>
                <w:rFonts w:ascii="Arial Narrow"/>
                <w:sz w:val="20"/>
              </w:rPr>
            </w:pPr>
            <w:r>
              <w:rPr>
                <w:rFonts w:ascii="Arial Narrow"/>
                <w:color w:val="FFFFFF"/>
                <w:w w:val="105"/>
                <w:sz w:val="20"/>
              </w:rPr>
              <w:t>Cuenta</w:t>
            </w:r>
            <w:r>
              <w:rPr>
                <w:rFonts w:ascii="Arial Narrow"/>
                <w:color w:val="FFFFFF"/>
                <w:spacing w:val="1"/>
                <w:w w:val="105"/>
                <w:sz w:val="20"/>
              </w:rPr>
              <w:t> </w:t>
            </w:r>
            <w:r>
              <w:rPr>
                <w:rFonts w:ascii="Arial Narrow"/>
                <w:color w:val="FFFFFF"/>
                <w:spacing w:val="-2"/>
                <w:w w:val="105"/>
                <w:sz w:val="20"/>
              </w:rPr>
              <w:t>Contable</w:t>
            </w:r>
          </w:p>
        </w:tc>
        <w:tc>
          <w:tcPr>
            <w:tcW w:w="1989"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ind w:left="39"/>
              <w:jc w:val="center"/>
              <w:rPr>
                <w:rFonts w:ascii="Arial Narrow"/>
                <w:sz w:val="20"/>
              </w:rPr>
            </w:pPr>
            <w:r>
              <w:rPr>
                <w:rFonts w:ascii="Arial Narrow"/>
                <w:color w:val="FFFFFF"/>
                <w:spacing w:val="-2"/>
                <w:w w:val="105"/>
                <w:sz w:val="20"/>
              </w:rPr>
              <w:t>Monto</w:t>
            </w: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1</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2</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4" w:type="dxa"/>
            <w:tcBorders>
              <w:top w:val="single" w:sz="12" w:space="0" w:color="000000"/>
              <w:bottom w:val="single" w:sz="12" w:space="0" w:color="000000"/>
              <w:right w:val="single" w:sz="12" w:space="0" w:color="000000"/>
            </w:tcBorders>
          </w:tcPr>
          <w:p>
            <w:pPr>
              <w:pStyle w:val="TableParagraph"/>
              <w:spacing w:line="232" w:lineRule="exact" w:before="22"/>
              <w:ind w:left="55"/>
              <w:jc w:val="center"/>
              <w:rPr>
                <w:rFonts w:ascii="Arial Narrow"/>
                <w:sz w:val="22"/>
              </w:rPr>
            </w:pPr>
            <w:r>
              <w:rPr>
                <w:rFonts w:ascii="Arial Narrow"/>
                <w:spacing w:val="-10"/>
                <w:sz w:val="22"/>
              </w:rPr>
              <w:t>3</w:t>
            </w:r>
          </w:p>
        </w:tc>
        <w:tc>
          <w:tcPr>
            <w:tcW w:w="237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2"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4973" w:type="dxa"/>
            <w:gridSpan w:val="3"/>
            <w:tcBorders>
              <w:top w:val="single" w:sz="12" w:space="0" w:color="000000"/>
              <w:bottom w:val="single" w:sz="12" w:space="0" w:color="000000"/>
              <w:right w:val="nil"/>
            </w:tcBorders>
            <w:shd w:val="clear" w:color="auto" w:fill="1F3863"/>
          </w:tcPr>
          <w:p>
            <w:pPr>
              <w:pStyle w:val="TableParagraph"/>
              <w:spacing w:line="244" w:lineRule="exact" w:before="10"/>
              <w:ind w:left="41"/>
              <w:jc w:val="center"/>
              <w:rPr>
                <w:rFonts w:ascii="Arial Narrow"/>
                <w:sz w:val="22"/>
              </w:rPr>
            </w:pPr>
            <w:r>
              <w:rPr>
                <w:rFonts w:ascii="Arial Narrow"/>
                <w:color w:val="FFFFFF"/>
                <w:sz w:val="22"/>
              </w:rPr>
              <w:t>GRAN</w:t>
            </w:r>
            <w:r>
              <w:rPr>
                <w:rFonts w:ascii="Arial Narrow"/>
                <w:color w:val="FFFFFF"/>
                <w:spacing w:val="9"/>
                <w:sz w:val="22"/>
              </w:rPr>
              <w:t> </w:t>
            </w:r>
            <w:r>
              <w:rPr>
                <w:rFonts w:ascii="Arial Narrow"/>
                <w:color w:val="FFFFFF"/>
                <w:spacing w:val="-4"/>
                <w:sz w:val="22"/>
              </w:rPr>
              <w:t>TOTAL</w:t>
            </w:r>
          </w:p>
        </w:tc>
        <w:tc>
          <w:tcPr>
            <w:tcW w:w="1989" w:type="dxa"/>
            <w:tcBorders>
              <w:top w:val="single" w:sz="12" w:space="0" w:color="000000"/>
              <w:left w:val="nil"/>
              <w:bottom w:val="single" w:sz="12" w:space="0" w:color="000000"/>
              <w:right w:val="single" w:sz="12" w:space="0" w:color="000000"/>
            </w:tcBorders>
          </w:tcPr>
          <w:p>
            <w:pPr>
              <w:pStyle w:val="TableParagraph"/>
              <w:spacing w:line="232" w:lineRule="exact" w:before="22"/>
              <w:ind w:left="73"/>
              <w:jc w:val="center"/>
              <w:rPr>
                <w:rFonts w:ascii="Arial Narrow" w:hAnsi="Arial Narrow"/>
                <w:b/>
                <w:sz w:val="22"/>
              </w:rPr>
            </w:pPr>
            <w:r>
              <w:rPr>
                <w:rFonts w:ascii="Arial" w:hAnsi="Arial"/>
                <w:b/>
                <w:spacing w:val="-2"/>
                <w:sz w:val="22"/>
              </w:rPr>
              <w:t>₡</w:t>
            </w:r>
            <w:r>
              <w:rPr>
                <w:rFonts w:ascii="Arial Narrow" w:hAnsi="Arial Narrow"/>
                <w:b/>
                <w:spacing w:val="-2"/>
                <w:sz w:val="22"/>
              </w:rPr>
              <w:t>0,00</w:t>
            </w:r>
          </w:p>
        </w:tc>
      </w:tr>
    </w:tbl>
    <w:p>
      <w:pPr>
        <w:pStyle w:val="BodyText"/>
        <w:spacing w:before="10"/>
        <w:rPr>
          <w:rFonts w:ascii="Calibri"/>
          <w:b/>
          <w:sz w:val="14"/>
        </w:rPr>
      </w:pPr>
    </w:p>
    <w:tbl>
      <w:tblPr>
        <w:tblW w:w="0" w:type="auto"/>
        <w:jc w:val="left"/>
        <w:tblInd w:w="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95"/>
        <w:gridCol w:w="3357"/>
        <w:gridCol w:w="2004"/>
        <w:gridCol w:w="1991"/>
      </w:tblGrid>
      <w:tr>
        <w:trPr>
          <w:trHeight w:val="567" w:hRule="atLeast"/>
        </w:trPr>
        <w:tc>
          <w:tcPr>
            <w:tcW w:w="595" w:type="dxa"/>
            <w:tcBorders>
              <w:bottom w:val="single" w:sz="12" w:space="0" w:color="000000"/>
              <w:right w:val="single" w:sz="12" w:space="0" w:color="000000"/>
            </w:tcBorders>
            <w:shd w:val="clear" w:color="auto" w:fill="17365D"/>
          </w:tcPr>
          <w:p>
            <w:pPr>
              <w:pStyle w:val="TableParagraph"/>
              <w:spacing w:before="157"/>
              <w:ind w:left="54" w:right="25"/>
              <w:jc w:val="center"/>
              <w:rPr>
                <w:rFonts w:ascii="Arial Narrow"/>
                <w:sz w:val="22"/>
              </w:rPr>
            </w:pPr>
            <w:r>
              <w:rPr>
                <w:rFonts w:ascii="Arial Narrow"/>
                <w:color w:val="FFFFFF"/>
                <w:spacing w:val="-10"/>
                <w:w w:val="105"/>
                <w:sz w:val="22"/>
              </w:rPr>
              <w:t>#</w:t>
            </w:r>
          </w:p>
        </w:tc>
        <w:tc>
          <w:tcPr>
            <w:tcW w:w="3357" w:type="dxa"/>
            <w:tcBorders>
              <w:left w:val="single" w:sz="12" w:space="0" w:color="000000"/>
              <w:bottom w:val="single" w:sz="12" w:space="0" w:color="000000"/>
              <w:right w:val="single" w:sz="12" w:space="0" w:color="000000"/>
            </w:tcBorders>
            <w:shd w:val="clear" w:color="auto" w:fill="1F3863"/>
          </w:tcPr>
          <w:p>
            <w:pPr>
              <w:pStyle w:val="TableParagraph"/>
              <w:spacing w:before="30"/>
              <w:ind w:left="28" w:right="15"/>
              <w:jc w:val="center"/>
              <w:rPr>
                <w:rFonts w:ascii="Arial Narrow"/>
                <w:sz w:val="20"/>
              </w:rPr>
            </w:pPr>
            <w:r>
              <w:rPr>
                <w:rFonts w:ascii="Arial Narrow"/>
                <w:color w:val="FFFFFF"/>
                <w:w w:val="105"/>
                <w:sz w:val="20"/>
              </w:rPr>
              <w:t>Productos</w:t>
            </w:r>
            <w:r>
              <w:rPr>
                <w:rFonts w:ascii="Arial Narrow"/>
                <w:color w:val="FFFFFF"/>
                <w:spacing w:val="6"/>
                <w:w w:val="105"/>
                <w:sz w:val="20"/>
              </w:rPr>
              <w:t> </w:t>
            </w:r>
            <w:r>
              <w:rPr>
                <w:rFonts w:ascii="Arial Narrow"/>
                <w:color w:val="FFFFFF"/>
                <w:w w:val="105"/>
                <w:sz w:val="20"/>
              </w:rPr>
              <w:t>resultantes</w:t>
            </w:r>
            <w:r>
              <w:rPr>
                <w:rFonts w:ascii="Arial Narrow"/>
                <w:color w:val="FFFFFF"/>
                <w:spacing w:val="7"/>
                <w:w w:val="105"/>
                <w:sz w:val="20"/>
              </w:rPr>
              <w:t> </w:t>
            </w:r>
            <w:r>
              <w:rPr>
                <w:rFonts w:ascii="Arial Narrow"/>
                <w:color w:val="FFFFFF"/>
                <w:w w:val="105"/>
                <w:sz w:val="20"/>
              </w:rPr>
              <w:t>del</w:t>
            </w:r>
            <w:r>
              <w:rPr>
                <w:rFonts w:ascii="Arial Narrow"/>
                <w:color w:val="FFFFFF"/>
                <w:spacing w:val="6"/>
                <w:w w:val="105"/>
                <w:sz w:val="20"/>
              </w:rPr>
              <w:t> </w:t>
            </w:r>
            <w:r>
              <w:rPr>
                <w:rFonts w:ascii="Arial Narrow"/>
                <w:color w:val="FFFFFF"/>
                <w:spacing w:val="-2"/>
                <w:w w:val="105"/>
                <w:sz w:val="20"/>
              </w:rPr>
              <w:t>procesamiento</w:t>
            </w:r>
          </w:p>
          <w:p>
            <w:pPr>
              <w:pStyle w:val="TableParagraph"/>
              <w:spacing w:before="50"/>
              <w:ind w:left="28"/>
              <w:jc w:val="center"/>
              <w:rPr>
                <w:rFonts w:ascii="Arial Narrow" w:hAnsi="Arial Narrow"/>
                <w:sz w:val="20"/>
              </w:rPr>
            </w:pPr>
            <w:r>
              <w:rPr>
                <w:rFonts w:ascii="Arial Narrow" w:hAnsi="Arial Narrow"/>
                <w:color w:val="FFFFFF"/>
                <w:w w:val="105"/>
                <w:sz w:val="20"/>
              </w:rPr>
              <w:t>tras</w:t>
            </w:r>
            <w:r>
              <w:rPr>
                <w:rFonts w:ascii="Arial Narrow" w:hAnsi="Arial Narrow"/>
                <w:color w:val="FFFFFF"/>
                <w:spacing w:val="3"/>
                <w:w w:val="105"/>
                <w:sz w:val="20"/>
              </w:rPr>
              <w:t> </w:t>
            </w:r>
            <w:r>
              <w:rPr>
                <w:rFonts w:ascii="Arial Narrow" w:hAnsi="Arial Narrow"/>
                <w:color w:val="FFFFFF"/>
                <w:w w:val="105"/>
                <w:sz w:val="20"/>
              </w:rPr>
              <w:t>la</w:t>
            </w:r>
            <w:r>
              <w:rPr>
                <w:rFonts w:ascii="Arial Narrow" w:hAnsi="Arial Narrow"/>
                <w:color w:val="FFFFFF"/>
                <w:spacing w:val="7"/>
                <w:w w:val="105"/>
                <w:sz w:val="20"/>
              </w:rPr>
              <w:t> </w:t>
            </w:r>
            <w:r>
              <w:rPr>
                <w:rFonts w:ascii="Arial Narrow" w:hAnsi="Arial Narrow"/>
                <w:color w:val="FFFFFF"/>
                <w:w w:val="105"/>
                <w:sz w:val="20"/>
              </w:rPr>
              <w:t>cosecha</w:t>
            </w:r>
            <w:r>
              <w:rPr>
                <w:rFonts w:ascii="Arial Narrow" w:hAnsi="Arial Narrow"/>
                <w:color w:val="FFFFFF"/>
                <w:spacing w:val="7"/>
                <w:w w:val="105"/>
                <w:sz w:val="20"/>
              </w:rPr>
              <w:t> </w:t>
            </w:r>
            <w:r>
              <w:rPr>
                <w:rFonts w:ascii="Arial Narrow" w:hAnsi="Arial Narrow"/>
                <w:color w:val="FFFFFF"/>
                <w:w w:val="105"/>
                <w:sz w:val="20"/>
              </w:rPr>
              <w:t>o</w:t>
            </w:r>
            <w:r>
              <w:rPr>
                <w:rFonts w:ascii="Arial Narrow" w:hAnsi="Arial Narrow"/>
                <w:color w:val="FFFFFF"/>
                <w:spacing w:val="7"/>
                <w:w w:val="105"/>
                <w:sz w:val="20"/>
              </w:rPr>
              <w:t> </w:t>
            </w:r>
            <w:r>
              <w:rPr>
                <w:rFonts w:ascii="Arial Narrow" w:hAnsi="Arial Narrow"/>
                <w:color w:val="FFFFFF"/>
                <w:spacing w:val="-2"/>
                <w:w w:val="105"/>
                <w:sz w:val="20"/>
              </w:rPr>
              <w:t>recolección</w:t>
            </w:r>
          </w:p>
        </w:tc>
        <w:tc>
          <w:tcPr>
            <w:tcW w:w="2004"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before="1"/>
              <w:ind w:left="349"/>
              <w:rPr>
                <w:rFonts w:ascii="Arial Narrow"/>
                <w:sz w:val="20"/>
              </w:rPr>
            </w:pPr>
            <w:r>
              <w:rPr>
                <w:rFonts w:ascii="Arial Narrow"/>
                <w:color w:val="FFFFFF"/>
                <w:w w:val="105"/>
                <w:sz w:val="20"/>
              </w:rPr>
              <w:t>Cuenta</w:t>
            </w:r>
            <w:r>
              <w:rPr>
                <w:rFonts w:ascii="Arial Narrow"/>
                <w:color w:val="FFFFFF"/>
                <w:spacing w:val="6"/>
                <w:w w:val="105"/>
                <w:sz w:val="20"/>
              </w:rPr>
              <w:t> </w:t>
            </w:r>
            <w:r>
              <w:rPr>
                <w:rFonts w:ascii="Arial Narrow"/>
                <w:color w:val="FFFFFF"/>
                <w:spacing w:val="-2"/>
                <w:w w:val="105"/>
                <w:sz w:val="20"/>
              </w:rPr>
              <w:t>Contable</w:t>
            </w:r>
          </w:p>
        </w:tc>
        <w:tc>
          <w:tcPr>
            <w:tcW w:w="1991" w:type="dxa"/>
            <w:tcBorders>
              <w:left w:val="single" w:sz="12" w:space="0" w:color="000000"/>
              <w:bottom w:val="single" w:sz="12" w:space="0" w:color="000000"/>
              <w:right w:val="single" w:sz="12" w:space="0" w:color="000000"/>
            </w:tcBorders>
            <w:shd w:val="clear" w:color="auto" w:fill="1F3863"/>
          </w:tcPr>
          <w:p>
            <w:pPr>
              <w:pStyle w:val="TableParagraph"/>
              <w:spacing w:before="77"/>
              <w:rPr>
                <w:rFonts w:ascii="Calibri"/>
                <w:b/>
                <w:sz w:val="20"/>
              </w:rPr>
            </w:pPr>
          </w:p>
          <w:p>
            <w:pPr>
              <w:pStyle w:val="TableParagraph"/>
              <w:spacing w:line="225" w:lineRule="exact" w:before="1"/>
              <w:ind w:left="37"/>
              <w:jc w:val="center"/>
              <w:rPr>
                <w:rFonts w:ascii="Arial Narrow"/>
                <w:sz w:val="20"/>
              </w:rPr>
            </w:pPr>
            <w:r>
              <w:rPr>
                <w:rFonts w:ascii="Arial Narrow"/>
                <w:color w:val="FFFFFF"/>
                <w:spacing w:val="-2"/>
                <w:w w:val="105"/>
                <w:sz w:val="20"/>
              </w:rPr>
              <w:t>Monto</w:t>
            </w:r>
          </w:p>
        </w:tc>
      </w:tr>
      <w:tr>
        <w:trPr>
          <w:trHeight w:val="274" w:hRule="atLeast"/>
        </w:trPr>
        <w:tc>
          <w:tcPr>
            <w:tcW w:w="595" w:type="dxa"/>
            <w:tcBorders>
              <w:top w:val="single" w:sz="12" w:space="0" w:color="000000"/>
              <w:bottom w:val="single" w:sz="12" w:space="0" w:color="000000"/>
              <w:right w:val="single" w:sz="12" w:space="0" w:color="000000"/>
            </w:tcBorders>
          </w:tcPr>
          <w:p>
            <w:pPr>
              <w:pStyle w:val="TableParagraph"/>
              <w:spacing w:line="232" w:lineRule="exact" w:before="22"/>
              <w:ind w:left="54"/>
              <w:jc w:val="center"/>
              <w:rPr>
                <w:rFonts w:ascii="Arial Narrow"/>
                <w:sz w:val="22"/>
              </w:rPr>
            </w:pPr>
            <w:r>
              <w:rPr>
                <w:rFonts w:ascii="Arial Narrow"/>
                <w:spacing w:val="-10"/>
                <w:w w:val="105"/>
                <w:sz w:val="22"/>
              </w:rPr>
              <w:t>1</w:t>
            </w:r>
          </w:p>
        </w:tc>
        <w:tc>
          <w:tcPr>
            <w:tcW w:w="335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4"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91"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5" w:type="dxa"/>
            <w:tcBorders>
              <w:top w:val="single" w:sz="12" w:space="0" w:color="000000"/>
              <w:bottom w:val="single" w:sz="12" w:space="0" w:color="000000"/>
              <w:right w:val="single" w:sz="12" w:space="0" w:color="000000"/>
            </w:tcBorders>
          </w:tcPr>
          <w:p>
            <w:pPr>
              <w:pStyle w:val="TableParagraph"/>
              <w:spacing w:line="232" w:lineRule="exact" w:before="22"/>
              <w:ind w:left="54"/>
              <w:jc w:val="center"/>
              <w:rPr>
                <w:rFonts w:ascii="Arial Narrow"/>
                <w:sz w:val="22"/>
              </w:rPr>
            </w:pPr>
            <w:r>
              <w:rPr>
                <w:rFonts w:ascii="Arial Narrow"/>
                <w:spacing w:val="-10"/>
                <w:w w:val="105"/>
                <w:sz w:val="22"/>
              </w:rPr>
              <w:t>2</w:t>
            </w:r>
          </w:p>
        </w:tc>
        <w:tc>
          <w:tcPr>
            <w:tcW w:w="335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4"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91"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5" w:type="dxa"/>
            <w:tcBorders>
              <w:top w:val="single" w:sz="12" w:space="0" w:color="000000"/>
              <w:bottom w:val="single" w:sz="12" w:space="0" w:color="000000"/>
              <w:right w:val="single" w:sz="12" w:space="0" w:color="000000"/>
            </w:tcBorders>
          </w:tcPr>
          <w:p>
            <w:pPr>
              <w:pStyle w:val="TableParagraph"/>
              <w:spacing w:line="232" w:lineRule="exact" w:before="22"/>
              <w:ind w:left="54"/>
              <w:jc w:val="center"/>
              <w:rPr>
                <w:rFonts w:ascii="Arial Narrow"/>
                <w:sz w:val="22"/>
              </w:rPr>
            </w:pPr>
            <w:r>
              <w:rPr>
                <w:rFonts w:ascii="Arial Narrow"/>
                <w:spacing w:val="-10"/>
                <w:w w:val="105"/>
                <w:sz w:val="22"/>
              </w:rPr>
              <w:t>3</w:t>
            </w:r>
          </w:p>
        </w:tc>
        <w:tc>
          <w:tcPr>
            <w:tcW w:w="3357"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2004"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c>
          <w:tcPr>
            <w:tcW w:w="1991"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6"/>
              </w:rPr>
            </w:pPr>
          </w:p>
        </w:tc>
      </w:tr>
      <w:tr>
        <w:trPr>
          <w:trHeight w:val="274" w:hRule="atLeast"/>
        </w:trPr>
        <w:tc>
          <w:tcPr>
            <w:tcW w:w="5956" w:type="dxa"/>
            <w:gridSpan w:val="3"/>
            <w:tcBorders>
              <w:top w:val="single" w:sz="12" w:space="0" w:color="000000"/>
              <w:bottom w:val="single" w:sz="12" w:space="0" w:color="000000"/>
              <w:right w:val="nil"/>
            </w:tcBorders>
            <w:shd w:val="clear" w:color="auto" w:fill="1F3863"/>
          </w:tcPr>
          <w:p>
            <w:pPr>
              <w:pStyle w:val="TableParagraph"/>
              <w:spacing w:line="244" w:lineRule="exact" w:before="10"/>
              <w:ind w:left="38"/>
              <w:jc w:val="center"/>
              <w:rPr>
                <w:rFonts w:ascii="Arial Narrow"/>
                <w:sz w:val="22"/>
              </w:rPr>
            </w:pPr>
            <w:r>
              <w:rPr>
                <w:rFonts w:ascii="Arial Narrow"/>
                <w:color w:val="FFFFFF"/>
                <w:spacing w:val="-2"/>
                <w:w w:val="105"/>
                <w:sz w:val="22"/>
              </w:rPr>
              <w:t>GRAN</w:t>
            </w:r>
            <w:r>
              <w:rPr>
                <w:rFonts w:ascii="Arial Narrow"/>
                <w:color w:val="FFFFFF"/>
                <w:spacing w:val="-7"/>
                <w:w w:val="105"/>
                <w:sz w:val="22"/>
              </w:rPr>
              <w:t> </w:t>
            </w:r>
            <w:r>
              <w:rPr>
                <w:rFonts w:ascii="Arial Narrow"/>
                <w:color w:val="FFFFFF"/>
                <w:spacing w:val="-2"/>
                <w:w w:val="105"/>
                <w:sz w:val="22"/>
              </w:rPr>
              <w:t>TOTAL</w:t>
            </w:r>
          </w:p>
        </w:tc>
        <w:tc>
          <w:tcPr>
            <w:tcW w:w="1991" w:type="dxa"/>
            <w:tcBorders>
              <w:top w:val="single" w:sz="12" w:space="0" w:color="000000"/>
              <w:left w:val="nil"/>
              <w:bottom w:val="single" w:sz="12" w:space="0" w:color="000000"/>
              <w:right w:val="single" w:sz="12" w:space="0" w:color="000000"/>
            </w:tcBorders>
          </w:tcPr>
          <w:p>
            <w:pPr>
              <w:pStyle w:val="TableParagraph"/>
              <w:spacing w:line="232" w:lineRule="exact" w:before="22"/>
              <w:ind w:left="70"/>
              <w:jc w:val="center"/>
              <w:rPr>
                <w:rFonts w:ascii="Arial Narrow" w:hAnsi="Arial Narrow"/>
                <w:b/>
                <w:sz w:val="22"/>
              </w:rPr>
            </w:pPr>
            <w:r>
              <w:rPr>
                <w:rFonts w:ascii="Arial" w:hAnsi="Arial"/>
                <w:b/>
                <w:spacing w:val="-4"/>
                <w:w w:val="105"/>
                <w:sz w:val="22"/>
              </w:rPr>
              <w:t>₡</w:t>
            </w:r>
            <w:r>
              <w:rPr>
                <w:rFonts w:ascii="Arial Narrow" w:hAnsi="Arial Narrow"/>
                <w:b/>
                <w:spacing w:val="-4"/>
                <w:w w:val="105"/>
                <w:sz w:val="22"/>
              </w:rPr>
              <w:t>0,00</w:t>
            </w:r>
          </w:p>
        </w:tc>
      </w:tr>
    </w:tbl>
    <w:p>
      <w:pPr>
        <w:pStyle w:val="TableParagraph"/>
        <w:spacing w:after="0" w:line="232" w:lineRule="exact"/>
        <w:jc w:val="center"/>
        <w:rPr>
          <w:rFonts w:ascii="Arial Narrow" w:hAnsi="Arial Narrow"/>
          <w:b/>
          <w:sz w:val="22"/>
        </w:rPr>
        <w:sectPr>
          <w:pgSz w:w="12240" w:h="15840"/>
          <w:pgMar w:top="1720" w:bottom="280" w:left="1080" w:right="720"/>
        </w:sectPr>
      </w:pPr>
    </w:p>
    <w:p>
      <w:pPr>
        <w:pStyle w:val="Heading1"/>
        <w:spacing w:line="355" w:lineRule="exact"/>
        <w:ind w:left="4537"/>
      </w:pPr>
      <w:r>
        <w:rPr/>
        <w:drawing>
          <wp:anchor distT="0" distB="0" distL="0" distR="0" allowOverlap="1" layoutInCell="1" locked="0" behindDoc="0" simplePos="0" relativeHeight="15991808">
            <wp:simplePos x="0" y="0"/>
            <wp:positionH relativeFrom="page">
              <wp:posOffset>2805505</wp:posOffset>
            </wp:positionH>
            <wp:positionV relativeFrom="paragraph">
              <wp:posOffset>90270</wp:posOffset>
            </wp:positionV>
            <wp:extent cx="674664" cy="637804"/>
            <wp:effectExtent l="0" t="0" r="0" b="0"/>
            <wp:wrapNone/>
            <wp:docPr id="1294" name="Image 1294"/>
            <wp:cNvGraphicFramePr>
              <a:graphicFrameLocks/>
            </wp:cNvGraphicFramePr>
            <a:graphic>
              <a:graphicData uri="http://schemas.openxmlformats.org/drawingml/2006/picture">
                <pic:pic>
                  <pic:nvPicPr>
                    <pic:cNvPr id="1294" name="Image 1294"/>
                    <pic:cNvPicPr/>
                  </pic:nvPicPr>
                  <pic:blipFill>
                    <a:blip r:embed="rId92" cstate="print"/>
                    <a:stretch>
                      <a:fillRect/>
                    </a:stretch>
                  </pic:blipFill>
                  <pic:spPr>
                    <a:xfrm>
                      <a:off x="0" y="0"/>
                      <a:ext cx="674664" cy="637804"/>
                    </a:xfrm>
                    <a:prstGeom prst="rect">
                      <a:avLst/>
                    </a:prstGeom>
                  </pic:spPr>
                </pic:pic>
              </a:graphicData>
            </a:graphic>
          </wp:anchor>
        </w:drawing>
      </w:r>
      <w:r>
        <w:rPr>
          <w:color w:val="0F245B"/>
          <w:spacing w:val="-2"/>
          <w:w w:val="105"/>
        </w:rPr>
        <w:t>INSTITUTO</w:t>
      </w:r>
    </w:p>
    <w:p>
      <w:pPr>
        <w:pStyle w:val="Heading3"/>
      </w:pPr>
      <w:r>
        <w:rPr>
          <w:color w:val="283B6D"/>
          <w:w w:val="105"/>
        </w:rPr>
        <w:t>MIXTO</w:t>
      </w:r>
      <w:r>
        <w:rPr>
          <w:color w:val="283B6D"/>
          <w:spacing w:val="37"/>
          <w:w w:val="105"/>
        </w:rPr>
        <w:t> </w:t>
      </w:r>
      <w:r>
        <w:rPr>
          <w:color w:val="283B6D"/>
          <w:w w:val="105"/>
        </w:rPr>
        <w:t>DE</w:t>
      </w:r>
      <w:r>
        <w:rPr>
          <w:color w:val="283B6D"/>
          <w:spacing w:val="20"/>
          <w:w w:val="105"/>
        </w:rPr>
        <w:t> </w:t>
      </w:r>
      <w:r>
        <w:rPr>
          <w:color w:val="283B6D"/>
          <w:spacing w:val="-2"/>
          <w:w w:val="105"/>
        </w:rPr>
        <w:t>AYUDA</w:t>
      </w:r>
    </w:p>
    <w:p>
      <w:pPr>
        <w:pStyle w:val="BodyText"/>
        <w:spacing w:line="232" w:lineRule="exact"/>
        <w:ind w:left="4535"/>
        <w:rPr>
          <w:rFonts w:ascii="Times New Roman"/>
        </w:rPr>
      </w:pPr>
      <w:r>
        <w:rPr>
          <w:rFonts w:ascii="Times New Roman"/>
        </w:rPr>
        <mc:AlternateContent>
          <mc:Choice Requires="wps">
            <w:drawing>
              <wp:anchor distT="0" distB="0" distL="0" distR="0" allowOverlap="1" layoutInCell="1" locked="0" behindDoc="1" simplePos="0" relativeHeight="487849472">
                <wp:simplePos x="0" y="0"/>
                <wp:positionH relativeFrom="page">
                  <wp:posOffset>3565649</wp:posOffset>
                </wp:positionH>
                <wp:positionV relativeFrom="paragraph">
                  <wp:posOffset>181618</wp:posOffset>
                </wp:positionV>
                <wp:extent cx="1416685" cy="1270"/>
                <wp:effectExtent l="0" t="0" r="0" b="0"/>
                <wp:wrapTopAndBottom/>
                <wp:docPr id="1295" name="Graphic 1295"/>
                <wp:cNvGraphicFramePr>
                  <a:graphicFrameLocks/>
                </wp:cNvGraphicFramePr>
                <a:graphic>
                  <a:graphicData uri="http://schemas.microsoft.com/office/word/2010/wordprocessingShape">
                    <wps:wsp>
                      <wps:cNvPr id="1295" name="Graphic 1295"/>
                      <wps:cNvSpPr/>
                      <wps:spPr>
                        <a:xfrm>
                          <a:off x="0" y="0"/>
                          <a:ext cx="1416685" cy="1270"/>
                        </a:xfrm>
                        <a:custGeom>
                          <a:avLst/>
                          <a:gdLst/>
                          <a:ahLst/>
                          <a:cxnLst/>
                          <a:rect l="l" t="t" r="r" b="b"/>
                          <a:pathLst>
                            <a:path w="1416685" h="0">
                              <a:moveTo>
                                <a:pt x="0" y="0"/>
                              </a:moveTo>
                              <a:lnTo>
                                <a:pt x="141649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0.759827pt;margin-top:14.300653pt;width:111.55pt;height:.1pt;mso-position-horizontal-relative:page;mso-position-vertical-relative:paragraph;z-index:-15467008;mso-wrap-distance-left:0;mso-wrap-distance-right:0" id="docshape1234" coordorigin="5615,286" coordsize="2231,0" path="m5615,286l7846,286e" filled="false" stroked="true" strokeweight=".240291pt" strokecolor="#000000">
                <v:path arrowok="t"/>
                <v:stroke dashstyle="solid"/>
                <w10:wrap type="topAndBottom"/>
              </v:shape>
            </w:pict>
          </mc:Fallback>
        </mc:AlternateContent>
      </w:r>
      <w:r>
        <w:rPr>
          <w:rFonts w:ascii="Times New Roman"/>
          <w:color w:val="3D4D77"/>
          <w:spacing w:val="-2"/>
          <w:w w:val="105"/>
        </w:rPr>
        <w:t>SOCIAL</w:t>
      </w:r>
    </w:p>
    <w:p>
      <w:pPr>
        <w:spacing w:before="64"/>
        <w:ind w:left="4539" w:right="0" w:firstLine="0"/>
        <w:jc w:val="left"/>
        <w:rPr>
          <w:rFonts w:ascii="Times New Roman"/>
          <w:sz w:val="16"/>
        </w:rPr>
      </w:pPr>
      <w:r>
        <w:rPr>
          <w:rFonts w:ascii="Times New Roman"/>
          <w:color w:val="283B6D"/>
          <w:w w:val="105"/>
          <w:sz w:val="16"/>
        </w:rPr>
        <w:t>G</w:t>
      </w:r>
      <w:r>
        <w:rPr>
          <w:rFonts w:ascii="Times New Roman"/>
          <w:color w:val="0F245B"/>
          <w:w w:val="105"/>
          <w:sz w:val="16"/>
        </w:rPr>
        <w:t>OB</w:t>
      </w:r>
      <w:r>
        <w:rPr>
          <w:rFonts w:ascii="Times New Roman"/>
          <w:color w:val="283B6D"/>
          <w:w w:val="105"/>
          <w:sz w:val="16"/>
        </w:rPr>
        <w:t>IERN</w:t>
      </w:r>
      <w:r>
        <w:rPr>
          <w:rFonts w:ascii="Times New Roman"/>
          <w:color w:val="0F245B"/>
          <w:w w:val="105"/>
          <w:sz w:val="16"/>
        </w:rPr>
        <w:t>O</w:t>
      </w:r>
      <w:r>
        <w:rPr>
          <w:rFonts w:ascii="Times New Roman"/>
          <w:color w:val="0F245B"/>
          <w:spacing w:val="18"/>
          <w:w w:val="105"/>
          <w:sz w:val="16"/>
        </w:rPr>
        <w:t> </w:t>
      </w:r>
      <w:r>
        <w:rPr>
          <w:rFonts w:ascii="Times New Roman"/>
          <w:color w:val="0F245B"/>
          <w:w w:val="105"/>
          <w:sz w:val="16"/>
        </w:rPr>
        <w:t>D</w:t>
      </w:r>
      <w:r>
        <w:rPr>
          <w:rFonts w:ascii="Times New Roman"/>
          <w:color w:val="283B6D"/>
          <w:w w:val="105"/>
          <w:sz w:val="16"/>
        </w:rPr>
        <w:t>E</w:t>
      </w:r>
      <w:r>
        <w:rPr>
          <w:rFonts w:ascii="Times New Roman"/>
          <w:color w:val="283B6D"/>
          <w:spacing w:val="4"/>
          <w:w w:val="105"/>
          <w:sz w:val="16"/>
        </w:rPr>
        <w:t> </w:t>
      </w:r>
      <w:r>
        <w:rPr>
          <w:rFonts w:ascii="Times New Roman"/>
          <w:color w:val="0F245B"/>
          <w:w w:val="105"/>
          <w:sz w:val="16"/>
        </w:rPr>
        <w:t>CO</w:t>
      </w:r>
      <w:r>
        <w:rPr>
          <w:rFonts w:ascii="Times New Roman"/>
          <w:color w:val="283B6D"/>
          <w:w w:val="105"/>
          <w:sz w:val="16"/>
        </w:rPr>
        <w:t>STA</w:t>
      </w:r>
      <w:r>
        <w:rPr>
          <w:rFonts w:ascii="Times New Roman"/>
          <w:color w:val="283B6D"/>
          <w:spacing w:val="3"/>
          <w:w w:val="105"/>
          <w:sz w:val="16"/>
        </w:rPr>
        <w:t> </w:t>
      </w:r>
      <w:r>
        <w:rPr>
          <w:rFonts w:ascii="Times New Roman"/>
          <w:color w:val="283B6D"/>
          <w:spacing w:val="-4"/>
          <w:w w:val="105"/>
          <w:sz w:val="16"/>
        </w:rPr>
        <w:t>RI</w:t>
      </w:r>
      <w:r>
        <w:rPr>
          <w:rFonts w:ascii="Times New Roman"/>
          <w:color w:val="0F245B"/>
          <w:spacing w:val="-4"/>
          <w:w w:val="105"/>
          <w:sz w:val="16"/>
        </w:rPr>
        <w:t>C</w:t>
      </w:r>
      <w:r>
        <w:rPr>
          <w:rFonts w:ascii="Times New Roman"/>
          <w:color w:val="283B6D"/>
          <w:spacing w:val="-4"/>
          <w:w w:val="105"/>
          <w:sz w:val="16"/>
        </w:rPr>
        <w:t>A</w:t>
      </w:r>
    </w:p>
    <w:p>
      <w:pPr>
        <w:pStyle w:val="BodyText"/>
        <w:spacing w:before="81"/>
        <w:rPr>
          <w:rFonts w:ascii="Times New Roman"/>
          <w:sz w:val="20"/>
        </w:rPr>
      </w:pPr>
    </w:p>
    <w:p>
      <w:pPr>
        <w:tabs>
          <w:tab w:pos="9515" w:val="left" w:leader="none"/>
        </w:tabs>
        <w:spacing w:before="0"/>
        <w:ind w:left="593" w:right="0" w:firstLine="0"/>
        <w:jc w:val="left"/>
        <w:rPr>
          <w:sz w:val="20"/>
        </w:rPr>
      </w:pPr>
      <w:r>
        <w:rPr>
          <w:color w:val="172951"/>
          <w:spacing w:val="-22"/>
          <w:sz w:val="20"/>
          <w:u w:val="single" w:color="000000"/>
        </w:rPr>
        <w:t> </w:t>
      </w:r>
      <w:r>
        <w:rPr>
          <w:color w:val="172951"/>
          <w:sz w:val="20"/>
          <w:u w:val="single" w:color="000000"/>
        </w:rPr>
        <w:t>Pág.</w:t>
      </w:r>
      <w:r>
        <w:rPr>
          <w:color w:val="172951"/>
          <w:spacing w:val="-6"/>
          <w:sz w:val="20"/>
          <w:u w:val="single" w:color="000000"/>
        </w:rPr>
        <w:t> </w:t>
      </w:r>
      <w:r>
        <w:rPr>
          <w:color w:val="172951"/>
          <w:spacing w:val="-5"/>
          <w:sz w:val="20"/>
          <w:u w:val="single" w:color="000000"/>
        </w:rPr>
        <w:t>253</w:t>
      </w:r>
      <w:r>
        <w:rPr>
          <w:color w:val="172951"/>
          <w:sz w:val="20"/>
          <w:u w:val="single" w:color="000000"/>
        </w:rPr>
        <w:tab/>
      </w:r>
    </w:p>
    <w:p>
      <w:pPr>
        <w:pStyle w:val="BodyText"/>
        <w:rPr>
          <w:sz w:val="20"/>
        </w:rPr>
      </w:pPr>
    </w:p>
    <w:p>
      <w:pPr>
        <w:pStyle w:val="BodyText"/>
        <w:rPr>
          <w:sz w:val="20"/>
        </w:rPr>
      </w:pPr>
    </w:p>
    <w:p>
      <w:pPr>
        <w:pStyle w:val="BodyText"/>
        <w:spacing w:before="38"/>
        <w:rPr>
          <w:sz w:val="20"/>
        </w:rPr>
      </w:pPr>
    </w:p>
    <w:p>
      <w:pPr>
        <w:spacing w:before="0"/>
        <w:ind w:left="622" w:right="0" w:firstLine="0"/>
        <w:jc w:val="left"/>
        <w:rPr>
          <w:rFonts w:ascii="Calibri"/>
          <w:b/>
          <w:sz w:val="20"/>
        </w:rPr>
      </w:pPr>
      <w:bookmarkStart w:name="_bookmark174" w:id="175"/>
      <w:bookmarkEnd w:id="175"/>
      <w:r>
        <w:rPr/>
      </w:r>
      <w:r>
        <w:rPr>
          <w:rFonts w:ascii="Calibri"/>
          <w:b/>
          <w:color w:val="1F3762"/>
          <w:sz w:val="20"/>
        </w:rPr>
        <w:t>NICSP</w:t>
      </w:r>
      <w:r>
        <w:rPr>
          <w:rFonts w:ascii="Calibri"/>
          <w:b/>
          <w:color w:val="1F3762"/>
          <w:spacing w:val="-4"/>
          <w:sz w:val="20"/>
        </w:rPr>
        <w:t> </w:t>
      </w:r>
      <w:r>
        <w:rPr>
          <w:rFonts w:ascii="Calibri"/>
          <w:b/>
          <w:color w:val="1F3762"/>
          <w:sz w:val="20"/>
        </w:rPr>
        <w:t>28-</w:t>
      </w:r>
      <w:r>
        <w:rPr>
          <w:rFonts w:ascii="Calibri"/>
          <w:b/>
          <w:color w:val="1F3762"/>
          <w:spacing w:val="-4"/>
          <w:sz w:val="20"/>
        </w:rPr>
        <w:t> </w:t>
      </w:r>
      <w:r>
        <w:rPr>
          <w:rFonts w:ascii="Calibri"/>
          <w:b/>
          <w:color w:val="1F3762"/>
          <w:sz w:val="20"/>
        </w:rPr>
        <w:t>29-</w:t>
      </w:r>
      <w:r>
        <w:rPr>
          <w:rFonts w:ascii="Calibri"/>
          <w:b/>
          <w:color w:val="1F3762"/>
          <w:spacing w:val="-4"/>
          <w:sz w:val="20"/>
        </w:rPr>
        <w:t> </w:t>
      </w:r>
      <w:r>
        <w:rPr>
          <w:rFonts w:ascii="Calibri"/>
          <w:b/>
          <w:color w:val="1F3762"/>
          <w:spacing w:val="-5"/>
          <w:sz w:val="20"/>
        </w:rPr>
        <w:t>30</w:t>
      </w:r>
    </w:p>
    <w:p>
      <w:pPr>
        <w:pStyle w:val="BodyText"/>
        <w:spacing w:before="6"/>
        <w:rPr>
          <w:rFonts w:ascii="Calibri"/>
          <w:b/>
          <w:sz w:val="6"/>
        </w:rPr>
      </w:pPr>
      <w:r>
        <w:rPr>
          <w:rFonts w:ascii="Calibri"/>
          <w:b/>
          <w:sz w:val="6"/>
        </w:rPr>
        <w:drawing>
          <wp:anchor distT="0" distB="0" distL="0" distR="0" allowOverlap="1" layoutInCell="1" locked="0" behindDoc="1" simplePos="0" relativeHeight="487849984">
            <wp:simplePos x="0" y="0"/>
            <wp:positionH relativeFrom="page">
              <wp:posOffset>1083737</wp:posOffset>
            </wp:positionH>
            <wp:positionV relativeFrom="paragraph">
              <wp:posOffset>65941</wp:posOffset>
            </wp:positionV>
            <wp:extent cx="5619463" cy="1030224"/>
            <wp:effectExtent l="0" t="0" r="0" b="0"/>
            <wp:wrapTopAndBottom/>
            <wp:docPr id="1296" name="Image 1296"/>
            <wp:cNvGraphicFramePr>
              <a:graphicFrameLocks/>
            </wp:cNvGraphicFramePr>
            <a:graphic>
              <a:graphicData uri="http://schemas.openxmlformats.org/drawingml/2006/picture">
                <pic:pic>
                  <pic:nvPicPr>
                    <pic:cNvPr id="1296" name="Image 1296"/>
                    <pic:cNvPicPr/>
                  </pic:nvPicPr>
                  <pic:blipFill>
                    <a:blip r:embed="rId122" cstate="print"/>
                    <a:stretch>
                      <a:fillRect/>
                    </a:stretch>
                  </pic:blipFill>
                  <pic:spPr>
                    <a:xfrm>
                      <a:off x="0" y="0"/>
                      <a:ext cx="5619463" cy="1030224"/>
                    </a:xfrm>
                    <a:prstGeom prst="rect">
                      <a:avLst/>
                    </a:prstGeom>
                  </pic:spPr>
                </pic:pic>
              </a:graphicData>
            </a:graphic>
          </wp:anchor>
        </w:drawing>
      </w:r>
      <w:r>
        <w:rPr>
          <w:rFonts w:ascii="Calibri"/>
          <w:b/>
          <w:sz w:val="6"/>
        </w:rPr>
        <mc:AlternateContent>
          <mc:Choice Requires="wps">
            <w:drawing>
              <wp:anchor distT="0" distB="0" distL="0" distR="0" allowOverlap="1" layoutInCell="1" locked="0" behindDoc="1" simplePos="0" relativeHeight="487850496">
                <wp:simplePos x="0" y="0"/>
                <wp:positionH relativeFrom="page">
                  <wp:posOffset>1083737</wp:posOffset>
                </wp:positionH>
                <wp:positionV relativeFrom="paragraph">
                  <wp:posOffset>1210325</wp:posOffset>
                </wp:positionV>
                <wp:extent cx="5635625" cy="1129665"/>
                <wp:effectExtent l="0" t="0" r="0" b="0"/>
                <wp:wrapTopAndBottom/>
                <wp:docPr id="1297" name="Group 1297"/>
                <wp:cNvGraphicFramePr>
                  <a:graphicFrameLocks/>
                </wp:cNvGraphicFramePr>
                <a:graphic>
                  <a:graphicData uri="http://schemas.microsoft.com/office/word/2010/wordprocessingGroup">
                    <wpg:wgp>
                      <wpg:cNvPr id="1297" name="Group 1297"/>
                      <wpg:cNvGrpSpPr/>
                      <wpg:grpSpPr>
                        <a:xfrm>
                          <a:off x="0" y="0"/>
                          <a:ext cx="5635625" cy="1129665"/>
                          <a:chExt cx="5635625" cy="1129665"/>
                        </a:xfrm>
                      </wpg:grpSpPr>
                      <pic:pic>
                        <pic:nvPicPr>
                          <pic:cNvPr id="1298" name="Image 1298"/>
                          <pic:cNvPicPr/>
                        </pic:nvPicPr>
                        <pic:blipFill>
                          <a:blip r:embed="rId123" cstate="print"/>
                          <a:stretch>
                            <a:fillRect/>
                          </a:stretch>
                        </pic:blipFill>
                        <pic:spPr>
                          <a:xfrm>
                            <a:off x="0" y="0"/>
                            <a:ext cx="5635433" cy="1129127"/>
                          </a:xfrm>
                          <a:prstGeom prst="rect">
                            <a:avLst/>
                          </a:prstGeom>
                        </pic:spPr>
                      </pic:pic>
                      <wps:wsp>
                        <wps:cNvPr id="1299" name="Graphic 1299"/>
                        <wps:cNvSpPr/>
                        <wps:spPr>
                          <a:xfrm>
                            <a:off x="2152212" y="540149"/>
                            <a:ext cx="1551305" cy="384810"/>
                          </a:xfrm>
                          <a:custGeom>
                            <a:avLst/>
                            <a:gdLst/>
                            <a:ahLst/>
                            <a:cxnLst/>
                            <a:rect l="l" t="t" r="r" b="b"/>
                            <a:pathLst>
                              <a:path w="1551305" h="384810">
                                <a:moveTo>
                                  <a:pt x="0" y="0"/>
                                </a:moveTo>
                                <a:lnTo>
                                  <a:pt x="1550813" y="0"/>
                                </a:lnTo>
                              </a:path>
                              <a:path w="1551305" h="384810">
                                <a:moveTo>
                                  <a:pt x="0" y="189205"/>
                                </a:moveTo>
                                <a:lnTo>
                                  <a:pt x="1550813" y="189205"/>
                                </a:lnTo>
                              </a:path>
                              <a:path w="1551305" h="384810">
                                <a:moveTo>
                                  <a:pt x="0" y="384513"/>
                                </a:moveTo>
                                <a:lnTo>
                                  <a:pt x="1550813" y="384513"/>
                                </a:lnTo>
                              </a:path>
                            </a:pathLst>
                          </a:custGeom>
                          <a:ln w="15261">
                            <a:solidFill>
                              <a:srgbClr val="000000"/>
                            </a:solidFill>
                            <a:prstDash val="solid"/>
                          </a:ln>
                        </wps:spPr>
                        <wps:bodyPr wrap="square" lIns="0" tIns="0" rIns="0" bIns="0" rtlCol="0">
                          <a:prstTxWarp prst="textNoShape">
                            <a:avLst/>
                          </a:prstTxWarp>
                          <a:noAutofit/>
                        </wps:bodyPr>
                      </wps:wsp>
                      <wps:wsp>
                        <wps:cNvPr id="1300" name="Textbox 1300"/>
                        <wps:cNvSpPr txBox="1"/>
                        <wps:spPr>
                          <a:xfrm>
                            <a:off x="0" y="0"/>
                            <a:ext cx="5635625" cy="1129665"/>
                          </a:xfrm>
                          <a:prstGeom prst="rect">
                            <a:avLst/>
                          </a:prstGeom>
                        </wps:spPr>
                        <wps:txbx>
                          <w:txbxContent>
                            <w:p>
                              <w:pPr>
                                <w:spacing w:line="240" w:lineRule="auto" w:before="0"/>
                                <w:rPr>
                                  <w:rFonts w:ascii="Calibri"/>
                                  <w:b/>
                                  <w:sz w:val="21"/>
                                </w:rPr>
                              </w:pPr>
                            </w:p>
                            <w:p>
                              <w:pPr>
                                <w:spacing w:line="240" w:lineRule="auto" w:before="0"/>
                                <w:rPr>
                                  <w:rFonts w:ascii="Calibri"/>
                                  <w:b/>
                                  <w:sz w:val="21"/>
                                </w:rPr>
                              </w:pPr>
                            </w:p>
                            <w:p>
                              <w:pPr>
                                <w:spacing w:line="240" w:lineRule="auto" w:before="0"/>
                                <w:rPr>
                                  <w:rFonts w:ascii="Calibri"/>
                                  <w:b/>
                                  <w:sz w:val="21"/>
                                </w:rPr>
                              </w:pPr>
                            </w:p>
                            <w:p>
                              <w:pPr>
                                <w:spacing w:line="240" w:lineRule="auto" w:before="0"/>
                                <w:rPr>
                                  <w:rFonts w:ascii="Calibri"/>
                                  <w:b/>
                                  <w:sz w:val="21"/>
                                </w:rPr>
                              </w:pPr>
                            </w:p>
                            <w:p>
                              <w:pPr>
                                <w:spacing w:line="240" w:lineRule="auto" w:before="222"/>
                                <w:rPr>
                                  <w:rFonts w:ascii="Calibri"/>
                                  <w:b/>
                                  <w:sz w:val="21"/>
                                </w:rPr>
                              </w:pPr>
                            </w:p>
                            <w:p>
                              <w:pPr>
                                <w:tabs>
                                  <w:tab w:pos="843" w:val="left" w:leader="none"/>
                                  <w:tab w:pos="2170" w:val="left" w:leader="none"/>
                                  <w:tab w:pos="3057" w:val="left" w:leader="none"/>
                                </w:tabs>
                                <w:spacing w:before="0"/>
                                <w:ind w:left="442" w:right="0" w:firstLine="0"/>
                                <w:jc w:val="center"/>
                                <w:rPr>
                                  <w:rFonts w:ascii="Arial"/>
                                  <w:b/>
                                  <w:sz w:val="21"/>
                                </w:rPr>
                              </w:pPr>
                              <w:r>
                                <w:rPr>
                                  <w:rFonts w:ascii="Arial"/>
                                  <w:b/>
                                  <w:sz w:val="21"/>
                                  <w:u w:val="thick"/>
                                </w:rPr>
                                <w:tab/>
                              </w:r>
                              <w:r>
                                <w:rPr>
                                  <w:rFonts w:ascii="Arial"/>
                                  <w:b/>
                                  <w:spacing w:val="-2"/>
                                  <w:sz w:val="21"/>
                                  <w:u w:val="thick"/>
                                </w:rPr>
                                <w:t>ft0,00</w:t>
                              </w:r>
                              <w:r>
                                <w:rPr>
                                  <w:rFonts w:ascii="Arial"/>
                                  <w:b/>
                                  <w:sz w:val="21"/>
                                  <w:u w:val="thick"/>
                                </w:rPr>
                                <w:tab/>
                              </w:r>
                              <w:r>
                                <w:rPr>
                                  <w:rFonts w:ascii="Arial"/>
                                  <w:b/>
                                  <w:spacing w:val="-2"/>
                                  <w:sz w:val="21"/>
                                  <w:u w:val="thick"/>
                                </w:rPr>
                                <w:t>ft0,00</w:t>
                              </w:r>
                              <w:r>
                                <w:rPr>
                                  <w:rFonts w:ascii="Arial"/>
                                  <w:b/>
                                  <w:sz w:val="21"/>
                                  <w:u w:val="thick"/>
                                </w:rPr>
                                <w:tab/>
                              </w:r>
                            </w:p>
                          </w:txbxContent>
                        </wps:txbx>
                        <wps:bodyPr wrap="square" lIns="0" tIns="0" rIns="0" bIns="0" rtlCol="0">
                          <a:noAutofit/>
                        </wps:bodyPr>
                      </wps:wsp>
                    </wpg:wgp>
                  </a:graphicData>
                </a:graphic>
              </wp:anchor>
            </w:drawing>
          </mc:Choice>
          <mc:Fallback>
            <w:pict>
              <v:group style="position:absolute;margin-left:85.333649pt;margin-top:95.301231pt;width:443.75pt;height:88.95pt;mso-position-horizontal-relative:page;mso-position-vertical-relative:paragraph;z-index:-15465984;mso-wrap-distance-left:0;mso-wrap-distance-right:0" id="docshapegroup1235" coordorigin="1707,1906" coordsize="8875,1779">
                <v:shape style="position:absolute;left:1706;top:1906;width:8875;height:1779" type="#_x0000_t75" id="docshape1236" stroked="false">
                  <v:imagedata r:id="rId123" o:title=""/>
                </v:shape>
                <v:shape style="position:absolute;left:5095;top:2756;width:2443;height:606" id="docshape1237" coordorigin="5096,2757" coordsize="2443,606" path="m5096,2757l7538,2757m5096,3055l7538,3055m5096,3362l7538,3362e" filled="false" stroked="true" strokeweight="1.201669pt" strokecolor="#000000">
                  <v:path arrowok="t"/>
                  <v:stroke dashstyle="solid"/>
                </v:shape>
                <v:shape style="position:absolute;left:1706;top:1906;width:8875;height:1779" type="#_x0000_t202" id="docshape1238" filled="false" stroked="false">
                  <v:textbox inset="0,0,0,0">
                    <w:txbxContent>
                      <w:p>
                        <w:pPr>
                          <w:spacing w:line="240" w:lineRule="auto" w:before="0"/>
                          <w:rPr>
                            <w:rFonts w:ascii="Calibri"/>
                            <w:b/>
                            <w:sz w:val="21"/>
                          </w:rPr>
                        </w:pPr>
                      </w:p>
                      <w:p>
                        <w:pPr>
                          <w:spacing w:line="240" w:lineRule="auto" w:before="0"/>
                          <w:rPr>
                            <w:rFonts w:ascii="Calibri"/>
                            <w:b/>
                            <w:sz w:val="21"/>
                          </w:rPr>
                        </w:pPr>
                      </w:p>
                      <w:p>
                        <w:pPr>
                          <w:spacing w:line="240" w:lineRule="auto" w:before="0"/>
                          <w:rPr>
                            <w:rFonts w:ascii="Calibri"/>
                            <w:b/>
                            <w:sz w:val="21"/>
                          </w:rPr>
                        </w:pPr>
                      </w:p>
                      <w:p>
                        <w:pPr>
                          <w:spacing w:line="240" w:lineRule="auto" w:before="0"/>
                          <w:rPr>
                            <w:rFonts w:ascii="Calibri"/>
                            <w:b/>
                            <w:sz w:val="21"/>
                          </w:rPr>
                        </w:pPr>
                      </w:p>
                      <w:p>
                        <w:pPr>
                          <w:spacing w:line="240" w:lineRule="auto" w:before="222"/>
                          <w:rPr>
                            <w:rFonts w:ascii="Calibri"/>
                            <w:b/>
                            <w:sz w:val="21"/>
                          </w:rPr>
                        </w:pPr>
                      </w:p>
                      <w:p>
                        <w:pPr>
                          <w:tabs>
                            <w:tab w:pos="843" w:val="left" w:leader="none"/>
                            <w:tab w:pos="2170" w:val="left" w:leader="none"/>
                            <w:tab w:pos="3057" w:val="left" w:leader="none"/>
                          </w:tabs>
                          <w:spacing w:before="0"/>
                          <w:ind w:left="442" w:right="0" w:firstLine="0"/>
                          <w:jc w:val="center"/>
                          <w:rPr>
                            <w:rFonts w:ascii="Arial"/>
                            <w:b/>
                            <w:sz w:val="21"/>
                          </w:rPr>
                        </w:pPr>
                        <w:r>
                          <w:rPr>
                            <w:rFonts w:ascii="Arial"/>
                            <w:b/>
                            <w:sz w:val="21"/>
                            <w:u w:val="thick"/>
                          </w:rPr>
                          <w:tab/>
                        </w:r>
                        <w:r>
                          <w:rPr>
                            <w:rFonts w:ascii="Arial"/>
                            <w:b/>
                            <w:spacing w:val="-2"/>
                            <w:sz w:val="21"/>
                            <w:u w:val="thick"/>
                          </w:rPr>
                          <w:t>ft0,00</w:t>
                        </w:r>
                        <w:r>
                          <w:rPr>
                            <w:rFonts w:ascii="Arial"/>
                            <w:b/>
                            <w:sz w:val="21"/>
                            <w:u w:val="thick"/>
                          </w:rPr>
                          <w:tab/>
                        </w:r>
                        <w:r>
                          <w:rPr>
                            <w:rFonts w:ascii="Arial"/>
                            <w:b/>
                            <w:spacing w:val="-2"/>
                            <w:sz w:val="21"/>
                            <w:u w:val="thick"/>
                          </w:rPr>
                          <w:t>ft0,00</w:t>
                        </w:r>
                        <w:r>
                          <w:rPr>
                            <w:rFonts w:ascii="Arial"/>
                            <w:b/>
                            <w:sz w:val="21"/>
                            <w:u w:val="thick"/>
                          </w:rPr>
                          <w:tab/>
                        </w:r>
                      </w:p>
                    </w:txbxContent>
                  </v:textbox>
                  <w10:wrap type="none"/>
                </v:shape>
                <w10:wrap type="topAndBottom"/>
              </v:group>
            </w:pict>
          </mc:Fallback>
        </mc:AlternateContent>
      </w:r>
    </w:p>
    <w:p>
      <w:pPr>
        <w:pStyle w:val="BodyText"/>
        <w:spacing w:before="9"/>
        <w:rPr>
          <w:rFonts w:ascii="Calibri"/>
          <w:b/>
          <w:sz w:val="12"/>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17"/>
        <w:rPr>
          <w:rFonts w:ascii="Calibri"/>
          <w:b/>
          <w:sz w:val="20"/>
        </w:rPr>
      </w:pPr>
    </w:p>
    <w:p>
      <w:pPr>
        <w:spacing w:before="0"/>
        <w:ind w:left="622" w:right="0" w:firstLine="0"/>
        <w:jc w:val="left"/>
        <w:rPr>
          <w:rFonts w:ascii="Times New Roman"/>
          <w:b/>
          <w:sz w:val="24"/>
        </w:rPr>
      </w:pPr>
      <w:bookmarkStart w:name="_bookmark175" w:id="176"/>
      <w:bookmarkEnd w:id="176"/>
      <w:r>
        <w:rPr/>
      </w:r>
      <w:r>
        <w:rPr>
          <w:rFonts w:ascii="Times New Roman"/>
          <w:b/>
          <w:sz w:val="24"/>
        </w:rPr>
        <w:t>ANEXOS</w:t>
      </w:r>
      <w:r>
        <w:rPr>
          <w:rFonts w:ascii="Times New Roman"/>
          <w:b/>
          <w:spacing w:val="-5"/>
          <w:sz w:val="24"/>
        </w:rPr>
        <w:t> </w:t>
      </w:r>
      <w:r>
        <w:rPr>
          <w:rFonts w:ascii="Times New Roman"/>
          <w:b/>
          <w:spacing w:val="-10"/>
          <w:sz w:val="24"/>
        </w:rPr>
        <w:t>2</w:t>
      </w:r>
    </w:p>
    <w:p>
      <w:pPr>
        <w:spacing w:before="0"/>
        <w:ind w:left="622" w:right="0" w:firstLine="0"/>
        <w:jc w:val="left"/>
        <w:rPr>
          <w:rFonts w:ascii="Times New Roman" w:hAnsi="Times New Roman"/>
          <w:b/>
          <w:sz w:val="24"/>
        </w:rPr>
      </w:pPr>
      <w:bookmarkStart w:name="_bookmark176" w:id="177"/>
      <w:bookmarkEnd w:id="177"/>
      <w:r>
        <w:rPr/>
      </w:r>
      <w:r>
        <w:rPr>
          <w:rFonts w:ascii="Times New Roman" w:hAnsi="Times New Roman"/>
          <w:b/>
          <w:sz w:val="24"/>
        </w:rPr>
        <w:t>Información</w:t>
      </w:r>
      <w:r>
        <w:rPr>
          <w:rFonts w:ascii="Times New Roman" w:hAnsi="Times New Roman"/>
          <w:b/>
          <w:spacing w:val="-4"/>
          <w:sz w:val="24"/>
        </w:rPr>
        <w:t> </w:t>
      </w:r>
      <w:r>
        <w:rPr>
          <w:rFonts w:ascii="Times New Roman" w:hAnsi="Times New Roman"/>
          <w:b/>
          <w:spacing w:val="-2"/>
          <w:sz w:val="24"/>
        </w:rPr>
        <w:t>Complementaria</w:t>
      </w: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rPr>
          <w:rFonts w:ascii="Times New Roman"/>
          <w:b/>
          <w:sz w:val="34"/>
        </w:rPr>
      </w:pPr>
    </w:p>
    <w:p>
      <w:pPr>
        <w:pStyle w:val="BodyText"/>
        <w:spacing w:before="252"/>
        <w:rPr>
          <w:rFonts w:ascii="Times New Roman"/>
          <w:b/>
          <w:sz w:val="34"/>
        </w:rPr>
      </w:pPr>
    </w:p>
    <w:p>
      <w:pPr>
        <w:spacing w:before="0"/>
        <w:ind w:left="66" w:right="0" w:firstLine="0"/>
        <w:jc w:val="center"/>
        <w:rPr>
          <w:rFonts w:ascii="Times New Roman"/>
          <w:b/>
          <w:sz w:val="34"/>
        </w:rPr>
      </w:pPr>
      <w:hyperlink r:id="rId94">
        <w:r>
          <w:rPr>
            <w:rFonts w:ascii="Times New Roman"/>
            <w:b/>
            <w:color w:val="CDAA64"/>
            <w:spacing w:val="-2"/>
            <w:w w:val="105"/>
            <w:sz w:val="34"/>
          </w:rPr>
          <w:t>WWW.IMAS.GO.CR</w:t>
        </w:r>
      </w:hyperlink>
    </w:p>
    <w:sectPr>
      <w:pgSz w:w="12240" w:h="15840"/>
      <w:pgMar w:top="300" w:bottom="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Arial Narrow">
    <w:altName w:val="Arial Narrow"/>
    <w:charset w:val="0"/>
    <w:family w:val="swiss"/>
    <w:pitch w:val="variable"/>
  </w:font>
  <w:font w:name="Baskerville Old Face">
    <w:altName w:val="Baskerville Old Face"/>
    <w:charset w:val="0"/>
    <w:family w:val="roman"/>
    <w:pitch w:val="variable"/>
  </w:font>
  <w:font w:name="Book Antiqua">
    <w:altName w:val="Book Antiqua"/>
    <w:charset w:val="0"/>
    <w:family w:val="roman"/>
    <w:pitch w:val="variable"/>
  </w:font>
  <w:font w:name="Courier New">
    <w:altName w:val="Courier New"/>
    <w:charset w:val="0"/>
    <w:family w:val="modern"/>
    <w:pitch w:val="fixed"/>
  </w:font>
  <w:font w:name="Georgia">
    <w:altName w:val="Georgia"/>
    <w:charset w:val="0"/>
    <w:family w:val="roman"/>
    <w:pitch w:val="variable"/>
  </w:font>
  <w:font w:name="Trebuchet MS">
    <w:altName w:val="Trebuchet MS"/>
    <w:charset w:val="0"/>
    <w:family w:val="swiss"/>
    <w:pitch w:val="variable"/>
  </w:font>
  <w:font w:name="Segoe UI Symbol">
    <w:altName w:val="Segoe UI Symbo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6">
    <w:multiLevelType w:val="hybridMultilevel"/>
    <w:lvl w:ilvl="0">
      <w:start w:val="0"/>
      <w:numFmt w:val="bullet"/>
      <w:lvlText w:val=""/>
      <w:lvlJc w:val="left"/>
      <w:pPr>
        <w:ind w:left="134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05">
    <w:multiLevelType w:val="hybridMultilevel"/>
    <w:lvl w:ilvl="0">
      <w:start w:val="1"/>
      <w:numFmt w:val="lowerLetter"/>
      <w:lvlText w:val="%1)"/>
      <w:lvlJc w:val="left"/>
      <w:pPr>
        <w:ind w:left="1798" w:hanging="360"/>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0"/>
      <w:numFmt w:val="bullet"/>
      <w:lvlText w:val="•"/>
      <w:lvlJc w:val="left"/>
      <w:pPr>
        <w:ind w:left="2664" w:hanging="360"/>
      </w:pPr>
      <w:rPr>
        <w:rFonts w:hint="default"/>
        <w:lang w:val="es-ES" w:eastAsia="en-US" w:bidi="ar-SA"/>
      </w:rPr>
    </w:lvl>
    <w:lvl w:ilvl="2">
      <w:start w:val="0"/>
      <w:numFmt w:val="bullet"/>
      <w:lvlText w:val="•"/>
      <w:lvlJc w:val="left"/>
      <w:pPr>
        <w:ind w:left="3528" w:hanging="360"/>
      </w:pPr>
      <w:rPr>
        <w:rFonts w:hint="default"/>
        <w:lang w:val="es-ES" w:eastAsia="en-US" w:bidi="ar-SA"/>
      </w:rPr>
    </w:lvl>
    <w:lvl w:ilvl="3">
      <w:start w:val="0"/>
      <w:numFmt w:val="bullet"/>
      <w:lvlText w:val="•"/>
      <w:lvlJc w:val="left"/>
      <w:pPr>
        <w:ind w:left="439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7848" w:hanging="360"/>
      </w:pPr>
      <w:rPr>
        <w:rFonts w:hint="default"/>
        <w:lang w:val="es-ES" w:eastAsia="en-US" w:bidi="ar-SA"/>
      </w:rPr>
    </w:lvl>
    <w:lvl w:ilvl="8">
      <w:start w:val="0"/>
      <w:numFmt w:val="bullet"/>
      <w:lvlText w:val="•"/>
      <w:lvlJc w:val="left"/>
      <w:pPr>
        <w:ind w:left="8712" w:hanging="360"/>
      </w:pPr>
      <w:rPr>
        <w:rFonts w:hint="default"/>
        <w:lang w:val="es-ES" w:eastAsia="en-US" w:bidi="ar-SA"/>
      </w:rPr>
    </w:lvl>
  </w:abstractNum>
  <w:abstractNum w:abstractNumId="104">
    <w:multiLevelType w:val="hybridMultilevel"/>
    <w:lvl w:ilvl="0">
      <w:start w:val="1"/>
      <w:numFmt w:val="decimal"/>
      <w:lvlText w:val="%1."/>
      <w:lvlJc w:val="left"/>
      <w:pPr>
        <w:ind w:left="1450" w:hanging="360"/>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0"/>
      <w:numFmt w:val="bullet"/>
      <w:lvlText w:val=""/>
      <w:lvlJc w:val="left"/>
      <w:pPr>
        <w:ind w:left="1810" w:hanging="360"/>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2777" w:hanging="360"/>
      </w:pPr>
      <w:rPr>
        <w:rFonts w:hint="default"/>
        <w:lang w:val="es-ES" w:eastAsia="en-US" w:bidi="ar-SA"/>
      </w:rPr>
    </w:lvl>
    <w:lvl w:ilvl="3">
      <w:start w:val="0"/>
      <w:numFmt w:val="bullet"/>
      <w:lvlText w:val="•"/>
      <w:lvlJc w:val="left"/>
      <w:pPr>
        <w:ind w:left="3735" w:hanging="360"/>
      </w:pPr>
      <w:rPr>
        <w:rFonts w:hint="default"/>
        <w:lang w:val="es-ES" w:eastAsia="en-US" w:bidi="ar-SA"/>
      </w:rPr>
    </w:lvl>
    <w:lvl w:ilvl="4">
      <w:start w:val="0"/>
      <w:numFmt w:val="bullet"/>
      <w:lvlText w:val="•"/>
      <w:lvlJc w:val="left"/>
      <w:pPr>
        <w:ind w:left="4693" w:hanging="360"/>
      </w:pPr>
      <w:rPr>
        <w:rFonts w:hint="default"/>
        <w:lang w:val="es-ES" w:eastAsia="en-US" w:bidi="ar-SA"/>
      </w:rPr>
    </w:lvl>
    <w:lvl w:ilvl="5">
      <w:start w:val="0"/>
      <w:numFmt w:val="bullet"/>
      <w:lvlText w:val="•"/>
      <w:lvlJc w:val="left"/>
      <w:pPr>
        <w:ind w:left="5651" w:hanging="360"/>
      </w:pPr>
      <w:rPr>
        <w:rFonts w:hint="default"/>
        <w:lang w:val="es-ES" w:eastAsia="en-US" w:bidi="ar-SA"/>
      </w:rPr>
    </w:lvl>
    <w:lvl w:ilvl="6">
      <w:start w:val="0"/>
      <w:numFmt w:val="bullet"/>
      <w:lvlText w:val="•"/>
      <w:lvlJc w:val="left"/>
      <w:pPr>
        <w:ind w:left="6608" w:hanging="360"/>
      </w:pPr>
      <w:rPr>
        <w:rFonts w:hint="default"/>
        <w:lang w:val="es-ES" w:eastAsia="en-US" w:bidi="ar-SA"/>
      </w:rPr>
    </w:lvl>
    <w:lvl w:ilvl="7">
      <w:start w:val="0"/>
      <w:numFmt w:val="bullet"/>
      <w:lvlText w:val="•"/>
      <w:lvlJc w:val="left"/>
      <w:pPr>
        <w:ind w:left="7566" w:hanging="360"/>
      </w:pPr>
      <w:rPr>
        <w:rFonts w:hint="default"/>
        <w:lang w:val="es-ES" w:eastAsia="en-US" w:bidi="ar-SA"/>
      </w:rPr>
    </w:lvl>
    <w:lvl w:ilvl="8">
      <w:start w:val="0"/>
      <w:numFmt w:val="bullet"/>
      <w:lvlText w:val="•"/>
      <w:lvlJc w:val="left"/>
      <w:pPr>
        <w:ind w:left="8524" w:hanging="360"/>
      </w:pPr>
      <w:rPr>
        <w:rFonts w:hint="default"/>
        <w:lang w:val="es-ES" w:eastAsia="en-US" w:bidi="ar-SA"/>
      </w:rPr>
    </w:lvl>
  </w:abstractNum>
  <w:abstractNum w:abstractNumId="103">
    <w:multiLevelType w:val="hybridMultilevel"/>
    <w:lvl w:ilvl="0">
      <w:start w:val="1"/>
      <w:numFmt w:val="lowerLetter"/>
      <w:lvlText w:val="%1)"/>
      <w:lvlJc w:val="left"/>
      <w:pPr>
        <w:ind w:left="145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102">
    <w:multiLevelType w:val="hybridMultilevel"/>
    <w:lvl w:ilvl="0">
      <w:start w:val="0"/>
      <w:numFmt w:val="bullet"/>
      <w:lvlText w:val="•"/>
      <w:lvlJc w:val="left"/>
      <w:pPr>
        <w:ind w:left="1450"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101">
    <w:multiLevelType w:val="hybridMultilevel"/>
    <w:lvl w:ilvl="0">
      <w:start w:val="1"/>
      <w:numFmt w:val="lowerLetter"/>
      <w:lvlText w:val="(%1)"/>
      <w:lvlJc w:val="left"/>
      <w:pPr>
        <w:ind w:left="1008" w:hanging="279"/>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1450" w:hanging="360"/>
        <w:jc w:val="righ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1"/>
      <w:numFmt w:val="lowerLetter"/>
      <w:lvlText w:val="%3)"/>
      <w:lvlJc w:val="left"/>
      <w:pPr>
        <w:ind w:left="145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0"/>
      <w:numFmt w:val="bullet"/>
      <w:lvlText w:val="•"/>
      <w:lvlJc w:val="left"/>
      <w:pPr>
        <w:ind w:left="3455" w:hanging="360"/>
      </w:pPr>
      <w:rPr>
        <w:rFonts w:hint="default"/>
        <w:lang w:val="es-ES" w:eastAsia="en-US" w:bidi="ar-SA"/>
      </w:rPr>
    </w:lvl>
    <w:lvl w:ilvl="4">
      <w:start w:val="0"/>
      <w:numFmt w:val="bullet"/>
      <w:lvlText w:val="•"/>
      <w:lvlJc w:val="left"/>
      <w:pPr>
        <w:ind w:left="4453" w:hanging="360"/>
      </w:pPr>
      <w:rPr>
        <w:rFonts w:hint="default"/>
        <w:lang w:val="es-ES" w:eastAsia="en-US" w:bidi="ar-SA"/>
      </w:rPr>
    </w:lvl>
    <w:lvl w:ilvl="5">
      <w:start w:val="0"/>
      <w:numFmt w:val="bullet"/>
      <w:lvlText w:val="•"/>
      <w:lvlJc w:val="left"/>
      <w:pPr>
        <w:ind w:left="5451" w:hanging="360"/>
      </w:pPr>
      <w:rPr>
        <w:rFonts w:hint="default"/>
        <w:lang w:val="es-ES" w:eastAsia="en-US" w:bidi="ar-SA"/>
      </w:rPr>
    </w:lvl>
    <w:lvl w:ilvl="6">
      <w:start w:val="0"/>
      <w:numFmt w:val="bullet"/>
      <w:lvlText w:val="•"/>
      <w:lvlJc w:val="left"/>
      <w:pPr>
        <w:ind w:left="6448" w:hanging="360"/>
      </w:pPr>
      <w:rPr>
        <w:rFonts w:hint="default"/>
        <w:lang w:val="es-ES" w:eastAsia="en-US" w:bidi="ar-SA"/>
      </w:rPr>
    </w:lvl>
    <w:lvl w:ilvl="7">
      <w:start w:val="0"/>
      <w:numFmt w:val="bullet"/>
      <w:lvlText w:val="•"/>
      <w:lvlJc w:val="left"/>
      <w:pPr>
        <w:ind w:left="7446" w:hanging="360"/>
      </w:pPr>
      <w:rPr>
        <w:rFonts w:hint="default"/>
        <w:lang w:val="es-ES" w:eastAsia="en-US" w:bidi="ar-SA"/>
      </w:rPr>
    </w:lvl>
    <w:lvl w:ilvl="8">
      <w:start w:val="0"/>
      <w:numFmt w:val="bullet"/>
      <w:lvlText w:val="•"/>
      <w:lvlJc w:val="left"/>
      <w:pPr>
        <w:ind w:left="8444" w:hanging="360"/>
      </w:pPr>
      <w:rPr>
        <w:rFonts w:hint="default"/>
        <w:lang w:val="es-ES" w:eastAsia="en-US" w:bidi="ar-SA"/>
      </w:rPr>
    </w:lvl>
  </w:abstractNum>
  <w:abstractNum w:abstractNumId="100">
    <w:multiLevelType w:val="hybridMultilevel"/>
    <w:lvl w:ilvl="0">
      <w:start w:val="0"/>
      <w:numFmt w:val="bullet"/>
      <w:lvlText w:val="•"/>
      <w:lvlJc w:val="left"/>
      <w:pPr>
        <w:ind w:left="730" w:hanging="708"/>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710" w:hanging="708"/>
      </w:pPr>
      <w:rPr>
        <w:rFonts w:hint="default"/>
        <w:lang w:val="es-ES" w:eastAsia="en-US" w:bidi="ar-SA"/>
      </w:rPr>
    </w:lvl>
    <w:lvl w:ilvl="2">
      <w:start w:val="0"/>
      <w:numFmt w:val="bullet"/>
      <w:lvlText w:val="•"/>
      <w:lvlJc w:val="left"/>
      <w:pPr>
        <w:ind w:left="2680" w:hanging="708"/>
      </w:pPr>
      <w:rPr>
        <w:rFonts w:hint="default"/>
        <w:lang w:val="es-ES" w:eastAsia="en-US" w:bidi="ar-SA"/>
      </w:rPr>
    </w:lvl>
    <w:lvl w:ilvl="3">
      <w:start w:val="0"/>
      <w:numFmt w:val="bullet"/>
      <w:lvlText w:val="•"/>
      <w:lvlJc w:val="left"/>
      <w:pPr>
        <w:ind w:left="3650" w:hanging="708"/>
      </w:pPr>
      <w:rPr>
        <w:rFonts w:hint="default"/>
        <w:lang w:val="es-ES" w:eastAsia="en-US" w:bidi="ar-SA"/>
      </w:rPr>
    </w:lvl>
    <w:lvl w:ilvl="4">
      <w:start w:val="0"/>
      <w:numFmt w:val="bullet"/>
      <w:lvlText w:val="•"/>
      <w:lvlJc w:val="left"/>
      <w:pPr>
        <w:ind w:left="4620" w:hanging="708"/>
      </w:pPr>
      <w:rPr>
        <w:rFonts w:hint="default"/>
        <w:lang w:val="es-ES" w:eastAsia="en-US" w:bidi="ar-SA"/>
      </w:rPr>
    </w:lvl>
    <w:lvl w:ilvl="5">
      <w:start w:val="0"/>
      <w:numFmt w:val="bullet"/>
      <w:lvlText w:val="•"/>
      <w:lvlJc w:val="left"/>
      <w:pPr>
        <w:ind w:left="5590" w:hanging="708"/>
      </w:pPr>
      <w:rPr>
        <w:rFonts w:hint="default"/>
        <w:lang w:val="es-ES" w:eastAsia="en-US" w:bidi="ar-SA"/>
      </w:rPr>
    </w:lvl>
    <w:lvl w:ilvl="6">
      <w:start w:val="0"/>
      <w:numFmt w:val="bullet"/>
      <w:lvlText w:val="•"/>
      <w:lvlJc w:val="left"/>
      <w:pPr>
        <w:ind w:left="6560" w:hanging="708"/>
      </w:pPr>
      <w:rPr>
        <w:rFonts w:hint="default"/>
        <w:lang w:val="es-ES" w:eastAsia="en-US" w:bidi="ar-SA"/>
      </w:rPr>
    </w:lvl>
    <w:lvl w:ilvl="7">
      <w:start w:val="0"/>
      <w:numFmt w:val="bullet"/>
      <w:lvlText w:val="•"/>
      <w:lvlJc w:val="left"/>
      <w:pPr>
        <w:ind w:left="7530" w:hanging="708"/>
      </w:pPr>
      <w:rPr>
        <w:rFonts w:hint="default"/>
        <w:lang w:val="es-ES" w:eastAsia="en-US" w:bidi="ar-SA"/>
      </w:rPr>
    </w:lvl>
    <w:lvl w:ilvl="8">
      <w:start w:val="0"/>
      <w:numFmt w:val="bullet"/>
      <w:lvlText w:val="•"/>
      <w:lvlJc w:val="left"/>
      <w:pPr>
        <w:ind w:left="8500" w:hanging="708"/>
      </w:pPr>
      <w:rPr>
        <w:rFonts w:hint="default"/>
        <w:lang w:val="es-ES" w:eastAsia="en-US" w:bidi="ar-SA"/>
      </w:rPr>
    </w:lvl>
  </w:abstractNum>
  <w:abstractNum w:abstractNumId="99">
    <w:multiLevelType w:val="hybridMultilevel"/>
    <w:lvl w:ilvl="0">
      <w:start w:val="2"/>
      <w:numFmt w:val="lowerLetter"/>
      <w:lvlText w:val="%1)"/>
      <w:lvlJc w:val="left"/>
      <w:pPr>
        <w:ind w:left="730" w:hanging="24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710" w:hanging="240"/>
      </w:pPr>
      <w:rPr>
        <w:rFonts w:hint="default"/>
        <w:lang w:val="es-ES" w:eastAsia="en-US" w:bidi="ar-SA"/>
      </w:rPr>
    </w:lvl>
    <w:lvl w:ilvl="2">
      <w:start w:val="0"/>
      <w:numFmt w:val="bullet"/>
      <w:lvlText w:val="•"/>
      <w:lvlJc w:val="left"/>
      <w:pPr>
        <w:ind w:left="2680" w:hanging="240"/>
      </w:pPr>
      <w:rPr>
        <w:rFonts w:hint="default"/>
        <w:lang w:val="es-ES" w:eastAsia="en-US" w:bidi="ar-SA"/>
      </w:rPr>
    </w:lvl>
    <w:lvl w:ilvl="3">
      <w:start w:val="0"/>
      <w:numFmt w:val="bullet"/>
      <w:lvlText w:val="•"/>
      <w:lvlJc w:val="left"/>
      <w:pPr>
        <w:ind w:left="3650" w:hanging="240"/>
      </w:pPr>
      <w:rPr>
        <w:rFonts w:hint="default"/>
        <w:lang w:val="es-ES" w:eastAsia="en-US" w:bidi="ar-SA"/>
      </w:rPr>
    </w:lvl>
    <w:lvl w:ilvl="4">
      <w:start w:val="0"/>
      <w:numFmt w:val="bullet"/>
      <w:lvlText w:val="•"/>
      <w:lvlJc w:val="left"/>
      <w:pPr>
        <w:ind w:left="4620" w:hanging="240"/>
      </w:pPr>
      <w:rPr>
        <w:rFonts w:hint="default"/>
        <w:lang w:val="es-ES" w:eastAsia="en-US" w:bidi="ar-SA"/>
      </w:rPr>
    </w:lvl>
    <w:lvl w:ilvl="5">
      <w:start w:val="0"/>
      <w:numFmt w:val="bullet"/>
      <w:lvlText w:val="•"/>
      <w:lvlJc w:val="left"/>
      <w:pPr>
        <w:ind w:left="5590" w:hanging="240"/>
      </w:pPr>
      <w:rPr>
        <w:rFonts w:hint="default"/>
        <w:lang w:val="es-ES" w:eastAsia="en-US" w:bidi="ar-SA"/>
      </w:rPr>
    </w:lvl>
    <w:lvl w:ilvl="6">
      <w:start w:val="0"/>
      <w:numFmt w:val="bullet"/>
      <w:lvlText w:val="•"/>
      <w:lvlJc w:val="left"/>
      <w:pPr>
        <w:ind w:left="6560" w:hanging="240"/>
      </w:pPr>
      <w:rPr>
        <w:rFonts w:hint="default"/>
        <w:lang w:val="es-ES" w:eastAsia="en-US" w:bidi="ar-SA"/>
      </w:rPr>
    </w:lvl>
    <w:lvl w:ilvl="7">
      <w:start w:val="0"/>
      <w:numFmt w:val="bullet"/>
      <w:lvlText w:val="•"/>
      <w:lvlJc w:val="left"/>
      <w:pPr>
        <w:ind w:left="7530" w:hanging="240"/>
      </w:pPr>
      <w:rPr>
        <w:rFonts w:hint="default"/>
        <w:lang w:val="es-ES" w:eastAsia="en-US" w:bidi="ar-SA"/>
      </w:rPr>
    </w:lvl>
    <w:lvl w:ilvl="8">
      <w:start w:val="0"/>
      <w:numFmt w:val="bullet"/>
      <w:lvlText w:val="•"/>
      <w:lvlJc w:val="left"/>
      <w:pPr>
        <w:ind w:left="8500" w:hanging="240"/>
      </w:pPr>
      <w:rPr>
        <w:rFonts w:hint="default"/>
        <w:lang w:val="es-ES" w:eastAsia="en-US" w:bidi="ar-SA"/>
      </w:rPr>
    </w:lvl>
  </w:abstractNum>
  <w:abstractNum w:abstractNumId="98">
    <w:multiLevelType w:val="hybridMultilevel"/>
    <w:lvl w:ilvl="0">
      <w:start w:val="0"/>
      <w:numFmt w:val="bullet"/>
      <w:lvlText w:val="-"/>
      <w:lvlJc w:val="left"/>
      <w:pPr>
        <w:ind w:left="823" w:hanging="360"/>
      </w:pPr>
      <w:rPr>
        <w:rFonts w:hint="default" w:ascii="Book Antiqua" w:hAnsi="Book Antiqua" w:eastAsia="Book Antiqua" w:cs="Book Antiqua"/>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97">
    <w:multiLevelType w:val="hybridMultilevel"/>
    <w:lvl w:ilvl="0">
      <w:start w:val="1"/>
      <w:numFmt w:val="lowerRoman"/>
      <w:lvlText w:val="%1)"/>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1450" w:hanging="360"/>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455" w:hanging="360"/>
      </w:pPr>
      <w:rPr>
        <w:rFonts w:hint="default"/>
        <w:lang w:val="es-ES" w:eastAsia="en-US" w:bidi="ar-SA"/>
      </w:rPr>
    </w:lvl>
    <w:lvl w:ilvl="4">
      <w:start w:val="0"/>
      <w:numFmt w:val="bullet"/>
      <w:lvlText w:val="•"/>
      <w:lvlJc w:val="left"/>
      <w:pPr>
        <w:ind w:left="4453" w:hanging="360"/>
      </w:pPr>
      <w:rPr>
        <w:rFonts w:hint="default"/>
        <w:lang w:val="es-ES" w:eastAsia="en-US" w:bidi="ar-SA"/>
      </w:rPr>
    </w:lvl>
    <w:lvl w:ilvl="5">
      <w:start w:val="0"/>
      <w:numFmt w:val="bullet"/>
      <w:lvlText w:val="•"/>
      <w:lvlJc w:val="left"/>
      <w:pPr>
        <w:ind w:left="5451" w:hanging="360"/>
      </w:pPr>
      <w:rPr>
        <w:rFonts w:hint="default"/>
        <w:lang w:val="es-ES" w:eastAsia="en-US" w:bidi="ar-SA"/>
      </w:rPr>
    </w:lvl>
    <w:lvl w:ilvl="6">
      <w:start w:val="0"/>
      <w:numFmt w:val="bullet"/>
      <w:lvlText w:val="•"/>
      <w:lvlJc w:val="left"/>
      <w:pPr>
        <w:ind w:left="6448" w:hanging="360"/>
      </w:pPr>
      <w:rPr>
        <w:rFonts w:hint="default"/>
        <w:lang w:val="es-ES" w:eastAsia="en-US" w:bidi="ar-SA"/>
      </w:rPr>
    </w:lvl>
    <w:lvl w:ilvl="7">
      <w:start w:val="0"/>
      <w:numFmt w:val="bullet"/>
      <w:lvlText w:val="•"/>
      <w:lvlJc w:val="left"/>
      <w:pPr>
        <w:ind w:left="7446" w:hanging="360"/>
      </w:pPr>
      <w:rPr>
        <w:rFonts w:hint="default"/>
        <w:lang w:val="es-ES" w:eastAsia="en-US" w:bidi="ar-SA"/>
      </w:rPr>
    </w:lvl>
    <w:lvl w:ilvl="8">
      <w:start w:val="0"/>
      <w:numFmt w:val="bullet"/>
      <w:lvlText w:val="•"/>
      <w:lvlJc w:val="left"/>
      <w:pPr>
        <w:ind w:left="8444" w:hanging="360"/>
      </w:pPr>
      <w:rPr>
        <w:rFonts w:hint="default"/>
        <w:lang w:val="es-ES" w:eastAsia="en-US" w:bidi="ar-SA"/>
      </w:rPr>
    </w:lvl>
  </w:abstractNum>
  <w:abstractNum w:abstractNumId="96">
    <w:multiLevelType w:val="hybridMultilevel"/>
    <w:lvl w:ilvl="0">
      <w:start w:val="0"/>
      <w:numFmt w:val="bullet"/>
      <w:lvlText w:val=""/>
      <w:lvlJc w:val="left"/>
      <w:pPr>
        <w:ind w:left="1450"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95">
    <w:multiLevelType w:val="hybridMultilevel"/>
    <w:lvl w:ilvl="0">
      <w:start w:val="8"/>
      <w:numFmt w:val="lowerLetter"/>
      <w:lvlText w:val="%1)"/>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decimal"/>
      <w:lvlText w:val="%2."/>
      <w:lvlJc w:val="left"/>
      <w:pPr>
        <w:ind w:left="2170" w:hanging="360"/>
        <w:jc w:val="right"/>
      </w:pPr>
      <w:rPr>
        <w:rFonts w:hint="default" w:ascii="Baskerville Old Face" w:hAnsi="Baskerville Old Face" w:eastAsia="Baskerville Old Face" w:cs="Baskerville Old Face"/>
        <w:b w:val="0"/>
        <w:bCs w:val="0"/>
        <w:i w:val="0"/>
        <w:iCs w:val="0"/>
        <w:spacing w:val="-1"/>
        <w:w w:val="87"/>
        <w:sz w:val="22"/>
        <w:szCs w:val="22"/>
        <w:lang w:val="es-ES" w:eastAsia="en-US" w:bidi="ar-SA"/>
      </w:rPr>
    </w:lvl>
    <w:lvl w:ilvl="2">
      <w:start w:val="0"/>
      <w:numFmt w:val="bullet"/>
      <w:lvlText w:val=""/>
      <w:lvlJc w:val="left"/>
      <w:pPr>
        <w:ind w:left="1450" w:hanging="360"/>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212" w:hanging="360"/>
      </w:pPr>
      <w:rPr>
        <w:rFonts w:hint="default"/>
        <w:lang w:val="es-ES" w:eastAsia="en-US" w:bidi="ar-SA"/>
      </w:rPr>
    </w:lvl>
    <w:lvl w:ilvl="4">
      <w:start w:val="0"/>
      <w:numFmt w:val="bullet"/>
      <w:lvlText w:val="•"/>
      <w:lvlJc w:val="left"/>
      <w:pPr>
        <w:ind w:left="4245" w:hanging="360"/>
      </w:pPr>
      <w:rPr>
        <w:rFonts w:hint="default"/>
        <w:lang w:val="es-ES" w:eastAsia="en-US" w:bidi="ar-SA"/>
      </w:rPr>
    </w:lvl>
    <w:lvl w:ilvl="5">
      <w:start w:val="0"/>
      <w:numFmt w:val="bullet"/>
      <w:lvlText w:val="•"/>
      <w:lvlJc w:val="left"/>
      <w:pPr>
        <w:ind w:left="5277" w:hanging="360"/>
      </w:pPr>
      <w:rPr>
        <w:rFonts w:hint="default"/>
        <w:lang w:val="es-ES" w:eastAsia="en-US" w:bidi="ar-SA"/>
      </w:rPr>
    </w:lvl>
    <w:lvl w:ilvl="6">
      <w:start w:val="0"/>
      <w:numFmt w:val="bullet"/>
      <w:lvlText w:val="•"/>
      <w:lvlJc w:val="left"/>
      <w:pPr>
        <w:ind w:left="6310" w:hanging="360"/>
      </w:pPr>
      <w:rPr>
        <w:rFonts w:hint="default"/>
        <w:lang w:val="es-ES" w:eastAsia="en-US" w:bidi="ar-SA"/>
      </w:rPr>
    </w:lvl>
    <w:lvl w:ilvl="7">
      <w:start w:val="0"/>
      <w:numFmt w:val="bullet"/>
      <w:lvlText w:val="•"/>
      <w:lvlJc w:val="left"/>
      <w:pPr>
        <w:ind w:left="7342" w:hanging="360"/>
      </w:pPr>
      <w:rPr>
        <w:rFonts w:hint="default"/>
        <w:lang w:val="es-ES" w:eastAsia="en-US" w:bidi="ar-SA"/>
      </w:rPr>
    </w:lvl>
    <w:lvl w:ilvl="8">
      <w:start w:val="0"/>
      <w:numFmt w:val="bullet"/>
      <w:lvlText w:val="•"/>
      <w:lvlJc w:val="left"/>
      <w:pPr>
        <w:ind w:left="8375" w:hanging="360"/>
      </w:pPr>
      <w:rPr>
        <w:rFonts w:hint="default"/>
        <w:lang w:val="es-ES" w:eastAsia="en-US" w:bidi="ar-SA"/>
      </w:rPr>
    </w:lvl>
  </w:abstractNum>
  <w:abstractNum w:abstractNumId="94">
    <w:multiLevelType w:val="hybridMultilevel"/>
    <w:lvl w:ilvl="0">
      <w:start w:val="0"/>
      <w:numFmt w:val="bullet"/>
      <w:lvlText w:val=""/>
      <w:lvlJc w:val="left"/>
      <w:pPr>
        <w:ind w:left="784"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01" w:hanging="360"/>
      </w:pPr>
      <w:rPr>
        <w:rFonts w:hint="default"/>
        <w:lang w:val="es-ES" w:eastAsia="en-US" w:bidi="ar-SA"/>
      </w:rPr>
    </w:lvl>
    <w:lvl w:ilvl="2">
      <w:start w:val="0"/>
      <w:numFmt w:val="bullet"/>
      <w:lvlText w:val="•"/>
      <w:lvlJc w:val="left"/>
      <w:pPr>
        <w:ind w:left="2421"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063" w:hanging="360"/>
      </w:pPr>
      <w:rPr>
        <w:rFonts w:hint="default"/>
        <w:lang w:val="es-ES" w:eastAsia="en-US" w:bidi="ar-SA"/>
      </w:rPr>
    </w:lvl>
    <w:lvl w:ilvl="5">
      <w:start w:val="0"/>
      <w:numFmt w:val="bullet"/>
      <w:lvlText w:val="•"/>
      <w:lvlJc w:val="left"/>
      <w:pPr>
        <w:ind w:left="4884" w:hanging="360"/>
      </w:pPr>
      <w:rPr>
        <w:rFonts w:hint="default"/>
        <w:lang w:val="es-ES" w:eastAsia="en-US" w:bidi="ar-SA"/>
      </w:rPr>
    </w:lvl>
    <w:lvl w:ilvl="6">
      <w:start w:val="0"/>
      <w:numFmt w:val="bullet"/>
      <w:lvlText w:val="•"/>
      <w:lvlJc w:val="left"/>
      <w:pPr>
        <w:ind w:left="5705" w:hanging="360"/>
      </w:pPr>
      <w:rPr>
        <w:rFonts w:hint="default"/>
        <w:lang w:val="es-ES" w:eastAsia="en-US" w:bidi="ar-SA"/>
      </w:rPr>
    </w:lvl>
    <w:lvl w:ilvl="7">
      <w:start w:val="0"/>
      <w:numFmt w:val="bullet"/>
      <w:lvlText w:val="•"/>
      <w:lvlJc w:val="left"/>
      <w:pPr>
        <w:ind w:left="6526" w:hanging="360"/>
      </w:pPr>
      <w:rPr>
        <w:rFonts w:hint="default"/>
        <w:lang w:val="es-ES" w:eastAsia="en-US" w:bidi="ar-SA"/>
      </w:rPr>
    </w:lvl>
    <w:lvl w:ilvl="8">
      <w:start w:val="0"/>
      <w:numFmt w:val="bullet"/>
      <w:lvlText w:val="•"/>
      <w:lvlJc w:val="left"/>
      <w:pPr>
        <w:ind w:left="7347" w:hanging="360"/>
      </w:pPr>
      <w:rPr>
        <w:rFonts w:hint="default"/>
        <w:lang w:val="es-ES" w:eastAsia="en-US" w:bidi="ar-SA"/>
      </w:rPr>
    </w:lvl>
  </w:abstractNum>
  <w:abstractNum w:abstractNumId="93">
    <w:multiLevelType w:val="hybridMultilevel"/>
    <w:lvl w:ilvl="0">
      <w:start w:val="0"/>
      <w:numFmt w:val="bullet"/>
      <w:lvlText w:val="o"/>
      <w:lvlJc w:val="left"/>
      <w:pPr>
        <w:ind w:left="235" w:hanging="171"/>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115" w:hanging="171"/>
      </w:pPr>
      <w:rPr>
        <w:rFonts w:hint="default"/>
        <w:lang w:val="es-ES" w:eastAsia="en-US" w:bidi="ar-SA"/>
      </w:rPr>
    </w:lvl>
    <w:lvl w:ilvl="2">
      <w:start w:val="0"/>
      <w:numFmt w:val="bullet"/>
      <w:lvlText w:val="•"/>
      <w:lvlJc w:val="left"/>
      <w:pPr>
        <w:ind w:left="1989" w:hanging="171"/>
      </w:pPr>
      <w:rPr>
        <w:rFonts w:hint="default"/>
        <w:lang w:val="es-ES" w:eastAsia="en-US" w:bidi="ar-SA"/>
      </w:rPr>
    </w:lvl>
    <w:lvl w:ilvl="3">
      <w:start w:val="0"/>
      <w:numFmt w:val="bullet"/>
      <w:lvlText w:val="•"/>
      <w:lvlJc w:val="left"/>
      <w:pPr>
        <w:ind w:left="2864" w:hanging="171"/>
      </w:pPr>
      <w:rPr>
        <w:rFonts w:hint="default"/>
        <w:lang w:val="es-ES" w:eastAsia="en-US" w:bidi="ar-SA"/>
      </w:rPr>
    </w:lvl>
    <w:lvl w:ilvl="4">
      <w:start w:val="0"/>
      <w:numFmt w:val="bullet"/>
      <w:lvlText w:val="•"/>
      <w:lvlJc w:val="left"/>
      <w:pPr>
        <w:ind w:left="3739" w:hanging="171"/>
      </w:pPr>
      <w:rPr>
        <w:rFonts w:hint="default"/>
        <w:lang w:val="es-ES" w:eastAsia="en-US" w:bidi="ar-SA"/>
      </w:rPr>
    </w:lvl>
    <w:lvl w:ilvl="5">
      <w:start w:val="0"/>
      <w:numFmt w:val="bullet"/>
      <w:lvlText w:val="•"/>
      <w:lvlJc w:val="left"/>
      <w:pPr>
        <w:ind w:left="4614" w:hanging="171"/>
      </w:pPr>
      <w:rPr>
        <w:rFonts w:hint="default"/>
        <w:lang w:val="es-ES" w:eastAsia="en-US" w:bidi="ar-SA"/>
      </w:rPr>
    </w:lvl>
    <w:lvl w:ilvl="6">
      <w:start w:val="0"/>
      <w:numFmt w:val="bullet"/>
      <w:lvlText w:val="•"/>
      <w:lvlJc w:val="left"/>
      <w:pPr>
        <w:ind w:left="5489" w:hanging="171"/>
      </w:pPr>
      <w:rPr>
        <w:rFonts w:hint="default"/>
        <w:lang w:val="es-ES" w:eastAsia="en-US" w:bidi="ar-SA"/>
      </w:rPr>
    </w:lvl>
    <w:lvl w:ilvl="7">
      <w:start w:val="0"/>
      <w:numFmt w:val="bullet"/>
      <w:lvlText w:val="•"/>
      <w:lvlJc w:val="left"/>
      <w:pPr>
        <w:ind w:left="6364" w:hanging="171"/>
      </w:pPr>
      <w:rPr>
        <w:rFonts w:hint="default"/>
        <w:lang w:val="es-ES" w:eastAsia="en-US" w:bidi="ar-SA"/>
      </w:rPr>
    </w:lvl>
    <w:lvl w:ilvl="8">
      <w:start w:val="0"/>
      <w:numFmt w:val="bullet"/>
      <w:lvlText w:val="•"/>
      <w:lvlJc w:val="left"/>
      <w:pPr>
        <w:ind w:left="7239" w:hanging="171"/>
      </w:pPr>
      <w:rPr>
        <w:rFonts w:hint="default"/>
        <w:lang w:val="es-ES" w:eastAsia="en-US" w:bidi="ar-SA"/>
      </w:rPr>
    </w:lvl>
  </w:abstractNum>
  <w:abstractNum w:abstractNumId="92">
    <w:multiLevelType w:val="hybridMultilevel"/>
    <w:lvl w:ilvl="0">
      <w:start w:val="0"/>
      <w:numFmt w:val="bullet"/>
      <w:lvlText w:val=""/>
      <w:lvlJc w:val="left"/>
      <w:pPr>
        <w:ind w:left="141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91">
    <w:multiLevelType w:val="hybridMultilevel"/>
    <w:lvl w:ilvl="0">
      <w:start w:val="0"/>
      <w:numFmt w:val="bullet"/>
      <w:lvlText w:val=""/>
      <w:lvlJc w:val="left"/>
      <w:pPr>
        <w:ind w:left="141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90">
    <w:multiLevelType w:val="hybridMultilevel"/>
    <w:lvl w:ilvl="0">
      <w:start w:val="0"/>
      <w:numFmt w:val="bullet"/>
      <w:lvlText w:val="•"/>
      <w:lvlJc w:val="left"/>
      <w:pPr>
        <w:ind w:left="893" w:hanging="202"/>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854" w:hanging="202"/>
      </w:pPr>
      <w:rPr>
        <w:rFonts w:hint="default"/>
        <w:lang w:val="es-ES" w:eastAsia="en-US" w:bidi="ar-SA"/>
      </w:rPr>
    </w:lvl>
    <w:lvl w:ilvl="2">
      <w:start w:val="0"/>
      <w:numFmt w:val="bullet"/>
      <w:lvlText w:val="•"/>
      <w:lvlJc w:val="left"/>
      <w:pPr>
        <w:ind w:left="2808" w:hanging="202"/>
      </w:pPr>
      <w:rPr>
        <w:rFonts w:hint="default"/>
        <w:lang w:val="es-ES" w:eastAsia="en-US" w:bidi="ar-SA"/>
      </w:rPr>
    </w:lvl>
    <w:lvl w:ilvl="3">
      <w:start w:val="0"/>
      <w:numFmt w:val="bullet"/>
      <w:lvlText w:val="•"/>
      <w:lvlJc w:val="left"/>
      <w:pPr>
        <w:ind w:left="3762" w:hanging="202"/>
      </w:pPr>
      <w:rPr>
        <w:rFonts w:hint="default"/>
        <w:lang w:val="es-ES" w:eastAsia="en-US" w:bidi="ar-SA"/>
      </w:rPr>
    </w:lvl>
    <w:lvl w:ilvl="4">
      <w:start w:val="0"/>
      <w:numFmt w:val="bullet"/>
      <w:lvlText w:val="•"/>
      <w:lvlJc w:val="left"/>
      <w:pPr>
        <w:ind w:left="4716" w:hanging="202"/>
      </w:pPr>
      <w:rPr>
        <w:rFonts w:hint="default"/>
        <w:lang w:val="es-ES" w:eastAsia="en-US" w:bidi="ar-SA"/>
      </w:rPr>
    </w:lvl>
    <w:lvl w:ilvl="5">
      <w:start w:val="0"/>
      <w:numFmt w:val="bullet"/>
      <w:lvlText w:val="•"/>
      <w:lvlJc w:val="left"/>
      <w:pPr>
        <w:ind w:left="5670" w:hanging="202"/>
      </w:pPr>
      <w:rPr>
        <w:rFonts w:hint="default"/>
        <w:lang w:val="es-ES" w:eastAsia="en-US" w:bidi="ar-SA"/>
      </w:rPr>
    </w:lvl>
    <w:lvl w:ilvl="6">
      <w:start w:val="0"/>
      <w:numFmt w:val="bullet"/>
      <w:lvlText w:val="•"/>
      <w:lvlJc w:val="left"/>
      <w:pPr>
        <w:ind w:left="6624" w:hanging="202"/>
      </w:pPr>
      <w:rPr>
        <w:rFonts w:hint="default"/>
        <w:lang w:val="es-ES" w:eastAsia="en-US" w:bidi="ar-SA"/>
      </w:rPr>
    </w:lvl>
    <w:lvl w:ilvl="7">
      <w:start w:val="0"/>
      <w:numFmt w:val="bullet"/>
      <w:lvlText w:val="•"/>
      <w:lvlJc w:val="left"/>
      <w:pPr>
        <w:ind w:left="7578" w:hanging="202"/>
      </w:pPr>
      <w:rPr>
        <w:rFonts w:hint="default"/>
        <w:lang w:val="es-ES" w:eastAsia="en-US" w:bidi="ar-SA"/>
      </w:rPr>
    </w:lvl>
    <w:lvl w:ilvl="8">
      <w:start w:val="0"/>
      <w:numFmt w:val="bullet"/>
      <w:lvlText w:val="•"/>
      <w:lvlJc w:val="left"/>
      <w:pPr>
        <w:ind w:left="8532" w:hanging="202"/>
      </w:pPr>
      <w:rPr>
        <w:rFonts w:hint="default"/>
        <w:lang w:val="es-ES" w:eastAsia="en-US" w:bidi="ar-SA"/>
      </w:rPr>
    </w:lvl>
  </w:abstractNum>
  <w:abstractNum w:abstractNumId="89">
    <w:multiLevelType w:val="hybridMultilevel"/>
    <w:lvl w:ilvl="0">
      <w:start w:val="0"/>
      <w:numFmt w:val="bullet"/>
      <w:lvlText w:val=""/>
      <w:lvlJc w:val="left"/>
      <w:pPr>
        <w:ind w:left="1411"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88">
    <w:multiLevelType w:val="hybridMultilevel"/>
    <w:lvl w:ilvl="0">
      <w:start w:val="0"/>
      <w:numFmt w:val="bullet"/>
      <w:lvlText w:val=""/>
      <w:lvlJc w:val="left"/>
      <w:pPr>
        <w:ind w:left="1411"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87">
    <w:multiLevelType w:val="hybridMultilevel"/>
    <w:lvl w:ilvl="0">
      <w:start w:val="1"/>
      <w:numFmt w:val="upperLetter"/>
      <w:lvlText w:val="%1)"/>
      <w:lvlJc w:val="left"/>
      <w:pPr>
        <w:ind w:left="965" w:hanging="274"/>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1"/>
      <w:numFmt w:val="decimal"/>
      <w:lvlText w:val="%2."/>
      <w:lvlJc w:val="left"/>
      <w:pPr>
        <w:ind w:left="854" w:hanging="163"/>
        <w:jc w:val="left"/>
      </w:pPr>
      <w:rPr>
        <w:rFonts w:hint="default"/>
        <w:spacing w:val="-1"/>
        <w:w w:val="87"/>
        <w:lang w:val="es-ES" w:eastAsia="en-US" w:bidi="ar-SA"/>
      </w:rPr>
    </w:lvl>
    <w:lvl w:ilvl="2">
      <w:start w:val="0"/>
      <w:numFmt w:val="bullet"/>
      <w:lvlText w:val="•"/>
      <w:lvlJc w:val="left"/>
      <w:pPr>
        <w:ind w:left="1399" w:hanging="163"/>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3">
      <w:start w:val="0"/>
      <w:numFmt w:val="bullet"/>
      <w:lvlText w:val="•"/>
      <w:lvlJc w:val="left"/>
      <w:pPr>
        <w:ind w:left="1400" w:hanging="163"/>
      </w:pPr>
      <w:rPr>
        <w:rFonts w:hint="default"/>
        <w:lang w:val="es-ES" w:eastAsia="en-US" w:bidi="ar-SA"/>
      </w:rPr>
    </w:lvl>
    <w:lvl w:ilvl="4">
      <w:start w:val="0"/>
      <w:numFmt w:val="bullet"/>
      <w:lvlText w:val="•"/>
      <w:lvlJc w:val="left"/>
      <w:pPr>
        <w:ind w:left="1420" w:hanging="163"/>
      </w:pPr>
      <w:rPr>
        <w:rFonts w:hint="default"/>
        <w:lang w:val="es-ES" w:eastAsia="en-US" w:bidi="ar-SA"/>
      </w:rPr>
    </w:lvl>
    <w:lvl w:ilvl="5">
      <w:start w:val="0"/>
      <w:numFmt w:val="bullet"/>
      <w:lvlText w:val="•"/>
      <w:lvlJc w:val="left"/>
      <w:pPr>
        <w:ind w:left="2923" w:hanging="163"/>
      </w:pPr>
      <w:rPr>
        <w:rFonts w:hint="default"/>
        <w:lang w:val="es-ES" w:eastAsia="en-US" w:bidi="ar-SA"/>
      </w:rPr>
    </w:lvl>
    <w:lvl w:ilvl="6">
      <w:start w:val="0"/>
      <w:numFmt w:val="bullet"/>
      <w:lvlText w:val="•"/>
      <w:lvlJc w:val="left"/>
      <w:pPr>
        <w:ind w:left="4426" w:hanging="163"/>
      </w:pPr>
      <w:rPr>
        <w:rFonts w:hint="default"/>
        <w:lang w:val="es-ES" w:eastAsia="en-US" w:bidi="ar-SA"/>
      </w:rPr>
    </w:lvl>
    <w:lvl w:ilvl="7">
      <w:start w:val="0"/>
      <w:numFmt w:val="bullet"/>
      <w:lvlText w:val="•"/>
      <w:lvlJc w:val="left"/>
      <w:pPr>
        <w:ind w:left="5930" w:hanging="163"/>
      </w:pPr>
      <w:rPr>
        <w:rFonts w:hint="default"/>
        <w:lang w:val="es-ES" w:eastAsia="en-US" w:bidi="ar-SA"/>
      </w:rPr>
    </w:lvl>
    <w:lvl w:ilvl="8">
      <w:start w:val="0"/>
      <w:numFmt w:val="bullet"/>
      <w:lvlText w:val="•"/>
      <w:lvlJc w:val="left"/>
      <w:pPr>
        <w:ind w:left="7433" w:hanging="163"/>
      </w:pPr>
      <w:rPr>
        <w:rFonts w:hint="default"/>
        <w:lang w:val="es-ES" w:eastAsia="en-US" w:bidi="ar-SA"/>
      </w:rPr>
    </w:lvl>
  </w:abstractNum>
  <w:abstractNum w:abstractNumId="86">
    <w:multiLevelType w:val="hybridMultilevel"/>
    <w:lvl w:ilvl="0">
      <w:start w:val="10"/>
      <w:numFmt w:val="lowerLetter"/>
      <w:lvlText w:val="%1)"/>
      <w:lvlJc w:val="left"/>
      <w:pPr>
        <w:ind w:left="1450" w:hanging="360"/>
        <w:jc w:val="left"/>
      </w:pPr>
      <w:rPr>
        <w:rFonts w:hint="default" w:ascii="Baskerville Old Face" w:hAnsi="Baskerville Old Face" w:eastAsia="Baskerville Old Face" w:cs="Baskerville Old Face"/>
        <w:b w:val="0"/>
        <w:bCs w:val="0"/>
        <w:i w:val="0"/>
        <w:iCs w:val="0"/>
        <w:spacing w:val="-2"/>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85">
    <w:multiLevelType w:val="hybridMultilevel"/>
    <w:lvl w:ilvl="0">
      <w:start w:val="6"/>
      <w:numFmt w:val="lowerLetter"/>
      <w:lvlText w:val="%1)"/>
      <w:lvlJc w:val="left"/>
      <w:pPr>
        <w:ind w:left="827" w:hanging="360"/>
        <w:jc w:val="left"/>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547"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367" w:hanging="360"/>
      </w:pPr>
      <w:rPr>
        <w:rFonts w:hint="default"/>
        <w:lang w:val="es-ES" w:eastAsia="en-US" w:bidi="ar-SA"/>
      </w:rPr>
    </w:lvl>
    <w:lvl w:ilvl="4">
      <w:start w:val="0"/>
      <w:numFmt w:val="bullet"/>
      <w:lvlText w:val="•"/>
      <w:lvlJc w:val="left"/>
      <w:pPr>
        <w:ind w:left="4280" w:hanging="360"/>
      </w:pPr>
      <w:rPr>
        <w:rFonts w:hint="default"/>
        <w:lang w:val="es-ES" w:eastAsia="en-US" w:bidi="ar-SA"/>
      </w:rPr>
    </w:lvl>
    <w:lvl w:ilvl="5">
      <w:start w:val="0"/>
      <w:numFmt w:val="bullet"/>
      <w:lvlText w:val="•"/>
      <w:lvlJc w:val="left"/>
      <w:pPr>
        <w:ind w:left="5194" w:hanging="360"/>
      </w:pPr>
      <w:rPr>
        <w:rFonts w:hint="default"/>
        <w:lang w:val="es-ES" w:eastAsia="en-US" w:bidi="ar-SA"/>
      </w:rPr>
    </w:lvl>
    <w:lvl w:ilvl="6">
      <w:start w:val="0"/>
      <w:numFmt w:val="bullet"/>
      <w:lvlText w:val="•"/>
      <w:lvlJc w:val="left"/>
      <w:pPr>
        <w:ind w:left="6107" w:hanging="360"/>
      </w:pPr>
      <w:rPr>
        <w:rFonts w:hint="default"/>
        <w:lang w:val="es-ES" w:eastAsia="en-US" w:bidi="ar-SA"/>
      </w:rPr>
    </w:lvl>
    <w:lvl w:ilvl="7">
      <w:start w:val="0"/>
      <w:numFmt w:val="bullet"/>
      <w:lvlText w:val="•"/>
      <w:lvlJc w:val="left"/>
      <w:pPr>
        <w:ind w:left="7021" w:hanging="360"/>
      </w:pPr>
      <w:rPr>
        <w:rFonts w:hint="default"/>
        <w:lang w:val="es-ES" w:eastAsia="en-US" w:bidi="ar-SA"/>
      </w:rPr>
    </w:lvl>
    <w:lvl w:ilvl="8">
      <w:start w:val="0"/>
      <w:numFmt w:val="bullet"/>
      <w:lvlText w:val="•"/>
      <w:lvlJc w:val="left"/>
      <w:pPr>
        <w:ind w:left="7934" w:hanging="360"/>
      </w:pPr>
      <w:rPr>
        <w:rFonts w:hint="default"/>
        <w:lang w:val="es-ES" w:eastAsia="en-US" w:bidi="ar-SA"/>
      </w:rPr>
    </w:lvl>
  </w:abstractNum>
  <w:abstractNum w:abstractNumId="84">
    <w:multiLevelType w:val="hybridMultilevel"/>
    <w:lvl w:ilvl="0">
      <w:start w:val="1"/>
      <w:numFmt w:val="lowerLetter"/>
      <w:lvlText w:val="(%1)"/>
      <w:lvlJc w:val="left"/>
      <w:pPr>
        <w:ind w:left="691" w:hanging="279"/>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145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2457" w:hanging="360"/>
      </w:pPr>
      <w:rPr>
        <w:rFonts w:hint="default"/>
        <w:lang w:val="es-ES" w:eastAsia="en-US" w:bidi="ar-SA"/>
      </w:rPr>
    </w:lvl>
    <w:lvl w:ilvl="3">
      <w:start w:val="0"/>
      <w:numFmt w:val="bullet"/>
      <w:lvlText w:val="•"/>
      <w:lvlJc w:val="left"/>
      <w:pPr>
        <w:ind w:left="3455" w:hanging="360"/>
      </w:pPr>
      <w:rPr>
        <w:rFonts w:hint="default"/>
        <w:lang w:val="es-ES" w:eastAsia="en-US" w:bidi="ar-SA"/>
      </w:rPr>
    </w:lvl>
    <w:lvl w:ilvl="4">
      <w:start w:val="0"/>
      <w:numFmt w:val="bullet"/>
      <w:lvlText w:val="•"/>
      <w:lvlJc w:val="left"/>
      <w:pPr>
        <w:ind w:left="4453" w:hanging="360"/>
      </w:pPr>
      <w:rPr>
        <w:rFonts w:hint="default"/>
        <w:lang w:val="es-ES" w:eastAsia="en-US" w:bidi="ar-SA"/>
      </w:rPr>
    </w:lvl>
    <w:lvl w:ilvl="5">
      <w:start w:val="0"/>
      <w:numFmt w:val="bullet"/>
      <w:lvlText w:val="•"/>
      <w:lvlJc w:val="left"/>
      <w:pPr>
        <w:ind w:left="5451" w:hanging="360"/>
      </w:pPr>
      <w:rPr>
        <w:rFonts w:hint="default"/>
        <w:lang w:val="es-ES" w:eastAsia="en-US" w:bidi="ar-SA"/>
      </w:rPr>
    </w:lvl>
    <w:lvl w:ilvl="6">
      <w:start w:val="0"/>
      <w:numFmt w:val="bullet"/>
      <w:lvlText w:val="•"/>
      <w:lvlJc w:val="left"/>
      <w:pPr>
        <w:ind w:left="6448" w:hanging="360"/>
      </w:pPr>
      <w:rPr>
        <w:rFonts w:hint="default"/>
        <w:lang w:val="es-ES" w:eastAsia="en-US" w:bidi="ar-SA"/>
      </w:rPr>
    </w:lvl>
    <w:lvl w:ilvl="7">
      <w:start w:val="0"/>
      <w:numFmt w:val="bullet"/>
      <w:lvlText w:val="•"/>
      <w:lvlJc w:val="left"/>
      <w:pPr>
        <w:ind w:left="7446" w:hanging="360"/>
      </w:pPr>
      <w:rPr>
        <w:rFonts w:hint="default"/>
        <w:lang w:val="es-ES" w:eastAsia="en-US" w:bidi="ar-SA"/>
      </w:rPr>
    </w:lvl>
    <w:lvl w:ilvl="8">
      <w:start w:val="0"/>
      <w:numFmt w:val="bullet"/>
      <w:lvlText w:val="•"/>
      <w:lvlJc w:val="left"/>
      <w:pPr>
        <w:ind w:left="8444" w:hanging="360"/>
      </w:pPr>
      <w:rPr>
        <w:rFonts w:hint="default"/>
        <w:lang w:val="es-ES" w:eastAsia="en-US" w:bidi="ar-SA"/>
      </w:rPr>
    </w:lvl>
  </w:abstractNum>
  <w:abstractNum w:abstractNumId="83">
    <w:multiLevelType w:val="hybridMultilevel"/>
    <w:lvl w:ilvl="0">
      <w:start w:val="4"/>
      <w:numFmt w:val="lowerLetter"/>
      <w:lvlText w:val="(%1)"/>
      <w:lvlJc w:val="left"/>
      <w:pPr>
        <w:ind w:left="991" w:hanging="301"/>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944" w:hanging="301"/>
      </w:pPr>
      <w:rPr>
        <w:rFonts w:hint="default"/>
        <w:lang w:val="es-ES" w:eastAsia="en-US" w:bidi="ar-SA"/>
      </w:rPr>
    </w:lvl>
    <w:lvl w:ilvl="2">
      <w:start w:val="0"/>
      <w:numFmt w:val="bullet"/>
      <w:lvlText w:val="•"/>
      <w:lvlJc w:val="left"/>
      <w:pPr>
        <w:ind w:left="2888" w:hanging="301"/>
      </w:pPr>
      <w:rPr>
        <w:rFonts w:hint="default"/>
        <w:lang w:val="es-ES" w:eastAsia="en-US" w:bidi="ar-SA"/>
      </w:rPr>
    </w:lvl>
    <w:lvl w:ilvl="3">
      <w:start w:val="0"/>
      <w:numFmt w:val="bullet"/>
      <w:lvlText w:val="•"/>
      <w:lvlJc w:val="left"/>
      <w:pPr>
        <w:ind w:left="3832" w:hanging="301"/>
      </w:pPr>
      <w:rPr>
        <w:rFonts w:hint="default"/>
        <w:lang w:val="es-ES" w:eastAsia="en-US" w:bidi="ar-SA"/>
      </w:rPr>
    </w:lvl>
    <w:lvl w:ilvl="4">
      <w:start w:val="0"/>
      <w:numFmt w:val="bullet"/>
      <w:lvlText w:val="•"/>
      <w:lvlJc w:val="left"/>
      <w:pPr>
        <w:ind w:left="4776" w:hanging="301"/>
      </w:pPr>
      <w:rPr>
        <w:rFonts w:hint="default"/>
        <w:lang w:val="es-ES" w:eastAsia="en-US" w:bidi="ar-SA"/>
      </w:rPr>
    </w:lvl>
    <w:lvl w:ilvl="5">
      <w:start w:val="0"/>
      <w:numFmt w:val="bullet"/>
      <w:lvlText w:val="•"/>
      <w:lvlJc w:val="left"/>
      <w:pPr>
        <w:ind w:left="5720" w:hanging="301"/>
      </w:pPr>
      <w:rPr>
        <w:rFonts w:hint="default"/>
        <w:lang w:val="es-ES" w:eastAsia="en-US" w:bidi="ar-SA"/>
      </w:rPr>
    </w:lvl>
    <w:lvl w:ilvl="6">
      <w:start w:val="0"/>
      <w:numFmt w:val="bullet"/>
      <w:lvlText w:val="•"/>
      <w:lvlJc w:val="left"/>
      <w:pPr>
        <w:ind w:left="6664" w:hanging="301"/>
      </w:pPr>
      <w:rPr>
        <w:rFonts w:hint="default"/>
        <w:lang w:val="es-ES" w:eastAsia="en-US" w:bidi="ar-SA"/>
      </w:rPr>
    </w:lvl>
    <w:lvl w:ilvl="7">
      <w:start w:val="0"/>
      <w:numFmt w:val="bullet"/>
      <w:lvlText w:val="•"/>
      <w:lvlJc w:val="left"/>
      <w:pPr>
        <w:ind w:left="7608" w:hanging="301"/>
      </w:pPr>
      <w:rPr>
        <w:rFonts w:hint="default"/>
        <w:lang w:val="es-ES" w:eastAsia="en-US" w:bidi="ar-SA"/>
      </w:rPr>
    </w:lvl>
    <w:lvl w:ilvl="8">
      <w:start w:val="0"/>
      <w:numFmt w:val="bullet"/>
      <w:lvlText w:val="•"/>
      <w:lvlJc w:val="left"/>
      <w:pPr>
        <w:ind w:left="8552" w:hanging="301"/>
      </w:pPr>
      <w:rPr>
        <w:rFonts w:hint="default"/>
        <w:lang w:val="es-ES" w:eastAsia="en-US" w:bidi="ar-SA"/>
      </w:rPr>
    </w:lvl>
  </w:abstractNum>
  <w:abstractNum w:abstractNumId="82">
    <w:multiLevelType w:val="hybridMultilevel"/>
    <w:lvl w:ilvl="0">
      <w:start w:val="1"/>
      <w:numFmt w:val="lowerLetter"/>
      <w:lvlText w:val="(%1)"/>
      <w:lvlJc w:val="left"/>
      <w:pPr>
        <w:ind w:left="691" w:hanging="279"/>
        <w:jc w:val="left"/>
      </w:pPr>
      <w:rPr>
        <w:rFonts w:hint="default" w:ascii="Baskerville Old Face" w:hAnsi="Baskerville Old Face" w:eastAsia="Baskerville Old Face" w:cs="Baskerville Old Face"/>
        <w:b w:val="0"/>
        <w:bCs w:val="0"/>
        <w:i w:val="0"/>
        <w:iCs w:val="0"/>
        <w:spacing w:val="-1"/>
        <w:w w:val="92"/>
        <w:sz w:val="22"/>
        <w:szCs w:val="22"/>
        <w:lang w:val="es-ES" w:eastAsia="en-US" w:bidi="ar-SA"/>
      </w:rPr>
    </w:lvl>
    <w:lvl w:ilvl="1">
      <w:start w:val="0"/>
      <w:numFmt w:val="bullet"/>
      <w:lvlText w:val="•"/>
      <w:lvlJc w:val="left"/>
      <w:pPr>
        <w:ind w:left="1674" w:hanging="279"/>
      </w:pPr>
      <w:rPr>
        <w:rFonts w:hint="default"/>
        <w:lang w:val="es-ES" w:eastAsia="en-US" w:bidi="ar-SA"/>
      </w:rPr>
    </w:lvl>
    <w:lvl w:ilvl="2">
      <w:start w:val="0"/>
      <w:numFmt w:val="bullet"/>
      <w:lvlText w:val="•"/>
      <w:lvlJc w:val="left"/>
      <w:pPr>
        <w:ind w:left="2648" w:hanging="279"/>
      </w:pPr>
      <w:rPr>
        <w:rFonts w:hint="default"/>
        <w:lang w:val="es-ES" w:eastAsia="en-US" w:bidi="ar-SA"/>
      </w:rPr>
    </w:lvl>
    <w:lvl w:ilvl="3">
      <w:start w:val="0"/>
      <w:numFmt w:val="bullet"/>
      <w:lvlText w:val="•"/>
      <w:lvlJc w:val="left"/>
      <w:pPr>
        <w:ind w:left="3622" w:hanging="279"/>
      </w:pPr>
      <w:rPr>
        <w:rFonts w:hint="default"/>
        <w:lang w:val="es-ES" w:eastAsia="en-US" w:bidi="ar-SA"/>
      </w:rPr>
    </w:lvl>
    <w:lvl w:ilvl="4">
      <w:start w:val="0"/>
      <w:numFmt w:val="bullet"/>
      <w:lvlText w:val="•"/>
      <w:lvlJc w:val="left"/>
      <w:pPr>
        <w:ind w:left="4596" w:hanging="279"/>
      </w:pPr>
      <w:rPr>
        <w:rFonts w:hint="default"/>
        <w:lang w:val="es-ES" w:eastAsia="en-US" w:bidi="ar-SA"/>
      </w:rPr>
    </w:lvl>
    <w:lvl w:ilvl="5">
      <w:start w:val="0"/>
      <w:numFmt w:val="bullet"/>
      <w:lvlText w:val="•"/>
      <w:lvlJc w:val="left"/>
      <w:pPr>
        <w:ind w:left="5570" w:hanging="279"/>
      </w:pPr>
      <w:rPr>
        <w:rFonts w:hint="default"/>
        <w:lang w:val="es-ES" w:eastAsia="en-US" w:bidi="ar-SA"/>
      </w:rPr>
    </w:lvl>
    <w:lvl w:ilvl="6">
      <w:start w:val="0"/>
      <w:numFmt w:val="bullet"/>
      <w:lvlText w:val="•"/>
      <w:lvlJc w:val="left"/>
      <w:pPr>
        <w:ind w:left="6544" w:hanging="279"/>
      </w:pPr>
      <w:rPr>
        <w:rFonts w:hint="default"/>
        <w:lang w:val="es-ES" w:eastAsia="en-US" w:bidi="ar-SA"/>
      </w:rPr>
    </w:lvl>
    <w:lvl w:ilvl="7">
      <w:start w:val="0"/>
      <w:numFmt w:val="bullet"/>
      <w:lvlText w:val="•"/>
      <w:lvlJc w:val="left"/>
      <w:pPr>
        <w:ind w:left="7518" w:hanging="279"/>
      </w:pPr>
      <w:rPr>
        <w:rFonts w:hint="default"/>
        <w:lang w:val="es-ES" w:eastAsia="en-US" w:bidi="ar-SA"/>
      </w:rPr>
    </w:lvl>
    <w:lvl w:ilvl="8">
      <w:start w:val="0"/>
      <w:numFmt w:val="bullet"/>
      <w:lvlText w:val="•"/>
      <w:lvlJc w:val="left"/>
      <w:pPr>
        <w:ind w:left="8492" w:hanging="279"/>
      </w:pPr>
      <w:rPr>
        <w:rFonts w:hint="default"/>
        <w:lang w:val="es-ES" w:eastAsia="en-US" w:bidi="ar-SA"/>
      </w:rPr>
    </w:lvl>
  </w:abstractNum>
  <w:abstractNum w:abstractNumId="81">
    <w:multiLevelType w:val="hybridMultilevel"/>
    <w:lvl w:ilvl="0">
      <w:start w:val="1"/>
      <w:numFmt w:val="decimal"/>
      <w:lvlText w:val="%1."/>
      <w:lvlJc w:val="left"/>
      <w:pPr>
        <w:ind w:left="892" w:hanging="163"/>
        <w:jc w:val="left"/>
      </w:pPr>
      <w:rPr>
        <w:rFonts w:hint="default"/>
        <w:spacing w:val="-1"/>
        <w:w w:val="87"/>
        <w:lang w:val="es-ES" w:eastAsia="en-US" w:bidi="ar-SA"/>
      </w:rPr>
    </w:lvl>
    <w:lvl w:ilvl="1">
      <w:start w:val="1"/>
      <w:numFmt w:val="lowerLetter"/>
      <w:lvlText w:val="%2)"/>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1340" w:hanging="360"/>
      </w:pPr>
      <w:rPr>
        <w:rFonts w:hint="default"/>
        <w:lang w:val="es-ES" w:eastAsia="en-US" w:bidi="ar-SA"/>
      </w:rPr>
    </w:lvl>
    <w:lvl w:ilvl="3">
      <w:start w:val="0"/>
      <w:numFmt w:val="bullet"/>
      <w:lvlText w:val="•"/>
      <w:lvlJc w:val="left"/>
      <w:pPr>
        <w:ind w:left="2477" w:hanging="360"/>
      </w:pPr>
      <w:rPr>
        <w:rFonts w:hint="default"/>
        <w:lang w:val="es-ES" w:eastAsia="en-US" w:bidi="ar-SA"/>
      </w:rPr>
    </w:lvl>
    <w:lvl w:ilvl="4">
      <w:start w:val="0"/>
      <w:numFmt w:val="bullet"/>
      <w:lvlText w:val="•"/>
      <w:lvlJc w:val="left"/>
      <w:pPr>
        <w:ind w:left="3615" w:hanging="360"/>
      </w:pPr>
      <w:rPr>
        <w:rFonts w:hint="default"/>
        <w:lang w:val="es-ES" w:eastAsia="en-US" w:bidi="ar-SA"/>
      </w:rPr>
    </w:lvl>
    <w:lvl w:ilvl="5">
      <w:start w:val="0"/>
      <w:numFmt w:val="bullet"/>
      <w:lvlText w:val="•"/>
      <w:lvlJc w:val="left"/>
      <w:pPr>
        <w:ind w:left="4752" w:hanging="360"/>
      </w:pPr>
      <w:rPr>
        <w:rFonts w:hint="default"/>
        <w:lang w:val="es-ES" w:eastAsia="en-US" w:bidi="ar-SA"/>
      </w:rPr>
    </w:lvl>
    <w:lvl w:ilvl="6">
      <w:start w:val="0"/>
      <w:numFmt w:val="bullet"/>
      <w:lvlText w:val="•"/>
      <w:lvlJc w:val="left"/>
      <w:pPr>
        <w:ind w:left="5890" w:hanging="360"/>
      </w:pPr>
      <w:rPr>
        <w:rFonts w:hint="default"/>
        <w:lang w:val="es-ES" w:eastAsia="en-US" w:bidi="ar-SA"/>
      </w:rPr>
    </w:lvl>
    <w:lvl w:ilvl="7">
      <w:start w:val="0"/>
      <w:numFmt w:val="bullet"/>
      <w:lvlText w:val="•"/>
      <w:lvlJc w:val="left"/>
      <w:pPr>
        <w:ind w:left="7027" w:hanging="360"/>
      </w:pPr>
      <w:rPr>
        <w:rFonts w:hint="default"/>
        <w:lang w:val="es-ES" w:eastAsia="en-US" w:bidi="ar-SA"/>
      </w:rPr>
    </w:lvl>
    <w:lvl w:ilvl="8">
      <w:start w:val="0"/>
      <w:numFmt w:val="bullet"/>
      <w:lvlText w:val="•"/>
      <w:lvlJc w:val="left"/>
      <w:pPr>
        <w:ind w:left="8165" w:hanging="360"/>
      </w:pPr>
      <w:rPr>
        <w:rFonts w:hint="default"/>
        <w:lang w:val="es-ES" w:eastAsia="en-US" w:bidi="ar-SA"/>
      </w:rPr>
    </w:lvl>
  </w:abstractNum>
  <w:abstractNum w:abstractNumId="80">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79">
    <w:multiLevelType w:val="hybridMultilevel"/>
    <w:lvl w:ilvl="0">
      <w:start w:val="9"/>
      <w:numFmt w:val="lowerLetter"/>
      <w:lvlText w:val="%1)"/>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78">
    <w:multiLevelType w:val="hybridMultilevel"/>
    <w:lvl w:ilvl="0">
      <w:start w:val="0"/>
      <w:numFmt w:val="bullet"/>
      <w:lvlText w:val="•"/>
      <w:lvlJc w:val="left"/>
      <w:pPr>
        <w:ind w:left="1438" w:hanging="708"/>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2340" w:hanging="708"/>
      </w:pPr>
      <w:rPr>
        <w:rFonts w:hint="default"/>
        <w:lang w:val="es-ES" w:eastAsia="en-US" w:bidi="ar-SA"/>
      </w:rPr>
    </w:lvl>
    <w:lvl w:ilvl="2">
      <w:start w:val="0"/>
      <w:numFmt w:val="bullet"/>
      <w:lvlText w:val="•"/>
      <w:lvlJc w:val="left"/>
      <w:pPr>
        <w:ind w:left="3240" w:hanging="708"/>
      </w:pPr>
      <w:rPr>
        <w:rFonts w:hint="default"/>
        <w:lang w:val="es-ES" w:eastAsia="en-US" w:bidi="ar-SA"/>
      </w:rPr>
    </w:lvl>
    <w:lvl w:ilvl="3">
      <w:start w:val="0"/>
      <w:numFmt w:val="bullet"/>
      <w:lvlText w:val="•"/>
      <w:lvlJc w:val="left"/>
      <w:pPr>
        <w:ind w:left="4140" w:hanging="708"/>
      </w:pPr>
      <w:rPr>
        <w:rFonts w:hint="default"/>
        <w:lang w:val="es-ES" w:eastAsia="en-US" w:bidi="ar-SA"/>
      </w:rPr>
    </w:lvl>
    <w:lvl w:ilvl="4">
      <w:start w:val="0"/>
      <w:numFmt w:val="bullet"/>
      <w:lvlText w:val="•"/>
      <w:lvlJc w:val="left"/>
      <w:pPr>
        <w:ind w:left="5040" w:hanging="708"/>
      </w:pPr>
      <w:rPr>
        <w:rFonts w:hint="default"/>
        <w:lang w:val="es-ES" w:eastAsia="en-US" w:bidi="ar-SA"/>
      </w:rPr>
    </w:lvl>
    <w:lvl w:ilvl="5">
      <w:start w:val="0"/>
      <w:numFmt w:val="bullet"/>
      <w:lvlText w:val="•"/>
      <w:lvlJc w:val="left"/>
      <w:pPr>
        <w:ind w:left="5940" w:hanging="708"/>
      </w:pPr>
      <w:rPr>
        <w:rFonts w:hint="default"/>
        <w:lang w:val="es-ES" w:eastAsia="en-US" w:bidi="ar-SA"/>
      </w:rPr>
    </w:lvl>
    <w:lvl w:ilvl="6">
      <w:start w:val="0"/>
      <w:numFmt w:val="bullet"/>
      <w:lvlText w:val="•"/>
      <w:lvlJc w:val="left"/>
      <w:pPr>
        <w:ind w:left="6840" w:hanging="708"/>
      </w:pPr>
      <w:rPr>
        <w:rFonts w:hint="default"/>
        <w:lang w:val="es-ES" w:eastAsia="en-US" w:bidi="ar-SA"/>
      </w:rPr>
    </w:lvl>
    <w:lvl w:ilvl="7">
      <w:start w:val="0"/>
      <w:numFmt w:val="bullet"/>
      <w:lvlText w:val="•"/>
      <w:lvlJc w:val="left"/>
      <w:pPr>
        <w:ind w:left="7740" w:hanging="708"/>
      </w:pPr>
      <w:rPr>
        <w:rFonts w:hint="default"/>
        <w:lang w:val="es-ES" w:eastAsia="en-US" w:bidi="ar-SA"/>
      </w:rPr>
    </w:lvl>
    <w:lvl w:ilvl="8">
      <w:start w:val="0"/>
      <w:numFmt w:val="bullet"/>
      <w:lvlText w:val="•"/>
      <w:lvlJc w:val="left"/>
      <w:pPr>
        <w:ind w:left="8640" w:hanging="708"/>
      </w:pPr>
      <w:rPr>
        <w:rFonts w:hint="default"/>
        <w:lang w:val="es-ES" w:eastAsia="en-US" w:bidi="ar-SA"/>
      </w:rPr>
    </w:lvl>
  </w:abstractNum>
  <w:abstractNum w:abstractNumId="77">
    <w:multiLevelType w:val="hybridMultilevel"/>
    <w:lvl w:ilvl="0">
      <w:start w:val="1"/>
      <w:numFmt w:val="lowerLetter"/>
      <w:lvlText w:val="%1)"/>
      <w:lvlJc w:val="left"/>
      <w:pPr>
        <w:ind w:left="823"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76">
    <w:multiLevelType w:val="hybridMultilevel"/>
    <w:lvl w:ilvl="0">
      <w:start w:val="7"/>
      <w:numFmt w:val="lowerLetter"/>
      <w:lvlText w:val="%1)"/>
      <w:lvlJc w:val="left"/>
      <w:pPr>
        <w:ind w:left="823" w:hanging="360"/>
        <w:jc w:val="left"/>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75">
    <w:multiLevelType w:val="hybridMultilevel"/>
    <w:lvl w:ilvl="0">
      <w:start w:val="1"/>
      <w:numFmt w:val="lowerLetter"/>
      <w:lvlText w:val="%1)"/>
      <w:lvlJc w:val="left"/>
      <w:pPr>
        <w:ind w:left="823"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74">
    <w:multiLevelType w:val="hybridMultilevel"/>
    <w:lvl w:ilvl="0">
      <w:start w:val="1"/>
      <w:numFmt w:val="lowerLetter"/>
      <w:lvlText w:val="(%1)"/>
      <w:lvlJc w:val="left"/>
      <w:pPr>
        <w:ind w:left="103" w:hanging="281"/>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989" w:hanging="281"/>
      </w:pPr>
      <w:rPr>
        <w:rFonts w:hint="default"/>
        <w:lang w:val="es-ES" w:eastAsia="en-US" w:bidi="ar-SA"/>
      </w:rPr>
    </w:lvl>
    <w:lvl w:ilvl="2">
      <w:start w:val="0"/>
      <w:numFmt w:val="bullet"/>
      <w:lvlText w:val="•"/>
      <w:lvlJc w:val="left"/>
      <w:pPr>
        <w:ind w:left="1877" w:hanging="281"/>
      </w:pPr>
      <w:rPr>
        <w:rFonts w:hint="default"/>
        <w:lang w:val="es-ES" w:eastAsia="en-US" w:bidi="ar-SA"/>
      </w:rPr>
    </w:lvl>
    <w:lvl w:ilvl="3">
      <w:start w:val="0"/>
      <w:numFmt w:val="bullet"/>
      <w:lvlText w:val="•"/>
      <w:lvlJc w:val="left"/>
      <w:pPr>
        <w:ind w:left="2766" w:hanging="281"/>
      </w:pPr>
      <w:rPr>
        <w:rFonts w:hint="default"/>
        <w:lang w:val="es-ES" w:eastAsia="en-US" w:bidi="ar-SA"/>
      </w:rPr>
    </w:lvl>
    <w:lvl w:ilvl="4">
      <w:start w:val="0"/>
      <w:numFmt w:val="bullet"/>
      <w:lvlText w:val="•"/>
      <w:lvlJc w:val="left"/>
      <w:pPr>
        <w:ind w:left="3655" w:hanging="281"/>
      </w:pPr>
      <w:rPr>
        <w:rFonts w:hint="default"/>
        <w:lang w:val="es-ES" w:eastAsia="en-US" w:bidi="ar-SA"/>
      </w:rPr>
    </w:lvl>
    <w:lvl w:ilvl="5">
      <w:start w:val="0"/>
      <w:numFmt w:val="bullet"/>
      <w:lvlText w:val="•"/>
      <w:lvlJc w:val="left"/>
      <w:pPr>
        <w:ind w:left="4544" w:hanging="281"/>
      </w:pPr>
      <w:rPr>
        <w:rFonts w:hint="default"/>
        <w:lang w:val="es-ES" w:eastAsia="en-US" w:bidi="ar-SA"/>
      </w:rPr>
    </w:lvl>
    <w:lvl w:ilvl="6">
      <w:start w:val="0"/>
      <w:numFmt w:val="bullet"/>
      <w:lvlText w:val="•"/>
      <w:lvlJc w:val="left"/>
      <w:pPr>
        <w:ind w:left="5433" w:hanging="281"/>
      </w:pPr>
      <w:rPr>
        <w:rFonts w:hint="default"/>
        <w:lang w:val="es-ES" w:eastAsia="en-US" w:bidi="ar-SA"/>
      </w:rPr>
    </w:lvl>
    <w:lvl w:ilvl="7">
      <w:start w:val="0"/>
      <w:numFmt w:val="bullet"/>
      <w:lvlText w:val="•"/>
      <w:lvlJc w:val="left"/>
      <w:pPr>
        <w:ind w:left="6322" w:hanging="281"/>
      </w:pPr>
      <w:rPr>
        <w:rFonts w:hint="default"/>
        <w:lang w:val="es-ES" w:eastAsia="en-US" w:bidi="ar-SA"/>
      </w:rPr>
    </w:lvl>
    <w:lvl w:ilvl="8">
      <w:start w:val="0"/>
      <w:numFmt w:val="bullet"/>
      <w:lvlText w:val="•"/>
      <w:lvlJc w:val="left"/>
      <w:pPr>
        <w:ind w:left="7211" w:hanging="281"/>
      </w:pPr>
      <w:rPr>
        <w:rFonts w:hint="default"/>
        <w:lang w:val="es-ES" w:eastAsia="en-US" w:bidi="ar-SA"/>
      </w:rPr>
    </w:lvl>
  </w:abstractNum>
  <w:abstractNum w:abstractNumId="57">
    <w:multiLevelType w:val="hybridMultilevel"/>
    <w:lvl w:ilvl="0">
      <w:start w:val="1"/>
      <w:numFmt w:val="lowerLetter"/>
      <w:lvlText w:val="%1)"/>
      <w:lvlJc w:val="left"/>
      <w:pPr>
        <w:ind w:left="1265"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2410" w:hanging="361"/>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3311" w:hanging="361"/>
      </w:pPr>
      <w:rPr>
        <w:rFonts w:hint="default"/>
        <w:lang w:val="es-ES" w:eastAsia="en-US" w:bidi="ar-SA"/>
      </w:rPr>
    </w:lvl>
    <w:lvl w:ilvl="3">
      <w:start w:val="0"/>
      <w:numFmt w:val="bullet"/>
      <w:lvlText w:val="•"/>
      <w:lvlJc w:val="left"/>
      <w:pPr>
        <w:ind w:left="4202" w:hanging="361"/>
      </w:pPr>
      <w:rPr>
        <w:rFonts w:hint="default"/>
        <w:lang w:val="es-ES" w:eastAsia="en-US" w:bidi="ar-SA"/>
      </w:rPr>
    </w:lvl>
    <w:lvl w:ilvl="4">
      <w:start w:val="0"/>
      <w:numFmt w:val="bullet"/>
      <w:lvlText w:val="•"/>
      <w:lvlJc w:val="left"/>
      <w:pPr>
        <w:ind w:left="5093" w:hanging="361"/>
      </w:pPr>
      <w:rPr>
        <w:rFonts w:hint="default"/>
        <w:lang w:val="es-ES" w:eastAsia="en-US" w:bidi="ar-SA"/>
      </w:rPr>
    </w:lvl>
    <w:lvl w:ilvl="5">
      <w:start w:val="0"/>
      <w:numFmt w:val="bullet"/>
      <w:lvlText w:val="•"/>
      <w:lvlJc w:val="left"/>
      <w:pPr>
        <w:ind w:left="5984" w:hanging="361"/>
      </w:pPr>
      <w:rPr>
        <w:rFonts w:hint="default"/>
        <w:lang w:val="es-ES" w:eastAsia="en-US" w:bidi="ar-SA"/>
      </w:rPr>
    </w:lvl>
    <w:lvl w:ilvl="6">
      <w:start w:val="0"/>
      <w:numFmt w:val="bullet"/>
      <w:lvlText w:val="•"/>
      <w:lvlJc w:val="left"/>
      <w:pPr>
        <w:ind w:left="6875" w:hanging="361"/>
      </w:pPr>
      <w:rPr>
        <w:rFonts w:hint="default"/>
        <w:lang w:val="es-ES" w:eastAsia="en-US" w:bidi="ar-SA"/>
      </w:rPr>
    </w:lvl>
    <w:lvl w:ilvl="7">
      <w:start w:val="0"/>
      <w:numFmt w:val="bullet"/>
      <w:lvlText w:val="•"/>
      <w:lvlJc w:val="left"/>
      <w:pPr>
        <w:ind w:left="7766" w:hanging="361"/>
      </w:pPr>
      <w:rPr>
        <w:rFonts w:hint="default"/>
        <w:lang w:val="es-ES" w:eastAsia="en-US" w:bidi="ar-SA"/>
      </w:rPr>
    </w:lvl>
    <w:lvl w:ilvl="8">
      <w:start w:val="0"/>
      <w:numFmt w:val="bullet"/>
      <w:lvlText w:val="•"/>
      <w:lvlJc w:val="left"/>
      <w:pPr>
        <w:ind w:left="8657" w:hanging="361"/>
      </w:pPr>
      <w:rPr>
        <w:rFonts w:hint="default"/>
        <w:lang w:val="es-ES" w:eastAsia="en-US" w:bidi="ar-SA"/>
      </w:rPr>
    </w:lvl>
  </w:abstractNum>
  <w:abstractNum w:abstractNumId="59">
    <w:multiLevelType w:val="hybridMultilevel"/>
    <w:lvl w:ilvl="0">
      <w:start w:val="1"/>
      <w:numFmt w:val="lowerLetter"/>
      <w:lvlText w:val="%1)"/>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206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2991" w:hanging="360"/>
      </w:pPr>
      <w:rPr>
        <w:rFonts w:hint="default"/>
        <w:lang w:val="es-ES" w:eastAsia="en-US" w:bidi="ar-SA"/>
      </w:rPr>
    </w:lvl>
    <w:lvl w:ilvl="3">
      <w:start w:val="0"/>
      <w:numFmt w:val="bullet"/>
      <w:lvlText w:val="•"/>
      <w:lvlJc w:val="left"/>
      <w:pPr>
        <w:ind w:left="3922" w:hanging="360"/>
      </w:pPr>
      <w:rPr>
        <w:rFonts w:hint="default"/>
        <w:lang w:val="es-ES" w:eastAsia="en-US" w:bidi="ar-SA"/>
      </w:rPr>
    </w:lvl>
    <w:lvl w:ilvl="4">
      <w:start w:val="0"/>
      <w:numFmt w:val="bullet"/>
      <w:lvlText w:val="•"/>
      <w:lvlJc w:val="left"/>
      <w:pPr>
        <w:ind w:left="4853" w:hanging="360"/>
      </w:pPr>
      <w:rPr>
        <w:rFonts w:hint="default"/>
        <w:lang w:val="es-ES" w:eastAsia="en-US" w:bidi="ar-SA"/>
      </w:rPr>
    </w:lvl>
    <w:lvl w:ilvl="5">
      <w:start w:val="0"/>
      <w:numFmt w:val="bullet"/>
      <w:lvlText w:val="•"/>
      <w:lvlJc w:val="left"/>
      <w:pPr>
        <w:ind w:left="5784" w:hanging="360"/>
      </w:pPr>
      <w:rPr>
        <w:rFonts w:hint="default"/>
        <w:lang w:val="es-ES" w:eastAsia="en-US" w:bidi="ar-SA"/>
      </w:rPr>
    </w:lvl>
    <w:lvl w:ilvl="6">
      <w:start w:val="0"/>
      <w:numFmt w:val="bullet"/>
      <w:lvlText w:val="•"/>
      <w:lvlJc w:val="left"/>
      <w:pPr>
        <w:ind w:left="6715" w:hanging="360"/>
      </w:pPr>
      <w:rPr>
        <w:rFonts w:hint="default"/>
        <w:lang w:val="es-ES" w:eastAsia="en-US" w:bidi="ar-SA"/>
      </w:rPr>
    </w:lvl>
    <w:lvl w:ilvl="7">
      <w:start w:val="0"/>
      <w:numFmt w:val="bullet"/>
      <w:lvlText w:val="•"/>
      <w:lvlJc w:val="left"/>
      <w:pPr>
        <w:ind w:left="7646" w:hanging="360"/>
      </w:pPr>
      <w:rPr>
        <w:rFonts w:hint="default"/>
        <w:lang w:val="es-ES" w:eastAsia="en-US" w:bidi="ar-SA"/>
      </w:rPr>
    </w:lvl>
    <w:lvl w:ilvl="8">
      <w:start w:val="0"/>
      <w:numFmt w:val="bullet"/>
      <w:lvlText w:val="•"/>
      <w:lvlJc w:val="left"/>
      <w:pPr>
        <w:ind w:left="8577" w:hanging="360"/>
      </w:pPr>
      <w:rPr>
        <w:rFonts w:hint="default"/>
        <w:lang w:val="es-ES" w:eastAsia="en-US" w:bidi="ar-SA"/>
      </w:rPr>
    </w:lvl>
  </w:abstractNum>
  <w:abstractNum w:abstractNumId="73">
    <w:multiLevelType w:val="hybridMultilevel"/>
    <w:lvl w:ilvl="0">
      <w:start w:val="0"/>
      <w:numFmt w:val="bullet"/>
      <w:lvlText w:val="•"/>
      <w:lvlJc w:val="left"/>
      <w:pPr>
        <w:ind w:left="103" w:hanging="235"/>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989" w:hanging="235"/>
      </w:pPr>
      <w:rPr>
        <w:rFonts w:hint="default"/>
        <w:lang w:val="es-ES" w:eastAsia="en-US" w:bidi="ar-SA"/>
      </w:rPr>
    </w:lvl>
    <w:lvl w:ilvl="2">
      <w:start w:val="0"/>
      <w:numFmt w:val="bullet"/>
      <w:lvlText w:val="•"/>
      <w:lvlJc w:val="left"/>
      <w:pPr>
        <w:ind w:left="1877" w:hanging="235"/>
      </w:pPr>
      <w:rPr>
        <w:rFonts w:hint="default"/>
        <w:lang w:val="es-ES" w:eastAsia="en-US" w:bidi="ar-SA"/>
      </w:rPr>
    </w:lvl>
    <w:lvl w:ilvl="3">
      <w:start w:val="0"/>
      <w:numFmt w:val="bullet"/>
      <w:lvlText w:val="•"/>
      <w:lvlJc w:val="left"/>
      <w:pPr>
        <w:ind w:left="2766" w:hanging="235"/>
      </w:pPr>
      <w:rPr>
        <w:rFonts w:hint="default"/>
        <w:lang w:val="es-ES" w:eastAsia="en-US" w:bidi="ar-SA"/>
      </w:rPr>
    </w:lvl>
    <w:lvl w:ilvl="4">
      <w:start w:val="0"/>
      <w:numFmt w:val="bullet"/>
      <w:lvlText w:val="•"/>
      <w:lvlJc w:val="left"/>
      <w:pPr>
        <w:ind w:left="3655" w:hanging="235"/>
      </w:pPr>
      <w:rPr>
        <w:rFonts w:hint="default"/>
        <w:lang w:val="es-ES" w:eastAsia="en-US" w:bidi="ar-SA"/>
      </w:rPr>
    </w:lvl>
    <w:lvl w:ilvl="5">
      <w:start w:val="0"/>
      <w:numFmt w:val="bullet"/>
      <w:lvlText w:val="•"/>
      <w:lvlJc w:val="left"/>
      <w:pPr>
        <w:ind w:left="4544" w:hanging="235"/>
      </w:pPr>
      <w:rPr>
        <w:rFonts w:hint="default"/>
        <w:lang w:val="es-ES" w:eastAsia="en-US" w:bidi="ar-SA"/>
      </w:rPr>
    </w:lvl>
    <w:lvl w:ilvl="6">
      <w:start w:val="0"/>
      <w:numFmt w:val="bullet"/>
      <w:lvlText w:val="•"/>
      <w:lvlJc w:val="left"/>
      <w:pPr>
        <w:ind w:left="5433" w:hanging="235"/>
      </w:pPr>
      <w:rPr>
        <w:rFonts w:hint="default"/>
        <w:lang w:val="es-ES" w:eastAsia="en-US" w:bidi="ar-SA"/>
      </w:rPr>
    </w:lvl>
    <w:lvl w:ilvl="7">
      <w:start w:val="0"/>
      <w:numFmt w:val="bullet"/>
      <w:lvlText w:val="•"/>
      <w:lvlJc w:val="left"/>
      <w:pPr>
        <w:ind w:left="6322" w:hanging="235"/>
      </w:pPr>
      <w:rPr>
        <w:rFonts w:hint="default"/>
        <w:lang w:val="es-ES" w:eastAsia="en-US" w:bidi="ar-SA"/>
      </w:rPr>
    </w:lvl>
    <w:lvl w:ilvl="8">
      <w:start w:val="0"/>
      <w:numFmt w:val="bullet"/>
      <w:lvlText w:val="•"/>
      <w:lvlJc w:val="left"/>
      <w:pPr>
        <w:ind w:left="7211" w:hanging="235"/>
      </w:pPr>
      <w:rPr>
        <w:rFonts w:hint="default"/>
        <w:lang w:val="es-ES" w:eastAsia="en-US" w:bidi="ar-SA"/>
      </w:rPr>
    </w:lvl>
  </w:abstractNum>
  <w:abstractNum w:abstractNumId="72">
    <w:multiLevelType w:val="hybridMultilevel"/>
    <w:lvl w:ilvl="0">
      <w:start w:val="1"/>
      <w:numFmt w:val="lowerLetter"/>
      <w:lvlText w:val="%1)"/>
      <w:lvlJc w:val="left"/>
      <w:pPr>
        <w:ind w:left="1342" w:hanging="360"/>
        <w:jc w:val="left"/>
      </w:pPr>
      <w:rPr>
        <w:rFonts w:hint="default"/>
        <w:spacing w:val="-1"/>
        <w:w w:val="10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71">
    <w:multiLevelType w:val="hybridMultilevel"/>
    <w:lvl w:ilvl="0">
      <w:start w:val="0"/>
      <w:numFmt w:val="bullet"/>
      <w:lvlText w:val=""/>
      <w:lvlJc w:val="left"/>
      <w:pPr>
        <w:ind w:left="134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70">
    <w:multiLevelType w:val="hybridMultilevel"/>
    <w:lvl w:ilvl="0">
      <w:start w:val="0"/>
      <w:numFmt w:val="bullet"/>
      <w:lvlText w:val=""/>
      <w:lvlJc w:val="left"/>
      <w:pPr>
        <w:ind w:left="784"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01" w:hanging="360"/>
      </w:pPr>
      <w:rPr>
        <w:rFonts w:hint="default"/>
        <w:lang w:val="es-ES" w:eastAsia="en-US" w:bidi="ar-SA"/>
      </w:rPr>
    </w:lvl>
    <w:lvl w:ilvl="2">
      <w:start w:val="0"/>
      <w:numFmt w:val="bullet"/>
      <w:lvlText w:val="•"/>
      <w:lvlJc w:val="left"/>
      <w:pPr>
        <w:ind w:left="2421"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063" w:hanging="360"/>
      </w:pPr>
      <w:rPr>
        <w:rFonts w:hint="default"/>
        <w:lang w:val="es-ES" w:eastAsia="en-US" w:bidi="ar-SA"/>
      </w:rPr>
    </w:lvl>
    <w:lvl w:ilvl="5">
      <w:start w:val="0"/>
      <w:numFmt w:val="bullet"/>
      <w:lvlText w:val="•"/>
      <w:lvlJc w:val="left"/>
      <w:pPr>
        <w:ind w:left="4884" w:hanging="360"/>
      </w:pPr>
      <w:rPr>
        <w:rFonts w:hint="default"/>
        <w:lang w:val="es-ES" w:eastAsia="en-US" w:bidi="ar-SA"/>
      </w:rPr>
    </w:lvl>
    <w:lvl w:ilvl="6">
      <w:start w:val="0"/>
      <w:numFmt w:val="bullet"/>
      <w:lvlText w:val="•"/>
      <w:lvlJc w:val="left"/>
      <w:pPr>
        <w:ind w:left="5705" w:hanging="360"/>
      </w:pPr>
      <w:rPr>
        <w:rFonts w:hint="default"/>
        <w:lang w:val="es-ES" w:eastAsia="en-US" w:bidi="ar-SA"/>
      </w:rPr>
    </w:lvl>
    <w:lvl w:ilvl="7">
      <w:start w:val="0"/>
      <w:numFmt w:val="bullet"/>
      <w:lvlText w:val="•"/>
      <w:lvlJc w:val="left"/>
      <w:pPr>
        <w:ind w:left="6526" w:hanging="360"/>
      </w:pPr>
      <w:rPr>
        <w:rFonts w:hint="default"/>
        <w:lang w:val="es-ES" w:eastAsia="en-US" w:bidi="ar-SA"/>
      </w:rPr>
    </w:lvl>
    <w:lvl w:ilvl="8">
      <w:start w:val="0"/>
      <w:numFmt w:val="bullet"/>
      <w:lvlText w:val="•"/>
      <w:lvlJc w:val="left"/>
      <w:pPr>
        <w:ind w:left="7347" w:hanging="360"/>
      </w:pPr>
      <w:rPr>
        <w:rFonts w:hint="default"/>
        <w:lang w:val="es-ES" w:eastAsia="en-US" w:bidi="ar-SA"/>
      </w:rPr>
    </w:lvl>
  </w:abstractNum>
  <w:abstractNum w:abstractNumId="69">
    <w:multiLevelType w:val="hybridMultilevel"/>
    <w:lvl w:ilvl="0">
      <w:start w:val="1"/>
      <w:numFmt w:val="lowerLetter"/>
      <w:lvlText w:val="%1)"/>
      <w:lvlJc w:val="left"/>
      <w:pPr>
        <w:ind w:left="1411"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68">
    <w:multiLevelType w:val="hybridMultilevel"/>
    <w:lvl w:ilvl="0">
      <w:start w:val="0"/>
      <w:numFmt w:val="bullet"/>
      <w:lvlText w:val=""/>
      <w:lvlJc w:val="left"/>
      <w:pPr>
        <w:ind w:left="1411"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67">
    <w:multiLevelType w:val="hybridMultilevel"/>
    <w:lvl w:ilvl="0">
      <w:start w:val="0"/>
      <w:numFmt w:val="bullet"/>
      <w:lvlText w:val=""/>
      <w:lvlJc w:val="left"/>
      <w:pPr>
        <w:ind w:left="1450"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66">
    <w:multiLevelType w:val="hybridMultilevel"/>
    <w:lvl w:ilvl="0">
      <w:start w:val="0"/>
      <w:numFmt w:val="bullet"/>
      <w:lvlText w:val=""/>
      <w:lvlJc w:val="left"/>
      <w:pPr>
        <w:ind w:left="1450"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65">
    <w:multiLevelType w:val="hybridMultilevel"/>
    <w:lvl w:ilvl="0">
      <w:start w:val="0"/>
      <w:numFmt w:val="bullet"/>
      <w:lvlText w:val="o"/>
      <w:lvlJc w:val="left"/>
      <w:pPr>
        <w:ind w:left="380" w:hanging="360"/>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1085" w:hanging="360"/>
      </w:pPr>
      <w:rPr>
        <w:rFonts w:hint="default"/>
        <w:lang w:val="es-ES" w:eastAsia="en-US" w:bidi="ar-SA"/>
      </w:rPr>
    </w:lvl>
    <w:lvl w:ilvl="2">
      <w:start w:val="0"/>
      <w:numFmt w:val="bullet"/>
      <w:lvlText w:val="•"/>
      <w:lvlJc w:val="left"/>
      <w:pPr>
        <w:ind w:left="1791" w:hanging="360"/>
      </w:pPr>
      <w:rPr>
        <w:rFonts w:hint="default"/>
        <w:lang w:val="es-ES" w:eastAsia="en-US" w:bidi="ar-SA"/>
      </w:rPr>
    </w:lvl>
    <w:lvl w:ilvl="3">
      <w:start w:val="0"/>
      <w:numFmt w:val="bullet"/>
      <w:lvlText w:val="•"/>
      <w:lvlJc w:val="left"/>
      <w:pPr>
        <w:ind w:left="2497" w:hanging="360"/>
      </w:pPr>
      <w:rPr>
        <w:rFonts w:hint="default"/>
        <w:lang w:val="es-ES" w:eastAsia="en-US" w:bidi="ar-SA"/>
      </w:rPr>
    </w:lvl>
    <w:lvl w:ilvl="4">
      <w:start w:val="0"/>
      <w:numFmt w:val="bullet"/>
      <w:lvlText w:val="•"/>
      <w:lvlJc w:val="left"/>
      <w:pPr>
        <w:ind w:left="3202" w:hanging="360"/>
      </w:pPr>
      <w:rPr>
        <w:rFonts w:hint="default"/>
        <w:lang w:val="es-ES" w:eastAsia="en-US" w:bidi="ar-SA"/>
      </w:rPr>
    </w:lvl>
    <w:lvl w:ilvl="5">
      <w:start w:val="0"/>
      <w:numFmt w:val="bullet"/>
      <w:lvlText w:val="•"/>
      <w:lvlJc w:val="left"/>
      <w:pPr>
        <w:ind w:left="3908" w:hanging="360"/>
      </w:pPr>
      <w:rPr>
        <w:rFonts w:hint="default"/>
        <w:lang w:val="es-ES" w:eastAsia="en-US" w:bidi="ar-SA"/>
      </w:rPr>
    </w:lvl>
    <w:lvl w:ilvl="6">
      <w:start w:val="0"/>
      <w:numFmt w:val="bullet"/>
      <w:lvlText w:val="•"/>
      <w:lvlJc w:val="left"/>
      <w:pPr>
        <w:ind w:left="4614" w:hanging="360"/>
      </w:pPr>
      <w:rPr>
        <w:rFonts w:hint="default"/>
        <w:lang w:val="es-ES" w:eastAsia="en-US" w:bidi="ar-SA"/>
      </w:rPr>
    </w:lvl>
    <w:lvl w:ilvl="7">
      <w:start w:val="0"/>
      <w:numFmt w:val="bullet"/>
      <w:lvlText w:val="•"/>
      <w:lvlJc w:val="left"/>
      <w:pPr>
        <w:ind w:left="5320" w:hanging="360"/>
      </w:pPr>
      <w:rPr>
        <w:rFonts w:hint="default"/>
        <w:lang w:val="es-ES" w:eastAsia="en-US" w:bidi="ar-SA"/>
      </w:rPr>
    </w:lvl>
    <w:lvl w:ilvl="8">
      <w:start w:val="0"/>
      <w:numFmt w:val="bullet"/>
      <w:lvlText w:val="•"/>
      <w:lvlJc w:val="left"/>
      <w:pPr>
        <w:ind w:left="6025" w:hanging="360"/>
      </w:pPr>
      <w:rPr>
        <w:rFonts w:hint="default"/>
        <w:lang w:val="es-ES" w:eastAsia="en-US" w:bidi="ar-SA"/>
      </w:rPr>
    </w:lvl>
  </w:abstractNum>
  <w:abstractNum w:abstractNumId="64">
    <w:multiLevelType w:val="hybridMultilevel"/>
    <w:lvl w:ilvl="0">
      <w:start w:val="0"/>
      <w:numFmt w:val="bullet"/>
      <w:lvlText w:val="o"/>
      <w:lvlJc w:val="left"/>
      <w:pPr>
        <w:ind w:left="380" w:hanging="360"/>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1038" w:hanging="360"/>
      </w:pPr>
      <w:rPr>
        <w:rFonts w:hint="default"/>
        <w:lang w:val="es-ES" w:eastAsia="en-US" w:bidi="ar-SA"/>
      </w:rPr>
    </w:lvl>
    <w:lvl w:ilvl="2">
      <w:start w:val="0"/>
      <w:numFmt w:val="bullet"/>
      <w:lvlText w:val="•"/>
      <w:lvlJc w:val="left"/>
      <w:pPr>
        <w:ind w:left="1696" w:hanging="360"/>
      </w:pPr>
      <w:rPr>
        <w:rFonts w:hint="default"/>
        <w:lang w:val="es-ES" w:eastAsia="en-US" w:bidi="ar-SA"/>
      </w:rPr>
    </w:lvl>
    <w:lvl w:ilvl="3">
      <w:start w:val="0"/>
      <w:numFmt w:val="bullet"/>
      <w:lvlText w:val="•"/>
      <w:lvlJc w:val="left"/>
      <w:pPr>
        <w:ind w:left="2355" w:hanging="360"/>
      </w:pPr>
      <w:rPr>
        <w:rFonts w:hint="default"/>
        <w:lang w:val="es-ES" w:eastAsia="en-US" w:bidi="ar-SA"/>
      </w:rPr>
    </w:lvl>
    <w:lvl w:ilvl="4">
      <w:start w:val="0"/>
      <w:numFmt w:val="bullet"/>
      <w:lvlText w:val="•"/>
      <w:lvlJc w:val="left"/>
      <w:pPr>
        <w:ind w:left="3013" w:hanging="360"/>
      </w:pPr>
      <w:rPr>
        <w:rFonts w:hint="default"/>
        <w:lang w:val="es-ES" w:eastAsia="en-US" w:bidi="ar-SA"/>
      </w:rPr>
    </w:lvl>
    <w:lvl w:ilvl="5">
      <w:start w:val="0"/>
      <w:numFmt w:val="bullet"/>
      <w:lvlText w:val="•"/>
      <w:lvlJc w:val="left"/>
      <w:pPr>
        <w:ind w:left="3672" w:hanging="360"/>
      </w:pPr>
      <w:rPr>
        <w:rFonts w:hint="default"/>
        <w:lang w:val="es-ES" w:eastAsia="en-US" w:bidi="ar-SA"/>
      </w:rPr>
    </w:lvl>
    <w:lvl w:ilvl="6">
      <w:start w:val="0"/>
      <w:numFmt w:val="bullet"/>
      <w:lvlText w:val="•"/>
      <w:lvlJc w:val="left"/>
      <w:pPr>
        <w:ind w:left="4330" w:hanging="360"/>
      </w:pPr>
      <w:rPr>
        <w:rFonts w:hint="default"/>
        <w:lang w:val="es-ES" w:eastAsia="en-US" w:bidi="ar-SA"/>
      </w:rPr>
    </w:lvl>
    <w:lvl w:ilvl="7">
      <w:start w:val="0"/>
      <w:numFmt w:val="bullet"/>
      <w:lvlText w:val="•"/>
      <w:lvlJc w:val="left"/>
      <w:pPr>
        <w:ind w:left="4989" w:hanging="360"/>
      </w:pPr>
      <w:rPr>
        <w:rFonts w:hint="default"/>
        <w:lang w:val="es-ES" w:eastAsia="en-US" w:bidi="ar-SA"/>
      </w:rPr>
    </w:lvl>
    <w:lvl w:ilvl="8">
      <w:start w:val="0"/>
      <w:numFmt w:val="bullet"/>
      <w:lvlText w:val="•"/>
      <w:lvlJc w:val="left"/>
      <w:pPr>
        <w:ind w:left="5647" w:hanging="360"/>
      </w:pPr>
      <w:rPr>
        <w:rFonts w:hint="default"/>
        <w:lang w:val="es-ES" w:eastAsia="en-US" w:bidi="ar-SA"/>
      </w:rPr>
    </w:lvl>
  </w:abstractNum>
  <w:abstractNum w:abstractNumId="63">
    <w:multiLevelType w:val="hybridMultilevel"/>
    <w:lvl w:ilvl="0">
      <w:start w:val="0"/>
      <w:numFmt w:val="bullet"/>
      <w:lvlText w:val="o"/>
      <w:lvlJc w:val="left"/>
      <w:pPr>
        <w:ind w:left="2131" w:hanging="360"/>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00" w:hanging="360"/>
      </w:pPr>
      <w:rPr>
        <w:rFonts w:hint="default"/>
        <w:lang w:val="es-ES" w:eastAsia="en-US" w:bidi="ar-SA"/>
      </w:rPr>
    </w:lvl>
    <w:lvl w:ilvl="3">
      <w:start w:val="0"/>
      <w:numFmt w:val="bullet"/>
      <w:lvlText w:val="•"/>
      <w:lvlJc w:val="left"/>
      <w:pPr>
        <w:ind w:left="4630" w:hanging="360"/>
      </w:pPr>
      <w:rPr>
        <w:rFonts w:hint="default"/>
        <w:lang w:val="es-ES" w:eastAsia="en-US" w:bidi="ar-SA"/>
      </w:rPr>
    </w:lvl>
    <w:lvl w:ilvl="4">
      <w:start w:val="0"/>
      <w:numFmt w:val="bullet"/>
      <w:lvlText w:val="•"/>
      <w:lvlJc w:val="left"/>
      <w:pPr>
        <w:ind w:left="5460" w:hanging="360"/>
      </w:pPr>
      <w:rPr>
        <w:rFonts w:hint="default"/>
        <w:lang w:val="es-ES" w:eastAsia="en-US" w:bidi="ar-SA"/>
      </w:rPr>
    </w:lvl>
    <w:lvl w:ilvl="5">
      <w:start w:val="0"/>
      <w:numFmt w:val="bullet"/>
      <w:lvlText w:val="•"/>
      <w:lvlJc w:val="left"/>
      <w:pPr>
        <w:ind w:left="6290" w:hanging="360"/>
      </w:pPr>
      <w:rPr>
        <w:rFonts w:hint="default"/>
        <w:lang w:val="es-ES" w:eastAsia="en-US" w:bidi="ar-SA"/>
      </w:rPr>
    </w:lvl>
    <w:lvl w:ilvl="6">
      <w:start w:val="0"/>
      <w:numFmt w:val="bullet"/>
      <w:lvlText w:val="•"/>
      <w:lvlJc w:val="left"/>
      <w:pPr>
        <w:ind w:left="7120" w:hanging="360"/>
      </w:pPr>
      <w:rPr>
        <w:rFonts w:hint="default"/>
        <w:lang w:val="es-ES" w:eastAsia="en-US" w:bidi="ar-SA"/>
      </w:rPr>
    </w:lvl>
    <w:lvl w:ilvl="7">
      <w:start w:val="0"/>
      <w:numFmt w:val="bullet"/>
      <w:lvlText w:val="•"/>
      <w:lvlJc w:val="left"/>
      <w:pPr>
        <w:ind w:left="7950" w:hanging="360"/>
      </w:pPr>
      <w:rPr>
        <w:rFonts w:hint="default"/>
        <w:lang w:val="es-ES" w:eastAsia="en-US" w:bidi="ar-SA"/>
      </w:rPr>
    </w:lvl>
    <w:lvl w:ilvl="8">
      <w:start w:val="0"/>
      <w:numFmt w:val="bullet"/>
      <w:lvlText w:val="•"/>
      <w:lvlJc w:val="left"/>
      <w:pPr>
        <w:ind w:left="8780" w:hanging="360"/>
      </w:pPr>
      <w:rPr>
        <w:rFonts w:hint="default"/>
        <w:lang w:val="es-ES" w:eastAsia="en-US" w:bidi="ar-SA"/>
      </w:rPr>
    </w:lvl>
  </w:abstractNum>
  <w:abstractNum w:abstractNumId="62">
    <w:multiLevelType w:val="hybridMultilevel"/>
    <w:lvl w:ilvl="0">
      <w:start w:val="1"/>
      <w:numFmt w:val="lowerLetter"/>
      <w:lvlText w:val="%1."/>
      <w:lvlJc w:val="left"/>
      <w:pPr>
        <w:ind w:left="2131"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00" w:hanging="360"/>
      </w:pPr>
      <w:rPr>
        <w:rFonts w:hint="default"/>
        <w:lang w:val="es-ES" w:eastAsia="en-US" w:bidi="ar-SA"/>
      </w:rPr>
    </w:lvl>
    <w:lvl w:ilvl="3">
      <w:start w:val="0"/>
      <w:numFmt w:val="bullet"/>
      <w:lvlText w:val="•"/>
      <w:lvlJc w:val="left"/>
      <w:pPr>
        <w:ind w:left="4630" w:hanging="360"/>
      </w:pPr>
      <w:rPr>
        <w:rFonts w:hint="default"/>
        <w:lang w:val="es-ES" w:eastAsia="en-US" w:bidi="ar-SA"/>
      </w:rPr>
    </w:lvl>
    <w:lvl w:ilvl="4">
      <w:start w:val="0"/>
      <w:numFmt w:val="bullet"/>
      <w:lvlText w:val="•"/>
      <w:lvlJc w:val="left"/>
      <w:pPr>
        <w:ind w:left="5460" w:hanging="360"/>
      </w:pPr>
      <w:rPr>
        <w:rFonts w:hint="default"/>
        <w:lang w:val="es-ES" w:eastAsia="en-US" w:bidi="ar-SA"/>
      </w:rPr>
    </w:lvl>
    <w:lvl w:ilvl="5">
      <w:start w:val="0"/>
      <w:numFmt w:val="bullet"/>
      <w:lvlText w:val="•"/>
      <w:lvlJc w:val="left"/>
      <w:pPr>
        <w:ind w:left="6290" w:hanging="360"/>
      </w:pPr>
      <w:rPr>
        <w:rFonts w:hint="default"/>
        <w:lang w:val="es-ES" w:eastAsia="en-US" w:bidi="ar-SA"/>
      </w:rPr>
    </w:lvl>
    <w:lvl w:ilvl="6">
      <w:start w:val="0"/>
      <w:numFmt w:val="bullet"/>
      <w:lvlText w:val="•"/>
      <w:lvlJc w:val="left"/>
      <w:pPr>
        <w:ind w:left="7120" w:hanging="360"/>
      </w:pPr>
      <w:rPr>
        <w:rFonts w:hint="default"/>
        <w:lang w:val="es-ES" w:eastAsia="en-US" w:bidi="ar-SA"/>
      </w:rPr>
    </w:lvl>
    <w:lvl w:ilvl="7">
      <w:start w:val="0"/>
      <w:numFmt w:val="bullet"/>
      <w:lvlText w:val="•"/>
      <w:lvlJc w:val="left"/>
      <w:pPr>
        <w:ind w:left="7950" w:hanging="360"/>
      </w:pPr>
      <w:rPr>
        <w:rFonts w:hint="default"/>
        <w:lang w:val="es-ES" w:eastAsia="en-US" w:bidi="ar-SA"/>
      </w:rPr>
    </w:lvl>
    <w:lvl w:ilvl="8">
      <w:start w:val="0"/>
      <w:numFmt w:val="bullet"/>
      <w:lvlText w:val="•"/>
      <w:lvlJc w:val="left"/>
      <w:pPr>
        <w:ind w:left="8780" w:hanging="360"/>
      </w:pPr>
      <w:rPr>
        <w:rFonts w:hint="default"/>
        <w:lang w:val="es-ES" w:eastAsia="en-US" w:bidi="ar-SA"/>
      </w:rPr>
    </w:lvl>
  </w:abstractNum>
  <w:abstractNum w:abstractNumId="61">
    <w:multiLevelType w:val="hybridMultilevel"/>
    <w:lvl w:ilvl="0">
      <w:start w:val="0"/>
      <w:numFmt w:val="bullet"/>
      <w:lvlText w:val=""/>
      <w:lvlJc w:val="left"/>
      <w:pPr>
        <w:ind w:left="1411"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2322" w:hanging="360"/>
      </w:pPr>
      <w:rPr>
        <w:rFonts w:hint="default"/>
        <w:lang w:val="es-ES" w:eastAsia="en-US" w:bidi="ar-SA"/>
      </w:rPr>
    </w:lvl>
    <w:lvl w:ilvl="2">
      <w:start w:val="0"/>
      <w:numFmt w:val="bullet"/>
      <w:lvlText w:val="•"/>
      <w:lvlJc w:val="left"/>
      <w:pPr>
        <w:ind w:left="3224" w:hanging="360"/>
      </w:pPr>
      <w:rPr>
        <w:rFonts w:hint="default"/>
        <w:lang w:val="es-ES" w:eastAsia="en-US" w:bidi="ar-SA"/>
      </w:rPr>
    </w:lvl>
    <w:lvl w:ilvl="3">
      <w:start w:val="0"/>
      <w:numFmt w:val="bullet"/>
      <w:lvlText w:val="•"/>
      <w:lvlJc w:val="left"/>
      <w:pPr>
        <w:ind w:left="412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5930" w:hanging="360"/>
      </w:pPr>
      <w:rPr>
        <w:rFonts w:hint="default"/>
        <w:lang w:val="es-ES" w:eastAsia="en-US" w:bidi="ar-SA"/>
      </w:rPr>
    </w:lvl>
    <w:lvl w:ilvl="6">
      <w:start w:val="0"/>
      <w:numFmt w:val="bullet"/>
      <w:lvlText w:val="•"/>
      <w:lvlJc w:val="left"/>
      <w:pPr>
        <w:ind w:left="6832" w:hanging="360"/>
      </w:pPr>
      <w:rPr>
        <w:rFonts w:hint="default"/>
        <w:lang w:val="es-ES" w:eastAsia="en-US" w:bidi="ar-SA"/>
      </w:rPr>
    </w:lvl>
    <w:lvl w:ilvl="7">
      <w:start w:val="0"/>
      <w:numFmt w:val="bullet"/>
      <w:lvlText w:val="•"/>
      <w:lvlJc w:val="left"/>
      <w:pPr>
        <w:ind w:left="7734" w:hanging="360"/>
      </w:pPr>
      <w:rPr>
        <w:rFonts w:hint="default"/>
        <w:lang w:val="es-ES" w:eastAsia="en-US" w:bidi="ar-SA"/>
      </w:rPr>
    </w:lvl>
    <w:lvl w:ilvl="8">
      <w:start w:val="0"/>
      <w:numFmt w:val="bullet"/>
      <w:lvlText w:val="•"/>
      <w:lvlJc w:val="left"/>
      <w:pPr>
        <w:ind w:left="8636" w:hanging="360"/>
      </w:pPr>
      <w:rPr>
        <w:rFonts w:hint="default"/>
        <w:lang w:val="es-ES" w:eastAsia="en-US" w:bidi="ar-SA"/>
      </w:rPr>
    </w:lvl>
  </w:abstractNum>
  <w:abstractNum w:abstractNumId="60">
    <w:multiLevelType w:val="hybridMultilevel"/>
    <w:lvl w:ilvl="0">
      <w:start w:val="1"/>
      <w:numFmt w:val="lowerLetter"/>
      <w:lvlText w:val="%1)"/>
      <w:lvlJc w:val="left"/>
      <w:pPr>
        <w:ind w:left="1690" w:hanging="708"/>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1"/>
      <w:numFmt w:val="lowerLetter"/>
      <w:lvlText w:val="%2."/>
      <w:lvlJc w:val="left"/>
      <w:pPr>
        <w:ind w:left="145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2671" w:hanging="360"/>
      </w:pPr>
      <w:rPr>
        <w:rFonts w:hint="default"/>
        <w:lang w:val="es-ES" w:eastAsia="en-US" w:bidi="ar-SA"/>
      </w:rPr>
    </w:lvl>
    <w:lvl w:ilvl="3">
      <w:start w:val="0"/>
      <w:numFmt w:val="bullet"/>
      <w:lvlText w:val="•"/>
      <w:lvlJc w:val="left"/>
      <w:pPr>
        <w:ind w:left="3642" w:hanging="360"/>
      </w:pPr>
      <w:rPr>
        <w:rFonts w:hint="default"/>
        <w:lang w:val="es-ES" w:eastAsia="en-US" w:bidi="ar-SA"/>
      </w:rPr>
    </w:lvl>
    <w:lvl w:ilvl="4">
      <w:start w:val="0"/>
      <w:numFmt w:val="bullet"/>
      <w:lvlText w:val="•"/>
      <w:lvlJc w:val="left"/>
      <w:pPr>
        <w:ind w:left="4613" w:hanging="360"/>
      </w:pPr>
      <w:rPr>
        <w:rFonts w:hint="default"/>
        <w:lang w:val="es-ES" w:eastAsia="en-US" w:bidi="ar-SA"/>
      </w:rPr>
    </w:lvl>
    <w:lvl w:ilvl="5">
      <w:start w:val="0"/>
      <w:numFmt w:val="bullet"/>
      <w:lvlText w:val="•"/>
      <w:lvlJc w:val="left"/>
      <w:pPr>
        <w:ind w:left="5584" w:hanging="360"/>
      </w:pPr>
      <w:rPr>
        <w:rFonts w:hint="default"/>
        <w:lang w:val="es-ES" w:eastAsia="en-US" w:bidi="ar-SA"/>
      </w:rPr>
    </w:lvl>
    <w:lvl w:ilvl="6">
      <w:start w:val="0"/>
      <w:numFmt w:val="bullet"/>
      <w:lvlText w:val="•"/>
      <w:lvlJc w:val="left"/>
      <w:pPr>
        <w:ind w:left="6555" w:hanging="360"/>
      </w:pPr>
      <w:rPr>
        <w:rFonts w:hint="default"/>
        <w:lang w:val="es-ES" w:eastAsia="en-US" w:bidi="ar-SA"/>
      </w:rPr>
    </w:lvl>
    <w:lvl w:ilvl="7">
      <w:start w:val="0"/>
      <w:numFmt w:val="bullet"/>
      <w:lvlText w:val="•"/>
      <w:lvlJc w:val="left"/>
      <w:pPr>
        <w:ind w:left="7526" w:hanging="360"/>
      </w:pPr>
      <w:rPr>
        <w:rFonts w:hint="default"/>
        <w:lang w:val="es-ES" w:eastAsia="en-US" w:bidi="ar-SA"/>
      </w:rPr>
    </w:lvl>
    <w:lvl w:ilvl="8">
      <w:start w:val="0"/>
      <w:numFmt w:val="bullet"/>
      <w:lvlText w:val="•"/>
      <w:lvlJc w:val="left"/>
      <w:pPr>
        <w:ind w:left="8497" w:hanging="360"/>
      </w:pPr>
      <w:rPr>
        <w:rFonts w:hint="default"/>
        <w:lang w:val="es-ES" w:eastAsia="en-US" w:bidi="ar-SA"/>
      </w:rPr>
    </w:lvl>
  </w:abstractNum>
  <w:abstractNum w:abstractNumId="58">
    <w:multiLevelType w:val="hybridMultilevel"/>
    <w:lvl w:ilvl="0">
      <w:start w:val="1"/>
      <w:numFmt w:val="lowerLetter"/>
      <w:lvlText w:val="%1)"/>
      <w:lvlJc w:val="left"/>
      <w:pPr>
        <w:ind w:left="1411"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Roman"/>
      <w:lvlText w:val="(%2)"/>
      <w:lvlJc w:val="left"/>
      <w:pPr>
        <w:ind w:left="2107" w:hanging="238"/>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3026" w:hanging="238"/>
      </w:pPr>
      <w:rPr>
        <w:rFonts w:hint="default"/>
        <w:lang w:val="es-ES" w:eastAsia="en-US" w:bidi="ar-SA"/>
      </w:rPr>
    </w:lvl>
    <w:lvl w:ilvl="3">
      <w:start w:val="0"/>
      <w:numFmt w:val="bullet"/>
      <w:lvlText w:val="•"/>
      <w:lvlJc w:val="left"/>
      <w:pPr>
        <w:ind w:left="3953" w:hanging="238"/>
      </w:pPr>
      <w:rPr>
        <w:rFonts w:hint="default"/>
        <w:lang w:val="es-ES" w:eastAsia="en-US" w:bidi="ar-SA"/>
      </w:rPr>
    </w:lvl>
    <w:lvl w:ilvl="4">
      <w:start w:val="0"/>
      <w:numFmt w:val="bullet"/>
      <w:lvlText w:val="•"/>
      <w:lvlJc w:val="left"/>
      <w:pPr>
        <w:ind w:left="4880" w:hanging="238"/>
      </w:pPr>
      <w:rPr>
        <w:rFonts w:hint="default"/>
        <w:lang w:val="es-ES" w:eastAsia="en-US" w:bidi="ar-SA"/>
      </w:rPr>
    </w:lvl>
    <w:lvl w:ilvl="5">
      <w:start w:val="0"/>
      <w:numFmt w:val="bullet"/>
      <w:lvlText w:val="•"/>
      <w:lvlJc w:val="left"/>
      <w:pPr>
        <w:ind w:left="5806" w:hanging="238"/>
      </w:pPr>
      <w:rPr>
        <w:rFonts w:hint="default"/>
        <w:lang w:val="es-ES" w:eastAsia="en-US" w:bidi="ar-SA"/>
      </w:rPr>
    </w:lvl>
    <w:lvl w:ilvl="6">
      <w:start w:val="0"/>
      <w:numFmt w:val="bullet"/>
      <w:lvlText w:val="•"/>
      <w:lvlJc w:val="left"/>
      <w:pPr>
        <w:ind w:left="6733" w:hanging="238"/>
      </w:pPr>
      <w:rPr>
        <w:rFonts w:hint="default"/>
        <w:lang w:val="es-ES" w:eastAsia="en-US" w:bidi="ar-SA"/>
      </w:rPr>
    </w:lvl>
    <w:lvl w:ilvl="7">
      <w:start w:val="0"/>
      <w:numFmt w:val="bullet"/>
      <w:lvlText w:val="•"/>
      <w:lvlJc w:val="left"/>
      <w:pPr>
        <w:ind w:left="7660" w:hanging="238"/>
      </w:pPr>
      <w:rPr>
        <w:rFonts w:hint="default"/>
        <w:lang w:val="es-ES" w:eastAsia="en-US" w:bidi="ar-SA"/>
      </w:rPr>
    </w:lvl>
    <w:lvl w:ilvl="8">
      <w:start w:val="0"/>
      <w:numFmt w:val="bullet"/>
      <w:lvlText w:val="•"/>
      <w:lvlJc w:val="left"/>
      <w:pPr>
        <w:ind w:left="8586" w:hanging="238"/>
      </w:pPr>
      <w:rPr>
        <w:rFonts w:hint="default"/>
        <w:lang w:val="es-ES" w:eastAsia="en-US" w:bidi="ar-SA"/>
      </w:rPr>
    </w:lvl>
  </w:abstractNum>
  <w:abstractNum w:abstractNumId="56">
    <w:multiLevelType w:val="hybridMultilevel"/>
    <w:lvl w:ilvl="0">
      <w:start w:val="1"/>
      <w:numFmt w:val="decimal"/>
      <w:lvlText w:val="%1."/>
      <w:lvlJc w:val="left"/>
      <w:pPr>
        <w:ind w:left="1049" w:hanging="360"/>
        <w:jc w:val="right"/>
      </w:pPr>
      <w:rPr>
        <w:rFonts w:hint="default"/>
        <w:spacing w:val="-1"/>
        <w:w w:val="100"/>
        <w:lang w:val="es-ES" w:eastAsia="en-US" w:bidi="ar-SA"/>
      </w:rPr>
    </w:lvl>
    <w:lvl w:ilvl="1">
      <w:start w:val="1"/>
      <w:numFmt w:val="decimal"/>
      <w:lvlText w:val="%1.%2"/>
      <w:lvlJc w:val="left"/>
      <w:pPr>
        <w:ind w:left="948" w:hanging="327"/>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2">
      <w:start w:val="1"/>
      <w:numFmt w:val="lowerLetter"/>
      <w:lvlText w:val="%3)"/>
      <w:lvlJc w:val="left"/>
      <w:pPr>
        <w:ind w:left="1411"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0"/>
      <w:numFmt w:val="bullet"/>
      <w:lvlText w:val="•"/>
      <w:lvlJc w:val="left"/>
      <w:pPr>
        <w:ind w:left="1420" w:hanging="360"/>
      </w:pPr>
      <w:rPr>
        <w:rFonts w:hint="default"/>
        <w:lang w:val="es-ES" w:eastAsia="en-US" w:bidi="ar-SA"/>
      </w:rPr>
    </w:lvl>
    <w:lvl w:ilvl="4">
      <w:start w:val="0"/>
      <w:numFmt w:val="bullet"/>
      <w:lvlText w:val="•"/>
      <w:lvlJc w:val="left"/>
      <w:pPr>
        <w:ind w:left="2708" w:hanging="360"/>
      </w:pPr>
      <w:rPr>
        <w:rFonts w:hint="default"/>
        <w:lang w:val="es-ES" w:eastAsia="en-US" w:bidi="ar-SA"/>
      </w:rPr>
    </w:lvl>
    <w:lvl w:ilvl="5">
      <w:start w:val="0"/>
      <w:numFmt w:val="bullet"/>
      <w:lvlText w:val="•"/>
      <w:lvlJc w:val="left"/>
      <w:pPr>
        <w:ind w:left="3997" w:hanging="360"/>
      </w:pPr>
      <w:rPr>
        <w:rFonts w:hint="default"/>
        <w:lang w:val="es-ES" w:eastAsia="en-US" w:bidi="ar-SA"/>
      </w:rPr>
    </w:lvl>
    <w:lvl w:ilvl="6">
      <w:start w:val="0"/>
      <w:numFmt w:val="bullet"/>
      <w:lvlText w:val="•"/>
      <w:lvlJc w:val="left"/>
      <w:pPr>
        <w:ind w:left="5285" w:hanging="360"/>
      </w:pPr>
      <w:rPr>
        <w:rFonts w:hint="default"/>
        <w:lang w:val="es-ES" w:eastAsia="en-US" w:bidi="ar-SA"/>
      </w:rPr>
    </w:lvl>
    <w:lvl w:ilvl="7">
      <w:start w:val="0"/>
      <w:numFmt w:val="bullet"/>
      <w:lvlText w:val="•"/>
      <w:lvlJc w:val="left"/>
      <w:pPr>
        <w:ind w:left="6574" w:hanging="360"/>
      </w:pPr>
      <w:rPr>
        <w:rFonts w:hint="default"/>
        <w:lang w:val="es-ES" w:eastAsia="en-US" w:bidi="ar-SA"/>
      </w:rPr>
    </w:lvl>
    <w:lvl w:ilvl="8">
      <w:start w:val="0"/>
      <w:numFmt w:val="bullet"/>
      <w:lvlText w:val="•"/>
      <w:lvlJc w:val="left"/>
      <w:pPr>
        <w:ind w:left="7862" w:hanging="360"/>
      </w:pPr>
      <w:rPr>
        <w:rFonts w:hint="default"/>
        <w:lang w:val="es-ES" w:eastAsia="en-US" w:bidi="ar-SA"/>
      </w:rPr>
    </w:lvl>
  </w:abstractNum>
  <w:abstractNum w:abstractNumId="55">
    <w:multiLevelType w:val="hybridMultilevel"/>
    <w:lvl w:ilvl="0">
      <w:start w:val="0"/>
      <w:numFmt w:val="bullet"/>
      <w:lvlText w:val=""/>
      <w:lvlJc w:val="left"/>
      <w:pPr>
        <w:ind w:left="1450"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54">
    <w:multiLevelType w:val="hybridMultilevel"/>
    <w:lvl w:ilvl="0">
      <w:start w:val="0"/>
      <w:numFmt w:val="bullet"/>
      <w:lvlText w:val=""/>
      <w:lvlJc w:val="left"/>
      <w:pPr>
        <w:ind w:left="1450" w:hanging="360"/>
      </w:pPr>
      <w:rPr>
        <w:rFonts w:hint="default" w:ascii="Symbol" w:hAnsi="Symbol" w:eastAsia="Symbol" w:cs="Symbol"/>
        <w:spacing w:val="0"/>
        <w:w w:val="100"/>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53">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52">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51">
    <w:multiLevelType w:val="hybridMultilevel"/>
    <w:lvl w:ilvl="0">
      <w:start w:val="0"/>
      <w:numFmt w:val="bullet"/>
      <w:lvlText w:val="✓"/>
      <w:lvlJc w:val="left"/>
      <w:pPr>
        <w:ind w:left="107" w:hanging="167"/>
      </w:pPr>
      <w:rPr>
        <w:rFonts w:hint="default" w:ascii="Segoe UI Symbol" w:hAnsi="Segoe UI Symbol" w:eastAsia="Segoe UI Symbol" w:cs="Segoe UI Symbol"/>
        <w:spacing w:val="0"/>
        <w:w w:val="84"/>
        <w:lang w:val="es-ES" w:eastAsia="en-US" w:bidi="ar-SA"/>
      </w:rPr>
    </w:lvl>
    <w:lvl w:ilvl="1">
      <w:start w:val="0"/>
      <w:numFmt w:val="bullet"/>
      <w:lvlText w:val="•"/>
      <w:lvlJc w:val="left"/>
      <w:pPr>
        <w:ind w:left="989" w:hanging="167"/>
      </w:pPr>
      <w:rPr>
        <w:rFonts w:hint="default"/>
        <w:lang w:val="es-ES" w:eastAsia="en-US" w:bidi="ar-SA"/>
      </w:rPr>
    </w:lvl>
    <w:lvl w:ilvl="2">
      <w:start w:val="0"/>
      <w:numFmt w:val="bullet"/>
      <w:lvlText w:val="•"/>
      <w:lvlJc w:val="left"/>
      <w:pPr>
        <w:ind w:left="1878" w:hanging="167"/>
      </w:pPr>
      <w:rPr>
        <w:rFonts w:hint="default"/>
        <w:lang w:val="es-ES" w:eastAsia="en-US" w:bidi="ar-SA"/>
      </w:rPr>
    </w:lvl>
    <w:lvl w:ilvl="3">
      <w:start w:val="0"/>
      <w:numFmt w:val="bullet"/>
      <w:lvlText w:val="•"/>
      <w:lvlJc w:val="left"/>
      <w:pPr>
        <w:ind w:left="2767" w:hanging="167"/>
      </w:pPr>
      <w:rPr>
        <w:rFonts w:hint="default"/>
        <w:lang w:val="es-ES" w:eastAsia="en-US" w:bidi="ar-SA"/>
      </w:rPr>
    </w:lvl>
    <w:lvl w:ilvl="4">
      <w:start w:val="0"/>
      <w:numFmt w:val="bullet"/>
      <w:lvlText w:val="•"/>
      <w:lvlJc w:val="left"/>
      <w:pPr>
        <w:ind w:left="3656" w:hanging="167"/>
      </w:pPr>
      <w:rPr>
        <w:rFonts w:hint="default"/>
        <w:lang w:val="es-ES" w:eastAsia="en-US" w:bidi="ar-SA"/>
      </w:rPr>
    </w:lvl>
    <w:lvl w:ilvl="5">
      <w:start w:val="0"/>
      <w:numFmt w:val="bullet"/>
      <w:lvlText w:val="•"/>
      <w:lvlJc w:val="left"/>
      <w:pPr>
        <w:ind w:left="4545" w:hanging="167"/>
      </w:pPr>
      <w:rPr>
        <w:rFonts w:hint="default"/>
        <w:lang w:val="es-ES" w:eastAsia="en-US" w:bidi="ar-SA"/>
      </w:rPr>
    </w:lvl>
    <w:lvl w:ilvl="6">
      <w:start w:val="0"/>
      <w:numFmt w:val="bullet"/>
      <w:lvlText w:val="•"/>
      <w:lvlJc w:val="left"/>
      <w:pPr>
        <w:ind w:left="5434" w:hanging="167"/>
      </w:pPr>
      <w:rPr>
        <w:rFonts w:hint="default"/>
        <w:lang w:val="es-ES" w:eastAsia="en-US" w:bidi="ar-SA"/>
      </w:rPr>
    </w:lvl>
    <w:lvl w:ilvl="7">
      <w:start w:val="0"/>
      <w:numFmt w:val="bullet"/>
      <w:lvlText w:val="•"/>
      <w:lvlJc w:val="left"/>
      <w:pPr>
        <w:ind w:left="6323" w:hanging="167"/>
      </w:pPr>
      <w:rPr>
        <w:rFonts w:hint="default"/>
        <w:lang w:val="es-ES" w:eastAsia="en-US" w:bidi="ar-SA"/>
      </w:rPr>
    </w:lvl>
    <w:lvl w:ilvl="8">
      <w:start w:val="0"/>
      <w:numFmt w:val="bullet"/>
      <w:lvlText w:val="•"/>
      <w:lvlJc w:val="left"/>
      <w:pPr>
        <w:ind w:left="7212" w:hanging="167"/>
      </w:pPr>
      <w:rPr>
        <w:rFonts w:hint="default"/>
        <w:lang w:val="es-ES" w:eastAsia="en-US" w:bidi="ar-SA"/>
      </w:rPr>
    </w:lvl>
  </w:abstractNum>
  <w:abstractNum w:abstractNumId="50">
    <w:multiLevelType w:val="hybridMultilevel"/>
    <w:lvl w:ilvl="0">
      <w:start w:val="0"/>
      <w:numFmt w:val="bullet"/>
      <w:lvlText w:val="•"/>
      <w:lvlJc w:val="left"/>
      <w:pPr>
        <w:ind w:left="823"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49">
    <w:multiLevelType w:val="hybridMultilevel"/>
    <w:lvl w:ilvl="0">
      <w:start w:val="0"/>
      <w:numFmt w:val="bullet"/>
      <w:lvlText w:val=""/>
      <w:lvlJc w:val="left"/>
      <w:pPr>
        <w:ind w:left="784"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01" w:hanging="360"/>
      </w:pPr>
      <w:rPr>
        <w:rFonts w:hint="default"/>
        <w:lang w:val="es-ES" w:eastAsia="en-US" w:bidi="ar-SA"/>
      </w:rPr>
    </w:lvl>
    <w:lvl w:ilvl="2">
      <w:start w:val="0"/>
      <w:numFmt w:val="bullet"/>
      <w:lvlText w:val="•"/>
      <w:lvlJc w:val="left"/>
      <w:pPr>
        <w:ind w:left="2421"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063" w:hanging="360"/>
      </w:pPr>
      <w:rPr>
        <w:rFonts w:hint="default"/>
        <w:lang w:val="es-ES" w:eastAsia="en-US" w:bidi="ar-SA"/>
      </w:rPr>
    </w:lvl>
    <w:lvl w:ilvl="5">
      <w:start w:val="0"/>
      <w:numFmt w:val="bullet"/>
      <w:lvlText w:val="•"/>
      <w:lvlJc w:val="left"/>
      <w:pPr>
        <w:ind w:left="4884" w:hanging="360"/>
      </w:pPr>
      <w:rPr>
        <w:rFonts w:hint="default"/>
        <w:lang w:val="es-ES" w:eastAsia="en-US" w:bidi="ar-SA"/>
      </w:rPr>
    </w:lvl>
    <w:lvl w:ilvl="6">
      <w:start w:val="0"/>
      <w:numFmt w:val="bullet"/>
      <w:lvlText w:val="•"/>
      <w:lvlJc w:val="left"/>
      <w:pPr>
        <w:ind w:left="5705" w:hanging="360"/>
      </w:pPr>
      <w:rPr>
        <w:rFonts w:hint="default"/>
        <w:lang w:val="es-ES" w:eastAsia="en-US" w:bidi="ar-SA"/>
      </w:rPr>
    </w:lvl>
    <w:lvl w:ilvl="7">
      <w:start w:val="0"/>
      <w:numFmt w:val="bullet"/>
      <w:lvlText w:val="•"/>
      <w:lvlJc w:val="left"/>
      <w:pPr>
        <w:ind w:left="6526" w:hanging="360"/>
      </w:pPr>
      <w:rPr>
        <w:rFonts w:hint="default"/>
        <w:lang w:val="es-ES" w:eastAsia="en-US" w:bidi="ar-SA"/>
      </w:rPr>
    </w:lvl>
    <w:lvl w:ilvl="8">
      <w:start w:val="0"/>
      <w:numFmt w:val="bullet"/>
      <w:lvlText w:val="•"/>
      <w:lvlJc w:val="left"/>
      <w:pPr>
        <w:ind w:left="7347" w:hanging="360"/>
      </w:pPr>
      <w:rPr>
        <w:rFonts w:hint="default"/>
        <w:lang w:val="es-ES" w:eastAsia="en-US" w:bidi="ar-SA"/>
      </w:rPr>
    </w:lvl>
  </w:abstractNum>
  <w:abstractNum w:abstractNumId="48">
    <w:multiLevelType w:val="hybridMultilevel"/>
    <w:lvl w:ilvl="0">
      <w:start w:val="0"/>
      <w:numFmt w:val="bullet"/>
      <w:lvlText w:val=""/>
      <w:lvlJc w:val="left"/>
      <w:pPr>
        <w:ind w:left="1450"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47">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46">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45">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44">
    <w:multiLevelType w:val="hybridMultilevel"/>
    <w:lvl w:ilvl="0">
      <w:start w:val="0"/>
      <w:numFmt w:val="bullet"/>
      <w:lvlText w:val=""/>
      <w:lvlJc w:val="left"/>
      <w:pPr>
        <w:ind w:left="784"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01" w:hanging="360"/>
      </w:pPr>
      <w:rPr>
        <w:rFonts w:hint="default"/>
        <w:lang w:val="es-ES" w:eastAsia="en-US" w:bidi="ar-SA"/>
      </w:rPr>
    </w:lvl>
    <w:lvl w:ilvl="2">
      <w:start w:val="0"/>
      <w:numFmt w:val="bullet"/>
      <w:lvlText w:val="•"/>
      <w:lvlJc w:val="left"/>
      <w:pPr>
        <w:ind w:left="2421"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063" w:hanging="360"/>
      </w:pPr>
      <w:rPr>
        <w:rFonts w:hint="default"/>
        <w:lang w:val="es-ES" w:eastAsia="en-US" w:bidi="ar-SA"/>
      </w:rPr>
    </w:lvl>
    <w:lvl w:ilvl="5">
      <w:start w:val="0"/>
      <w:numFmt w:val="bullet"/>
      <w:lvlText w:val="•"/>
      <w:lvlJc w:val="left"/>
      <w:pPr>
        <w:ind w:left="4884" w:hanging="360"/>
      </w:pPr>
      <w:rPr>
        <w:rFonts w:hint="default"/>
        <w:lang w:val="es-ES" w:eastAsia="en-US" w:bidi="ar-SA"/>
      </w:rPr>
    </w:lvl>
    <w:lvl w:ilvl="6">
      <w:start w:val="0"/>
      <w:numFmt w:val="bullet"/>
      <w:lvlText w:val="•"/>
      <w:lvlJc w:val="left"/>
      <w:pPr>
        <w:ind w:left="5705" w:hanging="360"/>
      </w:pPr>
      <w:rPr>
        <w:rFonts w:hint="default"/>
        <w:lang w:val="es-ES" w:eastAsia="en-US" w:bidi="ar-SA"/>
      </w:rPr>
    </w:lvl>
    <w:lvl w:ilvl="7">
      <w:start w:val="0"/>
      <w:numFmt w:val="bullet"/>
      <w:lvlText w:val="•"/>
      <w:lvlJc w:val="left"/>
      <w:pPr>
        <w:ind w:left="6526" w:hanging="360"/>
      </w:pPr>
      <w:rPr>
        <w:rFonts w:hint="default"/>
        <w:lang w:val="es-ES" w:eastAsia="en-US" w:bidi="ar-SA"/>
      </w:rPr>
    </w:lvl>
    <w:lvl w:ilvl="8">
      <w:start w:val="0"/>
      <w:numFmt w:val="bullet"/>
      <w:lvlText w:val="•"/>
      <w:lvlJc w:val="left"/>
      <w:pPr>
        <w:ind w:left="7347" w:hanging="360"/>
      </w:pPr>
      <w:rPr>
        <w:rFonts w:hint="default"/>
        <w:lang w:val="es-ES" w:eastAsia="en-US" w:bidi="ar-SA"/>
      </w:rPr>
    </w:lvl>
  </w:abstractNum>
  <w:abstractNum w:abstractNumId="43">
    <w:multiLevelType w:val="hybridMultilevel"/>
    <w:lvl w:ilvl="0">
      <w:start w:val="0"/>
      <w:numFmt w:val="bullet"/>
      <w:lvlText w:val=""/>
      <w:lvlJc w:val="left"/>
      <w:pPr>
        <w:ind w:left="784"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01" w:hanging="360"/>
      </w:pPr>
      <w:rPr>
        <w:rFonts w:hint="default"/>
        <w:lang w:val="es-ES" w:eastAsia="en-US" w:bidi="ar-SA"/>
      </w:rPr>
    </w:lvl>
    <w:lvl w:ilvl="2">
      <w:start w:val="0"/>
      <w:numFmt w:val="bullet"/>
      <w:lvlText w:val="•"/>
      <w:lvlJc w:val="left"/>
      <w:pPr>
        <w:ind w:left="2421" w:hanging="360"/>
      </w:pPr>
      <w:rPr>
        <w:rFonts w:hint="default"/>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063" w:hanging="360"/>
      </w:pPr>
      <w:rPr>
        <w:rFonts w:hint="default"/>
        <w:lang w:val="es-ES" w:eastAsia="en-US" w:bidi="ar-SA"/>
      </w:rPr>
    </w:lvl>
    <w:lvl w:ilvl="5">
      <w:start w:val="0"/>
      <w:numFmt w:val="bullet"/>
      <w:lvlText w:val="•"/>
      <w:lvlJc w:val="left"/>
      <w:pPr>
        <w:ind w:left="4884" w:hanging="360"/>
      </w:pPr>
      <w:rPr>
        <w:rFonts w:hint="default"/>
        <w:lang w:val="es-ES" w:eastAsia="en-US" w:bidi="ar-SA"/>
      </w:rPr>
    </w:lvl>
    <w:lvl w:ilvl="6">
      <w:start w:val="0"/>
      <w:numFmt w:val="bullet"/>
      <w:lvlText w:val="•"/>
      <w:lvlJc w:val="left"/>
      <w:pPr>
        <w:ind w:left="5705" w:hanging="360"/>
      </w:pPr>
      <w:rPr>
        <w:rFonts w:hint="default"/>
        <w:lang w:val="es-ES" w:eastAsia="en-US" w:bidi="ar-SA"/>
      </w:rPr>
    </w:lvl>
    <w:lvl w:ilvl="7">
      <w:start w:val="0"/>
      <w:numFmt w:val="bullet"/>
      <w:lvlText w:val="•"/>
      <w:lvlJc w:val="left"/>
      <w:pPr>
        <w:ind w:left="6526" w:hanging="360"/>
      </w:pPr>
      <w:rPr>
        <w:rFonts w:hint="default"/>
        <w:lang w:val="es-ES" w:eastAsia="en-US" w:bidi="ar-SA"/>
      </w:rPr>
    </w:lvl>
    <w:lvl w:ilvl="8">
      <w:start w:val="0"/>
      <w:numFmt w:val="bullet"/>
      <w:lvlText w:val="•"/>
      <w:lvlJc w:val="left"/>
      <w:pPr>
        <w:ind w:left="7347" w:hanging="360"/>
      </w:pPr>
      <w:rPr>
        <w:rFonts w:hint="default"/>
        <w:lang w:val="es-ES" w:eastAsia="en-US" w:bidi="ar-SA"/>
      </w:rPr>
    </w:lvl>
  </w:abstractNum>
  <w:abstractNum w:abstractNumId="42">
    <w:multiLevelType w:val="hybridMultilevel"/>
    <w:lvl w:ilvl="0">
      <w:start w:val="1"/>
      <w:numFmt w:val="lowerLetter"/>
      <w:lvlText w:val="%1)"/>
      <w:lvlJc w:val="left"/>
      <w:pPr>
        <w:ind w:left="206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1"/>
      <w:numFmt w:val="lowerLetter"/>
      <w:lvlText w:val="%2."/>
      <w:lvlJc w:val="left"/>
      <w:pPr>
        <w:ind w:left="278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3631" w:hanging="360"/>
      </w:pPr>
      <w:rPr>
        <w:rFonts w:hint="default"/>
        <w:lang w:val="es-ES" w:eastAsia="en-US" w:bidi="ar-SA"/>
      </w:rPr>
    </w:lvl>
    <w:lvl w:ilvl="3">
      <w:start w:val="0"/>
      <w:numFmt w:val="bullet"/>
      <w:lvlText w:val="•"/>
      <w:lvlJc w:val="left"/>
      <w:pPr>
        <w:ind w:left="4482" w:hanging="360"/>
      </w:pPr>
      <w:rPr>
        <w:rFonts w:hint="default"/>
        <w:lang w:val="es-ES" w:eastAsia="en-US" w:bidi="ar-SA"/>
      </w:rPr>
    </w:lvl>
    <w:lvl w:ilvl="4">
      <w:start w:val="0"/>
      <w:numFmt w:val="bullet"/>
      <w:lvlText w:val="•"/>
      <w:lvlJc w:val="left"/>
      <w:pPr>
        <w:ind w:left="5333" w:hanging="360"/>
      </w:pPr>
      <w:rPr>
        <w:rFonts w:hint="default"/>
        <w:lang w:val="es-ES" w:eastAsia="en-US" w:bidi="ar-SA"/>
      </w:rPr>
    </w:lvl>
    <w:lvl w:ilvl="5">
      <w:start w:val="0"/>
      <w:numFmt w:val="bullet"/>
      <w:lvlText w:val="•"/>
      <w:lvlJc w:val="left"/>
      <w:pPr>
        <w:ind w:left="6184" w:hanging="360"/>
      </w:pPr>
      <w:rPr>
        <w:rFonts w:hint="default"/>
        <w:lang w:val="es-ES" w:eastAsia="en-US" w:bidi="ar-SA"/>
      </w:rPr>
    </w:lvl>
    <w:lvl w:ilvl="6">
      <w:start w:val="0"/>
      <w:numFmt w:val="bullet"/>
      <w:lvlText w:val="•"/>
      <w:lvlJc w:val="left"/>
      <w:pPr>
        <w:ind w:left="7035" w:hanging="360"/>
      </w:pPr>
      <w:rPr>
        <w:rFonts w:hint="default"/>
        <w:lang w:val="es-ES" w:eastAsia="en-US" w:bidi="ar-SA"/>
      </w:rPr>
    </w:lvl>
    <w:lvl w:ilvl="7">
      <w:start w:val="0"/>
      <w:numFmt w:val="bullet"/>
      <w:lvlText w:val="•"/>
      <w:lvlJc w:val="left"/>
      <w:pPr>
        <w:ind w:left="7886" w:hanging="360"/>
      </w:pPr>
      <w:rPr>
        <w:rFonts w:hint="default"/>
        <w:lang w:val="es-ES" w:eastAsia="en-US" w:bidi="ar-SA"/>
      </w:rPr>
    </w:lvl>
    <w:lvl w:ilvl="8">
      <w:start w:val="0"/>
      <w:numFmt w:val="bullet"/>
      <w:lvlText w:val="•"/>
      <w:lvlJc w:val="left"/>
      <w:pPr>
        <w:ind w:left="8737" w:hanging="360"/>
      </w:pPr>
      <w:rPr>
        <w:rFonts w:hint="default"/>
        <w:lang w:val="es-ES" w:eastAsia="en-US" w:bidi="ar-SA"/>
      </w:rPr>
    </w:lvl>
  </w:abstractNum>
  <w:abstractNum w:abstractNumId="41">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40">
    <w:multiLevelType w:val="hybridMultilevel"/>
    <w:lvl w:ilvl="0">
      <w:start w:val="0"/>
      <w:numFmt w:val="bullet"/>
      <w:lvlText w:val=""/>
      <w:lvlJc w:val="left"/>
      <w:pPr>
        <w:ind w:left="823"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39">
    <w:multiLevelType w:val="hybridMultilevel"/>
    <w:lvl w:ilvl="0">
      <w:start w:val="0"/>
      <w:numFmt w:val="bullet"/>
      <w:lvlText w:val=""/>
      <w:lvlJc w:val="left"/>
      <w:pPr>
        <w:ind w:left="823"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1637" w:hanging="360"/>
      </w:pPr>
      <w:rPr>
        <w:rFonts w:hint="default"/>
        <w:lang w:val="es-ES" w:eastAsia="en-US" w:bidi="ar-SA"/>
      </w:rPr>
    </w:lvl>
    <w:lvl w:ilvl="2">
      <w:start w:val="0"/>
      <w:numFmt w:val="bullet"/>
      <w:lvlText w:val="•"/>
      <w:lvlJc w:val="left"/>
      <w:pPr>
        <w:ind w:left="2453" w:hanging="360"/>
      </w:pPr>
      <w:rPr>
        <w:rFonts w:hint="default"/>
        <w:lang w:val="es-ES" w:eastAsia="en-US" w:bidi="ar-SA"/>
      </w:rPr>
    </w:lvl>
    <w:lvl w:ilvl="3">
      <w:start w:val="0"/>
      <w:numFmt w:val="bullet"/>
      <w:lvlText w:val="•"/>
      <w:lvlJc w:val="left"/>
      <w:pPr>
        <w:ind w:left="3270" w:hanging="360"/>
      </w:pPr>
      <w:rPr>
        <w:rFonts w:hint="default"/>
        <w:lang w:val="es-ES" w:eastAsia="en-US" w:bidi="ar-SA"/>
      </w:rPr>
    </w:lvl>
    <w:lvl w:ilvl="4">
      <w:start w:val="0"/>
      <w:numFmt w:val="bullet"/>
      <w:lvlText w:val="•"/>
      <w:lvlJc w:val="left"/>
      <w:pPr>
        <w:ind w:left="4087" w:hanging="360"/>
      </w:pPr>
      <w:rPr>
        <w:rFonts w:hint="default"/>
        <w:lang w:val="es-ES" w:eastAsia="en-US" w:bidi="ar-SA"/>
      </w:rPr>
    </w:lvl>
    <w:lvl w:ilvl="5">
      <w:start w:val="0"/>
      <w:numFmt w:val="bullet"/>
      <w:lvlText w:val="•"/>
      <w:lvlJc w:val="left"/>
      <w:pPr>
        <w:ind w:left="4904" w:hanging="360"/>
      </w:pPr>
      <w:rPr>
        <w:rFonts w:hint="default"/>
        <w:lang w:val="es-ES" w:eastAsia="en-US" w:bidi="ar-SA"/>
      </w:rPr>
    </w:lvl>
    <w:lvl w:ilvl="6">
      <w:start w:val="0"/>
      <w:numFmt w:val="bullet"/>
      <w:lvlText w:val="•"/>
      <w:lvlJc w:val="left"/>
      <w:pPr>
        <w:ind w:left="5721" w:hanging="360"/>
      </w:pPr>
      <w:rPr>
        <w:rFonts w:hint="default"/>
        <w:lang w:val="es-ES" w:eastAsia="en-US" w:bidi="ar-SA"/>
      </w:rPr>
    </w:lvl>
    <w:lvl w:ilvl="7">
      <w:start w:val="0"/>
      <w:numFmt w:val="bullet"/>
      <w:lvlText w:val="•"/>
      <w:lvlJc w:val="left"/>
      <w:pPr>
        <w:ind w:left="6538" w:hanging="360"/>
      </w:pPr>
      <w:rPr>
        <w:rFonts w:hint="default"/>
        <w:lang w:val="es-ES" w:eastAsia="en-US" w:bidi="ar-SA"/>
      </w:rPr>
    </w:lvl>
    <w:lvl w:ilvl="8">
      <w:start w:val="0"/>
      <w:numFmt w:val="bullet"/>
      <w:lvlText w:val="•"/>
      <w:lvlJc w:val="left"/>
      <w:pPr>
        <w:ind w:left="7355" w:hanging="360"/>
      </w:pPr>
      <w:rPr>
        <w:rFonts w:hint="default"/>
        <w:lang w:val="es-ES" w:eastAsia="en-US" w:bidi="ar-SA"/>
      </w:rPr>
    </w:lvl>
  </w:abstractNum>
  <w:abstractNum w:abstractNumId="38">
    <w:multiLevelType w:val="hybridMultilevel"/>
    <w:lvl w:ilvl="0">
      <w:start w:val="2"/>
      <w:numFmt w:val="decimal"/>
      <w:lvlText w:val="%1."/>
      <w:lvlJc w:val="left"/>
      <w:pPr>
        <w:ind w:left="840" w:hanging="219"/>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1">
      <w:start w:val="1"/>
      <w:numFmt w:val="decimal"/>
      <w:lvlText w:val="%1.%2"/>
      <w:lvlJc w:val="left"/>
      <w:pPr>
        <w:ind w:left="948" w:hanging="327"/>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2">
      <w:start w:val="1"/>
      <w:numFmt w:val="lowerLetter"/>
      <w:lvlText w:val="%3)"/>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1"/>
      <w:numFmt w:val="lowerLetter"/>
      <w:lvlText w:val="%4."/>
      <w:lvlJc w:val="left"/>
      <w:pPr>
        <w:ind w:left="206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4">
      <w:start w:val="0"/>
      <w:numFmt w:val="bullet"/>
      <w:lvlText w:val="•"/>
      <w:lvlJc w:val="left"/>
      <w:pPr>
        <w:ind w:left="3257" w:hanging="360"/>
      </w:pPr>
      <w:rPr>
        <w:rFonts w:hint="default"/>
        <w:lang w:val="es-ES" w:eastAsia="en-US" w:bidi="ar-SA"/>
      </w:rPr>
    </w:lvl>
    <w:lvl w:ilvl="5">
      <w:start w:val="0"/>
      <w:numFmt w:val="bullet"/>
      <w:lvlText w:val="•"/>
      <w:lvlJc w:val="left"/>
      <w:pPr>
        <w:ind w:left="4454" w:hanging="360"/>
      </w:pPr>
      <w:rPr>
        <w:rFonts w:hint="default"/>
        <w:lang w:val="es-ES" w:eastAsia="en-US" w:bidi="ar-SA"/>
      </w:rPr>
    </w:lvl>
    <w:lvl w:ilvl="6">
      <w:start w:val="0"/>
      <w:numFmt w:val="bullet"/>
      <w:lvlText w:val="•"/>
      <w:lvlJc w:val="left"/>
      <w:pPr>
        <w:ind w:left="5651" w:hanging="360"/>
      </w:pPr>
      <w:rPr>
        <w:rFonts w:hint="default"/>
        <w:lang w:val="es-ES" w:eastAsia="en-US" w:bidi="ar-SA"/>
      </w:rPr>
    </w:lvl>
    <w:lvl w:ilvl="7">
      <w:start w:val="0"/>
      <w:numFmt w:val="bullet"/>
      <w:lvlText w:val="•"/>
      <w:lvlJc w:val="left"/>
      <w:pPr>
        <w:ind w:left="6848" w:hanging="360"/>
      </w:pPr>
      <w:rPr>
        <w:rFonts w:hint="default"/>
        <w:lang w:val="es-ES" w:eastAsia="en-US" w:bidi="ar-SA"/>
      </w:rPr>
    </w:lvl>
    <w:lvl w:ilvl="8">
      <w:start w:val="0"/>
      <w:numFmt w:val="bullet"/>
      <w:lvlText w:val="•"/>
      <w:lvlJc w:val="left"/>
      <w:pPr>
        <w:ind w:left="8045" w:hanging="360"/>
      </w:pPr>
      <w:rPr>
        <w:rFonts w:hint="default"/>
        <w:lang w:val="es-ES" w:eastAsia="en-US" w:bidi="ar-SA"/>
      </w:rPr>
    </w:lvl>
  </w:abstractNum>
  <w:abstractNum w:abstractNumId="37">
    <w:multiLevelType w:val="hybridMultilevel"/>
    <w:lvl w:ilvl="0">
      <w:start w:val="1"/>
      <w:numFmt w:val="decimal"/>
      <w:lvlText w:val="%1."/>
      <w:lvlJc w:val="left"/>
      <w:pPr>
        <w:ind w:left="109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730" w:hanging="116"/>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2">
      <w:start w:val="0"/>
      <w:numFmt w:val="bullet"/>
      <w:lvlText w:val="•"/>
      <w:lvlJc w:val="left"/>
      <w:pPr>
        <w:ind w:left="2137" w:hanging="116"/>
      </w:pPr>
      <w:rPr>
        <w:rFonts w:hint="default"/>
        <w:lang w:val="es-ES" w:eastAsia="en-US" w:bidi="ar-SA"/>
      </w:rPr>
    </w:lvl>
    <w:lvl w:ilvl="3">
      <w:start w:val="0"/>
      <w:numFmt w:val="bullet"/>
      <w:lvlText w:val="•"/>
      <w:lvlJc w:val="left"/>
      <w:pPr>
        <w:ind w:left="3175" w:hanging="116"/>
      </w:pPr>
      <w:rPr>
        <w:rFonts w:hint="default"/>
        <w:lang w:val="es-ES" w:eastAsia="en-US" w:bidi="ar-SA"/>
      </w:rPr>
    </w:lvl>
    <w:lvl w:ilvl="4">
      <w:start w:val="0"/>
      <w:numFmt w:val="bullet"/>
      <w:lvlText w:val="•"/>
      <w:lvlJc w:val="left"/>
      <w:pPr>
        <w:ind w:left="4213" w:hanging="116"/>
      </w:pPr>
      <w:rPr>
        <w:rFonts w:hint="default"/>
        <w:lang w:val="es-ES" w:eastAsia="en-US" w:bidi="ar-SA"/>
      </w:rPr>
    </w:lvl>
    <w:lvl w:ilvl="5">
      <w:start w:val="0"/>
      <w:numFmt w:val="bullet"/>
      <w:lvlText w:val="•"/>
      <w:lvlJc w:val="left"/>
      <w:pPr>
        <w:ind w:left="5251" w:hanging="116"/>
      </w:pPr>
      <w:rPr>
        <w:rFonts w:hint="default"/>
        <w:lang w:val="es-ES" w:eastAsia="en-US" w:bidi="ar-SA"/>
      </w:rPr>
    </w:lvl>
    <w:lvl w:ilvl="6">
      <w:start w:val="0"/>
      <w:numFmt w:val="bullet"/>
      <w:lvlText w:val="•"/>
      <w:lvlJc w:val="left"/>
      <w:pPr>
        <w:ind w:left="6288" w:hanging="116"/>
      </w:pPr>
      <w:rPr>
        <w:rFonts w:hint="default"/>
        <w:lang w:val="es-ES" w:eastAsia="en-US" w:bidi="ar-SA"/>
      </w:rPr>
    </w:lvl>
    <w:lvl w:ilvl="7">
      <w:start w:val="0"/>
      <w:numFmt w:val="bullet"/>
      <w:lvlText w:val="•"/>
      <w:lvlJc w:val="left"/>
      <w:pPr>
        <w:ind w:left="7326" w:hanging="116"/>
      </w:pPr>
      <w:rPr>
        <w:rFonts w:hint="default"/>
        <w:lang w:val="es-ES" w:eastAsia="en-US" w:bidi="ar-SA"/>
      </w:rPr>
    </w:lvl>
    <w:lvl w:ilvl="8">
      <w:start w:val="0"/>
      <w:numFmt w:val="bullet"/>
      <w:lvlText w:val="•"/>
      <w:lvlJc w:val="left"/>
      <w:pPr>
        <w:ind w:left="8364" w:hanging="116"/>
      </w:pPr>
      <w:rPr>
        <w:rFonts w:hint="default"/>
        <w:lang w:val="es-ES" w:eastAsia="en-US" w:bidi="ar-SA"/>
      </w:rPr>
    </w:lvl>
  </w:abstractNum>
  <w:abstractNum w:abstractNumId="36">
    <w:multiLevelType w:val="hybridMultilevel"/>
    <w:lvl w:ilvl="0">
      <w:start w:val="1"/>
      <w:numFmt w:val="lowerLetter"/>
      <w:lvlText w:val="(%1)"/>
      <w:lvlJc w:val="left"/>
      <w:pPr>
        <w:ind w:left="437" w:hanging="279"/>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295" w:hanging="279"/>
      </w:pPr>
      <w:rPr>
        <w:rFonts w:hint="default"/>
        <w:lang w:val="es-ES" w:eastAsia="en-US" w:bidi="ar-SA"/>
      </w:rPr>
    </w:lvl>
    <w:lvl w:ilvl="2">
      <w:start w:val="0"/>
      <w:numFmt w:val="bullet"/>
      <w:lvlText w:val="•"/>
      <w:lvlJc w:val="left"/>
      <w:pPr>
        <w:ind w:left="2149" w:hanging="279"/>
      </w:pPr>
      <w:rPr>
        <w:rFonts w:hint="default"/>
        <w:lang w:val="es-ES" w:eastAsia="en-US" w:bidi="ar-SA"/>
      </w:rPr>
    </w:lvl>
    <w:lvl w:ilvl="3">
      <w:start w:val="0"/>
      <w:numFmt w:val="bullet"/>
      <w:lvlText w:val="•"/>
      <w:lvlJc w:val="left"/>
      <w:pPr>
        <w:ind w:left="3004" w:hanging="279"/>
      </w:pPr>
      <w:rPr>
        <w:rFonts w:hint="default"/>
        <w:lang w:val="es-ES" w:eastAsia="en-US" w:bidi="ar-SA"/>
      </w:rPr>
    </w:lvl>
    <w:lvl w:ilvl="4">
      <w:start w:val="0"/>
      <w:numFmt w:val="bullet"/>
      <w:lvlText w:val="•"/>
      <w:lvlJc w:val="left"/>
      <w:pPr>
        <w:ind w:left="3859" w:hanging="279"/>
      </w:pPr>
      <w:rPr>
        <w:rFonts w:hint="default"/>
        <w:lang w:val="es-ES" w:eastAsia="en-US" w:bidi="ar-SA"/>
      </w:rPr>
    </w:lvl>
    <w:lvl w:ilvl="5">
      <w:start w:val="0"/>
      <w:numFmt w:val="bullet"/>
      <w:lvlText w:val="•"/>
      <w:lvlJc w:val="left"/>
      <w:pPr>
        <w:ind w:left="4714" w:hanging="279"/>
      </w:pPr>
      <w:rPr>
        <w:rFonts w:hint="default"/>
        <w:lang w:val="es-ES" w:eastAsia="en-US" w:bidi="ar-SA"/>
      </w:rPr>
    </w:lvl>
    <w:lvl w:ilvl="6">
      <w:start w:val="0"/>
      <w:numFmt w:val="bullet"/>
      <w:lvlText w:val="•"/>
      <w:lvlJc w:val="left"/>
      <w:pPr>
        <w:ind w:left="5569" w:hanging="279"/>
      </w:pPr>
      <w:rPr>
        <w:rFonts w:hint="default"/>
        <w:lang w:val="es-ES" w:eastAsia="en-US" w:bidi="ar-SA"/>
      </w:rPr>
    </w:lvl>
    <w:lvl w:ilvl="7">
      <w:start w:val="0"/>
      <w:numFmt w:val="bullet"/>
      <w:lvlText w:val="•"/>
      <w:lvlJc w:val="left"/>
      <w:pPr>
        <w:ind w:left="6424" w:hanging="279"/>
      </w:pPr>
      <w:rPr>
        <w:rFonts w:hint="default"/>
        <w:lang w:val="es-ES" w:eastAsia="en-US" w:bidi="ar-SA"/>
      </w:rPr>
    </w:lvl>
    <w:lvl w:ilvl="8">
      <w:start w:val="0"/>
      <w:numFmt w:val="bullet"/>
      <w:lvlText w:val="•"/>
      <w:lvlJc w:val="left"/>
      <w:pPr>
        <w:ind w:left="7279" w:hanging="279"/>
      </w:pPr>
      <w:rPr>
        <w:rFonts w:hint="default"/>
        <w:lang w:val="es-ES" w:eastAsia="en-US" w:bidi="ar-SA"/>
      </w:rPr>
    </w:lvl>
  </w:abstractNum>
  <w:abstractNum w:abstractNumId="35">
    <w:multiLevelType w:val="hybridMultilevel"/>
    <w:lvl w:ilvl="0">
      <w:start w:val="1"/>
      <w:numFmt w:val="lowerLetter"/>
      <w:lvlText w:val="%1)"/>
      <w:lvlJc w:val="left"/>
      <w:pPr>
        <w:ind w:left="1690" w:hanging="708"/>
        <w:jc w:val="left"/>
      </w:pPr>
      <w:rPr>
        <w:rFonts w:hint="default"/>
        <w:spacing w:val="-1"/>
        <w:w w:val="100"/>
        <w:lang w:val="es-ES" w:eastAsia="en-US" w:bidi="ar-SA"/>
      </w:rPr>
    </w:lvl>
    <w:lvl w:ilvl="1">
      <w:start w:val="0"/>
      <w:numFmt w:val="bullet"/>
      <w:lvlText w:val="•"/>
      <w:lvlJc w:val="left"/>
      <w:pPr>
        <w:ind w:left="2574" w:hanging="708"/>
      </w:pPr>
      <w:rPr>
        <w:rFonts w:hint="default"/>
        <w:lang w:val="es-ES" w:eastAsia="en-US" w:bidi="ar-SA"/>
      </w:rPr>
    </w:lvl>
    <w:lvl w:ilvl="2">
      <w:start w:val="0"/>
      <w:numFmt w:val="bullet"/>
      <w:lvlText w:val="•"/>
      <w:lvlJc w:val="left"/>
      <w:pPr>
        <w:ind w:left="3448" w:hanging="708"/>
      </w:pPr>
      <w:rPr>
        <w:rFonts w:hint="default"/>
        <w:lang w:val="es-ES" w:eastAsia="en-US" w:bidi="ar-SA"/>
      </w:rPr>
    </w:lvl>
    <w:lvl w:ilvl="3">
      <w:start w:val="0"/>
      <w:numFmt w:val="bullet"/>
      <w:lvlText w:val="•"/>
      <w:lvlJc w:val="left"/>
      <w:pPr>
        <w:ind w:left="4322" w:hanging="708"/>
      </w:pPr>
      <w:rPr>
        <w:rFonts w:hint="default"/>
        <w:lang w:val="es-ES" w:eastAsia="en-US" w:bidi="ar-SA"/>
      </w:rPr>
    </w:lvl>
    <w:lvl w:ilvl="4">
      <w:start w:val="0"/>
      <w:numFmt w:val="bullet"/>
      <w:lvlText w:val="•"/>
      <w:lvlJc w:val="left"/>
      <w:pPr>
        <w:ind w:left="5196" w:hanging="708"/>
      </w:pPr>
      <w:rPr>
        <w:rFonts w:hint="default"/>
        <w:lang w:val="es-ES" w:eastAsia="en-US" w:bidi="ar-SA"/>
      </w:rPr>
    </w:lvl>
    <w:lvl w:ilvl="5">
      <w:start w:val="0"/>
      <w:numFmt w:val="bullet"/>
      <w:lvlText w:val="•"/>
      <w:lvlJc w:val="left"/>
      <w:pPr>
        <w:ind w:left="6070" w:hanging="708"/>
      </w:pPr>
      <w:rPr>
        <w:rFonts w:hint="default"/>
        <w:lang w:val="es-ES" w:eastAsia="en-US" w:bidi="ar-SA"/>
      </w:rPr>
    </w:lvl>
    <w:lvl w:ilvl="6">
      <w:start w:val="0"/>
      <w:numFmt w:val="bullet"/>
      <w:lvlText w:val="•"/>
      <w:lvlJc w:val="left"/>
      <w:pPr>
        <w:ind w:left="6944" w:hanging="708"/>
      </w:pPr>
      <w:rPr>
        <w:rFonts w:hint="default"/>
        <w:lang w:val="es-ES" w:eastAsia="en-US" w:bidi="ar-SA"/>
      </w:rPr>
    </w:lvl>
    <w:lvl w:ilvl="7">
      <w:start w:val="0"/>
      <w:numFmt w:val="bullet"/>
      <w:lvlText w:val="•"/>
      <w:lvlJc w:val="left"/>
      <w:pPr>
        <w:ind w:left="7818" w:hanging="708"/>
      </w:pPr>
      <w:rPr>
        <w:rFonts w:hint="default"/>
        <w:lang w:val="es-ES" w:eastAsia="en-US" w:bidi="ar-SA"/>
      </w:rPr>
    </w:lvl>
    <w:lvl w:ilvl="8">
      <w:start w:val="0"/>
      <w:numFmt w:val="bullet"/>
      <w:lvlText w:val="•"/>
      <w:lvlJc w:val="left"/>
      <w:pPr>
        <w:ind w:left="8692" w:hanging="708"/>
      </w:pPr>
      <w:rPr>
        <w:rFonts w:hint="default"/>
        <w:lang w:val="es-ES" w:eastAsia="en-US" w:bidi="ar-SA"/>
      </w:rPr>
    </w:lvl>
  </w:abstractNum>
  <w:abstractNum w:abstractNumId="34">
    <w:multiLevelType w:val="hybridMultilevel"/>
    <w:lvl w:ilvl="0">
      <w:start w:val="1"/>
      <w:numFmt w:val="lowerLetter"/>
      <w:lvlText w:val="%1)"/>
      <w:lvlJc w:val="left"/>
      <w:pPr>
        <w:ind w:left="734" w:hanging="216"/>
        <w:jc w:val="left"/>
      </w:pPr>
      <w:rPr>
        <w:rFonts w:hint="default" w:ascii="Baskerville Old Face" w:hAnsi="Baskerville Old Face" w:eastAsia="Baskerville Old Face" w:cs="Baskerville Old Face"/>
        <w:b w:val="0"/>
        <w:bCs w:val="0"/>
        <w:i/>
        <w:iCs/>
        <w:spacing w:val="-1"/>
        <w:w w:val="96"/>
        <w:sz w:val="23"/>
        <w:szCs w:val="23"/>
        <w:lang w:val="es-ES" w:eastAsia="en-US" w:bidi="ar-SA"/>
      </w:rPr>
    </w:lvl>
    <w:lvl w:ilvl="1">
      <w:start w:val="0"/>
      <w:numFmt w:val="bullet"/>
      <w:lvlText w:val="•"/>
      <w:lvlJc w:val="left"/>
      <w:pPr>
        <w:ind w:left="1710" w:hanging="216"/>
      </w:pPr>
      <w:rPr>
        <w:rFonts w:hint="default"/>
        <w:lang w:val="es-ES" w:eastAsia="en-US" w:bidi="ar-SA"/>
      </w:rPr>
    </w:lvl>
    <w:lvl w:ilvl="2">
      <w:start w:val="0"/>
      <w:numFmt w:val="bullet"/>
      <w:lvlText w:val="•"/>
      <w:lvlJc w:val="left"/>
      <w:pPr>
        <w:ind w:left="2680" w:hanging="216"/>
      </w:pPr>
      <w:rPr>
        <w:rFonts w:hint="default"/>
        <w:lang w:val="es-ES" w:eastAsia="en-US" w:bidi="ar-SA"/>
      </w:rPr>
    </w:lvl>
    <w:lvl w:ilvl="3">
      <w:start w:val="0"/>
      <w:numFmt w:val="bullet"/>
      <w:lvlText w:val="•"/>
      <w:lvlJc w:val="left"/>
      <w:pPr>
        <w:ind w:left="3650" w:hanging="216"/>
      </w:pPr>
      <w:rPr>
        <w:rFonts w:hint="default"/>
        <w:lang w:val="es-ES" w:eastAsia="en-US" w:bidi="ar-SA"/>
      </w:rPr>
    </w:lvl>
    <w:lvl w:ilvl="4">
      <w:start w:val="0"/>
      <w:numFmt w:val="bullet"/>
      <w:lvlText w:val="•"/>
      <w:lvlJc w:val="left"/>
      <w:pPr>
        <w:ind w:left="4620" w:hanging="216"/>
      </w:pPr>
      <w:rPr>
        <w:rFonts w:hint="default"/>
        <w:lang w:val="es-ES" w:eastAsia="en-US" w:bidi="ar-SA"/>
      </w:rPr>
    </w:lvl>
    <w:lvl w:ilvl="5">
      <w:start w:val="0"/>
      <w:numFmt w:val="bullet"/>
      <w:lvlText w:val="•"/>
      <w:lvlJc w:val="left"/>
      <w:pPr>
        <w:ind w:left="5590" w:hanging="216"/>
      </w:pPr>
      <w:rPr>
        <w:rFonts w:hint="default"/>
        <w:lang w:val="es-ES" w:eastAsia="en-US" w:bidi="ar-SA"/>
      </w:rPr>
    </w:lvl>
    <w:lvl w:ilvl="6">
      <w:start w:val="0"/>
      <w:numFmt w:val="bullet"/>
      <w:lvlText w:val="•"/>
      <w:lvlJc w:val="left"/>
      <w:pPr>
        <w:ind w:left="6560" w:hanging="216"/>
      </w:pPr>
      <w:rPr>
        <w:rFonts w:hint="default"/>
        <w:lang w:val="es-ES" w:eastAsia="en-US" w:bidi="ar-SA"/>
      </w:rPr>
    </w:lvl>
    <w:lvl w:ilvl="7">
      <w:start w:val="0"/>
      <w:numFmt w:val="bullet"/>
      <w:lvlText w:val="•"/>
      <w:lvlJc w:val="left"/>
      <w:pPr>
        <w:ind w:left="7530" w:hanging="216"/>
      </w:pPr>
      <w:rPr>
        <w:rFonts w:hint="default"/>
        <w:lang w:val="es-ES" w:eastAsia="en-US" w:bidi="ar-SA"/>
      </w:rPr>
    </w:lvl>
    <w:lvl w:ilvl="8">
      <w:start w:val="0"/>
      <w:numFmt w:val="bullet"/>
      <w:lvlText w:val="•"/>
      <w:lvlJc w:val="left"/>
      <w:pPr>
        <w:ind w:left="8500" w:hanging="216"/>
      </w:pPr>
      <w:rPr>
        <w:rFonts w:hint="default"/>
        <w:lang w:val="es-ES" w:eastAsia="en-US" w:bidi="ar-SA"/>
      </w:rPr>
    </w:lvl>
  </w:abstractNum>
  <w:abstractNum w:abstractNumId="33">
    <w:multiLevelType w:val="hybridMultilevel"/>
    <w:lvl w:ilvl="0">
      <w:start w:val="1"/>
      <w:numFmt w:val="lowerLetter"/>
      <w:lvlText w:val="%1)"/>
      <w:lvlJc w:val="left"/>
      <w:pPr>
        <w:ind w:left="943" w:hanging="214"/>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890" w:hanging="214"/>
      </w:pPr>
      <w:rPr>
        <w:rFonts w:hint="default"/>
        <w:lang w:val="es-ES" w:eastAsia="en-US" w:bidi="ar-SA"/>
      </w:rPr>
    </w:lvl>
    <w:lvl w:ilvl="2">
      <w:start w:val="0"/>
      <w:numFmt w:val="bullet"/>
      <w:lvlText w:val="•"/>
      <w:lvlJc w:val="left"/>
      <w:pPr>
        <w:ind w:left="2840" w:hanging="214"/>
      </w:pPr>
      <w:rPr>
        <w:rFonts w:hint="default"/>
        <w:lang w:val="es-ES" w:eastAsia="en-US" w:bidi="ar-SA"/>
      </w:rPr>
    </w:lvl>
    <w:lvl w:ilvl="3">
      <w:start w:val="0"/>
      <w:numFmt w:val="bullet"/>
      <w:lvlText w:val="•"/>
      <w:lvlJc w:val="left"/>
      <w:pPr>
        <w:ind w:left="3790" w:hanging="214"/>
      </w:pPr>
      <w:rPr>
        <w:rFonts w:hint="default"/>
        <w:lang w:val="es-ES" w:eastAsia="en-US" w:bidi="ar-SA"/>
      </w:rPr>
    </w:lvl>
    <w:lvl w:ilvl="4">
      <w:start w:val="0"/>
      <w:numFmt w:val="bullet"/>
      <w:lvlText w:val="•"/>
      <w:lvlJc w:val="left"/>
      <w:pPr>
        <w:ind w:left="4740" w:hanging="214"/>
      </w:pPr>
      <w:rPr>
        <w:rFonts w:hint="default"/>
        <w:lang w:val="es-ES" w:eastAsia="en-US" w:bidi="ar-SA"/>
      </w:rPr>
    </w:lvl>
    <w:lvl w:ilvl="5">
      <w:start w:val="0"/>
      <w:numFmt w:val="bullet"/>
      <w:lvlText w:val="•"/>
      <w:lvlJc w:val="left"/>
      <w:pPr>
        <w:ind w:left="5690" w:hanging="214"/>
      </w:pPr>
      <w:rPr>
        <w:rFonts w:hint="default"/>
        <w:lang w:val="es-ES" w:eastAsia="en-US" w:bidi="ar-SA"/>
      </w:rPr>
    </w:lvl>
    <w:lvl w:ilvl="6">
      <w:start w:val="0"/>
      <w:numFmt w:val="bullet"/>
      <w:lvlText w:val="•"/>
      <w:lvlJc w:val="left"/>
      <w:pPr>
        <w:ind w:left="6640" w:hanging="214"/>
      </w:pPr>
      <w:rPr>
        <w:rFonts w:hint="default"/>
        <w:lang w:val="es-ES" w:eastAsia="en-US" w:bidi="ar-SA"/>
      </w:rPr>
    </w:lvl>
    <w:lvl w:ilvl="7">
      <w:start w:val="0"/>
      <w:numFmt w:val="bullet"/>
      <w:lvlText w:val="•"/>
      <w:lvlJc w:val="left"/>
      <w:pPr>
        <w:ind w:left="7590" w:hanging="214"/>
      </w:pPr>
      <w:rPr>
        <w:rFonts w:hint="default"/>
        <w:lang w:val="es-ES" w:eastAsia="en-US" w:bidi="ar-SA"/>
      </w:rPr>
    </w:lvl>
    <w:lvl w:ilvl="8">
      <w:start w:val="0"/>
      <w:numFmt w:val="bullet"/>
      <w:lvlText w:val="•"/>
      <w:lvlJc w:val="left"/>
      <w:pPr>
        <w:ind w:left="8540" w:hanging="214"/>
      </w:pPr>
      <w:rPr>
        <w:rFonts w:hint="default"/>
        <w:lang w:val="es-ES" w:eastAsia="en-US" w:bidi="ar-SA"/>
      </w:rPr>
    </w:lvl>
  </w:abstractNum>
  <w:abstractNum w:abstractNumId="32">
    <w:multiLevelType w:val="hybridMultilevel"/>
    <w:lvl w:ilvl="0">
      <w:start w:val="1"/>
      <w:numFmt w:val="lowerLetter"/>
      <w:lvlText w:val="%1."/>
      <w:lvlJc w:val="left"/>
      <w:pPr>
        <w:ind w:left="1450"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31">
    <w:multiLevelType w:val="hybridMultilevel"/>
    <w:lvl w:ilvl="0">
      <w:start w:val="0"/>
      <w:numFmt w:val="bullet"/>
      <w:lvlText w:val=""/>
      <w:lvlJc w:val="left"/>
      <w:pPr>
        <w:ind w:left="1342"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30">
    <w:multiLevelType w:val="hybridMultilevel"/>
    <w:lvl w:ilvl="0">
      <w:start w:val="1"/>
      <w:numFmt w:val="decimal"/>
      <w:lvlText w:val="%1"/>
      <w:lvlJc w:val="left"/>
      <w:pPr>
        <w:ind w:left="948" w:hanging="327"/>
        <w:jc w:val="left"/>
      </w:pPr>
      <w:rPr>
        <w:rFonts w:hint="default"/>
        <w:lang w:val="es-ES" w:eastAsia="en-US" w:bidi="ar-SA"/>
      </w:rPr>
    </w:lvl>
    <w:lvl w:ilvl="1">
      <w:start w:val="1"/>
      <w:numFmt w:val="decimal"/>
      <w:lvlText w:val="%1.%2"/>
      <w:lvlJc w:val="left"/>
      <w:pPr>
        <w:ind w:left="948" w:hanging="327"/>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2">
      <w:start w:val="1"/>
      <w:numFmt w:val="upperRoman"/>
      <w:lvlText w:val="%3."/>
      <w:lvlJc w:val="left"/>
      <w:pPr>
        <w:ind w:left="2021"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0"/>
      <w:numFmt w:val="bullet"/>
      <w:lvlText w:val="•"/>
      <w:lvlJc w:val="left"/>
      <w:pPr>
        <w:ind w:left="3891" w:hanging="360"/>
      </w:pPr>
      <w:rPr>
        <w:rFonts w:hint="default"/>
        <w:lang w:val="es-ES" w:eastAsia="en-US" w:bidi="ar-SA"/>
      </w:rPr>
    </w:lvl>
    <w:lvl w:ilvl="4">
      <w:start w:val="0"/>
      <w:numFmt w:val="bullet"/>
      <w:lvlText w:val="•"/>
      <w:lvlJc w:val="left"/>
      <w:pPr>
        <w:ind w:left="4826" w:hanging="360"/>
      </w:pPr>
      <w:rPr>
        <w:rFonts w:hint="default"/>
        <w:lang w:val="es-ES" w:eastAsia="en-US" w:bidi="ar-SA"/>
      </w:rPr>
    </w:lvl>
    <w:lvl w:ilvl="5">
      <w:start w:val="0"/>
      <w:numFmt w:val="bullet"/>
      <w:lvlText w:val="•"/>
      <w:lvlJc w:val="left"/>
      <w:pPr>
        <w:ind w:left="5762" w:hanging="360"/>
      </w:pPr>
      <w:rPr>
        <w:rFonts w:hint="default"/>
        <w:lang w:val="es-ES" w:eastAsia="en-US" w:bidi="ar-SA"/>
      </w:rPr>
    </w:lvl>
    <w:lvl w:ilvl="6">
      <w:start w:val="0"/>
      <w:numFmt w:val="bullet"/>
      <w:lvlText w:val="•"/>
      <w:lvlJc w:val="left"/>
      <w:pPr>
        <w:ind w:left="6697" w:hanging="360"/>
      </w:pPr>
      <w:rPr>
        <w:rFonts w:hint="default"/>
        <w:lang w:val="es-ES" w:eastAsia="en-US" w:bidi="ar-SA"/>
      </w:rPr>
    </w:lvl>
    <w:lvl w:ilvl="7">
      <w:start w:val="0"/>
      <w:numFmt w:val="bullet"/>
      <w:lvlText w:val="•"/>
      <w:lvlJc w:val="left"/>
      <w:pPr>
        <w:ind w:left="7633"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29">
    <w:multiLevelType w:val="hybridMultilevel"/>
    <w:lvl w:ilvl="0">
      <w:start w:val="1"/>
      <w:numFmt w:val="decimal"/>
      <w:lvlText w:val="%1"/>
      <w:lvlJc w:val="left"/>
      <w:pPr>
        <w:ind w:left="1002" w:hanging="381"/>
        <w:jc w:val="left"/>
      </w:pPr>
      <w:rPr>
        <w:rFonts w:hint="default"/>
        <w:lang w:val="es-ES" w:eastAsia="en-US" w:bidi="ar-SA"/>
      </w:rPr>
    </w:lvl>
    <w:lvl w:ilvl="1">
      <w:start w:val="1"/>
      <w:numFmt w:val="decimal"/>
      <w:lvlText w:val="%1.%2."/>
      <w:lvlJc w:val="left"/>
      <w:pPr>
        <w:ind w:left="1002" w:hanging="381"/>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2">
      <w:start w:val="0"/>
      <w:numFmt w:val="bullet"/>
      <w:lvlText w:val="•"/>
      <w:lvlJc w:val="left"/>
      <w:pPr>
        <w:ind w:left="2888" w:hanging="381"/>
      </w:pPr>
      <w:rPr>
        <w:rFonts w:hint="default"/>
        <w:lang w:val="es-ES" w:eastAsia="en-US" w:bidi="ar-SA"/>
      </w:rPr>
    </w:lvl>
    <w:lvl w:ilvl="3">
      <w:start w:val="0"/>
      <w:numFmt w:val="bullet"/>
      <w:lvlText w:val="•"/>
      <w:lvlJc w:val="left"/>
      <w:pPr>
        <w:ind w:left="3832" w:hanging="381"/>
      </w:pPr>
      <w:rPr>
        <w:rFonts w:hint="default"/>
        <w:lang w:val="es-ES" w:eastAsia="en-US" w:bidi="ar-SA"/>
      </w:rPr>
    </w:lvl>
    <w:lvl w:ilvl="4">
      <w:start w:val="0"/>
      <w:numFmt w:val="bullet"/>
      <w:lvlText w:val="•"/>
      <w:lvlJc w:val="left"/>
      <w:pPr>
        <w:ind w:left="4776" w:hanging="381"/>
      </w:pPr>
      <w:rPr>
        <w:rFonts w:hint="default"/>
        <w:lang w:val="es-ES" w:eastAsia="en-US" w:bidi="ar-SA"/>
      </w:rPr>
    </w:lvl>
    <w:lvl w:ilvl="5">
      <w:start w:val="0"/>
      <w:numFmt w:val="bullet"/>
      <w:lvlText w:val="•"/>
      <w:lvlJc w:val="left"/>
      <w:pPr>
        <w:ind w:left="5720" w:hanging="381"/>
      </w:pPr>
      <w:rPr>
        <w:rFonts w:hint="default"/>
        <w:lang w:val="es-ES" w:eastAsia="en-US" w:bidi="ar-SA"/>
      </w:rPr>
    </w:lvl>
    <w:lvl w:ilvl="6">
      <w:start w:val="0"/>
      <w:numFmt w:val="bullet"/>
      <w:lvlText w:val="•"/>
      <w:lvlJc w:val="left"/>
      <w:pPr>
        <w:ind w:left="6664" w:hanging="381"/>
      </w:pPr>
      <w:rPr>
        <w:rFonts w:hint="default"/>
        <w:lang w:val="es-ES" w:eastAsia="en-US" w:bidi="ar-SA"/>
      </w:rPr>
    </w:lvl>
    <w:lvl w:ilvl="7">
      <w:start w:val="0"/>
      <w:numFmt w:val="bullet"/>
      <w:lvlText w:val="•"/>
      <w:lvlJc w:val="left"/>
      <w:pPr>
        <w:ind w:left="7608" w:hanging="381"/>
      </w:pPr>
      <w:rPr>
        <w:rFonts w:hint="default"/>
        <w:lang w:val="es-ES" w:eastAsia="en-US" w:bidi="ar-SA"/>
      </w:rPr>
    </w:lvl>
    <w:lvl w:ilvl="8">
      <w:start w:val="0"/>
      <w:numFmt w:val="bullet"/>
      <w:lvlText w:val="•"/>
      <w:lvlJc w:val="left"/>
      <w:pPr>
        <w:ind w:left="8552" w:hanging="381"/>
      </w:pPr>
      <w:rPr>
        <w:rFonts w:hint="default"/>
        <w:lang w:val="es-ES" w:eastAsia="en-US" w:bidi="ar-SA"/>
      </w:rPr>
    </w:lvl>
  </w:abstractNum>
  <w:abstractNum w:abstractNumId="28">
    <w:multiLevelType w:val="hybridMultilevel"/>
    <w:lvl w:ilvl="0">
      <w:start w:val="1"/>
      <w:numFmt w:val="lowerLetter"/>
      <w:lvlText w:val="%1)"/>
      <w:lvlJc w:val="left"/>
      <w:pPr>
        <w:ind w:left="948" w:hanging="214"/>
        <w:jc w:val="left"/>
      </w:pPr>
      <w:rPr>
        <w:rFonts w:hint="default"/>
        <w:spacing w:val="-1"/>
        <w:w w:val="100"/>
        <w:lang w:val="es-ES" w:eastAsia="en-US" w:bidi="ar-SA"/>
      </w:rPr>
    </w:lvl>
    <w:lvl w:ilvl="1">
      <w:start w:val="0"/>
      <w:numFmt w:val="bullet"/>
      <w:lvlText w:val="•"/>
      <w:lvlJc w:val="left"/>
      <w:pPr>
        <w:ind w:left="1890" w:hanging="214"/>
      </w:pPr>
      <w:rPr>
        <w:rFonts w:hint="default"/>
        <w:lang w:val="es-ES" w:eastAsia="en-US" w:bidi="ar-SA"/>
      </w:rPr>
    </w:lvl>
    <w:lvl w:ilvl="2">
      <w:start w:val="0"/>
      <w:numFmt w:val="bullet"/>
      <w:lvlText w:val="•"/>
      <w:lvlJc w:val="left"/>
      <w:pPr>
        <w:ind w:left="2840" w:hanging="214"/>
      </w:pPr>
      <w:rPr>
        <w:rFonts w:hint="default"/>
        <w:lang w:val="es-ES" w:eastAsia="en-US" w:bidi="ar-SA"/>
      </w:rPr>
    </w:lvl>
    <w:lvl w:ilvl="3">
      <w:start w:val="0"/>
      <w:numFmt w:val="bullet"/>
      <w:lvlText w:val="•"/>
      <w:lvlJc w:val="left"/>
      <w:pPr>
        <w:ind w:left="3790" w:hanging="214"/>
      </w:pPr>
      <w:rPr>
        <w:rFonts w:hint="default"/>
        <w:lang w:val="es-ES" w:eastAsia="en-US" w:bidi="ar-SA"/>
      </w:rPr>
    </w:lvl>
    <w:lvl w:ilvl="4">
      <w:start w:val="0"/>
      <w:numFmt w:val="bullet"/>
      <w:lvlText w:val="•"/>
      <w:lvlJc w:val="left"/>
      <w:pPr>
        <w:ind w:left="4740" w:hanging="214"/>
      </w:pPr>
      <w:rPr>
        <w:rFonts w:hint="default"/>
        <w:lang w:val="es-ES" w:eastAsia="en-US" w:bidi="ar-SA"/>
      </w:rPr>
    </w:lvl>
    <w:lvl w:ilvl="5">
      <w:start w:val="0"/>
      <w:numFmt w:val="bullet"/>
      <w:lvlText w:val="•"/>
      <w:lvlJc w:val="left"/>
      <w:pPr>
        <w:ind w:left="5690" w:hanging="214"/>
      </w:pPr>
      <w:rPr>
        <w:rFonts w:hint="default"/>
        <w:lang w:val="es-ES" w:eastAsia="en-US" w:bidi="ar-SA"/>
      </w:rPr>
    </w:lvl>
    <w:lvl w:ilvl="6">
      <w:start w:val="0"/>
      <w:numFmt w:val="bullet"/>
      <w:lvlText w:val="•"/>
      <w:lvlJc w:val="left"/>
      <w:pPr>
        <w:ind w:left="6640" w:hanging="214"/>
      </w:pPr>
      <w:rPr>
        <w:rFonts w:hint="default"/>
        <w:lang w:val="es-ES" w:eastAsia="en-US" w:bidi="ar-SA"/>
      </w:rPr>
    </w:lvl>
    <w:lvl w:ilvl="7">
      <w:start w:val="0"/>
      <w:numFmt w:val="bullet"/>
      <w:lvlText w:val="•"/>
      <w:lvlJc w:val="left"/>
      <w:pPr>
        <w:ind w:left="7590" w:hanging="214"/>
      </w:pPr>
      <w:rPr>
        <w:rFonts w:hint="default"/>
        <w:lang w:val="es-ES" w:eastAsia="en-US" w:bidi="ar-SA"/>
      </w:rPr>
    </w:lvl>
    <w:lvl w:ilvl="8">
      <w:start w:val="0"/>
      <w:numFmt w:val="bullet"/>
      <w:lvlText w:val="•"/>
      <w:lvlJc w:val="left"/>
      <w:pPr>
        <w:ind w:left="8540" w:hanging="214"/>
      </w:pPr>
      <w:rPr>
        <w:rFonts w:hint="default"/>
        <w:lang w:val="es-ES" w:eastAsia="en-US" w:bidi="ar-SA"/>
      </w:rPr>
    </w:lvl>
  </w:abstractNum>
  <w:abstractNum w:abstractNumId="27">
    <w:multiLevelType w:val="hybridMultilevel"/>
    <w:lvl w:ilvl="0">
      <w:start w:val="1"/>
      <w:numFmt w:val="lowerLetter"/>
      <w:lvlText w:val="(%1)"/>
      <w:lvlJc w:val="left"/>
      <w:pPr>
        <w:ind w:left="734" w:hanging="30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734" w:hanging="167"/>
      </w:pPr>
      <w:rPr>
        <w:rFonts w:hint="default" w:ascii="Segoe UI Symbol" w:hAnsi="Segoe UI Symbol" w:eastAsia="Segoe UI Symbol" w:cs="Segoe UI Symbol"/>
        <w:spacing w:val="0"/>
        <w:w w:val="84"/>
        <w:lang w:val="es-ES" w:eastAsia="en-US" w:bidi="ar-SA"/>
      </w:rPr>
    </w:lvl>
    <w:lvl w:ilvl="2">
      <w:start w:val="0"/>
      <w:numFmt w:val="bullet"/>
      <w:lvlText w:val="•"/>
      <w:lvlJc w:val="left"/>
      <w:pPr>
        <w:ind w:left="2680" w:hanging="167"/>
      </w:pPr>
      <w:rPr>
        <w:rFonts w:hint="default"/>
        <w:lang w:val="es-ES" w:eastAsia="en-US" w:bidi="ar-SA"/>
      </w:rPr>
    </w:lvl>
    <w:lvl w:ilvl="3">
      <w:start w:val="0"/>
      <w:numFmt w:val="bullet"/>
      <w:lvlText w:val="•"/>
      <w:lvlJc w:val="left"/>
      <w:pPr>
        <w:ind w:left="3650" w:hanging="167"/>
      </w:pPr>
      <w:rPr>
        <w:rFonts w:hint="default"/>
        <w:lang w:val="es-ES" w:eastAsia="en-US" w:bidi="ar-SA"/>
      </w:rPr>
    </w:lvl>
    <w:lvl w:ilvl="4">
      <w:start w:val="0"/>
      <w:numFmt w:val="bullet"/>
      <w:lvlText w:val="•"/>
      <w:lvlJc w:val="left"/>
      <w:pPr>
        <w:ind w:left="4620" w:hanging="167"/>
      </w:pPr>
      <w:rPr>
        <w:rFonts w:hint="default"/>
        <w:lang w:val="es-ES" w:eastAsia="en-US" w:bidi="ar-SA"/>
      </w:rPr>
    </w:lvl>
    <w:lvl w:ilvl="5">
      <w:start w:val="0"/>
      <w:numFmt w:val="bullet"/>
      <w:lvlText w:val="•"/>
      <w:lvlJc w:val="left"/>
      <w:pPr>
        <w:ind w:left="5590" w:hanging="167"/>
      </w:pPr>
      <w:rPr>
        <w:rFonts w:hint="default"/>
        <w:lang w:val="es-ES" w:eastAsia="en-US" w:bidi="ar-SA"/>
      </w:rPr>
    </w:lvl>
    <w:lvl w:ilvl="6">
      <w:start w:val="0"/>
      <w:numFmt w:val="bullet"/>
      <w:lvlText w:val="•"/>
      <w:lvlJc w:val="left"/>
      <w:pPr>
        <w:ind w:left="6560" w:hanging="167"/>
      </w:pPr>
      <w:rPr>
        <w:rFonts w:hint="default"/>
        <w:lang w:val="es-ES" w:eastAsia="en-US" w:bidi="ar-SA"/>
      </w:rPr>
    </w:lvl>
    <w:lvl w:ilvl="7">
      <w:start w:val="0"/>
      <w:numFmt w:val="bullet"/>
      <w:lvlText w:val="•"/>
      <w:lvlJc w:val="left"/>
      <w:pPr>
        <w:ind w:left="7530" w:hanging="167"/>
      </w:pPr>
      <w:rPr>
        <w:rFonts w:hint="default"/>
        <w:lang w:val="es-ES" w:eastAsia="en-US" w:bidi="ar-SA"/>
      </w:rPr>
    </w:lvl>
    <w:lvl w:ilvl="8">
      <w:start w:val="0"/>
      <w:numFmt w:val="bullet"/>
      <w:lvlText w:val="•"/>
      <w:lvlJc w:val="left"/>
      <w:pPr>
        <w:ind w:left="8500" w:hanging="167"/>
      </w:pPr>
      <w:rPr>
        <w:rFonts w:hint="default"/>
        <w:lang w:val="es-ES" w:eastAsia="en-US" w:bidi="ar-SA"/>
      </w:rPr>
    </w:lvl>
  </w:abstractNum>
  <w:abstractNum w:abstractNumId="26">
    <w:multiLevelType w:val="hybridMultilevel"/>
    <w:lvl w:ilvl="0">
      <w:start w:val="0"/>
      <w:numFmt w:val="bullet"/>
      <w:lvlText w:val="•"/>
      <w:lvlJc w:val="left"/>
      <w:pPr>
        <w:ind w:left="1454"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25">
    <w:multiLevelType w:val="hybridMultilevel"/>
    <w:lvl w:ilvl="0">
      <w:start w:val="1"/>
      <w:numFmt w:val="lowerLetter"/>
      <w:lvlText w:val="(%1)"/>
      <w:lvlJc w:val="left"/>
      <w:pPr>
        <w:ind w:left="1013" w:hanging="279"/>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1962" w:hanging="279"/>
      </w:pPr>
      <w:rPr>
        <w:rFonts w:hint="default"/>
        <w:lang w:val="es-ES" w:eastAsia="en-US" w:bidi="ar-SA"/>
      </w:rPr>
    </w:lvl>
    <w:lvl w:ilvl="2">
      <w:start w:val="0"/>
      <w:numFmt w:val="bullet"/>
      <w:lvlText w:val="•"/>
      <w:lvlJc w:val="left"/>
      <w:pPr>
        <w:ind w:left="2904" w:hanging="279"/>
      </w:pPr>
      <w:rPr>
        <w:rFonts w:hint="default"/>
        <w:lang w:val="es-ES" w:eastAsia="en-US" w:bidi="ar-SA"/>
      </w:rPr>
    </w:lvl>
    <w:lvl w:ilvl="3">
      <w:start w:val="0"/>
      <w:numFmt w:val="bullet"/>
      <w:lvlText w:val="•"/>
      <w:lvlJc w:val="left"/>
      <w:pPr>
        <w:ind w:left="3846" w:hanging="279"/>
      </w:pPr>
      <w:rPr>
        <w:rFonts w:hint="default"/>
        <w:lang w:val="es-ES" w:eastAsia="en-US" w:bidi="ar-SA"/>
      </w:rPr>
    </w:lvl>
    <w:lvl w:ilvl="4">
      <w:start w:val="0"/>
      <w:numFmt w:val="bullet"/>
      <w:lvlText w:val="•"/>
      <w:lvlJc w:val="left"/>
      <w:pPr>
        <w:ind w:left="4788" w:hanging="279"/>
      </w:pPr>
      <w:rPr>
        <w:rFonts w:hint="default"/>
        <w:lang w:val="es-ES" w:eastAsia="en-US" w:bidi="ar-SA"/>
      </w:rPr>
    </w:lvl>
    <w:lvl w:ilvl="5">
      <w:start w:val="0"/>
      <w:numFmt w:val="bullet"/>
      <w:lvlText w:val="•"/>
      <w:lvlJc w:val="left"/>
      <w:pPr>
        <w:ind w:left="5730" w:hanging="279"/>
      </w:pPr>
      <w:rPr>
        <w:rFonts w:hint="default"/>
        <w:lang w:val="es-ES" w:eastAsia="en-US" w:bidi="ar-SA"/>
      </w:rPr>
    </w:lvl>
    <w:lvl w:ilvl="6">
      <w:start w:val="0"/>
      <w:numFmt w:val="bullet"/>
      <w:lvlText w:val="•"/>
      <w:lvlJc w:val="left"/>
      <w:pPr>
        <w:ind w:left="6672" w:hanging="279"/>
      </w:pPr>
      <w:rPr>
        <w:rFonts w:hint="default"/>
        <w:lang w:val="es-ES" w:eastAsia="en-US" w:bidi="ar-SA"/>
      </w:rPr>
    </w:lvl>
    <w:lvl w:ilvl="7">
      <w:start w:val="0"/>
      <w:numFmt w:val="bullet"/>
      <w:lvlText w:val="•"/>
      <w:lvlJc w:val="left"/>
      <w:pPr>
        <w:ind w:left="7614" w:hanging="279"/>
      </w:pPr>
      <w:rPr>
        <w:rFonts w:hint="default"/>
        <w:lang w:val="es-ES" w:eastAsia="en-US" w:bidi="ar-SA"/>
      </w:rPr>
    </w:lvl>
    <w:lvl w:ilvl="8">
      <w:start w:val="0"/>
      <w:numFmt w:val="bullet"/>
      <w:lvlText w:val="•"/>
      <w:lvlJc w:val="left"/>
      <w:pPr>
        <w:ind w:left="8556" w:hanging="279"/>
      </w:pPr>
      <w:rPr>
        <w:rFonts w:hint="default"/>
        <w:lang w:val="es-ES" w:eastAsia="en-US" w:bidi="ar-SA"/>
      </w:rPr>
    </w:lvl>
  </w:abstractNum>
  <w:abstractNum w:abstractNumId="24">
    <w:multiLevelType w:val="hybridMultilevel"/>
    <w:lvl w:ilvl="0">
      <w:start w:val="0"/>
      <w:numFmt w:val="bullet"/>
      <w:lvlText w:val="•"/>
      <w:lvlJc w:val="left"/>
      <w:pPr>
        <w:ind w:left="936" w:hanging="202"/>
      </w:pPr>
      <w:rPr>
        <w:rFonts w:hint="default" w:ascii="Baskerville Old Face" w:hAnsi="Baskerville Old Face" w:eastAsia="Baskerville Old Face" w:cs="Baskerville Old Face"/>
        <w:b w:val="0"/>
        <w:bCs w:val="0"/>
        <w:i w:val="0"/>
        <w:iCs w:val="0"/>
        <w:spacing w:val="0"/>
        <w:w w:val="100"/>
        <w:sz w:val="22"/>
        <w:szCs w:val="22"/>
        <w:lang w:val="es-ES" w:eastAsia="en-US" w:bidi="ar-SA"/>
      </w:rPr>
    </w:lvl>
    <w:lvl w:ilvl="1">
      <w:start w:val="0"/>
      <w:numFmt w:val="bullet"/>
      <w:lvlText w:val="•"/>
      <w:lvlJc w:val="left"/>
      <w:pPr>
        <w:ind w:left="1890" w:hanging="202"/>
      </w:pPr>
      <w:rPr>
        <w:rFonts w:hint="default"/>
        <w:lang w:val="es-ES" w:eastAsia="en-US" w:bidi="ar-SA"/>
      </w:rPr>
    </w:lvl>
    <w:lvl w:ilvl="2">
      <w:start w:val="0"/>
      <w:numFmt w:val="bullet"/>
      <w:lvlText w:val="•"/>
      <w:lvlJc w:val="left"/>
      <w:pPr>
        <w:ind w:left="2840" w:hanging="202"/>
      </w:pPr>
      <w:rPr>
        <w:rFonts w:hint="default"/>
        <w:lang w:val="es-ES" w:eastAsia="en-US" w:bidi="ar-SA"/>
      </w:rPr>
    </w:lvl>
    <w:lvl w:ilvl="3">
      <w:start w:val="0"/>
      <w:numFmt w:val="bullet"/>
      <w:lvlText w:val="•"/>
      <w:lvlJc w:val="left"/>
      <w:pPr>
        <w:ind w:left="3790" w:hanging="202"/>
      </w:pPr>
      <w:rPr>
        <w:rFonts w:hint="default"/>
        <w:lang w:val="es-ES" w:eastAsia="en-US" w:bidi="ar-SA"/>
      </w:rPr>
    </w:lvl>
    <w:lvl w:ilvl="4">
      <w:start w:val="0"/>
      <w:numFmt w:val="bullet"/>
      <w:lvlText w:val="•"/>
      <w:lvlJc w:val="left"/>
      <w:pPr>
        <w:ind w:left="4740" w:hanging="202"/>
      </w:pPr>
      <w:rPr>
        <w:rFonts w:hint="default"/>
        <w:lang w:val="es-ES" w:eastAsia="en-US" w:bidi="ar-SA"/>
      </w:rPr>
    </w:lvl>
    <w:lvl w:ilvl="5">
      <w:start w:val="0"/>
      <w:numFmt w:val="bullet"/>
      <w:lvlText w:val="•"/>
      <w:lvlJc w:val="left"/>
      <w:pPr>
        <w:ind w:left="5690" w:hanging="202"/>
      </w:pPr>
      <w:rPr>
        <w:rFonts w:hint="default"/>
        <w:lang w:val="es-ES" w:eastAsia="en-US" w:bidi="ar-SA"/>
      </w:rPr>
    </w:lvl>
    <w:lvl w:ilvl="6">
      <w:start w:val="0"/>
      <w:numFmt w:val="bullet"/>
      <w:lvlText w:val="•"/>
      <w:lvlJc w:val="left"/>
      <w:pPr>
        <w:ind w:left="6640" w:hanging="202"/>
      </w:pPr>
      <w:rPr>
        <w:rFonts w:hint="default"/>
        <w:lang w:val="es-ES" w:eastAsia="en-US" w:bidi="ar-SA"/>
      </w:rPr>
    </w:lvl>
    <w:lvl w:ilvl="7">
      <w:start w:val="0"/>
      <w:numFmt w:val="bullet"/>
      <w:lvlText w:val="•"/>
      <w:lvlJc w:val="left"/>
      <w:pPr>
        <w:ind w:left="7590" w:hanging="202"/>
      </w:pPr>
      <w:rPr>
        <w:rFonts w:hint="default"/>
        <w:lang w:val="es-ES" w:eastAsia="en-US" w:bidi="ar-SA"/>
      </w:rPr>
    </w:lvl>
    <w:lvl w:ilvl="8">
      <w:start w:val="0"/>
      <w:numFmt w:val="bullet"/>
      <w:lvlText w:val="•"/>
      <w:lvlJc w:val="left"/>
      <w:pPr>
        <w:ind w:left="8540" w:hanging="202"/>
      </w:pPr>
      <w:rPr>
        <w:rFonts w:hint="default"/>
        <w:lang w:val="es-ES" w:eastAsia="en-US" w:bidi="ar-SA"/>
      </w:rPr>
    </w:lvl>
  </w:abstractNum>
  <w:abstractNum w:abstractNumId="23">
    <w:multiLevelType w:val="hybridMultilevel"/>
    <w:lvl w:ilvl="0">
      <w:start w:val="0"/>
      <w:numFmt w:val="bullet"/>
      <w:lvlText w:val=""/>
      <w:lvlJc w:val="left"/>
      <w:pPr>
        <w:ind w:left="1454"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22">
    <w:multiLevelType w:val="hybridMultilevel"/>
    <w:lvl w:ilvl="0">
      <w:start w:val="0"/>
      <w:numFmt w:val="bullet"/>
      <w:lvlText w:val=""/>
      <w:lvlJc w:val="left"/>
      <w:pPr>
        <w:ind w:left="1454"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21">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9" w:hanging="360"/>
      </w:pPr>
      <w:rPr>
        <w:rFonts w:hint="default"/>
        <w:lang w:val="es-ES" w:eastAsia="en-US" w:bidi="ar-SA"/>
      </w:rPr>
    </w:lvl>
    <w:lvl w:ilvl="6">
      <w:start w:val="0"/>
      <w:numFmt w:val="bullet"/>
      <w:lvlText w:val="•"/>
      <w:lvlJc w:val="left"/>
      <w:pPr>
        <w:ind w:left="5619" w:hanging="360"/>
      </w:pPr>
      <w:rPr>
        <w:rFonts w:hint="default"/>
        <w:lang w:val="es-ES" w:eastAsia="en-US" w:bidi="ar-SA"/>
      </w:rPr>
    </w:lvl>
    <w:lvl w:ilvl="7">
      <w:start w:val="0"/>
      <w:numFmt w:val="bullet"/>
      <w:lvlText w:val="•"/>
      <w:lvlJc w:val="left"/>
      <w:pPr>
        <w:ind w:left="6419" w:hanging="360"/>
      </w:pPr>
      <w:rPr>
        <w:rFonts w:hint="default"/>
        <w:lang w:val="es-ES" w:eastAsia="en-US" w:bidi="ar-SA"/>
      </w:rPr>
    </w:lvl>
    <w:lvl w:ilvl="8">
      <w:start w:val="0"/>
      <w:numFmt w:val="bullet"/>
      <w:lvlText w:val="•"/>
      <w:lvlJc w:val="left"/>
      <w:pPr>
        <w:ind w:left="7219" w:hanging="360"/>
      </w:pPr>
      <w:rPr>
        <w:rFonts w:hint="default"/>
        <w:lang w:val="es-ES" w:eastAsia="en-US" w:bidi="ar-SA"/>
      </w:rPr>
    </w:lvl>
  </w:abstractNum>
  <w:abstractNum w:abstractNumId="20">
    <w:multiLevelType w:val="hybridMultilevel"/>
    <w:lvl w:ilvl="0">
      <w:start w:val="0"/>
      <w:numFmt w:val="bullet"/>
      <w:lvlText w:val=""/>
      <w:lvlJc w:val="left"/>
      <w:pPr>
        <w:ind w:left="705" w:hanging="284"/>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511" w:hanging="284"/>
      </w:pPr>
      <w:rPr>
        <w:rFonts w:hint="default"/>
        <w:lang w:val="es-ES" w:eastAsia="en-US" w:bidi="ar-SA"/>
      </w:rPr>
    </w:lvl>
    <w:lvl w:ilvl="2">
      <w:start w:val="0"/>
      <w:numFmt w:val="bullet"/>
      <w:lvlText w:val="•"/>
      <w:lvlJc w:val="left"/>
      <w:pPr>
        <w:ind w:left="2323" w:hanging="284"/>
      </w:pPr>
      <w:rPr>
        <w:rFonts w:hint="default"/>
        <w:lang w:val="es-ES" w:eastAsia="en-US" w:bidi="ar-SA"/>
      </w:rPr>
    </w:lvl>
    <w:lvl w:ilvl="3">
      <w:start w:val="0"/>
      <w:numFmt w:val="bullet"/>
      <w:lvlText w:val="•"/>
      <w:lvlJc w:val="left"/>
      <w:pPr>
        <w:ind w:left="3135" w:hanging="284"/>
      </w:pPr>
      <w:rPr>
        <w:rFonts w:hint="default"/>
        <w:lang w:val="es-ES" w:eastAsia="en-US" w:bidi="ar-SA"/>
      </w:rPr>
    </w:lvl>
    <w:lvl w:ilvl="4">
      <w:start w:val="0"/>
      <w:numFmt w:val="bullet"/>
      <w:lvlText w:val="•"/>
      <w:lvlJc w:val="left"/>
      <w:pPr>
        <w:ind w:left="3947" w:hanging="284"/>
      </w:pPr>
      <w:rPr>
        <w:rFonts w:hint="default"/>
        <w:lang w:val="es-ES" w:eastAsia="en-US" w:bidi="ar-SA"/>
      </w:rPr>
    </w:lvl>
    <w:lvl w:ilvl="5">
      <w:start w:val="0"/>
      <w:numFmt w:val="bullet"/>
      <w:lvlText w:val="•"/>
      <w:lvlJc w:val="left"/>
      <w:pPr>
        <w:ind w:left="4759" w:hanging="284"/>
      </w:pPr>
      <w:rPr>
        <w:rFonts w:hint="default"/>
        <w:lang w:val="es-ES" w:eastAsia="en-US" w:bidi="ar-SA"/>
      </w:rPr>
    </w:lvl>
    <w:lvl w:ilvl="6">
      <w:start w:val="0"/>
      <w:numFmt w:val="bullet"/>
      <w:lvlText w:val="•"/>
      <w:lvlJc w:val="left"/>
      <w:pPr>
        <w:ind w:left="5571" w:hanging="284"/>
      </w:pPr>
      <w:rPr>
        <w:rFonts w:hint="default"/>
        <w:lang w:val="es-ES" w:eastAsia="en-US" w:bidi="ar-SA"/>
      </w:rPr>
    </w:lvl>
    <w:lvl w:ilvl="7">
      <w:start w:val="0"/>
      <w:numFmt w:val="bullet"/>
      <w:lvlText w:val="•"/>
      <w:lvlJc w:val="left"/>
      <w:pPr>
        <w:ind w:left="6383" w:hanging="284"/>
      </w:pPr>
      <w:rPr>
        <w:rFonts w:hint="default"/>
        <w:lang w:val="es-ES" w:eastAsia="en-US" w:bidi="ar-SA"/>
      </w:rPr>
    </w:lvl>
    <w:lvl w:ilvl="8">
      <w:start w:val="0"/>
      <w:numFmt w:val="bullet"/>
      <w:lvlText w:val="•"/>
      <w:lvlJc w:val="left"/>
      <w:pPr>
        <w:ind w:left="7195" w:hanging="284"/>
      </w:pPr>
      <w:rPr>
        <w:rFonts w:hint="default"/>
        <w:lang w:val="es-ES" w:eastAsia="en-US" w:bidi="ar-SA"/>
      </w:rPr>
    </w:lvl>
  </w:abstractNum>
  <w:abstractNum w:abstractNumId="19">
    <w:multiLevelType w:val="hybridMultilevel"/>
    <w:lvl w:ilvl="0">
      <w:start w:val="0"/>
      <w:numFmt w:val="bullet"/>
      <w:lvlText w:val=""/>
      <w:lvlJc w:val="left"/>
      <w:pPr>
        <w:ind w:left="1454"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18">
    <w:multiLevelType w:val="hybridMultilevel"/>
    <w:lvl w:ilvl="0">
      <w:start w:val="0"/>
      <w:numFmt w:val="bullet"/>
      <w:lvlText w:val=""/>
      <w:lvlJc w:val="left"/>
      <w:pPr>
        <w:ind w:left="936"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1337" w:hanging="284"/>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2213" w:hanging="284"/>
      </w:pPr>
      <w:rPr>
        <w:rFonts w:hint="default"/>
        <w:lang w:val="es-ES" w:eastAsia="en-US" w:bidi="ar-SA"/>
      </w:rPr>
    </w:lvl>
    <w:lvl w:ilvl="3">
      <w:start w:val="0"/>
      <w:numFmt w:val="bullet"/>
      <w:lvlText w:val="•"/>
      <w:lvlJc w:val="left"/>
      <w:pPr>
        <w:ind w:left="3087" w:hanging="284"/>
      </w:pPr>
      <w:rPr>
        <w:rFonts w:hint="default"/>
        <w:lang w:val="es-ES" w:eastAsia="en-US" w:bidi="ar-SA"/>
      </w:rPr>
    </w:lvl>
    <w:lvl w:ilvl="4">
      <w:start w:val="0"/>
      <w:numFmt w:val="bullet"/>
      <w:lvlText w:val="•"/>
      <w:lvlJc w:val="left"/>
      <w:pPr>
        <w:ind w:left="3960" w:hanging="284"/>
      </w:pPr>
      <w:rPr>
        <w:rFonts w:hint="default"/>
        <w:lang w:val="es-ES" w:eastAsia="en-US" w:bidi="ar-SA"/>
      </w:rPr>
    </w:lvl>
    <w:lvl w:ilvl="5">
      <w:start w:val="0"/>
      <w:numFmt w:val="bullet"/>
      <w:lvlText w:val="•"/>
      <w:lvlJc w:val="left"/>
      <w:pPr>
        <w:ind w:left="4834" w:hanging="284"/>
      </w:pPr>
      <w:rPr>
        <w:rFonts w:hint="default"/>
        <w:lang w:val="es-ES" w:eastAsia="en-US" w:bidi="ar-SA"/>
      </w:rPr>
    </w:lvl>
    <w:lvl w:ilvl="6">
      <w:start w:val="0"/>
      <w:numFmt w:val="bullet"/>
      <w:lvlText w:val="•"/>
      <w:lvlJc w:val="left"/>
      <w:pPr>
        <w:ind w:left="5707" w:hanging="284"/>
      </w:pPr>
      <w:rPr>
        <w:rFonts w:hint="default"/>
        <w:lang w:val="es-ES" w:eastAsia="en-US" w:bidi="ar-SA"/>
      </w:rPr>
    </w:lvl>
    <w:lvl w:ilvl="7">
      <w:start w:val="0"/>
      <w:numFmt w:val="bullet"/>
      <w:lvlText w:val="•"/>
      <w:lvlJc w:val="left"/>
      <w:pPr>
        <w:ind w:left="6581" w:hanging="284"/>
      </w:pPr>
      <w:rPr>
        <w:rFonts w:hint="default"/>
        <w:lang w:val="es-ES" w:eastAsia="en-US" w:bidi="ar-SA"/>
      </w:rPr>
    </w:lvl>
    <w:lvl w:ilvl="8">
      <w:start w:val="0"/>
      <w:numFmt w:val="bullet"/>
      <w:lvlText w:val="•"/>
      <w:lvlJc w:val="left"/>
      <w:pPr>
        <w:ind w:left="7454" w:hanging="284"/>
      </w:pPr>
      <w:rPr>
        <w:rFonts w:hint="default"/>
        <w:lang w:val="es-ES" w:eastAsia="en-US" w:bidi="ar-SA"/>
      </w:rPr>
    </w:lvl>
  </w:abstractNum>
  <w:abstractNum w:abstractNumId="17">
    <w:multiLevelType w:val="hybridMultilevel"/>
    <w:lvl w:ilvl="0">
      <w:start w:val="1"/>
      <w:numFmt w:val="lowerRoman"/>
      <w:lvlText w:val="%1."/>
      <w:lvlJc w:val="left"/>
      <w:pPr>
        <w:ind w:left="1603" w:hanging="161"/>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0"/>
      <w:numFmt w:val="bullet"/>
      <w:lvlText w:val="•"/>
      <w:lvlJc w:val="left"/>
      <w:pPr>
        <w:ind w:left="2484" w:hanging="161"/>
      </w:pPr>
      <w:rPr>
        <w:rFonts w:hint="default"/>
        <w:lang w:val="es-ES" w:eastAsia="en-US" w:bidi="ar-SA"/>
      </w:rPr>
    </w:lvl>
    <w:lvl w:ilvl="2">
      <w:start w:val="0"/>
      <w:numFmt w:val="bullet"/>
      <w:lvlText w:val="•"/>
      <w:lvlJc w:val="left"/>
      <w:pPr>
        <w:ind w:left="3368" w:hanging="161"/>
      </w:pPr>
      <w:rPr>
        <w:rFonts w:hint="default"/>
        <w:lang w:val="es-ES" w:eastAsia="en-US" w:bidi="ar-SA"/>
      </w:rPr>
    </w:lvl>
    <w:lvl w:ilvl="3">
      <w:start w:val="0"/>
      <w:numFmt w:val="bullet"/>
      <w:lvlText w:val="•"/>
      <w:lvlJc w:val="left"/>
      <w:pPr>
        <w:ind w:left="4252" w:hanging="161"/>
      </w:pPr>
      <w:rPr>
        <w:rFonts w:hint="default"/>
        <w:lang w:val="es-ES" w:eastAsia="en-US" w:bidi="ar-SA"/>
      </w:rPr>
    </w:lvl>
    <w:lvl w:ilvl="4">
      <w:start w:val="0"/>
      <w:numFmt w:val="bullet"/>
      <w:lvlText w:val="•"/>
      <w:lvlJc w:val="left"/>
      <w:pPr>
        <w:ind w:left="5136" w:hanging="161"/>
      </w:pPr>
      <w:rPr>
        <w:rFonts w:hint="default"/>
        <w:lang w:val="es-ES" w:eastAsia="en-US" w:bidi="ar-SA"/>
      </w:rPr>
    </w:lvl>
    <w:lvl w:ilvl="5">
      <w:start w:val="0"/>
      <w:numFmt w:val="bullet"/>
      <w:lvlText w:val="•"/>
      <w:lvlJc w:val="left"/>
      <w:pPr>
        <w:ind w:left="6020" w:hanging="161"/>
      </w:pPr>
      <w:rPr>
        <w:rFonts w:hint="default"/>
        <w:lang w:val="es-ES" w:eastAsia="en-US" w:bidi="ar-SA"/>
      </w:rPr>
    </w:lvl>
    <w:lvl w:ilvl="6">
      <w:start w:val="0"/>
      <w:numFmt w:val="bullet"/>
      <w:lvlText w:val="•"/>
      <w:lvlJc w:val="left"/>
      <w:pPr>
        <w:ind w:left="6904" w:hanging="161"/>
      </w:pPr>
      <w:rPr>
        <w:rFonts w:hint="default"/>
        <w:lang w:val="es-ES" w:eastAsia="en-US" w:bidi="ar-SA"/>
      </w:rPr>
    </w:lvl>
    <w:lvl w:ilvl="7">
      <w:start w:val="0"/>
      <w:numFmt w:val="bullet"/>
      <w:lvlText w:val="•"/>
      <w:lvlJc w:val="left"/>
      <w:pPr>
        <w:ind w:left="7788" w:hanging="161"/>
      </w:pPr>
      <w:rPr>
        <w:rFonts w:hint="default"/>
        <w:lang w:val="es-ES" w:eastAsia="en-US" w:bidi="ar-SA"/>
      </w:rPr>
    </w:lvl>
    <w:lvl w:ilvl="8">
      <w:start w:val="0"/>
      <w:numFmt w:val="bullet"/>
      <w:lvlText w:val="•"/>
      <w:lvlJc w:val="left"/>
      <w:pPr>
        <w:ind w:left="8672" w:hanging="161"/>
      </w:pPr>
      <w:rPr>
        <w:rFonts w:hint="default"/>
        <w:lang w:val="es-ES" w:eastAsia="en-US" w:bidi="ar-SA"/>
      </w:rPr>
    </w:lvl>
  </w:abstractNum>
  <w:abstractNum w:abstractNumId="16">
    <w:multiLevelType w:val="hybridMultilevel"/>
    <w:lvl w:ilvl="0">
      <w:start w:val="1"/>
      <w:numFmt w:val="decimal"/>
      <w:lvlText w:val="%1."/>
      <w:lvlJc w:val="left"/>
      <w:pPr>
        <w:ind w:left="1442" w:hanging="219"/>
        <w:jc w:val="left"/>
      </w:pPr>
      <w:rPr>
        <w:rFonts w:hint="default" w:ascii="Baskerville Old Face" w:hAnsi="Baskerville Old Face" w:eastAsia="Baskerville Old Face" w:cs="Baskerville Old Face"/>
        <w:b w:val="0"/>
        <w:bCs w:val="0"/>
        <w:i w:val="0"/>
        <w:iCs w:val="0"/>
        <w:spacing w:val="-1"/>
        <w:w w:val="87"/>
        <w:sz w:val="22"/>
        <w:szCs w:val="22"/>
        <w:lang w:val="es-ES" w:eastAsia="en-US" w:bidi="ar-SA"/>
      </w:rPr>
    </w:lvl>
    <w:lvl w:ilvl="1">
      <w:start w:val="1"/>
      <w:numFmt w:val="lowerLetter"/>
      <w:lvlText w:val="%2)"/>
      <w:lvlJc w:val="left"/>
      <w:pPr>
        <w:ind w:left="2150" w:hanging="243"/>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1"/>
      <w:numFmt w:val="lowerRoman"/>
      <w:lvlText w:val="%3."/>
      <w:lvlJc w:val="left"/>
      <w:pPr>
        <w:ind w:left="3020" w:hanging="161"/>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0"/>
      <w:numFmt w:val="bullet"/>
      <w:lvlText w:val="•"/>
      <w:lvlJc w:val="left"/>
      <w:pPr>
        <w:ind w:left="3947" w:hanging="161"/>
      </w:pPr>
      <w:rPr>
        <w:rFonts w:hint="default"/>
        <w:lang w:val="es-ES" w:eastAsia="en-US" w:bidi="ar-SA"/>
      </w:rPr>
    </w:lvl>
    <w:lvl w:ilvl="4">
      <w:start w:val="0"/>
      <w:numFmt w:val="bullet"/>
      <w:lvlText w:val="•"/>
      <w:lvlJc w:val="left"/>
      <w:pPr>
        <w:ind w:left="4875" w:hanging="161"/>
      </w:pPr>
      <w:rPr>
        <w:rFonts w:hint="default"/>
        <w:lang w:val="es-ES" w:eastAsia="en-US" w:bidi="ar-SA"/>
      </w:rPr>
    </w:lvl>
    <w:lvl w:ilvl="5">
      <w:start w:val="0"/>
      <w:numFmt w:val="bullet"/>
      <w:lvlText w:val="•"/>
      <w:lvlJc w:val="left"/>
      <w:pPr>
        <w:ind w:left="5802" w:hanging="161"/>
      </w:pPr>
      <w:rPr>
        <w:rFonts w:hint="default"/>
        <w:lang w:val="es-ES" w:eastAsia="en-US" w:bidi="ar-SA"/>
      </w:rPr>
    </w:lvl>
    <w:lvl w:ilvl="6">
      <w:start w:val="0"/>
      <w:numFmt w:val="bullet"/>
      <w:lvlText w:val="•"/>
      <w:lvlJc w:val="left"/>
      <w:pPr>
        <w:ind w:left="6730" w:hanging="161"/>
      </w:pPr>
      <w:rPr>
        <w:rFonts w:hint="default"/>
        <w:lang w:val="es-ES" w:eastAsia="en-US" w:bidi="ar-SA"/>
      </w:rPr>
    </w:lvl>
    <w:lvl w:ilvl="7">
      <w:start w:val="0"/>
      <w:numFmt w:val="bullet"/>
      <w:lvlText w:val="•"/>
      <w:lvlJc w:val="left"/>
      <w:pPr>
        <w:ind w:left="7657" w:hanging="161"/>
      </w:pPr>
      <w:rPr>
        <w:rFonts w:hint="default"/>
        <w:lang w:val="es-ES" w:eastAsia="en-US" w:bidi="ar-SA"/>
      </w:rPr>
    </w:lvl>
    <w:lvl w:ilvl="8">
      <w:start w:val="0"/>
      <w:numFmt w:val="bullet"/>
      <w:lvlText w:val="•"/>
      <w:lvlJc w:val="left"/>
      <w:pPr>
        <w:ind w:left="8585" w:hanging="161"/>
      </w:pPr>
      <w:rPr>
        <w:rFonts w:hint="default"/>
        <w:lang w:val="es-ES" w:eastAsia="en-US" w:bidi="ar-SA"/>
      </w:rPr>
    </w:lvl>
  </w:abstractNum>
  <w:abstractNum w:abstractNumId="15">
    <w:multiLevelType w:val="hybridMultilevel"/>
    <w:lvl w:ilvl="0">
      <w:start w:val="1"/>
      <w:numFmt w:val="lowerLetter"/>
      <w:lvlText w:val="%1)"/>
      <w:lvlJc w:val="left"/>
      <w:pPr>
        <w:ind w:left="1010" w:hanging="226"/>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1">
      <w:start w:val="9"/>
      <w:numFmt w:val="lowerLetter"/>
      <w:lvlText w:val="%2)"/>
      <w:lvlJc w:val="left"/>
      <w:pPr>
        <w:ind w:left="904" w:hanging="120"/>
        <w:jc w:val="left"/>
      </w:pPr>
      <w:rPr>
        <w:rFonts w:hint="default" w:ascii="Baskerville Old Face" w:hAnsi="Baskerville Old Face" w:eastAsia="Baskerville Old Face" w:cs="Baskerville Old Face"/>
        <w:b w:val="0"/>
        <w:bCs w:val="0"/>
        <w:i w:val="0"/>
        <w:iCs w:val="0"/>
        <w:spacing w:val="0"/>
        <w:w w:val="89"/>
        <w:sz w:val="20"/>
        <w:szCs w:val="20"/>
        <w:lang w:val="es-ES" w:eastAsia="en-US" w:bidi="ar-SA"/>
      </w:rPr>
    </w:lvl>
    <w:lvl w:ilvl="2">
      <w:start w:val="0"/>
      <w:numFmt w:val="bullet"/>
      <w:lvlText w:val="•"/>
      <w:lvlJc w:val="left"/>
      <w:pPr>
        <w:ind w:left="1886" w:hanging="120"/>
      </w:pPr>
      <w:rPr>
        <w:rFonts w:hint="default"/>
        <w:lang w:val="es-ES" w:eastAsia="en-US" w:bidi="ar-SA"/>
      </w:rPr>
    </w:lvl>
    <w:lvl w:ilvl="3">
      <w:start w:val="0"/>
      <w:numFmt w:val="bullet"/>
      <w:lvlText w:val="•"/>
      <w:lvlJc w:val="left"/>
      <w:pPr>
        <w:ind w:left="2753" w:hanging="120"/>
      </w:pPr>
      <w:rPr>
        <w:rFonts w:hint="default"/>
        <w:lang w:val="es-ES" w:eastAsia="en-US" w:bidi="ar-SA"/>
      </w:rPr>
    </w:lvl>
    <w:lvl w:ilvl="4">
      <w:start w:val="0"/>
      <w:numFmt w:val="bullet"/>
      <w:lvlText w:val="•"/>
      <w:lvlJc w:val="left"/>
      <w:pPr>
        <w:ind w:left="3619" w:hanging="120"/>
      </w:pPr>
      <w:rPr>
        <w:rFonts w:hint="default"/>
        <w:lang w:val="es-ES" w:eastAsia="en-US" w:bidi="ar-SA"/>
      </w:rPr>
    </w:lvl>
    <w:lvl w:ilvl="5">
      <w:start w:val="0"/>
      <w:numFmt w:val="bullet"/>
      <w:lvlText w:val="•"/>
      <w:lvlJc w:val="left"/>
      <w:pPr>
        <w:ind w:left="4486" w:hanging="120"/>
      </w:pPr>
      <w:rPr>
        <w:rFonts w:hint="default"/>
        <w:lang w:val="es-ES" w:eastAsia="en-US" w:bidi="ar-SA"/>
      </w:rPr>
    </w:lvl>
    <w:lvl w:ilvl="6">
      <w:start w:val="0"/>
      <w:numFmt w:val="bullet"/>
      <w:lvlText w:val="•"/>
      <w:lvlJc w:val="left"/>
      <w:pPr>
        <w:ind w:left="5353" w:hanging="120"/>
      </w:pPr>
      <w:rPr>
        <w:rFonts w:hint="default"/>
        <w:lang w:val="es-ES" w:eastAsia="en-US" w:bidi="ar-SA"/>
      </w:rPr>
    </w:lvl>
    <w:lvl w:ilvl="7">
      <w:start w:val="0"/>
      <w:numFmt w:val="bullet"/>
      <w:lvlText w:val="•"/>
      <w:lvlJc w:val="left"/>
      <w:pPr>
        <w:ind w:left="6219" w:hanging="120"/>
      </w:pPr>
      <w:rPr>
        <w:rFonts w:hint="default"/>
        <w:lang w:val="es-ES" w:eastAsia="en-US" w:bidi="ar-SA"/>
      </w:rPr>
    </w:lvl>
    <w:lvl w:ilvl="8">
      <w:start w:val="0"/>
      <w:numFmt w:val="bullet"/>
      <w:lvlText w:val="•"/>
      <w:lvlJc w:val="left"/>
      <w:pPr>
        <w:ind w:left="7086" w:hanging="120"/>
      </w:pPr>
      <w:rPr>
        <w:rFonts w:hint="default"/>
        <w:lang w:val="es-ES" w:eastAsia="en-US" w:bidi="ar-SA"/>
      </w:rPr>
    </w:lvl>
  </w:abstractNum>
  <w:abstractNum w:abstractNumId="14">
    <w:multiLevelType w:val="hybridMultilevel"/>
    <w:lvl w:ilvl="0">
      <w:start w:val="0"/>
      <w:numFmt w:val="bullet"/>
      <w:lvlText w:val=""/>
      <w:lvlJc w:val="left"/>
      <w:pPr>
        <w:ind w:left="1454"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13">
    <w:multiLevelType w:val="hybridMultilevel"/>
    <w:lvl w:ilvl="0">
      <w:start w:val="1"/>
      <w:numFmt w:val="lowerLetter"/>
      <w:lvlText w:val="%1."/>
      <w:lvlJc w:val="left"/>
      <w:pPr>
        <w:ind w:left="1454" w:hanging="360"/>
        <w:jc w:val="left"/>
      </w:pPr>
      <w:rPr>
        <w:rFonts w:hint="default" w:ascii="Baskerville Old Face" w:hAnsi="Baskerville Old Face" w:eastAsia="Baskerville Old Face" w:cs="Baskerville Old Face"/>
        <w:b w:val="0"/>
        <w:bCs w:val="0"/>
        <w:i/>
        <w:iCs/>
        <w:spacing w:val="-1"/>
        <w:w w:val="96"/>
        <w:sz w:val="23"/>
        <w:szCs w:val="23"/>
        <w:lang w:val="es-ES" w:eastAsia="en-US" w:bidi="ar-SA"/>
      </w:rPr>
    </w:lvl>
    <w:lvl w:ilvl="1">
      <w:start w:val="0"/>
      <w:numFmt w:val="bullet"/>
      <w:lvlText w:val="•"/>
      <w:lvlJc w:val="left"/>
      <w:pPr>
        <w:ind w:left="2358" w:hanging="360"/>
      </w:pPr>
      <w:rPr>
        <w:rFonts w:hint="default"/>
        <w:lang w:val="es-ES" w:eastAsia="en-US" w:bidi="ar-SA"/>
      </w:rPr>
    </w:lvl>
    <w:lvl w:ilvl="2">
      <w:start w:val="0"/>
      <w:numFmt w:val="bullet"/>
      <w:lvlText w:val="•"/>
      <w:lvlJc w:val="left"/>
      <w:pPr>
        <w:ind w:left="3256" w:hanging="360"/>
      </w:pPr>
      <w:rPr>
        <w:rFonts w:hint="default"/>
        <w:lang w:val="es-ES" w:eastAsia="en-US" w:bidi="ar-SA"/>
      </w:rPr>
    </w:lvl>
    <w:lvl w:ilvl="3">
      <w:start w:val="0"/>
      <w:numFmt w:val="bullet"/>
      <w:lvlText w:val="•"/>
      <w:lvlJc w:val="left"/>
      <w:pPr>
        <w:ind w:left="415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595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746" w:hanging="360"/>
      </w:pPr>
      <w:rPr>
        <w:rFonts w:hint="default"/>
        <w:lang w:val="es-ES" w:eastAsia="en-US" w:bidi="ar-SA"/>
      </w:rPr>
    </w:lvl>
    <w:lvl w:ilvl="8">
      <w:start w:val="0"/>
      <w:numFmt w:val="bullet"/>
      <w:lvlText w:val="•"/>
      <w:lvlJc w:val="left"/>
      <w:pPr>
        <w:ind w:left="8644" w:hanging="360"/>
      </w:pPr>
      <w:rPr>
        <w:rFonts w:hint="default"/>
        <w:lang w:val="es-ES" w:eastAsia="en-US" w:bidi="ar-SA"/>
      </w:rPr>
    </w:lvl>
  </w:abstractNum>
  <w:abstractNum w:abstractNumId="12">
    <w:multiLevelType w:val="hybridMultilevel"/>
    <w:lvl w:ilvl="0">
      <w:start w:val="1"/>
      <w:numFmt w:val="lowerLetter"/>
      <w:lvlText w:val="%1)"/>
      <w:lvlJc w:val="left"/>
      <w:pPr>
        <w:ind w:left="1342" w:hanging="360"/>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1">
      <w:start w:val="1"/>
      <w:numFmt w:val="lowerLetter"/>
      <w:lvlText w:val="%2)"/>
      <w:lvlJc w:val="left"/>
      <w:pPr>
        <w:ind w:left="2477" w:hanging="75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3364" w:hanging="750"/>
      </w:pPr>
      <w:rPr>
        <w:rFonts w:hint="default"/>
        <w:lang w:val="es-ES" w:eastAsia="en-US" w:bidi="ar-SA"/>
      </w:rPr>
    </w:lvl>
    <w:lvl w:ilvl="3">
      <w:start w:val="0"/>
      <w:numFmt w:val="bullet"/>
      <w:lvlText w:val="•"/>
      <w:lvlJc w:val="left"/>
      <w:pPr>
        <w:ind w:left="4248" w:hanging="750"/>
      </w:pPr>
      <w:rPr>
        <w:rFonts w:hint="default"/>
        <w:lang w:val="es-ES" w:eastAsia="en-US" w:bidi="ar-SA"/>
      </w:rPr>
    </w:lvl>
    <w:lvl w:ilvl="4">
      <w:start w:val="0"/>
      <w:numFmt w:val="bullet"/>
      <w:lvlText w:val="•"/>
      <w:lvlJc w:val="left"/>
      <w:pPr>
        <w:ind w:left="5133" w:hanging="750"/>
      </w:pPr>
      <w:rPr>
        <w:rFonts w:hint="default"/>
        <w:lang w:val="es-ES" w:eastAsia="en-US" w:bidi="ar-SA"/>
      </w:rPr>
    </w:lvl>
    <w:lvl w:ilvl="5">
      <w:start w:val="0"/>
      <w:numFmt w:val="bullet"/>
      <w:lvlText w:val="•"/>
      <w:lvlJc w:val="left"/>
      <w:pPr>
        <w:ind w:left="6017" w:hanging="750"/>
      </w:pPr>
      <w:rPr>
        <w:rFonts w:hint="default"/>
        <w:lang w:val="es-ES" w:eastAsia="en-US" w:bidi="ar-SA"/>
      </w:rPr>
    </w:lvl>
    <w:lvl w:ilvl="6">
      <w:start w:val="0"/>
      <w:numFmt w:val="bullet"/>
      <w:lvlText w:val="•"/>
      <w:lvlJc w:val="left"/>
      <w:pPr>
        <w:ind w:left="6902" w:hanging="750"/>
      </w:pPr>
      <w:rPr>
        <w:rFonts w:hint="default"/>
        <w:lang w:val="es-ES" w:eastAsia="en-US" w:bidi="ar-SA"/>
      </w:rPr>
    </w:lvl>
    <w:lvl w:ilvl="7">
      <w:start w:val="0"/>
      <w:numFmt w:val="bullet"/>
      <w:lvlText w:val="•"/>
      <w:lvlJc w:val="left"/>
      <w:pPr>
        <w:ind w:left="7786" w:hanging="750"/>
      </w:pPr>
      <w:rPr>
        <w:rFonts w:hint="default"/>
        <w:lang w:val="es-ES" w:eastAsia="en-US" w:bidi="ar-SA"/>
      </w:rPr>
    </w:lvl>
    <w:lvl w:ilvl="8">
      <w:start w:val="0"/>
      <w:numFmt w:val="bullet"/>
      <w:lvlText w:val="•"/>
      <w:lvlJc w:val="left"/>
      <w:pPr>
        <w:ind w:left="8671" w:hanging="750"/>
      </w:pPr>
      <w:rPr>
        <w:rFonts w:hint="default"/>
        <w:lang w:val="es-ES" w:eastAsia="en-US" w:bidi="ar-SA"/>
      </w:rPr>
    </w:lvl>
  </w:abstractNum>
  <w:abstractNum w:abstractNumId="11">
    <w:multiLevelType w:val="hybridMultilevel"/>
    <w:lvl w:ilvl="0">
      <w:start w:val="0"/>
      <w:numFmt w:val="bullet"/>
      <w:lvlText w:val=""/>
      <w:lvlJc w:val="left"/>
      <w:pPr>
        <w:ind w:left="703" w:hanging="281"/>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511" w:hanging="281"/>
      </w:pPr>
      <w:rPr>
        <w:rFonts w:hint="default"/>
        <w:lang w:val="es-ES" w:eastAsia="en-US" w:bidi="ar-SA"/>
      </w:rPr>
    </w:lvl>
    <w:lvl w:ilvl="2">
      <w:start w:val="0"/>
      <w:numFmt w:val="bullet"/>
      <w:lvlText w:val="•"/>
      <w:lvlJc w:val="left"/>
      <w:pPr>
        <w:ind w:left="2323" w:hanging="281"/>
      </w:pPr>
      <w:rPr>
        <w:rFonts w:hint="default"/>
        <w:lang w:val="es-ES" w:eastAsia="en-US" w:bidi="ar-SA"/>
      </w:rPr>
    </w:lvl>
    <w:lvl w:ilvl="3">
      <w:start w:val="0"/>
      <w:numFmt w:val="bullet"/>
      <w:lvlText w:val="•"/>
      <w:lvlJc w:val="left"/>
      <w:pPr>
        <w:ind w:left="3135" w:hanging="281"/>
      </w:pPr>
      <w:rPr>
        <w:rFonts w:hint="default"/>
        <w:lang w:val="es-ES" w:eastAsia="en-US" w:bidi="ar-SA"/>
      </w:rPr>
    </w:lvl>
    <w:lvl w:ilvl="4">
      <w:start w:val="0"/>
      <w:numFmt w:val="bullet"/>
      <w:lvlText w:val="•"/>
      <w:lvlJc w:val="left"/>
      <w:pPr>
        <w:ind w:left="3947" w:hanging="281"/>
      </w:pPr>
      <w:rPr>
        <w:rFonts w:hint="default"/>
        <w:lang w:val="es-ES" w:eastAsia="en-US" w:bidi="ar-SA"/>
      </w:rPr>
    </w:lvl>
    <w:lvl w:ilvl="5">
      <w:start w:val="0"/>
      <w:numFmt w:val="bullet"/>
      <w:lvlText w:val="•"/>
      <w:lvlJc w:val="left"/>
      <w:pPr>
        <w:ind w:left="4759" w:hanging="281"/>
      </w:pPr>
      <w:rPr>
        <w:rFonts w:hint="default"/>
        <w:lang w:val="es-ES" w:eastAsia="en-US" w:bidi="ar-SA"/>
      </w:rPr>
    </w:lvl>
    <w:lvl w:ilvl="6">
      <w:start w:val="0"/>
      <w:numFmt w:val="bullet"/>
      <w:lvlText w:val="•"/>
      <w:lvlJc w:val="left"/>
      <w:pPr>
        <w:ind w:left="5571" w:hanging="281"/>
      </w:pPr>
      <w:rPr>
        <w:rFonts w:hint="default"/>
        <w:lang w:val="es-ES" w:eastAsia="en-US" w:bidi="ar-SA"/>
      </w:rPr>
    </w:lvl>
    <w:lvl w:ilvl="7">
      <w:start w:val="0"/>
      <w:numFmt w:val="bullet"/>
      <w:lvlText w:val="•"/>
      <w:lvlJc w:val="left"/>
      <w:pPr>
        <w:ind w:left="6383" w:hanging="281"/>
      </w:pPr>
      <w:rPr>
        <w:rFonts w:hint="default"/>
        <w:lang w:val="es-ES" w:eastAsia="en-US" w:bidi="ar-SA"/>
      </w:rPr>
    </w:lvl>
    <w:lvl w:ilvl="8">
      <w:start w:val="0"/>
      <w:numFmt w:val="bullet"/>
      <w:lvlText w:val="•"/>
      <w:lvlJc w:val="left"/>
      <w:pPr>
        <w:ind w:left="7195" w:hanging="281"/>
      </w:pPr>
      <w:rPr>
        <w:rFonts w:hint="default"/>
        <w:lang w:val="es-ES" w:eastAsia="en-US" w:bidi="ar-SA"/>
      </w:rPr>
    </w:lvl>
  </w:abstractNum>
  <w:abstractNum w:abstractNumId="10">
    <w:multiLevelType w:val="hybridMultilevel"/>
    <w:lvl w:ilvl="0">
      <w:start w:val="0"/>
      <w:numFmt w:val="bullet"/>
      <w:lvlText w:val=""/>
      <w:lvlJc w:val="left"/>
      <w:pPr>
        <w:ind w:left="703" w:hanging="281"/>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511" w:hanging="281"/>
      </w:pPr>
      <w:rPr>
        <w:rFonts w:hint="default"/>
        <w:lang w:val="es-ES" w:eastAsia="en-US" w:bidi="ar-SA"/>
      </w:rPr>
    </w:lvl>
    <w:lvl w:ilvl="2">
      <w:start w:val="0"/>
      <w:numFmt w:val="bullet"/>
      <w:lvlText w:val="•"/>
      <w:lvlJc w:val="left"/>
      <w:pPr>
        <w:ind w:left="2323" w:hanging="281"/>
      </w:pPr>
      <w:rPr>
        <w:rFonts w:hint="default"/>
        <w:lang w:val="es-ES" w:eastAsia="en-US" w:bidi="ar-SA"/>
      </w:rPr>
    </w:lvl>
    <w:lvl w:ilvl="3">
      <w:start w:val="0"/>
      <w:numFmt w:val="bullet"/>
      <w:lvlText w:val="•"/>
      <w:lvlJc w:val="left"/>
      <w:pPr>
        <w:ind w:left="3135" w:hanging="281"/>
      </w:pPr>
      <w:rPr>
        <w:rFonts w:hint="default"/>
        <w:lang w:val="es-ES" w:eastAsia="en-US" w:bidi="ar-SA"/>
      </w:rPr>
    </w:lvl>
    <w:lvl w:ilvl="4">
      <w:start w:val="0"/>
      <w:numFmt w:val="bullet"/>
      <w:lvlText w:val="•"/>
      <w:lvlJc w:val="left"/>
      <w:pPr>
        <w:ind w:left="3947" w:hanging="281"/>
      </w:pPr>
      <w:rPr>
        <w:rFonts w:hint="default"/>
        <w:lang w:val="es-ES" w:eastAsia="en-US" w:bidi="ar-SA"/>
      </w:rPr>
    </w:lvl>
    <w:lvl w:ilvl="5">
      <w:start w:val="0"/>
      <w:numFmt w:val="bullet"/>
      <w:lvlText w:val="•"/>
      <w:lvlJc w:val="left"/>
      <w:pPr>
        <w:ind w:left="4759" w:hanging="281"/>
      </w:pPr>
      <w:rPr>
        <w:rFonts w:hint="default"/>
        <w:lang w:val="es-ES" w:eastAsia="en-US" w:bidi="ar-SA"/>
      </w:rPr>
    </w:lvl>
    <w:lvl w:ilvl="6">
      <w:start w:val="0"/>
      <w:numFmt w:val="bullet"/>
      <w:lvlText w:val="•"/>
      <w:lvlJc w:val="left"/>
      <w:pPr>
        <w:ind w:left="5571" w:hanging="281"/>
      </w:pPr>
      <w:rPr>
        <w:rFonts w:hint="default"/>
        <w:lang w:val="es-ES" w:eastAsia="en-US" w:bidi="ar-SA"/>
      </w:rPr>
    </w:lvl>
    <w:lvl w:ilvl="7">
      <w:start w:val="0"/>
      <w:numFmt w:val="bullet"/>
      <w:lvlText w:val="•"/>
      <w:lvlJc w:val="left"/>
      <w:pPr>
        <w:ind w:left="6383" w:hanging="281"/>
      </w:pPr>
      <w:rPr>
        <w:rFonts w:hint="default"/>
        <w:lang w:val="es-ES" w:eastAsia="en-US" w:bidi="ar-SA"/>
      </w:rPr>
    </w:lvl>
    <w:lvl w:ilvl="8">
      <w:start w:val="0"/>
      <w:numFmt w:val="bullet"/>
      <w:lvlText w:val="•"/>
      <w:lvlJc w:val="left"/>
      <w:pPr>
        <w:ind w:left="7195" w:hanging="281"/>
      </w:pPr>
      <w:rPr>
        <w:rFonts w:hint="default"/>
        <w:lang w:val="es-ES" w:eastAsia="en-US" w:bidi="ar-SA"/>
      </w:rPr>
    </w:lvl>
  </w:abstractNum>
  <w:abstractNum w:abstractNumId="9">
    <w:multiLevelType w:val="hybridMultilevel"/>
    <w:lvl w:ilvl="0">
      <w:start w:val="0"/>
      <w:numFmt w:val="bullet"/>
      <w:lvlText w:val=""/>
      <w:lvlJc w:val="left"/>
      <w:pPr>
        <w:ind w:left="924"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1334" w:hanging="281"/>
      </w:pPr>
      <w:rPr>
        <w:rFonts w:hint="default" w:ascii="Symbol" w:hAnsi="Symbol" w:eastAsia="Symbol" w:cs="Symbol"/>
        <w:b w:val="0"/>
        <w:bCs w:val="0"/>
        <w:i w:val="0"/>
        <w:iCs w:val="0"/>
        <w:spacing w:val="0"/>
        <w:w w:val="100"/>
        <w:sz w:val="22"/>
        <w:szCs w:val="22"/>
        <w:lang w:val="es-ES" w:eastAsia="en-US" w:bidi="ar-SA"/>
      </w:rPr>
    </w:lvl>
    <w:lvl w:ilvl="2">
      <w:start w:val="0"/>
      <w:numFmt w:val="bullet"/>
      <w:lvlText w:val="•"/>
      <w:lvlJc w:val="left"/>
      <w:pPr>
        <w:ind w:left="2213" w:hanging="281"/>
      </w:pPr>
      <w:rPr>
        <w:rFonts w:hint="default"/>
        <w:lang w:val="es-ES" w:eastAsia="en-US" w:bidi="ar-SA"/>
      </w:rPr>
    </w:lvl>
    <w:lvl w:ilvl="3">
      <w:start w:val="0"/>
      <w:numFmt w:val="bullet"/>
      <w:lvlText w:val="•"/>
      <w:lvlJc w:val="left"/>
      <w:pPr>
        <w:ind w:left="3087" w:hanging="281"/>
      </w:pPr>
      <w:rPr>
        <w:rFonts w:hint="default"/>
        <w:lang w:val="es-ES" w:eastAsia="en-US" w:bidi="ar-SA"/>
      </w:rPr>
    </w:lvl>
    <w:lvl w:ilvl="4">
      <w:start w:val="0"/>
      <w:numFmt w:val="bullet"/>
      <w:lvlText w:val="•"/>
      <w:lvlJc w:val="left"/>
      <w:pPr>
        <w:ind w:left="3960" w:hanging="281"/>
      </w:pPr>
      <w:rPr>
        <w:rFonts w:hint="default"/>
        <w:lang w:val="es-ES" w:eastAsia="en-US" w:bidi="ar-SA"/>
      </w:rPr>
    </w:lvl>
    <w:lvl w:ilvl="5">
      <w:start w:val="0"/>
      <w:numFmt w:val="bullet"/>
      <w:lvlText w:val="•"/>
      <w:lvlJc w:val="left"/>
      <w:pPr>
        <w:ind w:left="4834" w:hanging="281"/>
      </w:pPr>
      <w:rPr>
        <w:rFonts w:hint="default"/>
        <w:lang w:val="es-ES" w:eastAsia="en-US" w:bidi="ar-SA"/>
      </w:rPr>
    </w:lvl>
    <w:lvl w:ilvl="6">
      <w:start w:val="0"/>
      <w:numFmt w:val="bullet"/>
      <w:lvlText w:val="•"/>
      <w:lvlJc w:val="left"/>
      <w:pPr>
        <w:ind w:left="5707" w:hanging="281"/>
      </w:pPr>
      <w:rPr>
        <w:rFonts w:hint="default"/>
        <w:lang w:val="es-ES" w:eastAsia="en-US" w:bidi="ar-SA"/>
      </w:rPr>
    </w:lvl>
    <w:lvl w:ilvl="7">
      <w:start w:val="0"/>
      <w:numFmt w:val="bullet"/>
      <w:lvlText w:val="•"/>
      <w:lvlJc w:val="left"/>
      <w:pPr>
        <w:ind w:left="6581" w:hanging="281"/>
      </w:pPr>
      <w:rPr>
        <w:rFonts w:hint="default"/>
        <w:lang w:val="es-ES" w:eastAsia="en-US" w:bidi="ar-SA"/>
      </w:rPr>
    </w:lvl>
    <w:lvl w:ilvl="8">
      <w:start w:val="0"/>
      <w:numFmt w:val="bullet"/>
      <w:lvlText w:val="•"/>
      <w:lvlJc w:val="left"/>
      <w:pPr>
        <w:ind w:left="7454" w:hanging="281"/>
      </w:pPr>
      <w:rPr>
        <w:rFonts w:hint="default"/>
        <w:lang w:val="es-ES" w:eastAsia="en-US" w:bidi="ar-SA"/>
      </w:rPr>
    </w:lvl>
  </w:abstractNum>
  <w:abstractNum w:abstractNumId="8">
    <w:multiLevelType w:val="hybridMultilevel"/>
    <w:lvl w:ilvl="0">
      <w:start w:val="0"/>
      <w:numFmt w:val="bullet"/>
      <w:lvlText w:val=""/>
      <w:lvlJc w:val="left"/>
      <w:pPr>
        <w:ind w:left="2162" w:hanging="360"/>
      </w:pPr>
      <w:rPr>
        <w:rFonts w:hint="default" w:ascii="Wingdings" w:hAnsi="Wingdings" w:eastAsia="Wingdings" w:cs="Wingdings"/>
        <w:b w:val="0"/>
        <w:bCs w:val="0"/>
        <w:i w:val="0"/>
        <w:iCs w:val="0"/>
        <w:spacing w:val="0"/>
        <w:w w:val="100"/>
        <w:sz w:val="22"/>
        <w:szCs w:val="22"/>
        <w:lang w:val="es-ES" w:eastAsia="en-US" w:bidi="ar-SA"/>
      </w:rPr>
    </w:lvl>
    <w:lvl w:ilvl="1">
      <w:start w:val="0"/>
      <w:numFmt w:val="bullet"/>
      <w:lvlText w:val="•"/>
      <w:lvlJc w:val="left"/>
      <w:pPr>
        <w:ind w:left="2988" w:hanging="360"/>
      </w:pPr>
      <w:rPr>
        <w:rFonts w:hint="default"/>
        <w:lang w:val="es-ES" w:eastAsia="en-US" w:bidi="ar-SA"/>
      </w:rPr>
    </w:lvl>
    <w:lvl w:ilvl="2">
      <w:start w:val="0"/>
      <w:numFmt w:val="bullet"/>
      <w:lvlText w:val="•"/>
      <w:lvlJc w:val="left"/>
      <w:pPr>
        <w:ind w:left="3816" w:hanging="360"/>
      </w:pPr>
      <w:rPr>
        <w:rFonts w:hint="default"/>
        <w:lang w:val="es-ES" w:eastAsia="en-US" w:bidi="ar-SA"/>
      </w:rPr>
    </w:lvl>
    <w:lvl w:ilvl="3">
      <w:start w:val="0"/>
      <w:numFmt w:val="bullet"/>
      <w:lvlText w:val="•"/>
      <w:lvlJc w:val="left"/>
      <w:pPr>
        <w:ind w:left="4644" w:hanging="360"/>
      </w:pPr>
      <w:rPr>
        <w:rFonts w:hint="default"/>
        <w:lang w:val="es-ES" w:eastAsia="en-US" w:bidi="ar-SA"/>
      </w:rPr>
    </w:lvl>
    <w:lvl w:ilvl="4">
      <w:start w:val="0"/>
      <w:numFmt w:val="bullet"/>
      <w:lvlText w:val="•"/>
      <w:lvlJc w:val="left"/>
      <w:pPr>
        <w:ind w:left="5472"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128" w:hanging="360"/>
      </w:pPr>
      <w:rPr>
        <w:rFonts w:hint="default"/>
        <w:lang w:val="es-ES" w:eastAsia="en-US" w:bidi="ar-SA"/>
      </w:rPr>
    </w:lvl>
    <w:lvl w:ilvl="7">
      <w:start w:val="0"/>
      <w:numFmt w:val="bullet"/>
      <w:lvlText w:val="•"/>
      <w:lvlJc w:val="left"/>
      <w:pPr>
        <w:ind w:left="7956" w:hanging="360"/>
      </w:pPr>
      <w:rPr>
        <w:rFonts w:hint="default"/>
        <w:lang w:val="es-ES" w:eastAsia="en-US" w:bidi="ar-SA"/>
      </w:rPr>
    </w:lvl>
    <w:lvl w:ilvl="8">
      <w:start w:val="0"/>
      <w:numFmt w:val="bullet"/>
      <w:lvlText w:val="•"/>
      <w:lvlJc w:val="left"/>
      <w:pPr>
        <w:ind w:left="8784" w:hanging="360"/>
      </w:pPr>
      <w:rPr>
        <w:rFonts w:hint="default"/>
        <w:lang w:val="es-ES" w:eastAsia="en-US" w:bidi="ar-SA"/>
      </w:rPr>
    </w:lvl>
  </w:abstractNum>
  <w:abstractNum w:abstractNumId="7">
    <w:multiLevelType w:val="hybridMultilevel"/>
    <w:lvl w:ilvl="0">
      <w:start w:val="1"/>
      <w:numFmt w:val="lowerLetter"/>
      <w:lvlText w:val="%1)"/>
      <w:lvlJc w:val="left"/>
      <w:pPr>
        <w:ind w:left="1342" w:hanging="360"/>
        <w:jc w:val="left"/>
      </w:pPr>
      <w:rPr>
        <w:rFonts w:hint="default" w:ascii="Baskerville Old Face" w:hAnsi="Baskerville Old Face" w:eastAsia="Baskerville Old Face" w:cs="Baskerville Old Face"/>
        <w:b/>
        <w:bCs/>
        <w:i w:val="0"/>
        <w:iCs w:val="0"/>
        <w:color w:val="1F3762"/>
        <w:spacing w:val="-1"/>
        <w:w w:val="100"/>
        <w:sz w:val="22"/>
        <w:szCs w:val="22"/>
        <w:lang w:val="es-ES" w:eastAsia="en-US" w:bidi="ar-SA"/>
      </w:rPr>
    </w:lvl>
    <w:lvl w:ilvl="1">
      <w:start w:val="1"/>
      <w:numFmt w:val="lowerLetter"/>
      <w:lvlText w:val="%2."/>
      <w:lvlJc w:val="left"/>
      <w:pPr>
        <w:ind w:left="206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2">
      <w:start w:val="0"/>
      <w:numFmt w:val="bullet"/>
      <w:lvlText w:val="•"/>
      <w:lvlJc w:val="left"/>
      <w:pPr>
        <w:ind w:left="2991" w:hanging="360"/>
      </w:pPr>
      <w:rPr>
        <w:rFonts w:hint="default"/>
        <w:lang w:val="es-ES" w:eastAsia="en-US" w:bidi="ar-SA"/>
      </w:rPr>
    </w:lvl>
    <w:lvl w:ilvl="3">
      <w:start w:val="0"/>
      <w:numFmt w:val="bullet"/>
      <w:lvlText w:val="•"/>
      <w:lvlJc w:val="left"/>
      <w:pPr>
        <w:ind w:left="3922" w:hanging="360"/>
      </w:pPr>
      <w:rPr>
        <w:rFonts w:hint="default"/>
        <w:lang w:val="es-ES" w:eastAsia="en-US" w:bidi="ar-SA"/>
      </w:rPr>
    </w:lvl>
    <w:lvl w:ilvl="4">
      <w:start w:val="0"/>
      <w:numFmt w:val="bullet"/>
      <w:lvlText w:val="•"/>
      <w:lvlJc w:val="left"/>
      <w:pPr>
        <w:ind w:left="4853" w:hanging="360"/>
      </w:pPr>
      <w:rPr>
        <w:rFonts w:hint="default"/>
        <w:lang w:val="es-ES" w:eastAsia="en-US" w:bidi="ar-SA"/>
      </w:rPr>
    </w:lvl>
    <w:lvl w:ilvl="5">
      <w:start w:val="0"/>
      <w:numFmt w:val="bullet"/>
      <w:lvlText w:val="•"/>
      <w:lvlJc w:val="left"/>
      <w:pPr>
        <w:ind w:left="5784" w:hanging="360"/>
      </w:pPr>
      <w:rPr>
        <w:rFonts w:hint="default"/>
        <w:lang w:val="es-ES" w:eastAsia="en-US" w:bidi="ar-SA"/>
      </w:rPr>
    </w:lvl>
    <w:lvl w:ilvl="6">
      <w:start w:val="0"/>
      <w:numFmt w:val="bullet"/>
      <w:lvlText w:val="•"/>
      <w:lvlJc w:val="left"/>
      <w:pPr>
        <w:ind w:left="6715" w:hanging="360"/>
      </w:pPr>
      <w:rPr>
        <w:rFonts w:hint="default"/>
        <w:lang w:val="es-ES" w:eastAsia="en-US" w:bidi="ar-SA"/>
      </w:rPr>
    </w:lvl>
    <w:lvl w:ilvl="7">
      <w:start w:val="0"/>
      <w:numFmt w:val="bullet"/>
      <w:lvlText w:val="•"/>
      <w:lvlJc w:val="left"/>
      <w:pPr>
        <w:ind w:left="7646" w:hanging="360"/>
      </w:pPr>
      <w:rPr>
        <w:rFonts w:hint="default"/>
        <w:lang w:val="es-ES" w:eastAsia="en-US" w:bidi="ar-SA"/>
      </w:rPr>
    </w:lvl>
    <w:lvl w:ilvl="8">
      <w:start w:val="0"/>
      <w:numFmt w:val="bullet"/>
      <w:lvlText w:val="•"/>
      <w:lvlJc w:val="left"/>
      <w:pPr>
        <w:ind w:left="8577" w:hanging="360"/>
      </w:pPr>
      <w:rPr>
        <w:rFonts w:hint="default"/>
        <w:lang w:val="es-ES" w:eastAsia="en-US" w:bidi="ar-SA"/>
      </w:rPr>
    </w:lvl>
  </w:abstractNum>
  <w:abstractNum w:abstractNumId="6">
    <w:multiLevelType w:val="hybridMultilevel"/>
    <w:lvl w:ilvl="0">
      <w:start w:val="1"/>
      <w:numFmt w:val="lowerLetter"/>
      <w:lvlText w:val="%1)"/>
      <w:lvlJc w:val="left"/>
      <w:pPr>
        <w:ind w:left="1342" w:hanging="360"/>
        <w:jc w:val="left"/>
      </w:pPr>
      <w:rPr>
        <w:rFonts w:hint="default"/>
        <w:spacing w:val="-1"/>
        <w:w w:val="10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5">
    <w:multiLevelType w:val="hybridMultilevel"/>
    <w:lvl w:ilvl="0">
      <w:start w:val="3"/>
      <w:numFmt w:val="decimal"/>
      <w:lvlText w:val="%1."/>
      <w:lvlJc w:val="left"/>
      <w:pPr>
        <w:ind w:left="840" w:hanging="219"/>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1"/>
      <w:numFmt w:val="decimal"/>
      <w:lvlText w:val="%1.%2"/>
      <w:lvlJc w:val="left"/>
      <w:pPr>
        <w:ind w:left="1188" w:hanging="327"/>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2">
      <w:start w:val="1"/>
      <w:numFmt w:val="lowerLetter"/>
      <w:lvlText w:val="%3)"/>
      <w:lvlJc w:val="left"/>
      <w:pPr>
        <w:ind w:left="1342" w:hanging="360"/>
        <w:jc w:val="left"/>
      </w:pPr>
      <w:rPr>
        <w:rFonts w:hint="default" w:ascii="Baskerville Old Face" w:hAnsi="Baskerville Old Face" w:eastAsia="Baskerville Old Face" w:cs="Baskerville Old Face"/>
        <w:b w:val="0"/>
        <w:bCs w:val="0"/>
        <w:i w:val="0"/>
        <w:iCs w:val="0"/>
        <w:spacing w:val="-1"/>
        <w:w w:val="100"/>
        <w:sz w:val="22"/>
        <w:szCs w:val="22"/>
        <w:lang w:val="es-ES" w:eastAsia="en-US" w:bidi="ar-SA"/>
      </w:rPr>
    </w:lvl>
    <w:lvl w:ilvl="3">
      <w:start w:val="0"/>
      <w:numFmt w:val="bullet"/>
      <w:lvlText w:val="•"/>
      <w:lvlJc w:val="left"/>
      <w:pPr>
        <w:ind w:left="2477" w:hanging="360"/>
      </w:pPr>
      <w:rPr>
        <w:rFonts w:hint="default"/>
        <w:lang w:val="es-ES" w:eastAsia="en-US" w:bidi="ar-SA"/>
      </w:rPr>
    </w:lvl>
    <w:lvl w:ilvl="4">
      <w:start w:val="0"/>
      <w:numFmt w:val="bullet"/>
      <w:lvlText w:val="•"/>
      <w:lvlJc w:val="left"/>
      <w:pPr>
        <w:ind w:left="3615" w:hanging="360"/>
      </w:pPr>
      <w:rPr>
        <w:rFonts w:hint="default"/>
        <w:lang w:val="es-ES" w:eastAsia="en-US" w:bidi="ar-SA"/>
      </w:rPr>
    </w:lvl>
    <w:lvl w:ilvl="5">
      <w:start w:val="0"/>
      <w:numFmt w:val="bullet"/>
      <w:lvlText w:val="•"/>
      <w:lvlJc w:val="left"/>
      <w:pPr>
        <w:ind w:left="4752" w:hanging="360"/>
      </w:pPr>
      <w:rPr>
        <w:rFonts w:hint="default"/>
        <w:lang w:val="es-ES" w:eastAsia="en-US" w:bidi="ar-SA"/>
      </w:rPr>
    </w:lvl>
    <w:lvl w:ilvl="6">
      <w:start w:val="0"/>
      <w:numFmt w:val="bullet"/>
      <w:lvlText w:val="•"/>
      <w:lvlJc w:val="left"/>
      <w:pPr>
        <w:ind w:left="5890" w:hanging="360"/>
      </w:pPr>
      <w:rPr>
        <w:rFonts w:hint="default"/>
        <w:lang w:val="es-ES" w:eastAsia="en-US" w:bidi="ar-SA"/>
      </w:rPr>
    </w:lvl>
    <w:lvl w:ilvl="7">
      <w:start w:val="0"/>
      <w:numFmt w:val="bullet"/>
      <w:lvlText w:val="•"/>
      <w:lvlJc w:val="left"/>
      <w:pPr>
        <w:ind w:left="7027" w:hanging="360"/>
      </w:pPr>
      <w:rPr>
        <w:rFonts w:hint="default"/>
        <w:lang w:val="es-ES" w:eastAsia="en-US" w:bidi="ar-SA"/>
      </w:rPr>
    </w:lvl>
    <w:lvl w:ilvl="8">
      <w:start w:val="0"/>
      <w:numFmt w:val="bullet"/>
      <w:lvlText w:val="•"/>
      <w:lvlJc w:val="left"/>
      <w:pPr>
        <w:ind w:left="8165" w:hanging="360"/>
      </w:pPr>
      <w:rPr>
        <w:rFonts w:hint="default"/>
        <w:lang w:val="es-ES" w:eastAsia="en-US" w:bidi="ar-SA"/>
      </w:rPr>
    </w:lvl>
  </w:abstractNum>
  <w:abstractNum w:abstractNumId="4">
    <w:multiLevelType w:val="hybridMultilevel"/>
    <w:lvl w:ilvl="0">
      <w:start w:val="2"/>
      <w:numFmt w:val="decimal"/>
      <w:lvlText w:val="%1."/>
      <w:lvlJc w:val="left"/>
      <w:pPr>
        <w:ind w:left="1080" w:hanging="219"/>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1"/>
      <w:numFmt w:val="decimal"/>
      <w:lvlText w:val="%1.%2"/>
      <w:lvlJc w:val="left"/>
      <w:pPr>
        <w:ind w:left="1188" w:hanging="327"/>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2">
      <w:start w:val="0"/>
      <w:numFmt w:val="bullet"/>
      <w:lvlText w:val="•"/>
      <w:lvlJc w:val="left"/>
      <w:pPr>
        <w:ind w:left="2208" w:hanging="327"/>
      </w:pPr>
      <w:rPr>
        <w:rFonts w:hint="default"/>
        <w:lang w:val="es-ES" w:eastAsia="en-US" w:bidi="ar-SA"/>
      </w:rPr>
    </w:lvl>
    <w:lvl w:ilvl="3">
      <w:start w:val="0"/>
      <w:numFmt w:val="bullet"/>
      <w:lvlText w:val="•"/>
      <w:lvlJc w:val="left"/>
      <w:pPr>
        <w:ind w:left="3237" w:hanging="327"/>
      </w:pPr>
      <w:rPr>
        <w:rFonts w:hint="default"/>
        <w:lang w:val="es-ES" w:eastAsia="en-US" w:bidi="ar-SA"/>
      </w:rPr>
    </w:lvl>
    <w:lvl w:ilvl="4">
      <w:start w:val="0"/>
      <w:numFmt w:val="bullet"/>
      <w:lvlText w:val="•"/>
      <w:lvlJc w:val="left"/>
      <w:pPr>
        <w:ind w:left="4266" w:hanging="327"/>
      </w:pPr>
      <w:rPr>
        <w:rFonts w:hint="default"/>
        <w:lang w:val="es-ES" w:eastAsia="en-US" w:bidi="ar-SA"/>
      </w:rPr>
    </w:lvl>
    <w:lvl w:ilvl="5">
      <w:start w:val="0"/>
      <w:numFmt w:val="bullet"/>
      <w:lvlText w:val="•"/>
      <w:lvlJc w:val="left"/>
      <w:pPr>
        <w:ind w:left="5295" w:hanging="327"/>
      </w:pPr>
      <w:rPr>
        <w:rFonts w:hint="default"/>
        <w:lang w:val="es-ES" w:eastAsia="en-US" w:bidi="ar-SA"/>
      </w:rPr>
    </w:lvl>
    <w:lvl w:ilvl="6">
      <w:start w:val="0"/>
      <w:numFmt w:val="bullet"/>
      <w:lvlText w:val="•"/>
      <w:lvlJc w:val="left"/>
      <w:pPr>
        <w:ind w:left="6324" w:hanging="327"/>
      </w:pPr>
      <w:rPr>
        <w:rFonts w:hint="default"/>
        <w:lang w:val="es-ES" w:eastAsia="en-US" w:bidi="ar-SA"/>
      </w:rPr>
    </w:lvl>
    <w:lvl w:ilvl="7">
      <w:start w:val="0"/>
      <w:numFmt w:val="bullet"/>
      <w:lvlText w:val="•"/>
      <w:lvlJc w:val="left"/>
      <w:pPr>
        <w:ind w:left="7353" w:hanging="327"/>
      </w:pPr>
      <w:rPr>
        <w:rFonts w:hint="default"/>
        <w:lang w:val="es-ES" w:eastAsia="en-US" w:bidi="ar-SA"/>
      </w:rPr>
    </w:lvl>
    <w:lvl w:ilvl="8">
      <w:start w:val="0"/>
      <w:numFmt w:val="bullet"/>
      <w:lvlText w:val="•"/>
      <w:lvlJc w:val="left"/>
      <w:pPr>
        <w:ind w:left="8382" w:hanging="327"/>
      </w:pPr>
      <w:rPr>
        <w:rFonts w:hint="default"/>
        <w:lang w:val="es-ES" w:eastAsia="en-US" w:bidi="ar-SA"/>
      </w:rPr>
    </w:lvl>
  </w:abstractNum>
  <w:abstractNum w:abstractNumId="3">
    <w:multiLevelType w:val="hybridMultilevel"/>
    <w:lvl w:ilvl="0">
      <w:start w:val="1"/>
      <w:numFmt w:val="decimal"/>
      <w:lvlText w:val="%1"/>
      <w:lvlJc w:val="left"/>
      <w:pPr>
        <w:ind w:left="1188" w:hanging="327"/>
        <w:jc w:val="left"/>
      </w:pPr>
      <w:rPr>
        <w:rFonts w:hint="default"/>
        <w:lang w:val="es-ES" w:eastAsia="en-US" w:bidi="ar-SA"/>
      </w:rPr>
    </w:lvl>
    <w:lvl w:ilvl="1">
      <w:start w:val="1"/>
      <w:numFmt w:val="decimal"/>
      <w:lvlText w:val="%1.%2"/>
      <w:lvlJc w:val="left"/>
      <w:pPr>
        <w:ind w:left="1188" w:hanging="327"/>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2">
      <w:start w:val="0"/>
      <w:numFmt w:val="bullet"/>
      <w:lvlText w:val="•"/>
      <w:lvlJc w:val="left"/>
      <w:pPr>
        <w:ind w:left="3032" w:hanging="327"/>
      </w:pPr>
      <w:rPr>
        <w:rFonts w:hint="default"/>
        <w:lang w:val="es-ES" w:eastAsia="en-US" w:bidi="ar-SA"/>
      </w:rPr>
    </w:lvl>
    <w:lvl w:ilvl="3">
      <w:start w:val="0"/>
      <w:numFmt w:val="bullet"/>
      <w:lvlText w:val="•"/>
      <w:lvlJc w:val="left"/>
      <w:pPr>
        <w:ind w:left="3958" w:hanging="327"/>
      </w:pPr>
      <w:rPr>
        <w:rFonts w:hint="default"/>
        <w:lang w:val="es-ES" w:eastAsia="en-US" w:bidi="ar-SA"/>
      </w:rPr>
    </w:lvl>
    <w:lvl w:ilvl="4">
      <w:start w:val="0"/>
      <w:numFmt w:val="bullet"/>
      <w:lvlText w:val="•"/>
      <w:lvlJc w:val="left"/>
      <w:pPr>
        <w:ind w:left="4884" w:hanging="327"/>
      </w:pPr>
      <w:rPr>
        <w:rFonts w:hint="default"/>
        <w:lang w:val="es-ES" w:eastAsia="en-US" w:bidi="ar-SA"/>
      </w:rPr>
    </w:lvl>
    <w:lvl w:ilvl="5">
      <w:start w:val="0"/>
      <w:numFmt w:val="bullet"/>
      <w:lvlText w:val="•"/>
      <w:lvlJc w:val="left"/>
      <w:pPr>
        <w:ind w:left="5810" w:hanging="327"/>
      </w:pPr>
      <w:rPr>
        <w:rFonts w:hint="default"/>
        <w:lang w:val="es-ES" w:eastAsia="en-US" w:bidi="ar-SA"/>
      </w:rPr>
    </w:lvl>
    <w:lvl w:ilvl="6">
      <w:start w:val="0"/>
      <w:numFmt w:val="bullet"/>
      <w:lvlText w:val="•"/>
      <w:lvlJc w:val="left"/>
      <w:pPr>
        <w:ind w:left="6736" w:hanging="327"/>
      </w:pPr>
      <w:rPr>
        <w:rFonts w:hint="default"/>
        <w:lang w:val="es-ES" w:eastAsia="en-US" w:bidi="ar-SA"/>
      </w:rPr>
    </w:lvl>
    <w:lvl w:ilvl="7">
      <w:start w:val="0"/>
      <w:numFmt w:val="bullet"/>
      <w:lvlText w:val="•"/>
      <w:lvlJc w:val="left"/>
      <w:pPr>
        <w:ind w:left="7662" w:hanging="327"/>
      </w:pPr>
      <w:rPr>
        <w:rFonts w:hint="default"/>
        <w:lang w:val="es-ES" w:eastAsia="en-US" w:bidi="ar-SA"/>
      </w:rPr>
    </w:lvl>
    <w:lvl w:ilvl="8">
      <w:start w:val="0"/>
      <w:numFmt w:val="bullet"/>
      <w:lvlText w:val="•"/>
      <w:lvlJc w:val="left"/>
      <w:pPr>
        <w:ind w:left="8588" w:hanging="327"/>
      </w:pPr>
      <w:rPr>
        <w:rFonts w:hint="default"/>
        <w:lang w:val="es-ES" w:eastAsia="en-US" w:bidi="ar-SA"/>
      </w:rPr>
    </w:lvl>
  </w:abstractNum>
  <w:abstractNum w:abstractNumId="2">
    <w:multiLevelType w:val="hybridMultilevel"/>
    <w:lvl w:ilvl="0">
      <w:start w:val="1"/>
      <w:numFmt w:val="decimal"/>
      <w:lvlText w:val="%1"/>
      <w:lvlJc w:val="left"/>
      <w:pPr>
        <w:ind w:left="1242" w:hanging="381"/>
        <w:jc w:val="left"/>
      </w:pPr>
      <w:rPr>
        <w:rFonts w:hint="default"/>
        <w:lang w:val="es-ES" w:eastAsia="en-US" w:bidi="ar-SA"/>
      </w:rPr>
    </w:lvl>
    <w:lvl w:ilvl="1">
      <w:start w:val="1"/>
      <w:numFmt w:val="decimal"/>
      <w:lvlText w:val="%1.%2."/>
      <w:lvlJc w:val="left"/>
      <w:pPr>
        <w:ind w:left="1242" w:hanging="381"/>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2">
      <w:start w:val="0"/>
      <w:numFmt w:val="bullet"/>
      <w:lvlText w:val="•"/>
      <w:lvlJc w:val="left"/>
      <w:pPr>
        <w:ind w:left="3080" w:hanging="381"/>
      </w:pPr>
      <w:rPr>
        <w:rFonts w:hint="default"/>
        <w:lang w:val="es-ES" w:eastAsia="en-US" w:bidi="ar-SA"/>
      </w:rPr>
    </w:lvl>
    <w:lvl w:ilvl="3">
      <w:start w:val="0"/>
      <w:numFmt w:val="bullet"/>
      <w:lvlText w:val="•"/>
      <w:lvlJc w:val="left"/>
      <w:pPr>
        <w:ind w:left="4000" w:hanging="381"/>
      </w:pPr>
      <w:rPr>
        <w:rFonts w:hint="default"/>
        <w:lang w:val="es-ES" w:eastAsia="en-US" w:bidi="ar-SA"/>
      </w:rPr>
    </w:lvl>
    <w:lvl w:ilvl="4">
      <w:start w:val="0"/>
      <w:numFmt w:val="bullet"/>
      <w:lvlText w:val="•"/>
      <w:lvlJc w:val="left"/>
      <w:pPr>
        <w:ind w:left="4920" w:hanging="381"/>
      </w:pPr>
      <w:rPr>
        <w:rFonts w:hint="default"/>
        <w:lang w:val="es-ES" w:eastAsia="en-US" w:bidi="ar-SA"/>
      </w:rPr>
    </w:lvl>
    <w:lvl w:ilvl="5">
      <w:start w:val="0"/>
      <w:numFmt w:val="bullet"/>
      <w:lvlText w:val="•"/>
      <w:lvlJc w:val="left"/>
      <w:pPr>
        <w:ind w:left="5840" w:hanging="381"/>
      </w:pPr>
      <w:rPr>
        <w:rFonts w:hint="default"/>
        <w:lang w:val="es-ES" w:eastAsia="en-US" w:bidi="ar-SA"/>
      </w:rPr>
    </w:lvl>
    <w:lvl w:ilvl="6">
      <w:start w:val="0"/>
      <w:numFmt w:val="bullet"/>
      <w:lvlText w:val="•"/>
      <w:lvlJc w:val="left"/>
      <w:pPr>
        <w:ind w:left="6760" w:hanging="381"/>
      </w:pPr>
      <w:rPr>
        <w:rFonts w:hint="default"/>
        <w:lang w:val="es-ES" w:eastAsia="en-US" w:bidi="ar-SA"/>
      </w:rPr>
    </w:lvl>
    <w:lvl w:ilvl="7">
      <w:start w:val="0"/>
      <w:numFmt w:val="bullet"/>
      <w:lvlText w:val="•"/>
      <w:lvlJc w:val="left"/>
      <w:pPr>
        <w:ind w:left="7680" w:hanging="381"/>
      </w:pPr>
      <w:rPr>
        <w:rFonts w:hint="default"/>
        <w:lang w:val="es-ES" w:eastAsia="en-US" w:bidi="ar-SA"/>
      </w:rPr>
    </w:lvl>
    <w:lvl w:ilvl="8">
      <w:start w:val="0"/>
      <w:numFmt w:val="bullet"/>
      <w:lvlText w:val="•"/>
      <w:lvlJc w:val="left"/>
      <w:pPr>
        <w:ind w:left="8600" w:hanging="381"/>
      </w:pPr>
      <w:rPr>
        <w:rFonts w:hint="default"/>
        <w:lang w:val="es-ES" w:eastAsia="en-US" w:bidi="ar-SA"/>
      </w:rPr>
    </w:lvl>
  </w:abstractNum>
  <w:abstractNum w:abstractNumId="1">
    <w:multiLevelType w:val="hybridMultilevel"/>
    <w:lvl w:ilvl="0">
      <w:start w:val="1"/>
      <w:numFmt w:val="lowerLetter"/>
      <w:lvlText w:val="%1)"/>
      <w:lvlJc w:val="left"/>
      <w:pPr>
        <w:ind w:left="1342" w:hanging="480"/>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0"/>
      <w:numFmt w:val="bullet"/>
      <w:lvlText w:val="•"/>
      <w:lvlJc w:val="left"/>
      <w:pPr>
        <w:ind w:left="2250" w:hanging="480"/>
      </w:pPr>
      <w:rPr>
        <w:rFonts w:hint="default"/>
        <w:lang w:val="es-ES" w:eastAsia="en-US" w:bidi="ar-SA"/>
      </w:rPr>
    </w:lvl>
    <w:lvl w:ilvl="2">
      <w:start w:val="0"/>
      <w:numFmt w:val="bullet"/>
      <w:lvlText w:val="•"/>
      <w:lvlJc w:val="left"/>
      <w:pPr>
        <w:ind w:left="3160" w:hanging="480"/>
      </w:pPr>
      <w:rPr>
        <w:rFonts w:hint="default"/>
        <w:lang w:val="es-ES" w:eastAsia="en-US" w:bidi="ar-SA"/>
      </w:rPr>
    </w:lvl>
    <w:lvl w:ilvl="3">
      <w:start w:val="0"/>
      <w:numFmt w:val="bullet"/>
      <w:lvlText w:val="•"/>
      <w:lvlJc w:val="left"/>
      <w:pPr>
        <w:ind w:left="4070" w:hanging="480"/>
      </w:pPr>
      <w:rPr>
        <w:rFonts w:hint="default"/>
        <w:lang w:val="es-ES" w:eastAsia="en-US" w:bidi="ar-SA"/>
      </w:rPr>
    </w:lvl>
    <w:lvl w:ilvl="4">
      <w:start w:val="0"/>
      <w:numFmt w:val="bullet"/>
      <w:lvlText w:val="•"/>
      <w:lvlJc w:val="left"/>
      <w:pPr>
        <w:ind w:left="4980" w:hanging="480"/>
      </w:pPr>
      <w:rPr>
        <w:rFonts w:hint="default"/>
        <w:lang w:val="es-ES" w:eastAsia="en-US" w:bidi="ar-SA"/>
      </w:rPr>
    </w:lvl>
    <w:lvl w:ilvl="5">
      <w:start w:val="0"/>
      <w:numFmt w:val="bullet"/>
      <w:lvlText w:val="•"/>
      <w:lvlJc w:val="left"/>
      <w:pPr>
        <w:ind w:left="5890" w:hanging="480"/>
      </w:pPr>
      <w:rPr>
        <w:rFonts w:hint="default"/>
        <w:lang w:val="es-ES" w:eastAsia="en-US" w:bidi="ar-SA"/>
      </w:rPr>
    </w:lvl>
    <w:lvl w:ilvl="6">
      <w:start w:val="0"/>
      <w:numFmt w:val="bullet"/>
      <w:lvlText w:val="•"/>
      <w:lvlJc w:val="left"/>
      <w:pPr>
        <w:ind w:left="6800" w:hanging="480"/>
      </w:pPr>
      <w:rPr>
        <w:rFonts w:hint="default"/>
        <w:lang w:val="es-ES" w:eastAsia="en-US" w:bidi="ar-SA"/>
      </w:rPr>
    </w:lvl>
    <w:lvl w:ilvl="7">
      <w:start w:val="0"/>
      <w:numFmt w:val="bullet"/>
      <w:lvlText w:val="•"/>
      <w:lvlJc w:val="left"/>
      <w:pPr>
        <w:ind w:left="7710" w:hanging="480"/>
      </w:pPr>
      <w:rPr>
        <w:rFonts w:hint="default"/>
        <w:lang w:val="es-ES" w:eastAsia="en-US" w:bidi="ar-SA"/>
      </w:rPr>
    </w:lvl>
    <w:lvl w:ilvl="8">
      <w:start w:val="0"/>
      <w:numFmt w:val="bullet"/>
      <w:lvlText w:val="•"/>
      <w:lvlJc w:val="left"/>
      <w:pPr>
        <w:ind w:left="8620" w:hanging="480"/>
      </w:pPr>
      <w:rPr>
        <w:rFonts w:hint="default"/>
        <w:lang w:val="es-ES" w:eastAsia="en-US" w:bidi="ar-SA"/>
      </w:rPr>
    </w:lvl>
  </w:abstractNum>
  <w:abstractNum w:abstractNumId="0">
    <w:multiLevelType w:val="hybridMultilevel"/>
    <w:lvl w:ilvl="0">
      <w:start w:val="1"/>
      <w:numFmt w:val="lowerLetter"/>
      <w:lvlText w:val="%1)"/>
      <w:lvlJc w:val="left"/>
      <w:pPr>
        <w:ind w:left="1342" w:hanging="480"/>
        <w:jc w:val="left"/>
      </w:pPr>
      <w:rPr>
        <w:rFonts w:hint="default" w:ascii="Baskerville Old Face" w:hAnsi="Baskerville Old Face" w:eastAsia="Baskerville Old Face" w:cs="Baskerville Old Face"/>
        <w:b/>
        <w:bCs/>
        <w:i w:val="0"/>
        <w:iCs w:val="0"/>
        <w:spacing w:val="-1"/>
        <w:w w:val="100"/>
        <w:sz w:val="22"/>
        <w:szCs w:val="22"/>
        <w:lang w:val="es-ES" w:eastAsia="en-US" w:bidi="ar-SA"/>
      </w:rPr>
    </w:lvl>
    <w:lvl w:ilvl="1">
      <w:start w:val="0"/>
      <w:numFmt w:val="bullet"/>
      <w:lvlText w:val="•"/>
      <w:lvlJc w:val="left"/>
      <w:pPr>
        <w:ind w:left="2250" w:hanging="480"/>
      </w:pPr>
      <w:rPr>
        <w:rFonts w:hint="default"/>
        <w:lang w:val="es-ES" w:eastAsia="en-US" w:bidi="ar-SA"/>
      </w:rPr>
    </w:lvl>
    <w:lvl w:ilvl="2">
      <w:start w:val="0"/>
      <w:numFmt w:val="bullet"/>
      <w:lvlText w:val="•"/>
      <w:lvlJc w:val="left"/>
      <w:pPr>
        <w:ind w:left="3160" w:hanging="480"/>
      </w:pPr>
      <w:rPr>
        <w:rFonts w:hint="default"/>
        <w:lang w:val="es-ES" w:eastAsia="en-US" w:bidi="ar-SA"/>
      </w:rPr>
    </w:lvl>
    <w:lvl w:ilvl="3">
      <w:start w:val="0"/>
      <w:numFmt w:val="bullet"/>
      <w:lvlText w:val="•"/>
      <w:lvlJc w:val="left"/>
      <w:pPr>
        <w:ind w:left="4070" w:hanging="480"/>
      </w:pPr>
      <w:rPr>
        <w:rFonts w:hint="default"/>
        <w:lang w:val="es-ES" w:eastAsia="en-US" w:bidi="ar-SA"/>
      </w:rPr>
    </w:lvl>
    <w:lvl w:ilvl="4">
      <w:start w:val="0"/>
      <w:numFmt w:val="bullet"/>
      <w:lvlText w:val="•"/>
      <w:lvlJc w:val="left"/>
      <w:pPr>
        <w:ind w:left="4980" w:hanging="480"/>
      </w:pPr>
      <w:rPr>
        <w:rFonts w:hint="default"/>
        <w:lang w:val="es-ES" w:eastAsia="en-US" w:bidi="ar-SA"/>
      </w:rPr>
    </w:lvl>
    <w:lvl w:ilvl="5">
      <w:start w:val="0"/>
      <w:numFmt w:val="bullet"/>
      <w:lvlText w:val="•"/>
      <w:lvlJc w:val="left"/>
      <w:pPr>
        <w:ind w:left="5890" w:hanging="480"/>
      </w:pPr>
      <w:rPr>
        <w:rFonts w:hint="default"/>
        <w:lang w:val="es-ES" w:eastAsia="en-US" w:bidi="ar-SA"/>
      </w:rPr>
    </w:lvl>
    <w:lvl w:ilvl="6">
      <w:start w:val="0"/>
      <w:numFmt w:val="bullet"/>
      <w:lvlText w:val="•"/>
      <w:lvlJc w:val="left"/>
      <w:pPr>
        <w:ind w:left="6800" w:hanging="480"/>
      </w:pPr>
      <w:rPr>
        <w:rFonts w:hint="default"/>
        <w:lang w:val="es-ES" w:eastAsia="en-US" w:bidi="ar-SA"/>
      </w:rPr>
    </w:lvl>
    <w:lvl w:ilvl="7">
      <w:start w:val="0"/>
      <w:numFmt w:val="bullet"/>
      <w:lvlText w:val="•"/>
      <w:lvlJc w:val="left"/>
      <w:pPr>
        <w:ind w:left="7710" w:hanging="480"/>
      </w:pPr>
      <w:rPr>
        <w:rFonts w:hint="default"/>
        <w:lang w:val="es-ES" w:eastAsia="en-US" w:bidi="ar-SA"/>
      </w:rPr>
    </w:lvl>
    <w:lvl w:ilvl="8">
      <w:start w:val="0"/>
      <w:numFmt w:val="bullet"/>
      <w:lvlText w:val="•"/>
      <w:lvlJc w:val="left"/>
      <w:pPr>
        <w:ind w:left="8620" w:hanging="480"/>
      </w:pPr>
      <w:rPr>
        <w:rFonts w:hint="default"/>
        <w:lang w:val="es-ES" w:eastAsia="en-US" w:bidi="ar-SA"/>
      </w:rPr>
    </w:lvl>
  </w:abstract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58">
    <w:abstractNumId w:val="57"/>
  </w:num>
  <w:num w:numId="60">
    <w:abstractNumId w:val="59"/>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59">
    <w:abstractNumId w:val="58"/>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askerville Old Face" w:hAnsi="Baskerville Old Face" w:eastAsia="Baskerville Old Face" w:cs="Baskerville Old Face"/>
      <w:lang w:val="es-ES" w:eastAsia="en-US" w:bidi="ar-SA"/>
    </w:rPr>
  </w:style>
  <w:style w:styleId="TOC1" w:type="paragraph">
    <w:name w:val="TOC 1"/>
    <w:basedOn w:val="Normal"/>
    <w:uiPriority w:val="1"/>
    <w:qFormat/>
    <w:pPr>
      <w:spacing w:before="486"/>
      <w:ind w:left="622"/>
    </w:pPr>
    <w:rPr>
      <w:rFonts w:ascii="Baskerville Old Face" w:hAnsi="Baskerville Old Face" w:eastAsia="Baskerville Old Face" w:cs="Baskerville Old Face"/>
      <w:b/>
      <w:bCs/>
      <w:sz w:val="22"/>
      <w:szCs w:val="22"/>
      <w:lang w:val="es-ES" w:eastAsia="en-US" w:bidi="ar-SA"/>
    </w:rPr>
  </w:style>
  <w:style w:styleId="TOC2" w:type="paragraph">
    <w:name w:val="TOC 2"/>
    <w:basedOn w:val="Normal"/>
    <w:uiPriority w:val="1"/>
    <w:qFormat/>
    <w:pPr>
      <w:spacing w:before="366"/>
      <w:ind w:left="622"/>
    </w:pPr>
    <w:rPr>
      <w:rFonts w:ascii="Baskerville Old Face" w:hAnsi="Baskerville Old Face" w:eastAsia="Baskerville Old Face" w:cs="Baskerville Old Face"/>
      <w:b/>
      <w:bCs/>
      <w:sz w:val="22"/>
      <w:szCs w:val="22"/>
      <w:lang w:val="es-ES" w:eastAsia="en-US" w:bidi="ar-SA"/>
    </w:rPr>
  </w:style>
  <w:style w:styleId="TOC3" w:type="paragraph">
    <w:name w:val="TOC 3"/>
    <w:basedOn w:val="Normal"/>
    <w:uiPriority w:val="1"/>
    <w:qFormat/>
    <w:pPr>
      <w:spacing w:before="62"/>
      <w:ind w:left="622"/>
    </w:pPr>
    <w:rPr>
      <w:rFonts w:ascii="Baskerville Old Face" w:hAnsi="Baskerville Old Face" w:eastAsia="Baskerville Old Face" w:cs="Baskerville Old Face"/>
      <w:sz w:val="20"/>
      <w:szCs w:val="20"/>
      <w:lang w:val="es-ES" w:eastAsia="en-US" w:bidi="ar-SA"/>
    </w:rPr>
  </w:style>
  <w:style w:styleId="TOC4" w:type="paragraph">
    <w:name w:val="TOC 4"/>
    <w:basedOn w:val="Normal"/>
    <w:uiPriority w:val="1"/>
    <w:qFormat/>
    <w:pPr>
      <w:spacing w:before="127"/>
      <w:ind w:left="1186" w:hanging="324"/>
    </w:pPr>
    <w:rPr>
      <w:rFonts w:ascii="Baskerville Old Face" w:hAnsi="Baskerville Old Face" w:eastAsia="Baskerville Old Face" w:cs="Baskerville Old Face"/>
      <w:b/>
      <w:bCs/>
      <w:sz w:val="22"/>
      <w:szCs w:val="22"/>
      <w:lang w:val="es-ES" w:eastAsia="en-US" w:bidi="ar-SA"/>
    </w:rPr>
  </w:style>
  <w:style w:styleId="TOC5" w:type="paragraph">
    <w:name w:val="TOC 5"/>
    <w:basedOn w:val="Normal"/>
    <w:uiPriority w:val="1"/>
    <w:qFormat/>
    <w:pPr>
      <w:spacing w:before="126"/>
      <w:ind w:left="1341" w:hanging="479"/>
    </w:pPr>
    <w:rPr>
      <w:rFonts w:ascii="Baskerville Old Face" w:hAnsi="Baskerville Old Face" w:eastAsia="Baskerville Old Face" w:cs="Baskerville Old Face"/>
      <w:b/>
      <w:bCs/>
      <w:sz w:val="22"/>
      <w:szCs w:val="22"/>
      <w:lang w:val="es-ES" w:eastAsia="en-US" w:bidi="ar-SA"/>
    </w:rPr>
  </w:style>
  <w:style w:styleId="TOC6" w:type="paragraph">
    <w:name w:val="TOC 6"/>
    <w:basedOn w:val="Normal"/>
    <w:uiPriority w:val="1"/>
    <w:qFormat/>
    <w:pPr>
      <w:spacing w:before="126"/>
      <w:ind w:left="1101"/>
    </w:pPr>
    <w:rPr>
      <w:rFonts w:ascii="Baskerville Old Face" w:hAnsi="Baskerville Old Face" w:eastAsia="Baskerville Old Face" w:cs="Baskerville Old Face"/>
      <w:b/>
      <w:bCs/>
      <w:sz w:val="22"/>
      <w:szCs w:val="22"/>
      <w:lang w:val="es-ES" w:eastAsia="en-US" w:bidi="ar-SA"/>
    </w:rPr>
  </w:style>
  <w:style w:styleId="TOC7" w:type="paragraph">
    <w:name w:val="TOC 7"/>
    <w:basedOn w:val="Normal"/>
    <w:uiPriority w:val="1"/>
    <w:qFormat/>
    <w:pPr>
      <w:spacing w:before="126"/>
      <w:ind w:left="1101"/>
    </w:pPr>
    <w:rPr>
      <w:rFonts w:ascii="Baskerville Old Face" w:hAnsi="Baskerville Old Face" w:eastAsia="Baskerville Old Face" w:cs="Baskerville Old Face"/>
      <w:b/>
      <w:bCs/>
      <w:i/>
      <w:iCs/>
      <w:lang w:val="es-ES" w:eastAsia="en-US" w:bidi="ar-SA"/>
    </w:rPr>
  </w:style>
  <w:style w:styleId="BodyText" w:type="paragraph">
    <w:name w:val="Body Text"/>
    <w:basedOn w:val="Normal"/>
    <w:uiPriority w:val="1"/>
    <w:qFormat/>
    <w:pPr/>
    <w:rPr>
      <w:rFonts w:ascii="Baskerville Old Face" w:hAnsi="Baskerville Old Face" w:eastAsia="Baskerville Old Face" w:cs="Baskerville Old Face"/>
      <w:sz w:val="22"/>
      <w:szCs w:val="22"/>
      <w:lang w:val="es-ES" w:eastAsia="en-US" w:bidi="ar-SA"/>
    </w:rPr>
  </w:style>
  <w:style w:styleId="Heading1" w:type="paragraph">
    <w:name w:val="Heading 1"/>
    <w:basedOn w:val="Normal"/>
    <w:uiPriority w:val="1"/>
    <w:qFormat/>
    <w:pPr>
      <w:spacing w:before="60"/>
      <w:ind w:left="66"/>
      <w:outlineLvl w:val="1"/>
    </w:pPr>
    <w:rPr>
      <w:rFonts w:ascii="Times New Roman" w:hAnsi="Times New Roman" w:eastAsia="Times New Roman" w:cs="Times New Roman"/>
      <w:b/>
      <w:bCs/>
      <w:sz w:val="34"/>
      <w:szCs w:val="34"/>
      <w:lang w:val="es-ES" w:eastAsia="en-US" w:bidi="ar-SA"/>
    </w:rPr>
  </w:style>
  <w:style w:styleId="Heading2" w:type="paragraph">
    <w:name w:val="Heading 2"/>
    <w:basedOn w:val="Normal"/>
    <w:uiPriority w:val="1"/>
    <w:qFormat/>
    <w:pPr>
      <w:ind w:left="622"/>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spacing w:line="220" w:lineRule="exact"/>
      <w:ind w:left="4541"/>
      <w:outlineLvl w:val="3"/>
    </w:pPr>
    <w:rPr>
      <w:rFonts w:ascii="Times New Roman" w:hAnsi="Times New Roman" w:eastAsia="Times New Roman" w:cs="Times New Roman"/>
      <w:sz w:val="24"/>
      <w:szCs w:val="24"/>
      <w:lang w:val="es-ES" w:eastAsia="en-US" w:bidi="ar-SA"/>
    </w:rPr>
  </w:style>
  <w:style w:styleId="Heading4" w:type="paragraph">
    <w:name w:val="Heading 4"/>
    <w:basedOn w:val="Normal"/>
    <w:uiPriority w:val="1"/>
    <w:qFormat/>
    <w:pPr>
      <w:ind w:left="730"/>
      <w:jc w:val="both"/>
      <w:outlineLvl w:val="4"/>
    </w:pPr>
    <w:rPr>
      <w:rFonts w:ascii="Baskerville Old Face" w:hAnsi="Baskerville Old Face" w:eastAsia="Baskerville Old Face" w:cs="Baskerville Old Face"/>
      <w:b/>
      <w:bCs/>
      <w:i/>
      <w:iCs/>
      <w:sz w:val="23"/>
      <w:szCs w:val="23"/>
      <w:lang w:val="es-ES" w:eastAsia="en-US" w:bidi="ar-SA"/>
    </w:rPr>
  </w:style>
  <w:style w:styleId="Heading5" w:type="paragraph">
    <w:name w:val="Heading 5"/>
    <w:basedOn w:val="Normal"/>
    <w:uiPriority w:val="1"/>
    <w:qFormat/>
    <w:pPr>
      <w:ind w:left="622"/>
      <w:outlineLvl w:val="5"/>
    </w:pPr>
    <w:rPr>
      <w:rFonts w:ascii="Baskerville Old Face" w:hAnsi="Baskerville Old Face" w:eastAsia="Baskerville Old Face" w:cs="Baskerville Old Face"/>
      <w:b/>
      <w:bCs/>
      <w:sz w:val="22"/>
      <w:szCs w:val="22"/>
      <w:lang w:val="es-ES" w:eastAsia="en-US" w:bidi="ar-SA"/>
    </w:rPr>
  </w:style>
  <w:style w:styleId="Heading6" w:type="paragraph">
    <w:name w:val="Heading 6"/>
    <w:basedOn w:val="Normal"/>
    <w:uiPriority w:val="1"/>
    <w:qFormat/>
    <w:pPr>
      <w:ind w:left="103"/>
      <w:outlineLvl w:val="6"/>
    </w:pPr>
    <w:rPr>
      <w:rFonts w:ascii="Baskerville Old Face" w:hAnsi="Baskerville Old Face" w:eastAsia="Baskerville Old Face" w:cs="Baskerville Old Face"/>
      <w:b/>
      <w:bCs/>
      <w:sz w:val="22"/>
      <w:szCs w:val="22"/>
      <w:lang w:val="es-ES" w:eastAsia="en-US" w:bidi="ar-SA"/>
    </w:rPr>
  </w:style>
  <w:style w:styleId="Title" w:type="paragraph">
    <w:name w:val="Title"/>
    <w:basedOn w:val="Normal"/>
    <w:uiPriority w:val="1"/>
    <w:qFormat/>
    <w:pPr>
      <w:ind w:left="1962" w:right="2267"/>
      <w:jc w:val="center"/>
    </w:pPr>
    <w:rPr>
      <w:rFonts w:ascii="Arial Narrow" w:hAnsi="Arial Narrow" w:eastAsia="Arial Narrow" w:cs="Arial Narrow"/>
      <w:b/>
      <w:bCs/>
      <w:sz w:val="44"/>
      <w:szCs w:val="44"/>
      <w:lang w:val="es-ES" w:eastAsia="en-US" w:bidi="ar-SA"/>
    </w:rPr>
  </w:style>
  <w:style w:styleId="ListParagraph" w:type="paragraph">
    <w:name w:val="List Paragraph"/>
    <w:basedOn w:val="Normal"/>
    <w:uiPriority w:val="1"/>
    <w:qFormat/>
    <w:pPr>
      <w:ind w:left="1341" w:hanging="360"/>
    </w:pPr>
    <w:rPr>
      <w:rFonts w:ascii="Baskerville Old Face" w:hAnsi="Baskerville Old Face" w:eastAsia="Baskerville Old Face" w:cs="Baskerville Old Face"/>
      <w:lang w:val="es-ES" w:eastAsia="en-US" w:bidi="ar-SA"/>
    </w:rPr>
  </w:style>
  <w:style w:styleId="TableParagraph" w:type="paragraph">
    <w:name w:val="Table Paragraph"/>
    <w:basedOn w:val="Normal"/>
    <w:uiPriority w:val="1"/>
    <w:qFormat/>
    <w:pPr/>
    <w:rPr>
      <w:rFonts w:ascii="Baskerville Old Face" w:hAnsi="Baskerville Old Face" w:eastAsia="Baskerville Old Face" w:cs="Baskerville Old Face"/>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jpeg"/><Relationship Id="rId49" Type="http://schemas.openxmlformats.org/officeDocument/2006/relationships/image" Target="media/image45.jpeg"/><Relationship Id="rId50" Type="http://schemas.openxmlformats.org/officeDocument/2006/relationships/image" Target="media/image46.png"/><Relationship Id="rId51" Type="http://schemas.openxmlformats.org/officeDocument/2006/relationships/image" Target="media/image47.jpeg"/><Relationship Id="rId52" Type="http://schemas.openxmlformats.org/officeDocument/2006/relationships/image" Target="media/image48.png"/><Relationship Id="rId53" Type="http://schemas.openxmlformats.org/officeDocument/2006/relationships/image" Target="media/image49.jpe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jpeg"/><Relationship Id="rId57" Type="http://schemas.openxmlformats.org/officeDocument/2006/relationships/image" Target="media/image53.jpeg"/><Relationship Id="rId58" Type="http://schemas.openxmlformats.org/officeDocument/2006/relationships/hyperlink" Target="https://www.bing.com/ck/a?!&amp;&amp;p=da8e678d3ddacb1ebc3f49938ad0173150026a8771e2c87ff41999923b79ef6aJmltdHM9MTc3MDE2MzIwMA&amp;ptn=3&amp;ver=2&amp;hsh=4&amp;fclid=2af8c35f-7ba7-60ca-3fd5-d5257a6561ec&amp;psq=QUIEN%2BES%2BARRENDATARIO&amp;u=a1aHR0cHM6Ly9tdW5kb2FiYy5jb20vYXJyZW5kYXRhcmlvLXF1ZS1lcy1kZWZpbmljaW9uLXktY29uY2VwdG8v&amp;ntb=1" TargetMode="External"/><Relationship Id="rId59" Type="http://schemas.openxmlformats.org/officeDocument/2006/relationships/image" Target="media/image54.jpeg"/><Relationship Id="rId60" Type="http://schemas.openxmlformats.org/officeDocument/2006/relationships/image" Target="media/image55.jpeg"/><Relationship Id="rId61" Type="http://schemas.openxmlformats.org/officeDocument/2006/relationships/image" Target="media/image56.jpeg"/><Relationship Id="rId62" Type="http://schemas.openxmlformats.org/officeDocument/2006/relationships/image" Target="media/image57.jpeg"/><Relationship Id="rId63" Type="http://schemas.openxmlformats.org/officeDocument/2006/relationships/image" Target="media/image58.jpeg"/><Relationship Id="rId64" Type="http://schemas.openxmlformats.org/officeDocument/2006/relationships/image" Target="media/image59.jpeg"/><Relationship Id="rId65" Type="http://schemas.openxmlformats.org/officeDocument/2006/relationships/image" Target="media/image60.jpeg"/><Relationship Id="rId66" Type="http://schemas.openxmlformats.org/officeDocument/2006/relationships/image" Target="media/image61.jpeg"/><Relationship Id="rId67" Type="http://schemas.openxmlformats.org/officeDocument/2006/relationships/image" Target="media/image62.jpeg"/><Relationship Id="rId68" Type="http://schemas.openxmlformats.org/officeDocument/2006/relationships/image" Target="media/image63.jpeg"/><Relationship Id="rId69" Type="http://schemas.openxmlformats.org/officeDocument/2006/relationships/image" Target="media/image64.jpeg"/><Relationship Id="rId70" Type="http://schemas.openxmlformats.org/officeDocument/2006/relationships/image" Target="media/image65.jpeg"/><Relationship Id="rId71" Type="http://schemas.openxmlformats.org/officeDocument/2006/relationships/image" Target="media/image66.jpeg"/><Relationship Id="rId72" Type="http://schemas.openxmlformats.org/officeDocument/2006/relationships/image" Target="media/image67.jpeg"/><Relationship Id="rId73" Type="http://schemas.openxmlformats.org/officeDocument/2006/relationships/image" Target="media/image68.jpeg"/><Relationship Id="rId74" Type="http://schemas.openxmlformats.org/officeDocument/2006/relationships/image" Target="media/image69.jpeg"/><Relationship Id="rId75" Type="http://schemas.openxmlformats.org/officeDocument/2006/relationships/image" Target="media/image70.jpeg"/><Relationship Id="rId76" Type="http://schemas.openxmlformats.org/officeDocument/2006/relationships/image" Target="media/image71.jpeg"/><Relationship Id="rId77" Type="http://schemas.openxmlformats.org/officeDocument/2006/relationships/image" Target="media/image72.jpeg"/><Relationship Id="rId78" Type="http://schemas.openxmlformats.org/officeDocument/2006/relationships/image" Target="media/image73.jpeg"/><Relationship Id="rId79" Type="http://schemas.openxmlformats.org/officeDocument/2006/relationships/image" Target="media/image74.jpeg"/><Relationship Id="rId80" Type="http://schemas.openxmlformats.org/officeDocument/2006/relationships/image" Target="media/image75.jpeg"/><Relationship Id="rId81" Type="http://schemas.openxmlformats.org/officeDocument/2006/relationships/image" Target="media/image76.jpeg"/><Relationship Id="rId82" Type="http://schemas.openxmlformats.org/officeDocument/2006/relationships/image" Target="media/image77.png"/><Relationship Id="rId83" Type="http://schemas.openxmlformats.org/officeDocument/2006/relationships/image" Target="media/image78.jpeg"/><Relationship Id="rId84" Type="http://schemas.openxmlformats.org/officeDocument/2006/relationships/image" Target="media/image79.jpeg"/><Relationship Id="rId85" Type="http://schemas.openxmlformats.org/officeDocument/2006/relationships/image" Target="media/image80.jpeg"/><Relationship Id="rId86" Type="http://schemas.openxmlformats.org/officeDocument/2006/relationships/image" Target="media/image81.jpeg"/><Relationship Id="rId87" Type="http://schemas.openxmlformats.org/officeDocument/2006/relationships/image" Target="media/image82.jpeg"/><Relationship Id="rId88" Type="http://schemas.openxmlformats.org/officeDocument/2006/relationships/image" Target="media/image83.jpeg"/><Relationship Id="rId89" Type="http://schemas.openxmlformats.org/officeDocument/2006/relationships/image" Target="media/image84.jpeg"/><Relationship Id="rId90" Type="http://schemas.openxmlformats.org/officeDocument/2006/relationships/image" Target="media/image85.jpeg"/><Relationship Id="rId91" Type="http://schemas.openxmlformats.org/officeDocument/2006/relationships/image" Target="media/image86.jpe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hyperlink" Target="http://WWW.IMAS.GO.CR/" TargetMode="External"/><Relationship Id="rId95" Type="http://schemas.openxmlformats.org/officeDocument/2006/relationships/image" Target="media/image89.jpeg"/><Relationship Id="rId96" Type="http://schemas.openxmlformats.org/officeDocument/2006/relationships/image" Target="media/image90.jpeg"/><Relationship Id="rId97" Type="http://schemas.openxmlformats.org/officeDocument/2006/relationships/image" Target="media/image91.jpeg"/><Relationship Id="rId98" Type="http://schemas.openxmlformats.org/officeDocument/2006/relationships/image" Target="media/image92.jpeg"/><Relationship Id="rId99" Type="http://schemas.openxmlformats.org/officeDocument/2006/relationships/image" Target="media/image93.jpeg"/><Relationship Id="rId100" Type="http://schemas.openxmlformats.org/officeDocument/2006/relationships/image" Target="media/image94.jpeg"/><Relationship Id="rId101" Type="http://schemas.openxmlformats.org/officeDocument/2006/relationships/image" Target="media/image95.jpeg"/><Relationship Id="rId102" Type="http://schemas.openxmlformats.org/officeDocument/2006/relationships/image" Target="media/image96.png"/><Relationship Id="rId103" Type="http://schemas.openxmlformats.org/officeDocument/2006/relationships/image" Target="media/image97.png"/><Relationship Id="rId104" Type="http://schemas.openxmlformats.org/officeDocument/2006/relationships/image" Target="media/image98.png"/><Relationship Id="rId105" Type="http://schemas.openxmlformats.org/officeDocument/2006/relationships/image" Target="media/image99.png"/><Relationship Id="rId106" Type="http://schemas.openxmlformats.org/officeDocument/2006/relationships/image" Target="media/image100.jpeg"/><Relationship Id="rId107" Type="http://schemas.openxmlformats.org/officeDocument/2006/relationships/image" Target="media/image101.png"/><Relationship Id="rId108" Type="http://schemas.openxmlformats.org/officeDocument/2006/relationships/image" Target="media/image102.jpeg"/><Relationship Id="rId109" Type="http://schemas.openxmlformats.org/officeDocument/2006/relationships/image" Target="media/image103.jpeg"/><Relationship Id="rId110" Type="http://schemas.openxmlformats.org/officeDocument/2006/relationships/image" Target="media/image104.png"/><Relationship Id="rId111" Type="http://schemas.openxmlformats.org/officeDocument/2006/relationships/image" Target="media/image105.jpeg"/><Relationship Id="rId112" Type="http://schemas.openxmlformats.org/officeDocument/2006/relationships/image" Target="media/image106.jpeg"/><Relationship Id="rId113" Type="http://schemas.openxmlformats.org/officeDocument/2006/relationships/image" Target="media/image107.jpeg"/><Relationship Id="rId114" Type="http://schemas.openxmlformats.org/officeDocument/2006/relationships/image" Target="media/image108.jpeg"/><Relationship Id="rId115" Type="http://schemas.openxmlformats.org/officeDocument/2006/relationships/image" Target="media/image109.jpeg"/><Relationship Id="rId116" Type="http://schemas.openxmlformats.org/officeDocument/2006/relationships/hyperlink" Target="https://www.bccr.fi.cr/publicaciones/DocPolticaMonetariaInflacin/ComunicadoPoliticaMonetaria_03-" TargetMode="External"/><Relationship Id="rId117" Type="http://schemas.openxmlformats.org/officeDocument/2006/relationships/image" Target="media/image110.jpeg"/><Relationship Id="rId118" Type="http://schemas.openxmlformats.org/officeDocument/2006/relationships/image" Target="media/image111.jpeg"/><Relationship Id="rId119" Type="http://schemas.openxmlformats.org/officeDocument/2006/relationships/image" Target="media/image112.png"/><Relationship Id="rId120" Type="http://schemas.openxmlformats.org/officeDocument/2006/relationships/image" Target="media/image113.jpeg"/><Relationship Id="rId121" Type="http://schemas.openxmlformats.org/officeDocument/2006/relationships/image" Target="media/image114.png"/><Relationship Id="rId122" Type="http://schemas.openxmlformats.org/officeDocument/2006/relationships/image" Target="media/image115.png"/><Relationship Id="rId123" Type="http://schemas.openxmlformats.org/officeDocument/2006/relationships/image" Target="media/image116.png"/><Relationship Id="rId1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Andrea Calderon Jimenez</dc:creator>
  <dcterms:created xsi:type="dcterms:W3CDTF">2026-09-10T20:23:21Z</dcterms:created>
  <dcterms:modified xsi:type="dcterms:W3CDTF">2026-09-10T20:23:21Z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2026-08-28T00:00:00Z</vt:filetime>
  </property>
  <property fmtid="{D5CDD505-2E9C-101B-9397-08002B2CF9AE}" pid="3" name="Creator">
    <vt:lpwstr>Microsoft® Word para Microsoft 365</vt:lpwstr>
  </property>
  <property fmtid="{D5CDD505-2E9C-101B-9397-08002B2CF9AE}" pid="4" name="LastSaved">
    <vt:filetime>2026-09-10T00:00:00Z</vt:filetime>
  </property>
  <property fmtid="{D5CDD505-2E9C-101B-9397-08002B2CF9AE}" pid="5" name="Producer">
    <vt:lpwstr>Microsoft® Word para Microsoft 365;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vt:lpwstr>
  </property>
</Properties>
</file>